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156F" w:rsidRDefault="00A9721F">
      <w:bookmarkStart w:id="0" w:name="_GoBack"/>
      <w:bookmarkEnd w:id="0"/>
      <w:r>
        <w:rPr>
          <w:b/>
          <w:sz w:val="28"/>
        </w:rPr>
        <w:t xml:space="preserve">[MS-OI29500]: </w:t>
      </w:r>
    </w:p>
    <w:p w:rsidR="000A156F" w:rsidRDefault="00A9721F">
      <w:r>
        <w:rPr>
          <w:b/>
          <w:sz w:val="28"/>
        </w:rPr>
        <w:t>Office Implementation Information for ISO/IEC 29500 Standards Support</w:t>
      </w:r>
    </w:p>
    <w:p w:rsidR="000A156F" w:rsidRDefault="000A156F">
      <w:pPr>
        <w:pStyle w:val="CoverHR"/>
      </w:pPr>
    </w:p>
    <w:p w:rsidR="00B346DF" w:rsidRPr="00893F99" w:rsidRDefault="00A9721F" w:rsidP="00B346DF">
      <w:pPr>
        <w:pStyle w:val="MSDNH2"/>
        <w:spacing w:line="288" w:lineRule="auto"/>
        <w:textAlignment w:val="top"/>
      </w:pPr>
      <w:r>
        <w:t>Intellectual Property Rights Notice for Open Specifications Documentation</w:t>
      </w:r>
    </w:p>
    <w:p w:rsidR="00B346DF" w:rsidRDefault="00A9721F" w:rsidP="00B346DF">
      <w:pPr>
        <w:pStyle w:val="ListParagraph"/>
        <w:numPr>
          <w:ilvl w:val="0"/>
          <w:numId w:val="24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9721F" w:rsidP="00B346DF">
      <w:pPr>
        <w:pStyle w:val="ListParagraph"/>
        <w:numPr>
          <w:ilvl w:val="0"/>
          <w:numId w:val="24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9721F" w:rsidP="00B346DF">
      <w:pPr>
        <w:pStyle w:val="ListParagraph"/>
        <w:numPr>
          <w:ilvl w:val="0"/>
          <w:numId w:val="242"/>
        </w:numPr>
        <w:spacing w:before="0" w:after="120"/>
        <w:contextualSpacing/>
        <w:textAlignment w:val="top"/>
      </w:pPr>
      <w:r>
        <w:rPr>
          <w:b/>
        </w:rPr>
        <w:t>No Trade Secrets</w:t>
      </w:r>
      <w:r>
        <w:t>. Microsoft</w:t>
      </w:r>
      <w:r>
        <w:t xml:space="preserve"> does not claim any trade secret rights in this documentation. </w:t>
      </w:r>
    </w:p>
    <w:p w:rsidR="00B346DF" w:rsidRDefault="00A9721F" w:rsidP="00B346DF">
      <w:pPr>
        <w:pStyle w:val="ListParagraph"/>
        <w:numPr>
          <w:ilvl w:val="0"/>
          <w:numId w:val="24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9721F" w:rsidP="00B346DF">
      <w:pPr>
        <w:pStyle w:val="ListParagraph"/>
        <w:numPr>
          <w:ilvl w:val="0"/>
          <w:numId w:val="24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9721F" w:rsidP="00B346DF">
      <w:pPr>
        <w:pStyle w:val="ListParagraph"/>
        <w:numPr>
          <w:ilvl w:val="0"/>
          <w:numId w:val="24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9721F" w:rsidP="00B346DF">
      <w:pPr>
        <w:pStyle w:val="ListParagraph"/>
        <w:numPr>
          <w:ilvl w:val="0"/>
          <w:numId w:val="24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9721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9721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A156F" w:rsidRDefault="00A9721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A156F" w:rsidRDefault="00A9721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tcPr>
          <w:p w:rsidR="000A156F" w:rsidRDefault="00A9721F">
            <w:pPr>
              <w:pStyle w:val="TableHeaderText"/>
            </w:pPr>
            <w:r>
              <w:t>Date</w:t>
            </w:r>
          </w:p>
        </w:tc>
        <w:tc>
          <w:tcPr>
            <w:tcW w:w="0" w:type="auto"/>
          </w:tcPr>
          <w:p w:rsidR="000A156F" w:rsidRDefault="00A9721F">
            <w:pPr>
              <w:pStyle w:val="TableHeaderText"/>
            </w:pPr>
            <w:r>
              <w:t>Revision History</w:t>
            </w:r>
          </w:p>
        </w:tc>
        <w:tc>
          <w:tcPr>
            <w:tcW w:w="0" w:type="auto"/>
          </w:tcPr>
          <w:p w:rsidR="000A156F" w:rsidRDefault="00A9721F">
            <w:pPr>
              <w:pStyle w:val="TableHeaderText"/>
            </w:pPr>
            <w:r>
              <w:t>Revision Class</w:t>
            </w:r>
          </w:p>
        </w:tc>
        <w:tc>
          <w:tcPr>
            <w:tcW w:w="0" w:type="auto"/>
          </w:tcPr>
          <w:p w:rsidR="000A156F" w:rsidRDefault="00A9721F">
            <w:pPr>
              <w:pStyle w:val="TableHeaderText"/>
            </w:pPr>
            <w:r>
              <w:t>Comments</w:t>
            </w:r>
          </w:p>
        </w:tc>
      </w:tr>
      <w:tr w:rsidR="000A156F" w:rsidTr="000A156F">
        <w:tc>
          <w:tcPr>
            <w:tcW w:w="0" w:type="auto"/>
            <w:vAlign w:val="center"/>
          </w:tcPr>
          <w:p w:rsidR="000A156F" w:rsidRDefault="00A9721F">
            <w:pPr>
              <w:pStyle w:val="TableBodyText"/>
            </w:pPr>
            <w:r>
              <w:t>12/15/2009</w:t>
            </w:r>
          </w:p>
        </w:tc>
        <w:tc>
          <w:tcPr>
            <w:tcW w:w="0" w:type="auto"/>
            <w:vAlign w:val="center"/>
          </w:tcPr>
          <w:p w:rsidR="000A156F" w:rsidRDefault="00A9721F">
            <w:pPr>
              <w:pStyle w:val="TableBodyText"/>
            </w:pPr>
            <w:r>
              <w:t>1.0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Initial Availability</w:t>
            </w:r>
          </w:p>
        </w:tc>
      </w:tr>
      <w:tr w:rsidR="000A156F" w:rsidTr="000A156F">
        <w:tc>
          <w:tcPr>
            <w:tcW w:w="0" w:type="auto"/>
            <w:vAlign w:val="center"/>
          </w:tcPr>
          <w:p w:rsidR="000A156F" w:rsidRDefault="00A9721F">
            <w:pPr>
              <w:pStyle w:val="TableBodyText"/>
            </w:pPr>
            <w:r>
              <w:t>2/19/2010</w:t>
            </w:r>
          </w:p>
        </w:tc>
        <w:tc>
          <w:tcPr>
            <w:tcW w:w="0" w:type="auto"/>
            <w:vAlign w:val="center"/>
          </w:tcPr>
          <w:p w:rsidR="000A156F" w:rsidRDefault="00A9721F">
            <w:pPr>
              <w:pStyle w:val="TableBodyText"/>
            </w:pPr>
            <w:r>
              <w:t>1.01</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Updated and revised the technical content</w:t>
            </w:r>
          </w:p>
        </w:tc>
      </w:tr>
      <w:tr w:rsidR="000A156F" w:rsidTr="000A156F">
        <w:tc>
          <w:tcPr>
            <w:tcW w:w="0" w:type="auto"/>
            <w:vAlign w:val="center"/>
          </w:tcPr>
          <w:p w:rsidR="000A156F" w:rsidRDefault="00A9721F">
            <w:pPr>
              <w:pStyle w:val="TableBodyText"/>
            </w:pPr>
            <w:r>
              <w:t>3/31/2010</w:t>
            </w:r>
          </w:p>
        </w:tc>
        <w:tc>
          <w:tcPr>
            <w:tcW w:w="0" w:type="auto"/>
            <w:vAlign w:val="center"/>
          </w:tcPr>
          <w:p w:rsidR="000A156F" w:rsidRDefault="00A9721F">
            <w:pPr>
              <w:pStyle w:val="TableBodyText"/>
            </w:pPr>
            <w:r>
              <w:t>1.02</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Revised for template compliance</w:t>
            </w:r>
          </w:p>
        </w:tc>
      </w:tr>
      <w:tr w:rsidR="000A156F" w:rsidTr="000A156F">
        <w:tc>
          <w:tcPr>
            <w:tcW w:w="0" w:type="auto"/>
            <w:vAlign w:val="center"/>
          </w:tcPr>
          <w:p w:rsidR="000A156F" w:rsidRDefault="00A9721F">
            <w:pPr>
              <w:pStyle w:val="TableBodyText"/>
            </w:pPr>
            <w:r>
              <w:t>4/30/2010</w:t>
            </w:r>
          </w:p>
        </w:tc>
        <w:tc>
          <w:tcPr>
            <w:tcW w:w="0" w:type="auto"/>
            <w:vAlign w:val="center"/>
          </w:tcPr>
          <w:p w:rsidR="000A156F" w:rsidRDefault="00A9721F">
            <w:pPr>
              <w:pStyle w:val="TableBodyText"/>
            </w:pPr>
            <w:r>
              <w:t>1.03</w:t>
            </w:r>
          </w:p>
        </w:tc>
        <w:tc>
          <w:tcPr>
            <w:tcW w:w="0" w:type="auto"/>
            <w:vAlign w:val="center"/>
          </w:tcPr>
          <w:p w:rsidR="000A156F" w:rsidRDefault="00A9721F">
            <w:pPr>
              <w:pStyle w:val="TableBodyText"/>
            </w:pPr>
            <w:r>
              <w:t>Editorial</w:t>
            </w:r>
          </w:p>
        </w:tc>
        <w:tc>
          <w:tcPr>
            <w:tcW w:w="0" w:type="auto"/>
            <w:vAlign w:val="center"/>
          </w:tcPr>
          <w:p w:rsidR="000A156F" w:rsidRDefault="00A9721F">
            <w:pPr>
              <w:pStyle w:val="TableBodyText"/>
            </w:pPr>
            <w:r>
              <w:t>Revised and edited the technical content</w:t>
            </w:r>
          </w:p>
        </w:tc>
      </w:tr>
      <w:tr w:rsidR="000A156F" w:rsidTr="000A156F">
        <w:tc>
          <w:tcPr>
            <w:tcW w:w="0" w:type="auto"/>
            <w:vAlign w:val="center"/>
          </w:tcPr>
          <w:p w:rsidR="000A156F" w:rsidRDefault="00A9721F">
            <w:pPr>
              <w:pStyle w:val="TableBodyText"/>
            </w:pPr>
            <w:r>
              <w:t>6/7/2010</w:t>
            </w:r>
          </w:p>
        </w:tc>
        <w:tc>
          <w:tcPr>
            <w:tcW w:w="0" w:type="auto"/>
            <w:vAlign w:val="center"/>
          </w:tcPr>
          <w:p w:rsidR="000A156F" w:rsidRDefault="00A9721F">
            <w:pPr>
              <w:pStyle w:val="TableBodyText"/>
            </w:pPr>
            <w:r>
              <w:t>1.04</w:t>
            </w:r>
          </w:p>
        </w:tc>
        <w:tc>
          <w:tcPr>
            <w:tcW w:w="0" w:type="auto"/>
            <w:vAlign w:val="center"/>
          </w:tcPr>
          <w:p w:rsidR="000A156F" w:rsidRDefault="00A9721F">
            <w:pPr>
              <w:pStyle w:val="TableBodyText"/>
            </w:pPr>
            <w:r>
              <w:t>Editorial</w:t>
            </w:r>
          </w:p>
        </w:tc>
        <w:tc>
          <w:tcPr>
            <w:tcW w:w="0" w:type="auto"/>
            <w:vAlign w:val="center"/>
          </w:tcPr>
          <w:p w:rsidR="000A156F" w:rsidRDefault="00A9721F">
            <w:pPr>
              <w:pStyle w:val="TableBodyText"/>
            </w:pPr>
            <w:r>
              <w:t>Revised and edited the technical content</w:t>
            </w:r>
          </w:p>
        </w:tc>
      </w:tr>
      <w:tr w:rsidR="000A156F" w:rsidTr="000A156F">
        <w:tc>
          <w:tcPr>
            <w:tcW w:w="0" w:type="auto"/>
            <w:vAlign w:val="center"/>
          </w:tcPr>
          <w:p w:rsidR="000A156F" w:rsidRDefault="00A9721F">
            <w:pPr>
              <w:pStyle w:val="TableBodyText"/>
            </w:pPr>
            <w:r>
              <w:t>6/29/2010</w:t>
            </w:r>
          </w:p>
        </w:tc>
        <w:tc>
          <w:tcPr>
            <w:tcW w:w="0" w:type="auto"/>
            <w:vAlign w:val="center"/>
          </w:tcPr>
          <w:p w:rsidR="000A156F" w:rsidRDefault="00A9721F">
            <w:pPr>
              <w:pStyle w:val="TableBodyText"/>
            </w:pPr>
            <w:r>
              <w:t>1.05</w:t>
            </w:r>
          </w:p>
        </w:tc>
        <w:tc>
          <w:tcPr>
            <w:tcW w:w="0" w:type="auto"/>
            <w:vAlign w:val="center"/>
          </w:tcPr>
          <w:p w:rsidR="000A156F" w:rsidRDefault="00A9721F">
            <w:pPr>
              <w:pStyle w:val="TableBodyText"/>
            </w:pPr>
            <w:r>
              <w:t>Editorial</w:t>
            </w:r>
          </w:p>
        </w:tc>
        <w:tc>
          <w:tcPr>
            <w:tcW w:w="0" w:type="auto"/>
            <w:vAlign w:val="center"/>
          </w:tcPr>
          <w:p w:rsidR="000A156F" w:rsidRDefault="00A9721F">
            <w:pPr>
              <w:pStyle w:val="TableBodyText"/>
            </w:pPr>
            <w:r>
              <w:t>Changed language and formatting in the technical content.</w:t>
            </w:r>
          </w:p>
        </w:tc>
      </w:tr>
      <w:tr w:rsidR="000A156F" w:rsidTr="000A156F">
        <w:tc>
          <w:tcPr>
            <w:tcW w:w="0" w:type="auto"/>
            <w:vAlign w:val="center"/>
          </w:tcPr>
          <w:p w:rsidR="000A156F" w:rsidRDefault="00A9721F">
            <w:pPr>
              <w:pStyle w:val="TableBodyText"/>
            </w:pPr>
            <w:r>
              <w:t>7/23/2</w:t>
            </w:r>
            <w:r>
              <w:t>010</w:t>
            </w:r>
          </w:p>
        </w:tc>
        <w:tc>
          <w:tcPr>
            <w:tcW w:w="0" w:type="auto"/>
            <w:vAlign w:val="center"/>
          </w:tcPr>
          <w:p w:rsidR="000A156F" w:rsidRDefault="00A9721F">
            <w:pPr>
              <w:pStyle w:val="TableBodyText"/>
            </w:pPr>
            <w:r>
              <w:t>1.05</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9/27/2010</w:t>
            </w:r>
          </w:p>
        </w:tc>
        <w:tc>
          <w:tcPr>
            <w:tcW w:w="0" w:type="auto"/>
            <w:vAlign w:val="center"/>
          </w:tcPr>
          <w:p w:rsidR="000A156F" w:rsidRDefault="00A9721F">
            <w:pPr>
              <w:pStyle w:val="TableBodyText"/>
            </w:pPr>
            <w:r>
              <w:t>1.05</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11/15/2010</w:t>
            </w:r>
          </w:p>
        </w:tc>
        <w:tc>
          <w:tcPr>
            <w:tcW w:w="0" w:type="auto"/>
            <w:vAlign w:val="center"/>
          </w:tcPr>
          <w:p w:rsidR="000A156F" w:rsidRDefault="00A9721F">
            <w:pPr>
              <w:pStyle w:val="TableBodyText"/>
            </w:pPr>
            <w:r>
              <w:t>1.06</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12/17/2010</w:t>
            </w:r>
          </w:p>
        </w:tc>
        <w:tc>
          <w:tcPr>
            <w:tcW w:w="0" w:type="auto"/>
            <w:vAlign w:val="center"/>
          </w:tcPr>
          <w:p w:rsidR="000A156F" w:rsidRDefault="00A9721F">
            <w:pPr>
              <w:pStyle w:val="TableBodyText"/>
            </w:pPr>
            <w:r>
              <w:t>1.06</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3/18/2011</w:t>
            </w:r>
          </w:p>
        </w:tc>
        <w:tc>
          <w:tcPr>
            <w:tcW w:w="0" w:type="auto"/>
            <w:vAlign w:val="center"/>
          </w:tcPr>
          <w:p w:rsidR="000A156F" w:rsidRDefault="00A9721F">
            <w:pPr>
              <w:pStyle w:val="TableBodyText"/>
            </w:pPr>
            <w:r>
              <w:t>1.06</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6/10/2011</w:t>
            </w:r>
          </w:p>
        </w:tc>
        <w:tc>
          <w:tcPr>
            <w:tcW w:w="0" w:type="auto"/>
            <w:vAlign w:val="center"/>
          </w:tcPr>
          <w:p w:rsidR="000A156F" w:rsidRDefault="00A9721F">
            <w:pPr>
              <w:pStyle w:val="TableBodyText"/>
            </w:pPr>
            <w:r>
              <w:t>1.06</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1/20/2012</w:t>
            </w:r>
          </w:p>
        </w:tc>
        <w:tc>
          <w:tcPr>
            <w:tcW w:w="0" w:type="auto"/>
            <w:vAlign w:val="center"/>
          </w:tcPr>
          <w:p w:rsidR="000A156F" w:rsidRDefault="00A9721F">
            <w:pPr>
              <w:pStyle w:val="TableBodyText"/>
            </w:pPr>
            <w:r>
              <w:t>2.0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4/11/2012</w:t>
            </w:r>
          </w:p>
        </w:tc>
        <w:tc>
          <w:tcPr>
            <w:tcW w:w="0" w:type="auto"/>
            <w:vAlign w:val="center"/>
          </w:tcPr>
          <w:p w:rsidR="000A156F" w:rsidRDefault="00A9721F">
            <w:pPr>
              <w:pStyle w:val="TableBodyText"/>
            </w:pPr>
            <w:r>
              <w:t>2.0</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7/16/2012</w:t>
            </w:r>
          </w:p>
        </w:tc>
        <w:tc>
          <w:tcPr>
            <w:tcW w:w="0" w:type="auto"/>
            <w:vAlign w:val="center"/>
          </w:tcPr>
          <w:p w:rsidR="000A156F" w:rsidRDefault="00A9721F">
            <w:pPr>
              <w:pStyle w:val="TableBodyText"/>
            </w:pPr>
            <w:r>
              <w:t>2.0</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10/8/2012</w:t>
            </w:r>
          </w:p>
        </w:tc>
        <w:tc>
          <w:tcPr>
            <w:tcW w:w="0" w:type="auto"/>
            <w:vAlign w:val="center"/>
          </w:tcPr>
          <w:p w:rsidR="000A156F" w:rsidRDefault="00A9721F">
            <w:pPr>
              <w:pStyle w:val="TableBodyText"/>
            </w:pPr>
            <w:r>
              <w:t>2.1</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2/11/2013</w:t>
            </w:r>
          </w:p>
        </w:tc>
        <w:tc>
          <w:tcPr>
            <w:tcW w:w="0" w:type="auto"/>
            <w:vAlign w:val="center"/>
          </w:tcPr>
          <w:p w:rsidR="000A156F" w:rsidRDefault="00A9721F">
            <w:pPr>
              <w:pStyle w:val="TableBodyText"/>
            </w:pPr>
            <w:r>
              <w:t>2.1</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7/30/2013</w:t>
            </w:r>
          </w:p>
        </w:tc>
        <w:tc>
          <w:tcPr>
            <w:tcW w:w="0" w:type="auto"/>
            <w:vAlign w:val="center"/>
          </w:tcPr>
          <w:p w:rsidR="000A156F" w:rsidRDefault="00A9721F">
            <w:pPr>
              <w:pStyle w:val="TableBodyText"/>
            </w:pPr>
            <w:r>
              <w:t>2.1</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11/18/2013</w:t>
            </w:r>
          </w:p>
        </w:tc>
        <w:tc>
          <w:tcPr>
            <w:tcW w:w="0" w:type="auto"/>
            <w:vAlign w:val="center"/>
          </w:tcPr>
          <w:p w:rsidR="000A156F" w:rsidRDefault="00A9721F">
            <w:pPr>
              <w:pStyle w:val="TableBodyText"/>
            </w:pPr>
            <w:r>
              <w:t>2.1</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2/10/2014</w:t>
            </w:r>
          </w:p>
        </w:tc>
        <w:tc>
          <w:tcPr>
            <w:tcW w:w="0" w:type="auto"/>
            <w:vAlign w:val="center"/>
          </w:tcPr>
          <w:p w:rsidR="000A156F" w:rsidRDefault="00A9721F">
            <w:pPr>
              <w:pStyle w:val="TableBodyText"/>
            </w:pPr>
            <w:r>
              <w:t>2.1</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w:t>
            </w:r>
            <w:r>
              <w:t>rmatting of the technical content.</w:t>
            </w:r>
          </w:p>
        </w:tc>
      </w:tr>
      <w:tr w:rsidR="000A156F" w:rsidTr="000A156F">
        <w:tc>
          <w:tcPr>
            <w:tcW w:w="0" w:type="auto"/>
            <w:vAlign w:val="center"/>
          </w:tcPr>
          <w:p w:rsidR="000A156F" w:rsidRDefault="00A9721F">
            <w:pPr>
              <w:pStyle w:val="TableBodyText"/>
            </w:pPr>
            <w:r>
              <w:t>4/30/2014</w:t>
            </w:r>
          </w:p>
        </w:tc>
        <w:tc>
          <w:tcPr>
            <w:tcW w:w="0" w:type="auto"/>
            <w:vAlign w:val="center"/>
          </w:tcPr>
          <w:p w:rsidR="000A156F" w:rsidRDefault="00A9721F">
            <w:pPr>
              <w:pStyle w:val="TableBodyText"/>
            </w:pPr>
            <w:r>
              <w:t>2.1</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7/31/2014</w:t>
            </w:r>
          </w:p>
        </w:tc>
        <w:tc>
          <w:tcPr>
            <w:tcW w:w="0" w:type="auto"/>
            <w:vAlign w:val="center"/>
          </w:tcPr>
          <w:p w:rsidR="000A156F" w:rsidRDefault="00A9721F">
            <w:pPr>
              <w:pStyle w:val="TableBodyText"/>
            </w:pPr>
            <w:r>
              <w:t>2.2</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10/30/2014</w:t>
            </w:r>
          </w:p>
        </w:tc>
        <w:tc>
          <w:tcPr>
            <w:tcW w:w="0" w:type="auto"/>
            <w:vAlign w:val="center"/>
          </w:tcPr>
          <w:p w:rsidR="000A156F" w:rsidRDefault="00A9721F">
            <w:pPr>
              <w:pStyle w:val="TableBodyText"/>
            </w:pPr>
            <w:r>
              <w:t>2.2</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1/13/2015</w:t>
            </w:r>
          </w:p>
        </w:tc>
        <w:tc>
          <w:tcPr>
            <w:tcW w:w="0" w:type="auto"/>
            <w:vAlign w:val="center"/>
          </w:tcPr>
          <w:p w:rsidR="000A156F" w:rsidRDefault="00A9721F">
            <w:pPr>
              <w:pStyle w:val="TableBodyText"/>
            </w:pPr>
            <w:r>
              <w:t>3.0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lastRenderedPageBreak/>
              <w:t>9/4/2015</w:t>
            </w:r>
          </w:p>
        </w:tc>
        <w:tc>
          <w:tcPr>
            <w:tcW w:w="0" w:type="auto"/>
            <w:vAlign w:val="center"/>
          </w:tcPr>
          <w:p w:rsidR="000A156F" w:rsidRDefault="00A9721F">
            <w:pPr>
              <w:pStyle w:val="TableBodyText"/>
            </w:pPr>
            <w:r>
              <w:t>4.0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9/25/2015</w:t>
            </w:r>
          </w:p>
        </w:tc>
        <w:tc>
          <w:tcPr>
            <w:tcW w:w="0" w:type="auto"/>
            <w:vAlign w:val="center"/>
          </w:tcPr>
          <w:p w:rsidR="000A156F" w:rsidRDefault="00A9721F">
            <w:pPr>
              <w:pStyle w:val="TableBodyText"/>
            </w:pPr>
            <w:r>
              <w:t>5.0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w:t>
            </w:r>
            <w:r>
              <w:t>echnical content.</w:t>
            </w:r>
          </w:p>
        </w:tc>
      </w:tr>
      <w:tr w:rsidR="000A156F" w:rsidTr="000A156F">
        <w:tc>
          <w:tcPr>
            <w:tcW w:w="0" w:type="auto"/>
            <w:vAlign w:val="center"/>
          </w:tcPr>
          <w:p w:rsidR="000A156F" w:rsidRDefault="00A9721F">
            <w:pPr>
              <w:pStyle w:val="TableBodyText"/>
            </w:pPr>
            <w:r>
              <w:t>7/15/2016</w:t>
            </w:r>
          </w:p>
        </w:tc>
        <w:tc>
          <w:tcPr>
            <w:tcW w:w="0" w:type="auto"/>
            <w:vAlign w:val="center"/>
          </w:tcPr>
          <w:p w:rsidR="000A156F" w:rsidRDefault="00A9721F">
            <w:pPr>
              <w:pStyle w:val="TableBodyText"/>
            </w:pPr>
            <w:r>
              <w:t>5.0</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9/26/2016</w:t>
            </w:r>
          </w:p>
        </w:tc>
        <w:tc>
          <w:tcPr>
            <w:tcW w:w="0" w:type="auto"/>
            <w:vAlign w:val="center"/>
          </w:tcPr>
          <w:p w:rsidR="000A156F" w:rsidRDefault="00A9721F">
            <w:pPr>
              <w:pStyle w:val="TableBodyText"/>
            </w:pPr>
            <w:r>
              <w:t>6.0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10/17/2016</w:t>
            </w:r>
          </w:p>
        </w:tc>
        <w:tc>
          <w:tcPr>
            <w:tcW w:w="0" w:type="auto"/>
            <w:vAlign w:val="center"/>
          </w:tcPr>
          <w:p w:rsidR="000A156F" w:rsidRDefault="00A9721F">
            <w:pPr>
              <w:pStyle w:val="TableBodyText"/>
            </w:pPr>
            <w:r>
              <w:t>6.0</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12/15/2016</w:t>
            </w:r>
          </w:p>
        </w:tc>
        <w:tc>
          <w:tcPr>
            <w:tcW w:w="0" w:type="auto"/>
            <w:vAlign w:val="center"/>
          </w:tcPr>
          <w:p w:rsidR="000A156F" w:rsidRDefault="00A9721F">
            <w:pPr>
              <w:pStyle w:val="TableBodyText"/>
            </w:pPr>
            <w:r>
              <w:t>7.0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3/28/2017</w:t>
            </w:r>
          </w:p>
        </w:tc>
        <w:tc>
          <w:tcPr>
            <w:tcW w:w="0" w:type="auto"/>
            <w:vAlign w:val="center"/>
          </w:tcPr>
          <w:p w:rsidR="000A156F" w:rsidRDefault="00A9721F">
            <w:pPr>
              <w:pStyle w:val="TableBodyText"/>
            </w:pPr>
            <w:r>
              <w:t>8.0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6/20/2017</w:t>
            </w:r>
          </w:p>
        </w:tc>
        <w:tc>
          <w:tcPr>
            <w:tcW w:w="0" w:type="auto"/>
            <w:vAlign w:val="center"/>
          </w:tcPr>
          <w:p w:rsidR="000A156F" w:rsidRDefault="00A9721F">
            <w:pPr>
              <w:pStyle w:val="TableBodyText"/>
            </w:pPr>
            <w:r>
              <w:t>8.1</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8/1/2017</w:t>
            </w:r>
          </w:p>
        </w:tc>
        <w:tc>
          <w:tcPr>
            <w:tcW w:w="0" w:type="auto"/>
            <w:vAlign w:val="center"/>
          </w:tcPr>
          <w:p w:rsidR="000A156F" w:rsidRDefault="00A9721F">
            <w:pPr>
              <w:pStyle w:val="TableBodyText"/>
            </w:pPr>
            <w:r>
              <w:t>9.0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9/19/2017</w:t>
            </w:r>
          </w:p>
        </w:tc>
        <w:tc>
          <w:tcPr>
            <w:tcW w:w="0" w:type="auto"/>
            <w:vAlign w:val="center"/>
          </w:tcPr>
          <w:p w:rsidR="000A156F" w:rsidRDefault="00A9721F">
            <w:pPr>
              <w:pStyle w:val="TableBodyText"/>
            </w:pPr>
            <w:r>
              <w:t>10.0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11/30/2017</w:t>
            </w:r>
          </w:p>
        </w:tc>
        <w:tc>
          <w:tcPr>
            <w:tcW w:w="0" w:type="auto"/>
            <w:vAlign w:val="center"/>
          </w:tcPr>
          <w:p w:rsidR="000A156F" w:rsidRDefault="00A9721F">
            <w:pPr>
              <w:pStyle w:val="TableBodyText"/>
            </w:pPr>
            <w:r>
              <w:t>11.0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4/27/2018</w:t>
            </w:r>
          </w:p>
        </w:tc>
        <w:tc>
          <w:tcPr>
            <w:tcW w:w="0" w:type="auto"/>
            <w:vAlign w:val="center"/>
          </w:tcPr>
          <w:p w:rsidR="000A156F" w:rsidRDefault="00A9721F">
            <w:pPr>
              <w:pStyle w:val="TableBodyText"/>
            </w:pPr>
            <w:r>
              <w:t>12.0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8/28/2018</w:t>
            </w:r>
          </w:p>
        </w:tc>
        <w:tc>
          <w:tcPr>
            <w:tcW w:w="0" w:type="auto"/>
            <w:vAlign w:val="center"/>
          </w:tcPr>
          <w:p w:rsidR="000A156F" w:rsidRDefault="00A9721F">
            <w:pPr>
              <w:pStyle w:val="TableBodyText"/>
            </w:pPr>
            <w:r>
              <w:t>13.0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12/11/2018</w:t>
            </w:r>
          </w:p>
        </w:tc>
        <w:tc>
          <w:tcPr>
            <w:tcW w:w="0" w:type="auto"/>
            <w:vAlign w:val="center"/>
          </w:tcPr>
          <w:p w:rsidR="000A156F" w:rsidRDefault="00A9721F">
            <w:pPr>
              <w:pStyle w:val="TableBodyText"/>
            </w:pPr>
            <w:r>
              <w:t>14.0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3/19/2019</w:t>
            </w:r>
          </w:p>
        </w:tc>
        <w:tc>
          <w:tcPr>
            <w:tcW w:w="0" w:type="auto"/>
            <w:vAlign w:val="center"/>
          </w:tcPr>
          <w:p w:rsidR="000A156F" w:rsidRDefault="00A9721F">
            <w:pPr>
              <w:pStyle w:val="TableBodyText"/>
            </w:pPr>
            <w:r>
              <w:t>14.1</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6/24/2019</w:t>
            </w:r>
          </w:p>
        </w:tc>
        <w:tc>
          <w:tcPr>
            <w:tcW w:w="0" w:type="auto"/>
            <w:vAlign w:val="center"/>
          </w:tcPr>
          <w:p w:rsidR="000A156F" w:rsidRDefault="00A9721F">
            <w:pPr>
              <w:pStyle w:val="TableBodyText"/>
            </w:pPr>
            <w:r>
              <w:t>15.0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9/24/2019</w:t>
            </w:r>
          </w:p>
        </w:tc>
        <w:tc>
          <w:tcPr>
            <w:tcW w:w="0" w:type="auto"/>
            <w:vAlign w:val="center"/>
          </w:tcPr>
          <w:p w:rsidR="000A156F" w:rsidRDefault="00A9721F">
            <w:pPr>
              <w:pStyle w:val="TableBodyText"/>
            </w:pPr>
            <w:r>
              <w:t>16.0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11/19/2019</w:t>
            </w:r>
          </w:p>
        </w:tc>
        <w:tc>
          <w:tcPr>
            <w:tcW w:w="0" w:type="auto"/>
            <w:vAlign w:val="center"/>
          </w:tcPr>
          <w:p w:rsidR="000A156F" w:rsidRDefault="00A9721F">
            <w:pPr>
              <w:pStyle w:val="TableBodyText"/>
            </w:pPr>
            <w:r>
              <w:t>16.0</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r w:rsidR="000A156F" w:rsidTr="000A156F">
        <w:tc>
          <w:tcPr>
            <w:tcW w:w="0" w:type="auto"/>
            <w:vAlign w:val="center"/>
          </w:tcPr>
          <w:p w:rsidR="000A156F" w:rsidRDefault="00A9721F">
            <w:pPr>
              <w:pStyle w:val="TableBodyText"/>
            </w:pPr>
            <w:r>
              <w:t>2/19/2020</w:t>
            </w:r>
          </w:p>
        </w:tc>
        <w:tc>
          <w:tcPr>
            <w:tcW w:w="0" w:type="auto"/>
            <w:vAlign w:val="center"/>
          </w:tcPr>
          <w:p w:rsidR="000A156F" w:rsidRDefault="00A9721F">
            <w:pPr>
              <w:pStyle w:val="TableBodyText"/>
            </w:pPr>
            <w:r>
              <w:t>16.1</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11/17/2020</w:t>
            </w:r>
          </w:p>
        </w:tc>
        <w:tc>
          <w:tcPr>
            <w:tcW w:w="0" w:type="auto"/>
            <w:vAlign w:val="center"/>
          </w:tcPr>
          <w:p w:rsidR="000A156F" w:rsidRDefault="00A9721F">
            <w:pPr>
              <w:pStyle w:val="TableBodyText"/>
            </w:pPr>
            <w:r>
              <w:t>17.0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4/22/2021</w:t>
            </w:r>
          </w:p>
        </w:tc>
        <w:tc>
          <w:tcPr>
            <w:tcW w:w="0" w:type="auto"/>
            <w:vAlign w:val="center"/>
          </w:tcPr>
          <w:p w:rsidR="000A156F" w:rsidRDefault="00A9721F">
            <w:pPr>
              <w:pStyle w:val="TableBodyText"/>
            </w:pPr>
            <w:r>
              <w:t>18.0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w:t>
            </w:r>
            <w:r>
              <w:t>ed the technical content.</w:t>
            </w:r>
          </w:p>
        </w:tc>
      </w:tr>
      <w:tr w:rsidR="000A156F" w:rsidTr="000A156F">
        <w:tc>
          <w:tcPr>
            <w:tcW w:w="0" w:type="auto"/>
            <w:vAlign w:val="center"/>
          </w:tcPr>
          <w:p w:rsidR="000A156F" w:rsidRDefault="00A9721F">
            <w:pPr>
              <w:pStyle w:val="TableBodyText"/>
            </w:pPr>
            <w:r>
              <w:t>8/17/2021</w:t>
            </w:r>
          </w:p>
        </w:tc>
        <w:tc>
          <w:tcPr>
            <w:tcW w:w="0" w:type="auto"/>
            <w:vAlign w:val="center"/>
          </w:tcPr>
          <w:p w:rsidR="000A156F" w:rsidRDefault="00A9721F">
            <w:pPr>
              <w:pStyle w:val="TableBodyText"/>
            </w:pPr>
            <w:r>
              <w:t>19.0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11/16/2021</w:t>
            </w:r>
          </w:p>
        </w:tc>
        <w:tc>
          <w:tcPr>
            <w:tcW w:w="0" w:type="auto"/>
            <w:vAlign w:val="center"/>
          </w:tcPr>
          <w:p w:rsidR="000A156F" w:rsidRDefault="00A9721F">
            <w:pPr>
              <w:pStyle w:val="TableBodyText"/>
            </w:pPr>
            <w:r>
              <w:t>19.1</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2/15/2022</w:t>
            </w:r>
          </w:p>
        </w:tc>
        <w:tc>
          <w:tcPr>
            <w:tcW w:w="0" w:type="auto"/>
            <w:vAlign w:val="center"/>
          </w:tcPr>
          <w:p w:rsidR="000A156F" w:rsidRDefault="00A9721F">
            <w:pPr>
              <w:pStyle w:val="TableBodyText"/>
            </w:pPr>
            <w:r>
              <w:t>19.2</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8/16/2022</w:t>
            </w:r>
          </w:p>
        </w:tc>
        <w:tc>
          <w:tcPr>
            <w:tcW w:w="0" w:type="auto"/>
            <w:vAlign w:val="center"/>
          </w:tcPr>
          <w:p w:rsidR="000A156F" w:rsidRDefault="00A9721F">
            <w:pPr>
              <w:pStyle w:val="TableBodyText"/>
            </w:pPr>
            <w:r>
              <w:t>20.0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11/15/2022</w:t>
            </w:r>
          </w:p>
        </w:tc>
        <w:tc>
          <w:tcPr>
            <w:tcW w:w="0" w:type="auto"/>
            <w:vAlign w:val="center"/>
          </w:tcPr>
          <w:p w:rsidR="000A156F" w:rsidRDefault="00A9721F">
            <w:pPr>
              <w:pStyle w:val="TableBodyText"/>
            </w:pPr>
            <w:r>
              <w:t>21.0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3/9/2023</w:t>
            </w:r>
          </w:p>
        </w:tc>
        <w:tc>
          <w:tcPr>
            <w:tcW w:w="0" w:type="auto"/>
            <w:vAlign w:val="center"/>
          </w:tcPr>
          <w:p w:rsidR="000A156F" w:rsidRDefault="00A9721F">
            <w:pPr>
              <w:pStyle w:val="TableBodyText"/>
            </w:pPr>
            <w:r>
              <w:t>21.1</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8/15/2023</w:t>
            </w:r>
          </w:p>
        </w:tc>
        <w:tc>
          <w:tcPr>
            <w:tcW w:w="0" w:type="auto"/>
            <w:vAlign w:val="center"/>
          </w:tcPr>
          <w:p w:rsidR="000A156F" w:rsidRDefault="00A9721F">
            <w:pPr>
              <w:pStyle w:val="TableBodyText"/>
            </w:pPr>
            <w:r>
              <w:t>21.2</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11/13/2023</w:t>
            </w:r>
          </w:p>
        </w:tc>
        <w:tc>
          <w:tcPr>
            <w:tcW w:w="0" w:type="auto"/>
            <w:vAlign w:val="center"/>
          </w:tcPr>
          <w:p w:rsidR="000A156F" w:rsidRDefault="00A9721F">
            <w:pPr>
              <w:pStyle w:val="TableBodyText"/>
            </w:pPr>
            <w:r>
              <w:t>21.3</w:t>
            </w:r>
          </w:p>
        </w:tc>
        <w:tc>
          <w:tcPr>
            <w:tcW w:w="0" w:type="auto"/>
            <w:vAlign w:val="center"/>
          </w:tcPr>
          <w:p w:rsidR="000A156F" w:rsidRDefault="00A9721F">
            <w:pPr>
              <w:pStyle w:val="TableBodyText"/>
            </w:pPr>
            <w:r>
              <w:t>Minor</w:t>
            </w:r>
          </w:p>
        </w:tc>
        <w:tc>
          <w:tcPr>
            <w:tcW w:w="0" w:type="auto"/>
            <w:vAlign w:val="center"/>
          </w:tcPr>
          <w:p w:rsidR="000A156F" w:rsidRDefault="00A9721F">
            <w:pPr>
              <w:pStyle w:val="TableBodyText"/>
            </w:pPr>
            <w:r>
              <w:t>Clarified the meaning of the technical content.</w:t>
            </w:r>
          </w:p>
        </w:tc>
      </w:tr>
      <w:tr w:rsidR="000A156F" w:rsidTr="000A156F">
        <w:tc>
          <w:tcPr>
            <w:tcW w:w="0" w:type="auto"/>
            <w:vAlign w:val="center"/>
          </w:tcPr>
          <w:p w:rsidR="000A156F" w:rsidRDefault="00A9721F">
            <w:pPr>
              <w:pStyle w:val="TableBodyText"/>
            </w:pPr>
            <w:r>
              <w:t>2/20/2024</w:t>
            </w:r>
          </w:p>
        </w:tc>
        <w:tc>
          <w:tcPr>
            <w:tcW w:w="0" w:type="auto"/>
            <w:vAlign w:val="center"/>
          </w:tcPr>
          <w:p w:rsidR="000A156F" w:rsidRDefault="00A9721F">
            <w:pPr>
              <w:pStyle w:val="TableBodyText"/>
            </w:pPr>
            <w:r>
              <w:t>21.3</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 xml:space="preserve">No changes to the meaning, language, or formatting of the </w:t>
            </w:r>
            <w:r>
              <w:lastRenderedPageBreak/>
              <w:t>technical content.</w:t>
            </w:r>
          </w:p>
        </w:tc>
      </w:tr>
      <w:tr w:rsidR="000A156F" w:rsidTr="000A156F">
        <w:tc>
          <w:tcPr>
            <w:tcW w:w="0" w:type="auto"/>
            <w:vAlign w:val="center"/>
          </w:tcPr>
          <w:p w:rsidR="000A156F" w:rsidRDefault="00A9721F">
            <w:pPr>
              <w:pStyle w:val="TableBodyText"/>
            </w:pPr>
            <w:r>
              <w:lastRenderedPageBreak/>
              <w:t>4/16/2024</w:t>
            </w:r>
          </w:p>
        </w:tc>
        <w:tc>
          <w:tcPr>
            <w:tcW w:w="0" w:type="auto"/>
            <w:vAlign w:val="center"/>
          </w:tcPr>
          <w:p w:rsidR="000A156F" w:rsidRDefault="00A9721F">
            <w:pPr>
              <w:pStyle w:val="TableBodyText"/>
            </w:pPr>
            <w:r>
              <w:t>22.0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8/20/2024</w:t>
            </w:r>
          </w:p>
        </w:tc>
        <w:tc>
          <w:tcPr>
            <w:tcW w:w="0" w:type="auto"/>
            <w:vAlign w:val="center"/>
          </w:tcPr>
          <w:p w:rsidR="000A156F" w:rsidRDefault="00A9721F">
            <w:pPr>
              <w:pStyle w:val="TableBodyText"/>
            </w:pPr>
            <w:r>
              <w:t>23.0</w:t>
            </w:r>
          </w:p>
        </w:tc>
        <w:tc>
          <w:tcPr>
            <w:tcW w:w="0" w:type="auto"/>
            <w:vAlign w:val="center"/>
          </w:tcPr>
          <w:p w:rsidR="000A156F" w:rsidRDefault="00A9721F">
            <w:pPr>
              <w:pStyle w:val="TableBodyText"/>
            </w:pPr>
            <w:r>
              <w:t>Major</w:t>
            </w:r>
          </w:p>
        </w:tc>
        <w:tc>
          <w:tcPr>
            <w:tcW w:w="0" w:type="auto"/>
            <w:vAlign w:val="center"/>
          </w:tcPr>
          <w:p w:rsidR="000A156F" w:rsidRDefault="00A9721F">
            <w:pPr>
              <w:pStyle w:val="TableBodyText"/>
            </w:pPr>
            <w:r>
              <w:t>Significantly changed the technical content.</w:t>
            </w:r>
          </w:p>
        </w:tc>
      </w:tr>
      <w:tr w:rsidR="000A156F" w:rsidTr="000A156F">
        <w:tc>
          <w:tcPr>
            <w:tcW w:w="0" w:type="auto"/>
            <w:vAlign w:val="center"/>
          </w:tcPr>
          <w:p w:rsidR="000A156F" w:rsidRDefault="00A9721F">
            <w:pPr>
              <w:pStyle w:val="TableBodyText"/>
            </w:pPr>
            <w:r>
              <w:t>11/12/2024</w:t>
            </w:r>
          </w:p>
        </w:tc>
        <w:tc>
          <w:tcPr>
            <w:tcW w:w="0" w:type="auto"/>
            <w:vAlign w:val="center"/>
          </w:tcPr>
          <w:p w:rsidR="000A156F" w:rsidRDefault="00A9721F">
            <w:pPr>
              <w:pStyle w:val="TableBodyText"/>
            </w:pPr>
            <w:r>
              <w:t>23.0</w:t>
            </w:r>
          </w:p>
        </w:tc>
        <w:tc>
          <w:tcPr>
            <w:tcW w:w="0" w:type="auto"/>
            <w:vAlign w:val="center"/>
          </w:tcPr>
          <w:p w:rsidR="000A156F" w:rsidRDefault="00A9721F">
            <w:pPr>
              <w:pStyle w:val="TableBodyText"/>
            </w:pPr>
            <w:r>
              <w:t>None</w:t>
            </w:r>
          </w:p>
        </w:tc>
        <w:tc>
          <w:tcPr>
            <w:tcW w:w="0" w:type="auto"/>
            <w:vAlign w:val="center"/>
          </w:tcPr>
          <w:p w:rsidR="000A156F" w:rsidRDefault="00A9721F">
            <w:pPr>
              <w:pStyle w:val="TableBodyText"/>
            </w:pPr>
            <w:r>
              <w:t>No changes to the meaning, language, or formatting of the technical content.</w:t>
            </w:r>
          </w:p>
        </w:tc>
      </w:tr>
    </w:tbl>
    <w:p w:rsidR="000A156F" w:rsidRDefault="00A9721F">
      <w:pPr>
        <w:pStyle w:val="TOCHeading"/>
      </w:pPr>
      <w:r>
        <w:lastRenderedPageBreak/>
        <w:t>Table of Contents</w:t>
      </w:r>
    </w:p>
    <w:p w:rsidR="00A9721F" w:rsidRDefault="00A9721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81683028" w:history="1">
        <w:r w:rsidRPr="001B13A4">
          <w:rPr>
            <w:rStyle w:val="Hyperlink"/>
            <w:noProof/>
          </w:rPr>
          <w:t>1</w:t>
        </w:r>
        <w:r>
          <w:rPr>
            <w:rFonts w:asciiTheme="minorHAnsi" w:eastAsiaTheme="minorEastAsia" w:hAnsiTheme="minorHAnsi" w:cstheme="minorBidi"/>
            <w:b w:val="0"/>
            <w:bCs w:val="0"/>
            <w:noProof/>
            <w:sz w:val="22"/>
            <w:szCs w:val="22"/>
          </w:rPr>
          <w:tab/>
        </w:r>
        <w:r w:rsidRPr="001B13A4">
          <w:rPr>
            <w:rStyle w:val="Hyperlink"/>
            <w:noProof/>
          </w:rPr>
          <w:t>Introduction</w:t>
        </w:r>
        <w:r>
          <w:rPr>
            <w:noProof/>
            <w:webHidden/>
          </w:rPr>
          <w:tab/>
        </w:r>
        <w:r>
          <w:rPr>
            <w:noProof/>
            <w:webHidden/>
          </w:rPr>
          <w:fldChar w:fldCharType="begin"/>
        </w:r>
        <w:r>
          <w:rPr>
            <w:noProof/>
            <w:webHidden/>
          </w:rPr>
          <w:instrText xml:space="preserve"> PAGEREF _Toc181683028 \h </w:instrText>
        </w:r>
        <w:r>
          <w:rPr>
            <w:noProof/>
            <w:webHidden/>
          </w:rPr>
        </w:r>
        <w:r>
          <w:rPr>
            <w:noProof/>
            <w:webHidden/>
          </w:rPr>
          <w:fldChar w:fldCharType="separate"/>
        </w:r>
        <w:r>
          <w:rPr>
            <w:noProof/>
            <w:webHidden/>
          </w:rPr>
          <w:t>45</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3029" w:history="1">
        <w:r w:rsidRPr="001B13A4">
          <w:rPr>
            <w:rStyle w:val="Hyperlink"/>
            <w:noProof/>
          </w:rPr>
          <w:t>1.1</w:t>
        </w:r>
        <w:r>
          <w:rPr>
            <w:rFonts w:asciiTheme="minorHAnsi" w:eastAsiaTheme="minorEastAsia" w:hAnsiTheme="minorHAnsi" w:cstheme="minorBidi"/>
            <w:noProof/>
            <w:sz w:val="22"/>
            <w:szCs w:val="22"/>
          </w:rPr>
          <w:tab/>
        </w:r>
        <w:r w:rsidRPr="001B13A4">
          <w:rPr>
            <w:rStyle w:val="Hyperlink"/>
            <w:noProof/>
          </w:rPr>
          <w:t>Glossary</w:t>
        </w:r>
        <w:r>
          <w:rPr>
            <w:noProof/>
            <w:webHidden/>
          </w:rPr>
          <w:tab/>
        </w:r>
        <w:r>
          <w:rPr>
            <w:noProof/>
            <w:webHidden/>
          </w:rPr>
          <w:fldChar w:fldCharType="begin"/>
        </w:r>
        <w:r>
          <w:rPr>
            <w:noProof/>
            <w:webHidden/>
          </w:rPr>
          <w:instrText xml:space="preserve"> PAGEREF _Toc181683029 \h </w:instrText>
        </w:r>
        <w:r>
          <w:rPr>
            <w:noProof/>
            <w:webHidden/>
          </w:rPr>
        </w:r>
        <w:r>
          <w:rPr>
            <w:noProof/>
            <w:webHidden/>
          </w:rPr>
          <w:fldChar w:fldCharType="separate"/>
        </w:r>
        <w:r>
          <w:rPr>
            <w:noProof/>
            <w:webHidden/>
          </w:rPr>
          <w:t>45</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3030" w:history="1">
        <w:r w:rsidRPr="001B13A4">
          <w:rPr>
            <w:rStyle w:val="Hyperlink"/>
            <w:noProof/>
          </w:rPr>
          <w:t>1.2</w:t>
        </w:r>
        <w:r>
          <w:rPr>
            <w:rFonts w:asciiTheme="minorHAnsi" w:eastAsiaTheme="minorEastAsia" w:hAnsiTheme="minorHAnsi" w:cstheme="minorBidi"/>
            <w:noProof/>
            <w:sz w:val="22"/>
            <w:szCs w:val="22"/>
          </w:rPr>
          <w:tab/>
        </w:r>
        <w:r w:rsidRPr="001B13A4">
          <w:rPr>
            <w:rStyle w:val="Hyperlink"/>
            <w:noProof/>
          </w:rPr>
          <w:t>References</w:t>
        </w:r>
        <w:r>
          <w:rPr>
            <w:noProof/>
            <w:webHidden/>
          </w:rPr>
          <w:tab/>
        </w:r>
        <w:r>
          <w:rPr>
            <w:noProof/>
            <w:webHidden/>
          </w:rPr>
          <w:fldChar w:fldCharType="begin"/>
        </w:r>
        <w:r>
          <w:rPr>
            <w:noProof/>
            <w:webHidden/>
          </w:rPr>
          <w:instrText xml:space="preserve"> PAGEREF _Toc181683030 \h </w:instrText>
        </w:r>
        <w:r>
          <w:rPr>
            <w:noProof/>
            <w:webHidden/>
          </w:rPr>
        </w:r>
        <w:r>
          <w:rPr>
            <w:noProof/>
            <w:webHidden/>
          </w:rPr>
          <w:fldChar w:fldCharType="separate"/>
        </w:r>
        <w:r>
          <w:rPr>
            <w:noProof/>
            <w:webHidden/>
          </w:rPr>
          <w:t>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31" w:history="1">
        <w:r w:rsidRPr="001B13A4">
          <w:rPr>
            <w:rStyle w:val="Hyperlink"/>
            <w:noProof/>
          </w:rPr>
          <w:t>1.2.1</w:t>
        </w:r>
        <w:r>
          <w:rPr>
            <w:rFonts w:asciiTheme="minorHAnsi" w:eastAsiaTheme="minorEastAsia" w:hAnsiTheme="minorHAnsi" w:cstheme="minorBidi"/>
            <w:noProof/>
            <w:sz w:val="22"/>
            <w:szCs w:val="22"/>
          </w:rPr>
          <w:tab/>
        </w:r>
        <w:r w:rsidRPr="001B13A4">
          <w:rPr>
            <w:rStyle w:val="Hyperlink"/>
            <w:noProof/>
          </w:rPr>
          <w:t>Normative References</w:t>
        </w:r>
        <w:r>
          <w:rPr>
            <w:noProof/>
            <w:webHidden/>
          </w:rPr>
          <w:tab/>
        </w:r>
        <w:r>
          <w:rPr>
            <w:noProof/>
            <w:webHidden/>
          </w:rPr>
          <w:fldChar w:fldCharType="begin"/>
        </w:r>
        <w:r>
          <w:rPr>
            <w:noProof/>
            <w:webHidden/>
          </w:rPr>
          <w:instrText xml:space="preserve"> PAGEREF _Toc181683031 \h </w:instrText>
        </w:r>
        <w:r>
          <w:rPr>
            <w:noProof/>
            <w:webHidden/>
          </w:rPr>
        </w:r>
        <w:r>
          <w:rPr>
            <w:noProof/>
            <w:webHidden/>
          </w:rPr>
          <w:fldChar w:fldCharType="separate"/>
        </w:r>
        <w:r>
          <w:rPr>
            <w:noProof/>
            <w:webHidden/>
          </w:rPr>
          <w:t>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32" w:history="1">
        <w:r w:rsidRPr="001B13A4">
          <w:rPr>
            <w:rStyle w:val="Hyperlink"/>
            <w:noProof/>
          </w:rPr>
          <w:t>1.2.2</w:t>
        </w:r>
        <w:r>
          <w:rPr>
            <w:rFonts w:asciiTheme="minorHAnsi" w:eastAsiaTheme="minorEastAsia" w:hAnsiTheme="minorHAnsi" w:cstheme="minorBidi"/>
            <w:noProof/>
            <w:sz w:val="22"/>
            <w:szCs w:val="22"/>
          </w:rPr>
          <w:tab/>
        </w:r>
        <w:r w:rsidRPr="001B13A4">
          <w:rPr>
            <w:rStyle w:val="Hyperlink"/>
            <w:noProof/>
          </w:rPr>
          <w:t>Informative References</w:t>
        </w:r>
        <w:r>
          <w:rPr>
            <w:noProof/>
            <w:webHidden/>
          </w:rPr>
          <w:tab/>
        </w:r>
        <w:r>
          <w:rPr>
            <w:noProof/>
            <w:webHidden/>
          </w:rPr>
          <w:fldChar w:fldCharType="begin"/>
        </w:r>
        <w:r>
          <w:rPr>
            <w:noProof/>
            <w:webHidden/>
          </w:rPr>
          <w:instrText xml:space="preserve"> PAGEREF _Toc181683032 \h </w:instrText>
        </w:r>
        <w:r>
          <w:rPr>
            <w:noProof/>
            <w:webHidden/>
          </w:rPr>
        </w:r>
        <w:r>
          <w:rPr>
            <w:noProof/>
            <w:webHidden/>
          </w:rPr>
          <w:fldChar w:fldCharType="separate"/>
        </w:r>
        <w:r>
          <w:rPr>
            <w:noProof/>
            <w:webHidden/>
          </w:rPr>
          <w:t>47</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3033" w:history="1">
        <w:r w:rsidRPr="001B13A4">
          <w:rPr>
            <w:rStyle w:val="Hyperlink"/>
            <w:noProof/>
          </w:rPr>
          <w:t>1.3</w:t>
        </w:r>
        <w:r>
          <w:rPr>
            <w:rFonts w:asciiTheme="minorHAnsi" w:eastAsiaTheme="minorEastAsia" w:hAnsiTheme="minorHAnsi" w:cstheme="minorBidi"/>
            <w:noProof/>
            <w:sz w:val="22"/>
            <w:szCs w:val="22"/>
          </w:rPr>
          <w:tab/>
        </w:r>
        <w:r w:rsidRPr="001B13A4">
          <w:rPr>
            <w:rStyle w:val="Hyperlink"/>
            <w:noProof/>
          </w:rPr>
          <w:t>Microsoft Implementations</w:t>
        </w:r>
        <w:r>
          <w:rPr>
            <w:noProof/>
            <w:webHidden/>
          </w:rPr>
          <w:tab/>
        </w:r>
        <w:r>
          <w:rPr>
            <w:noProof/>
            <w:webHidden/>
          </w:rPr>
          <w:fldChar w:fldCharType="begin"/>
        </w:r>
        <w:r>
          <w:rPr>
            <w:noProof/>
            <w:webHidden/>
          </w:rPr>
          <w:instrText xml:space="preserve"> PAGEREF _Toc181683033 \h </w:instrText>
        </w:r>
        <w:r>
          <w:rPr>
            <w:noProof/>
            <w:webHidden/>
          </w:rPr>
        </w:r>
        <w:r>
          <w:rPr>
            <w:noProof/>
            <w:webHidden/>
          </w:rPr>
          <w:fldChar w:fldCharType="separate"/>
        </w:r>
        <w:r>
          <w:rPr>
            <w:noProof/>
            <w:webHidden/>
          </w:rPr>
          <w:t>47</w:t>
        </w:r>
        <w:r>
          <w:rPr>
            <w:noProof/>
            <w:webHidden/>
          </w:rPr>
          <w:fldChar w:fldCharType="end"/>
        </w:r>
      </w:hyperlink>
    </w:p>
    <w:p w:rsidR="00A9721F" w:rsidRDefault="00A9721F">
      <w:pPr>
        <w:pStyle w:val="TOC1"/>
        <w:rPr>
          <w:rFonts w:asciiTheme="minorHAnsi" w:eastAsiaTheme="minorEastAsia" w:hAnsiTheme="minorHAnsi" w:cstheme="minorBidi"/>
          <w:b w:val="0"/>
          <w:bCs w:val="0"/>
          <w:noProof/>
          <w:sz w:val="22"/>
          <w:szCs w:val="22"/>
        </w:rPr>
      </w:pPr>
      <w:hyperlink w:anchor="_Toc181683034" w:history="1">
        <w:r w:rsidRPr="001B13A4">
          <w:rPr>
            <w:rStyle w:val="Hyperlink"/>
            <w:noProof/>
          </w:rPr>
          <w:t>2</w:t>
        </w:r>
        <w:r>
          <w:rPr>
            <w:rFonts w:asciiTheme="minorHAnsi" w:eastAsiaTheme="minorEastAsia" w:hAnsiTheme="minorHAnsi" w:cstheme="minorBidi"/>
            <w:b w:val="0"/>
            <w:bCs w:val="0"/>
            <w:noProof/>
            <w:sz w:val="22"/>
            <w:szCs w:val="22"/>
          </w:rPr>
          <w:tab/>
        </w:r>
        <w:r w:rsidRPr="001B13A4">
          <w:rPr>
            <w:rStyle w:val="Hyperlink"/>
            <w:noProof/>
          </w:rPr>
          <w:t>Conformance Statements</w:t>
        </w:r>
        <w:r>
          <w:rPr>
            <w:noProof/>
            <w:webHidden/>
          </w:rPr>
          <w:tab/>
        </w:r>
        <w:r>
          <w:rPr>
            <w:noProof/>
            <w:webHidden/>
          </w:rPr>
          <w:fldChar w:fldCharType="begin"/>
        </w:r>
        <w:r>
          <w:rPr>
            <w:noProof/>
            <w:webHidden/>
          </w:rPr>
          <w:instrText xml:space="preserve"> PAGEREF _Toc181683034 \h </w:instrText>
        </w:r>
        <w:r>
          <w:rPr>
            <w:noProof/>
            <w:webHidden/>
          </w:rPr>
        </w:r>
        <w:r>
          <w:rPr>
            <w:noProof/>
            <w:webHidden/>
          </w:rPr>
          <w:fldChar w:fldCharType="separate"/>
        </w:r>
        <w:r>
          <w:rPr>
            <w:noProof/>
            <w:webHidden/>
          </w:rPr>
          <w:t>49</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3035" w:history="1">
        <w:r w:rsidRPr="001B13A4">
          <w:rPr>
            <w:rStyle w:val="Hyperlink"/>
            <w:noProof/>
          </w:rPr>
          <w:t>2.1</w:t>
        </w:r>
        <w:r>
          <w:rPr>
            <w:rFonts w:asciiTheme="minorHAnsi" w:eastAsiaTheme="minorEastAsia" w:hAnsiTheme="minorHAnsi" w:cstheme="minorBidi"/>
            <w:noProof/>
            <w:sz w:val="22"/>
            <w:szCs w:val="22"/>
          </w:rPr>
          <w:tab/>
        </w:r>
        <w:r w:rsidRPr="001B13A4">
          <w:rPr>
            <w:rStyle w:val="Hyperlink"/>
            <w:noProof/>
          </w:rPr>
          <w:t>Normative Variations</w:t>
        </w:r>
        <w:r>
          <w:rPr>
            <w:noProof/>
            <w:webHidden/>
          </w:rPr>
          <w:tab/>
        </w:r>
        <w:r>
          <w:rPr>
            <w:noProof/>
            <w:webHidden/>
          </w:rPr>
          <w:fldChar w:fldCharType="begin"/>
        </w:r>
        <w:r>
          <w:rPr>
            <w:noProof/>
            <w:webHidden/>
          </w:rPr>
          <w:instrText xml:space="preserve"> PAGEREF _Toc181683035 \h </w:instrText>
        </w:r>
        <w:r>
          <w:rPr>
            <w:noProof/>
            <w:webHidden/>
          </w:rPr>
        </w:r>
        <w:r>
          <w:rPr>
            <w:noProof/>
            <w:webHidden/>
          </w:rPr>
          <w:fldChar w:fldCharType="separate"/>
        </w:r>
        <w:r>
          <w:rPr>
            <w:noProof/>
            <w:webHidden/>
          </w:rPr>
          <w:t>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36" w:history="1">
        <w:r w:rsidRPr="001B13A4">
          <w:rPr>
            <w:rStyle w:val="Hyperlink"/>
            <w:noProof/>
          </w:rPr>
          <w:t>2.1.1</w:t>
        </w:r>
        <w:r>
          <w:rPr>
            <w:rFonts w:asciiTheme="minorHAnsi" w:eastAsiaTheme="minorEastAsia" w:hAnsiTheme="minorHAnsi" w:cstheme="minorBidi"/>
            <w:noProof/>
            <w:sz w:val="22"/>
            <w:szCs w:val="22"/>
          </w:rPr>
          <w:tab/>
        </w:r>
        <w:r w:rsidRPr="001B13A4">
          <w:rPr>
            <w:rStyle w:val="Hyperlink"/>
            <w:noProof/>
          </w:rPr>
          <w:t>Part 1 Section 2.2, Application Conformance</w:t>
        </w:r>
        <w:r>
          <w:rPr>
            <w:noProof/>
            <w:webHidden/>
          </w:rPr>
          <w:tab/>
        </w:r>
        <w:r>
          <w:rPr>
            <w:noProof/>
            <w:webHidden/>
          </w:rPr>
          <w:fldChar w:fldCharType="begin"/>
        </w:r>
        <w:r>
          <w:rPr>
            <w:noProof/>
            <w:webHidden/>
          </w:rPr>
          <w:instrText xml:space="preserve"> PAGEREF _Toc181683036 \h </w:instrText>
        </w:r>
        <w:r>
          <w:rPr>
            <w:noProof/>
            <w:webHidden/>
          </w:rPr>
        </w:r>
        <w:r>
          <w:rPr>
            <w:noProof/>
            <w:webHidden/>
          </w:rPr>
          <w:fldChar w:fldCharType="separate"/>
        </w:r>
        <w:r>
          <w:rPr>
            <w:noProof/>
            <w:webHidden/>
          </w:rPr>
          <w:t>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37" w:history="1">
        <w:r w:rsidRPr="001B13A4">
          <w:rPr>
            <w:rStyle w:val="Hyperlink"/>
            <w:noProof/>
          </w:rPr>
          <w:t>2.1.2</w:t>
        </w:r>
        <w:r>
          <w:rPr>
            <w:rFonts w:asciiTheme="minorHAnsi" w:eastAsiaTheme="minorEastAsia" w:hAnsiTheme="minorHAnsi" w:cstheme="minorBidi"/>
            <w:noProof/>
            <w:sz w:val="22"/>
            <w:szCs w:val="22"/>
          </w:rPr>
          <w:tab/>
        </w:r>
        <w:r w:rsidRPr="001B13A4">
          <w:rPr>
            <w:rStyle w:val="Hyperlink"/>
            <w:noProof/>
          </w:rPr>
          <w:t>Part 1 Section 8.6, PresentationML</w:t>
        </w:r>
        <w:r>
          <w:rPr>
            <w:noProof/>
            <w:webHidden/>
          </w:rPr>
          <w:tab/>
        </w:r>
        <w:r>
          <w:rPr>
            <w:noProof/>
            <w:webHidden/>
          </w:rPr>
          <w:fldChar w:fldCharType="begin"/>
        </w:r>
        <w:r>
          <w:rPr>
            <w:noProof/>
            <w:webHidden/>
          </w:rPr>
          <w:instrText xml:space="preserve"> PAGEREF _Toc181683037 \h </w:instrText>
        </w:r>
        <w:r>
          <w:rPr>
            <w:noProof/>
            <w:webHidden/>
          </w:rPr>
        </w:r>
        <w:r>
          <w:rPr>
            <w:noProof/>
            <w:webHidden/>
          </w:rPr>
          <w:fldChar w:fldCharType="separate"/>
        </w:r>
        <w:r>
          <w:rPr>
            <w:noProof/>
            <w:webHidden/>
          </w:rPr>
          <w:t>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38" w:history="1">
        <w:r w:rsidRPr="001B13A4">
          <w:rPr>
            <w:rStyle w:val="Hyperlink"/>
            <w:noProof/>
          </w:rPr>
          <w:t>2.1.3</w:t>
        </w:r>
        <w:r>
          <w:rPr>
            <w:rFonts w:asciiTheme="minorHAnsi" w:eastAsiaTheme="minorEastAsia" w:hAnsiTheme="minorHAnsi" w:cstheme="minorBidi"/>
            <w:noProof/>
            <w:sz w:val="22"/>
            <w:szCs w:val="22"/>
          </w:rPr>
          <w:tab/>
        </w:r>
        <w:r w:rsidRPr="001B13A4">
          <w:rPr>
            <w:rStyle w:val="Hyperlink"/>
            <w:noProof/>
          </w:rPr>
          <w:t>Part 1 Section 9, Packages</w:t>
        </w:r>
        <w:r>
          <w:rPr>
            <w:noProof/>
            <w:webHidden/>
          </w:rPr>
          <w:tab/>
        </w:r>
        <w:r>
          <w:rPr>
            <w:noProof/>
            <w:webHidden/>
          </w:rPr>
          <w:fldChar w:fldCharType="begin"/>
        </w:r>
        <w:r>
          <w:rPr>
            <w:noProof/>
            <w:webHidden/>
          </w:rPr>
          <w:instrText xml:space="preserve"> PAGEREF _Toc181683038 \h </w:instrText>
        </w:r>
        <w:r>
          <w:rPr>
            <w:noProof/>
            <w:webHidden/>
          </w:rPr>
        </w:r>
        <w:r>
          <w:rPr>
            <w:noProof/>
            <w:webHidden/>
          </w:rPr>
          <w:fldChar w:fldCharType="separate"/>
        </w:r>
        <w:r>
          <w:rPr>
            <w:noProof/>
            <w:webHidden/>
          </w:rPr>
          <w:t>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39" w:history="1">
        <w:r w:rsidRPr="001B13A4">
          <w:rPr>
            <w:rStyle w:val="Hyperlink"/>
            <w:noProof/>
          </w:rPr>
          <w:t>2.1.4</w:t>
        </w:r>
        <w:r>
          <w:rPr>
            <w:rFonts w:asciiTheme="minorHAnsi" w:eastAsiaTheme="minorEastAsia" w:hAnsiTheme="minorHAnsi" w:cstheme="minorBidi"/>
            <w:noProof/>
            <w:sz w:val="22"/>
            <w:szCs w:val="22"/>
          </w:rPr>
          <w:tab/>
        </w:r>
        <w:r w:rsidRPr="001B13A4">
          <w:rPr>
            <w:rStyle w:val="Hyperlink"/>
            <w:noProof/>
          </w:rPr>
          <w:t>Part 1 Section 11, WordprocessingML</w:t>
        </w:r>
        <w:r>
          <w:rPr>
            <w:noProof/>
            <w:webHidden/>
          </w:rPr>
          <w:tab/>
        </w:r>
        <w:r>
          <w:rPr>
            <w:noProof/>
            <w:webHidden/>
          </w:rPr>
          <w:fldChar w:fldCharType="begin"/>
        </w:r>
        <w:r>
          <w:rPr>
            <w:noProof/>
            <w:webHidden/>
          </w:rPr>
          <w:instrText xml:space="preserve"> PAGEREF _Toc181683039 \h </w:instrText>
        </w:r>
        <w:r>
          <w:rPr>
            <w:noProof/>
            <w:webHidden/>
          </w:rPr>
        </w:r>
        <w:r>
          <w:rPr>
            <w:noProof/>
            <w:webHidden/>
          </w:rPr>
          <w:fldChar w:fldCharType="separate"/>
        </w:r>
        <w:r>
          <w:rPr>
            <w:noProof/>
            <w:webHidden/>
          </w:rPr>
          <w:t>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40" w:history="1">
        <w:r w:rsidRPr="001B13A4">
          <w:rPr>
            <w:rStyle w:val="Hyperlink"/>
            <w:noProof/>
          </w:rPr>
          <w:t>2.1.5</w:t>
        </w:r>
        <w:r>
          <w:rPr>
            <w:rFonts w:asciiTheme="minorHAnsi" w:eastAsiaTheme="minorEastAsia" w:hAnsiTheme="minorHAnsi" w:cstheme="minorBidi"/>
            <w:noProof/>
            <w:sz w:val="22"/>
            <w:szCs w:val="22"/>
          </w:rPr>
          <w:tab/>
        </w:r>
        <w:r w:rsidRPr="001B13A4">
          <w:rPr>
            <w:rStyle w:val="Hyperlink"/>
            <w:noProof/>
          </w:rPr>
          <w:t>Part 1 Section 11.3, Part Summary</w:t>
        </w:r>
        <w:r>
          <w:rPr>
            <w:noProof/>
            <w:webHidden/>
          </w:rPr>
          <w:tab/>
        </w:r>
        <w:r>
          <w:rPr>
            <w:noProof/>
            <w:webHidden/>
          </w:rPr>
          <w:fldChar w:fldCharType="begin"/>
        </w:r>
        <w:r>
          <w:rPr>
            <w:noProof/>
            <w:webHidden/>
          </w:rPr>
          <w:instrText xml:space="preserve"> PAGEREF _Toc181683040 \h </w:instrText>
        </w:r>
        <w:r>
          <w:rPr>
            <w:noProof/>
            <w:webHidden/>
          </w:rPr>
        </w:r>
        <w:r>
          <w:rPr>
            <w:noProof/>
            <w:webHidden/>
          </w:rPr>
          <w:fldChar w:fldCharType="separate"/>
        </w:r>
        <w:r>
          <w:rPr>
            <w:noProof/>
            <w:webHidden/>
          </w:rPr>
          <w:t>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41" w:history="1">
        <w:r w:rsidRPr="001B13A4">
          <w:rPr>
            <w:rStyle w:val="Hyperlink"/>
            <w:noProof/>
          </w:rPr>
          <w:t>2.1.6</w:t>
        </w:r>
        <w:r>
          <w:rPr>
            <w:rFonts w:asciiTheme="minorHAnsi" w:eastAsiaTheme="minorEastAsia" w:hAnsiTheme="minorHAnsi" w:cstheme="minorBidi"/>
            <w:noProof/>
            <w:sz w:val="22"/>
            <w:szCs w:val="22"/>
          </w:rPr>
          <w:tab/>
        </w:r>
        <w:r w:rsidRPr="001B13A4">
          <w:rPr>
            <w:rStyle w:val="Hyperlink"/>
            <w:noProof/>
          </w:rPr>
          <w:t>Part 1 Section 12.3, Part Summary</w:t>
        </w:r>
        <w:r>
          <w:rPr>
            <w:noProof/>
            <w:webHidden/>
          </w:rPr>
          <w:tab/>
        </w:r>
        <w:r>
          <w:rPr>
            <w:noProof/>
            <w:webHidden/>
          </w:rPr>
          <w:fldChar w:fldCharType="begin"/>
        </w:r>
        <w:r>
          <w:rPr>
            <w:noProof/>
            <w:webHidden/>
          </w:rPr>
          <w:instrText xml:space="preserve"> PAGEREF _Toc181683041 \h </w:instrText>
        </w:r>
        <w:r>
          <w:rPr>
            <w:noProof/>
            <w:webHidden/>
          </w:rPr>
        </w:r>
        <w:r>
          <w:rPr>
            <w:noProof/>
            <w:webHidden/>
          </w:rPr>
          <w:fldChar w:fldCharType="separate"/>
        </w:r>
        <w:r>
          <w:rPr>
            <w:noProof/>
            <w:webHidden/>
          </w:rPr>
          <w:t>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42" w:history="1">
        <w:r w:rsidRPr="001B13A4">
          <w:rPr>
            <w:rStyle w:val="Hyperlink"/>
            <w:noProof/>
          </w:rPr>
          <w:t>2.1.7</w:t>
        </w:r>
        <w:r>
          <w:rPr>
            <w:rFonts w:asciiTheme="minorHAnsi" w:eastAsiaTheme="minorEastAsia" w:hAnsiTheme="minorHAnsi" w:cstheme="minorBidi"/>
            <w:noProof/>
            <w:sz w:val="22"/>
            <w:szCs w:val="22"/>
          </w:rPr>
          <w:tab/>
        </w:r>
        <w:r w:rsidRPr="001B13A4">
          <w:rPr>
            <w:rStyle w:val="Hyperlink"/>
            <w:noProof/>
          </w:rPr>
          <w:t>Part 1 Section 12.3.2, Chartsheet Part</w:t>
        </w:r>
        <w:r>
          <w:rPr>
            <w:noProof/>
            <w:webHidden/>
          </w:rPr>
          <w:tab/>
        </w:r>
        <w:r>
          <w:rPr>
            <w:noProof/>
            <w:webHidden/>
          </w:rPr>
          <w:fldChar w:fldCharType="begin"/>
        </w:r>
        <w:r>
          <w:rPr>
            <w:noProof/>
            <w:webHidden/>
          </w:rPr>
          <w:instrText xml:space="preserve"> PAGEREF _Toc181683042 \h </w:instrText>
        </w:r>
        <w:r>
          <w:rPr>
            <w:noProof/>
            <w:webHidden/>
          </w:rPr>
        </w:r>
        <w:r>
          <w:rPr>
            <w:noProof/>
            <w:webHidden/>
          </w:rPr>
          <w:fldChar w:fldCharType="separate"/>
        </w:r>
        <w:r>
          <w:rPr>
            <w:noProof/>
            <w:webHidden/>
          </w:rPr>
          <w:t>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43" w:history="1">
        <w:r w:rsidRPr="001B13A4">
          <w:rPr>
            <w:rStyle w:val="Hyperlink"/>
            <w:noProof/>
          </w:rPr>
          <w:t>2.1.8</w:t>
        </w:r>
        <w:r>
          <w:rPr>
            <w:rFonts w:asciiTheme="minorHAnsi" w:eastAsiaTheme="minorEastAsia" w:hAnsiTheme="minorHAnsi" w:cstheme="minorBidi"/>
            <w:noProof/>
            <w:sz w:val="22"/>
            <w:szCs w:val="22"/>
          </w:rPr>
          <w:tab/>
        </w:r>
        <w:r w:rsidRPr="001B13A4">
          <w:rPr>
            <w:rStyle w:val="Hyperlink"/>
            <w:noProof/>
          </w:rPr>
          <w:t>Part 1 Section 12.3.6, Custom XML Mappings Part</w:t>
        </w:r>
        <w:r>
          <w:rPr>
            <w:noProof/>
            <w:webHidden/>
          </w:rPr>
          <w:tab/>
        </w:r>
        <w:r>
          <w:rPr>
            <w:noProof/>
            <w:webHidden/>
          </w:rPr>
          <w:fldChar w:fldCharType="begin"/>
        </w:r>
        <w:r>
          <w:rPr>
            <w:noProof/>
            <w:webHidden/>
          </w:rPr>
          <w:instrText xml:space="preserve"> PAGEREF _Toc181683043 \h </w:instrText>
        </w:r>
        <w:r>
          <w:rPr>
            <w:noProof/>
            <w:webHidden/>
          </w:rPr>
        </w:r>
        <w:r>
          <w:rPr>
            <w:noProof/>
            <w:webHidden/>
          </w:rPr>
          <w:fldChar w:fldCharType="separate"/>
        </w:r>
        <w:r>
          <w:rPr>
            <w:noProof/>
            <w:webHidden/>
          </w:rPr>
          <w:t>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44" w:history="1">
        <w:r w:rsidRPr="001B13A4">
          <w:rPr>
            <w:rStyle w:val="Hyperlink"/>
            <w:noProof/>
          </w:rPr>
          <w:t>2.1.9</w:t>
        </w:r>
        <w:r>
          <w:rPr>
            <w:rFonts w:asciiTheme="minorHAnsi" w:eastAsiaTheme="minorEastAsia" w:hAnsiTheme="minorHAnsi" w:cstheme="minorBidi"/>
            <w:noProof/>
            <w:sz w:val="22"/>
            <w:szCs w:val="22"/>
          </w:rPr>
          <w:tab/>
        </w:r>
        <w:r w:rsidRPr="001B13A4">
          <w:rPr>
            <w:rStyle w:val="Hyperlink"/>
            <w:noProof/>
          </w:rPr>
          <w:t>Part 1 Section 12.3.7, Dialogsheet Part</w:t>
        </w:r>
        <w:r>
          <w:rPr>
            <w:noProof/>
            <w:webHidden/>
          </w:rPr>
          <w:tab/>
        </w:r>
        <w:r>
          <w:rPr>
            <w:noProof/>
            <w:webHidden/>
          </w:rPr>
          <w:fldChar w:fldCharType="begin"/>
        </w:r>
        <w:r>
          <w:rPr>
            <w:noProof/>
            <w:webHidden/>
          </w:rPr>
          <w:instrText xml:space="preserve"> PAGEREF _Toc181683044 \h </w:instrText>
        </w:r>
        <w:r>
          <w:rPr>
            <w:noProof/>
            <w:webHidden/>
          </w:rPr>
        </w:r>
        <w:r>
          <w:rPr>
            <w:noProof/>
            <w:webHidden/>
          </w:rPr>
          <w:fldChar w:fldCharType="separate"/>
        </w:r>
        <w:r>
          <w:rPr>
            <w:noProof/>
            <w:webHidden/>
          </w:rPr>
          <w:t>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45" w:history="1">
        <w:r w:rsidRPr="001B13A4">
          <w:rPr>
            <w:rStyle w:val="Hyperlink"/>
            <w:noProof/>
          </w:rPr>
          <w:t>2.1.10</w:t>
        </w:r>
        <w:r>
          <w:rPr>
            <w:rFonts w:asciiTheme="minorHAnsi" w:eastAsiaTheme="minorEastAsia" w:hAnsiTheme="minorHAnsi" w:cstheme="minorBidi"/>
            <w:noProof/>
            <w:sz w:val="22"/>
            <w:szCs w:val="22"/>
          </w:rPr>
          <w:tab/>
        </w:r>
        <w:r w:rsidRPr="001B13A4">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_Toc181683045 \h </w:instrText>
        </w:r>
        <w:r>
          <w:rPr>
            <w:noProof/>
            <w:webHidden/>
          </w:rPr>
        </w:r>
        <w:r>
          <w:rPr>
            <w:noProof/>
            <w:webHidden/>
          </w:rPr>
          <w:fldChar w:fldCharType="separate"/>
        </w:r>
        <w:r>
          <w:rPr>
            <w:noProof/>
            <w:webHidden/>
          </w:rPr>
          <w:t>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46" w:history="1">
        <w:r w:rsidRPr="001B13A4">
          <w:rPr>
            <w:rStyle w:val="Hyperlink"/>
            <w:noProof/>
          </w:rPr>
          <w:t>2.1.11</w:t>
        </w:r>
        <w:r>
          <w:rPr>
            <w:rFonts w:asciiTheme="minorHAnsi" w:eastAsiaTheme="minorEastAsia" w:hAnsiTheme="minorHAnsi" w:cstheme="minorBidi"/>
            <w:noProof/>
            <w:sz w:val="22"/>
            <w:szCs w:val="22"/>
          </w:rPr>
          <w:tab/>
        </w:r>
        <w:r w:rsidRPr="001B13A4">
          <w:rPr>
            <w:rStyle w:val="Hyperlink"/>
            <w:noProof/>
          </w:rPr>
          <w:t>Part 1 Section 12.3.20, Styles Part</w:t>
        </w:r>
        <w:r>
          <w:rPr>
            <w:noProof/>
            <w:webHidden/>
          </w:rPr>
          <w:tab/>
        </w:r>
        <w:r>
          <w:rPr>
            <w:noProof/>
            <w:webHidden/>
          </w:rPr>
          <w:fldChar w:fldCharType="begin"/>
        </w:r>
        <w:r>
          <w:rPr>
            <w:noProof/>
            <w:webHidden/>
          </w:rPr>
          <w:instrText xml:space="preserve"> PAGEREF _Toc181683046 \h </w:instrText>
        </w:r>
        <w:r>
          <w:rPr>
            <w:noProof/>
            <w:webHidden/>
          </w:rPr>
        </w:r>
        <w:r>
          <w:rPr>
            <w:noProof/>
            <w:webHidden/>
          </w:rPr>
          <w:fldChar w:fldCharType="separate"/>
        </w:r>
        <w:r>
          <w:rPr>
            <w:noProof/>
            <w:webHidden/>
          </w:rPr>
          <w:t>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47" w:history="1">
        <w:r w:rsidRPr="001B13A4">
          <w:rPr>
            <w:rStyle w:val="Hyperlink"/>
            <w:noProof/>
          </w:rPr>
          <w:t>2.1.12</w:t>
        </w:r>
        <w:r>
          <w:rPr>
            <w:rFonts w:asciiTheme="minorHAnsi" w:eastAsiaTheme="minorEastAsia" w:hAnsiTheme="minorHAnsi" w:cstheme="minorBidi"/>
            <w:noProof/>
            <w:sz w:val="22"/>
            <w:szCs w:val="22"/>
          </w:rPr>
          <w:tab/>
        </w:r>
        <w:r w:rsidRPr="001B13A4">
          <w:rPr>
            <w:rStyle w:val="Hyperlink"/>
            <w:noProof/>
          </w:rPr>
          <w:t>Part 1 Section 12.3.24, Worksheet Part</w:t>
        </w:r>
        <w:r>
          <w:rPr>
            <w:noProof/>
            <w:webHidden/>
          </w:rPr>
          <w:tab/>
        </w:r>
        <w:r>
          <w:rPr>
            <w:noProof/>
            <w:webHidden/>
          </w:rPr>
          <w:fldChar w:fldCharType="begin"/>
        </w:r>
        <w:r>
          <w:rPr>
            <w:noProof/>
            <w:webHidden/>
          </w:rPr>
          <w:instrText xml:space="preserve"> PAGEREF _Toc181683047 \h </w:instrText>
        </w:r>
        <w:r>
          <w:rPr>
            <w:noProof/>
            <w:webHidden/>
          </w:rPr>
        </w:r>
        <w:r>
          <w:rPr>
            <w:noProof/>
            <w:webHidden/>
          </w:rPr>
          <w:fldChar w:fldCharType="separate"/>
        </w:r>
        <w:r>
          <w:rPr>
            <w:noProof/>
            <w:webHidden/>
          </w:rPr>
          <w:t>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48" w:history="1">
        <w:r w:rsidRPr="001B13A4">
          <w:rPr>
            <w:rStyle w:val="Hyperlink"/>
            <w:noProof/>
          </w:rPr>
          <w:t>2.1.13</w:t>
        </w:r>
        <w:r>
          <w:rPr>
            <w:rFonts w:asciiTheme="minorHAnsi" w:eastAsiaTheme="minorEastAsia" w:hAnsiTheme="minorHAnsi" w:cstheme="minorBidi"/>
            <w:noProof/>
            <w:sz w:val="22"/>
            <w:szCs w:val="22"/>
          </w:rPr>
          <w:tab/>
        </w:r>
        <w:r w:rsidRPr="001B13A4">
          <w:rPr>
            <w:rStyle w:val="Hyperlink"/>
            <w:noProof/>
          </w:rPr>
          <w:t>Part 1 Section 12.4, External Workbooks</w:t>
        </w:r>
        <w:r>
          <w:rPr>
            <w:noProof/>
            <w:webHidden/>
          </w:rPr>
          <w:tab/>
        </w:r>
        <w:r>
          <w:rPr>
            <w:noProof/>
            <w:webHidden/>
          </w:rPr>
          <w:fldChar w:fldCharType="begin"/>
        </w:r>
        <w:r>
          <w:rPr>
            <w:noProof/>
            <w:webHidden/>
          </w:rPr>
          <w:instrText xml:space="preserve"> PAGEREF _Toc181683048 \h </w:instrText>
        </w:r>
        <w:r>
          <w:rPr>
            <w:noProof/>
            <w:webHidden/>
          </w:rPr>
        </w:r>
        <w:r>
          <w:rPr>
            <w:noProof/>
            <w:webHidden/>
          </w:rPr>
          <w:fldChar w:fldCharType="separate"/>
        </w:r>
        <w:r>
          <w:rPr>
            <w:noProof/>
            <w:webHidden/>
          </w:rPr>
          <w:t>52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3049" w:history="1">
        <w:r w:rsidRPr="001B13A4">
          <w:rPr>
            <w:rStyle w:val="Hyperlink"/>
            <w:noProof/>
          </w:rPr>
          <w:t>2.1.13.1</w:t>
        </w:r>
        <w:r>
          <w:rPr>
            <w:rFonts w:asciiTheme="minorHAnsi" w:eastAsiaTheme="minorEastAsia" w:hAnsiTheme="minorHAnsi" w:cstheme="minorBidi"/>
            <w:noProof/>
            <w:sz w:val="22"/>
            <w:szCs w:val="22"/>
          </w:rPr>
          <w:tab/>
        </w:r>
        <w:r w:rsidRPr="001B13A4">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_Toc181683049 \h </w:instrText>
        </w:r>
        <w:r>
          <w:rPr>
            <w:noProof/>
            <w:webHidden/>
          </w:rPr>
        </w:r>
        <w:r>
          <w:rPr>
            <w:noProof/>
            <w:webHidden/>
          </w:rPr>
          <w:fldChar w:fldCharType="separate"/>
        </w:r>
        <w:r>
          <w:rPr>
            <w:noProof/>
            <w:webHidden/>
          </w:rPr>
          <w:t>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0" w:history="1">
        <w:r w:rsidRPr="001B13A4">
          <w:rPr>
            <w:rStyle w:val="Hyperlink"/>
            <w:noProof/>
          </w:rPr>
          <w:t>2.1.14</w:t>
        </w:r>
        <w:r>
          <w:rPr>
            <w:rFonts w:asciiTheme="minorHAnsi" w:eastAsiaTheme="minorEastAsia" w:hAnsiTheme="minorHAnsi" w:cstheme="minorBidi"/>
            <w:noProof/>
            <w:sz w:val="22"/>
            <w:szCs w:val="22"/>
          </w:rPr>
          <w:tab/>
        </w:r>
        <w:r w:rsidRPr="001B13A4">
          <w:rPr>
            <w:rStyle w:val="Hyperlink"/>
            <w:noProof/>
          </w:rPr>
          <w:t>Part 1 Section 13.3, Part Summary</w:t>
        </w:r>
        <w:r>
          <w:rPr>
            <w:noProof/>
            <w:webHidden/>
          </w:rPr>
          <w:tab/>
        </w:r>
        <w:r>
          <w:rPr>
            <w:noProof/>
            <w:webHidden/>
          </w:rPr>
          <w:fldChar w:fldCharType="begin"/>
        </w:r>
        <w:r>
          <w:rPr>
            <w:noProof/>
            <w:webHidden/>
          </w:rPr>
          <w:instrText xml:space="preserve"> PAGEREF _Toc181683050 \h </w:instrText>
        </w:r>
        <w:r>
          <w:rPr>
            <w:noProof/>
            <w:webHidden/>
          </w:rPr>
        </w:r>
        <w:r>
          <w:rPr>
            <w:noProof/>
            <w:webHidden/>
          </w:rPr>
          <w:fldChar w:fldCharType="separate"/>
        </w:r>
        <w:r>
          <w:rPr>
            <w:noProof/>
            <w:webHidden/>
          </w:rPr>
          <w:t>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1" w:history="1">
        <w:r w:rsidRPr="001B13A4">
          <w:rPr>
            <w:rStyle w:val="Hyperlink"/>
            <w:noProof/>
          </w:rPr>
          <w:t>2.1.15</w:t>
        </w:r>
        <w:r>
          <w:rPr>
            <w:rFonts w:asciiTheme="minorHAnsi" w:eastAsiaTheme="minorEastAsia" w:hAnsiTheme="minorHAnsi" w:cstheme="minorBidi"/>
            <w:noProof/>
            <w:sz w:val="22"/>
            <w:szCs w:val="22"/>
          </w:rPr>
          <w:tab/>
        </w:r>
        <w:r w:rsidRPr="001B13A4">
          <w:rPr>
            <w:rStyle w:val="Hyperlink"/>
            <w:noProof/>
          </w:rPr>
          <w:t>Part 1 Section 13.3.3, Handout Master Part</w:t>
        </w:r>
        <w:r>
          <w:rPr>
            <w:noProof/>
            <w:webHidden/>
          </w:rPr>
          <w:tab/>
        </w:r>
        <w:r>
          <w:rPr>
            <w:noProof/>
            <w:webHidden/>
          </w:rPr>
          <w:fldChar w:fldCharType="begin"/>
        </w:r>
        <w:r>
          <w:rPr>
            <w:noProof/>
            <w:webHidden/>
          </w:rPr>
          <w:instrText xml:space="preserve"> PAGEREF _Toc181683051 \h </w:instrText>
        </w:r>
        <w:r>
          <w:rPr>
            <w:noProof/>
            <w:webHidden/>
          </w:rPr>
        </w:r>
        <w:r>
          <w:rPr>
            <w:noProof/>
            <w:webHidden/>
          </w:rPr>
          <w:fldChar w:fldCharType="separate"/>
        </w:r>
        <w:r>
          <w:rPr>
            <w:noProof/>
            <w:webHidden/>
          </w:rPr>
          <w:t>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2" w:history="1">
        <w:r w:rsidRPr="001B13A4">
          <w:rPr>
            <w:rStyle w:val="Hyperlink"/>
            <w:noProof/>
          </w:rPr>
          <w:t>2.1.16</w:t>
        </w:r>
        <w:r>
          <w:rPr>
            <w:rFonts w:asciiTheme="minorHAnsi" w:eastAsiaTheme="minorEastAsia" w:hAnsiTheme="minorHAnsi" w:cstheme="minorBidi"/>
            <w:noProof/>
            <w:sz w:val="22"/>
            <w:szCs w:val="22"/>
          </w:rPr>
          <w:tab/>
        </w:r>
        <w:r w:rsidRPr="001B13A4">
          <w:rPr>
            <w:rStyle w:val="Hyperlink"/>
            <w:noProof/>
          </w:rPr>
          <w:t>Part 1 Section 13.3.4, Notes Master Part</w:t>
        </w:r>
        <w:r>
          <w:rPr>
            <w:noProof/>
            <w:webHidden/>
          </w:rPr>
          <w:tab/>
        </w:r>
        <w:r>
          <w:rPr>
            <w:noProof/>
            <w:webHidden/>
          </w:rPr>
          <w:fldChar w:fldCharType="begin"/>
        </w:r>
        <w:r>
          <w:rPr>
            <w:noProof/>
            <w:webHidden/>
          </w:rPr>
          <w:instrText xml:space="preserve"> PAGEREF _Toc181683052 \h </w:instrText>
        </w:r>
        <w:r>
          <w:rPr>
            <w:noProof/>
            <w:webHidden/>
          </w:rPr>
        </w:r>
        <w:r>
          <w:rPr>
            <w:noProof/>
            <w:webHidden/>
          </w:rPr>
          <w:fldChar w:fldCharType="separate"/>
        </w:r>
        <w:r>
          <w:rPr>
            <w:noProof/>
            <w:webHidden/>
          </w:rPr>
          <w:t>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3" w:history="1">
        <w:r w:rsidRPr="001B13A4">
          <w:rPr>
            <w:rStyle w:val="Hyperlink"/>
            <w:noProof/>
          </w:rPr>
          <w:t>2.1.17</w:t>
        </w:r>
        <w:r>
          <w:rPr>
            <w:rFonts w:asciiTheme="minorHAnsi" w:eastAsiaTheme="minorEastAsia" w:hAnsiTheme="minorHAnsi" w:cstheme="minorBidi"/>
            <w:noProof/>
            <w:sz w:val="22"/>
            <w:szCs w:val="22"/>
          </w:rPr>
          <w:tab/>
        </w:r>
        <w:r w:rsidRPr="001B13A4">
          <w:rPr>
            <w:rStyle w:val="Hyperlink"/>
            <w:noProof/>
          </w:rPr>
          <w:t>Part 1 Section 13.3.5, Notes Slide Part</w:t>
        </w:r>
        <w:r>
          <w:rPr>
            <w:noProof/>
            <w:webHidden/>
          </w:rPr>
          <w:tab/>
        </w:r>
        <w:r>
          <w:rPr>
            <w:noProof/>
            <w:webHidden/>
          </w:rPr>
          <w:fldChar w:fldCharType="begin"/>
        </w:r>
        <w:r>
          <w:rPr>
            <w:noProof/>
            <w:webHidden/>
          </w:rPr>
          <w:instrText xml:space="preserve"> PAGEREF _Toc181683053 \h </w:instrText>
        </w:r>
        <w:r>
          <w:rPr>
            <w:noProof/>
            <w:webHidden/>
          </w:rPr>
        </w:r>
        <w:r>
          <w:rPr>
            <w:noProof/>
            <w:webHidden/>
          </w:rPr>
          <w:fldChar w:fldCharType="separate"/>
        </w:r>
        <w:r>
          <w:rPr>
            <w:noProof/>
            <w:webHidden/>
          </w:rPr>
          <w:t>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4" w:history="1">
        <w:r w:rsidRPr="001B13A4">
          <w:rPr>
            <w:rStyle w:val="Hyperlink"/>
            <w:noProof/>
          </w:rPr>
          <w:t>2.1.18</w:t>
        </w:r>
        <w:r>
          <w:rPr>
            <w:rFonts w:asciiTheme="minorHAnsi" w:eastAsiaTheme="minorEastAsia" w:hAnsiTheme="minorHAnsi" w:cstheme="minorBidi"/>
            <w:noProof/>
            <w:sz w:val="22"/>
            <w:szCs w:val="22"/>
          </w:rPr>
          <w:tab/>
        </w:r>
        <w:r w:rsidRPr="001B13A4">
          <w:rPr>
            <w:rStyle w:val="Hyperlink"/>
            <w:noProof/>
          </w:rPr>
          <w:t>Part 1 Section 13.3.6, Presentation Part</w:t>
        </w:r>
        <w:r>
          <w:rPr>
            <w:noProof/>
            <w:webHidden/>
          </w:rPr>
          <w:tab/>
        </w:r>
        <w:r>
          <w:rPr>
            <w:noProof/>
            <w:webHidden/>
          </w:rPr>
          <w:fldChar w:fldCharType="begin"/>
        </w:r>
        <w:r>
          <w:rPr>
            <w:noProof/>
            <w:webHidden/>
          </w:rPr>
          <w:instrText xml:space="preserve"> PAGEREF _Toc181683054 \h </w:instrText>
        </w:r>
        <w:r>
          <w:rPr>
            <w:noProof/>
            <w:webHidden/>
          </w:rPr>
        </w:r>
        <w:r>
          <w:rPr>
            <w:noProof/>
            <w:webHidden/>
          </w:rPr>
          <w:fldChar w:fldCharType="separate"/>
        </w:r>
        <w:r>
          <w:rPr>
            <w:noProof/>
            <w:webHidden/>
          </w:rPr>
          <w:t>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5" w:history="1">
        <w:r w:rsidRPr="001B13A4">
          <w:rPr>
            <w:rStyle w:val="Hyperlink"/>
            <w:noProof/>
          </w:rPr>
          <w:t>2.1.19</w:t>
        </w:r>
        <w:r>
          <w:rPr>
            <w:rFonts w:asciiTheme="minorHAnsi" w:eastAsiaTheme="minorEastAsia" w:hAnsiTheme="minorHAnsi" w:cstheme="minorBidi"/>
            <w:noProof/>
            <w:sz w:val="22"/>
            <w:szCs w:val="22"/>
          </w:rPr>
          <w:tab/>
        </w:r>
        <w:r w:rsidRPr="001B13A4">
          <w:rPr>
            <w:rStyle w:val="Hyperlink"/>
            <w:noProof/>
          </w:rPr>
          <w:t>Part 1 Section 13.3.7, Presentation Properties Part</w:t>
        </w:r>
        <w:r>
          <w:rPr>
            <w:noProof/>
            <w:webHidden/>
          </w:rPr>
          <w:tab/>
        </w:r>
        <w:r>
          <w:rPr>
            <w:noProof/>
            <w:webHidden/>
          </w:rPr>
          <w:fldChar w:fldCharType="begin"/>
        </w:r>
        <w:r>
          <w:rPr>
            <w:noProof/>
            <w:webHidden/>
          </w:rPr>
          <w:instrText xml:space="preserve"> PAGEREF _Toc181683055 \h </w:instrText>
        </w:r>
        <w:r>
          <w:rPr>
            <w:noProof/>
            <w:webHidden/>
          </w:rPr>
        </w:r>
        <w:r>
          <w:rPr>
            <w:noProof/>
            <w:webHidden/>
          </w:rPr>
          <w:fldChar w:fldCharType="separate"/>
        </w:r>
        <w:r>
          <w:rPr>
            <w:noProof/>
            <w:webHidden/>
          </w:rPr>
          <w:t>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6" w:history="1">
        <w:r w:rsidRPr="001B13A4">
          <w:rPr>
            <w:rStyle w:val="Hyperlink"/>
            <w:noProof/>
          </w:rPr>
          <w:t>2.1.20</w:t>
        </w:r>
        <w:r>
          <w:rPr>
            <w:rFonts w:asciiTheme="minorHAnsi" w:eastAsiaTheme="minorEastAsia" w:hAnsiTheme="minorHAnsi" w:cstheme="minorBidi"/>
            <w:noProof/>
            <w:sz w:val="22"/>
            <w:szCs w:val="22"/>
          </w:rPr>
          <w:tab/>
        </w:r>
        <w:r w:rsidRPr="001B13A4">
          <w:rPr>
            <w:rStyle w:val="Hyperlink"/>
            <w:noProof/>
          </w:rPr>
          <w:t>Part 1 Section 13.3.8, Slide Part</w:t>
        </w:r>
        <w:r>
          <w:rPr>
            <w:noProof/>
            <w:webHidden/>
          </w:rPr>
          <w:tab/>
        </w:r>
        <w:r>
          <w:rPr>
            <w:noProof/>
            <w:webHidden/>
          </w:rPr>
          <w:fldChar w:fldCharType="begin"/>
        </w:r>
        <w:r>
          <w:rPr>
            <w:noProof/>
            <w:webHidden/>
          </w:rPr>
          <w:instrText xml:space="preserve"> PAGEREF _Toc181683056 \h </w:instrText>
        </w:r>
        <w:r>
          <w:rPr>
            <w:noProof/>
            <w:webHidden/>
          </w:rPr>
        </w:r>
        <w:r>
          <w:rPr>
            <w:noProof/>
            <w:webHidden/>
          </w:rPr>
          <w:fldChar w:fldCharType="separate"/>
        </w:r>
        <w:r>
          <w:rPr>
            <w:noProof/>
            <w:webHidden/>
          </w:rPr>
          <w:t>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7" w:history="1">
        <w:r w:rsidRPr="001B13A4">
          <w:rPr>
            <w:rStyle w:val="Hyperlink"/>
            <w:noProof/>
          </w:rPr>
          <w:t>2.1.21</w:t>
        </w:r>
        <w:r>
          <w:rPr>
            <w:rFonts w:asciiTheme="minorHAnsi" w:eastAsiaTheme="minorEastAsia" w:hAnsiTheme="minorHAnsi" w:cstheme="minorBidi"/>
            <w:noProof/>
            <w:sz w:val="22"/>
            <w:szCs w:val="22"/>
          </w:rPr>
          <w:tab/>
        </w:r>
        <w:r w:rsidRPr="001B13A4">
          <w:rPr>
            <w:rStyle w:val="Hyperlink"/>
            <w:noProof/>
          </w:rPr>
          <w:t>Part 1 Section 13.3.9, Slide Layout Part</w:t>
        </w:r>
        <w:r>
          <w:rPr>
            <w:noProof/>
            <w:webHidden/>
          </w:rPr>
          <w:tab/>
        </w:r>
        <w:r>
          <w:rPr>
            <w:noProof/>
            <w:webHidden/>
          </w:rPr>
          <w:fldChar w:fldCharType="begin"/>
        </w:r>
        <w:r>
          <w:rPr>
            <w:noProof/>
            <w:webHidden/>
          </w:rPr>
          <w:instrText xml:space="preserve"> PAGEREF _Toc181683057 \h </w:instrText>
        </w:r>
        <w:r>
          <w:rPr>
            <w:noProof/>
            <w:webHidden/>
          </w:rPr>
        </w:r>
        <w:r>
          <w:rPr>
            <w:noProof/>
            <w:webHidden/>
          </w:rPr>
          <w:fldChar w:fldCharType="separate"/>
        </w:r>
        <w:r>
          <w:rPr>
            <w:noProof/>
            <w:webHidden/>
          </w:rPr>
          <w:t>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8" w:history="1">
        <w:r w:rsidRPr="001B13A4">
          <w:rPr>
            <w:rStyle w:val="Hyperlink"/>
            <w:noProof/>
          </w:rPr>
          <w:t>2.1.22</w:t>
        </w:r>
        <w:r>
          <w:rPr>
            <w:rFonts w:asciiTheme="minorHAnsi" w:eastAsiaTheme="minorEastAsia" w:hAnsiTheme="minorHAnsi" w:cstheme="minorBidi"/>
            <w:noProof/>
            <w:sz w:val="22"/>
            <w:szCs w:val="22"/>
          </w:rPr>
          <w:tab/>
        </w:r>
        <w:r w:rsidRPr="001B13A4">
          <w:rPr>
            <w:rStyle w:val="Hyperlink"/>
            <w:noProof/>
          </w:rPr>
          <w:t>Part 1 Section 13.3.10, Slide Master Part</w:t>
        </w:r>
        <w:r>
          <w:rPr>
            <w:noProof/>
            <w:webHidden/>
          </w:rPr>
          <w:tab/>
        </w:r>
        <w:r>
          <w:rPr>
            <w:noProof/>
            <w:webHidden/>
          </w:rPr>
          <w:fldChar w:fldCharType="begin"/>
        </w:r>
        <w:r>
          <w:rPr>
            <w:noProof/>
            <w:webHidden/>
          </w:rPr>
          <w:instrText xml:space="preserve"> PAGEREF _Toc181683058 \h </w:instrText>
        </w:r>
        <w:r>
          <w:rPr>
            <w:noProof/>
            <w:webHidden/>
          </w:rPr>
        </w:r>
        <w:r>
          <w:rPr>
            <w:noProof/>
            <w:webHidden/>
          </w:rPr>
          <w:fldChar w:fldCharType="separate"/>
        </w:r>
        <w:r>
          <w:rPr>
            <w:noProof/>
            <w:webHidden/>
          </w:rPr>
          <w:t>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59" w:history="1">
        <w:r w:rsidRPr="001B13A4">
          <w:rPr>
            <w:rStyle w:val="Hyperlink"/>
            <w:noProof/>
          </w:rPr>
          <w:t>2.1.23</w:t>
        </w:r>
        <w:r>
          <w:rPr>
            <w:rFonts w:asciiTheme="minorHAnsi" w:eastAsiaTheme="minorEastAsia" w:hAnsiTheme="minorHAnsi" w:cstheme="minorBidi"/>
            <w:noProof/>
            <w:sz w:val="22"/>
            <w:szCs w:val="22"/>
          </w:rPr>
          <w:tab/>
        </w:r>
        <w:r w:rsidRPr="001B13A4">
          <w:rPr>
            <w:rStyle w:val="Hyperlink"/>
            <w:noProof/>
          </w:rPr>
          <w:t>Part 1 Section 14.2.1, Chart Part</w:t>
        </w:r>
        <w:r>
          <w:rPr>
            <w:noProof/>
            <w:webHidden/>
          </w:rPr>
          <w:tab/>
        </w:r>
        <w:r>
          <w:rPr>
            <w:noProof/>
            <w:webHidden/>
          </w:rPr>
          <w:fldChar w:fldCharType="begin"/>
        </w:r>
        <w:r>
          <w:rPr>
            <w:noProof/>
            <w:webHidden/>
          </w:rPr>
          <w:instrText xml:space="preserve"> PAGEREF _Toc181683059 \h </w:instrText>
        </w:r>
        <w:r>
          <w:rPr>
            <w:noProof/>
            <w:webHidden/>
          </w:rPr>
        </w:r>
        <w:r>
          <w:rPr>
            <w:noProof/>
            <w:webHidden/>
          </w:rPr>
          <w:fldChar w:fldCharType="separate"/>
        </w:r>
        <w:r>
          <w:rPr>
            <w:noProof/>
            <w:webHidden/>
          </w:rPr>
          <w:t>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0" w:history="1">
        <w:r w:rsidRPr="001B13A4">
          <w:rPr>
            <w:rStyle w:val="Hyperlink"/>
            <w:noProof/>
          </w:rPr>
          <w:t>2.1.24</w:t>
        </w:r>
        <w:r>
          <w:rPr>
            <w:rFonts w:asciiTheme="minorHAnsi" w:eastAsiaTheme="minorEastAsia" w:hAnsiTheme="minorHAnsi" w:cstheme="minorBidi"/>
            <w:noProof/>
            <w:sz w:val="22"/>
            <w:szCs w:val="22"/>
          </w:rPr>
          <w:tab/>
        </w:r>
        <w:r w:rsidRPr="001B13A4">
          <w:rPr>
            <w:rStyle w:val="Hyperlink"/>
            <w:noProof/>
          </w:rPr>
          <w:t>Part 1 Section 14.2.2, Chart Drawing Part</w:t>
        </w:r>
        <w:r>
          <w:rPr>
            <w:noProof/>
            <w:webHidden/>
          </w:rPr>
          <w:tab/>
        </w:r>
        <w:r>
          <w:rPr>
            <w:noProof/>
            <w:webHidden/>
          </w:rPr>
          <w:fldChar w:fldCharType="begin"/>
        </w:r>
        <w:r>
          <w:rPr>
            <w:noProof/>
            <w:webHidden/>
          </w:rPr>
          <w:instrText xml:space="preserve"> PAGEREF _Toc181683060 \h </w:instrText>
        </w:r>
        <w:r>
          <w:rPr>
            <w:noProof/>
            <w:webHidden/>
          </w:rPr>
        </w:r>
        <w:r>
          <w:rPr>
            <w:noProof/>
            <w:webHidden/>
          </w:rPr>
          <w:fldChar w:fldCharType="separate"/>
        </w:r>
        <w:r>
          <w:rPr>
            <w:noProof/>
            <w:webHidden/>
          </w:rPr>
          <w:t>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1" w:history="1">
        <w:r w:rsidRPr="001B13A4">
          <w:rPr>
            <w:rStyle w:val="Hyperlink"/>
            <w:noProof/>
          </w:rPr>
          <w:t>2.1.25</w:t>
        </w:r>
        <w:r>
          <w:rPr>
            <w:rFonts w:asciiTheme="minorHAnsi" w:eastAsiaTheme="minorEastAsia" w:hAnsiTheme="minorHAnsi" w:cstheme="minorBidi"/>
            <w:noProof/>
            <w:sz w:val="22"/>
            <w:szCs w:val="22"/>
          </w:rPr>
          <w:tab/>
        </w:r>
        <w:r w:rsidRPr="001B13A4">
          <w:rPr>
            <w:rStyle w:val="Hyperlink"/>
            <w:noProof/>
          </w:rPr>
          <w:t>Part 1 Section 14.2.3, Diagram Colors Part</w:t>
        </w:r>
        <w:r>
          <w:rPr>
            <w:noProof/>
            <w:webHidden/>
          </w:rPr>
          <w:tab/>
        </w:r>
        <w:r>
          <w:rPr>
            <w:noProof/>
            <w:webHidden/>
          </w:rPr>
          <w:fldChar w:fldCharType="begin"/>
        </w:r>
        <w:r>
          <w:rPr>
            <w:noProof/>
            <w:webHidden/>
          </w:rPr>
          <w:instrText xml:space="preserve"> PAGEREF _Toc181683061 \h </w:instrText>
        </w:r>
        <w:r>
          <w:rPr>
            <w:noProof/>
            <w:webHidden/>
          </w:rPr>
        </w:r>
        <w:r>
          <w:rPr>
            <w:noProof/>
            <w:webHidden/>
          </w:rPr>
          <w:fldChar w:fldCharType="separate"/>
        </w:r>
        <w:r>
          <w:rPr>
            <w:noProof/>
            <w:webHidden/>
          </w:rPr>
          <w:t>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2" w:history="1">
        <w:r w:rsidRPr="001B13A4">
          <w:rPr>
            <w:rStyle w:val="Hyperlink"/>
            <w:noProof/>
          </w:rPr>
          <w:t>2.1.26</w:t>
        </w:r>
        <w:r>
          <w:rPr>
            <w:rFonts w:asciiTheme="minorHAnsi" w:eastAsiaTheme="minorEastAsia" w:hAnsiTheme="minorHAnsi" w:cstheme="minorBidi"/>
            <w:noProof/>
            <w:sz w:val="22"/>
            <w:szCs w:val="22"/>
          </w:rPr>
          <w:tab/>
        </w:r>
        <w:r w:rsidRPr="001B13A4">
          <w:rPr>
            <w:rStyle w:val="Hyperlink"/>
            <w:noProof/>
          </w:rPr>
          <w:t>Part 1 Section 14.2.4, Diagram Data Part</w:t>
        </w:r>
        <w:r>
          <w:rPr>
            <w:noProof/>
            <w:webHidden/>
          </w:rPr>
          <w:tab/>
        </w:r>
        <w:r>
          <w:rPr>
            <w:noProof/>
            <w:webHidden/>
          </w:rPr>
          <w:fldChar w:fldCharType="begin"/>
        </w:r>
        <w:r>
          <w:rPr>
            <w:noProof/>
            <w:webHidden/>
          </w:rPr>
          <w:instrText xml:space="preserve"> PAGEREF _Toc181683062 \h </w:instrText>
        </w:r>
        <w:r>
          <w:rPr>
            <w:noProof/>
            <w:webHidden/>
          </w:rPr>
        </w:r>
        <w:r>
          <w:rPr>
            <w:noProof/>
            <w:webHidden/>
          </w:rPr>
          <w:fldChar w:fldCharType="separate"/>
        </w:r>
        <w:r>
          <w:rPr>
            <w:noProof/>
            <w:webHidden/>
          </w:rPr>
          <w:t>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3" w:history="1">
        <w:r w:rsidRPr="001B13A4">
          <w:rPr>
            <w:rStyle w:val="Hyperlink"/>
            <w:noProof/>
          </w:rPr>
          <w:t>2.1.27</w:t>
        </w:r>
        <w:r>
          <w:rPr>
            <w:rFonts w:asciiTheme="minorHAnsi" w:eastAsiaTheme="minorEastAsia" w:hAnsiTheme="minorHAnsi" w:cstheme="minorBidi"/>
            <w:noProof/>
            <w:sz w:val="22"/>
            <w:szCs w:val="22"/>
          </w:rPr>
          <w:tab/>
        </w:r>
        <w:r w:rsidRPr="001B13A4">
          <w:rPr>
            <w:rStyle w:val="Hyperlink"/>
            <w:noProof/>
          </w:rPr>
          <w:t>Part 1 Section 15.2, Part Summary</w:t>
        </w:r>
        <w:r>
          <w:rPr>
            <w:noProof/>
            <w:webHidden/>
          </w:rPr>
          <w:tab/>
        </w:r>
        <w:r>
          <w:rPr>
            <w:noProof/>
            <w:webHidden/>
          </w:rPr>
          <w:fldChar w:fldCharType="begin"/>
        </w:r>
        <w:r>
          <w:rPr>
            <w:noProof/>
            <w:webHidden/>
          </w:rPr>
          <w:instrText xml:space="preserve"> PAGEREF _Toc181683063 \h </w:instrText>
        </w:r>
        <w:r>
          <w:rPr>
            <w:noProof/>
            <w:webHidden/>
          </w:rPr>
        </w:r>
        <w:r>
          <w:rPr>
            <w:noProof/>
            <w:webHidden/>
          </w:rPr>
          <w:fldChar w:fldCharType="separate"/>
        </w:r>
        <w:r>
          <w:rPr>
            <w:noProof/>
            <w:webHidden/>
          </w:rPr>
          <w:t>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4" w:history="1">
        <w:r w:rsidRPr="001B13A4">
          <w:rPr>
            <w:rStyle w:val="Hyperlink"/>
            <w:noProof/>
          </w:rPr>
          <w:t>2.1.28</w:t>
        </w:r>
        <w:r>
          <w:rPr>
            <w:rFonts w:asciiTheme="minorHAnsi" w:eastAsiaTheme="minorEastAsia" w:hAnsiTheme="minorHAnsi" w:cstheme="minorBidi"/>
            <w:noProof/>
            <w:sz w:val="22"/>
            <w:szCs w:val="22"/>
          </w:rPr>
          <w:tab/>
        </w:r>
        <w:r w:rsidRPr="001B13A4">
          <w:rPr>
            <w:rStyle w:val="Hyperlink"/>
            <w:noProof/>
          </w:rPr>
          <w:t>Part 1 Section 15.2.5, Custom XML Data Storage Part</w:t>
        </w:r>
        <w:r>
          <w:rPr>
            <w:noProof/>
            <w:webHidden/>
          </w:rPr>
          <w:tab/>
        </w:r>
        <w:r>
          <w:rPr>
            <w:noProof/>
            <w:webHidden/>
          </w:rPr>
          <w:fldChar w:fldCharType="begin"/>
        </w:r>
        <w:r>
          <w:rPr>
            <w:noProof/>
            <w:webHidden/>
          </w:rPr>
          <w:instrText xml:space="preserve"> PAGEREF _Toc181683064 \h </w:instrText>
        </w:r>
        <w:r>
          <w:rPr>
            <w:noProof/>
            <w:webHidden/>
          </w:rPr>
        </w:r>
        <w:r>
          <w:rPr>
            <w:noProof/>
            <w:webHidden/>
          </w:rPr>
          <w:fldChar w:fldCharType="separate"/>
        </w:r>
        <w:r>
          <w:rPr>
            <w:noProof/>
            <w:webHidden/>
          </w:rPr>
          <w:t>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5" w:history="1">
        <w:r w:rsidRPr="001B13A4">
          <w:rPr>
            <w:rStyle w:val="Hyperlink"/>
            <w:noProof/>
          </w:rPr>
          <w:t>2.1.29</w:t>
        </w:r>
        <w:r>
          <w:rPr>
            <w:rFonts w:asciiTheme="minorHAnsi" w:eastAsiaTheme="minorEastAsia" w:hAnsiTheme="minorHAnsi" w:cstheme="minorBidi"/>
            <w:noProof/>
            <w:sz w:val="22"/>
            <w:szCs w:val="22"/>
          </w:rPr>
          <w:tab/>
        </w:r>
        <w:r w:rsidRPr="001B13A4">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_Toc181683065 \h </w:instrText>
        </w:r>
        <w:r>
          <w:rPr>
            <w:noProof/>
            <w:webHidden/>
          </w:rPr>
        </w:r>
        <w:r>
          <w:rPr>
            <w:noProof/>
            <w:webHidden/>
          </w:rPr>
          <w:fldChar w:fldCharType="separate"/>
        </w:r>
        <w:r>
          <w:rPr>
            <w:noProof/>
            <w:webHidden/>
          </w:rPr>
          <w:t>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6" w:history="1">
        <w:r w:rsidRPr="001B13A4">
          <w:rPr>
            <w:rStyle w:val="Hyperlink"/>
            <w:noProof/>
          </w:rPr>
          <w:t>2.1.30</w:t>
        </w:r>
        <w:r>
          <w:rPr>
            <w:rFonts w:asciiTheme="minorHAnsi" w:eastAsiaTheme="minorEastAsia" w:hAnsiTheme="minorHAnsi" w:cstheme="minorBidi"/>
            <w:noProof/>
            <w:sz w:val="22"/>
            <w:szCs w:val="22"/>
          </w:rPr>
          <w:tab/>
        </w:r>
        <w:r w:rsidRPr="001B13A4">
          <w:rPr>
            <w:rStyle w:val="Hyperlink"/>
            <w:noProof/>
          </w:rPr>
          <w:t>Part 1 Section 15.2.12.1, Core File Properties Part</w:t>
        </w:r>
        <w:r>
          <w:rPr>
            <w:noProof/>
            <w:webHidden/>
          </w:rPr>
          <w:tab/>
        </w:r>
        <w:r>
          <w:rPr>
            <w:noProof/>
            <w:webHidden/>
          </w:rPr>
          <w:fldChar w:fldCharType="begin"/>
        </w:r>
        <w:r>
          <w:rPr>
            <w:noProof/>
            <w:webHidden/>
          </w:rPr>
          <w:instrText xml:space="preserve"> PAGEREF _Toc181683066 \h </w:instrText>
        </w:r>
        <w:r>
          <w:rPr>
            <w:noProof/>
            <w:webHidden/>
          </w:rPr>
        </w:r>
        <w:r>
          <w:rPr>
            <w:noProof/>
            <w:webHidden/>
          </w:rPr>
          <w:fldChar w:fldCharType="separate"/>
        </w:r>
        <w:r>
          <w:rPr>
            <w:noProof/>
            <w:webHidden/>
          </w:rPr>
          <w:t>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7" w:history="1">
        <w:r w:rsidRPr="001B13A4">
          <w:rPr>
            <w:rStyle w:val="Hyperlink"/>
            <w:noProof/>
          </w:rPr>
          <w:t>2.1.31</w:t>
        </w:r>
        <w:r>
          <w:rPr>
            <w:rFonts w:asciiTheme="minorHAnsi" w:eastAsiaTheme="minorEastAsia" w:hAnsiTheme="minorHAnsi" w:cstheme="minorBidi"/>
            <w:noProof/>
            <w:sz w:val="22"/>
            <w:szCs w:val="22"/>
          </w:rPr>
          <w:tab/>
        </w:r>
        <w:r w:rsidRPr="001B13A4">
          <w:rPr>
            <w:rStyle w:val="Hyperlink"/>
            <w:noProof/>
          </w:rPr>
          <w:t>Part 1 Section 15.2.12.2, Custom File Properties Part</w:t>
        </w:r>
        <w:r>
          <w:rPr>
            <w:noProof/>
            <w:webHidden/>
          </w:rPr>
          <w:tab/>
        </w:r>
        <w:r>
          <w:rPr>
            <w:noProof/>
            <w:webHidden/>
          </w:rPr>
          <w:fldChar w:fldCharType="begin"/>
        </w:r>
        <w:r>
          <w:rPr>
            <w:noProof/>
            <w:webHidden/>
          </w:rPr>
          <w:instrText xml:space="preserve"> PAGEREF _Toc181683067 \h </w:instrText>
        </w:r>
        <w:r>
          <w:rPr>
            <w:noProof/>
            <w:webHidden/>
          </w:rPr>
        </w:r>
        <w:r>
          <w:rPr>
            <w:noProof/>
            <w:webHidden/>
          </w:rPr>
          <w:fldChar w:fldCharType="separate"/>
        </w:r>
        <w:r>
          <w:rPr>
            <w:noProof/>
            <w:webHidden/>
          </w:rPr>
          <w:t>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8" w:history="1">
        <w:r w:rsidRPr="001B13A4">
          <w:rPr>
            <w:rStyle w:val="Hyperlink"/>
            <w:noProof/>
          </w:rPr>
          <w:t>2.1.32</w:t>
        </w:r>
        <w:r>
          <w:rPr>
            <w:rFonts w:asciiTheme="minorHAnsi" w:eastAsiaTheme="minorEastAsia" w:hAnsiTheme="minorHAnsi" w:cstheme="minorBidi"/>
            <w:noProof/>
            <w:sz w:val="22"/>
            <w:szCs w:val="22"/>
          </w:rPr>
          <w:tab/>
        </w:r>
        <w:r w:rsidRPr="001B13A4">
          <w:rPr>
            <w:rStyle w:val="Hyperlink"/>
            <w:noProof/>
          </w:rPr>
          <w:t>Part 1 Section 15.2.13, Font Part</w:t>
        </w:r>
        <w:r>
          <w:rPr>
            <w:noProof/>
            <w:webHidden/>
          </w:rPr>
          <w:tab/>
        </w:r>
        <w:r>
          <w:rPr>
            <w:noProof/>
            <w:webHidden/>
          </w:rPr>
          <w:fldChar w:fldCharType="begin"/>
        </w:r>
        <w:r>
          <w:rPr>
            <w:noProof/>
            <w:webHidden/>
          </w:rPr>
          <w:instrText xml:space="preserve"> PAGEREF _Toc181683068 \h </w:instrText>
        </w:r>
        <w:r>
          <w:rPr>
            <w:noProof/>
            <w:webHidden/>
          </w:rPr>
        </w:r>
        <w:r>
          <w:rPr>
            <w:noProof/>
            <w:webHidden/>
          </w:rPr>
          <w:fldChar w:fldCharType="separate"/>
        </w:r>
        <w:r>
          <w:rPr>
            <w:noProof/>
            <w:webHidden/>
          </w:rPr>
          <w:t>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69" w:history="1">
        <w:r w:rsidRPr="001B13A4">
          <w:rPr>
            <w:rStyle w:val="Hyperlink"/>
            <w:noProof/>
          </w:rPr>
          <w:t>2.1.33</w:t>
        </w:r>
        <w:r>
          <w:rPr>
            <w:rFonts w:asciiTheme="minorHAnsi" w:eastAsiaTheme="minorEastAsia" w:hAnsiTheme="minorHAnsi" w:cstheme="minorBidi"/>
            <w:noProof/>
            <w:sz w:val="22"/>
            <w:szCs w:val="22"/>
          </w:rPr>
          <w:tab/>
        </w:r>
        <w:r w:rsidRPr="001B13A4">
          <w:rPr>
            <w:rStyle w:val="Hyperlink"/>
            <w:noProof/>
          </w:rPr>
          <w:t>Part 1 Section 15.2.14, Image Part</w:t>
        </w:r>
        <w:r>
          <w:rPr>
            <w:noProof/>
            <w:webHidden/>
          </w:rPr>
          <w:tab/>
        </w:r>
        <w:r>
          <w:rPr>
            <w:noProof/>
            <w:webHidden/>
          </w:rPr>
          <w:fldChar w:fldCharType="begin"/>
        </w:r>
        <w:r>
          <w:rPr>
            <w:noProof/>
            <w:webHidden/>
          </w:rPr>
          <w:instrText xml:space="preserve"> PAGEREF _Toc181683069 \h </w:instrText>
        </w:r>
        <w:r>
          <w:rPr>
            <w:noProof/>
            <w:webHidden/>
          </w:rPr>
        </w:r>
        <w:r>
          <w:rPr>
            <w:noProof/>
            <w:webHidden/>
          </w:rPr>
          <w:fldChar w:fldCharType="separate"/>
        </w:r>
        <w:r>
          <w:rPr>
            <w:noProof/>
            <w:webHidden/>
          </w:rPr>
          <w:t>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0" w:history="1">
        <w:r w:rsidRPr="001B13A4">
          <w:rPr>
            <w:rStyle w:val="Hyperlink"/>
            <w:noProof/>
          </w:rPr>
          <w:t>2.1.34</w:t>
        </w:r>
        <w:r>
          <w:rPr>
            <w:rFonts w:asciiTheme="minorHAnsi" w:eastAsiaTheme="minorEastAsia" w:hAnsiTheme="minorHAnsi" w:cstheme="minorBidi"/>
            <w:noProof/>
            <w:sz w:val="22"/>
            <w:szCs w:val="22"/>
          </w:rPr>
          <w:tab/>
        </w:r>
        <w:r w:rsidRPr="001B13A4">
          <w:rPr>
            <w:rStyle w:val="Hyperlink"/>
            <w:noProof/>
          </w:rPr>
          <w:t>Part 1 Section 15.2.15, Printer Settings Part</w:t>
        </w:r>
        <w:r>
          <w:rPr>
            <w:noProof/>
            <w:webHidden/>
          </w:rPr>
          <w:tab/>
        </w:r>
        <w:r>
          <w:rPr>
            <w:noProof/>
            <w:webHidden/>
          </w:rPr>
          <w:fldChar w:fldCharType="begin"/>
        </w:r>
        <w:r>
          <w:rPr>
            <w:noProof/>
            <w:webHidden/>
          </w:rPr>
          <w:instrText xml:space="preserve"> PAGEREF _Toc181683070 \h </w:instrText>
        </w:r>
        <w:r>
          <w:rPr>
            <w:noProof/>
            <w:webHidden/>
          </w:rPr>
        </w:r>
        <w:r>
          <w:rPr>
            <w:noProof/>
            <w:webHidden/>
          </w:rPr>
          <w:fldChar w:fldCharType="separate"/>
        </w:r>
        <w:r>
          <w:rPr>
            <w:noProof/>
            <w:webHidden/>
          </w:rPr>
          <w:t>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1" w:history="1">
        <w:r w:rsidRPr="001B13A4">
          <w:rPr>
            <w:rStyle w:val="Hyperlink"/>
            <w:noProof/>
          </w:rPr>
          <w:t>2.1.35</w:t>
        </w:r>
        <w:r>
          <w:rPr>
            <w:rFonts w:asciiTheme="minorHAnsi" w:eastAsiaTheme="minorEastAsia" w:hAnsiTheme="minorHAnsi" w:cstheme="minorBidi"/>
            <w:noProof/>
            <w:sz w:val="22"/>
            <w:szCs w:val="22"/>
          </w:rPr>
          <w:tab/>
        </w:r>
        <w:r w:rsidRPr="001B13A4">
          <w:rPr>
            <w:rStyle w:val="Hyperlink"/>
            <w:noProof/>
          </w:rPr>
          <w:t>Part 1 Section 17.2.1, background (Document Background)</w:t>
        </w:r>
        <w:r>
          <w:rPr>
            <w:noProof/>
            <w:webHidden/>
          </w:rPr>
          <w:tab/>
        </w:r>
        <w:r>
          <w:rPr>
            <w:noProof/>
            <w:webHidden/>
          </w:rPr>
          <w:fldChar w:fldCharType="begin"/>
        </w:r>
        <w:r>
          <w:rPr>
            <w:noProof/>
            <w:webHidden/>
          </w:rPr>
          <w:instrText xml:space="preserve"> PAGEREF _Toc181683071 \h </w:instrText>
        </w:r>
        <w:r>
          <w:rPr>
            <w:noProof/>
            <w:webHidden/>
          </w:rPr>
        </w:r>
        <w:r>
          <w:rPr>
            <w:noProof/>
            <w:webHidden/>
          </w:rPr>
          <w:fldChar w:fldCharType="separate"/>
        </w:r>
        <w:r>
          <w:rPr>
            <w:noProof/>
            <w:webHidden/>
          </w:rPr>
          <w:t>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2" w:history="1">
        <w:r w:rsidRPr="001B13A4">
          <w:rPr>
            <w:rStyle w:val="Hyperlink"/>
            <w:noProof/>
          </w:rPr>
          <w:t>2.1.36</w:t>
        </w:r>
        <w:r>
          <w:rPr>
            <w:rFonts w:asciiTheme="minorHAnsi" w:eastAsiaTheme="minorEastAsia" w:hAnsiTheme="minorHAnsi" w:cstheme="minorBidi"/>
            <w:noProof/>
            <w:sz w:val="22"/>
            <w:szCs w:val="22"/>
          </w:rPr>
          <w:tab/>
        </w:r>
        <w:r w:rsidRPr="001B13A4">
          <w:rPr>
            <w:rStyle w:val="Hyperlink"/>
            <w:noProof/>
          </w:rPr>
          <w:t>Part 1 Section 17.2.2, body (Document Body)</w:t>
        </w:r>
        <w:r>
          <w:rPr>
            <w:noProof/>
            <w:webHidden/>
          </w:rPr>
          <w:tab/>
        </w:r>
        <w:r>
          <w:rPr>
            <w:noProof/>
            <w:webHidden/>
          </w:rPr>
          <w:fldChar w:fldCharType="begin"/>
        </w:r>
        <w:r>
          <w:rPr>
            <w:noProof/>
            <w:webHidden/>
          </w:rPr>
          <w:instrText xml:space="preserve"> PAGEREF _Toc181683072 \h </w:instrText>
        </w:r>
        <w:r>
          <w:rPr>
            <w:noProof/>
            <w:webHidden/>
          </w:rPr>
        </w:r>
        <w:r>
          <w:rPr>
            <w:noProof/>
            <w:webHidden/>
          </w:rPr>
          <w:fldChar w:fldCharType="separate"/>
        </w:r>
        <w:r>
          <w:rPr>
            <w:noProof/>
            <w:webHidden/>
          </w:rPr>
          <w:t>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3" w:history="1">
        <w:r w:rsidRPr="001B13A4">
          <w:rPr>
            <w:rStyle w:val="Hyperlink"/>
            <w:noProof/>
          </w:rPr>
          <w:t>2.1.37</w:t>
        </w:r>
        <w:r>
          <w:rPr>
            <w:rFonts w:asciiTheme="minorHAnsi" w:eastAsiaTheme="minorEastAsia" w:hAnsiTheme="minorHAnsi" w:cstheme="minorBidi"/>
            <w:noProof/>
            <w:sz w:val="22"/>
            <w:szCs w:val="22"/>
          </w:rPr>
          <w:tab/>
        </w:r>
        <w:r w:rsidRPr="001B13A4">
          <w:rPr>
            <w:rStyle w:val="Hyperlink"/>
            <w:noProof/>
          </w:rPr>
          <w:t>Part 1 Section 17.2.3, document (Document)</w:t>
        </w:r>
        <w:r>
          <w:rPr>
            <w:noProof/>
            <w:webHidden/>
          </w:rPr>
          <w:tab/>
        </w:r>
        <w:r>
          <w:rPr>
            <w:noProof/>
            <w:webHidden/>
          </w:rPr>
          <w:fldChar w:fldCharType="begin"/>
        </w:r>
        <w:r>
          <w:rPr>
            <w:noProof/>
            <w:webHidden/>
          </w:rPr>
          <w:instrText xml:space="preserve"> PAGEREF _Toc181683073 \h </w:instrText>
        </w:r>
        <w:r>
          <w:rPr>
            <w:noProof/>
            <w:webHidden/>
          </w:rPr>
        </w:r>
        <w:r>
          <w:rPr>
            <w:noProof/>
            <w:webHidden/>
          </w:rPr>
          <w:fldChar w:fldCharType="separate"/>
        </w:r>
        <w:r>
          <w:rPr>
            <w:noProof/>
            <w:webHidden/>
          </w:rPr>
          <w:t>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4" w:history="1">
        <w:r w:rsidRPr="001B13A4">
          <w:rPr>
            <w:rStyle w:val="Hyperlink"/>
            <w:noProof/>
          </w:rPr>
          <w:t>2.1.38</w:t>
        </w:r>
        <w:r>
          <w:rPr>
            <w:rFonts w:asciiTheme="minorHAnsi" w:eastAsiaTheme="minorEastAsia" w:hAnsiTheme="minorHAnsi" w:cstheme="minorBidi"/>
            <w:noProof/>
            <w:sz w:val="22"/>
            <w:szCs w:val="22"/>
          </w:rPr>
          <w:tab/>
        </w:r>
        <w:r w:rsidRPr="001B13A4">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_Toc181683074 \h </w:instrText>
        </w:r>
        <w:r>
          <w:rPr>
            <w:noProof/>
            <w:webHidden/>
          </w:rPr>
        </w:r>
        <w:r>
          <w:rPr>
            <w:noProof/>
            <w:webHidden/>
          </w:rPr>
          <w:fldChar w:fldCharType="separate"/>
        </w:r>
        <w:r>
          <w:rPr>
            <w:noProof/>
            <w:webHidden/>
          </w:rPr>
          <w:t>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5" w:history="1">
        <w:r w:rsidRPr="001B13A4">
          <w:rPr>
            <w:rStyle w:val="Hyperlink"/>
            <w:noProof/>
          </w:rPr>
          <w:t>2.1.39</w:t>
        </w:r>
        <w:r>
          <w:rPr>
            <w:rFonts w:asciiTheme="minorHAnsi" w:eastAsiaTheme="minorEastAsia" w:hAnsiTheme="minorHAnsi" w:cstheme="minorBidi"/>
            <w:noProof/>
            <w:sz w:val="22"/>
            <w:szCs w:val="22"/>
          </w:rPr>
          <w:tab/>
        </w:r>
        <w:r w:rsidRPr="001B13A4">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_Toc181683075 \h </w:instrText>
        </w:r>
        <w:r>
          <w:rPr>
            <w:noProof/>
            <w:webHidden/>
          </w:rPr>
        </w:r>
        <w:r>
          <w:rPr>
            <w:noProof/>
            <w:webHidden/>
          </w:rPr>
          <w:fldChar w:fldCharType="separate"/>
        </w:r>
        <w:r>
          <w:rPr>
            <w:noProof/>
            <w:webHidden/>
          </w:rPr>
          <w:t>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6" w:history="1">
        <w:r w:rsidRPr="001B13A4">
          <w:rPr>
            <w:rStyle w:val="Hyperlink"/>
            <w:noProof/>
          </w:rPr>
          <w:t>2.1.40</w:t>
        </w:r>
        <w:r>
          <w:rPr>
            <w:rFonts w:asciiTheme="minorHAnsi" w:eastAsiaTheme="minorEastAsia" w:hAnsiTheme="minorHAnsi" w:cstheme="minorBidi"/>
            <w:noProof/>
            <w:sz w:val="22"/>
            <w:szCs w:val="22"/>
          </w:rPr>
          <w:tab/>
        </w:r>
        <w:r w:rsidRPr="001B13A4">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_Toc181683076 \h </w:instrText>
        </w:r>
        <w:r>
          <w:rPr>
            <w:noProof/>
            <w:webHidden/>
          </w:rPr>
        </w:r>
        <w:r>
          <w:rPr>
            <w:noProof/>
            <w:webHidden/>
          </w:rPr>
          <w:fldChar w:fldCharType="separate"/>
        </w:r>
        <w:r>
          <w:rPr>
            <w:noProof/>
            <w:webHidden/>
          </w:rPr>
          <w:t>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7" w:history="1">
        <w:r w:rsidRPr="001B13A4">
          <w:rPr>
            <w:rStyle w:val="Hyperlink"/>
            <w:noProof/>
          </w:rPr>
          <w:t>2.1.41</w:t>
        </w:r>
        <w:r>
          <w:rPr>
            <w:rFonts w:asciiTheme="minorHAnsi" w:eastAsiaTheme="minorEastAsia" w:hAnsiTheme="minorHAnsi" w:cstheme="minorBidi"/>
            <w:noProof/>
            <w:sz w:val="22"/>
            <w:szCs w:val="22"/>
          </w:rPr>
          <w:tab/>
        </w:r>
        <w:r w:rsidRPr="001B13A4">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_Toc181683077 \h </w:instrText>
        </w:r>
        <w:r>
          <w:rPr>
            <w:noProof/>
            <w:webHidden/>
          </w:rPr>
        </w:r>
        <w:r>
          <w:rPr>
            <w:noProof/>
            <w:webHidden/>
          </w:rPr>
          <w:fldChar w:fldCharType="separate"/>
        </w:r>
        <w:r>
          <w:rPr>
            <w:noProof/>
            <w:webHidden/>
          </w:rPr>
          <w:t>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8" w:history="1">
        <w:r w:rsidRPr="001B13A4">
          <w:rPr>
            <w:rStyle w:val="Hyperlink"/>
            <w:noProof/>
          </w:rPr>
          <w:t>2.1.42</w:t>
        </w:r>
        <w:r>
          <w:rPr>
            <w:rFonts w:asciiTheme="minorHAnsi" w:eastAsiaTheme="minorEastAsia" w:hAnsiTheme="minorHAnsi" w:cstheme="minorBidi"/>
            <w:noProof/>
            <w:sz w:val="22"/>
            <w:szCs w:val="22"/>
          </w:rPr>
          <w:tab/>
        </w:r>
        <w:r w:rsidRPr="001B13A4">
          <w:rPr>
            <w:rStyle w:val="Hyperlink"/>
            <w:noProof/>
          </w:rPr>
          <w:t>Part 1 Section 17.3.1.10, divId (Associated HTML div ID)</w:t>
        </w:r>
        <w:r>
          <w:rPr>
            <w:noProof/>
            <w:webHidden/>
          </w:rPr>
          <w:tab/>
        </w:r>
        <w:r>
          <w:rPr>
            <w:noProof/>
            <w:webHidden/>
          </w:rPr>
          <w:fldChar w:fldCharType="begin"/>
        </w:r>
        <w:r>
          <w:rPr>
            <w:noProof/>
            <w:webHidden/>
          </w:rPr>
          <w:instrText xml:space="preserve"> PAGEREF _Toc181683078 \h </w:instrText>
        </w:r>
        <w:r>
          <w:rPr>
            <w:noProof/>
            <w:webHidden/>
          </w:rPr>
        </w:r>
        <w:r>
          <w:rPr>
            <w:noProof/>
            <w:webHidden/>
          </w:rPr>
          <w:fldChar w:fldCharType="separate"/>
        </w:r>
        <w:r>
          <w:rPr>
            <w:noProof/>
            <w:webHidden/>
          </w:rPr>
          <w:t>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79" w:history="1">
        <w:r w:rsidRPr="001B13A4">
          <w:rPr>
            <w:rStyle w:val="Hyperlink"/>
            <w:noProof/>
          </w:rPr>
          <w:t>2.1.43</w:t>
        </w:r>
        <w:r>
          <w:rPr>
            <w:rFonts w:asciiTheme="minorHAnsi" w:eastAsiaTheme="minorEastAsia" w:hAnsiTheme="minorHAnsi" w:cstheme="minorBidi"/>
            <w:noProof/>
            <w:sz w:val="22"/>
            <w:szCs w:val="22"/>
          </w:rPr>
          <w:tab/>
        </w:r>
        <w:r w:rsidRPr="001B13A4">
          <w:rPr>
            <w:rStyle w:val="Hyperlink"/>
            <w:noProof/>
          </w:rPr>
          <w:t>Part 1 Section 17.3.1.11, framePr (Text Frame Properties)</w:t>
        </w:r>
        <w:r>
          <w:rPr>
            <w:noProof/>
            <w:webHidden/>
          </w:rPr>
          <w:tab/>
        </w:r>
        <w:r>
          <w:rPr>
            <w:noProof/>
            <w:webHidden/>
          </w:rPr>
          <w:fldChar w:fldCharType="begin"/>
        </w:r>
        <w:r>
          <w:rPr>
            <w:noProof/>
            <w:webHidden/>
          </w:rPr>
          <w:instrText xml:space="preserve"> PAGEREF _Toc181683079 \h </w:instrText>
        </w:r>
        <w:r>
          <w:rPr>
            <w:noProof/>
            <w:webHidden/>
          </w:rPr>
        </w:r>
        <w:r>
          <w:rPr>
            <w:noProof/>
            <w:webHidden/>
          </w:rPr>
          <w:fldChar w:fldCharType="separate"/>
        </w:r>
        <w:r>
          <w:rPr>
            <w:noProof/>
            <w:webHidden/>
          </w:rPr>
          <w:t>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0" w:history="1">
        <w:r w:rsidRPr="001B13A4">
          <w:rPr>
            <w:rStyle w:val="Hyperlink"/>
            <w:noProof/>
          </w:rPr>
          <w:t>2.1.44</w:t>
        </w:r>
        <w:r>
          <w:rPr>
            <w:rFonts w:asciiTheme="minorHAnsi" w:eastAsiaTheme="minorEastAsia" w:hAnsiTheme="minorHAnsi" w:cstheme="minorBidi"/>
            <w:noProof/>
            <w:sz w:val="22"/>
            <w:szCs w:val="22"/>
          </w:rPr>
          <w:tab/>
        </w:r>
        <w:r w:rsidRPr="001B13A4">
          <w:rPr>
            <w:rStyle w:val="Hyperlink"/>
            <w:noProof/>
          </w:rPr>
          <w:t>Part 1 Section 17.3.1.12, ind (Paragraph Indentation)</w:t>
        </w:r>
        <w:r>
          <w:rPr>
            <w:noProof/>
            <w:webHidden/>
          </w:rPr>
          <w:tab/>
        </w:r>
        <w:r>
          <w:rPr>
            <w:noProof/>
            <w:webHidden/>
          </w:rPr>
          <w:fldChar w:fldCharType="begin"/>
        </w:r>
        <w:r>
          <w:rPr>
            <w:noProof/>
            <w:webHidden/>
          </w:rPr>
          <w:instrText xml:space="preserve"> PAGEREF _Toc181683080 \h </w:instrText>
        </w:r>
        <w:r>
          <w:rPr>
            <w:noProof/>
            <w:webHidden/>
          </w:rPr>
        </w:r>
        <w:r>
          <w:rPr>
            <w:noProof/>
            <w:webHidden/>
          </w:rPr>
          <w:fldChar w:fldCharType="separate"/>
        </w:r>
        <w:r>
          <w:rPr>
            <w:noProof/>
            <w:webHidden/>
          </w:rPr>
          <w:t>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1" w:history="1">
        <w:r w:rsidRPr="001B13A4">
          <w:rPr>
            <w:rStyle w:val="Hyperlink"/>
            <w:noProof/>
          </w:rPr>
          <w:t>2.1.45</w:t>
        </w:r>
        <w:r>
          <w:rPr>
            <w:rFonts w:asciiTheme="minorHAnsi" w:eastAsiaTheme="minorEastAsia" w:hAnsiTheme="minorHAnsi" w:cstheme="minorBidi"/>
            <w:noProof/>
            <w:sz w:val="22"/>
            <w:szCs w:val="22"/>
          </w:rPr>
          <w:tab/>
        </w:r>
        <w:r w:rsidRPr="001B13A4">
          <w:rPr>
            <w:rStyle w:val="Hyperlink"/>
            <w:noProof/>
          </w:rPr>
          <w:t>Part 1 Section 17.3.1.13, jc (Paragraph Alignment)</w:t>
        </w:r>
        <w:r>
          <w:rPr>
            <w:noProof/>
            <w:webHidden/>
          </w:rPr>
          <w:tab/>
        </w:r>
        <w:r>
          <w:rPr>
            <w:noProof/>
            <w:webHidden/>
          </w:rPr>
          <w:fldChar w:fldCharType="begin"/>
        </w:r>
        <w:r>
          <w:rPr>
            <w:noProof/>
            <w:webHidden/>
          </w:rPr>
          <w:instrText xml:space="preserve"> PAGEREF _Toc181683081 \h </w:instrText>
        </w:r>
        <w:r>
          <w:rPr>
            <w:noProof/>
            <w:webHidden/>
          </w:rPr>
        </w:r>
        <w:r>
          <w:rPr>
            <w:noProof/>
            <w:webHidden/>
          </w:rPr>
          <w:fldChar w:fldCharType="separate"/>
        </w:r>
        <w:r>
          <w:rPr>
            <w:noProof/>
            <w:webHidden/>
          </w:rPr>
          <w:t>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2" w:history="1">
        <w:r w:rsidRPr="001B13A4">
          <w:rPr>
            <w:rStyle w:val="Hyperlink"/>
            <w:noProof/>
          </w:rPr>
          <w:t>2.1.46</w:t>
        </w:r>
        <w:r>
          <w:rPr>
            <w:rFonts w:asciiTheme="minorHAnsi" w:eastAsiaTheme="minorEastAsia" w:hAnsiTheme="minorHAnsi" w:cstheme="minorBidi"/>
            <w:noProof/>
            <w:sz w:val="22"/>
            <w:szCs w:val="22"/>
          </w:rPr>
          <w:tab/>
        </w:r>
        <w:r w:rsidRPr="001B13A4">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_Toc181683082 \h </w:instrText>
        </w:r>
        <w:r>
          <w:rPr>
            <w:noProof/>
            <w:webHidden/>
          </w:rPr>
        </w:r>
        <w:r>
          <w:rPr>
            <w:noProof/>
            <w:webHidden/>
          </w:rPr>
          <w:fldChar w:fldCharType="separate"/>
        </w:r>
        <w:r>
          <w:rPr>
            <w:noProof/>
            <w:webHidden/>
          </w:rPr>
          <w:t>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3" w:history="1">
        <w:r w:rsidRPr="001B13A4">
          <w:rPr>
            <w:rStyle w:val="Hyperlink"/>
            <w:noProof/>
          </w:rPr>
          <w:t>2.1.47</w:t>
        </w:r>
        <w:r>
          <w:rPr>
            <w:rFonts w:asciiTheme="minorHAnsi" w:eastAsiaTheme="minorEastAsia" w:hAnsiTheme="minorHAnsi" w:cstheme="minorBidi"/>
            <w:noProof/>
            <w:sz w:val="22"/>
            <w:szCs w:val="22"/>
          </w:rPr>
          <w:tab/>
        </w:r>
        <w:r w:rsidRPr="001B13A4">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_Toc181683083 \h </w:instrText>
        </w:r>
        <w:r>
          <w:rPr>
            <w:noProof/>
            <w:webHidden/>
          </w:rPr>
        </w:r>
        <w:r>
          <w:rPr>
            <w:noProof/>
            <w:webHidden/>
          </w:rPr>
          <w:fldChar w:fldCharType="separate"/>
        </w:r>
        <w:r>
          <w:rPr>
            <w:noProof/>
            <w:webHidden/>
          </w:rPr>
          <w:t>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4" w:history="1">
        <w:r w:rsidRPr="001B13A4">
          <w:rPr>
            <w:rStyle w:val="Hyperlink"/>
            <w:noProof/>
          </w:rPr>
          <w:t>2.1.48</w:t>
        </w:r>
        <w:r>
          <w:rPr>
            <w:rFonts w:asciiTheme="minorHAnsi" w:eastAsiaTheme="minorEastAsia" w:hAnsiTheme="minorHAnsi" w:cstheme="minorBidi"/>
            <w:noProof/>
            <w:sz w:val="22"/>
            <w:szCs w:val="22"/>
          </w:rPr>
          <w:tab/>
        </w:r>
        <w:r w:rsidRPr="001B13A4">
          <w:rPr>
            <w:rStyle w:val="Hyperlink"/>
            <w:noProof/>
          </w:rPr>
          <w:t>Part 1 Section 17.3.1.17, left (Left Paragraph Border)</w:t>
        </w:r>
        <w:r>
          <w:rPr>
            <w:noProof/>
            <w:webHidden/>
          </w:rPr>
          <w:tab/>
        </w:r>
        <w:r>
          <w:rPr>
            <w:noProof/>
            <w:webHidden/>
          </w:rPr>
          <w:fldChar w:fldCharType="begin"/>
        </w:r>
        <w:r>
          <w:rPr>
            <w:noProof/>
            <w:webHidden/>
          </w:rPr>
          <w:instrText xml:space="preserve"> PAGEREF _Toc181683084 \h </w:instrText>
        </w:r>
        <w:r>
          <w:rPr>
            <w:noProof/>
            <w:webHidden/>
          </w:rPr>
        </w:r>
        <w:r>
          <w:rPr>
            <w:noProof/>
            <w:webHidden/>
          </w:rPr>
          <w:fldChar w:fldCharType="separate"/>
        </w:r>
        <w:r>
          <w:rPr>
            <w:noProof/>
            <w:webHidden/>
          </w:rPr>
          <w:t>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5" w:history="1">
        <w:r w:rsidRPr="001B13A4">
          <w:rPr>
            <w:rStyle w:val="Hyperlink"/>
            <w:noProof/>
          </w:rPr>
          <w:t>2.1.49</w:t>
        </w:r>
        <w:r>
          <w:rPr>
            <w:rFonts w:asciiTheme="minorHAnsi" w:eastAsiaTheme="minorEastAsia" w:hAnsiTheme="minorHAnsi" w:cstheme="minorBidi"/>
            <w:noProof/>
            <w:sz w:val="22"/>
            <w:szCs w:val="22"/>
          </w:rPr>
          <w:tab/>
        </w:r>
        <w:r w:rsidRPr="001B13A4">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_Toc181683085 \h </w:instrText>
        </w:r>
        <w:r>
          <w:rPr>
            <w:noProof/>
            <w:webHidden/>
          </w:rPr>
        </w:r>
        <w:r>
          <w:rPr>
            <w:noProof/>
            <w:webHidden/>
          </w:rPr>
          <w:fldChar w:fldCharType="separate"/>
        </w:r>
        <w:r>
          <w:rPr>
            <w:noProof/>
            <w:webHidden/>
          </w:rPr>
          <w:t>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6" w:history="1">
        <w:r w:rsidRPr="001B13A4">
          <w:rPr>
            <w:rStyle w:val="Hyperlink"/>
            <w:noProof/>
          </w:rPr>
          <w:t>2.1.50</w:t>
        </w:r>
        <w:r>
          <w:rPr>
            <w:rFonts w:asciiTheme="minorHAnsi" w:eastAsiaTheme="minorEastAsia" w:hAnsiTheme="minorHAnsi" w:cstheme="minorBidi"/>
            <w:noProof/>
            <w:sz w:val="22"/>
            <w:szCs w:val="22"/>
          </w:rPr>
          <w:tab/>
        </w:r>
        <w:r w:rsidRPr="001B13A4">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_Toc181683086 \h </w:instrText>
        </w:r>
        <w:r>
          <w:rPr>
            <w:noProof/>
            <w:webHidden/>
          </w:rPr>
        </w:r>
        <w:r>
          <w:rPr>
            <w:noProof/>
            <w:webHidden/>
          </w:rPr>
          <w:fldChar w:fldCharType="separate"/>
        </w:r>
        <w:r>
          <w:rPr>
            <w:noProof/>
            <w:webHidden/>
          </w:rPr>
          <w:t>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7" w:history="1">
        <w:r w:rsidRPr="001B13A4">
          <w:rPr>
            <w:rStyle w:val="Hyperlink"/>
            <w:noProof/>
          </w:rPr>
          <w:t>2.1.51</w:t>
        </w:r>
        <w:r>
          <w:rPr>
            <w:rFonts w:asciiTheme="minorHAnsi" w:eastAsiaTheme="minorEastAsia" w:hAnsiTheme="minorHAnsi" w:cstheme="minorBidi"/>
            <w:noProof/>
            <w:sz w:val="22"/>
            <w:szCs w:val="22"/>
          </w:rPr>
          <w:tab/>
        </w:r>
        <w:r w:rsidRPr="001B13A4">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_Toc181683087 \h </w:instrText>
        </w:r>
        <w:r>
          <w:rPr>
            <w:noProof/>
            <w:webHidden/>
          </w:rPr>
        </w:r>
        <w:r>
          <w:rPr>
            <w:noProof/>
            <w:webHidden/>
          </w:rPr>
          <w:fldChar w:fldCharType="separate"/>
        </w:r>
        <w:r>
          <w:rPr>
            <w:noProof/>
            <w:webHidden/>
          </w:rPr>
          <w:t>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8" w:history="1">
        <w:r w:rsidRPr="001B13A4">
          <w:rPr>
            <w:rStyle w:val="Hyperlink"/>
            <w:noProof/>
          </w:rPr>
          <w:t>2.1.52</w:t>
        </w:r>
        <w:r>
          <w:rPr>
            <w:rFonts w:asciiTheme="minorHAnsi" w:eastAsiaTheme="minorEastAsia" w:hAnsiTheme="minorHAnsi" w:cstheme="minorBidi"/>
            <w:noProof/>
            <w:sz w:val="22"/>
            <w:szCs w:val="22"/>
          </w:rPr>
          <w:tab/>
        </w:r>
        <w:r w:rsidRPr="001B13A4">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_Toc181683088 \h </w:instrText>
        </w:r>
        <w:r>
          <w:rPr>
            <w:noProof/>
            <w:webHidden/>
          </w:rPr>
        </w:r>
        <w:r>
          <w:rPr>
            <w:noProof/>
            <w:webHidden/>
          </w:rPr>
          <w:fldChar w:fldCharType="separate"/>
        </w:r>
        <w:r>
          <w:rPr>
            <w:noProof/>
            <w:webHidden/>
          </w:rPr>
          <w:t>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89" w:history="1">
        <w:r w:rsidRPr="001B13A4">
          <w:rPr>
            <w:rStyle w:val="Hyperlink"/>
            <w:noProof/>
          </w:rPr>
          <w:t>2.1.53</w:t>
        </w:r>
        <w:r>
          <w:rPr>
            <w:rFonts w:asciiTheme="minorHAnsi" w:eastAsiaTheme="minorEastAsia" w:hAnsiTheme="minorHAnsi" w:cstheme="minorBidi"/>
            <w:noProof/>
            <w:sz w:val="22"/>
            <w:szCs w:val="22"/>
          </w:rPr>
          <w:tab/>
        </w:r>
        <w:r w:rsidRPr="001B13A4">
          <w:rPr>
            <w:rStyle w:val="Hyperlink"/>
            <w:noProof/>
          </w:rPr>
          <w:t>Part 1 Section 17.3.1.22, p (Paragraph)</w:t>
        </w:r>
        <w:r>
          <w:rPr>
            <w:noProof/>
            <w:webHidden/>
          </w:rPr>
          <w:tab/>
        </w:r>
        <w:r>
          <w:rPr>
            <w:noProof/>
            <w:webHidden/>
          </w:rPr>
          <w:fldChar w:fldCharType="begin"/>
        </w:r>
        <w:r>
          <w:rPr>
            <w:noProof/>
            <w:webHidden/>
          </w:rPr>
          <w:instrText xml:space="preserve"> PAGEREF _Toc181683089 \h </w:instrText>
        </w:r>
        <w:r>
          <w:rPr>
            <w:noProof/>
            <w:webHidden/>
          </w:rPr>
        </w:r>
        <w:r>
          <w:rPr>
            <w:noProof/>
            <w:webHidden/>
          </w:rPr>
          <w:fldChar w:fldCharType="separate"/>
        </w:r>
        <w:r>
          <w:rPr>
            <w:noProof/>
            <w:webHidden/>
          </w:rPr>
          <w:t>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0" w:history="1">
        <w:r w:rsidRPr="001B13A4">
          <w:rPr>
            <w:rStyle w:val="Hyperlink"/>
            <w:noProof/>
          </w:rPr>
          <w:t>2.1.54</w:t>
        </w:r>
        <w:r>
          <w:rPr>
            <w:rFonts w:asciiTheme="minorHAnsi" w:eastAsiaTheme="minorEastAsia" w:hAnsiTheme="minorHAnsi" w:cstheme="minorBidi"/>
            <w:noProof/>
            <w:sz w:val="22"/>
            <w:szCs w:val="22"/>
          </w:rPr>
          <w:tab/>
        </w:r>
        <w:r w:rsidRPr="001B13A4">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_Toc181683090 \h </w:instrText>
        </w:r>
        <w:r>
          <w:rPr>
            <w:noProof/>
            <w:webHidden/>
          </w:rPr>
        </w:r>
        <w:r>
          <w:rPr>
            <w:noProof/>
            <w:webHidden/>
          </w:rPr>
          <w:fldChar w:fldCharType="separate"/>
        </w:r>
        <w:r>
          <w:rPr>
            <w:noProof/>
            <w:webHidden/>
          </w:rPr>
          <w:t>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1" w:history="1">
        <w:r w:rsidRPr="001B13A4">
          <w:rPr>
            <w:rStyle w:val="Hyperlink"/>
            <w:noProof/>
          </w:rPr>
          <w:t>2.1.55</w:t>
        </w:r>
        <w:r>
          <w:rPr>
            <w:rFonts w:asciiTheme="minorHAnsi" w:eastAsiaTheme="minorEastAsia" w:hAnsiTheme="minorHAnsi" w:cstheme="minorBidi"/>
            <w:noProof/>
            <w:sz w:val="22"/>
            <w:szCs w:val="22"/>
          </w:rPr>
          <w:tab/>
        </w:r>
        <w:r w:rsidRPr="001B13A4">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_Toc181683091 \h </w:instrText>
        </w:r>
        <w:r>
          <w:rPr>
            <w:noProof/>
            <w:webHidden/>
          </w:rPr>
        </w:r>
        <w:r>
          <w:rPr>
            <w:noProof/>
            <w:webHidden/>
          </w:rPr>
          <w:fldChar w:fldCharType="separate"/>
        </w:r>
        <w:r>
          <w:rPr>
            <w:noProof/>
            <w:webHidden/>
          </w:rPr>
          <w:t>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2" w:history="1">
        <w:r w:rsidRPr="001B13A4">
          <w:rPr>
            <w:rStyle w:val="Hyperlink"/>
            <w:noProof/>
          </w:rPr>
          <w:t>2.1.56</w:t>
        </w:r>
        <w:r>
          <w:rPr>
            <w:rFonts w:asciiTheme="minorHAnsi" w:eastAsiaTheme="minorEastAsia" w:hAnsiTheme="minorHAnsi" w:cstheme="minorBidi"/>
            <w:noProof/>
            <w:sz w:val="22"/>
            <w:szCs w:val="22"/>
          </w:rPr>
          <w:tab/>
        </w:r>
        <w:r w:rsidRPr="001B13A4">
          <w:rPr>
            <w:rStyle w:val="Hyperlink"/>
            <w:noProof/>
          </w:rPr>
          <w:t>Part 1 Section 17.3.1.28, right (Right Paragraph Border)</w:t>
        </w:r>
        <w:r>
          <w:rPr>
            <w:noProof/>
            <w:webHidden/>
          </w:rPr>
          <w:tab/>
        </w:r>
        <w:r>
          <w:rPr>
            <w:noProof/>
            <w:webHidden/>
          </w:rPr>
          <w:fldChar w:fldCharType="begin"/>
        </w:r>
        <w:r>
          <w:rPr>
            <w:noProof/>
            <w:webHidden/>
          </w:rPr>
          <w:instrText xml:space="preserve"> PAGEREF _Toc181683092 \h </w:instrText>
        </w:r>
        <w:r>
          <w:rPr>
            <w:noProof/>
            <w:webHidden/>
          </w:rPr>
        </w:r>
        <w:r>
          <w:rPr>
            <w:noProof/>
            <w:webHidden/>
          </w:rPr>
          <w:fldChar w:fldCharType="separate"/>
        </w:r>
        <w:r>
          <w:rPr>
            <w:noProof/>
            <w:webHidden/>
          </w:rPr>
          <w:t>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3" w:history="1">
        <w:r w:rsidRPr="001B13A4">
          <w:rPr>
            <w:rStyle w:val="Hyperlink"/>
            <w:noProof/>
          </w:rPr>
          <w:t>2.1.57</w:t>
        </w:r>
        <w:r>
          <w:rPr>
            <w:rFonts w:asciiTheme="minorHAnsi" w:eastAsiaTheme="minorEastAsia" w:hAnsiTheme="minorHAnsi" w:cstheme="minorBidi"/>
            <w:noProof/>
            <w:sz w:val="22"/>
            <w:szCs w:val="22"/>
          </w:rPr>
          <w:tab/>
        </w:r>
        <w:r w:rsidRPr="001B13A4">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_Toc181683093 \h </w:instrText>
        </w:r>
        <w:r>
          <w:rPr>
            <w:noProof/>
            <w:webHidden/>
          </w:rPr>
        </w:r>
        <w:r>
          <w:rPr>
            <w:noProof/>
            <w:webHidden/>
          </w:rPr>
          <w:fldChar w:fldCharType="separate"/>
        </w:r>
        <w:r>
          <w:rPr>
            <w:noProof/>
            <w:webHidden/>
          </w:rPr>
          <w:t>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4" w:history="1">
        <w:r w:rsidRPr="001B13A4">
          <w:rPr>
            <w:rStyle w:val="Hyperlink"/>
            <w:noProof/>
          </w:rPr>
          <w:t>2.1.58</w:t>
        </w:r>
        <w:r>
          <w:rPr>
            <w:rFonts w:asciiTheme="minorHAnsi" w:eastAsiaTheme="minorEastAsia" w:hAnsiTheme="minorHAnsi" w:cstheme="minorBidi"/>
            <w:noProof/>
            <w:sz w:val="22"/>
            <w:szCs w:val="22"/>
          </w:rPr>
          <w:tab/>
        </w:r>
        <w:r w:rsidRPr="001B13A4">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_Toc181683094 \h </w:instrText>
        </w:r>
        <w:r>
          <w:rPr>
            <w:noProof/>
            <w:webHidden/>
          </w:rPr>
        </w:r>
        <w:r>
          <w:rPr>
            <w:noProof/>
            <w:webHidden/>
          </w:rPr>
          <w:fldChar w:fldCharType="separate"/>
        </w:r>
        <w:r>
          <w:rPr>
            <w:noProof/>
            <w:webHidden/>
          </w:rPr>
          <w:t>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5" w:history="1">
        <w:r w:rsidRPr="001B13A4">
          <w:rPr>
            <w:rStyle w:val="Hyperlink"/>
            <w:noProof/>
          </w:rPr>
          <w:t>2.1.59</w:t>
        </w:r>
        <w:r>
          <w:rPr>
            <w:rFonts w:asciiTheme="minorHAnsi" w:eastAsiaTheme="minorEastAsia" w:hAnsiTheme="minorHAnsi" w:cstheme="minorBidi"/>
            <w:noProof/>
            <w:sz w:val="22"/>
            <w:szCs w:val="22"/>
          </w:rPr>
          <w:tab/>
        </w:r>
        <w:r w:rsidRPr="001B13A4">
          <w:rPr>
            <w:rStyle w:val="Hyperlink"/>
            <w:noProof/>
          </w:rPr>
          <w:t>Part 1 Section 17.3.1.31, shd (Paragraph Shading)</w:t>
        </w:r>
        <w:r>
          <w:rPr>
            <w:noProof/>
            <w:webHidden/>
          </w:rPr>
          <w:tab/>
        </w:r>
        <w:r>
          <w:rPr>
            <w:noProof/>
            <w:webHidden/>
          </w:rPr>
          <w:fldChar w:fldCharType="begin"/>
        </w:r>
        <w:r>
          <w:rPr>
            <w:noProof/>
            <w:webHidden/>
          </w:rPr>
          <w:instrText xml:space="preserve"> PAGEREF _Toc181683095 \h </w:instrText>
        </w:r>
        <w:r>
          <w:rPr>
            <w:noProof/>
            <w:webHidden/>
          </w:rPr>
        </w:r>
        <w:r>
          <w:rPr>
            <w:noProof/>
            <w:webHidden/>
          </w:rPr>
          <w:fldChar w:fldCharType="separate"/>
        </w:r>
        <w:r>
          <w:rPr>
            <w:noProof/>
            <w:webHidden/>
          </w:rPr>
          <w:t>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6" w:history="1">
        <w:r w:rsidRPr="001B13A4">
          <w:rPr>
            <w:rStyle w:val="Hyperlink"/>
            <w:noProof/>
          </w:rPr>
          <w:t>2.1.60</w:t>
        </w:r>
        <w:r>
          <w:rPr>
            <w:rFonts w:asciiTheme="minorHAnsi" w:eastAsiaTheme="minorEastAsia" w:hAnsiTheme="minorHAnsi" w:cstheme="minorBidi"/>
            <w:noProof/>
            <w:sz w:val="22"/>
            <w:szCs w:val="22"/>
          </w:rPr>
          <w:tab/>
        </w:r>
        <w:r w:rsidRPr="001B13A4">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_Toc181683096 \h </w:instrText>
        </w:r>
        <w:r>
          <w:rPr>
            <w:noProof/>
            <w:webHidden/>
          </w:rPr>
        </w:r>
        <w:r>
          <w:rPr>
            <w:noProof/>
            <w:webHidden/>
          </w:rPr>
          <w:fldChar w:fldCharType="separate"/>
        </w:r>
        <w:r>
          <w:rPr>
            <w:noProof/>
            <w:webHidden/>
          </w:rPr>
          <w:t>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7" w:history="1">
        <w:r w:rsidRPr="001B13A4">
          <w:rPr>
            <w:rStyle w:val="Hyperlink"/>
            <w:noProof/>
          </w:rPr>
          <w:t>2.1.61</w:t>
        </w:r>
        <w:r>
          <w:rPr>
            <w:rFonts w:asciiTheme="minorHAnsi" w:eastAsiaTheme="minorEastAsia" w:hAnsiTheme="minorHAnsi" w:cstheme="minorBidi"/>
            <w:noProof/>
            <w:sz w:val="22"/>
            <w:szCs w:val="22"/>
          </w:rPr>
          <w:tab/>
        </w:r>
        <w:r w:rsidRPr="001B13A4">
          <w:rPr>
            <w:rStyle w:val="Hyperlink"/>
            <w:noProof/>
          </w:rPr>
          <w:t>Part 1 Section 17.3.1.37, tab (Custom Tab Stop)</w:t>
        </w:r>
        <w:r>
          <w:rPr>
            <w:noProof/>
            <w:webHidden/>
          </w:rPr>
          <w:tab/>
        </w:r>
        <w:r>
          <w:rPr>
            <w:noProof/>
            <w:webHidden/>
          </w:rPr>
          <w:fldChar w:fldCharType="begin"/>
        </w:r>
        <w:r>
          <w:rPr>
            <w:noProof/>
            <w:webHidden/>
          </w:rPr>
          <w:instrText xml:space="preserve"> PAGEREF _Toc181683097 \h </w:instrText>
        </w:r>
        <w:r>
          <w:rPr>
            <w:noProof/>
            <w:webHidden/>
          </w:rPr>
        </w:r>
        <w:r>
          <w:rPr>
            <w:noProof/>
            <w:webHidden/>
          </w:rPr>
          <w:fldChar w:fldCharType="separate"/>
        </w:r>
        <w:r>
          <w:rPr>
            <w:noProof/>
            <w:webHidden/>
          </w:rPr>
          <w:t>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8" w:history="1">
        <w:r w:rsidRPr="001B13A4">
          <w:rPr>
            <w:rStyle w:val="Hyperlink"/>
            <w:noProof/>
          </w:rPr>
          <w:t>2.1.62</w:t>
        </w:r>
        <w:r>
          <w:rPr>
            <w:rFonts w:asciiTheme="minorHAnsi" w:eastAsiaTheme="minorEastAsia" w:hAnsiTheme="minorHAnsi" w:cstheme="minorBidi"/>
            <w:noProof/>
            <w:sz w:val="22"/>
            <w:szCs w:val="22"/>
          </w:rPr>
          <w:tab/>
        </w:r>
        <w:r w:rsidRPr="001B13A4">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_Toc181683098 \h </w:instrText>
        </w:r>
        <w:r>
          <w:rPr>
            <w:noProof/>
            <w:webHidden/>
          </w:rPr>
        </w:r>
        <w:r>
          <w:rPr>
            <w:noProof/>
            <w:webHidden/>
          </w:rPr>
          <w:fldChar w:fldCharType="separate"/>
        </w:r>
        <w:r>
          <w:rPr>
            <w:noProof/>
            <w:webHidden/>
          </w:rPr>
          <w:t>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099" w:history="1">
        <w:r w:rsidRPr="001B13A4">
          <w:rPr>
            <w:rStyle w:val="Hyperlink"/>
            <w:noProof/>
          </w:rPr>
          <w:t>2.1.63</w:t>
        </w:r>
        <w:r>
          <w:rPr>
            <w:rFonts w:asciiTheme="minorHAnsi" w:eastAsiaTheme="minorEastAsia" w:hAnsiTheme="minorHAnsi" w:cstheme="minorBidi"/>
            <w:noProof/>
            <w:sz w:val="22"/>
            <w:szCs w:val="22"/>
          </w:rPr>
          <w:tab/>
        </w:r>
        <w:r w:rsidRPr="001B13A4">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_Toc181683099 \h </w:instrText>
        </w:r>
        <w:r>
          <w:rPr>
            <w:noProof/>
            <w:webHidden/>
          </w:rPr>
        </w:r>
        <w:r>
          <w:rPr>
            <w:noProof/>
            <w:webHidden/>
          </w:rPr>
          <w:fldChar w:fldCharType="separate"/>
        </w:r>
        <w:r>
          <w:rPr>
            <w:noProof/>
            <w:webHidden/>
          </w:rPr>
          <w:t>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0" w:history="1">
        <w:r w:rsidRPr="001B13A4">
          <w:rPr>
            <w:rStyle w:val="Hyperlink"/>
            <w:noProof/>
          </w:rPr>
          <w:t>2.1.64</w:t>
        </w:r>
        <w:r>
          <w:rPr>
            <w:rFonts w:asciiTheme="minorHAnsi" w:eastAsiaTheme="minorEastAsia" w:hAnsiTheme="minorHAnsi" w:cstheme="minorBidi"/>
            <w:noProof/>
            <w:sz w:val="22"/>
            <w:szCs w:val="22"/>
          </w:rPr>
          <w:tab/>
        </w:r>
        <w:r w:rsidRPr="001B13A4">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_Toc181683100 \h </w:instrText>
        </w:r>
        <w:r>
          <w:rPr>
            <w:noProof/>
            <w:webHidden/>
          </w:rPr>
        </w:r>
        <w:r>
          <w:rPr>
            <w:noProof/>
            <w:webHidden/>
          </w:rPr>
          <w:fldChar w:fldCharType="separate"/>
        </w:r>
        <w:r>
          <w:rPr>
            <w:noProof/>
            <w:webHidden/>
          </w:rPr>
          <w:t>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1" w:history="1">
        <w:r w:rsidRPr="001B13A4">
          <w:rPr>
            <w:rStyle w:val="Hyperlink"/>
            <w:noProof/>
          </w:rPr>
          <w:t>2.1.65</w:t>
        </w:r>
        <w:r>
          <w:rPr>
            <w:rFonts w:asciiTheme="minorHAnsi" w:eastAsiaTheme="minorEastAsia" w:hAnsiTheme="minorHAnsi" w:cstheme="minorBidi"/>
            <w:noProof/>
            <w:sz w:val="22"/>
            <w:szCs w:val="22"/>
          </w:rPr>
          <w:tab/>
        </w:r>
        <w:r w:rsidRPr="001B13A4">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_Toc181683101 \h </w:instrText>
        </w:r>
        <w:r>
          <w:rPr>
            <w:noProof/>
            <w:webHidden/>
          </w:rPr>
        </w:r>
        <w:r>
          <w:rPr>
            <w:noProof/>
            <w:webHidden/>
          </w:rPr>
          <w:fldChar w:fldCharType="separate"/>
        </w:r>
        <w:r>
          <w:rPr>
            <w:noProof/>
            <w:webHidden/>
          </w:rPr>
          <w:t>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2" w:history="1">
        <w:r w:rsidRPr="001B13A4">
          <w:rPr>
            <w:rStyle w:val="Hyperlink"/>
            <w:noProof/>
          </w:rPr>
          <w:t>2.1.66</w:t>
        </w:r>
        <w:r>
          <w:rPr>
            <w:rFonts w:asciiTheme="minorHAnsi" w:eastAsiaTheme="minorEastAsia" w:hAnsiTheme="minorHAnsi" w:cstheme="minorBidi"/>
            <w:noProof/>
            <w:sz w:val="22"/>
            <w:szCs w:val="22"/>
          </w:rPr>
          <w:tab/>
        </w:r>
        <w:r w:rsidRPr="001B13A4">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_Toc181683102 \h </w:instrText>
        </w:r>
        <w:r>
          <w:rPr>
            <w:noProof/>
            <w:webHidden/>
          </w:rPr>
        </w:r>
        <w:r>
          <w:rPr>
            <w:noProof/>
            <w:webHidden/>
          </w:rPr>
          <w:fldChar w:fldCharType="separate"/>
        </w:r>
        <w:r>
          <w:rPr>
            <w:noProof/>
            <w:webHidden/>
          </w:rPr>
          <w:t>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3" w:history="1">
        <w:r w:rsidRPr="001B13A4">
          <w:rPr>
            <w:rStyle w:val="Hyperlink"/>
            <w:noProof/>
          </w:rPr>
          <w:t>2.1.67</w:t>
        </w:r>
        <w:r>
          <w:rPr>
            <w:rFonts w:asciiTheme="minorHAnsi" w:eastAsiaTheme="minorEastAsia" w:hAnsiTheme="minorHAnsi" w:cstheme="minorBidi"/>
            <w:noProof/>
            <w:sz w:val="22"/>
            <w:szCs w:val="22"/>
          </w:rPr>
          <w:tab/>
        </w:r>
        <w:r w:rsidRPr="001B13A4">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_Toc181683103 \h </w:instrText>
        </w:r>
        <w:r>
          <w:rPr>
            <w:noProof/>
            <w:webHidden/>
          </w:rPr>
        </w:r>
        <w:r>
          <w:rPr>
            <w:noProof/>
            <w:webHidden/>
          </w:rPr>
          <w:fldChar w:fldCharType="separate"/>
        </w:r>
        <w:r>
          <w:rPr>
            <w:noProof/>
            <w:webHidden/>
          </w:rPr>
          <w:t>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4" w:history="1">
        <w:r w:rsidRPr="001B13A4">
          <w:rPr>
            <w:rStyle w:val="Hyperlink"/>
            <w:noProof/>
          </w:rPr>
          <w:t>2.1.68</w:t>
        </w:r>
        <w:r>
          <w:rPr>
            <w:rFonts w:asciiTheme="minorHAnsi" w:eastAsiaTheme="minorEastAsia" w:hAnsiTheme="minorHAnsi" w:cstheme="minorBidi"/>
            <w:noProof/>
            <w:sz w:val="22"/>
            <w:szCs w:val="22"/>
          </w:rPr>
          <w:tab/>
        </w:r>
        <w:r w:rsidRPr="001B13A4">
          <w:rPr>
            <w:rStyle w:val="Hyperlink"/>
            <w:noProof/>
          </w:rPr>
          <w:t>Part 1 Section 17.3.2.1, b (Bold)</w:t>
        </w:r>
        <w:r>
          <w:rPr>
            <w:noProof/>
            <w:webHidden/>
          </w:rPr>
          <w:tab/>
        </w:r>
        <w:r>
          <w:rPr>
            <w:noProof/>
            <w:webHidden/>
          </w:rPr>
          <w:fldChar w:fldCharType="begin"/>
        </w:r>
        <w:r>
          <w:rPr>
            <w:noProof/>
            <w:webHidden/>
          </w:rPr>
          <w:instrText xml:space="preserve"> PAGEREF _Toc181683104 \h </w:instrText>
        </w:r>
        <w:r>
          <w:rPr>
            <w:noProof/>
            <w:webHidden/>
          </w:rPr>
        </w:r>
        <w:r>
          <w:rPr>
            <w:noProof/>
            <w:webHidden/>
          </w:rPr>
          <w:fldChar w:fldCharType="separate"/>
        </w:r>
        <w:r>
          <w:rPr>
            <w:noProof/>
            <w:webHidden/>
          </w:rPr>
          <w:t>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5" w:history="1">
        <w:r w:rsidRPr="001B13A4">
          <w:rPr>
            <w:rStyle w:val="Hyperlink"/>
            <w:noProof/>
          </w:rPr>
          <w:t>2.1.69</w:t>
        </w:r>
        <w:r>
          <w:rPr>
            <w:rFonts w:asciiTheme="minorHAnsi" w:eastAsiaTheme="minorEastAsia" w:hAnsiTheme="minorHAnsi" w:cstheme="minorBidi"/>
            <w:noProof/>
            <w:sz w:val="22"/>
            <w:szCs w:val="22"/>
          </w:rPr>
          <w:tab/>
        </w:r>
        <w:r w:rsidRPr="001B13A4">
          <w:rPr>
            <w:rStyle w:val="Hyperlink"/>
            <w:noProof/>
          </w:rPr>
          <w:t>Part 1 Section 17.3.2.2, bCs (Complex Script Bold)</w:t>
        </w:r>
        <w:r>
          <w:rPr>
            <w:noProof/>
            <w:webHidden/>
          </w:rPr>
          <w:tab/>
        </w:r>
        <w:r>
          <w:rPr>
            <w:noProof/>
            <w:webHidden/>
          </w:rPr>
          <w:fldChar w:fldCharType="begin"/>
        </w:r>
        <w:r>
          <w:rPr>
            <w:noProof/>
            <w:webHidden/>
          </w:rPr>
          <w:instrText xml:space="preserve"> PAGEREF _Toc181683105 \h </w:instrText>
        </w:r>
        <w:r>
          <w:rPr>
            <w:noProof/>
            <w:webHidden/>
          </w:rPr>
        </w:r>
        <w:r>
          <w:rPr>
            <w:noProof/>
            <w:webHidden/>
          </w:rPr>
          <w:fldChar w:fldCharType="separate"/>
        </w:r>
        <w:r>
          <w:rPr>
            <w:noProof/>
            <w:webHidden/>
          </w:rPr>
          <w:t>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6" w:history="1">
        <w:r w:rsidRPr="001B13A4">
          <w:rPr>
            <w:rStyle w:val="Hyperlink"/>
            <w:noProof/>
          </w:rPr>
          <w:t>2.1.70</w:t>
        </w:r>
        <w:r>
          <w:rPr>
            <w:rFonts w:asciiTheme="minorHAnsi" w:eastAsiaTheme="minorEastAsia" w:hAnsiTheme="minorHAnsi" w:cstheme="minorBidi"/>
            <w:noProof/>
            <w:sz w:val="22"/>
            <w:szCs w:val="22"/>
          </w:rPr>
          <w:tab/>
        </w:r>
        <w:r w:rsidRPr="001B13A4">
          <w:rPr>
            <w:rStyle w:val="Hyperlink"/>
            <w:noProof/>
          </w:rPr>
          <w:t>Part 1 Section 17.3.2.3, bdo (Bidirectional Override)</w:t>
        </w:r>
        <w:r>
          <w:rPr>
            <w:noProof/>
            <w:webHidden/>
          </w:rPr>
          <w:tab/>
        </w:r>
        <w:r>
          <w:rPr>
            <w:noProof/>
            <w:webHidden/>
          </w:rPr>
          <w:fldChar w:fldCharType="begin"/>
        </w:r>
        <w:r>
          <w:rPr>
            <w:noProof/>
            <w:webHidden/>
          </w:rPr>
          <w:instrText xml:space="preserve"> PAGEREF _Toc181683106 \h </w:instrText>
        </w:r>
        <w:r>
          <w:rPr>
            <w:noProof/>
            <w:webHidden/>
          </w:rPr>
        </w:r>
        <w:r>
          <w:rPr>
            <w:noProof/>
            <w:webHidden/>
          </w:rPr>
          <w:fldChar w:fldCharType="separate"/>
        </w:r>
        <w:r>
          <w:rPr>
            <w:noProof/>
            <w:webHidden/>
          </w:rPr>
          <w:t>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7" w:history="1">
        <w:r w:rsidRPr="001B13A4">
          <w:rPr>
            <w:rStyle w:val="Hyperlink"/>
            <w:noProof/>
          </w:rPr>
          <w:t>2.1.71</w:t>
        </w:r>
        <w:r>
          <w:rPr>
            <w:rFonts w:asciiTheme="minorHAnsi" w:eastAsiaTheme="minorEastAsia" w:hAnsiTheme="minorHAnsi" w:cstheme="minorBidi"/>
            <w:noProof/>
            <w:sz w:val="22"/>
            <w:szCs w:val="22"/>
          </w:rPr>
          <w:tab/>
        </w:r>
        <w:r w:rsidRPr="001B13A4">
          <w:rPr>
            <w:rStyle w:val="Hyperlink"/>
            <w:noProof/>
          </w:rPr>
          <w:t>Part 1 Section 17.3.2.4, bdr (Text Border)</w:t>
        </w:r>
        <w:r>
          <w:rPr>
            <w:noProof/>
            <w:webHidden/>
          </w:rPr>
          <w:tab/>
        </w:r>
        <w:r>
          <w:rPr>
            <w:noProof/>
            <w:webHidden/>
          </w:rPr>
          <w:fldChar w:fldCharType="begin"/>
        </w:r>
        <w:r>
          <w:rPr>
            <w:noProof/>
            <w:webHidden/>
          </w:rPr>
          <w:instrText xml:space="preserve"> PAGEREF _Toc181683107 \h </w:instrText>
        </w:r>
        <w:r>
          <w:rPr>
            <w:noProof/>
            <w:webHidden/>
          </w:rPr>
        </w:r>
        <w:r>
          <w:rPr>
            <w:noProof/>
            <w:webHidden/>
          </w:rPr>
          <w:fldChar w:fldCharType="separate"/>
        </w:r>
        <w:r>
          <w:rPr>
            <w:noProof/>
            <w:webHidden/>
          </w:rPr>
          <w:t>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8" w:history="1">
        <w:r w:rsidRPr="001B13A4">
          <w:rPr>
            <w:rStyle w:val="Hyperlink"/>
            <w:noProof/>
          </w:rPr>
          <w:t>2.1.72</w:t>
        </w:r>
        <w:r>
          <w:rPr>
            <w:rFonts w:asciiTheme="minorHAnsi" w:eastAsiaTheme="minorEastAsia" w:hAnsiTheme="minorHAnsi" w:cstheme="minorBidi"/>
            <w:noProof/>
            <w:sz w:val="22"/>
            <w:szCs w:val="22"/>
          </w:rPr>
          <w:tab/>
        </w:r>
        <w:r w:rsidRPr="001B13A4">
          <w:rPr>
            <w:rStyle w:val="Hyperlink"/>
            <w:noProof/>
          </w:rPr>
          <w:t>Part 1 Section 17.3.2.6, color (Run Content Color)</w:t>
        </w:r>
        <w:r>
          <w:rPr>
            <w:noProof/>
            <w:webHidden/>
          </w:rPr>
          <w:tab/>
        </w:r>
        <w:r>
          <w:rPr>
            <w:noProof/>
            <w:webHidden/>
          </w:rPr>
          <w:fldChar w:fldCharType="begin"/>
        </w:r>
        <w:r>
          <w:rPr>
            <w:noProof/>
            <w:webHidden/>
          </w:rPr>
          <w:instrText xml:space="preserve"> PAGEREF _Toc181683108 \h </w:instrText>
        </w:r>
        <w:r>
          <w:rPr>
            <w:noProof/>
            <w:webHidden/>
          </w:rPr>
        </w:r>
        <w:r>
          <w:rPr>
            <w:noProof/>
            <w:webHidden/>
          </w:rPr>
          <w:fldChar w:fldCharType="separate"/>
        </w:r>
        <w:r>
          <w:rPr>
            <w:noProof/>
            <w:webHidden/>
          </w:rPr>
          <w:t>68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09" w:history="1">
        <w:r w:rsidRPr="001B13A4">
          <w:rPr>
            <w:rStyle w:val="Hyperlink"/>
            <w:noProof/>
          </w:rPr>
          <w:t>2.1.73</w:t>
        </w:r>
        <w:r>
          <w:rPr>
            <w:rFonts w:asciiTheme="minorHAnsi" w:eastAsiaTheme="minorEastAsia" w:hAnsiTheme="minorHAnsi" w:cstheme="minorBidi"/>
            <w:noProof/>
            <w:sz w:val="22"/>
            <w:szCs w:val="22"/>
          </w:rPr>
          <w:tab/>
        </w:r>
        <w:r w:rsidRPr="001B13A4">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_Toc181683109 \h </w:instrText>
        </w:r>
        <w:r>
          <w:rPr>
            <w:noProof/>
            <w:webHidden/>
          </w:rPr>
        </w:r>
        <w:r>
          <w:rPr>
            <w:noProof/>
            <w:webHidden/>
          </w:rPr>
          <w:fldChar w:fldCharType="separate"/>
        </w:r>
        <w:r>
          <w:rPr>
            <w:noProof/>
            <w:webHidden/>
          </w:rPr>
          <w:t>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0" w:history="1">
        <w:r w:rsidRPr="001B13A4">
          <w:rPr>
            <w:rStyle w:val="Hyperlink"/>
            <w:noProof/>
          </w:rPr>
          <w:t>2.1.74</w:t>
        </w:r>
        <w:r>
          <w:rPr>
            <w:rFonts w:asciiTheme="minorHAnsi" w:eastAsiaTheme="minorEastAsia" w:hAnsiTheme="minorHAnsi" w:cstheme="minorBidi"/>
            <w:noProof/>
            <w:sz w:val="22"/>
            <w:szCs w:val="22"/>
          </w:rPr>
          <w:tab/>
        </w:r>
        <w:r w:rsidRPr="001B13A4">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_Toc181683110 \h </w:instrText>
        </w:r>
        <w:r>
          <w:rPr>
            <w:noProof/>
            <w:webHidden/>
          </w:rPr>
        </w:r>
        <w:r>
          <w:rPr>
            <w:noProof/>
            <w:webHidden/>
          </w:rPr>
          <w:fldChar w:fldCharType="separate"/>
        </w:r>
        <w:r>
          <w:rPr>
            <w:noProof/>
            <w:webHidden/>
          </w:rPr>
          <w:t>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1" w:history="1">
        <w:r w:rsidRPr="001B13A4">
          <w:rPr>
            <w:rStyle w:val="Hyperlink"/>
            <w:noProof/>
          </w:rPr>
          <w:t>2.1.75</w:t>
        </w:r>
        <w:r>
          <w:rPr>
            <w:rFonts w:asciiTheme="minorHAnsi" w:eastAsiaTheme="minorEastAsia" w:hAnsiTheme="minorHAnsi" w:cstheme="minorBidi"/>
            <w:noProof/>
            <w:sz w:val="22"/>
            <w:szCs w:val="22"/>
          </w:rPr>
          <w:tab/>
        </w:r>
        <w:r w:rsidRPr="001B13A4">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_Toc181683111 \h </w:instrText>
        </w:r>
        <w:r>
          <w:rPr>
            <w:noProof/>
            <w:webHidden/>
          </w:rPr>
        </w:r>
        <w:r>
          <w:rPr>
            <w:noProof/>
            <w:webHidden/>
          </w:rPr>
          <w:fldChar w:fldCharType="separate"/>
        </w:r>
        <w:r>
          <w:rPr>
            <w:noProof/>
            <w:webHidden/>
          </w:rPr>
          <w:t>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2" w:history="1">
        <w:r w:rsidRPr="001B13A4">
          <w:rPr>
            <w:rStyle w:val="Hyperlink"/>
            <w:noProof/>
          </w:rPr>
          <w:t>2.1.76</w:t>
        </w:r>
        <w:r>
          <w:rPr>
            <w:rFonts w:asciiTheme="minorHAnsi" w:eastAsiaTheme="minorEastAsia" w:hAnsiTheme="minorHAnsi" w:cstheme="minorBidi"/>
            <w:noProof/>
            <w:sz w:val="22"/>
            <w:szCs w:val="22"/>
          </w:rPr>
          <w:tab/>
        </w:r>
        <w:r w:rsidRPr="001B13A4">
          <w:rPr>
            <w:rStyle w:val="Hyperlink"/>
            <w:noProof/>
          </w:rPr>
          <w:t>Part 1 Section 17.3.2.11, effect (Animated Text Effect)</w:t>
        </w:r>
        <w:r>
          <w:rPr>
            <w:noProof/>
            <w:webHidden/>
          </w:rPr>
          <w:tab/>
        </w:r>
        <w:r>
          <w:rPr>
            <w:noProof/>
            <w:webHidden/>
          </w:rPr>
          <w:fldChar w:fldCharType="begin"/>
        </w:r>
        <w:r>
          <w:rPr>
            <w:noProof/>
            <w:webHidden/>
          </w:rPr>
          <w:instrText xml:space="preserve"> PAGEREF _Toc181683112 \h </w:instrText>
        </w:r>
        <w:r>
          <w:rPr>
            <w:noProof/>
            <w:webHidden/>
          </w:rPr>
        </w:r>
        <w:r>
          <w:rPr>
            <w:noProof/>
            <w:webHidden/>
          </w:rPr>
          <w:fldChar w:fldCharType="separate"/>
        </w:r>
        <w:r>
          <w:rPr>
            <w:noProof/>
            <w:webHidden/>
          </w:rPr>
          <w:t>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3" w:history="1">
        <w:r w:rsidRPr="001B13A4">
          <w:rPr>
            <w:rStyle w:val="Hyperlink"/>
            <w:noProof/>
          </w:rPr>
          <w:t>2.1.77</w:t>
        </w:r>
        <w:r>
          <w:rPr>
            <w:rFonts w:asciiTheme="minorHAnsi" w:eastAsiaTheme="minorEastAsia" w:hAnsiTheme="minorHAnsi" w:cstheme="minorBidi"/>
            <w:noProof/>
            <w:sz w:val="22"/>
            <w:szCs w:val="22"/>
          </w:rPr>
          <w:tab/>
        </w:r>
        <w:r w:rsidRPr="001B13A4">
          <w:rPr>
            <w:rStyle w:val="Hyperlink"/>
            <w:noProof/>
          </w:rPr>
          <w:t>Part 1 Section 17.3.2.13, emboss (Embossing)</w:t>
        </w:r>
        <w:r>
          <w:rPr>
            <w:noProof/>
            <w:webHidden/>
          </w:rPr>
          <w:tab/>
        </w:r>
        <w:r>
          <w:rPr>
            <w:noProof/>
            <w:webHidden/>
          </w:rPr>
          <w:fldChar w:fldCharType="begin"/>
        </w:r>
        <w:r>
          <w:rPr>
            <w:noProof/>
            <w:webHidden/>
          </w:rPr>
          <w:instrText xml:space="preserve"> PAGEREF _Toc181683113 \h </w:instrText>
        </w:r>
        <w:r>
          <w:rPr>
            <w:noProof/>
            <w:webHidden/>
          </w:rPr>
        </w:r>
        <w:r>
          <w:rPr>
            <w:noProof/>
            <w:webHidden/>
          </w:rPr>
          <w:fldChar w:fldCharType="separate"/>
        </w:r>
        <w:r>
          <w:rPr>
            <w:noProof/>
            <w:webHidden/>
          </w:rPr>
          <w:t>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4" w:history="1">
        <w:r w:rsidRPr="001B13A4">
          <w:rPr>
            <w:rStyle w:val="Hyperlink"/>
            <w:noProof/>
          </w:rPr>
          <w:t>2.1.78</w:t>
        </w:r>
        <w:r>
          <w:rPr>
            <w:rFonts w:asciiTheme="minorHAnsi" w:eastAsiaTheme="minorEastAsia" w:hAnsiTheme="minorHAnsi" w:cstheme="minorBidi"/>
            <w:noProof/>
            <w:sz w:val="22"/>
            <w:szCs w:val="22"/>
          </w:rPr>
          <w:tab/>
        </w:r>
        <w:r w:rsidRPr="001B13A4">
          <w:rPr>
            <w:rStyle w:val="Hyperlink"/>
            <w:noProof/>
          </w:rPr>
          <w:t>Part 1 Section 17.3.2.14, fitText (Manual Run Width)</w:t>
        </w:r>
        <w:r>
          <w:rPr>
            <w:noProof/>
            <w:webHidden/>
          </w:rPr>
          <w:tab/>
        </w:r>
        <w:r>
          <w:rPr>
            <w:noProof/>
            <w:webHidden/>
          </w:rPr>
          <w:fldChar w:fldCharType="begin"/>
        </w:r>
        <w:r>
          <w:rPr>
            <w:noProof/>
            <w:webHidden/>
          </w:rPr>
          <w:instrText xml:space="preserve"> PAGEREF _Toc181683114 \h </w:instrText>
        </w:r>
        <w:r>
          <w:rPr>
            <w:noProof/>
            <w:webHidden/>
          </w:rPr>
        </w:r>
        <w:r>
          <w:rPr>
            <w:noProof/>
            <w:webHidden/>
          </w:rPr>
          <w:fldChar w:fldCharType="separate"/>
        </w:r>
        <w:r>
          <w:rPr>
            <w:noProof/>
            <w:webHidden/>
          </w:rPr>
          <w:t>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5" w:history="1">
        <w:r w:rsidRPr="001B13A4">
          <w:rPr>
            <w:rStyle w:val="Hyperlink"/>
            <w:noProof/>
          </w:rPr>
          <w:t>2.1.79</w:t>
        </w:r>
        <w:r>
          <w:rPr>
            <w:rFonts w:asciiTheme="minorHAnsi" w:eastAsiaTheme="minorEastAsia" w:hAnsiTheme="minorHAnsi" w:cstheme="minorBidi"/>
            <w:noProof/>
            <w:sz w:val="22"/>
            <w:szCs w:val="22"/>
          </w:rPr>
          <w:tab/>
        </w:r>
        <w:r w:rsidRPr="001B13A4">
          <w:rPr>
            <w:rStyle w:val="Hyperlink"/>
            <w:noProof/>
          </w:rPr>
          <w:t>Part 1 Section 17.3.2.15, highlight (Text Highlighting)</w:t>
        </w:r>
        <w:r>
          <w:rPr>
            <w:noProof/>
            <w:webHidden/>
          </w:rPr>
          <w:tab/>
        </w:r>
        <w:r>
          <w:rPr>
            <w:noProof/>
            <w:webHidden/>
          </w:rPr>
          <w:fldChar w:fldCharType="begin"/>
        </w:r>
        <w:r>
          <w:rPr>
            <w:noProof/>
            <w:webHidden/>
          </w:rPr>
          <w:instrText xml:space="preserve"> PAGEREF _Toc181683115 \h </w:instrText>
        </w:r>
        <w:r>
          <w:rPr>
            <w:noProof/>
            <w:webHidden/>
          </w:rPr>
        </w:r>
        <w:r>
          <w:rPr>
            <w:noProof/>
            <w:webHidden/>
          </w:rPr>
          <w:fldChar w:fldCharType="separate"/>
        </w:r>
        <w:r>
          <w:rPr>
            <w:noProof/>
            <w:webHidden/>
          </w:rPr>
          <w:t>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6" w:history="1">
        <w:r w:rsidRPr="001B13A4">
          <w:rPr>
            <w:rStyle w:val="Hyperlink"/>
            <w:noProof/>
          </w:rPr>
          <w:t>2.1.80</w:t>
        </w:r>
        <w:r>
          <w:rPr>
            <w:rFonts w:asciiTheme="minorHAnsi" w:eastAsiaTheme="minorEastAsia" w:hAnsiTheme="minorHAnsi" w:cstheme="minorBidi"/>
            <w:noProof/>
            <w:sz w:val="22"/>
            <w:szCs w:val="22"/>
          </w:rPr>
          <w:tab/>
        </w:r>
        <w:r w:rsidRPr="001B13A4">
          <w:rPr>
            <w:rStyle w:val="Hyperlink"/>
            <w:noProof/>
          </w:rPr>
          <w:t>Part 1 Section 17.3.2.16, i (Italics)</w:t>
        </w:r>
        <w:r>
          <w:rPr>
            <w:noProof/>
            <w:webHidden/>
          </w:rPr>
          <w:tab/>
        </w:r>
        <w:r>
          <w:rPr>
            <w:noProof/>
            <w:webHidden/>
          </w:rPr>
          <w:fldChar w:fldCharType="begin"/>
        </w:r>
        <w:r>
          <w:rPr>
            <w:noProof/>
            <w:webHidden/>
          </w:rPr>
          <w:instrText xml:space="preserve"> PAGEREF _Toc181683116 \h </w:instrText>
        </w:r>
        <w:r>
          <w:rPr>
            <w:noProof/>
            <w:webHidden/>
          </w:rPr>
        </w:r>
        <w:r>
          <w:rPr>
            <w:noProof/>
            <w:webHidden/>
          </w:rPr>
          <w:fldChar w:fldCharType="separate"/>
        </w:r>
        <w:r>
          <w:rPr>
            <w:noProof/>
            <w:webHidden/>
          </w:rPr>
          <w:t>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7" w:history="1">
        <w:r w:rsidRPr="001B13A4">
          <w:rPr>
            <w:rStyle w:val="Hyperlink"/>
            <w:noProof/>
          </w:rPr>
          <w:t>2.1.81</w:t>
        </w:r>
        <w:r>
          <w:rPr>
            <w:rFonts w:asciiTheme="minorHAnsi" w:eastAsiaTheme="minorEastAsia" w:hAnsiTheme="minorHAnsi" w:cstheme="minorBidi"/>
            <w:noProof/>
            <w:sz w:val="22"/>
            <w:szCs w:val="22"/>
          </w:rPr>
          <w:tab/>
        </w:r>
        <w:r w:rsidRPr="001B13A4">
          <w:rPr>
            <w:rStyle w:val="Hyperlink"/>
            <w:noProof/>
          </w:rPr>
          <w:t>Part 1 Section 17.3.2.17, iCs (Complex Script Italics)</w:t>
        </w:r>
        <w:r>
          <w:rPr>
            <w:noProof/>
            <w:webHidden/>
          </w:rPr>
          <w:tab/>
        </w:r>
        <w:r>
          <w:rPr>
            <w:noProof/>
            <w:webHidden/>
          </w:rPr>
          <w:fldChar w:fldCharType="begin"/>
        </w:r>
        <w:r>
          <w:rPr>
            <w:noProof/>
            <w:webHidden/>
          </w:rPr>
          <w:instrText xml:space="preserve"> PAGEREF _Toc181683117 \h </w:instrText>
        </w:r>
        <w:r>
          <w:rPr>
            <w:noProof/>
            <w:webHidden/>
          </w:rPr>
        </w:r>
        <w:r>
          <w:rPr>
            <w:noProof/>
            <w:webHidden/>
          </w:rPr>
          <w:fldChar w:fldCharType="separate"/>
        </w:r>
        <w:r>
          <w:rPr>
            <w:noProof/>
            <w:webHidden/>
          </w:rPr>
          <w:t>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8" w:history="1">
        <w:r w:rsidRPr="001B13A4">
          <w:rPr>
            <w:rStyle w:val="Hyperlink"/>
            <w:noProof/>
          </w:rPr>
          <w:t>2.1.82</w:t>
        </w:r>
        <w:r>
          <w:rPr>
            <w:rFonts w:asciiTheme="minorHAnsi" w:eastAsiaTheme="minorEastAsia" w:hAnsiTheme="minorHAnsi" w:cstheme="minorBidi"/>
            <w:noProof/>
            <w:sz w:val="22"/>
            <w:szCs w:val="22"/>
          </w:rPr>
          <w:tab/>
        </w:r>
        <w:r w:rsidRPr="001B13A4">
          <w:rPr>
            <w:rStyle w:val="Hyperlink"/>
            <w:noProof/>
          </w:rPr>
          <w:t>Part 1 Section 17.3.2.18, imprint (Imprinting)</w:t>
        </w:r>
        <w:r>
          <w:rPr>
            <w:noProof/>
            <w:webHidden/>
          </w:rPr>
          <w:tab/>
        </w:r>
        <w:r>
          <w:rPr>
            <w:noProof/>
            <w:webHidden/>
          </w:rPr>
          <w:fldChar w:fldCharType="begin"/>
        </w:r>
        <w:r>
          <w:rPr>
            <w:noProof/>
            <w:webHidden/>
          </w:rPr>
          <w:instrText xml:space="preserve"> PAGEREF _Toc181683118 \h </w:instrText>
        </w:r>
        <w:r>
          <w:rPr>
            <w:noProof/>
            <w:webHidden/>
          </w:rPr>
        </w:r>
        <w:r>
          <w:rPr>
            <w:noProof/>
            <w:webHidden/>
          </w:rPr>
          <w:fldChar w:fldCharType="separate"/>
        </w:r>
        <w:r>
          <w:rPr>
            <w:noProof/>
            <w:webHidden/>
          </w:rPr>
          <w:t>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19" w:history="1">
        <w:r w:rsidRPr="001B13A4">
          <w:rPr>
            <w:rStyle w:val="Hyperlink"/>
            <w:noProof/>
          </w:rPr>
          <w:t>2.1.83</w:t>
        </w:r>
        <w:r>
          <w:rPr>
            <w:rFonts w:asciiTheme="minorHAnsi" w:eastAsiaTheme="minorEastAsia" w:hAnsiTheme="minorHAnsi" w:cstheme="minorBidi"/>
            <w:noProof/>
            <w:sz w:val="22"/>
            <w:szCs w:val="22"/>
          </w:rPr>
          <w:tab/>
        </w:r>
        <w:r w:rsidRPr="001B13A4">
          <w:rPr>
            <w:rStyle w:val="Hyperlink"/>
            <w:noProof/>
          </w:rPr>
          <w:t>Part 1 Section 17.3.2.19, kern (Font Kerning)</w:t>
        </w:r>
        <w:r>
          <w:rPr>
            <w:noProof/>
            <w:webHidden/>
          </w:rPr>
          <w:tab/>
        </w:r>
        <w:r>
          <w:rPr>
            <w:noProof/>
            <w:webHidden/>
          </w:rPr>
          <w:fldChar w:fldCharType="begin"/>
        </w:r>
        <w:r>
          <w:rPr>
            <w:noProof/>
            <w:webHidden/>
          </w:rPr>
          <w:instrText xml:space="preserve"> PAGEREF _Toc181683119 \h </w:instrText>
        </w:r>
        <w:r>
          <w:rPr>
            <w:noProof/>
            <w:webHidden/>
          </w:rPr>
        </w:r>
        <w:r>
          <w:rPr>
            <w:noProof/>
            <w:webHidden/>
          </w:rPr>
          <w:fldChar w:fldCharType="separate"/>
        </w:r>
        <w:r>
          <w:rPr>
            <w:noProof/>
            <w:webHidden/>
          </w:rPr>
          <w:t>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0" w:history="1">
        <w:r w:rsidRPr="001B13A4">
          <w:rPr>
            <w:rStyle w:val="Hyperlink"/>
            <w:noProof/>
          </w:rPr>
          <w:t>2.1.84</w:t>
        </w:r>
        <w:r>
          <w:rPr>
            <w:rFonts w:asciiTheme="minorHAnsi" w:eastAsiaTheme="minorEastAsia" w:hAnsiTheme="minorHAnsi" w:cstheme="minorBidi"/>
            <w:noProof/>
            <w:sz w:val="22"/>
            <w:szCs w:val="22"/>
          </w:rPr>
          <w:tab/>
        </w:r>
        <w:r w:rsidRPr="001B13A4">
          <w:rPr>
            <w:rStyle w:val="Hyperlink"/>
            <w:noProof/>
          </w:rPr>
          <w:t>Part 1 Section 17.3.2.20, lang (Languages for Run Content)</w:t>
        </w:r>
        <w:r>
          <w:rPr>
            <w:noProof/>
            <w:webHidden/>
          </w:rPr>
          <w:tab/>
        </w:r>
        <w:r>
          <w:rPr>
            <w:noProof/>
            <w:webHidden/>
          </w:rPr>
          <w:fldChar w:fldCharType="begin"/>
        </w:r>
        <w:r>
          <w:rPr>
            <w:noProof/>
            <w:webHidden/>
          </w:rPr>
          <w:instrText xml:space="preserve"> PAGEREF _Toc181683120 \h </w:instrText>
        </w:r>
        <w:r>
          <w:rPr>
            <w:noProof/>
            <w:webHidden/>
          </w:rPr>
        </w:r>
        <w:r>
          <w:rPr>
            <w:noProof/>
            <w:webHidden/>
          </w:rPr>
          <w:fldChar w:fldCharType="separate"/>
        </w:r>
        <w:r>
          <w:rPr>
            <w:noProof/>
            <w:webHidden/>
          </w:rPr>
          <w:t>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1" w:history="1">
        <w:r w:rsidRPr="001B13A4">
          <w:rPr>
            <w:rStyle w:val="Hyperlink"/>
            <w:noProof/>
          </w:rPr>
          <w:t>2.1.85</w:t>
        </w:r>
        <w:r>
          <w:rPr>
            <w:rFonts w:asciiTheme="minorHAnsi" w:eastAsiaTheme="minorEastAsia" w:hAnsiTheme="minorHAnsi" w:cstheme="minorBidi"/>
            <w:noProof/>
            <w:sz w:val="22"/>
            <w:szCs w:val="22"/>
          </w:rPr>
          <w:tab/>
        </w:r>
        <w:r w:rsidRPr="001B13A4">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_Toc181683121 \h </w:instrText>
        </w:r>
        <w:r>
          <w:rPr>
            <w:noProof/>
            <w:webHidden/>
          </w:rPr>
        </w:r>
        <w:r>
          <w:rPr>
            <w:noProof/>
            <w:webHidden/>
          </w:rPr>
          <w:fldChar w:fldCharType="separate"/>
        </w:r>
        <w:r>
          <w:rPr>
            <w:noProof/>
            <w:webHidden/>
          </w:rPr>
          <w:t>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2" w:history="1">
        <w:r w:rsidRPr="001B13A4">
          <w:rPr>
            <w:rStyle w:val="Hyperlink"/>
            <w:noProof/>
          </w:rPr>
          <w:t>2.1.86</w:t>
        </w:r>
        <w:r>
          <w:rPr>
            <w:rFonts w:asciiTheme="minorHAnsi" w:eastAsiaTheme="minorEastAsia" w:hAnsiTheme="minorHAnsi" w:cstheme="minorBidi"/>
            <w:noProof/>
            <w:sz w:val="22"/>
            <w:szCs w:val="22"/>
          </w:rPr>
          <w:tab/>
        </w:r>
        <w:r w:rsidRPr="001B13A4">
          <w:rPr>
            <w:rStyle w:val="Hyperlink"/>
            <w:noProof/>
          </w:rPr>
          <w:t>Part 1 Section 17.3.2.22, oMath (Office Open XML Math)</w:t>
        </w:r>
        <w:r>
          <w:rPr>
            <w:noProof/>
            <w:webHidden/>
          </w:rPr>
          <w:tab/>
        </w:r>
        <w:r>
          <w:rPr>
            <w:noProof/>
            <w:webHidden/>
          </w:rPr>
          <w:fldChar w:fldCharType="begin"/>
        </w:r>
        <w:r>
          <w:rPr>
            <w:noProof/>
            <w:webHidden/>
          </w:rPr>
          <w:instrText xml:space="preserve"> PAGEREF _Toc181683122 \h </w:instrText>
        </w:r>
        <w:r>
          <w:rPr>
            <w:noProof/>
            <w:webHidden/>
          </w:rPr>
        </w:r>
        <w:r>
          <w:rPr>
            <w:noProof/>
            <w:webHidden/>
          </w:rPr>
          <w:fldChar w:fldCharType="separate"/>
        </w:r>
        <w:r>
          <w:rPr>
            <w:noProof/>
            <w:webHidden/>
          </w:rPr>
          <w:t>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3" w:history="1">
        <w:r w:rsidRPr="001B13A4">
          <w:rPr>
            <w:rStyle w:val="Hyperlink"/>
            <w:noProof/>
          </w:rPr>
          <w:t>2.1.87</w:t>
        </w:r>
        <w:r>
          <w:rPr>
            <w:rFonts w:asciiTheme="minorHAnsi" w:eastAsiaTheme="minorEastAsia" w:hAnsiTheme="minorHAnsi" w:cstheme="minorBidi"/>
            <w:noProof/>
            <w:sz w:val="22"/>
            <w:szCs w:val="22"/>
          </w:rPr>
          <w:tab/>
        </w:r>
        <w:r w:rsidRPr="001B13A4">
          <w:rPr>
            <w:rStyle w:val="Hyperlink"/>
            <w:noProof/>
          </w:rPr>
          <w:t>Part 1 Section 17.3.2.25, r (Text Run)</w:t>
        </w:r>
        <w:r>
          <w:rPr>
            <w:noProof/>
            <w:webHidden/>
          </w:rPr>
          <w:tab/>
        </w:r>
        <w:r>
          <w:rPr>
            <w:noProof/>
            <w:webHidden/>
          </w:rPr>
          <w:fldChar w:fldCharType="begin"/>
        </w:r>
        <w:r>
          <w:rPr>
            <w:noProof/>
            <w:webHidden/>
          </w:rPr>
          <w:instrText xml:space="preserve"> PAGEREF _Toc181683123 \h </w:instrText>
        </w:r>
        <w:r>
          <w:rPr>
            <w:noProof/>
            <w:webHidden/>
          </w:rPr>
        </w:r>
        <w:r>
          <w:rPr>
            <w:noProof/>
            <w:webHidden/>
          </w:rPr>
          <w:fldChar w:fldCharType="separate"/>
        </w:r>
        <w:r>
          <w:rPr>
            <w:noProof/>
            <w:webHidden/>
          </w:rPr>
          <w:t>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4" w:history="1">
        <w:r w:rsidRPr="001B13A4">
          <w:rPr>
            <w:rStyle w:val="Hyperlink"/>
            <w:noProof/>
          </w:rPr>
          <w:t>2.1.88</w:t>
        </w:r>
        <w:r>
          <w:rPr>
            <w:rFonts w:asciiTheme="minorHAnsi" w:eastAsiaTheme="minorEastAsia" w:hAnsiTheme="minorHAnsi" w:cstheme="minorBidi"/>
            <w:noProof/>
            <w:sz w:val="22"/>
            <w:szCs w:val="22"/>
          </w:rPr>
          <w:tab/>
        </w:r>
        <w:r w:rsidRPr="001B13A4">
          <w:rPr>
            <w:rStyle w:val="Hyperlink"/>
            <w:noProof/>
          </w:rPr>
          <w:t>Part 1 Section 17.3.2.26, rFonts (Run Fonts)</w:t>
        </w:r>
        <w:r>
          <w:rPr>
            <w:noProof/>
            <w:webHidden/>
          </w:rPr>
          <w:tab/>
        </w:r>
        <w:r>
          <w:rPr>
            <w:noProof/>
            <w:webHidden/>
          </w:rPr>
          <w:fldChar w:fldCharType="begin"/>
        </w:r>
        <w:r>
          <w:rPr>
            <w:noProof/>
            <w:webHidden/>
          </w:rPr>
          <w:instrText xml:space="preserve"> PAGEREF _Toc181683124 \h </w:instrText>
        </w:r>
        <w:r>
          <w:rPr>
            <w:noProof/>
            <w:webHidden/>
          </w:rPr>
        </w:r>
        <w:r>
          <w:rPr>
            <w:noProof/>
            <w:webHidden/>
          </w:rPr>
          <w:fldChar w:fldCharType="separate"/>
        </w:r>
        <w:r>
          <w:rPr>
            <w:noProof/>
            <w:webHidden/>
          </w:rPr>
          <w:t>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5" w:history="1">
        <w:r w:rsidRPr="001B13A4">
          <w:rPr>
            <w:rStyle w:val="Hyperlink"/>
            <w:noProof/>
          </w:rPr>
          <w:t>2.1.89</w:t>
        </w:r>
        <w:r>
          <w:rPr>
            <w:rFonts w:asciiTheme="minorHAnsi" w:eastAsiaTheme="minorEastAsia" w:hAnsiTheme="minorHAnsi" w:cstheme="minorBidi"/>
            <w:noProof/>
            <w:sz w:val="22"/>
            <w:szCs w:val="22"/>
          </w:rPr>
          <w:tab/>
        </w:r>
        <w:r w:rsidRPr="001B13A4">
          <w:rPr>
            <w:rStyle w:val="Hyperlink"/>
            <w:noProof/>
          </w:rPr>
          <w:t>Part 1 Section 17.3.2.27, rPr (Previous Run Properties)</w:t>
        </w:r>
        <w:r>
          <w:rPr>
            <w:noProof/>
            <w:webHidden/>
          </w:rPr>
          <w:tab/>
        </w:r>
        <w:r>
          <w:rPr>
            <w:noProof/>
            <w:webHidden/>
          </w:rPr>
          <w:fldChar w:fldCharType="begin"/>
        </w:r>
        <w:r>
          <w:rPr>
            <w:noProof/>
            <w:webHidden/>
          </w:rPr>
          <w:instrText xml:space="preserve"> PAGEREF _Toc181683125 \h </w:instrText>
        </w:r>
        <w:r>
          <w:rPr>
            <w:noProof/>
            <w:webHidden/>
          </w:rPr>
        </w:r>
        <w:r>
          <w:rPr>
            <w:noProof/>
            <w:webHidden/>
          </w:rPr>
          <w:fldChar w:fldCharType="separate"/>
        </w:r>
        <w:r>
          <w:rPr>
            <w:noProof/>
            <w:webHidden/>
          </w:rPr>
          <w:t>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6" w:history="1">
        <w:r w:rsidRPr="001B13A4">
          <w:rPr>
            <w:rStyle w:val="Hyperlink"/>
            <w:noProof/>
          </w:rPr>
          <w:t>2.1.90</w:t>
        </w:r>
        <w:r>
          <w:rPr>
            <w:rFonts w:asciiTheme="minorHAnsi" w:eastAsiaTheme="minorEastAsia" w:hAnsiTheme="minorHAnsi" w:cstheme="minorBidi"/>
            <w:noProof/>
            <w:sz w:val="22"/>
            <w:szCs w:val="22"/>
          </w:rPr>
          <w:tab/>
        </w:r>
        <w:r w:rsidRPr="001B13A4">
          <w:rPr>
            <w:rStyle w:val="Hyperlink"/>
            <w:noProof/>
          </w:rPr>
          <w:t>Part 1 Section 17.3.2.28, rPr (Run Properties)</w:t>
        </w:r>
        <w:r>
          <w:rPr>
            <w:noProof/>
            <w:webHidden/>
          </w:rPr>
          <w:tab/>
        </w:r>
        <w:r>
          <w:rPr>
            <w:noProof/>
            <w:webHidden/>
          </w:rPr>
          <w:fldChar w:fldCharType="begin"/>
        </w:r>
        <w:r>
          <w:rPr>
            <w:noProof/>
            <w:webHidden/>
          </w:rPr>
          <w:instrText xml:space="preserve"> PAGEREF _Toc181683126 \h </w:instrText>
        </w:r>
        <w:r>
          <w:rPr>
            <w:noProof/>
            <w:webHidden/>
          </w:rPr>
        </w:r>
        <w:r>
          <w:rPr>
            <w:noProof/>
            <w:webHidden/>
          </w:rPr>
          <w:fldChar w:fldCharType="separate"/>
        </w:r>
        <w:r>
          <w:rPr>
            <w:noProof/>
            <w:webHidden/>
          </w:rPr>
          <w:t>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7" w:history="1">
        <w:r w:rsidRPr="001B13A4">
          <w:rPr>
            <w:rStyle w:val="Hyperlink"/>
            <w:noProof/>
          </w:rPr>
          <w:t>2.1.91</w:t>
        </w:r>
        <w:r>
          <w:rPr>
            <w:rFonts w:asciiTheme="minorHAnsi" w:eastAsiaTheme="minorEastAsia" w:hAnsiTheme="minorHAnsi" w:cstheme="minorBidi"/>
            <w:noProof/>
            <w:sz w:val="22"/>
            <w:szCs w:val="22"/>
          </w:rPr>
          <w:tab/>
        </w:r>
        <w:r w:rsidRPr="001B13A4">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_Toc181683127 \h </w:instrText>
        </w:r>
        <w:r>
          <w:rPr>
            <w:noProof/>
            <w:webHidden/>
          </w:rPr>
        </w:r>
        <w:r>
          <w:rPr>
            <w:noProof/>
            <w:webHidden/>
          </w:rPr>
          <w:fldChar w:fldCharType="separate"/>
        </w:r>
        <w:r>
          <w:rPr>
            <w:noProof/>
            <w:webHidden/>
          </w:rPr>
          <w:t>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8" w:history="1">
        <w:r w:rsidRPr="001B13A4">
          <w:rPr>
            <w:rStyle w:val="Hyperlink"/>
            <w:noProof/>
          </w:rPr>
          <w:t>2.1.92</w:t>
        </w:r>
        <w:r>
          <w:rPr>
            <w:rFonts w:asciiTheme="minorHAnsi" w:eastAsiaTheme="minorEastAsia" w:hAnsiTheme="minorHAnsi" w:cstheme="minorBidi"/>
            <w:noProof/>
            <w:sz w:val="22"/>
            <w:szCs w:val="22"/>
          </w:rPr>
          <w:tab/>
        </w:r>
        <w:r w:rsidRPr="001B13A4">
          <w:rPr>
            <w:rStyle w:val="Hyperlink"/>
            <w:noProof/>
          </w:rPr>
          <w:t>Part 1 Section 17.3.2.30, rtl (Right To Left Text)</w:t>
        </w:r>
        <w:r>
          <w:rPr>
            <w:noProof/>
            <w:webHidden/>
          </w:rPr>
          <w:tab/>
        </w:r>
        <w:r>
          <w:rPr>
            <w:noProof/>
            <w:webHidden/>
          </w:rPr>
          <w:fldChar w:fldCharType="begin"/>
        </w:r>
        <w:r>
          <w:rPr>
            <w:noProof/>
            <w:webHidden/>
          </w:rPr>
          <w:instrText xml:space="preserve"> PAGEREF _Toc181683128 \h </w:instrText>
        </w:r>
        <w:r>
          <w:rPr>
            <w:noProof/>
            <w:webHidden/>
          </w:rPr>
        </w:r>
        <w:r>
          <w:rPr>
            <w:noProof/>
            <w:webHidden/>
          </w:rPr>
          <w:fldChar w:fldCharType="separate"/>
        </w:r>
        <w:r>
          <w:rPr>
            <w:noProof/>
            <w:webHidden/>
          </w:rPr>
          <w:t>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29" w:history="1">
        <w:r w:rsidRPr="001B13A4">
          <w:rPr>
            <w:rStyle w:val="Hyperlink"/>
            <w:noProof/>
          </w:rPr>
          <w:t>2.1.93</w:t>
        </w:r>
        <w:r>
          <w:rPr>
            <w:rFonts w:asciiTheme="minorHAnsi" w:eastAsiaTheme="minorEastAsia" w:hAnsiTheme="minorHAnsi" w:cstheme="minorBidi"/>
            <w:noProof/>
            <w:sz w:val="22"/>
            <w:szCs w:val="22"/>
          </w:rPr>
          <w:tab/>
        </w:r>
        <w:r w:rsidRPr="001B13A4">
          <w:rPr>
            <w:rStyle w:val="Hyperlink"/>
            <w:noProof/>
          </w:rPr>
          <w:t>Part 1 Section 17.3.2.31, shadow (Shadow)</w:t>
        </w:r>
        <w:r>
          <w:rPr>
            <w:noProof/>
            <w:webHidden/>
          </w:rPr>
          <w:tab/>
        </w:r>
        <w:r>
          <w:rPr>
            <w:noProof/>
            <w:webHidden/>
          </w:rPr>
          <w:fldChar w:fldCharType="begin"/>
        </w:r>
        <w:r>
          <w:rPr>
            <w:noProof/>
            <w:webHidden/>
          </w:rPr>
          <w:instrText xml:space="preserve"> PAGEREF _Toc181683129 \h </w:instrText>
        </w:r>
        <w:r>
          <w:rPr>
            <w:noProof/>
            <w:webHidden/>
          </w:rPr>
        </w:r>
        <w:r>
          <w:rPr>
            <w:noProof/>
            <w:webHidden/>
          </w:rPr>
          <w:fldChar w:fldCharType="separate"/>
        </w:r>
        <w:r>
          <w:rPr>
            <w:noProof/>
            <w:webHidden/>
          </w:rPr>
          <w:t>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0" w:history="1">
        <w:r w:rsidRPr="001B13A4">
          <w:rPr>
            <w:rStyle w:val="Hyperlink"/>
            <w:noProof/>
          </w:rPr>
          <w:t>2.1.94</w:t>
        </w:r>
        <w:r>
          <w:rPr>
            <w:rFonts w:asciiTheme="minorHAnsi" w:eastAsiaTheme="minorEastAsia" w:hAnsiTheme="minorHAnsi" w:cstheme="minorBidi"/>
            <w:noProof/>
            <w:sz w:val="22"/>
            <w:szCs w:val="22"/>
          </w:rPr>
          <w:tab/>
        </w:r>
        <w:r w:rsidRPr="001B13A4">
          <w:rPr>
            <w:rStyle w:val="Hyperlink"/>
            <w:noProof/>
          </w:rPr>
          <w:t>Part 1 Section 17.3.2.32, shd (Run Shading)</w:t>
        </w:r>
        <w:r>
          <w:rPr>
            <w:noProof/>
            <w:webHidden/>
          </w:rPr>
          <w:tab/>
        </w:r>
        <w:r>
          <w:rPr>
            <w:noProof/>
            <w:webHidden/>
          </w:rPr>
          <w:fldChar w:fldCharType="begin"/>
        </w:r>
        <w:r>
          <w:rPr>
            <w:noProof/>
            <w:webHidden/>
          </w:rPr>
          <w:instrText xml:space="preserve"> PAGEREF _Toc181683130 \h </w:instrText>
        </w:r>
        <w:r>
          <w:rPr>
            <w:noProof/>
            <w:webHidden/>
          </w:rPr>
        </w:r>
        <w:r>
          <w:rPr>
            <w:noProof/>
            <w:webHidden/>
          </w:rPr>
          <w:fldChar w:fldCharType="separate"/>
        </w:r>
        <w:r>
          <w:rPr>
            <w:noProof/>
            <w:webHidden/>
          </w:rPr>
          <w:t>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1" w:history="1">
        <w:r w:rsidRPr="001B13A4">
          <w:rPr>
            <w:rStyle w:val="Hyperlink"/>
            <w:noProof/>
          </w:rPr>
          <w:t>2.1.95</w:t>
        </w:r>
        <w:r>
          <w:rPr>
            <w:rFonts w:asciiTheme="minorHAnsi" w:eastAsiaTheme="minorEastAsia" w:hAnsiTheme="minorHAnsi" w:cstheme="minorBidi"/>
            <w:noProof/>
            <w:sz w:val="22"/>
            <w:szCs w:val="22"/>
          </w:rPr>
          <w:tab/>
        </w:r>
        <w:r w:rsidRPr="001B13A4">
          <w:rPr>
            <w:rStyle w:val="Hyperlink"/>
            <w:noProof/>
          </w:rPr>
          <w:t>Part 1 Section 17.3.2.33, smallCaps (Small Caps)</w:t>
        </w:r>
        <w:r>
          <w:rPr>
            <w:noProof/>
            <w:webHidden/>
          </w:rPr>
          <w:tab/>
        </w:r>
        <w:r>
          <w:rPr>
            <w:noProof/>
            <w:webHidden/>
          </w:rPr>
          <w:fldChar w:fldCharType="begin"/>
        </w:r>
        <w:r>
          <w:rPr>
            <w:noProof/>
            <w:webHidden/>
          </w:rPr>
          <w:instrText xml:space="preserve"> PAGEREF _Toc181683131 \h </w:instrText>
        </w:r>
        <w:r>
          <w:rPr>
            <w:noProof/>
            <w:webHidden/>
          </w:rPr>
        </w:r>
        <w:r>
          <w:rPr>
            <w:noProof/>
            <w:webHidden/>
          </w:rPr>
          <w:fldChar w:fldCharType="separate"/>
        </w:r>
        <w:r>
          <w:rPr>
            <w:noProof/>
            <w:webHidden/>
          </w:rPr>
          <w:t>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2" w:history="1">
        <w:r w:rsidRPr="001B13A4">
          <w:rPr>
            <w:rStyle w:val="Hyperlink"/>
            <w:noProof/>
          </w:rPr>
          <w:t>2.1.96</w:t>
        </w:r>
        <w:r>
          <w:rPr>
            <w:rFonts w:asciiTheme="minorHAnsi" w:eastAsiaTheme="minorEastAsia" w:hAnsiTheme="minorHAnsi" w:cstheme="minorBidi"/>
            <w:noProof/>
            <w:sz w:val="22"/>
            <w:szCs w:val="22"/>
          </w:rPr>
          <w:tab/>
        </w:r>
        <w:r w:rsidRPr="001B13A4">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_Toc181683132 \h </w:instrText>
        </w:r>
        <w:r>
          <w:rPr>
            <w:noProof/>
            <w:webHidden/>
          </w:rPr>
        </w:r>
        <w:r>
          <w:rPr>
            <w:noProof/>
            <w:webHidden/>
          </w:rPr>
          <w:fldChar w:fldCharType="separate"/>
        </w:r>
        <w:r>
          <w:rPr>
            <w:noProof/>
            <w:webHidden/>
          </w:rPr>
          <w:t>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3" w:history="1">
        <w:r w:rsidRPr="001B13A4">
          <w:rPr>
            <w:rStyle w:val="Hyperlink"/>
            <w:noProof/>
          </w:rPr>
          <w:t>2.1.97</w:t>
        </w:r>
        <w:r>
          <w:rPr>
            <w:rFonts w:asciiTheme="minorHAnsi" w:eastAsiaTheme="minorEastAsia" w:hAnsiTheme="minorHAnsi" w:cstheme="minorBidi"/>
            <w:noProof/>
            <w:sz w:val="22"/>
            <w:szCs w:val="22"/>
          </w:rPr>
          <w:tab/>
        </w:r>
        <w:r w:rsidRPr="001B13A4">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_Toc181683133 \h </w:instrText>
        </w:r>
        <w:r>
          <w:rPr>
            <w:noProof/>
            <w:webHidden/>
          </w:rPr>
        </w:r>
        <w:r>
          <w:rPr>
            <w:noProof/>
            <w:webHidden/>
          </w:rPr>
          <w:fldChar w:fldCharType="separate"/>
        </w:r>
        <w:r>
          <w:rPr>
            <w:noProof/>
            <w:webHidden/>
          </w:rPr>
          <w:t>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4" w:history="1">
        <w:r w:rsidRPr="001B13A4">
          <w:rPr>
            <w:rStyle w:val="Hyperlink"/>
            <w:noProof/>
          </w:rPr>
          <w:t>2.1.98</w:t>
        </w:r>
        <w:r>
          <w:rPr>
            <w:rFonts w:asciiTheme="minorHAnsi" w:eastAsiaTheme="minorEastAsia" w:hAnsiTheme="minorHAnsi" w:cstheme="minorBidi"/>
            <w:noProof/>
            <w:sz w:val="22"/>
            <w:szCs w:val="22"/>
          </w:rPr>
          <w:tab/>
        </w:r>
        <w:r w:rsidRPr="001B13A4">
          <w:rPr>
            <w:rStyle w:val="Hyperlink"/>
            <w:noProof/>
          </w:rPr>
          <w:t>Part 1 Section 17.3.2.38, sz (Non-Complex Script Font Size)</w:t>
        </w:r>
        <w:r>
          <w:rPr>
            <w:noProof/>
            <w:webHidden/>
          </w:rPr>
          <w:tab/>
        </w:r>
        <w:r>
          <w:rPr>
            <w:noProof/>
            <w:webHidden/>
          </w:rPr>
          <w:fldChar w:fldCharType="begin"/>
        </w:r>
        <w:r>
          <w:rPr>
            <w:noProof/>
            <w:webHidden/>
          </w:rPr>
          <w:instrText xml:space="preserve"> PAGEREF _Toc181683134 \h </w:instrText>
        </w:r>
        <w:r>
          <w:rPr>
            <w:noProof/>
            <w:webHidden/>
          </w:rPr>
        </w:r>
        <w:r>
          <w:rPr>
            <w:noProof/>
            <w:webHidden/>
          </w:rPr>
          <w:fldChar w:fldCharType="separate"/>
        </w:r>
        <w:r>
          <w:rPr>
            <w:noProof/>
            <w:webHidden/>
          </w:rPr>
          <w:t>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5" w:history="1">
        <w:r w:rsidRPr="001B13A4">
          <w:rPr>
            <w:rStyle w:val="Hyperlink"/>
            <w:noProof/>
          </w:rPr>
          <w:t>2.1.99</w:t>
        </w:r>
        <w:r>
          <w:rPr>
            <w:rFonts w:asciiTheme="minorHAnsi" w:eastAsiaTheme="minorEastAsia" w:hAnsiTheme="minorHAnsi" w:cstheme="minorBidi"/>
            <w:noProof/>
            <w:sz w:val="22"/>
            <w:szCs w:val="22"/>
          </w:rPr>
          <w:tab/>
        </w:r>
        <w:r w:rsidRPr="001B13A4">
          <w:rPr>
            <w:rStyle w:val="Hyperlink"/>
            <w:noProof/>
          </w:rPr>
          <w:t>Part 1 Section 17.3.2.39, szCs (Complex Script Font Size)</w:t>
        </w:r>
        <w:r>
          <w:rPr>
            <w:noProof/>
            <w:webHidden/>
          </w:rPr>
          <w:tab/>
        </w:r>
        <w:r>
          <w:rPr>
            <w:noProof/>
            <w:webHidden/>
          </w:rPr>
          <w:fldChar w:fldCharType="begin"/>
        </w:r>
        <w:r>
          <w:rPr>
            <w:noProof/>
            <w:webHidden/>
          </w:rPr>
          <w:instrText xml:space="preserve"> PAGEREF _Toc181683135 \h </w:instrText>
        </w:r>
        <w:r>
          <w:rPr>
            <w:noProof/>
            <w:webHidden/>
          </w:rPr>
        </w:r>
        <w:r>
          <w:rPr>
            <w:noProof/>
            <w:webHidden/>
          </w:rPr>
          <w:fldChar w:fldCharType="separate"/>
        </w:r>
        <w:r>
          <w:rPr>
            <w:noProof/>
            <w:webHidden/>
          </w:rPr>
          <w:t>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6" w:history="1">
        <w:r w:rsidRPr="001B13A4">
          <w:rPr>
            <w:rStyle w:val="Hyperlink"/>
            <w:noProof/>
          </w:rPr>
          <w:t>2.1.100</w:t>
        </w:r>
        <w:r>
          <w:rPr>
            <w:rFonts w:asciiTheme="minorHAnsi" w:eastAsiaTheme="minorEastAsia" w:hAnsiTheme="minorHAnsi" w:cstheme="minorBidi"/>
            <w:noProof/>
            <w:sz w:val="22"/>
            <w:szCs w:val="22"/>
          </w:rPr>
          <w:tab/>
        </w:r>
        <w:r w:rsidRPr="001B13A4">
          <w:rPr>
            <w:rStyle w:val="Hyperlink"/>
            <w:noProof/>
          </w:rPr>
          <w:t>Part 1 Section 17.3.2.40, u (Underline)</w:t>
        </w:r>
        <w:r>
          <w:rPr>
            <w:noProof/>
            <w:webHidden/>
          </w:rPr>
          <w:tab/>
        </w:r>
        <w:r>
          <w:rPr>
            <w:noProof/>
            <w:webHidden/>
          </w:rPr>
          <w:fldChar w:fldCharType="begin"/>
        </w:r>
        <w:r>
          <w:rPr>
            <w:noProof/>
            <w:webHidden/>
          </w:rPr>
          <w:instrText xml:space="preserve"> PAGEREF _Toc181683136 \h </w:instrText>
        </w:r>
        <w:r>
          <w:rPr>
            <w:noProof/>
            <w:webHidden/>
          </w:rPr>
        </w:r>
        <w:r>
          <w:rPr>
            <w:noProof/>
            <w:webHidden/>
          </w:rPr>
          <w:fldChar w:fldCharType="separate"/>
        </w:r>
        <w:r>
          <w:rPr>
            <w:noProof/>
            <w:webHidden/>
          </w:rPr>
          <w:t>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7" w:history="1">
        <w:r w:rsidRPr="001B13A4">
          <w:rPr>
            <w:rStyle w:val="Hyperlink"/>
            <w:noProof/>
          </w:rPr>
          <w:t>2.1.101</w:t>
        </w:r>
        <w:r>
          <w:rPr>
            <w:rFonts w:asciiTheme="minorHAnsi" w:eastAsiaTheme="minorEastAsia" w:hAnsiTheme="minorHAnsi" w:cstheme="minorBidi"/>
            <w:noProof/>
            <w:sz w:val="22"/>
            <w:szCs w:val="22"/>
          </w:rPr>
          <w:tab/>
        </w:r>
        <w:r w:rsidRPr="001B13A4">
          <w:rPr>
            <w:rStyle w:val="Hyperlink"/>
            <w:noProof/>
          </w:rPr>
          <w:t>Part 1 Section 17.3.2.44, webHidden (Web Hidden Text)</w:t>
        </w:r>
        <w:r>
          <w:rPr>
            <w:noProof/>
            <w:webHidden/>
          </w:rPr>
          <w:tab/>
        </w:r>
        <w:r>
          <w:rPr>
            <w:noProof/>
            <w:webHidden/>
          </w:rPr>
          <w:fldChar w:fldCharType="begin"/>
        </w:r>
        <w:r>
          <w:rPr>
            <w:noProof/>
            <w:webHidden/>
          </w:rPr>
          <w:instrText xml:space="preserve"> PAGEREF _Toc181683137 \h </w:instrText>
        </w:r>
        <w:r>
          <w:rPr>
            <w:noProof/>
            <w:webHidden/>
          </w:rPr>
        </w:r>
        <w:r>
          <w:rPr>
            <w:noProof/>
            <w:webHidden/>
          </w:rPr>
          <w:fldChar w:fldCharType="separate"/>
        </w:r>
        <w:r>
          <w:rPr>
            <w:noProof/>
            <w:webHidden/>
          </w:rPr>
          <w:t>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8" w:history="1">
        <w:r w:rsidRPr="001B13A4">
          <w:rPr>
            <w:rStyle w:val="Hyperlink"/>
            <w:noProof/>
          </w:rPr>
          <w:t>2.1.102</w:t>
        </w:r>
        <w:r>
          <w:rPr>
            <w:rFonts w:asciiTheme="minorHAnsi" w:eastAsiaTheme="minorEastAsia" w:hAnsiTheme="minorHAnsi" w:cstheme="minorBidi"/>
            <w:noProof/>
            <w:sz w:val="22"/>
            <w:szCs w:val="22"/>
          </w:rPr>
          <w:tab/>
        </w:r>
        <w:r w:rsidRPr="001B13A4">
          <w:rPr>
            <w:rStyle w:val="Hyperlink"/>
            <w:noProof/>
          </w:rPr>
          <w:t>Part 1 Section 17.3.3.2, contentPart (Content Part)</w:t>
        </w:r>
        <w:r>
          <w:rPr>
            <w:noProof/>
            <w:webHidden/>
          </w:rPr>
          <w:tab/>
        </w:r>
        <w:r>
          <w:rPr>
            <w:noProof/>
            <w:webHidden/>
          </w:rPr>
          <w:fldChar w:fldCharType="begin"/>
        </w:r>
        <w:r>
          <w:rPr>
            <w:noProof/>
            <w:webHidden/>
          </w:rPr>
          <w:instrText xml:space="preserve"> PAGEREF _Toc181683138 \h </w:instrText>
        </w:r>
        <w:r>
          <w:rPr>
            <w:noProof/>
            <w:webHidden/>
          </w:rPr>
        </w:r>
        <w:r>
          <w:rPr>
            <w:noProof/>
            <w:webHidden/>
          </w:rPr>
          <w:fldChar w:fldCharType="separate"/>
        </w:r>
        <w:r>
          <w:rPr>
            <w:noProof/>
            <w:webHidden/>
          </w:rPr>
          <w:t>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39" w:history="1">
        <w:r w:rsidRPr="001B13A4">
          <w:rPr>
            <w:rStyle w:val="Hyperlink"/>
            <w:noProof/>
          </w:rPr>
          <w:t>2.1.103</w:t>
        </w:r>
        <w:r>
          <w:rPr>
            <w:rFonts w:asciiTheme="minorHAnsi" w:eastAsiaTheme="minorEastAsia" w:hAnsiTheme="minorHAnsi" w:cstheme="minorBidi"/>
            <w:noProof/>
            <w:sz w:val="22"/>
            <w:szCs w:val="22"/>
          </w:rPr>
          <w:tab/>
        </w:r>
        <w:r w:rsidRPr="001B13A4">
          <w:rPr>
            <w:rStyle w:val="Hyperlink"/>
            <w:noProof/>
          </w:rPr>
          <w:t>Part 1 Section 17.3.3.3, control (Embedded Control)</w:t>
        </w:r>
        <w:r>
          <w:rPr>
            <w:noProof/>
            <w:webHidden/>
          </w:rPr>
          <w:tab/>
        </w:r>
        <w:r>
          <w:rPr>
            <w:noProof/>
            <w:webHidden/>
          </w:rPr>
          <w:fldChar w:fldCharType="begin"/>
        </w:r>
        <w:r>
          <w:rPr>
            <w:noProof/>
            <w:webHidden/>
          </w:rPr>
          <w:instrText xml:space="preserve"> PAGEREF _Toc181683139 \h </w:instrText>
        </w:r>
        <w:r>
          <w:rPr>
            <w:noProof/>
            <w:webHidden/>
          </w:rPr>
        </w:r>
        <w:r>
          <w:rPr>
            <w:noProof/>
            <w:webHidden/>
          </w:rPr>
          <w:fldChar w:fldCharType="separate"/>
        </w:r>
        <w:r>
          <w:rPr>
            <w:noProof/>
            <w:webHidden/>
          </w:rPr>
          <w:t>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0" w:history="1">
        <w:r w:rsidRPr="001B13A4">
          <w:rPr>
            <w:rStyle w:val="Hyperlink"/>
            <w:noProof/>
          </w:rPr>
          <w:t>2.1.104</w:t>
        </w:r>
        <w:r>
          <w:rPr>
            <w:rFonts w:asciiTheme="minorHAnsi" w:eastAsiaTheme="minorEastAsia" w:hAnsiTheme="minorHAnsi" w:cstheme="minorBidi"/>
            <w:noProof/>
            <w:sz w:val="22"/>
            <w:szCs w:val="22"/>
          </w:rPr>
          <w:tab/>
        </w:r>
        <w:r w:rsidRPr="001B13A4">
          <w:rPr>
            <w:rStyle w:val="Hyperlink"/>
            <w:noProof/>
          </w:rPr>
          <w:t>Part 1 Section 17.3.3.9, drawing (DrawingML Object)</w:t>
        </w:r>
        <w:r>
          <w:rPr>
            <w:noProof/>
            <w:webHidden/>
          </w:rPr>
          <w:tab/>
        </w:r>
        <w:r>
          <w:rPr>
            <w:noProof/>
            <w:webHidden/>
          </w:rPr>
          <w:fldChar w:fldCharType="begin"/>
        </w:r>
        <w:r>
          <w:rPr>
            <w:noProof/>
            <w:webHidden/>
          </w:rPr>
          <w:instrText xml:space="preserve"> PAGEREF _Toc181683140 \h </w:instrText>
        </w:r>
        <w:r>
          <w:rPr>
            <w:noProof/>
            <w:webHidden/>
          </w:rPr>
        </w:r>
        <w:r>
          <w:rPr>
            <w:noProof/>
            <w:webHidden/>
          </w:rPr>
          <w:fldChar w:fldCharType="separate"/>
        </w:r>
        <w:r>
          <w:rPr>
            <w:noProof/>
            <w:webHidden/>
          </w:rPr>
          <w:t>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1" w:history="1">
        <w:r w:rsidRPr="001B13A4">
          <w:rPr>
            <w:rStyle w:val="Hyperlink"/>
            <w:noProof/>
          </w:rPr>
          <w:t>2.1.105</w:t>
        </w:r>
        <w:r>
          <w:rPr>
            <w:rFonts w:asciiTheme="minorHAnsi" w:eastAsiaTheme="minorEastAsia" w:hAnsiTheme="minorHAnsi" w:cstheme="minorBidi"/>
            <w:noProof/>
            <w:sz w:val="22"/>
            <w:szCs w:val="22"/>
          </w:rPr>
          <w:tab/>
        </w:r>
        <w:r w:rsidRPr="001B13A4">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_Toc181683141 \h </w:instrText>
        </w:r>
        <w:r>
          <w:rPr>
            <w:noProof/>
            <w:webHidden/>
          </w:rPr>
        </w:r>
        <w:r>
          <w:rPr>
            <w:noProof/>
            <w:webHidden/>
          </w:rPr>
          <w:fldChar w:fldCharType="separate"/>
        </w:r>
        <w:r>
          <w:rPr>
            <w:noProof/>
            <w:webHidden/>
          </w:rPr>
          <w:t>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2" w:history="1">
        <w:r w:rsidRPr="001B13A4">
          <w:rPr>
            <w:rStyle w:val="Hyperlink"/>
            <w:noProof/>
          </w:rPr>
          <w:t>2.1.106</w:t>
        </w:r>
        <w:r>
          <w:rPr>
            <w:rFonts w:asciiTheme="minorHAnsi" w:eastAsiaTheme="minorEastAsia" w:hAnsiTheme="minorHAnsi" w:cstheme="minorBidi"/>
            <w:noProof/>
            <w:sz w:val="22"/>
            <w:szCs w:val="22"/>
          </w:rPr>
          <w:tab/>
        </w:r>
        <w:r w:rsidRPr="001B13A4">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_Toc181683142 \h </w:instrText>
        </w:r>
        <w:r>
          <w:rPr>
            <w:noProof/>
            <w:webHidden/>
          </w:rPr>
        </w:r>
        <w:r>
          <w:rPr>
            <w:noProof/>
            <w:webHidden/>
          </w:rPr>
          <w:fldChar w:fldCharType="separate"/>
        </w:r>
        <w:r>
          <w:rPr>
            <w:noProof/>
            <w:webHidden/>
          </w:rPr>
          <w:t>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3" w:history="1">
        <w:r w:rsidRPr="001B13A4">
          <w:rPr>
            <w:rStyle w:val="Hyperlink"/>
            <w:noProof/>
          </w:rPr>
          <w:t>2.1.107</w:t>
        </w:r>
        <w:r>
          <w:rPr>
            <w:rFonts w:asciiTheme="minorHAnsi" w:eastAsiaTheme="minorEastAsia" w:hAnsiTheme="minorHAnsi" w:cstheme="minorBidi"/>
            <w:noProof/>
            <w:sz w:val="22"/>
            <w:szCs w:val="22"/>
          </w:rPr>
          <w:tab/>
        </w:r>
        <w:r w:rsidRPr="001B13A4">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_Toc181683143 \h </w:instrText>
        </w:r>
        <w:r>
          <w:rPr>
            <w:noProof/>
            <w:webHidden/>
          </w:rPr>
        </w:r>
        <w:r>
          <w:rPr>
            <w:noProof/>
            <w:webHidden/>
          </w:rPr>
          <w:fldChar w:fldCharType="separate"/>
        </w:r>
        <w:r>
          <w:rPr>
            <w:noProof/>
            <w:webHidden/>
          </w:rPr>
          <w:t>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4" w:history="1">
        <w:r w:rsidRPr="001B13A4">
          <w:rPr>
            <w:rStyle w:val="Hyperlink"/>
            <w:noProof/>
          </w:rPr>
          <w:t>2.1.108</w:t>
        </w:r>
        <w:r>
          <w:rPr>
            <w:rFonts w:asciiTheme="minorHAnsi" w:eastAsiaTheme="minorEastAsia" w:hAnsiTheme="minorHAnsi" w:cstheme="minorBidi"/>
            <w:noProof/>
            <w:sz w:val="22"/>
            <w:szCs w:val="22"/>
          </w:rPr>
          <w:tab/>
        </w:r>
        <w:r w:rsidRPr="001B13A4">
          <w:rPr>
            <w:rStyle w:val="Hyperlink"/>
            <w:noProof/>
          </w:rPr>
          <w:t>Part 1 Section 17.3.3.17, movie (Embedded Video)</w:t>
        </w:r>
        <w:r>
          <w:rPr>
            <w:noProof/>
            <w:webHidden/>
          </w:rPr>
          <w:tab/>
        </w:r>
        <w:r>
          <w:rPr>
            <w:noProof/>
            <w:webHidden/>
          </w:rPr>
          <w:fldChar w:fldCharType="begin"/>
        </w:r>
        <w:r>
          <w:rPr>
            <w:noProof/>
            <w:webHidden/>
          </w:rPr>
          <w:instrText xml:space="preserve"> PAGEREF _Toc181683144 \h </w:instrText>
        </w:r>
        <w:r>
          <w:rPr>
            <w:noProof/>
            <w:webHidden/>
          </w:rPr>
        </w:r>
        <w:r>
          <w:rPr>
            <w:noProof/>
            <w:webHidden/>
          </w:rPr>
          <w:fldChar w:fldCharType="separate"/>
        </w:r>
        <w:r>
          <w:rPr>
            <w:noProof/>
            <w:webHidden/>
          </w:rPr>
          <w:t>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5" w:history="1">
        <w:r w:rsidRPr="001B13A4">
          <w:rPr>
            <w:rStyle w:val="Hyperlink"/>
            <w:noProof/>
          </w:rPr>
          <w:t>2.1.109</w:t>
        </w:r>
        <w:r>
          <w:rPr>
            <w:rFonts w:asciiTheme="minorHAnsi" w:eastAsiaTheme="minorEastAsia" w:hAnsiTheme="minorHAnsi" w:cstheme="minorBidi"/>
            <w:noProof/>
            <w:sz w:val="22"/>
            <w:szCs w:val="22"/>
          </w:rPr>
          <w:tab/>
        </w:r>
        <w:r w:rsidRPr="001B13A4">
          <w:rPr>
            <w:rStyle w:val="Hyperlink"/>
            <w:noProof/>
          </w:rPr>
          <w:t>Part 1 Section 17.3.3.19, object (Embedded Object)</w:t>
        </w:r>
        <w:r>
          <w:rPr>
            <w:noProof/>
            <w:webHidden/>
          </w:rPr>
          <w:tab/>
        </w:r>
        <w:r>
          <w:rPr>
            <w:noProof/>
            <w:webHidden/>
          </w:rPr>
          <w:fldChar w:fldCharType="begin"/>
        </w:r>
        <w:r>
          <w:rPr>
            <w:noProof/>
            <w:webHidden/>
          </w:rPr>
          <w:instrText xml:space="preserve"> PAGEREF _Toc181683145 \h </w:instrText>
        </w:r>
        <w:r>
          <w:rPr>
            <w:noProof/>
            <w:webHidden/>
          </w:rPr>
        </w:r>
        <w:r>
          <w:rPr>
            <w:noProof/>
            <w:webHidden/>
          </w:rPr>
          <w:fldChar w:fldCharType="separate"/>
        </w:r>
        <w:r>
          <w:rPr>
            <w:noProof/>
            <w:webHidden/>
          </w:rPr>
          <w:t>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6" w:history="1">
        <w:r w:rsidRPr="001B13A4">
          <w:rPr>
            <w:rStyle w:val="Hyperlink"/>
            <w:noProof/>
          </w:rPr>
          <w:t>2.1.110</w:t>
        </w:r>
        <w:r>
          <w:rPr>
            <w:rFonts w:asciiTheme="minorHAnsi" w:eastAsiaTheme="minorEastAsia" w:hAnsiTheme="minorHAnsi" w:cstheme="minorBidi"/>
            <w:noProof/>
            <w:sz w:val="22"/>
            <w:szCs w:val="22"/>
          </w:rPr>
          <w:tab/>
        </w:r>
        <w:r w:rsidRPr="001B13A4">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_Toc181683146 \h </w:instrText>
        </w:r>
        <w:r>
          <w:rPr>
            <w:noProof/>
            <w:webHidden/>
          </w:rPr>
        </w:r>
        <w:r>
          <w:rPr>
            <w:noProof/>
            <w:webHidden/>
          </w:rPr>
          <w:fldChar w:fldCharType="separate"/>
        </w:r>
        <w:r>
          <w:rPr>
            <w:noProof/>
            <w:webHidden/>
          </w:rPr>
          <w:t>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7" w:history="1">
        <w:r w:rsidRPr="001B13A4">
          <w:rPr>
            <w:rStyle w:val="Hyperlink"/>
            <w:noProof/>
          </w:rPr>
          <w:t>2.1.111</w:t>
        </w:r>
        <w:r>
          <w:rPr>
            <w:rFonts w:asciiTheme="minorHAnsi" w:eastAsiaTheme="minorEastAsia" w:hAnsiTheme="minorHAnsi" w:cstheme="minorBidi"/>
            <w:noProof/>
            <w:sz w:val="22"/>
            <w:szCs w:val="22"/>
          </w:rPr>
          <w:tab/>
        </w:r>
        <w:r w:rsidRPr="001B13A4">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_Toc181683147 \h </w:instrText>
        </w:r>
        <w:r>
          <w:rPr>
            <w:noProof/>
            <w:webHidden/>
          </w:rPr>
        </w:r>
        <w:r>
          <w:rPr>
            <w:noProof/>
            <w:webHidden/>
          </w:rPr>
          <w:fldChar w:fldCharType="separate"/>
        </w:r>
        <w:r>
          <w:rPr>
            <w:noProof/>
            <w:webHidden/>
          </w:rPr>
          <w:t>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8" w:history="1">
        <w:r w:rsidRPr="001B13A4">
          <w:rPr>
            <w:rStyle w:val="Hyperlink"/>
            <w:noProof/>
          </w:rPr>
          <w:t>2.1.112</w:t>
        </w:r>
        <w:r>
          <w:rPr>
            <w:rFonts w:asciiTheme="minorHAnsi" w:eastAsiaTheme="minorEastAsia" w:hAnsiTheme="minorHAnsi" w:cstheme="minorBidi"/>
            <w:noProof/>
            <w:sz w:val="22"/>
            <w:szCs w:val="22"/>
          </w:rPr>
          <w:tab/>
        </w:r>
        <w:r w:rsidRPr="001B13A4">
          <w:rPr>
            <w:rStyle w:val="Hyperlink"/>
            <w:noProof/>
          </w:rPr>
          <w:t>Part 1 Section 17.3.3.24, rt (Phonetic Guide Text)</w:t>
        </w:r>
        <w:r>
          <w:rPr>
            <w:noProof/>
            <w:webHidden/>
          </w:rPr>
          <w:tab/>
        </w:r>
        <w:r>
          <w:rPr>
            <w:noProof/>
            <w:webHidden/>
          </w:rPr>
          <w:fldChar w:fldCharType="begin"/>
        </w:r>
        <w:r>
          <w:rPr>
            <w:noProof/>
            <w:webHidden/>
          </w:rPr>
          <w:instrText xml:space="preserve"> PAGEREF _Toc181683148 \h </w:instrText>
        </w:r>
        <w:r>
          <w:rPr>
            <w:noProof/>
            <w:webHidden/>
          </w:rPr>
        </w:r>
        <w:r>
          <w:rPr>
            <w:noProof/>
            <w:webHidden/>
          </w:rPr>
          <w:fldChar w:fldCharType="separate"/>
        </w:r>
        <w:r>
          <w:rPr>
            <w:noProof/>
            <w:webHidden/>
          </w:rPr>
          <w:t>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49" w:history="1">
        <w:r w:rsidRPr="001B13A4">
          <w:rPr>
            <w:rStyle w:val="Hyperlink"/>
            <w:noProof/>
          </w:rPr>
          <w:t>2.1.113</w:t>
        </w:r>
        <w:r>
          <w:rPr>
            <w:rFonts w:asciiTheme="minorHAnsi" w:eastAsiaTheme="minorEastAsia" w:hAnsiTheme="minorHAnsi" w:cstheme="minorBidi"/>
            <w:noProof/>
            <w:sz w:val="22"/>
            <w:szCs w:val="22"/>
          </w:rPr>
          <w:tab/>
        </w:r>
        <w:r w:rsidRPr="001B13A4">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_Toc181683149 \h </w:instrText>
        </w:r>
        <w:r>
          <w:rPr>
            <w:noProof/>
            <w:webHidden/>
          </w:rPr>
        </w:r>
        <w:r>
          <w:rPr>
            <w:noProof/>
            <w:webHidden/>
          </w:rPr>
          <w:fldChar w:fldCharType="separate"/>
        </w:r>
        <w:r>
          <w:rPr>
            <w:noProof/>
            <w:webHidden/>
          </w:rPr>
          <w:t>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0" w:history="1">
        <w:r w:rsidRPr="001B13A4">
          <w:rPr>
            <w:rStyle w:val="Hyperlink"/>
            <w:noProof/>
          </w:rPr>
          <w:t>2.1.114</w:t>
        </w:r>
        <w:r>
          <w:rPr>
            <w:rFonts w:asciiTheme="minorHAnsi" w:eastAsiaTheme="minorEastAsia" w:hAnsiTheme="minorHAnsi" w:cstheme="minorBidi"/>
            <w:noProof/>
            <w:sz w:val="22"/>
            <w:szCs w:val="22"/>
          </w:rPr>
          <w:tab/>
        </w:r>
        <w:r w:rsidRPr="001B13A4">
          <w:rPr>
            <w:rStyle w:val="Hyperlink"/>
            <w:noProof/>
          </w:rPr>
          <w:t>Part 1 Section 17.3.3.30, sym (Symbol Character)</w:t>
        </w:r>
        <w:r>
          <w:rPr>
            <w:noProof/>
            <w:webHidden/>
          </w:rPr>
          <w:tab/>
        </w:r>
        <w:r>
          <w:rPr>
            <w:noProof/>
            <w:webHidden/>
          </w:rPr>
          <w:fldChar w:fldCharType="begin"/>
        </w:r>
        <w:r>
          <w:rPr>
            <w:noProof/>
            <w:webHidden/>
          </w:rPr>
          <w:instrText xml:space="preserve"> PAGEREF _Toc181683150 \h </w:instrText>
        </w:r>
        <w:r>
          <w:rPr>
            <w:noProof/>
            <w:webHidden/>
          </w:rPr>
        </w:r>
        <w:r>
          <w:rPr>
            <w:noProof/>
            <w:webHidden/>
          </w:rPr>
          <w:fldChar w:fldCharType="separate"/>
        </w:r>
        <w:r>
          <w:rPr>
            <w:noProof/>
            <w:webHidden/>
          </w:rPr>
          <w:t>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1" w:history="1">
        <w:r w:rsidRPr="001B13A4">
          <w:rPr>
            <w:rStyle w:val="Hyperlink"/>
            <w:noProof/>
          </w:rPr>
          <w:t>2.1.115</w:t>
        </w:r>
        <w:r>
          <w:rPr>
            <w:rFonts w:asciiTheme="minorHAnsi" w:eastAsiaTheme="minorEastAsia" w:hAnsiTheme="minorHAnsi" w:cstheme="minorBidi"/>
            <w:noProof/>
            <w:sz w:val="22"/>
            <w:szCs w:val="22"/>
          </w:rPr>
          <w:tab/>
        </w:r>
        <w:r w:rsidRPr="001B13A4">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_Toc181683151 \h </w:instrText>
        </w:r>
        <w:r>
          <w:rPr>
            <w:noProof/>
            <w:webHidden/>
          </w:rPr>
        </w:r>
        <w:r>
          <w:rPr>
            <w:noProof/>
            <w:webHidden/>
          </w:rPr>
          <w:fldChar w:fldCharType="separate"/>
        </w:r>
        <w:r>
          <w:rPr>
            <w:noProof/>
            <w:webHidden/>
          </w:rPr>
          <w:t>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2" w:history="1">
        <w:r w:rsidRPr="001B13A4">
          <w:rPr>
            <w:rStyle w:val="Hyperlink"/>
            <w:noProof/>
          </w:rPr>
          <w:t>2.1.116</w:t>
        </w:r>
        <w:r>
          <w:rPr>
            <w:rFonts w:asciiTheme="minorHAnsi" w:eastAsiaTheme="minorEastAsia" w:hAnsiTheme="minorHAnsi" w:cstheme="minorBidi"/>
            <w:noProof/>
            <w:sz w:val="22"/>
            <w:szCs w:val="22"/>
          </w:rPr>
          <w:tab/>
        </w:r>
        <w:r w:rsidRPr="001B13A4">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_Toc181683152 \h </w:instrText>
        </w:r>
        <w:r>
          <w:rPr>
            <w:noProof/>
            <w:webHidden/>
          </w:rPr>
        </w:r>
        <w:r>
          <w:rPr>
            <w:noProof/>
            <w:webHidden/>
          </w:rPr>
          <w:fldChar w:fldCharType="separate"/>
        </w:r>
        <w:r>
          <w:rPr>
            <w:noProof/>
            <w:webHidden/>
          </w:rPr>
          <w:t>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3" w:history="1">
        <w:r w:rsidRPr="001B13A4">
          <w:rPr>
            <w:rStyle w:val="Hyperlink"/>
            <w:noProof/>
          </w:rPr>
          <w:t>2.1.117</w:t>
        </w:r>
        <w:r>
          <w:rPr>
            <w:rFonts w:asciiTheme="minorHAnsi" w:eastAsiaTheme="minorEastAsia" w:hAnsiTheme="minorHAnsi" w:cstheme="minorBidi"/>
            <w:noProof/>
            <w:sz w:val="22"/>
            <w:szCs w:val="22"/>
          </w:rPr>
          <w:tab/>
        </w:r>
        <w:r w:rsidRPr="001B13A4">
          <w:rPr>
            <w:rStyle w:val="Hyperlink"/>
            <w:noProof/>
          </w:rPr>
          <w:t>Part 1 Section 17.4.3, bottom (Table Cell Bottom Border)</w:t>
        </w:r>
        <w:r>
          <w:rPr>
            <w:noProof/>
            <w:webHidden/>
          </w:rPr>
          <w:tab/>
        </w:r>
        <w:r>
          <w:rPr>
            <w:noProof/>
            <w:webHidden/>
          </w:rPr>
          <w:fldChar w:fldCharType="begin"/>
        </w:r>
        <w:r>
          <w:rPr>
            <w:noProof/>
            <w:webHidden/>
          </w:rPr>
          <w:instrText xml:space="preserve"> PAGEREF _Toc181683153 \h </w:instrText>
        </w:r>
        <w:r>
          <w:rPr>
            <w:noProof/>
            <w:webHidden/>
          </w:rPr>
        </w:r>
        <w:r>
          <w:rPr>
            <w:noProof/>
            <w:webHidden/>
          </w:rPr>
          <w:fldChar w:fldCharType="separate"/>
        </w:r>
        <w:r>
          <w:rPr>
            <w:noProof/>
            <w:webHidden/>
          </w:rPr>
          <w:t>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4" w:history="1">
        <w:r w:rsidRPr="001B13A4">
          <w:rPr>
            <w:rStyle w:val="Hyperlink"/>
            <w:noProof/>
          </w:rPr>
          <w:t>2.1.118</w:t>
        </w:r>
        <w:r>
          <w:rPr>
            <w:rFonts w:asciiTheme="minorHAnsi" w:eastAsiaTheme="minorEastAsia" w:hAnsiTheme="minorHAnsi" w:cstheme="minorBidi"/>
            <w:noProof/>
            <w:sz w:val="22"/>
            <w:szCs w:val="22"/>
          </w:rPr>
          <w:tab/>
        </w:r>
        <w:r w:rsidRPr="001B13A4">
          <w:rPr>
            <w:rStyle w:val="Hyperlink"/>
            <w:noProof/>
          </w:rPr>
          <w:t>Part 1 Section 17.4.4, bottom (Table Bottom Border)</w:t>
        </w:r>
        <w:r>
          <w:rPr>
            <w:noProof/>
            <w:webHidden/>
          </w:rPr>
          <w:tab/>
        </w:r>
        <w:r>
          <w:rPr>
            <w:noProof/>
            <w:webHidden/>
          </w:rPr>
          <w:fldChar w:fldCharType="begin"/>
        </w:r>
        <w:r>
          <w:rPr>
            <w:noProof/>
            <w:webHidden/>
          </w:rPr>
          <w:instrText xml:space="preserve"> PAGEREF _Toc181683154 \h </w:instrText>
        </w:r>
        <w:r>
          <w:rPr>
            <w:noProof/>
            <w:webHidden/>
          </w:rPr>
        </w:r>
        <w:r>
          <w:rPr>
            <w:noProof/>
            <w:webHidden/>
          </w:rPr>
          <w:fldChar w:fldCharType="separate"/>
        </w:r>
        <w:r>
          <w:rPr>
            <w:noProof/>
            <w:webHidden/>
          </w:rPr>
          <w:t>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5" w:history="1">
        <w:r w:rsidRPr="001B13A4">
          <w:rPr>
            <w:rStyle w:val="Hyperlink"/>
            <w:noProof/>
          </w:rPr>
          <w:t>2.1.119</w:t>
        </w:r>
        <w:r>
          <w:rPr>
            <w:rFonts w:asciiTheme="minorHAnsi" w:eastAsiaTheme="minorEastAsia" w:hAnsiTheme="minorHAnsi" w:cstheme="minorBidi"/>
            <w:noProof/>
            <w:sz w:val="22"/>
            <w:szCs w:val="22"/>
          </w:rPr>
          <w:tab/>
        </w:r>
        <w:r w:rsidRPr="001B13A4">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_Toc181683155 \h </w:instrText>
        </w:r>
        <w:r>
          <w:rPr>
            <w:noProof/>
            <w:webHidden/>
          </w:rPr>
        </w:r>
        <w:r>
          <w:rPr>
            <w:noProof/>
            <w:webHidden/>
          </w:rPr>
          <w:fldChar w:fldCharType="separate"/>
        </w:r>
        <w:r>
          <w:rPr>
            <w:noProof/>
            <w:webHidden/>
          </w:rPr>
          <w:t>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6" w:history="1">
        <w:r w:rsidRPr="001B13A4">
          <w:rPr>
            <w:rStyle w:val="Hyperlink"/>
            <w:noProof/>
          </w:rPr>
          <w:t>2.1.120</w:t>
        </w:r>
        <w:r>
          <w:rPr>
            <w:rFonts w:asciiTheme="minorHAnsi" w:eastAsiaTheme="minorEastAsia" w:hAnsiTheme="minorHAnsi" w:cstheme="minorBidi"/>
            <w:noProof/>
            <w:sz w:val="22"/>
            <w:szCs w:val="22"/>
          </w:rPr>
          <w:tab/>
        </w:r>
        <w:r w:rsidRPr="001B13A4">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_Toc181683156 \h </w:instrText>
        </w:r>
        <w:r>
          <w:rPr>
            <w:noProof/>
            <w:webHidden/>
          </w:rPr>
        </w:r>
        <w:r>
          <w:rPr>
            <w:noProof/>
            <w:webHidden/>
          </w:rPr>
          <w:fldChar w:fldCharType="separate"/>
        </w:r>
        <w:r>
          <w:rPr>
            <w:noProof/>
            <w:webHidden/>
          </w:rPr>
          <w:t>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7" w:history="1">
        <w:r w:rsidRPr="001B13A4">
          <w:rPr>
            <w:rStyle w:val="Hyperlink"/>
            <w:noProof/>
          </w:rPr>
          <w:t>2.1.121</w:t>
        </w:r>
        <w:r>
          <w:rPr>
            <w:rFonts w:asciiTheme="minorHAnsi" w:eastAsiaTheme="minorEastAsia" w:hAnsiTheme="minorHAnsi" w:cstheme="minorBidi"/>
            <w:noProof/>
            <w:sz w:val="22"/>
            <w:szCs w:val="22"/>
          </w:rPr>
          <w:tab/>
        </w:r>
        <w:r w:rsidRPr="001B13A4">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_Toc181683157 \h </w:instrText>
        </w:r>
        <w:r>
          <w:rPr>
            <w:noProof/>
            <w:webHidden/>
          </w:rPr>
        </w:r>
        <w:r>
          <w:rPr>
            <w:noProof/>
            <w:webHidden/>
          </w:rPr>
          <w:fldChar w:fldCharType="separate"/>
        </w:r>
        <w:r>
          <w:rPr>
            <w:noProof/>
            <w:webHidden/>
          </w:rPr>
          <w:t>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8" w:history="1">
        <w:r w:rsidRPr="001B13A4">
          <w:rPr>
            <w:rStyle w:val="Hyperlink"/>
            <w:noProof/>
          </w:rPr>
          <w:t>2.1.122</w:t>
        </w:r>
        <w:r>
          <w:rPr>
            <w:rFonts w:asciiTheme="minorHAnsi" w:eastAsiaTheme="minorEastAsia" w:hAnsiTheme="minorHAnsi" w:cstheme="minorBidi"/>
            <w:noProof/>
            <w:sz w:val="22"/>
            <w:szCs w:val="22"/>
          </w:rPr>
          <w:tab/>
        </w:r>
        <w:r w:rsidRPr="001B13A4">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_Toc181683158 \h </w:instrText>
        </w:r>
        <w:r>
          <w:rPr>
            <w:noProof/>
            <w:webHidden/>
          </w:rPr>
        </w:r>
        <w:r>
          <w:rPr>
            <w:noProof/>
            <w:webHidden/>
          </w:rPr>
          <w:fldChar w:fldCharType="separate"/>
        </w:r>
        <w:r>
          <w:rPr>
            <w:noProof/>
            <w:webHidden/>
          </w:rPr>
          <w:t>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59" w:history="1">
        <w:r w:rsidRPr="001B13A4">
          <w:rPr>
            <w:rStyle w:val="Hyperlink"/>
            <w:noProof/>
          </w:rPr>
          <w:t>2.1.123</w:t>
        </w:r>
        <w:r>
          <w:rPr>
            <w:rFonts w:asciiTheme="minorHAnsi" w:eastAsiaTheme="minorEastAsia" w:hAnsiTheme="minorHAnsi" w:cstheme="minorBidi"/>
            <w:noProof/>
            <w:sz w:val="22"/>
            <w:szCs w:val="22"/>
          </w:rPr>
          <w:tab/>
        </w:r>
        <w:r w:rsidRPr="001B13A4">
          <w:rPr>
            <w:rStyle w:val="Hyperlink"/>
            <w:noProof/>
          </w:rPr>
          <w:t>Part 1 Section 17.4.9, divId (Associated HTML div ID)</w:t>
        </w:r>
        <w:r>
          <w:rPr>
            <w:noProof/>
            <w:webHidden/>
          </w:rPr>
          <w:tab/>
        </w:r>
        <w:r>
          <w:rPr>
            <w:noProof/>
            <w:webHidden/>
          </w:rPr>
          <w:fldChar w:fldCharType="begin"/>
        </w:r>
        <w:r>
          <w:rPr>
            <w:noProof/>
            <w:webHidden/>
          </w:rPr>
          <w:instrText xml:space="preserve"> PAGEREF _Toc181683159 \h </w:instrText>
        </w:r>
        <w:r>
          <w:rPr>
            <w:noProof/>
            <w:webHidden/>
          </w:rPr>
        </w:r>
        <w:r>
          <w:rPr>
            <w:noProof/>
            <w:webHidden/>
          </w:rPr>
          <w:fldChar w:fldCharType="separate"/>
        </w:r>
        <w:r>
          <w:rPr>
            <w:noProof/>
            <w:webHidden/>
          </w:rPr>
          <w:t>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0" w:history="1">
        <w:r w:rsidRPr="001B13A4">
          <w:rPr>
            <w:rStyle w:val="Hyperlink"/>
            <w:noProof/>
          </w:rPr>
          <w:t>2.1.124</w:t>
        </w:r>
        <w:r>
          <w:rPr>
            <w:rFonts w:asciiTheme="minorHAnsi" w:eastAsiaTheme="minorEastAsia" w:hAnsiTheme="minorHAnsi" w:cstheme="minorBidi"/>
            <w:noProof/>
            <w:sz w:val="22"/>
            <w:szCs w:val="22"/>
          </w:rPr>
          <w:tab/>
        </w:r>
        <w:r w:rsidRPr="001B13A4">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_Toc181683160 \h </w:instrText>
        </w:r>
        <w:r>
          <w:rPr>
            <w:noProof/>
            <w:webHidden/>
          </w:rPr>
        </w:r>
        <w:r>
          <w:rPr>
            <w:noProof/>
            <w:webHidden/>
          </w:rPr>
          <w:fldChar w:fldCharType="separate"/>
        </w:r>
        <w:r>
          <w:rPr>
            <w:noProof/>
            <w:webHidden/>
          </w:rPr>
          <w:t>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1" w:history="1">
        <w:r w:rsidRPr="001B13A4">
          <w:rPr>
            <w:rStyle w:val="Hyperlink"/>
            <w:noProof/>
          </w:rPr>
          <w:t>2.1.125</w:t>
        </w:r>
        <w:r>
          <w:rPr>
            <w:rFonts w:asciiTheme="minorHAnsi" w:eastAsiaTheme="minorEastAsia" w:hAnsiTheme="minorHAnsi" w:cstheme="minorBidi"/>
            <w:noProof/>
            <w:sz w:val="22"/>
            <w:szCs w:val="22"/>
          </w:rPr>
          <w:tab/>
        </w:r>
        <w:r w:rsidRPr="001B13A4">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_Toc181683161 \h </w:instrText>
        </w:r>
        <w:r>
          <w:rPr>
            <w:noProof/>
            <w:webHidden/>
          </w:rPr>
        </w:r>
        <w:r>
          <w:rPr>
            <w:noProof/>
            <w:webHidden/>
          </w:rPr>
          <w:fldChar w:fldCharType="separate"/>
        </w:r>
        <w:r>
          <w:rPr>
            <w:noProof/>
            <w:webHidden/>
          </w:rPr>
          <w:t>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2" w:history="1">
        <w:r w:rsidRPr="001B13A4">
          <w:rPr>
            <w:rStyle w:val="Hyperlink"/>
            <w:noProof/>
          </w:rPr>
          <w:t>2.1.126</w:t>
        </w:r>
        <w:r>
          <w:rPr>
            <w:rFonts w:asciiTheme="minorHAnsi" w:eastAsiaTheme="minorEastAsia" w:hAnsiTheme="minorHAnsi" w:cstheme="minorBidi"/>
            <w:noProof/>
            <w:sz w:val="22"/>
            <w:szCs w:val="22"/>
          </w:rPr>
          <w:tab/>
        </w:r>
        <w:r w:rsidRPr="001B13A4">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_Toc181683162 \h </w:instrText>
        </w:r>
        <w:r>
          <w:rPr>
            <w:noProof/>
            <w:webHidden/>
          </w:rPr>
        </w:r>
        <w:r>
          <w:rPr>
            <w:noProof/>
            <w:webHidden/>
          </w:rPr>
          <w:fldChar w:fldCharType="separate"/>
        </w:r>
        <w:r>
          <w:rPr>
            <w:noProof/>
            <w:webHidden/>
          </w:rPr>
          <w:t>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3" w:history="1">
        <w:r w:rsidRPr="001B13A4">
          <w:rPr>
            <w:rStyle w:val="Hyperlink"/>
            <w:noProof/>
          </w:rPr>
          <w:t>2.1.127</w:t>
        </w:r>
        <w:r>
          <w:rPr>
            <w:rFonts w:asciiTheme="minorHAnsi" w:eastAsiaTheme="minorEastAsia" w:hAnsiTheme="minorHAnsi" w:cstheme="minorBidi"/>
            <w:noProof/>
            <w:sz w:val="22"/>
            <w:szCs w:val="22"/>
          </w:rPr>
          <w:tab/>
        </w:r>
        <w:r w:rsidRPr="001B13A4">
          <w:rPr>
            <w:rStyle w:val="Hyperlink"/>
            <w:noProof/>
          </w:rPr>
          <w:t>Part 1 Section 17.4.13, end (Table Trailing Edge Border)</w:t>
        </w:r>
        <w:r>
          <w:rPr>
            <w:noProof/>
            <w:webHidden/>
          </w:rPr>
          <w:tab/>
        </w:r>
        <w:r>
          <w:rPr>
            <w:noProof/>
            <w:webHidden/>
          </w:rPr>
          <w:fldChar w:fldCharType="begin"/>
        </w:r>
        <w:r>
          <w:rPr>
            <w:noProof/>
            <w:webHidden/>
          </w:rPr>
          <w:instrText xml:space="preserve"> PAGEREF _Toc181683163 \h </w:instrText>
        </w:r>
        <w:r>
          <w:rPr>
            <w:noProof/>
            <w:webHidden/>
          </w:rPr>
        </w:r>
        <w:r>
          <w:rPr>
            <w:noProof/>
            <w:webHidden/>
          </w:rPr>
          <w:fldChar w:fldCharType="separate"/>
        </w:r>
        <w:r>
          <w:rPr>
            <w:noProof/>
            <w:webHidden/>
          </w:rPr>
          <w:t>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4" w:history="1">
        <w:r w:rsidRPr="001B13A4">
          <w:rPr>
            <w:rStyle w:val="Hyperlink"/>
            <w:noProof/>
          </w:rPr>
          <w:t>2.1.128</w:t>
        </w:r>
        <w:r>
          <w:rPr>
            <w:rFonts w:asciiTheme="minorHAnsi" w:eastAsiaTheme="minorEastAsia" w:hAnsiTheme="minorHAnsi" w:cstheme="minorBidi"/>
            <w:noProof/>
            <w:sz w:val="22"/>
            <w:szCs w:val="22"/>
          </w:rPr>
          <w:tab/>
        </w:r>
        <w:r w:rsidRPr="001B13A4">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_Toc181683164 \h </w:instrText>
        </w:r>
        <w:r>
          <w:rPr>
            <w:noProof/>
            <w:webHidden/>
          </w:rPr>
        </w:r>
        <w:r>
          <w:rPr>
            <w:noProof/>
            <w:webHidden/>
          </w:rPr>
          <w:fldChar w:fldCharType="separate"/>
        </w:r>
        <w:r>
          <w:rPr>
            <w:noProof/>
            <w:webHidden/>
          </w:rPr>
          <w:t>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5" w:history="1">
        <w:r w:rsidRPr="001B13A4">
          <w:rPr>
            <w:rStyle w:val="Hyperlink"/>
            <w:noProof/>
          </w:rPr>
          <w:t>2.1.129</w:t>
        </w:r>
        <w:r>
          <w:rPr>
            <w:rFonts w:asciiTheme="minorHAnsi" w:eastAsiaTheme="minorEastAsia" w:hAnsiTheme="minorHAnsi" w:cstheme="minorBidi"/>
            <w:noProof/>
            <w:sz w:val="22"/>
            <w:szCs w:val="22"/>
          </w:rPr>
          <w:tab/>
        </w:r>
        <w:r w:rsidRPr="001B13A4">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_Toc181683165 \h </w:instrText>
        </w:r>
        <w:r>
          <w:rPr>
            <w:noProof/>
            <w:webHidden/>
          </w:rPr>
        </w:r>
        <w:r>
          <w:rPr>
            <w:noProof/>
            <w:webHidden/>
          </w:rPr>
          <w:fldChar w:fldCharType="separate"/>
        </w:r>
        <w:r>
          <w:rPr>
            <w:noProof/>
            <w:webHidden/>
          </w:rPr>
          <w:t>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6" w:history="1">
        <w:r w:rsidRPr="001B13A4">
          <w:rPr>
            <w:rStyle w:val="Hyperlink"/>
            <w:noProof/>
          </w:rPr>
          <w:t>2.1.130</w:t>
        </w:r>
        <w:r>
          <w:rPr>
            <w:rFonts w:asciiTheme="minorHAnsi" w:eastAsiaTheme="minorEastAsia" w:hAnsiTheme="minorHAnsi" w:cstheme="minorBidi"/>
            <w:noProof/>
            <w:sz w:val="22"/>
            <w:szCs w:val="22"/>
          </w:rPr>
          <w:tab/>
        </w:r>
        <w:r w:rsidRPr="001B13A4">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_Toc181683166 \h </w:instrText>
        </w:r>
        <w:r>
          <w:rPr>
            <w:noProof/>
            <w:webHidden/>
          </w:rPr>
        </w:r>
        <w:r>
          <w:rPr>
            <w:noProof/>
            <w:webHidden/>
          </w:rPr>
          <w:fldChar w:fldCharType="separate"/>
        </w:r>
        <w:r>
          <w:rPr>
            <w:noProof/>
            <w:webHidden/>
          </w:rPr>
          <w:t>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7" w:history="1">
        <w:r w:rsidRPr="001B13A4">
          <w:rPr>
            <w:rStyle w:val="Hyperlink"/>
            <w:noProof/>
          </w:rPr>
          <w:t>2.1.131</w:t>
        </w:r>
        <w:r>
          <w:rPr>
            <w:rFonts w:asciiTheme="minorHAnsi" w:eastAsiaTheme="minorEastAsia" w:hAnsiTheme="minorHAnsi" w:cstheme="minorBidi"/>
            <w:noProof/>
            <w:sz w:val="22"/>
            <w:szCs w:val="22"/>
          </w:rPr>
          <w:tab/>
        </w:r>
        <w:r w:rsidRPr="001B13A4">
          <w:rPr>
            <w:rStyle w:val="Hyperlink"/>
            <w:noProof/>
          </w:rPr>
          <w:t>Part 1 Section 17.4.18, header (Header Cell Reference)</w:t>
        </w:r>
        <w:r>
          <w:rPr>
            <w:noProof/>
            <w:webHidden/>
          </w:rPr>
          <w:tab/>
        </w:r>
        <w:r>
          <w:rPr>
            <w:noProof/>
            <w:webHidden/>
          </w:rPr>
          <w:fldChar w:fldCharType="begin"/>
        </w:r>
        <w:r>
          <w:rPr>
            <w:noProof/>
            <w:webHidden/>
          </w:rPr>
          <w:instrText xml:space="preserve"> PAGEREF _Toc181683167 \h </w:instrText>
        </w:r>
        <w:r>
          <w:rPr>
            <w:noProof/>
            <w:webHidden/>
          </w:rPr>
        </w:r>
        <w:r>
          <w:rPr>
            <w:noProof/>
            <w:webHidden/>
          </w:rPr>
          <w:fldChar w:fldCharType="separate"/>
        </w:r>
        <w:r>
          <w:rPr>
            <w:noProof/>
            <w:webHidden/>
          </w:rPr>
          <w:t>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8" w:history="1">
        <w:r w:rsidRPr="001B13A4">
          <w:rPr>
            <w:rStyle w:val="Hyperlink"/>
            <w:noProof/>
          </w:rPr>
          <w:t>2.1.132</w:t>
        </w:r>
        <w:r>
          <w:rPr>
            <w:rFonts w:asciiTheme="minorHAnsi" w:eastAsiaTheme="minorEastAsia" w:hAnsiTheme="minorHAnsi" w:cstheme="minorBidi"/>
            <w:noProof/>
            <w:sz w:val="22"/>
            <w:szCs w:val="22"/>
          </w:rPr>
          <w:tab/>
        </w:r>
        <w:r w:rsidRPr="001B13A4">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_Toc181683168 \h </w:instrText>
        </w:r>
        <w:r>
          <w:rPr>
            <w:noProof/>
            <w:webHidden/>
          </w:rPr>
        </w:r>
        <w:r>
          <w:rPr>
            <w:noProof/>
            <w:webHidden/>
          </w:rPr>
          <w:fldChar w:fldCharType="separate"/>
        </w:r>
        <w:r>
          <w:rPr>
            <w:noProof/>
            <w:webHidden/>
          </w:rPr>
          <w:t>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69" w:history="1">
        <w:r w:rsidRPr="001B13A4">
          <w:rPr>
            <w:rStyle w:val="Hyperlink"/>
            <w:noProof/>
          </w:rPr>
          <w:t>2.1.133</w:t>
        </w:r>
        <w:r>
          <w:rPr>
            <w:rFonts w:asciiTheme="minorHAnsi" w:eastAsiaTheme="minorEastAsia" w:hAnsiTheme="minorHAnsi" w:cstheme="minorBidi"/>
            <w:noProof/>
            <w:sz w:val="22"/>
            <w:szCs w:val="22"/>
          </w:rPr>
          <w:tab/>
        </w:r>
        <w:r w:rsidRPr="001B13A4">
          <w:rPr>
            <w:rStyle w:val="Hyperlink"/>
            <w:noProof/>
          </w:rPr>
          <w:t>Part 1 Section 17.4.20, hidden (Hidden Table Row Marker)</w:t>
        </w:r>
        <w:r>
          <w:rPr>
            <w:noProof/>
            <w:webHidden/>
          </w:rPr>
          <w:tab/>
        </w:r>
        <w:r>
          <w:rPr>
            <w:noProof/>
            <w:webHidden/>
          </w:rPr>
          <w:fldChar w:fldCharType="begin"/>
        </w:r>
        <w:r>
          <w:rPr>
            <w:noProof/>
            <w:webHidden/>
          </w:rPr>
          <w:instrText xml:space="preserve"> PAGEREF _Toc181683169 \h </w:instrText>
        </w:r>
        <w:r>
          <w:rPr>
            <w:noProof/>
            <w:webHidden/>
          </w:rPr>
        </w:r>
        <w:r>
          <w:rPr>
            <w:noProof/>
            <w:webHidden/>
          </w:rPr>
          <w:fldChar w:fldCharType="separate"/>
        </w:r>
        <w:r>
          <w:rPr>
            <w:noProof/>
            <w:webHidden/>
          </w:rPr>
          <w:t>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0" w:history="1">
        <w:r w:rsidRPr="001B13A4">
          <w:rPr>
            <w:rStyle w:val="Hyperlink"/>
            <w:noProof/>
          </w:rPr>
          <w:t>2.1.134</w:t>
        </w:r>
        <w:r>
          <w:rPr>
            <w:rFonts w:asciiTheme="minorHAnsi" w:eastAsiaTheme="minorEastAsia" w:hAnsiTheme="minorHAnsi" w:cstheme="minorBidi"/>
            <w:noProof/>
            <w:sz w:val="22"/>
            <w:szCs w:val="22"/>
          </w:rPr>
          <w:tab/>
        </w:r>
        <w:r w:rsidRPr="001B13A4">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_Toc181683170 \h </w:instrText>
        </w:r>
        <w:r>
          <w:rPr>
            <w:noProof/>
            <w:webHidden/>
          </w:rPr>
        </w:r>
        <w:r>
          <w:rPr>
            <w:noProof/>
            <w:webHidden/>
          </w:rPr>
          <w:fldChar w:fldCharType="separate"/>
        </w:r>
        <w:r>
          <w:rPr>
            <w:noProof/>
            <w:webHidden/>
          </w:rPr>
          <w:t>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1" w:history="1">
        <w:r w:rsidRPr="001B13A4">
          <w:rPr>
            <w:rStyle w:val="Hyperlink"/>
            <w:noProof/>
          </w:rPr>
          <w:t>2.1.135</w:t>
        </w:r>
        <w:r>
          <w:rPr>
            <w:rFonts w:asciiTheme="minorHAnsi" w:eastAsiaTheme="minorEastAsia" w:hAnsiTheme="minorHAnsi" w:cstheme="minorBidi"/>
            <w:noProof/>
            <w:sz w:val="22"/>
            <w:szCs w:val="22"/>
          </w:rPr>
          <w:tab/>
        </w:r>
        <w:r w:rsidRPr="001B13A4">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_Toc181683171 \h </w:instrText>
        </w:r>
        <w:r>
          <w:rPr>
            <w:noProof/>
            <w:webHidden/>
          </w:rPr>
        </w:r>
        <w:r>
          <w:rPr>
            <w:noProof/>
            <w:webHidden/>
          </w:rPr>
          <w:fldChar w:fldCharType="separate"/>
        </w:r>
        <w:r>
          <w:rPr>
            <w:noProof/>
            <w:webHidden/>
          </w:rPr>
          <w:t>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2" w:history="1">
        <w:r w:rsidRPr="001B13A4">
          <w:rPr>
            <w:rStyle w:val="Hyperlink"/>
            <w:noProof/>
          </w:rPr>
          <w:t>2.1.136</w:t>
        </w:r>
        <w:r>
          <w:rPr>
            <w:rFonts w:asciiTheme="minorHAnsi" w:eastAsiaTheme="minorEastAsia" w:hAnsiTheme="minorHAnsi" w:cstheme="minorBidi"/>
            <w:noProof/>
            <w:sz w:val="22"/>
            <w:szCs w:val="22"/>
          </w:rPr>
          <w:tab/>
        </w:r>
        <w:r w:rsidRPr="001B13A4">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_Toc181683172 \h </w:instrText>
        </w:r>
        <w:r>
          <w:rPr>
            <w:noProof/>
            <w:webHidden/>
          </w:rPr>
        </w:r>
        <w:r>
          <w:rPr>
            <w:noProof/>
            <w:webHidden/>
          </w:rPr>
          <w:fldChar w:fldCharType="separate"/>
        </w:r>
        <w:r>
          <w:rPr>
            <w:noProof/>
            <w:webHidden/>
          </w:rPr>
          <w:t>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3" w:history="1">
        <w:r w:rsidRPr="001B13A4">
          <w:rPr>
            <w:rStyle w:val="Hyperlink"/>
            <w:noProof/>
          </w:rPr>
          <w:t>2.1.137</w:t>
        </w:r>
        <w:r>
          <w:rPr>
            <w:rFonts w:asciiTheme="minorHAnsi" w:eastAsiaTheme="minorEastAsia" w:hAnsiTheme="minorHAnsi" w:cstheme="minorBidi"/>
            <w:noProof/>
            <w:sz w:val="22"/>
            <w:szCs w:val="22"/>
          </w:rPr>
          <w:tab/>
        </w:r>
        <w:r w:rsidRPr="001B13A4">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_Toc181683173 \h </w:instrText>
        </w:r>
        <w:r>
          <w:rPr>
            <w:noProof/>
            <w:webHidden/>
          </w:rPr>
        </w:r>
        <w:r>
          <w:rPr>
            <w:noProof/>
            <w:webHidden/>
          </w:rPr>
          <w:fldChar w:fldCharType="separate"/>
        </w:r>
        <w:r>
          <w:rPr>
            <w:noProof/>
            <w:webHidden/>
          </w:rPr>
          <w:t>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4" w:history="1">
        <w:r w:rsidRPr="001B13A4">
          <w:rPr>
            <w:rStyle w:val="Hyperlink"/>
            <w:noProof/>
          </w:rPr>
          <w:t>2.1.138</w:t>
        </w:r>
        <w:r>
          <w:rPr>
            <w:rFonts w:asciiTheme="minorHAnsi" w:eastAsiaTheme="minorEastAsia" w:hAnsiTheme="minorHAnsi" w:cstheme="minorBidi"/>
            <w:noProof/>
            <w:sz w:val="22"/>
            <w:szCs w:val="22"/>
          </w:rPr>
          <w:tab/>
        </w:r>
        <w:r w:rsidRPr="001B13A4">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_Toc181683174 \h </w:instrText>
        </w:r>
        <w:r>
          <w:rPr>
            <w:noProof/>
            <w:webHidden/>
          </w:rPr>
        </w:r>
        <w:r>
          <w:rPr>
            <w:noProof/>
            <w:webHidden/>
          </w:rPr>
          <w:fldChar w:fldCharType="separate"/>
        </w:r>
        <w:r>
          <w:rPr>
            <w:noProof/>
            <w:webHidden/>
          </w:rPr>
          <w:t>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5" w:history="1">
        <w:r w:rsidRPr="001B13A4">
          <w:rPr>
            <w:rStyle w:val="Hyperlink"/>
            <w:noProof/>
          </w:rPr>
          <w:t>2.1.139</w:t>
        </w:r>
        <w:r>
          <w:rPr>
            <w:rFonts w:asciiTheme="minorHAnsi" w:eastAsiaTheme="minorEastAsia" w:hAnsiTheme="minorHAnsi" w:cstheme="minorBidi"/>
            <w:noProof/>
            <w:sz w:val="22"/>
            <w:szCs w:val="22"/>
          </w:rPr>
          <w:tab/>
        </w:r>
        <w:r w:rsidRPr="001B13A4">
          <w:rPr>
            <w:rStyle w:val="Hyperlink"/>
            <w:noProof/>
          </w:rPr>
          <w:t>Part 1 Section 17.4.26, jc (Table Alignment Exception)</w:t>
        </w:r>
        <w:r>
          <w:rPr>
            <w:noProof/>
            <w:webHidden/>
          </w:rPr>
          <w:tab/>
        </w:r>
        <w:r>
          <w:rPr>
            <w:noProof/>
            <w:webHidden/>
          </w:rPr>
          <w:fldChar w:fldCharType="begin"/>
        </w:r>
        <w:r>
          <w:rPr>
            <w:noProof/>
            <w:webHidden/>
          </w:rPr>
          <w:instrText xml:space="preserve"> PAGEREF _Toc181683175 \h </w:instrText>
        </w:r>
        <w:r>
          <w:rPr>
            <w:noProof/>
            <w:webHidden/>
          </w:rPr>
        </w:r>
        <w:r>
          <w:rPr>
            <w:noProof/>
            <w:webHidden/>
          </w:rPr>
          <w:fldChar w:fldCharType="separate"/>
        </w:r>
        <w:r>
          <w:rPr>
            <w:noProof/>
            <w:webHidden/>
          </w:rPr>
          <w:t>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6" w:history="1">
        <w:r w:rsidRPr="001B13A4">
          <w:rPr>
            <w:rStyle w:val="Hyperlink"/>
            <w:noProof/>
          </w:rPr>
          <w:t>2.1.140</w:t>
        </w:r>
        <w:r>
          <w:rPr>
            <w:rFonts w:asciiTheme="minorHAnsi" w:eastAsiaTheme="minorEastAsia" w:hAnsiTheme="minorHAnsi" w:cstheme="minorBidi"/>
            <w:noProof/>
            <w:sz w:val="22"/>
            <w:szCs w:val="22"/>
          </w:rPr>
          <w:tab/>
        </w:r>
        <w:r w:rsidRPr="001B13A4">
          <w:rPr>
            <w:rStyle w:val="Hyperlink"/>
            <w:noProof/>
          </w:rPr>
          <w:t>Part 1 Section 17.4.27, jc (Table Row Alignment)</w:t>
        </w:r>
        <w:r>
          <w:rPr>
            <w:noProof/>
            <w:webHidden/>
          </w:rPr>
          <w:tab/>
        </w:r>
        <w:r>
          <w:rPr>
            <w:noProof/>
            <w:webHidden/>
          </w:rPr>
          <w:fldChar w:fldCharType="begin"/>
        </w:r>
        <w:r>
          <w:rPr>
            <w:noProof/>
            <w:webHidden/>
          </w:rPr>
          <w:instrText xml:space="preserve"> PAGEREF _Toc181683176 \h </w:instrText>
        </w:r>
        <w:r>
          <w:rPr>
            <w:noProof/>
            <w:webHidden/>
          </w:rPr>
        </w:r>
        <w:r>
          <w:rPr>
            <w:noProof/>
            <w:webHidden/>
          </w:rPr>
          <w:fldChar w:fldCharType="separate"/>
        </w:r>
        <w:r>
          <w:rPr>
            <w:noProof/>
            <w:webHidden/>
          </w:rPr>
          <w:t>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7" w:history="1">
        <w:r w:rsidRPr="001B13A4">
          <w:rPr>
            <w:rStyle w:val="Hyperlink"/>
            <w:noProof/>
          </w:rPr>
          <w:t>2.1.141</w:t>
        </w:r>
        <w:r>
          <w:rPr>
            <w:rFonts w:asciiTheme="minorHAnsi" w:eastAsiaTheme="minorEastAsia" w:hAnsiTheme="minorHAnsi" w:cstheme="minorBidi"/>
            <w:noProof/>
            <w:sz w:val="22"/>
            <w:szCs w:val="22"/>
          </w:rPr>
          <w:tab/>
        </w:r>
        <w:r w:rsidRPr="001B13A4">
          <w:rPr>
            <w:rStyle w:val="Hyperlink"/>
            <w:noProof/>
          </w:rPr>
          <w:t>Part 1 Section 17.4.28, jc (Table Alignment)</w:t>
        </w:r>
        <w:r>
          <w:rPr>
            <w:noProof/>
            <w:webHidden/>
          </w:rPr>
          <w:tab/>
        </w:r>
        <w:r>
          <w:rPr>
            <w:noProof/>
            <w:webHidden/>
          </w:rPr>
          <w:fldChar w:fldCharType="begin"/>
        </w:r>
        <w:r>
          <w:rPr>
            <w:noProof/>
            <w:webHidden/>
          </w:rPr>
          <w:instrText xml:space="preserve"> PAGEREF _Toc181683177 \h </w:instrText>
        </w:r>
        <w:r>
          <w:rPr>
            <w:noProof/>
            <w:webHidden/>
          </w:rPr>
        </w:r>
        <w:r>
          <w:rPr>
            <w:noProof/>
            <w:webHidden/>
          </w:rPr>
          <w:fldChar w:fldCharType="separate"/>
        </w:r>
        <w:r>
          <w:rPr>
            <w:noProof/>
            <w:webHidden/>
          </w:rPr>
          <w:t>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8" w:history="1">
        <w:r w:rsidRPr="001B13A4">
          <w:rPr>
            <w:rStyle w:val="Hyperlink"/>
            <w:noProof/>
          </w:rPr>
          <w:t>2.1.142</w:t>
        </w:r>
        <w:r>
          <w:rPr>
            <w:rFonts w:asciiTheme="minorHAnsi" w:eastAsiaTheme="minorEastAsia" w:hAnsiTheme="minorHAnsi" w:cstheme="minorBidi"/>
            <w:noProof/>
            <w:sz w:val="22"/>
            <w:szCs w:val="22"/>
          </w:rPr>
          <w:tab/>
        </w:r>
        <w:r w:rsidRPr="001B13A4">
          <w:rPr>
            <w:rStyle w:val="Hyperlink"/>
            <w:noProof/>
          </w:rPr>
          <w:t>Part 1 Section 17.4.30, shd (Table Shading Exception)</w:t>
        </w:r>
        <w:r>
          <w:rPr>
            <w:noProof/>
            <w:webHidden/>
          </w:rPr>
          <w:tab/>
        </w:r>
        <w:r>
          <w:rPr>
            <w:noProof/>
            <w:webHidden/>
          </w:rPr>
          <w:fldChar w:fldCharType="begin"/>
        </w:r>
        <w:r>
          <w:rPr>
            <w:noProof/>
            <w:webHidden/>
          </w:rPr>
          <w:instrText xml:space="preserve"> PAGEREF _Toc181683178 \h </w:instrText>
        </w:r>
        <w:r>
          <w:rPr>
            <w:noProof/>
            <w:webHidden/>
          </w:rPr>
        </w:r>
        <w:r>
          <w:rPr>
            <w:noProof/>
            <w:webHidden/>
          </w:rPr>
          <w:fldChar w:fldCharType="separate"/>
        </w:r>
        <w:r>
          <w:rPr>
            <w:noProof/>
            <w:webHidden/>
          </w:rPr>
          <w:t>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79" w:history="1">
        <w:r w:rsidRPr="001B13A4">
          <w:rPr>
            <w:rStyle w:val="Hyperlink"/>
            <w:noProof/>
          </w:rPr>
          <w:t>2.1.143</w:t>
        </w:r>
        <w:r>
          <w:rPr>
            <w:rFonts w:asciiTheme="minorHAnsi" w:eastAsiaTheme="minorEastAsia" w:hAnsiTheme="minorHAnsi" w:cstheme="minorBidi"/>
            <w:noProof/>
            <w:sz w:val="22"/>
            <w:szCs w:val="22"/>
          </w:rPr>
          <w:tab/>
        </w:r>
        <w:r w:rsidRPr="001B13A4">
          <w:rPr>
            <w:rStyle w:val="Hyperlink"/>
            <w:noProof/>
          </w:rPr>
          <w:t>Part 1 Section 17.4.31, shd (Table Shading)</w:t>
        </w:r>
        <w:r>
          <w:rPr>
            <w:noProof/>
            <w:webHidden/>
          </w:rPr>
          <w:tab/>
        </w:r>
        <w:r>
          <w:rPr>
            <w:noProof/>
            <w:webHidden/>
          </w:rPr>
          <w:fldChar w:fldCharType="begin"/>
        </w:r>
        <w:r>
          <w:rPr>
            <w:noProof/>
            <w:webHidden/>
          </w:rPr>
          <w:instrText xml:space="preserve"> PAGEREF _Toc181683179 \h </w:instrText>
        </w:r>
        <w:r>
          <w:rPr>
            <w:noProof/>
            <w:webHidden/>
          </w:rPr>
        </w:r>
        <w:r>
          <w:rPr>
            <w:noProof/>
            <w:webHidden/>
          </w:rPr>
          <w:fldChar w:fldCharType="separate"/>
        </w:r>
        <w:r>
          <w:rPr>
            <w:noProof/>
            <w:webHidden/>
          </w:rPr>
          <w:t>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0" w:history="1">
        <w:r w:rsidRPr="001B13A4">
          <w:rPr>
            <w:rStyle w:val="Hyperlink"/>
            <w:noProof/>
          </w:rPr>
          <w:t>2.1.144</w:t>
        </w:r>
        <w:r>
          <w:rPr>
            <w:rFonts w:asciiTheme="minorHAnsi" w:eastAsiaTheme="minorEastAsia" w:hAnsiTheme="minorHAnsi" w:cstheme="minorBidi"/>
            <w:noProof/>
            <w:sz w:val="22"/>
            <w:szCs w:val="22"/>
          </w:rPr>
          <w:tab/>
        </w:r>
        <w:r w:rsidRPr="001B13A4">
          <w:rPr>
            <w:rStyle w:val="Hyperlink"/>
            <w:noProof/>
          </w:rPr>
          <w:t>Part 1 Section 17.4.32, shd (Table Cell Shading)</w:t>
        </w:r>
        <w:r>
          <w:rPr>
            <w:noProof/>
            <w:webHidden/>
          </w:rPr>
          <w:tab/>
        </w:r>
        <w:r>
          <w:rPr>
            <w:noProof/>
            <w:webHidden/>
          </w:rPr>
          <w:fldChar w:fldCharType="begin"/>
        </w:r>
        <w:r>
          <w:rPr>
            <w:noProof/>
            <w:webHidden/>
          </w:rPr>
          <w:instrText xml:space="preserve"> PAGEREF _Toc181683180 \h </w:instrText>
        </w:r>
        <w:r>
          <w:rPr>
            <w:noProof/>
            <w:webHidden/>
          </w:rPr>
        </w:r>
        <w:r>
          <w:rPr>
            <w:noProof/>
            <w:webHidden/>
          </w:rPr>
          <w:fldChar w:fldCharType="separate"/>
        </w:r>
        <w:r>
          <w:rPr>
            <w:noProof/>
            <w:webHidden/>
          </w:rPr>
          <w:t>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1" w:history="1">
        <w:r w:rsidRPr="001B13A4">
          <w:rPr>
            <w:rStyle w:val="Hyperlink"/>
            <w:noProof/>
          </w:rPr>
          <w:t>2.1.145</w:t>
        </w:r>
        <w:r>
          <w:rPr>
            <w:rFonts w:asciiTheme="minorHAnsi" w:eastAsiaTheme="minorEastAsia" w:hAnsiTheme="minorHAnsi" w:cstheme="minorBidi"/>
            <w:noProof/>
            <w:sz w:val="22"/>
            <w:szCs w:val="22"/>
          </w:rPr>
          <w:tab/>
        </w:r>
        <w:r w:rsidRPr="001B13A4">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_Toc181683181 \h </w:instrText>
        </w:r>
        <w:r>
          <w:rPr>
            <w:noProof/>
            <w:webHidden/>
          </w:rPr>
        </w:r>
        <w:r>
          <w:rPr>
            <w:noProof/>
            <w:webHidden/>
          </w:rPr>
          <w:fldChar w:fldCharType="separate"/>
        </w:r>
        <w:r>
          <w:rPr>
            <w:noProof/>
            <w:webHidden/>
          </w:rPr>
          <w:t>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2" w:history="1">
        <w:r w:rsidRPr="001B13A4">
          <w:rPr>
            <w:rStyle w:val="Hyperlink"/>
            <w:noProof/>
          </w:rPr>
          <w:t>2.1.146</w:t>
        </w:r>
        <w:r>
          <w:rPr>
            <w:rFonts w:asciiTheme="minorHAnsi" w:eastAsiaTheme="minorEastAsia" w:hAnsiTheme="minorHAnsi" w:cstheme="minorBidi"/>
            <w:noProof/>
            <w:sz w:val="22"/>
            <w:szCs w:val="22"/>
          </w:rPr>
          <w:tab/>
        </w:r>
        <w:r w:rsidRPr="001B13A4">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_Toc181683182 \h </w:instrText>
        </w:r>
        <w:r>
          <w:rPr>
            <w:noProof/>
            <w:webHidden/>
          </w:rPr>
        </w:r>
        <w:r>
          <w:rPr>
            <w:noProof/>
            <w:webHidden/>
          </w:rPr>
          <w:fldChar w:fldCharType="separate"/>
        </w:r>
        <w:r>
          <w:rPr>
            <w:noProof/>
            <w:webHidden/>
          </w:rPr>
          <w:t>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3" w:history="1">
        <w:r w:rsidRPr="001B13A4">
          <w:rPr>
            <w:rStyle w:val="Hyperlink"/>
            <w:noProof/>
          </w:rPr>
          <w:t>2.1.147</w:t>
        </w:r>
        <w:r>
          <w:rPr>
            <w:rFonts w:asciiTheme="minorHAnsi" w:eastAsiaTheme="minorEastAsia" w:hAnsiTheme="minorHAnsi" w:cstheme="minorBidi"/>
            <w:noProof/>
            <w:sz w:val="22"/>
            <w:szCs w:val="22"/>
          </w:rPr>
          <w:tab/>
        </w:r>
        <w:r w:rsidRPr="001B13A4">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_Toc181683183 \h </w:instrText>
        </w:r>
        <w:r>
          <w:rPr>
            <w:noProof/>
            <w:webHidden/>
          </w:rPr>
        </w:r>
        <w:r>
          <w:rPr>
            <w:noProof/>
            <w:webHidden/>
          </w:rPr>
          <w:fldChar w:fldCharType="separate"/>
        </w:r>
        <w:r>
          <w:rPr>
            <w:noProof/>
            <w:webHidden/>
          </w:rPr>
          <w:t>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4" w:history="1">
        <w:r w:rsidRPr="001B13A4">
          <w:rPr>
            <w:rStyle w:val="Hyperlink"/>
            <w:noProof/>
          </w:rPr>
          <w:t>2.1.148</w:t>
        </w:r>
        <w:r>
          <w:rPr>
            <w:rFonts w:asciiTheme="minorHAnsi" w:eastAsiaTheme="minorEastAsia" w:hAnsiTheme="minorHAnsi" w:cstheme="minorBidi"/>
            <w:noProof/>
            <w:sz w:val="22"/>
            <w:szCs w:val="22"/>
          </w:rPr>
          <w:tab/>
        </w:r>
        <w:r w:rsidRPr="001B13A4">
          <w:rPr>
            <w:rStyle w:val="Hyperlink"/>
            <w:noProof/>
          </w:rPr>
          <w:t>Part 1 Section 17.4.36, start (Table Leading Edge Border)</w:t>
        </w:r>
        <w:r>
          <w:rPr>
            <w:noProof/>
            <w:webHidden/>
          </w:rPr>
          <w:tab/>
        </w:r>
        <w:r>
          <w:rPr>
            <w:noProof/>
            <w:webHidden/>
          </w:rPr>
          <w:fldChar w:fldCharType="begin"/>
        </w:r>
        <w:r>
          <w:rPr>
            <w:noProof/>
            <w:webHidden/>
          </w:rPr>
          <w:instrText xml:space="preserve"> PAGEREF _Toc181683184 \h </w:instrText>
        </w:r>
        <w:r>
          <w:rPr>
            <w:noProof/>
            <w:webHidden/>
          </w:rPr>
        </w:r>
        <w:r>
          <w:rPr>
            <w:noProof/>
            <w:webHidden/>
          </w:rPr>
          <w:fldChar w:fldCharType="separate"/>
        </w:r>
        <w:r>
          <w:rPr>
            <w:noProof/>
            <w:webHidden/>
          </w:rPr>
          <w:t>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5" w:history="1">
        <w:r w:rsidRPr="001B13A4">
          <w:rPr>
            <w:rStyle w:val="Hyperlink"/>
            <w:noProof/>
          </w:rPr>
          <w:t>2.1.149</w:t>
        </w:r>
        <w:r>
          <w:rPr>
            <w:rFonts w:asciiTheme="minorHAnsi" w:eastAsiaTheme="minorEastAsia" w:hAnsiTheme="minorHAnsi" w:cstheme="minorBidi"/>
            <w:noProof/>
            <w:sz w:val="22"/>
            <w:szCs w:val="22"/>
          </w:rPr>
          <w:tab/>
        </w:r>
        <w:r w:rsidRPr="001B13A4">
          <w:rPr>
            <w:rStyle w:val="Hyperlink"/>
            <w:noProof/>
          </w:rPr>
          <w:t>Part 1 Section 17.4.37, tbl (Table)</w:t>
        </w:r>
        <w:r>
          <w:rPr>
            <w:noProof/>
            <w:webHidden/>
          </w:rPr>
          <w:tab/>
        </w:r>
        <w:r>
          <w:rPr>
            <w:noProof/>
            <w:webHidden/>
          </w:rPr>
          <w:fldChar w:fldCharType="begin"/>
        </w:r>
        <w:r>
          <w:rPr>
            <w:noProof/>
            <w:webHidden/>
          </w:rPr>
          <w:instrText xml:space="preserve"> PAGEREF _Toc181683185 \h </w:instrText>
        </w:r>
        <w:r>
          <w:rPr>
            <w:noProof/>
            <w:webHidden/>
          </w:rPr>
        </w:r>
        <w:r>
          <w:rPr>
            <w:noProof/>
            <w:webHidden/>
          </w:rPr>
          <w:fldChar w:fldCharType="separate"/>
        </w:r>
        <w:r>
          <w:rPr>
            <w:noProof/>
            <w:webHidden/>
          </w:rPr>
          <w:t>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6" w:history="1">
        <w:r w:rsidRPr="001B13A4">
          <w:rPr>
            <w:rStyle w:val="Hyperlink"/>
            <w:noProof/>
          </w:rPr>
          <w:t>2.1.150</w:t>
        </w:r>
        <w:r>
          <w:rPr>
            <w:rFonts w:asciiTheme="minorHAnsi" w:eastAsiaTheme="minorEastAsia" w:hAnsiTheme="minorHAnsi" w:cstheme="minorBidi"/>
            <w:noProof/>
            <w:sz w:val="22"/>
            <w:szCs w:val="22"/>
          </w:rPr>
          <w:tab/>
        </w:r>
        <w:r w:rsidRPr="001B13A4">
          <w:rPr>
            <w:rStyle w:val="Hyperlink"/>
            <w:noProof/>
          </w:rPr>
          <w:t>Part 1 Section 17.4.38, tblBorders (Table Borders)</w:t>
        </w:r>
        <w:r>
          <w:rPr>
            <w:noProof/>
            <w:webHidden/>
          </w:rPr>
          <w:tab/>
        </w:r>
        <w:r>
          <w:rPr>
            <w:noProof/>
            <w:webHidden/>
          </w:rPr>
          <w:fldChar w:fldCharType="begin"/>
        </w:r>
        <w:r>
          <w:rPr>
            <w:noProof/>
            <w:webHidden/>
          </w:rPr>
          <w:instrText xml:space="preserve"> PAGEREF _Toc181683186 \h </w:instrText>
        </w:r>
        <w:r>
          <w:rPr>
            <w:noProof/>
            <w:webHidden/>
          </w:rPr>
        </w:r>
        <w:r>
          <w:rPr>
            <w:noProof/>
            <w:webHidden/>
          </w:rPr>
          <w:fldChar w:fldCharType="separate"/>
        </w:r>
        <w:r>
          <w:rPr>
            <w:noProof/>
            <w:webHidden/>
          </w:rPr>
          <w:t>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7" w:history="1">
        <w:r w:rsidRPr="001B13A4">
          <w:rPr>
            <w:rStyle w:val="Hyperlink"/>
            <w:noProof/>
          </w:rPr>
          <w:t>2.1.151</w:t>
        </w:r>
        <w:r>
          <w:rPr>
            <w:rFonts w:asciiTheme="minorHAnsi" w:eastAsiaTheme="minorEastAsia" w:hAnsiTheme="minorHAnsi" w:cstheme="minorBidi"/>
            <w:noProof/>
            <w:sz w:val="22"/>
            <w:szCs w:val="22"/>
          </w:rPr>
          <w:tab/>
        </w:r>
        <w:r w:rsidRPr="001B13A4">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_Toc181683187 \h </w:instrText>
        </w:r>
        <w:r>
          <w:rPr>
            <w:noProof/>
            <w:webHidden/>
          </w:rPr>
        </w:r>
        <w:r>
          <w:rPr>
            <w:noProof/>
            <w:webHidden/>
          </w:rPr>
          <w:fldChar w:fldCharType="separate"/>
        </w:r>
        <w:r>
          <w:rPr>
            <w:noProof/>
            <w:webHidden/>
          </w:rPr>
          <w:t>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8" w:history="1">
        <w:r w:rsidRPr="001B13A4">
          <w:rPr>
            <w:rStyle w:val="Hyperlink"/>
            <w:noProof/>
          </w:rPr>
          <w:t>2.1.152</w:t>
        </w:r>
        <w:r>
          <w:rPr>
            <w:rFonts w:asciiTheme="minorHAnsi" w:eastAsiaTheme="minorEastAsia" w:hAnsiTheme="minorHAnsi" w:cstheme="minorBidi"/>
            <w:noProof/>
            <w:sz w:val="22"/>
            <w:szCs w:val="22"/>
          </w:rPr>
          <w:tab/>
        </w:r>
        <w:r w:rsidRPr="001B13A4">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_Toc181683188 \h </w:instrText>
        </w:r>
        <w:r>
          <w:rPr>
            <w:noProof/>
            <w:webHidden/>
          </w:rPr>
        </w:r>
        <w:r>
          <w:rPr>
            <w:noProof/>
            <w:webHidden/>
          </w:rPr>
          <w:fldChar w:fldCharType="separate"/>
        </w:r>
        <w:r>
          <w:rPr>
            <w:noProof/>
            <w:webHidden/>
          </w:rPr>
          <w:t>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89" w:history="1">
        <w:r w:rsidRPr="001B13A4">
          <w:rPr>
            <w:rStyle w:val="Hyperlink"/>
            <w:noProof/>
          </w:rPr>
          <w:t>2.1.153</w:t>
        </w:r>
        <w:r>
          <w:rPr>
            <w:rFonts w:asciiTheme="minorHAnsi" w:eastAsiaTheme="minorEastAsia" w:hAnsiTheme="minorHAnsi" w:cstheme="minorBidi"/>
            <w:noProof/>
            <w:sz w:val="22"/>
            <w:szCs w:val="22"/>
          </w:rPr>
          <w:tab/>
        </w:r>
        <w:r w:rsidRPr="001B13A4">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_Toc181683189 \h </w:instrText>
        </w:r>
        <w:r>
          <w:rPr>
            <w:noProof/>
            <w:webHidden/>
          </w:rPr>
        </w:r>
        <w:r>
          <w:rPr>
            <w:noProof/>
            <w:webHidden/>
          </w:rPr>
          <w:fldChar w:fldCharType="separate"/>
        </w:r>
        <w:r>
          <w:rPr>
            <w:noProof/>
            <w:webHidden/>
          </w:rPr>
          <w:t>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0" w:history="1">
        <w:r w:rsidRPr="001B13A4">
          <w:rPr>
            <w:rStyle w:val="Hyperlink"/>
            <w:noProof/>
          </w:rPr>
          <w:t>2.1.154</w:t>
        </w:r>
        <w:r>
          <w:rPr>
            <w:rFonts w:asciiTheme="minorHAnsi" w:eastAsiaTheme="minorEastAsia" w:hAnsiTheme="minorHAnsi" w:cstheme="minorBidi"/>
            <w:noProof/>
            <w:sz w:val="22"/>
            <w:szCs w:val="22"/>
          </w:rPr>
          <w:tab/>
        </w:r>
        <w:r w:rsidRPr="001B13A4">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_Toc181683190 \h </w:instrText>
        </w:r>
        <w:r>
          <w:rPr>
            <w:noProof/>
            <w:webHidden/>
          </w:rPr>
        </w:r>
        <w:r>
          <w:rPr>
            <w:noProof/>
            <w:webHidden/>
          </w:rPr>
          <w:fldChar w:fldCharType="separate"/>
        </w:r>
        <w:r>
          <w:rPr>
            <w:noProof/>
            <w:webHidden/>
          </w:rPr>
          <w:t>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1" w:history="1">
        <w:r w:rsidRPr="001B13A4">
          <w:rPr>
            <w:rStyle w:val="Hyperlink"/>
            <w:noProof/>
          </w:rPr>
          <w:t>2.1.155</w:t>
        </w:r>
        <w:r>
          <w:rPr>
            <w:rFonts w:asciiTheme="minorHAnsi" w:eastAsiaTheme="minorEastAsia" w:hAnsiTheme="minorHAnsi" w:cstheme="minorBidi"/>
            <w:noProof/>
            <w:sz w:val="22"/>
            <w:szCs w:val="22"/>
          </w:rPr>
          <w:tab/>
        </w:r>
        <w:r w:rsidRPr="001B13A4">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_Toc181683191 \h </w:instrText>
        </w:r>
        <w:r>
          <w:rPr>
            <w:noProof/>
            <w:webHidden/>
          </w:rPr>
        </w:r>
        <w:r>
          <w:rPr>
            <w:noProof/>
            <w:webHidden/>
          </w:rPr>
          <w:fldChar w:fldCharType="separate"/>
        </w:r>
        <w:r>
          <w:rPr>
            <w:noProof/>
            <w:webHidden/>
          </w:rPr>
          <w:t>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2" w:history="1">
        <w:r w:rsidRPr="001B13A4">
          <w:rPr>
            <w:rStyle w:val="Hyperlink"/>
            <w:noProof/>
          </w:rPr>
          <w:t>2.1.156</w:t>
        </w:r>
        <w:r>
          <w:rPr>
            <w:rFonts w:asciiTheme="minorHAnsi" w:eastAsiaTheme="minorEastAsia" w:hAnsiTheme="minorHAnsi" w:cstheme="minorBidi"/>
            <w:noProof/>
            <w:sz w:val="22"/>
            <w:szCs w:val="22"/>
          </w:rPr>
          <w:tab/>
        </w:r>
        <w:r w:rsidRPr="001B13A4">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_Toc181683192 \h </w:instrText>
        </w:r>
        <w:r>
          <w:rPr>
            <w:noProof/>
            <w:webHidden/>
          </w:rPr>
        </w:r>
        <w:r>
          <w:rPr>
            <w:noProof/>
            <w:webHidden/>
          </w:rPr>
          <w:fldChar w:fldCharType="separate"/>
        </w:r>
        <w:r>
          <w:rPr>
            <w:noProof/>
            <w:webHidden/>
          </w:rPr>
          <w:t>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3" w:history="1">
        <w:r w:rsidRPr="001B13A4">
          <w:rPr>
            <w:rStyle w:val="Hyperlink"/>
            <w:noProof/>
          </w:rPr>
          <w:t>2.1.157</w:t>
        </w:r>
        <w:r>
          <w:rPr>
            <w:rFonts w:asciiTheme="minorHAnsi" w:eastAsiaTheme="minorEastAsia" w:hAnsiTheme="minorHAnsi" w:cstheme="minorBidi"/>
            <w:noProof/>
            <w:sz w:val="22"/>
            <w:szCs w:val="22"/>
          </w:rPr>
          <w:tab/>
        </w:r>
        <w:r w:rsidRPr="001B13A4">
          <w:rPr>
            <w:rStyle w:val="Hyperlink"/>
            <w:noProof/>
          </w:rPr>
          <w:t>Part 1 Section 17.4.52, tblLayout (Table Layout)</w:t>
        </w:r>
        <w:r>
          <w:rPr>
            <w:noProof/>
            <w:webHidden/>
          </w:rPr>
          <w:tab/>
        </w:r>
        <w:r>
          <w:rPr>
            <w:noProof/>
            <w:webHidden/>
          </w:rPr>
          <w:fldChar w:fldCharType="begin"/>
        </w:r>
        <w:r>
          <w:rPr>
            <w:noProof/>
            <w:webHidden/>
          </w:rPr>
          <w:instrText xml:space="preserve"> PAGEREF _Toc181683193 \h </w:instrText>
        </w:r>
        <w:r>
          <w:rPr>
            <w:noProof/>
            <w:webHidden/>
          </w:rPr>
        </w:r>
        <w:r>
          <w:rPr>
            <w:noProof/>
            <w:webHidden/>
          </w:rPr>
          <w:fldChar w:fldCharType="separate"/>
        </w:r>
        <w:r>
          <w:rPr>
            <w:noProof/>
            <w:webHidden/>
          </w:rPr>
          <w:t>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4" w:history="1">
        <w:r w:rsidRPr="001B13A4">
          <w:rPr>
            <w:rStyle w:val="Hyperlink"/>
            <w:noProof/>
          </w:rPr>
          <w:t>2.1.158</w:t>
        </w:r>
        <w:r>
          <w:rPr>
            <w:rFonts w:asciiTheme="minorHAnsi" w:eastAsiaTheme="minorEastAsia" w:hAnsiTheme="minorHAnsi" w:cstheme="minorBidi"/>
            <w:noProof/>
            <w:sz w:val="22"/>
            <w:szCs w:val="22"/>
          </w:rPr>
          <w:tab/>
        </w:r>
        <w:r w:rsidRPr="001B13A4">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_Toc181683194 \h </w:instrText>
        </w:r>
        <w:r>
          <w:rPr>
            <w:noProof/>
            <w:webHidden/>
          </w:rPr>
        </w:r>
        <w:r>
          <w:rPr>
            <w:noProof/>
            <w:webHidden/>
          </w:rPr>
          <w:fldChar w:fldCharType="separate"/>
        </w:r>
        <w:r>
          <w:rPr>
            <w:noProof/>
            <w:webHidden/>
          </w:rPr>
          <w:t>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5" w:history="1">
        <w:r w:rsidRPr="001B13A4">
          <w:rPr>
            <w:rStyle w:val="Hyperlink"/>
            <w:noProof/>
          </w:rPr>
          <w:t>2.1.159</w:t>
        </w:r>
        <w:r>
          <w:rPr>
            <w:rFonts w:asciiTheme="minorHAnsi" w:eastAsiaTheme="minorEastAsia" w:hAnsiTheme="minorHAnsi" w:cstheme="minorBidi"/>
            <w:noProof/>
            <w:sz w:val="22"/>
            <w:szCs w:val="22"/>
          </w:rPr>
          <w:tab/>
        </w:r>
        <w:r w:rsidRPr="001B13A4">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_Toc181683195 \h </w:instrText>
        </w:r>
        <w:r>
          <w:rPr>
            <w:noProof/>
            <w:webHidden/>
          </w:rPr>
        </w:r>
        <w:r>
          <w:rPr>
            <w:noProof/>
            <w:webHidden/>
          </w:rPr>
          <w:fldChar w:fldCharType="separate"/>
        </w:r>
        <w:r>
          <w:rPr>
            <w:noProof/>
            <w:webHidden/>
          </w:rPr>
          <w:t>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6" w:history="1">
        <w:r w:rsidRPr="001B13A4">
          <w:rPr>
            <w:rStyle w:val="Hyperlink"/>
            <w:noProof/>
          </w:rPr>
          <w:t>2.1.160</w:t>
        </w:r>
        <w:r>
          <w:rPr>
            <w:rFonts w:asciiTheme="minorHAnsi" w:eastAsiaTheme="minorEastAsia" w:hAnsiTheme="minorHAnsi" w:cstheme="minorBidi"/>
            <w:noProof/>
            <w:sz w:val="22"/>
            <w:szCs w:val="22"/>
          </w:rPr>
          <w:tab/>
        </w:r>
        <w:r w:rsidRPr="001B13A4">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_Toc181683196 \h </w:instrText>
        </w:r>
        <w:r>
          <w:rPr>
            <w:noProof/>
            <w:webHidden/>
          </w:rPr>
        </w:r>
        <w:r>
          <w:rPr>
            <w:noProof/>
            <w:webHidden/>
          </w:rPr>
          <w:fldChar w:fldCharType="separate"/>
        </w:r>
        <w:r>
          <w:rPr>
            <w:noProof/>
            <w:webHidden/>
          </w:rPr>
          <w:t>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7" w:history="1">
        <w:r w:rsidRPr="001B13A4">
          <w:rPr>
            <w:rStyle w:val="Hyperlink"/>
            <w:noProof/>
          </w:rPr>
          <w:t>2.1.161</w:t>
        </w:r>
        <w:r>
          <w:rPr>
            <w:rFonts w:asciiTheme="minorHAnsi" w:eastAsiaTheme="minorEastAsia" w:hAnsiTheme="minorHAnsi" w:cstheme="minorBidi"/>
            <w:noProof/>
            <w:sz w:val="22"/>
            <w:szCs w:val="22"/>
          </w:rPr>
          <w:tab/>
        </w:r>
        <w:r w:rsidRPr="001B13A4">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_Toc181683197 \h </w:instrText>
        </w:r>
        <w:r>
          <w:rPr>
            <w:noProof/>
            <w:webHidden/>
          </w:rPr>
        </w:r>
        <w:r>
          <w:rPr>
            <w:noProof/>
            <w:webHidden/>
          </w:rPr>
          <w:fldChar w:fldCharType="separate"/>
        </w:r>
        <w:r>
          <w:rPr>
            <w:noProof/>
            <w:webHidden/>
          </w:rPr>
          <w:t>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8" w:history="1">
        <w:r w:rsidRPr="001B13A4">
          <w:rPr>
            <w:rStyle w:val="Hyperlink"/>
            <w:noProof/>
          </w:rPr>
          <w:t>2.1.162</w:t>
        </w:r>
        <w:r>
          <w:rPr>
            <w:rFonts w:asciiTheme="minorHAnsi" w:eastAsiaTheme="minorEastAsia" w:hAnsiTheme="minorHAnsi" w:cstheme="minorBidi"/>
            <w:noProof/>
            <w:sz w:val="22"/>
            <w:szCs w:val="22"/>
          </w:rPr>
          <w:tab/>
        </w:r>
        <w:r w:rsidRPr="001B13A4">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_Toc181683198 \h </w:instrText>
        </w:r>
        <w:r>
          <w:rPr>
            <w:noProof/>
            <w:webHidden/>
          </w:rPr>
        </w:r>
        <w:r>
          <w:rPr>
            <w:noProof/>
            <w:webHidden/>
          </w:rPr>
          <w:fldChar w:fldCharType="separate"/>
        </w:r>
        <w:r>
          <w:rPr>
            <w:noProof/>
            <w:webHidden/>
          </w:rPr>
          <w:t>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199" w:history="1">
        <w:r w:rsidRPr="001B13A4">
          <w:rPr>
            <w:rStyle w:val="Hyperlink"/>
            <w:noProof/>
          </w:rPr>
          <w:t>2.1.163</w:t>
        </w:r>
        <w:r>
          <w:rPr>
            <w:rFonts w:asciiTheme="minorHAnsi" w:eastAsiaTheme="minorEastAsia" w:hAnsiTheme="minorHAnsi" w:cstheme="minorBidi"/>
            <w:noProof/>
            <w:sz w:val="22"/>
            <w:szCs w:val="22"/>
          </w:rPr>
          <w:tab/>
        </w:r>
        <w:r w:rsidRPr="001B13A4">
          <w:rPr>
            <w:rStyle w:val="Hyperlink"/>
            <w:noProof/>
          </w:rPr>
          <w:t>Part 1 Section 17.4.58, tblPr (Previous Table Properties)</w:t>
        </w:r>
        <w:r>
          <w:rPr>
            <w:noProof/>
            <w:webHidden/>
          </w:rPr>
          <w:tab/>
        </w:r>
        <w:r>
          <w:rPr>
            <w:noProof/>
            <w:webHidden/>
          </w:rPr>
          <w:fldChar w:fldCharType="begin"/>
        </w:r>
        <w:r>
          <w:rPr>
            <w:noProof/>
            <w:webHidden/>
          </w:rPr>
          <w:instrText xml:space="preserve"> PAGEREF _Toc181683199 \h </w:instrText>
        </w:r>
        <w:r>
          <w:rPr>
            <w:noProof/>
            <w:webHidden/>
          </w:rPr>
        </w:r>
        <w:r>
          <w:rPr>
            <w:noProof/>
            <w:webHidden/>
          </w:rPr>
          <w:fldChar w:fldCharType="separate"/>
        </w:r>
        <w:r>
          <w:rPr>
            <w:noProof/>
            <w:webHidden/>
          </w:rPr>
          <w:t>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0" w:history="1">
        <w:r w:rsidRPr="001B13A4">
          <w:rPr>
            <w:rStyle w:val="Hyperlink"/>
            <w:noProof/>
          </w:rPr>
          <w:t>2.1.164</w:t>
        </w:r>
        <w:r>
          <w:rPr>
            <w:rFonts w:asciiTheme="minorHAnsi" w:eastAsiaTheme="minorEastAsia" w:hAnsiTheme="minorHAnsi" w:cstheme="minorBidi"/>
            <w:noProof/>
            <w:sz w:val="22"/>
            <w:szCs w:val="22"/>
          </w:rPr>
          <w:tab/>
        </w:r>
        <w:r w:rsidRPr="001B13A4">
          <w:rPr>
            <w:rStyle w:val="Hyperlink"/>
            <w:noProof/>
          </w:rPr>
          <w:t>Part 1 Section 17.4.59, tblPr (Table Properties)</w:t>
        </w:r>
        <w:r>
          <w:rPr>
            <w:noProof/>
            <w:webHidden/>
          </w:rPr>
          <w:tab/>
        </w:r>
        <w:r>
          <w:rPr>
            <w:noProof/>
            <w:webHidden/>
          </w:rPr>
          <w:fldChar w:fldCharType="begin"/>
        </w:r>
        <w:r>
          <w:rPr>
            <w:noProof/>
            <w:webHidden/>
          </w:rPr>
          <w:instrText xml:space="preserve"> PAGEREF _Toc181683200 \h </w:instrText>
        </w:r>
        <w:r>
          <w:rPr>
            <w:noProof/>
            <w:webHidden/>
          </w:rPr>
        </w:r>
        <w:r>
          <w:rPr>
            <w:noProof/>
            <w:webHidden/>
          </w:rPr>
          <w:fldChar w:fldCharType="separate"/>
        </w:r>
        <w:r>
          <w:rPr>
            <w:noProof/>
            <w:webHidden/>
          </w:rPr>
          <w:t>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1" w:history="1">
        <w:r w:rsidRPr="001B13A4">
          <w:rPr>
            <w:rStyle w:val="Hyperlink"/>
            <w:noProof/>
          </w:rPr>
          <w:t>2.1.165</w:t>
        </w:r>
        <w:r>
          <w:rPr>
            <w:rFonts w:asciiTheme="minorHAnsi" w:eastAsiaTheme="minorEastAsia" w:hAnsiTheme="minorHAnsi" w:cstheme="minorBidi"/>
            <w:noProof/>
            <w:sz w:val="22"/>
            <w:szCs w:val="22"/>
          </w:rPr>
          <w:tab/>
        </w:r>
        <w:r w:rsidRPr="001B13A4">
          <w:rPr>
            <w:rStyle w:val="Hyperlink"/>
            <w:noProof/>
          </w:rPr>
          <w:t>Part 1 Section 17.4.62, tblStyle (Referenced Table Style)</w:t>
        </w:r>
        <w:r>
          <w:rPr>
            <w:noProof/>
            <w:webHidden/>
          </w:rPr>
          <w:tab/>
        </w:r>
        <w:r>
          <w:rPr>
            <w:noProof/>
            <w:webHidden/>
          </w:rPr>
          <w:fldChar w:fldCharType="begin"/>
        </w:r>
        <w:r>
          <w:rPr>
            <w:noProof/>
            <w:webHidden/>
          </w:rPr>
          <w:instrText xml:space="preserve"> PAGEREF _Toc181683201 \h </w:instrText>
        </w:r>
        <w:r>
          <w:rPr>
            <w:noProof/>
            <w:webHidden/>
          </w:rPr>
        </w:r>
        <w:r>
          <w:rPr>
            <w:noProof/>
            <w:webHidden/>
          </w:rPr>
          <w:fldChar w:fldCharType="separate"/>
        </w:r>
        <w:r>
          <w:rPr>
            <w:noProof/>
            <w:webHidden/>
          </w:rPr>
          <w:t>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2" w:history="1">
        <w:r w:rsidRPr="001B13A4">
          <w:rPr>
            <w:rStyle w:val="Hyperlink"/>
            <w:noProof/>
          </w:rPr>
          <w:t>2.1.166</w:t>
        </w:r>
        <w:r>
          <w:rPr>
            <w:rFonts w:asciiTheme="minorHAnsi" w:eastAsiaTheme="minorEastAsia" w:hAnsiTheme="minorHAnsi" w:cstheme="minorBidi"/>
            <w:noProof/>
            <w:sz w:val="22"/>
            <w:szCs w:val="22"/>
          </w:rPr>
          <w:tab/>
        </w:r>
        <w:r w:rsidRPr="001B13A4">
          <w:rPr>
            <w:rStyle w:val="Hyperlink"/>
            <w:noProof/>
          </w:rPr>
          <w:t>Part 1 Section 17.4.63, tblW (Preferred Table Width)</w:t>
        </w:r>
        <w:r>
          <w:rPr>
            <w:noProof/>
            <w:webHidden/>
          </w:rPr>
          <w:tab/>
        </w:r>
        <w:r>
          <w:rPr>
            <w:noProof/>
            <w:webHidden/>
          </w:rPr>
          <w:fldChar w:fldCharType="begin"/>
        </w:r>
        <w:r>
          <w:rPr>
            <w:noProof/>
            <w:webHidden/>
          </w:rPr>
          <w:instrText xml:space="preserve"> PAGEREF _Toc181683202 \h </w:instrText>
        </w:r>
        <w:r>
          <w:rPr>
            <w:noProof/>
            <w:webHidden/>
          </w:rPr>
        </w:r>
        <w:r>
          <w:rPr>
            <w:noProof/>
            <w:webHidden/>
          </w:rPr>
          <w:fldChar w:fldCharType="separate"/>
        </w:r>
        <w:r>
          <w:rPr>
            <w:noProof/>
            <w:webHidden/>
          </w:rPr>
          <w:t>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3" w:history="1">
        <w:r w:rsidRPr="001B13A4">
          <w:rPr>
            <w:rStyle w:val="Hyperlink"/>
            <w:noProof/>
          </w:rPr>
          <w:t>2.1.167</w:t>
        </w:r>
        <w:r>
          <w:rPr>
            <w:rFonts w:asciiTheme="minorHAnsi" w:eastAsiaTheme="minorEastAsia" w:hAnsiTheme="minorHAnsi" w:cstheme="minorBidi"/>
            <w:noProof/>
            <w:sz w:val="22"/>
            <w:szCs w:val="22"/>
          </w:rPr>
          <w:tab/>
        </w:r>
        <w:r w:rsidRPr="001B13A4">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_Toc181683203 \h </w:instrText>
        </w:r>
        <w:r>
          <w:rPr>
            <w:noProof/>
            <w:webHidden/>
          </w:rPr>
        </w:r>
        <w:r>
          <w:rPr>
            <w:noProof/>
            <w:webHidden/>
          </w:rPr>
          <w:fldChar w:fldCharType="separate"/>
        </w:r>
        <w:r>
          <w:rPr>
            <w:noProof/>
            <w:webHidden/>
          </w:rPr>
          <w:t>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4" w:history="1">
        <w:r w:rsidRPr="001B13A4">
          <w:rPr>
            <w:rStyle w:val="Hyperlink"/>
            <w:noProof/>
          </w:rPr>
          <w:t>2.1.168</w:t>
        </w:r>
        <w:r>
          <w:rPr>
            <w:rFonts w:asciiTheme="minorHAnsi" w:eastAsiaTheme="minorEastAsia" w:hAnsiTheme="minorHAnsi" w:cstheme="minorBidi"/>
            <w:noProof/>
            <w:sz w:val="22"/>
            <w:szCs w:val="22"/>
          </w:rPr>
          <w:tab/>
        </w:r>
        <w:r w:rsidRPr="001B13A4">
          <w:rPr>
            <w:rStyle w:val="Hyperlink"/>
            <w:noProof/>
          </w:rPr>
          <w:t>Part 1 Section 17.4.65, tc (Table Cell)</w:t>
        </w:r>
        <w:r>
          <w:rPr>
            <w:noProof/>
            <w:webHidden/>
          </w:rPr>
          <w:tab/>
        </w:r>
        <w:r>
          <w:rPr>
            <w:noProof/>
            <w:webHidden/>
          </w:rPr>
          <w:fldChar w:fldCharType="begin"/>
        </w:r>
        <w:r>
          <w:rPr>
            <w:noProof/>
            <w:webHidden/>
          </w:rPr>
          <w:instrText xml:space="preserve"> PAGEREF _Toc181683204 \h </w:instrText>
        </w:r>
        <w:r>
          <w:rPr>
            <w:noProof/>
            <w:webHidden/>
          </w:rPr>
        </w:r>
        <w:r>
          <w:rPr>
            <w:noProof/>
            <w:webHidden/>
          </w:rPr>
          <w:fldChar w:fldCharType="separate"/>
        </w:r>
        <w:r>
          <w:rPr>
            <w:noProof/>
            <w:webHidden/>
          </w:rPr>
          <w:t>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5" w:history="1">
        <w:r w:rsidRPr="001B13A4">
          <w:rPr>
            <w:rStyle w:val="Hyperlink"/>
            <w:noProof/>
          </w:rPr>
          <w:t>2.1.169</w:t>
        </w:r>
        <w:r>
          <w:rPr>
            <w:rFonts w:asciiTheme="minorHAnsi" w:eastAsiaTheme="minorEastAsia" w:hAnsiTheme="minorHAnsi" w:cstheme="minorBidi"/>
            <w:noProof/>
            <w:sz w:val="22"/>
            <w:szCs w:val="22"/>
          </w:rPr>
          <w:tab/>
        </w:r>
        <w:r w:rsidRPr="001B13A4">
          <w:rPr>
            <w:rStyle w:val="Hyperlink"/>
            <w:noProof/>
          </w:rPr>
          <w:t>Part 1 Section 17.4.66, tcBorders (Table Cell Borders)</w:t>
        </w:r>
        <w:r>
          <w:rPr>
            <w:noProof/>
            <w:webHidden/>
          </w:rPr>
          <w:tab/>
        </w:r>
        <w:r>
          <w:rPr>
            <w:noProof/>
            <w:webHidden/>
          </w:rPr>
          <w:fldChar w:fldCharType="begin"/>
        </w:r>
        <w:r>
          <w:rPr>
            <w:noProof/>
            <w:webHidden/>
          </w:rPr>
          <w:instrText xml:space="preserve"> PAGEREF _Toc181683205 \h </w:instrText>
        </w:r>
        <w:r>
          <w:rPr>
            <w:noProof/>
            <w:webHidden/>
          </w:rPr>
        </w:r>
        <w:r>
          <w:rPr>
            <w:noProof/>
            <w:webHidden/>
          </w:rPr>
          <w:fldChar w:fldCharType="separate"/>
        </w:r>
        <w:r>
          <w:rPr>
            <w:noProof/>
            <w:webHidden/>
          </w:rPr>
          <w:t>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6" w:history="1">
        <w:r w:rsidRPr="001B13A4">
          <w:rPr>
            <w:rStyle w:val="Hyperlink"/>
            <w:noProof/>
          </w:rPr>
          <w:t>2.1.170</w:t>
        </w:r>
        <w:r>
          <w:rPr>
            <w:rFonts w:asciiTheme="minorHAnsi" w:eastAsiaTheme="minorEastAsia" w:hAnsiTheme="minorHAnsi" w:cstheme="minorBidi"/>
            <w:noProof/>
            <w:sz w:val="22"/>
            <w:szCs w:val="22"/>
          </w:rPr>
          <w:tab/>
        </w:r>
        <w:r w:rsidRPr="001B13A4">
          <w:rPr>
            <w:rStyle w:val="Hyperlink"/>
            <w:noProof/>
          </w:rPr>
          <w:t>Part 1 Section 17.4.67, tcFitText (Fit Text Within Cell)</w:t>
        </w:r>
        <w:r>
          <w:rPr>
            <w:noProof/>
            <w:webHidden/>
          </w:rPr>
          <w:tab/>
        </w:r>
        <w:r>
          <w:rPr>
            <w:noProof/>
            <w:webHidden/>
          </w:rPr>
          <w:fldChar w:fldCharType="begin"/>
        </w:r>
        <w:r>
          <w:rPr>
            <w:noProof/>
            <w:webHidden/>
          </w:rPr>
          <w:instrText xml:space="preserve"> PAGEREF _Toc181683206 \h </w:instrText>
        </w:r>
        <w:r>
          <w:rPr>
            <w:noProof/>
            <w:webHidden/>
          </w:rPr>
        </w:r>
        <w:r>
          <w:rPr>
            <w:noProof/>
            <w:webHidden/>
          </w:rPr>
          <w:fldChar w:fldCharType="separate"/>
        </w:r>
        <w:r>
          <w:rPr>
            <w:noProof/>
            <w:webHidden/>
          </w:rPr>
          <w:t>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7" w:history="1">
        <w:r w:rsidRPr="001B13A4">
          <w:rPr>
            <w:rStyle w:val="Hyperlink"/>
            <w:noProof/>
          </w:rPr>
          <w:t>2.1.171</w:t>
        </w:r>
        <w:r>
          <w:rPr>
            <w:rFonts w:asciiTheme="minorHAnsi" w:eastAsiaTheme="minorEastAsia" w:hAnsiTheme="minorHAnsi" w:cstheme="minorBidi"/>
            <w:noProof/>
            <w:sz w:val="22"/>
            <w:szCs w:val="22"/>
          </w:rPr>
          <w:tab/>
        </w:r>
        <w:r w:rsidRPr="001B13A4">
          <w:rPr>
            <w:rStyle w:val="Hyperlink"/>
            <w:noProof/>
          </w:rPr>
          <w:t>Part 1 Section 17.4.71, tcW (Preferred Table Cell Width)</w:t>
        </w:r>
        <w:r>
          <w:rPr>
            <w:noProof/>
            <w:webHidden/>
          </w:rPr>
          <w:tab/>
        </w:r>
        <w:r>
          <w:rPr>
            <w:noProof/>
            <w:webHidden/>
          </w:rPr>
          <w:fldChar w:fldCharType="begin"/>
        </w:r>
        <w:r>
          <w:rPr>
            <w:noProof/>
            <w:webHidden/>
          </w:rPr>
          <w:instrText xml:space="preserve"> PAGEREF _Toc181683207 \h </w:instrText>
        </w:r>
        <w:r>
          <w:rPr>
            <w:noProof/>
            <w:webHidden/>
          </w:rPr>
        </w:r>
        <w:r>
          <w:rPr>
            <w:noProof/>
            <w:webHidden/>
          </w:rPr>
          <w:fldChar w:fldCharType="separate"/>
        </w:r>
        <w:r>
          <w:rPr>
            <w:noProof/>
            <w:webHidden/>
          </w:rPr>
          <w:t>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8" w:history="1">
        <w:r w:rsidRPr="001B13A4">
          <w:rPr>
            <w:rStyle w:val="Hyperlink"/>
            <w:noProof/>
          </w:rPr>
          <w:t>2.1.172</w:t>
        </w:r>
        <w:r>
          <w:rPr>
            <w:rFonts w:asciiTheme="minorHAnsi" w:eastAsiaTheme="minorEastAsia" w:hAnsiTheme="minorHAnsi" w:cstheme="minorBidi"/>
            <w:noProof/>
            <w:sz w:val="22"/>
            <w:szCs w:val="22"/>
          </w:rPr>
          <w:tab/>
        </w:r>
        <w:r w:rsidRPr="001B13A4">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_Toc181683208 \h </w:instrText>
        </w:r>
        <w:r>
          <w:rPr>
            <w:noProof/>
            <w:webHidden/>
          </w:rPr>
        </w:r>
        <w:r>
          <w:rPr>
            <w:noProof/>
            <w:webHidden/>
          </w:rPr>
          <w:fldChar w:fldCharType="separate"/>
        </w:r>
        <w:r>
          <w:rPr>
            <w:noProof/>
            <w:webHidden/>
          </w:rPr>
          <w:t>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09" w:history="1">
        <w:r w:rsidRPr="001B13A4">
          <w:rPr>
            <w:rStyle w:val="Hyperlink"/>
            <w:noProof/>
          </w:rPr>
          <w:t>2.1.173</w:t>
        </w:r>
        <w:r>
          <w:rPr>
            <w:rFonts w:asciiTheme="minorHAnsi" w:eastAsiaTheme="minorEastAsia" w:hAnsiTheme="minorHAnsi" w:cstheme="minorBidi"/>
            <w:noProof/>
            <w:sz w:val="22"/>
            <w:szCs w:val="22"/>
          </w:rPr>
          <w:tab/>
        </w:r>
        <w:r w:rsidRPr="001B13A4">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_Toc181683209 \h </w:instrText>
        </w:r>
        <w:r>
          <w:rPr>
            <w:noProof/>
            <w:webHidden/>
          </w:rPr>
        </w:r>
        <w:r>
          <w:rPr>
            <w:noProof/>
            <w:webHidden/>
          </w:rPr>
          <w:fldChar w:fldCharType="separate"/>
        </w:r>
        <w:r>
          <w:rPr>
            <w:noProof/>
            <w:webHidden/>
          </w:rPr>
          <w:t>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0" w:history="1">
        <w:r w:rsidRPr="001B13A4">
          <w:rPr>
            <w:rStyle w:val="Hyperlink"/>
            <w:noProof/>
          </w:rPr>
          <w:t>2.1.174</w:t>
        </w:r>
        <w:r>
          <w:rPr>
            <w:rFonts w:asciiTheme="minorHAnsi" w:eastAsiaTheme="minorEastAsia" w:hAnsiTheme="minorHAnsi" w:cstheme="minorBidi"/>
            <w:noProof/>
            <w:sz w:val="22"/>
            <w:szCs w:val="22"/>
          </w:rPr>
          <w:tab/>
        </w:r>
        <w:r w:rsidRPr="001B13A4">
          <w:rPr>
            <w:rStyle w:val="Hyperlink"/>
            <w:noProof/>
          </w:rPr>
          <w:t>Part 1 Section 17.4.74, top (Table Cell Top Border)</w:t>
        </w:r>
        <w:r>
          <w:rPr>
            <w:noProof/>
            <w:webHidden/>
          </w:rPr>
          <w:tab/>
        </w:r>
        <w:r>
          <w:rPr>
            <w:noProof/>
            <w:webHidden/>
          </w:rPr>
          <w:fldChar w:fldCharType="begin"/>
        </w:r>
        <w:r>
          <w:rPr>
            <w:noProof/>
            <w:webHidden/>
          </w:rPr>
          <w:instrText xml:space="preserve"> PAGEREF _Toc181683210 \h </w:instrText>
        </w:r>
        <w:r>
          <w:rPr>
            <w:noProof/>
            <w:webHidden/>
          </w:rPr>
        </w:r>
        <w:r>
          <w:rPr>
            <w:noProof/>
            <w:webHidden/>
          </w:rPr>
          <w:fldChar w:fldCharType="separate"/>
        </w:r>
        <w:r>
          <w:rPr>
            <w:noProof/>
            <w:webHidden/>
          </w:rPr>
          <w:t>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1" w:history="1">
        <w:r w:rsidRPr="001B13A4">
          <w:rPr>
            <w:rStyle w:val="Hyperlink"/>
            <w:noProof/>
          </w:rPr>
          <w:t>2.1.175</w:t>
        </w:r>
        <w:r>
          <w:rPr>
            <w:rFonts w:asciiTheme="minorHAnsi" w:eastAsiaTheme="minorEastAsia" w:hAnsiTheme="minorHAnsi" w:cstheme="minorBidi"/>
            <w:noProof/>
            <w:sz w:val="22"/>
            <w:szCs w:val="22"/>
          </w:rPr>
          <w:tab/>
        </w:r>
        <w:r w:rsidRPr="001B13A4">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_Toc181683211 \h </w:instrText>
        </w:r>
        <w:r>
          <w:rPr>
            <w:noProof/>
            <w:webHidden/>
          </w:rPr>
        </w:r>
        <w:r>
          <w:rPr>
            <w:noProof/>
            <w:webHidden/>
          </w:rPr>
          <w:fldChar w:fldCharType="separate"/>
        </w:r>
        <w:r>
          <w:rPr>
            <w:noProof/>
            <w:webHidden/>
          </w:rPr>
          <w:t>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2" w:history="1">
        <w:r w:rsidRPr="001B13A4">
          <w:rPr>
            <w:rStyle w:val="Hyperlink"/>
            <w:noProof/>
          </w:rPr>
          <w:t>2.1.176</w:t>
        </w:r>
        <w:r>
          <w:rPr>
            <w:rFonts w:asciiTheme="minorHAnsi" w:eastAsiaTheme="minorEastAsia" w:hAnsiTheme="minorHAnsi" w:cstheme="minorBidi"/>
            <w:noProof/>
            <w:sz w:val="22"/>
            <w:szCs w:val="22"/>
          </w:rPr>
          <w:tab/>
        </w:r>
        <w:r w:rsidRPr="001B13A4">
          <w:rPr>
            <w:rStyle w:val="Hyperlink"/>
            <w:noProof/>
          </w:rPr>
          <w:t>Part 1 Section 17.4.76, top (Table Top Border)</w:t>
        </w:r>
        <w:r>
          <w:rPr>
            <w:noProof/>
            <w:webHidden/>
          </w:rPr>
          <w:tab/>
        </w:r>
        <w:r>
          <w:rPr>
            <w:noProof/>
            <w:webHidden/>
          </w:rPr>
          <w:fldChar w:fldCharType="begin"/>
        </w:r>
        <w:r>
          <w:rPr>
            <w:noProof/>
            <w:webHidden/>
          </w:rPr>
          <w:instrText xml:space="preserve"> PAGEREF _Toc181683212 \h </w:instrText>
        </w:r>
        <w:r>
          <w:rPr>
            <w:noProof/>
            <w:webHidden/>
          </w:rPr>
        </w:r>
        <w:r>
          <w:rPr>
            <w:noProof/>
            <w:webHidden/>
          </w:rPr>
          <w:fldChar w:fldCharType="separate"/>
        </w:r>
        <w:r>
          <w:rPr>
            <w:noProof/>
            <w:webHidden/>
          </w:rPr>
          <w:t>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3" w:history="1">
        <w:r w:rsidRPr="001B13A4">
          <w:rPr>
            <w:rStyle w:val="Hyperlink"/>
            <w:noProof/>
          </w:rPr>
          <w:t>2.1.177</w:t>
        </w:r>
        <w:r>
          <w:rPr>
            <w:rFonts w:asciiTheme="minorHAnsi" w:eastAsiaTheme="minorEastAsia" w:hAnsiTheme="minorHAnsi" w:cstheme="minorBidi"/>
            <w:noProof/>
            <w:sz w:val="22"/>
            <w:szCs w:val="22"/>
          </w:rPr>
          <w:tab/>
        </w:r>
        <w:r w:rsidRPr="001B13A4">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_Toc181683213 \h </w:instrText>
        </w:r>
        <w:r>
          <w:rPr>
            <w:noProof/>
            <w:webHidden/>
          </w:rPr>
        </w:r>
        <w:r>
          <w:rPr>
            <w:noProof/>
            <w:webHidden/>
          </w:rPr>
          <w:fldChar w:fldCharType="separate"/>
        </w:r>
        <w:r>
          <w:rPr>
            <w:noProof/>
            <w:webHidden/>
          </w:rPr>
          <w:t>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4" w:history="1">
        <w:r w:rsidRPr="001B13A4">
          <w:rPr>
            <w:rStyle w:val="Hyperlink"/>
            <w:noProof/>
          </w:rPr>
          <w:t>2.1.178</w:t>
        </w:r>
        <w:r>
          <w:rPr>
            <w:rFonts w:asciiTheme="minorHAnsi" w:eastAsiaTheme="minorEastAsia" w:hAnsiTheme="minorHAnsi" w:cstheme="minorBidi"/>
            <w:noProof/>
            <w:sz w:val="22"/>
            <w:szCs w:val="22"/>
          </w:rPr>
          <w:tab/>
        </w:r>
        <w:r w:rsidRPr="001B13A4">
          <w:rPr>
            <w:rStyle w:val="Hyperlink"/>
            <w:noProof/>
          </w:rPr>
          <w:t>Part 1 Section 17.4.78, tr (Table Row)</w:t>
        </w:r>
        <w:r>
          <w:rPr>
            <w:noProof/>
            <w:webHidden/>
          </w:rPr>
          <w:tab/>
        </w:r>
        <w:r>
          <w:rPr>
            <w:noProof/>
            <w:webHidden/>
          </w:rPr>
          <w:fldChar w:fldCharType="begin"/>
        </w:r>
        <w:r>
          <w:rPr>
            <w:noProof/>
            <w:webHidden/>
          </w:rPr>
          <w:instrText xml:space="preserve"> PAGEREF _Toc181683214 \h </w:instrText>
        </w:r>
        <w:r>
          <w:rPr>
            <w:noProof/>
            <w:webHidden/>
          </w:rPr>
        </w:r>
        <w:r>
          <w:rPr>
            <w:noProof/>
            <w:webHidden/>
          </w:rPr>
          <w:fldChar w:fldCharType="separate"/>
        </w:r>
        <w:r>
          <w:rPr>
            <w:noProof/>
            <w:webHidden/>
          </w:rPr>
          <w:t>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5" w:history="1">
        <w:r w:rsidRPr="001B13A4">
          <w:rPr>
            <w:rStyle w:val="Hyperlink"/>
            <w:noProof/>
          </w:rPr>
          <w:t>2.1.179</w:t>
        </w:r>
        <w:r>
          <w:rPr>
            <w:rFonts w:asciiTheme="minorHAnsi" w:eastAsiaTheme="minorEastAsia" w:hAnsiTheme="minorHAnsi" w:cstheme="minorBidi"/>
            <w:noProof/>
            <w:sz w:val="22"/>
            <w:szCs w:val="22"/>
          </w:rPr>
          <w:tab/>
        </w:r>
        <w:r w:rsidRPr="001B13A4">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_Toc181683215 \h </w:instrText>
        </w:r>
        <w:r>
          <w:rPr>
            <w:noProof/>
            <w:webHidden/>
          </w:rPr>
        </w:r>
        <w:r>
          <w:rPr>
            <w:noProof/>
            <w:webHidden/>
          </w:rPr>
          <w:fldChar w:fldCharType="separate"/>
        </w:r>
        <w:r>
          <w:rPr>
            <w:noProof/>
            <w:webHidden/>
          </w:rPr>
          <w:t>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6" w:history="1">
        <w:r w:rsidRPr="001B13A4">
          <w:rPr>
            <w:rStyle w:val="Hyperlink"/>
            <w:noProof/>
          </w:rPr>
          <w:t>2.1.180</w:t>
        </w:r>
        <w:r>
          <w:rPr>
            <w:rFonts w:asciiTheme="minorHAnsi" w:eastAsiaTheme="minorEastAsia" w:hAnsiTheme="minorHAnsi" w:cstheme="minorBidi"/>
            <w:noProof/>
            <w:sz w:val="22"/>
            <w:szCs w:val="22"/>
          </w:rPr>
          <w:tab/>
        </w:r>
        <w:r w:rsidRPr="001B13A4">
          <w:rPr>
            <w:rStyle w:val="Hyperlink"/>
            <w:noProof/>
          </w:rPr>
          <w:t>Part 1 Section 17.4.80, trHeight (Table Row Height)</w:t>
        </w:r>
        <w:r>
          <w:rPr>
            <w:noProof/>
            <w:webHidden/>
          </w:rPr>
          <w:tab/>
        </w:r>
        <w:r>
          <w:rPr>
            <w:noProof/>
            <w:webHidden/>
          </w:rPr>
          <w:fldChar w:fldCharType="begin"/>
        </w:r>
        <w:r>
          <w:rPr>
            <w:noProof/>
            <w:webHidden/>
          </w:rPr>
          <w:instrText xml:space="preserve"> PAGEREF _Toc181683216 \h </w:instrText>
        </w:r>
        <w:r>
          <w:rPr>
            <w:noProof/>
            <w:webHidden/>
          </w:rPr>
        </w:r>
        <w:r>
          <w:rPr>
            <w:noProof/>
            <w:webHidden/>
          </w:rPr>
          <w:fldChar w:fldCharType="separate"/>
        </w:r>
        <w:r>
          <w:rPr>
            <w:noProof/>
            <w:webHidden/>
          </w:rPr>
          <w:t>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7" w:history="1">
        <w:r w:rsidRPr="001B13A4">
          <w:rPr>
            <w:rStyle w:val="Hyperlink"/>
            <w:noProof/>
          </w:rPr>
          <w:t>2.1.181</w:t>
        </w:r>
        <w:r>
          <w:rPr>
            <w:rFonts w:asciiTheme="minorHAnsi" w:eastAsiaTheme="minorEastAsia" w:hAnsiTheme="minorHAnsi" w:cstheme="minorBidi"/>
            <w:noProof/>
            <w:sz w:val="22"/>
            <w:szCs w:val="22"/>
          </w:rPr>
          <w:tab/>
        </w:r>
        <w:r w:rsidRPr="001B13A4">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_Toc181683217 \h </w:instrText>
        </w:r>
        <w:r>
          <w:rPr>
            <w:noProof/>
            <w:webHidden/>
          </w:rPr>
        </w:r>
        <w:r>
          <w:rPr>
            <w:noProof/>
            <w:webHidden/>
          </w:rPr>
          <w:fldChar w:fldCharType="separate"/>
        </w:r>
        <w:r>
          <w:rPr>
            <w:noProof/>
            <w:webHidden/>
          </w:rPr>
          <w:t>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8" w:history="1">
        <w:r w:rsidRPr="001B13A4">
          <w:rPr>
            <w:rStyle w:val="Hyperlink"/>
            <w:noProof/>
          </w:rPr>
          <w:t>2.1.182</w:t>
        </w:r>
        <w:r>
          <w:rPr>
            <w:rFonts w:asciiTheme="minorHAnsi" w:eastAsiaTheme="minorEastAsia" w:hAnsiTheme="minorHAnsi" w:cstheme="minorBidi"/>
            <w:noProof/>
            <w:sz w:val="22"/>
            <w:szCs w:val="22"/>
          </w:rPr>
          <w:tab/>
        </w:r>
        <w:r w:rsidRPr="001B13A4">
          <w:rPr>
            <w:rStyle w:val="Hyperlink"/>
            <w:noProof/>
          </w:rPr>
          <w:t>Part 1 Section 17.4.84, vMerge (Vertically Merged Cell)</w:t>
        </w:r>
        <w:r>
          <w:rPr>
            <w:noProof/>
            <w:webHidden/>
          </w:rPr>
          <w:tab/>
        </w:r>
        <w:r>
          <w:rPr>
            <w:noProof/>
            <w:webHidden/>
          </w:rPr>
          <w:fldChar w:fldCharType="begin"/>
        </w:r>
        <w:r>
          <w:rPr>
            <w:noProof/>
            <w:webHidden/>
          </w:rPr>
          <w:instrText xml:space="preserve"> PAGEREF _Toc181683218 \h </w:instrText>
        </w:r>
        <w:r>
          <w:rPr>
            <w:noProof/>
            <w:webHidden/>
          </w:rPr>
        </w:r>
        <w:r>
          <w:rPr>
            <w:noProof/>
            <w:webHidden/>
          </w:rPr>
          <w:fldChar w:fldCharType="separate"/>
        </w:r>
        <w:r>
          <w:rPr>
            <w:noProof/>
            <w:webHidden/>
          </w:rPr>
          <w:t>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19" w:history="1">
        <w:r w:rsidRPr="001B13A4">
          <w:rPr>
            <w:rStyle w:val="Hyperlink"/>
            <w:noProof/>
          </w:rPr>
          <w:t>2.1.183</w:t>
        </w:r>
        <w:r>
          <w:rPr>
            <w:rFonts w:asciiTheme="minorHAnsi" w:eastAsiaTheme="minorEastAsia" w:hAnsiTheme="minorHAnsi" w:cstheme="minorBidi"/>
            <w:noProof/>
            <w:sz w:val="22"/>
            <w:szCs w:val="22"/>
          </w:rPr>
          <w:tab/>
        </w:r>
        <w:r w:rsidRPr="001B13A4">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_Toc181683219 \h </w:instrText>
        </w:r>
        <w:r>
          <w:rPr>
            <w:noProof/>
            <w:webHidden/>
          </w:rPr>
        </w:r>
        <w:r>
          <w:rPr>
            <w:noProof/>
            <w:webHidden/>
          </w:rPr>
          <w:fldChar w:fldCharType="separate"/>
        </w:r>
        <w:r>
          <w:rPr>
            <w:noProof/>
            <w:webHidden/>
          </w:rPr>
          <w:t>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0" w:history="1">
        <w:r w:rsidRPr="001B13A4">
          <w:rPr>
            <w:rStyle w:val="Hyperlink"/>
            <w:noProof/>
          </w:rPr>
          <w:t>2.1.184</w:t>
        </w:r>
        <w:r>
          <w:rPr>
            <w:rFonts w:asciiTheme="minorHAnsi" w:eastAsiaTheme="minorEastAsia" w:hAnsiTheme="minorHAnsi" w:cstheme="minorBidi"/>
            <w:noProof/>
            <w:sz w:val="22"/>
            <w:szCs w:val="22"/>
          </w:rPr>
          <w:tab/>
        </w:r>
        <w:r w:rsidRPr="001B13A4">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_Toc181683220 \h </w:instrText>
        </w:r>
        <w:r>
          <w:rPr>
            <w:noProof/>
            <w:webHidden/>
          </w:rPr>
        </w:r>
        <w:r>
          <w:rPr>
            <w:noProof/>
            <w:webHidden/>
          </w:rPr>
          <w:fldChar w:fldCharType="separate"/>
        </w:r>
        <w:r>
          <w:rPr>
            <w:noProof/>
            <w:webHidden/>
          </w:rPr>
          <w:t>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1" w:history="1">
        <w:r w:rsidRPr="001B13A4">
          <w:rPr>
            <w:rStyle w:val="Hyperlink"/>
            <w:noProof/>
          </w:rPr>
          <w:t>2.1.185</w:t>
        </w:r>
        <w:r>
          <w:rPr>
            <w:rFonts w:asciiTheme="minorHAnsi" w:eastAsiaTheme="minorEastAsia" w:hAnsiTheme="minorHAnsi" w:cstheme="minorBidi"/>
            <w:noProof/>
            <w:sz w:val="22"/>
            <w:szCs w:val="22"/>
          </w:rPr>
          <w:tab/>
        </w:r>
        <w:r w:rsidRPr="001B13A4">
          <w:rPr>
            <w:rStyle w:val="Hyperlink"/>
            <w:noProof/>
          </w:rPr>
          <w:t>Part 1 Section 17.4.87, Table Measurement (CT_TblWidth)</w:t>
        </w:r>
        <w:r>
          <w:rPr>
            <w:noProof/>
            <w:webHidden/>
          </w:rPr>
          <w:tab/>
        </w:r>
        <w:r>
          <w:rPr>
            <w:noProof/>
            <w:webHidden/>
          </w:rPr>
          <w:fldChar w:fldCharType="begin"/>
        </w:r>
        <w:r>
          <w:rPr>
            <w:noProof/>
            <w:webHidden/>
          </w:rPr>
          <w:instrText xml:space="preserve"> PAGEREF _Toc181683221 \h </w:instrText>
        </w:r>
        <w:r>
          <w:rPr>
            <w:noProof/>
            <w:webHidden/>
          </w:rPr>
        </w:r>
        <w:r>
          <w:rPr>
            <w:noProof/>
            <w:webHidden/>
          </w:rPr>
          <w:fldChar w:fldCharType="separate"/>
        </w:r>
        <w:r>
          <w:rPr>
            <w:noProof/>
            <w:webHidden/>
          </w:rPr>
          <w:t>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2" w:history="1">
        <w:r w:rsidRPr="001B13A4">
          <w:rPr>
            <w:rStyle w:val="Hyperlink"/>
            <w:noProof/>
          </w:rPr>
          <w:t>2.1.186</w:t>
        </w:r>
        <w:r>
          <w:rPr>
            <w:rFonts w:asciiTheme="minorHAnsi" w:eastAsiaTheme="minorEastAsia" w:hAnsiTheme="minorHAnsi" w:cstheme="minorBidi"/>
            <w:noProof/>
            <w:sz w:val="22"/>
            <w:szCs w:val="22"/>
          </w:rPr>
          <w:tab/>
        </w:r>
        <w:r w:rsidRPr="001B13A4">
          <w:rPr>
            <w:rStyle w:val="Hyperlink"/>
            <w:noProof/>
          </w:rPr>
          <w:t>Part 1 Section 17.5.1.1, attr (Custom XML Attribute)</w:t>
        </w:r>
        <w:r>
          <w:rPr>
            <w:noProof/>
            <w:webHidden/>
          </w:rPr>
          <w:tab/>
        </w:r>
        <w:r>
          <w:rPr>
            <w:noProof/>
            <w:webHidden/>
          </w:rPr>
          <w:fldChar w:fldCharType="begin"/>
        </w:r>
        <w:r>
          <w:rPr>
            <w:noProof/>
            <w:webHidden/>
          </w:rPr>
          <w:instrText xml:space="preserve"> PAGEREF _Toc181683222 \h </w:instrText>
        </w:r>
        <w:r>
          <w:rPr>
            <w:noProof/>
            <w:webHidden/>
          </w:rPr>
        </w:r>
        <w:r>
          <w:rPr>
            <w:noProof/>
            <w:webHidden/>
          </w:rPr>
          <w:fldChar w:fldCharType="separate"/>
        </w:r>
        <w:r>
          <w:rPr>
            <w:noProof/>
            <w:webHidden/>
          </w:rPr>
          <w:t>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3" w:history="1">
        <w:r w:rsidRPr="001B13A4">
          <w:rPr>
            <w:rStyle w:val="Hyperlink"/>
            <w:noProof/>
          </w:rPr>
          <w:t>2.1.187</w:t>
        </w:r>
        <w:r>
          <w:rPr>
            <w:rFonts w:asciiTheme="minorHAnsi" w:eastAsiaTheme="minorEastAsia" w:hAnsiTheme="minorHAnsi" w:cstheme="minorBidi"/>
            <w:noProof/>
            <w:sz w:val="22"/>
            <w:szCs w:val="22"/>
          </w:rPr>
          <w:tab/>
        </w:r>
        <w:r w:rsidRPr="001B13A4">
          <w:rPr>
            <w:rStyle w:val="Hyperlink"/>
            <w:noProof/>
          </w:rPr>
          <w:t>Part 1 Section 17.5.1.2, attr (Smart Tag Property)</w:t>
        </w:r>
        <w:r>
          <w:rPr>
            <w:noProof/>
            <w:webHidden/>
          </w:rPr>
          <w:tab/>
        </w:r>
        <w:r>
          <w:rPr>
            <w:noProof/>
            <w:webHidden/>
          </w:rPr>
          <w:fldChar w:fldCharType="begin"/>
        </w:r>
        <w:r>
          <w:rPr>
            <w:noProof/>
            <w:webHidden/>
          </w:rPr>
          <w:instrText xml:space="preserve"> PAGEREF _Toc181683223 \h </w:instrText>
        </w:r>
        <w:r>
          <w:rPr>
            <w:noProof/>
            <w:webHidden/>
          </w:rPr>
        </w:r>
        <w:r>
          <w:rPr>
            <w:noProof/>
            <w:webHidden/>
          </w:rPr>
          <w:fldChar w:fldCharType="separate"/>
        </w:r>
        <w:r>
          <w:rPr>
            <w:noProof/>
            <w:webHidden/>
          </w:rPr>
          <w:t>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4" w:history="1">
        <w:r w:rsidRPr="001B13A4">
          <w:rPr>
            <w:rStyle w:val="Hyperlink"/>
            <w:noProof/>
          </w:rPr>
          <w:t>2.1.188</w:t>
        </w:r>
        <w:r>
          <w:rPr>
            <w:rFonts w:asciiTheme="minorHAnsi" w:eastAsiaTheme="minorEastAsia" w:hAnsiTheme="minorHAnsi" w:cstheme="minorBidi"/>
            <w:noProof/>
            <w:sz w:val="22"/>
            <w:szCs w:val="22"/>
          </w:rPr>
          <w:tab/>
        </w:r>
        <w:r w:rsidRPr="001B13A4">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_Toc181683224 \h </w:instrText>
        </w:r>
        <w:r>
          <w:rPr>
            <w:noProof/>
            <w:webHidden/>
          </w:rPr>
        </w:r>
        <w:r>
          <w:rPr>
            <w:noProof/>
            <w:webHidden/>
          </w:rPr>
          <w:fldChar w:fldCharType="separate"/>
        </w:r>
        <w:r>
          <w:rPr>
            <w:noProof/>
            <w:webHidden/>
          </w:rPr>
          <w:t>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5" w:history="1">
        <w:r w:rsidRPr="001B13A4">
          <w:rPr>
            <w:rStyle w:val="Hyperlink"/>
            <w:noProof/>
          </w:rPr>
          <w:t>2.1.189</w:t>
        </w:r>
        <w:r>
          <w:rPr>
            <w:rFonts w:asciiTheme="minorHAnsi" w:eastAsiaTheme="minorEastAsia" w:hAnsiTheme="minorHAnsi" w:cstheme="minorBidi"/>
            <w:noProof/>
            <w:sz w:val="22"/>
            <w:szCs w:val="22"/>
          </w:rPr>
          <w:tab/>
        </w:r>
        <w:r w:rsidRPr="001B13A4">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_Toc181683225 \h </w:instrText>
        </w:r>
        <w:r>
          <w:rPr>
            <w:noProof/>
            <w:webHidden/>
          </w:rPr>
        </w:r>
        <w:r>
          <w:rPr>
            <w:noProof/>
            <w:webHidden/>
          </w:rPr>
          <w:fldChar w:fldCharType="separate"/>
        </w:r>
        <w:r>
          <w:rPr>
            <w:noProof/>
            <w:webHidden/>
          </w:rPr>
          <w:t>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6" w:history="1">
        <w:r w:rsidRPr="001B13A4">
          <w:rPr>
            <w:rStyle w:val="Hyperlink"/>
            <w:noProof/>
          </w:rPr>
          <w:t>2.1.190</w:t>
        </w:r>
        <w:r>
          <w:rPr>
            <w:rFonts w:asciiTheme="minorHAnsi" w:eastAsiaTheme="minorEastAsia" w:hAnsiTheme="minorHAnsi" w:cstheme="minorBidi"/>
            <w:noProof/>
            <w:sz w:val="22"/>
            <w:szCs w:val="22"/>
          </w:rPr>
          <w:tab/>
        </w:r>
        <w:r w:rsidRPr="001B13A4">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_Toc181683226 \h </w:instrText>
        </w:r>
        <w:r>
          <w:rPr>
            <w:noProof/>
            <w:webHidden/>
          </w:rPr>
        </w:r>
        <w:r>
          <w:rPr>
            <w:noProof/>
            <w:webHidden/>
          </w:rPr>
          <w:fldChar w:fldCharType="separate"/>
        </w:r>
        <w:r>
          <w:rPr>
            <w:noProof/>
            <w:webHidden/>
          </w:rPr>
          <w:t>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7" w:history="1">
        <w:r w:rsidRPr="001B13A4">
          <w:rPr>
            <w:rStyle w:val="Hyperlink"/>
            <w:noProof/>
          </w:rPr>
          <w:t>2.1.191</w:t>
        </w:r>
        <w:r>
          <w:rPr>
            <w:rFonts w:asciiTheme="minorHAnsi" w:eastAsiaTheme="minorEastAsia" w:hAnsiTheme="minorHAnsi" w:cstheme="minorBidi"/>
            <w:noProof/>
            <w:sz w:val="22"/>
            <w:szCs w:val="22"/>
          </w:rPr>
          <w:tab/>
        </w:r>
        <w:r w:rsidRPr="001B13A4">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_Toc181683227 \h </w:instrText>
        </w:r>
        <w:r>
          <w:rPr>
            <w:noProof/>
            <w:webHidden/>
          </w:rPr>
        </w:r>
        <w:r>
          <w:rPr>
            <w:noProof/>
            <w:webHidden/>
          </w:rPr>
          <w:fldChar w:fldCharType="separate"/>
        </w:r>
        <w:r>
          <w:rPr>
            <w:noProof/>
            <w:webHidden/>
          </w:rPr>
          <w:t>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8" w:history="1">
        <w:r w:rsidRPr="001B13A4">
          <w:rPr>
            <w:rStyle w:val="Hyperlink"/>
            <w:noProof/>
          </w:rPr>
          <w:t>2.1.192</w:t>
        </w:r>
        <w:r>
          <w:rPr>
            <w:rFonts w:asciiTheme="minorHAnsi" w:eastAsiaTheme="minorEastAsia" w:hAnsiTheme="minorHAnsi" w:cstheme="minorBidi"/>
            <w:noProof/>
            <w:sz w:val="22"/>
            <w:szCs w:val="22"/>
          </w:rPr>
          <w:tab/>
        </w:r>
        <w:r w:rsidRPr="001B13A4">
          <w:rPr>
            <w:rStyle w:val="Hyperlink"/>
            <w:noProof/>
          </w:rPr>
          <w:t>Part 1 Section 17.5.1.9, smartTag (Inline-Level Smart Tag)</w:t>
        </w:r>
        <w:r>
          <w:rPr>
            <w:noProof/>
            <w:webHidden/>
          </w:rPr>
          <w:tab/>
        </w:r>
        <w:r>
          <w:rPr>
            <w:noProof/>
            <w:webHidden/>
          </w:rPr>
          <w:fldChar w:fldCharType="begin"/>
        </w:r>
        <w:r>
          <w:rPr>
            <w:noProof/>
            <w:webHidden/>
          </w:rPr>
          <w:instrText xml:space="preserve"> PAGEREF _Toc181683228 \h </w:instrText>
        </w:r>
        <w:r>
          <w:rPr>
            <w:noProof/>
            <w:webHidden/>
          </w:rPr>
        </w:r>
        <w:r>
          <w:rPr>
            <w:noProof/>
            <w:webHidden/>
          </w:rPr>
          <w:fldChar w:fldCharType="separate"/>
        </w:r>
        <w:r>
          <w:rPr>
            <w:noProof/>
            <w:webHidden/>
          </w:rPr>
          <w:t>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29" w:history="1">
        <w:r w:rsidRPr="001B13A4">
          <w:rPr>
            <w:rStyle w:val="Hyperlink"/>
            <w:noProof/>
          </w:rPr>
          <w:t>2.1.193</w:t>
        </w:r>
        <w:r>
          <w:rPr>
            <w:rFonts w:asciiTheme="minorHAnsi" w:eastAsiaTheme="minorEastAsia" w:hAnsiTheme="minorHAnsi" w:cstheme="minorBidi"/>
            <w:noProof/>
            <w:sz w:val="22"/>
            <w:szCs w:val="22"/>
          </w:rPr>
          <w:tab/>
        </w:r>
        <w:r w:rsidRPr="001B13A4">
          <w:rPr>
            <w:rStyle w:val="Hyperlink"/>
            <w:noProof/>
          </w:rPr>
          <w:t>Part 1 Section 17.5.2.6, dataBinding (XML Mapping)</w:t>
        </w:r>
        <w:r>
          <w:rPr>
            <w:noProof/>
            <w:webHidden/>
          </w:rPr>
          <w:tab/>
        </w:r>
        <w:r>
          <w:rPr>
            <w:noProof/>
            <w:webHidden/>
          </w:rPr>
          <w:fldChar w:fldCharType="begin"/>
        </w:r>
        <w:r>
          <w:rPr>
            <w:noProof/>
            <w:webHidden/>
          </w:rPr>
          <w:instrText xml:space="preserve"> PAGEREF _Toc181683229 \h </w:instrText>
        </w:r>
        <w:r>
          <w:rPr>
            <w:noProof/>
            <w:webHidden/>
          </w:rPr>
        </w:r>
        <w:r>
          <w:rPr>
            <w:noProof/>
            <w:webHidden/>
          </w:rPr>
          <w:fldChar w:fldCharType="separate"/>
        </w:r>
        <w:r>
          <w:rPr>
            <w:noProof/>
            <w:webHidden/>
          </w:rPr>
          <w:t>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0" w:history="1">
        <w:r w:rsidRPr="001B13A4">
          <w:rPr>
            <w:rStyle w:val="Hyperlink"/>
            <w:noProof/>
          </w:rPr>
          <w:t>2.1.194</w:t>
        </w:r>
        <w:r>
          <w:rPr>
            <w:rFonts w:asciiTheme="minorHAnsi" w:eastAsiaTheme="minorEastAsia" w:hAnsiTheme="minorHAnsi" w:cstheme="minorBidi"/>
            <w:noProof/>
            <w:sz w:val="22"/>
            <w:szCs w:val="22"/>
          </w:rPr>
          <w:tab/>
        </w:r>
        <w:r w:rsidRPr="001B13A4">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_Toc181683230 \h </w:instrText>
        </w:r>
        <w:r>
          <w:rPr>
            <w:noProof/>
            <w:webHidden/>
          </w:rPr>
        </w:r>
        <w:r>
          <w:rPr>
            <w:noProof/>
            <w:webHidden/>
          </w:rPr>
          <w:fldChar w:fldCharType="separate"/>
        </w:r>
        <w:r>
          <w:rPr>
            <w:noProof/>
            <w:webHidden/>
          </w:rPr>
          <w:t>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1" w:history="1">
        <w:r w:rsidRPr="001B13A4">
          <w:rPr>
            <w:rStyle w:val="Hyperlink"/>
            <w:noProof/>
          </w:rPr>
          <w:t>2.1.195</w:t>
        </w:r>
        <w:r>
          <w:rPr>
            <w:rFonts w:asciiTheme="minorHAnsi" w:eastAsiaTheme="minorEastAsia" w:hAnsiTheme="minorHAnsi" w:cstheme="minorBidi"/>
            <w:noProof/>
            <w:sz w:val="22"/>
            <w:szCs w:val="22"/>
          </w:rPr>
          <w:tab/>
        </w:r>
        <w:r w:rsidRPr="001B13A4">
          <w:rPr>
            <w:rStyle w:val="Hyperlink"/>
            <w:noProof/>
          </w:rPr>
          <w:t>Part 1 Section 17.5.2.9, docPart (Document Part Reference)</w:t>
        </w:r>
        <w:r>
          <w:rPr>
            <w:noProof/>
            <w:webHidden/>
          </w:rPr>
          <w:tab/>
        </w:r>
        <w:r>
          <w:rPr>
            <w:noProof/>
            <w:webHidden/>
          </w:rPr>
          <w:fldChar w:fldCharType="begin"/>
        </w:r>
        <w:r>
          <w:rPr>
            <w:noProof/>
            <w:webHidden/>
          </w:rPr>
          <w:instrText xml:space="preserve"> PAGEREF _Toc181683231 \h </w:instrText>
        </w:r>
        <w:r>
          <w:rPr>
            <w:noProof/>
            <w:webHidden/>
          </w:rPr>
        </w:r>
        <w:r>
          <w:rPr>
            <w:noProof/>
            <w:webHidden/>
          </w:rPr>
          <w:fldChar w:fldCharType="separate"/>
        </w:r>
        <w:r>
          <w:rPr>
            <w:noProof/>
            <w:webHidden/>
          </w:rPr>
          <w:t>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2" w:history="1">
        <w:r w:rsidRPr="001B13A4">
          <w:rPr>
            <w:rStyle w:val="Hyperlink"/>
            <w:noProof/>
          </w:rPr>
          <w:t>2.1.196</w:t>
        </w:r>
        <w:r>
          <w:rPr>
            <w:rFonts w:asciiTheme="minorHAnsi" w:eastAsiaTheme="minorEastAsia" w:hAnsiTheme="minorHAnsi" w:cstheme="minorBidi"/>
            <w:noProof/>
            <w:sz w:val="22"/>
            <w:szCs w:val="22"/>
          </w:rPr>
          <w:tab/>
        </w:r>
        <w:r w:rsidRPr="001B13A4">
          <w:rPr>
            <w:rStyle w:val="Hyperlink"/>
            <w:noProof/>
          </w:rPr>
          <w:t>Part 1 Section 17.5.2.18, id (Unique ID)</w:t>
        </w:r>
        <w:r>
          <w:rPr>
            <w:noProof/>
            <w:webHidden/>
          </w:rPr>
          <w:tab/>
        </w:r>
        <w:r>
          <w:rPr>
            <w:noProof/>
            <w:webHidden/>
          </w:rPr>
          <w:fldChar w:fldCharType="begin"/>
        </w:r>
        <w:r>
          <w:rPr>
            <w:noProof/>
            <w:webHidden/>
          </w:rPr>
          <w:instrText xml:space="preserve"> PAGEREF _Toc181683232 \h </w:instrText>
        </w:r>
        <w:r>
          <w:rPr>
            <w:noProof/>
            <w:webHidden/>
          </w:rPr>
        </w:r>
        <w:r>
          <w:rPr>
            <w:noProof/>
            <w:webHidden/>
          </w:rPr>
          <w:fldChar w:fldCharType="separate"/>
        </w:r>
        <w:r>
          <w:rPr>
            <w:noProof/>
            <w:webHidden/>
          </w:rPr>
          <w:t>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3" w:history="1">
        <w:r w:rsidRPr="001B13A4">
          <w:rPr>
            <w:rStyle w:val="Hyperlink"/>
            <w:noProof/>
          </w:rPr>
          <w:t>2.1.197</w:t>
        </w:r>
        <w:r>
          <w:rPr>
            <w:rFonts w:asciiTheme="minorHAnsi" w:eastAsiaTheme="minorEastAsia" w:hAnsiTheme="minorHAnsi" w:cstheme="minorBidi"/>
            <w:noProof/>
            <w:sz w:val="22"/>
            <w:szCs w:val="22"/>
          </w:rPr>
          <w:tab/>
        </w:r>
        <w:r w:rsidRPr="001B13A4">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_Toc181683233 \h </w:instrText>
        </w:r>
        <w:r>
          <w:rPr>
            <w:noProof/>
            <w:webHidden/>
          </w:rPr>
        </w:r>
        <w:r>
          <w:rPr>
            <w:noProof/>
            <w:webHidden/>
          </w:rPr>
          <w:fldChar w:fldCharType="separate"/>
        </w:r>
        <w:r>
          <w:rPr>
            <w:noProof/>
            <w:webHidden/>
          </w:rPr>
          <w:t>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4" w:history="1">
        <w:r w:rsidRPr="001B13A4">
          <w:rPr>
            <w:rStyle w:val="Hyperlink"/>
            <w:noProof/>
          </w:rPr>
          <w:t>2.1.198</w:t>
        </w:r>
        <w:r>
          <w:rPr>
            <w:rFonts w:asciiTheme="minorHAnsi" w:eastAsiaTheme="minorEastAsia" w:hAnsiTheme="minorHAnsi" w:cstheme="minorBidi"/>
            <w:noProof/>
            <w:sz w:val="22"/>
            <w:szCs w:val="22"/>
          </w:rPr>
          <w:tab/>
        </w:r>
        <w:r w:rsidRPr="001B13A4">
          <w:rPr>
            <w:rStyle w:val="Hyperlink"/>
            <w:noProof/>
          </w:rPr>
          <w:t>Part 1 Section 17.5.2.20, lid (Date Picker Language ID)</w:t>
        </w:r>
        <w:r>
          <w:rPr>
            <w:noProof/>
            <w:webHidden/>
          </w:rPr>
          <w:tab/>
        </w:r>
        <w:r>
          <w:rPr>
            <w:noProof/>
            <w:webHidden/>
          </w:rPr>
          <w:fldChar w:fldCharType="begin"/>
        </w:r>
        <w:r>
          <w:rPr>
            <w:noProof/>
            <w:webHidden/>
          </w:rPr>
          <w:instrText xml:space="preserve"> PAGEREF _Toc181683234 \h </w:instrText>
        </w:r>
        <w:r>
          <w:rPr>
            <w:noProof/>
            <w:webHidden/>
          </w:rPr>
        </w:r>
        <w:r>
          <w:rPr>
            <w:noProof/>
            <w:webHidden/>
          </w:rPr>
          <w:fldChar w:fldCharType="separate"/>
        </w:r>
        <w:r>
          <w:rPr>
            <w:noProof/>
            <w:webHidden/>
          </w:rPr>
          <w:t>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5" w:history="1">
        <w:r w:rsidRPr="001B13A4">
          <w:rPr>
            <w:rStyle w:val="Hyperlink"/>
            <w:noProof/>
          </w:rPr>
          <w:t>2.1.199</w:t>
        </w:r>
        <w:r>
          <w:rPr>
            <w:rFonts w:asciiTheme="minorHAnsi" w:eastAsiaTheme="minorEastAsia" w:hAnsiTheme="minorHAnsi" w:cstheme="minorBidi"/>
            <w:noProof/>
            <w:sz w:val="22"/>
            <w:szCs w:val="22"/>
          </w:rPr>
          <w:tab/>
        </w:r>
        <w:r w:rsidRPr="001B13A4">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_Toc181683235 \h </w:instrText>
        </w:r>
        <w:r>
          <w:rPr>
            <w:noProof/>
            <w:webHidden/>
          </w:rPr>
        </w:r>
        <w:r>
          <w:rPr>
            <w:noProof/>
            <w:webHidden/>
          </w:rPr>
          <w:fldChar w:fldCharType="separate"/>
        </w:r>
        <w:r>
          <w:rPr>
            <w:noProof/>
            <w:webHidden/>
          </w:rPr>
          <w:t>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6" w:history="1">
        <w:r w:rsidRPr="001B13A4">
          <w:rPr>
            <w:rStyle w:val="Hyperlink"/>
            <w:noProof/>
          </w:rPr>
          <w:t>2.1.200</w:t>
        </w:r>
        <w:r>
          <w:rPr>
            <w:rFonts w:asciiTheme="minorHAnsi" w:eastAsiaTheme="minorEastAsia" w:hAnsiTheme="minorHAnsi" w:cstheme="minorBidi"/>
            <w:noProof/>
            <w:sz w:val="22"/>
            <w:szCs w:val="22"/>
          </w:rPr>
          <w:tab/>
        </w:r>
        <w:r w:rsidRPr="001B13A4">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_Toc181683236 \h </w:instrText>
        </w:r>
        <w:r>
          <w:rPr>
            <w:noProof/>
            <w:webHidden/>
          </w:rPr>
        </w:r>
        <w:r>
          <w:rPr>
            <w:noProof/>
            <w:webHidden/>
          </w:rPr>
          <w:fldChar w:fldCharType="separate"/>
        </w:r>
        <w:r>
          <w:rPr>
            <w:noProof/>
            <w:webHidden/>
          </w:rPr>
          <w:t>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7" w:history="1">
        <w:r w:rsidRPr="001B13A4">
          <w:rPr>
            <w:rStyle w:val="Hyperlink"/>
            <w:noProof/>
          </w:rPr>
          <w:t>2.1.201</w:t>
        </w:r>
        <w:r>
          <w:rPr>
            <w:rFonts w:asciiTheme="minorHAnsi" w:eastAsiaTheme="minorEastAsia" w:hAnsiTheme="minorHAnsi" w:cstheme="minorBidi"/>
            <w:noProof/>
            <w:sz w:val="22"/>
            <w:szCs w:val="22"/>
          </w:rPr>
          <w:tab/>
        </w:r>
        <w:r w:rsidRPr="001B13A4">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_Toc181683237 \h </w:instrText>
        </w:r>
        <w:r>
          <w:rPr>
            <w:noProof/>
            <w:webHidden/>
          </w:rPr>
        </w:r>
        <w:r>
          <w:rPr>
            <w:noProof/>
            <w:webHidden/>
          </w:rPr>
          <w:fldChar w:fldCharType="separate"/>
        </w:r>
        <w:r>
          <w:rPr>
            <w:noProof/>
            <w:webHidden/>
          </w:rPr>
          <w:t>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8" w:history="1">
        <w:r w:rsidRPr="001B13A4">
          <w:rPr>
            <w:rStyle w:val="Hyperlink"/>
            <w:noProof/>
          </w:rPr>
          <w:t>2.1.202</w:t>
        </w:r>
        <w:r>
          <w:rPr>
            <w:rFonts w:asciiTheme="minorHAnsi" w:eastAsiaTheme="minorEastAsia" w:hAnsiTheme="minorHAnsi" w:cstheme="minorBidi"/>
            <w:noProof/>
            <w:sz w:val="22"/>
            <w:szCs w:val="22"/>
          </w:rPr>
          <w:tab/>
        </w:r>
        <w:r w:rsidRPr="001B13A4">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_Toc181683238 \h </w:instrText>
        </w:r>
        <w:r>
          <w:rPr>
            <w:noProof/>
            <w:webHidden/>
          </w:rPr>
        </w:r>
        <w:r>
          <w:rPr>
            <w:noProof/>
            <w:webHidden/>
          </w:rPr>
          <w:fldChar w:fldCharType="separate"/>
        </w:r>
        <w:r>
          <w:rPr>
            <w:noProof/>
            <w:webHidden/>
          </w:rPr>
          <w:t>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39" w:history="1">
        <w:r w:rsidRPr="001B13A4">
          <w:rPr>
            <w:rStyle w:val="Hyperlink"/>
            <w:noProof/>
          </w:rPr>
          <w:t>2.1.203</w:t>
        </w:r>
        <w:r>
          <w:rPr>
            <w:rFonts w:asciiTheme="minorHAnsi" w:eastAsiaTheme="minorEastAsia" w:hAnsiTheme="minorHAnsi" w:cstheme="minorBidi"/>
            <w:noProof/>
            <w:sz w:val="22"/>
            <w:szCs w:val="22"/>
          </w:rPr>
          <w:tab/>
        </w:r>
        <w:r w:rsidRPr="001B13A4">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_Toc181683239 \h </w:instrText>
        </w:r>
        <w:r>
          <w:rPr>
            <w:noProof/>
            <w:webHidden/>
          </w:rPr>
        </w:r>
        <w:r>
          <w:rPr>
            <w:noProof/>
            <w:webHidden/>
          </w:rPr>
          <w:fldChar w:fldCharType="separate"/>
        </w:r>
        <w:r>
          <w:rPr>
            <w:noProof/>
            <w:webHidden/>
          </w:rPr>
          <w:t>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0" w:history="1">
        <w:r w:rsidRPr="001B13A4">
          <w:rPr>
            <w:rStyle w:val="Hyperlink"/>
            <w:noProof/>
          </w:rPr>
          <w:t>2.1.204</w:t>
        </w:r>
        <w:r>
          <w:rPr>
            <w:rFonts w:asciiTheme="minorHAnsi" w:eastAsiaTheme="minorEastAsia" w:hAnsiTheme="minorHAnsi" w:cstheme="minorBidi"/>
            <w:noProof/>
            <w:sz w:val="22"/>
            <w:szCs w:val="22"/>
          </w:rPr>
          <w:tab/>
        </w:r>
        <w:r w:rsidRPr="001B13A4">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_Toc181683240 \h </w:instrText>
        </w:r>
        <w:r>
          <w:rPr>
            <w:noProof/>
            <w:webHidden/>
          </w:rPr>
        </w:r>
        <w:r>
          <w:rPr>
            <w:noProof/>
            <w:webHidden/>
          </w:rPr>
          <w:fldChar w:fldCharType="separate"/>
        </w:r>
        <w:r>
          <w:rPr>
            <w:noProof/>
            <w:webHidden/>
          </w:rPr>
          <w:t>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1" w:history="1">
        <w:r w:rsidRPr="001B13A4">
          <w:rPr>
            <w:rStyle w:val="Hyperlink"/>
            <w:noProof/>
          </w:rPr>
          <w:t>2.1.205</w:t>
        </w:r>
        <w:r>
          <w:rPr>
            <w:rFonts w:asciiTheme="minorHAnsi" w:eastAsiaTheme="minorEastAsia" w:hAnsiTheme="minorHAnsi" w:cstheme="minorBidi"/>
            <w:noProof/>
            <w:sz w:val="22"/>
            <w:szCs w:val="22"/>
          </w:rPr>
          <w:tab/>
        </w:r>
        <w:r w:rsidRPr="001B13A4">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_Toc181683241 \h </w:instrText>
        </w:r>
        <w:r>
          <w:rPr>
            <w:noProof/>
            <w:webHidden/>
          </w:rPr>
        </w:r>
        <w:r>
          <w:rPr>
            <w:noProof/>
            <w:webHidden/>
          </w:rPr>
          <w:fldChar w:fldCharType="separate"/>
        </w:r>
        <w:r>
          <w:rPr>
            <w:noProof/>
            <w:webHidden/>
          </w:rPr>
          <w:t>100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2" w:history="1">
        <w:r w:rsidRPr="001B13A4">
          <w:rPr>
            <w:rStyle w:val="Hyperlink"/>
            <w:noProof/>
          </w:rPr>
          <w:t>2.1.206</w:t>
        </w:r>
        <w:r>
          <w:rPr>
            <w:rFonts w:asciiTheme="minorHAnsi" w:eastAsiaTheme="minorEastAsia" w:hAnsiTheme="minorHAnsi" w:cstheme="minorBidi"/>
            <w:noProof/>
            <w:sz w:val="22"/>
            <w:szCs w:val="22"/>
          </w:rPr>
          <w:tab/>
        </w:r>
        <w:r w:rsidRPr="001B13A4">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_Toc181683242 \h </w:instrText>
        </w:r>
        <w:r>
          <w:rPr>
            <w:noProof/>
            <w:webHidden/>
          </w:rPr>
        </w:r>
        <w:r>
          <w:rPr>
            <w:noProof/>
            <w:webHidden/>
          </w:rPr>
          <w:fldChar w:fldCharType="separate"/>
        </w:r>
        <w:r>
          <w:rPr>
            <w:noProof/>
            <w:webHidden/>
          </w:rPr>
          <w:t>100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3" w:history="1">
        <w:r w:rsidRPr="001B13A4">
          <w:rPr>
            <w:rStyle w:val="Hyperlink"/>
            <w:noProof/>
          </w:rPr>
          <w:t>2.1.207</w:t>
        </w:r>
        <w:r>
          <w:rPr>
            <w:rFonts w:asciiTheme="minorHAnsi" w:eastAsiaTheme="minorEastAsia" w:hAnsiTheme="minorHAnsi" w:cstheme="minorBidi"/>
            <w:noProof/>
            <w:sz w:val="22"/>
            <w:szCs w:val="22"/>
          </w:rPr>
          <w:tab/>
        </w:r>
        <w:r w:rsidRPr="001B13A4">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_Toc181683243 \h </w:instrText>
        </w:r>
        <w:r>
          <w:rPr>
            <w:noProof/>
            <w:webHidden/>
          </w:rPr>
        </w:r>
        <w:r>
          <w:rPr>
            <w:noProof/>
            <w:webHidden/>
          </w:rPr>
          <w:fldChar w:fldCharType="separate"/>
        </w:r>
        <w:r>
          <w:rPr>
            <w:noProof/>
            <w:webHidden/>
          </w:rPr>
          <w:t>100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4" w:history="1">
        <w:r w:rsidRPr="001B13A4">
          <w:rPr>
            <w:rStyle w:val="Hyperlink"/>
            <w:noProof/>
          </w:rPr>
          <w:t>2.1.208</w:t>
        </w:r>
        <w:r>
          <w:rPr>
            <w:rFonts w:asciiTheme="minorHAnsi" w:eastAsiaTheme="minorEastAsia" w:hAnsiTheme="minorHAnsi" w:cstheme="minorBidi"/>
            <w:noProof/>
            <w:sz w:val="22"/>
            <w:szCs w:val="22"/>
          </w:rPr>
          <w:tab/>
        </w:r>
        <w:r w:rsidRPr="001B13A4">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_Toc181683244 \h </w:instrText>
        </w:r>
        <w:r>
          <w:rPr>
            <w:noProof/>
            <w:webHidden/>
          </w:rPr>
        </w:r>
        <w:r>
          <w:rPr>
            <w:noProof/>
            <w:webHidden/>
          </w:rPr>
          <w:fldChar w:fldCharType="separate"/>
        </w:r>
        <w:r>
          <w:rPr>
            <w:noProof/>
            <w:webHidden/>
          </w:rPr>
          <w:t>100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5" w:history="1">
        <w:r w:rsidRPr="001B13A4">
          <w:rPr>
            <w:rStyle w:val="Hyperlink"/>
            <w:noProof/>
          </w:rPr>
          <w:t>2.1.209</w:t>
        </w:r>
        <w:r>
          <w:rPr>
            <w:rFonts w:asciiTheme="minorHAnsi" w:eastAsiaTheme="minorEastAsia" w:hAnsiTheme="minorHAnsi" w:cstheme="minorBidi"/>
            <w:noProof/>
            <w:sz w:val="22"/>
            <w:szCs w:val="22"/>
          </w:rPr>
          <w:tab/>
        </w:r>
        <w:r w:rsidRPr="001B13A4">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_Toc181683245 \h </w:instrText>
        </w:r>
        <w:r>
          <w:rPr>
            <w:noProof/>
            <w:webHidden/>
          </w:rPr>
        </w:r>
        <w:r>
          <w:rPr>
            <w:noProof/>
            <w:webHidden/>
          </w:rPr>
          <w:fldChar w:fldCharType="separate"/>
        </w:r>
        <w:r>
          <w:rPr>
            <w:noProof/>
            <w:webHidden/>
          </w:rPr>
          <w:t>100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6" w:history="1">
        <w:r w:rsidRPr="001B13A4">
          <w:rPr>
            <w:rStyle w:val="Hyperlink"/>
            <w:noProof/>
          </w:rPr>
          <w:t>2.1.210</w:t>
        </w:r>
        <w:r>
          <w:rPr>
            <w:rFonts w:asciiTheme="minorHAnsi" w:eastAsiaTheme="minorEastAsia" w:hAnsiTheme="minorHAnsi" w:cstheme="minorBidi"/>
            <w:noProof/>
            <w:sz w:val="22"/>
            <w:szCs w:val="22"/>
          </w:rPr>
          <w:tab/>
        </w:r>
        <w:r w:rsidRPr="001B13A4">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_Toc181683246 \h </w:instrText>
        </w:r>
        <w:r>
          <w:rPr>
            <w:noProof/>
            <w:webHidden/>
          </w:rPr>
        </w:r>
        <w:r>
          <w:rPr>
            <w:noProof/>
            <w:webHidden/>
          </w:rPr>
          <w:fldChar w:fldCharType="separate"/>
        </w:r>
        <w:r>
          <w:rPr>
            <w:noProof/>
            <w:webHidden/>
          </w:rPr>
          <w:t>100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7" w:history="1">
        <w:r w:rsidRPr="001B13A4">
          <w:rPr>
            <w:rStyle w:val="Hyperlink"/>
            <w:noProof/>
          </w:rPr>
          <w:t>2.1.211</w:t>
        </w:r>
        <w:r>
          <w:rPr>
            <w:rFonts w:asciiTheme="minorHAnsi" w:eastAsiaTheme="minorEastAsia" w:hAnsiTheme="minorHAnsi" w:cstheme="minorBidi"/>
            <w:noProof/>
            <w:sz w:val="22"/>
            <w:szCs w:val="22"/>
          </w:rPr>
          <w:tab/>
        </w:r>
        <w:r w:rsidRPr="001B13A4">
          <w:rPr>
            <w:rStyle w:val="Hyperlink"/>
            <w:noProof/>
          </w:rPr>
          <w:t>Part 1 Section 17.6.2, bottom (Bottom Border)</w:t>
        </w:r>
        <w:r>
          <w:rPr>
            <w:noProof/>
            <w:webHidden/>
          </w:rPr>
          <w:tab/>
        </w:r>
        <w:r>
          <w:rPr>
            <w:noProof/>
            <w:webHidden/>
          </w:rPr>
          <w:fldChar w:fldCharType="begin"/>
        </w:r>
        <w:r>
          <w:rPr>
            <w:noProof/>
            <w:webHidden/>
          </w:rPr>
          <w:instrText xml:space="preserve"> PAGEREF _Toc181683247 \h </w:instrText>
        </w:r>
        <w:r>
          <w:rPr>
            <w:noProof/>
            <w:webHidden/>
          </w:rPr>
        </w:r>
        <w:r>
          <w:rPr>
            <w:noProof/>
            <w:webHidden/>
          </w:rPr>
          <w:fldChar w:fldCharType="separate"/>
        </w:r>
        <w:r>
          <w:rPr>
            <w:noProof/>
            <w:webHidden/>
          </w:rPr>
          <w:t>101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8" w:history="1">
        <w:r w:rsidRPr="001B13A4">
          <w:rPr>
            <w:rStyle w:val="Hyperlink"/>
            <w:noProof/>
          </w:rPr>
          <w:t>2.1.212</w:t>
        </w:r>
        <w:r>
          <w:rPr>
            <w:rFonts w:asciiTheme="minorHAnsi" w:eastAsiaTheme="minorEastAsia" w:hAnsiTheme="minorHAnsi" w:cstheme="minorBidi"/>
            <w:noProof/>
            <w:sz w:val="22"/>
            <w:szCs w:val="22"/>
          </w:rPr>
          <w:tab/>
        </w:r>
        <w:r w:rsidRPr="001B13A4">
          <w:rPr>
            <w:rStyle w:val="Hyperlink"/>
            <w:noProof/>
          </w:rPr>
          <w:t>Part 1 Section 17.6.3, col (Single Column Definition)</w:t>
        </w:r>
        <w:r>
          <w:rPr>
            <w:noProof/>
            <w:webHidden/>
          </w:rPr>
          <w:tab/>
        </w:r>
        <w:r>
          <w:rPr>
            <w:noProof/>
            <w:webHidden/>
          </w:rPr>
          <w:fldChar w:fldCharType="begin"/>
        </w:r>
        <w:r>
          <w:rPr>
            <w:noProof/>
            <w:webHidden/>
          </w:rPr>
          <w:instrText xml:space="preserve"> PAGEREF _Toc181683248 \h </w:instrText>
        </w:r>
        <w:r>
          <w:rPr>
            <w:noProof/>
            <w:webHidden/>
          </w:rPr>
        </w:r>
        <w:r>
          <w:rPr>
            <w:noProof/>
            <w:webHidden/>
          </w:rPr>
          <w:fldChar w:fldCharType="separate"/>
        </w:r>
        <w:r>
          <w:rPr>
            <w:noProof/>
            <w:webHidden/>
          </w:rPr>
          <w:t>101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49" w:history="1">
        <w:r w:rsidRPr="001B13A4">
          <w:rPr>
            <w:rStyle w:val="Hyperlink"/>
            <w:noProof/>
          </w:rPr>
          <w:t>2.1.213</w:t>
        </w:r>
        <w:r>
          <w:rPr>
            <w:rFonts w:asciiTheme="minorHAnsi" w:eastAsiaTheme="minorEastAsia" w:hAnsiTheme="minorHAnsi" w:cstheme="minorBidi"/>
            <w:noProof/>
            <w:sz w:val="22"/>
            <w:szCs w:val="22"/>
          </w:rPr>
          <w:tab/>
        </w:r>
        <w:r w:rsidRPr="001B13A4">
          <w:rPr>
            <w:rStyle w:val="Hyperlink"/>
            <w:noProof/>
          </w:rPr>
          <w:t>Part 1 Section 17.6.4, cols (Column Definitions)</w:t>
        </w:r>
        <w:r>
          <w:rPr>
            <w:noProof/>
            <w:webHidden/>
          </w:rPr>
          <w:tab/>
        </w:r>
        <w:r>
          <w:rPr>
            <w:noProof/>
            <w:webHidden/>
          </w:rPr>
          <w:fldChar w:fldCharType="begin"/>
        </w:r>
        <w:r>
          <w:rPr>
            <w:noProof/>
            <w:webHidden/>
          </w:rPr>
          <w:instrText xml:space="preserve"> PAGEREF _Toc181683249 \h </w:instrText>
        </w:r>
        <w:r>
          <w:rPr>
            <w:noProof/>
            <w:webHidden/>
          </w:rPr>
        </w:r>
        <w:r>
          <w:rPr>
            <w:noProof/>
            <w:webHidden/>
          </w:rPr>
          <w:fldChar w:fldCharType="separate"/>
        </w:r>
        <w:r>
          <w:rPr>
            <w:noProof/>
            <w:webHidden/>
          </w:rPr>
          <w:t>101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0" w:history="1">
        <w:r w:rsidRPr="001B13A4">
          <w:rPr>
            <w:rStyle w:val="Hyperlink"/>
            <w:noProof/>
          </w:rPr>
          <w:t>2.1.214</w:t>
        </w:r>
        <w:r>
          <w:rPr>
            <w:rFonts w:asciiTheme="minorHAnsi" w:eastAsiaTheme="minorEastAsia" w:hAnsiTheme="minorHAnsi" w:cstheme="minorBidi"/>
            <w:noProof/>
            <w:sz w:val="22"/>
            <w:szCs w:val="22"/>
          </w:rPr>
          <w:tab/>
        </w:r>
        <w:r w:rsidRPr="001B13A4">
          <w:rPr>
            <w:rStyle w:val="Hyperlink"/>
            <w:noProof/>
          </w:rPr>
          <w:t>Part 1 Section 17.6.7, left (Left Border)</w:t>
        </w:r>
        <w:r>
          <w:rPr>
            <w:noProof/>
            <w:webHidden/>
          </w:rPr>
          <w:tab/>
        </w:r>
        <w:r>
          <w:rPr>
            <w:noProof/>
            <w:webHidden/>
          </w:rPr>
          <w:fldChar w:fldCharType="begin"/>
        </w:r>
        <w:r>
          <w:rPr>
            <w:noProof/>
            <w:webHidden/>
          </w:rPr>
          <w:instrText xml:space="preserve"> PAGEREF _Toc181683250 \h </w:instrText>
        </w:r>
        <w:r>
          <w:rPr>
            <w:noProof/>
            <w:webHidden/>
          </w:rPr>
        </w:r>
        <w:r>
          <w:rPr>
            <w:noProof/>
            <w:webHidden/>
          </w:rPr>
          <w:fldChar w:fldCharType="separate"/>
        </w:r>
        <w:r>
          <w:rPr>
            <w:noProof/>
            <w:webHidden/>
          </w:rPr>
          <w:t>101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1" w:history="1">
        <w:r w:rsidRPr="001B13A4">
          <w:rPr>
            <w:rStyle w:val="Hyperlink"/>
            <w:noProof/>
          </w:rPr>
          <w:t>2.1.215</w:t>
        </w:r>
        <w:r>
          <w:rPr>
            <w:rFonts w:asciiTheme="minorHAnsi" w:eastAsiaTheme="minorEastAsia" w:hAnsiTheme="minorHAnsi" w:cstheme="minorBidi"/>
            <w:noProof/>
            <w:sz w:val="22"/>
            <w:szCs w:val="22"/>
          </w:rPr>
          <w:tab/>
        </w:r>
        <w:r w:rsidRPr="001B13A4">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_Toc181683251 \h </w:instrText>
        </w:r>
        <w:r>
          <w:rPr>
            <w:noProof/>
            <w:webHidden/>
          </w:rPr>
        </w:r>
        <w:r>
          <w:rPr>
            <w:noProof/>
            <w:webHidden/>
          </w:rPr>
          <w:fldChar w:fldCharType="separate"/>
        </w:r>
        <w:r>
          <w:rPr>
            <w:noProof/>
            <w:webHidden/>
          </w:rPr>
          <w:t>101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2" w:history="1">
        <w:r w:rsidRPr="001B13A4">
          <w:rPr>
            <w:rStyle w:val="Hyperlink"/>
            <w:noProof/>
          </w:rPr>
          <w:t>2.1.216</w:t>
        </w:r>
        <w:r>
          <w:rPr>
            <w:rFonts w:asciiTheme="minorHAnsi" w:eastAsiaTheme="minorEastAsia" w:hAnsiTheme="minorHAnsi" w:cstheme="minorBidi"/>
            <w:noProof/>
            <w:sz w:val="22"/>
            <w:szCs w:val="22"/>
          </w:rPr>
          <w:tab/>
        </w:r>
        <w:r w:rsidRPr="001B13A4">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_Toc181683252 \h </w:instrText>
        </w:r>
        <w:r>
          <w:rPr>
            <w:noProof/>
            <w:webHidden/>
          </w:rPr>
        </w:r>
        <w:r>
          <w:rPr>
            <w:noProof/>
            <w:webHidden/>
          </w:rPr>
          <w:fldChar w:fldCharType="separate"/>
        </w:r>
        <w:r>
          <w:rPr>
            <w:noProof/>
            <w:webHidden/>
          </w:rPr>
          <w:t>102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3" w:history="1">
        <w:r w:rsidRPr="001B13A4">
          <w:rPr>
            <w:rStyle w:val="Hyperlink"/>
            <w:noProof/>
          </w:rPr>
          <w:t>2.1.217</w:t>
        </w:r>
        <w:r>
          <w:rPr>
            <w:rFonts w:asciiTheme="minorHAnsi" w:eastAsiaTheme="minorEastAsia" w:hAnsiTheme="minorHAnsi" w:cstheme="minorBidi"/>
            <w:noProof/>
            <w:sz w:val="22"/>
            <w:szCs w:val="22"/>
          </w:rPr>
          <w:tab/>
        </w:r>
        <w:r w:rsidRPr="001B13A4">
          <w:rPr>
            <w:rStyle w:val="Hyperlink"/>
            <w:noProof/>
          </w:rPr>
          <w:t>Part 1 Section 17.6.10, pgBorders (Page Borders)</w:t>
        </w:r>
        <w:r>
          <w:rPr>
            <w:noProof/>
            <w:webHidden/>
          </w:rPr>
          <w:tab/>
        </w:r>
        <w:r>
          <w:rPr>
            <w:noProof/>
            <w:webHidden/>
          </w:rPr>
          <w:fldChar w:fldCharType="begin"/>
        </w:r>
        <w:r>
          <w:rPr>
            <w:noProof/>
            <w:webHidden/>
          </w:rPr>
          <w:instrText xml:space="preserve"> PAGEREF _Toc181683253 \h </w:instrText>
        </w:r>
        <w:r>
          <w:rPr>
            <w:noProof/>
            <w:webHidden/>
          </w:rPr>
        </w:r>
        <w:r>
          <w:rPr>
            <w:noProof/>
            <w:webHidden/>
          </w:rPr>
          <w:fldChar w:fldCharType="separate"/>
        </w:r>
        <w:r>
          <w:rPr>
            <w:noProof/>
            <w:webHidden/>
          </w:rPr>
          <w:t>102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4" w:history="1">
        <w:r w:rsidRPr="001B13A4">
          <w:rPr>
            <w:rStyle w:val="Hyperlink"/>
            <w:noProof/>
          </w:rPr>
          <w:t>2.1.218</w:t>
        </w:r>
        <w:r>
          <w:rPr>
            <w:rFonts w:asciiTheme="minorHAnsi" w:eastAsiaTheme="minorEastAsia" w:hAnsiTheme="minorHAnsi" w:cstheme="minorBidi"/>
            <w:noProof/>
            <w:sz w:val="22"/>
            <w:szCs w:val="22"/>
          </w:rPr>
          <w:tab/>
        </w:r>
        <w:r w:rsidRPr="001B13A4">
          <w:rPr>
            <w:rStyle w:val="Hyperlink"/>
            <w:noProof/>
          </w:rPr>
          <w:t>Part 1 Section 17.6.11, pgMar (Page Margins)</w:t>
        </w:r>
        <w:r>
          <w:rPr>
            <w:noProof/>
            <w:webHidden/>
          </w:rPr>
          <w:tab/>
        </w:r>
        <w:r>
          <w:rPr>
            <w:noProof/>
            <w:webHidden/>
          </w:rPr>
          <w:fldChar w:fldCharType="begin"/>
        </w:r>
        <w:r>
          <w:rPr>
            <w:noProof/>
            <w:webHidden/>
          </w:rPr>
          <w:instrText xml:space="preserve"> PAGEREF _Toc181683254 \h </w:instrText>
        </w:r>
        <w:r>
          <w:rPr>
            <w:noProof/>
            <w:webHidden/>
          </w:rPr>
        </w:r>
        <w:r>
          <w:rPr>
            <w:noProof/>
            <w:webHidden/>
          </w:rPr>
          <w:fldChar w:fldCharType="separate"/>
        </w:r>
        <w:r>
          <w:rPr>
            <w:noProof/>
            <w:webHidden/>
          </w:rPr>
          <w:t>102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5" w:history="1">
        <w:r w:rsidRPr="001B13A4">
          <w:rPr>
            <w:rStyle w:val="Hyperlink"/>
            <w:noProof/>
          </w:rPr>
          <w:t>2.1.219</w:t>
        </w:r>
        <w:r>
          <w:rPr>
            <w:rFonts w:asciiTheme="minorHAnsi" w:eastAsiaTheme="minorEastAsia" w:hAnsiTheme="minorHAnsi" w:cstheme="minorBidi"/>
            <w:noProof/>
            <w:sz w:val="22"/>
            <w:szCs w:val="22"/>
          </w:rPr>
          <w:tab/>
        </w:r>
        <w:r w:rsidRPr="001B13A4">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_Toc181683255 \h </w:instrText>
        </w:r>
        <w:r>
          <w:rPr>
            <w:noProof/>
            <w:webHidden/>
          </w:rPr>
        </w:r>
        <w:r>
          <w:rPr>
            <w:noProof/>
            <w:webHidden/>
          </w:rPr>
          <w:fldChar w:fldCharType="separate"/>
        </w:r>
        <w:r>
          <w:rPr>
            <w:noProof/>
            <w:webHidden/>
          </w:rPr>
          <w:t>102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6" w:history="1">
        <w:r w:rsidRPr="001B13A4">
          <w:rPr>
            <w:rStyle w:val="Hyperlink"/>
            <w:noProof/>
          </w:rPr>
          <w:t>2.1.220</w:t>
        </w:r>
        <w:r>
          <w:rPr>
            <w:rFonts w:asciiTheme="minorHAnsi" w:eastAsiaTheme="minorEastAsia" w:hAnsiTheme="minorHAnsi" w:cstheme="minorBidi"/>
            <w:noProof/>
            <w:sz w:val="22"/>
            <w:szCs w:val="22"/>
          </w:rPr>
          <w:tab/>
        </w:r>
        <w:r w:rsidRPr="001B13A4">
          <w:rPr>
            <w:rStyle w:val="Hyperlink"/>
            <w:noProof/>
          </w:rPr>
          <w:t>Part 1 Section 17.6.13, pgSz (Page Size)</w:t>
        </w:r>
        <w:r>
          <w:rPr>
            <w:noProof/>
            <w:webHidden/>
          </w:rPr>
          <w:tab/>
        </w:r>
        <w:r>
          <w:rPr>
            <w:noProof/>
            <w:webHidden/>
          </w:rPr>
          <w:fldChar w:fldCharType="begin"/>
        </w:r>
        <w:r>
          <w:rPr>
            <w:noProof/>
            <w:webHidden/>
          </w:rPr>
          <w:instrText xml:space="preserve"> PAGEREF _Toc181683256 \h </w:instrText>
        </w:r>
        <w:r>
          <w:rPr>
            <w:noProof/>
            <w:webHidden/>
          </w:rPr>
        </w:r>
        <w:r>
          <w:rPr>
            <w:noProof/>
            <w:webHidden/>
          </w:rPr>
          <w:fldChar w:fldCharType="separate"/>
        </w:r>
        <w:r>
          <w:rPr>
            <w:noProof/>
            <w:webHidden/>
          </w:rPr>
          <w:t>103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7" w:history="1">
        <w:r w:rsidRPr="001B13A4">
          <w:rPr>
            <w:rStyle w:val="Hyperlink"/>
            <w:noProof/>
          </w:rPr>
          <w:t>2.1.221</w:t>
        </w:r>
        <w:r>
          <w:rPr>
            <w:rFonts w:asciiTheme="minorHAnsi" w:eastAsiaTheme="minorEastAsia" w:hAnsiTheme="minorHAnsi" w:cstheme="minorBidi"/>
            <w:noProof/>
            <w:sz w:val="22"/>
            <w:szCs w:val="22"/>
          </w:rPr>
          <w:tab/>
        </w:r>
        <w:r w:rsidRPr="001B13A4">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_Toc181683257 \h </w:instrText>
        </w:r>
        <w:r>
          <w:rPr>
            <w:noProof/>
            <w:webHidden/>
          </w:rPr>
        </w:r>
        <w:r>
          <w:rPr>
            <w:noProof/>
            <w:webHidden/>
          </w:rPr>
          <w:fldChar w:fldCharType="separate"/>
        </w:r>
        <w:r>
          <w:rPr>
            <w:noProof/>
            <w:webHidden/>
          </w:rPr>
          <w:t>103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8" w:history="1">
        <w:r w:rsidRPr="001B13A4">
          <w:rPr>
            <w:rStyle w:val="Hyperlink"/>
            <w:noProof/>
          </w:rPr>
          <w:t>2.1.222</w:t>
        </w:r>
        <w:r>
          <w:rPr>
            <w:rFonts w:asciiTheme="minorHAnsi" w:eastAsiaTheme="minorEastAsia" w:hAnsiTheme="minorHAnsi" w:cstheme="minorBidi"/>
            <w:noProof/>
            <w:sz w:val="22"/>
            <w:szCs w:val="22"/>
          </w:rPr>
          <w:tab/>
        </w:r>
        <w:r w:rsidRPr="001B13A4">
          <w:rPr>
            <w:rStyle w:val="Hyperlink"/>
            <w:noProof/>
          </w:rPr>
          <w:t>Part 1 Section 17.6.15, right (Right Border)</w:t>
        </w:r>
        <w:r>
          <w:rPr>
            <w:noProof/>
            <w:webHidden/>
          </w:rPr>
          <w:tab/>
        </w:r>
        <w:r>
          <w:rPr>
            <w:noProof/>
            <w:webHidden/>
          </w:rPr>
          <w:fldChar w:fldCharType="begin"/>
        </w:r>
        <w:r>
          <w:rPr>
            <w:noProof/>
            <w:webHidden/>
          </w:rPr>
          <w:instrText xml:space="preserve"> PAGEREF _Toc181683258 \h </w:instrText>
        </w:r>
        <w:r>
          <w:rPr>
            <w:noProof/>
            <w:webHidden/>
          </w:rPr>
        </w:r>
        <w:r>
          <w:rPr>
            <w:noProof/>
            <w:webHidden/>
          </w:rPr>
          <w:fldChar w:fldCharType="separate"/>
        </w:r>
        <w:r>
          <w:rPr>
            <w:noProof/>
            <w:webHidden/>
          </w:rPr>
          <w:t>103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59" w:history="1">
        <w:r w:rsidRPr="001B13A4">
          <w:rPr>
            <w:rStyle w:val="Hyperlink"/>
            <w:noProof/>
          </w:rPr>
          <w:t>2.1.223</w:t>
        </w:r>
        <w:r>
          <w:rPr>
            <w:rFonts w:asciiTheme="minorHAnsi" w:eastAsiaTheme="minorEastAsia" w:hAnsiTheme="minorHAnsi" w:cstheme="minorBidi"/>
            <w:noProof/>
            <w:sz w:val="22"/>
            <w:szCs w:val="22"/>
          </w:rPr>
          <w:tab/>
        </w:r>
        <w:r w:rsidRPr="001B13A4">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_Toc181683259 \h </w:instrText>
        </w:r>
        <w:r>
          <w:rPr>
            <w:noProof/>
            <w:webHidden/>
          </w:rPr>
        </w:r>
        <w:r>
          <w:rPr>
            <w:noProof/>
            <w:webHidden/>
          </w:rPr>
          <w:fldChar w:fldCharType="separate"/>
        </w:r>
        <w:r>
          <w:rPr>
            <w:noProof/>
            <w:webHidden/>
          </w:rPr>
          <w:t>103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0" w:history="1">
        <w:r w:rsidRPr="001B13A4">
          <w:rPr>
            <w:rStyle w:val="Hyperlink"/>
            <w:noProof/>
          </w:rPr>
          <w:t>2.1.224</w:t>
        </w:r>
        <w:r>
          <w:rPr>
            <w:rFonts w:asciiTheme="minorHAnsi" w:eastAsiaTheme="minorEastAsia" w:hAnsiTheme="minorHAnsi" w:cstheme="minorBidi"/>
            <w:noProof/>
            <w:sz w:val="22"/>
            <w:szCs w:val="22"/>
          </w:rPr>
          <w:tab/>
        </w:r>
        <w:r w:rsidRPr="001B13A4">
          <w:rPr>
            <w:rStyle w:val="Hyperlink"/>
            <w:noProof/>
          </w:rPr>
          <w:t>Part 1 Section 17.6.18, sectPr (Section Properties)</w:t>
        </w:r>
        <w:r>
          <w:rPr>
            <w:noProof/>
            <w:webHidden/>
          </w:rPr>
          <w:tab/>
        </w:r>
        <w:r>
          <w:rPr>
            <w:noProof/>
            <w:webHidden/>
          </w:rPr>
          <w:fldChar w:fldCharType="begin"/>
        </w:r>
        <w:r>
          <w:rPr>
            <w:noProof/>
            <w:webHidden/>
          </w:rPr>
          <w:instrText xml:space="preserve"> PAGEREF _Toc181683260 \h </w:instrText>
        </w:r>
        <w:r>
          <w:rPr>
            <w:noProof/>
            <w:webHidden/>
          </w:rPr>
        </w:r>
        <w:r>
          <w:rPr>
            <w:noProof/>
            <w:webHidden/>
          </w:rPr>
          <w:fldChar w:fldCharType="separate"/>
        </w:r>
        <w:r>
          <w:rPr>
            <w:noProof/>
            <w:webHidden/>
          </w:rPr>
          <w:t>103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1" w:history="1">
        <w:r w:rsidRPr="001B13A4">
          <w:rPr>
            <w:rStyle w:val="Hyperlink"/>
            <w:noProof/>
          </w:rPr>
          <w:t>2.1.225</w:t>
        </w:r>
        <w:r>
          <w:rPr>
            <w:rFonts w:asciiTheme="minorHAnsi" w:eastAsiaTheme="minorEastAsia" w:hAnsiTheme="minorHAnsi" w:cstheme="minorBidi"/>
            <w:noProof/>
            <w:sz w:val="22"/>
            <w:szCs w:val="22"/>
          </w:rPr>
          <w:tab/>
        </w:r>
        <w:r w:rsidRPr="001B13A4">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_Toc181683261 \h </w:instrText>
        </w:r>
        <w:r>
          <w:rPr>
            <w:noProof/>
            <w:webHidden/>
          </w:rPr>
        </w:r>
        <w:r>
          <w:rPr>
            <w:noProof/>
            <w:webHidden/>
          </w:rPr>
          <w:fldChar w:fldCharType="separate"/>
        </w:r>
        <w:r>
          <w:rPr>
            <w:noProof/>
            <w:webHidden/>
          </w:rPr>
          <w:t>104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2" w:history="1">
        <w:r w:rsidRPr="001B13A4">
          <w:rPr>
            <w:rStyle w:val="Hyperlink"/>
            <w:noProof/>
          </w:rPr>
          <w:t>2.1.226</w:t>
        </w:r>
        <w:r>
          <w:rPr>
            <w:rFonts w:asciiTheme="minorHAnsi" w:eastAsiaTheme="minorEastAsia" w:hAnsiTheme="minorHAnsi" w:cstheme="minorBidi"/>
            <w:noProof/>
            <w:sz w:val="22"/>
            <w:szCs w:val="22"/>
          </w:rPr>
          <w:tab/>
        </w:r>
        <w:r w:rsidRPr="001B13A4">
          <w:rPr>
            <w:rStyle w:val="Hyperlink"/>
            <w:noProof/>
          </w:rPr>
          <w:t>Part 1 Section 17.6.21, top (Top Border)</w:t>
        </w:r>
        <w:r>
          <w:rPr>
            <w:noProof/>
            <w:webHidden/>
          </w:rPr>
          <w:tab/>
        </w:r>
        <w:r>
          <w:rPr>
            <w:noProof/>
            <w:webHidden/>
          </w:rPr>
          <w:fldChar w:fldCharType="begin"/>
        </w:r>
        <w:r>
          <w:rPr>
            <w:noProof/>
            <w:webHidden/>
          </w:rPr>
          <w:instrText xml:space="preserve"> PAGEREF _Toc181683262 \h </w:instrText>
        </w:r>
        <w:r>
          <w:rPr>
            <w:noProof/>
            <w:webHidden/>
          </w:rPr>
        </w:r>
        <w:r>
          <w:rPr>
            <w:noProof/>
            <w:webHidden/>
          </w:rPr>
          <w:fldChar w:fldCharType="separate"/>
        </w:r>
        <w:r>
          <w:rPr>
            <w:noProof/>
            <w:webHidden/>
          </w:rPr>
          <w:t>104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3" w:history="1">
        <w:r w:rsidRPr="001B13A4">
          <w:rPr>
            <w:rStyle w:val="Hyperlink"/>
            <w:noProof/>
          </w:rPr>
          <w:t>2.1.227</w:t>
        </w:r>
        <w:r>
          <w:rPr>
            <w:rFonts w:asciiTheme="minorHAnsi" w:eastAsiaTheme="minorEastAsia" w:hAnsiTheme="minorHAnsi" w:cstheme="minorBidi"/>
            <w:noProof/>
            <w:sz w:val="22"/>
            <w:szCs w:val="22"/>
          </w:rPr>
          <w:tab/>
        </w:r>
        <w:r w:rsidRPr="001B13A4">
          <w:rPr>
            <w:rStyle w:val="Hyperlink"/>
            <w:noProof/>
          </w:rPr>
          <w:t>Part 1 Section 17.6.22, type (Section Type)</w:t>
        </w:r>
        <w:r>
          <w:rPr>
            <w:noProof/>
            <w:webHidden/>
          </w:rPr>
          <w:tab/>
        </w:r>
        <w:r>
          <w:rPr>
            <w:noProof/>
            <w:webHidden/>
          </w:rPr>
          <w:fldChar w:fldCharType="begin"/>
        </w:r>
        <w:r>
          <w:rPr>
            <w:noProof/>
            <w:webHidden/>
          </w:rPr>
          <w:instrText xml:space="preserve"> PAGEREF _Toc181683263 \h </w:instrText>
        </w:r>
        <w:r>
          <w:rPr>
            <w:noProof/>
            <w:webHidden/>
          </w:rPr>
        </w:r>
        <w:r>
          <w:rPr>
            <w:noProof/>
            <w:webHidden/>
          </w:rPr>
          <w:fldChar w:fldCharType="separate"/>
        </w:r>
        <w:r>
          <w:rPr>
            <w:noProof/>
            <w:webHidden/>
          </w:rPr>
          <w:t>104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4" w:history="1">
        <w:r w:rsidRPr="001B13A4">
          <w:rPr>
            <w:rStyle w:val="Hyperlink"/>
            <w:noProof/>
          </w:rPr>
          <w:t>2.1.228</w:t>
        </w:r>
        <w:r>
          <w:rPr>
            <w:rFonts w:asciiTheme="minorHAnsi" w:eastAsiaTheme="minorEastAsia" w:hAnsiTheme="minorHAnsi" w:cstheme="minorBidi"/>
            <w:noProof/>
            <w:sz w:val="22"/>
            <w:szCs w:val="22"/>
          </w:rPr>
          <w:tab/>
        </w:r>
        <w:r w:rsidRPr="001B13A4">
          <w:rPr>
            <w:rStyle w:val="Hyperlink"/>
            <w:noProof/>
          </w:rPr>
          <w:t>Part 1 Section 17.7.1, Style Inheritance</w:t>
        </w:r>
        <w:r>
          <w:rPr>
            <w:noProof/>
            <w:webHidden/>
          </w:rPr>
          <w:tab/>
        </w:r>
        <w:r>
          <w:rPr>
            <w:noProof/>
            <w:webHidden/>
          </w:rPr>
          <w:fldChar w:fldCharType="begin"/>
        </w:r>
        <w:r>
          <w:rPr>
            <w:noProof/>
            <w:webHidden/>
          </w:rPr>
          <w:instrText xml:space="preserve"> PAGEREF _Toc181683264 \h </w:instrText>
        </w:r>
        <w:r>
          <w:rPr>
            <w:noProof/>
            <w:webHidden/>
          </w:rPr>
        </w:r>
        <w:r>
          <w:rPr>
            <w:noProof/>
            <w:webHidden/>
          </w:rPr>
          <w:fldChar w:fldCharType="separate"/>
        </w:r>
        <w:r>
          <w:rPr>
            <w:noProof/>
            <w:webHidden/>
          </w:rPr>
          <w:t>104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5" w:history="1">
        <w:r w:rsidRPr="001B13A4">
          <w:rPr>
            <w:rStyle w:val="Hyperlink"/>
            <w:noProof/>
          </w:rPr>
          <w:t>2.1.229</w:t>
        </w:r>
        <w:r>
          <w:rPr>
            <w:rFonts w:asciiTheme="minorHAnsi" w:eastAsiaTheme="minorEastAsia" w:hAnsiTheme="minorHAnsi" w:cstheme="minorBidi"/>
            <w:noProof/>
            <w:sz w:val="22"/>
            <w:szCs w:val="22"/>
          </w:rPr>
          <w:tab/>
        </w:r>
        <w:r w:rsidRPr="001B13A4">
          <w:rPr>
            <w:rStyle w:val="Hyperlink"/>
            <w:noProof/>
          </w:rPr>
          <w:t>Part 1 Section 17.7.2, Style Hierarchy</w:t>
        </w:r>
        <w:r>
          <w:rPr>
            <w:noProof/>
            <w:webHidden/>
          </w:rPr>
          <w:tab/>
        </w:r>
        <w:r>
          <w:rPr>
            <w:noProof/>
            <w:webHidden/>
          </w:rPr>
          <w:fldChar w:fldCharType="begin"/>
        </w:r>
        <w:r>
          <w:rPr>
            <w:noProof/>
            <w:webHidden/>
          </w:rPr>
          <w:instrText xml:space="preserve"> PAGEREF _Toc181683265 \h </w:instrText>
        </w:r>
        <w:r>
          <w:rPr>
            <w:noProof/>
            <w:webHidden/>
          </w:rPr>
        </w:r>
        <w:r>
          <w:rPr>
            <w:noProof/>
            <w:webHidden/>
          </w:rPr>
          <w:fldChar w:fldCharType="separate"/>
        </w:r>
        <w:r>
          <w:rPr>
            <w:noProof/>
            <w:webHidden/>
          </w:rPr>
          <w:t>104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6" w:history="1">
        <w:r w:rsidRPr="001B13A4">
          <w:rPr>
            <w:rStyle w:val="Hyperlink"/>
            <w:noProof/>
          </w:rPr>
          <w:t>2.1.230</w:t>
        </w:r>
        <w:r>
          <w:rPr>
            <w:rFonts w:asciiTheme="minorHAnsi" w:eastAsiaTheme="minorEastAsia" w:hAnsiTheme="minorHAnsi" w:cstheme="minorBidi"/>
            <w:noProof/>
            <w:sz w:val="22"/>
            <w:szCs w:val="22"/>
          </w:rPr>
          <w:tab/>
        </w:r>
        <w:r w:rsidRPr="001B13A4">
          <w:rPr>
            <w:rStyle w:val="Hyperlink"/>
            <w:noProof/>
          </w:rPr>
          <w:t>Part 1 Section 17.7.3, Toggle Properties</w:t>
        </w:r>
        <w:r>
          <w:rPr>
            <w:noProof/>
            <w:webHidden/>
          </w:rPr>
          <w:tab/>
        </w:r>
        <w:r>
          <w:rPr>
            <w:noProof/>
            <w:webHidden/>
          </w:rPr>
          <w:fldChar w:fldCharType="begin"/>
        </w:r>
        <w:r>
          <w:rPr>
            <w:noProof/>
            <w:webHidden/>
          </w:rPr>
          <w:instrText xml:space="preserve"> PAGEREF _Toc181683266 \h </w:instrText>
        </w:r>
        <w:r>
          <w:rPr>
            <w:noProof/>
            <w:webHidden/>
          </w:rPr>
        </w:r>
        <w:r>
          <w:rPr>
            <w:noProof/>
            <w:webHidden/>
          </w:rPr>
          <w:fldChar w:fldCharType="separate"/>
        </w:r>
        <w:r>
          <w:rPr>
            <w:noProof/>
            <w:webHidden/>
          </w:rPr>
          <w:t>104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7" w:history="1">
        <w:r w:rsidRPr="001B13A4">
          <w:rPr>
            <w:rStyle w:val="Hyperlink"/>
            <w:noProof/>
          </w:rPr>
          <w:t>2.1.231</w:t>
        </w:r>
        <w:r>
          <w:rPr>
            <w:rFonts w:asciiTheme="minorHAnsi" w:eastAsiaTheme="minorEastAsia" w:hAnsiTheme="minorHAnsi" w:cstheme="minorBidi"/>
            <w:noProof/>
            <w:sz w:val="22"/>
            <w:szCs w:val="22"/>
          </w:rPr>
          <w:tab/>
        </w:r>
        <w:r w:rsidRPr="001B13A4">
          <w:rPr>
            <w:rStyle w:val="Hyperlink"/>
            <w:noProof/>
          </w:rPr>
          <w:t>Part 1 Section 17.7.4.1, aliases (Alternate Style Names)</w:t>
        </w:r>
        <w:r>
          <w:rPr>
            <w:noProof/>
            <w:webHidden/>
          </w:rPr>
          <w:tab/>
        </w:r>
        <w:r>
          <w:rPr>
            <w:noProof/>
            <w:webHidden/>
          </w:rPr>
          <w:fldChar w:fldCharType="begin"/>
        </w:r>
        <w:r>
          <w:rPr>
            <w:noProof/>
            <w:webHidden/>
          </w:rPr>
          <w:instrText xml:space="preserve"> PAGEREF _Toc181683267 \h </w:instrText>
        </w:r>
        <w:r>
          <w:rPr>
            <w:noProof/>
            <w:webHidden/>
          </w:rPr>
        </w:r>
        <w:r>
          <w:rPr>
            <w:noProof/>
            <w:webHidden/>
          </w:rPr>
          <w:fldChar w:fldCharType="separate"/>
        </w:r>
        <w:r>
          <w:rPr>
            <w:noProof/>
            <w:webHidden/>
          </w:rPr>
          <w:t>105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8" w:history="1">
        <w:r w:rsidRPr="001B13A4">
          <w:rPr>
            <w:rStyle w:val="Hyperlink"/>
            <w:noProof/>
          </w:rPr>
          <w:t>2.1.232</w:t>
        </w:r>
        <w:r>
          <w:rPr>
            <w:rFonts w:asciiTheme="minorHAnsi" w:eastAsiaTheme="minorEastAsia" w:hAnsiTheme="minorHAnsi" w:cstheme="minorBidi"/>
            <w:noProof/>
            <w:sz w:val="22"/>
            <w:szCs w:val="22"/>
          </w:rPr>
          <w:tab/>
        </w:r>
        <w:r w:rsidRPr="001B13A4">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_Toc181683268 \h </w:instrText>
        </w:r>
        <w:r>
          <w:rPr>
            <w:noProof/>
            <w:webHidden/>
          </w:rPr>
        </w:r>
        <w:r>
          <w:rPr>
            <w:noProof/>
            <w:webHidden/>
          </w:rPr>
          <w:fldChar w:fldCharType="separate"/>
        </w:r>
        <w:r>
          <w:rPr>
            <w:noProof/>
            <w:webHidden/>
          </w:rPr>
          <w:t>105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69" w:history="1">
        <w:r w:rsidRPr="001B13A4">
          <w:rPr>
            <w:rStyle w:val="Hyperlink"/>
            <w:noProof/>
          </w:rPr>
          <w:t>2.1.233</w:t>
        </w:r>
        <w:r>
          <w:rPr>
            <w:rFonts w:asciiTheme="minorHAnsi" w:eastAsiaTheme="minorEastAsia" w:hAnsiTheme="minorHAnsi" w:cstheme="minorBidi"/>
            <w:noProof/>
            <w:sz w:val="22"/>
            <w:szCs w:val="22"/>
          </w:rPr>
          <w:tab/>
        </w:r>
        <w:r w:rsidRPr="001B13A4">
          <w:rPr>
            <w:rStyle w:val="Hyperlink"/>
            <w:noProof/>
          </w:rPr>
          <w:t>Part 1 Section 17.7.4.3, basedOn (Parent Style ID)</w:t>
        </w:r>
        <w:r>
          <w:rPr>
            <w:noProof/>
            <w:webHidden/>
          </w:rPr>
          <w:tab/>
        </w:r>
        <w:r>
          <w:rPr>
            <w:noProof/>
            <w:webHidden/>
          </w:rPr>
          <w:fldChar w:fldCharType="begin"/>
        </w:r>
        <w:r>
          <w:rPr>
            <w:noProof/>
            <w:webHidden/>
          </w:rPr>
          <w:instrText xml:space="preserve"> PAGEREF _Toc181683269 \h </w:instrText>
        </w:r>
        <w:r>
          <w:rPr>
            <w:noProof/>
            <w:webHidden/>
          </w:rPr>
        </w:r>
        <w:r>
          <w:rPr>
            <w:noProof/>
            <w:webHidden/>
          </w:rPr>
          <w:fldChar w:fldCharType="separate"/>
        </w:r>
        <w:r>
          <w:rPr>
            <w:noProof/>
            <w:webHidden/>
          </w:rPr>
          <w:t>105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0" w:history="1">
        <w:r w:rsidRPr="001B13A4">
          <w:rPr>
            <w:rStyle w:val="Hyperlink"/>
            <w:noProof/>
          </w:rPr>
          <w:t>2.1.234</w:t>
        </w:r>
        <w:r>
          <w:rPr>
            <w:rFonts w:asciiTheme="minorHAnsi" w:eastAsiaTheme="minorEastAsia" w:hAnsiTheme="minorHAnsi" w:cstheme="minorBidi"/>
            <w:noProof/>
            <w:sz w:val="22"/>
            <w:szCs w:val="22"/>
          </w:rPr>
          <w:tab/>
        </w:r>
        <w:r w:rsidRPr="001B13A4">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_Toc181683270 \h </w:instrText>
        </w:r>
        <w:r>
          <w:rPr>
            <w:noProof/>
            <w:webHidden/>
          </w:rPr>
        </w:r>
        <w:r>
          <w:rPr>
            <w:noProof/>
            <w:webHidden/>
          </w:rPr>
          <w:fldChar w:fldCharType="separate"/>
        </w:r>
        <w:r>
          <w:rPr>
            <w:noProof/>
            <w:webHidden/>
          </w:rPr>
          <w:t>105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1" w:history="1">
        <w:r w:rsidRPr="001B13A4">
          <w:rPr>
            <w:rStyle w:val="Hyperlink"/>
            <w:noProof/>
          </w:rPr>
          <w:t>2.1.235</w:t>
        </w:r>
        <w:r>
          <w:rPr>
            <w:rFonts w:asciiTheme="minorHAnsi" w:eastAsiaTheme="minorEastAsia" w:hAnsiTheme="minorHAnsi" w:cstheme="minorBidi"/>
            <w:noProof/>
            <w:sz w:val="22"/>
            <w:szCs w:val="22"/>
          </w:rPr>
          <w:tab/>
        </w:r>
        <w:r w:rsidRPr="001B13A4">
          <w:rPr>
            <w:rStyle w:val="Hyperlink"/>
            <w:noProof/>
          </w:rPr>
          <w:t>Part 1 Section 17.7.4.6, link (Linked Style Reference)</w:t>
        </w:r>
        <w:r>
          <w:rPr>
            <w:noProof/>
            <w:webHidden/>
          </w:rPr>
          <w:tab/>
        </w:r>
        <w:r>
          <w:rPr>
            <w:noProof/>
            <w:webHidden/>
          </w:rPr>
          <w:fldChar w:fldCharType="begin"/>
        </w:r>
        <w:r>
          <w:rPr>
            <w:noProof/>
            <w:webHidden/>
          </w:rPr>
          <w:instrText xml:space="preserve"> PAGEREF _Toc181683271 \h </w:instrText>
        </w:r>
        <w:r>
          <w:rPr>
            <w:noProof/>
            <w:webHidden/>
          </w:rPr>
        </w:r>
        <w:r>
          <w:rPr>
            <w:noProof/>
            <w:webHidden/>
          </w:rPr>
          <w:fldChar w:fldCharType="separate"/>
        </w:r>
        <w:r>
          <w:rPr>
            <w:noProof/>
            <w:webHidden/>
          </w:rPr>
          <w:t>106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2" w:history="1">
        <w:r w:rsidRPr="001B13A4">
          <w:rPr>
            <w:rStyle w:val="Hyperlink"/>
            <w:noProof/>
          </w:rPr>
          <w:t>2.1.236</w:t>
        </w:r>
        <w:r>
          <w:rPr>
            <w:rFonts w:asciiTheme="minorHAnsi" w:eastAsiaTheme="minorEastAsia" w:hAnsiTheme="minorHAnsi" w:cstheme="minorBidi"/>
            <w:noProof/>
            <w:sz w:val="22"/>
            <w:szCs w:val="22"/>
          </w:rPr>
          <w:tab/>
        </w:r>
        <w:r w:rsidRPr="001B13A4">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_Toc181683272 \h </w:instrText>
        </w:r>
        <w:r>
          <w:rPr>
            <w:noProof/>
            <w:webHidden/>
          </w:rPr>
        </w:r>
        <w:r>
          <w:rPr>
            <w:noProof/>
            <w:webHidden/>
          </w:rPr>
          <w:fldChar w:fldCharType="separate"/>
        </w:r>
        <w:r>
          <w:rPr>
            <w:noProof/>
            <w:webHidden/>
          </w:rPr>
          <w:t>106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3" w:history="1">
        <w:r w:rsidRPr="001B13A4">
          <w:rPr>
            <w:rStyle w:val="Hyperlink"/>
            <w:noProof/>
          </w:rPr>
          <w:t>2.1.237</w:t>
        </w:r>
        <w:r>
          <w:rPr>
            <w:rFonts w:asciiTheme="minorHAnsi" w:eastAsiaTheme="minorEastAsia" w:hAnsiTheme="minorHAnsi" w:cstheme="minorBidi"/>
            <w:noProof/>
            <w:sz w:val="22"/>
            <w:szCs w:val="22"/>
          </w:rPr>
          <w:tab/>
        </w:r>
        <w:r w:rsidRPr="001B13A4">
          <w:rPr>
            <w:rStyle w:val="Hyperlink"/>
            <w:noProof/>
          </w:rPr>
          <w:t>Part 1 Section 17.7.4.9, name (Primary Style Name)</w:t>
        </w:r>
        <w:r>
          <w:rPr>
            <w:noProof/>
            <w:webHidden/>
          </w:rPr>
          <w:tab/>
        </w:r>
        <w:r>
          <w:rPr>
            <w:noProof/>
            <w:webHidden/>
          </w:rPr>
          <w:fldChar w:fldCharType="begin"/>
        </w:r>
        <w:r>
          <w:rPr>
            <w:noProof/>
            <w:webHidden/>
          </w:rPr>
          <w:instrText xml:space="preserve"> PAGEREF _Toc181683273 \h </w:instrText>
        </w:r>
        <w:r>
          <w:rPr>
            <w:noProof/>
            <w:webHidden/>
          </w:rPr>
        </w:r>
        <w:r>
          <w:rPr>
            <w:noProof/>
            <w:webHidden/>
          </w:rPr>
          <w:fldChar w:fldCharType="separate"/>
        </w:r>
        <w:r>
          <w:rPr>
            <w:noProof/>
            <w:webHidden/>
          </w:rPr>
          <w:t>106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4" w:history="1">
        <w:r w:rsidRPr="001B13A4">
          <w:rPr>
            <w:rStyle w:val="Hyperlink"/>
            <w:noProof/>
          </w:rPr>
          <w:t>2.1.238</w:t>
        </w:r>
        <w:r>
          <w:rPr>
            <w:rFonts w:asciiTheme="minorHAnsi" w:eastAsiaTheme="minorEastAsia" w:hAnsiTheme="minorHAnsi" w:cstheme="minorBidi"/>
            <w:noProof/>
            <w:sz w:val="22"/>
            <w:szCs w:val="22"/>
          </w:rPr>
          <w:tab/>
        </w:r>
        <w:r w:rsidRPr="001B13A4">
          <w:rPr>
            <w:rStyle w:val="Hyperlink"/>
            <w:noProof/>
          </w:rPr>
          <w:t>Part 1 Section 17.7.4.10, next (Style For Next Paragraph)</w:t>
        </w:r>
        <w:r>
          <w:rPr>
            <w:noProof/>
            <w:webHidden/>
          </w:rPr>
          <w:tab/>
        </w:r>
        <w:r>
          <w:rPr>
            <w:noProof/>
            <w:webHidden/>
          </w:rPr>
          <w:fldChar w:fldCharType="begin"/>
        </w:r>
        <w:r>
          <w:rPr>
            <w:noProof/>
            <w:webHidden/>
          </w:rPr>
          <w:instrText xml:space="preserve"> PAGEREF _Toc181683274 \h </w:instrText>
        </w:r>
        <w:r>
          <w:rPr>
            <w:noProof/>
            <w:webHidden/>
          </w:rPr>
        </w:r>
        <w:r>
          <w:rPr>
            <w:noProof/>
            <w:webHidden/>
          </w:rPr>
          <w:fldChar w:fldCharType="separate"/>
        </w:r>
        <w:r>
          <w:rPr>
            <w:noProof/>
            <w:webHidden/>
          </w:rPr>
          <w:t>115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5" w:history="1">
        <w:r w:rsidRPr="001B13A4">
          <w:rPr>
            <w:rStyle w:val="Hyperlink"/>
            <w:noProof/>
          </w:rPr>
          <w:t>2.1.239</w:t>
        </w:r>
        <w:r>
          <w:rPr>
            <w:rFonts w:asciiTheme="minorHAnsi" w:eastAsiaTheme="minorEastAsia" w:hAnsiTheme="minorHAnsi" w:cstheme="minorBidi"/>
            <w:noProof/>
            <w:sz w:val="22"/>
            <w:szCs w:val="22"/>
          </w:rPr>
          <w:tab/>
        </w:r>
        <w:r w:rsidRPr="001B13A4">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_Toc181683275 \h </w:instrText>
        </w:r>
        <w:r>
          <w:rPr>
            <w:noProof/>
            <w:webHidden/>
          </w:rPr>
        </w:r>
        <w:r>
          <w:rPr>
            <w:noProof/>
            <w:webHidden/>
          </w:rPr>
          <w:fldChar w:fldCharType="separate"/>
        </w:r>
        <w:r>
          <w:rPr>
            <w:noProof/>
            <w:webHidden/>
          </w:rPr>
          <w:t>115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6" w:history="1">
        <w:r w:rsidRPr="001B13A4">
          <w:rPr>
            <w:rStyle w:val="Hyperlink"/>
            <w:noProof/>
          </w:rPr>
          <w:t>2.1.240</w:t>
        </w:r>
        <w:r>
          <w:rPr>
            <w:rFonts w:asciiTheme="minorHAnsi" w:eastAsiaTheme="minorEastAsia" w:hAnsiTheme="minorHAnsi" w:cstheme="minorBidi"/>
            <w:noProof/>
            <w:sz w:val="22"/>
            <w:szCs w:val="22"/>
          </w:rPr>
          <w:tab/>
        </w:r>
        <w:r w:rsidRPr="001B13A4">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_Toc181683276 \h </w:instrText>
        </w:r>
        <w:r>
          <w:rPr>
            <w:noProof/>
            <w:webHidden/>
          </w:rPr>
        </w:r>
        <w:r>
          <w:rPr>
            <w:noProof/>
            <w:webHidden/>
          </w:rPr>
          <w:fldChar w:fldCharType="separate"/>
        </w:r>
        <w:r>
          <w:rPr>
            <w:noProof/>
            <w:webHidden/>
          </w:rPr>
          <w:t>115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7" w:history="1">
        <w:r w:rsidRPr="001B13A4">
          <w:rPr>
            <w:rStyle w:val="Hyperlink"/>
            <w:noProof/>
          </w:rPr>
          <w:t>2.1.241</w:t>
        </w:r>
        <w:r>
          <w:rPr>
            <w:rFonts w:asciiTheme="minorHAnsi" w:eastAsiaTheme="minorEastAsia" w:hAnsiTheme="minorHAnsi" w:cstheme="minorBidi"/>
            <w:noProof/>
            <w:sz w:val="22"/>
            <w:szCs w:val="22"/>
          </w:rPr>
          <w:tab/>
        </w:r>
        <w:r w:rsidRPr="001B13A4">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_Toc181683277 \h </w:instrText>
        </w:r>
        <w:r>
          <w:rPr>
            <w:noProof/>
            <w:webHidden/>
          </w:rPr>
        </w:r>
        <w:r>
          <w:rPr>
            <w:noProof/>
            <w:webHidden/>
          </w:rPr>
          <w:fldChar w:fldCharType="separate"/>
        </w:r>
        <w:r>
          <w:rPr>
            <w:noProof/>
            <w:webHidden/>
          </w:rPr>
          <w:t>115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8" w:history="1">
        <w:r w:rsidRPr="001B13A4">
          <w:rPr>
            <w:rStyle w:val="Hyperlink"/>
            <w:noProof/>
          </w:rPr>
          <w:t>2.1.242</w:t>
        </w:r>
        <w:r>
          <w:rPr>
            <w:rFonts w:asciiTheme="minorHAnsi" w:eastAsiaTheme="minorEastAsia" w:hAnsiTheme="minorHAnsi" w:cstheme="minorBidi"/>
            <w:noProof/>
            <w:sz w:val="22"/>
            <w:szCs w:val="22"/>
          </w:rPr>
          <w:tab/>
        </w:r>
        <w:r w:rsidRPr="001B13A4">
          <w:rPr>
            <w:rStyle w:val="Hyperlink"/>
            <w:noProof/>
          </w:rPr>
          <w:t>Part 1 Section 17.7.4.17, style (Style Definition)</w:t>
        </w:r>
        <w:r>
          <w:rPr>
            <w:noProof/>
            <w:webHidden/>
          </w:rPr>
          <w:tab/>
        </w:r>
        <w:r>
          <w:rPr>
            <w:noProof/>
            <w:webHidden/>
          </w:rPr>
          <w:fldChar w:fldCharType="begin"/>
        </w:r>
        <w:r>
          <w:rPr>
            <w:noProof/>
            <w:webHidden/>
          </w:rPr>
          <w:instrText xml:space="preserve"> PAGEREF _Toc181683278 \h </w:instrText>
        </w:r>
        <w:r>
          <w:rPr>
            <w:noProof/>
            <w:webHidden/>
          </w:rPr>
        </w:r>
        <w:r>
          <w:rPr>
            <w:noProof/>
            <w:webHidden/>
          </w:rPr>
          <w:fldChar w:fldCharType="separate"/>
        </w:r>
        <w:r>
          <w:rPr>
            <w:noProof/>
            <w:webHidden/>
          </w:rPr>
          <w:t>116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79" w:history="1">
        <w:r w:rsidRPr="001B13A4">
          <w:rPr>
            <w:rStyle w:val="Hyperlink"/>
            <w:noProof/>
          </w:rPr>
          <w:t>2.1.243</w:t>
        </w:r>
        <w:r>
          <w:rPr>
            <w:rFonts w:asciiTheme="minorHAnsi" w:eastAsiaTheme="minorEastAsia" w:hAnsiTheme="minorHAnsi" w:cstheme="minorBidi"/>
            <w:noProof/>
            <w:sz w:val="22"/>
            <w:szCs w:val="22"/>
          </w:rPr>
          <w:tab/>
        </w:r>
        <w:r w:rsidRPr="001B13A4">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_Toc181683279 \h </w:instrText>
        </w:r>
        <w:r>
          <w:rPr>
            <w:noProof/>
            <w:webHidden/>
          </w:rPr>
        </w:r>
        <w:r>
          <w:rPr>
            <w:noProof/>
            <w:webHidden/>
          </w:rPr>
          <w:fldChar w:fldCharType="separate"/>
        </w:r>
        <w:r>
          <w:rPr>
            <w:noProof/>
            <w:webHidden/>
          </w:rPr>
          <w:t>116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0" w:history="1">
        <w:r w:rsidRPr="001B13A4">
          <w:rPr>
            <w:rStyle w:val="Hyperlink"/>
            <w:noProof/>
          </w:rPr>
          <w:t>2.1.244</w:t>
        </w:r>
        <w:r>
          <w:rPr>
            <w:rFonts w:asciiTheme="minorHAnsi" w:eastAsiaTheme="minorEastAsia" w:hAnsiTheme="minorHAnsi" w:cstheme="minorBidi"/>
            <w:noProof/>
            <w:sz w:val="22"/>
            <w:szCs w:val="22"/>
          </w:rPr>
          <w:tab/>
        </w:r>
        <w:r w:rsidRPr="001B13A4">
          <w:rPr>
            <w:rStyle w:val="Hyperlink"/>
            <w:noProof/>
          </w:rPr>
          <w:t>Part 1 Section 17.7.5.2, pPr (Paragraph Properties)</w:t>
        </w:r>
        <w:r>
          <w:rPr>
            <w:noProof/>
            <w:webHidden/>
          </w:rPr>
          <w:tab/>
        </w:r>
        <w:r>
          <w:rPr>
            <w:noProof/>
            <w:webHidden/>
          </w:rPr>
          <w:fldChar w:fldCharType="begin"/>
        </w:r>
        <w:r>
          <w:rPr>
            <w:noProof/>
            <w:webHidden/>
          </w:rPr>
          <w:instrText xml:space="preserve"> PAGEREF _Toc181683280 \h </w:instrText>
        </w:r>
        <w:r>
          <w:rPr>
            <w:noProof/>
            <w:webHidden/>
          </w:rPr>
        </w:r>
        <w:r>
          <w:rPr>
            <w:noProof/>
            <w:webHidden/>
          </w:rPr>
          <w:fldChar w:fldCharType="separate"/>
        </w:r>
        <w:r>
          <w:rPr>
            <w:noProof/>
            <w:webHidden/>
          </w:rPr>
          <w:t>116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1" w:history="1">
        <w:r w:rsidRPr="001B13A4">
          <w:rPr>
            <w:rStyle w:val="Hyperlink"/>
            <w:noProof/>
          </w:rPr>
          <w:t>2.1.245</w:t>
        </w:r>
        <w:r>
          <w:rPr>
            <w:rFonts w:asciiTheme="minorHAnsi" w:eastAsiaTheme="minorEastAsia" w:hAnsiTheme="minorHAnsi" w:cstheme="minorBidi"/>
            <w:noProof/>
            <w:sz w:val="22"/>
            <w:szCs w:val="22"/>
          </w:rPr>
          <w:tab/>
        </w:r>
        <w:r w:rsidRPr="001B13A4">
          <w:rPr>
            <w:rStyle w:val="Hyperlink"/>
            <w:noProof/>
          </w:rPr>
          <w:t>Part 1 Section 17.7.5.4, rPr (Run Properties)</w:t>
        </w:r>
        <w:r>
          <w:rPr>
            <w:noProof/>
            <w:webHidden/>
          </w:rPr>
          <w:tab/>
        </w:r>
        <w:r>
          <w:rPr>
            <w:noProof/>
            <w:webHidden/>
          </w:rPr>
          <w:fldChar w:fldCharType="begin"/>
        </w:r>
        <w:r>
          <w:rPr>
            <w:noProof/>
            <w:webHidden/>
          </w:rPr>
          <w:instrText xml:space="preserve"> PAGEREF _Toc181683281 \h </w:instrText>
        </w:r>
        <w:r>
          <w:rPr>
            <w:noProof/>
            <w:webHidden/>
          </w:rPr>
        </w:r>
        <w:r>
          <w:rPr>
            <w:noProof/>
            <w:webHidden/>
          </w:rPr>
          <w:fldChar w:fldCharType="separate"/>
        </w:r>
        <w:r>
          <w:rPr>
            <w:noProof/>
            <w:webHidden/>
          </w:rPr>
          <w:t>116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2" w:history="1">
        <w:r w:rsidRPr="001B13A4">
          <w:rPr>
            <w:rStyle w:val="Hyperlink"/>
            <w:noProof/>
          </w:rPr>
          <w:t>2.1.246</w:t>
        </w:r>
        <w:r>
          <w:rPr>
            <w:rFonts w:asciiTheme="minorHAnsi" w:eastAsiaTheme="minorEastAsia" w:hAnsiTheme="minorHAnsi" w:cstheme="minorBidi"/>
            <w:noProof/>
            <w:sz w:val="22"/>
            <w:szCs w:val="22"/>
          </w:rPr>
          <w:tab/>
        </w:r>
        <w:r w:rsidRPr="001B13A4">
          <w:rPr>
            <w:rStyle w:val="Hyperlink"/>
            <w:noProof/>
          </w:rPr>
          <w:t>Part 1 Section 17.7.6, Table Styles</w:t>
        </w:r>
        <w:r>
          <w:rPr>
            <w:noProof/>
            <w:webHidden/>
          </w:rPr>
          <w:tab/>
        </w:r>
        <w:r>
          <w:rPr>
            <w:noProof/>
            <w:webHidden/>
          </w:rPr>
          <w:fldChar w:fldCharType="begin"/>
        </w:r>
        <w:r>
          <w:rPr>
            <w:noProof/>
            <w:webHidden/>
          </w:rPr>
          <w:instrText xml:space="preserve"> PAGEREF _Toc181683282 \h </w:instrText>
        </w:r>
        <w:r>
          <w:rPr>
            <w:noProof/>
            <w:webHidden/>
          </w:rPr>
        </w:r>
        <w:r>
          <w:rPr>
            <w:noProof/>
            <w:webHidden/>
          </w:rPr>
          <w:fldChar w:fldCharType="separate"/>
        </w:r>
        <w:r>
          <w:rPr>
            <w:noProof/>
            <w:webHidden/>
          </w:rPr>
          <w:t>116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3" w:history="1">
        <w:r w:rsidRPr="001B13A4">
          <w:rPr>
            <w:rStyle w:val="Hyperlink"/>
            <w:noProof/>
          </w:rPr>
          <w:t>2.1.247</w:t>
        </w:r>
        <w:r>
          <w:rPr>
            <w:rFonts w:asciiTheme="minorHAnsi" w:eastAsiaTheme="minorEastAsia" w:hAnsiTheme="minorHAnsi" w:cstheme="minorBidi"/>
            <w:noProof/>
            <w:sz w:val="22"/>
            <w:szCs w:val="22"/>
          </w:rPr>
          <w:tab/>
        </w:r>
        <w:r w:rsidRPr="001B13A4">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_Toc181683283 \h </w:instrText>
        </w:r>
        <w:r>
          <w:rPr>
            <w:noProof/>
            <w:webHidden/>
          </w:rPr>
        </w:r>
        <w:r>
          <w:rPr>
            <w:noProof/>
            <w:webHidden/>
          </w:rPr>
          <w:fldChar w:fldCharType="separate"/>
        </w:r>
        <w:r>
          <w:rPr>
            <w:noProof/>
            <w:webHidden/>
          </w:rPr>
          <w:t>117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4" w:history="1">
        <w:r w:rsidRPr="001B13A4">
          <w:rPr>
            <w:rStyle w:val="Hyperlink"/>
            <w:noProof/>
          </w:rPr>
          <w:t>2.1.248</w:t>
        </w:r>
        <w:r>
          <w:rPr>
            <w:rFonts w:asciiTheme="minorHAnsi" w:eastAsiaTheme="minorEastAsia" w:hAnsiTheme="minorHAnsi" w:cstheme="minorBidi"/>
            <w:noProof/>
            <w:sz w:val="22"/>
            <w:szCs w:val="22"/>
          </w:rPr>
          <w:tab/>
        </w:r>
        <w:r w:rsidRPr="001B13A4">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_Toc181683284 \h </w:instrText>
        </w:r>
        <w:r>
          <w:rPr>
            <w:noProof/>
            <w:webHidden/>
          </w:rPr>
        </w:r>
        <w:r>
          <w:rPr>
            <w:noProof/>
            <w:webHidden/>
          </w:rPr>
          <w:fldChar w:fldCharType="separate"/>
        </w:r>
        <w:r>
          <w:rPr>
            <w:noProof/>
            <w:webHidden/>
          </w:rPr>
          <w:t>117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5" w:history="1">
        <w:r w:rsidRPr="001B13A4">
          <w:rPr>
            <w:rStyle w:val="Hyperlink"/>
            <w:noProof/>
          </w:rPr>
          <w:t>2.1.249</w:t>
        </w:r>
        <w:r>
          <w:rPr>
            <w:rFonts w:asciiTheme="minorHAnsi" w:eastAsiaTheme="minorEastAsia" w:hAnsiTheme="minorHAnsi" w:cstheme="minorBidi"/>
            <w:noProof/>
            <w:sz w:val="22"/>
            <w:szCs w:val="22"/>
          </w:rPr>
          <w:tab/>
        </w:r>
        <w:r w:rsidRPr="001B13A4">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_Toc181683285 \h </w:instrText>
        </w:r>
        <w:r>
          <w:rPr>
            <w:noProof/>
            <w:webHidden/>
          </w:rPr>
        </w:r>
        <w:r>
          <w:rPr>
            <w:noProof/>
            <w:webHidden/>
          </w:rPr>
          <w:fldChar w:fldCharType="separate"/>
        </w:r>
        <w:r>
          <w:rPr>
            <w:noProof/>
            <w:webHidden/>
          </w:rPr>
          <w:t>117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6" w:history="1">
        <w:r w:rsidRPr="001B13A4">
          <w:rPr>
            <w:rStyle w:val="Hyperlink"/>
            <w:noProof/>
          </w:rPr>
          <w:t>2.1.250</w:t>
        </w:r>
        <w:r>
          <w:rPr>
            <w:rFonts w:asciiTheme="minorHAnsi" w:eastAsiaTheme="minorEastAsia" w:hAnsiTheme="minorHAnsi" w:cstheme="minorBidi"/>
            <w:noProof/>
            <w:sz w:val="22"/>
            <w:szCs w:val="22"/>
          </w:rPr>
          <w:tab/>
        </w:r>
        <w:r w:rsidRPr="001B13A4">
          <w:rPr>
            <w:rStyle w:val="Hyperlink"/>
            <w:noProof/>
          </w:rPr>
          <w:t>Part 1 Section 17.7.6.4, tblPr (Style Table Properties)</w:t>
        </w:r>
        <w:r>
          <w:rPr>
            <w:noProof/>
            <w:webHidden/>
          </w:rPr>
          <w:tab/>
        </w:r>
        <w:r>
          <w:rPr>
            <w:noProof/>
            <w:webHidden/>
          </w:rPr>
          <w:fldChar w:fldCharType="begin"/>
        </w:r>
        <w:r>
          <w:rPr>
            <w:noProof/>
            <w:webHidden/>
          </w:rPr>
          <w:instrText xml:space="preserve"> PAGEREF _Toc181683286 \h </w:instrText>
        </w:r>
        <w:r>
          <w:rPr>
            <w:noProof/>
            <w:webHidden/>
          </w:rPr>
        </w:r>
        <w:r>
          <w:rPr>
            <w:noProof/>
            <w:webHidden/>
          </w:rPr>
          <w:fldChar w:fldCharType="separate"/>
        </w:r>
        <w:r>
          <w:rPr>
            <w:noProof/>
            <w:webHidden/>
          </w:rPr>
          <w:t>117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7" w:history="1">
        <w:r w:rsidRPr="001B13A4">
          <w:rPr>
            <w:rStyle w:val="Hyperlink"/>
            <w:noProof/>
          </w:rPr>
          <w:t>2.1.251</w:t>
        </w:r>
        <w:r>
          <w:rPr>
            <w:rFonts w:asciiTheme="minorHAnsi" w:eastAsiaTheme="minorEastAsia" w:hAnsiTheme="minorHAnsi" w:cstheme="minorBidi"/>
            <w:noProof/>
            <w:sz w:val="22"/>
            <w:szCs w:val="22"/>
          </w:rPr>
          <w:tab/>
        </w:r>
        <w:r w:rsidRPr="001B13A4">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_Toc181683287 \h </w:instrText>
        </w:r>
        <w:r>
          <w:rPr>
            <w:noProof/>
            <w:webHidden/>
          </w:rPr>
        </w:r>
        <w:r>
          <w:rPr>
            <w:noProof/>
            <w:webHidden/>
          </w:rPr>
          <w:fldChar w:fldCharType="separate"/>
        </w:r>
        <w:r>
          <w:rPr>
            <w:noProof/>
            <w:webHidden/>
          </w:rPr>
          <w:t>117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8" w:history="1">
        <w:r w:rsidRPr="001B13A4">
          <w:rPr>
            <w:rStyle w:val="Hyperlink"/>
            <w:noProof/>
          </w:rPr>
          <w:t>2.1.252</w:t>
        </w:r>
        <w:r>
          <w:rPr>
            <w:rFonts w:asciiTheme="minorHAnsi" w:eastAsiaTheme="minorEastAsia" w:hAnsiTheme="minorHAnsi" w:cstheme="minorBidi"/>
            <w:noProof/>
            <w:sz w:val="22"/>
            <w:szCs w:val="22"/>
          </w:rPr>
          <w:tab/>
        </w:r>
        <w:r w:rsidRPr="001B13A4">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_Toc181683288 \h </w:instrText>
        </w:r>
        <w:r>
          <w:rPr>
            <w:noProof/>
            <w:webHidden/>
          </w:rPr>
        </w:r>
        <w:r>
          <w:rPr>
            <w:noProof/>
            <w:webHidden/>
          </w:rPr>
          <w:fldChar w:fldCharType="separate"/>
        </w:r>
        <w:r>
          <w:rPr>
            <w:noProof/>
            <w:webHidden/>
          </w:rPr>
          <w:t>118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89" w:history="1">
        <w:r w:rsidRPr="001B13A4">
          <w:rPr>
            <w:rStyle w:val="Hyperlink"/>
            <w:noProof/>
          </w:rPr>
          <w:t>2.1.253</w:t>
        </w:r>
        <w:r>
          <w:rPr>
            <w:rFonts w:asciiTheme="minorHAnsi" w:eastAsiaTheme="minorEastAsia" w:hAnsiTheme="minorHAnsi" w:cstheme="minorBidi"/>
            <w:noProof/>
            <w:sz w:val="22"/>
            <w:szCs w:val="22"/>
          </w:rPr>
          <w:tab/>
        </w:r>
        <w:r w:rsidRPr="001B13A4">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_Toc181683289 \h </w:instrText>
        </w:r>
        <w:r>
          <w:rPr>
            <w:noProof/>
            <w:webHidden/>
          </w:rPr>
        </w:r>
        <w:r>
          <w:rPr>
            <w:noProof/>
            <w:webHidden/>
          </w:rPr>
          <w:fldChar w:fldCharType="separate"/>
        </w:r>
        <w:r>
          <w:rPr>
            <w:noProof/>
            <w:webHidden/>
          </w:rPr>
          <w:t>118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0" w:history="1">
        <w:r w:rsidRPr="001B13A4">
          <w:rPr>
            <w:rStyle w:val="Hyperlink"/>
            <w:noProof/>
          </w:rPr>
          <w:t>2.1.254</w:t>
        </w:r>
        <w:r>
          <w:rPr>
            <w:rFonts w:asciiTheme="minorHAnsi" w:eastAsiaTheme="minorEastAsia" w:hAnsiTheme="minorHAnsi" w:cstheme="minorBidi"/>
            <w:noProof/>
            <w:sz w:val="22"/>
            <w:szCs w:val="22"/>
          </w:rPr>
          <w:tab/>
        </w:r>
        <w:r w:rsidRPr="001B13A4">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_Toc181683290 \h </w:instrText>
        </w:r>
        <w:r>
          <w:rPr>
            <w:noProof/>
            <w:webHidden/>
          </w:rPr>
        </w:r>
        <w:r>
          <w:rPr>
            <w:noProof/>
            <w:webHidden/>
          </w:rPr>
          <w:fldChar w:fldCharType="separate"/>
        </w:r>
        <w:r>
          <w:rPr>
            <w:noProof/>
            <w:webHidden/>
          </w:rPr>
          <w:t>118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1" w:history="1">
        <w:r w:rsidRPr="001B13A4">
          <w:rPr>
            <w:rStyle w:val="Hyperlink"/>
            <w:noProof/>
          </w:rPr>
          <w:t>2.1.255</w:t>
        </w:r>
        <w:r>
          <w:rPr>
            <w:rFonts w:asciiTheme="minorHAnsi" w:eastAsiaTheme="minorEastAsia" w:hAnsiTheme="minorHAnsi" w:cstheme="minorBidi"/>
            <w:noProof/>
            <w:sz w:val="22"/>
            <w:szCs w:val="22"/>
          </w:rPr>
          <w:tab/>
        </w:r>
        <w:r w:rsidRPr="001B13A4">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_Toc181683291 \h </w:instrText>
        </w:r>
        <w:r>
          <w:rPr>
            <w:noProof/>
            <w:webHidden/>
          </w:rPr>
        </w:r>
        <w:r>
          <w:rPr>
            <w:noProof/>
            <w:webHidden/>
          </w:rPr>
          <w:fldChar w:fldCharType="separate"/>
        </w:r>
        <w:r>
          <w:rPr>
            <w:noProof/>
            <w:webHidden/>
          </w:rPr>
          <w:t>119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2" w:history="1">
        <w:r w:rsidRPr="001B13A4">
          <w:rPr>
            <w:rStyle w:val="Hyperlink"/>
            <w:noProof/>
          </w:rPr>
          <w:t>2.1.256</w:t>
        </w:r>
        <w:r>
          <w:rPr>
            <w:rFonts w:asciiTheme="minorHAnsi" w:eastAsiaTheme="minorEastAsia" w:hAnsiTheme="minorHAnsi" w:cstheme="minorBidi"/>
            <w:noProof/>
            <w:sz w:val="22"/>
            <w:szCs w:val="22"/>
          </w:rPr>
          <w:tab/>
        </w:r>
        <w:r w:rsidRPr="001B13A4">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_Toc181683292 \h </w:instrText>
        </w:r>
        <w:r>
          <w:rPr>
            <w:noProof/>
            <w:webHidden/>
          </w:rPr>
        </w:r>
        <w:r>
          <w:rPr>
            <w:noProof/>
            <w:webHidden/>
          </w:rPr>
          <w:fldChar w:fldCharType="separate"/>
        </w:r>
        <w:r>
          <w:rPr>
            <w:noProof/>
            <w:webHidden/>
          </w:rPr>
          <w:t>119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3" w:history="1">
        <w:r w:rsidRPr="001B13A4">
          <w:rPr>
            <w:rStyle w:val="Hyperlink"/>
            <w:noProof/>
          </w:rPr>
          <w:t>2.1.257</w:t>
        </w:r>
        <w:r>
          <w:rPr>
            <w:rFonts w:asciiTheme="minorHAnsi" w:eastAsiaTheme="minorEastAsia" w:hAnsiTheme="minorHAnsi" w:cstheme="minorBidi"/>
            <w:noProof/>
            <w:sz w:val="22"/>
            <w:szCs w:val="22"/>
          </w:rPr>
          <w:tab/>
        </w:r>
        <w:r w:rsidRPr="001B13A4">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_Toc181683293 \h </w:instrText>
        </w:r>
        <w:r>
          <w:rPr>
            <w:noProof/>
            <w:webHidden/>
          </w:rPr>
        </w:r>
        <w:r>
          <w:rPr>
            <w:noProof/>
            <w:webHidden/>
          </w:rPr>
          <w:fldChar w:fldCharType="separate"/>
        </w:r>
        <w:r>
          <w:rPr>
            <w:noProof/>
            <w:webHidden/>
          </w:rPr>
          <w:t>119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4" w:history="1">
        <w:r w:rsidRPr="001B13A4">
          <w:rPr>
            <w:rStyle w:val="Hyperlink"/>
            <w:noProof/>
          </w:rPr>
          <w:t>2.1.258</w:t>
        </w:r>
        <w:r>
          <w:rPr>
            <w:rFonts w:asciiTheme="minorHAnsi" w:eastAsiaTheme="minorEastAsia" w:hAnsiTheme="minorHAnsi" w:cstheme="minorBidi"/>
            <w:noProof/>
            <w:sz w:val="22"/>
            <w:szCs w:val="22"/>
          </w:rPr>
          <w:tab/>
        </w:r>
        <w:r w:rsidRPr="001B13A4">
          <w:rPr>
            <w:rStyle w:val="Hyperlink"/>
            <w:noProof/>
          </w:rPr>
          <w:t>Part 1 Section 17.7.8, Paragraph Styles</w:t>
        </w:r>
        <w:r>
          <w:rPr>
            <w:noProof/>
            <w:webHidden/>
          </w:rPr>
          <w:tab/>
        </w:r>
        <w:r>
          <w:rPr>
            <w:noProof/>
            <w:webHidden/>
          </w:rPr>
          <w:fldChar w:fldCharType="begin"/>
        </w:r>
        <w:r>
          <w:rPr>
            <w:noProof/>
            <w:webHidden/>
          </w:rPr>
          <w:instrText xml:space="preserve"> PAGEREF _Toc181683294 \h </w:instrText>
        </w:r>
        <w:r>
          <w:rPr>
            <w:noProof/>
            <w:webHidden/>
          </w:rPr>
        </w:r>
        <w:r>
          <w:rPr>
            <w:noProof/>
            <w:webHidden/>
          </w:rPr>
          <w:fldChar w:fldCharType="separate"/>
        </w:r>
        <w:r>
          <w:rPr>
            <w:noProof/>
            <w:webHidden/>
          </w:rPr>
          <w:t>119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5" w:history="1">
        <w:r w:rsidRPr="001B13A4">
          <w:rPr>
            <w:rStyle w:val="Hyperlink"/>
            <w:noProof/>
          </w:rPr>
          <w:t>2.1.259</w:t>
        </w:r>
        <w:r>
          <w:rPr>
            <w:rFonts w:asciiTheme="minorHAnsi" w:eastAsiaTheme="minorEastAsia" w:hAnsiTheme="minorHAnsi" w:cstheme="minorBidi"/>
            <w:noProof/>
            <w:sz w:val="22"/>
            <w:szCs w:val="22"/>
          </w:rPr>
          <w:tab/>
        </w:r>
        <w:r w:rsidRPr="001B13A4">
          <w:rPr>
            <w:rStyle w:val="Hyperlink"/>
            <w:noProof/>
          </w:rPr>
          <w:t>Part 1 Section 17.7.8.2, pPr (Style Paragraph Properties)</w:t>
        </w:r>
        <w:r>
          <w:rPr>
            <w:noProof/>
            <w:webHidden/>
          </w:rPr>
          <w:tab/>
        </w:r>
        <w:r>
          <w:rPr>
            <w:noProof/>
            <w:webHidden/>
          </w:rPr>
          <w:fldChar w:fldCharType="begin"/>
        </w:r>
        <w:r>
          <w:rPr>
            <w:noProof/>
            <w:webHidden/>
          </w:rPr>
          <w:instrText xml:space="preserve"> PAGEREF _Toc181683295 \h </w:instrText>
        </w:r>
        <w:r>
          <w:rPr>
            <w:noProof/>
            <w:webHidden/>
          </w:rPr>
        </w:r>
        <w:r>
          <w:rPr>
            <w:noProof/>
            <w:webHidden/>
          </w:rPr>
          <w:fldChar w:fldCharType="separate"/>
        </w:r>
        <w:r>
          <w:rPr>
            <w:noProof/>
            <w:webHidden/>
          </w:rPr>
          <w:t>119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6" w:history="1">
        <w:r w:rsidRPr="001B13A4">
          <w:rPr>
            <w:rStyle w:val="Hyperlink"/>
            <w:noProof/>
          </w:rPr>
          <w:t>2.1.260</w:t>
        </w:r>
        <w:r>
          <w:rPr>
            <w:rFonts w:asciiTheme="minorHAnsi" w:eastAsiaTheme="minorEastAsia" w:hAnsiTheme="minorHAnsi" w:cstheme="minorBidi"/>
            <w:noProof/>
            <w:sz w:val="22"/>
            <w:szCs w:val="22"/>
          </w:rPr>
          <w:tab/>
        </w:r>
        <w:r w:rsidRPr="001B13A4">
          <w:rPr>
            <w:rStyle w:val="Hyperlink"/>
            <w:noProof/>
          </w:rPr>
          <w:t>Part 1 Section 17.7.9.1, rPr (Run Properties)</w:t>
        </w:r>
        <w:r>
          <w:rPr>
            <w:noProof/>
            <w:webHidden/>
          </w:rPr>
          <w:tab/>
        </w:r>
        <w:r>
          <w:rPr>
            <w:noProof/>
            <w:webHidden/>
          </w:rPr>
          <w:fldChar w:fldCharType="begin"/>
        </w:r>
        <w:r>
          <w:rPr>
            <w:noProof/>
            <w:webHidden/>
          </w:rPr>
          <w:instrText xml:space="preserve"> PAGEREF _Toc181683296 \h </w:instrText>
        </w:r>
        <w:r>
          <w:rPr>
            <w:noProof/>
            <w:webHidden/>
          </w:rPr>
        </w:r>
        <w:r>
          <w:rPr>
            <w:noProof/>
            <w:webHidden/>
          </w:rPr>
          <w:fldChar w:fldCharType="separate"/>
        </w:r>
        <w:r>
          <w:rPr>
            <w:noProof/>
            <w:webHidden/>
          </w:rPr>
          <w:t>120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7" w:history="1">
        <w:r w:rsidRPr="001B13A4">
          <w:rPr>
            <w:rStyle w:val="Hyperlink"/>
            <w:noProof/>
          </w:rPr>
          <w:t>2.1.261</w:t>
        </w:r>
        <w:r>
          <w:rPr>
            <w:rFonts w:asciiTheme="minorHAnsi" w:eastAsiaTheme="minorEastAsia" w:hAnsiTheme="minorHAnsi" w:cstheme="minorBidi"/>
            <w:noProof/>
            <w:sz w:val="22"/>
            <w:szCs w:val="22"/>
          </w:rPr>
          <w:tab/>
        </w:r>
        <w:r w:rsidRPr="001B13A4">
          <w:rPr>
            <w:rStyle w:val="Hyperlink"/>
            <w:noProof/>
          </w:rPr>
          <w:t>Part 1 Section 17.8, Fonts</w:t>
        </w:r>
        <w:r>
          <w:rPr>
            <w:noProof/>
            <w:webHidden/>
          </w:rPr>
          <w:tab/>
        </w:r>
        <w:r>
          <w:rPr>
            <w:noProof/>
            <w:webHidden/>
          </w:rPr>
          <w:fldChar w:fldCharType="begin"/>
        </w:r>
        <w:r>
          <w:rPr>
            <w:noProof/>
            <w:webHidden/>
          </w:rPr>
          <w:instrText xml:space="preserve"> PAGEREF _Toc181683297 \h </w:instrText>
        </w:r>
        <w:r>
          <w:rPr>
            <w:noProof/>
            <w:webHidden/>
          </w:rPr>
        </w:r>
        <w:r>
          <w:rPr>
            <w:noProof/>
            <w:webHidden/>
          </w:rPr>
          <w:fldChar w:fldCharType="separate"/>
        </w:r>
        <w:r>
          <w:rPr>
            <w:noProof/>
            <w:webHidden/>
          </w:rPr>
          <w:t>120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8" w:history="1">
        <w:r w:rsidRPr="001B13A4">
          <w:rPr>
            <w:rStyle w:val="Hyperlink"/>
            <w:noProof/>
          </w:rPr>
          <w:t>2.1.262</w:t>
        </w:r>
        <w:r>
          <w:rPr>
            <w:rFonts w:asciiTheme="minorHAnsi" w:eastAsiaTheme="minorEastAsia" w:hAnsiTheme="minorHAnsi" w:cstheme="minorBidi"/>
            <w:noProof/>
            <w:sz w:val="22"/>
            <w:szCs w:val="22"/>
          </w:rPr>
          <w:tab/>
        </w:r>
        <w:r w:rsidRPr="001B13A4">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_Toc181683298 \h </w:instrText>
        </w:r>
        <w:r>
          <w:rPr>
            <w:noProof/>
            <w:webHidden/>
          </w:rPr>
        </w:r>
        <w:r>
          <w:rPr>
            <w:noProof/>
            <w:webHidden/>
          </w:rPr>
          <w:fldChar w:fldCharType="separate"/>
        </w:r>
        <w:r>
          <w:rPr>
            <w:noProof/>
            <w:webHidden/>
          </w:rPr>
          <w:t>120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299" w:history="1">
        <w:r w:rsidRPr="001B13A4">
          <w:rPr>
            <w:rStyle w:val="Hyperlink"/>
            <w:noProof/>
          </w:rPr>
          <w:t>2.1.263</w:t>
        </w:r>
        <w:r>
          <w:rPr>
            <w:rFonts w:asciiTheme="minorHAnsi" w:eastAsiaTheme="minorEastAsia" w:hAnsiTheme="minorHAnsi" w:cstheme="minorBidi"/>
            <w:noProof/>
            <w:sz w:val="22"/>
            <w:szCs w:val="22"/>
          </w:rPr>
          <w:tab/>
        </w:r>
        <w:r w:rsidRPr="001B13A4">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_Toc181683299 \h </w:instrText>
        </w:r>
        <w:r>
          <w:rPr>
            <w:noProof/>
            <w:webHidden/>
          </w:rPr>
        </w:r>
        <w:r>
          <w:rPr>
            <w:noProof/>
            <w:webHidden/>
          </w:rPr>
          <w:fldChar w:fldCharType="separate"/>
        </w:r>
        <w:r>
          <w:rPr>
            <w:noProof/>
            <w:webHidden/>
          </w:rPr>
          <w:t>121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0" w:history="1">
        <w:r w:rsidRPr="001B13A4">
          <w:rPr>
            <w:rStyle w:val="Hyperlink"/>
            <w:noProof/>
          </w:rPr>
          <w:t>2.1.264</w:t>
        </w:r>
        <w:r>
          <w:rPr>
            <w:rFonts w:asciiTheme="minorHAnsi" w:eastAsiaTheme="minorEastAsia" w:hAnsiTheme="minorHAnsi" w:cstheme="minorBidi"/>
            <w:noProof/>
            <w:sz w:val="22"/>
            <w:szCs w:val="22"/>
          </w:rPr>
          <w:tab/>
        </w:r>
        <w:r w:rsidRPr="001B13A4">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_Toc181683300 \h </w:instrText>
        </w:r>
        <w:r>
          <w:rPr>
            <w:noProof/>
            <w:webHidden/>
          </w:rPr>
        </w:r>
        <w:r>
          <w:rPr>
            <w:noProof/>
            <w:webHidden/>
          </w:rPr>
          <w:fldChar w:fldCharType="separate"/>
        </w:r>
        <w:r>
          <w:rPr>
            <w:noProof/>
            <w:webHidden/>
          </w:rPr>
          <w:t>121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1" w:history="1">
        <w:r w:rsidRPr="001B13A4">
          <w:rPr>
            <w:rStyle w:val="Hyperlink"/>
            <w:noProof/>
          </w:rPr>
          <w:t>2.1.265</w:t>
        </w:r>
        <w:r>
          <w:rPr>
            <w:rFonts w:asciiTheme="minorHAnsi" w:eastAsiaTheme="minorEastAsia" w:hAnsiTheme="minorHAnsi" w:cstheme="minorBidi"/>
            <w:noProof/>
            <w:sz w:val="22"/>
            <w:szCs w:val="22"/>
          </w:rPr>
          <w:tab/>
        </w:r>
        <w:r w:rsidRPr="001B13A4">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_Toc181683301 \h </w:instrText>
        </w:r>
        <w:r>
          <w:rPr>
            <w:noProof/>
            <w:webHidden/>
          </w:rPr>
        </w:r>
        <w:r>
          <w:rPr>
            <w:noProof/>
            <w:webHidden/>
          </w:rPr>
          <w:fldChar w:fldCharType="separate"/>
        </w:r>
        <w:r>
          <w:rPr>
            <w:noProof/>
            <w:webHidden/>
          </w:rPr>
          <w:t>121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2" w:history="1">
        <w:r w:rsidRPr="001B13A4">
          <w:rPr>
            <w:rStyle w:val="Hyperlink"/>
            <w:noProof/>
          </w:rPr>
          <w:t>2.1.266</w:t>
        </w:r>
        <w:r>
          <w:rPr>
            <w:rFonts w:asciiTheme="minorHAnsi" w:eastAsiaTheme="minorEastAsia" w:hAnsiTheme="minorHAnsi" w:cstheme="minorBidi"/>
            <w:noProof/>
            <w:sz w:val="22"/>
            <w:szCs w:val="22"/>
          </w:rPr>
          <w:tab/>
        </w:r>
        <w:r w:rsidRPr="001B13A4">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_Toc181683302 \h </w:instrText>
        </w:r>
        <w:r>
          <w:rPr>
            <w:noProof/>
            <w:webHidden/>
          </w:rPr>
        </w:r>
        <w:r>
          <w:rPr>
            <w:noProof/>
            <w:webHidden/>
          </w:rPr>
          <w:fldChar w:fldCharType="separate"/>
        </w:r>
        <w:r>
          <w:rPr>
            <w:noProof/>
            <w:webHidden/>
          </w:rPr>
          <w:t>121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3" w:history="1">
        <w:r w:rsidRPr="001B13A4">
          <w:rPr>
            <w:rStyle w:val="Hyperlink"/>
            <w:noProof/>
          </w:rPr>
          <w:t>2.1.267</w:t>
        </w:r>
        <w:r>
          <w:rPr>
            <w:rFonts w:asciiTheme="minorHAnsi" w:eastAsiaTheme="minorEastAsia" w:hAnsiTheme="minorHAnsi" w:cstheme="minorBidi"/>
            <w:noProof/>
            <w:sz w:val="22"/>
            <w:szCs w:val="22"/>
          </w:rPr>
          <w:tab/>
        </w:r>
        <w:r w:rsidRPr="001B13A4">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_Toc181683303 \h </w:instrText>
        </w:r>
        <w:r>
          <w:rPr>
            <w:noProof/>
            <w:webHidden/>
          </w:rPr>
        </w:r>
        <w:r>
          <w:rPr>
            <w:noProof/>
            <w:webHidden/>
          </w:rPr>
          <w:fldChar w:fldCharType="separate"/>
        </w:r>
        <w:r>
          <w:rPr>
            <w:noProof/>
            <w:webHidden/>
          </w:rPr>
          <w:t>121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4" w:history="1">
        <w:r w:rsidRPr="001B13A4">
          <w:rPr>
            <w:rStyle w:val="Hyperlink"/>
            <w:noProof/>
          </w:rPr>
          <w:t>2.1.268</w:t>
        </w:r>
        <w:r>
          <w:rPr>
            <w:rFonts w:asciiTheme="minorHAnsi" w:eastAsiaTheme="minorEastAsia" w:hAnsiTheme="minorHAnsi" w:cstheme="minorBidi"/>
            <w:noProof/>
            <w:sz w:val="22"/>
            <w:szCs w:val="22"/>
          </w:rPr>
          <w:tab/>
        </w:r>
        <w:r w:rsidRPr="001B13A4">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_Toc181683304 \h </w:instrText>
        </w:r>
        <w:r>
          <w:rPr>
            <w:noProof/>
            <w:webHidden/>
          </w:rPr>
        </w:r>
        <w:r>
          <w:rPr>
            <w:noProof/>
            <w:webHidden/>
          </w:rPr>
          <w:fldChar w:fldCharType="separate"/>
        </w:r>
        <w:r>
          <w:rPr>
            <w:noProof/>
            <w:webHidden/>
          </w:rPr>
          <w:t>121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5" w:history="1">
        <w:r w:rsidRPr="001B13A4">
          <w:rPr>
            <w:rStyle w:val="Hyperlink"/>
            <w:noProof/>
          </w:rPr>
          <w:t>2.1.269</w:t>
        </w:r>
        <w:r>
          <w:rPr>
            <w:rFonts w:asciiTheme="minorHAnsi" w:eastAsiaTheme="minorEastAsia" w:hAnsiTheme="minorHAnsi" w:cstheme="minorBidi"/>
            <w:noProof/>
            <w:sz w:val="22"/>
            <w:szCs w:val="22"/>
          </w:rPr>
          <w:tab/>
        </w:r>
        <w:r w:rsidRPr="001B13A4">
          <w:rPr>
            <w:rStyle w:val="Hyperlink"/>
            <w:noProof/>
          </w:rPr>
          <w:t>Part 1 Section 17.8.3.9, family (Font Family)</w:t>
        </w:r>
        <w:r>
          <w:rPr>
            <w:noProof/>
            <w:webHidden/>
          </w:rPr>
          <w:tab/>
        </w:r>
        <w:r>
          <w:rPr>
            <w:noProof/>
            <w:webHidden/>
          </w:rPr>
          <w:fldChar w:fldCharType="begin"/>
        </w:r>
        <w:r>
          <w:rPr>
            <w:noProof/>
            <w:webHidden/>
          </w:rPr>
          <w:instrText xml:space="preserve"> PAGEREF _Toc181683305 \h </w:instrText>
        </w:r>
        <w:r>
          <w:rPr>
            <w:noProof/>
            <w:webHidden/>
          </w:rPr>
        </w:r>
        <w:r>
          <w:rPr>
            <w:noProof/>
            <w:webHidden/>
          </w:rPr>
          <w:fldChar w:fldCharType="separate"/>
        </w:r>
        <w:r>
          <w:rPr>
            <w:noProof/>
            <w:webHidden/>
          </w:rPr>
          <w:t>121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6" w:history="1">
        <w:r w:rsidRPr="001B13A4">
          <w:rPr>
            <w:rStyle w:val="Hyperlink"/>
            <w:noProof/>
          </w:rPr>
          <w:t>2.1.270</w:t>
        </w:r>
        <w:r>
          <w:rPr>
            <w:rFonts w:asciiTheme="minorHAnsi" w:eastAsiaTheme="minorEastAsia" w:hAnsiTheme="minorHAnsi" w:cstheme="minorBidi"/>
            <w:noProof/>
            <w:sz w:val="22"/>
            <w:szCs w:val="22"/>
          </w:rPr>
          <w:tab/>
        </w:r>
        <w:r w:rsidRPr="001B13A4">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_Toc181683306 \h </w:instrText>
        </w:r>
        <w:r>
          <w:rPr>
            <w:noProof/>
            <w:webHidden/>
          </w:rPr>
        </w:r>
        <w:r>
          <w:rPr>
            <w:noProof/>
            <w:webHidden/>
          </w:rPr>
          <w:fldChar w:fldCharType="separate"/>
        </w:r>
        <w:r>
          <w:rPr>
            <w:noProof/>
            <w:webHidden/>
          </w:rPr>
          <w:t>121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7" w:history="1">
        <w:r w:rsidRPr="001B13A4">
          <w:rPr>
            <w:rStyle w:val="Hyperlink"/>
            <w:noProof/>
          </w:rPr>
          <w:t>2.1.271</w:t>
        </w:r>
        <w:r>
          <w:rPr>
            <w:rFonts w:asciiTheme="minorHAnsi" w:eastAsiaTheme="minorEastAsia" w:hAnsiTheme="minorHAnsi" w:cstheme="minorBidi"/>
            <w:noProof/>
            <w:sz w:val="22"/>
            <w:szCs w:val="22"/>
          </w:rPr>
          <w:tab/>
        </w:r>
        <w:r w:rsidRPr="001B13A4">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_Toc181683307 \h </w:instrText>
        </w:r>
        <w:r>
          <w:rPr>
            <w:noProof/>
            <w:webHidden/>
          </w:rPr>
        </w:r>
        <w:r>
          <w:rPr>
            <w:noProof/>
            <w:webHidden/>
          </w:rPr>
          <w:fldChar w:fldCharType="separate"/>
        </w:r>
        <w:r>
          <w:rPr>
            <w:noProof/>
            <w:webHidden/>
          </w:rPr>
          <w:t>122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8" w:history="1">
        <w:r w:rsidRPr="001B13A4">
          <w:rPr>
            <w:rStyle w:val="Hyperlink"/>
            <w:noProof/>
          </w:rPr>
          <w:t>2.1.272</w:t>
        </w:r>
        <w:r>
          <w:rPr>
            <w:rFonts w:asciiTheme="minorHAnsi" w:eastAsiaTheme="minorEastAsia" w:hAnsiTheme="minorHAnsi" w:cstheme="minorBidi"/>
            <w:noProof/>
            <w:sz w:val="22"/>
            <w:szCs w:val="22"/>
          </w:rPr>
          <w:tab/>
        </w:r>
        <w:r w:rsidRPr="001B13A4">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_Toc181683308 \h </w:instrText>
        </w:r>
        <w:r>
          <w:rPr>
            <w:noProof/>
            <w:webHidden/>
          </w:rPr>
        </w:r>
        <w:r>
          <w:rPr>
            <w:noProof/>
            <w:webHidden/>
          </w:rPr>
          <w:fldChar w:fldCharType="separate"/>
        </w:r>
        <w:r>
          <w:rPr>
            <w:noProof/>
            <w:webHidden/>
          </w:rPr>
          <w:t>122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09" w:history="1">
        <w:r w:rsidRPr="001B13A4">
          <w:rPr>
            <w:rStyle w:val="Hyperlink"/>
            <w:noProof/>
          </w:rPr>
          <w:t>2.1.273</w:t>
        </w:r>
        <w:r>
          <w:rPr>
            <w:rFonts w:asciiTheme="minorHAnsi" w:eastAsiaTheme="minorEastAsia" w:hAnsiTheme="minorHAnsi" w:cstheme="minorBidi"/>
            <w:noProof/>
            <w:sz w:val="22"/>
            <w:szCs w:val="22"/>
          </w:rPr>
          <w:tab/>
        </w:r>
        <w:r w:rsidRPr="001B13A4">
          <w:rPr>
            <w:rStyle w:val="Hyperlink"/>
            <w:noProof/>
          </w:rPr>
          <w:t>Part 1 Section 17.8.3.14, pitch (Font Pitch)</w:t>
        </w:r>
        <w:r>
          <w:rPr>
            <w:noProof/>
            <w:webHidden/>
          </w:rPr>
          <w:tab/>
        </w:r>
        <w:r>
          <w:rPr>
            <w:noProof/>
            <w:webHidden/>
          </w:rPr>
          <w:fldChar w:fldCharType="begin"/>
        </w:r>
        <w:r>
          <w:rPr>
            <w:noProof/>
            <w:webHidden/>
          </w:rPr>
          <w:instrText xml:space="preserve"> PAGEREF _Toc181683309 \h </w:instrText>
        </w:r>
        <w:r>
          <w:rPr>
            <w:noProof/>
            <w:webHidden/>
          </w:rPr>
        </w:r>
        <w:r>
          <w:rPr>
            <w:noProof/>
            <w:webHidden/>
          </w:rPr>
          <w:fldChar w:fldCharType="separate"/>
        </w:r>
        <w:r>
          <w:rPr>
            <w:noProof/>
            <w:webHidden/>
          </w:rPr>
          <w:t>122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0" w:history="1">
        <w:r w:rsidRPr="001B13A4">
          <w:rPr>
            <w:rStyle w:val="Hyperlink"/>
            <w:noProof/>
          </w:rPr>
          <w:t>2.1.274</w:t>
        </w:r>
        <w:r>
          <w:rPr>
            <w:rFonts w:asciiTheme="minorHAnsi" w:eastAsiaTheme="minorEastAsia" w:hAnsiTheme="minorHAnsi" w:cstheme="minorBidi"/>
            <w:noProof/>
            <w:sz w:val="22"/>
            <w:szCs w:val="22"/>
          </w:rPr>
          <w:tab/>
        </w:r>
        <w:r w:rsidRPr="001B13A4">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_Toc181683310 \h </w:instrText>
        </w:r>
        <w:r>
          <w:rPr>
            <w:noProof/>
            <w:webHidden/>
          </w:rPr>
        </w:r>
        <w:r>
          <w:rPr>
            <w:noProof/>
            <w:webHidden/>
          </w:rPr>
          <w:fldChar w:fldCharType="separate"/>
        </w:r>
        <w:r>
          <w:rPr>
            <w:noProof/>
            <w:webHidden/>
          </w:rPr>
          <w:t>122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1" w:history="1">
        <w:r w:rsidRPr="001B13A4">
          <w:rPr>
            <w:rStyle w:val="Hyperlink"/>
            <w:noProof/>
          </w:rPr>
          <w:t>2.1.275</w:t>
        </w:r>
        <w:r>
          <w:rPr>
            <w:rFonts w:asciiTheme="minorHAnsi" w:eastAsiaTheme="minorEastAsia" w:hAnsiTheme="minorHAnsi" w:cstheme="minorBidi"/>
            <w:noProof/>
            <w:sz w:val="22"/>
            <w:szCs w:val="22"/>
          </w:rPr>
          <w:tab/>
        </w:r>
        <w:r w:rsidRPr="001B13A4">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_Toc181683311 \h </w:instrText>
        </w:r>
        <w:r>
          <w:rPr>
            <w:noProof/>
            <w:webHidden/>
          </w:rPr>
        </w:r>
        <w:r>
          <w:rPr>
            <w:noProof/>
            <w:webHidden/>
          </w:rPr>
          <w:fldChar w:fldCharType="separate"/>
        </w:r>
        <w:r>
          <w:rPr>
            <w:noProof/>
            <w:webHidden/>
          </w:rPr>
          <w:t>122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2" w:history="1">
        <w:r w:rsidRPr="001B13A4">
          <w:rPr>
            <w:rStyle w:val="Hyperlink"/>
            <w:noProof/>
          </w:rPr>
          <w:t>2.1.276</w:t>
        </w:r>
        <w:r>
          <w:rPr>
            <w:rFonts w:asciiTheme="minorHAnsi" w:eastAsiaTheme="minorEastAsia" w:hAnsiTheme="minorHAnsi" w:cstheme="minorBidi"/>
            <w:noProof/>
            <w:sz w:val="22"/>
            <w:szCs w:val="22"/>
          </w:rPr>
          <w:tab/>
        </w:r>
        <w:r w:rsidRPr="001B13A4">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_Toc181683312 \h </w:instrText>
        </w:r>
        <w:r>
          <w:rPr>
            <w:noProof/>
            <w:webHidden/>
          </w:rPr>
        </w:r>
        <w:r>
          <w:rPr>
            <w:noProof/>
            <w:webHidden/>
          </w:rPr>
          <w:fldChar w:fldCharType="separate"/>
        </w:r>
        <w:r>
          <w:rPr>
            <w:noProof/>
            <w:webHidden/>
          </w:rPr>
          <w:t>123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3" w:history="1">
        <w:r w:rsidRPr="001B13A4">
          <w:rPr>
            <w:rStyle w:val="Hyperlink"/>
            <w:noProof/>
          </w:rPr>
          <w:t>2.1.277</w:t>
        </w:r>
        <w:r>
          <w:rPr>
            <w:rFonts w:asciiTheme="minorHAnsi" w:eastAsiaTheme="minorEastAsia" w:hAnsiTheme="minorHAnsi" w:cstheme="minorBidi"/>
            <w:noProof/>
            <w:sz w:val="22"/>
            <w:szCs w:val="22"/>
          </w:rPr>
          <w:tab/>
        </w:r>
        <w:r w:rsidRPr="001B13A4">
          <w:rPr>
            <w:rStyle w:val="Hyperlink"/>
            <w:noProof/>
          </w:rPr>
          <w:t>Part 1 Section 17.9.3, ilvl (Numbering Level Reference)</w:t>
        </w:r>
        <w:r>
          <w:rPr>
            <w:noProof/>
            <w:webHidden/>
          </w:rPr>
          <w:tab/>
        </w:r>
        <w:r>
          <w:rPr>
            <w:noProof/>
            <w:webHidden/>
          </w:rPr>
          <w:fldChar w:fldCharType="begin"/>
        </w:r>
        <w:r>
          <w:rPr>
            <w:noProof/>
            <w:webHidden/>
          </w:rPr>
          <w:instrText xml:space="preserve"> PAGEREF _Toc181683313 \h </w:instrText>
        </w:r>
        <w:r>
          <w:rPr>
            <w:noProof/>
            <w:webHidden/>
          </w:rPr>
        </w:r>
        <w:r>
          <w:rPr>
            <w:noProof/>
            <w:webHidden/>
          </w:rPr>
          <w:fldChar w:fldCharType="separate"/>
        </w:r>
        <w:r>
          <w:rPr>
            <w:noProof/>
            <w:webHidden/>
          </w:rPr>
          <w:t>123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4" w:history="1">
        <w:r w:rsidRPr="001B13A4">
          <w:rPr>
            <w:rStyle w:val="Hyperlink"/>
            <w:noProof/>
          </w:rPr>
          <w:t>2.1.278</w:t>
        </w:r>
        <w:r>
          <w:rPr>
            <w:rFonts w:asciiTheme="minorHAnsi" w:eastAsiaTheme="minorEastAsia" w:hAnsiTheme="minorHAnsi" w:cstheme="minorBidi"/>
            <w:noProof/>
            <w:sz w:val="22"/>
            <w:szCs w:val="22"/>
          </w:rPr>
          <w:tab/>
        </w:r>
        <w:r w:rsidRPr="001B13A4">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_Toc181683314 \h </w:instrText>
        </w:r>
        <w:r>
          <w:rPr>
            <w:noProof/>
            <w:webHidden/>
          </w:rPr>
        </w:r>
        <w:r>
          <w:rPr>
            <w:noProof/>
            <w:webHidden/>
          </w:rPr>
          <w:fldChar w:fldCharType="separate"/>
        </w:r>
        <w:r>
          <w:rPr>
            <w:noProof/>
            <w:webHidden/>
          </w:rPr>
          <w:t>123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5" w:history="1">
        <w:r w:rsidRPr="001B13A4">
          <w:rPr>
            <w:rStyle w:val="Hyperlink"/>
            <w:noProof/>
          </w:rPr>
          <w:t>2.1.279</w:t>
        </w:r>
        <w:r>
          <w:rPr>
            <w:rFonts w:asciiTheme="minorHAnsi" w:eastAsiaTheme="minorEastAsia" w:hAnsiTheme="minorHAnsi" w:cstheme="minorBidi"/>
            <w:noProof/>
            <w:sz w:val="22"/>
            <w:szCs w:val="22"/>
          </w:rPr>
          <w:tab/>
        </w:r>
        <w:r w:rsidRPr="001B13A4">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_Toc181683315 \h </w:instrText>
        </w:r>
        <w:r>
          <w:rPr>
            <w:noProof/>
            <w:webHidden/>
          </w:rPr>
        </w:r>
        <w:r>
          <w:rPr>
            <w:noProof/>
            <w:webHidden/>
          </w:rPr>
          <w:fldChar w:fldCharType="separate"/>
        </w:r>
        <w:r>
          <w:rPr>
            <w:noProof/>
            <w:webHidden/>
          </w:rPr>
          <w:t>123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6" w:history="1">
        <w:r w:rsidRPr="001B13A4">
          <w:rPr>
            <w:rStyle w:val="Hyperlink"/>
            <w:noProof/>
          </w:rPr>
          <w:t>2.1.280</w:t>
        </w:r>
        <w:r>
          <w:rPr>
            <w:rFonts w:asciiTheme="minorHAnsi" w:eastAsiaTheme="minorEastAsia" w:hAnsiTheme="minorHAnsi" w:cstheme="minorBidi"/>
            <w:noProof/>
            <w:sz w:val="22"/>
            <w:szCs w:val="22"/>
          </w:rPr>
          <w:tab/>
        </w:r>
        <w:r w:rsidRPr="001B13A4">
          <w:rPr>
            <w:rStyle w:val="Hyperlink"/>
            <w:noProof/>
          </w:rPr>
          <w:t>Part 1 Section 17.9.6, lvl (Numbering Level Definition)</w:t>
        </w:r>
        <w:r>
          <w:rPr>
            <w:noProof/>
            <w:webHidden/>
          </w:rPr>
          <w:tab/>
        </w:r>
        <w:r>
          <w:rPr>
            <w:noProof/>
            <w:webHidden/>
          </w:rPr>
          <w:fldChar w:fldCharType="begin"/>
        </w:r>
        <w:r>
          <w:rPr>
            <w:noProof/>
            <w:webHidden/>
          </w:rPr>
          <w:instrText xml:space="preserve"> PAGEREF _Toc181683316 \h </w:instrText>
        </w:r>
        <w:r>
          <w:rPr>
            <w:noProof/>
            <w:webHidden/>
          </w:rPr>
        </w:r>
        <w:r>
          <w:rPr>
            <w:noProof/>
            <w:webHidden/>
          </w:rPr>
          <w:fldChar w:fldCharType="separate"/>
        </w:r>
        <w:r>
          <w:rPr>
            <w:noProof/>
            <w:webHidden/>
          </w:rPr>
          <w:t>123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7" w:history="1">
        <w:r w:rsidRPr="001B13A4">
          <w:rPr>
            <w:rStyle w:val="Hyperlink"/>
            <w:noProof/>
          </w:rPr>
          <w:t>2.1.281</w:t>
        </w:r>
        <w:r>
          <w:rPr>
            <w:rFonts w:asciiTheme="minorHAnsi" w:eastAsiaTheme="minorEastAsia" w:hAnsiTheme="minorHAnsi" w:cstheme="minorBidi"/>
            <w:noProof/>
            <w:sz w:val="22"/>
            <w:szCs w:val="22"/>
          </w:rPr>
          <w:tab/>
        </w:r>
        <w:r w:rsidRPr="001B13A4">
          <w:rPr>
            <w:rStyle w:val="Hyperlink"/>
            <w:noProof/>
          </w:rPr>
          <w:t>Part 1 Section 17.9.7, lvlJc (Justification)</w:t>
        </w:r>
        <w:r>
          <w:rPr>
            <w:noProof/>
            <w:webHidden/>
          </w:rPr>
          <w:tab/>
        </w:r>
        <w:r>
          <w:rPr>
            <w:noProof/>
            <w:webHidden/>
          </w:rPr>
          <w:fldChar w:fldCharType="begin"/>
        </w:r>
        <w:r>
          <w:rPr>
            <w:noProof/>
            <w:webHidden/>
          </w:rPr>
          <w:instrText xml:space="preserve"> PAGEREF _Toc181683317 \h </w:instrText>
        </w:r>
        <w:r>
          <w:rPr>
            <w:noProof/>
            <w:webHidden/>
          </w:rPr>
        </w:r>
        <w:r>
          <w:rPr>
            <w:noProof/>
            <w:webHidden/>
          </w:rPr>
          <w:fldChar w:fldCharType="separate"/>
        </w:r>
        <w:r>
          <w:rPr>
            <w:noProof/>
            <w:webHidden/>
          </w:rPr>
          <w:t>123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8" w:history="1">
        <w:r w:rsidRPr="001B13A4">
          <w:rPr>
            <w:rStyle w:val="Hyperlink"/>
            <w:noProof/>
          </w:rPr>
          <w:t>2.1.282</w:t>
        </w:r>
        <w:r>
          <w:rPr>
            <w:rFonts w:asciiTheme="minorHAnsi" w:eastAsiaTheme="minorEastAsia" w:hAnsiTheme="minorHAnsi" w:cstheme="minorBidi"/>
            <w:noProof/>
            <w:sz w:val="22"/>
            <w:szCs w:val="22"/>
          </w:rPr>
          <w:tab/>
        </w:r>
        <w:r w:rsidRPr="001B13A4">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_Toc181683318 \h </w:instrText>
        </w:r>
        <w:r>
          <w:rPr>
            <w:noProof/>
            <w:webHidden/>
          </w:rPr>
        </w:r>
        <w:r>
          <w:rPr>
            <w:noProof/>
            <w:webHidden/>
          </w:rPr>
          <w:fldChar w:fldCharType="separate"/>
        </w:r>
        <w:r>
          <w:rPr>
            <w:noProof/>
            <w:webHidden/>
          </w:rPr>
          <w:t>123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19" w:history="1">
        <w:r w:rsidRPr="001B13A4">
          <w:rPr>
            <w:rStyle w:val="Hyperlink"/>
            <w:noProof/>
          </w:rPr>
          <w:t>2.1.283</w:t>
        </w:r>
        <w:r>
          <w:rPr>
            <w:rFonts w:asciiTheme="minorHAnsi" w:eastAsiaTheme="minorEastAsia" w:hAnsiTheme="minorHAnsi" w:cstheme="minorBidi"/>
            <w:noProof/>
            <w:sz w:val="22"/>
            <w:szCs w:val="22"/>
          </w:rPr>
          <w:tab/>
        </w:r>
        <w:r w:rsidRPr="001B13A4">
          <w:rPr>
            <w:rStyle w:val="Hyperlink"/>
            <w:noProof/>
          </w:rPr>
          <w:t>Part 1 Section 17.9.11, lvlText (Numbering Level Text)</w:t>
        </w:r>
        <w:r>
          <w:rPr>
            <w:noProof/>
            <w:webHidden/>
          </w:rPr>
          <w:tab/>
        </w:r>
        <w:r>
          <w:rPr>
            <w:noProof/>
            <w:webHidden/>
          </w:rPr>
          <w:fldChar w:fldCharType="begin"/>
        </w:r>
        <w:r>
          <w:rPr>
            <w:noProof/>
            <w:webHidden/>
          </w:rPr>
          <w:instrText xml:space="preserve"> PAGEREF _Toc181683319 \h </w:instrText>
        </w:r>
        <w:r>
          <w:rPr>
            <w:noProof/>
            <w:webHidden/>
          </w:rPr>
        </w:r>
        <w:r>
          <w:rPr>
            <w:noProof/>
            <w:webHidden/>
          </w:rPr>
          <w:fldChar w:fldCharType="separate"/>
        </w:r>
        <w:r>
          <w:rPr>
            <w:noProof/>
            <w:webHidden/>
          </w:rPr>
          <w:t>124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0" w:history="1">
        <w:r w:rsidRPr="001B13A4">
          <w:rPr>
            <w:rStyle w:val="Hyperlink"/>
            <w:noProof/>
          </w:rPr>
          <w:t>2.1.284</w:t>
        </w:r>
        <w:r>
          <w:rPr>
            <w:rFonts w:asciiTheme="minorHAnsi" w:eastAsiaTheme="minorEastAsia" w:hAnsiTheme="minorHAnsi" w:cstheme="minorBidi"/>
            <w:noProof/>
            <w:sz w:val="22"/>
            <w:szCs w:val="22"/>
          </w:rPr>
          <w:tab/>
        </w:r>
        <w:r w:rsidRPr="001B13A4">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_Toc181683320 \h </w:instrText>
        </w:r>
        <w:r>
          <w:rPr>
            <w:noProof/>
            <w:webHidden/>
          </w:rPr>
        </w:r>
        <w:r>
          <w:rPr>
            <w:noProof/>
            <w:webHidden/>
          </w:rPr>
          <w:fldChar w:fldCharType="separate"/>
        </w:r>
        <w:r>
          <w:rPr>
            <w:noProof/>
            <w:webHidden/>
          </w:rPr>
          <w:t>124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1" w:history="1">
        <w:r w:rsidRPr="001B13A4">
          <w:rPr>
            <w:rStyle w:val="Hyperlink"/>
            <w:noProof/>
          </w:rPr>
          <w:t>2.1.285</w:t>
        </w:r>
        <w:r>
          <w:rPr>
            <w:rFonts w:asciiTheme="minorHAnsi" w:eastAsiaTheme="minorEastAsia" w:hAnsiTheme="minorHAnsi" w:cstheme="minorBidi"/>
            <w:noProof/>
            <w:sz w:val="22"/>
            <w:szCs w:val="22"/>
          </w:rPr>
          <w:tab/>
        </w:r>
        <w:r w:rsidRPr="001B13A4">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_Toc181683321 \h </w:instrText>
        </w:r>
        <w:r>
          <w:rPr>
            <w:noProof/>
            <w:webHidden/>
          </w:rPr>
        </w:r>
        <w:r>
          <w:rPr>
            <w:noProof/>
            <w:webHidden/>
          </w:rPr>
          <w:fldChar w:fldCharType="separate"/>
        </w:r>
        <w:r>
          <w:rPr>
            <w:noProof/>
            <w:webHidden/>
          </w:rPr>
          <w:t>124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2" w:history="1">
        <w:r w:rsidRPr="001B13A4">
          <w:rPr>
            <w:rStyle w:val="Hyperlink"/>
            <w:noProof/>
          </w:rPr>
          <w:t>2.1.286</w:t>
        </w:r>
        <w:r>
          <w:rPr>
            <w:rFonts w:asciiTheme="minorHAnsi" w:eastAsiaTheme="minorEastAsia" w:hAnsiTheme="minorHAnsi" w:cstheme="minorBidi"/>
            <w:noProof/>
            <w:sz w:val="22"/>
            <w:szCs w:val="22"/>
          </w:rPr>
          <w:tab/>
        </w:r>
        <w:r w:rsidRPr="001B13A4">
          <w:rPr>
            <w:rStyle w:val="Hyperlink"/>
            <w:noProof/>
          </w:rPr>
          <w:t>Part 1 Section 17.9.17, numFmt (Numbering Format)</w:t>
        </w:r>
        <w:r>
          <w:rPr>
            <w:noProof/>
            <w:webHidden/>
          </w:rPr>
          <w:tab/>
        </w:r>
        <w:r>
          <w:rPr>
            <w:noProof/>
            <w:webHidden/>
          </w:rPr>
          <w:fldChar w:fldCharType="begin"/>
        </w:r>
        <w:r>
          <w:rPr>
            <w:noProof/>
            <w:webHidden/>
          </w:rPr>
          <w:instrText xml:space="preserve"> PAGEREF _Toc181683322 \h </w:instrText>
        </w:r>
        <w:r>
          <w:rPr>
            <w:noProof/>
            <w:webHidden/>
          </w:rPr>
        </w:r>
        <w:r>
          <w:rPr>
            <w:noProof/>
            <w:webHidden/>
          </w:rPr>
          <w:fldChar w:fldCharType="separate"/>
        </w:r>
        <w:r>
          <w:rPr>
            <w:noProof/>
            <w:webHidden/>
          </w:rPr>
          <w:t>124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3" w:history="1">
        <w:r w:rsidRPr="001B13A4">
          <w:rPr>
            <w:rStyle w:val="Hyperlink"/>
            <w:noProof/>
          </w:rPr>
          <w:t>2.1.287</w:t>
        </w:r>
        <w:r>
          <w:rPr>
            <w:rFonts w:asciiTheme="minorHAnsi" w:eastAsiaTheme="minorEastAsia" w:hAnsiTheme="minorHAnsi" w:cstheme="minorBidi"/>
            <w:noProof/>
            <w:sz w:val="22"/>
            <w:szCs w:val="22"/>
          </w:rPr>
          <w:tab/>
        </w:r>
        <w:r w:rsidRPr="001B13A4">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_Toc181683323 \h </w:instrText>
        </w:r>
        <w:r>
          <w:rPr>
            <w:noProof/>
            <w:webHidden/>
          </w:rPr>
        </w:r>
        <w:r>
          <w:rPr>
            <w:noProof/>
            <w:webHidden/>
          </w:rPr>
          <w:fldChar w:fldCharType="separate"/>
        </w:r>
        <w:r>
          <w:rPr>
            <w:noProof/>
            <w:webHidden/>
          </w:rPr>
          <w:t>125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4" w:history="1">
        <w:r w:rsidRPr="001B13A4">
          <w:rPr>
            <w:rStyle w:val="Hyperlink"/>
            <w:noProof/>
          </w:rPr>
          <w:t>2.1.288</w:t>
        </w:r>
        <w:r>
          <w:rPr>
            <w:rFonts w:asciiTheme="minorHAnsi" w:eastAsiaTheme="minorEastAsia" w:hAnsiTheme="minorHAnsi" w:cstheme="minorBidi"/>
            <w:noProof/>
            <w:sz w:val="22"/>
            <w:szCs w:val="22"/>
          </w:rPr>
          <w:tab/>
        </w:r>
        <w:r w:rsidRPr="001B13A4">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_Toc181683324 \h </w:instrText>
        </w:r>
        <w:r>
          <w:rPr>
            <w:noProof/>
            <w:webHidden/>
          </w:rPr>
        </w:r>
        <w:r>
          <w:rPr>
            <w:noProof/>
            <w:webHidden/>
          </w:rPr>
          <w:fldChar w:fldCharType="separate"/>
        </w:r>
        <w:r>
          <w:rPr>
            <w:noProof/>
            <w:webHidden/>
          </w:rPr>
          <w:t>125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5" w:history="1">
        <w:r w:rsidRPr="001B13A4">
          <w:rPr>
            <w:rStyle w:val="Hyperlink"/>
            <w:noProof/>
          </w:rPr>
          <w:t>2.1.289</w:t>
        </w:r>
        <w:r>
          <w:rPr>
            <w:rFonts w:asciiTheme="minorHAnsi" w:eastAsiaTheme="minorEastAsia" w:hAnsiTheme="minorHAnsi" w:cstheme="minorBidi"/>
            <w:noProof/>
            <w:sz w:val="22"/>
            <w:szCs w:val="22"/>
          </w:rPr>
          <w:tab/>
        </w:r>
        <w:r w:rsidRPr="001B13A4">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_Toc181683325 \h </w:instrText>
        </w:r>
        <w:r>
          <w:rPr>
            <w:noProof/>
            <w:webHidden/>
          </w:rPr>
        </w:r>
        <w:r>
          <w:rPr>
            <w:noProof/>
            <w:webHidden/>
          </w:rPr>
          <w:fldChar w:fldCharType="separate"/>
        </w:r>
        <w:r>
          <w:rPr>
            <w:noProof/>
            <w:webHidden/>
          </w:rPr>
          <w:t>125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6" w:history="1">
        <w:r w:rsidRPr="001B13A4">
          <w:rPr>
            <w:rStyle w:val="Hyperlink"/>
            <w:noProof/>
          </w:rPr>
          <w:t>2.1.290</w:t>
        </w:r>
        <w:r>
          <w:rPr>
            <w:rFonts w:asciiTheme="minorHAnsi" w:eastAsiaTheme="minorEastAsia" w:hAnsiTheme="minorHAnsi" w:cstheme="minorBidi"/>
            <w:noProof/>
            <w:sz w:val="22"/>
            <w:szCs w:val="22"/>
          </w:rPr>
          <w:tab/>
        </w:r>
        <w:r w:rsidRPr="001B13A4">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_Toc181683326 \h </w:instrText>
        </w:r>
        <w:r>
          <w:rPr>
            <w:noProof/>
            <w:webHidden/>
          </w:rPr>
        </w:r>
        <w:r>
          <w:rPr>
            <w:noProof/>
            <w:webHidden/>
          </w:rPr>
          <w:fldChar w:fldCharType="separate"/>
        </w:r>
        <w:r>
          <w:rPr>
            <w:noProof/>
            <w:webHidden/>
          </w:rPr>
          <w:t>125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7" w:history="1">
        <w:r w:rsidRPr="001B13A4">
          <w:rPr>
            <w:rStyle w:val="Hyperlink"/>
            <w:noProof/>
          </w:rPr>
          <w:t>2.1.291</w:t>
        </w:r>
        <w:r>
          <w:rPr>
            <w:rFonts w:asciiTheme="minorHAnsi" w:eastAsiaTheme="minorEastAsia" w:hAnsiTheme="minorHAnsi" w:cstheme="minorBidi"/>
            <w:noProof/>
            <w:sz w:val="22"/>
            <w:szCs w:val="22"/>
          </w:rPr>
          <w:tab/>
        </w:r>
        <w:r w:rsidRPr="001B13A4">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_Toc181683327 \h </w:instrText>
        </w:r>
        <w:r>
          <w:rPr>
            <w:noProof/>
            <w:webHidden/>
          </w:rPr>
        </w:r>
        <w:r>
          <w:rPr>
            <w:noProof/>
            <w:webHidden/>
          </w:rPr>
          <w:fldChar w:fldCharType="separate"/>
        </w:r>
        <w:r>
          <w:rPr>
            <w:noProof/>
            <w:webHidden/>
          </w:rPr>
          <w:t>125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8" w:history="1">
        <w:r w:rsidRPr="001B13A4">
          <w:rPr>
            <w:rStyle w:val="Hyperlink"/>
            <w:noProof/>
          </w:rPr>
          <w:t>2.1.292</w:t>
        </w:r>
        <w:r>
          <w:rPr>
            <w:rFonts w:asciiTheme="minorHAnsi" w:eastAsiaTheme="minorEastAsia" w:hAnsiTheme="minorHAnsi" w:cstheme="minorBidi"/>
            <w:noProof/>
            <w:sz w:val="22"/>
            <w:szCs w:val="22"/>
          </w:rPr>
          <w:tab/>
        </w:r>
        <w:r w:rsidRPr="001B13A4">
          <w:rPr>
            <w:rStyle w:val="Hyperlink"/>
            <w:noProof/>
          </w:rPr>
          <w:t>Part 1 Section 17.9.25, start (Starting Value)</w:t>
        </w:r>
        <w:r>
          <w:rPr>
            <w:noProof/>
            <w:webHidden/>
          </w:rPr>
          <w:tab/>
        </w:r>
        <w:r>
          <w:rPr>
            <w:noProof/>
            <w:webHidden/>
          </w:rPr>
          <w:fldChar w:fldCharType="begin"/>
        </w:r>
        <w:r>
          <w:rPr>
            <w:noProof/>
            <w:webHidden/>
          </w:rPr>
          <w:instrText xml:space="preserve"> PAGEREF _Toc181683328 \h </w:instrText>
        </w:r>
        <w:r>
          <w:rPr>
            <w:noProof/>
            <w:webHidden/>
          </w:rPr>
        </w:r>
        <w:r>
          <w:rPr>
            <w:noProof/>
            <w:webHidden/>
          </w:rPr>
          <w:fldChar w:fldCharType="separate"/>
        </w:r>
        <w:r>
          <w:rPr>
            <w:noProof/>
            <w:webHidden/>
          </w:rPr>
          <w:t>125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29" w:history="1">
        <w:r w:rsidRPr="001B13A4">
          <w:rPr>
            <w:rStyle w:val="Hyperlink"/>
            <w:noProof/>
          </w:rPr>
          <w:t>2.1.293</w:t>
        </w:r>
        <w:r>
          <w:rPr>
            <w:rFonts w:asciiTheme="minorHAnsi" w:eastAsiaTheme="minorEastAsia" w:hAnsiTheme="minorHAnsi" w:cstheme="minorBidi"/>
            <w:noProof/>
            <w:sz w:val="22"/>
            <w:szCs w:val="22"/>
          </w:rPr>
          <w:tab/>
        </w:r>
        <w:r w:rsidRPr="001B13A4">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_Toc181683329 \h </w:instrText>
        </w:r>
        <w:r>
          <w:rPr>
            <w:noProof/>
            <w:webHidden/>
          </w:rPr>
        </w:r>
        <w:r>
          <w:rPr>
            <w:noProof/>
            <w:webHidden/>
          </w:rPr>
          <w:fldChar w:fldCharType="separate"/>
        </w:r>
        <w:r>
          <w:rPr>
            <w:noProof/>
            <w:webHidden/>
          </w:rPr>
          <w:t>126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0" w:history="1">
        <w:r w:rsidRPr="001B13A4">
          <w:rPr>
            <w:rStyle w:val="Hyperlink"/>
            <w:noProof/>
          </w:rPr>
          <w:t>2.1.294</w:t>
        </w:r>
        <w:r>
          <w:rPr>
            <w:rFonts w:asciiTheme="minorHAnsi" w:eastAsiaTheme="minorEastAsia" w:hAnsiTheme="minorHAnsi" w:cstheme="minorBidi"/>
            <w:noProof/>
            <w:sz w:val="22"/>
            <w:szCs w:val="22"/>
          </w:rPr>
          <w:tab/>
        </w:r>
        <w:r w:rsidRPr="001B13A4">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_Toc181683330 \h </w:instrText>
        </w:r>
        <w:r>
          <w:rPr>
            <w:noProof/>
            <w:webHidden/>
          </w:rPr>
        </w:r>
        <w:r>
          <w:rPr>
            <w:noProof/>
            <w:webHidden/>
          </w:rPr>
          <w:fldChar w:fldCharType="separate"/>
        </w:r>
        <w:r>
          <w:rPr>
            <w:noProof/>
            <w:webHidden/>
          </w:rPr>
          <w:t>126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1" w:history="1">
        <w:r w:rsidRPr="001B13A4">
          <w:rPr>
            <w:rStyle w:val="Hyperlink"/>
            <w:noProof/>
          </w:rPr>
          <w:t>2.1.295</w:t>
        </w:r>
        <w:r>
          <w:rPr>
            <w:rFonts w:asciiTheme="minorHAnsi" w:eastAsiaTheme="minorEastAsia" w:hAnsiTheme="minorHAnsi" w:cstheme="minorBidi"/>
            <w:noProof/>
            <w:sz w:val="22"/>
            <w:szCs w:val="22"/>
          </w:rPr>
          <w:tab/>
        </w:r>
        <w:r w:rsidRPr="001B13A4">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_Toc181683331 \h </w:instrText>
        </w:r>
        <w:r>
          <w:rPr>
            <w:noProof/>
            <w:webHidden/>
          </w:rPr>
        </w:r>
        <w:r>
          <w:rPr>
            <w:noProof/>
            <w:webHidden/>
          </w:rPr>
          <w:fldChar w:fldCharType="separate"/>
        </w:r>
        <w:r>
          <w:rPr>
            <w:noProof/>
            <w:webHidden/>
          </w:rPr>
          <w:t>126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2" w:history="1">
        <w:r w:rsidRPr="001B13A4">
          <w:rPr>
            <w:rStyle w:val="Hyperlink"/>
            <w:noProof/>
          </w:rPr>
          <w:t>2.1.296</w:t>
        </w:r>
        <w:r>
          <w:rPr>
            <w:rFonts w:asciiTheme="minorHAnsi" w:eastAsiaTheme="minorEastAsia" w:hAnsiTheme="minorHAnsi" w:cstheme="minorBidi"/>
            <w:noProof/>
            <w:sz w:val="22"/>
            <w:szCs w:val="22"/>
          </w:rPr>
          <w:tab/>
        </w:r>
        <w:r w:rsidRPr="001B13A4">
          <w:rPr>
            <w:rStyle w:val="Hyperlink"/>
            <w:noProof/>
          </w:rPr>
          <w:t>Part 1 Section 17.10.3, ftr (Footer)</w:t>
        </w:r>
        <w:r>
          <w:rPr>
            <w:noProof/>
            <w:webHidden/>
          </w:rPr>
          <w:tab/>
        </w:r>
        <w:r>
          <w:rPr>
            <w:noProof/>
            <w:webHidden/>
          </w:rPr>
          <w:fldChar w:fldCharType="begin"/>
        </w:r>
        <w:r>
          <w:rPr>
            <w:noProof/>
            <w:webHidden/>
          </w:rPr>
          <w:instrText xml:space="preserve"> PAGEREF _Toc181683332 \h </w:instrText>
        </w:r>
        <w:r>
          <w:rPr>
            <w:noProof/>
            <w:webHidden/>
          </w:rPr>
        </w:r>
        <w:r>
          <w:rPr>
            <w:noProof/>
            <w:webHidden/>
          </w:rPr>
          <w:fldChar w:fldCharType="separate"/>
        </w:r>
        <w:r>
          <w:rPr>
            <w:noProof/>
            <w:webHidden/>
          </w:rPr>
          <w:t>126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3" w:history="1">
        <w:r w:rsidRPr="001B13A4">
          <w:rPr>
            <w:rStyle w:val="Hyperlink"/>
            <w:noProof/>
          </w:rPr>
          <w:t>2.1.297</w:t>
        </w:r>
        <w:r>
          <w:rPr>
            <w:rFonts w:asciiTheme="minorHAnsi" w:eastAsiaTheme="minorEastAsia" w:hAnsiTheme="minorHAnsi" w:cstheme="minorBidi"/>
            <w:noProof/>
            <w:sz w:val="22"/>
            <w:szCs w:val="22"/>
          </w:rPr>
          <w:tab/>
        </w:r>
        <w:r w:rsidRPr="001B13A4">
          <w:rPr>
            <w:rStyle w:val="Hyperlink"/>
            <w:noProof/>
          </w:rPr>
          <w:t>Part 1 Section 17.10.4, hdr (Header)</w:t>
        </w:r>
        <w:r>
          <w:rPr>
            <w:noProof/>
            <w:webHidden/>
          </w:rPr>
          <w:tab/>
        </w:r>
        <w:r>
          <w:rPr>
            <w:noProof/>
            <w:webHidden/>
          </w:rPr>
          <w:fldChar w:fldCharType="begin"/>
        </w:r>
        <w:r>
          <w:rPr>
            <w:noProof/>
            <w:webHidden/>
          </w:rPr>
          <w:instrText xml:space="preserve"> PAGEREF _Toc181683333 \h </w:instrText>
        </w:r>
        <w:r>
          <w:rPr>
            <w:noProof/>
            <w:webHidden/>
          </w:rPr>
        </w:r>
        <w:r>
          <w:rPr>
            <w:noProof/>
            <w:webHidden/>
          </w:rPr>
          <w:fldChar w:fldCharType="separate"/>
        </w:r>
        <w:r>
          <w:rPr>
            <w:noProof/>
            <w:webHidden/>
          </w:rPr>
          <w:t>126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4" w:history="1">
        <w:r w:rsidRPr="001B13A4">
          <w:rPr>
            <w:rStyle w:val="Hyperlink"/>
            <w:noProof/>
          </w:rPr>
          <w:t>2.1.298</w:t>
        </w:r>
        <w:r>
          <w:rPr>
            <w:rFonts w:asciiTheme="minorHAnsi" w:eastAsiaTheme="minorEastAsia" w:hAnsiTheme="minorHAnsi" w:cstheme="minorBidi"/>
            <w:noProof/>
            <w:sz w:val="22"/>
            <w:szCs w:val="22"/>
          </w:rPr>
          <w:tab/>
        </w:r>
        <w:r w:rsidRPr="001B13A4">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_Toc181683334 \h </w:instrText>
        </w:r>
        <w:r>
          <w:rPr>
            <w:noProof/>
            <w:webHidden/>
          </w:rPr>
        </w:r>
        <w:r>
          <w:rPr>
            <w:noProof/>
            <w:webHidden/>
          </w:rPr>
          <w:fldChar w:fldCharType="separate"/>
        </w:r>
        <w:r>
          <w:rPr>
            <w:noProof/>
            <w:webHidden/>
          </w:rPr>
          <w:t>126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5" w:history="1">
        <w:r w:rsidRPr="001B13A4">
          <w:rPr>
            <w:rStyle w:val="Hyperlink"/>
            <w:noProof/>
          </w:rPr>
          <w:t>2.1.299</w:t>
        </w:r>
        <w:r>
          <w:rPr>
            <w:rFonts w:asciiTheme="minorHAnsi" w:eastAsiaTheme="minorEastAsia" w:hAnsiTheme="minorHAnsi" w:cstheme="minorBidi"/>
            <w:noProof/>
            <w:sz w:val="22"/>
            <w:szCs w:val="22"/>
          </w:rPr>
          <w:tab/>
        </w:r>
        <w:r w:rsidRPr="001B13A4">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_Toc181683335 \h </w:instrText>
        </w:r>
        <w:r>
          <w:rPr>
            <w:noProof/>
            <w:webHidden/>
          </w:rPr>
        </w:r>
        <w:r>
          <w:rPr>
            <w:noProof/>
            <w:webHidden/>
          </w:rPr>
          <w:fldChar w:fldCharType="separate"/>
        </w:r>
        <w:r>
          <w:rPr>
            <w:noProof/>
            <w:webHidden/>
          </w:rPr>
          <w:t>127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6" w:history="1">
        <w:r w:rsidRPr="001B13A4">
          <w:rPr>
            <w:rStyle w:val="Hyperlink"/>
            <w:noProof/>
          </w:rPr>
          <w:t>2.1.300</w:t>
        </w:r>
        <w:r>
          <w:rPr>
            <w:rFonts w:asciiTheme="minorHAnsi" w:eastAsiaTheme="minorEastAsia" w:hAnsiTheme="minorHAnsi" w:cstheme="minorBidi"/>
            <w:noProof/>
            <w:sz w:val="22"/>
            <w:szCs w:val="22"/>
          </w:rPr>
          <w:tab/>
        </w:r>
        <w:r w:rsidRPr="001B13A4">
          <w:rPr>
            <w:rStyle w:val="Hyperlink"/>
            <w:noProof/>
          </w:rPr>
          <w:t>Part 1 Section 17.11.2, endnote (Endnote Content)</w:t>
        </w:r>
        <w:r>
          <w:rPr>
            <w:noProof/>
            <w:webHidden/>
          </w:rPr>
          <w:tab/>
        </w:r>
        <w:r>
          <w:rPr>
            <w:noProof/>
            <w:webHidden/>
          </w:rPr>
          <w:fldChar w:fldCharType="begin"/>
        </w:r>
        <w:r>
          <w:rPr>
            <w:noProof/>
            <w:webHidden/>
          </w:rPr>
          <w:instrText xml:space="preserve"> PAGEREF _Toc181683336 \h </w:instrText>
        </w:r>
        <w:r>
          <w:rPr>
            <w:noProof/>
            <w:webHidden/>
          </w:rPr>
        </w:r>
        <w:r>
          <w:rPr>
            <w:noProof/>
            <w:webHidden/>
          </w:rPr>
          <w:fldChar w:fldCharType="separate"/>
        </w:r>
        <w:r>
          <w:rPr>
            <w:noProof/>
            <w:webHidden/>
          </w:rPr>
          <w:t>127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7" w:history="1">
        <w:r w:rsidRPr="001B13A4">
          <w:rPr>
            <w:rStyle w:val="Hyperlink"/>
            <w:noProof/>
          </w:rPr>
          <w:t>2.1.301</w:t>
        </w:r>
        <w:r>
          <w:rPr>
            <w:rFonts w:asciiTheme="minorHAnsi" w:eastAsiaTheme="minorEastAsia" w:hAnsiTheme="minorHAnsi" w:cstheme="minorBidi"/>
            <w:noProof/>
            <w:sz w:val="22"/>
            <w:szCs w:val="22"/>
          </w:rPr>
          <w:tab/>
        </w:r>
        <w:r w:rsidRPr="001B13A4">
          <w:rPr>
            <w:rStyle w:val="Hyperlink"/>
            <w:noProof/>
          </w:rPr>
          <w:t>Part 1 Section 17.11.3, endnote (Special Endnote List)</w:t>
        </w:r>
        <w:r>
          <w:rPr>
            <w:noProof/>
            <w:webHidden/>
          </w:rPr>
          <w:tab/>
        </w:r>
        <w:r>
          <w:rPr>
            <w:noProof/>
            <w:webHidden/>
          </w:rPr>
          <w:fldChar w:fldCharType="begin"/>
        </w:r>
        <w:r>
          <w:rPr>
            <w:noProof/>
            <w:webHidden/>
          </w:rPr>
          <w:instrText xml:space="preserve"> PAGEREF _Toc181683337 \h </w:instrText>
        </w:r>
        <w:r>
          <w:rPr>
            <w:noProof/>
            <w:webHidden/>
          </w:rPr>
        </w:r>
        <w:r>
          <w:rPr>
            <w:noProof/>
            <w:webHidden/>
          </w:rPr>
          <w:fldChar w:fldCharType="separate"/>
        </w:r>
        <w:r>
          <w:rPr>
            <w:noProof/>
            <w:webHidden/>
          </w:rPr>
          <w:t>127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8" w:history="1">
        <w:r w:rsidRPr="001B13A4">
          <w:rPr>
            <w:rStyle w:val="Hyperlink"/>
            <w:noProof/>
          </w:rPr>
          <w:t>2.1.302</w:t>
        </w:r>
        <w:r>
          <w:rPr>
            <w:rFonts w:asciiTheme="minorHAnsi" w:eastAsiaTheme="minorEastAsia" w:hAnsiTheme="minorHAnsi" w:cstheme="minorBidi"/>
            <w:noProof/>
            <w:sz w:val="22"/>
            <w:szCs w:val="22"/>
          </w:rPr>
          <w:tab/>
        </w:r>
        <w:r w:rsidRPr="001B13A4">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_Toc181683338 \h </w:instrText>
        </w:r>
        <w:r>
          <w:rPr>
            <w:noProof/>
            <w:webHidden/>
          </w:rPr>
        </w:r>
        <w:r>
          <w:rPr>
            <w:noProof/>
            <w:webHidden/>
          </w:rPr>
          <w:fldChar w:fldCharType="separate"/>
        </w:r>
        <w:r>
          <w:rPr>
            <w:noProof/>
            <w:webHidden/>
          </w:rPr>
          <w:t>127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39" w:history="1">
        <w:r w:rsidRPr="001B13A4">
          <w:rPr>
            <w:rStyle w:val="Hyperlink"/>
            <w:noProof/>
          </w:rPr>
          <w:t>2.1.303</w:t>
        </w:r>
        <w:r>
          <w:rPr>
            <w:rFonts w:asciiTheme="minorHAnsi" w:eastAsiaTheme="minorEastAsia" w:hAnsiTheme="minorHAnsi" w:cstheme="minorBidi"/>
            <w:noProof/>
            <w:sz w:val="22"/>
            <w:szCs w:val="22"/>
          </w:rPr>
          <w:tab/>
        </w:r>
        <w:r w:rsidRPr="001B13A4">
          <w:rPr>
            <w:rStyle w:val="Hyperlink"/>
            <w:noProof/>
          </w:rPr>
          <w:t>Part 1 Section 17.11.9, footnote (Special Footnote List)</w:t>
        </w:r>
        <w:r>
          <w:rPr>
            <w:noProof/>
            <w:webHidden/>
          </w:rPr>
          <w:tab/>
        </w:r>
        <w:r>
          <w:rPr>
            <w:noProof/>
            <w:webHidden/>
          </w:rPr>
          <w:fldChar w:fldCharType="begin"/>
        </w:r>
        <w:r>
          <w:rPr>
            <w:noProof/>
            <w:webHidden/>
          </w:rPr>
          <w:instrText xml:space="preserve"> PAGEREF _Toc181683339 \h </w:instrText>
        </w:r>
        <w:r>
          <w:rPr>
            <w:noProof/>
            <w:webHidden/>
          </w:rPr>
        </w:r>
        <w:r>
          <w:rPr>
            <w:noProof/>
            <w:webHidden/>
          </w:rPr>
          <w:fldChar w:fldCharType="separate"/>
        </w:r>
        <w:r>
          <w:rPr>
            <w:noProof/>
            <w:webHidden/>
          </w:rPr>
          <w:t>127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0" w:history="1">
        <w:r w:rsidRPr="001B13A4">
          <w:rPr>
            <w:rStyle w:val="Hyperlink"/>
            <w:noProof/>
          </w:rPr>
          <w:t>2.1.304</w:t>
        </w:r>
        <w:r>
          <w:rPr>
            <w:rFonts w:asciiTheme="minorHAnsi" w:eastAsiaTheme="minorEastAsia" w:hAnsiTheme="minorHAnsi" w:cstheme="minorBidi"/>
            <w:noProof/>
            <w:sz w:val="22"/>
            <w:szCs w:val="22"/>
          </w:rPr>
          <w:tab/>
        </w:r>
        <w:r w:rsidRPr="001B13A4">
          <w:rPr>
            <w:rStyle w:val="Hyperlink"/>
            <w:noProof/>
          </w:rPr>
          <w:t>Part 1 Section 17.11.10, footnote (Footnote Content)</w:t>
        </w:r>
        <w:r>
          <w:rPr>
            <w:noProof/>
            <w:webHidden/>
          </w:rPr>
          <w:tab/>
        </w:r>
        <w:r>
          <w:rPr>
            <w:noProof/>
            <w:webHidden/>
          </w:rPr>
          <w:fldChar w:fldCharType="begin"/>
        </w:r>
        <w:r>
          <w:rPr>
            <w:noProof/>
            <w:webHidden/>
          </w:rPr>
          <w:instrText xml:space="preserve"> PAGEREF _Toc181683340 \h </w:instrText>
        </w:r>
        <w:r>
          <w:rPr>
            <w:noProof/>
            <w:webHidden/>
          </w:rPr>
        </w:r>
        <w:r>
          <w:rPr>
            <w:noProof/>
            <w:webHidden/>
          </w:rPr>
          <w:fldChar w:fldCharType="separate"/>
        </w:r>
        <w:r>
          <w:rPr>
            <w:noProof/>
            <w:webHidden/>
          </w:rPr>
          <w:t>128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1" w:history="1">
        <w:r w:rsidRPr="001B13A4">
          <w:rPr>
            <w:rStyle w:val="Hyperlink"/>
            <w:noProof/>
          </w:rPr>
          <w:t>2.1.305</w:t>
        </w:r>
        <w:r>
          <w:rPr>
            <w:rFonts w:asciiTheme="minorHAnsi" w:eastAsiaTheme="minorEastAsia" w:hAnsiTheme="minorHAnsi" w:cstheme="minorBidi"/>
            <w:noProof/>
            <w:sz w:val="22"/>
            <w:szCs w:val="22"/>
          </w:rPr>
          <w:tab/>
        </w:r>
        <w:r w:rsidRPr="001B13A4">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_Toc181683341 \h </w:instrText>
        </w:r>
        <w:r>
          <w:rPr>
            <w:noProof/>
            <w:webHidden/>
          </w:rPr>
        </w:r>
        <w:r>
          <w:rPr>
            <w:noProof/>
            <w:webHidden/>
          </w:rPr>
          <w:fldChar w:fldCharType="separate"/>
        </w:r>
        <w:r>
          <w:rPr>
            <w:noProof/>
            <w:webHidden/>
          </w:rPr>
          <w:t>128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2" w:history="1">
        <w:r w:rsidRPr="001B13A4">
          <w:rPr>
            <w:rStyle w:val="Hyperlink"/>
            <w:noProof/>
          </w:rPr>
          <w:t>2.1.306</w:t>
        </w:r>
        <w:r>
          <w:rPr>
            <w:rFonts w:asciiTheme="minorHAnsi" w:eastAsiaTheme="minorEastAsia" w:hAnsiTheme="minorHAnsi" w:cstheme="minorBidi"/>
            <w:noProof/>
            <w:sz w:val="22"/>
            <w:szCs w:val="22"/>
          </w:rPr>
          <w:tab/>
        </w:r>
        <w:r w:rsidRPr="001B13A4">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_Toc181683342 \h </w:instrText>
        </w:r>
        <w:r>
          <w:rPr>
            <w:noProof/>
            <w:webHidden/>
          </w:rPr>
        </w:r>
        <w:r>
          <w:rPr>
            <w:noProof/>
            <w:webHidden/>
          </w:rPr>
          <w:fldChar w:fldCharType="separate"/>
        </w:r>
        <w:r>
          <w:rPr>
            <w:noProof/>
            <w:webHidden/>
          </w:rPr>
          <w:t>128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3" w:history="1">
        <w:r w:rsidRPr="001B13A4">
          <w:rPr>
            <w:rStyle w:val="Hyperlink"/>
            <w:noProof/>
          </w:rPr>
          <w:t>2.1.307</w:t>
        </w:r>
        <w:r>
          <w:rPr>
            <w:rFonts w:asciiTheme="minorHAnsi" w:eastAsiaTheme="minorEastAsia" w:hAnsiTheme="minorHAnsi" w:cstheme="minorBidi"/>
            <w:noProof/>
            <w:sz w:val="22"/>
            <w:szCs w:val="22"/>
          </w:rPr>
          <w:tab/>
        </w:r>
        <w:r w:rsidRPr="001B13A4">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_Toc181683343 \h </w:instrText>
        </w:r>
        <w:r>
          <w:rPr>
            <w:noProof/>
            <w:webHidden/>
          </w:rPr>
        </w:r>
        <w:r>
          <w:rPr>
            <w:noProof/>
            <w:webHidden/>
          </w:rPr>
          <w:fldChar w:fldCharType="separate"/>
        </w:r>
        <w:r>
          <w:rPr>
            <w:noProof/>
            <w:webHidden/>
          </w:rPr>
          <w:t>128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4" w:history="1">
        <w:r w:rsidRPr="001B13A4">
          <w:rPr>
            <w:rStyle w:val="Hyperlink"/>
            <w:noProof/>
          </w:rPr>
          <w:t>2.1.308</w:t>
        </w:r>
        <w:r>
          <w:rPr>
            <w:rFonts w:asciiTheme="minorHAnsi" w:eastAsiaTheme="minorEastAsia" w:hAnsiTheme="minorHAnsi" w:cstheme="minorBidi"/>
            <w:noProof/>
            <w:sz w:val="22"/>
            <w:szCs w:val="22"/>
          </w:rPr>
          <w:tab/>
        </w:r>
        <w:r w:rsidRPr="001B13A4">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_Toc181683344 \h </w:instrText>
        </w:r>
        <w:r>
          <w:rPr>
            <w:noProof/>
            <w:webHidden/>
          </w:rPr>
        </w:r>
        <w:r>
          <w:rPr>
            <w:noProof/>
            <w:webHidden/>
          </w:rPr>
          <w:fldChar w:fldCharType="separate"/>
        </w:r>
        <w:r>
          <w:rPr>
            <w:noProof/>
            <w:webHidden/>
          </w:rPr>
          <w:t>128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5" w:history="1">
        <w:r w:rsidRPr="001B13A4">
          <w:rPr>
            <w:rStyle w:val="Hyperlink"/>
            <w:noProof/>
          </w:rPr>
          <w:t>2.1.309</w:t>
        </w:r>
        <w:r>
          <w:rPr>
            <w:rFonts w:asciiTheme="minorHAnsi" w:eastAsiaTheme="minorEastAsia" w:hAnsiTheme="minorHAnsi" w:cstheme="minorBidi"/>
            <w:noProof/>
            <w:sz w:val="22"/>
            <w:szCs w:val="22"/>
          </w:rPr>
          <w:tab/>
        </w:r>
        <w:r w:rsidRPr="001B13A4">
          <w:rPr>
            <w:rStyle w:val="Hyperlink"/>
            <w:noProof/>
          </w:rPr>
          <w:t>Part 1 Section 17.11.21, pos (Footnote Placement)</w:t>
        </w:r>
        <w:r>
          <w:rPr>
            <w:noProof/>
            <w:webHidden/>
          </w:rPr>
          <w:tab/>
        </w:r>
        <w:r>
          <w:rPr>
            <w:noProof/>
            <w:webHidden/>
          </w:rPr>
          <w:fldChar w:fldCharType="begin"/>
        </w:r>
        <w:r>
          <w:rPr>
            <w:noProof/>
            <w:webHidden/>
          </w:rPr>
          <w:instrText xml:space="preserve"> PAGEREF _Toc181683345 \h </w:instrText>
        </w:r>
        <w:r>
          <w:rPr>
            <w:noProof/>
            <w:webHidden/>
          </w:rPr>
        </w:r>
        <w:r>
          <w:rPr>
            <w:noProof/>
            <w:webHidden/>
          </w:rPr>
          <w:fldChar w:fldCharType="separate"/>
        </w:r>
        <w:r>
          <w:rPr>
            <w:noProof/>
            <w:webHidden/>
          </w:rPr>
          <w:t>129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6" w:history="1">
        <w:r w:rsidRPr="001B13A4">
          <w:rPr>
            <w:rStyle w:val="Hyperlink"/>
            <w:noProof/>
          </w:rPr>
          <w:t>2.1.310</w:t>
        </w:r>
        <w:r>
          <w:rPr>
            <w:rFonts w:asciiTheme="minorHAnsi" w:eastAsiaTheme="minorEastAsia" w:hAnsiTheme="minorHAnsi" w:cstheme="minorBidi"/>
            <w:noProof/>
            <w:sz w:val="22"/>
            <w:szCs w:val="22"/>
          </w:rPr>
          <w:tab/>
        </w:r>
        <w:r w:rsidRPr="001B13A4">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_Toc181683346 \h </w:instrText>
        </w:r>
        <w:r>
          <w:rPr>
            <w:noProof/>
            <w:webHidden/>
          </w:rPr>
        </w:r>
        <w:r>
          <w:rPr>
            <w:noProof/>
            <w:webHidden/>
          </w:rPr>
          <w:fldChar w:fldCharType="separate"/>
        </w:r>
        <w:r>
          <w:rPr>
            <w:noProof/>
            <w:webHidden/>
          </w:rPr>
          <w:t>129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7" w:history="1">
        <w:r w:rsidRPr="001B13A4">
          <w:rPr>
            <w:rStyle w:val="Hyperlink"/>
            <w:noProof/>
          </w:rPr>
          <w:t>2.1.311</w:t>
        </w:r>
        <w:r>
          <w:rPr>
            <w:rFonts w:asciiTheme="minorHAnsi" w:eastAsiaTheme="minorEastAsia" w:hAnsiTheme="minorHAnsi" w:cstheme="minorBidi"/>
            <w:noProof/>
            <w:sz w:val="22"/>
            <w:szCs w:val="22"/>
          </w:rPr>
          <w:tab/>
        </w:r>
        <w:r w:rsidRPr="001B13A4">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_Toc181683347 \h </w:instrText>
        </w:r>
        <w:r>
          <w:rPr>
            <w:noProof/>
            <w:webHidden/>
          </w:rPr>
        </w:r>
        <w:r>
          <w:rPr>
            <w:noProof/>
            <w:webHidden/>
          </w:rPr>
          <w:fldChar w:fldCharType="separate"/>
        </w:r>
        <w:r>
          <w:rPr>
            <w:noProof/>
            <w:webHidden/>
          </w:rPr>
          <w:t>129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8" w:history="1">
        <w:r w:rsidRPr="001B13A4">
          <w:rPr>
            <w:rStyle w:val="Hyperlink"/>
            <w:noProof/>
          </w:rPr>
          <w:t>2.1.312</w:t>
        </w:r>
        <w:r>
          <w:rPr>
            <w:rFonts w:asciiTheme="minorHAnsi" w:eastAsiaTheme="minorEastAsia" w:hAnsiTheme="minorHAnsi" w:cstheme="minorBidi"/>
            <w:noProof/>
            <w:sz w:val="22"/>
            <w:szCs w:val="22"/>
          </w:rPr>
          <w:tab/>
        </w:r>
        <w:r w:rsidRPr="001B13A4">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_Toc181683348 \h </w:instrText>
        </w:r>
        <w:r>
          <w:rPr>
            <w:noProof/>
            <w:webHidden/>
          </w:rPr>
        </w:r>
        <w:r>
          <w:rPr>
            <w:noProof/>
            <w:webHidden/>
          </w:rPr>
          <w:fldChar w:fldCharType="separate"/>
        </w:r>
        <w:r>
          <w:rPr>
            <w:noProof/>
            <w:webHidden/>
          </w:rPr>
          <w:t>129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49" w:history="1">
        <w:r w:rsidRPr="001B13A4">
          <w:rPr>
            <w:rStyle w:val="Hyperlink"/>
            <w:noProof/>
          </w:rPr>
          <w:t>2.1.313</w:t>
        </w:r>
        <w:r>
          <w:rPr>
            <w:rFonts w:asciiTheme="minorHAnsi" w:eastAsiaTheme="minorEastAsia" w:hAnsiTheme="minorHAnsi" w:cstheme="minorBidi"/>
            <w:noProof/>
            <w:sz w:val="22"/>
            <w:szCs w:val="22"/>
          </w:rPr>
          <w:tab/>
        </w:r>
        <w:r w:rsidRPr="001B13A4">
          <w:rPr>
            <w:rStyle w:val="Hyperlink"/>
            <w:noProof/>
          </w:rPr>
          <w:t>Part 1 Section 17.13.4.2, comment (Comment Content)</w:t>
        </w:r>
        <w:r>
          <w:rPr>
            <w:noProof/>
            <w:webHidden/>
          </w:rPr>
          <w:tab/>
        </w:r>
        <w:r>
          <w:rPr>
            <w:noProof/>
            <w:webHidden/>
          </w:rPr>
          <w:fldChar w:fldCharType="begin"/>
        </w:r>
        <w:r>
          <w:rPr>
            <w:noProof/>
            <w:webHidden/>
          </w:rPr>
          <w:instrText xml:space="preserve"> PAGEREF _Toc181683349 \h </w:instrText>
        </w:r>
        <w:r>
          <w:rPr>
            <w:noProof/>
            <w:webHidden/>
          </w:rPr>
        </w:r>
        <w:r>
          <w:rPr>
            <w:noProof/>
            <w:webHidden/>
          </w:rPr>
          <w:fldChar w:fldCharType="separate"/>
        </w:r>
        <w:r>
          <w:rPr>
            <w:noProof/>
            <w:webHidden/>
          </w:rPr>
          <w:t>129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0" w:history="1">
        <w:r w:rsidRPr="001B13A4">
          <w:rPr>
            <w:rStyle w:val="Hyperlink"/>
            <w:noProof/>
          </w:rPr>
          <w:t>2.1.314</w:t>
        </w:r>
        <w:r>
          <w:rPr>
            <w:rFonts w:asciiTheme="minorHAnsi" w:eastAsiaTheme="minorEastAsia" w:hAnsiTheme="minorHAnsi" w:cstheme="minorBidi"/>
            <w:noProof/>
            <w:sz w:val="22"/>
            <w:szCs w:val="22"/>
          </w:rPr>
          <w:tab/>
        </w:r>
        <w:r w:rsidRPr="001B13A4">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_Toc181683350 \h </w:instrText>
        </w:r>
        <w:r>
          <w:rPr>
            <w:noProof/>
            <w:webHidden/>
          </w:rPr>
        </w:r>
        <w:r>
          <w:rPr>
            <w:noProof/>
            <w:webHidden/>
          </w:rPr>
          <w:fldChar w:fldCharType="separate"/>
        </w:r>
        <w:r>
          <w:rPr>
            <w:noProof/>
            <w:webHidden/>
          </w:rPr>
          <w:t>131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1" w:history="1">
        <w:r w:rsidRPr="001B13A4">
          <w:rPr>
            <w:rStyle w:val="Hyperlink"/>
            <w:noProof/>
          </w:rPr>
          <w:t>2.1.315</w:t>
        </w:r>
        <w:r>
          <w:rPr>
            <w:rFonts w:asciiTheme="minorHAnsi" w:eastAsiaTheme="minorEastAsia" w:hAnsiTheme="minorHAnsi" w:cstheme="minorBidi"/>
            <w:noProof/>
            <w:sz w:val="22"/>
            <w:szCs w:val="22"/>
          </w:rPr>
          <w:tab/>
        </w:r>
        <w:r w:rsidRPr="001B13A4">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_Toc181683351 \h </w:instrText>
        </w:r>
        <w:r>
          <w:rPr>
            <w:noProof/>
            <w:webHidden/>
          </w:rPr>
        </w:r>
        <w:r>
          <w:rPr>
            <w:noProof/>
            <w:webHidden/>
          </w:rPr>
          <w:fldChar w:fldCharType="separate"/>
        </w:r>
        <w:r>
          <w:rPr>
            <w:noProof/>
            <w:webHidden/>
          </w:rPr>
          <w:t>131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2" w:history="1">
        <w:r w:rsidRPr="001B13A4">
          <w:rPr>
            <w:rStyle w:val="Hyperlink"/>
            <w:noProof/>
          </w:rPr>
          <w:t>2.1.316</w:t>
        </w:r>
        <w:r>
          <w:rPr>
            <w:rFonts w:asciiTheme="minorHAnsi" w:eastAsiaTheme="minorEastAsia" w:hAnsiTheme="minorHAnsi" w:cstheme="minorBidi"/>
            <w:noProof/>
            <w:sz w:val="22"/>
            <w:szCs w:val="22"/>
          </w:rPr>
          <w:tab/>
        </w:r>
        <w:r w:rsidRPr="001B13A4">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_Toc181683352 \h </w:instrText>
        </w:r>
        <w:r>
          <w:rPr>
            <w:noProof/>
            <w:webHidden/>
          </w:rPr>
        </w:r>
        <w:r>
          <w:rPr>
            <w:noProof/>
            <w:webHidden/>
          </w:rPr>
          <w:fldChar w:fldCharType="separate"/>
        </w:r>
        <w:r>
          <w:rPr>
            <w:noProof/>
            <w:webHidden/>
          </w:rPr>
          <w:t>132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3" w:history="1">
        <w:r w:rsidRPr="001B13A4">
          <w:rPr>
            <w:rStyle w:val="Hyperlink"/>
            <w:noProof/>
          </w:rPr>
          <w:t>2.1.317</w:t>
        </w:r>
        <w:r>
          <w:rPr>
            <w:rFonts w:asciiTheme="minorHAnsi" w:eastAsiaTheme="minorEastAsia" w:hAnsiTheme="minorHAnsi" w:cstheme="minorBidi"/>
            <w:noProof/>
            <w:sz w:val="22"/>
            <w:szCs w:val="22"/>
          </w:rPr>
          <w:tab/>
        </w:r>
        <w:r w:rsidRPr="001B13A4">
          <w:rPr>
            <w:rStyle w:val="Hyperlink"/>
            <w:noProof/>
          </w:rPr>
          <w:t>Part 1 Section 17.13.5.1, cellDel (Table Cell Deletion)</w:t>
        </w:r>
        <w:r>
          <w:rPr>
            <w:noProof/>
            <w:webHidden/>
          </w:rPr>
          <w:tab/>
        </w:r>
        <w:r>
          <w:rPr>
            <w:noProof/>
            <w:webHidden/>
          </w:rPr>
          <w:fldChar w:fldCharType="begin"/>
        </w:r>
        <w:r>
          <w:rPr>
            <w:noProof/>
            <w:webHidden/>
          </w:rPr>
          <w:instrText xml:space="preserve"> PAGEREF _Toc181683353 \h </w:instrText>
        </w:r>
        <w:r>
          <w:rPr>
            <w:noProof/>
            <w:webHidden/>
          </w:rPr>
        </w:r>
        <w:r>
          <w:rPr>
            <w:noProof/>
            <w:webHidden/>
          </w:rPr>
          <w:fldChar w:fldCharType="separate"/>
        </w:r>
        <w:r>
          <w:rPr>
            <w:noProof/>
            <w:webHidden/>
          </w:rPr>
          <w:t>132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4" w:history="1">
        <w:r w:rsidRPr="001B13A4">
          <w:rPr>
            <w:rStyle w:val="Hyperlink"/>
            <w:noProof/>
          </w:rPr>
          <w:t>2.1.318</w:t>
        </w:r>
        <w:r>
          <w:rPr>
            <w:rFonts w:asciiTheme="minorHAnsi" w:eastAsiaTheme="minorEastAsia" w:hAnsiTheme="minorHAnsi" w:cstheme="minorBidi"/>
            <w:noProof/>
            <w:sz w:val="22"/>
            <w:szCs w:val="22"/>
          </w:rPr>
          <w:tab/>
        </w:r>
        <w:r w:rsidRPr="001B13A4">
          <w:rPr>
            <w:rStyle w:val="Hyperlink"/>
            <w:noProof/>
          </w:rPr>
          <w:t>Part 1 Section 17.13.5.2, cellIns (Table Cell Insertion)</w:t>
        </w:r>
        <w:r>
          <w:rPr>
            <w:noProof/>
            <w:webHidden/>
          </w:rPr>
          <w:tab/>
        </w:r>
        <w:r>
          <w:rPr>
            <w:noProof/>
            <w:webHidden/>
          </w:rPr>
          <w:fldChar w:fldCharType="begin"/>
        </w:r>
        <w:r>
          <w:rPr>
            <w:noProof/>
            <w:webHidden/>
          </w:rPr>
          <w:instrText xml:space="preserve"> PAGEREF _Toc181683354 \h </w:instrText>
        </w:r>
        <w:r>
          <w:rPr>
            <w:noProof/>
            <w:webHidden/>
          </w:rPr>
        </w:r>
        <w:r>
          <w:rPr>
            <w:noProof/>
            <w:webHidden/>
          </w:rPr>
          <w:fldChar w:fldCharType="separate"/>
        </w:r>
        <w:r>
          <w:rPr>
            <w:noProof/>
            <w:webHidden/>
          </w:rPr>
          <w:t>132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5" w:history="1">
        <w:r w:rsidRPr="001B13A4">
          <w:rPr>
            <w:rStyle w:val="Hyperlink"/>
            <w:noProof/>
          </w:rPr>
          <w:t>2.1.319</w:t>
        </w:r>
        <w:r>
          <w:rPr>
            <w:rFonts w:asciiTheme="minorHAnsi" w:eastAsiaTheme="minorEastAsia" w:hAnsiTheme="minorHAnsi" w:cstheme="minorBidi"/>
            <w:noProof/>
            <w:sz w:val="22"/>
            <w:szCs w:val="22"/>
          </w:rPr>
          <w:tab/>
        </w:r>
        <w:r w:rsidRPr="001B13A4">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_Toc181683355 \h </w:instrText>
        </w:r>
        <w:r>
          <w:rPr>
            <w:noProof/>
            <w:webHidden/>
          </w:rPr>
        </w:r>
        <w:r>
          <w:rPr>
            <w:noProof/>
            <w:webHidden/>
          </w:rPr>
          <w:fldChar w:fldCharType="separate"/>
        </w:r>
        <w:r>
          <w:rPr>
            <w:noProof/>
            <w:webHidden/>
          </w:rPr>
          <w:t>132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6" w:history="1">
        <w:r w:rsidRPr="001B13A4">
          <w:rPr>
            <w:rStyle w:val="Hyperlink"/>
            <w:noProof/>
          </w:rPr>
          <w:t>2.1.320</w:t>
        </w:r>
        <w:r>
          <w:rPr>
            <w:rFonts w:asciiTheme="minorHAnsi" w:eastAsiaTheme="minorEastAsia" w:hAnsiTheme="minorHAnsi" w:cstheme="minorBidi"/>
            <w:noProof/>
            <w:sz w:val="22"/>
            <w:szCs w:val="22"/>
          </w:rPr>
          <w:tab/>
        </w:r>
        <w:r w:rsidRPr="001B13A4">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_Toc181683356 \h </w:instrText>
        </w:r>
        <w:r>
          <w:rPr>
            <w:noProof/>
            <w:webHidden/>
          </w:rPr>
        </w:r>
        <w:r>
          <w:rPr>
            <w:noProof/>
            <w:webHidden/>
          </w:rPr>
          <w:fldChar w:fldCharType="separate"/>
        </w:r>
        <w:r>
          <w:rPr>
            <w:noProof/>
            <w:webHidden/>
          </w:rPr>
          <w:t>132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7" w:history="1">
        <w:r w:rsidRPr="001B13A4">
          <w:rPr>
            <w:rStyle w:val="Hyperlink"/>
            <w:noProof/>
          </w:rPr>
          <w:t>2.1.321</w:t>
        </w:r>
        <w:r>
          <w:rPr>
            <w:rFonts w:asciiTheme="minorHAnsi" w:eastAsiaTheme="minorEastAsia" w:hAnsiTheme="minorHAnsi" w:cstheme="minorBidi"/>
            <w:noProof/>
            <w:sz w:val="22"/>
            <w:szCs w:val="22"/>
          </w:rPr>
          <w:tab/>
        </w:r>
        <w:r w:rsidRPr="001B13A4">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_Toc181683357 \h </w:instrText>
        </w:r>
        <w:r>
          <w:rPr>
            <w:noProof/>
            <w:webHidden/>
          </w:rPr>
        </w:r>
        <w:r>
          <w:rPr>
            <w:noProof/>
            <w:webHidden/>
          </w:rPr>
          <w:fldChar w:fldCharType="separate"/>
        </w:r>
        <w:r>
          <w:rPr>
            <w:noProof/>
            <w:webHidden/>
          </w:rPr>
          <w:t>132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8" w:history="1">
        <w:r w:rsidRPr="001B13A4">
          <w:rPr>
            <w:rStyle w:val="Hyperlink"/>
            <w:noProof/>
          </w:rPr>
          <w:t>2.1.322</w:t>
        </w:r>
        <w:r>
          <w:rPr>
            <w:rFonts w:asciiTheme="minorHAnsi" w:eastAsiaTheme="minorEastAsia" w:hAnsiTheme="minorHAnsi" w:cstheme="minorBidi"/>
            <w:noProof/>
            <w:sz w:val="22"/>
            <w:szCs w:val="22"/>
          </w:rPr>
          <w:tab/>
        </w:r>
        <w:r w:rsidRPr="001B13A4">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_Toc181683358 \h </w:instrText>
        </w:r>
        <w:r>
          <w:rPr>
            <w:noProof/>
            <w:webHidden/>
          </w:rPr>
        </w:r>
        <w:r>
          <w:rPr>
            <w:noProof/>
            <w:webHidden/>
          </w:rPr>
          <w:fldChar w:fldCharType="separate"/>
        </w:r>
        <w:r>
          <w:rPr>
            <w:noProof/>
            <w:webHidden/>
          </w:rPr>
          <w:t>133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59" w:history="1">
        <w:r w:rsidRPr="001B13A4">
          <w:rPr>
            <w:rStyle w:val="Hyperlink"/>
            <w:noProof/>
          </w:rPr>
          <w:t>2.1.323</w:t>
        </w:r>
        <w:r>
          <w:rPr>
            <w:rFonts w:asciiTheme="minorHAnsi" w:eastAsiaTheme="minorEastAsia" w:hAnsiTheme="minorHAnsi" w:cstheme="minorBidi"/>
            <w:noProof/>
            <w:sz w:val="22"/>
            <w:szCs w:val="22"/>
          </w:rPr>
          <w:tab/>
        </w:r>
        <w:r w:rsidRPr="001B13A4">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_Toc181683359 \h </w:instrText>
        </w:r>
        <w:r>
          <w:rPr>
            <w:noProof/>
            <w:webHidden/>
          </w:rPr>
        </w:r>
        <w:r>
          <w:rPr>
            <w:noProof/>
            <w:webHidden/>
          </w:rPr>
          <w:fldChar w:fldCharType="separate"/>
        </w:r>
        <w:r>
          <w:rPr>
            <w:noProof/>
            <w:webHidden/>
          </w:rPr>
          <w:t>133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0" w:history="1">
        <w:r w:rsidRPr="001B13A4">
          <w:rPr>
            <w:rStyle w:val="Hyperlink"/>
            <w:noProof/>
          </w:rPr>
          <w:t>2.1.324</w:t>
        </w:r>
        <w:r>
          <w:rPr>
            <w:rFonts w:asciiTheme="minorHAnsi" w:eastAsiaTheme="minorEastAsia" w:hAnsiTheme="minorHAnsi" w:cstheme="minorBidi"/>
            <w:noProof/>
            <w:sz w:val="22"/>
            <w:szCs w:val="22"/>
          </w:rPr>
          <w:tab/>
        </w:r>
        <w:r w:rsidRPr="001B13A4">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_Toc181683360 \h </w:instrText>
        </w:r>
        <w:r>
          <w:rPr>
            <w:noProof/>
            <w:webHidden/>
          </w:rPr>
        </w:r>
        <w:r>
          <w:rPr>
            <w:noProof/>
            <w:webHidden/>
          </w:rPr>
          <w:fldChar w:fldCharType="separate"/>
        </w:r>
        <w:r>
          <w:rPr>
            <w:noProof/>
            <w:webHidden/>
          </w:rPr>
          <w:t>133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1" w:history="1">
        <w:r w:rsidRPr="001B13A4">
          <w:rPr>
            <w:rStyle w:val="Hyperlink"/>
            <w:noProof/>
          </w:rPr>
          <w:t>2.1.325</w:t>
        </w:r>
        <w:r>
          <w:rPr>
            <w:rFonts w:asciiTheme="minorHAnsi" w:eastAsiaTheme="minorEastAsia" w:hAnsiTheme="minorHAnsi" w:cstheme="minorBidi"/>
            <w:noProof/>
            <w:sz w:val="22"/>
            <w:szCs w:val="22"/>
          </w:rPr>
          <w:tab/>
        </w:r>
        <w:r w:rsidRPr="001B13A4">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_Toc181683361 \h </w:instrText>
        </w:r>
        <w:r>
          <w:rPr>
            <w:noProof/>
            <w:webHidden/>
          </w:rPr>
        </w:r>
        <w:r>
          <w:rPr>
            <w:noProof/>
            <w:webHidden/>
          </w:rPr>
          <w:fldChar w:fldCharType="separate"/>
        </w:r>
        <w:r>
          <w:rPr>
            <w:noProof/>
            <w:webHidden/>
          </w:rPr>
          <w:t>134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2" w:history="1">
        <w:r w:rsidRPr="001B13A4">
          <w:rPr>
            <w:rStyle w:val="Hyperlink"/>
            <w:noProof/>
          </w:rPr>
          <w:t>2.1.326</w:t>
        </w:r>
        <w:r>
          <w:rPr>
            <w:rFonts w:asciiTheme="minorHAnsi" w:eastAsiaTheme="minorEastAsia" w:hAnsiTheme="minorHAnsi" w:cstheme="minorBidi"/>
            <w:noProof/>
            <w:sz w:val="22"/>
            <w:szCs w:val="22"/>
          </w:rPr>
          <w:tab/>
        </w:r>
        <w:r w:rsidRPr="001B13A4">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_Toc181683362 \h </w:instrText>
        </w:r>
        <w:r>
          <w:rPr>
            <w:noProof/>
            <w:webHidden/>
          </w:rPr>
        </w:r>
        <w:r>
          <w:rPr>
            <w:noProof/>
            <w:webHidden/>
          </w:rPr>
          <w:fldChar w:fldCharType="separate"/>
        </w:r>
        <w:r>
          <w:rPr>
            <w:noProof/>
            <w:webHidden/>
          </w:rPr>
          <w:t>134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3" w:history="1">
        <w:r w:rsidRPr="001B13A4">
          <w:rPr>
            <w:rStyle w:val="Hyperlink"/>
            <w:noProof/>
          </w:rPr>
          <w:t>2.1.327</w:t>
        </w:r>
        <w:r>
          <w:rPr>
            <w:rFonts w:asciiTheme="minorHAnsi" w:eastAsiaTheme="minorEastAsia" w:hAnsiTheme="minorHAnsi" w:cstheme="minorBidi"/>
            <w:noProof/>
            <w:sz w:val="22"/>
            <w:szCs w:val="22"/>
          </w:rPr>
          <w:tab/>
        </w:r>
        <w:r w:rsidRPr="001B13A4">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_Toc181683363 \h </w:instrText>
        </w:r>
        <w:r>
          <w:rPr>
            <w:noProof/>
            <w:webHidden/>
          </w:rPr>
        </w:r>
        <w:r>
          <w:rPr>
            <w:noProof/>
            <w:webHidden/>
          </w:rPr>
          <w:fldChar w:fldCharType="separate"/>
        </w:r>
        <w:r>
          <w:rPr>
            <w:noProof/>
            <w:webHidden/>
          </w:rPr>
          <w:t>134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4" w:history="1">
        <w:r w:rsidRPr="001B13A4">
          <w:rPr>
            <w:rStyle w:val="Hyperlink"/>
            <w:noProof/>
          </w:rPr>
          <w:t>2.1.328</w:t>
        </w:r>
        <w:r>
          <w:rPr>
            <w:rFonts w:asciiTheme="minorHAnsi" w:eastAsiaTheme="minorEastAsia" w:hAnsiTheme="minorHAnsi" w:cstheme="minorBidi"/>
            <w:noProof/>
            <w:sz w:val="22"/>
            <w:szCs w:val="22"/>
          </w:rPr>
          <w:tab/>
        </w:r>
        <w:r w:rsidRPr="001B13A4">
          <w:rPr>
            <w:rStyle w:val="Hyperlink"/>
            <w:noProof/>
          </w:rPr>
          <w:t>Part 1 Section 17.13.5.12, del (Deleted Table Row)</w:t>
        </w:r>
        <w:r>
          <w:rPr>
            <w:noProof/>
            <w:webHidden/>
          </w:rPr>
          <w:tab/>
        </w:r>
        <w:r>
          <w:rPr>
            <w:noProof/>
            <w:webHidden/>
          </w:rPr>
          <w:fldChar w:fldCharType="begin"/>
        </w:r>
        <w:r>
          <w:rPr>
            <w:noProof/>
            <w:webHidden/>
          </w:rPr>
          <w:instrText xml:space="preserve"> PAGEREF _Toc181683364 \h </w:instrText>
        </w:r>
        <w:r>
          <w:rPr>
            <w:noProof/>
            <w:webHidden/>
          </w:rPr>
        </w:r>
        <w:r>
          <w:rPr>
            <w:noProof/>
            <w:webHidden/>
          </w:rPr>
          <w:fldChar w:fldCharType="separate"/>
        </w:r>
        <w:r>
          <w:rPr>
            <w:noProof/>
            <w:webHidden/>
          </w:rPr>
          <w:t>135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5" w:history="1">
        <w:r w:rsidRPr="001B13A4">
          <w:rPr>
            <w:rStyle w:val="Hyperlink"/>
            <w:noProof/>
          </w:rPr>
          <w:t>2.1.329</w:t>
        </w:r>
        <w:r>
          <w:rPr>
            <w:rFonts w:asciiTheme="minorHAnsi" w:eastAsiaTheme="minorEastAsia" w:hAnsiTheme="minorHAnsi" w:cstheme="minorBidi"/>
            <w:noProof/>
            <w:sz w:val="22"/>
            <w:szCs w:val="22"/>
          </w:rPr>
          <w:tab/>
        </w:r>
        <w:r w:rsidRPr="001B13A4">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_Toc181683365 \h </w:instrText>
        </w:r>
        <w:r>
          <w:rPr>
            <w:noProof/>
            <w:webHidden/>
          </w:rPr>
        </w:r>
        <w:r>
          <w:rPr>
            <w:noProof/>
            <w:webHidden/>
          </w:rPr>
          <w:fldChar w:fldCharType="separate"/>
        </w:r>
        <w:r>
          <w:rPr>
            <w:noProof/>
            <w:webHidden/>
          </w:rPr>
          <w:t>135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6" w:history="1">
        <w:r w:rsidRPr="001B13A4">
          <w:rPr>
            <w:rStyle w:val="Hyperlink"/>
            <w:noProof/>
          </w:rPr>
          <w:t>2.1.330</w:t>
        </w:r>
        <w:r>
          <w:rPr>
            <w:rFonts w:asciiTheme="minorHAnsi" w:eastAsiaTheme="minorEastAsia" w:hAnsiTheme="minorHAnsi" w:cstheme="minorBidi"/>
            <w:noProof/>
            <w:sz w:val="22"/>
            <w:szCs w:val="22"/>
          </w:rPr>
          <w:tab/>
        </w:r>
        <w:r w:rsidRPr="001B13A4">
          <w:rPr>
            <w:rStyle w:val="Hyperlink"/>
            <w:noProof/>
          </w:rPr>
          <w:t>Part 1 Section 17.13.5.14, del (Deleted Run Content)</w:t>
        </w:r>
        <w:r>
          <w:rPr>
            <w:noProof/>
            <w:webHidden/>
          </w:rPr>
          <w:tab/>
        </w:r>
        <w:r>
          <w:rPr>
            <w:noProof/>
            <w:webHidden/>
          </w:rPr>
          <w:fldChar w:fldCharType="begin"/>
        </w:r>
        <w:r>
          <w:rPr>
            <w:noProof/>
            <w:webHidden/>
          </w:rPr>
          <w:instrText xml:space="preserve"> PAGEREF _Toc181683366 \h </w:instrText>
        </w:r>
        <w:r>
          <w:rPr>
            <w:noProof/>
            <w:webHidden/>
          </w:rPr>
        </w:r>
        <w:r>
          <w:rPr>
            <w:noProof/>
            <w:webHidden/>
          </w:rPr>
          <w:fldChar w:fldCharType="separate"/>
        </w:r>
        <w:r>
          <w:rPr>
            <w:noProof/>
            <w:webHidden/>
          </w:rPr>
          <w:t>135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7" w:history="1">
        <w:r w:rsidRPr="001B13A4">
          <w:rPr>
            <w:rStyle w:val="Hyperlink"/>
            <w:noProof/>
          </w:rPr>
          <w:t>2.1.331</w:t>
        </w:r>
        <w:r>
          <w:rPr>
            <w:rFonts w:asciiTheme="minorHAnsi" w:eastAsiaTheme="minorEastAsia" w:hAnsiTheme="minorHAnsi" w:cstheme="minorBidi"/>
            <w:noProof/>
            <w:sz w:val="22"/>
            <w:szCs w:val="22"/>
          </w:rPr>
          <w:tab/>
        </w:r>
        <w:r w:rsidRPr="001B13A4">
          <w:rPr>
            <w:rStyle w:val="Hyperlink"/>
            <w:noProof/>
          </w:rPr>
          <w:t>Part 1 Section 17.13.5.15, del (Deleted Paragraph)</w:t>
        </w:r>
        <w:r>
          <w:rPr>
            <w:noProof/>
            <w:webHidden/>
          </w:rPr>
          <w:tab/>
        </w:r>
        <w:r>
          <w:rPr>
            <w:noProof/>
            <w:webHidden/>
          </w:rPr>
          <w:fldChar w:fldCharType="begin"/>
        </w:r>
        <w:r>
          <w:rPr>
            <w:noProof/>
            <w:webHidden/>
          </w:rPr>
          <w:instrText xml:space="preserve"> PAGEREF _Toc181683367 \h </w:instrText>
        </w:r>
        <w:r>
          <w:rPr>
            <w:noProof/>
            <w:webHidden/>
          </w:rPr>
        </w:r>
        <w:r>
          <w:rPr>
            <w:noProof/>
            <w:webHidden/>
          </w:rPr>
          <w:fldChar w:fldCharType="separate"/>
        </w:r>
        <w:r>
          <w:rPr>
            <w:noProof/>
            <w:webHidden/>
          </w:rPr>
          <w:t>135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8" w:history="1">
        <w:r w:rsidRPr="001B13A4">
          <w:rPr>
            <w:rStyle w:val="Hyperlink"/>
            <w:noProof/>
          </w:rPr>
          <w:t>2.1.332</w:t>
        </w:r>
        <w:r>
          <w:rPr>
            <w:rFonts w:asciiTheme="minorHAnsi" w:eastAsiaTheme="minorEastAsia" w:hAnsiTheme="minorHAnsi" w:cstheme="minorBidi"/>
            <w:noProof/>
            <w:sz w:val="22"/>
            <w:szCs w:val="22"/>
          </w:rPr>
          <w:tab/>
        </w:r>
        <w:r w:rsidRPr="001B13A4">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_Toc181683368 \h </w:instrText>
        </w:r>
        <w:r>
          <w:rPr>
            <w:noProof/>
            <w:webHidden/>
          </w:rPr>
        </w:r>
        <w:r>
          <w:rPr>
            <w:noProof/>
            <w:webHidden/>
          </w:rPr>
          <w:fldChar w:fldCharType="separate"/>
        </w:r>
        <w:r>
          <w:rPr>
            <w:noProof/>
            <w:webHidden/>
          </w:rPr>
          <w:t>136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69" w:history="1">
        <w:r w:rsidRPr="001B13A4">
          <w:rPr>
            <w:rStyle w:val="Hyperlink"/>
            <w:noProof/>
          </w:rPr>
          <w:t>2.1.333</w:t>
        </w:r>
        <w:r>
          <w:rPr>
            <w:rFonts w:asciiTheme="minorHAnsi" w:eastAsiaTheme="minorEastAsia" w:hAnsiTheme="minorHAnsi" w:cstheme="minorBidi"/>
            <w:noProof/>
            <w:sz w:val="22"/>
            <w:szCs w:val="22"/>
          </w:rPr>
          <w:tab/>
        </w:r>
        <w:r w:rsidRPr="001B13A4">
          <w:rPr>
            <w:rStyle w:val="Hyperlink"/>
            <w:noProof/>
          </w:rPr>
          <w:t>Part 1 Section 17.13.5.17, ins (Inserted Table Row)</w:t>
        </w:r>
        <w:r>
          <w:rPr>
            <w:noProof/>
            <w:webHidden/>
          </w:rPr>
          <w:tab/>
        </w:r>
        <w:r>
          <w:rPr>
            <w:noProof/>
            <w:webHidden/>
          </w:rPr>
          <w:fldChar w:fldCharType="begin"/>
        </w:r>
        <w:r>
          <w:rPr>
            <w:noProof/>
            <w:webHidden/>
          </w:rPr>
          <w:instrText xml:space="preserve"> PAGEREF _Toc181683369 \h </w:instrText>
        </w:r>
        <w:r>
          <w:rPr>
            <w:noProof/>
            <w:webHidden/>
          </w:rPr>
        </w:r>
        <w:r>
          <w:rPr>
            <w:noProof/>
            <w:webHidden/>
          </w:rPr>
          <w:fldChar w:fldCharType="separate"/>
        </w:r>
        <w:r>
          <w:rPr>
            <w:noProof/>
            <w:webHidden/>
          </w:rPr>
          <w:t>136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0" w:history="1">
        <w:r w:rsidRPr="001B13A4">
          <w:rPr>
            <w:rStyle w:val="Hyperlink"/>
            <w:noProof/>
          </w:rPr>
          <w:t>2.1.334</w:t>
        </w:r>
        <w:r>
          <w:rPr>
            <w:rFonts w:asciiTheme="minorHAnsi" w:eastAsiaTheme="minorEastAsia" w:hAnsiTheme="minorHAnsi" w:cstheme="minorBidi"/>
            <w:noProof/>
            <w:sz w:val="22"/>
            <w:szCs w:val="22"/>
          </w:rPr>
          <w:tab/>
        </w:r>
        <w:r w:rsidRPr="001B13A4">
          <w:rPr>
            <w:rStyle w:val="Hyperlink"/>
            <w:noProof/>
          </w:rPr>
          <w:t>Part 1 Section 17.13.5.18, ins (Inserted Run Content)</w:t>
        </w:r>
        <w:r>
          <w:rPr>
            <w:noProof/>
            <w:webHidden/>
          </w:rPr>
          <w:tab/>
        </w:r>
        <w:r>
          <w:rPr>
            <w:noProof/>
            <w:webHidden/>
          </w:rPr>
          <w:fldChar w:fldCharType="begin"/>
        </w:r>
        <w:r>
          <w:rPr>
            <w:noProof/>
            <w:webHidden/>
          </w:rPr>
          <w:instrText xml:space="preserve"> PAGEREF _Toc181683370 \h </w:instrText>
        </w:r>
        <w:r>
          <w:rPr>
            <w:noProof/>
            <w:webHidden/>
          </w:rPr>
        </w:r>
        <w:r>
          <w:rPr>
            <w:noProof/>
            <w:webHidden/>
          </w:rPr>
          <w:fldChar w:fldCharType="separate"/>
        </w:r>
        <w:r>
          <w:rPr>
            <w:noProof/>
            <w:webHidden/>
          </w:rPr>
          <w:t>136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1" w:history="1">
        <w:r w:rsidRPr="001B13A4">
          <w:rPr>
            <w:rStyle w:val="Hyperlink"/>
            <w:noProof/>
          </w:rPr>
          <w:t>2.1.335</w:t>
        </w:r>
        <w:r>
          <w:rPr>
            <w:rFonts w:asciiTheme="minorHAnsi" w:eastAsiaTheme="minorEastAsia" w:hAnsiTheme="minorHAnsi" w:cstheme="minorBidi"/>
            <w:noProof/>
            <w:sz w:val="22"/>
            <w:szCs w:val="22"/>
          </w:rPr>
          <w:tab/>
        </w:r>
        <w:r w:rsidRPr="001B13A4">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_Toc181683371 \h </w:instrText>
        </w:r>
        <w:r>
          <w:rPr>
            <w:noProof/>
            <w:webHidden/>
          </w:rPr>
        </w:r>
        <w:r>
          <w:rPr>
            <w:noProof/>
            <w:webHidden/>
          </w:rPr>
          <w:fldChar w:fldCharType="separate"/>
        </w:r>
        <w:r>
          <w:rPr>
            <w:noProof/>
            <w:webHidden/>
          </w:rPr>
          <w:t>136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2" w:history="1">
        <w:r w:rsidRPr="001B13A4">
          <w:rPr>
            <w:rStyle w:val="Hyperlink"/>
            <w:noProof/>
          </w:rPr>
          <w:t>2.1.336</w:t>
        </w:r>
        <w:r>
          <w:rPr>
            <w:rFonts w:asciiTheme="minorHAnsi" w:eastAsiaTheme="minorEastAsia" w:hAnsiTheme="minorHAnsi" w:cstheme="minorBidi"/>
            <w:noProof/>
            <w:sz w:val="22"/>
            <w:szCs w:val="22"/>
          </w:rPr>
          <w:tab/>
        </w:r>
        <w:r w:rsidRPr="001B13A4">
          <w:rPr>
            <w:rStyle w:val="Hyperlink"/>
            <w:noProof/>
          </w:rPr>
          <w:t>Part 1 Section 17.13.5.20, ins (Inserted Paragraph)</w:t>
        </w:r>
        <w:r>
          <w:rPr>
            <w:noProof/>
            <w:webHidden/>
          </w:rPr>
          <w:tab/>
        </w:r>
        <w:r>
          <w:rPr>
            <w:noProof/>
            <w:webHidden/>
          </w:rPr>
          <w:fldChar w:fldCharType="begin"/>
        </w:r>
        <w:r>
          <w:rPr>
            <w:noProof/>
            <w:webHidden/>
          </w:rPr>
          <w:instrText xml:space="preserve"> PAGEREF _Toc181683372 \h </w:instrText>
        </w:r>
        <w:r>
          <w:rPr>
            <w:noProof/>
            <w:webHidden/>
          </w:rPr>
        </w:r>
        <w:r>
          <w:rPr>
            <w:noProof/>
            <w:webHidden/>
          </w:rPr>
          <w:fldChar w:fldCharType="separate"/>
        </w:r>
        <w:r>
          <w:rPr>
            <w:noProof/>
            <w:webHidden/>
          </w:rPr>
          <w:t>136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3" w:history="1">
        <w:r w:rsidRPr="001B13A4">
          <w:rPr>
            <w:rStyle w:val="Hyperlink"/>
            <w:noProof/>
          </w:rPr>
          <w:t>2.1.337</w:t>
        </w:r>
        <w:r>
          <w:rPr>
            <w:rFonts w:asciiTheme="minorHAnsi" w:eastAsiaTheme="minorEastAsia" w:hAnsiTheme="minorHAnsi" w:cstheme="minorBidi"/>
            <w:noProof/>
            <w:sz w:val="22"/>
            <w:szCs w:val="22"/>
          </w:rPr>
          <w:tab/>
        </w:r>
        <w:r w:rsidRPr="001B13A4">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_Toc181683373 \h </w:instrText>
        </w:r>
        <w:r>
          <w:rPr>
            <w:noProof/>
            <w:webHidden/>
          </w:rPr>
        </w:r>
        <w:r>
          <w:rPr>
            <w:noProof/>
            <w:webHidden/>
          </w:rPr>
          <w:fldChar w:fldCharType="separate"/>
        </w:r>
        <w:r>
          <w:rPr>
            <w:noProof/>
            <w:webHidden/>
          </w:rPr>
          <w:t>136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4" w:history="1">
        <w:r w:rsidRPr="001B13A4">
          <w:rPr>
            <w:rStyle w:val="Hyperlink"/>
            <w:noProof/>
          </w:rPr>
          <w:t>2.1.338</w:t>
        </w:r>
        <w:r>
          <w:rPr>
            <w:rFonts w:asciiTheme="minorHAnsi" w:eastAsiaTheme="minorEastAsia" w:hAnsiTheme="minorHAnsi" w:cstheme="minorBidi"/>
            <w:noProof/>
            <w:sz w:val="22"/>
            <w:szCs w:val="22"/>
          </w:rPr>
          <w:tab/>
        </w:r>
        <w:r w:rsidRPr="001B13A4">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_Toc181683374 \h </w:instrText>
        </w:r>
        <w:r>
          <w:rPr>
            <w:noProof/>
            <w:webHidden/>
          </w:rPr>
        </w:r>
        <w:r>
          <w:rPr>
            <w:noProof/>
            <w:webHidden/>
          </w:rPr>
          <w:fldChar w:fldCharType="separate"/>
        </w:r>
        <w:r>
          <w:rPr>
            <w:noProof/>
            <w:webHidden/>
          </w:rPr>
          <w:t>137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5" w:history="1">
        <w:r w:rsidRPr="001B13A4">
          <w:rPr>
            <w:rStyle w:val="Hyperlink"/>
            <w:noProof/>
          </w:rPr>
          <w:t>2.1.339</w:t>
        </w:r>
        <w:r>
          <w:rPr>
            <w:rFonts w:asciiTheme="minorHAnsi" w:eastAsiaTheme="minorEastAsia" w:hAnsiTheme="minorHAnsi" w:cstheme="minorBidi"/>
            <w:noProof/>
            <w:sz w:val="22"/>
            <w:szCs w:val="22"/>
          </w:rPr>
          <w:tab/>
        </w:r>
        <w:r w:rsidRPr="001B13A4">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_Toc181683375 \h </w:instrText>
        </w:r>
        <w:r>
          <w:rPr>
            <w:noProof/>
            <w:webHidden/>
          </w:rPr>
        </w:r>
        <w:r>
          <w:rPr>
            <w:noProof/>
            <w:webHidden/>
          </w:rPr>
          <w:fldChar w:fldCharType="separate"/>
        </w:r>
        <w:r>
          <w:rPr>
            <w:noProof/>
            <w:webHidden/>
          </w:rPr>
          <w:t>137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6" w:history="1">
        <w:r w:rsidRPr="001B13A4">
          <w:rPr>
            <w:rStyle w:val="Hyperlink"/>
            <w:noProof/>
          </w:rPr>
          <w:t>2.1.340</w:t>
        </w:r>
        <w:r>
          <w:rPr>
            <w:rFonts w:asciiTheme="minorHAnsi" w:eastAsiaTheme="minorEastAsia" w:hAnsiTheme="minorHAnsi" w:cstheme="minorBidi"/>
            <w:noProof/>
            <w:sz w:val="22"/>
            <w:szCs w:val="22"/>
          </w:rPr>
          <w:tab/>
        </w:r>
        <w:r w:rsidRPr="001B13A4">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_Toc181683376 \h </w:instrText>
        </w:r>
        <w:r>
          <w:rPr>
            <w:noProof/>
            <w:webHidden/>
          </w:rPr>
        </w:r>
        <w:r>
          <w:rPr>
            <w:noProof/>
            <w:webHidden/>
          </w:rPr>
          <w:fldChar w:fldCharType="separate"/>
        </w:r>
        <w:r>
          <w:rPr>
            <w:noProof/>
            <w:webHidden/>
          </w:rPr>
          <w:t>137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7" w:history="1">
        <w:r w:rsidRPr="001B13A4">
          <w:rPr>
            <w:rStyle w:val="Hyperlink"/>
            <w:noProof/>
          </w:rPr>
          <w:t>2.1.341</w:t>
        </w:r>
        <w:r>
          <w:rPr>
            <w:rFonts w:asciiTheme="minorHAnsi" w:eastAsiaTheme="minorEastAsia" w:hAnsiTheme="minorHAnsi" w:cstheme="minorBidi"/>
            <w:noProof/>
            <w:sz w:val="22"/>
            <w:szCs w:val="22"/>
          </w:rPr>
          <w:tab/>
        </w:r>
        <w:r w:rsidRPr="001B13A4">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_Toc181683377 \h </w:instrText>
        </w:r>
        <w:r>
          <w:rPr>
            <w:noProof/>
            <w:webHidden/>
          </w:rPr>
        </w:r>
        <w:r>
          <w:rPr>
            <w:noProof/>
            <w:webHidden/>
          </w:rPr>
          <w:fldChar w:fldCharType="separate"/>
        </w:r>
        <w:r>
          <w:rPr>
            <w:noProof/>
            <w:webHidden/>
          </w:rPr>
          <w:t>137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8" w:history="1">
        <w:r w:rsidRPr="001B13A4">
          <w:rPr>
            <w:rStyle w:val="Hyperlink"/>
            <w:noProof/>
          </w:rPr>
          <w:t>2.1.342</w:t>
        </w:r>
        <w:r>
          <w:rPr>
            <w:rFonts w:asciiTheme="minorHAnsi" w:eastAsiaTheme="minorEastAsia" w:hAnsiTheme="minorHAnsi" w:cstheme="minorBidi"/>
            <w:noProof/>
            <w:sz w:val="22"/>
            <w:szCs w:val="22"/>
          </w:rPr>
          <w:tab/>
        </w:r>
        <w:r w:rsidRPr="001B13A4">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_Toc181683378 \h </w:instrText>
        </w:r>
        <w:r>
          <w:rPr>
            <w:noProof/>
            <w:webHidden/>
          </w:rPr>
        </w:r>
        <w:r>
          <w:rPr>
            <w:noProof/>
            <w:webHidden/>
          </w:rPr>
          <w:fldChar w:fldCharType="separate"/>
        </w:r>
        <w:r>
          <w:rPr>
            <w:noProof/>
            <w:webHidden/>
          </w:rPr>
          <w:t>137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79" w:history="1">
        <w:r w:rsidRPr="001B13A4">
          <w:rPr>
            <w:rStyle w:val="Hyperlink"/>
            <w:noProof/>
          </w:rPr>
          <w:t>2.1.343</w:t>
        </w:r>
        <w:r>
          <w:rPr>
            <w:rFonts w:asciiTheme="minorHAnsi" w:eastAsiaTheme="minorEastAsia" w:hAnsiTheme="minorHAnsi" w:cstheme="minorBidi"/>
            <w:noProof/>
            <w:sz w:val="22"/>
            <w:szCs w:val="22"/>
          </w:rPr>
          <w:tab/>
        </w:r>
        <w:r w:rsidRPr="001B13A4">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_Toc181683379 \h </w:instrText>
        </w:r>
        <w:r>
          <w:rPr>
            <w:noProof/>
            <w:webHidden/>
          </w:rPr>
        </w:r>
        <w:r>
          <w:rPr>
            <w:noProof/>
            <w:webHidden/>
          </w:rPr>
          <w:fldChar w:fldCharType="separate"/>
        </w:r>
        <w:r>
          <w:rPr>
            <w:noProof/>
            <w:webHidden/>
          </w:rPr>
          <w:t>138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0" w:history="1">
        <w:r w:rsidRPr="001B13A4">
          <w:rPr>
            <w:rStyle w:val="Hyperlink"/>
            <w:noProof/>
          </w:rPr>
          <w:t>2.1.344</w:t>
        </w:r>
        <w:r>
          <w:rPr>
            <w:rFonts w:asciiTheme="minorHAnsi" w:eastAsiaTheme="minorEastAsia" w:hAnsiTheme="minorHAnsi" w:cstheme="minorBidi"/>
            <w:noProof/>
            <w:sz w:val="22"/>
            <w:szCs w:val="22"/>
          </w:rPr>
          <w:tab/>
        </w:r>
        <w:r w:rsidRPr="001B13A4">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_Toc181683380 \h </w:instrText>
        </w:r>
        <w:r>
          <w:rPr>
            <w:noProof/>
            <w:webHidden/>
          </w:rPr>
        </w:r>
        <w:r>
          <w:rPr>
            <w:noProof/>
            <w:webHidden/>
          </w:rPr>
          <w:fldChar w:fldCharType="separate"/>
        </w:r>
        <w:r>
          <w:rPr>
            <w:noProof/>
            <w:webHidden/>
          </w:rPr>
          <w:t>138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1" w:history="1">
        <w:r w:rsidRPr="001B13A4">
          <w:rPr>
            <w:rStyle w:val="Hyperlink"/>
            <w:noProof/>
          </w:rPr>
          <w:t>2.1.345</w:t>
        </w:r>
        <w:r>
          <w:rPr>
            <w:rFonts w:asciiTheme="minorHAnsi" w:eastAsiaTheme="minorEastAsia" w:hAnsiTheme="minorHAnsi" w:cstheme="minorBidi"/>
            <w:noProof/>
            <w:sz w:val="22"/>
            <w:szCs w:val="22"/>
          </w:rPr>
          <w:tab/>
        </w:r>
        <w:r w:rsidRPr="001B13A4">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_Toc181683381 \h </w:instrText>
        </w:r>
        <w:r>
          <w:rPr>
            <w:noProof/>
            <w:webHidden/>
          </w:rPr>
        </w:r>
        <w:r>
          <w:rPr>
            <w:noProof/>
            <w:webHidden/>
          </w:rPr>
          <w:fldChar w:fldCharType="separate"/>
        </w:r>
        <w:r>
          <w:rPr>
            <w:noProof/>
            <w:webHidden/>
          </w:rPr>
          <w:t>138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2" w:history="1">
        <w:r w:rsidRPr="001B13A4">
          <w:rPr>
            <w:rStyle w:val="Hyperlink"/>
            <w:noProof/>
          </w:rPr>
          <w:t>2.1.346</w:t>
        </w:r>
        <w:r>
          <w:rPr>
            <w:rFonts w:asciiTheme="minorHAnsi" w:eastAsiaTheme="minorEastAsia" w:hAnsiTheme="minorHAnsi" w:cstheme="minorBidi"/>
            <w:noProof/>
            <w:sz w:val="22"/>
            <w:szCs w:val="22"/>
          </w:rPr>
          <w:tab/>
        </w:r>
        <w:r w:rsidRPr="001B13A4">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_Toc181683382 \h </w:instrText>
        </w:r>
        <w:r>
          <w:rPr>
            <w:noProof/>
            <w:webHidden/>
          </w:rPr>
        </w:r>
        <w:r>
          <w:rPr>
            <w:noProof/>
            <w:webHidden/>
          </w:rPr>
          <w:fldChar w:fldCharType="separate"/>
        </w:r>
        <w:r>
          <w:rPr>
            <w:noProof/>
            <w:webHidden/>
          </w:rPr>
          <w:t>138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3" w:history="1">
        <w:r w:rsidRPr="001B13A4">
          <w:rPr>
            <w:rStyle w:val="Hyperlink"/>
            <w:noProof/>
          </w:rPr>
          <w:t>2.1.347</w:t>
        </w:r>
        <w:r>
          <w:rPr>
            <w:rFonts w:asciiTheme="minorHAnsi" w:eastAsiaTheme="minorEastAsia" w:hAnsiTheme="minorHAnsi" w:cstheme="minorBidi"/>
            <w:noProof/>
            <w:sz w:val="22"/>
            <w:szCs w:val="22"/>
          </w:rPr>
          <w:tab/>
        </w:r>
        <w:r w:rsidRPr="001B13A4">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_Toc181683383 \h </w:instrText>
        </w:r>
        <w:r>
          <w:rPr>
            <w:noProof/>
            <w:webHidden/>
          </w:rPr>
        </w:r>
        <w:r>
          <w:rPr>
            <w:noProof/>
            <w:webHidden/>
          </w:rPr>
          <w:fldChar w:fldCharType="separate"/>
        </w:r>
        <w:r>
          <w:rPr>
            <w:noProof/>
            <w:webHidden/>
          </w:rPr>
          <w:t>138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4" w:history="1">
        <w:r w:rsidRPr="001B13A4">
          <w:rPr>
            <w:rStyle w:val="Hyperlink"/>
            <w:noProof/>
          </w:rPr>
          <w:t>2.1.348</w:t>
        </w:r>
        <w:r>
          <w:rPr>
            <w:rFonts w:asciiTheme="minorHAnsi" w:eastAsiaTheme="minorEastAsia" w:hAnsiTheme="minorHAnsi" w:cstheme="minorBidi"/>
            <w:noProof/>
            <w:sz w:val="22"/>
            <w:szCs w:val="22"/>
          </w:rPr>
          <w:tab/>
        </w:r>
        <w:r w:rsidRPr="001B13A4">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_Toc181683384 \h </w:instrText>
        </w:r>
        <w:r>
          <w:rPr>
            <w:noProof/>
            <w:webHidden/>
          </w:rPr>
        </w:r>
        <w:r>
          <w:rPr>
            <w:noProof/>
            <w:webHidden/>
          </w:rPr>
          <w:fldChar w:fldCharType="separate"/>
        </w:r>
        <w:r>
          <w:rPr>
            <w:noProof/>
            <w:webHidden/>
          </w:rPr>
          <w:t>138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5" w:history="1">
        <w:r w:rsidRPr="001B13A4">
          <w:rPr>
            <w:rStyle w:val="Hyperlink"/>
            <w:noProof/>
          </w:rPr>
          <w:t>2.1.349</w:t>
        </w:r>
        <w:r>
          <w:rPr>
            <w:rFonts w:asciiTheme="minorHAnsi" w:eastAsiaTheme="minorEastAsia" w:hAnsiTheme="minorHAnsi" w:cstheme="minorBidi"/>
            <w:noProof/>
            <w:sz w:val="22"/>
            <w:szCs w:val="22"/>
          </w:rPr>
          <w:tab/>
        </w:r>
        <w:r w:rsidRPr="001B13A4">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_Toc181683385 \h </w:instrText>
        </w:r>
        <w:r>
          <w:rPr>
            <w:noProof/>
            <w:webHidden/>
          </w:rPr>
        </w:r>
        <w:r>
          <w:rPr>
            <w:noProof/>
            <w:webHidden/>
          </w:rPr>
          <w:fldChar w:fldCharType="separate"/>
        </w:r>
        <w:r>
          <w:rPr>
            <w:noProof/>
            <w:webHidden/>
          </w:rPr>
          <w:t>139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6" w:history="1">
        <w:r w:rsidRPr="001B13A4">
          <w:rPr>
            <w:rStyle w:val="Hyperlink"/>
            <w:noProof/>
          </w:rPr>
          <w:t>2.1.350</w:t>
        </w:r>
        <w:r>
          <w:rPr>
            <w:rFonts w:asciiTheme="minorHAnsi" w:eastAsiaTheme="minorEastAsia" w:hAnsiTheme="minorHAnsi" w:cstheme="minorBidi"/>
            <w:noProof/>
            <w:sz w:val="22"/>
            <w:szCs w:val="22"/>
          </w:rPr>
          <w:tab/>
        </w:r>
        <w:r w:rsidRPr="001B13A4">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_Toc181683386 \h </w:instrText>
        </w:r>
        <w:r>
          <w:rPr>
            <w:noProof/>
            <w:webHidden/>
          </w:rPr>
        </w:r>
        <w:r>
          <w:rPr>
            <w:noProof/>
            <w:webHidden/>
          </w:rPr>
          <w:fldChar w:fldCharType="separate"/>
        </w:r>
        <w:r>
          <w:rPr>
            <w:noProof/>
            <w:webHidden/>
          </w:rPr>
          <w:t>139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7" w:history="1">
        <w:r w:rsidRPr="001B13A4">
          <w:rPr>
            <w:rStyle w:val="Hyperlink"/>
            <w:noProof/>
          </w:rPr>
          <w:t>2.1.351</w:t>
        </w:r>
        <w:r>
          <w:rPr>
            <w:rFonts w:asciiTheme="minorHAnsi" w:eastAsiaTheme="minorEastAsia" w:hAnsiTheme="minorHAnsi" w:cstheme="minorBidi"/>
            <w:noProof/>
            <w:sz w:val="22"/>
            <w:szCs w:val="22"/>
          </w:rPr>
          <w:tab/>
        </w:r>
        <w:r w:rsidRPr="001B13A4">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_Toc181683387 \h </w:instrText>
        </w:r>
        <w:r>
          <w:rPr>
            <w:noProof/>
            <w:webHidden/>
          </w:rPr>
        </w:r>
        <w:r>
          <w:rPr>
            <w:noProof/>
            <w:webHidden/>
          </w:rPr>
          <w:fldChar w:fldCharType="separate"/>
        </w:r>
        <w:r>
          <w:rPr>
            <w:noProof/>
            <w:webHidden/>
          </w:rPr>
          <w:t>139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8" w:history="1">
        <w:r w:rsidRPr="001B13A4">
          <w:rPr>
            <w:rStyle w:val="Hyperlink"/>
            <w:noProof/>
          </w:rPr>
          <w:t>2.1.352</w:t>
        </w:r>
        <w:r>
          <w:rPr>
            <w:rFonts w:asciiTheme="minorHAnsi" w:eastAsiaTheme="minorEastAsia" w:hAnsiTheme="minorHAnsi" w:cstheme="minorBidi"/>
            <w:noProof/>
            <w:sz w:val="22"/>
            <w:szCs w:val="22"/>
          </w:rPr>
          <w:tab/>
        </w:r>
        <w:r w:rsidRPr="001B13A4">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_Toc181683388 \h </w:instrText>
        </w:r>
        <w:r>
          <w:rPr>
            <w:noProof/>
            <w:webHidden/>
          </w:rPr>
        </w:r>
        <w:r>
          <w:rPr>
            <w:noProof/>
            <w:webHidden/>
          </w:rPr>
          <w:fldChar w:fldCharType="separate"/>
        </w:r>
        <w:r>
          <w:rPr>
            <w:noProof/>
            <w:webHidden/>
          </w:rPr>
          <w:t>139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89" w:history="1">
        <w:r w:rsidRPr="001B13A4">
          <w:rPr>
            <w:rStyle w:val="Hyperlink"/>
            <w:noProof/>
          </w:rPr>
          <w:t>2.1.353</w:t>
        </w:r>
        <w:r>
          <w:rPr>
            <w:rFonts w:asciiTheme="minorHAnsi" w:eastAsiaTheme="minorEastAsia" w:hAnsiTheme="minorHAnsi" w:cstheme="minorBidi"/>
            <w:noProof/>
            <w:sz w:val="22"/>
            <w:szCs w:val="22"/>
          </w:rPr>
          <w:tab/>
        </w:r>
        <w:r w:rsidRPr="001B13A4">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_Toc181683389 \h </w:instrText>
        </w:r>
        <w:r>
          <w:rPr>
            <w:noProof/>
            <w:webHidden/>
          </w:rPr>
        </w:r>
        <w:r>
          <w:rPr>
            <w:noProof/>
            <w:webHidden/>
          </w:rPr>
          <w:fldChar w:fldCharType="separate"/>
        </w:r>
        <w:r>
          <w:rPr>
            <w:noProof/>
            <w:webHidden/>
          </w:rPr>
          <w:t>139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0" w:history="1">
        <w:r w:rsidRPr="001B13A4">
          <w:rPr>
            <w:rStyle w:val="Hyperlink"/>
            <w:noProof/>
          </w:rPr>
          <w:t>2.1.354</w:t>
        </w:r>
        <w:r>
          <w:rPr>
            <w:rFonts w:asciiTheme="minorHAnsi" w:eastAsiaTheme="minorEastAsia" w:hAnsiTheme="minorHAnsi" w:cstheme="minorBidi"/>
            <w:noProof/>
            <w:sz w:val="22"/>
            <w:szCs w:val="22"/>
          </w:rPr>
          <w:tab/>
        </w:r>
        <w:r w:rsidRPr="001B13A4">
          <w:rPr>
            <w:rStyle w:val="Hyperlink"/>
            <w:noProof/>
          </w:rPr>
          <w:t>Part 1 Section 17.13.6, Bookmarks</w:t>
        </w:r>
        <w:r>
          <w:rPr>
            <w:noProof/>
            <w:webHidden/>
          </w:rPr>
          <w:tab/>
        </w:r>
        <w:r>
          <w:rPr>
            <w:noProof/>
            <w:webHidden/>
          </w:rPr>
          <w:fldChar w:fldCharType="begin"/>
        </w:r>
        <w:r>
          <w:rPr>
            <w:noProof/>
            <w:webHidden/>
          </w:rPr>
          <w:instrText xml:space="preserve"> PAGEREF _Toc181683390 \h </w:instrText>
        </w:r>
        <w:r>
          <w:rPr>
            <w:noProof/>
            <w:webHidden/>
          </w:rPr>
        </w:r>
        <w:r>
          <w:rPr>
            <w:noProof/>
            <w:webHidden/>
          </w:rPr>
          <w:fldChar w:fldCharType="separate"/>
        </w:r>
        <w:r>
          <w:rPr>
            <w:noProof/>
            <w:webHidden/>
          </w:rPr>
          <w:t>139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1" w:history="1">
        <w:r w:rsidRPr="001B13A4">
          <w:rPr>
            <w:rStyle w:val="Hyperlink"/>
            <w:noProof/>
          </w:rPr>
          <w:t>2.1.355</w:t>
        </w:r>
        <w:r>
          <w:rPr>
            <w:rFonts w:asciiTheme="minorHAnsi" w:eastAsiaTheme="minorEastAsia" w:hAnsiTheme="minorHAnsi" w:cstheme="minorBidi"/>
            <w:noProof/>
            <w:sz w:val="22"/>
            <w:szCs w:val="22"/>
          </w:rPr>
          <w:tab/>
        </w:r>
        <w:r w:rsidRPr="001B13A4">
          <w:rPr>
            <w:rStyle w:val="Hyperlink"/>
            <w:noProof/>
          </w:rPr>
          <w:t>Part 1 Section 17.13.6.1, bookmarkEnd (Bookmark End)</w:t>
        </w:r>
        <w:r>
          <w:rPr>
            <w:noProof/>
            <w:webHidden/>
          </w:rPr>
          <w:tab/>
        </w:r>
        <w:r>
          <w:rPr>
            <w:noProof/>
            <w:webHidden/>
          </w:rPr>
          <w:fldChar w:fldCharType="begin"/>
        </w:r>
        <w:r>
          <w:rPr>
            <w:noProof/>
            <w:webHidden/>
          </w:rPr>
          <w:instrText xml:space="preserve"> PAGEREF _Toc181683391 \h </w:instrText>
        </w:r>
        <w:r>
          <w:rPr>
            <w:noProof/>
            <w:webHidden/>
          </w:rPr>
        </w:r>
        <w:r>
          <w:rPr>
            <w:noProof/>
            <w:webHidden/>
          </w:rPr>
          <w:fldChar w:fldCharType="separate"/>
        </w:r>
        <w:r>
          <w:rPr>
            <w:noProof/>
            <w:webHidden/>
          </w:rPr>
          <w:t>139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2" w:history="1">
        <w:r w:rsidRPr="001B13A4">
          <w:rPr>
            <w:rStyle w:val="Hyperlink"/>
            <w:noProof/>
          </w:rPr>
          <w:t>2.1.356</w:t>
        </w:r>
        <w:r>
          <w:rPr>
            <w:rFonts w:asciiTheme="minorHAnsi" w:eastAsiaTheme="minorEastAsia" w:hAnsiTheme="minorHAnsi" w:cstheme="minorBidi"/>
            <w:noProof/>
            <w:sz w:val="22"/>
            <w:szCs w:val="22"/>
          </w:rPr>
          <w:tab/>
        </w:r>
        <w:r w:rsidRPr="001B13A4">
          <w:rPr>
            <w:rStyle w:val="Hyperlink"/>
            <w:noProof/>
          </w:rPr>
          <w:t>Part 1 Section 17.13.6.2, bookmarkStart (Bookmark Start)</w:t>
        </w:r>
        <w:r>
          <w:rPr>
            <w:noProof/>
            <w:webHidden/>
          </w:rPr>
          <w:tab/>
        </w:r>
        <w:r>
          <w:rPr>
            <w:noProof/>
            <w:webHidden/>
          </w:rPr>
          <w:fldChar w:fldCharType="begin"/>
        </w:r>
        <w:r>
          <w:rPr>
            <w:noProof/>
            <w:webHidden/>
          </w:rPr>
          <w:instrText xml:space="preserve"> PAGEREF _Toc181683392 \h </w:instrText>
        </w:r>
        <w:r>
          <w:rPr>
            <w:noProof/>
            <w:webHidden/>
          </w:rPr>
        </w:r>
        <w:r>
          <w:rPr>
            <w:noProof/>
            <w:webHidden/>
          </w:rPr>
          <w:fldChar w:fldCharType="separate"/>
        </w:r>
        <w:r>
          <w:rPr>
            <w:noProof/>
            <w:webHidden/>
          </w:rPr>
          <w:t>140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3" w:history="1">
        <w:r w:rsidRPr="001B13A4">
          <w:rPr>
            <w:rStyle w:val="Hyperlink"/>
            <w:noProof/>
          </w:rPr>
          <w:t>2.1.357</w:t>
        </w:r>
        <w:r>
          <w:rPr>
            <w:rFonts w:asciiTheme="minorHAnsi" w:eastAsiaTheme="minorEastAsia" w:hAnsiTheme="minorHAnsi" w:cstheme="minorBidi"/>
            <w:noProof/>
            <w:sz w:val="22"/>
            <w:szCs w:val="22"/>
          </w:rPr>
          <w:tab/>
        </w:r>
        <w:r w:rsidRPr="001B13A4">
          <w:rPr>
            <w:rStyle w:val="Hyperlink"/>
            <w:noProof/>
          </w:rPr>
          <w:t>Part 1 Section 17.13.7.1, permEnd (Range Permission End)</w:t>
        </w:r>
        <w:r>
          <w:rPr>
            <w:noProof/>
            <w:webHidden/>
          </w:rPr>
          <w:tab/>
        </w:r>
        <w:r>
          <w:rPr>
            <w:noProof/>
            <w:webHidden/>
          </w:rPr>
          <w:fldChar w:fldCharType="begin"/>
        </w:r>
        <w:r>
          <w:rPr>
            <w:noProof/>
            <w:webHidden/>
          </w:rPr>
          <w:instrText xml:space="preserve"> PAGEREF _Toc181683393 \h </w:instrText>
        </w:r>
        <w:r>
          <w:rPr>
            <w:noProof/>
            <w:webHidden/>
          </w:rPr>
        </w:r>
        <w:r>
          <w:rPr>
            <w:noProof/>
            <w:webHidden/>
          </w:rPr>
          <w:fldChar w:fldCharType="separate"/>
        </w:r>
        <w:r>
          <w:rPr>
            <w:noProof/>
            <w:webHidden/>
          </w:rPr>
          <w:t>140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4" w:history="1">
        <w:r w:rsidRPr="001B13A4">
          <w:rPr>
            <w:rStyle w:val="Hyperlink"/>
            <w:noProof/>
          </w:rPr>
          <w:t>2.1.358</w:t>
        </w:r>
        <w:r>
          <w:rPr>
            <w:rFonts w:asciiTheme="minorHAnsi" w:eastAsiaTheme="minorEastAsia" w:hAnsiTheme="minorHAnsi" w:cstheme="minorBidi"/>
            <w:noProof/>
            <w:sz w:val="22"/>
            <w:szCs w:val="22"/>
          </w:rPr>
          <w:tab/>
        </w:r>
        <w:r w:rsidRPr="001B13A4">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_Toc181683394 \h </w:instrText>
        </w:r>
        <w:r>
          <w:rPr>
            <w:noProof/>
            <w:webHidden/>
          </w:rPr>
        </w:r>
        <w:r>
          <w:rPr>
            <w:noProof/>
            <w:webHidden/>
          </w:rPr>
          <w:fldChar w:fldCharType="separate"/>
        </w:r>
        <w:r>
          <w:rPr>
            <w:noProof/>
            <w:webHidden/>
          </w:rPr>
          <w:t>140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5" w:history="1">
        <w:r w:rsidRPr="001B13A4">
          <w:rPr>
            <w:rStyle w:val="Hyperlink"/>
            <w:noProof/>
          </w:rPr>
          <w:t>2.1.359</w:t>
        </w:r>
        <w:r>
          <w:rPr>
            <w:rFonts w:asciiTheme="minorHAnsi" w:eastAsiaTheme="minorEastAsia" w:hAnsiTheme="minorHAnsi" w:cstheme="minorBidi"/>
            <w:noProof/>
            <w:sz w:val="22"/>
            <w:szCs w:val="22"/>
          </w:rPr>
          <w:tab/>
        </w:r>
        <w:r w:rsidRPr="001B13A4">
          <w:rPr>
            <w:rStyle w:val="Hyperlink"/>
            <w:noProof/>
          </w:rPr>
          <w:t>Part 1 Section 17.14, Mail Merge</w:t>
        </w:r>
        <w:r>
          <w:rPr>
            <w:noProof/>
            <w:webHidden/>
          </w:rPr>
          <w:tab/>
        </w:r>
        <w:r>
          <w:rPr>
            <w:noProof/>
            <w:webHidden/>
          </w:rPr>
          <w:fldChar w:fldCharType="begin"/>
        </w:r>
        <w:r>
          <w:rPr>
            <w:noProof/>
            <w:webHidden/>
          </w:rPr>
          <w:instrText xml:space="preserve"> PAGEREF _Toc181683395 \h </w:instrText>
        </w:r>
        <w:r>
          <w:rPr>
            <w:noProof/>
            <w:webHidden/>
          </w:rPr>
        </w:r>
        <w:r>
          <w:rPr>
            <w:noProof/>
            <w:webHidden/>
          </w:rPr>
          <w:fldChar w:fldCharType="separate"/>
        </w:r>
        <w:r>
          <w:rPr>
            <w:noProof/>
            <w:webHidden/>
          </w:rPr>
          <w:t>141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6" w:history="1">
        <w:r w:rsidRPr="001B13A4">
          <w:rPr>
            <w:rStyle w:val="Hyperlink"/>
            <w:noProof/>
          </w:rPr>
          <w:t>2.1.360</w:t>
        </w:r>
        <w:r>
          <w:rPr>
            <w:rFonts w:asciiTheme="minorHAnsi" w:eastAsiaTheme="minorEastAsia" w:hAnsiTheme="minorHAnsi" w:cstheme="minorBidi"/>
            <w:noProof/>
            <w:sz w:val="22"/>
            <w:szCs w:val="22"/>
          </w:rPr>
          <w:tab/>
        </w:r>
        <w:r w:rsidRPr="001B13A4">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_Toc181683396 \h </w:instrText>
        </w:r>
        <w:r>
          <w:rPr>
            <w:noProof/>
            <w:webHidden/>
          </w:rPr>
        </w:r>
        <w:r>
          <w:rPr>
            <w:noProof/>
            <w:webHidden/>
          </w:rPr>
          <w:fldChar w:fldCharType="separate"/>
        </w:r>
        <w:r>
          <w:rPr>
            <w:noProof/>
            <w:webHidden/>
          </w:rPr>
          <w:t>141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7" w:history="1">
        <w:r w:rsidRPr="001B13A4">
          <w:rPr>
            <w:rStyle w:val="Hyperlink"/>
            <w:noProof/>
          </w:rPr>
          <w:t>2.1.361</w:t>
        </w:r>
        <w:r>
          <w:rPr>
            <w:rFonts w:asciiTheme="minorHAnsi" w:eastAsiaTheme="minorEastAsia" w:hAnsiTheme="minorHAnsi" w:cstheme="minorBidi"/>
            <w:noProof/>
            <w:sz w:val="22"/>
            <w:szCs w:val="22"/>
          </w:rPr>
          <w:tab/>
        </w:r>
        <w:r w:rsidRPr="001B13A4">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_Toc181683397 \h </w:instrText>
        </w:r>
        <w:r>
          <w:rPr>
            <w:noProof/>
            <w:webHidden/>
          </w:rPr>
        </w:r>
        <w:r>
          <w:rPr>
            <w:noProof/>
            <w:webHidden/>
          </w:rPr>
          <w:fldChar w:fldCharType="separate"/>
        </w:r>
        <w:r>
          <w:rPr>
            <w:noProof/>
            <w:webHidden/>
          </w:rPr>
          <w:t>141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8" w:history="1">
        <w:r w:rsidRPr="001B13A4">
          <w:rPr>
            <w:rStyle w:val="Hyperlink"/>
            <w:noProof/>
          </w:rPr>
          <w:t>2.1.362</w:t>
        </w:r>
        <w:r>
          <w:rPr>
            <w:rFonts w:asciiTheme="minorHAnsi" w:eastAsiaTheme="minorEastAsia" w:hAnsiTheme="minorHAnsi" w:cstheme="minorBidi"/>
            <w:noProof/>
            <w:sz w:val="22"/>
            <w:szCs w:val="22"/>
          </w:rPr>
          <w:tab/>
        </w:r>
        <w:r w:rsidRPr="001B13A4">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_Toc181683398 \h </w:instrText>
        </w:r>
        <w:r>
          <w:rPr>
            <w:noProof/>
            <w:webHidden/>
          </w:rPr>
        </w:r>
        <w:r>
          <w:rPr>
            <w:noProof/>
            <w:webHidden/>
          </w:rPr>
          <w:fldChar w:fldCharType="separate"/>
        </w:r>
        <w:r>
          <w:rPr>
            <w:noProof/>
            <w:webHidden/>
          </w:rPr>
          <w:t>141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399" w:history="1">
        <w:r w:rsidRPr="001B13A4">
          <w:rPr>
            <w:rStyle w:val="Hyperlink"/>
            <w:noProof/>
          </w:rPr>
          <w:t>2.1.363</w:t>
        </w:r>
        <w:r>
          <w:rPr>
            <w:rFonts w:asciiTheme="minorHAnsi" w:eastAsiaTheme="minorEastAsia" w:hAnsiTheme="minorHAnsi" w:cstheme="minorBidi"/>
            <w:noProof/>
            <w:sz w:val="22"/>
            <w:szCs w:val="22"/>
          </w:rPr>
          <w:tab/>
        </w:r>
        <w:r w:rsidRPr="001B13A4">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_Toc181683399 \h </w:instrText>
        </w:r>
        <w:r>
          <w:rPr>
            <w:noProof/>
            <w:webHidden/>
          </w:rPr>
        </w:r>
        <w:r>
          <w:rPr>
            <w:noProof/>
            <w:webHidden/>
          </w:rPr>
          <w:fldChar w:fldCharType="separate"/>
        </w:r>
        <w:r>
          <w:rPr>
            <w:noProof/>
            <w:webHidden/>
          </w:rPr>
          <w:t>141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0" w:history="1">
        <w:r w:rsidRPr="001B13A4">
          <w:rPr>
            <w:rStyle w:val="Hyperlink"/>
            <w:noProof/>
          </w:rPr>
          <w:t>2.1.364</w:t>
        </w:r>
        <w:r>
          <w:rPr>
            <w:rFonts w:asciiTheme="minorHAnsi" w:eastAsiaTheme="minorEastAsia" w:hAnsiTheme="minorHAnsi" w:cstheme="minorBidi"/>
            <w:noProof/>
            <w:sz w:val="22"/>
            <w:szCs w:val="22"/>
          </w:rPr>
          <w:tab/>
        </w:r>
        <w:r w:rsidRPr="001B13A4">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_Toc181683400 \h </w:instrText>
        </w:r>
        <w:r>
          <w:rPr>
            <w:noProof/>
            <w:webHidden/>
          </w:rPr>
        </w:r>
        <w:r>
          <w:rPr>
            <w:noProof/>
            <w:webHidden/>
          </w:rPr>
          <w:fldChar w:fldCharType="separate"/>
        </w:r>
        <w:r>
          <w:rPr>
            <w:noProof/>
            <w:webHidden/>
          </w:rPr>
          <w:t>142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1" w:history="1">
        <w:r w:rsidRPr="001B13A4">
          <w:rPr>
            <w:rStyle w:val="Hyperlink"/>
            <w:noProof/>
          </w:rPr>
          <w:t>2.1.365</w:t>
        </w:r>
        <w:r>
          <w:rPr>
            <w:rFonts w:asciiTheme="minorHAnsi" w:eastAsiaTheme="minorEastAsia" w:hAnsiTheme="minorHAnsi" w:cstheme="minorBidi"/>
            <w:noProof/>
            <w:sz w:val="22"/>
            <w:szCs w:val="22"/>
          </w:rPr>
          <w:tab/>
        </w:r>
        <w:r w:rsidRPr="001B13A4">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_Toc181683401 \h </w:instrText>
        </w:r>
        <w:r>
          <w:rPr>
            <w:noProof/>
            <w:webHidden/>
          </w:rPr>
        </w:r>
        <w:r>
          <w:rPr>
            <w:noProof/>
            <w:webHidden/>
          </w:rPr>
          <w:fldChar w:fldCharType="separate"/>
        </w:r>
        <w:r>
          <w:rPr>
            <w:noProof/>
            <w:webHidden/>
          </w:rPr>
          <w:t>142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2" w:history="1">
        <w:r w:rsidRPr="001B13A4">
          <w:rPr>
            <w:rStyle w:val="Hyperlink"/>
            <w:noProof/>
          </w:rPr>
          <w:t>2.1.366</w:t>
        </w:r>
        <w:r>
          <w:rPr>
            <w:rFonts w:asciiTheme="minorHAnsi" w:eastAsiaTheme="minorEastAsia" w:hAnsiTheme="minorHAnsi" w:cstheme="minorBidi"/>
            <w:noProof/>
            <w:sz w:val="22"/>
            <w:szCs w:val="22"/>
          </w:rPr>
          <w:tab/>
        </w:r>
        <w:r w:rsidRPr="001B13A4">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_Toc181683402 \h </w:instrText>
        </w:r>
        <w:r>
          <w:rPr>
            <w:noProof/>
            <w:webHidden/>
          </w:rPr>
        </w:r>
        <w:r>
          <w:rPr>
            <w:noProof/>
            <w:webHidden/>
          </w:rPr>
          <w:fldChar w:fldCharType="separate"/>
        </w:r>
        <w:r>
          <w:rPr>
            <w:noProof/>
            <w:webHidden/>
          </w:rPr>
          <w:t>142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3" w:history="1">
        <w:r w:rsidRPr="001B13A4">
          <w:rPr>
            <w:rStyle w:val="Hyperlink"/>
            <w:noProof/>
          </w:rPr>
          <w:t>2.1.367</w:t>
        </w:r>
        <w:r>
          <w:rPr>
            <w:rFonts w:asciiTheme="minorHAnsi" w:eastAsiaTheme="minorEastAsia" w:hAnsiTheme="minorHAnsi" w:cstheme="minorBidi"/>
            <w:noProof/>
            <w:sz w:val="22"/>
            <w:szCs w:val="22"/>
          </w:rPr>
          <w:tab/>
        </w:r>
        <w:r w:rsidRPr="001B13A4">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_Toc181683403 \h </w:instrText>
        </w:r>
        <w:r>
          <w:rPr>
            <w:noProof/>
            <w:webHidden/>
          </w:rPr>
        </w:r>
        <w:r>
          <w:rPr>
            <w:noProof/>
            <w:webHidden/>
          </w:rPr>
          <w:fldChar w:fldCharType="separate"/>
        </w:r>
        <w:r>
          <w:rPr>
            <w:noProof/>
            <w:webHidden/>
          </w:rPr>
          <w:t>142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4" w:history="1">
        <w:r w:rsidRPr="001B13A4">
          <w:rPr>
            <w:rStyle w:val="Hyperlink"/>
            <w:noProof/>
          </w:rPr>
          <w:t>2.1.368</w:t>
        </w:r>
        <w:r>
          <w:rPr>
            <w:rFonts w:asciiTheme="minorHAnsi" w:eastAsiaTheme="minorEastAsia" w:hAnsiTheme="minorHAnsi" w:cstheme="minorBidi"/>
            <w:noProof/>
            <w:sz w:val="22"/>
            <w:szCs w:val="22"/>
          </w:rPr>
          <w:tab/>
        </w:r>
        <w:r w:rsidRPr="001B13A4">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_Toc181683404 \h </w:instrText>
        </w:r>
        <w:r>
          <w:rPr>
            <w:noProof/>
            <w:webHidden/>
          </w:rPr>
        </w:r>
        <w:r>
          <w:rPr>
            <w:noProof/>
            <w:webHidden/>
          </w:rPr>
          <w:fldChar w:fldCharType="separate"/>
        </w:r>
        <w:r>
          <w:rPr>
            <w:noProof/>
            <w:webHidden/>
          </w:rPr>
          <w:t>142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5" w:history="1">
        <w:r w:rsidRPr="001B13A4">
          <w:rPr>
            <w:rStyle w:val="Hyperlink"/>
            <w:noProof/>
          </w:rPr>
          <w:t>2.1.369</w:t>
        </w:r>
        <w:r>
          <w:rPr>
            <w:rFonts w:asciiTheme="minorHAnsi" w:eastAsiaTheme="minorEastAsia" w:hAnsiTheme="minorHAnsi" w:cstheme="minorBidi"/>
            <w:noProof/>
            <w:sz w:val="22"/>
            <w:szCs w:val="22"/>
          </w:rPr>
          <w:tab/>
        </w:r>
        <w:r w:rsidRPr="001B13A4">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_Toc181683405 \h </w:instrText>
        </w:r>
        <w:r>
          <w:rPr>
            <w:noProof/>
            <w:webHidden/>
          </w:rPr>
        </w:r>
        <w:r>
          <w:rPr>
            <w:noProof/>
            <w:webHidden/>
          </w:rPr>
          <w:fldChar w:fldCharType="separate"/>
        </w:r>
        <w:r>
          <w:rPr>
            <w:noProof/>
            <w:webHidden/>
          </w:rPr>
          <w:t>142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6" w:history="1">
        <w:r w:rsidRPr="001B13A4">
          <w:rPr>
            <w:rStyle w:val="Hyperlink"/>
            <w:noProof/>
          </w:rPr>
          <w:t>2.1.370</w:t>
        </w:r>
        <w:r>
          <w:rPr>
            <w:rFonts w:asciiTheme="minorHAnsi" w:eastAsiaTheme="minorEastAsia" w:hAnsiTheme="minorHAnsi" w:cstheme="minorBidi"/>
            <w:noProof/>
            <w:sz w:val="22"/>
            <w:szCs w:val="22"/>
          </w:rPr>
          <w:tab/>
        </w:r>
        <w:r w:rsidRPr="001B13A4">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_Toc181683406 \h </w:instrText>
        </w:r>
        <w:r>
          <w:rPr>
            <w:noProof/>
            <w:webHidden/>
          </w:rPr>
        </w:r>
        <w:r>
          <w:rPr>
            <w:noProof/>
            <w:webHidden/>
          </w:rPr>
          <w:fldChar w:fldCharType="separate"/>
        </w:r>
        <w:r>
          <w:rPr>
            <w:noProof/>
            <w:webHidden/>
          </w:rPr>
          <w:t>143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7" w:history="1">
        <w:r w:rsidRPr="001B13A4">
          <w:rPr>
            <w:rStyle w:val="Hyperlink"/>
            <w:noProof/>
          </w:rPr>
          <w:t>2.1.371</w:t>
        </w:r>
        <w:r>
          <w:rPr>
            <w:rFonts w:asciiTheme="minorHAnsi" w:eastAsiaTheme="minorEastAsia" w:hAnsiTheme="minorHAnsi" w:cstheme="minorBidi"/>
            <w:noProof/>
            <w:sz w:val="22"/>
            <w:szCs w:val="22"/>
          </w:rPr>
          <w:tab/>
        </w:r>
        <w:r w:rsidRPr="001B13A4">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_Toc181683407 \h </w:instrText>
        </w:r>
        <w:r>
          <w:rPr>
            <w:noProof/>
            <w:webHidden/>
          </w:rPr>
        </w:r>
        <w:r>
          <w:rPr>
            <w:noProof/>
            <w:webHidden/>
          </w:rPr>
          <w:fldChar w:fldCharType="separate"/>
        </w:r>
        <w:r>
          <w:rPr>
            <w:noProof/>
            <w:webHidden/>
          </w:rPr>
          <w:t>144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8" w:history="1">
        <w:r w:rsidRPr="001B13A4">
          <w:rPr>
            <w:rStyle w:val="Hyperlink"/>
            <w:noProof/>
          </w:rPr>
          <w:t>2.1.372</w:t>
        </w:r>
        <w:r>
          <w:rPr>
            <w:rFonts w:asciiTheme="minorHAnsi" w:eastAsiaTheme="minorEastAsia" w:hAnsiTheme="minorHAnsi" w:cstheme="minorBidi"/>
            <w:noProof/>
            <w:sz w:val="22"/>
            <w:szCs w:val="22"/>
          </w:rPr>
          <w:tab/>
        </w:r>
        <w:r w:rsidRPr="001B13A4">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_Toc181683408 \h </w:instrText>
        </w:r>
        <w:r>
          <w:rPr>
            <w:noProof/>
            <w:webHidden/>
          </w:rPr>
        </w:r>
        <w:r>
          <w:rPr>
            <w:noProof/>
            <w:webHidden/>
          </w:rPr>
          <w:fldChar w:fldCharType="separate"/>
        </w:r>
        <w:r>
          <w:rPr>
            <w:noProof/>
            <w:webHidden/>
          </w:rPr>
          <w:t>144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09" w:history="1">
        <w:r w:rsidRPr="001B13A4">
          <w:rPr>
            <w:rStyle w:val="Hyperlink"/>
            <w:noProof/>
          </w:rPr>
          <w:t>2.1.373</w:t>
        </w:r>
        <w:r>
          <w:rPr>
            <w:rFonts w:asciiTheme="minorHAnsi" w:eastAsiaTheme="minorEastAsia" w:hAnsiTheme="minorHAnsi" w:cstheme="minorBidi"/>
            <w:noProof/>
            <w:sz w:val="22"/>
            <w:szCs w:val="22"/>
          </w:rPr>
          <w:tab/>
        </w:r>
        <w:r w:rsidRPr="001B13A4">
          <w:rPr>
            <w:rStyle w:val="Hyperlink"/>
            <w:noProof/>
          </w:rPr>
          <w:t>Part 1 Section 17.14.20, mailMerge (Mail Merge Settings)</w:t>
        </w:r>
        <w:r>
          <w:rPr>
            <w:noProof/>
            <w:webHidden/>
          </w:rPr>
          <w:tab/>
        </w:r>
        <w:r>
          <w:rPr>
            <w:noProof/>
            <w:webHidden/>
          </w:rPr>
          <w:fldChar w:fldCharType="begin"/>
        </w:r>
        <w:r>
          <w:rPr>
            <w:noProof/>
            <w:webHidden/>
          </w:rPr>
          <w:instrText xml:space="preserve"> PAGEREF _Toc181683409 \h </w:instrText>
        </w:r>
        <w:r>
          <w:rPr>
            <w:noProof/>
            <w:webHidden/>
          </w:rPr>
        </w:r>
        <w:r>
          <w:rPr>
            <w:noProof/>
            <w:webHidden/>
          </w:rPr>
          <w:fldChar w:fldCharType="separate"/>
        </w:r>
        <w:r>
          <w:rPr>
            <w:noProof/>
            <w:webHidden/>
          </w:rPr>
          <w:t>144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0" w:history="1">
        <w:r w:rsidRPr="001B13A4">
          <w:rPr>
            <w:rStyle w:val="Hyperlink"/>
            <w:noProof/>
          </w:rPr>
          <w:t>2.1.374</w:t>
        </w:r>
        <w:r>
          <w:rPr>
            <w:rFonts w:asciiTheme="minorHAnsi" w:eastAsiaTheme="minorEastAsia" w:hAnsiTheme="minorHAnsi" w:cstheme="minorBidi"/>
            <w:noProof/>
            <w:sz w:val="22"/>
            <w:szCs w:val="22"/>
          </w:rPr>
          <w:tab/>
        </w:r>
        <w:r w:rsidRPr="001B13A4">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_Toc181683410 \h </w:instrText>
        </w:r>
        <w:r>
          <w:rPr>
            <w:noProof/>
            <w:webHidden/>
          </w:rPr>
        </w:r>
        <w:r>
          <w:rPr>
            <w:noProof/>
            <w:webHidden/>
          </w:rPr>
          <w:fldChar w:fldCharType="separate"/>
        </w:r>
        <w:r>
          <w:rPr>
            <w:noProof/>
            <w:webHidden/>
          </w:rPr>
          <w:t>144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1" w:history="1">
        <w:r w:rsidRPr="001B13A4">
          <w:rPr>
            <w:rStyle w:val="Hyperlink"/>
            <w:noProof/>
          </w:rPr>
          <w:t>2.1.375</w:t>
        </w:r>
        <w:r>
          <w:rPr>
            <w:rFonts w:asciiTheme="minorHAnsi" w:eastAsiaTheme="minorEastAsia" w:hAnsiTheme="minorHAnsi" w:cstheme="minorBidi"/>
            <w:noProof/>
            <w:sz w:val="22"/>
            <w:szCs w:val="22"/>
          </w:rPr>
          <w:tab/>
        </w:r>
        <w:r w:rsidRPr="001B13A4">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_Toc181683411 \h </w:instrText>
        </w:r>
        <w:r>
          <w:rPr>
            <w:noProof/>
            <w:webHidden/>
          </w:rPr>
        </w:r>
        <w:r>
          <w:rPr>
            <w:noProof/>
            <w:webHidden/>
          </w:rPr>
          <w:fldChar w:fldCharType="separate"/>
        </w:r>
        <w:r>
          <w:rPr>
            <w:noProof/>
            <w:webHidden/>
          </w:rPr>
          <w:t>144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2" w:history="1">
        <w:r w:rsidRPr="001B13A4">
          <w:rPr>
            <w:rStyle w:val="Hyperlink"/>
            <w:noProof/>
          </w:rPr>
          <w:t>2.1.376</w:t>
        </w:r>
        <w:r>
          <w:rPr>
            <w:rFonts w:asciiTheme="minorHAnsi" w:eastAsiaTheme="minorEastAsia" w:hAnsiTheme="minorHAnsi" w:cstheme="minorBidi"/>
            <w:noProof/>
            <w:sz w:val="22"/>
            <w:szCs w:val="22"/>
          </w:rPr>
          <w:tab/>
        </w:r>
        <w:r w:rsidRPr="001B13A4">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_Toc181683412 \h </w:instrText>
        </w:r>
        <w:r>
          <w:rPr>
            <w:noProof/>
            <w:webHidden/>
          </w:rPr>
        </w:r>
        <w:r>
          <w:rPr>
            <w:noProof/>
            <w:webHidden/>
          </w:rPr>
          <w:fldChar w:fldCharType="separate"/>
        </w:r>
        <w:r>
          <w:rPr>
            <w:noProof/>
            <w:webHidden/>
          </w:rPr>
          <w:t>144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3" w:history="1">
        <w:r w:rsidRPr="001B13A4">
          <w:rPr>
            <w:rStyle w:val="Hyperlink"/>
            <w:noProof/>
          </w:rPr>
          <w:t>2.1.377</w:t>
        </w:r>
        <w:r>
          <w:rPr>
            <w:rFonts w:asciiTheme="minorHAnsi" w:eastAsiaTheme="minorEastAsia" w:hAnsiTheme="minorHAnsi" w:cstheme="minorBidi"/>
            <w:noProof/>
            <w:sz w:val="22"/>
            <w:szCs w:val="22"/>
          </w:rPr>
          <w:tab/>
        </w:r>
        <w:r w:rsidRPr="001B13A4">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_Toc181683413 \h </w:instrText>
        </w:r>
        <w:r>
          <w:rPr>
            <w:noProof/>
            <w:webHidden/>
          </w:rPr>
        </w:r>
        <w:r>
          <w:rPr>
            <w:noProof/>
            <w:webHidden/>
          </w:rPr>
          <w:fldChar w:fldCharType="separate"/>
        </w:r>
        <w:r>
          <w:rPr>
            <w:noProof/>
            <w:webHidden/>
          </w:rPr>
          <w:t>145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4" w:history="1">
        <w:r w:rsidRPr="001B13A4">
          <w:rPr>
            <w:rStyle w:val="Hyperlink"/>
            <w:noProof/>
          </w:rPr>
          <w:t>2.1.378</w:t>
        </w:r>
        <w:r>
          <w:rPr>
            <w:rFonts w:asciiTheme="minorHAnsi" w:eastAsiaTheme="minorEastAsia" w:hAnsiTheme="minorHAnsi" w:cstheme="minorBidi"/>
            <w:noProof/>
            <w:sz w:val="22"/>
            <w:szCs w:val="22"/>
          </w:rPr>
          <w:tab/>
        </w:r>
        <w:r w:rsidRPr="001B13A4">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_Toc181683414 \h </w:instrText>
        </w:r>
        <w:r>
          <w:rPr>
            <w:noProof/>
            <w:webHidden/>
          </w:rPr>
        </w:r>
        <w:r>
          <w:rPr>
            <w:noProof/>
            <w:webHidden/>
          </w:rPr>
          <w:fldChar w:fldCharType="separate"/>
        </w:r>
        <w:r>
          <w:rPr>
            <w:noProof/>
            <w:webHidden/>
          </w:rPr>
          <w:t>145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5" w:history="1">
        <w:r w:rsidRPr="001B13A4">
          <w:rPr>
            <w:rStyle w:val="Hyperlink"/>
            <w:noProof/>
          </w:rPr>
          <w:t>2.1.379</w:t>
        </w:r>
        <w:r>
          <w:rPr>
            <w:rFonts w:asciiTheme="minorHAnsi" w:eastAsiaTheme="minorEastAsia" w:hAnsiTheme="minorHAnsi" w:cstheme="minorBidi"/>
            <w:noProof/>
            <w:sz w:val="22"/>
            <w:szCs w:val="22"/>
          </w:rPr>
          <w:tab/>
        </w:r>
        <w:r w:rsidRPr="001B13A4">
          <w:rPr>
            <w:rStyle w:val="Hyperlink"/>
            <w:noProof/>
          </w:rPr>
          <w:t>Part 1 Section 17.14.30, src (ODSO Data Source File Path)</w:t>
        </w:r>
        <w:r>
          <w:rPr>
            <w:noProof/>
            <w:webHidden/>
          </w:rPr>
          <w:tab/>
        </w:r>
        <w:r>
          <w:rPr>
            <w:noProof/>
            <w:webHidden/>
          </w:rPr>
          <w:fldChar w:fldCharType="begin"/>
        </w:r>
        <w:r>
          <w:rPr>
            <w:noProof/>
            <w:webHidden/>
          </w:rPr>
          <w:instrText xml:space="preserve"> PAGEREF _Toc181683415 \h </w:instrText>
        </w:r>
        <w:r>
          <w:rPr>
            <w:noProof/>
            <w:webHidden/>
          </w:rPr>
        </w:r>
        <w:r>
          <w:rPr>
            <w:noProof/>
            <w:webHidden/>
          </w:rPr>
          <w:fldChar w:fldCharType="separate"/>
        </w:r>
        <w:r>
          <w:rPr>
            <w:noProof/>
            <w:webHidden/>
          </w:rPr>
          <w:t>145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6" w:history="1">
        <w:r w:rsidRPr="001B13A4">
          <w:rPr>
            <w:rStyle w:val="Hyperlink"/>
            <w:noProof/>
          </w:rPr>
          <w:t>2.1.380</w:t>
        </w:r>
        <w:r>
          <w:rPr>
            <w:rFonts w:asciiTheme="minorHAnsi" w:eastAsiaTheme="minorEastAsia" w:hAnsiTheme="minorHAnsi" w:cstheme="minorBidi"/>
            <w:noProof/>
            <w:sz w:val="22"/>
            <w:szCs w:val="22"/>
          </w:rPr>
          <w:tab/>
        </w:r>
        <w:r w:rsidRPr="001B13A4">
          <w:rPr>
            <w:rStyle w:val="Hyperlink"/>
            <w:noProof/>
          </w:rPr>
          <w:t>Part 1 Section 17.14.31, table (Data Source Table Name)</w:t>
        </w:r>
        <w:r>
          <w:rPr>
            <w:noProof/>
            <w:webHidden/>
          </w:rPr>
          <w:tab/>
        </w:r>
        <w:r>
          <w:rPr>
            <w:noProof/>
            <w:webHidden/>
          </w:rPr>
          <w:fldChar w:fldCharType="begin"/>
        </w:r>
        <w:r>
          <w:rPr>
            <w:noProof/>
            <w:webHidden/>
          </w:rPr>
          <w:instrText xml:space="preserve"> PAGEREF _Toc181683416 \h </w:instrText>
        </w:r>
        <w:r>
          <w:rPr>
            <w:noProof/>
            <w:webHidden/>
          </w:rPr>
        </w:r>
        <w:r>
          <w:rPr>
            <w:noProof/>
            <w:webHidden/>
          </w:rPr>
          <w:fldChar w:fldCharType="separate"/>
        </w:r>
        <w:r>
          <w:rPr>
            <w:noProof/>
            <w:webHidden/>
          </w:rPr>
          <w:t>145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7" w:history="1">
        <w:r w:rsidRPr="001B13A4">
          <w:rPr>
            <w:rStyle w:val="Hyperlink"/>
            <w:noProof/>
          </w:rPr>
          <w:t>2.1.381</w:t>
        </w:r>
        <w:r>
          <w:rPr>
            <w:rFonts w:asciiTheme="minorHAnsi" w:eastAsiaTheme="minorEastAsia" w:hAnsiTheme="minorHAnsi" w:cstheme="minorBidi"/>
            <w:noProof/>
            <w:sz w:val="22"/>
            <w:szCs w:val="22"/>
          </w:rPr>
          <w:tab/>
        </w:r>
        <w:r w:rsidRPr="001B13A4">
          <w:rPr>
            <w:rStyle w:val="Hyperlink"/>
            <w:noProof/>
          </w:rPr>
          <w:t>Part 1 Section 17.14.34, udl (UDL Connection String)</w:t>
        </w:r>
        <w:r>
          <w:rPr>
            <w:noProof/>
            <w:webHidden/>
          </w:rPr>
          <w:tab/>
        </w:r>
        <w:r>
          <w:rPr>
            <w:noProof/>
            <w:webHidden/>
          </w:rPr>
          <w:fldChar w:fldCharType="begin"/>
        </w:r>
        <w:r>
          <w:rPr>
            <w:noProof/>
            <w:webHidden/>
          </w:rPr>
          <w:instrText xml:space="preserve"> PAGEREF _Toc181683417 \h </w:instrText>
        </w:r>
        <w:r>
          <w:rPr>
            <w:noProof/>
            <w:webHidden/>
          </w:rPr>
        </w:r>
        <w:r>
          <w:rPr>
            <w:noProof/>
            <w:webHidden/>
          </w:rPr>
          <w:fldChar w:fldCharType="separate"/>
        </w:r>
        <w:r>
          <w:rPr>
            <w:noProof/>
            <w:webHidden/>
          </w:rPr>
          <w:t>145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8" w:history="1">
        <w:r w:rsidRPr="001B13A4">
          <w:rPr>
            <w:rStyle w:val="Hyperlink"/>
            <w:noProof/>
          </w:rPr>
          <w:t>2.1.382</w:t>
        </w:r>
        <w:r>
          <w:rPr>
            <w:rFonts w:asciiTheme="minorHAnsi" w:eastAsiaTheme="minorEastAsia" w:hAnsiTheme="minorHAnsi" w:cstheme="minorBidi"/>
            <w:noProof/>
            <w:sz w:val="22"/>
            <w:szCs w:val="22"/>
          </w:rPr>
          <w:tab/>
        </w:r>
        <w:r w:rsidRPr="001B13A4">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_Toc181683418 \h </w:instrText>
        </w:r>
        <w:r>
          <w:rPr>
            <w:noProof/>
            <w:webHidden/>
          </w:rPr>
        </w:r>
        <w:r>
          <w:rPr>
            <w:noProof/>
            <w:webHidden/>
          </w:rPr>
          <w:fldChar w:fldCharType="separate"/>
        </w:r>
        <w:r>
          <w:rPr>
            <w:noProof/>
            <w:webHidden/>
          </w:rPr>
          <w:t>145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19" w:history="1">
        <w:r w:rsidRPr="001B13A4">
          <w:rPr>
            <w:rStyle w:val="Hyperlink"/>
            <w:noProof/>
          </w:rPr>
          <w:t>2.1.383</w:t>
        </w:r>
        <w:r>
          <w:rPr>
            <w:rFonts w:asciiTheme="minorHAnsi" w:eastAsiaTheme="minorEastAsia" w:hAnsiTheme="minorHAnsi" w:cstheme="minorBidi"/>
            <w:noProof/>
            <w:sz w:val="22"/>
            <w:szCs w:val="22"/>
          </w:rPr>
          <w:tab/>
        </w:r>
        <w:r w:rsidRPr="001B13A4">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_Toc181683419 \h </w:instrText>
        </w:r>
        <w:r>
          <w:rPr>
            <w:noProof/>
            <w:webHidden/>
          </w:rPr>
        </w:r>
        <w:r>
          <w:rPr>
            <w:noProof/>
            <w:webHidden/>
          </w:rPr>
          <w:fldChar w:fldCharType="separate"/>
        </w:r>
        <w:r>
          <w:rPr>
            <w:noProof/>
            <w:webHidden/>
          </w:rPr>
          <w:t>147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0" w:history="1">
        <w:r w:rsidRPr="001B13A4">
          <w:rPr>
            <w:rStyle w:val="Hyperlink"/>
            <w:noProof/>
          </w:rPr>
          <w:t>2.1.384</w:t>
        </w:r>
        <w:r>
          <w:rPr>
            <w:rFonts w:asciiTheme="minorHAnsi" w:eastAsiaTheme="minorEastAsia" w:hAnsiTheme="minorHAnsi" w:cstheme="minorBidi"/>
            <w:noProof/>
            <w:sz w:val="22"/>
            <w:szCs w:val="22"/>
          </w:rPr>
          <w:tab/>
        </w:r>
        <w:r w:rsidRPr="001B13A4">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_Toc181683420 \h </w:instrText>
        </w:r>
        <w:r>
          <w:rPr>
            <w:noProof/>
            <w:webHidden/>
          </w:rPr>
        </w:r>
        <w:r>
          <w:rPr>
            <w:noProof/>
            <w:webHidden/>
          </w:rPr>
          <w:fldChar w:fldCharType="separate"/>
        </w:r>
        <w:r>
          <w:rPr>
            <w:noProof/>
            <w:webHidden/>
          </w:rPr>
          <w:t>147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1" w:history="1">
        <w:r w:rsidRPr="001B13A4">
          <w:rPr>
            <w:rStyle w:val="Hyperlink"/>
            <w:noProof/>
          </w:rPr>
          <w:t>2.1.385</w:t>
        </w:r>
        <w:r>
          <w:rPr>
            <w:rFonts w:asciiTheme="minorHAnsi" w:eastAsiaTheme="minorEastAsia" w:hAnsiTheme="minorHAnsi" w:cstheme="minorBidi"/>
            <w:noProof/>
            <w:sz w:val="22"/>
            <w:szCs w:val="22"/>
          </w:rPr>
          <w:tab/>
        </w:r>
        <w:r w:rsidRPr="001B13A4">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_Toc181683421 \h </w:instrText>
        </w:r>
        <w:r>
          <w:rPr>
            <w:noProof/>
            <w:webHidden/>
          </w:rPr>
        </w:r>
        <w:r>
          <w:rPr>
            <w:noProof/>
            <w:webHidden/>
          </w:rPr>
          <w:fldChar w:fldCharType="separate"/>
        </w:r>
        <w:r>
          <w:rPr>
            <w:noProof/>
            <w:webHidden/>
          </w:rPr>
          <w:t>147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2" w:history="1">
        <w:r w:rsidRPr="001B13A4">
          <w:rPr>
            <w:rStyle w:val="Hyperlink"/>
            <w:noProof/>
          </w:rPr>
          <w:t>2.1.386</w:t>
        </w:r>
        <w:r>
          <w:rPr>
            <w:rFonts w:asciiTheme="minorHAnsi" w:eastAsiaTheme="minorEastAsia" w:hAnsiTheme="minorHAnsi" w:cstheme="minorBidi"/>
            <w:noProof/>
            <w:sz w:val="22"/>
            <w:szCs w:val="22"/>
          </w:rPr>
          <w:tab/>
        </w:r>
        <w:r w:rsidRPr="001B13A4">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_Toc181683422 \h </w:instrText>
        </w:r>
        <w:r>
          <w:rPr>
            <w:noProof/>
            <w:webHidden/>
          </w:rPr>
        </w:r>
        <w:r>
          <w:rPr>
            <w:noProof/>
            <w:webHidden/>
          </w:rPr>
          <w:fldChar w:fldCharType="separate"/>
        </w:r>
        <w:r>
          <w:rPr>
            <w:noProof/>
            <w:webHidden/>
          </w:rPr>
          <w:t>148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3" w:history="1">
        <w:r w:rsidRPr="001B13A4">
          <w:rPr>
            <w:rStyle w:val="Hyperlink"/>
            <w:noProof/>
          </w:rPr>
          <w:t>2.1.387</w:t>
        </w:r>
        <w:r>
          <w:rPr>
            <w:rFonts w:asciiTheme="minorHAnsi" w:eastAsiaTheme="minorEastAsia" w:hAnsiTheme="minorHAnsi" w:cstheme="minorBidi"/>
            <w:noProof/>
            <w:sz w:val="22"/>
            <w:szCs w:val="22"/>
          </w:rPr>
          <w:tab/>
        </w:r>
        <w:r w:rsidRPr="001B13A4">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_Toc181683423 \h </w:instrText>
        </w:r>
        <w:r>
          <w:rPr>
            <w:noProof/>
            <w:webHidden/>
          </w:rPr>
        </w:r>
        <w:r>
          <w:rPr>
            <w:noProof/>
            <w:webHidden/>
          </w:rPr>
          <w:fldChar w:fldCharType="separate"/>
        </w:r>
        <w:r>
          <w:rPr>
            <w:noProof/>
            <w:webHidden/>
          </w:rPr>
          <w:t>148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4" w:history="1">
        <w:r w:rsidRPr="001B13A4">
          <w:rPr>
            <w:rStyle w:val="Hyperlink"/>
            <w:noProof/>
          </w:rPr>
          <w:t>2.1.388</w:t>
        </w:r>
        <w:r>
          <w:rPr>
            <w:rFonts w:asciiTheme="minorHAnsi" w:eastAsiaTheme="minorEastAsia" w:hAnsiTheme="minorHAnsi" w:cstheme="minorBidi"/>
            <w:noProof/>
            <w:sz w:val="22"/>
            <w:szCs w:val="22"/>
          </w:rPr>
          <w:tab/>
        </w:r>
        <w:r w:rsidRPr="001B13A4">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_Toc181683424 \h </w:instrText>
        </w:r>
        <w:r>
          <w:rPr>
            <w:noProof/>
            <w:webHidden/>
          </w:rPr>
        </w:r>
        <w:r>
          <w:rPr>
            <w:noProof/>
            <w:webHidden/>
          </w:rPr>
          <w:fldChar w:fldCharType="separate"/>
        </w:r>
        <w:r>
          <w:rPr>
            <w:noProof/>
            <w:webHidden/>
          </w:rPr>
          <w:t>148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5" w:history="1">
        <w:r w:rsidRPr="001B13A4">
          <w:rPr>
            <w:rStyle w:val="Hyperlink"/>
            <w:noProof/>
          </w:rPr>
          <w:t>2.1.389</w:t>
        </w:r>
        <w:r>
          <w:rPr>
            <w:rFonts w:asciiTheme="minorHAnsi" w:eastAsiaTheme="minorEastAsia" w:hAnsiTheme="minorHAnsi" w:cstheme="minorBidi"/>
            <w:noProof/>
            <w:sz w:val="22"/>
            <w:szCs w:val="22"/>
          </w:rPr>
          <w:tab/>
        </w:r>
        <w:r w:rsidRPr="001B13A4">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_Toc181683425 \h </w:instrText>
        </w:r>
        <w:r>
          <w:rPr>
            <w:noProof/>
            <w:webHidden/>
          </w:rPr>
        </w:r>
        <w:r>
          <w:rPr>
            <w:noProof/>
            <w:webHidden/>
          </w:rPr>
          <w:fldChar w:fldCharType="separate"/>
        </w:r>
        <w:r>
          <w:rPr>
            <w:noProof/>
            <w:webHidden/>
          </w:rPr>
          <w:t>148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6" w:history="1">
        <w:r w:rsidRPr="001B13A4">
          <w:rPr>
            <w:rStyle w:val="Hyperlink"/>
            <w:noProof/>
          </w:rPr>
          <w:t>2.1.390</w:t>
        </w:r>
        <w:r>
          <w:rPr>
            <w:rFonts w:asciiTheme="minorHAnsi" w:eastAsiaTheme="minorEastAsia" w:hAnsiTheme="minorHAnsi" w:cstheme="minorBidi"/>
            <w:noProof/>
            <w:sz w:val="22"/>
            <w:szCs w:val="22"/>
          </w:rPr>
          <w:tab/>
        </w:r>
        <w:r w:rsidRPr="001B13A4">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_Toc181683426 \h </w:instrText>
        </w:r>
        <w:r>
          <w:rPr>
            <w:noProof/>
            <w:webHidden/>
          </w:rPr>
        </w:r>
        <w:r>
          <w:rPr>
            <w:noProof/>
            <w:webHidden/>
          </w:rPr>
          <w:fldChar w:fldCharType="separate"/>
        </w:r>
        <w:r>
          <w:rPr>
            <w:noProof/>
            <w:webHidden/>
          </w:rPr>
          <w:t>148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7" w:history="1">
        <w:r w:rsidRPr="001B13A4">
          <w:rPr>
            <w:rStyle w:val="Hyperlink"/>
            <w:noProof/>
          </w:rPr>
          <w:t>2.1.391</w:t>
        </w:r>
        <w:r>
          <w:rPr>
            <w:rFonts w:asciiTheme="minorHAnsi" w:eastAsiaTheme="minorEastAsia" w:hAnsiTheme="minorHAnsi" w:cstheme="minorBidi"/>
            <w:noProof/>
            <w:sz w:val="22"/>
            <w:szCs w:val="22"/>
          </w:rPr>
          <w:tab/>
        </w:r>
        <w:r w:rsidRPr="001B13A4">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_Toc181683427 \h </w:instrText>
        </w:r>
        <w:r>
          <w:rPr>
            <w:noProof/>
            <w:webHidden/>
          </w:rPr>
        </w:r>
        <w:r>
          <w:rPr>
            <w:noProof/>
            <w:webHidden/>
          </w:rPr>
          <w:fldChar w:fldCharType="separate"/>
        </w:r>
        <w:r>
          <w:rPr>
            <w:noProof/>
            <w:webHidden/>
          </w:rPr>
          <w:t>149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8" w:history="1">
        <w:r w:rsidRPr="001B13A4">
          <w:rPr>
            <w:rStyle w:val="Hyperlink"/>
            <w:noProof/>
          </w:rPr>
          <w:t>2.1.392</w:t>
        </w:r>
        <w:r>
          <w:rPr>
            <w:rFonts w:asciiTheme="minorHAnsi" w:eastAsiaTheme="minorEastAsia" w:hAnsiTheme="minorHAnsi" w:cstheme="minorBidi"/>
            <w:noProof/>
            <w:sz w:val="22"/>
            <w:szCs w:val="22"/>
          </w:rPr>
          <w:tab/>
        </w:r>
        <w:r w:rsidRPr="001B13A4">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_Toc181683428 \h </w:instrText>
        </w:r>
        <w:r>
          <w:rPr>
            <w:noProof/>
            <w:webHidden/>
          </w:rPr>
        </w:r>
        <w:r>
          <w:rPr>
            <w:noProof/>
            <w:webHidden/>
          </w:rPr>
          <w:fldChar w:fldCharType="separate"/>
        </w:r>
        <w:r>
          <w:rPr>
            <w:noProof/>
            <w:webHidden/>
          </w:rPr>
          <w:t>149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29" w:history="1">
        <w:r w:rsidRPr="001B13A4">
          <w:rPr>
            <w:rStyle w:val="Hyperlink"/>
            <w:noProof/>
          </w:rPr>
          <w:t>2.1.393</w:t>
        </w:r>
        <w:r>
          <w:rPr>
            <w:rFonts w:asciiTheme="minorHAnsi" w:eastAsiaTheme="minorEastAsia" w:hAnsiTheme="minorHAnsi" w:cstheme="minorBidi"/>
            <w:noProof/>
            <w:sz w:val="22"/>
            <w:szCs w:val="22"/>
          </w:rPr>
          <w:tab/>
        </w:r>
        <w:r w:rsidRPr="001B13A4">
          <w:rPr>
            <w:rStyle w:val="Hyperlink"/>
            <w:noProof/>
          </w:rPr>
          <w:t>Part 1 Section 17.15.1.17, captions (Caption Settings)</w:t>
        </w:r>
        <w:r>
          <w:rPr>
            <w:noProof/>
            <w:webHidden/>
          </w:rPr>
          <w:tab/>
        </w:r>
        <w:r>
          <w:rPr>
            <w:noProof/>
            <w:webHidden/>
          </w:rPr>
          <w:fldChar w:fldCharType="begin"/>
        </w:r>
        <w:r>
          <w:rPr>
            <w:noProof/>
            <w:webHidden/>
          </w:rPr>
          <w:instrText xml:space="preserve"> PAGEREF _Toc181683429 \h </w:instrText>
        </w:r>
        <w:r>
          <w:rPr>
            <w:noProof/>
            <w:webHidden/>
          </w:rPr>
        </w:r>
        <w:r>
          <w:rPr>
            <w:noProof/>
            <w:webHidden/>
          </w:rPr>
          <w:fldChar w:fldCharType="separate"/>
        </w:r>
        <w:r>
          <w:rPr>
            <w:noProof/>
            <w:webHidden/>
          </w:rPr>
          <w:t>149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0" w:history="1">
        <w:r w:rsidRPr="001B13A4">
          <w:rPr>
            <w:rStyle w:val="Hyperlink"/>
            <w:noProof/>
          </w:rPr>
          <w:t>2.1.394</w:t>
        </w:r>
        <w:r>
          <w:rPr>
            <w:rFonts w:asciiTheme="minorHAnsi" w:eastAsiaTheme="minorEastAsia" w:hAnsiTheme="minorHAnsi" w:cstheme="minorBidi"/>
            <w:noProof/>
            <w:sz w:val="22"/>
            <w:szCs w:val="22"/>
          </w:rPr>
          <w:tab/>
        </w:r>
        <w:r w:rsidRPr="001B13A4">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_Toc181683430 \h </w:instrText>
        </w:r>
        <w:r>
          <w:rPr>
            <w:noProof/>
            <w:webHidden/>
          </w:rPr>
        </w:r>
        <w:r>
          <w:rPr>
            <w:noProof/>
            <w:webHidden/>
          </w:rPr>
          <w:fldChar w:fldCharType="separate"/>
        </w:r>
        <w:r>
          <w:rPr>
            <w:noProof/>
            <w:webHidden/>
          </w:rPr>
          <w:t>150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1" w:history="1">
        <w:r w:rsidRPr="001B13A4">
          <w:rPr>
            <w:rStyle w:val="Hyperlink"/>
            <w:noProof/>
          </w:rPr>
          <w:t>2.1.395</w:t>
        </w:r>
        <w:r>
          <w:rPr>
            <w:rFonts w:asciiTheme="minorHAnsi" w:eastAsiaTheme="minorEastAsia" w:hAnsiTheme="minorHAnsi" w:cstheme="minorBidi"/>
            <w:noProof/>
            <w:sz w:val="22"/>
            <w:szCs w:val="22"/>
          </w:rPr>
          <w:tab/>
        </w:r>
        <w:r w:rsidRPr="001B13A4">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_Toc181683431 \h </w:instrText>
        </w:r>
        <w:r>
          <w:rPr>
            <w:noProof/>
            <w:webHidden/>
          </w:rPr>
        </w:r>
        <w:r>
          <w:rPr>
            <w:noProof/>
            <w:webHidden/>
          </w:rPr>
          <w:fldChar w:fldCharType="separate"/>
        </w:r>
        <w:r>
          <w:rPr>
            <w:noProof/>
            <w:webHidden/>
          </w:rPr>
          <w:t>150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2" w:history="1">
        <w:r w:rsidRPr="001B13A4">
          <w:rPr>
            <w:rStyle w:val="Hyperlink"/>
            <w:noProof/>
          </w:rPr>
          <w:t>2.1.396</w:t>
        </w:r>
        <w:r>
          <w:rPr>
            <w:rFonts w:asciiTheme="minorHAnsi" w:eastAsiaTheme="minorEastAsia" w:hAnsiTheme="minorHAnsi" w:cstheme="minorBidi"/>
            <w:noProof/>
            <w:sz w:val="22"/>
            <w:szCs w:val="22"/>
          </w:rPr>
          <w:tab/>
        </w:r>
        <w:r w:rsidRPr="001B13A4">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_Toc181683432 \h </w:instrText>
        </w:r>
        <w:r>
          <w:rPr>
            <w:noProof/>
            <w:webHidden/>
          </w:rPr>
        </w:r>
        <w:r>
          <w:rPr>
            <w:noProof/>
            <w:webHidden/>
          </w:rPr>
          <w:fldChar w:fldCharType="separate"/>
        </w:r>
        <w:r>
          <w:rPr>
            <w:noProof/>
            <w:webHidden/>
          </w:rPr>
          <w:t>150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3" w:history="1">
        <w:r w:rsidRPr="001B13A4">
          <w:rPr>
            <w:rStyle w:val="Hyperlink"/>
            <w:noProof/>
          </w:rPr>
          <w:t>2.1.397</w:t>
        </w:r>
        <w:r>
          <w:rPr>
            <w:rFonts w:asciiTheme="minorHAnsi" w:eastAsiaTheme="minorEastAsia" w:hAnsiTheme="minorHAnsi" w:cstheme="minorBidi"/>
            <w:noProof/>
            <w:sz w:val="22"/>
            <w:szCs w:val="22"/>
          </w:rPr>
          <w:tab/>
        </w:r>
        <w:r w:rsidRPr="001B13A4">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_Toc181683433 \h </w:instrText>
        </w:r>
        <w:r>
          <w:rPr>
            <w:noProof/>
            <w:webHidden/>
          </w:rPr>
        </w:r>
        <w:r>
          <w:rPr>
            <w:noProof/>
            <w:webHidden/>
          </w:rPr>
          <w:fldChar w:fldCharType="separate"/>
        </w:r>
        <w:r>
          <w:rPr>
            <w:noProof/>
            <w:webHidden/>
          </w:rPr>
          <w:t>150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4" w:history="1">
        <w:r w:rsidRPr="001B13A4">
          <w:rPr>
            <w:rStyle w:val="Hyperlink"/>
            <w:noProof/>
          </w:rPr>
          <w:t>2.1.398</w:t>
        </w:r>
        <w:r>
          <w:rPr>
            <w:rFonts w:asciiTheme="minorHAnsi" w:eastAsiaTheme="minorEastAsia" w:hAnsiTheme="minorHAnsi" w:cstheme="minorBidi"/>
            <w:noProof/>
            <w:sz w:val="22"/>
            <w:szCs w:val="22"/>
          </w:rPr>
          <w:tab/>
        </w:r>
        <w:r w:rsidRPr="001B13A4">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_Toc181683434 \h </w:instrText>
        </w:r>
        <w:r>
          <w:rPr>
            <w:noProof/>
            <w:webHidden/>
          </w:rPr>
        </w:r>
        <w:r>
          <w:rPr>
            <w:noProof/>
            <w:webHidden/>
          </w:rPr>
          <w:fldChar w:fldCharType="separate"/>
        </w:r>
        <w:r>
          <w:rPr>
            <w:noProof/>
            <w:webHidden/>
          </w:rPr>
          <w:t>150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5" w:history="1">
        <w:r w:rsidRPr="001B13A4">
          <w:rPr>
            <w:rStyle w:val="Hyperlink"/>
            <w:noProof/>
          </w:rPr>
          <w:t>2.1.399</w:t>
        </w:r>
        <w:r>
          <w:rPr>
            <w:rFonts w:asciiTheme="minorHAnsi" w:eastAsiaTheme="minorEastAsia" w:hAnsiTheme="minorHAnsi" w:cstheme="minorBidi"/>
            <w:noProof/>
            <w:sz w:val="22"/>
            <w:szCs w:val="22"/>
          </w:rPr>
          <w:tab/>
        </w:r>
        <w:r w:rsidRPr="001B13A4">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_Toc181683435 \h </w:instrText>
        </w:r>
        <w:r>
          <w:rPr>
            <w:noProof/>
            <w:webHidden/>
          </w:rPr>
        </w:r>
        <w:r>
          <w:rPr>
            <w:noProof/>
            <w:webHidden/>
          </w:rPr>
          <w:fldChar w:fldCharType="separate"/>
        </w:r>
        <w:r>
          <w:rPr>
            <w:noProof/>
            <w:webHidden/>
          </w:rPr>
          <w:t>151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6" w:history="1">
        <w:r w:rsidRPr="001B13A4">
          <w:rPr>
            <w:rStyle w:val="Hyperlink"/>
            <w:noProof/>
          </w:rPr>
          <w:t>2.1.400</w:t>
        </w:r>
        <w:r>
          <w:rPr>
            <w:rFonts w:asciiTheme="minorHAnsi" w:eastAsiaTheme="minorEastAsia" w:hAnsiTheme="minorHAnsi" w:cstheme="minorBidi"/>
            <w:noProof/>
            <w:sz w:val="22"/>
            <w:szCs w:val="22"/>
          </w:rPr>
          <w:tab/>
        </w:r>
        <w:r w:rsidRPr="001B13A4">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_Toc181683436 \h </w:instrText>
        </w:r>
        <w:r>
          <w:rPr>
            <w:noProof/>
            <w:webHidden/>
          </w:rPr>
        </w:r>
        <w:r>
          <w:rPr>
            <w:noProof/>
            <w:webHidden/>
          </w:rPr>
          <w:fldChar w:fldCharType="separate"/>
        </w:r>
        <w:r>
          <w:rPr>
            <w:noProof/>
            <w:webHidden/>
          </w:rPr>
          <w:t>151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7" w:history="1">
        <w:r w:rsidRPr="001B13A4">
          <w:rPr>
            <w:rStyle w:val="Hyperlink"/>
            <w:noProof/>
          </w:rPr>
          <w:t>2.1.401</w:t>
        </w:r>
        <w:r>
          <w:rPr>
            <w:rFonts w:asciiTheme="minorHAnsi" w:eastAsiaTheme="minorEastAsia" w:hAnsiTheme="minorHAnsi" w:cstheme="minorBidi"/>
            <w:noProof/>
            <w:sz w:val="22"/>
            <w:szCs w:val="22"/>
          </w:rPr>
          <w:tab/>
        </w:r>
        <w:r w:rsidRPr="001B13A4">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_Toc181683437 \h </w:instrText>
        </w:r>
        <w:r>
          <w:rPr>
            <w:noProof/>
            <w:webHidden/>
          </w:rPr>
        </w:r>
        <w:r>
          <w:rPr>
            <w:noProof/>
            <w:webHidden/>
          </w:rPr>
          <w:fldChar w:fldCharType="separate"/>
        </w:r>
        <w:r>
          <w:rPr>
            <w:noProof/>
            <w:webHidden/>
          </w:rPr>
          <w:t>151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8" w:history="1">
        <w:r w:rsidRPr="001B13A4">
          <w:rPr>
            <w:rStyle w:val="Hyperlink"/>
            <w:noProof/>
          </w:rPr>
          <w:t>2.1.402</w:t>
        </w:r>
        <w:r>
          <w:rPr>
            <w:rFonts w:asciiTheme="minorHAnsi" w:eastAsiaTheme="minorEastAsia" w:hAnsiTheme="minorHAnsi" w:cstheme="minorBidi"/>
            <w:noProof/>
            <w:sz w:val="22"/>
            <w:szCs w:val="22"/>
          </w:rPr>
          <w:tab/>
        </w:r>
        <w:r w:rsidRPr="001B13A4">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_Toc181683438 \h </w:instrText>
        </w:r>
        <w:r>
          <w:rPr>
            <w:noProof/>
            <w:webHidden/>
          </w:rPr>
        </w:r>
        <w:r>
          <w:rPr>
            <w:noProof/>
            <w:webHidden/>
          </w:rPr>
          <w:fldChar w:fldCharType="separate"/>
        </w:r>
        <w:r>
          <w:rPr>
            <w:noProof/>
            <w:webHidden/>
          </w:rPr>
          <w:t>151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39" w:history="1">
        <w:r w:rsidRPr="001B13A4">
          <w:rPr>
            <w:rStyle w:val="Hyperlink"/>
            <w:noProof/>
          </w:rPr>
          <w:t>2.1.403</w:t>
        </w:r>
        <w:r>
          <w:rPr>
            <w:rFonts w:asciiTheme="minorHAnsi" w:eastAsiaTheme="minorEastAsia" w:hAnsiTheme="minorHAnsi" w:cstheme="minorBidi"/>
            <w:noProof/>
            <w:sz w:val="22"/>
            <w:szCs w:val="22"/>
          </w:rPr>
          <w:tab/>
        </w:r>
        <w:r w:rsidRPr="001B13A4">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_Toc181683439 \h </w:instrText>
        </w:r>
        <w:r>
          <w:rPr>
            <w:noProof/>
            <w:webHidden/>
          </w:rPr>
        </w:r>
        <w:r>
          <w:rPr>
            <w:noProof/>
            <w:webHidden/>
          </w:rPr>
          <w:fldChar w:fldCharType="separate"/>
        </w:r>
        <w:r>
          <w:rPr>
            <w:noProof/>
            <w:webHidden/>
          </w:rPr>
          <w:t>153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0" w:history="1">
        <w:r w:rsidRPr="001B13A4">
          <w:rPr>
            <w:rStyle w:val="Hyperlink"/>
            <w:noProof/>
          </w:rPr>
          <w:t>2.1.404</w:t>
        </w:r>
        <w:r>
          <w:rPr>
            <w:rFonts w:asciiTheme="minorHAnsi" w:eastAsiaTheme="minorEastAsia" w:hAnsiTheme="minorHAnsi" w:cstheme="minorBidi"/>
            <w:noProof/>
            <w:sz w:val="22"/>
            <w:szCs w:val="22"/>
          </w:rPr>
          <w:tab/>
        </w:r>
        <w:r w:rsidRPr="001B13A4">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_Toc181683440 \h </w:instrText>
        </w:r>
        <w:r>
          <w:rPr>
            <w:noProof/>
            <w:webHidden/>
          </w:rPr>
        </w:r>
        <w:r>
          <w:rPr>
            <w:noProof/>
            <w:webHidden/>
          </w:rPr>
          <w:fldChar w:fldCharType="separate"/>
        </w:r>
        <w:r>
          <w:rPr>
            <w:noProof/>
            <w:webHidden/>
          </w:rPr>
          <w:t>154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1" w:history="1">
        <w:r w:rsidRPr="001B13A4">
          <w:rPr>
            <w:rStyle w:val="Hyperlink"/>
            <w:noProof/>
          </w:rPr>
          <w:t>2.1.405</w:t>
        </w:r>
        <w:r>
          <w:rPr>
            <w:rFonts w:asciiTheme="minorHAnsi" w:eastAsiaTheme="minorEastAsia" w:hAnsiTheme="minorHAnsi" w:cstheme="minorBidi"/>
            <w:noProof/>
            <w:sz w:val="22"/>
            <w:szCs w:val="22"/>
          </w:rPr>
          <w:tab/>
        </w:r>
        <w:r w:rsidRPr="001B13A4">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_Toc181683441 \h </w:instrText>
        </w:r>
        <w:r>
          <w:rPr>
            <w:noProof/>
            <w:webHidden/>
          </w:rPr>
        </w:r>
        <w:r>
          <w:rPr>
            <w:noProof/>
            <w:webHidden/>
          </w:rPr>
          <w:fldChar w:fldCharType="separate"/>
        </w:r>
        <w:r>
          <w:rPr>
            <w:noProof/>
            <w:webHidden/>
          </w:rPr>
          <w:t>154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2" w:history="1">
        <w:r w:rsidRPr="001B13A4">
          <w:rPr>
            <w:rStyle w:val="Hyperlink"/>
            <w:noProof/>
          </w:rPr>
          <w:t>2.1.406</w:t>
        </w:r>
        <w:r>
          <w:rPr>
            <w:rFonts w:asciiTheme="minorHAnsi" w:eastAsiaTheme="minorEastAsia" w:hAnsiTheme="minorHAnsi" w:cstheme="minorBidi"/>
            <w:noProof/>
            <w:sz w:val="22"/>
            <w:szCs w:val="22"/>
          </w:rPr>
          <w:tab/>
        </w:r>
        <w:r w:rsidRPr="001B13A4">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_Toc181683442 \h </w:instrText>
        </w:r>
        <w:r>
          <w:rPr>
            <w:noProof/>
            <w:webHidden/>
          </w:rPr>
        </w:r>
        <w:r>
          <w:rPr>
            <w:noProof/>
            <w:webHidden/>
          </w:rPr>
          <w:fldChar w:fldCharType="separate"/>
        </w:r>
        <w:r>
          <w:rPr>
            <w:noProof/>
            <w:webHidden/>
          </w:rPr>
          <w:t>154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3" w:history="1">
        <w:r w:rsidRPr="001B13A4">
          <w:rPr>
            <w:rStyle w:val="Hyperlink"/>
            <w:noProof/>
          </w:rPr>
          <w:t>2.1.407</w:t>
        </w:r>
        <w:r>
          <w:rPr>
            <w:rFonts w:asciiTheme="minorHAnsi" w:eastAsiaTheme="minorEastAsia" w:hAnsiTheme="minorHAnsi" w:cstheme="minorBidi"/>
            <w:noProof/>
            <w:sz w:val="22"/>
            <w:szCs w:val="22"/>
          </w:rPr>
          <w:tab/>
        </w:r>
        <w:r w:rsidRPr="001B13A4">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_Toc181683443 \h </w:instrText>
        </w:r>
        <w:r>
          <w:rPr>
            <w:noProof/>
            <w:webHidden/>
          </w:rPr>
        </w:r>
        <w:r>
          <w:rPr>
            <w:noProof/>
            <w:webHidden/>
          </w:rPr>
          <w:fldChar w:fldCharType="separate"/>
        </w:r>
        <w:r>
          <w:rPr>
            <w:noProof/>
            <w:webHidden/>
          </w:rPr>
          <w:t>154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4" w:history="1">
        <w:r w:rsidRPr="001B13A4">
          <w:rPr>
            <w:rStyle w:val="Hyperlink"/>
            <w:noProof/>
          </w:rPr>
          <w:t>2.1.408</w:t>
        </w:r>
        <w:r>
          <w:rPr>
            <w:rFonts w:asciiTheme="minorHAnsi" w:eastAsiaTheme="minorEastAsia" w:hAnsiTheme="minorHAnsi" w:cstheme="minorBidi"/>
            <w:noProof/>
            <w:sz w:val="22"/>
            <w:szCs w:val="22"/>
          </w:rPr>
          <w:tab/>
        </w:r>
        <w:r w:rsidRPr="001B13A4">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_Toc181683444 \h </w:instrText>
        </w:r>
        <w:r>
          <w:rPr>
            <w:noProof/>
            <w:webHidden/>
          </w:rPr>
        </w:r>
        <w:r>
          <w:rPr>
            <w:noProof/>
            <w:webHidden/>
          </w:rPr>
          <w:fldChar w:fldCharType="separate"/>
        </w:r>
        <w:r>
          <w:rPr>
            <w:noProof/>
            <w:webHidden/>
          </w:rPr>
          <w:t>154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5" w:history="1">
        <w:r w:rsidRPr="001B13A4">
          <w:rPr>
            <w:rStyle w:val="Hyperlink"/>
            <w:noProof/>
          </w:rPr>
          <w:t>2.1.409</w:t>
        </w:r>
        <w:r>
          <w:rPr>
            <w:rFonts w:asciiTheme="minorHAnsi" w:eastAsiaTheme="minorEastAsia" w:hAnsiTheme="minorHAnsi" w:cstheme="minorBidi"/>
            <w:noProof/>
            <w:sz w:val="22"/>
            <w:szCs w:val="22"/>
          </w:rPr>
          <w:tab/>
        </w:r>
        <w:r w:rsidRPr="001B13A4">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_Toc181683445 \h </w:instrText>
        </w:r>
        <w:r>
          <w:rPr>
            <w:noProof/>
            <w:webHidden/>
          </w:rPr>
        </w:r>
        <w:r>
          <w:rPr>
            <w:noProof/>
            <w:webHidden/>
          </w:rPr>
          <w:fldChar w:fldCharType="separate"/>
        </w:r>
        <w:r>
          <w:rPr>
            <w:noProof/>
            <w:webHidden/>
          </w:rPr>
          <w:t>154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6" w:history="1">
        <w:r w:rsidRPr="001B13A4">
          <w:rPr>
            <w:rStyle w:val="Hyperlink"/>
            <w:noProof/>
          </w:rPr>
          <w:t>2.1.410</w:t>
        </w:r>
        <w:r>
          <w:rPr>
            <w:rFonts w:asciiTheme="minorHAnsi" w:eastAsiaTheme="minorEastAsia" w:hAnsiTheme="minorHAnsi" w:cstheme="minorBidi"/>
            <w:noProof/>
            <w:sz w:val="22"/>
            <w:szCs w:val="22"/>
          </w:rPr>
          <w:tab/>
        </w:r>
        <w:r w:rsidRPr="001B13A4">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_Toc181683446 \h </w:instrText>
        </w:r>
        <w:r>
          <w:rPr>
            <w:noProof/>
            <w:webHidden/>
          </w:rPr>
        </w:r>
        <w:r>
          <w:rPr>
            <w:noProof/>
            <w:webHidden/>
          </w:rPr>
          <w:fldChar w:fldCharType="separate"/>
        </w:r>
        <w:r>
          <w:rPr>
            <w:noProof/>
            <w:webHidden/>
          </w:rPr>
          <w:t>155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7" w:history="1">
        <w:r w:rsidRPr="001B13A4">
          <w:rPr>
            <w:rStyle w:val="Hyperlink"/>
            <w:noProof/>
          </w:rPr>
          <w:t>2.1.411</w:t>
        </w:r>
        <w:r>
          <w:rPr>
            <w:rFonts w:asciiTheme="minorHAnsi" w:eastAsiaTheme="minorEastAsia" w:hAnsiTheme="minorHAnsi" w:cstheme="minorBidi"/>
            <w:noProof/>
            <w:sz w:val="22"/>
            <w:szCs w:val="22"/>
          </w:rPr>
          <w:tab/>
        </w:r>
        <w:r w:rsidRPr="001B13A4">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_Toc181683447 \h </w:instrText>
        </w:r>
        <w:r>
          <w:rPr>
            <w:noProof/>
            <w:webHidden/>
          </w:rPr>
        </w:r>
        <w:r>
          <w:rPr>
            <w:noProof/>
            <w:webHidden/>
          </w:rPr>
          <w:fldChar w:fldCharType="separate"/>
        </w:r>
        <w:r>
          <w:rPr>
            <w:noProof/>
            <w:webHidden/>
          </w:rPr>
          <w:t>155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8" w:history="1">
        <w:r w:rsidRPr="001B13A4">
          <w:rPr>
            <w:rStyle w:val="Hyperlink"/>
            <w:noProof/>
          </w:rPr>
          <w:t>2.1.412</w:t>
        </w:r>
        <w:r>
          <w:rPr>
            <w:rFonts w:asciiTheme="minorHAnsi" w:eastAsiaTheme="minorEastAsia" w:hAnsiTheme="minorHAnsi" w:cstheme="minorBidi"/>
            <w:noProof/>
            <w:sz w:val="22"/>
            <w:szCs w:val="22"/>
          </w:rPr>
          <w:tab/>
        </w:r>
        <w:r w:rsidRPr="001B13A4">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_Toc181683448 \h </w:instrText>
        </w:r>
        <w:r>
          <w:rPr>
            <w:noProof/>
            <w:webHidden/>
          </w:rPr>
        </w:r>
        <w:r>
          <w:rPr>
            <w:noProof/>
            <w:webHidden/>
          </w:rPr>
          <w:fldChar w:fldCharType="separate"/>
        </w:r>
        <w:r>
          <w:rPr>
            <w:noProof/>
            <w:webHidden/>
          </w:rPr>
          <w:t>155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49" w:history="1">
        <w:r w:rsidRPr="001B13A4">
          <w:rPr>
            <w:rStyle w:val="Hyperlink"/>
            <w:noProof/>
          </w:rPr>
          <w:t>2.1.413</w:t>
        </w:r>
        <w:r>
          <w:rPr>
            <w:rFonts w:asciiTheme="minorHAnsi" w:eastAsiaTheme="minorEastAsia" w:hAnsiTheme="minorHAnsi" w:cstheme="minorBidi"/>
            <w:noProof/>
            <w:sz w:val="22"/>
            <w:szCs w:val="22"/>
          </w:rPr>
          <w:tab/>
        </w:r>
        <w:r w:rsidRPr="001B13A4">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_Toc181683449 \h </w:instrText>
        </w:r>
        <w:r>
          <w:rPr>
            <w:noProof/>
            <w:webHidden/>
          </w:rPr>
        </w:r>
        <w:r>
          <w:rPr>
            <w:noProof/>
            <w:webHidden/>
          </w:rPr>
          <w:fldChar w:fldCharType="separate"/>
        </w:r>
        <w:r>
          <w:rPr>
            <w:noProof/>
            <w:webHidden/>
          </w:rPr>
          <w:t>155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0" w:history="1">
        <w:r w:rsidRPr="001B13A4">
          <w:rPr>
            <w:rStyle w:val="Hyperlink"/>
            <w:noProof/>
          </w:rPr>
          <w:t>2.1.414</w:t>
        </w:r>
        <w:r>
          <w:rPr>
            <w:rFonts w:asciiTheme="minorHAnsi" w:eastAsiaTheme="minorEastAsia" w:hAnsiTheme="minorHAnsi" w:cstheme="minorBidi"/>
            <w:noProof/>
            <w:sz w:val="22"/>
            <w:szCs w:val="22"/>
          </w:rPr>
          <w:tab/>
        </w:r>
        <w:r w:rsidRPr="001B13A4">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_Toc181683450 \h </w:instrText>
        </w:r>
        <w:r>
          <w:rPr>
            <w:noProof/>
            <w:webHidden/>
          </w:rPr>
        </w:r>
        <w:r>
          <w:rPr>
            <w:noProof/>
            <w:webHidden/>
          </w:rPr>
          <w:fldChar w:fldCharType="separate"/>
        </w:r>
        <w:r>
          <w:rPr>
            <w:noProof/>
            <w:webHidden/>
          </w:rPr>
          <w:t>155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1" w:history="1">
        <w:r w:rsidRPr="001B13A4">
          <w:rPr>
            <w:rStyle w:val="Hyperlink"/>
            <w:noProof/>
          </w:rPr>
          <w:t>2.1.415</w:t>
        </w:r>
        <w:r>
          <w:rPr>
            <w:rFonts w:asciiTheme="minorHAnsi" w:eastAsiaTheme="minorEastAsia" w:hAnsiTheme="minorHAnsi" w:cstheme="minorBidi"/>
            <w:noProof/>
            <w:sz w:val="22"/>
            <w:szCs w:val="22"/>
          </w:rPr>
          <w:tab/>
        </w:r>
        <w:r w:rsidRPr="001B13A4">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_Toc181683451 \h </w:instrText>
        </w:r>
        <w:r>
          <w:rPr>
            <w:noProof/>
            <w:webHidden/>
          </w:rPr>
        </w:r>
        <w:r>
          <w:rPr>
            <w:noProof/>
            <w:webHidden/>
          </w:rPr>
          <w:fldChar w:fldCharType="separate"/>
        </w:r>
        <w:r>
          <w:rPr>
            <w:noProof/>
            <w:webHidden/>
          </w:rPr>
          <w:t>156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2" w:history="1">
        <w:r w:rsidRPr="001B13A4">
          <w:rPr>
            <w:rStyle w:val="Hyperlink"/>
            <w:noProof/>
          </w:rPr>
          <w:t>2.1.416</w:t>
        </w:r>
        <w:r>
          <w:rPr>
            <w:rFonts w:asciiTheme="minorHAnsi" w:eastAsiaTheme="minorEastAsia" w:hAnsiTheme="minorHAnsi" w:cstheme="minorBidi"/>
            <w:noProof/>
            <w:sz w:val="22"/>
            <w:szCs w:val="22"/>
          </w:rPr>
          <w:tab/>
        </w:r>
        <w:r w:rsidRPr="001B13A4">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_Toc181683452 \h </w:instrText>
        </w:r>
        <w:r>
          <w:rPr>
            <w:noProof/>
            <w:webHidden/>
          </w:rPr>
        </w:r>
        <w:r>
          <w:rPr>
            <w:noProof/>
            <w:webHidden/>
          </w:rPr>
          <w:fldChar w:fldCharType="separate"/>
        </w:r>
        <w:r>
          <w:rPr>
            <w:noProof/>
            <w:webHidden/>
          </w:rPr>
          <w:t>156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3" w:history="1">
        <w:r w:rsidRPr="001B13A4">
          <w:rPr>
            <w:rStyle w:val="Hyperlink"/>
            <w:noProof/>
          </w:rPr>
          <w:t>2.1.417</w:t>
        </w:r>
        <w:r>
          <w:rPr>
            <w:rFonts w:asciiTheme="minorHAnsi" w:eastAsiaTheme="minorEastAsia" w:hAnsiTheme="minorHAnsi" w:cstheme="minorBidi"/>
            <w:noProof/>
            <w:sz w:val="22"/>
            <w:szCs w:val="22"/>
          </w:rPr>
          <w:tab/>
        </w:r>
        <w:r w:rsidRPr="001B13A4">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_Toc181683453 \h </w:instrText>
        </w:r>
        <w:r>
          <w:rPr>
            <w:noProof/>
            <w:webHidden/>
          </w:rPr>
        </w:r>
        <w:r>
          <w:rPr>
            <w:noProof/>
            <w:webHidden/>
          </w:rPr>
          <w:fldChar w:fldCharType="separate"/>
        </w:r>
        <w:r>
          <w:rPr>
            <w:noProof/>
            <w:webHidden/>
          </w:rPr>
          <w:t>156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4" w:history="1">
        <w:r w:rsidRPr="001B13A4">
          <w:rPr>
            <w:rStyle w:val="Hyperlink"/>
            <w:noProof/>
          </w:rPr>
          <w:t>2.1.418</w:t>
        </w:r>
        <w:r>
          <w:rPr>
            <w:rFonts w:asciiTheme="minorHAnsi" w:eastAsiaTheme="minorEastAsia" w:hAnsiTheme="minorHAnsi" w:cstheme="minorBidi"/>
            <w:noProof/>
            <w:sz w:val="22"/>
            <w:szCs w:val="22"/>
          </w:rPr>
          <w:tab/>
        </w:r>
        <w:r w:rsidRPr="001B13A4">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_Toc181683454 \h </w:instrText>
        </w:r>
        <w:r>
          <w:rPr>
            <w:noProof/>
            <w:webHidden/>
          </w:rPr>
        </w:r>
        <w:r>
          <w:rPr>
            <w:noProof/>
            <w:webHidden/>
          </w:rPr>
          <w:fldChar w:fldCharType="separate"/>
        </w:r>
        <w:r>
          <w:rPr>
            <w:noProof/>
            <w:webHidden/>
          </w:rPr>
          <w:t>156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5" w:history="1">
        <w:r w:rsidRPr="001B13A4">
          <w:rPr>
            <w:rStyle w:val="Hyperlink"/>
            <w:noProof/>
          </w:rPr>
          <w:t>2.1.419</w:t>
        </w:r>
        <w:r>
          <w:rPr>
            <w:rFonts w:asciiTheme="minorHAnsi" w:eastAsiaTheme="minorEastAsia" w:hAnsiTheme="minorHAnsi" w:cstheme="minorBidi"/>
            <w:noProof/>
            <w:sz w:val="22"/>
            <w:szCs w:val="22"/>
          </w:rPr>
          <w:tab/>
        </w:r>
        <w:r w:rsidRPr="001B13A4">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_Toc181683455 \h </w:instrText>
        </w:r>
        <w:r>
          <w:rPr>
            <w:noProof/>
            <w:webHidden/>
          </w:rPr>
        </w:r>
        <w:r>
          <w:rPr>
            <w:noProof/>
            <w:webHidden/>
          </w:rPr>
          <w:fldChar w:fldCharType="separate"/>
        </w:r>
        <w:r>
          <w:rPr>
            <w:noProof/>
            <w:webHidden/>
          </w:rPr>
          <w:t>156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6" w:history="1">
        <w:r w:rsidRPr="001B13A4">
          <w:rPr>
            <w:rStyle w:val="Hyperlink"/>
            <w:noProof/>
          </w:rPr>
          <w:t>2.1.420</w:t>
        </w:r>
        <w:r>
          <w:rPr>
            <w:rFonts w:asciiTheme="minorHAnsi" w:eastAsiaTheme="minorEastAsia" w:hAnsiTheme="minorHAnsi" w:cstheme="minorBidi"/>
            <w:noProof/>
            <w:sz w:val="22"/>
            <w:szCs w:val="22"/>
          </w:rPr>
          <w:tab/>
        </w:r>
        <w:r w:rsidRPr="001B13A4">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_Toc181683456 \h </w:instrText>
        </w:r>
        <w:r>
          <w:rPr>
            <w:noProof/>
            <w:webHidden/>
          </w:rPr>
        </w:r>
        <w:r>
          <w:rPr>
            <w:noProof/>
            <w:webHidden/>
          </w:rPr>
          <w:fldChar w:fldCharType="separate"/>
        </w:r>
        <w:r>
          <w:rPr>
            <w:noProof/>
            <w:webHidden/>
          </w:rPr>
          <w:t>156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7" w:history="1">
        <w:r w:rsidRPr="001B13A4">
          <w:rPr>
            <w:rStyle w:val="Hyperlink"/>
            <w:noProof/>
          </w:rPr>
          <w:t>2.1.421</w:t>
        </w:r>
        <w:r>
          <w:rPr>
            <w:rFonts w:asciiTheme="minorHAnsi" w:eastAsiaTheme="minorEastAsia" w:hAnsiTheme="minorHAnsi" w:cstheme="minorBidi"/>
            <w:noProof/>
            <w:sz w:val="22"/>
            <w:szCs w:val="22"/>
          </w:rPr>
          <w:tab/>
        </w:r>
        <w:r w:rsidRPr="001B13A4">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_Toc181683457 \h </w:instrText>
        </w:r>
        <w:r>
          <w:rPr>
            <w:noProof/>
            <w:webHidden/>
          </w:rPr>
        </w:r>
        <w:r>
          <w:rPr>
            <w:noProof/>
            <w:webHidden/>
          </w:rPr>
          <w:fldChar w:fldCharType="separate"/>
        </w:r>
        <w:r>
          <w:rPr>
            <w:noProof/>
            <w:webHidden/>
          </w:rPr>
          <w:t>157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8" w:history="1">
        <w:r w:rsidRPr="001B13A4">
          <w:rPr>
            <w:rStyle w:val="Hyperlink"/>
            <w:noProof/>
          </w:rPr>
          <w:t>2.1.422</w:t>
        </w:r>
        <w:r>
          <w:rPr>
            <w:rFonts w:asciiTheme="minorHAnsi" w:eastAsiaTheme="minorEastAsia" w:hAnsiTheme="minorHAnsi" w:cstheme="minorBidi"/>
            <w:noProof/>
            <w:sz w:val="22"/>
            <w:szCs w:val="22"/>
          </w:rPr>
          <w:tab/>
        </w:r>
        <w:r w:rsidRPr="001B13A4">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_Toc181683458 \h </w:instrText>
        </w:r>
        <w:r>
          <w:rPr>
            <w:noProof/>
            <w:webHidden/>
          </w:rPr>
        </w:r>
        <w:r>
          <w:rPr>
            <w:noProof/>
            <w:webHidden/>
          </w:rPr>
          <w:fldChar w:fldCharType="separate"/>
        </w:r>
        <w:r>
          <w:rPr>
            <w:noProof/>
            <w:webHidden/>
          </w:rPr>
          <w:t>157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59" w:history="1">
        <w:r w:rsidRPr="001B13A4">
          <w:rPr>
            <w:rStyle w:val="Hyperlink"/>
            <w:noProof/>
          </w:rPr>
          <w:t>2.1.423</w:t>
        </w:r>
        <w:r>
          <w:rPr>
            <w:rFonts w:asciiTheme="minorHAnsi" w:eastAsiaTheme="minorEastAsia" w:hAnsiTheme="minorHAnsi" w:cstheme="minorBidi"/>
            <w:noProof/>
            <w:sz w:val="22"/>
            <w:szCs w:val="22"/>
          </w:rPr>
          <w:tab/>
        </w:r>
        <w:r w:rsidRPr="001B13A4">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_Toc181683459 \h </w:instrText>
        </w:r>
        <w:r>
          <w:rPr>
            <w:noProof/>
            <w:webHidden/>
          </w:rPr>
        </w:r>
        <w:r>
          <w:rPr>
            <w:noProof/>
            <w:webHidden/>
          </w:rPr>
          <w:fldChar w:fldCharType="separate"/>
        </w:r>
        <w:r>
          <w:rPr>
            <w:noProof/>
            <w:webHidden/>
          </w:rPr>
          <w:t>157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0" w:history="1">
        <w:r w:rsidRPr="001B13A4">
          <w:rPr>
            <w:rStyle w:val="Hyperlink"/>
            <w:noProof/>
          </w:rPr>
          <w:t>2.1.424</w:t>
        </w:r>
        <w:r>
          <w:rPr>
            <w:rFonts w:asciiTheme="minorHAnsi" w:eastAsiaTheme="minorEastAsia" w:hAnsiTheme="minorHAnsi" w:cstheme="minorBidi"/>
            <w:noProof/>
            <w:sz w:val="22"/>
            <w:szCs w:val="22"/>
          </w:rPr>
          <w:tab/>
        </w:r>
        <w:r w:rsidRPr="001B13A4">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_Toc181683460 \h </w:instrText>
        </w:r>
        <w:r>
          <w:rPr>
            <w:noProof/>
            <w:webHidden/>
          </w:rPr>
        </w:r>
        <w:r>
          <w:rPr>
            <w:noProof/>
            <w:webHidden/>
          </w:rPr>
          <w:fldChar w:fldCharType="separate"/>
        </w:r>
        <w:r>
          <w:rPr>
            <w:noProof/>
            <w:webHidden/>
          </w:rPr>
          <w:t>157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1" w:history="1">
        <w:r w:rsidRPr="001B13A4">
          <w:rPr>
            <w:rStyle w:val="Hyperlink"/>
            <w:noProof/>
          </w:rPr>
          <w:t>2.1.425</w:t>
        </w:r>
        <w:r>
          <w:rPr>
            <w:rFonts w:asciiTheme="minorHAnsi" w:eastAsiaTheme="minorEastAsia" w:hAnsiTheme="minorHAnsi" w:cstheme="minorBidi"/>
            <w:noProof/>
            <w:sz w:val="22"/>
            <w:szCs w:val="22"/>
          </w:rPr>
          <w:tab/>
        </w:r>
        <w:r w:rsidRPr="001B13A4">
          <w:rPr>
            <w:rStyle w:val="Hyperlink"/>
            <w:noProof/>
          </w:rPr>
          <w:t>Part 1 Section 17.15.1.92, view (Document View Setting)</w:t>
        </w:r>
        <w:r>
          <w:rPr>
            <w:noProof/>
            <w:webHidden/>
          </w:rPr>
          <w:tab/>
        </w:r>
        <w:r>
          <w:rPr>
            <w:noProof/>
            <w:webHidden/>
          </w:rPr>
          <w:fldChar w:fldCharType="begin"/>
        </w:r>
        <w:r>
          <w:rPr>
            <w:noProof/>
            <w:webHidden/>
          </w:rPr>
          <w:instrText xml:space="preserve"> PAGEREF _Toc181683461 \h </w:instrText>
        </w:r>
        <w:r>
          <w:rPr>
            <w:noProof/>
            <w:webHidden/>
          </w:rPr>
        </w:r>
        <w:r>
          <w:rPr>
            <w:noProof/>
            <w:webHidden/>
          </w:rPr>
          <w:fldChar w:fldCharType="separate"/>
        </w:r>
        <w:r>
          <w:rPr>
            <w:noProof/>
            <w:webHidden/>
          </w:rPr>
          <w:t>158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2" w:history="1">
        <w:r w:rsidRPr="001B13A4">
          <w:rPr>
            <w:rStyle w:val="Hyperlink"/>
            <w:noProof/>
          </w:rPr>
          <w:t>2.1.426</w:t>
        </w:r>
        <w:r>
          <w:rPr>
            <w:rFonts w:asciiTheme="minorHAnsi" w:eastAsiaTheme="minorEastAsia" w:hAnsiTheme="minorHAnsi" w:cstheme="minorBidi"/>
            <w:noProof/>
            <w:sz w:val="22"/>
            <w:szCs w:val="22"/>
          </w:rPr>
          <w:tab/>
        </w:r>
        <w:r w:rsidRPr="001B13A4">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_Toc181683462 \h </w:instrText>
        </w:r>
        <w:r>
          <w:rPr>
            <w:noProof/>
            <w:webHidden/>
          </w:rPr>
        </w:r>
        <w:r>
          <w:rPr>
            <w:noProof/>
            <w:webHidden/>
          </w:rPr>
          <w:fldChar w:fldCharType="separate"/>
        </w:r>
        <w:r>
          <w:rPr>
            <w:noProof/>
            <w:webHidden/>
          </w:rPr>
          <w:t>158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3" w:history="1">
        <w:r w:rsidRPr="001B13A4">
          <w:rPr>
            <w:rStyle w:val="Hyperlink"/>
            <w:noProof/>
          </w:rPr>
          <w:t>2.1.427</w:t>
        </w:r>
        <w:r>
          <w:rPr>
            <w:rFonts w:asciiTheme="minorHAnsi" w:eastAsiaTheme="minorEastAsia" w:hAnsiTheme="minorHAnsi" w:cstheme="minorBidi"/>
            <w:noProof/>
            <w:sz w:val="22"/>
            <w:szCs w:val="22"/>
          </w:rPr>
          <w:tab/>
        </w:r>
        <w:r w:rsidRPr="001B13A4">
          <w:rPr>
            <w:rStyle w:val="Hyperlink"/>
            <w:noProof/>
          </w:rPr>
          <w:t>Part 1 Section 17.15.1.94, zoom (Magnification Setting)</w:t>
        </w:r>
        <w:r>
          <w:rPr>
            <w:noProof/>
            <w:webHidden/>
          </w:rPr>
          <w:tab/>
        </w:r>
        <w:r>
          <w:rPr>
            <w:noProof/>
            <w:webHidden/>
          </w:rPr>
          <w:fldChar w:fldCharType="begin"/>
        </w:r>
        <w:r>
          <w:rPr>
            <w:noProof/>
            <w:webHidden/>
          </w:rPr>
          <w:instrText xml:space="preserve"> PAGEREF _Toc181683463 \h </w:instrText>
        </w:r>
        <w:r>
          <w:rPr>
            <w:noProof/>
            <w:webHidden/>
          </w:rPr>
        </w:r>
        <w:r>
          <w:rPr>
            <w:noProof/>
            <w:webHidden/>
          </w:rPr>
          <w:fldChar w:fldCharType="separate"/>
        </w:r>
        <w:r>
          <w:rPr>
            <w:noProof/>
            <w:webHidden/>
          </w:rPr>
          <w:t>160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4" w:history="1">
        <w:r w:rsidRPr="001B13A4">
          <w:rPr>
            <w:rStyle w:val="Hyperlink"/>
            <w:noProof/>
          </w:rPr>
          <w:t>2.1.428</w:t>
        </w:r>
        <w:r>
          <w:rPr>
            <w:rFonts w:asciiTheme="minorHAnsi" w:eastAsiaTheme="minorEastAsia" w:hAnsiTheme="minorHAnsi" w:cstheme="minorBidi"/>
            <w:noProof/>
            <w:sz w:val="22"/>
            <w:szCs w:val="22"/>
          </w:rPr>
          <w:tab/>
        </w:r>
        <w:r w:rsidRPr="001B13A4">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_Toc181683464 \h </w:instrText>
        </w:r>
        <w:r>
          <w:rPr>
            <w:noProof/>
            <w:webHidden/>
          </w:rPr>
        </w:r>
        <w:r>
          <w:rPr>
            <w:noProof/>
            <w:webHidden/>
          </w:rPr>
          <w:fldChar w:fldCharType="separate"/>
        </w:r>
        <w:r>
          <w:rPr>
            <w:noProof/>
            <w:webHidden/>
          </w:rPr>
          <w:t>160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5" w:history="1">
        <w:r w:rsidRPr="001B13A4">
          <w:rPr>
            <w:rStyle w:val="Hyperlink"/>
            <w:noProof/>
          </w:rPr>
          <w:t>2.1.429</w:t>
        </w:r>
        <w:r>
          <w:rPr>
            <w:rFonts w:asciiTheme="minorHAnsi" w:eastAsiaTheme="minorEastAsia" w:hAnsiTheme="minorHAnsi" w:cstheme="minorBidi"/>
            <w:noProof/>
            <w:sz w:val="22"/>
            <w:szCs w:val="22"/>
          </w:rPr>
          <w:tab/>
        </w:r>
        <w:r w:rsidRPr="001B13A4">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_Toc181683465 \h </w:instrText>
        </w:r>
        <w:r>
          <w:rPr>
            <w:noProof/>
            <w:webHidden/>
          </w:rPr>
        </w:r>
        <w:r>
          <w:rPr>
            <w:noProof/>
            <w:webHidden/>
          </w:rPr>
          <w:fldChar w:fldCharType="separate"/>
        </w:r>
        <w:r>
          <w:rPr>
            <w:noProof/>
            <w:webHidden/>
          </w:rPr>
          <w:t>160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6" w:history="1">
        <w:r w:rsidRPr="001B13A4">
          <w:rPr>
            <w:rStyle w:val="Hyperlink"/>
            <w:noProof/>
          </w:rPr>
          <w:t>2.1.430</w:t>
        </w:r>
        <w:r>
          <w:rPr>
            <w:rFonts w:asciiTheme="minorHAnsi" w:eastAsiaTheme="minorEastAsia" w:hAnsiTheme="minorHAnsi" w:cstheme="minorBidi"/>
            <w:noProof/>
            <w:sz w:val="22"/>
            <w:szCs w:val="22"/>
          </w:rPr>
          <w:tab/>
        </w:r>
        <w:r w:rsidRPr="001B13A4">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_Toc181683466 \h </w:instrText>
        </w:r>
        <w:r>
          <w:rPr>
            <w:noProof/>
            <w:webHidden/>
          </w:rPr>
        </w:r>
        <w:r>
          <w:rPr>
            <w:noProof/>
            <w:webHidden/>
          </w:rPr>
          <w:fldChar w:fldCharType="separate"/>
        </w:r>
        <w:r>
          <w:rPr>
            <w:noProof/>
            <w:webHidden/>
          </w:rPr>
          <w:t>160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7" w:history="1">
        <w:r w:rsidRPr="001B13A4">
          <w:rPr>
            <w:rStyle w:val="Hyperlink"/>
            <w:noProof/>
          </w:rPr>
          <w:t>2.1.431</w:t>
        </w:r>
        <w:r>
          <w:rPr>
            <w:rFonts w:asciiTheme="minorHAnsi" w:eastAsiaTheme="minorEastAsia" w:hAnsiTheme="minorHAnsi" w:cstheme="minorBidi"/>
            <w:noProof/>
            <w:sz w:val="22"/>
            <w:szCs w:val="22"/>
          </w:rPr>
          <w:tab/>
        </w:r>
        <w:r w:rsidRPr="001B13A4">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_Toc181683467 \h </w:instrText>
        </w:r>
        <w:r>
          <w:rPr>
            <w:noProof/>
            <w:webHidden/>
          </w:rPr>
        </w:r>
        <w:r>
          <w:rPr>
            <w:noProof/>
            <w:webHidden/>
          </w:rPr>
          <w:fldChar w:fldCharType="separate"/>
        </w:r>
        <w:r>
          <w:rPr>
            <w:noProof/>
            <w:webHidden/>
          </w:rPr>
          <w:t>160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8" w:history="1">
        <w:r w:rsidRPr="001B13A4">
          <w:rPr>
            <w:rStyle w:val="Hyperlink"/>
            <w:noProof/>
          </w:rPr>
          <w:t>2.1.432</w:t>
        </w:r>
        <w:r>
          <w:rPr>
            <w:rFonts w:asciiTheme="minorHAnsi" w:eastAsiaTheme="minorEastAsia" w:hAnsiTheme="minorHAnsi" w:cstheme="minorBidi"/>
            <w:noProof/>
            <w:sz w:val="22"/>
            <w:szCs w:val="22"/>
          </w:rPr>
          <w:tab/>
        </w:r>
        <w:r w:rsidRPr="001B13A4">
          <w:rPr>
            <w:rStyle w:val="Hyperlink"/>
            <w:noProof/>
          </w:rPr>
          <w:t>Part 1 Section 17.15.2.5, color (Frameset Splitter Color)</w:t>
        </w:r>
        <w:r>
          <w:rPr>
            <w:noProof/>
            <w:webHidden/>
          </w:rPr>
          <w:tab/>
        </w:r>
        <w:r>
          <w:rPr>
            <w:noProof/>
            <w:webHidden/>
          </w:rPr>
          <w:fldChar w:fldCharType="begin"/>
        </w:r>
        <w:r>
          <w:rPr>
            <w:noProof/>
            <w:webHidden/>
          </w:rPr>
          <w:instrText xml:space="preserve"> PAGEREF _Toc181683468 \h </w:instrText>
        </w:r>
        <w:r>
          <w:rPr>
            <w:noProof/>
            <w:webHidden/>
          </w:rPr>
        </w:r>
        <w:r>
          <w:rPr>
            <w:noProof/>
            <w:webHidden/>
          </w:rPr>
          <w:fldChar w:fldCharType="separate"/>
        </w:r>
        <w:r>
          <w:rPr>
            <w:noProof/>
            <w:webHidden/>
          </w:rPr>
          <w:t>160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69" w:history="1">
        <w:r w:rsidRPr="001B13A4">
          <w:rPr>
            <w:rStyle w:val="Hyperlink"/>
            <w:noProof/>
          </w:rPr>
          <w:t>2.1.433</w:t>
        </w:r>
        <w:r>
          <w:rPr>
            <w:rFonts w:asciiTheme="minorHAnsi" w:eastAsiaTheme="minorEastAsia" w:hAnsiTheme="minorHAnsi" w:cstheme="minorBidi"/>
            <w:noProof/>
            <w:sz w:val="22"/>
            <w:szCs w:val="22"/>
          </w:rPr>
          <w:tab/>
        </w:r>
        <w:r w:rsidRPr="001B13A4">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_Toc181683469 \h </w:instrText>
        </w:r>
        <w:r>
          <w:rPr>
            <w:noProof/>
            <w:webHidden/>
          </w:rPr>
        </w:r>
        <w:r>
          <w:rPr>
            <w:noProof/>
            <w:webHidden/>
          </w:rPr>
          <w:fldChar w:fldCharType="separate"/>
        </w:r>
        <w:r>
          <w:rPr>
            <w:noProof/>
            <w:webHidden/>
          </w:rPr>
          <w:t>161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0" w:history="1">
        <w:r w:rsidRPr="001B13A4">
          <w:rPr>
            <w:rStyle w:val="Hyperlink"/>
            <w:noProof/>
          </w:rPr>
          <w:t>2.1.434</w:t>
        </w:r>
        <w:r>
          <w:rPr>
            <w:rFonts w:asciiTheme="minorHAnsi" w:eastAsiaTheme="minorEastAsia" w:hAnsiTheme="minorHAnsi" w:cstheme="minorBidi"/>
            <w:noProof/>
            <w:sz w:val="22"/>
            <w:szCs w:val="22"/>
          </w:rPr>
          <w:tab/>
        </w:r>
        <w:r w:rsidRPr="001B13A4">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_Toc181683470 \h </w:instrText>
        </w:r>
        <w:r>
          <w:rPr>
            <w:noProof/>
            <w:webHidden/>
          </w:rPr>
        </w:r>
        <w:r>
          <w:rPr>
            <w:noProof/>
            <w:webHidden/>
          </w:rPr>
          <w:fldChar w:fldCharType="separate"/>
        </w:r>
        <w:r>
          <w:rPr>
            <w:noProof/>
            <w:webHidden/>
          </w:rPr>
          <w:t>161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1" w:history="1">
        <w:r w:rsidRPr="001B13A4">
          <w:rPr>
            <w:rStyle w:val="Hyperlink"/>
            <w:noProof/>
          </w:rPr>
          <w:t>2.1.435</w:t>
        </w:r>
        <w:r>
          <w:rPr>
            <w:rFonts w:asciiTheme="minorHAnsi" w:eastAsiaTheme="minorEastAsia" w:hAnsiTheme="minorHAnsi" w:cstheme="minorBidi"/>
            <w:noProof/>
            <w:sz w:val="22"/>
            <w:szCs w:val="22"/>
          </w:rPr>
          <w:tab/>
        </w:r>
        <w:r w:rsidRPr="001B13A4">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_Toc181683471 \h </w:instrText>
        </w:r>
        <w:r>
          <w:rPr>
            <w:noProof/>
            <w:webHidden/>
          </w:rPr>
        </w:r>
        <w:r>
          <w:rPr>
            <w:noProof/>
            <w:webHidden/>
          </w:rPr>
          <w:fldChar w:fldCharType="separate"/>
        </w:r>
        <w:r>
          <w:rPr>
            <w:noProof/>
            <w:webHidden/>
          </w:rPr>
          <w:t>161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2" w:history="1">
        <w:r w:rsidRPr="001B13A4">
          <w:rPr>
            <w:rStyle w:val="Hyperlink"/>
            <w:noProof/>
          </w:rPr>
          <w:t>2.1.436</w:t>
        </w:r>
        <w:r>
          <w:rPr>
            <w:rFonts w:asciiTheme="minorHAnsi" w:eastAsiaTheme="minorEastAsia" w:hAnsiTheme="minorHAnsi" w:cstheme="minorBidi"/>
            <w:noProof/>
            <w:sz w:val="22"/>
            <w:szCs w:val="22"/>
          </w:rPr>
          <w:tab/>
        </w:r>
        <w:r w:rsidRPr="001B13A4">
          <w:rPr>
            <w:rStyle w:val="Hyperlink"/>
            <w:noProof/>
          </w:rPr>
          <w:t>Part 1 Section 17.15.2.17, frameLayout (Frameset Layout)</w:t>
        </w:r>
        <w:r>
          <w:rPr>
            <w:noProof/>
            <w:webHidden/>
          </w:rPr>
          <w:tab/>
        </w:r>
        <w:r>
          <w:rPr>
            <w:noProof/>
            <w:webHidden/>
          </w:rPr>
          <w:fldChar w:fldCharType="begin"/>
        </w:r>
        <w:r>
          <w:rPr>
            <w:noProof/>
            <w:webHidden/>
          </w:rPr>
          <w:instrText xml:space="preserve"> PAGEREF _Toc181683472 \h </w:instrText>
        </w:r>
        <w:r>
          <w:rPr>
            <w:noProof/>
            <w:webHidden/>
          </w:rPr>
        </w:r>
        <w:r>
          <w:rPr>
            <w:noProof/>
            <w:webHidden/>
          </w:rPr>
          <w:fldChar w:fldCharType="separate"/>
        </w:r>
        <w:r>
          <w:rPr>
            <w:noProof/>
            <w:webHidden/>
          </w:rPr>
          <w:t>161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3" w:history="1">
        <w:r w:rsidRPr="001B13A4">
          <w:rPr>
            <w:rStyle w:val="Hyperlink"/>
            <w:noProof/>
          </w:rPr>
          <w:t>2.1.437</w:t>
        </w:r>
        <w:r>
          <w:rPr>
            <w:rFonts w:asciiTheme="minorHAnsi" w:eastAsiaTheme="minorEastAsia" w:hAnsiTheme="minorHAnsi" w:cstheme="minorBidi"/>
            <w:noProof/>
            <w:sz w:val="22"/>
            <w:szCs w:val="22"/>
          </w:rPr>
          <w:tab/>
        </w:r>
        <w:r w:rsidRPr="001B13A4">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_Toc181683473 \h </w:instrText>
        </w:r>
        <w:r>
          <w:rPr>
            <w:noProof/>
            <w:webHidden/>
          </w:rPr>
        </w:r>
        <w:r>
          <w:rPr>
            <w:noProof/>
            <w:webHidden/>
          </w:rPr>
          <w:fldChar w:fldCharType="separate"/>
        </w:r>
        <w:r>
          <w:rPr>
            <w:noProof/>
            <w:webHidden/>
          </w:rPr>
          <w:t>161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4" w:history="1">
        <w:r w:rsidRPr="001B13A4">
          <w:rPr>
            <w:rStyle w:val="Hyperlink"/>
            <w:noProof/>
          </w:rPr>
          <w:t>2.1.438</w:t>
        </w:r>
        <w:r>
          <w:rPr>
            <w:rFonts w:asciiTheme="minorHAnsi" w:eastAsiaTheme="minorEastAsia" w:hAnsiTheme="minorHAnsi" w:cstheme="minorBidi"/>
            <w:noProof/>
            <w:sz w:val="22"/>
            <w:szCs w:val="22"/>
          </w:rPr>
          <w:tab/>
        </w:r>
        <w:r w:rsidRPr="001B13A4">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_Toc181683474 \h </w:instrText>
        </w:r>
        <w:r>
          <w:rPr>
            <w:noProof/>
            <w:webHidden/>
          </w:rPr>
        </w:r>
        <w:r>
          <w:rPr>
            <w:noProof/>
            <w:webHidden/>
          </w:rPr>
          <w:fldChar w:fldCharType="separate"/>
        </w:r>
        <w:r>
          <w:rPr>
            <w:noProof/>
            <w:webHidden/>
          </w:rPr>
          <w:t>161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5" w:history="1">
        <w:r w:rsidRPr="001B13A4">
          <w:rPr>
            <w:rStyle w:val="Hyperlink"/>
            <w:noProof/>
          </w:rPr>
          <w:t>2.1.439</w:t>
        </w:r>
        <w:r>
          <w:rPr>
            <w:rFonts w:asciiTheme="minorHAnsi" w:eastAsiaTheme="minorEastAsia" w:hAnsiTheme="minorHAnsi" w:cstheme="minorBidi"/>
            <w:noProof/>
            <w:sz w:val="22"/>
            <w:szCs w:val="22"/>
          </w:rPr>
          <w:tab/>
        </w:r>
        <w:r w:rsidRPr="001B13A4">
          <w:rPr>
            <w:rStyle w:val="Hyperlink"/>
            <w:noProof/>
          </w:rPr>
          <w:t>Part 1 Section 17.15.2.21, left (Left Border for HTML div)</w:t>
        </w:r>
        <w:r>
          <w:rPr>
            <w:noProof/>
            <w:webHidden/>
          </w:rPr>
          <w:tab/>
        </w:r>
        <w:r>
          <w:rPr>
            <w:noProof/>
            <w:webHidden/>
          </w:rPr>
          <w:fldChar w:fldCharType="begin"/>
        </w:r>
        <w:r>
          <w:rPr>
            <w:noProof/>
            <w:webHidden/>
          </w:rPr>
          <w:instrText xml:space="preserve"> PAGEREF _Toc181683475 \h </w:instrText>
        </w:r>
        <w:r>
          <w:rPr>
            <w:noProof/>
            <w:webHidden/>
          </w:rPr>
        </w:r>
        <w:r>
          <w:rPr>
            <w:noProof/>
            <w:webHidden/>
          </w:rPr>
          <w:fldChar w:fldCharType="separate"/>
        </w:r>
        <w:r>
          <w:rPr>
            <w:noProof/>
            <w:webHidden/>
          </w:rPr>
          <w:t>162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6" w:history="1">
        <w:r w:rsidRPr="001B13A4">
          <w:rPr>
            <w:rStyle w:val="Hyperlink"/>
            <w:noProof/>
          </w:rPr>
          <w:t>2.1.440</w:t>
        </w:r>
        <w:r>
          <w:rPr>
            <w:rFonts w:asciiTheme="minorHAnsi" w:eastAsiaTheme="minorEastAsia" w:hAnsiTheme="minorHAnsi" w:cstheme="minorBidi"/>
            <w:noProof/>
            <w:sz w:val="22"/>
            <w:szCs w:val="22"/>
          </w:rPr>
          <w:tab/>
        </w:r>
        <w:r w:rsidRPr="001B13A4">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_Toc181683476 \h </w:instrText>
        </w:r>
        <w:r>
          <w:rPr>
            <w:noProof/>
            <w:webHidden/>
          </w:rPr>
        </w:r>
        <w:r>
          <w:rPr>
            <w:noProof/>
            <w:webHidden/>
          </w:rPr>
          <w:fldChar w:fldCharType="separate"/>
        </w:r>
        <w:r>
          <w:rPr>
            <w:noProof/>
            <w:webHidden/>
          </w:rPr>
          <w:t>162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7" w:history="1">
        <w:r w:rsidRPr="001B13A4">
          <w:rPr>
            <w:rStyle w:val="Hyperlink"/>
            <w:noProof/>
          </w:rPr>
          <w:t>2.1.441</w:t>
        </w:r>
        <w:r>
          <w:rPr>
            <w:rFonts w:asciiTheme="minorHAnsi" w:eastAsiaTheme="minorEastAsia" w:hAnsiTheme="minorHAnsi" w:cstheme="minorBidi"/>
            <w:noProof/>
            <w:sz w:val="22"/>
            <w:szCs w:val="22"/>
          </w:rPr>
          <w:tab/>
        </w:r>
        <w:r w:rsidRPr="001B13A4">
          <w:rPr>
            <w:rStyle w:val="Hyperlink"/>
            <w:noProof/>
          </w:rPr>
          <w:t>Part 1 Section 17.15.2.30, name (Frame Name)</w:t>
        </w:r>
        <w:r>
          <w:rPr>
            <w:noProof/>
            <w:webHidden/>
          </w:rPr>
          <w:tab/>
        </w:r>
        <w:r>
          <w:rPr>
            <w:noProof/>
            <w:webHidden/>
          </w:rPr>
          <w:fldChar w:fldCharType="begin"/>
        </w:r>
        <w:r>
          <w:rPr>
            <w:noProof/>
            <w:webHidden/>
          </w:rPr>
          <w:instrText xml:space="preserve"> PAGEREF _Toc181683477 \h </w:instrText>
        </w:r>
        <w:r>
          <w:rPr>
            <w:noProof/>
            <w:webHidden/>
          </w:rPr>
        </w:r>
        <w:r>
          <w:rPr>
            <w:noProof/>
            <w:webHidden/>
          </w:rPr>
          <w:fldChar w:fldCharType="separate"/>
        </w:r>
        <w:r>
          <w:rPr>
            <w:noProof/>
            <w:webHidden/>
          </w:rPr>
          <w:t>162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8" w:history="1">
        <w:r w:rsidRPr="001B13A4">
          <w:rPr>
            <w:rStyle w:val="Hyperlink"/>
            <w:noProof/>
          </w:rPr>
          <w:t>2.1.442</w:t>
        </w:r>
        <w:r>
          <w:rPr>
            <w:rFonts w:asciiTheme="minorHAnsi" w:eastAsiaTheme="minorEastAsia" w:hAnsiTheme="minorHAnsi" w:cstheme="minorBidi"/>
            <w:noProof/>
            <w:sz w:val="22"/>
            <w:szCs w:val="22"/>
          </w:rPr>
          <w:tab/>
        </w:r>
        <w:r w:rsidRPr="001B13A4">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_Toc181683478 \h </w:instrText>
        </w:r>
        <w:r>
          <w:rPr>
            <w:noProof/>
            <w:webHidden/>
          </w:rPr>
        </w:r>
        <w:r>
          <w:rPr>
            <w:noProof/>
            <w:webHidden/>
          </w:rPr>
          <w:fldChar w:fldCharType="separate"/>
        </w:r>
        <w:r>
          <w:rPr>
            <w:noProof/>
            <w:webHidden/>
          </w:rPr>
          <w:t>162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79" w:history="1">
        <w:r w:rsidRPr="001B13A4">
          <w:rPr>
            <w:rStyle w:val="Hyperlink"/>
            <w:noProof/>
          </w:rPr>
          <w:t>2.1.443</w:t>
        </w:r>
        <w:r>
          <w:rPr>
            <w:rFonts w:asciiTheme="minorHAnsi" w:eastAsiaTheme="minorEastAsia" w:hAnsiTheme="minorHAnsi" w:cstheme="minorBidi"/>
            <w:noProof/>
            <w:sz w:val="22"/>
            <w:szCs w:val="22"/>
          </w:rPr>
          <w:tab/>
        </w:r>
        <w:r w:rsidRPr="001B13A4">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_Toc181683479 \h </w:instrText>
        </w:r>
        <w:r>
          <w:rPr>
            <w:noProof/>
            <w:webHidden/>
          </w:rPr>
        </w:r>
        <w:r>
          <w:rPr>
            <w:noProof/>
            <w:webHidden/>
          </w:rPr>
          <w:fldChar w:fldCharType="separate"/>
        </w:r>
        <w:r>
          <w:rPr>
            <w:noProof/>
            <w:webHidden/>
          </w:rPr>
          <w:t>162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0" w:history="1">
        <w:r w:rsidRPr="001B13A4">
          <w:rPr>
            <w:rStyle w:val="Hyperlink"/>
            <w:noProof/>
          </w:rPr>
          <w:t>2.1.444</w:t>
        </w:r>
        <w:r>
          <w:rPr>
            <w:rFonts w:asciiTheme="minorHAnsi" w:eastAsiaTheme="minorEastAsia" w:hAnsiTheme="minorHAnsi" w:cstheme="minorBidi"/>
            <w:noProof/>
            <w:sz w:val="22"/>
            <w:szCs w:val="22"/>
          </w:rPr>
          <w:tab/>
        </w:r>
        <w:r w:rsidRPr="001B13A4">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_Toc181683480 \h </w:instrText>
        </w:r>
        <w:r>
          <w:rPr>
            <w:noProof/>
            <w:webHidden/>
          </w:rPr>
        </w:r>
        <w:r>
          <w:rPr>
            <w:noProof/>
            <w:webHidden/>
          </w:rPr>
          <w:fldChar w:fldCharType="separate"/>
        </w:r>
        <w:r>
          <w:rPr>
            <w:noProof/>
            <w:webHidden/>
          </w:rPr>
          <w:t>162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1" w:history="1">
        <w:r w:rsidRPr="001B13A4">
          <w:rPr>
            <w:rStyle w:val="Hyperlink"/>
            <w:noProof/>
          </w:rPr>
          <w:t>2.1.445</w:t>
        </w:r>
        <w:r>
          <w:rPr>
            <w:rFonts w:asciiTheme="minorHAnsi" w:eastAsiaTheme="minorEastAsia" w:hAnsiTheme="minorHAnsi" w:cstheme="minorBidi"/>
            <w:noProof/>
            <w:sz w:val="22"/>
            <w:szCs w:val="22"/>
          </w:rPr>
          <w:tab/>
        </w:r>
        <w:r w:rsidRPr="001B13A4">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_Toc181683481 \h </w:instrText>
        </w:r>
        <w:r>
          <w:rPr>
            <w:noProof/>
            <w:webHidden/>
          </w:rPr>
        </w:r>
        <w:r>
          <w:rPr>
            <w:noProof/>
            <w:webHidden/>
          </w:rPr>
          <w:fldChar w:fldCharType="separate"/>
        </w:r>
        <w:r>
          <w:rPr>
            <w:noProof/>
            <w:webHidden/>
          </w:rPr>
          <w:t>162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2" w:history="1">
        <w:r w:rsidRPr="001B13A4">
          <w:rPr>
            <w:rStyle w:val="Hyperlink"/>
            <w:noProof/>
          </w:rPr>
          <w:t>2.1.446</w:t>
        </w:r>
        <w:r>
          <w:rPr>
            <w:rFonts w:asciiTheme="minorHAnsi" w:eastAsiaTheme="minorEastAsia" w:hAnsiTheme="minorHAnsi" w:cstheme="minorBidi"/>
            <w:noProof/>
            <w:sz w:val="22"/>
            <w:szCs w:val="22"/>
          </w:rPr>
          <w:tab/>
        </w:r>
        <w:r w:rsidRPr="001B13A4">
          <w:rPr>
            <w:rStyle w:val="Hyperlink"/>
            <w:noProof/>
          </w:rPr>
          <w:t>Part 1 Section 17.15.2.39, sz (Frame Size)</w:t>
        </w:r>
        <w:r>
          <w:rPr>
            <w:noProof/>
            <w:webHidden/>
          </w:rPr>
          <w:tab/>
        </w:r>
        <w:r>
          <w:rPr>
            <w:noProof/>
            <w:webHidden/>
          </w:rPr>
          <w:fldChar w:fldCharType="begin"/>
        </w:r>
        <w:r>
          <w:rPr>
            <w:noProof/>
            <w:webHidden/>
          </w:rPr>
          <w:instrText xml:space="preserve"> PAGEREF _Toc181683482 \h </w:instrText>
        </w:r>
        <w:r>
          <w:rPr>
            <w:noProof/>
            <w:webHidden/>
          </w:rPr>
        </w:r>
        <w:r>
          <w:rPr>
            <w:noProof/>
            <w:webHidden/>
          </w:rPr>
          <w:fldChar w:fldCharType="separate"/>
        </w:r>
        <w:r>
          <w:rPr>
            <w:noProof/>
            <w:webHidden/>
          </w:rPr>
          <w:t>162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3" w:history="1">
        <w:r w:rsidRPr="001B13A4">
          <w:rPr>
            <w:rStyle w:val="Hyperlink"/>
            <w:noProof/>
          </w:rPr>
          <w:t>2.1.447</w:t>
        </w:r>
        <w:r>
          <w:rPr>
            <w:rFonts w:asciiTheme="minorHAnsi" w:eastAsiaTheme="minorEastAsia" w:hAnsiTheme="minorHAnsi" w:cstheme="minorBidi"/>
            <w:noProof/>
            <w:sz w:val="22"/>
            <w:szCs w:val="22"/>
          </w:rPr>
          <w:tab/>
        </w:r>
        <w:r w:rsidRPr="001B13A4">
          <w:rPr>
            <w:rStyle w:val="Hyperlink"/>
            <w:noProof/>
          </w:rPr>
          <w:t>Part 1 Section 17.15.2.40, sz (Nested Frameset Size)</w:t>
        </w:r>
        <w:r>
          <w:rPr>
            <w:noProof/>
            <w:webHidden/>
          </w:rPr>
          <w:tab/>
        </w:r>
        <w:r>
          <w:rPr>
            <w:noProof/>
            <w:webHidden/>
          </w:rPr>
          <w:fldChar w:fldCharType="begin"/>
        </w:r>
        <w:r>
          <w:rPr>
            <w:noProof/>
            <w:webHidden/>
          </w:rPr>
          <w:instrText xml:space="preserve"> PAGEREF _Toc181683483 \h </w:instrText>
        </w:r>
        <w:r>
          <w:rPr>
            <w:noProof/>
            <w:webHidden/>
          </w:rPr>
        </w:r>
        <w:r>
          <w:rPr>
            <w:noProof/>
            <w:webHidden/>
          </w:rPr>
          <w:fldChar w:fldCharType="separate"/>
        </w:r>
        <w:r>
          <w:rPr>
            <w:noProof/>
            <w:webHidden/>
          </w:rPr>
          <w:t>163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4" w:history="1">
        <w:r w:rsidRPr="001B13A4">
          <w:rPr>
            <w:rStyle w:val="Hyperlink"/>
            <w:noProof/>
          </w:rPr>
          <w:t>2.1.448</w:t>
        </w:r>
        <w:r>
          <w:rPr>
            <w:rFonts w:asciiTheme="minorHAnsi" w:eastAsiaTheme="minorEastAsia" w:hAnsiTheme="minorHAnsi" w:cstheme="minorBidi"/>
            <w:noProof/>
            <w:sz w:val="22"/>
            <w:szCs w:val="22"/>
          </w:rPr>
          <w:tab/>
        </w:r>
        <w:r w:rsidRPr="001B13A4">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_Toc181683484 \h </w:instrText>
        </w:r>
        <w:r>
          <w:rPr>
            <w:noProof/>
            <w:webHidden/>
          </w:rPr>
        </w:r>
        <w:r>
          <w:rPr>
            <w:noProof/>
            <w:webHidden/>
          </w:rPr>
          <w:fldChar w:fldCharType="separate"/>
        </w:r>
        <w:r>
          <w:rPr>
            <w:noProof/>
            <w:webHidden/>
          </w:rPr>
          <w:t>163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5" w:history="1">
        <w:r w:rsidRPr="001B13A4">
          <w:rPr>
            <w:rStyle w:val="Hyperlink"/>
            <w:noProof/>
          </w:rPr>
          <w:t>2.1.449</w:t>
        </w:r>
        <w:r>
          <w:rPr>
            <w:rFonts w:asciiTheme="minorHAnsi" w:eastAsiaTheme="minorEastAsia" w:hAnsiTheme="minorHAnsi" w:cstheme="minorBidi"/>
            <w:noProof/>
            <w:sz w:val="22"/>
            <w:szCs w:val="22"/>
          </w:rPr>
          <w:tab/>
        </w:r>
        <w:r w:rsidRPr="001B13A4">
          <w:rPr>
            <w:rStyle w:val="Hyperlink"/>
            <w:noProof/>
          </w:rPr>
          <w:t>Part 1 Section 17.15.2.42, title (Frame or Frameset Title)</w:t>
        </w:r>
        <w:r>
          <w:rPr>
            <w:noProof/>
            <w:webHidden/>
          </w:rPr>
          <w:tab/>
        </w:r>
        <w:r>
          <w:rPr>
            <w:noProof/>
            <w:webHidden/>
          </w:rPr>
          <w:fldChar w:fldCharType="begin"/>
        </w:r>
        <w:r>
          <w:rPr>
            <w:noProof/>
            <w:webHidden/>
          </w:rPr>
          <w:instrText xml:space="preserve"> PAGEREF _Toc181683485 \h </w:instrText>
        </w:r>
        <w:r>
          <w:rPr>
            <w:noProof/>
            <w:webHidden/>
          </w:rPr>
        </w:r>
        <w:r>
          <w:rPr>
            <w:noProof/>
            <w:webHidden/>
          </w:rPr>
          <w:fldChar w:fldCharType="separate"/>
        </w:r>
        <w:r>
          <w:rPr>
            <w:noProof/>
            <w:webHidden/>
          </w:rPr>
          <w:t>163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6" w:history="1">
        <w:r w:rsidRPr="001B13A4">
          <w:rPr>
            <w:rStyle w:val="Hyperlink"/>
            <w:noProof/>
          </w:rPr>
          <w:t>2.1.450</w:t>
        </w:r>
        <w:r>
          <w:rPr>
            <w:rFonts w:asciiTheme="minorHAnsi" w:eastAsiaTheme="minorEastAsia" w:hAnsiTheme="minorHAnsi" w:cstheme="minorBidi"/>
            <w:noProof/>
            <w:sz w:val="22"/>
            <w:szCs w:val="22"/>
          </w:rPr>
          <w:tab/>
        </w:r>
        <w:r w:rsidRPr="001B13A4">
          <w:rPr>
            <w:rStyle w:val="Hyperlink"/>
            <w:noProof/>
          </w:rPr>
          <w:t>Part 1 Section 17.15.2.43, top (Top Border for HTML div)</w:t>
        </w:r>
        <w:r>
          <w:rPr>
            <w:noProof/>
            <w:webHidden/>
          </w:rPr>
          <w:tab/>
        </w:r>
        <w:r>
          <w:rPr>
            <w:noProof/>
            <w:webHidden/>
          </w:rPr>
          <w:fldChar w:fldCharType="begin"/>
        </w:r>
        <w:r>
          <w:rPr>
            <w:noProof/>
            <w:webHidden/>
          </w:rPr>
          <w:instrText xml:space="preserve"> PAGEREF _Toc181683486 \h </w:instrText>
        </w:r>
        <w:r>
          <w:rPr>
            <w:noProof/>
            <w:webHidden/>
          </w:rPr>
        </w:r>
        <w:r>
          <w:rPr>
            <w:noProof/>
            <w:webHidden/>
          </w:rPr>
          <w:fldChar w:fldCharType="separate"/>
        </w:r>
        <w:r>
          <w:rPr>
            <w:noProof/>
            <w:webHidden/>
          </w:rPr>
          <w:t>163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7" w:history="1">
        <w:r w:rsidRPr="001B13A4">
          <w:rPr>
            <w:rStyle w:val="Hyperlink"/>
            <w:noProof/>
          </w:rPr>
          <w:t>2.1.451</w:t>
        </w:r>
        <w:r>
          <w:rPr>
            <w:rFonts w:asciiTheme="minorHAnsi" w:eastAsiaTheme="minorEastAsia" w:hAnsiTheme="minorHAnsi" w:cstheme="minorBidi"/>
            <w:noProof/>
            <w:sz w:val="22"/>
            <w:szCs w:val="22"/>
          </w:rPr>
          <w:tab/>
        </w:r>
        <w:r w:rsidRPr="001B13A4">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_Toc181683487 \h </w:instrText>
        </w:r>
        <w:r>
          <w:rPr>
            <w:noProof/>
            <w:webHidden/>
          </w:rPr>
        </w:r>
        <w:r>
          <w:rPr>
            <w:noProof/>
            <w:webHidden/>
          </w:rPr>
          <w:fldChar w:fldCharType="separate"/>
        </w:r>
        <w:r>
          <w:rPr>
            <w:noProof/>
            <w:webHidden/>
          </w:rPr>
          <w:t>163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8" w:history="1">
        <w:r w:rsidRPr="001B13A4">
          <w:rPr>
            <w:rStyle w:val="Hyperlink"/>
            <w:noProof/>
          </w:rPr>
          <w:t>2.1.452</w:t>
        </w:r>
        <w:r>
          <w:rPr>
            <w:rFonts w:asciiTheme="minorHAnsi" w:eastAsiaTheme="minorEastAsia" w:hAnsiTheme="minorHAnsi" w:cstheme="minorBidi"/>
            <w:noProof/>
            <w:sz w:val="22"/>
            <w:szCs w:val="22"/>
          </w:rPr>
          <w:tab/>
        </w:r>
        <w:r w:rsidRPr="001B13A4">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_Toc181683488 \h </w:instrText>
        </w:r>
        <w:r>
          <w:rPr>
            <w:noProof/>
            <w:webHidden/>
          </w:rPr>
        </w:r>
        <w:r>
          <w:rPr>
            <w:noProof/>
            <w:webHidden/>
          </w:rPr>
          <w:fldChar w:fldCharType="separate"/>
        </w:r>
        <w:r>
          <w:rPr>
            <w:noProof/>
            <w:webHidden/>
          </w:rPr>
          <w:t>164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89" w:history="1">
        <w:r w:rsidRPr="001B13A4">
          <w:rPr>
            <w:rStyle w:val="Hyperlink"/>
            <w:noProof/>
          </w:rPr>
          <w:t>2.1.453</w:t>
        </w:r>
        <w:r>
          <w:rPr>
            <w:rFonts w:asciiTheme="minorHAnsi" w:eastAsiaTheme="minorEastAsia" w:hAnsiTheme="minorHAnsi" w:cstheme="minorBidi"/>
            <w:noProof/>
            <w:sz w:val="22"/>
            <w:szCs w:val="22"/>
          </w:rPr>
          <w:tab/>
        </w:r>
        <w:r w:rsidRPr="001B13A4">
          <w:rPr>
            <w:rStyle w:val="Hyperlink"/>
            <w:noProof/>
          </w:rPr>
          <w:t>Part 1 Section 17.16.1, Syntax</w:t>
        </w:r>
        <w:r>
          <w:rPr>
            <w:noProof/>
            <w:webHidden/>
          </w:rPr>
          <w:tab/>
        </w:r>
        <w:r>
          <w:rPr>
            <w:noProof/>
            <w:webHidden/>
          </w:rPr>
          <w:fldChar w:fldCharType="begin"/>
        </w:r>
        <w:r>
          <w:rPr>
            <w:noProof/>
            <w:webHidden/>
          </w:rPr>
          <w:instrText xml:space="preserve"> PAGEREF _Toc181683489 \h </w:instrText>
        </w:r>
        <w:r>
          <w:rPr>
            <w:noProof/>
            <w:webHidden/>
          </w:rPr>
        </w:r>
        <w:r>
          <w:rPr>
            <w:noProof/>
            <w:webHidden/>
          </w:rPr>
          <w:fldChar w:fldCharType="separate"/>
        </w:r>
        <w:r>
          <w:rPr>
            <w:noProof/>
            <w:webHidden/>
          </w:rPr>
          <w:t>164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0" w:history="1">
        <w:r w:rsidRPr="001B13A4">
          <w:rPr>
            <w:rStyle w:val="Hyperlink"/>
            <w:noProof/>
          </w:rPr>
          <w:t>2.1.454</w:t>
        </w:r>
        <w:r>
          <w:rPr>
            <w:rFonts w:asciiTheme="minorHAnsi" w:eastAsiaTheme="minorEastAsia" w:hAnsiTheme="minorHAnsi" w:cstheme="minorBidi"/>
            <w:noProof/>
            <w:sz w:val="22"/>
            <w:szCs w:val="22"/>
          </w:rPr>
          <w:tab/>
        </w:r>
        <w:r w:rsidRPr="001B13A4">
          <w:rPr>
            <w:rStyle w:val="Hyperlink"/>
            <w:noProof/>
          </w:rPr>
          <w:t>Part 1 Section 17.16.2, XML representation</w:t>
        </w:r>
        <w:r>
          <w:rPr>
            <w:noProof/>
            <w:webHidden/>
          </w:rPr>
          <w:tab/>
        </w:r>
        <w:r>
          <w:rPr>
            <w:noProof/>
            <w:webHidden/>
          </w:rPr>
          <w:fldChar w:fldCharType="begin"/>
        </w:r>
        <w:r>
          <w:rPr>
            <w:noProof/>
            <w:webHidden/>
          </w:rPr>
          <w:instrText xml:space="preserve"> PAGEREF _Toc181683490 \h </w:instrText>
        </w:r>
        <w:r>
          <w:rPr>
            <w:noProof/>
            <w:webHidden/>
          </w:rPr>
        </w:r>
        <w:r>
          <w:rPr>
            <w:noProof/>
            <w:webHidden/>
          </w:rPr>
          <w:fldChar w:fldCharType="separate"/>
        </w:r>
        <w:r>
          <w:rPr>
            <w:noProof/>
            <w:webHidden/>
          </w:rPr>
          <w:t>164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1" w:history="1">
        <w:r w:rsidRPr="001B13A4">
          <w:rPr>
            <w:rStyle w:val="Hyperlink"/>
            <w:noProof/>
          </w:rPr>
          <w:t>2.1.455</w:t>
        </w:r>
        <w:r>
          <w:rPr>
            <w:rFonts w:asciiTheme="minorHAnsi" w:eastAsiaTheme="minorEastAsia" w:hAnsiTheme="minorHAnsi" w:cstheme="minorBidi"/>
            <w:noProof/>
            <w:sz w:val="22"/>
            <w:szCs w:val="22"/>
          </w:rPr>
          <w:tab/>
        </w:r>
        <w:r w:rsidRPr="001B13A4">
          <w:rPr>
            <w:rStyle w:val="Hyperlink"/>
            <w:noProof/>
          </w:rPr>
          <w:t>Part 1 Section 17.16.3.2, Bookmarks</w:t>
        </w:r>
        <w:r>
          <w:rPr>
            <w:noProof/>
            <w:webHidden/>
          </w:rPr>
          <w:tab/>
        </w:r>
        <w:r>
          <w:rPr>
            <w:noProof/>
            <w:webHidden/>
          </w:rPr>
          <w:fldChar w:fldCharType="begin"/>
        </w:r>
        <w:r>
          <w:rPr>
            <w:noProof/>
            <w:webHidden/>
          </w:rPr>
          <w:instrText xml:space="preserve"> PAGEREF _Toc181683491 \h </w:instrText>
        </w:r>
        <w:r>
          <w:rPr>
            <w:noProof/>
            <w:webHidden/>
          </w:rPr>
        </w:r>
        <w:r>
          <w:rPr>
            <w:noProof/>
            <w:webHidden/>
          </w:rPr>
          <w:fldChar w:fldCharType="separate"/>
        </w:r>
        <w:r>
          <w:rPr>
            <w:noProof/>
            <w:webHidden/>
          </w:rPr>
          <w:t>165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2" w:history="1">
        <w:r w:rsidRPr="001B13A4">
          <w:rPr>
            <w:rStyle w:val="Hyperlink"/>
            <w:noProof/>
          </w:rPr>
          <w:t>2.1.456</w:t>
        </w:r>
        <w:r>
          <w:rPr>
            <w:rFonts w:asciiTheme="minorHAnsi" w:eastAsiaTheme="minorEastAsia" w:hAnsiTheme="minorHAnsi" w:cstheme="minorBidi"/>
            <w:noProof/>
            <w:sz w:val="22"/>
            <w:szCs w:val="22"/>
          </w:rPr>
          <w:tab/>
        </w:r>
        <w:r w:rsidRPr="001B13A4">
          <w:rPr>
            <w:rStyle w:val="Hyperlink"/>
            <w:noProof/>
          </w:rPr>
          <w:t>Part 1 Section 17.16.3.3, Operators</w:t>
        </w:r>
        <w:r>
          <w:rPr>
            <w:noProof/>
            <w:webHidden/>
          </w:rPr>
          <w:tab/>
        </w:r>
        <w:r>
          <w:rPr>
            <w:noProof/>
            <w:webHidden/>
          </w:rPr>
          <w:fldChar w:fldCharType="begin"/>
        </w:r>
        <w:r>
          <w:rPr>
            <w:noProof/>
            <w:webHidden/>
          </w:rPr>
          <w:instrText xml:space="preserve"> PAGEREF _Toc181683492 \h </w:instrText>
        </w:r>
        <w:r>
          <w:rPr>
            <w:noProof/>
            <w:webHidden/>
          </w:rPr>
        </w:r>
        <w:r>
          <w:rPr>
            <w:noProof/>
            <w:webHidden/>
          </w:rPr>
          <w:fldChar w:fldCharType="separate"/>
        </w:r>
        <w:r>
          <w:rPr>
            <w:noProof/>
            <w:webHidden/>
          </w:rPr>
          <w:t>165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3" w:history="1">
        <w:r w:rsidRPr="001B13A4">
          <w:rPr>
            <w:rStyle w:val="Hyperlink"/>
            <w:noProof/>
          </w:rPr>
          <w:t>2.1.457</w:t>
        </w:r>
        <w:r>
          <w:rPr>
            <w:rFonts w:asciiTheme="minorHAnsi" w:eastAsiaTheme="minorEastAsia" w:hAnsiTheme="minorHAnsi" w:cstheme="minorBidi"/>
            <w:noProof/>
            <w:sz w:val="22"/>
            <w:szCs w:val="22"/>
          </w:rPr>
          <w:tab/>
        </w:r>
        <w:r w:rsidRPr="001B13A4">
          <w:rPr>
            <w:rStyle w:val="Hyperlink"/>
            <w:noProof/>
          </w:rPr>
          <w:t>Part 1 Section 17.16.3.5, Table cell references</w:t>
        </w:r>
        <w:r>
          <w:rPr>
            <w:noProof/>
            <w:webHidden/>
          </w:rPr>
          <w:tab/>
        </w:r>
        <w:r>
          <w:rPr>
            <w:noProof/>
            <w:webHidden/>
          </w:rPr>
          <w:fldChar w:fldCharType="begin"/>
        </w:r>
        <w:r>
          <w:rPr>
            <w:noProof/>
            <w:webHidden/>
          </w:rPr>
          <w:instrText xml:space="preserve"> PAGEREF _Toc181683493 \h </w:instrText>
        </w:r>
        <w:r>
          <w:rPr>
            <w:noProof/>
            <w:webHidden/>
          </w:rPr>
        </w:r>
        <w:r>
          <w:rPr>
            <w:noProof/>
            <w:webHidden/>
          </w:rPr>
          <w:fldChar w:fldCharType="separate"/>
        </w:r>
        <w:r>
          <w:rPr>
            <w:noProof/>
            <w:webHidden/>
          </w:rPr>
          <w:t>165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4" w:history="1">
        <w:r w:rsidRPr="001B13A4">
          <w:rPr>
            <w:rStyle w:val="Hyperlink"/>
            <w:noProof/>
          </w:rPr>
          <w:t>2.1.458</w:t>
        </w:r>
        <w:r>
          <w:rPr>
            <w:rFonts w:asciiTheme="minorHAnsi" w:eastAsiaTheme="minorEastAsia" w:hAnsiTheme="minorHAnsi" w:cstheme="minorBidi"/>
            <w:noProof/>
            <w:sz w:val="22"/>
            <w:szCs w:val="22"/>
          </w:rPr>
          <w:tab/>
        </w:r>
        <w:r w:rsidRPr="001B13A4">
          <w:rPr>
            <w:rStyle w:val="Hyperlink"/>
            <w:noProof/>
          </w:rPr>
          <w:t>Part 1 Section 17.16.4.1, Date and time formatting</w:t>
        </w:r>
        <w:r>
          <w:rPr>
            <w:noProof/>
            <w:webHidden/>
          </w:rPr>
          <w:tab/>
        </w:r>
        <w:r>
          <w:rPr>
            <w:noProof/>
            <w:webHidden/>
          </w:rPr>
          <w:fldChar w:fldCharType="begin"/>
        </w:r>
        <w:r>
          <w:rPr>
            <w:noProof/>
            <w:webHidden/>
          </w:rPr>
          <w:instrText xml:space="preserve"> PAGEREF _Toc181683494 \h </w:instrText>
        </w:r>
        <w:r>
          <w:rPr>
            <w:noProof/>
            <w:webHidden/>
          </w:rPr>
        </w:r>
        <w:r>
          <w:rPr>
            <w:noProof/>
            <w:webHidden/>
          </w:rPr>
          <w:fldChar w:fldCharType="separate"/>
        </w:r>
        <w:r>
          <w:rPr>
            <w:noProof/>
            <w:webHidden/>
          </w:rPr>
          <w:t>165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5" w:history="1">
        <w:r w:rsidRPr="001B13A4">
          <w:rPr>
            <w:rStyle w:val="Hyperlink"/>
            <w:noProof/>
          </w:rPr>
          <w:t>2.1.459</w:t>
        </w:r>
        <w:r>
          <w:rPr>
            <w:rFonts w:asciiTheme="minorHAnsi" w:eastAsiaTheme="minorEastAsia" w:hAnsiTheme="minorHAnsi" w:cstheme="minorBidi"/>
            <w:noProof/>
            <w:sz w:val="22"/>
            <w:szCs w:val="22"/>
          </w:rPr>
          <w:tab/>
        </w:r>
        <w:r w:rsidRPr="001B13A4">
          <w:rPr>
            <w:rStyle w:val="Hyperlink"/>
            <w:noProof/>
          </w:rPr>
          <w:t>Part 1 Section 17.16.4.3, General formatting</w:t>
        </w:r>
        <w:r>
          <w:rPr>
            <w:noProof/>
            <w:webHidden/>
          </w:rPr>
          <w:tab/>
        </w:r>
        <w:r>
          <w:rPr>
            <w:noProof/>
            <w:webHidden/>
          </w:rPr>
          <w:fldChar w:fldCharType="begin"/>
        </w:r>
        <w:r>
          <w:rPr>
            <w:noProof/>
            <w:webHidden/>
          </w:rPr>
          <w:instrText xml:space="preserve"> PAGEREF _Toc181683495 \h </w:instrText>
        </w:r>
        <w:r>
          <w:rPr>
            <w:noProof/>
            <w:webHidden/>
          </w:rPr>
        </w:r>
        <w:r>
          <w:rPr>
            <w:noProof/>
            <w:webHidden/>
          </w:rPr>
          <w:fldChar w:fldCharType="separate"/>
        </w:r>
        <w:r>
          <w:rPr>
            <w:noProof/>
            <w:webHidden/>
          </w:rPr>
          <w:t>165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6" w:history="1">
        <w:r w:rsidRPr="001B13A4">
          <w:rPr>
            <w:rStyle w:val="Hyperlink"/>
            <w:noProof/>
          </w:rPr>
          <w:t>2.1.460</w:t>
        </w:r>
        <w:r>
          <w:rPr>
            <w:rFonts w:asciiTheme="minorHAnsi" w:eastAsiaTheme="minorEastAsia" w:hAnsiTheme="minorHAnsi" w:cstheme="minorBidi"/>
            <w:noProof/>
            <w:sz w:val="22"/>
            <w:szCs w:val="22"/>
          </w:rPr>
          <w:tab/>
        </w:r>
        <w:r w:rsidRPr="001B13A4">
          <w:rPr>
            <w:rStyle w:val="Hyperlink"/>
            <w:noProof/>
          </w:rPr>
          <w:t>Part 1 Section 17.16.5.1, ADDRESSBLOCK</w:t>
        </w:r>
        <w:r>
          <w:rPr>
            <w:noProof/>
            <w:webHidden/>
          </w:rPr>
          <w:tab/>
        </w:r>
        <w:r>
          <w:rPr>
            <w:noProof/>
            <w:webHidden/>
          </w:rPr>
          <w:fldChar w:fldCharType="begin"/>
        </w:r>
        <w:r>
          <w:rPr>
            <w:noProof/>
            <w:webHidden/>
          </w:rPr>
          <w:instrText xml:space="preserve"> PAGEREF _Toc181683496 \h </w:instrText>
        </w:r>
        <w:r>
          <w:rPr>
            <w:noProof/>
            <w:webHidden/>
          </w:rPr>
        </w:r>
        <w:r>
          <w:rPr>
            <w:noProof/>
            <w:webHidden/>
          </w:rPr>
          <w:fldChar w:fldCharType="separate"/>
        </w:r>
        <w:r>
          <w:rPr>
            <w:noProof/>
            <w:webHidden/>
          </w:rPr>
          <w:t>166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7" w:history="1">
        <w:r w:rsidRPr="001B13A4">
          <w:rPr>
            <w:rStyle w:val="Hyperlink"/>
            <w:noProof/>
          </w:rPr>
          <w:t>2.1.461</w:t>
        </w:r>
        <w:r>
          <w:rPr>
            <w:rFonts w:asciiTheme="minorHAnsi" w:eastAsiaTheme="minorEastAsia" w:hAnsiTheme="minorHAnsi" w:cstheme="minorBidi"/>
            <w:noProof/>
            <w:sz w:val="22"/>
            <w:szCs w:val="22"/>
          </w:rPr>
          <w:tab/>
        </w:r>
        <w:r w:rsidRPr="001B13A4">
          <w:rPr>
            <w:rStyle w:val="Hyperlink"/>
            <w:noProof/>
          </w:rPr>
          <w:t>Part 1 Section 17.16.5.2, ADVANCE</w:t>
        </w:r>
        <w:r>
          <w:rPr>
            <w:noProof/>
            <w:webHidden/>
          </w:rPr>
          <w:tab/>
        </w:r>
        <w:r>
          <w:rPr>
            <w:noProof/>
            <w:webHidden/>
          </w:rPr>
          <w:fldChar w:fldCharType="begin"/>
        </w:r>
        <w:r>
          <w:rPr>
            <w:noProof/>
            <w:webHidden/>
          </w:rPr>
          <w:instrText xml:space="preserve"> PAGEREF _Toc181683497 \h </w:instrText>
        </w:r>
        <w:r>
          <w:rPr>
            <w:noProof/>
            <w:webHidden/>
          </w:rPr>
        </w:r>
        <w:r>
          <w:rPr>
            <w:noProof/>
            <w:webHidden/>
          </w:rPr>
          <w:fldChar w:fldCharType="separate"/>
        </w:r>
        <w:r>
          <w:rPr>
            <w:noProof/>
            <w:webHidden/>
          </w:rPr>
          <w:t>184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8" w:history="1">
        <w:r w:rsidRPr="001B13A4">
          <w:rPr>
            <w:rStyle w:val="Hyperlink"/>
            <w:noProof/>
          </w:rPr>
          <w:t>2.1.462</w:t>
        </w:r>
        <w:r>
          <w:rPr>
            <w:rFonts w:asciiTheme="minorHAnsi" w:eastAsiaTheme="minorEastAsia" w:hAnsiTheme="minorHAnsi" w:cstheme="minorBidi"/>
            <w:noProof/>
            <w:sz w:val="22"/>
            <w:szCs w:val="22"/>
          </w:rPr>
          <w:tab/>
        </w:r>
        <w:r w:rsidRPr="001B13A4">
          <w:rPr>
            <w:rStyle w:val="Hyperlink"/>
            <w:noProof/>
          </w:rPr>
          <w:t>Part 1 Section 17.16.5.4, AUTHOR</w:t>
        </w:r>
        <w:r>
          <w:rPr>
            <w:noProof/>
            <w:webHidden/>
          </w:rPr>
          <w:tab/>
        </w:r>
        <w:r>
          <w:rPr>
            <w:noProof/>
            <w:webHidden/>
          </w:rPr>
          <w:fldChar w:fldCharType="begin"/>
        </w:r>
        <w:r>
          <w:rPr>
            <w:noProof/>
            <w:webHidden/>
          </w:rPr>
          <w:instrText xml:space="preserve"> PAGEREF _Toc181683498 \h </w:instrText>
        </w:r>
        <w:r>
          <w:rPr>
            <w:noProof/>
            <w:webHidden/>
          </w:rPr>
        </w:r>
        <w:r>
          <w:rPr>
            <w:noProof/>
            <w:webHidden/>
          </w:rPr>
          <w:fldChar w:fldCharType="separate"/>
        </w:r>
        <w:r>
          <w:rPr>
            <w:noProof/>
            <w:webHidden/>
          </w:rPr>
          <w:t>184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499" w:history="1">
        <w:r w:rsidRPr="001B13A4">
          <w:rPr>
            <w:rStyle w:val="Hyperlink"/>
            <w:noProof/>
          </w:rPr>
          <w:t>2.1.463</w:t>
        </w:r>
        <w:r>
          <w:rPr>
            <w:rFonts w:asciiTheme="minorHAnsi" w:eastAsiaTheme="minorEastAsia" w:hAnsiTheme="minorHAnsi" w:cstheme="minorBidi"/>
            <w:noProof/>
            <w:sz w:val="22"/>
            <w:szCs w:val="22"/>
          </w:rPr>
          <w:tab/>
        </w:r>
        <w:r w:rsidRPr="001B13A4">
          <w:rPr>
            <w:rStyle w:val="Hyperlink"/>
            <w:noProof/>
          </w:rPr>
          <w:t>Part 1 Section 17.16.5.7, BIBLIOGRAPHY</w:t>
        </w:r>
        <w:r>
          <w:rPr>
            <w:noProof/>
            <w:webHidden/>
          </w:rPr>
          <w:tab/>
        </w:r>
        <w:r>
          <w:rPr>
            <w:noProof/>
            <w:webHidden/>
          </w:rPr>
          <w:fldChar w:fldCharType="begin"/>
        </w:r>
        <w:r>
          <w:rPr>
            <w:noProof/>
            <w:webHidden/>
          </w:rPr>
          <w:instrText xml:space="preserve"> PAGEREF _Toc181683499 \h </w:instrText>
        </w:r>
        <w:r>
          <w:rPr>
            <w:noProof/>
            <w:webHidden/>
          </w:rPr>
        </w:r>
        <w:r>
          <w:rPr>
            <w:noProof/>
            <w:webHidden/>
          </w:rPr>
          <w:fldChar w:fldCharType="separate"/>
        </w:r>
        <w:r>
          <w:rPr>
            <w:noProof/>
            <w:webHidden/>
          </w:rPr>
          <w:t>184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0" w:history="1">
        <w:r w:rsidRPr="001B13A4">
          <w:rPr>
            <w:rStyle w:val="Hyperlink"/>
            <w:noProof/>
          </w:rPr>
          <w:t>2.1.464</w:t>
        </w:r>
        <w:r>
          <w:rPr>
            <w:rFonts w:asciiTheme="minorHAnsi" w:eastAsiaTheme="minorEastAsia" w:hAnsiTheme="minorHAnsi" w:cstheme="minorBidi"/>
            <w:noProof/>
            <w:sz w:val="22"/>
            <w:szCs w:val="22"/>
          </w:rPr>
          <w:tab/>
        </w:r>
        <w:r w:rsidRPr="001B13A4">
          <w:rPr>
            <w:rStyle w:val="Hyperlink"/>
            <w:noProof/>
          </w:rPr>
          <w:t>Part 1 Section 17.16.5.8, CITATION</w:t>
        </w:r>
        <w:r>
          <w:rPr>
            <w:noProof/>
            <w:webHidden/>
          </w:rPr>
          <w:tab/>
        </w:r>
        <w:r>
          <w:rPr>
            <w:noProof/>
            <w:webHidden/>
          </w:rPr>
          <w:fldChar w:fldCharType="begin"/>
        </w:r>
        <w:r>
          <w:rPr>
            <w:noProof/>
            <w:webHidden/>
          </w:rPr>
          <w:instrText xml:space="preserve"> PAGEREF _Toc181683500 \h </w:instrText>
        </w:r>
        <w:r>
          <w:rPr>
            <w:noProof/>
            <w:webHidden/>
          </w:rPr>
        </w:r>
        <w:r>
          <w:rPr>
            <w:noProof/>
            <w:webHidden/>
          </w:rPr>
          <w:fldChar w:fldCharType="separate"/>
        </w:r>
        <w:r>
          <w:rPr>
            <w:noProof/>
            <w:webHidden/>
          </w:rPr>
          <w:t>185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1" w:history="1">
        <w:r w:rsidRPr="001B13A4">
          <w:rPr>
            <w:rStyle w:val="Hyperlink"/>
            <w:noProof/>
          </w:rPr>
          <w:t>2.1.465</w:t>
        </w:r>
        <w:r>
          <w:rPr>
            <w:rFonts w:asciiTheme="minorHAnsi" w:eastAsiaTheme="minorEastAsia" w:hAnsiTheme="minorHAnsi" w:cstheme="minorBidi"/>
            <w:noProof/>
            <w:sz w:val="22"/>
            <w:szCs w:val="22"/>
          </w:rPr>
          <w:tab/>
        </w:r>
        <w:r w:rsidRPr="001B13A4">
          <w:rPr>
            <w:rStyle w:val="Hyperlink"/>
            <w:noProof/>
          </w:rPr>
          <w:t>Part 1 Section 17.16.5.9, COMMENTS</w:t>
        </w:r>
        <w:r>
          <w:rPr>
            <w:noProof/>
            <w:webHidden/>
          </w:rPr>
          <w:tab/>
        </w:r>
        <w:r>
          <w:rPr>
            <w:noProof/>
            <w:webHidden/>
          </w:rPr>
          <w:fldChar w:fldCharType="begin"/>
        </w:r>
        <w:r>
          <w:rPr>
            <w:noProof/>
            <w:webHidden/>
          </w:rPr>
          <w:instrText xml:space="preserve"> PAGEREF _Toc181683501 \h </w:instrText>
        </w:r>
        <w:r>
          <w:rPr>
            <w:noProof/>
            <w:webHidden/>
          </w:rPr>
        </w:r>
        <w:r>
          <w:rPr>
            <w:noProof/>
            <w:webHidden/>
          </w:rPr>
          <w:fldChar w:fldCharType="separate"/>
        </w:r>
        <w:r>
          <w:rPr>
            <w:noProof/>
            <w:webHidden/>
          </w:rPr>
          <w:t>185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2" w:history="1">
        <w:r w:rsidRPr="001B13A4">
          <w:rPr>
            <w:rStyle w:val="Hyperlink"/>
            <w:noProof/>
          </w:rPr>
          <w:t>2.1.466</w:t>
        </w:r>
        <w:r>
          <w:rPr>
            <w:rFonts w:asciiTheme="minorHAnsi" w:eastAsiaTheme="minorEastAsia" w:hAnsiTheme="minorHAnsi" w:cstheme="minorBidi"/>
            <w:noProof/>
            <w:sz w:val="22"/>
            <w:szCs w:val="22"/>
          </w:rPr>
          <w:tab/>
        </w:r>
        <w:r w:rsidRPr="001B13A4">
          <w:rPr>
            <w:rStyle w:val="Hyperlink"/>
            <w:noProof/>
          </w:rPr>
          <w:t>Part 1 Section 17.16.5.10, COMPARE</w:t>
        </w:r>
        <w:r>
          <w:rPr>
            <w:noProof/>
            <w:webHidden/>
          </w:rPr>
          <w:tab/>
        </w:r>
        <w:r>
          <w:rPr>
            <w:noProof/>
            <w:webHidden/>
          </w:rPr>
          <w:fldChar w:fldCharType="begin"/>
        </w:r>
        <w:r>
          <w:rPr>
            <w:noProof/>
            <w:webHidden/>
          </w:rPr>
          <w:instrText xml:space="preserve"> PAGEREF _Toc181683502 \h </w:instrText>
        </w:r>
        <w:r>
          <w:rPr>
            <w:noProof/>
            <w:webHidden/>
          </w:rPr>
        </w:r>
        <w:r>
          <w:rPr>
            <w:noProof/>
            <w:webHidden/>
          </w:rPr>
          <w:fldChar w:fldCharType="separate"/>
        </w:r>
        <w:r>
          <w:rPr>
            <w:noProof/>
            <w:webHidden/>
          </w:rPr>
          <w:t>185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3" w:history="1">
        <w:r w:rsidRPr="001B13A4">
          <w:rPr>
            <w:rStyle w:val="Hyperlink"/>
            <w:noProof/>
          </w:rPr>
          <w:t>2.1.467</w:t>
        </w:r>
        <w:r>
          <w:rPr>
            <w:rFonts w:asciiTheme="minorHAnsi" w:eastAsiaTheme="minorEastAsia" w:hAnsiTheme="minorHAnsi" w:cstheme="minorBidi"/>
            <w:noProof/>
            <w:sz w:val="22"/>
            <w:szCs w:val="22"/>
          </w:rPr>
          <w:tab/>
        </w:r>
        <w:r w:rsidRPr="001B13A4">
          <w:rPr>
            <w:rStyle w:val="Hyperlink"/>
            <w:noProof/>
          </w:rPr>
          <w:t>Part 1 Section 17.16.5.11, CREATEDATE</w:t>
        </w:r>
        <w:r>
          <w:rPr>
            <w:noProof/>
            <w:webHidden/>
          </w:rPr>
          <w:tab/>
        </w:r>
        <w:r>
          <w:rPr>
            <w:noProof/>
            <w:webHidden/>
          </w:rPr>
          <w:fldChar w:fldCharType="begin"/>
        </w:r>
        <w:r>
          <w:rPr>
            <w:noProof/>
            <w:webHidden/>
          </w:rPr>
          <w:instrText xml:space="preserve"> PAGEREF _Toc181683503 \h </w:instrText>
        </w:r>
        <w:r>
          <w:rPr>
            <w:noProof/>
            <w:webHidden/>
          </w:rPr>
        </w:r>
        <w:r>
          <w:rPr>
            <w:noProof/>
            <w:webHidden/>
          </w:rPr>
          <w:fldChar w:fldCharType="separate"/>
        </w:r>
        <w:r>
          <w:rPr>
            <w:noProof/>
            <w:webHidden/>
          </w:rPr>
          <w:t>185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4" w:history="1">
        <w:r w:rsidRPr="001B13A4">
          <w:rPr>
            <w:rStyle w:val="Hyperlink"/>
            <w:noProof/>
          </w:rPr>
          <w:t>2.1.468</w:t>
        </w:r>
        <w:r>
          <w:rPr>
            <w:rFonts w:asciiTheme="minorHAnsi" w:eastAsiaTheme="minorEastAsia" w:hAnsiTheme="minorHAnsi" w:cstheme="minorBidi"/>
            <w:noProof/>
            <w:sz w:val="22"/>
            <w:szCs w:val="22"/>
          </w:rPr>
          <w:tab/>
        </w:r>
        <w:r w:rsidRPr="001B13A4">
          <w:rPr>
            <w:rStyle w:val="Hyperlink"/>
            <w:noProof/>
          </w:rPr>
          <w:t>Part 1 Section 17.16.5.12, DATABASE</w:t>
        </w:r>
        <w:r>
          <w:rPr>
            <w:noProof/>
            <w:webHidden/>
          </w:rPr>
          <w:tab/>
        </w:r>
        <w:r>
          <w:rPr>
            <w:noProof/>
            <w:webHidden/>
          </w:rPr>
          <w:fldChar w:fldCharType="begin"/>
        </w:r>
        <w:r>
          <w:rPr>
            <w:noProof/>
            <w:webHidden/>
          </w:rPr>
          <w:instrText xml:space="preserve"> PAGEREF _Toc181683504 \h </w:instrText>
        </w:r>
        <w:r>
          <w:rPr>
            <w:noProof/>
            <w:webHidden/>
          </w:rPr>
        </w:r>
        <w:r>
          <w:rPr>
            <w:noProof/>
            <w:webHidden/>
          </w:rPr>
          <w:fldChar w:fldCharType="separate"/>
        </w:r>
        <w:r>
          <w:rPr>
            <w:noProof/>
            <w:webHidden/>
          </w:rPr>
          <w:t>185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5" w:history="1">
        <w:r w:rsidRPr="001B13A4">
          <w:rPr>
            <w:rStyle w:val="Hyperlink"/>
            <w:noProof/>
          </w:rPr>
          <w:t>2.1.469</w:t>
        </w:r>
        <w:r>
          <w:rPr>
            <w:rFonts w:asciiTheme="minorHAnsi" w:eastAsiaTheme="minorEastAsia" w:hAnsiTheme="minorHAnsi" w:cstheme="minorBidi"/>
            <w:noProof/>
            <w:sz w:val="22"/>
            <w:szCs w:val="22"/>
          </w:rPr>
          <w:tab/>
        </w:r>
        <w:r w:rsidRPr="001B13A4">
          <w:rPr>
            <w:rStyle w:val="Hyperlink"/>
            <w:noProof/>
          </w:rPr>
          <w:t>Part 1 Section 17.16.5.13, DATE</w:t>
        </w:r>
        <w:r>
          <w:rPr>
            <w:noProof/>
            <w:webHidden/>
          </w:rPr>
          <w:tab/>
        </w:r>
        <w:r>
          <w:rPr>
            <w:noProof/>
            <w:webHidden/>
          </w:rPr>
          <w:fldChar w:fldCharType="begin"/>
        </w:r>
        <w:r>
          <w:rPr>
            <w:noProof/>
            <w:webHidden/>
          </w:rPr>
          <w:instrText xml:space="preserve"> PAGEREF _Toc181683505 \h </w:instrText>
        </w:r>
        <w:r>
          <w:rPr>
            <w:noProof/>
            <w:webHidden/>
          </w:rPr>
        </w:r>
        <w:r>
          <w:rPr>
            <w:noProof/>
            <w:webHidden/>
          </w:rPr>
          <w:fldChar w:fldCharType="separate"/>
        </w:r>
        <w:r>
          <w:rPr>
            <w:noProof/>
            <w:webHidden/>
          </w:rPr>
          <w:t>213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6" w:history="1">
        <w:r w:rsidRPr="001B13A4">
          <w:rPr>
            <w:rStyle w:val="Hyperlink"/>
            <w:noProof/>
          </w:rPr>
          <w:t>2.1.470</w:t>
        </w:r>
        <w:r>
          <w:rPr>
            <w:rFonts w:asciiTheme="minorHAnsi" w:eastAsiaTheme="minorEastAsia" w:hAnsiTheme="minorHAnsi" w:cstheme="minorBidi"/>
            <w:noProof/>
            <w:sz w:val="22"/>
            <w:szCs w:val="22"/>
          </w:rPr>
          <w:tab/>
        </w:r>
        <w:r w:rsidRPr="001B13A4">
          <w:rPr>
            <w:rStyle w:val="Hyperlink"/>
            <w:noProof/>
          </w:rPr>
          <w:t>Part 1 Section 17.16.5.14, DOCPROPERTY</w:t>
        </w:r>
        <w:r>
          <w:rPr>
            <w:noProof/>
            <w:webHidden/>
          </w:rPr>
          <w:tab/>
        </w:r>
        <w:r>
          <w:rPr>
            <w:noProof/>
            <w:webHidden/>
          </w:rPr>
          <w:fldChar w:fldCharType="begin"/>
        </w:r>
        <w:r>
          <w:rPr>
            <w:noProof/>
            <w:webHidden/>
          </w:rPr>
          <w:instrText xml:space="preserve"> PAGEREF _Toc181683506 \h </w:instrText>
        </w:r>
        <w:r>
          <w:rPr>
            <w:noProof/>
            <w:webHidden/>
          </w:rPr>
        </w:r>
        <w:r>
          <w:rPr>
            <w:noProof/>
            <w:webHidden/>
          </w:rPr>
          <w:fldChar w:fldCharType="separate"/>
        </w:r>
        <w:r>
          <w:rPr>
            <w:noProof/>
            <w:webHidden/>
          </w:rPr>
          <w:t>213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7" w:history="1">
        <w:r w:rsidRPr="001B13A4">
          <w:rPr>
            <w:rStyle w:val="Hyperlink"/>
            <w:noProof/>
          </w:rPr>
          <w:t>2.1.471</w:t>
        </w:r>
        <w:r>
          <w:rPr>
            <w:rFonts w:asciiTheme="minorHAnsi" w:eastAsiaTheme="minorEastAsia" w:hAnsiTheme="minorHAnsi" w:cstheme="minorBidi"/>
            <w:noProof/>
            <w:sz w:val="22"/>
            <w:szCs w:val="22"/>
          </w:rPr>
          <w:tab/>
        </w:r>
        <w:r w:rsidRPr="001B13A4">
          <w:rPr>
            <w:rStyle w:val="Hyperlink"/>
            <w:noProof/>
          </w:rPr>
          <w:t>Part 1 Section 17.16.5.17, FILENAME</w:t>
        </w:r>
        <w:r>
          <w:rPr>
            <w:noProof/>
            <w:webHidden/>
          </w:rPr>
          <w:tab/>
        </w:r>
        <w:r>
          <w:rPr>
            <w:noProof/>
            <w:webHidden/>
          </w:rPr>
          <w:fldChar w:fldCharType="begin"/>
        </w:r>
        <w:r>
          <w:rPr>
            <w:noProof/>
            <w:webHidden/>
          </w:rPr>
          <w:instrText xml:space="preserve"> PAGEREF _Toc181683507 \h </w:instrText>
        </w:r>
        <w:r>
          <w:rPr>
            <w:noProof/>
            <w:webHidden/>
          </w:rPr>
        </w:r>
        <w:r>
          <w:rPr>
            <w:noProof/>
            <w:webHidden/>
          </w:rPr>
          <w:fldChar w:fldCharType="separate"/>
        </w:r>
        <w:r>
          <w:rPr>
            <w:noProof/>
            <w:webHidden/>
          </w:rPr>
          <w:t>213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8" w:history="1">
        <w:r w:rsidRPr="001B13A4">
          <w:rPr>
            <w:rStyle w:val="Hyperlink"/>
            <w:noProof/>
          </w:rPr>
          <w:t>2.1.472</w:t>
        </w:r>
        <w:r>
          <w:rPr>
            <w:rFonts w:asciiTheme="minorHAnsi" w:eastAsiaTheme="minorEastAsia" w:hAnsiTheme="minorHAnsi" w:cstheme="minorBidi"/>
            <w:noProof/>
            <w:sz w:val="22"/>
            <w:szCs w:val="22"/>
          </w:rPr>
          <w:tab/>
        </w:r>
        <w:r w:rsidRPr="001B13A4">
          <w:rPr>
            <w:rStyle w:val="Hyperlink"/>
            <w:noProof/>
          </w:rPr>
          <w:t>Part 1 Section 17.16.5.18, FILESIZE</w:t>
        </w:r>
        <w:r>
          <w:rPr>
            <w:noProof/>
            <w:webHidden/>
          </w:rPr>
          <w:tab/>
        </w:r>
        <w:r>
          <w:rPr>
            <w:noProof/>
            <w:webHidden/>
          </w:rPr>
          <w:fldChar w:fldCharType="begin"/>
        </w:r>
        <w:r>
          <w:rPr>
            <w:noProof/>
            <w:webHidden/>
          </w:rPr>
          <w:instrText xml:space="preserve"> PAGEREF _Toc181683508 \h </w:instrText>
        </w:r>
        <w:r>
          <w:rPr>
            <w:noProof/>
            <w:webHidden/>
          </w:rPr>
        </w:r>
        <w:r>
          <w:rPr>
            <w:noProof/>
            <w:webHidden/>
          </w:rPr>
          <w:fldChar w:fldCharType="separate"/>
        </w:r>
        <w:r>
          <w:rPr>
            <w:noProof/>
            <w:webHidden/>
          </w:rPr>
          <w:t>213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09" w:history="1">
        <w:r w:rsidRPr="001B13A4">
          <w:rPr>
            <w:rStyle w:val="Hyperlink"/>
            <w:noProof/>
          </w:rPr>
          <w:t>2.1.473</w:t>
        </w:r>
        <w:r>
          <w:rPr>
            <w:rFonts w:asciiTheme="minorHAnsi" w:eastAsiaTheme="minorEastAsia" w:hAnsiTheme="minorHAnsi" w:cstheme="minorBidi"/>
            <w:noProof/>
            <w:sz w:val="22"/>
            <w:szCs w:val="22"/>
          </w:rPr>
          <w:tab/>
        </w:r>
        <w:r w:rsidRPr="001B13A4">
          <w:rPr>
            <w:rStyle w:val="Hyperlink"/>
            <w:noProof/>
          </w:rPr>
          <w:t>Part 1 Section 17.16.5.20, FORMCHECKBOX</w:t>
        </w:r>
        <w:r>
          <w:rPr>
            <w:noProof/>
            <w:webHidden/>
          </w:rPr>
          <w:tab/>
        </w:r>
        <w:r>
          <w:rPr>
            <w:noProof/>
            <w:webHidden/>
          </w:rPr>
          <w:fldChar w:fldCharType="begin"/>
        </w:r>
        <w:r>
          <w:rPr>
            <w:noProof/>
            <w:webHidden/>
          </w:rPr>
          <w:instrText xml:space="preserve"> PAGEREF _Toc181683509 \h </w:instrText>
        </w:r>
        <w:r>
          <w:rPr>
            <w:noProof/>
            <w:webHidden/>
          </w:rPr>
        </w:r>
        <w:r>
          <w:rPr>
            <w:noProof/>
            <w:webHidden/>
          </w:rPr>
          <w:fldChar w:fldCharType="separate"/>
        </w:r>
        <w:r>
          <w:rPr>
            <w:noProof/>
            <w:webHidden/>
          </w:rPr>
          <w:t>213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0" w:history="1">
        <w:r w:rsidRPr="001B13A4">
          <w:rPr>
            <w:rStyle w:val="Hyperlink"/>
            <w:noProof/>
          </w:rPr>
          <w:t>2.1.474</w:t>
        </w:r>
        <w:r>
          <w:rPr>
            <w:rFonts w:asciiTheme="minorHAnsi" w:eastAsiaTheme="minorEastAsia" w:hAnsiTheme="minorHAnsi" w:cstheme="minorBidi"/>
            <w:noProof/>
            <w:sz w:val="22"/>
            <w:szCs w:val="22"/>
          </w:rPr>
          <w:tab/>
        </w:r>
        <w:r w:rsidRPr="001B13A4">
          <w:rPr>
            <w:rStyle w:val="Hyperlink"/>
            <w:noProof/>
          </w:rPr>
          <w:t>Part 1 Section 17.16.5.21, FORMDROPDOWN</w:t>
        </w:r>
        <w:r>
          <w:rPr>
            <w:noProof/>
            <w:webHidden/>
          </w:rPr>
          <w:tab/>
        </w:r>
        <w:r>
          <w:rPr>
            <w:noProof/>
            <w:webHidden/>
          </w:rPr>
          <w:fldChar w:fldCharType="begin"/>
        </w:r>
        <w:r>
          <w:rPr>
            <w:noProof/>
            <w:webHidden/>
          </w:rPr>
          <w:instrText xml:space="preserve"> PAGEREF _Toc181683510 \h </w:instrText>
        </w:r>
        <w:r>
          <w:rPr>
            <w:noProof/>
            <w:webHidden/>
          </w:rPr>
        </w:r>
        <w:r>
          <w:rPr>
            <w:noProof/>
            <w:webHidden/>
          </w:rPr>
          <w:fldChar w:fldCharType="separate"/>
        </w:r>
        <w:r>
          <w:rPr>
            <w:noProof/>
            <w:webHidden/>
          </w:rPr>
          <w:t>213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1" w:history="1">
        <w:r w:rsidRPr="001B13A4">
          <w:rPr>
            <w:rStyle w:val="Hyperlink"/>
            <w:noProof/>
          </w:rPr>
          <w:t>2.1.475</w:t>
        </w:r>
        <w:r>
          <w:rPr>
            <w:rFonts w:asciiTheme="minorHAnsi" w:eastAsiaTheme="minorEastAsia" w:hAnsiTheme="minorHAnsi" w:cstheme="minorBidi"/>
            <w:noProof/>
            <w:sz w:val="22"/>
            <w:szCs w:val="22"/>
          </w:rPr>
          <w:tab/>
        </w:r>
        <w:r w:rsidRPr="001B13A4">
          <w:rPr>
            <w:rStyle w:val="Hyperlink"/>
            <w:noProof/>
          </w:rPr>
          <w:t>Part 1 Section 17.16.5.23, GOTOBUTTON</w:t>
        </w:r>
        <w:r>
          <w:rPr>
            <w:noProof/>
            <w:webHidden/>
          </w:rPr>
          <w:tab/>
        </w:r>
        <w:r>
          <w:rPr>
            <w:noProof/>
            <w:webHidden/>
          </w:rPr>
          <w:fldChar w:fldCharType="begin"/>
        </w:r>
        <w:r>
          <w:rPr>
            <w:noProof/>
            <w:webHidden/>
          </w:rPr>
          <w:instrText xml:space="preserve"> PAGEREF _Toc181683511 \h </w:instrText>
        </w:r>
        <w:r>
          <w:rPr>
            <w:noProof/>
            <w:webHidden/>
          </w:rPr>
        </w:r>
        <w:r>
          <w:rPr>
            <w:noProof/>
            <w:webHidden/>
          </w:rPr>
          <w:fldChar w:fldCharType="separate"/>
        </w:r>
        <w:r>
          <w:rPr>
            <w:noProof/>
            <w:webHidden/>
          </w:rPr>
          <w:t>213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2" w:history="1">
        <w:r w:rsidRPr="001B13A4">
          <w:rPr>
            <w:rStyle w:val="Hyperlink"/>
            <w:noProof/>
          </w:rPr>
          <w:t>2.1.476</w:t>
        </w:r>
        <w:r>
          <w:rPr>
            <w:rFonts w:asciiTheme="minorHAnsi" w:eastAsiaTheme="minorEastAsia" w:hAnsiTheme="minorHAnsi" w:cstheme="minorBidi"/>
            <w:noProof/>
            <w:sz w:val="22"/>
            <w:szCs w:val="22"/>
          </w:rPr>
          <w:tab/>
        </w:r>
        <w:r w:rsidRPr="001B13A4">
          <w:rPr>
            <w:rStyle w:val="Hyperlink"/>
            <w:noProof/>
          </w:rPr>
          <w:t>Part 1 Section 17.16.5.24, GREETINGLINE</w:t>
        </w:r>
        <w:r>
          <w:rPr>
            <w:noProof/>
            <w:webHidden/>
          </w:rPr>
          <w:tab/>
        </w:r>
        <w:r>
          <w:rPr>
            <w:noProof/>
            <w:webHidden/>
          </w:rPr>
          <w:fldChar w:fldCharType="begin"/>
        </w:r>
        <w:r>
          <w:rPr>
            <w:noProof/>
            <w:webHidden/>
          </w:rPr>
          <w:instrText xml:space="preserve"> PAGEREF _Toc181683512 \h </w:instrText>
        </w:r>
        <w:r>
          <w:rPr>
            <w:noProof/>
            <w:webHidden/>
          </w:rPr>
        </w:r>
        <w:r>
          <w:rPr>
            <w:noProof/>
            <w:webHidden/>
          </w:rPr>
          <w:fldChar w:fldCharType="separate"/>
        </w:r>
        <w:r>
          <w:rPr>
            <w:noProof/>
            <w:webHidden/>
          </w:rPr>
          <w:t>214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3" w:history="1">
        <w:r w:rsidRPr="001B13A4">
          <w:rPr>
            <w:rStyle w:val="Hyperlink"/>
            <w:noProof/>
          </w:rPr>
          <w:t>2.1.477</w:t>
        </w:r>
        <w:r>
          <w:rPr>
            <w:rFonts w:asciiTheme="minorHAnsi" w:eastAsiaTheme="minorEastAsia" w:hAnsiTheme="minorHAnsi" w:cstheme="minorBidi"/>
            <w:noProof/>
            <w:sz w:val="22"/>
            <w:szCs w:val="22"/>
          </w:rPr>
          <w:tab/>
        </w:r>
        <w:r w:rsidRPr="001B13A4">
          <w:rPr>
            <w:rStyle w:val="Hyperlink"/>
            <w:noProof/>
          </w:rPr>
          <w:t>Part 1 Section 17.16.5.25, HYPERLINK</w:t>
        </w:r>
        <w:r>
          <w:rPr>
            <w:noProof/>
            <w:webHidden/>
          </w:rPr>
          <w:tab/>
        </w:r>
        <w:r>
          <w:rPr>
            <w:noProof/>
            <w:webHidden/>
          </w:rPr>
          <w:fldChar w:fldCharType="begin"/>
        </w:r>
        <w:r>
          <w:rPr>
            <w:noProof/>
            <w:webHidden/>
          </w:rPr>
          <w:instrText xml:space="preserve"> PAGEREF _Toc181683513 \h </w:instrText>
        </w:r>
        <w:r>
          <w:rPr>
            <w:noProof/>
            <w:webHidden/>
          </w:rPr>
        </w:r>
        <w:r>
          <w:rPr>
            <w:noProof/>
            <w:webHidden/>
          </w:rPr>
          <w:fldChar w:fldCharType="separate"/>
        </w:r>
        <w:r>
          <w:rPr>
            <w:noProof/>
            <w:webHidden/>
          </w:rPr>
          <w:t>215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4" w:history="1">
        <w:r w:rsidRPr="001B13A4">
          <w:rPr>
            <w:rStyle w:val="Hyperlink"/>
            <w:noProof/>
          </w:rPr>
          <w:t>2.1.478</w:t>
        </w:r>
        <w:r>
          <w:rPr>
            <w:rFonts w:asciiTheme="minorHAnsi" w:eastAsiaTheme="minorEastAsia" w:hAnsiTheme="minorHAnsi" w:cstheme="minorBidi"/>
            <w:noProof/>
            <w:sz w:val="22"/>
            <w:szCs w:val="22"/>
          </w:rPr>
          <w:tab/>
        </w:r>
        <w:r w:rsidRPr="001B13A4">
          <w:rPr>
            <w:rStyle w:val="Hyperlink"/>
            <w:noProof/>
          </w:rPr>
          <w:t>Part 1 Section 17.16.5.26, IF</w:t>
        </w:r>
        <w:r>
          <w:rPr>
            <w:noProof/>
            <w:webHidden/>
          </w:rPr>
          <w:tab/>
        </w:r>
        <w:r>
          <w:rPr>
            <w:noProof/>
            <w:webHidden/>
          </w:rPr>
          <w:fldChar w:fldCharType="begin"/>
        </w:r>
        <w:r>
          <w:rPr>
            <w:noProof/>
            <w:webHidden/>
          </w:rPr>
          <w:instrText xml:space="preserve"> PAGEREF _Toc181683514 \h </w:instrText>
        </w:r>
        <w:r>
          <w:rPr>
            <w:noProof/>
            <w:webHidden/>
          </w:rPr>
        </w:r>
        <w:r>
          <w:rPr>
            <w:noProof/>
            <w:webHidden/>
          </w:rPr>
          <w:fldChar w:fldCharType="separate"/>
        </w:r>
        <w:r>
          <w:rPr>
            <w:noProof/>
            <w:webHidden/>
          </w:rPr>
          <w:t>215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5" w:history="1">
        <w:r w:rsidRPr="001B13A4">
          <w:rPr>
            <w:rStyle w:val="Hyperlink"/>
            <w:noProof/>
          </w:rPr>
          <w:t>2.1.479</w:t>
        </w:r>
        <w:r>
          <w:rPr>
            <w:rFonts w:asciiTheme="minorHAnsi" w:eastAsiaTheme="minorEastAsia" w:hAnsiTheme="minorHAnsi" w:cstheme="minorBidi"/>
            <w:noProof/>
            <w:sz w:val="22"/>
            <w:szCs w:val="22"/>
          </w:rPr>
          <w:tab/>
        </w:r>
        <w:r w:rsidRPr="001B13A4">
          <w:rPr>
            <w:rStyle w:val="Hyperlink"/>
            <w:noProof/>
          </w:rPr>
          <w:t>Part 1 Section 17.16.5.28, INCLUDETEXT</w:t>
        </w:r>
        <w:r>
          <w:rPr>
            <w:noProof/>
            <w:webHidden/>
          </w:rPr>
          <w:tab/>
        </w:r>
        <w:r>
          <w:rPr>
            <w:noProof/>
            <w:webHidden/>
          </w:rPr>
          <w:fldChar w:fldCharType="begin"/>
        </w:r>
        <w:r>
          <w:rPr>
            <w:noProof/>
            <w:webHidden/>
          </w:rPr>
          <w:instrText xml:space="preserve"> PAGEREF _Toc181683515 \h </w:instrText>
        </w:r>
        <w:r>
          <w:rPr>
            <w:noProof/>
            <w:webHidden/>
          </w:rPr>
        </w:r>
        <w:r>
          <w:rPr>
            <w:noProof/>
            <w:webHidden/>
          </w:rPr>
          <w:fldChar w:fldCharType="separate"/>
        </w:r>
        <w:r>
          <w:rPr>
            <w:noProof/>
            <w:webHidden/>
          </w:rPr>
          <w:t>215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6" w:history="1">
        <w:r w:rsidRPr="001B13A4">
          <w:rPr>
            <w:rStyle w:val="Hyperlink"/>
            <w:noProof/>
          </w:rPr>
          <w:t>2.1.480</w:t>
        </w:r>
        <w:r>
          <w:rPr>
            <w:rFonts w:asciiTheme="minorHAnsi" w:eastAsiaTheme="minorEastAsia" w:hAnsiTheme="minorHAnsi" w:cstheme="minorBidi"/>
            <w:noProof/>
            <w:sz w:val="22"/>
            <w:szCs w:val="22"/>
          </w:rPr>
          <w:tab/>
        </w:r>
        <w:r w:rsidRPr="001B13A4">
          <w:rPr>
            <w:rStyle w:val="Hyperlink"/>
            <w:noProof/>
          </w:rPr>
          <w:t>Part 1 Section 17.16.5.29, INDEX</w:t>
        </w:r>
        <w:r>
          <w:rPr>
            <w:noProof/>
            <w:webHidden/>
          </w:rPr>
          <w:tab/>
        </w:r>
        <w:r>
          <w:rPr>
            <w:noProof/>
            <w:webHidden/>
          </w:rPr>
          <w:fldChar w:fldCharType="begin"/>
        </w:r>
        <w:r>
          <w:rPr>
            <w:noProof/>
            <w:webHidden/>
          </w:rPr>
          <w:instrText xml:space="preserve"> PAGEREF _Toc181683516 \h </w:instrText>
        </w:r>
        <w:r>
          <w:rPr>
            <w:noProof/>
            <w:webHidden/>
          </w:rPr>
        </w:r>
        <w:r>
          <w:rPr>
            <w:noProof/>
            <w:webHidden/>
          </w:rPr>
          <w:fldChar w:fldCharType="separate"/>
        </w:r>
        <w:r>
          <w:rPr>
            <w:noProof/>
            <w:webHidden/>
          </w:rPr>
          <w:t>216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7" w:history="1">
        <w:r w:rsidRPr="001B13A4">
          <w:rPr>
            <w:rStyle w:val="Hyperlink"/>
            <w:noProof/>
          </w:rPr>
          <w:t>2.1.481</w:t>
        </w:r>
        <w:r>
          <w:rPr>
            <w:rFonts w:asciiTheme="minorHAnsi" w:eastAsiaTheme="minorEastAsia" w:hAnsiTheme="minorHAnsi" w:cstheme="minorBidi"/>
            <w:noProof/>
            <w:sz w:val="22"/>
            <w:szCs w:val="22"/>
          </w:rPr>
          <w:tab/>
        </w:r>
        <w:r w:rsidRPr="001B13A4">
          <w:rPr>
            <w:rStyle w:val="Hyperlink"/>
            <w:noProof/>
          </w:rPr>
          <w:t>Part 1 Section 17.16.5.30, KEYWORDS</w:t>
        </w:r>
        <w:r>
          <w:rPr>
            <w:noProof/>
            <w:webHidden/>
          </w:rPr>
          <w:tab/>
        </w:r>
        <w:r>
          <w:rPr>
            <w:noProof/>
            <w:webHidden/>
          </w:rPr>
          <w:fldChar w:fldCharType="begin"/>
        </w:r>
        <w:r>
          <w:rPr>
            <w:noProof/>
            <w:webHidden/>
          </w:rPr>
          <w:instrText xml:space="preserve"> PAGEREF _Toc181683517 \h </w:instrText>
        </w:r>
        <w:r>
          <w:rPr>
            <w:noProof/>
            <w:webHidden/>
          </w:rPr>
        </w:r>
        <w:r>
          <w:rPr>
            <w:noProof/>
            <w:webHidden/>
          </w:rPr>
          <w:fldChar w:fldCharType="separate"/>
        </w:r>
        <w:r>
          <w:rPr>
            <w:noProof/>
            <w:webHidden/>
          </w:rPr>
          <w:t>216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8" w:history="1">
        <w:r w:rsidRPr="001B13A4">
          <w:rPr>
            <w:rStyle w:val="Hyperlink"/>
            <w:noProof/>
          </w:rPr>
          <w:t>2.1.482</w:t>
        </w:r>
        <w:r>
          <w:rPr>
            <w:rFonts w:asciiTheme="minorHAnsi" w:eastAsiaTheme="minorEastAsia" w:hAnsiTheme="minorHAnsi" w:cstheme="minorBidi"/>
            <w:noProof/>
            <w:sz w:val="22"/>
            <w:szCs w:val="22"/>
          </w:rPr>
          <w:tab/>
        </w:r>
        <w:r w:rsidRPr="001B13A4">
          <w:rPr>
            <w:rStyle w:val="Hyperlink"/>
            <w:noProof/>
          </w:rPr>
          <w:t>Part 1 Section 17.16.5.31, LASTSAVEDBY</w:t>
        </w:r>
        <w:r>
          <w:rPr>
            <w:noProof/>
            <w:webHidden/>
          </w:rPr>
          <w:tab/>
        </w:r>
        <w:r>
          <w:rPr>
            <w:noProof/>
            <w:webHidden/>
          </w:rPr>
          <w:fldChar w:fldCharType="begin"/>
        </w:r>
        <w:r>
          <w:rPr>
            <w:noProof/>
            <w:webHidden/>
          </w:rPr>
          <w:instrText xml:space="preserve"> PAGEREF _Toc181683518 \h </w:instrText>
        </w:r>
        <w:r>
          <w:rPr>
            <w:noProof/>
            <w:webHidden/>
          </w:rPr>
        </w:r>
        <w:r>
          <w:rPr>
            <w:noProof/>
            <w:webHidden/>
          </w:rPr>
          <w:fldChar w:fldCharType="separate"/>
        </w:r>
        <w:r>
          <w:rPr>
            <w:noProof/>
            <w:webHidden/>
          </w:rPr>
          <w:t>216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19" w:history="1">
        <w:r w:rsidRPr="001B13A4">
          <w:rPr>
            <w:rStyle w:val="Hyperlink"/>
            <w:noProof/>
          </w:rPr>
          <w:t>2.1.483</w:t>
        </w:r>
        <w:r>
          <w:rPr>
            <w:rFonts w:asciiTheme="minorHAnsi" w:eastAsiaTheme="minorEastAsia" w:hAnsiTheme="minorHAnsi" w:cstheme="minorBidi"/>
            <w:noProof/>
            <w:sz w:val="22"/>
            <w:szCs w:val="22"/>
          </w:rPr>
          <w:tab/>
        </w:r>
        <w:r w:rsidRPr="001B13A4">
          <w:rPr>
            <w:rStyle w:val="Hyperlink"/>
            <w:noProof/>
          </w:rPr>
          <w:t>Part 1 Section 17.16.5.32, LINK</w:t>
        </w:r>
        <w:r>
          <w:rPr>
            <w:noProof/>
            <w:webHidden/>
          </w:rPr>
          <w:tab/>
        </w:r>
        <w:r>
          <w:rPr>
            <w:noProof/>
            <w:webHidden/>
          </w:rPr>
          <w:fldChar w:fldCharType="begin"/>
        </w:r>
        <w:r>
          <w:rPr>
            <w:noProof/>
            <w:webHidden/>
          </w:rPr>
          <w:instrText xml:space="preserve"> PAGEREF _Toc181683519 \h </w:instrText>
        </w:r>
        <w:r>
          <w:rPr>
            <w:noProof/>
            <w:webHidden/>
          </w:rPr>
        </w:r>
        <w:r>
          <w:rPr>
            <w:noProof/>
            <w:webHidden/>
          </w:rPr>
          <w:fldChar w:fldCharType="separate"/>
        </w:r>
        <w:r>
          <w:rPr>
            <w:noProof/>
            <w:webHidden/>
          </w:rPr>
          <w:t>216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0" w:history="1">
        <w:r w:rsidRPr="001B13A4">
          <w:rPr>
            <w:rStyle w:val="Hyperlink"/>
            <w:noProof/>
          </w:rPr>
          <w:t>2.1.484</w:t>
        </w:r>
        <w:r>
          <w:rPr>
            <w:rFonts w:asciiTheme="minorHAnsi" w:eastAsiaTheme="minorEastAsia" w:hAnsiTheme="minorHAnsi" w:cstheme="minorBidi"/>
            <w:noProof/>
            <w:sz w:val="22"/>
            <w:szCs w:val="22"/>
          </w:rPr>
          <w:tab/>
        </w:r>
        <w:r w:rsidRPr="001B13A4">
          <w:rPr>
            <w:rStyle w:val="Hyperlink"/>
            <w:noProof/>
          </w:rPr>
          <w:t>Part 1 Section 17.16.5.33, LISTNUM</w:t>
        </w:r>
        <w:r>
          <w:rPr>
            <w:noProof/>
            <w:webHidden/>
          </w:rPr>
          <w:tab/>
        </w:r>
        <w:r>
          <w:rPr>
            <w:noProof/>
            <w:webHidden/>
          </w:rPr>
          <w:fldChar w:fldCharType="begin"/>
        </w:r>
        <w:r>
          <w:rPr>
            <w:noProof/>
            <w:webHidden/>
          </w:rPr>
          <w:instrText xml:space="preserve"> PAGEREF _Toc181683520 \h </w:instrText>
        </w:r>
        <w:r>
          <w:rPr>
            <w:noProof/>
            <w:webHidden/>
          </w:rPr>
        </w:r>
        <w:r>
          <w:rPr>
            <w:noProof/>
            <w:webHidden/>
          </w:rPr>
          <w:fldChar w:fldCharType="separate"/>
        </w:r>
        <w:r>
          <w:rPr>
            <w:noProof/>
            <w:webHidden/>
          </w:rPr>
          <w:t>217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1" w:history="1">
        <w:r w:rsidRPr="001B13A4">
          <w:rPr>
            <w:rStyle w:val="Hyperlink"/>
            <w:noProof/>
          </w:rPr>
          <w:t>2.1.485</w:t>
        </w:r>
        <w:r>
          <w:rPr>
            <w:rFonts w:asciiTheme="minorHAnsi" w:eastAsiaTheme="minorEastAsia" w:hAnsiTheme="minorHAnsi" w:cstheme="minorBidi"/>
            <w:noProof/>
            <w:sz w:val="22"/>
            <w:szCs w:val="22"/>
          </w:rPr>
          <w:tab/>
        </w:r>
        <w:r w:rsidRPr="001B13A4">
          <w:rPr>
            <w:rStyle w:val="Hyperlink"/>
            <w:noProof/>
          </w:rPr>
          <w:t>Part 1 Section 17.16.5.34, MACROBUTTON</w:t>
        </w:r>
        <w:r>
          <w:rPr>
            <w:noProof/>
            <w:webHidden/>
          </w:rPr>
          <w:tab/>
        </w:r>
        <w:r>
          <w:rPr>
            <w:noProof/>
            <w:webHidden/>
          </w:rPr>
          <w:fldChar w:fldCharType="begin"/>
        </w:r>
        <w:r>
          <w:rPr>
            <w:noProof/>
            <w:webHidden/>
          </w:rPr>
          <w:instrText xml:space="preserve"> PAGEREF _Toc181683521 \h </w:instrText>
        </w:r>
        <w:r>
          <w:rPr>
            <w:noProof/>
            <w:webHidden/>
          </w:rPr>
        </w:r>
        <w:r>
          <w:rPr>
            <w:noProof/>
            <w:webHidden/>
          </w:rPr>
          <w:fldChar w:fldCharType="separate"/>
        </w:r>
        <w:r>
          <w:rPr>
            <w:noProof/>
            <w:webHidden/>
          </w:rPr>
          <w:t>217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2" w:history="1">
        <w:r w:rsidRPr="001B13A4">
          <w:rPr>
            <w:rStyle w:val="Hyperlink"/>
            <w:noProof/>
          </w:rPr>
          <w:t>2.1.486</w:t>
        </w:r>
        <w:r>
          <w:rPr>
            <w:rFonts w:asciiTheme="minorHAnsi" w:eastAsiaTheme="minorEastAsia" w:hAnsiTheme="minorHAnsi" w:cstheme="minorBidi"/>
            <w:noProof/>
            <w:sz w:val="22"/>
            <w:szCs w:val="22"/>
          </w:rPr>
          <w:tab/>
        </w:r>
        <w:r w:rsidRPr="001B13A4">
          <w:rPr>
            <w:rStyle w:val="Hyperlink"/>
            <w:noProof/>
          </w:rPr>
          <w:t>Part 1 Section 17.16.5.35, MERGEFIELD</w:t>
        </w:r>
        <w:r>
          <w:rPr>
            <w:noProof/>
            <w:webHidden/>
          </w:rPr>
          <w:tab/>
        </w:r>
        <w:r>
          <w:rPr>
            <w:noProof/>
            <w:webHidden/>
          </w:rPr>
          <w:fldChar w:fldCharType="begin"/>
        </w:r>
        <w:r>
          <w:rPr>
            <w:noProof/>
            <w:webHidden/>
          </w:rPr>
          <w:instrText xml:space="preserve"> PAGEREF _Toc181683522 \h </w:instrText>
        </w:r>
        <w:r>
          <w:rPr>
            <w:noProof/>
            <w:webHidden/>
          </w:rPr>
        </w:r>
        <w:r>
          <w:rPr>
            <w:noProof/>
            <w:webHidden/>
          </w:rPr>
          <w:fldChar w:fldCharType="separate"/>
        </w:r>
        <w:r>
          <w:rPr>
            <w:noProof/>
            <w:webHidden/>
          </w:rPr>
          <w:t>217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3" w:history="1">
        <w:r w:rsidRPr="001B13A4">
          <w:rPr>
            <w:rStyle w:val="Hyperlink"/>
            <w:noProof/>
          </w:rPr>
          <w:t>2.1.487</w:t>
        </w:r>
        <w:r>
          <w:rPr>
            <w:rFonts w:asciiTheme="minorHAnsi" w:eastAsiaTheme="minorEastAsia" w:hAnsiTheme="minorHAnsi" w:cstheme="minorBidi"/>
            <w:noProof/>
            <w:sz w:val="22"/>
            <w:szCs w:val="22"/>
          </w:rPr>
          <w:tab/>
        </w:r>
        <w:r w:rsidRPr="001B13A4">
          <w:rPr>
            <w:rStyle w:val="Hyperlink"/>
            <w:noProof/>
          </w:rPr>
          <w:t>Part 1 Section 17.16.5.39, NEXTIF</w:t>
        </w:r>
        <w:r>
          <w:rPr>
            <w:noProof/>
            <w:webHidden/>
          </w:rPr>
          <w:tab/>
        </w:r>
        <w:r>
          <w:rPr>
            <w:noProof/>
            <w:webHidden/>
          </w:rPr>
          <w:fldChar w:fldCharType="begin"/>
        </w:r>
        <w:r>
          <w:rPr>
            <w:noProof/>
            <w:webHidden/>
          </w:rPr>
          <w:instrText xml:space="preserve"> PAGEREF _Toc181683523 \h </w:instrText>
        </w:r>
        <w:r>
          <w:rPr>
            <w:noProof/>
            <w:webHidden/>
          </w:rPr>
        </w:r>
        <w:r>
          <w:rPr>
            <w:noProof/>
            <w:webHidden/>
          </w:rPr>
          <w:fldChar w:fldCharType="separate"/>
        </w:r>
        <w:r>
          <w:rPr>
            <w:noProof/>
            <w:webHidden/>
          </w:rPr>
          <w:t>217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4" w:history="1">
        <w:r w:rsidRPr="001B13A4">
          <w:rPr>
            <w:rStyle w:val="Hyperlink"/>
            <w:noProof/>
          </w:rPr>
          <w:t>2.1.488</w:t>
        </w:r>
        <w:r>
          <w:rPr>
            <w:rFonts w:asciiTheme="minorHAnsi" w:eastAsiaTheme="minorEastAsia" w:hAnsiTheme="minorHAnsi" w:cstheme="minorBidi"/>
            <w:noProof/>
            <w:sz w:val="22"/>
            <w:szCs w:val="22"/>
          </w:rPr>
          <w:tab/>
        </w:r>
        <w:r w:rsidRPr="001B13A4">
          <w:rPr>
            <w:rStyle w:val="Hyperlink"/>
            <w:noProof/>
          </w:rPr>
          <w:t>Part 1 Section 17.16.5.40, NOTEREF</w:t>
        </w:r>
        <w:r>
          <w:rPr>
            <w:noProof/>
            <w:webHidden/>
          </w:rPr>
          <w:tab/>
        </w:r>
        <w:r>
          <w:rPr>
            <w:noProof/>
            <w:webHidden/>
          </w:rPr>
          <w:fldChar w:fldCharType="begin"/>
        </w:r>
        <w:r>
          <w:rPr>
            <w:noProof/>
            <w:webHidden/>
          </w:rPr>
          <w:instrText xml:space="preserve"> PAGEREF _Toc181683524 \h </w:instrText>
        </w:r>
        <w:r>
          <w:rPr>
            <w:noProof/>
            <w:webHidden/>
          </w:rPr>
        </w:r>
        <w:r>
          <w:rPr>
            <w:noProof/>
            <w:webHidden/>
          </w:rPr>
          <w:fldChar w:fldCharType="separate"/>
        </w:r>
        <w:r>
          <w:rPr>
            <w:noProof/>
            <w:webHidden/>
          </w:rPr>
          <w:t>218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5" w:history="1">
        <w:r w:rsidRPr="001B13A4">
          <w:rPr>
            <w:rStyle w:val="Hyperlink"/>
            <w:noProof/>
          </w:rPr>
          <w:t>2.1.489</w:t>
        </w:r>
        <w:r>
          <w:rPr>
            <w:rFonts w:asciiTheme="minorHAnsi" w:eastAsiaTheme="minorEastAsia" w:hAnsiTheme="minorHAnsi" w:cstheme="minorBidi"/>
            <w:noProof/>
            <w:sz w:val="22"/>
            <w:szCs w:val="22"/>
          </w:rPr>
          <w:tab/>
        </w:r>
        <w:r w:rsidRPr="001B13A4">
          <w:rPr>
            <w:rStyle w:val="Hyperlink"/>
            <w:noProof/>
          </w:rPr>
          <w:t>Part 1 Section 17.16.5.42 NUMPAGES</w:t>
        </w:r>
        <w:r>
          <w:rPr>
            <w:noProof/>
            <w:webHidden/>
          </w:rPr>
          <w:tab/>
        </w:r>
        <w:r>
          <w:rPr>
            <w:noProof/>
            <w:webHidden/>
          </w:rPr>
          <w:fldChar w:fldCharType="begin"/>
        </w:r>
        <w:r>
          <w:rPr>
            <w:noProof/>
            <w:webHidden/>
          </w:rPr>
          <w:instrText xml:space="preserve"> PAGEREF _Toc181683525 \h </w:instrText>
        </w:r>
        <w:r>
          <w:rPr>
            <w:noProof/>
            <w:webHidden/>
          </w:rPr>
        </w:r>
        <w:r>
          <w:rPr>
            <w:noProof/>
            <w:webHidden/>
          </w:rPr>
          <w:fldChar w:fldCharType="separate"/>
        </w:r>
        <w:r>
          <w:rPr>
            <w:noProof/>
            <w:webHidden/>
          </w:rPr>
          <w:t>218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6" w:history="1">
        <w:r w:rsidRPr="001B13A4">
          <w:rPr>
            <w:rStyle w:val="Hyperlink"/>
            <w:noProof/>
          </w:rPr>
          <w:t>2.1.490</w:t>
        </w:r>
        <w:r>
          <w:rPr>
            <w:rFonts w:asciiTheme="minorHAnsi" w:eastAsiaTheme="minorEastAsia" w:hAnsiTheme="minorHAnsi" w:cstheme="minorBidi"/>
            <w:noProof/>
            <w:sz w:val="22"/>
            <w:szCs w:val="22"/>
          </w:rPr>
          <w:tab/>
        </w:r>
        <w:r w:rsidRPr="001B13A4">
          <w:rPr>
            <w:rStyle w:val="Hyperlink"/>
            <w:noProof/>
          </w:rPr>
          <w:t>Part 1 Section 17.16.5.45, PAGEREF</w:t>
        </w:r>
        <w:r>
          <w:rPr>
            <w:noProof/>
            <w:webHidden/>
          </w:rPr>
          <w:tab/>
        </w:r>
        <w:r>
          <w:rPr>
            <w:noProof/>
            <w:webHidden/>
          </w:rPr>
          <w:fldChar w:fldCharType="begin"/>
        </w:r>
        <w:r>
          <w:rPr>
            <w:noProof/>
            <w:webHidden/>
          </w:rPr>
          <w:instrText xml:space="preserve"> PAGEREF _Toc181683526 \h </w:instrText>
        </w:r>
        <w:r>
          <w:rPr>
            <w:noProof/>
            <w:webHidden/>
          </w:rPr>
        </w:r>
        <w:r>
          <w:rPr>
            <w:noProof/>
            <w:webHidden/>
          </w:rPr>
          <w:fldChar w:fldCharType="separate"/>
        </w:r>
        <w:r>
          <w:rPr>
            <w:noProof/>
            <w:webHidden/>
          </w:rPr>
          <w:t>218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7" w:history="1">
        <w:r w:rsidRPr="001B13A4">
          <w:rPr>
            <w:rStyle w:val="Hyperlink"/>
            <w:noProof/>
          </w:rPr>
          <w:t>2.1.491</w:t>
        </w:r>
        <w:r>
          <w:rPr>
            <w:rFonts w:asciiTheme="minorHAnsi" w:eastAsiaTheme="minorEastAsia" w:hAnsiTheme="minorHAnsi" w:cstheme="minorBidi"/>
            <w:noProof/>
            <w:sz w:val="22"/>
            <w:szCs w:val="22"/>
          </w:rPr>
          <w:tab/>
        </w:r>
        <w:r w:rsidRPr="001B13A4">
          <w:rPr>
            <w:rStyle w:val="Hyperlink"/>
            <w:noProof/>
          </w:rPr>
          <w:t>Part 1 Section 17.16.5.46, PRINT</w:t>
        </w:r>
        <w:r>
          <w:rPr>
            <w:noProof/>
            <w:webHidden/>
          </w:rPr>
          <w:tab/>
        </w:r>
        <w:r>
          <w:rPr>
            <w:noProof/>
            <w:webHidden/>
          </w:rPr>
          <w:fldChar w:fldCharType="begin"/>
        </w:r>
        <w:r>
          <w:rPr>
            <w:noProof/>
            <w:webHidden/>
          </w:rPr>
          <w:instrText xml:space="preserve"> PAGEREF _Toc181683527 \h </w:instrText>
        </w:r>
        <w:r>
          <w:rPr>
            <w:noProof/>
            <w:webHidden/>
          </w:rPr>
        </w:r>
        <w:r>
          <w:rPr>
            <w:noProof/>
            <w:webHidden/>
          </w:rPr>
          <w:fldChar w:fldCharType="separate"/>
        </w:r>
        <w:r>
          <w:rPr>
            <w:noProof/>
            <w:webHidden/>
          </w:rPr>
          <w:t>218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8" w:history="1">
        <w:r w:rsidRPr="001B13A4">
          <w:rPr>
            <w:rStyle w:val="Hyperlink"/>
            <w:noProof/>
          </w:rPr>
          <w:t>2.1.492</w:t>
        </w:r>
        <w:r>
          <w:rPr>
            <w:rFonts w:asciiTheme="minorHAnsi" w:eastAsiaTheme="minorEastAsia" w:hAnsiTheme="minorHAnsi" w:cstheme="minorBidi"/>
            <w:noProof/>
            <w:sz w:val="22"/>
            <w:szCs w:val="22"/>
          </w:rPr>
          <w:tab/>
        </w:r>
        <w:r w:rsidRPr="001B13A4">
          <w:rPr>
            <w:rStyle w:val="Hyperlink"/>
            <w:noProof/>
          </w:rPr>
          <w:t>Part 1 Section 17.16.5.47, PRINTDATE</w:t>
        </w:r>
        <w:r>
          <w:rPr>
            <w:noProof/>
            <w:webHidden/>
          </w:rPr>
          <w:tab/>
        </w:r>
        <w:r>
          <w:rPr>
            <w:noProof/>
            <w:webHidden/>
          </w:rPr>
          <w:fldChar w:fldCharType="begin"/>
        </w:r>
        <w:r>
          <w:rPr>
            <w:noProof/>
            <w:webHidden/>
          </w:rPr>
          <w:instrText xml:space="preserve"> PAGEREF _Toc181683528 \h </w:instrText>
        </w:r>
        <w:r>
          <w:rPr>
            <w:noProof/>
            <w:webHidden/>
          </w:rPr>
        </w:r>
        <w:r>
          <w:rPr>
            <w:noProof/>
            <w:webHidden/>
          </w:rPr>
          <w:fldChar w:fldCharType="separate"/>
        </w:r>
        <w:r>
          <w:rPr>
            <w:noProof/>
            <w:webHidden/>
          </w:rPr>
          <w:t>219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29" w:history="1">
        <w:r w:rsidRPr="001B13A4">
          <w:rPr>
            <w:rStyle w:val="Hyperlink"/>
            <w:noProof/>
          </w:rPr>
          <w:t>2.1.493</w:t>
        </w:r>
        <w:r>
          <w:rPr>
            <w:rFonts w:asciiTheme="minorHAnsi" w:eastAsiaTheme="minorEastAsia" w:hAnsiTheme="minorHAnsi" w:cstheme="minorBidi"/>
            <w:noProof/>
            <w:sz w:val="22"/>
            <w:szCs w:val="22"/>
          </w:rPr>
          <w:tab/>
        </w:r>
        <w:r w:rsidRPr="001B13A4">
          <w:rPr>
            <w:rStyle w:val="Hyperlink"/>
            <w:noProof/>
          </w:rPr>
          <w:t>Part 1 Section 17.16.5.49, QUOTE</w:t>
        </w:r>
        <w:r>
          <w:rPr>
            <w:noProof/>
            <w:webHidden/>
          </w:rPr>
          <w:tab/>
        </w:r>
        <w:r>
          <w:rPr>
            <w:noProof/>
            <w:webHidden/>
          </w:rPr>
          <w:fldChar w:fldCharType="begin"/>
        </w:r>
        <w:r>
          <w:rPr>
            <w:noProof/>
            <w:webHidden/>
          </w:rPr>
          <w:instrText xml:space="preserve"> PAGEREF _Toc181683529 \h </w:instrText>
        </w:r>
        <w:r>
          <w:rPr>
            <w:noProof/>
            <w:webHidden/>
          </w:rPr>
        </w:r>
        <w:r>
          <w:rPr>
            <w:noProof/>
            <w:webHidden/>
          </w:rPr>
          <w:fldChar w:fldCharType="separate"/>
        </w:r>
        <w:r>
          <w:rPr>
            <w:noProof/>
            <w:webHidden/>
          </w:rPr>
          <w:t>219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0" w:history="1">
        <w:r w:rsidRPr="001B13A4">
          <w:rPr>
            <w:rStyle w:val="Hyperlink"/>
            <w:noProof/>
          </w:rPr>
          <w:t>2.1.494</w:t>
        </w:r>
        <w:r>
          <w:rPr>
            <w:rFonts w:asciiTheme="minorHAnsi" w:eastAsiaTheme="minorEastAsia" w:hAnsiTheme="minorHAnsi" w:cstheme="minorBidi"/>
            <w:noProof/>
            <w:sz w:val="22"/>
            <w:szCs w:val="22"/>
          </w:rPr>
          <w:tab/>
        </w:r>
        <w:r w:rsidRPr="001B13A4">
          <w:rPr>
            <w:rStyle w:val="Hyperlink"/>
            <w:noProof/>
          </w:rPr>
          <w:t>Part 1 Section 17.16.5.50, RD</w:t>
        </w:r>
        <w:r>
          <w:rPr>
            <w:noProof/>
            <w:webHidden/>
          </w:rPr>
          <w:tab/>
        </w:r>
        <w:r>
          <w:rPr>
            <w:noProof/>
            <w:webHidden/>
          </w:rPr>
          <w:fldChar w:fldCharType="begin"/>
        </w:r>
        <w:r>
          <w:rPr>
            <w:noProof/>
            <w:webHidden/>
          </w:rPr>
          <w:instrText xml:space="preserve"> PAGEREF _Toc181683530 \h </w:instrText>
        </w:r>
        <w:r>
          <w:rPr>
            <w:noProof/>
            <w:webHidden/>
          </w:rPr>
        </w:r>
        <w:r>
          <w:rPr>
            <w:noProof/>
            <w:webHidden/>
          </w:rPr>
          <w:fldChar w:fldCharType="separate"/>
        </w:r>
        <w:r>
          <w:rPr>
            <w:noProof/>
            <w:webHidden/>
          </w:rPr>
          <w:t>219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1" w:history="1">
        <w:r w:rsidRPr="001B13A4">
          <w:rPr>
            <w:rStyle w:val="Hyperlink"/>
            <w:noProof/>
          </w:rPr>
          <w:t>2.1.495</w:t>
        </w:r>
        <w:r>
          <w:rPr>
            <w:rFonts w:asciiTheme="minorHAnsi" w:eastAsiaTheme="minorEastAsia" w:hAnsiTheme="minorHAnsi" w:cstheme="minorBidi"/>
            <w:noProof/>
            <w:sz w:val="22"/>
            <w:szCs w:val="22"/>
          </w:rPr>
          <w:tab/>
        </w:r>
        <w:r w:rsidRPr="001B13A4">
          <w:rPr>
            <w:rStyle w:val="Hyperlink"/>
            <w:noProof/>
          </w:rPr>
          <w:t>Part 1 Section 17.16.5.51, REF</w:t>
        </w:r>
        <w:r>
          <w:rPr>
            <w:noProof/>
            <w:webHidden/>
          </w:rPr>
          <w:tab/>
        </w:r>
        <w:r>
          <w:rPr>
            <w:noProof/>
            <w:webHidden/>
          </w:rPr>
          <w:fldChar w:fldCharType="begin"/>
        </w:r>
        <w:r>
          <w:rPr>
            <w:noProof/>
            <w:webHidden/>
          </w:rPr>
          <w:instrText xml:space="preserve"> PAGEREF _Toc181683531 \h </w:instrText>
        </w:r>
        <w:r>
          <w:rPr>
            <w:noProof/>
            <w:webHidden/>
          </w:rPr>
        </w:r>
        <w:r>
          <w:rPr>
            <w:noProof/>
            <w:webHidden/>
          </w:rPr>
          <w:fldChar w:fldCharType="separate"/>
        </w:r>
        <w:r>
          <w:rPr>
            <w:noProof/>
            <w:webHidden/>
          </w:rPr>
          <w:t>219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2" w:history="1">
        <w:r w:rsidRPr="001B13A4">
          <w:rPr>
            <w:rStyle w:val="Hyperlink"/>
            <w:noProof/>
          </w:rPr>
          <w:t>2.1.496</w:t>
        </w:r>
        <w:r>
          <w:rPr>
            <w:rFonts w:asciiTheme="minorHAnsi" w:eastAsiaTheme="minorEastAsia" w:hAnsiTheme="minorHAnsi" w:cstheme="minorBidi"/>
            <w:noProof/>
            <w:sz w:val="22"/>
            <w:szCs w:val="22"/>
          </w:rPr>
          <w:tab/>
        </w:r>
        <w:r w:rsidRPr="001B13A4">
          <w:rPr>
            <w:rStyle w:val="Hyperlink"/>
            <w:noProof/>
          </w:rPr>
          <w:t>Part 1 Section 17.16.5.52, REVNUM</w:t>
        </w:r>
        <w:r>
          <w:rPr>
            <w:noProof/>
            <w:webHidden/>
          </w:rPr>
          <w:tab/>
        </w:r>
        <w:r>
          <w:rPr>
            <w:noProof/>
            <w:webHidden/>
          </w:rPr>
          <w:fldChar w:fldCharType="begin"/>
        </w:r>
        <w:r>
          <w:rPr>
            <w:noProof/>
            <w:webHidden/>
          </w:rPr>
          <w:instrText xml:space="preserve"> PAGEREF _Toc181683532 \h </w:instrText>
        </w:r>
        <w:r>
          <w:rPr>
            <w:noProof/>
            <w:webHidden/>
          </w:rPr>
        </w:r>
        <w:r>
          <w:rPr>
            <w:noProof/>
            <w:webHidden/>
          </w:rPr>
          <w:fldChar w:fldCharType="separate"/>
        </w:r>
        <w:r>
          <w:rPr>
            <w:noProof/>
            <w:webHidden/>
          </w:rPr>
          <w:t>221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3" w:history="1">
        <w:r w:rsidRPr="001B13A4">
          <w:rPr>
            <w:rStyle w:val="Hyperlink"/>
            <w:noProof/>
          </w:rPr>
          <w:t>2.1.497</w:t>
        </w:r>
        <w:r>
          <w:rPr>
            <w:rFonts w:asciiTheme="minorHAnsi" w:eastAsiaTheme="minorEastAsia" w:hAnsiTheme="minorHAnsi" w:cstheme="minorBidi"/>
            <w:noProof/>
            <w:sz w:val="22"/>
            <w:szCs w:val="22"/>
          </w:rPr>
          <w:tab/>
        </w:r>
        <w:r w:rsidRPr="001B13A4">
          <w:rPr>
            <w:rStyle w:val="Hyperlink"/>
            <w:noProof/>
          </w:rPr>
          <w:t>Part 1 Section 17.16.5.53, SAVEDATE</w:t>
        </w:r>
        <w:r>
          <w:rPr>
            <w:noProof/>
            <w:webHidden/>
          </w:rPr>
          <w:tab/>
        </w:r>
        <w:r>
          <w:rPr>
            <w:noProof/>
            <w:webHidden/>
          </w:rPr>
          <w:fldChar w:fldCharType="begin"/>
        </w:r>
        <w:r>
          <w:rPr>
            <w:noProof/>
            <w:webHidden/>
          </w:rPr>
          <w:instrText xml:space="preserve"> PAGEREF _Toc181683533 \h </w:instrText>
        </w:r>
        <w:r>
          <w:rPr>
            <w:noProof/>
            <w:webHidden/>
          </w:rPr>
        </w:r>
        <w:r>
          <w:rPr>
            <w:noProof/>
            <w:webHidden/>
          </w:rPr>
          <w:fldChar w:fldCharType="separate"/>
        </w:r>
        <w:r>
          <w:rPr>
            <w:noProof/>
            <w:webHidden/>
          </w:rPr>
          <w:t>221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4" w:history="1">
        <w:r w:rsidRPr="001B13A4">
          <w:rPr>
            <w:rStyle w:val="Hyperlink"/>
            <w:noProof/>
          </w:rPr>
          <w:t>2.1.498</w:t>
        </w:r>
        <w:r>
          <w:rPr>
            <w:rFonts w:asciiTheme="minorHAnsi" w:eastAsiaTheme="minorEastAsia" w:hAnsiTheme="minorHAnsi" w:cstheme="minorBidi"/>
            <w:noProof/>
            <w:sz w:val="22"/>
            <w:szCs w:val="22"/>
          </w:rPr>
          <w:tab/>
        </w:r>
        <w:r w:rsidRPr="001B13A4">
          <w:rPr>
            <w:rStyle w:val="Hyperlink"/>
            <w:noProof/>
          </w:rPr>
          <w:t>Part 1 Section 17.16.5.54, SECTION</w:t>
        </w:r>
        <w:r>
          <w:rPr>
            <w:noProof/>
            <w:webHidden/>
          </w:rPr>
          <w:tab/>
        </w:r>
        <w:r>
          <w:rPr>
            <w:noProof/>
            <w:webHidden/>
          </w:rPr>
          <w:fldChar w:fldCharType="begin"/>
        </w:r>
        <w:r>
          <w:rPr>
            <w:noProof/>
            <w:webHidden/>
          </w:rPr>
          <w:instrText xml:space="preserve"> PAGEREF _Toc181683534 \h </w:instrText>
        </w:r>
        <w:r>
          <w:rPr>
            <w:noProof/>
            <w:webHidden/>
          </w:rPr>
        </w:r>
        <w:r>
          <w:rPr>
            <w:noProof/>
            <w:webHidden/>
          </w:rPr>
          <w:fldChar w:fldCharType="separate"/>
        </w:r>
        <w:r>
          <w:rPr>
            <w:noProof/>
            <w:webHidden/>
          </w:rPr>
          <w:t>221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5" w:history="1">
        <w:r w:rsidRPr="001B13A4">
          <w:rPr>
            <w:rStyle w:val="Hyperlink"/>
            <w:noProof/>
          </w:rPr>
          <w:t>2.1.499</w:t>
        </w:r>
        <w:r>
          <w:rPr>
            <w:rFonts w:asciiTheme="minorHAnsi" w:eastAsiaTheme="minorEastAsia" w:hAnsiTheme="minorHAnsi" w:cstheme="minorBidi"/>
            <w:noProof/>
            <w:sz w:val="22"/>
            <w:szCs w:val="22"/>
          </w:rPr>
          <w:tab/>
        </w:r>
        <w:r w:rsidRPr="001B13A4">
          <w:rPr>
            <w:rStyle w:val="Hyperlink"/>
            <w:noProof/>
          </w:rPr>
          <w:t>Part 1 Section 17.16.5.55, SECTIONPAGES</w:t>
        </w:r>
        <w:r>
          <w:rPr>
            <w:noProof/>
            <w:webHidden/>
          </w:rPr>
          <w:tab/>
        </w:r>
        <w:r>
          <w:rPr>
            <w:noProof/>
            <w:webHidden/>
          </w:rPr>
          <w:fldChar w:fldCharType="begin"/>
        </w:r>
        <w:r>
          <w:rPr>
            <w:noProof/>
            <w:webHidden/>
          </w:rPr>
          <w:instrText xml:space="preserve"> PAGEREF _Toc181683535 \h </w:instrText>
        </w:r>
        <w:r>
          <w:rPr>
            <w:noProof/>
            <w:webHidden/>
          </w:rPr>
        </w:r>
        <w:r>
          <w:rPr>
            <w:noProof/>
            <w:webHidden/>
          </w:rPr>
          <w:fldChar w:fldCharType="separate"/>
        </w:r>
        <w:r>
          <w:rPr>
            <w:noProof/>
            <w:webHidden/>
          </w:rPr>
          <w:t>221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6" w:history="1">
        <w:r w:rsidRPr="001B13A4">
          <w:rPr>
            <w:rStyle w:val="Hyperlink"/>
            <w:noProof/>
          </w:rPr>
          <w:t>2.1.500</w:t>
        </w:r>
        <w:r>
          <w:rPr>
            <w:rFonts w:asciiTheme="minorHAnsi" w:eastAsiaTheme="minorEastAsia" w:hAnsiTheme="minorHAnsi" w:cstheme="minorBidi"/>
            <w:noProof/>
            <w:sz w:val="22"/>
            <w:szCs w:val="22"/>
          </w:rPr>
          <w:tab/>
        </w:r>
        <w:r w:rsidRPr="001B13A4">
          <w:rPr>
            <w:rStyle w:val="Hyperlink"/>
            <w:noProof/>
          </w:rPr>
          <w:t>Part 1 Section 17.16.5.56, SEQ</w:t>
        </w:r>
        <w:r>
          <w:rPr>
            <w:noProof/>
            <w:webHidden/>
          </w:rPr>
          <w:tab/>
        </w:r>
        <w:r>
          <w:rPr>
            <w:noProof/>
            <w:webHidden/>
          </w:rPr>
          <w:fldChar w:fldCharType="begin"/>
        </w:r>
        <w:r>
          <w:rPr>
            <w:noProof/>
            <w:webHidden/>
          </w:rPr>
          <w:instrText xml:space="preserve"> PAGEREF _Toc181683536 \h </w:instrText>
        </w:r>
        <w:r>
          <w:rPr>
            <w:noProof/>
            <w:webHidden/>
          </w:rPr>
        </w:r>
        <w:r>
          <w:rPr>
            <w:noProof/>
            <w:webHidden/>
          </w:rPr>
          <w:fldChar w:fldCharType="separate"/>
        </w:r>
        <w:r>
          <w:rPr>
            <w:noProof/>
            <w:webHidden/>
          </w:rPr>
          <w:t>221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7" w:history="1">
        <w:r w:rsidRPr="001B13A4">
          <w:rPr>
            <w:rStyle w:val="Hyperlink"/>
            <w:noProof/>
          </w:rPr>
          <w:t>2.1.501</w:t>
        </w:r>
        <w:r>
          <w:rPr>
            <w:rFonts w:asciiTheme="minorHAnsi" w:eastAsiaTheme="minorEastAsia" w:hAnsiTheme="minorHAnsi" w:cstheme="minorBidi"/>
            <w:noProof/>
            <w:sz w:val="22"/>
            <w:szCs w:val="22"/>
          </w:rPr>
          <w:tab/>
        </w:r>
        <w:r w:rsidRPr="001B13A4">
          <w:rPr>
            <w:rStyle w:val="Hyperlink"/>
            <w:noProof/>
          </w:rPr>
          <w:t>Part 1 Section 17.16.5.58, SKIPIF</w:t>
        </w:r>
        <w:r>
          <w:rPr>
            <w:noProof/>
            <w:webHidden/>
          </w:rPr>
          <w:tab/>
        </w:r>
        <w:r>
          <w:rPr>
            <w:noProof/>
            <w:webHidden/>
          </w:rPr>
          <w:fldChar w:fldCharType="begin"/>
        </w:r>
        <w:r>
          <w:rPr>
            <w:noProof/>
            <w:webHidden/>
          </w:rPr>
          <w:instrText xml:space="preserve"> PAGEREF _Toc181683537 \h </w:instrText>
        </w:r>
        <w:r>
          <w:rPr>
            <w:noProof/>
            <w:webHidden/>
          </w:rPr>
        </w:r>
        <w:r>
          <w:rPr>
            <w:noProof/>
            <w:webHidden/>
          </w:rPr>
          <w:fldChar w:fldCharType="separate"/>
        </w:r>
        <w:r>
          <w:rPr>
            <w:noProof/>
            <w:webHidden/>
          </w:rPr>
          <w:t>221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8" w:history="1">
        <w:r w:rsidRPr="001B13A4">
          <w:rPr>
            <w:rStyle w:val="Hyperlink"/>
            <w:noProof/>
          </w:rPr>
          <w:t>2.1.502</w:t>
        </w:r>
        <w:r>
          <w:rPr>
            <w:rFonts w:asciiTheme="minorHAnsi" w:eastAsiaTheme="minorEastAsia" w:hAnsiTheme="minorHAnsi" w:cstheme="minorBidi"/>
            <w:noProof/>
            <w:sz w:val="22"/>
            <w:szCs w:val="22"/>
          </w:rPr>
          <w:tab/>
        </w:r>
        <w:r w:rsidRPr="001B13A4">
          <w:rPr>
            <w:rStyle w:val="Hyperlink"/>
            <w:noProof/>
          </w:rPr>
          <w:t>Part 1 Section 17.16.5.59, STYLEREF</w:t>
        </w:r>
        <w:r>
          <w:rPr>
            <w:noProof/>
            <w:webHidden/>
          </w:rPr>
          <w:tab/>
        </w:r>
        <w:r>
          <w:rPr>
            <w:noProof/>
            <w:webHidden/>
          </w:rPr>
          <w:fldChar w:fldCharType="begin"/>
        </w:r>
        <w:r>
          <w:rPr>
            <w:noProof/>
            <w:webHidden/>
          </w:rPr>
          <w:instrText xml:space="preserve"> PAGEREF _Toc181683538 \h </w:instrText>
        </w:r>
        <w:r>
          <w:rPr>
            <w:noProof/>
            <w:webHidden/>
          </w:rPr>
        </w:r>
        <w:r>
          <w:rPr>
            <w:noProof/>
            <w:webHidden/>
          </w:rPr>
          <w:fldChar w:fldCharType="separate"/>
        </w:r>
        <w:r>
          <w:rPr>
            <w:noProof/>
            <w:webHidden/>
          </w:rPr>
          <w:t>222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39" w:history="1">
        <w:r w:rsidRPr="001B13A4">
          <w:rPr>
            <w:rStyle w:val="Hyperlink"/>
            <w:noProof/>
          </w:rPr>
          <w:t>2.1.503</w:t>
        </w:r>
        <w:r>
          <w:rPr>
            <w:rFonts w:asciiTheme="minorHAnsi" w:eastAsiaTheme="minorEastAsia" w:hAnsiTheme="minorHAnsi" w:cstheme="minorBidi"/>
            <w:noProof/>
            <w:sz w:val="22"/>
            <w:szCs w:val="22"/>
          </w:rPr>
          <w:tab/>
        </w:r>
        <w:r w:rsidRPr="001B13A4">
          <w:rPr>
            <w:rStyle w:val="Hyperlink"/>
            <w:noProof/>
          </w:rPr>
          <w:t>Part 1 Section 17.16.5.60, SUBJECT</w:t>
        </w:r>
        <w:r>
          <w:rPr>
            <w:noProof/>
            <w:webHidden/>
          </w:rPr>
          <w:tab/>
        </w:r>
        <w:r>
          <w:rPr>
            <w:noProof/>
            <w:webHidden/>
          </w:rPr>
          <w:fldChar w:fldCharType="begin"/>
        </w:r>
        <w:r>
          <w:rPr>
            <w:noProof/>
            <w:webHidden/>
          </w:rPr>
          <w:instrText xml:space="preserve"> PAGEREF _Toc181683539 \h </w:instrText>
        </w:r>
        <w:r>
          <w:rPr>
            <w:noProof/>
            <w:webHidden/>
          </w:rPr>
        </w:r>
        <w:r>
          <w:rPr>
            <w:noProof/>
            <w:webHidden/>
          </w:rPr>
          <w:fldChar w:fldCharType="separate"/>
        </w:r>
        <w:r>
          <w:rPr>
            <w:noProof/>
            <w:webHidden/>
          </w:rPr>
          <w:t>222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0" w:history="1">
        <w:r w:rsidRPr="001B13A4">
          <w:rPr>
            <w:rStyle w:val="Hyperlink"/>
            <w:noProof/>
          </w:rPr>
          <w:t>2.1.504</w:t>
        </w:r>
        <w:r>
          <w:rPr>
            <w:rFonts w:asciiTheme="minorHAnsi" w:eastAsiaTheme="minorEastAsia" w:hAnsiTheme="minorHAnsi" w:cstheme="minorBidi"/>
            <w:noProof/>
            <w:sz w:val="22"/>
            <w:szCs w:val="22"/>
          </w:rPr>
          <w:tab/>
        </w:r>
        <w:r w:rsidRPr="001B13A4">
          <w:rPr>
            <w:rStyle w:val="Hyperlink"/>
            <w:noProof/>
          </w:rPr>
          <w:t>Part 1 Section 17.16.5.61, SYMBOL</w:t>
        </w:r>
        <w:r>
          <w:rPr>
            <w:noProof/>
            <w:webHidden/>
          </w:rPr>
          <w:tab/>
        </w:r>
        <w:r>
          <w:rPr>
            <w:noProof/>
            <w:webHidden/>
          </w:rPr>
          <w:fldChar w:fldCharType="begin"/>
        </w:r>
        <w:r>
          <w:rPr>
            <w:noProof/>
            <w:webHidden/>
          </w:rPr>
          <w:instrText xml:space="preserve"> PAGEREF _Toc181683540 \h </w:instrText>
        </w:r>
        <w:r>
          <w:rPr>
            <w:noProof/>
            <w:webHidden/>
          </w:rPr>
        </w:r>
        <w:r>
          <w:rPr>
            <w:noProof/>
            <w:webHidden/>
          </w:rPr>
          <w:fldChar w:fldCharType="separate"/>
        </w:r>
        <w:r>
          <w:rPr>
            <w:noProof/>
            <w:webHidden/>
          </w:rPr>
          <w:t>223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1" w:history="1">
        <w:r w:rsidRPr="001B13A4">
          <w:rPr>
            <w:rStyle w:val="Hyperlink"/>
            <w:noProof/>
          </w:rPr>
          <w:t>2.1.505</w:t>
        </w:r>
        <w:r>
          <w:rPr>
            <w:rFonts w:asciiTheme="minorHAnsi" w:eastAsiaTheme="minorEastAsia" w:hAnsiTheme="minorHAnsi" w:cstheme="minorBidi"/>
            <w:noProof/>
            <w:sz w:val="22"/>
            <w:szCs w:val="22"/>
          </w:rPr>
          <w:tab/>
        </w:r>
        <w:r w:rsidRPr="001B13A4">
          <w:rPr>
            <w:rStyle w:val="Hyperlink"/>
            <w:noProof/>
          </w:rPr>
          <w:t>Part 1 Section 17.16.5.62, TA</w:t>
        </w:r>
        <w:r>
          <w:rPr>
            <w:noProof/>
            <w:webHidden/>
          </w:rPr>
          <w:tab/>
        </w:r>
        <w:r>
          <w:rPr>
            <w:noProof/>
            <w:webHidden/>
          </w:rPr>
          <w:fldChar w:fldCharType="begin"/>
        </w:r>
        <w:r>
          <w:rPr>
            <w:noProof/>
            <w:webHidden/>
          </w:rPr>
          <w:instrText xml:space="preserve"> PAGEREF _Toc181683541 \h </w:instrText>
        </w:r>
        <w:r>
          <w:rPr>
            <w:noProof/>
            <w:webHidden/>
          </w:rPr>
        </w:r>
        <w:r>
          <w:rPr>
            <w:noProof/>
            <w:webHidden/>
          </w:rPr>
          <w:fldChar w:fldCharType="separate"/>
        </w:r>
        <w:r>
          <w:rPr>
            <w:noProof/>
            <w:webHidden/>
          </w:rPr>
          <w:t>223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2" w:history="1">
        <w:r w:rsidRPr="001B13A4">
          <w:rPr>
            <w:rStyle w:val="Hyperlink"/>
            <w:noProof/>
          </w:rPr>
          <w:t>2.1.506</w:t>
        </w:r>
        <w:r>
          <w:rPr>
            <w:rFonts w:asciiTheme="minorHAnsi" w:eastAsiaTheme="minorEastAsia" w:hAnsiTheme="minorHAnsi" w:cstheme="minorBidi"/>
            <w:noProof/>
            <w:sz w:val="22"/>
            <w:szCs w:val="22"/>
          </w:rPr>
          <w:tab/>
        </w:r>
        <w:r w:rsidRPr="001B13A4">
          <w:rPr>
            <w:rStyle w:val="Hyperlink"/>
            <w:noProof/>
          </w:rPr>
          <w:t>Part 1 Section 17.16.5.64, TEMPLATE</w:t>
        </w:r>
        <w:r>
          <w:rPr>
            <w:noProof/>
            <w:webHidden/>
          </w:rPr>
          <w:tab/>
        </w:r>
        <w:r>
          <w:rPr>
            <w:noProof/>
            <w:webHidden/>
          </w:rPr>
          <w:fldChar w:fldCharType="begin"/>
        </w:r>
        <w:r>
          <w:rPr>
            <w:noProof/>
            <w:webHidden/>
          </w:rPr>
          <w:instrText xml:space="preserve"> PAGEREF _Toc181683542 \h </w:instrText>
        </w:r>
        <w:r>
          <w:rPr>
            <w:noProof/>
            <w:webHidden/>
          </w:rPr>
        </w:r>
        <w:r>
          <w:rPr>
            <w:noProof/>
            <w:webHidden/>
          </w:rPr>
          <w:fldChar w:fldCharType="separate"/>
        </w:r>
        <w:r>
          <w:rPr>
            <w:noProof/>
            <w:webHidden/>
          </w:rPr>
          <w:t>223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3" w:history="1">
        <w:r w:rsidRPr="001B13A4">
          <w:rPr>
            <w:rStyle w:val="Hyperlink"/>
            <w:noProof/>
          </w:rPr>
          <w:t>2.1.507</w:t>
        </w:r>
        <w:r>
          <w:rPr>
            <w:rFonts w:asciiTheme="minorHAnsi" w:eastAsiaTheme="minorEastAsia" w:hAnsiTheme="minorHAnsi" w:cstheme="minorBidi"/>
            <w:noProof/>
            <w:sz w:val="22"/>
            <w:szCs w:val="22"/>
          </w:rPr>
          <w:tab/>
        </w:r>
        <w:r w:rsidRPr="001B13A4">
          <w:rPr>
            <w:rStyle w:val="Hyperlink"/>
            <w:noProof/>
          </w:rPr>
          <w:t>Part 1 Section 17.16.5.66, TITLE</w:t>
        </w:r>
        <w:r>
          <w:rPr>
            <w:noProof/>
            <w:webHidden/>
          </w:rPr>
          <w:tab/>
        </w:r>
        <w:r>
          <w:rPr>
            <w:noProof/>
            <w:webHidden/>
          </w:rPr>
          <w:fldChar w:fldCharType="begin"/>
        </w:r>
        <w:r>
          <w:rPr>
            <w:noProof/>
            <w:webHidden/>
          </w:rPr>
          <w:instrText xml:space="preserve"> PAGEREF _Toc181683543 \h </w:instrText>
        </w:r>
        <w:r>
          <w:rPr>
            <w:noProof/>
            <w:webHidden/>
          </w:rPr>
        </w:r>
        <w:r>
          <w:rPr>
            <w:noProof/>
            <w:webHidden/>
          </w:rPr>
          <w:fldChar w:fldCharType="separate"/>
        </w:r>
        <w:r>
          <w:rPr>
            <w:noProof/>
            <w:webHidden/>
          </w:rPr>
          <w:t>223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4" w:history="1">
        <w:r w:rsidRPr="001B13A4">
          <w:rPr>
            <w:rStyle w:val="Hyperlink"/>
            <w:noProof/>
          </w:rPr>
          <w:t>2.1.508</w:t>
        </w:r>
        <w:r>
          <w:rPr>
            <w:rFonts w:asciiTheme="minorHAnsi" w:eastAsiaTheme="minorEastAsia" w:hAnsiTheme="minorHAnsi" w:cstheme="minorBidi"/>
            <w:noProof/>
            <w:sz w:val="22"/>
            <w:szCs w:val="22"/>
          </w:rPr>
          <w:tab/>
        </w:r>
        <w:r w:rsidRPr="001B13A4">
          <w:rPr>
            <w:rStyle w:val="Hyperlink"/>
            <w:noProof/>
          </w:rPr>
          <w:t>Part 1 Section 17.16.5.67, TOA</w:t>
        </w:r>
        <w:r>
          <w:rPr>
            <w:noProof/>
            <w:webHidden/>
          </w:rPr>
          <w:tab/>
        </w:r>
        <w:r>
          <w:rPr>
            <w:noProof/>
            <w:webHidden/>
          </w:rPr>
          <w:fldChar w:fldCharType="begin"/>
        </w:r>
        <w:r>
          <w:rPr>
            <w:noProof/>
            <w:webHidden/>
          </w:rPr>
          <w:instrText xml:space="preserve"> PAGEREF _Toc181683544 \h </w:instrText>
        </w:r>
        <w:r>
          <w:rPr>
            <w:noProof/>
            <w:webHidden/>
          </w:rPr>
        </w:r>
        <w:r>
          <w:rPr>
            <w:noProof/>
            <w:webHidden/>
          </w:rPr>
          <w:fldChar w:fldCharType="separate"/>
        </w:r>
        <w:r>
          <w:rPr>
            <w:noProof/>
            <w:webHidden/>
          </w:rPr>
          <w:t>223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5" w:history="1">
        <w:r w:rsidRPr="001B13A4">
          <w:rPr>
            <w:rStyle w:val="Hyperlink"/>
            <w:noProof/>
          </w:rPr>
          <w:t>2.1.509</w:t>
        </w:r>
        <w:r>
          <w:rPr>
            <w:rFonts w:asciiTheme="minorHAnsi" w:eastAsiaTheme="minorEastAsia" w:hAnsiTheme="minorHAnsi" w:cstheme="minorBidi"/>
            <w:noProof/>
            <w:sz w:val="22"/>
            <w:szCs w:val="22"/>
          </w:rPr>
          <w:tab/>
        </w:r>
        <w:r w:rsidRPr="001B13A4">
          <w:rPr>
            <w:rStyle w:val="Hyperlink"/>
            <w:noProof/>
          </w:rPr>
          <w:t>Part 1 Section 17.16.5.68, TOC</w:t>
        </w:r>
        <w:r>
          <w:rPr>
            <w:noProof/>
            <w:webHidden/>
          </w:rPr>
          <w:tab/>
        </w:r>
        <w:r>
          <w:rPr>
            <w:noProof/>
            <w:webHidden/>
          </w:rPr>
          <w:fldChar w:fldCharType="begin"/>
        </w:r>
        <w:r>
          <w:rPr>
            <w:noProof/>
            <w:webHidden/>
          </w:rPr>
          <w:instrText xml:space="preserve"> PAGEREF _Toc181683545 \h </w:instrText>
        </w:r>
        <w:r>
          <w:rPr>
            <w:noProof/>
            <w:webHidden/>
          </w:rPr>
        </w:r>
        <w:r>
          <w:rPr>
            <w:noProof/>
            <w:webHidden/>
          </w:rPr>
          <w:fldChar w:fldCharType="separate"/>
        </w:r>
        <w:r>
          <w:rPr>
            <w:noProof/>
            <w:webHidden/>
          </w:rPr>
          <w:t>223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6" w:history="1">
        <w:r w:rsidRPr="001B13A4">
          <w:rPr>
            <w:rStyle w:val="Hyperlink"/>
            <w:noProof/>
          </w:rPr>
          <w:t>2.1.510</w:t>
        </w:r>
        <w:r>
          <w:rPr>
            <w:rFonts w:asciiTheme="minorHAnsi" w:eastAsiaTheme="minorEastAsia" w:hAnsiTheme="minorHAnsi" w:cstheme="minorBidi"/>
            <w:noProof/>
            <w:sz w:val="22"/>
            <w:szCs w:val="22"/>
          </w:rPr>
          <w:tab/>
        </w:r>
        <w:r w:rsidRPr="001B13A4">
          <w:rPr>
            <w:rStyle w:val="Hyperlink"/>
            <w:noProof/>
          </w:rPr>
          <w:t>Part 1 Section 17.16.5.69, USERADDRESS</w:t>
        </w:r>
        <w:r>
          <w:rPr>
            <w:noProof/>
            <w:webHidden/>
          </w:rPr>
          <w:tab/>
        </w:r>
        <w:r>
          <w:rPr>
            <w:noProof/>
            <w:webHidden/>
          </w:rPr>
          <w:fldChar w:fldCharType="begin"/>
        </w:r>
        <w:r>
          <w:rPr>
            <w:noProof/>
            <w:webHidden/>
          </w:rPr>
          <w:instrText xml:space="preserve"> PAGEREF _Toc181683546 \h </w:instrText>
        </w:r>
        <w:r>
          <w:rPr>
            <w:noProof/>
            <w:webHidden/>
          </w:rPr>
        </w:r>
        <w:r>
          <w:rPr>
            <w:noProof/>
            <w:webHidden/>
          </w:rPr>
          <w:fldChar w:fldCharType="separate"/>
        </w:r>
        <w:r>
          <w:rPr>
            <w:noProof/>
            <w:webHidden/>
          </w:rPr>
          <w:t>224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7" w:history="1">
        <w:r w:rsidRPr="001B13A4">
          <w:rPr>
            <w:rStyle w:val="Hyperlink"/>
            <w:noProof/>
          </w:rPr>
          <w:t>2.1.511</w:t>
        </w:r>
        <w:r>
          <w:rPr>
            <w:rFonts w:asciiTheme="minorHAnsi" w:eastAsiaTheme="minorEastAsia" w:hAnsiTheme="minorHAnsi" w:cstheme="minorBidi"/>
            <w:noProof/>
            <w:sz w:val="22"/>
            <w:szCs w:val="22"/>
          </w:rPr>
          <w:tab/>
        </w:r>
        <w:r w:rsidRPr="001B13A4">
          <w:rPr>
            <w:rStyle w:val="Hyperlink"/>
            <w:noProof/>
          </w:rPr>
          <w:t>Part 1 Section 17.16.5.70, USERINITIALS</w:t>
        </w:r>
        <w:r>
          <w:rPr>
            <w:noProof/>
            <w:webHidden/>
          </w:rPr>
          <w:tab/>
        </w:r>
        <w:r>
          <w:rPr>
            <w:noProof/>
            <w:webHidden/>
          </w:rPr>
          <w:fldChar w:fldCharType="begin"/>
        </w:r>
        <w:r>
          <w:rPr>
            <w:noProof/>
            <w:webHidden/>
          </w:rPr>
          <w:instrText xml:space="preserve"> PAGEREF _Toc181683547 \h </w:instrText>
        </w:r>
        <w:r>
          <w:rPr>
            <w:noProof/>
            <w:webHidden/>
          </w:rPr>
        </w:r>
        <w:r>
          <w:rPr>
            <w:noProof/>
            <w:webHidden/>
          </w:rPr>
          <w:fldChar w:fldCharType="separate"/>
        </w:r>
        <w:r>
          <w:rPr>
            <w:noProof/>
            <w:webHidden/>
          </w:rPr>
          <w:t>224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8" w:history="1">
        <w:r w:rsidRPr="001B13A4">
          <w:rPr>
            <w:rStyle w:val="Hyperlink"/>
            <w:noProof/>
          </w:rPr>
          <w:t>2.1.512</w:t>
        </w:r>
        <w:r>
          <w:rPr>
            <w:rFonts w:asciiTheme="minorHAnsi" w:eastAsiaTheme="minorEastAsia" w:hAnsiTheme="minorHAnsi" w:cstheme="minorBidi"/>
            <w:noProof/>
            <w:sz w:val="22"/>
            <w:szCs w:val="22"/>
          </w:rPr>
          <w:tab/>
        </w:r>
        <w:r w:rsidRPr="001B13A4">
          <w:rPr>
            <w:rStyle w:val="Hyperlink"/>
            <w:noProof/>
          </w:rPr>
          <w:t>Part 1 Section 17.16.5.71, USERNAME</w:t>
        </w:r>
        <w:r>
          <w:rPr>
            <w:noProof/>
            <w:webHidden/>
          </w:rPr>
          <w:tab/>
        </w:r>
        <w:r>
          <w:rPr>
            <w:noProof/>
            <w:webHidden/>
          </w:rPr>
          <w:fldChar w:fldCharType="begin"/>
        </w:r>
        <w:r>
          <w:rPr>
            <w:noProof/>
            <w:webHidden/>
          </w:rPr>
          <w:instrText xml:space="preserve"> PAGEREF _Toc181683548 \h </w:instrText>
        </w:r>
        <w:r>
          <w:rPr>
            <w:noProof/>
            <w:webHidden/>
          </w:rPr>
        </w:r>
        <w:r>
          <w:rPr>
            <w:noProof/>
            <w:webHidden/>
          </w:rPr>
          <w:fldChar w:fldCharType="separate"/>
        </w:r>
        <w:r>
          <w:rPr>
            <w:noProof/>
            <w:webHidden/>
          </w:rPr>
          <w:t>224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49" w:history="1">
        <w:r w:rsidRPr="001B13A4">
          <w:rPr>
            <w:rStyle w:val="Hyperlink"/>
            <w:noProof/>
          </w:rPr>
          <w:t>2.1.513</w:t>
        </w:r>
        <w:r>
          <w:rPr>
            <w:rFonts w:asciiTheme="minorHAnsi" w:eastAsiaTheme="minorEastAsia" w:hAnsiTheme="minorHAnsi" w:cstheme="minorBidi"/>
            <w:noProof/>
            <w:sz w:val="22"/>
            <w:szCs w:val="22"/>
          </w:rPr>
          <w:tab/>
        </w:r>
        <w:r w:rsidRPr="001B13A4">
          <w:rPr>
            <w:rStyle w:val="Hyperlink"/>
            <w:noProof/>
          </w:rPr>
          <w:t>Part 1 Section 17.16.5.72, XE</w:t>
        </w:r>
        <w:r>
          <w:rPr>
            <w:noProof/>
            <w:webHidden/>
          </w:rPr>
          <w:tab/>
        </w:r>
        <w:r>
          <w:rPr>
            <w:noProof/>
            <w:webHidden/>
          </w:rPr>
          <w:fldChar w:fldCharType="begin"/>
        </w:r>
        <w:r>
          <w:rPr>
            <w:noProof/>
            <w:webHidden/>
          </w:rPr>
          <w:instrText xml:space="preserve"> PAGEREF _Toc181683549 \h </w:instrText>
        </w:r>
        <w:r>
          <w:rPr>
            <w:noProof/>
            <w:webHidden/>
          </w:rPr>
        </w:r>
        <w:r>
          <w:rPr>
            <w:noProof/>
            <w:webHidden/>
          </w:rPr>
          <w:fldChar w:fldCharType="separate"/>
        </w:r>
        <w:r>
          <w:rPr>
            <w:noProof/>
            <w:webHidden/>
          </w:rPr>
          <w:t>224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0" w:history="1">
        <w:r w:rsidRPr="001B13A4">
          <w:rPr>
            <w:rStyle w:val="Hyperlink"/>
            <w:noProof/>
          </w:rPr>
          <w:t>2.1.514</w:t>
        </w:r>
        <w:r>
          <w:rPr>
            <w:rFonts w:asciiTheme="minorHAnsi" w:eastAsiaTheme="minorEastAsia" w:hAnsiTheme="minorHAnsi" w:cstheme="minorBidi"/>
            <w:noProof/>
            <w:sz w:val="22"/>
            <w:szCs w:val="22"/>
          </w:rPr>
          <w:tab/>
        </w:r>
        <w:r w:rsidRPr="001B13A4">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_Toc181683550 \h </w:instrText>
        </w:r>
        <w:r>
          <w:rPr>
            <w:noProof/>
            <w:webHidden/>
          </w:rPr>
        </w:r>
        <w:r>
          <w:rPr>
            <w:noProof/>
            <w:webHidden/>
          </w:rPr>
          <w:fldChar w:fldCharType="separate"/>
        </w:r>
        <w:r>
          <w:rPr>
            <w:noProof/>
            <w:webHidden/>
          </w:rPr>
          <w:t>224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1" w:history="1">
        <w:r w:rsidRPr="001B13A4">
          <w:rPr>
            <w:rStyle w:val="Hyperlink"/>
            <w:noProof/>
          </w:rPr>
          <w:t>2.1.515</w:t>
        </w:r>
        <w:r>
          <w:rPr>
            <w:rFonts w:asciiTheme="minorHAnsi" w:eastAsiaTheme="minorEastAsia" w:hAnsiTheme="minorHAnsi" w:cstheme="minorBidi"/>
            <w:noProof/>
            <w:sz w:val="22"/>
            <w:szCs w:val="22"/>
          </w:rPr>
          <w:tab/>
        </w:r>
        <w:r w:rsidRPr="001B13A4">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_Toc181683551 \h </w:instrText>
        </w:r>
        <w:r>
          <w:rPr>
            <w:noProof/>
            <w:webHidden/>
          </w:rPr>
        </w:r>
        <w:r>
          <w:rPr>
            <w:noProof/>
            <w:webHidden/>
          </w:rPr>
          <w:fldChar w:fldCharType="separate"/>
        </w:r>
        <w:r>
          <w:rPr>
            <w:noProof/>
            <w:webHidden/>
          </w:rPr>
          <w:t>224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2" w:history="1">
        <w:r w:rsidRPr="001B13A4">
          <w:rPr>
            <w:rStyle w:val="Hyperlink"/>
            <w:noProof/>
          </w:rPr>
          <w:t>2.1.516</w:t>
        </w:r>
        <w:r>
          <w:rPr>
            <w:rFonts w:asciiTheme="minorHAnsi" w:eastAsiaTheme="minorEastAsia" w:hAnsiTheme="minorHAnsi" w:cstheme="minorBidi"/>
            <w:noProof/>
            <w:sz w:val="22"/>
            <w:szCs w:val="22"/>
          </w:rPr>
          <w:tab/>
        </w:r>
        <w:r w:rsidRPr="001B13A4">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_Toc181683552 \h </w:instrText>
        </w:r>
        <w:r>
          <w:rPr>
            <w:noProof/>
            <w:webHidden/>
          </w:rPr>
        </w:r>
        <w:r>
          <w:rPr>
            <w:noProof/>
            <w:webHidden/>
          </w:rPr>
          <w:fldChar w:fldCharType="separate"/>
        </w:r>
        <w:r>
          <w:rPr>
            <w:noProof/>
            <w:webHidden/>
          </w:rPr>
          <w:t>224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3" w:history="1">
        <w:r w:rsidRPr="001B13A4">
          <w:rPr>
            <w:rStyle w:val="Hyperlink"/>
            <w:noProof/>
          </w:rPr>
          <w:t>2.1.517</w:t>
        </w:r>
        <w:r>
          <w:rPr>
            <w:rFonts w:asciiTheme="minorHAnsi" w:eastAsiaTheme="minorEastAsia" w:hAnsiTheme="minorHAnsi" w:cstheme="minorBidi"/>
            <w:noProof/>
            <w:sz w:val="22"/>
            <w:szCs w:val="22"/>
          </w:rPr>
          <w:tab/>
        </w:r>
        <w:r w:rsidRPr="001B13A4">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_Toc181683553 \h </w:instrText>
        </w:r>
        <w:r>
          <w:rPr>
            <w:noProof/>
            <w:webHidden/>
          </w:rPr>
        </w:r>
        <w:r>
          <w:rPr>
            <w:noProof/>
            <w:webHidden/>
          </w:rPr>
          <w:fldChar w:fldCharType="separate"/>
        </w:r>
        <w:r>
          <w:rPr>
            <w:noProof/>
            <w:webHidden/>
          </w:rPr>
          <w:t>225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4" w:history="1">
        <w:r w:rsidRPr="001B13A4">
          <w:rPr>
            <w:rStyle w:val="Hyperlink"/>
            <w:noProof/>
          </w:rPr>
          <w:t>2.1.518</w:t>
        </w:r>
        <w:r>
          <w:rPr>
            <w:rFonts w:asciiTheme="minorHAnsi" w:eastAsiaTheme="minorEastAsia" w:hAnsiTheme="minorHAnsi" w:cstheme="minorBidi"/>
            <w:noProof/>
            <w:sz w:val="22"/>
            <w:szCs w:val="22"/>
          </w:rPr>
          <w:tab/>
        </w:r>
        <w:r w:rsidRPr="001B13A4">
          <w:rPr>
            <w:rStyle w:val="Hyperlink"/>
            <w:noProof/>
          </w:rPr>
          <w:t>Part 1 Section 17.16.17, ffData (Form Field Properties)</w:t>
        </w:r>
        <w:r>
          <w:rPr>
            <w:noProof/>
            <w:webHidden/>
          </w:rPr>
          <w:tab/>
        </w:r>
        <w:r>
          <w:rPr>
            <w:noProof/>
            <w:webHidden/>
          </w:rPr>
          <w:fldChar w:fldCharType="begin"/>
        </w:r>
        <w:r>
          <w:rPr>
            <w:noProof/>
            <w:webHidden/>
          </w:rPr>
          <w:instrText xml:space="preserve"> PAGEREF _Toc181683554 \h </w:instrText>
        </w:r>
        <w:r>
          <w:rPr>
            <w:noProof/>
            <w:webHidden/>
          </w:rPr>
        </w:r>
        <w:r>
          <w:rPr>
            <w:noProof/>
            <w:webHidden/>
          </w:rPr>
          <w:fldChar w:fldCharType="separate"/>
        </w:r>
        <w:r>
          <w:rPr>
            <w:noProof/>
            <w:webHidden/>
          </w:rPr>
          <w:t>225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5" w:history="1">
        <w:r w:rsidRPr="001B13A4">
          <w:rPr>
            <w:rStyle w:val="Hyperlink"/>
            <w:noProof/>
          </w:rPr>
          <w:t>2.1.519</w:t>
        </w:r>
        <w:r>
          <w:rPr>
            <w:rFonts w:asciiTheme="minorHAnsi" w:eastAsiaTheme="minorEastAsia" w:hAnsiTheme="minorHAnsi" w:cstheme="minorBidi"/>
            <w:noProof/>
            <w:sz w:val="22"/>
            <w:szCs w:val="22"/>
          </w:rPr>
          <w:tab/>
        </w:r>
        <w:r w:rsidRPr="001B13A4">
          <w:rPr>
            <w:rStyle w:val="Hyperlink"/>
            <w:noProof/>
          </w:rPr>
          <w:t>Part 1 Section 17.16.19, fldSimple (Simple Field)</w:t>
        </w:r>
        <w:r>
          <w:rPr>
            <w:noProof/>
            <w:webHidden/>
          </w:rPr>
          <w:tab/>
        </w:r>
        <w:r>
          <w:rPr>
            <w:noProof/>
            <w:webHidden/>
          </w:rPr>
          <w:fldChar w:fldCharType="begin"/>
        </w:r>
        <w:r>
          <w:rPr>
            <w:noProof/>
            <w:webHidden/>
          </w:rPr>
          <w:instrText xml:space="preserve"> PAGEREF _Toc181683555 \h </w:instrText>
        </w:r>
        <w:r>
          <w:rPr>
            <w:noProof/>
            <w:webHidden/>
          </w:rPr>
        </w:r>
        <w:r>
          <w:rPr>
            <w:noProof/>
            <w:webHidden/>
          </w:rPr>
          <w:fldChar w:fldCharType="separate"/>
        </w:r>
        <w:r>
          <w:rPr>
            <w:noProof/>
            <w:webHidden/>
          </w:rPr>
          <w:t>225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6" w:history="1">
        <w:r w:rsidRPr="001B13A4">
          <w:rPr>
            <w:rStyle w:val="Hyperlink"/>
            <w:noProof/>
          </w:rPr>
          <w:t>2.1.520</w:t>
        </w:r>
        <w:r>
          <w:rPr>
            <w:rFonts w:asciiTheme="minorHAnsi" w:eastAsiaTheme="minorEastAsia" w:hAnsiTheme="minorHAnsi" w:cstheme="minorBidi"/>
            <w:noProof/>
            <w:sz w:val="22"/>
            <w:szCs w:val="22"/>
          </w:rPr>
          <w:tab/>
        </w:r>
        <w:r w:rsidRPr="001B13A4">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_Toc181683556 \h </w:instrText>
        </w:r>
        <w:r>
          <w:rPr>
            <w:noProof/>
            <w:webHidden/>
          </w:rPr>
        </w:r>
        <w:r>
          <w:rPr>
            <w:noProof/>
            <w:webHidden/>
          </w:rPr>
          <w:fldChar w:fldCharType="separate"/>
        </w:r>
        <w:r>
          <w:rPr>
            <w:noProof/>
            <w:webHidden/>
          </w:rPr>
          <w:t>225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7" w:history="1">
        <w:r w:rsidRPr="001B13A4">
          <w:rPr>
            <w:rStyle w:val="Hyperlink"/>
            <w:noProof/>
          </w:rPr>
          <w:t>2.1.521</w:t>
        </w:r>
        <w:r>
          <w:rPr>
            <w:rFonts w:asciiTheme="minorHAnsi" w:eastAsiaTheme="minorEastAsia" w:hAnsiTheme="minorHAnsi" w:cstheme="minorBidi"/>
            <w:noProof/>
            <w:sz w:val="22"/>
            <w:szCs w:val="22"/>
          </w:rPr>
          <w:tab/>
        </w:r>
        <w:r w:rsidRPr="001B13A4">
          <w:rPr>
            <w:rStyle w:val="Hyperlink"/>
            <w:noProof/>
          </w:rPr>
          <w:t>Part 1 Section 17.16.22, hyperlink (Hyperlink)</w:t>
        </w:r>
        <w:r>
          <w:rPr>
            <w:noProof/>
            <w:webHidden/>
          </w:rPr>
          <w:tab/>
        </w:r>
        <w:r>
          <w:rPr>
            <w:noProof/>
            <w:webHidden/>
          </w:rPr>
          <w:fldChar w:fldCharType="begin"/>
        </w:r>
        <w:r>
          <w:rPr>
            <w:noProof/>
            <w:webHidden/>
          </w:rPr>
          <w:instrText xml:space="preserve"> PAGEREF _Toc181683557 \h </w:instrText>
        </w:r>
        <w:r>
          <w:rPr>
            <w:noProof/>
            <w:webHidden/>
          </w:rPr>
        </w:r>
        <w:r>
          <w:rPr>
            <w:noProof/>
            <w:webHidden/>
          </w:rPr>
          <w:fldChar w:fldCharType="separate"/>
        </w:r>
        <w:r>
          <w:rPr>
            <w:noProof/>
            <w:webHidden/>
          </w:rPr>
          <w:t>225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8" w:history="1">
        <w:r w:rsidRPr="001B13A4">
          <w:rPr>
            <w:rStyle w:val="Hyperlink"/>
            <w:noProof/>
          </w:rPr>
          <w:t>2.1.522</w:t>
        </w:r>
        <w:r>
          <w:rPr>
            <w:rFonts w:asciiTheme="minorHAnsi" w:eastAsiaTheme="minorEastAsia" w:hAnsiTheme="minorHAnsi" w:cstheme="minorBidi"/>
            <w:noProof/>
            <w:sz w:val="22"/>
            <w:szCs w:val="22"/>
          </w:rPr>
          <w:tab/>
        </w:r>
        <w:r w:rsidRPr="001B13A4">
          <w:rPr>
            <w:rStyle w:val="Hyperlink"/>
            <w:noProof/>
          </w:rPr>
          <w:t>Part 1 Section 17.16.24, label (Form Field Label)</w:t>
        </w:r>
        <w:r>
          <w:rPr>
            <w:noProof/>
            <w:webHidden/>
          </w:rPr>
          <w:tab/>
        </w:r>
        <w:r>
          <w:rPr>
            <w:noProof/>
            <w:webHidden/>
          </w:rPr>
          <w:fldChar w:fldCharType="begin"/>
        </w:r>
        <w:r>
          <w:rPr>
            <w:noProof/>
            <w:webHidden/>
          </w:rPr>
          <w:instrText xml:space="preserve"> PAGEREF _Toc181683558 \h </w:instrText>
        </w:r>
        <w:r>
          <w:rPr>
            <w:noProof/>
            <w:webHidden/>
          </w:rPr>
        </w:r>
        <w:r>
          <w:rPr>
            <w:noProof/>
            <w:webHidden/>
          </w:rPr>
          <w:fldChar w:fldCharType="separate"/>
        </w:r>
        <w:r>
          <w:rPr>
            <w:noProof/>
            <w:webHidden/>
          </w:rPr>
          <w:t>226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59" w:history="1">
        <w:r w:rsidRPr="001B13A4">
          <w:rPr>
            <w:rStyle w:val="Hyperlink"/>
            <w:noProof/>
          </w:rPr>
          <w:t>2.1.523</w:t>
        </w:r>
        <w:r>
          <w:rPr>
            <w:rFonts w:asciiTheme="minorHAnsi" w:eastAsiaTheme="minorEastAsia" w:hAnsiTheme="minorHAnsi" w:cstheme="minorBidi"/>
            <w:noProof/>
            <w:sz w:val="22"/>
            <w:szCs w:val="22"/>
          </w:rPr>
          <w:tab/>
        </w:r>
        <w:r w:rsidRPr="001B13A4">
          <w:rPr>
            <w:rStyle w:val="Hyperlink"/>
            <w:noProof/>
          </w:rPr>
          <w:t>Part 1 Section 17.16.25, listEntry (Drop-Down List Entry)</w:t>
        </w:r>
        <w:r>
          <w:rPr>
            <w:noProof/>
            <w:webHidden/>
          </w:rPr>
          <w:tab/>
        </w:r>
        <w:r>
          <w:rPr>
            <w:noProof/>
            <w:webHidden/>
          </w:rPr>
          <w:fldChar w:fldCharType="begin"/>
        </w:r>
        <w:r>
          <w:rPr>
            <w:noProof/>
            <w:webHidden/>
          </w:rPr>
          <w:instrText xml:space="preserve"> PAGEREF _Toc181683559 \h </w:instrText>
        </w:r>
        <w:r>
          <w:rPr>
            <w:noProof/>
            <w:webHidden/>
          </w:rPr>
        </w:r>
        <w:r>
          <w:rPr>
            <w:noProof/>
            <w:webHidden/>
          </w:rPr>
          <w:fldChar w:fldCharType="separate"/>
        </w:r>
        <w:r>
          <w:rPr>
            <w:noProof/>
            <w:webHidden/>
          </w:rPr>
          <w:t>226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0" w:history="1">
        <w:r w:rsidRPr="001B13A4">
          <w:rPr>
            <w:rStyle w:val="Hyperlink"/>
            <w:noProof/>
          </w:rPr>
          <w:t>2.1.524</w:t>
        </w:r>
        <w:r>
          <w:rPr>
            <w:rFonts w:asciiTheme="minorHAnsi" w:eastAsiaTheme="minorEastAsia" w:hAnsiTheme="minorHAnsi" w:cstheme="minorBidi"/>
            <w:noProof/>
            <w:sz w:val="22"/>
            <w:szCs w:val="22"/>
          </w:rPr>
          <w:tab/>
        </w:r>
        <w:r w:rsidRPr="001B13A4">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_Toc181683560 \h </w:instrText>
        </w:r>
        <w:r>
          <w:rPr>
            <w:noProof/>
            <w:webHidden/>
          </w:rPr>
        </w:r>
        <w:r>
          <w:rPr>
            <w:noProof/>
            <w:webHidden/>
          </w:rPr>
          <w:fldChar w:fldCharType="separate"/>
        </w:r>
        <w:r>
          <w:rPr>
            <w:noProof/>
            <w:webHidden/>
          </w:rPr>
          <w:t>226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1" w:history="1">
        <w:r w:rsidRPr="001B13A4">
          <w:rPr>
            <w:rStyle w:val="Hyperlink"/>
            <w:noProof/>
          </w:rPr>
          <w:t>2.1.525</w:t>
        </w:r>
        <w:r>
          <w:rPr>
            <w:rFonts w:asciiTheme="minorHAnsi" w:eastAsiaTheme="minorEastAsia" w:hAnsiTheme="minorHAnsi" w:cstheme="minorBidi"/>
            <w:noProof/>
            <w:sz w:val="22"/>
            <w:szCs w:val="22"/>
          </w:rPr>
          <w:tab/>
        </w:r>
        <w:r w:rsidRPr="001B13A4">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_Toc181683561 \h </w:instrText>
        </w:r>
        <w:r>
          <w:rPr>
            <w:noProof/>
            <w:webHidden/>
          </w:rPr>
        </w:r>
        <w:r>
          <w:rPr>
            <w:noProof/>
            <w:webHidden/>
          </w:rPr>
          <w:fldChar w:fldCharType="separate"/>
        </w:r>
        <w:r>
          <w:rPr>
            <w:noProof/>
            <w:webHidden/>
          </w:rPr>
          <w:t>226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2" w:history="1">
        <w:r w:rsidRPr="001B13A4">
          <w:rPr>
            <w:rStyle w:val="Hyperlink"/>
            <w:noProof/>
          </w:rPr>
          <w:t>2.1.526</w:t>
        </w:r>
        <w:r>
          <w:rPr>
            <w:rFonts w:asciiTheme="minorHAnsi" w:eastAsiaTheme="minorEastAsia" w:hAnsiTheme="minorHAnsi" w:cstheme="minorBidi"/>
            <w:noProof/>
            <w:sz w:val="22"/>
            <w:szCs w:val="22"/>
          </w:rPr>
          <w:tab/>
        </w:r>
        <w:r w:rsidRPr="001B13A4">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_Toc181683562 \h </w:instrText>
        </w:r>
        <w:r>
          <w:rPr>
            <w:noProof/>
            <w:webHidden/>
          </w:rPr>
        </w:r>
        <w:r>
          <w:rPr>
            <w:noProof/>
            <w:webHidden/>
          </w:rPr>
          <w:fldChar w:fldCharType="separate"/>
        </w:r>
        <w:r>
          <w:rPr>
            <w:noProof/>
            <w:webHidden/>
          </w:rPr>
          <w:t>226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3" w:history="1">
        <w:r w:rsidRPr="001B13A4">
          <w:rPr>
            <w:rStyle w:val="Hyperlink"/>
            <w:noProof/>
          </w:rPr>
          <w:t>2.1.527</w:t>
        </w:r>
        <w:r>
          <w:rPr>
            <w:rFonts w:asciiTheme="minorHAnsi" w:eastAsiaTheme="minorEastAsia" w:hAnsiTheme="minorHAnsi" w:cstheme="minorBidi"/>
            <w:noProof/>
            <w:sz w:val="22"/>
            <w:szCs w:val="22"/>
          </w:rPr>
          <w:tab/>
        </w:r>
        <w:r w:rsidRPr="001B13A4">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_Toc181683563 \h </w:instrText>
        </w:r>
        <w:r>
          <w:rPr>
            <w:noProof/>
            <w:webHidden/>
          </w:rPr>
        </w:r>
        <w:r>
          <w:rPr>
            <w:noProof/>
            <w:webHidden/>
          </w:rPr>
          <w:fldChar w:fldCharType="separate"/>
        </w:r>
        <w:r>
          <w:rPr>
            <w:noProof/>
            <w:webHidden/>
          </w:rPr>
          <w:t>226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4" w:history="1">
        <w:r w:rsidRPr="001B13A4">
          <w:rPr>
            <w:rStyle w:val="Hyperlink"/>
            <w:noProof/>
          </w:rPr>
          <w:t>2.1.528</w:t>
        </w:r>
        <w:r>
          <w:rPr>
            <w:rFonts w:asciiTheme="minorHAnsi" w:eastAsiaTheme="minorEastAsia" w:hAnsiTheme="minorHAnsi" w:cstheme="minorBidi"/>
            <w:noProof/>
            <w:sz w:val="22"/>
            <w:szCs w:val="22"/>
          </w:rPr>
          <w:tab/>
        </w:r>
        <w:r w:rsidRPr="001B13A4">
          <w:rPr>
            <w:rStyle w:val="Hyperlink"/>
            <w:noProof/>
          </w:rPr>
          <w:t>Part 1 Section 17.18.2, ST_Border (Border Styles)</w:t>
        </w:r>
        <w:r>
          <w:rPr>
            <w:noProof/>
            <w:webHidden/>
          </w:rPr>
          <w:tab/>
        </w:r>
        <w:r>
          <w:rPr>
            <w:noProof/>
            <w:webHidden/>
          </w:rPr>
          <w:fldChar w:fldCharType="begin"/>
        </w:r>
        <w:r>
          <w:rPr>
            <w:noProof/>
            <w:webHidden/>
          </w:rPr>
          <w:instrText xml:space="preserve"> PAGEREF _Toc181683564 \h </w:instrText>
        </w:r>
        <w:r>
          <w:rPr>
            <w:noProof/>
            <w:webHidden/>
          </w:rPr>
        </w:r>
        <w:r>
          <w:rPr>
            <w:noProof/>
            <w:webHidden/>
          </w:rPr>
          <w:fldChar w:fldCharType="separate"/>
        </w:r>
        <w:r>
          <w:rPr>
            <w:noProof/>
            <w:webHidden/>
          </w:rPr>
          <w:t>227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5" w:history="1">
        <w:r w:rsidRPr="001B13A4">
          <w:rPr>
            <w:rStyle w:val="Hyperlink"/>
            <w:noProof/>
          </w:rPr>
          <w:t>2.1.529</w:t>
        </w:r>
        <w:r>
          <w:rPr>
            <w:rFonts w:asciiTheme="minorHAnsi" w:eastAsiaTheme="minorEastAsia" w:hAnsiTheme="minorHAnsi" w:cstheme="minorBidi"/>
            <w:noProof/>
            <w:sz w:val="22"/>
            <w:szCs w:val="22"/>
          </w:rPr>
          <w:tab/>
        </w:r>
        <w:r w:rsidRPr="001B13A4">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_Toc181683565 \h </w:instrText>
        </w:r>
        <w:r>
          <w:rPr>
            <w:noProof/>
            <w:webHidden/>
          </w:rPr>
        </w:r>
        <w:r>
          <w:rPr>
            <w:noProof/>
            <w:webHidden/>
          </w:rPr>
          <w:fldChar w:fldCharType="separate"/>
        </w:r>
        <w:r>
          <w:rPr>
            <w:noProof/>
            <w:webHidden/>
          </w:rPr>
          <w:t>227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6" w:history="1">
        <w:r w:rsidRPr="001B13A4">
          <w:rPr>
            <w:rStyle w:val="Hyperlink"/>
            <w:noProof/>
          </w:rPr>
          <w:t>2.1.530</w:t>
        </w:r>
        <w:r>
          <w:rPr>
            <w:rFonts w:asciiTheme="minorHAnsi" w:eastAsiaTheme="minorEastAsia" w:hAnsiTheme="minorHAnsi" w:cstheme="minorBidi"/>
            <w:noProof/>
            <w:sz w:val="22"/>
            <w:szCs w:val="22"/>
          </w:rPr>
          <w:tab/>
        </w:r>
        <w:r w:rsidRPr="001B13A4">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_Toc181683566 \h </w:instrText>
        </w:r>
        <w:r>
          <w:rPr>
            <w:noProof/>
            <w:webHidden/>
          </w:rPr>
        </w:r>
        <w:r>
          <w:rPr>
            <w:noProof/>
            <w:webHidden/>
          </w:rPr>
          <w:fldChar w:fldCharType="separate"/>
        </w:r>
        <w:r>
          <w:rPr>
            <w:noProof/>
            <w:webHidden/>
          </w:rPr>
          <w:t>227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7" w:history="1">
        <w:r w:rsidRPr="001B13A4">
          <w:rPr>
            <w:rStyle w:val="Hyperlink"/>
            <w:noProof/>
          </w:rPr>
          <w:t>2.1.531</w:t>
        </w:r>
        <w:r>
          <w:rPr>
            <w:rFonts w:asciiTheme="minorHAnsi" w:eastAsiaTheme="minorEastAsia" w:hAnsiTheme="minorHAnsi" w:cstheme="minorBidi"/>
            <w:noProof/>
            <w:sz w:val="22"/>
            <w:szCs w:val="22"/>
          </w:rPr>
          <w:tab/>
        </w:r>
        <w:r w:rsidRPr="001B13A4">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_Toc181683567 \h </w:instrText>
        </w:r>
        <w:r>
          <w:rPr>
            <w:noProof/>
            <w:webHidden/>
          </w:rPr>
        </w:r>
        <w:r>
          <w:rPr>
            <w:noProof/>
            <w:webHidden/>
          </w:rPr>
          <w:fldChar w:fldCharType="separate"/>
        </w:r>
        <w:r>
          <w:rPr>
            <w:noProof/>
            <w:webHidden/>
          </w:rPr>
          <w:t>227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8" w:history="1">
        <w:r w:rsidRPr="001B13A4">
          <w:rPr>
            <w:rStyle w:val="Hyperlink"/>
            <w:noProof/>
          </w:rPr>
          <w:t>2.1.532</w:t>
        </w:r>
        <w:r>
          <w:rPr>
            <w:rFonts w:asciiTheme="minorHAnsi" w:eastAsiaTheme="minorEastAsia" w:hAnsiTheme="minorHAnsi" w:cstheme="minorBidi"/>
            <w:noProof/>
            <w:sz w:val="22"/>
            <w:szCs w:val="22"/>
          </w:rPr>
          <w:tab/>
        </w:r>
        <w:r w:rsidRPr="001B13A4">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_Toc181683568 \h </w:instrText>
        </w:r>
        <w:r>
          <w:rPr>
            <w:noProof/>
            <w:webHidden/>
          </w:rPr>
        </w:r>
        <w:r>
          <w:rPr>
            <w:noProof/>
            <w:webHidden/>
          </w:rPr>
          <w:fldChar w:fldCharType="separate"/>
        </w:r>
        <w:r>
          <w:rPr>
            <w:noProof/>
            <w:webHidden/>
          </w:rPr>
          <w:t>227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69" w:history="1">
        <w:r w:rsidRPr="001B13A4">
          <w:rPr>
            <w:rStyle w:val="Hyperlink"/>
            <w:noProof/>
          </w:rPr>
          <w:t>2.1.533</w:t>
        </w:r>
        <w:r>
          <w:rPr>
            <w:rFonts w:asciiTheme="minorHAnsi" w:eastAsiaTheme="minorEastAsia" w:hAnsiTheme="minorHAnsi" w:cstheme="minorBidi"/>
            <w:noProof/>
            <w:sz w:val="22"/>
            <w:szCs w:val="22"/>
          </w:rPr>
          <w:tab/>
        </w:r>
        <w:r w:rsidRPr="001B13A4">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_Toc181683569 \h </w:instrText>
        </w:r>
        <w:r>
          <w:rPr>
            <w:noProof/>
            <w:webHidden/>
          </w:rPr>
        </w:r>
        <w:r>
          <w:rPr>
            <w:noProof/>
            <w:webHidden/>
          </w:rPr>
          <w:fldChar w:fldCharType="separate"/>
        </w:r>
        <w:r>
          <w:rPr>
            <w:noProof/>
            <w:webHidden/>
          </w:rPr>
          <w:t>228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0" w:history="1">
        <w:r w:rsidRPr="001B13A4">
          <w:rPr>
            <w:rStyle w:val="Hyperlink"/>
            <w:noProof/>
          </w:rPr>
          <w:t>2.1.534</w:t>
        </w:r>
        <w:r>
          <w:rPr>
            <w:rFonts w:asciiTheme="minorHAnsi" w:eastAsiaTheme="minorEastAsia" w:hAnsiTheme="minorHAnsi" w:cstheme="minorBidi"/>
            <w:noProof/>
            <w:sz w:val="22"/>
            <w:szCs w:val="22"/>
          </w:rPr>
          <w:tab/>
        </w:r>
        <w:r w:rsidRPr="001B13A4">
          <w:rPr>
            <w:rStyle w:val="Hyperlink"/>
            <w:noProof/>
          </w:rPr>
          <w:t>Part 1 Section 17.18.14, ST_DocGrid (Document Grid Types)</w:t>
        </w:r>
        <w:r>
          <w:rPr>
            <w:noProof/>
            <w:webHidden/>
          </w:rPr>
          <w:tab/>
        </w:r>
        <w:r>
          <w:rPr>
            <w:noProof/>
            <w:webHidden/>
          </w:rPr>
          <w:fldChar w:fldCharType="begin"/>
        </w:r>
        <w:r>
          <w:rPr>
            <w:noProof/>
            <w:webHidden/>
          </w:rPr>
          <w:instrText xml:space="preserve"> PAGEREF _Toc181683570 \h </w:instrText>
        </w:r>
        <w:r>
          <w:rPr>
            <w:noProof/>
            <w:webHidden/>
          </w:rPr>
        </w:r>
        <w:r>
          <w:rPr>
            <w:noProof/>
            <w:webHidden/>
          </w:rPr>
          <w:fldChar w:fldCharType="separate"/>
        </w:r>
        <w:r>
          <w:rPr>
            <w:noProof/>
            <w:webHidden/>
          </w:rPr>
          <w:t>228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1" w:history="1">
        <w:r w:rsidRPr="001B13A4">
          <w:rPr>
            <w:rStyle w:val="Hyperlink"/>
            <w:noProof/>
          </w:rPr>
          <w:t>2.1.535</w:t>
        </w:r>
        <w:r>
          <w:rPr>
            <w:rFonts w:asciiTheme="minorHAnsi" w:eastAsiaTheme="minorEastAsia" w:hAnsiTheme="minorHAnsi" w:cstheme="minorBidi"/>
            <w:noProof/>
            <w:sz w:val="22"/>
            <w:szCs w:val="22"/>
          </w:rPr>
          <w:tab/>
        </w:r>
        <w:r w:rsidRPr="001B13A4">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_Toc181683571 \h </w:instrText>
        </w:r>
        <w:r>
          <w:rPr>
            <w:noProof/>
            <w:webHidden/>
          </w:rPr>
        </w:r>
        <w:r>
          <w:rPr>
            <w:noProof/>
            <w:webHidden/>
          </w:rPr>
          <w:fldChar w:fldCharType="separate"/>
        </w:r>
        <w:r>
          <w:rPr>
            <w:noProof/>
            <w:webHidden/>
          </w:rPr>
          <w:t>228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2" w:history="1">
        <w:r w:rsidRPr="001B13A4">
          <w:rPr>
            <w:rStyle w:val="Hyperlink"/>
            <w:noProof/>
          </w:rPr>
          <w:t>2.1.536</w:t>
        </w:r>
        <w:r>
          <w:rPr>
            <w:rFonts w:asciiTheme="minorHAnsi" w:eastAsiaTheme="minorEastAsia" w:hAnsiTheme="minorHAnsi" w:cstheme="minorBidi"/>
            <w:noProof/>
            <w:sz w:val="22"/>
            <w:szCs w:val="22"/>
          </w:rPr>
          <w:tab/>
        </w:r>
        <w:r w:rsidRPr="001B13A4">
          <w:rPr>
            <w:rStyle w:val="Hyperlink"/>
            <w:noProof/>
          </w:rPr>
          <w:t>Part 1 Section 17.18.24, ST_Em (Emphasis Mark Type)</w:t>
        </w:r>
        <w:r>
          <w:rPr>
            <w:noProof/>
            <w:webHidden/>
          </w:rPr>
          <w:tab/>
        </w:r>
        <w:r>
          <w:rPr>
            <w:noProof/>
            <w:webHidden/>
          </w:rPr>
          <w:fldChar w:fldCharType="begin"/>
        </w:r>
        <w:r>
          <w:rPr>
            <w:noProof/>
            <w:webHidden/>
          </w:rPr>
          <w:instrText xml:space="preserve"> PAGEREF _Toc181683572 \h </w:instrText>
        </w:r>
        <w:r>
          <w:rPr>
            <w:noProof/>
            <w:webHidden/>
          </w:rPr>
        </w:r>
        <w:r>
          <w:rPr>
            <w:noProof/>
            <w:webHidden/>
          </w:rPr>
          <w:fldChar w:fldCharType="separate"/>
        </w:r>
        <w:r>
          <w:rPr>
            <w:noProof/>
            <w:webHidden/>
          </w:rPr>
          <w:t>228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3" w:history="1">
        <w:r w:rsidRPr="001B13A4">
          <w:rPr>
            <w:rStyle w:val="Hyperlink"/>
            <w:noProof/>
          </w:rPr>
          <w:t>2.1.537</w:t>
        </w:r>
        <w:r>
          <w:rPr>
            <w:rFonts w:asciiTheme="minorHAnsi" w:eastAsiaTheme="minorEastAsia" w:hAnsiTheme="minorHAnsi" w:cstheme="minorBidi"/>
            <w:noProof/>
            <w:sz w:val="22"/>
            <w:szCs w:val="22"/>
          </w:rPr>
          <w:tab/>
        </w:r>
        <w:r w:rsidRPr="001B13A4">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_Toc181683573 \h </w:instrText>
        </w:r>
        <w:r>
          <w:rPr>
            <w:noProof/>
            <w:webHidden/>
          </w:rPr>
        </w:r>
        <w:r>
          <w:rPr>
            <w:noProof/>
            <w:webHidden/>
          </w:rPr>
          <w:fldChar w:fldCharType="separate"/>
        </w:r>
        <w:r>
          <w:rPr>
            <w:noProof/>
            <w:webHidden/>
          </w:rPr>
          <w:t>229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4" w:history="1">
        <w:r w:rsidRPr="001B13A4">
          <w:rPr>
            <w:rStyle w:val="Hyperlink"/>
            <w:noProof/>
          </w:rPr>
          <w:t>2.1.538</w:t>
        </w:r>
        <w:r>
          <w:rPr>
            <w:rFonts w:asciiTheme="minorHAnsi" w:eastAsiaTheme="minorEastAsia" w:hAnsiTheme="minorHAnsi" w:cstheme="minorBidi"/>
            <w:noProof/>
            <w:sz w:val="22"/>
            <w:szCs w:val="22"/>
          </w:rPr>
          <w:tab/>
        </w:r>
        <w:r w:rsidRPr="001B13A4">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_Toc181683574 \h </w:instrText>
        </w:r>
        <w:r>
          <w:rPr>
            <w:noProof/>
            <w:webHidden/>
          </w:rPr>
        </w:r>
        <w:r>
          <w:rPr>
            <w:noProof/>
            <w:webHidden/>
          </w:rPr>
          <w:fldChar w:fldCharType="separate"/>
        </w:r>
        <w:r>
          <w:rPr>
            <w:noProof/>
            <w:webHidden/>
          </w:rPr>
          <w:t>229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5" w:history="1">
        <w:r w:rsidRPr="001B13A4">
          <w:rPr>
            <w:rStyle w:val="Hyperlink"/>
            <w:noProof/>
          </w:rPr>
          <w:t>2.1.539</w:t>
        </w:r>
        <w:r>
          <w:rPr>
            <w:rFonts w:asciiTheme="minorHAnsi" w:eastAsiaTheme="minorEastAsia" w:hAnsiTheme="minorHAnsi" w:cstheme="minorBidi"/>
            <w:noProof/>
            <w:sz w:val="22"/>
            <w:szCs w:val="22"/>
          </w:rPr>
          <w:tab/>
        </w:r>
        <w:r w:rsidRPr="001B13A4">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_Toc181683575 \h </w:instrText>
        </w:r>
        <w:r>
          <w:rPr>
            <w:noProof/>
            <w:webHidden/>
          </w:rPr>
        </w:r>
        <w:r>
          <w:rPr>
            <w:noProof/>
            <w:webHidden/>
          </w:rPr>
          <w:fldChar w:fldCharType="separate"/>
        </w:r>
        <w:r>
          <w:rPr>
            <w:noProof/>
            <w:webHidden/>
          </w:rPr>
          <w:t>229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6" w:history="1">
        <w:r w:rsidRPr="001B13A4">
          <w:rPr>
            <w:rStyle w:val="Hyperlink"/>
            <w:noProof/>
          </w:rPr>
          <w:t>2.1.540</w:t>
        </w:r>
        <w:r>
          <w:rPr>
            <w:rFonts w:asciiTheme="minorHAnsi" w:eastAsiaTheme="minorEastAsia" w:hAnsiTheme="minorHAnsi" w:cstheme="minorBidi"/>
            <w:noProof/>
            <w:sz w:val="22"/>
            <w:szCs w:val="22"/>
          </w:rPr>
          <w:tab/>
        </w:r>
        <w:r w:rsidRPr="001B13A4">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_Toc181683576 \h </w:instrText>
        </w:r>
        <w:r>
          <w:rPr>
            <w:noProof/>
            <w:webHidden/>
          </w:rPr>
        </w:r>
        <w:r>
          <w:rPr>
            <w:noProof/>
            <w:webHidden/>
          </w:rPr>
          <w:fldChar w:fldCharType="separate"/>
        </w:r>
        <w:r>
          <w:rPr>
            <w:noProof/>
            <w:webHidden/>
          </w:rPr>
          <w:t>229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7" w:history="1">
        <w:r w:rsidRPr="001B13A4">
          <w:rPr>
            <w:rStyle w:val="Hyperlink"/>
            <w:noProof/>
          </w:rPr>
          <w:t>2.1.541</w:t>
        </w:r>
        <w:r>
          <w:rPr>
            <w:rFonts w:asciiTheme="minorHAnsi" w:eastAsiaTheme="minorEastAsia" w:hAnsiTheme="minorHAnsi" w:cstheme="minorBidi"/>
            <w:noProof/>
            <w:sz w:val="22"/>
            <w:szCs w:val="22"/>
          </w:rPr>
          <w:tab/>
        </w:r>
        <w:r w:rsidRPr="001B13A4">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_Toc181683577 \h </w:instrText>
        </w:r>
        <w:r>
          <w:rPr>
            <w:noProof/>
            <w:webHidden/>
          </w:rPr>
        </w:r>
        <w:r>
          <w:rPr>
            <w:noProof/>
            <w:webHidden/>
          </w:rPr>
          <w:fldChar w:fldCharType="separate"/>
        </w:r>
        <w:r>
          <w:rPr>
            <w:noProof/>
            <w:webHidden/>
          </w:rPr>
          <w:t>229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8" w:history="1">
        <w:r w:rsidRPr="001B13A4">
          <w:rPr>
            <w:rStyle w:val="Hyperlink"/>
            <w:noProof/>
          </w:rPr>
          <w:t>2.1.542</w:t>
        </w:r>
        <w:r>
          <w:rPr>
            <w:rFonts w:asciiTheme="minorHAnsi" w:eastAsiaTheme="minorEastAsia" w:hAnsiTheme="minorHAnsi" w:cstheme="minorBidi"/>
            <w:noProof/>
            <w:sz w:val="22"/>
            <w:szCs w:val="22"/>
          </w:rPr>
          <w:tab/>
        </w:r>
        <w:r w:rsidRPr="001B13A4">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_Toc181683578 \h </w:instrText>
        </w:r>
        <w:r>
          <w:rPr>
            <w:noProof/>
            <w:webHidden/>
          </w:rPr>
        </w:r>
        <w:r>
          <w:rPr>
            <w:noProof/>
            <w:webHidden/>
          </w:rPr>
          <w:fldChar w:fldCharType="separate"/>
        </w:r>
        <w:r>
          <w:rPr>
            <w:noProof/>
            <w:webHidden/>
          </w:rPr>
          <w:t>229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79" w:history="1">
        <w:r w:rsidRPr="001B13A4">
          <w:rPr>
            <w:rStyle w:val="Hyperlink"/>
            <w:noProof/>
          </w:rPr>
          <w:t>2.1.543</w:t>
        </w:r>
        <w:r>
          <w:rPr>
            <w:rFonts w:asciiTheme="minorHAnsi" w:eastAsiaTheme="minorEastAsia" w:hAnsiTheme="minorHAnsi" w:cstheme="minorBidi"/>
            <w:noProof/>
            <w:sz w:val="22"/>
            <w:szCs w:val="22"/>
          </w:rPr>
          <w:tab/>
        </w:r>
        <w:r w:rsidRPr="001B13A4">
          <w:rPr>
            <w:rStyle w:val="Hyperlink"/>
            <w:noProof/>
          </w:rPr>
          <w:t>Part 1 Section 17.18.41, ST_Hint (Font Type Hint)</w:t>
        </w:r>
        <w:r>
          <w:rPr>
            <w:noProof/>
            <w:webHidden/>
          </w:rPr>
          <w:tab/>
        </w:r>
        <w:r>
          <w:rPr>
            <w:noProof/>
            <w:webHidden/>
          </w:rPr>
          <w:fldChar w:fldCharType="begin"/>
        </w:r>
        <w:r>
          <w:rPr>
            <w:noProof/>
            <w:webHidden/>
          </w:rPr>
          <w:instrText xml:space="preserve"> PAGEREF _Toc181683579 \h </w:instrText>
        </w:r>
        <w:r>
          <w:rPr>
            <w:noProof/>
            <w:webHidden/>
          </w:rPr>
        </w:r>
        <w:r>
          <w:rPr>
            <w:noProof/>
            <w:webHidden/>
          </w:rPr>
          <w:fldChar w:fldCharType="separate"/>
        </w:r>
        <w:r>
          <w:rPr>
            <w:noProof/>
            <w:webHidden/>
          </w:rPr>
          <w:t>230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0" w:history="1">
        <w:r w:rsidRPr="001B13A4">
          <w:rPr>
            <w:rStyle w:val="Hyperlink"/>
            <w:noProof/>
          </w:rPr>
          <w:t>2.1.544</w:t>
        </w:r>
        <w:r>
          <w:rPr>
            <w:rFonts w:asciiTheme="minorHAnsi" w:eastAsiaTheme="minorEastAsia" w:hAnsiTheme="minorHAnsi" w:cstheme="minorBidi"/>
            <w:noProof/>
            <w:sz w:val="22"/>
            <w:szCs w:val="22"/>
          </w:rPr>
          <w:tab/>
        </w:r>
        <w:r w:rsidRPr="001B13A4">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_Toc181683580 \h </w:instrText>
        </w:r>
        <w:r>
          <w:rPr>
            <w:noProof/>
            <w:webHidden/>
          </w:rPr>
        </w:r>
        <w:r>
          <w:rPr>
            <w:noProof/>
            <w:webHidden/>
          </w:rPr>
          <w:fldChar w:fldCharType="separate"/>
        </w:r>
        <w:r>
          <w:rPr>
            <w:noProof/>
            <w:webHidden/>
          </w:rPr>
          <w:t>230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1" w:history="1">
        <w:r w:rsidRPr="001B13A4">
          <w:rPr>
            <w:rStyle w:val="Hyperlink"/>
            <w:noProof/>
          </w:rPr>
          <w:t>2.1.545</w:t>
        </w:r>
        <w:r>
          <w:rPr>
            <w:rFonts w:asciiTheme="minorHAnsi" w:eastAsiaTheme="minorEastAsia" w:hAnsiTheme="minorHAnsi" w:cstheme="minorBidi"/>
            <w:noProof/>
            <w:sz w:val="22"/>
            <w:szCs w:val="22"/>
          </w:rPr>
          <w:tab/>
        </w:r>
        <w:r w:rsidRPr="001B13A4">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_Toc181683581 \h </w:instrText>
        </w:r>
        <w:r>
          <w:rPr>
            <w:noProof/>
            <w:webHidden/>
          </w:rPr>
        </w:r>
        <w:r>
          <w:rPr>
            <w:noProof/>
            <w:webHidden/>
          </w:rPr>
          <w:fldChar w:fldCharType="separate"/>
        </w:r>
        <w:r>
          <w:rPr>
            <w:noProof/>
            <w:webHidden/>
          </w:rPr>
          <w:t>230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2" w:history="1">
        <w:r w:rsidRPr="001B13A4">
          <w:rPr>
            <w:rStyle w:val="Hyperlink"/>
            <w:noProof/>
          </w:rPr>
          <w:t>2.1.546</w:t>
        </w:r>
        <w:r>
          <w:rPr>
            <w:rFonts w:asciiTheme="minorHAnsi" w:eastAsiaTheme="minorEastAsia" w:hAnsiTheme="minorHAnsi" w:cstheme="minorBidi"/>
            <w:noProof/>
            <w:sz w:val="22"/>
            <w:szCs w:val="22"/>
          </w:rPr>
          <w:tab/>
        </w:r>
        <w:r w:rsidRPr="001B13A4">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_Toc181683582 \h </w:instrText>
        </w:r>
        <w:r>
          <w:rPr>
            <w:noProof/>
            <w:webHidden/>
          </w:rPr>
        </w:r>
        <w:r>
          <w:rPr>
            <w:noProof/>
            <w:webHidden/>
          </w:rPr>
          <w:fldChar w:fldCharType="separate"/>
        </w:r>
        <w:r>
          <w:rPr>
            <w:noProof/>
            <w:webHidden/>
          </w:rPr>
          <w:t>230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3" w:history="1">
        <w:r w:rsidRPr="001B13A4">
          <w:rPr>
            <w:rStyle w:val="Hyperlink"/>
            <w:noProof/>
          </w:rPr>
          <w:t>2.1.547</w:t>
        </w:r>
        <w:r>
          <w:rPr>
            <w:rFonts w:asciiTheme="minorHAnsi" w:eastAsiaTheme="minorEastAsia" w:hAnsiTheme="minorHAnsi" w:cstheme="minorBidi"/>
            <w:noProof/>
            <w:sz w:val="22"/>
            <w:szCs w:val="22"/>
          </w:rPr>
          <w:tab/>
        </w:r>
        <w:r w:rsidRPr="001B13A4">
          <w:rPr>
            <w:rStyle w:val="Hyperlink"/>
            <w:noProof/>
          </w:rPr>
          <w:t>Part 1 Section 17.18.57, ST_Merge (Merged Cell Type)</w:t>
        </w:r>
        <w:r>
          <w:rPr>
            <w:noProof/>
            <w:webHidden/>
          </w:rPr>
          <w:tab/>
        </w:r>
        <w:r>
          <w:rPr>
            <w:noProof/>
            <w:webHidden/>
          </w:rPr>
          <w:fldChar w:fldCharType="begin"/>
        </w:r>
        <w:r>
          <w:rPr>
            <w:noProof/>
            <w:webHidden/>
          </w:rPr>
          <w:instrText xml:space="preserve"> PAGEREF _Toc181683583 \h </w:instrText>
        </w:r>
        <w:r>
          <w:rPr>
            <w:noProof/>
            <w:webHidden/>
          </w:rPr>
        </w:r>
        <w:r>
          <w:rPr>
            <w:noProof/>
            <w:webHidden/>
          </w:rPr>
          <w:fldChar w:fldCharType="separate"/>
        </w:r>
        <w:r>
          <w:rPr>
            <w:noProof/>
            <w:webHidden/>
          </w:rPr>
          <w:t>230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4" w:history="1">
        <w:r w:rsidRPr="001B13A4">
          <w:rPr>
            <w:rStyle w:val="Hyperlink"/>
            <w:noProof/>
          </w:rPr>
          <w:t>2.1.548</w:t>
        </w:r>
        <w:r>
          <w:rPr>
            <w:rFonts w:asciiTheme="minorHAnsi" w:eastAsiaTheme="minorEastAsia" w:hAnsiTheme="minorHAnsi" w:cstheme="minorBidi"/>
            <w:noProof/>
            <w:sz w:val="22"/>
            <w:szCs w:val="22"/>
          </w:rPr>
          <w:tab/>
        </w:r>
        <w:r w:rsidRPr="001B13A4">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_Toc181683584 \h </w:instrText>
        </w:r>
        <w:r>
          <w:rPr>
            <w:noProof/>
            <w:webHidden/>
          </w:rPr>
        </w:r>
        <w:r>
          <w:rPr>
            <w:noProof/>
            <w:webHidden/>
          </w:rPr>
          <w:fldChar w:fldCharType="separate"/>
        </w:r>
        <w:r>
          <w:rPr>
            <w:noProof/>
            <w:webHidden/>
          </w:rPr>
          <w:t>230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5" w:history="1">
        <w:r w:rsidRPr="001B13A4">
          <w:rPr>
            <w:rStyle w:val="Hyperlink"/>
            <w:noProof/>
          </w:rPr>
          <w:t>2.1.549</w:t>
        </w:r>
        <w:r>
          <w:rPr>
            <w:rFonts w:asciiTheme="minorHAnsi" w:eastAsiaTheme="minorEastAsia" w:hAnsiTheme="minorHAnsi" w:cstheme="minorBidi"/>
            <w:noProof/>
            <w:sz w:val="22"/>
            <w:szCs w:val="22"/>
          </w:rPr>
          <w:tab/>
        </w:r>
        <w:r w:rsidRPr="001B13A4">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_Toc181683585 \h </w:instrText>
        </w:r>
        <w:r>
          <w:rPr>
            <w:noProof/>
            <w:webHidden/>
          </w:rPr>
        </w:r>
        <w:r>
          <w:rPr>
            <w:noProof/>
            <w:webHidden/>
          </w:rPr>
          <w:fldChar w:fldCharType="separate"/>
        </w:r>
        <w:r>
          <w:rPr>
            <w:noProof/>
            <w:webHidden/>
          </w:rPr>
          <w:t>233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6" w:history="1">
        <w:r w:rsidRPr="001B13A4">
          <w:rPr>
            <w:rStyle w:val="Hyperlink"/>
            <w:noProof/>
          </w:rPr>
          <w:t>2.1.550</w:t>
        </w:r>
        <w:r>
          <w:rPr>
            <w:rFonts w:asciiTheme="minorHAnsi" w:eastAsiaTheme="minorEastAsia" w:hAnsiTheme="minorHAnsi" w:cstheme="minorBidi"/>
            <w:noProof/>
            <w:sz w:val="22"/>
            <w:szCs w:val="22"/>
          </w:rPr>
          <w:tab/>
        </w:r>
        <w:r w:rsidRPr="001B13A4">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_Toc181683586 \h </w:instrText>
        </w:r>
        <w:r>
          <w:rPr>
            <w:noProof/>
            <w:webHidden/>
          </w:rPr>
        </w:r>
        <w:r>
          <w:rPr>
            <w:noProof/>
            <w:webHidden/>
          </w:rPr>
          <w:fldChar w:fldCharType="separate"/>
        </w:r>
        <w:r>
          <w:rPr>
            <w:noProof/>
            <w:webHidden/>
          </w:rPr>
          <w:t>233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7" w:history="1">
        <w:r w:rsidRPr="001B13A4">
          <w:rPr>
            <w:rStyle w:val="Hyperlink"/>
            <w:noProof/>
          </w:rPr>
          <w:t>2.1.551</w:t>
        </w:r>
        <w:r>
          <w:rPr>
            <w:rFonts w:asciiTheme="minorHAnsi" w:eastAsiaTheme="minorEastAsia" w:hAnsiTheme="minorHAnsi" w:cstheme="minorBidi"/>
            <w:noProof/>
            <w:sz w:val="22"/>
            <w:szCs w:val="22"/>
          </w:rPr>
          <w:tab/>
        </w:r>
        <w:r w:rsidRPr="001B13A4">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_Toc181683587 \h </w:instrText>
        </w:r>
        <w:r>
          <w:rPr>
            <w:noProof/>
            <w:webHidden/>
          </w:rPr>
        </w:r>
        <w:r>
          <w:rPr>
            <w:noProof/>
            <w:webHidden/>
          </w:rPr>
          <w:fldChar w:fldCharType="separate"/>
        </w:r>
        <w:r>
          <w:rPr>
            <w:noProof/>
            <w:webHidden/>
          </w:rPr>
          <w:t>233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8" w:history="1">
        <w:r w:rsidRPr="001B13A4">
          <w:rPr>
            <w:rStyle w:val="Hyperlink"/>
            <w:noProof/>
          </w:rPr>
          <w:t>2.1.552</w:t>
        </w:r>
        <w:r>
          <w:rPr>
            <w:rFonts w:asciiTheme="minorHAnsi" w:eastAsiaTheme="minorEastAsia" w:hAnsiTheme="minorHAnsi" w:cstheme="minorBidi"/>
            <w:noProof/>
            <w:sz w:val="22"/>
            <w:szCs w:val="22"/>
          </w:rPr>
          <w:tab/>
        </w:r>
        <w:r w:rsidRPr="001B13A4">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_Toc181683588 \h </w:instrText>
        </w:r>
        <w:r>
          <w:rPr>
            <w:noProof/>
            <w:webHidden/>
          </w:rPr>
        </w:r>
        <w:r>
          <w:rPr>
            <w:noProof/>
            <w:webHidden/>
          </w:rPr>
          <w:fldChar w:fldCharType="separate"/>
        </w:r>
        <w:r>
          <w:rPr>
            <w:noProof/>
            <w:webHidden/>
          </w:rPr>
          <w:t>233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89" w:history="1">
        <w:r w:rsidRPr="001B13A4">
          <w:rPr>
            <w:rStyle w:val="Hyperlink"/>
            <w:noProof/>
          </w:rPr>
          <w:t>2.1.553</w:t>
        </w:r>
        <w:r>
          <w:rPr>
            <w:rFonts w:asciiTheme="minorHAnsi" w:eastAsiaTheme="minorEastAsia" w:hAnsiTheme="minorHAnsi" w:cstheme="minorBidi"/>
            <w:noProof/>
            <w:sz w:val="22"/>
            <w:szCs w:val="22"/>
          </w:rPr>
          <w:tab/>
        </w:r>
        <w:r w:rsidRPr="001B13A4">
          <w:rPr>
            <w:rStyle w:val="Hyperlink"/>
            <w:noProof/>
          </w:rPr>
          <w:t>Part 1 Section 17.18.78, ST_Shd (Shading Patterns)</w:t>
        </w:r>
        <w:r>
          <w:rPr>
            <w:noProof/>
            <w:webHidden/>
          </w:rPr>
          <w:tab/>
        </w:r>
        <w:r>
          <w:rPr>
            <w:noProof/>
            <w:webHidden/>
          </w:rPr>
          <w:fldChar w:fldCharType="begin"/>
        </w:r>
        <w:r>
          <w:rPr>
            <w:noProof/>
            <w:webHidden/>
          </w:rPr>
          <w:instrText xml:space="preserve"> PAGEREF _Toc181683589 \h </w:instrText>
        </w:r>
        <w:r>
          <w:rPr>
            <w:noProof/>
            <w:webHidden/>
          </w:rPr>
        </w:r>
        <w:r>
          <w:rPr>
            <w:noProof/>
            <w:webHidden/>
          </w:rPr>
          <w:fldChar w:fldCharType="separate"/>
        </w:r>
        <w:r>
          <w:rPr>
            <w:noProof/>
            <w:webHidden/>
          </w:rPr>
          <w:t>234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0" w:history="1">
        <w:r w:rsidRPr="001B13A4">
          <w:rPr>
            <w:rStyle w:val="Hyperlink"/>
            <w:noProof/>
          </w:rPr>
          <w:t>2.1.554</w:t>
        </w:r>
        <w:r>
          <w:rPr>
            <w:rFonts w:asciiTheme="minorHAnsi" w:eastAsiaTheme="minorEastAsia" w:hAnsiTheme="minorHAnsi" w:cstheme="minorBidi"/>
            <w:noProof/>
            <w:sz w:val="22"/>
            <w:szCs w:val="22"/>
          </w:rPr>
          <w:tab/>
        </w:r>
        <w:r w:rsidRPr="001B13A4">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_Toc181683590 \h </w:instrText>
        </w:r>
        <w:r>
          <w:rPr>
            <w:noProof/>
            <w:webHidden/>
          </w:rPr>
        </w:r>
        <w:r>
          <w:rPr>
            <w:noProof/>
            <w:webHidden/>
          </w:rPr>
          <w:fldChar w:fldCharType="separate"/>
        </w:r>
        <w:r>
          <w:rPr>
            <w:noProof/>
            <w:webHidden/>
          </w:rPr>
          <w:t>234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1" w:history="1">
        <w:r w:rsidRPr="001B13A4">
          <w:rPr>
            <w:rStyle w:val="Hyperlink"/>
            <w:noProof/>
          </w:rPr>
          <w:t>2.1.555</w:t>
        </w:r>
        <w:r>
          <w:rPr>
            <w:rFonts w:asciiTheme="minorHAnsi" w:eastAsiaTheme="minorEastAsia" w:hAnsiTheme="minorHAnsi" w:cstheme="minorBidi"/>
            <w:noProof/>
            <w:sz w:val="22"/>
            <w:szCs w:val="22"/>
          </w:rPr>
          <w:tab/>
        </w:r>
        <w:r w:rsidRPr="001B13A4">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_Toc181683591 \h </w:instrText>
        </w:r>
        <w:r>
          <w:rPr>
            <w:noProof/>
            <w:webHidden/>
          </w:rPr>
        </w:r>
        <w:r>
          <w:rPr>
            <w:noProof/>
            <w:webHidden/>
          </w:rPr>
          <w:fldChar w:fldCharType="separate"/>
        </w:r>
        <w:r>
          <w:rPr>
            <w:noProof/>
            <w:webHidden/>
          </w:rPr>
          <w:t>234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2" w:history="1">
        <w:r w:rsidRPr="001B13A4">
          <w:rPr>
            <w:rStyle w:val="Hyperlink"/>
            <w:noProof/>
          </w:rPr>
          <w:t>2.1.556</w:t>
        </w:r>
        <w:r>
          <w:rPr>
            <w:rFonts w:asciiTheme="minorHAnsi" w:eastAsiaTheme="minorEastAsia" w:hAnsiTheme="minorHAnsi" w:cstheme="minorBidi"/>
            <w:noProof/>
            <w:sz w:val="22"/>
            <w:szCs w:val="22"/>
          </w:rPr>
          <w:tab/>
        </w:r>
        <w:r w:rsidRPr="001B13A4">
          <w:rPr>
            <w:rStyle w:val="Hyperlink"/>
            <w:noProof/>
          </w:rPr>
          <w:t>Part 1 Section 17.18.84, ST_TabJc (Custom Tab Stop Type)</w:t>
        </w:r>
        <w:r>
          <w:rPr>
            <w:noProof/>
            <w:webHidden/>
          </w:rPr>
          <w:tab/>
        </w:r>
        <w:r>
          <w:rPr>
            <w:noProof/>
            <w:webHidden/>
          </w:rPr>
          <w:fldChar w:fldCharType="begin"/>
        </w:r>
        <w:r>
          <w:rPr>
            <w:noProof/>
            <w:webHidden/>
          </w:rPr>
          <w:instrText xml:space="preserve"> PAGEREF _Toc181683592 \h </w:instrText>
        </w:r>
        <w:r>
          <w:rPr>
            <w:noProof/>
            <w:webHidden/>
          </w:rPr>
        </w:r>
        <w:r>
          <w:rPr>
            <w:noProof/>
            <w:webHidden/>
          </w:rPr>
          <w:fldChar w:fldCharType="separate"/>
        </w:r>
        <w:r>
          <w:rPr>
            <w:noProof/>
            <w:webHidden/>
          </w:rPr>
          <w:t>234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3" w:history="1">
        <w:r w:rsidRPr="001B13A4">
          <w:rPr>
            <w:rStyle w:val="Hyperlink"/>
            <w:noProof/>
          </w:rPr>
          <w:t>2.1.557</w:t>
        </w:r>
        <w:r>
          <w:rPr>
            <w:rFonts w:asciiTheme="minorHAnsi" w:eastAsiaTheme="minorEastAsia" w:hAnsiTheme="minorHAnsi" w:cstheme="minorBidi"/>
            <w:noProof/>
            <w:sz w:val="22"/>
            <w:szCs w:val="22"/>
          </w:rPr>
          <w:tab/>
        </w:r>
        <w:r w:rsidRPr="001B13A4">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_Toc181683593 \h </w:instrText>
        </w:r>
        <w:r>
          <w:rPr>
            <w:noProof/>
            <w:webHidden/>
          </w:rPr>
        </w:r>
        <w:r>
          <w:rPr>
            <w:noProof/>
            <w:webHidden/>
          </w:rPr>
          <w:fldChar w:fldCharType="separate"/>
        </w:r>
        <w:r>
          <w:rPr>
            <w:noProof/>
            <w:webHidden/>
          </w:rPr>
          <w:t>234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4" w:history="1">
        <w:r w:rsidRPr="001B13A4">
          <w:rPr>
            <w:rStyle w:val="Hyperlink"/>
            <w:noProof/>
          </w:rPr>
          <w:t>2.1.558</w:t>
        </w:r>
        <w:r>
          <w:rPr>
            <w:rFonts w:asciiTheme="minorHAnsi" w:eastAsiaTheme="minorEastAsia" w:hAnsiTheme="minorHAnsi" w:cstheme="minorBidi"/>
            <w:noProof/>
            <w:sz w:val="22"/>
            <w:szCs w:val="22"/>
          </w:rPr>
          <w:tab/>
        </w:r>
        <w:r w:rsidRPr="001B13A4">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_Toc181683594 \h </w:instrText>
        </w:r>
        <w:r>
          <w:rPr>
            <w:noProof/>
            <w:webHidden/>
          </w:rPr>
        </w:r>
        <w:r>
          <w:rPr>
            <w:noProof/>
            <w:webHidden/>
          </w:rPr>
          <w:fldChar w:fldCharType="separate"/>
        </w:r>
        <w:r>
          <w:rPr>
            <w:noProof/>
            <w:webHidden/>
          </w:rPr>
          <w:t>235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5" w:history="1">
        <w:r w:rsidRPr="001B13A4">
          <w:rPr>
            <w:rStyle w:val="Hyperlink"/>
            <w:noProof/>
          </w:rPr>
          <w:t>2.1.559</w:t>
        </w:r>
        <w:r>
          <w:rPr>
            <w:rFonts w:asciiTheme="minorHAnsi" w:eastAsiaTheme="minorEastAsia" w:hAnsiTheme="minorHAnsi" w:cstheme="minorBidi"/>
            <w:noProof/>
            <w:sz w:val="22"/>
            <w:szCs w:val="22"/>
          </w:rPr>
          <w:tab/>
        </w:r>
        <w:r w:rsidRPr="001B13A4">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_Toc181683595 \h </w:instrText>
        </w:r>
        <w:r>
          <w:rPr>
            <w:noProof/>
            <w:webHidden/>
          </w:rPr>
        </w:r>
        <w:r>
          <w:rPr>
            <w:noProof/>
            <w:webHidden/>
          </w:rPr>
          <w:fldChar w:fldCharType="separate"/>
        </w:r>
        <w:r>
          <w:rPr>
            <w:noProof/>
            <w:webHidden/>
          </w:rPr>
          <w:t>236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6" w:history="1">
        <w:r w:rsidRPr="001B13A4">
          <w:rPr>
            <w:rStyle w:val="Hyperlink"/>
            <w:noProof/>
          </w:rPr>
          <w:t>2.1.560</w:t>
        </w:r>
        <w:r>
          <w:rPr>
            <w:rFonts w:asciiTheme="minorHAnsi" w:eastAsiaTheme="minorEastAsia" w:hAnsiTheme="minorHAnsi" w:cstheme="minorBidi"/>
            <w:noProof/>
            <w:sz w:val="22"/>
            <w:szCs w:val="22"/>
          </w:rPr>
          <w:tab/>
        </w:r>
        <w:r w:rsidRPr="001B13A4">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_Toc181683596 \h </w:instrText>
        </w:r>
        <w:r>
          <w:rPr>
            <w:noProof/>
            <w:webHidden/>
          </w:rPr>
        </w:r>
        <w:r>
          <w:rPr>
            <w:noProof/>
            <w:webHidden/>
          </w:rPr>
          <w:fldChar w:fldCharType="separate"/>
        </w:r>
        <w:r>
          <w:rPr>
            <w:noProof/>
            <w:webHidden/>
          </w:rPr>
          <w:t>236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7" w:history="1">
        <w:r w:rsidRPr="001B13A4">
          <w:rPr>
            <w:rStyle w:val="Hyperlink"/>
            <w:noProof/>
          </w:rPr>
          <w:t>2.1.561</w:t>
        </w:r>
        <w:r>
          <w:rPr>
            <w:rFonts w:asciiTheme="minorHAnsi" w:eastAsiaTheme="minorEastAsia" w:hAnsiTheme="minorHAnsi" w:cstheme="minorBidi"/>
            <w:noProof/>
            <w:sz w:val="22"/>
            <w:szCs w:val="22"/>
          </w:rPr>
          <w:tab/>
        </w:r>
        <w:r w:rsidRPr="001B13A4">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_Toc181683597 \h </w:instrText>
        </w:r>
        <w:r>
          <w:rPr>
            <w:noProof/>
            <w:webHidden/>
          </w:rPr>
        </w:r>
        <w:r>
          <w:rPr>
            <w:noProof/>
            <w:webHidden/>
          </w:rPr>
          <w:fldChar w:fldCharType="separate"/>
        </w:r>
        <w:r>
          <w:rPr>
            <w:noProof/>
            <w:webHidden/>
          </w:rPr>
          <w:t>236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8" w:history="1">
        <w:r w:rsidRPr="001B13A4">
          <w:rPr>
            <w:rStyle w:val="Hyperlink"/>
            <w:noProof/>
          </w:rPr>
          <w:t>2.1.562</w:t>
        </w:r>
        <w:r>
          <w:rPr>
            <w:rFonts w:asciiTheme="minorHAnsi" w:eastAsiaTheme="minorEastAsia" w:hAnsiTheme="minorHAnsi" w:cstheme="minorBidi"/>
            <w:noProof/>
            <w:sz w:val="22"/>
            <w:szCs w:val="22"/>
          </w:rPr>
          <w:tab/>
        </w:r>
        <w:r w:rsidRPr="001B13A4">
          <w:rPr>
            <w:rStyle w:val="Hyperlink"/>
            <w:noProof/>
          </w:rPr>
          <w:t>Part 1 Section 17.18.102, ST_View (Document View Values)</w:t>
        </w:r>
        <w:r>
          <w:rPr>
            <w:noProof/>
            <w:webHidden/>
          </w:rPr>
          <w:tab/>
        </w:r>
        <w:r>
          <w:rPr>
            <w:noProof/>
            <w:webHidden/>
          </w:rPr>
          <w:fldChar w:fldCharType="begin"/>
        </w:r>
        <w:r>
          <w:rPr>
            <w:noProof/>
            <w:webHidden/>
          </w:rPr>
          <w:instrText xml:space="preserve"> PAGEREF _Toc181683598 \h </w:instrText>
        </w:r>
        <w:r>
          <w:rPr>
            <w:noProof/>
            <w:webHidden/>
          </w:rPr>
        </w:r>
        <w:r>
          <w:rPr>
            <w:noProof/>
            <w:webHidden/>
          </w:rPr>
          <w:fldChar w:fldCharType="separate"/>
        </w:r>
        <w:r>
          <w:rPr>
            <w:noProof/>
            <w:webHidden/>
          </w:rPr>
          <w:t>236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599" w:history="1">
        <w:r w:rsidRPr="001B13A4">
          <w:rPr>
            <w:rStyle w:val="Hyperlink"/>
            <w:noProof/>
          </w:rPr>
          <w:t>2.1.563</w:t>
        </w:r>
        <w:r>
          <w:rPr>
            <w:rFonts w:asciiTheme="minorHAnsi" w:eastAsiaTheme="minorEastAsia" w:hAnsiTheme="minorHAnsi" w:cstheme="minorBidi"/>
            <w:noProof/>
            <w:sz w:val="22"/>
            <w:szCs w:val="22"/>
          </w:rPr>
          <w:tab/>
        </w:r>
        <w:r w:rsidRPr="001B13A4">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_Toc181683599 \h </w:instrText>
        </w:r>
        <w:r>
          <w:rPr>
            <w:noProof/>
            <w:webHidden/>
          </w:rPr>
        </w:r>
        <w:r>
          <w:rPr>
            <w:noProof/>
            <w:webHidden/>
          </w:rPr>
          <w:fldChar w:fldCharType="separate"/>
        </w:r>
        <w:r>
          <w:rPr>
            <w:noProof/>
            <w:webHidden/>
          </w:rPr>
          <w:t>236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0" w:history="1">
        <w:r w:rsidRPr="001B13A4">
          <w:rPr>
            <w:rStyle w:val="Hyperlink"/>
            <w:noProof/>
          </w:rPr>
          <w:t>2.1.564</w:t>
        </w:r>
        <w:r>
          <w:rPr>
            <w:rFonts w:asciiTheme="minorHAnsi" w:eastAsiaTheme="minorEastAsia" w:hAnsiTheme="minorHAnsi" w:cstheme="minorBidi"/>
            <w:noProof/>
            <w:sz w:val="22"/>
            <w:szCs w:val="22"/>
          </w:rPr>
          <w:tab/>
        </w:r>
        <w:r w:rsidRPr="001B13A4">
          <w:rPr>
            <w:rStyle w:val="Hyperlink"/>
            <w:noProof/>
          </w:rPr>
          <w:t>Part 1 Section 18.2.1, bookViews (Workbook Views)</w:t>
        </w:r>
        <w:r>
          <w:rPr>
            <w:noProof/>
            <w:webHidden/>
          </w:rPr>
          <w:tab/>
        </w:r>
        <w:r>
          <w:rPr>
            <w:noProof/>
            <w:webHidden/>
          </w:rPr>
          <w:fldChar w:fldCharType="begin"/>
        </w:r>
        <w:r>
          <w:rPr>
            <w:noProof/>
            <w:webHidden/>
          </w:rPr>
          <w:instrText xml:space="preserve"> PAGEREF _Toc181683600 \h </w:instrText>
        </w:r>
        <w:r>
          <w:rPr>
            <w:noProof/>
            <w:webHidden/>
          </w:rPr>
        </w:r>
        <w:r>
          <w:rPr>
            <w:noProof/>
            <w:webHidden/>
          </w:rPr>
          <w:fldChar w:fldCharType="separate"/>
        </w:r>
        <w:r>
          <w:rPr>
            <w:noProof/>
            <w:webHidden/>
          </w:rPr>
          <w:t>237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1" w:history="1">
        <w:r w:rsidRPr="001B13A4">
          <w:rPr>
            <w:rStyle w:val="Hyperlink"/>
            <w:noProof/>
          </w:rPr>
          <w:t>2.1.565</w:t>
        </w:r>
        <w:r>
          <w:rPr>
            <w:rFonts w:asciiTheme="minorHAnsi" w:eastAsiaTheme="minorEastAsia" w:hAnsiTheme="minorHAnsi" w:cstheme="minorBidi"/>
            <w:noProof/>
            <w:sz w:val="22"/>
            <w:szCs w:val="22"/>
          </w:rPr>
          <w:tab/>
        </w:r>
        <w:r w:rsidRPr="001B13A4">
          <w:rPr>
            <w:rStyle w:val="Hyperlink"/>
            <w:noProof/>
          </w:rPr>
          <w:t>Part 1 Section 18.2.2, calcPr (Calculation Properties)</w:t>
        </w:r>
        <w:r>
          <w:rPr>
            <w:noProof/>
            <w:webHidden/>
          </w:rPr>
          <w:tab/>
        </w:r>
        <w:r>
          <w:rPr>
            <w:noProof/>
            <w:webHidden/>
          </w:rPr>
          <w:fldChar w:fldCharType="begin"/>
        </w:r>
        <w:r>
          <w:rPr>
            <w:noProof/>
            <w:webHidden/>
          </w:rPr>
          <w:instrText xml:space="preserve"> PAGEREF _Toc181683601 \h </w:instrText>
        </w:r>
        <w:r>
          <w:rPr>
            <w:noProof/>
            <w:webHidden/>
          </w:rPr>
        </w:r>
        <w:r>
          <w:rPr>
            <w:noProof/>
            <w:webHidden/>
          </w:rPr>
          <w:fldChar w:fldCharType="separate"/>
        </w:r>
        <w:r>
          <w:rPr>
            <w:noProof/>
            <w:webHidden/>
          </w:rPr>
          <w:t>237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2" w:history="1">
        <w:r w:rsidRPr="001B13A4">
          <w:rPr>
            <w:rStyle w:val="Hyperlink"/>
            <w:noProof/>
          </w:rPr>
          <w:t>2.1.566</w:t>
        </w:r>
        <w:r>
          <w:rPr>
            <w:rFonts w:asciiTheme="minorHAnsi" w:eastAsiaTheme="minorEastAsia" w:hAnsiTheme="minorHAnsi" w:cstheme="minorBidi"/>
            <w:noProof/>
            <w:sz w:val="22"/>
            <w:szCs w:val="22"/>
          </w:rPr>
          <w:tab/>
        </w:r>
        <w:r w:rsidRPr="001B13A4">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_Toc181683602 \h </w:instrText>
        </w:r>
        <w:r>
          <w:rPr>
            <w:noProof/>
            <w:webHidden/>
          </w:rPr>
        </w:r>
        <w:r>
          <w:rPr>
            <w:noProof/>
            <w:webHidden/>
          </w:rPr>
          <w:fldChar w:fldCharType="separate"/>
        </w:r>
        <w:r>
          <w:rPr>
            <w:noProof/>
            <w:webHidden/>
          </w:rPr>
          <w:t>237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3" w:history="1">
        <w:r w:rsidRPr="001B13A4">
          <w:rPr>
            <w:rStyle w:val="Hyperlink"/>
            <w:noProof/>
          </w:rPr>
          <w:t>2.1.567</w:t>
        </w:r>
        <w:r>
          <w:rPr>
            <w:rFonts w:asciiTheme="minorHAnsi" w:eastAsiaTheme="minorEastAsia" w:hAnsiTheme="minorHAnsi" w:cstheme="minorBidi"/>
            <w:noProof/>
            <w:sz w:val="22"/>
            <w:szCs w:val="22"/>
          </w:rPr>
          <w:tab/>
        </w:r>
        <w:r w:rsidRPr="001B13A4">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_Toc181683603 \h </w:instrText>
        </w:r>
        <w:r>
          <w:rPr>
            <w:noProof/>
            <w:webHidden/>
          </w:rPr>
        </w:r>
        <w:r>
          <w:rPr>
            <w:noProof/>
            <w:webHidden/>
          </w:rPr>
          <w:fldChar w:fldCharType="separate"/>
        </w:r>
        <w:r>
          <w:rPr>
            <w:noProof/>
            <w:webHidden/>
          </w:rPr>
          <w:t>238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4" w:history="1">
        <w:r w:rsidRPr="001B13A4">
          <w:rPr>
            <w:rStyle w:val="Hyperlink"/>
            <w:noProof/>
          </w:rPr>
          <w:t>2.1.568</w:t>
        </w:r>
        <w:r>
          <w:rPr>
            <w:rFonts w:asciiTheme="minorHAnsi" w:eastAsiaTheme="minorEastAsia" w:hAnsiTheme="minorHAnsi" w:cstheme="minorBidi"/>
            <w:noProof/>
            <w:sz w:val="22"/>
            <w:szCs w:val="22"/>
          </w:rPr>
          <w:tab/>
        </w:r>
        <w:r w:rsidRPr="001B13A4">
          <w:rPr>
            <w:rStyle w:val="Hyperlink"/>
            <w:noProof/>
          </w:rPr>
          <w:t>Part 1 Section 18.2.5, definedName (Defined Name)</w:t>
        </w:r>
        <w:r>
          <w:rPr>
            <w:noProof/>
            <w:webHidden/>
          </w:rPr>
          <w:tab/>
        </w:r>
        <w:r>
          <w:rPr>
            <w:noProof/>
            <w:webHidden/>
          </w:rPr>
          <w:fldChar w:fldCharType="begin"/>
        </w:r>
        <w:r>
          <w:rPr>
            <w:noProof/>
            <w:webHidden/>
          </w:rPr>
          <w:instrText xml:space="preserve"> PAGEREF _Toc181683604 \h </w:instrText>
        </w:r>
        <w:r>
          <w:rPr>
            <w:noProof/>
            <w:webHidden/>
          </w:rPr>
        </w:r>
        <w:r>
          <w:rPr>
            <w:noProof/>
            <w:webHidden/>
          </w:rPr>
          <w:fldChar w:fldCharType="separate"/>
        </w:r>
        <w:r>
          <w:rPr>
            <w:noProof/>
            <w:webHidden/>
          </w:rPr>
          <w:t>238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5" w:history="1">
        <w:r w:rsidRPr="001B13A4">
          <w:rPr>
            <w:rStyle w:val="Hyperlink"/>
            <w:noProof/>
          </w:rPr>
          <w:t>2.1.569</w:t>
        </w:r>
        <w:r>
          <w:rPr>
            <w:rFonts w:asciiTheme="minorHAnsi" w:eastAsiaTheme="minorEastAsia" w:hAnsiTheme="minorHAnsi" w:cstheme="minorBidi"/>
            <w:noProof/>
            <w:sz w:val="22"/>
            <w:szCs w:val="22"/>
          </w:rPr>
          <w:tab/>
        </w:r>
        <w:r w:rsidRPr="001B13A4">
          <w:rPr>
            <w:rStyle w:val="Hyperlink"/>
            <w:noProof/>
          </w:rPr>
          <w:t>Part 1 Section 18.2.6, definedNames (Defined Names)</w:t>
        </w:r>
        <w:r>
          <w:rPr>
            <w:noProof/>
            <w:webHidden/>
          </w:rPr>
          <w:tab/>
        </w:r>
        <w:r>
          <w:rPr>
            <w:noProof/>
            <w:webHidden/>
          </w:rPr>
          <w:fldChar w:fldCharType="begin"/>
        </w:r>
        <w:r>
          <w:rPr>
            <w:noProof/>
            <w:webHidden/>
          </w:rPr>
          <w:instrText xml:space="preserve"> PAGEREF _Toc181683605 \h </w:instrText>
        </w:r>
        <w:r>
          <w:rPr>
            <w:noProof/>
            <w:webHidden/>
          </w:rPr>
        </w:r>
        <w:r>
          <w:rPr>
            <w:noProof/>
            <w:webHidden/>
          </w:rPr>
          <w:fldChar w:fldCharType="separate"/>
        </w:r>
        <w:r>
          <w:rPr>
            <w:noProof/>
            <w:webHidden/>
          </w:rPr>
          <w:t>239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6" w:history="1">
        <w:r w:rsidRPr="001B13A4">
          <w:rPr>
            <w:rStyle w:val="Hyperlink"/>
            <w:noProof/>
          </w:rPr>
          <w:t>2.1.570</w:t>
        </w:r>
        <w:r>
          <w:rPr>
            <w:rFonts w:asciiTheme="minorHAnsi" w:eastAsiaTheme="minorEastAsia" w:hAnsiTheme="minorHAnsi" w:cstheme="minorBidi"/>
            <w:noProof/>
            <w:sz w:val="22"/>
            <w:szCs w:val="22"/>
          </w:rPr>
          <w:tab/>
        </w:r>
        <w:r w:rsidRPr="001B13A4">
          <w:rPr>
            <w:rStyle w:val="Hyperlink"/>
            <w:noProof/>
          </w:rPr>
          <w:t>Part 1 Section 18.2.7, ext (Extension)</w:t>
        </w:r>
        <w:r>
          <w:rPr>
            <w:noProof/>
            <w:webHidden/>
          </w:rPr>
          <w:tab/>
        </w:r>
        <w:r>
          <w:rPr>
            <w:noProof/>
            <w:webHidden/>
          </w:rPr>
          <w:fldChar w:fldCharType="begin"/>
        </w:r>
        <w:r>
          <w:rPr>
            <w:noProof/>
            <w:webHidden/>
          </w:rPr>
          <w:instrText xml:space="preserve"> PAGEREF _Toc181683606 \h </w:instrText>
        </w:r>
        <w:r>
          <w:rPr>
            <w:noProof/>
            <w:webHidden/>
          </w:rPr>
        </w:r>
        <w:r>
          <w:rPr>
            <w:noProof/>
            <w:webHidden/>
          </w:rPr>
          <w:fldChar w:fldCharType="separate"/>
        </w:r>
        <w:r>
          <w:rPr>
            <w:noProof/>
            <w:webHidden/>
          </w:rPr>
          <w:t>239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7" w:history="1">
        <w:r w:rsidRPr="001B13A4">
          <w:rPr>
            <w:rStyle w:val="Hyperlink"/>
            <w:noProof/>
          </w:rPr>
          <w:t>2.1.571</w:t>
        </w:r>
        <w:r>
          <w:rPr>
            <w:rFonts w:asciiTheme="minorHAnsi" w:eastAsiaTheme="minorEastAsia" w:hAnsiTheme="minorHAnsi" w:cstheme="minorBidi"/>
            <w:noProof/>
            <w:sz w:val="22"/>
            <w:szCs w:val="22"/>
          </w:rPr>
          <w:tab/>
        </w:r>
        <w:r w:rsidRPr="001B13A4">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_Toc181683607 \h </w:instrText>
        </w:r>
        <w:r>
          <w:rPr>
            <w:noProof/>
            <w:webHidden/>
          </w:rPr>
        </w:r>
        <w:r>
          <w:rPr>
            <w:noProof/>
            <w:webHidden/>
          </w:rPr>
          <w:fldChar w:fldCharType="separate"/>
        </w:r>
        <w:r>
          <w:rPr>
            <w:noProof/>
            <w:webHidden/>
          </w:rPr>
          <w:t>239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8" w:history="1">
        <w:r w:rsidRPr="001B13A4">
          <w:rPr>
            <w:rStyle w:val="Hyperlink"/>
            <w:noProof/>
          </w:rPr>
          <w:t>2.1.572</w:t>
        </w:r>
        <w:r>
          <w:rPr>
            <w:rFonts w:asciiTheme="minorHAnsi" w:eastAsiaTheme="minorEastAsia" w:hAnsiTheme="minorHAnsi" w:cstheme="minorBidi"/>
            <w:noProof/>
            <w:sz w:val="22"/>
            <w:szCs w:val="22"/>
          </w:rPr>
          <w:tab/>
        </w:r>
        <w:r w:rsidRPr="001B13A4">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_Toc181683608 \h </w:instrText>
        </w:r>
        <w:r>
          <w:rPr>
            <w:noProof/>
            <w:webHidden/>
          </w:rPr>
        </w:r>
        <w:r>
          <w:rPr>
            <w:noProof/>
            <w:webHidden/>
          </w:rPr>
          <w:fldChar w:fldCharType="separate"/>
        </w:r>
        <w:r>
          <w:rPr>
            <w:noProof/>
            <w:webHidden/>
          </w:rPr>
          <w:t>240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09" w:history="1">
        <w:r w:rsidRPr="001B13A4">
          <w:rPr>
            <w:rStyle w:val="Hyperlink"/>
            <w:noProof/>
          </w:rPr>
          <w:t>2.1.573</w:t>
        </w:r>
        <w:r>
          <w:rPr>
            <w:rFonts w:asciiTheme="minorHAnsi" w:eastAsiaTheme="minorEastAsia" w:hAnsiTheme="minorHAnsi" w:cstheme="minorBidi"/>
            <w:noProof/>
            <w:sz w:val="22"/>
            <w:szCs w:val="22"/>
          </w:rPr>
          <w:tab/>
        </w:r>
        <w:r w:rsidRPr="001B13A4">
          <w:rPr>
            <w:rStyle w:val="Hyperlink"/>
            <w:noProof/>
          </w:rPr>
          <w:t>Part 1 Section 18.2.12, fileSharing (File Sharing)</w:t>
        </w:r>
        <w:r>
          <w:rPr>
            <w:noProof/>
            <w:webHidden/>
          </w:rPr>
          <w:tab/>
        </w:r>
        <w:r>
          <w:rPr>
            <w:noProof/>
            <w:webHidden/>
          </w:rPr>
          <w:fldChar w:fldCharType="begin"/>
        </w:r>
        <w:r>
          <w:rPr>
            <w:noProof/>
            <w:webHidden/>
          </w:rPr>
          <w:instrText xml:space="preserve"> PAGEREF _Toc181683609 \h </w:instrText>
        </w:r>
        <w:r>
          <w:rPr>
            <w:noProof/>
            <w:webHidden/>
          </w:rPr>
        </w:r>
        <w:r>
          <w:rPr>
            <w:noProof/>
            <w:webHidden/>
          </w:rPr>
          <w:fldChar w:fldCharType="separate"/>
        </w:r>
        <w:r>
          <w:rPr>
            <w:noProof/>
            <w:webHidden/>
          </w:rPr>
          <w:t>240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0" w:history="1">
        <w:r w:rsidRPr="001B13A4">
          <w:rPr>
            <w:rStyle w:val="Hyperlink"/>
            <w:noProof/>
          </w:rPr>
          <w:t>2.1.574</w:t>
        </w:r>
        <w:r>
          <w:rPr>
            <w:rFonts w:asciiTheme="minorHAnsi" w:eastAsiaTheme="minorEastAsia" w:hAnsiTheme="minorHAnsi" w:cstheme="minorBidi"/>
            <w:noProof/>
            <w:sz w:val="22"/>
            <w:szCs w:val="22"/>
          </w:rPr>
          <w:tab/>
        </w:r>
        <w:r w:rsidRPr="001B13A4">
          <w:rPr>
            <w:rStyle w:val="Hyperlink"/>
            <w:noProof/>
          </w:rPr>
          <w:t>Part 1 Section 18.2.13, fileVersion (File Version)</w:t>
        </w:r>
        <w:r>
          <w:rPr>
            <w:noProof/>
            <w:webHidden/>
          </w:rPr>
          <w:tab/>
        </w:r>
        <w:r>
          <w:rPr>
            <w:noProof/>
            <w:webHidden/>
          </w:rPr>
          <w:fldChar w:fldCharType="begin"/>
        </w:r>
        <w:r>
          <w:rPr>
            <w:noProof/>
            <w:webHidden/>
          </w:rPr>
          <w:instrText xml:space="preserve"> PAGEREF _Toc181683610 \h </w:instrText>
        </w:r>
        <w:r>
          <w:rPr>
            <w:noProof/>
            <w:webHidden/>
          </w:rPr>
        </w:r>
        <w:r>
          <w:rPr>
            <w:noProof/>
            <w:webHidden/>
          </w:rPr>
          <w:fldChar w:fldCharType="separate"/>
        </w:r>
        <w:r>
          <w:rPr>
            <w:noProof/>
            <w:webHidden/>
          </w:rPr>
          <w:t>242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1" w:history="1">
        <w:r w:rsidRPr="001B13A4">
          <w:rPr>
            <w:rStyle w:val="Hyperlink"/>
            <w:noProof/>
          </w:rPr>
          <w:t>2.1.575</w:t>
        </w:r>
        <w:r>
          <w:rPr>
            <w:rFonts w:asciiTheme="minorHAnsi" w:eastAsiaTheme="minorEastAsia" w:hAnsiTheme="minorHAnsi" w:cstheme="minorBidi"/>
            <w:noProof/>
            <w:sz w:val="22"/>
            <w:szCs w:val="22"/>
          </w:rPr>
          <w:tab/>
        </w:r>
        <w:r w:rsidRPr="001B13A4">
          <w:rPr>
            <w:rStyle w:val="Hyperlink"/>
            <w:noProof/>
          </w:rPr>
          <w:t>Part 1 Section 18.2.14, functionGroup (Function Group)</w:t>
        </w:r>
        <w:r>
          <w:rPr>
            <w:noProof/>
            <w:webHidden/>
          </w:rPr>
          <w:tab/>
        </w:r>
        <w:r>
          <w:rPr>
            <w:noProof/>
            <w:webHidden/>
          </w:rPr>
          <w:fldChar w:fldCharType="begin"/>
        </w:r>
        <w:r>
          <w:rPr>
            <w:noProof/>
            <w:webHidden/>
          </w:rPr>
          <w:instrText xml:space="preserve"> PAGEREF _Toc181683611 \h </w:instrText>
        </w:r>
        <w:r>
          <w:rPr>
            <w:noProof/>
            <w:webHidden/>
          </w:rPr>
        </w:r>
        <w:r>
          <w:rPr>
            <w:noProof/>
            <w:webHidden/>
          </w:rPr>
          <w:fldChar w:fldCharType="separate"/>
        </w:r>
        <w:r>
          <w:rPr>
            <w:noProof/>
            <w:webHidden/>
          </w:rPr>
          <w:t>242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2" w:history="1">
        <w:r w:rsidRPr="001B13A4">
          <w:rPr>
            <w:rStyle w:val="Hyperlink"/>
            <w:noProof/>
          </w:rPr>
          <w:t>2.1.576</w:t>
        </w:r>
        <w:r>
          <w:rPr>
            <w:rFonts w:asciiTheme="minorHAnsi" w:eastAsiaTheme="minorEastAsia" w:hAnsiTheme="minorHAnsi" w:cstheme="minorBidi"/>
            <w:noProof/>
            <w:sz w:val="22"/>
            <w:szCs w:val="22"/>
          </w:rPr>
          <w:tab/>
        </w:r>
        <w:r w:rsidRPr="001B13A4">
          <w:rPr>
            <w:rStyle w:val="Hyperlink"/>
            <w:noProof/>
          </w:rPr>
          <w:t>Part 1 Section 18.2.15, functionGroups (Function Groups)</w:t>
        </w:r>
        <w:r>
          <w:rPr>
            <w:noProof/>
            <w:webHidden/>
          </w:rPr>
          <w:tab/>
        </w:r>
        <w:r>
          <w:rPr>
            <w:noProof/>
            <w:webHidden/>
          </w:rPr>
          <w:fldChar w:fldCharType="begin"/>
        </w:r>
        <w:r>
          <w:rPr>
            <w:noProof/>
            <w:webHidden/>
          </w:rPr>
          <w:instrText xml:space="preserve"> PAGEREF _Toc181683612 \h </w:instrText>
        </w:r>
        <w:r>
          <w:rPr>
            <w:noProof/>
            <w:webHidden/>
          </w:rPr>
        </w:r>
        <w:r>
          <w:rPr>
            <w:noProof/>
            <w:webHidden/>
          </w:rPr>
          <w:fldChar w:fldCharType="separate"/>
        </w:r>
        <w:r>
          <w:rPr>
            <w:noProof/>
            <w:webHidden/>
          </w:rPr>
          <w:t>243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3" w:history="1">
        <w:r w:rsidRPr="001B13A4">
          <w:rPr>
            <w:rStyle w:val="Hyperlink"/>
            <w:noProof/>
          </w:rPr>
          <w:t>2.1.577</w:t>
        </w:r>
        <w:r>
          <w:rPr>
            <w:rFonts w:asciiTheme="minorHAnsi" w:eastAsiaTheme="minorEastAsia" w:hAnsiTheme="minorHAnsi" w:cstheme="minorBidi"/>
            <w:noProof/>
            <w:sz w:val="22"/>
            <w:szCs w:val="22"/>
          </w:rPr>
          <w:tab/>
        </w:r>
        <w:r w:rsidRPr="001B13A4">
          <w:rPr>
            <w:rStyle w:val="Hyperlink"/>
            <w:noProof/>
          </w:rPr>
          <w:t>Part 1 Section 18.2.16, oleSize (Embedded Object Size)</w:t>
        </w:r>
        <w:r>
          <w:rPr>
            <w:noProof/>
            <w:webHidden/>
          </w:rPr>
          <w:tab/>
        </w:r>
        <w:r>
          <w:rPr>
            <w:noProof/>
            <w:webHidden/>
          </w:rPr>
          <w:fldChar w:fldCharType="begin"/>
        </w:r>
        <w:r>
          <w:rPr>
            <w:noProof/>
            <w:webHidden/>
          </w:rPr>
          <w:instrText xml:space="preserve"> PAGEREF _Toc181683613 \h </w:instrText>
        </w:r>
        <w:r>
          <w:rPr>
            <w:noProof/>
            <w:webHidden/>
          </w:rPr>
        </w:r>
        <w:r>
          <w:rPr>
            <w:noProof/>
            <w:webHidden/>
          </w:rPr>
          <w:fldChar w:fldCharType="separate"/>
        </w:r>
        <w:r>
          <w:rPr>
            <w:noProof/>
            <w:webHidden/>
          </w:rPr>
          <w:t>243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4" w:history="1">
        <w:r w:rsidRPr="001B13A4">
          <w:rPr>
            <w:rStyle w:val="Hyperlink"/>
            <w:noProof/>
          </w:rPr>
          <w:t>2.1.578</w:t>
        </w:r>
        <w:r>
          <w:rPr>
            <w:rFonts w:asciiTheme="minorHAnsi" w:eastAsiaTheme="minorEastAsia" w:hAnsiTheme="minorHAnsi" w:cstheme="minorBidi"/>
            <w:noProof/>
            <w:sz w:val="22"/>
            <w:szCs w:val="22"/>
          </w:rPr>
          <w:tab/>
        </w:r>
        <w:r w:rsidRPr="001B13A4">
          <w:rPr>
            <w:rStyle w:val="Hyperlink"/>
            <w:noProof/>
          </w:rPr>
          <w:t>Part 1 Section 18.2.19, sheet (Sheet Information)</w:t>
        </w:r>
        <w:r>
          <w:rPr>
            <w:noProof/>
            <w:webHidden/>
          </w:rPr>
          <w:tab/>
        </w:r>
        <w:r>
          <w:rPr>
            <w:noProof/>
            <w:webHidden/>
          </w:rPr>
          <w:fldChar w:fldCharType="begin"/>
        </w:r>
        <w:r>
          <w:rPr>
            <w:noProof/>
            <w:webHidden/>
          </w:rPr>
          <w:instrText xml:space="preserve"> PAGEREF _Toc181683614 \h </w:instrText>
        </w:r>
        <w:r>
          <w:rPr>
            <w:noProof/>
            <w:webHidden/>
          </w:rPr>
        </w:r>
        <w:r>
          <w:rPr>
            <w:noProof/>
            <w:webHidden/>
          </w:rPr>
          <w:fldChar w:fldCharType="separate"/>
        </w:r>
        <w:r>
          <w:rPr>
            <w:noProof/>
            <w:webHidden/>
          </w:rPr>
          <w:t>243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5" w:history="1">
        <w:r w:rsidRPr="001B13A4">
          <w:rPr>
            <w:rStyle w:val="Hyperlink"/>
            <w:noProof/>
          </w:rPr>
          <w:t>2.1.579</w:t>
        </w:r>
        <w:r>
          <w:rPr>
            <w:rFonts w:asciiTheme="minorHAnsi" w:eastAsiaTheme="minorEastAsia" w:hAnsiTheme="minorHAnsi" w:cstheme="minorBidi"/>
            <w:noProof/>
            <w:sz w:val="22"/>
            <w:szCs w:val="22"/>
          </w:rPr>
          <w:tab/>
        </w:r>
        <w:r w:rsidRPr="001B13A4">
          <w:rPr>
            <w:rStyle w:val="Hyperlink"/>
            <w:noProof/>
          </w:rPr>
          <w:t>Part 1 Section 18.2.20, sheets (Sheets)</w:t>
        </w:r>
        <w:r>
          <w:rPr>
            <w:noProof/>
            <w:webHidden/>
          </w:rPr>
          <w:tab/>
        </w:r>
        <w:r>
          <w:rPr>
            <w:noProof/>
            <w:webHidden/>
          </w:rPr>
          <w:fldChar w:fldCharType="begin"/>
        </w:r>
        <w:r>
          <w:rPr>
            <w:noProof/>
            <w:webHidden/>
          </w:rPr>
          <w:instrText xml:space="preserve"> PAGEREF _Toc181683615 \h </w:instrText>
        </w:r>
        <w:r>
          <w:rPr>
            <w:noProof/>
            <w:webHidden/>
          </w:rPr>
        </w:r>
        <w:r>
          <w:rPr>
            <w:noProof/>
            <w:webHidden/>
          </w:rPr>
          <w:fldChar w:fldCharType="separate"/>
        </w:r>
        <w:r>
          <w:rPr>
            <w:noProof/>
            <w:webHidden/>
          </w:rPr>
          <w:t>243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6" w:history="1">
        <w:r w:rsidRPr="001B13A4">
          <w:rPr>
            <w:rStyle w:val="Hyperlink"/>
            <w:noProof/>
          </w:rPr>
          <w:t>2.1.580</w:t>
        </w:r>
        <w:r>
          <w:rPr>
            <w:rFonts w:asciiTheme="minorHAnsi" w:eastAsiaTheme="minorEastAsia" w:hAnsiTheme="minorHAnsi" w:cstheme="minorBidi"/>
            <w:noProof/>
            <w:sz w:val="22"/>
            <w:szCs w:val="22"/>
          </w:rPr>
          <w:tab/>
        </w:r>
        <w:r w:rsidRPr="001B13A4">
          <w:rPr>
            <w:rStyle w:val="Hyperlink"/>
            <w:noProof/>
          </w:rPr>
          <w:t>Part 1 Section 18.2.22, smartTagType (Smart Tag Type)</w:t>
        </w:r>
        <w:r>
          <w:rPr>
            <w:noProof/>
            <w:webHidden/>
          </w:rPr>
          <w:tab/>
        </w:r>
        <w:r>
          <w:rPr>
            <w:noProof/>
            <w:webHidden/>
          </w:rPr>
          <w:fldChar w:fldCharType="begin"/>
        </w:r>
        <w:r>
          <w:rPr>
            <w:noProof/>
            <w:webHidden/>
          </w:rPr>
          <w:instrText xml:space="preserve"> PAGEREF _Toc181683616 \h </w:instrText>
        </w:r>
        <w:r>
          <w:rPr>
            <w:noProof/>
            <w:webHidden/>
          </w:rPr>
        </w:r>
        <w:r>
          <w:rPr>
            <w:noProof/>
            <w:webHidden/>
          </w:rPr>
          <w:fldChar w:fldCharType="separate"/>
        </w:r>
        <w:r>
          <w:rPr>
            <w:noProof/>
            <w:webHidden/>
          </w:rPr>
          <w:t>243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7" w:history="1">
        <w:r w:rsidRPr="001B13A4">
          <w:rPr>
            <w:rStyle w:val="Hyperlink"/>
            <w:noProof/>
          </w:rPr>
          <w:t>2.1.581</w:t>
        </w:r>
        <w:r>
          <w:rPr>
            <w:rFonts w:asciiTheme="minorHAnsi" w:eastAsiaTheme="minorEastAsia" w:hAnsiTheme="minorHAnsi" w:cstheme="minorBidi"/>
            <w:noProof/>
            <w:sz w:val="22"/>
            <w:szCs w:val="22"/>
          </w:rPr>
          <w:tab/>
        </w:r>
        <w:r w:rsidRPr="001B13A4">
          <w:rPr>
            <w:rStyle w:val="Hyperlink"/>
            <w:noProof/>
          </w:rPr>
          <w:t>Part 1 Section 18.2.23, smartTagTypes (Smart Tag Types)</w:t>
        </w:r>
        <w:r>
          <w:rPr>
            <w:noProof/>
            <w:webHidden/>
          </w:rPr>
          <w:tab/>
        </w:r>
        <w:r>
          <w:rPr>
            <w:noProof/>
            <w:webHidden/>
          </w:rPr>
          <w:fldChar w:fldCharType="begin"/>
        </w:r>
        <w:r>
          <w:rPr>
            <w:noProof/>
            <w:webHidden/>
          </w:rPr>
          <w:instrText xml:space="preserve"> PAGEREF _Toc181683617 \h </w:instrText>
        </w:r>
        <w:r>
          <w:rPr>
            <w:noProof/>
            <w:webHidden/>
          </w:rPr>
        </w:r>
        <w:r>
          <w:rPr>
            <w:noProof/>
            <w:webHidden/>
          </w:rPr>
          <w:fldChar w:fldCharType="separate"/>
        </w:r>
        <w:r>
          <w:rPr>
            <w:noProof/>
            <w:webHidden/>
          </w:rPr>
          <w:t>244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8" w:history="1">
        <w:r w:rsidRPr="001B13A4">
          <w:rPr>
            <w:rStyle w:val="Hyperlink"/>
            <w:noProof/>
          </w:rPr>
          <w:t>2.1.582</w:t>
        </w:r>
        <w:r>
          <w:rPr>
            <w:rFonts w:asciiTheme="minorHAnsi" w:eastAsiaTheme="minorEastAsia" w:hAnsiTheme="minorHAnsi" w:cstheme="minorBidi"/>
            <w:noProof/>
            <w:sz w:val="22"/>
            <w:szCs w:val="22"/>
          </w:rPr>
          <w:tab/>
        </w:r>
        <w:r w:rsidRPr="001B13A4">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_Toc181683618 \h </w:instrText>
        </w:r>
        <w:r>
          <w:rPr>
            <w:noProof/>
            <w:webHidden/>
          </w:rPr>
        </w:r>
        <w:r>
          <w:rPr>
            <w:noProof/>
            <w:webHidden/>
          </w:rPr>
          <w:fldChar w:fldCharType="separate"/>
        </w:r>
        <w:r>
          <w:rPr>
            <w:noProof/>
            <w:webHidden/>
          </w:rPr>
          <w:t>244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19" w:history="1">
        <w:r w:rsidRPr="001B13A4">
          <w:rPr>
            <w:rStyle w:val="Hyperlink"/>
            <w:noProof/>
          </w:rPr>
          <w:t>2.1.583</w:t>
        </w:r>
        <w:r>
          <w:rPr>
            <w:rFonts w:asciiTheme="minorHAnsi" w:eastAsiaTheme="minorEastAsia" w:hAnsiTheme="minorHAnsi" w:cstheme="minorBidi"/>
            <w:noProof/>
            <w:sz w:val="22"/>
            <w:szCs w:val="22"/>
          </w:rPr>
          <w:tab/>
        </w:r>
        <w:r w:rsidRPr="001B13A4">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_Toc181683619 \h </w:instrText>
        </w:r>
        <w:r>
          <w:rPr>
            <w:noProof/>
            <w:webHidden/>
          </w:rPr>
        </w:r>
        <w:r>
          <w:rPr>
            <w:noProof/>
            <w:webHidden/>
          </w:rPr>
          <w:fldChar w:fldCharType="separate"/>
        </w:r>
        <w:r>
          <w:rPr>
            <w:noProof/>
            <w:webHidden/>
          </w:rPr>
          <w:t>244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0" w:history="1">
        <w:r w:rsidRPr="001B13A4">
          <w:rPr>
            <w:rStyle w:val="Hyperlink"/>
            <w:noProof/>
          </w:rPr>
          <w:t>2.1.584</w:t>
        </w:r>
        <w:r>
          <w:rPr>
            <w:rFonts w:asciiTheme="minorHAnsi" w:eastAsiaTheme="minorEastAsia" w:hAnsiTheme="minorHAnsi" w:cstheme="minorBidi"/>
            <w:noProof/>
            <w:sz w:val="22"/>
            <w:szCs w:val="22"/>
          </w:rPr>
          <w:tab/>
        </w:r>
        <w:r w:rsidRPr="001B13A4">
          <w:rPr>
            <w:rStyle w:val="Hyperlink"/>
            <w:noProof/>
          </w:rPr>
          <w:t>Part 1 Section 18.2.27, workbook (Workbook)</w:t>
        </w:r>
        <w:r>
          <w:rPr>
            <w:noProof/>
            <w:webHidden/>
          </w:rPr>
          <w:tab/>
        </w:r>
        <w:r>
          <w:rPr>
            <w:noProof/>
            <w:webHidden/>
          </w:rPr>
          <w:fldChar w:fldCharType="begin"/>
        </w:r>
        <w:r>
          <w:rPr>
            <w:noProof/>
            <w:webHidden/>
          </w:rPr>
          <w:instrText xml:space="preserve"> PAGEREF _Toc181683620 \h </w:instrText>
        </w:r>
        <w:r>
          <w:rPr>
            <w:noProof/>
            <w:webHidden/>
          </w:rPr>
        </w:r>
        <w:r>
          <w:rPr>
            <w:noProof/>
            <w:webHidden/>
          </w:rPr>
          <w:fldChar w:fldCharType="separate"/>
        </w:r>
        <w:r>
          <w:rPr>
            <w:noProof/>
            <w:webHidden/>
          </w:rPr>
          <w:t>245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1" w:history="1">
        <w:r w:rsidRPr="001B13A4">
          <w:rPr>
            <w:rStyle w:val="Hyperlink"/>
            <w:noProof/>
          </w:rPr>
          <w:t>2.1.585</w:t>
        </w:r>
        <w:r>
          <w:rPr>
            <w:rFonts w:asciiTheme="minorHAnsi" w:eastAsiaTheme="minorEastAsia" w:hAnsiTheme="minorHAnsi" w:cstheme="minorBidi"/>
            <w:noProof/>
            <w:sz w:val="22"/>
            <w:szCs w:val="22"/>
          </w:rPr>
          <w:tab/>
        </w:r>
        <w:r w:rsidRPr="001B13A4">
          <w:rPr>
            <w:rStyle w:val="Hyperlink"/>
            <w:noProof/>
          </w:rPr>
          <w:t>Part 1 Section 18.2.28, workbookPr (Workbook Properties)</w:t>
        </w:r>
        <w:r>
          <w:rPr>
            <w:noProof/>
            <w:webHidden/>
          </w:rPr>
          <w:tab/>
        </w:r>
        <w:r>
          <w:rPr>
            <w:noProof/>
            <w:webHidden/>
          </w:rPr>
          <w:fldChar w:fldCharType="begin"/>
        </w:r>
        <w:r>
          <w:rPr>
            <w:noProof/>
            <w:webHidden/>
          </w:rPr>
          <w:instrText xml:space="preserve"> PAGEREF _Toc181683621 \h </w:instrText>
        </w:r>
        <w:r>
          <w:rPr>
            <w:noProof/>
            <w:webHidden/>
          </w:rPr>
        </w:r>
        <w:r>
          <w:rPr>
            <w:noProof/>
            <w:webHidden/>
          </w:rPr>
          <w:fldChar w:fldCharType="separate"/>
        </w:r>
        <w:r>
          <w:rPr>
            <w:noProof/>
            <w:webHidden/>
          </w:rPr>
          <w:t>245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2" w:history="1">
        <w:r w:rsidRPr="001B13A4">
          <w:rPr>
            <w:rStyle w:val="Hyperlink"/>
            <w:noProof/>
          </w:rPr>
          <w:t>2.1.586</w:t>
        </w:r>
        <w:r>
          <w:rPr>
            <w:rFonts w:asciiTheme="minorHAnsi" w:eastAsiaTheme="minorEastAsia" w:hAnsiTheme="minorHAnsi" w:cstheme="minorBidi"/>
            <w:noProof/>
            <w:sz w:val="22"/>
            <w:szCs w:val="22"/>
          </w:rPr>
          <w:tab/>
        </w:r>
        <w:r w:rsidRPr="001B13A4">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_Toc181683622 \h </w:instrText>
        </w:r>
        <w:r>
          <w:rPr>
            <w:noProof/>
            <w:webHidden/>
          </w:rPr>
        </w:r>
        <w:r>
          <w:rPr>
            <w:noProof/>
            <w:webHidden/>
          </w:rPr>
          <w:fldChar w:fldCharType="separate"/>
        </w:r>
        <w:r>
          <w:rPr>
            <w:noProof/>
            <w:webHidden/>
          </w:rPr>
          <w:t>246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3" w:history="1">
        <w:r w:rsidRPr="001B13A4">
          <w:rPr>
            <w:rStyle w:val="Hyperlink"/>
            <w:noProof/>
          </w:rPr>
          <w:t>2.1.587</w:t>
        </w:r>
        <w:r>
          <w:rPr>
            <w:rFonts w:asciiTheme="minorHAnsi" w:eastAsiaTheme="minorEastAsia" w:hAnsiTheme="minorHAnsi" w:cstheme="minorBidi"/>
            <w:noProof/>
            <w:sz w:val="22"/>
            <w:szCs w:val="22"/>
          </w:rPr>
          <w:tab/>
        </w:r>
        <w:r w:rsidRPr="001B13A4">
          <w:rPr>
            <w:rStyle w:val="Hyperlink"/>
            <w:noProof/>
          </w:rPr>
          <w:t>Part 1 Section 18.2.30, workbookView (Workbook View)</w:t>
        </w:r>
        <w:r>
          <w:rPr>
            <w:noProof/>
            <w:webHidden/>
          </w:rPr>
          <w:tab/>
        </w:r>
        <w:r>
          <w:rPr>
            <w:noProof/>
            <w:webHidden/>
          </w:rPr>
          <w:fldChar w:fldCharType="begin"/>
        </w:r>
        <w:r>
          <w:rPr>
            <w:noProof/>
            <w:webHidden/>
          </w:rPr>
          <w:instrText xml:space="preserve"> PAGEREF _Toc181683623 \h </w:instrText>
        </w:r>
        <w:r>
          <w:rPr>
            <w:noProof/>
            <w:webHidden/>
          </w:rPr>
        </w:r>
        <w:r>
          <w:rPr>
            <w:noProof/>
            <w:webHidden/>
          </w:rPr>
          <w:fldChar w:fldCharType="separate"/>
        </w:r>
        <w:r>
          <w:rPr>
            <w:noProof/>
            <w:webHidden/>
          </w:rPr>
          <w:t>250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4" w:history="1">
        <w:r w:rsidRPr="001B13A4">
          <w:rPr>
            <w:rStyle w:val="Hyperlink"/>
            <w:noProof/>
          </w:rPr>
          <w:t>2.1.588</w:t>
        </w:r>
        <w:r>
          <w:rPr>
            <w:rFonts w:asciiTheme="minorHAnsi" w:eastAsiaTheme="minorEastAsia" w:hAnsiTheme="minorHAnsi" w:cstheme="minorBidi"/>
            <w:noProof/>
            <w:sz w:val="22"/>
            <w:szCs w:val="22"/>
          </w:rPr>
          <w:tab/>
        </w:r>
        <w:r w:rsidRPr="001B13A4">
          <w:rPr>
            <w:rStyle w:val="Hyperlink"/>
            <w:noProof/>
          </w:rPr>
          <w:t>Part 1 Section 18.3.1.1, anchor (Object Cell Anchor)</w:t>
        </w:r>
        <w:r>
          <w:rPr>
            <w:noProof/>
            <w:webHidden/>
          </w:rPr>
          <w:tab/>
        </w:r>
        <w:r>
          <w:rPr>
            <w:noProof/>
            <w:webHidden/>
          </w:rPr>
          <w:fldChar w:fldCharType="begin"/>
        </w:r>
        <w:r>
          <w:rPr>
            <w:noProof/>
            <w:webHidden/>
          </w:rPr>
          <w:instrText xml:space="preserve"> PAGEREF _Toc181683624 \h </w:instrText>
        </w:r>
        <w:r>
          <w:rPr>
            <w:noProof/>
            <w:webHidden/>
          </w:rPr>
        </w:r>
        <w:r>
          <w:rPr>
            <w:noProof/>
            <w:webHidden/>
          </w:rPr>
          <w:fldChar w:fldCharType="separate"/>
        </w:r>
        <w:r>
          <w:rPr>
            <w:noProof/>
            <w:webHidden/>
          </w:rPr>
          <w:t>250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5" w:history="1">
        <w:r w:rsidRPr="001B13A4">
          <w:rPr>
            <w:rStyle w:val="Hyperlink"/>
            <w:noProof/>
          </w:rPr>
          <w:t>2.1.589</w:t>
        </w:r>
        <w:r>
          <w:rPr>
            <w:rFonts w:asciiTheme="minorHAnsi" w:eastAsiaTheme="minorEastAsia" w:hAnsiTheme="minorHAnsi" w:cstheme="minorBidi"/>
            <w:noProof/>
            <w:sz w:val="22"/>
            <w:szCs w:val="22"/>
          </w:rPr>
          <w:tab/>
        </w:r>
        <w:r w:rsidRPr="001B13A4">
          <w:rPr>
            <w:rStyle w:val="Hyperlink"/>
            <w:noProof/>
          </w:rPr>
          <w:t>Part 1 Section 18.3.1.3, brk (Break)</w:t>
        </w:r>
        <w:r>
          <w:rPr>
            <w:noProof/>
            <w:webHidden/>
          </w:rPr>
          <w:tab/>
        </w:r>
        <w:r>
          <w:rPr>
            <w:noProof/>
            <w:webHidden/>
          </w:rPr>
          <w:fldChar w:fldCharType="begin"/>
        </w:r>
        <w:r>
          <w:rPr>
            <w:noProof/>
            <w:webHidden/>
          </w:rPr>
          <w:instrText xml:space="preserve"> PAGEREF _Toc181683625 \h </w:instrText>
        </w:r>
        <w:r>
          <w:rPr>
            <w:noProof/>
            <w:webHidden/>
          </w:rPr>
        </w:r>
        <w:r>
          <w:rPr>
            <w:noProof/>
            <w:webHidden/>
          </w:rPr>
          <w:fldChar w:fldCharType="separate"/>
        </w:r>
        <w:r>
          <w:rPr>
            <w:noProof/>
            <w:webHidden/>
          </w:rPr>
          <w:t>250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6" w:history="1">
        <w:r w:rsidRPr="001B13A4">
          <w:rPr>
            <w:rStyle w:val="Hyperlink"/>
            <w:noProof/>
          </w:rPr>
          <w:t>2.1.590</w:t>
        </w:r>
        <w:r>
          <w:rPr>
            <w:rFonts w:asciiTheme="minorHAnsi" w:eastAsiaTheme="minorEastAsia" w:hAnsiTheme="minorHAnsi" w:cstheme="minorBidi"/>
            <w:noProof/>
            <w:sz w:val="22"/>
            <w:szCs w:val="22"/>
          </w:rPr>
          <w:tab/>
        </w:r>
        <w:r w:rsidRPr="001B13A4">
          <w:rPr>
            <w:rStyle w:val="Hyperlink"/>
            <w:noProof/>
          </w:rPr>
          <w:t>Part 1 Section 18.3.1.4, c (Cell)</w:t>
        </w:r>
        <w:r>
          <w:rPr>
            <w:noProof/>
            <w:webHidden/>
          </w:rPr>
          <w:tab/>
        </w:r>
        <w:r>
          <w:rPr>
            <w:noProof/>
            <w:webHidden/>
          </w:rPr>
          <w:fldChar w:fldCharType="begin"/>
        </w:r>
        <w:r>
          <w:rPr>
            <w:noProof/>
            <w:webHidden/>
          </w:rPr>
          <w:instrText xml:space="preserve"> PAGEREF _Toc181683626 \h </w:instrText>
        </w:r>
        <w:r>
          <w:rPr>
            <w:noProof/>
            <w:webHidden/>
          </w:rPr>
        </w:r>
        <w:r>
          <w:rPr>
            <w:noProof/>
            <w:webHidden/>
          </w:rPr>
          <w:fldChar w:fldCharType="separate"/>
        </w:r>
        <w:r>
          <w:rPr>
            <w:noProof/>
            <w:webHidden/>
          </w:rPr>
          <w:t>251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7" w:history="1">
        <w:r w:rsidRPr="001B13A4">
          <w:rPr>
            <w:rStyle w:val="Hyperlink"/>
            <w:noProof/>
          </w:rPr>
          <w:t>2.1.591</w:t>
        </w:r>
        <w:r>
          <w:rPr>
            <w:rFonts w:asciiTheme="minorHAnsi" w:eastAsiaTheme="minorEastAsia" w:hAnsiTheme="minorHAnsi" w:cstheme="minorBidi"/>
            <w:noProof/>
            <w:sz w:val="22"/>
            <w:szCs w:val="22"/>
          </w:rPr>
          <w:tab/>
        </w:r>
        <w:r w:rsidRPr="001B13A4">
          <w:rPr>
            <w:rStyle w:val="Hyperlink"/>
            <w:noProof/>
          </w:rPr>
          <w:t>Part 1 Section 18.3.1.5, cellSmartTag (Cell Smart Tag)</w:t>
        </w:r>
        <w:r>
          <w:rPr>
            <w:noProof/>
            <w:webHidden/>
          </w:rPr>
          <w:tab/>
        </w:r>
        <w:r>
          <w:rPr>
            <w:noProof/>
            <w:webHidden/>
          </w:rPr>
          <w:fldChar w:fldCharType="begin"/>
        </w:r>
        <w:r>
          <w:rPr>
            <w:noProof/>
            <w:webHidden/>
          </w:rPr>
          <w:instrText xml:space="preserve"> PAGEREF _Toc181683627 \h </w:instrText>
        </w:r>
        <w:r>
          <w:rPr>
            <w:noProof/>
            <w:webHidden/>
          </w:rPr>
        </w:r>
        <w:r>
          <w:rPr>
            <w:noProof/>
            <w:webHidden/>
          </w:rPr>
          <w:fldChar w:fldCharType="separate"/>
        </w:r>
        <w:r>
          <w:rPr>
            <w:noProof/>
            <w:webHidden/>
          </w:rPr>
          <w:t>251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8" w:history="1">
        <w:r w:rsidRPr="001B13A4">
          <w:rPr>
            <w:rStyle w:val="Hyperlink"/>
            <w:noProof/>
          </w:rPr>
          <w:t>2.1.592</w:t>
        </w:r>
        <w:r>
          <w:rPr>
            <w:rFonts w:asciiTheme="minorHAnsi" w:eastAsiaTheme="minorEastAsia" w:hAnsiTheme="minorHAnsi" w:cstheme="minorBidi"/>
            <w:noProof/>
            <w:sz w:val="22"/>
            <w:szCs w:val="22"/>
          </w:rPr>
          <w:tab/>
        </w:r>
        <w:r w:rsidRPr="001B13A4">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_Toc181683628 \h </w:instrText>
        </w:r>
        <w:r>
          <w:rPr>
            <w:noProof/>
            <w:webHidden/>
          </w:rPr>
        </w:r>
        <w:r>
          <w:rPr>
            <w:noProof/>
            <w:webHidden/>
          </w:rPr>
          <w:fldChar w:fldCharType="separate"/>
        </w:r>
        <w:r>
          <w:rPr>
            <w:noProof/>
            <w:webHidden/>
          </w:rPr>
          <w:t>251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29" w:history="1">
        <w:r w:rsidRPr="001B13A4">
          <w:rPr>
            <w:rStyle w:val="Hyperlink"/>
            <w:noProof/>
          </w:rPr>
          <w:t>2.1.593</w:t>
        </w:r>
        <w:r>
          <w:rPr>
            <w:rFonts w:asciiTheme="minorHAnsi" w:eastAsiaTheme="minorEastAsia" w:hAnsiTheme="minorHAnsi" w:cstheme="minorBidi"/>
            <w:noProof/>
            <w:sz w:val="22"/>
            <w:szCs w:val="22"/>
          </w:rPr>
          <w:tab/>
        </w:r>
        <w:r w:rsidRPr="001B13A4">
          <w:rPr>
            <w:rStyle w:val="Hyperlink"/>
            <w:noProof/>
          </w:rPr>
          <w:t>Part 1 Section 18.3.1.7, cellSmartTags (Cell Smart Tags)</w:t>
        </w:r>
        <w:r>
          <w:rPr>
            <w:noProof/>
            <w:webHidden/>
          </w:rPr>
          <w:tab/>
        </w:r>
        <w:r>
          <w:rPr>
            <w:noProof/>
            <w:webHidden/>
          </w:rPr>
          <w:fldChar w:fldCharType="begin"/>
        </w:r>
        <w:r>
          <w:rPr>
            <w:noProof/>
            <w:webHidden/>
          </w:rPr>
          <w:instrText xml:space="preserve"> PAGEREF _Toc181683629 \h </w:instrText>
        </w:r>
        <w:r>
          <w:rPr>
            <w:noProof/>
            <w:webHidden/>
          </w:rPr>
        </w:r>
        <w:r>
          <w:rPr>
            <w:noProof/>
            <w:webHidden/>
          </w:rPr>
          <w:fldChar w:fldCharType="separate"/>
        </w:r>
        <w:r>
          <w:rPr>
            <w:noProof/>
            <w:webHidden/>
          </w:rPr>
          <w:t>252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0" w:history="1">
        <w:r w:rsidRPr="001B13A4">
          <w:rPr>
            <w:rStyle w:val="Hyperlink"/>
            <w:noProof/>
          </w:rPr>
          <w:t>2.1.594</w:t>
        </w:r>
        <w:r>
          <w:rPr>
            <w:rFonts w:asciiTheme="minorHAnsi" w:eastAsiaTheme="minorEastAsia" w:hAnsiTheme="minorHAnsi" w:cstheme="minorBidi"/>
            <w:noProof/>
            <w:sz w:val="22"/>
            <w:szCs w:val="22"/>
          </w:rPr>
          <w:tab/>
        </w:r>
        <w:r w:rsidRPr="001B13A4">
          <w:rPr>
            <w:rStyle w:val="Hyperlink"/>
            <w:noProof/>
          </w:rPr>
          <w:t>Part 1 Section 18.3.1.8, cellWatch (Cell Watch Item)</w:t>
        </w:r>
        <w:r>
          <w:rPr>
            <w:noProof/>
            <w:webHidden/>
          </w:rPr>
          <w:tab/>
        </w:r>
        <w:r>
          <w:rPr>
            <w:noProof/>
            <w:webHidden/>
          </w:rPr>
          <w:fldChar w:fldCharType="begin"/>
        </w:r>
        <w:r>
          <w:rPr>
            <w:noProof/>
            <w:webHidden/>
          </w:rPr>
          <w:instrText xml:space="preserve"> PAGEREF _Toc181683630 \h </w:instrText>
        </w:r>
        <w:r>
          <w:rPr>
            <w:noProof/>
            <w:webHidden/>
          </w:rPr>
        </w:r>
        <w:r>
          <w:rPr>
            <w:noProof/>
            <w:webHidden/>
          </w:rPr>
          <w:fldChar w:fldCharType="separate"/>
        </w:r>
        <w:r>
          <w:rPr>
            <w:noProof/>
            <w:webHidden/>
          </w:rPr>
          <w:t>252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1" w:history="1">
        <w:r w:rsidRPr="001B13A4">
          <w:rPr>
            <w:rStyle w:val="Hyperlink"/>
            <w:noProof/>
          </w:rPr>
          <w:t>2.1.595</w:t>
        </w:r>
        <w:r>
          <w:rPr>
            <w:rFonts w:asciiTheme="minorHAnsi" w:eastAsiaTheme="minorEastAsia" w:hAnsiTheme="minorHAnsi" w:cstheme="minorBidi"/>
            <w:noProof/>
            <w:sz w:val="22"/>
            <w:szCs w:val="22"/>
          </w:rPr>
          <w:tab/>
        </w:r>
        <w:r w:rsidRPr="001B13A4">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_Toc181683631 \h </w:instrText>
        </w:r>
        <w:r>
          <w:rPr>
            <w:noProof/>
            <w:webHidden/>
          </w:rPr>
        </w:r>
        <w:r>
          <w:rPr>
            <w:noProof/>
            <w:webHidden/>
          </w:rPr>
          <w:fldChar w:fldCharType="separate"/>
        </w:r>
        <w:r>
          <w:rPr>
            <w:noProof/>
            <w:webHidden/>
          </w:rPr>
          <w:t>252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2" w:history="1">
        <w:r w:rsidRPr="001B13A4">
          <w:rPr>
            <w:rStyle w:val="Hyperlink"/>
            <w:noProof/>
          </w:rPr>
          <w:t>2.1.596</w:t>
        </w:r>
        <w:r>
          <w:rPr>
            <w:rFonts w:asciiTheme="minorHAnsi" w:eastAsiaTheme="minorEastAsia" w:hAnsiTheme="minorHAnsi" w:cstheme="minorBidi"/>
            <w:noProof/>
            <w:sz w:val="22"/>
            <w:szCs w:val="22"/>
          </w:rPr>
          <w:tab/>
        </w:r>
        <w:r w:rsidRPr="001B13A4">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_Toc181683632 \h </w:instrText>
        </w:r>
        <w:r>
          <w:rPr>
            <w:noProof/>
            <w:webHidden/>
          </w:rPr>
        </w:r>
        <w:r>
          <w:rPr>
            <w:noProof/>
            <w:webHidden/>
          </w:rPr>
          <w:fldChar w:fldCharType="separate"/>
        </w:r>
        <w:r>
          <w:rPr>
            <w:noProof/>
            <w:webHidden/>
          </w:rPr>
          <w:t>252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3" w:history="1">
        <w:r w:rsidRPr="001B13A4">
          <w:rPr>
            <w:rStyle w:val="Hyperlink"/>
            <w:noProof/>
          </w:rPr>
          <w:t>2.1.597</w:t>
        </w:r>
        <w:r>
          <w:rPr>
            <w:rFonts w:asciiTheme="minorHAnsi" w:eastAsiaTheme="minorEastAsia" w:hAnsiTheme="minorHAnsi" w:cstheme="minorBidi"/>
            <w:noProof/>
            <w:sz w:val="22"/>
            <w:szCs w:val="22"/>
          </w:rPr>
          <w:tab/>
        </w:r>
        <w:r w:rsidRPr="001B13A4">
          <w:rPr>
            <w:rStyle w:val="Hyperlink"/>
            <w:noProof/>
          </w:rPr>
          <w:t>Part 1 Section 18.3.1.12, chartsheet (Chart Sheet)</w:t>
        </w:r>
        <w:r>
          <w:rPr>
            <w:noProof/>
            <w:webHidden/>
          </w:rPr>
          <w:tab/>
        </w:r>
        <w:r>
          <w:rPr>
            <w:noProof/>
            <w:webHidden/>
          </w:rPr>
          <w:fldChar w:fldCharType="begin"/>
        </w:r>
        <w:r>
          <w:rPr>
            <w:noProof/>
            <w:webHidden/>
          </w:rPr>
          <w:instrText xml:space="preserve"> PAGEREF _Toc181683633 \h </w:instrText>
        </w:r>
        <w:r>
          <w:rPr>
            <w:noProof/>
            <w:webHidden/>
          </w:rPr>
        </w:r>
        <w:r>
          <w:rPr>
            <w:noProof/>
            <w:webHidden/>
          </w:rPr>
          <w:fldChar w:fldCharType="separate"/>
        </w:r>
        <w:r>
          <w:rPr>
            <w:noProof/>
            <w:webHidden/>
          </w:rPr>
          <w:t>252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4" w:history="1">
        <w:r w:rsidRPr="001B13A4">
          <w:rPr>
            <w:rStyle w:val="Hyperlink"/>
            <w:noProof/>
          </w:rPr>
          <w:t>2.1.598</w:t>
        </w:r>
        <w:r>
          <w:rPr>
            <w:rFonts w:asciiTheme="minorHAnsi" w:eastAsiaTheme="minorEastAsia" w:hAnsiTheme="minorHAnsi" w:cstheme="minorBidi"/>
            <w:noProof/>
            <w:sz w:val="22"/>
            <w:szCs w:val="22"/>
          </w:rPr>
          <w:tab/>
        </w:r>
        <w:r w:rsidRPr="001B13A4">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_Toc181683634 \h </w:instrText>
        </w:r>
        <w:r>
          <w:rPr>
            <w:noProof/>
            <w:webHidden/>
          </w:rPr>
        </w:r>
        <w:r>
          <w:rPr>
            <w:noProof/>
            <w:webHidden/>
          </w:rPr>
          <w:fldChar w:fldCharType="separate"/>
        </w:r>
        <w:r>
          <w:rPr>
            <w:noProof/>
            <w:webHidden/>
          </w:rPr>
          <w:t>253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5" w:history="1">
        <w:r w:rsidRPr="001B13A4">
          <w:rPr>
            <w:rStyle w:val="Hyperlink"/>
            <w:noProof/>
          </w:rPr>
          <w:t>2.1.599</w:t>
        </w:r>
        <w:r>
          <w:rPr>
            <w:rFonts w:asciiTheme="minorHAnsi" w:eastAsiaTheme="minorEastAsia" w:hAnsiTheme="minorHAnsi" w:cstheme="minorBidi"/>
            <w:noProof/>
            <w:sz w:val="22"/>
            <w:szCs w:val="22"/>
          </w:rPr>
          <w:tab/>
        </w:r>
        <w:r w:rsidRPr="001B13A4">
          <w:rPr>
            <w:rStyle w:val="Hyperlink"/>
            <w:noProof/>
          </w:rPr>
          <w:t>Part 1 Section 18.3.1.14, colBreaks (Vertical Page Breaks)</w:t>
        </w:r>
        <w:r>
          <w:rPr>
            <w:noProof/>
            <w:webHidden/>
          </w:rPr>
          <w:tab/>
        </w:r>
        <w:r>
          <w:rPr>
            <w:noProof/>
            <w:webHidden/>
          </w:rPr>
          <w:fldChar w:fldCharType="begin"/>
        </w:r>
        <w:r>
          <w:rPr>
            <w:noProof/>
            <w:webHidden/>
          </w:rPr>
          <w:instrText xml:space="preserve"> PAGEREF _Toc181683635 \h </w:instrText>
        </w:r>
        <w:r>
          <w:rPr>
            <w:noProof/>
            <w:webHidden/>
          </w:rPr>
        </w:r>
        <w:r>
          <w:rPr>
            <w:noProof/>
            <w:webHidden/>
          </w:rPr>
          <w:fldChar w:fldCharType="separate"/>
        </w:r>
        <w:r>
          <w:rPr>
            <w:noProof/>
            <w:webHidden/>
          </w:rPr>
          <w:t>253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6" w:history="1">
        <w:r w:rsidRPr="001B13A4">
          <w:rPr>
            <w:rStyle w:val="Hyperlink"/>
            <w:noProof/>
          </w:rPr>
          <w:t>2.1.600</w:t>
        </w:r>
        <w:r>
          <w:rPr>
            <w:rFonts w:asciiTheme="minorHAnsi" w:eastAsiaTheme="minorEastAsia" w:hAnsiTheme="minorHAnsi" w:cstheme="minorBidi"/>
            <w:noProof/>
            <w:sz w:val="22"/>
            <w:szCs w:val="22"/>
          </w:rPr>
          <w:tab/>
        </w:r>
        <w:r w:rsidRPr="001B13A4">
          <w:rPr>
            <w:rStyle w:val="Hyperlink"/>
            <w:noProof/>
          </w:rPr>
          <w:t>Part 1 Section 18.3.1.15, color (Data Bar Color)</w:t>
        </w:r>
        <w:r>
          <w:rPr>
            <w:noProof/>
            <w:webHidden/>
          </w:rPr>
          <w:tab/>
        </w:r>
        <w:r>
          <w:rPr>
            <w:noProof/>
            <w:webHidden/>
          </w:rPr>
          <w:fldChar w:fldCharType="begin"/>
        </w:r>
        <w:r>
          <w:rPr>
            <w:noProof/>
            <w:webHidden/>
          </w:rPr>
          <w:instrText xml:space="preserve"> PAGEREF _Toc181683636 \h </w:instrText>
        </w:r>
        <w:r>
          <w:rPr>
            <w:noProof/>
            <w:webHidden/>
          </w:rPr>
        </w:r>
        <w:r>
          <w:rPr>
            <w:noProof/>
            <w:webHidden/>
          </w:rPr>
          <w:fldChar w:fldCharType="separate"/>
        </w:r>
        <w:r>
          <w:rPr>
            <w:noProof/>
            <w:webHidden/>
          </w:rPr>
          <w:t>253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7" w:history="1">
        <w:r w:rsidRPr="001B13A4">
          <w:rPr>
            <w:rStyle w:val="Hyperlink"/>
            <w:noProof/>
          </w:rPr>
          <w:t>2.1.601</w:t>
        </w:r>
        <w:r>
          <w:rPr>
            <w:rFonts w:asciiTheme="minorHAnsi" w:eastAsiaTheme="minorEastAsia" w:hAnsiTheme="minorHAnsi" w:cstheme="minorBidi"/>
            <w:noProof/>
            <w:sz w:val="22"/>
            <w:szCs w:val="22"/>
          </w:rPr>
          <w:tab/>
        </w:r>
        <w:r w:rsidRPr="001B13A4">
          <w:rPr>
            <w:rStyle w:val="Hyperlink"/>
            <w:noProof/>
          </w:rPr>
          <w:t>Part 1 Section 18.3.1.16, colorScale (Color Scale)</w:t>
        </w:r>
        <w:r>
          <w:rPr>
            <w:noProof/>
            <w:webHidden/>
          </w:rPr>
          <w:tab/>
        </w:r>
        <w:r>
          <w:rPr>
            <w:noProof/>
            <w:webHidden/>
          </w:rPr>
          <w:fldChar w:fldCharType="begin"/>
        </w:r>
        <w:r>
          <w:rPr>
            <w:noProof/>
            <w:webHidden/>
          </w:rPr>
          <w:instrText xml:space="preserve"> PAGEREF _Toc181683637 \h </w:instrText>
        </w:r>
        <w:r>
          <w:rPr>
            <w:noProof/>
            <w:webHidden/>
          </w:rPr>
        </w:r>
        <w:r>
          <w:rPr>
            <w:noProof/>
            <w:webHidden/>
          </w:rPr>
          <w:fldChar w:fldCharType="separate"/>
        </w:r>
        <w:r>
          <w:rPr>
            <w:noProof/>
            <w:webHidden/>
          </w:rPr>
          <w:t>254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8" w:history="1">
        <w:r w:rsidRPr="001B13A4">
          <w:rPr>
            <w:rStyle w:val="Hyperlink"/>
            <w:noProof/>
          </w:rPr>
          <w:t>2.1.602</w:t>
        </w:r>
        <w:r>
          <w:rPr>
            <w:rFonts w:asciiTheme="minorHAnsi" w:eastAsiaTheme="minorEastAsia" w:hAnsiTheme="minorHAnsi" w:cstheme="minorBidi"/>
            <w:noProof/>
            <w:sz w:val="22"/>
            <w:szCs w:val="22"/>
          </w:rPr>
          <w:tab/>
        </w:r>
        <w:r w:rsidRPr="001B13A4">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_Toc181683638 \h </w:instrText>
        </w:r>
        <w:r>
          <w:rPr>
            <w:noProof/>
            <w:webHidden/>
          </w:rPr>
        </w:r>
        <w:r>
          <w:rPr>
            <w:noProof/>
            <w:webHidden/>
          </w:rPr>
          <w:fldChar w:fldCharType="separate"/>
        </w:r>
        <w:r>
          <w:rPr>
            <w:noProof/>
            <w:webHidden/>
          </w:rPr>
          <w:t>254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39" w:history="1">
        <w:r w:rsidRPr="001B13A4">
          <w:rPr>
            <w:rStyle w:val="Hyperlink"/>
            <w:noProof/>
          </w:rPr>
          <w:t>2.1.603</w:t>
        </w:r>
        <w:r>
          <w:rPr>
            <w:rFonts w:asciiTheme="minorHAnsi" w:eastAsiaTheme="minorEastAsia" w:hAnsiTheme="minorHAnsi" w:cstheme="minorBidi"/>
            <w:noProof/>
            <w:sz w:val="22"/>
            <w:szCs w:val="22"/>
          </w:rPr>
          <w:tab/>
        </w:r>
        <w:r w:rsidRPr="001B13A4">
          <w:rPr>
            <w:rStyle w:val="Hyperlink"/>
            <w:noProof/>
          </w:rPr>
          <w:t>Part 1 Section 18.3.1.19, control (Embedded Control)</w:t>
        </w:r>
        <w:r>
          <w:rPr>
            <w:noProof/>
            <w:webHidden/>
          </w:rPr>
          <w:tab/>
        </w:r>
        <w:r>
          <w:rPr>
            <w:noProof/>
            <w:webHidden/>
          </w:rPr>
          <w:fldChar w:fldCharType="begin"/>
        </w:r>
        <w:r>
          <w:rPr>
            <w:noProof/>
            <w:webHidden/>
          </w:rPr>
          <w:instrText xml:space="preserve"> PAGEREF _Toc181683639 \h </w:instrText>
        </w:r>
        <w:r>
          <w:rPr>
            <w:noProof/>
            <w:webHidden/>
          </w:rPr>
        </w:r>
        <w:r>
          <w:rPr>
            <w:noProof/>
            <w:webHidden/>
          </w:rPr>
          <w:fldChar w:fldCharType="separate"/>
        </w:r>
        <w:r>
          <w:rPr>
            <w:noProof/>
            <w:webHidden/>
          </w:rPr>
          <w:t>254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0" w:history="1">
        <w:r w:rsidRPr="001B13A4">
          <w:rPr>
            <w:rStyle w:val="Hyperlink"/>
            <w:noProof/>
          </w:rPr>
          <w:t>2.1.604</w:t>
        </w:r>
        <w:r>
          <w:rPr>
            <w:rFonts w:asciiTheme="minorHAnsi" w:eastAsiaTheme="minorEastAsia" w:hAnsiTheme="minorHAnsi" w:cstheme="minorBidi"/>
            <w:noProof/>
            <w:sz w:val="22"/>
            <w:szCs w:val="22"/>
          </w:rPr>
          <w:tab/>
        </w:r>
        <w:r w:rsidRPr="001B13A4">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_Toc181683640 \h </w:instrText>
        </w:r>
        <w:r>
          <w:rPr>
            <w:noProof/>
            <w:webHidden/>
          </w:rPr>
        </w:r>
        <w:r>
          <w:rPr>
            <w:noProof/>
            <w:webHidden/>
          </w:rPr>
          <w:fldChar w:fldCharType="separate"/>
        </w:r>
        <w:r>
          <w:rPr>
            <w:noProof/>
            <w:webHidden/>
          </w:rPr>
          <w:t>254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1" w:history="1">
        <w:r w:rsidRPr="001B13A4">
          <w:rPr>
            <w:rStyle w:val="Hyperlink"/>
            <w:noProof/>
          </w:rPr>
          <w:t>2.1.605</w:t>
        </w:r>
        <w:r>
          <w:rPr>
            <w:rFonts w:asciiTheme="minorHAnsi" w:eastAsiaTheme="minorEastAsia" w:hAnsiTheme="minorHAnsi" w:cstheme="minorBidi"/>
            <w:noProof/>
            <w:sz w:val="22"/>
            <w:szCs w:val="22"/>
          </w:rPr>
          <w:tab/>
        </w:r>
        <w:r w:rsidRPr="001B13A4">
          <w:rPr>
            <w:rStyle w:val="Hyperlink"/>
            <w:noProof/>
          </w:rPr>
          <w:t>Part 1 Section 18.3.1.21, controls (Embedded Controls)</w:t>
        </w:r>
        <w:r>
          <w:rPr>
            <w:noProof/>
            <w:webHidden/>
          </w:rPr>
          <w:tab/>
        </w:r>
        <w:r>
          <w:rPr>
            <w:noProof/>
            <w:webHidden/>
          </w:rPr>
          <w:fldChar w:fldCharType="begin"/>
        </w:r>
        <w:r>
          <w:rPr>
            <w:noProof/>
            <w:webHidden/>
          </w:rPr>
          <w:instrText xml:space="preserve"> PAGEREF _Toc181683641 \h </w:instrText>
        </w:r>
        <w:r>
          <w:rPr>
            <w:noProof/>
            <w:webHidden/>
          </w:rPr>
        </w:r>
        <w:r>
          <w:rPr>
            <w:noProof/>
            <w:webHidden/>
          </w:rPr>
          <w:fldChar w:fldCharType="separate"/>
        </w:r>
        <w:r>
          <w:rPr>
            <w:noProof/>
            <w:webHidden/>
          </w:rPr>
          <w:t>255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2" w:history="1">
        <w:r w:rsidRPr="001B13A4">
          <w:rPr>
            <w:rStyle w:val="Hyperlink"/>
            <w:noProof/>
          </w:rPr>
          <w:t>2.1.606</w:t>
        </w:r>
        <w:r>
          <w:rPr>
            <w:rFonts w:asciiTheme="minorHAnsi" w:eastAsiaTheme="minorEastAsia" w:hAnsiTheme="minorHAnsi" w:cstheme="minorBidi"/>
            <w:noProof/>
            <w:sz w:val="22"/>
            <w:szCs w:val="22"/>
          </w:rPr>
          <w:tab/>
        </w:r>
        <w:r w:rsidRPr="001B13A4">
          <w:rPr>
            <w:rStyle w:val="Hyperlink"/>
            <w:noProof/>
          </w:rPr>
          <w:t>Part 1 Section 18.3.1.22, customPr (Custom Property)</w:t>
        </w:r>
        <w:r>
          <w:rPr>
            <w:noProof/>
            <w:webHidden/>
          </w:rPr>
          <w:tab/>
        </w:r>
        <w:r>
          <w:rPr>
            <w:noProof/>
            <w:webHidden/>
          </w:rPr>
          <w:fldChar w:fldCharType="begin"/>
        </w:r>
        <w:r>
          <w:rPr>
            <w:noProof/>
            <w:webHidden/>
          </w:rPr>
          <w:instrText xml:space="preserve"> PAGEREF _Toc181683642 \h </w:instrText>
        </w:r>
        <w:r>
          <w:rPr>
            <w:noProof/>
            <w:webHidden/>
          </w:rPr>
        </w:r>
        <w:r>
          <w:rPr>
            <w:noProof/>
            <w:webHidden/>
          </w:rPr>
          <w:fldChar w:fldCharType="separate"/>
        </w:r>
        <w:r>
          <w:rPr>
            <w:noProof/>
            <w:webHidden/>
          </w:rPr>
          <w:t>255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3" w:history="1">
        <w:r w:rsidRPr="001B13A4">
          <w:rPr>
            <w:rStyle w:val="Hyperlink"/>
            <w:noProof/>
          </w:rPr>
          <w:t>2.1.607</w:t>
        </w:r>
        <w:r>
          <w:rPr>
            <w:rFonts w:asciiTheme="minorHAnsi" w:eastAsiaTheme="minorEastAsia" w:hAnsiTheme="minorHAnsi" w:cstheme="minorBidi"/>
            <w:noProof/>
            <w:sz w:val="22"/>
            <w:szCs w:val="22"/>
          </w:rPr>
          <w:tab/>
        </w:r>
        <w:r w:rsidRPr="001B13A4">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_Toc181683643 \h </w:instrText>
        </w:r>
        <w:r>
          <w:rPr>
            <w:noProof/>
            <w:webHidden/>
          </w:rPr>
        </w:r>
        <w:r>
          <w:rPr>
            <w:noProof/>
            <w:webHidden/>
          </w:rPr>
          <w:fldChar w:fldCharType="separate"/>
        </w:r>
        <w:r>
          <w:rPr>
            <w:noProof/>
            <w:webHidden/>
          </w:rPr>
          <w:t>255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4" w:history="1">
        <w:r w:rsidRPr="001B13A4">
          <w:rPr>
            <w:rStyle w:val="Hyperlink"/>
            <w:noProof/>
          </w:rPr>
          <w:t>2.1.608</w:t>
        </w:r>
        <w:r>
          <w:rPr>
            <w:rFonts w:asciiTheme="minorHAnsi" w:eastAsiaTheme="minorEastAsia" w:hAnsiTheme="minorHAnsi" w:cstheme="minorBidi"/>
            <w:noProof/>
            <w:sz w:val="22"/>
            <w:szCs w:val="22"/>
          </w:rPr>
          <w:tab/>
        </w:r>
        <w:r w:rsidRPr="001B13A4">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_Toc181683644 \h </w:instrText>
        </w:r>
        <w:r>
          <w:rPr>
            <w:noProof/>
            <w:webHidden/>
          </w:rPr>
        </w:r>
        <w:r>
          <w:rPr>
            <w:noProof/>
            <w:webHidden/>
          </w:rPr>
          <w:fldChar w:fldCharType="separate"/>
        </w:r>
        <w:r>
          <w:rPr>
            <w:noProof/>
            <w:webHidden/>
          </w:rPr>
          <w:t>255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5" w:history="1">
        <w:r w:rsidRPr="001B13A4">
          <w:rPr>
            <w:rStyle w:val="Hyperlink"/>
            <w:noProof/>
          </w:rPr>
          <w:t>2.1.609</w:t>
        </w:r>
        <w:r>
          <w:rPr>
            <w:rFonts w:asciiTheme="minorHAnsi" w:eastAsiaTheme="minorEastAsia" w:hAnsiTheme="minorHAnsi" w:cstheme="minorBidi"/>
            <w:noProof/>
            <w:sz w:val="22"/>
            <w:szCs w:val="22"/>
          </w:rPr>
          <w:tab/>
        </w:r>
        <w:r w:rsidRPr="001B13A4">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_Toc181683645 \h </w:instrText>
        </w:r>
        <w:r>
          <w:rPr>
            <w:noProof/>
            <w:webHidden/>
          </w:rPr>
        </w:r>
        <w:r>
          <w:rPr>
            <w:noProof/>
            <w:webHidden/>
          </w:rPr>
          <w:fldChar w:fldCharType="separate"/>
        </w:r>
        <w:r>
          <w:rPr>
            <w:noProof/>
            <w:webHidden/>
          </w:rPr>
          <w:t>255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6" w:history="1">
        <w:r w:rsidRPr="001B13A4">
          <w:rPr>
            <w:rStyle w:val="Hyperlink"/>
            <w:noProof/>
          </w:rPr>
          <w:t>2.1.610</w:t>
        </w:r>
        <w:r>
          <w:rPr>
            <w:rFonts w:asciiTheme="minorHAnsi" w:eastAsiaTheme="minorEastAsia" w:hAnsiTheme="minorHAnsi" w:cstheme="minorBidi"/>
            <w:noProof/>
            <w:sz w:val="22"/>
            <w:szCs w:val="22"/>
          </w:rPr>
          <w:tab/>
        </w:r>
        <w:r w:rsidRPr="001B13A4">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_Toc181683646 \h </w:instrText>
        </w:r>
        <w:r>
          <w:rPr>
            <w:noProof/>
            <w:webHidden/>
          </w:rPr>
        </w:r>
        <w:r>
          <w:rPr>
            <w:noProof/>
            <w:webHidden/>
          </w:rPr>
          <w:fldChar w:fldCharType="separate"/>
        </w:r>
        <w:r>
          <w:rPr>
            <w:noProof/>
            <w:webHidden/>
          </w:rPr>
          <w:t>256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7" w:history="1">
        <w:r w:rsidRPr="001B13A4">
          <w:rPr>
            <w:rStyle w:val="Hyperlink"/>
            <w:noProof/>
          </w:rPr>
          <w:t>2.1.611</w:t>
        </w:r>
        <w:r>
          <w:rPr>
            <w:rFonts w:asciiTheme="minorHAnsi" w:eastAsiaTheme="minorEastAsia" w:hAnsiTheme="minorHAnsi" w:cstheme="minorBidi"/>
            <w:noProof/>
            <w:sz w:val="22"/>
            <w:szCs w:val="22"/>
          </w:rPr>
          <w:tab/>
        </w:r>
        <w:r w:rsidRPr="001B13A4">
          <w:rPr>
            <w:rStyle w:val="Hyperlink"/>
            <w:noProof/>
          </w:rPr>
          <w:t>Part 1 Section 18.3.1.28, dataBar (Data Bar)</w:t>
        </w:r>
        <w:r>
          <w:rPr>
            <w:noProof/>
            <w:webHidden/>
          </w:rPr>
          <w:tab/>
        </w:r>
        <w:r>
          <w:rPr>
            <w:noProof/>
            <w:webHidden/>
          </w:rPr>
          <w:fldChar w:fldCharType="begin"/>
        </w:r>
        <w:r>
          <w:rPr>
            <w:noProof/>
            <w:webHidden/>
          </w:rPr>
          <w:instrText xml:space="preserve"> PAGEREF _Toc181683647 \h </w:instrText>
        </w:r>
        <w:r>
          <w:rPr>
            <w:noProof/>
            <w:webHidden/>
          </w:rPr>
        </w:r>
        <w:r>
          <w:rPr>
            <w:noProof/>
            <w:webHidden/>
          </w:rPr>
          <w:fldChar w:fldCharType="separate"/>
        </w:r>
        <w:r>
          <w:rPr>
            <w:noProof/>
            <w:webHidden/>
          </w:rPr>
          <w:t>256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8" w:history="1">
        <w:r w:rsidRPr="001B13A4">
          <w:rPr>
            <w:rStyle w:val="Hyperlink"/>
            <w:noProof/>
          </w:rPr>
          <w:t>2.1.612</w:t>
        </w:r>
        <w:r>
          <w:rPr>
            <w:rFonts w:asciiTheme="minorHAnsi" w:eastAsiaTheme="minorEastAsia" w:hAnsiTheme="minorHAnsi" w:cstheme="minorBidi"/>
            <w:noProof/>
            <w:sz w:val="22"/>
            <w:szCs w:val="22"/>
          </w:rPr>
          <w:tab/>
        </w:r>
        <w:r w:rsidRPr="001B13A4">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_Toc181683648 \h </w:instrText>
        </w:r>
        <w:r>
          <w:rPr>
            <w:noProof/>
            <w:webHidden/>
          </w:rPr>
        </w:r>
        <w:r>
          <w:rPr>
            <w:noProof/>
            <w:webHidden/>
          </w:rPr>
          <w:fldChar w:fldCharType="separate"/>
        </w:r>
        <w:r>
          <w:rPr>
            <w:noProof/>
            <w:webHidden/>
          </w:rPr>
          <w:t>256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49" w:history="1">
        <w:r w:rsidRPr="001B13A4">
          <w:rPr>
            <w:rStyle w:val="Hyperlink"/>
            <w:noProof/>
          </w:rPr>
          <w:t>2.1.613</w:t>
        </w:r>
        <w:r>
          <w:rPr>
            <w:rFonts w:asciiTheme="minorHAnsi" w:eastAsiaTheme="minorEastAsia" w:hAnsiTheme="minorHAnsi" w:cstheme="minorBidi"/>
            <w:noProof/>
            <w:sz w:val="22"/>
            <w:szCs w:val="22"/>
          </w:rPr>
          <w:tab/>
        </w:r>
        <w:r w:rsidRPr="001B13A4">
          <w:rPr>
            <w:rStyle w:val="Hyperlink"/>
            <w:noProof/>
          </w:rPr>
          <w:t>Part 1 Section 18.3.1.32, dataValidation (Data Validation)</w:t>
        </w:r>
        <w:r>
          <w:rPr>
            <w:noProof/>
            <w:webHidden/>
          </w:rPr>
          <w:tab/>
        </w:r>
        <w:r>
          <w:rPr>
            <w:noProof/>
            <w:webHidden/>
          </w:rPr>
          <w:fldChar w:fldCharType="begin"/>
        </w:r>
        <w:r>
          <w:rPr>
            <w:noProof/>
            <w:webHidden/>
          </w:rPr>
          <w:instrText xml:space="preserve"> PAGEREF _Toc181683649 \h </w:instrText>
        </w:r>
        <w:r>
          <w:rPr>
            <w:noProof/>
            <w:webHidden/>
          </w:rPr>
        </w:r>
        <w:r>
          <w:rPr>
            <w:noProof/>
            <w:webHidden/>
          </w:rPr>
          <w:fldChar w:fldCharType="separate"/>
        </w:r>
        <w:r>
          <w:rPr>
            <w:noProof/>
            <w:webHidden/>
          </w:rPr>
          <w:t>256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0" w:history="1">
        <w:r w:rsidRPr="001B13A4">
          <w:rPr>
            <w:rStyle w:val="Hyperlink"/>
            <w:noProof/>
          </w:rPr>
          <w:t>2.1.614</w:t>
        </w:r>
        <w:r>
          <w:rPr>
            <w:rFonts w:asciiTheme="minorHAnsi" w:eastAsiaTheme="minorEastAsia" w:hAnsiTheme="minorHAnsi" w:cstheme="minorBidi"/>
            <w:noProof/>
            <w:sz w:val="22"/>
            <w:szCs w:val="22"/>
          </w:rPr>
          <w:tab/>
        </w:r>
        <w:r w:rsidRPr="001B13A4">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_Toc181683650 \h </w:instrText>
        </w:r>
        <w:r>
          <w:rPr>
            <w:noProof/>
            <w:webHidden/>
          </w:rPr>
        </w:r>
        <w:r>
          <w:rPr>
            <w:noProof/>
            <w:webHidden/>
          </w:rPr>
          <w:fldChar w:fldCharType="separate"/>
        </w:r>
        <w:r>
          <w:rPr>
            <w:noProof/>
            <w:webHidden/>
          </w:rPr>
          <w:t>256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1" w:history="1">
        <w:r w:rsidRPr="001B13A4">
          <w:rPr>
            <w:rStyle w:val="Hyperlink"/>
            <w:noProof/>
          </w:rPr>
          <w:t>2.1.615</w:t>
        </w:r>
        <w:r>
          <w:rPr>
            <w:rFonts w:asciiTheme="minorHAnsi" w:eastAsiaTheme="minorEastAsia" w:hAnsiTheme="minorHAnsi" w:cstheme="minorBidi"/>
            <w:noProof/>
            <w:sz w:val="22"/>
            <w:szCs w:val="22"/>
          </w:rPr>
          <w:tab/>
        </w:r>
        <w:r w:rsidRPr="001B13A4">
          <w:rPr>
            <w:rStyle w:val="Hyperlink"/>
            <w:noProof/>
          </w:rPr>
          <w:t>Part 1 Section 18.3.1.34, dialogsheet (Dialog Sheet)</w:t>
        </w:r>
        <w:r>
          <w:rPr>
            <w:noProof/>
            <w:webHidden/>
          </w:rPr>
          <w:tab/>
        </w:r>
        <w:r>
          <w:rPr>
            <w:noProof/>
            <w:webHidden/>
          </w:rPr>
          <w:fldChar w:fldCharType="begin"/>
        </w:r>
        <w:r>
          <w:rPr>
            <w:noProof/>
            <w:webHidden/>
          </w:rPr>
          <w:instrText xml:space="preserve"> PAGEREF _Toc181683651 \h </w:instrText>
        </w:r>
        <w:r>
          <w:rPr>
            <w:noProof/>
            <w:webHidden/>
          </w:rPr>
        </w:r>
        <w:r>
          <w:rPr>
            <w:noProof/>
            <w:webHidden/>
          </w:rPr>
          <w:fldChar w:fldCharType="separate"/>
        </w:r>
        <w:r>
          <w:rPr>
            <w:noProof/>
            <w:webHidden/>
          </w:rPr>
          <w:t>257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2" w:history="1">
        <w:r w:rsidRPr="001B13A4">
          <w:rPr>
            <w:rStyle w:val="Hyperlink"/>
            <w:noProof/>
          </w:rPr>
          <w:t>2.1.616</w:t>
        </w:r>
        <w:r>
          <w:rPr>
            <w:rFonts w:asciiTheme="minorHAnsi" w:eastAsiaTheme="minorEastAsia" w:hAnsiTheme="minorHAnsi" w:cstheme="minorBidi"/>
            <w:noProof/>
            <w:sz w:val="22"/>
            <w:szCs w:val="22"/>
          </w:rPr>
          <w:tab/>
        </w:r>
        <w:r w:rsidRPr="001B13A4">
          <w:rPr>
            <w:rStyle w:val="Hyperlink"/>
            <w:noProof/>
          </w:rPr>
          <w:t>Part 1 Section 18.3.1.36, drawing (Drawing)</w:t>
        </w:r>
        <w:r>
          <w:rPr>
            <w:noProof/>
            <w:webHidden/>
          </w:rPr>
          <w:tab/>
        </w:r>
        <w:r>
          <w:rPr>
            <w:noProof/>
            <w:webHidden/>
          </w:rPr>
          <w:fldChar w:fldCharType="begin"/>
        </w:r>
        <w:r>
          <w:rPr>
            <w:noProof/>
            <w:webHidden/>
          </w:rPr>
          <w:instrText xml:space="preserve"> PAGEREF _Toc181683652 \h </w:instrText>
        </w:r>
        <w:r>
          <w:rPr>
            <w:noProof/>
            <w:webHidden/>
          </w:rPr>
        </w:r>
        <w:r>
          <w:rPr>
            <w:noProof/>
            <w:webHidden/>
          </w:rPr>
          <w:fldChar w:fldCharType="separate"/>
        </w:r>
        <w:r>
          <w:rPr>
            <w:noProof/>
            <w:webHidden/>
          </w:rPr>
          <w:t>257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3" w:history="1">
        <w:r w:rsidRPr="001B13A4">
          <w:rPr>
            <w:rStyle w:val="Hyperlink"/>
            <w:noProof/>
          </w:rPr>
          <w:t>2.1.617</w:t>
        </w:r>
        <w:r>
          <w:rPr>
            <w:rFonts w:asciiTheme="minorHAnsi" w:eastAsiaTheme="minorEastAsia" w:hAnsiTheme="minorHAnsi" w:cstheme="minorBidi"/>
            <w:noProof/>
            <w:sz w:val="22"/>
            <w:szCs w:val="22"/>
          </w:rPr>
          <w:tab/>
        </w:r>
        <w:r w:rsidRPr="001B13A4">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_Toc181683653 \h </w:instrText>
        </w:r>
        <w:r>
          <w:rPr>
            <w:noProof/>
            <w:webHidden/>
          </w:rPr>
        </w:r>
        <w:r>
          <w:rPr>
            <w:noProof/>
            <w:webHidden/>
          </w:rPr>
          <w:fldChar w:fldCharType="separate"/>
        </w:r>
        <w:r>
          <w:rPr>
            <w:noProof/>
            <w:webHidden/>
          </w:rPr>
          <w:t>257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4" w:history="1">
        <w:r w:rsidRPr="001B13A4">
          <w:rPr>
            <w:rStyle w:val="Hyperlink"/>
            <w:noProof/>
          </w:rPr>
          <w:t>2.1.618</w:t>
        </w:r>
        <w:r>
          <w:rPr>
            <w:rFonts w:asciiTheme="minorHAnsi" w:eastAsiaTheme="minorEastAsia" w:hAnsiTheme="minorHAnsi" w:cstheme="minorBidi"/>
            <w:noProof/>
            <w:sz w:val="22"/>
            <w:szCs w:val="22"/>
          </w:rPr>
          <w:tab/>
        </w:r>
        <w:r w:rsidRPr="001B13A4">
          <w:rPr>
            <w:rStyle w:val="Hyperlink"/>
            <w:noProof/>
          </w:rPr>
          <w:t>Part 1 Section 18.3.1.38, evenFooter (Even Page Footer)</w:t>
        </w:r>
        <w:r>
          <w:rPr>
            <w:noProof/>
            <w:webHidden/>
          </w:rPr>
          <w:tab/>
        </w:r>
        <w:r>
          <w:rPr>
            <w:noProof/>
            <w:webHidden/>
          </w:rPr>
          <w:fldChar w:fldCharType="begin"/>
        </w:r>
        <w:r>
          <w:rPr>
            <w:noProof/>
            <w:webHidden/>
          </w:rPr>
          <w:instrText xml:space="preserve"> PAGEREF _Toc181683654 \h </w:instrText>
        </w:r>
        <w:r>
          <w:rPr>
            <w:noProof/>
            <w:webHidden/>
          </w:rPr>
        </w:r>
        <w:r>
          <w:rPr>
            <w:noProof/>
            <w:webHidden/>
          </w:rPr>
          <w:fldChar w:fldCharType="separate"/>
        </w:r>
        <w:r>
          <w:rPr>
            <w:noProof/>
            <w:webHidden/>
          </w:rPr>
          <w:t>257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5" w:history="1">
        <w:r w:rsidRPr="001B13A4">
          <w:rPr>
            <w:rStyle w:val="Hyperlink"/>
            <w:noProof/>
          </w:rPr>
          <w:t>2.1.619</w:t>
        </w:r>
        <w:r>
          <w:rPr>
            <w:rFonts w:asciiTheme="minorHAnsi" w:eastAsiaTheme="minorEastAsia" w:hAnsiTheme="minorHAnsi" w:cstheme="minorBidi"/>
            <w:noProof/>
            <w:sz w:val="22"/>
            <w:szCs w:val="22"/>
          </w:rPr>
          <w:tab/>
        </w:r>
        <w:r w:rsidRPr="001B13A4">
          <w:rPr>
            <w:rStyle w:val="Hyperlink"/>
            <w:noProof/>
          </w:rPr>
          <w:t>Part 1 Section 18.3.1.39, evenHeader (Even Page Header)</w:t>
        </w:r>
        <w:r>
          <w:rPr>
            <w:noProof/>
            <w:webHidden/>
          </w:rPr>
          <w:tab/>
        </w:r>
        <w:r>
          <w:rPr>
            <w:noProof/>
            <w:webHidden/>
          </w:rPr>
          <w:fldChar w:fldCharType="begin"/>
        </w:r>
        <w:r>
          <w:rPr>
            <w:noProof/>
            <w:webHidden/>
          </w:rPr>
          <w:instrText xml:space="preserve"> PAGEREF _Toc181683655 \h </w:instrText>
        </w:r>
        <w:r>
          <w:rPr>
            <w:noProof/>
            <w:webHidden/>
          </w:rPr>
        </w:r>
        <w:r>
          <w:rPr>
            <w:noProof/>
            <w:webHidden/>
          </w:rPr>
          <w:fldChar w:fldCharType="separate"/>
        </w:r>
        <w:r>
          <w:rPr>
            <w:noProof/>
            <w:webHidden/>
          </w:rPr>
          <w:t>258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6" w:history="1">
        <w:r w:rsidRPr="001B13A4">
          <w:rPr>
            <w:rStyle w:val="Hyperlink"/>
            <w:noProof/>
          </w:rPr>
          <w:t>2.1.620</w:t>
        </w:r>
        <w:r>
          <w:rPr>
            <w:rFonts w:asciiTheme="minorHAnsi" w:eastAsiaTheme="minorEastAsia" w:hAnsiTheme="minorHAnsi" w:cstheme="minorBidi"/>
            <w:noProof/>
            <w:sz w:val="22"/>
            <w:szCs w:val="22"/>
          </w:rPr>
          <w:tab/>
        </w:r>
        <w:r w:rsidRPr="001B13A4">
          <w:rPr>
            <w:rStyle w:val="Hyperlink"/>
            <w:noProof/>
          </w:rPr>
          <w:t>Part 1 Section 18.3.1.40, f (Formula)</w:t>
        </w:r>
        <w:r>
          <w:rPr>
            <w:noProof/>
            <w:webHidden/>
          </w:rPr>
          <w:tab/>
        </w:r>
        <w:r>
          <w:rPr>
            <w:noProof/>
            <w:webHidden/>
          </w:rPr>
          <w:fldChar w:fldCharType="begin"/>
        </w:r>
        <w:r>
          <w:rPr>
            <w:noProof/>
            <w:webHidden/>
          </w:rPr>
          <w:instrText xml:space="preserve"> PAGEREF _Toc181683656 \h </w:instrText>
        </w:r>
        <w:r>
          <w:rPr>
            <w:noProof/>
            <w:webHidden/>
          </w:rPr>
        </w:r>
        <w:r>
          <w:rPr>
            <w:noProof/>
            <w:webHidden/>
          </w:rPr>
          <w:fldChar w:fldCharType="separate"/>
        </w:r>
        <w:r>
          <w:rPr>
            <w:noProof/>
            <w:webHidden/>
          </w:rPr>
          <w:t>260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7" w:history="1">
        <w:r w:rsidRPr="001B13A4">
          <w:rPr>
            <w:rStyle w:val="Hyperlink"/>
            <w:noProof/>
          </w:rPr>
          <w:t>2.1.621</w:t>
        </w:r>
        <w:r>
          <w:rPr>
            <w:rFonts w:asciiTheme="minorHAnsi" w:eastAsiaTheme="minorEastAsia" w:hAnsiTheme="minorHAnsi" w:cstheme="minorBidi"/>
            <w:noProof/>
            <w:sz w:val="22"/>
            <w:szCs w:val="22"/>
          </w:rPr>
          <w:tab/>
        </w:r>
        <w:r w:rsidRPr="001B13A4">
          <w:rPr>
            <w:rStyle w:val="Hyperlink"/>
            <w:noProof/>
          </w:rPr>
          <w:t>Part 1 Section 18.3.1.41, firstFooter (First Page Footer)</w:t>
        </w:r>
        <w:r>
          <w:rPr>
            <w:noProof/>
            <w:webHidden/>
          </w:rPr>
          <w:tab/>
        </w:r>
        <w:r>
          <w:rPr>
            <w:noProof/>
            <w:webHidden/>
          </w:rPr>
          <w:fldChar w:fldCharType="begin"/>
        </w:r>
        <w:r>
          <w:rPr>
            <w:noProof/>
            <w:webHidden/>
          </w:rPr>
          <w:instrText xml:space="preserve"> PAGEREF _Toc181683657 \h </w:instrText>
        </w:r>
        <w:r>
          <w:rPr>
            <w:noProof/>
            <w:webHidden/>
          </w:rPr>
        </w:r>
        <w:r>
          <w:rPr>
            <w:noProof/>
            <w:webHidden/>
          </w:rPr>
          <w:fldChar w:fldCharType="separate"/>
        </w:r>
        <w:r>
          <w:rPr>
            <w:noProof/>
            <w:webHidden/>
          </w:rPr>
          <w:t>262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8" w:history="1">
        <w:r w:rsidRPr="001B13A4">
          <w:rPr>
            <w:rStyle w:val="Hyperlink"/>
            <w:noProof/>
          </w:rPr>
          <w:t>2.1.622</w:t>
        </w:r>
        <w:r>
          <w:rPr>
            <w:rFonts w:asciiTheme="minorHAnsi" w:eastAsiaTheme="minorEastAsia" w:hAnsiTheme="minorHAnsi" w:cstheme="minorBidi"/>
            <w:noProof/>
            <w:sz w:val="22"/>
            <w:szCs w:val="22"/>
          </w:rPr>
          <w:tab/>
        </w:r>
        <w:r w:rsidRPr="001B13A4">
          <w:rPr>
            <w:rStyle w:val="Hyperlink"/>
            <w:noProof/>
          </w:rPr>
          <w:t>Part 1 Section 18.3.1.42, firstHeader (First Page Header)</w:t>
        </w:r>
        <w:r>
          <w:rPr>
            <w:noProof/>
            <w:webHidden/>
          </w:rPr>
          <w:tab/>
        </w:r>
        <w:r>
          <w:rPr>
            <w:noProof/>
            <w:webHidden/>
          </w:rPr>
          <w:fldChar w:fldCharType="begin"/>
        </w:r>
        <w:r>
          <w:rPr>
            <w:noProof/>
            <w:webHidden/>
          </w:rPr>
          <w:instrText xml:space="preserve"> PAGEREF _Toc181683658 \h </w:instrText>
        </w:r>
        <w:r>
          <w:rPr>
            <w:noProof/>
            <w:webHidden/>
          </w:rPr>
        </w:r>
        <w:r>
          <w:rPr>
            <w:noProof/>
            <w:webHidden/>
          </w:rPr>
          <w:fldChar w:fldCharType="separate"/>
        </w:r>
        <w:r>
          <w:rPr>
            <w:noProof/>
            <w:webHidden/>
          </w:rPr>
          <w:t>262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59" w:history="1">
        <w:r w:rsidRPr="001B13A4">
          <w:rPr>
            <w:rStyle w:val="Hyperlink"/>
            <w:noProof/>
          </w:rPr>
          <w:t>2.1.623</w:t>
        </w:r>
        <w:r>
          <w:rPr>
            <w:rFonts w:asciiTheme="minorHAnsi" w:eastAsiaTheme="minorEastAsia" w:hAnsiTheme="minorHAnsi" w:cstheme="minorBidi"/>
            <w:noProof/>
            <w:sz w:val="22"/>
            <w:szCs w:val="22"/>
          </w:rPr>
          <w:tab/>
        </w:r>
        <w:r w:rsidRPr="001B13A4">
          <w:rPr>
            <w:rStyle w:val="Hyperlink"/>
            <w:noProof/>
          </w:rPr>
          <w:t>Part 1 Section 18.3.1.43, formula (Formula)</w:t>
        </w:r>
        <w:r>
          <w:rPr>
            <w:noProof/>
            <w:webHidden/>
          </w:rPr>
          <w:tab/>
        </w:r>
        <w:r>
          <w:rPr>
            <w:noProof/>
            <w:webHidden/>
          </w:rPr>
          <w:fldChar w:fldCharType="begin"/>
        </w:r>
        <w:r>
          <w:rPr>
            <w:noProof/>
            <w:webHidden/>
          </w:rPr>
          <w:instrText xml:space="preserve"> PAGEREF _Toc181683659 \h </w:instrText>
        </w:r>
        <w:r>
          <w:rPr>
            <w:noProof/>
            <w:webHidden/>
          </w:rPr>
        </w:r>
        <w:r>
          <w:rPr>
            <w:noProof/>
            <w:webHidden/>
          </w:rPr>
          <w:fldChar w:fldCharType="separate"/>
        </w:r>
        <w:r>
          <w:rPr>
            <w:noProof/>
            <w:webHidden/>
          </w:rPr>
          <w:t>262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0" w:history="1">
        <w:r w:rsidRPr="001B13A4">
          <w:rPr>
            <w:rStyle w:val="Hyperlink"/>
            <w:noProof/>
          </w:rPr>
          <w:t>2.1.624</w:t>
        </w:r>
        <w:r>
          <w:rPr>
            <w:rFonts w:asciiTheme="minorHAnsi" w:eastAsiaTheme="minorEastAsia" w:hAnsiTheme="minorHAnsi" w:cstheme="minorBidi"/>
            <w:noProof/>
            <w:sz w:val="22"/>
            <w:szCs w:val="22"/>
          </w:rPr>
          <w:tab/>
        </w:r>
        <w:r w:rsidRPr="001B13A4">
          <w:rPr>
            <w:rStyle w:val="Hyperlink"/>
            <w:noProof/>
          </w:rPr>
          <w:t>Part 1 Section 18.3.1.44, formula1 (Formula 1)</w:t>
        </w:r>
        <w:r>
          <w:rPr>
            <w:noProof/>
            <w:webHidden/>
          </w:rPr>
          <w:tab/>
        </w:r>
        <w:r>
          <w:rPr>
            <w:noProof/>
            <w:webHidden/>
          </w:rPr>
          <w:fldChar w:fldCharType="begin"/>
        </w:r>
        <w:r>
          <w:rPr>
            <w:noProof/>
            <w:webHidden/>
          </w:rPr>
          <w:instrText xml:space="preserve"> PAGEREF _Toc181683660 \h </w:instrText>
        </w:r>
        <w:r>
          <w:rPr>
            <w:noProof/>
            <w:webHidden/>
          </w:rPr>
        </w:r>
        <w:r>
          <w:rPr>
            <w:noProof/>
            <w:webHidden/>
          </w:rPr>
          <w:fldChar w:fldCharType="separate"/>
        </w:r>
        <w:r>
          <w:rPr>
            <w:noProof/>
            <w:webHidden/>
          </w:rPr>
          <w:t>262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1" w:history="1">
        <w:r w:rsidRPr="001B13A4">
          <w:rPr>
            <w:rStyle w:val="Hyperlink"/>
            <w:noProof/>
          </w:rPr>
          <w:t>2.1.625</w:t>
        </w:r>
        <w:r>
          <w:rPr>
            <w:rFonts w:asciiTheme="minorHAnsi" w:eastAsiaTheme="minorEastAsia" w:hAnsiTheme="minorHAnsi" w:cstheme="minorBidi"/>
            <w:noProof/>
            <w:sz w:val="22"/>
            <w:szCs w:val="22"/>
          </w:rPr>
          <w:tab/>
        </w:r>
        <w:r w:rsidRPr="001B13A4">
          <w:rPr>
            <w:rStyle w:val="Hyperlink"/>
            <w:noProof/>
          </w:rPr>
          <w:t>Part 1 Section 18.3.1.45, formula2 (Formula 2)</w:t>
        </w:r>
        <w:r>
          <w:rPr>
            <w:noProof/>
            <w:webHidden/>
          </w:rPr>
          <w:tab/>
        </w:r>
        <w:r>
          <w:rPr>
            <w:noProof/>
            <w:webHidden/>
          </w:rPr>
          <w:fldChar w:fldCharType="begin"/>
        </w:r>
        <w:r>
          <w:rPr>
            <w:noProof/>
            <w:webHidden/>
          </w:rPr>
          <w:instrText xml:space="preserve"> PAGEREF _Toc181683661 \h </w:instrText>
        </w:r>
        <w:r>
          <w:rPr>
            <w:noProof/>
            <w:webHidden/>
          </w:rPr>
        </w:r>
        <w:r>
          <w:rPr>
            <w:noProof/>
            <w:webHidden/>
          </w:rPr>
          <w:fldChar w:fldCharType="separate"/>
        </w:r>
        <w:r>
          <w:rPr>
            <w:noProof/>
            <w:webHidden/>
          </w:rPr>
          <w:t>263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2" w:history="1">
        <w:r w:rsidRPr="001B13A4">
          <w:rPr>
            <w:rStyle w:val="Hyperlink"/>
            <w:noProof/>
          </w:rPr>
          <w:t>2.1.626</w:t>
        </w:r>
        <w:r>
          <w:rPr>
            <w:rFonts w:asciiTheme="minorHAnsi" w:eastAsiaTheme="minorEastAsia" w:hAnsiTheme="minorHAnsi" w:cstheme="minorBidi"/>
            <w:noProof/>
            <w:sz w:val="22"/>
            <w:szCs w:val="22"/>
          </w:rPr>
          <w:tab/>
        </w:r>
        <w:r w:rsidRPr="001B13A4">
          <w:rPr>
            <w:rStyle w:val="Hyperlink"/>
            <w:noProof/>
          </w:rPr>
          <w:t>Part 1 Section 18.3.1.47, hyperlink (Hyperlink)</w:t>
        </w:r>
        <w:r>
          <w:rPr>
            <w:noProof/>
            <w:webHidden/>
          </w:rPr>
          <w:tab/>
        </w:r>
        <w:r>
          <w:rPr>
            <w:noProof/>
            <w:webHidden/>
          </w:rPr>
          <w:fldChar w:fldCharType="begin"/>
        </w:r>
        <w:r>
          <w:rPr>
            <w:noProof/>
            <w:webHidden/>
          </w:rPr>
          <w:instrText xml:space="preserve"> PAGEREF _Toc181683662 \h </w:instrText>
        </w:r>
        <w:r>
          <w:rPr>
            <w:noProof/>
            <w:webHidden/>
          </w:rPr>
        </w:r>
        <w:r>
          <w:rPr>
            <w:noProof/>
            <w:webHidden/>
          </w:rPr>
          <w:fldChar w:fldCharType="separate"/>
        </w:r>
        <w:r>
          <w:rPr>
            <w:noProof/>
            <w:webHidden/>
          </w:rPr>
          <w:t>263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3" w:history="1">
        <w:r w:rsidRPr="001B13A4">
          <w:rPr>
            <w:rStyle w:val="Hyperlink"/>
            <w:noProof/>
          </w:rPr>
          <w:t>2.1.627</w:t>
        </w:r>
        <w:r>
          <w:rPr>
            <w:rFonts w:asciiTheme="minorHAnsi" w:eastAsiaTheme="minorEastAsia" w:hAnsiTheme="minorHAnsi" w:cstheme="minorBidi"/>
            <w:noProof/>
            <w:sz w:val="22"/>
            <w:szCs w:val="22"/>
          </w:rPr>
          <w:tab/>
        </w:r>
        <w:r w:rsidRPr="001B13A4">
          <w:rPr>
            <w:rStyle w:val="Hyperlink"/>
            <w:noProof/>
          </w:rPr>
          <w:t>Part 1 Section 18.3.1.50, ignoredError (Ignored Error)</w:t>
        </w:r>
        <w:r>
          <w:rPr>
            <w:noProof/>
            <w:webHidden/>
          </w:rPr>
          <w:tab/>
        </w:r>
        <w:r>
          <w:rPr>
            <w:noProof/>
            <w:webHidden/>
          </w:rPr>
          <w:fldChar w:fldCharType="begin"/>
        </w:r>
        <w:r>
          <w:rPr>
            <w:noProof/>
            <w:webHidden/>
          </w:rPr>
          <w:instrText xml:space="preserve"> PAGEREF _Toc181683663 \h </w:instrText>
        </w:r>
        <w:r>
          <w:rPr>
            <w:noProof/>
            <w:webHidden/>
          </w:rPr>
        </w:r>
        <w:r>
          <w:rPr>
            <w:noProof/>
            <w:webHidden/>
          </w:rPr>
          <w:fldChar w:fldCharType="separate"/>
        </w:r>
        <w:r>
          <w:rPr>
            <w:noProof/>
            <w:webHidden/>
          </w:rPr>
          <w:t>263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4" w:history="1">
        <w:r w:rsidRPr="001B13A4">
          <w:rPr>
            <w:rStyle w:val="Hyperlink"/>
            <w:noProof/>
          </w:rPr>
          <w:t>2.1.628</w:t>
        </w:r>
        <w:r>
          <w:rPr>
            <w:rFonts w:asciiTheme="minorHAnsi" w:eastAsiaTheme="minorEastAsia" w:hAnsiTheme="minorHAnsi" w:cstheme="minorBidi"/>
            <w:noProof/>
            <w:sz w:val="22"/>
            <w:szCs w:val="22"/>
          </w:rPr>
          <w:tab/>
        </w:r>
        <w:r w:rsidRPr="001B13A4">
          <w:rPr>
            <w:rStyle w:val="Hyperlink"/>
            <w:noProof/>
          </w:rPr>
          <w:t>Part 1 Section 18.3.1.51, ignoredErrors (Ignored Errors)</w:t>
        </w:r>
        <w:r>
          <w:rPr>
            <w:noProof/>
            <w:webHidden/>
          </w:rPr>
          <w:tab/>
        </w:r>
        <w:r>
          <w:rPr>
            <w:noProof/>
            <w:webHidden/>
          </w:rPr>
          <w:fldChar w:fldCharType="begin"/>
        </w:r>
        <w:r>
          <w:rPr>
            <w:noProof/>
            <w:webHidden/>
          </w:rPr>
          <w:instrText xml:space="preserve"> PAGEREF _Toc181683664 \h </w:instrText>
        </w:r>
        <w:r>
          <w:rPr>
            <w:noProof/>
            <w:webHidden/>
          </w:rPr>
        </w:r>
        <w:r>
          <w:rPr>
            <w:noProof/>
            <w:webHidden/>
          </w:rPr>
          <w:fldChar w:fldCharType="separate"/>
        </w:r>
        <w:r>
          <w:rPr>
            <w:noProof/>
            <w:webHidden/>
          </w:rPr>
          <w:t>263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5" w:history="1">
        <w:r w:rsidRPr="001B13A4">
          <w:rPr>
            <w:rStyle w:val="Hyperlink"/>
            <w:noProof/>
          </w:rPr>
          <w:t>2.1.629</w:t>
        </w:r>
        <w:r>
          <w:rPr>
            <w:rFonts w:asciiTheme="minorHAnsi" w:eastAsiaTheme="minorEastAsia" w:hAnsiTheme="minorHAnsi" w:cstheme="minorBidi"/>
            <w:noProof/>
            <w:sz w:val="22"/>
            <w:szCs w:val="22"/>
          </w:rPr>
          <w:tab/>
        </w:r>
        <w:r w:rsidRPr="001B13A4">
          <w:rPr>
            <w:rStyle w:val="Hyperlink"/>
            <w:noProof/>
          </w:rPr>
          <w:t>Part 1 Section 18.3.1.52, inputCells (Input Cells)</w:t>
        </w:r>
        <w:r>
          <w:rPr>
            <w:noProof/>
            <w:webHidden/>
          </w:rPr>
          <w:tab/>
        </w:r>
        <w:r>
          <w:rPr>
            <w:noProof/>
            <w:webHidden/>
          </w:rPr>
          <w:fldChar w:fldCharType="begin"/>
        </w:r>
        <w:r>
          <w:rPr>
            <w:noProof/>
            <w:webHidden/>
          </w:rPr>
          <w:instrText xml:space="preserve"> PAGEREF _Toc181683665 \h </w:instrText>
        </w:r>
        <w:r>
          <w:rPr>
            <w:noProof/>
            <w:webHidden/>
          </w:rPr>
        </w:r>
        <w:r>
          <w:rPr>
            <w:noProof/>
            <w:webHidden/>
          </w:rPr>
          <w:fldChar w:fldCharType="separate"/>
        </w:r>
        <w:r>
          <w:rPr>
            <w:noProof/>
            <w:webHidden/>
          </w:rPr>
          <w:t>263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6" w:history="1">
        <w:r w:rsidRPr="001B13A4">
          <w:rPr>
            <w:rStyle w:val="Hyperlink"/>
            <w:noProof/>
          </w:rPr>
          <w:t>2.1.630</w:t>
        </w:r>
        <w:r>
          <w:rPr>
            <w:rFonts w:asciiTheme="minorHAnsi" w:eastAsiaTheme="minorEastAsia" w:hAnsiTheme="minorHAnsi" w:cstheme="minorBidi"/>
            <w:noProof/>
            <w:sz w:val="22"/>
            <w:szCs w:val="22"/>
          </w:rPr>
          <w:tab/>
        </w:r>
        <w:r w:rsidRPr="001B13A4">
          <w:rPr>
            <w:rStyle w:val="Hyperlink"/>
            <w:noProof/>
          </w:rPr>
          <w:t>Part 1 Section 18.3.1.53, is (Rich Text Inline)</w:t>
        </w:r>
        <w:r>
          <w:rPr>
            <w:noProof/>
            <w:webHidden/>
          </w:rPr>
          <w:tab/>
        </w:r>
        <w:r>
          <w:rPr>
            <w:noProof/>
            <w:webHidden/>
          </w:rPr>
          <w:fldChar w:fldCharType="begin"/>
        </w:r>
        <w:r>
          <w:rPr>
            <w:noProof/>
            <w:webHidden/>
          </w:rPr>
          <w:instrText xml:space="preserve"> PAGEREF _Toc181683666 \h </w:instrText>
        </w:r>
        <w:r>
          <w:rPr>
            <w:noProof/>
            <w:webHidden/>
          </w:rPr>
        </w:r>
        <w:r>
          <w:rPr>
            <w:noProof/>
            <w:webHidden/>
          </w:rPr>
          <w:fldChar w:fldCharType="separate"/>
        </w:r>
        <w:r>
          <w:rPr>
            <w:noProof/>
            <w:webHidden/>
          </w:rPr>
          <w:t>264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7" w:history="1">
        <w:r w:rsidRPr="001B13A4">
          <w:rPr>
            <w:rStyle w:val="Hyperlink"/>
            <w:noProof/>
          </w:rPr>
          <w:t>2.1.631</w:t>
        </w:r>
        <w:r>
          <w:rPr>
            <w:rFonts w:asciiTheme="minorHAnsi" w:eastAsiaTheme="minorEastAsia" w:hAnsiTheme="minorHAnsi" w:cstheme="minorBidi"/>
            <w:noProof/>
            <w:sz w:val="22"/>
            <w:szCs w:val="22"/>
          </w:rPr>
          <w:tab/>
        </w:r>
        <w:r w:rsidRPr="001B13A4">
          <w:rPr>
            <w:rStyle w:val="Hyperlink"/>
            <w:noProof/>
          </w:rPr>
          <w:t>Part 1 Section 18.3.1.55, mergeCells (Merge Cells)</w:t>
        </w:r>
        <w:r>
          <w:rPr>
            <w:noProof/>
            <w:webHidden/>
          </w:rPr>
          <w:tab/>
        </w:r>
        <w:r>
          <w:rPr>
            <w:noProof/>
            <w:webHidden/>
          </w:rPr>
          <w:fldChar w:fldCharType="begin"/>
        </w:r>
        <w:r>
          <w:rPr>
            <w:noProof/>
            <w:webHidden/>
          </w:rPr>
          <w:instrText xml:space="preserve"> PAGEREF _Toc181683667 \h </w:instrText>
        </w:r>
        <w:r>
          <w:rPr>
            <w:noProof/>
            <w:webHidden/>
          </w:rPr>
        </w:r>
        <w:r>
          <w:rPr>
            <w:noProof/>
            <w:webHidden/>
          </w:rPr>
          <w:fldChar w:fldCharType="separate"/>
        </w:r>
        <w:r>
          <w:rPr>
            <w:noProof/>
            <w:webHidden/>
          </w:rPr>
          <w:t>264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8" w:history="1">
        <w:r w:rsidRPr="001B13A4">
          <w:rPr>
            <w:rStyle w:val="Hyperlink"/>
            <w:noProof/>
          </w:rPr>
          <w:t>2.1.632</w:t>
        </w:r>
        <w:r>
          <w:rPr>
            <w:rFonts w:asciiTheme="minorHAnsi" w:eastAsiaTheme="minorEastAsia" w:hAnsiTheme="minorHAnsi" w:cstheme="minorBidi"/>
            <w:noProof/>
            <w:sz w:val="22"/>
            <w:szCs w:val="22"/>
          </w:rPr>
          <w:tab/>
        </w:r>
        <w:r w:rsidRPr="001B13A4">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_Toc181683668 \h </w:instrText>
        </w:r>
        <w:r>
          <w:rPr>
            <w:noProof/>
            <w:webHidden/>
          </w:rPr>
        </w:r>
        <w:r>
          <w:rPr>
            <w:noProof/>
            <w:webHidden/>
          </w:rPr>
          <w:fldChar w:fldCharType="separate"/>
        </w:r>
        <w:r>
          <w:rPr>
            <w:noProof/>
            <w:webHidden/>
          </w:rPr>
          <w:t>264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69" w:history="1">
        <w:r w:rsidRPr="001B13A4">
          <w:rPr>
            <w:rStyle w:val="Hyperlink"/>
            <w:noProof/>
          </w:rPr>
          <w:t>2.1.633</w:t>
        </w:r>
        <w:r>
          <w:rPr>
            <w:rFonts w:asciiTheme="minorHAnsi" w:eastAsiaTheme="minorEastAsia" w:hAnsiTheme="minorHAnsi" w:cstheme="minorBidi"/>
            <w:noProof/>
            <w:sz w:val="22"/>
            <w:szCs w:val="22"/>
          </w:rPr>
          <w:tab/>
        </w:r>
        <w:r w:rsidRPr="001B13A4">
          <w:rPr>
            <w:rStyle w:val="Hyperlink"/>
            <w:noProof/>
          </w:rPr>
          <w:t>Part 1 Section 18.3.1.57, oddFooter (Odd Page Footer)</w:t>
        </w:r>
        <w:r>
          <w:rPr>
            <w:noProof/>
            <w:webHidden/>
          </w:rPr>
          <w:tab/>
        </w:r>
        <w:r>
          <w:rPr>
            <w:noProof/>
            <w:webHidden/>
          </w:rPr>
          <w:fldChar w:fldCharType="begin"/>
        </w:r>
        <w:r>
          <w:rPr>
            <w:noProof/>
            <w:webHidden/>
          </w:rPr>
          <w:instrText xml:space="preserve"> PAGEREF _Toc181683669 \h </w:instrText>
        </w:r>
        <w:r>
          <w:rPr>
            <w:noProof/>
            <w:webHidden/>
          </w:rPr>
        </w:r>
        <w:r>
          <w:rPr>
            <w:noProof/>
            <w:webHidden/>
          </w:rPr>
          <w:fldChar w:fldCharType="separate"/>
        </w:r>
        <w:r>
          <w:rPr>
            <w:noProof/>
            <w:webHidden/>
          </w:rPr>
          <w:t>264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0" w:history="1">
        <w:r w:rsidRPr="001B13A4">
          <w:rPr>
            <w:rStyle w:val="Hyperlink"/>
            <w:noProof/>
          </w:rPr>
          <w:t>2.1.634</w:t>
        </w:r>
        <w:r>
          <w:rPr>
            <w:rFonts w:asciiTheme="minorHAnsi" w:eastAsiaTheme="minorEastAsia" w:hAnsiTheme="minorHAnsi" w:cstheme="minorBidi"/>
            <w:noProof/>
            <w:sz w:val="22"/>
            <w:szCs w:val="22"/>
          </w:rPr>
          <w:tab/>
        </w:r>
        <w:r w:rsidRPr="001B13A4">
          <w:rPr>
            <w:rStyle w:val="Hyperlink"/>
            <w:noProof/>
          </w:rPr>
          <w:t>Part 1 Section 18.3.1.58, oddHeader (Odd Header)</w:t>
        </w:r>
        <w:r>
          <w:rPr>
            <w:noProof/>
            <w:webHidden/>
          </w:rPr>
          <w:tab/>
        </w:r>
        <w:r>
          <w:rPr>
            <w:noProof/>
            <w:webHidden/>
          </w:rPr>
          <w:fldChar w:fldCharType="begin"/>
        </w:r>
        <w:r>
          <w:rPr>
            <w:noProof/>
            <w:webHidden/>
          </w:rPr>
          <w:instrText xml:space="preserve"> PAGEREF _Toc181683670 \h </w:instrText>
        </w:r>
        <w:r>
          <w:rPr>
            <w:noProof/>
            <w:webHidden/>
          </w:rPr>
        </w:r>
        <w:r>
          <w:rPr>
            <w:noProof/>
            <w:webHidden/>
          </w:rPr>
          <w:fldChar w:fldCharType="separate"/>
        </w:r>
        <w:r>
          <w:rPr>
            <w:noProof/>
            <w:webHidden/>
          </w:rPr>
          <w:t>264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1" w:history="1">
        <w:r w:rsidRPr="001B13A4">
          <w:rPr>
            <w:rStyle w:val="Hyperlink"/>
            <w:noProof/>
          </w:rPr>
          <w:t>2.1.635</w:t>
        </w:r>
        <w:r>
          <w:rPr>
            <w:rFonts w:asciiTheme="minorHAnsi" w:eastAsiaTheme="minorEastAsia" w:hAnsiTheme="minorHAnsi" w:cstheme="minorBidi"/>
            <w:noProof/>
            <w:sz w:val="22"/>
            <w:szCs w:val="22"/>
          </w:rPr>
          <w:tab/>
        </w:r>
        <w:r w:rsidRPr="001B13A4">
          <w:rPr>
            <w:rStyle w:val="Hyperlink"/>
            <w:noProof/>
          </w:rPr>
          <w:t>Part 1 Section 18.3.1.59, oleObject (Embedded Object)</w:t>
        </w:r>
        <w:r>
          <w:rPr>
            <w:noProof/>
            <w:webHidden/>
          </w:rPr>
          <w:tab/>
        </w:r>
        <w:r>
          <w:rPr>
            <w:noProof/>
            <w:webHidden/>
          </w:rPr>
          <w:fldChar w:fldCharType="begin"/>
        </w:r>
        <w:r>
          <w:rPr>
            <w:noProof/>
            <w:webHidden/>
          </w:rPr>
          <w:instrText xml:space="preserve"> PAGEREF _Toc181683671 \h </w:instrText>
        </w:r>
        <w:r>
          <w:rPr>
            <w:noProof/>
            <w:webHidden/>
          </w:rPr>
        </w:r>
        <w:r>
          <w:rPr>
            <w:noProof/>
            <w:webHidden/>
          </w:rPr>
          <w:fldChar w:fldCharType="separate"/>
        </w:r>
        <w:r>
          <w:rPr>
            <w:noProof/>
            <w:webHidden/>
          </w:rPr>
          <w:t>264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2" w:history="1">
        <w:r w:rsidRPr="001B13A4">
          <w:rPr>
            <w:rStyle w:val="Hyperlink"/>
            <w:noProof/>
          </w:rPr>
          <w:t>2.1.636</w:t>
        </w:r>
        <w:r>
          <w:rPr>
            <w:rFonts w:asciiTheme="minorHAnsi" w:eastAsiaTheme="minorEastAsia" w:hAnsiTheme="minorHAnsi" w:cstheme="minorBidi"/>
            <w:noProof/>
            <w:sz w:val="22"/>
            <w:szCs w:val="22"/>
          </w:rPr>
          <w:tab/>
        </w:r>
        <w:r w:rsidRPr="001B13A4">
          <w:rPr>
            <w:rStyle w:val="Hyperlink"/>
            <w:noProof/>
          </w:rPr>
          <w:t>Part 1 Section 18.3.1.60, oleObjects (Embedded Objects)</w:t>
        </w:r>
        <w:r>
          <w:rPr>
            <w:noProof/>
            <w:webHidden/>
          </w:rPr>
          <w:tab/>
        </w:r>
        <w:r>
          <w:rPr>
            <w:noProof/>
            <w:webHidden/>
          </w:rPr>
          <w:fldChar w:fldCharType="begin"/>
        </w:r>
        <w:r>
          <w:rPr>
            <w:noProof/>
            <w:webHidden/>
          </w:rPr>
          <w:instrText xml:space="preserve"> PAGEREF _Toc181683672 \h </w:instrText>
        </w:r>
        <w:r>
          <w:rPr>
            <w:noProof/>
            <w:webHidden/>
          </w:rPr>
        </w:r>
        <w:r>
          <w:rPr>
            <w:noProof/>
            <w:webHidden/>
          </w:rPr>
          <w:fldChar w:fldCharType="separate"/>
        </w:r>
        <w:r>
          <w:rPr>
            <w:noProof/>
            <w:webHidden/>
          </w:rPr>
          <w:t>265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3" w:history="1">
        <w:r w:rsidRPr="001B13A4">
          <w:rPr>
            <w:rStyle w:val="Hyperlink"/>
            <w:noProof/>
          </w:rPr>
          <w:t>2.1.637</w:t>
        </w:r>
        <w:r>
          <w:rPr>
            <w:rFonts w:asciiTheme="minorHAnsi" w:eastAsiaTheme="minorEastAsia" w:hAnsiTheme="minorHAnsi" w:cstheme="minorBidi"/>
            <w:noProof/>
            <w:sz w:val="22"/>
            <w:szCs w:val="22"/>
          </w:rPr>
          <w:tab/>
        </w:r>
        <w:r w:rsidRPr="001B13A4">
          <w:rPr>
            <w:rStyle w:val="Hyperlink"/>
            <w:noProof/>
          </w:rPr>
          <w:t>Part 1 Section 18.3.1.62, pageMargins (Page Margins)</w:t>
        </w:r>
        <w:r>
          <w:rPr>
            <w:noProof/>
            <w:webHidden/>
          </w:rPr>
          <w:tab/>
        </w:r>
        <w:r>
          <w:rPr>
            <w:noProof/>
            <w:webHidden/>
          </w:rPr>
          <w:fldChar w:fldCharType="begin"/>
        </w:r>
        <w:r>
          <w:rPr>
            <w:noProof/>
            <w:webHidden/>
          </w:rPr>
          <w:instrText xml:space="preserve"> PAGEREF _Toc181683673 \h </w:instrText>
        </w:r>
        <w:r>
          <w:rPr>
            <w:noProof/>
            <w:webHidden/>
          </w:rPr>
        </w:r>
        <w:r>
          <w:rPr>
            <w:noProof/>
            <w:webHidden/>
          </w:rPr>
          <w:fldChar w:fldCharType="separate"/>
        </w:r>
        <w:r>
          <w:rPr>
            <w:noProof/>
            <w:webHidden/>
          </w:rPr>
          <w:t>265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4" w:history="1">
        <w:r w:rsidRPr="001B13A4">
          <w:rPr>
            <w:rStyle w:val="Hyperlink"/>
            <w:noProof/>
          </w:rPr>
          <w:t>2.1.638</w:t>
        </w:r>
        <w:r>
          <w:rPr>
            <w:rFonts w:asciiTheme="minorHAnsi" w:eastAsiaTheme="minorEastAsia" w:hAnsiTheme="minorHAnsi" w:cstheme="minorBidi"/>
            <w:noProof/>
            <w:sz w:val="22"/>
            <w:szCs w:val="22"/>
          </w:rPr>
          <w:tab/>
        </w:r>
        <w:r w:rsidRPr="001B13A4">
          <w:rPr>
            <w:rStyle w:val="Hyperlink"/>
            <w:noProof/>
          </w:rPr>
          <w:t>Part 1 Section 18.3.1.63, pageSetup (Page Setup Settings)</w:t>
        </w:r>
        <w:r>
          <w:rPr>
            <w:noProof/>
            <w:webHidden/>
          </w:rPr>
          <w:tab/>
        </w:r>
        <w:r>
          <w:rPr>
            <w:noProof/>
            <w:webHidden/>
          </w:rPr>
          <w:fldChar w:fldCharType="begin"/>
        </w:r>
        <w:r>
          <w:rPr>
            <w:noProof/>
            <w:webHidden/>
          </w:rPr>
          <w:instrText xml:space="preserve"> PAGEREF _Toc181683674 \h </w:instrText>
        </w:r>
        <w:r>
          <w:rPr>
            <w:noProof/>
            <w:webHidden/>
          </w:rPr>
        </w:r>
        <w:r>
          <w:rPr>
            <w:noProof/>
            <w:webHidden/>
          </w:rPr>
          <w:fldChar w:fldCharType="separate"/>
        </w:r>
        <w:r>
          <w:rPr>
            <w:noProof/>
            <w:webHidden/>
          </w:rPr>
          <w:t>266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5" w:history="1">
        <w:r w:rsidRPr="001B13A4">
          <w:rPr>
            <w:rStyle w:val="Hyperlink"/>
            <w:noProof/>
          </w:rPr>
          <w:t>2.1.639</w:t>
        </w:r>
        <w:r>
          <w:rPr>
            <w:rFonts w:asciiTheme="minorHAnsi" w:eastAsiaTheme="minorEastAsia" w:hAnsiTheme="minorHAnsi" w:cstheme="minorBidi"/>
            <w:noProof/>
            <w:sz w:val="22"/>
            <w:szCs w:val="22"/>
          </w:rPr>
          <w:tab/>
        </w:r>
        <w:r w:rsidRPr="001B13A4">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_Toc181683675 \h </w:instrText>
        </w:r>
        <w:r>
          <w:rPr>
            <w:noProof/>
            <w:webHidden/>
          </w:rPr>
        </w:r>
        <w:r>
          <w:rPr>
            <w:noProof/>
            <w:webHidden/>
          </w:rPr>
          <w:fldChar w:fldCharType="separate"/>
        </w:r>
        <w:r>
          <w:rPr>
            <w:noProof/>
            <w:webHidden/>
          </w:rPr>
          <w:t>270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6" w:history="1">
        <w:r w:rsidRPr="001B13A4">
          <w:rPr>
            <w:rStyle w:val="Hyperlink"/>
            <w:noProof/>
          </w:rPr>
          <w:t>2.1.640</w:t>
        </w:r>
        <w:r>
          <w:rPr>
            <w:rFonts w:asciiTheme="minorHAnsi" w:eastAsiaTheme="minorEastAsia" w:hAnsiTheme="minorHAnsi" w:cstheme="minorBidi"/>
            <w:noProof/>
            <w:sz w:val="22"/>
            <w:szCs w:val="22"/>
          </w:rPr>
          <w:tab/>
        </w:r>
        <w:r w:rsidRPr="001B13A4">
          <w:rPr>
            <w:rStyle w:val="Hyperlink"/>
            <w:noProof/>
          </w:rPr>
          <w:t>Part 1 Section 18.3.1.66, pane (View Pane)</w:t>
        </w:r>
        <w:r>
          <w:rPr>
            <w:noProof/>
            <w:webHidden/>
          </w:rPr>
          <w:tab/>
        </w:r>
        <w:r>
          <w:rPr>
            <w:noProof/>
            <w:webHidden/>
          </w:rPr>
          <w:fldChar w:fldCharType="begin"/>
        </w:r>
        <w:r>
          <w:rPr>
            <w:noProof/>
            <w:webHidden/>
          </w:rPr>
          <w:instrText xml:space="preserve"> PAGEREF _Toc181683676 \h </w:instrText>
        </w:r>
        <w:r>
          <w:rPr>
            <w:noProof/>
            <w:webHidden/>
          </w:rPr>
        </w:r>
        <w:r>
          <w:rPr>
            <w:noProof/>
            <w:webHidden/>
          </w:rPr>
          <w:fldChar w:fldCharType="separate"/>
        </w:r>
        <w:r>
          <w:rPr>
            <w:noProof/>
            <w:webHidden/>
          </w:rPr>
          <w:t>275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7" w:history="1">
        <w:r w:rsidRPr="001B13A4">
          <w:rPr>
            <w:rStyle w:val="Hyperlink"/>
            <w:noProof/>
          </w:rPr>
          <w:t>2.1.641</w:t>
        </w:r>
        <w:r>
          <w:rPr>
            <w:rFonts w:asciiTheme="minorHAnsi" w:eastAsiaTheme="minorEastAsia" w:hAnsiTheme="minorHAnsi" w:cstheme="minorBidi"/>
            <w:noProof/>
            <w:sz w:val="22"/>
            <w:szCs w:val="22"/>
          </w:rPr>
          <w:tab/>
        </w:r>
        <w:r w:rsidRPr="001B13A4">
          <w:rPr>
            <w:rStyle w:val="Hyperlink"/>
            <w:noProof/>
          </w:rPr>
          <w:t>Part 1 Section 18.3.1.68, pivotArea (Pivot Area)</w:t>
        </w:r>
        <w:r>
          <w:rPr>
            <w:noProof/>
            <w:webHidden/>
          </w:rPr>
          <w:tab/>
        </w:r>
        <w:r>
          <w:rPr>
            <w:noProof/>
            <w:webHidden/>
          </w:rPr>
          <w:fldChar w:fldCharType="begin"/>
        </w:r>
        <w:r>
          <w:rPr>
            <w:noProof/>
            <w:webHidden/>
          </w:rPr>
          <w:instrText xml:space="preserve"> PAGEREF _Toc181683677 \h </w:instrText>
        </w:r>
        <w:r>
          <w:rPr>
            <w:noProof/>
            <w:webHidden/>
          </w:rPr>
        </w:r>
        <w:r>
          <w:rPr>
            <w:noProof/>
            <w:webHidden/>
          </w:rPr>
          <w:fldChar w:fldCharType="separate"/>
        </w:r>
        <w:r>
          <w:rPr>
            <w:noProof/>
            <w:webHidden/>
          </w:rPr>
          <w:t>275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8" w:history="1">
        <w:r w:rsidRPr="001B13A4">
          <w:rPr>
            <w:rStyle w:val="Hyperlink"/>
            <w:noProof/>
          </w:rPr>
          <w:t>2.1.642</w:t>
        </w:r>
        <w:r>
          <w:rPr>
            <w:rFonts w:asciiTheme="minorHAnsi" w:eastAsiaTheme="minorEastAsia" w:hAnsiTheme="minorHAnsi" w:cstheme="minorBidi"/>
            <w:noProof/>
            <w:sz w:val="22"/>
            <w:szCs w:val="22"/>
          </w:rPr>
          <w:tab/>
        </w:r>
        <w:r w:rsidRPr="001B13A4">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_Toc181683678 \h </w:instrText>
        </w:r>
        <w:r>
          <w:rPr>
            <w:noProof/>
            <w:webHidden/>
          </w:rPr>
        </w:r>
        <w:r>
          <w:rPr>
            <w:noProof/>
            <w:webHidden/>
          </w:rPr>
          <w:fldChar w:fldCharType="separate"/>
        </w:r>
        <w:r>
          <w:rPr>
            <w:noProof/>
            <w:webHidden/>
          </w:rPr>
          <w:t>276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79" w:history="1">
        <w:r w:rsidRPr="001B13A4">
          <w:rPr>
            <w:rStyle w:val="Hyperlink"/>
            <w:noProof/>
          </w:rPr>
          <w:t>2.1.643</w:t>
        </w:r>
        <w:r>
          <w:rPr>
            <w:rFonts w:asciiTheme="minorHAnsi" w:eastAsiaTheme="minorEastAsia" w:hAnsiTheme="minorHAnsi" w:cstheme="minorBidi"/>
            <w:noProof/>
            <w:sz w:val="22"/>
            <w:szCs w:val="22"/>
          </w:rPr>
          <w:tab/>
        </w:r>
        <w:r w:rsidRPr="001B13A4">
          <w:rPr>
            <w:rStyle w:val="Hyperlink"/>
            <w:noProof/>
          </w:rPr>
          <w:t>Part 1 Section 18.3.1.71, protectedRange (Protected Range)</w:t>
        </w:r>
        <w:r>
          <w:rPr>
            <w:noProof/>
            <w:webHidden/>
          </w:rPr>
          <w:tab/>
        </w:r>
        <w:r>
          <w:rPr>
            <w:noProof/>
            <w:webHidden/>
          </w:rPr>
          <w:fldChar w:fldCharType="begin"/>
        </w:r>
        <w:r>
          <w:rPr>
            <w:noProof/>
            <w:webHidden/>
          </w:rPr>
          <w:instrText xml:space="preserve"> PAGEREF _Toc181683679 \h </w:instrText>
        </w:r>
        <w:r>
          <w:rPr>
            <w:noProof/>
            <w:webHidden/>
          </w:rPr>
        </w:r>
        <w:r>
          <w:rPr>
            <w:noProof/>
            <w:webHidden/>
          </w:rPr>
          <w:fldChar w:fldCharType="separate"/>
        </w:r>
        <w:r>
          <w:rPr>
            <w:noProof/>
            <w:webHidden/>
          </w:rPr>
          <w:t>277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0" w:history="1">
        <w:r w:rsidRPr="001B13A4">
          <w:rPr>
            <w:rStyle w:val="Hyperlink"/>
            <w:noProof/>
          </w:rPr>
          <w:t>2.1.644</w:t>
        </w:r>
        <w:r>
          <w:rPr>
            <w:rFonts w:asciiTheme="minorHAnsi" w:eastAsiaTheme="minorEastAsia" w:hAnsiTheme="minorHAnsi" w:cstheme="minorBidi"/>
            <w:noProof/>
            <w:sz w:val="22"/>
            <w:szCs w:val="22"/>
          </w:rPr>
          <w:tab/>
        </w:r>
        <w:r w:rsidRPr="001B13A4">
          <w:rPr>
            <w:rStyle w:val="Hyperlink"/>
            <w:noProof/>
          </w:rPr>
          <w:t>Part 1 Section 18.3.1.73, row (Row)</w:t>
        </w:r>
        <w:r>
          <w:rPr>
            <w:noProof/>
            <w:webHidden/>
          </w:rPr>
          <w:tab/>
        </w:r>
        <w:r>
          <w:rPr>
            <w:noProof/>
            <w:webHidden/>
          </w:rPr>
          <w:fldChar w:fldCharType="begin"/>
        </w:r>
        <w:r>
          <w:rPr>
            <w:noProof/>
            <w:webHidden/>
          </w:rPr>
          <w:instrText xml:space="preserve"> PAGEREF _Toc181683680 \h </w:instrText>
        </w:r>
        <w:r>
          <w:rPr>
            <w:noProof/>
            <w:webHidden/>
          </w:rPr>
        </w:r>
        <w:r>
          <w:rPr>
            <w:noProof/>
            <w:webHidden/>
          </w:rPr>
          <w:fldChar w:fldCharType="separate"/>
        </w:r>
        <w:r>
          <w:rPr>
            <w:noProof/>
            <w:webHidden/>
          </w:rPr>
          <w:t>279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1" w:history="1">
        <w:r w:rsidRPr="001B13A4">
          <w:rPr>
            <w:rStyle w:val="Hyperlink"/>
            <w:noProof/>
          </w:rPr>
          <w:t>2.1.645</w:t>
        </w:r>
        <w:r>
          <w:rPr>
            <w:rFonts w:asciiTheme="minorHAnsi" w:eastAsiaTheme="minorEastAsia" w:hAnsiTheme="minorHAnsi" w:cstheme="minorBidi"/>
            <w:noProof/>
            <w:sz w:val="22"/>
            <w:szCs w:val="22"/>
          </w:rPr>
          <w:tab/>
        </w:r>
        <w:r w:rsidRPr="001B13A4">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_Toc181683681 \h </w:instrText>
        </w:r>
        <w:r>
          <w:rPr>
            <w:noProof/>
            <w:webHidden/>
          </w:rPr>
        </w:r>
        <w:r>
          <w:rPr>
            <w:noProof/>
            <w:webHidden/>
          </w:rPr>
          <w:fldChar w:fldCharType="separate"/>
        </w:r>
        <w:r>
          <w:rPr>
            <w:noProof/>
            <w:webHidden/>
          </w:rPr>
          <w:t>279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2" w:history="1">
        <w:r w:rsidRPr="001B13A4">
          <w:rPr>
            <w:rStyle w:val="Hyperlink"/>
            <w:noProof/>
          </w:rPr>
          <w:t>2.1.646</w:t>
        </w:r>
        <w:r>
          <w:rPr>
            <w:rFonts w:asciiTheme="minorHAnsi" w:eastAsiaTheme="minorEastAsia" w:hAnsiTheme="minorHAnsi" w:cstheme="minorBidi"/>
            <w:noProof/>
            <w:sz w:val="22"/>
            <w:szCs w:val="22"/>
          </w:rPr>
          <w:tab/>
        </w:r>
        <w:r w:rsidRPr="001B13A4">
          <w:rPr>
            <w:rStyle w:val="Hyperlink"/>
            <w:noProof/>
          </w:rPr>
          <w:t>Part 1 Section 18.3.1.75, scenario (Scenario)</w:t>
        </w:r>
        <w:r>
          <w:rPr>
            <w:noProof/>
            <w:webHidden/>
          </w:rPr>
          <w:tab/>
        </w:r>
        <w:r>
          <w:rPr>
            <w:noProof/>
            <w:webHidden/>
          </w:rPr>
          <w:fldChar w:fldCharType="begin"/>
        </w:r>
        <w:r>
          <w:rPr>
            <w:noProof/>
            <w:webHidden/>
          </w:rPr>
          <w:instrText xml:space="preserve"> PAGEREF _Toc181683682 \h </w:instrText>
        </w:r>
        <w:r>
          <w:rPr>
            <w:noProof/>
            <w:webHidden/>
          </w:rPr>
        </w:r>
        <w:r>
          <w:rPr>
            <w:noProof/>
            <w:webHidden/>
          </w:rPr>
          <w:fldChar w:fldCharType="separate"/>
        </w:r>
        <w:r>
          <w:rPr>
            <w:noProof/>
            <w:webHidden/>
          </w:rPr>
          <w:t>280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3" w:history="1">
        <w:r w:rsidRPr="001B13A4">
          <w:rPr>
            <w:rStyle w:val="Hyperlink"/>
            <w:noProof/>
          </w:rPr>
          <w:t>2.1.647</w:t>
        </w:r>
        <w:r>
          <w:rPr>
            <w:rFonts w:asciiTheme="minorHAnsi" w:eastAsiaTheme="minorEastAsia" w:hAnsiTheme="minorHAnsi" w:cstheme="minorBidi"/>
            <w:noProof/>
            <w:sz w:val="22"/>
            <w:szCs w:val="22"/>
          </w:rPr>
          <w:tab/>
        </w:r>
        <w:r w:rsidRPr="001B13A4">
          <w:rPr>
            <w:rStyle w:val="Hyperlink"/>
            <w:noProof/>
          </w:rPr>
          <w:t>Part 1 Section 18.3.1.76, scenarios (Scenarios)</w:t>
        </w:r>
        <w:r>
          <w:rPr>
            <w:noProof/>
            <w:webHidden/>
          </w:rPr>
          <w:tab/>
        </w:r>
        <w:r>
          <w:rPr>
            <w:noProof/>
            <w:webHidden/>
          </w:rPr>
          <w:fldChar w:fldCharType="begin"/>
        </w:r>
        <w:r>
          <w:rPr>
            <w:noProof/>
            <w:webHidden/>
          </w:rPr>
          <w:instrText xml:space="preserve"> PAGEREF _Toc181683683 \h </w:instrText>
        </w:r>
        <w:r>
          <w:rPr>
            <w:noProof/>
            <w:webHidden/>
          </w:rPr>
        </w:r>
        <w:r>
          <w:rPr>
            <w:noProof/>
            <w:webHidden/>
          </w:rPr>
          <w:fldChar w:fldCharType="separate"/>
        </w:r>
        <w:r>
          <w:rPr>
            <w:noProof/>
            <w:webHidden/>
          </w:rPr>
          <w:t>280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4" w:history="1">
        <w:r w:rsidRPr="001B13A4">
          <w:rPr>
            <w:rStyle w:val="Hyperlink"/>
            <w:noProof/>
          </w:rPr>
          <w:t>2.1.648</w:t>
        </w:r>
        <w:r>
          <w:rPr>
            <w:rFonts w:asciiTheme="minorHAnsi" w:eastAsiaTheme="minorEastAsia" w:hAnsiTheme="minorHAnsi" w:cstheme="minorBidi"/>
            <w:noProof/>
            <w:sz w:val="22"/>
            <w:szCs w:val="22"/>
          </w:rPr>
          <w:tab/>
        </w:r>
        <w:r w:rsidRPr="001B13A4">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_Toc181683684 \h </w:instrText>
        </w:r>
        <w:r>
          <w:rPr>
            <w:noProof/>
            <w:webHidden/>
          </w:rPr>
        </w:r>
        <w:r>
          <w:rPr>
            <w:noProof/>
            <w:webHidden/>
          </w:rPr>
          <w:fldChar w:fldCharType="separate"/>
        </w:r>
        <w:r>
          <w:rPr>
            <w:noProof/>
            <w:webHidden/>
          </w:rPr>
          <w:t>280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5" w:history="1">
        <w:r w:rsidRPr="001B13A4">
          <w:rPr>
            <w:rStyle w:val="Hyperlink"/>
            <w:noProof/>
          </w:rPr>
          <w:t>2.1.649</w:t>
        </w:r>
        <w:r>
          <w:rPr>
            <w:rFonts w:asciiTheme="minorHAnsi" w:eastAsiaTheme="minorEastAsia" w:hAnsiTheme="minorHAnsi" w:cstheme="minorBidi"/>
            <w:noProof/>
            <w:sz w:val="22"/>
            <w:szCs w:val="22"/>
          </w:rPr>
          <w:tab/>
        </w:r>
        <w:r w:rsidRPr="001B13A4">
          <w:rPr>
            <w:rStyle w:val="Hyperlink"/>
            <w:noProof/>
          </w:rPr>
          <w:t>Part 1 Section 18.3.1.78, selection (Selection)</w:t>
        </w:r>
        <w:r>
          <w:rPr>
            <w:noProof/>
            <w:webHidden/>
          </w:rPr>
          <w:tab/>
        </w:r>
        <w:r>
          <w:rPr>
            <w:noProof/>
            <w:webHidden/>
          </w:rPr>
          <w:fldChar w:fldCharType="begin"/>
        </w:r>
        <w:r>
          <w:rPr>
            <w:noProof/>
            <w:webHidden/>
          </w:rPr>
          <w:instrText xml:space="preserve"> PAGEREF _Toc181683685 \h </w:instrText>
        </w:r>
        <w:r>
          <w:rPr>
            <w:noProof/>
            <w:webHidden/>
          </w:rPr>
        </w:r>
        <w:r>
          <w:rPr>
            <w:noProof/>
            <w:webHidden/>
          </w:rPr>
          <w:fldChar w:fldCharType="separate"/>
        </w:r>
        <w:r>
          <w:rPr>
            <w:noProof/>
            <w:webHidden/>
          </w:rPr>
          <w:t>281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6" w:history="1">
        <w:r w:rsidRPr="001B13A4">
          <w:rPr>
            <w:rStyle w:val="Hyperlink"/>
            <w:noProof/>
          </w:rPr>
          <w:t>2.1.650</w:t>
        </w:r>
        <w:r>
          <w:rPr>
            <w:rFonts w:asciiTheme="minorHAnsi" w:eastAsiaTheme="minorEastAsia" w:hAnsiTheme="minorHAnsi" w:cstheme="minorBidi"/>
            <w:noProof/>
            <w:sz w:val="22"/>
            <w:szCs w:val="22"/>
          </w:rPr>
          <w:tab/>
        </w:r>
        <w:r w:rsidRPr="001B13A4">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_Toc181683686 \h </w:instrText>
        </w:r>
        <w:r>
          <w:rPr>
            <w:noProof/>
            <w:webHidden/>
          </w:rPr>
        </w:r>
        <w:r>
          <w:rPr>
            <w:noProof/>
            <w:webHidden/>
          </w:rPr>
          <w:fldChar w:fldCharType="separate"/>
        </w:r>
        <w:r>
          <w:rPr>
            <w:noProof/>
            <w:webHidden/>
          </w:rPr>
          <w:t>281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7" w:history="1">
        <w:r w:rsidRPr="001B13A4">
          <w:rPr>
            <w:rStyle w:val="Hyperlink"/>
            <w:noProof/>
          </w:rPr>
          <w:t>2.1.651</w:t>
        </w:r>
        <w:r>
          <w:rPr>
            <w:rFonts w:asciiTheme="minorHAnsi" w:eastAsiaTheme="minorEastAsia" w:hAnsiTheme="minorHAnsi" w:cstheme="minorBidi"/>
            <w:noProof/>
            <w:sz w:val="22"/>
            <w:szCs w:val="22"/>
          </w:rPr>
          <w:tab/>
        </w:r>
        <w:r w:rsidRPr="001B13A4">
          <w:rPr>
            <w:rStyle w:val="Hyperlink"/>
            <w:noProof/>
          </w:rPr>
          <w:t>Part 1 Section 18.3.1.82, sheetPr (Sheet Properties)</w:t>
        </w:r>
        <w:r>
          <w:rPr>
            <w:noProof/>
            <w:webHidden/>
          </w:rPr>
          <w:tab/>
        </w:r>
        <w:r>
          <w:rPr>
            <w:noProof/>
            <w:webHidden/>
          </w:rPr>
          <w:fldChar w:fldCharType="begin"/>
        </w:r>
        <w:r>
          <w:rPr>
            <w:noProof/>
            <w:webHidden/>
          </w:rPr>
          <w:instrText xml:space="preserve"> PAGEREF _Toc181683687 \h </w:instrText>
        </w:r>
        <w:r>
          <w:rPr>
            <w:noProof/>
            <w:webHidden/>
          </w:rPr>
        </w:r>
        <w:r>
          <w:rPr>
            <w:noProof/>
            <w:webHidden/>
          </w:rPr>
          <w:fldChar w:fldCharType="separate"/>
        </w:r>
        <w:r>
          <w:rPr>
            <w:noProof/>
            <w:webHidden/>
          </w:rPr>
          <w:t>281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8" w:history="1">
        <w:r w:rsidRPr="001B13A4">
          <w:rPr>
            <w:rStyle w:val="Hyperlink"/>
            <w:noProof/>
          </w:rPr>
          <w:t>2.1.652</w:t>
        </w:r>
        <w:r>
          <w:rPr>
            <w:rFonts w:asciiTheme="minorHAnsi" w:eastAsiaTheme="minorEastAsia" w:hAnsiTheme="minorHAnsi" w:cstheme="minorBidi"/>
            <w:noProof/>
            <w:sz w:val="22"/>
            <w:szCs w:val="22"/>
          </w:rPr>
          <w:tab/>
        </w:r>
        <w:r w:rsidRPr="001B13A4">
          <w:rPr>
            <w:rStyle w:val="Hyperlink"/>
            <w:noProof/>
          </w:rPr>
          <w:t>Part 1 Section 18.3.1.83, sheetPr (Chart Sheet Properties)</w:t>
        </w:r>
        <w:r>
          <w:rPr>
            <w:noProof/>
            <w:webHidden/>
          </w:rPr>
          <w:tab/>
        </w:r>
        <w:r>
          <w:rPr>
            <w:noProof/>
            <w:webHidden/>
          </w:rPr>
          <w:fldChar w:fldCharType="begin"/>
        </w:r>
        <w:r>
          <w:rPr>
            <w:noProof/>
            <w:webHidden/>
          </w:rPr>
          <w:instrText xml:space="preserve"> PAGEREF _Toc181683688 \h </w:instrText>
        </w:r>
        <w:r>
          <w:rPr>
            <w:noProof/>
            <w:webHidden/>
          </w:rPr>
        </w:r>
        <w:r>
          <w:rPr>
            <w:noProof/>
            <w:webHidden/>
          </w:rPr>
          <w:fldChar w:fldCharType="separate"/>
        </w:r>
        <w:r>
          <w:rPr>
            <w:noProof/>
            <w:webHidden/>
          </w:rPr>
          <w:t>281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89" w:history="1">
        <w:r w:rsidRPr="001B13A4">
          <w:rPr>
            <w:rStyle w:val="Hyperlink"/>
            <w:noProof/>
          </w:rPr>
          <w:t>2.1.653</w:t>
        </w:r>
        <w:r>
          <w:rPr>
            <w:rFonts w:asciiTheme="minorHAnsi" w:eastAsiaTheme="minorEastAsia" w:hAnsiTheme="minorHAnsi" w:cstheme="minorBidi"/>
            <w:noProof/>
            <w:sz w:val="22"/>
            <w:szCs w:val="22"/>
          </w:rPr>
          <w:tab/>
        </w:r>
        <w:r w:rsidRPr="001B13A4">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_Toc181683689 \h </w:instrText>
        </w:r>
        <w:r>
          <w:rPr>
            <w:noProof/>
            <w:webHidden/>
          </w:rPr>
        </w:r>
        <w:r>
          <w:rPr>
            <w:noProof/>
            <w:webHidden/>
          </w:rPr>
          <w:fldChar w:fldCharType="separate"/>
        </w:r>
        <w:r>
          <w:rPr>
            <w:noProof/>
            <w:webHidden/>
          </w:rPr>
          <w:t>281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0" w:history="1">
        <w:r w:rsidRPr="001B13A4">
          <w:rPr>
            <w:rStyle w:val="Hyperlink"/>
            <w:noProof/>
          </w:rPr>
          <w:t>2.1.654</w:t>
        </w:r>
        <w:r>
          <w:rPr>
            <w:rFonts w:asciiTheme="minorHAnsi" w:eastAsiaTheme="minorEastAsia" w:hAnsiTheme="minorHAnsi" w:cstheme="minorBidi"/>
            <w:noProof/>
            <w:sz w:val="22"/>
            <w:szCs w:val="22"/>
          </w:rPr>
          <w:tab/>
        </w:r>
        <w:r w:rsidRPr="001B13A4">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_Toc181683690 \h </w:instrText>
        </w:r>
        <w:r>
          <w:rPr>
            <w:noProof/>
            <w:webHidden/>
          </w:rPr>
        </w:r>
        <w:r>
          <w:rPr>
            <w:noProof/>
            <w:webHidden/>
          </w:rPr>
          <w:fldChar w:fldCharType="separate"/>
        </w:r>
        <w:r>
          <w:rPr>
            <w:noProof/>
            <w:webHidden/>
          </w:rPr>
          <w:t>283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1" w:history="1">
        <w:r w:rsidRPr="001B13A4">
          <w:rPr>
            <w:rStyle w:val="Hyperlink"/>
            <w:noProof/>
          </w:rPr>
          <w:t>2.1.655</w:t>
        </w:r>
        <w:r>
          <w:rPr>
            <w:rFonts w:asciiTheme="minorHAnsi" w:eastAsiaTheme="minorEastAsia" w:hAnsiTheme="minorHAnsi" w:cstheme="minorBidi"/>
            <w:noProof/>
            <w:sz w:val="22"/>
            <w:szCs w:val="22"/>
          </w:rPr>
          <w:tab/>
        </w:r>
        <w:r w:rsidRPr="001B13A4">
          <w:rPr>
            <w:rStyle w:val="Hyperlink"/>
            <w:noProof/>
          </w:rPr>
          <w:t>Part 1 Section 18.3.1.87, sheetView (Worksheet View)</w:t>
        </w:r>
        <w:r>
          <w:rPr>
            <w:noProof/>
            <w:webHidden/>
          </w:rPr>
          <w:tab/>
        </w:r>
        <w:r>
          <w:rPr>
            <w:noProof/>
            <w:webHidden/>
          </w:rPr>
          <w:fldChar w:fldCharType="begin"/>
        </w:r>
        <w:r>
          <w:rPr>
            <w:noProof/>
            <w:webHidden/>
          </w:rPr>
          <w:instrText xml:space="preserve"> PAGEREF _Toc181683691 \h </w:instrText>
        </w:r>
        <w:r>
          <w:rPr>
            <w:noProof/>
            <w:webHidden/>
          </w:rPr>
        </w:r>
        <w:r>
          <w:rPr>
            <w:noProof/>
            <w:webHidden/>
          </w:rPr>
          <w:fldChar w:fldCharType="separate"/>
        </w:r>
        <w:r>
          <w:rPr>
            <w:noProof/>
            <w:webHidden/>
          </w:rPr>
          <w:t>285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2" w:history="1">
        <w:r w:rsidRPr="001B13A4">
          <w:rPr>
            <w:rStyle w:val="Hyperlink"/>
            <w:noProof/>
          </w:rPr>
          <w:t>2.1.656</w:t>
        </w:r>
        <w:r>
          <w:rPr>
            <w:rFonts w:asciiTheme="minorHAnsi" w:eastAsiaTheme="minorEastAsia" w:hAnsiTheme="minorHAnsi" w:cstheme="minorBidi"/>
            <w:noProof/>
            <w:sz w:val="22"/>
            <w:szCs w:val="22"/>
          </w:rPr>
          <w:tab/>
        </w:r>
        <w:r w:rsidRPr="001B13A4">
          <w:rPr>
            <w:rStyle w:val="Hyperlink"/>
            <w:noProof/>
          </w:rPr>
          <w:t>Part 1 Section 18.3.1.88, sheetViews (Sheet Views)</w:t>
        </w:r>
        <w:r>
          <w:rPr>
            <w:noProof/>
            <w:webHidden/>
          </w:rPr>
          <w:tab/>
        </w:r>
        <w:r>
          <w:rPr>
            <w:noProof/>
            <w:webHidden/>
          </w:rPr>
          <w:fldChar w:fldCharType="begin"/>
        </w:r>
        <w:r>
          <w:rPr>
            <w:noProof/>
            <w:webHidden/>
          </w:rPr>
          <w:instrText xml:space="preserve"> PAGEREF _Toc181683692 \h </w:instrText>
        </w:r>
        <w:r>
          <w:rPr>
            <w:noProof/>
            <w:webHidden/>
          </w:rPr>
        </w:r>
        <w:r>
          <w:rPr>
            <w:noProof/>
            <w:webHidden/>
          </w:rPr>
          <w:fldChar w:fldCharType="separate"/>
        </w:r>
        <w:r>
          <w:rPr>
            <w:noProof/>
            <w:webHidden/>
          </w:rPr>
          <w:t>285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3" w:history="1">
        <w:r w:rsidRPr="001B13A4">
          <w:rPr>
            <w:rStyle w:val="Hyperlink"/>
            <w:noProof/>
          </w:rPr>
          <w:t>2.1.657</w:t>
        </w:r>
        <w:r>
          <w:rPr>
            <w:rFonts w:asciiTheme="minorHAnsi" w:eastAsiaTheme="minorEastAsia" w:hAnsiTheme="minorHAnsi" w:cstheme="minorBidi"/>
            <w:noProof/>
            <w:sz w:val="22"/>
            <w:szCs w:val="22"/>
          </w:rPr>
          <w:tab/>
        </w:r>
        <w:r w:rsidRPr="001B13A4">
          <w:rPr>
            <w:rStyle w:val="Hyperlink"/>
            <w:noProof/>
          </w:rPr>
          <w:t>Part 1 Section 18.3.1.89, sheetViews (Chart Sheet Views)</w:t>
        </w:r>
        <w:r>
          <w:rPr>
            <w:noProof/>
            <w:webHidden/>
          </w:rPr>
          <w:tab/>
        </w:r>
        <w:r>
          <w:rPr>
            <w:noProof/>
            <w:webHidden/>
          </w:rPr>
          <w:fldChar w:fldCharType="begin"/>
        </w:r>
        <w:r>
          <w:rPr>
            <w:noProof/>
            <w:webHidden/>
          </w:rPr>
          <w:instrText xml:space="preserve"> PAGEREF _Toc181683693 \h </w:instrText>
        </w:r>
        <w:r>
          <w:rPr>
            <w:noProof/>
            <w:webHidden/>
          </w:rPr>
        </w:r>
        <w:r>
          <w:rPr>
            <w:noProof/>
            <w:webHidden/>
          </w:rPr>
          <w:fldChar w:fldCharType="separate"/>
        </w:r>
        <w:r>
          <w:rPr>
            <w:noProof/>
            <w:webHidden/>
          </w:rPr>
          <w:t>285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4" w:history="1">
        <w:r w:rsidRPr="001B13A4">
          <w:rPr>
            <w:rStyle w:val="Hyperlink"/>
            <w:noProof/>
          </w:rPr>
          <w:t>2.1.658</w:t>
        </w:r>
        <w:r>
          <w:rPr>
            <w:rFonts w:asciiTheme="minorHAnsi" w:eastAsiaTheme="minorEastAsia" w:hAnsiTheme="minorHAnsi" w:cstheme="minorBidi"/>
            <w:noProof/>
            <w:sz w:val="22"/>
            <w:szCs w:val="22"/>
          </w:rPr>
          <w:tab/>
        </w:r>
        <w:r w:rsidRPr="001B13A4">
          <w:rPr>
            <w:rStyle w:val="Hyperlink"/>
            <w:noProof/>
          </w:rPr>
          <w:t>Part 1 Section 18.3.1.91, sortCondition (Sort Condition)</w:t>
        </w:r>
        <w:r>
          <w:rPr>
            <w:noProof/>
            <w:webHidden/>
          </w:rPr>
          <w:tab/>
        </w:r>
        <w:r>
          <w:rPr>
            <w:noProof/>
            <w:webHidden/>
          </w:rPr>
          <w:fldChar w:fldCharType="begin"/>
        </w:r>
        <w:r>
          <w:rPr>
            <w:noProof/>
            <w:webHidden/>
          </w:rPr>
          <w:instrText xml:space="preserve"> PAGEREF _Toc181683694 \h </w:instrText>
        </w:r>
        <w:r>
          <w:rPr>
            <w:noProof/>
            <w:webHidden/>
          </w:rPr>
        </w:r>
        <w:r>
          <w:rPr>
            <w:noProof/>
            <w:webHidden/>
          </w:rPr>
          <w:fldChar w:fldCharType="separate"/>
        </w:r>
        <w:r>
          <w:rPr>
            <w:noProof/>
            <w:webHidden/>
          </w:rPr>
          <w:t>286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5" w:history="1">
        <w:r w:rsidRPr="001B13A4">
          <w:rPr>
            <w:rStyle w:val="Hyperlink"/>
            <w:noProof/>
          </w:rPr>
          <w:t>2.1.659</w:t>
        </w:r>
        <w:r>
          <w:rPr>
            <w:rFonts w:asciiTheme="minorHAnsi" w:eastAsiaTheme="minorEastAsia" w:hAnsiTheme="minorHAnsi" w:cstheme="minorBidi"/>
            <w:noProof/>
            <w:sz w:val="22"/>
            <w:szCs w:val="22"/>
          </w:rPr>
          <w:tab/>
        </w:r>
        <w:r w:rsidRPr="001B13A4">
          <w:rPr>
            <w:rStyle w:val="Hyperlink"/>
            <w:noProof/>
          </w:rPr>
          <w:t>Part 1 Section 18.3.1.93, tabColor (Sheet Tab Color)</w:t>
        </w:r>
        <w:r>
          <w:rPr>
            <w:noProof/>
            <w:webHidden/>
          </w:rPr>
          <w:tab/>
        </w:r>
        <w:r>
          <w:rPr>
            <w:noProof/>
            <w:webHidden/>
          </w:rPr>
          <w:fldChar w:fldCharType="begin"/>
        </w:r>
        <w:r>
          <w:rPr>
            <w:noProof/>
            <w:webHidden/>
          </w:rPr>
          <w:instrText xml:space="preserve"> PAGEREF _Toc181683695 \h </w:instrText>
        </w:r>
        <w:r>
          <w:rPr>
            <w:noProof/>
            <w:webHidden/>
          </w:rPr>
        </w:r>
        <w:r>
          <w:rPr>
            <w:noProof/>
            <w:webHidden/>
          </w:rPr>
          <w:fldChar w:fldCharType="separate"/>
        </w:r>
        <w:r>
          <w:rPr>
            <w:noProof/>
            <w:webHidden/>
          </w:rPr>
          <w:t>286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6" w:history="1">
        <w:r w:rsidRPr="001B13A4">
          <w:rPr>
            <w:rStyle w:val="Hyperlink"/>
            <w:noProof/>
          </w:rPr>
          <w:t>2.1.660</w:t>
        </w:r>
        <w:r>
          <w:rPr>
            <w:rFonts w:asciiTheme="minorHAnsi" w:eastAsiaTheme="minorEastAsia" w:hAnsiTheme="minorHAnsi" w:cstheme="minorBidi"/>
            <w:noProof/>
            <w:sz w:val="22"/>
            <w:szCs w:val="22"/>
          </w:rPr>
          <w:tab/>
        </w:r>
        <w:r w:rsidRPr="001B13A4">
          <w:rPr>
            <w:rStyle w:val="Hyperlink"/>
            <w:noProof/>
          </w:rPr>
          <w:t>Part 1 Section 18.3.1.96, v (Cell Value)</w:t>
        </w:r>
        <w:r>
          <w:rPr>
            <w:noProof/>
            <w:webHidden/>
          </w:rPr>
          <w:tab/>
        </w:r>
        <w:r>
          <w:rPr>
            <w:noProof/>
            <w:webHidden/>
          </w:rPr>
          <w:fldChar w:fldCharType="begin"/>
        </w:r>
        <w:r>
          <w:rPr>
            <w:noProof/>
            <w:webHidden/>
          </w:rPr>
          <w:instrText xml:space="preserve"> PAGEREF _Toc181683696 \h </w:instrText>
        </w:r>
        <w:r>
          <w:rPr>
            <w:noProof/>
            <w:webHidden/>
          </w:rPr>
        </w:r>
        <w:r>
          <w:rPr>
            <w:noProof/>
            <w:webHidden/>
          </w:rPr>
          <w:fldChar w:fldCharType="separate"/>
        </w:r>
        <w:r>
          <w:rPr>
            <w:noProof/>
            <w:webHidden/>
          </w:rPr>
          <w:t>286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7" w:history="1">
        <w:r w:rsidRPr="001B13A4">
          <w:rPr>
            <w:rStyle w:val="Hyperlink"/>
            <w:noProof/>
          </w:rPr>
          <w:t>2.1.661</w:t>
        </w:r>
        <w:r>
          <w:rPr>
            <w:rFonts w:asciiTheme="minorHAnsi" w:eastAsiaTheme="minorEastAsia" w:hAnsiTheme="minorHAnsi" w:cstheme="minorBidi"/>
            <w:noProof/>
            <w:sz w:val="22"/>
            <w:szCs w:val="22"/>
          </w:rPr>
          <w:tab/>
        </w:r>
        <w:r w:rsidRPr="001B13A4">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_Toc181683697 \h </w:instrText>
        </w:r>
        <w:r>
          <w:rPr>
            <w:noProof/>
            <w:webHidden/>
          </w:rPr>
        </w:r>
        <w:r>
          <w:rPr>
            <w:noProof/>
            <w:webHidden/>
          </w:rPr>
          <w:fldChar w:fldCharType="separate"/>
        </w:r>
        <w:r>
          <w:rPr>
            <w:noProof/>
            <w:webHidden/>
          </w:rPr>
          <w:t>287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8" w:history="1">
        <w:r w:rsidRPr="001B13A4">
          <w:rPr>
            <w:rStyle w:val="Hyperlink"/>
            <w:noProof/>
          </w:rPr>
          <w:t>2.1.662</w:t>
        </w:r>
        <w:r>
          <w:rPr>
            <w:rFonts w:asciiTheme="minorHAnsi" w:eastAsiaTheme="minorEastAsia" w:hAnsiTheme="minorHAnsi" w:cstheme="minorBidi"/>
            <w:noProof/>
            <w:sz w:val="22"/>
            <w:szCs w:val="22"/>
          </w:rPr>
          <w:tab/>
        </w:r>
        <w:r w:rsidRPr="001B13A4">
          <w:rPr>
            <w:rStyle w:val="Hyperlink"/>
            <w:noProof/>
          </w:rPr>
          <w:t>Part 1 Section 18.3.1.99, worksheet (Worksheet)</w:t>
        </w:r>
        <w:r>
          <w:rPr>
            <w:noProof/>
            <w:webHidden/>
          </w:rPr>
          <w:tab/>
        </w:r>
        <w:r>
          <w:rPr>
            <w:noProof/>
            <w:webHidden/>
          </w:rPr>
          <w:fldChar w:fldCharType="begin"/>
        </w:r>
        <w:r>
          <w:rPr>
            <w:noProof/>
            <w:webHidden/>
          </w:rPr>
          <w:instrText xml:space="preserve"> PAGEREF _Toc181683698 \h </w:instrText>
        </w:r>
        <w:r>
          <w:rPr>
            <w:noProof/>
            <w:webHidden/>
          </w:rPr>
        </w:r>
        <w:r>
          <w:rPr>
            <w:noProof/>
            <w:webHidden/>
          </w:rPr>
          <w:fldChar w:fldCharType="separate"/>
        </w:r>
        <w:r>
          <w:rPr>
            <w:noProof/>
            <w:webHidden/>
          </w:rPr>
          <w:t>287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699" w:history="1">
        <w:r w:rsidRPr="001B13A4">
          <w:rPr>
            <w:rStyle w:val="Hyperlink"/>
            <w:noProof/>
          </w:rPr>
          <w:t>2.1.663</w:t>
        </w:r>
        <w:r>
          <w:rPr>
            <w:rFonts w:asciiTheme="minorHAnsi" w:eastAsiaTheme="minorEastAsia" w:hAnsiTheme="minorHAnsi" w:cstheme="minorBidi"/>
            <w:noProof/>
            <w:sz w:val="22"/>
            <w:szCs w:val="22"/>
          </w:rPr>
          <w:tab/>
        </w:r>
        <w:r w:rsidRPr="001B13A4">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_Toc181683699 \h </w:instrText>
        </w:r>
        <w:r>
          <w:rPr>
            <w:noProof/>
            <w:webHidden/>
          </w:rPr>
        </w:r>
        <w:r>
          <w:rPr>
            <w:noProof/>
            <w:webHidden/>
          </w:rPr>
          <w:fldChar w:fldCharType="separate"/>
        </w:r>
        <w:r>
          <w:rPr>
            <w:noProof/>
            <w:webHidden/>
          </w:rPr>
          <w:t>287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0" w:history="1">
        <w:r w:rsidRPr="001B13A4">
          <w:rPr>
            <w:rStyle w:val="Hyperlink"/>
            <w:noProof/>
          </w:rPr>
          <w:t>2.1.664</w:t>
        </w:r>
        <w:r>
          <w:rPr>
            <w:rFonts w:asciiTheme="minorHAnsi" w:eastAsiaTheme="minorEastAsia" w:hAnsiTheme="minorHAnsi" w:cstheme="minorBidi"/>
            <w:noProof/>
            <w:sz w:val="22"/>
            <w:szCs w:val="22"/>
          </w:rPr>
          <w:tab/>
        </w:r>
        <w:r w:rsidRPr="001B13A4">
          <w:rPr>
            <w:rStyle w:val="Hyperlink"/>
            <w:noProof/>
          </w:rPr>
          <w:t>Part 1 Section 18.3.2.4, dateGroupItem (Date Grouping)</w:t>
        </w:r>
        <w:r>
          <w:rPr>
            <w:noProof/>
            <w:webHidden/>
          </w:rPr>
          <w:tab/>
        </w:r>
        <w:r>
          <w:rPr>
            <w:noProof/>
            <w:webHidden/>
          </w:rPr>
          <w:fldChar w:fldCharType="begin"/>
        </w:r>
        <w:r>
          <w:rPr>
            <w:noProof/>
            <w:webHidden/>
          </w:rPr>
          <w:instrText xml:space="preserve"> PAGEREF _Toc181683700 \h </w:instrText>
        </w:r>
        <w:r>
          <w:rPr>
            <w:noProof/>
            <w:webHidden/>
          </w:rPr>
        </w:r>
        <w:r>
          <w:rPr>
            <w:noProof/>
            <w:webHidden/>
          </w:rPr>
          <w:fldChar w:fldCharType="separate"/>
        </w:r>
        <w:r>
          <w:rPr>
            <w:noProof/>
            <w:webHidden/>
          </w:rPr>
          <w:t>287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1" w:history="1">
        <w:r w:rsidRPr="001B13A4">
          <w:rPr>
            <w:rStyle w:val="Hyperlink"/>
            <w:noProof/>
          </w:rPr>
          <w:t>2.1.665</w:t>
        </w:r>
        <w:r>
          <w:rPr>
            <w:rFonts w:asciiTheme="minorHAnsi" w:eastAsiaTheme="minorEastAsia" w:hAnsiTheme="minorHAnsi" w:cstheme="minorBidi"/>
            <w:noProof/>
            <w:sz w:val="22"/>
            <w:szCs w:val="22"/>
          </w:rPr>
          <w:tab/>
        </w:r>
        <w:r w:rsidRPr="001B13A4">
          <w:rPr>
            <w:rStyle w:val="Hyperlink"/>
            <w:noProof/>
          </w:rPr>
          <w:t>Part 1 Section 18.3.2.5, dynamicFilter (Dynamic Filter)</w:t>
        </w:r>
        <w:r>
          <w:rPr>
            <w:noProof/>
            <w:webHidden/>
          </w:rPr>
          <w:tab/>
        </w:r>
        <w:r>
          <w:rPr>
            <w:noProof/>
            <w:webHidden/>
          </w:rPr>
          <w:fldChar w:fldCharType="begin"/>
        </w:r>
        <w:r>
          <w:rPr>
            <w:noProof/>
            <w:webHidden/>
          </w:rPr>
          <w:instrText xml:space="preserve"> PAGEREF _Toc181683701 \h </w:instrText>
        </w:r>
        <w:r>
          <w:rPr>
            <w:noProof/>
            <w:webHidden/>
          </w:rPr>
        </w:r>
        <w:r>
          <w:rPr>
            <w:noProof/>
            <w:webHidden/>
          </w:rPr>
          <w:fldChar w:fldCharType="separate"/>
        </w:r>
        <w:r>
          <w:rPr>
            <w:noProof/>
            <w:webHidden/>
          </w:rPr>
          <w:t>288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2" w:history="1">
        <w:r w:rsidRPr="001B13A4">
          <w:rPr>
            <w:rStyle w:val="Hyperlink"/>
            <w:noProof/>
          </w:rPr>
          <w:t>2.1.666</w:t>
        </w:r>
        <w:r>
          <w:rPr>
            <w:rFonts w:asciiTheme="minorHAnsi" w:eastAsiaTheme="minorEastAsia" w:hAnsiTheme="minorHAnsi" w:cstheme="minorBidi"/>
            <w:noProof/>
            <w:sz w:val="22"/>
            <w:szCs w:val="22"/>
          </w:rPr>
          <w:tab/>
        </w:r>
        <w:r w:rsidRPr="001B13A4">
          <w:rPr>
            <w:rStyle w:val="Hyperlink"/>
            <w:noProof/>
          </w:rPr>
          <w:t>Part 1 Section 18.3.2.6, filter (Filter)</w:t>
        </w:r>
        <w:r>
          <w:rPr>
            <w:noProof/>
            <w:webHidden/>
          </w:rPr>
          <w:tab/>
        </w:r>
        <w:r>
          <w:rPr>
            <w:noProof/>
            <w:webHidden/>
          </w:rPr>
          <w:fldChar w:fldCharType="begin"/>
        </w:r>
        <w:r>
          <w:rPr>
            <w:noProof/>
            <w:webHidden/>
          </w:rPr>
          <w:instrText xml:space="preserve"> PAGEREF _Toc181683702 \h </w:instrText>
        </w:r>
        <w:r>
          <w:rPr>
            <w:noProof/>
            <w:webHidden/>
          </w:rPr>
        </w:r>
        <w:r>
          <w:rPr>
            <w:noProof/>
            <w:webHidden/>
          </w:rPr>
          <w:fldChar w:fldCharType="separate"/>
        </w:r>
        <w:r>
          <w:rPr>
            <w:noProof/>
            <w:webHidden/>
          </w:rPr>
          <w:t>288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3" w:history="1">
        <w:r w:rsidRPr="001B13A4">
          <w:rPr>
            <w:rStyle w:val="Hyperlink"/>
            <w:noProof/>
          </w:rPr>
          <w:t>2.1.667</w:t>
        </w:r>
        <w:r>
          <w:rPr>
            <w:rFonts w:asciiTheme="minorHAnsi" w:eastAsiaTheme="minorEastAsia" w:hAnsiTheme="minorHAnsi" w:cstheme="minorBidi"/>
            <w:noProof/>
            <w:sz w:val="22"/>
            <w:szCs w:val="22"/>
          </w:rPr>
          <w:tab/>
        </w:r>
        <w:r w:rsidRPr="001B13A4">
          <w:rPr>
            <w:rStyle w:val="Hyperlink"/>
            <w:noProof/>
          </w:rPr>
          <w:t>Part 1 Section 18.3.2.7, filterColumn (AutoFilter Column)</w:t>
        </w:r>
        <w:r>
          <w:rPr>
            <w:noProof/>
            <w:webHidden/>
          </w:rPr>
          <w:tab/>
        </w:r>
        <w:r>
          <w:rPr>
            <w:noProof/>
            <w:webHidden/>
          </w:rPr>
          <w:fldChar w:fldCharType="begin"/>
        </w:r>
        <w:r>
          <w:rPr>
            <w:noProof/>
            <w:webHidden/>
          </w:rPr>
          <w:instrText xml:space="preserve"> PAGEREF _Toc181683703 \h </w:instrText>
        </w:r>
        <w:r>
          <w:rPr>
            <w:noProof/>
            <w:webHidden/>
          </w:rPr>
        </w:r>
        <w:r>
          <w:rPr>
            <w:noProof/>
            <w:webHidden/>
          </w:rPr>
          <w:fldChar w:fldCharType="separate"/>
        </w:r>
        <w:r>
          <w:rPr>
            <w:noProof/>
            <w:webHidden/>
          </w:rPr>
          <w:t>288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4" w:history="1">
        <w:r w:rsidRPr="001B13A4">
          <w:rPr>
            <w:rStyle w:val="Hyperlink"/>
            <w:noProof/>
          </w:rPr>
          <w:t>2.1.668</w:t>
        </w:r>
        <w:r>
          <w:rPr>
            <w:rFonts w:asciiTheme="minorHAnsi" w:eastAsiaTheme="minorEastAsia" w:hAnsiTheme="minorHAnsi" w:cstheme="minorBidi"/>
            <w:noProof/>
            <w:sz w:val="22"/>
            <w:szCs w:val="22"/>
          </w:rPr>
          <w:tab/>
        </w:r>
        <w:r w:rsidRPr="001B13A4">
          <w:rPr>
            <w:rStyle w:val="Hyperlink"/>
            <w:noProof/>
          </w:rPr>
          <w:t>Part 1 Section 18.3.2.8, filters (Filter Criteria)</w:t>
        </w:r>
        <w:r>
          <w:rPr>
            <w:noProof/>
            <w:webHidden/>
          </w:rPr>
          <w:tab/>
        </w:r>
        <w:r>
          <w:rPr>
            <w:noProof/>
            <w:webHidden/>
          </w:rPr>
          <w:fldChar w:fldCharType="begin"/>
        </w:r>
        <w:r>
          <w:rPr>
            <w:noProof/>
            <w:webHidden/>
          </w:rPr>
          <w:instrText xml:space="preserve"> PAGEREF _Toc181683704 \h </w:instrText>
        </w:r>
        <w:r>
          <w:rPr>
            <w:noProof/>
            <w:webHidden/>
          </w:rPr>
        </w:r>
        <w:r>
          <w:rPr>
            <w:noProof/>
            <w:webHidden/>
          </w:rPr>
          <w:fldChar w:fldCharType="separate"/>
        </w:r>
        <w:r>
          <w:rPr>
            <w:noProof/>
            <w:webHidden/>
          </w:rPr>
          <w:t>288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5" w:history="1">
        <w:r w:rsidRPr="001B13A4">
          <w:rPr>
            <w:rStyle w:val="Hyperlink"/>
            <w:noProof/>
          </w:rPr>
          <w:t>2.1.669</w:t>
        </w:r>
        <w:r>
          <w:rPr>
            <w:rFonts w:asciiTheme="minorHAnsi" w:eastAsiaTheme="minorEastAsia" w:hAnsiTheme="minorHAnsi" w:cstheme="minorBidi"/>
            <w:noProof/>
            <w:sz w:val="22"/>
            <w:szCs w:val="22"/>
          </w:rPr>
          <w:tab/>
        </w:r>
        <w:r w:rsidRPr="001B13A4">
          <w:rPr>
            <w:rStyle w:val="Hyperlink"/>
            <w:noProof/>
          </w:rPr>
          <w:t>Part 1 Section 18.3.2.9, iconFilter (Icon Filter)</w:t>
        </w:r>
        <w:r>
          <w:rPr>
            <w:noProof/>
            <w:webHidden/>
          </w:rPr>
          <w:tab/>
        </w:r>
        <w:r>
          <w:rPr>
            <w:noProof/>
            <w:webHidden/>
          </w:rPr>
          <w:fldChar w:fldCharType="begin"/>
        </w:r>
        <w:r>
          <w:rPr>
            <w:noProof/>
            <w:webHidden/>
          </w:rPr>
          <w:instrText xml:space="preserve"> PAGEREF _Toc181683705 \h </w:instrText>
        </w:r>
        <w:r>
          <w:rPr>
            <w:noProof/>
            <w:webHidden/>
          </w:rPr>
        </w:r>
        <w:r>
          <w:rPr>
            <w:noProof/>
            <w:webHidden/>
          </w:rPr>
          <w:fldChar w:fldCharType="separate"/>
        </w:r>
        <w:r>
          <w:rPr>
            <w:noProof/>
            <w:webHidden/>
          </w:rPr>
          <w:t>289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6" w:history="1">
        <w:r w:rsidRPr="001B13A4">
          <w:rPr>
            <w:rStyle w:val="Hyperlink"/>
            <w:noProof/>
          </w:rPr>
          <w:t>2.1.670</w:t>
        </w:r>
        <w:r>
          <w:rPr>
            <w:rFonts w:asciiTheme="minorHAnsi" w:eastAsiaTheme="minorEastAsia" w:hAnsiTheme="minorHAnsi" w:cstheme="minorBidi"/>
            <w:noProof/>
            <w:sz w:val="22"/>
            <w:szCs w:val="22"/>
          </w:rPr>
          <w:tab/>
        </w:r>
        <w:r w:rsidRPr="001B13A4">
          <w:rPr>
            <w:rStyle w:val="Hyperlink"/>
            <w:noProof/>
          </w:rPr>
          <w:t>Part 1 Section 18.3.2.10, top10 (Top 10)</w:t>
        </w:r>
        <w:r>
          <w:rPr>
            <w:noProof/>
            <w:webHidden/>
          </w:rPr>
          <w:tab/>
        </w:r>
        <w:r>
          <w:rPr>
            <w:noProof/>
            <w:webHidden/>
          </w:rPr>
          <w:fldChar w:fldCharType="begin"/>
        </w:r>
        <w:r>
          <w:rPr>
            <w:noProof/>
            <w:webHidden/>
          </w:rPr>
          <w:instrText xml:space="preserve"> PAGEREF _Toc181683706 \h </w:instrText>
        </w:r>
        <w:r>
          <w:rPr>
            <w:noProof/>
            <w:webHidden/>
          </w:rPr>
        </w:r>
        <w:r>
          <w:rPr>
            <w:noProof/>
            <w:webHidden/>
          </w:rPr>
          <w:fldChar w:fldCharType="separate"/>
        </w:r>
        <w:r>
          <w:rPr>
            <w:noProof/>
            <w:webHidden/>
          </w:rPr>
          <w:t>289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7" w:history="1">
        <w:r w:rsidRPr="001B13A4">
          <w:rPr>
            <w:rStyle w:val="Hyperlink"/>
            <w:noProof/>
          </w:rPr>
          <w:t>2.1.671</w:t>
        </w:r>
        <w:r>
          <w:rPr>
            <w:rFonts w:asciiTheme="minorHAnsi" w:eastAsiaTheme="minorEastAsia" w:hAnsiTheme="minorHAnsi" w:cstheme="minorBidi"/>
            <w:noProof/>
            <w:sz w:val="22"/>
            <w:szCs w:val="22"/>
          </w:rPr>
          <w:tab/>
        </w:r>
        <w:r w:rsidRPr="001B13A4">
          <w:rPr>
            <w:rStyle w:val="Hyperlink"/>
            <w:noProof/>
          </w:rPr>
          <w:t>Part 1 Section 18.4.3, phoneticPr (Phonetic Properties)</w:t>
        </w:r>
        <w:r>
          <w:rPr>
            <w:noProof/>
            <w:webHidden/>
          </w:rPr>
          <w:tab/>
        </w:r>
        <w:r>
          <w:rPr>
            <w:noProof/>
            <w:webHidden/>
          </w:rPr>
          <w:fldChar w:fldCharType="begin"/>
        </w:r>
        <w:r>
          <w:rPr>
            <w:noProof/>
            <w:webHidden/>
          </w:rPr>
          <w:instrText xml:space="preserve"> PAGEREF _Toc181683707 \h </w:instrText>
        </w:r>
        <w:r>
          <w:rPr>
            <w:noProof/>
            <w:webHidden/>
          </w:rPr>
        </w:r>
        <w:r>
          <w:rPr>
            <w:noProof/>
            <w:webHidden/>
          </w:rPr>
          <w:fldChar w:fldCharType="separate"/>
        </w:r>
        <w:r>
          <w:rPr>
            <w:noProof/>
            <w:webHidden/>
          </w:rPr>
          <w:t>289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8" w:history="1">
        <w:r w:rsidRPr="001B13A4">
          <w:rPr>
            <w:rStyle w:val="Hyperlink"/>
            <w:noProof/>
          </w:rPr>
          <w:t>2.1.672</w:t>
        </w:r>
        <w:r>
          <w:rPr>
            <w:rFonts w:asciiTheme="minorHAnsi" w:eastAsiaTheme="minorEastAsia" w:hAnsiTheme="minorHAnsi" w:cstheme="minorBidi"/>
            <w:noProof/>
            <w:sz w:val="22"/>
            <w:szCs w:val="22"/>
          </w:rPr>
          <w:tab/>
        </w:r>
        <w:r w:rsidRPr="001B13A4">
          <w:rPr>
            <w:rStyle w:val="Hyperlink"/>
            <w:noProof/>
          </w:rPr>
          <w:t>Part 1 Section 18.4.5, rFont (Font)</w:t>
        </w:r>
        <w:r>
          <w:rPr>
            <w:noProof/>
            <w:webHidden/>
          </w:rPr>
          <w:tab/>
        </w:r>
        <w:r>
          <w:rPr>
            <w:noProof/>
            <w:webHidden/>
          </w:rPr>
          <w:fldChar w:fldCharType="begin"/>
        </w:r>
        <w:r>
          <w:rPr>
            <w:noProof/>
            <w:webHidden/>
          </w:rPr>
          <w:instrText xml:space="preserve"> PAGEREF _Toc181683708 \h </w:instrText>
        </w:r>
        <w:r>
          <w:rPr>
            <w:noProof/>
            <w:webHidden/>
          </w:rPr>
        </w:r>
        <w:r>
          <w:rPr>
            <w:noProof/>
            <w:webHidden/>
          </w:rPr>
          <w:fldChar w:fldCharType="separate"/>
        </w:r>
        <w:r>
          <w:rPr>
            <w:noProof/>
            <w:webHidden/>
          </w:rPr>
          <w:t>289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09" w:history="1">
        <w:r w:rsidRPr="001B13A4">
          <w:rPr>
            <w:rStyle w:val="Hyperlink"/>
            <w:noProof/>
          </w:rPr>
          <w:t>2.1.673</w:t>
        </w:r>
        <w:r>
          <w:rPr>
            <w:rFonts w:asciiTheme="minorHAnsi" w:eastAsiaTheme="minorEastAsia" w:hAnsiTheme="minorHAnsi" w:cstheme="minorBidi"/>
            <w:noProof/>
            <w:sz w:val="22"/>
            <w:szCs w:val="22"/>
          </w:rPr>
          <w:tab/>
        </w:r>
        <w:r w:rsidRPr="001B13A4">
          <w:rPr>
            <w:rStyle w:val="Hyperlink"/>
            <w:noProof/>
          </w:rPr>
          <w:t>Part 1 Section 18.4.6, rPh (Phonetic Run)</w:t>
        </w:r>
        <w:r>
          <w:rPr>
            <w:noProof/>
            <w:webHidden/>
          </w:rPr>
          <w:tab/>
        </w:r>
        <w:r>
          <w:rPr>
            <w:noProof/>
            <w:webHidden/>
          </w:rPr>
          <w:fldChar w:fldCharType="begin"/>
        </w:r>
        <w:r>
          <w:rPr>
            <w:noProof/>
            <w:webHidden/>
          </w:rPr>
          <w:instrText xml:space="preserve"> PAGEREF _Toc181683709 \h </w:instrText>
        </w:r>
        <w:r>
          <w:rPr>
            <w:noProof/>
            <w:webHidden/>
          </w:rPr>
        </w:r>
        <w:r>
          <w:rPr>
            <w:noProof/>
            <w:webHidden/>
          </w:rPr>
          <w:fldChar w:fldCharType="separate"/>
        </w:r>
        <w:r>
          <w:rPr>
            <w:noProof/>
            <w:webHidden/>
          </w:rPr>
          <w:t>289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0" w:history="1">
        <w:r w:rsidRPr="001B13A4">
          <w:rPr>
            <w:rStyle w:val="Hyperlink"/>
            <w:noProof/>
          </w:rPr>
          <w:t>2.1.674</w:t>
        </w:r>
        <w:r>
          <w:rPr>
            <w:rFonts w:asciiTheme="minorHAnsi" w:eastAsiaTheme="minorEastAsia" w:hAnsiTheme="minorHAnsi" w:cstheme="minorBidi"/>
            <w:noProof/>
            <w:sz w:val="22"/>
            <w:szCs w:val="22"/>
          </w:rPr>
          <w:tab/>
        </w:r>
        <w:r w:rsidRPr="001B13A4">
          <w:rPr>
            <w:rStyle w:val="Hyperlink"/>
            <w:noProof/>
          </w:rPr>
          <w:t>Part 1 Section 18.4.7, rPr (Run Properties)</w:t>
        </w:r>
        <w:r>
          <w:rPr>
            <w:noProof/>
            <w:webHidden/>
          </w:rPr>
          <w:tab/>
        </w:r>
        <w:r>
          <w:rPr>
            <w:noProof/>
            <w:webHidden/>
          </w:rPr>
          <w:fldChar w:fldCharType="begin"/>
        </w:r>
        <w:r>
          <w:rPr>
            <w:noProof/>
            <w:webHidden/>
          </w:rPr>
          <w:instrText xml:space="preserve"> PAGEREF _Toc181683710 \h </w:instrText>
        </w:r>
        <w:r>
          <w:rPr>
            <w:noProof/>
            <w:webHidden/>
          </w:rPr>
        </w:r>
        <w:r>
          <w:rPr>
            <w:noProof/>
            <w:webHidden/>
          </w:rPr>
          <w:fldChar w:fldCharType="separate"/>
        </w:r>
        <w:r>
          <w:rPr>
            <w:noProof/>
            <w:webHidden/>
          </w:rPr>
          <w:t>289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1" w:history="1">
        <w:r w:rsidRPr="001B13A4">
          <w:rPr>
            <w:rStyle w:val="Hyperlink"/>
            <w:noProof/>
          </w:rPr>
          <w:t>2.1.675</w:t>
        </w:r>
        <w:r>
          <w:rPr>
            <w:rFonts w:asciiTheme="minorHAnsi" w:eastAsiaTheme="minorEastAsia" w:hAnsiTheme="minorHAnsi" w:cstheme="minorBidi"/>
            <w:noProof/>
            <w:sz w:val="22"/>
            <w:szCs w:val="22"/>
          </w:rPr>
          <w:tab/>
        </w:r>
        <w:r w:rsidRPr="001B13A4">
          <w:rPr>
            <w:rStyle w:val="Hyperlink"/>
            <w:noProof/>
          </w:rPr>
          <w:t>Part 1 Section 18.4.8, si (String Item)</w:t>
        </w:r>
        <w:r>
          <w:rPr>
            <w:noProof/>
            <w:webHidden/>
          </w:rPr>
          <w:tab/>
        </w:r>
        <w:r>
          <w:rPr>
            <w:noProof/>
            <w:webHidden/>
          </w:rPr>
          <w:fldChar w:fldCharType="begin"/>
        </w:r>
        <w:r>
          <w:rPr>
            <w:noProof/>
            <w:webHidden/>
          </w:rPr>
          <w:instrText xml:space="preserve"> PAGEREF _Toc181683711 \h </w:instrText>
        </w:r>
        <w:r>
          <w:rPr>
            <w:noProof/>
            <w:webHidden/>
          </w:rPr>
        </w:r>
        <w:r>
          <w:rPr>
            <w:noProof/>
            <w:webHidden/>
          </w:rPr>
          <w:fldChar w:fldCharType="separate"/>
        </w:r>
        <w:r>
          <w:rPr>
            <w:noProof/>
            <w:webHidden/>
          </w:rPr>
          <w:t>289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2" w:history="1">
        <w:r w:rsidRPr="001B13A4">
          <w:rPr>
            <w:rStyle w:val="Hyperlink"/>
            <w:noProof/>
          </w:rPr>
          <w:t>2.1.676</w:t>
        </w:r>
        <w:r>
          <w:rPr>
            <w:rFonts w:asciiTheme="minorHAnsi" w:eastAsiaTheme="minorEastAsia" w:hAnsiTheme="minorHAnsi" w:cstheme="minorBidi"/>
            <w:noProof/>
            <w:sz w:val="22"/>
            <w:szCs w:val="22"/>
          </w:rPr>
          <w:tab/>
        </w:r>
        <w:r w:rsidRPr="001B13A4">
          <w:rPr>
            <w:rStyle w:val="Hyperlink"/>
            <w:noProof/>
          </w:rPr>
          <w:t>Part 1 Section 18.4.9, sst (Shared String Table)</w:t>
        </w:r>
        <w:r>
          <w:rPr>
            <w:noProof/>
            <w:webHidden/>
          </w:rPr>
          <w:tab/>
        </w:r>
        <w:r>
          <w:rPr>
            <w:noProof/>
            <w:webHidden/>
          </w:rPr>
          <w:fldChar w:fldCharType="begin"/>
        </w:r>
        <w:r>
          <w:rPr>
            <w:noProof/>
            <w:webHidden/>
          </w:rPr>
          <w:instrText xml:space="preserve"> PAGEREF _Toc181683712 \h </w:instrText>
        </w:r>
        <w:r>
          <w:rPr>
            <w:noProof/>
            <w:webHidden/>
          </w:rPr>
        </w:r>
        <w:r>
          <w:rPr>
            <w:noProof/>
            <w:webHidden/>
          </w:rPr>
          <w:fldChar w:fldCharType="separate"/>
        </w:r>
        <w:r>
          <w:rPr>
            <w:noProof/>
            <w:webHidden/>
          </w:rPr>
          <w:t>290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3" w:history="1">
        <w:r w:rsidRPr="001B13A4">
          <w:rPr>
            <w:rStyle w:val="Hyperlink"/>
            <w:noProof/>
          </w:rPr>
          <w:t>2.1.677</w:t>
        </w:r>
        <w:r>
          <w:rPr>
            <w:rFonts w:asciiTheme="minorHAnsi" w:eastAsiaTheme="minorEastAsia" w:hAnsiTheme="minorHAnsi" w:cstheme="minorBidi"/>
            <w:noProof/>
            <w:sz w:val="22"/>
            <w:szCs w:val="22"/>
          </w:rPr>
          <w:tab/>
        </w:r>
        <w:r w:rsidRPr="001B13A4">
          <w:rPr>
            <w:rStyle w:val="Hyperlink"/>
            <w:noProof/>
          </w:rPr>
          <w:t>Part 1 Section 18.4.11, sz (Font Size)</w:t>
        </w:r>
        <w:r>
          <w:rPr>
            <w:noProof/>
            <w:webHidden/>
          </w:rPr>
          <w:tab/>
        </w:r>
        <w:r>
          <w:rPr>
            <w:noProof/>
            <w:webHidden/>
          </w:rPr>
          <w:fldChar w:fldCharType="begin"/>
        </w:r>
        <w:r>
          <w:rPr>
            <w:noProof/>
            <w:webHidden/>
          </w:rPr>
          <w:instrText xml:space="preserve"> PAGEREF _Toc181683713 \h </w:instrText>
        </w:r>
        <w:r>
          <w:rPr>
            <w:noProof/>
            <w:webHidden/>
          </w:rPr>
        </w:r>
        <w:r>
          <w:rPr>
            <w:noProof/>
            <w:webHidden/>
          </w:rPr>
          <w:fldChar w:fldCharType="separate"/>
        </w:r>
        <w:r>
          <w:rPr>
            <w:noProof/>
            <w:webHidden/>
          </w:rPr>
          <w:t>290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4" w:history="1">
        <w:r w:rsidRPr="001B13A4">
          <w:rPr>
            <w:rStyle w:val="Hyperlink"/>
            <w:noProof/>
          </w:rPr>
          <w:t>2.1.678</w:t>
        </w:r>
        <w:r>
          <w:rPr>
            <w:rFonts w:asciiTheme="minorHAnsi" w:eastAsiaTheme="minorEastAsia" w:hAnsiTheme="minorHAnsi" w:cstheme="minorBidi"/>
            <w:noProof/>
            <w:sz w:val="22"/>
            <w:szCs w:val="22"/>
          </w:rPr>
          <w:tab/>
        </w:r>
        <w:r w:rsidRPr="001B13A4">
          <w:rPr>
            <w:rStyle w:val="Hyperlink"/>
            <w:noProof/>
          </w:rPr>
          <w:t>Part 1 Section 18.4.12, t (Text)</w:t>
        </w:r>
        <w:r>
          <w:rPr>
            <w:noProof/>
            <w:webHidden/>
          </w:rPr>
          <w:tab/>
        </w:r>
        <w:r>
          <w:rPr>
            <w:noProof/>
            <w:webHidden/>
          </w:rPr>
          <w:fldChar w:fldCharType="begin"/>
        </w:r>
        <w:r>
          <w:rPr>
            <w:noProof/>
            <w:webHidden/>
          </w:rPr>
          <w:instrText xml:space="preserve"> PAGEREF _Toc181683714 \h </w:instrText>
        </w:r>
        <w:r>
          <w:rPr>
            <w:noProof/>
            <w:webHidden/>
          </w:rPr>
        </w:r>
        <w:r>
          <w:rPr>
            <w:noProof/>
            <w:webHidden/>
          </w:rPr>
          <w:fldChar w:fldCharType="separate"/>
        </w:r>
        <w:r>
          <w:rPr>
            <w:noProof/>
            <w:webHidden/>
          </w:rPr>
          <w:t>290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5" w:history="1">
        <w:r w:rsidRPr="001B13A4">
          <w:rPr>
            <w:rStyle w:val="Hyperlink"/>
            <w:noProof/>
          </w:rPr>
          <w:t>2.1.679</w:t>
        </w:r>
        <w:r>
          <w:rPr>
            <w:rFonts w:asciiTheme="minorHAnsi" w:eastAsiaTheme="minorEastAsia" w:hAnsiTheme="minorHAnsi" w:cstheme="minorBidi"/>
            <w:noProof/>
            <w:sz w:val="22"/>
            <w:szCs w:val="22"/>
          </w:rPr>
          <w:tab/>
        </w:r>
        <w:r w:rsidRPr="001B13A4">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_Toc181683715 \h </w:instrText>
        </w:r>
        <w:r>
          <w:rPr>
            <w:noProof/>
            <w:webHidden/>
          </w:rPr>
        </w:r>
        <w:r>
          <w:rPr>
            <w:noProof/>
            <w:webHidden/>
          </w:rPr>
          <w:fldChar w:fldCharType="separate"/>
        </w:r>
        <w:r>
          <w:rPr>
            <w:noProof/>
            <w:webHidden/>
          </w:rPr>
          <w:t>290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6" w:history="1">
        <w:r w:rsidRPr="001B13A4">
          <w:rPr>
            <w:rStyle w:val="Hyperlink"/>
            <w:noProof/>
          </w:rPr>
          <w:t>2.1.680</w:t>
        </w:r>
        <w:r>
          <w:rPr>
            <w:rFonts w:asciiTheme="minorHAnsi" w:eastAsiaTheme="minorEastAsia" w:hAnsiTheme="minorHAnsi" w:cstheme="minorBidi"/>
            <w:noProof/>
            <w:sz w:val="22"/>
            <w:szCs w:val="22"/>
          </w:rPr>
          <w:tab/>
        </w:r>
        <w:r w:rsidRPr="001B13A4">
          <w:rPr>
            <w:rStyle w:val="Hyperlink"/>
            <w:noProof/>
          </w:rPr>
          <w:t>Part 1 Section 18.5.1.2, table (Table)</w:t>
        </w:r>
        <w:r>
          <w:rPr>
            <w:noProof/>
            <w:webHidden/>
          </w:rPr>
          <w:tab/>
        </w:r>
        <w:r>
          <w:rPr>
            <w:noProof/>
            <w:webHidden/>
          </w:rPr>
          <w:fldChar w:fldCharType="begin"/>
        </w:r>
        <w:r>
          <w:rPr>
            <w:noProof/>
            <w:webHidden/>
          </w:rPr>
          <w:instrText xml:space="preserve"> PAGEREF _Toc181683716 \h </w:instrText>
        </w:r>
        <w:r>
          <w:rPr>
            <w:noProof/>
            <w:webHidden/>
          </w:rPr>
        </w:r>
        <w:r>
          <w:rPr>
            <w:noProof/>
            <w:webHidden/>
          </w:rPr>
          <w:fldChar w:fldCharType="separate"/>
        </w:r>
        <w:r>
          <w:rPr>
            <w:noProof/>
            <w:webHidden/>
          </w:rPr>
          <w:t>291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7" w:history="1">
        <w:r w:rsidRPr="001B13A4">
          <w:rPr>
            <w:rStyle w:val="Hyperlink"/>
            <w:noProof/>
          </w:rPr>
          <w:t>2.1.681</w:t>
        </w:r>
        <w:r>
          <w:rPr>
            <w:rFonts w:asciiTheme="minorHAnsi" w:eastAsiaTheme="minorEastAsia" w:hAnsiTheme="minorHAnsi" w:cstheme="minorBidi"/>
            <w:noProof/>
            <w:sz w:val="22"/>
            <w:szCs w:val="22"/>
          </w:rPr>
          <w:tab/>
        </w:r>
        <w:r w:rsidRPr="001B13A4">
          <w:rPr>
            <w:rStyle w:val="Hyperlink"/>
            <w:noProof/>
          </w:rPr>
          <w:t>Part 1 Section 18.5.1.3, tableColumn (Table Column)</w:t>
        </w:r>
        <w:r>
          <w:rPr>
            <w:noProof/>
            <w:webHidden/>
          </w:rPr>
          <w:tab/>
        </w:r>
        <w:r>
          <w:rPr>
            <w:noProof/>
            <w:webHidden/>
          </w:rPr>
          <w:fldChar w:fldCharType="begin"/>
        </w:r>
        <w:r>
          <w:rPr>
            <w:noProof/>
            <w:webHidden/>
          </w:rPr>
          <w:instrText xml:space="preserve"> PAGEREF _Toc181683717 \h </w:instrText>
        </w:r>
        <w:r>
          <w:rPr>
            <w:noProof/>
            <w:webHidden/>
          </w:rPr>
        </w:r>
        <w:r>
          <w:rPr>
            <w:noProof/>
            <w:webHidden/>
          </w:rPr>
          <w:fldChar w:fldCharType="separate"/>
        </w:r>
        <w:r>
          <w:rPr>
            <w:noProof/>
            <w:webHidden/>
          </w:rPr>
          <w:t>291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8" w:history="1">
        <w:r w:rsidRPr="001B13A4">
          <w:rPr>
            <w:rStyle w:val="Hyperlink"/>
            <w:noProof/>
          </w:rPr>
          <w:t>2.1.682</w:t>
        </w:r>
        <w:r>
          <w:rPr>
            <w:rFonts w:asciiTheme="minorHAnsi" w:eastAsiaTheme="minorEastAsia" w:hAnsiTheme="minorHAnsi" w:cstheme="minorBidi"/>
            <w:noProof/>
            <w:sz w:val="22"/>
            <w:szCs w:val="22"/>
          </w:rPr>
          <w:tab/>
        </w:r>
        <w:r w:rsidRPr="001B13A4">
          <w:rPr>
            <w:rStyle w:val="Hyperlink"/>
            <w:noProof/>
          </w:rPr>
          <w:t>Part 1 Section 18.5.1.5, tableStyleInfo (Table Style)</w:t>
        </w:r>
        <w:r>
          <w:rPr>
            <w:noProof/>
            <w:webHidden/>
          </w:rPr>
          <w:tab/>
        </w:r>
        <w:r>
          <w:rPr>
            <w:noProof/>
            <w:webHidden/>
          </w:rPr>
          <w:fldChar w:fldCharType="begin"/>
        </w:r>
        <w:r>
          <w:rPr>
            <w:noProof/>
            <w:webHidden/>
          </w:rPr>
          <w:instrText xml:space="preserve"> PAGEREF _Toc181683718 \h </w:instrText>
        </w:r>
        <w:r>
          <w:rPr>
            <w:noProof/>
            <w:webHidden/>
          </w:rPr>
        </w:r>
        <w:r>
          <w:rPr>
            <w:noProof/>
            <w:webHidden/>
          </w:rPr>
          <w:fldChar w:fldCharType="separate"/>
        </w:r>
        <w:r>
          <w:rPr>
            <w:noProof/>
            <w:webHidden/>
          </w:rPr>
          <w:t>293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19" w:history="1">
        <w:r w:rsidRPr="001B13A4">
          <w:rPr>
            <w:rStyle w:val="Hyperlink"/>
            <w:noProof/>
          </w:rPr>
          <w:t>2.1.683</w:t>
        </w:r>
        <w:r>
          <w:rPr>
            <w:rFonts w:asciiTheme="minorHAnsi" w:eastAsiaTheme="minorEastAsia" w:hAnsiTheme="minorHAnsi" w:cstheme="minorBidi"/>
            <w:noProof/>
            <w:sz w:val="22"/>
            <w:szCs w:val="22"/>
          </w:rPr>
          <w:tab/>
        </w:r>
        <w:r w:rsidRPr="001B13A4">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_Toc181683719 \h </w:instrText>
        </w:r>
        <w:r>
          <w:rPr>
            <w:noProof/>
            <w:webHidden/>
          </w:rPr>
        </w:r>
        <w:r>
          <w:rPr>
            <w:noProof/>
            <w:webHidden/>
          </w:rPr>
          <w:fldChar w:fldCharType="separate"/>
        </w:r>
        <w:r>
          <w:rPr>
            <w:noProof/>
            <w:webHidden/>
          </w:rPr>
          <w:t>293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0" w:history="1">
        <w:r w:rsidRPr="001B13A4">
          <w:rPr>
            <w:rStyle w:val="Hyperlink"/>
            <w:noProof/>
          </w:rPr>
          <w:t>2.1.684</w:t>
        </w:r>
        <w:r>
          <w:rPr>
            <w:rFonts w:asciiTheme="minorHAnsi" w:eastAsiaTheme="minorEastAsia" w:hAnsiTheme="minorHAnsi" w:cstheme="minorBidi"/>
            <w:noProof/>
            <w:sz w:val="22"/>
            <w:szCs w:val="22"/>
          </w:rPr>
          <w:tab/>
        </w:r>
        <w:r w:rsidRPr="001B13A4">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_Toc181683720 \h </w:instrText>
        </w:r>
        <w:r>
          <w:rPr>
            <w:noProof/>
            <w:webHidden/>
          </w:rPr>
        </w:r>
        <w:r>
          <w:rPr>
            <w:noProof/>
            <w:webHidden/>
          </w:rPr>
          <w:fldChar w:fldCharType="separate"/>
        </w:r>
        <w:r>
          <w:rPr>
            <w:noProof/>
            <w:webHidden/>
          </w:rPr>
          <w:t>293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1" w:history="1">
        <w:r w:rsidRPr="001B13A4">
          <w:rPr>
            <w:rStyle w:val="Hyperlink"/>
            <w:noProof/>
          </w:rPr>
          <w:t>2.1.685</w:t>
        </w:r>
        <w:r>
          <w:rPr>
            <w:rFonts w:asciiTheme="minorHAnsi" w:eastAsiaTheme="minorEastAsia" w:hAnsiTheme="minorHAnsi" w:cstheme="minorBidi"/>
            <w:noProof/>
            <w:sz w:val="22"/>
            <w:szCs w:val="22"/>
          </w:rPr>
          <w:tab/>
        </w:r>
        <w:r w:rsidRPr="001B13A4">
          <w:rPr>
            <w:rStyle w:val="Hyperlink"/>
            <w:noProof/>
          </w:rPr>
          <w:t>Part 1 Section 18.5.2.1, singleXmlCell (Table Properties)</w:t>
        </w:r>
        <w:r>
          <w:rPr>
            <w:noProof/>
            <w:webHidden/>
          </w:rPr>
          <w:tab/>
        </w:r>
        <w:r>
          <w:rPr>
            <w:noProof/>
            <w:webHidden/>
          </w:rPr>
          <w:fldChar w:fldCharType="begin"/>
        </w:r>
        <w:r>
          <w:rPr>
            <w:noProof/>
            <w:webHidden/>
          </w:rPr>
          <w:instrText xml:space="preserve"> PAGEREF _Toc181683721 \h </w:instrText>
        </w:r>
        <w:r>
          <w:rPr>
            <w:noProof/>
            <w:webHidden/>
          </w:rPr>
        </w:r>
        <w:r>
          <w:rPr>
            <w:noProof/>
            <w:webHidden/>
          </w:rPr>
          <w:fldChar w:fldCharType="separate"/>
        </w:r>
        <w:r>
          <w:rPr>
            <w:noProof/>
            <w:webHidden/>
          </w:rPr>
          <w:t>293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2" w:history="1">
        <w:r w:rsidRPr="001B13A4">
          <w:rPr>
            <w:rStyle w:val="Hyperlink"/>
            <w:noProof/>
          </w:rPr>
          <w:t>2.1.686</w:t>
        </w:r>
        <w:r>
          <w:rPr>
            <w:rFonts w:asciiTheme="minorHAnsi" w:eastAsiaTheme="minorEastAsia" w:hAnsiTheme="minorHAnsi" w:cstheme="minorBidi"/>
            <w:noProof/>
            <w:sz w:val="22"/>
            <w:szCs w:val="22"/>
          </w:rPr>
          <w:tab/>
        </w:r>
        <w:r w:rsidRPr="001B13A4">
          <w:rPr>
            <w:rStyle w:val="Hyperlink"/>
            <w:noProof/>
          </w:rPr>
          <w:t>Part 1 Section 18.5.2.3, xmlCellPr (Cell Properties)</w:t>
        </w:r>
        <w:r>
          <w:rPr>
            <w:noProof/>
            <w:webHidden/>
          </w:rPr>
          <w:tab/>
        </w:r>
        <w:r>
          <w:rPr>
            <w:noProof/>
            <w:webHidden/>
          </w:rPr>
          <w:fldChar w:fldCharType="begin"/>
        </w:r>
        <w:r>
          <w:rPr>
            <w:noProof/>
            <w:webHidden/>
          </w:rPr>
          <w:instrText xml:space="preserve"> PAGEREF _Toc181683722 \h </w:instrText>
        </w:r>
        <w:r>
          <w:rPr>
            <w:noProof/>
            <w:webHidden/>
          </w:rPr>
        </w:r>
        <w:r>
          <w:rPr>
            <w:noProof/>
            <w:webHidden/>
          </w:rPr>
          <w:fldChar w:fldCharType="separate"/>
        </w:r>
        <w:r>
          <w:rPr>
            <w:noProof/>
            <w:webHidden/>
          </w:rPr>
          <w:t>293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3" w:history="1">
        <w:r w:rsidRPr="001B13A4">
          <w:rPr>
            <w:rStyle w:val="Hyperlink"/>
            <w:noProof/>
          </w:rPr>
          <w:t>2.1.687</w:t>
        </w:r>
        <w:r>
          <w:rPr>
            <w:rFonts w:asciiTheme="minorHAnsi" w:eastAsiaTheme="minorEastAsia" w:hAnsiTheme="minorHAnsi" w:cstheme="minorBidi"/>
            <w:noProof/>
            <w:sz w:val="22"/>
            <w:szCs w:val="22"/>
          </w:rPr>
          <w:tab/>
        </w:r>
        <w:r w:rsidRPr="001B13A4">
          <w:rPr>
            <w:rStyle w:val="Hyperlink"/>
            <w:noProof/>
          </w:rPr>
          <w:t>Part 1 Section 18.5.2.4, xmlPr (Column XML Properties)</w:t>
        </w:r>
        <w:r>
          <w:rPr>
            <w:noProof/>
            <w:webHidden/>
          </w:rPr>
          <w:tab/>
        </w:r>
        <w:r>
          <w:rPr>
            <w:noProof/>
            <w:webHidden/>
          </w:rPr>
          <w:fldChar w:fldCharType="begin"/>
        </w:r>
        <w:r>
          <w:rPr>
            <w:noProof/>
            <w:webHidden/>
          </w:rPr>
          <w:instrText xml:space="preserve"> PAGEREF _Toc181683723 \h </w:instrText>
        </w:r>
        <w:r>
          <w:rPr>
            <w:noProof/>
            <w:webHidden/>
          </w:rPr>
        </w:r>
        <w:r>
          <w:rPr>
            <w:noProof/>
            <w:webHidden/>
          </w:rPr>
          <w:fldChar w:fldCharType="separate"/>
        </w:r>
        <w:r>
          <w:rPr>
            <w:noProof/>
            <w:webHidden/>
          </w:rPr>
          <w:t>294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4" w:history="1">
        <w:r w:rsidRPr="001B13A4">
          <w:rPr>
            <w:rStyle w:val="Hyperlink"/>
            <w:noProof/>
          </w:rPr>
          <w:t>2.1.688</w:t>
        </w:r>
        <w:r>
          <w:rPr>
            <w:rFonts w:asciiTheme="minorHAnsi" w:eastAsiaTheme="minorEastAsia" w:hAnsiTheme="minorHAnsi" w:cstheme="minorBidi"/>
            <w:noProof/>
            <w:sz w:val="22"/>
            <w:szCs w:val="22"/>
          </w:rPr>
          <w:tab/>
        </w:r>
        <w:r w:rsidRPr="001B13A4">
          <w:rPr>
            <w:rStyle w:val="Hyperlink"/>
            <w:noProof/>
          </w:rPr>
          <w:t>Part 1 Section 18.6.1, c (Cell)</w:t>
        </w:r>
        <w:r>
          <w:rPr>
            <w:noProof/>
            <w:webHidden/>
          </w:rPr>
          <w:tab/>
        </w:r>
        <w:r>
          <w:rPr>
            <w:noProof/>
            <w:webHidden/>
          </w:rPr>
          <w:fldChar w:fldCharType="begin"/>
        </w:r>
        <w:r>
          <w:rPr>
            <w:noProof/>
            <w:webHidden/>
          </w:rPr>
          <w:instrText xml:space="preserve"> PAGEREF _Toc181683724 \h </w:instrText>
        </w:r>
        <w:r>
          <w:rPr>
            <w:noProof/>
            <w:webHidden/>
          </w:rPr>
        </w:r>
        <w:r>
          <w:rPr>
            <w:noProof/>
            <w:webHidden/>
          </w:rPr>
          <w:fldChar w:fldCharType="separate"/>
        </w:r>
        <w:r>
          <w:rPr>
            <w:noProof/>
            <w:webHidden/>
          </w:rPr>
          <w:t>294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5" w:history="1">
        <w:r w:rsidRPr="001B13A4">
          <w:rPr>
            <w:rStyle w:val="Hyperlink"/>
            <w:noProof/>
          </w:rPr>
          <w:t>2.1.689</w:t>
        </w:r>
        <w:r>
          <w:rPr>
            <w:rFonts w:asciiTheme="minorHAnsi" w:eastAsiaTheme="minorEastAsia" w:hAnsiTheme="minorHAnsi" w:cstheme="minorBidi"/>
            <w:noProof/>
            <w:sz w:val="22"/>
            <w:szCs w:val="22"/>
          </w:rPr>
          <w:tab/>
        </w:r>
        <w:r w:rsidRPr="001B13A4">
          <w:rPr>
            <w:rStyle w:val="Hyperlink"/>
            <w:noProof/>
          </w:rPr>
          <w:t>Part 1 Section 18.7.1, author (Author)</w:t>
        </w:r>
        <w:r>
          <w:rPr>
            <w:noProof/>
            <w:webHidden/>
          </w:rPr>
          <w:tab/>
        </w:r>
        <w:r>
          <w:rPr>
            <w:noProof/>
            <w:webHidden/>
          </w:rPr>
          <w:fldChar w:fldCharType="begin"/>
        </w:r>
        <w:r>
          <w:rPr>
            <w:noProof/>
            <w:webHidden/>
          </w:rPr>
          <w:instrText xml:space="preserve"> PAGEREF _Toc181683725 \h </w:instrText>
        </w:r>
        <w:r>
          <w:rPr>
            <w:noProof/>
            <w:webHidden/>
          </w:rPr>
        </w:r>
        <w:r>
          <w:rPr>
            <w:noProof/>
            <w:webHidden/>
          </w:rPr>
          <w:fldChar w:fldCharType="separate"/>
        </w:r>
        <w:r>
          <w:rPr>
            <w:noProof/>
            <w:webHidden/>
          </w:rPr>
          <w:t>295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6" w:history="1">
        <w:r w:rsidRPr="001B13A4">
          <w:rPr>
            <w:rStyle w:val="Hyperlink"/>
            <w:noProof/>
          </w:rPr>
          <w:t>2.1.690</w:t>
        </w:r>
        <w:r>
          <w:rPr>
            <w:rFonts w:asciiTheme="minorHAnsi" w:eastAsiaTheme="minorEastAsia" w:hAnsiTheme="minorHAnsi" w:cstheme="minorBidi"/>
            <w:noProof/>
            <w:sz w:val="22"/>
            <w:szCs w:val="22"/>
          </w:rPr>
          <w:tab/>
        </w:r>
        <w:r w:rsidRPr="001B13A4">
          <w:rPr>
            <w:rStyle w:val="Hyperlink"/>
            <w:noProof/>
          </w:rPr>
          <w:t>Part 1 Section 18.7.3, comment (Comment)</w:t>
        </w:r>
        <w:r>
          <w:rPr>
            <w:noProof/>
            <w:webHidden/>
          </w:rPr>
          <w:tab/>
        </w:r>
        <w:r>
          <w:rPr>
            <w:noProof/>
            <w:webHidden/>
          </w:rPr>
          <w:fldChar w:fldCharType="begin"/>
        </w:r>
        <w:r>
          <w:rPr>
            <w:noProof/>
            <w:webHidden/>
          </w:rPr>
          <w:instrText xml:space="preserve"> PAGEREF _Toc181683726 \h </w:instrText>
        </w:r>
        <w:r>
          <w:rPr>
            <w:noProof/>
            <w:webHidden/>
          </w:rPr>
        </w:r>
        <w:r>
          <w:rPr>
            <w:noProof/>
            <w:webHidden/>
          </w:rPr>
          <w:fldChar w:fldCharType="separate"/>
        </w:r>
        <w:r>
          <w:rPr>
            <w:noProof/>
            <w:webHidden/>
          </w:rPr>
          <w:t>295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7" w:history="1">
        <w:r w:rsidRPr="001B13A4">
          <w:rPr>
            <w:rStyle w:val="Hyperlink"/>
            <w:noProof/>
          </w:rPr>
          <w:t>2.1.691</w:t>
        </w:r>
        <w:r>
          <w:rPr>
            <w:rFonts w:asciiTheme="minorHAnsi" w:eastAsiaTheme="minorEastAsia" w:hAnsiTheme="minorHAnsi" w:cstheme="minorBidi"/>
            <w:noProof/>
            <w:sz w:val="22"/>
            <w:szCs w:val="22"/>
          </w:rPr>
          <w:tab/>
        </w:r>
        <w:r w:rsidRPr="001B13A4">
          <w:rPr>
            <w:rStyle w:val="Hyperlink"/>
            <w:noProof/>
          </w:rPr>
          <w:t>Part 1 Section 18.7.5, commentPr (Comment Properties)</w:t>
        </w:r>
        <w:r>
          <w:rPr>
            <w:noProof/>
            <w:webHidden/>
          </w:rPr>
          <w:tab/>
        </w:r>
        <w:r>
          <w:rPr>
            <w:noProof/>
            <w:webHidden/>
          </w:rPr>
          <w:fldChar w:fldCharType="begin"/>
        </w:r>
        <w:r>
          <w:rPr>
            <w:noProof/>
            <w:webHidden/>
          </w:rPr>
          <w:instrText xml:space="preserve"> PAGEREF _Toc181683727 \h </w:instrText>
        </w:r>
        <w:r>
          <w:rPr>
            <w:noProof/>
            <w:webHidden/>
          </w:rPr>
        </w:r>
        <w:r>
          <w:rPr>
            <w:noProof/>
            <w:webHidden/>
          </w:rPr>
          <w:fldChar w:fldCharType="separate"/>
        </w:r>
        <w:r>
          <w:rPr>
            <w:noProof/>
            <w:webHidden/>
          </w:rPr>
          <w:t>295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8" w:history="1">
        <w:r w:rsidRPr="001B13A4">
          <w:rPr>
            <w:rStyle w:val="Hyperlink"/>
            <w:noProof/>
          </w:rPr>
          <w:t>2.1.692</w:t>
        </w:r>
        <w:r>
          <w:rPr>
            <w:rFonts w:asciiTheme="minorHAnsi" w:eastAsiaTheme="minorEastAsia" w:hAnsiTheme="minorHAnsi" w:cstheme="minorBidi"/>
            <w:noProof/>
            <w:sz w:val="22"/>
            <w:szCs w:val="22"/>
          </w:rPr>
          <w:tab/>
        </w:r>
        <w:r w:rsidRPr="001B13A4">
          <w:rPr>
            <w:rStyle w:val="Hyperlink"/>
            <w:noProof/>
          </w:rPr>
          <w:t>Part 1 Section 18.7.7, text (Comment Text)</w:t>
        </w:r>
        <w:r>
          <w:rPr>
            <w:noProof/>
            <w:webHidden/>
          </w:rPr>
          <w:tab/>
        </w:r>
        <w:r>
          <w:rPr>
            <w:noProof/>
            <w:webHidden/>
          </w:rPr>
          <w:fldChar w:fldCharType="begin"/>
        </w:r>
        <w:r>
          <w:rPr>
            <w:noProof/>
            <w:webHidden/>
          </w:rPr>
          <w:instrText xml:space="preserve"> PAGEREF _Toc181683728 \h </w:instrText>
        </w:r>
        <w:r>
          <w:rPr>
            <w:noProof/>
            <w:webHidden/>
          </w:rPr>
        </w:r>
        <w:r>
          <w:rPr>
            <w:noProof/>
            <w:webHidden/>
          </w:rPr>
          <w:fldChar w:fldCharType="separate"/>
        </w:r>
        <w:r>
          <w:rPr>
            <w:noProof/>
            <w:webHidden/>
          </w:rPr>
          <w:t>295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29" w:history="1">
        <w:r w:rsidRPr="001B13A4">
          <w:rPr>
            <w:rStyle w:val="Hyperlink"/>
            <w:noProof/>
          </w:rPr>
          <w:t>2.1.693</w:t>
        </w:r>
        <w:r>
          <w:rPr>
            <w:rFonts w:asciiTheme="minorHAnsi" w:eastAsiaTheme="minorEastAsia" w:hAnsiTheme="minorHAnsi" w:cstheme="minorBidi"/>
            <w:noProof/>
            <w:sz w:val="22"/>
            <w:szCs w:val="22"/>
          </w:rPr>
          <w:tab/>
        </w:r>
        <w:r w:rsidRPr="001B13A4">
          <w:rPr>
            <w:rStyle w:val="Hyperlink"/>
            <w:noProof/>
          </w:rPr>
          <w:t>Part 1 Section 18.8.1, alignment (Alignment)</w:t>
        </w:r>
        <w:r>
          <w:rPr>
            <w:noProof/>
            <w:webHidden/>
          </w:rPr>
          <w:tab/>
        </w:r>
        <w:r>
          <w:rPr>
            <w:noProof/>
            <w:webHidden/>
          </w:rPr>
          <w:fldChar w:fldCharType="begin"/>
        </w:r>
        <w:r>
          <w:rPr>
            <w:noProof/>
            <w:webHidden/>
          </w:rPr>
          <w:instrText xml:space="preserve"> PAGEREF _Toc181683729 \h </w:instrText>
        </w:r>
        <w:r>
          <w:rPr>
            <w:noProof/>
            <w:webHidden/>
          </w:rPr>
        </w:r>
        <w:r>
          <w:rPr>
            <w:noProof/>
            <w:webHidden/>
          </w:rPr>
          <w:fldChar w:fldCharType="separate"/>
        </w:r>
        <w:r>
          <w:rPr>
            <w:noProof/>
            <w:webHidden/>
          </w:rPr>
          <w:t>295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0" w:history="1">
        <w:r w:rsidRPr="001B13A4">
          <w:rPr>
            <w:rStyle w:val="Hyperlink"/>
            <w:noProof/>
          </w:rPr>
          <w:t>2.1.694</w:t>
        </w:r>
        <w:r>
          <w:rPr>
            <w:rFonts w:asciiTheme="minorHAnsi" w:eastAsiaTheme="minorEastAsia" w:hAnsiTheme="minorHAnsi" w:cstheme="minorBidi"/>
            <w:noProof/>
            <w:sz w:val="22"/>
            <w:szCs w:val="22"/>
          </w:rPr>
          <w:tab/>
        </w:r>
        <w:r w:rsidRPr="001B13A4">
          <w:rPr>
            <w:rStyle w:val="Hyperlink"/>
            <w:noProof/>
          </w:rPr>
          <w:t>Part 1 Section 18.8.3, bgColor (Background Color)</w:t>
        </w:r>
        <w:r>
          <w:rPr>
            <w:noProof/>
            <w:webHidden/>
          </w:rPr>
          <w:tab/>
        </w:r>
        <w:r>
          <w:rPr>
            <w:noProof/>
            <w:webHidden/>
          </w:rPr>
          <w:fldChar w:fldCharType="begin"/>
        </w:r>
        <w:r>
          <w:rPr>
            <w:noProof/>
            <w:webHidden/>
          </w:rPr>
          <w:instrText xml:space="preserve"> PAGEREF _Toc181683730 \h </w:instrText>
        </w:r>
        <w:r>
          <w:rPr>
            <w:noProof/>
            <w:webHidden/>
          </w:rPr>
        </w:r>
        <w:r>
          <w:rPr>
            <w:noProof/>
            <w:webHidden/>
          </w:rPr>
          <w:fldChar w:fldCharType="separate"/>
        </w:r>
        <w:r>
          <w:rPr>
            <w:noProof/>
            <w:webHidden/>
          </w:rPr>
          <w:t>296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1" w:history="1">
        <w:r w:rsidRPr="001B13A4">
          <w:rPr>
            <w:rStyle w:val="Hyperlink"/>
            <w:noProof/>
          </w:rPr>
          <w:t>2.1.695</w:t>
        </w:r>
        <w:r>
          <w:rPr>
            <w:rFonts w:asciiTheme="minorHAnsi" w:eastAsiaTheme="minorEastAsia" w:hAnsiTheme="minorHAnsi" w:cstheme="minorBidi"/>
            <w:noProof/>
            <w:sz w:val="22"/>
            <w:szCs w:val="22"/>
          </w:rPr>
          <w:tab/>
        </w:r>
        <w:r w:rsidRPr="001B13A4">
          <w:rPr>
            <w:rStyle w:val="Hyperlink"/>
            <w:noProof/>
          </w:rPr>
          <w:t>Part 1 Section 18.8.4, border (Border)</w:t>
        </w:r>
        <w:r>
          <w:rPr>
            <w:noProof/>
            <w:webHidden/>
          </w:rPr>
          <w:tab/>
        </w:r>
        <w:r>
          <w:rPr>
            <w:noProof/>
            <w:webHidden/>
          </w:rPr>
          <w:fldChar w:fldCharType="begin"/>
        </w:r>
        <w:r>
          <w:rPr>
            <w:noProof/>
            <w:webHidden/>
          </w:rPr>
          <w:instrText xml:space="preserve"> PAGEREF _Toc181683731 \h </w:instrText>
        </w:r>
        <w:r>
          <w:rPr>
            <w:noProof/>
            <w:webHidden/>
          </w:rPr>
        </w:r>
        <w:r>
          <w:rPr>
            <w:noProof/>
            <w:webHidden/>
          </w:rPr>
          <w:fldChar w:fldCharType="separate"/>
        </w:r>
        <w:r>
          <w:rPr>
            <w:noProof/>
            <w:webHidden/>
          </w:rPr>
          <w:t>296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2" w:history="1">
        <w:r w:rsidRPr="001B13A4">
          <w:rPr>
            <w:rStyle w:val="Hyperlink"/>
            <w:noProof/>
          </w:rPr>
          <w:t>2.1.696</w:t>
        </w:r>
        <w:r>
          <w:rPr>
            <w:rFonts w:asciiTheme="minorHAnsi" w:eastAsiaTheme="minorEastAsia" w:hAnsiTheme="minorHAnsi" w:cstheme="minorBidi"/>
            <w:noProof/>
            <w:sz w:val="22"/>
            <w:szCs w:val="22"/>
          </w:rPr>
          <w:tab/>
        </w:r>
        <w:r w:rsidRPr="001B13A4">
          <w:rPr>
            <w:rStyle w:val="Hyperlink"/>
            <w:noProof/>
          </w:rPr>
          <w:t>Part 1 Section 18.8.5, borders (Borders)</w:t>
        </w:r>
        <w:r>
          <w:rPr>
            <w:noProof/>
            <w:webHidden/>
          </w:rPr>
          <w:tab/>
        </w:r>
        <w:r>
          <w:rPr>
            <w:noProof/>
            <w:webHidden/>
          </w:rPr>
          <w:fldChar w:fldCharType="begin"/>
        </w:r>
        <w:r>
          <w:rPr>
            <w:noProof/>
            <w:webHidden/>
          </w:rPr>
          <w:instrText xml:space="preserve"> PAGEREF _Toc181683732 \h </w:instrText>
        </w:r>
        <w:r>
          <w:rPr>
            <w:noProof/>
            <w:webHidden/>
          </w:rPr>
        </w:r>
        <w:r>
          <w:rPr>
            <w:noProof/>
            <w:webHidden/>
          </w:rPr>
          <w:fldChar w:fldCharType="separate"/>
        </w:r>
        <w:r>
          <w:rPr>
            <w:noProof/>
            <w:webHidden/>
          </w:rPr>
          <w:t>296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3" w:history="1">
        <w:r w:rsidRPr="001B13A4">
          <w:rPr>
            <w:rStyle w:val="Hyperlink"/>
            <w:noProof/>
          </w:rPr>
          <w:t>2.1.697</w:t>
        </w:r>
        <w:r>
          <w:rPr>
            <w:rFonts w:asciiTheme="minorHAnsi" w:eastAsiaTheme="minorEastAsia" w:hAnsiTheme="minorHAnsi" w:cstheme="minorBidi"/>
            <w:noProof/>
            <w:sz w:val="22"/>
            <w:szCs w:val="22"/>
          </w:rPr>
          <w:tab/>
        </w:r>
        <w:r w:rsidRPr="001B13A4">
          <w:rPr>
            <w:rStyle w:val="Hyperlink"/>
            <w:noProof/>
          </w:rPr>
          <w:t>Part 1 Section 18.8.7, cellStyle (Cell Style)</w:t>
        </w:r>
        <w:r>
          <w:rPr>
            <w:noProof/>
            <w:webHidden/>
          </w:rPr>
          <w:tab/>
        </w:r>
        <w:r>
          <w:rPr>
            <w:noProof/>
            <w:webHidden/>
          </w:rPr>
          <w:fldChar w:fldCharType="begin"/>
        </w:r>
        <w:r>
          <w:rPr>
            <w:noProof/>
            <w:webHidden/>
          </w:rPr>
          <w:instrText xml:space="preserve"> PAGEREF _Toc181683733 \h </w:instrText>
        </w:r>
        <w:r>
          <w:rPr>
            <w:noProof/>
            <w:webHidden/>
          </w:rPr>
        </w:r>
        <w:r>
          <w:rPr>
            <w:noProof/>
            <w:webHidden/>
          </w:rPr>
          <w:fldChar w:fldCharType="separate"/>
        </w:r>
        <w:r>
          <w:rPr>
            <w:noProof/>
            <w:webHidden/>
          </w:rPr>
          <w:t>296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4" w:history="1">
        <w:r w:rsidRPr="001B13A4">
          <w:rPr>
            <w:rStyle w:val="Hyperlink"/>
            <w:noProof/>
          </w:rPr>
          <w:t>2.1.698</w:t>
        </w:r>
        <w:r>
          <w:rPr>
            <w:rFonts w:asciiTheme="minorHAnsi" w:eastAsiaTheme="minorEastAsia" w:hAnsiTheme="minorHAnsi" w:cstheme="minorBidi"/>
            <w:noProof/>
            <w:sz w:val="22"/>
            <w:szCs w:val="22"/>
          </w:rPr>
          <w:tab/>
        </w:r>
        <w:r w:rsidRPr="001B13A4">
          <w:rPr>
            <w:rStyle w:val="Hyperlink"/>
            <w:noProof/>
          </w:rPr>
          <w:t>Part 1 Section 18.8.8, cellStyles (Cell Styles)</w:t>
        </w:r>
        <w:r>
          <w:rPr>
            <w:noProof/>
            <w:webHidden/>
          </w:rPr>
          <w:tab/>
        </w:r>
        <w:r>
          <w:rPr>
            <w:noProof/>
            <w:webHidden/>
          </w:rPr>
          <w:fldChar w:fldCharType="begin"/>
        </w:r>
        <w:r>
          <w:rPr>
            <w:noProof/>
            <w:webHidden/>
          </w:rPr>
          <w:instrText xml:space="preserve"> PAGEREF _Toc181683734 \h </w:instrText>
        </w:r>
        <w:r>
          <w:rPr>
            <w:noProof/>
            <w:webHidden/>
          </w:rPr>
        </w:r>
        <w:r>
          <w:rPr>
            <w:noProof/>
            <w:webHidden/>
          </w:rPr>
          <w:fldChar w:fldCharType="separate"/>
        </w:r>
        <w:r>
          <w:rPr>
            <w:noProof/>
            <w:webHidden/>
          </w:rPr>
          <w:t>297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5" w:history="1">
        <w:r w:rsidRPr="001B13A4">
          <w:rPr>
            <w:rStyle w:val="Hyperlink"/>
            <w:noProof/>
          </w:rPr>
          <w:t>2.1.699</w:t>
        </w:r>
        <w:r>
          <w:rPr>
            <w:rFonts w:asciiTheme="minorHAnsi" w:eastAsiaTheme="minorEastAsia" w:hAnsiTheme="minorHAnsi" w:cstheme="minorBidi"/>
            <w:noProof/>
            <w:sz w:val="22"/>
            <w:szCs w:val="22"/>
          </w:rPr>
          <w:tab/>
        </w:r>
        <w:r w:rsidRPr="001B13A4">
          <w:rPr>
            <w:rStyle w:val="Hyperlink"/>
            <w:noProof/>
          </w:rPr>
          <w:t>Part 1 Section 18.8.9, cellStyleXfs (Formatting Records)</w:t>
        </w:r>
        <w:r>
          <w:rPr>
            <w:noProof/>
            <w:webHidden/>
          </w:rPr>
          <w:tab/>
        </w:r>
        <w:r>
          <w:rPr>
            <w:noProof/>
            <w:webHidden/>
          </w:rPr>
          <w:fldChar w:fldCharType="begin"/>
        </w:r>
        <w:r>
          <w:rPr>
            <w:noProof/>
            <w:webHidden/>
          </w:rPr>
          <w:instrText xml:space="preserve"> PAGEREF _Toc181683735 \h </w:instrText>
        </w:r>
        <w:r>
          <w:rPr>
            <w:noProof/>
            <w:webHidden/>
          </w:rPr>
        </w:r>
        <w:r>
          <w:rPr>
            <w:noProof/>
            <w:webHidden/>
          </w:rPr>
          <w:fldChar w:fldCharType="separate"/>
        </w:r>
        <w:r>
          <w:rPr>
            <w:noProof/>
            <w:webHidden/>
          </w:rPr>
          <w:t>297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6" w:history="1">
        <w:r w:rsidRPr="001B13A4">
          <w:rPr>
            <w:rStyle w:val="Hyperlink"/>
            <w:noProof/>
          </w:rPr>
          <w:t>2.1.700</w:t>
        </w:r>
        <w:r>
          <w:rPr>
            <w:rFonts w:asciiTheme="minorHAnsi" w:eastAsiaTheme="minorEastAsia" w:hAnsiTheme="minorHAnsi" w:cstheme="minorBidi"/>
            <w:noProof/>
            <w:sz w:val="22"/>
            <w:szCs w:val="22"/>
          </w:rPr>
          <w:tab/>
        </w:r>
        <w:r w:rsidRPr="001B13A4">
          <w:rPr>
            <w:rStyle w:val="Hyperlink"/>
            <w:noProof/>
          </w:rPr>
          <w:t>Part 1 Section 18.8.10, cellXfs (Cell Formats)</w:t>
        </w:r>
        <w:r>
          <w:rPr>
            <w:noProof/>
            <w:webHidden/>
          </w:rPr>
          <w:tab/>
        </w:r>
        <w:r>
          <w:rPr>
            <w:noProof/>
            <w:webHidden/>
          </w:rPr>
          <w:fldChar w:fldCharType="begin"/>
        </w:r>
        <w:r>
          <w:rPr>
            <w:noProof/>
            <w:webHidden/>
          </w:rPr>
          <w:instrText xml:space="preserve"> PAGEREF _Toc181683736 \h </w:instrText>
        </w:r>
        <w:r>
          <w:rPr>
            <w:noProof/>
            <w:webHidden/>
          </w:rPr>
        </w:r>
        <w:r>
          <w:rPr>
            <w:noProof/>
            <w:webHidden/>
          </w:rPr>
          <w:fldChar w:fldCharType="separate"/>
        </w:r>
        <w:r>
          <w:rPr>
            <w:noProof/>
            <w:webHidden/>
          </w:rPr>
          <w:t>297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7" w:history="1">
        <w:r w:rsidRPr="001B13A4">
          <w:rPr>
            <w:rStyle w:val="Hyperlink"/>
            <w:noProof/>
          </w:rPr>
          <w:t>2.1.701</w:t>
        </w:r>
        <w:r>
          <w:rPr>
            <w:rFonts w:asciiTheme="minorHAnsi" w:eastAsiaTheme="minorEastAsia" w:hAnsiTheme="minorHAnsi" w:cstheme="minorBidi"/>
            <w:noProof/>
            <w:sz w:val="22"/>
            <w:szCs w:val="22"/>
          </w:rPr>
          <w:tab/>
        </w:r>
        <w:r w:rsidRPr="001B13A4">
          <w:rPr>
            <w:rStyle w:val="Hyperlink"/>
            <w:noProof/>
          </w:rPr>
          <w:t>Part 1 Section 18.8.15, dxfs (Formats)</w:t>
        </w:r>
        <w:r>
          <w:rPr>
            <w:noProof/>
            <w:webHidden/>
          </w:rPr>
          <w:tab/>
        </w:r>
        <w:r>
          <w:rPr>
            <w:noProof/>
            <w:webHidden/>
          </w:rPr>
          <w:fldChar w:fldCharType="begin"/>
        </w:r>
        <w:r>
          <w:rPr>
            <w:noProof/>
            <w:webHidden/>
          </w:rPr>
          <w:instrText xml:space="preserve"> PAGEREF _Toc181683737 \h </w:instrText>
        </w:r>
        <w:r>
          <w:rPr>
            <w:noProof/>
            <w:webHidden/>
          </w:rPr>
        </w:r>
        <w:r>
          <w:rPr>
            <w:noProof/>
            <w:webHidden/>
          </w:rPr>
          <w:fldChar w:fldCharType="separate"/>
        </w:r>
        <w:r>
          <w:rPr>
            <w:noProof/>
            <w:webHidden/>
          </w:rPr>
          <w:t>298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8" w:history="1">
        <w:r w:rsidRPr="001B13A4">
          <w:rPr>
            <w:rStyle w:val="Hyperlink"/>
            <w:noProof/>
          </w:rPr>
          <w:t>2.1.702</w:t>
        </w:r>
        <w:r>
          <w:rPr>
            <w:rFonts w:asciiTheme="minorHAnsi" w:eastAsiaTheme="minorEastAsia" w:hAnsiTheme="minorHAnsi" w:cstheme="minorBidi"/>
            <w:noProof/>
            <w:sz w:val="22"/>
            <w:szCs w:val="22"/>
          </w:rPr>
          <w:tab/>
        </w:r>
        <w:r w:rsidRPr="001B13A4">
          <w:rPr>
            <w:rStyle w:val="Hyperlink"/>
            <w:noProof/>
          </w:rPr>
          <w:t>Part 1 Section 18.8.16, end (Trailing Edge Border)</w:t>
        </w:r>
        <w:r>
          <w:rPr>
            <w:noProof/>
            <w:webHidden/>
          </w:rPr>
          <w:tab/>
        </w:r>
        <w:r>
          <w:rPr>
            <w:noProof/>
            <w:webHidden/>
          </w:rPr>
          <w:fldChar w:fldCharType="begin"/>
        </w:r>
        <w:r>
          <w:rPr>
            <w:noProof/>
            <w:webHidden/>
          </w:rPr>
          <w:instrText xml:space="preserve"> PAGEREF _Toc181683738 \h </w:instrText>
        </w:r>
        <w:r>
          <w:rPr>
            <w:noProof/>
            <w:webHidden/>
          </w:rPr>
        </w:r>
        <w:r>
          <w:rPr>
            <w:noProof/>
            <w:webHidden/>
          </w:rPr>
          <w:fldChar w:fldCharType="separate"/>
        </w:r>
        <w:r>
          <w:rPr>
            <w:noProof/>
            <w:webHidden/>
          </w:rPr>
          <w:t>298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39" w:history="1">
        <w:r w:rsidRPr="001B13A4">
          <w:rPr>
            <w:rStyle w:val="Hyperlink"/>
            <w:noProof/>
          </w:rPr>
          <w:t>2.1.703</w:t>
        </w:r>
        <w:r>
          <w:rPr>
            <w:rFonts w:asciiTheme="minorHAnsi" w:eastAsiaTheme="minorEastAsia" w:hAnsiTheme="minorHAnsi" w:cstheme="minorBidi"/>
            <w:noProof/>
            <w:sz w:val="22"/>
            <w:szCs w:val="22"/>
          </w:rPr>
          <w:tab/>
        </w:r>
        <w:r w:rsidRPr="001B13A4">
          <w:rPr>
            <w:rStyle w:val="Hyperlink"/>
            <w:noProof/>
          </w:rPr>
          <w:t>Part 1 Section 18.8.18, family (Font Family)</w:t>
        </w:r>
        <w:r>
          <w:rPr>
            <w:noProof/>
            <w:webHidden/>
          </w:rPr>
          <w:tab/>
        </w:r>
        <w:r>
          <w:rPr>
            <w:noProof/>
            <w:webHidden/>
          </w:rPr>
          <w:fldChar w:fldCharType="begin"/>
        </w:r>
        <w:r>
          <w:rPr>
            <w:noProof/>
            <w:webHidden/>
          </w:rPr>
          <w:instrText xml:space="preserve"> PAGEREF _Toc181683739 \h </w:instrText>
        </w:r>
        <w:r>
          <w:rPr>
            <w:noProof/>
            <w:webHidden/>
          </w:rPr>
        </w:r>
        <w:r>
          <w:rPr>
            <w:noProof/>
            <w:webHidden/>
          </w:rPr>
          <w:fldChar w:fldCharType="separate"/>
        </w:r>
        <w:r>
          <w:rPr>
            <w:noProof/>
            <w:webHidden/>
          </w:rPr>
          <w:t>298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0" w:history="1">
        <w:r w:rsidRPr="001B13A4">
          <w:rPr>
            <w:rStyle w:val="Hyperlink"/>
            <w:noProof/>
          </w:rPr>
          <w:t>2.1.704</w:t>
        </w:r>
        <w:r>
          <w:rPr>
            <w:rFonts w:asciiTheme="minorHAnsi" w:eastAsiaTheme="minorEastAsia" w:hAnsiTheme="minorHAnsi" w:cstheme="minorBidi"/>
            <w:noProof/>
            <w:sz w:val="22"/>
            <w:szCs w:val="22"/>
          </w:rPr>
          <w:tab/>
        </w:r>
        <w:r w:rsidRPr="001B13A4">
          <w:rPr>
            <w:rStyle w:val="Hyperlink"/>
            <w:noProof/>
          </w:rPr>
          <w:t>Part 1 Section 18.8.19, fgColor (Foreground Color)</w:t>
        </w:r>
        <w:r>
          <w:rPr>
            <w:noProof/>
            <w:webHidden/>
          </w:rPr>
          <w:tab/>
        </w:r>
        <w:r>
          <w:rPr>
            <w:noProof/>
            <w:webHidden/>
          </w:rPr>
          <w:fldChar w:fldCharType="begin"/>
        </w:r>
        <w:r>
          <w:rPr>
            <w:noProof/>
            <w:webHidden/>
          </w:rPr>
          <w:instrText xml:space="preserve"> PAGEREF _Toc181683740 \h </w:instrText>
        </w:r>
        <w:r>
          <w:rPr>
            <w:noProof/>
            <w:webHidden/>
          </w:rPr>
        </w:r>
        <w:r>
          <w:rPr>
            <w:noProof/>
            <w:webHidden/>
          </w:rPr>
          <w:fldChar w:fldCharType="separate"/>
        </w:r>
        <w:r>
          <w:rPr>
            <w:noProof/>
            <w:webHidden/>
          </w:rPr>
          <w:t>298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1" w:history="1">
        <w:r w:rsidRPr="001B13A4">
          <w:rPr>
            <w:rStyle w:val="Hyperlink"/>
            <w:noProof/>
          </w:rPr>
          <w:t>2.1.705</w:t>
        </w:r>
        <w:r>
          <w:rPr>
            <w:rFonts w:asciiTheme="minorHAnsi" w:eastAsiaTheme="minorEastAsia" w:hAnsiTheme="minorHAnsi" w:cstheme="minorBidi"/>
            <w:noProof/>
            <w:sz w:val="22"/>
            <w:szCs w:val="22"/>
          </w:rPr>
          <w:tab/>
        </w:r>
        <w:r w:rsidRPr="001B13A4">
          <w:rPr>
            <w:rStyle w:val="Hyperlink"/>
            <w:noProof/>
          </w:rPr>
          <w:t>Part 1 Section 18.8.21, fills (Fills)</w:t>
        </w:r>
        <w:r>
          <w:rPr>
            <w:noProof/>
            <w:webHidden/>
          </w:rPr>
          <w:tab/>
        </w:r>
        <w:r>
          <w:rPr>
            <w:noProof/>
            <w:webHidden/>
          </w:rPr>
          <w:fldChar w:fldCharType="begin"/>
        </w:r>
        <w:r>
          <w:rPr>
            <w:noProof/>
            <w:webHidden/>
          </w:rPr>
          <w:instrText xml:space="preserve"> PAGEREF _Toc181683741 \h </w:instrText>
        </w:r>
        <w:r>
          <w:rPr>
            <w:noProof/>
            <w:webHidden/>
          </w:rPr>
        </w:r>
        <w:r>
          <w:rPr>
            <w:noProof/>
            <w:webHidden/>
          </w:rPr>
          <w:fldChar w:fldCharType="separate"/>
        </w:r>
        <w:r>
          <w:rPr>
            <w:noProof/>
            <w:webHidden/>
          </w:rPr>
          <w:t>298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2" w:history="1">
        <w:r w:rsidRPr="001B13A4">
          <w:rPr>
            <w:rStyle w:val="Hyperlink"/>
            <w:noProof/>
          </w:rPr>
          <w:t>2.1.706</w:t>
        </w:r>
        <w:r>
          <w:rPr>
            <w:rFonts w:asciiTheme="minorHAnsi" w:eastAsiaTheme="minorEastAsia" w:hAnsiTheme="minorHAnsi" w:cstheme="minorBidi"/>
            <w:noProof/>
            <w:sz w:val="22"/>
            <w:szCs w:val="22"/>
          </w:rPr>
          <w:tab/>
        </w:r>
        <w:r w:rsidRPr="001B13A4">
          <w:rPr>
            <w:rStyle w:val="Hyperlink"/>
            <w:noProof/>
          </w:rPr>
          <w:t>Part 1 Section 18.8.22, font (Font)</w:t>
        </w:r>
        <w:r>
          <w:rPr>
            <w:noProof/>
            <w:webHidden/>
          </w:rPr>
          <w:tab/>
        </w:r>
        <w:r>
          <w:rPr>
            <w:noProof/>
            <w:webHidden/>
          </w:rPr>
          <w:fldChar w:fldCharType="begin"/>
        </w:r>
        <w:r>
          <w:rPr>
            <w:noProof/>
            <w:webHidden/>
          </w:rPr>
          <w:instrText xml:space="preserve"> PAGEREF _Toc181683742 \h </w:instrText>
        </w:r>
        <w:r>
          <w:rPr>
            <w:noProof/>
            <w:webHidden/>
          </w:rPr>
        </w:r>
        <w:r>
          <w:rPr>
            <w:noProof/>
            <w:webHidden/>
          </w:rPr>
          <w:fldChar w:fldCharType="separate"/>
        </w:r>
        <w:r>
          <w:rPr>
            <w:noProof/>
            <w:webHidden/>
          </w:rPr>
          <w:t>299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3" w:history="1">
        <w:r w:rsidRPr="001B13A4">
          <w:rPr>
            <w:rStyle w:val="Hyperlink"/>
            <w:noProof/>
          </w:rPr>
          <w:t>2.1.707</w:t>
        </w:r>
        <w:r>
          <w:rPr>
            <w:rFonts w:asciiTheme="minorHAnsi" w:eastAsiaTheme="minorEastAsia" w:hAnsiTheme="minorHAnsi" w:cstheme="minorBidi"/>
            <w:noProof/>
            <w:sz w:val="22"/>
            <w:szCs w:val="22"/>
          </w:rPr>
          <w:tab/>
        </w:r>
        <w:r w:rsidRPr="001B13A4">
          <w:rPr>
            <w:rStyle w:val="Hyperlink"/>
            <w:noProof/>
          </w:rPr>
          <w:t>Part 1 Section 18.8.23, fonts (Fonts)</w:t>
        </w:r>
        <w:r>
          <w:rPr>
            <w:noProof/>
            <w:webHidden/>
          </w:rPr>
          <w:tab/>
        </w:r>
        <w:r>
          <w:rPr>
            <w:noProof/>
            <w:webHidden/>
          </w:rPr>
          <w:fldChar w:fldCharType="begin"/>
        </w:r>
        <w:r>
          <w:rPr>
            <w:noProof/>
            <w:webHidden/>
          </w:rPr>
          <w:instrText xml:space="preserve"> PAGEREF _Toc181683743 \h </w:instrText>
        </w:r>
        <w:r>
          <w:rPr>
            <w:noProof/>
            <w:webHidden/>
          </w:rPr>
        </w:r>
        <w:r>
          <w:rPr>
            <w:noProof/>
            <w:webHidden/>
          </w:rPr>
          <w:fldChar w:fldCharType="separate"/>
        </w:r>
        <w:r>
          <w:rPr>
            <w:noProof/>
            <w:webHidden/>
          </w:rPr>
          <w:t>299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4" w:history="1">
        <w:r w:rsidRPr="001B13A4">
          <w:rPr>
            <w:rStyle w:val="Hyperlink"/>
            <w:noProof/>
          </w:rPr>
          <w:t>2.1.708</w:t>
        </w:r>
        <w:r>
          <w:rPr>
            <w:rFonts w:asciiTheme="minorHAnsi" w:eastAsiaTheme="minorEastAsia" w:hAnsiTheme="minorHAnsi" w:cstheme="minorBidi"/>
            <w:noProof/>
            <w:sz w:val="22"/>
            <w:szCs w:val="22"/>
          </w:rPr>
          <w:tab/>
        </w:r>
        <w:r w:rsidRPr="001B13A4">
          <w:rPr>
            <w:rStyle w:val="Hyperlink"/>
            <w:noProof/>
          </w:rPr>
          <w:t>Part 1 Section 18.8.24, gradientFill (Gradient)</w:t>
        </w:r>
        <w:r>
          <w:rPr>
            <w:noProof/>
            <w:webHidden/>
          </w:rPr>
          <w:tab/>
        </w:r>
        <w:r>
          <w:rPr>
            <w:noProof/>
            <w:webHidden/>
          </w:rPr>
          <w:fldChar w:fldCharType="begin"/>
        </w:r>
        <w:r>
          <w:rPr>
            <w:noProof/>
            <w:webHidden/>
          </w:rPr>
          <w:instrText xml:space="preserve"> PAGEREF _Toc181683744 \h </w:instrText>
        </w:r>
        <w:r>
          <w:rPr>
            <w:noProof/>
            <w:webHidden/>
          </w:rPr>
        </w:r>
        <w:r>
          <w:rPr>
            <w:noProof/>
            <w:webHidden/>
          </w:rPr>
          <w:fldChar w:fldCharType="separate"/>
        </w:r>
        <w:r>
          <w:rPr>
            <w:noProof/>
            <w:webHidden/>
          </w:rPr>
          <w:t>299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5" w:history="1">
        <w:r w:rsidRPr="001B13A4">
          <w:rPr>
            <w:rStyle w:val="Hyperlink"/>
            <w:noProof/>
          </w:rPr>
          <w:t>2.1.709</w:t>
        </w:r>
        <w:r>
          <w:rPr>
            <w:rFonts w:asciiTheme="minorHAnsi" w:eastAsiaTheme="minorEastAsia" w:hAnsiTheme="minorHAnsi" w:cstheme="minorBidi"/>
            <w:noProof/>
            <w:sz w:val="22"/>
            <w:szCs w:val="22"/>
          </w:rPr>
          <w:tab/>
        </w:r>
        <w:r w:rsidRPr="001B13A4">
          <w:rPr>
            <w:rStyle w:val="Hyperlink"/>
            <w:noProof/>
          </w:rPr>
          <w:t>Part 1 Section 18.8.27, indexedColors (Color Indexes)</w:t>
        </w:r>
        <w:r>
          <w:rPr>
            <w:noProof/>
            <w:webHidden/>
          </w:rPr>
          <w:tab/>
        </w:r>
        <w:r>
          <w:rPr>
            <w:noProof/>
            <w:webHidden/>
          </w:rPr>
          <w:fldChar w:fldCharType="begin"/>
        </w:r>
        <w:r>
          <w:rPr>
            <w:noProof/>
            <w:webHidden/>
          </w:rPr>
          <w:instrText xml:space="preserve"> PAGEREF _Toc181683745 \h </w:instrText>
        </w:r>
        <w:r>
          <w:rPr>
            <w:noProof/>
            <w:webHidden/>
          </w:rPr>
        </w:r>
        <w:r>
          <w:rPr>
            <w:noProof/>
            <w:webHidden/>
          </w:rPr>
          <w:fldChar w:fldCharType="separate"/>
        </w:r>
        <w:r>
          <w:rPr>
            <w:noProof/>
            <w:webHidden/>
          </w:rPr>
          <w:t>299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6" w:history="1">
        <w:r w:rsidRPr="001B13A4">
          <w:rPr>
            <w:rStyle w:val="Hyperlink"/>
            <w:noProof/>
          </w:rPr>
          <w:t>2.1.710</w:t>
        </w:r>
        <w:r>
          <w:rPr>
            <w:rFonts w:asciiTheme="minorHAnsi" w:eastAsiaTheme="minorEastAsia" w:hAnsiTheme="minorHAnsi" w:cstheme="minorBidi"/>
            <w:noProof/>
            <w:sz w:val="22"/>
            <w:szCs w:val="22"/>
          </w:rPr>
          <w:tab/>
        </w:r>
        <w:r w:rsidRPr="001B13A4">
          <w:rPr>
            <w:rStyle w:val="Hyperlink"/>
            <w:noProof/>
          </w:rPr>
          <w:t>Part 1 Section 18.8.28, mruColors (MRU Colors)</w:t>
        </w:r>
        <w:r>
          <w:rPr>
            <w:noProof/>
            <w:webHidden/>
          </w:rPr>
          <w:tab/>
        </w:r>
        <w:r>
          <w:rPr>
            <w:noProof/>
            <w:webHidden/>
          </w:rPr>
          <w:fldChar w:fldCharType="begin"/>
        </w:r>
        <w:r>
          <w:rPr>
            <w:noProof/>
            <w:webHidden/>
          </w:rPr>
          <w:instrText xml:space="preserve"> PAGEREF _Toc181683746 \h </w:instrText>
        </w:r>
        <w:r>
          <w:rPr>
            <w:noProof/>
            <w:webHidden/>
          </w:rPr>
        </w:r>
        <w:r>
          <w:rPr>
            <w:noProof/>
            <w:webHidden/>
          </w:rPr>
          <w:fldChar w:fldCharType="separate"/>
        </w:r>
        <w:r>
          <w:rPr>
            <w:noProof/>
            <w:webHidden/>
          </w:rPr>
          <w:t>299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7" w:history="1">
        <w:r w:rsidRPr="001B13A4">
          <w:rPr>
            <w:rStyle w:val="Hyperlink"/>
            <w:noProof/>
          </w:rPr>
          <w:t>2.1.711</w:t>
        </w:r>
        <w:r>
          <w:rPr>
            <w:rFonts w:asciiTheme="minorHAnsi" w:eastAsiaTheme="minorEastAsia" w:hAnsiTheme="minorHAnsi" w:cstheme="minorBidi"/>
            <w:noProof/>
            <w:sz w:val="22"/>
            <w:szCs w:val="22"/>
          </w:rPr>
          <w:tab/>
        </w:r>
        <w:r w:rsidRPr="001B13A4">
          <w:rPr>
            <w:rStyle w:val="Hyperlink"/>
            <w:noProof/>
          </w:rPr>
          <w:t>Part 1 Section 18.8.29, name (Font Name)</w:t>
        </w:r>
        <w:r>
          <w:rPr>
            <w:noProof/>
            <w:webHidden/>
          </w:rPr>
          <w:tab/>
        </w:r>
        <w:r>
          <w:rPr>
            <w:noProof/>
            <w:webHidden/>
          </w:rPr>
          <w:fldChar w:fldCharType="begin"/>
        </w:r>
        <w:r>
          <w:rPr>
            <w:noProof/>
            <w:webHidden/>
          </w:rPr>
          <w:instrText xml:space="preserve"> PAGEREF _Toc181683747 \h </w:instrText>
        </w:r>
        <w:r>
          <w:rPr>
            <w:noProof/>
            <w:webHidden/>
          </w:rPr>
        </w:r>
        <w:r>
          <w:rPr>
            <w:noProof/>
            <w:webHidden/>
          </w:rPr>
          <w:fldChar w:fldCharType="separate"/>
        </w:r>
        <w:r>
          <w:rPr>
            <w:noProof/>
            <w:webHidden/>
          </w:rPr>
          <w:t>299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8" w:history="1">
        <w:r w:rsidRPr="001B13A4">
          <w:rPr>
            <w:rStyle w:val="Hyperlink"/>
            <w:noProof/>
          </w:rPr>
          <w:t>2.1.712</w:t>
        </w:r>
        <w:r>
          <w:rPr>
            <w:rFonts w:asciiTheme="minorHAnsi" w:eastAsiaTheme="minorEastAsia" w:hAnsiTheme="minorHAnsi" w:cstheme="minorBidi"/>
            <w:noProof/>
            <w:sz w:val="22"/>
            <w:szCs w:val="22"/>
          </w:rPr>
          <w:tab/>
        </w:r>
        <w:r w:rsidRPr="001B13A4">
          <w:rPr>
            <w:rStyle w:val="Hyperlink"/>
            <w:noProof/>
          </w:rPr>
          <w:t>Part 1 Section 18.8.30, numFmt (Number Format)</w:t>
        </w:r>
        <w:r>
          <w:rPr>
            <w:noProof/>
            <w:webHidden/>
          </w:rPr>
          <w:tab/>
        </w:r>
        <w:r>
          <w:rPr>
            <w:noProof/>
            <w:webHidden/>
          </w:rPr>
          <w:fldChar w:fldCharType="begin"/>
        </w:r>
        <w:r>
          <w:rPr>
            <w:noProof/>
            <w:webHidden/>
          </w:rPr>
          <w:instrText xml:space="preserve"> PAGEREF _Toc181683748 \h </w:instrText>
        </w:r>
        <w:r>
          <w:rPr>
            <w:noProof/>
            <w:webHidden/>
          </w:rPr>
        </w:r>
        <w:r>
          <w:rPr>
            <w:noProof/>
            <w:webHidden/>
          </w:rPr>
          <w:fldChar w:fldCharType="separate"/>
        </w:r>
        <w:r>
          <w:rPr>
            <w:noProof/>
            <w:webHidden/>
          </w:rPr>
          <w:t>299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49" w:history="1">
        <w:r w:rsidRPr="001B13A4">
          <w:rPr>
            <w:rStyle w:val="Hyperlink"/>
            <w:noProof/>
          </w:rPr>
          <w:t>2.1.713</w:t>
        </w:r>
        <w:r>
          <w:rPr>
            <w:rFonts w:asciiTheme="minorHAnsi" w:eastAsiaTheme="minorEastAsia" w:hAnsiTheme="minorHAnsi" w:cstheme="minorBidi"/>
            <w:noProof/>
            <w:sz w:val="22"/>
            <w:szCs w:val="22"/>
          </w:rPr>
          <w:tab/>
        </w:r>
        <w:r w:rsidRPr="001B13A4">
          <w:rPr>
            <w:rStyle w:val="Hyperlink"/>
            <w:noProof/>
          </w:rPr>
          <w:t>Part 1 Section 18.8.31, numFmts (Number Formats)</w:t>
        </w:r>
        <w:r>
          <w:rPr>
            <w:noProof/>
            <w:webHidden/>
          </w:rPr>
          <w:tab/>
        </w:r>
        <w:r>
          <w:rPr>
            <w:noProof/>
            <w:webHidden/>
          </w:rPr>
          <w:fldChar w:fldCharType="begin"/>
        </w:r>
        <w:r>
          <w:rPr>
            <w:noProof/>
            <w:webHidden/>
          </w:rPr>
          <w:instrText xml:space="preserve"> PAGEREF _Toc181683749 \h </w:instrText>
        </w:r>
        <w:r>
          <w:rPr>
            <w:noProof/>
            <w:webHidden/>
          </w:rPr>
        </w:r>
        <w:r>
          <w:rPr>
            <w:noProof/>
            <w:webHidden/>
          </w:rPr>
          <w:fldChar w:fldCharType="separate"/>
        </w:r>
        <w:r>
          <w:rPr>
            <w:noProof/>
            <w:webHidden/>
          </w:rPr>
          <w:t>310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0" w:history="1">
        <w:r w:rsidRPr="001B13A4">
          <w:rPr>
            <w:rStyle w:val="Hyperlink"/>
            <w:noProof/>
          </w:rPr>
          <w:t>2.1.714</w:t>
        </w:r>
        <w:r>
          <w:rPr>
            <w:rFonts w:asciiTheme="minorHAnsi" w:eastAsiaTheme="minorEastAsia" w:hAnsiTheme="minorHAnsi" w:cstheme="minorBidi"/>
            <w:noProof/>
            <w:sz w:val="22"/>
            <w:szCs w:val="22"/>
          </w:rPr>
          <w:tab/>
        </w:r>
        <w:r w:rsidRPr="001B13A4">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_Toc181683750 \h </w:instrText>
        </w:r>
        <w:r>
          <w:rPr>
            <w:noProof/>
            <w:webHidden/>
          </w:rPr>
        </w:r>
        <w:r>
          <w:rPr>
            <w:noProof/>
            <w:webHidden/>
          </w:rPr>
          <w:fldChar w:fldCharType="separate"/>
        </w:r>
        <w:r>
          <w:rPr>
            <w:noProof/>
            <w:webHidden/>
          </w:rPr>
          <w:t>310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1" w:history="1">
        <w:r w:rsidRPr="001B13A4">
          <w:rPr>
            <w:rStyle w:val="Hyperlink"/>
            <w:noProof/>
          </w:rPr>
          <w:t>2.1.715</w:t>
        </w:r>
        <w:r>
          <w:rPr>
            <w:rFonts w:asciiTheme="minorHAnsi" w:eastAsiaTheme="minorEastAsia" w:hAnsiTheme="minorHAnsi" w:cstheme="minorBidi"/>
            <w:noProof/>
            <w:sz w:val="22"/>
            <w:szCs w:val="22"/>
          </w:rPr>
          <w:tab/>
        </w:r>
        <w:r w:rsidRPr="001B13A4">
          <w:rPr>
            <w:rStyle w:val="Hyperlink"/>
            <w:noProof/>
          </w:rPr>
          <w:t>Part 1 Section 18.8.37, start (Leading Edge Border)</w:t>
        </w:r>
        <w:r>
          <w:rPr>
            <w:noProof/>
            <w:webHidden/>
          </w:rPr>
          <w:tab/>
        </w:r>
        <w:r>
          <w:rPr>
            <w:noProof/>
            <w:webHidden/>
          </w:rPr>
          <w:fldChar w:fldCharType="begin"/>
        </w:r>
        <w:r>
          <w:rPr>
            <w:noProof/>
            <w:webHidden/>
          </w:rPr>
          <w:instrText xml:space="preserve"> PAGEREF _Toc181683751 \h </w:instrText>
        </w:r>
        <w:r>
          <w:rPr>
            <w:noProof/>
            <w:webHidden/>
          </w:rPr>
        </w:r>
        <w:r>
          <w:rPr>
            <w:noProof/>
            <w:webHidden/>
          </w:rPr>
          <w:fldChar w:fldCharType="separate"/>
        </w:r>
        <w:r>
          <w:rPr>
            <w:noProof/>
            <w:webHidden/>
          </w:rPr>
          <w:t>310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2" w:history="1">
        <w:r w:rsidRPr="001B13A4">
          <w:rPr>
            <w:rStyle w:val="Hyperlink"/>
            <w:noProof/>
          </w:rPr>
          <w:t>2.1.716</w:t>
        </w:r>
        <w:r>
          <w:rPr>
            <w:rFonts w:asciiTheme="minorHAnsi" w:eastAsiaTheme="minorEastAsia" w:hAnsiTheme="minorHAnsi" w:cstheme="minorBidi"/>
            <w:noProof/>
            <w:sz w:val="22"/>
            <w:szCs w:val="22"/>
          </w:rPr>
          <w:tab/>
        </w:r>
        <w:r w:rsidRPr="001B13A4">
          <w:rPr>
            <w:rStyle w:val="Hyperlink"/>
            <w:noProof/>
          </w:rPr>
          <w:t>Part 1 Section 18.8.38, stop (Gradient Stop)</w:t>
        </w:r>
        <w:r>
          <w:rPr>
            <w:noProof/>
            <w:webHidden/>
          </w:rPr>
          <w:tab/>
        </w:r>
        <w:r>
          <w:rPr>
            <w:noProof/>
            <w:webHidden/>
          </w:rPr>
          <w:fldChar w:fldCharType="begin"/>
        </w:r>
        <w:r>
          <w:rPr>
            <w:noProof/>
            <w:webHidden/>
          </w:rPr>
          <w:instrText xml:space="preserve"> PAGEREF _Toc181683752 \h </w:instrText>
        </w:r>
        <w:r>
          <w:rPr>
            <w:noProof/>
            <w:webHidden/>
          </w:rPr>
        </w:r>
        <w:r>
          <w:rPr>
            <w:noProof/>
            <w:webHidden/>
          </w:rPr>
          <w:fldChar w:fldCharType="separate"/>
        </w:r>
        <w:r>
          <w:rPr>
            <w:noProof/>
            <w:webHidden/>
          </w:rPr>
          <w:t>311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3" w:history="1">
        <w:r w:rsidRPr="001B13A4">
          <w:rPr>
            <w:rStyle w:val="Hyperlink"/>
            <w:noProof/>
          </w:rPr>
          <w:t>2.1.717</w:t>
        </w:r>
        <w:r>
          <w:rPr>
            <w:rFonts w:asciiTheme="minorHAnsi" w:eastAsiaTheme="minorEastAsia" w:hAnsiTheme="minorHAnsi" w:cstheme="minorBidi"/>
            <w:noProof/>
            <w:sz w:val="22"/>
            <w:szCs w:val="22"/>
          </w:rPr>
          <w:tab/>
        </w:r>
        <w:r w:rsidRPr="001B13A4">
          <w:rPr>
            <w:rStyle w:val="Hyperlink"/>
            <w:noProof/>
          </w:rPr>
          <w:t>Part 1 Section 18.8.39, styleSheet (Style Sheet)</w:t>
        </w:r>
        <w:r>
          <w:rPr>
            <w:noProof/>
            <w:webHidden/>
          </w:rPr>
          <w:tab/>
        </w:r>
        <w:r>
          <w:rPr>
            <w:noProof/>
            <w:webHidden/>
          </w:rPr>
          <w:fldChar w:fldCharType="begin"/>
        </w:r>
        <w:r>
          <w:rPr>
            <w:noProof/>
            <w:webHidden/>
          </w:rPr>
          <w:instrText xml:space="preserve"> PAGEREF _Toc181683753 \h </w:instrText>
        </w:r>
        <w:r>
          <w:rPr>
            <w:noProof/>
            <w:webHidden/>
          </w:rPr>
        </w:r>
        <w:r>
          <w:rPr>
            <w:noProof/>
            <w:webHidden/>
          </w:rPr>
          <w:fldChar w:fldCharType="separate"/>
        </w:r>
        <w:r>
          <w:rPr>
            <w:noProof/>
            <w:webHidden/>
          </w:rPr>
          <w:t>311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4" w:history="1">
        <w:r w:rsidRPr="001B13A4">
          <w:rPr>
            <w:rStyle w:val="Hyperlink"/>
            <w:noProof/>
          </w:rPr>
          <w:t>2.1.718</w:t>
        </w:r>
        <w:r>
          <w:rPr>
            <w:rFonts w:asciiTheme="minorHAnsi" w:eastAsiaTheme="minorEastAsia" w:hAnsiTheme="minorHAnsi" w:cstheme="minorBidi"/>
            <w:noProof/>
            <w:sz w:val="22"/>
            <w:szCs w:val="22"/>
          </w:rPr>
          <w:tab/>
        </w:r>
        <w:r w:rsidRPr="001B13A4">
          <w:rPr>
            <w:rStyle w:val="Hyperlink"/>
            <w:noProof/>
          </w:rPr>
          <w:t>Part 1 Section 18.8.40, tableStyle (Table Style)</w:t>
        </w:r>
        <w:r>
          <w:rPr>
            <w:noProof/>
            <w:webHidden/>
          </w:rPr>
          <w:tab/>
        </w:r>
        <w:r>
          <w:rPr>
            <w:noProof/>
            <w:webHidden/>
          </w:rPr>
          <w:fldChar w:fldCharType="begin"/>
        </w:r>
        <w:r>
          <w:rPr>
            <w:noProof/>
            <w:webHidden/>
          </w:rPr>
          <w:instrText xml:space="preserve"> PAGEREF _Toc181683754 \h </w:instrText>
        </w:r>
        <w:r>
          <w:rPr>
            <w:noProof/>
            <w:webHidden/>
          </w:rPr>
        </w:r>
        <w:r>
          <w:rPr>
            <w:noProof/>
            <w:webHidden/>
          </w:rPr>
          <w:fldChar w:fldCharType="separate"/>
        </w:r>
        <w:r>
          <w:rPr>
            <w:noProof/>
            <w:webHidden/>
          </w:rPr>
          <w:t>311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5" w:history="1">
        <w:r w:rsidRPr="001B13A4">
          <w:rPr>
            <w:rStyle w:val="Hyperlink"/>
            <w:noProof/>
          </w:rPr>
          <w:t>2.1.719</w:t>
        </w:r>
        <w:r>
          <w:rPr>
            <w:rFonts w:asciiTheme="minorHAnsi" w:eastAsiaTheme="minorEastAsia" w:hAnsiTheme="minorHAnsi" w:cstheme="minorBidi"/>
            <w:noProof/>
            <w:sz w:val="22"/>
            <w:szCs w:val="22"/>
          </w:rPr>
          <w:tab/>
        </w:r>
        <w:r w:rsidRPr="001B13A4">
          <w:rPr>
            <w:rStyle w:val="Hyperlink"/>
            <w:noProof/>
          </w:rPr>
          <w:t>Part 1 Section 18.8.41, tableStyleElement (Table Style)</w:t>
        </w:r>
        <w:r>
          <w:rPr>
            <w:noProof/>
            <w:webHidden/>
          </w:rPr>
          <w:tab/>
        </w:r>
        <w:r>
          <w:rPr>
            <w:noProof/>
            <w:webHidden/>
          </w:rPr>
          <w:fldChar w:fldCharType="begin"/>
        </w:r>
        <w:r>
          <w:rPr>
            <w:noProof/>
            <w:webHidden/>
          </w:rPr>
          <w:instrText xml:space="preserve"> PAGEREF _Toc181683755 \h </w:instrText>
        </w:r>
        <w:r>
          <w:rPr>
            <w:noProof/>
            <w:webHidden/>
          </w:rPr>
        </w:r>
        <w:r>
          <w:rPr>
            <w:noProof/>
            <w:webHidden/>
          </w:rPr>
          <w:fldChar w:fldCharType="separate"/>
        </w:r>
        <w:r>
          <w:rPr>
            <w:noProof/>
            <w:webHidden/>
          </w:rPr>
          <w:t>311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6" w:history="1">
        <w:r w:rsidRPr="001B13A4">
          <w:rPr>
            <w:rStyle w:val="Hyperlink"/>
            <w:noProof/>
          </w:rPr>
          <w:t>2.1.720</w:t>
        </w:r>
        <w:r>
          <w:rPr>
            <w:rFonts w:asciiTheme="minorHAnsi" w:eastAsiaTheme="minorEastAsia" w:hAnsiTheme="minorHAnsi" w:cstheme="minorBidi"/>
            <w:noProof/>
            <w:sz w:val="22"/>
            <w:szCs w:val="22"/>
          </w:rPr>
          <w:tab/>
        </w:r>
        <w:r w:rsidRPr="001B13A4">
          <w:rPr>
            <w:rStyle w:val="Hyperlink"/>
            <w:noProof/>
          </w:rPr>
          <w:t>Part 1 Section 18.8.42, tableStyles (Table Styles)</w:t>
        </w:r>
        <w:r>
          <w:rPr>
            <w:noProof/>
            <w:webHidden/>
          </w:rPr>
          <w:tab/>
        </w:r>
        <w:r>
          <w:rPr>
            <w:noProof/>
            <w:webHidden/>
          </w:rPr>
          <w:fldChar w:fldCharType="begin"/>
        </w:r>
        <w:r>
          <w:rPr>
            <w:noProof/>
            <w:webHidden/>
          </w:rPr>
          <w:instrText xml:space="preserve"> PAGEREF _Toc181683756 \h </w:instrText>
        </w:r>
        <w:r>
          <w:rPr>
            <w:noProof/>
            <w:webHidden/>
          </w:rPr>
        </w:r>
        <w:r>
          <w:rPr>
            <w:noProof/>
            <w:webHidden/>
          </w:rPr>
          <w:fldChar w:fldCharType="separate"/>
        </w:r>
        <w:r>
          <w:rPr>
            <w:noProof/>
            <w:webHidden/>
          </w:rPr>
          <w:t>311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7" w:history="1">
        <w:r w:rsidRPr="001B13A4">
          <w:rPr>
            <w:rStyle w:val="Hyperlink"/>
            <w:noProof/>
          </w:rPr>
          <w:t>2.1.721</w:t>
        </w:r>
        <w:r>
          <w:rPr>
            <w:rFonts w:asciiTheme="minorHAnsi" w:eastAsiaTheme="minorEastAsia" w:hAnsiTheme="minorHAnsi" w:cstheme="minorBidi"/>
            <w:noProof/>
            <w:sz w:val="22"/>
            <w:szCs w:val="22"/>
          </w:rPr>
          <w:tab/>
        </w:r>
        <w:r w:rsidRPr="001B13A4">
          <w:rPr>
            <w:rStyle w:val="Hyperlink"/>
            <w:noProof/>
          </w:rPr>
          <w:t>Part 1 Section 18.8.45, xf (Format)</w:t>
        </w:r>
        <w:r>
          <w:rPr>
            <w:noProof/>
            <w:webHidden/>
          </w:rPr>
          <w:tab/>
        </w:r>
        <w:r>
          <w:rPr>
            <w:noProof/>
            <w:webHidden/>
          </w:rPr>
          <w:fldChar w:fldCharType="begin"/>
        </w:r>
        <w:r>
          <w:rPr>
            <w:noProof/>
            <w:webHidden/>
          </w:rPr>
          <w:instrText xml:space="preserve"> PAGEREF _Toc181683757 \h </w:instrText>
        </w:r>
        <w:r>
          <w:rPr>
            <w:noProof/>
            <w:webHidden/>
          </w:rPr>
        </w:r>
        <w:r>
          <w:rPr>
            <w:noProof/>
            <w:webHidden/>
          </w:rPr>
          <w:fldChar w:fldCharType="separate"/>
        </w:r>
        <w:r>
          <w:rPr>
            <w:noProof/>
            <w:webHidden/>
          </w:rPr>
          <w:t>311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8" w:history="1">
        <w:r w:rsidRPr="001B13A4">
          <w:rPr>
            <w:rStyle w:val="Hyperlink"/>
            <w:noProof/>
          </w:rPr>
          <w:t>2.1.722</w:t>
        </w:r>
        <w:r>
          <w:rPr>
            <w:rFonts w:asciiTheme="minorHAnsi" w:eastAsiaTheme="minorEastAsia" w:hAnsiTheme="minorHAnsi" w:cstheme="minorBidi"/>
            <w:noProof/>
            <w:sz w:val="22"/>
            <w:szCs w:val="22"/>
          </w:rPr>
          <w:tab/>
        </w:r>
        <w:r w:rsidRPr="001B13A4">
          <w:rPr>
            <w:rStyle w:val="Hyperlink"/>
            <w:noProof/>
          </w:rPr>
          <w:t>Part 1 Section 18.9.1, bk (Metadata Block)</w:t>
        </w:r>
        <w:r>
          <w:rPr>
            <w:noProof/>
            <w:webHidden/>
          </w:rPr>
          <w:tab/>
        </w:r>
        <w:r>
          <w:rPr>
            <w:noProof/>
            <w:webHidden/>
          </w:rPr>
          <w:fldChar w:fldCharType="begin"/>
        </w:r>
        <w:r>
          <w:rPr>
            <w:noProof/>
            <w:webHidden/>
          </w:rPr>
          <w:instrText xml:space="preserve"> PAGEREF _Toc181683758 \h </w:instrText>
        </w:r>
        <w:r>
          <w:rPr>
            <w:noProof/>
            <w:webHidden/>
          </w:rPr>
        </w:r>
        <w:r>
          <w:rPr>
            <w:noProof/>
            <w:webHidden/>
          </w:rPr>
          <w:fldChar w:fldCharType="separate"/>
        </w:r>
        <w:r>
          <w:rPr>
            <w:noProof/>
            <w:webHidden/>
          </w:rPr>
          <w:t>313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59" w:history="1">
        <w:r w:rsidRPr="001B13A4">
          <w:rPr>
            <w:rStyle w:val="Hyperlink"/>
            <w:noProof/>
          </w:rPr>
          <w:t>2.1.723</w:t>
        </w:r>
        <w:r>
          <w:rPr>
            <w:rFonts w:asciiTheme="minorHAnsi" w:eastAsiaTheme="minorEastAsia" w:hAnsiTheme="minorHAnsi" w:cstheme="minorBidi"/>
            <w:noProof/>
            <w:sz w:val="22"/>
            <w:szCs w:val="22"/>
          </w:rPr>
          <w:tab/>
        </w:r>
        <w:r w:rsidRPr="001B13A4">
          <w:rPr>
            <w:rStyle w:val="Hyperlink"/>
            <w:noProof/>
          </w:rPr>
          <w:t>Part 1 Section 18.9.3, cellMetadata (Cell Metadata)</w:t>
        </w:r>
        <w:r>
          <w:rPr>
            <w:noProof/>
            <w:webHidden/>
          </w:rPr>
          <w:tab/>
        </w:r>
        <w:r>
          <w:rPr>
            <w:noProof/>
            <w:webHidden/>
          </w:rPr>
          <w:fldChar w:fldCharType="begin"/>
        </w:r>
        <w:r>
          <w:rPr>
            <w:noProof/>
            <w:webHidden/>
          </w:rPr>
          <w:instrText xml:space="preserve"> PAGEREF _Toc181683759 \h </w:instrText>
        </w:r>
        <w:r>
          <w:rPr>
            <w:noProof/>
            <w:webHidden/>
          </w:rPr>
        </w:r>
        <w:r>
          <w:rPr>
            <w:noProof/>
            <w:webHidden/>
          </w:rPr>
          <w:fldChar w:fldCharType="separate"/>
        </w:r>
        <w:r>
          <w:rPr>
            <w:noProof/>
            <w:webHidden/>
          </w:rPr>
          <w:t>313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0" w:history="1">
        <w:r w:rsidRPr="001B13A4">
          <w:rPr>
            <w:rStyle w:val="Hyperlink"/>
            <w:noProof/>
          </w:rPr>
          <w:t>2.1.724</w:t>
        </w:r>
        <w:r>
          <w:rPr>
            <w:rFonts w:asciiTheme="minorHAnsi" w:eastAsiaTheme="minorEastAsia" w:hAnsiTheme="minorHAnsi" w:cstheme="minorBidi"/>
            <w:noProof/>
            <w:sz w:val="22"/>
            <w:szCs w:val="22"/>
          </w:rPr>
          <w:tab/>
        </w:r>
        <w:r w:rsidRPr="001B13A4">
          <w:rPr>
            <w:rStyle w:val="Hyperlink"/>
            <w:noProof/>
          </w:rPr>
          <w:t>Part 1 Section 18.9.4, futureMetadata (Future Metadata)</w:t>
        </w:r>
        <w:r>
          <w:rPr>
            <w:noProof/>
            <w:webHidden/>
          </w:rPr>
          <w:tab/>
        </w:r>
        <w:r>
          <w:rPr>
            <w:noProof/>
            <w:webHidden/>
          </w:rPr>
          <w:fldChar w:fldCharType="begin"/>
        </w:r>
        <w:r>
          <w:rPr>
            <w:noProof/>
            <w:webHidden/>
          </w:rPr>
          <w:instrText xml:space="preserve"> PAGEREF _Toc181683760 \h </w:instrText>
        </w:r>
        <w:r>
          <w:rPr>
            <w:noProof/>
            <w:webHidden/>
          </w:rPr>
        </w:r>
        <w:r>
          <w:rPr>
            <w:noProof/>
            <w:webHidden/>
          </w:rPr>
          <w:fldChar w:fldCharType="separate"/>
        </w:r>
        <w:r>
          <w:rPr>
            <w:noProof/>
            <w:webHidden/>
          </w:rPr>
          <w:t>313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1" w:history="1">
        <w:r w:rsidRPr="001B13A4">
          <w:rPr>
            <w:rStyle w:val="Hyperlink"/>
            <w:noProof/>
          </w:rPr>
          <w:t>2.1.725</w:t>
        </w:r>
        <w:r>
          <w:rPr>
            <w:rFonts w:asciiTheme="minorHAnsi" w:eastAsiaTheme="minorEastAsia" w:hAnsiTheme="minorHAnsi" w:cstheme="minorBidi"/>
            <w:noProof/>
            <w:sz w:val="22"/>
            <w:szCs w:val="22"/>
          </w:rPr>
          <w:tab/>
        </w:r>
        <w:r w:rsidRPr="001B13A4">
          <w:rPr>
            <w:rStyle w:val="Hyperlink"/>
            <w:noProof/>
          </w:rPr>
          <w:t>Part 1 Section 18.9.5, k (KPI MDX Metadata)</w:t>
        </w:r>
        <w:r>
          <w:rPr>
            <w:noProof/>
            <w:webHidden/>
          </w:rPr>
          <w:tab/>
        </w:r>
        <w:r>
          <w:rPr>
            <w:noProof/>
            <w:webHidden/>
          </w:rPr>
          <w:fldChar w:fldCharType="begin"/>
        </w:r>
        <w:r>
          <w:rPr>
            <w:noProof/>
            <w:webHidden/>
          </w:rPr>
          <w:instrText xml:space="preserve"> PAGEREF _Toc181683761 \h </w:instrText>
        </w:r>
        <w:r>
          <w:rPr>
            <w:noProof/>
            <w:webHidden/>
          </w:rPr>
        </w:r>
        <w:r>
          <w:rPr>
            <w:noProof/>
            <w:webHidden/>
          </w:rPr>
          <w:fldChar w:fldCharType="separate"/>
        </w:r>
        <w:r>
          <w:rPr>
            <w:noProof/>
            <w:webHidden/>
          </w:rPr>
          <w:t>313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2" w:history="1">
        <w:r w:rsidRPr="001B13A4">
          <w:rPr>
            <w:rStyle w:val="Hyperlink"/>
            <w:noProof/>
          </w:rPr>
          <w:t>2.1.726</w:t>
        </w:r>
        <w:r>
          <w:rPr>
            <w:rFonts w:asciiTheme="minorHAnsi" w:eastAsiaTheme="minorEastAsia" w:hAnsiTheme="minorHAnsi" w:cstheme="minorBidi"/>
            <w:noProof/>
            <w:sz w:val="22"/>
            <w:szCs w:val="22"/>
          </w:rPr>
          <w:tab/>
        </w:r>
        <w:r w:rsidRPr="001B13A4">
          <w:rPr>
            <w:rStyle w:val="Hyperlink"/>
            <w:noProof/>
          </w:rPr>
          <w:t>Part 1 Section 18.9.6, mdx (MDX Metadata Record)</w:t>
        </w:r>
        <w:r>
          <w:rPr>
            <w:noProof/>
            <w:webHidden/>
          </w:rPr>
          <w:tab/>
        </w:r>
        <w:r>
          <w:rPr>
            <w:noProof/>
            <w:webHidden/>
          </w:rPr>
          <w:fldChar w:fldCharType="begin"/>
        </w:r>
        <w:r>
          <w:rPr>
            <w:noProof/>
            <w:webHidden/>
          </w:rPr>
          <w:instrText xml:space="preserve"> PAGEREF _Toc181683762 \h </w:instrText>
        </w:r>
        <w:r>
          <w:rPr>
            <w:noProof/>
            <w:webHidden/>
          </w:rPr>
        </w:r>
        <w:r>
          <w:rPr>
            <w:noProof/>
            <w:webHidden/>
          </w:rPr>
          <w:fldChar w:fldCharType="separate"/>
        </w:r>
        <w:r>
          <w:rPr>
            <w:noProof/>
            <w:webHidden/>
          </w:rPr>
          <w:t>314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3" w:history="1">
        <w:r w:rsidRPr="001B13A4">
          <w:rPr>
            <w:rStyle w:val="Hyperlink"/>
            <w:noProof/>
          </w:rPr>
          <w:t>2.1.727</w:t>
        </w:r>
        <w:r>
          <w:rPr>
            <w:rFonts w:asciiTheme="minorHAnsi" w:eastAsiaTheme="minorEastAsia" w:hAnsiTheme="minorHAnsi" w:cstheme="minorBidi"/>
            <w:noProof/>
            <w:sz w:val="22"/>
            <w:szCs w:val="22"/>
          </w:rPr>
          <w:tab/>
        </w:r>
        <w:r w:rsidRPr="001B13A4">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_Toc181683763 \h </w:instrText>
        </w:r>
        <w:r>
          <w:rPr>
            <w:noProof/>
            <w:webHidden/>
          </w:rPr>
        </w:r>
        <w:r>
          <w:rPr>
            <w:noProof/>
            <w:webHidden/>
          </w:rPr>
          <w:fldChar w:fldCharType="separate"/>
        </w:r>
        <w:r>
          <w:rPr>
            <w:noProof/>
            <w:webHidden/>
          </w:rPr>
          <w:t>314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4" w:history="1">
        <w:r w:rsidRPr="001B13A4">
          <w:rPr>
            <w:rStyle w:val="Hyperlink"/>
            <w:noProof/>
          </w:rPr>
          <w:t>2.1.728</w:t>
        </w:r>
        <w:r>
          <w:rPr>
            <w:rFonts w:asciiTheme="minorHAnsi" w:eastAsiaTheme="minorEastAsia" w:hAnsiTheme="minorHAnsi" w:cstheme="minorBidi"/>
            <w:noProof/>
            <w:sz w:val="22"/>
            <w:szCs w:val="22"/>
          </w:rPr>
          <w:tab/>
        </w:r>
        <w:r w:rsidRPr="001B13A4">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_Toc181683764 \h </w:instrText>
        </w:r>
        <w:r>
          <w:rPr>
            <w:noProof/>
            <w:webHidden/>
          </w:rPr>
        </w:r>
        <w:r>
          <w:rPr>
            <w:noProof/>
            <w:webHidden/>
          </w:rPr>
          <w:fldChar w:fldCharType="separate"/>
        </w:r>
        <w:r>
          <w:rPr>
            <w:noProof/>
            <w:webHidden/>
          </w:rPr>
          <w:t>314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5" w:history="1">
        <w:r w:rsidRPr="001B13A4">
          <w:rPr>
            <w:rStyle w:val="Hyperlink"/>
            <w:noProof/>
          </w:rPr>
          <w:t>2.1.729</w:t>
        </w:r>
        <w:r>
          <w:rPr>
            <w:rFonts w:asciiTheme="minorHAnsi" w:eastAsiaTheme="minorEastAsia" w:hAnsiTheme="minorHAnsi" w:cstheme="minorBidi"/>
            <w:noProof/>
            <w:sz w:val="22"/>
            <w:szCs w:val="22"/>
          </w:rPr>
          <w:tab/>
        </w:r>
        <w:r w:rsidRPr="001B13A4">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_Toc181683765 \h </w:instrText>
        </w:r>
        <w:r>
          <w:rPr>
            <w:noProof/>
            <w:webHidden/>
          </w:rPr>
        </w:r>
        <w:r>
          <w:rPr>
            <w:noProof/>
            <w:webHidden/>
          </w:rPr>
          <w:fldChar w:fldCharType="separate"/>
        </w:r>
        <w:r>
          <w:rPr>
            <w:noProof/>
            <w:webHidden/>
          </w:rPr>
          <w:t>314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6" w:history="1">
        <w:r w:rsidRPr="001B13A4">
          <w:rPr>
            <w:rStyle w:val="Hyperlink"/>
            <w:noProof/>
          </w:rPr>
          <w:t>2.1.730</w:t>
        </w:r>
        <w:r>
          <w:rPr>
            <w:rFonts w:asciiTheme="minorHAnsi" w:eastAsiaTheme="minorEastAsia" w:hAnsiTheme="minorHAnsi" w:cstheme="minorBidi"/>
            <w:noProof/>
            <w:sz w:val="22"/>
            <w:szCs w:val="22"/>
          </w:rPr>
          <w:tab/>
        </w:r>
        <w:r w:rsidRPr="001B13A4">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_Toc181683766 \h </w:instrText>
        </w:r>
        <w:r>
          <w:rPr>
            <w:noProof/>
            <w:webHidden/>
          </w:rPr>
        </w:r>
        <w:r>
          <w:rPr>
            <w:noProof/>
            <w:webHidden/>
          </w:rPr>
          <w:fldChar w:fldCharType="separate"/>
        </w:r>
        <w:r>
          <w:rPr>
            <w:noProof/>
            <w:webHidden/>
          </w:rPr>
          <w:t>318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7" w:history="1">
        <w:r w:rsidRPr="001B13A4">
          <w:rPr>
            <w:rStyle w:val="Hyperlink"/>
            <w:noProof/>
          </w:rPr>
          <w:t>2.1.731</w:t>
        </w:r>
        <w:r>
          <w:rPr>
            <w:rFonts w:asciiTheme="minorHAnsi" w:eastAsiaTheme="minorEastAsia" w:hAnsiTheme="minorHAnsi" w:cstheme="minorBidi"/>
            <w:noProof/>
            <w:sz w:val="22"/>
            <w:szCs w:val="22"/>
          </w:rPr>
          <w:tab/>
        </w:r>
        <w:r w:rsidRPr="001B13A4">
          <w:rPr>
            <w:rStyle w:val="Hyperlink"/>
            <w:noProof/>
          </w:rPr>
          <w:t>Part 1 Section 18.9.12, ms (Set MDX Metadata)</w:t>
        </w:r>
        <w:r>
          <w:rPr>
            <w:noProof/>
            <w:webHidden/>
          </w:rPr>
          <w:tab/>
        </w:r>
        <w:r>
          <w:rPr>
            <w:noProof/>
            <w:webHidden/>
          </w:rPr>
          <w:fldChar w:fldCharType="begin"/>
        </w:r>
        <w:r>
          <w:rPr>
            <w:noProof/>
            <w:webHidden/>
          </w:rPr>
          <w:instrText xml:space="preserve"> PAGEREF _Toc181683767 \h </w:instrText>
        </w:r>
        <w:r>
          <w:rPr>
            <w:noProof/>
            <w:webHidden/>
          </w:rPr>
        </w:r>
        <w:r>
          <w:rPr>
            <w:noProof/>
            <w:webHidden/>
          </w:rPr>
          <w:fldChar w:fldCharType="separate"/>
        </w:r>
        <w:r>
          <w:rPr>
            <w:noProof/>
            <w:webHidden/>
          </w:rPr>
          <w:t>318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8" w:history="1">
        <w:r w:rsidRPr="001B13A4">
          <w:rPr>
            <w:rStyle w:val="Hyperlink"/>
            <w:noProof/>
          </w:rPr>
          <w:t>2.1.732</w:t>
        </w:r>
        <w:r>
          <w:rPr>
            <w:rFonts w:asciiTheme="minorHAnsi" w:eastAsiaTheme="minorEastAsia" w:hAnsiTheme="minorHAnsi" w:cstheme="minorBidi"/>
            <w:noProof/>
            <w:sz w:val="22"/>
            <w:szCs w:val="22"/>
          </w:rPr>
          <w:tab/>
        </w:r>
        <w:r w:rsidRPr="001B13A4">
          <w:rPr>
            <w:rStyle w:val="Hyperlink"/>
            <w:noProof/>
          </w:rPr>
          <w:t>Part 1 Section 18.9.13, n (Member Unique Name Index)</w:t>
        </w:r>
        <w:r>
          <w:rPr>
            <w:noProof/>
            <w:webHidden/>
          </w:rPr>
          <w:tab/>
        </w:r>
        <w:r>
          <w:rPr>
            <w:noProof/>
            <w:webHidden/>
          </w:rPr>
          <w:fldChar w:fldCharType="begin"/>
        </w:r>
        <w:r>
          <w:rPr>
            <w:noProof/>
            <w:webHidden/>
          </w:rPr>
          <w:instrText xml:space="preserve"> PAGEREF _Toc181683768 \h </w:instrText>
        </w:r>
        <w:r>
          <w:rPr>
            <w:noProof/>
            <w:webHidden/>
          </w:rPr>
        </w:r>
        <w:r>
          <w:rPr>
            <w:noProof/>
            <w:webHidden/>
          </w:rPr>
          <w:fldChar w:fldCharType="separate"/>
        </w:r>
        <w:r>
          <w:rPr>
            <w:noProof/>
            <w:webHidden/>
          </w:rPr>
          <w:t>318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69" w:history="1">
        <w:r w:rsidRPr="001B13A4">
          <w:rPr>
            <w:rStyle w:val="Hyperlink"/>
            <w:noProof/>
          </w:rPr>
          <w:t>2.1.733</w:t>
        </w:r>
        <w:r>
          <w:rPr>
            <w:rFonts w:asciiTheme="minorHAnsi" w:eastAsiaTheme="minorEastAsia" w:hAnsiTheme="minorHAnsi" w:cstheme="minorBidi"/>
            <w:noProof/>
            <w:sz w:val="22"/>
            <w:szCs w:val="22"/>
          </w:rPr>
          <w:tab/>
        </w:r>
        <w:r w:rsidRPr="001B13A4">
          <w:rPr>
            <w:rStyle w:val="Hyperlink"/>
            <w:noProof/>
          </w:rPr>
          <w:t>Part 1 Section 18.9.14, p (Member Property MDX Metadata)</w:t>
        </w:r>
        <w:r>
          <w:rPr>
            <w:noProof/>
            <w:webHidden/>
          </w:rPr>
          <w:tab/>
        </w:r>
        <w:r>
          <w:rPr>
            <w:noProof/>
            <w:webHidden/>
          </w:rPr>
          <w:fldChar w:fldCharType="begin"/>
        </w:r>
        <w:r>
          <w:rPr>
            <w:noProof/>
            <w:webHidden/>
          </w:rPr>
          <w:instrText xml:space="preserve"> PAGEREF _Toc181683769 \h </w:instrText>
        </w:r>
        <w:r>
          <w:rPr>
            <w:noProof/>
            <w:webHidden/>
          </w:rPr>
        </w:r>
        <w:r>
          <w:rPr>
            <w:noProof/>
            <w:webHidden/>
          </w:rPr>
          <w:fldChar w:fldCharType="separate"/>
        </w:r>
        <w:r>
          <w:rPr>
            <w:noProof/>
            <w:webHidden/>
          </w:rPr>
          <w:t>318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0" w:history="1">
        <w:r w:rsidRPr="001B13A4">
          <w:rPr>
            <w:rStyle w:val="Hyperlink"/>
            <w:noProof/>
          </w:rPr>
          <w:t>2.1.734</w:t>
        </w:r>
        <w:r>
          <w:rPr>
            <w:rFonts w:asciiTheme="minorHAnsi" w:eastAsiaTheme="minorEastAsia" w:hAnsiTheme="minorHAnsi" w:cstheme="minorBidi"/>
            <w:noProof/>
            <w:sz w:val="22"/>
            <w:szCs w:val="22"/>
          </w:rPr>
          <w:tab/>
        </w:r>
        <w:r w:rsidRPr="001B13A4">
          <w:rPr>
            <w:rStyle w:val="Hyperlink"/>
            <w:noProof/>
          </w:rPr>
          <w:t>Part 1 Section 18.9.15, rc (Metadata Record)</w:t>
        </w:r>
        <w:r>
          <w:rPr>
            <w:noProof/>
            <w:webHidden/>
          </w:rPr>
          <w:tab/>
        </w:r>
        <w:r>
          <w:rPr>
            <w:noProof/>
            <w:webHidden/>
          </w:rPr>
          <w:fldChar w:fldCharType="begin"/>
        </w:r>
        <w:r>
          <w:rPr>
            <w:noProof/>
            <w:webHidden/>
          </w:rPr>
          <w:instrText xml:space="preserve"> PAGEREF _Toc181683770 \h </w:instrText>
        </w:r>
        <w:r>
          <w:rPr>
            <w:noProof/>
            <w:webHidden/>
          </w:rPr>
        </w:r>
        <w:r>
          <w:rPr>
            <w:noProof/>
            <w:webHidden/>
          </w:rPr>
          <w:fldChar w:fldCharType="separate"/>
        </w:r>
        <w:r>
          <w:rPr>
            <w:noProof/>
            <w:webHidden/>
          </w:rPr>
          <w:t>318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1" w:history="1">
        <w:r w:rsidRPr="001B13A4">
          <w:rPr>
            <w:rStyle w:val="Hyperlink"/>
            <w:noProof/>
          </w:rPr>
          <w:t>2.1.735</w:t>
        </w:r>
        <w:r>
          <w:rPr>
            <w:rFonts w:asciiTheme="minorHAnsi" w:eastAsiaTheme="minorEastAsia" w:hAnsiTheme="minorHAnsi" w:cstheme="minorBidi"/>
            <w:noProof/>
            <w:sz w:val="22"/>
            <w:szCs w:val="22"/>
          </w:rPr>
          <w:tab/>
        </w:r>
        <w:r w:rsidRPr="001B13A4">
          <w:rPr>
            <w:rStyle w:val="Hyperlink"/>
            <w:noProof/>
          </w:rPr>
          <w:t>Part 1 Section 18.9.16, t (Tuple MDX Metadata)</w:t>
        </w:r>
        <w:r>
          <w:rPr>
            <w:noProof/>
            <w:webHidden/>
          </w:rPr>
          <w:tab/>
        </w:r>
        <w:r>
          <w:rPr>
            <w:noProof/>
            <w:webHidden/>
          </w:rPr>
          <w:fldChar w:fldCharType="begin"/>
        </w:r>
        <w:r>
          <w:rPr>
            <w:noProof/>
            <w:webHidden/>
          </w:rPr>
          <w:instrText xml:space="preserve"> PAGEREF _Toc181683771 \h </w:instrText>
        </w:r>
        <w:r>
          <w:rPr>
            <w:noProof/>
            <w:webHidden/>
          </w:rPr>
        </w:r>
        <w:r>
          <w:rPr>
            <w:noProof/>
            <w:webHidden/>
          </w:rPr>
          <w:fldChar w:fldCharType="separate"/>
        </w:r>
        <w:r>
          <w:rPr>
            <w:noProof/>
            <w:webHidden/>
          </w:rPr>
          <w:t>318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2" w:history="1">
        <w:r w:rsidRPr="001B13A4">
          <w:rPr>
            <w:rStyle w:val="Hyperlink"/>
            <w:noProof/>
          </w:rPr>
          <w:t>2.1.736</w:t>
        </w:r>
        <w:r>
          <w:rPr>
            <w:rFonts w:asciiTheme="minorHAnsi" w:eastAsiaTheme="minorEastAsia" w:hAnsiTheme="minorHAnsi" w:cstheme="minorBidi"/>
            <w:noProof/>
            <w:sz w:val="22"/>
            <w:szCs w:val="22"/>
          </w:rPr>
          <w:tab/>
        </w:r>
        <w:r w:rsidRPr="001B13A4">
          <w:rPr>
            <w:rStyle w:val="Hyperlink"/>
            <w:noProof/>
          </w:rPr>
          <w:t>Part 1 Section 18.9.17, valueMetadata (Value Metadata)</w:t>
        </w:r>
        <w:r>
          <w:rPr>
            <w:noProof/>
            <w:webHidden/>
          </w:rPr>
          <w:tab/>
        </w:r>
        <w:r>
          <w:rPr>
            <w:noProof/>
            <w:webHidden/>
          </w:rPr>
          <w:fldChar w:fldCharType="begin"/>
        </w:r>
        <w:r>
          <w:rPr>
            <w:noProof/>
            <w:webHidden/>
          </w:rPr>
          <w:instrText xml:space="preserve"> PAGEREF _Toc181683772 \h </w:instrText>
        </w:r>
        <w:r>
          <w:rPr>
            <w:noProof/>
            <w:webHidden/>
          </w:rPr>
        </w:r>
        <w:r>
          <w:rPr>
            <w:noProof/>
            <w:webHidden/>
          </w:rPr>
          <w:fldChar w:fldCharType="separate"/>
        </w:r>
        <w:r>
          <w:rPr>
            <w:noProof/>
            <w:webHidden/>
          </w:rPr>
          <w:t>325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3" w:history="1">
        <w:r w:rsidRPr="001B13A4">
          <w:rPr>
            <w:rStyle w:val="Hyperlink"/>
            <w:noProof/>
          </w:rPr>
          <w:t>2.1.737</w:t>
        </w:r>
        <w:r>
          <w:rPr>
            <w:rFonts w:asciiTheme="minorHAnsi" w:eastAsiaTheme="minorEastAsia" w:hAnsiTheme="minorHAnsi" w:cstheme="minorBidi"/>
            <w:noProof/>
            <w:sz w:val="22"/>
            <w:szCs w:val="22"/>
          </w:rPr>
          <w:tab/>
        </w:r>
        <w:r w:rsidRPr="001B13A4">
          <w:rPr>
            <w:rStyle w:val="Hyperlink"/>
            <w:noProof/>
          </w:rPr>
          <w:t>Part 1 Section 18.10.1.1, autoSortScope (AutoSort Scope)</w:t>
        </w:r>
        <w:r>
          <w:rPr>
            <w:noProof/>
            <w:webHidden/>
          </w:rPr>
          <w:tab/>
        </w:r>
        <w:r>
          <w:rPr>
            <w:noProof/>
            <w:webHidden/>
          </w:rPr>
          <w:fldChar w:fldCharType="begin"/>
        </w:r>
        <w:r>
          <w:rPr>
            <w:noProof/>
            <w:webHidden/>
          </w:rPr>
          <w:instrText xml:space="preserve"> PAGEREF _Toc181683773 \h </w:instrText>
        </w:r>
        <w:r>
          <w:rPr>
            <w:noProof/>
            <w:webHidden/>
          </w:rPr>
        </w:r>
        <w:r>
          <w:rPr>
            <w:noProof/>
            <w:webHidden/>
          </w:rPr>
          <w:fldChar w:fldCharType="separate"/>
        </w:r>
        <w:r>
          <w:rPr>
            <w:noProof/>
            <w:webHidden/>
          </w:rPr>
          <w:t>326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4" w:history="1">
        <w:r w:rsidRPr="001B13A4">
          <w:rPr>
            <w:rStyle w:val="Hyperlink"/>
            <w:noProof/>
          </w:rPr>
          <w:t>2.1.738</w:t>
        </w:r>
        <w:r>
          <w:rPr>
            <w:rFonts w:asciiTheme="minorHAnsi" w:eastAsiaTheme="minorEastAsia" w:hAnsiTheme="minorHAnsi" w:cstheme="minorBidi"/>
            <w:noProof/>
            <w:sz w:val="22"/>
            <w:szCs w:val="22"/>
          </w:rPr>
          <w:tab/>
        </w:r>
        <w:r w:rsidRPr="001B13A4">
          <w:rPr>
            <w:rStyle w:val="Hyperlink"/>
            <w:noProof/>
          </w:rPr>
          <w:t>Part 1 Section 18.10.1.2, b (Boolean)</w:t>
        </w:r>
        <w:r>
          <w:rPr>
            <w:noProof/>
            <w:webHidden/>
          </w:rPr>
          <w:tab/>
        </w:r>
        <w:r>
          <w:rPr>
            <w:noProof/>
            <w:webHidden/>
          </w:rPr>
          <w:fldChar w:fldCharType="begin"/>
        </w:r>
        <w:r>
          <w:rPr>
            <w:noProof/>
            <w:webHidden/>
          </w:rPr>
          <w:instrText xml:space="preserve"> PAGEREF _Toc181683774 \h </w:instrText>
        </w:r>
        <w:r>
          <w:rPr>
            <w:noProof/>
            <w:webHidden/>
          </w:rPr>
        </w:r>
        <w:r>
          <w:rPr>
            <w:noProof/>
            <w:webHidden/>
          </w:rPr>
          <w:fldChar w:fldCharType="separate"/>
        </w:r>
        <w:r>
          <w:rPr>
            <w:noProof/>
            <w:webHidden/>
          </w:rPr>
          <w:t>326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5" w:history="1">
        <w:r w:rsidRPr="001B13A4">
          <w:rPr>
            <w:rStyle w:val="Hyperlink"/>
            <w:noProof/>
          </w:rPr>
          <w:t>2.1.739</w:t>
        </w:r>
        <w:r>
          <w:rPr>
            <w:rFonts w:asciiTheme="minorHAnsi" w:eastAsiaTheme="minorEastAsia" w:hAnsiTheme="minorHAnsi" w:cstheme="minorBidi"/>
            <w:noProof/>
            <w:sz w:val="22"/>
            <w:szCs w:val="22"/>
          </w:rPr>
          <w:tab/>
        </w:r>
        <w:r w:rsidRPr="001B13A4">
          <w:rPr>
            <w:rStyle w:val="Hyperlink"/>
            <w:noProof/>
          </w:rPr>
          <w:t>Part 1 Section 18.10.1.3, cacheField (PivotCache Field)</w:t>
        </w:r>
        <w:r>
          <w:rPr>
            <w:noProof/>
            <w:webHidden/>
          </w:rPr>
          <w:tab/>
        </w:r>
        <w:r>
          <w:rPr>
            <w:noProof/>
            <w:webHidden/>
          </w:rPr>
          <w:fldChar w:fldCharType="begin"/>
        </w:r>
        <w:r>
          <w:rPr>
            <w:noProof/>
            <w:webHidden/>
          </w:rPr>
          <w:instrText xml:space="preserve"> PAGEREF _Toc181683775 \h </w:instrText>
        </w:r>
        <w:r>
          <w:rPr>
            <w:noProof/>
            <w:webHidden/>
          </w:rPr>
        </w:r>
        <w:r>
          <w:rPr>
            <w:noProof/>
            <w:webHidden/>
          </w:rPr>
          <w:fldChar w:fldCharType="separate"/>
        </w:r>
        <w:r>
          <w:rPr>
            <w:noProof/>
            <w:webHidden/>
          </w:rPr>
          <w:t>326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6" w:history="1">
        <w:r w:rsidRPr="001B13A4">
          <w:rPr>
            <w:rStyle w:val="Hyperlink"/>
            <w:noProof/>
          </w:rPr>
          <w:t>2.1.740</w:t>
        </w:r>
        <w:r>
          <w:rPr>
            <w:rFonts w:asciiTheme="minorHAnsi" w:eastAsiaTheme="minorEastAsia" w:hAnsiTheme="minorHAnsi" w:cstheme="minorBidi"/>
            <w:noProof/>
            <w:sz w:val="22"/>
            <w:szCs w:val="22"/>
          </w:rPr>
          <w:tab/>
        </w:r>
        <w:r w:rsidRPr="001B13A4">
          <w:rPr>
            <w:rStyle w:val="Hyperlink"/>
            <w:noProof/>
          </w:rPr>
          <w:t>Part 1 Section 18.10.1.4, cacheFields (PivotCache Fields)</w:t>
        </w:r>
        <w:r>
          <w:rPr>
            <w:noProof/>
            <w:webHidden/>
          </w:rPr>
          <w:tab/>
        </w:r>
        <w:r>
          <w:rPr>
            <w:noProof/>
            <w:webHidden/>
          </w:rPr>
          <w:fldChar w:fldCharType="begin"/>
        </w:r>
        <w:r>
          <w:rPr>
            <w:noProof/>
            <w:webHidden/>
          </w:rPr>
          <w:instrText xml:space="preserve"> PAGEREF _Toc181683776 \h </w:instrText>
        </w:r>
        <w:r>
          <w:rPr>
            <w:noProof/>
            <w:webHidden/>
          </w:rPr>
        </w:r>
        <w:r>
          <w:rPr>
            <w:noProof/>
            <w:webHidden/>
          </w:rPr>
          <w:fldChar w:fldCharType="separate"/>
        </w:r>
        <w:r>
          <w:rPr>
            <w:noProof/>
            <w:webHidden/>
          </w:rPr>
          <w:t>327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7" w:history="1">
        <w:r w:rsidRPr="001B13A4">
          <w:rPr>
            <w:rStyle w:val="Hyperlink"/>
            <w:noProof/>
          </w:rPr>
          <w:t>2.1.741</w:t>
        </w:r>
        <w:r>
          <w:rPr>
            <w:rFonts w:asciiTheme="minorHAnsi" w:eastAsiaTheme="minorEastAsia" w:hAnsiTheme="minorHAnsi" w:cstheme="minorBidi"/>
            <w:noProof/>
            <w:sz w:val="22"/>
            <w:szCs w:val="22"/>
          </w:rPr>
          <w:tab/>
        </w:r>
        <w:r w:rsidRPr="001B13A4">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_Toc181683777 \h </w:instrText>
        </w:r>
        <w:r>
          <w:rPr>
            <w:noProof/>
            <w:webHidden/>
          </w:rPr>
        </w:r>
        <w:r>
          <w:rPr>
            <w:noProof/>
            <w:webHidden/>
          </w:rPr>
          <w:fldChar w:fldCharType="separate"/>
        </w:r>
        <w:r>
          <w:rPr>
            <w:noProof/>
            <w:webHidden/>
          </w:rPr>
          <w:t>327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8" w:history="1">
        <w:r w:rsidRPr="001B13A4">
          <w:rPr>
            <w:rStyle w:val="Hyperlink"/>
            <w:noProof/>
          </w:rPr>
          <w:t>2.1.742</w:t>
        </w:r>
        <w:r>
          <w:rPr>
            <w:rFonts w:asciiTheme="minorHAnsi" w:eastAsiaTheme="minorEastAsia" w:hAnsiTheme="minorHAnsi" w:cstheme="minorBidi"/>
            <w:noProof/>
            <w:sz w:val="22"/>
            <w:szCs w:val="22"/>
          </w:rPr>
          <w:tab/>
        </w:r>
        <w:r w:rsidRPr="001B13A4">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_Toc181683778 \h </w:instrText>
        </w:r>
        <w:r>
          <w:rPr>
            <w:noProof/>
            <w:webHidden/>
          </w:rPr>
        </w:r>
        <w:r>
          <w:rPr>
            <w:noProof/>
            <w:webHidden/>
          </w:rPr>
          <w:fldChar w:fldCharType="separate"/>
        </w:r>
        <w:r>
          <w:rPr>
            <w:noProof/>
            <w:webHidden/>
          </w:rPr>
          <w:t>328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79" w:history="1">
        <w:r w:rsidRPr="001B13A4">
          <w:rPr>
            <w:rStyle w:val="Hyperlink"/>
            <w:noProof/>
          </w:rPr>
          <w:t>2.1.743</w:t>
        </w:r>
        <w:r>
          <w:rPr>
            <w:rFonts w:asciiTheme="minorHAnsi" w:eastAsiaTheme="minorEastAsia" w:hAnsiTheme="minorHAnsi" w:cstheme="minorBidi"/>
            <w:noProof/>
            <w:sz w:val="22"/>
            <w:szCs w:val="22"/>
          </w:rPr>
          <w:tab/>
        </w:r>
        <w:r w:rsidRPr="001B13A4">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_Toc181683779 \h </w:instrText>
        </w:r>
        <w:r>
          <w:rPr>
            <w:noProof/>
            <w:webHidden/>
          </w:rPr>
        </w:r>
        <w:r>
          <w:rPr>
            <w:noProof/>
            <w:webHidden/>
          </w:rPr>
          <w:fldChar w:fldCharType="separate"/>
        </w:r>
        <w:r>
          <w:rPr>
            <w:noProof/>
            <w:webHidden/>
          </w:rPr>
          <w:t>329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0" w:history="1">
        <w:r w:rsidRPr="001B13A4">
          <w:rPr>
            <w:rStyle w:val="Hyperlink"/>
            <w:noProof/>
          </w:rPr>
          <w:t>2.1.744</w:t>
        </w:r>
        <w:r>
          <w:rPr>
            <w:rFonts w:asciiTheme="minorHAnsi" w:eastAsiaTheme="minorEastAsia" w:hAnsiTheme="minorHAnsi" w:cstheme="minorBidi"/>
            <w:noProof/>
            <w:sz w:val="22"/>
            <w:szCs w:val="22"/>
          </w:rPr>
          <w:tab/>
        </w:r>
        <w:r w:rsidRPr="001B13A4">
          <w:rPr>
            <w:rStyle w:val="Hyperlink"/>
            <w:noProof/>
          </w:rPr>
          <w:t>Part 1 Section 18.10.1.8, calculatedItem (Calculated Item)</w:t>
        </w:r>
        <w:r>
          <w:rPr>
            <w:noProof/>
            <w:webHidden/>
          </w:rPr>
          <w:tab/>
        </w:r>
        <w:r>
          <w:rPr>
            <w:noProof/>
            <w:webHidden/>
          </w:rPr>
          <w:fldChar w:fldCharType="begin"/>
        </w:r>
        <w:r>
          <w:rPr>
            <w:noProof/>
            <w:webHidden/>
          </w:rPr>
          <w:instrText xml:space="preserve"> PAGEREF _Toc181683780 \h </w:instrText>
        </w:r>
        <w:r>
          <w:rPr>
            <w:noProof/>
            <w:webHidden/>
          </w:rPr>
        </w:r>
        <w:r>
          <w:rPr>
            <w:noProof/>
            <w:webHidden/>
          </w:rPr>
          <w:fldChar w:fldCharType="separate"/>
        </w:r>
        <w:r>
          <w:rPr>
            <w:noProof/>
            <w:webHidden/>
          </w:rPr>
          <w:t>329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1" w:history="1">
        <w:r w:rsidRPr="001B13A4">
          <w:rPr>
            <w:rStyle w:val="Hyperlink"/>
            <w:noProof/>
          </w:rPr>
          <w:t>2.1.745</w:t>
        </w:r>
        <w:r>
          <w:rPr>
            <w:rFonts w:asciiTheme="minorHAnsi" w:eastAsiaTheme="minorEastAsia" w:hAnsiTheme="minorHAnsi" w:cstheme="minorBidi"/>
            <w:noProof/>
            <w:sz w:val="22"/>
            <w:szCs w:val="22"/>
          </w:rPr>
          <w:tab/>
        </w:r>
        <w:r w:rsidRPr="001B13A4">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_Toc181683781 \h </w:instrText>
        </w:r>
        <w:r>
          <w:rPr>
            <w:noProof/>
            <w:webHidden/>
          </w:rPr>
        </w:r>
        <w:r>
          <w:rPr>
            <w:noProof/>
            <w:webHidden/>
          </w:rPr>
          <w:fldChar w:fldCharType="separate"/>
        </w:r>
        <w:r>
          <w:rPr>
            <w:noProof/>
            <w:webHidden/>
          </w:rPr>
          <w:t>330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2" w:history="1">
        <w:r w:rsidRPr="001B13A4">
          <w:rPr>
            <w:rStyle w:val="Hyperlink"/>
            <w:noProof/>
          </w:rPr>
          <w:t>2.1.746</w:t>
        </w:r>
        <w:r>
          <w:rPr>
            <w:rFonts w:asciiTheme="minorHAnsi" w:eastAsiaTheme="minorEastAsia" w:hAnsiTheme="minorHAnsi" w:cstheme="minorBidi"/>
            <w:noProof/>
            <w:sz w:val="22"/>
            <w:szCs w:val="22"/>
          </w:rPr>
          <w:tab/>
        </w:r>
        <w:r w:rsidRPr="001B13A4">
          <w:rPr>
            <w:rStyle w:val="Hyperlink"/>
            <w:noProof/>
          </w:rPr>
          <w:t>Part 1 Section 18.10.1.12, chartFormat (PivotChart Format)</w:t>
        </w:r>
        <w:r>
          <w:rPr>
            <w:noProof/>
            <w:webHidden/>
          </w:rPr>
          <w:tab/>
        </w:r>
        <w:r>
          <w:rPr>
            <w:noProof/>
            <w:webHidden/>
          </w:rPr>
          <w:fldChar w:fldCharType="begin"/>
        </w:r>
        <w:r>
          <w:rPr>
            <w:noProof/>
            <w:webHidden/>
          </w:rPr>
          <w:instrText xml:space="preserve"> PAGEREF _Toc181683782 \h </w:instrText>
        </w:r>
        <w:r>
          <w:rPr>
            <w:noProof/>
            <w:webHidden/>
          </w:rPr>
        </w:r>
        <w:r>
          <w:rPr>
            <w:noProof/>
            <w:webHidden/>
          </w:rPr>
          <w:fldChar w:fldCharType="separate"/>
        </w:r>
        <w:r>
          <w:rPr>
            <w:noProof/>
            <w:webHidden/>
          </w:rPr>
          <w:t>330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3" w:history="1">
        <w:r w:rsidRPr="001B13A4">
          <w:rPr>
            <w:rStyle w:val="Hyperlink"/>
            <w:noProof/>
          </w:rPr>
          <w:t>2.1.747</w:t>
        </w:r>
        <w:r>
          <w:rPr>
            <w:rFonts w:asciiTheme="minorHAnsi" w:eastAsiaTheme="minorEastAsia" w:hAnsiTheme="minorHAnsi" w:cstheme="minorBidi"/>
            <w:noProof/>
            <w:sz w:val="22"/>
            <w:szCs w:val="22"/>
          </w:rPr>
          <w:tab/>
        </w:r>
        <w:r w:rsidRPr="001B13A4">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_Toc181683783 \h </w:instrText>
        </w:r>
        <w:r>
          <w:rPr>
            <w:noProof/>
            <w:webHidden/>
          </w:rPr>
        </w:r>
        <w:r>
          <w:rPr>
            <w:noProof/>
            <w:webHidden/>
          </w:rPr>
          <w:fldChar w:fldCharType="separate"/>
        </w:r>
        <w:r>
          <w:rPr>
            <w:noProof/>
            <w:webHidden/>
          </w:rPr>
          <w:t>331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4" w:history="1">
        <w:r w:rsidRPr="001B13A4">
          <w:rPr>
            <w:rStyle w:val="Hyperlink"/>
            <w:noProof/>
          </w:rPr>
          <w:t>2.1.748</w:t>
        </w:r>
        <w:r>
          <w:rPr>
            <w:rFonts w:asciiTheme="minorHAnsi" w:eastAsiaTheme="minorEastAsia" w:hAnsiTheme="minorHAnsi" w:cstheme="minorBidi"/>
            <w:noProof/>
            <w:sz w:val="22"/>
            <w:szCs w:val="22"/>
          </w:rPr>
          <w:tab/>
        </w:r>
        <w:r w:rsidRPr="001B13A4">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_Toc181683784 \h </w:instrText>
        </w:r>
        <w:r>
          <w:rPr>
            <w:noProof/>
            <w:webHidden/>
          </w:rPr>
        </w:r>
        <w:r>
          <w:rPr>
            <w:noProof/>
            <w:webHidden/>
          </w:rPr>
          <w:fldChar w:fldCharType="separate"/>
        </w:r>
        <w:r>
          <w:rPr>
            <w:noProof/>
            <w:webHidden/>
          </w:rPr>
          <w:t>331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5" w:history="1">
        <w:r w:rsidRPr="001B13A4">
          <w:rPr>
            <w:rStyle w:val="Hyperlink"/>
            <w:noProof/>
          </w:rPr>
          <w:t>2.1.749</w:t>
        </w:r>
        <w:r>
          <w:rPr>
            <w:rFonts w:asciiTheme="minorHAnsi" w:eastAsiaTheme="minorEastAsia" w:hAnsiTheme="minorHAnsi" w:cstheme="minorBidi"/>
            <w:noProof/>
            <w:sz w:val="22"/>
            <w:szCs w:val="22"/>
          </w:rPr>
          <w:tab/>
        </w:r>
        <w:r w:rsidRPr="001B13A4">
          <w:rPr>
            <w:rStyle w:val="Hyperlink"/>
            <w:noProof/>
          </w:rPr>
          <w:t>Part 1 Section 18.10.1.17, colItems (Column Items)</w:t>
        </w:r>
        <w:r>
          <w:rPr>
            <w:noProof/>
            <w:webHidden/>
          </w:rPr>
          <w:tab/>
        </w:r>
        <w:r>
          <w:rPr>
            <w:noProof/>
            <w:webHidden/>
          </w:rPr>
          <w:fldChar w:fldCharType="begin"/>
        </w:r>
        <w:r>
          <w:rPr>
            <w:noProof/>
            <w:webHidden/>
          </w:rPr>
          <w:instrText xml:space="preserve"> PAGEREF _Toc181683785 \h </w:instrText>
        </w:r>
        <w:r>
          <w:rPr>
            <w:noProof/>
            <w:webHidden/>
          </w:rPr>
        </w:r>
        <w:r>
          <w:rPr>
            <w:noProof/>
            <w:webHidden/>
          </w:rPr>
          <w:fldChar w:fldCharType="separate"/>
        </w:r>
        <w:r>
          <w:rPr>
            <w:noProof/>
            <w:webHidden/>
          </w:rPr>
          <w:t>331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6" w:history="1">
        <w:r w:rsidRPr="001B13A4">
          <w:rPr>
            <w:rStyle w:val="Hyperlink"/>
            <w:noProof/>
          </w:rPr>
          <w:t>2.1.750</w:t>
        </w:r>
        <w:r>
          <w:rPr>
            <w:rFonts w:asciiTheme="minorHAnsi" w:eastAsiaTheme="minorEastAsia" w:hAnsiTheme="minorHAnsi" w:cstheme="minorBidi"/>
            <w:noProof/>
            <w:sz w:val="22"/>
            <w:szCs w:val="22"/>
          </w:rPr>
          <w:tab/>
        </w:r>
        <w:r w:rsidRPr="001B13A4">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_Toc181683786 \h </w:instrText>
        </w:r>
        <w:r>
          <w:rPr>
            <w:noProof/>
            <w:webHidden/>
          </w:rPr>
        </w:r>
        <w:r>
          <w:rPr>
            <w:noProof/>
            <w:webHidden/>
          </w:rPr>
          <w:fldChar w:fldCharType="separate"/>
        </w:r>
        <w:r>
          <w:rPr>
            <w:noProof/>
            <w:webHidden/>
          </w:rPr>
          <w:t>331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7" w:history="1">
        <w:r w:rsidRPr="001B13A4">
          <w:rPr>
            <w:rStyle w:val="Hyperlink"/>
            <w:noProof/>
          </w:rPr>
          <w:t>2.1.751</w:t>
        </w:r>
        <w:r>
          <w:rPr>
            <w:rFonts w:asciiTheme="minorHAnsi" w:eastAsiaTheme="minorEastAsia" w:hAnsiTheme="minorHAnsi" w:cstheme="minorBidi"/>
            <w:noProof/>
            <w:sz w:val="22"/>
            <w:szCs w:val="22"/>
          </w:rPr>
          <w:tab/>
        </w:r>
        <w:r w:rsidRPr="001B13A4">
          <w:rPr>
            <w:rStyle w:val="Hyperlink"/>
            <w:noProof/>
          </w:rPr>
          <w:t>Part 1 Section 18.10.1.21, d (Date Time)</w:t>
        </w:r>
        <w:r>
          <w:rPr>
            <w:noProof/>
            <w:webHidden/>
          </w:rPr>
          <w:tab/>
        </w:r>
        <w:r>
          <w:rPr>
            <w:noProof/>
            <w:webHidden/>
          </w:rPr>
          <w:fldChar w:fldCharType="begin"/>
        </w:r>
        <w:r>
          <w:rPr>
            <w:noProof/>
            <w:webHidden/>
          </w:rPr>
          <w:instrText xml:space="preserve"> PAGEREF _Toc181683787 \h </w:instrText>
        </w:r>
        <w:r>
          <w:rPr>
            <w:noProof/>
            <w:webHidden/>
          </w:rPr>
        </w:r>
        <w:r>
          <w:rPr>
            <w:noProof/>
            <w:webHidden/>
          </w:rPr>
          <w:fldChar w:fldCharType="separate"/>
        </w:r>
        <w:r>
          <w:rPr>
            <w:noProof/>
            <w:webHidden/>
          </w:rPr>
          <w:t>331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8" w:history="1">
        <w:r w:rsidRPr="001B13A4">
          <w:rPr>
            <w:rStyle w:val="Hyperlink"/>
            <w:noProof/>
          </w:rPr>
          <w:t>2.1.752</w:t>
        </w:r>
        <w:r>
          <w:rPr>
            <w:rFonts w:asciiTheme="minorHAnsi" w:eastAsiaTheme="minorEastAsia" w:hAnsiTheme="minorHAnsi" w:cstheme="minorBidi"/>
            <w:noProof/>
            <w:sz w:val="22"/>
            <w:szCs w:val="22"/>
          </w:rPr>
          <w:tab/>
        </w:r>
        <w:r w:rsidRPr="001B13A4">
          <w:rPr>
            <w:rStyle w:val="Hyperlink"/>
            <w:noProof/>
          </w:rPr>
          <w:t>Part 1 Section 18.10.1.22, dataField (Data Field Item)</w:t>
        </w:r>
        <w:r>
          <w:rPr>
            <w:noProof/>
            <w:webHidden/>
          </w:rPr>
          <w:tab/>
        </w:r>
        <w:r>
          <w:rPr>
            <w:noProof/>
            <w:webHidden/>
          </w:rPr>
          <w:fldChar w:fldCharType="begin"/>
        </w:r>
        <w:r>
          <w:rPr>
            <w:noProof/>
            <w:webHidden/>
          </w:rPr>
          <w:instrText xml:space="preserve"> PAGEREF _Toc181683788 \h </w:instrText>
        </w:r>
        <w:r>
          <w:rPr>
            <w:noProof/>
            <w:webHidden/>
          </w:rPr>
        </w:r>
        <w:r>
          <w:rPr>
            <w:noProof/>
            <w:webHidden/>
          </w:rPr>
          <w:fldChar w:fldCharType="separate"/>
        </w:r>
        <w:r>
          <w:rPr>
            <w:noProof/>
            <w:webHidden/>
          </w:rPr>
          <w:t>332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89" w:history="1">
        <w:r w:rsidRPr="001B13A4">
          <w:rPr>
            <w:rStyle w:val="Hyperlink"/>
            <w:noProof/>
          </w:rPr>
          <w:t>2.1.753</w:t>
        </w:r>
        <w:r>
          <w:rPr>
            <w:rFonts w:asciiTheme="minorHAnsi" w:eastAsiaTheme="minorEastAsia" w:hAnsiTheme="minorHAnsi" w:cstheme="minorBidi"/>
            <w:noProof/>
            <w:sz w:val="22"/>
            <w:szCs w:val="22"/>
          </w:rPr>
          <w:tab/>
        </w:r>
        <w:r w:rsidRPr="001B13A4">
          <w:rPr>
            <w:rStyle w:val="Hyperlink"/>
            <w:noProof/>
          </w:rPr>
          <w:t>Part 1 Section 18.10.1.24, dimension (OLAP Dimension)</w:t>
        </w:r>
        <w:r>
          <w:rPr>
            <w:noProof/>
            <w:webHidden/>
          </w:rPr>
          <w:tab/>
        </w:r>
        <w:r>
          <w:rPr>
            <w:noProof/>
            <w:webHidden/>
          </w:rPr>
          <w:fldChar w:fldCharType="begin"/>
        </w:r>
        <w:r>
          <w:rPr>
            <w:noProof/>
            <w:webHidden/>
          </w:rPr>
          <w:instrText xml:space="preserve"> PAGEREF _Toc181683789 \h </w:instrText>
        </w:r>
        <w:r>
          <w:rPr>
            <w:noProof/>
            <w:webHidden/>
          </w:rPr>
        </w:r>
        <w:r>
          <w:rPr>
            <w:noProof/>
            <w:webHidden/>
          </w:rPr>
          <w:fldChar w:fldCharType="separate"/>
        </w:r>
        <w:r>
          <w:rPr>
            <w:noProof/>
            <w:webHidden/>
          </w:rPr>
          <w:t>332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0" w:history="1">
        <w:r w:rsidRPr="001B13A4">
          <w:rPr>
            <w:rStyle w:val="Hyperlink"/>
            <w:noProof/>
          </w:rPr>
          <w:t>2.1.754</w:t>
        </w:r>
        <w:r>
          <w:rPr>
            <w:rFonts w:asciiTheme="minorHAnsi" w:eastAsiaTheme="minorEastAsia" w:hAnsiTheme="minorHAnsi" w:cstheme="minorBidi"/>
            <w:noProof/>
            <w:sz w:val="22"/>
            <w:szCs w:val="22"/>
          </w:rPr>
          <w:tab/>
        </w:r>
        <w:r w:rsidRPr="001B13A4">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_Toc181683790 \h </w:instrText>
        </w:r>
        <w:r>
          <w:rPr>
            <w:noProof/>
            <w:webHidden/>
          </w:rPr>
        </w:r>
        <w:r>
          <w:rPr>
            <w:noProof/>
            <w:webHidden/>
          </w:rPr>
          <w:fldChar w:fldCharType="separate"/>
        </w:r>
        <w:r>
          <w:rPr>
            <w:noProof/>
            <w:webHidden/>
          </w:rPr>
          <w:t>333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1" w:history="1">
        <w:r w:rsidRPr="001B13A4">
          <w:rPr>
            <w:rStyle w:val="Hyperlink"/>
            <w:noProof/>
          </w:rPr>
          <w:t>2.1.755</w:t>
        </w:r>
        <w:r>
          <w:rPr>
            <w:rFonts w:asciiTheme="minorHAnsi" w:eastAsiaTheme="minorEastAsia" w:hAnsiTheme="minorHAnsi" w:cstheme="minorBidi"/>
            <w:noProof/>
            <w:sz w:val="22"/>
            <w:szCs w:val="22"/>
          </w:rPr>
          <w:tab/>
        </w:r>
        <w:r w:rsidRPr="001B13A4">
          <w:rPr>
            <w:rStyle w:val="Hyperlink"/>
            <w:noProof/>
          </w:rPr>
          <w:t>Part 1 Section 18.10.1.27, e (Error Value)</w:t>
        </w:r>
        <w:r>
          <w:rPr>
            <w:noProof/>
            <w:webHidden/>
          </w:rPr>
          <w:tab/>
        </w:r>
        <w:r>
          <w:rPr>
            <w:noProof/>
            <w:webHidden/>
          </w:rPr>
          <w:fldChar w:fldCharType="begin"/>
        </w:r>
        <w:r>
          <w:rPr>
            <w:noProof/>
            <w:webHidden/>
          </w:rPr>
          <w:instrText xml:space="preserve"> PAGEREF _Toc181683791 \h </w:instrText>
        </w:r>
        <w:r>
          <w:rPr>
            <w:noProof/>
            <w:webHidden/>
          </w:rPr>
        </w:r>
        <w:r>
          <w:rPr>
            <w:noProof/>
            <w:webHidden/>
          </w:rPr>
          <w:fldChar w:fldCharType="separate"/>
        </w:r>
        <w:r>
          <w:rPr>
            <w:noProof/>
            <w:webHidden/>
          </w:rPr>
          <w:t>333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2" w:history="1">
        <w:r w:rsidRPr="001B13A4">
          <w:rPr>
            <w:rStyle w:val="Hyperlink"/>
            <w:noProof/>
          </w:rPr>
          <w:t>2.1.756</w:t>
        </w:r>
        <w:r>
          <w:rPr>
            <w:rFonts w:asciiTheme="minorHAnsi" w:eastAsiaTheme="minorEastAsia" w:hAnsiTheme="minorHAnsi" w:cstheme="minorBidi"/>
            <w:noProof/>
            <w:sz w:val="22"/>
            <w:szCs w:val="22"/>
          </w:rPr>
          <w:tab/>
        </w:r>
        <w:r w:rsidRPr="001B13A4">
          <w:rPr>
            <w:rStyle w:val="Hyperlink"/>
            <w:noProof/>
          </w:rPr>
          <w:t>Part 1 Section 18.10.1.29, field (Field)</w:t>
        </w:r>
        <w:r>
          <w:rPr>
            <w:noProof/>
            <w:webHidden/>
          </w:rPr>
          <w:tab/>
        </w:r>
        <w:r>
          <w:rPr>
            <w:noProof/>
            <w:webHidden/>
          </w:rPr>
          <w:fldChar w:fldCharType="begin"/>
        </w:r>
        <w:r>
          <w:rPr>
            <w:noProof/>
            <w:webHidden/>
          </w:rPr>
          <w:instrText xml:space="preserve"> PAGEREF _Toc181683792 \h </w:instrText>
        </w:r>
        <w:r>
          <w:rPr>
            <w:noProof/>
            <w:webHidden/>
          </w:rPr>
        </w:r>
        <w:r>
          <w:rPr>
            <w:noProof/>
            <w:webHidden/>
          </w:rPr>
          <w:fldChar w:fldCharType="separate"/>
        </w:r>
        <w:r>
          <w:rPr>
            <w:noProof/>
            <w:webHidden/>
          </w:rPr>
          <w:t>334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3" w:history="1">
        <w:r w:rsidRPr="001B13A4">
          <w:rPr>
            <w:rStyle w:val="Hyperlink"/>
            <w:noProof/>
          </w:rPr>
          <w:t>2.1.757</w:t>
        </w:r>
        <w:r>
          <w:rPr>
            <w:rFonts w:asciiTheme="minorHAnsi" w:eastAsiaTheme="minorEastAsia" w:hAnsiTheme="minorHAnsi" w:cstheme="minorBidi"/>
            <w:noProof/>
            <w:sz w:val="22"/>
            <w:szCs w:val="22"/>
          </w:rPr>
          <w:tab/>
        </w:r>
        <w:r w:rsidRPr="001B13A4">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_Toc181683793 \h </w:instrText>
        </w:r>
        <w:r>
          <w:rPr>
            <w:noProof/>
            <w:webHidden/>
          </w:rPr>
        </w:r>
        <w:r>
          <w:rPr>
            <w:noProof/>
            <w:webHidden/>
          </w:rPr>
          <w:fldChar w:fldCharType="separate"/>
        </w:r>
        <w:r>
          <w:rPr>
            <w:noProof/>
            <w:webHidden/>
          </w:rPr>
          <w:t>334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4" w:history="1">
        <w:r w:rsidRPr="001B13A4">
          <w:rPr>
            <w:rStyle w:val="Hyperlink"/>
            <w:noProof/>
          </w:rPr>
          <w:t>2.1.758</w:t>
        </w:r>
        <w:r>
          <w:rPr>
            <w:rFonts w:asciiTheme="minorHAnsi" w:eastAsiaTheme="minorEastAsia" w:hAnsiTheme="minorHAnsi" w:cstheme="minorBidi"/>
            <w:noProof/>
            <w:sz w:val="22"/>
            <w:szCs w:val="22"/>
          </w:rPr>
          <w:tab/>
        </w:r>
        <w:r w:rsidRPr="001B13A4">
          <w:rPr>
            <w:rStyle w:val="Hyperlink"/>
            <w:noProof/>
          </w:rPr>
          <w:t>Part 1 Section 18.10.1.31, fieldsUsage (Fields Usage)</w:t>
        </w:r>
        <w:r>
          <w:rPr>
            <w:noProof/>
            <w:webHidden/>
          </w:rPr>
          <w:tab/>
        </w:r>
        <w:r>
          <w:rPr>
            <w:noProof/>
            <w:webHidden/>
          </w:rPr>
          <w:fldChar w:fldCharType="begin"/>
        </w:r>
        <w:r>
          <w:rPr>
            <w:noProof/>
            <w:webHidden/>
          </w:rPr>
          <w:instrText xml:space="preserve"> PAGEREF _Toc181683794 \h </w:instrText>
        </w:r>
        <w:r>
          <w:rPr>
            <w:noProof/>
            <w:webHidden/>
          </w:rPr>
        </w:r>
        <w:r>
          <w:rPr>
            <w:noProof/>
            <w:webHidden/>
          </w:rPr>
          <w:fldChar w:fldCharType="separate"/>
        </w:r>
        <w:r>
          <w:rPr>
            <w:noProof/>
            <w:webHidden/>
          </w:rPr>
          <w:t>334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5" w:history="1">
        <w:r w:rsidRPr="001B13A4">
          <w:rPr>
            <w:rStyle w:val="Hyperlink"/>
            <w:noProof/>
          </w:rPr>
          <w:t>2.1.759</w:t>
        </w:r>
        <w:r>
          <w:rPr>
            <w:rFonts w:asciiTheme="minorHAnsi" w:eastAsiaTheme="minorEastAsia" w:hAnsiTheme="minorHAnsi" w:cstheme="minorBidi"/>
            <w:noProof/>
            <w:sz w:val="22"/>
            <w:szCs w:val="22"/>
          </w:rPr>
          <w:tab/>
        </w:r>
        <w:r w:rsidRPr="001B13A4">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_Toc181683795 \h </w:instrText>
        </w:r>
        <w:r>
          <w:rPr>
            <w:noProof/>
            <w:webHidden/>
          </w:rPr>
        </w:r>
        <w:r>
          <w:rPr>
            <w:noProof/>
            <w:webHidden/>
          </w:rPr>
          <w:fldChar w:fldCharType="separate"/>
        </w:r>
        <w:r>
          <w:rPr>
            <w:noProof/>
            <w:webHidden/>
          </w:rPr>
          <w:t>335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6" w:history="1">
        <w:r w:rsidRPr="001B13A4">
          <w:rPr>
            <w:rStyle w:val="Hyperlink"/>
            <w:noProof/>
          </w:rPr>
          <w:t>2.1.760</w:t>
        </w:r>
        <w:r>
          <w:rPr>
            <w:rFonts w:asciiTheme="minorHAnsi" w:eastAsiaTheme="minorEastAsia" w:hAnsiTheme="minorHAnsi" w:cstheme="minorBidi"/>
            <w:noProof/>
            <w:sz w:val="22"/>
            <w:szCs w:val="22"/>
          </w:rPr>
          <w:tab/>
        </w:r>
        <w:r w:rsidRPr="001B13A4">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_Toc181683796 \h </w:instrText>
        </w:r>
        <w:r>
          <w:rPr>
            <w:noProof/>
            <w:webHidden/>
          </w:rPr>
        </w:r>
        <w:r>
          <w:rPr>
            <w:noProof/>
            <w:webHidden/>
          </w:rPr>
          <w:fldChar w:fldCharType="separate"/>
        </w:r>
        <w:r>
          <w:rPr>
            <w:noProof/>
            <w:webHidden/>
          </w:rPr>
          <w:t>335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7" w:history="1">
        <w:r w:rsidRPr="001B13A4">
          <w:rPr>
            <w:rStyle w:val="Hyperlink"/>
            <w:noProof/>
          </w:rPr>
          <w:t>2.1.761</w:t>
        </w:r>
        <w:r>
          <w:rPr>
            <w:rFonts w:asciiTheme="minorHAnsi" w:eastAsiaTheme="minorEastAsia" w:hAnsiTheme="minorHAnsi" w:cstheme="minorBidi"/>
            <w:noProof/>
            <w:sz w:val="22"/>
            <w:szCs w:val="22"/>
          </w:rPr>
          <w:tab/>
        </w:r>
        <w:r w:rsidRPr="001B13A4">
          <w:rPr>
            <w:rStyle w:val="Hyperlink"/>
            <w:noProof/>
          </w:rPr>
          <w:t>Part 1 Section 18.10.1.35, format (PivotTable Format)</w:t>
        </w:r>
        <w:r>
          <w:rPr>
            <w:noProof/>
            <w:webHidden/>
          </w:rPr>
          <w:tab/>
        </w:r>
        <w:r>
          <w:rPr>
            <w:noProof/>
            <w:webHidden/>
          </w:rPr>
          <w:fldChar w:fldCharType="begin"/>
        </w:r>
        <w:r>
          <w:rPr>
            <w:noProof/>
            <w:webHidden/>
          </w:rPr>
          <w:instrText xml:space="preserve"> PAGEREF _Toc181683797 \h </w:instrText>
        </w:r>
        <w:r>
          <w:rPr>
            <w:noProof/>
            <w:webHidden/>
          </w:rPr>
        </w:r>
        <w:r>
          <w:rPr>
            <w:noProof/>
            <w:webHidden/>
          </w:rPr>
          <w:fldChar w:fldCharType="separate"/>
        </w:r>
        <w:r>
          <w:rPr>
            <w:noProof/>
            <w:webHidden/>
          </w:rPr>
          <w:t>335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8" w:history="1">
        <w:r w:rsidRPr="001B13A4">
          <w:rPr>
            <w:rStyle w:val="Hyperlink"/>
            <w:noProof/>
          </w:rPr>
          <w:t>2.1.762</w:t>
        </w:r>
        <w:r>
          <w:rPr>
            <w:rFonts w:asciiTheme="minorHAnsi" w:eastAsiaTheme="minorEastAsia" w:hAnsiTheme="minorHAnsi" w:cstheme="minorBidi"/>
            <w:noProof/>
            <w:sz w:val="22"/>
            <w:szCs w:val="22"/>
          </w:rPr>
          <w:tab/>
        </w:r>
        <w:r w:rsidRPr="001B13A4">
          <w:rPr>
            <w:rStyle w:val="Hyperlink"/>
            <w:noProof/>
          </w:rPr>
          <w:t>Part 1 Section 18.10.1.37, group (OLAP Group)</w:t>
        </w:r>
        <w:r>
          <w:rPr>
            <w:noProof/>
            <w:webHidden/>
          </w:rPr>
          <w:tab/>
        </w:r>
        <w:r>
          <w:rPr>
            <w:noProof/>
            <w:webHidden/>
          </w:rPr>
          <w:fldChar w:fldCharType="begin"/>
        </w:r>
        <w:r>
          <w:rPr>
            <w:noProof/>
            <w:webHidden/>
          </w:rPr>
          <w:instrText xml:space="preserve"> PAGEREF _Toc181683798 \h </w:instrText>
        </w:r>
        <w:r>
          <w:rPr>
            <w:noProof/>
            <w:webHidden/>
          </w:rPr>
        </w:r>
        <w:r>
          <w:rPr>
            <w:noProof/>
            <w:webHidden/>
          </w:rPr>
          <w:fldChar w:fldCharType="separate"/>
        </w:r>
        <w:r>
          <w:rPr>
            <w:noProof/>
            <w:webHidden/>
          </w:rPr>
          <w:t>335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799" w:history="1">
        <w:r w:rsidRPr="001B13A4">
          <w:rPr>
            <w:rStyle w:val="Hyperlink"/>
            <w:noProof/>
          </w:rPr>
          <w:t>2.1.763</w:t>
        </w:r>
        <w:r>
          <w:rPr>
            <w:rFonts w:asciiTheme="minorHAnsi" w:eastAsiaTheme="minorEastAsia" w:hAnsiTheme="minorHAnsi" w:cstheme="minorBidi"/>
            <w:noProof/>
            <w:sz w:val="22"/>
            <w:szCs w:val="22"/>
          </w:rPr>
          <w:tab/>
        </w:r>
        <w:r w:rsidRPr="001B13A4">
          <w:rPr>
            <w:rStyle w:val="Hyperlink"/>
            <w:noProof/>
          </w:rPr>
          <w:t>Part 1 Section 18.10.1.38, groupItems (OLAP Group Items)</w:t>
        </w:r>
        <w:r>
          <w:rPr>
            <w:noProof/>
            <w:webHidden/>
          </w:rPr>
          <w:tab/>
        </w:r>
        <w:r>
          <w:rPr>
            <w:noProof/>
            <w:webHidden/>
          </w:rPr>
          <w:fldChar w:fldCharType="begin"/>
        </w:r>
        <w:r>
          <w:rPr>
            <w:noProof/>
            <w:webHidden/>
          </w:rPr>
          <w:instrText xml:space="preserve"> PAGEREF _Toc181683799 \h </w:instrText>
        </w:r>
        <w:r>
          <w:rPr>
            <w:noProof/>
            <w:webHidden/>
          </w:rPr>
        </w:r>
        <w:r>
          <w:rPr>
            <w:noProof/>
            <w:webHidden/>
          </w:rPr>
          <w:fldChar w:fldCharType="separate"/>
        </w:r>
        <w:r>
          <w:rPr>
            <w:noProof/>
            <w:webHidden/>
          </w:rPr>
          <w:t>336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0" w:history="1">
        <w:r w:rsidRPr="001B13A4">
          <w:rPr>
            <w:rStyle w:val="Hyperlink"/>
            <w:noProof/>
          </w:rPr>
          <w:t>2.1.764</w:t>
        </w:r>
        <w:r>
          <w:rPr>
            <w:rFonts w:asciiTheme="minorHAnsi" w:eastAsiaTheme="minorEastAsia" w:hAnsiTheme="minorHAnsi" w:cstheme="minorBidi"/>
            <w:noProof/>
            <w:sz w:val="22"/>
            <w:szCs w:val="22"/>
          </w:rPr>
          <w:tab/>
        </w:r>
        <w:r w:rsidRPr="001B13A4">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_Toc181683800 \h </w:instrText>
        </w:r>
        <w:r>
          <w:rPr>
            <w:noProof/>
            <w:webHidden/>
          </w:rPr>
        </w:r>
        <w:r>
          <w:rPr>
            <w:noProof/>
            <w:webHidden/>
          </w:rPr>
          <w:fldChar w:fldCharType="separate"/>
        </w:r>
        <w:r>
          <w:rPr>
            <w:noProof/>
            <w:webHidden/>
          </w:rPr>
          <w:t>336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1" w:history="1">
        <w:r w:rsidRPr="001B13A4">
          <w:rPr>
            <w:rStyle w:val="Hyperlink"/>
            <w:noProof/>
          </w:rPr>
          <w:t>2.1.765</w:t>
        </w:r>
        <w:r>
          <w:rPr>
            <w:rFonts w:asciiTheme="minorHAnsi" w:eastAsiaTheme="minorEastAsia" w:hAnsiTheme="minorHAnsi" w:cstheme="minorBidi"/>
            <w:noProof/>
            <w:sz w:val="22"/>
            <w:szCs w:val="22"/>
          </w:rPr>
          <w:tab/>
        </w:r>
        <w:r w:rsidRPr="001B13A4">
          <w:rPr>
            <w:rStyle w:val="Hyperlink"/>
            <w:noProof/>
          </w:rPr>
          <w:t>Part 1 Section 18.10.1.41, groupMember (OLAP Group Member)</w:t>
        </w:r>
        <w:r>
          <w:rPr>
            <w:noProof/>
            <w:webHidden/>
          </w:rPr>
          <w:tab/>
        </w:r>
        <w:r>
          <w:rPr>
            <w:noProof/>
            <w:webHidden/>
          </w:rPr>
          <w:fldChar w:fldCharType="begin"/>
        </w:r>
        <w:r>
          <w:rPr>
            <w:noProof/>
            <w:webHidden/>
          </w:rPr>
          <w:instrText xml:space="preserve"> PAGEREF _Toc181683801 \h </w:instrText>
        </w:r>
        <w:r>
          <w:rPr>
            <w:noProof/>
            <w:webHidden/>
          </w:rPr>
        </w:r>
        <w:r>
          <w:rPr>
            <w:noProof/>
            <w:webHidden/>
          </w:rPr>
          <w:fldChar w:fldCharType="separate"/>
        </w:r>
        <w:r>
          <w:rPr>
            <w:noProof/>
            <w:webHidden/>
          </w:rPr>
          <w:t>336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2" w:history="1">
        <w:r w:rsidRPr="001B13A4">
          <w:rPr>
            <w:rStyle w:val="Hyperlink"/>
            <w:noProof/>
          </w:rPr>
          <w:t>2.1.766</w:t>
        </w:r>
        <w:r>
          <w:rPr>
            <w:rFonts w:asciiTheme="minorHAnsi" w:eastAsiaTheme="minorEastAsia" w:hAnsiTheme="minorHAnsi" w:cstheme="minorBidi"/>
            <w:noProof/>
            <w:sz w:val="22"/>
            <w:szCs w:val="22"/>
          </w:rPr>
          <w:tab/>
        </w:r>
        <w:r w:rsidRPr="001B13A4">
          <w:rPr>
            <w:rStyle w:val="Hyperlink"/>
            <w:noProof/>
          </w:rPr>
          <w:t>Part 1 Section 18.10.1.44, i (Row Items)</w:t>
        </w:r>
        <w:r>
          <w:rPr>
            <w:noProof/>
            <w:webHidden/>
          </w:rPr>
          <w:tab/>
        </w:r>
        <w:r>
          <w:rPr>
            <w:noProof/>
            <w:webHidden/>
          </w:rPr>
          <w:fldChar w:fldCharType="begin"/>
        </w:r>
        <w:r>
          <w:rPr>
            <w:noProof/>
            <w:webHidden/>
          </w:rPr>
          <w:instrText xml:space="preserve"> PAGEREF _Toc181683802 \h </w:instrText>
        </w:r>
        <w:r>
          <w:rPr>
            <w:noProof/>
            <w:webHidden/>
          </w:rPr>
        </w:r>
        <w:r>
          <w:rPr>
            <w:noProof/>
            <w:webHidden/>
          </w:rPr>
          <w:fldChar w:fldCharType="separate"/>
        </w:r>
        <w:r>
          <w:rPr>
            <w:noProof/>
            <w:webHidden/>
          </w:rPr>
          <w:t>336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3" w:history="1">
        <w:r w:rsidRPr="001B13A4">
          <w:rPr>
            <w:rStyle w:val="Hyperlink"/>
            <w:noProof/>
          </w:rPr>
          <w:t>2.1.767</w:t>
        </w:r>
        <w:r>
          <w:rPr>
            <w:rFonts w:asciiTheme="minorHAnsi" w:eastAsiaTheme="minorEastAsia" w:hAnsiTheme="minorHAnsi" w:cstheme="minorBidi"/>
            <w:noProof/>
            <w:sz w:val="22"/>
            <w:szCs w:val="22"/>
          </w:rPr>
          <w:tab/>
        </w:r>
        <w:r w:rsidRPr="001B13A4">
          <w:rPr>
            <w:rStyle w:val="Hyperlink"/>
            <w:noProof/>
          </w:rPr>
          <w:t>Part 1 Section 18.10.1.45, item (PivotTable Field Item)</w:t>
        </w:r>
        <w:r>
          <w:rPr>
            <w:noProof/>
            <w:webHidden/>
          </w:rPr>
          <w:tab/>
        </w:r>
        <w:r>
          <w:rPr>
            <w:noProof/>
            <w:webHidden/>
          </w:rPr>
          <w:fldChar w:fldCharType="begin"/>
        </w:r>
        <w:r>
          <w:rPr>
            <w:noProof/>
            <w:webHidden/>
          </w:rPr>
          <w:instrText xml:space="preserve"> PAGEREF _Toc181683803 \h </w:instrText>
        </w:r>
        <w:r>
          <w:rPr>
            <w:noProof/>
            <w:webHidden/>
          </w:rPr>
        </w:r>
        <w:r>
          <w:rPr>
            <w:noProof/>
            <w:webHidden/>
          </w:rPr>
          <w:fldChar w:fldCharType="separate"/>
        </w:r>
        <w:r>
          <w:rPr>
            <w:noProof/>
            <w:webHidden/>
          </w:rPr>
          <w:t>337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4" w:history="1">
        <w:r w:rsidRPr="001B13A4">
          <w:rPr>
            <w:rStyle w:val="Hyperlink"/>
            <w:noProof/>
          </w:rPr>
          <w:t>2.1.768</w:t>
        </w:r>
        <w:r>
          <w:rPr>
            <w:rFonts w:asciiTheme="minorHAnsi" w:eastAsiaTheme="minorEastAsia" w:hAnsiTheme="minorHAnsi" w:cstheme="minorBidi"/>
            <w:noProof/>
            <w:sz w:val="22"/>
            <w:szCs w:val="22"/>
          </w:rPr>
          <w:tab/>
        </w:r>
        <w:r w:rsidRPr="001B13A4">
          <w:rPr>
            <w:rStyle w:val="Hyperlink"/>
            <w:noProof/>
          </w:rPr>
          <w:t>Part 1 Section 18.10.1.46, items (Field Items)</w:t>
        </w:r>
        <w:r>
          <w:rPr>
            <w:noProof/>
            <w:webHidden/>
          </w:rPr>
          <w:tab/>
        </w:r>
        <w:r>
          <w:rPr>
            <w:noProof/>
            <w:webHidden/>
          </w:rPr>
          <w:fldChar w:fldCharType="begin"/>
        </w:r>
        <w:r>
          <w:rPr>
            <w:noProof/>
            <w:webHidden/>
          </w:rPr>
          <w:instrText xml:space="preserve"> PAGEREF _Toc181683804 \h </w:instrText>
        </w:r>
        <w:r>
          <w:rPr>
            <w:noProof/>
            <w:webHidden/>
          </w:rPr>
        </w:r>
        <w:r>
          <w:rPr>
            <w:noProof/>
            <w:webHidden/>
          </w:rPr>
          <w:fldChar w:fldCharType="separate"/>
        </w:r>
        <w:r>
          <w:rPr>
            <w:noProof/>
            <w:webHidden/>
          </w:rPr>
          <w:t>338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5" w:history="1">
        <w:r w:rsidRPr="001B13A4">
          <w:rPr>
            <w:rStyle w:val="Hyperlink"/>
            <w:noProof/>
          </w:rPr>
          <w:t>2.1.769</w:t>
        </w:r>
        <w:r>
          <w:rPr>
            <w:rFonts w:asciiTheme="minorHAnsi" w:eastAsiaTheme="minorEastAsia" w:hAnsiTheme="minorHAnsi" w:cstheme="minorBidi"/>
            <w:noProof/>
            <w:sz w:val="22"/>
            <w:szCs w:val="22"/>
          </w:rPr>
          <w:tab/>
        </w:r>
        <w:r w:rsidRPr="001B13A4">
          <w:rPr>
            <w:rStyle w:val="Hyperlink"/>
            <w:noProof/>
          </w:rPr>
          <w:t>Part 1 Section 18.10.1.47, kpi (OLAP KPI)</w:t>
        </w:r>
        <w:r>
          <w:rPr>
            <w:noProof/>
            <w:webHidden/>
          </w:rPr>
          <w:tab/>
        </w:r>
        <w:r>
          <w:rPr>
            <w:noProof/>
            <w:webHidden/>
          </w:rPr>
          <w:fldChar w:fldCharType="begin"/>
        </w:r>
        <w:r>
          <w:rPr>
            <w:noProof/>
            <w:webHidden/>
          </w:rPr>
          <w:instrText xml:space="preserve"> PAGEREF _Toc181683805 \h </w:instrText>
        </w:r>
        <w:r>
          <w:rPr>
            <w:noProof/>
            <w:webHidden/>
          </w:rPr>
        </w:r>
        <w:r>
          <w:rPr>
            <w:noProof/>
            <w:webHidden/>
          </w:rPr>
          <w:fldChar w:fldCharType="separate"/>
        </w:r>
        <w:r>
          <w:rPr>
            <w:noProof/>
            <w:webHidden/>
          </w:rPr>
          <w:t>338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6" w:history="1">
        <w:r w:rsidRPr="001B13A4">
          <w:rPr>
            <w:rStyle w:val="Hyperlink"/>
            <w:noProof/>
          </w:rPr>
          <w:t>2.1.770</w:t>
        </w:r>
        <w:r>
          <w:rPr>
            <w:rFonts w:asciiTheme="minorHAnsi" w:eastAsiaTheme="minorEastAsia" w:hAnsiTheme="minorHAnsi" w:cstheme="minorBidi"/>
            <w:noProof/>
            <w:sz w:val="22"/>
            <w:szCs w:val="22"/>
          </w:rPr>
          <w:tab/>
        </w:r>
        <w:r w:rsidRPr="001B13A4">
          <w:rPr>
            <w:rStyle w:val="Hyperlink"/>
            <w:noProof/>
          </w:rPr>
          <w:t>Part 1 Section 18.10.1.49, location (PivotTable Location)</w:t>
        </w:r>
        <w:r>
          <w:rPr>
            <w:noProof/>
            <w:webHidden/>
          </w:rPr>
          <w:tab/>
        </w:r>
        <w:r>
          <w:rPr>
            <w:noProof/>
            <w:webHidden/>
          </w:rPr>
          <w:fldChar w:fldCharType="begin"/>
        </w:r>
        <w:r>
          <w:rPr>
            <w:noProof/>
            <w:webHidden/>
          </w:rPr>
          <w:instrText xml:space="preserve"> PAGEREF _Toc181683806 \h </w:instrText>
        </w:r>
        <w:r>
          <w:rPr>
            <w:noProof/>
            <w:webHidden/>
          </w:rPr>
        </w:r>
        <w:r>
          <w:rPr>
            <w:noProof/>
            <w:webHidden/>
          </w:rPr>
          <w:fldChar w:fldCharType="separate"/>
        </w:r>
        <w:r>
          <w:rPr>
            <w:noProof/>
            <w:webHidden/>
          </w:rPr>
          <w:t>340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7" w:history="1">
        <w:r w:rsidRPr="001B13A4">
          <w:rPr>
            <w:rStyle w:val="Hyperlink"/>
            <w:noProof/>
          </w:rPr>
          <w:t>2.1.771</w:t>
        </w:r>
        <w:r>
          <w:rPr>
            <w:rFonts w:asciiTheme="minorHAnsi" w:eastAsiaTheme="minorEastAsia" w:hAnsiTheme="minorHAnsi" w:cstheme="minorBidi"/>
            <w:noProof/>
            <w:sz w:val="22"/>
            <w:szCs w:val="22"/>
          </w:rPr>
          <w:tab/>
        </w:r>
        <w:r w:rsidRPr="001B13A4">
          <w:rPr>
            <w:rStyle w:val="Hyperlink"/>
            <w:noProof/>
          </w:rPr>
          <w:t>Part 1 Section 18.10.1.50, m (No Value)</w:t>
        </w:r>
        <w:r>
          <w:rPr>
            <w:noProof/>
            <w:webHidden/>
          </w:rPr>
          <w:tab/>
        </w:r>
        <w:r>
          <w:rPr>
            <w:noProof/>
            <w:webHidden/>
          </w:rPr>
          <w:fldChar w:fldCharType="begin"/>
        </w:r>
        <w:r>
          <w:rPr>
            <w:noProof/>
            <w:webHidden/>
          </w:rPr>
          <w:instrText xml:space="preserve"> PAGEREF _Toc181683807 \h </w:instrText>
        </w:r>
        <w:r>
          <w:rPr>
            <w:noProof/>
            <w:webHidden/>
          </w:rPr>
        </w:r>
        <w:r>
          <w:rPr>
            <w:noProof/>
            <w:webHidden/>
          </w:rPr>
          <w:fldChar w:fldCharType="separate"/>
        </w:r>
        <w:r>
          <w:rPr>
            <w:noProof/>
            <w:webHidden/>
          </w:rPr>
          <w:t>340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8" w:history="1">
        <w:r w:rsidRPr="001B13A4">
          <w:rPr>
            <w:rStyle w:val="Hyperlink"/>
            <w:noProof/>
          </w:rPr>
          <w:t>2.1.772</w:t>
        </w:r>
        <w:r>
          <w:rPr>
            <w:rFonts w:asciiTheme="minorHAnsi" w:eastAsiaTheme="minorEastAsia" w:hAnsiTheme="minorHAnsi" w:cstheme="minorBidi"/>
            <w:noProof/>
            <w:sz w:val="22"/>
            <w:szCs w:val="22"/>
          </w:rPr>
          <w:tab/>
        </w:r>
        <w:r w:rsidRPr="001B13A4">
          <w:rPr>
            <w:rStyle w:val="Hyperlink"/>
            <w:noProof/>
          </w:rPr>
          <w:t>Part 1 Section 18.10.1.51, map (OLAP Measure Group)</w:t>
        </w:r>
        <w:r>
          <w:rPr>
            <w:noProof/>
            <w:webHidden/>
          </w:rPr>
          <w:tab/>
        </w:r>
        <w:r>
          <w:rPr>
            <w:noProof/>
            <w:webHidden/>
          </w:rPr>
          <w:fldChar w:fldCharType="begin"/>
        </w:r>
        <w:r>
          <w:rPr>
            <w:noProof/>
            <w:webHidden/>
          </w:rPr>
          <w:instrText xml:space="preserve"> PAGEREF _Toc181683808 \h </w:instrText>
        </w:r>
        <w:r>
          <w:rPr>
            <w:noProof/>
            <w:webHidden/>
          </w:rPr>
        </w:r>
        <w:r>
          <w:rPr>
            <w:noProof/>
            <w:webHidden/>
          </w:rPr>
          <w:fldChar w:fldCharType="separate"/>
        </w:r>
        <w:r>
          <w:rPr>
            <w:noProof/>
            <w:webHidden/>
          </w:rPr>
          <w:t>341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09" w:history="1">
        <w:r w:rsidRPr="001B13A4">
          <w:rPr>
            <w:rStyle w:val="Hyperlink"/>
            <w:noProof/>
          </w:rPr>
          <w:t>2.1.773</w:t>
        </w:r>
        <w:r>
          <w:rPr>
            <w:rFonts w:asciiTheme="minorHAnsi" w:eastAsiaTheme="minorEastAsia" w:hAnsiTheme="minorHAnsi" w:cstheme="minorBidi"/>
            <w:noProof/>
            <w:sz w:val="22"/>
            <w:szCs w:val="22"/>
          </w:rPr>
          <w:tab/>
        </w:r>
        <w:r w:rsidRPr="001B13A4">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_Toc181683809 \h </w:instrText>
        </w:r>
        <w:r>
          <w:rPr>
            <w:noProof/>
            <w:webHidden/>
          </w:rPr>
        </w:r>
        <w:r>
          <w:rPr>
            <w:noProof/>
            <w:webHidden/>
          </w:rPr>
          <w:fldChar w:fldCharType="separate"/>
        </w:r>
        <w:r>
          <w:rPr>
            <w:noProof/>
            <w:webHidden/>
          </w:rPr>
          <w:t>341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0" w:history="1">
        <w:r w:rsidRPr="001B13A4">
          <w:rPr>
            <w:rStyle w:val="Hyperlink"/>
            <w:noProof/>
          </w:rPr>
          <w:t>2.1.774</w:t>
        </w:r>
        <w:r>
          <w:rPr>
            <w:rFonts w:asciiTheme="minorHAnsi" w:eastAsiaTheme="minorEastAsia" w:hAnsiTheme="minorHAnsi" w:cstheme="minorBidi"/>
            <w:noProof/>
            <w:sz w:val="22"/>
            <w:szCs w:val="22"/>
          </w:rPr>
          <w:tab/>
        </w:r>
        <w:r w:rsidRPr="001B13A4">
          <w:rPr>
            <w:rStyle w:val="Hyperlink"/>
            <w:noProof/>
          </w:rPr>
          <w:t>Part 1 Section 18.10.1.55, member (Member)</w:t>
        </w:r>
        <w:r>
          <w:rPr>
            <w:noProof/>
            <w:webHidden/>
          </w:rPr>
          <w:tab/>
        </w:r>
        <w:r>
          <w:rPr>
            <w:noProof/>
            <w:webHidden/>
          </w:rPr>
          <w:fldChar w:fldCharType="begin"/>
        </w:r>
        <w:r>
          <w:rPr>
            <w:noProof/>
            <w:webHidden/>
          </w:rPr>
          <w:instrText xml:space="preserve"> PAGEREF _Toc181683810 \h </w:instrText>
        </w:r>
        <w:r>
          <w:rPr>
            <w:noProof/>
            <w:webHidden/>
          </w:rPr>
        </w:r>
        <w:r>
          <w:rPr>
            <w:noProof/>
            <w:webHidden/>
          </w:rPr>
          <w:fldChar w:fldCharType="separate"/>
        </w:r>
        <w:r>
          <w:rPr>
            <w:noProof/>
            <w:webHidden/>
          </w:rPr>
          <w:t>341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1" w:history="1">
        <w:r w:rsidRPr="001B13A4">
          <w:rPr>
            <w:rStyle w:val="Hyperlink"/>
            <w:noProof/>
          </w:rPr>
          <w:t>2.1.775</w:t>
        </w:r>
        <w:r>
          <w:rPr>
            <w:rFonts w:asciiTheme="minorHAnsi" w:eastAsiaTheme="minorEastAsia" w:hAnsiTheme="minorHAnsi" w:cstheme="minorBidi"/>
            <w:noProof/>
            <w:sz w:val="22"/>
            <w:szCs w:val="22"/>
          </w:rPr>
          <w:tab/>
        </w:r>
        <w:r w:rsidRPr="001B13A4">
          <w:rPr>
            <w:rStyle w:val="Hyperlink"/>
            <w:noProof/>
          </w:rPr>
          <w:t>Part 1 Section 18.10.1.56, members (Members)</w:t>
        </w:r>
        <w:r>
          <w:rPr>
            <w:noProof/>
            <w:webHidden/>
          </w:rPr>
          <w:tab/>
        </w:r>
        <w:r>
          <w:rPr>
            <w:noProof/>
            <w:webHidden/>
          </w:rPr>
          <w:fldChar w:fldCharType="begin"/>
        </w:r>
        <w:r>
          <w:rPr>
            <w:noProof/>
            <w:webHidden/>
          </w:rPr>
          <w:instrText xml:space="preserve"> PAGEREF _Toc181683811 \h </w:instrText>
        </w:r>
        <w:r>
          <w:rPr>
            <w:noProof/>
            <w:webHidden/>
          </w:rPr>
        </w:r>
        <w:r>
          <w:rPr>
            <w:noProof/>
            <w:webHidden/>
          </w:rPr>
          <w:fldChar w:fldCharType="separate"/>
        </w:r>
        <w:r>
          <w:rPr>
            <w:noProof/>
            <w:webHidden/>
          </w:rPr>
          <w:t>342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2" w:history="1">
        <w:r w:rsidRPr="001B13A4">
          <w:rPr>
            <w:rStyle w:val="Hyperlink"/>
            <w:noProof/>
          </w:rPr>
          <w:t>2.1.776</w:t>
        </w:r>
        <w:r>
          <w:rPr>
            <w:rFonts w:asciiTheme="minorHAnsi" w:eastAsiaTheme="minorEastAsia" w:hAnsiTheme="minorHAnsi" w:cstheme="minorBidi"/>
            <w:noProof/>
            <w:sz w:val="22"/>
            <w:szCs w:val="22"/>
          </w:rPr>
          <w:tab/>
        </w:r>
        <w:r w:rsidRPr="001B13A4">
          <w:rPr>
            <w:rStyle w:val="Hyperlink"/>
            <w:noProof/>
          </w:rPr>
          <w:t>Part 1 Section 18.10.1.57, mp (OLAP Member Property)</w:t>
        </w:r>
        <w:r>
          <w:rPr>
            <w:noProof/>
            <w:webHidden/>
          </w:rPr>
          <w:tab/>
        </w:r>
        <w:r>
          <w:rPr>
            <w:noProof/>
            <w:webHidden/>
          </w:rPr>
          <w:fldChar w:fldCharType="begin"/>
        </w:r>
        <w:r>
          <w:rPr>
            <w:noProof/>
            <w:webHidden/>
          </w:rPr>
          <w:instrText xml:space="preserve"> PAGEREF _Toc181683812 \h </w:instrText>
        </w:r>
        <w:r>
          <w:rPr>
            <w:noProof/>
            <w:webHidden/>
          </w:rPr>
        </w:r>
        <w:r>
          <w:rPr>
            <w:noProof/>
            <w:webHidden/>
          </w:rPr>
          <w:fldChar w:fldCharType="separate"/>
        </w:r>
        <w:r>
          <w:rPr>
            <w:noProof/>
            <w:webHidden/>
          </w:rPr>
          <w:t>342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3" w:history="1">
        <w:r w:rsidRPr="001B13A4">
          <w:rPr>
            <w:rStyle w:val="Hyperlink"/>
            <w:noProof/>
          </w:rPr>
          <w:t>2.1.777</w:t>
        </w:r>
        <w:r>
          <w:rPr>
            <w:rFonts w:asciiTheme="minorHAnsi" w:eastAsiaTheme="minorEastAsia" w:hAnsiTheme="minorHAnsi" w:cstheme="minorBidi"/>
            <w:noProof/>
            <w:sz w:val="22"/>
            <w:szCs w:val="22"/>
          </w:rPr>
          <w:tab/>
        </w:r>
        <w:r w:rsidRPr="001B13A4">
          <w:rPr>
            <w:rStyle w:val="Hyperlink"/>
            <w:noProof/>
          </w:rPr>
          <w:t>Part 1 Section 18.10.1.58, mpMap (Member Properties Map)</w:t>
        </w:r>
        <w:r>
          <w:rPr>
            <w:noProof/>
            <w:webHidden/>
          </w:rPr>
          <w:tab/>
        </w:r>
        <w:r>
          <w:rPr>
            <w:noProof/>
            <w:webHidden/>
          </w:rPr>
          <w:fldChar w:fldCharType="begin"/>
        </w:r>
        <w:r>
          <w:rPr>
            <w:noProof/>
            <w:webHidden/>
          </w:rPr>
          <w:instrText xml:space="preserve"> PAGEREF _Toc181683813 \h </w:instrText>
        </w:r>
        <w:r>
          <w:rPr>
            <w:noProof/>
            <w:webHidden/>
          </w:rPr>
        </w:r>
        <w:r>
          <w:rPr>
            <w:noProof/>
            <w:webHidden/>
          </w:rPr>
          <w:fldChar w:fldCharType="separate"/>
        </w:r>
        <w:r>
          <w:rPr>
            <w:noProof/>
            <w:webHidden/>
          </w:rPr>
          <w:t>343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4" w:history="1">
        <w:r w:rsidRPr="001B13A4">
          <w:rPr>
            <w:rStyle w:val="Hyperlink"/>
            <w:noProof/>
          </w:rPr>
          <w:t>2.1.778</w:t>
        </w:r>
        <w:r>
          <w:rPr>
            <w:rFonts w:asciiTheme="minorHAnsi" w:eastAsiaTheme="minorEastAsia" w:hAnsiTheme="minorHAnsi" w:cstheme="minorBidi"/>
            <w:noProof/>
            <w:sz w:val="22"/>
            <w:szCs w:val="22"/>
          </w:rPr>
          <w:tab/>
        </w:r>
        <w:r w:rsidRPr="001B13A4">
          <w:rPr>
            <w:rStyle w:val="Hyperlink"/>
            <w:noProof/>
          </w:rPr>
          <w:t>Part 1 Section 18.10.1.60, n (Numeric)</w:t>
        </w:r>
        <w:r>
          <w:rPr>
            <w:noProof/>
            <w:webHidden/>
          </w:rPr>
          <w:tab/>
        </w:r>
        <w:r>
          <w:rPr>
            <w:noProof/>
            <w:webHidden/>
          </w:rPr>
          <w:fldChar w:fldCharType="begin"/>
        </w:r>
        <w:r>
          <w:rPr>
            <w:noProof/>
            <w:webHidden/>
          </w:rPr>
          <w:instrText xml:space="preserve"> PAGEREF _Toc181683814 \h </w:instrText>
        </w:r>
        <w:r>
          <w:rPr>
            <w:noProof/>
            <w:webHidden/>
          </w:rPr>
        </w:r>
        <w:r>
          <w:rPr>
            <w:noProof/>
            <w:webHidden/>
          </w:rPr>
          <w:fldChar w:fldCharType="separate"/>
        </w:r>
        <w:r>
          <w:rPr>
            <w:noProof/>
            <w:webHidden/>
          </w:rPr>
          <w:t>343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5" w:history="1">
        <w:r w:rsidRPr="001B13A4">
          <w:rPr>
            <w:rStyle w:val="Hyperlink"/>
            <w:noProof/>
          </w:rPr>
          <w:t>2.1.779</w:t>
        </w:r>
        <w:r>
          <w:rPr>
            <w:rFonts w:asciiTheme="minorHAnsi" w:eastAsiaTheme="minorEastAsia" w:hAnsiTheme="minorHAnsi" w:cstheme="minorBidi"/>
            <w:noProof/>
            <w:sz w:val="22"/>
            <w:szCs w:val="22"/>
          </w:rPr>
          <w:tab/>
        </w:r>
        <w:r w:rsidRPr="001B13A4">
          <w:rPr>
            <w:rStyle w:val="Hyperlink"/>
            <w:noProof/>
          </w:rPr>
          <w:t>Part 1 Section 18.10.1.62, pageField (Page Field)</w:t>
        </w:r>
        <w:r>
          <w:rPr>
            <w:noProof/>
            <w:webHidden/>
          </w:rPr>
          <w:tab/>
        </w:r>
        <w:r>
          <w:rPr>
            <w:noProof/>
            <w:webHidden/>
          </w:rPr>
          <w:fldChar w:fldCharType="begin"/>
        </w:r>
        <w:r>
          <w:rPr>
            <w:noProof/>
            <w:webHidden/>
          </w:rPr>
          <w:instrText xml:space="preserve"> PAGEREF _Toc181683815 \h </w:instrText>
        </w:r>
        <w:r>
          <w:rPr>
            <w:noProof/>
            <w:webHidden/>
          </w:rPr>
        </w:r>
        <w:r>
          <w:rPr>
            <w:noProof/>
            <w:webHidden/>
          </w:rPr>
          <w:fldChar w:fldCharType="separate"/>
        </w:r>
        <w:r>
          <w:rPr>
            <w:noProof/>
            <w:webHidden/>
          </w:rPr>
          <w:t>344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6" w:history="1">
        <w:r w:rsidRPr="001B13A4">
          <w:rPr>
            <w:rStyle w:val="Hyperlink"/>
            <w:noProof/>
          </w:rPr>
          <w:t>2.1.780</w:t>
        </w:r>
        <w:r>
          <w:rPr>
            <w:rFonts w:asciiTheme="minorHAnsi" w:eastAsiaTheme="minorEastAsia" w:hAnsiTheme="minorHAnsi" w:cstheme="minorBidi"/>
            <w:noProof/>
            <w:sz w:val="22"/>
            <w:szCs w:val="22"/>
          </w:rPr>
          <w:tab/>
        </w:r>
        <w:r w:rsidRPr="001B13A4">
          <w:rPr>
            <w:rStyle w:val="Hyperlink"/>
            <w:noProof/>
          </w:rPr>
          <w:t>Part 1 Section 18.10.1.63, pageFields (Page Field Items)</w:t>
        </w:r>
        <w:r>
          <w:rPr>
            <w:noProof/>
            <w:webHidden/>
          </w:rPr>
          <w:tab/>
        </w:r>
        <w:r>
          <w:rPr>
            <w:noProof/>
            <w:webHidden/>
          </w:rPr>
          <w:fldChar w:fldCharType="begin"/>
        </w:r>
        <w:r>
          <w:rPr>
            <w:noProof/>
            <w:webHidden/>
          </w:rPr>
          <w:instrText xml:space="preserve"> PAGEREF _Toc181683816 \h </w:instrText>
        </w:r>
        <w:r>
          <w:rPr>
            <w:noProof/>
            <w:webHidden/>
          </w:rPr>
        </w:r>
        <w:r>
          <w:rPr>
            <w:noProof/>
            <w:webHidden/>
          </w:rPr>
          <w:fldChar w:fldCharType="separate"/>
        </w:r>
        <w:r>
          <w:rPr>
            <w:noProof/>
            <w:webHidden/>
          </w:rPr>
          <w:t>345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7" w:history="1">
        <w:r w:rsidRPr="001B13A4">
          <w:rPr>
            <w:rStyle w:val="Hyperlink"/>
            <w:noProof/>
          </w:rPr>
          <w:t>2.1.781</w:t>
        </w:r>
        <w:r>
          <w:rPr>
            <w:rFonts w:asciiTheme="minorHAnsi" w:eastAsiaTheme="minorEastAsia" w:hAnsiTheme="minorHAnsi" w:cstheme="minorBidi"/>
            <w:noProof/>
            <w:sz w:val="22"/>
            <w:szCs w:val="22"/>
          </w:rPr>
          <w:tab/>
        </w:r>
        <w:r w:rsidRPr="001B13A4">
          <w:rPr>
            <w:rStyle w:val="Hyperlink"/>
            <w:noProof/>
          </w:rPr>
          <w:t>Part 1 Section 18.10.1.64, pageItem (Page Item)</w:t>
        </w:r>
        <w:r>
          <w:rPr>
            <w:noProof/>
            <w:webHidden/>
          </w:rPr>
          <w:tab/>
        </w:r>
        <w:r>
          <w:rPr>
            <w:noProof/>
            <w:webHidden/>
          </w:rPr>
          <w:fldChar w:fldCharType="begin"/>
        </w:r>
        <w:r>
          <w:rPr>
            <w:noProof/>
            <w:webHidden/>
          </w:rPr>
          <w:instrText xml:space="preserve"> PAGEREF _Toc181683817 \h </w:instrText>
        </w:r>
        <w:r>
          <w:rPr>
            <w:noProof/>
            <w:webHidden/>
          </w:rPr>
        </w:r>
        <w:r>
          <w:rPr>
            <w:noProof/>
            <w:webHidden/>
          </w:rPr>
          <w:fldChar w:fldCharType="separate"/>
        </w:r>
        <w:r>
          <w:rPr>
            <w:noProof/>
            <w:webHidden/>
          </w:rPr>
          <w:t>345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8" w:history="1">
        <w:r w:rsidRPr="001B13A4">
          <w:rPr>
            <w:rStyle w:val="Hyperlink"/>
            <w:noProof/>
          </w:rPr>
          <w:t>2.1.782</w:t>
        </w:r>
        <w:r>
          <w:rPr>
            <w:rFonts w:asciiTheme="minorHAnsi" w:eastAsiaTheme="minorEastAsia" w:hAnsiTheme="minorHAnsi" w:cstheme="minorBidi"/>
            <w:noProof/>
            <w:sz w:val="22"/>
            <w:szCs w:val="22"/>
          </w:rPr>
          <w:tab/>
        </w:r>
        <w:r w:rsidRPr="001B13A4">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_Toc181683818 \h </w:instrText>
        </w:r>
        <w:r>
          <w:rPr>
            <w:noProof/>
            <w:webHidden/>
          </w:rPr>
        </w:r>
        <w:r>
          <w:rPr>
            <w:noProof/>
            <w:webHidden/>
          </w:rPr>
          <w:fldChar w:fldCharType="separate"/>
        </w:r>
        <w:r>
          <w:rPr>
            <w:noProof/>
            <w:webHidden/>
          </w:rPr>
          <w:t>345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19" w:history="1">
        <w:r w:rsidRPr="001B13A4">
          <w:rPr>
            <w:rStyle w:val="Hyperlink"/>
            <w:noProof/>
          </w:rPr>
          <w:t>2.1.783</w:t>
        </w:r>
        <w:r>
          <w:rPr>
            <w:rFonts w:asciiTheme="minorHAnsi" w:eastAsiaTheme="minorEastAsia" w:hAnsiTheme="minorHAnsi" w:cstheme="minorBidi"/>
            <w:noProof/>
            <w:sz w:val="22"/>
            <w:szCs w:val="22"/>
          </w:rPr>
          <w:tab/>
        </w:r>
        <w:r w:rsidRPr="001B13A4">
          <w:rPr>
            <w:rStyle w:val="Hyperlink"/>
            <w:noProof/>
          </w:rPr>
          <w:t>Part 1 Section 18.10.1.69, pivotField (PivotTable Field)</w:t>
        </w:r>
        <w:r>
          <w:rPr>
            <w:noProof/>
            <w:webHidden/>
          </w:rPr>
          <w:tab/>
        </w:r>
        <w:r>
          <w:rPr>
            <w:noProof/>
            <w:webHidden/>
          </w:rPr>
          <w:fldChar w:fldCharType="begin"/>
        </w:r>
        <w:r>
          <w:rPr>
            <w:noProof/>
            <w:webHidden/>
          </w:rPr>
          <w:instrText xml:space="preserve"> PAGEREF _Toc181683819 \h </w:instrText>
        </w:r>
        <w:r>
          <w:rPr>
            <w:noProof/>
            <w:webHidden/>
          </w:rPr>
        </w:r>
        <w:r>
          <w:rPr>
            <w:noProof/>
            <w:webHidden/>
          </w:rPr>
          <w:fldChar w:fldCharType="separate"/>
        </w:r>
        <w:r>
          <w:rPr>
            <w:noProof/>
            <w:webHidden/>
          </w:rPr>
          <w:t>346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0" w:history="1">
        <w:r w:rsidRPr="001B13A4">
          <w:rPr>
            <w:rStyle w:val="Hyperlink"/>
            <w:noProof/>
          </w:rPr>
          <w:t>2.1.784</w:t>
        </w:r>
        <w:r>
          <w:rPr>
            <w:rFonts w:asciiTheme="minorHAnsi" w:eastAsiaTheme="minorEastAsia" w:hAnsiTheme="minorHAnsi" w:cstheme="minorBidi"/>
            <w:noProof/>
            <w:sz w:val="22"/>
            <w:szCs w:val="22"/>
          </w:rPr>
          <w:tab/>
        </w:r>
        <w:r w:rsidRPr="001B13A4">
          <w:rPr>
            <w:rStyle w:val="Hyperlink"/>
            <w:noProof/>
          </w:rPr>
          <w:t>Part 1 Section 18.10.1.70, pivotFields (PivotTable Fields)</w:t>
        </w:r>
        <w:r>
          <w:rPr>
            <w:noProof/>
            <w:webHidden/>
          </w:rPr>
          <w:tab/>
        </w:r>
        <w:r>
          <w:rPr>
            <w:noProof/>
            <w:webHidden/>
          </w:rPr>
          <w:fldChar w:fldCharType="begin"/>
        </w:r>
        <w:r>
          <w:rPr>
            <w:noProof/>
            <w:webHidden/>
          </w:rPr>
          <w:instrText xml:space="preserve"> PAGEREF _Toc181683820 \h </w:instrText>
        </w:r>
        <w:r>
          <w:rPr>
            <w:noProof/>
            <w:webHidden/>
          </w:rPr>
        </w:r>
        <w:r>
          <w:rPr>
            <w:noProof/>
            <w:webHidden/>
          </w:rPr>
          <w:fldChar w:fldCharType="separate"/>
        </w:r>
        <w:r>
          <w:rPr>
            <w:noProof/>
            <w:webHidden/>
          </w:rPr>
          <w:t>350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1" w:history="1">
        <w:r w:rsidRPr="001B13A4">
          <w:rPr>
            <w:rStyle w:val="Hyperlink"/>
            <w:noProof/>
          </w:rPr>
          <w:t>2.1.785</w:t>
        </w:r>
        <w:r>
          <w:rPr>
            <w:rFonts w:asciiTheme="minorHAnsi" w:eastAsiaTheme="minorEastAsia" w:hAnsiTheme="minorHAnsi" w:cstheme="minorBidi"/>
            <w:noProof/>
            <w:sz w:val="22"/>
            <w:szCs w:val="22"/>
          </w:rPr>
          <w:tab/>
        </w:r>
        <w:r w:rsidRPr="001B13A4">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_Toc181683821 \h </w:instrText>
        </w:r>
        <w:r>
          <w:rPr>
            <w:noProof/>
            <w:webHidden/>
          </w:rPr>
        </w:r>
        <w:r>
          <w:rPr>
            <w:noProof/>
            <w:webHidden/>
          </w:rPr>
          <w:fldChar w:fldCharType="separate"/>
        </w:r>
        <w:r>
          <w:rPr>
            <w:noProof/>
            <w:webHidden/>
          </w:rPr>
          <w:t>350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2" w:history="1">
        <w:r w:rsidRPr="001B13A4">
          <w:rPr>
            <w:rStyle w:val="Hyperlink"/>
            <w:noProof/>
          </w:rPr>
          <w:t>2.1.786</w:t>
        </w:r>
        <w:r>
          <w:rPr>
            <w:rFonts w:asciiTheme="minorHAnsi" w:eastAsiaTheme="minorEastAsia" w:hAnsiTheme="minorHAnsi" w:cstheme="minorBidi"/>
            <w:noProof/>
            <w:sz w:val="22"/>
            <w:szCs w:val="22"/>
          </w:rPr>
          <w:tab/>
        </w:r>
        <w:r w:rsidRPr="001B13A4">
          <w:rPr>
            <w:rStyle w:val="Hyperlink"/>
            <w:noProof/>
          </w:rPr>
          <w:t>Part 1 Section 18.10.1.72, pivotHierarchy (OLAP Hierarchy)</w:t>
        </w:r>
        <w:r>
          <w:rPr>
            <w:noProof/>
            <w:webHidden/>
          </w:rPr>
          <w:tab/>
        </w:r>
        <w:r>
          <w:rPr>
            <w:noProof/>
            <w:webHidden/>
          </w:rPr>
          <w:fldChar w:fldCharType="begin"/>
        </w:r>
        <w:r>
          <w:rPr>
            <w:noProof/>
            <w:webHidden/>
          </w:rPr>
          <w:instrText xml:space="preserve"> PAGEREF _Toc181683822 \h </w:instrText>
        </w:r>
        <w:r>
          <w:rPr>
            <w:noProof/>
            <w:webHidden/>
          </w:rPr>
        </w:r>
        <w:r>
          <w:rPr>
            <w:noProof/>
            <w:webHidden/>
          </w:rPr>
          <w:fldChar w:fldCharType="separate"/>
        </w:r>
        <w:r>
          <w:rPr>
            <w:noProof/>
            <w:webHidden/>
          </w:rPr>
          <w:t>350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3" w:history="1">
        <w:r w:rsidRPr="001B13A4">
          <w:rPr>
            <w:rStyle w:val="Hyperlink"/>
            <w:noProof/>
          </w:rPr>
          <w:t>2.1.787</w:t>
        </w:r>
        <w:r>
          <w:rPr>
            <w:rFonts w:asciiTheme="minorHAnsi" w:eastAsiaTheme="minorEastAsia" w:hAnsiTheme="minorHAnsi" w:cstheme="minorBidi"/>
            <w:noProof/>
            <w:sz w:val="22"/>
            <w:szCs w:val="22"/>
          </w:rPr>
          <w:tab/>
        </w:r>
        <w:r w:rsidRPr="001B13A4">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_Toc181683823 \h </w:instrText>
        </w:r>
        <w:r>
          <w:rPr>
            <w:noProof/>
            <w:webHidden/>
          </w:rPr>
        </w:r>
        <w:r>
          <w:rPr>
            <w:noProof/>
            <w:webHidden/>
          </w:rPr>
          <w:fldChar w:fldCharType="separate"/>
        </w:r>
        <w:r>
          <w:rPr>
            <w:noProof/>
            <w:webHidden/>
          </w:rPr>
          <w:t>351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4" w:history="1">
        <w:r w:rsidRPr="001B13A4">
          <w:rPr>
            <w:rStyle w:val="Hyperlink"/>
            <w:noProof/>
          </w:rPr>
          <w:t>2.1.788</w:t>
        </w:r>
        <w:r>
          <w:rPr>
            <w:rFonts w:asciiTheme="minorHAnsi" w:eastAsiaTheme="minorEastAsia" w:hAnsiTheme="minorHAnsi" w:cstheme="minorBidi"/>
            <w:noProof/>
            <w:sz w:val="22"/>
            <w:szCs w:val="22"/>
          </w:rPr>
          <w:tab/>
        </w:r>
        <w:r w:rsidRPr="001B13A4">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_Toc181683824 \h </w:instrText>
        </w:r>
        <w:r>
          <w:rPr>
            <w:noProof/>
            <w:webHidden/>
          </w:rPr>
        </w:r>
        <w:r>
          <w:rPr>
            <w:noProof/>
            <w:webHidden/>
          </w:rPr>
          <w:fldChar w:fldCharType="separate"/>
        </w:r>
        <w:r>
          <w:rPr>
            <w:noProof/>
            <w:webHidden/>
          </w:rPr>
          <w:t>353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5" w:history="1">
        <w:r w:rsidRPr="001B13A4">
          <w:rPr>
            <w:rStyle w:val="Hyperlink"/>
            <w:noProof/>
          </w:rPr>
          <w:t>2.1.789</w:t>
        </w:r>
        <w:r>
          <w:rPr>
            <w:rFonts w:asciiTheme="minorHAnsi" w:eastAsiaTheme="minorEastAsia" w:hAnsiTheme="minorHAnsi" w:cstheme="minorBidi"/>
            <w:noProof/>
            <w:sz w:val="22"/>
            <w:szCs w:val="22"/>
          </w:rPr>
          <w:tab/>
        </w:r>
        <w:r w:rsidRPr="001B13A4">
          <w:rPr>
            <w:rStyle w:val="Hyperlink"/>
            <w:noProof/>
          </w:rPr>
          <w:t>Part 1 Section 18.10.1.75, query (Query)</w:t>
        </w:r>
        <w:r>
          <w:rPr>
            <w:noProof/>
            <w:webHidden/>
          </w:rPr>
          <w:tab/>
        </w:r>
        <w:r>
          <w:rPr>
            <w:noProof/>
            <w:webHidden/>
          </w:rPr>
          <w:fldChar w:fldCharType="begin"/>
        </w:r>
        <w:r>
          <w:rPr>
            <w:noProof/>
            <w:webHidden/>
          </w:rPr>
          <w:instrText xml:space="preserve"> PAGEREF _Toc181683825 \h </w:instrText>
        </w:r>
        <w:r>
          <w:rPr>
            <w:noProof/>
            <w:webHidden/>
          </w:rPr>
        </w:r>
        <w:r>
          <w:rPr>
            <w:noProof/>
            <w:webHidden/>
          </w:rPr>
          <w:fldChar w:fldCharType="separate"/>
        </w:r>
        <w:r>
          <w:rPr>
            <w:noProof/>
            <w:webHidden/>
          </w:rPr>
          <w:t>354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6" w:history="1">
        <w:r w:rsidRPr="001B13A4">
          <w:rPr>
            <w:rStyle w:val="Hyperlink"/>
            <w:noProof/>
          </w:rPr>
          <w:t>2.1.790</w:t>
        </w:r>
        <w:r>
          <w:rPr>
            <w:rFonts w:asciiTheme="minorHAnsi" w:eastAsiaTheme="minorEastAsia" w:hAnsiTheme="minorHAnsi" w:cstheme="minorBidi"/>
            <w:noProof/>
            <w:sz w:val="22"/>
            <w:szCs w:val="22"/>
          </w:rPr>
          <w:tab/>
        </w:r>
        <w:r w:rsidRPr="001B13A4">
          <w:rPr>
            <w:rStyle w:val="Hyperlink"/>
            <w:noProof/>
          </w:rPr>
          <w:t>Part 1 Section 18.10.1.77, r (PivotCache Record)</w:t>
        </w:r>
        <w:r>
          <w:rPr>
            <w:noProof/>
            <w:webHidden/>
          </w:rPr>
          <w:tab/>
        </w:r>
        <w:r>
          <w:rPr>
            <w:noProof/>
            <w:webHidden/>
          </w:rPr>
          <w:fldChar w:fldCharType="begin"/>
        </w:r>
        <w:r>
          <w:rPr>
            <w:noProof/>
            <w:webHidden/>
          </w:rPr>
          <w:instrText xml:space="preserve"> PAGEREF _Toc181683826 \h </w:instrText>
        </w:r>
        <w:r>
          <w:rPr>
            <w:noProof/>
            <w:webHidden/>
          </w:rPr>
        </w:r>
        <w:r>
          <w:rPr>
            <w:noProof/>
            <w:webHidden/>
          </w:rPr>
          <w:fldChar w:fldCharType="separate"/>
        </w:r>
        <w:r>
          <w:rPr>
            <w:noProof/>
            <w:webHidden/>
          </w:rPr>
          <w:t>354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7" w:history="1">
        <w:r w:rsidRPr="001B13A4">
          <w:rPr>
            <w:rStyle w:val="Hyperlink"/>
            <w:noProof/>
          </w:rPr>
          <w:t>2.1.791</w:t>
        </w:r>
        <w:r>
          <w:rPr>
            <w:rFonts w:asciiTheme="minorHAnsi" w:eastAsiaTheme="minorEastAsia" w:hAnsiTheme="minorHAnsi" w:cstheme="minorBidi"/>
            <w:noProof/>
            <w:sz w:val="22"/>
            <w:szCs w:val="22"/>
          </w:rPr>
          <w:tab/>
        </w:r>
        <w:r w:rsidRPr="001B13A4">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_Toc181683827 \h </w:instrText>
        </w:r>
        <w:r>
          <w:rPr>
            <w:noProof/>
            <w:webHidden/>
          </w:rPr>
        </w:r>
        <w:r>
          <w:rPr>
            <w:noProof/>
            <w:webHidden/>
          </w:rPr>
          <w:fldChar w:fldCharType="separate"/>
        </w:r>
        <w:r>
          <w:rPr>
            <w:noProof/>
            <w:webHidden/>
          </w:rPr>
          <w:t>354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8" w:history="1">
        <w:r w:rsidRPr="001B13A4">
          <w:rPr>
            <w:rStyle w:val="Hyperlink"/>
            <w:noProof/>
          </w:rPr>
          <w:t>2.1.792</w:t>
        </w:r>
        <w:r>
          <w:rPr>
            <w:rFonts w:asciiTheme="minorHAnsi" w:eastAsiaTheme="minorEastAsia" w:hAnsiTheme="minorHAnsi" w:cstheme="minorBidi"/>
            <w:noProof/>
            <w:sz w:val="22"/>
            <w:szCs w:val="22"/>
          </w:rPr>
          <w:tab/>
        </w:r>
        <w:r w:rsidRPr="001B13A4">
          <w:rPr>
            <w:rStyle w:val="Hyperlink"/>
            <w:noProof/>
          </w:rPr>
          <w:t>Part 1 Section 18.10.1.79, rangeSet (Range Set)</w:t>
        </w:r>
        <w:r>
          <w:rPr>
            <w:noProof/>
            <w:webHidden/>
          </w:rPr>
          <w:tab/>
        </w:r>
        <w:r>
          <w:rPr>
            <w:noProof/>
            <w:webHidden/>
          </w:rPr>
          <w:fldChar w:fldCharType="begin"/>
        </w:r>
        <w:r>
          <w:rPr>
            <w:noProof/>
            <w:webHidden/>
          </w:rPr>
          <w:instrText xml:space="preserve"> PAGEREF _Toc181683828 \h </w:instrText>
        </w:r>
        <w:r>
          <w:rPr>
            <w:noProof/>
            <w:webHidden/>
          </w:rPr>
        </w:r>
        <w:r>
          <w:rPr>
            <w:noProof/>
            <w:webHidden/>
          </w:rPr>
          <w:fldChar w:fldCharType="separate"/>
        </w:r>
        <w:r>
          <w:rPr>
            <w:noProof/>
            <w:webHidden/>
          </w:rPr>
          <w:t>355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29" w:history="1">
        <w:r w:rsidRPr="001B13A4">
          <w:rPr>
            <w:rStyle w:val="Hyperlink"/>
            <w:noProof/>
          </w:rPr>
          <w:t>2.1.793</w:t>
        </w:r>
        <w:r>
          <w:rPr>
            <w:rFonts w:asciiTheme="minorHAnsi" w:eastAsiaTheme="minorEastAsia" w:hAnsiTheme="minorHAnsi" w:cstheme="minorBidi"/>
            <w:noProof/>
            <w:sz w:val="22"/>
            <w:szCs w:val="22"/>
          </w:rPr>
          <w:tab/>
        </w:r>
        <w:r w:rsidRPr="001B13A4">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_Toc181683829 \h </w:instrText>
        </w:r>
        <w:r>
          <w:rPr>
            <w:noProof/>
            <w:webHidden/>
          </w:rPr>
        </w:r>
        <w:r>
          <w:rPr>
            <w:noProof/>
            <w:webHidden/>
          </w:rPr>
          <w:fldChar w:fldCharType="separate"/>
        </w:r>
        <w:r>
          <w:rPr>
            <w:noProof/>
            <w:webHidden/>
          </w:rPr>
          <w:t>356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0" w:history="1">
        <w:r w:rsidRPr="001B13A4">
          <w:rPr>
            <w:rStyle w:val="Hyperlink"/>
            <w:noProof/>
          </w:rPr>
          <w:t>2.1.794</w:t>
        </w:r>
        <w:r>
          <w:rPr>
            <w:rFonts w:asciiTheme="minorHAnsi" w:eastAsiaTheme="minorEastAsia" w:hAnsiTheme="minorHAnsi" w:cstheme="minorBidi"/>
            <w:noProof/>
            <w:sz w:val="22"/>
            <w:szCs w:val="22"/>
          </w:rPr>
          <w:tab/>
        </w:r>
        <w:r w:rsidRPr="001B13A4">
          <w:rPr>
            <w:rStyle w:val="Hyperlink"/>
            <w:noProof/>
          </w:rPr>
          <w:t>Part 1 Section 18.10.1.85, s (Character Value)</w:t>
        </w:r>
        <w:r>
          <w:rPr>
            <w:noProof/>
            <w:webHidden/>
          </w:rPr>
          <w:tab/>
        </w:r>
        <w:r>
          <w:rPr>
            <w:noProof/>
            <w:webHidden/>
          </w:rPr>
          <w:fldChar w:fldCharType="begin"/>
        </w:r>
        <w:r>
          <w:rPr>
            <w:noProof/>
            <w:webHidden/>
          </w:rPr>
          <w:instrText xml:space="preserve"> PAGEREF _Toc181683830 \h </w:instrText>
        </w:r>
        <w:r>
          <w:rPr>
            <w:noProof/>
            <w:webHidden/>
          </w:rPr>
        </w:r>
        <w:r>
          <w:rPr>
            <w:noProof/>
            <w:webHidden/>
          </w:rPr>
          <w:fldChar w:fldCharType="separate"/>
        </w:r>
        <w:r>
          <w:rPr>
            <w:noProof/>
            <w:webHidden/>
          </w:rPr>
          <w:t>356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1" w:history="1">
        <w:r w:rsidRPr="001B13A4">
          <w:rPr>
            <w:rStyle w:val="Hyperlink"/>
            <w:noProof/>
          </w:rPr>
          <w:t>2.1.795</w:t>
        </w:r>
        <w:r>
          <w:rPr>
            <w:rFonts w:asciiTheme="minorHAnsi" w:eastAsiaTheme="minorEastAsia" w:hAnsiTheme="minorHAnsi" w:cstheme="minorBidi"/>
            <w:noProof/>
            <w:sz w:val="22"/>
            <w:szCs w:val="22"/>
          </w:rPr>
          <w:tab/>
        </w:r>
        <w:r w:rsidRPr="001B13A4">
          <w:rPr>
            <w:rStyle w:val="Hyperlink"/>
            <w:noProof/>
          </w:rPr>
          <w:t>Part 1 Section 18.10.1.86, serverFormat (Server Format)</w:t>
        </w:r>
        <w:r>
          <w:rPr>
            <w:noProof/>
            <w:webHidden/>
          </w:rPr>
          <w:tab/>
        </w:r>
        <w:r>
          <w:rPr>
            <w:noProof/>
            <w:webHidden/>
          </w:rPr>
          <w:fldChar w:fldCharType="begin"/>
        </w:r>
        <w:r>
          <w:rPr>
            <w:noProof/>
            <w:webHidden/>
          </w:rPr>
          <w:instrText xml:space="preserve"> PAGEREF _Toc181683831 \h </w:instrText>
        </w:r>
        <w:r>
          <w:rPr>
            <w:noProof/>
            <w:webHidden/>
          </w:rPr>
        </w:r>
        <w:r>
          <w:rPr>
            <w:noProof/>
            <w:webHidden/>
          </w:rPr>
          <w:fldChar w:fldCharType="separate"/>
        </w:r>
        <w:r>
          <w:rPr>
            <w:noProof/>
            <w:webHidden/>
          </w:rPr>
          <w:t>357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2" w:history="1">
        <w:r w:rsidRPr="001B13A4">
          <w:rPr>
            <w:rStyle w:val="Hyperlink"/>
            <w:noProof/>
          </w:rPr>
          <w:t>2.1.796</w:t>
        </w:r>
        <w:r>
          <w:rPr>
            <w:rFonts w:asciiTheme="minorHAnsi" w:eastAsiaTheme="minorEastAsia" w:hAnsiTheme="minorHAnsi" w:cstheme="minorBidi"/>
            <w:noProof/>
            <w:sz w:val="22"/>
            <w:szCs w:val="22"/>
          </w:rPr>
          <w:tab/>
        </w:r>
        <w:r w:rsidRPr="001B13A4">
          <w:rPr>
            <w:rStyle w:val="Hyperlink"/>
            <w:noProof/>
          </w:rPr>
          <w:t>Part 1 Section 18.10.1.88, set (OLAP Set)</w:t>
        </w:r>
        <w:r>
          <w:rPr>
            <w:noProof/>
            <w:webHidden/>
          </w:rPr>
          <w:tab/>
        </w:r>
        <w:r>
          <w:rPr>
            <w:noProof/>
            <w:webHidden/>
          </w:rPr>
          <w:fldChar w:fldCharType="begin"/>
        </w:r>
        <w:r>
          <w:rPr>
            <w:noProof/>
            <w:webHidden/>
          </w:rPr>
          <w:instrText xml:space="preserve"> PAGEREF _Toc181683832 \h </w:instrText>
        </w:r>
        <w:r>
          <w:rPr>
            <w:noProof/>
            <w:webHidden/>
          </w:rPr>
        </w:r>
        <w:r>
          <w:rPr>
            <w:noProof/>
            <w:webHidden/>
          </w:rPr>
          <w:fldChar w:fldCharType="separate"/>
        </w:r>
        <w:r>
          <w:rPr>
            <w:noProof/>
            <w:webHidden/>
          </w:rPr>
          <w:t>364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3" w:history="1">
        <w:r w:rsidRPr="001B13A4">
          <w:rPr>
            <w:rStyle w:val="Hyperlink"/>
            <w:noProof/>
          </w:rPr>
          <w:t>2.1.797</w:t>
        </w:r>
        <w:r>
          <w:rPr>
            <w:rFonts w:asciiTheme="minorHAnsi" w:eastAsiaTheme="minorEastAsia" w:hAnsiTheme="minorHAnsi" w:cstheme="minorBidi"/>
            <w:noProof/>
            <w:sz w:val="22"/>
            <w:szCs w:val="22"/>
          </w:rPr>
          <w:tab/>
        </w:r>
        <w:r w:rsidRPr="001B13A4">
          <w:rPr>
            <w:rStyle w:val="Hyperlink"/>
            <w:noProof/>
          </w:rPr>
          <w:t>Part 1 Section 18.10.1.90, sharedItems (Shared Items)</w:t>
        </w:r>
        <w:r>
          <w:rPr>
            <w:noProof/>
            <w:webHidden/>
          </w:rPr>
          <w:tab/>
        </w:r>
        <w:r>
          <w:rPr>
            <w:noProof/>
            <w:webHidden/>
          </w:rPr>
          <w:fldChar w:fldCharType="begin"/>
        </w:r>
        <w:r>
          <w:rPr>
            <w:noProof/>
            <w:webHidden/>
          </w:rPr>
          <w:instrText xml:space="preserve"> PAGEREF _Toc181683833 \h </w:instrText>
        </w:r>
        <w:r>
          <w:rPr>
            <w:noProof/>
            <w:webHidden/>
          </w:rPr>
        </w:r>
        <w:r>
          <w:rPr>
            <w:noProof/>
            <w:webHidden/>
          </w:rPr>
          <w:fldChar w:fldCharType="separate"/>
        </w:r>
        <w:r>
          <w:rPr>
            <w:noProof/>
            <w:webHidden/>
          </w:rPr>
          <w:t>364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4" w:history="1">
        <w:r w:rsidRPr="001B13A4">
          <w:rPr>
            <w:rStyle w:val="Hyperlink"/>
            <w:noProof/>
          </w:rPr>
          <w:t>2.1.798</w:t>
        </w:r>
        <w:r>
          <w:rPr>
            <w:rFonts w:asciiTheme="minorHAnsi" w:eastAsiaTheme="minorEastAsia" w:hAnsiTheme="minorHAnsi" w:cstheme="minorBidi"/>
            <w:noProof/>
            <w:sz w:val="22"/>
            <w:szCs w:val="22"/>
          </w:rPr>
          <w:tab/>
        </w:r>
        <w:r w:rsidRPr="001B13A4">
          <w:rPr>
            <w:rStyle w:val="Hyperlink"/>
            <w:noProof/>
          </w:rPr>
          <w:t>Part 1 Section 18.10.1.91, sortByTuple (Sort By Tuple)</w:t>
        </w:r>
        <w:r>
          <w:rPr>
            <w:noProof/>
            <w:webHidden/>
          </w:rPr>
          <w:tab/>
        </w:r>
        <w:r>
          <w:rPr>
            <w:noProof/>
            <w:webHidden/>
          </w:rPr>
          <w:fldChar w:fldCharType="begin"/>
        </w:r>
        <w:r>
          <w:rPr>
            <w:noProof/>
            <w:webHidden/>
          </w:rPr>
          <w:instrText xml:space="preserve"> PAGEREF _Toc181683834 \h </w:instrText>
        </w:r>
        <w:r>
          <w:rPr>
            <w:noProof/>
            <w:webHidden/>
          </w:rPr>
        </w:r>
        <w:r>
          <w:rPr>
            <w:noProof/>
            <w:webHidden/>
          </w:rPr>
          <w:fldChar w:fldCharType="separate"/>
        </w:r>
        <w:r>
          <w:rPr>
            <w:noProof/>
            <w:webHidden/>
          </w:rPr>
          <w:t>366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5" w:history="1">
        <w:r w:rsidRPr="001B13A4">
          <w:rPr>
            <w:rStyle w:val="Hyperlink"/>
            <w:noProof/>
          </w:rPr>
          <w:t>2.1.799</w:t>
        </w:r>
        <w:r>
          <w:rPr>
            <w:rFonts w:asciiTheme="minorHAnsi" w:eastAsiaTheme="minorEastAsia" w:hAnsiTheme="minorHAnsi" w:cstheme="minorBidi"/>
            <w:noProof/>
            <w:sz w:val="22"/>
            <w:szCs w:val="22"/>
          </w:rPr>
          <w:tab/>
        </w:r>
        <w:r w:rsidRPr="001B13A4">
          <w:rPr>
            <w:rStyle w:val="Hyperlink"/>
            <w:noProof/>
          </w:rPr>
          <w:t>Part 1 Section 18.10.1.92, tpl (Tuple)</w:t>
        </w:r>
        <w:r>
          <w:rPr>
            <w:noProof/>
            <w:webHidden/>
          </w:rPr>
          <w:tab/>
        </w:r>
        <w:r>
          <w:rPr>
            <w:noProof/>
            <w:webHidden/>
          </w:rPr>
          <w:fldChar w:fldCharType="begin"/>
        </w:r>
        <w:r>
          <w:rPr>
            <w:noProof/>
            <w:webHidden/>
          </w:rPr>
          <w:instrText xml:space="preserve"> PAGEREF _Toc181683835 \h </w:instrText>
        </w:r>
        <w:r>
          <w:rPr>
            <w:noProof/>
            <w:webHidden/>
          </w:rPr>
        </w:r>
        <w:r>
          <w:rPr>
            <w:noProof/>
            <w:webHidden/>
          </w:rPr>
          <w:fldChar w:fldCharType="separate"/>
        </w:r>
        <w:r>
          <w:rPr>
            <w:noProof/>
            <w:webHidden/>
          </w:rPr>
          <w:t>366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6" w:history="1">
        <w:r w:rsidRPr="001B13A4">
          <w:rPr>
            <w:rStyle w:val="Hyperlink"/>
            <w:noProof/>
          </w:rPr>
          <w:t>2.1.800</w:t>
        </w:r>
        <w:r>
          <w:rPr>
            <w:rFonts w:asciiTheme="minorHAnsi" w:eastAsiaTheme="minorEastAsia" w:hAnsiTheme="minorHAnsi" w:cstheme="minorBidi"/>
            <w:noProof/>
            <w:sz w:val="22"/>
            <w:szCs w:val="22"/>
          </w:rPr>
          <w:tab/>
        </w:r>
        <w:r w:rsidRPr="001B13A4">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_Toc181683836 \h </w:instrText>
        </w:r>
        <w:r>
          <w:rPr>
            <w:noProof/>
            <w:webHidden/>
          </w:rPr>
        </w:r>
        <w:r>
          <w:rPr>
            <w:noProof/>
            <w:webHidden/>
          </w:rPr>
          <w:fldChar w:fldCharType="separate"/>
        </w:r>
        <w:r>
          <w:rPr>
            <w:noProof/>
            <w:webHidden/>
          </w:rPr>
          <w:t>366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7" w:history="1">
        <w:r w:rsidRPr="001B13A4">
          <w:rPr>
            <w:rStyle w:val="Hyperlink"/>
            <w:noProof/>
          </w:rPr>
          <w:t>2.1.801</w:t>
        </w:r>
        <w:r>
          <w:rPr>
            <w:rFonts w:asciiTheme="minorHAnsi" w:eastAsiaTheme="minorEastAsia" w:hAnsiTheme="minorHAnsi" w:cstheme="minorBidi"/>
            <w:noProof/>
            <w:sz w:val="22"/>
            <w:szCs w:val="22"/>
          </w:rPr>
          <w:tab/>
        </w:r>
        <w:r w:rsidRPr="001B13A4">
          <w:rPr>
            <w:rStyle w:val="Hyperlink"/>
            <w:noProof/>
          </w:rPr>
          <w:t>Part 1 Section 18.10.1.96, x (Member Property Index)</w:t>
        </w:r>
        <w:r>
          <w:rPr>
            <w:noProof/>
            <w:webHidden/>
          </w:rPr>
          <w:tab/>
        </w:r>
        <w:r>
          <w:rPr>
            <w:noProof/>
            <w:webHidden/>
          </w:rPr>
          <w:fldChar w:fldCharType="begin"/>
        </w:r>
        <w:r>
          <w:rPr>
            <w:noProof/>
            <w:webHidden/>
          </w:rPr>
          <w:instrText xml:space="preserve"> PAGEREF _Toc181683837 \h </w:instrText>
        </w:r>
        <w:r>
          <w:rPr>
            <w:noProof/>
            <w:webHidden/>
          </w:rPr>
        </w:r>
        <w:r>
          <w:rPr>
            <w:noProof/>
            <w:webHidden/>
          </w:rPr>
          <w:fldChar w:fldCharType="separate"/>
        </w:r>
        <w:r>
          <w:rPr>
            <w:noProof/>
            <w:webHidden/>
          </w:rPr>
          <w:t>367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8" w:history="1">
        <w:r w:rsidRPr="001B13A4">
          <w:rPr>
            <w:rStyle w:val="Hyperlink"/>
            <w:noProof/>
          </w:rPr>
          <w:t>2.1.802</w:t>
        </w:r>
        <w:r>
          <w:rPr>
            <w:rFonts w:asciiTheme="minorHAnsi" w:eastAsiaTheme="minorEastAsia" w:hAnsiTheme="minorHAnsi" w:cstheme="minorBidi"/>
            <w:noProof/>
            <w:sz w:val="22"/>
            <w:szCs w:val="22"/>
          </w:rPr>
          <w:tab/>
        </w:r>
        <w:r w:rsidRPr="001B13A4">
          <w:rPr>
            <w:rStyle w:val="Hyperlink"/>
            <w:noProof/>
          </w:rPr>
          <w:t>Part 1 Section 18.10.1.97, x (Shared Items Index)</w:t>
        </w:r>
        <w:r>
          <w:rPr>
            <w:noProof/>
            <w:webHidden/>
          </w:rPr>
          <w:tab/>
        </w:r>
        <w:r>
          <w:rPr>
            <w:noProof/>
            <w:webHidden/>
          </w:rPr>
          <w:fldChar w:fldCharType="begin"/>
        </w:r>
        <w:r>
          <w:rPr>
            <w:noProof/>
            <w:webHidden/>
          </w:rPr>
          <w:instrText xml:space="preserve"> PAGEREF _Toc181683838 \h </w:instrText>
        </w:r>
        <w:r>
          <w:rPr>
            <w:noProof/>
            <w:webHidden/>
          </w:rPr>
        </w:r>
        <w:r>
          <w:rPr>
            <w:noProof/>
            <w:webHidden/>
          </w:rPr>
          <w:fldChar w:fldCharType="separate"/>
        </w:r>
        <w:r>
          <w:rPr>
            <w:noProof/>
            <w:webHidden/>
          </w:rPr>
          <w:t>367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39" w:history="1">
        <w:r w:rsidRPr="001B13A4">
          <w:rPr>
            <w:rStyle w:val="Hyperlink"/>
            <w:noProof/>
          </w:rPr>
          <w:t>2.1.803</w:t>
        </w:r>
        <w:r>
          <w:rPr>
            <w:rFonts w:asciiTheme="minorHAnsi" w:eastAsiaTheme="minorEastAsia" w:hAnsiTheme="minorHAnsi" w:cstheme="minorBidi"/>
            <w:noProof/>
            <w:sz w:val="22"/>
            <w:szCs w:val="22"/>
          </w:rPr>
          <w:tab/>
        </w:r>
        <w:r w:rsidRPr="001B13A4">
          <w:rPr>
            <w:rStyle w:val="Hyperlink"/>
            <w:noProof/>
          </w:rPr>
          <w:t>Part 1 Section 18.10.2.1, reference (Reference)</w:t>
        </w:r>
        <w:r>
          <w:rPr>
            <w:noProof/>
            <w:webHidden/>
          </w:rPr>
          <w:tab/>
        </w:r>
        <w:r>
          <w:rPr>
            <w:noProof/>
            <w:webHidden/>
          </w:rPr>
          <w:fldChar w:fldCharType="begin"/>
        </w:r>
        <w:r>
          <w:rPr>
            <w:noProof/>
            <w:webHidden/>
          </w:rPr>
          <w:instrText xml:space="preserve"> PAGEREF _Toc181683839 \h </w:instrText>
        </w:r>
        <w:r>
          <w:rPr>
            <w:noProof/>
            <w:webHidden/>
          </w:rPr>
        </w:r>
        <w:r>
          <w:rPr>
            <w:noProof/>
            <w:webHidden/>
          </w:rPr>
          <w:fldChar w:fldCharType="separate"/>
        </w:r>
        <w:r>
          <w:rPr>
            <w:noProof/>
            <w:webHidden/>
          </w:rPr>
          <w:t>367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0" w:history="1">
        <w:r w:rsidRPr="001B13A4">
          <w:rPr>
            <w:rStyle w:val="Hyperlink"/>
            <w:noProof/>
          </w:rPr>
          <w:t>2.1.804</w:t>
        </w:r>
        <w:r>
          <w:rPr>
            <w:rFonts w:asciiTheme="minorHAnsi" w:eastAsiaTheme="minorEastAsia" w:hAnsiTheme="minorHAnsi" w:cstheme="minorBidi"/>
            <w:noProof/>
            <w:sz w:val="22"/>
            <w:szCs w:val="22"/>
          </w:rPr>
          <w:tab/>
        </w:r>
        <w:r w:rsidRPr="001B13A4">
          <w:rPr>
            <w:rStyle w:val="Hyperlink"/>
            <w:noProof/>
          </w:rPr>
          <w:t>Part 1 Section 18.11.1.1, header (Header)</w:t>
        </w:r>
        <w:r>
          <w:rPr>
            <w:noProof/>
            <w:webHidden/>
          </w:rPr>
          <w:tab/>
        </w:r>
        <w:r>
          <w:rPr>
            <w:noProof/>
            <w:webHidden/>
          </w:rPr>
          <w:fldChar w:fldCharType="begin"/>
        </w:r>
        <w:r>
          <w:rPr>
            <w:noProof/>
            <w:webHidden/>
          </w:rPr>
          <w:instrText xml:space="preserve"> PAGEREF _Toc181683840 \h </w:instrText>
        </w:r>
        <w:r>
          <w:rPr>
            <w:noProof/>
            <w:webHidden/>
          </w:rPr>
        </w:r>
        <w:r>
          <w:rPr>
            <w:noProof/>
            <w:webHidden/>
          </w:rPr>
          <w:fldChar w:fldCharType="separate"/>
        </w:r>
        <w:r>
          <w:rPr>
            <w:noProof/>
            <w:webHidden/>
          </w:rPr>
          <w:t>368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1" w:history="1">
        <w:r w:rsidRPr="001B13A4">
          <w:rPr>
            <w:rStyle w:val="Hyperlink"/>
            <w:noProof/>
          </w:rPr>
          <w:t>2.1.805</w:t>
        </w:r>
        <w:r>
          <w:rPr>
            <w:rFonts w:asciiTheme="minorHAnsi" w:eastAsiaTheme="minorEastAsia" w:hAnsiTheme="minorHAnsi" w:cstheme="minorBidi"/>
            <w:noProof/>
            <w:sz w:val="22"/>
            <w:szCs w:val="22"/>
          </w:rPr>
          <w:tab/>
        </w:r>
        <w:r w:rsidRPr="001B13A4">
          <w:rPr>
            <w:rStyle w:val="Hyperlink"/>
            <w:noProof/>
          </w:rPr>
          <w:t>Part 1 Section 18.11.1.2, headers (Revision Headers)</w:t>
        </w:r>
        <w:r>
          <w:rPr>
            <w:noProof/>
            <w:webHidden/>
          </w:rPr>
          <w:tab/>
        </w:r>
        <w:r>
          <w:rPr>
            <w:noProof/>
            <w:webHidden/>
          </w:rPr>
          <w:fldChar w:fldCharType="begin"/>
        </w:r>
        <w:r>
          <w:rPr>
            <w:noProof/>
            <w:webHidden/>
          </w:rPr>
          <w:instrText xml:space="preserve"> PAGEREF _Toc181683841 \h </w:instrText>
        </w:r>
        <w:r>
          <w:rPr>
            <w:noProof/>
            <w:webHidden/>
          </w:rPr>
        </w:r>
        <w:r>
          <w:rPr>
            <w:noProof/>
            <w:webHidden/>
          </w:rPr>
          <w:fldChar w:fldCharType="separate"/>
        </w:r>
        <w:r>
          <w:rPr>
            <w:noProof/>
            <w:webHidden/>
          </w:rPr>
          <w:t>368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2" w:history="1">
        <w:r w:rsidRPr="001B13A4">
          <w:rPr>
            <w:rStyle w:val="Hyperlink"/>
            <w:noProof/>
          </w:rPr>
          <w:t>2.1.806</w:t>
        </w:r>
        <w:r>
          <w:rPr>
            <w:rFonts w:asciiTheme="minorHAnsi" w:eastAsiaTheme="minorEastAsia" w:hAnsiTheme="minorHAnsi" w:cstheme="minorBidi"/>
            <w:noProof/>
            <w:sz w:val="22"/>
            <w:szCs w:val="22"/>
          </w:rPr>
          <w:tab/>
        </w:r>
        <w:r w:rsidRPr="001B13A4">
          <w:rPr>
            <w:rStyle w:val="Hyperlink"/>
            <w:noProof/>
          </w:rPr>
          <w:t>Part 1 Section 18.11.1.3, nc (New Cell Data)</w:t>
        </w:r>
        <w:r>
          <w:rPr>
            <w:noProof/>
            <w:webHidden/>
          </w:rPr>
          <w:tab/>
        </w:r>
        <w:r>
          <w:rPr>
            <w:noProof/>
            <w:webHidden/>
          </w:rPr>
          <w:fldChar w:fldCharType="begin"/>
        </w:r>
        <w:r>
          <w:rPr>
            <w:noProof/>
            <w:webHidden/>
          </w:rPr>
          <w:instrText xml:space="preserve"> PAGEREF _Toc181683842 \h </w:instrText>
        </w:r>
        <w:r>
          <w:rPr>
            <w:noProof/>
            <w:webHidden/>
          </w:rPr>
        </w:r>
        <w:r>
          <w:rPr>
            <w:noProof/>
            <w:webHidden/>
          </w:rPr>
          <w:fldChar w:fldCharType="separate"/>
        </w:r>
        <w:r>
          <w:rPr>
            <w:noProof/>
            <w:webHidden/>
          </w:rPr>
          <w:t>369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3" w:history="1">
        <w:r w:rsidRPr="001B13A4">
          <w:rPr>
            <w:rStyle w:val="Hyperlink"/>
            <w:noProof/>
          </w:rPr>
          <w:t>2.1.807</w:t>
        </w:r>
        <w:r>
          <w:rPr>
            <w:rFonts w:asciiTheme="minorHAnsi" w:eastAsiaTheme="minorEastAsia" w:hAnsiTheme="minorHAnsi" w:cstheme="minorBidi"/>
            <w:noProof/>
            <w:sz w:val="22"/>
            <w:szCs w:val="22"/>
          </w:rPr>
          <w:tab/>
        </w:r>
        <w:r w:rsidRPr="001B13A4">
          <w:rPr>
            <w:rStyle w:val="Hyperlink"/>
            <w:noProof/>
          </w:rPr>
          <w:t>Part 1 Section 18.11.1.5, oc (Old Cell Data)</w:t>
        </w:r>
        <w:r>
          <w:rPr>
            <w:noProof/>
            <w:webHidden/>
          </w:rPr>
          <w:tab/>
        </w:r>
        <w:r>
          <w:rPr>
            <w:noProof/>
            <w:webHidden/>
          </w:rPr>
          <w:fldChar w:fldCharType="begin"/>
        </w:r>
        <w:r>
          <w:rPr>
            <w:noProof/>
            <w:webHidden/>
          </w:rPr>
          <w:instrText xml:space="preserve"> PAGEREF _Toc181683843 \h </w:instrText>
        </w:r>
        <w:r>
          <w:rPr>
            <w:noProof/>
            <w:webHidden/>
          </w:rPr>
        </w:r>
        <w:r>
          <w:rPr>
            <w:noProof/>
            <w:webHidden/>
          </w:rPr>
          <w:fldChar w:fldCharType="separate"/>
        </w:r>
        <w:r>
          <w:rPr>
            <w:noProof/>
            <w:webHidden/>
          </w:rPr>
          <w:t>369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4" w:history="1">
        <w:r w:rsidRPr="001B13A4">
          <w:rPr>
            <w:rStyle w:val="Hyperlink"/>
            <w:noProof/>
          </w:rPr>
          <w:t>2.1.808</w:t>
        </w:r>
        <w:r>
          <w:rPr>
            <w:rFonts w:asciiTheme="minorHAnsi" w:eastAsiaTheme="minorEastAsia" w:hAnsiTheme="minorHAnsi" w:cstheme="minorBidi"/>
            <w:noProof/>
            <w:sz w:val="22"/>
            <w:szCs w:val="22"/>
          </w:rPr>
          <w:tab/>
        </w:r>
        <w:r w:rsidRPr="001B13A4">
          <w:rPr>
            <w:rStyle w:val="Hyperlink"/>
            <w:noProof/>
          </w:rPr>
          <w:t>Part 1 Section 18.11.1.7, oldFormula (Old Formula)</w:t>
        </w:r>
        <w:r>
          <w:rPr>
            <w:noProof/>
            <w:webHidden/>
          </w:rPr>
          <w:tab/>
        </w:r>
        <w:r>
          <w:rPr>
            <w:noProof/>
            <w:webHidden/>
          </w:rPr>
          <w:fldChar w:fldCharType="begin"/>
        </w:r>
        <w:r>
          <w:rPr>
            <w:noProof/>
            <w:webHidden/>
          </w:rPr>
          <w:instrText xml:space="preserve"> PAGEREF _Toc181683844 \h </w:instrText>
        </w:r>
        <w:r>
          <w:rPr>
            <w:noProof/>
            <w:webHidden/>
          </w:rPr>
        </w:r>
        <w:r>
          <w:rPr>
            <w:noProof/>
            <w:webHidden/>
          </w:rPr>
          <w:fldChar w:fldCharType="separate"/>
        </w:r>
        <w:r>
          <w:rPr>
            <w:noProof/>
            <w:webHidden/>
          </w:rPr>
          <w:t>369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5" w:history="1">
        <w:r w:rsidRPr="001B13A4">
          <w:rPr>
            <w:rStyle w:val="Hyperlink"/>
            <w:noProof/>
          </w:rPr>
          <w:t>2.1.809</w:t>
        </w:r>
        <w:r>
          <w:rPr>
            <w:rFonts w:asciiTheme="minorHAnsi" w:eastAsiaTheme="minorEastAsia" w:hAnsiTheme="minorHAnsi" w:cstheme="minorBidi"/>
            <w:noProof/>
            <w:sz w:val="22"/>
            <w:szCs w:val="22"/>
          </w:rPr>
          <w:tab/>
        </w:r>
        <w:r w:rsidRPr="001B13A4">
          <w:rPr>
            <w:rStyle w:val="Hyperlink"/>
            <w:noProof/>
          </w:rPr>
          <w:t>Part 1 Section 18.11.1.8, raf (Revision AutoFormat)</w:t>
        </w:r>
        <w:r>
          <w:rPr>
            <w:noProof/>
            <w:webHidden/>
          </w:rPr>
          <w:tab/>
        </w:r>
        <w:r>
          <w:rPr>
            <w:noProof/>
            <w:webHidden/>
          </w:rPr>
          <w:fldChar w:fldCharType="begin"/>
        </w:r>
        <w:r>
          <w:rPr>
            <w:noProof/>
            <w:webHidden/>
          </w:rPr>
          <w:instrText xml:space="preserve"> PAGEREF _Toc181683845 \h </w:instrText>
        </w:r>
        <w:r>
          <w:rPr>
            <w:noProof/>
            <w:webHidden/>
          </w:rPr>
        </w:r>
        <w:r>
          <w:rPr>
            <w:noProof/>
            <w:webHidden/>
          </w:rPr>
          <w:fldChar w:fldCharType="separate"/>
        </w:r>
        <w:r>
          <w:rPr>
            <w:noProof/>
            <w:webHidden/>
          </w:rPr>
          <w:t>370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6" w:history="1">
        <w:r w:rsidRPr="001B13A4">
          <w:rPr>
            <w:rStyle w:val="Hyperlink"/>
            <w:noProof/>
          </w:rPr>
          <w:t>2.1.810</w:t>
        </w:r>
        <w:r>
          <w:rPr>
            <w:rFonts w:asciiTheme="minorHAnsi" w:eastAsiaTheme="minorEastAsia" w:hAnsiTheme="minorHAnsi" w:cstheme="minorBidi"/>
            <w:noProof/>
            <w:sz w:val="22"/>
            <w:szCs w:val="22"/>
          </w:rPr>
          <w:tab/>
        </w:r>
        <w:r w:rsidRPr="001B13A4">
          <w:rPr>
            <w:rStyle w:val="Hyperlink"/>
            <w:noProof/>
          </w:rPr>
          <w:t>Part 1 Section 18.11.1.9, rcc (Revision Cell Change)</w:t>
        </w:r>
        <w:r>
          <w:rPr>
            <w:noProof/>
            <w:webHidden/>
          </w:rPr>
          <w:tab/>
        </w:r>
        <w:r>
          <w:rPr>
            <w:noProof/>
            <w:webHidden/>
          </w:rPr>
          <w:fldChar w:fldCharType="begin"/>
        </w:r>
        <w:r>
          <w:rPr>
            <w:noProof/>
            <w:webHidden/>
          </w:rPr>
          <w:instrText xml:space="preserve"> PAGEREF _Toc181683846 \h </w:instrText>
        </w:r>
        <w:r>
          <w:rPr>
            <w:noProof/>
            <w:webHidden/>
          </w:rPr>
        </w:r>
        <w:r>
          <w:rPr>
            <w:noProof/>
            <w:webHidden/>
          </w:rPr>
          <w:fldChar w:fldCharType="separate"/>
        </w:r>
        <w:r>
          <w:rPr>
            <w:noProof/>
            <w:webHidden/>
          </w:rPr>
          <w:t>370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7" w:history="1">
        <w:r w:rsidRPr="001B13A4">
          <w:rPr>
            <w:rStyle w:val="Hyperlink"/>
            <w:noProof/>
          </w:rPr>
          <w:t>2.1.811</w:t>
        </w:r>
        <w:r>
          <w:rPr>
            <w:rFonts w:asciiTheme="minorHAnsi" w:eastAsiaTheme="minorEastAsia" w:hAnsiTheme="minorHAnsi" w:cstheme="minorBidi"/>
            <w:noProof/>
            <w:sz w:val="22"/>
            <w:szCs w:val="22"/>
          </w:rPr>
          <w:tab/>
        </w:r>
        <w:r w:rsidRPr="001B13A4">
          <w:rPr>
            <w:rStyle w:val="Hyperlink"/>
            <w:noProof/>
          </w:rPr>
          <w:t>Part 1 Section 18.11.1.10, rcft (Revision Merge Conflict)</w:t>
        </w:r>
        <w:r>
          <w:rPr>
            <w:noProof/>
            <w:webHidden/>
          </w:rPr>
          <w:tab/>
        </w:r>
        <w:r>
          <w:rPr>
            <w:noProof/>
            <w:webHidden/>
          </w:rPr>
          <w:fldChar w:fldCharType="begin"/>
        </w:r>
        <w:r>
          <w:rPr>
            <w:noProof/>
            <w:webHidden/>
          </w:rPr>
          <w:instrText xml:space="preserve"> PAGEREF _Toc181683847 \h </w:instrText>
        </w:r>
        <w:r>
          <w:rPr>
            <w:noProof/>
            <w:webHidden/>
          </w:rPr>
        </w:r>
        <w:r>
          <w:rPr>
            <w:noProof/>
            <w:webHidden/>
          </w:rPr>
          <w:fldChar w:fldCharType="separate"/>
        </w:r>
        <w:r>
          <w:rPr>
            <w:noProof/>
            <w:webHidden/>
          </w:rPr>
          <w:t>370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8" w:history="1">
        <w:r w:rsidRPr="001B13A4">
          <w:rPr>
            <w:rStyle w:val="Hyperlink"/>
            <w:noProof/>
          </w:rPr>
          <w:t>2.1.812</w:t>
        </w:r>
        <w:r>
          <w:rPr>
            <w:rFonts w:asciiTheme="minorHAnsi" w:eastAsiaTheme="minorEastAsia" w:hAnsiTheme="minorHAnsi" w:cstheme="minorBidi"/>
            <w:noProof/>
            <w:sz w:val="22"/>
            <w:szCs w:val="22"/>
          </w:rPr>
          <w:tab/>
        </w:r>
        <w:r w:rsidRPr="001B13A4">
          <w:rPr>
            <w:rStyle w:val="Hyperlink"/>
            <w:noProof/>
          </w:rPr>
          <w:t>Part 1 Section 18.11.1.11, rcmt (Revision Cell Comment)</w:t>
        </w:r>
        <w:r>
          <w:rPr>
            <w:noProof/>
            <w:webHidden/>
          </w:rPr>
          <w:tab/>
        </w:r>
        <w:r>
          <w:rPr>
            <w:noProof/>
            <w:webHidden/>
          </w:rPr>
          <w:fldChar w:fldCharType="begin"/>
        </w:r>
        <w:r>
          <w:rPr>
            <w:noProof/>
            <w:webHidden/>
          </w:rPr>
          <w:instrText xml:space="preserve"> PAGEREF _Toc181683848 \h </w:instrText>
        </w:r>
        <w:r>
          <w:rPr>
            <w:noProof/>
            <w:webHidden/>
          </w:rPr>
        </w:r>
        <w:r>
          <w:rPr>
            <w:noProof/>
            <w:webHidden/>
          </w:rPr>
          <w:fldChar w:fldCharType="separate"/>
        </w:r>
        <w:r>
          <w:rPr>
            <w:noProof/>
            <w:webHidden/>
          </w:rPr>
          <w:t>370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49" w:history="1">
        <w:r w:rsidRPr="001B13A4">
          <w:rPr>
            <w:rStyle w:val="Hyperlink"/>
            <w:noProof/>
          </w:rPr>
          <w:t>2.1.813</w:t>
        </w:r>
        <w:r>
          <w:rPr>
            <w:rFonts w:asciiTheme="minorHAnsi" w:eastAsiaTheme="minorEastAsia" w:hAnsiTheme="minorHAnsi" w:cstheme="minorBidi"/>
            <w:noProof/>
            <w:sz w:val="22"/>
            <w:szCs w:val="22"/>
          </w:rPr>
          <w:tab/>
        </w:r>
        <w:r w:rsidRPr="001B13A4">
          <w:rPr>
            <w:rStyle w:val="Hyperlink"/>
            <w:noProof/>
          </w:rPr>
          <w:t>Part 1 Section 18.11.1.13, rdn (Revision Defined Name)</w:t>
        </w:r>
        <w:r>
          <w:rPr>
            <w:noProof/>
            <w:webHidden/>
          </w:rPr>
          <w:tab/>
        </w:r>
        <w:r>
          <w:rPr>
            <w:noProof/>
            <w:webHidden/>
          </w:rPr>
          <w:fldChar w:fldCharType="begin"/>
        </w:r>
        <w:r>
          <w:rPr>
            <w:noProof/>
            <w:webHidden/>
          </w:rPr>
          <w:instrText xml:space="preserve"> PAGEREF _Toc181683849 \h </w:instrText>
        </w:r>
        <w:r>
          <w:rPr>
            <w:noProof/>
            <w:webHidden/>
          </w:rPr>
        </w:r>
        <w:r>
          <w:rPr>
            <w:noProof/>
            <w:webHidden/>
          </w:rPr>
          <w:fldChar w:fldCharType="separate"/>
        </w:r>
        <w:r>
          <w:rPr>
            <w:noProof/>
            <w:webHidden/>
          </w:rPr>
          <w:t>371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0" w:history="1">
        <w:r w:rsidRPr="001B13A4">
          <w:rPr>
            <w:rStyle w:val="Hyperlink"/>
            <w:noProof/>
          </w:rPr>
          <w:t>2.1.814</w:t>
        </w:r>
        <w:r>
          <w:rPr>
            <w:rFonts w:asciiTheme="minorHAnsi" w:eastAsiaTheme="minorEastAsia" w:hAnsiTheme="minorHAnsi" w:cstheme="minorBidi"/>
            <w:noProof/>
            <w:sz w:val="22"/>
            <w:szCs w:val="22"/>
          </w:rPr>
          <w:tab/>
        </w:r>
        <w:r w:rsidRPr="001B13A4">
          <w:rPr>
            <w:rStyle w:val="Hyperlink"/>
            <w:noProof/>
          </w:rPr>
          <w:t>Part 1 Section 18.11.1.14, reviewed (Reviewed)</w:t>
        </w:r>
        <w:r>
          <w:rPr>
            <w:noProof/>
            <w:webHidden/>
          </w:rPr>
          <w:tab/>
        </w:r>
        <w:r>
          <w:rPr>
            <w:noProof/>
            <w:webHidden/>
          </w:rPr>
          <w:fldChar w:fldCharType="begin"/>
        </w:r>
        <w:r>
          <w:rPr>
            <w:noProof/>
            <w:webHidden/>
          </w:rPr>
          <w:instrText xml:space="preserve"> PAGEREF _Toc181683850 \h </w:instrText>
        </w:r>
        <w:r>
          <w:rPr>
            <w:noProof/>
            <w:webHidden/>
          </w:rPr>
        </w:r>
        <w:r>
          <w:rPr>
            <w:noProof/>
            <w:webHidden/>
          </w:rPr>
          <w:fldChar w:fldCharType="separate"/>
        </w:r>
        <w:r>
          <w:rPr>
            <w:noProof/>
            <w:webHidden/>
          </w:rPr>
          <w:t>372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1" w:history="1">
        <w:r w:rsidRPr="001B13A4">
          <w:rPr>
            <w:rStyle w:val="Hyperlink"/>
            <w:noProof/>
          </w:rPr>
          <w:t>2.1.815</w:t>
        </w:r>
        <w:r>
          <w:rPr>
            <w:rFonts w:asciiTheme="minorHAnsi" w:eastAsiaTheme="minorEastAsia" w:hAnsiTheme="minorHAnsi" w:cstheme="minorBidi"/>
            <w:noProof/>
            <w:sz w:val="22"/>
            <w:szCs w:val="22"/>
          </w:rPr>
          <w:tab/>
        </w:r>
        <w:r w:rsidRPr="001B13A4">
          <w:rPr>
            <w:rStyle w:val="Hyperlink"/>
            <w:noProof/>
          </w:rPr>
          <w:t>Part 1 Section 18.11.1.17, rfmt (Revision Format)</w:t>
        </w:r>
        <w:r>
          <w:rPr>
            <w:noProof/>
            <w:webHidden/>
          </w:rPr>
          <w:tab/>
        </w:r>
        <w:r>
          <w:rPr>
            <w:noProof/>
            <w:webHidden/>
          </w:rPr>
          <w:fldChar w:fldCharType="begin"/>
        </w:r>
        <w:r>
          <w:rPr>
            <w:noProof/>
            <w:webHidden/>
          </w:rPr>
          <w:instrText xml:space="preserve"> PAGEREF _Toc181683851 \h </w:instrText>
        </w:r>
        <w:r>
          <w:rPr>
            <w:noProof/>
            <w:webHidden/>
          </w:rPr>
        </w:r>
        <w:r>
          <w:rPr>
            <w:noProof/>
            <w:webHidden/>
          </w:rPr>
          <w:fldChar w:fldCharType="separate"/>
        </w:r>
        <w:r>
          <w:rPr>
            <w:noProof/>
            <w:webHidden/>
          </w:rPr>
          <w:t>372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2" w:history="1">
        <w:r w:rsidRPr="001B13A4">
          <w:rPr>
            <w:rStyle w:val="Hyperlink"/>
            <w:noProof/>
          </w:rPr>
          <w:t>2.1.816</w:t>
        </w:r>
        <w:r>
          <w:rPr>
            <w:rFonts w:asciiTheme="minorHAnsi" w:eastAsiaTheme="minorEastAsia" w:hAnsiTheme="minorHAnsi" w:cstheme="minorBidi"/>
            <w:noProof/>
            <w:sz w:val="22"/>
            <w:szCs w:val="22"/>
          </w:rPr>
          <w:tab/>
        </w:r>
        <w:r w:rsidRPr="001B13A4">
          <w:rPr>
            <w:rStyle w:val="Hyperlink"/>
            <w:noProof/>
          </w:rPr>
          <w:t>Part 1 Section 18.11.1.18, ris (Revision Insert Sheet)</w:t>
        </w:r>
        <w:r>
          <w:rPr>
            <w:noProof/>
            <w:webHidden/>
          </w:rPr>
          <w:tab/>
        </w:r>
        <w:r>
          <w:rPr>
            <w:noProof/>
            <w:webHidden/>
          </w:rPr>
          <w:fldChar w:fldCharType="begin"/>
        </w:r>
        <w:r>
          <w:rPr>
            <w:noProof/>
            <w:webHidden/>
          </w:rPr>
          <w:instrText xml:space="preserve"> PAGEREF _Toc181683852 \h </w:instrText>
        </w:r>
        <w:r>
          <w:rPr>
            <w:noProof/>
            <w:webHidden/>
          </w:rPr>
        </w:r>
        <w:r>
          <w:rPr>
            <w:noProof/>
            <w:webHidden/>
          </w:rPr>
          <w:fldChar w:fldCharType="separate"/>
        </w:r>
        <w:r>
          <w:rPr>
            <w:noProof/>
            <w:webHidden/>
          </w:rPr>
          <w:t>372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3" w:history="1">
        <w:r w:rsidRPr="001B13A4">
          <w:rPr>
            <w:rStyle w:val="Hyperlink"/>
            <w:noProof/>
          </w:rPr>
          <w:t>2.1.817</w:t>
        </w:r>
        <w:r>
          <w:rPr>
            <w:rFonts w:asciiTheme="minorHAnsi" w:eastAsiaTheme="minorEastAsia" w:hAnsiTheme="minorHAnsi" w:cstheme="minorBidi"/>
            <w:noProof/>
            <w:sz w:val="22"/>
            <w:szCs w:val="22"/>
          </w:rPr>
          <w:tab/>
        </w:r>
        <w:r w:rsidRPr="001B13A4">
          <w:rPr>
            <w:rStyle w:val="Hyperlink"/>
            <w:noProof/>
          </w:rPr>
          <w:t>Part 1 Section 18.11.1.19, rm (Revision Cell Move)</w:t>
        </w:r>
        <w:r>
          <w:rPr>
            <w:noProof/>
            <w:webHidden/>
          </w:rPr>
          <w:tab/>
        </w:r>
        <w:r>
          <w:rPr>
            <w:noProof/>
            <w:webHidden/>
          </w:rPr>
          <w:fldChar w:fldCharType="begin"/>
        </w:r>
        <w:r>
          <w:rPr>
            <w:noProof/>
            <w:webHidden/>
          </w:rPr>
          <w:instrText xml:space="preserve"> PAGEREF _Toc181683853 \h </w:instrText>
        </w:r>
        <w:r>
          <w:rPr>
            <w:noProof/>
            <w:webHidden/>
          </w:rPr>
        </w:r>
        <w:r>
          <w:rPr>
            <w:noProof/>
            <w:webHidden/>
          </w:rPr>
          <w:fldChar w:fldCharType="separate"/>
        </w:r>
        <w:r>
          <w:rPr>
            <w:noProof/>
            <w:webHidden/>
          </w:rPr>
          <w:t>372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4" w:history="1">
        <w:r w:rsidRPr="001B13A4">
          <w:rPr>
            <w:rStyle w:val="Hyperlink"/>
            <w:noProof/>
          </w:rPr>
          <w:t>2.1.818</w:t>
        </w:r>
        <w:r>
          <w:rPr>
            <w:rFonts w:asciiTheme="minorHAnsi" w:eastAsiaTheme="minorEastAsia" w:hAnsiTheme="minorHAnsi" w:cstheme="minorBidi"/>
            <w:noProof/>
            <w:sz w:val="22"/>
            <w:szCs w:val="22"/>
          </w:rPr>
          <w:tab/>
        </w:r>
        <w:r w:rsidRPr="001B13A4">
          <w:rPr>
            <w:rStyle w:val="Hyperlink"/>
            <w:noProof/>
          </w:rPr>
          <w:t>Part 1 Section 18.11.1.20, rqt (Revision Query Table)</w:t>
        </w:r>
        <w:r>
          <w:rPr>
            <w:noProof/>
            <w:webHidden/>
          </w:rPr>
          <w:tab/>
        </w:r>
        <w:r>
          <w:rPr>
            <w:noProof/>
            <w:webHidden/>
          </w:rPr>
          <w:fldChar w:fldCharType="begin"/>
        </w:r>
        <w:r>
          <w:rPr>
            <w:noProof/>
            <w:webHidden/>
          </w:rPr>
          <w:instrText xml:space="preserve"> PAGEREF _Toc181683854 \h </w:instrText>
        </w:r>
        <w:r>
          <w:rPr>
            <w:noProof/>
            <w:webHidden/>
          </w:rPr>
        </w:r>
        <w:r>
          <w:rPr>
            <w:noProof/>
            <w:webHidden/>
          </w:rPr>
          <w:fldChar w:fldCharType="separate"/>
        </w:r>
        <w:r>
          <w:rPr>
            <w:noProof/>
            <w:webHidden/>
          </w:rPr>
          <w:t>373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5" w:history="1">
        <w:r w:rsidRPr="001B13A4">
          <w:rPr>
            <w:rStyle w:val="Hyperlink"/>
            <w:noProof/>
          </w:rPr>
          <w:t>2.1.819</w:t>
        </w:r>
        <w:r>
          <w:rPr>
            <w:rFonts w:asciiTheme="minorHAnsi" w:eastAsiaTheme="minorEastAsia" w:hAnsiTheme="minorHAnsi" w:cstheme="minorBidi"/>
            <w:noProof/>
            <w:sz w:val="22"/>
            <w:szCs w:val="22"/>
          </w:rPr>
          <w:tab/>
        </w:r>
        <w:r w:rsidRPr="001B13A4">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_Toc181683855 \h </w:instrText>
        </w:r>
        <w:r>
          <w:rPr>
            <w:noProof/>
            <w:webHidden/>
          </w:rPr>
        </w:r>
        <w:r>
          <w:rPr>
            <w:noProof/>
            <w:webHidden/>
          </w:rPr>
          <w:fldChar w:fldCharType="separate"/>
        </w:r>
        <w:r>
          <w:rPr>
            <w:noProof/>
            <w:webHidden/>
          </w:rPr>
          <w:t>373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6" w:history="1">
        <w:r w:rsidRPr="001B13A4">
          <w:rPr>
            <w:rStyle w:val="Hyperlink"/>
            <w:noProof/>
          </w:rPr>
          <w:t>2.1.820</w:t>
        </w:r>
        <w:r>
          <w:rPr>
            <w:rFonts w:asciiTheme="minorHAnsi" w:eastAsiaTheme="minorEastAsia" w:hAnsiTheme="minorHAnsi" w:cstheme="minorBidi"/>
            <w:noProof/>
            <w:sz w:val="22"/>
            <w:szCs w:val="22"/>
          </w:rPr>
          <w:tab/>
        </w:r>
        <w:r w:rsidRPr="001B13A4">
          <w:rPr>
            <w:rStyle w:val="Hyperlink"/>
            <w:noProof/>
          </w:rPr>
          <w:t>Part 1 Section 18.11.1.22, rsnm (Revision Sheet Name)</w:t>
        </w:r>
        <w:r>
          <w:rPr>
            <w:noProof/>
            <w:webHidden/>
          </w:rPr>
          <w:tab/>
        </w:r>
        <w:r>
          <w:rPr>
            <w:noProof/>
            <w:webHidden/>
          </w:rPr>
          <w:fldChar w:fldCharType="begin"/>
        </w:r>
        <w:r>
          <w:rPr>
            <w:noProof/>
            <w:webHidden/>
          </w:rPr>
          <w:instrText xml:space="preserve"> PAGEREF _Toc181683856 \h </w:instrText>
        </w:r>
        <w:r>
          <w:rPr>
            <w:noProof/>
            <w:webHidden/>
          </w:rPr>
        </w:r>
        <w:r>
          <w:rPr>
            <w:noProof/>
            <w:webHidden/>
          </w:rPr>
          <w:fldChar w:fldCharType="separate"/>
        </w:r>
        <w:r>
          <w:rPr>
            <w:noProof/>
            <w:webHidden/>
          </w:rPr>
          <w:t>373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7" w:history="1">
        <w:r w:rsidRPr="001B13A4">
          <w:rPr>
            <w:rStyle w:val="Hyperlink"/>
            <w:noProof/>
          </w:rPr>
          <w:t>2.1.821</w:t>
        </w:r>
        <w:r>
          <w:rPr>
            <w:rFonts w:asciiTheme="minorHAnsi" w:eastAsiaTheme="minorEastAsia" w:hAnsiTheme="minorHAnsi" w:cstheme="minorBidi"/>
            <w:noProof/>
            <w:sz w:val="22"/>
            <w:szCs w:val="22"/>
          </w:rPr>
          <w:tab/>
        </w:r>
        <w:r w:rsidRPr="001B13A4">
          <w:rPr>
            <w:rStyle w:val="Hyperlink"/>
            <w:noProof/>
          </w:rPr>
          <w:t>Part 1 Section 18.11.1.23, sheetId (Sheet Id)</w:t>
        </w:r>
        <w:r>
          <w:rPr>
            <w:noProof/>
            <w:webHidden/>
          </w:rPr>
          <w:tab/>
        </w:r>
        <w:r>
          <w:rPr>
            <w:noProof/>
            <w:webHidden/>
          </w:rPr>
          <w:fldChar w:fldCharType="begin"/>
        </w:r>
        <w:r>
          <w:rPr>
            <w:noProof/>
            <w:webHidden/>
          </w:rPr>
          <w:instrText xml:space="preserve"> PAGEREF _Toc181683857 \h </w:instrText>
        </w:r>
        <w:r>
          <w:rPr>
            <w:noProof/>
            <w:webHidden/>
          </w:rPr>
        </w:r>
        <w:r>
          <w:rPr>
            <w:noProof/>
            <w:webHidden/>
          </w:rPr>
          <w:fldChar w:fldCharType="separate"/>
        </w:r>
        <w:r>
          <w:rPr>
            <w:noProof/>
            <w:webHidden/>
          </w:rPr>
          <w:t>373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8" w:history="1">
        <w:r w:rsidRPr="001B13A4">
          <w:rPr>
            <w:rStyle w:val="Hyperlink"/>
            <w:noProof/>
          </w:rPr>
          <w:t>2.1.822</w:t>
        </w:r>
        <w:r>
          <w:rPr>
            <w:rFonts w:asciiTheme="minorHAnsi" w:eastAsiaTheme="minorEastAsia" w:hAnsiTheme="minorHAnsi" w:cstheme="minorBidi"/>
            <w:noProof/>
            <w:sz w:val="22"/>
            <w:szCs w:val="22"/>
          </w:rPr>
          <w:tab/>
        </w:r>
        <w:r w:rsidRPr="001B13A4">
          <w:rPr>
            <w:rStyle w:val="Hyperlink"/>
            <w:noProof/>
          </w:rPr>
          <w:t>Part 1 Section 18.11.1.24, sheetIdMap (Sheet Id Map)</w:t>
        </w:r>
        <w:r>
          <w:rPr>
            <w:noProof/>
            <w:webHidden/>
          </w:rPr>
          <w:tab/>
        </w:r>
        <w:r>
          <w:rPr>
            <w:noProof/>
            <w:webHidden/>
          </w:rPr>
          <w:fldChar w:fldCharType="begin"/>
        </w:r>
        <w:r>
          <w:rPr>
            <w:noProof/>
            <w:webHidden/>
          </w:rPr>
          <w:instrText xml:space="preserve"> PAGEREF _Toc181683858 \h </w:instrText>
        </w:r>
        <w:r>
          <w:rPr>
            <w:noProof/>
            <w:webHidden/>
          </w:rPr>
        </w:r>
        <w:r>
          <w:rPr>
            <w:noProof/>
            <w:webHidden/>
          </w:rPr>
          <w:fldChar w:fldCharType="separate"/>
        </w:r>
        <w:r>
          <w:rPr>
            <w:noProof/>
            <w:webHidden/>
          </w:rPr>
          <w:t>373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59" w:history="1">
        <w:r w:rsidRPr="001B13A4">
          <w:rPr>
            <w:rStyle w:val="Hyperlink"/>
            <w:noProof/>
          </w:rPr>
          <w:t>2.1.823</w:t>
        </w:r>
        <w:r>
          <w:rPr>
            <w:rFonts w:asciiTheme="minorHAnsi" w:eastAsiaTheme="minorEastAsia" w:hAnsiTheme="minorHAnsi" w:cstheme="minorBidi"/>
            <w:noProof/>
            <w:sz w:val="22"/>
            <w:szCs w:val="22"/>
          </w:rPr>
          <w:tab/>
        </w:r>
        <w:r w:rsidRPr="001B13A4">
          <w:rPr>
            <w:rStyle w:val="Hyperlink"/>
            <w:noProof/>
          </w:rPr>
          <w:t>Part 1 Section 18.11.1.25, undo (Undo)</w:t>
        </w:r>
        <w:r>
          <w:rPr>
            <w:noProof/>
            <w:webHidden/>
          </w:rPr>
          <w:tab/>
        </w:r>
        <w:r>
          <w:rPr>
            <w:noProof/>
            <w:webHidden/>
          </w:rPr>
          <w:fldChar w:fldCharType="begin"/>
        </w:r>
        <w:r>
          <w:rPr>
            <w:noProof/>
            <w:webHidden/>
          </w:rPr>
          <w:instrText xml:space="preserve"> PAGEREF _Toc181683859 \h </w:instrText>
        </w:r>
        <w:r>
          <w:rPr>
            <w:noProof/>
            <w:webHidden/>
          </w:rPr>
        </w:r>
        <w:r>
          <w:rPr>
            <w:noProof/>
            <w:webHidden/>
          </w:rPr>
          <w:fldChar w:fldCharType="separate"/>
        </w:r>
        <w:r>
          <w:rPr>
            <w:noProof/>
            <w:webHidden/>
          </w:rPr>
          <w:t>374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0" w:history="1">
        <w:r w:rsidRPr="001B13A4">
          <w:rPr>
            <w:rStyle w:val="Hyperlink"/>
            <w:noProof/>
          </w:rPr>
          <w:t>2.1.824</w:t>
        </w:r>
        <w:r>
          <w:rPr>
            <w:rFonts w:asciiTheme="minorHAnsi" w:eastAsiaTheme="minorEastAsia" w:hAnsiTheme="minorHAnsi" w:cstheme="minorBidi"/>
            <w:noProof/>
            <w:sz w:val="22"/>
            <w:szCs w:val="22"/>
          </w:rPr>
          <w:tab/>
        </w:r>
        <w:r w:rsidRPr="001B13A4">
          <w:rPr>
            <w:rStyle w:val="Hyperlink"/>
            <w:noProof/>
          </w:rPr>
          <w:t>Part 1 Section 18.11.2.2, users (User List)</w:t>
        </w:r>
        <w:r>
          <w:rPr>
            <w:noProof/>
            <w:webHidden/>
          </w:rPr>
          <w:tab/>
        </w:r>
        <w:r>
          <w:rPr>
            <w:noProof/>
            <w:webHidden/>
          </w:rPr>
          <w:fldChar w:fldCharType="begin"/>
        </w:r>
        <w:r>
          <w:rPr>
            <w:noProof/>
            <w:webHidden/>
          </w:rPr>
          <w:instrText xml:space="preserve"> PAGEREF _Toc181683860 \h </w:instrText>
        </w:r>
        <w:r>
          <w:rPr>
            <w:noProof/>
            <w:webHidden/>
          </w:rPr>
        </w:r>
        <w:r>
          <w:rPr>
            <w:noProof/>
            <w:webHidden/>
          </w:rPr>
          <w:fldChar w:fldCharType="separate"/>
        </w:r>
        <w:r>
          <w:rPr>
            <w:noProof/>
            <w:webHidden/>
          </w:rPr>
          <w:t>374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1" w:history="1">
        <w:r w:rsidRPr="001B13A4">
          <w:rPr>
            <w:rStyle w:val="Hyperlink"/>
            <w:noProof/>
          </w:rPr>
          <w:t>2.1.825</w:t>
        </w:r>
        <w:r>
          <w:rPr>
            <w:rFonts w:asciiTheme="minorHAnsi" w:eastAsiaTheme="minorEastAsia" w:hAnsiTheme="minorHAnsi" w:cstheme="minorBidi"/>
            <w:noProof/>
            <w:sz w:val="22"/>
            <w:szCs w:val="22"/>
          </w:rPr>
          <w:tab/>
        </w:r>
        <w:r w:rsidRPr="001B13A4">
          <w:rPr>
            <w:rStyle w:val="Hyperlink"/>
            <w:noProof/>
          </w:rPr>
          <w:t>Part 1 Section 18.12.1, deletedField (Deleted Field)</w:t>
        </w:r>
        <w:r>
          <w:rPr>
            <w:noProof/>
            <w:webHidden/>
          </w:rPr>
          <w:tab/>
        </w:r>
        <w:r>
          <w:rPr>
            <w:noProof/>
            <w:webHidden/>
          </w:rPr>
          <w:fldChar w:fldCharType="begin"/>
        </w:r>
        <w:r>
          <w:rPr>
            <w:noProof/>
            <w:webHidden/>
          </w:rPr>
          <w:instrText xml:space="preserve"> PAGEREF _Toc181683861 \h </w:instrText>
        </w:r>
        <w:r>
          <w:rPr>
            <w:noProof/>
            <w:webHidden/>
          </w:rPr>
        </w:r>
        <w:r>
          <w:rPr>
            <w:noProof/>
            <w:webHidden/>
          </w:rPr>
          <w:fldChar w:fldCharType="separate"/>
        </w:r>
        <w:r>
          <w:rPr>
            <w:noProof/>
            <w:webHidden/>
          </w:rPr>
          <w:t>374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2" w:history="1">
        <w:r w:rsidRPr="001B13A4">
          <w:rPr>
            <w:rStyle w:val="Hyperlink"/>
            <w:noProof/>
          </w:rPr>
          <w:t>2.1.826</w:t>
        </w:r>
        <w:r>
          <w:rPr>
            <w:rFonts w:asciiTheme="minorHAnsi" w:eastAsiaTheme="minorEastAsia" w:hAnsiTheme="minorHAnsi" w:cstheme="minorBidi"/>
            <w:noProof/>
            <w:sz w:val="22"/>
            <w:szCs w:val="22"/>
          </w:rPr>
          <w:tab/>
        </w:r>
        <w:r w:rsidRPr="001B13A4">
          <w:rPr>
            <w:rStyle w:val="Hyperlink"/>
            <w:noProof/>
          </w:rPr>
          <w:t>Part 1 Section 18.12.2, queryTable (Query Table)</w:t>
        </w:r>
        <w:r>
          <w:rPr>
            <w:noProof/>
            <w:webHidden/>
          </w:rPr>
          <w:tab/>
        </w:r>
        <w:r>
          <w:rPr>
            <w:noProof/>
            <w:webHidden/>
          </w:rPr>
          <w:fldChar w:fldCharType="begin"/>
        </w:r>
        <w:r>
          <w:rPr>
            <w:noProof/>
            <w:webHidden/>
          </w:rPr>
          <w:instrText xml:space="preserve"> PAGEREF _Toc181683862 \h </w:instrText>
        </w:r>
        <w:r>
          <w:rPr>
            <w:noProof/>
            <w:webHidden/>
          </w:rPr>
        </w:r>
        <w:r>
          <w:rPr>
            <w:noProof/>
            <w:webHidden/>
          </w:rPr>
          <w:fldChar w:fldCharType="separate"/>
        </w:r>
        <w:r>
          <w:rPr>
            <w:noProof/>
            <w:webHidden/>
          </w:rPr>
          <w:t>374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3" w:history="1">
        <w:r w:rsidRPr="001B13A4">
          <w:rPr>
            <w:rStyle w:val="Hyperlink"/>
            <w:noProof/>
          </w:rPr>
          <w:t>2.1.827</w:t>
        </w:r>
        <w:r>
          <w:rPr>
            <w:rFonts w:asciiTheme="minorHAnsi" w:eastAsiaTheme="minorEastAsia" w:hAnsiTheme="minorHAnsi" w:cstheme="minorBidi"/>
            <w:noProof/>
            <w:sz w:val="22"/>
            <w:szCs w:val="22"/>
          </w:rPr>
          <w:tab/>
        </w:r>
        <w:r w:rsidRPr="001B13A4">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_Toc181683863 \h </w:instrText>
        </w:r>
        <w:r>
          <w:rPr>
            <w:noProof/>
            <w:webHidden/>
          </w:rPr>
        </w:r>
        <w:r>
          <w:rPr>
            <w:noProof/>
            <w:webHidden/>
          </w:rPr>
          <w:fldChar w:fldCharType="separate"/>
        </w:r>
        <w:r>
          <w:rPr>
            <w:noProof/>
            <w:webHidden/>
          </w:rPr>
          <w:t>375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4" w:history="1">
        <w:r w:rsidRPr="001B13A4">
          <w:rPr>
            <w:rStyle w:val="Hyperlink"/>
            <w:noProof/>
          </w:rPr>
          <w:t>2.1.828</w:t>
        </w:r>
        <w:r>
          <w:rPr>
            <w:rFonts w:asciiTheme="minorHAnsi" w:eastAsiaTheme="minorEastAsia" w:hAnsiTheme="minorHAnsi" w:cstheme="minorBidi"/>
            <w:noProof/>
            <w:sz w:val="22"/>
            <w:szCs w:val="22"/>
          </w:rPr>
          <w:tab/>
        </w:r>
        <w:r w:rsidRPr="001B13A4">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_Toc181683864 \h </w:instrText>
        </w:r>
        <w:r>
          <w:rPr>
            <w:noProof/>
            <w:webHidden/>
          </w:rPr>
        </w:r>
        <w:r>
          <w:rPr>
            <w:noProof/>
            <w:webHidden/>
          </w:rPr>
          <w:fldChar w:fldCharType="separate"/>
        </w:r>
        <w:r>
          <w:rPr>
            <w:noProof/>
            <w:webHidden/>
          </w:rPr>
          <w:t>375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5" w:history="1">
        <w:r w:rsidRPr="001B13A4">
          <w:rPr>
            <w:rStyle w:val="Hyperlink"/>
            <w:noProof/>
          </w:rPr>
          <w:t>2.1.829</w:t>
        </w:r>
        <w:r>
          <w:rPr>
            <w:rFonts w:asciiTheme="minorHAnsi" w:eastAsiaTheme="minorEastAsia" w:hAnsiTheme="minorHAnsi" w:cstheme="minorBidi"/>
            <w:noProof/>
            <w:sz w:val="22"/>
            <w:szCs w:val="22"/>
          </w:rPr>
          <w:tab/>
        </w:r>
        <w:r w:rsidRPr="001B13A4">
          <w:rPr>
            <w:rStyle w:val="Hyperlink"/>
            <w:noProof/>
          </w:rPr>
          <w:t>Part 1 Section 18.13.1, connection (Connection)</w:t>
        </w:r>
        <w:r>
          <w:rPr>
            <w:noProof/>
            <w:webHidden/>
          </w:rPr>
          <w:tab/>
        </w:r>
        <w:r>
          <w:rPr>
            <w:noProof/>
            <w:webHidden/>
          </w:rPr>
          <w:fldChar w:fldCharType="begin"/>
        </w:r>
        <w:r>
          <w:rPr>
            <w:noProof/>
            <w:webHidden/>
          </w:rPr>
          <w:instrText xml:space="preserve"> PAGEREF _Toc181683865 \h </w:instrText>
        </w:r>
        <w:r>
          <w:rPr>
            <w:noProof/>
            <w:webHidden/>
          </w:rPr>
        </w:r>
        <w:r>
          <w:rPr>
            <w:noProof/>
            <w:webHidden/>
          </w:rPr>
          <w:fldChar w:fldCharType="separate"/>
        </w:r>
        <w:r>
          <w:rPr>
            <w:noProof/>
            <w:webHidden/>
          </w:rPr>
          <w:t>376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6" w:history="1">
        <w:r w:rsidRPr="001B13A4">
          <w:rPr>
            <w:rStyle w:val="Hyperlink"/>
            <w:noProof/>
          </w:rPr>
          <w:t>2.1.830</w:t>
        </w:r>
        <w:r>
          <w:rPr>
            <w:rFonts w:asciiTheme="minorHAnsi" w:eastAsiaTheme="minorEastAsia" w:hAnsiTheme="minorHAnsi" w:cstheme="minorBidi"/>
            <w:noProof/>
            <w:sz w:val="22"/>
            <w:szCs w:val="22"/>
          </w:rPr>
          <w:tab/>
        </w:r>
        <w:r w:rsidRPr="001B13A4">
          <w:rPr>
            <w:rStyle w:val="Hyperlink"/>
            <w:noProof/>
          </w:rPr>
          <w:t>Part 1 Section 18.13.3, dbPr (Database Properties)</w:t>
        </w:r>
        <w:r>
          <w:rPr>
            <w:noProof/>
            <w:webHidden/>
          </w:rPr>
          <w:tab/>
        </w:r>
        <w:r>
          <w:rPr>
            <w:noProof/>
            <w:webHidden/>
          </w:rPr>
          <w:fldChar w:fldCharType="begin"/>
        </w:r>
        <w:r>
          <w:rPr>
            <w:noProof/>
            <w:webHidden/>
          </w:rPr>
          <w:instrText xml:space="preserve"> PAGEREF _Toc181683866 \h </w:instrText>
        </w:r>
        <w:r>
          <w:rPr>
            <w:noProof/>
            <w:webHidden/>
          </w:rPr>
        </w:r>
        <w:r>
          <w:rPr>
            <w:noProof/>
            <w:webHidden/>
          </w:rPr>
          <w:fldChar w:fldCharType="separate"/>
        </w:r>
        <w:r>
          <w:rPr>
            <w:noProof/>
            <w:webHidden/>
          </w:rPr>
          <w:t>377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7" w:history="1">
        <w:r w:rsidRPr="001B13A4">
          <w:rPr>
            <w:rStyle w:val="Hyperlink"/>
            <w:noProof/>
          </w:rPr>
          <w:t>2.1.831</w:t>
        </w:r>
        <w:r>
          <w:rPr>
            <w:rFonts w:asciiTheme="minorHAnsi" w:eastAsiaTheme="minorEastAsia" w:hAnsiTheme="minorHAnsi" w:cstheme="minorBidi"/>
            <w:noProof/>
            <w:sz w:val="22"/>
            <w:szCs w:val="22"/>
          </w:rPr>
          <w:tab/>
        </w:r>
        <w:r w:rsidRPr="001B13A4">
          <w:rPr>
            <w:rStyle w:val="Hyperlink"/>
            <w:noProof/>
          </w:rPr>
          <w:t>Part 1 Section 18.13.5, olapPr (OLAP Properties)</w:t>
        </w:r>
        <w:r>
          <w:rPr>
            <w:noProof/>
            <w:webHidden/>
          </w:rPr>
          <w:tab/>
        </w:r>
        <w:r>
          <w:rPr>
            <w:noProof/>
            <w:webHidden/>
          </w:rPr>
          <w:fldChar w:fldCharType="begin"/>
        </w:r>
        <w:r>
          <w:rPr>
            <w:noProof/>
            <w:webHidden/>
          </w:rPr>
          <w:instrText xml:space="preserve"> PAGEREF _Toc181683867 \h </w:instrText>
        </w:r>
        <w:r>
          <w:rPr>
            <w:noProof/>
            <w:webHidden/>
          </w:rPr>
        </w:r>
        <w:r>
          <w:rPr>
            <w:noProof/>
            <w:webHidden/>
          </w:rPr>
          <w:fldChar w:fldCharType="separate"/>
        </w:r>
        <w:r>
          <w:rPr>
            <w:noProof/>
            <w:webHidden/>
          </w:rPr>
          <w:t>377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8" w:history="1">
        <w:r w:rsidRPr="001B13A4">
          <w:rPr>
            <w:rStyle w:val="Hyperlink"/>
            <w:noProof/>
          </w:rPr>
          <w:t>2.1.832</w:t>
        </w:r>
        <w:r>
          <w:rPr>
            <w:rFonts w:asciiTheme="minorHAnsi" w:eastAsiaTheme="minorEastAsia" w:hAnsiTheme="minorHAnsi" w:cstheme="minorBidi"/>
            <w:noProof/>
            <w:sz w:val="22"/>
            <w:szCs w:val="22"/>
          </w:rPr>
          <w:tab/>
        </w:r>
        <w:r w:rsidRPr="001B13A4">
          <w:rPr>
            <w:rStyle w:val="Hyperlink"/>
            <w:noProof/>
          </w:rPr>
          <w:t>Part 1 Section 18.13.6, parameter (Parameter Properties)</w:t>
        </w:r>
        <w:r>
          <w:rPr>
            <w:noProof/>
            <w:webHidden/>
          </w:rPr>
          <w:tab/>
        </w:r>
        <w:r>
          <w:rPr>
            <w:noProof/>
            <w:webHidden/>
          </w:rPr>
          <w:fldChar w:fldCharType="begin"/>
        </w:r>
        <w:r>
          <w:rPr>
            <w:noProof/>
            <w:webHidden/>
          </w:rPr>
          <w:instrText xml:space="preserve"> PAGEREF _Toc181683868 \h </w:instrText>
        </w:r>
        <w:r>
          <w:rPr>
            <w:noProof/>
            <w:webHidden/>
          </w:rPr>
        </w:r>
        <w:r>
          <w:rPr>
            <w:noProof/>
            <w:webHidden/>
          </w:rPr>
          <w:fldChar w:fldCharType="separate"/>
        </w:r>
        <w:r>
          <w:rPr>
            <w:noProof/>
            <w:webHidden/>
          </w:rPr>
          <w:t>377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69" w:history="1">
        <w:r w:rsidRPr="001B13A4">
          <w:rPr>
            <w:rStyle w:val="Hyperlink"/>
            <w:noProof/>
          </w:rPr>
          <w:t>2.1.833</w:t>
        </w:r>
        <w:r>
          <w:rPr>
            <w:rFonts w:asciiTheme="minorHAnsi" w:eastAsiaTheme="minorEastAsia" w:hAnsiTheme="minorHAnsi" w:cstheme="minorBidi"/>
            <w:noProof/>
            <w:sz w:val="22"/>
            <w:szCs w:val="22"/>
          </w:rPr>
          <w:tab/>
        </w:r>
        <w:r w:rsidRPr="001B13A4">
          <w:rPr>
            <w:rStyle w:val="Hyperlink"/>
            <w:noProof/>
          </w:rPr>
          <w:t>Part 1 Section 18.13.8, s (Character Value)</w:t>
        </w:r>
        <w:r>
          <w:rPr>
            <w:noProof/>
            <w:webHidden/>
          </w:rPr>
          <w:tab/>
        </w:r>
        <w:r>
          <w:rPr>
            <w:noProof/>
            <w:webHidden/>
          </w:rPr>
          <w:fldChar w:fldCharType="begin"/>
        </w:r>
        <w:r>
          <w:rPr>
            <w:noProof/>
            <w:webHidden/>
          </w:rPr>
          <w:instrText xml:space="preserve"> PAGEREF _Toc181683869 \h </w:instrText>
        </w:r>
        <w:r>
          <w:rPr>
            <w:noProof/>
            <w:webHidden/>
          </w:rPr>
        </w:r>
        <w:r>
          <w:rPr>
            <w:noProof/>
            <w:webHidden/>
          </w:rPr>
          <w:fldChar w:fldCharType="separate"/>
        </w:r>
        <w:r>
          <w:rPr>
            <w:noProof/>
            <w:webHidden/>
          </w:rPr>
          <w:t>378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0" w:history="1">
        <w:r w:rsidRPr="001B13A4">
          <w:rPr>
            <w:rStyle w:val="Hyperlink"/>
            <w:noProof/>
          </w:rPr>
          <w:t>2.1.834</w:t>
        </w:r>
        <w:r>
          <w:rPr>
            <w:rFonts w:asciiTheme="minorHAnsi" w:eastAsiaTheme="minorEastAsia" w:hAnsiTheme="minorHAnsi" w:cstheme="minorBidi"/>
            <w:noProof/>
            <w:sz w:val="22"/>
            <w:szCs w:val="22"/>
          </w:rPr>
          <w:tab/>
        </w:r>
        <w:r w:rsidRPr="001B13A4">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_Toc181683870 \h </w:instrText>
        </w:r>
        <w:r>
          <w:rPr>
            <w:noProof/>
            <w:webHidden/>
          </w:rPr>
        </w:r>
        <w:r>
          <w:rPr>
            <w:noProof/>
            <w:webHidden/>
          </w:rPr>
          <w:fldChar w:fldCharType="separate"/>
        </w:r>
        <w:r>
          <w:rPr>
            <w:noProof/>
            <w:webHidden/>
          </w:rPr>
          <w:t>378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1" w:history="1">
        <w:r w:rsidRPr="001B13A4">
          <w:rPr>
            <w:rStyle w:val="Hyperlink"/>
            <w:noProof/>
          </w:rPr>
          <w:t>2.1.835</w:t>
        </w:r>
        <w:r>
          <w:rPr>
            <w:rFonts w:asciiTheme="minorHAnsi" w:eastAsiaTheme="minorEastAsia" w:hAnsiTheme="minorHAnsi" w:cstheme="minorBidi"/>
            <w:noProof/>
            <w:sz w:val="22"/>
            <w:szCs w:val="22"/>
          </w:rPr>
          <w:tab/>
        </w:r>
        <w:r w:rsidRPr="001B13A4">
          <w:rPr>
            <w:rStyle w:val="Hyperlink"/>
            <w:noProof/>
          </w:rPr>
          <w:t>Part 1 Section 18.13.11, textFields (Fields)</w:t>
        </w:r>
        <w:r>
          <w:rPr>
            <w:noProof/>
            <w:webHidden/>
          </w:rPr>
          <w:tab/>
        </w:r>
        <w:r>
          <w:rPr>
            <w:noProof/>
            <w:webHidden/>
          </w:rPr>
          <w:fldChar w:fldCharType="begin"/>
        </w:r>
        <w:r>
          <w:rPr>
            <w:noProof/>
            <w:webHidden/>
          </w:rPr>
          <w:instrText xml:space="preserve"> PAGEREF _Toc181683871 \h </w:instrText>
        </w:r>
        <w:r>
          <w:rPr>
            <w:noProof/>
            <w:webHidden/>
          </w:rPr>
        </w:r>
        <w:r>
          <w:rPr>
            <w:noProof/>
            <w:webHidden/>
          </w:rPr>
          <w:fldChar w:fldCharType="separate"/>
        </w:r>
        <w:r>
          <w:rPr>
            <w:noProof/>
            <w:webHidden/>
          </w:rPr>
          <w:t>378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2" w:history="1">
        <w:r w:rsidRPr="001B13A4">
          <w:rPr>
            <w:rStyle w:val="Hyperlink"/>
            <w:noProof/>
          </w:rPr>
          <w:t>2.1.836</w:t>
        </w:r>
        <w:r>
          <w:rPr>
            <w:rFonts w:asciiTheme="minorHAnsi" w:eastAsiaTheme="minorEastAsia" w:hAnsiTheme="minorHAnsi" w:cstheme="minorBidi"/>
            <w:noProof/>
            <w:sz w:val="22"/>
            <w:szCs w:val="22"/>
          </w:rPr>
          <w:tab/>
        </w:r>
        <w:r w:rsidRPr="001B13A4">
          <w:rPr>
            <w:rStyle w:val="Hyperlink"/>
            <w:noProof/>
          </w:rPr>
          <w:t>Part 1 Section 18.13.12, textPr (Text Import Settings)</w:t>
        </w:r>
        <w:r>
          <w:rPr>
            <w:noProof/>
            <w:webHidden/>
          </w:rPr>
          <w:tab/>
        </w:r>
        <w:r>
          <w:rPr>
            <w:noProof/>
            <w:webHidden/>
          </w:rPr>
          <w:fldChar w:fldCharType="begin"/>
        </w:r>
        <w:r>
          <w:rPr>
            <w:noProof/>
            <w:webHidden/>
          </w:rPr>
          <w:instrText xml:space="preserve"> PAGEREF _Toc181683872 \h </w:instrText>
        </w:r>
        <w:r>
          <w:rPr>
            <w:noProof/>
            <w:webHidden/>
          </w:rPr>
        </w:r>
        <w:r>
          <w:rPr>
            <w:noProof/>
            <w:webHidden/>
          </w:rPr>
          <w:fldChar w:fldCharType="separate"/>
        </w:r>
        <w:r>
          <w:rPr>
            <w:noProof/>
            <w:webHidden/>
          </w:rPr>
          <w:t>378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3" w:history="1">
        <w:r w:rsidRPr="001B13A4">
          <w:rPr>
            <w:rStyle w:val="Hyperlink"/>
            <w:noProof/>
          </w:rPr>
          <w:t>2.1.837</w:t>
        </w:r>
        <w:r>
          <w:rPr>
            <w:rFonts w:asciiTheme="minorHAnsi" w:eastAsiaTheme="minorEastAsia" w:hAnsiTheme="minorHAnsi" w:cstheme="minorBidi"/>
            <w:noProof/>
            <w:sz w:val="22"/>
            <w:szCs w:val="22"/>
          </w:rPr>
          <w:tab/>
        </w:r>
        <w:r w:rsidRPr="001B13A4">
          <w:rPr>
            <w:rStyle w:val="Hyperlink"/>
            <w:noProof/>
          </w:rPr>
          <w:t>Part 1 Section 18.13.13, webPr (Web Query Properties)</w:t>
        </w:r>
        <w:r>
          <w:rPr>
            <w:noProof/>
            <w:webHidden/>
          </w:rPr>
          <w:tab/>
        </w:r>
        <w:r>
          <w:rPr>
            <w:noProof/>
            <w:webHidden/>
          </w:rPr>
          <w:fldChar w:fldCharType="begin"/>
        </w:r>
        <w:r>
          <w:rPr>
            <w:noProof/>
            <w:webHidden/>
          </w:rPr>
          <w:instrText xml:space="preserve"> PAGEREF _Toc181683873 \h </w:instrText>
        </w:r>
        <w:r>
          <w:rPr>
            <w:noProof/>
            <w:webHidden/>
          </w:rPr>
        </w:r>
        <w:r>
          <w:rPr>
            <w:noProof/>
            <w:webHidden/>
          </w:rPr>
          <w:fldChar w:fldCharType="separate"/>
        </w:r>
        <w:r>
          <w:rPr>
            <w:noProof/>
            <w:webHidden/>
          </w:rPr>
          <w:t>379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4" w:history="1">
        <w:r w:rsidRPr="001B13A4">
          <w:rPr>
            <w:rStyle w:val="Hyperlink"/>
            <w:noProof/>
          </w:rPr>
          <w:t>2.1.838</w:t>
        </w:r>
        <w:r>
          <w:rPr>
            <w:rFonts w:asciiTheme="minorHAnsi" w:eastAsiaTheme="minorEastAsia" w:hAnsiTheme="minorHAnsi" w:cstheme="minorBidi"/>
            <w:noProof/>
            <w:sz w:val="22"/>
            <w:szCs w:val="22"/>
          </w:rPr>
          <w:tab/>
        </w:r>
        <w:r w:rsidRPr="001B13A4">
          <w:rPr>
            <w:rStyle w:val="Hyperlink"/>
            <w:noProof/>
          </w:rPr>
          <w:t>Part 1 Section 18.14.1, cell (External Cell Data)</w:t>
        </w:r>
        <w:r>
          <w:rPr>
            <w:noProof/>
            <w:webHidden/>
          </w:rPr>
          <w:tab/>
        </w:r>
        <w:r>
          <w:rPr>
            <w:noProof/>
            <w:webHidden/>
          </w:rPr>
          <w:fldChar w:fldCharType="begin"/>
        </w:r>
        <w:r>
          <w:rPr>
            <w:noProof/>
            <w:webHidden/>
          </w:rPr>
          <w:instrText xml:space="preserve"> PAGEREF _Toc181683874 \h </w:instrText>
        </w:r>
        <w:r>
          <w:rPr>
            <w:noProof/>
            <w:webHidden/>
          </w:rPr>
        </w:r>
        <w:r>
          <w:rPr>
            <w:noProof/>
            <w:webHidden/>
          </w:rPr>
          <w:fldChar w:fldCharType="separate"/>
        </w:r>
        <w:r>
          <w:rPr>
            <w:noProof/>
            <w:webHidden/>
          </w:rPr>
          <w:t>379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5" w:history="1">
        <w:r w:rsidRPr="001B13A4">
          <w:rPr>
            <w:rStyle w:val="Hyperlink"/>
            <w:noProof/>
          </w:rPr>
          <w:t>2.1.839</w:t>
        </w:r>
        <w:r>
          <w:rPr>
            <w:rFonts w:asciiTheme="minorHAnsi" w:eastAsiaTheme="minorEastAsia" w:hAnsiTheme="minorHAnsi" w:cstheme="minorBidi"/>
            <w:noProof/>
            <w:sz w:val="22"/>
            <w:szCs w:val="22"/>
          </w:rPr>
          <w:tab/>
        </w:r>
        <w:r w:rsidRPr="001B13A4">
          <w:rPr>
            <w:rStyle w:val="Hyperlink"/>
            <w:noProof/>
          </w:rPr>
          <w:t>Part 1 Section 18.14.2, ddeItem (DDE Item definition)</w:t>
        </w:r>
        <w:r>
          <w:rPr>
            <w:noProof/>
            <w:webHidden/>
          </w:rPr>
          <w:tab/>
        </w:r>
        <w:r>
          <w:rPr>
            <w:noProof/>
            <w:webHidden/>
          </w:rPr>
          <w:fldChar w:fldCharType="begin"/>
        </w:r>
        <w:r>
          <w:rPr>
            <w:noProof/>
            <w:webHidden/>
          </w:rPr>
          <w:instrText xml:space="preserve"> PAGEREF _Toc181683875 \h </w:instrText>
        </w:r>
        <w:r>
          <w:rPr>
            <w:noProof/>
            <w:webHidden/>
          </w:rPr>
        </w:r>
        <w:r>
          <w:rPr>
            <w:noProof/>
            <w:webHidden/>
          </w:rPr>
          <w:fldChar w:fldCharType="separate"/>
        </w:r>
        <w:r>
          <w:rPr>
            <w:noProof/>
            <w:webHidden/>
          </w:rPr>
          <w:t>380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6" w:history="1">
        <w:r w:rsidRPr="001B13A4">
          <w:rPr>
            <w:rStyle w:val="Hyperlink"/>
            <w:noProof/>
          </w:rPr>
          <w:t>2.1.840</w:t>
        </w:r>
        <w:r>
          <w:rPr>
            <w:rFonts w:asciiTheme="minorHAnsi" w:eastAsiaTheme="minorEastAsia" w:hAnsiTheme="minorHAnsi" w:cstheme="minorBidi"/>
            <w:noProof/>
            <w:sz w:val="22"/>
            <w:szCs w:val="22"/>
          </w:rPr>
          <w:tab/>
        </w:r>
        <w:r w:rsidRPr="001B13A4">
          <w:rPr>
            <w:rStyle w:val="Hyperlink"/>
            <w:noProof/>
          </w:rPr>
          <w:t>Part 1 Section 18.14.4, ddeLink (DDE Connection)</w:t>
        </w:r>
        <w:r>
          <w:rPr>
            <w:noProof/>
            <w:webHidden/>
          </w:rPr>
          <w:tab/>
        </w:r>
        <w:r>
          <w:rPr>
            <w:noProof/>
            <w:webHidden/>
          </w:rPr>
          <w:fldChar w:fldCharType="begin"/>
        </w:r>
        <w:r>
          <w:rPr>
            <w:noProof/>
            <w:webHidden/>
          </w:rPr>
          <w:instrText xml:space="preserve"> PAGEREF _Toc181683876 \h </w:instrText>
        </w:r>
        <w:r>
          <w:rPr>
            <w:noProof/>
            <w:webHidden/>
          </w:rPr>
        </w:r>
        <w:r>
          <w:rPr>
            <w:noProof/>
            <w:webHidden/>
          </w:rPr>
          <w:fldChar w:fldCharType="separate"/>
        </w:r>
        <w:r>
          <w:rPr>
            <w:noProof/>
            <w:webHidden/>
          </w:rPr>
          <w:t>380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7" w:history="1">
        <w:r w:rsidRPr="001B13A4">
          <w:rPr>
            <w:rStyle w:val="Hyperlink"/>
            <w:noProof/>
          </w:rPr>
          <w:t>2.1.841</w:t>
        </w:r>
        <w:r>
          <w:rPr>
            <w:rFonts w:asciiTheme="minorHAnsi" w:eastAsiaTheme="minorEastAsia" w:hAnsiTheme="minorHAnsi" w:cstheme="minorBidi"/>
            <w:noProof/>
            <w:sz w:val="22"/>
            <w:szCs w:val="22"/>
          </w:rPr>
          <w:tab/>
        </w:r>
        <w:r w:rsidRPr="001B13A4">
          <w:rPr>
            <w:rStyle w:val="Hyperlink"/>
            <w:noProof/>
          </w:rPr>
          <w:t>Part 1 Section 18.14.5, definedName (Defined Name)</w:t>
        </w:r>
        <w:r>
          <w:rPr>
            <w:noProof/>
            <w:webHidden/>
          </w:rPr>
          <w:tab/>
        </w:r>
        <w:r>
          <w:rPr>
            <w:noProof/>
            <w:webHidden/>
          </w:rPr>
          <w:fldChar w:fldCharType="begin"/>
        </w:r>
        <w:r>
          <w:rPr>
            <w:noProof/>
            <w:webHidden/>
          </w:rPr>
          <w:instrText xml:space="preserve"> PAGEREF _Toc181683877 \h </w:instrText>
        </w:r>
        <w:r>
          <w:rPr>
            <w:noProof/>
            <w:webHidden/>
          </w:rPr>
        </w:r>
        <w:r>
          <w:rPr>
            <w:noProof/>
            <w:webHidden/>
          </w:rPr>
          <w:fldChar w:fldCharType="separate"/>
        </w:r>
        <w:r>
          <w:rPr>
            <w:noProof/>
            <w:webHidden/>
          </w:rPr>
          <w:t>380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8" w:history="1">
        <w:r w:rsidRPr="001B13A4">
          <w:rPr>
            <w:rStyle w:val="Hyperlink"/>
            <w:noProof/>
          </w:rPr>
          <w:t>2.1.842</w:t>
        </w:r>
        <w:r>
          <w:rPr>
            <w:rFonts w:asciiTheme="minorHAnsi" w:eastAsiaTheme="minorEastAsia" w:hAnsiTheme="minorHAnsi" w:cstheme="minorBidi"/>
            <w:noProof/>
            <w:sz w:val="22"/>
            <w:szCs w:val="22"/>
          </w:rPr>
          <w:tab/>
        </w:r>
        <w:r w:rsidRPr="001B13A4">
          <w:rPr>
            <w:rStyle w:val="Hyperlink"/>
            <w:noProof/>
          </w:rPr>
          <w:t>Part 1 Section 18.14.8, externalLink (External Reference)</w:t>
        </w:r>
        <w:r>
          <w:rPr>
            <w:noProof/>
            <w:webHidden/>
          </w:rPr>
          <w:tab/>
        </w:r>
        <w:r>
          <w:rPr>
            <w:noProof/>
            <w:webHidden/>
          </w:rPr>
          <w:fldChar w:fldCharType="begin"/>
        </w:r>
        <w:r>
          <w:rPr>
            <w:noProof/>
            <w:webHidden/>
          </w:rPr>
          <w:instrText xml:space="preserve"> PAGEREF _Toc181683878 \h </w:instrText>
        </w:r>
        <w:r>
          <w:rPr>
            <w:noProof/>
            <w:webHidden/>
          </w:rPr>
        </w:r>
        <w:r>
          <w:rPr>
            <w:noProof/>
            <w:webHidden/>
          </w:rPr>
          <w:fldChar w:fldCharType="separate"/>
        </w:r>
        <w:r>
          <w:rPr>
            <w:noProof/>
            <w:webHidden/>
          </w:rPr>
          <w:t>381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79" w:history="1">
        <w:r w:rsidRPr="001B13A4">
          <w:rPr>
            <w:rStyle w:val="Hyperlink"/>
            <w:noProof/>
          </w:rPr>
          <w:t>2.1.843</w:t>
        </w:r>
        <w:r>
          <w:rPr>
            <w:rFonts w:asciiTheme="minorHAnsi" w:eastAsiaTheme="minorEastAsia" w:hAnsiTheme="minorHAnsi" w:cstheme="minorBidi"/>
            <w:noProof/>
            <w:sz w:val="22"/>
            <w:szCs w:val="22"/>
          </w:rPr>
          <w:tab/>
        </w:r>
        <w:r w:rsidRPr="001B13A4">
          <w:rPr>
            <w:rStyle w:val="Hyperlink"/>
            <w:noProof/>
          </w:rPr>
          <w:t>Part 1 Section 18.14.9, oleItem (Object Link Item)</w:t>
        </w:r>
        <w:r>
          <w:rPr>
            <w:noProof/>
            <w:webHidden/>
          </w:rPr>
          <w:tab/>
        </w:r>
        <w:r>
          <w:rPr>
            <w:noProof/>
            <w:webHidden/>
          </w:rPr>
          <w:fldChar w:fldCharType="begin"/>
        </w:r>
        <w:r>
          <w:rPr>
            <w:noProof/>
            <w:webHidden/>
          </w:rPr>
          <w:instrText xml:space="preserve"> PAGEREF _Toc181683879 \h </w:instrText>
        </w:r>
        <w:r>
          <w:rPr>
            <w:noProof/>
            <w:webHidden/>
          </w:rPr>
        </w:r>
        <w:r>
          <w:rPr>
            <w:noProof/>
            <w:webHidden/>
          </w:rPr>
          <w:fldChar w:fldCharType="separate"/>
        </w:r>
        <w:r>
          <w:rPr>
            <w:noProof/>
            <w:webHidden/>
          </w:rPr>
          <w:t>381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0" w:history="1">
        <w:r w:rsidRPr="001B13A4">
          <w:rPr>
            <w:rStyle w:val="Hyperlink"/>
            <w:noProof/>
          </w:rPr>
          <w:t>2.1.844</w:t>
        </w:r>
        <w:r>
          <w:rPr>
            <w:rFonts w:asciiTheme="minorHAnsi" w:eastAsiaTheme="minorEastAsia" w:hAnsiTheme="minorHAnsi" w:cstheme="minorBidi"/>
            <w:noProof/>
            <w:sz w:val="22"/>
            <w:szCs w:val="22"/>
          </w:rPr>
          <w:tab/>
        </w:r>
        <w:r w:rsidRPr="001B13A4">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_Toc181683880 \h </w:instrText>
        </w:r>
        <w:r>
          <w:rPr>
            <w:noProof/>
            <w:webHidden/>
          </w:rPr>
        </w:r>
        <w:r>
          <w:rPr>
            <w:noProof/>
            <w:webHidden/>
          </w:rPr>
          <w:fldChar w:fldCharType="separate"/>
        </w:r>
        <w:r>
          <w:rPr>
            <w:noProof/>
            <w:webHidden/>
          </w:rPr>
          <w:t>381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1" w:history="1">
        <w:r w:rsidRPr="001B13A4">
          <w:rPr>
            <w:rStyle w:val="Hyperlink"/>
            <w:noProof/>
          </w:rPr>
          <w:t>2.1.845</w:t>
        </w:r>
        <w:r>
          <w:rPr>
            <w:rFonts w:asciiTheme="minorHAnsi" w:eastAsiaTheme="minorEastAsia" w:hAnsiTheme="minorHAnsi" w:cstheme="minorBidi"/>
            <w:noProof/>
            <w:sz w:val="22"/>
            <w:szCs w:val="22"/>
          </w:rPr>
          <w:tab/>
        </w:r>
        <w:r w:rsidRPr="001B13A4">
          <w:rPr>
            <w:rStyle w:val="Hyperlink"/>
            <w:noProof/>
          </w:rPr>
          <w:t>Part 1 Section 18.14.12, row (Row)</w:t>
        </w:r>
        <w:r>
          <w:rPr>
            <w:noProof/>
            <w:webHidden/>
          </w:rPr>
          <w:tab/>
        </w:r>
        <w:r>
          <w:rPr>
            <w:noProof/>
            <w:webHidden/>
          </w:rPr>
          <w:fldChar w:fldCharType="begin"/>
        </w:r>
        <w:r>
          <w:rPr>
            <w:noProof/>
            <w:webHidden/>
          </w:rPr>
          <w:instrText xml:space="preserve"> PAGEREF _Toc181683881 \h </w:instrText>
        </w:r>
        <w:r>
          <w:rPr>
            <w:noProof/>
            <w:webHidden/>
          </w:rPr>
        </w:r>
        <w:r>
          <w:rPr>
            <w:noProof/>
            <w:webHidden/>
          </w:rPr>
          <w:fldChar w:fldCharType="separate"/>
        </w:r>
        <w:r>
          <w:rPr>
            <w:noProof/>
            <w:webHidden/>
          </w:rPr>
          <w:t>381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2" w:history="1">
        <w:r w:rsidRPr="001B13A4">
          <w:rPr>
            <w:rStyle w:val="Hyperlink"/>
            <w:noProof/>
          </w:rPr>
          <w:t>2.1.846</w:t>
        </w:r>
        <w:r>
          <w:rPr>
            <w:rFonts w:asciiTheme="minorHAnsi" w:eastAsiaTheme="minorEastAsia" w:hAnsiTheme="minorHAnsi" w:cstheme="minorBidi"/>
            <w:noProof/>
            <w:sz w:val="22"/>
            <w:szCs w:val="22"/>
          </w:rPr>
          <w:tab/>
        </w:r>
        <w:r w:rsidRPr="001B13A4">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_Toc181683882 \h </w:instrText>
        </w:r>
        <w:r>
          <w:rPr>
            <w:noProof/>
            <w:webHidden/>
          </w:rPr>
        </w:r>
        <w:r>
          <w:rPr>
            <w:noProof/>
            <w:webHidden/>
          </w:rPr>
          <w:fldChar w:fldCharType="separate"/>
        </w:r>
        <w:r>
          <w:rPr>
            <w:noProof/>
            <w:webHidden/>
          </w:rPr>
          <w:t>381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3" w:history="1">
        <w:r w:rsidRPr="001B13A4">
          <w:rPr>
            <w:rStyle w:val="Hyperlink"/>
            <w:noProof/>
          </w:rPr>
          <w:t>2.1.847</w:t>
        </w:r>
        <w:r>
          <w:rPr>
            <w:rFonts w:asciiTheme="minorHAnsi" w:eastAsiaTheme="minorEastAsia" w:hAnsiTheme="minorHAnsi" w:cstheme="minorBidi"/>
            <w:noProof/>
            <w:sz w:val="22"/>
            <w:szCs w:val="22"/>
          </w:rPr>
          <w:tab/>
        </w:r>
        <w:r w:rsidRPr="001B13A4">
          <w:rPr>
            <w:rStyle w:val="Hyperlink"/>
            <w:noProof/>
          </w:rPr>
          <w:t>Part 1 Section 18.14.15, sheetName (Sheet Name)</w:t>
        </w:r>
        <w:r>
          <w:rPr>
            <w:noProof/>
            <w:webHidden/>
          </w:rPr>
          <w:tab/>
        </w:r>
        <w:r>
          <w:rPr>
            <w:noProof/>
            <w:webHidden/>
          </w:rPr>
          <w:fldChar w:fldCharType="begin"/>
        </w:r>
        <w:r>
          <w:rPr>
            <w:noProof/>
            <w:webHidden/>
          </w:rPr>
          <w:instrText xml:space="preserve"> PAGEREF _Toc181683883 \h </w:instrText>
        </w:r>
        <w:r>
          <w:rPr>
            <w:noProof/>
            <w:webHidden/>
          </w:rPr>
        </w:r>
        <w:r>
          <w:rPr>
            <w:noProof/>
            <w:webHidden/>
          </w:rPr>
          <w:fldChar w:fldCharType="separate"/>
        </w:r>
        <w:r>
          <w:rPr>
            <w:noProof/>
            <w:webHidden/>
          </w:rPr>
          <w:t>382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4" w:history="1">
        <w:r w:rsidRPr="001B13A4">
          <w:rPr>
            <w:rStyle w:val="Hyperlink"/>
            <w:noProof/>
          </w:rPr>
          <w:t>2.1.848</w:t>
        </w:r>
        <w:r>
          <w:rPr>
            <w:rFonts w:asciiTheme="minorHAnsi" w:eastAsiaTheme="minorEastAsia" w:hAnsiTheme="minorHAnsi" w:cstheme="minorBidi"/>
            <w:noProof/>
            <w:sz w:val="22"/>
            <w:szCs w:val="22"/>
          </w:rPr>
          <w:tab/>
        </w:r>
        <w:r w:rsidRPr="001B13A4">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_Toc181683884 \h </w:instrText>
        </w:r>
        <w:r>
          <w:rPr>
            <w:noProof/>
            <w:webHidden/>
          </w:rPr>
        </w:r>
        <w:r>
          <w:rPr>
            <w:noProof/>
            <w:webHidden/>
          </w:rPr>
          <w:fldChar w:fldCharType="separate"/>
        </w:r>
        <w:r>
          <w:rPr>
            <w:noProof/>
            <w:webHidden/>
          </w:rPr>
          <w:t>382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5" w:history="1">
        <w:r w:rsidRPr="001B13A4">
          <w:rPr>
            <w:rStyle w:val="Hyperlink"/>
            <w:noProof/>
          </w:rPr>
          <w:t>2.1.849</w:t>
        </w:r>
        <w:r>
          <w:rPr>
            <w:rFonts w:asciiTheme="minorHAnsi" w:eastAsiaTheme="minorEastAsia" w:hAnsiTheme="minorHAnsi" w:cstheme="minorBidi"/>
            <w:noProof/>
            <w:sz w:val="22"/>
            <w:szCs w:val="22"/>
          </w:rPr>
          <w:tab/>
        </w:r>
        <w:r w:rsidRPr="001B13A4">
          <w:rPr>
            <w:rStyle w:val="Hyperlink"/>
            <w:noProof/>
          </w:rPr>
          <w:t>Part 1 Section 18.14.17, val (DDE Link Value)</w:t>
        </w:r>
        <w:r>
          <w:rPr>
            <w:noProof/>
            <w:webHidden/>
          </w:rPr>
          <w:tab/>
        </w:r>
        <w:r>
          <w:rPr>
            <w:noProof/>
            <w:webHidden/>
          </w:rPr>
          <w:fldChar w:fldCharType="begin"/>
        </w:r>
        <w:r>
          <w:rPr>
            <w:noProof/>
            <w:webHidden/>
          </w:rPr>
          <w:instrText xml:space="preserve"> PAGEREF _Toc181683885 \h </w:instrText>
        </w:r>
        <w:r>
          <w:rPr>
            <w:noProof/>
            <w:webHidden/>
          </w:rPr>
        </w:r>
        <w:r>
          <w:rPr>
            <w:noProof/>
            <w:webHidden/>
          </w:rPr>
          <w:fldChar w:fldCharType="separate"/>
        </w:r>
        <w:r>
          <w:rPr>
            <w:noProof/>
            <w:webHidden/>
          </w:rPr>
          <w:t>382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6" w:history="1">
        <w:r w:rsidRPr="001B13A4">
          <w:rPr>
            <w:rStyle w:val="Hyperlink"/>
            <w:noProof/>
          </w:rPr>
          <w:t>2.1.850</w:t>
        </w:r>
        <w:r>
          <w:rPr>
            <w:rFonts w:asciiTheme="minorHAnsi" w:eastAsiaTheme="minorEastAsia" w:hAnsiTheme="minorHAnsi" w:cstheme="minorBidi"/>
            <w:noProof/>
            <w:sz w:val="22"/>
            <w:szCs w:val="22"/>
          </w:rPr>
          <w:tab/>
        </w:r>
        <w:r w:rsidRPr="001B13A4">
          <w:rPr>
            <w:rStyle w:val="Hyperlink"/>
            <w:noProof/>
          </w:rPr>
          <w:t>Part 1 Section 18.14.18, value (Value)</w:t>
        </w:r>
        <w:r>
          <w:rPr>
            <w:noProof/>
            <w:webHidden/>
          </w:rPr>
          <w:tab/>
        </w:r>
        <w:r>
          <w:rPr>
            <w:noProof/>
            <w:webHidden/>
          </w:rPr>
          <w:fldChar w:fldCharType="begin"/>
        </w:r>
        <w:r>
          <w:rPr>
            <w:noProof/>
            <w:webHidden/>
          </w:rPr>
          <w:instrText xml:space="preserve"> PAGEREF _Toc181683886 \h </w:instrText>
        </w:r>
        <w:r>
          <w:rPr>
            <w:noProof/>
            <w:webHidden/>
          </w:rPr>
        </w:r>
        <w:r>
          <w:rPr>
            <w:noProof/>
            <w:webHidden/>
          </w:rPr>
          <w:fldChar w:fldCharType="separate"/>
        </w:r>
        <w:r>
          <w:rPr>
            <w:noProof/>
            <w:webHidden/>
          </w:rPr>
          <w:t>382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7" w:history="1">
        <w:r w:rsidRPr="001B13A4">
          <w:rPr>
            <w:rStyle w:val="Hyperlink"/>
            <w:noProof/>
          </w:rPr>
          <w:t>2.1.851</w:t>
        </w:r>
        <w:r>
          <w:rPr>
            <w:rFonts w:asciiTheme="minorHAnsi" w:eastAsiaTheme="minorEastAsia" w:hAnsiTheme="minorHAnsi" w:cstheme="minorBidi"/>
            <w:noProof/>
            <w:sz w:val="22"/>
            <w:szCs w:val="22"/>
          </w:rPr>
          <w:tab/>
        </w:r>
        <w:r w:rsidRPr="001B13A4">
          <w:rPr>
            <w:rStyle w:val="Hyperlink"/>
            <w:noProof/>
          </w:rPr>
          <w:t>Part 1 Section 18.14.19, values (DDE Name Values)</w:t>
        </w:r>
        <w:r>
          <w:rPr>
            <w:noProof/>
            <w:webHidden/>
          </w:rPr>
          <w:tab/>
        </w:r>
        <w:r>
          <w:rPr>
            <w:noProof/>
            <w:webHidden/>
          </w:rPr>
          <w:fldChar w:fldCharType="begin"/>
        </w:r>
        <w:r>
          <w:rPr>
            <w:noProof/>
            <w:webHidden/>
          </w:rPr>
          <w:instrText xml:space="preserve"> PAGEREF _Toc181683887 \h </w:instrText>
        </w:r>
        <w:r>
          <w:rPr>
            <w:noProof/>
            <w:webHidden/>
          </w:rPr>
        </w:r>
        <w:r>
          <w:rPr>
            <w:noProof/>
            <w:webHidden/>
          </w:rPr>
          <w:fldChar w:fldCharType="separate"/>
        </w:r>
        <w:r>
          <w:rPr>
            <w:noProof/>
            <w:webHidden/>
          </w:rPr>
          <w:t>382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8" w:history="1">
        <w:r w:rsidRPr="001B13A4">
          <w:rPr>
            <w:rStyle w:val="Hyperlink"/>
            <w:noProof/>
          </w:rPr>
          <w:t>2.1.852</w:t>
        </w:r>
        <w:r>
          <w:rPr>
            <w:rFonts w:asciiTheme="minorHAnsi" w:eastAsiaTheme="minorEastAsia" w:hAnsiTheme="minorHAnsi" w:cstheme="minorBidi"/>
            <w:noProof/>
            <w:sz w:val="22"/>
            <w:szCs w:val="22"/>
          </w:rPr>
          <w:tab/>
        </w:r>
        <w:r w:rsidRPr="001B13A4">
          <w:rPr>
            <w:rStyle w:val="Hyperlink"/>
            <w:noProof/>
          </w:rPr>
          <w:t>Part 1 Section 18.15.1, main (Main)</w:t>
        </w:r>
        <w:r>
          <w:rPr>
            <w:noProof/>
            <w:webHidden/>
          </w:rPr>
          <w:tab/>
        </w:r>
        <w:r>
          <w:rPr>
            <w:noProof/>
            <w:webHidden/>
          </w:rPr>
          <w:fldChar w:fldCharType="begin"/>
        </w:r>
        <w:r>
          <w:rPr>
            <w:noProof/>
            <w:webHidden/>
          </w:rPr>
          <w:instrText xml:space="preserve"> PAGEREF _Toc181683888 \h </w:instrText>
        </w:r>
        <w:r>
          <w:rPr>
            <w:noProof/>
            <w:webHidden/>
          </w:rPr>
        </w:r>
        <w:r>
          <w:rPr>
            <w:noProof/>
            <w:webHidden/>
          </w:rPr>
          <w:fldChar w:fldCharType="separate"/>
        </w:r>
        <w:r>
          <w:rPr>
            <w:noProof/>
            <w:webHidden/>
          </w:rPr>
          <w:t>382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89" w:history="1">
        <w:r w:rsidRPr="001B13A4">
          <w:rPr>
            <w:rStyle w:val="Hyperlink"/>
            <w:noProof/>
          </w:rPr>
          <w:t>2.1.853</w:t>
        </w:r>
        <w:r>
          <w:rPr>
            <w:rFonts w:asciiTheme="minorHAnsi" w:eastAsiaTheme="minorEastAsia" w:hAnsiTheme="minorHAnsi" w:cstheme="minorBidi"/>
            <w:noProof/>
            <w:sz w:val="22"/>
            <w:szCs w:val="22"/>
          </w:rPr>
          <w:tab/>
        </w:r>
        <w:r w:rsidRPr="001B13A4">
          <w:rPr>
            <w:rStyle w:val="Hyperlink"/>
            <w:noProof/>
          </w:rPr>
          <w:t>Part 1 Section 18.15.2, stp (Strings in Subtopic)</w:t>
        </w:r>
        <w:r>
          <w:rPr>
            <w:noProof/>
            <w:webHidden/>
          </w:rPr>
          <w:tab/>
        </w:r>
        <w:r>
          <w:rPr>
            <w:noProof/>
            <w:webHidden/>
          </w:rPr>
          <w:fldChar w:fldCharType="begin"/>
        </w:r>
        <w:r>
          <w:rPr>
            <w:noProof/>
            <w:webHidden/>
          </w:rPr>
          <w:instrText xml:space="preserve"> PAGEREF _Toc181683889 \h </w:instrText>
        </w:r>
        <w:r>
          <w:rPr>
            <w:noProof/>
            <w:webHidden/>
          </w:rPr>
        </w:r>
        <w:r>
          <w:rPr>
            <w:noProof/>
            <w:webHidden/>
          </w:rPr>
          <w:fldChar w:fldCharType="separate"/>
        </w:r>
        <w:r>
          <w:rPr>
            <w:noProof/>
            <w:webHidden/>
          </w:rPr>
          <w:t>382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0" w:history="1">
        <w:r w:rsidRPr="001B13A4">
          <w:rPr>
            <w:rStyle w:val="Hyperlink"/>
            <w:noProof/>
          </w:rPr>
          <w:t>2.1.854</w:t>
        </w:r>
        <w:r>
          <w:rPr>
            <w:rFonts w:asciiTheme="minorHAnsi" w:eastAsiaTheme="minorEastAsia" w:hAnsiTheme="minorHAnsi" w:cstheme="minorBidi"/>
            <w:noProof/>
            <w:sz w:val="22"/>
            <w:szCs w:val="22"/>
          </w:rPr>
          <w:tab/>
        </w:r>
        <w:r w:rsidRPr="001B13A4">
          <w:rPr>
            <w:rStyle w:val="Hyperlink"/>
            <w:noProof/>
          </w:rPr>
          <w:t>Part 1 Section 18.15.3, tp (Topic)</w:t>
        </w:r>
        <w:r>
          <w:rPr>
            <w:noProof/>
            <w:webHidden/>
          </w:rPr>
          <w:tab/>
        </w:r>
        <w:r>
          <w:rPr>
            <w:noProof/>
            <w:webHidden/>
          </w:rPr>
          <w:fldChar w:fldCharType="begin"/>
        </w:r>
        <w:r>
          <w:rPr>
            <w:noProof/>
            <w:webHidden/>
          </w:rPr>
          <w:instrText xml:space="preserve"> PAGEREF _Toc181683890 \h </w:instrText>
        </w:r>
        <w:r>
          <w:rPr>
            <w:noProof/>
            <w:webHidden/>
          </w:rPr>
        </w:r>
        <w:r>
          <w:rPr>
            <w:noProof/>
            <w:webHidden/>
          </w:rPr>
          <w:fldChar w:fldCharType="separate"/>
        </w:r>
        <w:r>
          <w:rPr>
            <w:noProof/>
            <w:webHidden/>
          </w:rPr>
          <w:t>383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1" w:history="1">
        <w:r w:rsidRPr="001B13A4">
          <w:rPr>
            <w:rStyle w:val="Hyperlink"/>
            <w:noProof/>
          </w:rPr>
          <w:t>2.1.855</w:t>
        </w:r>
        <w:r>
          <w:rPr>
            <w:rFonts w:asciiTheme="minorHAnsi" w:eastAsiaTheme="minorEastAsia" w:hAnsiTheme="minorHAnsi" w:cstheme="minorBidi"/>
            <w:noProof/>
            <w:sz w:val="22"/>
            <w:szCs w:val="22"/>
          </w:rPr>
          <w:tab/>
        </w:r>
        <w:r w:rsidRPr="001B13A4">
          <w:rPr>
            <w:rStyle w:val="Hyperlink"/>
            <w:noProof/>
          </w:rPr>
          <w:t>Part 1 Section 18.15.4, tr (References)</w:t>
        </w:r>
        <w:r>
          <w:rPr>
            <w:noProof/>
            <w:webHidden/>
          </w:rPr>
          <w:tab/>
        </w:r>
        <w:r>
          <w:rPr>
            <w:noProof/>
            <w:webHidden/>
          </w:rPr>
          <w:fldChar w:fldCharType="begin"/>
        </w:r>
        <w:r>
          <w:rPr>
            <w:noProof/>
            <w:webHidden/>
          </w:rPr>
          <w:instrText xml:space="preserve"> PAGEREF _Toc181683891 \h </w:instrText>
        </w:r>
        <w:r>
          <w:rPr>
            <w:noProof/>
            <w:webHidden/>
          </w:rPr>
        </w:r>
        <w:r>
          <w:rPr>
            <w:noProof/>
            <w:webHidden/>
          </w:rPr>
          <w:fldChar w:fldCharType="separate"/>
        </w:r>
        <w:r>
          <w:rPr>
            <w:noProof/>
            <w:webHidden/>
          </w:rPr>
          <w:t>383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2" w:history="1">
        <w:r w:rsidRPr="001B13A4">
          <w:rPr>
            <w:rStyle w:val="Hyperlink"/>
            <w:noProof/>
          </w:rPr>
          <w:t>2.1.856</w:t>
        </w:r>
        <w:r>
          <w:rPr>
            <w:rFonts w:asciiTheme="minorHAnsi" w:eastAsiaTheme="minorEastAsia" w:hAnsiTheme="minorHAnsi" w:cstheme="minorBidi"/>
            <w:noProof/>
            <w:sz w:val="22"/>
            <w:szCs w:val="22"/>
          </w:rPr>
          <w:tab/>
        </w:r>
        <w:r w:rsidRPr="001B13A4">
          <w:rPr>
            <w:rStyle w:val="Hyperlink"/>
            <w:noProof/>
          </w:rPr>
          <w:t>Part 1 Section 18.16.1, DataBinding (XML Mapping)</w:t>
        </w:r>
        <w:r>
          <w:rPr>
            <w:noProof/>
            <w:webHidden/>
          </w:rPr>
          <w:tab/>
        </w:r>
        <w:r>
          <w:rPr>
            <w:noProof/>
            <w:webHidden/>
          </w:rPr>
          <w:fldChar w:fldCharType="begin"/>
        </w:r>
        <w:r>
          <w:rPr>
            <w:noProof/>
            <w:webHidden/>
          </w:rPr>
          <w:instrText xml:space="preserve"> PAGEREF _Toc181683892 \h </w:instrText>
        </w:r>
        <w:r>
          <w:rPr>
            <w:noProof/>
            <w:webHidden/>
          </w:rPr>
        </w:r>
        <w:r>
          <w:rPr>
            <w:noProof/>
            <w:webHidden/>
          </w:rPr>
          <w:fldChar w:fldCharType="separate"/>
        </w:r>
        <w:r>
          <w:rPr>
            <w:noProof/>
            <w:webHidden/>
          </w:rPr>
          <w:t>383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3" w:history="1">
        <w:r w:rsidRPr="001B13A4">
          <w:rPr>
            <w:rStyle w:val="Hyperlink"/>
            <w:noProof/>
          </w:rPr>
          <w:t>2.1.857</w:t>
        </w:r>
        <w:r>
          <w:rPr>
            <w:rFonts w:asciiTheme="minorHAnsi" w:eastAsiaTheme="minorEastAsia" w:hAnsiTheme="minorHAnsi" w:cstheme="minorBidi"/>
            <w:noProof/>
            <w:sz w:val="22"/>
            <w:szCs w:val="22"/>
          </w:rPr>
          <w:tab/>
        </w:r>
        <w:r w:rsidRPr="001B13A4">
          <w:rPr>
            <w:rStyle w:val="Hyperlink"/>
            <w:noProof/>
          </w:rPr>
          <w:t>Part 1 Section 18.16.2, Map (XML Mapping Properties)</w:t>
        </w:r>
        <w:r>
          <w:rPr>
            <w:noProof/>
            <w:webHidden/>
          </w:rPr>
          <w:tab/>
        </w:r>
        <w:r>
          <w:rPr>
            <w:noProof/>
            <w:webHidden/>
          </w:rPr>
          <w:fldChar w:fldCharType="begin"/>
        </w:r>
        <w:r>
          <w:rPr>
            <w:noProof/>
            <w:webHidden/>
          </w:rPr>
          <w:instrText xml:space="preserve"> PAGEREF _Toc181683893 \h </w:instrText>
        </w:r>
        <w:r>
          <w:rPr>
            <w:noProof/>
            <w:webHidden/>
          </w:rPr>
        </w:r>
        <w:r>
          <w:rPr>
            <w:noProof/>
            <w:webHidden/>
          </w:rPr>
          <w:fldChar w:fldCharType="separate"/>
        </w:r>
        <w:r>
          <w:rPr>
            <w:noProof/>
            <w:webHidden/>
          </w:rPr>
          <w:t>384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4" w:history="1">
        <w:r w:rsidRPr="001B13A4">
          <w:rPr>
            <w:rStyle w:val="Hyperlink"/>
            <w:noProof/>
          </w:rPr>
          <w:t>2.1.858</w:t>
        </w:r>
        <w:r>
          <w:rPr>
            <w:rFonts w:asciiTheme="minorHAnsi" w:eastAsiaTheme="minorEastAsia" w:hAnsiTheme="minorHAnsi" w:cstheme="minorBidi"/>
            <w:noProof/>
            <w:sz w:val="22"/>
            <w:szCs w:val="22"/>
          </w:rPr>
          <w:tab/>
        </w:r>
        <w:r w:rsidRPr="001B13A4">
          <w:rPr>
            <w:rStyle w:val="Hyperlink"/>
            <w:noProof/>
          </w:rPr>
          <w:t>Part 1 Section 18.16.4, Schema (XML Schema)</w:t>
        </w:r>
        <w:r>
          <w:rPr>
            <w:noProof/>
            <w:webHidden/>
          </w:rPr>
          <w:tab/>
        </w:r>
        <w:r>
          <w:rPr>
            <w:noProof/>
            <w:webHidden/>
          </w:rPr>
          <w:fldChar w:fldCharType="begin"/>
        </w:r>
        <w:r>
          <w:rPr>
            <w:noProof/>
            <w:webHidden/>
          </w:rPr>
          <w:instrText xml:space="preserve"> PAGEREF _Toc181683894 \h </w:instrText>
        </w:r>
        <w:r>
          <w:rPr>
            <w:noProof/>
            <w:webHidden/>
          </w:rPr>
        </w:r>
        <w:r>
          <w:rPr>
            <w:noProof/>
            <w:webHidden/>
          </w:rPr>
          <w:fldChar w:fldCharType="separate"/>
        </w:r>
        <w:r>
          <w:rPr>
            <w:noProof/>
            <w:webHidden/>
          </w:rPr>
          <w:t>384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5" w:history="1">
        <w:r w:rsidRPr="001B13A4">
          <w:rPr>
            <w:rStyle w:val="Hyperlink"/>
            <w:noProof/>
          </w:rPr>
          <w:t>2.1.859</w:t>
        </w:r>
        <w:r>
          <w:rPr>
            <w:rFonts w:asciiTheme="minorHAnsi" w:eastAsiaTheme="minorEastAsia" w:hAnsiTheme="minorHAnsi" w:cstheme="minorBidi"/>
            <w:noProof/>
            <w:sz w:val="22"/>
            <w:szCs w:val="22"/>
          </w:rPr>
          <w:tab/>
        </w:r>
        <w:r w:rsidRPr="001B13A4">
          <w:rPr>
            <w:rStyle w:val="Hyperlink"/>
            <w:noProof/>
          </w:rPr>
          <w:t>Part 1 Section 18.17, Formulas</w:t>
        </w:r>
        <w:r>
          <w:rPr>
            <w:noProof/>
            <w:webHidden/>
          </w:rPr>
          <w:tab/>
        </w:r>
        <w:r>
          <w:rPr>
            <w:noProof/>
            <w:webHidden/>
          </w:rPr>
          <w:fldChar w:fldCharType="begin"/>
        </w:r>
        <w:r>
          <w:rPr>
            <w:noProof/>
            <w:webHidden/>
          </w:rPr>
          <w:instrText xml:space="preserve"> PAGEREF _Toc181683895 \h </w:instrText>
        </w:r>
        <w:r>
          <w:rPr>
            <w:noProof/>
            <w:webHidden/>
          </w:rPr>
        </w:r>
        <w:r>
          <w:rPr>
            <w:noProof/>
            <w:webHidden/>
          </w:rPr>
          <w:fldChar w:fldCharType="separate"/>
        </w:r>
        <w:r>
          <w:rPr>
            <w:noProof/>
            <w:webHidden/>
          </w:rPr>
          <w:t>385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6" w:history="1">
        <w:r w:rsidRPr="001B13A4">
          <w:rPr>
            <w:rStyle w:val="Hyperlink"/>
            <w:noProof/>
          </w:rPr>
          <w:t>2.1.860</w:t>
        </w:r>
        <w:r>
          <w:rPr>
            <w:rFonts w:asciiTheme="minorHAnsi" w:eastAsiaTheme="minorEastAsia" w:hAnsiTheme="minorHAnsi" w:cstheme="minorBidi"/>
            <w:noProof/>
            <w:sz w:val="22"/>
            <w:szCs w:val="22"/>
          </w:rPr>
          <w:tab/>
        </w:r>
        <w:r w:rsidRPr="001B13A4">
          <w:rPr>
            <w:rStyle w:val="Hyperlink"/>
            <w:noProof/>
          </w:rPr>
          <w:t>Part 1 Section 18.17.2, Syntax</w:t>
        </w:r>
        <w:r>
          <w:rPr>
            <w:noProof/>
            <w:webHidden/>
          </w:rPr>
          <w:tab/>
        </w:r>
        <w:r>
          <w:rPr>
            <w:noProof/>
            <w:webHidden/>
          </w:rPr>
          <w:fldChar w:fldCharType="begin"/>
        </w:r>
        <w:r>
          <w:rPr>
            <w:noProof/>
            <w:webHidden/>
          </w:rPr>
          <w:instrText xml:space="preserve"> PAGEREF _Toc181683896 \h </w:instrText>
        </w:r>
        <w:r>
          <w:rPr>
            <w:noProof/>
            <w:webHidden/>
          </w:rPr>
        </w:r>
        <w:r>
          <w:rPr>
            <w:noProof/>
            <w:webHidden/>
          </w:rPr>
          <w:fldChar w:fldCharType="separate"/>
        </w:r>
        <w:r>
          <w:rPr>
            <w:noProof/>
            <w:webHidden/>
          </w:rPr>
          <w:t>386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7" w:history="1">
        <w:r w:rsidRPr="001B13A4">
          <w:rPr>
            <w:rStyle w:val="Hyperlink"/>
            <w:noProof/>
          </w:rPr>
          <w:t>2.1.861</w:t>
        </w:r>
        <w:r>
          <w:rPr>
            <w:rFonts w:asciiTheme="minorHAnsi" w:eastAsiaTheme="minorEastAsia" w:hAnsiTheme="minorHAnsi" w:cstheme="minorBidi"/>
            <w:noProof/>
            <w:sz w:val="22"/>
            <w:szCs w:val="22"/>
          </w:rPr>
          <w:tab/>
        </w:r>
        <w:r w:rsidRPr="001B13A4">
          <w:rPr>
            <w:rStyle w:val="Hyperlink"/>
            <w:noProof/>
          </w:rPr>
          <w:t>Part 1 Section 18.17.2.1, Constants</w:t>
        </w:r>
        <w:r>
          <w:rPr>
            <w:noProof/>
            <w:webHidden/>
          </w:rPr>
          <w:tab/>
        </w:r>
        <w:r>
          <w:rPr>
            <w:noProof/>
            <w:webHidden/>
          </w:rPr>
          <w:fldChar w:fldCharType="begin"/>
        </w:r>
        <w:r>
          <w:rPr>
            <w:noProof/>
            <w:webHidden/>
          </w:rPr>
          <w:instrText xml:space="preserve"> PAGEREF _Toc181683897 \h </w:instrText>
        </w:r>
        <w:r>
          <w:rPr>
            <w:noProof/>
            <w:webHidden/>
          </w:rPr>
        </w:r>
        <w:r>
          <w:rPr>
            <w:noProof/>
            <w:webHidden/>
          </w:rPr>
          <w:fldChar w:fldCharType="separate"/>
        </w:r>
        <w:r>
          <w:rPr>
            <w:noProof/>
            <w:webHidden/>
          </w:rPr>
          <w:t>390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8" w:history="1">
        <w:r w:rsidRPr="001B13A4">
          <w:rPr>
            <w:rStyle w:val="Hyperlink"/>
            <w:noProof/>
          </w:rPr>
          <w:t>2.1.862</w:t>
        </w:r>
        <w:r>
          <w:rPr>
            <w:rFonts w:asciiTheme="minorHAnsi" w:eastAsiaTheme="minorEastAsia" w:hAnsiTheme="minorHAnsi" w:cstheme="minorBidi"/>
            <w:noProof/>
            <w:sz w:val="22"/>
            <w:szCs w:val="22"/>
          </w:rPr>
          <w:tab/>
        </w:r>
        <w:r w:rsidRPr="001B13A4">
          <w:rPr>
            <w:rStyle w:val="Hyperlink"/>
            <w:noProof/>
          </w:rPr>
          <w:t>Part 1 Section 18.17.2.2, Operators</w:t>
        </w:r>
        <w:r>
          <w:rPr>
            <w:noProof/>
            <w:webHidden/>
          </w:rPr>
          <w:tab/>
        </w:r>
        <w:r>
          <w:rPr>
            <w:noProof/>
            <w:webHidden/>
          </w:rPr>
          <w:fldChar w:fldCharType="begin"/>
        </w:r>
        <w:r>
          <w:rPr>
            <w:noProof/>
            <w:webHidden/>
          </w:rPr>
          <w:instrText xml:space="preserve"> PAGEREF _Toc181683898 \h </w:instrText>
        </w:r>
        <w:r>
          <w:rPr>
            <w:noProof/>
            <w:webHidden/>
          </w:rPr>
        </w:r>
        <w:r>
          <w:rPr>
            <w:noProof/>
            <w:webHidden/>
          </w:rPr>
          <w:fldChar w:fldCharType="separate"/>
        </w:r>
        <w:r>
          <w:rPr>
            <w:noProof/>
            <w:webHidden/>
          </w:rPr>
          <w:t>391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899" w:history="1">
        <w:r w:rsidRPr="001B13A4">
          <w:rPr>
            <w:rStyle w:val="Hyperlink"/>
            <w:noProof/>
          </w:rPr>
          <w:t>2.1.863</w:t>
        </w:r>
        <w:r>
          <w:rPr>
            <w:rFonts w:asciiTheme="minorHAnsi" w:eastAsiaTheme="minorEastAsia" w:hAnsiTheme="minorHAnsi" w:cstheme="minorBidi"/>
            <w:noProof/>
            <w:sz w:val="22"/>
            <w:szCs w:val="22"/>
          </w:rPr>
          <w:tab/>
        </w:r>
        <w:r w:rsidRPr="001B13A4">
          <w:rPr>
            <w:rStyle w:val="Hyperlink"/>
            <w:noProof/>
          </w:rPr>
          <w:t>Part 1 Section 18.17.2.3, Cell References</w:t>
        </w:r>
        <w:r>
          <w:rPr>
            <w:noProof/>
            <w:webHidden/>
          </w:rPr>
          <w:tab/>
        </w:r>
        <w:r>
          <w:rPr>
            <w:noProof/>
            <w:webHidden/>
          </w:rPr>
          <w:fldChar w:fldCharType="begin"/>
        </w:r>
        <w:r>
          <w:rPr>
            <w:noProof/>
            <w:webHidden/>
          </w:rPr>
          <w:instrText xml:space="preserve"> PAGEREF _Toc181683899 \h </w:instrText>
        </w:r>
        <w:r>
          <w:rPr>
            <w:noProof/>
            <w:webHidden/>
          </w:rPr>
        </w:r>
        <w:r>
          <w:rPr>
            <w:noProof/>
            <w:webHidden/>
          </w:rPr>
          <w:fldChar w:fldCharType="separate"/>
        </w:r>
        <w:r>
          <w:rPr>
            <w:noProof/>
            <w:webHidden/>
          </w:rPr>
          <w:t>392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0" w:history="1">
        <w:r w:rsidRPr="001B13A4">
          <w:rPr>
            <w:rStyle w:val="Hyperlink"/>
            <w:noProof/>
          </w:rPr>
          <w:t>2.1.864</w:t>
        </w:r>
        <w:r>
          <w:rPr>
            <w:rFonts w:asciiTheme="minorHAnsi" w:eastAsiaTheme="minorEastAsia" w:hAnsiTheme="minorHAnsi" w:cstheme="minorBidi"/>
            <w:noProof/>
            <w:sz w:val="22"/>
            <w:szCs w:val="22"/>
          </w:rPr>
          <w:tab/>
        </w:r>
        <w:r w:rsidRPr="001B13A4">
          <w:rPr>
            <w:rStyle w:val="Hyperlink"/>
            <w:noProof/>
          </w:rPr>
          <w:t>Part 1 Section 18.17.2.3.1, A1-Style Cell References</w:t>
        </w:r>
        <w:r>
          <w:rPr>
            <w:noProof/>
            <w:webHidden/>
          </w:rPr>
          <w:tab/>
        </w:r>
        <w:r>
          <w:rPr>
            <w:noProof/>
            <w:webHidden/>
          </w:rPr>
          <w:fldChar w:fldCharType="begin"/>
        </w:r>
        <w:r>
          <w:rPr>
            <w:noProof/>
            <w:webHidden/>
          </w:rPr>
          <w:instrText xml:space="preserve"> PAGEREF _Toc181683900 \h </w:instrText>
        </w:r>
        <w:r>
          <w:rPr>
            <w:noProof/>
            <w:webHidden/>
          </w:rPr>
        </w:r>
        <w:r>
          <w:rPr>
            <w:noProof/>
            <w:webHidden/>
          </w:rPr>
          <w:fldChar w:fldCharType="separate"/>
        </w:r>
        <w:r>
          <w:rPr>
            <w:noProof/>
            <w:webHidden/>
          </w:rPr>
          <w:t>393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1" w:history="1">
        <w:r w:rsidRPr="001B13A4">
          <w:rPr>
            <w:rStyle w:val="Hyperlink"/>
            <w:noProof/>
          </w:rPr>
          <w:t>2.1.865</w:t>
        </w:r>
        <w:r>
          <w:rPr>
            <w:rFonts w:asciiTheme="minorHAnsi" w:eastAsiaTheme="minorEastAsia" w:hAnsiTheme="minorHAnsi" w:cstheme="minorBidi"/>
            <w:noProof/>
            <w:sz w:val="22"/>
            <w:szCs w:val="22"/>
          </w:rPr>
          <w:tab/>
        </w:r>
        <w:r w:rsidRPr="001B13A4">
          <w:rPr>
            <w:rStyle w:val="Hyperlink"/>
            <w:noProof/>
          </w:rPr>
          <w:t>Part 1 Section 18.17.2.3.2, R1C1-Style Cell Reference</w:t>
        </w:r>
        <w:r>
          <w:rPr>
            <w:noProof/>
            <w:webHidden/>
          </w:rPr>
          <w:tab/>
        </w:r>
        <w:r>
          <w:rPr>
            <w:noProof/>
            <w:webHidden/>
          </w:rPr>
          <w:fldChar w:fldCharType="begin"/>
        </w:r>
        <w:r>
          <w:rPr>
            <w:noProof/>
            <w:webHidden/>
          </w:rPr>
          <w:instrText xml:space="preserve"> PAGEREF _Toc181683901 \h </w:instrText>
        </w:r>
        <w:r>
          <w:rPr>
            <w:noProof/>
            <w:webHidden/>
          </w:rPr>
        </w:r>
        <w:r>
          <w:rPr>
            <w:noProof/>
            <w:webHidden/>
          </w:rPr>
          <w:fldChar w:fldCharType="separate"/>
        </w:r>
        <w:r>
          <w:rPr>
            <w:noProof/>
            <w:webHidden/>
          </w:rPr>
          <w:t>393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2" w:history="1">
        <w:r w:rsidRPr="001B13A4">
          <w:rPr>
            <w:rStyle w:val="Hyperlink"/>
            <w:noProof/>
          </w:rPr>
          <w:t>2.1.866</w:t>
        </w:r>
        <w:r>
          <w:rPr>
            <w:rFonts w:asciiTheme="minorHAnsi" w:eastAsiaTheme="minorEastAsia" w:hAnsiTheme="minorHAnsi" w:cstheme="minorBidi"/>
            <w:noProof/>
            <w:sz w:val="22"/>
            <w:szCs w:val="22"/>
          </w:rPr>
          <w:tab/>
        </w:r>
        <w:r w:rsidRPr="001B13A4">
          <w:rPr>
            <w:rStyle w:val="Hyperlink"/>
            <w:noProof/>
          </w:rPr>
          <w:t>Part 1 Section 18.17.2.4, Functions</w:t>
        </w:r>
        <w:r>
          <w:rPr>
            <w:noProof/>
            <w:webHidden/>
          </w:rPr>
          <w:tab/>
        </w:r>
        <w:r>
          <w:rPr>
            <w:noProof/>
            <w:webHidden/>
          </w:rPr>
          <w:fldChar w:fldCharType="begin"/>
        </w:r>
        <w:r>
          <w:rPr>
            <w:noProof/>
            <w:webHidden/>
          </w:rPr>
          <w:instrText xml:space="preserve"> PAGEREF _Toc181683902 \h </w:instrText>
        </w:r>
        <w:r>
          <w:rPr>
            <w:noProof/>
            <w:webHidden/>
          </w:rPr>
        </w:r>
        <w:r>
          <w:rPr>
            <w:noProof/>
            <w:webHidden/>
          </w:rPr>
          <w:fldChar w:fldCharType="separate"/>
        </w:r>
        <w:r>
          <w:rPr>
            <w:noProof/>
            <w:webHidden/>
          </w:rPr>
          <w:t>394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3" w:history="1">
        <w:r w:rsidRPr="001B13A4">
          <w:rPr>
            <w:rStyle w:val="Hyperlink"/>
            <w:noProof/>
          </w:rPr>
          <w:t>2.1.867</w:t>
        </w:r>
        <w:r>
          <w:rPr>
            <w:rFonts w:asciiTheme="minorHAnsi" w:eastAsiaTheme="minorEastAsia" w:hAnsiTheme="minorHAnsi" w:cstheme="minorBidi"/>
            <w:noProof/>
            <w:sz w:val="22"/>
            <w:szCs w:val="22"/>
          </w:rPr>
          <w:tab/>
        </w:r>
        <w:r w:rsidRPr="001B13A4">
          <w:rPr>
            <w:rStyle w:val="Hyperlink"/>
            <w:noProof/>
          </w:rPr>
          <w:t>Part 1 Section 18.17.2.5, Names</w:t>
        </w:r>
        <w:r>
          <w:rPr>
            <w:noProof/>
            <w:webHidden/>
          </w:rPr>
          <w:tab/>
        </w:r>
        <w:r>
          <w:rPr>
            <w:noProof/>
            <w:webHidden/>
          </w:rPr>
          <w:fldChar w:fldCharType="begin"/>
        </w:r>
        <w:r>
          <w:rPr>
            <w:noProof/>
            <w:webHidden/>
          </w:rPr>
          <w:instrText xml:space="preserve"> PAGEREF _Toc181683903 \h </w:instrText>
        </w:r>
        <w:r>
          <w:rPr>
            <w:noProof/>
            <w:webHidden/>
          </w:rPr>
        </w:r>
        <w:r>
          <w:rPr>
            <w:noProof/>
            <w:webHidden/>
          </w:rPr>
          <w:fldChar w:fldCharType="separate"/>
        </w:r>
        <w:r>
          <w:rPr>
            <w:noProof/>
            <w:webHidden/>
          </w:rPr>
          <w:t>394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4" w:history="1">
        <w:r w:rsidRPr="001B13A4">
          <w:rPr>
            <w:rStyle w:val="Hyperlink"/>
            <w:noProof/>
          </w:rPr>
          <w:t>2.1.868</w:t>
        </w:r>
        <w:r>
          <w:rPr>
            <w:rFonts w:asciiTheme="minorHAnsi" w:eastAsiaTheme="minorEastAsia" w:hAnsiTheme="minorHAnsi" w:cstheme="minorBidi"/>
            <w:noProof/>
            <w:sz w:val="22"/>
            <w:szCs w:val="22"/>
          </w:rPr>
          <w:tab/>
        </w:r>
        <w:r w:rsidRPr="001B13A4">
          <w:rPr>
            <w:rStyle w:val="Hyperlink"/>
            <w:noProof/>
          </w:rPr>
          <w:t>Part 1 Section 18.17.2.6, Types and Values</w:t>
        </w:r>
        <w:r>
          <w:rPr>
            <w:noProof/>
            <w:webHidden/>
          </w:rPr>
          <w:tab/>
        </w:r>
        <w:r>
          <w:rPr>
            <w:noProof/>
            <w:webHidden/>
          </w:rPr>
          <w:fldChar w:fldCharType="begin"/>
        </w:r>
        <w:r>
          <w:rPr>
            <w:noProof/>
            <w:webHidden/>
          </w:rPr>
          <w:instrText xml:space="preserve"> PAGEREF _Toc181683904 \h </w:instrText>
        </w:r>
        <w:r>
          <w:rPr>
            <w:noProof/>
            <w:webHidden/>
          </w:rPr>
        </w:r>
        <w:r>
          <w:rPr>
            <w:noProof/>
            <w:webHidden/>
          </w:rPr>
          <w:fldChar w:fldCharType="separate"/>
        </w:r>
        <w:r>
          <w:rPr>
            <w:noProof/>
            <w:webHidden/>
          </w:rPr>
          <w:t>395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5" w:history="1">
        <w:r w:rsidRPr="001B13A4">
          <w:rPr>
            <w:rStyle w:val="Hyperlink"/>
            <w:noProof/>
          </w:rPr>
          <w:t>2.1.869</w:t>
        </w:r>
        <w:r>
          <w:rPr>
            <w:rFonts w:asciiTheme="minorHAnsi" w:eastAsiaTheme="minorEastAsia" w:hAnsiTheme="minorHAnsi" w:cstheme="minorBidi"/>
            <w:noProof/>
            <w:sz w:val="22"/>
            <w:szCs w:val="22"/>
          </w:rPr>
          <w:tab/>
        </w:r>
        <w:r w:rsidRPr="001B13A4">
          <w:rPr>
            <w:rStyle w:val="Hyperlink"/>
            <w:noProof/>
          </w:rPr>
          <w:t>Part 1 Section 18.17.3, Error values</w:t>
        </w:r>
        <w:r>
          <w:rPr>
            <w:noProof/>
            <w:webHidden/>
          </w:rPr>
          <w:tab/>
        </w:r>
        <w:r>
          <w:rPr>
            <w:noProof/>
            <w:webHidden/>
          </w:rPr>
          <w:fldChar w:fldCharType="begin"/>
        </w:r>
        <w:r>
          <w:rPr>
            <w:noProof/>
            <w:webHidden/>
          </w:rPr>
          <w:instrText xml:space="preserve"> PAGEREF _Toc181683905 \h </w:instrText>
        </w:r>
        <w:r>
          <w:rPr>
            <w:noProof/>
            <w:webHidden/>
          </w:rPr>
        </w:r>
        <w:r>
          <w:rPr>
            <w:noProof/>
            <w:webHidden/>
          </w:rPr>
          <w:fldChar w:fldCharType="separate"/>
        </w:r>
        <w:r>
          <w:rPr>
            <w:noProof/>
            <w:webHidden/>
          </w:rPr>
          <w:t>395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6" w:history="1">
        <w:r w:rsidRPr="001B13A4">
          <w:rPr>
            <w:rStyle w:val="Hyperlink"/>
            <w:noProof/>
          </w:rPr>
          <w:t>2.1.870</w:t>
        </w:r>
        <w:r>
          <w:rPr>
            <w:rFonts w:asciiTheme="minorHAnsi" w:eastAsiaTheme="minorEastAsia" w:hAnsiTheme="minorHAnsi" w:cstheme="minorBidi"/>
            <w:noProof/>
            <w:sz w:val="22"/>
            <w:szCs w:val="22"/>
          </w:rPr>
          <w:tab/>
        </w:r>
        <w:r w:rsidRPr="001B13A4">
          <w:rPr>
            <w:rStyle w:val="Hyperlink"/>
            <w:noProof/>
          </w:rPr>
          <w:t>Part 1 Section 18.17.5.2, Precision</w:t>
        </w:r>
        <w:r>
          <w:rPr>
            <w:noProof/>
            <w:webHidden/>
          </w:rPr>
          <w:tab/>
        </w:r>
        <w:r>
          <w:rPr>
            <w:noProof/>
            <w:webHidden/>
          </w:rPr>
          <w:fldChar w:fldCharType="begin"/>
        </w:r>
        <w:r>
          <w:rPr>
            <w:noProof/>
            <w:webHidden/>
          </w:rPr>
          <w:instrText xml:space="preserve"> PAGEREF _Toc181683906 \h </w:instrText>
        </w:r>
        <w:r>
          <w:rPr>
            <w:noProof/>
            <w:webHidden/>
          </w:rPr>
        </w:r>
        <w:r>
          <w:rPr>
            <w:noProof/>
            <w:webHidden/>
          </w:rPr>
          <w:fldChar w:fldCharType="separate"/>
        </w:r>
        <w:r>
          <w:rPr>
            <w:noProof/>
            <w:webHidden/>
          </w:rPr>
          <w:t>395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7" w:history="1">
        <w:r w:rsidRPr="001B13A4">
          <w:rPr>
            <w:rStyle w:val="Hyperlink"/>
            <w:noProof/>
          </w:rPr>
          <w:t>2.1.871</w:t>
        </w:r>
        <w:r>
          <w:rPr>
            <w:rFonts w:asciiTheme="minorHAnsi" w:eastAsiaTheme="minorEastAsia" w:hAnsiTheme="minorHAnsi" w:cstheme="minorBidi"/>
            <w:noProof/>
            <w:sz w:val="22"/>
            <w:szCs w:val="22"/>
          </w:rPr>
          <w:tab/>
        </w:r>
        <w:r w:rsidRPr="001B13A4">
          <w:rPr>
            <w:rStyle w:val="Hyperlink"/>
            <w:noProof/>
          </w:rPr>
          <w:t>Part 1 Section 18.17.5.4, Interpretation</w:t>
        </w:r>
        <w:r>
          <w:rPr>
            <w:noProof/>
            <w:webHidden/>
          </w:rPr>
          <w:tab/>
        </w:r>
        <w:r>
          <w:rPr>
            <w:noProof/>
            <w:webHidden/>
          </w:rPr>
          <w:fldChar w:fldCharType="begin"/>
        </w:r>
        <w:r>
          <w:rPr>
            <w:noProof/>
            <w:webHidden/>
          </w:rPr>
          <w:instrText xml:space="preserve"> PAGEREF _Toc181683907 \h </w:instrText>
        </w:r>
        <w:r>
          <w:rPr>
            <w:noProof/>
            <w:webHidden/>
          </w:rPr>
        </w:r>
        <w:r>
          <w:rPr>
            <w:noProof/>
            <w:webHidden/>
          </w:rPr>
          <w:fldChar w:fldCharType="separate"/>
        </w:r>
        <w:r>
          <w:rPr>
            <w:noProof/>
            <w:webHidden/>
          </w:rPr>
          <w:t>395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8" w:history="1">
        <w:r w:rsidRPr="001B13A4">
          <w:rPr>
            <w:rStyle w:val="Hyperlink"/>
            <w:noProof/>
          </w:rPr>
          <w:t>2.1.872</w:t>
        </w:r>
        <w:r>
          <w:rPr>
            <w:rFonts w:asciiTheme="minorHAnsi" w:eastAsiaTheme="minorEastAsia" w:hAnsiTheme="minorHAnsi" w:cstheme="minorBidi"/>
            <w:noProof/>
            <w:sz w:val="22"/>
            <w:szCs w:val="22"/>
          </w:rPr>
          <w:tab/>
        </w:r>
        <w:r w:rsidRPr="001B13A4">
          <w:rPr>
            <w:rStyle w:val="Hyperlink"/>
            <w:noProof/>
          </w:rPr>
          <w:t>Part 1 Section 18.17.6.3, Array Formulas</w:t>
        </w:r>
        <w:r>
          <w:rPr>
            <w:noProof/>
            <w:webHidden/>
          </w:rPr>
          <w:tab/>
        </w:r>
        <w:r>
          <w:rPr>
            <w:noProof/>
            <w:webHidden/>
          </w:rPr>
          <w:fldChar w:fldCharType="begin"/>
        </w:r>
        <w:r>
          <w:rPr>
            <w:noProof/>
            <w:webHidden/>
          </w:rPr>
          <w:instrText xml:space="preserve"> PAGEREF _Toc181683908 \h </w:instrText>
        </w:r>
        <w:r>
          <w:rPr>
            <w:noProof/>
            <w:webHidden/>
          </w:rPr>
        </w:r>
        <w:r>
          <w:rPr>
            <w:noProof/>
            <w:webHidden/>
          </w:rPr>
          <w:fldChar w:fldCharType="separate"/>
        </w:r>
        <w:r>
          <w:rPr>
            <w:noProof/>
            <w:webHidden/>
          </w:rPr>
          <w:t>396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09" w:history="1">
        <w:r w:rsidRPr="001B13A4">
          <w:rPr>
            <w:rStyle w:val="Hyperlink"/>
            <w:noProof/>
          </w:rPr>
          <w:t>2.1.873</w:t>
        </w:r>
        <w:r>
          <w:rPr>
            <w:rFonts w:asciiTheme="minorHAnsi" w:eastAsiaTheme="minorEastAsia" w:hAnsiTheme="minorHAnsi" w:cstheme="minorBidi"/>
            <w:noProof/>
            <w:sz w:val="22"/>
            <w:szCs w:val="22"/>
          </w:rPr>
          <w:tab/>
        </w:r>
        <w:r w:rsidRPr="001B13A4">
          <w:rPr>
            <w:rStyle w:val="Hyperlink"/>
            <w:noProof/>
          </w:rPr>
          <w:t>Part 1 Section 18.17.6.5, Name Representation</w:t>
        </w:r>
        <w:r>
          <w:rPr>
            <w:noProof/>
            <w:webHidden/>
          </w:rPr>
          <w:tab/>
        </w:r>
        <w:r>
          <w:rPr>
            <w:noProof/>
            <w:webHidden/>
          </w:rPr>
          <w:fldChar w:fldCharType="begin"/>
        </w:r>
        <w:r>
          <w:rPr>
            <w:noProof/>
            <w:webHidden/>
          </w:rPr>
          <w:instrText xml:space="preserve"> PAGEREF _Toc181683909 \h </w:instrText>
        </w:r>
        <w:r>
          <w:rPr>
            <w:noProof/>
            <w:webHidden/>
          </w:rPr>
        </w:r>
        <w:r>
          <w:rPr>
            <w:noProof/>
            <w:webHidden/>
          </w:rPr>
          <w:fldChar w:fldCharType="separate"/>
        </w:r>
        <w:r>
          <w:rPr>
            <w:noProof/>
            <w:webHidden/>
          </w:rPr>
          <w:t>396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0" w:history="1">
        <w:r w:rsidRPr="001B13A4">
          <w:rPr>
            <w:rStyle w:val="Hyperlink"/>
            <w:noProof/>
          </w:rPr>
          <w:t>2.1.874</w:t>
        </w:r>
        <w:r>
          <w:rPr>
            <w:rFonts w:asciiTheme="minorHAnsi" w:eastAsiaTheme="minorEastAsia" w:hAnsiTheme="minorHAnsi" w:cstheme="minorBidi"/>
            <w:noProof/>
            <w:sz w:val="22"/>
            <w:szCs w:val="22"/>
          </w:rPr>
          <w:tab/>
        </w:r>
        <w:r w:rsidRPr="001B13A4">
          <w:rPr>
            <w:rStyle w:val="Hyperlink"/>
            <w:noProof/>
          </w:rPr>
          <w:t>Part 1 Section 18.17.7.2, ACCRINT</w:t>
        </w:r>
        <w:r>
          <w:rPr>
            <w:noProof/>
            <w:webHidden/>
          </w:rPr>
          <w:tab/>
        </w:r>
        <w:r>
          <w:rPr>
            <w:noProof/>
            <w:webHidden/>
          </w:rPr>
          <w:fldChar w:fldCharType="begin"/>
        </w:r>
        <w:r>
          <w:rPr>
            <w:noProof/>
            <w:webHidden/>
          </w:rPr>
          <w:instrText xml:space="preserve"> PAGEREF _Toc181683910 \h </w:instrText>
        </w:r>
        <w:r>
          <w:rPr>
            <w:noProof/>
            <w:webHidden/>
          </w:rPr>
        </w:r>
        <w:r>
          <w:rPr>
            <w:noProof/>
            <w:webHidden/>
          </w:rPr>
          <w:fldChar w:fldCharType="separate"/>
        </w:r>
        <w:r>
          <w:rPr>
            <w:noProof/>
            <w:webHidden/>
          </w:rPr>
          <w:t>396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1" w:history="1">
        <w:r w:rsidRPr="001B13A4">
          <w:rPr>
            <w:rStyle w:val="Hyperlink"/>
            <w:noProof/>
          </w:rPr>
          <w:t>2.1.875</w:t>
        </w:r>
        <w:r>
          <w:rPr>
            <w:rFonts w:asciiTheme="minorHAnsi" w:eastAsiaTheme="minorEastAsia" w:hAnsiTheme="minorHAnsi" w:cstheme="minorBidi"/>
            <w:noProof/>
            <w:sz w:val="22"/>
            <w:szCs w:val="22"/>
          </w:rPr>
          <w:tab/>
        </w:r>
        <w:r w:rsidRPr="001B13A4">
          <w:rPr>
            <w:rStyle w:val="Hyperlink"/>
            <w:noProof/>
          </w:rPr>
          <w:t>Part 1 Section 18.17.7.3, ACCRINTM</w:t>
        </w:r>
        <w:r>
          <w:rPr>
            <w:noProof/>
            <w:webHidden/>
          </w:rPr>
          <w:tab/>
        </w:r>
        <w:r>
          <w:rPr>
            <w:noProof/>
            <w:webHidden/>
          </w:rPr>
          <w:fldChar w:fldCharType="begin"/>
        </w:r>
        <w:r>
          <w:rPr>
            <w:noProof/>
            <w:webHidden/>
          </w:rPr>
          <w:instrText xml:space="preserve"> PAGEREF _Toc181683911 \h </w:instrText>
        </w:r>
        <w:r>
          <w:rPr>
            <w:noProof/>
            <w:webHidden/>
          </w:rPr>
        </w:r>
        <w:r>
          <w:rPr>
            <w:noProof/>
            <w:webHidden/>
          </w:rPr>
          <w:fldChar w:fldCharType="separate"/>
        </w:r>
        <w:r>
          <w:rPr>
            <w:noProof/>
            <w:webHidden/>
          </w:rPr>
          <w:t>397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2" w:history="1">
        <w:r w:rsidRPr="001B13A4">
          <w:rPr>
            <w:rStyle w:val="Hyperlink"/>
            <w:noProof/>
          </w:rPr>
          <w:t>2.1.876</w:t>
        </w:r>
        <w:r>
          <w:rPr>
            <w:rFonts w:asciiTheme="minorHAnsi" w:eastAsiaTheme="minorEastAsia" w:hAnsiTheme="minorHAnsi" w:cstheme="minorBidi"/>
            <w:noProof/>
            <w:sz w:val="22"/>
            <w:szCs w:val="22"/>
          </w:rPr>
          <w:tab/>
        </w:r>
        <w:r w:rsidRPr="001B13A4">
          <w:rPr>
            <w:rStyle w:val="Hyperlink"/>
            <w:noProof/>
          </w:rPr>
          <w:t>Part 1 Section 18.17.7.4, ACOS</w:t>
        </w:r>
        <w:r>
          <w:rPr>
            <w:noProof/>
            <w:webHidden/>
          </w:rPr>
          <w:tab/>
        </w:r>
        <w:r>
          <w:rPr>
            <w:noProof/>
            <w:webHidden/>
          </w:rPr>
          <w:fldChar w:fldCharType="begin"/>
        </w:r>
        <w:r>
          <w:rPr>
            <w:noProof/>
            <w:webHidden/>
          </w:rPr>
          <w:instrText xml:space="preserve"> PAGEREF _Toc181683912 \h </w:instrText>
        </w:r>
        <w:r>
          <w:rPr>
            <w:noProof/>
            <w:webHidden/>
          </w:rPr>
        </w:r>
        <w:r>
          <w:rPr>
            <w:noProof/>
            <w:webHidden/>
          </w:rPr>
          <w:fldChar w:fldCharType="separate"/>
        </w:r>
        <w:r>
          <w:rPr>
            <w:noProof/>
            <w:webHidden/>
          </w:rPr>
          <w:t>398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3" w:history="1">
        <w:r w:rsidRPr="001B13A4">
          <w:rPr>
            <w:rStyle w:val="Hyperlink"/>
            <w:noProof/>
          </w:rPr>
          <w:t>2.1.877</w:t>
        </w:r>
        <w:r>
          <w:rPr>
            <w:rFonts w:asciiTheme="minorHAnsi" w:eastAsiaTheme="minorEastAsia" w:hAnsiTheme="minorHAnsi" w:cstheme="minorBidi"/>
            <w:noProof/>
            <w:sz w:val="22"/>
            <w:szCs w:val="22"/>
          </w:rPr>
          <w:tab/>
        </w:r>
        <w:r w:rsidRPr="001B13A4">
          <w:rPr>
            <w:rStyle w:val="Hyperlink"/>
            <w:noProof/>
          </w:rPr>
          <w:t>Part 1 Section 18.17.7.6, ADDRESS</w:t>
        </w:r>
        <w:r>
          <w:rPr>
            <w:noProof/>
            <w:webHidden/>
          </w:rPr>
          <w:tab/>
        </w:r>
        <w:r>
          <w:rPr>
            <w:noProof/>
            <w:webHidden/>
          </w:rPr>
          <w:fldChar w:fldCharType="begin"/>
        </w:r>
        <w:r>
          <w:rPr>
            <w:noProof/>
            <w:webHidden/>
          </w:rPr>
          <w:instrText xml:space="preserve"> PAGEREF _Toc181683913 \h </w:instrText>
        </w:r>
        <w:r>
          <w:rPr>
            <w:noProof/>
            <w:webHidden/>
          </w:rPr>
        </w:r>
        <w:r>
          <w:rPr>
            <w:noProof/>
            <w:webHidden/>
          </w:rPr>
          <w:fldChar w:fldCharType="separate"/>
        </w:r>
        <w:r>
          <w:rPr>
            <w:noProof/>
            <w:webHidden/>
          </w:rPr>
          <w:t>398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4" w:history="1">
        <w:r w:rsidRPr="001B13A4">
          <w:rPr>
            <w:rStyle w:val="Hyperlink"/>
            <w:noProof/>
          </w:rPr>
          <w:t>2.1.878</w:t>
        </w:r>
        <w:r>
          <w:rPr>
            <w:rFonts w:asciiTheme="minorHAnsi" w:eastAsiaTheme="minorEastAsia" w:hAnsiTheme="minorHAnsi" w:cstheme="minorBidi"/>
            <w:noProof/>
            <w:sz w:val="22"/>
            <w:szCs w:val="22"/>
          </w:rPr>
          <w:tab/>
        </w:r>
        <w:r w:rsidRPr="001B13A4">
          <w:rPr>
            <w:rStyle w:val="Hyperlink"/>
            <w:noProof/>
          </w:rPr>
          <w:t>Part 1 Section 18.17.7.7, AMORDEGRC</w:t>
        </w:r>
        <w:r>
          <w:rPr>
            <w:noProof/>
            <w:webHidden/>
          </w:rPr>
          <w:tab/>
        </w:r>
        <w:r>
          <w:rPr>
            <w:noProof/>
            <w:webHidden/>
          </w:rPr>
          <w:fldChar w:fldCharType="begin"/>
        </w:r>
        <w:r>
          <w:rPr>
            <w:noProof/>
            <w:webHidden/>
          </w:rPr>
          <w:instrText xml:space="preserve"> PAGEREF _Toc181683914 \h </w:instrText>
        </w:r>
        <w:r>
          <w:rPr>
            <w:noProof/>
            <w:webHidden/>
          </w:rPr>
        </w:r>
        <w:r>
          <w:rPr>
            <w:noProof/>
            <w:webHidden/>
          </w:rPr>
          <w:fldChar w:fldCharType="separate"/>
        </w:r>
        <w:r>
          <w:rPr>
            <w:noProof/>
            <w:webHidden/>
          </w:rPr>
          <w:t>398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5" w:history="1">
        <w:r w:rsidRPr="001B13A4">
          <w:rPr>
            <w:rStyle w:val="Hyperlink"/>
            <w:noProof/>
          </w:rPr>
          <w:t>2.1.879</w:t>
        </w:r>
        <w:r>
          <w:rPr>
            <w:rFonts w:asciiTheme="minorHAnsi" w:eastAsiaTheme="minorEastAsia" w:hAnsiTheme="minorHAnsi" w:cstheme="minorBidi"/>
            <w:noProof/>
            <w:sz w:val="22"/>
            <w:szCs w:val="22"/>
          </w:rPr>
          <w:tab/>
        </w:r>
        <w:r w:rsidRPr="001B13A4">
          <w:rPr>
            <w:rStyle w:val="Hyperlink"/>
            <w:noProof/>
          </w:rPr>
          <w:t>Part 1 Section 18.17.7.8, AMORLINC</w:t>
        </w:r>
        <w:r>
          <w:rPr>
            <w:noProof/>
            <w:webHidden/>
          </w:rPr>
          <w:tab/>
        </w:r>
        <w:r>
          <w:rPr>
            <w:noProof/>
            <w:webHidden/>
          </w:rPr>
          <w:fldChar w:fldCharType="begin"/>
        </w:r>
        <w:r>
          <w:rPr>
            <w:noProof/>
            <w:webHidden/>
          </w:rPr>
          <w:instrText xml:space="preserve"> PAGEREF _Toc181683915 \h </w:instrText>
        </w:r>
        <w:r>
          <w:rPr>
            <w:noProof/>
            <w:webHidden/>
          </w:rPr>
        </w:r>
        <w:r>
          <w:rPr>
            <w:noProof/>
            <w:webHidden/>
          </w:rPr>
          <w:fldChar w:fldCharType="separate"/>
        </w:r>
        <w:r>
          <w:rPr>
            <w:noProof/>
            <w:webHidden/>
          </w:rPr>
          <w:t>399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6" w:history="1">
        <w:r w:rsidRPr="001B13A4">
          <w:rPr>
            <w:rStyle w:val="Hyperlink"/>
            <w:noProof/>
          </w:rPr>
          <w:t>2.1.880</w:t>
        </w:r>
        <w:r>
          <w:rPr>
            <w:rFonts w:asciiTheme="minorHAnsi" w:eastAsiaTheme="minorEastAsia" w:hAnsiTheme="minorHAnsi" w:cstheme="minorBidi"/>
            <w:noProof/>
            <w:sz w:val="22"/>
            <w:szCs w:val="22"/>
          </w:rPr>
          <w:tab/>
        </w:r>
        <w:r w:rsidRPr="001B13A4">
          <w:rPr>
            <w:rStyle w:val="Hyperlink"/>
            <w:noProof/>
          </w:rPr>
          <w:t>Part 1 Section 18.17.7.10, AREAS</w:t>
        </w:r>
        <w:r>
          <w:rPr>
            <w:noProof/>
            <w:webHidden/>
          </w:rPr>
          <w:tab/>
        </w:r>
        <w:r>
          <w:rPr>
            <w:noProof/>
            <w:webHidden/>
          </w:rPr>
          <w:fldChar w:fldCharType="begin"/>
        </w:r>
        <w:r>
          <w:rPr>
            <w:noProof/>
            <w:webHidden/>
          </w:rPr>
          <w:instrText xml:space="preserve"> PAGEREF _Toc181683916 \h </w:instrText>
        </w:r>
        <w:r>
          <w:rPr>
            <w:noProof/>
            <w:webHidden/>
          </w:rPr>
        </w:r>
        <w:r>
          <w:rPr>
            <w:noProof/>
            <w:webHidden/>
          </w:rPr>
          <w:fldChar w:fldCharType="separate"/>
        </w:r>
        <w:r>
          <w:rPr>
            <w:noProof/>
            <w:webHidden/>
          </w:rPr>
          <w:t>400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7" w:history="1">
        <w:r w:rsidRPr="001B13A4">
          <w:rPr>
            <w:rStyle w:val="Hyperlink"/>
            <w:noProof/>
          </w:rPr>
          <w:t>2.1.881</w:t>
        </w:r>
        <w:r>
          <w:rPr>
            <w:rFonts w:asciiTheme="minorHAnsi" w:eastAsiaTheme="minorEastAsia" w:hAnsiTheme="minorHAnsi" w:cstheme="minorBidi"/>
            <w:noProof/>
            <w:sz w:val="22"/>
            <w:szCs w:val="22"/>
          </w:rPr>
          <w:tab/>
        </w:r>
        <w:r w:rsidRPr="001B13A4">
          <w:rPr>
            <w:rStyle w:val="Hyperlink"/>
            <w:noProof/>
          </w:rPr>
          <w:t>Part 1 Section 18.17.7.12, ASIN</w:t>
        </w:r>
        <w:r>
          <w:rPr>
            <w:noProof/>
            <w:webHidden/>
          </w:rPr>
          <w:tab/>
        </w:r>
        <w:r>
          <w:rPr>
            <w:noProof/>
            <w:webHidden/>
          </w:rPr>
          <w:fldChar w:fldCharType="begin"/>
        </w:r>
        <w:r>
          <w:rPr>
            <w:noProof/>
            <w:webHidden/>
          </w:rPr>
          <w:instrText xml:space="preserve"> PAGEREF _Toc181683917 \h </w:instrText>
        </w:r>
        <w:r>
          <w:rPr>
            <w:noProof/>
            <w:webHidden/>
          </w:rPr>
        </w:r>
        <w:r>
          <w:rPr>
            <w:noProof/>
            <w:webHidden/>
          </w:rPr>
          <w:fldChar w:fldCharType="separate"/>
        </w:r>
        <w:r>
          <w:rPr>
            <w:noProof/>
            <w:webHidden/>
          </w:rPr>
          <w:t>400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8" w:history="1">
        <w:r w:rsidRPr="001B13A4">
          <w:rPr>
            <w:rStyle w:val="Hyperlink"/>
            <w:noProof/>
          </w:rPr>
          <w:t>2.1.882</w:t>
        </w:r>
        <w:r>
          <w:rPr>
            <w:rFonts w:asciiTheme="minorHAnsi" w:eastAsiaTheme="minorEastAsia" w:hAnsiTheme="minorHAnsi" w:cstheme="minorBidi"/>
            <w:noProof/>
            <w:sz w:val="22"/>
            <w:szCs w:val="22"/>
          </w:rPr>
          <w:tab/>
        </w:r>
        <w:r w:rsidRPr="001B13A4">
          <w:rPr>
            <w:rStyle w:val="Hyperlink"/>
            <w:noProof/>
          </w:rPr>
          <w:t>Part 1 Section 18.17.7.13, ASINH</w:t>
        </w:r>
        <w:r>
          <w:rPr>
            <w:noProof/>
            <w:webHidden/>
          </w:rPr>
          <w:tab/>
        </w:r>
        <w:r>
          <w:rPr>
            <w:noProof/>
            <w:webHidden/>
          </w:rPr>
          <w:fldChar w:fldCharType="begin"/>
        </w:r>
        <w:r>
          <w:rPr>
            <w:noProof/>
            <w:webHidden/>
          </w:rPr>
          <w:instrText xml:space="preserve"> PAGEREF _Toc181683918 \h </w:instrText>
        </w:r>
        <w:r>
          <w:rPr>
            <w:noProof/>
            <w:webHidden/>
          </w:rPr>
        </w:r>
        <w:r>
          <w:rPr>
            <w:noProof/>
            <w:webHidden/>
          </w:rPr>
          <w:fldChar w:fldCharType="separate"/>
        </w:r>
        <w:r>
          <w:rPr>
            <w:noProof/>
            <w:webHidden/>
          </w:rPr>
          <w:t>400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19" w:history="1">
        <w:r w:rsidRPr="001B13A4">
          <w:rPr>
            <w:rStyle w:val="Hyperlink"/>
            <w:noProof/>
          </w:rPr>
          <w:t>2.1.883</w:t>
        </w:r>
        <w:r>
          <w:rPr>
            <w:rFonts w:asciiTheme="minorHAnsi" w:eastAsiaTheme="minorEastAsia" w:hAnsiTheme="minorHAnsi" w:cstheme="minorBidi"/>
            <w:noProof/>
            <w:sz w:val="22"/>
            <w:szCs w:val="22"/>
          </w:rPr>
          <w:tab/>
        </w:r>
        <w:r w:rsidRPr="001B13A4">
          <w:rPr>
            <w:rStyle w:val="Hyperlink"/>
            <w:noProof/>
          </w:rPr>
          <w:t>Part 1 Section 18.17.7.14, ATAN</w:t>
        </w:r>
        <w:r>
          <w:rPr>
            <w:noProof/>
            <w:webHidden/>
          </w:rPr>
          <w:tab/>
        </w:r>
        <w:r>
          <w:rPr>
            <w:noProof/>
            <w:webHidden/>
          </w:rPr>
          <w:fldChar w:fldCharType="begin"/>
        </w:r>
        <w:r>
          <w:rPr>
            <w:noProof/>
            <w:webHidden/>
          </w:rPr>
          <w:instrText xml:space="preserve"> PAGEREF _Toc181683919 \h </w:instrText>
        </w:r>
        <w:r>
          <w:rPr>
            <w:noProof/>
            <w:webHidden/>
          </w:rPr>
        </w:r>
        <w:r>
          <w:rPr>
            <w:noProof/>
            <w:webHidden/>
          </w:rPr>
          <w:fldChar w:fldCharType="separate"/>
        </w:r>
        <w:r>
          <w:rPr>
            <w:noProof/>
            <w:webHidden/>
          </w:rPr>
          <w:t>400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0" w:history="1">
        <w:r w:rsidRPr="001B13A4">
          <w:rPr>
            <w:rStyle w:val="Hyperlink"/>
            <w:noProof/>
          </w:rPr>
          <w:t>2.1.884</w:t>
        </w:r>
        <w:r>
          <w:rPr>
            <w:rFonts w:asciiTheme="minorHAnsi" w:eastAsiaTheme="minorEastAsia" w:hAnsiTheme="minorHAnsi" w:cstheme="minorBidi"/>
            <w:noProof/>
            <w:sz w:val="22"/>
            <w:szCs w:val="22"/>
          </w:rPr>
          <w:tab/>
        </w:r>
        <w:r w:rsidRPr="001B13A4">
          <w:rPr>
            <w:rStyle w:val="Hyperlink"/>
            <w:noProof/>
          </w:rPr>
          <w:t>Part 1 Section 18.17.7.15, ATAN2</w:t>
        </w:r>
        <w:r>
          <w:rPr>
            <w:noProof/>
            <w:webHidden/>
          </w:rPr>
          <w:tab/>
        </w:r>
        <w:r>
          <w:rPr>
            <w:noProof/>
            <w:webHidden/>
          </w:rPr>
          <w:fldChar w:fldCharType="begin"/>
        </w:r>
        <w:r>
          <w:rPr>
            <w:noProof/>
            <w:webHidden/>
          </w:rPr>
          <w:instrText xml:space="preserve"> PAGEREF _Toc181683920 \h </w:instrText>
        </w:r>
        <w:r>
          <w:rPr>
            <w:noProof/>
            <w:webHidden/>
          </w:rPr>
        </w:r>
        <w:r>
          <w:rPr>
            <w:noProof/>
            <w:webHidden/>
          </w:rPr>
          <w:fldChar w:fldCharType="separate"/>
        </w:r>
        <w:r>
          <w:rPr>
            <w:noProof/>
            <w:webHidden/>
          </w:rPr>
          <w:t>400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1" w:history="1">
        <w:r w:rsidRPr="001B13A4">
          <w:rPr>
            <w:rStyle w:val="Hyperlink"/>
            <w:noProof/>
          </w:rPr>
          <w:t>2.1.885</w:t>
        </w:r>
        <w:r>
          <w:rPr>
            <w:rFonts w:asciiTheme="minorHAnsi" w:eastAsiaTheme="minorEastAsia" w:hAnsiTheme="minorHAnsi" w:cstheme="minorBidi"/>
            <w:noProof/>
            <w:sz w:val="22"/>
            <w:szCs w:val="22"/>
          </w:rPr>
          <w:tab/>
        </w:r>
        <w:r w:rsidRPr="001B13A4">
          <w:rPr>
            <w:rStyle w:val="Hyperlink"/>
            <w:noProof/>
          </w:rPr>
          <w:t>Part 1 Section 18.17.7.17, AVEDEV</w:t>
        </w:r>
        <w:r>
          <w:rPr>
            <w:noProof/>
            <w:webHidden/>
          </w:rPr>
          <w:tab/>
        </w:r>
        <w:r>
          <w:rPr>
            <w:noProof/>
            <w:webHidden/>
          </w:rPr>
          <w:fldChar w:fldCharType="begin"/>
        </w:r>
        <w:r>
          <w:rPr>
            <w:noProof/>
            <w:webHidden/>
          </w:rPr>
          <w:instrText xml:space="preserve"> PAGEREF _Toc181683921 \h </w:instrText>
        </w:r>
        <w:r>
          <w:rPr>
            <w:noProof/>
            <w:webHidden/>
          </w:rPr>
        </w:r>
        <w:r>
          <w:rPr>
            <w:noProof/>
            <w:webHidden/>
          </w:rPr>
          <w:fldChar w:fldCharType="separate"/>
        </w:r>
        <w:r>
          <w:rPr>
            <w:noProof/>
            <w:webHidden/>
          </w:rPr>
          <w:t>401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2" w:history="1">
        <w:r w:rsidRPr="001B13A4">
          <w:rPr>
            <w:rStyle w:val="Hyperlink"/>
            <w:noProof/>
          </w:rPr>
          <w:t>2.1.886</w:t>
        </w:r>
        <w:r>
          <w:rPr>
            <w:rFonts w:asciiTheme="minorHAnsi" w:eastAsiaTheme="minorEastAsia" w:hAnsiTheme="minorHAnsi" w:cstheme="minorBidi"/>
            <w:noProof/>
            <w:sz w:val="22"/>
            <w:szCs w:val="22"/>
          </w:rPr>
          <w:tab/>
        </w:r>
        <w:r w:rsidRPr="001B13A4">
          <w:rPr>
            <w:rStyle w:val="Hyperlink"/>
            <w:noProof/>
          </w:rPr>
          <w:t>Part 1 Section 18.17.7.19, AVERAGEA</w:t>
        </w:r>
        <w:r>
          <w:rPr>
            <w:noProof/>
            <w:webHidden/>
          </w:rPr>
          <w:tab/>
        </w:r>
        <w:r>
          <w:rPr>
            <w:noProof/>
            <w:webHidden/>
          </w:rPr>
          <w:fldChar w:fldCharType="begin"/>
        </w:r>
        <w:r>
          <w:rPr>
            <w:noProof/>
            <w:webHidden/>
          </w:rPr>
          <w:instrText xml:space="preserve"> PAGEREF _Toc181683922 \h </w:instrText>
        </w:r>
        <w:r>
          <w:rPr>
            <w:noProof/>
            <w:webHidden/>
          </w:rPr>
        </w:r>
        <w:r>
          <w:rPr>
            <w:noProof/>
            <w:webHidden/>
          </w:rPr>
          <w:fldChar w:fldCharType="separate"/>
        </w:r>
        <w:r>
          <w:rPr>
            <w:noProof/>
            <w:webHidden/>
          </w:rPr>
          <w:t>401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3" w:history="1">
        <w:r w:rsidRPr="001B13A4">
          <w:rPr>
            <w:rStyle w:val="Hyperlink"/>
            <w:noProof/>
          </w:rPr>
          <w:t>2.1.887</w:t>
        </w:r>
        <w:r>
          <w:rPr>
            <w:rFonts w:asciiTheme="minorHAnsi" w:eastAsiaTheme="minorEastAsia" w:hAnsiTheme="minorHAnsi" w:cstheme="minorBidi"/>
            <w:noProof/>
            <w:sz w:val="22"/>
            <w:szCs w:val="22"/>
          </w:rPr>
          <w:tab/>
        </w:r>
        <w:r w:rsidRPr="001B13A4">
          <w:rPr>
            <w:rStyle w:val="Hyperlink"/>
            <w:noProof/>
          </w:rPr>
          <w:t>Part 1 Section 18.17.7.20, AVERAGEIF</w:t>
        </w:r>
        <w:r>
          <w:rPr>
            <w:noProof/>
            <w:webHidden/>
          </w:rPr>
          <w:tab/>
        </w:r>
        <w:r>
          <w:rPr>
            <w:noProof/>
            <w:webHidden/>
          </w:rPr>
          <w:fldChar w:fldCharType="begin"/>
        </w:r>
        <w:r>
          <w:rPr>
            <w:noProof/>
            <w:webHidden/>
          </w:rPr>
          <w:instrText xml:space="preserve"> PAGEREF _Toc181683923 \h </w:instrText>
        </w:r>
        <w:r>
          <w:rPr>
            <w:noProof/>
            <w:webHidden/>
          </w:rPr>
        </w:r>
        <w:r>
          <w:rPr>
            <w:noProof/>
            <w:webHidden/>
          </w:rPr>
          <w:fldChar w:fldCharType="separate"/>
        </w:r>
        <w:r>
          <w:rPr>
            <w:noProof/>
            <w:webHidden/>
          </w:rPr>
          <w:t>401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4" w:history="1">
        <w:r w:rsidRPr="001B13A4">
          <w:rPr>
            <w:rStyle w:val="Hyperlink"/>
            <w:noProof/>
          </w:rPr>
          <w:t>2.1.888</w:t>
        </w:r>
        <w:r>
          <w:rPr>
            <w:rFonts w:asciiTheme="minorHAnsi" w:eastAsiaTheme="minorEastAsia" w:hAnsiTheme="minorHAnsi" w:cstheme="minorBidi"/>
            <w:noProof/>
            <w:sz w:val="22"/>
            <w:szCs w:val="22"/>
          </w:rPr>
          <w:tab/>
        </w:r>
        <w:r w:rsidRPr="001B13A4">
          <w:rPr>
            <w:rStyle w:val="Hyperlink"/>
            <w:noProof/>
          </w:rPr>
          <w:t>Part 1 Section 18.17.7.21, AVERAGEIFS</w:t>
        </w:r>
        <w:r>
          <w:rPr>
            <w:noProof/>
            <w:webHidden/>
          </w:rPr>
          <w:tab/>
        </w:r>
        <w:r>
          <w:rPr>
            <w:noProof/>
            <w:webHidden/>
          </w:rPr>
          <w:fldChar w:fldCharType="begin"/>
        </w:r>
        <w:r>
          <w:rPr>
            <w:noProof/>
            <w:webHidden/>
          </w:rPr>
          <w:instrText xml:space="preserve"> PAGEREF _Toc181683924 \h </w:instrText>
        </w:r>
        <w:r>
          <w:rPr>
            <w:noProof/>
            <w:webHidden/>
          </w:rPr>
        </w:r>
        <w:r>
          <w:rPr>
            <w:noProof/>
            <w:webHidden/>
          </w:rPr>
          <w:fldChar w:fldCharType="separate"/>
        </w:r>
        <w:r>
          <w:rPr>
            <w:noProof/>
            <w:webHidden/>
          </w:rPr>
          <w:t>401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5" w:history="1">
        <w:r w:rsidRPr="001B13A4">
          <w:rPr>
            <w:rStyle w:val="Hyperlink"/>
            <w:noProof/>
          </w:rPr>
          <w:t>2.1.889</w:t>
        </w:r>
        <w:r>
          <w:rPr>
            <w:rFonts w:asciiTheme="minorHAnsi" w:eastAsiaTheme="minorEastAsia" w:hAnsiTheme="minorHAnsi" w:cstheme="minorBidi"/>
            <w:noProof/>
            <w:sz w:val="22"/>
            <w:szCs w:val="22"/>
          </w:rPr>
          <w:tab/>
        </w:r>
        <w:r w:rsidRPr="001B13A4">
          <w:rPr>
            <w:rStyle w:val="Hyperlink"/>
            <w:noProof/>
          </w:rPr>
          <w:t>Part 1 Section 18.17.7.23, BESSELI</w:t>
        </w:r>
        <w:r>
          <w:rPr>
            <w:noProof/>
            <w:webHidden/>
          </w:rPr>
          <w:tab/>
        </w:r>
        <w:r>
          <w:rPr>
            <w:noProof/>
            <w:webHidden/>
          </w:rPr>
          <w:fldChar w:fldCharType="begin"/>
        </w:r>
        <w:r>
          <w:rPr>
            <w:noProof/>
            <w:webHidden/>
          </w:rPr>
          <w:instrText xml:space="preserve"> PAGEREF _Toc181683925 \h </w:instrText>
        </w:r>
        <w:r>
          <w:rPr>
            <w:noProof/>
            <w:webHidden/>
          </w:rPr>
        </w:r>
        <w:r>
          <w:rPr>
            <w:noProof/>
            <w:webHidden/>
          </w:rPr>
          <w:fldChar w:fldCharType="separate"/>
        </w:r>
        <w:r>
          <w:rPr>
            <w:noProof/>
            <w:webHidden/>
          </w:rPr>
          <w:t>401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6" w:history="1">
        <w:r w:rsidRPr="001B13A4">
          <w:rPr>
            <w:rStyle w:val="Hyperlink"/>
            <w:noProof/>
          </w:rPr>
          <w:t>2.1.890</w:t>
        </w:r>
        <w:r>
          <w:rPr>
            <w:rFonts w:asciiTheme="minorHAnsi" w:eastAsiaTheme="minorEastAsia" w:hAnsiTheme="minorHAnsi" w:cstheme="minorBidi"/>
            <w:noProof/>
            <w:sz w:val="22"/>
            <w:szCs w:val="22"/>
          </w:rPr>
          <w:tab/>
        </w:r>
        <w:r w:rsidRPr="001B13A4">
          <w:rPr>
            <w:rStyle w:val="Hyperlink"/>
            <w:noProof/>
          </w:rPr>
          <w:t>Part 1 Section 18.17.7.24, BESSELJ</w:t>
        </w:r>
        <w:r>
          <w:rPr>
            <w:noProof/>
            <w:webHidden/>
          </w:rPr>
          <w:tab/>
        </w:r>
        <w:r>
          <w:rPr>
            <w:noProof/>
            <w:webHidden/>
          </w:rPr>
          <w:fldChar w:fldCharType="begin"/>
        </w:r>
        <w:r>
          <w:rPr>
            <w:noProof/>
            <w:webHidden/>
          </w:rPr>
          <w:instrText xml:space="preserve"> PAGEREF _Toc181683926 \h </w:instrText>
        </w:r>
        <w:r>
          <w:rPr>
            <w:noProof/>
            <w:webHidden/>
          </w:rPr>
        </w:r>
        <w:r>
          <w:rPr>
            <w:noProof/>
            <w:webHidden/>
          </w:rPr>
          <w:fldChar w:fldCharType="separate"/>
        </w:r>
        <w:r>
          <w:rPr>
            <w:noProof/>
            <w:webHidden/>
          </w:rPr>
          <w:t>401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7" w:history="1">
        <w:r w:rsidRPr="001B13A4">
          <w:rPr>
            <w:rStyle w:val="Hyperlink"/>
            <w:noProof/>
          </w:rPr>
          <w:t>2.1.891</w:t>
        </w:r>
        <w:r>
          <w:rPr>
            <w:rFonts w:asciiTheme="minorHAnsi" w:eastAsiaTheme="minorEastAsia" w:hAnsiTheme="minorHAnsi" w:cstheme="minorBidi"/>
            <w:noProof/>
            <w:sz w:val="22"/>
            <w:szCs w:val="22"/>
          </w:rPr>
          <w:tab/>
        </w:r>
        <w:r w:rsidRPr="001B13A4">
          <w:rPr>
            <w:rStyle w:val="Hyperlink"/>
            <w:noProof/>
          </w:rPr>
          <w:t>Part 1 Section 18.17.7.25, BESSELK</w:t>
        </w:r>
        <w:r>
          <w:rPr>
            <w:noProof/>
            <w:webHidden/>
          </w:rPr>
          <w:tab/>
        </w:r>
        <w:r>
          <w:rPr>
            <w:noProof/>
            <w:webHidden/>
          </w:rPr>
          <w:fldChar w:fldCharType="begin"/>
        </w:r>
        <w:r>
          <w:rPr>
            <w:noProof/>
            <w:webHidden/>
          </w:rPr>
          <w:instrText xml:space="preserve"> PAGEREF _Toc181683927 \h </w:instrText>
        </w:r>
        <w:r>
          <w:rPr>
            <w:noProof/>
            <w:webHidden/>
          </w:rPr>
        </w:r>
        <w:r>
          <w:rPr>
            <w:noProof/>
            <w:webHidden/>
          </w:rPr>
          <w:fldChar w:fldCharType="separate"/>
        </w:r>
        <w:r>
          <w:rPr>
            <w:noProof/>
            <w:webHidden/>
          </w:rPr>
          <w:t>402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8" w:history="1">
        <w:r w:rsidRPr="001B13A4">
          <w:rPr>
            <w:rStyle w:val="Hyperlink"/>
            <w:noProof/>
          </w:rPr>
          <w:t>2.1.892</w:t>
        </w:r>
        <w:r>
          <w:rPr>
            <w:rFonts w:asciiTheme="minorHAnsi" w:eastAsiaTheme="minorEastAsia" w:hAnsiTheme="minorHAnsi" w:cstheme="minorBidi"/>
            <w:noProof/>
            <w:sz w:val="22"/>
            <w:szCs w:val="22"/>
          </w:rPr>
          <w:tab/>
        </w:r>
        <w:r w:rsidRPr="001B13A4">
          <w:rPr>
            <w:rStyle w:val="Hyperlink"/>
            <w:noProof/>
          </w:rPr>
          <w:t>Part 1 Section 18.17.7.26, BESSELY</w:t>
        </w:r>
        <w:r>
          <w:rPr>
            <w:noProof/>
            <w:webHidden/>
          </w:rPr>
          <w:tab/>
        </w:r>
        <w:r>
          <w:rPr>
            <w:noProof/>
            <w:webHidden/>
          </w:rPr>
          <w:fldChar w:fldCharType="begin"/>
        </w:r>
        <w:r>
          <w:rPr>
            <w:noProof/>
            <w:webHidden/>
          </w:rPr>
          <w:instrText xml:space="preserve"> PAGEREF _Toc181683928 \h </w:instrText>
        </w:r>
        <w:r>
          <w:rPr>
            <w:noProof/>
            <w:webHidden/>
          </w:rPr>
        </w:r>
        <w:r>
          <w:rPr>
            <w:noProof/>
            <w:webHidden/>
          </w:rPr>
          <w:fldChar w:fldCharType="separate"/>
        </w:r>
        <w:r>
          <w:rPr>
            <w:noProof/>
            <w:webHidden/>
          </w:rPr>
          <w:t>402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29" w:history="1">
        <w:r w:rsidRPr="001B13A4">
          <w:rPr>
            <w:rStyle w:val="Hyperlink"/>
            <w:noProof/>
          </w:rPr>
          <w:t>2.1.893</w:t>
        </w:r>
        <w:r>
          <w:rPr>
            <w:rFonts w:asciiTheme="minorHAnsi" w:eastAsiaTheme="minorEastAsia" w:hAnsiTheme="minorHAnsi" w:cstheme="minorBidi"/>
            <w:noProof/>
            <w:sz w:val="22"/>
            <w:szCs w:val="22"/>
          </w:rPr>
          <w:tab/>
        </w:r>
        <w:r w:rsidRPr="001B13A4">
          <w:rPr>
            <w:rStyle w:val="Hyperlink"/>
            <w:noProof/>
          </w:rPr>
          <w:t>Part 1 Section 18.17.7.28, BETAINV</w:t>
        </w:r>
        <w:r>
          <w:rPr>
            <w:noProof/>
            <w:webHidden/>
          </w:rPr>
          <w:tab/>
        </w:r>
        <w:r>
          <w:rPr>
            <w:noProof/>
            <w:webHidden/>
          </w:rPr>
          <w:fldChar w:fldCharType="begin"/>
        </w:r>
        <w:r>
          <w:rPr>
            <w:noProof/>
            <w:webHidden/>
          </w:rPr>
          <w:instrText xml:space="preserve"> PAGEREF _Toc181683929 \h </w:instrText>
        </w:r>
        <w:r>
          <w:rPr>
            <w:noProof/>
            <w:webHidden/>
          </w:rPr>
        </w:r>
        <w:r>
          <w:rPr>
            <w:noProof/>
            <w:webHidden/>
          </w:rPr>
          <w:fldChar w:fldCharType="separate"/>
        </w:r>
        <w:r>
          <w:rPr>
            <w:noProof/>
            <w:webHidden/>
          </w:rPr>
          <w:t>402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0" w:history="1">
        <w:r w:rsidRPr="001B13A4">
          <w:rPr>
            <w:rStyle w:val="Hyperlink"/>
            <w:noProof/>
          </w:rPr>
          <w:t>2.1.894</w:t>
        </w:r>
        <w:r>
          <w:rPr>
            <w:rFonts w:asciiTheme="minorHAnsi" w:eastAsiaTheme="minorEastAsia" w:hAnsiTheme="minorHAnsi" w:cstheme="minorBidi"/>
            <w:noProof/>
            <w:sz w:val="22"/>
            <w:szCs w:val="22"/>
          </w:rPr>
          <w:tab/>
        </w:r>
        <w:r w:rsidRPr="001B13A4">
          <w:rPr>
            <w:rStyle w:val="Hyperlink"/>
            <w:noProof/>
          </w:rPr>
          <w:t>Part 1 Section 18.17.7.29, BIN2DEC</w:t>
        </w:r>
        <w:r>
          <w:rPr>
            <w:noProof/>
            <w:webHidden/>
          </w:rPr>
          <w:tab/>
        </w:r>
        <w:r>
          <w:rPr>
            <w:noProof/>
            <w:webHidden/>
          </w:rPr>
          <w:fldChar w:fldCharType="begin"/>
        </w:r>
        <w:r>
          <w:rPr>
            <w:noProof/>
            <w:webHidden/>
          </w:rPr>
          <w:instrText xml:space="preserve"> PAGEREF _Toc181683930 \h </w:instrText>
        </w:r>
        <w:r>
          <w:rPr>
            <w:noProof/>
            <w:webHidden/>
          </w:rPr>
        </w:r>
        <w:r>
          <w:rPr>
            <w:noProof/>
            <w:webHidden/>
          </w:rPr>
          <w:fldChar w:fldCharType="separate"/>
        </w:r>
        <w:r>
          <w:rPr>
            <w:noProof/>
            <w:webHidden/>
          </w:rPr>
          <w:t>402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1" w:history="1">
        <w:r w:rsidRPr="001B13A4">
          <w:rPr>
            <w:rStyle w:val="Hyperlink"/>
            <w:noProof/>
          </w:rPr>
          <w:t>2.1.895</w:t>
        </w:r>
        <w:r>
          <w:rPr>
            <w:rFonts w:asciiTheme="minorHAnsi" w:eastAsiaTheme="minorEastAsia" w:hAnsiTheme="minorHAnsi" w:cstheme="minorBidi"/>
            <w:noProof/>
            <w:sz w:val="22"/>
            <w:szCs w:val="22"/>
          </w:rPr>
          <w:tab/>
        </w:r>
        <w:r w:rsidRPr="001B13A4">
          <w:rPr>
            <w:rStyle w:val="Hyperlink"/>
            <w:noProof/>
          </w:rPr>
          <w:t>Part 1 Section 18.17.7.33, CEILING</w:t>
        </w:r>
        <w:r>
          <w:rPr>
            <w:noProof/>
            <w:webHidden/>
          </w:rPr>
          <w:tab/>
        </w:r>
        <w:r>
          <w:rPr>
            <w:noProof/>
            <w:webHidden/>
          </w:rPr>
          <w:fldChar w:fldCharType="begin"/>
        </w:r>
        <w:r>
          <w:rPr>
            <w:noProof/>
            <w:webHidden/>
          </w:rPr>
          <w:instrText xml:space="preserve"> PAGEREF _Toc181683931 \h </w:instrText>
        </w:r>
        <w:r>
          <w:rPr>
            <w:noProof/>
            <w:webHidden/>
          </w:rPr>
        </w:r>
        <w:r>
          <w:rPr>
            <w:noProof/>
            <w:webHidden/>
          </w:rPr>
          <w:fldChar w:fldCharType="separate"/>
        </w:r>
        <w:r>
          <w:rPr>
            <w:noProof/>
            <w:webHidden/>
          </w:rPr>
          <w:t>402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2" w:history="1">
        <w:r w:rsidRPr="001B13A4">
          <w:rPr>
            <w:rStyle w:val="Hyperlink"/>
            <w:noProof/>
          </w:rPr>
          <w:t>2.1.896</w:t>
        </w:r>
        <w:r>
          <w:rPr>
            <w:rFonts w:asciiTheme="minorHAnsi" w:eastAsiaTheme="minorEastAsia" w:hAnsiTheme="minorHAnsi" w:cstheme="minorBidi"/>
            <w:noProof/>
            <w:sz w:val="22"/>
            <w:szCs w:val="22"/>
          </w:rPr>
          <w:tab/>
        </w:r>
        <w:r w:rsidRPr="001B13A4">
          <w:rPr>
            <w:rStyle w:val="Hyperlink"/>
            <w:noProof/>
          </w:rPr>
          <w:t>Part 1 Section 18.17.7.34, CELL</w:t>
        </w:r>
        <w:r>
          <w:rPr>
            <w:noProof/>
            <w:webHidden/>
          </w:rPr>
          <w:tab/>
        </w:r>
        <w:r>
          <w:rPr>
            <w:noProof/>
            <w:webHidden/>
          </w:rPr>
          <w:fldChar w:fldCharType="begin"/>
        </w:r>
        <w:r>
          <w:rPr>
            <w:noProof/>
            <w:webHidden/>
          </w:rPr>
          <w:instrText xml:space="preserve"> PAGEREF _Toc181683932 \h </w:instrText>
        </w:r>
        <w:r>
          <w:rPr>
            <w:noProof/>
            <w:webHidden/>
          </w:rPr>
        </w:r>
        <w:r>
          <w:rPr>
            <w:noProof/>
            <w:webHidden/>
          </w:rPr>
          <w:fldChar w:fldCharType="separate"/>
        </w:r>
        <w:r>
          <w:rPr>
            <w:noProof/>
            <w:webHidden/>
          </w:rPr>
          <w:t>402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3" w:history="1">
        <w:r w:rsidRPr="001B13A4">
          <w:rPr>
            <w:rStyle w:val="Hyperlink"/>
            <w:noProof/>
          </w:rPr>
          <w:t>2.1.897</w:t>
        </w:r>
        <w:r>
          <w:rPr>
            <w:rFonts w:asciiTheme="minorHAnsi" w:eastAsiaTheme="minorEastAsia" w:hAnsiTheme="minorHAnsi" w:cstheme="minorBidi"/>
            <w:noProof/>
            <w:sz w:val="22"/>
            <w:szCs w:val="22"/>
          </w:rPr>
          <w:tab/>
        </w:r>
        <w:r w:rsidRPr="001B13A4">
          <w:rPr>
            <w:rStyle w:val="Hyperlink"/>
            <w:noProof/>
          </w:rPr>
          <w:t>Part 1 Section 18.17.7.37, CHIINV</w:t>
        </w:r>
        <w:r>
          <w:rPr>
            <w:noProof/>
            <w:webHidden/>
          </w:rPr>
          <w:tab/>
        </w:r>
        <w:r>
          <w:rPr>
            <w:noProof/>
            <w:webHidden/>
          </w:rPr>
          <w:fldChar w:fldCharType="begin"/>
        </w:r>
        <w:r>
          <w:rPr>
            <w:noProof/>
            <w:webHidden/>
          </w:rPr>
          <w:instrText xml:space="preserve"> PAGEREF _Toc181683933 \h </w:instrText>
        </w:r>
        <w:r>
          <w:rPr>
            <w:noProof/>
            <w:webHidden/>
          </w:rPr>
        </w:r>
        <w:r>
          <w:rPr>
            <w:noProof/>
            <w:webHidden/>
          </w:rPr>
          <w:fldChar w:fldCharType="separate"/>
        </w:r>
        <w:r>
          <w:rPr>
            <w:noProof/>
            <w:webHidden/>
          </w:rPr>
          <w:t>407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4" w:history="1">
        <w:r w:rsidRPr="001B13A4">
          <w:rPr>
            <w:rStyle w:val="Hyperlink"/>
            <w:noProof/>
          </w:rPr>
          <w:t>2.1.898</w:t>
        </w:r>
        <w:r>
          <w:rPr>
            <w:rFonts w:asciiTheme="minorHAnsi" w:eastAsiaTheme="minorEastAsia" w:hAnsiTheme="minorHAnsi" w:cstheme="minorBidi"/>
            <w:noProof/>
            <w:sz w:val="22"/>
            <w:szCs w:val="22"/>
          </w:rPr>
          <w:tab/>
        </w:r>
        <w:r w:rsidRPr="001B13A4">
          <w:rPr>
            <w:rStyle w:val="Hyperlink"/>
            <w:noProof/>
          </w:rPr>
          <w:t>Part 1 Section 18.17.7.40, CLEAN</w:t>
        </w:r>
        <w:r>
          <w:rPr>
            <w:noProof/>
            <w:webHidden/>
          </w:rPr>
          <w:tab/>
        </w:r>
        <w:r>
          <w:rPr>
            <w:noProof/>
            <w:webHidden/>
          </w:rPr>
          <w:fldChar w:fldCharType="begin"/>
        </w:r>
        <w:r>
          <w:rPr>
            <w:noProof/>
            <w:webHidden/>
          </w:rPr>
          <w:instrText xml:space="preserve"> PAGEREF _Toc181683934 \h </w:instrText>
        </w:r>
        <w:r>
          <w:rPr>
            <w:noProof/>
            <w:webHidden/>
          </w:rPr>
        </w:r>
        <w:r>
          <w:rPr>
            <w:noProof/>
            <w:webHidden/>
          </w:rPr>
          <w:fldChar w:fldCharType="separate"/>
        </w:r>
        <w:r>
          <w:rPr>
            <w:noProof/>
            <w:webHidden/>
          </w:rPr>
          <w:t>407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5" w:history="1">
        <w:r w:rsidRPr="001B13A4">
          <w:rPr>
            <w:rStyle w:val="Hyperlink"/>
            <w:noProof/>
          </w:rPr>
          <w:t>2.1.899</w:t>
        </w:r>
        <w:r>
          <w:rPr>
            <w:rFonts w:asciiTheme="minorHAnsi" w:eastAsiaTheme="minorEastAsia" w:hAnsiTheme="minorHAnsi" w:cstheme="minorBidi"/>
            <w:noProof/>
            <w:sz w:val="22"/>
            <w:szCs w:val="22"/>
          </w:rPr>
          <w:tab/>
        </w:r>
        <w:r w:rsidRPr="001B13A4">
          <w:rPr>
            <w:rStyle w:val="Hyperlink"/>
            <w:noProof/>
          </w:rPr>
          <w:t>Part 1 Section 18.17.7.45, COMPLEX</w:t>
        </w:r>
        <w:r>
          <w:rPr>
            <w:noProof/>
            <w:webHidden/>
          </w:rPr>
          <w:tab/>
        </w:r>
        <w:r>
          <w:rPr>
            <w:noProof/>
            <w:webHidden/>
          </w:rPr>
          <w:fldChar w:fldCharType="begin"/>
        </w:r>
        <w:r>
          <w:rPr>
            <w:noProof/>
            <w:webHidden/>
          </w:rPr>
          <w:instrText xml:space="preserve"> PAGEREF _Toc181683935 \h </w:instrText>
        </w:r>
        <w:r>
          <w:rPr>
            <w:noProof/>
            <w:webHidden/>
          </w:rPr>
        </w:r>
        <w:r>
          <w:rPr>
            <w:noProof/>
            <w:webHidden/>
          </w:rPr>
          <w:fldChar w:fldCharType="separate"/>
        </w:r>
        <w:r>
          <w:rPr>
            <w:noProof/>
            <w:webHidden/>
          </w:rPr>
          <w:t>408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6" w:history="1">
        <w:r w:rsidRPr="001B13A4">
          <w:rPr>
            <w:rStyle w:val="Hyperlink"/>
            <w:noProof/>
          </w:rPr>
          <w:t>2.1.900</w:t>
        </w:r>
        <w:r>
          <w:rPr>
            <w:rFonts w:asciiTheme="minorHAnsi" w:eastAsiaTheme="minorEastAsia" w:hAnsiTheme="minorHAnsi" w:cstheme="minorBidi"/>
            <w:noProof/>
            <w:sz w:val="22"/>
            <w:szCs w:val="22"/>
          </w:rPr>
          <w:tab/>
        </w:r>
        <w:r w:rsidRPr="001B13A4">
          <w:rPr>
            <w:rStyle w:val="Hyperlink"/>
            <w:noProof/>
          </w:rPr>
          <w:t>Part 1 Section 18.17.7.47, CONFIDENCE</w:t>
        </w:r>
        <w:r>
          <w:rPr>
            <w:noProof/>
            <w:webHidden/>
          </w:rPr>
          <w:tab/>
        </w:r>
        <w:r>
          <w:rPr>
            <w:noProof/>
            <w:webHidden/>
          </w:rPr>
          <w:fldChar w:fldCharType="begin"/>
        </w:r>
        <w:r>
          <w:rPr>
            <w:noProof/>
            <w:webHidden/>
          </w:rPr>
          <w:instrText xml:space="preserve"> PAGEREF _Toc181683936 \h </w:instrText>
        </w:r>
        <w:r>
          <w:rPr>
            <w:noProof/>
            <w:webHidden/>
          </w:rPr>
        </w:r>
        <w:r>
          <w:rPr>
            <w:noProof/>
            <w:webHidden/>
          </w:rPr>
          <w:fldChar w:fldCharType="separate"/>
        </w:r>
        <w:r>
          <w:rPr>
            <w:noProof/>
            <w:webHidden/>
          </w:rPr>
          <w:t>408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7" w:history="1">
        <w:r w:rsidRPr="001B13A4">
          <w:rPr>
            <w:rStyle w:val="Hyperlink"/>
            <w:noProof/>
          </w:rPr>
          <w:t>2.1.901</w:t>
        </w:r>
        <w:r>
          <w:rPr>
            <w:rFonts w:asciiTheme="minorHAnsi" w:eastAsiaTheme="minorEastAsia" w:hAnsiTheme="minorHAnsi" w:cstheme="minorBidi"/>
            <w:noProof/>
            <w:sz w:val="22"/>
            <w:szCs w:val="22"/>
          </w:rPr>
          <w:tab/>
        </w:r>
        <w:r w:rsidRPr="001B13A4">
          <w:rPr>
            <w:rStyle w:val="Hyperlink"/>
            <w:noProof/>
          </w:rPr>
          <w:t>Part 1 Section 18.17.7.48, CONVERT</w:t>
        </w:r>
        <w:r>
          <w:rPr>
            <w:noProof/>
            <w:webHidden/>
          </w:rPr>
          <w:tab/>
        </w:r>
        <w:r>
          <w:rPr>
            <w:noProof/>
            <w:webHidden/>
          </w:rPr>
          <w:fldChar w:fldCharType="begin"/>
        </w:r>
        <w:r>
          <w:rPr>
            <w:noProof/>
            <w:webHidden/>
          </w:rPr>
          <w:instrText xml:space="preserve"> PAGEREF _Toc181683937 \h </w:instrText>
        </w:r>
        <w:r>
          <w:rPr>
            <w:noProof/>
            <w:webHidden/>
          </w:rPr>
        </w:r>
        <w:r>
          <w:rPr>
            <w:noProof/>
            <w:webHidden/>
          </w:rPr>
          <w:fldChar w:fldCharType="separate"/>
        </w:r>
        <w:r>
          <w:rPr>
            <w:noProof/>
            <w:webHidden/>
          </w:rPr>
          <w:t>408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8" w:history="1">
        <w:r w:rsidRPr="001B13A4">
          <w:rPr>
            <w:rStyle w:val="Hyperlink"/>
            <w:noProof/>
          </w:rPr>
          <w:t>2.1.902</w:t>
        </w:r>
        <w:r>
          <w:rPr>
            <w:rFonts w:asciiTheme="minorHAnsi" w:eastAsiaTheme="minorEastAsia" w:hAnsiTheme="minorHAnsi" w:cstheme="minorBidi"/>
            <w:noProof/>
            <w:sz w:val="22"/>
            <w:szCs w:val="22"/>
          </w:rPr>
          <w:tab/>
        </w:r>
        <w:r w:rsidRPr="001B13A4">
          <w:rPr>
            <w:rStyle w:val="Hyperlink"/>
            <w:noProof/>
          </w:rPr>
          <w:t>Part 1 Section 18.17.7.49, CORREL</w:t>
        </w:r>
        <w:r>
          <w:rPr>
            <w:noProof/>
            <w:webHidden/>
          </w:rPr>
          <w:tab/>
        </w:r>
        <w:r>
          <w:rPr>
            <w:noProof/>
            <w:webHidden/>
          </w:rPr>
          <w:fldChar w:fldCharType="begin"/>
        </w:r>
        <w:r>
          <w:rPr>
            <w:noProof/>
            <w:webHidden/>
          </w:rPr>
          <w:instrText xml:space="preserve"> PAGEREF _Toc181683938 \h </w:instrText>
        </w:r>
        <w:r>
          <w:rPr>
            <w:noProof/>
            <w:webHidden/>
          </w:rPr>
        </w:r>
        <w:r>
          <w:rPr>
            <w:noProof/>
            <w:webHidden/>
          </w:rPr>
          <w:fldChar w:fldCharType="separate"/>
        </w:r>
        <w:r>
          <w:rPr>
            <w:noProof/>
            <w:webHidden/>
          </w:rPr>
          <w:t>408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39" w:history="1">
        <w:r w:rsidRPr="001B13A4">
          <w:rPr>
            <w:rStyle w:val="Hyperlink"/>
            <w:noProof/>
          </w:rPr>
          <w:t>2.1.903</w:t>
        </w:r>
        <w:r>
          <w:rPr>
            <w:rFonts w:asciiTheme="minorHAnsi" w:eastAsiaTheme="minorEastAsia" w:hAnsiTheme="minorHAnsi" w:cstheme="minorBidi"/>
            <w:noProof/>
            <w:sz w:val="22"/>
            <w:szCs w:val="22"/>
          </w:rPr>
          <w:tab/>
        </w:r>
        <w:r w:rsidRPr="001B13A4">
          <w:rPr>
            <w:rStyle w:val="Hyperlink"/>
            <w:noProof/>
          </w:rPr>
          <w:t>Part 1 Section 18.17.7.50, COS</w:t>
        </w:r>
        <w:r>
          <w:rPr>
            <w:noProof/>
            <w:webHidden/>
          </w:rPr>
          <w:tab/>
        </w:r>
        <w:r>
          <w:rPr>
            <w:noProof/>
            <w:webHidden/>
          </w:rPr>
          <w:fldChar w:fldCharType="begin"/>
        </w:r>
        <w:r>
          <w:rPr>
            <w:noProof/>
            <w:webHidden/>
          </w:rPr>
          <w:instrText xml:space="preserve"> PAGEREF _Toc181683939 \h </w:instrText>
        </w:r>
        <w:r>
          <w:rPr>
            <w:noProof/>
            <w:webHidden/>
          </w:rPr>
        </w:r>
        <w:r>
          <w:rPr>
            <w:noProof/>
            <w:webHidden/>
          </w:rPr>
          <w:fldChar w:fldCharType="separate"/>
        </w:r>
        <w:r>
          <w:rPr>
            <w:noProof/>
            <w:webHidden/>
          </w:rPr>
          <w:t>408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0" w:history="1">
        <w:r w:rsidRPr="001B13A4">
          <w:rPr>
            <w:rStyle w:val="Hyperlink"/>
            <w:noProof/>
          </w:rPr>
          <w:t>2.1.904</w:t>
        </w:r>
        <w:r>
          <w:rPr>
            <w:rFonts w:asciiTheme="minorHAnsi" w:eastAsiaTheme="minorEastAsia" w:hAnsiTheme="minorHAnsi" w:cstheme="minorBidi"/>
            <w:noProof/>
            <w:sz w:val="22"/>
            <w:szCs w:val="22"/>
          </w:rPr>
          <w:tab/>
        </w:r>
        <w:r w:rsidRPr="001B13A4">
          <w:rPr>
            <w:rStyle w:val="Hyperlink"/>
            <w:noProof/>
          </w:rPr>
          <w:t>Part 1 Section 18.17.7.52, COUNT</w:t>
        </w:r>
        <w:r>
          <w:rPr>
            <w:noProof/>
            <w:webHidden/>
          </w:rPr>
          <w:tab/>
        </w:r>
        <w:r>
          <w:rPr>
            <w:noProof/>
            <w:webHidden/>
          </w:rPr>
          <w:fldChar w:fldCharType="begin"/>
        </w:r>
        <w:r>
          <w:rPr>
            <w:noProof/>
            <w:webHidden/>
          </w:rPr>
          <w:instrText xml:space="preserve"> PAGEREF _Toc181683940 \h </w:instrText>
        </w:r>
        <w:r>
          <w:rPr>
            <w:noProof/>
            <w:webHidden/>
          </w:rPr>
        </w:r>
        <w:r>
          <w:rPr>
            <w:noProof/>
            <w:webHidden/>
          </w:rPr>
          <w:fldChar w:fldCharType="separate"/>
        </w:r>
        <w:r>
          <w:rPr>
            <w:noProof/>
            <w:webHidden/>
          </w:rPr>
          <w:t>408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1" w:history="1">
        <w:r w:rsidRPr="001B13A4">
          <w:rPr>
            <w:rStyle w:val="Hyperlink"/>
            <w:noProof/>
          </w:rPr>
          <w:t>2.1.905</w:t>
        </w:r>
        <w:r>
          <w:rPr>
            <w:rFonts w:asciiTheme="minorHAnsi" w:eastAsiaTheme="minorEastAsia" w:hAnsiTheme="minorHAnsi" w:cstheme="minorBidi"/>
            <w:noProof/>
            <w:sz w:val="22"/>
            <w:szCs w:val="22"/>
          </w:rPr>
          <w:tab/>
        </w:r>
        <w:r w:rsidRPr="001B13A4">
          <w:rPr>
            <w:rStyle w:val="Hyperlink"/>
            <w:noProof/>
          </w:rPr>
          <w:t>Part 1 Section 18.17.7.53, COUNTA</w:t>
        </w:r>
        <w:r>
          <w:rPr>
            <w:noProof/>
            <w:webHidden/>
          </w:rPr>
          <w:tab/>
        </w:r>
        <w:r>
          <w:rPr>
            <w:noProof/>
            <w:webHidden/>
          </w:rPr>
          <w:fldChar w:fldCharType="begin"/>
        </w:r>
        <w:r>
          <w:rPr>
            <w:noProof/>
            <w:webHidden/>
          </w:rPr>
          <w:instrText xml:space="preserve"> PAGEREF _Toc181683941 \h </w:instrText>
        </w:r>
        <w:r>
          <w:rPr>
            <w:noProof/>
            <w:webHidden/>
          </w:rPr>
        </w:r>
        <w:r>
          <w:rPr>
            <w:noProof/>
            <w:webHidden/>
          </w:rPr>
          <w:fldChar w:fldCharType="separate"/>
        </w:r>
        <w:r>
          <w:rPr>
            <w:noProof/>
            <w:webHidden/>
          </w:rPr>
          <w:t>409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2" w:history="1">
        <w:r w:rsidRPr="001B13A4">
          <w:rPr>
            <w:rStyle w:val="Hyperlink"/>
            <w:noProof/>
          </w:rPr>
          <w:t>2.1.906</w:t>
        </w:r>
        <w:r>
          <w:rPr>
            <w:rFonts w:asciiTheme="minorHAnsi" w:eastAsiaTheme="minorEastAsia" w:hAnsiTheme="minorHAnsi" w:cstheme="minorBidi"/>
            <w:noProof/>
            <w:sz w:val="22"/>
            <w:szCs w:val="22"/>
          </w:rPr>
          <w:tab/>
        </w:r>
        <w:r w:rsidRPr="001B13A4">
          <w:rPr>
            <w:rStyle w:val="Hyperlink"/>
            <w:noProof/>
          </w:rPr>
          <w:t>Part 1 Section 18.17.7.56, COUNTIFS</w:t>
        </w:r>
        <w:r>
          <w:rPr>
            <w:noProof/>
            <w:webHidden/>
          </w:rPr>
          <w:tab/>
        </w:r>
        <w:r>
          <w:rPr>
            <w:noProof/>
            <w:webHidden/>
          </w:rPr>
          <w:fldChar w:fldCharType="begin"/>
        </w:r>
        <w:r>
          <w:rPr>
            <w:noProof/>
            <w:webHidden/>
          </w:rPr>
          <w:instrText xml:space="preserve"> PAGEREF _Toc181683942 \h </w:instrText>
        </w:r>
        <w:r>
          <w:rPr>
            <w:noProof/>
            <w:webHidden/>
          </w:rPr>
        </w:r>
        <w:r>
          <w:rPr>
            <w:noProof/>
            <w:webHidden/>
          </w:rPr>
          <w:fldChar w:fldCharType="separate"/>
        </w:r>
        <w:r>
          <w:rPr>
            <w:noProof/>
            <w:webHidden/>
          </w:rPr>
          <w:t>409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3" w:history="1">
        <w:r w:rsidRPr="001B13A4">
          <w:rPr>
            <w:rStyle w:val="Hyperlink"/>
            <w:noProof/>
          </w:rPr>
          <w:t>2.1.907</w:t>
        </w:r>
        <w:r>
          <w:rPr>
            <w:rFonts w:asciiTheme="minorHAnsi" w:eastAsiaTheme="minorEastAsia" w:hAnsiTheme="minorHAnsi" w:cstheme="minorBidi"/>
            <w:noProof/>
            <w:sz w:val="22"/>
            <w:szCs w:val="22"/>
          </w:rPr>
          <w:tab/>
        </w:r>
        <w:r w:rsidRPr="001B13A4">
          <w:rPr>
            <w:rStyle w:val="Hyperlink"/>
            <w:noProof/>
          </w:rPr>
          <w:t>Part 1 Section 18.17.7.57, COUPDAYBS</w:t>
        </w:r>
        <w:r>
          <w:rPr>
            <w:noProof/>
            <w:webHidden/>
          </w:rPr>
          <w:tab/>
        </w:r>
        <w:r>
          <w:rPr>
            <w:noProof/>
            <w:webHidden/>
          </w:rPr>
          <w:fldChar w:fldCharType="begin"/>
        </w:r>
        <w:r>
          <w:rPr>
            <w:noProof/>
            <w:webHidden/>
          </w:rPr>
          <w:instrText xml:space="preserve"> PAGEREF _Toc181683943 \h </w:instrText>
        </w:r>
        <w:r>
          <w:rPr>
            <w:noProof/>
            <w:webHidden/>
          </w:rPr>
        </w:r>
        <w:r>
          <w:rPr>
            <w:noProof/>
            <w:webHidden/>
          </w:rPr>
          <w:fldChar w:fldCharType="separate"/>
        </w:r>
        <w:r>
          <w:rPr>
            <w:noProof/>
            <w:webHidden/>
          </w:rPr>
          <w:t>409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4" w:history="1">
        <w:r w:rsidRPr="001B13A4">
          <w:rPr>
            <w:rStyle w:val="Hyperlink"/>
            <w:noProof/>
          </w:rPr>
          <w:t>2.1.908</w:t>
        </w:r>
        <w:r>
          <w:rPr>
            <w:rFonts w:asciiTheme="minorHAnsi" w:eastAsiaTheme="minorEastAsia" w:hAnsiTheme="minorHAnsi" w:cstheme="minorBidi"/>
            <w:noProof/>
            <w:sz w:val="22"/>
            <w:szCs w:val="22"/>
          </w:rPr>
          <w:tab/>
        </w:r>
        <w:r w:rsidRPr="001B13A4">
          <w:rPr>
            <w:rStyle w:val="Hyperlink"/>
            <w:noProof/>
          </w:rPr>
          <w:t>Part 1 Section 18.17.7.58, COUPDAYS</w:t>
        </w:r>
        <w:r>
          <w:rPr>
            <w:noProof/>
            <w:webHidden/>
          </w:rPr>
          <w:tab/>
        </w:r>
        <w:r>
          <w:rPr>
            <w:noProof/>
            <w:webHidden/>
          </w:rPr>
          <w:fldChar w:fldCharType="begin"/>
        </w:r>
        <w:r>
          <w:rPr>
            <w:noProof/>
            <w:webHidden/>
          </w:rPr>
          <w:instrText xml:space="preserve"> PAGEREF _Toc181683944 \h </w:instrText>
        </w:r>
        <w:r>
          <w:rPr>
            <w:noProof/>
            <w:webHidden/>
          </w:rPr>
        </w:r>
        <w:r>
          <w:rPr>
            <w:noProof/>
            <w:webHidden/>
          </w:rPr>
          <w:fldChar w:fldCharType="separate"/>
        </w:r>
        <w:r>
          <w:rPr>
            <w:noProof/>
            <w:webHidden/>
          </w:rPr>
          <w:t>410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5" w:history="1">
        <w:r w:rsidRPr="001B13A4">
          <w:rPr>
            <w:rStyle w:val="Hyperlink"/>
            <w:noProof/>
          </w:rPr>
          <w:t>2.1.909</w:t>
        </w:r>
        <w:r>
          <w:rPr>
            <w:rFonts w:asciiTheme="minorHAnsi" w:eastAsiaTheme="minorEastAsia" w:hAnsiTheme="minorHAnsi" w:cstheme="minorBidi"/>
            <w:noProof/>
            <w:sz w:val="22"/>
            <w:szCs w:val="22"/>
          </w:rPr>
          <w:tab/>
        </w:r>
        <w:r w:rsidRPr="001B13A4">
          <w:rPr>
            <w:rStyle w:val="Hyperlink"/>
            <w:noProof/>
          </w:rPr>
          <w:t>Part 1 Section 18.17.7.59, COUPDAYSNC</w:t>
        </w:r>
        <w:r>
          <w:rPr>
            <w:noProof/>
            <w:webHidden/>
          </w:rPr>
          <w:tab/>
        </w:r>
        <w:r>
          <w:rPr>
            <w:noProof/>
            <w:webHidden/>
          </w:rPr>
          <w:fldChar w:fldCharType="begin"/>
        </w:r>
        <w:r>
          <w:rPr>
            <w:noProof/>
            <w:webHidden/>
          </w:rPr>
          <w:instrText xml:space="preserve"> PAGEREF _Toc181683945 \h </w:instrText>
        </w:r>
        <w:r>
          <w:rPr>
            <w:noProof/>
            <w:webHidden/>
          </w:rPr>
        </w:r>
        <w:r>
          <w:rPr>
            <w:noProof/>
            <w:webHidden/>
          </w:rPr>
          <w:fldChar w:fldCharType="separate"/>
        </w:r>
        <w:r>
          <w:rPr>
            <w:noProof/>
            <w:webHidden/>
          </w:rPr>
          <w:t>410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6" w:history="1">
        <w:r w:rsidRPr="001B13A4">
          <w:rPr>
            <w:rStyle w:val="Hyperlink"/>
            <w:noProof/>
          </w:rPr>
          <w:t>2.1.910</w:t>
        </w:r>
        <w:r>
          <w:rPr>
            <w:rFonts w:asciiTheme="minorHAnsi" w:eastAsiaTheme="minorEastAsia" w:hAnsiTheme="minorHAnsi" w:cstheme="minorBidi"/>
            <w:noProof/>
            <w:sz w:val="22"/>
            <w:szCs w:val="22"/>
          </w:rPr>
          <w:tab/>
        </w:r>
        <w:r w:rsidRPr="001B13A4">
          <w:rPr>
            <w:rStyle w:val="Hyperlink"/>
            <w:noProof/>
          </w:rPr>
          <w:t>Part 1 Section 18.17.7.60, COUPNCD</w:t>
        </w:r>
        <w:r>
          <w:rPr>
            <w:noProof/>
            <w:webHidden/>
          </w:rPr>
          <w:tab/>
        </w:r>
        <w:r>
          <w:rPr>
            <w:noProof/>
            <w:webHidden/>
          </w:rPr>
          <w:fldChar w:fldCharType="begin"/>
        </w:r>
        <w:r>
          <w:rPr>
            <w:noProof/>
            <w:webHidden/>
          </w:rPr>
          <w:instrText xml:space="preserve"> PAGEREF _Toc181683946 \h </w:instrText>
        </w:r>
        <w:r>
          <w:rPr>
            <w:noProof/>
            <w:webHidden/>
          </w:rPr>
        </w:r>
        <w:r>
          <w:rPr>
            <w:noProof/>
            <w:webHidden/>
          </w:rPr>
          <w:fldChar w:fldCharType="separate"/>
        </w:r>
        <w:r>
          <w:rPr>
            <w:noProof/>
            <w:webHidden/>
          </w:rPr>
          <w:t>411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7" w:history="1">
        <w:r w:rsidRPr="001B13A4">
          <w:rPr>
            <w:rStyle w:val="Hyperlink"/>
            <w:noProof/>
          </w:rPr>
          <w:t>2.1.911</w:t>
        </w:r>
        <w:r>
          <w:rPr>
            <w:rFonts w:asciiTheme="minorHAnsi" w:eastAsiaTheme="minorEastAsia" w:hAnsiTheme="minorHAnsi" w:cstheme="minorBidi"/>
            <w:noProof/>
            <w:sz w:val="22"/>
            <w:szCs w:val="22"/>
          </w:rPr>
          <w:tab/>
        </w:r>
        <w:r w:rsidRPr="001B13A4">
          <w:rPr>
            <w:rStyle w:val="Hyperlink"/>
            <w:noProof/>
          </w:rPr>
          <w:t>Part 1 Section 18.17.7.61, COUPNUM</w:t>
        </w:r>
        <w:r>
          <w:rPr>
            <w:noProof/>
            <w:webHidden/>
          </w:rPr>
          <w:tab/>
        </w:r>
        <w:r>
          <w:rPr>
            <w:noProof/>
            <w:webHidden/>
          </w:rPr>
          <w:fldChar w:fldCharType="begin"/>
        </w:r>
        <w:r>
          <w:rPr>
            <w:noProof/>
            <w:webHidden/>
          </w:rPr>
          <w:instrText xml:space="preserve"> PAGEREF _Toc181683947 \h </w:instrText>
        </w:r>
        <w:r>
          <w:rPr>
            <w:noProof/>
            <w:webHidden/>
          </w:rPr>
        </w:r>
        <w:r>
          <w:rPr>
            <w:noProof/>
            <w:webHidden/>
          </w:rPr>
          <w:fldChar w:fldCharType="separate"/>
        </w:r>
        <w:r>
          <w:rPr>
            <w:noProof/>
            <w:webHidden/>
          </w:rPr>
          <w:t>412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8" w:history="1">
        <w:r w:rsidRPr="001B13A4">
          <w:rPr>
            <w:rStyle w:val="Hyperlink"/>
            <w:noProof/>
          </w:rPr>
          <w:t>2.1.912</w:t>
        </w:r>
        <w:r>
          <w:rPr>
            <w:rFonts w:asciiTheme="minorHAnsi" w:eastAsiaTheme="minorEastAsia" w:hAnsiTheme="minorHAnsi" w:cstheme="minorBidi"/>
            <w:noProof/>
            <w:sz w:val="22"/>
            <w:szCs w:val="22"/>
          </w:rPr>
          <w:tab/>
        </w:r>
        <w:r w:rsidRPr="001B13A4">
          <w:rPr>
            <w:rStyle w:val="Hyperlink"/>
            <w:noProof/>
          </w:rPr>
          <w:t>Part 1 Section 18.17.7.62, COUPPCD</w:t>
        </w:r>
        <w:r>
          <w:rPr>
            <w:noProof/>
            <w:webHidden/>
          </w:rPr>
          <w:tab/>
        </w:r>
        <w:r>
          <w:rPr>
            <w:noProof/>
            <w:webHidden/>
          </w:rPr>
          <w:fldChar w:fldCharType="begin"/>
        </w:r>
        <w:r>
          <w:rPr>
            <w:noProof/>
            <w:webHidden/>
          </w:rPr>
          <w:instrText xml:space="preserve"> PAGEREF _Toc181683948 \h </w:instrText>
        </w:r>
        <w:r>
          <w:rPr>
            <w:noProof/>
            <w:webHidden/>
          </w:rPr>
        </w:r>
        <w:r>
          <w:rPr>
            <w:noProof/>
            <w:webHidden/>
          </w:rPr>
          <w:fldChar w:fldCharType="separate"/>
        </w:r>
        <w:r>
          <w:rPr>
            <w:noProof/>
            <w:webHidden/>
          </w:rPr>
          <w:t>413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49" w:history="1">
        <w:r w:rsidRPr="001B13A4">
          <w:rPr>
            <w:rStyle w:val="Hyperlink"/>
            <w:noProof/>
          </w:rPr>
          <w:t>2.1.913</w:t>
        </w:r>
        <w:r>
          <w:rPr>
            <w:rFonts w:asciiTheme="minorHAnsi" w:eastAsiaTheme="minorEastAsia" w:hAnsiTheme="minorHAnsi" w:cstheme="minorBidi"/>
            <w:noProof/>
            <w:sz w:val="22"/>
            <w:szCs w:val="22"/>
          </w:rPr>
          <w:tab/>
        </w:r>
        <w:r w:rsidRPr="001B13A4">
          <w:rPr>
            <w:rStyle w:val="Hyperlink"/>
            <w:noProof/>
          </w:rPr>
          <w:t>Part 1 Section 18.17.7.64, CRITBINOM</w:t>
        </w:r>
        <w:r>
          <w:rPr>
            <w:noProof/>
            <w:webHidden/>
          </w:rPr>
          <w:tab/>
        </w:r>
        <w:r>
          <w:rPr>
            <w:noProof/>
            <w:webHidden/>
          </w:rPr>
          <w:fldChar w:fldCharType="begin"/>
        </w:r>
        <w:r>
          <w:rPr>
            <w:noProof/>
            <w:webHidden/>
          </w:rPr>
          <w:instrText xml:space="preserve"> PAGEREF _Toc181683949 \h </w:instrText>
        </w:r>
        <w:r>
          <w:rPr>
            <w:noProof/>
            <w:webHidden/>
          </w:rPr>
        </w:r>
        <w:r>
          <w:rPr>
            <w:noProof/>
            <w:webHidden/>
          </w:rPr>
          <w:fldChar w:fldCharType="separate"/>
        </w:r>
        <w:r>
          <w:rPr>
            <w:noProof/>
            <w:webHidden/>
          </w:rPr>
          <w:t>414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0" w:history="1">
        <w:r w:rsidRPr="001B13A4">
          <w:rPr>
            <w:rStyle w:val="Hyperlink"/>
            <w:noProof/>
          </w:rPr>
          <w:t>2.1.914</w:t>
        </w:r>
        <w:r>
          <w:rPr>
            <w:rFonts w:asciiTheme="minorHAnsi" w:eastAsiaTheme="minorEastAsia" w:hAnsiTheme="minorHAnsi" w:cstheme="minorBidi"/>
            <w:noProof/>
            <w:sz w:val="22"/>
            <w:szCs w:val="22"/>
          </w:rPr>
          <w:tab/>
        </w:r>
        <w:r w:rsidRPr="001B13A4">
          <w:rPr>
            <w:rStyle w:val="Hyperlink"/>
            <w:noProof/>
          </w:rPr>
          <w:t>Part 1 Section 18.17.7.65, CUBEKPIMEMBER</w:t>
        </w:r>
        <w:r>
          <w:rPr>
            <w:noProof/>
            <w:webHidden/>
          </w:rPr>
          <w:tab/>
        </w:r>
        <w:r>
          <w:rPr>
            <w:noProof/>
            <w:webHidden/>
          </w:rPr>
          <w:fldChar w:fldCharType="begin"/>
        </w:r>
        <w:r>
          <w:rPr>
            <w:noProof/>
            <w:webHidden/>
          </w:rPr>
          <w:instrText xml:space="preserve"> PAGEREF _Toc181683950 \h </w:instrText>
        </w:r>
        <w:r>
          <w:rPr>
            <w:noProof/>
            <w:webHidden/>
          </w:rPr>
        </w:r>
        <w:r>
          <w:rPr>
            <w:noProof/>
            <w:webHidden/>
          </w:rPr>
          <w:fldChar w:fldCharType="separate"/>
        </w:r>
        <w:r>
          <w:rPr>
            <w:noProof/>
            <w:webHidden/>
          </w:rPr>
          <w:t>414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1" w:history="1">
        <w:r w:rsidRPr="001B13A4">
          <w:rPr>
            <w:rStyle w:val="Hyperlink"/>
            <w:noProof/>
          </w:rPr>
          <w:t>2.1.915</w:t>
        </w:r>
        <w:r>
          <w:rPr>
            <w:rFonts w:asciiTheme="minorHAnsi" w:eastAsiaTheme="minorEastAsia" w:hAnsiTheme="minorHAnsi" w:cstheme="minorBidi"/>
            <w:noProof/>
            <w:sz w:val="22"/>
            <w:szCs w:val="22"/>
          </w:rPr>
          <w:tab/>
        </w:r>
        <w:r w:rsidRPr="001B13A4">
          <w:rPr>
            <w:rStyle w:val="Hyperlink"/>
            <w:noProof/>
          </w:rPr>
          <w:t>Part 1 Section 18.17.7.69, CUBESET</w:t>
        </w:r>
        <w:r>
          <w:rPr>
            <w:noProof/>
            <w:webHidden/>
          </w:rPr>
          <w:tab/>
        </w:r>
        <w:r>
          <w:rPr>
            <w:noProof/>
            <w:webHidden/>
          </w:rPr>
          <w:fldChar w:fldCharType="begin"/>
        </w:r>
        <w:r>
          <w:rPr>
            <w:noProof/>
            <w:webHidden/>
          </w:rPr>
          <w:instrText xml:space="preserve"> PAGEREF _Toc181683951 \h </w:instrText>
        </w:r>
        <w:r>
          <w:rPr>
            <w:noProof/>
            <w:webHidden/>
          </w:rPr>
        </w:r>
        <w:r>
          <w:rPr>
            <w:noProof/>
            <w:webHidden/>
          </w:rPr>
          <w:fldChar w:fldCharType="separate"/>
        </w:r>
        <w:r>
          <w:rPr>
            <w:noProof/>
            <w:webHidden/>
          </w:rPr>
          <w:t>414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2" w:history="1">
        <w:r w:rsidRPr="001B13A4">
          <w:rPr>
            <w:rStyle w:val="Hyperlink"/>
            <w:noProof/>
          </w:rPr>
          <w:t>2.1.916</w:t>
        </w:r>
        <w:r>
          <w:rPr>
            <w:rFonts w:asciiTheme="minorHAnsi" w:eastAsiaTheme="minorEastAsia" w:hAnsiTheme="minorHAnsi" w:cstheme="minorBidi"/>
            <w:noProof/>
            <w:sz w:val="22"/>
            <w:szCs w:val="22"/>
          </w:rPr>
          <w:tab/>
        </w:r>
        <w:r w:rsidRPr="001B13A4">
          <w:rPr>
            <w:rStyle w:val="Hyperlink"/>
            <w:noProof/>
          </w:rPr>
          <w:t>Part 1 Section 18.17.7.70, CUBESETCOUNT</w:t>
        </w:r>
        <w:r>
          <w:rPr>
            <w:noProof/>
            <w:webHidden/>
          </w:rPr>
          <w:tab/>
        </w:r>
        <w:r>
          <w:rPr>
            <w:noProof/>
            <w:webHidden/>
          </w:rPr>
          <w:fldChar w:fldCharType="begin"/>
        </w:r>
        <w:r>
          <w:rPr>
            <w:noProof/>
            <w:webHidden/>
          </w:rPr>
          <w:instrText xml:space="preserve"> PAGEREF _Toc181683952 \h </w:instrText>
        </w:r>
        <w:r>
          <w:rPr>
            <w:noProof/>
            <w:webHidden/>
          </w:rPr>
        </w:r>
        <w:r>
          <w:rPr>
            <w:noProof/>
            <w:webHidden/>
          </w:rPr>
          <w:fldChar w:fldCharType="separate"/>
        </w:r>
        <w:r>
          <w:rPr>
            <w:noProof/>
            <w:webHidden/>
          </w:rPr>
          <w:t>414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3" w:history="1">
        <w:r w:rsidRPr="001B13A4">
          <w:rPr>
            <w:rStyle w:val="Hyperlink"/>
            <w:noProof/>
          </w:rPr>
          <w:t>2.1.917</w:t>
        </w:r>
        <w:r>
          <w:rPr>
            <w:rFonts w:asciiTheme="minorHAnsi" w:eastAsiaTheme="minorEastAsia" w:hAnsiTheme="minorHAnsi" w:cstheme="minorBidi"/>
            <w:noProof/>
            <w:sz w:val="22"/>
            <w:szCs w:val="22"/>
          </w:rPr>
          <w:tab/>
        </w:r>
        <w:r w:rsidRPr="001B13A4">
          <w:rPr>
            <w:rStyle w:val="Hyperlink"/>
            <w:noProof/>
          </w:rPr>
          <w:t>Part 1 Section 18.17.7.72, CUMIPMT</w:t>
        </w:r>
        <w:r>
          <w:rPr>
            <w:noProof/>
            <w:webHidden/>
          </w:rPr>
          <w:tab/>
        </w:r>
        <w:r>
          <w:rPr>
            <w:noProof/>
            <w:webHidden/>
          </w:rPr>
          <w:fldChar w:fldCharType="begin"/>
        </w:r>
        <w:r>
          <w:rPr>
            <w:noProof/>
            <w:webHidden/>
          </w:rPr>
          <w:instrText xml:space="preserve"> PAGEREF _Toc181683953 \h </w:instrText>
        </w:r>
        <w:r>
          <w:rPr>
            <w:noProof/>
            <w:webHidden/>
          </w:rPr>
        </w:r>
        <w:r>
          <w:rPr>
            <w:noProof/>
            <w:webHidden/>
          </w:rPr>
          <w:fldChar w:fldCharType="separate"/>
        </w:r>
        <w:r>
          <w:rPr>
            <w:noProof/>
            <w:webHidden/>
          </w:rPr>
          <w:t>414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4" w:history="1">
        <w:r w:rsidRPr="001B13A4">
          <w:rPr>
            <w:rStyle w:val="Hyperlink"/>
            <w:noProof/>
          </w:rPr>
          <w:t>2.1.918</w:t>
        </w:r>
        <w:r>
          <w:rPr>
            <w:rFonts w:asciiTheme="minorHAnsi" w:eastAsiaTheme="minorEastAsia" w:hAnsiTheme="minorHAnsi" w:cstheme="minorBidi"/>
            <w:noProof/>
            <w:sz w:val="22"/>
            <w:szCs w:val="22"/>
          </w:rPr>
          <w:tab/>
        </w:r>
        <w:r w:rsidRPr="001B13A4">
          <w:rPr>
            <w:rStyle w:val="Hyperlink"/>
            <w:noProof/>
          </w:rPr>
          <w:t>Part 1 Section 18.17.7.73, CUMPRINC</w:t>
        </w:r>
        <w:r>
          <w:rPr>
            <w:noProof/>
            <w:webHidden/>
          </w:rPr>
          <w:tab/>
        </w:r>
        <w:r>
          <w:rPr>
            <w:noProof/>
            <w:webHidden/>
          </w:rPr>
          <w:fldChar w:fldCharType="begin"/>
        </w:r>
        <w:r>
          <w:rPr>
            <w:noProof/>
            <w:webHidden/>
          </w:rPr>
          <w:instrText xml:space="preserve"> PAGEREF _Toc181683954 \h </w:instrText>
        </w:r>
        <w:r>
          <w:rPr>
            <w:noProof/>
            <w:webHidden/>
          </w:rPr>
        </w:r>
        <w:r>
          <w:rPr>
            <w:noProof/>
            <w:webHidden/>
          </w:rPr>
          <w:fldChar w:fldCharType="separate"/>
        </w:r>
        <w:r>
          <w:rPr>
            <w:noProof/>
            <w:webHidden/>
          </w:rPr>
          <w:t>415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5" w:history="1">
        <w:r w:rsidRPr="001B13A4">
          <w:rPr>
            <w:rStyle w:val="Hyperlink"/>
            <w:noProof/>
          </w:rPr>
          <w:t>2.1.919</w:t>
        </w:r>
        <w:r>
          <w:rPr>
            <w:rFonts w:asciiTheme="minorHAnsi" w:eastAsiaTheme="minorEastAsia" w:hAnsiTheme="minorHAnsi" w:cstheme="minorBidi"/>
            <w:noProof/>
            <w:sz w:val="22"/>
            <w:szCs w:val="22"/>
          </w:rPr>
          <w:tab/>
        </w:r>
        <w:r w:rsidRPr="001B13A4">
          <w:rPr>
            <w:rStyle w:val="Hyperlink"/>
            <w:noProof/>
          </w:rPr>
          <w:t>Part 1 Section 18.17.7.74, DATE</w:t>
        </w:r>
        <w:r>
          <w:rPr>
            <w:noProof/>
            <w:webHidden/>
          </w:rPr>
          <w:tab/>
        </w:r>
        <w:r>
          <w:rPr>
            <w:noProof/>
            <w:webHidden/>
          </w:rPr>
          <w:fldChar w:fldCharType="begin"/>
        </w:r>
        <w:r>
          <w:rPr>
            <w:noProof/>
            <w:webHidden/>
          </w:rPr>
          <w:instrText xml:space="preserve"> PAGEREF _Toc181683955 \h </w:instrText>
        </w:r>
        <w:r>
          <w:rPr>
            <w:noProof/>
            <w:webHidden/>
          </w:rPr>
        </w:r>
        <w:r>
          <w:rPr>
            <w:noProof/>
            <w:webHidden/>
          </w:rPr>
          <w:fldChar w:fldCharType="separate"/>
        </w:r>
        <w:r>
          <w:rPr>
            <w:noProof/>
            <w:webHidden/>
          </w:rPr>
          <w:t>415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6" w:history="1">
        <w:r w:rsidRPr="001B13A4">
          <w:rPr>
            <w:rStyle w:val="Hyperlink"/>
            <w:noProof/>
          </w:rPr>
          <w:t>2.1.920</w:t>
        </w:r>
        <w:r>
          <w:rPr>
            <w:rFonts w:asciiTheme="minorHAnsi" w:eastAsiaTheme="minorEastAsia" w:hAnsiTheme="minorHAnsi" w:cstheme="minorBidi"/>
            <w:noProof/>
            <w:sz w:val="22"/>
            <w:szCs w:val="22"/>
          </w:rPr>
          <w:tab/>
        </w:r>
        <w:r w:rsidRPr="001B13A4">
          <w:rPr>
            <w:rStyle w:val="Hyperlink"/>
            <w:noProof/>
          </w:rPr>
          <w:t>Part 1 Section 18.17.7.76, DATEVALUE</w:t>
        </w:r>
        <w:r>
          <w:rPr>
            <w:noProof/>
            <w:webHidden/>
          </w:rPr>
          <w:tab/>
        </w:r>
        <w:r>
          <w:rPr>
            <w:noProof/>
            <w:webHidden/>
          </w:rPr>
          <w:fldChar w:fldCharType="begin"/>
        </w:r>
        <w:r>
          <w:rPr>
            <w:noProof/>
            <w:webHidden/>
          </w:rPr>
          <w:instrText xml:space="preserve"> PAGEREF _Toc181683956 \h </w:instrText>
        </w:r>
        <w:r>
          <w:rPr>
            <w:noProof/>
            <w:webHidden/>
          </w:rPr>
        </w:r>
        <w:r>
          <w:rPr>
            <w:noProof/>
            <w:webHidden/>
          </w:rPr>
          <w:fldChar w:fldCharType="separate"/>
        </w:r>
        <w:r>
          <w:rPr>
            <w:noProof/>
            <w:webHidden/>
          </w:rPr>
          <w:t>415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7" w:history="1">
        <w:r w:rsidRPr="001B13A4">
          <w:rPr>
            <w:rStyle w:val="Hyperlink"/>
            <w:noProof/>
          </w:rPr>
          <w:t>2.1.921</w:t>
        </w:r>
        <w:r>
          <w:rPr>
            <w:rFonts w:asciiTheme="minorHAnsi" w:eastAsiaTheme="minorEastAsia" w:hAnsiTheme="minorHAnsi" w:cstheme="minorBidi"/>
            <w:noProof/>
            <w:sz w:val="22"/>
            <w:szCs w:val="22"/>
          </w:rPr>
          <w:tab/>
        </w:r>
        <w:r w:rsidRPr="001B13A4">
          <w:rPr>
            <w:rStyle w:val="Hyperlink"/>
            <w:noProof/>
          </w:rPr>
          <w:t>Part 1 Section 18.17.7.77, DAVERAGE</w:t>
        </w:r>
        <w:r>
          <w:rPr>
            <w:noProof/>
            <w:webHidden/>
          </w:rPr>
          <w:tab/>
        </w:r>
        <w:r>
          <w:rPr>
            <w:noProof/>
            <w:webHidden/>
          </w:rPr>
          <w:fldChar w:fldCharType="begin"/>
        </w:r>
        <w:r>
          <w:rPr>
            <w:noProof/>
            <w:webHidden/>
          </w:rPr>
          <w:instrText xml:space="preserve"> PAGEREF _Toc181683957 \h </w:instrText>
        </w:r>
        <w:r>
          <w:rPr>
            <w:noProof/>
            <w:webHidden/>
          </w:rPr>
        </w:r>
        <w:r>
          <w:rPr>
            <w:noProof/>
            <w:webHidden/>
          </w:rPr>
          <w:fldChar w:fldCharType="separate"/>
        </w:r>
        <w:r>
          <w:rPr>
            <w:noProof/>
            <w:webHidden/>
          </w:rPr>
          <w:t>416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8" w:history="1">
        <w:r w:rsidRPr="001B13A4">
          <w:rPr>
            <w:rStyle w:val="Hyperlink"/>
            <w:noProof/>
          </w:rPr>
          <w:t>2.1.922</w:t>
        </w:r>
        <w:r>
          <w:rPr>
            <w:rFonts w:asciiTheme="minorHAnsi" w:eastAsiaTheme="minorEastAsia" w:hAnsiTheme="minorHAnsi" w:cstheme="minorBidi"/>
            <w:noProof/>
            <w:sz w:val="22"/>
            <w:szCs w:val="22"/>
          </w:rPr>
          <w:tab/>
        </w:r>
        <w:r w:rsidRPr="001B13A4">
          <w:rPr>
            <w:rStyle w:val="Hyperlink"/>
            <w:noProof/>
          </w:rPr>
          <w:t>Part 1 Section 18.17.7.78, DAY</w:t>
        </w:r>
        <w:r>
          <w:rPr>
            <w:noProof/>
            <w:webHidden/>
          </w:rPr>
          <w:tab/>
        </w:r>
        <w:r>
          <w:rPr>
            <w:noProof/>
            <w:webHidden/>
          </w:rPr>
          <w:fldChar w:fldCharType="begin"/>
        </w:r>
        <w:r>
          <w:rPr>
            <w:noProof/>
            <w:webHidden/>
          </w:rPr>
          <w:instrText xml:space="preserve"> PAGEREF _Toc181683958 \h </w:instrText>
        </w:r>
        <w:r>
          <w:rPr>
            <w:noProof/>
            <w:webHidden/>
          </w:rPr>
        </w:r>
        <w:r>
          <w:rPr>
            <w:noProof/>
            <w:webHidden/>
          </w:rPr>
          <w:fldChar w:fldCharType="separate"/>
        </w:r>
        <w:r>
          <w:rPr>
            <w:noProof/>
            <w:webHidden/>
          </w:rPr>
          <w:t>416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59" w:history="1">
        <w:r w:rsidRPr="001B13A4">
          <w:rPr>
            <w:rStyle w:val="Hyperlink"/>
            <w:noProof/>
          </w:rPr>
          <w:t>2.1.923</w:t>
        </w:r>
        <w:r>
          <w:rPr>
            <w:rFonts w:asciiTheme="minorHAnsi" w:eastAsiaTheme="minorEastAsia" w:hAnsiTheme="minorHAnsi" w:cstheme="minorBidi"/>
            <w:noProof/>
            <w:sz w:val="22"/>
            <w:szCs w:val="22"/>
          </w:rPr>
          <w:tab/>
        </w:r>
        <w:r w:rsidRPr="001B13A4">
          <w:rPr>
            <w:rStyle w:val="Hyperlink"/>
            <w:noProof/>
          </w:rPr>
          <w:t>Part 1 Section 18.17.7.79, DAYS360</w:t>
        </w:r>
        <w:r>
          <w:rPr>
            <w:noProof/>
            <w:webHidden/>
          </w:rPr>
          <w:tab/>
        </w:r>
        <w:r>
          <w:rPr>
            <w:noProof/>
            <w:webHidden/>
          </w:rPr>
          <w:fldChar w:fldCharType="begin"/>
        </w:r>
        <w:r>
          <w:rPr>
            <w:noProof/>
            <w:webHidden/>
          </w:rPr>
          <w:instrText xml:space="preserve"> PAGEREF _Toc181683959 \h </w:instrText>
        </w:r>
        <w:r>
          <w:rPr>
            <w:noProof/>
            <w:webHidden/>
          </w:rPr>
        </w:r>
        <w:r>
          <w:rPr>
            <w:noProof/>
            <w:webHidden/>
          </w:rPr>
          <w:fldChar w:fldCharType="separate"/>
        </w:r>
        <w:r>
          <w:rPr>
            <w:noProof/>
            <w:webHidden/>
          </w:rPr>
          <w:t>416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0" w:history="1">
        <w:r w:rsidRPr="001B13A4">
          <w:rPr>
            <w:rStyle w:val="Hyperlink"/>
            <w:noProof/>
          </w:rPr>
          <w:t>2.1.924</w:t>
        </w:r>
        <w:r>
          <w:rPr>
            <w:rFonts w:asciiTheme="minorHAnsi" w:eastAsiaTheme="minorEastAsia" w:hAnsiTheme="minorHAnsi" w:cstheme="minorBidi"/>
            <w:noProof/>
            <w:sz w:val="22"/>
            <w:szCs w:val="22"/>
          </w:rPr>
          <w:tab/>
        </w:r>
        <w:r w:rsidRPr="001B13A4">
          <w:rPr>
            <w:rStyle w:val="Hyperlink"/>
            <w:noProof/>
          </w:rPr>
          <w:t>Part 1 Section 18.17.7.80, DB</w:t>
        </w:r>
        <w:r>
          <w:rPr>
            <w:noProof/>
            <w:webHidden/>
          </w:rPr>
          <w:tab/>
        </w:r>
        <w:r>
          <w:rPr>
            <w:noProof/>
            <w:webHidden/>
          </w:rPr>
          <w:fldChar w:fldCharType="begin"/>
        </w:r>
        <w:r>
          <w:rPr>
            <w:noProof/>
            <w:webHidden/>
          </w:rPr>
          <w:instrText xml:space="preserve"> PAGEREF _Toc181683960 \h </w:instrText>
        </w:r>
        <w:r>
          <w:rPr>
            <w:noProof/>
            <w:webHidden/>
          </w:rPr>
        </w:r>
        <w:r>
          <w:rPr>
            <w:noProof/>
            <w:webHidden/>
          </w:rPr>
          <w:fldChar w:fldCharType="separate"/>
        </w:r>
        <w:r>
          <w:rPr>
            <w:noProof/>
            <w:webHidden/>
          </w:rPr>
          <w:t>416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1" w:history="1">
        <w:r w:rsidRPr="001B13A4">
          <w:rPr>
            <w:rStyle w:val="Hyperlink"/>
            <w:noProof/>
          </w:rPr>
          <w:t>2.1.925</w:t>
        </w:r>
        <w:r>
          <w:rPr>
            <w:rFonts w:asciiTheme="minorHAnsi" w:eastAsiaTheme="minorEastAsia" w:hAnsiTheme="minorHAnsi" w:cstheme="minorBidi"/>
            <w:noProof/>
            <w:sz w:val="22"/>
            <w:szCs w:val="22"/>
          </w:rPr>
          <w:tab/>
        </w:r>
        <w:r w:rsidRPr="001B13A4">
          <w:rPr>
            <w:rStyle w:val="Hyperlink"/>
            <w:noProof/>
          </w:rPr>
          <w:t>Part 1 Section 18.17.7.81, DCOUNT</w:t>
        </w:r>
        <w:r>
          <w:rPr>
            <w:noProof/>
            <w:webHidden/>
          </w:rPr>
          <w:tab/>
        </w:r>
        <w:r>
          <w:rPr>
            <w:noProof/>
            <w:webHidden/>
          </w:rPr>
          <w:fldChar w:fldCharType="begin"/>
        </w:r>
        <w:r>
          <w:rPr>
            <w:noProof/>
            <w:webHidden/>
          </w:rPr>
          <w:instrText xml:space="preserve"> PAGEREF _Toc181683961 \h </w:instrText>
        </w:r>
        <w:r>
          <w:rPr>
            <w:noProof/>
            <w:webHidden/>
          </w:rPr>
        </w:r>
        <w:r>
          <w:rPr>
            <w:noProof/>
            <w:webHidden/>
          </w:rPr>
          <w:fldChar w:fldCharType="separate"/>
        </w:r>
        <w:r>
          <w:rPr>
            <w:noProof/>
            <w:webHidden/>
          </w:rPr>
          <w:t>416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2" w:history="1">
        <w:r w:rsidRPr="001B13A4">
          <w:rPr>
            <w:rStyle w:val="Hyperlink"/>
            <w:noProof/>
          </w:rPr>
          <w:t>2.1.926</w:t>
        </w:r>
        <w:r>
          <w:rPr>
            <w:rFonts w:asciiTheme="minorHAnsi" w:eastAsiaTheme="minorEastAsia" w:hAnsiTheme="minorHAnsi" w:cstheme="minorBidi"/>
            <w:noProof/>
            <w:sz w:val="22"/>
            <w:szCs w:val="22"/>
          </w:rPr>
          <w:tab/>
        </w:r>
        <w:r w:rsidRPr="001B13A4">
          <w:rPr>
            <w:rStyle w:val="Hyperlink"/>
            <w:noProof/>
          </w:rPr>
          <w:t>Part 1 Section 18.17.7.82, DCOUNTA</w:t>
        </w:r>
        <w:r>
          <w:rPr>
            <w:noProof/>
            <w:webHidden/>
          </w:rPr>
          <w:tab/>
        </w:r>
        <w:r>
          <w:rPr>
            <w:noProof/>
            <w:webHidden/>
          </w:rPr>
          <w:fldChar w:fldCharType="begin"/>
        </w:r>
        <w:r>
          <w:rPr>
            <w:noProof/>
            <w:webHidden/>
          </w:rPr>
          <w:instrText xml:space="preserve"> PAGEREF _Toc181683962 \h </w:instrText>
        </w:r>
        <w:r>
          <w:rPr>
            <w:noProof/>
            <w:webHidden/>
          </w:rPr>
        </w:r>
        <w:r>
          <w:rPr>
            <w:noProof/>
            <w:webHidden/>
          </w:rPr>
          <w:fldChar w:fldCharType="separate"/>
        </w:r>
        <w:r>
          <w:rPr>
            <w:noProof/>
            <w:webHidden/>
          </w:rPr>
          <w:t>416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3" w:history="1">
        <w:r w:rsidRPr="001B13A4">
          <w:rPr>
            <w:rStyle w:val="Hyperlink"/>
            <w:noProof/>
          </w:rPr>
          <w:t>2.1.927</w:t>
        </w:r>
        <w:r>
          <w:rPr>
            <w:rFonts w:asciiTheme="minorHAnsi" w:eastAsiaTheme="minorEastAsia" w:hAnsiTheme="minorHAnsi" w:cstheme="minorBidi"/>
            <w:noProof/>
            <w:sz w:val="22"/>
            <w:szCs w:val="22"/>
          </w:rPr>
          <w:tab/>
        </w:r>
        <w:r w:rsidRPr="001B13A4">
          <w:rPr>
            <w:rStyle w:val="Hyperlink"/>
            <w:noProof/>
          </w:rPr>
          <w:t>Part 1 Section 18.17.7.83, DDB</w:t>
        </w:r>
        <w:r>
          <w:rPr>
            <w:noProof/>
            <w:webHidden/>
          </w:rPr>
          <w:tab/>
        </w:r>
        <w:r>
          <w:rPr>
            <w:noProof/>
            <w:webHidden/>
          </w:rPr>
          <w:fldChar w:fldCharType="begin"/>
        </w:r>
        <w:r>
          <w:rPr>
            <w:noProof/>
            <w:webHidden/>
          </w:rPr>
          <w:instrText xml:space="preserve"> PAGEREF _Toc181683963 \h </w:instrText>
        </w:r>
        <w:r>
          <w:rPr>
            <w:noProof/>
            <w:webHidden/>
          </w:rPr>
        </w:r>
        <w:r>
          <w:rPr>
            <w:noProof/>
            <w:webHidden/>
          </w:rPr>
          <w:fldChar w:fldCharType="separate"/>
        </w:r>
        <w:r>
          <w:rPr>
            <w:noProof/>
            <w:webHidden/>
          </w:rPr>
          <w:t>417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4" w:history="1">
        <w:r w:rsidRPr="001B13A4">
          <w:rPr>
            <w:rStyle w:val="Hyperlink"/>
            <w:noProof/>
          </w:rPr>
          <w:t>2.1.928</w:t>
        </w:r>
        <w:r>
          <w:rPr>
            <w:rFonts w:asciiTheme="minorHAnsi" w:eastAsiaTheme="minorEastAsia" w:hAnsiTheme="minorHAnsi" w:cstheme="minorBidi"/>
            <w:noProof/>
            <w:sz w:val="22"/>
            <w:szCs w:val="22"/>
          </w:rPr>
          <w:tab/>
        </w:r>
        <w:r w:rsidRPr="001B13A4">
          <w:rPr>
            <w:rStyle w:val="Hyperlink"/>
            <w:noProof/>
          </w:rPr>
          <w:t>Part 1 Section 18.17.7.84, DEC2BIN</w:t>
        </w:r>
        <w:r>
          <w:rPr>
            <w:noProof/>
            <w:webHidden/>
          </w:rPr>
          <w:tab/>
        </w:r>
        <w:r>
          <w:rPr>
            <w:noProof/>
            <w:webHidden/>
          </w:rPr>
          <w:fldChar w:fldCharType="begin"/>
        </w:r>
        <w:r>
          <w:rPr>
            <w:noProof/>
            <w:webHidden/>
          </w:rPr>
          <w:instrText xml:space="preserve"> PAGEREF _Toc181683964 \h </w:instrText>
        </w:r>
        <w:r>
          <w:rPr>
            <w:noProof/>
            <w:webHidden/>
          </w:rPr>
        </w:r>
        <w:r>
          <w:rPr>
            <w:noProof/>
            <w:webHidden/>
          </w:rPr>
          <w:fldChar w:fldCharType="separate"/>
        </w:r>
        <w:r>
          <w:rPr>
            <w:noProof/>
            <w:webHidden/>
          </w:rPr>
          <w:t>417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5" w:history="1">
        <w:r w:rsidRPr="001B13A4">
          <w:rPr>
            <w:rStyle w:val="Hyperlink"/>
            <w:noProof/>
          </w:rPr>
          <w:t>2.1.929</w:t>
        </w:r>
        <w:r>
          <w:rPr>
            <w:rFonts w:asciiTheme="minorHAnsi" w:eastAsiaTheme="minorEastAsia" w:hAnsiTheme="minorHAnsi" w:cstheme="minorBidi"/>
            <w:noProof/>
            <w:sz w:val="22"/>
            <w:szCs w:val="22"/>
          </w:rPr>
          <w:tab/>
        </w:r>
        <w:r w:rsidRPr="001B13A4">
          <w:rPr>
            <w:rStyle w:val="Hyperlink"/>
            <w:noProof/>
          </w:rPr>
          <w:t>Part 1 Section 18.17.7.85, DEC2HEX</w:t>
        </w:r>
        <w:r>
          <w:rPr>
            <w:noProof/>
            <w:webHidden/>
          </w:rPr>
          <w:tab/>
        </w:r>
        <w:r>
          <w:rPr>
            <w:noProof/>
            <w:webHidden/>
          </w:rPr>
          <w:fldChar w:fldCharType="begin"/>
        </w:r>
        <w:r>
          <w:rPr>
            <w:noProof/>
            <w:webHidden/>
          </w:rPr>
          <w:instrText xml:space="preserve"> PAGEREF _Toc181683965 \h </w:instrText>
        </w:r>
        <w:r>
          <w:rPr>
            <w:noProof/>
            <w:webHidden/>
          </w:rPr>
        </w:r>
        <w:r>
          <w:rPr>
            <w:noProof/>
            <w:webHidden/>
          </w:rPr>
          <w:fldChar w:fldCharType="separate"/>
        </w:r>
        <w:r>
          <w:rPr>
            <w:noProof/>
            <w:webHidden/>
          </w:rPr>
          <w:t>417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6" w:history="1">
        <w:r w:rsidRPr="001B13A4">
          <w:rPr>
            <w:rStyle w:val="Hyperlink"/>
            <w:noProof/>
          </w:rPr>
          <w:t>2.1.930</w:t>
        </w:r>
        <w:r>
          <w:rPr>
            <w:rFonts w:asciiTheme="minorHAnsi" w:eastAsiaTheme="minorEastAsia" w:hAnsiTheme="minorHAnsi" w:cstheme="minorBidi"/>
            <w:noProof/>
            <w:sz w:val="22"/>
            <w:szCs w:val="22"/>
          </w:rPr>
          <w:tab/>
        </w:r>
        <w:r w:rsidRPr="001B13A4">
          <w:rPr>
            <w:rStyle w:val="Hyperlink"/>
            <w:noProof/>
          </w:rPr>
          <w:t>Part 1 Section 18.17.7.86, DEC2OCT</w:t>
        </w:r>
        <w:r>
          <w:rPr>
            <w:noProof/>
            <w:webHidden/>
          </w:rPr>
          <w:tab/>
        </w:r>
        <w:r>
          <w:rPr>
            <w:noProof/>
            <w:webHidden/>
          </w:rPr>
          <w:fldChar w:fldCharType="begin"/>
        </w:r>
        <w:r>
          <w:rPr>
            <w:noProof/>
            <w:webHidden/>
          </w:rPr>
          <w:instrText xml:space="preserve"> PAGEREF _Toc181683966 \h </w:instrText>
        </w:r>
        <w:r>
          <w:rPr>
            <w:noProof/>
            <w:webHidden/>
          </w:rPr>
        </w:r>
        <w:r>
          <w:rPr>
            <w:noProof/>
            <w:webHidden/>
          </w:rPr>
          <w:fldChar w:fldCharType="separate"/>
        </w:r>
        <w:r>
          <w:rPr>
            <w:noProof/>
            <w:webHidden/>
          </w:rPr>
          <w:t>417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7" w:history="1">
        <w:r w:rsidRPr="001B13A4">
          <w:rPr>
            <w:rStyle w:val="Hyperlink"/>
            <w:noProof/>
          </w:rPr>
          <w:t>2.1.931</w:t>
        </w:r>
        <w:r>
          <w:rPr>
            <w:rFonts w:asciiTheme="minorHAnsi" w:eastAsiaTheme="minorEastAsia" w:hAnsiTheme="minorHAnsi" w:cstheme="minorBidi"/>
            <w:noProof/>
            <w:sz w:val="22"/>
            <w:szCs w:val="22"/>
          </w:rPr>
          <w:tab/>
        </w:r>
        <w:r w:rsidRPr="001B13A4">
          <w:rPr>
            <w:rStyle w:val="Hyperlink"/>
            <w:noProof/>
          </w:rPr>
          <w:t>Part 1 Section 18.17.7.89, DEVSQ</w:t>
        </w:r>
        <w:r>
          <w:rPr>
            <w:noProof/>
            <w:webHidden/>
          </w:rPr>
          <w:tab/>
        </w:r>
        <w:r>
          <w:rPr>
            <w:noProof/>
            <w:webHidden/>
          </w:rPr>
          <w:fldChar w:fldCharType="begin"/>
        </w:r>
        <w:r>
          <w:rPr>
            <w:noProof/>
            <w:webHidden/>
          </w:rPr>
          <w:instrText xml:space="preserve"> PAGEREF _Toc181683967 \h </w:instrText>
        </w:r>
        <w:r>
          <w:rPr>
            <w:noProof/>
            <w:webHidden/>
          </w:rPr>
        </w:r>
        <w:r>
          <w:rPr>
            <w:noProof/>
            <w:webHidden/>
          </w:rPr>
          <w:fldChar w:fldCharType="separate"/>
        </w:r>
        <w:r>
          <w:rPr>
            <w:noProof/>
            <w:webHidden/>
          </w:rPr>
          <w:t>417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8" w:history="1">
        <w:r w:rsidRPr="001B13A4">
          <w:rPr>
            <w:rStyle w:val="Hyperlink"/>
            <w:noProof/>
          </w:rPr>
          <w:t>2.1.932</w:t>
        </w:r>
        <w:r>
          <w:rPr>
            <w:rFonts w:asciiTheme="minorHAnsi" w:eastAsiaTheme="minorEastAsia" w:hAnsiTheme="minorHAnsi" w:cstheme="minorBidi"/>
            <w:noProof/>
            <w:sz w:val="22"/>
            <w:szCs w:val="22"/>
          </w:rPr>
          <w:tab/>
        </w:r>
        <w:r w:rsidRPr="001B13A4">
          <w:rPr>
            <w:rStyle w:val="Hyperlink"/>
            <w:noProof/>
          </w:rPr>
          <w:t>Part 1 Section 18.17.7.90, DGET</w:t>
        </w:r>
        <w:r>
          <w:rPr>
            <w:noProof/>
            <w:webHidden/>
          </w:rPr>
          <w:tab/>
        </w:r>
        <w:r>
          <w:rPr>
            <w:noProof/>
            <w:webHidden/>
          </w:rPr>
          <w:fldChar w:fldCharType="begin"/>
        </w:r>
        <w:r>
          <w:rPr>
            <w:noProof/>
            <w:webHidden/>
          </w:rPr>
          <w:instrText xml:space="preserve"> PAGEREF _Toc181683968 \h </w:instrText>
        </w:r>
        <w:r>
          <w:rPr>
            <w:noProof/>
            <w:webHidden/>
          </w:rPr>
        </w:r>
        <w:r>
          <w:rPr>
            <w:noProof/>
            <w:webHidden/>
          </w:rPr>
          <w:fldChar w:fldCharType="separate"/>
        </w:r>
        <w:r>
          <w:rPr>
            <w:noProof/>
            <w:webHidden/>
          </w:rPr>
          <w:t>417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69" w:history="1">
        <w:r w:rsidRPr="001B13A4">
          <w:rPr>
            <w:rStyle w:val="Hyperlink"/>
            <w:noProof/>
          </w:rPr>
          <w:t>2.1.933</w:t>
        </w:r>
        <w:r>
          <w:rPr>
            <w:rFonts w:asciiTheme="minorHAnsi" w:eastAsiaTheme="minorEastAsia" w:hAnsiTheme="minorHAnsi" w:cstheme="minorBidi"/>
            <w:noProof/>
            <w:sz w:val="22"/>
            <w:szCs w:val="22"/>
          </w:rPr>
          <w:tab/>
        </w:r>
        <w:r w:rsidRPr="001B13A4">
          <w:rPr>
            <w:rStyle w:val="Hyperlink"/>
            <w:noProof/>
          </w:rPr>
          <w:t>Part 1 Section 18.17.7.91, DISC</w:t>
        </w:r>
        <w:r>
          <w:rPr>
            <w:noProof/>
            <w:webHidden/>
          </w:rPr>
          <w:tab/>
        </w:r>
        <w:r>
          <w:rPr>
            <w:noProof/>
            <w:webHidden/>
          </w:rPr>
          <w:fldChar w:fldCharType="begin"/>
        </w:r>
        <w:r>
          <w:rPr>
            <w:noProof/>
            <w:webHidden/>
          </w:rPr>
          <w:instrText xml:space="preserve"> PAGEREF _Toc181683969 \h </w:instrText>
        </w:r>
        <w:r>
          <w:rPr>
            <w:noProof/>
            <w:webHidden/>
          </w:rPr>
        </w:r>
        <w:r>
          <w:rPr>
            <w:noProof/>
            <w:webHidden/>
          </w:rPr>
          <w:fldChar w:fldCharType="separate"/>
        </w:r>
        <w:r>
          <w:rPr>
            <w:noProof/>
            <w:webHidden/>
          </w:rPr>
          <w:t>417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0" w:history="1">
        <w:r w:rsidRPr="001B13A4">
          <w:rPr>
            <w:rStyle w:val="Hyperlink"/>
            <w:noProof/>
          </w:rPr>
          <w:t>2.1.934</w:t>
        </w:r>
        <w:r>
          <w:rPr>
            <w:rFonts w:asciiTheme="minorHAnsi" w:eastAsiaTheme="minorEastAsia" w:hAnsiTheme="minorHAnsi" w:cstheme="minorBidi"/>
            <w:noProof/>
            <w:sz w:val="22"/>
            <w:szCs w:val="22"/>
          </w:rPr>
          <w:tab/>
        </w:r>
        <w:r w:rsidRPr="001B13A4">
          <w:rPr>
            <w:rStyle w:val="Hyperlink"/>
            <w:noProof/>
          </w:rPr>
          <w:t>Part 1 Section 18.17.7.92, DMAX</w:t>
        </w:r>
        <w:r>
          <w:rPr>
            <w:noProof/>
            <w:webHidden/>
          </w:rPr>
          <w:tab/>
        </w:r>
        <w:r>
          <w:rPr>
            <w:noProof/>
            <w:webHidden/>
          </w:rPr>
          <w:fldChar w:fldCharType="begin"/>
        </w:r>
        <w:r>
          <w:rPr>
            <w:noProof/>
            <w:webHidden/>
          </w:rPr>
          <w:instrText xml:space="preserve"> PAGEREF _Toc181683970 \h </w:instrText>
        </w:r>
        <w:r>
          <w:rPr>
            <w:noProof/>
            <w:webHidden/>
          </w:rPr>
        </w:r>
        <w:r>
          <w:rPr>
            <w:noProof/>
            <w:webHidden/>
          </w:rPr>
          <w:fldChar w:fldCharType="separate"/>
        </w:r>
        <w:r>
          <w:rPr>
            <w:noProof/>
            <w:webHidden/>
          </w:rPr>
          <w:t>418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1" w:history="1">
        <w:r w:rsidRPr="001B13A4">
          <w:rPr>
            <w:rStyle w:val="Hyperlink"/>
            <w:noProof/>
          </w:rPr>
          <w:t>2.1.935</w:t>
        </w:r>
        <w:r>
          <w:rPr>
            <w:rFonts w:asciiTheme="minorHAnsi" w:eastAsiaTheme="minorEastAsia" w:hAnsiTheme="minorHAnsi" w:cstheme="minorBidi"/>
            <w:noProof/>
            <w:sz w:val="22"/>
            <w:szCs w:val="22"/>
          </w:rPr>
          <w:tab/>
        </w:r>
        <w:r w:rsidRPr="001B13A4">
          <w:rPr>
            <w:rStyle w:val="Hyperlink"/>
            <w:noProof/>
          </w:rPr>
          <w:t>Part 1 Section 18.17.7.93, DMIN</w:t>
        </w:r>
        <w:r>
          <w:rPr>
            <w:noProof/>
            <w:webHidden/>
          </w:rPr>
          <w:tab/>
        </w:r>
        <w:r>
          <w:rPr>
            <w:noProof/>
            <w:webHidden/>
          </w:rPr>
          <w:fldChar w:fldCharType="begin"/>
        </w:r>
        <w:r>
          <w:rPr>
            <w:noProof/>
            <w:webHidden/>
          </w:rPr>
          <w:instrText xml:space="preserve"> PAGEREF _Toc181683971 \h </w:instrText>
        </w:r>
        <w:r>
          <w:rPr>
            <w:noProof/>
            <w:webHidden/>
          </w:rPr>
        </w:r>
        <w:r>
          <w:rPr>
            <w:noProof/>
            <w:webHidden/>
          </w:rPr>
          <w:fldChar w:fldCharType="separate"/>
        </w:r>
        <w:r>
          <w:rPr>
            <w:noProof/>
            <w:webHidden/>
          </w:rPr>
          <w:t>418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2" w:history="1">
        <w:r w:rsidRPr="001B13A4">
          <w:rPr>
            <w:rStyle w:val="Hyperlink"/>
            <w:noProof/>
          </w:rPr>
          <w:t>2.1.936</w:t>
        </w:r>
        <w:r>
          <w:rPr>
            <w:rFonts w:asciiTheme="minorHAnsi" w:eastAsiaTheme="minorEastAsia" w:hAnsiTheme="minorHAnsi" w:cstheme="minorBidi"/>
            <w:noProof/>
            <w:sz w:val="22"/>
            <w:szCs w:val="22"/>
          </w:rPr>
          <w:tab/>
        </w:r>
        <w:r w:rsidRPr="001B13A4">
          <w:rPr>
            <w:rStyle w:val="Hyperlink"/>
            <w:noProof/>
          </w:rPr>
          <w:t>Part 1 Section 18.17.7.94, DOLLAR</w:t>
        </w:r>
        <w:r>
          <w:rPr>
            <w:noProof/>
            <w:webHidden/>
          </w:rPr>
          <w:tab/>
        </w:r>
        <w:r>
          <w:rPr>
            <w:noProof/>
            <w:webHidden/>
          </w:rPr>
          <w:fldChar w:fldCharType="begin"/>
        </w:r>
        <w:r>
          <w:rPr>
            <w:noProof/>
            <w:webHidden/>
          </w:rPr>
          <w:instrText xml:space="preserve"> PAGEREF _Toc181683972 \h </w:instrText>
        </w:r>
        <w:r>
          <w:rPr>
            <w:noProof/>
            <w:webHidden/>
          </w:rPr>
        </w:r>
        <w:r>
          <w:rPr>
            <w:noProof/>
            <w:webHidden/>
          </w:rPr>
          <w:fldChar w:fldCharType="separate"/>
        </w:r>
        <w:r>
          <w:rPr>
            <w:noProof/>
            <w:webHidden/>
          </w:rPr>
          <w:t>419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3" w:history="1">
        <w:r w:rsidRPr="001B13A4">
          <w:rPr>
            <w:rStyle w:val="Hyperlink"/>
            <w:noProof/>
          </w:rPr>
          <w:t>2.1.937</w:t>
        </w:r>
        <w:r>
          <w:rPr>
            <w:rFonts w:asciiTheme="minorHAnsi" w:eastAsiaTheme="minorEastAsia" w:hAnsiTheme="minorHAnsi" w:cstheme="minorBidi"/>
            <w:noProof/>
            <w:sz w:val="22"/>
            <w:szCs w:val="22"/>
          </w:rPr>
          <w:tab/>
        </w:r>
        <w:r w:rsidRPr="001B13A4">
          <w:rPr>
            <w:rStyle w:val="Hyperlink"/>
            <w:noProof/>
          </w:rPr>
          <w:t>Part 1 Section 18.17.7.95, DOLLARDE</w:t>
        </w:r>
        <w:r>
          <w:rPr>
            <w:noProof/>
            <w:webHidden/>
          </w:rPr>
          <w:tab/>
        </w:r>
        <w:r>
          <w:rPr>
            <w:noProof/>
            <w:webHidden/>
          </w:rPr>
          <w:fldChar w:fldCharType="begin"/>
        </w:r>
        <w:r>
          <w:rPr>
            <w:noProof/>
            <w:webHidden/>
          </w:rPr>
          <w:instrText xml:space="preserve"> PAGEREF _Toc181683973 \h </w:instrText>
        </w:r>
        <w:r>
          <w:rPr>
            <w:noProof/>
            <w:webHidden/>
          </w:rPr>
        </w:r>
        <w:r>
          <w:rPr>
            <w:noProof/>
            <w:webHidden/>
          </w:rPr>
          <w:fldChar w:fldCharType="separate"/>
        </w:r>
        <w:r>
          <w:rPr>
            <w:noProof/>
            <w:webHidden/>
          </w:rPr>
          <w:t>419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4" w:history="1">
        <w:r w:rsidRPr="001B13A4">
          <w:rPr>
            <w:rStyle w:val="Hyperlink"/>
            <w:noProof/>
          </w:rPr>
          <w:t>2.1.938</w:t>
        </w:r>
        <w:r>
          <w:rPr>
            <w:rFonts w:asciiTheme="minorHAnsi" w:eastAsiaTheme="minorEastAsia" w:hAnsiTheme="minorHAnsi" w:cstheme="minorBidi"/>
            <w:noProof/>
            <w:sz w:val="22"/>
            <w:szCs w:val="22"/>
          </w:rPr>
          <w:tab/>
        </w:r>
        <w:r w:rsidRPr="001B13A4">
          <w:rPr>
            <w:rStyle w:val="Hyperlink"/>
            <w:noProof/>
          </w:rPr>
          <w:t>Part 1 Section 18.17.7.96, DOLLARFR</w:t>
        </w:r>
        <w:r>
          <w:rPr>
            <w:noProof/>
            <w:webHidden/>
          </w:rPr>
          <w:tab/>
        </w:r>
        <w:r>
          <w:rPr>
            <w:noProof/>
            <w:webHidden/>
          </w:rPr>
          <w:fldChar w:fldCharType="begin"/>
        </w:r>
        <w:r>
          <w:rPr>
            <w:noProof/>
            <w:webHidden/>
          </w:rPr>
          <w:instrText xml:space="preserve"> PAGEREF _Toc181683974 \h </w:instrText>
        </w:r>
        <w:r>
          <w:rPr>
            <w:noProof/>
            <w:webHidden/>
          </w:rPr>
        </w:r>
        <w:r>
          <w:rPr>
            <w:noProof/>
            <w:webHidden/>
          </w:rPr>
          <w:fldChar w:fldCharType="separate"/>
        </w:r>
        <w:r>
          <w:rPr>
            <w:noProof/>
            <w:webHidden/>
          </w:rPr>
          <w:t>419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5" w:history="1">
        <w:r w:rsidRPr="001B13A4">
          <w:rPr>
            <w:rStyle w:val="Hyperlink"/>
            <w:noProof/>
          </w:rPr>
          <w:t>2.1.939</w:t>
        </w:r>
        <w:r>
          <w:rPr>
            <w:rFonts w:asciiTheme="minorHAnsi" w:eastAsiaTheme="minorEastAsia" w:hAnsiTheme="minorHAnsi" w:cstheme="minorBidi"/>
            <w:noProof/>
            <w:sz w:val="22"/>
            <w:szCs w:val="22"/>
          </w:rPr>
          <w:tab/>
        </w:r>
        <w:r w:rsidRPr="001B13A4">
          <w:rPr>
            <w:rStyle w:val="Hyperlink"/>
            <w:noProof/>
          </w:rPr>
          <w:t>Part 1 Section 18.17.7.97, DPRODUCT</w:t>
        </w:r>
        <w:r>
          <w:rPr>
            <w:noProof/>
            <w:webHidden/>
          </w:rPr>
          <w:tab/>
        </w:r>
        <w:r>
          <w:rPr>
            <w:noProof/>
            <w:webHidden/>
          </w:rPr>
          <w:fldChar w:fldCharType="begin"/>
        </w:r>
        <w:r>
          <w:rPr>
            <w:noProof/>
            <w:webHidden/>
          </w:rPr>
          <w:instrText xml:space="preserve"> PAGEREF _Toc181683975 \h </w:instrText>
        </w:r>
        <w:r>
          <w:rPr>
            <w:noProof/>
            <w:webHidden/>
          </w:rPr>
        </w:r>
        <w:r>
          <w:rPr>
            <w:noProof/>
            <w:webHidden/>
          </w:rPr>
          <w:fldChar w:fldCharType="separate"/>
        </w:r>
        <w:r>
          <w:rPr>
            <w:noProof/>
            <w:webHidden/>
          </w:rPr>
          <w:t>419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6" w:history="1">
        <w:r w:rsidRPr="001B13A4">
          <w:rPr>
            <w:rStyle w:val="Hyperlink"/>
            <w:noProof/>
          </w:rPr>
          <w:t>2.1.940</w:t>
        </w:r>
        <w:r>
          <w:rPr>
            <w:rFonts w:asciiTheme="minorHAnsi" w:eastAsiaTheme="minorEastAsia" w:hAnsiTheme="minorHAnsi" w:cstheme="minorBidi"/>
            <w:noProof/>
            <w:sz w:val="22"/>
            <w:szCs w:val="22"/>
          </w:rPr>
          <w:tab/>
        </w:r>
        <w:r w:rsidRPr="001B13A4">
          <w:rPr>
            <w:rStyle w:val="Hyperlink"/>
            <w:noProof/>
          </w:rPr>
          <w:t>Part 1 Section 18.17.7.98, DSTDEV</w:t>
        </w:r>
        <w:r>
          <w:rPr>
            <w:noProof/>
            <w:webHidden/>
          </w:rPr>
          <w:tab/>
        </w:r>
        <w:r>
          <w:rPr>
            <w:noProof/>
            <w:webHidden/>
          </w:rPr>
          <w:fldChar w:fldCharType="begin"/>
        </w:r>
        <w:r>
          <w:rPr>
            <w:noProof/>
            <w:webHidden/>
          </w:rPr>
          <w:instrText xml:space="preserve"> PAGEREF _Toc181683976 \h </w:instrText>
        </w:r>
        <w:r>
          <w:rPr>
            <w:noProof/>
            <w:webHidden/>
          </w:rPr>
        </w:r>
        <w:r>
          <w:rPr>
            <w:noProof/>
            <w:webHidden/>
          </w:rPr>
          <w:fldChar w:fldCharType="separate"/>
        </w:r>
        <w:r>
          <w:rPr>
            <w:noProof/>
            <w:webHidden/>
          </w:rPr>
          <w:t>419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7" w:history="1">
        <w:r w:rsidRPr="001B13A4">
          <w:rPr>
            <w:rStyle w:val="Hyperlink"/>
            <w:noProof/>
          </w:rPr>
          <w:t>2.1.941</w:t>
        </w:r>
        <w:r>
          <w:rPr>
            <w:rFonts w:asciiTheme="minorHAnsi" w:eastAsiaTheme="minorEastAsia" w:hAnsiTheme="minorHAnsi" w:cstheme="minorBidi"/>
            <w:noProof/>
            <w:sz w:val="22"/>
            <w:szCs w:val="22"/>
          </w:rPr>
          <w:tab/>
        </w:r>
        <w:r w:rsidRPr="001B13A4">
          <w:rPr>
            <w:rStyle w:val="Hyperlink"/>
            <w:noProof/>
          </w:rPr>
          <w:t>Part 1 Section 18.17.7.99, DSTDEVP</w:t>
        </w:r>
        <w:r>
          <w:rPr>
            <w:noProof/>
            <w:webHidden/>
          </w:rPr>
          <w:tab/>
        </w:r>
        <w:r>
          <w:rPr>
            <w:noProof/>
            <w:webHidden/>
          </w:rPr>
          <w:fldChar w:fldCharType="begin"/>
        </w:r>
        <w:r>
          <w:rPr>
            <w:noProof/>
            <w:webHidden/>
          </w:rPr>
          <w:instrText xml:space="preserve"> PAGEREF _Toc181683977 \h </w:instrText>
        </w:r>
        <w:r>
          <w:rPr>
            <w:noProof/>
            <w:webHidden/>
          </w:rPr>
        </w:r>
        <w:r>
          <w:rPr>
            <w:noProof/>
            <w:webHidden/>
          </w:rPr>
          <w:fldChar w:fldCharType="separate"/>
        </w:r>
        <w:r>
          <w:rPr>
            <w:noProof/>
            <w:webHidden/>
          </w:rPr>
          <w:t>419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8" w:history="1">
        <w:r w:rsidRPr="001B13A4">
          <w:rPr>
            <w:rStyle w:val="Hyperlink"/>
            <w:noProof/>
          </w:rPr>
          <w:t>2.1.942</w:t>
        </w:r>
        <w:r>
          <w:rPr>
            <w:rFonts w:asciiTheme="minorHAnsi" w:eastAsiaTheme="minorEastAsia" w:hAnsiTheme="minorHAnsi" w:cstheme="minorBidi"/>
            <w:noProof/>
            <w:sz w:val="22"/>
            <w:szCs w:val="22"/>
          </w:rPr>
          <w:tab/>
        </w:r>
        <w:r w:rsidRPr="001B13A4">
          <w:rPr>
            <w:rStyle w:val="Hyperlink"/>
            <w:noProof/>
          </w:rPr>
          <w:t>Part 1 Section 18.17.7.100, DSUM</w:t>
        </w:r>
        <w:r>
          <w:rPr>
            <w:noProof/>
            <w:webHidden/>
          </w:rPr>
          <w:tab/>
        </w:r>
        <w:r>
          <w:rPr>
            <w:noProof/>
            <w:webHidden/>
          </w:rPr>
          <w:fldChar w:fldCharType="begin"/>
        </w:r>
        <w:r>
          <w:rPr>
            <w:noProof/>
            <w:webHidden/>
          </w:rPr>
          <w:instrText xml:space="preserve"> PAGEREF _Toc181683978 \h </w:instrText>
        </w:r>
        <w:r>
          <w:rPr>
            <w:noProof/>
            <w:webHidden/>
          </w:rPr>
        </w:r>
        <w:r>
          <w:rPr>
            <w:noProof/>
            <w:webHidden/>
          </w:rPr>
          <w:fldChar w:fldCharType="separate"/>
        </w:r>
        <w:r>
          <w:rPr>
            <w:noProof/>
            <w:webHidden/>
          </w:rPr>
          <w:t>420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79" w:history="1">
        <w:r w:rsidRPr="001B13A4">
          <w:rPr>
            <w:rStyle w:val="Hyperlink"/>
            <w:noProof/>
          </w:rPr>
          <w:t>2.1.943</w:t>
        </w:r>
        <w:r>
          <w:rPr>
            <w:rFonts w:asciiTheme="minorHAnsi" w:eastAsiaTheme="minorEastAsia" w:hAnsiTheme="minorHAnsi" w:cstheme="minorBidi"/>
            <w:noProof/>
            <w:sz w:val="22"/>
            <w:szCs w:val="22"/>
          </w:rPr>
          <w:tab/>
        </w:r>
        <w:r w:rsidRPr="001B13A4">
          <w:rPr>
            <w:rStyle w:val="Hyperlink"/>
            <w:noProof/>
          </w:rPr>
          <w:t>Part 1 Section 18.17.7.101, DURATION</w:t>
        </w:r>
        <w:r>
          <w:rPr>
            <w:noProof/>
            <w:webHidden/>
          </w:rPr>
          <w:tab/>
        </w:r>
        <w:r>
          <w:rPr>
            <w:noProof/>
            <w:webHidden/>
          </w:rPr>
          <w:fldChar w:fldCharType="begin"/>
        </w:r>
        <w:r>
          <w:rPr>
            <w:noProof/>
            <w:webHidden/>
          </w:rPr>
          <w:instrText xml:space="preserve"> PAGEREF _Toc181683979 \h </w:instrText>
        </w:r>
        <w:r>
          <w:rPr>
            <w:noProof/>
            <w:webHidden/>
          </w:rPr>
        </w:r>
        <w:r>
          <w:rPr>
            <w:noProof/>
            <w:webHidden/>
          </w:rPr>
          <w:fldChar w:fldCharType="separate"/>
        </w:r>
        <w:r>
          <w:rPr>
            <w:noProof/>
            <w:webHidden/>
          </w:rPr>
          <w:t>420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0" w:history="1">
        <w:r w:rsidRPr="001B13A4">
          <w:rPr>
            <w:rStyle w:val="Hyperlink"/>
            <w:noProof/>
          </w:rPr>
          <w:t>2.1.944</w:t>
        </w:r>
        <w:r>
          <w:rPr>
            <w:rFonts w:asciiTheme="minorHAnsi" w:eastAsiaTheme="minorEastAsia" w:hAnsiTheme="minorHAnsi" w:cstheme="minorBidi"/>
            <w:noProof/>
            <w:sz w:val="22"/>
            <w:szCs w:val="22"/>
          </w:rPr>
          <w:tab/>
        </w:r>
        <w:r w:rsidRPr="001B13A4">
          <w:rPr>
            <w:rStyle w:val="Hyperlink"/>
            <w:noProof/>
          </w:rPr>
          <w:t>Part 1 Section 18.17.7.102, DVAR</w:t>
        </w:r>
        <w:r>
          <w:rPr>
            <w:noProof/>
            <w:webHidden/>
          </w:rPr>
          <w:tab/>
        </w:r>
        <w:r>
          <w:rPr>
            <w:noProof/>
            <w:webHidden/>
          </w:rPr>
          <w:fldChar w:fldCharType="begin"/>
        </w:r>
        <w:r>
          <w:rPr>
            <w:noProof/>
            <w:webHidden/>
          </w:rPr>
          <w:instrText xml:space="preserve"> PAGEREF _Toc181683980 \h </w:instrText>
        </w:r>
        <w:r>
          <w:rPr>
            <w:noProof/>
            <w:webHidden/>
          </w:rPr>
        </w:r>
        <w:r>
          <w:rPr>
            <w:noProof/>
            <w:webHidden/>
          </w:rPr>
          <w:fldChar w:fldCharType="separate"/>
        </w:r>
        <w:r>
          <w:rPr>
            <w:noProof/>
            <w:webHidden/>
          </w:rPr>
          <w:t>421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1" w:history="1">
        <w:r w:rsidRPr="001B13A4">
          <w:rPr>
            <w:rStyle w:val="Hyperlink"/>
            <w:noProof/>
          </w:rPr>
          <w:t>2.1.945</w:t>
        </w:r>
        <w:r>
          <w:rPr>
            <w:rFonts w:asciiTheme="minorHAnsi" w:eastAsiaTheme="minorEastAsia" w:hAnsiTheme="minorHAnsi" w:cstheme="minorBidi"/>
            <w:noProof/>
            <w:sz w:val="22"/>
            <w:szCs w:val="22"/>
          </w:rPr>
          <w:tab/>
        </w:r>
        <w:r w:rsidRPr="001B13A4">
          <w:rPr>
            <w:rStyle w:val="Hyperlink"/>
            <w:noProof/>
          </w:rPr>
          <w:t>Part 1 Section 18.17.7.103, DVARP</w:t>
        </w:r>
        <w:r>
          <w:rPr>
            <w:noProof/>
            <w:webHidden/>
          </w:rPr>
          <w:tab/>
        </w:r>
        <w:r>
          <w:rPr>
            <w:noProof/>
            <w:webHidden/>
          </w:rPr>
          <w:fldChar w:fldCharType="begin"/>
        </w:r>
        <w:r>
          <w:rPr>
            <w:noProof/>
            <w:webHidden/>
          </w:rPr>
          <w:instrText xml:space="preserve"> PAGEREF _Toc181683981 \h </w:instrText>
        </w:r>
        <w:r>
          <w:rPr>
            <w:noProof/>
            <w:webHidden/>
          </w:rPr>
        </w:r>
        <w:r>
          <w:rPr>
            <w:noProof/>
            <w:webHidden/>
          </w:rPr>
          <w:fldChar w:fldCharType="separate"/>
        </w:r>
        <w:r>
          <w:rPr>
            <w:noProof/>
            <w:webHidden/>
          </w:rPr>
          <w:t>421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2" w:history="1">
        <w:r w:rsidRPr="001B13A4">
          <w:rPr>
            <w:rStyle w:val="Hyperlink"/>
            <w:noProof/>
          </w:rPr>
          <w:t>2.1.946</w:t>
        </w:r>
        <w:r>
          <w:rPr>
            <w:rFonts w:asciiTheme="minorHAnsi" w:eastAsiaTheme="minorEastAsia" w:hAnsiTheme="minorHAnsi" w:cstheme="minorBidi"/>
            <w:noProof/>
            <w:sz w:val="22"/>
            <w:szCs w:val="22"/>
          </w:rPr>
          <w:tab/>
        </w:r>
        <w:r w:rsidRPr="001B13A4">
          <w:rPr>
            <w:rStyle w:val="Hyperlink"/>
            <w:noProof/>
          </w:rPr>
          <w:t>Part 1 Section 18.17.7.105, EDATE</w:t>
        </w:r>
        <w:r>
          <w:rPr>
            <w:noProof/>
            <w:webHidden/>
          </w:rPr>
          <w:tab/>
        </w:r>
        <w:r>
          <w:rPr>
            <w:noProof/>
            <w:webHidden/>
          </w:rPr>
          <w:fldChar w:fldCharType="begin"/>
        </w:r>
        <w:r>
          <w:rPr>
            <w:noProof/>
            <w:webHidden/>
          </w:rPr>
          <w:instrText xml:space="preserve"> PAGEREF _Toc181683982 \h </w:instrText>
        </w:r>
        <w:r>
          <w:rPr>
            <w:noProof/>
            <w:webHidden/>
          </w:rPr>
        </w:r>
        <w:r>
          <w:rPr>
            <w:noProof/>
            <w:webHidden/>
          </w:rPr>
          <w:fldChar w:fldCharType="separate"/>
        </w:r>
        <w:r>
          <w:rPr>
            <w:noProof/>
            <w:webHidden/>
          </w:rPr>
          <w:t>421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3" w:history="1">
        <w:r w:rsidRPr="001B13A4">
          <w:rPr>
            <w:rStyle w:val="Hyperlink"/>
            <w:noProof/>
          </w:rPr>
          <w:t>2.1.947</w:t>
        </w:r>
        <w:r>
          <w:rPr>
            <w:rFonts w:asciiTheme="minorHAnsi" w:eastAsiaTheme="minorEastAsia" w:hAnsiTheme="minorHAnsi" w:cstheme="minorBidi"/>
            <w:noProof/>
            <w:sz w:val="22"/>
            <w:szCs w:val="22"/>
          </w:rPr>
          <w:tab/>
        </w:r>
        <w:r w:rsidRPr="001B13A4">
          <w:rPr>
            <w:rStyle w:val="Hyperlink"/>
            <w:noProof/>
          </w:rPr>
          <w:t>Part 1 Section 18.17.7.108, ERF</w:t>
        </w:r>
        <w:r>
          <w:rPr>
            <w:noProof/>
            <w:webHidden/>
          </w:rPr>
          <w:tab/>
        </w:r>
        <w:r>
          <w:rPr>
            <w:noProof/>
            <w:webHidden/>
          </w:rPr>
          <w:fldChar w:fldCharType="begin"/>
        </w:r>
        <w:r>
          <w:rPr>
            <w:noProof/>
            <w:webHidden/>
          </w:rPr>
          <w:instrText xml:space="preserve"> PAGEREF _Toc181683983 \h </w:instrText>
        </w:r>
        <w:r>
          <w:rPr>
            <w:noProof/>
            <w:webHidden/>
          </w:rPr>
        </w:r>
        <w:r>
          <w:rPr>
            <w:noProof/>
            <w:webHidden/>
          </w:rPr>
          <w:fldChar w:fldCharType="separate"/>
        </w:r>
        <w:r>
          <w:rPr>
            <w:noProof/>
            <w:webHidden/>
          </w:rPr>
          <w:t>421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4" w:history="1">
        <w:r w:rsidRPr="001B13A4">
          <w:rPr>
            <w:rStyle w:val="Hyperlink"/>
            <w:noProof/>
          </w:rPr>
          <w:t>2.1.948</w:t>
        </w:r>
        <w:r>
          <w:rPr>
            <w:rFonts w:asciiTheme="minorHAnsi" w:eastAsiaTheme="minorEastAsia" w:hAnsiTheme="minorHAnsi" w:cstheme="minorBidi"/>
            <w:noProof/>
            <w:sz w:val="22"/>
            <w:szCs w:val="22"/>
          </w:rPr>
          <w:tab/>
        </w:r>
        <w:r w:rsidRPr="001B13A4">
          <w:rPr>
            <w:rStyle w:val="Hyperlink"/>
            <w:noProof/>
          </w:rPr>
          <w:t>Part 1 Section 18.17.7.109, ERFC</w:t>
        </w:r>
        <w:r>
          <w:rPr>
            <w:noProof/>
            <w:webHidden/>
          </w:rPr>
          <w:tab/>
        </w:r>
        <w:r>
          <w:rPr>
            <w:noProof/>
            <w:webHidden/>
          </w:rPr>
          <w:fldChar w:fldCharType="begin"/>
        </w:r>
        <w:r>
          <w:rPr>
            <w:noProof/>
            <w:webHidden/>
          </w:rPr>
          <w:instrText xml:space="preserve"> PAGEREF _Toc181683984 \h </w:instrText>
        </w:r>
        <w:r>
          <w:rPr>
            <w:noProof/>
            <w:webHidden/>
          </w:rPr>
        </w:r>
        <w:r>
          <w:rPr>
            <w:noProof/>
            <w:webHidden/>
          </w:rPr>
          <w:fldChar w:fldCharType="separate"/>
        </w:r>
        <w:r>
          <w:rPr>
            <w:noProof/>
            <w:webHidden/>
          </w:rPr>
          <w:t>421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5" w:history="1">
        <w:r w:rsidRPr="001B13A4">
          <w:rPr>
            <w:rStyle w:val="Hyperlink"/>
            <w:noProof/>
          </w:rPr>
          <w:t>2.1.949</w:t>
        </w:r>
        <w:r>
          <w:rPr>
            <w:rFonts w:asciiTheme="minorHAnsi" w:eastAsiaTheme="minorEastAsia" w:hAnsiTheme="minorHAnsi" w:cstheme="minorBidi"/>
            <w:noProof/>
            <w:sz w:val="22"/>
            <w:szCs w:val="22"/>
          </w:rPr>
          <w:tab/>
        </w:r>
        <w:r w:rsidRPr="001B13A4">
          <w:rPr>
            <w:rStyle w:val="Hyperlink"/>
            <w:noProof/>
          </w:rPr>
          <w:t>Part 1 Section 18.17.7.110, ERROR.TYPE</w:t>
        </w:r>
        <w:r>
          <w:rPr>
            <w:noProof/>
            <w:webHidden/>
          </w:rPr>
          <w:tab/>
        </w:r>
        <w:r>
          <w:rPr>
            <w:noProof/>
            <w:webHidden/>
          </w:rPr>
          <w:fldChar w:fldCharType="begin"/>
        </w:r>
        <w:r>
          <w:rPr>
            <w:noProof/>
            <w:webHidden/>
          </w:rPr>
          <w:instrText xml:space="preserve"> PAGEREF _Toc181683985 \h </w:instrText>
        </w:r>
        <w:r>
          <w:rPr>
            <w:noProof/>
            <w:webHidden/>
          </w:rPr>
        </w:r>
        <w:r>
          <w:rPr>
            <w:noProof/>
            <w:webHidden/>
          </w:rPr>
          <w:fldChar w:fldCharType="separate"/>
        </w:r>
        <w:r>
          <w:rPr>
            <w:noProof/>
            <w:webHidden/>
          </w:rPr>
          <w:t>421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6" w:history="1">
        <w:r w:rsidRPr="001B13A4">
          <w:rPr>
            <w:rStyle w:val="Hyperlink"/>
            <w:noProof/>
          </w:rPr>
          <w:t>2.1.950</w:t>
        </w:r>
        <w:r>
          <w:rPr>
            <w:rFonts w:asciiTheme="minorHAnsi" w:eastAsiaTheme="minorEastAsia" w:hAnsiTheme="minorHAnsi" w:cstheme="minorBidi"/>
            <w:noProof/>
            <w:sz w:val="22"/>
            <w:szCs w:val="22"/>
          </w:rPr>
          <w:tab/>
        </w:r>
        <w:r w:rsidRPr="001B13A4">
          <w:rPr>
            <w:rStyle w:val="Hyperlink"/>
            <w:noProof/>
          </w:rPr>
          <w:t>Part 1 Section 18.17.7.119, FIND</w:t>
        </w:r>
        <w:r>
          <w:rPr>
            <w:noProof/>
            <w:webHidden/>
          </w:rPr>
          <w:tab/>
        </w:r>
        <w:r>
          <w:rPr>
            <w:noProof/>
            <w:webHidden/>
          </w:rPr>
          <w:fldChar w:fldCharType="begin"/>
        </w:r>
        <w:r>
          <w:rPr>
            <w:noProof/>
            <w:webHidden/>
          </w:rPr>
          <w:instrText xml:space="preserve"> PAGEREF _Toc181683986 \h </w:instrText>
        </w:r>
        <w:r>
          <w:rPr>
            <w:noProof/>
            <w:webHidden/>
          </w:rPr>
        </w:r>
        <w:r>
          <w:rPr>
            <w:noProof/>
            <w:webHidden/>
          </w:rPr>
          <w:fldChar w:fldCharType="separate"/>
        </w:r>
        <w:r>
          <w:rPr>
            <w:noProof/>
            <w:webHidden/>
          </w:rPr>
          <w:t>421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7" w:history="1">
        <w:r w:rsidRPr="001B13A4">
          <w:rPr>
            <w:rStyle w:val="Hyperlink"/>
            <w:noProof/>
          </w:rPr>
          <w:t>2.1.951</w:t>
        </w:r>
        <w:r>
          <w:rPr>
            <w:rFonts w:asciiTheme="minorHAnsi" w:eastAsiaTheme="minorEastAsia" w:hAnsiTheme="minorHAnsi" w:cstheme="minorBidi"/>
            <w:noProof/>
            <w:sz w:val="22"/>
            <w:szCs w:val="22"/>
          </w:rPr>
          <w:tab/>
        </w:r>
        <w:r w:rsidRPr="001B13A4">
          <w:rPr>
            <w:rStyle w:val="Hyperlink"/>
            <w:noProof/>
          </w:rPr>
          <w:t>Part 1 Section 18.17.7.120, FINDB</w:t>
        </w:r>
        <w:r>
          <w:rPr>
            <w:noProof/>
            <w:webHidden/>
          </w:rPr>
          <w:tab/>
        </w:r>
        <w:r>
          <w:rPr>
            <w:noProof/>
            <w:webHidden/>
          </w:rPr>
          <w:fldChar w:fldCharType="begin"/>
        </w:r>
        <w:r>
          <w:rPr>
            <w:noProof/>
            <w:webHidden/>
          </w:rPr>
          <w:instrText xml:space="preserve"> PAGEREF _Toc181683987 \h </w:instrText>
        </w:r>
        <w:r>
          <w:rPr>
            <w:noProof/>
            <w:webHidden/>
          </w:rPr>
        </w:r>
        <w:r>
          <w:rPr>
            <w:noProof/>
            <w:webHidden/>
          </w:rPr>
          <w:fldChar w:fldCharType="separate"/>
        </w:r>
        <w:r>
          <w:rPr>
            <w:noProof/>
            <w:webHidden/>
          </w:rPr>
          <w:t>422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8" w:history="1">
        <w:r w:rsidRPr="001B13A4">
          <w:rPr>
            <w:rStyle w:val="Hyperlink"/>
            <w:noProof/>
          </w:rPr>
          <w:t>2.1.952</w:t>
        </w:r>
        <w:r>
          <w:rPr>
            <w:rFonts w:asciiTheme="minorHAnsi" w:eastAsiaTheme="minorEastAsia" w:hAnsiTheme="minorHAnsi" w:cstheme="minorBidi"/>
            <w:noProof/>
            <w:sz w:val="22"/>
            <w:szCs w:val="22"/>
          </w:rPr>
          <w:tab/>
        </w:r>
        <w:r w:rsidRPr="001B13A4">
          <w:rPr>
            <w:rStyle w:val="Hyperlink"/>
            <w:noProof/>
          </w:rPr>
          <w:t>Part 1 Section 18.17.7.121, FINV</w:t>
        </w:r>
        <w:r>
          <w:rPr>
            <w:noProof/>
            <w:webHidden/>
          </w:rPr>
          <w:tab/>
        </w:r>
        <w:r>
          <w:rPr>
            <w:noProof/>
            <w:webHidden/>
          </w:rPr>
          <w:fldChar w:fldCharType="begin"/>
        </w:r>
        <w:r>
          <w:rPr>
            <w:noProof/>
            <w:webHidden/>
          </w:rPr>
          <w:instrText xml:space="preserve"> PAGEREF _Toc181683988 \h </w:instrText>
        </w:r>
        <w:r>
          <w:rPr>
            <w:noProof/>
            <w:webHidden/>
          </w:rPr>
        </w:r>
        <w:r>
          <w:rPr>
            <w:noProof/>
            <w:webHidden/>
          </w:rPr>
          <w:fldChar w:fldCharType="separate"/>
        </w:r>
        <w:r>
          <w:rPr>
            <w:noProof/>
            <w:webHidden/>
          </w:rPr>
          <w:t>422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89" w:history="1">
        <w:r w:rsidRPr="001B13A4">
          <w:rPr>
            <w:rStyle w:val="Hyperlink"/>
            <w:noProof/>
          </w:rPr>
          <w:t>2.1.953</w:t>
        </w:r>
        <w:r>
          <w:rPr>
            <w:rFonts w:asciiTheme="minorHAnsi" w:eastAsiaTheme="minorEastAsia" w:hAnsiTheme="minorHAnsi" w:cstheme="minorBidi"/>
            <w:noProof/>
            <w:sz w:val="22"/>
            <w:szCs w:val="22"/>
          </w:rPr>
          <w:tab/>
        </w:r>
        <w:r w:rsidRPr="001B13A4">
          <w:rPr>
            <w:rStyle w:val="Hyperlink"/>
            <w:noProof/>
          </w:rPr>
          <w:t>Part 1 Section 18.17.7.124, FIXED</w:t>
        </w:r>
        <w:r>
          <w:rPr>
            <w:noProof/>
            <w:webHidden/>
          </w:rPr>
          <w:tab/>
        </w:r>
        <w:r>
          <w:rPr>
            <w:noProof/>
            <w:webHidden/>
          </w:rPr>
          <w:fldChar w:fldCharType="begin"/>
        </w:r>
        <w:r>
          <w:rPr>
            <w:noProof/>
            <w:webHidden/>
          </w:rPr>
          <w:instrText xml:space="preserve"> PAGEREF _Toc181683989 \h </w:instrText>
        </w:r>
        <w:r>
          <w:rPr>
            <w:noProof/>
            <w:webHidden/>
          </w:rPr>
        </w:r>
        <w:r>
          <w:rPr>
            <w:noProof/>
            <w:webHidden/>
          </w:rPr>
          <w:fldChar w:fldCharType="separate"/>
        </w:r>
        <w:r>
          <w:rPr>
            <w:noProof/>
            <w:webHidden/>
          </w:rPr>
          <w:t>422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0" w:history="1">
        <w:r w:rsidRPr="001B13A4">
          <w:rPr>
            <w:rStyle w:val="Hyperlink"/>
            <w:noProof/>
          </w:rPr>
          <w:t>2.1.954</w:t>
        </w:r>
        <w:r>
          <w:rPr>
            <w:rFonts w:asciiTheme="minorHAnsi" w:eastAsiaTheme="minorEastAsia" w:hAnsiTheme="minorHAnsi" w:cstheme="minorBidi"/>
            <w:noProof/>
            <w:sz w:val="22"/>
            <w:szCs w:val="22"/>
          </w:rPr>
          <w:tab/>
        </w:r>
        <w:r w:rsidRPr="001B13A4">
          <w:rPr>
            <w:rStyle w:val="Hyperlink"/>
            <w:noProof/>
          </w:rPr>
          <w:t>Part 1 Section 18.17.7.125, FLOOR</w:t>
        </w:r>
        <w:r>
          <w:rPr>
            <w:noProof/>
            <w:webHidden/>
          </w:rPr>
          <w:tab/>
        </w:r>
        <w:r>
          <w:rPr>
            <w:noProof/>
            <w:webHidden/>
          </w:rPr>
          <w:fldChar w:fldCharType="begin"/>
        </w:r>
        <w:r>
          <w:rPr>
            <w:noProof/>
            <w:webHidden/>
          </w:rPr>
          <w:instrText xml:space="preserve"> PAGEREF _Toc181683990 \h </w:instrText>
        </w:r>
        <w:r>
          <w:rPr>
            <w:noProof/>
            <w:webHidden/>
          </w:rPr>
        </w:r>
        <w:r>
          <w:rPr>
            <w:noProof/>
            <w:webHidden/>
          </w:rPr>
          <w:fldChar w:fldCharType="separate"/>
        </w:r>
        <w:r>
          <w:rPr>
            <w:noProof/>
            <w:webHidden/>
          </w:rPr>
          <w:t>422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1" w:history="1">
        <w:r w:rsidRPr="001B13A4">
          <w:rPr>
            <w:rStyle w:val="Hyperlink"/>
            <w:noProof/>
          </w:rPr>
          <w:t>2.1.955</w:t>
        </w:r>
        <w:r>
          <w:rPr>
            <w:rFonts w:asciiTheme="minorHAnsi" w:eastAsiaTheme="minorEastAsia" w:hAnsiTheme="minorHAnsi" w:cstheme="minorBidi"/>
            <w:noProof/>
            <w:sz w:val="22"/>
            <w:szCs w:val="22"/>
          </w:rPr>
          <w:tab/>
        </w:r>
        <w:r w:rsidRPr="001B13A4">
          <w:rPr>
            <w:rStyle w:val="Hyperlink"/>
            <w:noProof/>
          </w:rPr>
          <w:t>Part 1 Section 18.17.7.126, FORECAST</w:t>
        </w:r>
        <w:r>
          <w:rPr>
            <w:noProof/>
            <w:webHidden/>
          </w:rPr>
          <w:tab/>
        </w:r>
        <w:r>
          <w:rPr>
            <w:noProof/>
            <w:webHidden/>
          </w:rPr>
          <w:fldChar w:fldCharType="begin"/>
        </w:r>
        <w:r>
          <w:rPr>
            <w:noProof/>
            <w:webHidden/>
          </w:rPr>
          <w:instrText xml:space="preserve"> PAGEREF _Toc181683991 \h </w:instrText>
        </w:r>
        <w:r>
          <w:rPr>
            <w:noProof/>
            <w:webHidden/>
          </w:rPr>
        </w:r>
        <w:r>
          <w:rPr>
            <w:noProof/>
            <w:webHidden/>
          </w:rPr>
          <w:fldChar w:fldCharType="separate"/>
        </w:r>
        <w:r>
          <w:rPr>
            <w:noProof/>
            <w:webHidden/>
          </w:rPr>
          <w:t>422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2" w:history="1">
        <w:r w:rsidRPr="001B13A4">
          <w:rPr>
            <w:rStyle w:val="Hyperlink"/>
            <w:noProof/>
          </w:rPr>
          <w:t>2.1.956</w:t>
        </w:r>
        <w:r>
          <w:rPr>
            <w:rFonts w:asciiTheme="minorHAnsi" w:eastAsiaTheme="minorEastAsia" w:hAnsiTheme="minorHAnsi" w:cstheme="minorBidi"/>
            <w:noProof/>
            <w:sz w:val="22"/>
            <w:szCs w:val="22"/>
          </w:rPr>
          <w:tab/>
        </w:r>
        <w:r w:rsidRPr="001B13A4">
          <w:rPr>
            <w:rStyle w:val="Hyperlink"/>
            <w:noProof/>
          </w:rPr>
          <w:t>Part 1 Section 18.17.7.129, FV</w:t>
        </w:r>
        <w:r>
          <w:rPr>
            <w:noProof/>
            <w:webHidden/>
          </w:rPr>
          <w:tab/>
        </w:r>
        <w:r>
          <w:rPr>
            <w:noProof/>
            <w:webHidden/>
          </w:rPr>
          <w:fldChar w:fldCharType="begin"/>
        </w:r>
        <w:r>
          <w:rPr>
            <w:noProof/>
            <w:webHidden/>
          </w:rPr>
          <w:instrText xml:space="preserve"> PAGEREF _Toc181683992 \h </w:instrText>
        </w:r>
        <w:r>
          <w:rPr>
            <w:noProof/>
            <w:webHidden/>
          </w:rPr>
        </w:r>
        <w:r>
          <w:rPr>
            <w:noProof/>
            <w:webHidden/>
          </w:rPr>
          <w:fldChar w:fldCharType="separate"/>
        </w:r>
        <w:r>
          <w:rPr>
            <w:noProof/>
            <w:webHidden/>
          </w:rPr>
          <w:t>423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3" w:history="1">
        <w:r w:rsidRPr="001B13A4">
          <w:rPr>
            <w:rStyle w:val="Hyperlink"/>
            <w:noProof/>
          </w:rPr>
          <w:t>2.1.957</w:t>
        </w:r>
        <w:r>
          <w:rPr>
            <w:rFonts w:asciiTheme="minorHAnsi" w:eastAsiaTheme="minorEastAsia" w:hAnsiTheme="minorHAnsi" w:cstheme="minorBidi"/>
            <w:noProof/>
            <w:sz w:val="22"/>
            <w:szCs w:val="22"/>
          </w:rPr>
          <w:tab/>
        </w:r>
        <w:r w:rsidRPr="001B13A4">
          <w:rPr>
            <w:rStyle w:val="Hyperlink"/>
            <w:noProof/>
          </w:rPr>
          <w:t>Part 1 Section 18.17.7.132, GAMMAINV</w:t>
        </w:r>
        <w:r>
          <w:rPr>
            <w:noProof/>
            <w:webHidden/>
          </w:rPr>
          <w:tab/>
        </w:r>
        <w:r>
          <w:rPr>
            <w:noProof/>
            <w:webHidden/>
          </w:rPr>
          <w:fldChar w:fldCharType="begin"/>
        </w:r>
        <w:r>
          <w:rPr>
            <w:noProof/>
            <w:webHidden/>
          </w:rPr>
          <w:instrText xml:space="preserve"> PAGEREF _Toc181683993 \h </w:instrText>
        </w:r>
        <w:r>
          <w:rPr>
            <w:noProof/>
            <w:webHidden/>
          </w:rPr>
        </w:r>
        <w:r>
          <w:rPr>
            <w:noProof/>
            <w:webHidden/>
          </w:rPr>
          <w:fldChar w:fldCharType="separate"/>
        </w:r>
        <w:r>
          <w:rPr>
            <w:noProof/>
            <w:webHidden/>
          </w:rPr>
          <w:t>423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4" w:history="1">
        <w:r w:rsidRPr="001B13A4">
          <w:rPr>
            <w:rStyle w:val="Hyperlink"/>
            <w:noProof/>
          </w:rPr>
          <w:t>2.1.958</w:t>
        </w:r>
        <w:r>
          <w:rPr>
            <w:rFonts w:asciiTheme="minorHAnsi" w:eastAsiaTheme="minorEastAsia" w:hAnsiTheme="minorHAnsi" w:cstheme="minorBidi"/>
            <w:noProof/>
            <w:sz w:val="22"/>
            <w:szCs w:val="22"/>
          </w:rPr>
          <w:tab/>
        </w:r>
        <w:r w:rsidRPr="001B13A4">
          <w:rPr>
            <w:rStyle w:val="Hyperlink"/>
            <w:noProof/>
          </w:rPr>
          <w:t>Part 1 Section 18.17.7.135, GEOMEAN</w:t>
        </w:r>
        <w:r>
          <w:rPr>
            <w:noProof/>
            <w:webHidden/>
          </w:rPr>
          <w:tab/>
        </w:r>
        <w:r>
          <w:rPr>
            <w:noProof/>
            <w:webHidden/>
          </w:rPr>
          <w:fldChar w:fldCharType="begin"/>
        </w:r>
        <w:r>
          <w:rPr>
            <w:noProof/>
            <w:webHidden/>
          </w:rPr>
          <w:instrText xml:space="preserve"> PAGEREF _Toc181683994 \h </w:instrText>
        </w:r>
        <w:r>
          <w:rPr>
            <w:noProof/>
            <w:webHidden/>
          </w:rPr>
        </w:r>
        <w:r>
          <w:rPr>
            <w:noProof/>
            <w:webHidden/>
          </w:rPr>
          <w:fldChar w:fldCharType="separate"/>
        </w:r>
        <w:r>
          <w:rPr>
            <w:noProof/>
            <w:webHidden/>
          </w:rPr>
          <w:t>423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5" w:history="1">
        <w:r w:rsidRPr="001B13A4">
          <w:rPr>
            <w:rStyle w:val="Hyperlink"/>
            <w:noProof/>
          </w:rPr>
          <w:t>2.1.959</w:t>
        </w:r>
        <w:r>
          <w:rPr>
            <w:rFonts w:asciiTheme="minorHAnsi" w:eastAsiaTheme="minorEastAsia" w:hAnsiTheme="minorHAnsi" w:cstheme="minorBidi"/>
            <w:noProof/>
            <w:sz w:val="22"/>
            <w:szCs w:val="22"/>
          </w:rPr>
          <w:tab/>
        </w:r>
        <w:r w:rsidRPr="001B13A4">
          <w:rPr>
            <w:rStyle w:val="Hyperlink"/>
            <w:noProof/>
          </w:rPr>
          <w:t>Part 1 Section 18.17.7.137, GETPIVOTDATA</w:t>
        </w:r>
        <w:r>
          <w:rPr>
            <w:noProof/>
            <w:webHidden/>
          </w:rPr>
          <w:tab/>
        </w:r>
        <w:r>
          <w:rPr>
            <w:noProof/>
            <w:webHidden/>
          </w:rPr>
          <w:fldChar w:fldCharType="begin"/>
        </w:r>
        <w:r>
          <w:rPr>
            <w:noProof/>
            <w:webHidden/>
          </w:rPr>
          <w:instrText xml:space="preserve"> PAGEREF _Toc181683995 \h </w:instrText>
        </w:r>
        <w:r>
          <w:rPr>
            <w:noProof/>
            <w:webHidden/>
          </w:rPr>
        </w:r>
        <w:r>
          <w:rPr>
            <w:noProof/>
            <w:webHidden/>
          </w:rPr>
          <w:fldChar w:fldCharType="separate"/>
        </w:r>
        <w:r>
          <w:rPr>
            <w:noProof/>
            <w:webHidden/>
          </w:rPr>
          <w:t>423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6" w:history="1">
        <w:r w:rsidRPr="001B13A4">
          <w:rPr>
            <w:rStyle w:val="Hyperlink"/>
            <w:noProof/>
          </w:rPr>
          <w:t>2.1.960</w:t>
        </w:r>
        <w:r>
          <w:rPr>
            <w:rFonts w:asciiTheme="minorHAnsi" w:eastAsiaTheme="minorEastAsia" w:hAnsiTheme="minorHAnsi" w:cstheme="minorBidi"/>
            <w:noProof/>
            <w:sz w:val="22"/>
            <w:szCs w:val="22"/>
          </w:rPr>
          <w:tab/>
        </w:r>
        <w:r w:rsidRPr="001B13A4">
          <w:rPr>
            <w:rStyle w:val="Hyperlink"/>
            <w:noProof/>
          </w:rPr>
          <w:t>Part 1 Section 18.17.7.139, HARMEAN</w:t>
        </w:r>
        <w:r>
          <w:rPr>
            <w:noProof/>
            <w:webHidden/>
          </w:rPr>
          <w:tab/>
        </w:r>
        <w:r>
          <w:rPr>
            <w:noProof/>
            <w:webHidden/>
          </w:rPr>
          <w:fldChar w:fldCharType="begin"/>
        </w:r>
        <w:r>
          <w:rPr>
            <w:noProof/>
            <w:webHidden/>
          </w:rPr>
          <w:instrText xml:space="preserve"> PAGEREF _Toc181683996 \h </w:instrText>
        </w:r>
        <w:r>
          <w:rPr>
            <w:noProof/>
            <w:webHidden/>
          </w:rPr>
        </w:r>
        <w:r>
          <w:rPr>
            <w:noProof/>
            <w:webHidden/>
          </w:rPr>
          <w:fldChar w:fldCharType="separate"/>
        </w:r>
        <w:r>
          <w:rPr>
            <w:noProof/>
            <w:webHidden/>
          </w:rPr>
          <w:t>423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7" w:history="1">
        <w:r w:rsidRPr="001B13A4">
          <w:rPr>
            <w:rStyle w:val="Hyperlink"/>
            <w:noProof/>
          </w:rPr>
          <w:t>2.1.961</w:t>
        </w:r>
        <w:r>
          <w:rPr>
            <w:rFonts w:asciiTheme="minorHAnsi" w:eastAsiaTheme="minorEastAsia" w:hAnsiTheme="minorHAnsi" w:cstheme="minorBidi"/>
            <w:noProof/>
            <w:sz w:val="22"/>
            <w:szCs w:val="22"/>
          </w:rPr>
          <w:tab/>
        </w:r>
        <w:r w:rsidRPr="001B13A4">
          <w:rPr>
            <w:rStyle w:val="Hyperlink"/>
            <w:noProof/>
          </w:rPr>
          <w:t>Part 1 Section 18.17.7.143, HLOOKUP</w:t>
        </w:r>
        <w:r>
          <w:rPr>
            <w:noProof/>
            <w:webHidden/>
          </w:rPr>
          <w:tab/>
        </w:r>
        <w:r>
          <w:rPr>
            <w:noProof/>
            <w:webHidden/>
          </w:rPr>
          <w:fldChar w:fldCharType="begin"/>
        </w:r>
        <w:r>
          <w:rPr>
            <w:noProof/>
            <w:webHidden/>
          </w:rPr>
          <w:instrText xml:space="preserve"> PAGEREF _Toc181683997 \h </w:instrText>
        </w:r>
        <w:r>
          <w:rPr>
            <w:noProof/>
            <w:webHidden/>
          </w:rPr>
        </w:r>
        <w:r>
          <w:rPr>
            <w:noProof/>
            <w:webHidden/>
          </w:rPr>
          <w:fldChar w:fldCharType="separate"/>
        </w:r>
        <w:r>
          <w:rPr>
            <w:noProof/>
            <w:webHidden/>
          </w:rPr>
          <w:t>423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8" w:history="1">
        <w:r w:rsidRPr="001B13A4">
          <w:rPr>
            <w:rStyle w:val="Hyperlink"/>
            <w:noProof/>
          </w:rPr>
          <w:t>2.1.962</w:t>
        </w:r>
        <w:r>
          <w:rPr>
            <w:rFonts w:asciiTheme="minorHAnsi" w:eastAsiaTheme="minorEastAsia" w:hAnsiTheme="minorHAnsi" w:cstheme="minorBidi"/>
            <w:noProof/>
            <w:sz w:val="22"/>
            <w:szCs w:val="22"/>
          </w:rPr>
          <w:tab/>
        </w:r>
        <w:r w:rsidRPr="001B13A4">
          <w:rPr>
            <w:rStyle w:val="Hyperlink"/>
            <w:noProof/>
          </w:rPr>
          <w:t>Part 1 Section 18.17.7.144, HOUR</w:t>
        </w:r>
        <w:r>
          <w:rPr>
            <w:noProof/>
            <w:webHidden/>
          </w:rPr>
          <w:tab/>
        </w:r>
        <w:r>
          <w:rPr>
            <w:noProof/>
            <w:webHidden/>
          </w:rPr>
          <w:fldChar w:fldCharType="begin"/>
        </w:r>
        <w:r>
          <w:rPr>
            <w:noProof/>
            <w:webHidden/>
          </w:rPr>
          <w:instrText xml:space="preserve"> PAGEREF _Toc181683998 \h </w:instrText>
        </w:r>
        <w:r>
          <w:rPr>
            <w:noProof/>
            <w:webHidden/>
          </w:rPr>
        </w:r>
        <w:r>
          <w:rPr>
            <w:noProof/>
            <w:webHidden/>
          </w:rPr>
          <w:fldChar w:fldCharType="separate"/>
        </w:r>
        <w:r>
          <w:rPr>
            <w:noProof/>
            <w:webHidden/>
          </w:rPr>
          <w:t>423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3999" w:history="1">
        <w:r w:rsidRPr="001B13A4">
          <w:rPr>
            <w:rStyle w:val="Hyperlink"/>
            <w:noProof/>
          </w:rPr>
          <w:t>2.1.963</w:t>
        </w:r>
        <w:r>
          <w:rPr>
            <w:rFonts w:asciiTheme="minorHAnsi" w:eastAsiaTheme="minorEastAsia" w:hAnsiTheme="minorHAnsi" w:cstheme="minorBidi"/>
            <w:noProof/>
            <w:sz w:val="22"/>
            <w:szCs w:val="22"/>
          </w:rPr>
          <w:tab/>
        </w:r>
        <w:r w:rsidRPr="001B13A4">
          <w:rPr>
            <w:rStyle w:val="Hyperlink"/>
            <w:noProof/>
          </w:rPr>
          <w:t>Part 1 Section 18.17.7.147, IF</w:t>
        </w:r>
        <w:r>
          <w:rPr>
            <w:noProof/>
            <w:webHidden/>
          </w:rPr>
          <w:tab/>
        </w:r>
        <w:r>
          <w:rPr>
            <w:noProof/>
            <w:webHidden/>
          </w:rPr>
          <w:fldChar w:fldCharType="begin"/>
        </w:r>
        <w:r>
          <w:rPr>
            <w:noProof/>
            <w:webHidden/>
          </w:rPr>
          <w:instrText xml:space="preserve"> PAGEREF _Toc181683999 \h </w:instrText>
        </w:r>
        <w:r>
          <w:rPr>
            <w:noProof/>
            <w:webHidden/>
          </w:rPr>
        </w:r>
        <w:r>
          <w:rPr>
            <w:noProof/>
            <w:webHidden/>
          </w:rPr>
          <w:fldChar w:fldCharType="separate"/>
        </w:r>
        <w:r>
          <w:rPr>
            <w:noProof/>
            <w:webHidden/>
          </w:rPr>
          <w:t>424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0" w:history="1">
        <w:r w:rsidRPr="001B13A4">
          <w:rPr>
            <w:rStyle w:val="Hyperlink"/>
            <w:noProof/>
          </w:rPr>
          <w:t>2.1.964</w:t>
        </w:r>
        <w:r>
          <w:rPr>
            <w:rFonts w:asciiTheme="minorHAnsi" w:eastAsiaTheme="minorEastAsia" w:hAnsiTheme="minorHAnsi" w:cstheme="minorBidi"/>
            <w:noProof/>
            <w:sz w:val="22"/>
            <w:szCs w:val="22"/>
          </w:rPr>
          <w:tab/>
        </w:r>
        <w:r w:rsidRPr="001B13A4">
          <w:rPr>
            <w:rStyle w:val="Hyperlink"/>
            <w:noProof/>
          </w:rPr>
          <w:t>Part 1 Section 18.17.7.148, IFERROR</w:t>
        </w:r>
        <w:r>
          <w:rPr>
            <w:noProof/>
            <w:webHidden/>
          </w:rPr>
          <w:tab/>
        </w:r>
        <w:r>
          <w:rPr>
            <w:noProof/>
            <w:webHidden/>
          </w:rPr>
          <w:fldChar w:fldCharType="begin"/>
        </w:r>
        <w:r>
          <w:rPr>
            <w:noProof/>
            <w:webHidden/>
          </w:rPr>
          <w:instrText xml:space="preserve"> PAGEREF _Toc181684000 \h </w:instrText>
        </w:r>
        <w:r>
          <w:rPr>
            <w:noProof/>
            <w:webHidden/>
          </w:rPr>
        </w:r>
        <w:r>
          <w:rPr>
            <w:noProof/>
            <w:webHidden/>
          </w:rPr>
          <w:fldChar w:fldCharType="separate"/>
        </w:r>
        <w:r>
          <w:rPr>
            <w:noProof/>
            <w:webHidden/>
          </w:rPr>
          <w:t>424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1" w:history="1">
        <w:r w:rsidRPr="001B13A4">
          <w:rPr>
            <w:rStyle w:val="Hyperlink"/>
            <w:noProof/>
          </w:rPr>
          <w:t>2.1.965</w:t>
        </w:r>
        <w:r>
          <w:rPr>
            <w:rFonts w:asciiTheme="minorHAnsi" w:eastAsiaTheme="minorEastAsia" w:hAnsiTheme="minorHAnsi" w:cstheme="minorBidi"/>
            <w:noProof/>
            <w:sz w:val="22"/>
            <w:szCs w:val="22"/>
          </w:rPr>
          <w:tab/>
        </w:r>
        <w:r w:rsidRPr="001B13A4">
          <w:rPr>
            <w:rStyle w:val="Hyperlink"/>
            <w:noProof/>
          </w:rPr>
          <w:t>Part 1 Section 18.17.7.151, IMARGUMENT</w:t>
        </w:r>
        <w:r>
          <w:rPr>
            <w:noProof/>
            <w:webHidden/>
          </w:rPr>
          <w:tab/>
        </w:r>
        <w:r>
          <w:rPr>
            <w:noProof/>
            <w:webHidden/>
          </w:rPr>
          <w:fldChar w:fldCharType="begin"/>
        </w:r>
        <w:r>
          <w:rPr>
            <w:noProof/>
            <w:webHidden/>
          </w:rPr>
          <w:instrText xml:space="preserve"> PAGEREF _Toc181684001 \h </w:instrText>
        </w:r>
        <w:r>
          <w:rPr>
            <w:noProof/>
            <w:webHidden/>
          </w:rPr>
        </w:r>
        <w:r>
          <w:rPr>
            <w:noProof/>
            <w:webHidden/>
          </w:rPr>
          <w:fldChar w:fldCharType="separate"/>
        </w:r>
        <w:r>
          <w:rPr>
            <w:noProof/>
            <w:webHidden/>
          </w:rPr>
          <w:t>424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2" w:history="1">
        <w:r w:rsidRPr="001B13A4">
          <w:rPr>
            <w:rStyle w:val="Hyperlink"/>
            <w:noProof/>
          </w:rPr>
          <w:t>2.1.966</w:t>
        </w:r>
        <w:r>
          <w:rPr>
            <w:rFonts w:asciiTheme="minorHAnsi" w:eastAsiaTheme="minorEastAsia" w:hAnsiTheme="minorHAnsi" w:cstheme="minorBidi"/>
            <w:noProof/>
            <w:sz w:val="22"/>
            <w:szCs w:val="22"/>
          </w:rPr>
          <w:tab/>
        </w:r>
        <w:r w:rsidRPr="001B13A4">
          <w:rPr>
            <w:rStyle w:val="Hyperlink"/>
            <w:noProof/>
          </w:rPr>
          <w:t>Part 1 Section 18.17.7.154, IMDIV</w:t>
        </w:r>
        <w:r>
          <w:rPr>
            <w:noProof/>
            <w:webHidden/>
          </w:rPr>
          <w:tab/>
        </w:r>
        <w:r>
          <w:rPr>
            <w:noProof/>
            <w:webHidden/>
          </w:rPr>
          <w:fldChar w:fldCharType="begin"/>
        </w:r>
        <w:r>
          <w:rPr>
            <w:noProof/>
            <w:webHidden/>
          </w:rPr>
          <w:instrText xml:space="preserve"> PAGEREF _Toc181684002 \h </w:instrText>
        </w:r>
        <w:r>
          <w:rPr>
            <w:noProof/>
            <w:webHidden/>
          </w:rPr>
        </w:r>
        <w:r>
          <w:rPr>
            <w:noProof/>
            <w:webHidden/>
          </w:rPr>
          <w:fldChar w:fldCharType="separate"/>
        </w:r>
        <w:r>
          <w:rPr>
            <w:noProof/>
            <w:webHidden/>
          </w:rPr>
          <w:t>424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3" w:history="1">
        <w:r w:rsidRPr="001B13A4">
          <w:rPr>
            <w:rStyle w:val="Hyperlink"/>
            <w:noProof/>
          </w:rPr>
          <w:t>2.1.967</w:t>
        </w:r>
        <w:r>
          <w:rPr>
            <w:rFonts w:asciiTheme="minorHAnsi" w:eastAsiaTheme="minorEastAsia" w:hAnsiTheme="minorHAnsi" w:cstheme="minorBidi"/>
            <w:noProof/>
            <w:sz w:val="22"/>
            <w:szCs w:val="22"/>
          </w:rPr>
          <w:tab/>
        </w:r>
        <w:r w:rsidRPr="001B13A4">
          <w:rPr>
            <w:rStyle w:val="Hyperlink"/>
            <w:noProof/>
          </w:rPr>
          <w:t>Part 1 Section 18.17.7.156, IMLN</w:t>
        </w:r>
        <w:r>
          <w:rPr>
            <w:noProof/>
            <w:webHidden/>
          </w:rPr>
          <w:tab/>
        </w:r>
        <w:r>
          <w:rPr>
            <w:noProof/>
            <w:webHidden/>
          </w:rPr>
          <w:fldChar w:fldCharType="begin"/>
        </w:r>
        <w:r>
          <w:rPr>
            <w:noProof/>
            <w:webHidden/>
          </w:rPr>
          <w:instrText xml:space="preserve"> PAGEREF _Toc181684003 \h </w:instrText>
        </w:r>
        <w:r>
          <w:rPr>
            <w:noProof/>
            <w:webHidden/>
          </w:rPr>
        </w:r>
        <w:r>
          <w:rPr>
            <w:noProof/>
            <w:webHidden/>
          </w:rPr>
          <w:fldChar w:fldCharType="separate"/>
        </w:r>
        <w:r>
          <w:rPr>
            <w:noProof/>
            <w:webHidden/>
          </w:rPr>
          <w:t>424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4" w:history="1">
        <w:r w:rsidRPr="001B13A4">
          <w:rPr>
            <w:rStyle w:val="Hyperlink"/>
            <w:noProof/>
          </w:rPr>
          <w:t>2.1.968</w:t>
        </w:r>
        <w:r>
          <w:rPr>
            <w:rFonts w:asciiTheme="minorHAnsi" w:eastAsiaTheme="minorEastAsia" w:hAnsiTheme="minorHAnsi" w:cstheme="minorBidi"/>
            <w:noProof/>
            <w:sz w:val="22"/>
            <w:szCs w:val="22"/>
          </w:rPr>
          <w:tab/>
        </w:r>
        <w:r w:rsidRPr="001B13A4">
          <w:rPr>
            <w:rStyle w:val="Hyperlink"/>
            <w:noProof/>
          </w:rPr>
          <w:t>Part 1 Section 18.17.7.157, IMLOG10</w:t>
        </w:r>
        <w:r>
          <w:rPr>
            <w:noProof/>
            <w:webHidden/>
          </w:rPr>
          <w:tab/>
        </w:r>
        <w:r>
          <w:rPr>
            <w:noProof/>
            <w:webHidden/>
          </w:rPr>
          <w:fldChar w:fldCharType="begin"/>
        </w:r>
        <w:r>
          <w:rPr>
            <w:noProof/>
            <w:webHidden/>
          </w:rPr>
          <w:instrText xml:space="preserve"> PAGEREF _Toc181684004 \h </w:instrText>
        </w:r>
        <w:r>
          <w:rPr>
            <w:noProof/>
            <w:webHidden/>
          </w:rPr>
        </w:r>
        <w:r>
          <w:rPr>
            <w:noProof/>
            <w:webHidden/>
          </w:rPr>
          <w:fldChar w:fldCharType="separate"/>
        </w:r>
        <w:r>
          <w:rPr>
            <w:noProof/>
            <w:webHidden/>
          </w:rPr>
          <w:t>424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5" w:history="1">
        <w:r w:rsidRPr="001B13A4">
          <w:rPr>
            <w:rStyle w:val="Hyperlink"/>
            <w:noProof/>
          </w:rPr>
          <w:t>2.1.969</w:t>
        </w:r>
        <w:r>
          <w:rPr>
            <w:rFonts w:asciiTheme="minorHAnsi" w:eastAsiaTheme="minorEastAsia" w:hAnsiTheme="minorHAnsi" w:cstheme="minorBidi"/>
            <w:noProof/>
            <w:sz w:val="22"/>
            <w:szCs w:val="22"/>
          </w:rPr>
          <w:tab/>
        </w:r>
        <w:r w:rsidRPr="001B13A4">
          <w:rPr>
            <w:rStyle w:val="Hyperlink"/>
            <w:noProof/>
          </w:rPr>
          <w:t>Part 1 Section 18.17.7.158, IMLOG2</w:t>
        </w:r>
        <w:r>
          <w:rPr>
            <w:noProof/>
            <w:webHidden/>
          </w:rPr>
          <w:tab/>
        </w:r>
        <w:r>
          <w:rPr>
            <w:noProof/>
            <w:webHidden/>
          </w:rPr>
          <w:fldChar w:fldCharType="begin"/>
        </w:r>
        <w:r>
          <w:rPr>
            <w:noProof/>
            <w:webHidden/>
          </w:rPr>
          <w:instrText xml:space="preserve"> PAGEREF _Toc181684005 \h </w:instrText>
        </w:r>
        <w:r>
          <w:rPr>
            <w:noProof/>
            <w:webHidden/>
          </w:rPr>
        </w:r>
        <w:r>
          <w:rPr>
            <w:noProof/>
            <w:webHidden/>
          </w:rPr>
          <w:fldChar w:fldCharType="separate"/>
        </w:r>
        <w:r>
          <w:rPr>
            <w:noProof/>
            <w:webHidden/>
          </w:rPr>
          <w:t>425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6" w:history="1">
        <w:r w:rsidRPr="001B13A4">
          <w:rPr>
            <w:rStyle w:val="Hyperlink"/>
            <w:noProof/>
          </w:rPr>
          <w:t>2.1.970</w:t>
        </w:r>
        <w:r>
          <w:rPr>
            <w:rFonts w:asciiTheme="minorHAnsi" w:eastAsiaTheme="minorEastAsia" w:hAnsiTheme="minorHAnsi" w:cstheme="minorBidi"/>
            <w:noProof/>
            <w:sz w:val="22"/>
            <w:szCs w:val="22"/>
          </w:rPr>
          <w:tab/>
        </w:r>
        <w:r w:rsidRPr="001B13A4">
          <w:rPr>
            <w:rStyle w:val="Hyperlink"/>
            <w:noProof/>
          </w:rPr>
          <w:t>Part 1 Section 18.17.7.159, IMPOWER</w:t>
        </w:r>
        <w:r>
          <w:rPr>
            <w:noProof/>
            <w:webHidden/>
          </w:rPr>
          <w:tab/>
        </w:r>
        <w:r>
          <w:rPr>
            <w:noProof/>
            <w:webHidden/>
          </w:rPr>
          <w:fldChar w:fldCharType="begin"/>
        </w:r>
        <w:r>
          <w:rPr>
            <w:noProof/>
            <w:webHidden/>
          </w:rPr>
          <w:instrText xml:space="preserve"> PAGEREF _Toc181684006 \h </w:instrText>
        </w:r>
        <w:r>
          <w:rPr>
            <w:noProof/>
            <w:webHidden/>
          </w:rPr>
        </w:r>
        <w:r>
          <w:rPr>
            <w:noProof/>
            <w:webHidden/>
          </w:rPr>
          <w:fldChar w:fldCharType="separate"/>
        </w:r>
        <w:r>
          <w:rPr>
            <w:noProof/>
            <w:webHidden/>
          </w:rPr>
          <w:t>425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7" w:history="1">
        <w:r w:rsidRPr="001B13A4">
          <w:rPr>
            <w:rStyle w:val="Hyperlink"/>
            <w:noProof/>
          </w:rPr>
          <w:t>2.1.971</w:t>
        </w:r>
        <w:r>
          <w:rPr>
            <w:rFonts w:asciiTheme="minorHAnsi" w:eastAsiaTheme="minorEastAsia" w:hAnsiTheme="minorHAnsi" w:cstheme="minorBidi"/>
            <w:noProof/>
            <w:sz w:val="22"/>
            <w:szCs w:val="22"/>
          </w:rPr>
          <w:tab/>
        </w:r>
        <w:r w:rsidRPr="001B13A4">
          <w:rPr>
            <w:rStyle w:val="Hyperlink"/>
            <w:noProof/>
          </w:rPr>
          <w:t>Part 1 Section 18.17.7.162, IMSIN</w:t>
        </w:r>
        <w:r>
          <w:rPr>
            <w:noProof/>
            <w:webHidden/>
          </w:rPr>
          <w:tab/>
        </w:r>
        <w:r>
          <w:rPr>
            <w:noProof/>
            <w:webHidden/>
          </w:rPr>
          <w:fldChar w:fldCharType="begin"/>
        </w:r>
        <w:r>
          <w:rPr>
            <w:noProof/>
            <w:webHidden/>
          </w:rPr>
          <w:instrText xml:space="preserve"> PAGEREF _Toc181684007 \h </w:instrText>
        </w:r>
        <w:r>
          <w:rPr>
            <w:noProof/>
            <w:webHidden/>
          </w:rPr>
        </w:r>
        <w:r>
          <w:rPr>
            <w:noProof/>
            <w:webHidden/>
          </w:rPr>
          <w:fldChar w:fldCharType="separate"/>
        </w:r>
        <w:r>
          <w:rPr>
            <w:noProof/>
            <w:webHidden/>
          </w:rPr>
          <w:t>425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8" w:history="1">
        <w:r w:rsidRPr="001B13A4">
          <w:rPr>
            <w:rStyle w:val="Hyperlink"/>
            <w:noProof/>
          </w:rPr>
          <w:t>2.1.972</w:t>
        </w:r>
        <w:r>
          <w:rPr>
            <w:rFonts w:asciiTheme="minorHAnsi" w:eastAsiaTheme="minorEastAsia" w:hAnsiTheme="minorHAnsi" w:cstheme="minorBidi"/>
            <w:noProof/>
            <w:sz w:val="22"/>
            <w:szCs w:val="22"/>
          </w:rPr>
          <w:tab/>
        </w:r>
        <w:r w:rsidRPr="001B13A4">
          <w:rPr>
            <w:rStyle w:val="Hyperlink"/>
            <w:noProof/>
          </w:rPr>
          <w:t>Part 1 Section 18.17.7.163, IMSQRT</w:t>
        </w:r>
        <w:r>
          <w:rPr>
            <w:noProof/>
            <w:webHidden/>
          </w:rPr>
          <w:tab/>
        </w:r>
        <w:r>
          <w:rPr>
            <w:noProof/>
            <w:webHidden/>
          </w:rPr>
          <w:fldChar w:fldCharType="begin"/>
        </w:r>
        <w:r>
          <w:rPr>
            <w:noProof/>
            <w:webHidden/>
          </w:rPr>
          <w:instrText xml:space="preserve"> PAGEREF _Toc181684008 \h </w:instrText>
        </w:r>
        <w:r>
          <w:rPr>
            <w:noProof/>
            <w:webHidden/>
          </w:rPr>
        </w:r>
        <w:r>
          <w:rPr>
            <w:noProof/>
            <w:webHidden/>
          </w:rPr>
          <w:fldChar w:fldCharType="separate"/>
        </w:r>
        <w:r>
          <w:rPr>
            <w:noProof/>
            <w:webHidden/>
          </w:rPr>
          <w:t>425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09" w:history="1">
        <w:r w:rsidRPr="001B13A4">
          <w:rPr>
            <w:rStyle w:val="Hyperlink"/>
            <w:noProof/>
          </w:rPr>
          <w:t>2.1.973</w:t>
        </w:r>
        <w:r>
          <w:rPr>
            <w:rFonts w:asciiTheme="minorHAnsi" w:eastAsiaTheme="minorEastAsia" w:hAnsiTheme="minorHAnsi" w:cstheme="minorBidi"/>
            <w:noProof/>
            <w:sz w:val="22"/>
            <w:szCs w:val="22"/>
          </w:rPr>
          <w:tab/>
        </w:r>
        <w:r w:rsidRPr="001B13A4">
          <w:rPr>
            <w:rStyle w:val="Hyperlink"/>
            <w:noProof/>
          </w:rPr>
          <w:t>Part 1 Section 18.17.7.166, INDEX</w:t>
        </w:r>
        <w:r>
          <w:rPr>
            <w:noProof/>
            <w:webHidden/>
          </w:rPr>
          <w:tab/>
        </w:r>
        <w:r>
          <w:rPr>
            <w:noProof/>
            <w:webHidden/>
          </w:rPr>
          <w:fldChar w:fldCharType="begin"/>
        </w:r>
        <w:r>
          <w:rPr>
            <w:noProof/>
            <w:webHidden/>
          </w:rPr>
          <w:instrText xml:space="preserve"> PAGEREF _Toc181684009 \h </w:instrText>
        </w:r>
        <w:r>
          <w:rPr>
            <w:noProof/>
            <w:webHidden/>
          </w:rPr>
        </w:r>
        <w:r>
          <w:rPr>
            <w:noProof/>
            <w:webHidden/>
          </w:rPr>
          <w:fldChar w:fldCharType="separate"/>
        </w:r>
        <w:r>
          <w:rPr>
            <w:noProof/>
            <w:webHidden/>
          </w:rPr>
          <w:t>425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0" w:history="1">
        <w:r w:rsidRPr="001B13A4">
          <w:rPr>
            <w:rStyle w:val="Hyperlink"/>
            <w:noProof/>
          </w:rPr>
          <w:t>2.1.974</w:t>
        </w:r>
        <w:r>
          <w:rPr>
            <w:rFonts w:asciiTheme="minorHAnsi" w:eastAsiaTheme="minorEastAsia" w:hAnsiTheme="minorHAnsi" w:cstheme="minorBidi"/>
            <w:noProof/>
            <w:sz w:val="22"/>
            <w:szCs w:val="22"/>
          </w:rPr>
          <w:tab/>
        </w:r>
        <w:r w:rsidRPr="001B13A4">
          <w:rPr>
            <w:rStyle w:val="Hyperlink"/>
            <w:noProof/>
          </w:rPr>
          <w:t>Part 1 Section 18.17.7.167, INDIRECT</w:t>
        </w:r>
        <w:r>
          <w:rPr>
            <w:noProof/>
            <w:webHidden/>
          </w:rPr>
          <w:tab/>
        </w:r>
        <w:r>
          <w:rPr>
            <w:noProof/>
            <w:webHidden/>
          </w:rPr>
          <w:fldChar w:fldCharType="begin"/>
        </w:r>
        <w:r>
          <w:rPr>
            <w:noProof/>
            <w:webHidden/>
          </w:rPr>
          <w:instrText xml:space="preserve"> PAGEREF _Toc181684010 \h </w:instrText>
        </w:r>
        <w:r>
          <w:rPr>
            <w:noProof/>
            <w:webHidden/>
          </w:rPr>
        </w:r>
        <w:r>
          <w:rPr>
            <w:noProof/>
            <w:webHidden/>
          </w:rPr>
          <w:fldChar w:fldCharType="separate"/>
        </w:r>
        <w:r>
          <w:rPr>
            <w:noProof/>
            <w:webHidden/>
          </w:rPr>
          <w:t>425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1" w:history="1">
        <w:r w:rsidRPr="001B13A4">
          <w:rPr>
            <w:rStyle w:val="Hyperlink"/>
            <w:noProof/>
          </w:rPr>
          <w:t>2.1.975</w:t>
        </w:r>
        <w:r>
          <w:rPr>
            <w:rFonts w:asciiTheme="minorHAnsi" w:eastAsiaTheme="minorEastAsia" w:hAnsiTheme="minorHAnsi" w:cstheme="minorBidi"/>
            <w:noProof/>
            <w:sz w:val="22"/>
            <w:szCs w:val="22"/>
          </w:rPr>
          <w:tab/>
        </w:r>
        <w:r w:rsidRPr="001B13A4">
          <w:rPr>
            <w:rStyle w:val="Hyperlink"/>
            <w:noProof/>
          </w:rPr>
          <w:t>Part 1 Section 18.17.7.168, INFO</w:t>
        </w:r>
        <w:r>
          <w:rPr>
            <w:noProof/>
            <w:webHidden/>
          </w:rPr>
          <w:tab/>
        </w:r>
        <w:r>
          <w:rPr>
            <w:noProof/>
            <w:webHidden/>
          </w:rPr>
          <w:fldChar w:fldCharType="begin"/>
        </w:r>
        <w:r>
          <w:rPr>
            <w:noProof/>
            <w:webHidden/>
          </w:rPr>
          <w:instrText xml:space="preserve"> PAGEREF _Toc181684011 \h </w:instrText>
        </w:r>
        <w:r>
          <w:rPr>
            <w:noProof/>
            <w:webHidden/>
          </w:rPr>
        </w:r>
        <w:r>
          <w:rPr>
            <w:noProof/>
            <w:webHidden/>
          </w:rPr>
          <w:fldChar w:fldCharType="separate"/>
        </w:r>
        <w:r>
          <w:rPr>
            <w:noProof/>
            <w:webHidden/>
          </w:rPr>
          <w:t>426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2" w:history="1">
        <w:r w:rsidRPr="001B13A4">
          <w:rPr>
            <w:rStyle w:val="Hyperlink"/>
            <w:noProof/>
          </w:rPr>
          <w:t>2.1.976</w:t>
        </w:r>
        <w:r>
          <w:rPr>
            <w:rFonts w:asciiTheme="minorHAnsi" w:eastAsiaTheme="minorEastAsia" w:hAnsiTheme="minorHAnsi" w:cstheme="minorBidi"/>
            <w:noProof/>
            <w:sz w:val="22"/>
            <w:szCs w:val="22"/>
          </w:rPr>
          <w:tab/>
        </w:r>
        <w:r w:rsidRPr="001B13A4">
          <w:rPr>
            <w:rStyle w:val="Hyperlink"/>
            <w:noProof/>
          </w:rPr>
          <w:t>Part 1 Section 18.17.7.170, INTERCEPT</w:t>
        </w:r>
        <w:r>
          <w:rPr>
            <w:noProof/>
            <w:webHidden/>
          </w:rPr>
          <w:tab/>
        </w:r>
        <w:r>
          <w:rPr>
            <w:noProof/>
            <w:webHidden/>
          </w:rPr>
          <w:fldChar w:fldCharType="begin"/>
        </w:r>
        <w:r>
          <w:rPr>
            <w:noProof/>
            <w:webHidden/>
          </w:rPr>
          <w:instrText xml:space="preserve"> PAGEREF _Toc181684012 \h </w:instrText>
        </w:r>
        <w:r>
          <w:rPr>
            <w:noProof/>
            <w:webHidden/>
          </w:rPr>
        </w:r>
        <w:r>
          <w:rPr>
            <w:noProof/>
            <w:webHidden/>
          </w:rPr>
          <w:fldChar w:fldCharType="separate"/>
        </w:r>
        <w:r>
          <w:rPr>
            <w:noProof/>
            <w:webHidden/>
          </w:rPr>
          <w:t>426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3" w:history="1">
        <w:r w:rsidRPr="001B13A4">
          <w:rPr>
            <w:rStyle w:val="Hyperlink"/>
            <w:noProof/>
          </w:rPr>
          <w:t>2.1.977</w:t>
        </w:r>
        <w:r>
          <w:rPr>
            <w:rFonts w:asciiTheme="minorHAnsi" w:eastAsiaTheme="minorEastAsia" w:hAnsiTheme="minorHAnsi" w:cstheme="minorBidi"/>
            <w:noProof/>
            <w:sz w:val="22"/>
            <w:szCs w:val="22"/>
          </w:rPr>
          <w:tab/>
        </w:r>
        <w:r w:rsidRPr="001B13A4">
          <w:rPr>
            <w:rStyle w:val="Hyperlink"/>
            <w:noProof/>
          </w:rPr>
          <w:t>Part 1 Section 18.17.7.171, INTRATE</w:t>
        </w:r>
        <w:r>
          <w:rPr>
            <w:noProof/>
            <w:webHidden/>
          </w:rPr>
          <w:tab/>
        </w:r>
        <w:r>
          <w:rPr>
            <w:noProof/>
            <w:webHidden/>
          </w:rPr>
          <w:fldChar w:fldCharType="begin"/>
        </w:r>
        <w:r>
          <w:rPr>
            <w:noProof/>
            <w:webHidden/>
          </w:rPr>
          <w:instrText xml:space="preserve"> PAGEREF _Toc181684013 \h </w:instrText>
        </w:r>
        <w:r>
          <w:rPr>
            <w:noProof/>
            <w:webHidden/>
          </w:rPr>
        </w:r>
        <w:r>
          <w:rPr>
            <w:noProof/>
            <w:webHidden/>
          </w:rPr>
          <w:fldChar w:fldCharType="separate"/>
        </w:r>
        <w:r>
          <w:rPr>
            <w:noProof/>
            <w:webHidden/>
          </w:rPr>
          <w:t>426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4" w:history="1">
        <w:r w:rsidRPr="001B13A4">
          <w:rPr>
            <w:rStyle w:val="Hyperlink"/>
            <w:noProof/>
          </w:rPr>
          <w:t>2.1.978</w:t>
        </w:r>
        <w:r>
          <w:rPr>
            <w:rFonts w:asciiTheme="minorHAnsi" w:eastAsiaTheme="minorEastAsia" w:hAnsiTheme="minorHAnsi" w:cstheme="minorBidi"/>
            <w:noProof/>
            <w:sz w:val="22"/>
            <w:szCs w:val="22"/>
          </w:rPr>
          <w:tab/>
        </w:r>
        <w:r w:rsidRPr="001B13A4">
          <w:rPr>
            <w:rStyle w:val="Hyperlink"/>
            <w:noProof/>
          </w:rPr>
          <w:t>Part 1 Section 18.17.7.172, IPMT</w:t>
        </w:r>
        <w:r>
          <w:rPr>
            <w:noProof/>
            <w:webHidden/>
          </w:rPr>
          <w:tab/>
        </w:r>
        <w:r>
          <w:rPr>
            <w:noProof/>
            <w:webHidden/>
          </w:rPr>
          <w:fldChar w:fldCharType="begin"/>
        </w:r>
        <w:r>
          <w:rPr>
            <w:noProof/>
            <w:webHidden/>
          </w:rPr>
          <w:instrText xml:space="preserve"> PAGEREF _Toc181684014 \h </w:instrText>
        </w:r>
        <w:r>
          <w:rPr>
            <w:noProof/>
            <w:webHidden/>
          </w:rPr>
        </w:r>
        <w:r>
          <w:rPr>
            <w:noProof/>
            <w:webHidden/>
          </w:rPr>
          <w:fldChar w:fldCharType="separate"/>
        </w:r>
        <w:r>
          <w:rPr>
            <w:noProof/>
            <w:webHidden/>
          </w:rPr>
          <w:t>427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5" w:history="1">
        <w:r w:rsidRPr="001B13A4">
          <w:rPr>
            <w:rStyle w:val="Hyperlink"/>
            <w:noProof/>
          </w:rPr>
          <w:t>2.1.979</w:t>
        </w:r>
        <w:r>
          <w:rPr>
            <w:rFonts w:asciiTheme="minorHAnsi" w:eastAsiaTheme="minorEastAsia" w:hAnsiTheme="minorHAnsi" w:cstheme="minorBidi"/>
            <w:noProof/>
            <w:sz w:val="22"/>
            <w:szCs w:val="22"/>
          </w:rPr>
          <w:tab/>
        </w:r>
        <w:r w:rsidRPr="001B13A4">
          <w:rPr>
            <w:rStyle w:val="Hyperlink"/>
            <w:noProof/>
          </w:rPr>
          <w:t>Part 1 Section 18.17.7.173, IRR</w:t>
        </w:r>
        <w:r>
          <w:rPr>
            <w:noProof/>
            <w:webHidden/>
          </w:rPr>
          <w:tab/>
        </w:r>
        <w:r>
          <w:rPr>
            <w:noProof/>
            <w:webHidden/>
          </w:rPr>
          <w:fldChar w:fldCharType="begin"/>
        </w:r>
        <w:r>
          <w:rPr>
            <w:noProof/>
            <w:webHidden/>
          </w:rPr>
          <w:instrText xml:space="preserve"> PAGEREF _Toc181684015 \h </w:instrText>
        </w:r>
        <w:r>
          <w:rPr>
            <w:noProof/>
            <w:webHidden/>
          </w:rPr>
        </w:r>
        <w:r>
          <w:rPr>
            <w:noProof/>
            <w:webHidden/>
          </w:rPr>
          <w:fldChar w:fldCharType="separate"/>
        </w:r>
        <w:r>
          <w:rPr>
            <w:noProof/>
            <w:webHidden/>
          </w:rPr>
          <w:t>428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6" w:history="1">
        <w:r w:rsidRPr="001B13A4">
          <w:rPr>
            <w:rStyle w:val="Hyperlink"/>
            <w:noProof/>
          </w:rPr>
          <w:t>2.1.980</w:t>
        </w:r>
        <w:r>
          <w:rPr>
            <w:rFonts w:asciiTheme="minorHAnsi" w:eastAsiaTheme="minorEastAsia" w:hAnsiTheme="minorHAnsi" w:cstheme="minorBidi"/>
            <w:noProof/>
            <w:sz w:val="22"/>
            <w:szCs w:val="22"/>
          </w:rPr>
          <w:tab/>
        </w:r>
        <w:r w:rsidRPr="001B13A4">
          <w:rPr>
            <w:rStyle w:val="Hyperlink"/>
            <w:noProof/>
          </w:rPr>
          <w:t>Part 1 Section 18.17.7.184, ISPMT</w:t>
        </w:r>
        <w:r>
          <w:rPr>
            <w:noProof/>
            <w:webHidden/>
          </w:rPr>
          <w:tab/>
        </w:r>
        <w:r>
          <w:rPr>
            <w:noProof/>
            <w:webHidden/>
          </w:rPr>
          <w:fldChar w:fldCharType="begin"/>
        </w:r>
        <w:r>
          <w:rPr>
            <w:noProof/>
            <w:webHidden/>
          </w:rPr>
          <w:instrText xml:space="preserve"> PAGEREF _Toc181684016 \h </w:instrText>
        </w:r>
        <w:r>
          <w:rPr>
            <w:noProof/>
            <w:webHidden/>
          </w:rPr>
        </w:r>
        <w:r>
          <w:rPr>
            <w:noProof/>
            <w:webHidden/>
          </w:rPr>
          <w:fldChar w:fldCharType="separate"/>
        </w:r>
        <w:r>
          <w:rPr>
            <w:noProof/>
            <w:webHidden/>
          </w:rPr>
          <w:t>428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7" w:history="1">
        <w:r w:rsidRPr="001B13A4">
          <w:rPr>
            <w:rStyle w:val="Hyperlink"/>
            <w:noProof/>
          </w:rPr>
          <w:t>2.1.981</w:t>
        </w:r>
        <w:r>
          <w:rPr>
            <w:rFonts w:asciiTheme="minorHAnsi" w:eastAsiaTheme="minorEastAsia" w:hAnsiTheme="minorHAnsi" w:cstheme="minorBidi"/>
            <w:noProof/>
            <w:sz w:val="22"/>
            <w:szCs w:val="22"/>
          </w:rPr>
          <w:tab/>
        </w:r>
        <w:r w:rsidRPr="001B13A4">
          <w:rPr>
            <w:rStyle w:val="Hyperlink"/>
            <w:noProof/>
          </w:rPr>
          <w:t>Part 1 Section 18.17.7.191, LEFT</w:t>
        </w:r>
        <w:r>
          <w:rPr>
            <w:noProof/>
            <w:webHidden/>
          </w:rPr>
          <w:tab/>
        </w:r>
        <w:r>
          <w:rPr>
            <w:noProof/>
            <w:webHidden/>
          </w:rPr>
          <w:fldChar w:fldCharType="begin"/>
        </w:r>
        <w:r>
          <w:rPr>
            <w:noProof/>
            <w:webHidden/>
          </w:rPr>
          <w:instrText xml:space="preserve"> PAGEREF _Toc181684017 \h </w:instrText>
        </w:r>
        <w:r>
          <w:rPr>
            <w:noProof/>
            <w:webHidden/>
          </w:rPr>
        </w:r>
        <w:r>
          <w:rPr>
            <w:noProof/>
            <w:webHidden/>
          </w:rPr>
          <w:fldChar w:fldCharType="separate"/>
        </w:r>
        <w:r>
          <w:rPr>
            <w:noProof/>
            <w:webHidden/>
          </w:rPr>
          <w:t>428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8" w:history="1">
        <w:r w:rsidRPr="001B13A4">
          <w:rPr>
            <w:rStyle w:val="Hyperlink"/>
            <w:noProof/>
          </w:rPr>
          <w:t>2.1.982</w:t>
        </w:r>
        <w:r>
          <w:rPr>
            <w:rFonts w:asciiTheme="minorHAnsi" w:eastAsiaTheme="minorEastAsia" w:hAnsiTheme="minorHAnsi" w:cstheme="minorBidi"/>
            <w:noProof/>
            <w:sz w:val="22"/>
            <w:szCs w:val="22"/>
          </w:rPr>
          <w:tab/>
        </w:r>
        <w:r w:rsidRPr="001B13A4">
          <w:rPr>
            <w:rStyle w:val="Hyperlink"/>
            <w:noProof/>
          </w:rPr>
          <w:t>Part 1 Section 18.17.7.192, LEFTB</w:t>
        </w:r>
        <w:r>
          <w:rPr>
            <w:noProof/>
            <w:webHidden/>
          </w:rPr>
          <w:tab/>
        </w:r>
        <w:r>
          <w:rPr>
            <w:noProof/>
            <w:webHidden/>
          </w:rPr>
          <w:fldChar w:fldCharType="begin"/>
        </w:r>
        <w:r>
          <w:rPr>
            <w:noProof/>
            <w:webHidden/>
          </w:rPr>
          <w:instrText xml:space="preserve"> PAGEREF _Toc181684018 \h </w:instrText>
        </w:r>
        <w:r>
          <w:rPr>
            <w:noProof/>
            <w:webHidden/>
          </w:rPr>
        </w:r>
        <w:r>
          <w:rPr>
            <w:noProof/>
            <w:webHidden/>
          </w:rPr>
          <w:fldChar w:fldCharType="separate"/>
        </w:r>
        <w:r>
          <w:rPr>
            <w:noProof/>
            <w:webHidden/>
          </w:rPr>
          <w:t>428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19" w:history="1">
        <w:r w:rsidRPr="001B13A4">
          <w:rPr>
            <w:rStyle w:val="Hyperlink"/>
            <w:noProof/>
          </w:rPr>
          <w:t>2.1.983</w:t>
        </w:r>
        <w:r>
          <w:rPr>
            <w:rFonts w:asciiTheme="minorHAnsi" w:eastAsiaTheme="minorEastAsia" w:hAnsiTheme="minorHAnsi" w:cstheme="minorBidi"/>
            <w:noProof/>
            <w:sz w:val="22"/>
            <w:szCs w:val="22"/>
          </w:rPr>
          <w:tab/>
        </w:r>
        <w:r w:rsidRPr="001B13A4">
          <w:rPr>
            <w:rStyle w:val="Hyperlink"/>
            <w:noProof/>
          </w:rPr>
          <w:t>Part 1 Section 18.17.7.193, LEN</w:t>
        </w:r>
        <w:r>
          <w:rPr>
            <w:noProof/>
            <w:webHidden/>
          </w:rPr>
          <w:tab/>
        </w:r>
        <w:r>
          <w:rPr>
            <w:noProof/>
            <w:webHidden/>
          </w:rPr>
          <w:fldChar w:fldCharType="begin"/>
        </w:r>
        <w:r>
          <w:rPr>
            <w:noProof/>
            <w:webHidden/>
          </w:rPr>
          <w:instrText xml:space="preserve"> PAGEREF _Toc181684019 \h </w:instrText>
        </w:r>
        <w:r>
          <w:rPr>
            <w:noProof/>
            <w:webHidden/>
          </w:rPr>
        </w:r>
        <w:r>
          <w:rPr>
            <w:noProof/>
            <w:webHidden/>
          </w:rPr>
          <w:fldChar w:fldCharType="separate"/>
        </w:r>
        <w:r>
          <w:rPr>
            <w:noProof/>
            <w:webHidden/>
          </w:rPr>
          <w:t>428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0" w:history="1">
        <w:r w:rsidRPr="001B13A4">
          <w:rPr>
            <w:rStyle w:val="Hyperlink"/>
            <w:noProof/>
          </w:rPr>
          <w:t>2.1.984</w:t>
        </w:r>
        <w:r>
          <w:rPr>
            <w:rFonts w:asciiTheme="minorHAnsi" w:eastAsiaTheme="minorEastAsia" w:hAnsiTheme="minorHAnsi" w:cstheme="minorBidi"/>
            <w:noProof/>
            <w:sz w:val="22"/>
            <w:szCs w:val="22"/>
          </w:rPr>
          <w:tab/>
        </w:r>
        <w:r w:rsidRPr="001B13A4">
          <w:rPr>
            <w:rStyle w:val="Hyperlink"/>
            <w:noProof/>
          </w:rPr>
          <w:t>Part 1 Section 18.17.7.194, LENB</w:t>
        </w:r>
        <w:r>
          <w:rPr>
            <w:noProof/>
            <w:webHidden/>
          </w:rPr>
          <w:tab/>
        </w:r>
        <w:r>
          <w:rPr>
            <w:noProof/>
            <w:webHidden/>
          </w:rPr>
          <w:fldChar w:fldCharType="begin"/>
        </w:r>
        <w:r>
          <w:rPr>
            <w:noProof/>
            <w:webHidden/>
          </w:rPr>
          <w:instrText xml:space="preserve"> PAGEREF _Toc181684020 \h </w:instrText>
        </w:r>
        <w:r>
          <w:rPr>
            <w:noProof/>
            <w:webHidden/>
          </w:rPr>
        </w:r>
        <w:r>
          <w:rPr>
            <w:noProof/>
            <w:webHidden/>
          </w:rPr>
          <w:fldChar w:fldCharType="separate"/>
        </w:r>
        <w:r>
          <w:rPr>
            <w:noProof/>
            <w:webHidden/>
          </w:rPr>
          <w:t>429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1" w:history="1">
        <w:r w:rsidRPr="001B13A4">
          <w:rPr>
            <w:rStyle w:val="Hyperlink"/>
            <w:noProof/>
          </w:rPr>
          <w:t>2.1.985</w:t>
        </w:r>
        <w:r>
          <w:rPr>
            <w:rFonts w:asciiTheme="minorHAnsi" w:eastAsiaTheme="minorEastAsia" w:hAnsiTheme="minorHAnsi" w:cstheme="minorBidi"/>
            <w:noProof/>
            <w:sz w:val="22"/>
            <w:szCs w:val="22"/>
          </w:rPr>
          <w:tab/>
        </w:r>
        <w:r w:rsidRPr="001B13A4">
          <w:rPr>
            <w:rStyle w:val="Hyperlink"/>
            <w:noProof/>
          </w:rPr>
          <w:t>Part 1 Section 18.17.7.195, LINEST</w:t>
        </w:r>
        <w:r>
          <w:rPr>
            <w:noProof/>
            <w:webHidden/>
          </w:rPr>
          <w:tab/>
        </w:r>
        <w:r>
          <w:rPr>
            <w:noProof/>
            <w:webHidden/>
          </w:rPr>
          <w:fldChar w:fldCharType="begin"/>
        </w:r>
        <w:r>
          <w:rPr>
            <w:noProof/>
            <w:webHidden/>
          </w:rPr>
          <w:instrText xml:space="preserve"> PAGEREF _Toc181684021 \h </w:instrText>
        </w:r>
        <w:r>
          <w:rPr>
            <w:noProof/>
            <w:webHidden/>
          </w:rPr>
        </w:r>
        <w:r>
          <w:rPr>
            <w:noProof/>
            <w:webHidden/>
          </w:rPr>
          <w:fldChar w:fldCharType="separate"/>
        </w:r>
        <w:r>
          <w:rPr>
            <w:noProof/>
            <w:webHidden/>
          </w:rPr>
          <w:t>429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2" w:history="1">
        <w:r w:rsidRPr="001B13A4">
          <w:rPr>
            <w:rStyle w:val="Hyperlink"/>
            <w:noProof/>
          </w:rPr>
          <w:t>2.1.986</w:t>
        </w:r>
        <w:r>
          <w:rPr>
            <w:rFonts w:asciiTheme="minorHAnsi" w:eastAsiaTheme="minorEastAsia" w:hAnsiTheme="minorHAnsi" w:cstheme="minorBidi"/>
            <w:noProof/>
            <w:sz w:val="22"/>
            <w:szCs w:val="22"/>
          </w:rPr>
          <w:tab/>
        </w:r>
        <w:r w:rsidRPr="001B13A4">
          <w:rPr>
            <w:rStyle w:val="Hyperlink"/>
            <w:noProof/>
          </w:rPr>
          <w:t>Part 1 Section 18.17.7.197, LOG</w:t>
        </w:r>
        <w:r>
          <w:rPr>
            <w:noProof/>
            <w:webHidden/>
          </w:rPr>
          <w:tab/>
        </w:r>
        <w:r>
          <w:rPr>
            <w:noProof/>
            <w:webHidden/>
          </w:rPr>
          <w:fldChar w:fldCharType="begin"/>
        </w:r>
        <w:r>
          <w:rPr>
            <w:noProof/>
            <w:webHidden/>
          </w:rPr>
          <w:instrText xml:space="preserve"> PAGEREF _Toc181684022 \h </w:instrText>
        </w:r>
        <w:r>
          <w:rPr>
            <w:noProof/>
            <w:webHidden/>
          </w:rPr>
        </w:r>
        <w:r>
          <w:rPr>
            <w:noProof/>
            <w:webHidden/>
          </w:rPr>
          <w:fldChar w:fldCharType="separate"/>
        </w:r>
        <w:r>
          <w:rPr>
            <w:noProof/>
            <w:webHidden/>
          </w:rPr>
          <w:t>429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3" w:history="1">
        <w:r w:rsidRPr="001B13A4">
          <w:rPr>
            <w:rStyle w:val="Hyperlink"/>
            <w:noProof/>
          </w:rPr>
          <w:t>2.1.987</w:t>
        </w:r>
        <w:r>
          <w:rPr>
            <w:rFonts w:asciiTheme="minorHAnsi" w:eastAsiaTheme="minorEastAsia" w:hAnsiTheme="minorHAnsi" w:cstheme="minorBidi"/>
            <w:noProof/>
            <w:sz w:val="22"/>
            <w:szCs w:val="22"/>
          </w:rPr>
          <w:tab/>
        </w:r>
        <w:r w:rsidRPr="001B13A4">
          <w:rPr>
            <w:rStyle w:val="Hyperlink"/>
            <w:noProof/>
          </w:rPr>
          <w:t>Part 1 Section 18.17.7.199, LOGEST</w:t>
        </w:r>
        <w:r>
          <w:rPr>
            <w:noProof/>
            <w:webHidden/>
          </w:rPr>
          <w:tab/>
        </w:r>
        <w:r>
          <w:rPr>
            <w:noProof/>
            <w:webHidden/>
          </w:rPr>
          <w:fldChar w:fldCharType="begin"/>
        </w:r>
        <w:r>
          <w:rPr>
            <w:noProof/>
            <w:webHidden/>
          </w:rPr>
          <w:instrText xml:space="preserve"> PAGEREF _Toc181684023 \h </w:instrText>
        </w:r>
        <w:r>
          <w:rPr>
            <w:noProof/>
            <w:webHidden/>
          </w:rPr>
        </w:r>
        <w:r>
          <w:rPr>
            <w:noProof/>
            <w:webHidden/>
          </w:rPr>
          <w:fldChar w:fldCharType="separate"/>
        </w:r>
        <w:r>
          <w:rPr>
            <w:noProof/>
            <w:webHidden/>
          </w:rPr>
          <w:t>430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4" w:history="1">
        <w:r w:rsidRPr="001B13A4">
          <w:rPr>
            <w:rStyle w:val="Hyperlink"/>
            <w:noProof/>
          </w:rPr>
          <w:t>2.1.988</w:t>
        </w:r>
        <w:r>
          <w:rPr>
            <w:rFonts w:asciiTheme="minorHAnsi" w:eastAsiaTheme="minorEastAsia" w:hAnsiTheme="minorHAnsi" w:cstheme="minorBidi"/>
            <w:noProof/>
            <w:sz w:val="22"/>
            <w:szCs w:val="22"/>
          </w:rPr>
          <w:tab/>
        </w:r>
        <w:r w:rsidRPr="001B13A4">
          <w:rPr>
            <w:rStyle w:val="Hyperlink"/>
            <w:noProof/>
          </w:rPr>
          <w:t>Part 1 Section 18.17.7.200, LOGINV</w:t>
        </w:r>
        <w:r>
          <w:rPr>
            <w:noProof/>
            <w:webHidden/>
          </w:rPr>
          <w:tab/>
        </w:r>
        <w:r>
          <w:rPr>
            <w:noProof/>
            <w:webHidden/>
          </w:rPr>
          <w:fldChar w:fldCharType="begin"/>
        </w:r>
        <w:r>
          <w:rPr>
            <w:noProof/>
            <w:webHidden/>
          </w:rPr>
          <w:instrText xml:space="preserve"> PAGEREF _Toc181684024 \h </w:instrText>
        </w:r>
        <w:r>
          <w:rPr>
            <w:noProof/>
            <w:webHidden/>
          </w:rPr>
        </w:r>
        <w:r>
          <w:rPr>
            <w:noProof/>
            <w:webHidden/>
          </w:rPr>
          <w:fldChar w:fldCharType="separate"/>
        </w:r>
        <w:r>
          <w:rPr>
            <w:noProof/>
            <w:webHidden/>
          </w:rPr>
          <w:t>430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5" w:history="1">
        <w:r w:rsidRPr="001B13A4">
          <w:rPr>
            <w:rStyle w:val="Hyperlink"/>
            <w:noProof/>
          </w:rPr>
          <w:t>2.1.989</w:t>
        </w:r>
        <w:r>
          <w:rPr>
            <w:rFonts w:asciiTheme="minorHAnsi" w:eastAsiaTheme="minorEastAsia" w:hAnsiTheme="minorHAnsi" w:cstheme="minorBidi"/>
            <w:noProof/>
            <w:sz w:val="22"/>
            <w:szCs w:val="22"/>
          </w:rPr>
          <w:tab/>
        </w:r>
        <w:r w:rsidRPr="001B13A4">
          <w:rPr>
            <w:rStyle w:val="Hyperlink"/>
            <w:noProof/>
          </w:rPr>
          <w:t>Part 1 Section 18.17.7.201, LOGNORMDIST</w:t>
        </w:r>
        <w:r>
          <w:rPr>
            <w:noProof/>
            <w:webHidden/>
          </w:rPr>
          <w:tab/>
        </w:r>
        <w:r>
          <w:rPr>
            <w:noProof/>
            <w:webHidden/>
          </w:rPr>
          <w:fldChar w:fldCharType="begin"/>
        </w:r>
        <w:r>
          <w:rPr>
            <w:noProof/>
            <w:webHidden/>
          </w:rPr>
          <w:instrText xml:space="preserve"> PAGEREF _Toc181684025 \h </w:instrText>
        </w:r>
        <w:r>
          <w:rPr>
            <w:noProof/>
            <w:webHidden/>
          </w:rPr>
        </w:r>
        <w:r>
          <w:rPr>
            <w:noProof/>
            <w:webHidden/>
          </w:rPr>
          <w:fldChar w:fldCharType="separate"/>
        </w:r>
        <w:r>
          <w:rPr>
            <w:noProof/>
            <w:webHidden/>
          </w:rPr>
          <w:t>430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6" w:history="1">
        <w:r w:rsidRPr="001B13A4">
          <w:rPr>
            <w:rStyle w:val="Hyperlink"/>
            <w:noProof/>
          </w:rPr>
          <w:t>2.1.990</w:t>
        </w:r>
        <w:r>
          <w:rPr>
            <w:rFonts w:asciiTheme="minorHAnsi" w:eastAsiaTheme="minorEastAsia" w:hAnsiTheme="minorHAnsi" w:cstheme="minorBidi"/>
            <w:noProof/>
            <w:sz w:val="22"/>
            <w:szCs w:val="22"/>
          </w:rPr>
          <w:tab/>
        </w:r>
        <w:r w:rsidRPr="001B13A4">
          <w:rPr>
            <w:rStyle w:val="Hyperlink"/>
            <w:noProof/>
          </w:rPr>
          <w:t>Part 1 Section 18.17.7.204, MATCH</w:t>
        </w:r>
        <w:r>
          <w:rPr>
            <w:noProof/>
            <w:webHidden/>
          </w:rPr>
          <w:tab/>
        </w:r>
        <w:r>
          <w:rPr>
            <w:noProof/>
            <w:webHidden/>
          </w:rPr>
          <w:fldChar w:fldCharType="begin"/>
        </w:r>
        <w:r>
          <w:rPr>
            <w:noProof/>
            <w:webHidden/>
          </w:rPr>
          <w:instrText xml:space="preserve"> PAGEREF _Toc181684026 \h </w:instrText>
        </w:r>
        <w:r>
          <w:rPr>
            <w:noProof/>
            <w:webHidden/>
          </w:rPr>
        </w:r>
        <w:r>
          <w:rPr>
            <w:noProof/>
            <w:webHidden/>
          </w:rPr>
          <w:fldChar w:fldCharType="separate"/>
        </w:r>
        <w:r>
          <w:rPr>
            <w:noProof/>
            <w:webHidden/>
          </w:rPr>
          <w:t>430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7" w:history="1">
        <w:r w:rsidRPr="001B13A4">
          <w:rPr>
            <w:rStyle w:val="Hyperlink"/>
            <w:noProof/>
          </w:rPr>
          <w:t>2.1.991</w:t>
        </w:r>
        <w:r>
          <w:rPr>
            <w:rFonts w:asciiTheme="minorHAnsi" w:eastAsiaTheme="minorEastAsia" w:hAnsiTheme="minorHAnsi" w:cstheme="minorBidi"/>
            <w:noProof/>
            <w:sz w:val="22"/>
            <w:szCs w:val="22"/>
          </w:rPr>
          <w:tab/>
        </w:r>
        <w:r w:rsidRPr="001B13A4">
          <w:rPr>
            <w:rStyle w:val="Hyperlink"/>
            <w:noProof/>
          </w:rPr>
          <w:t>Part 1 Section 18.17.7.208, MDURATION</w:t>
        </w:r>
        <w:r>
          <w:rPr>
            <w:noProof/>
            <w:webHidden/>
          </w:rPr>
          <w:tab/>
        </w:r>
        <w:r>
          <w:rPr>
            <w:noProof/>
            <w:webHidden/>
          </w:rPr>
          <w:fldChar w:fldCharType="begin"/>
        </w:r>
        <w:r>
          <w:rPr>
            <w:noProof/>
            <w:webHidden/>
          </w:rPr>
          <w:instrText xml:space="preserve"> PAGEREF _Toc181684027 \h </w:instrText>
        </w:r>
        <w:r>
          <w:rPr>
            <w:noProof/>
            <w:webHidden/>
          </w:rPr>
        </w:r>
        <w:r>
          <w:rPr>
            <w:noProof/>
            <w:webHidden/>
          </w:rPr>
          <w:fldChar w:fldCharType="separate"/>
        </w:r>
        <w:r>
          <w:rPr>
            <w:noProof/>
            <w:webHidden/>
          </w:rPr>
          <w:t>430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8" w:history="1">
        <w:r w:rsidRPr="001B13A4">
          <w:rPr>
            <w:rStyle w:val="Hyperlink"/>
            <w:noProof/>
          </w:rPr>
          <w:t>2.1.992</w:t>
        </w:r>
        <w:r>
          <w:rPr>
            <w:rFonts w:asciiTheme="minorHAnsi" w:eastAsiaTheme="minorEastAsia" w:hAnsiTheme="minorHAnsi" w:cstheme="minorBidi"/>
            <w:noProof/>
            <w:sz w:val="22"/>
            <w:szCs w:val="22"/>
          </w:rPr>
          <w:tab/>
        </w:r>
        <w:r w:rsidRPr="001B13A4">
          <w:rPr>
            <w:rStyle w:val="Hyperlink"/>
            <w:noProof/>
          </w:rPr>
          <w:t>Part 1 Section 18.17.7.210, MID</w:t>
        </w:r>
        <w:r>
          <w:rPr>
            <w:noProof/>
            <w:webHidden/>
          </w:rPr>
          <w:tab/>
        </w:r>
        <w:r>
          <w:rPr>
            <w:noProof/>
            <w:webHidden/>
          </w:rPr>
          <w:fldChar w:fldCharType="begin"/>
        </w:r>
        <w:r>
          <w:rPr>
            <w:noProof/>
            <w:webHidden/>
          </w:rPr>
          <w:instrText xml:space="preserve"> PAGEREF _Toc181684028 \h </w:instrText>
        </w:r>
        <w:r>
          <w:rPr>
            <w:noProof/>
            <w:webHidden/>
          </w:rPr>
        </w:r>
        <w:r>
          <w:rPr>
            <w:noProof/>
            <w:webHidden/>
          </w:rPr>
          <w:fldChar w:fldCharType="separate"/>
        </w:r>
        <w:r>
          <w:rPr>
            <w:noProof/>
            <w:webHidden/>
          </w:rPr>
          <w:t>431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29" w:history="1">
        <w:r w:rsidRPr="001B13A4">
          <w:rPr>
            <w:rStyle w:val="Hyperlink"/>
            <w:noProof/>
          </w:rPr>
          <w:t>2.1.993</w:t>
        </w:r>
        <w:r>
          <w:rPr>
            <w:rFonts w:asciiTheme="minorHAnsi" w:eastAsiaTheme="minorEastAsia" w:hAnsiTheme="minorHAnsi" w:cstheme="minorBidi"/>
            <w:noProof/>
            <w:sz w:val="22"/>
            <w:szCs w:val="22"/>
          </w:rPr>
          <w:tab/>
        </w:r>
        <w:r w:rsidRPr="001B13A4">
          <w:rPr>
            <w:rStyle w:val="Hyperlink"/>
            <w:noProof/>
          </w:rPr>
          <w:t>Part 1 Section 18.17.7.211, MIDB</w:t>
        </w:r>
        <w:r>
          <w:rPr>
            <w:noProof/>
            <w:webHidden/>
          </w:rPr>
          <w:tab/>
        </w:r>
        <w:r>
          <w:rPr>
            <w:noProof/>
            <w:webHidden/>
          </w:rPr>
          <w:fldChar w:fldCharType="begin"/>
        </w:r>
        <w:r>
          <w:rPr>
            <w:noProof/>
            <w:webHidden/>
          </w:rPr>
          <w:instrText xml:space="preserve"> PAGEREF _Toc181684029 \h </w:instrText>
        </w:r>
        <w:r>
          <w:rPr>
            <w:noProof/>
            <w:webHidden/>
          </w:rPr>
        </w:r>
        <w:r>
          <w:rPr>
            <w:noProof/>
            <w:webHidden/>
          </w:rPr>
          <w:fldChar w:fldCharType="separate"/>
        </w:r>
        <w:r>
          <w:rPr>
            <w:noProof/>
            <w:webHidden/>
          </w:rPr>
          <w:t>432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0" w:history="1">
        <w:r w:rsidRPr="001B13A4">
          <w:rPr>
            <w:rStyle w:val="Hyperlink"/>
            <w:noProof/>
          </w:rPr>
          <w:t>2.1.994</w:t>
        </w:r>
        <w:r>
          <w:rPr>
            <w:rFonts w:asciiTheme="minorHAnsi" w:eastAsiaTheme="minorEastAsia" w:hAnsiTheme="minorHAnsi" w:cstheme="minorBidi"/>
            <w:noProof/>
            <w:sz w:val="22"/>
            <w:szCs w:val="22"/>
          </w:rPr>
          <w:tab/>
        </w:r>
        <w:r w:rsidRPr="001B13A4">
          <w:rPr>
            <w:rStyle w:val="Hyperlink"/>
            <w:noProof/>
          </w:rPr>
          <w:t>Part 1 Section 18.17.7.212, MIN</w:t>
        </w:r>
        <w:r>
          <w:rPr>
            <w:noProof/>
            <w:webHidden/>
          </w:rPr>
          <w:tab/>
        </w:r>
        <w:r>
          <w:rPr>
            <w:noProof/>
            <w:webHidden/>
          </w:rPr>
          <w:fldChar w:fldCharType="begin"/>
        </w:r>
        <w:r>
          <w:rPr>
            <w:noProof/>
            <w:webHidden/>
          </w:rPr>
          <w:instrText xml:space="preserve"> PAGEREF _Toc181684030 \h </w:instrText>
        </w:r>
        <w:r>
          <w:rPr>
            <w:noProof/>
            <w:webHidden/>
          </w:rPr>
        </w:r>
        <w:r>
          <w:rPr>
            <w:noProof/>
            <w:webHidden/>
          </w:rPr>
          <w:fldChar w:fldCharType="separate"/>
        </w:r>
        <w:r>
          <w:rPr>
            <w:noProof/>
            <w:webHidden/>
          </w:rPr>
          <w:t>432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1" w:history="1">
        <w:r w:rsidRPr="001B13A4">
          <w:rPr>
            <w:rStyle w:val="Hyperlink"/>
            <w:noProof/>
          </w:rPr>
          <w:t>2.1.995</w:t>
        </w:r>
        <w:r>
          <w:rPr>
            <w:rFonts w:asciiTheme="minorHAnsi" w:eastAsiaTheme="minorEastAsia" w:hAnsiTheme="minorHAnsi" w:cstheme="minorBidi"/>
            <w:noProof/>
            <w:sz w:val="22"/>
            <w:szCs w:val="22"/>
          </w:rPr>
          <w:tab/>
        </w:r>
        <w:r w:rsidRPr="001B13A4">
          <w:rPr>
            <w:rStyle w:val="Hyperlink"/>
            <w:noProof/>
          </w:rPr>
          <w:t>Part 1 Section 18.17.7.213, MINA</w:t>
        </w:r>
        <w:r>
          <w:rPr>
            <w:noProof/>
            <w:webHidden/>
          </w:rPr>
          <w:tab/>
        </w:r>
        <w:r>
          <w:rPr>
            <w:noProof/>
            <w:webHidden/>
          </w:rPr>
          <w:fldChar w:fldCharType="begin"/>
        </w:r>
        <w:r>
          <w:rPr>
            <w:noProof/>
            <w:webHidden/>
          </w:rPr>
          <w:instrText xml:space="preserve"> PAGEREF _Toc181684031 \h </w:instrText>
        </w:r>
        <w:r>
          <w:rPr>
            <w:noProof/>
            <w:webHidden/>
          </w:rPr>
        </w:r>
        <w:r>
          <w:rPr>
            <w:noProof/>
            <w:webHidden/>
          </w:rPr>
          <w:fldChar w:fldCharType="separate"/>
        </w:r>
        <w:r>
          <w:rPr>
            <w:noProof/>
            <w:webHidden/>
          </w:rPr>
          <w:t>432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2" w:history="1">
        <w:r w:rsidRPr="001B13A4">
          <w:rPr>
            <w:rStyle w:val="Hyperlink"/>
            <w:noProof/>
          </w:rPr>
          <w:t>2.1.996</w:t>
        </w:r>
        <w:r>
          <w:rPr>
            <w:rFonts w:asciiTheme="minorHAnsi" w:eastAsiaTheme="minorEastAsia" w:hAnsiTheme="minorHAnsi" w:cstheme="minorBidi"/>
            <w:noProof/>
            <w:sz w:val="22"/>
            <w:szCs w:val="22"/>
          </w:rPr>
          <w:tab/>
        </w:r>
        <w:r w:rsidRPr="001B13A4">
          <w:rPr>
            <w:rStyle w:val="Hyperlink"/>
            <w:noProof/>
          </w:rPr>
          <w:t>Part 1 Section 18.17.7.215, MINVERSE</w:t>
        </w:r>
        <w:r>
          <w:rPr>
            <w:noProof/>
            <w:webHidden/>
          </w:rPr>
          <w:tab/>
        </w:r>
        <w:r>
          <w:rPr>
            <w:noProof/>
            <w:webHidden/>
          </w:rPr>
          <w:fldChar w:fldCharType="begin"/>
        </w:r>
        <w:r>
          <w:rPr>
            <w:noProof/>
            <w:webHidden/>
          </w:rPr>
          <w:instrText xml:space="preserve"> PAGEREF _Toc181684032 \h </w:instrText>
        </w:r>
        <w:r>
          <w:rPr>
            <w:noProof/>
            <w:webHidden/>
          </w:rPr>
        </w:r>
        <w:r>
          <w:rPr>
            <w:noProof/>
            <w:webHidden/>
          </w:rPr>
          <w:fldChar w:fldCharType="separate"/>
        </w:r>
        <w:r>
          <w:rPr>
            <w:noProof/>
            <w:webHidden/>
          </w:rPr>
          <w:t>433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3" w:history="1">
        <w:r w:rsidRPr="001B13A4">
          <w:rPr>
            <w:rStyle w:val="Hyperlink"/>
            <w:noProof/>
          </w:rPr>
          <w:t>2.1.997</w:t>
        </w:r>
        <w:r>
          <w:rPr>
            <w:rFonts w:asciiTheme="minorHAnsi" w:eastAsiaTheme="minorEastAsia" w:hAnsiTheme="minorHAnsi" w:cstheme="minorBidi"/>
            <w:noProof/>
            <w:sz w:val="22"/>
            <w:szCs w:val="22"/>
          </w:rPr>
          <w:tab/>
        </w:r>
        <w:r w:rsidRPr="001B13A4">
          <w:rPr>
            <w:rStyle w:val="Hyperlink"/>
            <w:noProof/>
          </w:rPr>
          <w:t>Part 1 Section 18.17.7.222, MULTINOMIAL</w:t>
        </w:r>
        <w:r>
          <w:rPr>
            <w:noProof/>
            <w:webHidden/>
          </w:rPr>
          <w:tab/>
        </w:r>
        <w:r>
          <w:rPr>
            <w:noProof/>
            <w:webHidden/>
          </w:rPr>
          <w:fldChar w:fldCharType="begin"/>
        </w:r>
        <w:r>
          <w:rPr>
            <w:noProof/>
            <w:webHidden/>
          </w:rPr>
          <w:instrText xml:space="preserve"> PAGEREF _Toc181684033 \h </w:instrText>
        </w:r>
        <w:r>
          <w:rPr>
            <w:noProof/>
            <w:webHidden/>
          </w:rPr>
        </w:r>
        <w:r>
          <w:rPr>
            <w:noProof/>
            <w:webHidden/>
          </w:rPr>
          <w:fldChar w:fldCharType="separate"/>
        </w:r>
        <w:r>
          <w:rPr>
            <w:noProof/>
            <w:webHidden/>
          </w:rPr>
          <w:t>433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4" w:history="1">
        <w:r w:rsidRPr="001B13A4">
          <w:rPr>
            <w:rStyle w:val="Hyperlink"/>
            <w:noProof/>
          </w:rPr>
          <w:t>2.1.998</w:t>
        </w:r>
        <w:r>
          <w:rPr>
            <w:rFonts w:asciiTheme="minorHAnsi" w:eastAsiaTheme="minorEastAsia" w:hAnsiTheme="minorHAnsi" w:cstheme="minorBidi"/>
            <w:noProof/>
            <w:sz w:val="22"/>
            <w:szCs w:val="22"/>
          </w:rPr>
          <w:tab/>
        </w:r>
        <w:r w:rsidRPr="001B13A4">
          <w:rPr>
            <w:rStyle w:val="Hyperlink"/>
            <w:noProof/>
          </w:rPr>
          <w:t>Part 1 Section 18.17.7.223, N</w:t>
        </w:r>
        <w:r>
          <w:rPr>
            <w:noProof/>
            <w:webHidden/>
          </w:rPr>
          <w:tab/>
        </w:r>
        <w:r>
          <w:rPr>
            <w:noProof/>
            <w:webHidden/>
          </w:rPr>
          <w:fldChar w:fldCharType="begin"/>
        </w:r>
        <w:r>
          <w:rPr>
            <w:noProof/>
            <w:webHidden/>
          </w:rPr>
          <w:instrText xml:space="preserve"> PAGEREF _Toc181684034 \h </w:instrText>
        </w:r>
        <w:r>
          <w:rPr>
            <w:noProof/>
            <w:webHidden/>
          </w:rPr>
        </w:r>
        <w:r>
          <w:rPr>
            <w:noProof/>
            <w:webHidden/>
          </w:rPr>
          <w:fldChar w:fldCharType="separate"/>
        </w:r>
        <w:r>
          <w:rPr>
            <w:noProof/>
            <w:webHidden/>
          </w:rPr>
          <w:t>433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5" w:history="1">
        <w:r w:rsidRPr="001B13A4">
          <w:rPr>
            <w:rStyle w:val="Hyperlink"/>
            <w:noProof/>
          </w:rPr>
          <w:t>2.1.999</w:t>
        </w:r>
        <w:r>
          <w:rPr>
            <w:rFonts w:asciiTheme="minorHAnsi" w:eastAsiaTheme="minorEastAsia" w:hAnsiTheme="minorHAnsi" w:cstheme="minorBidi"/>
            <w:noProof/>
            <w:sz w:val="22"/>
            <w:szCs w:val="22"/>
          </w:rPr>
          <w:tab/>
        </w:r>
        <w:r w:rsidRPr="001B13A4">
          <w:rPr>
            <w:rStyle w:val="Hyperlink"/>
            <w:noProof/>
          </w:rPr>
          <w:t>Part 1 Section 18.17.7.225, NEGBINOMDIST</w:t>
        </w:r>
        <w:r>
          <w:rPr>
            <w:noProof/>
            <w:webHidden/>
          </w:rPr>
          <w:tab/>
        </w:r>
        <w:r>
          <w:rPr>
            <w:noProof/>
            <w:webHidden/>
          </w:rPr>
          <w:fldChar w:fldCharType="begin"/>
        </w:r>
        <w:r>
          <w:rPr>
            <w:noProof/>
            <w:webHidden/>
          </w:rPr>
          <w:instrText xml:space="preserve"> PAGEREF _Toc181684035 \h </w:instrText>
        </w:r>
        <w:r>
          <w:rPr>
            <w:noProof/>
            <w:webHidden/>
          </w:rPr>
        </w:r>
        <w:r>
          <w:rPr>
            <w:noProof/>
            <w:webHidden/>
          </w:rPr>
          <w:fldChar w:fldCharType="separate"/>
        </w:r>
        <w:r>
          <w:rPr>
            <w:noProof/>
            <w:webHidden/>
          </w:rPr>
          <w:t>433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6" w:history="1">
        <w:r w:rsidRPr="001B13A4">
          <w:rPr>
            <w:rStyle w:val="Hyperlink"/>
            <w:noProof/>
          </w:rPr>
          <w:t>2.1.1000</w:t>
        </w:r>
        <w:r>
          <w:rPr>
            <w:rFonts w:asciiTheme="minorHAnsi" w:eastAsiaTheme="minorEastAsia" w:hAnsiTheme="minorHAnsi" w:cstheme="minorBidi"/>
            <w:noProof/>
            <w:sz w:val="22"/>
            <w:szCs w:val="22"/>
          </w:rPr>
          <w:tab/>
        </w:r>
        <w:r w:rsidRPr="001B13A4">
          <w:rPr>
            <w:rStyle w:val="Hyperlink"/>
            <w:noProof/>
          </w:rPr>
          <w:t>Part 1 Section 18.17.7.226, NETWORKDAYS</w:t>
        </w:r>
        <w:r>
          <w:rPr>
            <w:noProof/>
            <w:webHidden/>
          </w:rPr>
          <w:tab/>
        </w:r>
        <w:r>
          <w:rPr>
            <w:noProof/>
            <w:webHidden/>
          </w:rPr>
          <w:fldChar w:fldCharType="begin"/>
        </w:r>
        <w:r>
          <w:rPr>
            <w:noProof/>
            <w:webHidden/>
          </w:rPr>
          <w:instrText xml:space="preserve"> PAGEREF _Toc181684036 \h </w:instrText>
        </w:r>
        <w:r>
          <w:rPr>
            <w:noProof/>
            <w:webHidden/>
          </w:rPr>
        </w:r>
        <w:r>
          <w:rPr>
            <w:noProof/>
            <w:webHidden/>
          </w:rPr>
          <w:fldChar w:fldCharType="separate"/>
        </w:r>
        <w:r>
          <w:rPr>
            <w:noProof/>
            <w:webHidden/>
          </w:rPr>
          <w:t>433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7" w:history="1">
        <w:r w:rsidRPr="001B13A4">
          <w:rPr>
            <w:rStyle w:val="Hyperlink"/>
            <w:noProof/>
          </w:rPr>
          <w:t>2.1.1001</w:t>
        </w:r>
        <w:r>
          <w:rPr>
            <w:rFonts w:asciiTheme="minorHAnsi" w:eastAsiaTheme="minorEastAsia" w:hAnsiTheme="minorHAnsi" w:cstheme="minorBidi"/>
            <w:noProof/>
            <w:sz w:val="22"/>
            <w:szCs w:val="22"/>
          </w:rPr>
          <w:tab/>
        </w:r>
        <w:r w:rsidRPr="001B13A4">
          <w:rPr>
            <w:rStyle w:val="Hyperlink"/>
            <w:noProof/>
          </w:rPr>
          <w:t>Part 1 Section 18.17.7.230, NORMINV</w:t>
        </w:r>
        <w:r>
          <w:rPr>
            <w:noProof/>
            <w:webHidden/>
          </w:rPr>
          <w:tab/>
        </w:r>
        <w:r>
          <w:rPr>
            <w:noProof/>
            <w:webHidden/>
          </w:rPr>
          <w:fldChar w:fldCharType="begin"/>
        </w:r>
        <w:r>
          <w:rPr>
            <w:noProof/>
            <w:webHidden/>
          </w:rPr>
          <w:instrText xml:space="preserve"> PAGEREF _Toc181684037 \h </w:instrText>
        </w:r>
        <w:r>
          <w:rPr>
            <w:noProof/>
            <w:webHidden/>
          </w:rPr>
        </w:r>
        <w:r>
          <w:rPr>
            <w:noProof/>
            <w:webHidden/>
          </w:rPr>
          <w:fldChar w:fldCharType="separate"/>
        </w:r>
        <w:r>
          <w:rPr>
            <w:noProof/>
            <w:webHidden/>
          </w:rPr>
          <w:t>433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8" w:history="1">
        <w:r w:rsidRPr="001B13A4">
          <w:rPr>
            <w:rStyle w:val="Hyperlink"/>
            <w:noProof/>
          </w:rPr>
          <w:t>2.1.1002</w:t>
        </w:r>
        <w:r>
          <w:rPr>
            <w:rFonts w:asciiTheme="minorHAnsi" w:eastAsiaTheme="minorEastAsia" w:hAnsiTheme="minorHAnsi" w:cstheme="minorBidi"/>
            <w:noProof/>
            <w:sz w:val="22"/>
            <w:szCs w:val="22"/>
          </w:rPr>
          <w:tab/>
        </w:r>
        <w:r w:rsidRPr="001B13A4">
          <w:rPr>
            <w:rStyle w:val="Hyperlink"/>
            <w:noProof/>
          </w:rPr>
          <w:t>Part 1 Section 18.17.7.231, NORMSDIST</w:t>
        </w:r>
        <w:r>
          <w:rPr>
            <w:noProof/>
            <w:webHidden/>
          </w:rPr>
          <w:tab/>
        </w:r>
        <w:r>
          <w:rPr>
            <w:noProof/>
            <w:webHidden/>
          </w:rPr>
          <w:fldChar w:fldCharType="begin"/>
        </w:r>
        <w:r>
          <w:rPr>
            <w:noProof/>
            <w:webHidden/>
          </w:rPr>
          <w:instrText xml:space="preserve"> PAGEREF _Toc181684038 \h </w:instrText>
        </w:r>
        <w:r>
          <w:rPr>
            <w:noProof/>
            <w:webHidden/>
          </w:rPr>
        </w:r>
        <w:r>
          <w:rPr>
            <w:noProof/>
            <w:webHidden/>
          </w:rPr>
          <w:fldChar w:fldCharType="separate"/>
        </w:r>
        <w:r>
          <w:rPr>
            <w:noProof/>
            <w:webHidden/>
          </w:rPr>
          <w:t>434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39" w:history="1">
        <w:r w:rsidRPr="001B13A4">
          <w:rPr>
            <w:rStyle w:val="Hyperlink"/>
            <w:noProof/>
          </w:rPr>
          <w:t>2.1.1003</w:t>
        </w:r>
        <w:r>
          <w:rPr>
            <w:rFonts w:asciiTheme="minorHAnsi" w:eastAsiaTheme="minorEastAsia" w:hAnsiTheme="minorHAnsi" w:cstheme="minorBidi"/>
            <w:noProof/>
            <w:sz w:val="22"/>
            <w:szCs w:val="22"/>
          </w:rPr>
          <w:tab/>
        </w:r>
        <w:r w:rsidRPr="001B13A4">
          <w:rPr>
            <w:rStyle w:val="Hyperlink"/>
            <w:noProof/>
          </w:rPr>
          <w:t>Part 1 Section 18.17.7.232, NORMSINV</w:t>
        </w:r>
        <w:r>
          <w:rPr>
            <w:noProof/>
            <w:webHidden/>
          </w:rPr>
          <w:tab/>
        </w:r>
        <w:r>
          <w:rPr>
            <w:noProof/>
            <w:webHidden/>
          </w:rPr>
          <w:fldChar w:fldCharType="begin"/>
        </w:r>
        <w:r>
          <w:rPr>
            <w:noProof/>
            <w:webHidden/>
          </w:rPr>
          <w:instrText xml:space="preserve"> PAGEREF _Toc181684039 \h </w:instrText>
        </w:r>
        <w:r>
          <w:rPr>
            <w:noProof/>
            <w:webHidden/>
          </w:rPr>
        </w:r>
        <w:r>
          <w:rPr>
            <w:noProof/>
            <w:webHidden/>
          </w:rPr>
          <w:fldChar w:fldCharType="separate"/>
        </w:r>
        <w:r>
          <w:rPr>
            <w:noProof/>
            <w:webHidden/>
          </w:rPr>
          <w:t>434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0" w:history="1">
        <w:r w:rsidRPr="001B13A4">
          <w:rPr>
            <w:rStyle w:val="Hyperlink"/>
            <w:noProof/>
          </w:rPr>
          <w:t>2.1.1004</w:t>
        </w:r>
        <w:r>
          <w:rPr>
            <w:rFonts w:asciiTheme="minorHAnsi" w:eastAsiaTheme="minorEastAsia" w:hAnsiTheme="minorHAnsi" w:cstheme="minorBidi"/>
            <w:noProof/>
            <w:sz w:val="22"/>
            <w:szCs w:val="22"/>
          </w:rPr>
          <w:tab/>
        </w:r>
        <w:r w:rsidRPr="001B13A4">
          <w:rPr>
            <w:rStyle w:val="Hyperlink"/>
            <w:noProof/>
          </w:rPr>
          <w:t>Part 1 Section 18.17.7.235, NPER</w:t>
        </w:r>
        <w:r>
          <w:rPr>
            <w:noProof/>
            <w:webHidden/>
          </w:rPr>
          <w:tab/>
        </w:r>
        <w:r>
          <w:rPr>
            <w:noProof/>
            <w:webHidden/>
          </w:rPr>
          <w:fldChar w:fldCharType="begin"/>
        </w:r>
        <w:r>
          <w:rPr>
            <w:noProof/>
            <w:webHidden/>
          </w:rPr>
          <w:instrText xml:space="preserve"> PAGEREF _Toc181684040 \h </w:instrText>
        </w:r>
        <w:r>
          <w:rPr>
            <w:noProof/>
            <w:webHidden/>
          </w:rPr>
        </w:r>
        <w:r>
          <w:rPr>
            <w:noProof/>
            <w:webHidden/>
          </w:rPr>
          <w:fldChar w:fldCharType="separate"/>
        </w:r>
        <w:r>
          <w:rPr>
            <w:noProof/>
            <w:webHidden/>
          </w:rPr>
          <w:t>434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1" w:history="1">
        <w:r w:rsidRPr="001B13A4">
          <w:rPr>
            <w:rStyle w:val="Hyperlink"/>
            <w:noProof/>
          </w:rPr>
          <w:t>2.1.1005</w:t>
        </w:r>
        <w:r>
          <w:rPr>
            <w:rFonts w:asciiTheme="minorHAnsi" w:eastAsiaTheme="minorEastAsia" w:hAnsiTheme="minorHAnsi" w:cstheme="minorBidi"/>
            <w:noProof/>
            <w:sz w:val="22"/>
            <w:szCs w:val="22"/>
          </w:rPr>
          <w:tab/>
        </w:r>
        <w:r w:rsidRPr="001B13A4">
          <w:rPr>
            <w:rStyle w:val="Hyperlink"/>
            <w:noProof/>
          </w:rPr>
          <w:t>Part 1 Section 18.17.7.236, NPV</w:t>
        </w:r>
        <w:r>
          <w:rPr>
            <w:noProof/>
            <w:webHidden/>
          </w:rPr>
          <w:tab/>
        </w:r>
        <w:r>
          <w:rPr>
            <w:noProof/>
            <w:webHidden/>
          </w:rPr>
          <w:fldChar w:fldCharType="begin"/>
        </w:r>
        <w:r>
          <w:rPr>
            <w:noProof/>
            <w:webHidden/>
          </w:rPr>
          <w:instrText xml:space="preserve"> PAGEREF _Toc181684041 \h </w:instrText>
        </w:r>
        <w:r>
          <w:rPr>
            <w:noProof/>
            <w:webHidden/>
          </w:rPr>
        </w:r>
        <w:r>
          <w:rPr>
            <w:noProof/>
            <w:webHidden/>
          </w:rPr>
          <w:fldChar w:fldCharType="separate"/>
        </w:r>
        <w:r>
          <w:rPr>
            <w:noProof/>
            <w:webHidden/>
          </w:rPr>
          <w:t>434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2" w:history="1">
        <w:r w:rsidRPr="001B13A4">
          <w:rPr>
            <w:rStyle w:val="Hyperlink"/>
            <w:noProof/>
          </w:rPr>
          <w:t>2.1.1006</w:t>
        </w:r>
        <w:r>
          <w:rPr>
            <w:rFonts w:asciiTheme="minorHAnsi" w:eastAsiaTheme="minorEastAsia" w:hAnsiTheme="minorHAnsi" w:cstheme="minorBidi"/>
            <w:noProof/>
            <w:sz w:val="22"/>
            <w:szCs w:val="22"/>
          </w:rPr>
          <w:tab/>
        </w:r>
        <w:r w:rsidRPr="001B13A4">
          <w:rPr>
            <w:rStyle w:val="Hyperlink"/>
            <w:noProof/>
          </w:rPr>
          <w:t>Part 1 Section 18.17.7.237, OCT2BIN</w:t>
        </w:r>
        <w:r>
          <w:rPr>
            <w:noProof/>
            <w:webHidden/>
          </w:rPr>
          <w:tab/>
        </w:r>
        <w:r>
          <w:rPr>
            <w:noProof/>
            <w:webHidden/>
          </w:rPr>
          <w:fldChar w:fldCharType="begin"/>
        </w:r>
        <w:r>
          <w:rPr>
            <w:noProof/>
            <w:webHidden/>
          </w:rPr>
          <w:instrText xml:space="preserve"> PAGEREF _Toc181684042 \h </w:instrText>
        </w:r>
        <w:r>
          <w:rPr>
            <w:noProof/>
            <w:webHidden/>
          </w:rPr>
        </w:r>
        <w:r>
          <w:rPr>
            <w:noProof/>
            <w:webHidden/>
          </w:rPr>
          <w:fldChar w:fldCharType="separate"/>
        </w:r>
        <w:r>
          <w:rPr>
            <w:noProof/>
            <w:webHidden/>
          </w:rPr>
          <w:t>435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3" w:history="1">
        <w:r w:rsidRPr="001B13A4">
          <w:rPr>
            <w:rStyle w:val="Hyperlink"/>
            <w:noProof/>
          </w:rPr>
          <w:t>2.1.1007</w:t>
        </w:r>
        <w:r>
          <w:rPr>
            <w:rFonts w:asciiTheme="minorHAnsi" w:eastAsiaTheme="minorEastAsia" w:hAnsiTheme="minorHAnsi" w:cstheme="minorBidi"/>
            <w:noProof/>
            <w:sz w:val="22"/>
            <w:szCs w:val="22"/>
          </w:rPr>
          <w:tab/>
        </w:r>
        <w:r w:rsidRPr="001B13A4">
          <w:rPr>
            <w:rStyle w:val="Hyperlink"/>
            <w:noProof/>
          </w:rPr>
          <w:t>Part 1 Section 18.17.7.238, OCT2DEC</w:t>
        </w:r>
        <w:r>
          <w:rPr>
            <w:noProof/>
            <w:webHidden/>
          </w:rPr>
          <w:tab/>
        </w:r>
        <w:r>
          <w:rPr>
            <w:noProof/>
            <w:webHidden/>
          </w:rPr>
          <w:fldChar w:fldCharType="begin"/>
        </w:r>
        <w:r>
          <w:rPr>
            <w:noProof/>
            <w:webHidden/>
          </w:rPr>
          <w:instrText xml:space="preserve"> PAGEREF _Toc181684043 \h </w:instrText>
        </w:r>
        <w:r>
          <w:rPr>
            <w:noProof/>
            <w:webHidden/>
          </w:rPr>
        </w:r>
        <w:r>
          <w:rPr>
            <w:noProof/>
            <w:webHidden/>
          </w:rPr>
          <w:fldChar w:fldCharType="separate"/>
        </w:r>
        <w:r>
          <w:rPr>
            <w:noProof/>
            <w:webHidden/>
          </w:rPr>
          <w:t>435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4" w:history="1">
        <w:r w:rsidRPr="001B13A4">
          <w:rPr>
            <w:rStyle w:val="Hyperlink"/>
            <w:noProof/>
          </w:rPr>
          <w:t>2.1.1008</w:t>
        </w:r>
        <w:r>
          <w:rPr>
            <w:rFonts w:asciiTheme="minorHAnsi" w:eastAsiaTheme="minorEastAsia" w:hAnsiTheme="minorHAnsi" w:cstheme="minorBidi"/>
            <w:noProof/>
            <w:sz w:val="22"/>
            <w:szCs w:val="22"/>
          </w:rPr>
          <w:tab/>
        </w:r>
        <w:r w:rsidRPr="001B13A4">
          <w:rPr>
            <w:rStyle w:val="Hyperlink"/>
            <w:noProof/>
          </w:rPr>
          <w:t>Part 1 Section 18.17.7.241, ODDFPRICE</w:t>
        </w:r>
        <w:r>
          <w:rPr>
            <w:noProof/>
            <w:webHidden/>
          </w:rPr>
          <w:tab/>
        </w:r>
        <w:r>
          <w:rPr>
            <w:noProof/>
            <w:webHidden/>
          </w:rPr>
          <w:fldChar w:fldCharType="begin"/>
        </w:r>
        <w:r>
          <w:rPr>
            <w:noProof/>
            <w:webHidden/>
          </w:rPr>
          <w:instrText xml:space="preserve"> PAGEREF _Toc181684044 \h </w:instrText>
        </w:r>
        <w:r>
          <w:rPr>
            <w:noProof/>
            <w:webHidden/>
          </w:rPr>
        </w:r>
        <w:r>
          <w:rPr>
            <w:noProof/>
            <w:webHidden/>
          </w:rPr>
          <w:fldChar w:fldCharType="separate"/>
        </w:r>
        <w:r>
          <w:rPr>
            <w:noProof/>
            <w:webHidden/>
          </w:rPr>
          <w:t>435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5" w:history="1">
        <w:r w:rsidRPr="001B13A4">
          <w:rPr>
            <w:rStyle w:val="Hyperlink"/>
            <w:noProof/>
          </w:rPr>
          <w:t>2.1.1009</w:t>
        </w:r>
        <w:r>
          <w:rPr>
            <w:rFonts w:asciiTheme="minorHAnsi" w:eastAsiaTheme="minorEastAsia" w:hAnsiTheme="minorHAnsi" w:cstheme="minorBidi"/>
            <w:noProof/>
            <w:sz w:val="22"/>
            <w:szCs w:val="22"/>
          </w:rPr>
          <w:tab/>
        </w:r>
        <w:r w:rsidRPr="001B13A4">
          <w:rPr>
            <w:rStyle w:val="Hyperlink"/>
            <w:noProof/>
          </w:rPr>
          <w:t>Part 1 Section 18.17.7.242, ODDFYIELD</w:t>
        </w:r>
        <w:r>
          <w:rPr>
            <w:noProof/>
            <w:webHidden/>
          </w:rPr>
          <w:tab/>
        </w:r>
        <w:r>
          <w:rPr>
            <w:noProof/>
            <w:webHidden/>
          </w:rPr>
          <w:fldChar w:fldCharType="begin"/>
        </w:r>
        <w:r>
          <w:rPr>
            <w:noProof/>
            <w:webHidden/>
          </w:rPr>
          <w:instrText xml:space="preserve"> PAGEREF _Toc181684045 \h </w:instrText>
        </w:r>
        <w:r>
          <w:rPr>
            <w:noProof/>
            <w:webHidden/>
          </w:rPr>
        </w:r>
        <w:r>
          <w:rPr>
            <w:noProof/>
            <w:webHidden/>
          </w:rPr>
          <w:fldChar w:fldCharType="separate"/>
        </w:r>
        <w:r>
          <w:rPr>
            <w:noProof/>
            <w:webHidden/>
          </w:rPr>
          <w:t>436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6" w:history="1">
        <w:r w:rsidRPr="001B13A4">
          <w:rPr>
            <w:rStyle w:val="Hyperlink"/>
            <w:noProof/>
          </w:rPr>
          <w:t>2.1.1010</w:t>
        </w:r>
        <w:r>
          <w:rPr>
            <w:rFonts w:asciiTheme="minorHAnsi" w:eastAsiaTheme="minorEastAsia" w:hAnsiTheme="minorHAnsi" w:cstheme="minorBidi"/>
            <w:noProof/>
            <w:sz w:val="22"/>
            <w:szCs w:val="22"/>
          </w:rPr>
          <w:tab/>
        </w:r>
        <w:r w:rsidRPr="001B13A4">
          <w:rPr>
            <w:rStyle w:val="Hyperlink"/>
            <w:noProof/>
          </w:rPr>
          <w:t>Part 1 Section 18.17.7.243, ODDLPRICE</w:t>
        </w:r>
        <w:r>
          <w:rPr>
            <w:noProof/>
            <w:webHidden/>
          </w:rPr>
          <w:tab/>
        </w:r>
        <w:r>
          <w:rPr>
            <w:noProof/>
            <w:webHidden/>
          </w:rPr>
          <w:fldChar w:fldCharType="begin"/>
        </w:r>
        <w:r>
          <w:rPr>
            <w:noProof/>
            <w:webHidden/>
          </w:rPr>
          <w:instrText xml:space="preserve"> PAGEREF _Toc181684046 \h </w:instrText>
        </w:r>
        <w:r>
          <w:rPr>
            <w:noProof/>
            <w:webHidden/>
          </w:rPr>
        </w:r>
        <w:r>
          <w:rPr>
            <w:noProof/>
            <w:webHidden/>
          </w:rPr>
          <w:fldChar w:fldCharType="separate"/>
        </w:r>
        <w:r>
          <w:rPr>
            <w:noProof/>
            <w:webHidden/>
          </w:rPr>
          <w:t>437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7" w:history="1">
        <w:r w:rsidRPr="001B13A4">
          <w:rPr>
            <w:rStyle w:val="Hyperlink"/>
            <w:noProof/>
          </w:rPr>
          <w:t>2.1.1011</w:t>
        </w:r>
        <w:r>
          <w:rPr>
            <w:rFonts w:asciiTheme="minorHAnsi" w:eastAsiaTheme="minorEastAsia" w:hAnsiTheme="minorHAnsi" w:cstheme="minorBidi"/>
            <w:noProof/>
            <w:sz w:val="22"/>
            <w:szCs w:val="22"/>
          </w:rPr>
          <w:tab/>
        </w:r>
        <w:r w:rsidRPr="001B13A4">
          <w:rPr>
            <w:rStyle w:val="Hyperlink"/>
            <w:noProof/>
          </w:rPr>
          <w:t>Part 1 Section 18.17.7.244, ODDLYIELD</w:t>
        </w:r>
        <w:r>
          <w:rPr>
            <w:noProof/>
            <w:webHidden/>
          </w:rPr>
          <w:tab/>
        </w:r>
        <w:r>
          <w:rPr>
            <w:noProof/>
            <w:webHidden/>
          </w:rPr>
          <w:fldChar w:fldCharType="begin"/>
        </w:r>
        <w:r>
          <w:rPr>
            <w:noProof/>
            <w:webHidden/>
          </w:rPr>
          <w:instrText xml:space="preserve"> PAGEREF _Toc181684047 \h </w:instrText>
        </w:r>
        <w:r>
          <w:rPr>
            <w:noProof/>
            <w:webHidden/>
          </w:rPr>
        </w:r>
        <w:r>
          <w:rPr>
            <w:noProof/>
            <w:webHidden/>
          </w:rPr>
          <w:fldChar w:fldCharType="separate"/>
        </w:r>
        <w:r>
          <w:rPr>
            <w:noProof/>
            <w:webHidden/>
          </w:rPr>
          <w:t>437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8" w:history="1">
        <w:r w:rsidRPr="001B13A4">
          <w:rPr>
            <w:rStyle w:val="Hyperlink"/>
            <w:noProof/>
          </w:rPr>
          <w:t>2.1.1012</w:t>
        </w:r>
        <w:r>
          <w:rPr>
            <w:rFonts w:asciiTheme="minorHAnsi" w:eastAsiaTheme="minorEastAsia" w:hAnsiTheme="minorHAnsi" w:cstheme="minorBidi"/>
            <w:noProof/>
            <w:sz w:val="22"/>
            <w:szCs w:val="22"/>
          </w:rPr>
          <w:tab/>
        </w:r>
        <w:r w:rsidRPr="001B13A4">
          <w:rPr>
            <w:rStyle w:val="Hyperlink"/>
            <w:noProof/>
          </w:rPr>
          <w:t>Part 1 Section 18.17.7.245, OFFSET</w:t>
        </w:r>
        <w:r>
          <w:rPr>
            <w:noProof/>
            <w:webHidden/>
          </w:rPr>
          <w:tab/>
        </w:r>
        <w:r>
          <w:rPr>
            <w:noProof/>
            <w:webHidden/>
          </w:rPr>
          <w:fldChar w:fldCharType="begin"/>
        </w:r>
        <w:r>
          <w:rPr>
            <w:noProof/>
            <w:webHidden/>
          </w:rPr>
          <w:instrText xml:space="preserve"> PAGEREF _Toc181684048 \h </w:instrText>
        </w:r>
        <w:r>
          <w:rPr>
            <w:noProof/>
            <w:webHidden/>
          </w:rPr>
        </w:r>
        <w:r>
          <w:rPr>
            <w:noProof/>
            <w:webHidden/>
          </w:rPr>
          <w:fldChar w:fldCharType="separate"/>
        </w:r>
        <w:r>
          <w:rPr>
            <w:noProof/>
            <w:webHidden/>
          </w:rPr>
          <w:t>438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49" w:history="1">
        <w:r w:rsidRPr="001B13A4">
          <w:rPr>
            <w:rStyle w:val="Hyperlink"/>
            <w:noProof/>
          </w:rPr>
          <w:t>2.1.1013</w:t>
        </w:r>
        <w:r>
          <w:rPr>
            <w:rFonts w:asciiTheme="minorHAnsi" w:eastAsiaTheme="minorEastAsia" w:hAnsiTheme="minorHAnsi" w:cstheme="minorBidi"/>
            <w:noProof/>
            <w:sz w:val="22"/>
            <w:szCs w:val="22"/>
          </w:rPr>
          <w:tab/>
        </w:r>
        <w:r w:rsidRPr="001B13A4">
          <w:rPr>
            <w:rStyle w:val="Hyperlink"/>
            <w:noProof/>
          </w:rPr>
          <w:t>Part 1 Section 18.17.7.247, PEARSON</w:t>
        </w:r>
        <w:r>
          <w:rPr>
            <w:noProof/>
            <w:webHidden/>
          </w:rPr>
          <w:tab/>
        </w:r>
        <w:r>
          <w:rPr>
            <w:noProof/>
            <w:webHidden/>
          </w:rPr>
          <w:fldChar w:fldCharType="begin"/>
        </w:r>
        <w:r>
          <w:rPr>
            <w:noProof/>
            <w:webHidden/>
          </w:rPr>
          <w:instrText xml:space="preserve"> PAGEREF _Toc181684049 \h </w:instrText>
        </w:r>
        <w:r>
          <w:rPr>
            <w:noProof/>
            <w:webHidden/>
          </w:rPr>
        </w:r>
        <w:r>
          <w:rPr>
            <w:noProof/>
            <w:webHidden/>
          </w:rPr>
          <w:fldChar w:fldCharType="separate"/>
        </w:r>
        <w:r>
          <w:rPr>
            <w:noProof/>
            <w:webHidden/>
          </w:rPr>
          <w:t>438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0" w:history="1">
        <w:r w:rsidRPr="001B13A4">
          <w:rPr>
            <w:rStyle w:val="Hyperlink"/>
            <w:noProof/>
          </w:rPr>
          <w:t>2.1.1014</w:t>
        </w:r>
        <w:r>
          <w:rPr>
            <w:rFonts w:asciiTheme="minorHAnsi" w:eastAsiaTheme="minorEastAsia" w:hAnsiTheme="minorHAnsi" w:cstheme="minorBidi"/>
            <w:noProof/>
            <w:sz w:val="22"/>
            <w:szCs w:val="22"/>
          </w:rPr>
          <w:tab/>
        </w:r>
        <w:r w:rsidRPr="001B13A4">
          <w:rPr>
            <w:rStyle w:val="Hyperlink"/>
            <w:noProof/>
          </w:rPr>
          <w:t>Part 1 Section 18.17.7.248, PERCENTILE</w:t>
        </w:r>
        <w:r>
          <w:rPr>
            <w:noProof/>
            <w:webHidden/>
          </w:rPr>
          <w:tab/>
        </w:r>
        <w:r>
          <w:rPr>
            <w:noProof/>
            <w:webHidden/>
          </w:rPr>
          <w:fldChar w:fldCharType="begin"/>
        </w:r>
        <w:r>
          <w:rPr>
            <w:noProof/>
            <w:webHidden/>
          </w:rPr>
          <w:instrText xml:space="preserve"> PAGEREF _Toc181684050 \h </w:instrText>
        </w:r>
        <w:r>
          <w:rPr>
            <w:noProof/>
            <w:webHidden/>
          </w:rPr>
        </w:r>
        <w:r>
          <w:rPr>
            <w:noProof/>
            <w:webHidden/>
          </w:rPr>
          <w:fldChar w:fldCharType="separate"/>
        </w:r>
        <w:r>
          <w:rPr>
            <w:noProof/>
            <w:webHidden/>
          </w:rPr>
          <w:t>439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1" w:history="1">
        <w:r w:rsidRPr="001B13A4">
          <w:rPr>
            <w:rStyle w:val="Hyperlink"/>
            <w:noProof/>
          </w:rPr>
          <w:t>2.1.1015</w:t>
        </w:r>
        <w:r>
          <w:rPr>
            <w:rFonts w:asciiTheme="minorHAnsi" w:eastAsiaTheme="minorEastAsia" w:hAnsiTheme="minorHAnsi" w:cstheme="minorBidi"/>
            <w:noProof/>
            <w:sz w:val="22"/>
            <w:szCs w:val="22"/>
          </w:rPr>
          <w:tab/>
        </w:r>
        <w:r w:rsidRPr="001B13A4">
          <w:rPr>
            <w:rStyle w:val="Hyperlink"/>
            <w:noProof/>
          </w:rPr>
          <w:t>Part 1 Section 18.17.7.249, PERCENTRANK</w:t>
        </w:r>
        <w:r>
          <w:rPr>
            <w:noProof/>
            <w:webHidden/>
          </w:rPr>
          <w:tab/>
        </w:r>
        <w:r>
          <w:rPr>
            <w:noProof/>
            <w:webHidden/>
          </w:rPr>
          <w:fldChar w:fldCharType="begin"/>
        </w:r>
        <w:r>
          <w:rPr>
            <w:noProof/>
            <w:webHidden/>
          </w:rPr>
          <w:instrText xml:space="preserve"> PAGEREF _Toc181684051 \h </w:instrText>
        </w:r>
        <w:r>
          <w:rPr>
            <w:noProof/>
            <w:webHidden/>
          </w:rPr>
        </w:r>
        <w:r>
          <w:rPr>
            <w:noProof/>
            <w:webHidden/>
          </w:rPr>
          <w:fldChar w:fldCharType="separate"/>
        </w:r>
        <w:r>
          <w:rPr>
            <w:noProof/>
            <w:webHidden/>
          </w:rPr>
          <w:t>439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2" w:history="1">
        <w:r w:rsidRPr="001B13A4">
          <w:rPr>
            <w:rStyle w:val="Hyperlink"/>
            <w:noProof/>
          </w:rPr>
          <w:t>2.1.1016</w:t>
        </w:r>
        <w:r>
          <w:rPr>
            <w:rFonts w:asciiTheme="minorHAnsi" w:eastAsiaTheme="minorEastAsia" w:hAnsiTheme="minorHAnsi" w:cstheme="minorBidi"/>
            <w:noProof/>
            <w:sz w:val="22"/>
            <w:szCs w:val="22"/>
          </w:rPr>
          <w:tab/>
        </w:r>
        <w:r w:rsidRPr="001B13A4">
          <w:rPr>
            <w:rStyle w:val="Hyperlink"/>
            <w:noProof/>
          </w:rPr>
          <w:t>Part 1 Section 18.17.7.253, PMT</w:t>
        </w:r>
        <w:r>
          <w:rPr>
            <w:noProof/>
            <w:webHidden/>
          </w:rPr>
          <w:tab/>
        </w:r>
        <w:r>
          <w:rPr>
            <w:noProof/>
            <w:webHidden/>
          </w:rPr>
          <w:fldChar w:fldCharType="begin"/>
        </w:r>
        <w:r>
          <w:rPr>
            <w:noProof/>
            <w:webHidden/>
          </w:rPr>
          <w:instrText xml:space="preserve"> PAGEREF _Toc181684052 \h </w:instrText>
        </w:r>
        <w:r>
          <w:rPr>
            <w:noProof/>
            <w:webHidden/>
          </w:rPr>
        </w:r>
        <w:r>
          <w:rPr>
            <w:noProof/>
            <w:webHidden/>
          </w:rPr>
          <w:fldChar w:fldCharType="separate"/>
        </w:r>
        <w:r>
          <w:rPr>
            <w:noProof/>
            <w:webHidden/>
          </w:rPr>
          <w:t>439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3" w:history="1">
        <w:r w:rsidRPr="001B13A4">
          <w:rPr>
            <w:rStyle w:val="Hyperlink"/>
            <w:noProof/>
          </w:rPr>
          <w:t>2.1.1017</w:t>
        </w:r>
        <w:r>
          <w:rPr>
            <w:rFonts w:asciiTheme="minorHAnsi" w:eastAsiaTheme="minorEastAsia" w:hAnsiTheme="minorHAnsi" w:cstheme="minorBidi"/>
            <w:noProof/>
            <w:sz w:val="22"/>
            <w:szCs w:val="22"/>
          </w:rPr>
          <w:tab/>
        </w:r>
        <w:r w:rsidRPr="001B13A4">
          <w:rPr>
            <w:rStyle w:val="Hyperlink"/>
            <w:noProof/>
          </w:rPr>
          <w:t>Part 1 Section 18.17.7.254, POISSON</w:t>
        </w:r>
        <w:r>
          <w:rPr>
            <w:noProof/>
            <w:webHidden/>
          </w:rPr>
          <w:tab/>
        </w:r>
        <w:r>
          <w:rPr>
            <w:noProof/>
            <w:webHidden/>
          </w:rPr>
          <w:fldChar w:fldCharType="begin"/>
        </w:r>
        <w:r>
          <w:rPr>
            <w:noProof/>
            <w:webHidden/>
          </w:rPr>
          <w:instrText xml:space="preserve"> PAGEREF _Toc181684053 \h </w:instrText>
        </w:r>
        <w:r>
          <w:rPr>
            <w:noProof/>
            <w:webHidden/>
          </w:rPr>
        </w:r>
        <w:r>
          <w:rPr>
            <w:noProof/>
            <w:webHidden/>
          </w:rPr>
          <w:fldChar w:fldCharType="separate"/>
        </w:r>
        <w:r>
          <w:rPr>
            <w:noProof/>
            <w:webHidden/>
          </w:rPr>
          <w:t>439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4" w:history="1">
        <w:r w:rsidRPr="001B13A4">
          <w:rPr>
            <w:rStyle w:val="Hyperlink"/>
            <w:noProof/>
          </w:rPr>
          <w:t>2.1.1018</w:t>
        </w:r>
        <w:r>
          <w:rPr>
            <w:rFonts w:asciiTheme="minorHAnsi" w:eastAsiaTheme="minorEastAsia" w:hAnsiTheme="minorHAnsi" w:cstheme="minorBidi"/>
            <w:noProof/>
            <w:sz w:val="22"/>
            <w:szCs w:val="22"/>
          </w:rPr>
          <w:tab/>
        </w:r>
        <w:r w:rsidRPr="001B13A4">
          <w:rPr>
            <w:rStyle w:val="Hyperlink"/>
            <w:noProof/>
          </w:rPr>
          <w:t>Part 1 Section 18.17.7.255, POWER</w:t>
        </w:r>
        <w:r>
          <w:rPr>
            <w:noProof/>
            <w:webHidden/>
          </w:rPr>
          <w:tab/>
        </w:r>
        <w:r>
          <w:rPr>
            <w:noProof/>
            <w:webHidden/>
          </w:rPr>
          <w:fldChar w:fldCharType="begin"/>
        </w:r>
        <w:r>
          <w:rPr>
            <w:noProof/>
            <w:webHidden/>
          </w:rPr>
          <w:instrText xml:space="preserve"> PAGEREF _Toc181684054 \h </w:instrText>
        </w:r>
        <w:r>
          <w:rPr>
            <w:noProof/>
            <w:webHidden/>
          </w:rPr>
        </w:r>
        <w:r>
          <w:rPr>
            <w:noProof/>
            <w:webHidden/>
          </w:rPr>
          <w:fldChar w:fldCharType="separate"/>
        </w:r>
        <w:r>
          <w:rPr>
            <w:noProof/>
            <w:webHidden/>
          </w:rPr>
          <w:t>439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5" w:history="1">
        <w:r w:rsidRPr="001B13A4">
          <w:rPr>
            <w:rStyle w:val="Hyperlink"/>
            <w:noProof/>
          </w:rPr>
          <w:t>2.1.1019</w:t>
        </w:r>
        <w:r>
          <w:rPr>
            <w:rFonts w:asciiTheme="minorHAnsi" w:eastAsiaTheme="minorEastAsia" w:hAnsiTheme="minorHAnsi" w:cstheme="minorBidi"/>
            <w:noProof/>
            <w:sz w:val="22"/>
            <w:szCs w:val="22"/>
          </w:rPr>
          <w:tab/>
        </w:r>
        <w:r w:rsidRPr="001B13A4">
          <w:rPr>
            <w:rStyle w:val="Hyperlink"/>
            <w:noProof/>
          </w:rPr>
          <w:t>Part 1 Section 18.17.7.256, PPMT</w:t>
        </w:r>
        <w:r>
          <w:rPr>
            <w:noProof/>
            <w:webHidden/>
          </w:rPr>
          <w:tab/>
        </w:r>
        <w:r>
          <w:rPr>
            <w:noProof/>
            <w:webHidden/>
          </w:rPr>
          <w:fldChar w:fldCharType="begin"/>
        </w:r>
        <w:r>
          <w:rPr>
            <w:noProof/>
            <w:webHidden/>
          </w:rPr>
          <w:instrText xml:space="preserve"> PAGEREF _Toc181684055 \h </w:instrText>
        </w:r>
        <w:r>
          <w:rPr>
            <w:noProof/>
            <w:webHidden/>
          </w:rPr>
        </w:r>
        <w:r>
          <w:rPr>
            <w:noProof/>
            <w:webHidden/>
          </w:rPr>
          <w:fldChar w:fldCharType="separate"/>
        </w:r>
        <w:r>
          <w:rPr>
            <w:noProof/>
            <w:webHidden/>
          </w:rPr>
          <w:t>439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6" w:history="1">
        <w:r w:rsidRPr="001B13A4">
          <w:rPr>
            <w:rStyle w:val="Hyperlink"/>
            <w:noProof/>
          </w:rPr>
          <w:t>2.1.1020</w:t>
        </w:r>
        <w:r>
          <w:rPr>
            <w:rFonts w:asciiTheme="minorHAnsi" w:eastAsiaTheme="minorEastAsia" w:hAnsiTheme="minorHAnsi" w:cstheme="minorBidi"/>
            <w:noProof/>
            <w:sz w:val="22"/>
            <w:szCs w:val="22"/>
          </w:rPr>
          <w:tab/>
        </w:r>
        <w:r w:rsidRPr="001B13A4">
          <w:rPr>
            <w:rStyle w:val="Hyperlink"/>
            <w:noProof/>
          </w:rPr>
          <w:t>Part 1 Section 18.17.7.257, PRICE</w:t>
        </w:r>
        <w:r>
          <w:rPr>
            <w:noProof/>
            <w:webHidden/>
          </w:rPr>
          <w:tab/>
        </w:r>
        <w:r>
          <w:rPr>
            <w:noProof/>
            <w:webHidden/>
          </w:rPr>
          <w:fldChar w:fldCharType="begin"/>
        </w:r>
        <w:r>
          <w:rPr>
            <w:noProof/>
            <w:webHidden/>
          </w:rPr>
          <w:instrText xml:space="preserve"> PAGEREF _Toc181684056 \h </w:instrText>
        </w:r>
        <w:r>
          <w:rPr>
            <w:noProof/>
            <w:webHidden/>
          </w:rPr>
        </w:r>
        <w:r>
          <w:rPr>
            <w:noProof/>
            <w:webHidden/>
          </w:rPr>
          <w:fldChar w:fldCharType="separate"/>
        </w:r>
        <w:r>
          <w:rPr>
            <w:noProof/>
            <w:webHidden/>
          </w:rPr>
          <w:t>440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7" w:history="1">
        <w:r w:rsidRPr="001B13A4">
          <w:rPr>
            <w:rStyle w:val="Hyperlink"/>
            <w:noProof/>
          </w:rPr>
          <w:t>2.1.1021</w:t>
        </w:r>
        <w:r>
          <w:rPr>
            <w:rFonts w:asciiTheme="minorHAnsi" w:eastAsiaTheme="minorEastAsia" w:hAnsiTheme="minorHAnsi" w:cstheme="minorBidi"/>
            <w:noProof/>
            <w:sz w:val="22"/>
            <w:szCs w:val="22"/>
          </w:rPr>
          <w:tab/>
        </w:r>
        <w:r w:rsidRPr="001B13A4">
          <w:rPr>
            <w:rStyle w:val="Hyperlink"/>
            <w:noProof/>
          </w:rPr>
          <w:t>Part 1 Section 18.17.7.258, PRICEDISC</w:t>
        </w:r>
        <w:r>
          <w:rPr>
            <w:noProof/>
            <w:webHidden/>
          </w:rPr>
          <w:tab/>
        </w:r>
        <w:r>
          <w:rPr>
            <w:noProof/>
            <w:webHidden/>
          </w:rPr>
          <w:fldChar w:fldCharType="begin"/>
        </w:r>
        <w:r>
          <w:rPr>
            <w:noProof/>
            <w:webHidden/>
          </w:rPr>
          <w:instrText xml:space="preserve"> PAGEREF _Toc181684057 \h </w:instrText>
        </w:r>
        <w:r>
          <w:rPr>
            <w:noProof/>
            <w:webHidden/>
          </w:rPr>
        </w:r>
        <w:r>
          <w:rPr>
            <w:noProof/>
            <w:webHidden/>
          </w:rPr>
          <w:fldChar w:fldCharType="separate"/>
        </w:r>
        <w:r>
          <w:rPr>
            <w:noProof/>
            <w:webHidden/>
          </w:rPr>
          <w:t>441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8" w:history="1">
        <w:r w:rsidRPr="001B13A4">
          <w:rPr>
            <w:rStyle w:val="Hyperlink"/>
            <w:noProof/>
          </w:rPr>
          <w:t>2.1.1022</w:t>
        </w:r>
        <w:r>
          <w:rPr>
            <w:rFonts w:asciiTheme="minorHAnsi" w:eastAsiaTheme="minorEastAsia" w:hAnsiTheme="minorHAnsi" w:cstheme="minorBidi"/>
            <w:noProof/>
            <w:sz w:val="22"/>
            <w:szCs w:val="22"/>
          </w:rPr>
          <w:tab/>
        </w:r>
        <w:r w:rsidRPr="001B13A4">
          <w:rPr>
            <w:rStyle w:val="Hyperlink"/>
            <w:noProof/>
          </w:rPr>
          <w:t>Part 1 Section 18.17.7.259, PRICEMAT</w:t>
        </w:r>
        <w:r>
          <w:rPr>
            <w:noProof/>
            <w:webHidden/>
          </w:rPr>
          <w:tab/>
        </w:r>
        <w:r>
          <w:rPr>
            <w:noProof/>
            <w:webHidden/>
          </w:rPr>
          <w:fldChar w:fldCharType="begin"/>
        </w:r>
        <w:r>
          <w:rPr>
            <w:noProof/>
            <w:webHidden/>
          </w:rPr>
          <w:instrText xml:space="preserve"> PAGEREF _Toc181684058 \h </w:instrText>
        </w:r>
        <w:r>
          <w:rPr>
            <w:noProof/>
            <w:webHidden/>
          </w:rPr>
        </w:r>
        <w:r>
          <w:rPr>
            <w:noProof/>
            <w:webHidden/>
          </w:rPr>
          <w:fldChar w:fldCharType="separate"/>
        </w:r>
        <w:r>
          <w:rPr>
            <w:noProof/>
            <w:webHidden/>
          </w:rPr>
          <w:t>441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59" w:history="1">
        <w:r w:rsidRPr="001B13A4">
          <w:rPr>
            <w:rStyle w:val="Hyperlink"/>
            <w:noProof/>
          </w:rPr>
          <w:t>2.1.1023</w:t>
        </w:r>
        <w:r>
          <w:rPr>
            <w:rFonts w:asciiTheme="minorHAnsi" w:eastAsiaTheme="minorEastAsia" w:hAnsiTheme="minorHAnsi" w:cstheme="minorBidi"/>
            <w:noProof/>
            <w:sz w:val="22"/>
            <w:szCs w:val="22"/>
          </w:rPr>
          <w:tab/>
        </w:r>
        <w:r w:rsidRPr="001B13A4">
          <w:rPr>
            <w:rStyle w:val="Hyperlink"/>
            <w:noProof/>
          </w:rPr>
          <w:t>Part 1 Section 18.17.7.260, PROB</w:t>
        </w:r>
        <w:r>
          <w:rPr>
            <w:noProof/>
            <w:webHidden/>
          </w:rPr>
          <w:tab/>
        </w:r>
        <w:r>
          <w:rPr>
            <w:noProof/>
            <w:webHidden/>
          </w:rPr>
          <w:fldChar w:fldCharType="begin"/>
        </w:r>
        <w:r>
          <w:rPr>
            <w:noProof/>
            <w:webHidden/>
          </w:rPr>
          <w:instrText xml:space="preserve"> PAGEREF _Toc181684059 \h </w:instrText>
        </w:r>
        <w:r>
          <w:rPr>
            <w:noProof/>
            <w:webHidden/>
          </w:rPr>
        </w:r>
        <w:r>
          <w:rPr>
            <w:noProof/>
            <w:webHidden/>
          </w:rPr>
          <w:fldChar w:fldCharType="separate"/>
        </w:r>
        <w:r>
          <w:rPr>
            <w:noProof/>
            <w:webHidden/>
          </w:rPr>
          <w:t>442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0" w:history="1">
        <w:r w:rsidRPr="001B13A4">
          <w:rPr>
            <w:rStyle w:val="Hyperlink"/>
            <w:noProof/>
          </w:rPr>
          <w:t>2.1.1024</w:t>
        </w:r>
        <w:r>
          <w:rPr>
            <w:rFonts w:asciiTheme="minorHAnsi" w:eastAsiaTheme="minorEastAsia" w:hAnsiTheme="minorHAnsi" w:cstheme="minorBidi"/>
            <w:noProof/>
            <w:sz w:val="22"/>
            <w:szCs w:val="22"/>
          </w:rPr>
          <w:tab/>
        </w:r>
        <w:r w:rsidRPr="001B13A4">
          <w:rPr>
            <w:rStyle w:val="Hyperlink"/>
            <w:noProof/>
          </w:rPr>
          <w:t>Part 1 Section 18.17.7.261, PRODUCT</w:t>
        </w:r>
        <w:r>
          <w:rPr>
            <w:noProof/>
            <w:webHidden/>
          </w:rPr>
          <w:tab/>
        </w:r>
        <w:r>
          <w:rPr>
            <w:noProof/>
            <w:webHidden/>
          </w:rPr>
          <w:fldChar w:fldCharType="begin"/>
        </w:r>
        <w:r>
          <w:rPr>
            <w:noProof/>
            <w:webHidden/>
          </w:rPr>
          <w:instrText xml:space="preserve"> PAGEREF _Toc181684060 \h </w:instrText>
        </w:r>
        <w:r>
          <w:rPr>
            <w:noProof/>
            <w:webHidden/>
          </w:rPr>
        </w:r>
        <w:r>
          <w:rPr>
            <w:noProof/>
            <w:webHidden/>
          </w:rPr>
          <w:fldChar w:fldCharType="separate"/>
        </w:r>
        <w:r>
          <w:rPr>
            <w:noProof/>
            <w:webHidden/>
          </w:rPr>
          <w:t>442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1" w:history="1">
        <w:r w:rsidRPr="001B13A4">
          <w:rPr>
            <w:rStyle w:val="Hyperlink"/>
            <w:noProof/>
          </w:rPr>
          <w:t>2.1.1025</w:t>
        </w:r>
        <w:r>
          <w:rPr>
            <w:rFonts w:asciiTheme="minorHAnsi" w:eastAsiaTheme="minorEastAsia" w:hAnsiTheme="minorHAnsi" w:cstheme="minorBidi"/>
            <w:noProof/>
            <w:sz w:val="22"/>
            <w:szCs w:val="22"/>
          </w:rPr>
          <w:tab/>
        </w:r>
        <w:r w:rsidRPr="001B13A4">
          <w:rPr>
            <w:rStyle w:val="Hyperlink"/>
            <w:noProof/>
          </w:rPr>
          <w:t>Part 1 Section 18.17.7.263, PV</w:t>
        </w:r>
        <w:r>
          <w:rPr>
            <w:noProof/>
            <w:webHidden/>
          </w:rPr>
          <w:tab/>
        </w:r>
        <w:r>
          <w:rPr>
            <w:noProof/>
            <w:webHidden/>
          </w:rPr>
          <w:fldChar w:fldCharType="begin"/>
        </w:r>
        <w:r>
          <w:rPr>
            <w:noProof/>
            <w:webHidden/>
          </w:rPr>
          <w:instrText xml:space="preserve"> PAGEREF _Toc181684061 \h </w:instrText>
        </w:r>
        <w:r>
          <w:rPr>
            <w:noProof/>
            <w:webHidden/>
          </w:rPr>
        </w:r>
        <w:r>
          <w:rPr>
            <w:noProof/>
            <w:webHidden/>
          </w:rPr>
          <w:fldChar w:fldCharType="separate"/>
        </w:r>
        <w:r>
          <w:rPr>
            <w:noProof/>
            <w:webHidden/>
          </w:rPr>
          <w:t>443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2" w:history="1">
        <w:r w:rsidRPr="001B13A4">
          <w:rPr>
            <w:rStyle w:val="Hyperlink"/>
            <w:noProof/>
          </w:rPr>
          <w:t>2.1.1026</w:t>
        </w:r>
        <w:r>
          <w:rPr>
            <w:rFonts w:asciiTheme="minorHAnsi" w:eastAsiaTheme="minorEastAsia" w:hAnsiTheme="minorHAnsi" w:cstheme="minorBidi"/>
            <w:noProof/>
            <w:sz w:val="22"/>
            <w:szCs w:val="22"/>
          </w:rPr>
          <w:tab/>
        </w:r>
        <w:r w:rsidRPr="001B13A4">
          <w:rPr>
            <w:rStyle w:val="Hyperlink"/>
            <w:noProof/>
          </w:rPr>
          <w:t>Part 1 Section 18.17.7.269, RANK</w:t>
        </w:r>
        <w:r>
          <w:rPr>
            <w:noProof/>
            <w:webHidden/>
          </w:rPr>
          <w:tab/>
        </w:r>
        <w:r>
          <w:rPr>
            <w:noProof/>
            <w:webHidden/>
          </w:rPr>
          <w:fldChar w:fldCharType="begin"/>
        </w:r>
        <w:r>
          <w:rPr>
            <w:noProof/>
            <w:webHidden/>
          </w:rPr>
          <w:instrText xml:space="preserve"> PAGEREF _Toc181684062 \h </w:instrText>
        </w:r>
        <w:r>
          <w:rPr>
            <w:noProof/>
            <w:webHidden/>
          </w:rPr>
        </w:r>
        <w:r>
          <w:rPr>
            <w:noProof/>
            <w:webHidden/>
          </w:rPr>
          <w:fldChar w:fldCharType="separate"/>
        </w:r>
        <w:r>
          <w:rPr>
            <w:noProof/>
            <w:webHidden/>
          </w:rPr>
          <w:t>443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3" w:history="1">
        <w:r w:rsidRPr="001B13A4">
          <w:rPr>
            <w:rStyle w:val="Hyperlink"/>
            <w:noProof/>
          </w:rPr>
          <w:t>2.1.1027</w:t>
        </w:r>
        <w:r>
          <w:rPr>
            <w:rFonts w:asciiTheme="minorHAnsi" w:eastAsiaTheme="minorEastAsia" w:hAnsiTheme="minorHAnsi" w:cstheme="minorBidi"/>
            <w:noProof/>
            <w:sz w:val="22"/>
            <w:szCs w:val="22"/>
          </w:rPr>
          <w:tab/>
        </w:r>
        <w:r w:rsidRPr="001B13A4">
          <w:rPr>
            <w:rStyle w:val="Hyperlink"/>
            <w:noProof/>
          </w:rPr>
          <w:t>Part 1 Section 18.17.7.270, RATE</w:t>
        </w:r>
        <w:r>
          <w:rPr>
            <w:noProof/>
            <w:webHidden/>
          </w:rPr>
          <w:tab/>
        </w:r>
        <w:r>
          <w:rPr>
            <w:noProof/>
            <w:webHidden/>
          </w:rPr>
          <w:fldChar w:fldCharType="begin"/>
        </w:r>
        <w:r>
          <w:rPr>
            <w:noProof/>
            <w:webHidden/>
          </w:rPr>
          <w:instrText xml:space="preserve"> PAGEREF _Toc181684063 \h </w:instrText>
        </w:r>
        <w:r>
          <w:rPr>
            <w:noProof/>
            <w:webHidden/>
          </w:rPr>
        </w:r>
        <w:r>
          <w:rPr>
            <w:noProof/>
            <w:webHidden/>
          </w:rPr>
          <w:fldChar w:fldCharType="separate"/>
        </w:r>
        <w:r>
          <w:rPr>
            <w:noProof/>
            <w:webHidden/>
          </w:rPr>
          <w:t>443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4" w:history="1">
        <w:r w:rsidRPr="001B13A4">
          <w:rPr>
            <w:rStyle w:val="Hyperlink"/>
            <w:noProof/>
          </w:rPr>
          <w:t>2.1.1028</w:t>
        </w:r>
        <w:r>
          <w:rPr>
            <w:rFonts w:asciiTheme="minorHAnsi" w:eastAsiaTheme="minorEastAsia" w:hAnsiTheme="minorHAnsi" w:cstheme="minorBidi"/>
            <w:noProof/>
            <w:sz w:val="22"/>
            <w:szCs w:val="22"/>
          </w:rPr>
          <w:tab/>
        </w:r>
        <w:r w:rsidRPr="001B13A4">
          <w:rPr>
            <w:rStyle w:val="Hyperlink"/>
            <w:noProof/>
          </w:rPr>
          <w:t>Part 1 Section 18.17.7.271, RECEIVED</w:t>
        </w:r>
        <w:r>
          <w:rPr>
            <w:noProof/>
            <w:webHidden/>
          </w:rPr>
          <w:tab/>
        </w:r>
        <w:r>
          <w:rPr>
            <w:noProof/>
            <w:webHidden/>
          </w:rPr>
          <w:fldChar w:fldCharType="begin"/>
        </w:r>
        <w:r>
          <w:rPr>
            <w:noProof/>
            <w:webHidden/>
          </w:rPr>
          <w:instrText xml:space="preserve"> PAGEREF _Toc181684064 \h </w:instrText>
        </w:r>
        <w:r>
          <w:rPr>
            <w:noProof/>
            <w:webHidden/>
          </w:rPr>
        </w:r>
        <w:r>
          <w:rPr>
            <w:noProof/>
            <w:webHidden/>
          </w:rPr>
          <w:fldChar w:fldCharType="separate"/>
        </w:r>
        <w:r>
          <w:rPr>
            <w:noProof/>
            <w:webHidden/>
          </w:rPr>
          <w:t>443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5" w:history="1">
        <w:r w:rsidRPr="001B13A4">
          <w:rPr>
            <w:rStyle w:val="Hyperlink"/>
            <w:noProof/>
          </w:rPr>
          <w:t>2.1.1029</w:t>
        </w:r>
        <w:r>
          <w:rPr>
            <w:rFonts w:asciiTheme="minorHAnsi" w:eastAsiaTheme="minorEastAsia" w:hAnsiTheme="minorHAnsi" w:cstheme="minorBidi"/>
            <w:noProof/>
            <w:sz w:val="22"/>
            <w:szCs w:val="22"/>
          </w:rPr>
          <w:tab/>
        </w:r>
        <w:r w:rsidRPr="001B13A4">
          <w:rPr>
            <w:rStyle w:val="Hyperlink"/>
            <w:noProof/>
          </w:rPr>
          <w:t>Part 1 Section 18.17.7.272, REPLACE</w:t>
        </w:r>
        <w:r>
          <w:rPr>
            <w:noProof/>
            <w:webHidden/>
          </w:rPr>
          <w:tab/>
        </w:r>
        <w:r>
          <w:rPr>
            <w:noProof/>
            <w:webHidden/>
          </w:rPr>
          <w:fldChar w:fldCharType="begin"/>
        </w:r>
        <w:r>
          <w:rPr>
            <w:noProof/>
            <w:webHidden/>
          </w:rPr>
          <w:instrText xml:space="preserve"> PAGEREF _Toc181684065 \h </w:instrText>
        </w:r>
        <w:r>
          <w:rPr>
            <w:noProof/>
            <w:webHidden/>
          </w:rPr>
        </w:r>
        <w:r>
          <w:rPr>
            <w:noProof/>
            <w:webHidden/>
          </w:rPr>
          <w:fldChar w:fldCharType="separate"/>
        </w:r>
        <w:r>
          <w:rPr>
            <w:noProof/>
            <w:webHidden/>
          </w:rPr>
          <w:t>444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6" w:history="1">
        <w:r w:rsidRPr="001B13A4">
          <w:rPr>
            <w:rStyle w:val="Hyperlink"/>
            <w:noProof/>
          </w:rPr>
          <w:t>2.1.1030</w:t>
        </w:r>
        <w:r>
          <w:rPr>
            <w:rFonts w:asciiTheme="minorHAnsi" w:eastAsiaTheme="minorEastAsia" w:hAnsiTheme="minorHAnsi" w:cstheme="minorBidi"/>
            <w:noProof/>
            <w:sz w:val="22"/>
            <w:szCs w:val="22"/>
          </w:rPr>
          <w:tab/>
        </w:r>
        <w:r w:rsidRPr="001B13A4">
          <w:rPr>
            <w:rStyle w:val="Hyperlink"/>
            <w:noProof/>
          </w:rPr>
          <w:t>Part 1 Section 18.17.7.273, REPLACEB</w:t>
        </w:r>
        <w:r>
          <w:rPr>
            <w:noProof/>
            <w:webHidden/>
          </w:rPr>
          <w:tab/>
        </w:r>
        <w:r>
          <w:rPr>
            <w:noProof/>
            <w:webHidden/>
          </w:rPr>
          <w:fldChar w:fldCharType="begin"/>
        </w:r>
        <w:r>
          <w:rPr>
            <w:noProof/>
            <w:webHidden/>
          </w:rPr>
          <w:instrText xml:space="preserve"> PAGEREF _Toc181684066 \h </w:instrText>
        </w:r>
        <w:r>
          <w:rPr>
            <w:noProof/>
            <w:webHidden/>
          </w:rPr>
        </w:r>
        <w:r>
          <w:rPr>
            <w:noProof/>
            <w:webHidden/>
          </w:rPr>
          <w:fldChar w:fldCharType="separate"/>
        </w:r>
        <w:r>
          <w:rPr>
            <w:noProof/>
            <w:webHidden/>
          </w:rPr>
          <w:t>444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7" w:history="1">
        <w:r w:rsidRPr="001B13A4">
          <w:rPr>
            <w:rStyle w:val="Hyperlink"/>
            <w:noProof/>
          </w:rPr>
          <w:t>2.1.1031</w:t>
        </w:r>
        <w:r>
          <w:rPr>
            <w:rFonts w:asciiTheme="minorHAnsi" w:eastAsiaTheme="minorEastAsia" w:hAnsiTheme="minorHAnsi" w:cstheme="minorBidi"/>
            <w:noProof/>
            <w:sz w:val="22"/>
            <w:szCs w:val="22"/>
          </w:rPr>
          <w:tab/>
        </w:r>
        <w:r w:rsidRPr="001B13A4">
          <w:rPr>
            <w:rStyle w:val="Hyperlink"/>
            <w:noProof/>
          </w:rPr>
          <w:t>Part 1 Section 18.17.7.275, RIGHT</w:t>
        </w:r>
        <w:r>
          <w:rPr>
            <w:noProof/>
            <w:webHidden/>
          </w:rPr>
          <w:tab/>
        </w:r>
        <w:r>
          <w:rPr>
            <w:noProof/>
            <w:webHidden/>
          </w:rPr>
          <w:fldChar w:fldCharType="begin"/>
        </w:r>
        <w:r>
          <w:rPr>
            <w:noProof/>
            <w:webHidden/>
          </w:rPr>
          <w:instrText xml:space="preserve"> PAGEREF _Toc181684067 \h </w:instrText>
        </w:r>
        <w:r>
          <w:rPr>
            <w:noProof/>
            <w:webHidden/>
          </w:rPr>
        </w:r>
        <w:r>
          <w:rPr>
            <w:noProof/>
            <w:webHidden/>
          </w:rPr>
          <w:fldChar w:fldCharType="separate"/>
        </w:r>
        <w:r>
          <w:rPr>
            <w:noProof/>
            <w:webHidden/>
          </w:rPr>
          <w:t>445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8" w:history="1">
        <w:r w:rsidRPr="001B13A4">
          <w:rPr>
            <w:rStyle w:val="Hyperlink"/>
            <w:noProof/>
          </w:rPr>
          <w:t>2.1.1032</w:t>
        </w:r>
        <w:r>
          <w:rPr>
            <w:rFonts w:asciiTheme="minorHAnsi" w:eastAsiaTheme="minorEastAsia" w:hAnsiTheme="minorHAnsi" w:cstheme="minorBidi"/>
            <w:noProof/>
            <w:sz w:val="22"/>
            <w:szCs w:val="22"/>
          </w:rPr>
          <w:tab/>
        </w:r>
        <w:r w:rsidRPr="001B13A4">
          <w:rPr>
            <w:rStyle w:val="Hyperlink"/>
            <w:noProof/>
          </w:rPr>
          <w:t>Part 1 Section 18.17.7.276, RIGHTB</w:t>
        </w:r>
        <w:r>
          <w:rPr>
            <w:noProof/>
            <w:webHidden/>
          </w:rPr>
          <w:tab/>
        </w:r>
        <w:r>
          <w:rPr>
            <w:noProof/>
            <w:webHidden/>
          </w:rPr>
          <w:fldChar w:fldCharType="begin"/>
        </w:r>
        <w:r>
          <w:rPr>
            <w:noProof/>
            <w:webHidden/>
          </w:rPr>
          <w:instrText xml:space="preserve"> PAGEREF _Toc181684068 \h </w:instrText>
        </w:r>
        <w:r>
          <w:rPr>
            <w:noProof/>
            <w:webHidden/>
          </w:rPr>
        </w:r>
        <w:r>
          <w:rPr>
            <w:noProof/>
            <w:webHidden/>
          </w:rPr>
          <w:fldChar w:fldCharType="separate"/>
        </w:r>
        <w:r>
          <w:rPr>
            <w:noProof/>
            <w:webHidden/>
          </w:rPr>
          <w:t>445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69" w:history="1">
        <w:r w:rsidRPr="001B13A4">
          <w:rPr>
            <w:rStyle w:val="Hyperlink"/>
            <w:noProof/>
          </w:rPr>
          <w:t>2.1.1033</w:t>
        </w:r>
        <w:r>
          <w:rPr>
            <w:rFonts w:asciiTheme="minorHAnsi" w:eastAsiaTheme="minorEastAsia" w:hAnsiTheme="minorHAnsi" w:cstheme="minorBidi"/>
            <w:noProof/>
            <w:sz w:val="22"/>
            <w:szCs w:val="22"/>
          </w:rPr>
          <w:tab/>
        </w:r>
        <w:r w:rsidRPr="001B13A4">
          <w:rPr>
            <w:rStyle w:val="Hyperlink"/>
            <w:noProof/>
          </w:rPr>
          <w:t>Part 1 Section 18.17.7.277, ROMAN</w:t>
        </w:r>
        <w:r>
          <w:rPr>
            <w:noProof/>
            <w:webHidden/>
          </w:rPr>
          <w:tab/>
        </w:r>
        <w:r>
          <w:rPr>
            <w:noProof/>
            <w:webHidden/>
          </w:rPr>
          <w:fldChar w:fldCharType="begin"/>
        </w:r>
        <w:r>
          <w:rPr>
            <w:noProof/>
            <w:webHidden/>
          </w:rPr>
          <w:instrText xml:space="preserve"> PAGEREF _Toc181684069 \h </w:instrText>
        </w:r>
        <w:r>
          <w:rPr>
            <w:noProof/>
            <w:webHidden/>
          </w:rPr>
        </w:r>
        <w:r>
          <w:rPr>
            <w:noProof/>
            <w:webHidden/>
          </w:rPr>
          <w:fldChar w:fldCharType="separate"/>
        </w:r>
        <w:r>
          <w:rPr>
            <w:noProof/>
            <w:webHidden/>
          </w:rPr>
          <w:t>445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0" w:history="1">
        <w:r w:rsidRPr="001B13A4">
          <w:rPr>
            <w:rStyle w:val="Hyperlink"/>
            <w:noProof/>
          </w:rPr>
          <w:t>2.1.1034</w:t>
        </w:r>
        <w:r>
          <w:rPr>
            <w:rFonts w:asciiTheme="minorHAnsi" w:eastAsiaTheme="minorEastAsia" w:hAnsiTheme="minorHAnsi" w:cstheme="minorBidi"/>
            <w:noProof/>
            <w:sz w:val="22"/>
            <w:szCs w:val="22"/>
          </w:rPr>
          <w:tab/>
        </w:r>
        <w:r w:rsidRPr="001B13A4">
          <w:rPr>
            <w:rStyle w:val="Hyperlink"/>
            <w:noProof/>
          </w:rPr>
          <w:t>Part 1 Section 18.17.7.278, ROUND</w:t>
        </w:r>
        <w:r>
          <w:rPr>
            <w:noProof/>
            <w:webHidden/>
          </w:rPr>
          <w:tab/>
        </w:r>
        <w:r>
          <w:rPr>
            <w:noProof/>
            <w:webHidden/>
          </w:rPr>
          <w:fldChar w:fldCharType="begin"/>
        </w:r>
        <w:r>
          <w:rPr>
            <w:noProof/>
            <w:webHidden/>
          </w:rPr>
          <w:instrText xml:space="preserve"> PAGEREF _Toc181684070 \h </w:instrText>
        </w:r>
        <w:r>
          <w:rPr>
            <w:noProof/>
            <w:webHidden/>
          </w:rPr>
        </w:r>
        <w:r>
          <w:rPr>
            <w:noProof/>
            <w:webHidden/>
          </w:rPr>
          <w:fldChar w:fldCharType="separate"/>
        </w:r>
        <w:r>
          <w:rPr>
            <w:noProof/>
            <w:webHidden/>
          </w:rPr>
          <w:t>445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1" w:history="1">
        <w:r w:rsidRPr="001B13A4">
          <w:rPr>
            <w:rStyle w:val="Hyperlink"/>
            <w:noProof/>
          </w:rPr>
          <w:t>2.1.1035</w:t>
        </w:r>
        <w:r>
          <w:rPr>
            <w:rFonts w:asciiTheme="minorHAnsi" w:eastAsiaTheme="minorEastAsia" w:hAnsiTheme="minorHAnsi" w:cstheme="minorBidi"/>
            <w:noProof/>
            <w:sz w:val="22"/>
            <w:szCs w:val="22"/>
          </w:rPr>
          <w:tab/>
        </w:r>
        <w:r w:rsidRPr="001B13A4">
          <w:rPr>
            <w:rStyle w:val="Hyperlink"/>
            <w:noProof/>
          </w:rPr>
          <w:t>Part 1 Section 18.17.7.282, ROWS</w:t>
        </w:r>
        <w:r>
          <w:rPr>
            <w:noProof/>
            <w:webHidden/>
          </w:rPr>
          <w:tab/>
        </w:r>
        <w:r>
          <w:rPr>
            <w:noProof/>
            <w:webHidden/>
          </w:rPr>
          <w:fldChar w:fldCharType="begin"/>
        </w:r>
        <w:r>
          <w:rPr>
            <w:noProof/>
            <w:webHidden/>
          </w:rPr>
          <w:instrText xml:space="preserve"> PAGEREF _Toc181684071 \h </w:instrText>
        </w:r>
        <w:r>
          <w:rPr>
            <w:noProof/>
            <w:webHidden/>
          </w:rPr>
        </w:r>
        <w:r>
          <w:rPr>
            <w:noProof/>
            <w:webHidden/>
          </w:rPr>
          <w:fldChar w:fldCharType="separate"/>
        </w:r>
        <w:r>
          <w:rPr>
            <w:noProof/>
            <w:webHidden/>
          </w:rPr>
          <w:t>445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2" w:history="1">
        <w:r w:rsidRPr="001B13A4">
          <w:rPr>
            <w:rStyle w:val="Hyperlink"/>
            <w:noProof/>
          </w:rPr>
          <w:t>2.1.1036</w:t>
        </w:r>
        <w:r>
          <w:rPr>
            <w:rFonts w:asciiTheme="minorHAnsi" w:eastAsiaTheme="minorEastAsia" w:hAnsiTheme="minorHAnsi" w:cstheme="minorBidi"/>
            <w:noProof/>
            <w:sz w:val="22"/>
            <w:szCs w:val="22"/>
          </w:rPr>
          <w:tab/>
        </w:r>
        <w:r w:rsidRPr="001B13A4">
          <w:rPr>
            <w:rStyle w:val="Hyperlink"/>
            <w:noProof/>
          </w:rPr>
          <w:t>Part 1 Section 18.17.7.284, RTD</w:t>
        </w:r>
        <w:r>
          <w:rPr>
            <w:noProof/>
            <w:webHidden/>
          </w:rPr>
          <w:tab/>
        </w:r>
        <w:r>
          <w:rPr>
            <w:noProof/>
            <w:webHidden/>
          </w:rPr>
          <w:fldChar w:fldCharType="begin"/>
        </w:r>
        <w:r>
          <w:rPr>
            <w:noProof/>
            <w:webHidden/>
          </w:rPr>
          <w:instrText xml:space="preserve"> PAGEREF _Toc181684072 \h </w:instrText>
        </w:r>
        <w:r>
          <w:rPr>
            <w:noProof/>
            <w:webHidden/>
          </w:rPr>
        </w:r>
        <w:r>
          <w:rPr>
            <w:noProof/>
            <w:webHidden/>
          </w:rPr>
          <w:fldChar w:fldCharType="separate"/>
        </w:r>
        <w:r>
          <w:rPr>
            <w:noProof/>
            <w:webHidden/>
          </w:rPr>
          <w:t>445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3" w:history="1">
        <w:r w:rsidRPr="001B13A4">
          <w:rPr>
            <w:rStyle w:val="Hyperlink"/>
            <w:noProof/>
          </w:rPr>
          <w:t>2.1.1037</w:t>
        </w:r>
        <w:r>
          <w:rPr>
            <w:rFonts w:asciiTheme="minorHAnsi" w:eastAsiaTheme="minorEastAsia" w:hAnsiTheme="minorHAnsi" w:cstheme="minorBidi"/>
            <w:noProof/>
            <w:sz w:val="22"/>
            <w:szCs w:val="22"/>
          </w:rPr>
          <w:tab/>
        </w:r>
        <w:r w:rsidRPr="001B13A4">
          <w:rPr>
            <w:rStyle w:val="Hyperlink"/>
            <w:noProof/>
          </w:rPr>
          <w:t>Part 1 Section 18.17.7.285, SEARCH</w:t>
        </w:r>
        <w:r>
          <w:rPr>
            <w:noProof/>
            <w:webHidden/>
          </w:rPr>
          <w:tab/>
        </w:r>
        <w:r>
          <w:rPr>
            <w:noProof/>
            <w:webHidden/>
          </w:rPr>
          <w:fldChar w:fldCharType="begin"/>
        </w:r>
        <w:r>
          <w:rPr>
            <w:noProof/>
            <w:webHidden/>
          </w:rPr>
          <w:instrText xml:space="preserve"> PAGEREF _Toc181684073 \h </w:instrText>
        </w:r>
        <w:r>
          <w:rPr>
            <w:noProof/>
            <w:webHidden/>
          </w:rPr>
        </w:r>
        <w:r>
          <w:rPr>
            <w:noProof/>
            <w:webHidden/>
          </w:rPr>
          <w:fldChar w:fldCharType="separate"/>
        </w:r>
        <w:r>
          <w:rPr>
            <w:noProof/>
            <w:webHidden/>
          </w:rPr>
          <w:t>446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4" w:history="1">
        <w:r w:rsidRPr="001B13A4">
          <w:rPr>
            <w:rStyle w:val="Hyperlink"/>
            <w:noProof/>
          </w:rPr>
          <w:t>2.1.1038</w:t>
        </w:r>
        <w:r>
          <w:rPr>
            <w:rFonts w:asciiTheme="minorHAnsi" w:eastAsiaTheme="minorEastAsia" w:hAnsiTheme="minorHAnsi" w:cstheme="minorBidi"/>
            <w:noProof/>
            <w:sz w:val="22"/>
            <w:szCs w:val="22"/>
          </w:rPr>
          <w:tab/>
        </w:r>
        <w:r w:rsidRPr="001B13A4">
          <w:rPr>
            <w:rStyle w:val="Hyperlink"/>
            <w:noProof/>
          </w:rPr>
          <w:t>Part 1 Section 18.17.7.286, SEARCHB</w:t>
        </w:r>
        <w:r>
          <w:rPr>
            <w:noProof/>
            <w:webHidden/>
          </w:rPr>
          <w:tab/>
        </w:r>
        <w:r>
          <w:rPr>
            <w:noProof/>
            <w:webHidden/>
          </w:rPr>
          <w:fldChar w:fldCharType="begin"/>
        </w:r>
        <w:r>
          <w:rPr>
            <w:noProof/>
            <w:webHidden/>
          </w:rPr>
          <w:instrText xml:space="preserve"> PAGEREF _Toc181684074 \h </w:instrText>
        </w:r>
        <w:r>
          <w:rPr>
            <w:noProof/>
            <w:webHidden/>
          </w:rPr>
        </w:r>
        <w:r>
          <w:rPr>
            <w:noProof/>
            <w:webHidden/>
          </w:rPr>
          <w:fldChar w:fldCharType="separate"/>
        </w:r>
        <w:r>
          <w:rPr>
            <w:noProof/>
            <w:webHidden/>
          </w:rPr>
          <w:t>446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5" w:history="1">
        <w:r w:rsidRPr="001B13A4">
          <w:rPr>
            <w:rStyle w:val="Hyperlink"/>
            <w:noProof/>
          </w:rPr>
          <w:t>2.1.1039</w:t>
        </w:r>
        <w:r>
          <w:rPr>
            <w:rFonts w:asciiTheme="minorHAnsi" w:eastAsiaTheme="minorEastAsia" w:hAnsiTheme="minorHAnsi" w:cstheme="minorBidi"/>
            <w:noProof/>
            <w:sz w:val="22"/>
            <w:szCs w:val="22"/>
          </w:rPr>
          <w:tab/>
        </w:r>
        <w:r w:rsidRPr="001B13A4">
          <w:rPr>
            <w:rStyle w:val="Hyperlink"/>
            <w:noProof/>
          </w:rPr>
          <w:t>Part 1 Section 18.17.7.288, SERIESSUM</w:t>
        </w:r>
        <w:r>
          <w:rPr>
            <w:noProof/>
            <w:webHidden/>
          </w:rPr>
          <w:tab/>
        </w:r>
        <w:r>
          <w:rPr>
            <w:noProof/>
            <w:webHidden/>
          </w:rPr>
          <w:fldChar w:fldCharType="begin"/>
        </w:r>
        <w:r>
          <w:rPr>
            <w:noProof/>
            <w:webHidden/>
          </w:rPr>
          <w:instrText xml:space="preserve"> PAGEREF _Toc181684075 \h </w:instrText>
        </w:r>
        <w:r>
          <w:rPr>
            <w:noProof/>
            <w:webHidden/>
          </w:rPr>
        </w:r>
        <w:r>
          <w:rPr>
            <w:noProof/>
            <w:webHidden/>
          </w:rPr>
          <w:fldChar w:fldCharType="separate"/>
        </w:r>
        <w:r>
          <w:rPr>
            <w:noProof/>
            <w:webHidden/>
          </w:rPr>
          <w:t>446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6" w:history="1">
        <w:r w:rsidRPr="001B13A4">
          <w:rPr>
            <w:rStyle w:val="Hyperlink"/>
            <w:noProof/>
          </w:rPr>
          <w:t>2.1.1040</w:t>
        </w:r>
        <w:r>
          <w:rPr>
            <w:rFonts w:asciiTheme="minorHAnsi" w:eastAsiaTheme="minorEastAsia" w:hAnsiTheme="minorHAnsi" w:cstheme="minorBidi"/>
            <w:noProof/>
            <w:sz w:val="22"/>
            <w:szCs w:val="22"/>
          </w:rPr>
          <w:tab/>
        </w:r>
        <w:r w:rsidRPr="001B13A4">
          <w:rPr>
            <w:rStyle w:val="Hyperlink"/>
            <w:noProof/>
          </w:rPr>
          <w:t>Part 1 Section 18.17.7.290, SIN</w:t>
        </w:r>
        <w:r>
          <w:rPr>
            <w:noProof/>
            <w:webHidden/>
          </w:rPr>
          <w:tab/>
        </w:r>
        <w:r>
          <w:rPr>
            <w:noProof/>
            <w:webHidden/>
          </w:rPr>
          <w:fldChar w:fldCharType="begin"/>
        </w:r>
        <w:r>
          <w:rPr>
            <w:noProof/>
            <w:webHidden/>
          </w:rPr>
          <w:instrText xml:space="preserve"> PAGEREF _Toc181684076 \h </w:instrText>
        </w:r>
        <w:r>
          <w:rPr>
            <w:noProof/>
            <w:webHidden/>
          </w:rPr>
        </w:r>
        <w:r>
          <w:rPr>
            <w:noProof/>
            <w:webHidden/>
          </w:rPr>
          <w:fldChar w:fldCharType="separate"/>
        </w:r>
        <w:r>
          <w:rPr>
            <w:noProof/>
            <w:webHidden/>
          </w:rPr>
          <w:t>447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7" w:history="1">
        <w:r w:rsidRPr="001B13A4">
          <w:rPr>
            <w:rStyle w:val="Hyperlink"/>
            <w:noProof/>
          </w:rPr>
          <w:t>2.1.1041</w:t>
        </w:r>
        <w:r>
          <w:rPr>
            <w:rFonts w:asciiTheme="minorHAnsi" w:eastAsiaTheme="minorEastAsia" w:hAnsiTheme="minorHAnsi" w:cstheme="minorBidi"/>
            <w:noProof/>
            <w:sz w:val="22"/>
            <w:szCs w:val="22"/>
          </w:rPr>
          <w:tab/>
        </w:r>
        <w:r w:rsidRPr="001B13A4">
          <w:rPr>
            <w:rStyle w:val="Hyperlink"/>
            <w:noProof/>
          </w:rPr>
          <w:t>Part 1 Section 18.17.7.294, SLOPE</w:t>
        </w:r>
        <w:r>
          <w:rPr>
            <w:noProof/>
            <w:webHidden/>
          </w:rPr>
          <w:tab/>
        </w:r>
        <w:r>
          <w:rPr>
            <w:noProof/>
            <w:webHidden/>
          </w:rPr>
          <w:fldChar w:fldCharType="begin"/>
        </w:r>
        <w:r>
          <w:rPr>
            <w:noProof/>
            <w:webHidden/>
          </w:rPr>
          <w:instrText xml:space="preserve"> PAGEREF _Toc181684077 \h </w:instrText>
        </w:r>
        <w:r>
          <w:rPr>
            <w:noProof/>
            <w:webHidden/>
          </w:rPr>
        </w:r>
        <w:r>
          <w:rPr>
            <w:noProof/>
            <w:webHidden/>
          </w:rPr>
          <w:fldChar w:fldCharType="separate"/>
        </w:r>
        <w:r>
          <w:rPr>
            <w:noProof/>
            <w:webHidden/>
          </w:rPr>
          <w:t>447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8" w:history="1">
        <w:r w:rsidRPr="001B13A4">
          <w:rPr>
            <w:rStyle w:val="Hyperlink"/>
            <w:noProof/>
          </w:rPr>
          <w:t>2.1.1042</w:t>
        </w:r>
        <w:r>
          <w:rPr>
            <w:rFonts w:asciiTheme="minorHAnsi" w:eastAsiaTheme="minorEastAsia" w:hAnsiTheme="minorHAnsi" w:cstheme="minorBidi"/>
            <w:noProof/>
            <w:sz w:val="22"/>
            <w:szCs w:val="22"/>
          </w:rPr>
          <w:tab/>
        </w:r>
        <w:r w:rsidRPr="001B13A4">
          <w:rPr>
            <w:rStyle w:val="Hyperlink"/>
            <w:noProof/>
          </w:rPr>
          <w:t>Part 1 Section 18.17.7.299, STDEV</w:t>
        </w:r>
        <w:r>
          <w:rPr>
            <w:noProof/>
            <w:webHidden/>
          </w:rPr>
          <w:tab/>
        </w:r>
        <w:r>
          <w:rPr>
            <w:noProof/>
            <w:webHidden/>
          </w:rPr>
          <w:fldChar w:fldCharType="begin"/>
        </w:r>
        <w:r>
          <w:rPr>
            <w:noProof/>
            <w:webHidden/>
          </w:rPr>
          <w:instrText xml:space="preserve"> PAGEREF _Toc181684078 \h </w:instrText>
        </w:r>
        <w:r>
          <w:rPr>
            <w:noProof/>
            <w:webHidden/>
          </w:rPr>
        </w:r>
        <w:r>
          <w:rPr>
            <w:noProof/>
            <w:webHidden/>
          </w:rPr>
          <w:fldChar w:fldCharType="separate"/>
        </w:r>
        <w:r>
          <w:rPr>
            <w:noProof/>
            <w:webHidden/>
          </w:rPr>
          <w:t>447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79" w:history="1">
        <w:r w:rsidRPr="001B13A4">
          <w:rPr>
            <w:rStyle w:val="Hyperlink"/>
            <w:noProof/>
          </w:rPr>
          <w:t>2.1.1043</w:t>
        </w:r>
        <w:r>
          <w:rPr>
            <w:rFonts w:asciiTheme="minorHAnsi" w:eastAsiaTheme="minorEastAsia" w:hAnsiTheme="minorHAnsi" w:cstheme="minorBidi"/>
            <w:noProof/>
            <w:sz w:val="22"/>
            <w:szCs w:val="22"/>
          </w:rPr>
          <w:tab/>
        </w:r>
        <w:r w:rsidRPr="001B13A4">
          <w:rPr>
            <w:rStyle w:val="Hyperlink"/>
            <w:noProof/>
          </w:rPr>
          <w:t>Part 1 Section 18.17.7.300, STDEVA</w:t>
        </w:r>
        <w:r>
          <w:rPr>
            <w:noProof/>
            <w:webHidden/>
          </w:rPr>
          <w:tab/>
        </w:r>
        <w:r>
          <w:rPr>
            <w:noProof/>
            <w:webHidden/>
          </w:rPr>
          <w:fldChar w:fldCharType="begin"/>
        </w:r>
        <w:r>
          <w:rPr>
            <w:noProof/>
            <w:webHidden/>
          </w:rPr>
          <w:instrText xml:space="preserve"> PAGEREF _Toc181684079 \h </w:instrText>
        </w:r>
        <w:r>
          <w:rPr>
            <w:noProof/>
            <w:webHidden/>
          </w:rPr>
        </w:r>
        <w:r>
          <w:rPr>
            <w:noProof/>
            <w:webHidden/>
          </w:rPr>
          <w:fldChar w:fldCharType="separate"/>
        </w:r>
        <w:r>
          <w:rPr>
            <w:noProof/>
            <w:webHidden/>
          </w:rPr>
          <w:t>447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0" w:history="1">
        <w:r w:rsidRPr="001B13A4">
          <w:rPr>
            <w:rStyle w:val="Hyperlink"/>
            <w:noProof/>
          </w:rPr>
          <w:t>2.1.1044</w:t>
        </w:r>
        <w:r>
          <w:rPr>
            <w:rFonts w:asciiTheme="minorHAnsi" w:eastAsiaTheme="minorEastAsia" w:hAnsiTheme="minorHAnsi" w:cstheme="minorBidi"/>
            <w:noProof/>
            <w:sz w:val="22"/>
            <w:szCs w:val="22"/>
          </w:rPr>
          <w:tab/>
        </w:r>
        <w:r w:rsidRPr="001B13A4">
          <w:rPr>
            <w:rStyle w:val="Hyperlink"/>
            <w:noProof/>
          </w:rPr>
          <w:t>Part 1 Section 18.17.7.301, STDEVP</w:t>
        </w:r>
        <w:r>
          <w:rPr>
            <w:noProof/>
            <w:webHidden/>
          </w:rPr>
          <w:tab/>
        </w:r>
        <w:r>
          <w:rPr>
            <w:noProof/>
            <w:webHidden/>
          </w:rPr>
          <w:fldChar w:fldCharType="begin"/>
        </w:r>
        <w:r>
          <w:rPr>
            <w:noProof/>
            <w:webHidden/>
          </w:rPr>
          <w:instrText xml:space="preserve"> PAGEREF _Toc181684080 \h </w:instrText>
        </w:r>
        <w:r>
          <w:rPr>
            <w:noProof/>
            <w:webHidden/>
          </w:rPr>
        </w:r>
        <w:r>
          <w:rPr>
            <w:noProof/>
            <w:webHidden/>
          </w:rPr>
          <w:fldChar w:fldCharType="separate"/>
        </w:r>
        <w:r>
          <w:rPr>
            <w:noProof/>
            <w:webHidden/>
          </w:rPr>
          <w:t>447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1" w:history="1">
        <w:r w:rsidRPr="001B13A4">
          <w:rPr>
            <w:rStyle w:val="Hyperlink"/>
            <w:noProof/>
          </w:rPr>
          <w:t>2.1.1045</w:t>
        </w:r>
        <w:r>
          <w:rPr>
            <w:rFonts w:asciiTheme="minorHAnsi" w:eastAsiaTheme="minorEastAsia" w:hAnsiTheme="minorHAnsi" w:cstheme="minorBidi"/>
            <w:noProof/>
            <w:sz w:val="22"/>
            <w:szCs w:val="22"/>
          </w:rPr>
          <w:tab/>
        </w:r>
        <w:r w:rsidRPr="001B13A4">
          <w:rPr>
            <w:rStyle w:val="Hyperlink"/>
            <w:noProof/>
          </w:rPr>
          <w:t>Part 1 Section 18.17.7.302, STDEVPA</w:t>
        </w:r>
        <w:r>
          <w:rPr>
            <w:noProof/>
            <w:webHidden/>
          </w:rPr>
          <w:tab/>
        </w:r>
        <w:r>
          <w:rPr>
            <w:noProof/>
            <w:webHidden/>
          </w:rPr>
          <w:fldChar w:fldCharType="begin"/>
        </w:r>
        <w:r>
          <w:rPr>
            <w:noProof/>
            <w:webHidden/>
          </w:rPr>
          <w:instrText xml:space="preserve"> PAGEREF _Toc181684081 \h </w:instrText>
        </w:r>
        <w:r>
          <w:rPr>
            <w:noProof/>
            <w:webHidden/>
          </w:rPr>
        </w:r>
        <w:r>
          <w:rPr>
            <w:noProof/>
            <w:webHidden/>
          </w:rPr>
          <w:fldChar w:fldCharType="separate"/>
        </w:r>
        <w:r>
          <w:rPr>
            <w:noProof/>
            <w:webHidden/>
          </w:rPr>
          <w:t>447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2" w:history="1">
        <w:r w:rsidRPr="001B13A4">
          <w:rPr>
            <w:rStyle w:val="Hyperlink"/>
            <w:noProof/>
          </w:rPr>
          <w:t>2.1.1046</w:t>
        </w:r>
        <w:r>
          <w:rPr>
            <w:rFonts w:asciiTheme="minorHAnsi" w:eastAsiaTheme="minorEastAsia" w:hAnsiTheme="minorHAnsi" w:cstheme="minorBidi"/>
            <w:noProof/>
            <w:sz w:val="22"/>
            <w:szCs w:val="22"/>
          </w:rPr>
          <w:tab/>
        </w:r>
        <w:r w:rsidRPr="001B13A4">
          <w:rPr>
            <w:rStyle w:val="Hyperlink"/>
            <w:noProof/>
          </w:rPr>
          <w:t>Part 1 Section 18.17.7.304, SUBSTITUTE</w:t>
        </w:r>
        <w:r>
          <w:rPr>
            <w:noProof/>
            <w:webHidden/>
          </w:rPr>
          <w:tab/>
        </w:r>
        <w:r>
          <w:rPr>
            <w:noProof/>
            <w:webHidden/>
          </w:rPr>
          <w:fldChar w:fldCharType="begin"/>
        </w:r>
        <w:r>
          <w:rPr>
            <w:noProof/>
            <w:webHidden/>
          </w:rPr>
          <w:instrText xml:space="preserve"> PAGEREF _Toc181684082 \h </w:instrText>
        </w:r>
        <w:r>
          <w:rPr>
            <w:noProof/>
            <w:webHidden/>
          </w:rPr>
        </w:r>
        <w:r>
          <w:rPr>
            <w:noProof/>
            <w:webHidden/>
          </w:rPr>
          <w:fldChar w:fldCharType="separate"/>
        </w:r>
        <w:r>
          <w:rPr>
            <w:noProof/>
            <w:webHidden/>
          </w:rPr>
          <w:t>448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3" w:history="1">
        <w:r w:rsidRPr="001B13A4">
          <w:rPr>
            <w:rStyle w:val="Hyperlink"/>
            <w:noProof/>
          </w:rPr>
          <w:t>2.1.1047</w:t>
        </w:r>
        <w:r>
          <w:rPr>
            <w:rFonts w:asciiTheme="minorHAnsi" w:eastAsiaTheme="minorEastAsia" w:hAnsiTheme="minorHAnsi" w:cstheme="minorBidi"/>
            <w:noProof/>
            <w:sz w:val="22"/>
            <w:szCs w:val="22"/>
          </w:rPr>
          <w:tab/>
        </w:r>
        <w:r w:rsidRPr="001B13A4">
          <w:rPr>
            <w:rStyle w:val="Hyperlink"/>
            <w:noProof/>
          </w:rPr>
          <w:t>Part 1 Section 18.17.7.306, SUM</w:t>
        </w:r>
        <w:r>
          <w:rPr>
            <w:noProof/>
            <w:webHidden/>
          </w:rPr>
          <w:tab/>
        </w:r>
        <w:r>
          <w:rPr>
            <w:noProof/>
            <w:webHidden/>
          </w:rPr>
          <w:fldChar w:fldCharType="begin"/>
        </w:r>
        <w:r>
          <w:rPr>
            <w:noProof/>
            <w:webHidden/>
          </w:rPr>
          <w:instrText xml:space="preserve"> PAGEREF _Toc181684083 \h </w:instrText>
        </w:r>
        <w:r>
          <w:rPr>
            <w:noProof/>
            <w:webHidden/>
          </w:rPr>
        </w:r>
        <w:r>
          <w:rPr>
            <w:noProof/>
            <w:webHidden/>
          </w:rPr>
          <w:fldChar w:fldCharType="separate"/>
        </w:r>
        <w:r>
          <w:rPr>
            <w:noProof/>
            <w:webHidden/>
          </w:rPr>
          <w:t>448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4" w:history="1">
        <w:r w:rsidRPr="001B13A4">
          <w:rPr>
            <w:rStyle w:val="Hyperlink"/>
            <w:noProof/>
          </w:rPr>
          <w:t>2.1.1048</w:t>
        </w:r>
        <w:r>
          <w:rPr>
            <w:rFonts w:asciiTheme="minorHAnsi" w:eastAsiaTheme="minorEastAsia" w:hAnsiTheme="minorHAnsi" w:cstheme="minorBidi"/>
            <w:noProof/>
            <w:sz w:val="22"/>
            <w:szCs w:val="22"/>
          </w:rPr>
          <w:tab/>
        </w:r>
        <w:r w:rsidRPr="001B13A4">
          <w:rPr>
            <w:rStyle w:val="Hyperlink"/>
            <w:noProof/>
          </w:rPr>
          <w:t>Part 1 Section 18.17.7.308, SUMIFS</w:t>
        </w:r>
        <w:r>
          <w:rPr>
            <w:noProof/>
            <w:webHidden/>
          </w:rPr>
          <w:tab/>
        </w:r>
        <w:r>
          <w:rPr>
            <w:noProof/>
            <w:webHidden/>
          </w:rPr>
          <w:fldChar w:fldCharType="begin"/>
        </w:r>
        <w:r>
          <w:rPr>
            <w:noProof/>
            <w:webHidden/>
          </w:rPr>
          <w:instrText xml:space="preserve"> PAGEREF _Toc181684084 \h </w:instrText>
        </w:r>
        <w:r>
          <w:rPr>
            <w:noProof/>
            <w:webHidden/>
          </w:rPr>
        </w:r>
        <w:r>
          <w:rPr>
            <w:noProof/>
            <w:webHidden/>
          </w:rPr>
          <w:fldChar w:fldCharType="separate"/>
        </w:r>
        <w:r>
          <w:rPr>
            <w:noProof/>
            <w:webHidden/>
          </w:rPr>
          <w:t>448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5" w:history="1">
        <w:r w:rsidRPr="001B13A4">
          <w:rPr>
            <w:rStyle w:val="Hyperlink"/>
            <w:noProof/>
          </w:rPr>
          <w:t>2.1.1049</w:t>
        </w:r>
        <w:r>
          <w:rPr>
            <w:rFonts w:asciiTheme="minorHAnsi" w:eastAsiaTheme="minorEastAsia" w:hAnsiTheme="minorHAnsi" w:cstheme="minorBidi"/>
            <w:noProof/>
            <w:sz w:val="22"/>
            <w:szCs w:val="22"/>
          </w:rPr>
          <w:tab/>
        </w:r>
        <w:r w:rsidRPr="001B13A4">
          <w:rPr>
            <w:rStyle w:val="Hyperlink"/>
            <w:noProof/>
          </w:rPr>
          <w:t>Part 1 Section 18.17.7.309, SUMPRODUCT</w:t>
        </w:r>
        <w:r>
          <w:rPr>
            <w:noProof/>
            <w:webHidden/>
          </w:rPr>
          <w:tab/>
        </w:r>
        <w:r>
          <w:rPr>
            <w:noProof/>
            <w:webHidden/>
          </w:rPr>
          <w:fldChar w:fldCharType="begin"/>
        </w:r>
        <w:r>
          <w:rPr>
            <w:noProof/>
            <w:webHidden/>
          </w:rPr>
          <w:instrText xml:space="preserve"> PAGEREF _Toc181684085 \h </w:instrText>
        </w:r>
        <w:r>
          <w:rPr>
            <w:noProof/>
            <w:webHidden/>
          </w:rPr>
        </w:r>
        <w:r>
          <w:rPr>
            <w:noProof/>
            <w:webHidden/>
          </w:rPr>
          <w:fldChar w:fldCharType="separate"/>
        </w:r>
        <w:r>
          <w:rPr>
            <w:noProof/>
            <w:webHidden/>
          </w:rPr>
          <w:t>448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6" w:history="1">
        <w:r w:rsidRPr="001B13A4">
          <w:rPr>
            <w:rStyle w:val="Hyperlink"/>
            <w:noProof/>
          </w:rPr>
          <w:t>2.1.1050</w:t>
        </w:r>
        <w:r>
          <w:rPr>
            <w:rFonts w:asciiTheme="minorHAnsi" w:eastAsiaTheme="minorEastAsia" w:hAnsiTheme="minorHAnsi" w:cstheme="minorBidi"/>
            <w:noProof/>
            <w:sz w:val="22"/>
            <w:szCs w:val="22"/>
          </w:rPr>
          <w:tab/>
        </w:r>
        <w:r w:rsidRPr="001B13A4">
          <w:rPr>
            <w:rStyle w:val="Hyperlink"/>
            <w:noProof/>
          </w:rPr>
          <w:t>Part 1 Section 18.17.7.310, SUMSQ</w:t>
        </w:r>
        <w:r>
          <w:rPr>
            <w:noProof/>
            <w:webHidden/>
          </w:rPr>
          <w:tab/>
        </w:r>
        <w:r>
          <w:rPr>
            <w:noProof/>
            <w:webHidden/>
          </w:rPr>
          <w:fldChar w:fldCharType="begin"/>
        </w:r>
        <w:r>
          <w:rPr>
            <w:noProof/>
            <w:webHidden/>
          </w:rPr>
          <w:instrText xml:space="preserve"> PAGEREF _Toc181684086 \h </w:instrText>
        </w:r>
        <w:r>
          <w:rPr>
            <w:noProof/>
            <w:webHidden/>
          </w:rPr>
        </w:r>
        <w:r>
          <w:rPr>
            <w:noProof/>
            <w:webHidden/>
          </w:rPr>
          <w:fldChar w:fldCharType="separate"/>
        </w:r>
        <w:r>
          <w:rPr>
            <w:noProof/>
            <w:webHidden/>
          </w:rPr>
          <w:t>448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7" w:history="1">
        <w:r w:rsidRPr="001B13A4">
          <w:rPr>
            <w:rStyle w:val="Hyperlink"/>
            <w:noProof/>
          </w:rPr>
          <w:t>2.1.1051</w:t>
        </w:r>
        <w:r>
          <w:rPr>
            <w:rFonts w:asciiTheme="minorHAnsi" w:eastAsiaTheme="minorEastAsia" w:hAnsiTheme="minorHAnsi" w:cstheme="minorBidi"/>
            <w:noProof/>
            <w:sz w:val="22"/>
            <w:szCs w:val="22"/>
          </w:rPr>
          <w:tab/>
        </w:r>
        <w:r w:rsidRPr="001B13A4">
          <w:rPr>
            <w:rStyle w:val="Hyperlink"/>
            <w:noProof/>
          </w:rPr>
          <w:t>Part 1 Section 18.17.7.316, TAN</w:t>
        </w:r>
        <w:r>
          <w:rPr>
            <w:noProof/>
            <w:webHidden/>
          </w:rPr>
          <w:tab/>
        </w:r>
        <w:r>
          <w:rPr>
            <w:noProof/>
            <w:webHidden/>
          </w:rPr>
          <w:fldChar w:fldCharType="begin"/>
        </w:r>
        <w:r>
          <w:rPr>
            <w:noProof/>
            <w:webHidden/>
          </w:rPr>
          <w:instrText xml:space="preserve"> PAGEREF _Toc181684087 \h </w:instrText>
        </w:r>
        <w:r>
          <w:rPr>
            <w:noProof/>
            <w:webHidden/>
          </w:rPr>
        </w:r>
        <w:r>
          <w:rPr>
            <w:noProof/>
            <w:webHidden/>
          </w:rPr>
          <w:fldChar w:fldCharType="separate"/>
        </w:r>
        <w:r>
          <w:rPr>
            <w:noProof/>
            <w:webHidden/>
          </w:rPr>
          <w:t>448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8" w:history="1">
        <w:r w:rsidRPr="001B13A4">
          <w:rPr>
            <w:rStyle w:val="Hyperlink"/>
            <w:noProof/>
          </w:rPr>
          <w:t>2.1.1052</w:t>
        </w:r>
        <w:r>
          <w:rPr>
            <w:rFonts w:asciiTheme="minorHAnsi" w:eastAsiaTheme="minorEastAsia" w:hAnsiTheme="minorHAnsi" w:cstheme="minorBidi"/>
            <w:noProof/>
            <w:sz w:val="22"/>
            <w:szCs w:val="22"/>
          </w:rPr>
          <w:tab/>
        </w:r>
        <w:r w:rsidRPr="001B13A4">
          <w:rPr>
            <w:rStyle w:val="Hyperlink"/>
            <w:noProof/>
          </w:rPr>
          <w:t>Part 1 Section 18.17.7.319, TBILLPRICE</w:t>
        </w:r>
        <w:r>
          <w:rPr>
            <w:noProof/>
            <w:webHidden/>
          </w:rPr>
          <w:tab/>
        </w:r>
        <w:r>
          <w:rPr>
            <w:noProof/>
            <w:webHidden/>
          </w:rPr>
          <w:fldChar w:fldCharType="begin"/>
        </w:r>
        <w:r>
          <w:rPr>
            <w:noProof/>
            <w:webHidden/>
          </w:rPr>
          <w:instrText xml:space="preserve"> PAGEREF _Toc181684088 \h </w:instrText>
        </w:r>
        <w:r>
          <w:rPr>
            <w:noProof/>
            <w:webHidden/>
          </w:rPr>
        </w:r>
        <w:r>
          <w:rPr>
            <w:noProof/>
            <w:webHidden/>
          </w:rPr>
          <w:fldChar w:fldCharType="separate"/>
        </w:r>
        <w:r>
          <w:rPr>
            <w:noProof/>
            <w:webHidden/>
          </w:rPr>
          <w:t>448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89" w:history="1">
        <w:r w:rsidRPr="001B13A4">
          <w:rPr>
            <w:rStyle w:val="Hyperlink"/>
            <w:noProof/>
          </w:rPr>
          <w:t>2.1.1053</w:t>
        </w:r>
        <w:r>
          <w:rPr>
            <w:rFonts w:asciiTheme="minorHAnsi" w:eastAsiaTheme="minorEastAsia" w:hAnsiTheme="minorHAnsi" w:cstheme="minorBidi"/>
            <w:noProof/>
            <w:sz w:val="22"/>
            <w:szCs w:val="22"/>
          </w:rPr>
          <w:tab/>
        </w:r>
        <w:r w:rsidRPr="001B13A4">
          <w:rPr>
            <w:rStyle w:val="Hyperlink"/>
            <w:noProof/>
          </w:rPr>
          <w:t>Part 1 Section 18.17.7.320, TBILLYIELD</w:t>
        </w:r>
        <w:r>
          <w:rPr>
            <w:noProof/>
            <w:webHidden/>
          </w:rPr>
          <w:tab/>
        </w:r>
        <w:r>
          <w:rPr>
            <w:noProof/>
            <w:webHidden/>
          </w:rPr>
          <w:fldChar w:fldCharType="begin"/>
        </w:r>
        <w:r>
          <w:rPr>
            <w:noProof/>
            <w:webHidden/>
          </w:rPr>
          <w:instrText xml:space="preserve"> PAGEREF _Toc181684089 \h </w:instrText>
        </w:r>
        <w:r>
          <w:rPr>
            <w:noProof/>
            <w:webHidden/>
          </w:rPr>
        </w:r>
        <w:r>
          <w:rPr>
            <w:noProof/>
            <w:webHidden/>
          </w:rPr>
          <w:fldChar w:fldCharType="separate"/>
        </w:r>
        <w:r>
          <w:rPr>
            <w:noProof/>
            <w:webHidden/>
          </w:rPr>
          <w:t>449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0" w:history="1">
        <w:r w:rsidRPr="001B13A4">
          <w:rPr>
            <w:rStyle w:val="Hyperlink"/>
            <w:noProof/>
          </w:rPr>
          <w:t>2.1.1054</w:t>
        </w:r>
        <w:r>
          <w:rPr>
            <w:rFonts w:asciiTheme="minorHAnsi" w:eastAsiaTheme="minorEastAsia" w:hAnsiTheme="minorHAnsi" w:cstheme="minorBidi"/>
            <w:noProof/>
            <w:sz w:val="22"/>
            <w:szCs w:val="22"/>
          </w:rPr>
          <w:tab/>
        </w:r>
        <w:r w:rsidRPr="001B13A4">
          <w:rPr>
            <w:rStyle w:val="Hyperlink"/>
            <w:noProof/>
          </w:rPr>
          <w:t>Part 1 Section 18.17.7.323, TIME</w:t>
        </w:r>
        <w:r>
          <w:rPr>
            <w:noProof/>
            <w:webHidden/>
          </w:rPr>
          <w:tab/>
        </w:r>
        <w:r>
          <w:rPr>
            <w:noProof/>
            <w:webHidden/>
          </w:rPr>
          <w:fldChar w:fldCharType="begin"/>
        </w:r>
        <w:r>
          <w:rPr>
            <w:noProof/>
            <w:webHidden/>
          </w:rPr>
          <w:instrText xml:space="preserve"> PAGEREF _Toc181684090 \h </w:instrText>
        </w:r>
        <w:r>
          <w:rPr>
            <w:noProof/>
            <w:webHidden/>
          </w:rPr>
        </w:r>
        <w:r>
          <w:rPr>
            <w:noProof/>
            <w:webHidden/>
          </w:rPr>
          <w:fldChar w:fldCharType="separate"/>
        </w:r>
        <w:r>
          <w:rPr>
            <w:noProof/>
            <w:webHidden/>
          </w:rPr>
          <w:t>449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1" w:history="1">
        <w:r w:rsidRPr="001B13A4">
          <w:rPr>
            <w:rStyle w:val="Hyperlink"/>
            <w:noProof/>
          </w:rPr>
          <w:t>2.1.1055</w:t>
        </w:r>
        <w:r>
          <w:rPr>
            <w:rFonts w:asciiTheme="minorHAnsi" w:eastAsiaTheme="minorEastAsia" w:hAnsiTheme="minorHAnsi" w:cstheme="minorBidi"/>
            <w:noProof/>
            <w:sz w:val="22"/>
            <w:szCs w:val="22"/>
          </w:rPr>
          <w:tab/>
        </w:r>
        <w:r w:rsidRPr="001B13A4">
          <w:rPr>
            <w:rStyle w:val="Hyperlink"/>
            <w:noProof/>
          </w:rPr>
          <w:t>Part 1 Section 18.17.7.324, TIMEVALUE</w:t>
        </w:r>
        <w:r>
          <w:rPr>
            <w:noProof/>
            <w:webHidden/>
          </w:rPr>
          <w:tab/>
        </w:r>
        <w:r>
          <w:rPr>
            <w:noProof/>
            <w:webHidden/>
          </w:rPr>
          <w:fldChar w:fldCharType="begin"/>
        </w:r>
        <w:r>
          <w:rPr>
            <w:noProof/>
            <w:webHidden/>
          </w:rPr>
          <w:instrText xml:space="preserve"> PAGEREF _Toc181684091 \h </w:instrText>
        </w:r>
        <w:r>
          <w:rPr>
            <w:noProof/>
            <w:webHidden/>
          </w:rPr>
        </w:r>
        <w:r>
          <w:rPr>
            <w:noProof/>
            <w:webHidden/>
          </w:rPr>
          <w:fldChar w:fldCharType="separate"/>
        </w:r>
        <w:r>
          <w:rPr>
            <w:noProof/>
            <w:webHidden/>
          </w:rPr>
          <w:t>449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2" w:history="1">
        <w:r w:rsidRPr="001B13A4">
          <w:rPr>
            <w:rStyle w:val="Hyperlink"/>
            <w:noProof/>
          </w:rPr>
          <w:t>2.1.1056</w:t>
        </w:r>
        <w:r>
          <w:rPr>
            <w:rFonts w:asciiTheme="minorHAnsi" w:eastAsiaTheme="minorEastAsia" w:hAnsiTheme="minorHAnsi" w:cstheme="minorBidi"/>
            <w:noProof/>
            <w:sz w:val="22"/>
            <w:szCs w:val="22"/>
          </w:rPr>
          <w:tab/>
        </w:r>
        <w:r w:rsidRPr="001B13A4">
          <w:rPr>
            <w:rStyle w:val="Hyperlink"/>
            <w:noProof/>
          </w:rPr>
          <w:t>Part 1 Section 18.17.7.330, TRIMMEAN</w:t>
        </w:r>
        <w:r>
          <w:rPr>
            <w:noProof/>
            <w:webHidden/>
          </w:rPr>
          <w:tab/>
        </w:r>
        <w:r>
          <w:rPr>
            <w:noProof/>
            <w:webHidden/>
          </w:rPr>
          <w:fldChar w:fldCharType="begin"/>
        </w:r>
        <w:r>
          <w:rPr>
            <w:noProof/>
            <w:webHidden/>
          </w:rPr>
          <w:instrText xml:space="preserve"> PAGEREF _Toc181684092 \h </w:instrText>
        </w:r>
        <w:r>
          <w:rPr>
            <w:noProof/>
            <w:webHidden/>
          </w:rPr>
        </w:r>
        <w:r>
          <w:rPr>
            <w:noProof/>
            <w:webHidden/>
          </w:rPr>
          <w:fldChar w:fldCharType="separate"/>
        </w:r>
        <w:r>
          <w:rPr>
            <w:noProof/>
            <w:webHidden/>
          </w:rPr>
          <w:t>449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3" w:history="1">
        <w:r w:rsidRPr="001B13A4">
          <w:rPr>
            <w:rStyle w:val="Hyperlink"/>
            <w:noProof/>
          </w:rPr>
          <w:t>2.1.1057</w:t>
        </w:r>
        <w:r>
          <w:rPr>
            <w:rFonts w:asciiTheme="minorHAnsi" w:eastAsiaTheme="minorEastAsia" w:hAnsiTheme="minorHAnsi" w:cstheme="minorBidi"/>
            <w:noProof/>
            <w:sz w:val="22"/>
            <w:szCs w:val="22"/>
          </w:rPr>
          <w:tab/>
        </w:r>
        <w:r w:rsidRPr="001B13A4">
          <w:rPr>
            <w:rStyle w:val="Hyperlink"/>
            <w:noProof/>
          </w:rPr>
          <w:t>Part 1 Section 18.17.7.332, TRUNC</w:t>
        </w:r>
        <w:r>
          <w:rPr>
            <w:noProof/>
            <w:webHidden/>
          </w:rPr>
          <w:tab/>
        </w:r>
        <w:r>
          <w:rPr>
            <w:noProof/>
            <w:webHidden/>
          </w:rPr>
          <w:fldChar w:fldCharType="begin"/>
        </w:r>
        <w:r>
          <w:rPr>
            <w:noProof/>
            <w:webHidden/>
          </w:rPr>
          <w:instrText xml:space="preserve"> PAGEREF _Toc181684093 \h </w:instrText>
        </w:r>
        <w:r>
          <w:rPr>
            <w:noProof/>
            <w:webHidden/>
          </w:rPr>
        </w:r>
        <w:r>
          <w:rPr>
            <w:noProof/>
            <w:webHidden/>
          </w:rPr>
          <w:fldChar w:fldCharType="separate"/>
        </w:r>
        <w:r>
          <w:rPr>
            <w:noProof/>
            <w:webHidden/>
          </w:rPr>
          <w:t>449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4" w:history="1">
        <w:r w:rsidRPr="001B13A4">
          <w:rPr>
            <w:rStyle w:val="Hyperlink"/>
            <w:noProof/>
          </w:rPr>
          <w:t>2.1.1058</w:t>
        </w:r>
        <w:r>
          <w:rPr>
            <w:rFonts w:asciiTheme="minorHAnsi" w:eastAsiaTheme="minorEastAsia" w:hAnsiTheme="minorHAnsi" w:cstheme="minorBidi"/>
            <w:noProof/>
            <w:sz w:val="22"/>
            <w:szCs w:val="22"/>
          </w:rPr>
          <w:tab/>
        </w:r>
        <w:r w:rsidRPr="001B13A4">
          <w:rPr>
            <w:rStyle w:val="Hyperlink"/>
            <w:noProof/>
          </w:rPr>
          <w:t>Part 1 Section 18.17.7.333, TTEST</w:t>
        </w:r>
        <w:r>
          <w:rPr>
            <w:noProof/>
            <w:webHidden/>
          </w:rPr>
          <w:tab/>
        </w:r>
        <w:r>
          <w:rPr>
            <w:noProof/>
            <w:webHidden/>
          </w:rPr>
          <w:fldChar w:fldCharType="begin"/>
        </w:r>
        <w:r>
          <w:rPr>
            <w:noProof/>
            <w:webHidden/>
          </w:rPr>
          <w:instrText xml:space="preserve"> PAGEREF _Toc181684094 \h </w:instrText>
        </w:r>
        <w:r>
          <w:rPr>
            <w:noProof/>
            <w:webHidden/>
          </w:rPr>
        </w:r>
        <w:r>
          <w:rPr>
            <w:noProof/>
            <w:webHidden/>
          </w:rPr>
          <w:fldChar w:fldCharType="separate"/>
        </w:r>
        <w:r>
          <w:rPr>
            <w:noProof/>
            <w:webHidden/>
          </w:rPr>
          <w:t>449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5" w:history="1">
        <w:r w:rsidRPr="001B13A4">
          <w:rPr>
            <w:rStyle w:val="Hyperlink"/>
            <w:noProof/>
          </w:rPr>
          <w:t>2.1.1059</w:t>
        </w:r>
        <w:r>
          <w:rPr>
            <w:rFonts w:asciiTheme="minorHAnsi" w:eastAsiaTheme="minorEastAsia" w:hAnsiTheme="minorHAnsi" w:cstheme="minorBidi"/>
            <w:noProof/>
            <w:sz w:val="22"/>
            <w:szCs w:val="22"/>
          </w:rPr>
          <w:tab/>
        </w:r>
        <w:r w:rsidRPr="001B13A4">
          <w:rPr>
            <w:rStyle w:val="Hyperlink"/>
            <w:noProof/>
          </w:rPr>
          <w:t>Part 1 Section 18.17.7.334, TYPE</w:t>
        </w:r>
        <w:r>
          <w:rPr>
            <w:noProof/>
            <w:webHidden/>
          </w:rPr>
          <w:tab/>
        </w:r>
        <w:r>
          <w:rPr>
            <w:noProof/>
            <w:webHidden/>
          </w:rPr>
          <w:fldChar w:fldCharType="begin"/>
        </w:r>
        <w:r>
          <w:rPr>
            <w:noProof/>
            <w:webHidden/>
          </w:rPr>
          <w:instrText xml:space="preserve"> PAGEREF _Toc181684095 \h </w:instrText>
        </w:r>
        <w:r>
          <w:rPr>
            <w:noProof/>
            <w:webHidden/>
          </w:rPr>
        </w:r>
        <w:r>
          <w:rPr>
            <w:noProof/>
            <w:webHidden/>
          </w:rPr>
          <w:fldChar w:fldCharType="separate"/>
        </w:r>
        <w:r>
          <w:rPr>
            <w:noProof/>
            <w:webHidden/>
          </w:rPr>
          <w:t>449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6" w:history="1">
        <w:r w:rsidRPr="001B13A4">
          <w:rPr>
            <w:rStyle w:val="Hyperlink"/>
            <w:noProof/>
          </w:rPr>
          <w:t>2.1.1060</w:t>
        </w:r>
        <w:r>
          <w:rPr>
            <w:rFonts w:asciiTheme="minorHAnsi" w:eastAsiaTheme="minorEastAsia" w:hAnsiTheme="minorHAnsi" w:cstheme="minorBidi"/>
            <w:noProof/>
            <w:sz w:val="22"/>
            <w:szCs w:val="22"/>
          </w:rPr>
          <w:tab/>
        </w:r>
        <w:r w:rsidRPr="001B13A4">
          <w:rPr>
            <w:rStyle w:val="Hyperlink"/>
            <w:noProof/>
          </w:rPr>
          <w:t>Part 1 Section 18.17.7.336, USDOLLAR</w:t>
        </w:r>
        <w:r>
          <w:rPr>
            <w:noProof/>
            <w:webHidden/>
          </w:rPr>
          <w:tab/>
        </w:r>
        <w:r>
          <w:rPr>
            <w:noProof/>
            <w:webHidden/>
          </w:rPr>
          <w:fldChar w:fldCharType="begin"/>
        </w:r>
        <w:r>
          <w:rPr>
            <w:noProof/>
            <w:webHidden/>
          </w:rPr>
          <w:instrText xml:space="preserve"> PAGEREF _Toc181684096 \h </w:instrText>
        </w:r>
        <w:r>
          <w:rPr>
            <w:noProof/>
            <w:webHidden/>
          </w:rPr>
        </w:r>
        <w:r>
          <w:rPr>
            <w:noProof/>
            <w:webHidden/>
          </w:rPr>
          <w:fldChar w:fldCharType="separate"/>
        </w:r>
        <w:r>
          <w:rPr>
            <w:noProof/>
            <w:webHidden/>
          </w:rPr>
          <w:t>449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7" w:history="1">
        <w:r w:rsidRPr="001B13A4">
          <w:rPr>
            <w:rStyle w:val="Hyperlink"/>
            <w:noProof/>
          </w:rPr>
          <w:t>2.1.1061</w:t>
        </w:r>
        <w:r>
          <w:rPr>
            <w:rFonts w:asciiTheme="minorHAnsi" w:eastAsiaTheme="minorEastAsia" w:hAnsiTheme="minorHAnsi" w:cstheme="minorBidi"/>
            <w:noProof/>
            <w:sz w:val="22"/>
            <w:szCs w:val="22"/>
          </w:rPr>
          <w:tab/>
        </w:r>
        <w:r w:rsidRPr="001B13A4">
          <w:rPr>
            <w:rStyle w:val="Hyperlink"/>
            <w:noProof/>
          </w:rPr>
          <w:t>Part 1 Section 18.17.7.337, VALUE</w:t>
        </w:r>
        <w:r>
          <w:rPr>
            <w:noProof/>
            <w:webHidden/>
          </w:rPr>
          <w:tab/>
        </w:r>
        <w:r>
          <w:rPr>
            <w:noProof/>
            <w:webHidden/>
          </w:rPr>
          <w:fldChar w:fldCharType="begin"/>
        </w:r>
        <w:r>
          <w:rPr>
            <w:noProof/>
            <w:webHidden/>
          </w:rPr>
          <w:instrText xml:space="preserve"> PAGEREF _Toc181684097 \h </w:instrText>
        </w:r>
        <w:r>
          <w:rPr>
            <w:noProof/>
            <w:webHidden/>
          </w:rPr>
        </w:r>
        <w:r>
          <w:rPr>
            <w:noProof/>
            <w:webHidden/>
          </w:rPr>
          <w:fldChar w:fldCharType="separate"/>
        </w:r>
        <w:r>
          <w:rPr>
            <w:noProof/>
            <w:webHidden/>
          </w:rPr>
          <w:t>450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8" w:history="1">
        <w:r w:rsidRPr="001B13A4">
          <w:rPr>
            <w:rStyle w:val="Hyperlink"/>
            <w:noProof/>
          </w:rPr>
          <w:t>2.1.1062</w:t>
        </w:r>
        <w:r>
          <w:rPr>
            <w:rFonts w:asciiTheme="minorHAnsi" w:eastAsiaTheme="minorEastAsia" w:hAnsiTheme="minorHAnsi" w:cstheme="minorBidi"/>
            <w:noProof/>
            <w:sz w:val="22"/>
            <w:szCs w:val="22"/>
          </w:rPr>
          <w:tab/>
        </w:r>
        <w:r w:rsidRPr="001B13A4">
          <w:rPr>
            <w:rStyle w:val="Hyperlink"/>
            <w:noProof/>
          </w:rPr>
          <w:t>Part 1 Section 18.17.7.338, VAR</w:t>
        </w:r>
        <w:r>
          <w:rPr>
            <w:noProof/>
            <w:webHidden/>
          </w:rPr>
          <w:tab/>
        </w:r>
        <w:r>
          <w:rPr>
            <w:noProof/>
            <w:webHidden/>
          </w:rPr>
          <w:fldChar w:fldCharType="begin"/>
        </w:r>
        <w:r>
          <w:rPr>
            <w:noProof/>
            <w:webHidden/>
          </w:rPr>
          <w:instrText xml:space="preserve"> PAGEREF _Toc181684098 \h </w:instrText>
        </w:r>
        <w:r>
          <w:rPr>
            <w:noProof/>
            <w:webHidden/>
          </w:rPr>
        </w:r>
        <w:r>
          <w:rPr>
            <w:noProof/>
            <w:webHidden/>
          </w:rPr>
          <w:fldChar w:fldCharType="separate"/>
        </w:r>
        <w:r>
          <w:rPr>
            <w:noProof/>
            <w:webHidden/>
          </w:rPr>
          <w:t>450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099" w:history="1">
        <w:r w:rsidRPr="001B13A4">
          <w:rPr>
            <w:rStyle w:val="Hyperlink"/>
            <w:noProof/>
          </w:rPr>
          <w:t>2.1.1063</w:t>
        </w:r>
        <w:r>
          <w:rPr>
            <w:rFonts w:asciiTheme="minorHAnsi" w:eastAsiaTheme="minorEastAsia" w:hAnsiTheme="minorHAnsi" w:cstheme="minorBidi"/>
            <w:noProof/>
            <w:sz w:val="22"/>
            <w:szCs w:val="22"/>
          </w:rPr>
          <w:tab/>
        </w:r>
        <w:r w:rsidRPr="001B13A4">
          <w:rPr>
            <w:rStyle w:val="Hyperlink"/>
            <w:noProof/>
          </w:rPr>
          <w:t>Part 1 Section 18.17.7.339, VARA</w:t>
        </w:r>
        <w:r>
          <w:rPr>
            <w:noProof/>
            <w:webHidden/>
          </w:rPr>
          <w:tab/>
        </w:r>
        <w:r>
          <w:rPr>
            <w:noProof/>
            <w:webHidden/>
          </w:rPr>
          <w:fldChar w:fldCharType="begin"/>
        </w:r>
        <w:r>
          <w:rPr>
            <w:noProof/>
            <w:webHidden/>
          </w:rPr>
          <w:instrText xml:space="preserve"> PAGEREF _Toc181684099 \h </w:instrText>
        </w:r>
        <w:r>
          <w:rPr>
            <w:noProof/>
            <w:webHidden/>
          </w:rPr>
        </w:r>
        <w:r>
          <w:rPr>
            <w:noProof/>
            <w:webHidden/>
          </w:rPr>
          <w:fldChar w:fldCharType="separate"/>
        </w:r>
        <w:r>
          <w:rPr>
            <w:noProof/>
            <w:webHidden/>
          </w:rPr>
          <w:t>450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0" w:history="1">
        <w:r w:rsidRPr="001B13A4">
          <w:rPr>
            <w:rStyle w:val="Hyperlink"/>
            <w:noProof/>
          </w:rPr>
          <w:t>2.1.1064</w:t>
        </w:r>
        <w:r>
          <w:rPr>
            <w:rFonts w:asciiTheme="minorHAnsi" w:eastAsiaTheme="minorEastAsia" w:hAnsiTheme="minorHAnsi" w:cstheme="minorBidi"/>
            <w:noProof/>
            <w:sz w:val="22"/>
            <w:szCs w:val="22"/>
          </w:rPr>
          <w:tab/>
        </w:r>
        <w:r w:rsidRPr="001B13A4">
          <w:rPr>
            <w:rStyle w:val="Hyperlink"/>
            <w:noProof/>
          </w:rPr>
          <w:t>Part 1 Section 18.17.7.340, VARP</w:t>
        </w:r>
        <w:r>
          <w:rPr>
            <w:noProof/>
            <w:webHidden/>
          </w:rPr>
          <w:tab/>
        </w:r>
        <w:r>
          <w:rPr>
            <w:noProof/>
            <w:webHidden/>
          </w:rPr>
          <w:fldChar w:fldCharType="begin"/>
        </w:r>
        <w:r>
          <w:rPr>
            <w:noProof/>
            <w:webHidden/>
          </w:rPr>
          <w:instrText xml:space="preserve"> PAGEREF _Toc181684100 \h </w:instrText>
        </w:r>
        <w:r>
          <w:rPr>
            <w:noProof/>
            <w:webHidden/>
          </w:rPr>
        </w:r>
        <w:r>
          <w:rPr>
            <w:noProof/>
            <w:webHidden/>
          </w:rPr>
          <w:fldChar w:fldCharType="separate"/>
        </w:r>
        <w:r>
          <w:rPr>
            <w:noProof/>
            <w:webHidden/>
          </w:rPr>
          <w:t>450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1" w:history="1">
        <w:r w:rsidRPr="001B13A4">
          <w:rPr>
            <w:rStyle w:val="Hyperlink"/>
            <w:noProof/>
          </w:rPr>
          <w:t>2.1.1065</w:t>
        </w:r>
        <w:r>
          <w:rPr>
            <w:rFonts w:asciiTheme="minorHAnsi" w:eastAsiaTheme="minorEastAsia" w:hAnsiTheme="minorHAnsi" w:cstheme="minorBidi"/>
            <w:noProof/>
            <w:sz w:val="22"/>
            <w:szCs w:val="22"/>
          </w:rPr>
          <w:tab/>
        </w:r>
        <w:r w:rsidRPr="001B13A4">
          <w:rPr>
            <w:rStyle w:val="Hyperlink"/>
            <w:noProof/>
          </w:rPr>
          <w:t>Part 1 Section 18.17.7.341, VARPA</w:t>
        </w:r>
        <w:r>
          <w:rPr>
            <w:noProof/>
            <w:webHidden/>
          </w:rPr>
          <w:tab/>
        </w:r>
        <w:r>
          <w:rPr>
            <w:noProof/>
            <w:webHidden/>
          </w:rPr>
          <w:fldChar w:fldCharType="begin"/>
        </w:r>
        <w:r>
          <w:rPr>
            <w:noProof/>
            <w:webHidden/>
          </w:rPr>
          <w:instrText xml:space="preserve"> PAGEREF _Toc181684101 \h </w:instrText>
        </w:r>
        <w:r>
          <w:rPr>
            <w:noProof/>
            <w:webHidden/>
          </w:rPr>
        </w:r>
        <w:r>
          <w:rPr>
            <w:noProof/>
            <w:webHidden/>
          </w:rPr>
          <w:fldChar w:fldCharType="separate"/>
        </w:r>
        <w:r>
          <w:rPr>
            <w:noProof/>
            <w:webHidden/>
          </w:rPr>
          <w:t>450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2" w:history="1">
        <w:r w:rsidRPr="001B13A4">
          <w:rPr>
            <w:rStyle w:val="Hyperlink"/>
            <w:noProof/>
          </w:rPr>
          <w:t>2.1.1066</w:t>
        </w:r>
        <w:r>
          <w:rPr>
            <w:rFonts w:asciiTheme="minorHAnsi" w:eastAsiaTheme="minorEastAsia" w:hAnsiTheme="minorHAnsi" w:cstheme="minorBidi"/>
            <w:noProof/>
            <w:sz w:val="22"/>
            <w:szCs w:val="22"/>
          </w:rPr>
          <w:tab/>
        </w:r>
        <w:r w:rsidRPr="001B13A4">
          <w:rPr>
            <w:rStyle w:val="Hyperlink"/>
            <w:noProof/>
          </w:rPr>
          <w:t>Part 1 Section 18.17.7.342, VDB</w:t>
        </w:r>
        <w:r>
          <w:rPr>
            <w:noProof/>
            <w:webHidden/>
          </w:rPr>
          <w:tab/>
        </w:r>
        <w:r>
          <w:rPr>
            <w:noProof/>
            <w:webHidden/>
          </w:rPr>
          <w:fldChar w:fldCharType="begin"/>
        </w:r>
        <w:r>
          <w:rPr>
            <w:noProof/>
            <w:webHidden/>
          </w:rPr>
          <w:instrText xml:space="preserve"> PAGEREF _Toc181684102 \h </w:instrText>
        </w:r>
        <w:r>
          <w:rPr>
            <w:noProof/>
            <w:webHidden/>
          </w:rPr>
        </w:r>
        <w:r>
          <w:rPr>
            <w:noProof/>
            <w:webHidden/>
          </w:rPr>
          <w:fldChar w:fldCharType="separate"/>
        </w:r>
        <w:r>
          <w:rPr>
            <w:noProof/>
            <w:webHidden/>
          </w:rPr>
          <w:t>451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3" w:history="1">
        <w:r w:rsidRPr="001B13A4">
          <w:rPr>
            <w:rStyle w:val="Hyperlink"/>
            <w:noProof/>
          </w:rPr>
          <w:t>2.1.1067</w:t>
        </w:r>
        <w:r>
          <w:rPr>
            <w:rFonts w:asciiTheme="minorHAnsi" w:eastAsiaTheme="minorEastAsia" w:hAnsiTheme="minorHAnsi" w:cstheme="minorBidi"/>
            <w:noProof/>
            <w:sz w:val="22"/>
            <w:szCs w:val="22"/>
          </w:rPr>
          <w:tab/>
        </w:r>
        <w:r w:rsidRPr="001B13A4">
          <w:rPr>
            <w:rStyle w:val="Hyperlink"/>
            <w:noProof/>
          </w:rPr>
          <w:t>Part 1 Section 18.17.7.343, VLOOKUP</w:t>
        </w:r>
        <w:r>
          <w:rPr>
            <w:noProof/>
            <w:webHidden/>
          </w:rPr>
          <w:tab/>
        </w:r>
        <w:r>
          <w:rPr>
            <w:noProof/>
            <w:webHidden/>
          </w:rPr>
          <w:fldChar w:fldCharType="begin"/>
        </w:r>
        <w:r>
          <w:rPr>
            <w:noProof/>
            <w:webHidden/>
          </w:rPr>
          <w:instrText xml:space="preserve"> PAGEREF _Toc181684103 \h </w:instrText>
        </w:r>
        <w:r>
          <w:rPr>
            <w:noProof/>
            <w:webHidden/>
          </w:rPr>
        </w:r>
        <w:r>
          <w:rPr>
            <w:noProof/>
            <w:webHidden/>
          </w:rPr>
          <w:fldChar w:fldCharType="separate"/>
        </w:r>
        <w:r>
          <w:rPr>
            <w:noProof/>
            <w:webHidden/>
          </w:rPr>
          <w:t>451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4" w:history="1">
        <w:r w:rsidRPr="001B13A4">
          <w:rPr>
            <w:rStyle w:val="Hyperlink"/>
            <w:noProof/>
          </w:rPr>
          <w:t>2.1.1068</w:t>
        </w:r>
        <w:r>
          <w:rPr>
            <w:rFonts w:asciiTheme="minorHAnsi" w:eastAsiaTheme="minorEastAsia" w:hAnsiTheme="minorHAnsi" w:cstheme="minorBidi"/>
            <w:noProof/>
            <w:sz w:val="22"/>
            <w:szCs w:val="22"/>
          </w:rPr>
          <w:tab/>
        </w:r>
        <w:r w:rsidRPr="001B13A4">
          <w:rPr>
            <w:rStyle w:val="Hyperlink"/>
            <w:noProof/>
          </w:rPr>
          <w:t>Part 1 Section 18.17.7.346, WEIBULL</w:t>
        </w:r>
        <w:r>
          <w:rPr>
            <w:noProof/>
            <w:webHidden/>
          </w:rPr>
          <w:tab/>
        </w:r>
        <w:r>
          <w:rPr>
            <w:noProof/>
            <w:webHidden/>
          </w:rPr>
          <w:fldChar w:fldCharType="begin"/>
        </w:r>
        <w:r>
          <w:rPr>
            <w:noProof/>
            <w:webHidden/>
          </w:rPr>
          <w:instrText xml:space="preserve"> PAGEREF _Toc181684104 \h </w:instrText>
        </w:r>
        <w:r>
          <w:rPr>
            <w:noProof/>
            <w:webHidden/>
          </w:rPr>
        </w:r>
        <w:r>
          <w:rPr>
            <w:noProof/>
            <w:webHidden/>
          </w:rPr>
          <w:fldChar w:fldCharType="separate"/>
        </w:r>
        <w:r>
          <w:rPr>
            <w:noProof/>
            <w:webHidden/>
          </w:rPr>
          <w:t>451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5" w:history="1">
        <w:r w:rsidRPr="001B13A4">
          <w:rPr>
            <w:rStyle w:val="Hyperlink"/>
            <w:noProof/>
          </w:rPr>
          <w:t>2.1.1069</w:t>
        </w:r>
        <w:r>
          <w:rPr>
            <w:rFonts w:asciiTheme="minorHAnsi" w:eastAsiaTheme="minorEastAsia" w:hAnsiTheme="minorHAnsi" w:cstheme="minorBidi"/>
            <w:noProof/>
            <w:sz w:val="22"/>
            <w:szCs w:val="22"/>
          </w:rPr>
          <w:tab/>
        </w:r>
        <w:r w:rsidRPr="001B13A4">
          <w:rPr>
            <w:rStyle w:val="Hyperlink"/>
            <w:noProof/>
          </w:rPr>
          <w:t>Part 1 Section 18.17.7.347, WORKDAY</w:t>
        </w:r>
        <w:r>
          <w:rPr>
            <w:noProof/>
            <w:webHidden/>
          </w:rPr>
          <w:tab/>
        </w:r>
        <w:r>
          <w:rPr>
            <w:noProof/>
            <w:webHidden/>
          </w:rPr>
          <w:fldChar w:fldCharType="begin"/>
        </w:r>
        <w:r>
          <w:rPr>
            <w:noProof/>
            <w:webHidden/>
          </w:rPr>
          <w:instrText xml:space="preserve"> PAGEREF _Toc181684105 \h </w:instrText>
        </w:r>
        <w:r>
          <w:rPr>
            <w:noProof/>
            <w:webHidden/>
          </w:rPr>
        </w:r>
        <w:r>
          <w:rPr>
            <w:noProof/>
            <w:webHidden/>
          </w:rPr>
          <w:fldChar w:fldCharType="separate"/>
        </w:r>
        <w:r>
          <w:rPr>
            <w:noProof/>
            <w:webHidden/>
          </w:rPr>
          <w:t>451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6" w:history="1">
        <w:r w:rsidRPr="001B13A4">
          <w:rPr>
            <w:rStyle w:val="Hyperlink"/>
            <w:noProof/>
          </w:rPr>
          <w:t>2.1.1070</w:t>
        </w:r>
        <w:r>
          <w:rPr>
            <w:rFonts w:asciiTheme="minorHAnsi" w:eastAsiaTheme="minorEastAsia" w:hAnsiTheme="minorHAnsi" w:cstheme="minorBidi"/>
            <w:noProof/>
            <w:sz w:val="22"/>
            <w:szCs w:val="22"/>
          </w:rPr>
          <w:tab/>
        </w:r>
        <w:r w:rsidRPr="001B13A4">
          <w:rPr>
            <w:rStyle w:val="Hyperlink"/>
            <w:noProof/>
          </w:rPr>
          <w:t>Part 1 Section 18.17.7.349, XIRR</w:t>
        </w:r>
        <w:r>
          <w:rPr>
            <w:noProof/>
            <w:webHidden/>
          </w:rPr>
          <w:tab/>
        </w:r>
        <w:r>
          <w:rPr>
            <w:noProof/>
            <w:webHidden/>
          </w:rPr>
          <w:fldChar w:fldCharType="begin"/>
        </w:r>
        <w:r>
          <w:rPr>
            <w:noProof/>
            <w:webHidden/>
          </w:rPr>
          <w:instrText xml:space="preserve"> PAGEREF _Toc181684106 \h </w:instrText>
        </w:r>
        <w:r>
          <w:rPr>
            <w:noProof/>
            <w:webHidden/>
          </w:rPr>
        </w:r>
        <w:r>
          <w:rPr>
            <w:noProof/>
            <w:webHidden/>
          </w:rPr>
          <w:fldChar w:fldCharType="separate"/>
        </w:r>
        <w:r>
          <w:rPr>
            <w:noProof/>
            <w:webHidden/>
          </w:rPr>
          <w:t>451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7" w:history="1">
        <w:r w:rsidRPr="001B13A4">
          <w:rPr>
            <w:rStyle w:val="Hyperlink"/>
            <w:noProof/>
          </w:rPr>
          <w:t>2.1.1071</w:t>
        </w:r>
        <w:r>
          <w:rPr>
            <w:rFonts w:asciiTheme="minorHAnsi" w:eastAsiaTheme="minorEastAsia" w:hAnsiTheme="minorHAnsi" w:cstheme="minorBidi"/>
            <w:noProof/>
            <w:sz w:val="22"/>
            <w:szCs w:val="22"/>
          </w:rPr>
          <w:tab/>
        </w:r>
        <w:r w:rsidRPr="001B13A4">
          <w:rPr>
            <w:rStyle w:val="Hyperlink"/>
            <w:noProof/>
          </w:rPr>
          <w:t>Part 1 Section 18.17.7.350, XNPV</w:t>
        </w:r>
        <w:r>
          <w:rPr>
            <w:noProof/>
            <w:webHidden/>
          </w:rPr>
          <w:tab/>
        </w:r>
        <w:r>
          <w:rPr>
            <w:noProof/>
            <w:webHidden/>
          </w:rPr>
          <w:fldChar w:fldCharType="begin"/>
        </w:r>
        <w:r>
          <w:rPr>
            <w:noProof/>
            <w:webHidden/>
          </w:rPr>
          <w:instrText xml:space="preserve"> PAGEREF _Toc181684107 \h </w:instrText>
        </w:r>
        <w:r>
          <w:rPr>
            <w:noProof/>
            <w:webHidden/>
          </w:rPr>
        </w:r>
        <w:r>
          <w:rPr>
            <w:noProof/>
            <w:webHidden/>
          </w:rPr>
          <w:fldChar w:fldCharType="separate"/>
        </w:r>
        <w:r>
          <w:rPr>
            <w:noProof/>
            <w:webHidden/>
          </w:rPr>
          <w:t>452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8" w:history="1">
        <w:r w:rsidRPr="001B13A4">
          <w:rPr>
            <w:rStyle w:val="Hyperlink"/>
            <w:noProof/>
          </w:rPr>
          <w:t>2.1.1072</w:t>
        </w:r>
        <w:r>
          <w:rPr>
            <w:rFonts w:asciiTheme="minorHAnsi" w:eastAsiaTheme="minorEastAsia" w:hAnsiTheme="minorHAnsi" w:cstheme="minorBidi"/>
            <w:noProof/>
            <w:sz w:val="22"/>
            <w:szCs w:val="22"/>
          </w:rPr>
          <w:tab/>
        </w:r>
        <w:r w:rsidRPr="001B13A4">
          <w:rPr>
            <w:rStyle w:val="Hyperlink"/>
            <w:noProof/>
          </w:rPr>
          <w:t>Part 1 Section 18.17.7.352, YEARFRAC</w:t>
        </w:r>
        <w:r>
          <w:rPr>
            <w:noProof/>
            <w:webHidden/>
          </w:rPr>
          <w:tab/>
        </w:r>
        <w:r>
          <w:rPr>
            <w:noProof/>
            <w:webHidden/>
          </w:rPr>
          <w:fldChar w:fldCharType="begin"/>
        </w:r>
        <w:r>
          <w:rPr>
            <w:noProof/>
            <w:webHidden/>
          </w:rPr>
          <w:instrText xml:space="preserve"> PAGEREF _Toc181684108 \h </w:instrText>
        </w:r>
        <w:r>
          <w:rPr>
            <w:noProof/>
            <w:webHidden/>
          </w:rPr>
        </w:r>
        <w:r>
          <w:rPr>
            <w:noProof/>
            <w:webHidden/>
          </w:rPr>
          <w:fldChar w:fldCharType="separate"/>
        </w:r>
        <w:r>
          <w:rPr>
            <w:noProof/>
            <w:webHidden/>
          </w:rPr>
          <w:t>452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09" w:history="1">
        <w:r w:rsidRPr="001B13A4">
          <w:rPr>
            <w:rStyle w:val="Hyperlink"/>
            <w:noProof/>
          </w:rPr>
          <w:t>2.1.1073</w:t>
        </w:r>
        <w:r>
          <w:rPr>
            <w:rFonts w:asciiTheme="minorHAnsi" w:eastAsiaTheme="minorEastAsia" w:hAnsiTheme="minorHAnsi" w:cstheme="minorBidi"/>
            <w:noProof/>
            <w:sz w:val="22"/>
            <w:szCs w:val="22"/>
          </w:rPr>
          <w:tab/>
        </w:r>
        <w:r w:rsidRPr="001B13A4">
          <w:rPr>
            <w:rStyle w:val="Hyperlink"/>
            <w:noProof/>
          </w:rPr>
          <w:t>Part 1 Section 18.17.7.353, YIELD</w:t>
        </w:r>
        <w:r>
          <w:rPr>
            <w:noProof/>
            <w:webHidden/>
          </w:rPr>
          <w:tab/>
        </w:r>
        <w:r>
          <w:rPr>
            <w:noProof/>
            <w:webHidden/>
          </w:rPr>
          <w:fldChar w:fldCharType="begin"/>
        </w:r>
        <w:r>
          <w:rPr>
            <w:noProof/>
            <w:webHidden/>
          </w:rPr>
          <w:instrText xml:space="preserve"> PAGEREF _Toc181684109 \h </w:instrText>
        </w:r>
        <w:r>
          <w:rPr>
            <w:noProof/>
            <w:webHidden/>
          </w:rPr>
        </w:r>
        <w:r>
          <w:rPr>
            <w:noProof/>
            <w:webHidden/>
          </w:rPr>
          <w:fldChar w:fldCharType="separate"/>
        </w:r>
        <w:r>
          <w:rPr>
            <w:noProof/>
            <w:webHidden/>
          </w:rPr>
          <w:t>453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0" w:history="1">
        <w:r w:rsidRPr="001B13A4">
          <w:rPr>
            <w:rStyle w:val="Hyperlink"/>
            <w:noProof/>
          </w:rPr>
          <w:t>2.1.1074</w:t>
        </w:r>
        <w:r>
          <w:rPr>
            <w:rFonts w:asciiTheme="minorHAnsi" w:eastAsiaTheme="minorEastAsia" w:hAnsiTheme="minorHAnsi" w:cstheme="minorBidi"/>
            <w:noProof/>
            <w:sz w:val="22"/>
            <w:szCs w:val="22"/>
          </w:rPr>
          <w:tab/>
        </w:r>
        <w:r w:rsidRPr="001B13A4">
          <w:rPr>
            <w:rStyle w:val="Hyperlink"/>
            <w:noProof/>
          </w:rPr>
          <w:t>Part 1 Section 18.17.7.354, YIELDDISC</w:t>
        </w:r>
        <w:r>
          <w:rPr>
            <w:noProof/>
            <w:webHidden/>
          </w:rPr>
          <w:tab/>
        </w:r>
        <w:r>
          <w:rPr>
            <w:noProof/>
            <w:webHidden/>
          </w:rPr>
          <w:fldChar w:fldCharType="begin"/>
        </w:r>
        <w:r>
          <w:rPr>
            <w:noProof/>
            <w:webHidden/>
          </w:rPr>
          <w:instrText xml:space="preserve"> PAGEREF _Toc181684110 \h </w:instrText>
        </w:r>
        <w:r>
          <w:rPr>
            <w:noProof/>
            <w:webHidden/>
          </w:rPr>
        </w:r>
        <w:r>
          <w:rPr>
            <w:noProof/>
            <w:webHidden/>
          </w:rPr>
          <w:fldChar w:fldCharType="separate"/>
        </w:r>
        <w:r>
          <w:rPr>
            <w:noProof/>
            <w:webHidden/>
          </w:rPr>
          <w:t>453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1" w:history="1">
        <w:r w:rsidRPr="001B13A4">
          <w:rPr>
            <w:rStyle w:val="Hyperlink"/>
            <w:noProof/>
          </w:rPr>
          <w:t>2.1.1075</w:t>
        </w:r>
        <w:r>
          <w:rPr>
            <w:rFonts w:asciiTheme="minorHAnsi" w:eastAsiaTheme="minorEastAsia" w:hAnsiTheme="minorHAnsi" w:cstheme="minorBidi"/>
            <w:noProof/>
            <w:sz w:val="22"/>
            <w:szCs w:val="22"/>
          </w:rPr>
          <w:tab/>
        </w:r>
        <w:r w:rsidRPr="001B13A4">
          <w:rPr>
            <w:rStyle w:val="Hyperlink"/>
            <w:noProof/>
          </w:rPr>
          <w:t>Part 1 Section 18.17.7.355, YIELDMAT</w:t>
        </w:r>
        <w:r>
          <w:rPr>
            <w:noProof/>
            <w:webHidden/>
          </w:rPr>
          <w:tab/>
        </w:r>
        <w:r>
          <w:rPr>
            <w:noProof/>
            <w:webHidden/>
          </w:rPr>
          <w:fldChar w:fldCharType="begin"/>
        </w:r>
        <w:r>
          <w:rPr>
            <w:noProof/>
            <w:webHidden/>
          </w:rPr>
          <w:instrText xml:space="preserve"> PAGEREF _Toc181684111 \h </w:instrText>
        </w:r>
        <w:r>
          <w:rPr>
            <w:noProof/>
            <w:webHidden/>
          </w:rPr>
        </w:r>
        <w:r>
          <w:rPr>
            <w:noProof/>
            <w:webHidden/>
          </w:rPr>
          <w:fldChar w:fldCharType="separate"/>
        </w:r>
        <w:r>
          <w:rPr>
            <w:noProof/>
            <w:webHidden/>
          </w:rPr>
          <w:t>454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2" w:history="1">
        <w:r w:rsidRPr="001B13A4">
          <w:rPr>
            <w:rStyle w:val="Hyperlink"/>
            <w:noProof/>
          </w:rPr>
          <w:t>2.1.1076</w:t>
        </w:r>
        <w:r>
          <w:rPr>
            <w:rFonts w:asciiTheme="minorHAnsi" w:eastAsiaTheme="minorEastAsia" w:hAnsiTheme="minorHAnsi" w:cstheme="minorBidi"/>
            <w:noProof/>
            <w:sz w:val="22"/>
            <w:szCs w:val="22"/>
          </w:rPr>
          <w:tab/>
        </w:r>
        <w:r w:rsidRPr="001B13A4">
          <w:rPr>
            <w:rStyle w:val="Hyperlink"/>
            <w:noProof/>
          </w:rPr>
          <w:t>Part 1 Section 18.17.7.356, ZTEST</w:t>
        </w:r>
        <w:r>
          <w:rPr>
            <w:noProof/>
            <w:webHidden/>
          </w:rPr>
          <w:tab/>
        </w:r>
        <w:r>
          <w:rPr>
            <w:noProof/>
            <w:webHidden/>
          </w:rPr>
          <w:fldChar w:fldCharType="begin"/>
        </w:r>
        <w:r>
          <w:rPr>
            <w:noProof/>
            <w:webHidden/>
          </w:rPr>
          <w:instrText xml:space="preserve"> PAGEREF _Toc181684112 \h </w:instrText>
        </w:r>
        <w:r>
          <w:rPr>
            <w:noProof/>
            <w:webHidden/>
          </w:rPr>
        </w:r>
        <w:r>
          <w:rPr>
            <w:noProof/>
            <w:webHidden/>
          </w:rPr>
          <w:fldChar w:fldCharType="separate"/>
        </w:r>
        <w:r>
          <w:rPr>
            <w:noProof/>
            <w:webHidden/>
          </w:rPr>
          <w:t>455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3" w:history="1">
        <w:r w:rsidRPr="001B13A4">
          <w:rPr>
            <w:rStyle w:val="Hyperlink"/>
            <w:noProof/>
          </w:rPr>
          <w:t>2.1.1077</w:t>
        </w:r>
        <w:r>
          <w:rPr>
            <w:rFonts w:asciiTheme="minorHAnsi" w:eastAsiaTheme="minorEastAsia" w:hAnsiTheme="minorHAnsi" w:cstheme="minorBidi"/>
            <w:noProof/>
            <w:sz w:val="22"/>
            <w:szCs w:val="22"/>
          </w:rPr>
          <w:tab/>
        </w:r>
        <w:r w:rsidRPr="001B13A4">
          <w:rPr>
            <w:rStyle w:val="Hyperlink"/>
            <w:noProof/>
          </w:rPr>
          <w:t>Part 1 Section 18.18.2, ST_BorderId (Border Id)</w:t>
        </w:r>
        <w:r>
          <w:rPr>
            <w:noProof/>
            <w:webHidden/>
          </w:rPr>
          <w:tab/>
        </w:r>
        <w:r>
          <w:rPr>
            <w:noProof/>
            <w:webHidden/>
          </w:rPr>
          <w:fldChar w:fldCharType="begin"/>
        </w:r>
        <w:r>
          <w:rPr>
            <w:noProof/>
            <w:webHidden/>
          </w:rPr>
          <w:instrText xml:space="preserve"> PAGEREF _Toc181684113 \h </w:instrText>
        </w:r>
        <w:r>
          <w:rPr>
            <w:noProof/>
            <w:webHidden/>
          </w:rPr>
        </w:r>
        <w:r>
          <w:rPr>
            <w:noProof/>
            <w:webHidden/>
          </w:rPr>
          <w:fldChar w:fldCharType="separate"/>
        </w:r>
        <w:r>
          <w:rPr>
            <w:noProof/>
            <w:webHidden/>
          </w:rPr>
          <w:t>455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4" w:history="1">
        <w:r w:rsidRPr="001B13A4">
          <w:rPr>
            <w:rStyle w:val="Hyperlink"/>
            <w:noProof/>
          </w:rPr>
          <w:t>2.1.1078</w:t>
        </w:r>
        <w:r>
          <w:rPr>
            <w:rFonts w:asciiTheme="minorHAnsi" w:eastAsiaTheme="minorEastAsia" w:hAnsiTheme="minorHAnsi" w:cstheme="minorBidi"/>
            <w:noProof/>
            <w:sz w:val="22"/>
            <w:szCs w:val="22"/>
          </w:rPr>
          <w:tab/>
        </w:r>
        <w:r w:rsidRPr="001B13A4">
          <w:rPr>
            <w:rStyle w:val="Hyperlink"/>
            <w:noProof/>
          </w:rPr>
          <w:t>Part 1 Section 18.18.6, ST_CellFormulaType (Formula Type)</w:t>
        </w:r>
        <w:r>
          <w:rPr>
            <w:noProof/>
            <w:webHidden/>
          </w:rPr>
          <w:tab/>
        </w:r>
        <w:r>
          <w:rPr>
            <w:noProof/>
            <w:webHidden/>
          </w:rPr>
          <w:fldChar w:fldCharType="begin"/>
        </w:r>
        <w:r>
          <w:rPr>
            <w:noProof/>
            <w:webHidden/>
          </w:rPr>
          <w:instrText xml:space="preserve"> PAGEREF _Toc181684114 \h </w:instrText>
        </w:r>
        <w:r>
          <w:rPr>
            <w:noProof/>
            <w:webHidden/>
          </w:rPr>
        </w:r>
        <w:r>
          <w:rPr>
            <w:noProof/>
            <w:webHidden/>
          </w:rPr>
          <w:fldChar w:fldCharType="separate"/>
        </w:r>
        <w:r>
          <w:rPr>
            <w:noProof/>
            <w:webHidden/>
          </w:rPr>
          <w:t>455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5" w:history="1">
        <w:r w:rsidRPr="001B13A4">
          <w:rPr>
            <w:rStyle w:val="Hyperlink"/>
            <w:noProof/>
          </w:rPr>
          <w:t>2.1.1079</w:t>
        </w:r>
        <w:r>
          <w:rPr>
            <w:rFonts w:asciiTheme="minorHAnsi" w:eastAsiaTheme="minorEastAsia" w:hAnsiTheme="minorHAnsi" w:cstheme="minorBidi"/>
            <w:noProof/>
            <w:sz w:val="22"/>
            <w:szCs w:val="22"/>
          </w:rPr>
          <w:tab/>
        </w:r>
        <w:r w:rsidRPr="001B13A4">
          <w:rPr>
            <w:rStyle w:val="Hyperlink"/>
            <w:noProof/>
          </w:rPr>
          <w:t>Part 1 Section 18.18.7, ST_CellRef (Cell Reference)</w:t>
        </w:r>
        <w:r>
          <w:rPr>
            <w:noProof/>
            <w:webHidden/>
          </w:rPr>
          <w:tab/>
        </w:r>
        <w:r>
          <w:rPr>
            <w:noProof/>
            <w:webHidden/>
          </w:rPr>
          <w:fldChar w:fldCharType="begin"/>
        </w:r>
        <w:r>
          <w:rPr>
            <w:noProof/>
            <w:webHidden/>
          </w:rPr>
          <w:instrText xml:space="preserve"> PAGEREF _Toc181684115 \h </w:instrText>
        </w:r>
        <w:r>
          <w:rPr>
            <w:noProof/>
            <w:webHidden/>
          </w:rPr>
        </w:r>
        <w:r>
          <w:rPr>
            <w:noProof/>
            <w:webHidden/>
          </w:rPr>
          <w:fldChar w:fldCharType="separate"/>
        </w:r>
        <w:r>
          <w:rPr>
            <w:noProof/>
            <w:webHidden/>
          </w:rPr>
          <w:t>455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6" w:history="1">
        <w:r w:rsidRPr="001B13A4">
          <w:rPr>
            <w:rStyle w:val="Hyperlink"/>
            <w:noProof/>
          </w:rPr>
          <w:t>2.1.1080</w:t>
        </w:r>
        <w:r>
          <w:rPr>
            <w:rFonts w:asciiTheme="minorHAnsi" w:eastAsiaTheme="minorEastAsia" w:hAnsiTheme="minorHAnsi" w:cstheme="minorBidi"/>
            <w:noProof/>
            <w:sz w:val="22"/>
            <w:szCs w:val="22"/>
          </w:rPr>
          <w:tab/>
        </w:r>
        <w:r w:rsidRPr="001B13A4">
          <w:rPr>
            <w:rStyle w:val="Hyperlink"/>
            <w:noProof/>
          </w:rPr>
          <w:t>Part 1 Section 18.18.8, ST_CellSpan (Cell Span Type)</w:t>
        </w:r>
        <w:r>
          <w:rPr>
            <w:noProof/>
            <w:webHidden/>
          </w:rPr>
          <w:tab/>
        </w:r>
        <w:r>
          <w:rPr>
            <w:noProof/>
            <w:webHidden/>
          </w:rPr>
          <w:fldChar w:fldCharType="begin"/>
        </w:r>
        <w:r>
          <w:rPr>
            <w:noProof/>
            <w:webHidden/>
          </w:rPr>
          <w:instrText xml:space="preserve"> PAGEREF _Toc181684116 \h </w:instrText>
        </w:r>
        <w:r>
          <w:rPr>
            <w:noProof/>
            <w:webHidden/>
          </w:rPr>
        </w:r>
        <w:r>
          <w:rPr>
            <w:noProof/>
            <w:webHidden/>
          </w:rPr>
          <w:fldChar w:fldCharType="separate"/>
        </w:r>
        <w:r>
          <w:rPr>
            <w:noProof/>
            <w:webHidden/>
          </w:rPr>
          <w:t>456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7" w:history="1">
        <w:r w:rsidRPr="001B13A4">
          <w:rPr>
            <w:rStyle w:val="Hyperlink"/>
            <w:noProof/>
          </w:rPr>
          <w:t>2.1.1081</w:t>
        </w:r>
        <w:r>
          <w:rPr>
            <w:rFonts w:asciiTheme="minorHAnsi" w:eastAsiaTheme="minorEastAsia" w:hAnsiTheme="minorHAnsi" w:cstheme="minorBidi"/>
            <w:noProof/>
            <w:sz w:val="22"/>
            <w:szCs w:val="22"/>
          </w:rPr>
          <w:tab/>
        </w:r>
        <w:r w:rsidRPr="001B13A4">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_Toc181684117 \h </w:instrText>
        </w:r>
        <w:r>
          <w:rPr>
            <w:noProof/>
            <w:webHidden/>
          </w:rPr>
        </w:r>
        <w:r>
          <w:rPr>
            <w:noProof/>
            <w:webHidden/>
          </w:rPr>
          <w:fldChar w:fldCharType="separate"/>
        </w:r>
        <w:r>
          <w:rPr>
            <w:noProof/>
            <w:webHidden/>
          </w:rPr>
          <w:t>456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8" w:history="1">
        <w:r w:rsidRPr="001B13A4">
          <w:rPr>
            <w:rStyle w:val="Hyperlink"/>
            <w:noProof/>
          </w:rPr>
          <w:t>2.1.1082</w:t>
        </w:r>
        <w:r>
          <w:rPr>
            <w:rFonts w:asciiTheme="minorHAnsi" w:eastAsiaTheme="minorEastAsia" w:hAnsiTheme="minorHAnsi" w:cstheme="minorBidi"/>
            <w:noProof/>
            <w:sz w:val="22"/>
            <w:szCs w:val="22"/>
          </w:rPr>
          <w:tab/>
        </w:r>
        <w:r w:rsidRPr="001B13A4">
          <w:rPr>
            <w:rStyle w:val="Hyperlink"/>
            <w:noProof/>
          </w:rPr>
          <w:t>Part 1 Section 18.18.25, ST_DxfId (Format Id)</w:t>
        </w:r>
        <w:r>
          <w:rPr>
            <w:noProof/>
            <w:webHidden/>
          </w:rPr>
          <w:tab/>
        </w:r>
        <w:r>
          <w:rPr>
            <w:noProof/>
            <w:webHidden/>
          </w:rPr>
          <w:fldChar w:fldCharType="begin"/>
        </w:r>
        <w:r>
          <w:rPr>
            <w:noProof/>
            <w:webHidden/>
          </w:rPr>
          <w:instrText xml:space="preserve"> PAGEREF _Toc181684118 \h </w:instrText>
        </w:r>
        <w:r>
          <w:rPr>
            <w:noProof/>
            <w:webHidden/>
          </w:rPr>
        </w:r>
        <w:r>
          <w:rPr>
            <w:noProof/>
            <w:webHidden/>
          </w:rPr>
          <w:fldChar w:fldCharType="separate"/>
        </w:r>
        <w:r>
          <w:rPr>
            <w:noProof/>
            <w:webHidden/>
          </w:rPr>
          <w:t>457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19" w:history="1">
        <w:r w:rsidRPr="001B13A4">
          <w:rPr>
            <w:rStyle w:val="Hyperlink"/>
            <w:noProof/>
          </w:rPr>
          <w:t>2.1.1083</w:t>
        </w:r>
        <w:r>
          <w:rPr>
            <w:rFonts w:asciiTheme="minorHAnsi" w:eastAsiaTheme="minorEastAsia" w:hAnsiTheme="minorHAnsi" w:cstheme="minorBidi"/>
            <w:noProof/>
            <w:sz w:val="22"/>
            <w:szCs w:val="22"/>
          </w:rPr>
          <w:tab/>
        </w:r>
        <w:r w:rsidRPr="001B13A4">
          <w:rPr>
            <w:rStyle w:val="Hyperlink"/>
            <w:noProof/>
          </w:rPr>
          <w:t>Part 1 Section 18.18.29, ST_FileType (File Type)</w:t>
        </w:r>
        <w:r>
          <w:rPr>
            <w:noProof/>
            <w:webHidden/>
          </w:rPr>
          <w:tab/>
        </w:r>
        <w:r>
          <w:rPr>
            <w:noProof/>
            <w:webHidden/>
          </w:rPr>
          <w:fldChar w:fldCharType="begin"/>
        </w:r>
        <w:r>
          <w:rPr>
            <w:noProof/>
            <w:webHidden/>
          </w:rPr>
          <w:instrText xml:space="preserve"> PAGEREF _Toc181684119 \h </w:instrText>
        </w:r>
        <w:r>
          <w:rPr>
            <w:noProof/>
            <w:webHidden/>
          </w:rPr>
        </w:r>
        <w:r>
          <w:rPr>
            <w:noProof/>
            <w:webHidden/>
          </w:rPr>
          <w:fldChar w:fldCharType="separate"/>
        </w:r>
        <w:r>
          <w:rPr>
            <w:noProof/>
            <w:webHidden/>
          </w:rPr>
          <w:t>457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0" w:history="1">
        <w:r w:rsidRPr="001B13A4">
          <w:rPr>
            <w:rStyle w:val="Hyperlink"/>
            <w:noProof/>
          </w:rPr>
          <w:t>2.1.1084</w:t>
        </w:r>
        <w:r>
          <w:rPr>
            <w:rFonts w:asciiTheme="minorHAnsi" w:eastAsiaTheme="minorEastAsia" w:hAnsiTheme="minorHAnsi" w:cstheme="minorBidi"/>
            <w:noProof/>
            <w:sz w:val="22"/>
            <w:szCs w:val="22"/>
          </w:rPr>
          <w:tab/>
        </w:r>
        <w:r w:rsidRPr="001B13A4">
          <w:rPr>
            <w:rStyle w:val="Hyperlink"/>
            <w:noProof/>
          </w:rPr>
          <w:t>Part 1 Section 18.18.30, ST_FillId (Fill Id)</w:t>
        </w:r>
        <w:r>
          <w:rPr>
            <w:noProof/>
            <w:webHidden/>
          </w:rPr>
          <w:tab/>
        </w:r>
        <w:r>
          <w:rPr>
            <w:noProof/>
            <w:webHidden/>
          </w:rPr>
          <w:fldChar w:fldCharType="begin"/>
        </w:r>
        <w:r>
          <w:rPr>
            <w:noProof/>
            <w:webHidden/>
          </w:rPr>
          <w:instrText xml:space="preserve"> PAGEREF _Toc181684120 \h </w:instrText>
        </w:r>
        <w:r>
          <w:rPr>
            <w:noProof/>
            <w:webHidden/>
          </w:rPr>
        </w:r>
        <w:r>
          <w:rPr>
            <w:noProof/>
            <w:webHidden/>
          </w:rPr>
          <w:fldChar w:fldCharType="separate"/>
        </w:r>
        <w:r>
          <w:rPr>
            <w:noProof/>
            <w:webHidden/>
          </w:rPr>
          <w:t>457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1" w:history="1">
        <w:r w:rsidRPr="001B13A4">
          <w:rPr>
            <w:rStyle w:val="Hyperlink"/>
            <w:noProof/>
          </w:rPr>
          <w:t>2.1.1085</w:t>
        </w:r>
        <w:r>
          <w:rPr>
            <w:rFonts w:asciiTheme="minorHAnsi" w:eastAsiaTheme="minorEastAsia" w:hAnsiTheme="minorHAnsi" w:cstheme="minorBidi"/>
            <w:noProof/>
            <w:sz w:val="22"/>
            <w:szCs w:val="22"/>
          </w:rPr>
          <w:tab/>
        </w:r>
        <w:r w:rsidRPr="001B13A4">
          <w:rPr>
            <w:rStyle w:val="Hyperlink"/>
            <w:noProof/>
          </w:rPr>
          <w:t>Part 1 Section 18.18.35, ST_Formula (Formula)</w:t>
        </w:r>
        <w:r>
          <w:rPr>
            <w:noProof/>
            <w:webHidden/>
          </w:rPr>
          <w:tab/>
        </w:r>
        <w:r>
          <w:rPr>
            <w:noProof/>
            <w:webHidden/>
          </w:rPr>
          <w:fldChar w:fldCharType="begin"/>
        </w:r>
        <w:r>
          <w:rPr>
            <w:noProof/>
            <w:webHidden/>
          </w:rPr>
          <w:instrText xml:space="preserve"> PAGEREF _Toc181684121 \h </w:instrText>
        </w:r>
        <w:r>
          <w:rPr>
            <w:noProof/>
            <w:webHidden/>
          </w:rPr>
        </w:r>
        <w:r>
          <w:rPr>
            <w:noProof/>
            <w:webHidden/>
          </w:rPr>
          <w:fldChar w:fldCharType="separate"/>
        </w:r>
        <w:r>
          <w:rPr>
            <w:noProof/>
            <w:webHidden/>
          </w:rPr>
          <w:t>457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2" w:history="1">
        <w:r w:rsidRPr="001B13A4">
          <w:rPr>
            <w:rStyle w:val="Hyperlink"/>
            <w:noProof/>
          </w:rPr>
          <w:t>2.1.1086</w:t>
        </w:r>
        <w:r>
          <w:rPr>
            <w:rFonts w:asciiTheme="minorHAnsi" w:eastAsiaTheme="minorEastAsia" w:hAnsiTheme="minorHAnsi" w:cstheme="minorBidi"/>
            <w:noProof/>
            <w:sz w:val="22"/>
            <w:szCs w:val="22"/>
          </w:rPr>
          <w:tab/>
        </w:r>
        <w:r w:rsidRPr="001B13A4">
          <w:rPr>
            <w:rStyle w:val="Hyperlink"/>
            <w:noProof/>
          </w:rPr>
          <w:t>Part 1 Section 18.18.42, ST_IconSetType (Icon Set Type)</w:t>
        </w:r>
        <w:r>
          <w:rPr>
            <w:noProof/>
            <w:webHidden/>
          </w:rPr>
          <w:tab/>
        </w:r>
        <w:r>
          <w:rPr>
            <w:noProof/>
            <w:webHidden/>
          </w:rPr>
          <w:fldChar w:fldCharType="begin"/>
        </w:r>
        <w:r>
          <w:rPr>
            <w:noProof/>
            <w:webHidden/>
          </w:rPr>
          <w:instrText xml:space="preserve"> PAGEREF _Toc181684122 \h </w:instrText>
        </w:r>
        <w:r>
          <w:rPr>
            <w:noProof/>
            <w:webHidden/>
          </w:rPr>
        </w:r>
        <w:r>
          <w:rPr>
            <w:noProof/>
            <w:webHidden/>
          </w:rPr>
          <w:fldChar w:fldCharType="separate"/>
        </w:r>
        <w:r>
          <w:rPr>
            <w:noProof/>
            <w:webHidden/>
          </w:rPr>
          <w:t>457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3" w:history="1">
        <w:r w:rsidRPr="001B13A4">
          <w:rPr>
            <w:rStyle w:val="Hyperlink"/>
            <w:noProof/>
          </w:rPr>
          <w:t>2.1.1087</w:t>
        </w:r>
        <w:r>
          <w:rPr>
            <w:rFonts w:asciiTheme="minorHAnsi" w:eastAsiaTheme="minorEastAsia" w:hAnsiTheme="minorHAnsi" w:cstheme="minorBidi"/>
            <w:noProof/>
            <w:sz w:val="22"/>
            <w:szCs w:val="22"/>
          </w:rPr>
          <w:tab/>
        </w:r>
        <w:r w:rsidRPr="001B13A4">
          <w:rPr>
            <w:rStyle w:val="Hyperlink"/>
            <w:noProof/>
          </w:rPr>
          <w:t>Part 1 Section 18.18.47, ST_NumFmtId (Number Format Id)</w:t>
        </w:r>
        <w:r>
          <w:rPr>
            <w:noProof/>
            <w:webHidden/>
          </w:rPr>
          <w:tab/>
        </w:r>
        <w:r>
          <w:rPr>
            <w:noProof/>
            <w:webHidden/>
          </w:rPr>
          <w:fldChar w:fldCharType="begin"/>
        </w:r>
        <w:r>
          <w:rPr>
            <w:noProof/>
            <w:webHidden/>
          </w:rPr>
          <w:instrText xml:space="preserve"> PAGEREF _Toc181684123 \h </w:instrText>
        </w:r>
        <w:r>
          <w:rPr>
            <w:noProof/>
            <w:webHidden/>
          </w:rPr>
        </w:r>
        <w:r>
          <w:rPr>
            <w:noProof/>
            <w:webHidden/>
          </w:rPr>
          <w:fldChar w:fldCharType="separate"/>
        </w:r>
        <w:r>
          <w:rPr>
            <w:noProof/>
            <w:webHidden/>
          </w:rPr>
          <w:t>457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4" w:history="1">
        <w:r w:rsidRPr="001B13A4">
          <w:rPr>
            <w:rStyle w:val="Hyperlink"/>
            <w:noProof/>
          </w:rPr>
          <w:t>2.1.1088</w:t>
        </w:r>
        <w:r>
          <w:rPr>
            <w:rFonts w:asciiTheme="minorHAnsi" w:eastAsiaTheme="minorEastAsia" w:hAnsiTheme="minorHAnsi" w:cstheme="minorBidi"/>
            <w:noProof/>
            <w:sz w:val="22"/>
            <w:szCs w:val="22"/>
          </w:rPr>
          <w:tab/>
        </w:r>
        <w:r w:rsidRPr="001B13A4">
          <w:rPr>
            <w:rStyle w:val="Hyperlink"/>
            <w:noProof/>
          </w:rPr>
          <w:t>Part 1 Section 18.18.57, ST_PhoneticType (Phonetic Type)</w:t>
        </w:r>
        <w:r>
          <w:rPr>
            <w:noProof/>
            <w:webHidden/>
          </w:rPr>
          <w:tab/>
        </w:r>
        <w:r>
          <w:rPr>
            <w:noProof/>
            <w:webHidden/>
          </w:rPr>
          <w:fldChar w:fldCharType="begin"/>
        </w:r>
        <w:r>
          <w:rPr>
            <w:noProof/>
            <w:webHidden/>
          </w:rPr>
          <w:instrText xml:space="preserve"> PAGEREF _Toc181684124 \h </w:instrText>
        </w:r>
        <w:r>
          <w:rPr>
            <w:noProof/>
            <w:webHidden/>
          </w:rPr>
        </w:r>
        <w:r>
          <w:rPr>
            <w:noProof/>
            <w:webHidden/>
          </w:rPr>
          <w:fldChar w:fldCharType="separate"/>
        </w:r>
        <w:r>
          <w:rPr>
            <w:noProof/>
            <w:webHidden/>
          </w:rPr>
          <w:t>458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5" w:history="1">
        <w:r w:rsidRPr="001B13A4">
          <w:rPr>
            <w:rStyle w:val="Hyperlink"/>
            <w:noProof/>
          </w:rPr>
          <w:t>2.1.1089</w:t>
        </w:r>
        <w:r>
          <w:rPr>
            <w:rFonts w:asciiTheme="minorHAnsi" w:eastAsiaTheme="minorEastAsia" w:hAnsiTheme="minorHAnsi" w:cstheme="minorBidi"/>
            <w:noProof/>
            <w:sz w:val="22"/>
            <w:szCs w:val="22"/>
          </w:rPr>
          <w:tab/>
        </w:r>
        <w:r w:rsidRPr="001B13A4">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_Toc181684125 \h </w:instrText>
        </w:r>
        <w:r>
          <w:rPr>
            <w:noProof/>
            <w:webHidden/>
          </w:rPr>
        </w:r>
        <w:r>
          <w:rPr>
            <w:noProof/>
            <w:webHidden/>
          </w:rPr>
          <w:fldChar w:fldCharType="separate"/>
        </w:r>
        <w:r>
          <w:rPr>
            <w:noProof/>
            <w:webHidden/>
          </w:rPr>
          <w:t>458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6" w:history="1">
        <w:r w:rsidRPr="001B13A4">
          <w:rPr>
            <w:rStyle w:val="Hyperlink"/>
            <w:noProof/>
          </w:rPr>
          <w:t>2.1.1090</w:t>
        </w:r>
        <w:r>
          <w:rPr>
            <w:rFonts w:asciiTheme="minorHAnsi" w:eastAsiaTheme="minorEastAsia" w:hAnsiTheme="minorHAnsi" w:cstheme="minorBidi"/>
            <w:noProof/>
            <w:sz w:val="22"/>
            <w:szCs w:val="22"/>
          </w:rPr>
          <w:tab/>
        </w:r>
        <w:r w:rsidRPr="001B13A4">
          <w:rPr>
            <w:rStyle w:val="Hyperlink"/>
            <w:noProof/>
          </w:rPr>
          <w:t>Part 1 Section 18.18.62, ST_Ref (Cell References)</w:t>
        </w:r>
        <w:r>
          <w:rPr>
            <w:noProof/>
            <w:webHidden/>
          </w:rPr>
          <w:tab/>
        </w:r>
        <w:r>
          <w:rPr>
            <w:noProof/>
            <w:webHidden/>
          </w:rPr>
          <w:fldChar w:fldCharType="begin"/>
        </w:r>
        <w:r>
          <w:rPr>
            <w:noProof/>
            <w:webHidden/>
          </w:rPr>
          <w:instrText xml:space="preserve"> PAGEREF _Toc181684126 \h </w:instrText>
        </w:r>
        <w:r>
          <w:rPr>
            <w:noProof/>
            <w:webHidden/>
          </w:rPr>
        </w:r>
        <w:r>
          <w:rPr>
            <w:noProof/>
            <w:webHidden/>
          </w:rPr>
          <w:fldChar w:fldCharType="separate"/>
        </w:r>
        <w:r>
          <w:rPr>
            <w:noProof/>
            <w:webHidden/>
          </w:rPr>
          <w:t>458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7" w:history="1">
        <w:r w:rsidRPr="001B13A4">
          <w:rPr>
            <w:rStyle w:val="Hyperlink"/>
            <w:noProof/>
          </w:rPr>
          <w:t>2.1.1091</w:t>
        </w:r>
        <w:r>
          <w:rPr>
            <w:rFonts w:asciiTheme="minorHAnsi" w:eastAsiaTheme="minorEastAsia" w:hAnsiTheme="minorHAnsi" w:cstheme="minorBidi"/>
            <w:noProof/>
            <w:sz w:val="22"/>
            <w:szCs w:val="22"/>
          </w:rPr>
          <w:tab/>
        </w:r>
        <w:r w:rsidRPr="001B13A4">
          <w:rPr>
            <w:rStyle w:val="Hyperlink"/>
            <w:noProof/>
          </w:rPr>
          <w:t>Part 1 Section 18.18.63, ST_RefA (Single Cell Reference)</w:t>
        </w:r>
        <w:r>
          <w:rPr>
            <w:noProof/>
            <w:webHidden/>
          </w:rPr>
          <w:tab/>
        </w:r>
        <w:r>
          <w:rPr>
            <w:noProof/>
            <w:webHidden/>
          </w:rPr>
          <w:fldChar w:fldCharType="begin"/>
        </w:r>
        <w:r>
          <w:rPr>
            <w:noProof/>
            <w:webHidden/>
          </w:rPr>
          <w:instrText xml:space="preserve"> PAGEREF _Toc181684127 \h </w:instrText>
        </w:r>
        <w:r>
          <w:rPr>
            <w:noProof/>
            <w:webHidden/>
          </w:rPr>
        </w:r>
        <w:r>
          <w:rPr>
            <w:noProof/>
            <w:webHidden/>
          </w:rPr>
          <w:fldChar w:fldCharType="separate"/>
        </w:r>
        <w:r>
          <w:rPr>
            <w:noProof/>
            <w:webHidden/>
          </w:rPr>
          <w:t>458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8" w:history="1">
        <w:r w:rsidRPr="001B13A4">
          <w:rPr>
            <w:rStyle w:val="Hyperlink"/>
            <w:noProof/>
          </w:rPr>
          <w:t>2.1.1092</w:t>
        </w:r>
        <w:r>
          <w:rPr>
            <w:rFonts w:asciiTheme="minorHAnsi" w:eastAsiaTheme="minorEastAsia" w:hAnsiTheme="minorHAnsi" w:cstheme="minorBidi"/>
            <w:noProof/>
            <w:sz w:val="22"/>
            <w:szCs w:val="22"/>
          </w:rPr>
          <w:tab/>
        </w:r>
        <w:r w:rsidRPr="001B13A4">
          <w:rPr>
            <w:rStyle w:val="Hyperlink"/>
            <w:noProof/>
          </w:rPr>
          <w:t>Part 1 Section 18.18.76, ST_Sqref (Reference Sequence)</w:t>
        </w:r>
        <w:r>
          <w:rPr>
            <w:noProof/>
            <w:webHidden/>
          </w:rPr>
          <w:tab/>
        </w:r>
        <w:r>
          <w:rPr>
            <w:noProof/>
            <w:webHidden/>
          </w:rPr>
          <w:fldChar w:fldCharType="begin"/>
        </w:r>
        <w:r>
          <w:rPr>
            <w:noProof/>
            <w:webHidden/>
          </w:rPr>
          <w:instrText xml:space="preserve"> PAGEREF _Toc181684128 \h </w:instrText>
        </w:r>
        <w:r>
          <w:rPr>
            <w:noProof/>
            <w:webHidden/>
          </w:rPr>
        </w:r>
        <w:r>
          <w:rPr>
            <w:noProof/>
            <w:webHidden/>
          </w:rPr>
          <w:fldChar w:fldCharType="separate"/>
        </w:r>
        <w:r>
          <w:rPr>
            <w:noProof/>
            <w:webHidden/>
          </w:rPr>
          <w:t>458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29" w:history="1">
        <w:r w:rsidRPr="001B13A4">
          <w:rPr>
            <w:rStyle w:val="Hyperlink"/>
            <w:noProof/>
          </w:rPr>
          <w:t>2.1.1093</w:t>
        </w:r>
        <w:r>
          <w:rPr>
            <w:rFonts w:asciiTheme="minorHAnsi" w:eastAsiaTheme="minorEastAsia" w:hAnsiTheme="minorHAnsi" w:cstheme="minorBidi"/>
            <w:noProof/>
            <w:sz w:val="22"/>
            <w:szCs w:val="22"/>
          </w:rPr>
          <w:tab/>
        </w:r>
        <w:r w:rsidRPr="001B13A4">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_Toc181684129 \h </w:instrText>
        </w:r>
        <w:r>
          <w:rPr>
            <w:noProof/>
            <w:webHidden/>
          </w:rPr>
        </w:r>
        <w:r>
          <w:rPr>
            <w:noProof/>
            <w:webHidden/>
          </w:rPr>
          <w:fldChar w:fldCharType="separate"/>
        </w:r>
        <w:r>
          <w:rPr>
            <w:noProof/>
            <w:webHidden/>
          </w:rPr>
          <w:t>459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0" w:history="1">
        <w:r w:rsidRPr="001B13A4">
          <w:rPr>
            <w:rStyle w:val="Hyperlink"/>
            <w:noProof/>
          </w:rPr>
          <w:t>2.1.1094</w:t>
        </w:r>
        <w:r>
          <w:rPr>
            <w:rFonts w:asciiTheme="minorHAnsi" w:eastAsiaTheme="minorEastAsia" w:hAnsiTheme="minorHAnsi" w:cstheme="minorBidi"/>
            <w:noProof/>
            <w:sz w:val="22"/>
            <w:szCs w:val="22"/>
          </w:rPr>
          <w:tab/>
        </w:r>
        <w:r w:rsidRPr="001B13A4">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_Toc181684130 \h </w:instrText>
        </w:r>
        <w:r>
          <w:rPr>
            <w:noProof/>
            <w:webHidden/>
          </w:rPr>
        </w:r>
        <w:r>
          <w:rPr>
            <w:noProof/>
            <w:webHidden/>
          </w:rPr>
          <w:fldChar w:fldCharType="separate"/>
        </w:r>
        <w:r>
          <w:rPr>
            <w:noProof/>
            <w:webHidden/>
          </w:rPr>
          <w:t>459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1" w:history="1">
        <w:r w:rsidRPr="001B13A4">
          <w:rPr>
            <w:rStyle w:val="Hyperlink"/>
            <w:noProof/>
          </w:rPr>
          <w:t>2.1.1095</w:t>
        </w:r>
        <w:r>
          <w:rPr>
            <w:rFonts w:asciiTheme="minorHAnsi" w:eastAsiaTheme="minorEastAsia" w:hAnsiTheme="minorHAnsi" w:cstheme="minorBidi"/>
            <w:noProof/>
            <w:sz w:val="22"/>
            <w:szCs w:val="22"/>
          </w:rPr>
          <w:tab/>
        </w:r>
        <w:r w:rsidRPr="001B13A4">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_Toc181684131 \h </w:instrText>
        </w:r>
        <w:r>
          <w:rPr>
            <w:noProof/>
            <w:webHidden/>
          </w:rPr>
        </w:r>
        <w:r>
          <w:rPr>
            <w:noProof/>
            <w:webHidden/>
          </w:rPr>
          <w:fldChar w:fldCharType="separate"/>
        </w:r>
        <w:r>
          <w:rPr>
            <w:noProof/>
            <w:webHidden/>
          </w:rPr>
          <w:t>459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2" w:history="1">
        <w:r w:rsidRPr="001B13A4">
          <w:rPr>
            <w:rStyle w:val="Hyperlink"/>
            <w:noProof/>
          </w:rPr>
          <w:t>2.1.1096</w:t>
        </w:r>
        <w:r>
          <w:rPr>
            <w:rFonts w:asciiTheme="minorHAnsi" w:eastAsiaTheme="minorEastAsia" w:hAnsiTheme="minorHAnsi" w:cstheme="minorBidi"/>
            <w:noProof/>
            <w:sz w:val="22"/>
            <w:szCs w:val="22"/>
          </w:rPr>
          <w:tab/>
        </w:r>
        <w:r w:rsidRPr="001B13A4">
          <w:rPr>
            <w:rStyle w:val="Hyperlink"/>
            <w:noProof/>
          </w:rPr>
          <w:t>Part 1 Section 18.18.89, ST_Visibility (Visibility Types)</w:t>
        </w:r>
        <w:r>
          <w:rPr>
            <w:noProof/>
            <w:webHidden/>
          </w:rPr>
          <w:tab/>
        </w:r>
        <w:r>
          <w:rPr>
            <w:noProof/>
            <w:webHidden/>
          </w:rPr>
          <w:fldChar w:fldCharType="begin"/>
        </w:r>
        <w:r>
          <w:rPr>
            <w:noProof/>
            <w:webHidden/>
          </w:rPr>
          <w:instrText xml:space="preserve"> PAGEREF _Toc181684132 \h </w:instrText>
        </w:r>
        <w:r>
          <w:rPr>
            <w:noProof/>
            <w:webHidden/>
          </w:rPr>
        </w:r>
        <w:r>
          <w:rPr>
            <w:noProof/>
            <w:webHidden/>
          </w:rPr>
          <w:fldChar w:fldCharType="separate"/>
        </w:r>
        <w:r>
          <w:rPr>
            <w:noProof/>
            <w:webHidden/>
          </w:rPr>
          <w:t>460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3" w:history="1">
        <w:r w:rsidRPr="001B13A4">
          <w:rPr>
            <w:rStyle w:val="Hyperlink"/>
            <w:noProof/>
          </w:rPr>
          <w:t>2.1.1097</w:t>
        </w:r>
        <w:r>
          <w:rPr>
            <w:rFonts w:asciiTheme="minorHAnsi" w:eastAsiaTheme="minorEastAsia" w:hAnsiTheme="minorHAnsi" w:cstheme="minorBidi"/>
            <w:noProof/>
            <w:sz w:val="22"/>
            <w:szCs w:val="22"/>
          </w:rPr>
          <w:tab/>
        </w:r>
        <w:r w:rsidRPr="001B13A4">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_Toc181684133 \h </w:instrText>
        </w:r>
        <w:r>
          <w:rPr>
            <w:noProof/>
            <w:webHidden/>
          </w:rPr>
        </w:r>
        <w:r>
          <w:rPr>
            <w:noProof/>
            <w:webHidden/>
          </w:rPr>
          <w:fldChar w:fldCharType="separate"/>
        </w:r>
        <w:r>
          <w:rPr>
            <w:noProof/>
            <w:webHidden/>
          </w:rPr>
          <w:t>460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4" w:history="1">
        <w:r w:rsidRPr="001B13A4">
          <w:rPr>
            <w:rStyle w:val="Hyperlink"/>
            <w:noProof/>
          </w:rPr>
          <w:t>2.1.1098</w:t>
        </w:r>
        <w:r>
          <w:rPr>
            <w:rFonts w:asciiTheme="minorHAnsi" w:eastAsiaTheme="minorEastAsia" w:hAnsiTheme="minorHAnsi" w:cstheme="minorBidi"/>
            <w:noProof/>
            <w:sz w:val="22"/>
            <w:szCs w:val="22"/>
          </w:rPr>
          <w:tab/>
        </w:r>
        <w:r w:rsidRPr="001B13A4">
          <w:rPr>
            <w:rStyle w:val="Hyperlink"/>
            <w:noProof/>
          </w:rPr>
          <w:t>Part 1 Section 19.2.1.5, custShow (Custom Show)</w:t>
        </w:r>
        <w:r>
          <w:rPr>
            <w:noProof/>
            <w:webHidden/>
          </w:rPr>
          <w:tab/>
        </w:r>
        <w:r>
          <w:rPr>
            <w:noProof/>
            <w:webHidden/>
          </w:rPr>
          <w:fldChar w:fldCharType="begin"/>
        </w:r>
        <w:r>
          <w:rPr>
            <w:noProof/>
            <w:webHidden/>
          </w:rPr>
          <w:instrText xml:space="preserve"> PAGEREF _Toc181684134 \h </w:instrText>
        </w:r>
        <w:r>
          <w:rPr>
            <w:noProof/>
            <w:webHidden/>
          </w:rPr>
        </w:r>
        <w:r>
          <w:rPr>
            <w:noProof/>
            <w:webHidden/>
          </w:rPr>
          <w:fldChar w:fldCharType="separate"/>
        </w:r>
        <w:r>
          <w:rPr>
            <w:noProof/>
            <w:webHidden/>
          </w:rPr>
          <w:t>460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5" w:history="1">
        <w:r w:rsidRPr="001B13A4">
          <w:rPr>
            <w:rStyle w:val="Hyperlink"/>
            <w:noProof/>
          </w:rPr>
          <w:t>2.1.1099</w:t>
        </w:r>
        <w:r>
          <w:rPr>
            <w:rFonts w:asciiTheme="minorHAnsi" w:eastAsiaTheme="minorEastAsia" w:hAnsiTheme="minorHAnsi" w:cstheme="minorBidi"/>
            <w:noProof/>
            <w:sz w:val="22"/>
            <w:szCs w:val="22"/>
          </w:rPr>
          <w:tab/>
        </w:r>
        <w:r w:rsidRPr="001B13A4">
          <w:rPr>
            <w:rStyle w:val="Hyperlink"/>
            <w:noProof/>
          </w:rPr>
          <w:t>Part 1 Section 19.2.1.6, custShow (Custom Show)</w:t>
        </w:r>
        <w:r>
          <w:rPr>
            <w:noProof/>
            <w:webHidden/>
          </w:rPr>
          <w:tab/>
        </w:r>
        <w:r>
          <w:rPr>
            <w:noProof/>
            <w:webHidden/>
          </w:rPr>
          <w:fldChar w:fldCharType="begin"/>
        </w:r>
        <w:r>
          <w:rPr>
            <w:noProof/>
            <w:webHidden/>
          </w:rPr>
          <w:instrText xml:space="preserve"> PAGEREF _Toc181684135 \h </w:instrText>
        </w:r>
        <w:r>
          <w:rPr>
            <w:noProof/>
            <w:webHidden/>
          </w:rPr>
        </w:r>
        <w:r>
          <w:rPr>
            <w:noProof/>
            <w:webHidden/>
          </w:rPr>
          <w:fldChar w:fldCharType="separate"/>
        </w:r>
        <w:r>
          <w:rPr>
            <w:noProof/>
            <w:webHidden/>
          </w:rPr>
          <w:t>460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6" w:history="1">
        <w:r w:rsidRPr="001B13A4">
          <w:rPr>
            <w:rStyle w:val="Hyperlink"/>
            <w:noProof/>
          </w:rPr>
          <w:t>2.1.1100</w:t>
        </w:r>
        <w:r>
          <w:rPr>
            <w:rFonts w:asciiTheme="minorHAnsi" w:eastAsiaTheme="minorEastAsia" w:hAnsiTheme="minorHAnsi" w:cstheme="minorBidi"/>
            <w:noProof/>
            <w:sz w:val="22"/>
            <w:szCs w:val="22"/>
          </w:rPr>
          <w:tab/>
        </w:r>
        <w:r w:rsidRPr="001B13A4">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_Toc181684136 \h </w:instrText>
        </w:r>
        <w:r>
          <w:rPr>
            <w:noProof/>
            <w:webHidden/>
          </w:rPr>
        </w:r>
        <w:r>
          <w:rPr>
            <w:noProof/>
            <w:webHidden/>
          </w:rPr>
          <w:fldChar w:fldCharType="separate"/>
        </w:r>
        <w:r>
          <w:rPr>
            <w:noProof/>
            <w:webHidden/>
          </w:rPr>
          <w:t>460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7" w:history="1">
        <w:r w:rsidRPr="001B13A4">
          <w:rPr>
            <w:rStyle w:val="Hyperlink"/>
            <w:noProof/>
          </w:rPr>
          <w:t>2.1.1101</w:t>
        </w:r>
        <w:r>
          <w:rPr>
            <w:rFonts w:asciiTheme="minorHAnsi" w:eastAsiaTheme="minorEastAsia" w:hAnsiTheme="minorHAnsi" w:cstheme="minorBidi"/>
            <w:noProof/>
            <w:sz w:val="22"/>
            <w:szCs w:val="22"/>
          </w:rPr>
          <w:tab/>
        </w:r>
        <w:r w:rsidRPr="001B13A4">
          <w:rPr>
            <w:rStyle w:val="Hyperlink"/>
            <w:noProof/>
          </w:rPr>
          <w:t>Part 1 Section 19.2.1.11, ext (Extension)</w:t>
        </w:r>
        <w:r>
          <w:rPr>
            <w:noProof/>
            <w:webHidden/>
          </w:rPr>
          <w:tab/>
        </w:r>
        <w:r>
          <w:rPr>
            <w:noProof/>
            <w:webHidden/>
          </w:rPr>
          <w:fldChar w:fldCharType="begin"/>
        </w:r>
        <w:r>
          <w:rPr>
            <w:noProof/>
            <w:webHidden/>
          </w:rPr>
          <w:instrText xml:space="preserve"> PAGEREF _Toc181684137 \h </w:instrText>
        </w:r>
        <w:r>
          <w:rPr>
            <w:noProof/>
            <w:webHidden/>
          </w:rPr>
        </w:r>
        <w:r>
          <w:rPr>
            <w:noProof/>
            <w:webHidden/>
          </w:rPr>
          <w:fldChar w:fldCharType="separate"/>
        </w:r>
        <w:r>
          <w:rPr>
            <w:noProof/>
            <w:webHidden/>
          </w:rPr>
          <w:t>460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8" w:history="1">
        <w:r w:rsidRPr="001B13A4">
          <w:rPr>
            <w:rStyle w:val="Hyperlink"/>
            <w:noProof/>
          </w:rPr>
          <w:t>2.1.1102</w:t>
        </w:r>
        <w:r>
          <w:rPr>
            <w:rFonts w:asciiTheme="minorHAnsi" w:eastAsiaTheme="minorEastAsia" w:hAnsiTheme="minorHAnsi" w:cstheme="minorBidi"/>
            <w:noProof/>
            <w:sz w:val="22"/>
            <w:szCs w:val="22"/>
          </w:rPr>
          <w:tab/>
        </w:r>
        <w:r w:rsidRPr="001B13A4">
          <w:rPr>
            <w:rStyle w:val="Hyperlink"/>
            <w:noProof/>
          </w:rPr>
          <w:t>Part 1 Section 19.2.1.13, font (Embedded Font Name)</w:t>
        </w:r>
        <w:r>
          <w:rPr>
            <w:noProof/>
            <w:webHidden/>
          </w:rPr>
          <w:tab/>
        </w:r>
        <w:r>
          <w:rPr>
            <w:noProof/>
            <w:webHidden/>
          </w:rPr>
          <w:fldChar w:fldCharType="begin"/>
        </w:r>
        <w:r>
          <w:rPr>
            <w:noProof/>
            <w:webHidden/>
          </w:rPr>
          <w:instrText xml:space="preserve"> PAGEREF _Toc181684138 \h </w:instrText>
        </w:r>
        <w:r>
          <w:rPr>
            <w:noProof/>
            <w:webHidden/>
          </w:rPr>
        </w:r>
        <w:r>
          <w:rPr>
            <w:noProof/>
            <w:webHidden/>
          </w:rPr>
          <w:fldChar w:fldCharType="separate"/>
        </w:r>
        <w:r>
          <w:rPr>
            <w:noProof/>
            <w:webHidden/>
          </w:rPr>
          <w:t>460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39" w:history="1">
        <w:r w:rsidRPr="001B13A4">
          <w:rPr>
            <w:rStyle w:val="Hyperlink"/>
            <w:noProof/>
          </w:rPr>
          <w:t>2.1.1103</w:t>
        </w:r>
        <w:r>
          <w:rPr>
            <w:rFonts w:asciiTheme="minorHAnsi" w:eastAsiaTheme="minorEastAsia" w:hAnsiTheme="minorHAnsi" w:cstheme="minorBidi"/>
            <w:noProof/>
            <w:sz w:val="22"/>
            <w:szCs w:val="22"/>
          </w:rPr>
          <w:tab/>
        </w:r>
        <w:r w:rsidRPr="001B13A4">
          <w:rPr>
            <w:rStyle w:val="Hyperlink"/>
            <w:noProof/>
          </w:rPr>
          <w:t>Part 1 Section 19.2.1.17, kinsoku (Kinsoku Settings)</w:t>
        </w:r>
        <w:r>
          <w:rPr>
            <w:noProof/>
            <w:webHidden/>
          </w:rPr>
          <w:tab/>
        </w:r>
        <w:r>
          <w:rPr>
            <w:noProof/>
            <w:webHidden/>
          </w:rPr>
          <w:fldChar w:fldCharType="begin"/>
        </w:r>
        <w:r>
          <w:rPr>
            <w:noProof/>
            <w:webHidden/>
          </w:rPr>
          <w:instrText xml:space="preserve"> PAGEREF _Toc181684139 \h </w:instrText>
        </w:r>
        <w:r>
          <w:rPr>
            <w:noProof/>
            <w:webHidden/>
          </w:rPr>
        </w:r>
        <w:r>
          <w:rPr>
            <w:noProof/>
            <w:webHidden/>
          </w:rPr>
          <w:fldChar w:fldCharType="separate"/>
        </w:r>
        <w:r>
          <w:rPr>
            <w:noProof/>
            <w:webHidden/>
          </w:rPr>
          <w:t>461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0" w:history="1">
        <w:r w:rsidRPr="001B13A4">
          <w:rPr>
            <w:rStyle w:val="Hyperlink"/>
            <w:noProof/>
          </w:rPr>
          <w:t>2.1.1104</w:t>
        </w:r>
        <w:r>
          <w:rPr>
            <w:rFonts w:asciiTheme="minorHAnsi" w:eastAsiaTheme="minorEastAsia" w:hAnsiTheme="minorHAnsi" w:cstheme="minorBidi"/>
            <w:noProof/>
            <w:sz w:val="22"/>
            <w:szCs w:val="22"/>
          </w:rPr>
          <w:tab/>
        </w:r>
        <w:r w:rsidRPr="001B13A4">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_Toc181684140 \h </w:instrText>
        </w:r>
        <w:r>
          <w:rPr>
            <w:noProof/>
            <w:webHidden/>
          </w:rPr>
        </w:r>
        <w:r>
          <w:rPr>
            <w:noProof/>
            <w:webHidden/>
          </w:rPr>
          <w:fldChar w:fldCharType="separate"/>
        </w:r>
        <w:r>
          <w:rPr>
            <w:noProof/>
            <w:webHidden/>
          </w:rPr>
          <w:t>461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1" w:history="1">
        <w:r w:rsidRPr="001B13A4">
          <w:rPr>
            <w:rStyle w:val="Hyperlink"/>
            <w:noProof/>
          </w:rPr>
          <w:t>2.1.1105</w:t>
        </w:r>
        <w:r>
          <w:rPr>
            <w:rFonts w:asciiTheme="minorHAnsi" w:eastAsiaTheme="minorEastAsia" w:hAnsiTheme="minorHAnsi" w:cstheme="minorBidi"/>
            <w:noProof/>
            <w:sz w:val="22"/>
            <w:szCs w:val="22"/>
          </w:rPr>
          <w:tab/>
        </w:r>
        <w:r w:rsidRPr="001B13A4">
          <w:rPr>
            <w:rStyle w:val="Hyperlink"/>
            <w:noProof/>
          </w:rPr>
          <w:t>Part 1 Section 19.2.1.22, notesSz (Notes Slide Size)</w:t>
        </w:r>
        <w:r>
          <w:rPr>
            <w:noProof/>
            <w:webHidden/>
          </w:rPr>
          <w:tab/>
        </w:r>
        <w:r>
          <w:rPr>
            <w:noProof/>
            <w:webHidden/>
          </w:rPr>
          <w:fldChar w:fldCharType="begin"/>
        </w:r>
        <w:r>
          <w:rPr>
            <w:noProof/>
            <w:webHidden/>
          </w:rPr>
          <w:instrText xml:space="preserve"> PAGEREF _Toc181684141 \h </w:instrText>
        </w:r>
        <w:r>
          <w:rPr>
            <w:noProof/>
            <w:webHidden/>
          </w:rPr>
        </w:r>
        <w:r>
          <w:rPr>
            <w:noProof/>
            <w:webHidden/>
          </w:rPr>
          <w:fldChar w:fldCharType="separate"/>
        </w:r>
        <w:r>
          <w:rPr>
            <w:noProof/>
            <w:webHidden/>
          </w:rPr>
          <w:t>463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2" w:history="1">
        <w:r w:rsidRPr="001B13A4">
          <w:rPr>
            <w:rStyle w:val="Hyperlink"/>
            <w:noProof/>
          </w:rPr>
          <w:t>2.1.1106</w:t>
        </w:r>
        <w:r>
          <w:rPr>
            <w:rFonts w:asciiTheme="minorHAnsi" w:eastAsiaTheme="minorEastAsia" w:hAnsiTheme="minorHAnsi" w:cstheme="minorBidi"/>
            <w:noProof/>
            <w:sz w:val="22"/>
            <w:szCs w:val="22"/>
          </w:rPr>
          <w:tab/>
        </w:r>
        <w:r w:rsidRPr="001B13A4">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_Toc181684142 \h </w:instrText>
        </w:r>
        <w:r>
          <w:rPr>
            <w:noProof/>
            <w:webHidden/>
          </w:rPr>
        </w:r>
        <w:r>
          <w:rPr>
            <w:noProof/>
            <w:webHidden/>
          </w:rPr>
          <w:fldChar w:fldCharType="separate"/>
        </w:r>
        <w:r>
          <w:rPr>
            <w:noProof/>
            <w:webHidden/>
          </w:rPr>
          <w:t>464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3" w:history="1">
        <w:r w:rsidRPr="001B13A4">
          <w:rPr>
            <w:rStyle w:val="Hyperlink"/>
            <w:noProof/>
          </w:rPr>
          <w:t>2.1.1107</w:t>
        </w:r>
        <w:r>
          <w:rPr>
            <w:rFonts w:asciiTheme="minorHAnsi" w:eastAsiaTheme="minorEastAsia" w:hAnsiTheme="minorHAnsi" w:cstheme="minorBidi"/>
            <w:noProof/>
            <w:sz w:val="22"/>
            <w:szCs w:val="22"/>
          </w:rPr>
          <w:tab/>
        </w:r>
        <w:r w:rsidRPr="001B13A4">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_Toc181684143 \h </w:instrText>
        </w:r>
        <w:r>
          <w:rPr>
            <w:noProof/>
            <w:webHidden/>
          </w:rPr>
        </w:r>
        <w:r>
          <w:rPr>
            <w:noProof/>
            <w:webHidden/>
          </w:rPr>
          <w:fldChar w:fldCharType="separate"/>
        </w:r>
        <w:r>
          <w:rPr>
            <w:noProof/>
            <w:webHidden/>
          </w:rPr>
          <w:t>464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4" w:history="1">
        <w:r w:rsidRPr="001B13A4">
          <w:rPr>
            <w:rStyle w:val="Hyperlink"/>
            <w:noProof/>
          </w:rPr>
          <w:t>2.1.1108</w:t>
        </w:r>
        <w:r>
          <w:rPr>
            <w:rFonts w:asciiTheme="minorHAnsi" w:eastAsiaTheme="minorEastAsia" w:hAnsiTheme="minorHAnsi" w:cstheme="minorBidi"/>
            <w:noProof/>
            <w:sz w:val="22"/>
            <w:szCs w:val="22"/>
          </w:rPr>
          <w:tab/>
        </w:r>
        <w:r w:rsidRPr="001B13A4">
          <w:rPr>
            <w:rStyle w:val="Hyperlink"/>
            <w:noProof/>
          </w:rPr>
          <w:t>Part 1 Section 19.2.1.26, presentation (Presentation)</w:t>
        </w:r>
        <w:r>
          <w:rPr>
            <w:noProof/>
            <w:webHidden/>
          </w:rPr>
          <w:tab/>
        </w:r>
        <w:r>
          <w:rPr>
            <w:noProof/>
            <w:webHidden/>
          </w:rPr>
          <w:fldChar w:fldCharType="begin"/>
        </w:r>
        <w:r>
          <w:rPr>
            <w:noProof/>
            <w:webHidden/>
          </w:rPr>
          <w:instrText xml:space="preserve"> PAGEREF _Toc181684144 \h </w:instrText>
        </w:r>
        <w:r>
          <w:rPr>
            <w:noProof/>
            <w:webHidden/>
          </w:rPr>
        </w:r>
        <w:r>
          <w:rPr>
            <w:noProof/>
            <w:webHidden/>
          </w:rPr>
          <w:fldChar w:fldCharType="separate"/>
        </w:r>
        <w:r>
          <w:rPr>
            <w:noProof/>
            <w:webHidden/>
          </w:rPr>
          <w:t>464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5" w:history="1">
        <w:r w:rsidRPr="001B13A4">
          <w:rPr>
            <w:rStyle w:val="Hyperlink"/>
            <w:noProof/>
          </w:rPr>
          <w:t>2.1.1109</w:t>
        </w:r>
        <w:r>
          <w:rPr>
            <w:rFonts w:asciiTheme="minorHAnsi" w:eastAsiaTheme="minorEastAsia" w:hAnsiTheme="minorHAnsi" w:cstheme="minorBidi"/>
            <w:noProof/>
            <w:sz w:val="22"/>
            <w:szCs w:val="22"/>
          </w:rPr>
          <w:tab/>
        </w:r>
        <w:r w:rsidRPr="001B13A4">
          <w:rPr>
            <w:rStyle w:val="Hyperlink"/>
            <w:noProof/>
          </w:rPr>
          <w:t>Part 1 Section 19.2.1.38, sldRg (Slide Range)</w:t>
        </w:r>
        <w:r>
          <w:rPr>
            <w:noProof/>
            <w:webHidden/>
          </w:rPr>
          <w:tab/>
        </w:r>
        <w:r>
          <w:rPr>
            <w:noProof/>
            <w:webHidden/>
          </w:rPr>
          <w:fldChar w:fldCharType="begin"/>
        </w:r>
        <w:r>
          <w:rPr>
            <w:noProof/>
            <w:webHidden/>
          </w:rPr>
          <w:instrText xml:space="preserve"> PAGEREF _Toc181684145 \h </w:instrText>
        </w:r>
        <w:r>
          <w:rPr>
            <w:noProof/>
            <w:webHidden/>
          </w:rPr>
        </w:r>
        <w:r>
          <w:rPr>
            <w:noProof/>
            <w:webHidden/>
          </w:rPr>
          <w:fldChar w:fldCharType="separate"/>
        </w:r>
        <w:r>
          <w:rPr>
            <w:noProof/>
            <w:webHidden/>
          </w:rPr>
          <w:t>465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6" w:history="1">
        <w:r w:rsidRPr="001B13A4">
          <w:rPr>
            <w:rStyle w:val="Hyperlink"/>
            <w:noProof/>
          </w:rPr>
          <w:t>2.1.1110</w:t>
        </w:r>
        <w:r>
          <w:rPr>
            <w:rFonts w:asciiTheme="minorHAnsi" w:eastAsiaTheme="minorEastAsia" w:hAnsiTheme="minorHAnsi" w:cstheme="minorBidi"/>
            <w:noProof/>
            <w:sz w:val="22"/>
            <w:szCs w:val="22"/>
          </w:rPr>
          <w:tab/>
        </w:r>
        <w:r w:rsidRPr="001B13A4">
          <w:rPr>
            <w:rStyle w:val="Hyperlink"/>
            <w:noProof/>
          </w:rPr>
          <w:t>Part 1 Section 19.2.1.39, sldSz (Presentation Slide Size)</w:t>
        </w:r>
        <w:r>
          <w:rPr>
            <w:noProof/>
            <w:webHidden/>
          </w:rPr>
          <w:tab/>
        </w:r>
        <w:r>
          <w:rPr>
            <w:noProof/>
            <w:webHidden/>
          </w:rPr>
          <w:fldChar w:fldCharType="begin"/>
        </w:r>
        <w:r>
          <w:rPr>
            <w:noProof/>
            <w:webHidden/>
          </w:rPr>
          <w:instrText xml:space="preserve"> PAGEREF _Toc181684146 \h </w:instrText>
        </w:r>
        <w:r>
          <w:rPr>
            <w:noProof/>
            <w:webHidden/>
          </w:rPr>
        </w:r>
        <w:r>
          <w:rPr>
            <w:noProof/>
            <w:webHidden/>
          </w:rPr>
          <w:fldChar w:fldCharType="separate"/>
        </w:r>
        <w:r>
          <w:rPr>
            <w:noProof/>
            <w:webHidden/>
          </w:rPr>
          <w:t>465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7" w:history="1">
        <w:r w:rsidRPr="001B13A4">
          <w:rPr>
            <w:rStyle w:val="Hyperlink"/>
            <w:noProof/>
          </w:rPr>
          <w:t>2.1.1111</w:t>
        </w:r>
        <w:r>
          <w:rPr>
            <w:rFonts w:asciiTheme="minorHAnsi" w:eastAsiaTheme="minorEastAsia" w:hAnsiTheme="minorHAnsi" w:cstheme="minorBidi"/>
            <w:noProof/>
            <w:sz w:val="22"/>
            <w:szCs w:val="22"/>
          </w:rPr>
          <w:tab/>
        </w:r>
        <w:r w:rsidRPr="001B13A4">
          <w:rPr>
            <w:rStyle w:val="Hyperlink"/>
            <w:noProof/>
          </w:rPr>
          <w:t>Part 1 Section 19.2.1.40, smartTags (Smart Tags)</w:t>
        </w:r>
        <w:r>
          <w:rPr>
            <w:noProof/>
            <w:webHidden/>
          </w:rPr>
          <w:tab/>
        </w:r>
        <w:r>
          <w:rPr>
            <w:noProof/>
            <w:webHidden/>
          </w:rPr>
          <w:fldChar w:fldCharType="begin"/>
        </w:r>
        <w:r>
          <w:rPr>
            <w:noProof/>
            <w:webHidden/>
          </w:rPr>
          <w:instrText xml:space="preserve"> PAGEREF _Toc181684147 \h </w:instrText>
        </w:r>
        <w:r>
          <w:rPr>
            <w:noProof/>
            <w:webHidden/>
          </w:rPr>
        </w:r>
        <w:r>
          <w:rPr>
            <w:noProof/>
            <w:webHidden/>
          </w:rPr>
          <w:fldChar w:fldCharType="separate"/>
        </w:r>
        <w:r>
          <w:rPr>
            <w:noProof/>
            <w:webHidden/>
          </w:rPr>
          <w:t>465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8" w:history="1">
        <w:r w:rsidRPr="001B13A4">
          <w:rPr>
            <w:rStyle w:val="Hyperlink"/>
            <w:noProof/>
          </w:rPr>
          <w:t>2.1.1112</w:t>
        </w:r>
        <w:r>
          <w:rPr>
            <w:rFonts w:asciiTheme="minorHAnsi" w:eastAsiaTheme="minorEastAsia" w:hAnsiTheme="minorHAnsi" w:cstheme="minorBidi"/>
            <w:noProof/>
            <w:sz w:val="22"/>
            <w:szCs w:val="22"/>
          </w:rPr>
          <w:tab/>
        </w:r>
        <w:r w:rsidRPr="001B13A4">
          <w:rPr>
            <w:rStyle w:val="Hyperlink"/>
            <w:noProof/>
          </w:rPr>
          <w:t>Part 1 Section 19.2.2.4, guide (A Guide)</w:t>
        </w:r>
        <w:r>
          <w:rPr>
            <w:noProof/>
            <w:webHidden/>
          </w:rPr>
          <w:tab/>
        </w:r>
        <w:r>
          <w:rPr>
            <w:noProof/>
            <w:webHidden/>
          </w:rPr>
          <w:fldChar w:fldCharType="begin"/>
        </w:r>
        <w:r>
          <w:rPr>
            <w:noProof/>
            <w:webHidden/>
          </w:rPr>
          <w:instrText xml:space="preserve"> PAGEREF _Toc181684148 \h </w:instrText>
        </w:r>
        <w:r>
          <w:rPr>
            <w:noProof/>
            <w:webHidden/>
          </w:rPr>
        </w:r>
        <w:r>
          <w:rPr>
            <w:noProof/>
            <w:webHidden/>
          </w:rPr>
          <w:fldChar w:fldCharType="separate"/>
        </w:r>
        <w:r>
          <w:rPr>
            <w:noProof/>
            <w:webHidden/>
          </w:rPr>
          <w:t>466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49" w:history="1">
        <w:r w:rsidRPr="001B13A4">
          <w:rPr>
            <w:rStyle w:val="Hyperlink"/>
            <w:noProof/>
          </w:rPr>
          <w:t>2.1.1113</w:t>
        </w:r>
        <w:r>
          <w:rPr>
            <w:rFonts w:asciiTheme="minorHAnsi" w:eastAsiaTheme="minorEastAsia" w:hAnsiTheme="minorHAnsi" w:cstheme="minorBidi"/>
            <w:noProof/>
            <w:sz w:val="22"/>
            <w:szCs w:val="22"/>
          </w:rPr>
          <w:tab/>
        </w:r>
        <w:r w:rsidRPr="001B13A4">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_Toc181684149 \h </w:instrText>
        </w:r>
        <w:r>
          <w:rPr>
            <w:noProof/>
            <w:webHidden/>
          </w:rPr>
        </w:r>
        <w:r>
          <w:rPr>
            <w:noProof/>
            <w:webHidden/>
          </w:rPr>
          <w:fldChar w:fldCharType="separate"/>
        </w:r>
        <w:r>
          <w:rPr>
            <w:noProof/>
            <w:webHidden/>
          </w:rPr>
          <w:t>466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0" w:history="1">
        <w:r w:rsidRPr="001B13A4">
          <w:rPr>
            <w:rStyle w:val="Hyperlink"/>
            <w:noProof/>
          </w:rPr>
          <w:t>2.1.1114</w:t>
        </w:r>
        <w:r>
          <w:rPr>
            <w:rFonts w:asciiTheme="minorHAnsi" w:eastAsiaTheme="minorEastAsia" w:hAnsiTheme="minorHAnsi" w:cstheme="minorBidi"/>
            <w:noProof/>
            <w:sz w:val="22"/>
            <w:szCs w:val="22"/>
          </w:rPr>
          <w:tab/>
        </w:r>
        <w:r w:rsidRPr="001B13A4">
          <w:rPr>
            <w:rStyle w:val="Hyperlink"/>
            <w:noProof/>
          </w:rPr>
          <w:t>Part 1 Section 19.2.2.9, origin (View Origin)</w:t>
        </w:r>
        <w:r>
          <w:rPr>
            <w:noProof/>
            <w:webHidden/>
          </w:rPr>
          <w:tab/>
        </w:r>
        <w:r>
          <w:rPr>
            <w:noProof/>
            <w:webHidden/>
          </w:rPr>
          <w:fldChar w:fldCharType="begin"/>
        </w:r>
        <w:r>
          <w:rPr>
            <w:noProof/>
            <w:webHidden/>
          </w:rPr>
          <w:instrText xml:space="preserve"> PAGEREF _Toc181684150 \h </w:instrText>
        </w:r>
        <w:r>
          <w:rPr>
            <w:noProof/>
            <w:webHidden/>
          </w:rPr>
        </w:r>
        <w:r>
          <w:rPr>
            <w:noProof/>
            <w:webHidden/>
          </w:rPr>
          <w:fldChar w:fldCharType="separate"/>
        </w:r>
        <w:r>
          <w:rPr>
            <w:noProof/>
            <w:webHidden/>
          </w:rPr>
          <w:t>466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1" w:history="1">
        <w:r w:rsidRPr="001B13A4">
          <w:rPr>
            <w:rStyle w:val="Hyperlink"/>
            <w:noProof/>
          </w:rPr>
          <w:t>2.1.1115</w:t>
        </w:r>
        <w:r>
          <w:rPr>
            <w:rFonts w:asciiTheme="minorHAnsi" w:eastAsiaTheme="minorEastAsia" w:hAnsiTheme="minorHAnsi" w:cstheme="minorBidi"/>
            <w:noProof/>
            <w:sz w:val="22"/>
            <w:szCs w:val="22"/>
          </w:rPr>
          <w:tab/>
        </w:r>
        <w:r w:rsidRPr="001B13A4">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_Toc181684151 \h </w:instrText>
        </w:r>
        <w:r>
          <w:rPr>
            <w:noProof/>
            <w:webHidden/>
          </w:rPr>
        </w:r>
        <w:r>
          <w:rPr>
            <w:noProof/>
            <w:webHidden/>
          </w:rPr>
          <w:fldChar w:fldCharType="separate"/>
        </w:r>
        <w:r>
          <w:rPr>
            <w:noProof/>
            <w:webHidden/>
          </w:rPr>
          <w:t>466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2" w:history="1">
        <w:r w:rsidRPr="001B13A4">
          <w:rPr>
            <w:rStyle w:val="Hyperlink"/>
            <w:noProof/>
          </w:rPr>
          <w:t>2.1.1116</w:t>
        </w:r>
        <w:r>
          <w:rPr>
            <w:rFonts w:asciiTheme="minorHAnsi" w:eastAsiaTheme="minorEastAsia" w:hAnsiTheme="minorHAnsi" w:cstheme="minorBidi"/>
            <w:noProof/>
            <w:sz w:val="22"/>
            <w:szCs w:val="22"/>
          </w:rPr>
          <w:tab/>
        </w:r>
        <w:r w:rsidRPr="001B13A4">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_Toc181684152 \h </w:instrText>
        </w:r>
        <w:r>
          <w:rPr>
            <w:noProof/>
            <w:webHidden/>
          </w:rPr>
        </w:r>
        <w:r>
          <w:rPr>
            <w:noProof/>
            <w:webHidden/>
          </w:rPr>
          <w:fldChar w:fldCharType="separate"/>
        </w:r>
        <w:r>
          <w:rPr>
            <w:noProof/>
            <w:webHidden/>
          </w:rPr>
          <w:t>466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3" w:history="1">
        <w:r w:rsidRPr="001B13A4">
          <w:rPr>
            <w:rStyle w:val="Hyperlink"/>
            <w:noProof/>
          </w:rPr>
          <w:t>2.1.1117</w:t>
        </w:r>
        <w:r>
          <w:rPr>
            <w:rFonts w:asciiTheme="minorHAnsi" w:eastAsiaTheme="minorEastAsia" w:hAnsiTheme="minorHAnsi" w:cstheme="minorBidi"/>
            <w:noProof/>
            <w:sz w:val="22"/>
            <w:szCs w:val="22"/>
          </w:rPr>
          <w:tab/>
        </w:r>
        <w:r w:rsidRPr="001B13A4">
          <w:rPr>
            <w:rStyle w:val="Hyperlink"/>
            <w:noProof/>
          </w:rPr>
          <w:t>Part 1 Section 19.2.2.13, scale (View Scale)</w:t>
        </w:r>
        <w:r>
          <w:rPr>
            <w:noProof/>
            <w:webHidden/>
          </w:rPr>
          <w:tab/>
        </w:r>
        <w:r>
          <w:rPr>
            <w:noProof/>
            <w:webHidden/>
          </w:rPr>
          <w:fldChar w:fldCharType="begin"/>
        </w:r>
        <w:r>
          <w:rPr>
            <w:noProof/>
            <w:webHidden/>
          </w:rPr>
          <w:instrText xml:space="preserve"> PAGEREF _Toc181684153 \h </w:instrText>
        </w:r>
        <w:r>
          <w:rPr>
            <w:noProof/>
            <w:webHidden/>
          </w:rPr>
        </w:r>
        <w:r>
          <w:rPr>
            <w:noProof/>
            <w:webHidden/>
          </w:rPr>
          <w:fldChar w:fldCharType="separate"/>
        </w:r>
        <w:r>
          <w:rPr>
            <w:noProof/>
            <w:webHidden/>
          </w:rPr>
          <w:t>467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4" w:history="1">
        <w:r w:rsidRPr="001B13A4">
          <w:rPr>
            <w:rStyle w:val="Hyperlink"/>
            <w:noProof/>
          </w:rPr>
          <w:t>2.1.1118</w:t>
        </w:r>
        <w:r>
          <w:rPr>
            <w:rFonts w:asciiTheme="minorHAnsi" w:eastAsiaTheme="minorEastAsia" w:hAnsiTheme="minorHAnsi" w:cstheme="minorBidi"/>
            <w:noProof/>
            <w:sz w:val="22"/>
            <w:szCs w:val="22"/>
          </w:rPr>
          <w:tab/>
        </w:r>
        <w:r w:rsidRPr="001B13A4">
          <w:rPr>
            <w:rStyle w:val="Hyperlink"/>
            <w:noProof/>
          </w:rPr>
          <w:t>Part 1 Section 19.3.1.1, bg (Slide Background)</w:t>
        </w:r>
        <w:r>
          <w:rPr>
            <w:noProof/>
            <w:webHidden/>
          </w:rPr>
          <w:tab/>
        </w:r>
        <w:r>
          <w:rPr>
            <w:noProof/>
            <w:webHidden/>
          </w:rPr>
          <w:fldChar w:fldCharType="begin"/>
        </w:r>
        <w:r>
          <w:rPr>
            <w:noProof/>
            <w:webHidden/>
          </w:rPr>
          <w:instrText xml:space="preserve"> PAGEREF _Toc181684154 \h </w:instrText>
        </w:r>
        <w:r>
          <w:rPr>
            <w:noProof/>
            <w:webHidden/>
          </w:rPr>
        </w:r>
        <w:r>
          <w:rPr>
            <w:noProof/>
            <w:webHidden/>
          </w:rPr>
          <w:fldChar w:fldCharType="separate"/>
        </w:r>
        <w:r>
          <w:rPr>
            <w:noProof/>
            <w:webHidden/>
          </w:rPr>
          <w:t>467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5" w:history="1">
        <w:r w:rsidRPr="001B13A4">
          <w:rPr>
            <w:rStyle w:val="Hyperlink"/>
            <w:noProof/>
          </w:rPr>
          <w:t>2.1.1119</w:t>
        </w:r>
        <w:r>
          <w:rPr>
            <w:rFonts w:asciiTheme="minorHAnsi" w:eastAsiaTheme="minorEastAsia" w:hAnsiTheme="minorHAnsi" w:cstheme="minorBidi"/>
            <w:noProof/>
            <w:sz w:val="22"/>
            <w:szCs w:val="22"/>
          </w:rPr>
          <w:tab/>
        </w:r>
        <w:r w:rsidRPr="001B13A4">
          <w:rPr>
            <w:rStyle w:val="Hyperlink"/>
            <w:noProof/>
          </w:rPr>
          <w:t>Part 1 Section 19.3.1.2, bgPr (Background Properties)</w:t>
        </w:r>
        <w:r>
          <w:rPr>
            <w:noProof/>
            <w:webHidden/>
          </w:rPr>
          <w:tab/>
        </w:r>
        <w:r>
          <w:rPr>
            <w:noProof/>
            <w:webHidden/>
          </w:rPr>
          <w:fldChar w:fldCharType="begin"/>
        </w:r>
        <w:r>
          <w:rPr>
            <w:noProof/>
            <w:webHidden/>
          </w:rPr>
          <w:instrText xml:space="preserve"> PAGEREF _Toc181684155 \h </w:instrText>
        </w:r>
        <w:r>
          <w:rPr>
            <w:noProof/>
            <w:webHidden/>
          </w:rPr>
        </w:r>
        <w:r>
          <w:rPr>
            <w:noProof/>
            <w:webHidden/>
          </w:rPr>
          <w:fldChar w:fldCharType="separate"/>
        </w:r>
        <w:r>
          <w:rPr>
            <w:noProof/>
            <w:webHidden/>
          </w:rPr>
          <w:t>467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6" w:history="1">
        <w:r w:rsidRPr="001B13A4">
          <w:rPr>
            <w:rStyle w:val="Hyperlink"/>
            <w:noProof/>
          </w:rPr>
          <w:t>2.1.1120</w:t>
        </w:r>
        <w:r>
          <w:rPr>
            <w:rFonts w:asciiTheme="minorHAnsi" w:eastAsiaTheme="minorEastAsia" w:hAnsiTheme="minorHAnsi" w:cstheme="minorBidi"/>
            <w:noProof/>
            <w:sz w:val="22"/>
            <w:szCs w:val="22"/>
          </w:rPr>
          <w:tab/>
        </w:r>
        <w:r w:rsidRPr="001B13A4">
          <w:rPr>
            <w:rStyle w:val="Hyperlink"/>
            <w:noProof/>
          </w:rPr>
          <w:t>Part 1 Section 19.3.1.4, blipFill (Picture Fill)</w:t>
        </w:r>
        <w:r>
          <w:rPr>
            <w:noProof/>
            <w:webHidden/>
          </w:rPr>
          <w:tab/>
        </w:r>
        <w:r>
          <w:rPr>
            <w:noProof/>
            <w:webHidden/>
          </w:rPr>
          <w:fldChar w:fldCharType="begin"/>
        </w:r>
        <w:r>
          <w:rPr>
            <w:noProof/>
            <w:webHidden/>
          </w:rPr>
          <w:instrText xml:space="preserve"> PAGEREF _Toc181684156 \h </w:instrText>
        </w:r>
        <w:r>
          <w:rPr>
            <w:noProof/>
            <w:webHidden/>
          </w:rPr>
        </w:r>
        <w:r>
          <w:rPr>
            <w:noProof/>
            <w:webHidden/>
          </w:rPr>
          <w:fldChar w:fldCharType="separate"/>
        </w:r>
        <w:r>
          <w:rPr>
            <w:noProof/>
            <w:webHidden/>
          </w:rPr>
          <w:t>467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7" w:history="1">
        <w:r w:rsidRPr="001B13A4">
          <w:rPr>
            <w:rStyle w:val="Hyperlink"/>
            <w:noProof/>
          </w:rPr>
          <w:t>2.1.1121</w:t>
        </w:r>
        <w:r>
          <w:rPr>
            <w:rFonts w:asciiTheme="minorHAnsi" w:eastAsiaTheme="minorEastAsia" w:hAnsiTheme="minorHAnsi" w:cstheme="minorBidi"/>
            <w:noProof/>
            <w:sz w:val="22"/>
            <w:szCs w:val="22"/>
          </w:rPr>
          <w:tab/>
        </w:r>
        <w:r w:rsidRPr="001B13A4">
          <w:rPr>
            <w:rStyle w:val="Hyperlink"/>
            <w:noProof/>
          </w:rPr>
          <w:t>Part 1 Section 19.3.1.16, cSld (Common Slide Data)</w:t>
        </w:r>
        <w:r>
          <w:rPr>
            <w:noProof/>
            <w:webHidden/>
          </w:rPr>
          <w:tab/>
        </w:r>
        <w:r>
          <w:rPr>
            <w:noProof/>
            <w:webHidden/>
          </w:rPr>
          <w:fldChar w:fldCharType="begin"/>
        </w:r>
        <w:r>
          <w:rPr>
            <w:noProof/>
            <w:webHidden/>
          </w:rPr>
          <w:instrText xml:space="preserve"> PAGEREF _Toc181684157 \h </w:instrText>
        </w:r>
        <w:r>
          <w:rPr>
            <w:noProof/>
            <w:webHidden/>
          </w:rPr>
        </w:r>
        <w:r>
          <w:rPr>
            <w:noProof/>
            <w:webHidden/>
          </w:rPr>
          <w:fldChar w:fldCharType="separate"/>
        </w:r>
        <w:r>
          <w:rPr>
            <w:noProof/>
            <w:webHidden/>
          </w:rPr>
          <w:t>467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8" w:history="1">
        <w:r w:rsidRPr="001B13A4">
          <w:rPr>
            <w:rStyle w:val="Hyperlink"/>
            <w:noProof/>
          </w:rPr>
          <w:t>2.1.1122</w:t>
        </w:r>
        <w:r>
          <w:rPr>
            <w:rFonts w:asciiTheme="minorHAnsi" w:eastAsiaTheme="minorEastAsia" w:hAnsiTheme="minorHAnsi" w:cstheme="minorBidi"/>
            <w:noProof/>
            <w:sz w:val="22"/>
            <w:szCs w:val="22"/>
          </w:rPr>
          <w:tab/>
        </w:r>
        <w:r w:rsidRPr="001B13A4">
          <w:rPr>
            <w:rStyle w:val="Hyperlink"/>
            <w:noProof/>
          </w:rPr>
          <w:t>Part 1 Section 19.3.1.17, custData (Customer Data)</w:t>
        </w:r>
        <w:r>
          <w:rPr>
            <w:noProof/>
            <w:webHidden/>
          </w:rPr>
          <w:tab/>
        </w:r>
        <w:r>
          <w:rPr>
            <w:noProof/>
            <w:webHidden/>
          </w:rPr>
          <w:fldChar w:fldCharType="begin"/>
        </w:r>
        <w:r>
          <w:rPr>
            <w:noProof/>
            <w:webHidden/>
          </w:rPr>
          <w:instrText xml:space="preserve"> PAGEREF _Toc181684158 \h </w:instrText>
        </w:r>
        <w:r>
          <w:rPr>
            <w:noProof/>
            <w:webHidden/>
          </w:rPr>
        </w:r>
        <w:r>
          <w:rPr>
            <w:noProof/>
            <w:webHidden/>
          </w:rPr>
          <w:fldChar w:fldCharType="separate"/>
        </w:r>
        <w:r>
          <w:rPr>
            <w:noProof/>
            <w:webHidden/>
          </w:rPr>
          <w:t>467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59" w:history="1">
        <w:r w:rsidRPr="001B13A4">
          <w:rPr>
            <w:rStyle w:val="Hyperlink"/>
            <w:noProof/>
          </w:rPr>
          <w:t>2.1.1123</w:t>
        </w:r>
        <w:r>
          <w:rPr>
            <w:rFonts w:asciiTheme="minorHAnsi" w:eastAsiaTheme="minorEastAsia" w:hAnsiTheme="minorHAnsi" w:cstheme="minorBidi"/>
            <w:noProof/>
            <w:sz w:val="22"/>
            <w:szCs w:val="22"/>
          </w:rPr>
          <w:tab/>
        </w:r>
        <w:r w:rsidRPr="001B13A4">
          <w:rPr>
            <w:rStyle w:val="Hyperlink"/>
            <w:noProof/>
          </w:rPr>
          <w:t>Part 1 Section 19.3.1.23, grpSpPr (Group Shape Properties)</w:t>
        </w:r>
        <w:r>
          <w:rPr>
            <w:noProof/>
            <w:webHidden/>
          </w:rPr>
          <w:tab/>
        </w:r>
        <w:r>
          <w:rPr>
            <w:noProof/>
            <w:webHidden/>
          </w:rPr>
          <w:fldChar w:fldCharType="begin"/>
        </w:r>
        <w:r>
          <w:rPr>
            <w:noProof/>
            <w:webHidden/>
          </w:rPr>
          <w:instrText xml:space="preserve"> PAGEREF _Toc181684159 \h </w:instrText>
        </w:r>
        <w:r>
          <w:rPr>
            <w:noProof/>
            <w:webHidden/>
          </w:rPr>
        </w:r>
        <w:r>
          <w:rPr>
            <w:noProof/>
            <w:webHidden/>
          </w:rPr>
          <w:fldChar w:fldCharType="separate"/>
        </w:r>
        <w:r>
          <w:rPr>
            <w:noProof/>
            <w:webHidden/>
          </w:rPr>
          <w:t>467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0" w:history="1">
        <w:r w:rsidRPr="001B13A4">
          <w:rPr>
            <w:rStyle w:val="Hyperlink"/>
            <w:noProof/>
          </w:rPr>
          <w:t>2.1.1124</w:t>
        </w:r>
        <w:r>
          <w:rPr>
            <w:rFonts w:asciiTheme="minorHAnsi" w:eastAsiaTheme="minorEastAsia" w:hAnsiTheme="minorHAnsi" w:cstheme="minorBidi"/>
            <w:noProof/>
            <w:sz w:val="22"/>
            <w:szCs w:val="22"/>
          </w:rPr>
          <w:tab/>
        </w:r>
        <w:r w:rsidRPr="001B13A4">
          <w:rPr>
            <w:rStyle w:val="Hyperlink"/>
            <w:noProof/>
          </w:rPr>
          <w:t>Part 1 Section 19.3.1.27, notesMaster (Notes Master)</w:t>
        </w:r>
        <w:r>
          <w:rPr>
            <w:noProof/>
            <w:webHidden/>
          </w:rPr>
          <w:tab/>
        </w:r>
        <w:r>
          <w:rPr>
            <w:noProof/>
            <w:webHidden/>
          </w:rPr>
          <w:fldChar w:fldCharType="begin"/>
        </w:r>
        <w:r>
          <w:rPr>
            <w:noProof/>
            <w:webHidden/>
          </w:rPr>
          <w:instrText xml:space="preserve"> PAGEREF _Toc181684160 \h </w:instrText>
        </w:r>
        <w:r>
          <w:rPr>
            <w:noProof/>
            <w:webHidden/>
          </w:rPr>
        </w:r>
        <w:r>
          <w:rPr>
            <w:noProof/>
            <w:webHidden/>
          </w:rPr>
          <w:fldChar w:fldCharType="separate"/>
        </w:r>
        <w:r>
          <w:rPr>
            <w:noProof/>
            <w:webHidden/>
          </w:rPr>
          <w:t>468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1" w:history="1">
        <w:r w:rsidRPr="001B13A4">
          <w:rPr>
            <w:rStyle w:val="Hyperlink"/>
            <w:noProof/>
          </w:rPr>
          <w:t>2.1.1125</w:t>
        </w:r>
        <w:r>
          <w:rPr>
            <w:rFonts w:asciiTheme="minorHAnsi" w:eastAsiaTheme="minorEastAsia" w:hAnsiTheme="minorHAnsi" w:cstheme="minorBidi"/>
            <w:noProof/>
            <w:sz w:val="22"/>
            <w:szCs w:val="22"/>
          </w:rPr>
          <w:tab/>
        </w:r>
        <w:r w:rsidRPr="001B13A4">
          <w:rPr>
            <w:rStyle w:val="Hyperlink"/>
            <w:noProof/>
          </w:rPr>
          <w:t>Part 1 Section 19.3.1.28, notesStyle (Notes Text Style)</w:t>
        </w:r>
        <w:r>
          <w:rPr>
            <w:noProof/>
            <w:webHidden/>
          </w:rPr>
          <w:tab/>
        </w:r>
        <w:r>
          <w:rPr>
            <w:noProof/>
            <w:webHidden/>
          </w:rPr>
          <w:fldChar w:fldCharType="begin"/>
        </w:r>
        <w:r>
          <w:rPr>
            <w:noProof/>
            <w:webHidden/>
          </w:rPr>
          <w:instrText xml:space="preserve"> PAGEREF _Toc181684161 \h </w:instrText>
        </w:r>
        <w:r>
          <w:rPr>
            <w:noProof/>
            <w:webHidden/>
          </w:rPr>
        </w:r>
        <w:r>
          <w:rPr>
            <w:noProof/>
            <w:webHidden/>
          </w:rPr>
          <w:fldChar w:fldCharType="separate"/>
        </w:r>
        <w:r>
          <w:rPr>
            <w:noProof/>
            <w:webHidden/>
          </w:rPr>
          <w:t>468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2" w:history="1">
        <w:r w:rsidRPr="001B13A4">
          <w:rPr>
            <w:rStyle w:val="Hyperlink"/>
            <w:noProof/>
          </w:rPr>
          <w:t>2.1.1126</w:t>
        </w:r>
        <w:r>
          <w:rPr>
            <w:rFonts w:asciiTheme="minorHAnsi" w:eastAsiaTheme="minorEastAsia" w:hAnsiTheme="minorHAnsi" w:cstheme="minorBidi"/>
            <w:noProof/>
            <w:sz w:val="22"/>
            <w:szCs w:val="22"/>
          </w:rPr>
          <w:tab/>
        </w:r>
        <w:r w:rsidRPr="001B13A4">
          <w:rPr>
            <w:rStyle w:val="Hyperlink"/>
            <w:noProof/>
          </w:rPr>
          <w:t>Part 1 Section 19.3.1.33, nvPr (Non-Visual Properties)</w:t>
        </w:r>
        <w:r>
          <w:rPr>
            <w:noProof/>
            <w:webHidden/>
          </w:rPr>
          <w:tab/>
        </w:r>
        <w:r>
          <w:rPr>
            <w:noProof/>
            <w:webHidden/>
          </w:rPr>
          <w:fldChar w:fldCharType="begin"/>
        </w:r>
        <w:r>
          <w:rPr>
            <w:noProof/>
            <w:webHidden/>
          </w:rPr>
          <w:instrText xml:space="preserve"> PAGEREF _Toc181684162 \h </w:instrText>
        </w:r>
        <w:r>
          <w:rPr>
            <w:noProof/>
            <w:webHidden/>
          </w:rPr>
        </w:r>
        <w:r>
          <w:rPr>
            <w:noProof/>
            <w:webHidden/>
          </w:rPr>
          <w:fldChar w:fldCharType="separate"/>
        </w:r>
        <w:r>
          <w:rPr>
            <w:noProof/>
            <w:webHidden/>
          </w:rPr>
          <w:t>468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3" w:history="1">
        <w:r w:rsidRPr="001B13A4">
          <w:rPr>
            <w:rStyle w:val="Hyperlink"/>
            <w:noProof/>
          </w:rPr>
          <w:t>2.1.1127</w:t>
        </w:r>
        <w:r>
          <w:rPr>
            <w:rFonts w:asciiTheme="minorHAnsi" w:eastAsiaTheme="minorEastAsia" w:hAnsiTheme="minorHAnsi" w:cstheme="minorBidi"/>
            <w:noProof/>
            <w:sz w:val="22"/>
            <w:szCs w:val="22"/>
          </w:rPr>
          <w:tab/>
        </w:r>
        <w:r w:rsidRPr="001B13A4">
          <w:rPr>
            <w:rStyle w:val="Hyperlink"/>
            <w:noProof/>
          </w:rPr>
          <w:t>Part 1 Section 19.3.1.36, ph (Placeholder Shape)</w:t>
        </w:r>
        <w:r>
          <w:rPr>
            <w:noProof/>
            <w:webHidden/>
          </w:rPr>
          <w:tab/>
        </w:r>
        <w:r>
          <w:rPr>
            <w:noProof/>
            <w:webHidden/>
          </w:rPr>
          <w:fldChar w:fldCharType="begin"/>
        </w:r>
        <w:r>
          <w:rPr>
            <w:noProof/>
            <w:webHidden/>
          </w:rPr>
          <w:instrText xml:space="preserve"> PAGEREF _Toc181684163 \h </w:instrText>
        </w:r>
        <w:r>
          <w:rPr>
            <w:noProof/>
            <w:webHidden/>
          </w:rPr>
        </w:r>
        <w:r>
          <w:rPr>
            <w:noProof/>
            <w:webHidden/>
          </w:rPr>
          <w:fldChar w:fldCharType="separate"/>
        </w:r>
        <w:r>
          <w:rPr>
            <w:noProof/>
            <w:webHidden/>
          </w:rPr>
          <w:t>468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4" w:history="1">
        <w:r w:rsidRPr="001B13A4">
          <w:rPr>
            <w:rStyle w:val="Hyperlink"/>
            <w:noProof/>
          </w:rPr>
          <w:t>2.1.1128</w:t>
        </w:r>
        <w:r>
          <w:rPr>
            <w:rFonts w:asciiTheme="minorHAnsi" w:eastAsiaTheme="minorEastAsia" w:hAnsiTheme="minorHAnsi" w:cstheme="minorBidi"/>
            <w:noProof/>
            <w:sz w:val="22"/>
            <w:szCs w:val="22"/>
          </w:rPr>
          <w:tab/>
        </w:r>
        <w:r w:rsidRPr="001B13A4">
          <w:rPr>
            <w:rStyle w:val="Hyperlink"/>
            <w:noProof/>
          </w:rPr>
          <w:t>Part 1 Section 19.3.1.38, sld (Presentation Slide)</w:t>
        </w:r>
        <w:r>
          <w:rPr>
            <w:noProof/>
            <w:webHidden/>
          </w:rPr>
          <w:tab/>
        </w:r>
        <w:r>
          <w:rPr>
            <w:noProof/>
            <w:webHidden/>
          </w:rPr>
          <w:fldChar w:fldCharType="begin"/>
        </w:r>
        <w:r>
          <w:rPr>
            <w:noProof/>
            <w:webHidden/>
          </w:rPr>
          <w:instrText xml:space="preserve"> PAGEREF _Toc181684164 \h </w:instrText>
        </w:r>
        <w:r>
          <w:rPr>
            <w:noProof/>
            <w:webHidden/>
          </w:rPr>
        </w:r>
        <w:r>
          <w:rPr>
            <w:noProof/>
            <w:webHidden/>
          </w:rPr>
          <w:fldChar w:fldCharType="separate"/>
        </w:r>
        <w:r>
          <w:rPr>
            <w:noProof/>
            <w:webHidden/>
          </w:rPr>
          <w:t>468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5" w:history="1">
        <w:r w:rsidRPr="001B13A4">
          <w:rPr>
            <w:rStyle w:val="Hyperlink"/>
            <w:noProof/>
          </w:rPr>
          <w:t>2.1.1129</w:t>
        </w:r>
        <w:r>
          <w:rPr>
            <w:rFonts w:asciiTheme="minorHAnsi" w:eastAsiaTheme="minorEastAsia" w:hAnsiTheme="minorHAnsi" w:cstheme="minorBidi"/>
            <w:noProof/>
            <w:sz w:val="22"/>
            <w:szCs w:val="22"/>
          </w:rPr>
          <w:tab/>
        </w:r>
        <w:r w:rsidRPr="001B13A4">
          <w:rPr>
            <w:rStyle w:val="Hyperlink"/>
            <w:noProof/>
          </w:rPr>
          <w:t>Part 1 Section 19.3.1.44, spPr (Shape Properties)</w:t>
        </w:r>
        <w:r>
          <w:rPr>
            <w:noProof/>
            <w:webHidden/>
          </w:rPr>
          <w:tab/>
        </w:r>
        <w:r>
          <w:rPr>
            <w:noProof/>
            <w:webHidden/>
          </w:rPr>
          <w:fldChar w:fldCharType="begin"/>
        </w:r>
        <w:r>
          <w:rPr>
            <w:noProof/>
            <w:webHidden/>
          </w:rPr>
          <w:instrText xml:space="preserve"> PAGEREF _Toc181684165 \h </w:instrText>
        </w:r>
        <w:r>
          <w:rPr>
            <w:noProof/>
            <w:webHidden/>
          </w:rPr>
        </w:r>
        <w:r>
          <w:rPr>
            <w:noProof/>
            <w:webHidden/>
          </w:rPr>
          <w:fldChar w:fldCharType="separate"/>
        </w:r>
        <w:r>
          <w:rPr>
            <w:noProof/>
            <w:webHidden/>
          </w:rPr>
          <w:t>469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6" w:history="1">
        <w:r w:rsidRPr="001B13A4">
          <w:rPr>
            <w:rStyle w:val="Hyperlink"/>
            <w:noProof/>
          </w:rPr>
          <w:t>2.1.1130</w:t>
        </w:r>
        <w:r>
          <w:rPr>
            <w:rFonts w:asciiTheme="minorHAnsi" w:eastAsiaTheme="minorEastAsia" w:hAnsiTheme="minorHAnsi" w:cstheme="minorBidi"/>
            <w:noProof/>
            <w:sz w:val="22"/>
            <w:szCs w:val="22"/>
          </w:rPr>
          <w:tab/>
        </w:r>
        <w:r w:rsidRPr="001B13A4">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_Toc181684166 \h </w:instrText>
        </w:r>
        <w:r>
          <w:rPr>
            <w:noProof/>
            <w:webHidden/>
          </w:rPr>
        </w:r>
        <w:r>
          <w:rPr>
            <w:noProof/>
            <w:webHidden/>
          </w:rPr>
          <w:fldChar w:fldCharType="separate"/>
        </w:r>
        <w:r>
          <w:rPr>
            <w:noProof/>
            <w:webHidden/>
          </w:rPr>
          <w:t>469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7" w:history="1">
        <w:r w:rsidRPr="001B13A4">
          <w:rPr>
            <w:rStyle w:val="Hyperlink"/>
            <w:noProof/>
          </w:rPr>
          <w:t>2.1.1131</w:t>
        </w:r>
        <w:r>
          <w:rPr>
            <w:rFonts w:asciiTheme="minorHAnsi" w:eastAsiaTheme="minorEastAsia" w:hAnsiTheme="minorHAnsi" w:cstheme="minorBidi"/>
            <w:noProof/>
            <w:sz w:val="22"/>
            <w:szCs w:val="22"/>
          </w:rPr>
          <w:tab/>
        </w:r>
        <w:r w:rsidRPr="001B13A4">
          <w:rPr>
            <w:rStyle w:val="Hyperlink"/>
            <w:noProof/>
          </w:rPr>
          <w:t>Part 1 Section 19.3.2.1, control (Embedded Control)</w:t>
        </w:r>
        <w:r>
          <w:rPr>
            <w:noProof/>
            <w:webHidden/>
          </w:rPr>
          <w:tab/>
        </w:r>
        <w:r>
          <w:rPr>
            <w:noProof/>
            <w:webHidden/>
          </w:rPr>
          <w:fldChar w:fldCharType="begin"/>
        </w:r>
        <w:r>
          <w:rPr>
            <w:noProof/>
            <w:webHidden/>
          </w:rPr>
          <w:instrText xml:space="preserve"> PAGEREF _Toc181684167 \h </w:instrText>
        </w:r>
        <w:r>
          <w:rPr>
            <w:noProof/>
            <w:webHidden/>
          </w:rPr>
        </w:r>
        <w:r>
          <w:rPr>
            <w:noProof/>
            <w:webHidden/>
          </w:rPr>
          <w:fldChar w:fldCharType="separate"/>
        </w:r>
        <w:r>
          <w:rPr>
            <w:noProof/>
            <w:webHidden/>
          </w:rPr>
          <w:t>469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8" w:history="1">
        <w:r w:rsidRPr="001B13A4">
          <w:rPr>
            <w:rStyle w:val="Hyperlink"/>
            <w:noProof/>
          </w:rPr>
          <w:t>2.1.1132</w:t>
        </w:r>
        <w:r>
          <w:rPr>
            <w:rFonts w:asciiTheme="minorHAnsi" w:eastAsiaTheme="minorEastAsia" w:hAnsiTheme="minorHAnsi" w:cstheme="minorBidi"/>
            <w:noProof/>
            <w:sz w:val="22"/>
            <w:szCs w:val="22"/>
          </w:rPr>
          <w:tab/>
        </w:r>
        <w:r w:rsidRPr="001B13A4">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_Toc181684168 \h </w:instrText>
        </w:r>
        <w:r>
          <w:rPr>
            <w:noProof/>
            <w:webHidden/>
          </w:rPr>
        </w:r>
        <w:r>
          <w:rPr>
            <w:noProof/>
            <w:webHidden/>
          </w:rPr>
          <w:fldChar w:fldCharType="separate"/>
        </w:r>
        <w:r>
          <w:rPr>
            <w:noProof/>
            <w:webHidden/>
          </w:rPr>
          <w:t>469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69" w:history="1">
        <w:r w:rsidRPr="001B13A4">
          <w:rPr>
            <w:rStyle w:val="Hyperlink"/>
            <w:noProof/>
          </w:rPr>
          <w:t>2.1.1133</w:t>
        </w:r>
        <w:r>
          <w:rPr>
            <w:rFonts w:asciiTheme="minorHAnsi" w:eastAsiaTheme="minorEastAsia" w:hAnsiTheme="minorHAnsi" w:cstheme="minorBidi"/>
            <w:noProof/>
            <w:sz w:val="22"/>
            <w:szCs w:val="22"/>
          </w:rPr>
          <w:tab/>
        </w:r>
        <w:r w:rsidRPr="001B13A4">
          <w:rPr>
            <w:rStyle w:val="Hyperlink"/>
            <w:noProof/>
          </w:rPr>
          <w:t>Part 1 Section 19.3.2.3, link (Linked Object or Control)</w:t>
        </w:r>
        <w:r>
          <w:rPr>
            <w:noProof/>
            <w:webHidden/>
          </w:rPr>
          <w:tab/>
        </w:r>
        <w:r>
          <w:rPr>
            <w:noProof/>
            <w:webHidden/>
          </w:rPr>
          <w:fldChar w:fldCharType="begin"/>
        </w:r>
        <w:r>
          <w:rPr>
            <w:noProof/>
            <w:webHidden/>
          </w:rPr>
          <w:instrText xml:space="preserve"> PAGEREF _Toc181684169 \h </w:instrText>
        </w:r>
        <w:r>
          <w:rPr>
            <w:noProof/>
            <w:webHidden/>
          </w:rPr>
        </w:r>
        <w:r>
          <w:rPr>
            <w:noProof/>
            <w:webHidden/>
          </w:rPr>
          <w:fldChar w:fldCharType="separate"/>
        </w:r>
        <w:r>
          <w:rPr>
            <w:noProof/>
            <w:webHidden/>
          </w:rPr>
          <w:t>469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0" w:history="1">
        <w:r w:rsidRPr="001B13A4">
          <w:rPr>
            <w:rStyle w:val="Hyperlink"/>
            <w:noProof/>
          </w:rPr>
          <w:t>2.1.1134</w:t>
        </w:r>
        <w:r>
          <w:rPr>
            <w:rFonts w:asciiTheme="minorHAnsi" w:eastAsiaTheme="minorEastAsia" w:hAnsiTheme="minorHAnsi" w:cstheme="minorBidi"/>
            <w:noProof/>
            <w:sz w:val="22"/>
            <w:szCs w:val="22"/>
          </w:rPr>
          <w:tab/>
        </w:r>
        <w:r w:rsidRPr="001B13A4">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_Toc181684170 \h </w:instrText>
        </w:r>
        <w:r>
          <w:rPr>
            <w:noProof/>
            <w:webHidden/>
          </w:rPr>
        </w:r>
        <w:r>
          <w:rPr>
            <w:noProof/>
            <w:webHidden/>
          </w:rPr>
          <w:fldChar w:fldCharType="separate"/>
        </w:r>
        <w:r>
          <w:rPr>
            <w:noProof/>
            <w:webHidden/>
          </w:rPr>
          <w:t>469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1" w:history="1">
        <w:r w:rsidRPr="001B13A4">
          <w:rPr>
            <w:rStyle w:val="Hyperlink"/>
            <w:noProof/>
          </w:rPr>
          <w:t>2.1.1135</w:t>
        </w:r>
        <w:r>
          <w:rPr>
            <w:rFonts w:asciiTheme="minorHAnsi" w:eastAsiaTheme="minorEastAsia" w:hAnsiTheme="minorHAnsi" w:cstheme="minorBidi"/>
            <w:noProof/>
            <w:sz w:val="22"/>
            <w:szCs w:val="22"/>
          </w:rPr>
          <w:tab/>
        </w:r>
        <w:r w:rsidRPr="001B13A4">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_Toc181684171 \h </w:instrText>
        </w:r>
        <w:r>
          <w:rPr>
            <w:noProof/>
            <w:webHidden/>
          </w:rPr>
        </w:r>
        <w:r>
          <w:rPr>
            <w:noProof/>
            <w:webHidden/>
          </w:rPr>
          <w:fldChar w:fldCharType="separate"/>
        </w:r>
        <w:r>
          <w:rPr>
            <w:noProof/>
            <w:webHidden/>
          </w:rPr>
          <w:t>470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2" w:history="1">
        <w:r w:rsidRPr="001B13A4">
          <w:rPr>
            <w:rStyle w:val="Hyperlink"/>
            <w:noProof/>
          </w:rPr>
          <w:t>2.1.1136</w:t>
        </w:r>
        <w:r>
          <w:rPr>
            <w:rFonts w:asciiTheme="minorHAnsi" w:eastAsiaTheme="minorEastAsia" w:hAnsiTheme="minorHAnsi" w:cstheme="minorBidi"/>
            <w:noProof/>
            <w:sz w:val="22"/>
            <w:szCs w:val="22"/>
          </w:rPr>
          <w:tab/>
        </w:r>
        <w:r w:rsidRPr="001B13A4">
          <w:rPr>
            <w:rStyle w:val="Hyperlink"/>
            <w:noProof/>
          </w:rPr>
          <w:t>Part 1 Section 19.4.1, cm (Comment)</w:t>
        </w:r>
        <w:r>
          <w:rPr>
            <w:noProof/>
            <w:webHidden/>
          </w:rPr>
          <w:tab/>
        </w:r>
        <w:r>
          <w:rPr>
            <w:noProof/>
            <w:webHidden/>
          </w:rPr>
          <w:fldChar w:fldCharType="begin"/>
        </w:r>
        <w:r>
          <w:rPr>
            <w:noProof/>
            <w:webHidden/>
          </w:rPr>
          <w:instrText xml:space="preserve"> PAGEREF _Toc181684172 \h </w:instrText>
        </w:r>
        <w:r>
          <w:rPr>
            <w:noProof/>
            <w:webHidden/>
          </w:rPr>
        </w:r>
        <w:r>
          <w:rPr>
            <w:noProof/>
            <w:webHidden/>
          </w:rPr>
          <w:fldChar w:fldCharType="separate"/>
        </w:r>
        <w:r>
          <w:rPr>
            <w:noProof/>
            <w:webHidden/>
          </w:rPr>
          <w:t>470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3" w:history="1">
        <w:r w:rsidRPr="001B13A4">
          <w:rPr>
            <w:rStyle w:val="Hyperlink"/>
            <w:noProof/>
          </w:rPr>
          <w:t>2.1.1137</w:t>
        </w:r>
        <w:r>
          <w:rPr>
            <w:rFonts w:asciiTheme="minorHAnsi" w:eastAsiaTheme="minorEastAsia" w:hAnsiTheme="minorHAnsi" w:cstheme="minorBidi"/>
            <w:noProof/>
            <w:sz w:val="22"/>
            <w:szCs w:val="22"/>
          </w:rPr>
          <w:tab/>
        </w:r>
        <w:r w:rsidRPr="001B13A4">
          <w:rPr>
            <w:rStyle w:val="Hyperlink"/>
            <w:noProof/>
          </w:rPr>
          <w:t>Part 1 Section 19.4.5, pos (Comment Position)</w:t>
        </w:r>
        <w:r>
          <w:rPr>
            <w:noProof/>
            <w:webHidden/>
          </w:rPr>
          <w:tab/>
        </w:r>
        <w:r>
          <w:rPr>
            <w:noProof/>
            <w:webHidden/>
          </w:rPr>
          <w:fldChar w:fldCharType="begin"/>
        </w:r>
        <w:r>
          <w:rPr>
            <w:noProof/>
            <w:webHidden/>
          </w:rPr>
          <w:instrText xml:space="preserve"> PAGEREF _Toc181684173 \h </w:instrText>
        </w:r>
        <w:r>
          <w:rPr>
            <w:noProof/>
            <w:webHidden/>
          </w:rPr>
        </w:r>
        <w:r>
          <w:rPr>
            <w:noProof/>
            <w:webHidden/>
          </w:rPr>
          <w:fldChar w:fldCharType="separate"/>
        </w:r>
        <w:r>
          <w:rPr>
            <w:noProof/>
            <w:webHidden/>
          </w:rPr>
          <w:t>471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4" w:history="1">
        <w:r w:rsidRPr="001B13A4">
          <w:rPr>
            <w:rStyle w:val="Hyperlink"/>
            <w:noProof/>
          </w:rPr>
          <w:t>2.1.1138</w:t>
        </w:r>
        <w:r>
          <w:rPr>
            <w:rFonts w:asciiTheme="minorHAnsi" w:eastAsiaTheme="minorEastAsia" w:hAnsiTheme="minorHAnsi" w:cstheme="minorBidi"/>
            <w:noProof/>
            <w:sz w:val="22"/>
            <w:szCs w:val="22"/>
          </w:rPr>
          <w:tab/>
        </w:r>
        <w:r w:rsidRPr="001B13A4">
          <w:rPr>
            <w:rStyle w:val="Hyperlink"/>
            <w:noProof/>
          </w:rPr>
          <w:t>Part 1 Section 19.5.1, anim (Animate)</w:t>
        </w:r>
        <w:r>
          <w:rPr>
            <w:noProof/>
            <w:webHidden/>
          </w:rPr>
          <w:tab/>
        </w:r>
        <w:r>
          <w:rPr>
            <w:noProof/>
            <w:webHidden/>
          </w:rPr>
          <w:fldChar w:fldCharType="begin"/>
        </w:r>
        <w:r>
          <w:rPr>
            <w:noProof/>
            <w:webHidden/>
          </w:rPr>
          <w:instrText xml:space="preserve"> PAGEREF _Toc181684174 \h </w:instrText>
        </w:r>
        <w:r>
          <w:rPr>
            <w:noProof/>
            <w:webHidden/>
          </w:rPr>
        </w:r>
        <w:r>
          <w:rPr>
            <w:noProof/>
            <w:webHidden/>
          </w:rPr>
          <w:fldChar w:fldCharType="separate"/>
        </w:r>
        <w:r>
          <w:rPr>
            <w:noProof/>
            <w:webHidden/>
          </w:rPr>
          <w:t>471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5" w:history="1">
        <w:r w:rsidRPr="001B13A4">
          <w:rPr>
            <w:rStyle w:val="Hyperlink"/>
            <w:noProof/>
          </w:rPr>
          <w:t>2.1.1139</w:t>
        </w:r>
        <w:r>
          <w:rPr>
            <w:rFonts w:asciiTheme="minorHAnsi" w:eastAsiaTheme="minorEastAsia" w:hAnsiTheme="minorHAnsi" w:cstheme="minorBidi"/>
            <w:noProof/>
            <w:sz w:val="22"/>
            <w:szCs w:val="22"/>
          </w:rPr>
          <w:tab/>
        </w:r>
        <w:r w:rsidRPr="001B13A4">
          <w:rPr>
            <w:rStyle w:val="Hyperlink"/>
            <w:noProof/>
          </w:rPr>
          <w:t>Part 1 Section 19.5.2, animClr (Animate Color Behavior)</w:t>
        </w:r>
        <w:r>
          <w:rPr>
            <w:noProof/>
            <w:webHidden/>
          </w:rPr>
          <w:tab/>
        </w:r>
        <w:r>
          <w:rPr>
            <w:noProof/>
            <w:webHidden/>
          </w:rPr>
          <w:fldChar w:fldCharType="begin"/>
        </w:r>
        <w:r>
          <w:rPr>
            <w:noProof/>
            <w:webHidden/>
          </w:rPr>
          <w:instrText xml:space="preserve"> PAGEREF _Toc181684175 \h </w:instrText>
        </w:r>
        <w:r>
          <w:rPr>
            <w:noProof/>
            <w:webHidden/>
          </w:rPr>
        </w:r>
        <w:r>
          <w:rPr>
            <w:noProof/>
            <w:webHidden/>
          </w:rPr>
          <w:fldChar w:fldCharType="separate"/>
        </w:r>
        <w:r>
          <w:rPr>
            <w:noProof/>
            <w:webHidden/>
          </w:rPr>
          <w:t>472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6" w:history="1">
        <w:r w:rsidRPr="001B13A4">
          <w:rPr>
            <w:rStyle w:val="Hyperlink"/>
            <w:noProof/>
          </w:rPr>
          <w:t>2.1.1140</w:t>
        </w:r>
        <w:r>
          <w:rPr>
            <w:rFonts w:asciiTheme="minorHAnsi" w:eastAsiaTheme="minorEastAsia" w:hAnsiTheme="minorHAnsi" w:cstheme="minorBidi"/>
            <w:noProof/>
            <w:sz w:val="22"/>
            <w:szCs w:val="22"/>
          </w:rPr>
          <w:tab/>
        </w:r>
        <w:r w:rsidRPr="001B13A4">
          <w:rPr>
            <w:rStyle w:val="Hyperlink"/>
            <w:noProof/>
          </w:rPr>
          <w:t>Part 1 Section 19.5.3, animEffect (Animate Effect)</w:t>
        </w:r>
        <w:r>
          <w:rPr>
            <w:noProof/>
            <w:webHidden/>
          </w:rPr>
          <w:tab/>
        </w:r>
        <w:r>
          <w:rPr>
            <w:noProof/>
            <w:webHidden/>
          </w:rPr>
          <w:fldChar w:fldCharType="begin"/>
        </w:r>
        <w:r>
          <w:rPr>
            <w:noProof/>
            <w:webHidden/>
          </w:rPr>
          <w:instrText xml:space="preserve"> PAGEREF _Toc181684176 \h </w:instrText>
        </w:r>
        <w:r>
          <w:rPr>
            <w:noProof/>
            <w:webHidden/>
          </w:rPr>
        </w:r>
        <w:r>
          <w:rPr>
            <w:noProof/>
            <w:webHidden/>
          </w:rPr>
          <w:fldChar w:fldCharType="separate"/>
        </w:r>
        <w:r>
          <w:rPr>
            <w:noProof/>
            <w:webHidden/>
          </w:rPr>
          <w:t>472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7" w:history="1">
        <w:r w:rsidRPr="001B13A4">
          <w:rPr>
            <w:rStyle w:val="Hyperlink"/>
            <w:noProof/>
          </w:rPr>
          <w:t>2.1.1141</w:t>
        </w:r>
        <w:r>
          <w:rPr>
            <w:rFonts w:asciiTheme="minorHAnsi" w:eastAsiaTheme="minorEastAsia" w:hAnsiTheme="minorHAnsi" w:cstheme="minorBidi"/>
            <w:noProof/>
            <w:sz w:val="22"/>
            <w:szCs w:val="22"/>
          </w:rPr>
          <w:tab/>
        </w:r>
        <w:r w:rsidRPr="001B13A4">
          <w:rPr>
            <w:rStyle w:val="Hyperlink"/>
            <w:noProof/>
          </w:rPr>
          <w:t>Part 1 Section 19.5.4, animMotion (Animate Motion)</w:t>
        </w:r>
        <w:r>
          <w:rPr>
            <w:noProof/>
            <w:webHidden/>
          </w:rPr>
          <w:tab/>
        </w:r>
        <w:r>
          <w:rPr>
            <w:noProof/>
            <w:webHidden/>
          </w:rPr>
          <w:fldChar w:fldCharType="begin"/>
        </w:r>
        <w:r>
          <w:rPr>
            <w:noProof/>
            <w:webHidden/>
          </w:rPr>
          <w:instrText xml:space="preserve"> PAGEREF _Toc181684177 \h </w:instrText>
        </w:r>
        <w:r>
          <w:rPr>
            <w:noProof/>
            <w:webHidden/>
          </w:rPr>
        </w:r>
        <w:r>
          <w:rPr>
            <w:noProof/>
            <w:webHidden/>
          </w:rPr>
          <w:fldChar w:fldCharType="separate"/>
        </w:r>
        <w:r>
          <w:rPr>
            <w:noProof/>
            <w:webHidden/>
          </w:rPr>
          <w:t>473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8" w:history="1">
        <w:r w:rsidRPr="001B13A4">
          <w:rPr>
            <w:rStyle w:val="Hyperlink"/>
            <w:noProof/>
          </w:rPr>
          <w:t>2.1.1142</w:t>
        </w:r>
        <w:r>
          <w:rPr>
            <w:rFonts w:asciiTheme="minorHAnsi" w:eastAsiaTheme="minorEastAsia" w:hAnsiTheme="minorHAnsi" w:cstheme="minorBidi"/>
            <w:noProof/>
            <w:sz w:val="22"/>
            <w:szCs w:val="22"/>
          </w:rPr>
          <w:tab/>
        </w:r>
        <w:r w:rsidRPr="001B13A4">
          <w:rPr>
            <w:rStyle w:val="Hyperlink"/>
            <w:noProof/>
          </w:rPr>
          <w:t>Part 1 Section 19.5.5, animRot (Animate Rotation)</w:t>
        </w:r>
        <w:r>
          <w:rPr>
            <w:noProof/>
            <w:webHidden/>
          </w:rPr>
          <w:tab/>
        </w:r>
        <w:r>
          <w:rPr>
            <w:noProof/>
            <w:webHidden/>
          </w:rPr>
          <w:fldChar w:fldCharType="begin"/>
        </w:r>
        <w:r>
          <w:rPr>
            <w:noProof/>
            <w:webHidden/>
          </w:rPr>
          <w:instrText xml:space="preserve"> PAGEREF _Toc181684178 \h </w:instrText>
        </w:r>
        <w:r>
          <w:rPr>
            <w:noProof/>
            <w:webHidden/>
          </w:rPr>
        </w:r>
        <w:r>
          <w:rPr>
            <w:noProof/>
            <w:webHidden/>
          </w:rPr>
          <w:fldChar w:fldCharType="separate"/>
        </w:r>
        <w:r>
          <w:rPr>
            <w:noProof/>
            <w:webHidden/>
          </w:rPr>
          <w:t>474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79" w:history="1">
        <w:r w:rsidRPr="001B13A4">
          <w:rPr>
            <w:rStyle w:val="Hyperlink"/>
            <w:noProof/>
          </w:rPr>
          <w:t>2.1.1143</w:t>
        </w:r>
        <w:r>
          <w:rPr>
            <w:rFonts w:asciiTheme="minorHAnsi" w:eastAsiaTheme="minorEastAsia" w:hAnsiTheme="minorHAnsi" w:cstheme="minorBidi"/>
            <w:noProof/>
            <w:sz w:val="22"/>
            <w:szCs w:val="22"/>
          </w:rPr>
          <w:tab/>
        </w:r>
        <w:r w:rsidRPr="001B13A4">
          <w:rPr>
            <w:rStyle w:val="Hyperlink"/>
            <w:noProof/>
          </w:rPr>
          <w:t>Part 1 Section 19.5.6, animScale (Animate Scale)</w:t>
        </w:r>
        <w:r>
          <w:rPr>
            <w:noProof/>
            <w:webHidden/>
          </w:rPr>
          <w:tab/>
        </w:r>
        <w:r>
          <w:rPr>
            <w:noProof/>
            <w:webHidden/>
          </w:rPr>
          <w:fldChar w:fldCharType="begin"/>
        </w:r>
        <w:r>
          <w:rPr>
            <w:noProof/>
            <w:webHidden/>
          </w:rPr>
          <w:instrText xml:space="preserve"> PAGEREF _Toc181684179 \h </w:instrText>
        </w:r>
        <w:r>
          <w:rPr>
            <w:noProof/>
            <w:webHidden/>
          </w:rPr>
        </w:r>
        <w:r>
          <w:rPr>
            <w:noProof/>
            <w:webHidden/>
          </w:rPr>
          <w:fldChar w:fldCharType="separate"/>
        </w:r>
        <w:r>
          <w:rPr>
            <w:noProof/>
            <w:webHidden/>
          </w:rPr>
          <w:t>475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0" w:history="1">
        <w:r w:rsidRPr="001B13A4">
          <w:rPr>
            <w:rStyle w:val="Hyperlink"/>
            <w:noProof/>
          </w:rPr>
          <w:t>2.1.1144</w:t>
        </w:r>
        <w:r>
          <w:rPr>
            <w:rFonts w:asciiTheme="minorHAnsi" w:eastAsiaTheme="minorEastAsia" w:hAnsiTheme="minorHAnsi" w:cstheme="minorBidi"/>
            <w:noProof/>
            <w:sz w:val="22"/>
            <w:szCs w:val="22"/>
          </w:rPr>
          <w:tab/>
        </w:r>
        <w:r w:rsidRPr="001B13A4">
          <w:rPr>
            <w:rStyle w:val="Hyperlink"/>
            <w:noProof/>
          </w:rPr>
          <w:t>Part 1 Section 19.5.7, attrName (Attribute Name)</w:t>
        </w:r>
        <w:r>
          <w:rPr>
            <w:noProof/>
            <w:webHidden/>
          </w:rPr>
          <w:tab/>
        </w:r>
        <w:r>
          <w:rPr>
            <w:noProof/>
            <w:webHidden/>
          </w:rPr>
          <w:fldChar w:fldCharType="begin"/>
        </w:r>
        <w:r>
          <w:rPr>
            <w:noProof/>
            <w:webHidden/>
          </w:rPr>
          <w:instrText xml:space="preserve"> PAGEREF _Toc181684180 \h </w:instrText>
        </w:r>
        <w:r>
          <w:rPr>
            <w:noProof/>
            <w:webHidden/>
          </w:rPr>
        </w:r>
        <w:r>
          <w:rPr>
            <w:noProof/>
            <w:webHidden/>
          </w:rPr>
          <w:fldChar w:fldCharType="separate"/>
        </w:r>
        <w:r>
          <w:rPr>
            <w:noProof/>
            <w:webHidden/>
          </w:rPr>
          <w:t>475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1" w:history="1">
        <w:r w:rsidRPr="001B13A4">
          <w:rPr>
            <w:rStyle w:val="Hyperlink"/>
            <w:noProof/>
          </w:rPr>
          <w:t>2.1.1145</w:t>
        </w:r>
        <w:r>
          <w:rPr>
            <w:rFonts w:asciiTheme="minorHAnsi" w:eastAsiaTheme="minorEastAsia" w:hAnsiTheme="minorHAnsi" w:cstheme="minorBidi"/>
            <w:noProof/>
            <w:sz w:val="22"/>
            <w:szCs w:val="22"/>
          </w:rPr>
          <w:tab/>
        </w:r>
        <w:r w:rsidRPr="001B13A4">
          <w:rPr>
            <w:rStyle w:val="Hyperlink"/>
            <w:noProof/>
          </w:rPr>
          <w:t>Part 1 Section 19.5.9, audio (Audio)</w:t>
        </w:r>
        <w:r>
          <w:rPr>
            <w:noProof/>
            <w:webHidden/>
          </w:rPr>
          <w:tab/>
        </w:r>
        <w:r>
          <w:rPr>
            <w:noProof/>
            <w:webHidden/>
          </w:rPr>
          <w:fldChar w:fldCharType="begin"/>
        </w:r>
        <w:r>
          <w:rPr>
            <w:noProof/>
            <w:webHidden/>
          </w:rPr>
          <w:instrText xml:space="preserve"> PAGEREF _Toc181684181 \h </w:instrText>
        </w:r>
        <w:r>
          <w:rPr>
            <w:noProof/>
            <w:webHidden/>
          </w:rPr>
        </w:r>
        <w:r>
          <w:rPr>
            <w:noProof/>
            <w:webHidden/>
          </w:rPr>
          <w:fldChar w:fldCharType="separate"/>
        </w:r>
        <w:r>
          <w:rPr>
            <w:noProof/>
            <w:webHidden/>
          </w:rPr>
          <w:t>476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2" w:history="1">
        <w:r w:rsidRPr="001B13A4">
          <w:rPr>
            <w:rStyle w:val="Hyperlink"/>
            <w:noProof/>
          </w:rPr>
          <w:t>2.1.1146</w:t>
        </w:r>
        <w:r>
          <w:rPr>
            <w:rFonts w:asciiTheme="minorHAnsi" w:eastAsiaTheme="minorEastAsia" w:hAnsiTheme="minorHAnsi" w:cstheme="minorBidi"/>
            <w:noProof/>
            <w:sz w:val="22"/>
            <w:szCs w:val="22"/>
          </w:rPr>
          <w:tab/>
        </w:r>
        <w:r w:rsidRPr="001B13A4">
          <w:rPr>
            <w:rStyle w:val="Hyperlink"/>
            <w:noProof/>
          </w:rPr>
          <w:t>Part 1 Section 19.5.12, bldDgm (Build Diagram)</w:t>
        </w:r>
        <w:r>
          <w:rPr>
            <w:noProof/>
            <w:webHidden/>
          </w:rPr>
          <w:tab/>
        </w:r>
        <w:r>
          <w:rPr>
            <w:noProof/>
            <w:webHidden/>
          </w:rPr>
          <w:fldChar w:fldCharType="begin"/>
        </w:r>
        <w:r>
          <w:rPr>
            <w:noProof/>
            <w:webHidden/>
          </w:rPr>
          <w:instrText xml:space="preserve"> PAGEREF _Toc181684182 \h </w:instrText>
        </w:r>
        <w:r>
          <w:rPr>
            <w:noProof/>
            <w:webHidden/>
          </w:rPr>
        </w:r>
        <w:r>
          <w:rPr>
            <w:noProof/>
            <w:webHidden/>
          </w:rPr>
          <w:fldChar w:fldCharType="separate"/>
        </w:r>
        <w:r>
          <w:rPr>
            <w:noProof/>
            <w:webHidden/>
          </w:rPr>
          <w:t>477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3" w:history="1">
        <w:r w:rsidRPr="001B13A4">
          <w:rPr>
            <w:rStyle w:val="Hyperlink"/>
            <w:noProof/>
          </w:rPr>
          <w:t>2.1.1147</w:t>
        </w:r>
        <w:r>
          <w:rPr>
            <w:rFonts w:asciiTheme="minorHAnsi" w:eastAsiaTheme="minorEastAsia" w:hAnsiTheme="minorHAnsi" w:cstheme="minorBidi"/>
            <w:noProof/>
            <w:sz w:val="22"/>
            <w:szCs w:val="22"/>
          </w:rPr>
          <w:tab/>
        </w:r>
        <w:r w:rsidRPr="001B13A4">
          <w:rPr>
            <w:rStyle w:val="Hyperlink"/>
            <w:noProof/>
          </w:rPr>
          <w:t>Part 1 Section 19.5.13, bldGraphic (Build Graphics)</w:t>
        </w:r>
        <w:r>
          <w:rPr>
            <w:noProof/>
            <w:webHidden/>
          </w:rPr>
          <w:tab/>
        </w:r>
        <w:r>
          <w:rPr>
            <w:noProof/>
            <w:webHidden/>
          </w:rPr>
          <w:fldChar w:fldCharType="begin"/>
        </w:r>
        <w:r>
          <w:rPr>
            <w:noProof/>
            <w:webHidden/>
          </w:rPr>
          <w:instrText xml:space="preserve"> PAGEREF _Toc181684183 \h </w:instrText>
        </w:r>
        <w:r>
          <w:rPr>
            <w:noProof/>
            <w:webHidden/>
          </w:rPr>
        </w:r>
        <w:r>
          <w:rPr>
            <w:noProof/>
            <w:webHidden/>
          </w:rPr>
          <w:fldChar w:fldCharType="separate"/>
        </w:r>
        <w:r>
          <w:rPr>
            <w:noProof/>
            <w:webHidden/>
          </w:rPr>
          <w:t>477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4" w:history="1">
        <w:r w:rsidRPr="001B13A4">
          <w:rPr>
            <w:rStyle w:val="Hyperlink"/>
            <w:noProof/>
          </w:rPr>
          <w:t>2.1.1148</w:t>
        </w:r>
        <w:r>
          <w:rPr>
            <w:rFonts w:asciiTheme="minorHAnsi" w:eastAsiaTheme="minorEastAsia" w:hAnsiTheme="minorHAnsi" w:cstheme="minorBidi"/>
            <w:noProof/>
            <w:sz w:val="22"/>
            <w:szCs w:val="22"/>
          </w:rPr>
          <w:tab/>
        </w:r>
        <w:r w:rsidRPr="001B13A4">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_Toc181684184 \h </w:instrText>
        </w:r>
        <w:r>
          <w:rPr>
            <w:noProof/>
            <w:webHidden/>
          </w:rPr>
        </w:r>
        <w:r>
          <w:rPr>
            <w:noProof/>
            <w:webHidden/>
          </w:rPr>
          <w:fldChar w:fldCharType="separate"/>
        </w:r>
        <w:r>
          <w:rPr>
            <w:noProof/>
            <w:webHidden/>
          </w:rPr>
          <w:t>477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5" w:history="1">
        <w:r w:rsidRPr="001B13A4">
          <w:rPr>
            <w:rStyle w:val="Hyperlink"/>
            <w:noProof/>
          </w:rPr>
          <w:t>2.1.1149</w:t>
        </w:r>
        <w:r>
          <w:rPr>
            <w:rFonts w:asciiTheme="minorHAnsi" w:eastAsiaTheme="minorEastAsia" w:hAnsiTheme="minorHAnsi" w:cstheme="minorBidi"/>
            <w:noProof/>
            <w:sz w:val="22"/>
            <w:szCs w:val="22"/>
          </w:rPr>
          <w:tab/>
        </w:r>
        <w:r w:rsidRPr="001B13A4">
          <w:rPr>
            <w:rStyle w:val="Hyperlink"/>
            <w:noProof/>
          </w:rPr>
          <w:t>Part 1 Section 19.5.16, bldP (Build Paragraph)</w:t>
        </w:r>
        <w:r>
          <w:rPr>
            <w:noProof/>
            <w:webHidden/>
          </w:rPr>
          <w:tab/>
        </w:r>
        <w:r>
          <w:rPr>
            <w:noProof/>
            <w:webHidden/>
          </w:rPr>
          <w:fldChar w:fldCharType="begin"/>
        </w:r>
        <w:r>
          <w:rPr>
            <w:noProof/>
            <w:webHidden/>
          </w:rPr>
          <w:instrText xml:space="preserve"> PAGEREF _Toc181684185 \h </w:instrText>
        </w:r>
        <w:r>
          <w:rPr>
            <w:noProof/>
            <w:webHidden/>
          </w:rPr>
        </w:r>
        <w:r>
          <w:rPr>
            <w:noProof/>
            <w:webHidden/>
          </w:rPr>
          <w:fldChar w:fldCharType="separate"/>
        </w:r>
        <w:r>
          <w:rPr>
            <w:noProof/>
            <w:webHidden/>
          </w:rPr>
          <w:t>478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6" w:history="1">
        <w:r w:rsidRPr="001B13A4">
          <w:rPr>
            <w:rStyle w:val="Hyperlink"/>
            <w:noProof/>
          </w:rPr>
          <w:t>2.1.1150</w:t>
        </w:r>
        <w:r>
          <w:rPr>
            <w:rFonts w:asciiTheme="minorHAnsi" w:eastAsiaTheme="minorEastAsia" w:hAnsiTheme="minorHAnsi" w:cstheme="minorBidi"/>
            <w:noProof/>
            <w:sz w:val="22"/>
            <w:szCs w:val="22"/>
          </w:rPr>
          <w:tab/>
        </w:r>
        <w:r w:rsidRPr="001B13A4">
          <w:rPr>
            <w:rStyle w:val="Hyperlink"/>
            <w:noProof/>
          </w:rPr>
          <w:t>Part 1 Section 19.5.17, bldSub (Build Sub Elements)</w:t>
        </w:r>
        <w:r>
          <w:rPr>
            <w:noProof/>
            <w:webHidden/>
          </w:rPr>
          <w:tab/>
        </w:r>
        <w:r>
          <w:rPr>
            <w:noProof/>
            <w:webHidden/>
          </w:rPr>
          <w:fldChar w:fldCharType="begin"/>
        </w:r>
        <w:r>
          <w:rPr>
            <w:noProof/>
            <w:webHidden/>
          </w:rPr>
          <w:instrText xml:space="preserve"> PAGEREF _Toc181684186 \h </w:instrText>
        </w:r>
        <w:r>
          <w:rPr>
            <w:noProof/>
            <w:webHidden/>
          </w:rPr>
        </w:r>
        <w:r>
          <w:rPr>
            <w:noProof/>
            <w:webHidden/>
          </w:rPr>
          <w:fldChar w:fldCharType="separate"/>
        </w:r>
        <w:r>
          <w:rPr>
            <w:noProof/>
            <w:webHidden/>
          </w:rPr>
          <w:t>478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7" w:history="1">
        <w:r w:rsidRPr="001B13A4">
          <w:rPr>
            <w:rStyle w:val="Hyperlink"/>
            <w:noProof/>
          </w:rPr>
          <w:t>2.1.1151</w:t>
        </w:r>
        <w:r>
          <w:rPr>
            <w:rFonts w:asciiTheme="minorHAnsi" w:eastAsiaTheme="minorEastAsia" w:hAnsiTheme="minorHAnsi" w:cstheme="minorBidi"/>
            <w:noProof/>
            <w:sz w:val="22"/>
            <w:szCs w:val="22"/>
          </w:rPr>
          <w:tab/>
        </w:r>
        <w:r w:rsidRPr="001B13A4">
          <w:rPr>
            <w:rStyle w:val="Hyperlink"/>
            <w:noProof/>
          </w:rPr>
          <w:t>Part 1 Section 19.5.21, by (By)</w:t>
        </w:r>
        <w:r>
          <w:rPr>
            <w:noProof/>
            <w:webHidden/>
          </w:rPr>
          <w:tab/>
        </w:r>
        <w:r>
          <w:rPr>
            <w:noProof/>
            <w:webHidden/>
          </w:rPr>
          <w:fldChar w:fldCharType="begin"/>
        </w:r>
        <w:r>
          <w:rPr>
            <w:noProof/>
            <w:webHidden/>
          </w:rPr>
          <w:instrText xml:space="preserve"> PAGEREF _Toc181684187 \h </w:instrText>
        </w:r>
        <w:r>
          <w:rPr>
            <w:noProof/>
            <w:webHidden/>
          </w:rPr>
        </w:r>
        <w:r>
          <w:rPr>
            <w:noProof/>
            <w:webHidden/>
          </w:rPr>
          <w:fldChar w:fldCharType="separate"/>
        </w:r>
        <w:r>
          <w:rPr>
            <w:noProof/>
            <w:webHidden/>
          </w:rPr>
          <w:t>478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8" w:history="1">
        <w:r w:rsidRPr="001B13A4">
          <w:rPr>
            <w:rStyle w:val="Hyperlink"/>
            <w:noProof/>
          </w:rPr>
          <w:t>2.1.1152</w:t>
        </w:r>
        <w:r>
          <w:rPr>
            <w:rFonts w:asciiTheme="minorHAnsi" w:eastAsiaTheme="minorEastAsia" w:hAnsiTheme="minorHAnsi" w:cstheme="minorBidi"/>
            <w:noProof/>
            <w:sz w:val="22"/>
            <w:szCs w:val="22"/>
          </w:rPr>
          <w:tab/>
        </w:r>
        <w:r w:rsidRPr="001B13A4">
          <w:rPr>
            <w:rStyle w:val="Hyperlink"/>
            <w:noProof/>
          </w:rPr>
          <w:t>Part 1 Section 19.5.22, cBhvr (Common Behavior)</w:t>
        </w:r>
        <w:r>
          <w:rPr>
            <w:noProof/>
            <w:webHidden/>
          </w:rPr>
          <w:tab/>
        </w:r>
        <w:r>
          <w:rPr>
            <w:noProof/>
            <w:webHidden/>
          </w:rPr>
          <w:fldChar w:fldCharType="begin"/>
        </w:r>
        <w:r>
          <w:rPr>
            <w:noProof/>
            <w:webHidden/>
          </w:rPr>
          <w:instrText xml:space="preserve"> PAGEREF _Toc181684188 \h </w:instrText>
        </w:r>
        <w:r>
          <w:rPr>
            <w:noProof/>
            <w:webHidden/>
          </w:rPr>
        </w:r>
        <w:r>
          <w:rPr>
            <w:noProof/>
            <w:webHidden/>
          </w:rPr>
          <w:fldChar w:fldCharType="separate"/>
        </w:r>
        <w:r>
          <w:rPr>
            <w:noProof/>
            <w:webHidden/>
          </w:rPr>
          <w:t>479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89" w:history="1">
        <w:r w:rsidRPr="001B13A4">
          <w:rPr>
            <w:rStyle w:val="Hyperlink"/>
            <w:noProof/>
          </w:rPr>
          <w:t>2.1.1153</w:t>
        </w:r>
        <w:r>
          <w:rPr>
            <w:rFonts w:asciiTheme="minorHAnsi" w:eastAsiaTheme="minorEastAsia" w:hAnsiTheme="minorHAnsi" w:cstheme="minorBidi"/>
            <w:noProof/>
            <w:sz w:val="22"/>
            <w:szCs w:val="22"/>
          </w:rPr>
          <w:tab/>
        </w:r>
        <w:r w:rsidRPr="001B13A4">
          <w:rPr>
            <w:rStyle w:val="Hyperlink"/>
            <w:noProof/>
          </w:rPr>
          <w:t>Part 1 Section 19.5.23, charRg (Character Range)</w:t>
        </w:r>
        <w:r>
          <w:rPr>
            <w:noProof/>
            <w:webHidden/>
          </w:rPr>
          <w:tab/>
        </w:r>
        <w:r>
          <w:rPr>
            <w:noProof/>
            <w:webHidden/>
          </w:rPr>
          <w:fldChar w:fldCharType="begin"/>
        </w:r>
        <w:r>
          <w:rPr>
            <w:noProof/>
            <w:webHidden/>
          </w:rPr>
          <w:instrText xml:space="preserve"> PAGEREF _Toc181684189 \h </w:instrText>
        </w:r>
        <w:r>
          <w:rPr>
            <w:noProof/>
            <w:webHidden/>
          </w:rPr>
        </w:r>
        <w:r>
          <w:rPr>
            <w:noProof/>
            <w:webHidden/>
          </w:rPr>
          <w:fldChar w:fldCharType="separate"/>
        </w:r>
        <w:r>
          <w:rPr>
            <w:noProof/>
            <w:webHidden/>
          </w:rPr>
          <w:t>480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0" w:history="1">
        <w:r w:rsidRPr="001B13A4">
          <w:rPr>
            <w:rStyle w:val="Hyperlink"/>
            <w:noProof/>
          </w:rPr>
          <w:t>2.1.1154</w:t>
        </w:r>
        <w:r>
          <w:rPr>
            <w:rFonts w:asciiTheme="minorHAnsi" w:eastAsiaTheme="minorEastAsia" w:hAnsiTheme="minorHAnsi" w:cstheme="minorBidi"/>
            <w:noProof/>
            <w:sz w:val="22"/>
            <w:szCs w:val="22"/>
          </w:rPr>
          <w:tab/>
        </w:r>
        <w:r w:rsidRPr="001B13A4">
          <w:rPr>
            <w:rStyle w:val="Hyperlink"/>
            <w:noProof/>
          </w:rPr>
          <w:t>Part 1 Section 19.5.28, cmd (Command)</w:t>
        </w:r>
        <w:r>
          <w:rPr>
            <w:noProof/>
            <w:webHidden/>
          </w:rPr>
          <w:tab/>
        </w:r>
        <w:r>
          <w:rPr>
            <w:noProof/>
            <w:webHidden/>
          </w:rPr>
          <w:fldChar w:fldCharType="begin"/>
        </w:r>
        <w:r>
          <w:rPr>
            <w:noProof/>
            <w:webHidden/>
          </w:rPr>
          <w:instrText xml:space="preserve"> PAGEREF _Toc181684190 \h </w:instrText>
        </w:r>
        <w:r>
          <w:rPr>
            <w:noProof/>
            <w:webHidden/>
          </w:rPr>
        </w:r>
        <w:r>
          <w:rPr>
            <w:noProof/>
            <w:webHidden/>
          </w:rPr>
          <w:fldChar w:fldCharType="separate"/>
        </w:r>
        <w:r>
          <w:rPr>
            <w:noProof/>
            <w:webHidden/>
          </w:rPr>
          <w:t>480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1" w:history="1">
        <w:r w:rsidRPr="001B13A4">
          <w:rPr>
            <w:rStyle w:val="Hyperlink"/>
            <w:noProof/>
          </w:rPr>
          <w:t>2.1.1155</w:t>
        </w:r>
        <w:r>
          <w:rPr>
            <w:rFonts w:asciiTheme="minorHAnsi" w:eastAsiaTheme="minorEastAsia" w:hAnsiTheme="minorHAnsi" w:cstheme="minorBidi"/>
            <w:noProof/>
            <w:sz w:val="22"/>
            <w:szCs w:val="22"/>
          </w:rPr>
          <w:tab/>
        </w:r>
        <w:r w:rsidRPr="001B13A4">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_Toc181684191 \h </w:instrText>
        </w:r>
        <w:r>
          <w:rPr>
            <w:noProof/>
            <w:webHidden/>
          </w:rPr>
        </w:r>
        <w:r>
          <w:rPr>
            <w:noProof/>
            <w:webHidden/>
          </w:rPr>
          <w:fldChar w:fldCharType="separate"/>
        </w:r>
        <w:r>
          <w:rPr>
            <w:noProof/>
            <w:webHidden/>
          </w:rPr>
          <w:t>481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2" w:history="1">
        <w:r w:rsidRPr="001B13A4">
          <w:rPr>
            <w:rStyle w:val="Hyperlink"/>
            <w:noProof/>
          </w:rPr>
          <w:t>2.1.1156</w:t>
        </w:r>
        <w:r>
          <w:rPr>
            <w:rFonts w:asciiTheme="minorHAnsi" w:eastAsiaTheme="minorEastAsia" w:hAnsiTheme="minorHAnsi" w:cstheme="minorBidi"/>
            <w:noProof/>
            <w:sz w:val="22"/>
            <w:szCs w:val="22"/>
          </w:rPr>
          <w:tab/>
        </w:r>
        <w:r w:rsidRPr="001B13A4">
          <w:rPr>
            <w:rStyle w:val="Hyperlink"/>
            <w:noProof/>
          </w:rPr>
          <w:t>Part 1 Section 19.5.31, cond (Condition)</w:t>
        </w:r>
        <w:r>
          <w:rPr>
            <w:noProof/>
            <w:webHidden/>
          </w:rPr>
          <w:tab/>
        </w:r>
        <w:r>
          <w:rPr>
            <w:noProof/>
            <w:webHidden/>
          </w:rPr>
          <w:fldChar w:fldCharType="begin"/>
        </w:r>
        <w:r>
          <w:rPr>
            <w:noProof/>
            <w:webHidden/>
          </w:rPr>
          <w:instrText xml:space="preserve"> PAGEREF _Toc181684192 \h </w:instrText>
        </w:r>
        <w:r>
          <w:rPr>
            <w:noProof/>
            <w:webHidden/>
          </w:rPr>
        </w:r>
        <w:r>
          <w:rPr>
            <w:noProof/>
            <w:webHidden/>
          </w:rPr>
          <w:fldChar w:fldCharType="separate"/>
        </w:r>
        <w:r>
          <w:rPr>
            <w:noProof/>
            <w:webHidden/>
          </w:rPr>
          <w:t>481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3" w:history="1">
        <w:r w:rsidRPr="001B13A4">
          <w:rPr>
            <w:rStyle w:val="Hyperlink"/>
            <w:noProof/>
          </w:rPr>
          <w:t>2.1.1157</w:t>
        </w:r>
        <w:r>
          <w:rPr>
            <w:rFonts w:asciiTheme="minorHAnsi" w:eastAsiaTheme="minorEastAsia" w:hAnsiTheme="minorHAnsi" w:cstheme="minorBidi"/>
            <w:noProof/>
            <w:sz w:val="22"/>
            <w:szCs w:val="22"/>
          </w:rPr>
          <w:tab/>
        </w:r>
        <w:r w:rsidRPr="001B13A4">
          <w:rPr>
            <w:rStyle w:val="Hyperlink"/>
            <w:noProof/>
          </w:rPr>
          <w:t>Part 1 Section 19.5.33, cTn (Common Time Node Properties)</w:t>
        </w:r>
        <w:r>
          <w:rPr>
            <w:noProof/>
            <w:webHidden/>
          </w:rPr>
          <w:tab/>
        </w:r>
        <w:r>
          <w:rPr>
            <w:noProof/>
            <w:webHidden/>
          </w:rPr>
          <w:fldChar w:fldCharType="begin"/>
        </w:r>
        <w:r>
          <w:rPr>
            <w:noProof/>
            <w:webHidden/>
          </w:rPr>
          <w:instrText xml:space="preserve"> PAGEREF _Toc181684193 \h </w:instrText>
        </w:r>
        <w:r>
          <w:rPr>
            <w:noProof/>
            <w:webHidden/>
          </w:rPr>
        </w:r>
        <w:r>
          <w:rPr>
            <w:noProof/>
            <w:webHidden/>
          </w:rPr>
          <w:fldChar w:fldCharType="separate"/>
        </w:r>
        <w:r>
          <w:rPr>
            <w:noProof/>
            <w:webHidden/>
          </w:rPr>
          <w:t>481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4" w:history="1">
        <w:r w:rsidRPr="001B13A4">
          <w:rPr>
            <w:rStyle w:val="Hyperlink"/>
            <w:noProof/>
          </w:rPr>
          <w:t>2.1.1158</w:t>
        </w:r>
        <w:r>
          <w:rPr>
            <w:rFonts w:asciiTheme="minorHAnsi" w:eastAsiaTheme="minorEastAsia" w:hAnsiTheme="minorHAnsi" w:cstheme="minorBidi"/>
            <w:noProof/>
            <w:sz w:val="22"/>
            <w:szCs w:val="22"/>
          </w:rPr>
          <w:tab/>
        </w:r>
        <w:r w:rsidRPr="001B13A4">
          <w:rPr>
            <w:rStyle w:val="Hyperlink"/>
            <w:noProof/>
          </w:rPr>
          <w:t>Part 1 Section 19.5.39, endSync (EndSync)</w:t>
        </w:r>
        <w:r>
          <w:rPr>
            <w:noProof/>
            <w:webHidden/>
          </w:rPr>
          <w:tab/>
        </w:r>
        <w:r>
          <w:rPr>
            <w:noProof/>
            <w:webHidden/>
          </w:rPr>
          <w:fldChar w:fldCharType="begin"/>
        </w:r>
        <w:r>
          <w:rPr>
            <w:noProof/>
            <w:webHidden/>
          </w:rPr>
          <w:instrText xml:space="preserve"> PAGEREF _Toc181684194 \h </w:instrText>
        </w:r>
        <w:r>
          <w:rPr>
            <w:noProof/>
            <w:webHidden/>
          </w:rPr>
        </w:r>
        <w:r>
          <w:rPr>
            <w:noProof/>
            <w:webHidden/>
          </w:rPr>
          <w:fldChar w:fldCharType="separate"/>
        </w:r>
        <w:r>
          <w:rPr>
            <w:noProof/>
            <w:webHidden/>
          </w:rPr>
          <w:t>482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5" w:history="1">
        <w:r w:rsidRPr="001B13A4">
          <w:rPr>
            <w:rStyle w:val="Hyperlink"/>
            <w:noProof/>
          </w:rPr>
          <w:t>2.1.1159</w:t>
        </w:r>
        <w:r>
          <w:rPr>
            <w:rFonts w:asciiTheme="minorHAnsi" w:eastAsiaTheme="minorEastAsia" w:hAnsiTheme="minorHAnsi" w:cstheme="minorBidi"/>
            <w:noProof/>
            <w:sz w:val="22"/>
            <w:szCs w:val="22"/>
          </w:rPr>
          <w:tab/>
        </w:r>
        <w:r w:rsidRPr="001B13A4">
          <w:rPr>
            <w:rStyle w:val="Hyperlink"/>
            <w:noProof/>
          </w:rPr>
          <w:t>Part 1 Section 19.5.40, excl (Exclusive)</w:t>
        </w:r>
        <w:r>
          <w:rPr>
            <w:noProof/>
            <w:webHidden/>
          </w:rPr>
          <w:tab/>
        </w:r>
        <w:r>
          <w:rPr>
            <w:noProof/>
            <w:webHidden/>
          </w:rPr>
          <w:fldChar w:fldCharType="begin"/>
        </w:r>
        <w:r>
          <w:rPr>
            <w:noProof/>
            <w:webHidden/>
          </w:rPr>
          <w:instrText xml:space="preserve"> PAGEREF _Toc181684195 \h </w:instrText>
        </w:r>
        <w:r>
          <w:rPr>
            <w:noProof/>
            <w:webHidden/>
          </w:rPr>
        </w:r>
        <w:r>
          <w:rPr>
            <w:noProof/>
            <w:webHidden/>
          </w:rPr>
          <w:fldChar w:fldCharType="separate"/>
        </w:r>
        <w:r>
          <w:rPr>
            <w:noProof/>
            <w:webHidden/>
          </w:rPr>
          <w:t>482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6" w:history="1">
        <w:r w:rsidRPr="001B13A4">
          <w:rPr>
            <w:rStyle w:val="Hyperlink"/>
            <w:noProof/>
          </w:rPr>
          <w:t>2.1.1160</w:t>
        </w:r>
        <w:r>
          <w:rPr>
            <w:rFonts w:asciiTheme="minorHAnsi" w:eastAsiaTheme="minorEastAsia" w:hAnsiTheme="minorHAnsi" w:cstheme="minorBidi"/>
            <w:noProof/>
            <w:sz w:val="22"/>
            <w:szCs w:val="22"/>
          </w:rPr>
          <w:tab/>
        </w:r>
        <w:r w:rsidRPr="001B13A4">
          <w:rPr>
            <w:rStyle w:val="Hyperlink"/>
            <w:noProof/>
          </w:rPr>
          <w:t>Part 1 Section 19.5.43, from (From)</w:t>
        </w:r>
        <w:r>
          <w:rPr>
            <w:noProof/>
            <w:webHidden/>
          </w:rPr>
          <w:tab/>
        </w:r>
        <w:r>
          <w:rPr>
            <w:noProof/>
            <w:webHidden/>
          </w:rPr>
          <w:fldChar w:fldCharType="begin"/>
        </w:r>
        <w:r>
          <w:rPr>
            <w:noProof/>
            <w:webHidden/>
          </w:rPr>
          <w:instrText xml:space="preserve"> PAGEREF _Toc181684196 \h </w:instrText>
        </w:r>
        <w:r>
          <w:rPr>
            <w:noProof/>
            <w:webHidden/>
          </w:rPr>
        </w:r>
        <w:r>
          <w:rPr>
            <w:noProof/>
            <w:webHidden/>
          </w:rPr>
          <w:fldChar w:fldCharType="separate"/>
        </w:r>
        <w:r>
          <w:rPr>
            <w:noProof/>
            <w:webHidden/>
          </w:rPr>
          <w:t>482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7" w:history="1">
        <w:r w:rsidRPr="001B13A4">
          <w:rPr>
            <w:rStyle w:val="Hyperlink"/>
            <w:noProof/>
          </w:rPr>
          <w:t>2.1.1161</w:t>
        </w:r>
        <w:r>
          <w:rPr>
            <w:rFonts w:asciiTheme="minorHAnsi" w:eastAsiaTheme="minorEastAsia" w:hAnsiTheme="minorHAnsi" w:cstheme="minorBidi"/>
            <w:noProof/>
            <w:sz w:val="22"/>
            <w:szCs w:val="22"/>
          </w:rPr>
          <w:tab/>
        </w:r>
        <w:r w:rsidRPr="001B13A4">
          <w:rPr>
            <w:rStyle w:val="Hyperlink"/>
            <w:noProof/>
          </w:rPr>
          <w:t>Part 1 Section 19.5.44, from (From)</w:t>
        </w:r>
        <w:r>
          <w:rPr>
            <w:noProof/>
            <w:webHidden/>
          </w:rPr>
          <w:tab/>
        </w:r>
        <w:r>
          <w:rPr>
            <w:noProof/>
            <w:webHidden/>
          </w:rPr>
          <w:fldChar w:fldCharType="begin"/>
        </w:r>
        <w:r>
          <w:rPr>
            <w:noProof/>
            <w:webHidden/>
          </w:rPr>
          <w:instrText xml:space="preserve"> PAGEREF _Toc181684197 \h </w:instrText>
        </w:r>
        <w:r>
          <w:rPr>
            <w:noProof/>
            <w:webHidden/>
          </w:rPr>
        </w:r>
        <w:r>
          <w:rPr>
            <w:noProof/>
            <w:webHidden/>
          </w:rPr>
          <w:fldChar w:fldCharType="separate"/>
        </w:r>
        <w:r>
          <w:rPr>
            <w:noProof/>
            <w:webHidden/>
          </w:rPr>
          <w:t>483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8" w:history="1">
        <w:r w:rsidRPr="001B13A4">
          <w:rPr>
            <w:rStyle w:val="Hyperlink"/>
            <w:noProof/>
          </w:rPr>
          <w:t>2.1.1162</w:t>
        </w:r>
        <w:r>
          <w:rPr>
            <w:rFonts w:asciiTheme="minorHAnsi" w:eastAsiaTheme="minorEastAsia" w:hAnsiTheme="minorHAnsi" w:cstheme="minorBidi"/>
            <w:noProof/>
            <w:sz w:val="22"/>
            <w:szCs w:val="22"/>
          </w:rPr>
          <w:tab/>
        </w:r>
        <w:r w:rsidRPr="001B13A4">
          <w:rPr>
            <w:rStyle w:val="Hyperlink"/>
            <w:noProof/>
          </w:rPr>
          <w:t>Part 1 Section 19.5.45, graphicEl (Graphic Element)</w:t>
        </w:r>
        <w:r>
          <w:rPr>
            <w:noProof/>
            <w:webHidden/>
          </w:rPr>
          <w:tab/>
        </w:r>
        <w:r>
          <w:rPr>
            <w:noProof/>
            <w:webHidden/>
          </w:rPr>
          <w:fldChar w:fldCharType="begin"/>
        </w:r>
        <w:r>
          <w:rPr>
            <w:noProof/>
            <w:webHidden/>
          </w:rPr>
          <w:instrText xml:space="preserve"> PAGEREF _Toc181684198 \h </w:instrText>
        </w:r>
        <w:r>
          <w:rPr>
            <w:noProof/>
            <w:webHidden/>
          </w:rPr>
        </w:r>
        <w:r>
          <w:rPr>
            <w:noProof/>
            <w:webHidden/>
          </w:rPr>
          <w:fldChar w:fldCharType="separate"/>
        </w:r>
        <w:r>
          <w:rPr>
            <w:noProof/>
            <w:webHidden/>
          </w:rPr>
          <w:t>483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199" w:history="1">
        <w:r w:rsidRPr="001B13A4">
          <w:rPr>
            <w:rStyle w:val="Hyperlink"/>
            <w:noProof/>
          </w:rPr>
          <w:t>2.1.1163</w:t>
        </w:r>
        <w:r>
          <w:rPr>
            <w:rFonts w:asciiTheme="minorHAnsi" w:eastAsiaTheme="minorEastAsia" w:hAnsiTheme="minorHAnsi" w:cstheme="minorBidi"/>
            <w:noProof/>
            <w:sz w:val="22"/>
            <w:szCs w:val="22"/>
          </w:rPr>
          <w:tab/>
        </w:r>
        <w:r w:rsidRPr="001B13A4">
          <w:rPr>
            <w:rStyle w:val="Hyperlink"/>
            <w:noProof/>
          </w:rPr>
          <w:t>Part 1 Section 19.5.46, hsl (HSL)</w:t>
        </w:r>
        <w:r>
          <w:rPr>
            <w:noProof/>
            <w:webHidden/>
          </w:rPr>
          <w:tab/>
        </w:r>
        <w:r>
          <w:rPr>
            <w:noProof/>
            <w:webHidden/>
          </w:rPr>
          <w:fldChar w:fldCharType="begin"/>
        </w:r>
        <w:r>
          <w:rPr>
            <w:noProof/>
            <w:webHidden/>
          </w:rPr>
          <w:instrText xml:space="preserve"> PAGEREF _Toc181684199 \h </w:instrText>
        </w:r>
        <w:r>
          <w:rPr>
            <w:noProof/>
            <w:webHidden/>
          </w:rPr>
        </w:r>
        <w:r>
          <w:rPr>
            <w:noProof/>
            <w:webHidden/>
          </w:rPr>
          <w:fldChar w:fldCharType="separate"/>
        </w:r>
        <w:r>
          <w:rPr>
            <w:noProof/>
            <w:webHidden/>
          </w:rPr>
          <w:t>483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0" w:history="1">
        <w:r w:rsidRPr="001B13A4">
          <w:rPr>
            <w:rStyle w:val="Hyperlink"/>
            <w:noProof/>
          </w:rPr>
          <w:t>2.1.1164</w:t>
        </w:r>
        <w:r>
          <w:rPr>
            <w:rFonts w:asciiTheme="minorHAnsi" w:eastAsiaTheme="minorEastAsia" w:hAnsiTheme="minorHAnsi" w:cstheme="minorBidi"/>
            <w:noProof/>
            <w:sz w:val="22"/>
            <w:szCs w:val="22"/>
          </w:rPr>
          <w:tab/>
        </w:r>
        <w:r w:rsidRPr="001B13A4">
          <w:rPr>
            <w:rStyle w:val="Hyperlink"/>
            <w:noProof/>
          </w:rPr>
          <w:t>Part 1 Section 19.5.47, inkTgt (Ink Target)</w:t>
        </w:r>
        <w:r>
          <w:rPr>
            <w:noProof/>
            <w:webHidden/>
          </w:rPr>
          <w:tab/>
        </w:r>
        <w:r>
          <w:rPr>
            <w:noProof/>
            <w:webHidden/>
          </w:rPr>
          <w:fldChar w:fldCharType="begin"/>
        </w:r>
        <w:r>
          <w:rPr>
            <w:noProof/>
            <w:webHidden/>
          </w:rPr>
          <w:instrText xml:space="preserve"> PAGEREF _Toc181684200 \h </w:instrText>
        </w:r>
        <w:r>
          <w:rPr>
            <w:noProof/>
            <w:webHidden/>
          </w:rPr>
        </w:r>
        <w:r>
          <w:rPr>
            <w:noProof/>
            <w:webHidden/>
          </w:rPr>
          <w:fldChar w:fldCharType="separate"/>
        </w:r>
        <w:r>
          <w:rPr>
            <w:noProof/>
            <w:webHidden/>
          </w:rPr>
          <w:t>483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1" w:history="1">
        <w:r w:rsidRPr="001B13A4">
          <w:rPr>
            <w:rStyle w:val="Hyperlink"/>
            <w:noProof/>
          </w:rPr>
          <w:t>2.1.1165</w:t>
        </w:r>
        <w:r>
          <w:rPr>
            <w:rFonts w:asciiTheme="minorHAnsi" w:eastAsiaTheme="minorEastAsia" w:hAnsiTheme="minorHAnsi" w:cstheme="minorBidi"/>
            <w:noProof/>
            <w:sz w:val="22"/>
            <w:szCs w:val="22"/>
          </w:rPr>
          <w:tab/>
        </w:r>
        <w:r w:rsidRPr="001B13A4">
          <w:rPr>
            <w:rStyle w:val="Hyperlink"/>
            <w:noProof/>
          </w:rPr>
          <w:t>Part 1 Section 19.5.49, iterate (Iterate)</w:t>
        </w:r>
        <w:r>
          <w:rPr>
            <w:noProof/>
            <w:webHidden/>
          </w:rPr>
          <w:tab/>
        </w:r>
        <w:r>
          <w:rPr>
            <w:noProof/>
            <w:webHidden/>
          </w:rPr>
          <w:fldChar w:fldCharType="begin"/>
        </w:r>
        <w:r>
          <w:rPr>
            <w:noProof/>
            <w:webHidden/>
          </w:rPr>
          <w:instrText xml:space="preserve"> PAGEREF _Toc181684201 \h </w:instrText>
        </w:r>
        <w:r>
          <w:rPr>
            <w:noProof/>
            <w:webHidden/>
          </w:rPr>
        </w:r>
        <w:r>
          <w:rPr>
            <w:noProof/>
            <w:webHidden/>
          </w:rPr>
          <w:fldChar w:fldCharType="separate"/>
        </w:r>
        <w:r>
          <w:rPr>
            <w:noProof/>
            <w:webHidden/>
          </w:rPr>
          <w:t>484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2" w:history="1">
        <w:r w:rsidRPr="001B13A4">
          <w:rPr>
            <w:rStyle w:val="Hyperlink"/>
            <w:noProof/>
          </w:rPr>
          <w:t>2.1.1166</w:t>
        </w:r>
        <w:r>
          <w:rPr>
            <w:rFonts w:asciiTheme="minorHAnsi" w:eastAsiaTheme="minorEastAsia" w:hAnsiTheme="minorHAnsi" w:cstheme="minorBidi"/>
            <w:noProof/>
            <w:sz w:val="22"/>
            <w:szCs w:val="22"/>
          </w:rPr>
          <w:tab/>
        </w:r>
        <w:r w:rsidRPr="001B13A4">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_Toc181684202 \h </w:instrText>
        </w:r>
        <w:r>
          <w:rPr>
            <w:noProof/>
            <w:webHidden/>
          </w:rPr>
        </w:r>
        <w:r>
          <w:rPr>
            <w:noProof/>
            <w:webHidden/>
          </w:rPr>
          <w:fldChar w:fldCharType="separate"/>
        </w:r>
        <w:r>
          <w:rPr>
            <w:noProof/>
            <w:webHidden/>
          </w:rPr>
          <w:t>484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3" w:history="1">
        <w:r w:rsidRPr="001B13A4">
          <w:rPr>
            <w:rStyle w:val="Hyperlink"/>
            <w:noProof/>
          </w:rPr>
          <w:t>2.1.1167</w:t>
        </w:r>
        <w:r>
          <w:rPr>
            <w:rFonts w:asciiTheme="minorHAnsi" w:eastAsiaTheme="minorEastAsia" w:hAnsiTheme="minorHAnsi" w:cstheme="minorBidi"/>
            <w:noProof/>
            <w:sz w:val="22"/>
            <w:szCs w:val="22"/>
          </w:rPr>
          <w:tab/>
        </w:r>
        <w:r w:rsidRPr="001B13A4">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_Toc181684203 \h </w:instrText>
        </w:r>
        <w:r>
          <w:rPr>
            <w:noProof/>
            <w:webHidden/>
          </w:rPr>
        </w:r>
        <w:r>
          <w:rPr>
            <w:noProof/>
            <w:webHidden/>
          </w:rPr>
          <w:fldChar w:fldCharType="separate"/>
        </w:r>
        <w:r>
          <w:rPr>
            <w:noProof/>
            <w:webHidden/>
          </w:rPr>
          <w:t>484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4" w:history="1">
        <w:r w:rsidRPr="001B13A4">
          <w:rPr>
            <w:rStyle w:val="Hyperlink"/>
            <w:noProof/>
          </w:rPr>
          <w:t>2.1.1168</w:t>
        </w:r>
        <w:r>
          <w:rPr>
            <w:rFonts w:asciiTheme="minorHAnsi" w:eastAsiaTheme="minorEastAsia" w:hAnsiTheme="minorHAnsi" w:cstheme="minorBidi"/>
            <w:noProof/>
            <w:sz w:val="22"/>
            <w:szCs w:val="22"/>
          </w:rPr>
          <w:tab/>
        </w:r>
        <w:r w:rsidRPr="001B13A4">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_Toc181684204 \h </w:instrText>
        </w:r>
        <w:r>
          <w:rPr>
            <w:noProof/>
            <w:webHidden/>
          </w:rPr>
        </w:r>
        <w:r>
          <w:rPr>
            <w:noProof/>
            <w:webHidden/>
          </w:rPr>
          <w:fldChar w:fldCharType="separate"/>
        </w:r>
        <w:r>
          <w:rPr>
            <w:noProof/>
            <w:webHidden/>
          </w:rPr>
          <w:t>484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5" w:history="1">
        <w:r w:rsidRPr="001B13A4">
          <w:rPr>
            <w:rStyle w:val="Hyperlink"/>
            <w:noProof/>
          </w:rPr>
          <w:t>2.1.1169</w:t>
        </w:r>
        <w:r>
          <w:rPr>
            <w:rFonts w:asciiTheme="minorHAnsi" w:eastAsiaTheme="minorEastAsia" w:hAnsiTheme="minorHAnsi" w:cstheme="minorBidi"/>
            <w:noProof/>
            <w:sz w:val="22"/>
            <w:szCs w:val="22"/>
          </w:rPr>
          <w:tab/>
        </w:r>
        <w:r w:rsidRPr="001B13A4">
          <w:rPr>
            <w:rStyle w:val="Hyperlink"/>
            <w:noProof/>
          </w:rPr>
          <w:t>Part 1 Section 19.5.56, pRg (Paragraph Text Range)</w:t>
        </w:r>
        <w:r>
          <w:rPr>
            <w:noProof/>
            <w:webHidden/>
          </w:rPr>
          <w:tab/>
        </w:r>
        <w:r>
          <w:rPr>
            <w:noProof/>
            <w:webHidden/>
          </w:rPr>
          <w:fldChar w:fldCharType="begin"/>
        </w:r>
        <w:r>
          <w:rPr>
            <w:noProof/>
            <w:webHidden/>
          </w:rPr>
          <w:instrText xml:space="preserve"> PAGEREF _Toc181684205 \h </w:instrText>
        </w:r>
        <w:r>
          <w:rPr>
            <w:noProof/>
            <w:webHidden/>
          </w:rPr>
        </w:r>
        <w:r>
          <w:rPr>
            <w:noProof/>
            <w:webHidden/>
          </w:rPr>
          <w:fldChar w:fldCharType="separate"/>
        </w:r>
        <w:r>
          <w:rPr>
            <w:noProof/>
            <w:webHidden/>
          </w:rPr>
          <w:t>484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6" w:history="1">
        <w:r w:rsidRPr="001B13A4">
          <w:rPr>
            <w:rStyle w:val="Hyperlink"/>
            <w:noProof/>
          </w:rPr>
          <w:t>2.1.1170</w:t>
        </w:r>
        <w:r>
          <w:rPr>
            <w:rFonts w:asciiTheme="minorHAnsi" w:eastAsiaTheme="minorEastAsia" w:hAnsiTheme="minorHAnsi" w:cstheme="minorBidi"/>
            <w:noProof/>
            <w:sz w:val="22"/>
            <w:szCs w:val="22"/>
          </w:rPr>
          <w:tab/>
        </w:r>
        <w:r w:rsidRPr="001B13A4">
          <w:rPr>
            <w:rStyle w:val="Hyperlink"/>
            <w:noProof/>
          </w:rPr>
          <w:t>Part 1 Section 19.5.57, progress (Progress)</w:t>
        </w:r>
        <w:r>
          <w:rPr>
            <w:noProof/>
            <w:webHidden/>
          </w:rPr>
          <w:tab/>
        </w:r>
        <w:r>
          <w:rPr>
            <w:noProof/>
            <w:webHidden/>
          </w:rPr>
          <w:fldChar w:fldCharType="begin"/>
        </w:r>
        <w:r>
          <w:rPr>
            <w:noProof/>
            <w:webHidden/>
          </w:rPr>
          <w:instrText xml:space="preserve"> PAGEREF _Toc181684206 \h </w:instrText>
        </w:r>
        <w:r>
          <w:rPr>
            <w:noProof/>
            <w:webHidden/>
          </w:rPr>
        </w:r>
        <w:r>
          <w:rPr>
            <w:noProof/>
            <w:webHidden/>
          </w:rPr>
          <w:fldChar w:fldCharType="separate"/>
        </w:r>
        <w:r>
          <w:rPr>
            <w:noProof/>
            <w:webHidden/>
          </w:rPr>
          <w:t>484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7" w:history="1">
        <w:r w:rsidRPr="001B13A4">
          <w:rPr>
            <w:rStyle w:val="Hyperlink"/>
            <w:noProof/>
          </w:rPr>
          <w:t>2.1.1171</w:t>
        </w:r>
        <w:r>
          <w:rPr>
            <w:rFonts w:asciiTheme="minorHAnsi" w:eastAsiaTheme="minorEastAsia" w:hAnsiTheme="minorHAnsi" w:cstheme="minorBidi"/>
            <w:noProof/>
            <w:sz w:val="22"/>
            <w:szCs w:val="22"/>
          </w:rPr>
          <w:tab/>
        </w:r>
        <w:r w:rsidRPr="001B13A4">
          <w:rPr>
            <w:rStyle w:val="Hyperlink"/>
            <w:noProof/>
          </w:rPr>
          <w:t>Part 1 Section 19.5.62, rCtr (Rotation Center)</w:t>
        </w:r>
        <w:r>
          <w:rPr>
            <w:noProof/>
            <w:webHidden/>
          </w:rPr>
          <w:tab/>
        </w:r>
        <w:r>
          <w:rPr>
            <w:noProof/>
            <w:webHidden/>
          </w:rPr>
          <w:fldChar w:fldCharType="begin"/>
        </w:r>
        <w:r>
          <w:rPr>
            <w:noProof/>
            <w:webHidden/>
          </w:rPr>
          <w:instrText xml:space="preserve"> PAGEREF _Toc181684207 \h </w:instrText>
        </w:r>
        <w:r>
          <w:rPr>
            <w:noProof/>
            <w:webHidden/>
          </w:rPr>
        </w:r>
        <w:r>
          <w:rPr>
            <w:noProof/>
            <w:webHidden/>
          </w:rPr>
          <w:fldChar w:fldCharType="separate"/>
        </w:r>
        <w:r>
          <w:rPr>
            <w:noProof/>
            <w:webHidden/>
          </w:rPr>
          <w:t>485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8" w:history="1">
        <w:r w:rsidRPr="001B13A4">
          <w:rPr>
            <w:rStyle w:val="Hyperlink"/>
            <w:noProof/>
          </w:rPr>
          <w:t>2.1.1172</w:t>
        </w:r>
        <w:r>
          <w:rPr>
            <w:rFonts w:asciiTheme="minorHAnsi" w:eastAsiaTheme="minorEastAsia" w:hAnsiTheme="minorHAnsi" w:cstheme="minorBidi"/>
            <w:noProof/>
            <w:sz w:val="22"/>
            <w:szCs w:val="22"/>
          </w:rPr>
          <w:tab/>
        </w:r>
        <w:r w:rsidRPr="001B13A4">
          <w:rPr>
            <w:rStyle w:val="Hyperlink"/>
            <w:noProof/>
          </w:rPr>
          <w:t>Part 1 Section 19.5.63, rgb (RGB)</w:t>
        </w:r>
        <w:r>
          <w:rPr>
            <w:noProof/>
            <w:webHidden/>
          </w:rPr>
          <w:tab/>
        </w:r>
        <w:r>
          <w:rPr>
            <w:noProof/>
            <w:webHidden/>
          </w:rPr>
          <w:fldChar w:fldCharType="begin"/>
        </w:r>
        <w:r>
          <w:rPr>
            <w:noProof/>
            <w:webHidden/>
          </w:rPr>
          <w:instrText xml:space="preserve"> PAGEREF _Toc181684208 \h </w:instrText>
        </w:r>
        <w:r>
          <w:rPr>
            <w:noProof/>
            <w:webHidden/>
          </w:rPr>
        </w:r>
        <w:r>
          <w:rPr>
            <w:noProof/>
            <w:webHidden/>
          </w:rPr>
          <w:fldChar w:fldCharType="separate"/>
        </w:r>
        <w:r>
          <w:rPr>
            <w:noProof/>
            <w:webHidden/>
          </w:rPr>
          <w:t>485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09" w:history="1">
        <w:r w:rsidRPr="001B13A4">
          <w:rPr>
            <w:rStyle w:val="Hyperlink"/>
            <w:noProof/>
          </w:rPr>
          <w:t>2.1.1173</w:t>
        </w:r>
        <w:r>
          <w:rPr>
            <w:rFonts w:asciiTheme="minorHAnsi" w:eastAsiaTheme="minorEastAsia" w:hAnsiTheme="minorHAnsi" w:cstheme="minorBidi"/>
            <w:noProof/>
            <w:sz w:val="22"/>
            <w:szCs w:val="22"/>
          </w:rPr>
          <w:tab/>
        </w:r>
        <w:r w:rsidRPr="001B13A4">
          <w:rPr>
            <w:rStyle w:val="Hyperlink"/>
            <w:noProof/>
          </w:rPr>
          <w:t>Part 1 Section 19.5.65, seq (Sequence Time Node)</w:t>
        </w:r>
        <w:r>
          <w:rPr>
            <w:noProof/>
            <w:webHidden/>
          </w:rPr>
          <w:tab/>
        </w:r>
        <w:r>
          <w:rPr>
            <w:noProof/>
            <w:webHidden/>
          </w:rPr>
          <w:fldChar w:fldCharType="begin"/>
        </w:r>
        <w:r>
          <w:rPr>
            <w:noProof/>
            <w:webHidden/>
          </w:rPr>
          <w:instrText xml:space="preserve"> PAGEREF _Toc181684209 \h </w:instrText>
        </w:r>
        <w:r>
          <w:rPr>
            <w:noProof/>
            <w:webHidden/>
          </w:rPr>
        </w:r>
        <w:r>
          <w:rPr>
            <w:noProof/>
            <w:webHidden/>
          </w:rPr>
          <w:fldChar w:fldCharType="separate"/>
        </w:r>
        <w:r>
          <w:rPr>
            <w:noProof/>
            <w:webHidden/>
          </w:rPr>
          <w:t>485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0" w:history="1">
        <w:r w:rsidRPr="001B13A4">
          <w:rPr>
            <w:rStyle w:val="Hyperlink"/>
            <w:noProof/>
          </w:rPr>
          <w:t>2.1.1174</w:t>
        </w:r>
        <w:r>
          <w:rPr>
            <w:rFonts w:asciiTheme="minorHAnsi" w:eastAsiaTheme="minorEastAsia" w:hAnsiTheme="minorHAnsi" w:cstheme="minorBidi"/>
            <w:noProof/>
            <w:sz w:val="22"/>
            <w:szCs w:val="22"/>
          </w:rPr>
          <w:tab/>
        </w:r>
        <w:r w:rsidRPr="001B13A4">
          <w:rPr>
            <w:rStyle w:val="Hyperlink"/>
            <w:noProof/>
          </w:rPr>
          <w:t>Part 1 Section 19.5.66, set (Set Time Node Behavior)</w:t>
        </w:r>
        <w:r>
          <w:rPr>
            <w:noProof/>
            <w:webHidden/>
          </w:rPr>
          <w:tab/>
        </w:r>
        <w:r>
          <w:rPr>
            <w:noProof/>
            <w:webHidden/>
          </w:rPr>
          <w:fldChar w:fldCharType="begin"/>
        </w:r>
        <w:r>
          <w:rPr>
            <w:noProof/>
            <w:webHidden/>
          </w:rPr>
          <w:instrText xml:space="preserve"> PAGEREF _Toc181684210 \h </w:instrText>
        </w:r>
        <w:r>
          <w:rPr>
            <w:noProof/>
            <w:webHidden/>
          </w:rPr>
        </w:r>
        <w:r>
          <w:rPr>
            <w:noProof/>
            <w:webHidden/>
          </w:rPr>
          <w:fldChar w:fldCharType="separate"/>
        </w:r>
        <w:r>
          <w:rPr>
            <w:noProof/>
            <w:webHidden/>
          </w:rPr>
          <w:t>485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1" w:history="1">
        <w:r w:rsidRPr="001B13A4">
          <w:rPr>
            <w:rStyle w:val="Hyperlink"/>
            <w:noProof/>
          </w:rPr>
          <w:t>2.1.1175</w:t>
        </w:r>
        <w:r>
          <w:rPr>
            <w:rFonts w:asciiTheme="minorHAnsi" w:eastAsiaTheme="minorEastAsia" w:hAnsiTheme="minorHAnsi" w:cstheme="minorBidi"/>
            <w:noProof/>
            <w:sz w:val="22"/>
            <w:szCs w:val="22"/>
          </w:rPr>
          <w:tab/>
        </w:r>
        <w:r w:rsidRPr="001B13A4">
          <w:rPr>
            <w:rStyle w:val="Hyperlink"/>
            <w:noProof/>
          </w:rPr>
          <w:t>Part 1 Section 19.5.67, sldTgt (Slide Target)</w:t>
        </w:r>
        <w:r>
          <w:rPr>
            <w:noProof/>
            <w:webHidden/>
          </w:rPr>
          <w:tab/>
        </w:r>
        <w:r>
          <w:rPr>
            <w:noProof/>
            <w:webHidden/>
          </w:rPr>
          <w:fldChar w:fldCharType="begin"/>
        </w:r>
        <w:r>
          <w:rPr>
            <w:noProof/>
            <w:webHidden/>
          </w:rPr>
          <w:instrText xml:space="preserve"> PAGEREF _Toc181684211 \h </w:instrText>
        </w:r>
        <w:r>
          <w:rPr>
            <w:noProof/>
            <w:webHidden/>
          </w:rPr>
        </w:r>
        <w:r>
          <w:rPr>
            <w:noProof/>
            <w:webHidden/>
          </w:rPr>
          <w:fldChar w:fldCharType="separate"/>
        </w:r>
        <w:r>
          <w:rPr>
            <w:noProof/>
            <w:webHidden/>
          </w:rPr>
          <w:t>485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2" w:history="1">
        <w:r w:rsidRPr="001B13A4">
          <w:rPr>
            <w:rStyle w:val="Hyperlink"/>
            <w:noProof/>
          </w:rPr>
          <w:t>2.1.1176</w:t>
        </w:r>
        <w:r>
          <w:rPr>
            <w:rFonts w:asciiTheme="minorHAnsi" w:eastAsiaTheme="minorEastAsia" w:hAnsiTheme="minorHAnsi" w:cstheme="minorBidi"/>
            <w:noProof/>
            <w:sz w:val="22"/>
            <w:szCs w:val="22"/>
          </w:rPr>
          <w:tab/>
        </w:r>
        <w:r w:rsidRPr="001B13A4">
          <w:rPr>
            <w:rStyle w:val="Hyperlink"/>
            <w:noProof/>
          </w:rPr>
          <w:t>Part 1 Section 19.5.72, spTgt (Shape Target)</w:t>
        </w:r>
        <w:r>
          <w:rPr>
            <w:noProof/>
            <w:webHidden/>
          </w:rPr>
          <w:tab/>
        </w:r>
        <w:r>
          <w:rPr>
            <w:noProof/>
            <w:webHidden/>
          </w:rPr>
          <w:fldChar w:fldCharType="begin"/>
        </w:r>
        <w:r>
          <w:rPr>
            <w:noProof/>
            <w:webHidden/>
          </w:rPr>
          <w:instrText xml:space="preserve"> PAGEREF _Toc181684212 \h </w:instrText>
        </w:r>
        <w:r>
          <w:rPr>
            <w:noProof/>
            <w:webHidden/>
          </w:rPr>
        </w:r>
        <w:r>
          <w:rPr>
            <w:noProof/>
            <w:webHidden/>
          </w:rPr>
          <w:fldChar w:fldCharType="separate"/>
        </w:r>
        <w:r>
          <w:rPr>
            <w:noProof/>
            <w:webHidden/>
          </w:rPr>
          <w:t>485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3" w:history="1">
        <w:r w:rsidRPr="001B13A4">
          <w:rPr>
            <w:rStyle w:val="Hyperlink"/>
            <w:noProof/>
          </w:rPr>
          <w:t>2.1.1177</w:t>
        </w:r>
        <w:r>
          <w:rPr>
            <w:rFonts w:asciiTheme="minorHAnsi" w:eastAsiaTheme="minorEastAsia" w:hAnsiTheme="minorHAnsi" w:cstheme="minorBidi"/>
            <w:noProof/>
            <w:sz w:val="22"/>
            <w:szCs w:val="22"/>
          </w:rPr>
          <w:tab/>
        </w:r>
        <w:r w:rsidRPr="001B13A4">
          <w:rPr>
            <w:rStyle w:val="Hyperlink"/>
            <w:noProof/>
          </w:rPr>
          <w:t>Part 1 Section 19.5.77, subSp (Subshape)</w:t>
        </w:r>
        <w:r>
          <w:rPr>
            <w:noProof/>
            <w:webHidden/>
          </w:rPr>
          <w:tab/>
        </w:r>
        <w:r>
          <w:rPr>
            <w:noProof/>
            <w:webHidden/>
          </w:rPr>
          <w:fldChar w:fldCharType="begin"/>
        </w:r>
        <w:r>
          <w:rPr>
            <w:noProof/>
            <w:webHidden/>
          </w:rPr>
          <w:instrText xml:space="preserve"> PAGEREF _Toc181684213 \h </w:instrText>
        </w:r>
        <w:r>
          <w:rPr>
            <w:noProof/>
            <w:webHidden/>
          </w:rPr>
        </w:r>
        <w:r>
          <w:rPr>
            <w:noProof/>
            <w:webHidden/>
          </w:rPr>
          <w:fldChar w:fldCharType="separate"/>
        </w:r>
        <w:r>
          <w:rPr>
            <w:noProof/>
            <w:webHidden/>
          </w:rPr>
          <w:t>486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4" w:history="1">
        <w:r w:rsidRPr="001B13A4">
          <w:rPr>
            <w:rStyle w:val="Hyperlink"/>
            <w:noProof/>
          </w:rPr>
          <w:t>2.1.1178</w:t>
        </w:r>
        <w:r>
          <w:rPr>
            <w:rFonts w:asciiTheme="minorHAnsi" w:eastAsiaTheme="minorEastAsia" w:hAnsiTheme="minorHAnsi" w:cstheme="minorBidi"/>
            <w:noProof/>
            <w:sz w:val="22"/>
            <w:szCs w:val="22"/>
          </w:rPr>
          <w:tab/>
        </w:r>
        <w:r w:rsidRPr="001B13A4">
          <w:rPr>
            <w:rStyle w:val="Hyperlink"/>
            <w:noProof/>
          </w:rPr>
          <w:t>Part 1 Section 19.5.78, subTnLst (Sub-TimeNodes List)</w:t>
        </w:r>
        <w:r>
          <w:rPr>
            <w:noProof/>
            <w:webHidden/>
          </w:rPr>
          <w:tab/>
        </w:r>
        <w:r>
          <w:rPr>
            <w:noProof/>
            <w:webHidden/>
          </w:rPr>
          <w:fldChar w:fldCharType="begin"/>
        </w:r>
        <w:r>
          <w:rPr>
            <w:noProof/>
            <w:webHidden/>
          </w:rPr>
          <w:instrText xml:space="preserve"> PAGEREF _Toc181684214 \h </w:instrText>
        </w:r>
        <w:r>
          <w:rPr>
            <w:noProof/>
            <w:webHidden/>
          </w:rPr>
        </w:r>
        <w:r>
          <w:rPr>
            <w:noProof/>
            <w:webHidden/>
          </w:rPr>
          <w:fldChar w:fldCharType="separate"/>
        </w:r>
        <w:r>
          <w:rPr>
            <w:noProof/>
            <w:webHidden/>
          </w:rPr>
          <w:t>486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5" w:history="1">
        <w:r w:rsidRPr="001B13A4">
          <w:rPr>
            <w:rStyle w:val="Hyperlink"/>
            <w:noProof/>
          </w:rPr>
          <w:t>2.1.1179</w:t>
        </w:r>
        <w:r>
          <w:rPr>
            <w:rFonts w:asciiTheme="minorHAnsi" w:eastAsiaTheme="minorEastAsia" w:hAnsiTheme="minorHAnsi" w:cstheme="minorBidi"/>
            <w:noProof/>
            <w:sz w:val="22"/>
            <w:szCs w:val="22"/>
          </w:rPr>
          <w:tab/>
        </w:r>
        <w:r w:rsidRPr="001B13A4">
          <w:rPr>
            <w:rStyle w:val="Hyperlink"/>
            <w:noProof/>
          </w:rPr>
          <w:t>Part 1 Section 19.5.84, tmpl (Template Effects)</w:t>
        </w:r>
        <w:r>
          <w:rPr>
            <w:noProof/>
            <w:webHidden/>
          </w:rPr>
          <w:tab/>
        </w:r>
        <w:r>
          <w:rPr>
            <w:noProof/>
            <w:webHidden/>
          </w:rPr>
          <w:fldChar w:fldCharType="begin"/>
        </w:r>
        <w:r>
          <w:rPr>
            <w:noProof/>
            <w:webHidden/>
          </w:rPr>
          <w:instrText xml:space="preserve"> PAGEREF _Toc181684215 \h </w:instrText>
        </w:r>
        <w:r>
          <w:rPr>
            <w:noProof/>
            <w:webHidden/>
          </w:rPr>
        </w:r>
        <w:r>
          <w:rPr>
            <w:noProof/>
            <w:webHidden/>
          </w:rPr>
          <w:fldChar w:fldCharType="separate"/>
        </w:r>
        <w:r>
          <w:rPr>
            <w:noProof/>
            <w:webHidden/>
          </w:rPr>
          <w:t>486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6" w:history="1">
        <w:r w:rsidRPr="001B13A4">
          <w:rPr>
            <w:rStyle w:val="Hyperlink"/>
            <w:noProof/>
          </w:rPr>
          <w:t>2.1.1180</w:t>
        </w:r>
        <w:r>
          <w:rPr>
            <w:rFonts w:asciiTheme="minorHAnsi" w:eastAsiaTheme="minorEastAsia" w:hAnsiTheme="minorHAnsi" w:cstheme="minorBidi"/>
            <w:noProof/>
            <w:sz w:val="22"/>
            <w:szCs w:val="22"/>
          </w:rPr>
          <w:tab/>
        </w:r>
        <w:r w:rsidRPr="001B13A4">
          <w:rPr>
            <w:rStyle w:val="Hyperlink"/>
            <w:noProof/>
          </w:rPr>
          <w:t>Part 1 Section 19.5.85, tmplLst (Template effects)</w:t>
        </w:r>
        <w:r>
          <w:rPr>
            <w:noProof/>
            <w:webHidden/>
          </w:rPr>
          <w:tab/>
        </w:r>
        <w:r>
          <w:rPr>
            <w:noProof/>
            <w:webHidden/>
          </w:rPr>
          <w:fldChar w:fldCharType="begin"/>
        </w:r>
        <w:r>
          <w:rPr>
            <w:noProof/>
            <w:webHidden/>
          </w:rPr>
          <w:instrText xml:space="preserve"> PAGEREF _Toc181684216 \h </w:instrText>
        </w:r>
        <w:r>
          <w:rPr>
            <w:noProof/>
            <w:webHidden/>
          </w:rPr>
        </w:r>
        <w:r>
          <w:rPr>
            <w:noProof/>
            <w:webHidden/>
          </w:rPr>
          <w:fldChar w:fldCharType="separate"/>
        </w:r>
        <w:r>
          <w:rPr>
            <w:noProof/>
            <w:webHidden/>
          </w:rPr>
          <w:t>486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7" w:history="1">
        <w:r w:rsidRPr="001B13A4">
          <w:rPr>
            <w:rStyle w:val="Hyperlink"/>
            <w:noProof/>
          </w:rPr>
          <w:t>2.1.1181</w:t>
        </w:r>
        <w:r>
          <w:rPr>
            <w:rFonts w:asciiTheme="minorHAnsi" w:eastAsiaTheme="minorEastAsia" w:hAnsiTheme="minorHAnsi" w:cstheme="minorBidi"/>
            <w:noProof/>
            <w:sz w:val="22"/>
            <w:szCs w:val="22"/>
          </w:rPr>
          <w:tab/>
        </w:r>
        <w:r w:rsidRPr="001B13A4">
          <w:rPr>
            <w:rStyle w:val="Hyperlink"/>
            <w:noProof/>
          </w:rPr>
          <w:t>Part 1 Section 19.5.87, tnLst (Time Node List)</w:t>
        </w:r>
        <w:r>
          <w:rPr>
            <w:noProof/>
            <w:webHidden/>
          </w:rPr>
          <w:tab/>
        </w:r>
        <w:r>
          <w:rPr>
            <w:noProof/>
            <w:webHidden/>
          </w:rPr>
          <w:fldChar w:fldCharType="begin"/>
        </w:r>
        <w:r>
          <w:rPr>
            <w:noProof/>
            <w:webHidden/>
          </w:rPr>
          <w:instrText xml:space="preserve"> PAGEREF _Toc181684217 \h </w:instrText>
        </w:r>
        <w:r>
          <w:rPr>
            <w:noProof/>
            <w:webHidden/>
          </w:rPr>
        </w:r>
        <w:r>
          <w:rPr>
            <w:noProof/>
            <w:webHidden/>
          </w:rPr>
          <w:fldChar w:fldCharType="separate"/>
        </w:r>
        <w:r>
          <w:rPr>
            <w:noProof/>
            <w:webHidden/>
          </w:rPr>
          <w:t>487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8" w:history="1">
        <w:r w:rsidRPr="001B13A4">
          <w:rPr>
            <w:rStyle w:val="Hyperlink"/>
            <w:noProof/>
          </w:rPr>
          <w:t>2.1.1182</w:t>
        </w:r>
        <w:r>
          <w:rPr>
            <w:rFonts w:asciiTheme="minorHAnsi" w:eastAsiaTheme="minorEastAsia" w:hAnsiTheme="minorHAnsi" w:cstheme="minorBidi"/>
            <w:noProof/>
            <w:sz w:val="22"/>
            <w:szCs w:val="22"/>
          </w:rPr>
          <w:tab/>
        </w:r>
        <w:r w:rsidRPr="001B13A4">
          <w:rPr>
            <w:rStyle w:val="Hyperlink"/>
            <w:noProof/>
          </w:rPr>
          <w:t>Part 1 Section 19.5.88, to (To)</w:t>
        </w:r>
        <w:r>
          <w:rPr>
            <w:noProof/>
            <w:webHidden/>
          </w:rPr>
          <w:tab/>
        </w:r>
        <w:r>
          <w:rPr>
            <w:noProof/>
            <w:webHidden/>
          </w:rPr>
          <w:fldChar w:fldCharType="begin"/>
        </w:r>
        <w:r>
          <w:rPr>
            <w:noProof/>
            <w:webHidden/>
          </w:rPr>
          <w:instrText xml:space="preserve"> PAGEREF _Toc181684218 \h </w:instrText>
        </w:r>
        <w:r>
          <w:rPr>
            <w:noProof/>
            <w:webHidden/>
          </w:rPr>
        </w:r>
        <w:r>
          <w:rPr>
            <w:noProof/>
            <w:webHidden/>
          </w:rPr>
          <w:fldChar w:fldCharType="separate"/>
        </w:r>
        <w:r>
          <w:rPr>
            <w:noProof/>
            <w:webHidden/>
          </w:rPr>
          <w:t>487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19" w:history="1">
        <w:r w:rsidRPr="001B13A4">
          <w:rPr>
            <w:rStyle w:val="Hyperlink"/>
            <w:noProof/>
          </w:rPr>
          <w:t>2.1.1183</w:t>
        </w:r>
        <w:r>
          <w:rPr>
            <w:rFonts w:asciiTheme="minorHAnsi" w:eastAsiaTheme="minorEastAsia" w:hAnsiTheme="minorHAnsi" w:cstheme="minorBidi"/>
            <w:noProof/>
            <w:sz w:val="22"/>
            <w:szCs w:val="22"/>
          </w:rPr>
          <w:tab/>
        </w:r>
        <w:r w:rsidRPr="001B13A4">
          <w:rPr>
            <w:rStyle w:val="Hyperlink"/>
            <w:noProof/>
          </w:rPr>
          <w:t>Part 1 Section 19.5.89, to (To)</w:t>
        </w:r>
        <w:r>
          <w:rPr>
            <w:noProof/>
            <w:webHidden/>
          </w:rPr>
          <w:tab/>
        </w:r>
        <w:r>
          <w:rPr>
            <w:noProof/>
            <w:webHidden/>
          </w:rPr>
          <w:fldChar w:fldCharType="begin"/>
        </w:r>
        <w:r>
          <w:rPr>
            <w:noProof/>
            <w:webHidden/>
          </w:rPr>
          <w:instrText xml:space="preserve"> PAGEREF _Toc181684219 \h </w:instrText>
        </w:r>
        <w:r>
          <w:rPr>
            <w:noProof/>
            <w:webHidden/>
          </w:rPr>
        </w:r>
        <w:r>
          <w:rPr>
            <w:noProof/>
            <w:webHidden/>
          </w:rPr>
          <w:fldChar w:fldCharType="separate"/>
        </w:r>
        <w:r>
          <w:rPr>
            <w:noProof/>
            <w:webHidden/>
          </w:rPr>
          <w:t>487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0" w:history="1">
        <w:r w:rsidRPr="001B13A4">
          <w:rPr>
            <w:rStyle w:val="Hyperlink"/>
            <w:noProof/>
          </w:rPr>
          <w:t>2.1.1184</w:t>
        </w:r>
        <w:r>
          <w:rPr>
            <w:rFonts w:asciiTheme="minorHAnsi" w:eastAsiaTheme="minorEastAsia" w:hAnsiTheme="minorHAnsi" w:cstheme="minorBidi"/>
            <w:noProof/>
            <w:sz w:val="22"/>
            <w:szCs w:val="22"/>
          </w:rPr>
          <w:tab/>
        </w:r>
        <w:r w:rsidRPr="001B13A4">
          <w:rPr>
            <w:rStyle w:val="Hyperlink"/>
            <w:noProof/>
          </w:rPr>
          <w:t>Part 1 Section 19.5.90, to (To)</w:t>
        </w:r>
        <w:r>
          <w:rPr>
            <w:noProof/>
            <w:webHidden/>
          </w:rPr>
          <w:tab/>
        </w:r>
        <w:r>
          <w:rPr>
            <w:noProof/>
            <w:webHidden/>
          </w:rPr>
          <w:fldChar w:fldCharType="begin"/>
        </w:r>
        <w:r>
          <w:rPr>
            <w:noProof/>
            <w:webHidden/>
          </w:rPr>
          <w:instrText xml:space="preserve"> PAGEREF _Toc181684220 \h </w:instrText>
        </w:r>
        <w:r>
          <w:rPr>
            <w:noProof/>
            <w:webHidden/>
          </w:rPr>
        </w:r>
        <w:r>
          <w:rPr>
            <w:noProof/>
            <w:webHidden/>
          </w:rPr>
          <w:fldChar w:fldCharType="separate"/>
        </w:r>
        <w:r>
          <w:rPr>
            <w:noProof/>
            <w:webHidden/>
          </w:rPr>
          <w:t>490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1" w:history="1">
        <w:r w:rsidRPr="001B13A4">
          <w:rPr>
            <w:rStyle w:val="Hyperlink"/>
            <w:noProof/>
          </w:rPr>
          <w:t>2.1.1185</w:t>
        </w:r>
        <w:r>
          <w:rPr>
            <w:rFonts w:asciiTheme="minorHAnsi" w:eastAsiaTheme="minorEastAsia" w:hAnsiTheme="minorHAnsi" w:cstheme="minorBidi"/>
            <w:noProof/>
            <w:sz w:val="22"/>
            <w:szCs w:val="22"/>
          </w:rPr>
          <w:tab/>
        </w:r>
        <w:r w:rsidRPr="001B13A4">
          <w:rPr>
            <w:rStyle w:val="Hyperlink"/>
            <w:noProof/>
          </w:rPr>
          <w:t>Part 1 Section 19.5.93, video (Video)</w:t>
        </w:r>
        <w:r>
          <w:rPr>
            <w:noProof/>
            <w:webHidden/>
          </w:rPr>
          <w:tab/>
        </w:r>
        <w:r>
          <w:rPr>
            <w:noProof/>
            <w:webHidden/>
          </w:rPr>
          <w:fldChar w:fldCharType="begin"/>
        </w:r>
        <w:r>
          <w:rPr>
            <w:noProof/>
            <w:webHidden/>
          </w:rPr>
          <w:instrText xml:space="preserve"> PAGEREF _Toc181684221 \h </w:instrText>
        </w:r>
        <w:r>
          <w:rPr>
            <w:noProof/>
            <w:webHidden/>
          </w:rPr>
        </w:r>
        <w:r>
          <w:rPr>
            <w:noProof/>
            <w:webHidden/>
          </w:rPr>
          <w:fldChar w:fldCharType="separate"/>
        </w:r>
        <w:r>
          <w:rPr>
            <w:noProof/>
            <w:webHidden/>
          </w:rPr>
          <w:t>490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2" w:history="1">
        <w:r w:rsidRPr="001B13A4">
          <w:rPr>
            <w:rStyle w:val="Hyperlink"/>
            <w:noProof/>
          </w:rPr>
          <w:t>2.1.1186</w:t>
        </w:r>
        <w:r>
          <w:rPr>
            <w:rFonts w:asciiTheme="minorHAnsi" w:eastAsiaTheme="minorEastAsia" w:hAnsiTheme="minorHAnsi" w:cstheme="minorBidi"/>
            <w:noProof/>
            <w:sz w:val="22"/>
            <w:szCs w:val="22"/>
          </w:rPr>
          <w:tab/>
        </w:r>
        <w:r w:rsidRPr="001B13A4">
          <w:rPr>
            <w:rStyle w:val="Hyperlink"/>
            <w:noProof/>
          </w:rPr>
          <w:t>Part 1 Section 19.5.95, wheel (Wheel Slide Transition)</w:t>
        </w:r>
        <w:r>
          <w:rPr>
            <w:noProof/>
            <w:webHidden/>
          </w:rPr>
          <w:tab/>
        </w:r>
        <w:r>
          <w:rPr>
            <w:noProof/>
            <w:webHidden/>
          </w:rPr>
          <w:fldChar w:fldCharType="begin"/>
        </w:r>
        <w:r>
          <w:rPr>
            <w:noProof/>
            <w:webHidden/>
          </w:rPr>
          <w:instrText xml:space="preserve"> PAGEREF _Toc181684222 \h </w:instrText>
        </w:r>
        <w:r>
          <w:rPr>
            <w:noProof/>
            <w:webHidden/>
          </w:rPr>
        </w:r>
        <w:r>
          <w:rPr>
            <w:noProof/>
            <w:webHidden/>
          </w:rPr>
          <w:fldChar w:fldCharType="separate"/>
        </w:r>
        <w:r>
          <w:rPr>
            <w:noProof/>
            <w:webHidden/>
          </w:rPr>
          <w:t>490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3" w:history="1">
        <w:r w:rsidRPr="001B13A4">
          <w:rPr>
            <w:rStyle w:val="Hyperlink"/>
            <w:noProof/>
          </w:rPr>
          <w:t>2.1.1187</w:t>
        </w:r>
        <w:r>
          <w:rPr>
            <w:rFonts w:asciiTheme="minorHAnsi" w:eastAsiaTheme="minorEastAsia" w:hAnsiTheme="minorHAnsi" w:cstheme="minorBidi"/>
            <w:noProof/>
            <w:sz w:val="22"/>
            <w:szCs w:val="22"/>
          </w:rPr>
          <w:tab/>
        </w:r>
        <w:r w:rsidRPr="001B13A4">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_Toc181684223 \h </w:instrText>
        </w:r>
        <w:r>
          <w:rPr>
            <w:noProof/>
            <w:webHidden/>
          </w:rPr>
        </w:r>
        <w:r>
          <w:rPr>
            <w:noProof/>
            <w:webHidden/>
          </w:rPr>
          <w:fldChar w:fldCharType="separate"/>
        </w:r>
        <w:r>
          <w:rPr>
            <w:noProof/>
            <w:webHidden/>
          </w:rPr>
          <w:t>491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4" w:history="1">
        <w:r w:rsidRPr="001B13A4">
          <w:rPr>
            <w:rStyle w:val="Hyperlink"/>
            <w:noProof/>
          </w:rPr>
          <w:t>2.1.1188</w:t>
        </w:r>
        <w:r>
          <w:rPr>
            <w:rFonts w:asciiTheme="minorHAnsi" w:eastAsiaTheme="minorEastAsia" w:hAnsiTheme="minorHAnsi" w:cstheme="minorBidi"/>
            <w:noProof/>
            <w:sz w:val="22"/>
            <w:szCs w:val="22"/>
          </w:rPr>
          <w:tab/>
        </w:r>
        <w:r w:rsidRPr="001B13A4">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_Toc181684224 \h </w:instrText>
        </w:r>
        <w:r>
          <w:rPr>
            <w:noProof/>
            <w:webHidden/>
          </w:rPr>
        </w:r>
        <w:r>
          <w:rPr>
            <w:noProof/>
            <w:webHidden/>
          </w:rPr>
          <w:fldChar w:fldCharType="separate"/>
        </w:r>
        <w:r>
          <w:rPr>
            <w:noProof/>
            <w:webHidden/>
          </w:rPr>
          <w:t>493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5" w:history="1">
        <w:r w:rsidRPr="001B13A4">
          <w:rPr>
            <w:rStyle w:val="Hyperlink"/>
            <w:noProof/>
          </w:rPr>
          <w:t>2.1.1189</w:t>
        </w:r>
        <w:r>
          <w:rPr>
            <w:rFonts w:asciiTheme="minorHAnsi" w:eastAsiaTheme="minorEastAsia" w:hAnsiTheme="minorHAnsi" w:cstheme="minorBidi"/>
            <w:noProof/>
            <w:sz w:val="22"/>
            <w:szCs w:val="22"/>
          </w:rPr>
          <w:tab/>
        </w:r>
        <w:r w:rsidRPr="001B13A4">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_Toc181684225 \h </w:instrText>
        </w:r>
        <w:r>
          <w:rPr>
            <w:noProof/>
            <w:webHidden/>
          </w:rPr>
        </w:r>
        <w:r>
          <w:rPr>
            <w:noProof/>
            <w:webHidden/>
          </w:rPr>
          <w:fldChar w:fldCharType="separate"/>
        </w:r>
        <w:r>
          <w:rPr>
            <w:noProof/>
            <w:webHidden/>
          </w:rPr>
          <w:t>493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6" w:history="1">
        <w:r w:rsidRPr="001B13A4">
          <w:rPr>
            <w:rStyle w:val="Hyperlink"/>
            <w:noProof/>
          </w:rPr>
          <w:t>2.1.1190</w:t>
        </w:r>
        <w:r>
          <w:rPr>
            <w:rFonts w:asciiTheme="minorHAnsi" w:eastAsiaTheme="minorEastAsia" w:hAnsiTheme="minorHAnsi" w:cstheme="minorBidi"/>
            <w:noProof/>
            <w:sz w:val="22"/>
            <w:szCs w:val="22"/>
          </w:rPr>
          <w:tab/>
        </w:r>
        <w:r w:rsidRPr="001B13A4">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_Toc181684226 \h </w:instrText>
        </w:r>
        <w:r>
          <w:rPr>
            <w:noProof/>
            <w:webHidden/>
          </w:rPr>
        </w:r>
        <w:r>
          <w:rPr>
            <w:noProof/>
            <w:webHidden/>
          </w:rPr>
          <w:fldChar w:fldCharType="separate"/>
        </w:r>
        <w:r>
          <w:rPr>
            <w:noProof/>
            <w:webHidden/>
          </w:rPr>
          <w:t>493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7" w:history="1">
        <w:r w:rsidRPr="001B13A4">
          <w:rPr>
            <w:rStyle w:val="Hyperlink"/>
            <w:noProof/>
          </w:rPr>
          <w:t>2.1.1191</w:t>
        </w:r>
        <w:r>
          <w:rPr>
            <w:rFonts w:asciiTheme="minorHAnsi" w:eastAsiaTheme="minorEastAsia" w:hAnsiTheme="minorHAnsi" w:cstheme="minorBidi"/>
            <w:noProof/>
            <w:sz w:val="22"/>
            <w:szCs w:val="22"/>
          </w:rPr>
          <w:tab/>
        </w:r>
        <w:r w:rsidRPr="001B13A4">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_Toc181684227 \h </w:instrText>
        </w:r>
        <w:r>
          <w:rPr>
            <w:noProof/>
            <w:webHidden/>
          </w:rPr>
        </w:r>
        <w:r>
          <w:rPr>
            <w:noProof/>
            <w:webHidden/>
          </w:rPr>
          <w:fldChar w:fldCharType="separate"/>
        </w:r>
        <w:r>
          <w:rPr>
            <w:noProof/>
            <w:webHidden/>
          </w:rPr>
          <w:t>493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8" w:history="1">
        <w:r w:rsidRPr="001B13A4">
          <w:rPr>
            <w:rStyle w:val="Hyperlink"/>
            <w:noProof/>
          </w:rPr>
          <w:t>2.1.1192</w:t>
        </w:r>
        <w:r>
          <w:rPr>
            <w:rFonts w:asciiTheme="minorHAnsi" w:eastAsiaTheme="minorEastAsia" w:hAnsiTheme="minorHAnsi" w:cstheme="minorBidi"/>
            <w:noProof/>
            <w:sz w:val="22"/>
            <w:szCs w:val="22"/>
          </w:rPr>
          <w:tab/>
        </w:r>
        <w:r w:rsidRPr="001B13A4">
          <w:rPr>
            <w:rStyle w:val="Hyperlink"/>
            <w:noProof/>
          </w:rPr>
          <w:t>Part 1 Section 19.7.38, ST_TLTime (Time)</w:t>
        </w:r>
        <w:r>
          <w:rPr>
            <w:noProof/>
            <w:webHidden/>
          </w:rPr>
          <w:tab/>
        </w:r>
        <w:r>
          <w:rPr>
            <w:noProof/>
            <w:webHidden/>
          </w:rPr>
          <w:fldChar w:fldCharType="begin"/>
        </w:r>
        <w:r>
          <w:rPr>
            <w:noProof/>
            <w:webHidden/>
          </w:rPr>
          <w:instrText xml:space="preserve"> PAGEREF _Toc181684228 \h </w:instrText>
        </w:r>
        <w:r>
          <w:rPr>
            <w:noProof/>
            <w:webHidden/>
          </w:rPr>
        </w:r>
        <w:r>
          <w:rPr>
            <w:noProof/>
            <w:webHidden/>
          </w:rPr>
          <w:fldChar w:fldCharType="separate"/>
        </w:r>
        <w:r>
          <w:rPr>
            <w:noProof/>
            <w:webHidden/>
          </w:rPr>
          <w:t>493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29" w:history="1">
        <w:r w:rsidRPr="001B13A4">
          <w:rPr>
            <w:rStyle w:val="Hyperlink"/>
            <w:noProof/>
          </w:rPr>
          <w:t>2.1.1193</w:t>
        </w:r>
        <w:r>
          <w:rPr>
            <w:rFonts w:asciiTheme="minorHAnsi" w:eastAsiaTheme="minorEastAsia" w:hAnsiTheme="minorHAnsi" w:cstheme="minorBidi"/>
            <w:noProof/>
            <w:sz w:val="22"/>
            <w:szCs w:val="22"/>
          </w:rPr>
          <w:tab/>
        </w:r>
        <w:r w:rsidRPr="001B13A4">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_Toc181684229 \h </w:instrText>
        </w:r>
        <w:r>
          <w:rPr>
            <w:noProof/>
            <w:webHidden/>
          </w:rPr>
        </w:r>
        <w:r>
          <w:rPr>
            <w:noProof/>
            <w:webHidden/>
          </w:rPr>
          <w:fldChar w:fldCharType="separate"/>
        </w:r>
        <w:r>
          <w:rPr>
            <w:noProof/>
            <w:webHidden/>
          </w:rPr>
          <w:t>493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0" w:history="1">
        <w:r w:rsidRPr="001B13A4">
          <w:rPr>
            <w:rStyle w:val="Hyperlink"/>
            <w:noProof/>
          </w:rPr>
          <w:t>2.1.1194</w:t>
        </w:r>
        <w:r>
          <w:rPr>
            <w:rFonts w:asciiTheme="minorHAnsi" w:eastAsiaTheme="minorEastAsia" w:hAnsiTheme="minorHAnsi" w:cstheme="minorBidi"/>
            <w:noProof/>
            <w:sz w:val="22"/>
            <w:szCs w:val="22"/>
          </w:rPr>
          <w:tab/>
        </w:r>
        <w:r w:rsidRPr="001B13A4">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_Toc181684230 \h </w:instrText>
        </w:r>
        <w:r>
          <w:rPr>
            <w:noProof/>
            <w:webHidden/>
          </w:rPr>
        </w:r>
        <w:r>
          <w:rPr>
            <w:noProof/>
            <w:webHidden/>
          </w:rPr>
          <w:fldChar w:fldCharType="separate"/>
        </w:r>
        <w:r>
          <w:rPr>
            <w:noProof/>
            <w:webHidden/>
          </w:rPr>
          <w:t>494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1" w:history="1">
        <w:r w:rsidRPr="001B13A4">
          <w:rPr>
            <w:rStyle w:val="Hyperlink"/>
            <w:noProof/>
          </w:rPr>
          <w:t>2.1.1195</w:t>
        </w:r>
        <w:r>
          <w:rPr>
            <w:rFonts w:asciiTheme="minorHAnsi" w:eastAsiaTheme="minorEastAsia" w:hAnsiTheme="minorHAnsi" w:cstheme="minorBidi"/>
            <w:noProof/>
            <w:sz w:val="22"/>
            <w:szCs w:val="22"/>
          </w:rPr>
          <w:tab/>
        </w:r>
        <w:r w:rsidRPr="001B13A4">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_Toc181684231 \h </w:instrText>
        </w:r>
        <w:r>
          <w:rPr>
            <w:noProof/>
            <w:webHidden/>
          </w:rPr>
        </w:r>
        <w:r>
          <w:rPr>
            <w:noProof/>
            <w:webHidden/>
          </w:rPr>
          <w:fldChar w:fldCharType="separate"/>
        </w:r>
        <w:r>
          <w:rPr>
            <w:noProof/>
            <w:webHidden/>
          </w:rPr>
          <w:t>494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2" w:history="1">
        <w:r w:rsidRPr="001B13A4">
          <w:rPr>
            <w:rStyle w:val="Hyperlink"/>
            <w:noProof/>
          </w:rPr>
          <w:t>2.1.1196</w:t>
        </w:r>
        <w:r>
          <w:rPr>
            <w:rFonts w:asciiTheme="minorHAnsi" w:eastAsiaTheme="minorEastAsia" w:hAnsiTheme="minorHAnsi" w:cstheme="minorBidi"/>
            <w:noProof/>
            <w:sz w:val="22"/>
            <w:szCs w:val="22"/>
          </w:rPr>
          <w:tab/>
        </w:r>
        <w:r w:rsidRPr="001B13A4">
          <w:rPr>
            <w:rStyle w:val="Hyperlink"/>
            <w:noProof/>
          </w:rPr>
          <w:t>Part 1 Section 19.7.48, ST_TLTriggerEvent (Trigger Event)</w:t>
        </w:r>
        <w:r>
          <w:rPr>
            <w:noProof/>
            <w:webHidden/>
          </w:rPr>
          <w:tab/>
        </w:r>
        <w:r>
          <w:rPr>
            <w:noProof/>
            <w:webHidden/>
          </w:rPr>
          <w:fldChar w:fldCharType="begin"/>
        </w:r>
        <w:r>
          <w:rPr>
            <w:noProof/>
            <w:webHidden/>
          </w:rPr>
          <w:instrText xml:space="preserve"> PAGEREF _Toc181684232 \h </w:instrText>
        </w:r>
        <w:r>
          <w:rPr>
            <w:noProof/>
            <w:webHidden/>
          </w:rPr>
        </w:r>
        <w:r>
          <w:rPr>
            <w:noProof/>
            <w:webHidden/>
          </w:rPr>
          <w:fldChar w:fldCharType="separate"/>
        </w:r>
        <w:r>
          <w:rPr>
            <w:noProof/>
            <w:webHidden/>
          </w:rPr>
          <w:t>494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3" w:history="1">
        <w:r w:rsidRPr="001B13A4">
          <w:rPr>
            <w:rStyle w:val="Hyperlink"/>
            <w:noProof/>
          </w:rPr>
          <w:t>2.1.1197</w:t>
        </w:r>
        <w:r>
          <w:rPr>
            <w:rFonts w:asciiTheme="minorHAnsi" w:eastAsiaTheme="minorEastAsia" w:hAnsiTheme="minorHAnsi" w:cstheme="minorBidi"/>
            <w:noProof/>
            <w:sz w:val="22"/>
            <w:szCs w:val="22"/>
          </w:rPr>
          <w:tab/>
        </w:r>
        <w:r w:rsidRPr="001B13A4">
          <w:rPr>
            <w:rStyle w:val="Hyperlink"/>
            <w:noProof/>
          </w:rPr>
          <w:t>Part 1 Section 19.7.55, ST_ViewType (List of View Types)</w:t>
        </w:r>
        <w:r>
          <w:rPr>
            <w:noProof/>
            <w:webHidden/>
          </w:rPr>
          <w:tab/>
        </w:r>
        <w:r>
          <w:rPr>
            <w:noProof/>
            <w:webHidden/>
          </w:rPr>
          <w:fldChar w:fldCharType="begin"/>
        </w:r>
        <w:r>
          <w:rPr>
            <w:noProof/>
            <w:webHidden/>
          </w:rPr>
          <w:instrText xml:space="preserve"> PAGEREF _Toc181684233 \h </w:instrText>
        </w:r>
        <w:r>
          <w:rPr>
            <w:noProof/>
            <w:webHidden/>
          </w:rPr>
        </w:r>
        <w:r>
          <w:rPr>
            <w:noProof/>
            <w:webHidden/>
          </w:rPr>
          <w:fldChar w:fldCharType="separate"/>
        </w:r>
        <w:r>
          <w:rPr>
            <w:noProof/>
            <w:webHidden/>
          </w:rPr>
          <w:t>495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4" w:history="1">
        <w:r w:rsidRPr="001B13A4">
          <w:rPr>
            <w:rStyle w:val="Hyperlink"/>
            <w:noProof/>
          </w:rPr>
          <w:t>2.1.1198</w:t>
        </w:r>
        <w:r>
          <w:rPr>
            <w:rFonts w:asciiTheme="minorHAnsi" w:eastAsiaTheme="minorEastAsia" w:hAnsiTheme="minorHAnsi" w:cstheme="minorBidi"/>
            <w:noProof/>
            <w:sz w:val="22"/>
            <w:szCs w:val="22"/>
          </w:rPr>
          <w:tab/>
        </w:r>
        <w:r w:rsidRPr="001B13A4">
          <w:rPr>
            <w:rStyle w:val="Hyperlink"/>
            <w:noProof/>
          </w:rPr>
          <w:t>Part 1 Section 20.1.2.2.1, bldChart (Build Chart)</w:t>
        </w:r>
        <w:r>
          <w:rPr>
            <w:noProof/>
            <w:webHidden/>
          </w:rPr>
          <w:tab/>
        </w:r>
        <w:r>
          <w:rPr>
            <w:noProof/>
            <w:webHidden/>
          </w:rPr>
          <w:fldChar w:fldCharType="begin"/>
        </w:r>
        <w:r>
          <w:rPr>
            <w:noProof/>
            <w:webHidden/>
          </w:rPr>
          <w:instrText xml:space="preserve"> PAGEREF _Toc181684234 \h </w:instrText>
        </w:r>
        <w:r>
          <w:rPr>
            <w:noProof/>
            <w:webHidden/>
          </w:rPr>
        </w:r>
        <w:r>
          <w:rPr>
            <w:noProof/>
            <w:webHidden/>
          </w:rPr>
          <w:fldChar w:fldCharType="separate"/>
        </w:r>
        <w:r>
          <w:rPr>
            <w:noProof/>
            <w:webHidden/>
          </w:rPr>
          <w:t>495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5" w:history="1">
        <w:r w:rsidRPr="001B13A4">
          <w:rPr>
            <w:rStyle w:val="Hyperlink"/>
            <w:noProof/>
          </w:rPr>
          <w:t>2.1.1199</w:t>
        </w:r>
        <w:r>
          <w:rPr>
            <w:rFonts w:asciiTheme="minorHAnsi" w:eastAsiaTheme="minorEastAsia" w:hAnsiTheme="minorHAnsi" w:cstheme="minorBidi"/>
            <w:noProof/>
            <w:sz w:val="22"/>
            <w:szCs w:val="22"/>
          </w:rPr>
          <w:tab/>
        </w:r>
        <w:r w:rsidRPr="001B13A4">
          <w:rPr>
            <w:rStyle w:val="Hyperlink"/>
            <w:noProof/>
          </w:rPr>
          <w:t>Part 1 Section 20.1.2.2.2, bldDgm (Build Diagram)</w:t>
        </w:r>
        <w:r>
          <w:rPr>
            <w:noProof/>
            <w:webHidden/>
          </w:rPr>
          <w:tab/>
        </w:r>
        <w:r>
          <w:rPr>
            <w:noProof/>
            <w:webHidden/>
          </w:rPr>
          <w:fldChar w:fldCharType="begin"/>
        </w:r>
        <w:r>
          <w:rPr>
            <w:noProof/>
            <w:webHidden/>
          </w:rPr>
          <w:instrText xml:space="preserve"> PAGEREF _Toc181684235 \h </w:instrText>
        </w:r>
        <w:r>
          <w:rPr>
            <w:noProof/>
            <w:webHidden/>
          </w:rPr>
        </w:r>
        <w:r>
          <w:rPr>
            <w:noProof/>
            <w:webHidden/>
          </w:rPr>
          <w:fldChar w:fldCharType="separate"/>
        </w:r>
        <w:r>
          <w:rPr>
            <w:noProof/>
            <w:webHidden/>
          </w:rPr>
          <w:t>495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6" w:history="1">
        <w:r w:rsidRPr="001B13A4">
          <w:rPr>
            <w:rStyle w:val="Hyperlink"/>
            <w:noProof/>
          </w:rPr>
          <w:t>2.1.1200</w:t>
        </w:r>
        <w:r>
          <w:rPr>
            <w:rFonts w:asciiTheme="minorHAnsi" w:eastAsiaTheme="minorEastAsia" w:hAnsiTheme="minorHAnsi" w:cstheme="minorBidi"/>
            <w:noProof/>
            <w:sz w:val="22"/>
            <w:szCs w:val="22"/>
          </w:rPr>
          <w:tab/>
        </w:r>
        <w:r w:rsidRPr="001B13A4">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_Toc181684236 \h </w:instrText>
        </w:r>
        <w:r>
          <w:rPr>
            <w:noProof/>
            <w:webHidden/>
          </w:rPr>
        </w:r>
        <w:r>
          <w:rPr>
            <w:noProof/>
            <w:webHidden/>
          </w:rPr>
          <w:fldChar w:fldCharType="separate"/>
        </w:r>
        <w:r>
          <w:rPr>
            <w:noProof/>
            <w:webHidden/>
          </w:rPr>
          <w:t>495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7" w:history="1">
        <w:r w:rsidRPr="001B13A4">
          <w:rPr>
            <w:rStyle w:val="Hyperlink"/>
            <w:noProof/>
          </w:rPr>
          <w:t>2.1.1201</w:t>
        </w:r>
        <w:r>
          <w:rPr>
            <w:rFonts w:asciiTheme="minorHAnsi" w:eastAsiaTheme="minorEastAsia" w:hAnsiTheme="minorHAnsi" w:cstheme="minorBidi"/>
            <w:noProof/>
            <w:sz w:val="22"/>
            <w:szCs w:val="22"/>
          </w:rPr>
          <w:tab/>
        </w:r>
        <w:r w:rsidRPr="001B13A4">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_Toc181684237 \h </w:instrText>
        </w:r>
        <w:r>
          <w:rPr>
            <w:noProof/>
            <w:webHidden/>
          </w:rPr>
        </w:r>
        <w:r>
          <w:rPr>
            <w:noProof/>
            <w:webHidden/>
          </w:rPr>
          <w:fldChar w:fldCharType="separate"/>
        </w:r>
        <w:r>
          <w:rPr>
            <w:noProof/>
            <w:webHidden/>
          </w:rPr>
          <w:t>495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8" w:history="1">
        <w:r w:rsidRPr="001B13A4">
          <w:rPr>
            <w:rStyle w:val="Hyperlink"/>
            <w:noProof/>
          </w:rPr>
          <w:t>2.1.1202</w:t>
        </w:r>
        <w:r>
          <w:rPr>
            <w:rFonts w:asciiTheme="minorHAnsi" w:eastAsiaTheme="minorEastAsia" w:hAnsiTheme="minorHAnsi" w:cstheme="minorBidi"/>
            <w:noProof/>
            <w:sz w:val="22"/>
            <w:szCs w:val="22"/>
          </w:rPr>
          <w:tab/>
        </w:r>
        <w:r w:rsidRPr="001B13A4">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_Toc181684238 \h </w:instrText>
        </w:r>
        <w:r>
          <w:rPr>
            <w:noProof/>
            <w:webHidden/>
          </w:rPr>
        </w:r>
        <w:r>
          <w:rPr>
            <w:noProof/>
            <w:webHidden/>
          </w:rPr>
          <w:fldChar w:fldCharType="separate"/>
        </w:r>
        <w:r>
          <w:rPr>
            <w:noProof/>
            <w:webHidden/>
          </w:rPr>
          <w:t>495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39" w:history="1">
        <w:r w:rsidRPr="001B13A4">
          <w:rPr>
            <w:rStyle w:val="Hyperlink"/>
            <w:noProof/>
          </w:rPr>
          <w:t>2.1.1203</w:t>
        </w:r>
        <w:r>
          <w:rPr>
            <w:rFonts w:asciiTheme="minorHAnsi" w:eastAsiaTheme="minorEastAsia" w:hAnsiTheme="minorHAnsi" w:cstheme="minorBidi"/>
            <w:noProof/>
            <w:sz w:val="22"/>
            <w:szCs w:val="22"/>
          </w:rPr>
          <w:tab/>
        </w:r>
        <w:r w:rsidRPr="001B13A4">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_Toc181684239 \h </w:instrText>
        </w:r>
        <w:r>
          <w:rPr>
            <w:noProof/>
            <w:webHidden/>
          </w:rPr>
        </w:r>
        <w:r>
          <w:rPr>
            <w:noProof/>
            <w:webHidden/>
          </w:rPr>
          <w:fldChar w:fldCharType="separate"/>
        </w:r>
        <w:r>
          <w:rPr>
            <w:noProof/>
            <w:webHidden/>
          </w:rPr>
          <w:t>495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0" w:history="1">
        <w:r w:rsidRPr="001B13A4">
          <w:rPr>
            <w:rStyle w:val="Hyperlink"/>
            <w:noProof/>
          </w:rPr>
          <w:t>2.1.1204</w:t>
        </w:r>
        <w:r>
          <w:rPr>
            <w:rFonts w:asciiTheme="minorHAnsi" w:eastAsiaTheme="minorEastAsia" w:hAnsiTheme="minorHAnsi" w:cstheme="minorBidi"/>
            <w:noProof/>
            <w:sz w:val="22"/>
            <w:szCs w:val="22"/>
          </w:rPr>
          <w:tab/>
        </w:r>
        <w:r w:rsidRPr="001B13A4">
          <w:rPr>
            <w:rStyle w:val="Hyperlink"/>
            <w:noProof/>
          </w:rPr>
          <w:t>Part 1 Section 20.1.2.2.12, dgm (Diagram to Animate)</w:t>
        </w:r>
        <w:r>
          <w:rPr>
            <w:noProof/>
            <w:webHidden/>
          </w:rPr>
          <w:tab/>
        </w:r>
        <w:r>
          <w:rPr>
            <w:noProof/>
            <w:webHidden/>
          </w:rPr>
          <w:fldChar w:fldCharType="begin"/>
        </w:r>
        <w:r>
          <w:rPr>
            <w:noProof/>
            <w:webHidden/>
          </w:rPr>
          <w:instrText xml:space="preserve"> PAGEREF _Toc181684240 \h </w:instrText>
        </w:r>
        <w:r>
          <w:rPr>
            <w:noProof/>
            <w:webHidden/>
          </w:rPr>
        </w:r>
        <w:r>
          <w:rPr>
            <w:noProof/>
            <w:webHidden/>
          </w:rPr>
          <w:fldChar w:fldCharType="separate"/>
        </w:r>
        <w:r>
          <w:rPr>
            <w:noProof/>
            <w:webHidden/>
          </w:rPr>
          <w:t>496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1" w:history="1">
        <w:r w:rsidRPr="001B13A4">
          <w:rPr>
            <w:rStyle w:val="Hyperlink"/>
            <w:noProof/>
          </w:rPr>
          <w:t>2.1.1205</w:t>
        </w:r>
        <w:r>
          <w:rPr>
            <w:rFonts w:asciiTheme="minorHAnsi" w:eastAsiaTheme="minorEastAsia" w:hAnsiTheme="minorHAnsi" w:cstheme="minorBidi"/>
            <w:noProof/>
            <w:sz w:val="22"/>
            <w:szCs w:val="22"/>
          </w:rPr>
          <w:tab/>
        </w:r>
        <w:r w:rsidRPr="001B13A4">
          <w:rPr>
            <w:rStyle w:val="Hyperlink"/>
            <w:noProof/>
          </w:rPr>
          <w:t>Part 1 Section 20.1.2.2.13, endCxn (Connection End)</w:t>
        </w:r>
        <w:r>
          <w:rPr>
            <w:noProof/>
            <w:webHidden/>
          </w:rPr>
          <w:tab/>
        </w:r>
        <w:r>
          <w:rPr>
            <w:noProof/>
            <w:webHidden/>
          </w:rPr>
          <w:fldChar w:fldCharType="begin"/>
        </w:r>
        <w:r>
          <w:rPr>
            <w:noProof/>
            <w:webHidden/>
          </w:rPr>
          <w:instrText xml:space="preserve"> PAGEREF _Toc181684241 \h </w:instrText>
        </w:r>
        <w:r>
          <w:rPr>
            <w:noProof/>
            <w:webHidden/>
          </w:rPr>
        </w:r>
        <w:r>
          <w:rPr>
            <w:noProof/>
            <w:webHidden/>
          </w:rPr>
          <w:fldChar w:fldCharType="separate"/>
        </w:r>
        <w:r>
          <w:rPr>
            <w:noProof/>
            <w:webHidden/>
          </w:rPr>
          <w:t>496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2" w:history="1">
        <w:r w:rsidRPr="001B13A4">
          <w:rPr>
            <w:rStyle w:val="Hyperlink"/>
            <w:noProof/>
          </w:rPr>
          <w:t>2.1.1206</w:t>
        </w:r>
        <w:r>
          <w:rPr>
            <w:rFonts w:asciiTheme="minorHAnsi" w:eastAsiaTheme="minorEastAsia" w:hAnsiTheme="minorHAnsi" w:cstheme="minorBidi"/>
            <w:noProof/>
            <w:sz w:val="22"/>
            <w:szCs w:val="22"/>
          </w:rPr>
          <w:tab/>
        </w:r>
        <w:r w:rsidRPr="001B13A4">
          <w:rPr>
            <w:rStyle w:val="Hyperlink"/>
            <w:noProof/>
          </w:rPr>
          <w:t>Part 1 Section 20.1.2.2.14, ext (Extension)</w:t>
        </w:r>
        <w:r>
          <w:rPr>
            <w:noProof/>
            <w:webHidden/>
          </w:rPr>
          <w:tab/>
        </w:r>
        <w:r>
          <w:rPr>
            <w:noProof/>
            <w:webHidden/>
          </w:rPr>
          <w:fldChar w:fldCharType="begin"/>
        </w:r>
        <w:r>
          <w:rPr>
            <w:noProof/>
            <w:webHidden/>
          </w:rPr>
          <w:instrText xml:space="preserve"> PAGEREF _Toc181684242 \h </w:instrText>
        </w:r>
        <w:r>
          <w:rPr>
            <w:noProof/>
            <w:webHidden/>
          </w:rPr>
        </w:r>
        <w:r>
          <w:rPr>
            <w:noProof/>
            <w:webHidden/>
          </w:rPr>
          <w:fldChar w:fldCharType="separate"/>
        </w:r>
        <w:r>
          <w:rPr>
            <w:noProof/>
            <w:webHidden/>
          </w:rPr>
          <w:t>496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3" w:history="1">
        <w:r w:rsidRPr="001B13A4">
          <w:rPr>
            <w:rStyle w:val="Hyperlink"/>
            <w:noProof/>
          </w:rPr>
          <w:t>2.1.1207</w:t>
        </w:r>
        <w:r>
          <w:rPr>
            <w:rFonts w:asciiTheme="minorHAnsi" w:eastAsiaTheme="minorEastAsia" w:hAnsiTheme="minorHAnsi" w:cstheme="minorBidi"/>
            <w:noProof/>
            <w:sz w:val="22"/>
            <w:szCs w:val="22"/>
          </w:rPr>
          <w:tab/>
        </w:r>
        <w:r w:rsidRPr="001B13A4">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_Toc181684243 \h </w:instrText>
        </w:r>
        <w:r>
          <w:rPr>
            <w:noProof/>
            <w:webHidden/>
          </w:rPr>
        </w:r>
        <w:r>
          <w:rPr>
            <w:noProof/>
            <w:webHidden/>
          </w:rPr>
          <w:fldChar w:fldCharType="separate"/>
        </w:r>
        <w:r>
          <w:rPr>
            <w:noProof/>
            <w:webHidden/>
          </w:rPr>
          <w:t>496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4" w:history="1">
        <w:r w:rsidRPr="001B13A4">
          <w:rPr>
            <w:rStyle w:val="Hyperlink"/>
            <w:noProof/>
          </w:rPr>
          <w:t>2.1.1208</w:t>
        </w:r>
        <w:r>
          <w:rPr>
            <w:rFonts w:asciiTheme="minorHAnsi" w:eastAsiaTheme="minorEastAsia" w:hAnsiTheme="minorHAnsi" w:cstheme="minorBidi"/>
            <w:noProof/>
            <w:sz w:val="22"/>
            <w:szCs w:val="22"/>
          </w:rPr>
          <w:tab/>
        </w:r>
        <w:r w:rsidRPr="001B13A4">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_Toc181684244 \h </w:instrText>
        </w:r>
        <w:r>
          <w:rPr>
            <w:noProof/>
            <w:webHidden/>
          </w:rPr>
        </w:r>
        <w:r>
          <w:rPr>
            <w:noProof/>
            <w:webHidden/>
          </w:rPr>
          <w:fldChar w:fldCharType="separate"/>
        </w:r>
        <w:r>
          <w:rPr>
            <w:noProof/>
            <w:webHidden/>
          </w:rPr>
          <w:t>497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5" w:history="1">
        <w:r w:rsidRPr="001B13A4">
          <w:rPr>
            <w:rStyle w:val="Hyperlink"/>
            <w:noProof/>
          </w:rPr>
          <w:t>2.1.1209</w:t>
        </w:r>
        <w:r>
          <w:rPr>
            <w:rFonts w:asciiTheme="minorHAnsi" w:eastAsiaTheme="minorEastAsia" w:hAnsiTheme="minorHAnsi" w:cstheme="minorBidi"/>
            <w:noProof/>
            <w:sz w:val="22"/>
            <w:szCs w:val="22"/>
          </w:rPr>
          <w:tab/>
        </w:r>
        <w:r w:rsidRPr="001B13A4">
          <w:rPr>
            <w:rStyle w:val="Hyperlink"/>
            <w:noProof/>
          </w:rPr>
          <w:t>Part 1 Section 20.1.2.2.21, grpSpLocks (Group Shape Locks)</w:t>
        </w:r>
        <w:r>
          <w:rPr>
            <w:noProof/>
            <w:webHidden/>
          </w:rPr>
          <w:tab/>
        </w:r>
        <w:r>
          <w:rPr>
            <w:noProof/>
            <w:webHidden/>
          </w:rPr>
          <w:fldChar w:fldCharType="begin"/>
        </w:r>
        <w:r>
          <w:rPr>
            <w:noProof/>
            <w:webHidden/>
          </w:rPr>
          <w:instrText xml:space="preserve"> PAGEREF _Toc181684245 \h </w:instrText>
        </w:r>
        <w:r>
          <w:rPr>
            <w:noProof/>
            <w:webHidden/>
          </w:rPr>
        </w:r>
        <w:r>
          <w:rPr>
            <w:noProof/>
            <w:webHidden/>
          </w:rPr>
          <w:fldChar w:fldCharType="separate"/>
        </w:r>
        <w:r>
          <w:rPr>
            <w:noProof/>
            <w:webHidden/>
          </w:rPr>
          <w:t>497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6" w:history="1">
        <w:r w:rsidRPr="001B13A4">
          <w:rPr>
            <w:rStyle w:val="Hyperlink"/>
            <w:noProof/>
          </w:rPr>
          <w:t>2.1.1210</w:t>
        </w:r>
        <w:r>
          <w:rPr>
            <w:rFonts w:asciiTheme="minorHAnsi" w:eastAsiaTheme="minorEastAsia" w:hAnsiTheme="minorHAnsi" w:cstheme="minorBidi"/>
            <w:noProof/>
            <w:sz w:val="22"/>
            <w:szCs w:val="22"/>
          </w:rPr>
          <w:tab/>
        </w:r>
        <w:r w:rsidRPr="001B13A4">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_Toc181684246 \h </w:instrText>
        </w:r>
        <w:r>
          <w:rPr>
            <w:noProof/>
            <w:webHidden/>
          </w:rPr>
        </w:r>
        <w:r>
          <w:rPr>
            <w:noProof/>
            <w:webHidden/>
          </w:rPr>
          <w:fldChar w:fldCharType="separate"/>
        </w:r>
        <w:r>
          <w:rPr>
            <w:noProof/>
            <w:webHidden/>
          </w:rPr>
          <w:t>497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7" w:history="1">
        <w:r w:rsidRPr="001B13A4">
          <w:rPr>
            <w:rStyle w:val="Hyperlink"/>
            <w:noProof/>
          </w:rPr>
          <w:t>2.1.1211</w:t>
        </w:r>
        <w:r>
          <w:rPr>
            <w:rFonts w:asciiTheme="minorHAnsi" w:eastAsiaTheme="minorEastAsia" w:hAnsiTheme="minorHAnsi" w:cstheme="minorBidi"/>
            <w:noProof/>
            <w:sz w:val="22"/>
            <w:szCs w:val="22"/>
          </w:rPr>
          <w:tab/>
        </w:r>
        <w:r w:rsidRPr="001B13A4">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_Toc181684247 \h </w:instrText>
        </w:r>
        <w:r>
          <w:rPr>
            <w:noProof/>
            <w:webHidden/>
          </w:rPr>
        </w:r>
        <w:r>
          <w:rPr>
            <w:noProof/>
            <w:webHidden/>
          </w:rPr>
          <w:fldChar w:fldCharType="separate"/>
        </w:r>
        <w:r>
          <w:rPr>
            <w:noProof/>
            <w:webHidden/>
          </w:rPr>
          <w:t>497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8" w:history="1">
        <w:r w:rsidRPr="001B13A4">
          <w:rPr>
            <w:rStyle w:val="Hyperlink"/>
            <w:noProof/>
          </w:rPr>
          <w:t>2.1.1212</w:t>
        </w:r>
        <w:r>
          <w:rPr>
            <w:rFonts w:asciiTheme="minorHAnsi" w:eastAsiaTheme="minorEastAsia" w:hAnsiTheme="minorHAnsi" w:cstheme="minorBidi"/>
            <w:noProof/>
            <w:sz w:val="22"/>
            <w:szCs w:val="22"/>
          </w:rPr>
          <w:tab/>
        </w:r>
        <w:r w:rsidRPr="001B13A4">
          <w:rPr>
            <w:rStyle w:val="Hyperlink"/>
            <w:noProof/>
          </w:rPr>
          <w:t>Part 1 Section 20.1.2.2.24, ln (Outline)</w:t>
        </w:r>
        <w:r>
          <w:rPr>
            <w:noProof/>
            <w:webHidden/>
          </w:rPr>
          <w:tab/>
        </w:r>
        <w:r>
          <w:rPr>
            <w:noProof/>
            <w:webHidden/>
          </w:rPr>
          <w:fldChar w:fldCharType="begin"/>
        </w:r>
        <w:r>
          <w:rPr>
            <w:noProof/>
            <w:webHidden/>
          </w:rPr>
          <w:instrText xml:space="preserve"> PAGEREF _Toc181684248 \h </w:instrText>
        </w:r>
        <w:r>
          <w:rPr>
            <w:noProof/>
            <w:webHidden/>
          </w:rPr>
        </w:r>
        <w:r>
          <w:rPr>
            <w:noProof/>
            <w:webHidden/>
          </w:rPr>
          <w:fldChar w:fldCharType="separate"/>
        </w:r>
        <w:r>
          <w:rPr>
            <w:noProof/>
            <w:webHidden/>
          </w:rPr>
          <w:t>497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49" w:history="1">
        <w:r w:rsidRPr="001B13A4">
          <w:rPr>
            <w:rStyle w:val="Hyperlink"/>
            <w:noProof/>
          </w:rPr>
          <w:t>2.1.1213</w:t>
        </w:r>
        <w:r>
          <w:rPr>
            <w:rFonts w:asciiTheme="minorHAnsi" w:eastAsiaTheme="minorEastAsia" w:hAnsiTheme="minorHAnsi" w:cstheme="minorBidi"/>
            <w:noProof/>
            <w:sz w:val="22"/>
            <w:szCs w:val="22"/>
          </w:rPr>
          <w:tab/>
        </w:r>
        <w:r w:rsidRPr="001B13A4">
          <w:rPr>
            <w:rStyle w:val="Hyperlink"/>
            <w:noProof/>
          </w:rPr>
          <w:t>Part 1 Section 20.1.2.2.31, picLocks (Picture Locks)</w:t>
        </w:r>
        <w:r>
          <w:rPr>
            <w:noProof/>
            <w:webHidden/>
          </w:rPr>
          <w:tab/>
        </w:r>
        <w:r>
          <w:rPr>
            <w:noProof/>
            <w:webHidden/>
          </w:rPr>
          <w:fldChar w:fldCharType="begin"/>
        </w:r>
        <w:r>
          <w:rPr>
            <w:noProof/>
            <w:webHidden/>
          </w:rPr>
          <w:instrText xml:space="preserve"> PAGEREF _Toc181684249 \h </w:instrText>
        </w:r>
        <w:r>
          <w:rPr>
            <w:noProof/>
            <w:webHidden/>
          </w:rPr>
        </w:r>
        <w:r>
          <w:rPr>
            <w:noProof/>
            <w:webHidden/>
          </w:rPr>
          <w:fldChar w:fldCharType="separate"/>
        </w:r>
        <w:r>
          <w:rPr>
            <w:noProof/>
            <w:webHidden/>
          </w:rPr>
          <w:t>498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0" w:history="1">
        <w:r w:rsidRPr="001B13A4">
          <w:rPr>
            <w:rStyle w:val="Hyperlink"/>
            <w:noProof/>
          </w:rPr>
          <w:t>2.1.1214</w:t>
        </w:r>
        <w:r>
          <w:rPr>
            <w:rFonts w:asciiTheme="minorHAnsi" w:eastAsiaTheme="minorEastAsia" w:hAnsiTheme="minorHAnsi" w:cstheme="minorBidi"/>
            <w:noProof/>
            <w:sz w:val="22"/>
            <w:szCs w:val="22"/>
          </w:rPr>
          <w:tab/>
        </w:r>
        <w:r w:rsidRPr="001B13A4">
          <w:rPr>
            <w:rStyle w:val="Hyperlink"/>
            <w:noProof/>
          </w:rPr>
          <w:t>Part 1 Section 20.1.2.2.34, spLocks (Shape Locks)</w:t>
        </w:r>
        <w:r>
          <w:rPr>
            <w:noProof/>
            <w:webHidden/>
          </w:rPr>
          <w:tab/>
        </w:r>
        <w:r>
          <w:rPr>
            <w:noProof/>
            <w:webHidden/>
          </w:rPr>
          <w:fldChar w:fldCharType="begin"/>
        </w:r>
        <w:r>
          <w:rPr>
            <w:noProof/>
            <w:webHidden/>
          </w:rPr>
          <w:instrText xml:space="preserve"> PAGEREF _Toc181684250 \h </w:instrText>
        </w:r>
        <w:r>
          <w:rPr>
            <w:noProof/>
            <w:webHidden/>
          </w:rPr>
        </w:r>
        <w:r>
          <w:rPr>
            <w:noProof/>
            <w:webHidden/>
          </w:rPr>
          <w:fldChar w:fldCharType="separate"/>
        </w:r>
        <w:r>
          <w:rPr>
            <w:noProof/>
            <w:webHidden/>
          </w:rPr>
          <w:t>498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1" w:history="1">
        <w:r w:rsidRPr="001B13A4">
          <w:rPr>
            <w:rStyle w:val="Hyperlink"/>
            <w:noProof/>
          </w:rPr>
          <w:t>2.1.1215</w:t>
        </w:r>
        <w:r>
          <w:rPr>
            <w:rFonts w:asciiTheme="minorHAnsi" w:eastAsiaTheme="minorEastAsia" w:hAnsiTheme="minorHAnsi" w:cstheme="minorBidi"/>
            <w:noProof/>
            <w:sz w:val="22"/>
            <w:szCs w:val="22"/>
          </w:rPr>
          <w:tab/>
        </w:r>
        <w:r w:rsidRPr="001B13A4">
          <w:rPr>
            <w:rStyle w:val="Hyperlink"/>
            <w:noProof/>
          </w:rPr>
          <w:t>Part 1 Section 20.1.2.2.35, spPr (Shape Properties)</w:t>
        </w:r>
        <w:r>
          <w:rPr>
            <w:noProof/>
            <w:webHidden/>
          </w:rPr>
          <w:tab/>
        </w:r>
        <w:r>
          <w:rPr>
            <w:noProof/>
            <w:webHidden/>
          </w:rPr>
          <w:fldChar w:fldCharType="begin"/>
        </w:r>
        <w:r>
          <w:rPr>
            <w:noProof/>
            <w:webHidden/>
          </w:rPr>
          <w:instrText xml:space="preserve"> PAGEREF _Toc181684251 \h </w:instrText>
        </w:r>
        <w:r>
          <w:rPr>
            <w:noProof/>
            <w:webHidden/>
          </w:rPr>
        </w:r>
        <w:r>
          <w:rPr>
            <w:noProof/>
            <w:webHidden/>
          </w:rPr>
          <w:fldChar w:fldCharType="separate"/>
        </w:r>
        <w:r>
          <w:rPr>
            <w:noProof/>
            <w:webHidden/>
          </w:rPr>
          <w:t>498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2" w:history="1">
        <w:r w:rsidRPr="001B13A4">
          <w:rPr>
            <w:rStyle w:val="Hyperlink"/>
            <w:noProof/>
          </w:rPr>
          <w:t>2.1.1216</w:t>
        </w:r>
        <w:r>
          <w:rPr>
            <w:rFonts w:asciiTheme="minorHAnsi" w:eastAsiaTheme="minorEastAsia" w:hAnsiTheme="minorHAnsi" w:cstheme="minorBidi"/>
            <w:noProof/>
            <w:sz w:val="22"/>
            <w:szCs w:val="22"/>
          </w:rPr>
          <w:tab/>
        </w:r>
        <w:r w:rsidRPr="001B13A4">
          <w:rPr>
            <w:rStyle w:val="Hyperlink"/>
            <w:noProof/>
          </w:rPr>
          <w:t>Part 1 Section 20.1.2.2.36, stCxn (Connection Start)</w:t>
        </w:r>
        <w:r>
          <w:rPr>
            <w:noProof/>
            <w:webHidden/>
          </w:rPr>
          <w:tab/>
        </w:r>
        <w:r>
          <w:rPr>
            <w:noProof/>
            <w:webHidden/>
          </w:rPr>
          <w:fldChar w:fldCharType="begin"/>
        </w:r>
        <w:r>
          <w:rPr>
            <w:noProof/>
            <w:webHidden/>
          </w:rPr>
          <w:instrText xml:space="preserve"> PAGEREF _Toc181684252 \h </w:instrText>
        </w:r>
        <w:r>
          <w:rPr>
            <w:noProof/>
            <w:webHidden/>
          </w:rPr>
        </w:r>
        <w:r>
          <w:rPr>
            <w:noProof/>
            <w:webHidden/>
          </w:rPr>
          <w:fldChar w:fldCharType="separate"/>
        </w:r>
        <w:r>
          <w:rPr>
            <w:noProof/>
            <w:webHidden/>
          </w:rPr>
          <w:t>498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3" w:history="1">
        <w:r w:rsidRPr="001B13A4">
          <w:rPr>
            <w:rStyle w:val="Hyperlink"/>
            <w:noProof/>
          </w:rPr>
          <w:t>2.1.1217</w:t>
        </w:r>
        <w:r>
          <w:rPr>
            <w:rFonts w:asciiTheme="minorHAnsi" w:eastAsiaTheme="minorEastAsia" w:hAnsiTheme="minorHAnsi" w:cstheme="minorBidi"/>
            <w:noProof/>
            <w:sz w:val="22"/>
            <w:szCs w:val="22"/>
          </w:rPr>
          <w:tab/>
        </w:r>
        <w:r w:rsidRPr="001B13A4">
          <w:rPr>
            <w:rStyle w:val="Hyperlink"/>
            <w:noProof/>
          </w:rPr>
          <w:t>Part 1 Section 20.1.2.2.37, style (Shape Style)</w:t>
        </w:r>
        <w:r>
          <w:rPr>
            <w:noProof/>
            <w:webHidden/>
          </w:rPr>
          <w:tab/>
        </w:r>
        <w:r>
          <w:rPr>
            <w:noProof/>
            <w:webHidden/>
          </w:rPr>
          <w:fldChar w:fldCharType="begin"/>
        </w:r>
        <w:r>
          <w:rPr>
            <w:noProof/>
            <w:webHidden/>
          </w:rPr>
          <w:instrText xml:space="preserve"> PAGEREF _Toc181684253 \h </w:instrText>
        </w:r>
        <w:r>
          <w:rPr>
            <w:noProof/>
            <w:webHidden/>
          </w:rPr>
        </w:r>
        <w:r>
          <w:rPr>
            <w:noProof/>
            <w:webHidden/>
          </w:rPr>
          <w:fldChar w:fldCharType="separate"/>
        </w:r>
        <w:r>
          <w:rPr>
            <w:noProof/>
            <w:webHidden/>
          </w:rPr>
          <w:t>498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4" w:history="1">
        <w:r w:rsidRPr="001B13A4">
          <w:rPr>
            <w:rStyle w:val="Hyperlink"/>
            <w:noProof/>
          </w:rPr>
          <w:t>2.1.1218</w:t>
        </w:r>
        <w:r>
          <w:rPr>
            <w:rFonts w:asciiTheme="minorHAnsi" w:eastAsiaTheme="minorEastAsia" w:hAnsiTheme="minorHAnsi" w:cstheme="minorBidi"/>
            <w:noProof/>
            <w:sz w:val="22"/>
            <w:szCs w:val="22"/>
          </w:rPr>
          <w:tab/>
        </w:r>
        <w:r w:rsidRPr="001B13A4">
          <w:rPr>
            <w:rStyle w:val="Hyperlink"/>
            <w:noProof/>
          </w:rPr>
          <w:t>Part 1 Section 20.1.2.3.1, alpha (Alpha)</w:t>
        </w:r>
        <w:r>
          <w:rPr>
            <w:noProof/>
            <w:webHidden/>
          </w:rPr>
          <w:tab/>
        </w:r>
        <w:r>
          <w:rPr>
            <w:noProof/>
            <w:webHidden/>
          </w:rPr>
          <w:fldChar w:fldCharType="begin"/>
        </w:r>
        <w:r>
          <w:rPr>
            <w:noProof/>
            <w:webHidden/>
          </w:rPr>
          <w:instrText xml:space="preserve"> PAGEREF _Toc181684254 \h </w:instrText>
        </w:r>
        <w:r>
          <w:rPr>
            <w:noProof/>
            <w:webHidden/>
          </w:rPr>
        </w:r>
        <w:r>
          <w:rPr>
            <w:noProof/>
            <w:webHidden/>
          </w:rPr>
          <w:fldChar w:fldCharType="separate"/>
        </w:r>
        <w:r>
          <w:rPr>
            <w:noProof/>
            <w:webHidden/>
          </w:rPr>
          <w:t>499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5" w:history="1">
        <w:r w:rsidRPr="001B13A4">
          <w:rPr>
            <w:rStyle w:val="Hyperlink"/>
            <w:noProof/>
          </w:rPr>
          <w:t>2.1.1219</w:t>
        </w:r>
        <w:r>
          <w:rPr>
            <w:rFonts w:asciiTheme="minorHAnsi" w:eastAsiaTheme="minorEastAsia" w:hAnsiTheme="minorHAnsi" w:cstheme="minorBidi"/>
            <w:noProof/>
            <w:sz w:val="22"/>
            <w:szCs w:val="22"/>
          </w:rPr>
          <w:tab/>
        </w:r>
        <w:r w:rsidRPr="001B13A4">
          <w:rPr>
            <w:rStyle w:val="Hyperlink"/>
            <w:noProof/>
          </w:rPr>
          <w:t>Part 1 Section 20.1.2.3.2, alphaMod (Alpha Modulation)</w:t>
        </w:r>
        <w:r>
          <w:rPr>
            <w:noProof/>
            <w:webHidden/>
          </w:rPr>
          <w:tab/>
        </w:r>
        <w:r>
          <w:rPr>
            <w:noProof/>
            <w:webHidden/>
          </w:rPr>
          <w:fldChar w:fldCharType="begin"/>
        </w:r>
        <w:r>
          <w:rPr>
            <w:noProof/>
            <w:webHidden/>
          </w:rPr>
          <w:instrText xml:space="preserve"> PAGEREF _Toc181684255 \h </w:instrText>
        </w:r>
        <w:r>
          <w:rPr>
            <w:noProof/>
            <w:webHidden/>
          </w:rPr>
        </w:r>
        <w:r>
          <w:rPr>
            <w:noProof/>
            <w:webHidden/>
          </w:rPr>
          <w:fldChar w:fldCharType="separate"/>
        </w:r>
        <w:r>
          <w:rPr>
            <w:noProof/>
            <w:webHidden/>
          </w:rPr>
          <w:t>499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6" w:history="1">
        <w:r w:rsidRPr="001B13A4">
          <w:rPr>
            <w:rStyle w:val="Hyperlink"/>
            <w:noProof/>
          </w:rPr>
          <w:t>2.1.1220</w:t>
        </w:r>
        <w:r>
          <w:rPr>
            <w:rFonts w:asciiTheme="minorHAnsi" w:eastAsiaTheme="minorEastAsia" w:hAnsiTheme="minorHAnsi" w:cstheme="minorBidi"/>
            <w:noProof/>
            <w:sz w:val="22"/>
            <w:szCs w:val="22"/>
          </w:rPr>
          <w:tab/>
        </w:r>
        <w:r w:rsidRPr="001B13A4">
          <w:rPr>
            <w:rStyle w:val="Hyperlink"/>
            <w:noProof/>
          </w:rPr>
          <w:t>Part 1 Section 20.1.2.3.3, alphaOff (Alpha Offset)</w:t>
        </w:r>
        <w:r>
          <w:rPr>
            <w:noProof/>
            <w:webHidden/>
          </w:rPr>
          <w:tab/>
        </w:r>
        <w:r>
          <w:rPr>
            <w:noProof/>
            <w:webHidden/>
          </w:rPr>
          <w:fldChar w:fldCharType="begin"/>
        </w:r>
        <w:r>
          <w:rPr>
            <w:noProof/>
            <w:webHidden/>
          </w:rPr>
          <w:instrText xml:space="preserve"> PAGEREF _Toc181684256 \h </w:instrText>
        </w:r>
        <w:r>
          <w:rPr>
            <w:noProof/>
            <w:webHidden/>
          </w:rPr>
        </w:r>
        <w:r>
          <w:rPr>
            <w:noProof/>
            <w:webHidden/>
          </w:rPr>
          <w:fldChar w:fldCharType="separate"/>
        </w:r>
        <w:r>
          <w:rPr>
            <w:noProof/>
            <w:webHidden/>
          </w:rPr>
          <w:t>499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7" w:history="1">
        <w:r w:rsidRPr="001B13A4">
          <w:rPr>
            <w:rStyle w:val="Hyperlink"/>
            <w:noProof/>
          </w:rPr>
          <w:t>2.1.1221</w:t>
        </w:r>
        <w:r>
          <w:rPr>
            <w:rFonts w:asciiTheme="minorHAnsi" w:eastAsiaTheme="minorEastAsia" w:hAnsiTheme="minorHAnsi" w:cstheme="minorBidi"/>
            <w:noProof/>
            <w:sz w:val="22"/>
            <w:szCs w:val="22"/>
          </w:rPr>
          <w:tab/>
        </w:r>
        <w:r w:rsidRPr="001B13A4">
          <w:rPr>
            <w:rStyle w:val="Hyperlink"/>
            <w:noProof/>
          </w:rPr>
          <w:t>Part 1 Section 20.1.2.3.4, blue (Blue)</w:t>
        </w:r>
        <w:r>
          <w:rPr>
            <w:noProof/>
            <w:webHidden/>
          </w:rPr>
          <w:tab/>
        </w:r>
        <w:r>
          <w:rPr>
            <w:noProof/>
            <w:webHidden/>
          </w:rPr>
          <w:fldChar w:fldCharType="begin"/>
        </w:r>
        <w:r>
          <w:rPr>
            <w:noProof/>
            <w:webHidden/>
          </w:rPr>
          <w:instrText xml:space="preserve"> PAGEREF _Toc181684257 \h </w:instrText>
        </w:r>
        <w:r>
          <w:rPr>
            <w:noProof/>
            <w:webHidden/>
          </w:rPr>
        </w:r>
        <w:r>
          <w:rPr>
            <w:noProof/>
            <w:webHidden/>
          </w:rPr>
          <w:fldChar w:fldCharType="separate"/>
        </w:r>
        <w:r>
          <w:rPr>
            <w:noProof/>
            <w:webHidden/>
          </w:rPr>
          <w:t>499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8" w:history="1">
        <w:r w:rsidRPr="001B13A4">
          <w:rPr>
            <w:rStyle w:val="Hyperlink"/>
            <w:noProof/>
          </w:rPr>
          <w:t>2.1.1222</w:t>
        </w:r>
        <w:r>
          <w:rPr>
            <w:rFonts w:asciiTheme="minorHAnsi" w:eastAsiaTheme="minorEastAsia" w:hAnsiTheme="minorHAnsi" w:cstheme="minorBidi"/>
            <w:noProof/>
            <w:sz w:val="22"/>
            <w:szCs w:val="22"/>
          </w:rPr>
          <w:tab/>
        </w:r>
        <w:r w:rsidRPr="001B13A4">
          <w:rPr>
            <w:rStyle w:val="Hyperlink"/>
            <w:noProof/>
          </w:rPr>
          <w:t>Part 1 Section 20.1.2.3.5, blueMod (Blue Modification)</w:t>
        </w:r>
        <w:r>
          <w:rPr>
            <w:noProof/>
            <w:webHidden/>
          </w:rPr>
          <w:tab/>
        </w:r>
        <w:r>
          <w:rPr>
            <w:noProof/>
            <w:webHidden/>
          </w:rPr>
          <w:fldChar w:fldCharType="begin"/>
        </w:r>
        <w:r>
          <w:rPr>
            <w:noProof/>
            <w:webHidden/>
          </w:rPr>
          <w:instrText xml:space="preserve"> PAGEREF _Toc181684258 \h </w:instrText>
        </w:r>
        <w:r>
          <w:rPr>
            <w:noProof/>
            <w:webHidden/>
          </w:rPr>
        </w:r>
        <w:r>
          <w:rPr>
            <w:noProof/>
            <w:webHidden/>
          </w:rPr>
          <w:fldChar w:fldCharType="separate"/>
        </w:r>
        <w:r>
          <w:rPr>
            <w:noProof/>
            <w:webHidden/>
          </w:rPr>
          <w:t>500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59" w:history="1">
        <w:r w:rsidRPr="001B13A4">
          <w:rPr>
            <w:rStyle w:val="Hyperlink"/>
            <w:noProof/>
          </w:rPr>
          <w:t>2.1.1223</w:t>
        </w:r>
        <w:r>
          <w:rPr>
            <w:rFonts w:asciiTheme="minorHAnsi" w:eastAsiaTheme="minorEastAsia" w:hAnsiTheme="minorHAnsi" w:cstheme="minorBidi"/>
            <w:noProof/>
            <w:sz w:val="22"/>
            <w:szCs w:val="22"/>
          </w:rPr>
          <w:tab/>
        </w:r>
        <w:r w:rsidRPr="001B13A4">
          <w:rPr>
            <w:rStyle w:val="Hyperlink"/>
            <w:noProof/>
          </w:rPr>
          <w:t>Part 1 Section 20.1.2.3.6, blueOff (Blue Offset)</w:t>
        </w:r>
        <w:r>
          <w:rPr>
            <w:noProof/>
            <w:webHidden/>
          </w:rPr>
          <w:tab/>
        </w:r>
        <w:r>
          <w:rPr>
            <w:noProof/>
            <w:webHidden/>
          </w:rPr>
          <w:fldChar w:fldCharType="begin"/>
        </w:r>
        <w:r>
          <w:rPr>
            <w:noProof/>
            <w:webHidden/>
          </w:rPr>
          <w:instrText xml:space="preserve"> PAGEREF _Toc181684259 \h </w:instrText>
        </w:r>
        <w:r>
          <w:rPr>
            <w:noProof/>
            <w:webHidden/>
          </w:rPr>
        </w:r>
        <w:r>
          <w:rPr>
            <w:noProof/>
            <w:webHidden/>
          </w:rPr>
          <w:fldChar w:fldCharType="separate"/>
        </w:r>
        <w:r>
          <w:rPr>
            <w:noProof/>
            <w:webHidden/>
          </w:rPr>
          <w:t>500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0" w:history="1">
        <w:r w:rsidRPr="001B13A4">
          <w:rPr>
            <w:rStyle w:val="Hyperlink"/>
            <w:noProof/>
          </w:rPr>
          <w:t>2.1.1224</w:t>
        </w:r>
        <w:r>
          <w:rPr>
            <w:rFonts w:asciiTheme="minorHAnsi" w:eastAsiaTheme="minorEastAsia" w:hAnsiTheme="minorHAnsi" w:cstheme="minorBidi"/>
            <w:noProof/>
            <w:sz w:val="22"/>
            <w:szCs w:val="22"/>
          </w:rPr>
          <w:tab/>
        </w:r>
        <w:r w:rsidRPr="001B13A4">
          <w:rPr>
            <w:rStyle w:val="Hyperlink"/>
            <w:noProof/>
          </w:rPr>
          <w:t>Part 1 Section 20.1.2.3.10, green (Green)</w:t>
        </w:r>
        <w:r>
          <w:rPr>
            <w:noProof/>
            <w:webHidden/>
          </w:rPr>
          <w:tab/>
        </w:r>
        <w:r>
          <w:rPr>
            <w:noProof/>
            <w:webHidden/>
          </w:rPr>
          <w:fldChar w:fldCharType="begin"/>
        </w:r>
        <w:r>
          <w:rPr>
            <w:noProof/>
            <w:webHidden/>
          </w:rPr>
          <w:instrText xml:space="preserve"> PAGEREF _Toc181684260 \h </w:instrText>
        </w:r>
        <w:r>
          <w:rPr>
            <w:noProof/>
            <w:webHidden/>
          </w:rPr>
        </w:r>
        <w:r>
          <w:rPr>
            <w:noProof/>
            <w:webHidden/>
          </w:rPr>
          <w:fldChar w:fldCharType="separate"/>
        </w:r>
        <w:r>
          <w:rPr>
            <w:noProof/>
            <w:webHidden/>
          </w:rPr>
          <w:t>500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1" w:history="1">
        <w:r w:rsidRPr="001B13A4">
          <w:rPr>
            <w:rStyle w:val="Hyperlink"/>
            <w:noProof/>
          </w:rPr>
          <w:t>2.1.1225</w:t>
        </w:r>
        <w:r>
          <w:rPr>
            <w:rFonts w:asciiTheme="minorHAnsi" w:eastAsiaTheme="minorEastAsia" w:hAnsiTheme="minorHAnsi" w:cstheme="minorBidi"/>
            <w:noProof/>
            <w:sz w:val="22"/>
            <w:szCs w:val="22"/>
          </w:rPr>
          <w:tab/>
        </w:r>
        <w:r w:rsidRPr="001B13A4">
          <w:rPr>
            <w:rStyle w:val="Hyperlink"/>
            <w:noProof/>
          </w:rPr>
          <w:t>Part 1 Section 20.1.2.3.11, greenMod (Green Modification)</w:t>
        </w:r>
        <w:r>
          <w:rPr>
            <w:noProof/>
            <w:webHidden/>
          </w:rPr>
          <w:tab/>
        </w:r>
        <w:r>
          <w:rPr>
            <w:noProof/>
            <w:webHidden/>
          </w:rPr>
          <w:fldChar w:fldCharType="begin"/>
        </w:r>
        <w:r>
          <w:rPr>
            <w:noProof/>
            <w:webHidden/>
          </w:rPr>
          <w:instrText xml:space="preserve"> PAGEREF _Toc181684261 \h </w:instrText>
        </w:r>
        <w:r>
          <w:rPr>
            <w:noProof/>
            <w:webHidden/>
          </w:rPr>
        </w:r>
        <w:r>
          <w:rPr>
            <w:noProof/>
            <w:webHidden/>
          </w:rPr>
          <w:fldChar w:fldCharType="separate"/>
        </w:r>
        <w:r>
          <w:rPr>
            <w:noProof/>
            <w:webHidden/>
          </w:rPr>
          <w:t>500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2" w:history="1">
        <w:r w:rsidRPr="001B13A4">
          <w:rPr>
            <w:rStyle w:val="Hyperlink"/>
            <w:noProof/>
          </w:rPr>
          <w:t>2.1.1226</w:t>
        </w:r>
        <w:r>
          <w:rPr>
            <w:rFonts w:asciiTheme="minorHAnsi" w:eastAsiaTheme="minorEastAsia" w:hAnsiTheme="minorHAnsi" w:cstheme="minorBidi"/>
            <w:noProof/>
            <w:sz w:val="22"/>
            <w:szCs w:val="22"/>
          </w:rPr>
          <w:tab/>
        </w:r>
        <w:r w:rsidRPr="001B13A4">
          <w:rPr>
            <w:rStyle w:val="Hyperlink"/>
            <w:noProof/>
          </w:rPr>
          <w:t>Part 1 Section 20.1.2.3.12, greenOff (Green Offset)</w:t>
        </w:r>
        <w:r>
          <w:rPr>
            <w:noProof/>
            <w:webHidden/>
          </w:rPr>
          <w:tab/>
        </w:r>
        <w:r>
          <w:rPr>
            <w:noProof/>
            <w:webHidden/>
          </w:rPr>
          <w:fldChar w:fldCharType="begin"/>
        </w:r>
        <w:r>
          <w:rPr>
            <w:noProof/>
            <w:webHidden/>
          </w:rPr>
          <w:instrText xml:space="preserve"> PAGEREF _Toc181684262 \h </w:instrText>
        </w:r>
        <w:r>
          <w:rPr>
            <w:noProof/>
            <w:webHidden/>
          </w:rPr>
        </w:r>
        <w:r>
          <w:rPr>
            <w:noProof/>
            <w:webHidden/>
          </w:rPr>
          <w:fldChar w:fldCharType="separate"/>
        </w:r>
        <w:r>
          <w:rPr>
            <w:noProof/>
            <w:webHidden/>
          </w:rPr>
          <w:t>500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3" w:history="1">
        <w:r w:rsidRPr="001B13A4">
          <w:rPr>
            <w:rStyle w:val="Hyperlink"/>
            <w:noProof/>
          </w:rPr>
          <w:t>2.1.1227</w:t>
        </w:r>
        <w:r>
          <w:rPr>
            <w:rFonts w:asciiTheme="minorHAnsi" w:eastAsiaTheme="minorEastAsia" w:hAnsiTheme="minorHAnsi" w:cstheme="minorBidi"/>
            <w:noProof/>
            <w:sz w:val="22"/>
            <w:szCs w:val="22"/>
          </w:rPr>
          <w:tab/>
        </w:r>
        <w:r w:rsidRPr="001B13A4">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_Toc181684263 \h </w:instrText>
        </w:r>
        <w:r>
          <w:rPr>
            <w:noProof/>
            <w:webHidden/>
          </w:rPr>
        </w:r>
        <w:r>
          <w:rPr>
            <w:noProof/>
            <w:webHidden/>
          </w:rPr>
          <w:fldChar w:fldCharType="separate"/>
        </w:r>
        <w:r>
          <w:rPr>
            <w:noProof/>
            <w:webHidden/>
          </w:rPr>
          <w:t>501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4" w:history="1">
        <w:r w:rsidRPr="001B13A4">
          <w:rPr>
            <w:rStyle w:val="Hyperlink"/>
            <w:noProof/>
          </w:rPr>
          <w:t>2.1.1228</w:t>
        </w:r>
        <w:r>
          <w:rPr>
            <w:rFonts w:asciiTheme="minorHAnsi" w:eastAsiaTheme="minorEastAsia" w:hAnsiTheme="minorHAnsi" w:cstheme="minorBidi"/>
            <w:noProof/>
            <w:sz w:val="22"/>
            <w:szCs w:val="22"/>
          </w:rPr>
          <w:tab/>
        </w:r>
        <w:r w:rsidRPr="001B13A4">
          <w:rPr>
            <w:rStyle w:val="Hyperlink"/>
            <w:noProof/>
          </w:rPr>
          <w:t>Part 1 Section 20.1.2.3.14, hue (Hue)</w:t>
        </w:r>
        <w:r>
          <w:rPr>
            <w:noProof/>
            <w:webHidden/>
          </w:rPr>
          <w:tab/>
        </w:r>
        <w:r>
          <w:rPr>
            <w:noProof/>
            <w:webHidden/>
          </w:rPr>
          <w:fldChar w:fldCharType="begin"/>
        </w:r>
        <w:r>
          <w:rPr>
            <w:noProof/>
            <w:webHidden/>
          </w:rPr>
          <w:instrText xml:space="preserve"> PAGEREF _Toc181684264 \h </w:instrText>
        </w:r>
        <w:r>
          <w:rPr>
            <w:noProof/>
            <w:webHidden/>
          </w:rPr>
        </w:r>
        <w:r>
          <w:rPr>
            <w:noProof/>
            <w:webHidden/>
          </w:rPr>
          <w:fldChar w:fldCharType="separate"/>
        </w:r>
        <w:r>
          <w:rPr>
            <w:noProof/>
            <w:webHidden/>
          </w:rPr>
          <w:t>501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5" w:history="1">
        <w:r w:rsidRPr="001B13A4">
          <w:rPr>
            <w:rStyle w:val="Hyperlink"/>
            <w:noProof/>
          </w:rPr>
          <w:t>2.1.1229</w:t>
        </w:r>
        <w:r>
          <w:rPr>
            <w:rFonts w:asciiTheme="minorHAnsi" w:eastAsiaTheme="minorEastAsia" w:hAnsiTheme="minorHAnsi" w:cstheme="minorBidi"/>
            <w:noProof/>
            <w:sz w:val="22"/>
            <w:szCs w:val="22"/>
          </w:rPr>
          <w:tab/>
        </w:r>
        <w:r w:rsidRPr="001B13A4">
          <w:rPr>
            <w:rStyle w:val="Hyperlink"/>
            <w:noProof/>
          </w:rPr>
          <w:t>Part 1 Section 20.1.2.3.15, hueMod (Hue Modulate)</w:t>
        </w:r>
        <w:r>
          <w:rPr>
            <w:noProof/>
            <w:webHidden/>
          </w:rPr>
          <w:tab/>
        </w:r>
        <w:r>
          <w:rPr>
            <w:noProof/>
            <w:webHidden/>
          </w:rPr>
          <w:fldChar w:fldCharType="begin"/>
        </w:r>
        <w:r>
          <w:rPr>
            <w:noProof/>
            <w:webHidden/>
          </w:rPr>
          <w:instrText xml:space="preserve"> PAGEREF _Toc181684265 \h </w:instrText>
        </w:r>
        <w:r>
          <w:rPr>
            <w:noProof/>
            <w:webHidden/>
          </w:rPr>
        </w:r>
        <w:r>
          <w:rPr>
            <w:noProof/>
            <w:webHidden/>
          </w:rPr>
          <w:fldChar w:fldCharType="separate"/>
        </w:r>
        <w:r>
          <w:rPr>
            <w:noProof/>
            <w:webHidden/>
          </w:rPr>
          <w:t>501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6" w:history="1">
        <w:r w:rsidRPr="001B13A4">
          <w:rPr>
            <w:rStyle w:val="Hyperlink"/>
            <w:noProof/>
          </w:rPr>
          <w:t>2.1.1230</w:t>
        </w:r>
        <w:r>
          <w:rPr>
            <w:rFonts w:asciiTheme="minorHAnsi" w:eastAsiaTheme="minorEastAsia" w:hAnsiTheme="minorHAnsi" w:cstheme="minorBidi"/>
            <w:noProof/>
            <w:sz w:val="22"/>
            <w:szCs w:val="22"/>
          </w:rPr>
          <w:tab/>
        </w:r>
        <w:r w:rsidRPr="001B13A4">
          <w:rPr>
            <w:rStyle w:val="Hyperlink"/>
            <w:noProof/>
          </w:rPr>
          <w:t>Part 1 Section 20.1.2.3.16, hueOff (Hue Offset)</w:t>
        </w:r>
        <w:r>
          <w:rPr>
            <w:noProof/>
            <w:webHidden/>
          </w:rPr>
          <w:tab/>
        </w:r>
        <w:r>
          <w:rPr>
            <w:noProof/>
            <w:webHidden/>
          </w:rPr>
          <w:fldChar w:fldCharType="begin"/>
        </w:r>
        <w:r>
          <w:rPr>
            <w:noProof/>
            <w:webHidden/>
          </w:rPr>
          <w:instrText xml:space="preserve"> PAGEREF _Toc181684266 \h </w:instrText>
        </w:r>
        <w:r>
          <w:rPr>
            <w:noProof/>
            <w:webHidden/>
          </w:rPr>
        </w:r>
        <w:r>
          <w:rPr>
            <w:noProof/>
            <w:webHidden/>
          </w:rPr>
          <w:fldChar w:fldCharType="separate"/>
        </w:r>
        <w:r>
          <w:rPr>
            <w:noProof/>
            <w:webHidden/>
          </w:rPr>
          <w:t>501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7" w:history="1">
        <w:r w:rsidRPr="001B13A4">
          <w:rPr>
            <w:rStyle w:val="Hyperlink"/>
            <w:noProof/>
          </w:rPr>
          <w:t>2.1.1231</w:t>
        </w:r>
        <w:r>
          <w:rPr>
            <w:rFonts w:asciiTheme="minorHAnsi" w:eastAsiaTheme="minorEastAsia" w:hAnsiTheme="minorHAnsi" w:cstheme="minorBidi"/>
            <w:noProof/>
            <w:sz w:val="22"/>
            <w:szCs w:val="22"/>
          </w:rPr>
          <w:tab/>
        </w:r>
        <w:r w:rsidRPr="001B13A4">
          <w:rPr>
            <w:rStyle w:val="Hyperlink"/>
            <w:noProof/>
          </w:rPr>
          <w:t>Part 1 Section 20.1.2.3.19, lum (Luminance)</w:t>
        </w:r>
        <w:r>
          <w:rPr>
            <w:noProof/>
            <w:webHidden/>
          </w:rPr>
          <w:tab/>
        </w:r>
        <w:r>
          <w:rPr>
            <w:noProof/>
            <w:webHidden/>
          </w:rPr>
          <w:fldChar w:fldCharType="begin"/>
        </w:r>
        <w:r>
          <w:rPr>
            <w:noProof/>
            <w:webHidden/>
          </w:rPr>
          <w:instrText xml:space="preserve"> PAGEREF _Toc181684267 \h </w:instrText>
        </w:r>
        <w:r>
          <w:rPr>
            <w:noProof/>
            <w:webHidden/>
          </w:rPr>
        </w:r>
        <w:r>
          <w:rPr>
            <w:noProof/>
            <w:webHidden/>
          </w:rPr>
          <w:fldChar w:fldCharType="separate"/>
        </w:r>
        <w:r>
          <w:rPr>
            <w:noProof/>
            <w:webHidden/>
          </w:rPr>
          <w:t>501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8" w:history="1">
        <w:r w:rsidRPr="001B13A4">
          <w:rPr>
            <w:rStyle w:val="Hyperlink"/>
            <w:noProof/>
          </w:rPr>
          <w:t>2.1.1232</w:t>
        </w:r>
        <w:r>
          <w:rPr>
            <w:rFonts w:asciiTheme="minorHAnsi" w:eastAsiaTheme="minorEastAsia" w:hAnsiTheme="minorHAnsi" w:cstheme="minorBidi"/>
            <w:noProof/>
            <w:sz w:val="22"/>
            <w:szCs w:val="22"/>
          </w:rPr>
          <w:tab/>
        </w:r>
        <w:r w:rsidRPr="001B13A4">
          <w:rPr>
            <w:rStyle w:val="Hyperlink"/>
            <w:noProof/>
          </w:rPr>
          <w:t>Part 1 Section 20.1.2.3.20, lumMod (Luminance Modulation)</w:t>
        </w:r>
        <w:r>
          <w:rPr>
            <w:noProof/>
            <w:webHidden/>
          </w:rPr>
          <w:tab/>
        </w:r>
        <w:r>
          <w:rPr>
            <w:noProof/>
            <w:webHidden/>
          </w:rPr>
          <w:fldChar w:fldCharType="begin"/>
        </w:r>
        <w:r>
          <w:rPr>
            <w:noProof/>
            <w:webHidden/>
          </w:rPr>
          <w:instrText xml:space="preserve"> PAGEREF _Toc181684268 \h </w:instrText>
        </w:r>
        <w:r>
          <w:rPr>
            <w:noProof/>
            <w:webHidden/>
          </w:rPr>
        </w:r>
        <w:r>
          <w:rPr>
            <w:noProof/>
            <w:webHidden/>
          </w:rPr>
          <w:fldChar w:fldCharType="separate"/>
        </w:r>
        <w:r>
          <w:rPr>
            <w:noProof/>
            <w:webHidden/>
          </w:rPr>
          <w:t>502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69" w:history="1">
        <w:r w:rsidRPr="001B13A4">
          <w:rPr>
            <w:rStyle w:val="Hyperlink"/>
            <w:noProof/>
          </w:rPr>
          <w:t>2.1.1233</w:t>
        </w:r>
        <w:r>
          <w:rPr>
            <w:rFonts w:asciiTheme="minorHAnsi" w:eastAsiaTheme="minorEastAsia" w:hAnsiTheme="minorHAnsi" w:cstheme="minorBidi"/>
            <w:noProof/>
            <w:sz w:val="22"/>
            <w:szCs w:val="22"/>
          </w:rPr>
          <w:tab/>
        </w:r>
        <w:r w:rsidRPr="001B13A4">
          <w:rPr>
            <w:rStyle w:val="Hyperlink"/>
            <w:noProof/>
          </w:rPr>
          <w:t>Part 1 Section 20.1.2.3.21, lumOff (Luminance Offset)</w:t>
        </w:r>
        <w:r>
          <w:rPr>
            <w:noProof/>
            <w:webHidden/>
          </w:rPr>
          <w:tab/>
        </w:r>
        <w:r>
          <w:rPr>
            <w:noProof/>
            <w:webHidden/>
          </w:rPr>
          <w:fldChar w:fldCharType="begin"/>
        </w:r>
        <w:r>
          <w:rPr>
            <w:noProof/>
            <w:webHidden/>
          </w:rPr>
          <w:instrText xml:space="preserve"> PAGEREF _Toc181684269 \h </w:instrText>
        </w:r>
        <w:r>
          <w:rPr>
            <w:noProof/>
            <w:webHidden/>
          </w:rPr>
        </w:r>
        <w:r>
          <w:rPr>
            <w:noProof/>
            <w:webHidden/>
          </w:rPr>
          <w:fldChar w:fldCharType="separate"/>
        </w:r>
        <w:r>
          <w:rPr>
            <w:noProof/>
            <w:webHidden/>
          </w:rPr>
          <w:t>502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0" w:history="1">
        <w:r w:rsidRPr="001B13A4">
          <w:rPr>
            <w:rStyle w:val="Hyperlink"/>
            <w:noProof/>
          </w:rPr>
          <w:t>2.1.1234</w:t>
        </w:r>
        <w:r>
          <w:rPr>
            <w:rFonts w:asciiTheme="minorHAnsi" w:eastAsiaTheme="minorEastAsia" w:hAnsiTheme="minorHAnsi" w:cstheme="minorBidi"/>
            <w:noProof/>
            <w:sz w:val="22"/>
            <w:szCs w:val="22"/>
          </w:rPr>
          <w:tab/>
        </w:r>
        <w:r w:rsidRPr="001B13A4">
          <w:rPr>
            <w:rStyle w:val="Hyperlink"/>
            <w:noProof/>
          </w:rPr>
          <w:t>Part 1 Section 20.1.2.3.22, prstClr (Preset Color)</w:t>
        </w:r>
        <w:r>
          <w:rPr>
            <w:noProof/>
            <w:webHidden/>
          </w:rPr>
          <w:tab/>
        </w:r>
        <w:r>
          <w:rPr>
            <w:noProof/>
            <w:webHidden/>
          </w:rPr>
          <w:fldChar w:fldCharType="begin"/>
        </w:r>
        <w:r>
          <w:rPr>
            <w:noProof/>
            <w:webHidden/>
          </w:rPr>
          <w:instrText xml:space="preserve"> PAGEREF _Toc181684270 \h </w:instrText>
        </w:r>
        <w:r>
          <w:rPr>
            <w:noProof/>
            <w:webHidden/>
          </w:rPr>
        </w:r>
        <w:r>
          <w:rPr>
            <w:noProof/>
            <w:webHidden/>
          </w:rPr>
          <w:fldChar w:fldCharType="separate"/>
        </w:r>
        <w:r>
          <w:rPr>
            <w:noProof/>
            <w:webHidden/>
          </w:rPr>
          <w:t>502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1" w:history="1">
        <w:r w:rsidRPr="001B13A4">
          <w:rPr>
            <w:rStyle w:val="Hyperlink"/>
            <w:noProof/>
          </w:rPr>
          <w:t>2.1.1235</w:t>
        </w:r>
        <w:r>
          <w:rPr>
            <w:rFonts w:asciiTheme="minorHAnsi" w:eastAsiaTheme="minorEastAsia" w:hAnsiTheme="minorHAnsi" w:cstheme="minorBidi"/>
            <w:noProof/>
            <w:sz w:val="22"/>
            <w:szCs w:val="22"/>
          </w:rPr>
          <w:tab/>
        </w:r>
        <w:r w:rsidRPr="001B13A4">
          <w:rPr>
            <w:rStyle w:val="Hyperlink"/>
            <w:noProof/>
          </w:rPr>
          <w:t>Part 1 Section 20.1.2.3.23, red (Red)</w:t>
        </w:r>
        <w:r>
          <w:rPr>
            <w:noProof/>
            <w:webHidden/>
          </w:rPr>
          <w:tab/>
        </w:r>
        <w:r>
          <w:rPr>
            <w:noProof/>
            <w:webHidden/>
          </w:rPr>
          <w:fldChar w:fldCharType="begin"/>
        </w:r>
        <w:r>
          <w:rPr>
            <w:noProof/>
            <w:webHidden/>
          </w:rPr>
          <w:instrText xml:space="preserve"> PAGEREF _Toc181684271 \h </w:instrText>
        </w:r>
        <w:r>
          <w:rPr>
            <w:noProof/>
            <w:webHidden/>
          </w:rPr>
        </w:r>
        <w:r>
          <w:rPr>
            <w:noProof/>
            <w:webHidden/>
          </w:rPr>
          <w:fldChar w:fldCharType="separate"/>
        </w:r>
        <w:r>
          <w:rPr>
            <w:noProof/>
            <w:webHidden/>
          </w:rPr>
          <w:t>502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2" w:history="1">
        <w:r w:rsidRPr="001B13A4">
          <w:rPr>
            <w:rStyle w:val="Hyperlink"/>
            <w:noProof/>
          </w:rPr>
          <w:t>2.1.1236</w:t>
        </w:r>
        <w:r>
          <w:rPr>
            <w:rFonts w:asciiTheme="minorHAnsi" w:eastAsiaTheme="minorEastAsia" w:hAnsiTheme="minorHAnsi" w:cstheme="minorBidi"/>
            <w:noProof/>
            <w:sz w:val="22"/>
            <w:szCs w:val="22"/>
          </w:rPr>
          <w:tab/>
        </w:r>
        <w:r w:rsidRPr="001B13A4">
          <w:rPr>
            <w:rStyle w:val="Hyperlink"/>
            <w:noProof/>
          </w:rPr>
          <w:t>Part 1 Section 20.1.2.3.24, redMod (Red Modulation)</w:t>
        </w:r>
        <w:r>
          <w:rPr>
            <w:noProof/>
            <w:webHidden/>
          </w:rPr>
          <w:tab/>
        </w:r>
        <w:r>
          <w:rPr>
            <w:noProof/>
            <w:webHidden/>
          </w:rPr>
          <w:fldChar w:fldCharType="begin"/>
        </w:r>
        <w:r>
          <w:rPr>
            <w:noProof/>
            <w:webHidden/>
          </w:rPr>
          <w:instrText xml:space="preserve"> PAGEREF _Toc181684272 \h </w:instrText>
        </w:r>
        <w:r>
          <w:rPr>
            <w:noProof/>
            <w:webHidden/>
          </w:rPr>
        </w:r>
        <w:r>
          <w:rPr>
            <w:noProof/>
            <w:webHidden/>
          </w:rPr>
          <w:fldChar w:fldCharType="separate"/>
        </w:r>
        <w:r>
          <w:rPr>
            <w:noProof/>
            <w:webHidden/>
          </w:rPr>
          <w:t>502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3" w:history="1">
        <w:r w:rsidRPr="001B13A4">
          <w:rPr>
            <w:rStyle w:val="Hyperlink"/>
            <w:noProof/>
          </w:rPr>
          <w:t>2.1.1237</w:t>
        </w:r>
        <w:r>
          <w:rPr>
            <w:rFonts w:asciiTheme="minorHAnsi" w:eastAsiaTheme="minorEastAsia" w:hAnsiTheme="minorHAnsi" w:cstheme="minorBidi"/>
            <w:noProof/>
            <w:sz w:val="22"/>
            <w:szCs w:val="22"/>
          </w:rPr>
          <w:tab/>
        </w:r>
        <w:r w:rsidRPr="001B13A4">
          <w:rPr>
            <w:rStyle w:val="Hyperlink"/>
            <w:noProof/>
          </w:rPr>
          <w:t>Part 1 Section 20.1.2.3.25, redOff (Red Offset)</w:t>
        </w:r>
        <w:r>
          <w:rPr>
            <w:noProof/>
            <w:webHidden/>
          </w:rPr>
          <w:tab/>
        </w:r>
        <w:r>
          <w:rPr>
            <w:noProof/>
            <w:webHidden/>
          </w:rPr>
          <w:fldChar w:fldCharType="begin"/>
        </w:r>
        <w:r>
          <w:rPr>
            <w:noProof/>
            <w:webHidden/>
          </w:rPr>
          <w:instrText xml:space="preserve"> PAGEREF _Toc181684273 \h </w:instrText>
        </w:r>
        <w:r>
          <w:rPr>
            <w:noProof/>
            <w:webHidden/>
          </w:rPr>
        </w:r>
        <w:r>
          <w:rPr>
            <w:noProof/>
            <w:webHidden/>
          </w:rPr>
          <w:fldChar w:fldCharType="separate"/>
        </w:r>
        <w:r>
          <w:rPr>
            <w:noProof/>
            <w:webHidden/>
          </w:rPr>
          <w:t>503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4" w:history="1">
        <w:r w:rsidRPr="001B13A4">
          <w:rPr>
            <w:rStyle w:val="Hyperlink"/>
            <w:noProof/>
          </w:rPr>
          <w:t>2.1.1238</w:t>
        </w:r>
        <w:r>
          <w:rPr>
            <w:rFonts w:asciiTheme="minorHAnsi" w:eastAsiaTheme="minorEastAsia" w:hAnsiTheme="minorHAnsi" w:cstheme="minorBidi"/>
            <w:noProof/>
            <w:sz w:val="22"/>
            <w:szCs w:val="22"/>
          </w:rPr>
          <w:tab/>
        </w:r>
        <w:r w:rsidRPr="001B13A4">
          <w:rPr>
            <w:rStyle w:val="Hyperlink"/>
            <w:noProof/>
          </w:rPr>
          <w:t>Part 1 Section 20.1.2.3.26, sat (Saturation)</w:t>
        </w:r>
        <w:r>
          <w:rPr>
            <w:noProof/>
            <w:webHidden/>
          </w:rPr>
          <w:tab/>
        </w:r>
        <w:r>
          <w:rPr>
            <w:noProof/>
            <w:webHidden/>
          </w:rPr>
          <w:fldChar w:fldCharType="begin"/>
        </w:r>
        <w:r>
          <w:rPr>
            <w:noProof/>
            <w:webHidden/>
          </w:rPr>
          <w:instrText xml:space="preserve"> PAGEREF _Toc181684274 \h </w:instrText>
        </w:r>
        <w:r>
          <w:rPr>
            <w:noProof/>
            <w:webHidden/>
          </w:rPr>
        </w:r>
        <w:r>
          <w:rPr>
            <w:noProof/>
            <w:webHidden/>
          </w:rPr>
          <w:fldChar w:fldCharType="separate"/>
        </w:r>
        <w:r>
          <w:rPr>
            <w:noProof/>
            <w:webHidden/>
          </w:rPr>
          <w:t>503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5" w:history="1">
        <w:r w:rsidRPr="001B13A4">
          <w:rPr>
            <w:rStyle w:val="Hyperlink"/>
            <w:noProof/>
          </w:rPr>
          <w:t>2.1.1239</w:t>
        </w:r>
        <w:r>
          <w:rPr>
            <w:rFonts w:asciiTheme="minorHAnsi" w:eastAsiaTheme="minorEastAsia" w:hAnsiTheme="minorHAnsi" w:cstheme="minorBidi"/>
            <w:noProof/>
            <w:sz w:val="22"/>
            <w:szCs w:val="22"/>
          </w:rPr>
          <w:tab/>
        </w:r>
        <w:r w:rsidRPr="001B13A4">
          <w:rPr>
            <w:rStyle w:val="Hyperlink"/>
            <w:noProof/>
          </w:rPr>
          <w:t>Part 1 Section 20.1.2.3.27, satMod (Saturation Modulation)</w:t>
        </w:r>
        <w:r>
          <w:rPr>
            <w:noProof/>
            <w:webHidden/>
          </w:rPr>
          <w:tab/>
        </w:r>
        <w:r>
          <w:rPr>
            <w:noProof/>
            <w:webHidden/>
          </w:rPr>
          <w:fldChar w:fldCharType="begin"/>
        </w:r>
        <w:r>
          <w:rPr>
            <w:noProof/>
            <w:webHidden/>
          </w:rPr>
          <w:instrText xml:space="preserve"> PAGEREF _Toc181684275 \h </w:instrText>
        </w:r>
        <w:r>
          <w:rPr>
            <w:noProof/>
            <w:webHidden/>
          </w:rPr>
        </w:r>
        <w:r>
          <w:rPr>
            <w:noProof/>
            <w:webHidden/>
          </w:rPr>
          <w:fldChar w:fldCharType="separate"/>
        </w:r>
        <w:r>
          <w:rPr>
            <w:noProof/>
            <w:webHidden/>
          </w:rPr>
          <w:t>503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6" w:history="1">
        <w:r w:rsidRPr="001B13A4">
          <w:rPr>
            <w:rStyle w:val="Hyperlink"/>
            <w:noProof/>
          </w:rPr>
          <w:t>2.1.1240</w:t>
        </w:r>
        <w:r>
          <w:rPr>
            <w:rFonts w:asciiTheme="minorHAnsi" w:eastAsiaTheme="minorEastAsia" w:hAnsiTheme="minorHAnsi" w:cstheme="minorBidi"/>
            <w:noProof/>
            <w:sz w:val="22"/>
            <w:szCs w:val="22"/>
          </w:rPr>
          <w:tab/>
        </w:r>
        <w:r w:rsidRPr="001B13A4">
          <w:rPr>
            <w:rStyle w:val="Hyperlink"/>
            <w:noProof/>
          </w:rPr>
          <w:t>Part 1 Section 20.1.2.3.28, satOff (Saturation Offset)</w:t>
        </w:r>
        <w:r>
          <w:rPr>
            <w:noProof/>
            <w:webHidden/>
          </w:rPr>
          <w:tab/>
        </w:r>
        <w:r>
          <w:rPr>
            <w:noProof/>
            <w:webHidden/>
          </w:rPr>
          <w:fldChar w:fldCharType="begin"/>
        </w:r>
        <w:r>
          <w:rPr>
            <w:noProof/>
            <w:webHidden/>
          </w:rPr>
          <w:instrText xml:space="preserve"> PAGEREF _Toc181684276 \h </w:instrText>
        </w:r>
        <w:r>
          <w:rPr>
            <w:noProof/>
            <w:webHidden/>
          </w:rPr>
        </w:r>
        <w:r>
          <w:rPr>
            <w:noProof/>
            <w:webHidden/>
          </w:rPr>
          <w:fldChar w:fldCharType="separate"/>
        </w:r>
        <w:r>
          <w:rPr>
            <w:noProof/>
            <w:webHidden/>
          </w:rPr>
          <w:t>503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7" w:history="1">
        <w:r w:rsidRPr="001B13A4">
          <w:rPr>
            <w:rStyle w:val="Hyperlink"/>
            <w:noProof/>
          </w:rPr>
          <w:t>2.1.1241</w:t>
        </w:r>
        <w:r>
          <w:rPr>
            <w:rFonts w:asciiTheme="minorHAnsi" w:eastAsiaTheme="minorEastAsia" w:hAnsiTheme="minorHAnsi" w:cstheme="minorBidi"/>
            <w:noProof/>
            <w:sz w:val="22"/>
            <w:szCs w:val="22"/>
          </w:rPr>
          <w:tab/>
        </w:r>
        <w:r w:rsidRPr="001B13A4">
          <w:rPr>
            <w:rStyle w:val="Hyperlink"/>
            <w:noProof/>
          </w:rPr>
          <w:t>Part 1 Section 20.1.2.3.31, shade (Shade)</w:t>
        </w:r>
        <w:r>
          <w:rPr>
            <w:noProof/>
            <w:webHidden/>
          </w:rPr>
          <w:tab/>
        </w:r>
        <w:r>
          <w:rPr>
            <w:noProof/>
            <w:webHidden/>
          </w:rPr>
          <w:fldChar w:fldCharType="begin"/>
        </w:r>
        <w:r>
          <w:rPr>
            <w:noProof/>
            <w:webHidden/>
          </w:rPr>
          <w:instrText xml:space="preserve"> PAGEREF _Toc181684277 \h </w:instrText>
        </w:r>
        <w:r>
          <w:rPr>
            <w:noProof/>
            <w:webHidden/>
          </w:rPr>
        </w:r>
        <w:r>
          <w:rPr>
            <w:noProof/>
            <w:webHidden/>
          </w:rPr>
          <w:fldChar w:fldCharType="separate"/>
        </w:r>
        <w:r>
          <w:rPr>
            <w:noProof/>
            <w:webHidden/>
          </w:rPr>
          <w:t>504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8" w:history="1">
        <w:r w:rsidRPr="001B13A4">
          <w:rPr>
            <w:rStyle w:val="Hyperlink"/>
            <w:noProof/>
          </w:rPr>
          <w:t>2.1.1242</w:t>
        </w:r>
        <w:r>
          <w:rPr>
            <w:rFonts w:asciiTheme="minorHAnsi" w:eastAsiaTheme="minorEastAsia" w:hAnsiTheme="minorHAnsi" w:cstheme="minorBidi"/>
            <w:noProof/>
            <w:sz w:val="22"/>
            <w:szCs w:val="22"/>
          </w:rPr>
          <w:tab/>
        </w:r>
        <w:r w:rsidRPr="001B13A4">
          <w:rPr>
            <w:rStyle w:val="Hyperlink"/>
            <w:noProof/>
          </w:rPr>
          <w:t>Part 1 Section 20.1.2.3.33, sysClr (System Color)</w:t>
        </w:r>
        <w:r>
          <w:rPr>
            <w:noProof/>
            <w:webHidden/>
          </w:rPr>
          <w:tab/>
        </w:r>
        <w:r>
          <w:rPr>
            <w:noProof/>
            <w:webHidden/>
          </w:rPr>
          <w:fldChar w:fldCharType="begin"/>
        </w:r>
        <w:r>
          <w:rPr>
            <w:noProof/>
            <w:webHidden/>
          </w:rPr>
          <w:instrText xml:space="preserve"> PAGEREF _Toc181684278 \h </w:instrText>
        </w:r>
        <w:r>
          <w:rPr>
            <w:noProof/>
            <w:webHidden/>
          </w:rPr>
        </w:r>
        <w:r>
          <w:rPr>
            <w:noProof/>
            <w:webHidden/>
          </w:rPr>
          <w:fldChar w:fldCharType="separate"/>
        </w:r>
        <w:r>
          <w:rPr>
            <w:noProof/>
            <w:webHidden/>
          </w:rPr>
          <w:t>504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79" w:history="1">
        <w:r w:rsidRPr="001B13A4">
          <w:rPr>
            <w:rStyle w:val="Hyperlink"/>
            <w:noProof/>
          </w:rPr>
          <w:t>2.1.1243</w:t>
        </w:r>
        <w:r>
          <w:rPr>
            <w:rFonts w:asciiTheme="minorHAnsi" w:eastAsiaTheme="minorEastAsia" w:hAnsiTheme="minorHAnsi" w:cstheme="minorBidi"/>
            <w:noProof/>
            <w:sz w:val="22"/>
            <w:szCs w:val="22"/>
          </w:rPr>
          <w:tab/>
        </w:r>
        <w:r w:rsidRPr="001B13A4">
          <w:rPr>
            <w:rStyle w:val="Hyperlink"/>
            <w:noProof/>
          </w:rPr>
          <w:t>Part 1 Section 20.1.2.3.34, tint (Tint)</w:t>
        </w:r>
        <w:r>
          <w:rPr>
            <w:noProof/>
            <w:webHidden/>
          </w:rPr>
          <w:tab/>
        </w:r>
        <w:r>
          <w:rPr>
            <w:noProof/>
            <w:webHidden/>
          </w:rPr>
          <w:fldChar w:fldCharType="begin"/>
        </w:r>
        <w:r>
          <w:rPr>
            <w:noProof/>
            <w:webHidden/>
          </w:rPr>
          <w:instrText xml:space="preserve"> PAGEREF _Toc181684279 \h </w:instrText>
        </w:r>
        <w:r>
          <w:rPr>
            <w:noProof/>
            <w:webHidden/>
          </w:rPr>
        </w:r>
        <w:r>
          <w:rPr>
            <w:noProof/>
            <w:webHidden/>
          </w:rPr>
          <w:fldChar w:fldCharType="separate"/>
        </w:r>
        <w:r>
          <w:rPr>
            <w:noProof/>
            <w:webHidden/>
          </w:rPr>
          <w:t>504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0" w:history="1">
        <w:r w:rsidRPr="001B13A4">
          <w:rPr>
            <w:rStyle w:val="Hyperlink"/>
            <w:noProof/>
          </w:rPr>
          <w:t>2.1.1244</w:t>
        </w:r>
        <w:r>
          <w:rPr>
            <w:rFonts w:asciiTheme="minorHAnsi" w:eastAsiaTheme="minorEastAsia" w:hAnsiTheme="minorHAnsi" w:cstheme="minorBidi"/>
            <w:noProof/>
            <w:sz w:val="22"/>
            <w:szCs w:val="22"/>
          </w:rPr>
          <w:tab/>
        </w:r>
        <w:r w:rsidRPr="001B13A4">
          <w:rPr>
            <w:rStyle w:val="Hyperlink"/>
            <w:noProof/>
          </w:rPr>
          <w:t>Part 1 Section 20.1.3.2, audioFile (Audio from File)</w:t>
        </w:r>
        <w:r>
          <w:rPr>
            <w:noProof/>
            <w:webHidden/>
          </w:rPr>
          <w:tab/>
        </w:r>
        <w:r>
          <w:rPr>
            <w:noProof/>
            <w:webHidden/>
          </w:rPr>
          <w:fldChar w:fldCharType="begin"/>
        </w:r>
        <w:r>
          <w:rPr>
            <w:noProof/>
            <w:webHidden/>
          </w:rPr>
          <w:instrText xml:space="preserve"> PAGEREF _Toc181684280 \h </w:instrText>
        </w:r>
        <w:r>
          <w:rPr>
            <w:noProof/>
            <w:webHidden/>
          </w:rPr>
        </w:r>
        <w:r>
          <w:rPr>
            <w:noProof/>
            <w:webHidden/>
          </w:rPr>
          <w:fldChar w:fldCharType="separate"/>
        </w:r>
        <w:r>
          <w:rPr>
            <w:noProof/>
            <w:webHidden/>
          </w:rPr>
          <w:t>504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1" w:history="1">
        <w:r w:rsidRPr="001B13A4">
          <w:rPr>
            <w:rStyle w:val="Hyperlink"/>
            <w:noProof/>
          </w:rPr>
          <w:t>2.1.1245</w:t>
        </w:r>
        <w:r>
          <w:rPr>
            <w:rFonts w:asciiTheme="minorHAnsi" w:eastAsiaTheme="minorEastAsia" w:hAnsiTheme="minorHAnsi" w:cstheme="minorBidi"/>
            <w:noProof/>
            <w:sz w:val="22"/>
            <w:szCs w:val="22"/>
          </w:rPr>
          <w:tab/>
        </w:r>
        <w:r w:rsidRPr="001B13A4">
          <w:rPr>
            <w:rStyle w:val="Hyperlink"/>
            <w:noProof/>
          </w:rPr>
          <w:t>Part 1 Section 20.1.3.3, end (Audio End Time)</w:t>
        </w:r>
        <w:r>
          <w:rPr>
            <w:noProof/>
            <w:webHidden/>
          </w:rPr>
          <w:tab/>
        </w:r>
        <w:r>
          <w:rPr>
            <w:noProof/>
            <w:webHidden/>
          </w:rPr>
          <w:fldChar w:fldCharType="begin"/>
        </w:r>
        <w:r>
          <w:rPr>
            <w:noProof/>
            <w:webHidden/>
          </w:rPr>
          <w:instrText xml:space="preserve"> PAGEREF _Toc181684281 \h </w:instrText>
        </w:r>
        <w:r>
          <w:rPr>
            <w:noProof/>
            <w:webHidden/>
          </w:rPr>
        </w:r>
        <w:r>
          <w:rPr>
            <w:noProof/>
            <w:webHidden/>
          </w:rPr>
          <w:fldChar w:fldCharType="separate"/>
        </w:r>
        <w:r>
          <w:rPr>
            <w:noProof/>
            <w:webHidden/>
          </w:rPr>
          <w:t>504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2" w:history="1">
        <w:r w:rsidRPr="001B13A4">
          <w:rPr>
            <w:rStyle w:val="Hyperlink"/>
            <w:noProof/>
          </w:rPr>
          <w:t>2.1.1246</w:t>
        </w:r>
        <w:r>
          <w:rPr>
            <w:rFonts w:asciiTheme="minorHAnsi" w:eastAsiaTheme="minorEastAsia" w:hAnsiTheme="minorHAnsi" w:cstheme="minorBidi"/>
            <w:noProof/>
            <w:sz w:val="22"/>
            <w:szCs w:val="22"/>
          </w:rPr>
          <w:tab/>
        </w:r>
        <w:r w:rsidRPr="001B13A4">
          <w:rPr>
            <w:rStyle w:val="Hyperlink"/>
            <w:noProof/>
          </w:rPr>
          <w:t>Part 1 Section 20.1.3.5, st (Audio Start Time)</w:t>
        </w:r>
        <w:r>
          <w:rPr>
            <w:noProof/>
            <w:webHidden/>
          </w:rPr>
          <w:tab/>
        </w:r>
        <w:r>
          <w:rPr>
            <w:noProof/>
            <w:webHidden/>
          </w:rPr>
          <w:fldChar w:fldCharType="begin"/>
        </w:r>
        <w:r>
          <w:rPr>
            <w:noProof/>
            <w:webHidden/>
          </w:rPr>
          <w:instrText xml:space="preserve"> PAGEREF _Toc181684282 \h </w:instrText>
        </w:r>
        <w:r>
          <w:rPr>
            <w:noProof/>
            <w:webHidden/>
          </w:rPr>
        </w:r>
        <w:r>
          <w:rPr>
            <w:noProof/>
            <w:webHidden/>
          </w:rPr>
          <w:fldChar w:fldCharType="separate"/>
        </w:r>
        <w:r>
          <w:rPr>
            <w:noProof/>
            <w:webHidden/>
          </w:rPr>
          <w:t>504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3" w:history="1">
        <w:r w:rsidRPr="001B13A4">
          <w:rPr>
            <w:rStyle w:val="Hyperlink"/>
            <w:noProof/>
          </w:rPr>
          <w:t>2.1.1247</w:t>
        </w:r>
        <w:r>
          <w:rPr>
            <w:rFonts w:asciiTheme="minorHAnsi" w:eastAsiaTheme="minorEastAsia" w:hAnsiTheme="minorHAnsi" w:cstheme="minorBidi"/>
            <w:noProof/>
            <w:sz w:val="22"/>
            <w:szCs w:val="22"/>
          </w:rPr>
          <w:tab/>
        </w:r>
        <w:r w:rsidRPr="001B13A4">
          <w:rPr>
            <w:rStyle w:val="Hyperlink"/>
            <w:noProof/>
          </w:rPr>
          <w:t>Part 1 Section 20.1.3.6, videoFile (Video from File)</w:t>
        </w:r>
        <w:r>
          <w:rPr>
            <w:noProof/>
            <w:webHidden/>
          </w:rPr>
          <w:tab/>
        </w:r>
        <w:r>
          <w:rPr>
            <w:noProof/>
            <w:webHidden/>
          </w:rPr>
          <w:fldChar w:fldCharType="begin"/>
        </w:r>
        <w:r>
          <w:rPr>
            <w:noProof/>
            <w:webHidden/>
          </w:rPr>
          <w:instrText xml:space="preserve"> PAGEREF _Toc181684283 \h </w:instrText>
        </w:r>
        <w:r>
          <w:rPr>
            <w:noProof/>
            <w:webHidden/>
          </w:rPr>
        </w:r>
        <w:r>
          <w:rPr>
            <w:noProof/>
            <w:webHidden/>
          </w:rPr>
          <w:fldChar w:fldCharType="separate"/>
        </w:r>
        <w:r>
          <w:rPr>
            <w:noProof/>
            <w:webHidden/>
          </w:rPr>
          <w:t>505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4" w:history="1">
        <w:r w:rsidRPr="001B13A4">
          <w:rPr>
            <w:rStyle w:val="Hyperlink"/>
            <w:noProof/>
          </w:rPr>
          <w:t>2.1.1248</w:t>
        </w:r>
        <w:r>
          <w:rPr>
            <w:rFonts w:asciiTheme="minorHAnsi" w:eastAsiaTheme="minorEastAsia" w:hAnsiTheme="minorHAnsi" w:cstheme="minorBidi"/>
            <w:noProof/>
            <w:sz w:val="22"/>
            <w:szCs w:val="22"/>
          </w:rPr>
          <w:tab/>
        </w:r>
        <w:r w:rsidRPr="001B13A4">
          <w:rPr>
            <w:rStyle w:val="Hyperlink"/>
            <w:noProof/>
          </w:rPr>
          <w:t>Part 1 Section 20.1.4.1.1, accent1 (Accent 1)</w:t>
        </w:r>
        <w:r>
          <w:rPr>
            <w:noProof/>
            <w:webHidden/>
          </w:rPr>
          <w:tab/>
        </w:r>
        <w:r>
          <w:rPr>
            <w:noProof/>
            <w:webHidden/>
          </w:rPr>
          <w:fldChar w:fldCharType="begin"/>
        </w:r>
        <w:r>
          <w:rPr>
            <w:noProof/>
            <w:webHidden/>
          </w:rPr>
          <w:instrText xml:space="preserve"> PAGEREF _Toc181684284 \h </w:instrText>
        </w:r>
        <w:r>
          <w:rPr>
            <w:noProof/>
            <w:webHidden/>
          </w:rPr>
        </w:r>
        <w:r>
          <w:rPr>
            <w:noProof/>
            <w:webHidden/>
          </w:rPr>
          <w:fldChar w:fldCharType="separate"/>
        </w:r>
        <w:r>
          <w:rPr>
            <w:noProof/>
            <w:webHidden/>
          </w:rPr>
          <w:t>505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5" w:history="1">
        <w:r w:rsidRPr="001B13A4">
          <w:rPr>
            <w:rStyle w:val="Hyperlink"/>
            <w:noProof/>
          </w:rPr>
          <w:t>2.1.1249</w:t>
        </w:r>
        <w:r>
          <w:rPr>
            <w:rFonts w:asciiTheme="minorHAnsi" w:eastAsiaTheme="minorEastAsia" w:hAnsiTheme="minorHAnsi" w:cstheme="minorBidi"/>
            <w:noProof/>
            <w:sz w:val="22"/>
            <w:szCs w:val="22"/>
          </w:rPr>
          <w:tab/>
        </w:r>
        <w:r w:rsidRPr="001B13A4">
          <w:rPr>
            <w:rStyle w:val="Hyperlink"/>
            <w:noProof/>
          </w:rPr>
          <w:t>Part 1 Section 20.1.4.1.2, accent2 (Accent 2)</w:t>
        </w:r>
        <w:r>
          <w:rPr>
            <w:noProof/>
            <w:webHidden/>
          </w:rPr>
          <w:tab/>
        </w:r>
        <w:r>
          <w:rPr>
            <w:noProof/>
            <w:webHidden/>
          </w:rPr>
          <w:fldChar w:fldCharType="begin"/>
        </w:r>
        <w:r>
          <w:rPr>
            <w:noProof/>
            <w:webHidden/>
          </w:rPr>
          <w:instrText xml:space="preserve"> PAGEREF _Toc181684285 \h </w:instrText>
        </w:r>
        <w:r>
          <w:rPr>
            <w:noProof/>
            <w:webHidden/>
          </w:rPr>
        </w:r>
        <w:r>
          <w:rPr>
            <w:noProof/>
            <w:webHidden/>
          </w:rPr>
          <w:fldChar w:fldCharType="separate"/>
        </w:r>
        <w:r>
          <w:rPr>
            <w:noProof/>
            <w:webHidden/>
          </w:rPr>
          <w:t>505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6" w:history="1">
        <w:r w:rsidRPr="001B13A4">
          <w:rPr>
            <w:rStyle w:val="Hyperlink"/>
            <w:noProof/>
          </w:rPr>
          <w:t>2.1.1250</w:t>
        </w:r>
        <w:r>
          <w:rPr>
            <w:rFonts w:asciiTheme="minorHAnsi" w:eastAsiaTheme="minorEastAsia" w:hAnsiTheme="minorHAnsi" w:cstheme="minorBidi"/>
            <w:noProof/>
            <w:sz w:val="22"/>
            <w:szCs w:val="22"/>
          </w:rPr>
          <w:tab/>
        </w:r>
        <w:r w:rsidRPr="001B13A4">
          <w:rPr>
            <w:rStyle w:val="Hyperlink"/>
            <w:noProof/>
          </w:rPr>
          <w:t>Part 1 Section 20.1.4.1.3, accent3 (Accent 3)</w:t>
        </w:r>
        <w:r>
          <w:rPr>
            <w:noProof/>
            <w:webHidden/>
          </w:rPr>
          <w:tab/>
        </w:r>
        <w:r>
          <w:rPr>
            <w:noProof/>
            <w:webHidden/>
          </w:rPr>
          <w:fldChar w:fldCharType="begin"/>
        </w:r>
        <w:r>
          <w:rPr>
            <w:noProof/>
            <w:webHidden/>
          </w:rPr>
          <w:instrText xml:space="preserve"> PAGEREF _Toc181684286 \h </w:instrText>
        </w:r>
        <w:r>
          <w:rPr>
            <w:noProof/>
            <w:webHidden/>
          </w:rPr>
        </w:r>
        <w:r>
          <w:rPr>
            <w:noProof/>
            <w:webHidden/>
          </w:rPr>
          <w:fldChar w:fldCharType="separate"/>
        </w:r>
        <w:r>
          <w:rPr>
            <w:noProof/>
            <w:webHidden/>
          </w:rPr>
          <w:t>505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7" w:history="1">
        <w:r w:rsidRPr="001B13A4">
          <w:rPr>
            <w:rStyle w:val="Hyperlink"/>
            <w:noProof/>
          </w:rPr>
          <w:t>2.1.1251</w:t>
        </w:r>
        <w:r>
          <w:rPr>
            <w:rFonts w:asciiTheme="minorHAnsi" w:eastAsiaTheme="minorEastAsia" w:hAnsiTheme="minorHAnsi" w:cstheme="minorBidi"/>
            <w:noProof/>
            <w:sz w:val="22"/>
            <w:szCs w:val="22"/>
          </w:rPr>
          <w:tab/>
        </w:r>
        <w:r w:rsidRPr="001B13A4">
          <w:rPr>
            <w:rStyle w:val="Hyperlink"/>
            <w:noProof/>
          </w:rPr>
          <w:t>Part 1 Section 20.1.4.1.4, accent4 (Accent 4)</w:t>
        </w:r>
        <w:r>
          <w:rPr>
            <w:noProof/>
            <w:webHidden/>
          </w:rPr>
          <w:tab/>
        </w:r>
        <w:r>
          <w:rPr>
            <w:noProof/>
            <w:webHidden/>
          </w:rPr>
          <w:fldChar w:fldCharType="begin"/>
        </w:r>
        <w:r>
          <w:rPr>
            <w:noProof/>
            <w:webHidden/>
          </w:rPr>
          <w:instrText xml:space="preserve"> PAGEREF _Toc181684287 \h </w:instrText>
        </w:r>
        <w:r>
          <w:rPr>
            <w:noProof/>
            <w:webHidden/>
          </w:rPr>
        </w:r>
        <w:r>
          <w:rPr>
            <w:noProof/>
            <w:webHidden/>
          </w:rPr>
          <w:fldChar w:fldCharType="separate"/>
        </w:r>
        <w:r>
          <w:rPr>
            <w:noProof/>
            <w:webHidden/>
          </w:rPr>
          <w:t>505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8" w:history="1">
        <w:r w:rsidRPr="001B13A4">
          <w:rPr>
            <w:rStyle w:val="Hyperlink"/>
            <w:noProof/>
          </w:rPr>
          <w:t>2.1.1252</w:t>
        </w:r>
        <w:r>
          <w:rPr>
            <w:rFonts w:asciiTheme="minorHAnsi" w:eastAsiaTheme="minorEastAsia" w:hAnsiTheme="minorHAnsi" w:cstheme="minorBidi"/>
            <w:noProof/>
            <w:sz w:val="22"/>
            <w:szCs w:val="22"/>
          </w:rPr>
          <w:tab/>
        </w:r>
        <w:r w:rsidRPr="001B13A4">
          <w:rPr>
            <w:rStyle w:val="Hyperlink"/>
            <w:noProof/>
          </w:rPr>
          <w:t>Part 1 Section 20.1.4.1.5, accent5 (Accent 5)</w:t>
        </w:r>
        <w:r>
          <w:rPr>
            <w:noProof/>
            <w:webHidden/>
          </w:rPr>
          <w:tab/>
        </w:r>
        <w:r>
          <w:rPr>
            <w:noProof/>
            <w:webHidden/>
          </w:rPr>
          <w:fldChar w:fldCharType="begin"/>
        </w:r>
        <w:r>
          <w:rPr>
            <w:noProof/>
            <w:webHidden/>
          </w:rPr>
          <w:instrText xml:space="preserve"> PAGEREF _Toc181684288 \h </w:instrText>
        </w:r>
        <w:r>
          <w:rPr>
            <w:noProof/>
            <w:webHidden/>
          </w:rPr>
        </w:r>
        <w:r>
          <w:rPr>
            <w:noProof/>
            <w:webHidden/>
          </w:rPr>
          <w:fldChar w:fldCharType="separate"/>
        </w:r>
        <w:r>
          <w:rPr>
            <w:noProof/>
            <w:webHidden/>
          </w:rPr>
          <w:t>505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89" w:history="1">
        <w:r w:rsidRPr="001B13A4">
          <w:rPr>
            <w:rStyle w:val="Hyperlink"/>
            <w:noProof/>
          </w:rPr>
          <w:t>2.1.1253</w:t>
        </w:r>
        <w:r>
          <w:rPr>
            <w:rFonts w:asciiTheme="minorHAnsi" w:eastAsiaTheme="minorEastAsia" w:hAnsiTheme="minorHAnsi" w:cstheme="minorBidi"/>
            <w:noProof/>
            <w:sz w:val="22"/>
            <w:szCs w:val="22"/>
          </w:rPr>
          <w:tab/>
        </w:r>
        <w:r w:rsidRPr="001B13A4">
          <w:rPr>
            <w:rStyle w:val="Hyperlink"/>
            <w:noProof/>
          </w:rPr>
          <w:t>Part 1 Section 20.1.4.1.6, accent6 (Accent 6)</w:t>
        </w:r>
        <w:r>
          <w:rPr>
            <w:noProof/>
            <w:webHidden/>
          </w:rPr>
          <w:tab/>
        </w:r>
        <w:r>
          <w:rPr>
            <w:noProof/>
            <w:webHidden/>
          </w:rPr>
          <w:fldChar w:fldCharType="begin"/>
        </w:r>
        <w:r>
          <w:rPr>
            <w:noProof/>
            <w:webHidden/>
          </w:rPr>
          <w:instrText xml:space="preserve"> PAGEREF _Toc181684289 \h </w:instrText>
        </w:r>
        <w:r>
          <w:rPr>
            <w:noProof/>
            <w:webHidden/>
          </w:rPr>
        </w:r>
        <w:r>
          <w:rPr>
            <w:noProof/>
            <w:webHidden/>
          </w:rPr>
          <w:fldChar w:fldCharType="separate"/>
        </w:r>
        <w:r>
          <w:rPr>
            <w:noProof/>
            <w:webHidden/>
          </w:rPr>
          <w:t>505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0" w:history="1">
        <w:r w:rsidRPr="001B13A4">
          <w:rPr>
            <w:rStyle w:val="Hyperlink"/>
            <w:noProof/>
          </w:rPr>
          <w:t>2.1.1254</w:t>
        </w:r>
        <w:r>
          <w:rPr>
            <w:rFonts w:asciiTheme="minorHAnsi" w:eastAsiaTheme="minorEastAsia" w:hAnsiTheme="minorHAnsi" w:cstheme="minorBidi"/>
            <w:noProof/>
            <w:sz w:val="22"/>
            <w:szCs w:val="22"/>
          </w:rPr>
          <w:tab/>
        </w:r>
        <w:r w:rsidRPr="001B13A4">
          <w:rPr>
            <w:rStyle w:val="Hyperlink"/>
            <w:noProof/>
          </w:rPr>
          <w:t>Part 1 Section 20.1.4.1.9, dk1 (Dark 1)</w:t>
        </w:r>
        <w:r>
          <w:rPr>
            <w:noProof/>
            <w:webHidden/>
          </w:rPr>
          <w:tab/>
        </w:r>
        <w:r>
          <w:rPr>
            <w:noProof/>
            <w:webHidden/>
          </w:rPr>
          <w:fldChar w:fldCharType="begin"/>
        </w:r>
        <w:r>
          <w:rPr>
            <w:noProof/>
            <w:webHidden/>
          </w:rPr>
          <w:instrText xml:space="preserve"> PAGEREF _Toc181684290 \h </w:instrText>
        </w:r>
        <w:r>
          <w:rPr>
            <w:noProof/>
            <w:webHidden/>
          </w:rPr>
        </w:r>
        <w:r>
          <w:rPr>
            <w:noProof/>
            <w:webHidden/>
          </w:rPr>
          <w:fldChar w:fldCharType="separate"/>
        </w:r>
        <w:r>
          <w:rPr>
            <w:noProof/>
            <w:webHidden/>
          </w:rPr>
          <w:t>505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1" w:history="1">
        <w:r w:rsidRPr="001B13A4">
          <w:rPr>
            <w:rStyle w:val="Hyperlink"/>
            <w:noProof/>
          </w:rPr>
          <w:t>2.1.1255</w:t>
        </w:r>
        <w:r>
          <w:rPr>
            <w:rFonts w:asciiTheme="minorHAnsi" w:eastAsiaTheme="minorEastAsia" w:hAnsiTheme="minorHAnsi" w:cstheme="minorBidi"/>
            <w:noProof/>
            <w:sz w:val="22"/>
            <w:szCs w:val="22"/>
          </w:rPr>
          <w:tab/>
        </w:r>
        <w:r w:rsidRPr="001B13A4">
          <w:rPr>
            <w:rStyle w:val="Hyperlink"/>
            <w:noProof/>
          </w:rPr>
          <w:t>Part 1 Section 20.1.4.1.10, dk2 (Dark 2)</w:t>
        </w:r>
        <w:r>
          <w:rPr>
            <w:noProof/>
            <w:webHidden/>
          </w:rPr>
          <w:tab/>
        </w:r>
        <w:r>
          <w:rPr>
            <w:noProof/>
            <w:webHidden/>
          </w:rPr>
          <w:fldChar w:fldCharType="begin"/>
        </w:r>
        <w:r>
          <w:rPr>
            <w:noProof/>
            <w:webHidden/>
          </w:rPr>
          <w:instrText xml:space="preserve"> PAGEREF _Toc181684291 \h </w:instrText>
        </w:r>
        <w:r>
          <w:rPr>
            <w:noProof/>
            <w:webHidden/>
          </w:rPr>
        </w:r>
        <w:r>
          <w:rPr>
            <w:noProof/>
            <w:webHidden/>
          </w:rPr>
          <w:fldChar w:fldCharType="separate"/>
        </w:r>
        <w:r>
          <w:rPr>
            <w:noProof/>
            <w:webHidden/>
          </w:rPr>
          <w:t>505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2" w:history="1">
        <w:r w:rsidRPr="001B13A4">
          <w:rPr>
            <w:rStyle w:val="Hyperlink"/>
            <w:noProof/>
          </w:rPr>
          <w:t>2.1.1256</w:t>
        </w:r>
        <w:r>
          <w:rPr>
            <w:rFonts w:asciiTheme="minorHAnsi" w:eastAsiaTheme="minorEastAsia" w:hAnsiTheme="minorHAnsi" w:cstheme="minorBidi"/>
            <w:noProof/>
            <w:sz w:val="22"/>
            <w:szCs w:val="22"/>
          </w:rPr>
          <w:tab/>
        </w:r>
        <w:r w:rsidRPr="001B13A4">
          <w:rPr>
            <w:rStyle w:val="Hyperlink"/>
            <w:noProof/>
          </w:rPr>
          <w:t>Part 1 Section 20.1.4.1.15, folHlink (Followed Hyperlink)</w:t>
        </w:r>
        <w:r>
          <w:rPr>
            <w:noProof/>
            <w:webHidden/>
          </w:rPr>
          <w:tab/>
        </w:r>
        <w:r>
          <w:rPr>
            <w:noProof/>
            <w:webHidden/>
          </w:rPr>
          <w:fldChar w:fldCharType="begin"/>
        </w:r>
        <w:r>
          <w:rPr>
            <w:noProof/>
            <w:webHidden/>
          </w:rPr>
          <w:instrText xml:space="preserve"> PAGEREF _Toc181684292 \h </w:instrText>
        </w:r>
        <w:r>
          <w:rPr>
            <w:noProof/>
            <w:webHidden/>
          </w:rPr>
        </w:r>
        <w:r>
          <w:rPr>
            <w:noProof/>
            <w:webHidden/>
          </w:rPr>
          <w:fldChar w:fldCharType="separate"/>
        </w:r>
        <w:r>
          <w:rPr>
            <w:noProof/>
            <w:webHidden/>
          </w:rPr>
          <w:t>506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3" w:history="1">
        <w:r w:rsidRPr="001B13A4">
          <w:rPr>
            <w:rStyle w:val="Hyperlink"/>
            <w:noProof/>
          </w:rPr>
          <w:t>2.1.1257</w:t>
        </w:r>
        <w:r>
          <w:rPr>
            <w:rFonts w:asciiTheme="minorHAnsi" w:eastAsiaTheme="minorEastAsia" w:hAnsiTheme="minorHAnsi" w:cstheme="minorBidi"/>
            <w:noProof/>
            <w:sz w:val="22"/>
            <w:szCs w:val="22"/>
          </w:rPr>
          <w:tab/>
        </w:r>
        <w:r w:rsidRPr="001B13A4">
          <w:rPr>
            <w:rStyle w:val="Hyperlink"/>
            <w:noProof/>
          </w:rPr>
          <w:t>Part 1 Section 20.1.4.1.17, fontRef (Font Reference)</w:t>
        </w:r>
        <w:r>
          <w:rPr>
            <w:noProof/>
            <w:webHidden/>
          </w:rPr>
          <w:tab/>
        </w:r>
        <w:r>
          <w:rPr>
            <w:noProof/>
            <w:webHidden/>
          </w:rPr>
          <w:fldChar w:fldCharType="begin"/>
        </w:r>
        <w:r>
          <w:rPr>
            <w:noProof/>
            <w:webHidden/>
          </w:rPr>
          <w:instrText xml:space="preserve"> PAGEREF _Toc181684293 \h </w:instrText>
        </w:r>
        <w:r>
          <w:rPr>
            <w:noProof/>
            <w:webHidden/>
          </w:rPr>
        </w:r>
        <w:r>
          <w:rPr>
            <w:noProof/>
            <w:webHidden/>
          </w:rPr>
          <w:fldChar w:fldCharType="separate"/>
        </w:r>
        <w:r>
          <w:rPr>
            <w:noProof/>
            <w:webHidden/>
          </w:rPr>
          <w:t>506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4" w:history="1">
        <w:r w:rsidRPr="001B13A4">
          <w:rPr>
            <w:rStyle w:val="Hyperlink"/>
            <w:noProof/>
          </w:rPr>
          <w:t>2.1.1258</w:t>
        </w:r>
        <w:r>
          <w:rPr>
            <w:rFonts w:asciiTheme="minorHAnsi" w:eastAsiaTheme="minorEastAsia" w:hAnsiTheme="minorHAnsi" w:cstheme="minorBidi"/>
            <w:noProof/>
            <w:sz w:val="22"/>
            <w:szCs w:val="22"/>
          </w:rPr>
          <w:tab/>
        </w:r>
        <w:r w:rsidRPr="001B13A4">
          <w:rPr>
            <w:rStyle w:val="Hyperlink"/>
            <w:noProof/>
          </w:rPr>
          <w:t>Part 1 Section 20.1.4.1.19, hlink (Hyperlink)</w:t>
        </w:r>
        <w:r>
          <w:rPr>
            <w:noProof/>
            <w:webHidden/>
          </w:rPr>
          <w:tab/>
        </w:r>
        <w:r>
          <w:rPr>
            <w:noProof/>
            <w:webHidden/>
          </w:rPr>
          <w:fldChar w:fldCharType="begin"/>
        </w:r>
        <w:r>
          <w:rPr>
            <w:noProof/>
            <w:webHidden/>
          </w:rPr>
          <w:instrText xml:space="preserve"> PAGEREF _Toc181684294 \h </w:instrText>
        </w:r>
        <w:r>
          <w:rPr>
            <w:noProof/>
            <w:webHidden/>
          </w:rPr>
        </w:r>
        <w:r>
          <w:rPr>
            <w:noProof/>
            <w:webHidden/>
          </w:rPr>
          <w:fldChar w:fldCharType="separate"/>
        </w:r>
        <w:r>
          <w:rPr>
            <w:noProof/>
            <w:webHidden/>
          </w:rPr>
          <w:t>506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5" w:history="1">
        <w:r w:rsidRPr="001B13A4">
          <w:rPr>
            <w:rStyle w:val="Hyperlink"/>
            <w:noProof/>
          </w:rPr>
          <w:t>2.1.1259</w:t>
        </w:r>
        <w:r>
          <w:rPr>
            <w:rFonts w:asciiTheme="minorHAnsi" w:eastAsiaTheme="minorEastAsia" w:hAnsiTheme="minorHAnsi" w:cstheme="minorBidi"/>
            <w:noProof/>
            <w:sz w:val="22"/>
            <w:szCs w:val="22"/>
          </w:rPr>
          <w:tab/>
        </w:r>
        <w:r w:rsidRPr="001B13A4">
          <w:rPr>
            <w:rStyle w:val="Hyperlink"/>
            <w:noProof/>
          </w:rPr>
          <w:t>Part 1 Section 20.1.4.1.22, lt1 (Light 1)</w:t>
        </w:r>
        <w:r>
          <w:rPr>
            <w:noProof/>
            <w:webHidden/>
          </w:rPr>
          <w:tab/>
        </w:r>
        <w:r>
          <w:rPr>
            <w:noProof/>
            <w:webHidden/>
          </w:rPr>
          <w:fldChar w:fldCharType="begin"/>
        </w:r>
        <w:r>
          <w:rPr>
            <w:noProof/>
            <w:webHidden/>
          </w:rPr>
          <w:instrText xml:space="preserve"> PAGEREF _Toc181684295 \h </w:instrText>
        </w:r>
        <w:r>
          <w:rPr>
            <w:noProof/>
            <w:webHidden/>
          </w:rPr>
        </w:r>
        <w:r>
          <w:rPr>
            <w:noProof/>
            <w:webHidden/>
          </w:rPr>
          <w:fldChar w:fldCharType="separate"/>
        </w:r>
        <w:r>
          <w:rPr>
            <w:noProof/>
            <w:webHidden/>
          </w:rPr>
          <w:t>506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6" w:history="1">
        <w:r w:rsidRPr="001B13A4">
          <w:rPr>
            <w:rStyle w:val="Hyperlink"/>
            <w:noProof/>
          </w:rPr>
          <w:t>2.1.1260</w:t>
        </w:r>
        <w:r>
          <w:rPr>
            <w:rFonts w:asciiTheme="minorHAnsi" w:eastAsiaTheme="minorEastAsia" w:hAnsiTheme="minorHAnsi" w:cstheme="minorBidi"/>
            <w:noProof/>
            <w:sz w:val="22"/>
            <w:szCs w:val="22"/>
          </w:rPr>
          <w:tab/>
        </w:r>
        <w:r w:rsidRPr="001B13A4">
          <w:rPr>
            <w:rStyle w:val="Hyperlink"/>
            <w:noProof/>
          </w:rPr>
          <w:t>Part 1 Section 20.1.4.1.23, lt2 (Light 2)</w:t>
        </w:r>
        <w:r>
          <w:rPr>
            <w:noProof/>
            <w:webHidden/>
          </w:rPr>
          <w:tab/>
        </w:r>
        <w:r>
          <w:rPr>
            <w:noProof/>
            <w:webHidden/>
          </w:rPr>
          <w:fldChar w:fldCharType="begin"/>
        </w:r>
        <w:r>
          <w:rPr>
            <w:noProof/>
            <w:webHidden/>
          </w:rPr>
          <w:instrText xml:space="preserve"> PAGEREF _Toc181684296 \h </w:instrText>
        </w:r>
        <w:r>
          <w:rPr>
            <w:noProof/>
            <w:webHidden/>
          </w:rPr>
        </w:r>
        <w:r>
          <w:rPr>
            <w:noProof/>
            <w:webHidden/>
          </w:rPr>
          <w:fldChar w:fldCharType="separate"/>
        </w:r>
        <w:r>
          <w:rPr>
            <w:noProof/>
            <w:webHidden/>
          </w:rPr>
          <w:t>506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7" w:history="1">
        <w:r w:rsidRPr="001B13A4">
          <w:rPr>
            <w:rStyle w:val="Hyperlink"/>
            <w:noProof/>
          </w:rPr>
          <w:t>2.1.1261</w:t>
        </w:r>
        <w:r>
          <w:rPr>
            <w:rFonts w:asciiTheme="minorHAnsi" w:eastAsiaTheme="minorEastAsia" w:hAnsiTheme="minorHAnsi" w:cstheme="minorBidi"/>
            <w:noProof/>
            <w:sz w:val="22"/>
            <w:szCs w:val="22"/>
          </w:rPr>
          <w:tab/>
        </w:r>
        <w:r w:rsidRPr="001B13A4">
          <w:rPr>
            <w:rStyle w:val="Hyperlink"/>
            <w:noProof/>
          </w:rPr>
          <w:t>Part 1 Section 20.1.4.2.2, band1V (Band 1 Vertical)</w:t>
        </w:r>
        <w:r>
          <w:rPr>
            <w:noProof/>
            <w:webHidden/>
          </w:rPr>
          <w:tab/>
        </w:r>
        <w:r>
          <w:rPr>
            <w:noProof/>
            <w:webHidden/>
          </w:rPr>
          <w:fldChar w:fldCharType="begin"/>
        </w:r>
        <w:r>
          <w:rPr>
            <w:noProof/>
            <w:webHidden/>
          </w:rPr>
          <w:instrText xml:space="preserve"> PAGEREF _Toc181684297 \h </w:instrText>
        </w:r>
        <w:r>
          <w:rPr>
            <w:noProof/>
            <w:webHidden/>
          </w:rPr>
        </w:r>
        <w:r>
          <w:rPr>
            <w:noProof/>
            <w:webHidden/>
          </w:rPr>
          <w:fldChar w:fldCharType="separate"/>
        </w:r>
        <w:r>
          <w:rPr>
            <w:noProof/>
            <w:webHidden/>
          </w:rPr>
          <w:t>506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8" w:history="1">
        <w:r w:rsidRPr="001B13A4">
          <w:rPr>
            <w:rStyle w:val="Hyperlink"/>
            <w:noProof/>
          </w:rPr>
          <w:t>2.1.1262</w:t>
        </w:r>
        <w:r>
          <w:rPr>
            <w:rFonts w:asciiTheme="minorHAnsi" w:eastAsiaTheme="minorEastAsia" w:hAnsiTheme="minorHAnsi" w:cstheme="minorBidi"/>
            <w:noProof/>
            <w:sz w:val="22"/>
            <w:szCs w:val="22"/>
          </w:rPr>
          <w:tab/>
        </w:r>
        <w:r w:rsidRPr="001B13A4">
          <w:rPr>
            <w:rStyle w:val="Hyperlink"/>
            <w:noProof/>
          </w:rPr>
          <w:t>Part 1 Section 20.1.4.2.4, band2V (Band 2 Vertical)</w:t>
        </w:r>
        <w:r>
          <w:rPr>
            <w:noProof/>
            <w:webHidden/>
          </w:rPr>
          <w:tab/>
        </w:r>
        <w:r>
          <w:rPr>
            <w:noProof/>
            <w:webHidden/>
          </w:rPr>
          <w:fldChar w:fldCharType="begin"/>
        </w:r>
        <w:r>
          <w:rPr>
            <w:noProof/>
            <w:webHidden/>
          </w:rPr>
          <w:instrText xml:space="preserve"> PAGEREF _Toc181684298 \h </w:instrText>
        </w:r>
        <w:r>
          <w:rPr>
            <w:noProof/>
            <w:webHidden/>
          </w:rPr>
        </w:r>
        <w:r>
          <w:rPr>
            <w:noProof/>
            <w:webHidden/>
          </w:rPr>
          <w:fldChar w:fldCharType="separate"/>
        </w:r>
        <w:r>
          <w:rPr>
            <w:noProof/>
            <w:webHidden/>
          </w:rPr>
          <w:t>506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299" w:history="1">
        <w:r w:rsidRPr="001B13A4">
          <w:rPr>
            <w:rStyle w:val="Hyperlink"/>
            <w:noProof/>
          </w:rPr>
          <w:t>2.1.1263</w:t>
        </w:r>
        <w:r>
          <w:rPr>
            <w:rFonts w:asciiTheme="minorHAnsi" w:eastAsiaTheme="minorEastAsia" w:hAnsiTheme="minorHAnsi" w:cstheme="minorBidi"/>
            <w:noProof/>
            <w:sz w:val="22"/>
            <w:szCs w:val="22"/>
          </w:rPr>
          <w:tab/>
        </w:r>
        <w:r w:rsidRPr="001B13A4">
          <w:rPr>
            <w:rStyle w:val="Hyperlink"/>
            <w:noProof/>
          </w:rPr>
          <w:t>Part 1 Section 20.1.4.2.9, fill (Fill)</w:t>
        </w:r>
        <w:r>
          <w:rPr>
            <w:noProof/>
            <w:webHidden/>
          </w:rPr>
          <w:tab/>
        </w:r>
        <w:r>
          <w:rPr>
            <w:noProof/>
            <w:webHidden/>
          </w:rPr>
          <w:fldChar w:fldCharType="begin"/>
        </w:r>
        <w:r>
          <w:rPr>
            <w:noProof/>
            <w:webHidden/>
          </w:rPr>
          <w:instrText xml:space="preserve"> PAGEREF _Toc181684299 \h </w:instrText>
        </w:r>
        <w:r>
          <w:rPr>
            <w:noProof/>
            <w:webHidden/>
          </w:rPr>
        </w:r>
        <w:r>
          <w:rPr>
            <w:noProof/>
            <w:webHidden/>
          </w:rPr>
          <w:fldChar w:fldCharType="separate"/>
        </w:r>
        <w:r>
          <w:rPr>
            <w:noProof/>
            <w:webHidden/>
          </w:rPr>
          <w:t>506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0" w:history="1">
        <w:r w:rsidRPr="001B13A4">
          <w:rPr>
            <w:rStyle w:val="Hyperlink"/>
            <w:noProof/>
          </w:rPr>
          <w:t>2.1.1264</w:t>
        </w:r>
        <w:r>
          <w:rPr>
            <w:rFonts w:asciiTheme="minorHAnsi" w:eastAsiaTheme="minorEastAsia" w:hAnsiTheme="minorHAnsi" w:cstheme="minorBidi"/>
            <w:noProof/>
            <w:sz w:val="22"/>
            <w:szCs w:val="22"/>
          </w:rPr>
          <w:tab/>
        </w:r>
        <w:r w:rsidRPr="001B13A4">
          <w:rPr>
            <w:rStyle w:val="Hyperlink"/>
            <w:noProof/>
          </w:rPr>
          <w:t>Part 1 Section 20.1.4.2.19, lnRef (Line Reference)</w:t>
        </w:r>
        <w:r>
          <w:rPr>
            <w:noProof/>
            <w:webHidden/>
          </w:rPr>
          <w:tab/>
        </w:r>
        <w:r>
          <w:rPr>
            <w:noProof/>
            <w:webHidden/>
          </w:rPr>
          <w:fldChar w:fldCharType="begin"/>
        </w:r>
        <w:r>
          <w:rPr>
            <w:noProof/>
            <w:webHidden/>
          </w:rPr>
          <w:instrText xml:space="preserve"> PAGEREF _Toc181684300 \h </w:instrText>
        </w:r>
        <w:r>
          <w:rPr>
            <w:noProof/>
            <w:webHidden/>
          </w:rPr>
        </w:r>
        <w:r>
          <w:rPr>
            <w:noProof/>
            <w:webHidden/>
          </w:rPr>
          <w:fldChar w:fldCharType="separate"/>
        </w:r>
        <w:r>
          <w:rPr>
            <w:noProof/>
            <w:webHidden/>
          </w:rPr>
          <w:t>507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1" w:history="1">
        <w:r w:rsidRPr="001B13A4">
          <w:rPr>
            <w:rStyle w:val="Hyperlink"/>
            <w:noProof/>
          </w:rPr>
          <w:t>2.1.1265</w:t>
        </w:r>
        <w:r>
          <w:rPr>
            <w:rFonts w:asciiTheme="minorHAnsi" w:eastAsiaTheme="minorEastAsia" w:hAnsiTheme="minorHAnsi" w:cstheme="minorBidi"/>
            <w:noProof/>
            <w:sz w:val="22"/>
            <w:szCs w:val="22"/>
          </w:rPr>
          <w:tab/>
        </w:r>
        <w:r w:rsidRPr="001B13A4">
          <w:rPr>
            <w:rStyle w:val="Hyperlink"/>
            <w:noProof/>
          </w:rPr>
          <w:t>Part 1 Section 20.1.4.2.26, tblStyle (Table Style)</w:t>
        </w:r>
        <w:r>
          <w:rPr>
            <w:noProof/>
            <w:webHidden/>
          </w:rPr>
          <w:tab/>
        </w:r>
        <w:r>
          <w:rPr>
            <w:noProof/>
            <w:webHidden/>
          </w:rPr>
          <w:fldChar w:fldCharType="begin"/>
        </w:r>
        <w:r>
          <w:rPr>
            <w:noProof/>
            <w:webHidden/>
          </w:rPr>
          <w:instrText xml:space="preserve"> PAGEREF _Toc181684301 \h </w:instrText>
        </w:r>
        <w:r>
          <w:rPr>
            <w:noProof/>
            <w:webHidden/>
          </w:rPr>
        </w:r>
        <w:r>
          <w:rPr>
            <w:noProof/>
            <w:webHidden/>
          </w:rPr>
          <w:fldChar w:fldCharType="separate"/>
        </w:r>
        <w:r>
          <w:rPr>
            <w:noProof/>
            <w:webHidden/>
          </w:rPr>
          <w:t>507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2" w:history="1">
        <w:r w:rsidRPr="001B13A4">
          <w:rPr>
            <w:rStyle w:val="Hyperlink"/>
            <w:noProof/>
          </w:rPr>
          <w:t>2.1.1266</w:t>
        </w:r>
        <w:r>
          <w:rPr>
            <w:rFonts w:asciiTheme="minorHAnsi" w:eastAsiaTheme="minorEastAsia" w:hAnsiTheme="minorHAnsi" w:cstheme="minorBidi"/>
            <w:noProof/>
            <w:sz w:val="22"/>
            <w:szCs w:val="22"/>
          </w:rPr>
          <w:tab/>
        </w:r>
        <w:r w:rsidRPr="001B13A4">
          <w:rPr>
            <w:rStyle w:val="Hyperlink"/>
            <w:noProof/>
          </w:rPr>
          <w:t>Part 1 Section 20.1.5.1, anchor (Anchor Point)</w:t>
        </w:r>
        <w:r>
          <w:rPr>
            <w:noProof/>
            <w:webHidden/>
          </w:rPr>
          <w:tab/>
        </w:r>
        <w:r>
          <w:rPr>
            <w:noProof/>
            <w:webHidden/>
          </w:rPr>
          <w:fldChar w:fldCharType="begin"/>
        </w:r>
        <w:r>
          <w:rPr>
            <w:noProof/>
            <w:webHidden/>
          </w:rPr>
          <w:instrText xml:space="preserve"> PAGEREF _Toc181684302 \h </w:instrText>
        </w:r>
        <w:r>
          <w:rPr>
            <w:noProof/>
            <w:webHidden/>
          </w:rPr>
        </w:r>
        <w:r>
          <w:rPr>
            <w:noProof/>
            <w:webHidden/>
          </w:rPr>
          <w:fldChar w:fldCharType="separate"/>
        </w:r>
        <w:r>
          <w:rPr>
            <w:noProof/>
            <w:webHidden/>
          </w:rPr>
          <w:t>507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3" w:history="1">
        <w:r w:rsidRPr="001B13A4">
          <w:rPr>
            <w:rStyle w:val="Hyperlink"/>
            <w:noProof/>
          </w:rPr>
          <w:t>2.1.1267</w:t>
        </w:r>
        <w:r>
          <w:rPr>
            <w:rFonts w:asciiTheme="minorHAnsi" w:eastAsiaTheme="minorEastAsia" w:hAnsiTheme="minorHAnsi" w:cstheme="minorBidi"/>
            <w:noProof/>
            <w:sz w:val="22"/>
            <w:szCs w:val="22"/>
          </w:rPr>
          <w:tab/>
        </w:r>
        <w:r w:rsidRPr="001B13A4">
          <w:rPr>
            <w:rStyle w:val="Hyperlink"/>
            <w:noProof/>
          </w:rPr>
          <w:t>Part 1 Section 20.1.5.2, backdrop (Backdrop Plane)</w:t>
        </w:r>
        <w:r>
          <w:rPr>
            <w:noProof/>
            <w:webHidden/>
          </w:rPr>
          <w:tab/>
        </w:r>
        <w:r>
          <w:rPr>
            <w:noProof/>
            <w:webHidden/>
          </w:rPr>
          <w:fldChar w:fldCharType="begin"/>
        </w:r>
        <w:r>
          <w:rPr>
            <w:noProof/>
            <w:webHidden/>
          </w:rPr>
          <w:instrText xml:space="preserve"> PAGEREF _Toc181684303 \h </w:instrText>
        </w:r>
        <w:r>
          <w:rPr>
            <w:noProof/>
            <w:webHidden/>
          </w:rPr>
        </w:r>
        <w:r>
          <w:rPr>
            <w:noProof/>
            <w:webHidden/>
          </w:rPr>
          <w:fldChar w:fldCharType="separate"/>
        </w:r>
        <w:r>
          <w:rPr>
            <w:noProof/>
            <w:webHidden/>
          </w:rPr>
          <w:t>507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4" w:history="1">
        <w:r w:rsidRPr="001B13A4">
          <w:rPr>
            <w:rStyle w:val="Hyperlink"/>
            <w:noProof/>
          </w:rPr>
          <w:t>2.1.1268</w:t>
        </w:r>
        <w:r>
          <w:rPr>
            <w:rFonts w:asciiTheme="minorHAnsi" w:eastAsiaTheme="minorEastAsia" w:hAnsiTheme="minorHAnsi" w:cstheme="minorBidi"/>
            <w:noProof/>
            <w:sz w:val="22"/>
            <w:szCs w:val="22"/>
          </w:rPr>
          <w:tab/>
        </w:r>
        <w:r w:rsidRPr="001B13A4">
          <w:rPr>
            <w:rStyle w:val="Hyperlink"/>
            <w:noProof/>
          </w:rPr>
          <w:t>Part 1 Section 20.1.5.3, bevelB (Bottom Bevel)</w:t>
        </w:r>
        <w:r>
          <w:rPr>
            <w:noProof/>
            <w:webHidden/>
          </w:rPr>
          <w:tab/>
        </w:r>
        <w:r>
          <w:rPr>
            <w:noProof/>
            <w:webHidden/>
          </w:rPr>
          <w:fldChar w:fldCharType="begin"/>
        </w:r>
        <w:r>
          <w:rPr>
            <w:noProof/>
            <w:webHidden/>
          </w:rPr>
          <w:instrText xml:space="preserve"> PAGEREF _Toc181684304 \h </w:instrText>
        </w:r>
        <w:r>
          <w:rPr>
            <w:noProof/>
            <w:webHidden/>
          </w:rPr>
        </w:r>
        <w:r>
          <w:rPr>
            <w:noProof/>
            <w:webHidden/>
          </w:rPr>
          <w:fldChar w:fldCharType="separate"/>
        </w:r>
        <w:r>
          <w:rPr>
            <w:noProof/>
            <w:webHidden/>
          </w:rPr>
          <w:t>507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5" w:history="1">
        <w:r w:rsidRPr="001B13A4">
          <w:rPr>
            <w:rStyle w:val="Hyperlink"/>
            <w:noProof/>
          </w:rPr>
          <w:t>2.1.1269</w:t>
        </w:r>
        <w:r>
          <w:rPr>
            <w:rFonts w:asciiTheme="minorHAnsi" w:eastAsiaTheme="minorEastAsia" w:hAnsiTheme="minorHAnsi" w:cstheme="minorBidi"/>
            <w:noProof/>
            <w:sz w:val="22"/>
            <w:szCs w:val="22"/>
          </w:rPr>
          <w:tab/>
        </w:r>
        <w:r w:rsidRPr="001B13A4">
          <w:rPr>
            <w:rStyle w:val="Hyperlink"/>
            <w:noProof/>
          </w:rPr>
          <w:t>Part 1 Section 20.1.5.4, bevelT (Top Bevel)</w:t>
        </w:r>
        <w:r>
          <w:rPr>
            <w:noProof/>
            <w:webHidden/>
          </w:rPr>
          <w:tab/>
        </w:r>
        <w:r>
          <w:rPr>
            <w:noProof/>
            <w:webHidden/>
          </w:rPr>
          <w:fldChar w:fldCharType="begin"/>
        </w:r>
        <w:r>
          <w:rPr>
            <w:noProof/>
            <w:webHidden/>
          </w:rPr>
          <w:instrText xml:space="preserve"> PAGEREF _Toc181684305 \h </w:instrText>
        </w:r>
        <w:r>
          <w:rPr>
            <w:noProof/>
            <w:webHidden/>
          </w:rPr>
        </w:r>
        <w:r>
          <w:rPr>
            <w:noProof/>
            <w:webHidden/>
          </w:rPr>
          <w:fldChar w:fldCharType="separate"/>
        </w:r>
        <w:r>
          <w:rPr>
            <w:noProof/>
            <w:webHidden/>
          </w:rPr>
          <w:t>507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6" w:history="1">
        <w:r w:rsidRPr="001B13A4">
          <w:rPr>
            <w:rStyle w:val="Hyperlink"/>
            <w:noProof/>
          </w:rPr>
          <w:t>2.1.1270</w:t>
        </w:r>
        <w:r>
          <w:rPr>
            <w:rFonts w:asciiTheme="minorHAnsi" w:eastAsiaTheme="minorEastAsia" w:hAnsiTheme="minorHAnsi" w:cstheme="minorBidi"/>
            <w:noProof/>
            <w:sz w:val="22"/>
            <w:szCs w:val="22"/>
          </w:rPr>
          <w:tab/>
        </w:r>
        <w:r w:rsidRPr="001B13A4">
          <w:rPr>
            <w:rStyle w:val="Hyperlink"/>
            <w:noProof/>
          </w:rPr>
          <w:t>Part 1 Section 20.1.5.5, camera (Camera)</w:t>
        </w:r>
        <w:r>
          <w:rPr>
            <w:noProof/>
            <w:webHidden/>
          </w:rPr>
          <w:tab/>
        </w:r>
        <w:r>
          <w:rPr>
            <w:noProof/>
            <w:webHidden/>
          </w:rPr>
          <w:fldChar w:fldCharType="begin"/>
        </w:r>
        <w:r>
          <w:rPr>
            <w:noProof/>
            <w:webHidden/>
          </w:rPr>
          <w:instrText xml:space="preserve"> PAGEREF _Toc181684306 \h </w:instrText>
        </w:r>
        <w:r>
          <w:rPr>
            <w:noProof/>
            <w:webHidden/>
          </w:rPr>
        </w:r>
        <w:r>
          <w:rPr>
            <w:noProof/>
            <w:webHidden/>
          </w:rPr>
          <w:fldChar w:fldCharType="separate"/>
        </w:r>
        <w:r>
          <w:rPr>
            <w:noProof/>
            <w:webHidden/>
          </w:rPr>
          <w:t>508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7" w:history="1">
        <w:r w:rsidRPr="001B13A4">
          <w:rPr>
            <w:rStyle w:val="Hyperlink"/>
            <w:noProof/>
          </w:rPr>
          <w:t>2.1.1271</w:t>
        </w:r>
        <w:r>
          <w:rPr>
            <w:rFonts w:asciiTheme="minorHAnsi" w:eastAsiaTheme="minorEastAsia" w:hAnsiTheme="minorHAnsi" w:cstheme="minorBidi"/>
            <w:noProof/>
            <w:sz w:val="22"/>
            <w:szCs w:val="22"/>
          </w:rPr>
          <w:tab/>
        </w:r>
        <w:r w:rsidRPr="001B13A4">
          <w:rPr>
            <w:rStyle w:val="Hyperlink"/>
            <w:noProof/>
          </w:rPr>
          <w:t>Part 1 Section 20.1.5.6, contourClr (Contour Color)</w:t>
        </w:r>
        <w:r>
          <w:rPr>
            <w:noProof/>
            <w:webHidden/>
          </w:rPr>
          <w:tab/>
        </w:r>
        <w:r>
          <w:rPr>
            <w:noProof/>
            <w:webHidden/>
          </w:rPr>
          <w:fldChar w:fldCharType="begin"/>
        </w:r>
        <w:r>
          <w:rPr>
            <w:noProof/>
            <w:webHidden/>
          </w:rPr>
          <w:instrText xml:space="preserve"> PAGEREF _Toc181684307 \h </w:instrText>
        </w:r>
        <w:r>
          <w:rPr>
            <w:noProof/>
            <w:webHidden/>
          </w:rPr>
        </w:r>
        <w:r>
          <w:rPr>
            <w:noProof/>
            <w:webHidden/>
          </w:rPr>
          <w:fldChar w:fldCharType="separate"/>
        </w:r>
        <w:r>
          <w:rPr>
            <w:noProof/>
            <w:webHidden/>
          </w:rPr>
          <w:t>508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8" w:history="1">
        <w:r w:rsidRPr="001B13A4">
          <w:rPr>
            <w:rStyle w:val="Hyperlink"/>
            <w:noProof/>
          </w:rPr>
          <w:t>2.1.1272</w:t>
        </w:r>
        <w:r>
          <w:rPr>
            <w:rFonts w:asciiTheme="minorHAnsi" w:eastAsiaTheme="minorEastAsia" w:hAnsiTheme="minorHAnsi" w:cstheme="minorBidi"/>
            <w:noProof/>
            <w:sz w:val="22"/>
            <w:szCs w:val="22"/>
          </w:rPr>
          <w:tab/>
        </w:r>
        <w:r w:rsidRPr="001B13A4">
          <w:rPr>
            <w:rStyle w:val="Hyperlink"/>
            <w:noProof/>
          </w:rPr>
          <w:t>Part 1 Section 20.1.5.7, extrusionClr (Extrusion Color)</w:t>
        </w:r>
        <w:r>
          <w:rPr>
            <w:noProof/>
            <w:webHidden/>
          </w:rPr>
          <w:tab/>
        </w:r>
        <w:r>
          <w:rPr>
            <w:noProof/>
            <w:webHidden/>
          </w:rPr>
          <w:fldChar w:fldCharType="begin"/>
        </w:r>
        <w:r>
          <w:rPr>
            <w:noProof/>
            <w:webHidden/>
          </w:rPr>
          <w:instrText xml:space="preserve"> PAGEREF _Toc181684308 \h </w:instrText>
        </w:r>
        <w:r>
          <w:rPr>
            <w:noProof/>
            <w:webHidden/>
          </w:rPr>
        </w:r>
        <w:r>
          <w:rPr>
            <w:noProof/>
            <w:webHidden/>
          </w:rPr>
          <w:fldChar w:fldCharType="separate"/>
        </w:r>
        <w:r>
          <w:rPr>
            <w:noProof/>
            <w:webHidden/>
          </w:rPr>
          <w:t>508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09" w:history="1">
        <w:r w:rsidRPr="001B13A4">
          <w:rPr>
            <w:rStyle w:val="Hyperlink"/>
            <w:noProof/>
          </w:rPr>
          <w:t>2.1.1273</w:t>
        </w:r>
        <w:r>
          <w:rPr>
            <w:rFonts w:asciiTheme="minorHAnsi" w:eastAsiaTheme="minorEastAsia" w:hAnsiTheme="minorHAnsi" w:cstheme="minorBidi"/>
            <w:noProof/>
            <w:sz w:val="22"/>
            <w:szCs w:val="22"/>
          </w:rPr>
          <w:tab/>
        </w:r>
        <w:r w:rsidRPr="001B13A4">
          <w:rPr>
            <w:rStyle w:val="Hyperlink"/>
            <w:noProof/>
          </w:rPr>
          <w:t>Part 1 Section 20.1.5.8, flatTx (No text in 3D scene)</w:t>
        </w:r>
        <w:r>
          <w:rPr>
            <w:noProof/>
            <w:webHidden/>
          </w:rPr>
          <w:tab/>
        </w:r>
        <w:r>
          <w:rPr>
            <w:noProof/>
            <w:webHidden/>
          </w:rPr>
          <w:fldChar w:fldCharType="begin"/>
        </w:r>
        <w:r>
          <w:rPr>
            <w:noProof/>
            <w:webHidden/>
          </w:rPr>
          <w:instrText xml:space="preserve"> PAGEREF _Toc181684309 \h </w:instrText>
        </w:r>
        <w:r>
          <w:rPr>
            <w:noProof/>
            <w:webHidden/>
          </w:rPr>
        </w:r>
        <w:r>
          <w:rPr>
            <w:noProof/>
            <w:webHidden/>
          </w:rPr>
          <w:fldChar w:fldCharType="separate"/>
        </w:r>
        <w:r>
          <w:rPr>
            <w:noProof/>
            <w:webHidden/>
          </w:rPr>
          <w:t>508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0" w:history="1">
        <w:r w:rsidRPr="001B13A4">
          <w:rPr>
            <w:rStyle w:val="Hyperlink"/>
            <w:noProof/>
          </w:rPr>
          <w:t>2.1.1274</w:t>
        </w:r>
        <w:r>
          <w:rPr>
            <w:rFonts w:asciiTheme="minorHAnsi" w:eastAsiaTheme="minorEastAsia" w:hAnsiTheme="minorHAnsi" w:cstheme="minorBidi"/>
            <w:noProof/>
            <w:sz w:val="22"/>
            <w:szCs w:val="22"/>
          </w:rPr>
          <w:tab/>
        </w:r>
        <w:r w:rsidRPr="001B13A4">
          <w:rPr>
            <w:rStyle w:val="Hyperlink"/>
            <w:noProof/>
          </w:rPr>
          <w:t>Part 1 Section 20.1.5.9, lightRig (Light Rig)</w:t>
        </w:r>
        <w:r>
          <w:rPr>
            <w:noProof/>
            <w:webHidden/>
          </w:rPr>
          <w:tab/>
        </w:r>
        <w:r>
          <w:rPr>
            <w:noProof/>
            <w:webHidden/>
          </w:rPr>
          <w:fldChar w:fldCharType="begin"/>
        </w:r>
        <w:r>
          <w:rPr>
            <w:noProof/>
            <w:webHidden/>
          </w:rPr>
          <w:instrText xml:space="preserve"> PAGEREF _Toc181684310 \h </w:instrText>
        </w:r>
        <w:r>
          <w:rPr>
            <w:noProof/>
            <w:webHidden/>
          </w:rPr>
        </w:r>
        <w:r>
          <w:rPr>
            <w:noProof/>
            <w:webHidden/>
          </w:rPr>
          <w:fldChar w:fldCharType="separate"/>
        </w:r>
        <w:r>
          <w:rPr>
            <w:noProof/>
            <w:webHidden/>
          </w:rPr>
          <w:t>508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1" w:history="1">
        <w:r w:rsidRPr="001B13A4">
          <w:rPr>
            <w:rStyle w:val="Hyperlink"/>
            <w:noProof/>
          </w:rPr>
          <w:t>2.1.1275</w:t>
        </w:r>
        <w:r>
          <w:rPr>
            <w:rFonts w:asciiTheme="minorHAnsi" w:eastAsiaTheme="minorEastAsia" w:hAnsiTheme="minorHAnsi" w:cstheme="minorBidi"/>
            <w:noProof/>
            <w:sz w:val="22"/>
            <w:szCs w:val="22"/>
          </w:rPr>
          <w:tab/>
        </w:r>
        <w:r w:rsidRPr="001B13A4">
          <w:rPr>
            <w:rStyle w:val="Hyperlink"/>
            <w:noProof/>
          </w:rPr>
          <w:t>Part 1 Section 20.1.5.10, norm (Normal)</w:t>
        </w:r>
        <w:r>
          <w:rPr>
            <w:noProof/>
            <w:webHidden/>
          </w:rPr>
          <w:tab/>
        </w:r>
        <w:r>
          <w:rPr>
            <w:noProof/>
            <w:webHidden/>
          </w:rPr>
          <w:fldChar w:fldCharType="begin"/>
        </w:r>
        <w:r>
          <w:rPr>
            <w:noProof/>
            <w:webHidden/>
          </w:rPr>
          <w:instrText xml:space="preserve"> PAGEREF _Toc181684311 \h </w:instrText>
        </w:r>
        <w:r>
          <w:rPr>
            <w:noProof/>
            <w:webHidden/>
          </w:rPr>
        </w:r>
        <w:r>
          <w:rPr>
            <w:noProof/>
            <w:webHidden/>
          </w:rPr>
          <w:fldChar w:fldCharType="separate"/>
        </w:r>
        <w:r>
          <w:rPr>
            <w:noProof/>
            <w:webHidden/>
          </w:rPr>
          <w:t>511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2" w:history="1">
        <w:r w:rsidRPr="001B13A4">
          <w:rPr>
            <w:rStyle w:val="Hyperlink"/>
            <w:noProof/>
          </w:rPr>
          <w:t>2.1.1276</w:t>
        </w:r>
        <w:r>
          <w:rPr>
            <w:rFonts w:asciiTheme="minorHAnsi" w:eastAsiaTheme="minorEastAsia" w:hAnsiTheme="minorHAnsi" w:cstheme="minorBidi"/>
            <w:noProof/>
            <w:sz w:val="22"/>
            <w:szCs w:val="22"/>
          </w:rPr>
          <w:tab/>
        </w:r>
        <w:r w:rsidRPr="001B13A4">
          <w:rPr>
            <w:rStyle w:val="Hyperlink"/>
            <w:noProof/>
          </w:rPr>
          <w:t>Part 1 Section 20.1.5.12, sp3d (Apply 3D shape properties)</w:t>
        </w:r>
        <w:r>
          <w:rPr>
            <w:noProof/>
            <w:webHidden/>
          </w:rPr>
          <w:tab/>
        </w:r>
        <w:r>
          <w:rPr>
            <w:noProof/>
            <w:webHidden/>
          </w:rPr>
          <w:fldChar w:fldCharType="begin"/>
        </w:r>
        <w:r>
          <w:rPr>
            <w:noProof/>
            <w:webHidden/>
          </w:rPr>
          <w:instrText xml:space="preserve"> PAGEREF _Toc181684312 \h </w:instrText>
        </w:r>
        <w:r>
          <w:rPr>
            <w:noProof/>
            <w:webHidden/>
          </w:rPr>
        </w:r>
        <w:r>
          <w:rPr>
            <w:noProof/>
            <w:webHidden/>
          </w:rPr>
          <w:fldChar w:fldCharType="separate"/>
        </w:r>
        <w:r>
          <w:rPr>
            <w:noProof/>
            <w:webHidden/>
          </w:rPr>
          <w:t>511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3" w:history="1">
        <w:r w:rsidRPr="001B13A4">
          <w:rPr>
            <w:rStyle w:val="Hyperlink"/>
            <w:noProof/>
          </w:rPr>
          <w:t>2.1.1277</w:t>
        </w:r>
        <w:r>
          <w:rPr>
            <w:rFonts w:asciiTheme="minorHAnsi" w:eastAsiaTheme="minorEastAsia" w:hAnsiTheme="minorHAnsi" w:cstheme="minorBidi"/>
            <w:noProof/>
            <w:sz w:val="22"/>
            <w:szCs w:val="22"/>
          </w:rPr>
          <w:tab/>
        </w:r>
        <w:r w:rsidRPr="001B13A4">
          <w:rPr>
            <w:rStyle w:val="Hyperlink"/>
            <w:noProof/>
          </w:rPr>
          <w:t>Part 1 Section 20.1.5.13, up (Up Vector)</w:t>
        </w:r>
        <w:r>
          <w:rPr>
            <w:noProof/>
            <w:webHidden/>
          </w:rPr>
          <w:tab/>
        </w:r>
        <w:r>
          <w:rPr>
            <w:noProof/>
            <w:webHidden/>
          </w:rPr>
          <w:fldChar w:fldCharType="begin"/>
        </w:r>
        <w:r>
          <w:rPr>
            <w:noProof/>
            <w:webHidden/>
          </w:rPr>
          <w:instrText xml:space="preserve"> PAGEREF _Toc181684313 \h </w:instrText>
        </w:r>
        <w:r>
          <w:rPr>
            <w:noProof/>
            <w:webHidden/>
          </w:rPr>
        </w:r>
        <w:r>
          <w:rPr>
            <w:noProof/>
            <w:webHidden/>
          </w:rPr>
          <w:fldChar w:fldCharType="separate"/>
        </w:r>
        <w:r>
          <w:rPr>
            <w:noProof/>
            <w:webHidden/>
          </w:rPr>
          <w:t>511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4" w:history="1">
        <w:r w:rsidRPr="001B13A4">
          <w:rPr>
            <w:rStyle w:val="Hyperlink"/>
            <w:noProof/>
          </w:rPr>
          <w:t>2.1.1278</w:t>
        </w:r>
        <w:r>
          <w:rPr>
            <w:rFonts w:asciiTheme="minorHAnsi" w:eastAsiaTheme="minorEastAsia" w:hAnsiTheme="minorHAnsi" w:cstheme="minorBidi"/>
            <w:noProof/>
            <w:sz w:val="22"/>
            <w:szCs w:val="22"/>
          </w:rPr>
          <w:tab/>
        </w:r>
        <w:r w:rsidRPr="001B13A4">
          <w:rPr>
            <w:rStyle w:val="Hyperlink"/>
            <w:noProof/>
          </w:rPr>
          <w:t>Part 1 Section 20.1.7.1, chExt (Child Extents)</w:t>
        </w:r>
        <w:r>
          <w:rPr>
            <w:noProof/>
            <w:webHidden/>
          </w:rPr>
          <w:tab/>
        </w:r>
        <w:r>
          <w:rPr>
            <w:noProof/>
            <w:webHidden/>
          </w:rPr>
          <w:fldChar w:fldCharType="begin"/>
        </w:r>
        <w:r>
          <w:rPr>
            <w:noProof/>
            <w:webHidden/>
          </w:rPr>
          <w:instrText xml:space="preserve"> PAGEREF _Toc181684314 \h </w:instrText>
        </w:r>
        <w:r>
          <w:rPr>
            <w:noProof/>
            <w:webHidden/>
          </w:rPr>
        </w:r>
        <w:r>
          <w:rPr>
            <w:noProof/>
            <w:webHidden/>
          </w:rPr>
          <w:fldChar w:fldCharType="separate"/>
        </w:r>
        <w:r>
          <w:rPr>
            <w:noProof/>
            <w:webHidden/>
          </w:rPr>
          <w:t>512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5" w:history="1">
        <w:r w:rsidRPr="001B13A4">
          <w:rPr>
            <w:rStyle w:val="Hyperlink"/>
            <w:noProof/>
          </w:rPr>
          <w:t>2.1.1279</w:t>
        </w:r>
        <w:r>
          <w:rPr>
            <w:rFonts w:asciiTheme="minorHAnsi" w:eastAsiaTheme="minorEastAsia" w:hAnsiTheme="minorHAnsi" w:cstheme="minorBidi"/>
            <w:noProof/>
            <w:sz w:val="22"/>
            <w:szCs w:val="22"/>
          </w:rPr>
          <w:tab/>
        </w:r>
        <w:r w:rsidRPr="001B13A4">
          <w:rPr>
            <w:rStyle w:val="Hyperlink"/>
            <w:noProof/>
          </w:rPr>
          <w:t>Part 1 Section 20.1.7.2, chOff (Child Offset)</w:t>
        </w:r>
        <w:r>
          <w:rPr>
            <w:noProof/>
            <w:webHidden/>
          </w:rPr>
          <w:tab/>
        </w:r>
        <w:r>
          <w:rPr>
            <w:noProof/>
            <w:webHidden/>
          </w:rPr>
          <w:fldChar w:fldCharType="begin"/>
        </w:r>
        <w:r>
          <w:rPr>
            <w:noProof/>
            <w:webHidden/>
          </w:rPr>
          <w:instrText xml:space="preserve"> PAGEREF _Toc181684315 \h </w:instrText>
        </w:r>
        <w:r>
          <w:rPr>
            <w:noProof/>
            <w:webHidden/>
          </w:rPr>
        </w:r>
        <w:r>
          <w:rPr>
            <w:noProof/>
            <w:webHidden/>
          </w:rPr>
          <w:fldChar w:fldCharType="separate"/>
        </w:r>
        <w:r>
          <w:rPr>
            <w:noProof/>
            <w:webHidden/>
          </w:rPr>
          <w:t>512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6" w:history="1">
        <w:r w:rsidRPr="001B13A4">
          <w:rPr>
            <w:rStyle w:val="Hyperlink"/>
            <w:noProof/>
          </w:rPr>
          <w:t>2.1.1280</w:t>
        </w:r>
        <w:r>
          <w:rPr>
            <w:rFonts w:asciiTheme="minorHAnsi" w:eastAsiaTheme="minorEastAsia" w:hAnsiTheme="minorHAnsi" w:cstheme="minorBidi"/>
            <w:noProof/>
            <w:sz w:val="22"/>
            <w:szCs w:val="22"/>
          </w:rPr>
          <w:tab/>
        </w:r>
        <w:r w:rsidRPr="001B13A4">
          <w:rPr>
            <w:rStyle w:val="Hyperlink"/>
            <w:noProof/>
          </w:rPr>
          <w:t>Part 1 Section 20.1.7.3, ext (Extents)</w:t>
        </w:r>
        <w:r>
          <w:rPr>
            <w:noProof/>
            <w:webHidden/>
          </w:rPr>
          <w:tab/>
        </w:r>
        <w:r>
          <w:rPr>
            <w:noProof/>
            <w:webHidden/>
          </w:rPr>
          <w:fldChar w:fldCharType="begin"/>
        </w:r>
        <w:r>
          <w:rPr>
            <w:noProof/>
            <w:webHidden/>
          </w:rPr>
          <w:instrText xml:space="preserve"> PAGEREF _Toc181684316 \h </w:instrText>
        </w:r>
        <w:r>
          <w:rPr>
            <w:noProof/>
            <w:webHidden/>
          </w:rPr>
        </w:r>
        <w:r>
          <w:rPr>
            <w:noProof/>
            <w:webHidden/>
          </w:rPr>
          <w:fldChar w:fldCharType="separate"/>
        </w:r>
        <w:r>
          <w:rPr>
            <w:noProof/>
            <w:webHidden/>
          </w:rPr>
          <w:t>512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7" w:history="1">
        <w:r w:rsidRPr="001B13A4">
          <w:rPr>
            <w:rStyle w:val="Hyperlink"/>
            <w:noProof/>
          </w:rPr>
          <w:t>2.1.1281</w:t>
        </w:r>
        <w:r>
          <w:rPr>
            <w:rFonts w:asciiTheme="minorHAnsi" w:eastAsiaTheme="minorEastAsia" w:hAnsiTheme="minorHAnsi" w:cstheme="minorBidi"/>
            <w:noProof/>
            <w:sz w:val="22"/>
            <w:szCs w:val="22"/>
          </w:rPr>
          <w:tab/>
        </w:r>
        <w:r w:rsidRPr="001B13A4">
          <w:rPr>
            <w:rStyle w:val="Hyperlink"/>
            <w:noProof/>
          </w:rPr>
          <w:t>Part 1 Section 20.1.7.4, off (Offset)</w:t>
        </w:r>
        <w:r>
          <w:rPr>
            <w:noProof/>
            <w:webHidden/>
          </w:rPr>
          <w:tab/>
        </w:r>
        <w:r>
          <w:rPr>
            <w:noProof/>
            <w:webHidden/>
          </w:rPr>
          <w:fldChar w:fldCharType="begin"/>
        </w:r>
        <w:r>
          <w:rPr>
            <w:noProof/>
            <w:webHidden/>
          </w:rPr>
          <w:instrText xml:space="preserve"> PAGEREF _Toc181684317 \h </w:instrText>
        </w:r>
        <w:r>
          <w:rPr>
            <w:noProof/>
            <w:webHidden/>
          </w:rPr>
        </w:r>
        <w:r>
          <w:rPr>
            <w:noProof/>
            <w:webHidden/>
          </w:rPr>
          <w:fldChar w:fldCharType="separate"/>
        </w:r>
        <w:r>
          <w:rPr>
            <w:noProof/>
            <w:webHidden/>
          </w:rPr>
          <w:t>512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8" w:history="1">
        <w:r w:rsidRPr="001B13A4">
          <w:rPr>
            <w:rStyle w:val="Hyperlink"/>
            <w:noProof/>
          </w:rPr>
          <w:t>2.1.1282</w:t>
        </w:r>
        <w:r>
          <w:rPr>
            <w:rFonts w:asciiTheme="minorHAnsi" w:eastAsiaTheme="minorEastAsia" w:hAnsiTheme="minorHAnsi" w:cstheme="minorBidi"/>
            <w:noProof/>
            <w:sz w:val="22"/>
            <w:szCs w:val="22"/>
          </w:rPr>
          <w:tab/>
        </w:r>
        <w:r w:rsidRPr="001B13A4">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_Toc181684318 \h </w:instrText>
        </w:r>
        <w:r>
          <w:rPr>
            <w:noProof/>
            <w:webHidden/>
          </w:rPr>
        </w:r>
        <w:r>
          <w:rPr>
            <w:noProof/>
            <w:webHidden/>
          </w:rPr>
          <w:fldChar w:fldCharType="separate"/>
        </w:r>
        <w:r>
          <w:rPr>
            <w:noProof/>
            <w:webHidden/>
          </w:rPr>
          <w:t>512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19" w:history="1">
        <w:r w:rsidRPr="001B13A4">
          <w:rPr>
            <w:rStyle w:val="Hyperlink"/>
            <w:noProof/>
          </w:rPr>
          <w:t>2.1.1283</w:t>
        </w:r>
        <w:r>
          <w:rPr>
            <w:rFonts w:asciiTheme="minorHAnsi" w:eastAsiaTheme="minorEastAsia" w:hAnsiTheme="minorHAnsi" w:cstheme="minorBidi"/>
            <w:noProof/>
            <w:sz w:val="22"/>
            <w:szCs w:val="22"/>
          </w:rPr>
          <w:tab/>
        </w:r>
        <w:r w:rsidRPr="001B13A4">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_Toc181684319 \h </w:instrText>
        </w:r>
        <w:r>
          <w:rPr>
            <w:noProof/>
            <w:webHidden/>
          </w:rPr>
        </w:r>
        <w:r>
          <w:rPr>
            <w:noProof/>
            <w:webHidden/>
          </w:rPr>
          <w:fldChar w:fldCharType="separate"/>
        </w:r>
        <w:r>
          <w:rPr>
            <w:noProof/>
            <w:webHidden/>
          </w:rPr>
          <w:t>513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0" w:history="1">
        <w:r w:rsidRPr="001B13A4">
          <w:rPr>
            <w:rStyle w:val="Hyperlink"/>
            <w:noProof/>
          </w:rPr>
          <w:t>2.1.1284</w:t>
        </w:r>
        <w:r>
          <w:rPr>
            <w:rFonts w:asciiTheme="minorHAnsi" w:eastAsiaTheme="minorEastAsia" w:hAnsiTheme="minorHAnsi" w:cstheme="minorBidi"/>
            <w:noProof/>
            <w:sz w:val="22"/>
            <w:szCs w:val="22"/>
          </w:rPr>
          <w:tab/>
        </w:r>
        <w:r w:rsidRPr="001B13A4">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_Toc181684320 \h </w:instrText>
        </w:r>
        <w:r>
          <w:rPr>
            <w:noProof/>
            <w:webHidden/>
          </w:rPr>
        </w:r>
        <w:r>
          <w:rPr>
            <w:noProof/>
            <w:webHidden/>
          </w:rPr>
          <w:fldChar w:fldCharType="separate"/>
        </w:r>
        <w:r>
          <w:rPr>
            <w:noProof/>
            <w:webHidden/>
          </w:rPr>
          <w:t>513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1" w:history="1">
        <w:r w:rsidRPr="001B13A4">
          <w:rPr>
            <w:rStyle w:val="Hyperlink"/>
            <w:noProof/>
          </w:rPr>
          <w:t>2.1.1285</w:t>
        </w:r>
        <w:r>
          <w:rPr>
            <w:rFonts w:asciiTheme="minorHAnsi" w:eastAsiaTheme="minorEastAsia" w:hAnsiTheme="minorHAnsi" w:cstheme="minorBidi"/>
            <w:noProof/>
            <w:sz w:val="22"/>
            <w:szCs w:val="22"/>
          </w:rPr>
          <w:tab/>
        </w:r>
        <w:r w:rsidRPr="001B13A4">
          <w:rPr>
            <w:rStyle w:val="Hyperlink"/>
            <w:noProof/>
          </w:rPr>
          <w:t>Part 1 Section 20.1.8.4, alphaInv (Alpha Inverse Effect)</w:t>
        </w:r>
        <w:r>
          <w:rPr>
            <w:noProof/>
            <w:webHidden/>
          </w:rPr>
          <w:tab/>
        </w:r>
        <w:r>
          <w:rPr>
            <w:noProof/>
            <w:webHidden/>
          </w:rPr>
          <w:fldChar w:fldCharType="begin"/>
        </w:r>
        <w:r>
          <w:rPr>
            <w:noProof/>
            <w:webHidden/>
          </w:rPr>
          <w:instrText xml:space="preserve"> PAGEREF _Toc181684321 \h </w:instrText>
        </w:r>
        <w:r>
          <w:rPr>
            <w:noProof/>
            <w:webHidden/>
          </w:rPr>
        </w:r>
        <w:r>
          <w:rPr>
            <w:noProof/>
            <w:webHidden/>
          </w:rPr>
          <w:fldChar w:fldCharType="separate"/>
        </w:r>
        <w:r>
          <w:rPr>
            <w:noProof/>
            <w:webHidden/>
          </w:rPr>
          <w:t>514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2" w:history="1">
        <w:r w:rsidRPr="001B13A4">
          <w:rPr>
            <w:rStyle w:val="Hyperlink"/>
            <w:noProof/>
          </w:rPr>
          <w:t>2.1.1286</w:t>
        </w:r>
        <w:r>
          <w:rPr>
            <w:rFonts w:asciiTheme="minorHAnsi" w:eastAsiaTheme="minorEastAsia" w:hAnsiTheme="minorHAnsi" w:cstheme="minorBidi"/>
            <w:noProof/>
            <w:sz w:val="22"/>
            <w:szCs w:val="22"/>
          </w:rPr>
          <w:tab/>
        </w:r>
        <w:r w:rsidRPr="001B13A4">
          <w:rPr>
            <w:rStyle w:val="Hyperlink"/>
            <w:noProof/>
          </w:rPr>
          <w:t>Part 1 Section 20.1.8.5, alphaMod (Alpha Modulate Effect)</w:t>
        </w:r>
        <w:r>
          <w:rPr>
            <w:noProof/>
            <w:webHidden/>
          </w:rPr>
          <w:tab/>
        </w:r>
        <w:r>
          <w:rPr>
            <w:noProof/>
            <w:webHidden/>
          </w:rPr>
          <w:fldChar w:fldCharType="begin"/>
        </w:r>
        <w:r>
          <w:rPr>
            <w:noProof/>
            <w:webHidden/>
          </w:rPr>
          <w:instrText xml:space="preserve"> PAGEREF _Toc181684322 \h </w:instrText>
        </w:r>
        <w:r>
          <w:rPr>
            <w:noProof/>
            <w:webHidden/>
          </w:rPr>
        </w:r>
        <w:r>
          <w:rPr>
            <w:noProof/>
            <w:webHidden/>
          </w:rPr>
          <w:fldChar w:fldCharType="separate"/>
        </w:r>
        <w:r>
          <w:rPr>
            <w:noProof/>
            <w:webHidden/>
          </w:rPr>
          <w:t>515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3" w:history="1">
        <w:r w:rsidRPr="001B13A4">
          <w:rPr>
            <w:rStyle w:val="Hyperlink"/>
            <w:noProof/>
          </w:rPr>
          <w:t>2.1.1287</w:t>
        </w:r>
        <w:r>
          <w:rPr>
            <w:rFonts w:asciiTheme="minorHAnsi" w:eastAsiaTheme="minorEastAsia" w:hAnsiTheme="minorHAnsi" w:cstheme="minorBidi"/>
            <w:noProof/>
            <w:sz w:val="22"/>
            <w:szCs w:val="22"/>
          </w:rPr>
          <w:tab/>
        </w:r>
        <w:r w:rsidRPr="001B13A4">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_Toc181684323 \h </w:instrText>
        </w:r>
        <w:r>
          <w:rPr>
            <w:noProof/>
            <w:webHidden/>
          </w:rPr>
        </w:r>
        <w:r>
          <w:rPr>
            <w:noProof/>
            <w:webHidden/>
          </w:rPr>
          <w:fldChar w:fldCharType="separate"/>
        </w:r>
        <w:r>
          <w:rPr>
            <w:noProof/>
            <w:webHidden/>
          </w:rPr>
          <w:t>515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4" w:history="1">
        <w:r w:rsidRPr="001B13A4">
          <w:rPr>
            <w:rStyle w:val="Hyperlink"/>
            <w:noProof/>
          </w:rPr>
          <w:t>2.1.1288</w:t>
        </w:r>
        <w:r>
          <w:rPr>
            <w:rFonts w:asciiTheme="minorHAnsi" w:eastAsiaTheme="minorEastAsia" w:hAnsiTheme="minorHAnsi" w:cstheme="minorBidi"/>
            <w:noProof/>
            <w:sz w:val="22"/>
            <w:szCs w:val="22"/>
          </w:rPr>
          <w:tab/>
        </w:r>
        <w:r w:rsidRPr="001B13A4">
          <w:rPr>
            <w:rStyle w:val="Hyperlink"/>
            <w:noProof/>
          </w:rPr>
          <w:t>Part 1 Section 20.1.8.14, blipFill (Picture Fill)</w:t>
        </w:r>
        <w:r>
          <w:rPr>
            <w:noProof/>
            <w:webHidden/>
          </w:rPr>
          <w:tab/>
        </w:r>
        <w:r>
          <w:rPr>
            <w:noProof/>
            <w:webHidden/>
          </w:rPr>
          <w:fldChar w:fldCharType="begin"/>
        </w:r>
        <w:r>
          <w:rPr>
            <w:noProof/>
            <w:webHidden/>
          </w:rPr>
          <w:instrText xml:space="preserve"> PAGEREF _Toc181684324 \h </w:instrText>
        </w:r>
        <w:r>
          <w:rPr>
            <w:noProof/>
            <w:webHidden/>
          </w:rPr>
        </w:r>
        <w:r>
          <w:rPr>
            <w:noProof/>
            <w:webHidden/>
          </w:rPr>
          <w:fldChar w:fldCharType="separate"/>
        </w:r>
        <w:r>
          <w:rPr>
            <w:noProof/>
            <w:webHidden/>
          </w:rPr>
          <w:t>515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5" w:history="1">
        <w:r w:rsidRPr="001B13A4">
          <w:rPr>
            <w:rStyle w:val="Hyperlink"/>
            <w:noProof/>
          </w:rPr>
          <w:t>2.1.1289</w:t>
        </w:r>
        <w:r>
          <w:rPr>
            <w:rFonts w:asciiTheme="minorHAnsi" w:eastAsiaTheme="minorEastAsia" w:hAnsiTheme="minorHAnsi" w:cstheme="minorBidi"/>
            <w:noProof/>
            <w:sz w:val="22"/>
            <w:szCs w:val="22"/>
          </w:rPr>
          <w:tab/>
        </w:r>
        <w:r w:rsidRPr="001B13A4">
          <w:rPr>
            <w:rStyle w:val="Hyperlink"/>
            <w:noProof/>
          </w:rPr>
          <w:t>Part 1 Section 20.1.8.15, blur (Blur Effect)</w:t>
        </w:r>
        <w:r>
          <w:rPr>
            <w:noProof/>
            <w:webHidden/>
          </w:rPr>
          <w:tab/>
        </w:r>
        <w:r>
          <w:rPr>
            <w:noProof/>
            <w:webHidden/>
          </w:rPr>
          <w:fldChar w:fldCharType="begin"/>
        </w:r>
        <w:r>
          <w:rPr>
            <w:noProof/>
            <w:webHidden/>
          </w:rPr>
          <w:instrText xml:space="preserve"> PAGEREF _Toc181684325 \h </w:instrText>
        </w:r>
        <w:r>
          <w:rPr>
            <w:noProof/>
            <w:webHidden/>
          </w:rPr>
        </w:r>
        <w:r>
          <w:rPr>
            <w:noProof/>
            <w:webHidden/>
          </w:rPr>
          <w:fldChar w:fldCharType="separate"/>
        </w:r>
        <w:r>
          <w:rPr>
            <w:noProof/>
            <w:webHidden/>
          </w:rPr>
          <w:t>515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6" w:history="1">
        <w:r w:rsidRPr="001B13A4">
          <w:rPr>
            <w:rStyle w:val="Hyperlink"/>
            <w:noProof/>
          </w:rPr>
          <w:t>2.1.1290</w:t>
        </w:r>
        <w:r>
          <w:rPr>
            <w:rFonts w:asciiTheme="minorHAnsi" w:eastAsiaTheme="minorEastAsia" w:hAnsiTheme="minorHAnsi" w:cstheme="minorBidi"/>
            <w:noProof/>
            <w:sz w:val="22"/>
            <w:szCs w:val="22"/>
          </w:rPr>
          <w:tab/>
        </w:r>
        <w:r w:rsidRPr="001B13A4">
          <w:rPr>
            <w:rStyle w:val="Hyperlink"/>
            <w:noProof/>
          </w:rPr>
          <w:t>Part 1 Section 20.1.8.16, clrChange (Color Change Effect)</w:t>
        </w:r>
        <w:r>
          <w:rPr>
            <w:noProof/>
            <w:webHidden/>
          </w:rPr>
          <w:tab/>
        </w:r>
        <w:r>
          <w:rPr>
            <w:noProof/>
            <w:webHidden/>
          </w:rPr>
          <w:fldChar w:fldCharType="begin"/>
        </w:r>
        <w:r>
          <w:rPr>
            <w:noProof/>
            <w:webHidden/>
          </w:rPr>
          <w:instrText xml:space="preserve"> PAGEREF _Toc181684326 \h </w:instrText>
        </w:r>
        <w:r>
          <w:rPr>
            <w:noProof/>
            <w:webHidden/>
          </w:rPr>
        </w:r>
        <w:r>
          <w:rPr>
            <w:noProof/>
            <w:webHidden/>
          </w:rPr>
          <w:fldChar w:fldCharType="separate"/>
        </w:r>
        <w:r>
          <w:rPr>
            <w:noProof/>
            <w:webHidden/>
          </w:rPr>
          <w:t>515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7" w:history="1">
        <w:r w:rsidRPr="001B13A4">
          <w:rPr>
            <w:rStyle w:val="Hyperlink"/>
            <w:noProof/>
          </w:rPr>
          <w:t>2.1.1291</w:t>
        </w:r>
        <w:r>
          <w:rPr>
            <w:rFonts w:asciiTheme="minorHAnsi" w:eastAsiaTheme="minorEastAsia" w:hAnsiTheme="minorHAnsi" w:cstheme="minorBidi"/>
            <w:noProof/>
            <w:sz w:val="22"/>
            <w:szCs w:val="22"/>
          </w:rPr>
          <w:tab/>
        </w:r>
        <w:r w:rsidRPr="001B13A4">
          <w:rPr>
            <w:rStyle w:val="Hyperlink"/>
            <w:noProof/>
          </w:rPr>
          <w:t>Part 1 Section 20.1.8.20, cont (Effect Container)</w:t>
        </w:r>
        <w:r>
          <w:rPr>
            <w:noProof/>
            <w:webHidden/>
          </w:rPr>
          <w:tab/>
        </w:r>
        <w:r>
          <w:rPr>
            <w:noProof/>
            <w:webHidden/>
          </w:rPr>
          <w:fldChar w:fldCharType="begin"/>
        </w:r>
        <w:r>
          <w:rPr>
            <w:noProof/>
            <w:webHidden/>
          </w:rPr>
          <w:instrText xml:space="preserve"> PAGEREF _Toc181684327 \h </w:instrText>
        </w:r>
        <w:r>
          <w:rPr>
            <w:noProof/>
            <w:webHidden/>
          </w:rPr>
        </w:r>
        <w:r>
          <w:rPr>
            <w:noProof/>
            <w:webHidden/>
          </w:rPr>
          <w:fldChar w:fldCharType="separate"/>
        </w:r>
        <w:r>
          <w:rPr>
            <w:noProof/>
            <w:webHidden/>
          </w:rPr>
          <w:t>515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8" w:history="1">
        <w:r w:rsidRPr="001B13A4">
          <w:rPr>
            <w:rStyle w:val="Hyperlink"/>
            <w:noProof/>
          </w:rPr>
          <w:t>2.1.1292</w:t>
        </w:r>
        <w:r>
          <w:rPr>
            <w:rFonts w:asciiTheme="minorHAnsi" w:eastAsiaTheme="minorEastAsia" w:hAnsiTheme="minorHAnsi" w:cstheme="minorBidi"/>
            <w:noProof/>
            <w:sz w:val="22"/>
            <w:szCs w:val="22"/>
          </w:rPr>
          <w:tab/>
        </w:r>
        <w:r w:rsidRPr="001B13A4">
          <w:rPr>
            <w:rStyle w:val="Hyperlink"/>
            <w:noProof/>
          </w:rPr>
          <w:t>Part 1 Section 20.1.8.22, ds (Dash Stop)</w:t>
        </w:r>
        <w:r>
          <w:rPr>
            <w:noProof/>
            <w:webHidden/>
          </w:rPr>
          <w:tab/>
        </w:r>
        <w:r>
          <w:rPr>
            <w:noProof/>
            <w:webHidden/>
          </w:rPr>
          <w:fldChar w:fldCharType="begin"/>
        </w:r>
        <w:r>
          <w:rPr>
            <w:noProof/>
            <w:webHidden/>
          </w:rPr>
          <w:instrText xml:space="preserve"> PAGEREF _Toc181684328 \h </w:instrText>
        </w:r>
        <w:r>
          <w:rPr>
            <w:noProof/>
            <w:webHidden/>
          </w:rPr>
        </w:r>
        <w:r>
          <w:rPr>
            <w:noProof/>
            <w:webHidden/>
          </w:rPr>
          <w:fldChar w:fldCharType="separate"/>
        </w:r>
        <w:r>
          <w:rPr>
            <w:noProof/>
            <w:webHidden/>
          </w:rPr>
          <w:t>515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29" w:history="1">
        <w:r w:rsidRPr="001B13A4">
          <w:rPr>
            <w:rStyle w:val="Hyperlink"/>
            <w:noProof/>
          </w:rPr>
          <w:t>2.1.1293</w:t>
        </w:r>
        <w:r>
          <w:rPr>
            <w:rFonts w:asciiTheme="minorHAnsi" w:eastAsiaTheme="minorEastAsia" w:hAnsiTheme="minorHAnsi" w:cstheme="minorBidi"/>
            <w:noProof/>
            <w:sz w:val="22"/>
            <w:szCs w:val="22"/>
          </w:rPr>
          <w:tab/>
        </w:r>
        <w:r w:rsidRPr="001B13A4">
          <w:rPr>
            <w:rStyle w:val="Hyperlink"/>
            <w:noProof/>
          </w:rPr>
          <w:t>Part 1 Section 20.1.8.23, duotone (Duotone Effect)</w:t>
        </w:r>
        <w:r>
          <w:rPr>
            <w:noProof/>
            <w:webHidden/>
          </w:rPr>
          <w:tab/>
        </w:r>
        <w:r>
          <w:rPr>
            <w:noProof/>
            <w:webHidden/>
          </w:rPr>
          <w:fldChar w:fldCharType="begin"/>
        </w:r>
        <w:r>
          <w:rPr>
            <w:noProof/>
            <w:webHidden/>
          </w:rPr>
          <w:instrText xml:space="preserve"> PAGEREF _Toc181684329 \h </w:instrText>
        </w:r>
        <w:r>
          <w:rPr>
            <w:noProof/>
            <w:webHidden/>
          </w:rPr>
        </w:r>
        <w:r>
          <w:rPr>
            <w:noProof/>
            <w:webHidden/>
          </w:rPr>
          <w:fldChar w:fldCharType="separate"/>
        </w:r>
        <w:r>
          <w:rPr>
            <w:noProof/>
            <w:webHidden/>
          </w:rPr>
          <w:t>516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0" w:history="1">
        <w:r w:rsidRPr="001B13A4">
          <w:rPr>
            <w:rStyle w:val="Hyperlink"/>
            <w:noProof/>
          </w:rPr>
          <w:t>2.1.1294</w:t>
        </w:r>
        <w:r>
          <w:rPr>
            <w:rFonts w:asciiTheme="minorHAnsi" w:eastAsiaTheme="minorEastAsia" w:hAnsiTheme="minorHAnsi" w:cstheme="minorBidi"/>
            <w:noProof/>
            <w:sz w:val="22"/>
            <w:szCs w:val="22"/>
          </w:rPr>
          <w:tab/>
        </w:r>
        <w:r w:rsidRPr="001B13A4">
          <w:rPr>
            <w:rStyle w:val="Hyperlink"/>
            <w:noProof/>
          </w:rPr>
          <w:t>Part 1 Section 20.1.8.24, effect (Effect)</w:t>
        </w:r>
        <w:r>
          <w:rPr>
            <w:noProof/>
            <w:webHidden/>
          </w:rPr>
          <w:tab/>
        </w:r>
        <w:r>
          <w:rPr>
            <w:noProof/>
            <w:webHidden/>
          </w:rPr>
          <w:fldChar w:fldCharType="begin"/>
        </w:r>
        <w:r>
          <w:rPr>
            <w:noProof/>
            <w:webHidden/>
          </w:rPr>
          <w:instrText xml:space="preserve"> PAGEREF _Toc181684330 \h </w:instrText>
        </w:r>
        <w:r>
          <w:rPr>
            <w:noProof/>
            <w:webHidden/>
          </w:rPr>
        </w:r>
        <w:r>
          <w:rPr>
            <w:noProof/>
            <w:webHidden/>
          </w:rPr>
          <w:fldChar w:fldCharType="separate"/>
        </w:r>
        <w:r>
          <w:rPr>
            <w:noProof/>
            <w:webHidden/>
          </w:rPr>
          <w:t>516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1" w:history="1">
        <w:r w:rsidRPr="001B13A4">
          <w:rPr>
            <w:rStyle w:val="Hyperlink"/>
            <w:noProof/>
          </w:rPr>
          <w:t>2.1.1295</w:t>
        </w:r>
        <w:r>
          <w:rPr>
            <w:rFonts w:asciiTheme="minorHAnsi" w:eastAsiaTheme="minorEastAsia" w:hAnsiTheme="minorHAnsi" w:cstheme="minorBidi"/>
            <w:noProof/>
            <w:sz w:val="22"/>
            <w:szCs w:val="22"/>
          </w:rPr>
          <w:tab/>
        </w:r>
        <w:r w:rsidRPr="001B13A4">
          <w:rPr>
            <w:rStyle w:val="Hyperlink"/>
            <w:noProof/>
          </w:rPr>
          <w:t>Part 1 Section 20.1.8.25, effectDag (Effect Container)</w:t>
        </w:r>
        <w:r>
          <w:rPr>
            <w:noProof/>
            <w:webHidden/>
          </w:rPr>
          <w:tab/>
        </w:r>
        <w:r>
          <w:rPr>
            <w:noProof/>
            <w:webHidden/>
          </w:rPr>
          <w:fldChar w:fldCharType="begin"/>
        </w:r>
        <w:r>
          <w:rPr>
            <w:noProof/>
            <w:webHidden/>
          </w:rPr>
          <w:instrText xml:space="preserve"> PAGEREF _Toc181684331 \h </w:instrText>
        </w:r>
        <w:r>
          <w:rPr>
            <w:noProof/>
            <w:webHidden/>
          </w:rPr>
        </w:r>
        <w:r>
          <w:rPr>
            <w:noProof/>
            <w:webHidden/>
          </w:rPr>
          <w:fldChar w:fldCharType="separate"/>
        </w:r>
        <w:r>
          <w:rPr>
            <w:noProof/>
            <w:webHidden/>
          </w:rPr>
          <w:t>516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2" w:history="1">
        <w:r w:rsidRPr="001B13A4">
          <w:rPr>
            <w:rStyle w:val="Hyperlink"/>
            <w:noProof/>
          </w:rPr>
          <w:t>2.1.1296</w:t>
        </w:r>
        <w:r>
          <w:rPr>
            <w:rFonts w:asciiTheme="minorHAnsi" w:eastAsiaTheme="minorEastAsia" w:hAnsiTheme="minorHAnsi" w:cstheme="minorBidi"/>
            <w:noProof/>
            <w:sz w:val="22"/>
            <w:szCs w:val="22"/>
          </w:rPr>
          <w:tab/>
        </w:r>
        <w:r w:rsidRPr="001B13A4">
          <w:rPr>
            <w:rStyle w:val="Hyperlink"/>
            <w:noProof/>
          </w:rPr>
          <w:t>Part 1 Section 20.1.8.31, fillToRect (Fill To Rectangle)</w:t>
        </w:r>
        <w:r>
          <w:rPr>
            <w:noProof/>
            <w:webHidden/>
          </w:rPr>
          <w:tab/>
        </w:r>
        <w:r>
          <w:rPr>
            <w:noProof/>
            <w:webHidden/>
          </w:rPr>
          <w:fldChar w:fldCharType="begin"/>
        </w:r>
        <w:r>
          <w:rPr>
            <w:noProof/>
            <w:webHidden/>
          </w:rPr>
          <w:instrText xml:space="preserve"> PAGEREF _Toc181684332 \h </w:instrText>
        </w:r>
        <w:r>
          <w:rPr>
            <w:noProof/>
            <w:webHidden/>
          </w:rPr>
        </w:r>
        <w:r>
          <w:rPr>
            <w:noProof/>
            <w:webHidden/>
          </w:rPr>
          <w:fldChar w:fldCharType="separate"/>
        </w:r>
        <w:r>
          <w:rPr>
            <w:noProof/>
            <w:webHidden/>
          </w:rPr>
          <w:t>516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3" w:history="1">
        <w:r w:rsidRPr="001B13A4">
          <w:rPr>
            <w:rStyle w:val="Hyperlink"/>
            <w:noProof/>
          </w:rPr>
          <w:t>2.1.1297</w:t>
        </w:r>
        <w:r>
          <w:rPr>
            <w:rFonts w:asciiTheme="minorHAnsi" w:eastAsiaTheme="minorEastAsia" w:hAnsiTheme="minorHAnsi" w:cstheme="minorBidi"/>
            <w:noProof/>
            <w:sz w:val="22"/>
            <w:szCs w:val="22"/>
          </w:rPr>
          <w:tab/>
        </w:r>
        <w:r w:rsidRPr="001B13A4">
          <w:rPr>
            <w:rStyle w:val="Hyperlink"/>
            <w:noProof/>
          </w:rPr>
          <w:t>Part 1 Section 20.1.8.33, gradFill (Gradient Fill)</w:t>
        </w:r>
        <w:r>
          <w:rPr>
            <w:noProof/>
            <w:webHidden/>
          </w:rPr>
          <w:tab/>
        </w:r>
        <w:r>
          <w:rPr>
            <w:noProof/>
            <w:webHidden/>
          </w:rPr>
          <w:fldChar w:fldCharType="begin"/>
        </w:r>
        <w:r>
          <w:rPr>
            <w:noProof/>
            <w:webHidden/>
          </w:rPr>
          <w:instrText xml:space="preserve"> PAGEREF _Toc181684333 \h </w:instrText>
        </w:r>
        <w:r>
          <w:rPr>
            <w:noProof/>
            <w:webHidden/>
          </w:rPr>
        </w:r>
        <w:r>
          <w:rPr>
            <w:noProof/>
            <w:webHidden/>
          </w:rPr>
          <w:fldChar w:fldCharType="separate"/>
        </w:r>
        <w:r>
          <w:rPr>
            <w:noProof/>
            <w:webHidden/>
          </w:rPr>
          <w:t>516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4" w:history="1">
        <w:r w:rsidRPr="001B13A4">
          <w:rPr>
            <w:rStyle w:val="Hyperlink"/>
            <w:noProof/>
          </w:rPr>
          <w:t>2.1.1298</w:t>
        </w:r>
        <w:r>
          <w:rPr>
            <w:rFonts w:asciiTheme="minorHAnsi" w:eastAsiaTheme="minorEastAsia" w:hAnsiTheme="minorHAnsi" w:cstheme="minorBidi"/>
            <w:noProof/>
            <w:sz w:val="22"/>
            <w:szCs w:val="22"/>
          </w:rPr>
          <w:tab/>
        </w:r>
        <w:r w:rsidRPr="001B13A4">
          <w:rPr>
            <w:rStyle w:val="Hyperlink"/>
            <w:noProof/>
          </w:rPr>
          <w:t>Part 1 Section 20.1.8.35, grpFill (Group Fill)</w:t>
        </w:r>
        <w:r>
          <w:rPr>
            <w:noProof/>
            <w:webHidden/>
          </w:rPr>
          <w:tab/>
        </w:r>
        <w:r>
          <w:rPr>
            <w:noProof/>
            <w:webHidden/>
          </w:rPr>
          <w:fldChar w:fldCharType="begin"/>
        </w:r>
        <w:r>
          <w:rPr>
            <w:noProof/>
            <w:webHidden/>
          </w:rPr>
          <w:instrText xml:space="preserve"> PAGEREF _Toc181684334 \h </w:instrText>
        </w:r>
        <w:r>
          <w:rPr>
            <w:noProof/>
            <w:webHidden/>
          </w:rPr>
        </w:r>
        <w:r>
          <w:rPr>
            <w:noProof/>
            <w:webHidden/>
          </w:rPr>
          <w:fldChar w:fldCharType="separate"/>
        </w:r>
        <w:r>
          <w:rPr>
            <w:noProof/>
            <w:webHidden/>
          </w:rPr>
          <w:t>517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5" w:history="1">
        <w:r w:rsidRPr="001B13A4">
          <w:rPr>
            <w:rStyle w:val="Hyperlink"/>
            <w:noProof/>
          </w:rPr>
          <w:t>2.1.1299</w:t>
        </w:r>
        <w:r>
          <w:rPr>
            <w:rFonts w:asciiTheme="minorHAnsi" w:eastAsiaTheme="minorEastAsia" w:hAnsiTheme="minorHAnsi" w:cstheme="minorBidi"/>
            <w:noProof/>
            <w:sz w:val="22"/>
            <w:szCs w:val="22"/>
          </w:rPr>
          <w:tab/>
        </w:r>
        <w:r w:rsidRPr="001B13A4">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_Toc181684335 \h </w:instrText>
        </w:r>
        <w:r>
          <w:rPr>
            <w:noProof/>
            <w:webHidden/>
          </w:rPr>
        </w:r>
        <w:r>
          <w:rPr>
            <w:noProof/>
            <w:webHidden/>
          </w:rPr>
          <w:fldChar w:fldCharType="separate"/>
        </w:r>
        <w:r>
          <w:rPr>
            <w:noProof/>
            <w:webHidden/>
          </w:rPr>
          <w:t>518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6" w:history="1">
        <w:r w:rsidRPr="001B13A4">
          <w:rPr>
            <w:rStyle w:val="Hyperlink"/>
            <w:noProof/>
          </w:rPr>
          <w:t>2.1.1300</w:t>
        </w:r>
        <w:r>
          <w:rPr>
            <w:rFonts w:asciiTheme="minorHAnsi" w:eastAsiaTheme="minorEastAsia" w:hAnsiTheme="minorHAnsi" w:cstheme="minorBidi"/>
            <w:noProof/>
            <w:sz w:val="22"/>
            <w:szCs w:val="22"/>
          </w:rPr>
          <w:tab/>
        </w:r>
        <w:r w:rsidRPr="001B13A4">
          <w:rPr>
            <w:rStyle w:val="Hyperlink"/>
            <w:noProof/>
          </w:rPr>
          <w:t>Part 1 Section 20.1.8.40, innerShdw (Inner Shadow Effect)</w:t>
        </w:r>
        <w:r>
          <w:rPr>
            <w:noProof/>
            <w:webHidden/>
          </w:rPr>
          <w:tab/>
        </w:r>
        <w:r>
          <w:rPr>
            <w:noProof/>
            <w:webHidden/>
          </w:rPr>
          <w:fldChar w:fldCharType="begin"/>
        </w:r>
        <w:r>
          <w:rPr>
            <w:noProof/>
            <w:webHidden/>
          </w:rPr>
          <w:instrText xml:space="preserve"> PAGEREF _Toc181684336 \h </w:instrText>
        </w:r>
        <w:r>
          <w:rPr>
            <w:noProof/>
            <w:webHidden/>
          </w:rPr>
        </w:r>
        <w:r>
          <w:rPr>
            <w:noProof/>
            <w:webHidden/>
          </w:rPr>
          <w:fldChar w:fldCharType="separate"/>
        </w:r>
        <w:r>
          <w:rPr>
            <w:noProof/>
            <w:webHidden/>
          </w:rPr>
          <w:t>518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7" w:history="1">
        <w:r w:rsidRPr="001B13A4">
          <w:rPr>
            <w:rStyle w:val="Hyperlink"/>
            <w:noProof/>
          </w:rPr>
          <w:t>2.1.1301</w:t>
        </w:r>
        <w:r>
          <w:rPr>
            <w:rFonts w:asciiTheme="minorHAnsi" w:eastAsiaTheme="minorEastAsia" w:hAnsiTheme="minorHAnsi" w:cstheme="minorBidi"/>
            <w:noProof/>
            <w:sz w:val="22"/>
            <w:szCs w:val="22"/>
          </w:rPr>
          <w:tab/>
        </w:r>
        <w:r w:rsidRPr="001B13A4">
          <w:rPr>
            <w:rStyle w:val="Hyperlink"/>
            <w:noProof/>
          </w:rPr>
          <w:t>Part 1 Section 20.1.8.42, lum (Luminance Effect)</w:t>
        </w:r>
        <w:r>
          <w:rPr>
            <w:noProof/>
            <w:webHidden/>
          </w:rPr>
          <w:tab/>
        </w:r>
        <w:r>
          <w:rPr>
            <w:noProof/>
            <w:webHidden/>
          </w:rPr>
          <w:fldChar w:fldCharType="begin"/>
        </w:r>
        <w:r>
          <w:rPr>
            <w:noProof/>
            <w:webHidden/>
          </w:rPr>
          <w:instrText xml:space="preserve"> PAGEREF _Toc181684337 \h </w:instrText>
        </w:r>
        <w:r>
          <w:rPr>
            <w:noProof/>
            <w:webHidden/>
          </w:rPr>
        </w:r>
        <w:r>
          <w:rPr>
            <w:noProof/>
            <w:webHidden/>
          </w:rPr>
          <w:fldChar w:fldCharType="separate"/>
        </w:r>
        <w:r>
          <w:rPr>
            <w:noProof/>
            <w:webHidden/>
          </w:rPr>
          <w:t>518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8" w:history="1">
        <w:r w:rsidRPr="001B13A4">
          <w:rPr>
            <w:rStyle w:val="Hyperlink"/>
            <w:noProof/>
          </w:rPr>
          <w:t>2.1.1302</w:t>
        </w:r>
        <w:r>
          <w:rPr>
            <w:rFonts w:asciiTheme="minorHAnsi" w:eastAsiaTheme="minorEastAsia" w:hAnsiTheme="minorHAnsi" w:cstheme="minorBidi"/>
            <w:noProof/>
            <w:sz w:val="22"/>
            <w:szCs w:val="22"/>
          </w:rPr>
          <w:tab/>
        </w:r>
        <w:r w:rsidRPr="001B13A4">
          <w:rPr>
            <w:rStyle w:val="Hyperlink"/>
            <w:noProof/>
          </w:rPr>
          <w:t>Part 1 Section 20.1.8.43, miter (Miter Line Join)</w:t>
        </w:r>
        <w:r>
          <w:rPr>
            <w:noProof/>
            <w:webHidden/>
          </w:rPr>
          <w:tab/>
        </w:r>
        <w:r>
          <w:rPr>
            <w:noProof/>
            <w:webHidden/>
          </w:rPr>
          <w:fldChar w:fldCharType="begin"/>
        </w:r>
        <w:r>
          <w:rPr>
            <w:noProof/>
            <w:webHidden/>
          </w:rPr>
          <w:instrText xml:space="preserve"> PAGEREF _Toc181684338 \h </w:instrText>
        </w:r>
        <w:r>
          <w:rPr>
            <w:noProof/>
            <w:webHidden/>
          </w:rPr>
        </w:r>
        <w:r>
          <w:rPr>
            <w:noProof/>
            <w:webHidden/>
          </w:rPr>
          <w:fldChar w:fldCharType="separate"/>
        </w:r>
        <w:r>
          <w:rPr>
            <w:noProof/>
            <w:webHidden/>
          </w:rPr>
          <w:t>518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39" w:history="1">
        <w:r w:rsidRPr="001B13A4">
          <w:rPr>
            <w:rStyle w:val="Hyperlink"/>
            <w:noProof/>
          </w:rPr>
          <w:t>2.1.1303</w:t>
        </w:r>
        <w:r>
          <w:rPr>
            <w:rFonts w:asciiTheme="minorHAnsi" w:eastAsiaTheme="minorEastAsia" w:hAnsiTheme="minorHAnsi" w:cstheme="minorBidi"/>
            <w:noProof/>
            <w:sz w:val="22"/>
            <w:szCs w:val="22"/>
          </w:rPr>
          <w:tab/>
        </w:r>
        <w:r w:rsidRPr="001B13A4">
          <w:rPr>
            <w:rStyle w:val="Hyperlink"/>
            <w:noProof/>
          </w:rPr>
          <w:t>Part 1 Section 20.1.8.45, outerShdw (Outer Shadow Effect)</w:t>
        </w:r>
        <w:r>
          <w:rPr>
            <w:noProof/>
            <w:webHidden/>
          </w:rPr>
          <w:tab/>
        </w:r>
        <w:r>
          <w:rPr>
            <w:noProof/>
            <w:webHidden/>
          </w:rPr>
          <w:fldChar w:fldCharType="begin"/>
        </w:r>
        <w:r>
          <w:rPr>
            <w:noProof/>
            <w:webHidden/>
          </w:rPr>
          <w:instrText xml:space="preserve"> PAGEREF _Toc181684339 \h </w:instrText>
        </w:r>
        <w:r>
          <w:rPr>
            <w:noProof/>
            <w:webHidden/>
          </w:rPr>
        </w:r>
        <w:r>
          <w:rPr>
            <w:noProof/>
            <w:webHidden/>
          </w:rPr>
          <w:fldChar w:fldCharType="separate"/>
        </w:r>
        <w:r>
          <w:rPr>
            <w:noProof/>
            <w:webHidden/>
          </w:rPr>
          <w:t>518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0" w:history="1">
        <w:r w:rsidRPr="001B13A4">
          <w:rPr>
            <w:rStyle w:val="Hyperlink"/>
            <w:noProof/>
          </w:rPr>
          <w:t>2.1.1304</w:t>
        </w:r>
        <w:r>
          <w:rPr>
            <w:rFonts w:asciiTheme="minorHAnsi" w:eastAsiaTheme="minorEastAsia" w:hAnsiTheme="minorHAnsi" w:cstheme="minorBidi"/>
            <w:noProof/>
            <w:sz w:val="22"/>
            <w:szCs w:val="22"/>
          </w:rPr>
          <w:tab/>
        </w:r>
        <w:r w:rsidRPr="001B13A4">
          <w:rPr>
            <w:rStyle w:val="Hyperlink"/>
            <w:noProof/>
          </w:rPr>
          <w:t>Part 1 Section 20.1.8.50, reflection (Reflection Effect)</w:t>
        </w:r>
        <w:r>
          <w:rPr>
            <w:noProof/>
            <w:webHidden/>
          </w:rPr>
          <w:tab/>
        </w:r>
        <w:r>
          <w:rPr>
            <w:noProof/>
            <w:webHidden/>
          </w:rPr>
          <w:fldChar w:fldCharType="begin"/>
        </w:r>
        <w:r>
          <w:rPr>
            <w:noProof/>
            <w:webHidden/>
          </w:rPr>
          <w:instrText xml:space="preserve"> PAGEREF _Toc181684340 \h </w:instrText>
        </w:r>
        <w:r>
          <w:rPr>
            <w:noProof/>
            <w:webHidden/>
          </w:rPr>
        </w:r>
        <w:r>
          <w:rPr>
            <w:noProof/>
            <w:webHidden/>
          </w:rPr>
          <w:fldChar w:fldCharType="separate"/>
        </w:r>
        <w:r>
          <w:rPr>
            <w:noProof/>
            <w:webHidden/>
          </w:rPr>
          <w:t>518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1" w:history="1">
        <w:r w:rsidRPr="001B13A4">
          <w:rPr>
            <w:rStyle w:val="Hyperlink"/>
            <w:noProof/>
          </w:rPr>
          <w:t>2.1.1305</w:t>
        </w:r>
        <w:r>
          <w:rPr>
            <w:rFonts w:asciiTheme="minorHAnsi" w:eastAsiaTheme="minorEastAsia" w:hAnsiTheme="minorHAnsi" w:cstheme="minorBidi"/>
            <w:noProof/>
            <w:sz w:val="22"/>
            <w:szCs w:val="22"/>
          </w:rPr>
          <w:tab/>
        </w:r>
        <w:r w:rsidRPr="001B13A4">
          <w:rPr>
            <w:rStyle w:val="Hyperlink"/>
            <w:noProof/>
          </w:rPr>
          <w:t>Part 1 Section 20.1.8.52, round (Round Line Join)</w:t>
        </w:r>
        <w:r>
          <w:rPr>
            <w:noProof/>
            <w:webHidden/>
          </w:rPr>
          <w:tab/>
        </w:r>
        <w:r>
          <w:rPr>
            <w:noProof/>
            <w:webHidden/>
          </w:rPr>
          <w:fldChar w:fldCharType="begin"/>
        </w:r>
        <w:r>
          <w:rPr>
            <w:noProof/>
            <w:webHidden/>
          </w:rPr>
          <w:instrText xml:space="preserve"> PAGEREF _Toc181684341 \h </w:instrText>
        </w:r>
        <w:r>
          <w:rPr>
            <w:noProof/>
            <w:webHidden/>
          </w:rPr>
        </w:r>
        <w:r>
          <w:rPr>
            <w:noProof/>
            <w:webHidden/>
          </w:rPr>
          <w:fldChar w:fldCharType="separate"/>
        </w:r>
        <w:r>
          <w:rPr>
            <w:noProof/>
            <w:webHidden/>
          </w:rPr>
          <w:t>519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2" w:history="1">
        <w:r w:rsidRPr="001B13A4">
          <w:rPr>
            <w:rStyle w:val="Hyperlink"/>
            <w:noProof/>
          </w:rPr>
          <w:t>2.1.1306</w:t>
        </w:r>
        <w:r>
          <w:rPr>
            <w:rFonts w:asciiTheme="minorHAnsi" w:eastAsiaTheme="minorEastAsia" w:hAnsiTheme="minorHAnsi" w:cstheme="minorBidi"/>
            <w:noProof/>
            <w:sz w:val="22"/>
            <w:szCs w:val="22"/>
          </w:rPr>
          <w:tab/>
        </w:r>
        <w:r w:rsidRPr="001B13A4">
          <w:rPr>
            <w:rStyle w:val="Hyperlink"/>
            <w:noProof/>
          </w:rPr>
          <w:t>Part 1 Section 20.1.8.53, softEdge (Soft Edge Effect)</w:t>
        </w:r>
        <w:r>
          <w:rPr>
            <w:noProof/>
            <w:webHidden/>
          </w:rPr>
          <w:tab/>
        </w:r>
        <w:r>
          <w:rPr>
            <w:noProof/>
            <w:webHidden/>
          </w:rPr>
          <w:fldChar w:fldCharType="begin"/>
        </w:r>
        <w:r>
          <w:rPr>
            <w:noProof/>
            <w:webHidden/>
          </w:rPr>
          <w:instrText xml:space="preserve"> PAGEREF _Toc181684342 \h </w:instrText>
        </w:r>
        <w:r>
          <w:rPr>
            <w:noProof/>
            <w:webHidden/>
          </w:rPr>
        </w:r>
        <w:r>
          <w:rPr>
            <w:noProof/>
            <w:webHidden/>
          </w:rPr>
          <w:fldChar w:fldCharType="separate"/>
        </w:r>
        <w:r>
          <w:rPr>
            <w:noProof/>
            <w:webHidden/>
          </w:rPr>
          <w:t>519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3" w:history="1">
        <w:r w:rsidRPr="001B13A4">
          <w:rPr>
            <w:rStyle w:val="Hyperlink"/>
            <w:noProof/>
          </w:rPr>
          <w:t>2.1.1307</w:t>
        </w:r>
        <w:r>
          <w:rPr>
            <w:rFonts w:asciiTheme="minorHAnsi" w:eastAsiaTheme="minorEastAsia" w:hAnsiTheme="minorHAnsi" w:cstheme="minorBidi"/>
            <w:noProof/>
            <w:sz w:val="22"/>
            <w:szCs w:val="22"/>
          </w:rPr>
          <w:tab/>
        </w:r>
        <w:r w:rsidRPr="001B13A4">
          <w:rPr>
            <w:rStyle w:val="Hyperlink"/>
            <w:noProof/>
          </w:rPr>
          <w:t>Part 1 Section 20.1.8.55, srcRect (Source Rectangle)</w:t>
        </w:r>
        <w:r>
          <w:rPr>
            <w:noProof/>
            <w:webHidden/>
          </w:rPr>
          <w:tab/>
        </w:r>
        <w:r>
          <w:rPr>
            <w:noProof/>
            <w:webHidden/>
          </w:rPr>
          <w:fldChar w:fldCharType="begin"/>
        </w:r>
        <w:r>
          <w:rPr>
            <w:noProof/>
            <w:webHidden/>
          </w:rPr>
          <w:instrText xml:space="preserve"> PAGEREF _Toc181684343 \h </w:instrText>
        </w:r>
        <w:r>
          <w:rPr>
            <w:noProof/>
            <w:webHidden/>
          </w:rPr>
        </w:r>
        <w:r>
          <w:rPr>
            <w:noProof/>
            <w:webHidden/>
          </w:rPr>
          <w:fldChar w:fldCharType="separate"/>
        </w:r>
        <w:r>
          <w:rPr>
            <w:noProof/>
            <w:webHidden/>
          </w:rPr>
          <w:t>519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4" w:history="1">
        <w:r w:rsidRPr="001B13A4">
          <w:rPr>
            <w:rStyle w:val="Hyperlink"/>
            <w:noProof/>
          </w:rPr>
          <w:t>2.1.1308</w:t>
        </w:r>
        <w:r>
          <w:rPr>
            <w:rFonts w:asciiTheme="minorHAnsi" w:eastAsiaTheme="minorEastAsia" w:hAnsiTheme="minorHAnsi" w:cstheme="minorBidi"/>
            <w:noProof/>
            <w:sz w:val="22"/>
            <w:szCs w:val="22"/>
          </w:rPr>
          <w:tab/>
        </w:r>
        <w:r w:rsidRPr="001B13A4">
          <w:rPr>
            <w:rStyle w:val="Hyperlink"/>
            <w:noProof/>
          </w:rPr>
          <w:t>Part 1 Section 20.1.8.59, tileRect (Tile Rectangle)</w:t>
        </w:r>
        <w:r>
          <w:rPr>
            <w:noProof/>
            <w:webHidden/>
          </w:rPr>
          <w:tab/>
        </w:r>
        <w:r>
          <w:rPr>
            <w:noProof/>
            <w:webHidden/>
          </w:rPr>
          <w:fldChar w:fldCharType="begin"/>
        </w:r>
        <w:r>
          <w:rPr>
            <w:noProof/>
            <w:webHidden/>
          </w:rPr>
          <w:instrText xml:space="preserve"> PAGEREF _Toc181684344 \h </w:instrText>
        </w:r>
        <w:r>
          <w:rPr>
            <w:noProof/>
            <w:webHidden/>
          </w:rPr>
        </w:r>
        <w:r>
          <w:rPr>
            <w:noProof/>
            <w:webHidden/>
          </w:rPr>
          <w:fldChar w:fldCharType="separate"/>
        </w:r>
        <w:r>
          <w:rPr>
            <w:noProof/>
            <w:webHidden/>
          </w:rPr>
          <w:t>519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5" w:history="1">
        <w:r w:rsidRPr="001B13A4">
          <w:rPr>
            <w:rStyle w:val="Hyperlink"/>
            <w:noProof/>
          </w:rPr>
          <w:t>2.1.1309</w:t>
        </w:r>
        <w:r>
          <w:rPr>
            <w:rFonts w:asciiTheme="minorHAnsi" w:eastAsiaTheme="minorEastAsia" w:hAnsiTheme="minorHAnsi" w:cstheme="minorBidi"/>
            <w:noProof/>
            <w:sz w:val="22"/>
            <w:szCs w:val="22"/>
          </w:rPr>
          <w:tab/>
        </w:r>
        <w:r w:rsidRPr="001B13A4">
          <w:rPr>
            <w:rStyle w:val="Hyperlink"/>
            <w:noProof/>
          </w:rPr>
          <w:t>Part 1 Section 20.1.9.2, ahPolar (PolarAdjustHandle)</w:t>
        </w:r>
        <w:r>
          <w:rPr>
            <w:noProof/>
            <w:webHidden/>
          </w:rPr>
          <w:tab/>
        </w:r>
        <w:r>
          <w:rPr>
            <w:noProof/>
            <w:webHidden/>
          </w:rPr>
          <w:fldChar w:fldCharType="begin"/>
        </w:r>
        <w:r>
          <w:rPr>
            <w:noProof/>
            <w:webHidden/>
          </w:rPr>
          <w:instrText xml:space="preserve"> PAGEREF _Toc181684345 \h </w:instrText>
        </w:r>
        <w:r>
          <w:rPr>
            <w:noProof/>
            <w:webHidden/>
          </w:rPr>
        </w:r>
        <w:r>
          <w:rPr>
            <w:noProof/>
            <w:webHidden/>
          </w:rPr>
          <w:fldChar w:fldCharType="separate"/>
        </w:r>
        <w:r>
          <w:rPr>
            <w:noProof/>
            <w:webHidden/>
          </w:rPr>
          <w:t>519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6" w:history="1">
        <w:r w:rsidRPr="001B13A4">
          <w:rPr>
            <w:rStyle w:val="Hyperlink"/>
            <w:noProof/>
          </w:rPr>
          <w:t>2.1.1310</w:t>
        </w:r>
        <w:r>
          <w:rPr>
            <w:rFonts w:asciiTheme="minorHAnsi" w:eastAsiaTheme="minorEastAsia" w:hAnsiTheme="minorHAnsi" w:cstheme="minorBidi"/>
            <w:noProof/>
            <w:sz w:val="22"/>
            <w:szCs w:val="22"/>
          </w:rPr>
          <w:tab/>
        </w:r>
        <w:r w:rsidRPr="001B13A4">
          <w:rPr>
            <w:rStyle w:val="Hyperlink"/>
            <w:noProof/>
          </w:rPr>
          <w:t>Part 1 Section 20.1.9.3, ahXY (XYAdjustHandle)</w:t>
        </w:r>
        <w:r>
          <w:rPr>
            <w:noProof/>
            <w:webHidden/>
          </w:rPr>
          <w:tab/>
        </w:r>
        <w:r>
          <w:rPr>
            <w:noProof/>
            <w:webHidden/>
          </w:rPr>
          <w:fldChar w:fldCharType="begin"/>
        </w:r>
        <w:r>
          <w:rPr>
            <w:noProof/>
            <w:webHidden/>
          </w:rPr>
          <w:instrText xml:space="preserve"> PAGEREF _Toc181684346 \h </w:instrText>
        </w:r>
        <w:r>
          <w:rPr>
            <w:noProof/>
            <w:webHidden/>
          </w:rPr>
        </w:r>
        <w:r>
          <w:rPr>
            <w:noProof/>
            <w:webHidden/>
          </w:rPr>
          <w:fldChar w:fldCharType="separate"/>
        </w:r>
        <w:r>
          <w:rPr>
            <w:noProof/>
            <w:webHidden/>
          </w:rPr>
          <w:t>519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7" w:history="1">
        <w:r w:rsidRPr="001B13A4">
          <w:rPr>
            <w:rStyle w:val="Hyperlink"/>
            <w:noProof/>
          </w:rPr>
          <w:t>2.1.1311</w:t>
        </w:r>
        <w:r>
          <w:rPr>
            <w:rFonts w:asciiTheme="minorHAnsi" w:eastAsiaTheme="minorEastAsia" w:hAnsiTheme="minorHAnsi" w:cstheme="minorBidi"/>
            <w:noProof/>
            <w:sz w:val="22"/>
            <w:szCs w:val="22"/>
          </w:rPr>
          <w:tab/>
        </w:r>
        <w:r w:rsidRPr="001B13A4">
          <w:rPr>
            <w:rStyle w:val="Hyperlink"/>
            <w:noProof/>
          </w:rPr>
          <w:t>Part 1 Section 20.1.9.11, gd (Shape Guide)</w:t>
        </w:r>
        <w:r>
          <w:rPr>
            <w:noProof/>
            <w:webHidden/>
          </w:rPr>
          <w:tab/>
        </w:r>
        <w:r>
          <w:rPr>
            <w:noProof/>
            <w:webHidden/>
          </w:rPr>
          <w:fldChar w:fldCharType="begin"/>
        </w:r>
        <w:r>
          <w:rPr>
            <w:noProof/>
            <w:webHidden/>
          </w:rPr>
          <w:instrText xml:space="preserve"> PAGEREF _Toc181684347 \h </w:instrText>
        </w:r>
        <w:r>
          <w:rPr>
            <w:noProof/>
            <w:webHidden/>
          </w:rPr>
        </w:r>
        <w:r>
          <w:rPr>
            <w:noProof/>
            <w:webHidden/>
          </w:rPr>
          <w:fldChar w:fldCharType="separate"/>
        </w:r>
        <w:r>
          <w:rPr>
            <w:noProof/>
            <w:webHidden/>
          </w:rPr>
          <w:t>519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8" w:history="1">
        <w:r w:rsidRPr="001B13A4">
          <w:rPr>
            <w:rStyle w:val="Hyperlink"/>
            <w:noProof/>
          </w:rPr>
          <w:t>2.1.1312</w:t>
        </w:r>
        <w:r>
          <w:rPr>
            <w:rFonts w:asciiTheme="minorHAnsi" w:eastAsiaTheme="minorEastAsia" w:hAnsiTheme="minorHAnsi" w:cstheme="minorBidi"/>
            <w:noProof/>
            <w:sz w:val="22"/>
            <w:szCs w:val="22"/>
          </w:rPr>
          <w:tab/>
        </w:r>
        <w:r w:rsidRPr="001B13A4">
          <w:rPr>
            <w:rStyle w:val="Hyperlink"/>
            <w:noProof/>
          </w:rPr>
          <w:t>Part 1 Section 20.1.9.15, path (Shape Path)</w:t>
        </w:r>
        <w:r>
          <w:rPr>
            <w:noProof/>
            <w:webHidden/>
          </w:rPr>
          <w:tab/>
        </w:r>
        <w:r>
          <w:rPr>
            <w:noProof/>
            <w:webHidden/>
          </w:rPr>
          <w:fldChar w:fldCharType="begin"/>
        </w:r>
        <w:r>
          <w:rPr>
            <w:noProof/>
            <w:webHidden/>
          </w:rPr>
          <w:instrText xml:space="preserve"> PAGEREF _Toc181684348 \h </w:instrText>
        </w:r>
        <w:r>
          <w:rPr>
            <w:noProof/>
            <w:webHidden/>
          </w:rPr>
        </w:r>
        <w:r>
          <w:rPr>
            <w:noProof/>
            <w:webHidden/>
          </w:rPr>
          <w:fldChar w:fldCharType="separate"/>
        </w:r>
        <w:r>
          <w:rPr>
            <w:noProof/>
            <w:webHidden/>
          </w:rPr>
          <w:t>520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49" w:history="1">
        <w:r w:rsidRPr="001B13A4">
          <w:rPr>
            <w:rStyle w:val="Hyperlink"/>
            <w:noProof/>
          </w:rPr>
          <w:t>2.1.1313</w:t>
        </w:r>
        <w:r>
          <w:rPr>
            <w:rFonts w:asciiTheme="minorHAnsi" w:eastAsiaTheme="minorEastAsia" w:hAnsiTheme="minorHAnsi" w:cstheme="minorBidi"/>
            <w:noProof/>
            <w:sz w:val="22"/>
            <w:szCs w:val="22"/>
          </w:rPr>
          <w:tab/>
        </w:r>
        <w:r w:rsidRPr="001B13A4">
          <w:rPr>
            <w:rStyle w:val="Hyperlink"/>
            <w:noProof/>
          </w:rPr>
          <w:t>Part 1 Section 20.1.9.17, pos (Shape Position Coordinate)</w:t>
        </w:r>
        <w:r>
          <w:rPr>
            <w:noProof/>
            <w:webHidden/>
          </w:rPr>
          <w:tab/>
        </w:r>
        <w:r>
          <w:rPr>
            <w:noProof/>
            <w:webHidden/>
          </w:rPr>
          <w:fldChar w:fldCharType="begin"/>
        </w:r>
        <w:r>
          <w:rPr>
            <w:noProof/>
            <w:webHidden/>
          </w:rPr>
          <w:instrText xml:space="preserve"> PAGEREF _Toc181684349 \h </w:instrText>
        </w:r>
        <w:r>
          <w:rPr>
            <w:noProof/>
            <w:webHidden/>
          </w:rPr>
        </w:r>
        <w:r>
          <w:rPr>
            <w:noProof/>
            <w:webHidden/>
          </w:rPr>
          <w:fldChar w:fldCharType="separate"/>
        </w:r>
        <w:r>
          <w:rPr>
            <w:noProof/>
            <w:webHidden/>
          </w:rPr>
          <w:t>520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0" w:history="1">
        <w:r w:rsidRPr="001B13A4">
          <w:rPr>
            <w:rStyle w:val="Hyperlink"/>
            <w:noProof/>
          </w:rPr>
          <w:t>2.1.1314</w:t>
        </w:r>
        <w:r>
          <w:rPr>
            <w:rFonts w:asciiTheme="minorHAnsi" w:eastAsiaTheme="minorEastAsia" w:hAnsiTheme="minorHAnsi" w:cstheme="minorBidi"/>
            <w:noProof/>
            <w:sz w:val="22"/>
            <w:szCs w:val="22"/>
          </w:rPr>
          <w:tab/>
        </w:r>
        <w:r w:rsidRPr="001B13A4">
          <w:rPr>
            <w:rStyle w:val="Hyperlink"/>
            <w:noProof/>
          </w:rPr>
          <w:t>Part 1 Section 20.1.9.20, pt (Shape Path Point)</w:t>
        </w:r>
        <w:r>
          <w:rPr>
            <w:noProof/>
            <w:webHidden/>
          </w:rPr>
          <w:tab/>
        </w:r>
        <w:r>
          <w:rPr>
            <w:noProof/>
            <w:webHidden/>
          </w:rPr>
          <w:fldChar w:fldCharType="begin"/>
        </w:r>
        <w:r>
          <w:rPr>
            <w:noProof/>
            <w:webHidden/>
          </w:rPr>
          <w:instrText xml:space="preserve"> PAGEREF _Toc181684350 \h </w:instrText>
        </w:r>
        <w:r>
          <w:rPr>
            <w:noProof/>
            <w:webHidden/>
          </w:rPr>
        </w:r>
        <w:r>
          <w:rPr>
            <w:noProof/>
            <w:webHidden/>
          </w:rPr>
          <w:fldChar w:fldCharType="separate"/>
        </w:r>
        <w:r>
          <w:rPr>
            <w:noProof/>
            <w:webHidden/>
          </w:rPr>
          <w:t>520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1" w:history="1">
        <w:r w:rsidRPr="001B13A4">
          <w:rPr>
            <w:rStyle w:val="Hyperlink"/>
            <w:noProof/>
          </w:rPr>
          <w:t>2.1.1315</w:t>
        </w:r>
        <w:r>
          <w:rPr>
            <w:rFonts w:asciiTheme="minorHAnsi" w:eastAsiaTheme="minorEastAsia" w:hAnsiTheme="minorHAnsi" w:cstheme="minorBidi"/>
            <w:noProof/>
            <w:sz w:val="22"/>
            <w:szCs w:val="22"/>
          </w:rPr>
          <w:tab/>
        </w:r>
        <w:r w:rsidRPr="001B13A4">
          <w:rPr>
            <w:rStyle w:val="Hyperlink"/>
            <w:noProof/>
          </w:rPr>
          <w:t>Part 1 Section 20.1.9.22, Rect (Shape Text Rectangle)</w:t>
        </w:r>
        <w:r>
          <w:rPr>
            <w:noProof/>
            <w:webHidden/>
          </w:rPr>
          <w:tab/>
        </w:r>
        <w:r>
          <w:rPr>
            <w:noProof/>
            <w:webHidden/>
          </w:rPr>
          <w:fldChar w:fldCharType="begin"/>
        </w:r>
        <w:r>
          <w:rPr>
            <w:noProof/>
            <w:webHidden/>
          </w:rPr>
          <w:instrText xml:space="preserve"> PAGEREF _Toc181684351 \h </w:instrText>
        </w:r>
        <w:r>
          <w:rPr>
            <w:noProof/>
            <w:webHidden/>
          </w:rPr>
        </w:r>
        <w:r>
          <w:rPr>
            <w:noProof/>
            <w:webHidden/>
          </w:rPr>
          <w:fldChar w:fldCharType="separate"/>
        </w:r>
        <w:r>
          <w:rPr>
            <w:noProof/>
            <w:webHidden/>
          </w:rPr>
          <w:t>520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2" w:history="1">
        <w:r w:rsidRPr="001B13A4">
          <w:rPr>
            <w:rStyle w:val="Hyperlink"/>
            <w:noProof/>
          </w:rPr>
          <w:t>2.1.1316</w:t>
        </w:r>
        <w:r>
          <w:rPr>
            <w:rFonts w:asciiTheme="minorHAnsi" w:eastAsiaTheme="minorEastAsia" w:hAnsiTheme="minorHAnsi" w:cstheme="minorBidi"/>
            <w:noProof/>
            <w:sz w:val="22"/>
            <w:szCs w:val="22"/>
          </w:rPr>
          <w:tab/>
        </w:r>
        <w:r w:rsidRPr="001B13A4">
          <w:rPr>
            <w:rStyle w:val="Hyperlink"/>
            <w:noProof/>
          </w:rPr>
          <w:t>Part 1 Section 20.1.10.9, ST_BevelPresetType (Bevel Presets)</w:t>
        </w:r>
        <w:r>
          <w:rPr>
            <w:noProof/>
            <w:webHidden/>
          </w:rPr>
          <w:tab/>
        </w:r>
        <w:r>
          <w:rPr>
            <w:noProof/>
            <w:webHidden/>
          </w:rPr>
          <w:fldChar w:fldCharType="begin"/>
        </w:r>
        <w:r>
          <w:rPr>
            <w:noProof/>
            <w:webHidden/>
          </w:rPr>
          <w:instrText xml:space="preserve"> PAGEREF _Toc181684352 \h </w:instrText>
        </w:r>
        <w:r>
          <w:rPr>
            <w:noProof/>
            <w:webHidden/>
          </w:rPr>
        </w:r>
        <w:r>
          <w:rPr>
            <w:noProof/>
            <w:webHidden/>
          </w:rPr>
          <w:fldChar w:fldCharType="separate"/>
        </w:r>
        <w:r>
          <w:rPr>
            <w:noProof/>
            <w:webHidden/>
          </w:rPr>
          <w:t>520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3" w:history="1">
        <w:r w:rsidRPr="001B13A4">
          <w:rPr>
            <w:rStyle w:val="Hyperlink"/>
            <w:noProof/>
          </w:rPr>
          <w:t>2.1.1317</w:t>
        </w:r>
        <w:r>
          <w:rPr>
            <w:rFonts w:asciiTheme="minorHAnsi" w:eastAsiaTheme="minorEastAsia" w:hAnsiTheme="minorHAnsi" w:cstheme="minorBidi"/>
            <w:noProof/>
            <w:sz w:val="22"/>
            <w:szCs w:val="22"/>
          </w:rPr>
          <w:tab/>
        </w:r>
        <w:r w:rsidRPr="001B13A4">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_Toc181684353 \h </w:instrText>
        </w:r>
        <w:r>
          <w:rPr>
            <w:noProof/>
            <w:webHidden/>
          </w:rPr>
        </w:r>
        <w:r>
          <w:rPr>
            <w:noProof/>
            <w:webHidden/>
          </w:rPr>
          <w:fldChar w:fldCharType="separate"/>
        </w:r>
        <w:r>
          <w:rPr>
            <w:noProof/>
            <w:webHidden/>
          </w:rPr>
          <w:t>522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4" w:history="1">
        <w:r w:rsidRPr="001B13A4">
          <w:rPr>
            <w:rStyle w:val="Hyperlink"/>
            <w:noProof/>
          </w:rPr>
          <w:t>2.1.1318</w:t>
        </w:r>
        <w:r>
          <w:rPr>
            <w:rFonts w:asciiTheme="minorHAnsi" w:eastAsiaTheme="minorEastAsia" w:hAnsiTheme="minorHAnsi" w:cstheme="minorBidi"/>
            <w:noProof/>
            <w:sz w:val="22"/>
            <w:szCs w:val="22"/>
          </w:rPr>
          <w:tab/>
        </w:r>
        <w:r w:rsidRPr="001B13A4">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_Toc181684354 \h </w:instrText>
        </w:r>
        <w:r>
          <w:rPr>
            <w:noProof/>
            <w:webHidden/>
          </w:rPr>
        </w:r>
        <w:r>
          <w:rPr>
            <w:noProof/>
            <w:webHidden/>
          </w:rPr>
          <w:fldChar w:fldCharType="separate"/>
        </w:r>
        <w:r>
          <w:rPr>
            <w:noProof/>
            <w:webHidden/>
          </w:rPr>
          <w:t>522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5" w:history="1">
        <w:r w:rsidRPr="001B13A4">
          <w:rPr>
            <w:rStyle w:val="Hyperlink"/>
            <w:noProof/>
          </w:rPr>
          <w:t>2.1.1319</w:t>
        </w:r>
        <w:r>
          <w:rPr>
            <w:rFonts w:asciiTheme="minorHAnsi" w:eastAsiaTheme="minorEastAsia" w:hAnsiTheme="minorHAnsi" w:cstheme="minorBidi"/>
            <w:noProof/>
            <w:sz w:val="22"/>
            <w:szCs w:val="22"/>
          </w:rPr>
          <w:tab/>
        </w:r>
        <w:r w:rsidRPr="001B13A4">
          <w:rPr>
            <w:rStyle w:val="Hyperlink"/>
            <w:noProof/>
          </w:rPr>
          <w:t>Part 1 Section 20.1.10.16, ST_Coordinate (Coordinate)</w:t>
        </w:r>
        <w:r>
          <w:rPr>
            <w:noProof/>
            <w:webHidden/>
          </w:rPr>
          <w:tab/>
        </w:r>
        <w:r>
          <w:rPr>
            <w:noProof/>
            <w:webHidden/>
          </w:rPr>
          <w:fldChar w:fldCharType="begin"/>
        </w:r>
        <w:r>
          <w:rPr>
            <w:noProof/>
            <w:webHidden/>
          </w:rPr>
          <w:instrText xml:space="preserve"> PAGEREF _Toc181684355 \h </w:instrText>
        </w:r>
        <w:r>
          <w:rPr>
            <w:noProof/>
            <w:webHidden/>
          </w:rPr>
        </w:r>
        <w:r>
          <w:rPr>
            <w:noProof/>
            <w:webHidden/>
          </w:rPr>
          <w:fldChar w:fldCharType="separate"/>
        </w:r>
        <w:r>
          <w:rPr>
            <w:noProof/>
            <w:webHidden/>
          </w:rPr>
          <w:t>522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6" w:history="1">
        <w:r w:rsidRPr="001B13A4">
          <w:rPr>
            <w:rStyle w:val="Hyperlink"/>
            <w:noProof/>
          </w:rPr>
          <w:t>2.1.1320</w:t>
        </w:r>
        <w:r>
          <w:rPr>
            <w:rFonts w:asciiTheme="minorHAnsi" w:eastAsiaTheme="minorEastAsia" w:hAnsiTheme="minorHAnsi" w:cstheme="minorBidi"/>
            <w:noProof/>
            <w:sz w:val="22"/>
            <w:szCs w:val="22"/>
          </w:rPr>
          <w:tab/>
        </w:r>
        <w:r w:rsidRPr="001B13A4">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_Toc181684356 \h </w:instrText>
        </w:r>
        <w:r>
          <w:rPr>
            <w:noProof/>
            <w:webHidden/>
          </w:rPr>
        </w:r>
        <w:r>
          <w:rPr>
            <w:noProof/>
            <w:webHidden/>
          </w:rPr>
          <w:fldChar w:fldCharType="separate"/>
        </w:r>
        <w:r>
          <w:rPr>
            <w:noProof/>
            <w:webHidden/>
          </w:rPr>
          <w:t>522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7" w:history="1">
        <w:r w:rsidRPr="001B13A4">
          <w:rPr>
            <w:rStyle w:val="Hyperlink"/>
            <w:noProof/>
          </w:rPr>
          <w:t>2.1.1321</w:t>
        </w:r>
        <w:r>
          <w:rPr>
            <w:rFonts w:asciiTheme="minorHAnsi" w:eastAsiaTheme="minorEastAsia" w:hAnsiTheme="minorHAnsi" w:cstheme="minorBidi"/>
            <w:noProof/>
            <w:sz w:val="22"/>
            <w:szCs w:val="22"/>
          </w:rPr>
          <w:tab/>
        </w:r>
        <w:r w:rsidRPr="001B13A4">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_Toc181684357 \h </w:instrText>
        </w:r>
        <w:r>
          <w:rPr>
            <w:noProof/>
            <w:webHidden/>
          </w:rPr>
        </w:r>
        <w:r>
          <w:rPr>
            <w:noProof/>
            <w:webHidden/>
          </w:rPr>
          <w:fldChar w:fldCharType="separate"/>
        </w:r>
        <w:r>
          <w:rPr>
            <w:noProof/>
            <w:webHidden/>
          </w:rPr>
          <w:t>523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8" w:history="1">
        <w:r w:rsidRPr="001B13A4">
          <w:rPr>
            <w:rStyle w:val="Hyperlink"/>
            <w:noProof/>
          </w:rPr>
          <w:t>2.1.1322</w:t>
        </w:r>
        <w:r>
          <w:rPr>
            <w:rFonts w:asciiTheme="minorHAnsi" w:eastAsiaTheme="minorEastAsia" w:hAnsiTheme="minorHAnsi" w:cstheme="minorBidi"/>
            <w:noProof/>
            <w:sz w:val="22"/>
            <w:szCs w:val="22"/>
          </w:rPr>
          <w:tab/>
        </w:r>
        <w:r w:rsidRPr="001B13A4">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_Toc181684358 \h </w:instrText>
        </w:r>
        <w:r>
          <w:rPr>
            <w:noProof/>
            <w:webHidden/>
          </w:rPr>
        </w:r>
        <w:r>
          <w:rPr>
            <w:noProof/>
            <w:webHidden/>
          </w:rPr>
          <w:fldChar w:fldCharType="separate"/>
        </w:r>
        <w:r>
          <w:rPr>
            <w:noProof/>
            <w:webHidden/>
          </w:rPr>
          <w:t>523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59" w:history="1">
        <w:r w:rsidRPr="001B13A4">
          <w:rPr>
            <w:rStyle w:val="Hyperlink"/>
            <w:noProof/>
          </w:rPr>
          <w:t>2.1.1323</w:t>
        </w:r>
        <w:r>
          <w:rPr>
            <w:rFonts w:asciiTheme="minorHAnsi" w:eastAsiaTheme="minorEastAsia" w:hAnsiTheme="minorHAnsi" w:cstheme="minorBidi"/>
            <w:noProof/>
            <w:sz w:val="22"/>
            <w:szCs w:val="22"/>
          </w:rPr>
          <w:tab/>
        </w:r>
        <w:r w:rsidRPr="001B13A4">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_Toc181684359 \h </w:instrText>
        </w:r>
        <w:r>
          <w:rPr>
            <w:noProof/>
            <w:webHidden/>
          </w:rPr>
        </w:r>
        <w:r>
          <w:rPr>
            <w:noProof/>
            <w:webHidden/>
          </w:rPr>
          <w:fldChar w:fldCharType="separate"/>
        </w:r>
        <w:r>
          <w:rPr>
            <w:noProof/>
            <w:webHidden/>
          </w:rPr>
          <w:t>523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0" w:history="1">
        <w:r w:rsidRPr="001B13A4">
          <w:rPr>
            <w:rStyle w:val="Hyperlink"/>
            <w:noProof/>
          </w:rPr>
          <w:t>2.1.1324</w:t>
        </w:r>
        <w:r>
          <w:rPr>
            <w:rFonts w:asciiTheme="minorHAnsi" w:eastAsiaTheme="minorEastAsia" w:hAnsiTheme="minorHAnsi" w:cstheme="minorBidi"/>
            <w:noProof/>
            <w:sz w:val="22"/>
            <w:szCs w:val="22"/>
          </w:rPr>
          <w:tab/>
        </w:r>
        <w:r w:rsidRPr="001B13A4">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_Toc181684360 \h </w:instrText>
        </w:r>
        <w:r>
          <w:rPr>
            <w:noProof/>
            <w:webHidden/>
          </w:rPr>
        </w:r>
        <w:r>
          <w:rPr>
            <w:noProof/>
            <w:webHidden/>
          </w:rPr>
          <w:fldChar w:fldCharType="separate"/>
        </w:r>
        <w:r>
          <w:rPr>
            <w:noProof/>
            <w:webHidden/>
          </w:rPr>
          <w:t>523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1" w:history="1">
        <w:r w:rsidRPr="001B13A4">
          <w:rPr>
            <w:rStyle w:val="Hyperlink"/>
            <w:noProof/>
          </w:rPr>
          <w:t>2.1.1325</w:t>
        </w:r>
        <w:r>
          <w:rPr>
            <w:rFonts w:asciiTheme="minorHAnsi" w:eastAsiaTheme="minorEastAsia" w:hAnsiTheme="minorHAnsi" w:cstheme="minorBidi"/>
            <w:noProof/>
            <w:sz w:val="22"/>
            <w:szCs w:val="22"/>
          </w:rPr>
          <w:tab/>
        </w:r>
        <w:r w:rsidRPr="001B13A4">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_Toc181684361 \h </w:instrText>
        </w:r>
        <w:r>
          <w:rPr>
            <w:noProof/>
            <w:webHidden/>
          </w:rPr>
        </w:r>
        <w:r>
          <w:rPr>
            <w:noProof/>
            <w:webHidden/>
          </w:rPr>
          <w:fldChar w:fldCharType="separate"/>
        </w:r>
        <w:r>
          <w:rPr>
            <w:noProof/>
            <w:webHidden/>
          </w:rPr>
          <w:t>524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2" w:history="1">
        <w:r w:rsidRPr="001B13A4">
          <w:rPr>
            <w:rStyle w:val="Hyperlink"/>
            <w:noProof/>
          </w:rPr>
          <w:t>2.1.1326</w:t>
        </w:r>
        <w:r>
          <w:rPr>
            <w:rFonts w:asciiTheme="minorHAnsi" w:eastAsiaTheme="minorEastAsia" w:hAnsiTheme="minorHAnsi" w:cstheme="minorBidi"/>
            <w:noProof/>
            <w:sz w:val="22"/>
            <w:szCs w:val="22"/>
          </w:rPr>
          <w:tab/>
        </w:r>
        <w:r w:rsidRPr="001B13A4">
          <w:rPr>
            <w:rStyle w:val="Hyperlink"/>
            <w:noProof/>
          </w:rPr>
          <w:t>Part 1 Section 20.1.10.35, ST_LineWidth (Line Width)</w:t>
        </w:r>
        <w:r>
          <w:rPr>
            <w:noProof/>
            <w:webHidden/>
          </w:rPr>
          <w:tab/>
        </w:r>
        <w:r>
          <w:rPr>
            <w:noProof/>
            <w:webHidden/>
          </w:rPr>
          <w:fldChar w:fldCharType="begin"/>
        </w:r>
        <w:r>
          <w:rPr>
            <w:noProof/>
            <w:webHidden/>
          </w:rPr>
          <w:instrText xml:space="preserve"> PAGEREF _Toc181684362 \h </w:instrText>
        </w:r>
        <w:r>
          <w:rPr>
            <w:noProof/>
            <w:webHidden/>
          </w:rPr>
        </w:r>
        <w:r>
          <w:rPr>
            <w:noProof/>
            <w:webHidden/>
          </w:rPr>
          <w:fldChar w:fldCharType="separate"/>
        </w:r>
        <w:r>
          <w:rPr>
            <w:noProof/>
            <w:webHidden/>
          </w:rPr>
          <w:t>524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3" w:history="1">
        <w:r w:rsidRPr="001B13A4">
          <w:rPr>
            <w:rStyle w:val="Hyperlink"/>
            <w:noProof/>
          </w:rPr>
          <w:t>2.1.1327</w:t>
        </w:r>
        <w:r>
          <w:rPr>
            <w:rFonts w:asciiTheme="minorHAnsi" w:eastAsiaTheme="minorEastAsia" w:hAnsiTheme="minorHAnsi" w:cstheme="minorBidi"/>
            <w:noProof/>
            <w:sz w:val="22"/>
            <w:szCs w:val="22"/>
          </w:rPr>
          <w:tab/>
        </w:r>
        <w:r w:rsidRPr="001B13A4">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_Toc181684363 \h </w:instrText>
        </w:r>
        <w:r>
          <w:rPr>
            <w:noProof/>
            <w:webHidden/>
          </w:rPr>
        </w:r>
        <w:r>
          <w:rPr>
            <w:noProof/>
            <w:webHidden/>
          </w:rPr>
          <w:fldChar w:fldCharType="separate"/>
        </w:r>
        <w:r>
          <w:rPr>
            <w:noProof/>
            <w:webHidden/>
          </w:rPr>
          <w:t>524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4" w:history="1">
        <w:r w:rsidRPr="001B13A4">
          <w:rPr>
            <w:rStyle w:val="Hyperlink"/>
            <w:noProof/>
          </w:rPr>
          <w:t>2.1.1328</w:t>
        </w:r>
        <w:r>
          <w:rPr>
            <w:rFonts w:asciiTheme="minorHAnsi" w:eastAsiaTheme="minorEastAsia" w:hAnsiTheme="minorHAnsi" w:cstheme="minorBidi"/>
            <w:noProof/>
            <w:sz w:val="22"/>
            <w:szCs w:val="22"/>
          </w:rPr>
          <w:tab/>
        </w:r>
        <w:r w:rsidRPr="001B13A4">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_Toc181684364 \h </w:instrText>
        </w:r>
        <w:r>
          <w:rPr>
            <w:noProof/>
            <w:webHidden/>
          </w:rPr>
        </w:r>
        <w:r>
          <w:rPr>
            <w:noProof/>
            <w:webHidden/>
          </w:rPr>
          <w:fldChar w:fldCharType="separate"/>
        </w:r>
        <w:r>
          <w:rPr>
            <w:noProof/>
            <w:webHidden/>
          </w:rPr>
          <w:t>525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5" w:history="1">
        <w:r w:rsidRPr="001B13A4">
          <w:rPr>
            <w:rStyle w:val="Hyperlink"/>
            <w:noProof/>
          </w:rPr>
          <w:t>2.1.1329</w:t>
        </w:r>
        <w:r>
          <w:rPr>
            <w:rFonts w:asciiTheme="minorHAnsi" w:eastAsiaTheme="minorEastAsia" w:hAnsiTheme="minorHAnsi" w:cstheme="minorBidi"/>
            <w:noProof/>
            <w:sz w:val="22"/>
            <w:szCs w:val="22"/>
          </w:rPr>
          <w:tab/>
        </w:r>
        <w:r w:rsidRPr="001B13A4">
          <w:rPr>
            <w:rStyle w:val="Hyperlink"/>
            <w:noProof/>
          </w:rPr>
          <w:t>Part 1 Section 20.1.10.40, ST_Percentage (Percentage)</w:t>
        </w:r>
        <w:r>
          <w:rPr>
            <w:noProof/>
            <w:webHidden/>
          </w:rPr>
          <w:tab/>
        </w:r>
        <w:r>
          <w:rPr>
            <w:noProof/>
            <w:webHidden/>
          </w:rPr>
          <w:fldChar w:fldCharType="begin"/>
        </w:r>
        <w:r>
          <w:rPr>
            <w:noProof/>
            <w:webHidden/>
          </w:rPr>
          <w:instrText xml:space="preserve"> PAGEREF _Toc181684365 \h </w:instrText>
        </w:r>
        <w:r>
          <w:rPr>
            <w:noProof/>
            <w:webHidden/>
          </w:rPr>
        </w:r>
        <w:r>
          <w:rPr>
            <w:noProof/>
            <w:webHidden/>
          </w:rPr>
          <w:fldChar w:fldCharType="separate"/>
        </w:r>
        <w:r>
          <w:rPr>
            <w:noProof/>
            <w:webHidden/>
          </w:rPr>
          <w:t>525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6" w:history="1">
        <w:r w:rsidRPr="001B13A4">
          <w:rPr>
            <w:rStyle w:val="Hyperlink"/>
            <w:noProof/>
          </w:rPr>
          <w:t>2.1.1330</w:t>
        </w:r>
        <w:r>
          <w:rPr>
            <w:rFonts w:asciiTheme="minorHAnsi" w:eastAsiaTheme="minorEastAsia" w:hAnsiTheme="minorHAnsi" w:cstheme="minorBidi"/>
            <w:noProof/>
            <w:sz w:val="22"/>
            <w:szCs w:val="22"/>
          </w:rPr>
          <w:tab/>
        </w:r>
        <w:r w:rsidRPr="001B13A4">
          <w:rPr>
            <w:rStyle w:val="Hyperlink"/>
            <w:noProof/>
          </w:rPr>
          <w:t>Part 1 Section 20.1.10.42, ST_PositiveCoordinate (Positive Coordinate)</w:t>
        </w:r>
        <w:r>
          <w:rPr>
            <w:noProof/>
            <w:webHidden/>
          </w:rPr>
          <w:tab/>
        </w:r>
        <w:r>
          <w:rPr>
            <w:noProof/>
            <w:webHidden/>
          </w:rPr>
          <w:fldChar w:fldCharType="begin"/>
        </w:r>
        <w:r>
          <w:rPr>
            <w:noProof/>
            <w:webHidden/>
          </w:rPr>
          <w:instrText xml:space="preserve"> PAGEREF _Toc181684366 \h </w:instrText>
        </w:r>
        <w:r>
          <w:rPr>
            <w:noProof/>
            <w:webHidden/>
          </w:rPr>
        </w:r>
        <w:r>
          <w:rPr>
            <w:noProof/>
            <w:webHidden/>
          </w:rPr>
          <w:fldChar w:fldCharType="separate"/>
        </w:r>
        <w:r>
          <w:rPr>
            <w:noProof/>
            <w:webHidden/>
          </w:rPr>
          <w:t>525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7" w:history="1">
        <w:r w:rsidRPr="001B13A4">
          <w:rPr>
            <w:rStyle w:val="Hyperlink"/>
            <w:noProof/>
          </w:rPr>
          <w:t>2.1.1331</w:t>
        </w:r>
        <w:r>
          <w:rPr>
            <w:rFonts w:asciiTheme="minorHAnsi" w:eastAsiaTheme="minorEastAsia" w:hAnsiTheme="minorHAnsi" w:cstheme="minorBidi"/>
            <w:noProof/>
            <w:sz w:val="22"/>
            <w:szCs w:val="22"/>
          </w:rPr>
          <w:tab/>
        </w:r>
        <w:r w:rsidRPr="001B13A4">
          <w:rPr>
            <w:rStyle w:val="Hyperlink"/>
            <w:noProof/>
          </w:rPr>
          <w:t>Part 1 Section 20.1.10.45 ST_PositiveFixedPercentage (Positive Fixed Percentage)</w:t>
        </w:r>
        <w:r>
          <w:rPr>
            <w:noProof/>
            <w:webHidden/>
          </w:rPr>
          <w:tab/>
        </w:r>
        <w:r>
          <w:rPr>
            <w:noProof/>
            <w:webHidden/>
          </w:rPr>
          <w:fldChar w:fldCharType="begin"/>
        </w:r>
        <w:r>
          <w:rPr>
            <w:noProof/>
            <w:webHidden/>
          </w:rPr>
          <w:instrText xml:space="preserve"> PAGEREF _Toc181684367 \h </w:instrText>
        </w:r>
        <w:r>
          <w:rPr>
            <w:noProof/>
            <w:webHidden/>
          </w:rPr>
        </w:r>
        <w:r>
          <w:rPr>
            <w:noProof/>
            <w:webHidden/>
          </w:rPr>
          <w:fldChar w:fldCharType="separate"/>
        </w:r>
        <w:r>
          <w:rPr>
            <w:noProof/>
            <w:webHidden/>
          </w:rPr>
          <w:t>525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8" w:history="1">
        <w:r w:rsidRPr="001B13A4">
          <w:rPr>
            <w:rStyle w:val="Hyperlink"/>
            <w:noProof/>
          </w:rPr>
          <w:t>2.1.1332</w:t>
        </w:r>
        <w:r>
          <w:rPr>
            <w:rFonts w:asciiTheme="minorHAnsi" w:eastAsiaTheme="minorEastAsia" w:hAnsiTheme="minorHAnsi" w:cstheme="minorBidi"/>
            <w:noProof/>
            <w:sz w:val="22"/>
            <w:szCs w:val="22"/>
          </w:rPr>
          <w:tab/>
        </w:r>
        <w:r w:rsidRPr="001B13A4">
          <w:rPr>
            <w:rStyle w:val="Hyperlink"/>
            <w:noProof/>
          </w:rPr>
          <w:t>Part 1 Section 20.1.10.46, ST_PositivePercentage (Positive Percentage)</w:t>
        </w:r>
        <w:r>
          <w:rPr>
            <w:noProof/>
            <w:webHidden/>
          </w:rPr>
          <w:tab/>
        </w:r>
        <w:r>
          <w:rPr>
            <w:noProof/>
            <w:webHidden/>
          </w:rPr>
          <w:fldChar w:fldCharType="begin"/>
        </w:r>
        <w:r>
          <w:rPr>
            <w:noProof/>
            <w:webHidden/>
          </w:rPr>
          <w:instrText xml:space="preserve"> PAGEREF _Toc181684368 \h </w:instrText>
        </w:r>
        <w:r>
          <w:rPr>
            <w:noProof/>
            <w:webHidden/>
          </w:rPr>
        </w:r>
        <w:r>
          <w:rPr>
            <w:noProof/>
            <w:webHidden/>
          </w:rPr>
          <w:fldChar w:fldCharType="separate"/>
        </w:r>
        <w:r>
          <w:rPr>
            <w:noProof/>
            <w:webHidden/>
          </w:rPr>
          <w:t>525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69" w:history="1">
        <w:r w:rsidRPr="001B13A4">
          <w:rPr>
            <w:rStyle w:val="Hyperlink"/>
            <w:noProof/>
          </w:rPr>
          <w:t>2.1.1333</w:t>
        </w:r>
        <w:r>
          <w:rPr>
            <w:rFonts w:asciiTheme="minorHAnsi" w:eastAsiaTheme="minorEastAsia" w:hAnsiTheme="minorHAnsi" w:cstheme="minorBidi"/>
            <w:noProof/>
            <w:sz w:val="22"/>
            <w:szCs w:val="22"/>
          </w:rPr>
          <w:tab/>
        </w:r>
        <w:r w:rsidRPr="001B13A4">
          <w:rPr>
            <w:rStyle w:val="Hyperlink"/>
            <w:noProof/>
          </w:rPr>
          <w:t>Part 1 Section 20.1.10.48, ST_PresetColorVal (Preset Color Value)</w:t>
        </w:r>
        <w:r>
          <w:rPr>
            <w:noProof/>
            <w:webHidden/>
          </w:rPr>
          <w:tab/>
        </w:r>
        <w:r>
          <w:rPr>
            <w:noProof/>
            <w:webHidden/>
          </w:rPr>
          <w:fldChar w:fldCharType="begin"/>
        </w:r>
        <w:r>
          <w:rPr>
            <w:noProof/>
            <w:webHidden/>
          </w:rPr>
          <w:instrText xml:space="preserve"> PAGEREF _Toc181684369 \h </w:instrText>
        </w:r>
        <w:r>
          <w:rPr>
            <w:noProof/>
            <w:webHidden/>
          </w:rPr>
        </w:r>
        <w:r>
          <w:rPr>
            <w:noProof/>
            <w:webHidden/>
          </w:rPr>
          <w:fldChar w:fldCharType="separate"/>
        </w:r>
        <w:r>
          <w:rPr>
            <w:noProof/>
            <w:webHidden/>
          </w:rPr>
          <w:t>526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0" w:history="1">
        <w:r w:rsidRPr="001B13A4">
          <w:rPr>
            <w:rStyle w:val="Hyperlink"/>
            <w:noProof/>
          </w:rPr>
          <w:t>2.1.1334</w:t>
        </w:r>
        <w:r>
          <w:rPr>
            <w:rFonts w:asciiTheme="minorHAnsi" w:eastAsiaTheme="minorEastAsia" w:hAnsiTheme="minorHAnsi" w:cstheme="minorBidi"/>
            <w:noProof/>
            <w:sz w:val="22"/>
            <w:szCs w:val="22"/>
          </w:rPr>
          <w:tab/>
        </w:r>
        <w:r w:rsidRPr="001B13A4">
          <w:rPr>
            <w:rStyle w:val="Hyperlink"/>
            <w:noProof/>
          </w:rPr>
          <w:t>Part 1 Section 20.1.10.50, ST_PresetMaterialType (Preset Material Type)</w:t>
        </w:r>
        <w:r>
          <w:rPr>
            <w:noProof/>
            <w:webHidden/>
          </w:rPr>
          <w:tab/>
        </w:r>
        <w:r>
          <w:rPr>
            <w:noProof/>
            <w:webHidden/>
          </w:rPr>
          <w:fldChar w:fldCharType="begin"/>
        </w:r>
        <w:r>
          <w:rPr>
            <w:noProof/>
            <w:webHidden/>
          </w:rPr>
          <w:instrText xml:space="preserve"> PAGEREF _Toc181684370 \h </w:instrText>
        </w:r>
        <w:r>
          <w:rPr>
            <w:noProof/>
            <w:webHidden/>
          </w:rPr>
        </w:r>
        <w:r>
          <w:rPr>
            <w:noProof/>
            <w:webHidden/>
          </w:rPr>
          <w:fldChar w:fldCharType="separate"/>
        </w:r>
        <w:r>
          <w:rPr>
            <w:noProof/>
            <w:webHidden/>
          </w:rPr>
          <w:t>526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1" w:history="1">
        <w:r w:rsidRPr="001B13A4">
          <w:rPr>
            <w:rStyle w:val="Hyperlink"/>
            <w:noProof/>
          </w:rPr>
          <w:t>2.1.1335</w:t>
        </w:r>
        <w:r>
          <w:rPr>
            <w:rFonts w:asciiTheme="minorHAnsi" w:eastAsiaTheme="minorEastAsia" w:hAnsiTheme="minorHAnsi" w:cstheme="minorBidi"/>
            <w:noProof/>
            <w:sz w:val="22"/>
            <w:szCs w:val="22"/>
          </w:rPr>
          <w:tab/>
        </w:r>
        <w:r w:rsidRPr="001B13A4">
          <w:rPr>
            <w:rStyle w:val="Hyperlink"/>
            <w:noProof/>
          </w:rPr>
          <w:t>Part 1 Section 20.1.10.55, ST_ShapeID (Shape ID)</w:t>
        </w:r>
        <w:r>
          <w:rPr>
            <w:noProof/>
            <w:webHidden/>
          </w:rPr>
          <w:tab/>
        </w:r>
        <w:r>
          <w:rPr>
            <w:noProof/>
            <w:webHidden/>
          </w:rPr>
          <w:fldChar w:fldCharType="begin"/>
        </w:r>
        <w:r>
          <w:rPr>
            <w:noProof/>
            <w:webHidden/>
          </w:rPr>
          <w:instrText xml:space="preserve"> PAGEREF _Toc181684371 \h </w:instrText>
        </w:r>
        <w:r>
          <w:rPr>
            <w:noProof/>
            <w:webHidden/>
          </w:rPr>
        </w:r>
        <w:r>
          <w:rPr>
            <w:noProof/>
            <w:webHidden/>
          </w:rPr>
          <w:fldChar w:fldCharType="separate"/>
        </w:r>
        <w:r>
          <w:rPr>
            <w:noProof/>
            <w:webHidden/>
          </w:rPr>
          <w:t>528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2" w:history="1">
        <w:r w:rsidRPr="001B13A4">
          <w:rPr>
            <w:rStyle w:val="Hyperlink"/>
            <w:noProof/>
          </w:rPr>
          <w:t>2.1.1336</w:t>
        </w:r>
        <w:r>
          <w:rPr>
            <w:rFonts w:asciiTheme="minorHAnsi" w:eastAsiaTheme="minorEastAsia" w:hAnsiTheme="minorHAnsi" w:cstheme="minorBidi"/>
            <w:noProof/>
            <w:sz w:val="22"/>
            <w:szCs w:val="22"/>
          </w:rPr>
          <w:tab/>
        </w:r>
        <w:r w:rsidRPr="001B13A4">
          <w:rPr>
            <w:rStyle w:val="Hyperlink"/>
            <w:noProof/>
          </w:rPr>
          <w:t>Part 1 Section 20.1.10.56, ST_ShapeType (Preset Shape Types)</w:t>
        </w:r>
        <w:r>
          <w:rPr>
            <w:noProof/>
            <w:webHidden/>
          </w:rPr>
          <w:tab/>
        </w:r>
        <w:r>
          <w:rPr>
            <w:noProof/>
            <w:webHidden/>
          </w:rPr>
          <w:fldChar w:fldCharType="begin"/>
        </w:r>
        <w:r>
          <w:rPr>
            <w:noProof/>
            <w:webHidden/>
          </w:rPr>
          <w:instrText xml:space="preserve"> PAGEREF _Toc181684372 \h </w:instrText>
        </w:r>
        <w:r>
          <w:rPr>
            <w:noProof/>
            <w:webHidden/>
          </w:rPr>
        </w:r>
        <w:r>
          <w:rPr>
            <w:noProof/>
            <w:webHidden/>
          </w:rPr>
          <w:fldChar w:fldCharType="separate"/>
        </w:r>
        <w:r>
          <w:rPr>
            <w:noProof/>
            <w:webHidden/>
          </w:rPr>
          <w:t>528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3" w:history="1">
        <w:r w:rsidRPr="001B13A4">
          <w:rPr>
            <w:rStyle w:val="Hyperlink"/>
            <w:noProof/>
          </w:rPr>
          <w:t>2.1.1337</w:t>
        </w:r>
        <w:r>
          <w:rPr>
            <w:rFonts w:asciiTheme="minorHAnsi" w:eastAsiaTheme="minorEastAsia" w:hAnsiTheme="minorHAnsi" w:cstheme="minorBidi"/>
            <w:noProof/>
            <w:sz w:val="22"/>
            <w:szCs w:val="22"/>
          </w:rPr>
          <w:tab/>
        </w:r>
        <w:r w:rsidRPr="001B13A4">
          <w:rPr>
            <w:rStyle w:val="Hyperlink"/>
            <w:noProof/>
          </w:rPr>
          <w:t>Part 1 Section 20.1.10.60, ST_TextAnchoringType (Text Anchoring Types)</w:t>
        </w:r>
        <w:r>
          <w:rPr>
            <w:noProof/>
            <w:webHidden/>
          </w:rPr>
          <w:tab/>
        </w:r>
        <w:r>
          <w:rPr>
            <w:noProof/>
            <w:webHidden/>
          </w:rPr>
          <w:fldChar w:fldCharType="begin"/>
        </w:r>
        <w:r>
          <w:rPr>
            <w:noProof/>
            <w:webHidden/>
          </w:rPr>
          <w:instrText xml:space="preserve"> PAGEREF _Toc181684373 \h </w:instrText>
        </w:r>
        <w:r>
          <w:rPr>
            <w:noProof/>
            <w:webHidden/>
          </w:rPr>
        </w:r>
        <w:r>
          <w:rPr>
            <w:noProof/>
            <w:webHidden/>
          </w:rPr>
          <w:fldChar w:fldCharType="separate"/>
        </w:r>
        <w:r>
          <w:rPr>
            <w:noProof/>
            <w:webHidden/>
          </w:rPr>
          <w:t>528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4" w:history="1">
        <w:r w:rsidRPr="001B13A4">
          <w:rPr>
            <w:rStyle w:val="Hyperlink"/>
            <w:noProof/>
          </w:rPr>
          <w:t>2.1.1338</w:t>
        </w:r>
        <w:r>
          <w:rPr>
            <w:rFonts w:asciiTheme="minorHAnsi" w:eastAsiaTheme="minorEastAsia" w:hAnsiTheme="minorHAnsi" w:cstheme="minorBidi"/>
            <w:noProof/>
            <w:sz w:val="22"/>
            <w:szCs w:val="22"/>
          </w:rPr>
          <w:tab/>
        </w:r>
        <w:r w:rsidRPr="001B13A4">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_Toc181684374 \h </w:instrText>
        </w:r>
        <w:r>
          <w:rPr>
            <w:noProof/>
            <w:webHidden/>
          </w:rPr>
        </w:r>
        <w:r>
          <w:rPr>
            <w:noProof/>
            <w:webHidden/>
          </w:rPr>
          <w:fldChar w:fldCharType="separate"/>
        </w:r>
        <w:r>
          <w:rPr>
            <w:noProof/>
            <w:webHidden/>
          </w:rPr>
          <w:t>529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5" w:history="1">
        <w:r w:rsidRPr="001B13A4">
          <w:rPr>
            <w:rStyle w:val="Hyperlink"/>
            <w:noProof/>
          </w:rPr>
          <w:t>2.1.1339</w:t>
        </w:r>
        <w:r>
          <w:rPr>
            <w:rFonts w:asciiTheme="minorHAnsi" w:eastAsiaTheme="minorEastAsia" w:hAnsiTheme="minorHAnsi" w:cstheme="minorBidi"/>
            <w:noProof/>
            <w:sz w:val="22"/>
            <w:szCs w:val="22"/>
          </w:rPr>
          <w:tab/>
        </w:r>
        <w:r w:rsidRPr="001B13A4">
          <w:rPr>
            <w:rStyle w:val="Hyperlink"/>
            <w:noProof/>
          </w:rPr>
          <w:t>Part 1 Section 20.1.10.64, ST_TextCapsType (Text Cap Types)</w:t>
        </w:r>
        <w:r>
          <w:rPr>
            <w:noProof/>
            <w:webHidden/>
          </w:rPr>
          <w:tab/>
        </w:r>
        <w:r>
          <w:rPr>
            <w:noProof/>
            <w:webHidden/>
          </w:rPr>
          <w:fldChar w:fldCharType="begin"/>
        </w:r>
        <w:r>
          <w:rPr>
            <w:noProof/>
            <w:webHidden/>
          </w:rPr>
          <w:instrText xml:space="preserve"> PAGEREF _Toc181684375 \h </w:instrText>
        </w:r>
        <w:r>
          <w:rPr>
            <w:noProof/>
            <w:webHidden/>
          </w:rPr>
        </w:r>
        <w:r>
          <w:rPr>
            <w:noProof/>
            <w:webHidden/>
          </w:rPr>
          <w:fldChar w:fldCharType="separate"/>
        </w:r>
        <w:r>
          <w:rPr>
            <w:noProof/>
            <w:webHidden/>
          </w:rPr>
          <w:t>529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6" w:history="1">
        <w:r w:rsidRPr="001B13A4">
          <w:rPr>
            <w:rStyle w:val="Hyperlink"/>
            <w:noProof/>
          </w:rPr>
          <w:t>2.1.1340</w:t>
        </w:r>
        <w:r>
          <w:rPr>
            <w:rFonts w:asciiTheme="minorHAnsi" w:eastAsiaTheme="minorEastAsia" w:hAnsiTheme="minorHAnsi" w:cstheme="minorBidi"/>
            <w:noProof/>
            <w:sz w:val="22"/>
            <w:szCs w:val="22"/>
          </w:rPr>
          <w:tab/>
        </w:r>
        <w:r w:rsidRPr="001B13A4">
          <w:rPr>
            <w:rStyle w:val="Hyperlink"/>
            <w:noProof/>
          </w:rPr>
          <w:t>Part 1 Section 20.1.10.67, ST_TextFontScalePercentOrPercentString (Text Font Scale Percentage)</w:t>
        </w:r>
        <w:r>
          <w:rPr>
            <w:noProof/>
            <w:webHidden/>
          </w:rPr>
          <w:tab/>
        </w:r>
        <w:r>
          <w:rPr>
            <w:noProof/>
            <w:webHidden/>
          </w:rPr>
          <w:fldChar w:fldCharType="begin"/>
        </w:r>
        <w:r>
          <w:rPr>
            <w:noProof/>
            <w:webHidden/>
          </w:rPr>
          <w:instrText xml:space="preserve"> PAGEREF _Toc181684376 \h </w:instrText>
        </w:r>
        <w:r>
          <w:rPr>
            <w:noProof/>
            <w:webHidden/>
          </w:rPr>
        </w:r>
        <w:r>
          <w:rPr>
            <w:noProof/>
            <w:webHidden/>
          </w:rPr>
          <w:fldChar w:fldCharType="separate"/>
        </w:r>
        <w:r>
          <w:rPr>
            <w:noProof/>
            <w:webHidden/>
          </w:rPr>
          <w:t>529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7" w:history="1">
        <w:r w:rsidRPr="001B13A4">
          <w:rPr>
            <w:rStyle w:val="Hyperlink"/>
            <w:noProof/>
          </w:rPr>
          <w:t>2.1.1341</w:t>
        </w:r>
        <w:r>
          <w:rPr>
            <w:rFonts w:asciiTheme="minorHAnsi" w:eastAsiaTheme="minorEastAsia" w:hAnsiTheme="minorHAnsi" w:cstheme="minorBidi"/>
            <w:noProof/>
            <w:sz w:val="22"/>
            <w:szCs w:val="22"/>
          </w:rPr>
          <w:tab/>
        </w:r>
        <w:r w:rsidRPr="001B13A4">
          <w:rPr>
            <w:rStyle w:val="Hyperlink"/>
            <w:noProof/>
          </w:rPr>
          <w:t>Part 1 Section 20.1.10.73, ST_TextNonNegativePoint (Text Non-Negative Point)</w:t>
        </w:r>
        <w:r>
          <w:rPr>
            <w:noProof/>
            <w:webHidden/>
          </w:rPr>
          <w:tab/>
        </w:r>
        <w:r>
          <w:rPr>
            <w:noProof/>
            <w:webHidden/>
          </w:rPr>
          <w:fldChar w:fldCharType="begin"/>
        </w:r>
        <w:r>
          <w:rPr>
            <w:noProof/>
            <w:webHidden/>
          </w:rPr>
          <w:instrText xml:space="preserve"> PAGEREF _Toc181684377 \h </w:instrText>
        </w:r>
        <w:r>
          <w:rPr>
            <w:noProof/>
            <w:webHidden/>
          </w:rPr>
        </w:r>
        <w:r>
          <w:rPr>
            <w:noProof/>
            <w:webHidden/>
          </w:rPr>
          <w:fldChar w:fldCharType="separate"/>
        </w:r>
        <w:r>
          <w:rPr>
            <w:noProof/>
            <w:webHidden/>
          </w:rPr>
          <w:t>529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8" w:history="1">
        <w:r w:rsidRPr="001B13A4">
          <w:rPr>
            <w:rStyle w:val="Hyperlink"/>
            <w:noProof/>
          </w:rPr>
          <w:t>2.1.1342</w:t>
        </w:r>
        <w:r>
          <w:rPr>
            <w:rFonts w:asciiTheme="minorHAnsi" w:eastAsiaTheme="minorEastAsia" w:hAnsiTheme="minorHAnsi" w:cstheme="minorBidi"/>
            <w:noProof/>
            <w:sz w:val="22"/>
            <w:szCs w:val="22"/>
          </w:rPr>
          <w:tab/>
        </w:r>
        <w:r w:rsidRPr="001B13A4">
          <w:rPr>
            <w:rStyle w:val="Hyperlink"/>
            <w:noProof/>
          </w:rPr>
          <w:t>Part 1 Section 20.1.10.74, ST_TextPoint (Text Point)</w:t>
        </w:r>
        <w:r>
          <w:rPr>
            <w:noProof/>
            <w:webHidden/>
          </w:rPr>
          <w:tab/>
        </w:r>
        <w:r>
          <w:rPr>
            <w:noProof/>
            <w:webHidden/>
          </w:rPr>
          <w:fldChar w:fldCharType="begin"/>
        </w:r>
        <w:r>
          <w:rPr>
            <w:noProof/>
            <w:webHidden/>
          </w:rPr>
          <w:instrText xml:space="preserve"> PAGEREF _Toc181684378 \h </w:instrText>
        </w:r>
        <w:r>
          <w:rPr>
            <w:noProof/>
            <w:webHidden/>
          </w:rPr>
        </w:r>
        <w:r>
          <w:rPr>
            <w:noProof/>
            <w:webHidden/>
          </w:rPr>
          <w:fldChar w:fldCharType="separate"/>
        </w:r>
        <w:r>
          <w:rPr>
            <w:noProof/>
            <w:webHidden/>
          </w:rPr>
          <w:t>529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79" w:history="1">
        <w:r w:rsidRPr="001B13A4">
          <w:rPr>
            <w:rStyle w:val="Hyperlink"/>
            <w:noProof/>
          </w:rPr>
          <w:t>2.1.1343</w:t>
        </w:r>
        <w:r>
          <w:rPr>
            <w:rFonts w:asciiTheme="minorHAnsi" w:eastAsiaTheme="minorEastAsia" w:hAnsiTheme="minorHAnsi" w:cstheme="minorBidi"/>
            <w:noProof/>
            <w:sz w:val="22"/>
            <w:szCs w:val="22"/>
          </w:rPr>
          <w:tab/>
        </w:r>
        <w:r w:rsidRPr="001B13A4">
          <w:rPr>
            <w:rStyle w:val="Hyperlink"/>
            <w:noProof/>
          </w:rPr>
          <w:t>Part 1 Section 20.1.10.76, ST_TextShapeType (Preset Text Shape Types)</w:t>
        </w:r>
        <w:r>
          <w:rPr>
            <w:noProof/>
            <w:webHidden/>
          </w:rPr>
          <w:tab/>
        </w:r>
        <w:r>
          <w:rPr>
            <w:noProof/>
            <w:webHidden/>
          </w:rPr>
          <w:fldChar w:fldCharType="begin"/>
        </w:r>
        <w:r>
          <w:rPr>
            <w:noProof/>
            <w:webHidden/>
          </w:rPr>
          <w:instrText xml:space="preserve"> PAGEREF _Toc181684379 \h </w:instrText>
        </w:r>
        <w:r>
          <w:rPr>
            <w:noProof/>
            <w:webHidden/>
          </w:rPr>
        </w:r>
        <w:r>
          <w:rPr>
            <w:noProof/>
            <w:webHidden/>
          </w:rPr>
          <w:fldChar w:fldCharType="separate"/>
        </w:r>
        <w:r>
          <w:rPr>
            <w:noProof/>
            <w:webHidden/>
          </w:rPr>
          <w:t>530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0" w:history="1">
        <w:r w:rsidRPr="001B13A4">
          <w:rPr>
            <w:rStyle w:val="Hyperlink"/>
            <w:noProof/>
          </w:rPr>
          <w:t>2.1.1344</w:t>
        </w:r>
        <w:r>
          <w:rPr>
            <w:rFonts w:asciiTheme="minorHAnsi" w:eastAsiaTheme="minorEastAsia" w:hAnsiTheme="minorHAnsi" w:cstheme="minorBidi"/>
            <w:noProof/>
            <w:sz w:val="22"/>
            <w:szCs w:val="22"/>
          </w:rPr>
          <w:tab/>
        </w:r>
        <w:r w:rsidRPr="001B13A4">
          <w:rPr>
            <w:rStyle w:val="Hyperlink"/>
            <w:noProof/>
          </w:rPr>
          <w:t>Part 1 Section 20.1.10.77, ST_TextSpacingPercentOrPercentString (Text Spacing Percent)</w:t>
        </w:r>
        <w:r>
          <w:rPr>
            <w:noProof/>
            <w:webHidden/>
          </w:rPr>
          <w:tab/>
        </w:r>
        <w:r>
          <w:rPr>
            <w:noProof/>
            <w:webHidden/>
          </w:rPr>
          <w:fldChar w:fldCharType="begin"/>
        </w:r>
        <w:r>
          <w:rPr>
            <w:noProof/>
            <w:webHidden/>
          </w:rPr>
          <w:instrText xml:space="preserve"> PAGEREF _Toc181684380 \h </w:instrText>
        </w:r>
        <w:r>
          <w:rPr>
            <w:noProof/>
            <w:webHidden/>
          </w:rPr>
        </w:r>
        <w:r>
          <w:rPr>
            <w:noProof/>
            <w:webHidden/>
          </w:rPr>
          <w:fldChar w:fldCharType="separate"/>
        </w:r>
        <w:r>
          <w:rPr>
            <w:noProof/>
            <w:webHidden/>
          </w:rPr>
          <w:t>530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1" w:history="1">
        <w:r w:rsidRPr="001B13A4">
          <w:rPr>
            <w:rStyle w:val="Hyperlink"/>
            <w:noProof/>
          </w:rPr>
          <w:t>2.1.1345</w:t>
        </w:r>
        <w:r>
          <w:rPr>
            <w:rFonts w:asciiTheme="minorHAnsi" w:eastAsiaTheme="minorEastAsia" w:hAnsiTheme="minorHAnsi" w:cstheme="minorBidi"/>
            <w:noProof/>
            <w:sz w:val="22"/>
            <w:szCs w:val="22"/>
          </w:rPr>
          <w:tab/>
        </w:r>
        <w:r w:rsidRPr="001B13A4">
          <w:rPr>
            <w:rStyle w:val="Hyperlink"/>
            <w:noProof/>
          </w:rPr>
          <w:t>Part 1 Section 20.1.10.78, ST_TextSpacingPoint (Text Spacing Point)</w:t>
        </w:r>
        <w:r>
          <w:rPr>
            <w:noProof/>
            <w:webHidden/>
          </w:rPr>
          <w:tab/>
        </w:r>
        <w:r>
          <w:rPr>
            <w:noProof/>
            <w:webHidden/>
          </w:rPr>
          <w:fldChar w:fldCharType="begin"/>
        </w:r>
        <w:r>
          <w:rPr>
            <w:noProof/>
            <w:webHidden/>
          </w:rPr>
          <w:instrText xml:space="preserve"> PAGEREF _Toc181684381 \h </w:instrText>
        </w:r>
        <w:r>
          <w:rPr>
            <w:noProof/>
            <w:webHidden/>
          </w:rPr>
        </w:r>
        <w:r>
          <w:rPr>
            <w:noProof/>
            <w:webHidden/>
          </w:rPr>
          <w:fldChar w:fldCharType="separate"/>
        </w:r>
        <w:r>
          <w:rPr>
            <w:noProof/>
            <w:webHidden/>
          </w:rPr>
          <w:t>530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2" w:history="1">
        <w:r w:rsidRPr="001B13A4">
          <w:rPr>
            <w:rStyle w:val="Hyperlink"/>
            <w:noProof/>
          </w:rPr>
          <w:t>2.1.1346</w:t>
        </w:r>
        <w:r>
          <w:rPr>
            <w:rFonts w:asciiTheme="minorHAnsi" w:eastAsiaTheme="minorEastAsia" w:hAnsiTheme="minorHAnsi" w:cstheme="minorBidi"/>
            <w:noProof/>
            <w:sz w:val="22"/>
            <w:szCs w:val="22"/>
          </w:rPr>
          <w:tab/>
        </w:r>
        <w:r w:rsidRPr="001B13A4">
          <w:rPr>
            <w:rStyle w:val="Hyperlink"/>
            <w:noProof/>
          </w:rPr>
          <w:t>Part 1 Section 20.1.10.82, ST_TextUnderlineType (Text Underline Types)</w:t>
        </w:r>
        <w:r>
          <w:rPr>
            <w:noProof/>
            <w:webHidden/>
          </w:rPr>
          <w:tab/>
        </w:r>
        <w:r>
          <w:rPr>
            <w:noProof/>
            <w:webHidden/>
          </w:rPr>
          <w:fldChar w:fldCharType="begin"/>
        </w:r>
        <w:r>
          <w:rPr>
            <w:noProof/>
            <w:webHidden/>
          </w:rPr>
          <w:instrText xml:space="preserve"> PAGEREF _Toc181684382 \h </w:instrText>
        </w:r>
        <w:r>
          <w:rPr>
            <w:noProof/>
            <w:webHidden/>
          </w:rPr>
        </w:r>
        <w:r>
          <w:rPr>
            <w:noProof/>
            <w:webHidden/>
          </w:rPr>
          <w:fldChar w:fldCharType="separate"/>
        </w:r>
        <w:r>
          <w:rPr>
            <w:noProof/>
            <w:webHidden/>
          </w:rPr>
          <w:t>531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3" w:history="1">
        <w:r w:rsidRPr="001B13A4">
          <w:rPr>
            <w:rStyle w:val="Hyperlink"/>
            <w:noProof/>
          </w:rPr>
          <w:t>2.1.1347</w:t>
        </w:r>
        <w:r>
          <w:rPr>
            <w:rFonts w:asciiTheme="minorHAnsi" w:eastAsiaTheme="minorEastAsia" w:hAnsiTheme="minorHAnsi" w:cstheme="minorBidi"/>
            <w:noProof/>
            <w:sz w:val="22"/>
            <w:szCs w:val="22"/>
          </w:rPr>
          <w:tab/>
        </w:r>
        <w:r w:rsidRPr="001B13A4">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_Toc181684383 \h </w:instrText>
        </w:r>
        <w:r>
          <w:rPr>
            <w:noProof/>
            <w:webHidden/>
          </w:rPr>
        </w:r>
        <w:r>
          <w:rPr>
            <w:noProof/>
            <w:webHidden/>
          </w:rPr>
          <w:fldChar w:fldCharType="separate"/>
        </w:r>
        <w:r>
          <w:rPr>
            <w:noProof/>
            <w:webHidden/>
          </w:rPr>
          <w:t>531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4" w:history="1">
        <w:r w:rsidRPr="001B13A4">
          <w:rPr>
            <w:rStyle w:val="Hyperlink"/>
            <w:noProof/>
          </w:rPr>
          <w:t>2.1.1348</w:t>
        </w:r>
        <w:r>
          <w:rPr>
            <w:rFonts w:asciiTheme="minorHAnsi" w:eastAsiaTheme="minorEastAsia" w:hAnsiTheme="minorHAnsi" w:cstheme="minorBidi"/>
            <w:noProof/>
            <w:sz w:val="22"/>
            <w:szCs w:val="22"/>
          </w:rPr>
          <w:tab/>
        </w:r>
        <w:r w:rsidRPr="001B13A4">
          <w:rPr>
            <w:rStyle w:val="Hyperlink"/>
            <w:noProof/>
          </w:rPr>
          <w:t>Part 1 Section 20.2.2.1, blipFill (Picture Fill)</w:t>
        </w:r>
        <w:r>
          <w:rPr>
            <w:noProof/>
            <w:webHidden/>
          </w:rPr>
          <w:tab/>
        </w:r>
        <w:r>
          <w:rPr>
            <w:noProof/>
            <w:webHidden/>
          </w:rPr>
          <w:fldChar w:fldCharType="begin"/>
        </w:r>
        <w:r>
          <w:rPr>
            <w:noProof/>
            <w:webHidden/>
          </w:rPr>
          <w:instrText xml:space="preserve"> PAGEREF _Toc181684384 \h </w:instrText>
        </w:r>
        <w:r>
          <w:rPr>
            <w:noProof/>
            <w:webHidden/>
          </w:rPr>
        </w:r>
        <w:r>
          <w:rPr>
            <w:noProof/>
            <w:webHidden/>
          </w:rPr>
          <w:fldChar w:fldCharType="separate"/>
        </w:r>
        <w:r>
          <w:rPr>
            <w:noProof/>
            <w:webHidden/>
          </w:rPr>
          <w:t>531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5" w:history="1">
        <w:r w:rsidRPr="001B13A4">
          <w:rPr>
            <w:rStyle w:val="Hyperlink"/>
            <w:noProof/>
          </w:rPr>
          <w:t>2.1.1349</w:t>
        </w:r>
        <w:r>
          <w:rPr>
            <w:rFonts w:asciiTheme="minorHAnsi" w:eastAsiaTheme="minorEastAsia" w:hAnsiTheme="minorHAnsi" w:cstheme="minorBidi"/>
            <w:noProof/>
            <w:sz w:val="22"/>
            <w:szCs w:val="22"/>
          </w:rPr>
          <w:tab/>
        </w:r>
        <w:r w:rsidRPr="001B13A4">
          <w:rPr>
            <w:rStyle w:val="Hyperlink"/>
            <w:noProof/>
          </w:rPr>
          <w:t>Part 1 Section 20.2.2.6, spPr (Shape Properties)</w:t>
        </w:r>
        <w:r>
          <w:rPr>
            <w:noProof/>
            <w:webHidden/>
          </w:rPr>
          <w:tab/>
        </w:r>
        <w:r>
          <w:rPr>
            <w:noProof/>
            <w:webHidden/>
          </w:rPr>
          <w:fldChar w:fldCharType="begin"/>
        </w:r>
        <w:r>
          <w:rPr>
            <w:noProof/>
            <w:webHidden/>
          </w:rPr>
          <w:instrText xml:space="preserve"> PAGEREF _Toc181684385 \h </w:instrText>
        </w:r>
        <w:r>
          <w:rPr>
            <w:noProof/>
            <w:webHidden/>
          </w:rPr>
        </w:r>
        <w:r>
          <w:rPr>
            <w:noProof/>
            <w:webHidden/>
          </w:rPr>
          <w:fldChar w:fldCharType="separate"/>
        </w:r>
        <w:r>
          <w:rPr>
            <w:noProof/>
            <w:webHidden/>
          </w:rPr>
          <w:t>531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6" w:history="1">
        <w:r w:rsidRPr="001B13A4">
          <w:rPr>
            <w:rStyle w:val="Hyperlink"/>
            <w:noProof/>
          </w:rPr>
          <w:t>2.1.1350</w:t>
        </w:r>
        <w:r>
          <w:rPr>
            <w:rFonts w:asciiTheme="minorHAnsi" w:eastAsiaTheme="minorEastAsia" w:hAnsiTheme="minorHAnsi" w:cstheme="minorBidi"/>
            <w:noProof/>
            <w:sz w:val="22"/>
            <w:szCs w:val="22"/>
          </w:rPr>
          <w:tab/>
        </w:r>
        <w:r w:rsidRPr="001B13A4">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_Toc181684386 \h </w:instrText>
        </w:r>
        <w:r>
          <w:rPr>
            <w:noProof/>
            <w:webHidden/>
          </w:rPr>
        </w:r>
        <w:r>
          <w:rPr>
            <w:noProof/>
            <w:webHidden/>
          </w:rPr>
          <w:fldChar w:fldCharType="separate"/>
        </w:r>
        <w:r>
          <w:rPr>
            <w:noProof/>
            <w:webHidden/>
          </w:rPr>
          <w:t>531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7" w:history="1">
        <w:r w:rsidRPr="001B13A4">
          <w:rPr>
            <w:rStyle w:val="Hyperlink"/>
            <w:noProof/>
          </w:rPr>
          <w:t>2.1.1351</w:t>
        </w:r>
        <w:r>
          <w:rPr>
            <w:rFonts w:asciiTheme="minorHAnsi" w:eastAsiaTheme="minorEastAsia" w:hAnsiTheme="minorHAnsi" w:cstheme="minorBidi"/>
            <w:noProof/>
            <w:sz w:val="22"/>
            <w:szCs w:val="22"/>
          </w:rPr>
          <w:tab/>
        </w:r>
        <w:r w:rsidRPr="001B13A4">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_Toc181684387 \h </w:instrText>
        </w:r>
        <w:r>
          <w:rPr>
            <w:noProof/>
            <w:webHidden/>
          </w:rPr>
        </w:r>
        <w:r>
          <w:rPr>
            <w:noProof/>
            <w:webHidden/>
          </w:rPr>
          <w:fldChar w:fldCharType="separate"/>
        </w:r>
        <w:r>
          <w:rPr>
            <w:noProof/>
            <w:webHidden/>
          </w:rPr>
          <w:t>531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8" w:history="1">
        <w:r w:rsidRPr="001B13A4">
          <w:rPr>
            <w:rStyle w:val="Hyperlink"/>
            <w:noProof/>
          </w:rPr>
          <w:t>2.1.1352</w:t>
        </w:r>
        <w:r>
          <w:rPr>
            <w:rFonts w:asciiTheme="minorHAnsi" w:eastAsiaTheme="minorEastAsia" w:hAnsiTheme="minorHAnsi" w:cstheme="minorBidi"/>
            <w:noProof/>
            <w:sz w:val="22"/>
            <w:szCs w:val="22"/>
          </w:rPr>
          <w:tab/>
        </w:r>
        <w:r w:rsidRPr="001B13A4">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_Toc181684388 \h </w:instrText>
        </w:r>
        <w:r>
          <w:rPr>
            <w:noProof/>
            <w:webHidden/>
          </w:rPr>
        </w:r>
        <w:r>
          <w:rPr>
            <w:noProof/>
            <w:webHidden/>
          </w:rPr>
          <w:fldChar w:fldCharType="separate"/>
        </w:r>
        <w:r>
          <w:rPr>
            <w:noProof/>
            <w:webHidden/>
          </w:rPr>
          <w:t>531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89" w:history="1">
        <w:r w:rsidRPr="001B13A4">
          <w:rPr>
            <w:rStyle w:val="Hyperlink"/>
            <w:noProof/>
          </w:rPr>
          <w:t>2.1.1353</w:t>
        </w:r>
        <w:r>
          <w:rPr>
            <w:rFonts w:asciiTheme="minorHAnsi" w:eastAsiaTheme="minorEastAsia" w:hAnsiTheme="minorHAnsi" w:cstheme="minorBidi"/>
            <w:noProof/>
            <w:sz w:val="22"/>
            <w:szCs w:val="22"/>
          </w:rPr>
          <w:tab/>
        </w:r>
        <w:r w:rsidRPr="001B13A4">
          <w:rPr>
            <w:rStyle w:val="Hyperlink"/>
            <w:noProof/>
          </w:rPr>
          <w:t>Part 1 Section 20.4.2.7, extent (Drawing Object Size)</w:t>
        </w:r>
        <w:r>
          <w:rPr>
            <w:noProof/>
            <w:webHidden/>
          </w:rPr>
          <w:tab/>
        </w:r>
        <w:r>
          <w:rPr>
            <w:noProof/>
            <w:webHidden/>
          </w:rPr>
          <w:fldChar w:fldCharType="begin"/>
        </w:r>
        <w:r>
          <w:rPr>
            <w:noProof/>
            <w:webHidden/>
          </w:rPr>
          <w:instrText xml:space="preserve"> PAGEREF _Toc181684389 \h </w:instrText>
        </w:r>
        <w:r>
          <w:rPr>
            <w:noProof/>
            <w:webHidden/>
          </w:rPr>
        </w:r>
        <w:r>
          <w:rPr>
            <w:noProof/>
            <w:webHidden/>
          </w:rPr>
          <w:fldChar w:fldCharType="separate"/>
        </w:r>
        <w:r>
          <w:rPr>
            <w:noProof/>
            <w:webHidden/>
          </w:rPr>
          <w:t>532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0" w:history="1">
        <w:r w:rsidRPr="001B13A4">
          <w:rPr>
            <w:rStyle w:val="Hyperlink"/>
            <w:noProof/>
          </w:rPr>
          <w:t>2.1.1354</w:t>
        </w:r>
        <w:r>
          <w:rPr>
            <w:rFonts w:asciiTheme="minorHAnsi" w:eastAsiaTheme="minorEastAsia" w:hAnsiTheme="minorHAnsi" w:cstheme="minorBidi"/>
            <w:noProof/>
            <w:sz w:val="22"/>
            <w:szCs w:val="22"/>
          </w:rPr>
          <w:tab/>
        </w:r>
        <w:r w:rsidRPr="001B13A4">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_Toc181684390 \h </w:instrText>
        </w:r>
        <w:r>
          <w:rPr>
            <w:noProof/>
            <w:webHidden/>
          </w:rPr>
        </w:r>
        <w:r>
          <w:rPr>
            <w:noProof/>
            <w:webHidden/>
          </w:rPr>
          <w:fldChar w:fldCharType="separate"/>
        </w:r>
        <w:r>
          <w:rPr>
            <w:noProof/>
            <w:webHidden/>
          </w:rPr>
          <w:t>532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1" w:history="1">
        <w:r w:rsidRPr="001B13A4">
          <w:rPr>
            <w:rStyle w:val="Hyperlink"/>
            <w:noProof/>
          </w:rPr>
          <w:t>2.1.1355</w:t>
        </w:r>
        <w:r>
          <w:rPr>
            <w:rFonts w:asciiTheme="minorHAnsi" w:eastAsiaTheme="minorEastAsia" w:hAnsiTheme="minorHAnsi" w:cstheme="minorBidi"/>
            <w:noProof/>
            <w:sz w:val="22"/>
            <w:szCs w:val="22"/>
          </w:rPr>
          <w:tab/>
        </w:r>
        <w:r w:rsidRPr="001B13A4">
          <w:rPr>
            <w:rStyle w:val="Hyperlink"/>
            <w:noProof/>
          </w:rPr>
          <w:t>Part 1 Section 20.4.2.11, positionV (Vertical Positioning)</w:t>
        </w:r>
        <w:r>
          <w:rPr>
            <w:noProof/>
            <w:webHidden/>
          </w:rPr>
          <w:tab/>
        </w:r>
        <w:r>
          <w:rPr>
            <w:noProof/>
            <w:webHidden/>
          </w:rPr>
          <w:fldChar w:fldCharType="begin"/>
        </w:r>
        <w:r>
          <w:rPr>
            <w:noProof/>
            <w:webHidden/>
          </w:rPr>
          <w:instrText xml:space="preserve"> PAGEREF _Toc181684391 \h </w:instrText>
        </w:r>
        <w:r>
          <w:rPr>
            <w:noProof/>
            <w:webHidden/>
          </w:rPr>
        </w:r>
        <w:r>
          <w:rPr>
            <w:noProof/>
            <w:webHidden/>
          </w:rPr>
          <w:fldChar w:fldCharType="separate"/>
        </w:r>
        <w:r>
          <w:rPr>
            <w:noProof/>
            <w:webHidden/>
          </w:rPr>
          <w:t>532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2" w:history="1">
        <w:r w:rsidRPr="001B13A4">
          <w:rPr>
            <w:rStyle w:val="Hyperlink"/>
            <w:noProof/>
          </w:rPr>
          <w:t>2.1.1356</w:t>
        </w:r>
        <w:r>
          <w:rPr>
            <w:rFonts w:asciiTheme="minorHAnsi" w:eastAsiaTheme="minorEastAsia" w:hAnsiTheme="minorHAnsi" w:cstheme="minorBidi"/>
            <w:noProof/>
            <w:sz w:val="22"/>
            <w:szCs w:val="22"/>
          </w:rPr>
          <w:tab/>
        </w:r>
        <w:r w:rsidRPr="001B13A4">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_Toc181684392 \h </w:instrText>
        </w:r>
        <w:r>
          <w:rPr>
            <w:noProof/>
            <w:webHidden/>
          </w:rPr>
        </w:r>
        <w:r>
          <w:rPr>
            <w:noProof/>
            <w:webHidden/>
          </w:rPr>
          <w:fldChar w:fldCharType="separate"/>
        </w:r>
        <w:r>
          <w:rPr>
            <w:noProof/>
            <w:webHidden/>
          </w:rPr>
          <w:t>532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3" w:history="1">
        <w:r w:rsidRPr="001B13A4">
          <w:rPr>
            <w:rStyle w:val="Hyperlink"/>
            <w:noProof/>
          </w:rPr>
          <w:t>2.1.1357</w:t>
        </w:r>
        <w:r>
          <w:rPr>
            <w:rFonts w:asciiTheme="minorHAnsi" w:eastAsiaTheme="minorEastAsia" w:hAnsiTheme="minorHAnsi" w:cstheme="minorBidi"/>
            <w:noProof/>
            <w:sz w:val="22"/>
            <w:szCs w:val="22"/>
          </w:rPr>
          <w:tab/>
        </w:r>
        <w:r w:rsidRPr="001B13A4">
          <w:rPr>
            <w:rStyle w:val="Hyperlink"/>
            <w:noProof/>
          </w:rPr>
          <w:t>Part 1 Section 20.4.2.14, start (Wrapping Polygon Start)</w:t>
        </w:r>
        <w:r>
          <w:rPr>
            <w:noProof/>
            <w:webHidden/>
          </w:rPr>
          <w:tab/>
        </w:r>
        <w:r>
          <w:rPr>
            <w:noProof/>
            <w:webHidden/>
          </w:rPr>
          <w:fldChar w:fldCharType="begin"/>
        </w:r>
        <w:r>
          <w:rPr>
            <w:noProof/>
            <w:webHidden/>
          </w:rPr>
          <w:instrText xml:space="preserve"> PAGEREF _Toc181684393 \h </w:instrText>
        </w:r>
        <w:r>
          <w:rPr>
            <w:noProof/>
            <w:webHidden/>
          </w:rPr>
        </w:r>
        <w:r>
          <w:rPr>
            <w:noProof/>
            <w:webHidden/>
          </w:rPr>
          <w:fldChar w:fldCharType="separate"/>
        </w:r>
        <w:r>
          <w:rPr>
            <w:noProof/>
            <w:webHidden/>
          </w:rPr>
          <w:t>532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4" w:history="1">
        <w:r w:rsidRPr="001B13A4">
          <w:rPr>
            <w:rStyle w:val="Hyperlink"/>
            <w:noProof/>
          </w:rPr>
          <w:t>2.1.1358</w:t>
        </w:r>
        <w:r>
          <w:rPr>
            <w:rFonts w:asciiTheme="minorHAnsi" w:eastAsiaTheme="minorEastAsia" w:hAnsiTheme="minorHAnsi" w:cstheme="minorBidi"/>
            <w:noProof/>
            <w:sz w:val="22"/>
            <w:szCs w:val="22"/>
          </w:rPr>
          <w:tab/>
        </w:r>
        <w:r w:rsidRPr="001B13A4">
          <w:rPr>
            <w:rStyle w:val="Hyperlink"/>
            <w:noProof/>
          </w:rPr>
          <w:t>Part 1 Section 20.5.2.2, blipFill (Picture Fill)</w:t>
        </w:r>
        <w:r>
          <w:rPr>
            <w:noProof/>
            <w:webHidden/>
          </w:rPr>
          <w:tab/>
        </w:r>
        <w:r>
          <w:rPr>
            <w:noProof/>
            <w:webHidden/>
          </w:rPr>
          <w:fldChar w:fldCharType="begin"/>
        </w:r>
        <w:r>
          <w:rPr>
            <w:noProof/>
            <w:webHidden/>
          </w:rPr>
          <w:instrText xml:space="preserve"> PAGEREF _Toc181684394 \h </w:instrText>
        </w:r>
        <w:r>
          <w:rPr>
            <w:noProof/>
            <w:webHidden/>
          </w:rPr>
        </w:r>
        <w:r>
          <w:rPr>
            <w:noProof/>
            <w:webHidden/>
          </w:rPr>
          <w:fldChar w:fldCharType="separate"/>
        </w:r>
        <w:r>
          <w:rPr>
            <w:noProof/>
            <w:webHidden/>
          </w:rPr>
          <w:t>532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5" w:history="1">
        <w:r w:rsidRPr="001B13A4">
          <w:rPr>
            <w:rStyle w:val="Hyperlink"/>
            <w:noProof/>
          </w:rPr>
          <w:t>2.1.1359</w:t>
        </w:r>
        <w:r>
          <w:rPr>
            <w:rFonts w:asciiTheme="minorHAnsi" w:eastAsiaTheme="minorEastAsia" w:hAnsiTheme="minorHAnsi" w:cstheme="minorBidi"/>
            <w:noProof/>
            <w:sz w:val="22"/>
            <w:szCs w:val="22"/>
          </w:rPr>
          <w:tab/>
        </w:r>
        <w:r w:rsidRPr="001B13A4">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_Toc181684395 \h </w:instrText>
        </w:r>
        <w:r>
          <w:rPr>
            <w:noProof/>
            <w:webHidden/>
          </w:rPr>
        </w:r>
        <w:r>
          <w:rPr>
            <w:noProof/>
            <w:webHidden/>
          </w:rPr>
          <w:fldChar w:fldCharType="separate"/>
        </w:r>
        <w:r>
          <w:rPr>
            <w:noProof/>
            <w:webHidden/>
          </w:rPr>
          <w:t>532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6" w:history="1">
        <w:r w:rsidRPr="001B13A4">
          <w:rPr>
            <w:rStyle w:val="Hyperlink"/>
            <w:noProof/>
          </w:rPr>
          <w:t>2.1.1360</w:t>
        </w:r>
        <w:r>
          <w:rPr>
            <w:rFonts w:asciiTheme="minorHAnsi" w:eastAsiaTheme="minorEastAsia" w:hAnsiTheme="minorHAnsi" w:cstheme="minorBidi"/>
            <w:noProof/>
            <w:sz w:val="22"/>
            <w:szCs w:val="22"/>
          </w:rPr>
          <w:tab/>
        </w:r>
        <w:r w:rsidRPr="001B13A4">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_Toc181684396 \h </w:instrText>
        </w:r>
        <w:r>
          <w:rPr>
            <w:noProof/>
            <w:webHidden/>
          </w:rPr>
        </w:r>
        <w:r>
          <w:rPr>
            <w:noProof/>
            <w:webHidden/>
          </w:rPr>
          <w:fldChar w:fldCharType="separate"/>
        </w:r>
        <w:r>
          <w:rPr>
            <w:noProof/>
            <w:webHidden/>
          </w:rPr>
          <w:t>532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7" w:history="1">
        <w:r w:rsidRPr="001B13A4">
          <w:rPr>
            <w:rStyle w:val="Hyperlink"/>
            <w:noProof/>
          </w:rPr>
          <w:t>2.1.1361</w:t>
        </w:r>
        <w:r>
          <w:rPr>
            <w:rFonts w:asciiTheme="minorHAnsi" w:eastAsiaTheme="minorEastAsia" w:hAnsiTheme="minorHAnsi" w:cstheme="minorBidi"/>
            <w:noProof/>
            <w:sz w:val="22"/>
            <w:szCs w:val="22"/>
          </w:rPr>
          <w:tab/>
        </w:r>
        <w:r w:rsidRPr="001B13A4">
          <w:rPr>
            <w:rStyle w:val="Hyperlink"/>
            <w:noProof/>
          </w:rPr>
          <w:t>Part 1 Section 20.5.2.10, col (Column))</w:t>
        </w:r>
        <w:r>
          <w:rPr>
            <w:noProof/>
            <w:webHidden/>
          </w:rPr>
          <w:tab/>
        </w:r>
        <w:r>
          <w:rPr>
            <w:noProof/>
            <w:webHidden/>
          </w:rPr>
          <w:fldChar w:fldCharType="begin"/>
        </w:r>
        <w:r>
          <w:rPr>
            <w:noProof/>
            <w:webHidden/>
          </w:rPr>
          <w:instrText xml:space="preserve"> PAGEREF _Toc181684397 \h </w:instrText>
        </w:r>
        <w:r>
          <w:rPr>
            <w:noProof/>
            <w:webHidden/>
          </w:rPr>
        </w:r>
        <w:r>
          <w:rPr>
            <w:noProof/>
            <w:webHidden/>
          </w:rPr>
          <w:fldChar w:fldCharType="separate"/>
        </w:r>
        <w:r>
          <w:rPr>
            <w:noProof/>
            <w:webHidden/>
          </w:rPr>
          <w:t>532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8" w:history="1">
        <w:r w:rsidRPr="001B13A4">
          <w:rPr>
            <w:rStyle w:val="Hyperlink"/>
            <w:noProof/>
          </w:rPr>
          <w:t>2.1.1362</w:t>
        </w:r>
        <w:r>
          <w:rPr>
            <w:rFonts w:asciiTheme="minorHAnsi" w:eastAsiaTheme="minorEastAsia" w:hAnsiTheme="minorHAnsi" w:cstheme="minorBidi"/>
            <w:noProof/>
            <w:sz w:val="22"/>
            <w:szCs w:val="22"/>
          </w:rPr>
          <w:tab/>
        </w:r>
        <w:r w:rsidRPr="001B13A4">
          <w:rPr>
            <w:rStyle w:val="Hyperlink"/>
            <w:noProof/>
          </w:rPr>
          <w:t>Part 1 Section 20.5.2.11, colOff (Column Offset)</w:t>
        </w:r>
        <w:r>
          <w:rPr>
            <w:noProof/>
            <w:webHidden/>
          </w:rPr>
          <w:tab/>
        </w:r>
        <w:r>
          <w:rPr>
            <w:noProof/>
            <w:webHidden/>
          </w:rPr>
          <w:fldChar w:fldCharType="begin"/>
        </w:r>
        <w:r>
          <w:rPr>
            <w:noProof/>
            <w:webHidden/>
          </w:rPr>
          <w:instrText xml:space="preserve"> PAGEREF _Toc181684398 \h </w:instrText>
        </w:r>
        <w:r>
          <w:rPr>
            <w:noProof/>
            <w:webHidden/>
          </w:rPr>
        </w:r>
        <w:r>
          <w:rPr>
            <w:noProof/>
            <w:webHidden/>
          </w:rPr>
          <w:fldChar w:fldCharType="separate"/>
        </w:r>
        <w:r>
          <w:rPr>
            <w:noProof/>
            <w:webHidden/>
          </w:rPr>
          <w:t>533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399" w:history="1">
        <w:r w:rsidRPr="001B13A4">
          <w:rPr>
            <w:rStyle w:val="Hyperlink"/>
            <w:noProof/>
          </w:rPr>
          <w:t>2.1.1363</w:t>
        </w:r>
        <w:r>
          <w:rPr>
            <w:rFonts w:asciiTheme="minorHAnsi" w:eastAsiaTheme="minorEastAsia" w:hAnsiTheme="minorHAnsi" w:cstheme="minorBidi"/>
            <w:noProof/>
            <w:sz w:val="22"/>
            <w:szCs w:val="22"/>
          </w:rPr>
          <w:tab/>
        </w:r>
        <w:r w:rsidRPr="001B13A4">
          <w:rPr>
            <w:rStyle w:val="Hyperlink"/>
            <w:noProof/>
          </w:rPr>
          <w:t>Part 1 Section 20.5.2.13, cxnSp (Connection Shape)</w:t>
        </w:r>
        <w:r>
          <w:rPr>
            <w:noProof/>
            <w:webHidden/>
          </w:rPr>
          <w:tab/>
        </w:r>
        <w:r>
          <w:rPr>
            <w:noProof/>
            <w:webHidden/>
          </w:rPr>
          <w:fldChar w:fldCharType="begin"/>
        </w:r>
        <w:r>
          <w:rPr>
            <w:noProof/>
            <w:webHidden/>
          </w:rPr>
          <w:instrText xml:space="preserve"> PAGEREF _Toc181684399 \h </w:instrText>
        </w:r>
        <w:r>
          <w:rPr>
            <w:noProof/>
            <w:webHidden/>
          </w:rPr>
        </w:r>
        <w:r>
          <w:rPr>
            <w:noProof/>
            <w:webHidden/>
          </w:rPr>
          <w:fldChar w:fldCharType="separate"/>
        </w:r>
        <w:r>
          <w:rPr>
            <w:noProof/>
            <w:webHidden/>
          </w:rPr>
          <w:t>533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0" w:history="1">
        <w:r w:rsidRPr="001B13A4">
          <w:rPr>
            <w:rStyle w:val="Hyperlink"/>
            <w:noProof/>
          </w:rPr>
          <w:t>2.1.1364</w:t>
        </w:r>
        <w:r>
          <w:rPr>
            <w:rFonts w:asciiTheme="minorHAnsi" w:eastAsiaTheme="minorEastAsia" w:hAnsiTheme="minorHAnsi" w:cstheme="minorBidi"/>
            <w:noProof/>
            <w:sz w:val="22"/>
            <w:szCs w:val="22"/>
          </w:rPr>
          <w:tab/>
        </w:r>
        <w:r w:rsidRPr="001B13A4">
          <w:rPr>
            <w:rStyle w:val="Hyperlink"/>
            <w:noProof/>
          </w:rPr>
          <w:t>Part 1 Section 20.5.2.14, ext (Shape Extent)</w:t>
        </w:r>
        <w:r>
          <w:rPr>
            <w:noProof/>
            <w:webHidden/>
          </w:rPr>
          <w:tab/>
        </w:r>
        <w:r>
          <w:rPr>
            <w:noProof/>
            <w:webHidden/>
          </w:rPr>
          <w:fldChar w:fldCharType="begin"/>
        </w:r>
        <w:r>
          <w:rPr>
            <w:noProof/>
            <w:webHidden/>
          </w:rPr>
          <w:instrText xml:space="preserve"> PAGEREF _Toc181684400 \h </w:instrText>
        </w:r>
        <w:r>
          <w:rPr>
            <w:noProof/>
            <w:webHidden/>
          </w:rPr>
        </w:r>
        <w:r>
          <w:rPr>
            <w:noProof/>
            <w:webHidden/>
          </w:rPr>
          <w:fldChar w:fldCharType="separate"/>
        </w:r>
        <w:r>
          <w:rPr>
            <w:noProof/>
            <w:webHidden/>
          </w:rPr>
          <w:t>533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1" w:history="1">
        <w:r w:rsidRPr="001B13A4">
          <w:rPr>
            <w:rStyle w:val="Hyperlink"/>
            <w:noProof/>
          </w:rPr>
          <w:t>2.1.1365</w:t>
        </w:r>
        <w:r>
          <w:rPr>
            <w:rFonts w:asciiTheme="minorHAnsi" w:eastAsiaTheme="minorEastAsia" w:hAnsiTheme="minorHAnsi" w:cstheme="minorBidi"/>
            <w:noProof/>
            <w:sz w:val="22"/>
            <w:szCs w:val="22"/>
          </w:rPr>
          <w:tab/>
        </w:r>
        <w:r w:rsidRPr="001B13A4">
          <w:rPr>
            <w:rStyle w:val="Hyperlink"/>
            <w:noProof/>
          </w:rPr>
          <w:t>Part 1 Section 20.5.2.15, from (Starting Anchor Point)</w:t>
        </w:r>
        <w:r>
          <w:rPr>
            <w:noProof/>
            <w:webHidden/>
          </w:rPr>
          <w:tab/>
        </w:r>
        <w:r>
          <w:rPr>
            <w:noProof/>
            <w:webHidden/>
          </w:rPr>
          <w:fldChar w:fldCharType="begin"/>
        </w:r>
        <w:r>
          <w:rPr>
            <w:noProof/>
            <w:webHidden/>
          </w:rPr>
          <w:instrText xml:space="preserve"> PAGEREF _Toc181684401 \h </w:instrText>
        </w:r>
        <w:r>
          <w:rPr>
            <w:noProof/>
            <w:webHidden/>
          </w:rPr>
        </w:r>
        <w:r>
          <w:rPr>
            <w:noProof/>
            <w:webHidden/>
          </w:rPr>
          <w:fldChar w:fldCharType="separate"/>
        </w:r>
        <w:r>
          <w:rPr>
            <w:noProof/>
            <w:webHidden/>
          </w:rPr>
          <w:t>533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2" w:history="1">
        <w:r w:rsidRPr="001B13A4">
          <w:rPr>
            <w:rStyle w:val="Hyperlink"/>
            <w:noProof/>
          </w:rPr>
          <w:t>2.1.1366</w:t>
        </w:r>
        <w:r>
          <w:rPr>
            <w:rFonts w:asciiTheme="minorHAnsi" w:eastAsiaTheme="minorEastAsia" w:hAnsiTheme="minorHAnsi" w:cstheme="minorBidi"/>
            <w:noProof/>
            <w:sz w:val="22"/>
            <w:szCs w:val="22"/>
          </w:rPr>
          <w:tab/>
        </w:r>
        <w:r w:rsidRPr="001B13A4">
          <w:rPr>
            <w:rStyle w:val="Hyperlink"/>
            <w:noProof/>
          </w:rPr>
          <w:t>Part 1 Section 20.5.2.16, graphicFrame (Graphic Frame)</w:t>
        </w:r>
        <w:r>
          <w:rPr>
            <w:noProof/>
            <w:webHidden/>
          </w:rPr>
          <w:tab/>
        </w:r>
        <w:r>
          <w:rPr>
            <w:noProof/>
            <w:webHidden/>
          </w:rPr>
          <w:fldChar w:fldCharType="begin"/>
        </w:r>
        <w:r>
          <w:rPr>
            <w:noProof/>
            <w:webHidden/>
          </w:rPr>
          <w:instrText xml:space="preserve"> PAGEREF _Toc181684402 \h </w:instrText>
        </w:r>
        <w:r>
          <w:rPr>
            <w:noProof/>
            <w:webHidden/>
          </w:rPr>
        </w:r>
        <w:r>
          <w:rPr>
            <w:noProof/>
            <w:webHidden/>
          </w:rPr>
          <w:fldChar w:fldCharType="separate"/>
        </w:r>
        <w:r>
          <w:rPr>
            <w:noProof/>
            <w:webHidden/>
          </w:rPr>
          <w:t>533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3" w:history="1">
        <w:r w:rsidRPr="001B13A4">
          <w:rPr>
            <w:rStyle w:val="Hyperlink"/>
            <w:noProof/>
          </w:rPr>
          <w:t>2.1.1367</w:t>
        </w:r>
        <w:r>
          <w:rPr>
            <w:rFonts w:asciiTheme="minorHAnsi" w:eastAsiaTheme="minorEastAsia" w:hAnsiTheme="minorHAnsi" w:cstheme="minorBidi"/>
            <w:noProof/>
            <w:sz w:val="22"/>
            <w:szCs w:val="22"/>
          </w:rPr>
          <w:tab/>
        </w:r>
        <w:r w:rsidRPr="001B13A4">
          <w:rPr>
            <w:rStyle w:val="Hyperlink"/>
            <w:noProof/>
          </w:rPr>
          <w:t>Part 1 Section 20.5.2.18, grpSpPr (Group Shape Properties)</w:t>
        </w:r>
        <w:r>
          <w:rPr>
            <w:noProof/>
            <w:webHidden/>
          </w:rPr>
          <w:tab/>
        </w:r>
        <w:r>
          <w:rPr>
            <w:noProof/>
            <w:webHidden/>
          </w:rPr>
          <w:fldChar w:fldCharType="begin"/>
        </w:r>
        <w:r>
          <w:rPr>
            <w:noProof/>
            <w:webHidden/>
          </w:rPr>
          <w:instrText xml:space="preserve"> PAGEREF _Toc181684403 \h </w:instrText>
        </w:r>
        <w:r>
          <w:rPr>
            <w:noProof/>
            <w:webHidden/>
          </w:rPr>
        </w:r>
        <w:r>
          <w:rPr>
            <w:noProof/>
            <w:webHidden/>
          </w:rPr>
          <w:fldChar w:fldCharType="separate"/>
        </w:r>
        <w:r>
          <w:rPr>
            <w:noProof/>
            <w:webHidden/>
          </w:rPr>
          <w:t>533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4" w:history="1">
        <w:r w:rsidRPr="001B13A4">
          <w:rPr>
            <w:rStyle w:val="Hyperlink"/>
            <w:noProof/>
          </w:rPr>
          <w:t>2.1.1368</w:t>
        </w:r>
        <w:r>
          <w:rPr>
            <w:rFonts w:asciiTheme="minorHAnsi" w:eastAsiaTheme="minorEastAsia" w:hAnsiTheme="minorHAnsi" w:cstheme="minorBidi"/>
            <w:noProof/>
            <w:sz w:val="22"/>
            <w:szCs w:val="22"/>
          </w:rPr>
          <w:tab/>
        </w:r>
        <w:r w:rsidRPr="001B13A4">
          <w:rPr>
            <w:rStyle w:val="Hyperlink"/>
            <w:noProof/>
          </w:rPr>
          <w:t>Part 1 Section 20.5.2.25, pic (Picture)</w:t>
        </w:r>
        <w:r>
          <w:rPr>
            <w:noProof/>
            <w:webHidden/>
          </w:rPr>
          <w:tab/>
        </w:r>
        <w:r>
          <w:rPr>
            <w:noProof/>
            <w:webHidden/>
          </w:rPr>
          <w:fldChar w:fldCharType="begin"/>
        </w:r>
        <w:r>
          <w:rPr>
            <w:noProof/>
            <w:webHidden/>
          </w:rPr>
          <w:instrText xml:space="preserve"> PAGEREF _Toc181684404 \h </w:instrText>
        </w:r>
        <w:r>
          <w:rPr>
            <w:noProof/>
            <w:webHidden/>
          </w:rPr>
        </w:r>
        <w:r>
          <w:rPr>
            <w:noProof/>
            <w:webHidden/>
          </w:rPr>
          <w:fldChar w:fldCharType="separate"/>
        </w:r>
        <w:r>
          <w:rPr>
            <w:noProof/>
            <w:webHidden/>
          </w:rPr>
          <w:t>534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5" w:history="1">
        <w:r w:rsidRPr="001B13A4">
          <w:rPr>
            <w:rStyle w:val="Hyperlink"/>
            <w:noProof/>
          </w:rPr>
          <w:t>2.1.1369</w:t>
        </w:r>
        <w:r>
          <w:rPr>
            <w:rFonts w:asciiTheme="minorHAnsi" w:eastAsiaTheme="minorEastAsia" w:hAnsiTheme="minorHAnsi" w:cstheme="minorBidi"/>
            <w:noProof/>
            <w:sz w:val="22"/>
            <w:szCs w:val="22"/>
          </w:rPr>
          <w:tab/>
        </w:r>
        <w:r w:rsidRPr="001B13A4">
          <w:rPr>
            <w:rStyle w:val="Hyperlink"/>
            <w:noProof/>
          </w:rPr>
          <w:t>Part 1 Section 20.5.2.26, pos (Position)</w:t>
        </w:r>
        <w:r>
          <w:rPr>
            <w:noProof/>
            <w:webHidden/>
          </w:rPr>
          <w:tab/>
        </w:r>
        <w:r>
          <w:rPr>
            <w:noProof/>
            <w:webHidden/>
          </w:rPr>
          <w:fldChar w:fldCharType="begin"/>
        </w:r>
        <w:r>
          <w:rPr>
            <w:noProof/>
            <w:webHidden/>
          </w:rPr>
          <w:instrText xml:space="preserve"> PAGEREF _Toc181684405 \h </w:instrText>
        </w:r>
        <w:r>
          <w:rPr>
            <w:noProof/>
            <w:webHidden/>
          </w:rPr>
        </w:r>
        <w:r>
          <w:rPr>
            <w:noProof/>
            <w:webHidden/>
          </w:rPr>
          <w:fldChar w:fldCharType="separate"/>
        </w:r>
        <w:r>
          <w:rPr>
            <w:noProof/>
            <w:webHidden/>
          </w:rPr>
          <w:t>534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6" w:history="1">
        <w:r w:rsidRPr="001B13A4">
          <w:rPr>
            <w:rStyle w:val="Hyperlink"/>
            <w:noProof/>
          </w:rPr>
          <w:t>2.1.1370</w:t>
        </w:r>
        <w:r>
          <w:rPr>
            <w:rFonts w:asciiTheme="minorHAnsi" w:eastAsiaTheme="minorEastAsia" w:hAnsiTheme="minorHAnsi" w:cstheme="minorBidi"/>
            <w:noProof/>
            <w:sz w:val="22"/>
            <w:szCs w:val="22"/>
          </w:rPr>
          <w:tab/>
        </w:r>
        <w:r w:rsidRPr="001B13A4">
          <w:rPr>
            <w:rStyle w:val="Hyperlink"/>
            <w:noProof/>
          </w:rPr>
          <w:t>Part 1 Section 20.5.2.27, row (Row)</w:t>
        </w:r>
        <w:r>
          <w:rPr>
            <w:noProof/>
            <w:webHidden/>
          </w:rPr>
          <w:tab/>
        </w:r>
        <w:r>
          <w:rPr>
            <w:noProof/>
            <w:webHidden/>
          </w:rPr>
          <w:fldChar w:fldCharType="begin"/>
        </w:r>
        <w:r>
          <w:rPr>
            <w:noProof/>
            <w:webHidden/>
          </w:rPr>
          <w:instrText xml:space="preserve"> PAGEREF _Toc181684406 \h </w:instrText>
        </w:r>
        <w:r>
          <w:rPr>
            <w:noProof/>
            <w:webHidden/>
          </w:rPr>
        </w:r>
        <w:r>
          <w:rPr>
            <w:noProof/>
            <w:webHidden/>
          </w:rPr>
          <w:fldChar w:fldCharType="separate"/>
        </w:r>
        <w:r>
          <w:rPr>
            <w:noProof/>
            <w:webHidden/>
          </w:rPr>
          <w:t>534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7" w:history="1">
        <w:r w:rsidRPr="001B13A4">
          <w:rPr>
            <w:rStyle w:val="Hyperlink"/>
            <w:noProof/>
          </w:rPr>
          <w:t>2.1.1371</w:t>
        </w:r>
        <w:r>
          <w:rPr>
            <w:rFonts w:asciiTheme="minorHAnsi" w:eastAsiaTheme="minorEastAsia" w:hAnsiTheme="minorHAnsi" w:cstheme="minorBidi"/>
            <w:noProof/>
            <w:sz w:val="22"/>
            <w:szCs w:val="22"/>
          </w:rPr>
          <w:tab/>
        </w:r>
        <w:r w:rsidRPr="001B13A4">
          <w:rPr>
            <w:rStyle w:val="Hyperlink"/>
            <w:noProof/>
          </w:rPr>
          <w:t>Part 1 Section 20.5.2.28, rowOff (Row Offset)</w:t>
        </w:r>
        <w:r>
          <w:rPr>
            <w:noProof/>
            <w:webHidden/>
          </w:rPr>
          <w:tab/>
        </w:r>
        <w:r>
          <w:rPr>
            <w:noProof/>
            <w:webHidden/>
          </w:rPr>
          <w:fldChar w:fldCharType="begin"/>
        </w:r>
        <w:r>
          <w:rPr>
            <w:noProof/>
            <w:webHidden/>
          </w:rPr>
          <w:instrText xml:space="preserve"> PAGEREF _Toc181684407 \h </w:instrText>
        </w:r>
        <w:r>
          <w:rPr>
            <w:noProof/>
            <w:webHidden/>
          </w:rPr>
        </w:r>
        <w:r>
          <w:rPr>
            <w:noProof/>
            <w:webHidden/>
          </w:rPr>
          <w:fldChar w:fldCharType="separate"/>
        </w:r>
        <w:r>
          <w:rPr>
            <w:noProof/>
            <w:webHidden/>
          </w:rPr>
          <w:t>534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8" w:history="1">
        <w:r w:rsidRPr="001B13A4">
          <w:rPr>
            <w:rStyle w:val="Hyperlink"/>
            <w:noProof/>
          </w:rPr>
          <w:t>2.1.1372</w:t>
        </w:r>
        <w:r>
          <w:rPr>
            <w:rFonts w:asciiTheme="minorHAnsi" w:eastAsiaTheme="minorEastAsia" w:hAnsiTheme="minorHAnsi" w:cstheme="minorBidi"/>
            <w:noProof/>
            <w:sz w:val="22"/>
            <w:szCs w:val="22"/>
          </w:rPr>
          <w:tab/>
        </w:r>
        <w:r w:rsidRPr="001B13A4">
          <w:rPr>
            <w:rStyle w:val="Hyperlink"/>
            <w:noProof/>
          </w:rPr>
          <w:t>Part 1 Section 20.5.2.29, sp (Shape)</w:t>
        </w:r>
        <w:r>
          <w:rPr>
            <w:noProof/>
            <w:webHidden/>
          </w:rPr>
          <w:tab/>
        </w:r>
        <w:r>
          <w:rPr>
            <w:noProof/>
            <w:webHidden/>
          </w:rPr>
          <w:fldChar w:fldCharType="begin"/>
        </w:r>
        <w:r>
          <w:rPr>
            <w:noProof/>
            <w:webHidden/>
          </w:rPr>
          <w:instrText xml:space="preserve"> PAGEREF _Toc181684408 \h </w:instrText>
        </w:r>
        <w:r>
          <w:rPr>
            <w:noProof/>
            <w:webHidden/>
          </w:rPr>
        </w:r>
        <w:r>
          <w:rPr>
            <w:noProof/>
            <w:webHidden/>
          </w:rPr>
          <w:fldChar w:fldCharType="separate"/>
        </w:r>
        <w:r>
          <w:rPr>
            <w:noProof/>
            <w:webHidden/>
          </w:rPr>
          <w:t>534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09" w:history="1">
        <w:r w:rsidRPr="001B13A4">
          <w:rPr>
            <w:rStyle w:val="Hyperlink"/>
            <w:noProof/>
          </w:rPr>
          <w:t>2.1.1373</w:t>
        </w:r>
        <w:r>
          <w:rPr>
            <w:rFonts w:asciiTheme="minorHAnsi" w:eastAsiaTheme="minorEastAsia" w:hAnsiTheme="minorHAnsi" w:cstheme="minorBidi"/>
            <w:noProof/>
            <w:sz w:val="22"/>
            <w:szCs w:val="22"/>
          </w:rPr>
          <w:tab/>
        </w:r>
        <w:r w:rsidRPr="001B13A4">
          <w:rPr>
            <w:rStyle w:val="Hyperlink"/>
            <w:noProof/>
          </w:rPr>
          <w:t>Part 1 Section 20.5.2.30, spPr (Shape Properties)</w:t>
        </w:r>
        <w:r>
          <w:rPr>
            <w:noProof/>
            <w:webHidden/>
          </w:rPr>
          <w:tab/>
        </w:r>
        <w:r>
          <w:rPr>
            <w:noProof/>
            <w:webHidden/>
          </w:rPr>
          <w:fldChar w:fldCharType="begin"/>
        </w:r>
        <w:r>
          <w:rPr>
            <w:noProof/>
            <w:webHidden/>
          </w:rPr>
          <w:instrText xml:space="preserve"> PAGEREF _Toc181684409 \h </w:instrText>
        </w:r>
        <w:r>
          <w:rPr>
            <w:noProof/>
            <w:webHidden/>
          </w:rPr>
        </w:r>
        <w:r>
          <w:rPr>
            <w:noProof/>
            <w:webHidden/>
          </w:rPr>
          <w:fldChar w:fldCharType="separate"/>
        </w:r>
        <w:r>
          <w:rPr>
            <w:noProof/>
            <w:webHidden/>
          </w:rPr>
          <w:t>534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0" w:history="1">
        <w:r w:rsidRPr="001B13A4">
          <w:rPr>
            <w:rStyle w:val="Hyperlink"/>
            <w:noProof/>
          </w:rPr>
          <w:t>2.1.1374</w:t>
        </w:r>
        <w:r>
          <w:rPr>
            <w:rFonts w:asciiTheme="minorHAnsi" w:eastAsiaTheme="minorEastAsia" w:hAnsiTheme="minorHAnsi" w:cstheme="minorBidi"/>
            <w:noProof/>
            <w:sz w:val="22"/>
            <w:szCs w:val="22"/>
          </w:rPr>
          <w:tab/>
        </w:r>
        <w:r w:rsidRPr="001B13A4">
          <w:rPr>
            <w:rStyle w:val="Hyperlink"/>
            <w:noProof/>
          </w:rPr>
          <w:t>Part 1 Section 20.5.2.31, style (Shape Style)</w:t>
        </w:r>
        <w:r>
          <w:rPr>
            <w:noProof/>
            <w:webHidden/>
          </w:rPr>
          <w:tab/>
        </w:r>
        <w:r>
          <w:rPr>
            <w:noProof/>
            <w:webHidden/>
          </w:rPr>
          <w:fldChar w:fldCharType="begin"/>
        </w:r>
        <w:r>
          <w:rPr>
            <w:noProof/>
            <w:webHidden/>
          </w:rPr>
          <w:instrText xml:space="preserve"> PAGEREF _Toc181684410 \h </w:instrText>
        </w:r>
        <w:r>
          <w:rPr>
            <w:noProof/>
            <w:webHidden/>
          </w:rPr>
        </w:r>
        <w:r>
          <w:rPr>
            <w:noProof/>
            <w:webHidden/>
          </w:rPr>
          <w:fldChar w:fldCharType="separate"/>
        </w:r>
        <w:r>
          <w:rPr>
            <w:noProof/>
            <w:webHidden/>
          </w:rPr>
          <w:t>535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1" w:history="1">
        <w:r w:rsidRPr="001B13A4">
          <w:rPr>
            <w:rStyle w:val="Hyperlink"/>
            <w:noProof/>
          </w:rPr>
          <w:t>2.1.1375</w:t>
        </w:r>
        <w:r>
          <w:rPr>
            <w:rFonts w:asciiTheme="minorHAnsi" w:eastAsiaTheme="minorEastAsia" w:hAnsiTheme="minorHAnsi" w:cstheme="minorBidi"/>
            <w:noProof/>
            <w:sz w:val="22"/>
            <w:szCs w:val="22"/>
          </w:rPr>
          <w:tab/>
        </w:r>
        <w:r w:rsidRPr="001B13A4">
          <w:rPr>
            <w:rStyle w:val="Hyperlink"/>
            <w:noProof/>
          </w:rPr>
          <w:t>Part 1 Section 20.5.2.32, to (Ending Anchor Point)</w:t>
        </w:r>
        <w:r>
          <w:rPr>
            <w:noProof/>
            <w:webHidden/>
          </w:rPr>
          <w:tab/>
        </w:r>
        <w:r>
          <w:rPr>
            <w:noProof/>
            <w:webHidden/>
          </w:rPr>
          <w:fldChar w:fldCharType="begin"/>
        </w:r>
        <w:r>
          <w:rPr>
            <w:noProof/>
            <w:webHidden/>
          </w:rPr>
          <w:instrText xml:space="preserve"> PAGEREF _Toc181684411 \h </w:instrText>
        </w:r>
        <w:r>
          <w:rPr>
            <w:noProof/>
            <w:webHidden/>
          </w:rPr>
        </w:r>
        <w:r>
          <w:rPr>
            <w:noProof/>
            <w:webHidden/>
          </w:rPr>
          <w:fldChar w:fldCharType="separate"/>
        </w:r>
        <w:r>
          <w:rPr>
            <w:noProof/>
            <w:webHidden/>
          </w:rPr>
          <w:t>535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2" w:history="1">
        <w:r w:rsidRPr="001B13A4">
          <w:rPr>
            <w:rStyle w:val="Hyperlink"/>
            <w:noProof/>
          </w:rPr>
          <w:t>2.1.1376</w:t>
        </w:r>
        <w:r>
          <w:rPr>
            <w:rFonts w:asciiTheme="minorHAnsi" w:eastAsiaTheme="minorEastAsia" w:hAnsiTheme="minorHAnsi" w:cstheme="minorBidi"/>
            <w:noProof/>
            <w:sz w:val="22"/>
            <w:szCs w:val="22"/>
          </w:rPr>
          <w:tab/>
        </w:r>
        <w:r w:rsidRPr="001B13A4">
          <w:rPr>
            <w:rStyle w:val="Hyperlink"/>
            <w:noProof/>
          </w:rPr>
          <w:t>Part 1 Section 20.5.2.34, txBody (Shape Text Body)</w:t>
        </w:r>
        <w:r>
          <w:rPr>
            <w:noProof/>
            <w:webHidden/>
          </w:rPr>
          <w:tab/>
        </w:r>
        <w:r>
          <w:rPr>
            <w:noProof/>
            <w:webHidden/>
          </w:rPr>
          <w:fldChar w:fldCharType="begin"/>
        </w:r>
        <w:r>
          <w:rPr>
            <w:noProof/>
            <w:webHidden/>
          </w:rPr>
          <w:instrText xml:space="preserve"> PAGEREF _Toc181684412 \h </w:instrText>
        </w:r>
        <w:r>
          <w:rPr>
            <w:noProof/>
            <w:webHidden/>
          </w:rPr>
        </w:r>
        <w:r>
          <w:rPr>
            <w:noProof/>
            <w:webHidden/>
          </w:rPr>
          <w:fldChar w:fldCharType="separate"/>
        </w:r>
        <w:r>
          <w:rPr>
            <w:noProof/>
            <w:webHidden/>
          </w:rPr>
          <w:t>535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3" w:history="1">
        <w:r w:rsidRPr="001B13A4">
          <w:rPr>
            <w:rStyle w:val="Hyperlink"/>
            <w:noProof/>
          </w:rPr>
          <w:t>2.1.1377</w:t>
        </w:r>
        <w:r>
          <w:rPr>
            <w:rFonts w:asciiTheme="minorHAnsi" w:eastAsiaTheme="minorEastAsia" w:hAnsiTheme="minorHAnsi" w:cstheme="minorBidi"/>
            <w:noProof/>
            <w:sz w:val="22"/>
            <w:szCs w:val="22"/>
          </w:rPr>
          <w:tab/>
        </w:r>
        <w:r w:rsidRPr="001B13A4">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_Toc181684413 \h </w:instrText>
        </w:r>
        <w:r>
          <w:rPr>
            <w:noProof/>
            <w:webHidden/>
          </w:rPr>
        </w:r>
        <w:r>
          <w:rPr>
            <w:noProof/>
            <w:webHidden/>
          </w:rPr>
          <w:fldChar w:fldCharType="separate"/>
        </w:r>
        <w:r>
          <w:rPr>
            <w:noProof/>
            <w:webHidden/>
          </w:rPr>
          <w:t>535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4" w:history="1">
        <w:r w:rsidRPr="001B13A4">
          <w:rPr>
            <w:rStyle w:val="Hyperlink"/>
            <w:noProof/>
          </w:rPr>
          <w:t>2.1.1378</w:t>
        </w:r>
        <w:r>
          <w:rPr>
            <w:rFonts w:asciiTheme="minorHAnsi" w:eastAsiaTheme="minorEastAsia" w:hAnsiTheme="minorHAnsi" w:cstheme="minorBidi"/>
            <w:noProof/>
            <w:sz w:val="22"/>
            <w:szCs w:val="22"/>
          </w:rPr>
          <w:tab/>
        </w:r>
        <w:r w:rsidRPr="001B13A4">
          <w:rPr>
            <w:rStyle w:val="Hyperlink"/>
            <w:noProof/>
          </w:rPr>
          <w:t>Part 1 Section 21.1.2.1, Body Formatting</w:t>
        </w:r>
        <w:r>
          <w:rPr>
            <w:noProof/>
            <w:webHidden/>
          </w:rPr>
          <w:tab/>
        </w:r>
        <w:r>
          <w:rPr>
            <w:noProof/>
            <w:webHidden/>
          </w:rPr>
          <w:fldChar w:fldCharType="begin"/>
        </w:r>
        <w:r>
          <w:rPr>
            <w:noProof/>
            <w:webHidden/>
          </w:rPr>
          <w:instrText xml:space="preserve"> PAGEREF _Toc181684414 \h </w:instrText>
        </w:r>
        <w:r>
          <w:rPr>
            <w:noProof/>
            <w:webHidden/>
          </w:rPr>
        </w:r>
        <w:r>
          <w:rPr>
            <w:noProof/>
            <w:webHidden/>
          </w:rPr>
          <w:fldChar w:fldCharType="separate"/>
        </w:r>
        <w:r>
          <w:rPr>
            <w:noProof/>
            <w:webHidden/>
          </w:rPr>
          <w:t>535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5" w:history="1">
        <w:r w:rsidRPr="001B13A4">
          <w:rPr>
            <w:rStyle w:val="Hyperlink"/>
            <w:noProof/>
          </w:rPr>
          <w:t>2.1.1379</w:t>
        </w:r>
        <w:r>
          <w:rPr>
            <w:rFonts w:asciiTheme="minorHAnsi" w:eastAsiaTheme="minorEastAsia" w:hAnsiTheme="minorHAnsi" w:cstheme="minorBidi"/>
            <w:noProof/>
            <w:sz w:val="22"/>
            <w:szCs w:val="22"/>
          </w:rPr>
          <w:tab/>
        </w:r>
        <w:r w:rsidRPr="001B13A4">
          <w:rPr>
            <w:rStyle w:val="Hyperlink"/>
            <w:noProof/>
          </w:rPr>
          <w:t>Part 1 Section 21.1.2.1.1, bodyPr (Body Properties)</w:t>
        </w:r>
        <w:r>
          <w:rPr>
            <w:noProof/>
            <w:webHidden/>
          </w:rPr>
          <w:tab/>
        </w:r>
        <w:r>
          <w:rPr>
            <w:noProof/>
            <w:webHidden/>
          </w:rPr>
          <w:fldChar w:fldCharType="begin"/>
        </w:r>
        <w:r>
          <w:rPr>
            <w:noProof/>
            <w:webHidden/>
          </w:rPr>
          <w:instrText xml:space="preserve"> PAGEREF _Toc181684415 \h </w:instrText>
        </w:r>
        <w:r>
          <w:rPr>
            <w:noProof/>
            <w:webHidden/>
          </w:rPr>
        </w:r>
        <w:r>
          <w:rPr>
            <w:noProof/>
            <w:webHidden/>
          </w:rPr>
          <w:fldChar w:fldCharType="separate"/>
        </w:r>
        <w:r>
          <w:rPr>
            <w:noProof/>
            <w:webHidden/>
          </w:rPr>
          <w:t>536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6" w:history="1">
        <w:r w:rsidRPr="001B13A4">
          <w:rPr>
            <w:rStyle w:val="Hyperlink"/>
            <w:noProof/>
          </w:rPr>
          <w:t>2.1.1380</w:t>
        </w:r>
        <w:r>
          <w:rPr>
            <w:rFonts w:asciiTheme="minorHAnsi" w:eastAsiaTheme="minorEastAsia" w:hAnsiTheme="minorHAnsi" w:cstheme="minorBidi"/>
            <w:noProof/>
            <w:sz w:val="22"/>
            <w:szCs w:val="22"/>
          </w:rPr>
          <w:tab/>
        </w:r>
        <w:r w:rsidRPr="001B13A4">
          <w:rPr>
            <w:rStyle w:val="Hyperlink"/>
            <w:noProof/>
          </w:rPr>
          <w:t>Part 1 Section 21.1.2.1.2, noAutofit (No AutoFit)</w:t>
        </w:r>
        <w:r>
          <w:rPr>
            <w:noProof/>
            <w:webHidden/>
          </w:rPr>
          <w:tab/>
        </w:r>
        <w:r>
          <w:rPr>
            <w:noProof/>
            <w:webHidden/>
          </w:rPr>
          <w:fldChar w:fldCharType="begin"/>
        </w:r>
        <w:r>
          <w:rPr>
            <w:noProof/>
            <w:webHidden/>
          </w:rPr>
          <w:instrText xml:space="preserve"> PAGEREF _Toc181684416 \h </w:instrText>
        </w:r>
        <w:r>
          <w:rPr>
            <w:noProof/>
            <w:webHidden/>
          </w:rPr>
        </w:r>
        <w:r>
          <w:rPr>
            <w:noProof/>
            <w:webHidden/>
          </w:rPr>
          <w:fldChar w:fldCharType="separate"/>
        </w:r>
        <w:r>
          <w:rPr>
            <w:noProof/>
            <w:webHidden/>
          </w:rPr>
          <w:t>536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7" w:history="1">
        <w:r w:rsidRPr="001B13A4">
          <w:rPr>
            <w:rStyle w:val="Hyperlink"/>
            <w:noProof/>
          </w:rPr>
          <w:t>2.1.1381</w:t>
        </w:r>
        <w:r>
          <w:rPr>
            <w:rFonts w:asciiTheme="minorHAnsi" w:eastAsiaTheme="minorEastAsia" w:hAnsiTheme="minorHAnsi" w:cstheme="minorBidi"/>
            <w:noProof/>
            <w:sz w:val="22"/>
            <w:szCs w:val="22"/>
          </w:rPr>
          <w:tab/>
        </w:r>
        <w:r w:rsidRPr="001B13A4">
          <w:rPr>
            <w:rStyle w:val="Hyperlink"/>
            <w:noProof/>
          </w:rPr>
          <w:t>Part 1 Section 21.1.2.1.3, normAutofit (Normal AutoFit)</w:t>
        </w:r>
        <w:r>
          <w:rPr>
            <w:noProof/>
            <w:webHidden/>
          </w:rPr>
          <w:tab/>
        </w:r>
        <w:r>
          <w:rPr>
            <w:noProof/>
            <w:webHidden/>
          </w:rPr>
          <w:fldChar w:fldCharType="begin"/>
        </w:r>
        <w:r>
          <w:rPr>
            <w:noProof/>
            <w:webHidden/>
          </w:rPr>
          <w:instrText xml:space="preserve"> PAGEREF _Toc181684417 \h </w:instrText>
        </w:r>
        <w:r>
          <w:rPr>
            <w:noProof/>
            <w:webHidden/>
          </w:rPr>
        </w:r>
        <w:r>
          <w:rPr>
            <w:noProof/>
            <w:webHidden/>
          </w:rPr>
          <w:fldChar w:fldCharType="separate"/>
        </w:r>
        <w:r>
          <w:rPr>
            <w:noProof/>
            <w:webHidden/>
          </w:rPr>
          <w:t>536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8" w:history="1">
        <w:r w:rsidRPr="001B13A4">
          <w:rPr>
            <w:rStyle w:val="Hyperlink"/>
            <w:noProof/>
          </w:rPr>
          <w:t>2.1.1382</w:t>
        </w:r>
        <w:r>
          <w:rPr>
            <w:rFonts w:asciiTheme="minorHAnsi" w:eastAsiaTheme="minorEastAsia" w:hAnsiTheme="minorHAnsi" w:cstheme="minorBidi"/>
            <w:noProof/>
            <w:sz w:val="22"/>
            <w:szCs w:val="22"/>
          </w:rPr>
          <w:tab/>
        </w:r>
        <w:r w:rsidRPr="001B13A4">
          <w:rPr>
            <w:rStyle w:val="Hyperlink"/>
            <w:noProof/>
          </w:rPr>
          <w:t>Part 1 Section 21.1.2.1.4, spAutoFit (Shape AutoFit)</w:t>
        </w:r>
        <w:r>
          <w:rPr>
            <w:noProof/>
            <w:webHidden/>
          </w:rPr>
          <w:tab/>
        </w:r>
        <w:r>
          <w:rPr>
            <w:noProof/>
            <w:webHidden/>
          </w:rPr>
          <w:fldChar w:fldCharType="begin"/>
        </w:r>
        <w:r>
          <w:rPr>
            <w:noProof/>
            <w:webHidden/>
          </w:rPr>
          <w:instrText xml:space="preserve"> PAGEREF _Toc181684418 \h </w:instrText>
        </w:r>
        <w:r>
          <w:rPr>
            <w:noProof/>
            <w:webHidden/>
          </w:rPr>
        </w:r>
        <w:r>
          <w:rPr>
            <w:noProof/>
            <w:webHidden/>
          </w:rPr>
          <w:fldChar w:fldCharType="separate"/>
        </w:r>
        <w:r>
          <w:rPr>
            <w:noProof/>
            <w:webHidden/>
          </w:rPr>
          <w:t>537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19" w:history="1">
        <w:r w:rsidRPr="001B13A4">
          <w:rPr>
            <w:rStyle w:val="Hyperlink"/>
            <w:noProof/>
          </w:rPr>
          <w:t>2.1.1383</w:t>
        </w:r>
        <w:r>
          <w:rPr>
            <w:rFonts w:asciiTheme="minorHAnsi" w:eastAsiaTheme="minorEastAsia" w:hAnsiTheme="minorHAnsi" w:cstheme="minorBidi"/>
            <w:noProof/>
            <w:sz w:val="22"/>
            <w:szCs w:val="22"/>
          </w:rPr>
          <w:tab/>
        </w:r>
        <w:r w:rsidRPr="001B13A4">
          <w:rPr>
            <w:rStyle w:val="Hyperlink"/>
            <w:noProof/>
          </w:rPr>
          <w:t>Part 1 Section 21.1.2.2.2, defPPr (Default Paragraph Style)</w:t>
        </w:r>
        <w:r>
          <w:rPr>
            <w:noProof/>
            <w:webHidden/>
          </w:rPr>
          <w:tab/>
        </w:r>
        <w:r>
          <w:rPr>
            <w:noProof/>
            <w:webHidden/>
          </w:rPr>
          <w:fldChar w:fldCharType="begin"/>
        </w:r>
        <w:r>
          <w:rPr>
            <w:noProof/>
            <w:webHidden/>
          </w:rPr>
          <w:instrText xml:space="preserve"> PAGEREF _Toc181684419 \h </w:instrText>
        </w:r>
        <w:r>
          <w:rPr>
            <w:noProof/>
            <w:webHidden/>
          </w:rPr>
        </w:r>
        <w:r>
          <w:rPr>
            <w:noProof/>
            <w:webHidden/>
          </w:rPr>
          <w:fldChar w:fldCharType="separate"/>
        </w:r>
        <w:r>
          <w:rPr>
            <w:noProof/>
            <w:webHidden/>
          </w:rPr>
          <w:t>537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0" w:history="1">
        <w:r w:rsidRPr="001B13A4">
          <w:rPr>
            <w:rStyle w:val="Hyperlink"/>
            <w:noProof/>
          </w:rPr>
          <w:t>2.1.1384</w:t>
        </w:r>
        <w:r>
          <w:rPr>
            <w:rFonts w:asciiTheme="minorHAnsi" w:eastAsiaTheme="minorEastAsia" w:hAnsiTheme="minorHAnsi" w:cstheme="minorBidi"/>
            <w:noProof/>
            <w:sz w:val="22"/>
            <w:szCs w:val="22"/>
          </w:rPr>
          <w:tab/>
        </w:r>
        <w:r w:rsidRPr="001B13A4">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_Toc181684420 \h </w:instrText>
        </w:r>
        <w:r>
          <w:rPr>
            <w:noProof/>
            <w:webHidden/>
          </w:rPr>
        </w:r>
        <w:r>
          <w:rPr>
            <w:noProof/>
            <w:webHidden/>
          </w:rPr>
          <w:fldChar w:fldCharType="separate"/>
        </w:r>
        <w:r>
          <w:rPr>
            <w:noProof/>
            <w:webHidden/>
          </w:rPr>
          <w:t>537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1" w:history="1">
        <w:r w:rsidRPr="001B13A4">
          <w:rPr>
            <w:rStyle w:val="Hyperlink"/>
            <w:noProof/>
          </w:rPr>
          <w:t>2.1.1385</w:t>
        </w:r>
        <w:r>
          <w:rPr>
            <w:rFonts w:asciiTheme="minorHAnsi" w:eastAsiaTheme="minorEastAsia" w:hAnsiTheme="minorHAnsi" w:cstheme="minorBidi"/>
            <w:noProof/>
            <w:sz w:val="22"/>
            <w:szCs w:val="22"/>
          </w:rPr>
          <w:tab/>
        </w:r>
        <w:r w:rsidRPr="001B13A4">
          <w:rPr>
            <w:rStyle w:val="Hyperlink"/>
            <w:noProof/>
          </w:rPr>
          <w:t>Part 1 Section 21.1.2.2.4, fld (Text Field)</w:t>
        </w:r>
        <w:r>
          <w:rPr>
            <w:noProof/>
            <w:webHidden/>
          </w:rPr>
          <w:tab/>
        </w:r>
        <w:r>
          <w:rPr>
            <w:noProof/>
            <w:webHidden/>
          </w:rPr>
          <w:fldChar w:fldCharType="begin"/>
        </w:r>
        <w:r>
          <w:rPr>
            <w:noProof/>
            <w:webHidden/>
          </w:rPr>
          <w:instrText xml:space="preserve"> PAGEREF _Toc181684421 \h </w:instrText>
        </w:r>
        <w:r>
          <w:rPr>
            <w:noProof/>
            <w:webHidden/>
          </w:rPr>
        </w:r>
        <w:r>
          <w:rPr>
            <w:noProof/>
            <w:webHidden/>
          </w:rPr>
          <w:fldChar w:fldCharType="separate"/>
        </w:r>
        <w:r>
          <w:rPr>
            <w:noProof/>
            <w:webHidden/>
          </w:rPr>
          <w:t>537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2" w:history="1">
        <w:r w:rsidRPr="001B13A4">
          <w:rPr>
            <w:rStyle w:val="Hyperlink"/>
            <w:noProof/>
          </w:rPr>
          <w:t>2.1.1386</w:t>
        </w:r>
        <w:r>
          <w:rPr>
            <w:rFonts w:asciiTheme="minorHAnsi" w:eastAsiaTheme="minorEastAsia" w:hAnsiTheme="minorHAnsi" w:cstheme="minorBidi"/>
            <w:noProof/>
            <w:sz w:val="22"/>
            <w:szCs w:val="22"/>
          </w:rPr>
          <w:tab/>
        </w:r>
        <w:r w:rsidRPr="001B13A4">
          <w:rPr>
            <w:rStyle w:val="Hyperlink"/>
            <w:noProof/>
          </w:rPr>
          <w:t>Part 1 Section 21.1.2.2.5, lnSpc (Line Spacing)</w:t>
        </w:r>
        <w:r>
          <w:rPr>
            <w:noProof/>
            <w:webHidden/>
          </w:rPr>
          <w:tab/>
        </w:r>
        <w:r>
          <w:rPr>
            <w:noProof/>
            <w:webHidden/>
          </w:rPr>
          <w:fldChar w:fldCharType="begin"/>
        </w:r>
        <w:r>
          <w:rPr>
            <w:noProof/>
            <w:webHidden/>
          </w:rPr>
          <w:instrText xml:space="preserve"> PAGEREF _Toc181684422 \h </w:instrText>
        </w:r>
        <w:r>
          <w:rPr>
            <w:noProof/>
            <w:webHidden/>
          </w:rPr>
        </w:r>
        <w:r>
          <w:rPr>
            <w:noProof/>
            <w:webHidden/>
          </w:rPr>
          <w:fldChar w:fldCharType="separate"/>
        </w:r>
        <w:r>
          <w:rPr>
            <w:noProof/>
            <w:webHidden/>
          </w:rPr>
          <w:t>539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3" w:history="1">
        <w:r w:rsidRPr="001B13A4">
          <w:rPr>
            <w:rStyle w:val="Hyperlink"/>
            <w:noProof/>
          </w:rPr>
          <w:t>2.1.1387</w:t>
        </w:r>
        <w:r>
          <w:rPr>
            <w:rFonts w:asciiTheme="minorHAnsi" w:eastAsiaTheme="minorEastAsia" w:hAnsiTheme="minorHAnsi" w:cstheme="minorBidi"/>
            <w:noProof/>
            <w:sz w:val="22"/>
            <w:szCs w:val="22"/>
          </w:rPr>
          <w:tab/>
        </w:r>
        <w:r w:rsidRPr="001B13A4">
          <w:rPr>
            <w:rStyle w:val="Hyperlink"/>
            <w:noProof/>
          </w:rPr>
          <w:t>Part 1 Section 21.1.2.2.6, p (Text Paragraphs)</w:t>
        </w:r>
        <w:r>
          <w:rPr>
            <w:noProof/>
            <w:webHidden/>
          </w:rPr>
          <w:tab/>
        </w:r>
        <w:r>
          <w:rPr>
            <w:noProof/>
            <w:webHidden/>
          </w:rPr>
          <w:fldChar w:fldCharType="begin"/>
        </w:r>
        <w:r>
          <w:rPr>
            <w:noProof/>
            <w:webHidden/>
          </w:rPr>
          <w:instrText xml:space="preserve"> PAGEREF _Toc181684423 \h </w:instrText>
        </w:r>
        <w:r>
          <w:rPr>
            <w:noProof/>
            <w:webHidden/>
          </w:rPr>
        </w:r>
        <w:r>
          <w:rPr>
            <w:noProof/>
            <w:webHidden/>
          </w:rPr>
          <w:fldChar w:fldCharType="separate"/>
        </w:r>
        <w:r>
          <w:rPr>
            <w:noProof/>
            <w:webHidden/>
          </w:rPr>
          <w:t>540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4" w:history="1">
        <w:r w:rsidRPr="001B13A4">
          <w:rPr>
            <w:rStyle w:val="Hyperlink"/>
            <w:noProof/>
          </w:rPr>
          <w:t>2.1.1388</w:t>
        </w:r>
        <w:r>
          <w:rPr>
            <w:rFonts w:asciiTheme="minorHAnsi" w:eastAsiaTheme="minorEastAsia" w:hAnsiTheme="minorHAnsi" w:cstheme="minorBidi"/>
            <w:noProof/>
            <w:sz w:val="22"/>
            <w:szCs w:val="22"/>
          </w:rPr>
          <w:tab/>
        </w:r>
        <w:r w:rsidRPr="001B13A4">
          <w:rPr>
            <w:rStyle w:val="Hyperlink"/>
            <w:noProof/>
          </w:rPr>
          <w:t>Part 1 Section 21.1.2.2.7, pPr (Text Paragraph Properties)</w:t>
        </w:r>
        <w:r>
          <w:rPr>
            <w:noProof/>
            <w:webHidden/>
          </w:rPr>
          <w:tab/>
        </w:r>
        <w:r>
          <w:rPr>
            <w:noProof/>
            <w:webHidden/>
          </w:rPr>
          <w:fldChar w:fldCharType="begin"/>
        </w:r>
        <w:r>
          <w:rPr>
            <w:noProof/>
            <w:webHidden/>
          </w:rPr>
          <w:instrText xml:space="preserve"> PAGEREF _Toc181684424 \h </w:instrText>
        </w:r>
        <w:r>
          <w:rPr>
            <w:noProof/>
            <w:webHidden/>
          </w:rPr>
        </w:r>
        <w:r>
          <w:rPr>
            <w:noProof/>
            <w:webHidden/>
          </w:rPr>
          <w:fldChar w:fldCharType="separate"/>
        </w:r>
        <w:r>
          <w:rPr>
            <w:noProof/>
            <w:webHidden/>
          </w:rPr>
          <w:t>540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5" w:history="1">
        <w:r w:rsidRPr="001B13A4">
          <w:rPr>
            <w:rStyle w:val="Hyperlink"/>
            <w:noProof/>
          </w:rPr>
          <w:t>2.1.1389</w:t>
        </w:r>
        <w:r>
          <w:rPr>
            <w:rFonts w:asciiTheme="minorHAnsi" w:eastAsiaTheme="minorEastAsia" w:hAnsiTheme="minorHAnsi" w:cstheme="minorBidi"/>
            <w:noProof/>
            <w:sz w:val="22"/>
            <w:szCs w:val="22"/>
          </w:rPr>
          <w:tab/>
        </w:r>
        <w:r w:rsidRPr="001B13A4">
          <w:rPr>
            <w:rStyle w:val="Hyperlink"/>
            <w:noProof/>
          </w:rPr>
          <w:t>Part 1 Section 21.1.2.2.9, spcAft (Space After)</w:t>
        </w:r>
        <w:r>
          <w:rPr>
            <w:noProof/>
            <w:webHidden/>
          </w:rPr>
          <w:tab/>
        </w:r>
        <w:r>
          <w:rPr>
            <w:noProof/>
            <w:webHidden/>
          </w:rPr>
          <w:fldChar w:fldCharType="begin"/>
        </w:r>
        <w:r>
          <w:rPr>
            <w:noProof/>
            <w:webHidden/>
          </w:rPr>
          <w:instrText xml:space="preserve"> PAGEREF _Toc181684425 \h </w:instrText>
        </w:r>
        <w:r>
          <w:rPr>
            <w:noProof/>
            <w:webHidden/>
          </w:rPr>
        </w:r>
        <w:r>
          <w:rPr>
            <w:noProof/>
            <w:webHidden/>
          </w:rPr>
          <w:fldChar w:fldCharType="separate"/>
        </w:r>
        <w:r>
          <w:rPr>
            <w:noProof/>
            <w:webHidden/>
          </w:rPr>
          <w:t>540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6" w:history="1">
        <w:r w:rsidRPr="001B13A4">
          <w:rPr>
            <w:rStyle w:val="Hyperlink"/>
            <w:noProof/>
          </w:rPr>
          <w:t>2.1.1390</w:t>
        </w:r>
        <w:r>
          <w:rPr>
            <w:rFonts w:asciiTheme="minorHAnsi" w:eastAsiaTheme="minorEastAsia" w:hAnsiTheme="minorHAnsi" w:cstheme="minorBidi"/>
            <w:noProof/>
            <w:sz w:val="22"/>
            <w:szCs w:val="22"/>
          </w:rPr>
          <w:tab/>
        </w:r>
        <w:r w:rsidRPr="001B13A4">
          <w:rPr>
            <w:rStyle w:val="Hyperlink"/>
            <w:noProof/>
          </w:rPr>
          <w:t>Part 1 Section 21.1.2.2.10, spcBef (Space Before)</w:t>
        </w:r>
        <w:r>
          <w:rPr>
            <w:noProof/>
            <w:webHidden/>
          </w:rPr>
          <w:tab/>
        </w:r>
        <w:r>
          <w:rPr>
            <w:noProof/>
            <w:webHidden/>
          </w:rPr>
          <w:fldChar w:fldCharType="begin"/>
        </w:r>
        <w:r>
          <w:rPr>
            <w:noProof/>
            <w:webHidden/>
          </w:rPr>
          <w:instrText xml:space="preserve"> PAGEREF _Toc181684426 \h </w:instrText>
        </w:r>
        <w:r>
          <w:rPr>
            <w:noProof/>
            <w:webHidden/>
          </w:rPr>
        </w:r>
        <w:r>
          <w:rPr>
            <w:noProof/>
            <w:webHidden/>
          </w:rPr>
          <w:fldChar w:fldCharType="separate"/>
        </w:r>
        <w:r>
          <w:rPr>
            <w:noProof/>
            <w:webHidden/>
          </w:rPr>
          <w:t>540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7" w:history="1">
        <w:r w:rsidRPr="001B13A4">
          <w:rPr>
            <w:rStyle w:val="Hyperlink"/>
            <w:noProof/>
          </w:rPr>
          <w:t>2.1.1391</w:t>
        </w:r>
        <w:r>
          <w:rPr>
            <w:rFonts w:asciiTheme="minorHAnsi" w:eastAsiaTheme="minorEastAsia" w:hAnsiTheme="minorHAnsi" w:cstheme="minorBidi"/>
            <w:noProof/>
            <w:sz w:val="22"/>
            <w:szCs w:val="22"/>
          </w:rPr>
          <w:tab/>
        </w:r>
        <w:r w:rsidRPr="001B13A4">
          <w:rPr>
            <w:rStyle w:val="Hyperlink"/>
            <w:noProof/>
          </w:rPr>
          <w:t>Part 1 Section 21.1.2.2.11, spcPct (Spacing Percent)</w:t>
        </w:r>
        <w:r>
          <w:rPr>
            <w:noProof/>
            <w:webHidden/>
          </w:rPr>
          <w:tab/>
        </w:r>
        <w:r>
          <w:rPr>
            <w:noProof/>
            <w:webHidden/>
          </w:rPr>
          <w:fldChar w:fldCharType="begin"/>
        </w:r>
        <w:r>
          <w:rPr>
            <w:noProof/>
            <w:webHidden/>
          </w:rPr>
          <w:instrText xml:space="preserve"> PAGEREF _Toc181684427 \h </w:instrText>
        </w:r>
        <w:r>
          <w:rPr>
            <w:noProof/>
            <w:webHidden/>
          </w:rPr>
        </w:r>
        <w:r>
          <w:rPr>
            <w:noProof/>
            <w:webHidden/>
          </w:rPr>
          <w:fldChar w:fldCharType="separate"/>
        </w:r>
        <w:r>
          <w:rPr>
            <w:noProof/>
            <w:webHidden/>
          </w:rPr>
          <w:t>540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8" w:history="1">
        <w:r w:rsidRPr="001B13A4">
          <w:rPr>
            <w:rStyle w:val="Hyperlink"/>
            <w:noProof/>
          </w:rPr>
          <w:t>2.1.1392</w:t>
        </w:r>
        <w:r>
          <w:rPr>
            <w:rFonts w:asciiTheme="minorHAnsi" w:eastAsiaTheme="minorEastAsia" w:hAnsiTheme="minorHAnsi" w:cstheme="minorBidi"/>
            <w:noProof/>
            <w:sz w:val="22"/>
            <w:szCs w:val="22"/>
          </w:rPr>
          <w:tab/>
        </w:r>
        <w:r w:rsidRPr="001B13A4">
          <w:rPr>
            <w:rStyle w:val="Hyperlink"/>
            <w:noProof/>
          </w:rPr>
          <w:t>Part 1 Section 21.1.2.3.1, cs (Complex Script Font)</w:t>
        </w:r>
        <w:r>
          <w:rPr>
            <w:noProof/>
            <w:webHidden/>
          </w:rPr>
          <w:tab/>
        </w:r>
        <w:r>
          <w:rPr>
            <w:noProof/>
            <w:webHidden/>
          </w:rPr>
          <w:fldChar w:fldCharType="begin"/>
        </w:r>
        <w:r>
          <w:rPr>
            <w:noProof/>
            <w:webHidden/>
          </w:rPr>
          <w:instrText xml:space="preserve"> PAGEREF _Toc181684428 \h </w:instrText>
        </w:r>
        <w:r>
          <w:rPr>
            <w:noProof/>
            <w:webHidden/>
          </w:rPr>
        </w:r>
        <w:r>
          <w:rPr>
            <w:noProof/>
            <w:webHidden/>
          </w:rPr>
          <w:fldChar w:fldCharType="separate"/>
        </w:r>
        <w:r>
          <w:rPr>
            <w:noProof/>
            <w:webHidden/>
          </w:rPr>
          <w:t>541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29" w:history="1">
        <w:r w:rsidRPr="001B13A4">
          <w:rPr>
            <w:rStyle w:val="Hyperlink"/>
            <w:noProof/>
          </w:rPr>
          <w:t>2.1.1393</w:t>
        </w:r>
        <w:r>
          <w:rPr>
            <w:rFonts w:asciiTheme="minorHAnsi" w:eastAsiaTheme="minorEastAsia" w:hAnsiTheme="minorHAnsi" w:cstheme="minorBidi"/>
            <w:noProof/>
            <w:sz w:val="22"/>
            <w:szCs w:val="22"/>
          </w:rPr>
          <w:tab/>
        </w:r>
        <w:r w:rsidRPr="001B13A4">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_Toc181684429 \h </w:instrText>
        </w:r>
        <w:r>
          <w:rPr>
            <w:noProof/>
            <w:webHidden/>
          </w:rPr>
        </w:r>
        <w:r>
          <w:rPr>
            <w:noProof/>
            <w:webHidden/>
          </w:rPr>
          <w:fldChar w:fldCharType="separate"/>
        </w:r>
        <w:r>
          <w:rPr>
            <w:noProof/>
            <w:webHidden/>
          </w:rPr>
          <w:t>541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0" w:history="1">
        <w:r w:rsidRPr="001B13A4">
          <w:rPr>
            <w:rStyle w:val="Hyperlink"/>
            <w:noProof/>
          </w:rPr>
          <w:t>2.1.1394</w:t>
        </w:r>
        <w:r>
          <w:rPr>
            <w:rFonts w:asciiTheme="minorHAnsi" w:eastAsiaTheme="minorEastAsia" w:hAnsiTheme="minorHAnsi" w:cstheme="minorBidi"/>
            <w:noProof/>
            <w:sz w:val="22"/>
            <w:szCs w:val="22"/>
          </w:rPr>
          <w:tab/>
        </w:r>
        <w:r w:rsidRPr="001B13A4">
          <w:rPr>
            <w:rStyle w:val="Hyperlink"/>
            <w:noProof/>
          </w:rPr>
          <w:t>Part 1 Section 21.1.2.3.3, ea (East Asian Font)</w:t>
        </w:r>
        <w:r>
          <w:rPr>
            <w:noProof/>
            <w:webHidden/>
          </w:rPr>
          <w:tab/>
        </w:r>
        <w:r>
          <w:rPr>
            <w:noProof/>
            <w:webHidden/>
          </w:rPr>
          <w:fldChar w:fldCharType="begin"/>
        </w:r>
        <w:r>
          <w:rPr>
            <w:noProof/>
            <w:webHidden/>
          </w:rPr>
          <w:instrText xml:space="preserve"> PAGEREF _Toc181684430 \h </w:instrText>
        </w:r>
        <w:r>
          <w:rPr>
            <w:noProof/>
            <w:webHidden/>
          </w:rPr>
        </w:r>
        <w:r>
          <w:rPr>
            <w:noProof/>
            <w:webHidden/>
          </w:rPr>
          <w:fldChar w:fldCharType="separate"/>
        </w:r>
        <w:r>
          <w:rPr>
            <w:noProof/>
            <w:webHidden/>
          </w:rPr>
          <w:t>541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1" w:history="1">
        <w:r w:rsidRPr="001B13A4">
          <w:rPr>
            <w:rStyle w:val="Hyperlink"/>
            <w:noProof/>
          </w:rPr>
          <w:t>2.1.1395</w:t>
        </w:r>
        <w:r>
          <w:rPr>
            <w:rFonts w:asciiTheme="minorHAnsi" w:eastAsiaTheme="minorEastAsia" w:hAnsiTheme="minorHAnsi" w:cstheme="minorBidi"/>
            <w:noProof/>
            <w:sz w:val="22"/>
            <w:szCs w:val="22"/>
          </w:rPr>
          <w:tab/>
        </w:r>
        <w:r w:rsidRPr="001B13A4">
          <w:rPr>
            <w:rStyle w:val="Hyperlink"/>
            <w:noProof/>
          </w:rPr>
          <w:t>Part 1 Section 21.1.2.3.5, hlinkClick (Click Hyperlink)</w:t>
        </w:r>
        <w:r>
          <w:rPr>
            <w:noProof/>
            <w:webHidden/>
          </w:rPr>
          <w:tab/>
        </w:r>
        <w:r>
          <w:rPr>
            <w:noProof/>
            <w:webHidden/>
          </w:rPr>
          <w:fldChar w:fldCharType="begin"/>
        </w:r>
        <w:r>
          <w:rPr>
            <w:noProof/>
            <w:webHidden/>
          </w:rPr>
          <w:instrText xml:space="preserve"> PAGEREF _Toc181684431 \h </w:instrText>
        </w:r>
        <w:r>
          <w:rPr>
            <w:noProof/>
            <w:webHidden/>
          </w:rPr>
        </w:r>
        <w:r>
          <w:rPr>
            <w:noProof/>
            <w:webHidden/>
          </w:rPr>
          <w:fldChar w:fldCharType="separate"/>
        </w:r>
        <w:r>
          <w:rPr>
            <w:noProof/>
            <w:webHidden/>
          </w:rPr>
          <w:t>541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2" w:history="1">
        <w:r w:rsidRPr="001B13A4">
          <w:rPr>
            <w:rStyle w:val="Hyperlink"/>
            <w:noProof/>
          </w:rPr>
          <w:t>2.1.1396</w:t>
        </w:r>
        <w:r>
          <w:rPr>
            <w:rFonts w:asciiTheme="minorHAnsi" w:eastAsiaTheme="minorEastAsia" w:hAnsiTheme="minorHAnsi" w:cstheme="minorBidi"/>
            <w:noProof/>
            <w:sz w:val="22"/>
            <w:szCs w:val="22"/>
          </w:rPr>
          <w:tab/>
        </w:r>
        <w:r w:rsidRPr="001B13A4">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_Toc181684432 \h </w:instrText>
        </w:r>
        <w:r>
          <w:rPr>
            <w:noProof/>
            <w:webHidden/>
          </w:rPr>
        </w:r>
        <w:r>
          <w:rPr>
            <w:noProof/>
            <w:webHidden/>
          </w:rPr>
          <w:fldChar w:fldCharType="separate"/>
        </w:r>
        <w:r>
          <w:rPr>
            <w:noProof/>
            <w:webHidden/>
          </w:rPr>
          <w:t>542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3" w:history="1">
        <w:r w:rsidRPr="001B13A4">
          <w:rPr>
            <w:rStyle w:val="Hyperlink"/>
            <w:noProof/>
          </w:rPr>
          <w:t>2.1.1397</w:t>
        </w:r>
        <w:r>
          <w:rPr>
            <w:rFonts w:asciiTheme="minorHAnsi" w:eastAsiaTheme="minorEastAsia" w:hAnsiTheme="minorHAnsi" w:cstheme="minorBidi"/>
            <w:noProof/>
            <w:sz w:val="22"/>
            <w:szCs w:val="22"/>
          </w:rPr>
          <w:tab/>
        </w:r>
        <w:r w:rsidRPr="001B13A4">
          <w:rPr>
            <w:rStyle w:val="Hyperlink"/>
            <w:noProof/>
          </w:rPr>
          <w:t>Part 1 Section 21.1.2.3.7, latin (Latin Font)</w:t>
        </w:r>
        <w:r>
          <w:rPr>
            <w:noProof/>
            <w:webHidden/>
          </w:rPr>
          <w:tab/>
        </w:r>
        <w:r>
          <w:rPr>
            <w:noProof/>
            <w:webHidden/>
          </w:rPr>
          <w:fldChar w:fldCharType="begin"/>
        </w:r>
        <w:r>
          <w:rPr>
            <w:noProof/>
            <w:webHidden/>
          </w:rPr>
          <w:instrText xml:space="preserve"> PAGEREF _Toc181684433 \h </w:instrText>
        </w:r>
        <w:r>
          <w:rPr>
            <w:noProof/>
            <w:webHidden/>
          </w:rPr>
        </w:r>
        <w:r>
          <w:rPr>
            <w:noProof/>
            <w:webHidden/>
          </w:rPr>
          <w:fldChar w:fldCharType="separate"/>
        </w:r>
        <w:r>
          <w:rPr>
            <w:noProof/>
            <w:webHidden/>
          </w:rPr>
          <w:t>542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4" w:history="1">
        <w:r w:rsidRPr="001B13A4">
          <w:rPr>
            <w:rStyle w:val="Hyperlink"/>
            <w:noProof/>
          </w:rPr>
          <w:t>2.1.1398</w:t>
        </w:r>
        <w:r>
          <w:rPr>
            <w:rFonts w:asciiTheme="minorHAnsi" w:eastAsiaTheme="minorEastAsia" w:hAnsiTheme="minorHAnsi" w:cstheme="minorBidi"/>
            <w:noProof/>
            <w:sz w:val="22"/>
            <w:szCs w:val="22"/>
          </w:rPr>
          <w:tab/>
        </w:r>
        <w:r w:rsidRPr="001B13A4">
          <w:rPr>
            <w:rStyle w:val="Hyperlink"/>
            <w:noProof/>
          </w:rPr>
          <w:t>Part 1 Section 21.1.2.3.8, r (Text Run)</w:t>
        </w:r>
        <w:r>
          <w:rPr>
            <w:noProof/>
            <w:webHidden/>
          </w:rPr>
          <w:tab/>
        </w:r>
        <w:r>
          <w:rPr>
            <w:noProof/>
            <w:webHidden/>
          </w:rPr>
          <w:fldChar w:fldCharType="begin"/>
        </w:r>
        <w:r>
          <w:rPr>
            <w:noProof/>
            <w:webHidden/>
          </w:rPr>
          <w:instrText xml:space="preserve"> PAGEREF _Toc181684434 \h </w:instrText>
        </w:r>
        <w:r>
          <w:rPr>
            <w:noProof/>
            <w:webHidden/>
          </w:rPr>
        </w:r>
        <w:r>
          <w:rPr>
            <w:noProof/>
            <w:webHidden/>
          </w:rPr>
          <w:fldChar w:fldCharType="separate"/>
        </w:r>
        <w:r>
          <w:rPr>
            <w:noProof/>
            <w:webHidden/>
          </w:rPr>
          <w:t>544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5" w:history="1">
        <w:r w:rsidRPr="001B13A4">
          <w:rPr>
            <w:rStyle w:val="Hyperlink"/>
            <w:noProof/>
          </w:rPr>
          <w:t>2.1.1399</w:t>
        </w:r>
        <w:r>
          <w:rPr>
            <w:rFonts w:asciiTheme="minorHAnsi" w:eastAsiaTheme="minorEastAsia" w:hAnsiTheme="minorHAnsi" w:cstheme="minorBidi"/>
            <w:noProof/>
            <w:sz w:val="22"/>
            <w:szCs w:val="22"/>
          </w:rPr>
          <w:tab/>
        </w:r>
        <w:r w:rsidRPr="001B13A4">
          <w:rPr>
            <w:rStyle w:val="Hyperlink"/>
            <w:noProof/>
          </w:rPr>
          <w:t>Part 1 Section 21.1.2.3.9, rPr (Text Run Properties)</w:t>
        </w:r>
        <w:r>
          <w:rPr>
            <w:noProof/>
            <w:webHidden/>
          </w:rPr>
          <w:tab/>
        </w:r>
        <w:r>
          <w:rPr>
            <w:noProof/>
            <w:webHidden/>
          </w:rPr>
          <w:fldChar w:fldCharType="begin"/>
        </w:r>
        <w:r>
          <w:rPr>
            <w:noProof/>
            <w:webHidden/>
          </w:rPr>
          <w:instrText xml:space="preserve"> PAGEREF _Toc181684435 \h </w:instrText>
        </w:r>
        <w:r>
          <w:rPr>
            <w:noProof/>
            <w:webHidden/>
          </w:rPr>
        </w:r>
        <w:r>
          <w:rPr>
            <w:noProof/>
            <w:webHidden/>
          </w:rPr>
          <w:fldChar w:fldCharType="separate"/>
        </w:r>
        <w:r>
          <w:rPr>
            <w:noProof/>
            <w:webHidden/>
          </w:rPr>
          <w:t>544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6" w:history="1">
        <w:r w:rsidRPr="001B13A4">
          <w:rPr>
            <w:rStyle w:val="Hyperlink"/>
            <w:noProof/>
          </w:rPr>
          <w:t>2.1.1400</w:t>
        </w:r>
        <w:r>
          <w:rPr>
            <w:rFonts w:asciiTheme="minorHAnsi" w:eastAsiaTheme="minorEastAsia" w:hAnsiTheme="minorHAnsi" w:cstheme="minorBidi"/>
            <w:noProof/>
            <w:sz w:val="22"/>
            <w:szCs w:val="22"/>
          </w:rPr>
          <w:tab/>
        </w:r>
        <w:r w:rsidRPr="001B13A4">
          <w:rPr>
            <w:rStyle w:val="Hyperlink"/>
            <w:noProof/>
          </w:rPr>
          <w:t>Part 1 Section 21.1.2.3.10, sym (Symbol Font)</w:t>
        </w:r>
        <w:r>
          <w:rPr>
            <w:noProof/>
            <w:webHidden/>
          </w:rPr>
          <w:tab/>
        </w:r>
        <w:r>
          <w:rPr>
            <w:noProof/>
            <w:webHidden/>
          </w:rPr>
          <w:fldChar w:fldCharType="begin"/>
        </w:r>
        <w:r>
          <w:rPr>
            <w:noProof/>
            <w:webHidden/>
          </w:rPr>
          <w:instrText xml:space="preserve"> PAGEREF _Toc181684436 \h </w:instrText>
        </w:r>
        <w:r>
          <w:rPr>
            <w:noProof/>
            <w:webHidden/>
          </w:rPr>
        </w:r>
        <w:r>
          <w:rPr>
            <w:noProof/>
            <w:webHidden/>
          </w:rPr>
          <w:fldChar w:fldCharType="separate"/>
        </w:r>
        <w:r>
          <w:rPr>
            <w:noProof/>
            <w:webHidden/>
          </w:rPr>
          <w:t>545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7" w:history="1">
        <w:r w:rsidRPr="001B13A4">
          <w:rPr>
            <w:rStyle w:val="Hyperlink"/>
            <w:noProof/>
          </w:rPr>
          <w:t>2.1.1401</w:t>
        </w:r>
        <w:r>
          <w:rPr>
            <w:rFonts w:asciiTheme="minorHAnsi" w:eastAsiaTheme="minorEastAsia" w:hAnsiTheme="minorHAnsi" w:cstheme="minorBidi"/>
            <w:noProof/>
            <w:sz w:val="22"/>
            <w:szCs w:val="22"/>
          </w:rPr>
          <w:tab/>
        </w:r>
        <w:r w:rsidRPr="001B13A4">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_Toc181684437 \h </w:instrText>
        </w:r>
        <w:r>
          <w:rPr>
            <w:noProof/>
            <w:webHidden/>
          </w:rPr>
        </w:r>
        <w:r>
          <w:rPr>
            <w:noProof/>
            <w:webHidden/>
          </w:rPr>
          <w:fldChar w:fldCharType="separate"/>
        </w:r>
        <w:r>
          <w:rPr>
            <w:noProof/>
            <w:webHidden/>
          </w:rPr>
          <w:t>546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8" w:history="1">
        <w:r w:rsidRPr="001B13A4">
          <w:rPr>
            <w:rStyle w:val="Hyperlink"/>
            <w:noProof/>
          </w:rPr>
          <w:t>2.1.1402</w:t>
        </w:r>
        <w:r>
          <w:rPr>
            <w:rFonts w:asciiTheme="minorHAnsi" w:eastAsiaTheme="minorEastAsia" w:hAnsiTheme="minorHAnsi" w:cstheme="minorBidi"/>
            <w:noProof/>
            <w:sz w:val="22"/>
            <w:szCs w:val="22"/>
          </w:rPr>
          <w:tab/>
        </w:r>
        <w:r w:rsidRPr="001B13A4">
          <w:rPr>
            <w:rStyle w:val="Hyperlink"/>
            <w:noProof/>
          </w:rPr>
          <w:t>Part 1 Section 21.1.2.3.14, uLn (Underline Stroke)</w:t>
        </w:r>
        <w:r>
          <w:rPr>
            <w:noProof/>
            <w:webHidden/>
          </w:rPr>
          <w:tab/>
        </w:r>
        <w:r>
          <w:rPr>
            <w:noProof/>
            <w:webHidden/>
          </w:rPr>
          <w:fldChar w:fldCharType="begin"/>
        </w:r>
        <w:r>
          <w:rPr>
            <w:noProof/>
            <w:webHidden/>
          </w:rPr>
          <w:instrText xml:space="preserve"> PAGEREF _Toc181684438 \h </w:instrText>
        </w:r>
        <w:r>
          <w:rPr>
            <w:noProof/>
            <w:webHidden/>
          </w:rPr>
        </w:r>
        <w:r>
          <w:rPr>
            <w:noProof/>
            <w:webHidden/>
          </w:rPr>
          <w:fldChar w:fldCharType="separate"/>
        </w:r>
        <w:r>
          <w:rPr>
            <w:noProof/>
            <w:webHidden/>
          </w:rPr>
          <w:t>546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39" w:history="1">
        <w:r w:rsidRPr="001B13A4">
          <w:rPr>
            <w:rStyle w:val="Hyperlink"/>
            <w:noProof/>
          </w:rPr>
          <w:t>2.1.1403</w:t>
        </w:r>
        <w:r>
          <w:rPr>
            <w:rFonts w:asciiTheme="minorHAnsi" w:eastAsiaTheme="minorEastAsia" w:hAnsiTheme="minorHAnsi" w:cstheme="minorBidi"/>
            <w:noProof/>
            <w:sz w:val="22"/>
            <w:szCs w:val="22"/>
          </w:rPr>
          <w:tab/>
        </w:r>
        <w:r w:rsidRPr="001B13A4">
          <w:rPr>
            <w:rStyle w:val="Hyperlink"/>
            <w:noProof/>
          </w:rPr>
          <w:t>Part 1 Section 21.1.2.4.6, buFont (Specified)</w:t>
        </w:r>
        <w:r>
          <w:rPr>
            <w:noProof/>
            <w:webHidden/>
          </w:rPr>
          <w:tab/>
        </w:r>
        <w:r>
          <w:rPr>
            <w:noProof/>
            <w:webHidden/>
          </w:rPr>
          <w:fldChar w:fldCharType="begin"/>
        </w:r>
        <w:r>
          <w:rPr>
            <w:noProof/>
            <w:webHidden/>
          </w:rPr>
          <w:instrText xml:space="preserve"> PAGEREF _Toc181684439 \h </w:instrText>
        </w:r>
        <w:r>
          <w:rPr>
            <w:noProof/>
            <w:webHidden/>
          </w:rPr>
        </w:r>
        <w:r>
          <w:rPr>
            <w:noProof/>
            <w:webHidden/>
          </w:rPr>
          <w:fldChar w:fldCharType="separate"/>
        </w:r>
        <w:r>
          <w:rPr>
            <w:noProof/>
            <w:webHidden/>
          </w:rPr>
          <w:t>546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0" w:history="1">
        <w:r w:rsidRPr="001B13A4">
          <w:rPr>
            <w:rStyle w:val="Hyperlink"/>
            <w:noProof/>
          </w:rPr>
          <w:t>2.1.1404</w:t>
        </w:r>
        <w:r>
          <w:rPr>
            <w:rFonts w:asciiTheme="minorHAnsi" w:eastAsiaTheme="minorEastAsia" w:hAnsiTheme="minorHAnsi" w:cstheme="minorBidi"/>
            <w:noProof/>
            <w:sz w:val="22"/>
            <w:szCs w:val="22"/>
          </w:rPr>
          <w:tab/>
        </w:r>
        <w:r w:rsidRPr="001B13A4">
          <w:rPr>
            <w:rStyle w:val="Hyperlink"/>
            <w:noProof/>
          </w:rPr>
          <w:t>Part 1 Section 21.1.2.4.9, buSzPct (Bullet Size Percentage)</w:t>
        </w:r>
        <w:r>
          <w:rPr>
            <w:noProof/>
            <w:webHidden/>
          </w:rPr>
          <w:tab/>
        </w:r>
        <w:r>
          <w:rPr>
            <w:noProof/>
            <w:webHidden/>
          </w:rPr>
          <w:fldChar w:fldCharType="begin"/>
        </w:r>
        <w:r>
          <w:rPr>
            <w:noProof/>
            <w:webHidden/>
          </w:rPr>
          <w:instrText xml:space="preserve"> PAGEREF _Toc181684440 \h </w:instrText>
        </w:r>
        <w:r>
          <w:rPr>
            <w:noProof/>
            <w:webHidden/>
          </w:rPr>
        </w:r>
        <w:r>
          <w:rPr>
            <w:noProof/>
            <w:webHidden/>
          </w:rPr>
          <w:fldChar w:fldCharType="separate"/>
        </w:r>
        <w:r>
          <w:rPr>
            <w:noProof/>
            <w:webHidden/>
          </w:rPr>
          <w:t>546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1" w:history="1">
        <w:r w:rsidRPr="001B13A4">
          <w:rPr>
            <w:rStyle w:val="Hyperlink"/>
            <w:noProof/>
          </w:rPr>
          <w:t>2.1.1405</w:t>
        </w:r>
        <w:r>
          <w:rPr>
            <w:rFonts w:asciiTheme="minorHAnsi" w:eastAsiaTheme="minorEastAsia" w:hAnsiTheme="minorHAnsi" w:cstheme="minorBidi"/>
            <w:noProof/>
            <w:sz w:val="22"/>
            <w:szCs w:val="22"/>
          </w:rPr>
          <w:tab/>
        </w:r>
        <w:r w:rsidRPr="001B13A4">
          <w:rPr>
            <w:rStyle w:val="Hyperlink"/>
            <w:noProof/>
          </w:rPr>
          <w:t>Part 1 Section 21.1.2.4.10, buSzPts (Bullet Size Points)</w:t>
        </w:r>
        <w:r>
          <w:rPr>
            <w:noProof/>
            <w:webHidden/>
          </w:rPr>
          <w:tab/>
        </w:r>
        <w:r>
          <w:rPr>
            <w:noProof/>
            <w:webHidden/>
          </w:rPr>
          <w:fldChar w:fldCharType="begin"/>
        </w:r>
        <w:r>
          <w:rPr>
            <w:noProof/>
            <w:webHidden/>
          </w:rPr>
          <w:instrText xml:space="preserve"> PAGEREF _Toc181684441 \h </w:instrText>
        </w:r>
        <w:r>
          <w:rPr>
            <w:noProof/>
            <w:webHidden/>
          </w:rPr>
        </w:r>
        <w:r>
          <w:rPr>
            <w:noProof/>
            <w:webHidden/>
          </w:rPr>
          <w:fldChar w:fldCharType="separate"/>
        </w:r>
        <w:r>
          <w:rPr>
            <w:noProof/>
            <w:webHidden/>
          </w:rPr>
          <w:t>546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2" w:history="1">
        <w:r w:rsidRPr="001B13A4">
          <w:rPr>
            <w:rStyle w:val="Hyperlink"/>
            <w:noProof/>
          </w:rPr>
          <w:t>2.1.1406</w:t>
        </w:r>
        <w:r>
          <w:rPr>
            <w:rFonts w:asciiTheme="minorHAnsi" w:eastAsiaTheme="minorEastAsia" w:hAnsiTheme="minorHAnsi" w:cstheme="minorBidi"/>
            <w:noProof/>
            <w:sz w:val="22"/>
            <w:szCs w:val="22"/>
          </w:rPr>
          <w:tab/>
        </w:r>
        <w:r w:rsidRPr="001B13A4">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_Toc181684442 \h </w:instrText>
        </w:r>
        <w:r>
          <w:rPr>
            <w:noProof/>
            <w:webHidden/>
          </w:rPr>
        </w:r>
        <w:r>
          <w:rPr>
            <w:noProof/>
            <w:webHidden/>
          </w:rPr>
          <w:fldChar w:fldCharType="separate"/>
        </w:r>
        <w:r>
          <w:rPr>
            <w:noProof/>
            <w:webHidden/>
          </w:rPr>
          <w:t>546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3" w:history="1">
        <w:r w:rsidRPr="001B13A4">
          <w:rPr>
            <w:rStyle w:val="Hyperlink"/>
            <w:noProof/>
          </w:rPr>
          <w:t>2.1.1407</w:t>
        </w:r>
        <w:r>
          <w:rPr>
            <w:rFonts w:asciiTheme="minorHAnsi" w:eastAsiaTheme="minorEastAsia" w:hAnsiTheme="minorHAnsi" w:cstheme="minorBidi"/>
            <w:noProof/>
            <w:sz w:val="22"/>
            <w:szCs w:val="22"/>
          </w:rPr>
          <w:tab/>
        </w:r>
        <w:r w:rsidRPr="001B13A4">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_Toc181684443 \h </w:instrText>
        </w:r>
        <w:r>
          <w:rPr>
            <w:noProof/>
            <w:webHidden/>
          </w:rPr>
        </w:r>
        <w:r>
          <w:rPr>
            <w:noProof/>
            <w:webHidden/>
          </w:rPr>
          <w:fldChar w:fldCharType="separate"/>
        </w:r>
        <w:r>
          <w:rPr>
            <w:noProof/>
            <w:webHidden/>
          </w:rPr>
          <w:t>547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4" w:history="1">
        <w:r w:rsidRPr="001B13A4">
          <w:rPr>
            <w:rStyle w:val="Hyperlink"/>
            <w:noProof/>
          </w:rPr>
          <w:t>2.1.1408</w:t>
        </w:r>
        <w:r>
          <w:rPr>
            <w:rFonts w:asciiTheme="minorHAnsi" w:eastAsiaTheme="minorEastAsia" w:hAnsiTheme="minorHAnsi" w:cstheme="minorBidi"/>
            <w:noProof/>
            <w:sz w:val="22"/>
            <w:szCs w:val="22"/>
          </w:rPr>
          <w:tab/>
        </w:r>
        <w:r w:rsidRPr="001B13A4">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_Toc181684444 \h </w:instrText>
        </w:r>
        <w:r>
          <w:rPr>
            <w:noProof/>
            <w:webHidden/>
          </w:rPr>
        </w:r>
        <w:r>
          <w:rPr>
            <w:noProof/>
            <w:webHidden/>
          </w:rPr>
          <w:fldChar w:fldCharType="separate"/>
        </w:r>
        <w:r>
          <w:rPr>
            <w:noProof/>
            <w:webHidden/>
          </w:rPr>
          <w:t>547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5" w:history="1">
        <w:r w:rsidRPr="001B13A4">
          <w:rPr>
            <w:rStyle w:val="Hyperlink"/>
            <w:noProof/>
          </w:rPr>
          <w:t>2.1.1409</w:t>
        </w:r>
        <w:r>
          <w:rPr>
            <w:rFonts w:asciiTheme="minorHAnsi" w:eastAsiaTheme="minorEastAsia" w:hAnsiTheme="minorHAnsi" w:cstheme="minorBidi"/>
            <w:noProof/>
            <w:sz w:val="22"/>
            <w:szCs w:val="22"/>
          </w:rPr>
          <w:tab/>
        </w:r>
        <w:r w:rsidRPr="001B13A4">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_Toc181684445 \h </w:instrText>
        </w:r>
        <w:r>
          <w:rPr>
            <w:noProof/>
            <w:webHidden/>
          </w:rPr>
        </w:r>
        <w:r>
          <w:rPr>
            <w:noProof/>
            <w:webHidden/>
          </w:rPr>
          <w:fldChar w:fldCharType="separate"/>
        </w:r>
        <w:r>
          <w:rPr>
            <w:noProof/>
            <w:webHidden/>
          </w:rPr>
          <w:t>547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6" w:history="1">
        <w:r w:rsidRPr="001B13A4">
          <w:rPr>
            <w:rStyle w:val="Hyperlink"/>
            <w:noProof/>
          </w:rPr>
          <w:t>2.1.1410</w:t>
        </w:r>
        <w:r>
          <w:rPr>
            <w:rFonts w:asciiTheme="minorHAnsi" w:eastAsiaTheme="minorEastAsia" w:hAnsiTheme="minorHAnsi" w:cstheme="minorBidi"/>
            <w:noProof/>
            <w:sz w:val="22"/>
            <w:szCs w:val="22"/>
          </w:rPr>
          <w:tab/>
        </w:r>
        <w:r w:rsidRPr="001B13A4">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_Toc181684446 \h </w:instrText>
        </w:r>
        <w:r>
          <w:rPr>
            <w:noProof/>
            <w:webHidden/>
          </w:rPr>
        </w:r>
        <w:r>
          <w:rPr>
            <w:noProof/>
            <w:webHidden/>
          </w:rPr>
          <w:fldChar w:fldCharType="separate"/>
        </w:r>
        <w:r>
          <w:rPr>
            <w:noProof/>
            <w:webHidden/>
          </w:rPr>
          <w:t>547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7" w:history="1">
        <w:r w:rsidRPr="001B13A4">
          <w:rPr>
            <w:rStyle w:val="Hyperlink"/>
            <w:noProof/>
          </w:rPr>
          <w:t>2.1.1411</w:t>
        </w:r>
        <w:r>
          <w:rPr>
            <w:rFonts w:asciiTheme="minorHAnsi" w:eastAsiaTheme="minorEastAsia" w:hAnsiTheme="minorHAnsi" w:cstheme="minorBidi"/>
            <w:noProof/>
            <w:sz w:val="22"/>
            <w:szCs w:val="22"/>
          </w:rPr>
          <w:tab/>
        </w:r>
        <w:r w:rsidRPr="001B13A4">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_Toc181684447 \h </w:instrText>
        </w:r>
        <w:r>
          <w:rPr>
            <w:noProof/>
            <w:webHidden/>
          </w:rPr>
        </w:r>
        <w:r>
          <w:rPr>
            <w:noProof/>
            <w:webHidden/>
          </w:rPr>
          <w:fldChar w:fldCharType="separate"/>
        </w:r>
        <w:r>
          <w:rPr>
            <w:noProof/>
            <w:webHidden/>
          </w:rPr>
          <w:t>547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8" w:history="1">
        <w:r w:rsidRPr="001B13A4">
          <w:rPr>
            <w:rStyle w:val="Hyperlink"/>
            <w:noProof/>
          </w:rPr>
          <w:t>2.1.1412</w:t>
        </w:r>
        <w:r>
          <w:rPr>
            <w:rFonts w:asciiTheme="minorHAnsi" w:eastAsiaTheme="minorEastAsia" w:hAnsiTheme="minorHAnsi" w:cstheme="minorBidi"/>
            <w:noProof/>
            <w:sz w:val="22"/>
            <w:szCs w:val="22"/>
          </w:rPr>
          <w:tab/>
        </w:r>
        <w:r w:rsidRPr="001B13A4">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_Toc181684448 \h </w:instrText>
        </w:r>
        <w:r>
          <w:rPr>
            <w:noProof/>
            <w:webHidden/>
          </w:rPr>
        </w:r>
        <w:r>
          <w:rPr>
            <w:noProof/>
            <w:webHidden/>
          </w:rPr>
          <w:fldChar w:fldCharType="separate"/>
        </w:r>
        <w:r>
          <w:rPr>
            <w:noProof/>
            <w:webHidden/>
          </w:rPr>
          <w:t>547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49" w:history="1">
        <w:r w:rsidRPr="001B13A4">
          <w:rPr>
            <w:rStyle w:val="Hyperlink"/>
            <w:noProof/>
          </w:rPr>
          <w:t>2.1.1413</w:t>
        </w:r>
        <w:r>
          <w:rPr>
            <w:rFonts w:asciiTheme="minorHAnsi" w:eastAsiaTheme="minorEastAsia" w:hAnsiTheme="minorHAnsi" w:cstheme="minorBidi"/>
            <w:noProof/>
            <w:sz w:val="22"/>
            <w:szCs w:val="22"/>
          </w:rPr>
          <w:tab/>
        </w:r>
        <w:r w:rsidRPr="001B13A4">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_Toc181684449 \h </w:instrText>
        </w:r>
        <w:r>
          <w:rPr>
            <w:noProof/>
            <w:webHidden/>
          </w:rPr>
        </w:r>
        <w:r>
          <w:rPr>
            <w:noProof/>
            <w:webHidden/>
          </w:rPr>
          <w:fldChar w:fldCharType="separate"/>
        </w:r>
        <w:r>
          <w:rPr>
            <w:noProof/>
            <w:webHidden/>
          </w:rPr>
          <w:t>548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0" w:history="1">
        <w:r w:rsidRPr="001B13A4">
          <w:rPr>
            <w:rStyle w:val="Hyperlink"/>
            <w:noProof/>
          </w:rPr>
          <w:t>2.1.1414</w:t>
        </w:r>
        <w:r>
          <w:rPr>
            <w:rFonts w:asciiTheme="minorHAnsi" w:eastAsiaTheme="minorEastAsia" w:hAnsiTheme="minorHAnsi" w:cstheme="minorBidi"/>
            <w:noProof/>
            <w:sz w:val="22"/>
            <w:szCs w:val="22"/>
          </w:rPr>
          <w:tab/>
        </w:r>
        <w:r w:rsidRPr="001B13A4">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_Toc181684450 \h </w:instrText>
        </w:r>
        <w:r>
          <w:rPr>
            <w:noProof/>
            <w:webHidden/>
          </w:rPr>
        </w:r>
        <w:r>
          <w:rPr>
            <w:noProof/>
            <w:webHidden/>
          </w:rPr>
          <w:fldChar w:fldCharType="separate"/>
        </w:r>
        <w:r>
          <w:rPr>
            <w:noProof/>
            <w:webHidden/>
          </w:rPr>
          <w:t>548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1" w:history="1">
        <w:r w:rsidRPr="001B13A4">
          <w:rPr>
            <w:rStyle w:val="Hyperlink"/>
            <w:noProof/>
          </w:rPr>
          <w:t>2.1.1415</w:t>
        </w:r>
        <w:r>
          <w:rPr>
            <w:rFonts w:asciiTheme="minorHAnsi" w:eastAsiaTheme="minorEastAsia" w:hAnsiTheme="minorHAnsi" w:cstheme="minorBidi"/>
            <w:noProof/>
            <w:sz w:val="22"/>
            <w:szCs w:val="22"/>
          </w:rPr>
          <w:tab/>
        </w:r>
        <w:r w:rsidRPr="001B13A4">
          <w:rPr>
            <w:rStyle w:val="Hyperlink"/>
            <w:noProof/>
          </w:rPr>
          <w:t>Part 1 Section 21.1.3.1, cell3D (Cell 3-D)</w:t>
        </w:r>
        <w:r>
          <w:rPr>
            <w:noProof/>
            <w:webHidden/>
          </w:rPr>
          <w:tab/>
        </w:r>
        <w:r>
          <w:rPr>
            <w:noProof/>
            <w:webHidden/>
          </w:rPr>
          <w:fldChar w:fldCharType="begin"/>
        </w:r>
        <w:r>
          <w:rPr>
            <w:noProof/>
            <w:webHidden/>
          </w:rPr>
          <w:instrText xml:space="preserve"> PAGEREF _Toc181684451 \h </w:instrText>
        </w:r>
        <w:r>
          <w:rPr>
            <w:noProof/>
            <w:webHidden/>
          </w:rPr>
        </w:r>
        <w:r>
          <w:rPr>
            <w:noProof/>
            <w:webHidden/>
          </w:rPr>
          <w:fldChar w:fldCharType="separate"/>
        </w:r>
        <w:r>
          <w:rPr>
            <w:noProof/>
            <w:webHidden/>
          </w:rPr>
          <w:t>548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2" w:history="1">
        <w:r w:rsidRPr="001B13A4">
          <w:rPr>
            <w:rStyle w:val="Hyperlink"/>
            <w:noProof/>
          </w:rPr>
          <w:t>2.1.1416</w:t>
        </w:r>
        <w:r>
          <w:rPr>
            <w:rFonts w:asciiTheme="minorHAnsi" w:eastAsiaTheme="minorEastAsia" w:hAnsiTheme="minorHAnsi" w:cstheme="minorBidi"/>
            <w:noProof/>
            <w:sz w:val="22"/>
            <w:szCs w:val="22"/>
          </w:rPr>
          <w:tab/>
        </w:r>
        <w:r w:rsidRPr="001B13A4">
          <w:rPr>
            <w:rStyle w:val="Hyperlink"/>
            <w:noProof/>
          </w:rPr>
          <w:t>Part 1 Section 21.1.3.2, gridCol (Table Grid Column)</w:t>
        </w:r>
        <w:r>
          <w:rPr>
            <w:noProof/>
            <w:webHidden/>
          </w:rPr>
          <w:tab/>
        </w:r>
        <w:r>
          <w:rPr>
            <w:noProof/>
            <w:webHidden/>
          </w:rPr>
          <w:fldChar w:fldCharType="begin"/>
        </w:r>
        <w:r>
          <w:rPr>
            <w:noProof/>
            <w:webHidden/>
          </w:rPr>
          <w:instrText xml:space="preserve"> PAGEREF _Toc181684452 \h </w:instrText>
        </w:r>
        <w:r>
          <w:rPr>
            <w:noProof/>
            <w:webHidden/>
          </w:rPr>
        </w:r>
        <w:r>
          <w:rPr>
            <w:noProof/>
            <w:webHidden/>
          </w:rPr>
          <w:fldChar w:fldCharType="separate"/>
        </w:r>
        <w:r>
          <w:rPr>
            <w:noProof/>
            <w:webHidden/>
          </w:rPr>
          <w:t>548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3" w:history="1">
        <w:r w:rsidRPr="001B13A4">
          <w:rPr>
            <w:rStyle w:val="Hyperlink"/>
            <w:noProof/>
          </w:rPr>
          <w:t>2.1.1417</w:t>
        </w:r>
        <w:r>
          <w:rPr>
            <w:rFonts w:asciiTheme="minorHAnsi" w:eastAsiaTheme="minorEastAsia" w:hAnsiTheme="minorHAnsi" w:cstheme="minorBidi"/>
            <w:noProof/>
            <w:sz w:val="22"/>
            <w:szCs w:val="22"/>
          </w:rPr>
          <w:tab/>
        </w:r>
        <w:r w:rsidRPr="001B13A4">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_Toc181684453 \h </w:instrText>
        </w:r>
        <w:r>
          <w:rPr>
            <w:noProof/>
            <w:webHidden/>
          </w:rPr>
        </w:r>
        <w:r>
          <w:rPr>
            <w:noProof/>
            <w:webHidden/>
          </w:rPr>
          <w:fldChar w:fldCharType="separate"/>
        </w:r>
        <w:r>
          <w:rPr>
            <w:noProof/>
            <w:webHidden/>
          </w:rPr>
          <w:t>548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4" w:history="1">
        <w:r w:rsidRPr="001B13A4">
          <w:rPr>
            <w:rStyle w:val="Hyperlink"/>
            <w:noProof/>
          </w:rPr>
          <w:t>2.1.1418</w:t>
        </w:r>
        <w:r>
          <w:rPr>
            <w:rFonts w:asciiTheme="minorHAnsi" w:eastAsiaTheme="minorEastAsia" w:hAnsiTheme="minorHAnsi" w:cstheme="minorBidi"/>
            <w:noProof/>
            <w:sz w:val="22"/>
            <w:szCs w:val="22"/>
          </w:rPr>
          <w:tab/>
        </w:r>
        <w:r w:rsidRPr="001B13A4">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_Toc181684454 \h </w:instrText>
        </w:r>
        <w:r>
          <w:rPr>
            <w:noProof/>
            <w:webHidden/>
          </w:rPr>
        </w:r>
        <w:r>
          <w:rPr>
            <w:noProof/>
            <w:webHidden/>
          </w:rPr>
          <w:fldChar w:fldCharType="separate"/>
        </w:r>
        <w:r>
          <w:rPr>
            <w:noProof/>
            <w:webHidden/>
          </w:rPr>
          <w:t>548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5" w:history="1">
        <w:r w:rsidRPr="001B13A4">
          <w:rPr>
            <w:rStyle w:val="Hyperlink"/>
            <w:noProof/>
          </w:rPr>
          <w:t>2.1.1419</w:t>
        </w:r>
        <w:r>
          <w:rPr>
            <w:rFonts w:asciiTheme="minorHAnsi" w:eastAsiaTheme="minorEastAsia" w:hAnsiTheme="minorHAnsi" w:cstheme="minorBidi"/>
            <w:noProof/>
            <w:sz w:val="22"/>
            <w:szCs w:val="22"/>
          </w:rPr>
          <w:tab/>
        </w:r>
        <w:r w:rsidRPr="001B13A4">
          <w:rPr>
            <w:rStyle w:val="Hyperlink"/>
            <w:noProof/>
          </w:rPr>
          <w:t>Part 1 Section 21.1.3.7, lnL (Left Border Line Properties)</w:t>
        </w:r>
        <w:r>
          <w:rPr>
            <w:noProof/>
            <w:webHidden/>
          </w:rPr>
          <w:tab/>
        </w:r>
        <w:r>
          <w:rPr>
            <w:noProof/>
            <w:webHidden/>
          </w:rPr>
          <w:fldChar w:fldCharType="begin"/>
        </w:r>
        <w:r>
          <w:rPr>
            <w:noProof/>
            <w:webHidden/>
          </w:rPr>
          <w:instrText xml:space="preserve"> PAGEREF _Toc181684455 \h </w:instrText>
        </w:r>
        <w:r>
          <w:rPr>
            <w:noProof/>
            <w:webHidden/>
          </w:rPr>
        </w:r>
        <w:r>
          <w:rPr>
            <w:noProof/>
            <w:webHidden/>
          </w:rPr>
          <w:fldChar w:fldCharType="separate"/>
        </w:r>
        <w:r>
          <w:rPr>
            <w:noProof/>
            <w:webHidden/>
          </w:rPr>
          <w:t>548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6" w:history="1">
        <w:r w:rsidRPr="001B13A4">
          <w:rPr>
            <w:rStyle w:val="Hyperlink"/>
            <w:noProof/>
          </w:rPr>
          <w:t>2.1.1420</w:t>
        </w:r>
        <w:r>
          <w:rPr>
            <w:rFonts w:asciiTheme="minorHAnsi" w:eastAsiaTheme="minorEastAsia" w:hAnsiTheme="minorHAnsi" w:cstheme="minorBidi"/>
            <w:noProof/>
            <w:sz w:val="22"/>
            <w:szCs w:val="22"/>
          </w:rPr>
          <w:tab/>
        </w:r>
        <w:r w:rsidRPr="001B13A4">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_Toc181684456 \h </w:instrText>
        </w:r>
        <w:r>
          <w:rPr>
            <w:noProof/>
            <w:webHidden/>
          </w:rPr>
        </w:r>
        <w:r>
          <w:rPr>
            <w:noProof/>
            <w:webHidden/>
          </w:rPr>
          <w:fldChar w:fldCharType="separate"/>
        </w:r>
        <w:r>
          <w:rPr>
            <w:noProof/>
            <w:webHidden/>
          </w:rPr>
          <w:t>548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7" w:history="1">
        <w:r w:rsidRPr="001B13A4">
          <w:rPr>
            <w:rStyle w:val="Hyperlink"/>
            <w:noProof/>
          </w:rPr>
          <w:t>2.1.1421</w:t>
        </w:r>
        <w:r>
          <w:rPr>
            <w:rFonts w:asciiTheme="minorHAnsi" w:eastAsiaTheme="minorEastAsia" w:hAnsiTheme="minorHAnsi" w:cstheme="minorBidi"/>
            <w:noProof/>
            <w:sz w:val="22"/>
            <w:szCs w:val="22"/>
          </w:rPr>
          <w:tab/>
        </w:r>
        <w:r w:rsidRPr="001B13A4">
          <w:rPr>
            <w:rStyle w:val="Hyperlink"/>
            <w:noProof/>
          </w:rPr>
          <w:t>Part 1 Section 21.1.3.9, lnT (Top Border Line Properties)</w:t>
        </w:r>
        <w:r>
          <w:rPr>
            <w:noProof/>
            <w:webHidden/>
          </w:rPr>
          <w:tab/>
        </w:r>
        <w:r>
          <w:rPr>
            <w:noProof/>
            <w:webHidden/>
          </w:rPr>
          <w:fldChar w:fldCharType="begin"/>
        </w:r>
        <w:r>
          <w:rPr>
            <w:noProof/>
            <w:webHidden/>
          </w:rPr>
          <w:instrText xml:space="preserve"> PAGEREF _Toc181684457 \h </w:instrText>
        </w:r>
        <w:r>
          <w:rPr>
            <w:noProof/>
            <w:webHidden/>
          </w:rPr>
        </w:r>
        <w:r>
          <w:rPr>
            <w:noProof/>
            <w:webHidden/>
          </w:rPr>
          <w:fldChar w:fldCharType="separate"/>
        </w:r>
        <w:r>
          <w:rPr>
            <w:noProof/>
            <w:webHidden/>
          </w:rPr>
          <w:t>548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8" w:history="1">
        <w:r w:rsidRPr="001B13A4">
          <w:rPr>
            <w:rStyle w:val="Hyperlink"/>
            <w:noProof/>
          </w:rPr>
          <w:t>2.1.1422</w:t>
        </w:r>
        <w:r>
          <w:rPr>
            <w:rFonts w:asciiTheme="minorHAnsi" w:eastAsiaTheme="minorEastAsia" w:hAnsiTheme="minorHAnsi" w:cstheme="minorBidi"/>
            <w:noProof/>
            <w:sz w:val="22"/>
            <w:szCs w:val="22"/>
          </w:rPr>
          <w:tab/>
        </w:r>
        <w:r w:rsidRPr="001B13A4">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_Toc181684458 \h </w:instrText>
        </w:r>
        <w:r>
          <w:rPr>
            <w:noProof/>
            <w:webHidden/>
          </w:rPr>
        </w:r>
        <w:r>
          <w:rPr>
            <w:noProof/>
            <w:webHidden/>
          </w:rPr>
          <w:fldChar w:fldCharType="separate"/>
        </w:r>
        <w:r>
          <w:rPr>
            <w:noProof/>
            <w:webHidden/>
          </w:rPr>
          <w:t>549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59" w:history="1">
        <w:r w:rsidRPr="001B13A4">
          <w:rPr>
            <w:rStyle w:val="Hyperlink"/>
            <w:noProof/>
          </w:rPr>
          <w:t>2.1.1423</w:t>
        </w:r>
        <w:r>
          <w:rPr>
            <w:rFonts w:asciiTheme="minorHAnsi" w:eastAsiaTheme="minorEastAsia" w:hAnsiTheme="minorHAnsi" w:cstheme="minorBidi"/>
            <w:noProof/>
            <w:sz w:val="22"/>
            <w:szCs w:val="22"/>
          </w:rPr>
          <w:tab/>
        </w:r>
        <w:r w:rsidRPr="001B13A4">
          <w:rPr>
            <w:rStyle w:val="Hyperlink"/>
            <w:noProof/>
          </w:rPr>
          <w:t>Part 1 Section 21.1.3.12, tableStyleId (Table Style ID)</w:t>
        </w:r>
        <w:r>
          <w:rPr>
            <w:noProof/>
            <w:webHidden/>
          </w:rPr>
          <w:tab/>
        </w:r>
        <w:r>
          <w:rPr>
            <w:noProof/>
            <w:webHidden/>
          </w:rPr>
          <w:fldChar w:fldCharType="begin"/>
        </w:r>
        <w:r>
          <w:rPr>
            <w:noProof/>
            <w:webHidden/>
          </w:rPr>
          <w:instrText xml:space="preserve"> PAGEREF _Toc181684459 \h </w:instrText>
        </w:r>
        <w:r>
          <w:rPr>
            <w:noProof/>
            <w:webHidden/>
          </w:rPr>
        </w:r>
        <w:r>
          <w:rPr>
            <w:noProof/>
            <w:webHidden/>
          </w:rPr>
          <w:fldChar w:fldCharType="separate"/>
        </w:r>
        <w:r>
          <w:rPr>
            <w:noProof/>
            <w:webHidden/>
          </w:rPr>
          <w:t>549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0" w:history="1">
        <w:r w:rsidRPr="001B13A4">
          <w:rPr>
            <w:rStyle w:val="Hyperlink"/>
            <w:noProof/>
          </w:rPr>
          <w:t>2.1.1424</w:t>
        </w:r>
        <w:r>
          <w:rPr>
            <w:rFonts w:asciiTheme="minorHAnsi" w:eastAsiaTheme="minorEastAsia" w:hAnsiTheme="minorHAnsi" w:cstheme="minorBidi"/>
            <w:noProof/>
            <w:sz w:val="22"/>
            <w:szCs w:val="22"/>
          </w:rPr>
          <w:tab/>
        </w:r>
        <w:r w:rsidRPr="001B13A4">
          <w:rPr>
            <w:rStyle w:val="Hyperlink"/>
            <w:noProof/>
          </w:rPr>
          <w:t>Part 1 Section 21.1.3.13, tbl (Table)</w:t>
        </w:r>
        <w:r>
          <w:rPr>
            <w:noProof/>
            <w:webHidden/>
          </w:rPr>
          <w:tab/>
        </w:r>
        <w:r>
          <w:rPr>
            <w:noProof/>
            <w:webHidden/>
          </w:rPr>
          <w:fldChar w:fldCharType="begin"/>
        </w:r>
        <w:r>
          <w:rPr>
            <w:noProof/>
            <w:webHidden/>
          </w:rPr>
          <w:instrText xml:space="preserve"> PAGEREF _Toc181684460 \h </w:instrText>
        </w:r>
        <w:r>
          <w:rPr>
            <w:noProof/>
            <w:webHidden/>
          </w:rPr>
        </w:r>
        <w:r>
          <w:rPr>
            <w:noProof/>
            <w:webHidden/>
          </w:rPr>
          <w:fldChar w:fldCharType="separate"/>
        </w:r>
        <w:r>
          <w:rPr>
            <w:noProof/>
            <w:webHidden/>
          </w:rPr>
          <w:t>549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1" w:history="1">
        <w:r w:rsidRPr="001B13A4">
          <w:rPr>
            <w:rStyle w:val="Hyperlink"/>
            <w:noProof/>
          </w:rPr>
          <w:t>2.1.1425</w:t>
        </w:r>
        <w:r>
          <w:rPr>
            <w:rFonts w:asciiTheme="minorHAnsi" w:eastAsiaTheme="minorEastAsia" w:hAnsiTheme="minorHAnsi" w:cstheme="minorBidi"/>
            <w:noProof/>
            <w:sz w:val="22"/>
            <w:szCs w:val="22"/>
          </w:rPr>
          <w:tab/>
        </w:r>
        <w:r w:rsidRPr="001B13A4">
          <w:rPr>
            <w:rStyle w:val="Hyperlink"/>
            <w:noProof/>
          </w:rPr>
          <w:t>Part 1 Section 21.1.3.14, tblGrid (Table Grid)</w:t>
        </w:r>
        <w:r>
          <w:rPr>
            <w:noProof/>
            <w:webHidden/>
          </w:rPr>
          <w:tab/>
        </w:r>
        <w:r>
          <w:rPr>
            <w:noProof/>
            <w:webHidden/>
          </w:rPr>
          <w:fldChar w:fldCharType="begin"/>
        </w:r>
        <w:r>
          <w:rPr>
            <w:noProof/>
            <w:webHidden/>
          </w:rPr>
          <w:instrText xml:space="preserve"> PAGEREF _Toc181684461 \h </w:instrText>
        </w:r>
        <w:r>
          <w:rPr>
            <w:noProof/>
            <w:webHidden/>
          </w:rPr>
        </w:r>
        <w:r>
          <w:rPr>
            <w:noProof/>
            <w:webHidden/>
          </w:rPr>
          <w:fldChar w:fldCharType="separate"/>
        </w:r>
        <w:r>
          <w:rPr>
            <w:noProof/>
            <w:webHidden/>
          </w:rPr>
          <w:t>550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2" w:history="1">
        <w:r w:rsidRPr="001B13A4">
          <w:rPr>
            <w:rStyle w:val="Hyperlink"/>
            <w:noProof/>
          </w:rPr>
          <w:t>2.1.1426</w:t>
        </w:r>
        <w:r>
          <w:rPr>
            <w:rFonts w:asciiTheme="minorHAnsi" w:eastAsiaTheme="minorEastAsia" w:hAnsiTheme="minorHAnsi" w:cstheme="minorBidi"/>
            <w:noProof/>
            <w:sz w:val="22"/>
            <w:szCs w:val="22"/>
          </w:rPr>
          <w:tab/>
        </w:r>
        <w:r w:rsidRPr="001B13A4">
          <w:rPr>
            <w:rStyle w:val="Hyperlink"/>
            <w:noProof/>
          </w:rPr>
          <w:t>Part 1 Section 21.1.3.16, tc (Table Cell)</w:t>
        </w:r>
        <w:r>
          <w:rPr>
            <w:noProof/>
            <w:webHidden/>
          </w:rPr>
          <w:tab/>
        </w:r>
        <w:r>
          <w:rPr>
            <w:noProof/>
            <w:webHidden/>
          </w:rPr>
          <w:fldChar w:fldCharType="begin"/>
        </w:r>
        <w:r>
          <w:rPr>
            <w:noProof/>
            <w:webHidden/>
          </w:rPr>
          <w:instrText xml:space="preserve"> PAGEREF _Toc181684462 \h </w:instrText>
        </w:r>
        <w:r>
          <w:rPr>
            <w:noProof/>
            <w:webHidden/>
          </w:rPr>
        </w:r>
        <w:r>
          <w:rPr>
            <w:noProof/>
            <w:webHidden/>
          </w:rPr>
          <w:fldChar w:fldCharType="separate"/>
        </w:r>
        <w:r>
          <w:rPr>
            <w:noProof/>
            <w:webHidden/>
          </w:rPr>
          <w:t>550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3" w:history="1">
        <w:r w:rsidRPr="001B13A4">
          <w:rPr>
            <w:rStyle w:val="Hyperlink"/>
            <w:noProof/>
          </w:rPr>
          <w:t>2.1.1427</w:t>
        </w:r>
        <w:r>
          <w:rPr>
            <w:rFonts w:asciiTheme="minorHAnsi" w:eastAsiaTheme="minorEastAsia" w:hAnsiTheme="minorHAnsi" w:cstheme="minorBidi"/>
            <w:noProof/>
            <w:sz w:val="22"/>
            <w:szCs w:val="22"/>
          </w:rPr>
          <w:tab/>
        </w:r>
        <w:r w:rsidRPr="001B13A4">
          <w:rPr>
            <w:rStyle w:val="Hyperlink"/>
            <w:noProof/>
          </w:rPr>
          <w:t>Part 1 Section 21.1.3.18, tr (Table Row)</w:t>
        </w:r>
        <w:r>
          <w:rPr>
            <w:noProof/>
            <w:webHidden/>
          </w:rPr>
          <w:tab/>
        </w:r>
        <w:r>
          <w:rPr>
            <w:noProof/>
            <w:webHidden/>
          </w:rPr>
          <w:fldChar w:fldCharType="begin"/>
        </w:r>
        <w:r>
          <w:rPr>
            <w:noProof/>
            <w:webHidden/>
          </w:rPr>
          <w:instrText xml:space="preserve"> PAGEREF _Toc181684463 \h </w:instrText>
        </w:r>
        <w:r>
          <w:rPr>
            <w:noProof/>
            <w:webHidden/>
          </w:rPr>
        </w:r>
        <w:r>
          <w:rPr>
            <w:noProof/>
            <w:webHidden/>
          </w:rPr>
          <w:fldChar w:fldCharType="separate"/>
        </w:r>
        <w:r>
          <w:rPr>
            <w:noProof/>
            <w:webHidden/>
          </w:rPr>
          <w:t>550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4" w:history="1">
        <w:r w:rsidRPr="001B13A4">
          <w:rPr>
            <w:rStyle w:val="Hyperlink"/>
            <w:noProof/>
          </w:rPr>
          <w:t>2.1.1428</w:t>
        </w:r>
        <w:r>
          <w:rPr>
            <w:rFonts w:asciiTheme="minorHAnsi" w:eastAsiaTheme="minorEastAsia" w:hAnsiTheme="minorHAnsi" w:cstheme="minorBidi"/>
            <w:noProof/>
            <w:sz w:val="22"/>
            <w:szCs w:val="22"/>
          </w:rPr>
          <w:tab/>
        </w:r>
        <w:r w:rsidRPr="001B13A4">
          <w:rPr>
            <w:rStyle w:val="Hyperlink"/>
            <w:noProof/>
          </w:rPr>
          <w:t>Part 1 Section 21.2.2.2, applyToFront (Apply To Front)</w:t>
        </w:r>
        <w:r>
          <w:rPr>
            <w:noProof/>
            <w:webHidden/>
          </w:rPr>
          <w:tab/>
        </w:r>
        <w:r>
          <w:rPr>
            <w:noProof/>
            <w:webHidden/>
          </w:rPr>
          <w:fldChar w:fldCharType="begin"/>
        </w:r>
        <w:r>
          <w:rPr>
            <w:noProof/>
            <w:webHidden/>
          </w:rPr>
          <w:instrText xml:space="preserve"> PAGEREF _Toc181684464 \h </w:instrText>
        </w:r>
        <w:r>
          <w:rPr>
            <w:noProof/>
            <w:webHidden/>
          </w:rPr>
        </w:r>
        <w:r>
          <w:rPr>
            <w:noProof/>
            <w:webHidden/>
          </w:rPr>
          <w:fldChar w:fldCharType="separate"/>
        </w:r>
        <w:r>
          <w:rPr>
            <w:noProof/>
            <w:webHidden/>
          </w:rPr>
          <w:t>550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5" w:history="1">
        <w:r w:rsidRPr="001B13A4">
          <w:rPr>
            <w:rStyle w:val="Hyperlink"/>
            <w:noProof/>
          </w:rPr>
          <w:t>2.1.1429</w:t>
        </w:r>
        <w:r>
          <w:rPr>
            <w:rFonts w:asciiTheme="minorHAnsi" w:eastAsiaTheme="minorEastAsia" w:hAnsiTheme="minorHAnsi" w:cstheme="minorBidi"/>
            <w:noProof/>
            <w:sz w:val="22"/>
            <w:szCs w:val="22"/>
          </w:rPr>
          <w:tab/>
        </w:r>
        <w:r w:rsidRPr="001B13A4">
          <w:rPr>
            <w:rStyle w:val="Hyperlink"/>
            <w:noProof/>
          </w:rPr>
          <w:t>Part 1 Section 21.2.2.3, applyToSides (Apply To Sides)</w:t>
        </w:r>
        <w:r>
          <w:rPr>
            <w:noProof/>
            <w:webHidden/>
          </w:rPr>
          <w:tab/>
        </w:r>
        <w:r>
          <w:rPr>
            <w:noProof/>
            <w:webHidden/>
          </w:rPr>
          <w:fldChar w:fldCharType="begin"/>
        </w:r>
        <w:r>
          <w:rPr>
            <w:noProof/>
            <w:webHidden/>
          </w:rPr>
          <w:instrText xml:space="preserve"> PAGEREF _Toc181684465 \h </w:instrText>
        </w:r>
        <w:r>
          <w:rPr>
            <w:noProof/>
            <w:webHidden/>
          </w:rPr>
        </w:r>
        <w:r>
          <w:rPr>
            <w:noProof/>
            <w:webHidden/>
          </w:rPr>
          <w:fldChar w:fldCharType="separate"/>
        </w:r>
        <w:r>
          <w:rPr>
            <w:noProof/>
            <w:webHidden/>
          </w:rPr>
          <w:t>551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6" w:history="1">
        <w:r w:rsidRPr="001B13A4">
          <w:rPr>
            <w:rStyle w:val="Hyperlink"/>
            <w:noProof/>
          </w:rPr>
          <w:t>2.1.1430</w:t>
        </w:r>
        <w:r>
          <w:rPr>
            <w:rFonts w:asciiTheme="minorHAnsi" w:eastAsiaTheme="minorEastAsia" w:hAnsiTheme="minorHAnsi" w:cstheme="minorBidi"/>
            <w:noProof/>
            <w:sz w:val="22"/>
            <w:szCs w:val="22"/>
          </w:rPr>
          <w:tab/>
        </w:r>
        <w:r w:rsidRPr="001B13A4">
          <w:rPr>
            <w:rStyle w:val="Hyperlink"/>
            <w:noProof/>
          </w:rPr>
          <w:t>Part 1 Section 21.2.2.5, areaChart (Area Charts)</w:t>
        </w:r>
        <w:r>
          <w:rPr>
            <w:noProof/>
            <w:webHidden/>
          </w:rPr>
          <w:tab/>
        </w:r>
        <w:r>
          <w:rPr>
            <w:noProof/>
            <w:webHidden/>
          </w:rPr>
          <w:fldChar w:fldCharType="begin"/>
        </w:r>
        <w:r>
          <w:rPr>
            <w:noProof/>
            <w:webHidden/>
          </w:rPr>
          <w:instrText xml:space="preserve"> PAGEREF _Toc181684466 \h </w:instrText>
        </w:r>
        <w:r>
          <w:rPr>
            <w:noProof/>
            <w:webHidden/>
          </w:rPr>
        </w:r>
        <w:r>
          <w:rPr>
            <w:noProof/>
            <w:webHidden/>
          </w:rPr>
          <w:fldChar w:fldCharType="separate"/>
        </w:r>
        <w:r>
          <w:rPr>
            <w:noProof/>
            <w:webHidden/>
          </w:rPr>
          <w:t>551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7" w:history="1">
        <w:r w:rsidRPr="001B13A4">
          <w:rPr>
            <w:rStyle w:val="Hyperlink"/>
            <w:noProof/>
          </w:rPr>
          <w:t>2.1.1431</w:t>
        </w:r>
        <w:r>
          <w:rPr>
            <w:rFonts w:asciiTheme="minorHAnsi" w:eastAsiaTheme="minorEastAsia" w:hAnsiTheme="minorHAnsi" w:cstheme="minorBidi"/>
            <w:noProof/>
            <w:sz w:val="22"/>
            <w:szCs w:val="22"/>
          </w:rPr>
          <w:tab/>
        </w:r>
        <w:r w:rsidRPr="001B13A4">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_Toc181684467 \h </w:instrText>
        </w:r>
        <w:r>
          <w:rPr>
            <w:noProof/>
            <w:webHidden/>
          </w:rPr>
        </w:r>
        <w:r>
          <w:rPr>
            <w:noProof/>
            <w:webHidden/>
          </w:rPr>
          <w:fldChar w:fldCharType="separate"/>
        </w:r>
        <w:r>
          <w:rPr>
            <w:noProof/>
            <w:webHidden/>
          </w:rPr>
          <w:t>551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8" w:history="1">
        <w:r w:rsidRPr="001B13A4">
          <w:rPr>
            <w:rStyle w:val="Hyperlink"/>
            <w:noProof/>
          </w:rPr>
          <w:t>2.1.1432</w:t>
        </w:r>
        <w:r>
          <w:rPr>
            <w:rFonts w:asciiTheme="minorHAnsi" w:eastAsiaTheme="minorEastAsia" w:hAnsiTheme="minorHAnsi" w:cstheme="minorBidi"/>
            <w:noProof/>
            <w:sz w:val="22"/>
            <w:szCs w:val="22"/>
          </w:rPr>
          <w:tab/>
        </w:r>
        <w:r w:rsidRPr="001B13A4">
          <w:rPr>
            <w:rStyle w:val="Hyperlink"/>
            <w:noProof/>
          </w:rPr>
          <w:t>Part 1 Section 21.2.2.9, axId (Axis ID)</w:t>
        </w:r>
        <w:r>
          <w:rPr>
            <w:noProof/>
            <w:webHidden/>
          </w:rPr>
          <w:tab/>
        </w:r>
        <w:r>
          <w:rPr>
            <w:noProof/>
            <w:webHidden/>
          </w:rPr>
          <w:fldChar w:fldCharType="begin"/>
        </w:r>
        <w:r>
          <w:rPr>
            <w:noProof/>
            <w:webHidden/>
          </w:rPr>
          <w:instrText xml:space="preserve"> PAGEREF _Toc181684468 \h </w:instrText>
        </w:r>
        <w:r>
          <w:rPr>
            <w:noProof/>
            <w:webHidden/>
          </w:rPr>
        </w:r>
        <w:r>
          <w:rPr>
            <w:noProof/>
            <w:webHidden/>
          </w:rPr>
          <w:fldChar w:fldCharType="separate"/>
        </w:r>
        <w:r>
          <w:rPr>
            <w:noProof/>
            <w:webHidden/>
          </w:rPr>
          <w:t>551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69" w:history="1">
        <w:r w:rsidRPr="001B13A4">
          <w:rPr>
            <w:rStyle w:val="Hyperlink"/>
            <w:noProof/>
          </w:rPr>
          <w:t>2.1.1433</w:t>
        </w:r>
        <w:r>
          <w:rPr>
            <w:rFonts w:asciiTheme="minorHAnsi" w:eastAsiaTheme="minorEastAsia" w:hAnsiTheme="minorHAnsi" w:cstheme="minorBidi"/>
            <w:noProof/>
            <w:sz w:val="22"/>
            <w:szCs w:val="22"/>
          </w:rPr>
          <w:tab/>
        </w:r>
        <w:r w:rsidRPr="001B13A4">
          <w:rPr>
            <w:rStyle w:val="Hyperlink"/>
            <w:noProof/>
          </w:rPr>
          <w:t>Part 1 Section 21.2.2.10, axPos (Axis Position)</w:t>
        </w:r>
        <w:r>
          <w:rPr>
            <w:noProof/>
            <w:webHidden/>
          </w:rPr>
          <w:tab/>
        </w:r>
        <w:r>
          <w:rPr>
            <w:noProof/>
            <w:webHidden/>
          </w:rPr>
          <w:fldChar w:fldCharType="begin"/>
        </w:r>
        <w:r>
          <w:rPr>
            <w:noProof/>
            <w:webHidden/>
          </w:rPr>
          <w:instrText xml:space="preserve"> PAGEREF _Toc181684469 \h </w:instrText>
        </w:r>
        <w:r>
          <w:rPr>
            <w:noProof/>
            <w:webHidden/>
          </w:rPr>
        </w:r>
        <w:r>
          <w:rPr>
            <w:noProof/>
            <w:webHidden/>
          </w:rPr>
          <w:fldChar w:fldCharType="separate"/>
        </w:r>
        <w:r>
          <w:rPr>
            <w:noProof/>
            <w:webHidden/>
          </w:rPr>
          <w:t>551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0" w:history="1">
        <w:r w:rsidRPr="001B13A4">
          <w:rPr>
            <w:rStyle w:val="Hyperlink"/>
            <w:noProof/>
          </w:rPr>
          <w:t>2.1.1434</w:t>
        </w:r>
        <w:r>
          <w:rPr>
            <w:rFonts w:asciiTheme="minorHAnsi" w:eastAsiaTheme="minorEastAsia" w:hAnsiTheme="minorHAnsi" w:cstheme="minorBidi"/>
            <w:noProof/>
            <w:sz w:val="22"/>
            <w:szCs w:val="22"/>
          </w:rPr>
          <w:tab/>
        </w:r>
        <w:r w:rsidRPr="001B13A4">
          <w:rPr>
            <w:rStyle w:val="Hyperlink"/>
            <w:noProof/>
          </w:rPr>
          <w:t>Part 1 Section 21.2.2.11, backWall (Back Wall)</w:t>
        </w:r>
        <w:r>
          <w:rPr>
            <w:noProof/>
            <w:webHidden/>
          </w:rPr>
          <w:tab/>
        </w:r>
        <w:r>
          <w:rPr>
            <w:noProof/>
            <w:webHidden/>
          </w:rPr>
          <w:fldChar w:fldCharType="begin"/>
        </w:r>
        <w:r>
          <w:rPr>
            <w:noProof/>
            <w:webHidden/>
          </w:rPr>
          <w:instrText xml:space="preserve"> PAGEREF _Toc181684470 \h </w:instrText>
        </w:r>
        <w:r>
          <w:rPr>
            <w:noProof/>
            <w:webHidden/>
          </w:rPr>
        </w:r>
        <w:r>
          <w:rPr>
            <w:noProof/>
            <w:webHidden/>
          </w:rPr>
          <w:fldChar w:fldCharType="separate"/>
        </w:r>
        <w:r>
          <w:rPr>
            <w:noProof/>
            <w:webHidden/>
          </w:rPr>
          <w:t>551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1" w:history="1">
        <w:r w:rsidRPr="001B13A4">
          <w:rPr>
            <w:rStyle w:val="Hyperlink"/>
            <w:noProof/>
          </w:rPr>
          <w:t>2.1.1435</w:t>
        </w:r>
        <w:r>
          <w:rPr>
            <w:rFonts w:asciiTheme="minorHAnsi" w:eastAsiaTheme="minorEastAsia" w:hAnsiTheme="minorHAnsi" w:cstheme="minorBidi"/>
            <w:noProof/>
            <w:sz w:val="22"/>
            <w:szCs w:val="22"/>
          </w:rPr>
          <w:tab/>
        </w:r>
        <w:r w:rsidRPr="001B13A4">
          <w:rPr>
            <w:rStyle w:val="Hyperlink"/>
            <w:noProof/>
          </w:rPr>
          <w:t>Part 1 Section 21.2.2.12, backward (Backward)</w:t>
        </w:r>
        <w:r>
          <w:rPr>
            <w:noProof/>
            <w:webHidden/>
          </w:rPr>
          <w:tab/>
        </w:r>
        <w:r>
          <w:rPr>
            <w:noProof/>
            <w:webHidden/>
          </w:rPr>
          <w:fldChar w:fldCharType="begin"/>
        </w:r>
        <w:r>
          <w:rPr>
            <w:noProof/>
            <w:webHidden/>
          </w:rPr>
          <w:instrText xml:space="preserve"> PAGEREF _Toc181684471 \h </w:instrText>
        </w:r>
        <w:r>
          <w:rPr>
            <w:noProof/>
            <w:webHidden/>
          </w:rPr>
        </w:r>
        <w:r>
          <w:rPr>
            <w:noProof/>
            <w:webHidden/>
          </w:rPr>
          <w:fldChar w:fldCharType="separate"/>
        </w:r>
        <w:r>
          <w:rPr>
            <w:noProof/>
            <w:webHidden/>
          </w:rPr>
          <w:t>551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2" w:history="1">
        <w:r w:rsidRPr="001B13A4">
          <w:rPr>
            <w:rStyle w:val="Hyperlink"/>
            <w:noProof/>
          </w:rPr>
          <w:t>2.1.1436</w:t>
        </w:r>
        <w:r>
          <w:rPr>
            <w:rFonts w:asciiTheme="minorHAnsi" w:eastAsiaTheme="minorEastAsia" w:hAnsiTheme="minorHAnsi" w:cstheme="minorBidi"/>
            <w:noProof/>
            <w:sz w:val="22"/>
            <w:szCs w:val="22"/>
          </w:rPr>
          <w:tab/>
        </w:r>
        <w:r w:rsidRPr="001B13A4">
          <w:rPr>
            <w:rStyle w:val="Hyperlink"/>
            <w:noProof/>
          </w:rPr>
          <w:t>Part 1 Section 21.2.2.14, bandFmts (Band Formats)</w:t>
        </w:r>
        <w:r>
          <w:rPr>
            <w:noProof/>
            <w:webHidden/>
          </w:rPr>
          <w:tab/>
        </w:r>
        <w:r>
          <w:rPr>
            <w:noProof/>
            <w:webHidden/>
          </w:rPr>
          <w:fldChar w:fldCharType="begin"/>
        </w:r>
        <w:r>
          <w:rPr>
            <w:noProof/>
            <w:webHidden/>
          </w:rPr>
          <w:instrText xml:space="preserve"> PAGEREF _Toc181684472 \h </w:instrText>
        </w:r>
        <w:r>
          <w:rPr>
            <w:noProof/>
            <w:webHidden/>
          </w:rPr>
        </w:r>
        <w:r>
          <w:rPr>
            <w:noProof/>
            <w:webHidden/>
          </w:rPr>
          <w:fldChar w:fldCharType="separate"/>
        </w:r>
        <w:r>
          <w:rPr>
            <w:noProof/>
            <w:webHidden/>
          </w:rPr>
          <w:t>552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3" w:history="1">
        <w:r w:rsidRPr="001B13A4">
          <w:rPr>
            <w:rStyle w:val="Hyperlink"/>
            <w:noProof/>
          </w:rPr>
          <w:t>2.1.1437</w:t>
        </w:r>
        <w:r>
          <w:rPr>
            <w:rFonts w:asciiTheme="minorHAnsi" w:eastAsiaTheme="minorEastAsia" w:hAnsiTheme="minorHAnsi" w:cstheme="minorBidi"/>
            <w:noProof/>
            <w:sz w:val="22"/>
            <w:szCs w:val="22"/>
          </w:rPr>
          <w:tab/>
        </w:r>
        <w:r w:rsidRPr="001B13A4">
          <w:rPr>
            <w:rStyle w:val="Hyperlink"/>
            <w:noProof/>
          </w:rPr>
          <w:t>Part 1 Section 21.2.2.15, bar3DChart (3D Bar Charts)</w:t>
        </w:r>
        <w:r>
          <w:rPr>
            <w:noProof/>
            <w:webHidden/>
          </w:rPr>
          <w:tab/>
        </w:r>
        <w:r>
          <w:rPr>
            <w:noProof/>
            <w:webHidden/>
          </w:rPr>
          <w:fldChar w:fldCharType="begin"/>
        </w:r>
        <w:r>
          <w:rPr>
            <w:noProof/>
            <w:webHidden/>
          </w:rPr>
          <w:instrText xml:space="preserve"> PAGEREF _Toc181684473 \h </w:instrText>
        </w:r>
        <w:r>
          <w:rPr>
            <w:noProof/>
            <w:webHidden/>
          </w:rPr>
        </w:r>
        <w:r>
          <w:rPr>
            <w:noProof/>
            <w:webHidden/>
          </w:rPr>
          <w:fldChar w:fldCharType="separate"/>
        </w:r>
        <w:r>
          <w:rPr>
            <w:noProof/>
            <w:webHidden/>
          </w:rPr>
          <w:t>552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4" w:history="1">
        <w:r w:rsidRPr="001B13A4">
          <w:rPr>
            <w:rStyle w:val="Hyperlink"/>
            <w:noProof/>
          </w:rPr>
          <w:t>2.1.1438</w:t>
        </w:r>
        <w:r>
          <w:rPr>
            <w:rFonts w:asciiTheme="minorHAnsi" w:eastAsiaTheme="minorEastAsia" w:hAnsiTheme="minorHAnsi" w:cstheme="minorBidi"/>
            <w:noProof/>
            <w:sz w:val="22"/>
            <w:szCs w:val="22"/>
          </w:rPr>
          <w:tab/>
        </w:r>
        <w:r w:rsidRPr="001B13A4">
          <w:rPr>
            <w:rStyle w:val="Hyperlink"/>
            <w:noProof/>
          </w:rPr>
          <w:t>Part 1 Section 21.2.2.16, barChart (Bar Charts)</w:t>
        </w:r>
        <w:r>
          <w:rPr>
            <w:noProof/>
            <w:webHidden/>
          </w:rPr>
          <w:tab/>
        </w:r>
        <w:r>
          <w:rPr>
            <w:noProof/>
            <w:webHidden/>
          </w:rPr>
          <w:fldChar w:fldCharType="begin"/>
        </w:r>
        <w:r>
          <w:rPr>
            <w:noProof/>
            <w:webHidden/>
          </w:rPr>
          <w:instrText xml:space="preserve"> PAGEREF _Toc181684474 \h </w:instrText>
        </w:r>
        <w:r>
          <w:rPr>
            <w:noProof/>
            <w:webHidden/>
          </w:rPr>
        </w:r>
        <w:r>
          <w:rPr>
            <w:noProof/>
            <w:webHidden/>
          </w:rPr>
          <w:fldChar w:fldCharType="separate"/>
        </w:r>
        <w:r>
          <w:rPr>
            <w:noProof/>
            <w:webHidden/>
          </w:rPr>
          <w:t>552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5" w:history="1">
        <w:r w:rsidRPr="001B13A4">
          <w:rPr>
            <w:rStyle w:val="Hyperlink"/>
            <w:noProof/>
          </w:rPr>
          <w:t>2.1.1439</w:t>
        </w:r>
        <w:r>
          <w:rPr>
            <w:rFonts w:asciiTheme="minorHAnsi" w:eastAsiaTheme="minorEastAsia" w:hAnsiTheme="minorHAnsi" w:cstheme="minorBidi"/>
            <w:noProof/>
            <w:sz w:val="22"/>
            <w:szCs w:val="22"/>
          </w:rPr>
          <w:tab/>
        </w:r>
        <w:r w:rsidRPr="001B13A4">
          <w:rPr>
            <w:rStyle w:val="Hyperlink"/>
            <w:noProof/>
          </w:rPr>
          <w:t>Part 1 Section 21.2.2.17, barDir (Bar Direction)</w:t>
        </w:r>
        <w:r>
          <w:rPr>
            <w:noProof/>
            <w:webHidden/>
          </w:rPr>
          <w:tab/>
        </w:r>
        <w:r>
          <w:rPr>
            <w:noProof/>
            <w:webHidden/>
          </w:rPr>
          <w:fldChar w:fldCharType="begin"/>
        </w:r>
        <w:r>
          <w:rPr>
            <w:noProof/>
            <w:webHidden/>
          </w:rPr>
          <w:instrText xml:space="preserve"> PAGEREF _Toc181684475 \h </w:instrText>
        </w:r>
        <w:r>
          <w:rPr>
            <w:noProof/>
            <w:webHidden/>
          </w:rPr>
        </w:r>
        <w:r>
          <w:rPr>
            <w:noProof/>
            <w:webHidden/>
          </w:rPr>
          <w:fldChar w:fldCharType="separate"/>
        </w:r>
        <w:r>
          <w:rPr>
            <w:noProof/>
            <w:webHidden/>
          </w:rPr>
          <w:t>552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6" w:history="1">
        <w:r w:rsidRPr="001B13A4">
          <w:rPr>
            <w:rStyle w:val="Hyperlink"/>
            <w:noProof/>
          </w:rPr>
          <w:t>2.1.1440</w:t>
        </w:r>
        <w:r>
          <w:rPr>
            <w:rFonts w:asciiTheme="minorHAnsi" w:eastAsiaTheme="minorEastAsia" w:hAnsiTheme="minorHAnsi" w:cstheme="minorBidi"/>
            <w:noProof/>
            <w:sz w:val="22"/>
            <w:szCs w:val="22"/>
          </w:rPr>
          <w:tab/>
        </w:r>
        <w:r w:rsidRPr="001B13A4">
          <w:rPr>
            <w:rStyle w:val="Hyperlink"/>
            <w:noProof/>
          </w:rPr>
          <w:t>Part 1 Section 21.2.2.19, bubble3D (3D Bubble)</w:t>
        </w:r>
        <w:r>
          <w:rPr>
            <w:noProof/>
            <w:webHidden/>
          </w:rPr>
          <w:tab/>
        </w:r>
        <w:r>
          <w:rPr>
            <w:noProof/>
            <w:webHidden/>
          </w:rPr>
          <w:fldChar w:fldCharType="begin"/>
        </w:r>
        <w:r>
          <w:rPr>
            <w:noProof/>
            <w:webHidden/>
          </w:rPr>
          <w:instrText xml:space="preserve"> PAGEREF _Toc181684476 \h </w:instrText>
        </w:r>
        <w:r>
          <w:rPr>
            <w:noProof/>
            <w:webHidden/>
          </w:rPr>
        </w:r>
        <w:r>
          <w:rPr>
            <w:noProof/>
            <w:webHidden/>
          </w:rPr>
          <w:fldChar w:fldCharType="separate"/>
        </w:r>
        <w:r>
          <w:rPr>
            <w:noProof/>
            <w:webHidden/>
          </w:rPr>
          <w:t>552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7" w:history="1">
        <w:r w:rsidRPr="001B13A4">
          <w:rPr>
            <w:rStyle w:val="Hyperlink"/>
            <w:noProof/>
          </w:rPr>
          <w:t>2.1.1441</w:t>
        </w:r>
        <w:r>
          <w:rPr>
            <w:rFonts w:asciiTheme="minorHAnsi" w:eastAsiaTheme="minorEastAsia" w:hAnsiTheme="minorHAnsi" w:cstheme="minorBidi"/>
            <w:noProof/>
            <w:sz w:val="22"/>
            <w:szCs w:val="22"/>
          </w:rPr>
          <w:tab/>
        </w:r>
        <w:r w:rsidRPr="001B13A4">
          <w:rPr>
            <w:rStyle w:val="Hyperlink"/>
            <w:noProof/>
          </w:rPr>
          <w:t>Part 1 Section 21.2.2.20, bubbleChart (Bubble Charts)</w:t>
        </w:r>
        <w:r>
          <w:rPr>
            <w:noProof/>
            <w:webHidden/>
          </w:rPr>
          <w:tab/>
        </w:r>
        <w:r>
          <w:rPr>
            <w:noProof/>
            <w:webHidden/>
          </w:rPr>
          <w:fldChar w:fldCharType="begin"/>
        </w:r>
        <w:r>
          <w:rPr>
            <w:noProof/>
            <w:webHidden/>
          </w:rPr>
          <w:instrText xml:space="preserve"> PAGEREF _Toc181684477 \h </w:instrText>
        </w:r>
        <w:r>
          <w:rPr>
            <w:noProof/>
            <w:webHidden/>
          </w:rPr>
        </w:r>
        <w:r>
          <w:rPr>
            <w:noProof/>
            <w:webHidden/>
          </w:rPr>
          <w:fldChar w:fldCharType="separate"/>
        </w:r>
        <w:r>
          <w:rPr>
            <w:noProof/>
            <w:webHidden/>
          </w:rPr>
          <w:t>552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8" w:history="1">
        <w:r w:rsidRPr="001B13A4">
          <w:rPr>
            <w:rStyle w:val="Hyperlink"/>
            <w:noProof/>
          </w:rPr>
          <w:t>2.1.1442</w:t>
        </w:r>
        <w:r>
          <w:rPr>
            <w:rFonts w:asciiTheme="minorHAnsi" w:eastAsiaTheme="minorEastAsia" w:hAnsiTheme="minorHAnsi" w:cstheme="minorBidi"/>
            <w:noProof/>
            <w:sz w:val="22"/>
            <w:szCs w:val="22"/>
          </w:rPr>
          <w:tab/>
        </w:r>
        <w:r w:rsidRPr="001B13A4">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_Toc181684478 \h </w:instrText>
        </w:r>
        <w:r>
          <w:rPr>
            <w:noProof/>
            <w:webHidden/>
          </w:rPr>
        </w:r>
        <w:r>
          <w:rPr>
            <w:noProof/>
            <w:webHidden/>
          </w:rPr>
          <w:fldChar w:fldCharType="separate"/>
        </w:r>
        <w:r>
          <w:rPr>
            <w:noProof/>
            <w:webHidden/>
          </w:rPr>
          <w:t>552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79" w:history="1">
        <w:r w:rsidRPr="001B13A4">
          <w:rPr>
            <w:rStyle w:val="Hyperlink"/>
            <w:noProof/>
          </w:rPr>
          <w:t>2.1.1443</w:t>
        </w:r>
        <w:r>
          <w:rPr>
            <w:rFonts w:asciiTheme="minorHAnsi" w:eastAsiaTheme="minorEastAsia" w:hAnsiTheme="minorHAnsi" w:cstheme="minorBidi"/>
            <w:noProof/>
            <w:sz w:val="22"/>
            <w:szCs w:val="22"/>
          </w:rPr>
          <w:tab/>
        </w:r>
        <w:r w:rsidRPr="001B13A4">
          <w:rPr>
            <w:rStyle w:val="Hyperlink"/>
            <w:noProof/>
          </w:rPr>
          <w:t>Part 1 Section 21.2.2.24, cat (Category Axis Data)</w:t>
        </w:r>
        <w:r>
          <w:rPr>
            <w:noProof/>
            <w:webHidden/>
          </w:rPr>
          <w:tab/>
        </w:r>
        <w:r>
          <w:rPr>
            <w:noProof/>
            <w:webHidden/>
          </w:rPr>
          <w:fldChar w:fldCharType="begin"/>
        </w:r>
        <w:r>
          <w:rPr>
            <w:noProof/>
            <w:webHidden/>
          </w:rPr>
          <w:instrText xml:space="preserve"> PAGEREF _Toc181684479 \h </w:instrText>
        </w:r>
        <w:r>
          <w:rPr>
            <w:noProof/>
            <w:webHidden/>
          </w:rPr>
        </w:r>
        <w:r>
          <w:rPr>
            <w:noProof/>
            <w:webHidden/>
          </w:rPr>
          <w:fldChar w:fldCharType="separate"/>
        </w:r>
        <w:r>
          <w:rPr>
            <w:noProof/>
            <w:webHidden/>
          </w:rPr>
          <w:t>553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0" w:history="1">
        <w:r w:rsidRPr="001B13A4">
          <w:rPr>
            <w:rStyle w:val="Hyperlink"/>
            <w:noProof/>
          </w:rPr>
          <w:t>2.1.1444</w:t>
        </w:r>
        <w:r>
          <w:rPr>
            <w:rFonts w:asciiTheme="minorHAnsi" w:eastAsiaTheme="minorEastAsia" w:hAnsiTheme="minorHAnsi" w:cstheme="minorBidi"/>
            <w:noProof/>
            <w:sz w:val="22"/>
            <w:szCs w:val="22"/>
          </w:rPr>
          <w:tab/>
        </w:r>
        <w:r w:rsidRPr="001B13A4">
          <w:rPr>
            <w:rStyle w:val="Hyperlink"/>
            <w:noProof/>
          </w:rPr>
          <w:t>Part 1 Section 21.2.2.25, catAx (Category Axis Data)</w:t>
        </w:r>
        <w:r>
          <w:rPr>
            <w:noProof/>
            <w:webHidden/>
          </w:rPr>
          <w:tab/>
        </w:r>
        <w:r>
          <w:rPr>
            <w:noProof/>
            <w:webHidden/>
          </w:rPr>
          <w:fldChar w:fldCharType="begin"/>
        </w:r>
        <w:r>
          <w:rPr>
            <w:noProof/>
            <w:webHidden/>
          </w:rPr>
          <w:instrText xml:space="preserve"> PAGEREF _Toc181684480 \h </w:instrText>
        </w:r>
        <w:r>
          <w:rPr>
            <w:noProof/>
            <w:webHidden/>
          </w:rPr>
        </w:r>
        <w:r>
          <w:rPr>
            <w:noProof/>
            <w:webHidden/>
          </w:rPr>
          <w:fldChar w:fldCharType="separate"/>
        </w:r>
        <w:r>
          <w:rPr>
            <w:noProof/>
            <w:webHidden/>
          </w:rPr>
          <w:t>553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1" w:history="1">
        <w:r w:rsidRPr="001B13A4">
          <w:rPr>
            <w:rStyle w:val="Hyperlink"/>
            <w:noProof/>
          </w:rPr>
          <w:t>2.1.1445</w:t>
        </w:r>
        <w:r>
          <w:rPr>
            <w:rFonts w:asciiTheme="minorHAnsi" w:eastAsiaTheme="minorEastAsia" w:hAnsiTheme="minorHAnsi" w:cstheme="minorBidi"/>
            <w:noProof/>
            <w:sz w:val="22"/>
            <w:szCs w:val="22"/>
          </w:rPr>
          <w:tab/>
        </w:r>
        <w:r w:rsidRPr="001B13A4">
          <w:rPr>
            <w:rStyle w:val="Hyperlink"/>
            <w:noProof/>
          </w:rPr>
          <w:t>Part 1 Section 21.2.2.28, chartObject (Chart Object)</w:t>
        </w:r>
        <w:r>
          <w:rPr>
            <w:noProof/>
            <w:webHidden/>
          </w:rPr>
          <w:tab/>
        </w:r>
        <w:r>
          <w:rPr>
            <w:noProof/>
            <w:webHidden/>
          </w:rPr>
          <w:fldChar w:fldCharType="begin"/>
        </w:r>
        <w:r>
          <w:rPr>
            <w:noProof/>
            <w:webHidden/>
          </w:rPr>
          <w:instrText xml:space="preserve"> PAGEREF _Toc181684481 \h </w:instrText>
        </w:r>
        <w:r>
          <w:rPr>
            <w:noProof/>
            <w:webHidden/>
          </w:rPr>
        </w:r>
        <w:r>
          <w:rPr>
            <w:noProof/>
            <w:webHidden/>
          </w:rPr>
          <w:fldChar w:fldCharType="separate"/>
        </w:r>
        <w:r>
          <w:rPr>
            <w:noProof/>
            <w:webHidden/>
          </w:rPr>
          <w:t>553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2" w:history="1">
        <w:r w:rsidRPr="001B13A4">
          <w:rPr>
            <w:rStyle w:val="Hyperlink"/>
            <w:noProof/>
          </w:rPr>
          <w:t>2.1.1446</w:t>
        </w:r>
        <w:r>
          <w:rPr>
            <w:rFonts w:asciiTheme="minorHAnsi" w:eastAsiaTheme="minorEastAsia" w:hAnsiTheme="minorHAnsi" w:cstheme="minorBidi"/>
            <w:noProof/>
            <w:sz w:val="22"/>
            <w:szCs w:val="22"/>
          </w:rPr>
          <w:tab/>
        </w:r>
        <w:r w:rsidRPr="001B13A4">
          <w:rPr>
            <w:rStyle w:val="Hyperlink"/>
            <w:noProof/>
          </w:rPr>
          <w:t>Part 1 Section 21.2.2.31, crossAx (Crossing Axis ID)</w:t>
        </w:r>
        <w:r>
          <w:rPr>
            <w:noProof/>
            <w:webHidden/>
          </w:rPr>
          <w:tab/>
        </w:r>
        <w:r>
          <w:rPr>
            <w:noProof/>
            <w:webHidden/>
          </w:rPr>
          <w:fldChar w:fldCharType="begin"/>
        </w:r>
        <w:r>
          <w:rPr>
            <w:noProof/>
            <w:webHidden/>
          </w:rPr>
          <w:instrText xml:space="preserve"> PAGEREF _Toc181684482 \h </w:instrText>
        </w:r>
        <w:r>
          <w:rPr>
            <w:noProof/>
            <w:webHidden/>
          </w:rPr>
        </w:r>
        <w:r>
          <w:rPr>
            <w:noProof/>
            <w:webHidden/>
          </w:rPr>
          <w:fldChar w:fldCharType="separate"/>
        </w:r>
        <w:r>
          <w:rPr>
            <w:noProof/>
            <w:webHidden/>
          </w:rPr>
          <w:t>553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3" w:history="1">
        <w:r w:rsidRPr="001B13A4">
          <w:rPr>
            <w:rStyle w:val="Hyperlink"/>
            <w:noProof/>
          </w:rPr>
          <w:t>2.1.1447</w:t>
        </w:r>
        <w:r>
          <w:rPr>
            <w:rFonts w:asciiTheme="minorHAnsi" w:eastAsiaTheme="minorEastAsia" w:hAnsiTheme="minorHAnsi" w:cstheme="minorBidi"/>
            <w:noProof/>
            <w:sz w:val="22"/>
            <w:szCs w:val="22"/>
          </w:rPr>
          <w:tab/>
        </w:r>
        <w:r w:rsidRPr="001B13A4">
          <w:rPr>
            <w:rStyle w:val="Hyperlink"/>
            <w:noProof/>
          </w:rPr>
          <w:t>Part 1 Section 21.2.2.34, crossesAt (Crossing Value)</w:t>
        </w:r>
        <w:r>
          <w:rPr>
            <w:noProof/>
            <w:webHidden/>
          </w:rPr>
          <w:tab/>
        </w:r>
        <w:r>
          <w:rPr>
            <w:noProof/>
            <w:webHidden/>
          </w:rPr>
          <w:fldChar w:fldCharType="begin"/>
        </w:r>
        <w:r>
          <w:rPr>
            <w:noProof/>
            <w:webHidden/>
          </w:rPr>
          <w:instrText xml:space="preserve"> PAGEREF _Toc181684483 \h </w:instrText>
        </w:r>
        <w:r>
          <w:rPr>
            <w:noProof/>
            <w:webHidden/>
          </w:rPr>
        </w:r>
        <w:r>
          <w:rPr>
            <w:noProof/>
            <w:webHidden/>
          </w:rPr>
          <w:fldChar w:fldCharType="separate"/>
        </w:r>
        <w:r>
          <w:rPr>
            <w:noProof/>
            <w:webHidden/>
          </w:rPr>
          <w:t>553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4" w:history="1">
        <w:r w:rsidRPr="001B13A4">
          <w:rPr>
            <w:rStyle w:val="Hyperlink"/>
            <w:noProof/>
          </w:rPr>
          <w:t>2.1.1448</w:t>
        </w:r>
        <w:r>
          <w:rPr>
            <w:rFonts w:asciiTheme="minorHAnsi" w:eastAsiaTheme="minorEastAsia" w:hAnsiTheme="minorHAnsi" w:cstheme="minorBidi"/>
            <w:noProof/>
            <w:sz w:val="22"/>
            <w:szCs w:val="22"/>
          </w:rPr>
          <w:tab/>
        </w:r>
        <w:r w:rsidRPr="001B13A4">
          <w:rPr>
            <w:rStyle w:val="Hyperlink"/>
            <w:noProof/>
          </w:rPr>
          <w:t>Part 1 Section 21.2.2.36, custUnit (Custom Display Unit)</w:t>
        </w:r>
        <w:r>
          <w:rPr>
            <w:noProof/>
            <w:webHidden/>
          </w:rPr>
          <w:tab/>
        </w:r>
        <w:r>
          <w:rPr>
            <w:noProof/>
            <w:webHidden/>
          </w:rPr>
          <w:fldChar w:fldCharType="begin"/>
        </w:r>
        <w:r>
          <w:rPr>
            <w:noProof/>
            <w:webHidden/>
          </w:rPr>
          <w:instrText xml:space="preserve"> PAGEREF _Toc181684484 \h </w:instrText>
        </w:r>
        <w:r>
          <w:rPr>
            <w:noProof/>
            <w:webHidden/>
          </w:rPr>
        </w:r>
        <w:r>
          <w:rPr>
            <w:noProof/>
            <w:webHidden/>
          </w:rPr>
          <w:fldChar w:fldCharType="separate"/>
        </w:r>
        <w:r>
          <w:rPr>
            <w:noProof/>
            <w:webHidden/>
          </w:rPr>
          <w:t>554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5" w:history="1">
        <w:r w:rsidRPr="001B13A4">
          <w:rPr>
            <w:rStyle w:val="Hyperlink"/>
            <w:noProof/>
          </w:rPr>
          <w:t>2.1.1449</w:t>
        </w:r>
        <w:r>
          <w:rPr>
            <w:rFonts w:asciiTheme="minorHAnsi" w:eastAsiaTheme="minorEastAsia" w:hAnsiTheme="minorHAnsi" w:cstheme="minorBidi"/>
            <w:noProof/>
            <w:sz w:val="22"/>
            <w:szCs w:val="22"/>
          </w:rPr>
          <w:tab/>
        </w:r>
        <w:r w:rsidRPr="001B13A4">
          <w:rPr>
            <w:rStyle w:val="Hyperlink"/>
            <w:noProof/>
          </w:rPr>
          <w:t>Part 1 Section 21.2.2.37, data (Data Cannot Be Changed)</w:t>
        </w:r>
        <w:r>
          <w:rPr>
            <w:noProof/>
            <w:webHidden/>
          </w:rPr>
          <w:tab/>
        </w:r>
        <w:r>
          <w:rPr>
            <w:noProof/>
            <w:webHidden/>
          </w:rPr>
          <w:fldChar w:fldCharType="begin"/>
        </w:r>
        <w:r>
          <w:rPr>
            <w:noProof/>
            <w:webHidden/>
          </w:rPr>
          <w:instrText xml:space="preserve"> PAGEREF _Toc181684485 \h </w:instrText>
        </w:r>
        <w:r>
          <w:rPr>
            <w:noProof/>
            <w:webHidden/>
          </w:rPr>
        </w:r>
        <w:r>
          <w:rPr>
            <w:noProof/>
            <w:webHidden/>
          </w:rPr>
          <w:fldChar w:fldCharType="separate"/>
        </w:r>
        <w:r>
          <w:rPr>
            <w:noProof/>
            <w:webHidden/>
          </w:rPr>
          <w:t>554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6" w:history="1">
        <w:r w:rsidRPr="001B13A4">
          <w:rPr>
            <w:rStyle w:val="Hyperlink"/>
            <w:noProof/>
          </w:rPr>
          <w:t>2.1.1450</w:t>
        </w:r>
        <w:r>
          <w:rPr>
            <w:rFonts w:asciiTheme="minorHAnsi" w:eastAsiaTheme="minorEastAsia" w:hAnsiTheme="minorHAnsi" w:cstheme="minorBidi"/>
            <w:noProof/>
            <w:sz w:val="22"/>
            <w:szCs w:val="22"/>
          </w:rPr>
          <w:tab/>
        </w:r>
        <w:r w:rsidRPr="001B13A4">
          <w:rPr>
            <w:rStyle w:val="Hyperlink"/>
            <w:noProof/>
          </w:rPr>
          <w:t>Part 1 Section 21.2.2.39, dateAx (Date Axis)</w:t>
        </w:r>
        <w:r>
          <w:rPr>
            <w:noProof/>
            <w:webHidden/>
          </w:rPr>
          <w:tab/>
        </w:r>
        <w:r>
          <w:rPr>
            <w:noProof/>
            <w:webHidden/>
          </w:rPr>
          <w:fldChar w:fldCharType="begin"/>
        </w:r>
        <w:r>
          <w:rPr>
            <w:noProof/>
            <w:webHidden/>
          </w:rPr>
          <w:instrText xml:space="preserve"> PAGEREF _Toc181684486 \h </w:instrText>
        </w:r>
        <w:r>
          <w:rPr>
            <w:noProof/>
            <w:webHidden/>
          </w:rPr>
        </w:r>
        <w:r>
          <w:rPr>
            <w:noProof/>
            <w:webHidden/>
          </w:rPr>
          <w:fldChar w:fldCharType="separate"/>
        </w:r>
        <w:r>
          <w:rPr>
            <w:noProof/>
            <w:webHidden/>
          </w:rPr>
          <w:t>554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7" w:history="1">
        <w:r w:rsidRPr="001B13A4">
          <w:rPr>
            <w:rStyle w:val="Hyperlink"/>
            <w:noProof/>
          </w:rPr>
          <w:t>2.1.1451</w:t>
        </w:r>
        <w:r>
          <w:rPr>
            <w:rFonts w:asciiTheme="minorHAnsi" w:eastAsiaTheme="minorEastAsia" w:hAnsiTheme="minorHAnsi" w:cstheme="minorBidi"/>
            <w:noProof/>
            <w:sz w:val="22"/>
            <w:szCs w:val="22"/>
          </w:rPr>
          <w:tab/>
        </w:r>
        <w:r w:rsidRPr="001B13A4">
          <w:rPr>
            <w:rStyle w:val="Hyperlink"/>
            <w:noProof/>
          </w:rPr>
          <w:t>Part 1 Section 21.2.2.41, depthPercent (Depth Percent)</w:t>
        </w:r>
        <w:r>
          <w:rPr>
            <w:noProof/>
            <w:webHidden/>
          </w:rPr>
          <w:tab/>
        </w:r>
        <w:r>
          <w:rPr>
            <w:noProof/>
            <w:webHidden/>
          </w:rPr>
          <w:fldChar w:fldCharType="begin"/>
        </w:r>
        <w:r>
          <w:rPr>
            <w:noProof/>
            <w:webHidden/>
          </w:rPr>
          <w:instrText xml:space="preserve"> PAGEREF _Toc181684487 \h </w:instrText>
        </w:r>
        <w:r>
          <w:rPr>
            <w:noProof/>
            <w:webHidden/>
          </w:rPr>
        </w:r>
        <w:r>
          <w:rPr>
            <w:noProof/>
            <w:webHidden/>
          </w:rPr>
          <w:fldChar w:fldCharType="separate"/>
        </w:r>
        <w:r>
          <w:rPr>
            <w:noProof/>
            <w:webHidden/>
          </w:rPr>
          <w:t>554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8" w:history="1">
        <w:r w:rsidRPr="001B13A4">
          <w:rPr>
            <w:rStyle w:val="Hyperlink"/>
            <w:noProof/>
          </w:rPr>
          <w:t>2.1.1452</w:t>
        </w:r>
        <w:r>
          <w:rPr>
            <w:rFonts w:asciiTheme="minorHAnsi" w:eastAsiaTheme="minorEastAsia" w:hAnsiTheme="minorHAnsi" w:cstheme="minorBidi"/>
            <w:noProof/>
            <w:sz w:val="22"/>
            <w:szCs w:val="22"/>
          </w:rPr>
          <w:tab/>
        </w:r>
        <w:r w:rsidRPr="001B13A4">
          <w:rPr>
            <w:rStyle w:val="Hyperlink"/>
            <w:noProof/>
          </w:rPr>
          <w:t>Part 1 Section 21.2.2.42, dispBlanksAs (Display Blanks As)</w:t>
        </w:r>
        <w:r>
          <w:rPr>
            <w:noProof/>
            <w:webHidden/>
          </w:rPr>
          <w:tab/>
        </w:r>
        <w:r>
          <w:rPr>
            <w:noProof/>
            <w:webHidden/>
          </w:rPr>
          <w:fldChar w:fldCharType="begin"/>
        </w:r>
        <w:r>
          <w:rPr>
            <w:noProof/>
            <w:webHidden/>
          </w:rPr>
          <w:instrText xml:space="preserve"> PAGEREF _Toc181684488 \h </w:instrText>
        </w:r>
        <w:r>
          <w:rPr>
            <w:noProof/>
            <w:webHidden/>
          </w:rPr>
        </w:r>
        <w:r>
          <w:rPr>
            <w:noProof/>
            <w:webHidden/>
          </w:rPr>
          <w:fldChar w:fldCharType="separate"/>
        </w:r>
        <w:r>
          <w:rPr>
            <w:noProof/>
            <w:webHidden/>
          </w:rPr>
          <w:t>554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89" w:history="1">
        <w:r w:rsidRPr="001B13A4">
          <w:rPr>
            <w:rStyle w:val="Hyperlink"/>
            <w:noProof/>
          </w:rPr>
          <w:t>2.1.1453</w:t>
        </w:r>
        <w:r>
          <w:rPr>
            <w:rFonts w:asciiTheme="minorHAnsi" w:eastAsiaTheme="minorEastAsia" w:hAnsiTheme="minorHAnsi" w:cstheme="minorBidi"/>
            <w:noProof/>
            <w:sz w:val="22"/>
            <w:szCs w:val="22"/>
          </w:rPr>
          <w:tab/>
        </w:r>
        <w:r w:rsidRPr="001B13A4">
          <w:rPr>
            <w:rStyle w:val="Hyperlink"/>
            <w:noProof/>
          </w:rPr>
          <w:t>Part 1 Section 21.2.2.43, dispEq (Display Equation)</w:t>
        </w:r>
        <w:r>
          <w:rPr>
            <w:noProof/>
            <w:webHidden/>
          </w:rPr>
          <w:tab/>
        </w:r>
        <w:r>
          <w:rPr>
            <w:noProof/>
            <w:webHidden/>
          </w:rPr>
          <w:fldChar w:fldCharType="begin"/>
        </w:r>
        <w:r>
          <w:rPr>
            <w:noProof/>
            <w:webHidden/>
          </w:rPr>
          <w:instrText xml:space="preserve"> PAGEREF _Toc181684489 \h </w:instrText>
        </w:r>
        <w:r>
          <w:rPr>
            <w:noProof/>
            <w:webHidden/>
          </w:rPr>
        </w:r>
        <w:r>
          <w:rPr>
            <w:noProof/>
            <w:webHidden/>
          </w:rPr>
          <w:fldChar w:fldCharType="separate"/>
        </w:r>
        <w:r>
          <w:rPr>
            <w:noProof/>
            <w:webHidden/>
          </w:rPr>
          <w:t>555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0" w:history="1">
        <w:r w:rsidRPr="001B13A4">
          <w:rPr>
            <w:rStyle w:val="Hyperlink"/>
            <w:noProof/>
          </w:rPr>
          <w:t>2.1.1454</w:t>
        </w:r>
        <w:r>
          <w:rPr>
            <w:rFonts w:asciiTheme="minorHAnsi" w:eastAsiaTheme="minorEastAsia" w:hAnsiTheme="minorHAnsi" w:cstheme="minorBidi"/>
            <w:noProof/>
            <w:sz w:val="22"/>
            <w:szCs w:val="22"/>
          </w:rPr>
          <w:tab/>
        </w:r>
        <w:r w:rsidRPr="001B13A4">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_Toc181684490 \h </w:instrText>
        </w:r>
        <w:r>
          <w:rPr>
            <w:noProof/>
            <w:webHidden/>
          </w:rPr>
        </w:r>
        <w:r>
          <w:rPr>
            <w:noProof/>
            <w:webHidden/>
          </w:rPr>
          <w:fldChar w:fldCharType="separate"/>
        </w:r>
        <w:r>
          <w:rPr>
            <w:noProof/>
            <w:webHidden/>
          </w:rPr>
          <w:t>555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1" w:history="1">
        <w:r w:rsidRPr="001B13A4">
          <w:rPr>
            <w:rStyle w:val="Hyperlink"/>
            <w:noProof/>
          </w:rPr>
          <w:t>2.1.1455</w:t>
        </w:r>
        <w:r>
          <w:rPr>
            <w:rFonts w:asciiTheme="minorHAnsi" w:eastAsiaTheme="minorEastAsia" w:hAnsiTheme="minorHAnsi" w:cstheme="minorBidi"/>
            <w:noProof/>
            <w:sz w:val="22"/>
            <w:szCs w:val="22"/>
          </w:rPr>
          <w:tab/>
        </w:r>
        <w:r w:rsidRPr="001B13A4">
          <w:rPr>
            <w:rStyle w:val="Hyperlink"/>
            <w:noProof/>
          </w:rPr>
          <w:t>Part 1 Section 21.2.2.47, dLbl (Data Label)</w:t>
        </w:r>
        <w:r>
          <w:rPr>
            <w:noProof/>
            <w:webHidden/>
          </w:rPr>
          <w:tab/>
        </w:r>
        <w:r>
          <w:rPr>
            <w:noProof/>
            <w:webHidden/>
          </w:rPr>
          <w:fldChar w:fldCharType="begin"/>
        </w:r>
        <w:r>
          <w:rPr>
            <w:noProof/>
            <w:webHidden/>
          </w:rPr>
          <w:instrText xml:space="preserve"> PAGEREF _Toc181684491 \h </w:instrText>
        </w:r>
        <w:r>
          <w:rPr>
            <w:noProof/>
            <w:webHidden/>
          </w:rPr>
        </w:r>
        <w:r>
          <w:rPr>
            <w:noProof/>
            <w:webHidden/>
          </w:rPr>
          <w:fldChar w:fldCharType="separate"/>
        </w:r>
        <w:r>
          <w:rPr>
            <w:noProof/>
            <w:webHidden/>
          </w:rPr>
          <w:t>556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2" w:history="1">
        <w:r w:rsidRPr="001B13A4">
          <w:rPr>
            <w:rStyle w:val="Hyperlink"/>
            <w:noProof/>
          </w:rPr>
          <w:t>2.1.1456</w:t>
        </w:r>
        <w:r>
          <w:rPr>
            <w:rFonts w:asciiTheme="minorHAnsi" w:eastAsiaTheme="minorEastAsia" w:hAnsiTheme="minorHAnsi" w:cstheme="minorBidi"/>
            <w:noProof/>
            <w:sz w:val="22"/>
            <w:szCs w:val="22"/>
          </w:rPr>
          <w:tab/>
        </w:r>
        <w:r w:rsidRPr="001B13A4">
          <w:rPr>
            <w:rStyle w:val="Hyperlink"/>
            <w:noProof/>
          </w:rPr>
          <w:t>Part 1 Section 21.2.2.48, dLblPos (Data Label Position)</w:t>
        </w:r>
        <w:r>
          <w:rPr>
            <w:noProof/>
            <w:webHidden/>
          </w:rPr>
          <w:tab/>
        </w:r>
        <w:r>
          <w:rPr>
            <w:noProof/>
            <w:webHidden/>
          </w:rPr>
          <w:fldChar w:fldCharType="begin"/>
        </w:r>
        <w:r>
          <w:rPr>
            <w:noProof/>
            <w:webHidden/>
          </w:rPr>
          <w:instrText xml:space="preserve"> PAGEREF _Toc181684492 \h </w:instrText>
        </w:r>
        <w:r>
          <w:rPr>
            <w:noProof/>
            <w:webHidden/>
          </w:rPr>
        </w:r>
        <w:r>
          <w:rPr>
            <w:noProof/>
            <w:webHidden/>
          </w:rPr>
          <w:fldChar w:fldCharType="separate"/>
        </w:r>
        <w:r>
          <w:rPr>
            <w:noProof/>
            <w:webHidden/>
          </w:rPr>
          <w:t>556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3" w:history="1">
        <w:r w:rsidRPr="001B13A4">
          <w:rPr>
            <w:rStyle w:val="Hyperlink"/>
            <w:noProof/>
          </w:rPr>
          <w:t>2.1.1457</w:t>
        </w:r>
        <w:r>
          <w:rPr>
            <w:rFonts w:asciiTheme="minorHAnsi" w:eastAsiaTheme="minorEastAsia" w:hAnsiTheme="minorHAnsi" w:cstheme="minorBidi"/>
            <w:noProof/>
            <w:sz w:val="22"/>
            <w:szCs w:val="22"/>
          </w:rPr>
          <w:tab/>
        </w:r>
        <w:r w:rsidRPr="001B13A4">
          <w:rPr>
            <w:rStyle w:val="Hyperlink"/>
            <w:noProof/>
          </w:rPr>
          <w:t>Part 1 Section 21.2.2.49, dLbls (Data Labels)</w:t>
        </w:r>
        <w:r>
          <w:rPr>
            <w:noProof/>
            <w:webHidden/>
          </w:rPr>
          <w:tab/>
        </w:r>
        <w:r>
          <w:rPr>
            <w:noProof/>
            <w:webHidden/>
          </w:rPr>
          <w:fldChar w:fldCharType="begin"/>
        </w:r>
        <w:r>
          <w:rPr>
            <w:noProof/>
            <w:webHidden/>
          </w:rPr>
          <w:instrText xml:space="preserve"> PAGEREF _Toc181684493 \h </w:instrText>
        </w:r>
        <w:r>
          <w:rPr>
            <w:noProof/>
            <w:webHidden/>
          </w:rPr>
        </w:r>
        <w:r>
          <w:rPr>
            <w:noProof/>
            <w:webHidden/>
          </w:rPr>
          <w:fldChar w:fldCharType="separate"/>
        </w:r>
        <w:r>
          <w:rPr>
            <w:noProof/>
            <w:webHidden/>
          </w:rPr>
          <w:t>557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4" w:history="1">
        <w:r w:rsidRPr="001B13A4">
          <w:rPr>
            <w:rStyle w:val="Hyperlink"/>
            <w:noProof/>
          </w:rPr>
          <w:t>2.1.1458</w:t>
        </w:r>
        <w:r>
          <w:rPr>
            <w:rFonts w:asciiTheme="minorHAnsi" w:eastAsiaTheme="minorEastAsia" w:hAnsiTheme="minorHAnsi" w:cstheme="minorBidi"/>
            <w:noProof/>
            <w:sz w:val="22"/>
            <w:szCs w:val="22"/>
          </w:rPr>
          <w:tab/>
        </w:r>
        <w:r w:rsidRPr="001B13A4">
          <w:rPr>
            <w:rStyle w:val="Hyperlink"/>
            <w:noProof/>
          </w:rPr>
          <w:t>Part 1 Section 21.2.2.50, doughnutChart (Doughnut Charts)</w:t>
        </w:r>
        <w:r>
          <w:rPr>
            <w:noProof/>
            <w:webHidden/>
          </w:rPr>
          <w:tab/>
        </w:r>
        <w:r>
          <w:rPr>
            <w:noProof/>
            <w:webHidden/>
          </w:rPr>
          <w:fldChar w:fldCharType="begin"/>
        </w:r>
        <w:r>
          <w:rPr>
            <w:noProof/>
            <w:webHidden/>
          </w:rPr>
          <w:instrText xml:space="preserve"> PAGEREF _Toc181684494 \h </w:instrText>
        </w:r>
        <w:r>
          <w:rPr>
            <w:noProof/>
            <w:webHidden/>
          </w:rPr>
        </w:r>
        <w:r>
          <w:rPr>
            <w:noProof/>
            <w:webHidden/>
          </w:rPr>
          <w:fldChar w:fldCharType="separate"/>
        </w:r>
        <w:r>
          <w:rPr>
            <w:noProof/>
            <w:webHidden/>
          </w:rPr>
          <w:t>557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5" w:history="1">
        <w:r w:rsidRPr="001B13A4">
          <w:rPr>
            <w:rStyle w:val="Hyperlink"/>
            <w:noProof/>
          </w:rPr>
          <w:t>2.1.1459</w:t>
        </w:r>
        <w:r>
          <w:rPr>
            <w:rFonts w:asciiTheme="minorHAnsi" w:eastAsiaTheme="minorEastAsia" w:hAnsiTheme="minorHAnsi" w:cstheme="minorBidi"/>
            <w:noProof/>
            <w:sz w:val="22"/>
            <w:szCs w:val="22"/>
          </w:rPr>
          <w:tab/>
        </w:r>
        <w:r w:rsidRPr="001B13A4">
          <w:rPr>
            <w:rStyle w:val="Hyperlink"/>
            <w:noProof/>
          </w:rPr>
          <w:t>Part 1 Section 21.2.2.55, errBars (Error Bars)</w:t>
        </w:r>
        <w:r>
          <w:rPr>
            <w:noProof/>
            <w:webHidden/>
          </w:rPr>
          <w:tab/>
        </w:r>
        <w:r>
          <w:rPr>
            <w:noProof/>
            <w:webHidden/>
          </w:rPr>
          <w:fldChar w:fldCharType="begin"/>
        </w:r>
        <w:r>
          <w:rPr>
            <w:noProof/>
            <w:webHidden/>
          </w:rPr>
          <w:instrText xml:space="preserve"> PAGEREF _Toc181684495 \h </w:instrText>
        </w:r>
        <w:r>
          <w:rPr>
            <w:noProof/>
            <w:webHidden/>
          </w:rPr>
        </w:r>
        <w:r>
          <w:rPr>
            <w:noProof/>
            <w:webHidden/>
          </w:rPr>
          <w:fldChar w:fldCharType="separate"/>
        </w:r>
        <w:r>
          <w:rPr>
            <w:noProof/>
            <w:webHidden/>
          </w:rPr>
          <w:t>557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6" w:history="1">
        <w:r w:rsidRPr="001B13A4">
          <w:rPr>
            <w:rStyle w:val="Hyperlink"/>
            <w:noProof/>
          </w:rPr>
          <w:t>2.1.1460</w:t>
        </w:r>
        <w:r>
          <w:rPr>
            <w:rFonts w:asciiTheme="minorHAnsi" w:eastAsiaTheme="minorEastAsia" w:hAnsiTheme="minorHAnsi" w:cstheme="minorBidi"/>
            <w:noProof/>
            <w:sz w:val="22"/>
            <w:szCs w:val="22"/>
          </w:rPr>
          <w:tab/>
        </w:r>
        <w:r w:rsidRPr="001B13A4">
          <w:rPr>
            <w:rStyle w:val="Hyperlink"/>
            <w:noProof/>
          </w:rPr>
          <w:t>Part 1 Section 21.2.2.56, errBarType (Error Bar Type)</w:t>
        </w:r>
        <w:r>
          <w:rPr>
            <w:noProof/>
            <w:webHidden/>
          </w:rPr>
          <w:tab/>
        </w:r>
        <w:r>
          <w:rPr>
            <w:noProof/>
            <w:webHidden/>
          </w:rPr>
          <w:fldChar w:fldCharType="begin"/>
        </w:r>
        <w:r>
          <w:rPr>
            <w:noProof/>
            <w:webHidden/>
          </w:rPr>
          <w:instrText xml:space="preserve"> PAGEREF _Toc181684496 \h </w:instrText>
        </w:r>
        <w:r>
          <w:rPr>
            <w:noProof/>
            <w:webHidden/>
          </w:rPr>
        </w:r>
        <w:r>
          <w:rPr>
            <w:noProof/>
            <w:webHidden/>
          </w:rPr>
          <w:fldChar w:fldCharType="separate"/>
        </w:r>
        <w:r>
          <w:rPr>
            <w:noProof/>
            <w:webHidden/>
          </w:rPr>
          <w:t>557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7" w:history="1">
        <w:r w:rsidRPr="001B13A4">
          <w:rPr>
            <w:rStyle w:val="Hyperlink"/>
            <w:noProof/>
          </w:rPr>
          <w:t>2.1.1461</w:t>
        </w:r>
        <w:r>
          <w:rPr>
            <w:rFonts w:asciiTheme="minorHAnsi" w:eastAsiaTheme="minorEastAsia" w:hAnsiTheme="minorHAnsi" w:cstheme="minorBidi"/>
            <w:noProof/>
            <w:sz w:val="22"/>
            <w:szCs w:val="22"/>
          </w:rPr>
          <w:tab/>
        </w:r>
        <w:r w:rsidRPr="001B13A4">
          <w:rPr>
            <w:rStyle w:val="Hyperlink"/>
            <w:noProof/>
          </w:rPr>
          <w:t>Part 1 Section 21.2.2.57, errDir (Error Bar Direction)</w:t>
        </w:r>
        <w:r>
          <w:rPr>
            <w:noProof/>
            <w:webHidden/>
          </w:rPr>
          <w:tab/>
        </w:r>
        <w:r>
          <w:rPr>
            <w:noProof/>
            <w:webHidden/>
          </w:rPr>
          <w:fldChar w:fldCharType="begin"/>
        </w:r>
        <w:r>
          <w:rPr>
            <w:noProof/>
            <w:webHidden/>
          </w:rPr>
          <w:instrText xml:space="preserve"> PAGEREF _Toc181684497 \h </w:instrText>
        </w:r>
        <w:r>
          <w:rPr>
            <w:noProof/>
            <w:webHidden/>
          </w:rPr>
        </w:r>
        <w:r>
          <w:rPr>
            <w:noProof/>
            <w:webHidden/>
          </w:rPr>
          <w:fldChar w:fldCharType="separate"/>
        </w:r>
        <w:r>
          <w:rPr>
            <w:noProof/>
            <w:webHidden/>
          </w:rPr>
          <w:t>557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8" w:history="1">
        <w:r w:rsidRPr="001B13A4">
          <w:rPr>
            <w:rStyle w:val="Hyperlink"/>
            <w:noProof/>
          </w:rPr>
          <w:t>2.1.1462</w:t>
        </w:r>
        <w:r>
          <w:rPr>
            <w:rFonts w:asciiTheme="minorHAnsi" w:eastAsiaTheme="minorEastAsia" w:hAnsiTheme="minorHAnsi" w:cstheme="minorBidi"/>
            <w:noProof/>
            <w:sz w:val="22"/>
            <w:szCs w:val="22"/>
          </w:rPr>
          <w:tab/>
        </w:r>
        <w:r w:rsidRPr="001B13A4">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_Toc181684498 \h </w:instrText>
        </w:r>
        <w:r>
          <w:rPr>
            <w:noProof/>
            <w:webHidden/>
          </w:rPr>
        </w:r>
        <w:r>
          <w:rPr>
            <w:noProof/>
            <w:webHidden/>
          </w:rPr>
          <w:fldChar w:fldCharType="separate"/>
        </w:r>
        <w:r>
          <w:rPr>
            <w:noProof/>
            <w:webHidden/>
          </w:rPr>
          <w:t>557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499" w:history="1">
        <w:r w:rsidRPr="001B13A4">
          <w:rPr>
            <w:rStyle w:val="Hyperlink"/>
            <w:noProof/>
          </w:rPr>
          <w:t>2.1.1463</w:t>
        </w:r>
        <w:r>
          <w:rPr>
            <w:rFonts w:asciiTheme="minorHAnsi" w:eastAsiaTheme="minorEastAsia" w:hAnsiTheme="minorHAnsi" w:cstheme="minorBidi"/>
            <w:noProof/>
            <w:sz w:val="22"/>
            <w:szCs w:val="22"/>
          </w:rPr>
          <w:tab/>
        </w:r>
        <w:r w:rsidRPr="001B13A4">
          <w:rPr>
            <w:rStyle w:val="Hyperlink"/>
            <w:noProof/>
          </w:rPr>
          <w:t>Part 1 Section 21.2.2.59, evenFooter (Even Footer)</w:t>
        </w:r>
        <w:r>
          <w:rPr>
            <w:noProof/>
            <w:webHidden/>
          </w:rPr>
          <w:tab/>
        </w:r>
        <w:r>
          <w:rPr>
            <w:noProof/>
            <w:webHidden/>
          </w:rPr>
          <w:fldChar w:fldCharType="begin"/>
        </w:r>
        <w:r>
          <w:rPr>
            <w:noProof/>
            <w:webHidden/>
          </w:rPr>
          <w:instrText xml:space="preserve"> PAGEREF _Toc181684499 \h </w:instrText>
        </w:r>
        <w:r>
          <w:rPr>
            <w:noProof/>
            <w:webHidden/>
          </w:rPr>
        </w:r>
        <w:r>
          <w:rPr>
            <w:noProof/>
            <w:webHidden/>
          </w:rPr>
          <w:fldChar w:fldCharType="separate"/>
        </w:r>
        <w:r>
          <w:rPr>
            <w:noProof/>
            <w:webHidden/>
          </w:rPr>
          <w:t>558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0" w:history="1">
        <w:r w:rsidRPr="001B13A4">
          <w:rPr>
            <w:rStyle w:val="Hyperlink"/>
            <w:noProof/>
          </w:rPr>
          <w:t>2.1.1464</w:t>
        </w:r>
        <w:r>
          <w:rPr>
            <w:rFonts w:asciiTheme="minorHAnsi" w:eastAsiaTheme="minorEastAsia" w:hAnsiTheme="minorHAnsi" w:cstheme="minorBidi"/>
            <w:noProof/>
            <w:sz w:val="22"/>
            <w:szCs w:val="22"/>
          </w:rPr>
          <w:tab/>
        </w:r>
        <w:r w:rsidRPr="001B13A4">
          <w:rPr>
            <w:rStyle w:val="Hyperlink"/>
            <w:noProof/>
          </w:rPr>
          <w:t>Part 1 Section 21.2.2.60, evenHeader (Even Header)</w:t>
        </w:r>
        <w:r>
          <w:rPr>
            <w:noProof/>
            <w:webHidden/>
          </w:rPr>
          <w:tab/>
        </w:r>
        <w:r>
          <w:rPr>
            <w:noProof/>
            <w:webHidden/>
          </w:rPr>
          <w:fldChar w:fldCharType="begin"/>
        </w:r>
        <w:r>
          <w:rPr>
            <w:noProof/>
            <w:webHidden/>
          </w:rPr>
          <w:instrText xml:space="preserve"> PAGEREF _Toc181684500 \h </w:instrText>
        </w:r>
        <w:r>
          <w:rPr>
            <w:noProof/>
            <w:webHidden/>
          </w:rPr>
        </w:r>
        <w:r>
          <w:rPr>
            <w:noProof/>
            <w:webHidden/>
          </w:rPr>
          <w:fldChar w:fldCharType="separate"/>
        </w:r>
        <w:r>
          <w:rPr>
            <w:noProof/>
            <w:webHidden/>
          </w:rPr>
          <w:t>558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1" w:history="1">
        <w:r w:rsidRPr="001B13A4">
          <w:rPr>
            <w:rStyle w:val="Hyperlink"/>
            <w:noProof/>
          </w:rPr>
          <w:t>2.1.1465</w:t>
        </w:r>
        <w:r>
          <w:rPr>
            <w:rFonts w:asciiTheme="minorHAnsi" w:eastAsiaTheme="minorEastAsia" w:hAnsiTheme="minorHAnsi" w:cstheme="minorBidi"/>
            <w:noProof/>
            <w:sz w:val="22"/>
            <w:szCs w:val="22"/>
          </w:rPr>
          <w:tab/>
        </w:r>
        <w:r w:rsidRPr="001B13A4">
          <w:rPr>
            <w:rStyle w:val="Hyperlink"/>
            <w:noProof/>
          </w:rPr>
          <w:t>Part 1 Section 21.2.2.61, explosion (Explosion)</w:t>
        </w:r>
        <w:r>
          <w:rPr>
            <w:noProof/>
            <w:webHidden/>
          </w:rPr>
          <w:tab/>
        </w:r>
        <w:r>
          <w:rPr>
            <w:noProof/>
            <w:webHidden/>
          </w:rPr>
          <w:fldChar w:fldCharType="begin"/>
        </w:r>
        <w:r>
          <w:rPr>
            <w:noProof/>
            <w:webHidden/>
          </w:rPr>
          <w:instrText xml:space="preserve"> PAGEREF _Toc181684501 \h </w:instrText>
        </w:r>
        <w:r>
          <w:rPr>
            <w:noProof/>
            <w:webHidden/>
          </w:rPr>
        </w:r>
        <w:r>
          <w:rPr>
            <w:noProof/>
            <w:webHidden/>
          </w:rPr>
          <w:fldChar w:fldCharType="separate"/>
        </w:r>
        <w:r>
          <w:rPr>
            <w:noProof/>
            <w:webHidden/>
          </w:rPr>
          <w:t>558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2" w:history="1">
        <w:r w:rsidRPr="001B13A4">
          <w:rPr>
            <w:rStyle w:val="Hyperlink"/>
            <w:noProof/>
          </w:rPr>
          <w:t>2.1.1466</w:t>
        </w:r>
        <w:r>
          <w:rPr>
            <w:rFonts w:asciiTheme="minorHAnsi" w:eastAsiaTheme="minorEastAsia" w:hAnsiTheme="minorHAnsi" w:cstheme="minorBidi"/>
            <w:noProof/>
            <w:sz w:val="22"/>
            <w:szCs w:val="22"/>
          </w:rPr>
          <w:tab/>
        </w:r>
        <w:r w:rsidRPr="001B13A4">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_Toc181684502 \h </w:instrText>
        </w:r>
        <w:r>
          <w:rPr>
            <w:noProof/>
            <w:webHidden/>
          </w:rPr>
        </w:r>
        <w:r>
          <w:rPr>
            <w:noProof/>
            <w:webHidden/>
          </w:rPr>
          <w:fldChar w:fldCharType="separate"/>
        </w:r>
        <w:r>
          <w:rPr>
            <w:noProof/>
            <w:webHidden/>
          </w:rPr>
          <w:t>558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3" w:history="1">
        <w:r w:rsidRPr="001B13A4">
          <w:rPr>
            <w:rStyle w:val="Hyperlink"/>
            <w:noProof/>
          </w:rPr>
          <w:t>2.1.1467</w:t>
        </w:r>
        <w:r>
          <w:rPr>
            <w:rFonts w:asciiTheme="minorHAnsi" w:eastAsiaTheme="minorEastAsia" w:hAnsiTheme="minorHAnsi" w:cstheme="minorBidi"/>
            <w:noProof/>
            <w:sz w:val="22"/>
            <w:szCs w:val="22"/>
          </w:rPr>
          <w:tab/>
        </w:r>
        <w:r w:rsidRPr="001B13A4">
          <w:rPr>
            <w:rStyle w:val="Hyperlink"/>
            <w:noProof/>
          </w:rPr>
          <w:t>Part 1 Section 21.2.2.65, f (Formula)</w:t>
        </w:r>
        <w:r>
          <w:rPr>
            <w:noProof/>
            <w:webHidden/>
          </w:rPr>
          <w:tab/>
        </w:r>
        <w:r>
          <w:rPr>
            <w:noProof/>
            <w:webHidden/>
          </w:rPr>
          <w:fldChar w:fldCharType="begin"/>
        </w:r>
        <w:r>
          <w:rPr>
            <w:noProof/>
            <w:webHidden/>
          </w:rPr>
          <w:instrText xml:space="preserve"> PAGEREF _Toc181684503 \h </w:instrText>
        </w:r>
        <w:r>
          <w:rPr>
            <w:noProof/>
            <w:webHidden/>
          </w:rPr>
        </w:r>
        <w:r>
          <w:rPr>
            <w:noProof/>
            <w:webHidden/>
          </w:rPr>
          <w:fldChar w:fldCharType="separate"/>
        </w:r>
        <w:r>
          <w:rPr>
            <w:noProof/>
            <w:webHidden/>
          </w:rPr>
          <w:t>558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4" w:history="1">
        <w:r w:rsidRPr="001B13A4">
          <w:rPr>
            <w:rStyle w:val="Hyperlink"/>
            <w:noProof/>
          </w:rPr>
          <w:t>2.1.1468</w:t>
        </w:r>
        <w:r>
          <w:rPr>
            <w:rFonts w:asciiTheme="minorHAnsi" w:eastAsiaTheme="minorEastAsia" w:hAnsiTheme="minorHAnsi" w:cstheme="minorBidi"/>
            <w:noProof/>
            <w:sz w:val="22"/>
            <w:szCs w:val="22"/>
          </w:rPr>
          <w:tab/>
        </w:r>
        <w:r w:rsidRPr="001B13A4">
          <w:rPr>
            <w:rStyle w:val="Hyperlink"/>
            <w:noProof/>
          </w:rPr>
          <w:t>Part 1 Section 21.2.2.66, firstFooter (First Footer)</w:t>
        </w:r>
        <w:r>
          <w:rPr>
            <w:noProof/>
            <w:webHidden/>
          </w:rPr>
          <w:tab/>
        </w:r>
        <w:r>
          <w:rPr>
            <w:noProof/>
            <w:webHidden/>
          </w:rPr>
          <w:fldChar w:fldCharType="begin"/>
        </w:r>
        <w:r>
          <w:rPr>
            <w:noProof/>
            <w:webHidden/>
          </w:rPr>
          <w:instrText xml:space="preserve"> PAGEREF _Toc181684504 \h </w:instrText>
        </w:r>
        <w:r>
          <w:rPr>
            <w:noProof/>
            <w:webHidden/>
          </w:rPr>
        </w:r>
        <w:r>
          <w:rPr>
            <w:noProof/>
            <w:webHidden/>
          </w:rPr>
          <w:fldChar w:fldCharType="separate"/>
        </w:r>
        <w:r>
          <w:rPr>
            <w:noProof/>
            <w:webHidden/>
          </w:rPr>
          <w:t>558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5" w:history="1">
        <w:r w:rsidRPr="001B13A4">
          <w:rPr>
            <w:rStyle w:val="Hyperlink"/>
            <w:noProof/>
          </w:rPr>
          <w:t>2.1.1469</w:t>
        </w:r>
        <w:r>
          <w:rPr>
            <w:rFonts w:asciiTheme="minorHAnsi" w:eastAsiaTheme="minorEastAsia" w:hAnsiTheme="minorHAnsi" w:cstheme="minorBidi"/>
            <w:noProof/>
            <w:sz w:val="22"/>
            <w:szCs w:val="22"/>
          </w:rPr>
          <w:tab/>
        </w:r>
        <w:r w:rsidRPr="001B13A4">
          <w:rPr>
            <w:rStyle w:val="Hyperlink"/>
            <w:noProof/>
          </w:rPr>
          <w:t>Part 1 Section 21.2.2.67, firstHeader (First Header)</w:t>
        </w:r>
        <w:r>
          <w:rPr>
            <w:noProof/>
            <w:webHidden/>
          </w:rPr>
          <w:tab/>
        </w:r>
        <w:r>
          <w:rPr>
            <w:noProof/>
            <w:webHidden/>
          </w:rPr>
          <w:fldChar w:fldCharType="begin"/>
        </w:r>
        <w:r>
          <w:rPr>
            <w:noProof/>
            <w:webHidden/>
          </w:rPr>
          <w:instrText xml:space="preserve"> PAGEREF _Toc181684505 \h </w:instrText>
        </w:r>
        <w:r>
          <w:rPr>
            <w:noProof/>
            <w:webHidden/>
          </w:rPr>
        </w:r>
        <w:r>
          <w:rPr>
            <w:noProof/>
            <w:webHidden/>
          </w:rPr>
          <w:fldChar w:fldCharType="separate"/>
        </w:r>
        <w:r>
          <w:rPr>
            <w:noProof/>
            <w:webHidden/>
          </w:rPr>
          <w:t>559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6" w:history="1">
        <w:r w:rsidRPr="001B13A4">
          <w:rPr>
            <w:rStyle w:val="Hyperlink"/>
            <w:noProof/>
          </w:rPr>
          <w:t>2.1.1470</w:t>
        </w:r>
        <w:r>
          <w:rPr>
            <w:rFonts w:asciiTheme="minorHAnsi" w:eastAsiaTheme="minorEastAsia" w:hAnsiTheme="minorHAnsi" w:cstheme="minorBidi"/>
            <w:noProof/>
            <w:sz w:val="22"/>
            <w:szCs w:val="22"/>
          </w:rPr>
          <w:tab/>
        </w:r>
        <w:r w:rsidRPr="001B13A4">
          <w:rPr>
            <w:rStyle w:val="Hyperlink"/>
            <w:noProof/>
          </w:rPr>
          <w:t>Part 1 Section 21.2.2.69, floor (Floor)</w:t>
        </w:r>
        <w:r>
          <w:rPr>
            <w:noProof/>
            <w:webHidden/>
          </w:rPr>
          <w:tab/>
        </w:r>
        <w:r>
          <w:rPr>
            <w:noProof/>
            <w:webHidden/>
          </w:rPr>
          <w:fldChar w:fldCharType="begin"/>
        </w:r>
        <w:r>
          <w:rPr>
            <w:noProof/>
            <w:webHidden/>
          </w:rPr>
          <w:instrText xml:space="preserve"> PAGEREF _Toc181684506 \h </w:instrText>
        </w:r>
        <w:r>
          <w:rPr>
            <w:noProof/>
            <w:webHidden/>
          </w:rPr>
        </w:r>
        <w:r>
          <w:rPr>
            <w:noProof/>
            <w:webHidden/>
          </w:rPr>
          <w:fldChar w:fldCharType="separate"/>
        </w:r>
        <w:r>
          <w:rPr>
            <w:noProof/>
            <w:webHidden/>
          </w:rPr>
          <w:t>559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7" w:history="1">
        <w:r w:rsidRPr="001B13A4">
          <w:rPr>
            <w:rStyle w:val="Hyperlink"/>
            <w:noProof/>
          </w:rPr>
          <w:t>2.1.1471</w:t>
        </w:r>
        <w:r>
          <w:rPr>
            <w:rFonts w:asciiTheme="minorHAnsi" w:eastAsiaTheme="minorEastAsia" w:hAnsiTheme="minorHAnsi" w:cstheme="minorBidi"/>
            <w:noProof/>
            <w:sz w:val="22"/>
            <w:szCs w:val="22"/>
          </w:rPr>
          <w:tab/>
        </w:r>
        <w:r w:rsidRPr="001B13A4">
          <w:rPr>
            <w:rStyle w:val="Hyperlink"/>
            <w:noProof/>
          </w:rPr>
          <w:t>Part 1 Section 21.2.2.70, fmtId (Format ID)</w:t>
        </w:r>
        <w:r>
          <w:rPr>
            <w:noProof/>
            <w:webHidden/>
          </w:rPr>
          <w:tab/>
        </w:r>
        <w:r>
          <w:rPr>
            <w:noProof/>
            <w:webHidden/>
          </w:rPr>
          <w:fldChar w:fldCharType="begin"/>
        </w:r>
        <w:r>
          <w:rPr>
            <w:noProof/>
            <w:webHidden/>
          </w:rPr>
          <w:instrText xml:space="preserve"> PAGEREF _Toc181684507 \h </w:instrText>
        </w:r>
        <w:r>
          <w:rPr>
            <w:noProof/>
            <w:webHidden/>
          </w:rPr>
        </w:r>
        <w:r>
          <w:rPr>
            <w:noProof/>
            <w:webHidden/>
          </w:rPr>
          <w:fldChar w:fldCharType="separate"/>
        </w:r>
        <w:r>
          <w:rPr>
            <w:noProof/>
            <w:webHidden/>
          </w:rPr>
          <w:t>559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8" w:history="1">
        <w:r w:rsidRPr="001B13A4">
          <w:rPr>
            <w:rStyle w:val="Hyperlink"/>
            <w:noProof/>
          </w:rPr>
          <w:t>2.1.1472</w:t>
        </w:r>
        <w:r>
          <w:rPr>
            <w:rFonts w:asciiTheme="minorHAnsi" w:eastAsiaTheme="minorEastAsia" w:hAnsiTheme="minorHAnsi" w:cstheme="minorBidi"/>
            <w:noProof/>
            <w:sz w:val="22"/>
            <w:szCs w:val="22"/>
          </w:rPr>
          <w:tab/>
        </w:r>
        <w:r w:rsidRPr="001B13A4">
          <w:rPr>
            <w:rStyle w:val="Hyperlink"/>
            <w:noProof/>
          </w:rPr>
          <w:t>Part 1 Section 21.2.2.72, formatting (Formatting)</w:t>
        </w:r>
        <w:r>
          <w:rPr>
            <w:noProof/>
            <w:webHidden/>
          </w:rPr>
          <w:tab/>
        </w:r>
        <w:r>
          <w:rPr>
            <w:noProof/>
            <w:webHidden/>
          </w:rPr>
          <w:fldChar w:fldCharType="begin"/>
        </w:r>
        <w:r>
          <w:rPr>
            <w:noProof/>
            <w:webHidden/>
          </w:rPr>
          <w:instrText xml:space="preserve"> PAGEREF _Toc181684508 \h </w:instrText>
        </w:r>
        <w:r>
          <w:rPr>
            <w:noProof/>
            <w:webHidden/>
          </w:rPr>
        </w:r>
        <w:r>
          <w:rPr>
            <w:noProof/>
            <w:webHidden/>
          </w:rPr>
          <w:fldChar w:fldCharType="separate"/>
        </w:r>
        <w:r>
          <w:rPr>
            <w:noProof/>
            <w:webHidden/>
          </w:rPr>
          <w:t>559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09" w:history="1">
        <w:r w:rsidRPr="001B13A4">
          <w:rPr>
            <w:rStyle w:val="Hyperlink"/>
            <w:noProof/>
          </w:rPr>
          <w:t>2.1.1473</w:t>
        </w:r>
        <w:r>
          <w:rPr>
            <w:rFonts w:asciiTheme="minorHAnsi" w:eastAsiaTheme="minorEastAsia" w:hAnsiTheme="minorHAnsi" w:cstheme="minorBidi"/>
            <w:noProof/>
            <w:sz w:val="22"/>
            <w:szCs w:val="22"/>
          </w:rPr>
          <w:tab/>
        </w:r>
        <w:r w:rsidRPr="001B13A4">
          <w:rPr>
            <w:rStyle w:val="Hyperlink"/>
            <w:noProof/>
          </w:rPr>
          <w:t>Part 1 Section 21.2.2.73, forward (Forward)</w:t>
        </w:r>
        <w:r>
          <w:rPr>
            <w:noProof/>
            <w:webHidden/>
          </w:rPr>
          <w:tab/>
        </w:r>
        <w:r>
          <w:rPr>
            <w:noProof/>
            <w:webHidden/>
          </w:rPr>
          <w:fldChar w:fldCharType="begin"/>
        </w:r>
        <w:r>
          <w:rPr>
            <w:noProof/>
            <w:webHidden/>
          </w:rPr>
          <w:instrText xml:space="preserve"> PAGEREF _Toc181684509 \h </w:instrText>
        </w:r>
        <w:r>
          <w:rPr>
            <w:noProof/>
            <w:webHidden/>
          </w:rPr>
        </w:r>
        <w:r>
          <w:rPr>
            <w:noProof/>
            <w:webHidden/>
          </w:rPr>
          <w:fldChar w:fldCharType="separate"/>
        </w:r>
        <w:r>
          <w:rPr>
            <w:noProof/>
            <w:webHidden/>
          </w:rPr>
          <w:t>559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0" w:history="1">
        <w:r w:rsidRPr="001B13A4">
          <w:rPr>
            <w:rStyle w:val="Hyperlink"/>
            <w:noProof/>
          </w:rPr>
          <w:t>2.1.1474</w:t>
        </w:r>
        <w:r>
          <w:rPr>
            <w:rFonts w:asciiTheme="minorHAnsi" w:eastAsiaTheme="minorEastAsia" w:hAnsiTheme="minorHAnsi" w:cstheme="minorBidi"/>
            <w:noProof/>
            <w:sz w:val="22"/>
            <w:szCs w:val="22"/>
          </w:rPr>
          <w:tab/>
        </w:r>
        <w:r w:rsidRPr="001B13A4">
          <w:rPr>
            <w:rStyle w:val="Hyperlink"/>
            <w:noProof/>
          </w:rPr>
          <w:t>Part 1 Section 21.2.2.74, gapDepth (Gap Depth)</w:t>
        </w:r>
        <w:r>
          <w:rPr>
            <w:noProof/>
            <w:webHidden/>
          </w:rPr>
          <w:tab/>
        </w:r>
        <w:r>
          <w:rPr>
            <w:noProof/>
            <w:webHidden/>
          </w:rPr>
          <w:fldChar w:fldCharType="begin"/>
        </w:r>
        <w:r>
          <w:rPr>
            <w:noProof/>
            <w:webHidden/>
          </w:rPr>
          <w:instrText xml:space="preserve"> PAGEREF _Toc181684510 \h </w:instrText>
        </w:r>
        <w:r>
          <w:rPr>
            <w:noProof/>
            <w:webHidden/>
          </w:rPr>
        </w:r>
        <w:r>
          <w:rPr>
            <w:noProof/>
            <w:webHidden/>
          </w:rPr>
          <w:fldChar w:fldCharType="separate"/>
        </w:r>
        <w:r>
          <w:rPr>
            <w:noProof/>
            <w:webHidden/>
          </w:rPr>
          <w:t>559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1" w:history="1">
        <w:r w:rsidRPr="001B13A4">
          <w:rPr>
            <w:rStyle w:val="Hyperlink"/>
            <w:noProof/>
          </w:rPr>
          <w:t>2.1.1475</w:t>
        </w:r>
        <w:r>
          <w:rPr>
            <w:rFonts w:asciiTheme="minorHAnsi" w:eastAsiaTheme="minorEastAsia" w:hAnsiTheme="minorHAnsi" w:cstheme="minorBidi"/>
            <w:noProof/>
            <w:sz w:val="22"/>
            <w:szCs w:val="22"/>
          </w:rPr>
          <w:tab/>
        </w:r>
        <w:r w:rsidRPr="001B13A4">
          <w:rPr>
            <w:rStyle w:val="Hyperlink"/>
            <w:noProof/>
          </w:rPr>
          <w:t>Part 1 Section 21.2.2.75, gapWidth (Gap Width)</w:t>
        </w:r>
        <w:r>
          <w:rPr>
            <w:noProof/>
            <w:webHidden/>
          </w:rPr>
          <w:tab/>
        </w:r>
        <w:r>
          <w:rPr>
            <w:noProof/>
            <w:webHidden/>
          </w:rPr>
          <w:fldChar w:fldCharType="begin"/>
        </w:r>
        <w:r>
          <w:rPr>
            <w:noProof/>
            <w:webHidden/>
          </w:rPr>
          <w:instrText xml:space="preserve"> PAGEREF _Toc181684511 \h </w:instrText>
        </w:r>
        <w:r>
          <w:rPr>
            <w:noProof/>
            <w:webHidden/>
          </w:rPr>
        </w:r>
        <w:r>
          <w:rPr>
            <w:noProof/>
            <w:webHidden/>
          </w:rPr>
          <w:fldChar w:fldCharType="separate"/>
        </w:r>
        <w:r>
          <w:rPr>
            <w:noProof/>
            <w:webHidden/>
          </w:rPr>
          <w:t>559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2" w:history="1">
        <w:r w:rsidRPr="001B13A4">
          <w:rPr>
            <w:rStyle w:val="Hyperlink"/>
            <w:noProof/>
          </w:rPr>
          <w:t>2.1.1476</w:t>
        </w:r>
        <w:r>
          <w:rPr>
            <w:rFonts w:asciiTheme="minorHAnsi" w:eastAsiaTheme="minorEastAsia" w:hAnsiTheme="minorHAnsi" w:cstheme="minorBidi"/>
            <w:noProof/>
            <w:sz w:val="22"/>
            <w:szCs w:val="22"/>
          </w:rPr>
          <w:tab/>
        </w:r>
        <w:r w:rsidRPr="001B13A4">
          <w:rPr>
            <w:rStyle w:val="Hyperlink"/>
            <w:noProof/>
          </w:rPr>
          <w:t>Part 1 Section 21.2.2.76, grouping (Grouping)</w:t>
        </w:r>
        <w:r>
          <w:rPr>
            <w:noProof/>
            <w:webHidden/>
          </w:rPr>
          <w:tab/>
        </w:r>
        <w:r>
          <w:rPr>
            <w:noProof/>
            <w:webHidden/>
          </w:rPr>
          <w:fldChar w:fldCharType="begin"/>
        </w:r>
        <w:r>
          <w:rPr>
            <w:noProof/>
            <w:webHidden/>
          </w:rPr>
          <w:instrText xml:space="preserve"> PAGEREF _Toc181684512 \h </w:instrText>
        </w:r>
        <w:r>
          <w:rPr>
            <w:noProof/>
            <w:webHidden/>
          </w:rPr>
        </w:r>
        <w:r>
          <w:rPr>
            <w:noProof/>
            <w:webHidden/>
          </w:rPr>
          <w:fldChar w:fldCharType="separate"/>
        </w:r>
        <w:r>
          <w:rPr>
            <w:noProof/>
            <w:webHidden/>
          </w:rPr>
          <w:t>560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3" w:history="1">
        <w:r w:rsidRPr="001B13A4">
          <w:rPr>
            <w:rStyle w:val="Hyperlink"/>
            <w:noProof/>
          </w:rPr>
          <w:t>2.1.1477</w:t>
        </w:r>
        <w:r>
          <w:rPr>
            <w:rFonts w:asciiTheme="minorHAnsi" w:eastAsiaTheme="minorEastAsia" w:hAnsiTheme="minorHAnsi" w:cstheme="minorBidi"/>
            <w:noProof/>
            <w:sz w:val="22"/>
            <w:szCs w:val="22"/>
          </w:rPr>
          <w:tab/>
        </w:r>
        <w:r w:rsidRPr="001B13A4">
          <w:rPr>
            <w:rStyle w:val="Hyperlink"/>
            <w:noProof/>
          </w:rPr>
          <w:t>Part 1 Section 21.2.2.78, h (Height)</w:t>
        </w:r>
        <w:r>
          <w:rPr>
            <w:noProof/>
            <w:webHidden/>
          </w:rPr>
          <w:tab/>
        </w:r>
        <w:r>
          <w:rPr>
            <w:noProof/>
            <w:webHidden/>
          </w:rPr>
          <w:fldChar w:fldCharType="begin"/>
        </w:r>
        <w:r>
          <w:rPr>
            <w:noProof/>
            <w:webHidden/>
          </w:rPr>
          <w:instrText xml:space="preserve"> PAGEREF _Toc181684513 \h </w:instrText>
        </w:r>
        <w:r>
          <w:rPr>
            <w:noProof/>
            <w:webHidden/>
          </w:rPr>
        </w:r>
        <w:r>
          <w:rPr>
            <w:noProof/>
            <w:webHidden/>
          </w:rPr>
          <w:fldChar w:fldCharType="separate"/>
        </w:r>
        <w:r>
          <w:rPr>
            <w:noProof/>
            <w:webHidden/>
          </w:rPr>
          <w:t>560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4" w:history="1">
        <w:r w:rsidRPr="001B13A4">
          <w:rPr>
            <w:rStyle w:val="Hyperlink"/>
            <w:noProof/>
          </w:rPr>
          <w:t>2.1.1478</w:t>
        </w:r>
        <w:r>
          <w:rPr>
            <w:rFonts w:asciiTheme="minorHAnsi" w:eastAsiaTheme="minorEastAsia" w:hAnsiTheme="minorHAnsi" w:cstheme="minorBidi"/>
            <w:noProof/>
            <w:sz w:val="22"/>
            <w:szCs w:val="22"/>
          </w:rPr>
          <w:tab/>
        </w:r>
        <w:r w:rsidRPr="001B13A4">
          <w:rPr>
            <w:rStyle w:val="Hyperlink"/>
            <w:noProof/>
          </w:rPr>
          <w:t>Part 1 Section 21.2.2.79, headerFooter (Header and Footer)</w:t>
        </w:r>
        <w:r>
          <w:rPr>
            <w:noProof/>
            <w:webHidden/>
          </w:rPr>
          <w:tab/>
        </w:r>
        <w:r>
          <w:rPr>
            <w:noProof/>
            <w:webHidden/>
          </w:rPr>
          <w:fldChar w:fldCharType="begin"/>
        </w:r>
        <w:r>
          <w:rPr>
            <w:noProof/>
            <w:webHidden/>
          </w:rPr>
          <w:instrText xml:space="preserve"> PAGEREF _Toc181684514 \h </w:instrText>
        </w:r>
        <w:r>
          <w:rPr>
            <w:noProof/>
            <w:webHidden/>
          </w:rPr>
        </w:r>
        <w:r>
          <w:rPr>
            <w:noProof/>
            <w:webHidden/>
          </w:rPr>
          <w:fldChar w:fldCharType="separate"/>
        </w:r>
        <w:r>
          <w:rPr>
            <w:noProof/>
            <w:webHidden/>
          </w:rPr>
          <w:t>560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5" w:history="1">
        <w:r w:rsidRPr="001B13A4">
          <w:rPr>
            <w:rStyle w:val="Hyperlink"/>
            <w:noProof/>
          </w:rPr>
          <w:t>2.1.1479</w:t>
        </w:r>
        <w:r>
          <w:rPr>
            <w:rFonts w:asciiTheme="minorHAnsi" w:eastAsiaTheme="minorEastAsia" w:hAnsiTheme="minorHAnsi" w:cstheme="minorBidi"/>
            <w:noProof/>
            <w:sz w:val="22"/>
            <w:szCs w:val="22"/>
          </w:rPr>
          <w:tab/>
        </w:r>
        <w:r w:rsidRPr="001B13A4">
          <w:rPr>
            <w:rStyle w:val="Hyperlink"/>
            <w:noProof/>
          </w:rPr>
          <w:t>Part 1 Section 21.2.2.81, hMode (Height Mode)</w:t>
        </w:r>
        <w:r>
          <w:rPr>
            <w:noProof/>
            <w:webHidden/>
          </w:rPr>
          <w:tab/>
        </w:r>
        <w:r>
          <w:rPr>
            <w:noProof/>
            <w:webHidden/>
          </w:rPr>
          <w:fldChar w:fldCharType="begin"/>
        </w:r>
        <w:r>
          <w:rPr>
            <w:noProof/>
            <w:webHidden/>
          </w:rPr>
          <w:instrText xml:space="preserve"> PAGEREF _Toc181684515 \h </w:instrText>
        </w:r>
        <w:r>
          <w:rPr>
            <w:noProof/>
            <w:webHidden/>
          </w:rPr>
        </w:r>
        <w:r>
          <w:rPr>
            <w:noProof/>
            <w:webHidden/>
          </w:rPr>
          <w:fldChar w:fldCharType="separate"/>
        </w:r>
        <w:r>
          <w:rPr>
            <w:noProof/>
            <w:webHidden/>
          </w:rPr>
          <w:t>560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6" w:history="1">
        <w:r w:rsidRPr="001B13A4">
          <w:rPr>
            <w:rStyle w:val="Hyperlink"/>
            <w:noProof/>
          </w:rPr>
          <w:t>2.1.1480</w:t>
        </w:r>
        <w:r>
          <w:rPr>
            <w:rFonts w:asciiTheme="minorHAnsi" w:eastAsiaTheme="minorEastAsia" w:hAnsiTheme="minorHAnsi" w:cstheme="minorBidi"/>
            <w:noProof/>
            <w:sz w:val="22"/>
            <w:szCs w:val="22"/>
          </w:rPr>
          <w:tab/>
        </w:r>
        <w:r w:rsidRPr="001B13A4">
          <w:rPr>
            <w:rStyle w:val="Hyperlink"/>
            <w:noProof/>
          </w:rPr>
          <w:t>Part 1 Section 21.2.2.82, holeSize (Hole Size)</w:t>
        </w:r>
        <w:r>
          <w:rPr>
            <w:noProof/>
            <w:webHidden/>
          </w:rPr>
          <w:tab/>
        </w:r>
        <w:r>
          <w:rPr>
            <w:noProof/>
            <w:webHidden/>
          </w:rPr>
          <w:fldChar w:fldCharType="begin"/>
        </w:r>
        <w:r>
          <w:rPr>
            <w:noProof/>
            <w:webHidden/>
          </w:rPr>
          <w:instrText xml:space="preserve"> PAGEREF _Toc181684516 \h </w:instrText>
        </w:r>
        <w:r>
          <w:rPr>
            <w:noProof/>
            <w:webHidden/>
          </w:rPr>
        </w:r>
        <w:r>
          <w:rPr>
            <w:noProof/>
            <w:webHidden/>
          </w:rPr>
          <w:fldChar w:fldCharType="separate"/>
        </w:r>
        <w:r>
          <w:rPr>
            <w:noProof/>
            <w:webHidden/>
          </w:rPr>
          <w:t>560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7" w:history="1">
        <w:r w:rsidRPr="001B13A4">
          <w:rPr>
            <w:rStyle w:val="Hyperlink"/>
            <w:noProof/>
          </w:rPr>
          <w:t>2.1.1481</w:t>
        </w:r>
        <w:r>
          <w:rPr>
            <w:rFonts w:asciiTheme="minorHAnsi" w:eastAsiaTheme="minorEastAsia" w:hAnsiTheme="minorHAnsi" w:cstheme="minorBidi"/>
            <w:noProof/>
            <w:sz w:val="22"/>
            <w:szCs w:val="22"/>
          </w:rPr>
          <w:tab/>
        </w:r>
        <w:r w:rsidRPr="001B13A4">
          <w:rPr>
            <w:rStyle w:val="Hyperlink"/>
            <w:noProof/>
          </w:rPr>
          <w:t>Part 1 Section 21.2.2.83, hPercent (Height Percent)</w:t>
        </w:r>
        <w:r>
          <w:rPr>
            <w:noProof/>
            <w:webHidden/>
          </w:rPr>
          <w:tab/>
        </w:r>
        <w:r>
          <w:rPr>
            <w:noProof/>
            <w:webHidden/>
          </w:rPr>
          <w:fldChar w:fldCharType="begin"/>
        </w:r>
        <w:r>
          <w:rPr>
            <w:noProof/>
            <w:webHidden/>
          </w:rPr>
          <w:instrText xml:space="preserve"> PAGEREF _Toc181684517 \h </w:instrText>
        </w:r>
        <w:r>
          <w:rPr>
            <w:noProof/>
            <w:webHidden/>
          </w:rPr>
        </w:r>
        <w:r>
          <w:rPr>
            <w:noProof/>
            <w:webHidden/>
          </w:rPr>
          <w:fldChar w:fldCharType="separate"/>
        </w:r>
        <w:r>
          <w:rPr>
            <w:noProof/>
            <w:webHidden/>
          </w:rPr>
          <w:t>561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8" w:history="1">
        <w:r w:rsidRPr="001B13A4">
          <w:rPr>
            <w:rStyle w:val="Hyperlink"/>
            <w:noProof/>
          </w:rPr>
          <w:t>2.1.1482</w:t>
        </w:r>
        <w:r>
          <w:rPr>
            <w:rFonts w:asciiTheme="minorHAnsi" w:eastAsiaTheme="minorEastAsia" w:hAnsiTheme="minorHAnsi" w:cstheme="minorBidi"/>
            <w:noProof/>
            <w:sz w:val="22"/>
            <w:szCs w:val="22"/>
          </w:rPr>
          <w:tab/>
        </w:r>
        <w:r w:rsidRPr="001B13A4">
          <w:rPr>
            <w:rStyle w:val="Hyperlink"/>
            <w:noProof/>
          </w:rPr>
          <w:t>Part 1 Section 21.2.2.84, idx (Index)</w:t>
        </w:r>
        <w:r>
          <w:rPr>
            <w:noProof/>
            <w:webHidden/>
          </w:rPr>
          <w:tab/>
        </w:r>
        <w:r>
          <w:rPr>
            <w:noProof/>
            <w:webHidden/>
          </w:rPr>
          <w:fldChar w:fldCharType="begin"/>
        </w:r>
        <w:r>
          <w:rPr>
            <w:noProof/>
            <w:webHidden/>
          </w:rPr>
          <w:instrText xml:space="preserve"> PAGEREF _Toc181684518 \h </w:instrText>
        </w:r>
        <w:r>
          <w:rPr>
            <w:noProof/>
            <w:webHidden/>
          </w:rPr>
        </w:r>
        <w:r>
          <w:rPr>
            <w:noProof/>
            <w:webHidden/>
          </w:rPr>
          <w:fldChar w:fldCharType="separate"/>
        </w:r>
        <w:r>
          <w:rPr>
            <w:noProof/>
            <w:webHidden/>
          </w:rPr>
          <w:t>561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19" w:history="1">
        <w:r w:rsidRPr="001B13A4">
          <w:rPr>
            <w:rStyle w:val="Hyperlink"/>
            <w:noProof/>
          </w:rPr>
          <w:t>2.1.1483</w:t>
        </w:r>
        <w:r>
          <w:rPr>
            <w:rFonts w:asciiTheme="minorHAnsi" w:eastAsiaTheme="minorEastAsia" w:hAnsiTheme="minorHAnsi" w:cstheme="minorBidi"/>
            <w:noProof/>
            <w:sz w:val="22"/>
            <w:szCs w:val="22"/>
          </w:rPr>
          <w:tab/>
        </w:r>
        <w:r w:rsidRPr="001B13A4">
          <w:rPr>
            <w:rStyle w:val="Hyperlink"/>
            <w:noProof/>
          </w:rPr>
          <w:t>Part 1 Section 21.2.2.85, intercept (Intercept)</w:t>
        </w:r>
        <w:r>
          <w:rPr>
            <w:noProof/>
            <w:webHidden/>
          </w:rPr>
          <w:tab/>
        </w:r>
        <w:r>
          <w:rPr>
            <w:noProof/>
            <w:webHidden/>
          </w:rPr>
          <w:fldChar w:fldCharType="begin"/>
        </w:r>
        <w:r>
          <w:rPr>
            <w:noProof/>
            <w:webHidden/>
          </w:rPr>
          <w:instrText xml:space="preserve"> PAGEREF _Toc181684519 \h </w:instrText>
        </w:r>
        <w:r>
          <w:rPr>
            <w:noProof/>
            <w:webHidden/>
          </w:rPr>
        </w:r>
        <w:r>
          <w:rPr>
            <w:noProof/>
            <w:webHidden/>
          </w:rPr>
          <w:fldChar w:fldCharType="separate"/>
        </w:r>
        <w:r>
          <w:rPr>
            <w:noProof/>
            <w:webHidden/>
          </w:rPr>
          <w:t>561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0" w:history="1">
        <w:r w:rsidRPr="001B13A4">
          <w:rPr>
            <w:rStyle w:val="Hyperlink"/>
            <w:noProof/>
          </w:rPr>
          <w:t>2.1.1484</w:t>
        </w:r>
        <w:r>
          <w:rPr>
            <w:rFonts w:asciiTheme="minorHAnsi" w:eastAsiaTheme="minorEastAsia" w:hAnsiTheme="minorHAnsi" w:cstheme="minorBidi"/>
            <w:noProof/>
            <w:sz w:val="22"/>
            <w:szCs w:val="22"/>
          </w:rPr>
          <w:tab/>
        </w:r>
        <w:r w:rsidRPr="001B13A4">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_Toc181684520 \h </w:instrText>
        </w:r>
        <w:r>
          <w:rPr>
            <w:noProof/>
            <w:webHidden/>
          </w:rPr>
        </w:r>
        <w:r>
          <w:rPr>
            <w:noProof/>
            <w:webHidden/>
          </w:rPr>
          <w:fldChar w:fldCharType="separate"/>
        </w:r>
        <w:r>
          <w:rPr>
            <w:noProof/>
            <w:webHidden/>
          </w:rPr>
          <w:t>561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1" w:history="1">
        <w:r w:rsidRPr="001B13A4">
          <w:rPr>
            <w:rStyle w:val="Hyperlink"/>
            <w:noProof/>
          </w:rPr>
          <w:t>2.1.1485</w:t>
        </w:r>
        <w:r>
          <w:rPr>
            <w:rFonts w:asciiTheme="minorHAnsi" w:eastAsiaTheme="minorEastAsia" w:hAnsiTheme="minorHAnsi" w:cstheme="minorBidi"/>
            <w:noProof/>
            <w:sz w:val="22"/>
            <w:szCs w:val="22"/>
          </w:rPr>
          <w:tab/>
        </w:r>
        <w:r w:rsidRPr="001B13A4">
          <w:rPr>
            <w:rStyle w:val="Hyperlink"/>
            <w:noProof/>
          </w:rPr>
          <w:t>Part 1 Section 21.2.2.88, layout (Layout)</w:t>
        </w:r>
        <w:r>
          <w:rPr>
            <w:noProof/>
            <w:webHidden/>
          </w:rPr>
          <w:tab/>
        </w:r>
        <w:r>
          <w:rPr>
            <w:noProof/>
            <w:webHidden/>
          </w:rPr>
          <w:fldChar w:fldCharType="begin"/>
        </w:r>
        <w:r>
          <w:rPr>
            <w:noProof/>
            <w:webHidden/>
          </w:rPr>
          <w:instrText xml:space="preserve"> PAGEREF _Toc181684521 \h </w:instrText>
        </w:r>
        <w:r>
          <w:rPr>
            <w:noProof/>
            <w:webHidden/>
          </w:rPr>
        </w:r>
        <w:r>
          <w:rPr>
            <w:noProof/>
            <w:webHidden/>
          </w:rPr>
          <w:fldChar w:fldCharType="separate"/>
        </w:r>
        <w:r>
          <w:rPr>
            <w:noProof/>
            <w:webHidden/>
          </w:rPr>
          <w:t>561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2" w:history="1">
        <w:r w:rsidRPr="001B13A4">
          <w:rPr>
            <w:rStyle w:val="Hyperlink"/>
            <w:noProof/>
          </w:rPr>
          <w:t>2.1.1486</w:t>
        </w:r>
        <w:r>
          <w:rPr>
            <w:rFonts w:asciiTheme="minorHAnsi" w:eastAsiaTheme="minorEastAsia" w:hAnsiTheme="minorHAnsi" w:cstheme="minorBidi"/>
            <w:noProof/>
            <w:sz w:val="22"/>
            <w:szCs w:val="22"/>
          </w:rPr>
          <w:tab/>
        </w:r>
        <w:r w:rsidRPr="001B13A4">
          <w:rPr>
            <w:rStyle w:val="Hyperlink"/>
            <w:noProof/>
          </w:rPr>
          <w:t>Part 1 Section 21.2.2.89, layoutTarget (Layout Target)</w:t>
        </w:r>
        <w:r>
          <w:rPr>
            <w:noProof/>
            <w:webHidden/>
          </w:rPr>
          <w:tab/>
        </w:r>
        <w:r>
          <w:rPr>
            <w:noProof/>
            <w:webHidden/>
          </w:rPr>
          <w:fldChar w:fldCharType="begin"/>
        </w:r>
        <w:r>
          <w:rPr>
            <w:noProof/>
            <w:webHidden/>
          </w:rPr>
          <w:instrText xml:space="preserve"> PAGEREF _Toc181684522 \h </w:instrText>
        </w:r>
        <w:r>
          <w:rPr>
            <w:noProof/>
            <w:webHidden/>
          </w:rPr>
        </w:r>
        <w:r>
          <w:rPr>
            <w:noProof/>
            <w:webHidden/>
          </w:rPr>
          <w:fldChar w:fldCharType="separate"/>
        </w:r>
        <w:r>
          <w:rPr>
            <w:noProof/>
            <w:webHidden/>
          </w:rPr>
          <w:t>562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3" w:history="1">
        <w:r w:rsidRPr="001B13A4">
          <w:rPr>
            <w:rStyle w:val="Hyperlink"/>
            <w:noProof/>
          </w:rPr>
          <w:t>2.1.1487</w:t>
        </w:r>
        <w:r>
          <w:rPr>
            <w:rFonts w:asciiTheme="minorHAnsi" w:eastAsiaTheme="minorEastAsia" w:hAnsiTheme="minorHAnsi" w:cstheme="minorBidi"/>
            <w:noProof/>
            <w:sz w:val="22"/>
            <w:szCs w:val="22"/>
          </w:rPr>
          <w:tab/>
        </w:r>
        <w:r w:rsidRPr="001B13A4">
          <w:rPr>
            <w:rStyle w:val="Hyperlink"/>
            <w:noProof/>
          </w:rPr>
          <w:t>Part 1 Section 21.2.2.92, leaderLines (Leader Lines)</w:t>
        </w:r>
        <w:r>
          <w:rPr>
            <w:noProof/>
            <w:webHidden/>
          </w:rPr>
          <w:tab/>
        </w:r>
        <w:r>
          <w:rPr>
            <w:noProof/>
            <w:webHidden/>
          </w:rPr>
          <w:fldChar w:fldCharType="begin"/>
        </w:r>
        <w:r>
          <w:rPr>
            <w:noProof/>
            <w:webHidden/>
          </w:rPr>
          <w:instrText xml:space="preserve"> PAGEREF _Toc181684523 \h </w:instrText>
        </w:r>
        <w:r>
          <w:rPr>
            <w:noProof/>
            <w:webHidden/>
          </w:rPr>
        </w:r>
        <w:r>
          <w:rPr>
            <w:noProof/>
            <w:webHidden/>
          </w:rPr>
          <w:fldChar w:fldCharType="separate"/>
        </w:r>
        <w:r>
          <w:rPr>
            <w:noProof/>
            <w:webHidden/>
          </w:rPr>
          <w:t>562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4" w:history="1">
        <w:r w:rsidRPr="001B13A4">
          <w:rPr>
            <w:rStyle w:val="Hyperlink"/>
            <w:noProof/>
          </w:rPr>
          <w:t>2.1.1488</w:t>
        </w:r>
        <w:r>
          <w:rPr>
            <w:rFonts w:asciiTheme="minorHAnsi" w:eastAsiaTheme="minorEastAsia" w:hAnsiTheme="minorHAnsi" w:cstheme="minorBidi"/>
            <w:noProof/>
            <w:sz w:val="22"/>
            <w:szCs w:val="22"/>
          </w:rPr>
          <w:tab/>
        </w:r>
        <w:r w:rsidRPr="001B13A4">
          <w:rPr>
            <w:rStyle w:val="Hyperlink"/>
            <w:noProof/>
          </w:rPr>
          <w:t>Part 1 Section 21.2.2.95, legendPos (Legend Position)</w:t>
        </w:r>
        <w:r>
          <w:rPr>
            <w:noProof/>
            <w:webHidden/>
          </w:rPr>
          <w:tab/>
        </w:r>
        <w:r>
          <w:rPr>
            <w:noProof/>
            <w:webHidden/>
          </w:rPr>
          <w:fldChar w:fldCharType="begin"/>
        </w:r>
        <w:r>
          <w:rPr>
            <w:noProof/>
            <w:webHidden/>
          </w:rPr>
          <w:instrText xml:space="preserve"> PAGEREF _Toc181684524 \h </w:instrText>
        </w:r>
        <w:r>
          <w:rPr>
            <w:noProof/>
            <w:webHidden/>
          </w:rPr>
        </w:r>
        <w:r>
          <w:rPr>
            <w:noProof/>
            <w:webHidden/>
          </w:rPr>
          <w:fldChar w:fldCharType="separate"/>
        </w:r>
        <w:r>
          <w:rPr>
            <w:noProof/>
            <w:webHidden/>
          </w:rPr>
          <w:t>562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5" w:history="1">
        <w:r w:rsidRPr="001B13A4">
          <w:rPr>
            <w:rStyle w:val="Hyperlink"/>
            <w:noProof/>
          </w:rPr>
          <w:t>2.1.1489</w:t>
        </w:r>
        <w:r>
          <w:rPr>
            <w:rFonts w:asciiTheme="minorHAnsi" w:eastAsiaTheme="minorEastAsia" w:hAnsiTheme="minorHAnsi" w:cstheme="minorBidi"/>
            <w:noProof/>
            <w:sz w:val="22"/>
            <w:szCs w:val="22"/>
          </w:rPr>
          <w:tab/>
        </w:r>
        <w:r w:rsidRPr="001B13A4">
          <w:rPr>
            <w:rStyle w:val="Hyperlink"/>
            <w:noProof/>
          </w:rPr>
          <w:t>Part 1 Section 21.2.2.96, line3DChart (3D Line Charts)</w:t>
        </w:r>
        <w:r>
          <w:rPr>
            <w:noProof/>
            <w:webHidden/>
          </w:rPr>
          <w:tab/>
        </w:r>
        <w:r>
          <w:rPr>
            <w:noProof/>
            <w:webHidden/>
          </w:rPr>
          <w:fldChar w:fldCharType="begin"/>
        </w:r>
        <w:r>
          <w:rPr>
            <w:noProof/>
            <w:webHidden/>
          </w:rPr>
          <w:instrText xml:space="preserve"> PAGEREF _Toc181684525 \h </w:instrText>
        </w:r>
        <w:r>
          <w:rPr>
            <w:noProof/>
            <w:webHidden/>
          </w:rPr>
        </w:r>
        <w:r>
          <w:rPr>
            <w:noProof/>
            <w:webHidden/>
          </w:rPr>
          <w:fldChar w:fldCharType="separate"/>
        </w:r>
        <w:r>
          <w:rPr>
            <w:noProof/>
            <w:webHidden/>
          </w:rPr>
          <w:t>562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6" w:history="1">
        <w:r w:rsidRPr="001B13A4">
          <w:rPr>
            <w:rStyle w:val="Hyperlink"/>
            <w:noProof/>
          </w:rPr>
          <w:t>2.1.1490</w:t>
        </w:r>
        <w:r>
          <w:rPr>
            <w:rFonts w:asciiTheme="minorHAnsi" w:eastAsiaTheme="minorEastAsia" w:hAnsiTheme="minorHAnsi" w:cstheme="minorBidi"/>
            <w:noProof/>
            <w:sz w:val="22"/>
            <w:szCs w:val="22"/>
          </w:rPr>
          <w:tab/>
        </w:r>
        <w:r w:rsidRPr="001B13A4">
          <w:rPr>
            <w:rStyle w:val="Hyperlink"/>
            <w:noProof/>
          </w:rPr>
          <w:t>Part 1 Section 21.2.2.97, lineChart (Line Charts)</w:t>
        </w:r>
        <w:r>
          <w:rPr>
            <w:noProof/>
            <w:webHidden/>
          </w:rPr>
          <w:tab/>
        </w:r>
        <w:r>
          <w:rPr>
            <w:noProof/>
            <w:webHidden/>
          </w:rPr>
          <w:fldChar w:fldCharType="begin"/>
        </w:r>
        <w:r>
          <w:rPr>
            <w:noProof/>
            <w:webHidden/>
          </w:rPr>
          <w:instrText xml:space="preserve"> PAGEREF _Toc181684526 \h </w:instrText>
        </w:r>
        <w:r>
          <w:rPr>
            <w:noProof/>
            <w:webHidden/>
          </w:rPr>
        </w:r>
        <w:r>
          <w:rPr>
            <w:noProof/>
            <w:webHidden/>
          </w:rPr>
          <w:fldChar w:fldCharType="separate"/>
        </w:r>
        <w:r>
          <w:rPr>
            <w:noProof/>
            <w:webHidden/>
          </w:rPr>
          <w:t>562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7" w:history="1">
        <w:r w:rsidRPr="001B13A4">
          <w:rPr>
            <w:rStyle w:val="Hyperlink"/>
            <w:noProof/>
          </w:rPr>
          <w:t>2.1.1491</w:t>
        </w:r>
        <w:r>
          <w:rPr>
            <w:rFonts w:asciiTheme="minorHAnsi" w:eastAsiaTheme="minorEastAsia" w:hAnsiTheme="minorHAnsi" w:cstheme="minorBidi"/>
            <w:noProof/>
            <w:sz w:val="22"/>
            <w:szCs w:val="22"/>
          </w:rPr>
          <w:tab/>
        </w:r>
        <w:r w:rsidRPr="001B13A4">
          <w:rPr>
            <w:rStyle w:val="Hyperlink"/>
            <w:noProof/>
          </w:rPr>
          <w:t>Part 1 Section 21.2.2.99, lvl (Level)</w:t>
        </w:r>
        <w:r>
          <w:rPr>
            <w:noProof/>
            <w:webHidden/>
          </w:rPr>
          <w:tab/>
        </w:r>
        <w:r>
          <w:rPr>
            <w:noProof/>
            <w:webHidden/>
          </w:rPr>
          <w:fldChar w:fldCharType="begin"/>
        </w:r>
        <w:r>
          <w:rPr>
            <w:noProof/>
            <w:webHidden/>
          </w:rPr>
          <w:instrText xml:space="preserve"> PAGEREF _Toc181684527 \h </w:instrText>
        </w:r>
        <w:r>
          <w:rPr>
            <w:noProof/>
            <w:webHidden/>
          </w:rPr>
        </w:r>
        <w:r>
          <w:rPr>
            <w:noProof/>
            <w:webHidden/>
          </w:rPr>
          <w:fldChar w:fldCharType="separate"/>
        </w:r>
        <w:r>
          <w:rPr>
            <w:noProof/>
            <w:webHidden/>
          </w:rPr>
          <w:t>562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8" w:history="1">
        <w:r w:rsidRPr="001B13A4">
          <w:rPr>
            <w:rStyle w:val="Hyperlink"/>
            <w:noProof/>
          </w:rPr>
          <w:t>2.1.1492</w:t>
        </w:r>
        <w:r>
          <w:rPr>
            <w:rFonts w:asciiTheme="minorHAnsi" w:eastAsiaTheme="minorEastAsia" w:hAnsiTheme="minorHAnsi" w:cstheme="minorBidi"/>
            <w:noProof/>
            <w:sz w:val="22"/>
            <w:szCs w:val="22"/>
          </w:rPr>
          <w:tab/>
        </w:r>
        <w:r w:rsidRPr="001B13A4">
          <w:rPr>
            <w:rStyle w:val="Hyperlink"/>
            <w:noProof/>
          </w:rPr>
          <w:t>Part 1 Section 21.2.2.101, majorTickMark (Major Tick Mark)</w:t>
        </w:r>
        <w:r>
          <w:rPr>
            <w:noProof/>
            <w:webHidden/>
          </w:rPr>
          <w:tab/>
        </w:r>
        <w:r>
          <w:rPr>
            <w:noProof/>
            <w:webHidden/>
          </w:rPr>
          <w:fldChar w:fldCharType="begin"/>
        </w:r>
        <w:r>
          <w:rPr>
            <w:noProof/>
            <w:webHidden/>
          </w:rPr>
          <w:instrText xml:space="preserve"> PAGEREF _Toc181684528 \h </w:instrText>
        </w:r>
        <w:r>
          <w:rPr>
            <w:noProof/>
            <w:webHidden/>
          </w:rPr>
        </w:r>
        <w:r>
          <w:rPr>
            <w:noProof/>
            <w:webHidden/>
          </w:rPr>
          <w:fldChar w:fldCharType="separate"/>
        </w:r>
        <w:r>
          <w:rPr>
            <w:noProof/>
            <w:webHidden/>
          </w:rPr>
          <w:t>562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29" w:history="1">
        <w:r w:rsidRPr="001B13A4">
          <w:rPr>
            <w:rStyle w:val="Hyperlink"/>
            <w:noProof/>
          </w:rPr>
          <w:t>2.1.1493</w:t>
        </w:r>
        <w:r>
          <w:rPr>
            <w:rFonts w:asciiTheme="minorHAnsi" w:eastAsiaTheme="minorEastAsia" w:hAnsiTheme="minorHAnsi" w:cstheme="minorBidi"/>
            <w:noProof/>
            <w:sz w:val="22"/>
            <w:szCs w:val="22"/>
          </w:rPr>
          <w:tab/>
        </w:r>
        <w:r w:rsidRPr="001B13A4">
          <w:rPr>
            <w:rStyle w:val="Hyperlink"/>
            <w:noProof/>
          </w:rPr>
          <w:t>Part 1 Section 21.2.2.103, majorUnit (Major Unit)</w:t>
        </w:r>
        <w:r>
          <w:rPr>
            <w:noProof/>
            <w:webHidden/>
          </w:rPr>
          <w:tab/>
        </w:r>
        <w:r>
          <w:rPr>
            <w:noProof/>
            <w:webHidden/>
          </w:rPr>
          <w:fldChar w:fldCharType="begin"/>
        </w:r>
        <w:r>
          <w:rPr>
            <w:noProof/>
            <w:webHidden/>
          </w:rPr>
          <w:instrText xml:space="preserve"> PAGEREF _Toc181684529 \h </w:instrText>
        </w:r>
        <w:r>
          <w:rPr>
            <w:noProof/>
            <w:webHidden/>
          </w:rPr>
        </w:r>
        <w:r>
          <w:rPr>
            <w:noProof/>
            <w:webHidden/>
          </w:rPr>
          <w:fldChar w:fldCharType="separate"/>
        </w:r>
        <w:r>
          <w:rPr>
            <w:noProof/>
            <w:webHidden/>
          </w:rPr>
          <w:t>563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0" w:history="1">
        <w:r w:rsidRPr="001B13A4">
          <w:rPr>
            <w:rStyle w:val="Hyperlink"/>
            <w:noProof/>
          </w:rPr>
          <w:t>2.1.1494</w:t>
        </w:r>
        <w:r>
          <w:rPr>
            <w:rFonts w:asciiTheme="minorHAnsi" w:eastAsiaTheme="minorEastAsia" w:hAnsiTheme="minorHAnsi" w:cstheme="minorBidi"/>
            <w:noProof/>
            <w:sz w:val="22"/>
            <w:szCs w:val="22"/>
          </w:rPr>
          <w:tab/>
        </w:r>
        <w:r w:rsidRPr="001B13A4">
          <w:rPr>
            <w:rStyle w:val="Hyperlink"/>
            <w:noProof/>
          </w:rPr>
          <w:t>Part 1 Section 21.2.2.104, manualLayout (Manual Layout)</w:t>
        </w:r>
        <w:r>
          <w:rPr>
            <w:noProof/>
            <w:webHidden/>
          </w:rPr>
          <w:tab/>
        </w:r>
        <w:r>
          <w:rPr>
            <w:noProof/>
            <w:webHidden/>
          </w:rPr>
          <w:fldChar w:fldCharType="begin"/>
        </w:r>
        <w:r>
          <w:rPr>
            <w:noProof/>
            <w:webHidden/>
          </w:rPr>
          <w:instrText xml:space="preserve"> PAGEREF _Toc181684530 \h </w:instrText>
        </w:r>
        <w:r>
          <w:rPr>
            <w:noProof/>
            <w:webHidden/>
          </w:rPr>
        </w:r>
        <w:r>
          <w:rPr>
            <w:noProof/>
            <w:webHidden/>
          </w:rPr>
          <w:fldChar w:fldCharType="separate"/>
        </w:r>
        <w:r>
          <w:rPr>
            <w:noProof/>
            <w:webHidden/>
          </w:rPr>
          <w:t>563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1" w:history="1">
        <w:r w:rsidRPr="001B13A4">
          <w:rPr>
            <w:rStyle w:val="Hyperlink"/>
            <w:noProof/>
          </w:rPr>
          <w:t>2.1.1495</w:t>
        </w:r>
        <w:r>
          <w:rPr>
            <w:rFonts w:asciiTheme="minorHAnsi" w:eastAsiaTheme="minorEastAsia" w:hAnsiTheme="minorHAnsi" w:cstheme="minorBidi"/>
            <w:noProof/>
            <w:sz w:val="22"/>
            <w:szCs w:val="22"/>
          </w:rPr>
          <w:tab/>
        </w:r>
        <w:r w:rsidRPr="001B13A4">
          <w:rPr>
            <w:rStyle w:val="Hyperlink"/>
            <w:noProof/>
          </w:rPr>
          <w:t>Part 1 Section 21.2.2.105, marker (Show Marker)</w:t>
        </w:r>
        <w:r>
          <w:rPr>
            <w:noProof/>
            <w:webHidden/>
          </w:rPr>
          <w:tab/>
        </w:r>
        <w:r>
          <w:rPr>
            <w:noProof/>
            <w:webHidden/>
          </w:rPr>
          <w:fldChar w:fldCharType="begin"/>
        </w:r>
        <w:r>
          <w:rPr>
            <w:noProof/>
            <w:webHidden/>
          </w:rPr>
          <w:instrText xml:space="preserve"> PAGEREF _Toc181684531 \h </w:instrText>
        </w:r>
        <w:r>
          <w:rPr>
            <w:noProof/>
            <w:webHidden/>
          </w:rPr>
        </w:r>
        <w:r>
          <w:rPr>
            <w:noProof/>
            <w:webHidden/>
          </w:rPr>
          <w:fldChar w:fldCharType="separate"/>
        </w:r>
        <w:r>
          <w:rPr>
            <w:noProof/>
            <w:webHidden/>
          </w:rPr>
          <w:t>563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2" w:history="1">
        <w:r w:rsidRPr="001B13A4">
          <w:rPr>
            <w:rStyle w:val="Hyperlink"/>
            <w:noProof/>
          </w:rPr>
          <w:t>2.1.1496</w:t>
        </w:r>
        <w:r>
          <w:rPr>
            <w:rFonts w:asciiTheme="minorHAnsi" w:eastAsiaTheme="minorEastAsia" w:hAnsiTheme="minorHAnsi" w:cstheme="minorBidi"/>
            <w:noProof/>
            <w:sz w:val="22"/>
            <w:szCs w:val="22"/>
          </w:rPr>
          <w:tab/>
        </w:r>
        <w:r w:rsidRPr="001B13A4">
          <w:rPr>
            <w:rStyle w:val="Hyperlink"/>
            <w:noProof/>
          </w:rPr>
          <w:t>Part 1 Section 21.2.2.106, marker (Marker)</w:t>
        </w:r>
        <w:r>
          <w:rPr>
            <w:noProof/>
            <w:webHidden/>
          </w:rPr>
          <w:tab/>
        </w:r>
        <w:r>
          <w:rPr>
            <w:noProof/>
            <w:webHidden/>
          </w:rPr>
          <w:fldChar w:fldCharType="begin"/>
        </w:r>
        <w:r>
          <w:rPr>
            <w:noProof/>
            <w:webHidden/>
          </w:rPr>
          <w:instrText xml:space="preserve"> PAGEREF _Toc181684532 \h </w:instrText>
        </w:r>
        <w:r>
          <w:rPr>
            <w:noProof/>
            <w:webHidden/>
          </w:rPr>
        </w:r>
        <w:r>
          <w:rPr>
            <w:noProof/>
            <w:webHidden/>
          </w:rPr>
          <w:fldChar w:fldCharType="separate"/>
        </w:r>
        <w:r>
          <w:rPr>
            <w:noProof/>
            <w:webHidden/>
          </w:rPr>
          <w:t>563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3" w:history="1">
        <w:r w:rsidRPr="001B13A4">
          <w:rPr>
            <w:rStyle w:val="Hyperlink"/>
            <w:noProof/>
          </w:rPr>
          <w:t>2.1.1497</w:t>
        </w:r>
        <w:r>
          <w:rPr>
            <w:rFonts w:asciiTheme="minorHAnsi" w:eastAsiaTheme="minorEastAsia" w:hAnsiTheme="minorHAnsi" w:cstheme="minorBidi"/>
            <w:noProof/>
            <w:sz w:val="22"/>
            <w:szCs w:val="22"/>
          </w:rPr>
          <w:tab/>
        </w:r>
        <w:r w:rsidRPr="001B13A4">
          <w:rPr>
            <w:rStyle w:val="Hyperlink"/>
            <w:noProof/>
          </w:rPr>
          <w:t>Part 1 Section 21.2.2.107, max (Maximum)</w:t>
        </w:r>
        <w:r>
          <w:rPr>
            <w:noProof/>
            <w:webHidden/>
          </w:rPr>
          <w:tab/>
        </w:r>
        <w:r>
          <w:rPr>
            <w:noProof/>
            <w:webHidden/>
          </w:rPr>
          <w:fldChar w:fldCharType="begin"/>
        </w:r>
        <w:r>
          <w:rPr>
            <w:noProof/>
            <w:webHidden/>
          </w:rPr>
          <w:instrText xml:space="preserve"> PAGEREF _Toc181684533 \h </w:instrText>
        </w:r>
        <w:r>
          <w:rPr>
            <w:noProof/>
            <w:webHidden/>
          </w:rPr>
        </w:r>
        <w:r>
          <w:rPr>
            <w:noProof/>
            <w:webHidden/>
          </w:rPr>
          <w:fldChar w:fldCharType="separate"/>
        </w:r>
        <w:r>
          <w:rPr>
            <w:noProof/>
            <w:webHidden/>
          </w:rPr>
          <w:t>563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4" w:history="1">
        <w:r w:rsidRPr="001B13A4">
          <w:rPr>
            <w:rStyle w:val="Hyperlink"/>
            <w:noProof/>
          </w:rPr>
          <w:t>2.1.1498</w:t>
        </w:r>
        <w:r>
          <w:rPr>
            <w:rFonts w:asciiTheme="minorHAnsi" w:eastAsiaTheme="minorEastAsia" w:hAnsiTheme="minorHAnsi" w:cstheme="minorBidi"/>
            <w:noProof/>
            <w:sz w:val="22"/>
            <w:szCs w:val="22"/>
          </w:rPr>
          <w:tab/>
        </w:r>
        <w:r w:rsidRPr="001B13A4">
          <w:rPr>
            <w:rStyle w:val="Hyperlink"/>
            <w:noProof/>
          </w:rPr>
          <w:t>Part 1 Section 21.2.2.108, min (Minimum)</w:t>
        </w:r>
        <w:r>
          <w:rPr>
            <w:noProof/>
            <w:webHidden/>
          </w:rPr>
          <w:tab/>
        </w:r>
        <w:r>
          <w:rPr>
            <w:noProof/>
            <w:webHidden/>
          </w:rPr>
          <w:fldChar w:fldCharType="begin"/>
        </w:r>
        <w:r>
          <w:rPr>
            <w:noProof/>
            <w:webHidden/>
          </w:rPr>
          <w:instrText xml:space="preserve"> PAGEREF _Toc181684534 \h </w:instrText>
        </w:r>
        <w:r>
          <w:rPr>
            <w:noProof/>
            <w:webHidden/>
          </w:rPr>
        </w:r>
        <w:r>
          <w:rPr>
            <w:noProof/>
            <w:webHidden/>
          </w:rPr>
          <w:fldChar w:fldCharType="separate"/>
        </w:r>
        <w:r>
          <w:rPr>
            <w:noProof/>
            <w:webHidden/>
          </w:rPr>
          <w:t>563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5" w:history="1">
        <w:r w:rsidRPr="001B13A4">
          <w:rPr>
            <w:rStyle w:val="Hyperlink"/>
            <w:noProof/>
          </w:rPr>
          <w:t>2.1.1499</w:t>
        </w:r>
        <w:r>
          <w:rPr>
            <w:rFonts w:asciiTheme="minorHAnsi" w:eastAsiaTheme="minorEastAsia" w:hAnsiTheme="minorHAnsi" w:cstheme="minorBidi"/>
            <w:noProof/>
            <w:sz w:val="22"/>
            <w:szCs w:val="22"/>
          </w:rPr>
          <w:tab/>
        </w:r>
        <w:r w:rsidRPr="001B13A4">
          <w:rPr>
            <w:rStyle w:val="Hyperlink"/>
            <w:noProof/>
          </w:rPr>
          <w:t>Part 1 Section 21.2.2.112, minorUnit (Minor Unit)</w:t>
        </w:r>
        <w:r>
          <w:rPr>
            <w:noProof/>
            <w:webHidden/>
          </w:rPr>
          <w:tab/>
        </w:r>
        <w:r>
          <w:rPr>
            <w:noProof/>
            <w:webHidden/>
          </w:rPr>
          <w:fldChar w:fldCharType="begin"/>
        </w:r>
        <w:r>
          <w:rPr>
            <w:noProof/>
            <w:webHidden/>
          </w:rPr>
          <w:instrText xml:space="preserve"> PAGEREF _Toc181684535 \h </w:instrText>
        </w:r>
        <w:r>
          <w:rPr>
            <w:noProof/>
            <w:webHidden/>
          </w:rPr>
        </w:r>
        <w:r>
          <w:rPr>
            <w:noProof/>
            <w:webHidden/>
          </w:rPr>
          <w:fldChar w:fldCharType="separate"/>
        </w:r>
        <w:r>
          <w:rPr>
            <w:noProof/>
            <w:webHidden/>
          </w:rPr>
          <w:t>563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6" w:history="1">
        <w:r w:rsidRPr="001B13A4">
          <w:rPr>
            <w:rStyle w:val="Hyperlink"/>
            <w:noProof/>
          </w:rPr>
          <w:t>2.1.1500</w:t>
        </w:r>
        <w:r>
          <w:rPr>
            <w:rFonts w:asciiTheme="minorHAnsi" w:eastAsiaTheme="minorEastAsia" w:hAnsiTheme="minorHAnsi" w:cstheme="minorBidi"/>
            <w:noProof/>
            <w:sz w:val="22"/>
            <w:szCs w:val="22"/>
          </w:rPr>
          <w:tab/>
        </w:r>
        <w:r w:rsidRPr="001B13A4">
          <w:rPr>
            <w:rStyle w:val="Hyperlink"/>
            <w:noProof/>
          </w:rPr>
          <w:t>Part 1 Section 21.2.2.113, minus (Minus)</w:t>
        </w:r>
        <w:r>
          <w:rPr>
            <w:noProof/>
            <w:webHidden/>
          </w:rPr>
          <w:tab/>
        </w:r>
        <w:r>
          <w:rPr>
            <w:noProof/>
            <w:webHidden/>
          </w:rPr>
          <w:fldChar w:fldCharType="begin"/>
        </w:r>
        <w:r>
          <w:rPr>
            <w:noProof/>
            <w:webHidden/>
          </w:rPr>
          <w:instrText xml:space="preserve"> PAGEREF _Toc181684536 \h </w:instrText>
        </w:r>
        <w:r>
          <w:rPr>
            <w:noProof/>
            <w:webHidden/>
          </w:rPr>
        </w:r>
        <w:r>
          <w:rPr>
            <w:noProof/>
            <w:webHidden/>
          </w:rPr>
          <w:fldChar w:fldCharType="separate"/>
        </w:r>
        <w:r>
          <w:rPr>
            <w:noProof/>
            <w:webHidden/>
          </w:rPr>
          <w:t>563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7" w:history="1">
        <w:r w:rsidRPr="001B13A4">
          <w:rPr>
            <w:rStyle w:val="Hyperlink"/>
            <w:noProof/>
          </w:rPr>
          <w:t>2.1.1501</w:t>
        </w:r>
        <w:r>
          <w:rPr>
            <w:rFonts w:asciiTheme="minorHAnsi" w:eastAsiaTheme="minorEastAsia" w:hAnsiTheme="minorHAnsi" w:cstheme="minorBidi"/>
            <w:noProof/>
            <w:sz w:val="22"/>
            <w:szCs w:val="22"/>
          </w:rPr>
          <w:tab/>
        </w:r>
        <w:r w:rsidRPr="001B13A4">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_Toc181684537 \h </w:instrText>
        </w:r>
        <w:r>
          <w:rPr>
            <w:noProof/>
            <w:webHidden/>
          </w:rPr>
        </w:r>
        <w:r>
          <w:rPr>
            <w:noProof/>
            <w:webHidden/>
          </w:rPr>
          <w:fldChar w:fldCharType="separate"/>
        </w:r>
        <w:r>
          <w:rPr>
            <w:noProof/>
            <w:webHidden/>
          </w:rPr>
          <w:t>563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8" w:history="1">
        <w:r w:rsidRPr="001B13A4">
          <w:rPr>
            <w:rStyle w:val="Hyperlink"/>
            <w:noProof/>
          </w:rPr>
          <w:t>2.1.1502</w:t>
        </w:r>
        <w:r>
          <w:rPr>
            <w:rFonts w:asciiTheme="minorHAnsi" w:eastAsiaTheme="minorEastAsia" w:hAnsiTheme="minorHAnsi" w:cstheme="minorBidi"/>
            <w:noProof/>
            <w:sz w:val="22"/>
            <w:szCs w:val="22"/>
          </w:rPr>
          <w:tab/>
        </w:r>
        <w:r w:rsidRPr="001B13A4">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_Toc181684538 \h </w:instrText>
        </w:r>
        <w:r>
          <w:rPr>
            <w:noProof/>
            <w:webHidden/>
          </w:rPr>
        </w:r>
        <w:r>
          <w:rPr>
            <w:noProof/>
            <w:webHidden/>
          </w:rPr>
          <w:fldChar w:fldCharType="separate"/>
        </w:r>
        <w:r>
          <w:rPr>
            <w:noProof/>
            <w:webHidden/>
          </w:rPr>
          <w:t>564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39" w:history="1">
        <w:r w:rsidRPr="001B13A4">
          <w:rPr>
            <w:rStyle w:val="Hyperlink"/>
            <w:noProof/>
          </w:rPr>
          <w:t>2.1.1503</w:t>
        </w:r>
        <w:r>
          <w:rPr>
            <w:rFonts w:asciiTheme="minorHAnsi" w:eastAsiaTheme="minorEastAsia" w:hAnsiTheme="minorHAnsi" w:cstheme="minorBidi"/>
            <w:noProof/>
            <w:sz w:val="22"/>
            <w:szCs w:val="22"/>
          </w:rPr>
          <w:tab/>
        </w:r>
        <w:r w:rsidRPr="001B13A4">
          <w:rPr>
            <w:rStyle w:val="Hyperlink"/>
            <w:noProof/>
          </w:rPr>
          <w:t>Part 1 Section 21.2.2.117, name (Pivot Name)</w:t>
        </w:r>
        <w:r>
          <w:rPr>
            <w:noProof/>
            <w:webHidden/>
          </w:rPr>
          <w:tab/>
        </w:r>
        <w:r>
          <w:rPr>
            <w:noProof/>
            <w:webHidden/>
          </w:rPr>
          <w:fldChar w:fldCharType="begin"/>
        </w:r>
        <w:r>
          <w:rPr>
            <w:noProof/>
            <w:webHidden/>
          </w:rPr>
          <w:instrText xml:space="preserve"> PAGEREF _Toc181684539 \h </w:instrText>
        </w:r>
        <w:r>
          <w:rPr>
            <w:noProof/>
            <w:webHidden/>
          </w:rPr>
        </w:r>
        <w:r>
          <w:rPr>
            <w:noProof/>
            <w:webHidden/>
          </w:rPr>
          <w:fldChar w:fldCharType="separate"/>
        </w:r>
        <w:r>
          <w:rPr>
            <w:noProof/>
            <w:webHidden/>
          </w:rPr>
          <w:t>564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0" w:history="1">
        <w:r w:rsidRPr="001B13A4">
          <w:rPr>
            <w:rStyle w:val="Hyperlink"/>
            <w:noProof/>
          </w:rPr>
          <w:t>2.1.1504</w:t>
        </w:r>
        <w:r>
          <w:rPr>
            <w:rFonts w:asciiTheme="minorHAnsi" w:eastAsiaTheme="minorEastAsia" w:hAnsiTheme="minorHAnsi" w:cstheme="minorBidi"/>
            <w:noProof/>
            <w:sz w:val="22"/>
            <w:szCs w:val="22"/>
          </w:rPr>
          <w:tab/>
        </w:r>
        <w:r w:rsidRPr="001B13A4">
          <w:rPr>
            <w:rStyle w:val="Hyperlink"/>
            <w:noProof/>
          </w:rPr>
          <w:t>Part 1 Section 21.2.2.121, numFmt (Number Format)</w:t>
        </w:r>
        <w:r>
          <w:rPr>
            <w:noProof/>
            <w:webHidden/>
          </w:rPr>
          <w:tab/>
        </w:r>
        <w:r>
          <w:rPr>
            <w:noProof/>
            <w:webHidden/>
          </w:rPr>
          <w:fldChar w:fldCharType="begin"/>
        </w:r>
        <w:r>
          <w:rPr>
            <w:noProof/>
            <w:webHidden/>
          </w:rPr>
          <w:instrText xml:space="preserve"> PAGEREF _Toc181684540 \h </w:instrText>
        </w:r>
        <w:r>
          <w:rPr>
            <w:noProof/>
            <w:webHidden/>
          </w:rPr>
        </w:r>
        <w:r>
          <w:rPr>
            <w:noProof/>
            <w:webHidden/>
          </w:rPr>
          <w:fldChar w:fldCharType="separate"/>
        </w:r>
        <w:r>
          <w:rPr>
            <w:noProof/>
            <w:webHidden/>
          </w:rPr>
          <w:t>564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1" w:history="1">
        <w:r w:rsidRPr="001B13A4">
          <w:rPr>
            <w:rStyle w:val="Hyperlink"/>
            <w:noProof/>
          </w:rPr>
          <w:t>2.1.1505</w:t>
        </w:r>
        <w:r>
          <w:rPr>
            <w:rFonts w:asciiTheme="minorHAnsi" w:eastAsiaTheme="minorEastAsia" w:hAnsiTheme="minorHAnsi" w:cstheme="minorBidi"/>
            <w:noProof/>
            <w:sz w:val="22"/>
            <w:szCs w:val="22"/>
          </w:rPr>
          <w:tab/>
        </w:r>
        <w:r w:rsidRPr="001B13A4">
          <w:rPr>
            <w:rStyle w:val="Hyperlink"/>
            <w:noProof/>
          </w:rPr>
          <w:t>Part 1 Section 21.2.2.124, oddFooter (Odd Footer)</w:t>
        </w:r>
        <w:r>
          <w:rPr>
            <w:noProof/>
            <w:webHidden/>
          </w:rPr>
          <w:tab/>
        </w:r>
        <w:r>
          <w:rPr>
            <w:noProof/>
            <w:webHidden/>
          </w:rPr>
          <w:fldChar w:fldCharType="begin"/>
        </w:r>
        <w:r>
          <w:rPr>
            <w:noProof/>
            <w:webHidden/>
          </w:rPr>
          <w:instrText xml:space="preserve"> PAGEREF _Toc181684541 \h </w:instrText>
        </w:r>
        <w:r>
          <w:rPr>
            <w:noProof/>
            <w:webHidden/>
          </w:rPr>
        </w:r>
        <w:r>
          <w:rPr>
            <w:noProof/>
            <w:webHidden/>
          </w:rPr>
          <w:fldChar w:fldCharType="separate"/>
        </w:r>
        <w:r>
          <w:rPr>
            <w:noProof/>
            <w:webHidden/>
          </w:rPr>
          <w:t>564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2" w:history="1">
        <w:r w:rsidRPr="001B13A4">
          <w:rPr>
            <w:rStyle w:val="Hyperlink"/>
            <w:noProof/>
          </w:rPr>
          <w:t>2.1.1506</w:t>
        </w:r>
        <w:r>
          <w:rPr>
            <w:rFonts w:asciiTheme="minorHAnsi" w:eastAsiaTheme="minorEastAsia" w:hAnsiTheme="minorHAnsi" w:cstheme="minorBidi"/>
            <w:noProof/>
            <w:sz w:val="22"/>
            <w:szCs w:val="22"/>
          </w:rPr>
          <w:tab/>
        </w:r>
        <w:r w:rsidRPr="001B13A4">
          <w:rPr>
            <w:rStyle w:val="Hyperlink"/>
            <w:noProof/>
          </w:rPr>
          <w:t>Part 1 Section 21.2.2.125, oddHeader (Odd Header)</w:t>
        </w:r>
        <w:r>
          <w:rPr>
            <w:noProof/>
            <w:webHidden/>
          </w:rPr>
          <w:tab/>
        </w:r>
        <w:r>
          <w:rPr>
            <w:noProof/>
            <w:webHidden/>
          </w:rPr>
          <w:fldChar w:fldCharType="begin"/>
        </w:r>
        <w:r>
          <w:rPr>
            <w:noProof/>
            <w:webHidden/>
          </w:rPr>
          <w:instrText xml:space="preserve"> PAGEREF _Toc181684542 \h </w:instrText>
        </w:r>
        <w:r>
          <w:rPr>
            <w:noProof/>
            <w:webHidden/>
          </w:rPr>
        </w:r>
        <w:r>
          <w:rPr>
            <w:noProof/>
            <w:webHidden/>
          </w:rPr>
          <w:fldChar w:fldCharType="separate"/>
        </w:r>
        <w:r>
          <w:rPr>
            <w:noProof/>
            <w:webHidden/>
          </w:rPr>
          <w:t>564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3" w:history="1">
        <w:r w:rsidRPr="001B13A4">
          <w:rPr>
            <w:rStyle w:val="Hyperlink"/>
            <w:noProof/>
          </w:rPr>
          <w:t>2.1.1507</w:t>
        </w:r>
        <w:r>
          <w:rPr>
            <w:rFonts w:asciiTheme="minorHAnsi" w:eastAsiaTheme="minorEastAsia" w:hAnsiTheme="minorHAnsi" w:cstheme="minorBidi"/>
            <w:noProof/>
            <w:sz w:val="22"/>
            <w:szCs w:val="22"/>
          </w:rPr>
          <w:tab/>
        </w:r>
        <w:r w:rsidRPr="001B13A4">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_Toc181684543 \h </w:instrText>
        </w:r>
        <w:r>
          <w:rPr>
            <w:noProof/>
            <w:webHidden/>
          </w:rPr>
        </w:r>
        <w:r>
          <w:rPr>
            <w:noProof/>
            <w:webHidden/>
          </w:rPr>
          <w:fldChar w:fldCharType="separate"/>
        </w:r>
        <w:r>
          <w:rPr>
            <w:noProof/>
            <w:webHidden/>
          </w:rPr>
          <w:t>565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4" w:history="1">
        <w:r w:rsidRPr="001B13A4">
          <w:rPr>
            <w:rStyle w:val="Hyperlink"/>
            <w:noProof/>
          </w:rPr>
          <w:t>2.1.1508</w:t>
        </w:r>
        <w:r>
          <w:rPr>
            <w:rFonts w:asciiTheme="minorHAnsi" w:eastAsiaTheme="minorEastAsia" w:hAnsiTheme="minorHAnsi" w:cstheme="minorBidi"/>
            <w:noProof/>
            <w:sz w:val="22"/>
            <w:szCs w:val="22"/>
          </w:rPr>
          <w:tab/>
        </w:r>
        <w:r w:rsidRPr="001B13A4">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_Toc181684544 \h </w:instrText>
        </w:r>
        <w:r>
          <w:rPr>
            <w:noProof/>
            <w:webHidden/>
          </w:rPr>
        </w:r>
        <w:r>
          <w:rPr>
            <w:noProof/>
            <w:webHidden/>
          </w:rPr>
          <w:fldChar w:fldCharType="separate"/>
        </w:r>
        <w:r>
          <w:rPr>
            <w:noProof/>
            <w:webHidden/>
          </w:rPr>
          <w:t>565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5" w:history="1">
        <w:r w:rsidRPr="001B13A4">
          <w:rPr>
            <w:rStyle w:val="Hyperlink"/>
            <w:noProof/>
          </w:rPr>
          <w:t>2.1.1509</w:t>
        </w:r>
        <w:r>
          <w:rPr>
            <w:rFonts w:asciiTheme="minorHAnsi" w:eastAsiaTheme="minorEastAsia" w:hAnsiTheme="minorHAnsi" w:cstheme="minorBidi"/>
            <w:noProof/>
            <w:sz w:val="22"/>
            <w:szCs w:val="22"/>
          </w:rPr>
          <w:tab/>
        </w:r>
        <w:r w:rsidRPr="001B13A4">
          <w:rPr>
            <w:rStyle w:val="Hyperlink"/>
            <w:noProof/>
          </w:rPr>
          <w:t>Part 1 Section 21.2.2.128, order (Order)</w:t>
        </w:r>
        <w:r>
          <w:rPr>
            <w:noProof/>
            <w:webHidden/>
          </w:rPr>
          <w:tab/>
        </w:r>
        <w:r>
          <w:rPr>
            <w:noProof/>
            <w:webHidden/>
          </w:rPr>
          <w:fldChar w:fldCharType="begin"/>
        </w:r>
        <w:r>
          <w:rPr>
            <w:noProof/>
            <w:webHidden/>
          </w:rPr>
          <w:instrText xml:space="preserve"> PAGEREF _Toc181684545 \h </w:instrText>
        </w:r>
        <w:r>
          <w:rPr>
            <w:noProof/>
            <w:webHidden/>
          </w:rPr>
        </w:r>
        <w:r>
          <w:rPr>
            <w:noProof/>
            <w:webHidden/>
          </w:rPr>
          <w:fldChar w:fldCharType="separate"/>
        </w:r>
        <w:r>
          <w:rPr>
            <w:noProof/>
            <w:webHidden/>
          </w:rPr>
          <w:t>565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6" w:history="1">
        <w:r w:rsidRPr="001B13A4">
          <w:rPr>
            <w:rStyle w:val="Hyperlink"/>
            <w:noProof/>
          </w:rPr>
          <w:t>2.1.1510</w:t>
        </w:r>
        <w:r>
          <w:rPr>
            <w:rFonts w:asciiTheme="minorHAnsi" w:eastAsiaTheme="minorEastAsia" w:hAnsiTheme="minorHAnsi" w:cstheme="minorBidi"/>
            <w:noProof/>
            <w:sz w:val="22"/>
            <w:szCs w:val="22"/>
          </w:rPr>
          <w:tab/>
        </w:r>
        <w:r w:rsidRPr="001B13A4">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_Toc181684546 \h </w:instrText>
        </w:r>
        <w:r>
          <w:rPr>
            <w:noProof/>
            <w:webHidden/>
          </w:rPr>
        </w:r>
        <w:r>
          <w:rPr>
            <w:noProof/>
            <w:webHidden/>
          </w:rPr>
          <w:fldChar w:fldCharType="separate"/>
        </w:r>
        <w:r>
          <w:rPr>
            <w:noProof/>
            <w:webHidden/>
          </w:rPr>
          <w:t>565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7" w:history="1">
        <w:r w:rsidRPr="001B13A4">
          <w:rPr>
            <w:rStyle w:val="Hyperlink"/>
            <w:noProof/>
          </w:rPr>
          <w:t>2.1.1511</w:t>
        </w:r>
        <w:r>
          <w:rPr>
            <w:rFonts w:asciiTheme="minorHAnsi" w:eastAsiaTheme="minorEastAsia" w:hAnsiTheme="minorHAnsi" w:cstheme="minorBidi"/>
            <w:noProof/>
            <w:sz w:val="22"/>
            <w:szCs w:val="22"/>
          </w:rPr>
          <w:tab/>
        </w:r>
        <w:r w:rsidRPr="001B13A4">
          <w:rPr>
            <w:rStyle w:val="Hyperlink"/>
            <w:noProof/>
          </w:rPr>
          <w:t>Part 1 Section 21.2.2.130, orientation (Axis Orientation)</w:t>
        </w:r>
        <w:r>
          <w:rPr>
            <w:noProof/>
            <w:webHidden/>
          </w:rPr>
          <w:tab/>
        </w:r>
        <w:r>
          <w:rPr>
            <w:noProof/>
            <w:webHidden/>
          </w:rPr>
          <w:fldChar w:fldCharType="begin"/>
        </w:r>
        <w:r>
          <w:rPr>
            <w:noProof/>
            <w:webHidden/>
          </w:rPr>
          <w:instrText xml:space="preserve"> PAGEREF _Toc181684547 \h </w:instrText>
        </w:r>
        <w:r>
          <w:rPr>
            <w:noProof/>
            <w:webHidden/>
          </w:rPr>
        </w:r>
        <w:r>
          <w:rPr>
            <w:noProof/>
            <w:webHidden/>
          </w:rPr>
          <w:fldChar w:fldCharType="separate"/>
        </w:r>
        <w:r>
          <w:rPr>
            <w:noProof/>
            <w:webHidden/>
          </w:rPr>
          <w:t>565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8" w:history="1">
        <w:r w:rsidRPr="001B13A4">
          <w:rPr>
            <w:rStyle w:val="Hyperlink"/>
            <w:noProof/>
          </w:rPr>
          <w:t>2.1.1512</w:t>
        </w:r>
        <w:r>
          <w:rPr>
            <w:rFonts w:asciiTheme="minorHAnsi" w:eastAsiaTheme="minorEastAsia" w:hAnsiTheme="minorHAnsi" w:cstheme="minorBidi"/>
            <w:noProof/>
            <w:sz w:val="22"/>
            <w:szCs w:val="22"/>
          </w:rPr>
          <w:tab/>
        </w:r>
        <w:r w:rsidRPr="001B13A4">
          <w:rPr>
            <w:rStyle w:val="Hyperlink"/>
            <w:noProof/>
          </w:rPr>
          <w:t>Part 1 Section 21.2.2.131, overlap (Overlap)</w:t>
        </w:r>
        <w:r>
          <w:rPr>
            <w:noProof/>
            <w:webHidden/>
          </w:rPr>
          <w:tab/>
        </w:r>
        <w:r>
          <w:rPr>
            <w:noProof/>
            <w:webHidden/>
          </w:rPr>
          <w:fldChar w:fldCharType="begin"/>
        </w:r>
        <w:r>
          <w:rPr>
            <w:noProof/>
            <w:webHidden/>
          </w:rPr>
          <w:instrText xml:space="preserve"> PAGEREF _Toc181684548 \h </w:instrText>
        </w:r>
        <w:r>
          <w:rPr>
            <w:noProof/>
            <w:webHidden/>
          </w:rPr>
        </w:r>
        <w:r>
          <w:rPr>
            <w:noProof/>
            <w:webHidden/>
          </w:rPr>
          <w:fldChar w:fldCharType="separate"/>
        </w:r>
        <w:r>
          <w:rPr>
            <w:noProof/>
            <w:webHidden/>
          </w:rPr>
          <w:t>565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49" w:history="1">
        <w:r w:rsidRPr="001B13A4">
          <w:rPr>
            <w:rStyle w:val="Hyperlink"/>
            <w:noProof/>
          </w:rPr>
          <w:t>2.1.1513</w:t>
        </w:r>
        <w:r>
          <w:rPr>
            <w:rFonts w:asciiTheme="minorHAnsi" w:eastAsiaTheme="minorEastAsia" w:hAnsiTheme="minorHAnsi" w:cstheme="minorBidi"/>
            <w:noProof/>
            <w:sz w:val="22"/>
            <w:szCs w:val="22"/>
          </w:rPr>
          <w:tab/>
        </w:r>
        <w:r w:rsidRPr="001B13A4">
          <w:rPr>
            <w:rStyle w:val="Hyperlink"/>
            <w:noProof/>
          </w:rPr>
          <w:t>Part 1 Section 21.2.2.133, pageMargins (Page Margins)</w:t>
        </w:r>
        <w:r>
          <w:rPr>
            <w:noProof/>
            <w:webHidden/>
          </w:rPr>
          <w:tab/>
        </w:r>
        <w:r>
          <w:rPr>
            <w:noProof/>
            <w:webHidden/>
          </w:rPr>
          <w:fldChar w:fldCharType="begin"/>
        </w:r>
        <w:r>
          <w:rPr>
            <w:noProof/>
            <w:webHidden/>
          </w:rPr>
          <w:instrText xml:space="preserve"> PAGEREF _Toc181684549 \h </w:instrText>
        </w:r>
        <w:r>
          <w:rPr>
            <w:noProof/>
            <w:webHidden/>
          </w:rPr>
        </w:r>
        <w:r>
          <w:rPr>
            <w:noProof/>
            <w:webHidden/>
          </w:rPr>
          <w:fldChar w:fldCharType="separate"/>
        </w:r>
        <w:r>
          <w:rPr>
            <w:noProof/>
            <w:webHidden/>
          </w:rPr>
          <w:t>566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0" w:history="1">
        <w:r w:rsidRPr="001B13A4">
          <w:rPr>
            <w:rStyle w:val="Hyperlink"/>
            <w:noProof/>
          </w:rPr>
          <w:t>2.1.1514</w:t>
        </w:r>
        <w:r>
          <w:rPr>
            <w:rFonts w:asciiTheme="minorHAnsi" w:eastAsiaTheme="minorEastAsia" w:hAnsiTheme="minorHAnsi" w:cstheme="minorBidi"/>
            <w:noProof/>
            <w:sz w:val="22"/>
            <w:szCs w:val="22"/>
          </w:rPr>
          <w:tab/>
        </w:r>
        <w:r w:rsidRPr="001B13A4">
          <w:rPr>
            <w:rStyle w:val="Hyperlink"/>
            <w:noProof/>
          </w:rPr>
          <w:t>Part 1 Section 21.2.2.134, pageSetup (Page Setup)</w:t>
        </w:r>
        <w:r>
          <w:rPr>
            <w:noProof/>
            <w:webHidden/>
          </w:rPr>
          <w:tab/>
        </w:r>
        <w:r>
          <w:rPr>
            <w:noProof/>
            <w:webHidden/>
          </w:rPr>
          <w:fldChar w:fldCharType="begin"/>
        </w:r>
        <w:r>
          <w:rPr>
            <w:noProof/>
            <w:webHidden/>
          </w:rPr>
          <w:instrText xml:space="preserve"> PAGEREF _Toc181684550 \h </w:instrText>
        </w:r>
        <w:r>
          <w:rPr>
            <w:noProof/>
            <w:webHidden/>
          </w:rPr>
        </w:r>
        <w:r>
          <w:rPr>
            <w:noProof/>
            <w:webHidden/>
          </w:rPr>
          <w:fldChar w:fldCharType="separate"/>
        </w:r>
        <w:r>
          <w:rPr>
            <w:noProof/>
            <w:webHidden/>
          </w:rPr>
          <w:t>566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1" w:history="1">
        <w:r w:rsidRPr="001B13A4">
          <w:rPr>
            <w:rStyle w:val="Hyperlink"/>
            <w:noProof/>
          </w:rPr>
          <w:t>2.1.1515</w:t>
        </w:r>
        <w:r>
          <w:rPr>
            <w:rFonts w:asciiTheme="minorHAnsi" w:eastAsiaTheme="minorEastAsia" w:hAnsiTheme="minorHAnsi" w:cstheme="minorBidi"/>
            <w:noProof/>
            <w:sz w:val="22"/>
            <w:szCs w:val="22"/>
          </w:rPr>
          <w:tab/>
        </w:r>
        <w:r w:rsidRPr="001B13A4">
          <w:rPr>
            <w:rStyle w:val="Hyperlink"/>
            <w:noProof/>
          </w:rPr>
          <w:t>Part 1 Section 21.2.2.135, period (Period)</w:t>
        </w:r>
        <w:r>
          <w:rPr>
            <w:noProof/>
            <w:webHidden/>
          </w:rPr>
          <w:tab/>
        </w:r>
        <w:r>
          <w:rPr>
            <w:noProof/>
            <w:webHidden/>
          </w:rPr>
          <w:fldChar w:fldCharType="begin"/>
        </w:r>
        <w:r>
          <w:rPr>
            <w:noProof/>
            <w:webHidden/>
          </w:rPr>
          <w:instrText xml:space="preserve"> PAGEREF _Toc181684551 \h </w:instrText>
        </w:r>
        <w:r>
          <w:rPr>
            <w:noProof/>
            <w:webHidden/>
          </w:rPr>
        </w:r>
        <w:r>
          <w:rPr>
            <w:noProof/>
            <w:webHidden/>
          </w:rPr>
          <w:fldChar w:fldCharType="separate"/>
        </w:r>
        <w:r>
          <w:rPr>
            <w:noProof/>
            <w:webHidden/>
          </w:rPr>
          <w:t>570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2" w:history="1">
        <w:r w:rsidRPr="001B13A4">
          <w:rPr>
            <w:rStyle w:val="Hyperlink"/>
            <w:noProof/>
          </w:rPr>
          <w:t>2.1.1516</w:t>
        </w:r>
        <w:r>
          <w:rPr>
            <w:rFonts w:asciiTheme="minorHAnsi" w:eastAsiaTheme="minorEastAsia" w:hAnsiTheme="minorHAnsi" w:cstheme="minorBidi"/>
            <w:noProof/>
            <w:sz w:val="22"/>
            <w:szCs w:val="22"/>
          </w:rPr>
          <w:tab/>
        </w:r>
        <w:r w:rsidRPr="001B13A4">
          <w:rPr>
            <w:rStyle w:val="Hyperlink"/>
            <w:noProof/>
          </w:rPr>
          <w:t>Part 1 Section 21.2.2.136, perspective (Perspective)</w:t>
        </w:r>
        <w:r>
          <w:rPr>
            <w:noProof/>
            <w:webHidden/>
          </w:rPr>
          <w:tab/>
        </w:r>
        <w:r>
          <w:rPr>
            <w:noProof/>
            <w:webHidden/>
          </w:rPr>
          <w:fldChar w:fldCharType="begin"/>
        </w:r>
        <w:r>
          <w:rPr>
            <w:noProof/>
            <w:webHidden/>
          </w:rPr>
          <w:instrText xml:space="preserve"> PAGEREF _Toc181684552 \h </w:instrText>
        </w:r>
        <w:r>
          <w:rPr>
            <w:noProof/>
            <w:webHidden/>
          </w:rPr>
        </w:r>
        <w:r>
          <w:rPr>
            <w:noProof/>
            <w:webHidden/>
          </w:rPr>
          <w:fldChar w:fldCharType="separate"/>
        </w:r>
        <w:r>
          <w:rPr>
            <w:noProof/>
            <w:webHidden/>
          </w:rPr>
          <w:t>571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3" w:history="1">
        <w:r w:rsidRPr="001B13A4">
          <w:rPr>
            <w:rStyle w:val="Hyperlink"/>
            <w:noProof/>
          </w:rPr>
          <w:t>2.1.1517</w:t>
        </w:r>
        <w:r>
          <w:rPr>
            <w:rFonts w:asciiTheme="minorHAnsi" w:eastAsiaTheme="minorEastAsia" w:hAnsiTheme="minorHAnsi" w:cstheme="minorBidi"/>
            <w:noProof/>
            <w:sz w:val="22"/>
            <w:szCs w:val="22"/>
          </w:rPr>
          <w:tab/>
        </w:r>
        <w:r w:rsidRPr="001B13A4">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_Toc181684553 \h </w:instrText>
        </w:r>
        <w:r>
          <w:rPr>
            <w:noProof/>
            <w:webHidden/>
          </w:rPr>
        </w:r>
        <w:r>
          <w:rPr>
            <w:noProof/>
            <w:webHidden/>
          </w:rPr>
          <w:fldChar w:fldCharType="separate"/>
        </w:r>
        <w:r>
          <w:rPr>
            <w:noProof/>
            <w:webHidden/>
          </w:rPr>
          <w:t>571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4" w:history="1">
        <w:r w:rsidRPr="001B13A4">
          <w:rPr>
            <w:rStyle w:val="Hyperlink"/>
            <w:noProof/>
          </w:rPr>
          <w:t>2.1.1518</w:t>
        </w:r>
        <w:r>
          <w:rPr>
            <w:rFonts w:asciiTheme="minorHAnsi" w:eastAsiaTheme="minorEastAsia" w:hAnsiTheme="minorHAnsi" w:cstheme="minorBidi"/>
            <w:noProof/>
            <w:sz w:val="22"/>
            <w:szCs w:val="22"/>
          </w:rPr>
          <w:tab/>
        </w:r>
        <w:r w:rsidRPr="001B13A4">
          <w:rPr>
            <w:rStyle w:val="Hyperlink"/>
            <w:noProof/>
          </w:rPr>
          <w:t>Part 1 Section 21.2.2.140, pie3DChart (3D Pie Charts)</w:t>
        </w:r>
        <w:r>
          <w:rPr>
            <w:noProof/>
            <w:webHidden/>
          </w:rPr>
          <w:tab/>
        </w:r>
        <w:r>
          <w:rPr>
            <w:noProof/>
            <w:webHidden/>
          </w:rPr>
          <w:fldChar w:fldCharType="begin"/>
        </w:r>
        <w:r>
          <w:rPr>
            <w:noProof/>
            <w:webHidden/>
          </w:rPr>
          <w:instrText xml:space="preserve"> PAGEREF _Toc181684554 \h </w:instrText>
        </w:r>
        <w:r>
          <w:rPr>
            <w:noProof/>
            <w:webHidden/>
          </w:rPr>
        </w:r>
        <w:r>
          <w:rPr>
            <w:noProof/>
            <w:webHidden/>
          </w:rPr>
          <w:fldChar w:fldCharType="separate"/>
        </w:r>
        <w:r>
          <w:rPr>
            <w:noProof/>
            <w:webHidden/>
          </w:rPr>
          <w:t>571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5" w:history="1">
        <w:r w:rsidRPr="001B13A4">
          <w:rPr>
            <w:rStyle w:val="Hyperlink"/>
            <w:noProof/>
          </w:rPr>
          <w:t>2.1.1519</w:t>
        </w:r>
        <w:r>
          <w:rPr>
            <w:rFonts w:asciiTheme="minorHAnsi" w:eastAsiaTheme="minorEastAsia" w:hAnsiTheme="minorHAnsi" w:cstheme="minorBidi"/>
            <w:noProof/>
            <w:sz w:val="22"/>
            <w:szCs w:val="22"/>
          </w:rPr>
          <w:tab/>
        </w:r>
        <w:r w:rsidRPr="001B13A4">
          <w:rPr>
            <w:rStyle w:val="Hyperlink"/>
            <w:noProof/>
          </w:rPr>
          <w:t>Part 1 Section 21.2.2.141, pieChart (Pie Charts)</w:t>
        </w:r>
        <w:r>
          <w:rPr>
            <w:noProof/>
            <w:webHidden/>
          </w:rPr>
          <w:tab/>
        </w:r>
        <w:r>
          <w:rPr>
            <w:noProof/>
            <w:webHidden/>
          </w:rPr>
          <w:fldChar w:fldCharType="begin"/>
        </w:r>
        <w:r>
          <w:rPr>
            <w:noProof/>
            <w:webHidden/>
          </w:rPr>
          <w:instrText xml:space="preserve"> PAGEREF _Toc181684555 \h </w:instrText>
        </w:r>
        <w:r>
          <w:rPr>
            <w:noProof/>
            <w:webHidden/>
          </w:rPr>
        </w:r>
        <w:r>
          <w:rPr>
            <w:noProof/>
            <w:webHidden/>
          </w:rPr>
          <w:fldChar w:fldCharType="separate"/>
        </w:r>
        <w:r>
          <w:rPr>
            <w:noProof/>
            <w:webHidden/>
          </w:rPr>
          <w:t>571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6" w:history="1">
        <w:r w:rsidRPr="001B13A4">
          <w:rPr>
            <w:rStyle w:val="Hyperlink"/>
            <w:noProof/>
          </w:rPr>
          <w:t>2.1.1520</w:t>
        </w:r>
        <w:r>
          <w:rPr>
            <w:rFonts w:asciiTheme="minorHAnsi" w:eastAsiaTheme="minorEastAsia" w:hAnsiTheme="minorHAnsi" w:cstheme="minorBidi"/>
            <w:noProof/>
            <w:sz w:val="22"/>
            <w:szCs w:val="22"/>
          </w:rPr>
          <w:tab/>
        </w:r>
        <w:r w:rsidRPr="001B13A4">
          <w:rPr>
            <w:rStyle w:val="Hyperlink"/>
            <w:noProof/>
          </w:rPr>
          <w:t>Part 1 Section 21.2.2.142, pivotFmt (Pivot Format)</w:t>
        </w:r>
        <w:r>
          <w:rPr>
            <w:noProof/>
            <w:webHidden/>
          </w:rPr>
          <w:tab/>
        </w:r>
        <w:r>
          <w:rPr>
            <w:noProof/>
            <w:webHidden/>
          </w:rPr>
          <w:fldChar w:fldCharType="begin"/>
        </w:r>
        <w:r>
          <w:rPr>
            <w:noProof/>
            <w:webHidden/>
          </w:rPr>
          <w:instrText xml:space="preserve"> PAGEREF _Toc181684556 \h </w:instrText>
        </w:r>
        <w:r>
          <w:rPr>
            <w:noProof/>
            <w:webHidden/>
          </w:rPr>
        </w:r>
        <w:r>
          <w:rPr>
            <w:noProof/>
            <w:webHidden/>
          </w:rPr>
          <w:fldChar w:fldCharType="separate"/>
        </w:r>
        <w:r>
          <w:rPr>
            <w:noProof/>
            <w:webHidden/>
          </w:rPr>
          <w:t>572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7" w:history="1">
        <w:r w:rsidRPr="001B13A4">
          <w:rPr>
            <w:rStyle w:val="Hyperlink"/>
            <w:noProof/>
          </w:rPr>
          <w:t>2.1.1521</w:t>
        </w:r>
        <w:r>
          <w:rPr>
            <w:rFonts w:asciiTheme="minorHAnsi" w:eastAsiaTheme="minorEastAsia" w:hAnsiTheme="minorHAnsi" w:cstheme="minorBidi"/>
            <w:noProof/>
            <w:sz w:val="22"/>
            <w:szCs w:val="22"/>
          </w:rPr>
          <w:tab/>
        </w:r>
        <w:r w:rsidRPr="001B13A4">
          <w:rPr>
            <w:rStyle w:val="Hyperlink"/>
            <w:noProof/>
          </w:rPr>
          <w:t>Part 1 Section 21.2.2.143, pivotFmts (Pivot Formats)</w:t>
        </w:r>
        <w:r>
          <w:rPr>
            <w:noProof/>
            <w:webHidden/>
          </w:rPr>
          <w:tab/>
        </w:r>
        <w:r>
          <w:rPr>
            <w:noProof/>
            <w:webHidden/>
          </w:rPr>
          <w:fldChar w:fldCharType="begin"/>
        </w:r>
        <w:r>
          <w:rPr>
            <w:noProof/>
            <w:webHidden/>
          </w:rPr>
          <w:instrText xml:space="preserve"> PAGEREF _Toc181684557 \h </w:instrText>
        </w:r>
        <w:r>
          <w:rPr>
            <w:noProof/>
            <w:webHidden/>
          </w:rPr>
        </w:r>
        <w:r>
          <w:rPr>
            <w:noProof/>
            <w:webHidden/>
          </w:rPr>
          <w:fldChar w:fldCharType="separate"/>
        </w:r>
        <w:r>
          <w:rPr>
            <w:noProof/>
            <w:webHidden/>
          </w:rPr>
          <w:t>572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8" w:history="1">
        <w:r w:rsidRPr="001B13A4">
          <w:rPr>
            <w:rStyle w:val="Hyperlink"/>
            <w:noProof/>
          </w:rPr>
          <w:t>2.1.1522</w:t>
        </w:r>
        <w:r>
          <w:rPr>
            <w:rFonts w:asciiTheme="minorHAnsi" w:eastAsiaTheme="minorEastAsia" w:hAnsiTheme="minorHAnsi" w:cstheme="minorBidi"/>
            <w:noProof/>
            <w:sz w:val="22"/>
            <w:szCs w:val="22"/>
          </w:rPr>
          <w:tab/>
        </w:r>
        <w:r w:rsidRPr="001B13A4">
          <w:rPr>
            <w:rStyle w:val="Hyperlink"/>
            <w:noProof/>
          </w:rPr>
          <w:t>Part 1 Section 21.2.2.144, pivotSource (Pivot Source)</w:t>
        </w:r>
        <w:r>
          <w:rPr>
            <w:noProof/>
            <w:webHidden/>
          </w:rPr>
          <w:tab/>
        </w:r>
        <w:r>
          <w:rPr>
            <w:noProof/>
            <w:webHidden/>
          </w:rPr>
          <w:fldChar w:fldCharType="begin"/>
        </w:r>
        <w:r>
          <w:rPr>
            <w:noProof/>
            <w:webHidden/>
          </w:rPr>
          <w:instrText xml:space="preserve"> PAGEREF _Toc181684558 \h </w:instrText>
        </w:r>
        <w:r>
          <w:rPr>
            <w:noProof/>
            <w:webHidden/>
          </w:rPr>
        </w:r>
        <w:r>
          <w:rPr>
            <w:noProof/>
            <w:webHidden/>
          </w:rPr>
          <w:fldChar w:fldCharType="separate"/>
        </w:r>
        <w:r>
          <w:rPr>
            <w:noProof/>
            <w:webHidden/>
          </w:rPr>
          <w:t>572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59" w:history="1">
        <w:r w:rsidRPr="001B13A4">
          <w:rPr>
            <w:rStyle w:val="Hyperlink"/>
            <w:noProof/>
          </w:rPr>
          <w:t>2.1.1523</w:t>
        </w:r>
        <w:r>
          <w:rPr>
            <w:rFonts w:asciiTheme="minorHAnsi" w:eastAsiaTheme="minorEastAsia" w:hAnsiTheme="minorHAnsi" w:cstheme="minorBidi"/>
            <w:noProof/>
            <w:sz w:val="22"/>
            <w:szCs w:val="22"/>
          </w:rPr>
          <w:tab/>
        </w:r>
        <w:r w:rsidRPr="001B13A4">
          <w:rPr>
            <w:rStyle w:val="Hyperlink"/>
            <w:noProof/>
          </w:rPr>
          <w:t>Part 1 Section 21.2.2.145, plotArea (Plot Area)</w:t>
        </w:r>
        <w:r>
          <w:rPr>
            <w:noProof/>
            <w:webHidden/>
          </w:rPr>
          <w:tab/>
        </w:r>
        <w:r>
          <w:rPr>
            <w:noProof/>
            <w:webHidden/>
          </w:rPr>
          <w:fldChar w:fldCharType="begin"/>
        </w:r>
        <w:r>
          <w:rPr>
            <w:noProof/>
            <w:webHidden/>
          </w:rPr>
          <w:instrText xml:space="preserve"> PAGEREF _Toc181684559 \h </w:instrText>
        </w:r>
        <w:r>
          <w:rPr>
            <w:noProof/>
            <w:webHidden/>
          </w:rPr>
        </w:r>
        <w:r>
          <w:rPr>
            <w:noProof/>
            <w:webHidden/>
          </w:rPr>
          <w:fldChar w:fldCharType="separate"/>
        </w:r>
        <w:r>
          <w:rPr>
            <w:noProof/>
            <w:webHidden/>
          </w:rPr>
          <w:t>572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0" w:history="1">
        <w:r w:rsidRPr="001B13A4">
          <w:rPr>
            <w:rStyle w:val="Hyperlink"/>
            <w:noProof/>
          </w:rPr>
          <w:t>2.1.1524</w:t>
        </w:r>
        <w:r>
          <w:rPr>
            <w:rFonts w:asciiTheme="minorHAnsi" w:eastAsiaTheme="minorEastAsia" w:hAnsiTheme="minorHAnsi" w:cstheme="minorBidi"/>
            <w:noProof/>
            <w:sz w:val="22"/>
            <w:szCs w:val="22"/>
          </w:rPr>
          <w:tab/>
        </w:r>
        <w:r w:rsidRPr="001B13A4">
          <w:rPr>
            <w:rStyle w:val="Hyperlink"/>
            <w:noProof/>
          </w:rPr>
          <w:t>Part 1 Section 21.2.2.147, plus (Plus)</w:t>
        </w:r>
        <w:r>
          <w:rPr>
            <w:noProof/>
            <w:webHidden/>
          </w:rPr>
          <w:tab/>
        </w:r>
        <w:r>
          <w:rPr>
            <w:noProof/>
            <w:webHidden/>
          </w:rPr>
          <w:fldChar w:fldCharType="begin"/>
        </w:r>
        <w:r>
          <w:rPr>
            <w:noProof/>
            <w:webHidden/>
          </w:rPr>
          <w:instrText xml:space="preserve"> PAGEREF _Toc181684560 \h </w:instrText>
        </w:r>
        <w:r>
          <w:rPr>
            <w:noProof/>
            <w:webHidden/>
          </w:rPr>
        </w:r>
        <w:r>
          <w:rPr>
            <w:noProof/>
            <w:webHidden/>
          </w:rPr>
          <w:fldChar w:fldCharType="separate"/>
        </w:r>
        <w:r>
          <w:rPr>
            <w:noProof/>
            <w:webHidden/>
          </w:rPr>
          <w:t>572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1" w:history="1">
        <w:r w:rsidRPr="001B13A4">
          <w:rPr>
            <w:rStyle w:val="Hyperlink"/>
            <w:noProof/>
          </w:rPr>
          <w:t>2.1.1525</w:t>
        </w:r>
        <w:r>
          <w:rPr>
            <w:rFonts w:asciiTheme="minorHAnsi" w:eastAsiaTheme="minorEastAsia" w:hAnsiTheme="minorHAnsi" w:cstheme="minorBidi"/>
            <w:noProof/>
            <w:sz w:val="22"/>
            <w:szCs w:val="22"/>
          </w:rPr>
          <w:tab/>
        </w:r>
        <w:r w:rsidRPr="001B13A4">
          <w:rPr>
            <w:rStyle w:val="Hyperlink"/>
            <w:noProof/>
          </w:rPr>
          <w:t>Part 1 Section 21.2.2.148, printSettings (Print Settings)</w:t>
        </w:r>
        <w:r>
          <w:rPr>
            <w:noProof/>
            <w:webHidden/>
          </w:rPr>
          <w:tab/>
        </w:r>
        <w:r>
          <w:rPr>
            <w:noProof/>
            <w:webHidden/>
          </w:rPr>
          <w:fldChar w:fldCharType="begin"/>
        </w:r>
        <w:r>
          <w:rPr>
            <w:noProof/>
            <w:webHidden/>
          </w:rPr>
          <w:instrText xml:space="preserve"> PAGEREF _Toc181684561 \h </w:instrText>
        </w:r>
        <w:r>
          <w:rPr>
            <w:noProof/>
            <w:webHidden/>
          </w:rPr>
        </w:r>
        <w:r>
          <w:rPr>
            <w:noProof/>
            <w:webHidden/>
          </w:rPr>
          <w:fldChar w:fldCharType="separate"/>
        </w:r>
        <w:r>
          <w:rPr>
            <w:noProof/>
            <w:webHidden/>
          </w:rPr>
          <w:t>572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2" w:history="1">
        <w:r w:rsidRPr="001B13A4">
          <w:rPr>
            <w:rStyle w:val="Hyperlink"/>
            <w:noProof/>
          </w:rPr>
          <w:t>2.1.1526</w:t>
        </w:r>
        <w:r>
          <w:rPr>
            <w:rFonts w:asciiTheme="minorHAnsi" w:eastAsiaTheme="minorEastAsia" w:hAnsiTheme="minorHAnsi" w:cstheme="minorBidi"/>
            <w:noProof/>
            <w:sz w:val="22"/>
            <w:szCs w:val="22"/>
          </w:rPr>
          <w:tab/>
        </w:r>
        <w:r w:rsidRPr="001B13A4">
          <w:rPr>
            <w:rStyle w:val="Hyperlink"/>
            <w:noProof/>
          </w:rPr>
          <w:t>Part 1 Section 21.2.2.149, protection (Protection)</w:t>
        </w:r>
        <w:r>
          <w:rPr>
            <w:noProof/>
            <w:webHidden/>
          </w:rPr>
          <w:tab/>
        </w:r>
        <w:r>
          <w:rPr>
            <w:noProof/>
            <w:webHidden/>
          </w:rPr>
          <w:fldChar w:fldCharType="begin"/>
        </w:r>
        <w:r>
          <w:rPr>
            <w:noProof/>
            <w:webHidden/>
          </w:rPr>
          <w:instrText xml:space="preserve"> PAGEREF _Toc181684562 \h </w:instrText>
        </w:r>
        <w:r>
          <w:rPr>
            <w:noProof/>
            <w:webHidden/>
          </w:rPr>
        </w:r>
        <w:r>
          <w:rPr>
            <w:noProof/>
            <w:webHidden/>
          </w:rPr>
          <w:fldChar w:fldCharType="separate"/>
        </w:r>
        <w:r>
          <w:rPr>
            <w:noProof/>
            <w:webHidden/>
          </w:rPr>
          <w:t>572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3" w:history="1">
        <w:r w:rsidRPr="001B13A4">
          <w:rPr>
            <w:rStyle w:val="Hyperlink"/>
            <w:noProof/>
          </w:rPr>
          <w:t>2.1.1527</w:t>
        </w:r>
        <w:r>
          <w:rPr>
            <w:rFonts w:asciiTheme="minorHAnsi" w:eastAsiaTheme="minorEastAsia" w:hAnsiTheme="minorHAnsi" w:cstheme="minorBidi"/>
            <w:noProof/>
            <w:sz w:val="22"/>
            <w:szCs w:val="22"/>
          </w:rPr>
          <w:tab/>
        </w:r>
        <w:r w:rsidRPr="001B13A4">
          <w:rPr>
            <w:rStyle w:val="Hyperlink"/>
            <w:noProof/>
          </w:rPr>
          <w:t>Part 1 Section 21.2.2.150, pt (Numeric Point)</w:t>
        </w:r>
        <w:r>
          <w:rPr>
            <w:noProof/>
            <w:webHidden/>
          </w:rPr>
          <w:tab/>
        </w:r>
        <w:r>
          <w:rPr>
            <w:noProof/>
            <w:webHidden/>
          </w:rPr>
          <w:fldChar w:fldCharType="begin"/>
        </w:r>
        <w:r>
          <w:rPr>
            <w:noProof/>
            <w:webHidden/>
          </w:rPr>
          <w:instrText xml:space="preserve"> PAGEREF _Toc181684563 \h </w:instrText>
        </w:r>
        <w:r>
          <w:rPr>
            <w:noProof/>
            <w:webHidden/>
          </w:rPr>
        </w:r>
        <w:r>
          <w:rPr>
            <w:noProof/>
            <w:webHidden/>
          </w:rPr>
          <w:fldChar w:fldCharType="separate"/>
        </w:r>
        <w:r>
          <w:rPr>
            <w:noProof/>
            <w:webHidden/>
          </w:rPr>
          <w:t>573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4" w:history="1">
        <w:r w:rsidRPr="001B13A4">
          <w:rPr>
            <w:rStyle w:val="Hyperlink"/>
            <w:noProof/>
          </w:rPr>
          <w:t>2.1.1528</w:t>
        </w:r>
        <w:r>
          <w:rPr>
            <w:rFonts w:asciiTheme="minorHAnsi" w:eastAsiaTheme="minorEastAsia" w:hAnsiTheme="minorHAnsi" w:cstheme="minorBidi"/>
            <w:noProof/>
            <w:sz w:val="22"/>
            <w:szCs w:val="22"/>
          </w:rPr>
          <w:tab/>
        </w:r>
        <w:r w:rsidRPr="001B13A4">
          <w:rPr>
            <w:rStyle w:val="Hyperlink"/>
            <w:noProof/>
          </w:rPr>
          <w:t>Part 1 Section 21.2.2.151, pt (String Point)</w:t>
        </w:r>
        <w:r>
          <w:rPr>
            <w:noProof/>
            <w:webHidden/>
          </w:rPr>
          <w:tab/>
        </w:r>
        <w:r>
          <w:rPr>
            <w:noProof/>
            <w:webHidden/>
          </w:rPr>
          <w:fldChar w:fldCharType="begin"/>
        </w:r>
        <w:r>
          <w:rPr>
            <w:noProof/>
            <w:webHidden/>
          </w:rPr>
          <w:instrText xml:space="preserve"> PAGEREF _Toc181684564 \h </w:instrText>
        </w:r>
        <w:r>
          <w:rPr>
            <w:noProof/>
            <w:webHidden/>
          </w:rPr>
        </w:r>
        <w:r>
          <w:rPr>
            <w:noProof/>
            <w:webHidden/>
          </w:rPr>
          <w:fldChar w:fldCharType="separate"/>
        </w:r>
        <w:r>
          <w:rPr>
            <w:noProof/>
            <w:webHidden/>
          </w:rPr>
          <w:t>573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5" w:history="1">
        <w:r w:rsidRPr="001B13A4">
          <w:rPr>
            <w:rStyle w:val="Hyperlink"/>
            <w:noProof/>
          </w:rPr>
          <w:t>2.1.1529</w:t>
        </w:r>
        <w:r>
          <w:rPr>
            <w:rFonts w:asciiTheme="minorHAnsi" w:eastAsiaTheme="minorEastAsia" w:hAnsiTheme="minorHAnsi" w:cstheme="minorBidi"/>
            <w:noProof/>
            <w:sz w:val="22"/>
            <w:szCs w:val="22"/>
          </w:rPr>
          <w:tab/>
        </w:r>
        <w:r w:rsidRPr="001B13A4">
          <w:rPr>
            <w:rStyle w:val="Hyperlink"/>
            <w:noProof/>
          </w:rPr>
          <w:t>Part 1 Section 21.2.2.152, ptCount (Point Count)</w:t>
        </w:r>
        <w:r>
          <w:rPr>
            <w:noProof/>
            <w:webHidden/>
          </w:rPr>
          <w:tab/>
        </w:r>
        <w:r>
          <w:rPr>
            <w:noProof/>
            <w:webHidden/>
          </w:rPr>
          <w:fldChar w:fldCharType="begin"/>
        </w:r>
        <w:r>
          <w:rPr>
            <w:noProof/>
            <w:webHidden/>
          </w:rPr>
          <w:instrText xml:space="preserve"> PAGEREF _Toc181684565 \h </w:instrText>
        </w:r>
        <w:r>
          <w:rPr>
            <w:noProof/>
            <w:webHidden/>
          </w:rPr>
        </w:r>
        <w:r>
          <w:rPr>
            <w:noProof/>
            <w:webHidden/>
          </w:rPr>
          <w:fldChar w:fldCharType="separate"/>
        </w:r>
        <w:r>
          <w:rPr>
            <w:noProof/>
            <w:webHidden/>
          </w:rPr>
          <w:t>573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6" w:history="1">
        <w:r w:rsidRPr="001B13A4">
          <w:rPr>
            <w:rStyle w:val="Hyperlink"/>
            <w:noProof/>
          </w:rPr>
          <w:t>2.1.1530</w:t>
        </w:r>
        <w:r>
          <w:rPr>
            <w:rFonts w:asciiTheme="minorHAnsi" w:eastAsiaTheme="minorEastAsia" w:hAnsiTheme="minorHAnsi" w:cstheme="minorBidi"/>
            <w:noProof/>
            <w:sz w:val="22"/>
            <w:szCs w:val="22"/>
          </w:rPr>
          <w:tab/>
        </w:r>
        <w:r w:rsidRPr="001B13A4">
          <w:rPr>
            <w:rStyle w:val="Hyperlink"/>
            <w:noProof/>
          </w:rPr>
          <w:t>Part 1 Section 21.2.2.153, radarChart (Radar Charts)</w:t>
        </w:r>
        <w:r>
          <w:rPr>
            <w:noProof/>
            <w:webHidden/>
          </w:rPr>
          <w:tab/>
        </w:r>
        <w:r>
          <w:rPr>
            <w:noProof/>
            <w:webHidden/>
          </w:rPr>
          <w:fldChar w:fldCharType="begin"/>
        </w:r>
        <w:r>
          <w:rPr>
            <w:noProof/>
            <w:webHidden/>
          </w:rPr>
          <w:instrText xml:space="preserve"> PAGEREF _Toc181684566 \h </w:instrText>
        </w:r>
        <w:r>
          <w:rPr>
            <w:noProof/>
            <w:webHidden/>
          </w:rPr>
        </w:r>
        <w:r>
          <w:rPr>
            <w:noProof/>
            <w:webHidden/>
          </w:rPr>
          <w:fldChar w:fldCharType="separate"/>
        </w:r>
        <w:r>
          <w:rPr>
            <w:noProof/>
            <w:webHidden/>
          </w:rPr>
          <w:t>573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7" w:history="1">
        <w:r w:rsidRPr="001B13A4">
          <w:rPr>
            <w:rStyle w:val="Hyperlink"/>
            <w:noProof/>
          </w:rPr>
          <w:t>2.1.1531</w:t>
        </w:r>
        <w:r>
          <w:rPr>
            <w:rFonts w:asciiTheme="minorHAnsi" w:eastAsiaTheme="minorEastAsia" w:hAnsiTheme="minorHAnsi" w:cstheme="minorBidi"/>
            <w:noProof/>
            <w:sz w:val="22"/>
            <w:szCs w:val="22"/>
          </w:rPr>
          <w:tab/>
        </w:r>
        <w:r w:rsidRPr="001B13A4">
          <w:rPr>
            <w:rStyle w:val="Hyperlink"/>
            <w:noProof/>
          </w:rPr>
          <w:t>Part 1 Section 21.2.2.154, radarStyle (Radar Style)</w:t>
        </w:r>
        <w:r>
          <w:rPr>
            <w:noProof/>
            <w:webHidden/>
          </w:rPr>
          <w:tab/>
        </w:r>
        <w:r>
          <w:rPr>
            <w:noProof/>
            <w:webHidden/>
          </w:rPr>
          <w:fldChar w:fldCharType="begin"/>
        </w:r>
        <w:r>
          <w:rPr>
            <w:noProof/>
            <w:webHidden/>
          </w:rPr>
          <w:instrText xml:space="preserve"> PAGEREF _Toc181684567 \h </w:instrText>
        </w:r>
        <w:r>
          <w:rPr>
            <w:noProof/>
            <w:webHidden/>
          </w:rPr>
        </w:r>
        <w:r>
          <w:rPr>
            <w:noProof/>
            <w:webHidden/>
          </w:rPr>
          <w:fldChar w:fldCharType="separate"/>
        </w:r>
        <w:r>
          <w:rPr>
            <w:noProof/>
            <w:webHidden/>
          </w:rPr>
          <w:t>573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8" w:history="1">
        <w:r w:rsidRPr="001B13A4">
          <w:rPr>
            <w:rStyle w:val="Hyperlink"/>
            <w:noProof/>
          </w:rPr>
          <w:t>2.1.1532</w:t>
        </w:r>
        <w:r>
          <w:rPr>
            <w:rFonts w:asciiTheme="minorHAnsi" w:eastAsiaTheme="minorEastAsia" w:hAnsiTheme="minorHAnsi" w:cstheme="minorBidi"/>
            <w:noProof/>
            <w:sz w:val="22"/>
            <w:szCs w:val="22"/>
          </w:rPr>
          <w:tab/>
        </w:r>
        <w:r w:rsidRPr="001B13A4">
          <w:rPr>
            <w:rStyle w:val="Hyperlink"/>
            <w:noProof/>
          </w:rPr>
          <w:t>Part 1 Section 21.2.2.155, rAngAx (Right Angle Axes)</w:t>
        </w:r>
        <w:r>
          <w:rPr>
            <w:noProof/>
            <w:webHidden/>
          </w:rPr>
          <w:tab/>
        </w:r>
        <w:r>
          <w:rPr>
            <w:noProof/>
            <w:webHidden/>
          </w:rPr>
          <w:fldChar w:fldCharType="begin"/>
        </w:r>
        <w:r>
          <w:rPr>
            <w:noProof/>
            <w:webHidden/>
          </w:rPr>
          <w:instrText xml:space="preserve"> PAGEREF _Toc181684568 \h </w:instrText>
        </w:r>
        <w:r>
          <w:rPr>
            <w:noProof/>
            <w:webHidden/>
          </w:rPr>
        </w:r>
        <w:r>
          <w:rPr>
            <w:noProof/>
            <w:webHidden/>
          </w:rPr>
          <w:fldChar w:fldCharType="separate"/>
        </w:r>
        <w:r>
          <w:rPr>
            <w:noProof/>
            <w:webHidden/>
          </w:rPr>
          <w:t>573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69" w:history="1">
        <w:r w:rsidRPr="001B13A4">
          <w:rPr>
            <w:rStyle w:val="Hyperlink"/>
            <w:noProof/>
          </w:rPr>
          <w:t>2.1.1533</w:t>
        </w:r>
        <w:r>
          <w:rPr>
            <w:rFonts w:asciiTheme="minorHAnsi" w:eastAsiaTheme="minorEastAsia" w:hAnsiTheme="minorHAnsi" w:cstheme="minorBidi"/>
            <w:noProof/>
            <w:sz w:val="22"/>
            <w:szCs w:val="22"/>
          </w:rPr>
          <w:tab/>
        </w:r>
        <w:r w:rsidRPr="001B13A4">
          <w:rPr>
            <w:rStyle w:val="Hyperlink"/>
            <w:noProof/>
          </w:rPr>
          <w:t>Part 1 Section 21.2.2.156, rich (Rich Text)</w:t>
        </w:r>
        <w:r>
          <w:rPr>
            <w:noProof/>
            <w:webHidden/>
          </w:rPr>
          <w:tab/>
        </w:r>
        <w:r>
          <w:rPr>
            <w:noProof/>
            <w:webHidden/>
          </w:rPr>
          <w:fldChar w:fldCharType="begin"/>
        </w:r>
        <w:r>
          <w:rPr>
            <w:noProof/>
            <w:webHidden/>
          </w:rPr>
          <w:instrText xml:space="preserve"> PAGEREF _Toc181684569 \h </w:instrText>
        </w:r>
        <w:r>
          <w:rPr>
            <w:noProof/>
            <w:webHidden/>
          </w:rPr>
        </w:r>
        <w:r>
          <w:rPr>
            <w:noProof/>
            <w:webHidden/>
          </w:rPr>
          <w:fldChar w:fldCharType="separate"/>
        </w:r>
        <w:r>
          <w:rPr>
            <w:noProof/>
            <w:webHidden/>
          </w:rPr>
          <w:t>574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0" w:history="1">
        <w:r w:rsidRPr="001B13A4">
          <w:rPr>
            <w:rStyle w:val="Hyperlink"/>
            <w:noProof/>
          </w:rPr>
          <w:t>2.1.1534</w:t>
        </w:r>
        <w:r>
          <w:rPr>
            <w:rFonts w:asciiTheme="minorHAnsi" w:eastAsiaTheme="minorEastAsia" w:hAnsiTheme="minorHAnsi" w:cstheme="minorBidi"/>
            <w:noProof/>
            <w:sz w:val="22"/>
            <w:szCs w:val="22"/>
          </w:rPr>
          <w:tab/>
        </w:r>
        <w:r w:rsidRPr="001B13A4">
          <w:rPr>
            <w:rStyle w:val="Hyperlink"/>
            <w:noProof/>
          </w:rPr>
          <w:t>Part 1 Section 21.2.2.161, scatterChart (Scatter Charts)</w:t>
        </w:r>
        <w:r>
          <w:rPr>
            <w:noProof/>
            <w:webHidden/>
          </w:rPr>
          <w:tab/>
        </w:r>
        <w:r>
          <w:rPr>
            <w:noProof/>
            <w:webHidden/>
          </w:rPr>
          <w:fldChar w:fldCharType="begin"/>
        </w:r>
        <w:r>
          <w:rPr>
            <w:noProof/>
            <w:webHidden/>
          </w:rPr>
          <w:instrText xml:space="preserve"> PAGEREF _Toc181684570 \h </w:instrText>
        </w:r>
        <w:r>
          <w:rPr>
            <w:noProof/>
            <w:webHidden/>
          </w:rPr>
        </w:r>
        <w:r>
          <w:rPr>
            <w:noProof/>
            <w:webHidden/>
          </w:rPr>
          <w:fldChar w:fldCharType="separate"/>
        </w:r>
        <w:r>
          <w:rPr>
            <w:noProof/>
            <w:webHidden/>
          </w:rPr>
          <w:t>574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1" w:history="1">
        <w:r w:rsidRPr="001B13A4">
          <w:rPr>
            <w:rStyle w:val="Hyperlink"/>
            <w:noProof/>
          </w:rPr>
          <w:t>2.1.1535</w:t>
        </w:r>
        <w:r>
          <w:rPr>
            <w:rFonts w:asciiTheme="minorHAnsi" w:eastAsiaTheme="minorEastAsia" w:hAnsiTheme="minorHAnsi" w:cstheme="minorBidi"/>
            <w:noProof/>
            <w:sz w:val="22"/>
            <w:szCs w:val="22"/>
          </w:rPr>
          <w:tab/>
        </w:r>
        <w:r w:rsidRPr="001B13A4">
          <w:rPr>
            <w:rStyle w:val="Hyperlink"/>
            <w:noProof/>
          </w:rPr>
          <w:t>Part 1 Section 21.2.2.163, secondPiePt (Second Pie Point)</w:t>
        </w:r>
        <w:r>
          <w:rPr>
            <w:noProof/>
            <w:webHidden/>
          </w:rPr>
          <w:tab/>
        </w:r>
        <w:r>
          <w:rPr>
            <w:noProof/>
            <w:webHidden/>
          </w:rPr>
          <w:fldChar w:fldCharType="begin"/>
        </w:r>
        <w:r>
          <w:rPr>
            <w:noProof/>
            <w:webHidden/>
          </w:rPr>
          <w:instrText xml:space="preserve"> PAGEREF _Toc181684571 \h </w:instrText>
        </w:r>
        <w:r>
          <w:rPr>
            <w:noProof/>
            <w:webHidden/>
          </w:rPr>
        </w:r>
        <w:r>
          <w:rPr>
            <w:noProof/>
            <w:webHidden/>
          </w:rPr>
          <w:fldChar w:fldCharType="separate"/>
        </w:r>
        <w:r>
          <w:rPr>
            <w:noProof/>
            <w:webHidden/>
          </w:rPr>
          <w:t>574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2" w:history="1">
        <w:r w:rsidRPr="001B13A4">
          <w:rPr>
            <w:rStyle w:val="Hyperlink"/>
            <w:noProof/>
          </w:rPr>
          <w:t>2.1.1536</w:t>
        </w:r>
        <w:r>
          <w:rPr>
            <w:rFonts w:asciiTheme="minorHAnsi" w:eastAsiaTheme="minorEastAsia" w:hAnsiTheme="minorHAnsi" w:cstheme="minorBidi"/>
            <w:noProof/>
            <w:sz w:val="22"/>
            <w:szCs w:val="22"/>
          </w:rPr>
          <w:tab/>
        </w:r>
        <w:r w:rsidRPr="001B13A4">
          <w:rPr>
            <w:rStyle w:val="Hyperlink"/>
            <w:noProof/>
          </w:rPr>
          <w:t>Part 1 Section 21.2.2.166, separator (Separator)</w:t>
        </w:r>
        <w:r>
          <w:rPr>
            <w:noProof/>
            <w:webHidden/>
          </w:rPr>
          <w:tab/>
        </w:r>
        <w:r>
          <w:rPr>
            <w:noProof/>
            <w:webHidden/>
          </w:rPr>
          <w:fldChar w:fldCharType="begin"/>
        </w:r>
        <w:r>
          <w:rPr>
            <w:noProof/>
            <w:webHidden/>
          </w:rPr>
          <w:instrText xml:space="preserve"> PAGEREF _Toc181684572 \h </w:instrText>
        </w:r>
        <w:r>
          <w:rPr>
            <w:noProof/>
            <w:webHidden/>
          </w:rPr>
        </w:r>
        <w:r>
          <w:rPr>
            <w:noProof/>
            <w:webHidden/>
          </w:rPr>
          <w:fldChar w:fldCharType="separate"/>
        </w:r>
        <w:r>
          <w:rPr>
            <w:noProof/>
            <w:webHidden/>
          </w:rPr>
          <w:t>574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3" w:history="1">
        <w:r w:rsidRPr="001B13A4">
          <w:rPr>
            <w:rStyle w:val="Hyperlink"/>
            <w:noProof/>
          </w:rPr>
          <w:t>2.1.1537</w:t>
        </w:r>
        <w:r>
          <w:rPr>
            <w:rFonts w:asciiTheme="minorHAnsi" w:eastAsiaTheme="minorEastAsia" w:hAnsiTheme="minorHAnsi" w:cstheme="minorBidi"/>
            <w:noProof/>
            <w:sz w:val="22"/>
            <w:szCs w:val="22"/>
          </w:rPr>
          <w:tab/>
        </w:r>
        <w:r w:rsidRPr="001B13A4">
          <w:rPr>
            <w:rStyle w:val="Hyperlink"/>
            <w:noProof/>
          </w:rPr>
          <w:t>Part 1 Section 21.2.2.167, ser (Scatter Chart Series)</w:t>
        </w:r>
        <w:r>
          <w:rPr>
            <w:noProof/>
            <w:webHidden/>
          </w:rPr>
          <w:tab/>
        </w:r>
        <w:r>
          <w:rPr>
            <w:noProof/>
            <w:webHidden/>
          </w:rPr>
          <w:fldChar w:fldCharType="begin"/>
        </w:r>
        <w:r>
          <w:rPr>
            <w:noProof/>
            <w:webHidden/>
          </w:rPr>
          <w:instrText xml:space="preserve"> PAGEREF _Toc181684573 \h </w:instrText>
        </w:r>
        <w:r>
          <w:rPr>
            <w:noProof/>
            <w:webHidden/>
          </w:rPr>
        </w:r>
        <w:r>
          <w:rPr>
            <w:noProof/>
            <w:webHidden/>
          </w:rPr>
          <w:fldChar w:fldCharType="separate"/>
        </w:r>
        <w:r>
          <w:rPr>
            <w:noProof/>
            <w:webHidden/>
          </w:rPr>
          <w:t>574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4" w:history="1">
        <w:r w:rsidRPr="001B13A4">
          <w:rPr>
            <w:rStyle w:val="Hyperlink"/>
            <w:noProof/>
          </w:rPr>
          <w:t>2.1.1538</w:t>
        </w:r>
        <w:r>
          <w:rPr>
            <w:rFonts w:asciiTheme="minorHAnsi" w:eastAsiaTheme="minorEastAsia" w:hAnsiTheme="minorHAnsi" w:cstheme="minorBidi"/>
            <w:noProof/>
            <w:sz w:val="22"/>
            <w:szCs w:val="22"/>
          </w:rPr>
          <w:tab/>
        </w:r>
        <w:r w:rsidRPr="001B13A4">
          <w:rPr>
            <w:rStyle w:val="Hyperlink"/>
            <w:noProof/>
          </w:rPr>
          <w:t>Part 1 Section 21.2.2.168, ser (Area Chart Series)</w:t>
        </w:r>
        <w:r>
          <w:rPr>
            <w:noProof/>
            <w:webHidden/>
          </w:rPr>
          <w:tab/>
        </w:r>
        <w:r>
          <w:rPr>
            <w:noProof/>
            <w:webHidden/>
          </w:rPr>
          <w:fldChar w:fldCharType="begin"/>
        </w:r>
        <w:r>
          <w:rPr>
            <w:noProof/>
            <w:webHidden/>
          </w:rPr>
          <w:instrText xml:space="preserve"> PAGEREF _Toc181684574 \h </w:instrText>
        </w:r>
        <w:r>
          <w:rPr>
            <w:noProof/>
            <w:webHidden/>
          </w:rPr>
        </w:r>
        <w:r>
          <w:rPr>
            <w:noProof/>
            <w:webHidden/>
          </w:rPr>
          <w:fldChar w:fldCharType="separate"/>
        </w:r>
        <w:r>
          <w:rPr>
            <w:noProof/>
            <w:webHidden/>
          </w:rPr>
          <w:t>574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5" w:history="1">
        <w:r w:rsidRPr="001B13A4">
          <w:rPr>
            <w:rStyle w:val="Hyperlink"/>
            <w:noProof/>
          </w:rPr>
          <w:t>2.1.1539</w:t>
        </w:r>
        <w:r>
          <w:rPr>
            <w:rFonts w:asciiTheme="minorHAnsi" w:eastAsiaTheme="minorEastAsia" w:hAnsiTheme="minorHAnsi" w:cstheme="minorBidi"/>
            <w:noProof/>
            <w:sz w:val="22"/>
            <w:szCs w:val="22"/>
          </w:rPr>
          <w:tab/>
        </w:r>
        <w:r w:rsidRPr="001B13A4">
          <w:rPr>
            <w:rStyle w:val="Hyperlink"/>
            <w:noProof/>
          </w:rPr>
          <w:t>Part 1 Section 21.2.2.169, ser (Radar Chart Series)</w:t>
        </w:r>
        <w:r>
          <w:rPr>
            <w:noProof/>
            <w:webHidden/>
          </w:rPr>
          <w:tab/>
        </w:r>
        <w:r>
          <w:rPr>
            <w:noProof/>
            <w:webHidden/>
          </w:rPr>
          <w:fldChar w:fldCharType="begin"/>
        </w:r>
        <w:r>
          <w:rPr>
            <w:noProof/>
            <w:webHidden/>
          </w:rPr>
          <w:instrText xml:space="preserve"> PAGEREF _Toc181684575 \h </w:instrText>
        </w:r>
        <w:r>
          <w:rPr>
            <w:noProof/>
            <w:webHidden/>
          </w:rPr>
        </w:r>
        <w:r>
          <w:rPr>
            <w:noProof/>
            <w:webHidden/>
          </w:rPr>
          <w:fldChar w:fldCharType="separate"/>
        </w:r>
        <w:r>
          <w:rPr>
            <w:noProof/>
            <w:webHidden/>
          </w:rPr>
          <w:t>575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6" w:history="1">
        <w:r w:rsidRPr="001B13A4">
          <w:rPr>
            <w:rStyle w:val="Hyperlink"/>
            <w:noProof/>
          </w:rPr>
          <w:t>2.1.1540</w:t>
        </w:r>
        <w:r>
          <w:rPr>
            <w:rFonts w:asciiTheme="minorHAnsi" w:eastAsiaTheme="minorEastAsia" w:hAnsiTheme="minorHAnsi" w:cstheme="minorBidi"/>
            <w:noProof/>
            <w:sz w:val="22"/>
            <w:szCs w:val="22"/>
          </w:rPr>
          <w:tab/>
        </w:r>
        <w:r w:rsidRPr="001B13A4">
          <w:rPr>
            <w:rStyle w:val="Hyperlink"/>
            <w:noProof/>
          </w:rPr>
          <w:t>Part 1 Section 21.2.2.170, ser (Bar Chart Series)</w:t>
        </w:r>
        <w:r>
          <w:rPr>
            <w:noProof/>
            <w:webHidden/>
          </w:rPr>
          <w:tab/>
        </w:r>
        <w:r>
          <w:rPr>
            <w:noProof/>
            <w:webHidden/>
          </w:rPr>
          <w:fldChar w:fldCharType="begin"/>
        </w:r>
        <w:r>
          <w:rPr>
            <w:noProof/>
            <w:webHidden/>
          </w:rPr>
          <w:instrText xml:space="preserve"> PAGEREF _Toc181684576 \h </w:instrText>
        </w:r>
        <w:r>
          <w:rPr>
            <w:noProof/>
            <w:webHidden/>
          </w:rPr>
        </w:r>
        <w:r>
          <w:rPr>
            <w:noProof/>
            <w:webHidden/>
          </w:rPr>
          <w:fldChar w:fldCharType="separate"/>
        </w:r>
        <w:r>
          <w:rPr>
            <w:noProof/>
            <w:webHidden/>
          </w:rPr>
          <w:t>575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7" w:history="1">
        <w:r w:rsidRPr="001B13A4">
          <w:rPr>
            <w:rStyle w:val="Hyperlink"/>
            <w:noProof/>
          </w:rPr>
          <w:t>2.1.1541</w:t>
        </w:r>
        <w:r>
          <w:rPr>
            <w:rFonts w:asciiTheme="minorHAnsi" w:eastAsiaTheme="minorEastAsia" w:hAnsiTheme="minorHAnsi" w:cstheme="minorBidi"/>
            <w:noProof/>
            <w:sz w:val="22"/>
            <w:szCs w:val="22"/>
          </w:rPr>
          <w:tab/>
        </w:r>
        <w:r w:rsidRPr="001B13A4">
          <w:rPr>
            <w:rStyle w:val="Hyperlink"/>
            <w:noProof/>
          </w:rPr>
          <w:t>Part 1 Section 21.2.2.171, ser (Line Chart Series)</w:t>
        </w:r>
        <w:r>
          <w:rPr>
            <w:noProof/>
            <w:webHidden/>
          </w:rPr>
          <w:tab/>
        </w:r>
        <w:r>
          <w:rPr>
            <w:noProof/>
            <w:webHidden/>
          </w:rPr>
          <w:fldChar w:fldCharType="begin"/>
        </w:r>
        <w:r>
          <w:rPr>
            <w:noProof/>
            <w:webHidden/>
          </w:rPr>
          <w:instrText xml:space="preserve"> PAGEREF _Toc181684577 \h </w:instrText>
        </w:r>
        <w:r>
          <w:rPr>
            <w:noProof/>
            <w:webHidden/>
          </w:rPr>
        </w:r>
        <w:r>
          <w:rPr>
            <w:noProof/>
            <w:webHidden/>
          </w:rPr>
          <w:fldChar w:fldCharType="separate"/>
        </w:r>
        <w:r>
          <w:rPr>
            <w:noProof/>
            <w:webHidden/>
          </w:rPr>
          <w:t>575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8" w:history="1">
        <w:r w:rsidRPr="001B13A4">
          <w:rPr>
            <w:rStyle w:val="Hyperlink"/>
            <w:noProof/>
          </w:rPr>
          <w:t>2.1.1542</w:t>
        </w:r>
        <w:r>
          <w:rPr>
            <w:rFonts w:asciiTheme="minorHAnsi" w:eastAsiaTheme="minorEastAsia" w:hAnsiTheme="minorHAnsi" w:cstheme="minorBidi"/>
            <w:noProof/>
            <w:sz w:val="22"/>
            <w:szCs w:val="22"/>
          </w:rPr>
          <w:tab/>
        </w:r>
        <w:r w:rsidRPr="001B13A4">
          <w:rPr>
            <w:rStyle w:val="Hyperlink"/>
            <w:noProof/>
          </w:rPr>
          <w:t>Part 1 Section 21.2.2.172, ser (Pie Chart Series)</w:t>
        </w:r>
        <w:r>
          <w:rPr>
            <w:noProof/>
            <w:webHidden/>
          </w:rPr>
          <w:tab/>
        </w:r>
        <w:r>
          <w:rPr>
            <w:noProof/>
            <w:webHidden/>
          </w:rPr>
          <w:fldChar w:fldCharType="begin"/>
        </w:r>
        <w:r>
          <w:rPr>
            <w:noProof/>
            <w:webHidden/>
          </w:rPr>
          <w:instrText xml:space="preserve"> PAGEREF _Toc181684578 \h </w:instrText>
        </w:r>
        <w:r>
          <w:rPr>
            <w:noProof/>
            <w:webHidden/>
          </w:rPr>
        </w:r>
        <w:r>
          <w:rPr>
            <w:noProof/>
            <w:webHidden/>
          </w:rPr>
          <w:fldChar w:fldCharType="separate"/>
        </w:r>
        <w:r>
          <w:rPr>
            <w:noProof/>
            <w:webHidden/>
          </w:rPr>
          <w:t>575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79" w:history="1">
        <w:r w:rsidRPr="001B13A4">
          <w:rPr>
            <w:rStyle w:val="Hyperlink"/>
            <w:noProof/>
          </w:rPr>
          <w:t>2.1.1543</w:t>
        </w:r>
        <w:r>
          <w:rPr>
            <w:rFonts w:asciiTheme="minorHAnsi" w:eastAsiaTheme="minorEastAsia" w:hAnsiTheme="minorHAnsi" w:cstheme="minorBidi"/>
            <w:noProof/>
            <w:sz w:val="22"/>
            <w:szCs w:val="22"/>
          </w:rPr>
          <w:tab/>
        </w:r>
        <w:r w:rsidRPr="001B13A4">
          <w:rPr>
            <w:rStyle w:val="Hyperlink"/>
            <w:noProof/>
          </w:rPr>
          <w:t>Part 1 Section 21.2.2.174, ser (Bubble Chart Series)</w:t>
        </w:r>
        <w:r>
          <w:rPr>
            <w:noProof/>
            <w:webHidden/>
          </w:rPr>
          <w:tab/>
        </w:r>
        <w:r>
          <w:rPr>
            <w:noProof/>
            <w:webHidden/>
          </w:rPr>
          <w:fldChar w:fldCharType="begin"/>
        </w:r>
        <w:r>
          <w:rPr>
            <w:noProof/>
            <w:webHidden/>
          </w:rPr>
          <w:instrText xml:space="preserve"> PAGEREF _Toc181684579 \h </w:instrText>
        </w:r>
        <w:r>
          <w:rPr>
            <w:noProof/>
            <w:webHidden/>
          </w:rPr>
        </w:r>
        <w:r>
          <w:rPr>
            <w:noProof/>
            <w:webHidden/>
          </w:rPr>
          <w:fldChar w:fldCharType="separate"/>
        </w:r>
        <w:r>
          <w:rPr>
            <w:noProof/>
            <w:webHidden/>
          </w:rPr>
          <w:t>575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0" w:history="1">
        <w:r w:rsidRPr="001B13A4">
          <w:rPr>
            <w:rStyle w:val="Hyperlink"/>
            <w:noProof/>
          </w:rPr>
          <w:t>2.1.1544</w:t>
        </w:r>
        <w:r>
          <w:rPr>
            <w:rFonts w:asciiTheme="minorHAnsi" w:eastAsiaTheme="minorEastAsia" w:hAnsiTheme="minorHAnsi" w:cstheme="minorBidi"/>
            <w:noProof/>
            <w:sz w:val="22"/>
            <w:szCs w:val="22"/>
          </w:rPr>
          <w:tab/>
        </w:r>
        <w:r w:rsidRPr="001B13A4">
          <w:rPr>
            <w:rStyle w:val="Hyperlink"/>
            <w:noProof/>
          </w:rPr>
          <w:t>Part 1 Section 21.2.2.175, serAx (Series Axis)</w:t>
        </w:r>
        <w:r>
          <w:rPr>
            <w:noProof/>
            <w:webHidden/>
          </w:rPr>
          <w:tab/>
        </w:r>
        <w:r>
          <w:rPr>
            <w:noProof/>
            <w:webHidden/>
          </w:rPr>
          <w:fldChar w:fldCharType="begin"/>
        </w:r>
        <w:r>
          <w:rPr>
            <w:noProof/>
            <w:webHidden/>
          </w:rPr>
          <w:instrText xml:space="preserve"> PAGEREF _Toc181684580 \h </w:instrText>
        </w:r>
        <w:r>
          <w:rPr>
            <w:noProof/>
            <w:webHidden/>
          </w:rPr>
        </w:r>
        <w:r>
          <w:rPr>
            <w:noProof/>
            <w:webHidden/>
          </w:rPr>
          <w:fldChar w:fldCharType="separate"/>
        </w:r>
        <w:r>
          <w:rPr>
            <w:noProof/>
            <w:webHidden/>
          </w:rPr>
          <w:t>575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1" w:history="1">
        <w:r w:rsidRPr="001B13A4">
          <w:rPr>
            <w:rStyle w:val="Hyperlink"/>
            <w:noProof/>
          </w:rPr>
          <w:t>2.1.1545</w:t>
        </w:r>
        <w:r>
          <w:rPr>
            <w:rFonts w:asciiTheme="minorHAnsi" w:eastAsiaTheme="minorEastAsia" w:hAnsiTheme="minorHAnsi" w:cstheme="minorBidi"/>
            <w:noProof/>
            <w:sz w:val="22"/>
            <w:szCs w:val="22"/>
          </w:rPr>
          <w:tab/>
        </w:r>
        <w:r w:rsidRPr="001B13A4">
          <w:rPr>
            <w:rStyle w:val="Hyperlink"/>
            <w:noProof/>
          </w:rPr>
          <w:t>Part 1 Section 21.2.2.176, serLines (Series Lines)</w:t>
        </w:r>
        <w:r>
          <w:rPr>
            <w:noProof/>
            <w:webHidden/>
          </w:rPr>
          <w:tab/>
        </w:r>
        <w:r>
          <w:rPr>
            <w:noProof/>
            <w:webHidden/>
          </w:rPr>
          <w:fldChar w:fldCharType="begin"/>
        </w:r>
        <w:r>
          <w:rPr>
            <w:noProof/>
            <w:webHidden/>
          </w:rPr>
          <w:instrText xml:space="preserve"> PAGEREF _Toc181684581 \h </w:instrText>
        </w:r>
        <w:r>
          <w:rPr>
            <w:noProof/>
            <w:webHidden/>
          </w:rPr>
        </w:r>
        <w:r>
          <w:rPr>
            <w:noProof/>
            <w:webHidden/>
          </w:rPr>
          <w:fldChar w:fldCharType="separate"/>
        </w:r>
        <w:r>
          <w:rPr>
            <w:noProof/>
            <w:webHidden/>
          </w:rPr>
          <w:t>576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2" w:history="1">
        <w:r w:rsidRPr="001B13A4">
          <w:rPr>
            <w:rStyle w:val="Hyperlink"/>
            <w:noProof/>
          </w:rPr>
          <w:t>2.1.1546</w:t>
        </w:r>
        <w:r>
          <w:rPr>
            <w:rFonts w:asciiTheme="minorHAnsi" w:eastAsiaTheme="minorEastAsia" w:hAnsiTheme="minorHAnsi" w:cstheme="minorBidi"/>
            <w:noProof/>
            <w:sz w:val="22"/>
            <w:szCs w:val="22"/>
          </w:rPr>
          <w:tab/>
        </w:r>
        <w:r w:rsidRPr="001B13A4">
          <w:rPr>
            <w:rStyle w:val="Hyperlink"/>
            <w:noProof/>
          </w:rPr>
          <w:t>Part 1 Section 21.2.2.177, shape (Shape)</w:t>
        </w:r>
        <w:r>
          <w:rPr>
            <w:noProof/>
            <w:webHidden/>
          </w:rPr>
          <w:tab/>
        </w:r>
        <w:r>
          <w:rPr>
            <w:noProof/>
            <w:webHidden/>
          </w:rPr>
          <w:fldChar w:fldCharType="begin"/>
        </w:r>
        <w:r>
          <w:rPr>
            <w:noProof/>
            <w:webHidden/>
          </w:rPr>
          <w:instrText xml:space="preserve"> PAGEREF _Toc181684582 \h </w:instrText>
        </w:r>
        <w:r>
          <w:rPr>
            <w:noProof/>
            <w:webHidden/>
          </w:rPr>
        </w:r>
        <w:r>
          <w:rPr>
            <w:noProof/>
            <w:webHidden/>
          </w:rPr>
          <w:fldChar w:fldCharType="separate"/>
        </w:r>
        <w:r>
          <w:rPr>
            <w:noProof/>
            <w:webHidden/>
          </w:rPr>
          <w:t>576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3" w:history="1">
        <w:r w:rsidRPr="001B13A4">
          <w:rPr>
            <w:rStyle w:val="Hyperlink"/>
            <w:noProof/>
          </w:rPr>
          <w:t>2.1.1547</w:t>
        </w:r>
        <w:r>
          <w:rPr>
            <w:rFonts w:asciiTheme="minorHAnsi" w:eastAsiaTheme="minorEastAsia" w:hAnsiTheme="minorHAnsi" w:cstheme="minorBidi"/>
            <w:noProof/>
            <w:sz w:val="22"/>
            <w:szCs w:val="22"/>
          </w:rPr>
          <w:tab/>
        </w:r>
        <w:r w:rsidRPr="001B13A4">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_Toc181684583 \h </w:instrText>
        </w:r>
        <w:r>
          <w:rPr>
            <w:noProof/>
            <w:webHidden/>
          </w:rPr>
        </w:r>
        <w:r>
          <w:rPr>
            <w:noProof/>
            <w:webHidden/>
          </w:rPr>
          <w:fldChar w:fldCharType="separate"/>
        </w:r>
        <w:r>
          <w:rPr>
            <w:noProof/>
            <w:webHidden/>
          </w:rPr>
          <w:t>576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4" w:history="1">
        <w:r w:rsidRPr="001B13A4">
          <w:rPr>
            <w:rStyle w:val="Hyperlink"/>
            <w:noProof/>
          </w:rPr>
          <w:t>2.1.1548</w:t>
        </w:r>
        <w:r>
          <w:rPr>
            <w:rFonts w:asciiTheme="minorHAnsi" w:eastAsiaTheme="minorEastAsia" w:hAnsiTheme="minorHAnsi" w:cstheme="minorBidi"/>
            <w:noProof/>
            <w:sz w:val="22"/>
            <w:szCs w:val="22"/>
          </w:rPr>
          <w:tab/>
        </w:r>
        <w:r w:rsidRPr="001B13A4">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_Toc181684584 \h </w:instrText>
        </w:r>
        <w:r>
          <w:rPr>
            <w:noProof/>
            <w:webHidden/>
          </w:rPr>
        </w:r>
        <w:r>
          <w:rPr>
            <w:noProof/>
            <w:webHidden/>
          </w:rPr>
          <w:fldChar w:fldCharType="separate"/>
        </w:r>
        <w:r>
          <w:rPr>
            <w:noProof/>
            <w:webHidden/>
          </w:rPr>
          <w:t>576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5" w:history="1">
        <w:r w:rsidRPr="001B13A4">
          <w:rPr>
            <w:rStyle w:val="Hyperlink"/>
            <w:noProof/>
          </w:rPr>
          <w:t>2.1.1549</w:t>
        </w:r>
        <w:r>
          <w:rPr>
            <w:rFonts w:asciiTheme="minorHAnsi" w:eastAsiaTheme="minorEastAsia" w:hAnsiTheme="minorHAnsi" w:cstheme="minorBidi"/>
            <w:noProof/>
            <w:sz w:val="22"/>
            <w:szCs w:val="22"/>
          </w:rPr>
          <w:tab/>
        </w:r>
        <w:r w:rsidRPr="001B13A4">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_Toc181684585 \h </w:instrText>
        </w:r>
        <w:r>
          <w:rPr>
            <w:noProof/>
            <w:webHidden/>
          </w:rPr>
        </w:r>
        <w:r>
          <w:rPr>
            <w:noProof/>
            <w:webHidden/>
          </w:rPr>
          <w:fldChar w:fldCharType="separate"/>
        </w:r>
        <w:r>
          <w:rPr>
            <w:noProof/>
            <w:webHidden/>
          </w:rPr>
          <w:t>576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6" w:history="1">
        <w:r w:rsidRPr="001B13A4">
          <w:rPr>
            <w:rStyle w:val="Hyperlink"/>
            <w:noProof/>
          </w:rPr>
          <w:t>2.1.1550</w:t>
        </w:r>
        <w:r>
          <w:rPr>
            <w:rFonts w:asciiTheme="minorHAnsi" w:eastAsiaTheme="minorEastAsia" w:hAnsiTheme="minorHAnsi" w:cstheme="minorBidi"/>
            <w:noProof/>
            <w:sz w:val="22"/>
            <w:szCs w:val="22"/>
          </w:rPr>
          <w:tab/>
        </w:r>
        <w:r w:rsidRPr="001B13A4">
          <w:rPr>
            <w:rStyle w:val="Hyperlink"/>
            <w:noProof/>
          </w:rPr>
          <w:t>Part 1 Section 21.2.2.184, showLegendKey (Show Legend Key)</w:t>
        </w:r>
        <w:r>
          <w:rPr>
            <w:noProof/>
            <w:webHidden/>
          </w:rPr>
          <w:tab/>
        </w:r>
        <w:r>
          <w:rPr>
            <w:noProof/>
            <w:webHidden/>
          </w:rPr>
          <w:fldChar w:fldCharType="begin"/>
        </w:r>
        <w:r>
          <w:rPr>
            <w:noProof/>
            <w:webHidden/>
          </w:rPr>
          <w:instrText xml:space="preserve"> PAGEREF _Toc181684586 \h </w:instrText>
        </w:r>
        <w:r>
          <w:rPr>
            <w:noProof/>
            <w:webHidden/>
          </w:rPr>
        </w:r>
        <w:r>
          <w:rPr>
            <w:noProof/>
            <w:webHidden/>
          </w:rPr>
          <w:fldChar w:fldCharType="separate"/>
        </w:r>
        <w:r>
          <w:rPr>
            <w:noProof/>
            <w:webHidden/>
          </w:rPr>
          <w:t>577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7" w:history="1">
        <w:r w:rsidRPr="001B13A4">
          <w:rPr>
            <w:rStyle w:val="Hyperlink"/>
            <w:noProof/>
          </w:rPr>
          <w:t>2.1.1551</w:t>
        </w:r>
        <w:r>
          <w:rPr>
            <w:rFonts w:asciiTheme="minorHAnsi" w:eastAsiaTheme="minorEastAsia" w:hAnsiTheme="minorHAnsi" w:cstheme="minorBidi"/>
            <w:noProof/>
            <w:sz w:val="22"/>
            <w:szCs w:val="22"/>
          </w:rPr>
          <w:tab/>
        </w:r>
        <w:r w:rsidRPr="001B13A4">
          <w:rPr>
            <w:rStyle w:val="Hyperlink"/>
            <w:noProof/>
          </w:rPr>
          <w:t>Part 1 Section 21.2.2.187, showPercent (Show Percent)</w:t>
        </w:r>
        <w:r>
          <w:rPr>
            <w:noProof/>
            <w:webHidden/>
          </w:rPr>
          <w:tab/>
        </w:r>
        <w:r>
          <w:rPr>
            <w:noProof/>
            <w:webHidden/>
          </w:rPr>
          <w:fldChar w:fldCharType="begin"/>
        </w:r>
        <w:r>
          <w:rPr>
            <w:noProof/>
            <w:webHidden/>
          </w:rPr>
          <w:instrText xml:space="preserve"> PAGEREF _Toc181684587 \h </w:instrText>
        </w:r>
        <w:r>
          <w:rPr>
            <w:noProof/>
            <w:webHidden/>
          </w:rPr>
        </w:r>
        <w:r>
          <w:rPr>
            <w:noProof/>
            <w:webHidden/>
          </w:rPr>
          <w:fldChar w:fldCharType="separate"/>
        </w:r>
        <w:r>
          <w:rPr>
            <w:noProof/>
            <w:webHidden/>
          </w:rPr>
          <w:t>577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8" w:history="1">
        <w:r w:rsidRPr="001B13A4">
          <w:rPr>
            <w:rStyle w:val="Hyperlink"/>
            <w:noProof/>
          </w:rPr>
          <w:t>2.1.1552</w:t>
        </w:r>
        <w:r>
          <w:rPr>
            <w:rFonts w:asciiTheme="minorHAnsi" w:eastAsiaTheme="minorEastAsia" w:hAnsiTheme="minorHAnsi" w:cstheme="minorBidi"/>
            <w:noProof/>
            <w:sz w:val="22"/>
            <w:szCs w:val="22"/>
          </w:rPr>
          <w:tab/>
        </w:r>
        <w:r w:rsidRPr="001B13A4">
          <w:rPr>
            <w:rStyle w:val="Hyperlink"/>
            <w:noProof/>
          </w:rPr>
          <w:t>Part 1 Section 21.2.2.191, sideWall (Side Wall)</w:t>
        </w:r>
        <w:r>
          <w:rPr>
            <w:noProof/>
            <w:webHidden/>
          </w:rPr>
          <w:tab/>
        </w:r>
        <w:r>
          <w:rPr>
            <w:noProof/>
            <w:webHidden/>
          </w:rPr>
          <w:fldChar w:fldCharType="begin"/>
        </w:r>
        <w:r>
          <w:rPr>
            <w:noProof/>
            <w:webHidden/>
          </w:rPr>
          <w:instrText xml:space="preserve"> PAGEREF _Toc181684588 \h </w:instrText>
        </w:r>
        <w:r>
          <w:rPr>
            <w:noProof/>
            <w:webHidden/>
          </w:rPr>
        </w:r>
        <w:r>
          <w:rPr>
            <w:noProof/>
            <w:webHidden/>
          </w:rPr>
          <w:fldChar w:fldCharType="separate"/>
        </w:r>
        <w:r>
          <w:rPr>
            <w:noProof/>
            <w:webHidden/>
          </w:rPr>
          <w:t>577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89" w:history="1">
        <w:r w:rsidRPr="001B13A4">
          <w:rPr>
            <w:rStyle w:val="Hyperlink"/>
            <w:noProof/>
          </w:rPr>
          <w:t>2.1.1553</w:t>
        </w:r>
        <w:r>
          <w:rPr>
            <w:rFonts w:asciiTheme="minorHAnsi" w:eastAsiaTheme="minorEastAsia" w:hAnsiTheme="minorHAnsi" w:cstheme="minorBidi"/>
            <w:noProof/>
            <w:sz w:val="22"/>
            <w:szCs w:val="22"/>
          </w:rPr>
          <w:tab/>
        </w:r>
        <w:r w:rsidRPr="001B13A4">
          <w:rPr>
            <w:rStyle w:val="Hyperlink"/>
            <w:noProof/>
          </w:rPr>
          <w:t>Part 1 Section 21.2.2.195, splitPos (Split Position)</w:t>
        </w:r>
        <w:r>
          <w:rPr>
            <w:noProof/>
            <w:webHidden/>
          </w:rPr>
          <w:tab/>
        </w:r>
        <w:r>
          <w:rPr>
            <w:noProof/>
            <w:webHidden/>
          </w:rPr>
          <w:fldChar w:fldCharType="begin"/>
        </w:r>
        <w:r>
          <w:rPr>
            <w:noProof/>
            <w:webHidden/>
          </w:rPr>
          <w:instrText xml:space="preserve"> PAGEREF _Toc181684589 \h </w:instrText>
        </w:r>
        <w:r>
          <w:rPr>
            <w:noProof/>
            <w:webHidden/>
          </w:rPr>
        </w:r>
        <w:r>
          <w:rPr>
            <w:noProof/>
            <w:webHidden/>
          </w:rPr>
          <w:fldChar w:fldCharType="separate"/>
        </w:r>
        <w:r>
          <w:rPr>
            <w:noProof/>
            <w:webHidden/>
          </w:rPr>
          <w:t>577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0" w:history="1">
        <w:r w:rsidRPr="001B13A4">
          <w:rPr>
            <w:rStyle w:val="Hyperlink"/>
            <w:noProof/>
          </w:rPr>
          <w:t>2.1.1554</w:t>
        </w:r>
        <w:r>
          <w:rPr>
            <w:rFonts w:asciiTheme="minorHAnsi" w:eastAsiaTheme="minorEastAsia" w:hAnsiTheme="minorHAnsi" w:cstheme="minorBidi"/>
            <w:noProof/>
            <w:sz w:val="22"/>
            <w:szCs w:val="22"/>
          </w:rPr>
          <w:tab/>
        </w:r>
        <w:r w:rsidRPr="001B13A4">
          <w:rPr>
            <w:rStyle w:val="Hyperlink"/>
            <w:noProof/>
          </w:rPr>
          <w:t>Part 1 Section 21.2.2.196, splitType (Split Type)</w:t>
        </w:r>
        <w:r>
          <w:rPr>
            <w:noProof/>
            <w:webHidden/>
          </w:rPr>
          <w:tab/>
        </w:r>
        <w:r>
          <w:rPr>
            <w:noProof/>
            <w:webHidden/>
          </w:rPr>
          <w:fldChar w:fldCharType="begin"/>
        </w:r>
        <w:r>
          <w:rPr>
            <w:noProof/>
            <w:webHidden/>
          </w:rPr>
          <w:instrText xml:space="preserve"> PAGEREF _Toc181684590 \h </w:instrText>
        </w:r>
        <w:r>
          <w:rPr>
            <w:noProof/>
            <w:webHidden/>
          </w:rPr>
        </w:r>
        <w:r>
          <w:rPr>
            <w:noProof/>
            <w:webHidden/>
          </w:rPr>
          <w:fldChar w:fldCharType="separate"/>
        </w:r>
        <w:r>
          <w:rPr>
            <w:noProof/>
            <w:webHidden/>
          </w:rPr>
          <w:t>577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1" w:history="1">
        <w:r w:rsidRPr="001B13A4">
          <w:rPr>
            <w:rStyle w:val="Hyperlink"/>
            <w:noProof/>
          </w:rPr>
          <w:t>2.1.1555</w:t>
        </w:r>
        <w:r>
          <w:rPr>
            <w:rFonts w:asciiTheme="minorHAnsi" w:eastAsiaTheme="minorEastAsia" w:hAnsiTheme="minorHAnsi" w:cstheme="minorBidi"/>
            <w:noProof/>
            <w:sz w:val="22"/>
            <w:szCs w:val="22"/>
          </w:rPr>
          <w:tab/>
        </w:r>
        <w:r w:rsidRPr="001B13A4">
          <w:rPr>
            <w:rStyle w:val="Hyperlink"/>
            <w:noProof/>
          </w:rPr>
          <w:t>Part 1 Section 21.2.2.197, spPr (Shape Properties)</w:t>
        </w:r>
        <w:r>
          <w:rPr>
            <w:noProof/>
            <w:webHidden/>
          </w:rPr>
          <w:tab/>
        </w:r>
        <w:r>
          <w:rPr>
            <w:noProof/>
            <w:webHidden/>
          </w:rPr>
          <w:fldChar w:fldCharType="begin"/>
        </w:r>
        <w:r>
          <w:rPr>
            <w:noProof/>
            <w:webHidden/>
          </w:rPr>
          <w:instrText xml:space="preserve"> PAGEREF _Toc181684591 \h </w:instrText>
        </w:r>
        <w:r>
          <w:rPr>
            <w:noProof/>
            <w:webHidden/>
          </w:rPr>
        </w:r>
        <w:r>
          <w:rPr>
            <w:noProof/>
            <w:webHidden/>
          </w:rPr>
          <w:fldChar w:fldCharType="separate"/>
        </w:r>
        <w:r>
          <w:rPr>
            <w:noProof/>
            <w:webHidden/>
          </w:rPr>
          <w:t>578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2" w:history="1">
        <w:r w:rsidRPr="001B13A4">
          <w:rPr>
            <w:rStyle w:val="Hyperlink"/>
            <w:noProof/>
          </w:rPr>
          <w:t>2.1.1556</w:t>
        </w:r>
        <w:r>
          <w:rPr>
            <w:rFonts w:asciiTheme="minorHAnsi" w:eastAsiaTheme="minorEastAsia" w:hAnsiTheme="minorHAnsi" w:cstheme="minorBidi"/>
            <w:noProof/>
            <w:sz w:val="22"/>
            <w:szCs w:val="22"/>
          </w:rPr>
          <w:tab/>
        </w:r>
        <w:r w:rsidRPr="001B13A4">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_Toc181684592 \h </w:instrText>
        </w:r>
        <w:r>
          <w:rPr>
            <w:noProof/>
            <w:webHidden/>
          </w:rPr>
        </w:r>
        <w:r>
          <w:rPr>
            <w:noProof/>
            <w:webHidden/>
          </w:rPr>
          <w:fldChar w:fldCharType="separate"/>
        </w:r>
        <w:r>
          <w:rPr>
            <w:noProof/>
            <w:webHidden/>
          </w:rPr>
          <w:t>578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3" w:history="1">
        <w:r w:rsidRPr="001B13A4">
          <w:rPr>
            <w:rStyle w:val="Hyperlink"/>
            <w:noProof/>
          </w:rPr>
          <w:t>2.1.1557</w:t>
        </w:r>
        <w:r>
          <w:rPr>
            <w:rFonts w:asciiTheme="minorHAnsi" w:eastAsiaTheme="minorEastAsia" w:hAnsiTheme="minorHAnsi" w:cstheme="minorBidi"/>
            <w:noProof/>
            <w:sz w:val="22"/>
            <w:szCs w:val="22"/>
          </w:rPr>
          <w:tab/>
        </w:r>
        <w:r w:rsidRPr="001B13A4">
          <w:rPr>
            <w:rStyle w:val="Hyperlink"/>
            <w:noProof/>
          </w:rPr>
          <w:t>Part 1 Section 21.2.2.204, surfaceChart (Surface Charts)</w:t>
        </w:r>
        <w:r>
          <w:rPr>
            <w:noProof/>
            <w:webHidden/>
          </w:rPr>
          <w:tab/>
        </w:r>
        <w:r>
          <w:rPr>
            <w:noProof/>
            <w:webHidden/>
          </w:rPr>
          <w:fldChar w:fldCharType="begin"/>
        </w:r>
        <w:r>
          <w:rPr>
            <w:noProof/>
            <w:webHidden/>
          </w:rPr>
          <w:instrText xml:space="preserve"> PAGEREF _Toc181684593 \h </w:instrText>
        </w:r>
        <w:r>
          <w:rPr>
            <w:noProof/>
            <w:webHidden/>
          </w:rPr>
        </w:r>
        <w:r>
          <w:rPr>
            <w:noProof/>
            <w:webHidden/>
          </w:rPr>
          <w:fldChar w:fldCharType="separate"/>
        </w:r>
        <w:r>
          <w:rPr>
            <w:noProof/>
            <w:webHidden/>
          </w:rPr>
          <w:t>578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4" w:history="1">
        <w:r w:rsidRPr="001B13A4">
          <w:rPr>
            <w:rStyle w:val="Hyperlink"/>
            <w:noProof/>
          </w:rPr>
          <w:t>2.1.1558</w:t>
        </w:r>
        <w:r>
          <w:rPr>
            <w:rFonts w:asciiTheme="minorHAnsi" w:eastAsiaTheme="minorEastAsia" w:hAnsiTheme="minorHAnsi" w:cstheme="minorBidi"/>
            <w:noProof/>
            <w:sz w:val="22"/>
            <w:szCs w:val="22"/>
          </w:rPr>
          <w:tab/>
        </w:r>
        <w:r w:rsidRPr="001B13A4">
          <w:rPr>
            <w:rStyle w:val="Hyperlink"/>
            <w:noProof/>
          </w:rPr>
          <w:t>Part 1 Section 21.2.2.206, thickness (Thickness)</w:t>
        </w:r>
        <w:r>
          <w:rPr>
            <w:noProof/>
            <w:webHidden/>
          </w:rPr>
          <w:tab/>
        </w:r>
        <w:r>
          <w:rPr>
            <w:noProof/>
            <w:webHidden/>
          </w:rPr>
          <w:fldChar w:fldCharType="begin"/>
        </w:r>
        <w:r>
          <w:rPr>
            <w:noProof/>
            <w:webHidden/>
          </w:rPr>
          <w:instrText xml:space="preserve"> PAGEREF _Toc181684594 \h </w:instrText>
        </w:r>
        <w:r>
          <w:rPr>
            <w:noProof/>
            <w:webHidden/>
          </w:rPr>
        </w:r>
        <w:r>
          <w:rPr>
            <w:noProof/>
            <w:webHidden/>
          </w:rPr>
          <w:fldChar w:fldCharType="separate"/>
        </w:r>
        <w:r>
          <w:rPr>
            <w:noProof/>
            <w:webHidden/>
          </w:rPr>
          <w:t>578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5" w:history="1">
        <w:r w:rsidRPr="001B13A4">
          <w:rPr>
            <w:rStyle w:val="Hyperlink"/>
            <w:noProof/>
          </w:rPr>
          <w:t>2.1.1559</w:t>
        </w:r>
        <w:r>
          <w:rPr>
            <w:rFonts w:asciiTheme="minorHAnsi" w:eastAsiaTheme="minorEastAsia" w:hAnsiTheme="minorHAnsi" w:cstheme="minorBidi"/>
            <w:noProof/>
            <w:sz w:val="22"/>
            <w:szCs w:val="22"/>
          </w:rPr>
          <w:tab/>
        </w:r>
        <w:r w:rsidRPr="001B13A4">
          <w:rPr>
            <w:rStyle w:val="Hyperlink"/>
            <w:noProof/>
          </w:rPr>
          <w:t>Part 1 Section 21.2.2.208, tickLblSkip (Tick Label Skip)</w:t>
        </w:r>
        <w:r>
          <w:rPr>
            <w:noProof/>
            <w:webHidden/>
          </w:rPr>
          <w:tab/>
        </w:r>
        <w:r>
          <w:rPr>
            <w:noProof/>
            <w:webHidden/>
          </w:rPr>
          <w:fldChar w:fldCharType="begin"/>
        </w:r>
        <w:r>
          <w:rPr>
            <w:noProof/>
            <w:webHidden/>
          </w:rPr>
          <w:instrText xml:space="preserve"> PAGEREF _Toc181684595 \h </w:instrText>
        </w:r>
        <w:r>
          <w:rPr>
            <w:noProof/>
            <w:webHidden/>
          </w:rPr>
        </w:r>
        <w:r>
          <w:rPr>
            <w:noProof/>
            <w:webHidden/>
          </w:rPr>
          <w:fldChar w:fldCharType="separate"/>
        </w:r>
        <w:r>
          <w:rPr>
            <w:noProof/>
            <w:webHidden/>
          </w:rPr>
          <w:t>579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6" w:history="1">
        <w:r w:rsidRPr="001B13A4">
          <w:rPr>
            <w:rStyle w:val="Hyperlink"/>
            <w:noProof/>
          </w:rPr>
          <w:t>2.1.1560</w:t>
        </w:r>
        <w:r>
          <w:rPr>
            <w:rFonts w:asciiTheme="minorHAnsi" w:eastAsiaTheme="minorEastAsia" w:hAnsiTheme="minorHAnsi" w:cstheme="minorBidi"/>
            <w:noProof/>
            <w:sz w:val="22"/>
            <w:szCs w:val="22"/>
          </w:rPr>
          <w:tab/>
        </w:r>
        <w:r w:rsidRPr="001B13A4">
          <w:rPr>
            <w:rStyle w:val="Hyperlink"/>
            <w:noProof/>
          </w:rPr>
          <w:t>Part 1 Section 21.2.2.209, tickMarkSkip (Tick Mark Skip)</w:t>
        </w:r>
        <w:r>
          <w:rPr>
            <w:noProof/>
            <w:webHidden/>
          </w:rPr>
          <w:tab/>
        </w:r>
        <w:r>
          <w:rPr>
            <w:noProof/>
            <w:webHidden/>
          </w:rPr>
          <w:fldChar w:fldCharType="begin"/>
        </w:r>
        <w:r>
          <w:rPr>
            <w:noProof/>
            <w:webHidden/>
          </w:rPr>
          <w:instrText xml:space="preserve"> PAGEREF _Toc181684596 \h </w:instrText>
        </w:r>
        <w:r>
          <w:rPr>
            <w:noProof/>
            <w:webHidden/>
          </w:rPr>
        </w:r>
        <w:r>
          <w:rPr>
            <w:noProof/>
            <w:webHidden/>
          </w:rPr>
          <w:fldChar w:fldCharType="separate"/>
        </w:r>
        <w:r>
          <w:rPr>
            <w:noProof/>
            <w:webHidden/>
          </w:rPr>
          <w:t>579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7" w:history="1">
        <w:r w:rsidRPr="001B13A4">
          <w:rPr>
            <w:rStyle w:val="Hyperlink"/>
            <w:noProof/>
          </w:rPr>
          <w:t>2.1.1561</w:t>
        </w:r>
        <w:r>
          <w:rPr>
            <w:rFonts w:asciiTheme="minorHAnsi" w:eastAsiaTheme="minorEastAsia" w:hAnsiTheme="minorHAnsi" w:cstheme="minorBidi"/>
            <w:noProof/>
            <w:sz w:val="22"/>
            <w:szCs w:val="22"/>
          </w:rPr>
          <w:tab/>
        </w:r>
        <w:r w:rsidRPr="001B13A4">
          <w:rPr>
            <w:rStyle w:val="Hyperlink"/>
            <w:noProof/>
          </w:rPr>
          <w:t>Part 1 Section 21.2.2.210, title (Title)</w:t>
        </w:r>
        <w:r>
          <w:rPr>
            <w:noProof/>
            <w:webHidden/>
          </w:rPr>
          <w:tab/>
        </w:r>
        <w:r>
          <w:rPr>
            <w:noProof/>
            <w:webHidden/>
          </w:rPr>
          <w:fldChar w:fldCharType="begin"/>
        </w:r>
        <w:r>
          <w:rPr>
            <w:noProof/>
            <w:webHidden/>
          </w:rPr>
          <w:instrText xml:space="preserve"> PAGEREF _Toc181684597 \h </w:instrText>
        </w:r>
        <w:r>
          <w:rPr>
            <w:noProof/>
            <w:webHidden/>
          </w:rPr>
        </w:r>
        <w:r>
          <w:rPr>
            <w:noProof/>
            <w:webHidden/>
          </w:rPr>
          <w:fldChar w:fldCharType="separate"/>
        </w:r>
        <w:r>
          <w:rPr>
            <w:noProof/>
            <w:webHidden/>
          </w:rPr>
          <w:t>579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8" w:history="1">
        <w:r w:rsidRPr="001B13A4">
          <w:rPr>
            <w:rStyle w:val="Hyperlink"/>
            <w:noProof/>
          </w:rPr>
          <w:t>2.1.1562</w:t>
        </w:r>
        <w:r>
          <w:rPr>
            <w:rFonts w:asciiTheme="minorHAnsi" w:eastAsiaTheme="minorEastAsia" w:hAnsiTheme="minorHAnsi" w:cstheme="minorBidi"/>
            <w:noProof/>
            <w:sz w:val="22"/>
            <w:szCs w:val="22"/>
          </w:rPr>
          <w:tab/>
        </w:r>
        <w:r w:rsidRPr="001B13A4">
          <w:rPr>
            <w:rStyle w:val="Hyperlink"/>
            <w:noProof/>
          </w:rPr>
          <w:t>Part 1 Section 21.2.2.211, trendline (Trendlines)</w:t>
        </w:r>
        <w:r>
          <w:rPr>
            <w:noProof/>
            <w:webHidden/>
          </w:rPr>
          <w:tab/>
        </w:r>
        <w:r>
          <w:rPr>
            <w:noProof/>
            <w:webHidden/>
          </w:rPr>
          <w:fldChar w:fldCharType="begin"/>
        </w:r>
        <w:r>
          <w:rPr>
            <w:noProof/>
            <w:webHidden/>
          </w:rPr>
          <w:instrText xml:space="preserve"> PAGEREF _Toc181684598 \h </w:instrText>
        </w:r>
        <w:r>
          <w:rPr>
            <w:noProof/>
            <w:webHidden/>
          </w:rPr>
        </w:r>
        <w:r>
          <w:rPr>
            <w:noProof/>
            <w:webHidden/>
          </w:rPr>
          <w:fldChar w:fldCharType="separate"/>
        </w:r>
        <w:r>
          <w:rPr>
            <w:noProof/>
            <w:webHidden/>
          </w:rPr>
          <w:t>579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599" w:history="1">
        <w:r w:rsidRPr="001B13A4">
          <w:rPr>
            <w:rStyle w:val="Hyperlink"/>
            <w:noProof/>
          </w:rPr>
          <w:t>2.1.1563</w:t>
        </w:r>
        <w:r>
          <w:rPr>
            <w:rFonts w:asciiTheme="minorHAnsi" w:eastAsiaTheme="minorEastAsia" w:hAnsiTheme="minorHAnsi" w:cstheme="minorBidi"/>
            <w:noProof/>
            <w:sz w:val="22"/>
            <w:szCs w:val="22"/>
          </w:rPr>
          <w:tab/>
        </w:r>
        <w:r w:rsidRPr="001B13A4">
          <w:rPr>
            <w:rStyle w:val="Hyperlink"/>
            <w:noProof/>
          </w:rPr>
          <w:t>Part 1 Section 21.2.2.212, trendlineLbl (Trendline Label)</w:t>
        </w:r>
        <w:r>
          <w:rPr>
            <w:noProof/>
            <w:webHidden/>
          </w:rPr>
          <w:tab/>
        </w:r>
        <w:r>
          <w:rPr>
            <w:noProof/>
            <w:webHidden/>
          </w:rPr>
          <w:fldChar w:fldCharType="begin"/>
        </w:r>
        <w:r>
          <w:rPr>
            <w:noProof/>
            <w:webHidden/>
          </w:rPr>
          <w:instrText xml:space="preserve"> PAGEREF _Toc181684599 \h </w:instrText>
        </w:r>
        <w:r>
          <w:rPr>
            <w:noProof/>
            <w:webHidden/>
          </w:rPr>
        </w:r>
        <w:r>
          <w:rPr>
            <w:noProof/>
            <w:webHidden/>
          </w:rPr>
          <w:fldChar w:fldCharType="separate"/>
        </w:r>
        <w:r>
          <w:rPr>
            <w:noProof/>
            <w:webHidden/>
          </w:rPr>
          <w:t>579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0" w:history="1">
        <w:r w:rsidRPr="001B13A4">
          <w:rPr>
            <w:rStyle w:val="Hyperlink"/>
            <w:noProof/>
          </w:rPr>
          <w:t>2.1.1564</w:t>
        </w:r>
        <w:r>
          <w:rPr>
            <w:rFonts w:asciiTheme="minorHAnsi" w:eastAsiaTheme="minorEastAsia" w:hAnsiTheme="minorHAnsi" w:cstheme="minorBidi"/>
            <w:noProof/>
            <w:sz w:val="22"/>
            <w:szCs w:val="22"/>
          </w:rPr>
          <w:tab/>
        </w:r>
        <w:r w:rsidRPr="001B13A4">
          <w:rPr>
            <w:rStyle w:val="Hyperlink"/>
            <w:noProof/>
          </w:rPr>
          <w:t>Part 1 Section 21.2.2.213, trendlineType (Trendline Type)</w:t>
        </w:r>
        <w:r>
          <w:rPr>
            <w:noProof/>
            <w:webHidden/>
          </w:rPr>
          <w:tab/>
        </w:r>
        <w:r>
          <w:rPr>
            <w:noProof/>
            <w:webHidden/>
          </w:rPr>
          <w:fldChar w:fldCharType="begin"/>
        </w:r>
        <w:r>
          <w:rPr>
            <w:noProof/>
            <w:webHidden/>
          </w:rPr>
          <w:instrText xml:space="preserve"> PAGEREF _Toc181684600 \h </w:instrText>
        </w:r>
        <w:r>
          <w:rPr>
            <w:noProof/>
            <w:webHidden/>
          </w:rPr>
        </w:r>
        <w:r>
          <w:rPr>
            <w:noProof/>
            <w:webHidden/>
          </w:rPr>
          <w:fldChar w:fldCharType="separate"/>
        </w:r>
        <w:r>
          <w:rPr>
            <w:noProof/>
            <w:webHidden/>
          </w:rPr>
          <w:t>580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1" w:history="1">
        <w:r w:rsidRPr="001B13A4">
          <w:rPr>
            <w:rStyle w:val="Hyperlink"/>
            <w:noProof/>
          </w:rPr>
          <w:t>2.1.1565</w:t>
        </w:r>
        <w:r>
          <w:rPr>
            <w:rFonts w:asciiTheme="minorHAnsi" w:eastAsiaTheme="minorEastAsia" w:hAnsiTheme="minorHAnsi" w:cstheme="minorBidi"/>
            <w:noProof/>
            <w:sz w:val="22"/>
            <w:szCs w:val="22"/>
          </w:rPr>
          <w:tab/>
        </w:r>
        <w:r w:rsidRPr="001B13A4">
          <w:rPr>
            <w:rStyle w:val="Hyperlink"/>
            <w:noProof/>
          </w:rPr>
          <w:t>Part 1 Section 21.2.2.215, tx (Series Text)</w:t>
        </w:r>
        <w:r>
          <w:rPr>
            <w:noProof/>
            <w:webHidden/>
          </w:rPr>
          <w:tab/>
        </w:r>
        <w:r>
          <w:rPr>
            <w:noProof/>
            <w:webHidden/>
          </w:rPr>
          <w:fldChar w:fldCharType="begin"/>
        </w:r>
        <w:r>
          <w:rPr>
            <w:noProof/>
            <w:webHidden/>
          </w:rPr>
          <w:instrText xml:space="preserve"> PAGEREF _Toc181684601 \h </w:instrText>
        </w:r>
        <w:r>
          <w:rPr>
            <w:noProof/>
            <w:webHidden/>
          </w:rPr>
        </w:r>
        <w:r>
          <w:rPr>
            <w:noProof/>
            <w:webHidden/>
          </w:rPr>
          <w:fldChar w:fldCharType="separate"/>
        </w:r>
        <w:r>
          <w:rPr>
            <w:noProof/>
            <w:webHidden/>
          </w:rPr>
          <w:t>580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2" w:history="1">
        <w:r w:rsidRPr="001B13A4">
          <w:rPr>
            <w:rStyle w:val="Hyperlink"/>
            <w:noProof/>
          </w:rPr>
          <w:t>2.1.1566</w:t>
        </w:r>
        <w:r>
          <w:rPr>
            <w:rFonts w:asciiTheme="minorHAnsi" w:eastAsiaTheme="minorEastAsia" w:hAnsiTheme="minorHAnsi" w:cstheme="minorBidi"/>
            <w:noProof/>
            <w:sz w:val="22"/>
            <w:szCs w:val="22"/>
          </w:rPr>
          <w:tab/>
        </w:r>
        <w:r w:rsidRPr="001B13A4">
          <w:rPr>
            <w:rStyle w:val="Hyperlink"/>
            <w:noProof/>
          </w:rPr>
          <w:t>Part 1 Section 21.2.2.216, txPr (Text Properties)</w:t>
        </w:r>
        <w:r>
          <w:rPr>
            <w:noProof/>
            <w:webHidden/>
          </w:rPr>
          <w:tab/>
        </w:r>
        <w:r>
          <w:rPr>
            <w:noProof/>
            <w:webHidden/>
          </w:rPr>
          <w:fldChar w:fldCharType="begin"/>
        </w:r>
        <w:r>
          <w:rPr>
            <w:noProof/>
            <w:webHidden/>
          </w:rPr>
          <w:instrText xml:space="preserve"> PAGEREF _Toc181684602 \h </w:instrText>
        </w:r>
        <w:r>
          <w:rPr>
            <w:noProof/>
            <w:webHidden/>
          </w:rPr>
        </w:r>
        <w:r>
          <w:rPr>
            <w:noProof/>
            <w:webHidden/>
          </w:rPr>
          <w:fldChar w:fldCharType="separate"/>
        </w:r>
        <w:r>
          <w:rPr>
            <w:noProof/>
            <w:webHidden/>
          </w:rPr>
          <w:t>580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3" w:history="1">
        <w:r w:rsidRPr="001B13A4">
          <w:rPr>
            <w:rStyle w:val="Hyperlink"/>
            <w:noProof/>
          </w:rPr>
          <w:t>2.1.1567</w:t>
        </w:r>
        <w:r>
          <w:rPr>
            <w:rFonts w:asciiTheme="minorHAnsi" w:eastAsiaTheme="minorEastAsia" w:hAnsiTheme="minorHAnsi" w:cstheme="minorBidi"/>
            <w:noProof/>
            <w:sz w:val="22"/>
            <w:szCs w:val="22"/>
          </w:rPr>
          <w:tab/>
        </w:r>
        <w:r w:rsidRPr="001B13A4">
          <w:rPr>
            <w:rStyle w:val="Hyperlink"/>
            <w:noProof/>
          </w:rPr>
          <w:t>Part 1 Section 21.2.2.219, userInterface (User Interface)</w:t>
        </w:r>
        <w:r>
          <w:rPr>
            <w:noProof/>
            <w:webHidden/>
          </w:rPr>
          <w:tab/>
        </w:r>
        <w:r>
          <w:rPr>
            <w:noProof/>
            <w:webHidden/>
          </w:rPr>
          <w:fldChar w:fldCharType="begin"/>
        </w:r>
        <w:r>
          <w:rPr>
            <w:noProof/>
            <w:webHidden/>
          </w:rPr>
          <w:instrText xml:space="preserve"> PAGEREF _Toc181684603 \h </w:instrText>
        </w:r>
        <w:r>
          <w:rPr>
            <w:noProof/>
            <w:webHidden/>
          </w:rPr>
        </w:r>
        <w:r>
          <w:rPr>
            <w:noProof/>
            <w:webHidden/>
          </w:rPr>
          <w:fldChar w:fldCharType="separate"/>
        </w:r>
        <w:r>
          <w:rPr>
            <w:noProof/>
            <w:webHidden/>
          </w:rPr>
          <w:t>580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4" w:history="1">
        <w:r w:rsidRPr="001B13A4">
          <w:rPr>
            <w:rStyle w:val="Hyperlink"/>
            <w:noProof/>
          </w:rPr>
          <w:t>2.1.1568</w:t>
        </w:r>
        <w:r>
          <w:rPr>
            <w:rFonts w:asciiTheme="minorHAnsi" w:eastAsiaTheme="minorEastAsia" w:hAnsiTheme="minorHAnsi" w:cstheme="minorBidi"/>
            <w:noProof/>
            <w:sz w:val="22"/>
            <w:szCs w:val="22"/>
          </w:rPr>
          <w:tab/>
        </w:r>
        <w:r w:rsidRPr="001B13A4">
          <w:rPr>
            <w:rStyle w:val="Hyperlink"/>
            <w:noProof/>
          </w:rPr>
          <w:t>Part 1 Section 21.2.2.222, v (Numeric Value)</w:t>
        </w:r>
        <w:r>
          <w:rPr>
            <w:noProof/>
            <w:webHidden/>
          </w:rPr>
          <w:tab/>
        </w:r>
        <w:r>
          <w:rPr>
            <w:noProof/>
            <w:webHidden/>
          </w:rPr>
          <w:fldChar w:fldCharType="begin"/>
        </w:r>
        <w:r>
          <w:rPr>
            <w:noProof/>
            <w:webHidden/>
          </w:rPr>
          <w:instrText xml:space="preserve"> PAGEREF _Toc181684604 \h </w:instrText>
        </w:r>
        <w:r>
          <w:rPr>
            <w:noProof/>
            <w:webHidden/>
          </w:rPr>
        </w:r>
        <w:r>
          <w:rPr>
            <w:noProof/>
            <w:webHidden/>
          </w:rPr>
          <w:fldChar w:fldCharType="separate"/>
        </w:r>
        <w:r>
          <w:rPr>
            <w:noProof/>
            <w:webHidden/>
          </w:rPr>
          <w:t>580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5" w:history="1">
        <w:r w:rsidRPr="001B13A4">
          <w:rPr>
            <w:rStyle w:val="Hyperlink"/>
            <w:noProof/>
          </w:rPr>
          <w:t>2.1.1569</w:t>
        </w:r>
        <w:r>
          <w:rPr>
            <w:rFonts w:asciiTheme="minorHAnsi" w:eastAsiaTheme="minorEastAsia" w:hAnsiTheme="minorHAnsi" w:cstheme="minorBidi"/>
            <w:noProof/>
            <w:sz w:val="22"/>
            <w:szCs w:val="22"/>
          </w:rPr>
          <w:tab/>
        </w:r>
        <w:r w:rsidRPr="001B13A4">
          <w:rPr>
            <w:rStyle w:val="Hyperlink"/>
            <w:noProof/>
          </w:rPr>
          <w:t>Part 1 Section 21.2.2.225, val (Error Bar Value)</w:t>
        </w:r>
        <w:r>
          <w:rPr>
            <w:noProof/>
            <w:webHidden/>
          </w:rPr>
          <w:tab/>
        </w:r>
        <w:r>
          <w:rPr>
            <w:noProof/>
            <w:webHidden/>
          </w:rPr>
          <w:fldChar w:fldCharType="begin"/>
        </w:r>
        <w:r>
          <w:rPr>
            <w:noProof/>
            <w:webHidden/>
          </w:rPr>
          <w:instrText xml:space="preserve"> PAGEREF _Toc181684605 \h </w:instrText>
        </w:r>
        <w:r>
          <w:rPr>
            <w:noProof/>
            <w:webHidden/>
          </w:rPr>
        </w:r>
        <w:r>
          <w:rPr>
            <w:noProof/>
            <w:webHidden/>
          </w:rPr>
          <w:fldChar w:fldCharType="separate"/>
        </w:r>
        <w:r>
          <w:rPr>
            <w:noProof/>
            <w:webHidden/>
          </w:rPr>
          <w:t>580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6" w:history="1">
        <w:r w:rsidRPr="001B13A4">
          <w:rPr>
            <w:rStyle w:val="Hyperlink"/>
            <w:noProof/>
          </w:rPr>
          <w:t>2.1.1570</w:t>
        </w:r>
        <w:r>
          <w:rPr>
            <w:rFonts w:asciiTheme="minorHAnsi" w:eastAsiaTheme="minorEastAsia" w:hAnsiTheme="minorHAnsi" w:cstheme="minorBidi"/>
            <w:noProof/>
            <w:sz w:val="22"/>
            <w:szCs w:val="22"/>
          </w:rPr>
          <w:tab/>
        </w:r>
        <w:r w:rsidRPr="001B13A4">
          <w:rPr>
            <w:rStyle w:val="Hyperlink"/>
            <w:noProof/>
          </w:rPr>
          <w:t>Part 1 Section 21.2.2.226, valAx (Value Axis)</w:t>
        </w:r>
        <w:r>
          <w:rPr>
            <w:noProof/>
            <w:webHidden/>
          </w:rPr>
          <w:tab/>
        </w:r>
        <w:r>
          <w:rPr>
            <w:noProof/>
            <w:webHidden/>
          </w:rPr>
          <w:fldChar w:fldCharType="begin"/>
        </w:r>
        <w:r>
          <w:rPr>
            <w:noProof/>
            <w:webHidden/>
          </w:rPr>
          <w:instrText xml:space="preserve"> PAGEREF _Toc181684606 \h </w:instrText>
        </w:r>
        <w:r>
          <w:rPr>
            <w:noProof/>
            <w:webHidden/>
          </w:rPr>
        </w:r>
        <w:r>
          <w:rPr>
            <w:noProof/>
            <w:webHidden/>
          </w:rPr>
          <w:fldChar w:fldCharType="separate"/>
        </w:r>
        <w:r>
          <w:rPr>
            <w:noProof/>
            <w:webHidden/>
          </w:rPr>
          <w:t>580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7" w:history="1">
        <w:r w:rsidRPr="001B13A4">
          <w:rPr>
            <w:rStyle w:val="Hyperlink"/>
            <w:noProof/>
          </w:rPr>
          <w:t>2.1.1571</w:t>
        </w:r>
        <w:r>
          <w:rPr>
            <w:rFonts w:asciiTheme="minorHAnsi" w:eastAsiaTheme="minorEastAsia" w:hAnsiTheme="minorHAnsi" w:cstheme="minorBidi"/>
            <w:noProof/>
            <w:sz w:val="22"/>
            <w:szCs w:val="22"/>
          </w:rPr>
          <w:tab/>
        </w:r>
        <w:r w:rsidRPr="001B13A4">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_Toc181684607 \h </w:instrText>
        </w:r>
        <w:r>
          <w:rPr>
            <w:noProof/>
            <w:webHidden/>
          </w:rPr>
        </w:r>
        <w:r>
          <w:rPr>
            <w:noProof/>
            <w:webHidden/>
          </w:rPr>
          <w:fldChar w:fldCharType="separate"/>
        </w:r>
        <w:r>
          <w:rPr>
            <w:noProof/>
            <w:webHidden/>
          </w:rPr>
          <w:t>581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8" w:history="1">
        <w:r w:rsidRPr="001B13A4">
          <w:rPr>
            <w:rStyle w:val="Hyperlink"/>
            <w:noProof/>
          </w:rPr>
          <w:t>2.1.1572</w:t>
        </w:r>
        <w:r>
          <w:rPr>
            <w:rFonts w:asciiTheme="minorHAnsi" w:eastAsiaTheme="minorEastAsia" w:hAnsiTheme="minorHAnsi" w:cstheme="minorBidi"/>
            <w:noProof/>
            <w:sz w:val="22"/>
            <w:szCs w:val="22"/>
          </w:rPr>
          <w:tab/>
        </w:r>
        <w:r w:rsidRPr="001B13A4">
          <w:rPr>
            <w:rStyle w:val="Hyperlink"/>
            <w:noProof/>
          </w:rPr>
          <w:t>Part 1 Section 21.2.2.228, view3D (View In 3D)</w:t>
        </w:r>
        <w:r>
          <w:rPr>
            <w:noProof/>
            <w:webHidden/>
          </w:rPr>
          <w:tab/>
        </w:r>
        <w:r>
          <w:rPr>
            <w:noProof/>
            <w:webHidden/>
          </w:rPr>
          <w:fldChar w:fldCharType="begin"/>
        </w:r>
        <w:r>
          <w:rPr>
            <w:noProof/>
            <w:webHidden/>
          </w:rPr>
          <w:instrText xml:space="preserve"> PAGEREF _Toc181684608 \h </w:instrText>
        </w:r>
        <w:r>
          <w:rPr>
            <w:noProof/>
            <w:webHidden/>
          </w:rPr>
        </w:r>
        <w:r>
          <w:rPr>
            <w:noProof/>
            <w:webHidden/>
          </w:rPr>
          <w:fldChar w:fldCharType="separate"/>
        </w:r>
        <w:r>
          <w:rPr>
            <w:noProof/>
            <w:webHidden/>
          </w:rPr>
          <w:t>581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09" w:history="1">
        <w:r w:rsidRPr="001B13A4">
          <w:rPr>
            <w:rStyle w:val="Hyperlink"/>
            <w:noProof/>
          </w:rPr>
          <w:t>2.1.1573</w:t>
        </w:r>
        <w:r>
          <w:rPr>
            <w:rFonts w:asciiTheme="minorHAnsi" w:eastAsiaTheme="minorEastAsia" w:hAnsiTheme="minorHAnsi" w:cstheme="minorBidi"/>
            <w:noProof/>
            <w:sz w:val="22"/>
            <w:szCs w:val="22"/>
          </w:rPr>
          <w:tab/>
        </w:r>
        <w:r w:rsidRPr="001B13A4">
          <w:rPr>
            <w:rStyle w:val="Hyperlink"/>
            <w:noProof/>
          </w:rPr>
          <w:t>Part 1 Section 21.2.2.229, w (Width)</w:t>
        </w:r>
        <w:r>
          <w:rPr>
            <w:noProof/>
            <w:webHidden/>
          </w:rPr>
          <w:tab/>
        </w:r>
        <w:r>
          <w:rPr>
            <w:noProof/>
            <w:webHidden/>
          </w:rPr>
          <w:fldChar w:fldCharType="begin"/>
        </w:r>
        <w:r>
          <w:rPr>
            <w:noProof/>
            <w:webHidden/>
          </w:rPr>
          <w:instrText xml:space="preserve"> PAGEREF _Toc181684609 \h </w:instrText>
        </w:r>
        <w:r>
          <w:rPr>
            <w:noProof/>
            <w:webHidden/>
          </w:rPr>
        </w:r>
        <w:r>
          <w:rPr>
            <w:noProof/>
            <w:webHidden/>
          </w:rPr>
          <w:fldChar w:fldCharType="separate"/>
        </w:r>
        <w:r>
          <w:rPr>
            <w:noProof/>
            <w:webHidden/>
          </w:rPr>
          <w:t>581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0" w:history="1">
        <w:r w:rsidRPr="001B13A4">
          <w:rPr>
            <w:rStyle w:val="Hyperlink"/>
            <w:noProof/>
          </w:rPr>
          <w:t>2.1.1574</w:t>
        </w:r>
        <w:r>
          <w:rPr>
            <w:rFonts w:asciiTheme="minorHAnsi" w:eastAsiaTheme="minorEastAsia" w:hAnsiTheme="minorHAnsi" w:cstheme="minorBidi"/>
            <w:noProof/>
            <w:sz w:val="22"/>
            <w:szCs w:val="22"/>
          </w:rPr>
          <w:tab/>
        </w:r>
        <w:r w:rsidRPr="001B13A4">
          <w:rPr>
            <w:rStyle w:val="Hyperlink"/>
            <w:noProof/>
          </w:rPr>
          <w:t>Part 1 Section 21.2.2.231, wMode (Width Mode)</w:t>
        </w:r>
        <w:r>
          <w:rPr>
            <w:noProof/>
            <w:webHidden/>
          </w:rPr>
          <w:tab/>
        </w:r>
        <w:r>
          <w:rPr>
            <w:noProof/>
            <w:webHidden/>
          </w:rPr>
          <w:fldChar w:fldCharType="begin"/>
        </w:r>
        <w:r>
          <w:rPr>
            <w:noProof/>
            <w:webHidden/>
          </w:rPr>
          <w:instrText xml:space="preserve"> PAGEREF _Toc181684610 \h </w:instrText>
        </w:r>
        <w:r>
          <w:rPr>
            <w:noProof/>
            <w:webHidden/>
          </w:rPr>
        </w:r>
        <w:r>
          <w:rPr>
            <w:noProof/>
            <w:webHidden/>
          </w:rPr>
          <w:fldChar w:fldCharType="separate"/>
        </w:r>
        <w:r>
          <w:rPr>
            <w:noProof/>
            <w:webHidden/>
          </w:rPr>
          <w:t>581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1" w:history="1">
        <w:r w:rsidRPr="001B13A4">
          <w:rPr>
            <w:rStyle w:val="Hyperlink"/>
            <w:noProof/>
          </w:rPr>
          <w:t>2.1.1575</w:t>
        </w:r>
        <w:r>
          <w:rPr>
            <w:rFonts w:asciiTheme="minorHAnsi" w:eastAsiaTheme="minorEastAsia" w:hAnsiTheme="minorHAnsi" w:cstheme="minorBidi"/>
            <w:noProof/>
            <w:sz w:val="22"/>
            <w:szCs w:val="22"/>
          </w:rPr>
          <w:tab/>
        </w:r>
        <w:r w:rsidRPr="001B13A4">
          <w:rPr>
            <w:rStyle w:val="Hyperlink"/>
            <w:noProof/>
          </w:rPr>
          <w:t>Part 1 Section 21.2.2.232, x (Left)</w:t>
        </w:r>
        <w:r>
          <w:rPr>
            <w:noProof/>
            <w:webHidden/>
          </w:rPr>
          <w:tab/>
        </w:r>
        <w:r>
          <w:rPr>
            <w:noProof/>
            <w:webHidden/>
          </w:rPr>
          <w:fldChar w:fldCharType="begin"/>
        </w:r>
        <w:r>
          <w:rPr>
            <w:noProof/>
            <w:webHidden/>
          </w:rPr>
          <w:instrText xml:space="preserve"> PAGEREF _Toc181684611 \h </w:instrText>
        </w:r>
        <w:r>
          <w:rPr>
            <w:noProof/>
            <w:webHidden/>
          </w:rPr>
        </w:r>
        <w:r>
          <w:rPr>
            <w:noProof/>
            <w:webHidden/>
          </w:rPr>
          <w:fldChar w:fldCharType="separate"/>
        </w:r>
        <w:r>
          <w:rPr>
            <w:noProof/>
            <w:webHidden/>
          </w:rPr>
          <w:t>582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2" w:history="1">
        <w:r w:rsidRPr="001B13A4">
          <w:rPr>
            <w:rStyle w:val="Hyperlink"/>
            <w:noProof/>
          </w:rPr>
          <w:t>2.1.1576</w:t>
        </w:r>
        <w:r>
          <w:rPr>
            <w:rFonts w:asciiTheme="minorHAnsi" w:eastAsiaTheme="minorEastAsia" w:hAnsiTheme="minorHAnsi" w:cstheme="minorBidi"/>
            <w:noProof/>
            <w:sz w:val="22"/>
            <w:szCs w:val="22"/>
          </w:rPr>
          <w:tab/>
        </w:r>
        <w:r w:rsidRPr="001B13A4">
          <w:rPr>
            <w:rStyle w:val="Hyperlink"/>
            <w:noProof/>
          </w:rPr>
          <w:t>Part 1 Section 21.2.2.233, xMode (Left Mode)</w:t>
        </w:r>
        <w:r>
          <w:rPr>
            <w:noProof/>
            <w:webHidden/>
          </w:rPr>
          <w:tab/>
        </w:r>
        <w:r>
          <w:rPr>
            <w:noProof/>
            <w:webHidden/>
          </w:rPr>
          <w:fldChar w:fldCharType="begin"/>
        </w:r>
        <w:r>
          <w:rPr>
            <w:noProof/>
            <w:webHidden/>
          </w:rPr>
          <w:instrText xml:space="preserve"> PAGEREF _Toc181684612 \h </w:instrText>
        </w:r>
        <w:r>
          <w:rPr>
            <w:noProof/>
            <w:webHidden/>
          </w:rPr>
        </w:r>
        <w:r>
          <w:rPr>
            <w:noProof/>
            <w:webHidden/>
          </w:rPr>
          <w:fldChar w:fldCharType="separate"/>
        </w:r>
        <w:r>
          <w:rPr>
            <w:noProof/>
            <w:webHidden/>
          </w:rPr>
          <w:t>582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3" w:history="1">
        <w:r w:rsidRPr="001B13A4">
          <w:rPr>
            <w:rStyle w:val="Hyperlink"/>
            <w:noProof/>
          </w:rPr>
          <w:t>2.1.1577</w:t>
        </w:r>
        <w:r>
          <w:rPr>
            <w:rFonts w:asciiTheme="minorHAnsi" w:eastAsiaTheme="minorEastAsia" w:hAnsiTheme="minorHAnsi" w:cstheme="minorBidi"/>
            <w:noProof/>
            <w:sz w:val="22"/>
            <w:szCs w:val="22"/>
          </w:rPr>
          <w:tab/>
        </w:r>
        <w:r w:rsidRPr="001B13A4">
          <w:rPr>
            <w:rStyle w:val="Hyperlink"/>
            <w:noProof/>
          </w:rPr>
          <w:t>Part 1 Section 21.2.2.235, y (Top)</w:t>
        </w:r>
        <w:r>
          <w:rPr>
            <w:noProof/>
            <w:webHidden/>
          </w:rPr>
          <w:tab/>
        </w:r>
        <w:r>
          <w:rPr>
            <w:noProof/>
            <w:webHidden/>
          </w:rPr>
          <w:fldChar w:fldCharType="begin"/>
        </w:r>
        <w:r>
          <w:rPr>
            <w:noProof/>
            <w:webHidden/>
          </w:rPr>
          <w:instrText xml:space="preserve"> PAGEREF _Toc181684613 \h </w:instrText>
        </w:r>
        <w:r>
          <w:rPr>
            <w:noProof/>
            <w:webHidden/>
          </w:rPr>
        </w:r>
        <w:r>
          <w:rPr>
            <w:noProof/>
            <w:webHidden/>
          </w:rPr>
          <w:fldChar w:fldCharType="separate"/>
        </w:r>
        <w:r>
          <w:rPr>
            <w:noProof/>
            <w:webHidden/>
          </w:rPr>
          <w:t>582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4" w:history="1">
        <w:r w:rsidRPr="001B13A4">
          <w:rPr>
            <w:rStyle w:val="Hyperlink"/>
            <w:noProof/>
          </w:rPr>
          <w:t>2.1.1578</w:t>
        </w:r>
        <w:r>
          <w:rPr>
            <w:rFonts w:asciiTheme="minorHAnsi" w:eastAsiaTheme="minorEastAsia" w:hAnsiTheme="minorHAnsi" w:cstheme="minorBidi"/>
            <w:noProof/>
            <w:sz w:val="22"/>
            <w:szCs w:val="22"/>
          </w:rPr>
          <w:tab/>
        </w:r>
        <w:r w:rsidRPr="001B13A4">
          <w:rPr>
            <w:rStyle w:val="Hyperlink"/>
            <w:noProof/>
          </w:rPr>
          <w:t>Part 1 Section 21.2.2.236, yMode (Top Mode)</w:t>
        </w:r>
        <w:r>
          <w:rPr>
            <w:noProof/>
            <w:webHidden/>
          </w:rPr>
          <w:tab/>
        </w:r>
        <w:r>
          <w:rPr>
            <w:noProof/>
            <w:webHidden/>
          </w:rPr>
          <w:fldChar w:fldCharType="begin"/>
        </w:r>
        <w:r>
          <w:rPr>
            <w:noProof/>
            <w:webHidden/>
          </w:rPr>
          <w:instrText xml:space="preserve"> PAGEREF _Toc181684614 \h </w:instrText>
        </w:r>
        <w:r>
          <w:rPr>
            <w:noProof/>
            <w:webHidden/>
          </w:rPr>
        </w:r>
        <w:r>
          <w:rPr>
            <w:noProof/>
            <w:webHidden/>
          </w:rPr>
          <w:fldChar w:fldCharType="separate"/>
        </w:r>
        <w:r>
          <w:rPr>
            <w:noProof/>
            <w:webHidden/>
          </w:rPr>
          <w:t>583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5" w:history="1">
        <w:r w:rsidRPr="001B13A4">
          <w:rPr>
            <w:rStyle w:val="Hyperlink"/>
            <w:noProof/>
          </w:rPr>
          <w:t>2.1.1579</w:t>
        </w:r>
        <w:r>
          <w:rPr>
            <w:rFonts w:asciiTheme="minorHAnsi" w:eastAsiaTheme="minorEastAsia" w:hAnsiTheme="minorHAnsi" w:cstheme="minorBidi"/>
            <w:noProof/>
            <w:sz w:val="22"/>
            <w:szCs w:val="22"/>
          </w:rPr>
          <w:tab/>
        </w:r>
        <w:r w:rsidRPr="001B13A4">
          <w:rPr>
            <w:rStyle w:val="Hyperlink"/>
            <w:noProof/>
          </w:rPr>
          <w:t>Part 1 Section 21.2.3.1, ST_AxisUnit (Axis Unit)</w:t>
        </w:r>
        <w:r>
          <w:rPr>
            <w:noProof/>
            <w:webHidden/>
          </w:rPr>
          <w:tab/>
        </w:r>
        <w:r>
          <w:rPr>
            <w:noProof/>
            <w:webHidden/>
          </w:rPr>
          <w:fldChar w:fldCharType="begin"/>
        </w:r>
        <w:r>
          <w:rPr>
            <w:noProof/>
            <w:webHidden/>
          </w:rPr>
          <w:instrText xml:space="preserve"> PAGEREF _Toc181684615 \h </w:instrText>
        </w:r>
        <w:r>
          <w:rPr>
            <w:noProof/>
            <w:webHidden/>
          </w:rPr>
        </w:r>
        <w:r>
          <w:rPr>
            <w:noProof/>
            <w:webHidden/>
          </w:rPr>
          <w:fldChar w:fldCharType="separate"/>
        </w:r>
        <w:r>
          <w:rPr>
            <w:noProof/>
            <w:webHidden/>
          </w:rPr>
          <w:t>583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6" w:history="1">
        <w:r w:rsidRPr="001B13A4">
          <w:rPr>
            <w:rStyle w:val="Hyperlink"/>
            <w:noProof/>
          </w:rPr>
          <w:t>2.1.1580</w:t>
        </w:r>
        <w:r>
          <w:rPr>
            <w:rFonts w:asciiTheme="minorHAnsi" w:eastAsiaTheme="minorEastAsia" w:hAnsiTheme="minorHAnsi" w:cstheme="minorBidi"/>
            <w:noProof/>
            <w:sz w:val="22"/>
            <w:szCs w:val="22"/>
          </w:rPr>
          <w:tab/>
        </w:r>
        <w:r w:rsidRPr="001B13A4">
          <w:rPr>
            <w:rStyle w:val="Hyperlink"/>
            <w:noProof/>
          </w:rPr>
          <w:t>Part 1 Section 21.2.3.3, ST_BarDir (Bar Direction)</w:t>
        </w:r>
        <w:r>
          <w:rPr>
            <w:noProof/>
            <w:webHidden/>
          </w:rPr>
          <w:tab/>
        </w:r>
        <w:r>
          <w:rPr>
            <w:noProof/>
            <w:webHidden/>
          </w:rPr>
          <w:fldChar w:fldCharType="begin"/>
        </w:r>
        <w:r>
          <w:rPr>
            <w:noProof/>
            <w:webHidden/>
          </w:rPr>
          <w:instrText xml:space="preserve"> PAGEREF _Toc181684616 \h </w:instrText>
        </w:r>
        <w:r>
          <w:rPr>
            <w:noProof/>
            <w:webHidden/>
          </w:rPr>
        </w:r>
        <w:r>
          <w:rPr>
            <w:noProof/>
            <w:webHidden/>
          </w:rPr>
          <w:fldChar w:fldCharType="separate"/>
        </w:r>
        <w:r>
          <w:rPr>
            <w:noProof/>
            <w:webHidden/>
          </w:rPr>
          <w:t>583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7" w:history="1">
        <w:r w:rsidRPr="001B13A4">
          <w:rPr>
            <w:rStyle w:val="Hyperlink"/>
            <w:noProof/>
          </w:rPr>
          <w:t>2.1.1581</w:t>
        </w:r>
        <w:r>
          <w:rPr>
            <w:rFonts w:asciiTheme="minorHAnsi" w:eastAsiaTheme="minorEastAsia" w:hAnsiTheme="minorHAnsi" w:cstheme="minorBidi"/>
            <w:noProof/>
            <w:sz w:val="22"/>
            <w:szCs w:val="22"/>
          </w:rPr>
          <w:tab/>
        </w:r>
        <w:r w:rsidRPr="001B13A4">
          <w:rPr>
            <w:rStyle w:val="Hyperlink"/>
            <w:noProof/>
          </w:rPr>
          <w:t>Part 1 Section 21.2.3.4, ST_BarGrouping (Bar Grouping)</w:t>
        </w:r>
        <w:r>
          <w:rPr>
            <w:noProof/>
            <w:webHidden/>
          </w:rPr>
          <w:tab/>
        </w:r>
        <w:r>
          <w:rPr>
            <w:noProof/>
            <w:webHidden/>
          </w:rPr>
          <w:fldChar w:fldCharType="begin"/>
        </w:r>
        <w:r>
          <w:rPr>
            <w:noProof/>
            <w:webHidden/>
          </w:rPr>
          <w:instrText xml:space="preserve"> PAGEREF _Toc181684617 \h </w:instrText>
        </w:r>
        <w:r>
          <w:rPr>
            <w:noProof/>
            <w:webHidden/>
          </w:rPr>
        </w:r>
        <w:r>
          <w:rPr>
            <w:noProof/>
            <w:webHidden/>
          </w:rPr>
          <w:fldChar w:fldCharType="separate"/>
        </w:r>
        <w:r>
          <w:rPr>
            <w:noProof/>
            <w:webHidden/>
          </w:rPr>
          <w:t>583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8" w:history="1">
        <w:r w:rsidRPr="001B13A4">
          <w:rPr>
            <w:rStyle w:val="Hyperlink"/>
            <w:noProof/>
          </w:rPr>
          <w:t>2.1.1582</w:t>
        </w:r>
        <w:r>
          <w:rPr>
            <w:rFonts w:asciiTheme="minorHAnsi" w:eastAsiaTheme="minorEastAsia" w:hAnsiTheme="minorHAnsi" w:cstheme="minorBidi"/>
            <w:noProof/>
            <w:sz w:val="22"/>
            <w:szCs w:val="22"/>
          </w:rPr>
          <w:tab/>
        </w:r>
        <w:r w:rsidRPr="001B13A4">
          <w:rPr>
            <w:rStyle w:val="Hyperlink"/>
            <w:noProof/>
          </w:rPr>
          <w:t>Part 1 Section 21.2.3.6, ST_BuiltInUnit (Built-In Unit)</w:t>
        </w:r>
        <w:r>
          <w:rPr>
            <w:noProof/>
            <w:webHidden/>
          </w:rPr>
          <w:tab/>
        </w:r>
        <w:r>
          <w:rPr>
            <w:noProof/>
            <w:webHidden/>
          </w:rPr>
          <w:fldChar w:fldCharType="begin"/>
        </w:r>
        <w:r>
          <w:rPr>
            <w:noProof/>
            <w:webHidden/>
          </w:rPr>
          <w:instrText xml:space="preserve"> PAGEREF _Toc181684618 \h </w:instrText>
        </w:r>
        <w:r>
          <w:rPr>
            <w:noProof/>
            <w:webHidden/>
          </w:rPr>
        </w:r>
        <w:r>
          <w:rPr>
            <w:noProof/>
            <w:webHidden/>
          </w:rPr>
          <w:fldChar w:fldCharType="separate"/>
        </w:r>
        <w:r>
          <w:rPr>
            <w:noProof/>
            <w:webHidden/>
          </w:rPr>
          <w:t>583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19" w:history="1">
        <w:r w:rsidRPr="001B13A4">
          <w:rPr>
            <w:rStyle w:val="Hyperlink"/>
            <w:noProof/>
          </w:rPr>
          <w:t>2.1.1583</w:t>
        </w:r>
        <w:r>
          <w:rPr>
            <w:rFonts w:asciiTheme="minorHAnsi" w:eastAsiaTheme="minorEastAsia" w:hAnsiTheme="minorHAnsi" w:cstheme="minorBidi"/>
            <w:noProof/>
            <w:sz w:val="22"/>
            <w:szCs w:val="22"/>
          </w:rPr>
          <w:tab/>
        </w:r>
        <w:r w:rsidRPr="001B13A4">
          <w:rPr>
            <w:rStyle w:val="Hyperlink"/>
            <w:noProof/>
          </w:rPr>
          <w:t>Part 1 Section 21.2.3.8, ST_Crosses (Crosses)</w:t>
        </w:r>
        <w:r>
          <w:rPr>
            <w:noProof/>
            <w:webHidden/>
          </w:rPr>
          <w:tab/>
        </w:r>
        <w:r>
          <w:rPr>
            <w:noProof/>
            <w:webHidden/>
          </w:rPr>
          <w:fldChar w:fldCharType="begin"/>
        </w:r>
        <w:r>
          <w:rPr>
            <w:noProof/>
            <w:webHidden/>
          </w:rPr>
          <w:instrText xml:space="preserve"> PAGEREF _Toc181684619 \h </w:instrText>
        </w:r>
        <w:r>
          <w:rPr>
            <w:noProof/>
            <w:webHidden/>
          </w:rPr>
        </w:r>
        <w:r>
          <w:rPr>
            <w:noProof/>
            <w:webHidden/>
          </w:rPr>
          <w:fldChar w:fldCharType="separate"/>
        </w:r>
        <w:r>
          <w:rPr>
            <w:noProof/>
            <w:webHidden/>
          </w:rPr>
          <w:t>583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0" w:history="1">
        <w:r w:rsidRPr="001B13A4">
          <w:rPr>
            <w:rStyle w:val="Hyperlink"/>
            <w:noProof/>
          </w:rPr>
          <w:t>2.1.1584</w:t>
        </w:r>
        <w:r>
          <w:rPr>
            <w:rFonts w:asciiTheme="minorHAnsi" w:eastAsiaTheme="minorEastAsia" w:hAnsiTheme="minorHAnsi" w:cstheme="minorBidi"/>
            <w:noProof/>
            <w:sz w:val="22"/>
            <w:szCs w:val="22"/>
          </w:rPr>
          <w:tab/>
        </w:r>
        <w:r w:rsidRPr="001B13A4">
          <w:rPr>
            <w:rStyle w:val="Hyperlink"/>
            <w:noProof/>
          </w:rPr>
          <w:t>Part 1 Section 21.2.3.14, ST_ErrValType (Error Value Type)</w:t>
        </w:r>
        <w:r>
          <w:rPr>
            <w:noProof/>
            <w:webHidden/>
          </w:rPr>
          <w:tab/>
        </w:r>
        <w:r>
          <w:rPr>
            <w:noProof/>
            <w:webHidden/>
          </w:rPr>
          <w:fldChar w:fldCharType="begin"/>
        </w:r>
        <w:r>
          <w:rPr>
            <w:noProof/>
            <w:webHidden/>
          </w:rPr>
          <w:instrText xml:space="preserve"> PAGEREF _Toc181684620 \h </w:instrText>
        </w:r>
        <w:r>
          <w:rPr>
            <w:noProof/>
            <w:webHidden/>
          </w:rPr>
        </w:r>
        <w:r>
          <w:rPr>
            <w:noProof/>
            <w:webHidden/>
          </w:rPr>
          <w:fldChar w:fldCharType="separate"/>
        </w:r>
        <w:r>
          <w:rPr>
            <w:noProof/>
            <w:webHidden/>
          </w:rPr>
          <w:t>584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1" w:history="1">
        <w:r w:rsidRPr="001B13A4">
          <w:rPr>
            <w:rStyle w:val="Hyperlink"/>
            <w:noProof/>
          </w:rPr>
          <w:t>2.1.1585</w:t>
        </w:r>
        <w:r>
          <w:rPr>
            <w:rFonts w:asciiTheme="minorHAnsi" w:eastAsiaTheme="minorEastAsia" w:hAnsiTheme="minorHAnsi" w:cstheme="minorBidi"/>
            <w:noProof/>
            <w:sz w:val="22"/>
            <w:szCs w:val="22"/>
          </w:rPr>
          <w:tab/>
        </w:r>
        <w:r w:rsidRPr="001B13A4">
          <w:rPr>
            <w:rStyle w:val="Hyperlink"/>
            <w:noProof/>
          </w:rPr>
          <w:t>Part 1 Section 21.2.3.17, ST_Grouping (Grouping)</w:t>
        </w:r>
        <w:r>
          <w:rPr>
            <w:noProof/>
            <w:webHidden/>
          </w:rPr>
          <w:tab/>
        </w:r>
        <w:r>
          <w:rPr>
            <w:noProof/>
            <w:webHidden/>
          </w:rPr>
          <w:fldChar w:fldCharType="begin"/>
        </w:r>
        <w:r>
          <w:rPr>
            <w:noProof/>
            <w:webHidden/>
          </w:rPr>
          <w:instrText xml:space="preserve"> PAGEREF _Toc181684621 \h </w:instrText>
        </w:r>
        <w:r>
          <w:rPr>
            <w:noProof/>
            <w:webHidden/>
          </w:rPr>
        </w:r>
        <w:r>
          <w:rPr>
            <w:noProof/>
            <w:webHidden/>
          </w:rPr>
          <w:fldChar w:fldCharType="separate"/>
        </w:r>
        <w:r>
          <w:rPr>
            <w:noProof/>
            <w:webHidden/>
          </w:rPr>
          <w:t>584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2" w:history="1">
        <w:r w:rsidRPr="001B13A4">
          <w:rPr>
            <w:rStyle w:val="Hyperlink"/>
            <w:noProof/>
          </w:rPr>
          <w:t>2.1.1586</w:t>
        </w:r>
        <w:r>
          <w:rPr>
            <w:rFonts w:asciiTheme="minorHAnsi" w:eastAsiaTheme="minorEastAsia" w:hAnsiTheme="minorHAnsi" w:cstheme="minorBidi"/>
            <w:noProof/>
            <w:sz w:val="22"/>
            <w:szCs w:val="22"/>
          </w:rPr>
          <w:tab/>
        </w:r>
        <w:r w:rsidRPr="001B13A4">
          <w:rPr>
            <w:rStyle w:val="Hyperlink"/>
            <w:noProof/>
          </w:rPr>
          <w:t>Part 1 Section 21.2.3.18, ST_HoleSize (Hole Size)</w:t>
        </w:r>
        <w:r>
          <w:rPr>
            <w:noProof/>
            <w:webHidden/>
          </w:rPr>
          <w:tab/>
        </w:r>
        <w:r>
          <w:rPr>
            <w:noProof/>
            <w:webHidden/>
          </w:rPr>
          <w:fldChar w:fldCharType="begin"/>
        </w:r>
        <w:r>
          <w:rPr>
            <w:noProof/>
            <w:webHidden/>
          </w:rPr>
          <w:instrText xml:space="preserve"> PAGEREF _Toc181684622 \h </w:instrText>
        </w:r>
        <w:r>
          <w:rPr>
            <w:noProof/>
            <w:webHidden/>
          </w:rPr>
        </w:r>
        <w:r>
          <w:rPr>
            <w:noProof/>
            <w:webHidden/>
          </w:rPr>
          <w:fldChar w:fldCharType="separate"/>
        </w:r>
        <w:r>
          <w:rPr>
            <w:noProof/>
            <w:webHidden/>
          </w:rPr>
          <w:t>584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3" w:history="1">
        <w:r w:rsidRPr="001B13A4">
          <w:rPr>
            <w:rStyle w:val="Hyperlink"/>
            <w:noProof/>
          </w:rPr>
          <w:t>2.1.1587</w:t>
        </w:r>
        <w:r>
          <w:rPr>
            <w:rFonts w:asciiTheme="minorHAnsi" w:eastAsiaTheme="minorEastAsia" w:hAnsiTheme="minorHAnsi" w:cstheme="minorBidi"/>
            <w:noProof/>
            <w:sz w:val="22"/>
            <w:szCs w:val="22"/>
          </w:rPr>
          <w:tab/>
        </w:r>
        <w:r w:rsidRPr="001B13A4">
          <w:rPr>
            <w:rStyle w:val="Hyperlink"/>
            <w:noProof/>
          </w:rPr>
          <w:t>Part 1 Section 21.2.3.20, ST_LayoutMode (Layout Mode)</w:t>
        </w:r>
        <w:r>
          <w:rPr>
            <w:noProof/>
            <w:webHidden/>
          </w:rPr>
          <w:tab/>
        </w:r>
        <w:r>
          <w:rPr>
            <w:noProof/>
            <w:webHidden/>
          </w:rPr>
          <w:fldChar w:fldCharType="begin"/>
        </w:r>
        <w:r>
          <w:rPr>
            <w:noProof/>
            <w:webHidden/>
          </w:rPr>
          <w:instrText xml:space="preserve"> PAGEREF _Toc181684623 \h </w:instrText>
        </w:r>
        <w:r>
          <w:rPr>
            <w:noProof/>
            <w:webHidden/>
          </w:rPr>
        </w:r>
        <w:r>
          <w:rPr>
            <w:noProof/>
            <w:webHidden/>
          </w:rPr>
          <w:fldChar w:fldCharType="separate"/>
        </w:r>
        <w:r>
          <w:rPr>
            <w:noProof/>
            <w:webHidden/>
          </w:rPr>
          <w:t>584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4" w:history="1">
        <w:r w:rsidRPr="001B13A4">
          <w:rPr>
            <w:rStyle w:val="Hyperlink"/>
            <w:noProof/>
          </w:rPr>
          <w:t>2.1.1588</w:t>
        </w:r>
        <w:r>
          <w:rPr>
            <w:rFonts w:asciiTheme="minorHAnsi" w:eastAsiaTheme="minorEastAsia" w:hAnsiTheme="minorHAnsi" w:cstheme="minorBidi"/>
            <w:noProof/>
            <w:sz w:val="22"/>
            <w:szCs w:val="22"/>
          </w:rPr>
          <w:tab/>
        </w:r>
        <w:r w:rsidRPr="001B13A4">
          <w:rPr>
            <w:rStyle w:val="Hyperlink"/>
            <w:noProof/>
          </w:rPr>
          <w:t>Part 1 Section 21.2.3.27, ST_MarkerStyle (Marker Style)</w:t>
        </w:r>
        <w:r>
          <w:rPr>
            <w:noProof/>
            <w:webHidden/>
          </w:rPr>
          <w:tab/>
        </w:r>
        <w:r>
          <w:rPr>
            <w:noProof/>
            <w:webHidden/>
          </w:rPr>
          <w:fldChar w:fldCharType="begin"/>
        </w:r>
        <w:r>
          <w:rPr>
            <w:noProof/>
            <w:webHidden/>
          </w:rPr>
          <w:instrText xml:space="preserve"> PAGEREF _Toc181684624 \h </w:instrText>
        </w:r>
        <w:r>
          <w:rPr>
            <w:noProof/>
            <w:webHidden/>
          </w:rPr>
        </w:r>
        <w:r>
          <w:rPr>
            <w:noProof/>
            <w:webHidden/>
          </w:rPr>
          <w:fldChar w:fldCharType="separate"/>
        </w:r>
        <w:r>
          <w:rPr>
            <w:noProof/>
            <w:webHidden/>
          </w:rPr>
          <w:t>584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5" w:history="1">
        <w:r w:rsidRPr="001B13A4">
          <w:rPr>
            <w:rStyle w:val="Hyperlink"/>
            <w:noProof/>
          </w:rPr>
          <w:t>2.1.1589</w:t>
        </w:r>
        <w:r>
          <w:rPr>
            <w:rFonts w:asciiTheme="minorHAnsi" w:eastAsiaTheme="minorEastAsia" w:hAnsiTheme="minorHAnsi" w:cstheme="minorBidi"/>
            <w:noProof/>
            <w:sz w:val="22"/>
            <w:szCs w:val="22"/>
          </w:rPr>
          <w:tab/>
        </w:r>
        <w:r w:rsidRPr="001B13A4">
          <w:rPr>
            <w:rStyle w:val="Hyperlink"/>
            <w:noProof/>
          </w:rPr>
          <w:t>Part 1 Section 21.2.3.30, ST_Orientation (Orientation)</w:t>
        </w:r>
        <w:r>
          <w:rPr>
            <w:noProof/>
            <w:webHidden/>
          </w:rPr>
          <w:tab/>
        </w:r>
        <w:r>
          <w:rPr>
            <w:noProof/>
            <w:webHidden/>
          </w:rPr>
          <w:fldChar w:fldCharType="begin"/>
        </w:r>
        <w:r>
          <w:rPr>
            <w:noProof/>
            <w:webHidden/>
          </w:rPr>
          <w:instrText xml:space="preserve"> PAGEREF _Toc181684625 \h </w:instrText>
        </w:r>
        <w:r>
          <w:rPr>
            <w:noProof/>
            <w:webHidden/>
          </w:rPr>
        </w:r>
        <w:r>
          <w:rPr>
            <w:noProof/>
            <w:webHidden/>
          </w:rPr>
          <w:fldChar w:fldCharType="separate"/>
        </w:r>
        <w:r>
          <w:rPr>
            <w:noProof/>
            <w:webHidden/>
          </w:rPr>
          <w:t>585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6" w:history="1">
        <w:r w:rsidRPr="001B13A4">
          <w:rPr>
            <w:rStyle w:val="Hyperlink"/>
            <w:noProof/>
          </w:rPr>
          <w:t>2.1.1590</w:t>
        </w:r>
        <w:r>
          <w:rPr>
            <w:rFonts w:asciiTheme="minorHAnsi" w:eastAsiaTheme="minorEastAsia" w:hAnsiTheme="minorHAnsi" w:cstheme="minorBidi"/>
            <w:noProof/>
            <w:sz w:val="22"/>
            <w:szCs w:val="22"/>
          </w:rPr>
          <w:tab/>
        </w:r>
        <w:r w:rsidRPr="001B13A4">
          <w:rPr>
            <w:rStyle w:val="Hyperlink"/>
            <w:noProof/>
          </w:rPr>
          <w:t>Part 1 Section 21.2.3.33, ST_Period (Period)</w:t>
        </w:r>
        <w:r>
          <w:rPr>
            <w:noProof/>
            <w:webHidden/>
          </w:rPr>
          <w:tab/>
        </w:r>
        <w:r>
          <w:rPr>
            <w:noProof/>
            <w:webHidden/>
          </w:rPr>
          <w:fldChar w:fldCharType="begin"/>
        </w:r>
        <w:r>
          <w:rPr>
            <w:noProof/>
            <w:webHidden/>
          </w:rPr>
          <w:instrText xml:space="preserve"> PAGEREF _Toc181684626 \h </w:instrText>
        </w:r>
        <w:r>
          <w:rPr>
            <w:noProof/>
            <w:webHidden/>
          </w:rPr>
        </w:r>
        <w:r>
          <w:rPr>
            <w:noProof/>
            <w:webHidden/>
          </w:rPr>
          <w:fldChar w:fldCharType="separate"/>
        </w:r>
        <w:r>
          <w:rPr>
            <w:noProof/>
            <w:webHidden/>
          </w:rPr>
          <w:t>585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7" w:history="1">
        <w:r w:rsidRPr="001B13A4">
          <w:rPr>
            <w:rStyle w:val="Hyperlink"/>
            <w:noProof/>
          </w:rPr>
          <w:t>2.1.1591</w:t>
        </w:r>
        <w:r>
          <w:rPr>
            <w:rFonts w:asciiTheme="minorHAnsi" w:eastAsiaTheme="minorEastAsia" w:hAnsiTheme="minorHAnsi" w:cstheme="minorBidi"/>
            <w:noProof/>
            <w:sz w:val="22"/>
            <w:szCs w:val="22"/>
          </w:rPr>
          <w:tab/>
        </w:r>
        <w:r w:rsidRPr="001B13A4">
          <w:rPr>
            <w:rStyle w:val="Hyperlink"/>
            <w:noProof/>
          </w:rPr>
          <w:t>Part 1 Section 21.2.3.34, ST_Perspective (Perspective)</w:t>
        </w:r>
        <w:r>
          <w:rPr>
            <w:noProof/>
            <w:webHidden/>
          </w:rPr>
          <w:tab/>
        </w:r>
        <w:r>
          <w:rPr>
            <w:noProof/>
            <w:webHidden/>
          </w:rPr>
          <w:fldChar w:fldCharType="begin"/>
        </w:r>
        <w:r>
          <w:rPr>
            <w:noProof/>
            <w:webHidden/>
          </w:rPr>
          <w:instrText xml:space="preserve"> PAGEREF _Toc181684627 \h </w:instrText>
        </w:r>
        <w:r>
          <w:rPr>
            <w:noProof/>
            <w:webHidden/>
          </w:rPr>
        </w:r>
        <w:r>
          <w:rPr>
            <w:noProof/>
            <w:webHidden/>
          </w:rPr>
          <w:fldChar w:fldCharType="separate"/>
        </w:r>
        <w:r>
          <w:rPr>
            <w:noProof/>
            <w:webHidden/>
          </w:rPr>
          <w:t>585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8" w:history="1">
        <w:r w:rsidRPr="001B13A4">
          <w:rPr>
            <w:rStyle w:val="Hyperlink"/>
            <w:noProof/>
          </w:rPr>
          <w:t>2.1.1592</w:t>
        </w:r>
        <w:r>
          <w:rPr>
            <w:rFonts w:asciiTheme="minorHAnsi" w:eastAsiaTheme="minorEastAsia" w:hAnsiTheme="minorHAnsi" w:cstheme="minorBidi"/>
            <w:noProof/>
            <w:sz w:val="22"/>
            <w:szCs w:val="22"/>
          </w:rPr>
          <w:tab/>
        </w:r>
        <w:r w:rsidRPr="001B13A4">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_Toc181684628 \h </w:instrText>
        </w:r>
        <w:r>
          <w:rPr>
            <w:noProof/>
            <w:webHidden/>
          </w:rPr>
        </w:r>
        <w:r>
          <w:rPr>
            <w:noProof/>
            <w:webHidden/>
          </w:rPr>
          <w:fldChar w:fldCharType="separate"/>
        </w:r>
        <w:r>
          <w:rPr>
            <w:noProof/>
            <w:webHidden/>
          </w:rPr>
          <w:t>585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29" w:history="1">
        <w:r w:rsidRPr="001B13A4">
          <w:rPr>
            <w:rStyle w:val="Hyperlink"/>
            <w:noProof/>
          </w:rPr>
          <w:t>2.1.1593</w:t>
        </w:r>
        <w:r>
          <w:rPr>
            <w:rFonts w:asciiTheme="minorHAnsi" w:eastAsiaTheme="minorEastAsia" w:hAnsiTheme="minorHAnsi" w:cstheme="minorBidi"/>
            <w:noProof/>
            <w:sz w:val="22"/>
            <w:szCs w:val="22"/>
          </w:rPr>
          <w:tab/>
        </w:r>
        <w:r w:rsidRPr="001B13A4">
          <w:rPr>
            <w:rStyle w:val="Hyperlink"/>
            <w:noProof/>
          </w:rPr>
          <w:t>Part 1 Section 21.2.3.37, ST_RadarStyle (Radar Style)</w:t>
        </w:r>
        <w:r>
          <w:rPr>
            <w:noProof/>
            <w:webHidden/>
          </w:rPr>
          <w:tab/>
        </w:r>
        <w:r>
          <w:rPr>
            <w:noProof/>
            <w:webHidden/>
          </w:rPr>
          <w:fldChar w:fldCharType="begin"/>
        </w:r>
        <w:r>
          <w:rPr>
            <w:noProof/>
            <w:webHidden/>
          </w:rPr>
          <w:instrText xml:space="preserve"> PAGEREF _Toc181684629 \h </w:instrText>
        </w:r>
        <w:r>
          <w:rPr>
            <w:noProof/>
            <w:webHidden/>
          </w:rPr>
        </w:r>
        <w:r>
          <w:rPr>
            <w:noProof/>
            <w:webHidden/>
          </w:rPr>
          <w:fldChar w:fldCharType="separate"/>
        </w:r>
        <w:r>
          <w:rPr>
            <w:noProof/>
            <w:webHidden/>
          </w:rPr>
          <w:t>585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0" w:history="1">
        <w:r w:rsidRPr="001B13A4">
          <w:rPr>
            <w:rStyle w:val="Hyperlink"/>
            <w:noProof/>
          </w:rPr>
          <w:t>2.1.1594</w:t>
        </w:r>
        <w:r>
          <w:rPr>
            <w:rFonts w:asciiTheme="minorHAnsi" w:eastAsiaTheme="minorEastAsia" w:hAnsiTheme="minorHAnsi" w:cstheme="minorBidi"/>
            <w:noProof/>
            <w:sz w:val="22"/>
            <w:szCs w:val="22"/>
          </w:rPr>
          <w:tab/>
        </w:r>
        <w:r w:rsidRPr="001B13A4">
          <w:rPr>
            <w:rStyle w:val="Hyperlink"/>
            <w:noProof/>
          </w:rPr>
          <w:t>Part 1 Section 21.2.3.40, ST_ScatterStyle (Scatter Style)</w:t>
        </w:r>
        <w:r>
          <w:rPr>
            <w:noProof/>
            <w:webHidden/>
          </w:rPr>
          <w:tab/>
        </w:r>
        <w:r>
          <w:rPr>
            <w:noProof/>
            <w:webHidden/>
          </w:rPr>
          <w:fldChar w:fldCharType="begin"/>
        </w:r>
        <w:r>
          <w:rPr>
            <w:noProof/>
            <w:webHidden/>
          </w:rPr>
          <w:instrText xml:space="preserve"> PAGEREF _Toc181684630 \h </w:instrText>
        </w:r>
        <w:r>
          <w:rPr>
            <w:noProof/>
            <w:webHidden/>
          </w:rPr>
        </w:r>
        <w:r>
          <w:rPr>
            <w:noProof/>
            <w:webHidden/>
          </w:rPr>
          <w:fldChar w:fldCharType="separate"/>
        </w:r>
        <w:r>
          <w:rPr>
            <w:noProof/>
            <w:webHidden/>
          </w:rPr>
          <w:t>585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1" w:history="1">
        <w:r w:rsidRPr="001B13A4">
          <w:rPr>
            <w:rStyle w:val="Hyperlink"/>
            <w:noProof/>
          </w:rPr>
          <w:t>2.1.1595</w:t>
        </w:r>
        <w:r>
          <w:rPr>
            <w:rFonts w:asciiTheme="minorHAnsi" w:eastAsiaTheme="minorEastAsia" w:hAnsiTheme="minorHAnsi" w:cstheme="minorBidi"/>
            <w:noProof/>
            <w:sz w:val="22"/>
            <w:szCs w:val="22"/>
          </w:rPr>
          <w:tab/>
        </w:r>
        <w:r w:rsidRPr="001B13A4">
          <w:rPr>
            <w:rStyle w:val="Hyperlink"/>
            <w:noProof/>
          </w:rPr>
          <w:t>Part 1 Section 21.2.3.42, ST_Shape (Shape)</w:t>
        </w:r>
        <w:r>
          <w:rPr>
            <w:noProof/>
            <w:webHidden/>
          </w:rPr>
          <w:tab/>
        </w:r>
        <w:r>
          <w:rPr>
            <w:noProof/>
            <w:webHidden/>
          </w:rPr>
          <w:fldChar w:fldCharType="begin"/>
        </w:r>
        <w:r>
          <w:rPr>
            <w:noProof/>
            <w:webHidden/>
          </w:rPr>
          <w:instrText xml:space="preserve"> PAGEREF _Toc181684631 \h </w:instrText>
        </w:r>
        <w:r>
          <w:rPr>
            <w:noProof/>
            <w:webHidden/>
          </w:rPr>
        </w:r>
        <w:r>
          <w:rPr>
            <w:noProof/>
            <w:webHidden/>
          </w:rPr>
          <w:fldChar w:fldCharType="separate"/>
        </w:r>
        <w:r>
          <w:rPr>
            <w:noProof/>
            <w:webHidden/>
          </w:rPr>
          <w:t>586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2" w:history="1">
        <w:r w:rsidRPr="001B13A4">
          <w:rPr>
            <w:rStyle w:val="Hyperlink"/>
            <w:noProof/>
          </w:rPr>
          <w:t>2.1.1596</w:t>
        </w:r>
        <w:r>
          <w:rPr>
            <w:rFonts w:asciiTheme="minorHAnsi" w:eastAsiaTheme="minorEastAsia" w:hAnsiTheme="minorHAnsi" w:cstheme="minorBidi"/>
            <w:noProof/>
            <w:sz w:val="22"/>
            <w:szCs w:val="22"/>
          </w:rPr>
          <w:tab/>
        </w:r>
        <w:r w:rsidRPr="001B13A4">
          <w:rPr>
            <w:rStyle w:val="Hyperlink"/>
            <w:noProof/>
          </w:rPr>
          <w:t>Part 1 Section 21.2.3.44, ST_Skip (Skip)</w:t>
        </w:r>
        <w:r>
          <w:rPr>
            <w:noProof/>
            <w:webHidden/>
          </w:rPr>
          <w:tab/>
        </w:r>
        <w:r>
          <w:rPr>
            <w:noProof/>
            <w:webHidden/>
          </w:rPr>
          <w:fldChar w:fldCharType="begin"/>
        </w:r>
        <w:r>
          <w:rPr>
            <w:noProof/>
            <w:webHidden/>
          </w:rPr>
          <w:instrText xml:space="preserve"> PAGEREF _Toc181684632 \h </w:instrText>
        </w:r>
        <w:r>
          <w:rPr>
            <w:noProof/>
            <w:webHidden/>
          </w:rPr>
        </w:r>
        <w:r>
          <w:rPr>
            <w:noProof/>
            <w:webHidden/>
          </w:rPr>
          <w:fldChar w:fldCharType="separate"/>
        </w:r>
        <w:r>
          <w:rPr>
            <w:noProof/>
            <w:webHidden/>
          </w:rPr>
          <w:t>586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3" w:history="1">
        <w:r w:rsidRPr="001B13A4">
          <w:rPr>
            <w:rStyle w:val="Hyperlink"/>
            <w:noProof/>
          </w:rPr>
          <w:t>2.1.1597</w:t>
        </w:r>
        <w:r>
          <w:rPr>
            <w:rFonts w:asciiTheme="minorHAnsi" w:eastAsiaTheme="minorEastAsia" w:hAnsiTheme="minorHAnsi" w:cstheme="minorBidi"/>
            <w:noProof/>
            <w:sz w:val="22"/>
            <w:szCs w:val="22"/>
          </w:rPr>
          <w:tab/>
        </w:r>
        <w:r w:rsidRPr="001B13A4">
          <w:rPr>
            <w:rStyle w:val="Hyperlink"/>
            <w:noProof/>
          </w:rPr>
          <w:t>Part 1 Section 21.2.3.45, ST_SplitType (Split Type)</w:t>
        </w:r>
        <w:r>
          <w:rPr>
            <w:noProof/>
            <w:webHidden/>
          </w:rPr>
          <w:tab/>
        </w:r>
        <w:r>
          <w:rPr>
            <w:noProof/>
            <w:webHidden/>
          </w:rPr>
          <w:fldChar w:fldCharType="begin"/>
        </w:r>
        <w:r>
          <w:rPr>
            <w:noProof/>
            <w:webHidden/>
          </w:rPr>
          <w:instrText xml:space="preserve"> PAGEREF _Toc181684633 \h </w:instrText>
        </w:r>
        <w:r>
          <w:rPr>
            <w:noProof/>
            <w:webHidden/>
          </w:rPr>
        </w:r>
        <w:r>
          <w:rPr>
            <w:noProof/>
            <w:webHidden/>
          </w:rPr>
          <w:fldChar w:fldCharType="separate"/>
        </w:r>
        <w:r>
          <w:rPr>
            <w:noProof/>
            <w:webHidden/>
          </w:rPr>
          <w:t>586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4" w:history="1">
        <w:r w:rsidRPr="001B13A4">
          <w:rPr>
            <w:rStyle w:val="Hyperlink"/>
            <w:noProof/>
          </w:rPr>
          <w:t>2.1.1598</w:t>
        </w:r>
        <w:r>
          <w:rPr>
            <w:rFonts w:asciiTheme="minorHAnsi" w:eastAsiaTheme="minorEastAsia" w:hAnsiTheme="minorHAnsi" w:cstheme="minorBidi"/>
            <w:noProof/>
            <w:sz w:val="22"/>
            <w:szCs w:val="22"/>
          </w:rPr>
          <w:tab/>
        </w:r>
        <w:r w:rsidRPr="001B13A4">
          <w:rPr>
            <w:rStyle w:val="Hyperlink"/>
            <w:noProof/>
          </w:rPr>
          <w:t>Part 1 Section 21.2.3.46, ST_Style (Style)</w:t>
        </w:r>
        <w:r>
          <w:rPr>
            <w:noProof/>
            <w:webHidden/>
          </w:rPr>
          <w:tab/>
        </w:r>
        <w:r>
          <w:rPr>
            <w:noProof/>
            <w:webHidden/>
          </w:rPr>
          <w:fldChar w:fldCharType="begin"/>
        </w:r>
        <w:r>
          <w:rPr>
            <w:noProof/>
            <w:webHidden/>
          </w:rPr>
          <w:instrText xml:space="preserve"> PAGEREF _Toc181684634 \h </w:instrText>
        </w:r>
        <w:r>
          <w:rPr>
            <w:noProof/>
            <w:webHidden/>
          </w:rPr>
        </w:r>
        <w:r>
          <w:rPr>
            <w:noProof/>
            <w:webHidden/>
          </w:rPr>
          <w:fldChar w:fldCharType="separate"/>
        </w:r>
        <w:r>
          <w:rPr>
            <w:noProof/>
            <w:webHidden/>
          </w:rPr>
          <w:t>586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5" w:history="1">
        <w:r w:rsidRPr="001B13A4">
          <w:rPr>
            <w:rStyle w:val="Hyperlink"/>
            <w:noProof/>
          </w:rPr>
          <w:t>2.1.1599</w:t>
        </w:r>
        <w:r>
          <w:rPr>
            <w:rFonts w:asciiTheme="minorHAnsi" w:eastAsiaTheme="minorEastAsia" w:hAnsiTheme="minorHAnsi" w:cstheme="minorBidi"/>
            <w:noProof/>
            <w:sz w:val="22"/>
            <w:szCs w:val="22"/>
          </w:rPr>
          <w:tab/>
        </w:r>
        <w:r w:rsidRPr="001B13A4">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_Toc181684635 \h </w:instrText>
        </w:r>
        <w:r>
          <w:rPr>
            <w:noProof/>
            <w:webHidden/>
          </w:rPr>
        </w:r>
        <w:r>
          <w:rPr>
            <w:noProof/>
            <w:webHidden/>
          </w:rPr>
          <w:fldChar w:fldCharType="separate"/>
        </w:r>
        <w:r>
          <w:rPr>
            <w:noProof/>
            <w:webHidden/>
          </w:rPr>
          <w:t>586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6" w:history="1">
        <w:r w:rsidRPr="001B13A4">
          <w:rPr>
            <w:rStyle w:val="Hyperlink"/>
            <w:noProof/>
          </w:rPr>
          <w:t>2.1.1600</w:t>
        </w:r>
        <w:r>
          <w:rPr>
            <w:rFonts w:asciiTheme="minorHAnsi" w:eastAsiaTheme="minorEastAsia" w:hAnsiTheme="minorHAnsi" w:cstheme="minorBidi"/>
            <w:noProof/>
            <w:sz w:val="22"/>
            <w:szCs w:val="22"/>
          </w:rPr>
          <w:tab/>
        </w:r>
        <w:r w:rsidRPr="001B13A4">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_Toc181684636 \h </w:instrText>
        </w:r>
        <w:r>
          <w:rPr>
            <w:noProof/>
            <w:webHidden/>
          </w:rPr>
        </w:r>
        <w:r>
          <w:rPr>
            <w:noProof/>
            <w:webHidden/>
          </w:rPr>
          <w:fldChar w:fldCharType="separate"/>
        </w:r>
        <w:r>
          <w:rPr>
            <w:noProof/>
            <w:webHidden/>
          </w:rPr>
          <w:t>587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7" w:history="1">
        <w:r w:rsidRPr="001B13A4">
          <w:rPr>
            <w:rStyle w:val="Hyperlink"/>
            <w:noProof/>
          </w:rPr>
          <w:t>2.1.1601</w:t>
        </w:r>
        <w:r>
          <w:rPr>
            <w:rFonts w:asciiTheme="minorHAnsi" w:eastAsiaTheme="minorEastAsia" w:hAnsiTheme="minorHAnsi" w:cstheme="minorBidi"/>
            <w:noProof/>
            <w:sz w:val="22"/>
            <w:szCs w:val="22"/>
          </w:rPr>
          <w:tab/>
        </w:r>
        <w:r w:rsidRPr="001B13A4">
          <w:rPr>
            <w:rStyle w:val="Hyperlink"/>
            <w:noProof/>
          </w:rPr>
          <w:t>Part 1 Section 21.3.2.2, blipFill (Picture Fill)</w:t>
        </w:r>
        <w:r>
          <w:rPr>
            <w:noProof/>
            <w:webHidden/>
          </w:rPr>
          <w:tab/>
        </w:r>
        <w:r>
          <w:rPr>
            <w:noProof/>
            <w:webHidden/>
          </w:rPr>
          <w:fldChar w:fldCharType="begin"/>
        </w:r>
        <w:r>
          <w:rPr>
            <w:noProof/>
            <w:webHidden/>
          </w:rPr>
          <w:instrText xml:space="preserve"> PAGEREF _Toc181684637 \h </w:instrText>
        </w:r>
        <w:r>
          <w:rPr>
            <w:noProof/>
            <w:webHidden/>
          </w:rPr>
        </w:r>
        <w:r>
          <w:rPr>
            <w:noProof/>
            <w:webHidden/>
          </w:rPr>
          <w:fldChar w:fldCharType="separate"/>
        </w:r>
        <w:r>
          <w:rPr>
            <w:noProof/>
            <w:webHidden/>
          </w:rPr>
          <w:t>587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8" w:history="1">
        <w:r w:rsidRPr="001B13A4">
          <w:rPr>
            <w:rStyle w:val="Hyperlink"/>
            <w:noProof/>
          </w:rPr>
          <w:t>2.1.1602</w:t>
        </w:r>
        <w:r>
          <w:rPr>
            <w:rFonts w:asciiTheme="minorHAnsi" w:eastAsiaTheme="minorEastAsia" w:hAnsiTheme="minorHAnsi" w:cstheme="minorBidi"/>
            <w:noProof/>
            <w:sz w:val="22"/>
            <w:szCs w:val="22"/>
          </w:rPr>
          <w:tab/>
        </w:r>
        <w:r w:rsidRPr="001B13A4">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_Toc181684638 \h </w:instrText>
        </w:r>
        <w:r>
          <w:rPr>
            <w:noProof/>
            <w:webHidden/>
          </w:rPr>
        </w:r>
        <w:r>
          <w:rPr>
            <w:noProof/>
            <w:webHidden/>
          </w:rPr>
          <w:fldChar w:fldCharType="separate"/>
        </w:r>
        <w:r>
          <w:rPr>
            <w:noProof/>
            <w:webHidden/>
          </w:rPr>
          <w:t>587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39" w:history="1">
        <w:r w:rsidRPr="001B13A4">
          <w:rPr>
            <w:rStyle w:val="Hyperlink"/>
            <w:noProof/>
          </w:rPr>
          <w:t>2.1.1603</w:t>
        </w:r>
        <w:r>
          <w:rPr>
            <w:rFonts w:asciiTheme="minorHAnsi" w:eastAsiaTheme="minorEastAsia" w:hAnsiTheme="minorHAnsi" w:cstheme="minorBidi"/>
            <w:noProof/>
            <w:sz w:val="22"/>
            <w:szCs w:val="22"/>
          </w:rPr>
          <w:tab/>
        </w:r>
        <w:r w:rsidRPr="001B13A4">
          <w:rPr>
            <w:rStyle w:val="Hyperlink"/>
            <w:noProof/>
          </w:rPr>
          <w:t>Part 1 Section 21.3.2.9, cxnSp (Connection Shape)</w:t>
        </w:r>
        <w:r>
          <w:rPr>
            <w:noProof/>
            <w:webHidden/>
          </w:rPr>
          <w:tab/>
        </w:r>
        <w:r>
          <w:rPr>
            <w:noProof/>
            <w:webHidden/>
          </w:rPr>
          <w:fldChar w:fldCharType="begin"/>
        </w:r>
        <w:r>
          <w:rPr>
            <w:noProof/>
            <w:webHidden/>
          </w:rPr>
          <w:instrText xml:space="preserve"> PAGEREF _Toc181684639 \h </w:instrText>
        </w:r>
        <w:r>
          <w:rPr>
            <w:noProof/>
            <w:webHidden/>
          </w:rPr>
        </w:r>
        <w:r>
          <w:rPr>
            <w:noProof/>
            <w:webHidden/>
          </w:rPr>
          <w:fldChar w:fldCharType="separate"/>
        </w:r>
        <w:r>
          <w:rPr>
            <w:noProof/>
            <w:webHidden/>
          </w:rPr>
          <w:t>587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0" w:history="1">
        <w:r w:rsidRPr="001B13A4">
          <w:rPr>
            <w:rStyle w:val="Hyperlink"/>
            <w:noProof/>
          </w:rPr>
          <w:t>2.1.1604</w:t>
        </w:r>
        <w:r>
          <w:rPr>
            <w:rFonts w:asciiTheme="minorHAnsi" w:eastAsiaTheme="minorEastAsia" w:hAnsiTheme="minorHAnsi" w:cstheme="minorBidi"/>
            <w:noProof/>
            <w:sz w:val="22"/>
            <w:szCs w:val="22"/>
          </w:rPr>
          <w:tab/>
        </w:r>
        <w:r w:rsidRPr="001B13A4">
          <w:rPr>
            <w:rStyle w:val="Hyperlink"/>
            <w:noProof/>
          </w:rPr>
          <w:t>Part 1 Section 21.3.2.10, ext (Shape Extent)</w:t>
        </w:r>
        <w:r>
          <w:rPr>
            <w:noProof/>
            <w:webHidden/>
          </w:rPr>
          <w:tab/>
        </w:r>
        <w:r>
          <w:rPr>
            <w:noProof/>
            <w:webHidden/>
          </w:rPr>
          <w:fldChar w:fldCharType="begin"/>
        </w:r>
        <w:r>
          <w:rPr>
            <w:noProof/>
            <w:webHidden/>
          </w:rPr>
          <w:instrText xml:space="preserve"> PAGEREF _Toc181684640 \h </w:instrText>
        </w:r>
        <w:r>
          <w:rPr>
            <w:noProof/>
            <w:webHidden/>
          </w:rPr>
        </w:r>
        <w:r>
          <w:rPr>
            <w:noProof/>
            <w:webHidden/>
          </w:rPr>
          <w:fldChar w:fldCharType="separate"/>
        </w:r>
        <w:r>
          <w:rPr>
            <w:noProof/>
            <w:webHidden/>
          </w:rPr>
          <w:t>587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1" w:history="1">
        <w:r w:rsidRPr="001B13A4">
          <w:rPr>
            <w:rStyle w:val="Hyperlink"/>
            <w:noProof/>
          </w:rPr>
          <w:t>2.1.1605</w:t>
        </w:r>
        <w:r>
          <w:rPr>
            <w:rFonts w:asciiTheme="minorHAnsi" w:eastAsiaTheme="minorEastAsia" w:hAnsiTheme="minorHAnsi" w:cstheme="minorBidi"/>
            <w:noProof/>
            <w:sz w:val="22"/>
            <w:szCs w:val="22"/>
          </w:rPr>
          <w:tab/>
        </w:r>
        <w:r w:rsidRPr="001B13A4">
          <w:rPr>
            <w:rStyle w:val="Hyperlink"/>
            <w:noProof/>
          </w:rPr>
          <w:t>Part 1 Section 21.3.2.12, graphicFrame (Graphic Frame)</w:t>
        </w:r>
        <w:r>
          <w:rPr>
            <w:noProof/>
            <w:webHidden/>
          </w:rPr>
          <w:tab/>
        </w:r>
        <w:r>
          <w:rPr>
            <w:noProof/>
            <w:webHidden/>
          </w:rPr>
          <w:fldChar w:fldCharType="begin"/>
        </w:r>
        <w:r>
          <w:rPr>
            <w:noProof/>
            <w:webHidden/>
          </w:rPr>
          <w:instrText xml:space="preserve"> PAGEREF _Toc181684641 \h </w:instrText>
        </w:r>
        <w:r>
          <w:rPr>
            <w:noProof/>
            <w:webHidden/>
          </w:rPr>
        </w:r>
        <w:r>
          <w:rPr>
            <w:noProof/>
            <w:webHidden/>
          </w:rPr>
          <w:fldChar w:fldCharType="separate"/>
        </w:r>
        <w:r>
          <w:rPr>
            <w:noProof/>
            <w:webHidden/>
          </w:rPr>
          <w:t>587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2" w:history="1">
        <w:r w:rsidRPr="001B13A4">
          <w:rPr>
            <w:rStyle w:val="Hyperlink"/>
            <w:noProof/>
          </w:rPr>
          <w:t>2.1.1606</w:t>
        </w:r>
        <w:r>
          <w:rPr>
            <w:rFonts w:asciiTheme="minorHAnsi" w:eastAsiaTheme="minorEastAsia" w:hAnsiTheme="minorHAnsi" w:cstheme="minorBidi"/>
            <w:noProof/>
            <w:sz w:val="22"/>
            <w:szCs w:val="22"/>
          </w:rPr>
          <w:tab/>
        </w:r>
        <w:r w:rsidRPr="001B13A4">
          <w:rPr>
            <w:rStyle w:val="Hyperlink"/>
            <w:noProof/>
          </w:rPr>
          <w:t>Part 1 Section 21.3.2.14, grpSpPr (Group Shape Properties)</w:t>
        </w:r>
        <w:r>
          <w:rPr>
            <w:noProof/>
            <w:webHidden/>
          </w:rPr>
          <w:tab/>
        </w:r>
        <w:r>
          <w:rPr>
            <w:noProof/>
            <w:webHidden/>
          </w:rPr>
          <w:fldChar w:fldCharType="begin"/>
        </w:r>
        <w:r>
          <w:rPr>
            <w:noProof/>
            <w:webHidden/>
          </w:rPr>
          <w:instrText xml:space="preserve"> PAGEREF _Toc181684642 \h </w:instrText>
        </w:r>
        <w:r>
          <w:rPr>
            <w:noProof/>
            <w:webHidden/>
          </w:rPr>
        </w:r>
        <w:r>
          <w:rPr>
            <w:noProof/>
            <w:webHidden/>
          </w:rPr>
          <w:fldChar w:fldCharType="separate"/>
        </w:r>
        <w:r>
          <w:rPr>
            <w:noProof/>
            <w:webHidden/>
          </w:rPr>
          <w:t>588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3" w:history="1">
        <w:r w:rsidRPr="001B13A4">
          <w:rPr>
            <w:rStyle w:val="Hyperlink"/>
            <w:noProof/>
          </w:rPr>
          <w:t>2.1.1607</w:t>
        </w:r>
        <w:r>
          <w:rPr>
            <w:rFonts w:asciiTheme="minorHAnsi" w:eastAsiaTheme="minorEastAsia" w:hAnsiTheme="minorHAnsi" w:cstheme="minorBidi"/>
            <w:noProof/>
            <w:sz w:val="22"/>
            <w:szCs w:val="22"/>
          </w:rPr>
          <w:tab/>
        </w:r>
        <w:r w:rsidRPr="001B13A4">
          <w:rPr>
            <w:rStyle w:val="Hyperlink"/>
            <w:noProof/>
          </w:rPr>
          <w:t>Part 1 Section 21.3.2.20, pic (Picture)</w:t>
        </w:r>
        <w:r>
          <w:rPr>
            <w:noProof/>
            <w:webHidden/>
          </w:rPr>
          <w:tab/>
        </w:r>
        <w:r>
          <w:rPr>
            <w:noProof/>
            <w:webHidden/>
          </w:rPr>
          <w:fldChar w:fldCharType="begin"/>
        </w:r>
        <w:r>
          <w:rPr>
            <w:noProof/>
            <w:webHidden/>
          </w:rPr>
          <w:instrText xml:space="preserve"> PAGEREF _Toc181684643 \h </w:instrText>
        </w:r>
        <w:r>
          <w:rPr>
            <w:noProof/>
            <w:webHidden/>
          </w:rPr>
        </w:r>
        <w:r>
          <w:rPr>
            <w:noProof/>
            <w:webHidden/>
          </w:rPr>
          <w:fldChar w:fldCharType="separate"/>
        </w:r>
        <w:r>
          <w:rPr>
            <w:noProof/>
            <w:webHidden/>
          </w:rPr>
          <w:t>588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4" w:history="1">
        <w:r w:rsidRPr="001B13A4">
          <w:rPr>
            <w:rStyle w:val="Hyperlink"/>
            <w:noProof/>
          </w:rPr>
          <w:t>2.1.1608</w:t>
        </w:r>
        <w:r>
          <w:rPr>
            <w:rFonts w:asciiTheme="minorHAnsi" w:eastAsiaTheme="minorEastAsia" w:hAnsiTheme="minorHAnsi" w:cstheme="minorBidi"/>
            <w:noProof/>
            <w:sz w:val="22"/>
            <w:szCs w:val="22"/>
          </w:rPr>
          <w:tab/>
        </w:r>
        <w:r w:rsidRPr="001B13A4">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_Toc181684644 \h </w:instrText>
        </w:r>
        <w:r>
          <w:rPr>
            <w:noProof/>
            <w:webHidden/>
          </w:rPr>
        </w:r>
        <w:r>
          <w:rPr>
            <w:noProof/>
            <w:webHidden/>
          </w:rPr>
          <w:fldChar w:fldCharType="separate"/>
        </w:r>
        <w:r>
          <w:rPr>
            <w:noProof/>
            <w:webHidden/>
          </w:rPr>
          <w:t>588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5" w:history="1">
        <w:r w:rsidRPr="001B13A4">
          <w:rPr>
            <w:rStyle w:val="Hyperlink"/>
            <w:noProof/>
          </w:rPr>
          <w:t>2.1.1609</w:t>
        </w:r>
        <w:r>
          <w:rPr>
            <w:rFonts w:asciiTheme="minorHAnsi" w:eastAsiaTheme="minorEastAsia" w:hAnsiTheme="minorHAnsi" w:cstheme="minorBidi"/>
            <w:noProof/>
            <w:sz w:val="22"/>
            <w:szCs w:val="22"/>
          </w:rPr>
          <w:tab/>
        </w:r>
        <w:r w:rsidRPr="001B13A4">
          <w:rPr>
            <w:rStyle w:val="Hyperlink"/>
            <w:noProof/>
          </w:rPr>
          <w:t>Part 1 Section 21.3.2.22, sp (Shape)</w:t>
        </w:r>
        <w:r>
          <w:rPr>
            <w:noProof/>
            <w:webHidden/>
          </w:rPr>
          <w:tab/>
        </w:r>
        <w:r>
          <w:rPr>
            <w:noProof/>
            <w:webHidden/>
          </w:rPr>
          <w:fldChar w:fldCharType="begin"/>
        </w:r>
        <w:r>
          <w:rPr>
            <w:noProof/>
            <w:webHidden/>
          </w:rPr>
          <w:instrText xml:space="preserve"> PAGEREF _Toc181684645 \h </w:instrText>
        </w:r>
        <w:r>
          <w:rPr>
            <w:noProof/>
            <w:webHidden/>
          </w:rPr>
        </w:r>
        <w:r>
          <w:rPr>
            <w:noProof/>
            <w:webHidden/>
          </w:rPr>
          <w:fldChar w:fldCharType="separate"/>
        </w:r>
        <w:r>
          <w:rPr>
            <w:noProof/>
            <w:webHidden/>
          </w:rPr>
          <w:t>588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6" w:history="1">
        <w:r w:rsidRPr="001B13A4">
          <w:rPr>
            <w:rStyle w:val="Hyperlink"/>
            <w:noProof/>
          </w:rPr>
          <w:t>2.1.1610</w:t>
        </w:r>
        <w:r>
          <w:rPr>
            <w:rFonts w:asciiTheme="minorHAnsi" w:eastAsiaTheme="minorEastAsia" w:hAnsiTheme="minorHAnsi" w:cstheme="minorBidi"/>
            <w:noProof/>
            <w:sz w:val="22"/>
            <w:szCs w:val="22"/>
          </w:rPr>
          <w:tab/>
        </w:r>
        <w:r w:rsidRPr="001B13A4">
          <w:rPr>
            <w:rStyle w:val="Hyperlink"/>
            <w:noProof/>
          </w:rPr>
          <w:t>Part 1 Section 21.3.2.23, spPr (Shape Properties)</w:t>
        </w:r>
        <w:r>
          <w:rPr>
            <w:noProof/>
            <w:webHidden/>
          </w:rPr>
          <w:tab/>
        </w:r>
        <w:r>
          <w:rPr>
            <w:noProof/>
            <w:webHidden/>
          </w:rPr>
          <w:fldChar w:fldCharType="begin"/>
        </w:r>
        <w:r>
          <w:rPr>
            <w:noProof/>
            <w:webHidden/>
          </w:rPr>
          <w:instrText xml:space="preserve"> PAGEREF _Toc181684646 \h </w:instrText>
        </w:r>
        <w:r>
          <w:rPr>
            <w:noProof/>
            <w:webHidden/>
          </w:rPr>
        </w:r>
        <w:r>
          <w:rPr>
            <w:noProof/>
            <w:webHidden/>
          </w:rPr>
          <w:fldChar w:fldCharType="separate"/>
        </w:r>
        <w:r>
          <w:rPr>
            <w:noProof/>
            <w:webHidden/>
          </w:rPr>
          <w:t>589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7" w:history="1">
        <w:r w:rsidRPr="001B13A4">
          <w:rPr>
            <w:rStyle w:val="Hyperlink"/>
            <w:noProof/>
          </w:rPr>
          <w:t>2.1.1611</w:t>
        </w:r>
        <w:r>
          <w:rPr>
            <w:rFonts w:asciiTheme="minorHAnsi" w:eastAsiaTheme="minorEastAsia" w:hAnsiTheme="minorHAnsi" w:cstheme="minorBidi"/>
            <w:noProof/>
            <w:sz w:val="22"/>
            <w:szCs w:val="22"/>
          </w:rPr>
          <w:tab/>
        </w:r>
        <w:r w:rsidRPr="001B13A4">
          <w:rPr>
            <w:rStyle w:val="Hyperlink"/>
            <w:noProof/>
          </w:rPr>
          <w:t>Part 1 Section 21.3.2.24, style (Shape Style)</w:t>
        </w:r>
        <w:r>
          <w:rPr>
            <w:noProof/>
            <w:webHidden/>
          </w:rPr>
          <w:tab/>
        </w:r>
        <w:r>
          <w:rPr>
            <w:noProof/>
            <w:webHidden/>
          </w:rPr>
          <w:fldChar w:fldCharType="begin"/>
        </w:r>
        <w:r>
          <w:rPr>
            <w:noProof/>
            <w:webHidden/>
          </w:rPr>
          <w:instrText xml:space="preserve"> PAGEREF _Toc181684647 \h </w:instrText>
        </w:r>
        <w:r>
          <w:rPr>
            <w:noProof/>
            <w:webHidden/>
          </w:rPr>
        </w:r>
        <w:r>
          <w:rPr>
            <w:noProof/>
            <w:webHidden/>
          </w:rPr>
          <w:fldChar w:fldCharType="separate"/>
        </w:r>
        <w:r>
          <w:rPr>
            <w:noProof/>
            <w:webHidden/>
          </w:rPr>
          <w:t>589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8" w:history="1">
        <w:r w:rsidRPr="001B13A4">
          <w:rPr>
            <w:rStyle w:val="Hyperlink"/>
            <w:noProof/>
          </w:rPr>
          <w:t>2.1.1612</w:t>
        </w:r>
        <w:r>
          <w:rPr>
            <w:rFonts w:asciiTheme="minorHAnsi" w:eastAsiaTheme="minorEastAsia" w:hAnsiTheme="minorHAnsi" w:cstheme="minorBidi"/>
            <w:noProof/>
            <w:sz w:val="22"/>
            <w:szCs w:val="22"/>
          </w:rPr>
          <w:tab/>
        </w:r>
        <w:r w:rsidRPr="001B13A4">
          <w:rPr>
            <w:rStyle w:val="Hyperlink"/>
            <w:noProof/>
          </w:rPr>
          <w:t>Part 1 Section 21.3.2.25, to (Ending Anchor Point)</w:t>
        </w:r>
        <w:r>
          <w:rPr>
            <w:noProof/>
            <w:webHidden/>
          </w:rPr>
          <w:tab/>
        </w:r>
        <w:r>
          <w:rPr>
            <w:noProof/>
            <w:webHidden/>
          </w:rPr>
          <w:fldChar w:fldCharType="begin"/>
        </w:r>
        <w:r>
          <w:rPr>
            <w:noProof/>
            <w:webHidden/>
          </w:rPr>
          <w:instrText xml:space="preserve"> PAGEREF _Toc181684648 \h </w:instrText>
        </w:r>
        <w:r>
          <w:rPr>
            <w:noProof/>
            <w:webHidden/>
          </w:rPr>
        </w:r>
        <w:r>
          <w:rPr>
            <w:noProof/>
            <w:webHidden/>
          </w:rPr>
          <w:fldChar w:fldCharType="separate"/>
        </w:r>
        <w:r>
          <w:rPr>
            <w:noProof/>
            <w:webHidden/>
          </w:rPr>
          <w:t>589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49" w:history="1">
        <w:r w:rsidRPr="001B13A4">
          <w:rPr>
            <w:rStyle w:val="Hyperlink"/>
            <w:noProof/>
          </w:rPr>
          <w:t>2.1.1613</w:t>
        </w:r>
        <w:r>
          <w:rPr>
            <w:rFonts w:asciiTheme="minorHAnsi" w:eastAsiaTheme="minorEastAsia" w:hAnsiTheme="minorHAnsi" w:cstheme="minorBidi"/>
            <w:noProof/>
            <w:sz w:val="22"/>
            <w:szCs w:val="22"/>
          </w:rPr>
          <w:tab/>
        </w:r>
        <w:r w:rsidRPr="001B13A4">
          <w:rPr>
            <w:rStyle w:val="Hyperlink"/>
            <w:noProof/>
          </w:rPr>
          <w:t>Part 1 Section 21.3.2.26, txBody (Shape Text Body)</w:t>
        </w:r>
        <w:r>
          <w:rPr>
            <w:noProof/>
            <w:webHidden/>
          </w:rPr>
          <w:tab/>
        </w:r>
        <w:r>
          <w:rPr>
            <w:noProof/>
            <w:webHidden/>
          </w:rPr>
          <w:fldChar w:fldCharType="begin"/>
        </w:r>
        <w:r>
          <w:rPr>
            <w:noProof/>
            <w:webHidden/>
          </w:rPr>
          <w:instrText xml:space="preserve"> PAGEREF _Toc181684649 \h </w:instrText>
        </w:r>
        <w:r>
          <w:rPr>
            <w:noProof/>
            <w:webHidden/>
          </w:rPr>
        </w:r>
        <w:r>
          <w:rPr>
            <w:noProof/>
            <w:webHidden/>
          </w:rPr>
          <w:fldChar w:fldCharType="separate"/>
        </w:r>
        <w:r>
          <w:rPr>
            <w:noProof/>
            <w:webHidden/>
          </w:rPr>
          <w:t>589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0" w:history="1">
        <w:r w:rsidRPr="001B13A4">
          <w:rPr>
            <w:rStyle w:val="Hyperlink"/>
            <w:noProof/>
          </w:rPr>
          <w:t>2.1.1614</w:t>
        </w:r>
        <w:r>
          <w:rPr>
            <w:rFonts w:asciiTheme="minorHAnsi" w:eastAsiaTheme="minorEastAsia" w:hAnsiTheme="minorHAnsi" w:cstheme="minorBidi"/>
            <w:noProof/>
            <w:sz w:val="22"/>
            <w:szCs w:val="22"/>
          </w:rPr>
          <w:tab/>
        </w:r>
        <w:r w:rsidRPr="001B13A4">
          <w:rPr>
            <w:rStyle w:val="Hyperlink"/>
            <w:noProof/>
          </w:rPr>
          <w:t>Part 1 Section 21.3.2.28, xfrm (Graphic Frame Transform)</w:t>
        </w:r>
        <w:r>
          <w:rPr>
            <w:noProof/>
            <w:webHidden/>
          </w:rPr>
          <w:tab/>
        </w:r>
        <w:r>
          <w:rPr>
            <w:noProof/>
            <w:webHidden/>
          </w:rPr>
          <w:fldChar w:fldCharType="begin"/>
        </w:r>
        <w:r>
          <w:rPr>
            <w:noProof/>
            <w:webHidden/>
          </w:rPr>
          <w:instrText xml:space="preserve"> PAGEREF _Toc181684650 \h </w:instrText>
        </w:r>
        <w:r>
          <w:rPr>
            <w:noProof/>
            <w:webHidden/>
          </w:rPr>
        </w:r>
        <w:r>
          <w:rPr>
            <w:noProof/>
            <w:webHidden/>
          </w:rPr>
          <w:fldChar w:fldCharType="separate"/>
        </w:r>
        <w:r>
          <w:rPr>
            <w:noProof/>
            <w:webHidden/>
          </w:rPr>
          <w:t>590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1" w:history="1">
        <w:r w:rsidRPr="001B13A4">
          <w:rPr>
            <w:rStyle w:val="Hyperlink"/>
            <w:noProof/>
          </w:rPr>
          <w:t>2.1.1615</w:t>
        </w:r>
        <w:r>
          <w:rPr>
            <w:rFonts w:asciiTheme="minorHAnsi" w:eastAsiaTheme="minorEastAsia" w:hAnsiTheme="minorHAnsi" w:cstheme="minorBidi"/>
            <w:noProof/>
            <w:sz w:val="22"/>
            <w:szCs w:val="22"/>
          </w:rPr>
          <w:tab/>
        </w:r>
        <w:r w:rsidRPr="001B13A4">
          <w:rPr>
            <w:rStyle w:val="Hyperlink"/>
            <w:noProof/>
          </w:rPr>
          <w:t>Part 1 Section 21.4.2.1, adj (Shape Adjust)</w:t>
        </w:r>
        <w:r>
          <w:rPr>
            <w:noProof/>
            <w:webHidden/>
          </w:rPr>
          <w:tab/>
        </w:r>
        <w:r>
          <w:rPr>
            <w:noProof/>
            <w:webHidden/>
          </w:rPr>
          <w:fldChar w:fldCharType="begin"/>
        </w:r>
        <w:r>
          <w:rPr>
            <w:noProof/>
            <w:webHidden/>
          </w:rPr>
          <w:instrText xml:space="preserve"> PAGEREF _Toc181684651 \h </w:instrText>
        </w:r>
        <w:r>
          <w:rPr>
            <w:noProof/>
            <w:webHidden/>
          </w:rPr>
        </w:r>
        <w:r>
          <w:rPr>
            <w:noProof/>
            <w:webHidden/>
          </w:rPr>
          <w:fldChar w:fldCharType="separate"/>
        </w:r>
        <w:r>
          <w:rPr>
            <w:noProof/>
            <w:webHidden/>
          </w:rPr>
          <w:t>590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2" w:history="1">
        <w:r w:rsidRPr="001B13A4">
          <w:rPr>
            <w:rStyle w:val="Hyperlink"/>
            <w:noProof/>
          </w:rPr>
          <w:t>2.1.1616</w:t>
        </w:r>
        <w:r>
          <w:rPr>
            <w:rFonts w:asciiTheme="minorHAnsi" w:eastAsiaTheme="minorEastAsia" w:hAnsiTheme="minorHAnsi" w:cstheme="minorBidi"/>
            <w:noProof/>
            <w:sz w:val="22"/>
            <w:szCs w:val="22"/>
          </w:rPr>
          <w:tab/>
        </w:r>
        <w:r w:rsidRPr="001B13A4">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_Toc181684652 \h </w:instrText>
        </w:r>
        <w:r>
          <w:rPr>
            <w:noProof/>
            <w:webHidden/>
          </w:rPr>
        </w:r>
        <w:r>
          <w:rPr>
            <w:noProof/>
            <w:webHidden/>
          </w:rPr>
          <w:fldChar w:fldCharType="separate"/>
        </w:r>
        <w:r>
          <w:rPr>
            <w:noProof/>
            <w:webHidden/>
          </w:rPr>
          <w:t>590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3" w:history="1">
        <w:r w:rsidRPr="001B13A4">
          <w:rPr>
            <w:rStyle w:val="Hyperlink"/>
            <w:noProof/>
          </w:rPr>
          <w:t>2.1.1617</w:t>
        </w:r>
        <w:r>
          <w:rPr>
            <w:rFonts w:asciiTheme="minorHAnsi" w:eastAsiaTheme="minorEastAsia" w:hAnsiTheme="minorHAnsi" w:cstheme="minorBidi"/>
            <w:noProof/>
            <w:sz w:val="22"/>
            <w:szCs w:val="22"/>
          </w:rPr>
          <w:tab/>
        </w:r>
        <w:r w:rsidRPr="001B13A4">
          <w:rPr>
            <w:rStyle w:val="Hyperlink"/>
            <w:noProof/>
          </w:rPr>
          <w:t>Part 1 Section 21.4.2.13, extLst (Extension List)</w:t>
        </w:r>
        <w:r>
          <w:rPr>
            <w:noProof/>
            <w:webHidden/>
          </w:rPr>
          <w:tab/>
        </w:r>
        <w:r>
          <w:rPr>
            <w:noProof/>
            <w:webHidden/>
          </w:rPr>
          <w:fldChar w:fldCharType="begin"/>
        </w:r>
        <w:r>
          <w:rPr>
            <w:noProof/>
            <w:webHidden/>
          </w:rPr>
          <w:instrText xml:space="preserve"> PAGEREF _Toc181684653 \h </w:instrText>
        </w:r>
        <w:r>
          <w:rPr>
            <w:noProof/>
            <w:webHidden/>
          </w:rPr>
        </w:r>
        <w:r>
          <w:rPr>
            <w:noProof/>
            <w:webHidden/>
          </w:rPr>
          <w:fldChar w:fldCharType="separate"/>
        </w:r>
        <w:r>
          <w:rPr>
            <w:noProof/>
            <w:webHidden/>
          </w:rPr>
          <w:t>590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4" w:history="1">
        <w:r w:rsidRPr="001B13A4">
          <w:rPr>
            <w:rStyle w:val="Hyperlink"/>
            <w:noProof/>
          </w:rPr>
          <w:t>2.1.1618</w:t>
        </w:r>
        <w:r>
          <w:rPr>
            <w:rFonts w:asciiTheme="minorHAnsi" w:eastAsiaTheme="minorEastAsia" w:hAnsiTheme="minorHAnsi" w:cstheme="minorBidi"/>
            <w:noProof/>
            <w:sz w:val="22"/>
            <w:szCs w:val="22"/>
          </w:rPr>
          <w:tab/>
        </w:r>
        <w:r w:rsidRPr="001B13A4">
          <w:rPr>
            <w:rStyle w:val="Hyperlink"/>
            <w:noProof/>
          </w:rPr>
          <w:t>Part 1 Section 21.4.2.14, forEach (For Each)</w:t>
        </w:r>
        <w:r>
          <w:rPr>
            <w:noProof/>
            <w:webHidden/>
          </w:rPr>
          <w:tab/>
        </w:r>
        <w:r>
          <w:rPr>
            <w:noProof/>
            <w:webHidden/>
          </w:rPr>
          <w:fldChar w:fldCharType="begin"/>
        </w:r>
        <w:r>
          <w:rPr>
            <w:noProof/>
            <w:webHidden/>
          </w:rPr>
          <w:instrText xml:space="preserve"> PAGEREF _Toc181684654 \h </w:instrText>
        </w:r>
        <w:r>
          <w:rPr>
            <w:noProof/>
            <w:webHidden/>
          </w:rPr>
        </w:r>
        <w:r>
          <w:rPr>
            <w:noProof/>
            <w:webHidden/>
          </w:rPr>
          <w:fldChar w:fldCharType="separate"/>
        </w:r>
        <w:r>
          <w:rPr>
            <w:noProof/>
            <w:webHidden/>
          </w:rPr>
          <w:t>590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5" w:history="1">
        <w:r w:rsidRPr="001B13A4">
          <w:rPr>
            <w:rStyle w:val="Hyperlink"/>
            <w:noProof/>
          </w:rPr>
          <w:t>2.1.1619</w:t>
        </w:r>
        <w:r>
          <w:rPr>
            <w:rFonts w:asciiTheme="minorHAnsi" w:eastAsiaTheme="minorEastAsia" w:hAnsiTheme="minorHAnsi" w:cstheme="minorBidi"/>
            <w:noProof/>
            <w:sz w:val="22"/>
            <w:szCs w:val="22"/>
          </w:rPr>
          <w:tab/>
        </w:r>
        <w:r w:rsidRPr="001B13A4">
          <w:rPr>
            <w:rStyle w:val="Hyperlink"/>
            <w:noProof/>
          </w:rPr>
          <w:t>Part 1 Section 21.4.2.20, param (Parameter)</w:t>
        </w:r>
        <w:r>
          <w:rPr>
            <w:noProof/>
            <w:webHidden/>
          </w:rPr>
          <w:tab/>
        </w:r>
        <w:r>
          <w:rPr>
            <w:noProof/>
            <w:webHidden/>
          </w:rPr>
          <w:fldChar w:fldCharType="begin"/>
        </w:r>
        <w:r>
          <w:rPr>
            <w:noProof/>
            <w:webHidden/>
          </w:rPr>
          <w:instrText xml:space="preserve"> PAGEREF _Toc181684655 \h </w:instrText>
        </w:r>
        <w:r>
          <w:rPr>
            <w:noProof/>
            <w:webHidden/>
          </w:rPr>
        </w:r>
        <w:r>
          <w:rPr>
            <w:noProof/>
            <w:webHidden/>
          </w:rPr>
          <w:fldChar w:fldCharType="separate"/>
        </w:r>
        <w:r>
          <w:rPr>
            <w:noProof/>
            <w:webHidden/>
          </w:rPr>
          <w:t>590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6" w:history="1">
        <w:r w:rsidRPr="001B13A4">
          <w:rPr>
            <w:rStyle w:val="Hyperlink"/>
            <w:noProof/>
          </w:rPr>
          <w:t>2.1.1620</w:t>
        </w:r>
        <w:r>
          <w:rPr>
            <w:rFonts w:asciiTheme="minorHAnsi" w:eastAsiaTheme="minorEastAsia" w:hAnsiTheme="minorHAnsi" w:cstheme="minorBidi"/>
            <w:noProof/>
            <w:sz w:val="22"/>
            <w:szCs w:val="22"/>
          </w:rPr>
          <w:tab/>
        </w:r>
        <w:r w:rsidRPr="001B13A4">
          <w:rPr>
            <w:rStyle w:val="Hyperlink"/>
            <w:noProof/>
          </w:rPr>
          <w:t>Part 1 Section 21.4.2.26, sampData (Sample Data)</w:t>
        </w:r>
        <w:r>
          <w:rPr>
            <w:noProof/>
            <w:webHidden/>
          </w:rPr>
          <w:tab/>
        </w:r>
        <w:r>
          <w:rPr>
            <w:noProof/>
            <w:webHidden/>
          </w:rPr>
          <w:fldChar w:fldCharType="begin"/>
        </w:r>
        <w:r>
          <w:rPr>
            <w:noProof/>
            <w:webHidden/>
          </w:rPr>
          <w:instrText xml:space="preserve"> PAGEREF _Toc181684656 \h </w:instrText>
        </w:r>
        <w:r>
          <w:rPr>
            <w:noProof/>
            <w:webHidden/>
          </w:rPr>
        </w:r>
        <w:r>
          <w:rPr>
            <w:noProof/>
            <w:webHidden/>
          </w:rPr>
          <w:fldChar w:fldCharType="separate"/>
        </w:r>
        <w:r>
          <w:rPr>
            <w:noProof/>
            <w:webHidden/>
          </w:rPr>
          <w:t>591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7" w:history="1">
        <w:r w:rsidRPr="001B13A4">
          <w:rPr>
            <w:rStyle w:val="Hyperlink"/>
            <w:noProof/>
          </w:rPr>
          <w:t>2.1.1621</w:t>
        </w:r>
        <w:r>
          <w:rPr>
            <w:rFonts w:asciiTheme="minorHAnsi" w:eastAsiaTheme="minorEastAsia" w:hAnsiTheme="minorHAnsi" w:cstheme="minorBidi"/>
            <w:noProof/>
            <w:sz w:val="22"/>
            <w:szCs w:val="22"/>
          </w:rPr>
          <w:tab/>
        </w:r>
        <w:r w:rsidRPr="001B13A4">
          <w:rPr>
            <w:rStyle w:val="Hyperlink"/>
            <w:noProof/>
          </w:rPr>
          <w:t>Part 1 Section 21.4.2.27, shape (Shape)</w:t>
        </w:r>
        <w:r>
          <w:rPr>
            <w:noProof/>
            <w:webHidden/>
          </w:rPr>
          <w:tab/>
        </w:r>
        <w:r>
          <w:rPr>
            <w:noProof/>
            <w:webHidden/>
          </w:rPr>
          <w:fldChar w:fldCharType="begin"/>
        </w:r>
        <w:r>
          <w:rPr>
            <w:noProof/>
            <w:webHidden/>
          </w:rPr>
          <w:instrText xml:space="preserve"> PAGEREF _Toc181684657 \h </w:instrText>
        </w:r>
        <w:r>
          <w:rPr>
            <w:noProof/>
            <w:webHidden/>
          </w:rPr>
        </w:r>
        <w:r>
          <w:rPr>
            <w:noProof/>
            <w:webHidden/>
          </w:rPr>
          <w:fldChar w:fldCharType="separate"/>
        </w:r>
        <w:r>
          <w:rPr>
            <w:noProof/>
            <w:webHidden/>
          </w:rPr>
          <w:t>591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8" w:history="1">
        <w:r w:rsidRPr="001B13A4">
          <w:rPr>
            <w:rStyle w:val="Hyperlink"/>
            <w:noProof/>
          </w:rPr>
          <w:t>2.1.1622</w:t>
        </w:r>
        <w:r>
          <w:rPr>
            <w:rFonts w:asciiTheme="minorHAnsi" w:eastAsiaTheme="minorEastAsia" w:hAnsiTheme="minorHAnsi" w:cstheme="minorBidi"/>
            <w:noProof/>
            <w:sz w:val="22"/>
            <w:szCs w:val="22"/>
          </w:rPr>
          <w:tab/>
        </w:r>
        <w:r w:rsidRPr="001B13A4">
          <w:rPr>
            <w:rStyle w:val="Hyperlink"/>
            <w:noProof/>
          </w:rPr>
          <w:t>Part 1 Section 21.4.2.29, styleData (Style Data)</w:t>
        </w:r>
        <w:r>
          <w:rPr>
            <w:noProof/>
            <w:webHidden/>
          </w:rPr>
          <w:tab/>
        </w:r>
        <w:r>
          <w:rPr>
            <w:noProof/>
            <w:webHidden/>
          </w:rPr>
          <w:fldChar w:fldCharType="begin"/>
        </w:r>
        <w:r>
          <w:rPr>
            <w:noProof/>
            <w:webHidden/>
          </w:rPr>
          <w:instrText xml:space="preserve"> PAGEREF _Toc181684658 \h </w:instrText>
        </w:r>
        <w:r>
          <w:rPr>
            <w:noProof/>
            <w:webHidden/>
          </w:rPr>
        </w:r>
        <w:r>
          <w:rPr>
            <w:noProof/>
            <w:webHidden/>
          </w:rPr>
          <w:fldChar w:fldCharType="separate"/>
        </w:r>
        <w:r>
          <w:rPr>
            <w:noProof/>
            <w:webHidden/>
          </w:rPr>
          <w:t>591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59" w:history="1">
        <w:r w:rsidRPr="001B13A4">
          <w:rPr>
            <w:rStyle w:val="Hyperlink"/>
            <w:noProof/>
          </w:rPr>
          <w:t>2.1.1623</w:t>
        </w:r>
        <w:r>
          <w:rPr>
            <w:rFonts w:asciiTheme="minorHAnsi" w:eastAsiaTheme="minorEastAsia" w:hAnsiTheme="minorHAnsi" w:cstheme="minorBidi"/>
            <w:noProof/>
            <w:sz w:val="22"/>
            <w:szCs w:val="22"/>
          </w:rPr>
          <w:tab/>
        </w:r>
        <w:r w:rsidRPr="001B13A4">
          <w:rPr>
            <w:rStyle w:val="Hyperlink"/>
            <w:noProof/>
          </w:rPr>
          <w:t>Part 1 Section 21.4.3.2, cxn (Connection)</w:t>
        </w:r>
        <w:r>
          <w:rPr>
            <w:noProof/>
            <w:webHidden/>
          </w:rPr>
          <w:tab/>
        </w:r>
        <w:r>
          <w:rPr>
            <w:noProof/>
            <w:webHidden/>
          </w:rPr>
          <w:fldChar w:fldCharType="begin"/>
        </w:r>
        <w:r>
          <w:rPr>
            <w:noProof/>
            <w:webHidden/>
          </w:rPr>
          <w:instrText xml:space="preserve"> PAGEREF _Toc181684659 \h </w:instrText>
        </w:r>
        <w:r>
          <w:rPr>
            <w:noProof/>
            <w:webHidden/>
          </w:rPr>
        </w:r>
        <w:r>
          <w:rPr>
            <w:noProof/>
            <w:webHidden/>
          </w:rPr>
          <w:fldChar w:fldCharType="separate"/>
        </w:r>
        <w:r>
          <w:rPr>
            <w:noProof/>
            <w:webHidden/>
          </w:rPr>
          <w:t>591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0" w:history="1">
        <w:r w:rsidRPr="001B13A4">
          <w:rPr>
            <w:rStyle w:val="Hyperlink"/>
            <w:noProof/>
          </w:rPr>
          <w:t>2.1.1624</w:t>
        </w:r>
        <w:r>
          <w:rPr>
            <w:rFonts w:asciiTheme="minorHAnsi" w:eastAsiaTheme="minorEastAsia" w:hAnsiTheme="minorHAnsi" w:cstheme="minorBidi"/>
            <w:noProof/>
            <w:sz w:val="22"/>
            <w:szCs w:val="22"/>
          </w:rPr>
          <w:tab/>
        </w:r>
        <w:r w:rsidRPr="001B13A4">
          <w:rPr>
            <w:rStyle w:val="Hyperlink"/>
            <w:noProof/>
          </w:rPr>
          <w:t>Part 1 Section 21.4.3.4, prSet (Property Set)</w:t>
        </w:r>
        <w:r>
          <w:rPr>
            <w:noProof/>
            <w:webHidden/>
          </w:rPr>
          <w:tab/>
        </w:r>
        <w:r>
          <w:rPr>
            <w:noProof/>
            <w:webHidden/>
          </w:rPr>
          <w:fldChar w:fldCharType="begin"/>
        </w:r>
        <w:r>
          <w:rPr>
            <w:noProof/>
            <w:webHidden/>
          </w:rPr>
          <w:instrText xml:space="preserve"> PAGEREF _Toc181684660 \h </w:instrText>
        </w:r>
        <w:r>
          <w:rPr>
            <w:noProof/>
            <w:webHidden/>
          </w:rPr>
        </w:r>
        <w:r>
          <w:rPr>
            <w:noProof/>
            <w:webHidden/>
          </w:rPr>
          <w:fldChar w:fldCharType="separate"/>
        </w:r>
        <w:r>
          <w:rPr>
            <w:noProof/>
            <w:webHidden/>
          </w:rPr>
          <w:t>591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1" w:history="1">
        <w:r w:rsidRPr="001B13A4">
          <w:rPr>
            <w:rStyle w:val="Hyperlink"/>
            <w:noProof/>
          </w:rPr>
          <w:t>2.1.1625</w:t>
        </w:r>
        <w:r>
          <w:rPr>
            <w:rFonts w:asciiTheme="minorHAnsi" w:eastAsiaTheme="minorEastAsia" w:hAnsiTheme="minorHAnsi" w:cstheme="minorBidi"/>
            <w:noProof/>
            <w:sz w:val="22"/>
            <w:szCs w:val="22"/>
          </w:rPr>
          <w:tab/>
        </w:r>
        <w:r w:rsidRPr="001B13A4">
          <w:rPr>
            <w:rStyle w:val="Hyperlink"/>
            <w:noProof/>
          </w:rPr>
          <w:t>Part 1 Section 21.4.3.5, pt (Point)</w:t>
        </w:r>
        <w:r>
          <w:rPr>
            <w:noProof/>
            <w:webHidden/>
          </w:rPr>
          <w:tab/>
        </w:r>
        <w:r>
          <w:rPr>
            <w:noProof/>
            <w:webHidden/>
          </w:rPr>
          <w:fldChar w:fldCharType="begin"/>
        </w:r>
        <w:r>
          <w:rPr>
            <w:noProof/>
            <w:webHidden/>
          </w:rPr>
          <w:instrText xml:space="preserve"> PAGEREF _Toc181684661 \h </w:instrText>
        </w:r>
        <w:r>
          <w:rPr>
            <w:noProof/>
            <w:webHidden/>
          </w:rPr>
        </w:r>
        <w:r>
          <w:rPr>
            <w:noProof/>
            <w:webHidden/>
          </w:rPr>
          <w:fldChar w:fldCharType="separate"/>
        </w:r>
        <w:r>
          <w:rPr>
            <w:noProof/>
            <w:webHidden/>
          </w:rPr>
          <w:t>591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2" w:history="1">
        <w:r w:rsidRPr="001B13A4">
          <w:rPr>
            <w:rStyle w:val="Hyperlink"/>
            <w:noProof/>
          </w:rPr>
          <w:t>2.1.1626</w:t>
        </w:r>
        <w:r>
          <w:rPr>
            <w:rFonts w:asciiTheme="minorHAnsi" w:eastAsiaTheme="minorEastAsia" w:hAnsiTheme="minorHAnsi" w:cstheme="minorBidi"/>
            <w:noProof/>
            <w:sz w:val="22"/>
            <w:szCs w:val="22"/>
          </w:rPr>
          <w:tab/>
        </w:r>
        <w:r w:rsidRPr="001B13A4">
          <w:rPr>
            <w:rStyle w:val="Hyperlink"/>
            <w:noProof/>
          </w:rPr>
          <w:t>Part 1 Section 21.4.3.7, spPr (Shape Properties)</w:t>
        </w:r>
        <w:r>
          <w:rPr>
            <w:noProof/>
            <w:webHidden/>
          </w:rPr>
          <w:tab/>
        </w:r>
        <w:r>
          <w:rPr>
            <w:noProof/>
            <w:webHidden/>
          </w:rPr>
          <w:fldChar w:fldCharType="begin"/>
        </w:r>
        <w:r>
          <w:rPr>
            <w:noProof/>
            <w:webHidden/>
          </w:rPr>
          <w:instrText xml:space="preserve"> PAGEREF _Toc181684662 \h </w:instrText>
        </w:r>
        <w:r>
          <w:rPr>
            <w:noProof/>
            <w:webHidden/>
          </w:rPr>
        </w:r>
        <w:r>
          <w:rPr>
            <w:noProof/>
            <w:webHidden/>
          </w:rPr>
          <w:fldChar w:fldCharType="separate"/>
        </w:r>
        <w:r>
          <w:rPr>
            <w:noProof/>
            <w:webHidden/>
          </w:rPr>
          <w:t>592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3" w:history="1">
        <w:r w:rsidRPr="001B13A4">
          <w:rPr>
            <w:rStyle w:val="Hyperlink"/>
            <w:noProof/>
          </w:rPr>
          <w:t>2.1.1627</w:t>
        </w:r>
        <w:r>
          <w:rPr>
            <w:rFonts w:asciiTheme="minorHAnsi" w:eastAsiaTheme="minorEastAsia" w:hAnsiTheme="minorHAnsi" w:cstheme="minorBidi"/>
            <w:noProof/>
            <w:sz w:val="22"/>
            <w:szCs w:val="22"/>
          </w:rPr>
          <w:tab/>
        </w:r>
        <w:r w:rsidRPr="001B13A4">
          <w:rPr>
            <w:rStyle w:val="Hyperlink"/>
            <w:noProof/>
          </w:rPr>
          <w:t>Part 1 Section 21.4.3.8, t (Text Body)</w:t>
        </w:r>
        <w:r>
          <w:rPr>
            <w:noProof/>
            <w:webHidden/>
          </w:rPr>
          <w:tab/>
        </w:r>
        <w:r>
          <w:rPr>
            <w:noProof/>
            <w:webHidden/>
          </w:rPr>
          <w:fldChar w:fldCharType="begin"/>
        </w:r>
        <w:r>
          <w:rPr>
            <w:noProof/>
            <w:webHidden/>
          </w:rPr>
          <w:instrText xml:space="preserve"> PAGEREF _Toc181684663 \h </w:instrText>
        </w:r>
        <w:r>
          <w:rPr>
            <w:noProof/>
            <w:webHidden/>
          </w:rPr>
        </w:r>
        <w:r>
          <w:rPr>
            <w:noProof/>
            <w:webHidden/>
          </w:rPr>
          <w:fldChar w:fldCharType="separate"/>
        </w:r>
        <w:r>
          <w:rPr>
            <w:noProof/>
            <w:webHidden/>
          </w:rPr>
          <w:t>592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4" w:history="1">
        <w:r w:rsidRPr="001B13A4">
          <w:rPr>
            <w:rStyle w:val="Hyperlink"/>
            <w:noProof/>
          </w:rPr>
          <w:t>2.1.1628</w:t>
        </w:r>
        <w:r>
          <w:rPr>
            <w:rFonts w:asciiTheme="minorHAnsi" w:eastAsiaTheme="minorEastAsia" w:hAnsiTheme="minorHAnsi" w:cstheme="minorBidi"/>
            <w:noProof/>
            <w:sz w:val="22"/>
            <w:szCs w:val="22"/>
          </w:rPr>
          <w:tab/>
        </w:r>
        <w:r w:rsidRPr="001B13A4">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_Toc181684664 \h </w:instrText>
        </w:r>
        <w:r>
          <w:rPr>
            <w:noProof/>
            <w:webHidden/>
          </w:rPr>
        </w:r>
        <w:r>
          <w:rPr>
            <w:noProof/>
            <w:webHidden/>
          </w:rPr>
          <w:fldChar w:fldCharType="separate"/>
        </w:r>
        <w:r>
          <w:rPr>
            <w:noProof/>
            <w:webHidden/>
          </w:rPr>
          <w:t>592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5" w:history="1">
        <w:r w:rsidRPr="001B13A4">
          <w:rPr>
            <w:rStyle w:val="Hyperlink"/>
            <w:noProof/>
          </w:rPr>
          <w:t>2.1.1629</w:t>
        </w:r>
        <w:r>
          <w:rPr>
            <w:rFonts w:asciiTheme="minorHAnsi" w:eastAsiaTheme="minorEastAsia" w:hAnsiTheme="minorHAnsi" w:cstheme="minorBidi"/>
            <w:noProof/>
            <w:sz w:val="22"/>
            <w:szCs w:val="22"/>
          </w:rPr>
          <w:tab/>
        </w:r>
        <w:r w:rsidRPr="001B13A4">
          <w:rPr>
            <w:rStyle w:val="Hyperlink"/>
            <w:noProof/>
          </w:rPr>
          <w:t>Part 1 Section 21.4.4.7, effectClrLst (Effect Color List)</w:t>
        </w:r>
        <w:r>
          <w:rPr>
            <w:noProof/>
            <w:webHidden/>
          </w:rPr>
          <w:tab/>
        </w:r>
        <w:r>
          <w:rPr>
            <w:noProof/>
            <w:webHidden/>
          </w:rPr>
          <w:fldChar w:fldCharType="begin"/>
        </w:r>
        <w:r>
          <w:rPr>
            <w:noProof/>
            <w:webHidden/>
          </w:rPr>
          <w:instrText xml:space="preserve"> PAGEREF _Toc181684665 \h </w:instrText>
        </w:r>
        <w:r>
          <w:rPr>
            <w:noProof/>
            <w:webHidden/>
          </w:rPr>
        </w:r>
        <w:r>
          <w:rPr>
            <w:noProof/>
            <w:webHidden/>
          </w:rPr>
          <w:fldChar w:fldCharType="separate"/>
        </w:r>
        <w:r>
          <w:rPr>
            <w:noProof/>
            <w:webHidden/>
          </w:rPr>
          <w:t>592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6" w:history="1">
        <w:r w:rsidRPr="001B13A4">
          <w:rPr>
            <w:rStyle w:val="Hyperlink"/>
            <w:noProof/>
          </w:rPr>
          <w:t>2.1.1630</w:t>
        </w:r>
        <w:r>
          <w:rPr>
            <w:rFonts w:asciiTheme="minorHAnsi" w:eastAsiaTheme="minorEastAsia" w:hAnsiTheme="minorHAnsi" w:cstheme="minorBidi"/>
            <w:noProof/>
            <w:sz w:val="22"/>
            <w:szCs w:val="22"/>
          </w:rPr>
          <w:tab/>
        </w:r>
        <w:r w:rsidRPr="001B13A4">
          <w:rPr>
            <w:rStyle w:val="Hyperlink"/>
            <w:noProof/>
          </w:rPr>
          <w:t>Part 1 Section 21.4.4.8, fillClrLst (Fill Color List)</w:t>
        </w:r>
        <w:r>
          <w:rPr>
            <w:noProof/>
            <w:webHidden/>
          </w:rPr>
          <w:tab/>
        </w:r>
        <w:r>
          <w:rPr>
            <w:noProof/>
            <w:webHidden/>
          </w:rPr>
          <w:fldChar w:fldCharType="begin"/>
        </w:r>
        <w:r>
          <w:rPr>
            <w:noProof/>
            <w:webHidden/>
          </w:rPr>
          <w:instrText xml:space="preserve"> PAGEREF _Toc181684666 \h </w:instrText>
        </w:r>
        <w:r>
          <w:rPr>
            <w:noProof/>
            <w:webHidden/>
          </w:rPr>
        </w:r>
        <w:r>
          <w:rPr>
            <w:noProof/>
            <w:webHidden/>
          </w:rPr>
          <w:fldChar w:fldCharType="separate"/>
        </w:r>
        <w:r>
          <w:rPr>
            <w:noProof/>
            <w:webHidden/>
          </w:rPr>
          <w:t>592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7" w:history="1">
        <w:r w:rsidRPr="001B13A4">
          <w:rPr>
            <w:rStyle w:val="Hyperlink"/>
            <w:noProof/>
          </w:rPr>
          <w:t>2.1.1631</w:t>
        </w:r>
        <w:r>
          <w:rPr>
            <w:rFonts w:asciiTheme="minorHAnsi" w:eastAsiaTheme="minorEastAsia" w:hAnsiTheme="minorHAnsi" w:cstheme="minorBidi"/>
            <w:noProof/>
            <w:sz w:val="22"/>
            <w:szCs w:val="22"/>
          </w:rPr>
          <w:tab/>
        </w:r>
        <w:r w:rsidRPr="001B13A4">
          <w:rPr>
            <w:rStyle w:val="Hyperlink"/>
            <w:noProof/>
          </w:rPr>
          <w:t>Part 1 Section 21.4.4.9, linClrLst (Line Color List)</w:t>
        </w:r>
        <w:r>
          <w:rPr>
            <w:noProof/>
            <w:webHidden/>
          </w:rPr>
          <w:tab/>
        </w:r>
        <w:r>
          <w:rPr>
            <w:noProof/>
            <w:webHidden/>
          </w:rPr>
          <w:fldChar w:fldCharType="begin"/>
        </w:r>
        <w:r>
          <w:rPr>
            <w:noProof/>
            <w:webHidden/>
          </w:rPr>
          <w:instrText xml:space="preserve"> PAGEREF _Toc181684667 \h </w:instrText>
        </w:r>
        <w:r>
          <w:rPr>
            <w:noProof/>
            <w:webHidden/>
          </w:rPr>
        </w:r>
        <w:r>
          <w:rPr>
            <w:noProof/>
            <w:webHidden/>
          </w:rPr>
          <w:fldChar w:fldCharType="separate"/>
        </w:r>
        <w:r>
          <w:rPr>
            <w:noProof/>
            <w:webHidden/>
          </w:rPr>
          <w:t>592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8" w:history="1">
        <w:r w:rsidRPr="001B13A4">
          <w:rPr>
            <w:rStyle w:val="Hyperlink"/>
            <w:noProof/>
          </w:rPr>
          <w:t>2.1.1632</w:t>
        </w:r>
        <w:r>
          <w:rPr>
            <w:rFonts w:asciiTheme="minorHAnsi" w:eastAsiaTheme="minorEastAsia" w:hAnsiTheme="minorHAnsi" w:cstheme="minorBidi"/>
            <w:noProof/>
            <w:sz w:val="22"/>
            <w:szCs w:val="22"/>
          </w:rPr>
          <w:tab/>
        </w:r>
        <w:r w:rsidRPr="001B13A4">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_Toc181684668 \h </w:instrText>
        </w:r>
        <w:r>
          <w:rPr>
            <w:noProof/>
            <w:webHidden/>
          </w:rPr>
        </w:r>
        <w:r>
          <w:rPr>
            <w:noProof/>
            <w:webHidden/>
          </w:rPr>
          <w:fldChar w:fldCharType="separate"/>
        </w:r>
        <w:r>
          <w:rPr>
            <w:noProof/>
            <w:webHidden/>
          </w:rPr>
          <w:t>593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69" w:history="1">
        <w:r w:rsidRPr="001B13A4">
          <w:rPr>
            <w:rStyle w:val="Hyperlink"/>
            <w:noProof/>
          </w:rPr>
          <w:t>2.1.1633</w:t>
        </w:r>
        <w:r>
          <w:rPr>
            <w:rFonts w:asciiTheme="minorHAnsi" w:eastAsiaTheme="minorEastAsia" w:hAnsiTheme="minorHAnsi" w:cstheme="minorBidi"/>
            <w:noProof/>
            <w:sz w:val="22"/>
            <w:szCs w:val="22"/>
          </w:rPr>
          <w:tab/>
        </w:r>
        <w:r w:rsidRPr="001B13A4">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_Toc181684669 \h </w:instrText>
        </w:r>
        <w:r>
          <w:rPr>
            <w:noProof/>
            <w:webHidden/>
          </w:rPr>
        </w:r>
        <w:r>
          <w:rPr>
            <w:noProof/>
            <w:webHidden/>
          </w:rPr>
          <w:fldChar w:fldCharType="separate"/>
        </w:r>
        <w:r>
          <w:rPr>
            <w:noProof/>
            <w:webHidden/>
          </w:rPr>
          <w:t>593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0" w:history="1">
        <w:r w:rsidRPr="001B13A4">
          <w:rPr>
            <w:rStyle w:val="Hyperlink"/>
            <w:noProof/>
          </w:rPr>
          <w:t>2.1.1634</w:t>
        </w:r>
        <w:r>
          <w:rPr>
            <w:rFonts w:asciiTheme="minorHAnsi" w:eastAsiaTheme="minorEastAsia" w:hAnsiTheme="minorHAnsi" w:cstheme="minorBidi"/>
            <w:noProof/>
            <w:sz w:val="22"/>
            <w:szCs w:val="22"/>
          </w:rPr>
          <w:tab/>
        </w:r>
        <w:r w:rsidRPr="001B13A4">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_Toc181684670 \h </w:instrText>
        </w:r>
        <w:r>
          <w:rPr>
            <w:noProof/>
            <w:webHidden/>
          </w:rPr>
        </w:r>
        <w:r>
          <w:rPr>
            <w:noProof/>
            <w:webHidden/>
          </w:rPr>
          <w:fldChar w:fldCharType="separate"/>
        </w:r>
        <w:r>
          <w:rPr>
            <w:noProof/>
            <w:webHidden/>
          </w:rPr>
          <w:t>593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1" w:history="1">
        <w:r w:rsidRPr="001B13A4">
          <w:rPr>
            <w:rStyle w:val="Hyperlink"/>
            <w:noProof/>
          </w:rPr>
          <w:t>2.1.1635</w:t>
        </w:r>
        <w:r>
          <w:rPr>
            <w:rFonts w:asciiTheme="minorHAnsi" w:eastAsiaTheme="minorEastAsia" w:hAnsiTheme="minorHAnsi" w:cstheme="minorBidi"/>
            <w:noProof/>
            <w:sz w:val="22"/>
            <w:szCs w:val="22"/>
          </w:rPr>
          <w:tab/>
        </w:r>
        <w:r w:rsidRPr="001B13A4">
          <w:rPr>
            <w:rStyle w:val="Hyperlink"/>
            <w:noProof/>
          </w:rPr>
          <w:t>Part 1 Section 21.4.5.6, sp3d (3-D Shape Properties)</w:t>
        </w:r>
        <w:r>
          <w:rPr>
            <w:noProof/>
            <w:webHidden/>
          </w:rPr>
          <w:tab/>
        </w:r>
        <w:r>
          <w:rPr>
            <w:noProof/>
            <w:webHidden/>
          </w:rPr>
          <w:fldChar w:fldCharType="begin"/>
        </w:r>
        <w:r>
          <w:rPr>
            <w:noProof/>
            <w:webHidden/>
          </w:rPr>
          <w:instrText xml:space="preserve"> PAGEREF _Toc181684671 \h </w:instrText>
        </w:r>
        <w:r>
          <w:rPr>
            <w:noProof/>
            <w:webHidden/>
          </w:rPr>
        </w:r>
        <w:r>
          <w:rPr>
            <w:noProof/>
            <w:webHidden/>
          </w:rPr>
          <w:fldChar w:fldCharType="separate"/>
        </w:r>
        <w:r>
          <w:rPr>
            <w:noProof/>
            <w:webHidden/>
          </w:rPr>
          <w:t>593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2" w:history="1">
        <w:r w:rsidRPr="001B13A4">
          <w:rPr>
            <w:rStyle w:val="Hyperlink"/>
            <w:noProof/>
          </w:rPr>
          <w:t>2.1.1636</w:t>
        </w:r>
        <w:r>
          <w:rPr>
            <w:rFonts w:asciiTheme="minorHAnsi" w:eastAsiaTheme="minorEastAsia" w:hAnsiTheme="minorHAnsi" w:cstheme="minorBidi"/>
            <w:noProof/>
            <w:sz w:val="22"/>
            <w:szCs w:val="22"/>
          </w:rPr>
          <w:tab/>
        </w:r>
        <w:r w:rsidRPr="001B13A4">
          <w:rPr>
            <w:rStyle w:val="Hyperlink"/>
            <w:noProof/>
          </w:rPr>
          <w:t>Part 1 Section 21.4.5.10, styleLbl (Style Label)</w:t>
        </w:r>
        <w:r>
          <w:rPr>
            <w:noProof/>
            <w:webHidden/>
          </w:rPr>
          <w:tab/>
        </w:r>
        <w:r>
          <w:rPr>
            <w:noProof/>
            <w:webHidden/>
          </w:rPr>
          <w:fldChar w:fldCharType="begin"/>
        </w:r>
        <w:r>
          <w:rPr>
            <w:noProof/>
            <w:webHidden/>
          </w:rPr>
          <w:instrText xml:space="preserve"> PAGEREF _Toc181684672 \h </w:instrText>
        </w:r>
        <w:r>
          <w:rPr>
            <w:noProof/>
            <w:webHidden/>
          </w:rPr>
        </w:r>
        <w:r>
          <w:rPr>
            <w:noProof/>
            <w:webHidden/>
          </w:rPr>
          <w:fldChar w:fldCharType="separate"/>
        </w:r>
        <w:r>
          <w:rPr>
            <w:noProof/>
            <w:webHidden/>
          </w:rPr>
          <w:t>593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3" w:history="1">
        <w:r w:rsidRPr="001B13A4">
          <w:rPr>
            <w:rStyle w:val="Hyperlink"/>
            <w:noProof/>
          </w:rPr>
          <w:t>2.1.1637</w:t>
        </w:r>
        <w:r>
          <w:rPr>
            <w:rFonts w:asciiTheme="minorHAnsi" w:eastAsiaTheme="minorEastAsia" w:hAnsiTheme="minorHAnsi" w:cstheme="minorBidi"/>
            <w:noProof/>
            <w:sz w:val="22"/>
            <w:szCs w:val="22"/>
          </w:rPr>
          <w:tab/>
        </w:r>
        <w:r w:rsidRPr="001B13A4">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_Toc181684673 \h </w:instrText>
        </w:r>
        <w:r>
          <w:rPr>
            <w:noProof/>
            <w:webHidden/>
          </w:rPr>
        </w:r>
        <w:r>
          <w:rPr>
            <w:noProof/>
            <w:webHidden/>
          </w:rPr>
          <w:fldChar w:fldCharType="separate"/>
        </w:r>
        <w:r>
          <w:rPr>
            <w:noProof/>
            <w:webHidden/>
          </w:rPr>
          <w:t>593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4" w:history="1">
        <w:r w:rsidRPr="001B13A4">
          <w:rPr>
            <w:rStyle w:val="Hyperlink"/>
            <w:noProof/>
          </w:rPr>
          <w:t>2.1.1638</w:t>
        </w:r>
        <w:r>
          <w:rPr>
            <w:rFonts w:asciiTheme="minorHAnsi" w:eastAsiaTheme="minorEastAsia" w:hAnsiTheme="minorHAnsi" w:cstheme="minorBidi"/>
            <w:noProof/>
            <w:sz w:val="22"/>
            <w:szCs w:val="22"/>
          </w:rPr>
          <w:tab/>
        </w:r>
        <w:r w:rsidRPr="001B13A4">
          <w:rPr>
            <w:rStyle w:val="Hyperlink"/>
            <w:noProof/>
          </w:rPr>
          <w:t>Part 1 Section 21.4.7.6, ST_AxisType (Axis Type)</w:t>
        </w:r>
        <w:r>
          <w:rPr>
            <w:noProof/>
            <w:webHidden/>
          </w:rPr>
          <w:tab/>
        </w:r>
        <w:r>
          <w:rPr>
            <w:noProof/>
            <w:webHidden/>
          </w:rPr>
          <w:fldChar w:fldCharType="begin"/>
        </w:r>
        <w:r>
          <w:rPr>
            <w:noProof/>
            <w:webHidden/>
          </w:rPr>
          <w:instrText xml:space="preserve"> PAGEREF _Toc181684674 \h </w:instrText>
        </w:r>
        <w:r>
          <w:rPr>
            <w:noProof/>
            <w:webHidden/>
          </w:rPr>
        </w:r>
        <w:r>
          <w:rPr>
            <w:noProof/>
            <w:webHidden/>
          </w:rPr>
          <w:fldChar w:fldCharType="separate"/>
        </w:r>
        <w:r>
          <w:rPr>
            <w:noProof/>
            <w:webHidden/>
          </w:rPr>
          <w:t>593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5" w:history="1">
        <w:r w:rsidRPr="001B13A4">
          <w:rPr>
            <w:rStyle w:val="Hyperlink"/>
            <w:noProof/>
          </w:rPr>
          <w:t>2.1.1639</w:t>
        </w:r>
        <w:r>
          <w:rPr>
            <w:rFonts w:asciiTheme="minorHAnsi" w:eastAsiaTheme="minorEastAsia" w:hAnsiTheme="minorHAnsi" w:cstheme="minorBidi"/>
            <w:noProof/>
            <w:sz w:val="22"/>
            <w:szCs w:val="22"/>
          </w:rPr>
          <w:tab/>
        </w:r>
        <w:r w:rsidRPr="001B13A4">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_Toc181684675 \h </w:instrText>
        </w:r>
        <w:r>
          <w:rPr>
            <w:noProof/>
            <w:webHidden/>
          </w:rPr>
        </w:r>
        <w:r>
          <w:rPr>
            <w:noProof/>
            <w:webHidden/>
          </w:rPr>
          <w:fldChar w:fldCharType="separate"/>
        </w:r>
        <w:r>
          <w:rPr>
            <w:noProof/>
            <w:webHidden/>
          </w:rPr>
          <w:t>593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6" w:history="1">
        <w:r w:rsidRPr="001B13A4">
          <w:rPr>
            <w:rStyle w:val="Hyperlink"/>
            <w:noProof/>
          </w:rPr>
          <w:t>2.1.1640</w:t>
        </w:r>
        <w:r>
          <w:rPr>
            <w:rFonts w:asciiTheme="minorHAnsi" w:eastAsiaTheme="minorEastAsia" w:hAnsiTheme="minorHAnsi" w:cstheme="minorBidi"/>
            <w:noProof/>
            <w:sz w:val="22"/>
            <w:szCs w:val="22"/>
          </w:rPr>
          <w:tab/>
        </w:r>
        <w:r w:rsidRPr="001B13A4">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_Toc181684676 \h </w:instrText>
        </w:r>
        <w:r>
          <w:rPr>
            <w:noProof/>
            <w:webHidden/>
          </w:rPr>
        </w:r>
        <w:r>
          <w:rPr>
            <w:noProof/>
            <w:webHidden/>
          </w:rPr>
          <w:fldChar w:fldCharType="separate"/>
        </w:r>
        <w:r>
          <w:rPr>
            <w:noProof/>
            <w:webHidden/>
          </w:rPr>
          <w:t>600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7" w:history="1">
        <w:r w:rsidRPr="001B13A4">
          <w:rPr>
            <w:rStyle w:val="Hyperlink"/>
            <w:noProof/>
          </w:rPr>
          <w:t>2.1.1641</w:t>
        </w:r>
        <w:r>
          <w:rPr>
            <w:rFonts w:asciiTheme="minorHAnsi" w:eastAsiaTheme="minorEastAsia" w:hAnsiTheme="minorHAnsi" w:cstheme="minorBidi"/>
            <w:noProof/>
            <w:sz w:val="22"/>
            <w:szCs w:val="22"/>
          </w:rPr>
          <w:tab/>
        </w:r>
        <w:r w:rsidRPr="001B13A4">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_Toc181684677 \h </w:instrText>
        </w:r>
        <w:r>
          <w:rPr>
            <w:noProof/>
            <w:webHidden/>
          </w:rPr>
        </w:r>
        <w:r>
          <w:rPr>
            <w:noProof/>
            <w:webHidden/>
          </w:rPr>
          <w:fldChar w:fldCharType="separate"/>
        </w:r>
        <w:r>
          <w:rPr>
            <w:noProof/>
            <w:webHidden/>
          </w:rPr>
          <w:t>600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8" w:history="1">
        <w:r w:rsidRPr="001B13A4">
          <w:rPr>
            <w:rStyle w:val="Hyperlink"/>
            <w:noProof/>
          </w:rPr>
          <w:t>2.1.1642</w:t>
        </w:r>
        <w:r>
          <w:rPr>
            <w:rFonts w:asciiTheme="minorHAnsi" w:eastAsiaTheme="minorEastAsia" w:hAnsiTheme="minorHAnsi" w:cstheme="minorBidi"/>
            <w:noProof/>
            <w:sz w:val="22"/>
            <w:szCs w:val="22"/>
          </w:rPr>
          <w:tab/>
        </w:r>
        <w:r w:rsidRPr="001B13A4">
          <w:rPr>
            <w:rStyle w:val="Hyperlink"/>
            <w:noProof/>
          </w:rPr>
          <w:t>Part 1 Section 22.1, Math</w:t>
        </w:r>
        <w:r>
          <w:rPr>
            <w:noProof/>
            <w:webHidden/>
          </w:rPr>
          <w:tab/>
        </w:r>
        <w:r>
          <w:rPr>
            <w:noProof/>
            <w:webHidden/>
          </w:rPr>
          <w:fldChar w:fldCharType="begin"/>
        </w:r>
        <w:r>
          <w:rPr>
            <w:noProof/>
            <w:webHidden/>
          </w:rPr>
          <w:instrText xml:space="preserve"> PAGEREF _Toc181684678 \h </w:instrText>
        </w:r>
        <w:r>
          <w:rPr>
            <w:noProof/>
            <w:webHidden/>
          </w:rPr>
        </w:r>
        <w:r>
          <w:rPr>
            <w:noProof/>
            <w:webHidden/>
          </w:rPr>
          <w:fldChar w:fldCharType="separate"/>
        </w:r>
        <w:r>
          <w:rPr>
            <w:noProof/>
            <w:webHidden/>
          </w:rPr>
          <w:t>600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79" w:history="1">
        <w:r w:rsidRPr="001B13A4">
          <w:rPr>
            <w:rStyle w:val="Hyperlink"/>
            <w:noProof/>
          </w:rPr>
          <w:t>2.1.1643</w:t>
        </w:r>
        <w:r>
          <w:rPr>
            <w:rFonts w:asciiTheme="minorHAnsi" w:eastAsiaTheme="minorEastAsia" w:hAnsiTheme="minorHAnsi" w:cstheme="minorBidi"/>
            <w:noProof/>
            <w:sz w:val="22"/>
            <w:szCs w:val="22"/>
          </w:rPr>
          <w:tab/>
        </w:r>
        <w:r w:rsidRPr="001B13A4">
          <w:rPr>
            <w:rStyle w:val="Hyperlink"/>
            <w:noProof/>
          </w:rPr>
          <w:t>Part 1 Section 22.1.2.1, acc (Accent)</w:t>
        </w:r>
        <w:r>
          <w:rPr>
            <w:noProof/>
            <w:webHidden/>
          </w:rPr>
          <w:tab/>
        </w:r>
        <w:r>
          <w:rPr>
            <w:noProof/>
            <w:webHidden/>
          </w:rPr>
          <w:fldChar w:fldCharType="begin"/>
        </w:r>
        <w:r>
          <w:rPr>
            <w:noProof/>
            <w:webHidden/>
          </w:rPr>
          <w:instrText xml:space="preserve"> PAGEREF _Toc181684679 \h </w:instrText>
        </w:r>
        <w:r>
          <w:rPr>
            <w:noProof/>
            <w:webHidden/>
          </w:rPr>
        </w:r>
        <w:r>
          <w:rPr>
            <w:noProof/>
            <w:webHidden/>
          </w:rPr>
          <w:fldChar w:fldCharType="separate"/>
        </w:r>
        <w:r>
          <w:rPr>
            <w:noProof/>
            <w:webHidden/>
          </w:rPr>
          <w:t>600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0" w:history="1">
        <w:r w:rsidRPr="001B13A4">
          <w:rPr>
            <w:rStyle w:val="Hyperlink"/>
            <w:noProof/>
          </w:rPr>
          <w:t>2.1.1644</w:t>
        </w:r>
        <w:r>
          <w:rPr>
            <w:rFonts w:asciiTheme="minorHAnsi" w:eastAsiaTheme="minorEastAsia" w:hAnsiTheme="minorHAnsi" w:cstheme="minorBidi"/>
            <w:noProof/>
            <w:sz w:val="22"/>
            <w:szCs w:val="22"/>
          </w:rPr>
          <w:tab/>
        </w:r>
        <w:r w:rsidRPr="001B13A4">
          <w:rPr>
            <w:rStyle w:val="Hyperlink"/>
            <w:noProof/>
          </w:rPr>
          <w:t>Part 1 Section 22.1.2.3, aln (Alignment)</w:t>
        </w:r>
        <w:r>
          <w:rPr>
            <w:noProof/>
            <w:webHidden/>
          </w:rPr>
          <w:tab/>
        </w:r>
        <w:r>
          <w:rPr>
            <w:noProof/>
            <w:webHidden/>
          </w:rPr>
          <w:fldChar w:fldCharType="begin"/>
        </w:r>
        <w:r>
          <w:rPr>
            <w:noProof/>
            <w:webHidden/>
          </w:rPr>
          <w:instrText xml:space="preserve"> PAGEREF _Toc181684680 \h </w:instrText>
        </w:r>
        <w:r>
          <w:rPr>
            <w:noProof/>
            <w:webHidden/>
          </w:rPr>
        </w:r>
        <w:r>
          <w:rPr>
            <w:noProof/>
            <w:webHidden/>
          </w:rPr>
          <w:fldChar w:fldCharType="separate"/>
        </w:r>
        <w:r>
          <w:rPr>
            <w:noProof/>
            <w:webHidden/>
          </w:rPr>
          <w:t>601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1" w:history="1">
        <w:r w:rsidRPr="001B13A4">
          <w:rPr>
            <w:rStyle w:val="Hyperlink"/>
            <w:noProof/>
          </w:rPr>
          <w:t>2.1.1645</w:t>
        </w:r>
        <w:r>
          <w:rPr>
            <w:rFonts w:asciiTheme="minorHAnsi" w:eastAsiaTheme="minorEastAsia" w:hAnsiTheme="minorHAnsi" w:cstheme="minorBidi"/>
            <w:noProof/>
            <w:sz w:val="22"/>
            <w:szCs w:val="22"/>
          </w:rPr>
          <w:tab/>
        </w:r>
        <w:r w:rsidRPr="001B13A4">
          <w:rPr>
            <w:rStyle w:val="Hyperlink"/>
            <w:noProof/>
          </w:rPr>
          <w:t>Part 1 Section 22.1.2.7, bar (Bar)</w:t>
        </w:r>
        <w:r>
          <w:rPr>
            <w:noProof/>
            <w:webHidden/>
          </w:rPr>
          <w:tab/>
        </w:r>
        <w:r>
          <w:rPr>
            <w:noProof/>
            <w:webHidden/>
          </w:rPr>
          <w:fldChar w:fldCharType="begin"/>
        </w:r>
        <w:r>
          <w:rPr>
            <w:noProof/>
            <w:webHidden/>
          </w:rPr>
          <w:instrText xml:space="preserve"> PAGEREF _Toc181684681 \h </w:instrText>
        </w:r>
        <w:r>
          <w:rPr>
            <w:noProof/>
            <w:webHidden/>
          </w:rPr>
        </w:r>
        <w:r>
          <w:rPr>
            <w:noProof/>
            <w:webHidden/>
          </w:rPr>
          <w:fldChar w:fldCharType="separate"/>
        </w:r>
        <w:r>
          <w:rPr>
            <w:noProof/>
            <w:webHidden/>
          </w:rPr>
          <w:t>601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2" w:history="1">
        <w:r w:rsidRPr="001B13A4">
          <w:rPr>
            <w:rStyle w:val="Hyperlink"/>
            <w:noProof/>
          </w:rPr>
          <w:t>2.1.1646</w:t>
        </w:r>
        <w:r>
          <w:rPr>
            <w:rFonts w:asciiTheme="minorHAnsi" w:eastAsiaTheme="minorEastAsia" w:hAnsiTheme="minorHAnsi" w:cstheme="minorBidi"/>
            <w:noProof/>
            <w:sz w:val="22"/>
            <w:szCs w:val="22"/>
          </w:rPr>
          <w:tab/>
        </w:r>
        <w:r w:rsidRPr="001B13A4">
          <w:rPr>
            <w:rStyle w:val="Hyperlink"/>
            <w:noProof/>
          </w:rPr>
          <w:t>Part 1 Section 22.1.2.8, barPr (Bar Properties)</w:t>
        </w:r>
        <w:r>
          <w:rPr>
            <w:noProof/>
            <w:webHidden/>
          </w:rPr>
          <w:tab/>
        </w:r>
        <w:r>
          <w:rPr>
            <w:noProof/>
            <w:webHidden/>
          </w:rPr>
          <w:fldChar w:fldCharType="begin"/>
        </w:r>
        <w:r>
          <w:rPr>
            <w:noProof/>
            <w:webHidden/>
          </w:rPr>
          <w:instrText xml:space="preserve"> PAGEREF _Toc181684682 \h </w:instrText>
        </w:r>
        <w:r>
          <w:rPr>
            <w:noProof/>
            <w:webHidden/>
          </w:rPr>
        </w:r>
        <w:r>
          <w:rPr>
            <w:noProof/>
            <w:webHidden/>
          </w:rPr>
          <w:fldChar w:fldCharType="separate"/>
        </w:r>
        <w:r>
          <w:rPr>
            <w:noProof/>
            <w:webHidden/>
          </w:rPr>
          <w:t>601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3" w:history="1">
        <w:r w:rsidRPr="001B13A4">
          <w:rPr>
            <w:rStyle w:val="Hyperlink"/>
            <w:noProof/>
          </w:rPr>
          <w:t>2.1.1647</w:t>
        </w:r>
        <w:r>
          <w:rPr>
            <w:rFonts w:asciiTheme="minorHAnsi" w:eastAsiaTheme="minorEastAsia" w:hAnsiTheme="minorHAnsi" w:cstheme="minorBidi"/>
            <w:noProof/>
            <w:sz w:val="22"/>
            <w:szCs w:val="22"/>
          </w:rPr>
          <w:tab/>
        </w:r>
        <w:r w:rsidRPr="001B13A4">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_Toc181684683 \h </w:instrText>
        </w:r>
        <w:r>
          <w:rPr>
            <w:noProof/>
            <w:webHidden/>
          </w:rPr>
        </w:r>
        <w:r>
          <w:rPr>
            <w:noProof/>
            <w:webHidden/>
          </w:rPr>
          <w:fldChar w:fldCharType="separate"/>
        </w:r>
        <w:r>
          <w:rPr>
            <w:noProof/>
            <w:webHidden/>
          </w:rPr>
          <w:t>601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4" w:history="1">
        <w:r w:rsidRPr="001B13A4">
          <w:rPr>
            <w:rStyle w:val="Hyperlink"/>
            <w:noProof/>
          </w:rPr>
          <w:t>2.1.1648</w:t>
        </w:r>
        <w:r>
          <w:rPr>
            <w:rFonts w:asciiTheme="minorHAnsi" w:eastAsiaTheme="minorEastAsia" w:hAnsiTheme="minorHAnsi" w:cstheme="minorBidi"/>
            <w:noProof/>
            <w:sz w:val="22"/>
            <w:szCs w:val="22"/>
          </w:rPr>
          <w:tab/>
        </w:r>
        <w:r w:rsidRPr="001B13A4">
          <w:rPr>
            <w:rStyle w:val="Hyperlink"/>
            <w:noProof/>
          </w:rPr>
          <w:t>Part 1 Section 22.1.2.11, borderBox (Border-Box Object)</w:t>
        </w:r>
        <w:r>
          <w:rPr>
            <w:noProof/>
            <w:webHidden/>
          </w:rPr>
          <w:tab/>
        </w:r>
        <w:r>
          <w:rPr>
            <w:noProof/>
            <w:webHidden/>
          </w:rPr>
          <w:fldChar w:fldCharType="begin"/>
        </w:r>
        <w:r>
          <w:rPr>
            <w:noProof/>
            <w:webHidden/>
          </w:rPr>
          <w:instrText xml:space="preserve"> PAGEREF _Toc181684684 \h </w:instrText>
        </w:r>
        <w:r>
          <w:rPr>
            <w:noProof/>
            <w:webHidden/>
          </w:rPr>
        </w:r>
        <w:r>
          <w:rPr>
            <w:noProof/>
            <w:webHidden/>
          </w:rPr>
          <w:fldChar w:fldCharType="separate"/>
        </w:r>
        <w:r>
          <w:rPr>
            <w:noProof/>
            <w:webHidden/>
          </w:rPr>
          <w:t>601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5" w:history="1">
        <w:r w:rsidRPr="001B13A4">
          <w:rPr>
            <w:rStyle w:val="Hyperlink"/>
            <w:noProof/>
          </w:rPr>
          <w:t>2.1.1649</w:t>
        </w:r>
        <w:r>
          <w:rPr>
            <w:rFonts w:asciiTheme="minorHAnsi" w:eastAsiaTheme="minorEastAsia" w:hAnsiTheme="minorHAnsi" w:cstheme="minorBidi"/>
            <w:noProof/>
            <w:sz w:val="22"/>
            <w:szCs w:val="22"/>
          </w:rPr>
          <w:tab/>
        </w:r>
        <w:r w:rsidRPr="001B13A4">
          <w:rPr>
            <w:rStyle w:val="Hyperlink"/>
            <w:noProof/>
          </w:rPr>
          <w:t>Part 1 Section 22.1.2.13, box (Box Object)</w:t>
        </w:r>
        <w:r>
          <w:rPr>
            <w:noProof/>
            <w:webHidden/>
          </w:rPr>
          <w:tab/>
        </w:r>
        <w:r>
          <w:rPr>
            <w:noProof/>
            <w:webHidden/>
          </w:rPr>
          <w:fldChar w:fldCharType="begin"/>
        </w:r>
        <w:r>
          <w:rPr>
            <w:noProof/>
            <w:webHidden/>
          </w:rPr>
          <w:instrText xml:space="preserve"> PAGEREF _Toc181684685 \h </w:instrText>
        </w:r>
        <w:r>
          <w:rPr>
            <w:noProof/>
            <w:webHidden/>
          </w:rPr>
        </w:r>
        <w:r>
          <w:rPr>
            <w:noProof/>
            <w:webHidden/>
          </w:rPr>
          <w:fldChar w:fldCharType="separate"/>
        </w:r>
        <w:r>
          <w:rPr>
            <w:noProof/>
            <w:webHidden/>
          </w:rPr>
          <w:t>601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6" w:history="1">
        <w:r w:rsidRPr="001B13A4">
          <w:rPr>
            <w:rStyle w:val="Hyperlink"/>
            <w:noProof/>
          </w:rPr>
          <w:t>2.1.1650</w:t>
        </w:r>
        <w:r>
          <w:rPr>
            <w:rFonts w:asciiTheme="minorHAnsi" w:eastAsiaTheme="minorEastAsia" w:hAnsiTheme="minorHAnsi" w:cstheme="minorBidi"/>
            <w:noProof/>
            <w:sz w:val="22"/>
            <w:szCs w:val="22"/>
          </w:rPr>
          <w:tab/>
        </w:r>
        <w:r w:rsidRPr="001B13A4">
          <w:rPr>
            <w:rStyle w:val="Hyperlink"/>
            <w:noProof/>
          </w:rPr>
          <w:t>Part 1 Section 22.1.2.15, brk (Break)</w:t>
        </w:r>
        <w:r>
          <w:rPr>
            <w:noProof/>
            <w:webHidden/>
          </w:rPr>
          <w:tab/>
        </w:r>
        <w:r>
          <w:rPr>
            <w:noProof/>
            <w:webHidden/>
          </w:rPr>
          <w:fldChar w:fldCharType="begin"/>
        </w:r>
        <w:r>
          <w:rPr>
            <w:noProof/>
            <w:webHidden/>
          </w:rPr>
          <w:instrText xml:space="preserve"> PAGEREF _Toc181684686 \h </w:instrText>
        </w:r>
        <w:r>
          <w:rPr>
            <w:noProof/>
            <w:webHidden/>
          </w:rPr>
        </w:r>
        <w:r>
          <w:rPr>
            <w:noProof/>
            <w:webHidden/>
          </w:rPr>
          <w:fldChar w:fldCharType="separate"/>
        </w:r>
        <w:r>
          <w:rPr>
            <w:noProof/>
            <w:webHidden/>
          </w:rPr>
          <w:t>601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7" w:history="1">
        <w:r w:rsidRPr="001B13A4">
          <w:rPr>
            <w:rStyle w:val="Hyperlink"/>
            <w:noProof/>
          </w:rPr>
          <w:t>2.1.1651</w:t>
        </w:r>
        <w:r>
          <w:rPr>
            <w:rFonts w:asciiTheme="minorHAnsi" w:eastAsiaTheme="minorEastAsia" w:hAnsiTheme="minorHAnsi" w:cstheme="minorBidi"/>
            <w:noProof/>
            <w:sz w:val="22"/>
            <w:szCs w:val="22"/>
          </w:rPr>
          <w:tab/>
        </w:r>
        <w:r w:rsidRPr="001B13A4">
          <w:rPr>
            <w:rStyle w:val="Hyperlink"/>
            <w:noProof/>
          </w:rPr>
          <w:t>Part 1 Section 22.1.2.18, cGp (Matrix Column Gap)</w:t>
        </w:r>
        <w:r>
          <w:rPr>
            <w:noProof/>
            <w:webHidden/>
          </w:rPr>
          <w:tab/>
        </w:r>
        <w:r>
          <w:rPr>
            <w:noProof/>
            <w:webHidden/>
          </w:rPr>
          <w:fldChar w:fldCharType="begin"/>
        </w:r>
        <w:r>
          <w:rPr>
            <w:noProof/>
            <w:webHidden/>
          </w:rPr>
          <w:instrText xml:space="preserve"> PAGEREF _Toc181684687 \h </w:instrText>
        </w:r>
        <w:r>
          <w:rPr>
            <w:noProof/>
            <w:webHidden/>
          </w:rPr>
        </w:r>
        <w:r>
          <w:rPr>
            <w:noProof/>
            <w:webHidden/>
          </w:rPr>
          <w:fldChar w:fldCharType="separate"/>
        </w:r>
        <w:r>
          <w:rPr>
            <w:noProof/>
            <w:webHidden/>
          </w:rPr>
          <w:t>602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8" w:history="1">
        <w:r w:rsidRPr="001B13A4">
          <w:rPr>
            <w:rStyle w:val="Hyperlink"/>
            <w:noProof/>
          </w:rPr>
          <w:t>2.1.1652</w:t>
        </w:r>
        <w:r>
          <w:rPr>
            <w:rFonts w:asciiTheme="minorHAnsi" w:eastAsiaTheme="minorEastAsia" w:hAnsiTheme="minorHAnsi" w:cstheme="minorBidi"/>
            <w:noProof/>
            <w:sz w:val="22"/>
            <w:szCs w:val="22"/>
          </w:rPr>
          <w:tab/>
        </w:r>
        <w:r w:rsidRPr="001B13A4">
          <w:rPr>
            <w:rStyle w:val="Hyperlink"/>
            <w:noProof/>
          </w:rPr>
          <w:t>Part 1 Section 22.1.2.19, cGpRule (Matrix Column Gap Rule)</w:t>
        </w:r>
        <w:r>
          <w:rPr>
            <w:noProof/>
            <w:webHidden/>
          </w:rPr>
          <w:tab/>
        </w:r>
        <w:r>
          <w:rPr>
            <w:noProof/>
            <w:webHidden/>
          </w:rPr>
          <w:fldChar w:fldCharType="begin"/>
        </w:r>
        <w:r>
          <w:rPr>
            <w:noProof/>
            <w:webHidden/>
          </w:rPr>
          <w:instrText xml:space="preserve"> PAGEREF _Toc181684688 \h </w:instrText>
        </w:r>
        <w:r>
          <w:rPr>
            <w:noProof/>
            <w:webHidden/>
          </w:rPr>
        </w:r>
        <w:r>
          <w:rPr>
            <w:noProof/>
            <w:webHidden/>
          </w:rPr>
          <w:fldChar w:fldCharType="separate"/>
        </w:r>
        <w:r>
          <w:rPr>
            <w:noProof/>
            <w:webHidden/>
          </w:rPr>
          <w:t>602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89" w:history="1">
        <w:r w:rsidRPr="001B13A4">
          <w:rPr>
            <w:rStyle w:val="Hyperlink"/>
            <w:noProof/>
          </w:rPr>
          <w:t>2.1.1653</w:t>
        </w:r>
        <w:r>
          <w:rPr>
            <w:rFonts w:asciiTheme="minorHAnsi" w:eastAsiaTheme="minorEastAsia" w:hAnsiTheme="minorHAnsi" w:cstheme="minorBidi"/>
            <w:noProof/>
            <w:sz w:val="22"/>
            <w:szCs w:val="22"/>
          </w:rPr>
          <w:tab/>
        </w:r>
        <w:r w:rsidRPr="001B13A4">
          <w:rPr>
            <w:rStyle w:val="Hyperlink"/>
            <w:noProof/>
          </w:rPr>
          <w:t>Part 1 Section 22.1.2.21, count (Matrix Column Count)</w:t>
        </w:r>
        <w:r>
          <w:rPr>
            <w:noProof/>
            <w:webHidden/>
          </w:rPr>
          <w:tab/>
        </w:r>
        <w:r>
          <w:rPr>
            <w:noProof/>
            <w:webHidden/>
          </w:rPr>
          <w:fldChar w:fldCharType="begin"/>
        </w:r>
        <w:r>
          <w:rPr>
            <w:noProof/>
            <w:webHidden/>
          </w:rPr>
          <w:instrText xml:space="preserve"> PAGEREF _Toc181684689 \h </w:instrText>
        </w:r>
        <w:r>
          <w:rPr>
            <w:noProof/>
            <w:webHidden/>
          </w:rPr>
        </w:r>
        <w:r>
          <w:rPr>
            <w:noProof/>
            <w:webHidden/>
          </w:rPr>
          <w:fldChar w:fldCharType="separate"/>
        </w:r>
        <w:r>
          <w:rPr>
            <w:noProof/>
            <w:webHidden/>
          </w:rPr>
          <w:t>602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0" w:history="1">
        <w:r w:rsidRPr="001B13A4">
          <w:rPr>
            <w:rStyle w:val="Hyperlink"/>
            <w:noProof/>
          </w:rPr>
          <w:t>2.1.1654</w:t>
        </w:r>
        <w:r>
          <w:rPr>
            <w:rFonts w:asciiTheme="minorHAnsi" w:eastAsiaTheme="minorEastAsia" w:hAnsiTheme="minorHAnsi" w:cstheme="minorBidi"/>
            <w:noProof/>
            <w:sz w:val="22"/>
            <w:szCs w:val="22"/>
          </w:rPr>
          <w:tab/>
        </w:r>
        <w:r w:rsidRPr="001B13A4">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_Toc181684690 \h </w:instrText>
        </w:r>
        <w:r>
          <w:rPr>
            <w:noProof/>
            <w:webHidden/>
          </w:rPr>
        </w:r>
        <w:r>
          <w:rPr>
            <w:noProof/>
            <w:webHidden/>
          </w:rPr>
          <w:fldChar w:fldCharType="separate"/>
        </w:r>
        <w:r>
          <w:rPr>
            <w:noProof/>
            <w:webHidden/>
          </w:rPr>
          <w:t>602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1" w:history="1">
        <w:r w:rsidRPr="001B13A4">
          <w:rPr>
            <w:rStyle w:val="Hyperlink"/>
            <w:noProof/>
          </w:rPr>
          <w:t>2.1.1655</w:t>
        </w:r>
        <w:r>
          <w:rPr>
            <w:rFonts w:asciiTheme="minorHAnsi" w:eastAsiaTheme="minorEastAsia" w:hAnsiTheme="minorHAnsi" w:cstheme="minorBidi"/>
            <w:noProof/>
            <w:sz w:val="22"/>
            <w:szCs w:val="22"/>
          </w:rPr>
          <w:tab/>
        </w:r>
        <w:r w:rsidRPr="001B13A4">
          <w:rPr>
            <w:rStyle w:val="Hyperlink"/>
            <w:noProof/>
          </w:rPr>
          <w:t>Part 1 Section 22.1.2.23, ctrlPr (Control Properties)</w:t>
        </w:r>
        <w:r>
          <w:rPr>
            <w:noProof/>
            <w:webHidden/>
          </w:rPr>
          <w:tab/>
        </w:r>
        <w:r>
          <w:rPr>
            <w:noProof/>
            <w:webHidden/>
          </w:rPr>
          <w:fldChar w:fldCharType="begin"/>
        </w:r>
        <w:r>
          <w:rPr>
            <w:noProof/>
            <w:webHidden/>
          </w:rPr>
          <w:instrText xml:space="preserve"> PAGEREF _Toc181684691 \h </w:instrText>
        </w:r>
        <w:r>
          <w:rPr>
            <w:noProof/>
            <w:webHidden/>
          </w:rPr>
        </w:r>
        <w:r>
          <w:rPr>
            <w:noProof/>
            <w:webHidden/>
          </w:rPr>
          <w:fldChar w:fldCharType="separate"/>
        </w:r>
        <w:r>
          <w:rPr>
            <w:noProof/>
            <w:webHidden/>
          </w:rPr>
          <w:t>602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2" w:history="1">
        <w:r w:rsidRPr="001B13A4">
          <w:rPr>
            <w:rStyle w:val="Hyperlink"/>
            <w:noProof/>
          </w:rPr>
          <w:t>2.1.1656</w:t>
        </w:r>
        <w:r>
          <w:rPr>
            <w:rFonts w:asciiTheme="minorHAnsi" w:eastAsiaTheme="minorEastAsia" w:hAnsiTheme="minorHAnsi" w:cstheme="minorBidi"/>
            <w:noProof/>
            <w:sz w:val="22"/>
            <w:szCs w:val="22"/>
          </w:rPr>
          <w:tab/>
        </w:r>
        <w:r w:rsidRPr="001B13A4">
          <w:rPr>
            <w:rStyle w:val="Hyperlink"/>
            <w:noProof/>
          </w:rPr>
          <w:t>Part 1 Section 22.1.2.24, d (Delimiter Object)</w:t>
        </w:r>
        <w:r>
          <w:rPr>
            <w:noProof/>
            <w:webHidden/>
          </w:rPr>
          <w:tab/>
        </w:r>
        <w:r>
          <w:rPr>
            <w:noProof/>
            <w:webHidden/>
          </w:rPr>
          <w:fldChar w:fldCharType="begin"/>
        </w:r>
        <w:r>
          <w:rPr>
            <w:noProof/>
            <w:webHidden/>
          </w:rPr>
          <w:instrText xml:space="preserve"> PAGEREF _Toc181684692 \h </w:instrText>
        </w:r>
        <w:r>
          <w:rPr>
            <w:noProof/>
            <w:webHidden/>
          </w:rPr>
        </w:r>
        <w:r>
          <w:rPr>
            <w:noProof/>
            <w:webHidden/>
          </w:rPr>
          <w:fldChar w:fldCharType="separate"/>
        </w:r>
        <w:r>
          <w:rPr>
            <w:noProof/>
            <w:webHidden/>
          </w:rPr>
          <w:t>602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3" w:history="1">
        <w:r w:rsidRPr="001B13A4">
          <w:rPr>
            <w:rStyle w:val="Hyperlink"/>
            <w:noProof/>
          </w:rPr>
          <w:t>2.1.1657</w:t>
        </w:r>
        <w:r>
          <w:rPr>
            <w:rFonts w:asciiTheme="minorHAnsi" w:eastAsiaTheme="minorEastAsia" w:hAnsiTheme="minorHAnsi" w:cstheme="minorBidi"/>
            <w:noProof/>
            <w:sz w:val="22"/>
            <w:szCs w:val="22"/>
          </w:rPr>
          <w:tab/>
        </w:r>
        <w:r w:rsidRPr="001B13A4">
          <w:rPr>
            <w:rStyle w:val="Hyperlink"/>
            <w:noProof/>
          </w:rPr>
          <w:t>Part 1 Section 22.1.2.25, defJc (Default Justification)</w:t>
        </w:r>
        <w:r>
          <w:rPr>
            <w:noProof/>
            <w:webHidden/>
          </w:rPr>
          <w:tab/>
        </w:r>
        <w:r>
          <w:rPr>
            <w:noProof/>
            <w:webHidden/>
          </w:rPr>
          <w:fldChar w:fldCharType="begin"/>
        </w:r>
        <w:r>
          <w:rPr>
            <w:noProof/>
            <w:webHidden/>
          </w:rPr>
          <w:instrText xml:space="preserve"> PAGEREF _Toc181684693 \h </w:instrText>
        </w:r>
        <w:r>
          <w:rPr>
            <w:noProof/>
            <w:webHidden/>
          </w:rPr>
        </w:r>
        <w:r>
          <w:rPr>
            <w:noProof/>
            <w:webHidden/>
          </w:rPr>
          <w:fldChar w:fldCharType="separate"/>
        </w:r>
        <w:r>
          <w:rPr>
            <w:noProof/>
            <w:webHidden/>
          </w:rPr>
          <w:t>602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4" w:history="1">
        <w:r w:rsidRPr="001B13A4">
          <w:rPr>
            <w:rStyle w:val="Hyperlink"/>
            <w:noProof/>
          </w:rPr>
          <w:t>2.1.1658</w:t>
        </w:r>
        <w:r>
          <w:rPr>
            <w:rFonts w:asciiTheme="minorHAnsi" w:eastAsiaTheme="minorEastAsia" w:hAnsiTheme="minorHAnsi" w:cstheme="minorBidi"/>
            <w:noProof/>
            <w:sz w:val="22"/>
            <w:szCs w:val="22"/>
          </w:rPr>
          <w:tab/>
        </w:r>
        <w:r w:rsidRPr="001B13A4">
          <w:rPr>
            <w:rStyle w:val="Hyperlink"/>
            <w:noProof/>
          </w:rPr>
          <w:t>Part 1 Section 22.1.2.26, deg (Degree)</w:t>
        </w:r>
        <w:r>
          <w:rPr>
            <w:noProof/>
            <w:webHidden/>
          </w:rPr>
          <w:tab/>
        </w:r>
        <w:r>
          <w:rPr>
            <w:noProof/>
            <w:webHidden/>
          </w:rPr>
          <w:fldChar w:fldCharType="begin"/>
        </w:r>
        <w:r>
          <w:rPr>
            <w:noProof/>
            <w:webHidden/>
          </w:rPr>
          <w:instrText xml:space="preserve"> PAGEREF _Toc181684694 \h </w:instrText>
        </w:r>
        <w:r>
          <w:rPr>
            <w:noProof/>
            <w:webHidden/>
          </w:rPr>
        </w:r>
        <w:r>
          <w:rPr>
            <w:noProof/>
            <w:webHidden/>
          </w:rPr>
          <w:fldChar w:fldCharType="separate"/>
        </w:r>
        <w:r>
          <w:rPr>
            <w:noProof/>
            <w:webHidden/>
          </w:rPr>
          <w:t>603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5" w:history="1">
        <w:r w:rsidRPr="001B13A4">
          <w:rPr>
            <w:rStyle w:val="Hyperlink"/>
            <w:noProof/>
          </w:rPr>
          <w:t>2.1.1659</w:t>
        </w:r>
        <w:r>
          <w:rPr>
            <w:rFonts w:asciiTheme="minorHAnsi" w:eastAsiaTheme="minorEastAsia" w:hAnsiTheme="minorHAnsi" w:cstheme="minorBidi"/>
            <w:noProof/>
            <w:sz w:val="22"/>
            <w:szCs w:val="22"/>
          </w:rPr>
          <w:tab/>
        </w:r>
        <w:r w:rsidRPr="001B13A4">
          <w:rPr>
            <w:rStyle w:val="Hyperlink"/>
            <w:noProof/>
          </w:rPr>
          <w:t>Part 1 Section 22.1.2.27, degHide (Hide Degree)</w:t>
        </w:r>
        <w:r>
          <w:rPr>
            <w:noProof/>
            <w:webHidden/>
          </w:rPr>
          <w:tab/>
        </w:r>
        <w:r>
          <w:rPr>
            <w:noProof/>
            <w:webHidden/>
          </w:rPr>
          <w:fldChar w:fldCharType="begin"/>
        </w:r>
        <w:r>
          <w:rPr>
            <w:noProof/>
            <w:webHidden/>
          </w:rPr>
          <w:instrText xml:space="preserve"> PAGEREF _Toc181684695 \h </w:instrText>
        </w:r>
        <w:r>
          <w:rPr>
            <w:noProof/>
            <w:webHidden/>
          </w:rPr>
        </w:r>
        <w:r>
          <w:rPr>
            <w:noProof/>
            <w:webHidden/>
          </w:rPr>
          <w:fldChar w:fldCharType="separate"/>
        </w:r>
        <w:r>
          <w:rPr>
            <w:noProof/>
            <w:webHidden/>
          </w:rPr>
          <w:t>603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6" w:history="1">
        <w:r w:rsidRPr="001B13A4">
          <w:rPr>
            <w:rStyle w:val="Hyperlink"/>
            <w:noProof/>
          </w:rPr>
          <w:t>2.1.1660</w:t>
        </w:r>
        <w:r>
          <w:rPr>
            <w:rFonts w:asciiTheme="minorHAnsi" w:eastAsiaTheme="minorEastAsia" w:hAnsiTheme="minorHAnsi" w:cstheme="minorBidi"/>
            <w:noProof/>
            <w:sz w:val="22"/>
            <w:szCs w:val="22"/>
          </w:rPr>
          <w:tab/>
        </w:r>
        <w:r w:rsidRPr="001B13A4">
          <w:rPr>
            <w:rStyle w:val="Hyperlink"/>
            <w:noProof/>
          </w:rPr>
          <w:t>Part 1 Section 22.1.2.28, den (Denominator)</w:t>
        </w:r>
        <w:r>
          <w:rPr>
            <w:noProof/>
            <w:webHidden/>
          </w:rPr>
          <w:tab/>
        </w:r>
        <w:r>
          <w:rPr>
            <w:noProof/>
            <w:webHidden/>
          </w:rPr>
          <w:fldChar w:fldCharType="begin"/>
        </w:r>
        <w:r>
          <w:rPr>
            <w:noProof/>
            <w:webHidden/>
          </w:rPr>
          <w:instrText xml:space="preserve"> PAGEREF _Toc181684696 \h </w:instrText>
        </w:r>
        <w:r>
          <w:rPr>
            <w:noProof/>
            <w:webHidden/>
          </w:rPr>
        </w:r>
        <w:r>
          <w:rPr>
            <w:noProof/>
            <w:webHidden/>
          </w:rPr>
          <w:fldChar w:fldCharType="separate"/>
        </w:r>
        <w:r>
          <w:rPr>
            <w:noProof/>
            <w:webHidden/>
          </w:rPr>
          <w:t>603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7" w:history="1">
        <w:r w:rsidRPr="001B13A4">
          <w:rPr>
            <w:rStyle w:val="Hyperlink"/>
            <w:noProof/>
          </w:rPr>
          <w:t>2.1.1661</w:t>
        </w:r>
        <w:r>
          <w:rPr>
            <w:rFonts w:asciiTheme="minorHAnsi" w:eastAsiaTheme="minorEastAsia" w:hAnsiTheme="minorHAnsi" w:cstheme="minorBidi"/>
            <w:noProof/>
            <w:sz w:val="22"/>
            <w:szCs w:val="22"/>
          </w:rPr>
          <w:tab/>
        </w:r>
        <w:r w:rsidRPr="001B13A4">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_Toc181684697 \h </w:instrText>
        </w:r>
        <w:r>
          <w:rPr>
            <w:noProof/>
            <w:webHidden/>
          </w:rPr>
        </w:r>
        <w:r>
          <w:rPr>
            <w:noProof/>
            <w:webHidden/>
          </w:rPr>
          <w:fldChar w:fldCharType="separate"/>
        </w:r>
        <w:r>
          <w:rPr>
            <w:noProof/>
            <w:webHidden/>
          </w:rPr>
          <w:t>603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8" w:history="1">
        <w:r w:rsidRPr="001B13A4">
          <w:rPr>
            <w:rStyle w:val="Hyperlink"/>
            <w:noProof/>
          </w:rPr>
          <w:t>2.1.1662</w:t>
        </w:r>
        <w:r>
          <w:rPr>
            <w:rFonts w:asciiTheme="minorHAnsi" w:eastAsiaTheme="minorEastAsia" w:hAnsiTheme="minorHAnsi" w:cstheme="minorBidi"/>
            <w:noProof/>
            <w:sz w:val="22"/>
            <w:szCs w:val="22"/>
          </w:rPr>
          <w:tab/>
        </w:r>
        <w:r w:rsidRPr="001B13A4">
          <w:rPr>
            <w:rStyle w:val="Hyperlink"/>
            <w:noProof/>
          </w:rPr>
          <w:t>Part 1 Section 22.1.2.32, e (Element (Argument))</w:t>
        </w:r>
        <w:r>
          <w:rPr>
            <w:noProof/>
            <w:webHidden/>
          </w:rPr>
          <w:tab/>
        </w:r>
        <w:r>
          <w:rPr>
            <w:noProof/>
            <w:webHidden/>
          </w:rPr>
          <w:fldChar w:fldCharType="begin"/>
        </w:r>
        <w:r>
          <w:rPr>
            <w:noProof/>
            <w:webHidden/>
          </w:rPr>
          <w:instrText xml:space="preserve"> PAGEREF _Toc181684698 \h </w:instrText>
        </w:r>
        <w:r>
          <w:rPr>
            <w:noProof/>
            <w:webHidden/>
          </w:rPr>
        </w:r>
        <w:r>
          <w:rPr>
            <w:noProof/>
            <w:webHidden/>
          </w:rPr>
          <w:fldChar w:fldCharType="separate"/>
        </w:r>
        <w:r>
          <w:rPr>
            <w:noProof/>
            <w:webHidden/>
          </w:rPr>
          <w:t>603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699" w:history="1">
        <w:r w:rsidRPr="001B13A4">
          <w:rPr>
            <w:rStyle w:val="Hyperlink"/>
            <w:noProof/>
          </w:rPr>
          <w:t>2.1.1663</w:t>
        </w:r>
        <w:r>
          <w:rPr>
            <w:rFonts w:asciiTheme="minorHAnsi" w:eastAsiaTheme="minorEastAsia" w:hAnsiTheme="minorHAnsi" w:cstheme="minorBidi"/>
            <w:noProof/>
            <w:sz w:val="22"/>
            <w:szCs w:val="22"/>
          </w:rPr>
          <w:tab/>
        </w:r>
        <w:r w:rsidRPr="001B13A4">
          <w:rPr>
            <w:rStyle w:val="Hyperlink"/>
            <w:noProof/>
          </w:rPr>
          <w:t>Part 1 Section 22.1.2.34, eqArr (Array Object)</w:t>
        </w:r>
        <w:r>
          <w:rPr>
            <w:noProof/>
            <w:webHidden/>
          </w:rPr>
          <w:tab/>
        </w:r>
        <w:r>
          <w:rPr>
            <w:noProof/>
            <w:webHidden/>
          </w:rPr>
          <w:fldChar w:fldCharType="begin"/>
        </w:r>
        <w:r>
          <w:rPr>
            <w:noProof/>
            <w:webHidden/>
          </w:rPr>
          <w:instrText xml:space="preserve"> PAGEREF _Toc181684699 \h </w:instrText>
        </w:r>
        <w:r>
          <w:rPr>
            <w:noProof/>
            <w:webHidden/>
          </w:rPr>
        </w:r>
        <w:r>
          <w:rPr>
            <w:noProof/>
            <w:webHidden/>
          </w:rPr>
          <w:fldChar w:fldCharType="separate"/>
        </w:r>
        <w:r>
          <w:rPr>
            <w:noProof/>
            <w:webHidden/>
          </w:rPr>
          <w:t>603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0" w:history="1">
        <w:r w:rsidRPr="001B13A4">
          <w:rPr>
            <w:rStyle w:val="Hyperlink"/>
            <w:noProof/>
          </w:rPr>
          <w:t>2.1.1664</w:t>
        </w:r>
        <w:r>
          <w:rPr>
            <w:rFonts w:asciiTheme="minorHAnsi" w:eastAsiaTheme="minorEastAsia" w:hAnsiTheme="minorHAnsi" w:cstheme="minorBidi"/>
            <w:noProof/>
            <w:sz w:val="22"/>
            <w:szCs w:val="22"/>
          </w:rPr>
          <w:tab/>
        </w:r>
        <w:r w:rsidRPr="001B13A4">
          <w:rPr>
            <w:rStyle w:val="Hyperlink"/>
            <w:noProof/>
          </w:rPr>
          <w:t>Part 1 Section 22.1.2.36, f (Fraction Object)</w:t>
        </w:r>
        <w:r>
          <w:rPr>
            <w:noProof/>
            <w:webHidden/>
          </w:rPr>
          <w:tab/>
        </w:r>
        <w:r>
          <w:rPr>
            <w:noProof/>
            <w:webHidden/>
          </w:rPr>
          <w:fldChar w:fldCharType="begin"/>
        </w:r>
        <w:r>
          <w:rPr>
            <w:noProof/>
            <w:webHidden/>
          </w:rPr>
          <w:instrText xml:space="preserve"> PAGEREF _Toc181684700 \h </w:instrText>
        </w:r>
        <w:r>
          <w:rPr>
            <w:noProof/>
            <w:webHidden/>
          </w:rPr>
        </w:r>
        <w:r>
          <w:rPr>
            <w:noProof/>
            <w:webHidden/>
          </w:rPr>
          <w:fldChar w:fldCharType="separate"/>
        </w:r>
        <w:r>
          <w:rPr>
            <w:noProof/>
            <w:webHidden/>
          </w:rPr>
          <w:t>603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1" w:history="1">
        <w:r w:rsidRPr="001B13A4">
          <w:rPr>
            <w:rStyle w:val="Hyperlink"/>
            <w:noProof/>
          </w:rPr>
          <w:t>2.1.1665</w:t>
        </w:r>
        <w:r>
          <w:rPr>
            <w:rFonts w:asciiTheme="minorHAnsi" w:eastAsiaTheme="minorEastAsia" w:hAnsiTheme="minorHAnsi" w:cstheme="minorBidi"/>
            <w:noProof/>
            <w:sz w:val="22"/>
            <w:szCs w:val="22"/>
          </w:rPr>
          <w:tab/>
        </w:r>
        <w:r w:rsidRPr="001B13A4">
          <w:rPr>
            <w:rStyle w:val="Hyperlink"/>
            <w:noProof/>
          </w:rPr>
          <w:t>Part 1 Section 22.1.2.37, fName (Function Name)</w:t>
        </w:r>
        <w:r>
          <w:rPr>
            <w:noProof/>
            <w:webHidden/>
          </w:rPr>
          <w:tab/>
        </w:r>
        <w:r>
          <w:rPr>
            <w:noProof/>
            <w:webHidden/>
          </w:rPr>
          <w:fldChar w:fldCharType="begin"/>
        </w:r>
        <w:r>
          <w:rPr>
            <w:noProof/>
            <w:webHidden/>
          </w:rPr>
          <w:instrText xml:space="preserve"> PAGEREF _Toc181684701 \h </w:instrText>
        </w:r>
        <w:r>
          <w:rPr>
            <w:noProof/>
            <w:webHidden/>
          </w:rPr>
        </w:r>
        <w:r>
          <w:rPr>
            <w:noProof/>
            <w:webHidden/>
          </w:rPr>
          <w:fldChar w:fldCharType="separate"/>
        </w:r>
        <w:r>
          <w:rPr>
            <w:noProof/>
            <w:webHidden/>
          </w:rPr>
          <w:t>603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2" w:history="1">
        <w:r w:rsidRPr="001B13A4">
          <w:rPr>
            <w:rStyle w:val="Hyperlink"/>
            <w:noProof/>
          </w:rPr>
          <w:t>2.1.1666</w:t>
        </w:r>
        <w:r>
          <w:rPr>
            <w:rFonts w:asciiTheme="minorHAnsi" w:eastAsiaTheme="minorEastAsia" w:hAnsiTheme="minorHAnsi" w:cstheme="minorBidi"/>
            <w:noProof/>
            <w:sz w:val="22"/>
            <w:szCs w:val="22"/>
          </w:rPr>
          <w:tab/>
        </w:r>
        <w:r w:rsidRPr="001B13A4">
          <w:rPr>
            <w:rStyle w:val="Hyperlink"/>
            <w:noProof/>
          </w:rPr>
          <w:t>Part 1 Section 22.1.2.39, func (Function Apply Object)</w:t>
        </w:r>
        <w:r>
          <w:rPr>
            <w:noProof/>
            <w:webHidden/>
          </w:rPr>
          <w:tab/>
        </w:r>
        <w:r>
          <w:rPr>
            <w:noProof/>
            <w:webHidden/>
          </w:rPr>
          <w:fldChar w:fldCharType="begin"/>
        </w:r>
        <w:r>
          <w:rPr>
            <w:noProof/>
            <w:webHidden/>
          </w:rPr>
          <w:instrText xml:space="preserve"> PAGEREF _Toc181684702 \h </w:instrText>
        </w:r>
        <w:r>
          <w:rPr>
            <w:noProof/>
            <w:webHidden/>
          </w:rPr>
        </w:r>
        <w:r>
          <w:rPr>
            <w:noProof/>
            <w:webHidden/>
          </w:rPr>
          <w:fldChar w:fldCharType="separate"/>
        </w:r>
        <w:r>
          <w:rPr>
            <w:noProof/>
            <w:webHidden/>
          </w:rPr>
          <w:t>603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3" w:history="1">
        <w:r w:rsidRPr="001B13A4">
          <w:rPr>
            <w:rStyle w:val="Hyperlink"/>
            <w:noProof/>
          </w:rPr>
          <w:t>2.1.1667</w:t>
        </w:r>
        <w:r>
          <w:rPr>
            <w:rFonts w:asciiTheme="minorHAnsi" w:eastAsiaTheme="minorEastAsia" w:hAnsiTheme="minorHAnsi" w:cstheme="minorBidi"/>
            <w:noProof/>
            <w:sz w:val="22"/>
            <w:szCs w:val="22"/>
          </w:rPr>
          <w:tab/>
        </w:r>
        <w:r w:rsidRPr="001B13A4">
          <w:rPr>
            <w:rStyle w:val="Hyperlink"/>
            <w:noProof/>
          </w:rPr>
          <w:t>Part 1 Section 22.1.2.41, groupChr (Group-Character Object)</w:t>
        </w:r>
        <w:r>
          <w:rPr>
            <w:noProof/>
            <w:webHidden/>
          </w:rPr>
          <w:tab/>
        </w:r>
        <w:r>
          <w:rPr>
            <w:noProof/>
            <w:webHidden/>
          </w:rPr>
          <w:fldChar w:fldCharType="begin"/>
        </w:r>
        <w:r>
          <w:rPr>
            <w:noProof/>
            <w:webHidden/>
          </w:rPr>
          <w:instrText xml:space="preserve"> PAGEREF _Toc181684703 \h </w:instrText>
        </w:r>
        <w:r>
          <w:rPr>
            <w:noProof/>
            <w:webHidden/>
          </w:rPr>
        </w:r>
        <w:r>
          <w:rPr>
            <w:noProof/>
            <w:webHidden/>
          </w:rPr>
          <w:fldChar w:fldCharType="separate"/>
        </w:r>
        <w:r>
          <w:rPr>
            <w:noProof/>
            <w:webHidden/>
          </w:rPr>
          <w:t>604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4" w:history="1">
        <w:r w:rsidRPr="001B13A4">
          <w:rPr>
            <w:rStyle w:val="Hyperlink"/>
            <w:noProof/>
          </w:rPr>
          <w:t>2.1.1668</w:t>
        </w:r>
        <w:r>
          <w:rPr>
            <w:rFonts w:asciiTheme="minorHAnsi" w:eastAsiaTheme="minorEastAsia" w:hAnsiTheme="minorHAnsi" w:cstheme="minorBidi"/>
            <w:noProof/>
            <w:sz w:val="22"/>
            <w:szCs w:val="22"/>
          </w:rPr>
          <w:tab/>
        </w:r>
        <w:r w:rsidRPr="001B13A4">
          <w:rPr>
            <w:rStyle w:val="Hyperlink"/>
            <w:noProof/>
          </w:rPr>
          <w:t>Part 1 Section 22.1.2.43, grow (n-ary Grow)</w:t>
        </w:r>
        <w:r>
          <w:rPr>
            <w:noProof/>
            <w:webHidden/>
          </w:rPr>
          <w:tab/>
        </w:r>
        <w:r>
          <w:rPr>
            <w:noProof/>
            <w:webHidden/>
          </w:rPr>
          <w:fldChar w:fldCharType="begin"/>
        </w:r>
        <w:r>
          <w:rPr>
            <w:noProof/>
            <w:webHidden/>
          </w:rPr>
          <w:instrText xml:space="preserve"> PAGEREF _Toc181684704 \h </w:instrText>
        </w:r>
        <w:r>
          <w:rPr>
            <w:noProof/>
            <w:webHidden/>
          </w:rPr>
        </w:r>
        <w:r>
          <w:rPr>
            <w:noProof/>
            <w:webHidden/>
          </w:rPr>
          <w:fldChar w:fldCharType="separate"/>
        </w:r>
        <w:r>
          <w:rPr>
            <w:noProof/>
            <w:webHidden/>
          </w:rPr>
          <w:t>604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5" w:history="1">
        <w:r w:rsidRPr="001B13A4">
          <w:rPr>
            <w:rStyle w:val="Hyperlink"/>
            <w:noProof/>
          </w:rPr>
          <w:t>2.1.1669</w:t>
        </w:r>
        <w:r>
          <w:rPr>
            <w:rFonts w:asciiTheme="minorHAnsi" w:eastAsiaTheme="minorEastAsia" w:hAnsiTheme="minorHAnsi" w:cstheme="minorBidi"/>
            <w:noProof/>
            <w:sz w:val="22"/>
            <w:szCs w:val="22"/>
          </w:rPr>
          <w:tab/>
        </w:r>
        <w:r w:rsidRPr="001B13A4">
          <w:rPr>
            <w:rStyle w:val="Hyperlink"/>
            <w:noProof/>
          </w:rPr>
          <w:t>Part 1 Section 22.1.2.48, interSp (Inter-Equation Spacing)</w:t>
        </w:r>
        <w:r>
          <w:rPr>
            <w:noProof/>
            <w:webHidden/>
          </w:rPr>
          <w:tab/>
        </w:r>
        <w:r>
          <w:rPr>
            <w:noProof/>
            <w:webHidden/>
          </w:rPr>
          <w:fldChar w:fldCharType="begin"/>
        </w:r>
        <w:r>
          <w:rPr>
            <w:noProof/>
            <w:webHidden/>
          </w:rPr>
          <w:instrText xml:space="preserve"> PAGEREF _Toc181684705 \h </w:instrText>
        </w:r>
        <w:r>
          <w:rPr>
            <w:noProof/>
            <w:webHidden/>
          </w:rPr>
        </w:r>
        <w:r>
          <w:rPr>
            <w:noProof/>
            <w:webHidden/>
          </w:rPr>
          <w:fldChar w:fldCharType="separate"/>
        </w:r>
        <w:r>
          <w:rPr>
            <w:noProof/>
            <w:webHidden/>
          </w:rPr>
          <w:t>604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6" w:history="1">
        <w:r w:rsidRPr="001B13A4">
          <w:rPr>
            <w:rStyle w:val="Hyperlink"/>
            <w:noProof/>
          </w:rPr>
          <w:t>2.1.1670</w:t>
        </w:r>
        <w:r>
          <w:rPr>
            <w:rFonts w:asciiTheme="minorHAnsi" w:eastAsiaTheme="minorEastAsia" w:hAnsiTheme="minorHAnsi" w:cstheme="minorBidi"/>
            <w:noProof/>
            <w:sz w:val="22"/>
            <w:szCs w:val="22"/>
          </w:rPr>
          <w:tab/>
        </w:r>
        <w:r w:rsidRPr="001B13A4">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_Toc181684706 \h </w:instrText>
        </w:r>
        <w:r>
          <w:rPr>
            <w:noProof/>
            <w:webHidden/>
          </w:rPr>
        </w:r>
        <w:r>
          <w:rPr>
            <w:noProof/>
            <w:webHidden/>
          </w:rPr>
          <w:fldChar w:fldCharType="separate"/>
        </w:r>
        <w:r>
          <w:rPr>
            <w:noProof/>
            <w:webHidden/>
          </w:rPr>
          <w:t>604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7" w:history="1">
        <w:r w:rsidRPr="001B13A4">
          <w:rPr>
            <w:rStyle w:val="Hyperlink"/>
            <w:noProof/>
          </w:rPr>
          <w:t>2.1.1671</w:t>
        </w:r>
        <w:r>
          <w:rPr>
            <w:rFonts w:asciiTheme="minorHAnsi" w:eastAsiaTheme="minorEastAsia" w:hAnsiTheme="minorHAnsi" w:cstheme="minorBidi"/>
            <w:noProof/>
            <w:sz w:val="22"/>
            <w:szCs w:val="22"/>
          </w:rPr>
          <w:tab/>
        </w:r>
        <w:r w:rsidRPr="001B13A4">
          <w:rPr>
            <w:rStyle w:val="Hyperlink"/>
            <w:noProof/>
          </w:rPr>
          <w:t>Part 1 Section 22.1.2.50, intraSp (Intra-Equation Spacing)</w:t>
        </w:r>
        <w:r>
          <w:rPr>
            <w:noProof/>
            <w:webHidden/>
          </w:rPr>
          <w:tab/>
        </w:r>
        <w:r>
          <w:rPr>
            <w:noProof/>
            <w:webHidden/>
          </w:rPr>
          <w:fldChar w:fldCharType="begin"/>
        </w:r>
        <w:r>
          <w:rPr>
            <w:noProof/>
            <w:webHidden/>
          </w:rPr>
          <w:instrText xml:space="preserve"> PAGEREF _Toc181684707 \h </w:instrText>
        </w:r>
        <w:r>
          <w:rPr>
            <w:noProof/>
            <w:webHidden/>
          </w:rPr>
        </w:r>
        <w:r>
          <w:rPr>
            <w:noProof/>
            <w:webHidden/>
          </w:rPr>
          <w:fldChar w:fldCharType="separate"/>
        </w:r>
        <w:r>
          <w:rPr>
            <w:noProof/>
            <w:webHidden/>
          </w:rPr>
          <w:t>604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8" w:history="1">
        <w:r w:rsidRPr="001B13A4">
          <w:rPr>
            <w:rStyle w:val="Hyperlink"/>
            <w:noProof/>
          </w:rPr>
          <w:t>2.1.1672</w:t>
        </w:r>
        <w:r>
          <w:rPr>
            <w:rFonts w:asciiTheme="minorHAnsi" w:eastAsiaTheme="minorEastAsia" w:hAnsiTheme="minorHAnsi" w:cstheme="minorBidi"/>
            <w:noProof/>
            <w:sz w:val="22"/>
            <w:szCs w:val="22"/>
          </w:rPr>
          <w:tab/>
        </w:r>
        <w:r w:rsidRPr="001B13A4">
          <w:rPr>
            <w:rStyle w:val="Hyperlink"/>
            <w:noProof/>
          </w:rPr>
          <w:t>Part 1 Section 22.1.2.51, jc (Justification)</w:t>
        </w:r>
        <w:r>
          <w:rPr>
            <w:noProof/>
            <w:webHidden/>
          </w:rPr>
          <w:tab/>
        </w:r>
        <w:r>
          <w:rPr>
            <w:noProof/>
            <w:webHidden/>
          </w:rPr>
          <w:fldChar w:fldCharType="begin"/>
        </w:r>
        <w:r>
          <w:rPr>
            <w:noProof/>
            <w:webHidden/>
          </w:rPr>
          <w:instrText xml:space="preserve"> PAGEREF _Toc181684708 \h </w:instrText>
        </w:r>
        <w:r>
          <w:rPr>
            <w:noProof/>
            <w:webHidden/>
          </w:rPr>
        </w:r>
        <w:r>
          <w:rPr>
            <w:noProof/>
            <w:webHidden/>
          </w:rPr>
          <w:fldChar w:fldCharType="separate"/>
        </w:r>
        <w:r>
          <w:rPr>
            <w:noProof/>
            <w:webHidden/>
          </w:rPr>
          <w:t>604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09" w:history="1">
        <w:r w:rsidRPr="001B13A4">
          <w:rPr>
            <w:rStyle w:val="Hyperlink"/>
            <w:noProof/>
          </w:rPr>
          <w:t>2.1.1673</w:t>
        </w:r>
        <w:r>
          <w:rPr>
            <w:rFonts w:asciiTheme="minorHAnsi" w:eastAsiaTheme="minorEastAsia" w:hAnsiTheme="minorHAnsi" w:cstheme="minorBidi"/>
            <w:noProof/>
            <w:sz w:val="22"/>
            <w:szCs w:val="22"/>
          </w:rPr>
          <w:tab/>
        </w:r>
        <w:r w:rsidRPr="001B13A4">
          <w:rPr>
            <w:rStyle w:val="Hyperlink"/>
            <w:noProof/>
          </w:rPr>
          <w:t>Part 1 Section 22.1.2.52, lim (Limit)</w:t>
        </w:r>
        <w:r>
          <w:rPr>
            <w:noProof/>
            <w:webHidden/>
          </w:rPr>
          <w:tab/>
        </w:r>
        <w:r>
          <w:rPr>
            <w:noProof/>
            <w:webHidden/>
          </w:rPr>
          <w:fldChar w:fldCharType="begin"/>
        </w:r>
        <w:r>
          <w:rPr>
            <w:noProof/>
            <w:webHidden/>
          </w:rPr>
          <w:instrText xml:space="preserve"> PAGEREF _Toc181684709 \h </w:instrText>
        </w:r>
        <w:r>
          <w:rPr>
            <w:noProof/>
            <w:webHidden/>
          </w:rPr>
        </w:r>
        <w:r>
          <w:rPr>
            <w:noProof/>
            <w:webHidden/>
          </w:rPr>
          <w:fldChar w:fldCharType="separate"/>
        </w:r>
        <w:r>
          <w:rPr>
            <w:noProof/>
            <w:webHidden/>
          </w:rPr>
          <w:t>604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0" w:history="1">
        <w:r w:rsidRPr="001B13A4">
          <w:rPr>
            <w:rStyle w:val="Hyperlink"/>
            <w:noProof/>
          </w:rPr>
          <w:t>2.1.1674</w:t>
        </w:r>
        <w:r>
          <w:rPr>
            <w:rFonts w:asciiTheme="minorHAnsi" w:eastAsiaTheme="minorEastAsia" w:hAnsiTheme="minorHAnsi" w:cstheme="minorBidi"/>
            <w:noProof/>
            <w:sz w:val="22"/>
            <w:szCs w:val="22"/>
          </w:rPr>
          <w:tab/>
        </w:r>
        <w:r w:rsidRPr="001B13A4">
          <w:rPr>
            <w:rStyle w:val="Hyperlink"/>
            <w:noProof/>
          </w:rPr>
          <w:t>Part 1 Section 22.1.2.54, limLow (Lower-Limit Object)</w:t>
        </w:r>
        <w:r>
          <w:rPr>
            <w:noProof/>
            <w:webHidden/>
          </w:rPr>
          <w:tab/>
        </w:r>
        <w:r>
          <w:rPr>
            <w:noProof/>
            <w:webHidden/>
          </w:rPr>
          <w:fldChar w:fldCharType="begin"/>
        </w:r>
        <w:r>
          <w:rPr>
            <w:noProof/>
            <w:webHidden/>
          </w:rPr>
          <w:instrText xml:space="preserve"> PAGEREF _Toc181684710 \h </w:instrText>
        </w:r>
        <w:r>
          <w:rPr>
            <w:noProof/>
            <w:webHidden/>
          </w:rPr>
        </w:r>
        <w:r>
          <w:rPr>
            <w:noProof/>
            <w:webHidden/>
          </w:rPr>
          <w:fldChar w:fldCharType="separate"/>
        </w:r>
        <w:r>
          <w:rPr>
            <w:noProof/>
            <w:webHidden/>
          </w:rPr>
          <w:t>605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1" w:history="1">
        <w:r w:rsidRPr="001B13A4">
          <w:rPr>
            <w:rStyle w:val="Hyperlink"/>
            <w:noProof/>
          </w:rPr>
          <w:t>2.1.1675</w:t>
        </w:r>
        <w:r>
          <w:rPr>
            <w:rFonts w:asciiTheme="minorHAnsi" w:eastAsiaTheme="minorEastAsia" w:hAnsiTheme="minorHAnsi" w:cstheme="minorBidi"/>
            <w:noProof/>
            <w:sz w:val="22"/>
            <w:szCs w:val="22"/>
          </w:rPr>
          <w:tab/>
        </w:r>
        <w:r w:rsidRPr="001B13A4">
          <w:rPr>
            <w:rStyle w:val="Hyperlink"/>
            <w:noProof/>
          </w:rPr>
          <w:t>Part 1 Section 22.1.2.56, limUpp (Upper-Limit Object)</w:t>
        </w:r>
        <w:r>
          <w:rPr>
            <w:noProof/>
            <w:webHidden/>
          </w:rPr>
          <w:tab/>
        </w:r>
        <w:r>
          <w:rPr>
            <w:noProof/>
            <w:webHidden/>
          </w:rPr>
          <w:fldChar w:fldCharType="begin"/>
        </w:r>
        <w:r>
          <w:rPr>
            <w:noProof/>
            <w:webHidden/>
          </w:rPr>
          <w:instrText xml:space="preserve"> PAGEREF _Toc181684711 \h </w:instrText>
        </w:r>
        <w:r>
          <w:rPr>
            <w:noProof/>
            <w:webHidden/>
          </w:rPr>
        </w:r>
        <w:r>
          <w:rPr>
            <w:noProof/>
            <w:webHidden/>
          </w:rPr>
          <w:fldChar w:fldCharType="separate"/>
        </w:r>
        <w:r>
          <w:rPr>
            <w:noProof/>
            <w:webHidden/>
          </w:rPr>
          <w:t>605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2" w:history="1">
        <w:r w:rsidRPr="001B13A4">
          <w:rPr>
            <w:rStyle w:val="Hyperlink"/>
            <w:noProof/>
          </w:rPr>
          <w:t>2.1.1676</w:t>
        </w:r>
        <w:r>
          <w:rPr>
            <w:rFonts w:asciiTheme="minorHAnsi" w:eastAsiaTheme="minorEastAsia" w:hAnsiTheme="minorHAnsi" w:cstheme="minorBidi"/>
            <w:noProof/>
            <w:sz w:val="22"/>
            <w:szCs w:val="22"/>
          </w:rPr>
          <w:tab/>
        </w:r>
        <w:r w:rsidRPr="001B13A4">
          <w:rPr>
            <w:rStyle w:val="Hyperlink"/>
            <w:noProof/>
          </w:rPr>
          <w:t>Part 1 Section 22.1.2.60, m (Matrix Object)</w:t>
        </w:r>
        <w:r>
          <w:rPr>
            <w:noProof/>
            <w:webHidden/>
          </w:rPr>
          <w:tab/>
        </w:r>
        <w:r>
          <w:rPr>
            <w:noProof/>
            <w:webHidden/>
          </w:rPr>
          <w:fldChar w:fldCharType="begin"/>
        </w:r>
        <w:r>
          <w:rPr>
            <w:noProof/>
            <w:webHidden/>
          </w:rPr>
          <w:instrText xml:space="preserve"> PAGEREF _Toc181684712 \h </w:instrText>
        </w:r>
        <w:r>
          <w:rPr>
            <w:noProof/>
            <w:webHidden/>
          </w:rPr>
        </w:r>
        <w:r>
          <w:rPr>
            <w:noProof/>
            <w:webHidden/>
          </w:rPr>
          <w:fldChar w:fldCharType="separate"/>
        </w:r>
        <w:r>
          <w:rPr>
            <w:noProof/>
            <w:webHidden/>
          </w:rPr>
          <w:t>605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3" w:history="1">
        <w:r w:rsidRPr="001B13A4">
          <w:rPr>
            <w:rStyle w:val="Hyperlink"/>
            <w:noProof/>
          </w:rPr>
          <w:t>2.1.1677</w:t>
        </w:r>
        <w:r>
          <w:rPr>
            <w:rFonts w:asciiTheme="minorHAnsi" w:eastAsiaTheme="minorEastAsia" w:hAnsiTheme="minorHAnsi" w:cstheme="minorBidi"/>
            <w:noProof/>
            <w:sz w:val="22"/>
            <w:szCs w:val="22"/>
          </w:rPr>
          <w:tab/>
        </w:r>
        <w:r w:rsidRPr="001B13A4">
          <w:rPr>
            <w:rStyle w:val="Hyperlink"/>
            <w:noProof/>
          </w:rPr>
          <w:t>Part 1 Section 22.1.2.61, mathFont (Math Font)</w:t>
        </w:r>
        <w:r>
          <w:rPr>
            <w:noProof/>
            <w:webHidden/>
          </w:rPr>
          <w:tab/>
        </w:r>
        <w:r>
          <w:rPr>
            <w:noProof/>
            <w:webHidden/>
          </w:rPr>
          <w:fldChar w:fldCharType="begin"/>
        </w:r>
        <w:r>
          <w:rPr>
            <w:noProof/>
            <w:webHidden/>
          </w:rPr>
          <w:instrText xml:space="preserve"> PAGEREF _Toc181684713 \h </w:instrText>
        </w:r>
        <w:r>
          <w:rPr>
            <w:noProof/>
            <w:webHidden/>
          </w:rPr>
        </w:r>
        <w:r>
          <w:rPr>
            <w:noProof/>
            <w:webHidden/>
          </w:rPr>
          <w:fldChar w:fldCharType="separate"/>
        </w:r>
        <w:r>
          <w:rPr>
            <w:noProof/>
            <w:webHidden/>
          </w:rPr>
          <w:t>605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4" w:history="1">
        <w:r w:rsidRPr="001B13A4">
          <w:rPr>
            <w:rStyle w:val="Hyperlink"/>
            <w:noProof/>
          </w:rPr>
          <w:t>2.1.1678</w:t>
        </w:r>
        <w:r>
          <w:rPr>
            <w:rFonts w:asciiTheme="minorHAnsi" w:eastAsiaTheme="minorEastAsia" w:hAnsiTheme="minorHAnsi" w:cstheme="minorBidi"/>
            <w:noProof/>
            <w:sz w:val="22"/>
            <w:szCs w:val="22"/>
          </w:rPr>
          <w:tab/>
        </w:r>
        <w:r w:rsidRPr="001B13A4">
          <w:rPr>
            <w:rStyle w:val="Hyperlink"/>
            <w:noProof/>
          </w:rPr>
          <w:t>Part 1 Section 22.1.2.63, maxDist (Maximum Distribution)</w:t>
        </w:r>
        <w:r>
          <w:rPr>
            <w:noProof/>
            <w:webHidden/>
          </w:rPr>
          <w:tab/>
        </w:r>
        <w:r>
          <w:rPr>
            <w:noProof/>
            <w:webHidden/>
          </w:rPr>
          <w:fldChar w:fldCharType="begin"/>
        </w:r>
        <w:r>
          <w:rPr>
            <w:noProof/>
            <w:webHidden/>
          </w:rPr>
          <w:instrText xml:space="preserve"> PAGEREF _Toc181684714 \h </w:instrText>
        </w:r>
        <w:r>
          <w:rPr>
            <w:noProof/>
            <w:webHidden/>
          </w:rPr>
        </w:r>
        <w:r>
          <w:rPr>
            <w:noProof/>
            <w:webHidden/>
          </w:rPr>
          <w:fldChar w:fldCharType="separate"/>
        </w:r>
        <w:r>
          <w:rPr>
            <w:noProof/>
            <w:webHidden/>
          </w:rPr>
          <w:t>605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5" w:history="1">
        <w:r w:rsidRPr="001B13A4">
          <w:rPr>
            <w:rStyle w:val="Hyperlink"/>
            <w:noProof/>
          </w:rPr>
          <w:t>2.1.1679</w:t>
        </w:r>
        <w:r>
          <w:rPr>
            <w:rFonts w:asciiTheme="minorHAnsi" w:eastAsiaTheme="minorEastAsia" w:hAnsiTheme="minorHAnsi" w:cstheme="minorBidi"/>
            <w:noProof/>
            <w:sz w:val="22"/>
            <w:szCs w:val="22"/>
          </w:rPr>
          <w:tab/>
        </w:r>
        <w:r w:rsidRPr="001B13A4">
          <w:rPr>
            <w:rStyle w:val="Hyperlink"/>
            <w:noProof/>
          </w:rPr>
          <w:t>Part 1 Section 22.1.2.64, mc (Matrix Column)</w:t>
        </w:r>
        <w:r>
          <w:rPr>
            <w:noProof/>
            <w:webHidden/>
          </w:rPr>
          <w:tab/>
        </w:r>
        <w:r>
          <w:rPr>
            <w:noProof/>
            <w:webHidden/>
          </w:rPr>
          <w:fldChar w:fldCharType="begin"/>
        </w:r>
        <w:r>
          <w:rPr>
            <w:noProof/>
            <w:webHidden/>
          </w:rPr>
          <w:instrText xml:space="preserve"> PAGEREF _Toc181684715 \h </w:instrText>
        </w:r>
        <w:r>
          <w:rPr>
            <w:noProof/>
            <w:webHidden/>
          </w:rPr>
        </w:r>
        <w:r>
          <w:rPr>
            <w:noProof/>
            <w:webHidden/>
          </w:rPr>
          <w:fldChar w:fldCharType="separate"/>
        </w:r>
        <w:r>
          <w:rPr>
            <w:noProof/>
            <w:webHidden/>
          </w:rPr>
          <w:t>605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6" w:history="1">
        <w:r w:rsidRPr="001B13A4">
          <w:rPr>
            <w:rStyle w:val="Hyperlink"/>
            <w:noProof/>
          </w:rPr>
          <w:t>2.1.1680</w:t>
        </w:r>
        <w:r>
          <w:rPr>
            <w:rFonts w:asciiTheme="minorHAnsi" w:eastAsiaTheme="minorEastAsia" w:hAnsiTheme="minorHAnsi" w:cstheme="minorBidi"/>
            <w:noProof/>
            <w:sz w:val="22"/>
            <w:szCs w:val="22"/>
          </w:rPr>
          <w:tab/>
        </w:r>
        <w:r w:rsidRPr="001B13A4">
          <w:rPr>
            <w:rStyle w:val="Hyperlink"/>
            <w:noProof/>
          </w:rPr>
          <w:t>Part 1 Section 22.1.2.67, mcs (Matrix Columns)</w:t>
        </w:r>
        <w:r>
          <w:rPr>
            <w:noProof/>
            <w:webHidden/>
          </w:rPr>
          <w:tab/>
        </w:r>
        <w:r>
          <w:rPr>
            <w:noProof/>
            <w:webHidden/>
          </w:rPr>
          <w:fldChar w:fldCharType="begin"/>
        </w:r>
        <w:r>
          <w:rPr>
            <w:noProof/>
            <w:webHidden/>
          </w:rPr>
          <w:instrText xml:space="preserve"> PAGEREF _Toc181684716 \h </w:instrText>
        </w:r>
        <w:r>
          <w:rPr>
            <w:noProof/>
            <w:webHidden/>
          </w:rPr>
        </w:r>
        <w:r>
          <w:rPr>
            <w:noProof/>
            <w:webHidden/>
          </w:rPr>
          <w:fldChar w:fldCharType="separate"/>
        </w:r>
        <w:r>
          <w:rPr>
            <w:noProof/>
            <w:webHidden/>
          </w:rPr>
          <w:t>605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7" w:history="1">
        <w:r w:rsidRPr="001B13A4">
          <w:rPr>
            <w:rStyle w:val="Hyperlink"/>
            <w:noProof/>
          </w:rPr>
          <w:t>2.1.1681</w:t>
        </w:r>
        <w:r>
          <w:rPr>
            <w:rFonts w:asciiTheme="minorHAnsi" w:eastAsiaTheme="minorEastAsia" w:hAnsiTheme="minorHAnsi" w:cstheme="minorBidi"/>
            <w:noProof/>
            <w:sz w:val="22"/>
            <w:szCs w:val="22"/>
          </w:rPr>
          <w:tab/>
        </w:r>
        <w:r w:rsidRPr="001B13A4">
          <w:rPr>
            <w:rStyle w:val="Hyperlink"/>
            <w:noProof/>
          </w:rPr>
          <w:t>Part 1 Section 22.1.2.69, mr (Matrix Row)</w:t>
        </w:r>
        <w:r>
          <w:rPr>
            <w:noProof/>
            <w:webHidden/>
          </w:rPr>
          <w:tab/>
        </w:r>
        <w:r>
          <w:rPr>
            <w:noProof/>
            <w:webHidden/>
          </w:rPr>
          <w:fldChar w:fldCharType="begin"/>
        </w:r>
        <w:r>
          <w:rPr>
            <w:noProof/>
            <w:webHidden/>
          </w:rPr>
          <w:instrText xml:space="preserve"> PAGEREF _Toc181684717 \h </w:instrText>
        </w:r>
        <w:r>
          <w:rPr>
            <w:noProof/>
            <w:webHidden/>
          </w:rPr>
        </w:r>
        <w:r>
          <w:rPr>
            <w:noProof/>
            <w:webHidden/>
          </w:rPr>
          <w:fldChar w:fldCharType="separate"/>
        </w:r>
        <w:r>
          <w:rPr>
            <w:noProof/>
            <w:webHidden/>
          </w:rPr>
          <w:t>606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8" w:history="1">
        <w:r w:rsidRPr="001B13A4">
          <w:rPr>
            <w:rStyle w:val="Hyperlink"/>
            <w:noProof/>
          </w:rPr>
          <w:t>2.1.1682</w:t>
        </w:r>
        <w:r>
          <w:rPr>
            <w:rFonts w:asciiTheme="minorHAnsi" w:eastAsiaTheme="minorEastAsia" w:hAnsiTheme="minorHAnsi" w:cstheme="minorBidi"/>
            <w:noProof/>
            <w:sz w:val="22"/>
            <w:szCs w:val="22"/>
          </w:rPr>
          <w:tab/>
        </w:r>
        <w:r w:rsidRPr="001B13A4">
          <w:rPr>
            <w:rStyle w:val="Hyperlink"/>
            <w:noProof/>
          </w:rPr>
          <w:t>Part 1 Section 22.1.2.70, nary (n-ary Operator Object)</w:t>
        </w:r>
        <w:r>
          <w:rPr>
            <w:noProof/>
            <w:webHidden/>
          </w:rPr>
          <w:tab/>
        </w:r>
        <w:r>
          <w:rPr>
            <w:noProof/>
            <w:webHidden/>
          </w:rPr>
          <w:fldChar w:fldCharType="begin"/>
        </w:r>
        <w:r>
          <w:rPr>
            <w:noProof/>
            <w:webHidden/>
          </w:rPr>
          <w:instrText xml:space="preserve"> PAGEREF _Toc181684718 \h </w:instrText>
        </w:r>
        <w:r>
          <w:rPr>
            <w:noProof/>
            <w:webHidden/>
          </w:rPr>
        </w:r>
        <w:r>
          <w:rPr>
            <w:noProof/>
            <w:webHidden/>
          </w:rPr>
          <w:fldChar w:fldCharType="separate"/>
        </w:r>
        <w:r>
          <w:rPr>
            <w:noProof/>
            <w:webHidden/>
          </w:rPr>
          <w:t>606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19" w:history="1">
        <w:r w:rsidRPr="001B13A4">
          <w:rPr>
            <w:rStyle w:val="Hyperlink"/>
            <w:noProof/>
          </w:rPr>
          <w:t>2.1.1683</w:t>
        </w:r>
        <w:r>
          <w:rPr>
            <w:rFonts w:asciiTheme="minorHAnsi" w:eastAsiaTheme="minorEastAsia" w:hAnsiTheme="minorHAnsi" w:cstheme="minorBidi"/>
            <w:noProof/>
            <w:sz w:val="22"/>
            <w:szCs w:val="22"/>
          </w:rPr>
          <w:tab/>
        </w:r>
        <w:r w:rsidRPr="001B13A4">
          <w:rPr>
            <w:rStyle w:val="Hyperlink"/>
            <w:noProof/>
          </w:rPr>
          <w:t>Part 1 Section 22.1.2.71, naryLim (n-ary Limit Location)</w:t>
        </w:r>
        <w:r>
          <w:rPr>
            <w:noProof/>
            <w:webHidden/>
          </w:rPr>
          <w:tab/>
        </w:r>
        <w:r>
          <w:rPr>
            <w:noProof/>
            <w:webHidden/>
          </w:rPr>
          <w:fldChar w:fldCharType="begin"/>
        </w:r>
        <w:r>
          <w:rPr>
            <w:noProof/>
            <w:webHidden/>
          </w:rPr>
          <w:instrText xml:space="preserve"> PAGEREF _Toc181684719 \h </w:instrText>
        </w:r>
        <w:r>
          <w:rPr>
            <w:noProof/>
            <w:webHidden/>
          </w:rPr>
        </w:r>
        <w:r>
          <w:rPr>
            <w:noProof/>
            <w:webHidden/>
          </w:rPr>
          <w:fldChar w:fldCharType="separate"/>
        </w:r>
        <w:r>
          <w:rPr>
            <w:noProof/>
            <w:webHidden/>
          </w:rPr>
          <w:t>606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0" w:history="1">
        <w:r w:rsidRPr="001B13A4">
          <w:rPr>
            <w:rStyle w:val="Hyperlink"/>
            <w:noProof/>
          </w:rPr>
          <w:t>2.1.1684</w:t>
        </w:r>
        <w:r>
          <w:rPr>
            <w:rFonts w:asciiTheme="minorHAnsi" w:eastAsiaTheme="minorEastAsia" w:hAnsiTheme="minorHAnsi" w:cstheme="minorBidi"/>
            <w:noProof/>
            <w:sz w:val="22"/>
            <w:szCs w:val="22"/>
          </w:rPr>
          <w:tab/>
        </w:r>
        <w:r w:rsidRPr="001B13A4">
          <w:rPr>
            <w:rStyle w:val="Hyperlink"/>
            <w:noProof/>
          </w:rPr>
          <w:t>Part 1 Section 22.1.2.73, noBreak (No Break)</w:t>
        </w:r>
        <w:r>
          <w:rPr>
            <w:noProof/>
            <w:webHidden/>
          </w:rPr>
          <w:tab/>
        </w:r>
        <w:r>
          <w:rPr>
            <w:noProof/>
            <w:webHidden/>
          </w:rPr>
          <w:fldChar w:fldCharType="begin"/>
        </w:r>
        <w:r>
          <w:rPr>
            <w:noProof/>
            <w:webHidden/>
          </w:rPr>
          <w:instrText xml:space="preserve"> PAGEREF _Toc181684720 \h </w:instrText>
        </w:r>
        <w:r>
          <w:rPr>
            <w:noProof/>
            <w:webHidden/>
          </w:rPr>
        </w:r>
        <w:r>
          <w:rPr>
            <w:noProof/>
            <w:webHidden/>
          </w:rPr>
          <w:fldChar w:fldCharType="separate"/>
        </w:r>
        <w:r>
          <w:rPr>
            <w:noProof/>
            <w:webHidden/>
          </w:rPr>
          <w:t>606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1" w:history="1">
        <w:r w:rsidRPr="001B13A4">
          <w:rPr>
            <w:rStyle w:val="Hyperlink"/>
            <w:noProof/>
          </w:rPr>
          <w:t>2.1.1685</w:t>
        </w:r>
        <w:r>
          <w:rPr>
            <w:rFonts w:asciiTheme="minorHAnsi" w:eastAsiaTheme="minorEastAsia" w:hAnsiTheme="minorHAnsi" w:cstheme="minorBidi"/>
            <w:noProof/>
            <w:sz w:val="22"/>
            <w:szCs w:val="22"/>
          </w:rPr>
          <w:tab/>
        </w:r>
        <w:r w:rsidRPr="001B13A4">
          <w:rPr>
            <w:rStyle w:val="Hyperlink"/>
            <w:noProof/>
          </w:rPr>
          <w:t>Part 1 Section 22.1.2.75, num (Numerator)</w:t>
        </w:r>
        <w:r>
          <w:rPr>
            <w:noProof/>
            <w:webHidden/>
          </w:rPr>
          <w:tab/>
        </w:r>
        <w:r>
          <w:rPr>
            <w:noProof/>
            <w:webHidden/>
          </w:rPr>
          <w:fldChar w:fldCharType="begin"/>
        </w:r>
        <w:r>
          <w:rPr>
            <w:noProof/>
            <w:webHidden/>
          </w:rPr>
          <w:instrText xml:space="preserve"> PAGEREF _Toc181684721 \h </w:instrText>
        </w:r>
        <w:r>
          <w:rPr>
            <w:noProof/>
            <w:webHidden/>
          </w:rPr>
        </w:r>
        <w:r>
          <w:rPr>
            <w:noProof/>
            <w:webHidden/>
          </w:rPr>
          <w:fldChar w:fldCharType="separate"/>
        </w:r>
        <w:r>
          <w:rPr>
            <w:noProof/>
            <w:webHidden/>
          </w:rPr>
          <w:t>606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2" w:history="1">
        <w:r w:rsidRPr="001B13A4">
          <w:rPr>
            <w:rStyle w:val="Hyperlink"/>
            <w:noProof/>
          </w:rPr>
          <w:t>2.1.1686</w:t>
        </w:r>
        <w:r>
          <w:rPr>
            <w:rFonts w:asciiTheme="minorHAnsi" w:eastAsiaTheme="minorEastAsia" w:hAnsiTheme="minorHAnsi" w:cstheme="minorBidi"/>
            <w:noProof/>
            <w:sz w:val="22"/>
            <w:szCs w:val="22"/>
          </w:rPr>
          <w:tab/>
        </w:r>
        <w:r w:rsidRPr="001B13A4">
          <w:rPr>
            <w:rStyle w:val="Hyperlink"/>
            <w:noProof/>
          </w:rPr>
          <w:t>Part 1 Section 22.1.2.76, objDist (Object Distribution)</w:t>
        </w:r>
        <w:r>
          <w:rPr>
            <w:noProof/>
            <w:webHidden/>
          </w:rPr>
          <w:tab/>
        </w:r>
        <w:r>
          <w:rPr>
            <w:noProof/>
            <w:webHidden/>
          </w:rPr>
          <w:fldChar w:fldCharType="begin"/>
        </w:r>
        <w:r>
          <w:rPr>
            <w:noProof/>
            <w:webHidden/>
          </w:rPr>
          <w:instrText xml:space="preserve"> PAGEREF _Toc181684722 \h </w:instrText>
        </w:r>
        <w:r>
          <w:rPr>
            <w:noProof/>
            <w:webHidden/>
          </w:rPr>
        </w:r>
        <w:r>
          <w:rPr>
            <w:noProof/>
            <w:webHidden/>
          </w:rPr>
          <w:fldChar w:fldCharType="separate"/>
        </w:r>
        <w:r>
          <w:rPr>
            <w:noProof/>
            <w:webHidden/>
          </w:rPr>
          <w:t>606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3" w:history="1">
        <w:r w:rsidRPr="001B13A4">
          <w:rPr>
            <w:rStyle w:val="Hyperlink"/>
            <w:noProof/>
          </w:rPr>
          <w:t>2.1.1687</w:t>
        </w:r>
        <w:r>
          <w:rPr>
            <w:rFonts w:asciiTheme="minorHAnsi" w:eastAsiaTheme="minorEastAsia" w:hAnsiTheme="minorHAnsi" w:cstheme="minorBidi"/>
            <w:noProof/>
            <w:sz w:val="22"/>
            <w:szCs w:val="22"/>
          </w:rPr>
          <w:tab/>
        </w:r>
        <w:r w:rsidRPr="001B13A4">
          <w:rPr>
            <w:rStyle w:val="Hyperlink"/>
            <w:noProof/>
          </w:rPr>
          <w:t>Part 1 Section 22.1.2.77, oMath (Office Math)</w:t>
        </w:r>
        <w:r>
          <w:rPr>
            <w:noProof/>
            <w:webHidden/>
          </w:rPr>
          <w:tab/>
        </w:r>
        <w:r>
          <w:rPr>
            <w:noProof/>
            <w:webHidden/>
          </w:rPr>
          <w:fldChar w:fldCharType="begin"/>
        </w:r>
        <w:r>
          <w:rPr>
            <w:noProof/>
            <w:webHidden/>
          </w:rPr>
          <w:instrText xml:space="preserve"> PAGEREF _Toc181684723 \h </w:instrText>
        </w:r>
        <w:r>
          <w:rPr>
            <w:noProof/>
            <w:webHidden/>
          </w:rPr>
        </w:r>
        <w:r>
          <w:rPr>
            <w:noProof/>
            <w:webHidden/>
          </w:rPr>
          <w:fldChar w:fldCharType="separate"/>
        </w:r>
        <w:r>
          <w:rPr>
            <w:noProof/>
            <w:webHidden/>
          </w:rPr>
          <w:t>606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4" w:history="1">
        <w:r w:rsidRPr="001B13A4">
          <w:rPr>
            <w:rStyle w:val="Hyperlink"/>
            <w:noProof/>
          </w:rPr>
          <w:t>2.1.1688</w:t>
        </w:r>
        <w:r>
          <w:rPr>
            <w:rFonts w:asciiTheme="minorHAnsi" w:eastAsiaTheme="minorEastAsia" w:hAnsiTheme="minorHAnsi" w:cstheme="minorBidi"/>
            <w:noProof/>
            <w:sz w:val="22"/>
            <w:szCs w:val="22"/>
          </w:rPr>
          <w:tab/>
        </w:r>
        <w:r w:rsidRPr="001B13A4">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_Toc181684724 \h </w:instrText>
        </w:r>
        <w:r>
          <w:rPr>
            <w:noProof/>
            <w:webHidden/>
          </w:rPr>
        </w:r>
        <w:r>
          <w:rPr>
            <w:noProof/>
            <w:webHidden/>
          </w:rPr>
          <w:fldChar w:fldCharType="separate"/>
        </w:r>
        <w:r>
          <w:rPr>
            <w:noProof/>
            <w:webHidden/>
          </w:rPr>
          <w:t>607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5" w:history="1">
        <w:r w:rsidRPr="001B13A4">
          <w:rPr>
            <w:rStyle w:val="Hyperlink"/>
            <w:noProof/>
          </w:rPr>
          <w:t>2.1.1689</w:t>
        </w:r>
        <w:r>
          <w:rPr>
            <w:rFonts w:asciiTheme="minorHAnsi" w:eastAsiaTheme="minorEastAsia" w:hAnsiTheme="minorHAnsi" w:cstheme="minorBidi"/>
            <w:noProof/>
            <w:sz w:val="22"/>
            <w:szCs w:val="22"/>
          </w:rPr>
          <w:tab/>
        </w:r>
        <w:r w:rsidRPr="001B13A4">
          <w:rPr>
            <w:rStyle w:val="Hyperlink"/>
            <w:noProof/>
          </w:rPr>
          <w:t>Part 1 Section 22.1.2.80, opEmu (Operator Emulator)</w:t>
        </w:r>
        <w:r>
          <w:rPr>
            <w:noProof/>
            <w:webHidden/>
          </w:rPr>
          <w:tab/>
        </w:r>
        <w:r>
          <w:rPr>
            <w:noProof/>
            <w:webHidden/>
          </w:rPr>
          <w:fldChar w:fldCharType="begin"/>
        </w:r>
        <w:r>
          <w:rPr>
            <w:noProof/>
            <w:webHidden/>
          </w:rPr>
          <w:instrText xml:space="preserve"> PAGEREF _Toc181684725 \h </w:instrText>
        </w:r>
        <w:r>
          <w:rPr>
            <w:noProof/>
            <w:webHidden/>
          </w:rPr>
        </w:r>
        <w:r>
          <w:rPr>
            <w:noProof/>
            <w:webHidden/>
          </w:rPr>
          <w:fldChar w:fldCharType="separate"/>
        </w:r>
        <w:r>
          <w:rPr>
            <w:noProof/>
            <w:webHidden/>
          </w:rPr>
          <w:t>607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6" w:history="1">
        <w:r w:rsidRPr="001B13A4">
          <w:rPr>
            <w:rStyle w:val="Hyperlink"/>
            <w:noProof/>
          </w:rPr>
          <w:t>2.1.1690</w:t>
        </w:r>
        <w:r>
          <w:rPr>
            <w:rFonts w:asciiTheme="minorHAnsi" w:eastAsiaTheme="minorEastAsia" w:hAnsiTheme="minorHAnsi" w:cstheme="minorBidi"/>
            <w:noProof/>
            <w:sz w:val="22"/>
            <w:szCs w:val="22"/>
          </w:rPr>
          <w:tab/>
        </w:r>
        <w:r w:rsidRPr="001B13A4">
          <w:rPr>
            <w:rStyle w:val="Hyperlink"/>
            <w:noProof/>
          </w:rPr>
          <w:t>Part 1 Section 22.1.2.81, phant (Phantom Object)</w:t>
        </w:r>
        <w:r>
          <w:rPr>
            <w:noProof/>
            <w:webHidden/>
          </w:rPr>
          <w:tab/>
        </w:r>
        <w:r>
          <w:rPr>
            <w:noProof/>
            <w:webHidden/>
          </w:rPr>
          <w:fldChar w:fldCharType="begin"/>
        </w:r>
        <w:r>
          <w:rPr>
            <w:noProof/>
            <w:webHidden/>
          </w:rPr>
          <w:instrText xml:space="preserve"> PAGEREF _Toc181684726 \h </w:instrText>
        </w:r>
        <w:r>
          <w:rPr>
            <w:noProof/>
            <w:webHidden/>
          </w:rPr>
        </w:r>
        <w:r>
          <w:rPr>
            <w:noProof/>
            <w:webHidden/>
          </w:rPr>
          <w:fldChar w:fldCharType="separate"/>
        </w:r>
        <w:r>
          <w:rPr>
            <w:noProof/>
            <w:webHidden/>
          </w:rPr>
          <w:t>607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7" w:history="1">
        <w:r w:rsidRPr="001B13A4">
          <w:rPr>
            <w:rStyle w:val="Hyperlink"/>
            <w:noProof/>
          </w:rPr>
          <w:t>2.1.1691</w:t>
        </w:r>
        <w:r>
          <w:rPr>
            <w:rFonts w:asciiTheme="minorHAnsi" w:eastAsiaTheme="minorEastAsia" w:hAnsiTheme="minorHAnsi" w:cstheme="minorBidi"/>
            <w:noProof/>
            <w:sz w:val="22"/>
            <w:szCs w:val="22"/>
          </w:rPr>
          <w:tab/>
        </w:r>
        <w:r w:rsidRPr="001B13A4">
          <w:rPr>
            <w:rStyle w:val="Hyperlink"/>
            <w:noProof/>
          </w:rPr>
          <w:t>Part 1 Section 22.1.2.84, pos (Position)</w:t>
        </w:r>
        <w:r>
          <w:rPr>
            <w:noProof/>
            <w:webHidden/>
          </w:rPr>
          <w:tab/>
        </w:r>
        <w:r>
          <w:rPr>
            <w:noProof/>
            <w:webHidden/>
          </w:rPr>
          <w:fldChar w:fldCharType="begin"/>
        </w:r>
        <w:r>
          <w:rPr>
            <w:noProof/>
            <w:webHidden/>
          </w:rPr>
          <w:instrText xml:space="preserve"> PAGEREF _Toc181684727 \h </w:instrText>
        </w:r>
        <w:r>
          <w:rPr>
            <w:noProof/>
            <w:webHidden/>
          </w:rPr>
        </w:r>
        <w:r>
          <w:rPr>
            <w:noProof/>
            <w:webHidden/>
          </w:rPr>
          <w:fldChar w:fldCharType="separate"/>
        </w:r>
        <w:r>
          <w:rPr>
            <w:noProof/>
            <w:webHidden/>
          </w:rPr>
          <w:t>607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8" w:history="1">
        <w:r w:rsidRPr="001B13A4">
          <w:rPr>
            <w:rStyle w:val="Hyperlink"/>
            <w:noProof/>
          </w:rPr>
          <w:t>2.1.1692</w:t>
        </w:r>
        <w:r>
          <w:rPr>
            <w:rFonts w:asciiTheme="minorHAnsi" w:eastAsiaTheme="minorEastAsia" w:hAnsiTheme="minorHAnsi" w:cstheme="minorBidi"/>
            <w:noProof/>
            <w:sz w:val="22"/>
            <w:szCs w:val="22"/>
          </w:rPr>
          <w:tab/>
        </w:r>
        <w:r w:rsidRPr="001B13A4">
          <w:rPr>
            <w:rStyle w:val="Hyperlink"/>
            <w:noProof/>
          </w:rPr>
          <w:t>Part 1 Section 22.1.2.85, postSp (Post-Paragraph Spacing)</w:t>
        </w:r>
        <w:r>
          <w:rPr>
            <w:noProof/>
            <w:webHidden/>
          </w:rPr>
          <w:tab/>
        </w:r>
        <w:r>
          <w:rPr>
            <w:noProof/>
            <w:webHidden/>
          </w:rPr>
          <w:fldChar w:fldCharType="begin"/>
        </w:r>
        <w:r>
          <w:rPr>
            <w:noProof/>
            <w:webHidden/>
          </w:rPr>
          <w:instrText xml:space="preserve"> PAGEREF _Toc181684728 \h </w:instrText>
        </w:r>
        <w:r>
          <w:rPr>
            <w:noProof/>
            <w:webHidden/>
          </w:rPr>
        </w:r>
        <w:r>
          <w:rPr>
            <w:noProof/>
            <w:webHidden/>
          </w:rPr>
          <w:fldChar w:fldCharType="separate"/>
        </w:r>
        <w:r>
          <w:rPr>
            <w:noProof/>
            <w:webHidden/>
          </w:rPr>
          <w:t>608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29" w:history="1">
        <w:r w:rsidRPr="001B13A4">
          <w:rPr>
            <w:rStyle w:val="Hyperlink"/>
            <w:noProof/>
          </w:rPr>
          <w:t>2.1.1693</w:t>
        </w:r>
        <w:r>
          <w:rPr>
            <w:rFonts w:asciiTheme="minorHAnsi" w:eastAsiaTheme="minorEastAsia" w:hAnsiTheme="minorHAnsi" w:cstheme="minorBidi"/>
            <w:noProof/>
            <w:sz w:val="22"/>
            <w:szCs w:val="22"/>
          </w:rPr>
          <w:tab/>
        </w:r>
        <w:r w:rsidRPr="001B13A4">
          <w:rPr>
            <w:rStyle w:val="Hyperlink"/>
            <w:noProof/>
          </w:rPr>
          <w:t>Part 1 Section 22.1.2.86, preSp (Pre-Paragraph Spacing)</w:t>
        </w:r>
        <w:r>
          <w:rPr>
            <w:noProof/>
            <w:webHidden/>
          </w:rPr>
          <w:tab/>
        </w:r>
        <w:r>
          <w:rPr>
            <w:noProof/>
            <w:webHidden/>
          </w:rPr>
          <w:fldChar w:fldCharType="begin"/>
        </w:r>
        <w:r>
          <w:rPr>
            <w:noProof/>
            <w:webHidden/>
          </w:rPr>
          <w:instrText xml:space="preserve"> PAGEREF _Toc181684729 \h </w:instrText>
        </w:r>
        <w:r>
          <w:rPr>
            <w:noProof/>
            <w:webHidden/>
          </w:rPr>
        </w:r>
        <w:r>
          <w:rPr>
            <w:noProof/>
            <w:webHidden/>
          </w:rPr>
          <w:fldChar w:fldCharType="separate"/>
        </w:r>
        <w:r>
          <w:rPr>
            <w:noProof/>
            <w:webHidden/>
          </w:rPr>
          <w:t>608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0" w:history="1">
        <w:r w:rsidRPr="001B13A4">
          <w:rPr>
            <w:rStyle w:val="Hyperlink"/>
            <w:noProof/>
          </w:rPr>
          <w:t>2.1.1694</w:t>
        </w:r>
        <w:r>
          <w:rPr>
            <w:rFonts w:asciiTheme="minorHAnsi" w:eastAsiaTheme="minorEastAsia" w:hAnsiTheme="minorHAnsi" w:cstheme="minorBidi"/>
            <w:noProof/>
            <w:sz w:val="22"/>
            <w:szCs w:val="22"/>
          </w:rPr>
          <w:tab/>
        </w:r>
        <w:r w:rsidRPr="001B13A4">
          <w:rPr>
            <w:rStyle w:val="Hyperlink"/>
            <w:noProof/>
          </w:rPr>
          <w:t>Part 1 Section 22.1.2.87, r (Run)</w:t>
        </w:r>
        <w:r>
          <w:rPr>
            <w:noProof/>
            <w:webHidden/>
          </w:rPr>
          <w:tab/>
        </w:r>
        <w:r>
          <w:rPr>
            <w:noProof/>
            <w:webHidden/>
          </w:rPr>
          <w:fldChar w:fldCharType="begin"/>
        </w:r>
        <w:r>
          <w:rPr>
            <w:noProof/>
            <w:webHidden/>
          </w:rPr>
          <w:instrText xml:space="preserve"> PAGEREF _Toc181684730 \h </w:instrText>
        </w:r>
        <w:r>
          <w:rPr>
            <w:noProof/>
            <w:webHidden/>
          </w:rPr>
        </w:r>
        <w:r>
          <w:rPr>
            <w:noProof/>
            <w:webHidden/>
          </w:rPr>
          <w:fldChar w:fldCharType="separate"/>
        </w:r>
        <w:r>
          <w:rPr>
            <w:noProof/>
            <w:webHidden/>
          </w:rPr>
          <w:t>608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1" w:history="1">
        <w:r w:rsidRPr="001B13A4">
          <w:rPr>
            <w:rStyle w:val="Hyperlink"/>
            <w:noProof/>
          </w:rPr>
          <w:t>2.1.1695</w:t>
        </w:r>
        <w:r>
          <w:rPr>
            <w:rFonts w:asciiTheme="minorHAnsi" w:eastAsiaTheme="minorEastAsia" w:hAnsiTheme="minorHAnsi" w:cstheme="minorBidi"/>
            <w:noProof/>
            <w:sz w:val="22"/>
            <w:szCs w:val="22"/>
          </w:rPr>
          <w:tab/>
        </w:r>
        <w:r w:rsidRPr="001B13A4">
          <w:rPr>
            <w:rStyle w:val="Hyperlink"/>
            <w:noProof/>
          </w:rPr>
          <w:t>Part 1 Section 22.1.2.88, rad (Radical Object)</w:t>
        </w:r>
        <w:r>
          <w:rPr>
            <w:noProof/>
            <w:webHidden/>
          </w:rPr>
          <w:tab/>
        </w:r>
        <w:r>
          <w:rPr>
            <w:noProof/>
            <w:webHidden/>
          </w:rPr>
          <w:fldChar w:fldCharType="begin"/>
        </w:r>
        <w:r>
          <w:rPr>
            <w:noProof/>
            <w:webHidden/>
          </w:rPr>
          <w:instrText xml:space="preserve"> PAGEREF _Toc181684731 \h </w:instrText>
        </w:r>
        <w:r>
          <w:rPr>
            <w:noProof/>
            <w:webHidden/>
          </w:rPr>
        </w:r>
        <w:r>
          <w:rPr>
            <w:noProof/>
            <w:webHidden/>
          </w:rPr>
          <w:fldChar w:fldCharType="separate"/>
        </w:r>
        <w:r>
          <w:rPr>
            <w:noProof/>
            <w:webHidden/>
          </w:rPr>
          <w:t>608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2" w:history="1">
        <w:r w:rsidRPr="001B13A4">
          <w:rPr>
            <w:rStyle w:val="Hyperlink"/>
            <w:noProof/>
          </w:rPr>
          <w:t>2.1.1696</w:t>
        </w:r>
        <w:r>
          <w:rPr>
            <w:rFonts w:asciiTheme="minorHAnsi" w:eastAsiaTheme="minorEastAsia" w:hAnsiTheme="minorHAnsi" w:cstheme="minorBidi"/>
            <w:noProof/>
            <w:sz w:val="22"/>
            <w:szCs w:val="22"/>
          </w:rPr>
          <w:tab/>
        </w:r>
        <w:r w:rsidRPr="001B13A4">
          <w:rPr>
            <w:rStyle w:val="Hyperlink"/>
            <w:noProof/>
          </w:rPr>
          <w:t>Part 1 Section 22.1.2.92, rSp (Row Spacing (Array))</w:t>
        </w:r>
        <w:r>
          <w:rPr>
            <w:noProof/>
            <w:webHidden/>
          </w:rPr>
          <w:tab/>
        </w:r>
        <w:r>
          <w:rPr>
            <w:noProof/>
            <w:webHidden/>
          </w:rPr>
          <w:fldChar w:fldCharType="begin"/>
        </w:r>
        <w:r>
          <w:rPr>
            <w:noProof/>
            <w:webHidden/>
          </w:rPr>
          <w:instrText xml:space="preserve"> PAGEREF _Toc181684732 \h </w:instrText>
        </w:r>
        <w:r>
          <w:rPr>
            <w:noProof/>
            <w:webHidden/>
          </w:rPr>
        </w:r>
        <w:r>
          <w:rPr>
            <w:noProof/>
            <w:webHidden/>
          </w:rPr>
          <w:fldChar w:fldCharType="separate"/>
        </w:r>
        <w:r>
          <w:rPr>
            <w:noProof/>
            <w:webHidden/>
          </w:rPr>
          <w:t>608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3" w:history="1">
        <w:r w:rsidRPr="001B13A4">
          <w:rPr>
            <w:rStyle w:val="Hyperlink"/>
            <w:noProof/>
          </w:rPr>
          <w:t>2.1.1697</w:t>
        </w:r>
        <w:r>
          <w:rPr>
            <w:rFonts w:asciiTheme="minorHAnsi" w:eastAsiaTheme="minorEastAsia" w:hAnsiTheme="minorHAnsi" w:cstheme="minorBidi"/>
            <w:noProof/>
            <w:sz w:val="22"/>
            <w:szCs w:val="22"/>
          </w:rPr>
          <w:tab/>
        </w:r>
        <w:r w:rsidRPr="001B13A4">
          <w:rPr>
            <w:rStyle w:val="Hyperlink"/>
            <w:noProof/>
          </w:rPr>
          <w:t>Part 1 Section 22.1.2.93, rSpRule (Row Spacing Rule)</w:t>
        </w:r>
        <w:r>
          <w:rPr>
            <w:noProof/>
            <w:webHidden/>
          </w:rPr>
          <w:tab/>
        </w:r>
        <w:r>
          <w:rPr>
            <w:noProof/>
            <w:webHidden/>
          </w:rPr>
          <w:fldChar w:fldCharType="begin"/>
        </w:r>
        <w:r>
          <w:rPr>
            <w:noProof/>
            <w:webHidden/>
          </w:rPr>
          <w:instrText xml:space="preserve"> PAGEREF _Toc181684733 \h </w:instrText>
        </w:r>
        <w:r>
          <w:rPr>
            <w:noProof/>
            <w:webHidden/>
          </w:rPr>
        </w:r>
        <w:r>
          <w:rPr>
            <w:noProof/>
            <w:webHidden/>
          </w:rPr>
          <w:fldChar w:fldCharType="separate"/>
        </w:r>
        <w:r>
          <w:rPr>
            <w:noProof/>
            <w:webHidden/>
          </w:rPr>
          <w:t>609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4" w:history="1">
        <w:r w:rsidRPr="001B13A4">
          <w:rPr>
            <w:rStyle w:val="Hyperlink"/>
            <w:noProof/>
          </w:rPr>
          <w:t>2.1.1698</w:t>
        </w:r>
        <w:r>
          <w:rPr>
            <w:rFonts w:asciiTheme="minorHAnsi" w:eastAsiaTheme="minorEastAsia" w:hAnsiTheme="minorHAnsi" w:cstheme="minorBidi"/>
            <w:noProof/>
            <w:sz w:val="22"/>
            <w:szCs w:val="22"/>
          </w:rPr>
          <w:tab/>
        </w:r>
        <w:r w:rsidRPr="001B13A4">
          <w:rPr>
            <w:rStyle w:val="Hyperlink"/>
            <w:noProof/>
          </w:rPr>
          <w:t>Part 1 Section 22.1.2.94, scr (Script)</w:t>
        </w:r>
        <w:r>
          <w:rPr>
            <w:noProof/>
            <w:webHidden/>
          </w:rPr>
          <w:tab/>
        </w:r>
        <w:r>
          <w:rPr>
            <w:noProof/>
            <w:webHidden/>
          </w:rPr>
          <w:fldChar w:fldCharType="begin"/>
        </w:r>
        <w:r>
          <w:rPr>
            <w:noProof/>
            <w:webHidden/>
          </w:rPr>
          <w:instrText xml:space="preserve"> PAGEREF _Toc181684734 \h </w:instrText>
        </w:r>
        <w:r>
          <w:rPr>
            <w:noProof/>
            <w:webHidden/>
          </w:rPr>
        </w:r>
        <w:r>
          <w:rPr>
            <w:noProof/>
            <w:webHidden/>
          </w:rPr>
          <w:fldChar w:fldCharType="separate"/>
        </w:r>
        <w:r>
          <w:rPr>
            <w:noProof/>
            <w:webHidden/>
          </w:rPr>
          <w:t>609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5" w:history="1">
        <w:r w:rsidRPr="001B13A4">
          <w:rPr>
            <w:rStyle w:val="Hyperlink"/>
            <w:noProof/>
          </w:rPr>
          <w:t>2.1.1699</w:t>
        </w:r>
        <w:r>
          <w:rPr>
            <w:rFonts w:asciiTheme="minorHAnsi" w:eastAsiaTheme="minorEastAsia" w:hAnsiTheme="minorHAnsi" w:cstheme="minorBidi"/>
            <w:noProof/>
            <w:sz w:val="22"/>
            <w:szCs w:val="22"/>
          </w:rPr>
          <w:tab/>
        </w:r>
        <w:r w:rsidRPr="001B13A4">
          <w:rPr>
            <w:rStyle w:val="Hyperlink"/>
            <w:noProof/>
          </w:rPr>
          <w:t>Part 1 Section 22.1.2.97, shp (Shape (Delimiters))</w:t>
        </w:r>
        <w:r>
          <w:rPr>
            <w:noProof/>
            <w:webHidden/>
          </w:rPr>
          <w:tab/>
        </w:r>
        <w:r>
          <w:rPr>
            <w:noProof/>
            <w:webHidden/>
          </w:rPr>
          <w:fldChar w:fldCharType="begin"/>
        </w:r>
        <w:r>
          <w:rPr>
            <w:noProof/>
            <w:webHidden/>
          </w:rPr>
          <w:instrText xml:space="preserve"> PAGEREF _Toc181684735 \h </w:instrText>
        </w:r>
        <w:r>
          <w:rPr>
            <w:noProof/>
            <w:webHidden/>
          </w:rPr>
        </w:r>
        <w:r>
          <w:rPr>
            <w:noProof/>
            <w:webHidden/>
          </w:rPr>
          <w:fldChar w:fldCharType="separate"/>
        </w:r>
        <w:r>
          <w:rPr>
            <w:noProof/>
            <w:webHidden/>
          </w:rPr>
          <w:t>609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6" w:history="1">
        <w:r w:rsidRPr="001B13A4">
          <w:rPr>
            <w:rStyle w:val="Hyperlink"/>
            <w:noProof/>
          </w:rPr>
          <w:t>2.1.1700</w:t>
        </w:r>
        <w:r>
          <w:rPr>
            <w:rFonts w:asciiTheme="minorHAnsi" w:eastAsiaTheme="minorEastAsia" w:hAnsiTheme="minorHAnsi" w:cstheme="minorBidi"/>
            <w:noProof/>
            <w:sz w:val="22"/>
            <w:szCs w:val="22"/>
          </w:rPr>
          <w:tab/>
        </w:r>
        <w:r w:rsidRPr="001B13A4">
          <w:rPr>
            <w:rStyle w:val="Hyperlink"/>
            <w:noProof/>
          </w:rPr>
          <w:t>Part 1 Section 22.1.2.98, smallFrac (Small Fraction)</w:t>
        </w:r>
        <w:r>
          <w:rPr>
            <w:noProof/>
            <w:webHidden/>
          </w:rPr>
          <w:tab/>
        </w:r>
        <w:r>
          <w:rPr>
            <w:noProof/>
            <w:webHidden/>
          </w:rPr>
          <w:fldChar w:fldCharType="begin"/>
        </w:r>
        <w:r>
          <w:rPr>
            <w:noProof/>
            <w:webHidden/>
          </w:rPr>
          <w:instrText xml:space="preserve"> PAGEREF _Toc181684736 \h </w:instrText>
        </w:r>
        <w:r>
          <w:rPr>
            <w:noProof/>
            <w:webHidden/>
          </w:rPr>
        </w:r>
        <w:r>
          <w:rPr>
            <w:noProof/>
            <w:webHidden/>
          </w:rPr>
          <w:fldChar w:fldCharType="separate"/>
        </w:r>
        <w:r>
          <w:rPr>
            <w:noProof/>
            <w:webHidden/>
          </w:rPr>
          <w:t>609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7" w:history="1">
        <w:r w:rsidRPr="001B13A4">
          <w:rPr>
            <w:rStyle w:val="Hyperlink"/>
            <w:noProof/>
          </w:rPr>
          <w:t>2.1.1701</w:t>
        </w:r>
        <w:r>
          <w:rPr>
            <w:rFonts w:asciiTheme="minorHAnsi" w:eastAsiaTheme="minorEastAsia" w:hAnsiTheme="minorHAnsi" w:cstheme="minorBidi"/>
            <w:noProof/>
            <w:sz w:val="22"/>
            <w:szCs w:val="22"/>
          </w:rPr>
          <w:tab/>
        </w:r>
        <w:r w:rsidRPr="001B13A4">
          <w:rPr>
            <w:rStyle w:val="Hyperlink"/>
            <w:noProof/>
          </w:rPr>
          <w:t>Part 1 Section 22.1.2.99, sPre (Pre-Sub-Superscript Object)</w:t>
        </w:r>
        <w:r>
          <w:rPr>
            <w:noProof/>
            <w:webHidden/>
          </w:rPr>
          <w:tab/>
        </w:r>
        <w:r>
          <w:rPr>
            <w:noProof/>
            <w:webHidden/>
          </w:rPr>
          <w:fldChar w:fldCharType="begin"/>
        </w:r>
        <w:r>
          <w:rPr>
            <w:noProof/>
            <w:webHidden/>
          </w:rPr>
          <w:instrText xml:space="preserve"> PAGEREF _Toc181684737 \h </w:instrText>
        </w:r>
        <w:r>
          <w:rPr>
            <w:noProof/>
            <w:webHidden/>
          </w:rPr>
        </w:r>
        <w:r>
          <w:rPr>
            <w:noProof/>
            <w:webHidden/>
          </w:rPr>
          <w:fldChar w:fldCharType="separate"/>
        </w:r>
        <w:r>
          <w:rPr>
            <w:noProof/>
            <w:webHidden/>
          </w:rPr>
          <w:t>610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8" w:history="1">
        <w:r w:rsidRPr="001B13A4">
          <w:rPr>
            <w:rStyle w:val="Hyperlink"/>
            <w:noProof/>
          </w:rPr>
          <w:t>2.1.1702</w:t>
        </w:r>
        <w:r>
          <w:rPr>
            <w:rFonts w:asciiTheme="minorHAnsi" w:eastAsiaTheme="minorEastAsia" w:hAnsiTheme="minorHAnsi" w:cstheme="minorBidi"/>
            <w:noProof/>
            <w:sz w:val="22"/>
            <w:szCs w:val="22"/>
          </w:rPr>
          <w:tab/>
        </w:r>
        <w:r w:rsidRPr="001B13A4">
          <w:rPr>
            <w:rStyle w:val="Hyperlink"/>
            <w:noProof/>
          </w:rPr>
          <w:t>Part 1 Section 22.1.2.101, sSub (Subscript Object)</w:t>
        </w:r>
        <w:r>
          <w:rPr>
            <w:noProof/>
            <w:webHidden/>
          </w:rPr>
          <w:tab/>
        </w:r>
        <w:r>
          <w:rPr>
            <w:noProof/>
            <w:webHidden/>
          </w:rPr>
          <w:fldChar w:fldCharType="begin"/>
        </w:r>
        <w:r>
          <w:rPr>
            <w:noProof/>
            <w:webHidden/>
          </w:rPr>
          <w:instrText xml:space="preserve"> PAGEREF _Toc181684738 \h </w:instrText>
        </w:r>
        <w:r>
          <w:rPr>
            <w:noProof/>
            <w:webHidden/>
          </w:rPr>
        </w:r>
        <w:r>
          <w:rPr>
            <w:noProof/>
            <w:webHidden/>
          </w:rPr>
          <w:fldChar w:fldCharType="separate"/>
        </w:r>
        <w:r>
          <w:rPr>
            <w:noProof/>
            <w:webHidden/>
          </w:rPr>
          <w:t>610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39" w:history="1">
        <w:r w:rsidRPr="001B13A4">
          <w:rPr>
            <w:rStyle w:val="Hyperlink"/>
            <w:noProof/>
          </w:rPr>
          <w:t>2.1.1703</w:t>
        </w:r>
        <w:r>
          <w:rPr>
            <w:rFonts w:asciiTheme="minorHAnsi" w:eastAsiaTheme="minorEastAsia" w:hAnsiTheme="minorHAnsi" w:cstheme="minorBidi"/>
            <w:noProof/>
            <w:sz w:val="22"/>
            <w:szCs w:val="22"/>
          </w:rPr>
          <w:tab/>
        </w:r>
        <w:r w:rsidRPr="001B13A4">
          <w:rPr>
            <w:rStyle w:val="Hyperlink"/>
            <w:noProof/>
          </w:rPr>
          <w:t>Part 1 Section 22.1.2.103, sSubSup (Sub-Superscript Object)</w:t>
        </w:r>
        <w:r>
          <w:rPr>
            <w:noProof/>
            <w:webHidden/>
          </w:rPr>
          <w:tab/>
        </w:r>
        <w:r>
          <w:rPr>
            <w:noProof/>
            <w:webHidden/>
          </w:rPr>
          <w:fldChar w:fldCharType="begin"/>
        </w:r>
        <w:r>
          <w:rPr>
            <w:noProof/>
            <w:webHidden/>
          </w:rPr>
          <w:instrText xml:space="preserve"> PAGEREF _Toc181684739 \h </w:instrText>
        </w:r>
        <w:r>
          <w:rPr>
            <w:noProof/>
            <w:webHidden/>
          </w:rPr>
        </w:r>
        <w:r>
          <w:rPr>
            <w:noProof/>
            <w:webHidden/>
          </w:rPr>
          <w:fldChar w:fldCharType="separate"/>
        </w:r>
        <w:r>
          <w:rPr>
            <w:noProof/>
            <w:webHidden/>
          </w:rPr>
          <w:t>610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0" w:history="1">
        <w:r w:rsidRPr="001B13A4">
          <w:rPr>
            <w:rStyle w:val="Hyperlink"/>
            <w:noProof/>
          </w:rPr>
          <w:t>2.1.1704</w:t>
        </w:r>
        <w:r>
          <w:rPr>
            <w:rFonts w:asciiTheme="minorHAnsi" w:eastAsiaTheme="minorEastAsia" w:hAnsiTheme="minorHAnsi" w:cstheme="minorBidi"/>
            <w:noProof/>
            <w:sz w:val="22"/>
            <w:szCs w:val="22"/>
          </w:rPr>
          <w:tab/>
        </w:r>
        <w:r w:rsidRPr="001B13A4">
          <w:rPr>
            <w:rStyle w:val="Hyperlink"/>
            <w:noProof/>
          </w:rPr>
          <w:t>Part 1 Section 22.1.2.105, sSup (Superscript Object)</w:t>
        </w:r>
        <w:r>
          <w:rPr>
            <w:noProof/>
            <w:webHidden/>
          </w:rPr>
          <w:tab/>
        </w:r>
        <w:r>
          <w:rPr>
            <w:noProof/>
            <w:webHidden/>
          </w:rPr>
          <w:fldChar w:fldCharType="begin"/>
        </w:r>
        <w:r>
          <w:rPr>
            <w:noProof/>
            <w:webHidden/>
          </w:rPr>
          <w:instrText xml:space="preserve"> PAGEREF _Toc181684740 \h </w:instrText>
        </w:r>
        <w:r>
          <w:rPr>
            <w:noProof/>
            <w:webHidden/>
          </w:rPr>
        </w:r>
        <w:r>
          <w:rPr>
            <w:noProof/>
            <w:webHidden/>
          </w:rPr>
          <w:fldChar w:fldCharType="separate"/>
        </w:r>
        <w:r>
          <w:rPr>
            <w:noProof/>
            <w:webHidden/>
          </w:rPr>
          <w:t>610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1" w:history="1">
        <w:r w:rsidRPr="001B13A4">
          <w:rPr>
            <w:rStyle w:val="Hyperlink"/>
            <w:noProof/>
          </w:rPr>
          <w:t>2.1.1705</w:t>
        </w:r>
        <w:r>
          <w:rPr>
            <w:rFonts w:asciiTheme="minorHAnsi" w:eastAsiaTheme="minorEastAsia" w:hAnsiTheme="minorHAnsi" w:cstheme="minorBidi"/>
            <w:noProof/>
            <w:sz w:val="22"/>
            <w:szCs w:val="22"/>
          </w:rPr>
          <w:tab/>
        </w:r>
        <w:r w:rsidRPr="001B13A4">
          <w:rPr>
            <w:rStyle w:val="Hyperlink"/>
            <w:noProof/>
          </w:rPr>
          <w:t>Part 1 Section 22.1.2.111, sty (style)</w:t>
        </w:r>
        <w:r>
          <w:rPr>
            <w:noProof/>
            <w:webHidden/>
          </w:rPr>
          <w:tab/>
        </w:r>
        <w:r>
          <w:rPr>
            <w:noProof/>
            <w:webHidden/>
          </w:rPr>
          <w:fldChar w:fldCharType="begin"/>
        </w:r>
        <w:r>
          <w:rPr>
            <w:noProof/>
            <w:webHidden/>
          </w:rPr>
          <w:instrText xml:space="preserve"> PAGEREF _Toc181684741 \h </w:instrText>
        </w:r>
        <w:r>
          <w:rPr>
            <w:noProof/>
            <w:webHidden/>
          </w:rPr>
        </w:r>
        <w:r>
          <w:rPr>
            <w:noProof/>
            <w:webHidden/>
          </w:rPr>
          <w:fldChar w:fldCharType="separate"/>
        </w:r>
        <w:r>
          <w:rPr>
            <w:noProof/>
            <w:webHidden/>
          </w:rPr>
          <w:t>610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2" w:history="1">
        <w:r w:rsidRPr="001B13A4">
          <w:rPr>
            <w:rStyle w:val="Hyperlink"/>
            <w:noProof/>
          </w:rPr>
          <w:t>2.1.1706</w:t>
        </w:r>
        <w:r>
          <w:rPr>
            <w:rFonts w:asciiTheme="minorHAnsi" w:eastAsiaTheme="minorEastAsia" w:hAnsiTheme="minorHAnsi" w:cstheme="minorBidi"/>
            <w:noProof/>
            <w:sz w:val="22"/>
            <w:szCs w:val="22"/>
          </w:rPr>
          <w:tab/>
        </w:r>
        <w:r w:rsidRPr="001B13A4">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_Toc181684742 \h </w:instrText>
        </w:r>
        <w:r>
          <w:rPr>
            <w:noProof/>
            <w:webHidden/>
          </w:rPr>
        </w:r>
        <w:r>
          <w:rPr>
            <w:noProof/>
            <w:webHidden/>
          </w:rPr>
          <w:fldChar w:fldCharType="separate"/>
        </w:r>
        <w:r>
          <w:rPr>
            <w:noProof/>
            <w:webHidden/>
          </w:rPr>
          <w:t>610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3" w:history="1">
        <w:r w:rsidRPr="001B13A4">
          <w:rPr>
            <w:rStyle w:val="Hyperlink"/>
            <w:noProof/>
          </w:rPr>
          <w:t>2.1.1707</w:t>
        </w:r>
        <w:r>
          <w:rPr>
            <w:rFonts w:asciiTheme="minorHAnsi" w:eastAsiaTheme="minorEastAsia" w:hAnsiTheme="minorHAnsi" w:cstheme="minorBidi"/>
            <w:noProof/>
            <w:sz w:val="22"/>
            <w:szCs w:val="22"/>
          </w:rPr>
          <w:tab/>
        </w:r>
        <w:r w:rsidRPr="001B13A4">
          <w:rPr>
            <w:rStyle w:val="Hyperlink"/>
            <w:noProof/>
          </w:rPr>
          <w:t>Part 1 Section 22.1.2.113, subHide (Hide Subscript (n-ary))</w:t>
        </w:r>
        <w:r>
          <w:rPr>
            <w:noProof/>
            <w:webHidden/>
          </w:rPr>
          <w:tab/>
        </w:r>
        <w:r>
          <w:rPr>
            <w:noProof/>
            <w:webHidden/>
          </w:rPr>
          <w:fldChar w:fldCharType="begin"/>
        </w:r>
        <w:r>
          <w:rPr>
            <w:noProof/>
            <w:webHidden/>
          </w:rPr>
          <w:instrText xml:space="preserve"> PAGEREF _Toc181684743 \h </w:instrText>
        </w:r>
        <w:r>
          <w:rPr>
            <w:noProof/>
            <w:webHidden/>
          </w:rPr>
        </w:r>
        <w:r>
          <w:rPr>
            <w:noProof/>
            <w:webHidden/>
          </w:rPr>
          <w:fldChar w:fldCharType="separate"/>
        </w:r>
        <w:r>
          <w:rPr>
            <w:noProof/>
            <w:webHidden/>
          </w:rPr>
          <w:t>610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4" w:history="1">
        <w:r w:rsidRPr="001B13A4">
          <w:rPr>
            <w:rStyle w:val="Hyperlink"/>
            <w:noProof/>
          </w:rPr>
          <w:t>2.1.1708</w:t>
        </w:r>
        <w:r>
          <w:rPr>
            <w:rFonts w:asciiTheme="minorHAnsi" w:eastAsiaTheme="minorEastAsia" w:hAnsiTheme="minorHAnsi" w:cstheme="minorBidi"/>
            <w:noProof/>
            <w:sz w:val="22"/>
            <w:szCs w:val="22"/>
          </w:rPr>
          <w:tab/>
        </w:r>
        <w:r w:rsidRPr="001B13A4">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_Toc181684744 \h </w:instrText>
        </w:r>
        <w:r>
          <w:rPr>
            <w:noProof/>
            <w:webHidden/>
          </w:rPr>
        </w:r>
        <w:r>
          <w:rPr>
            <w:noProof/>
            <w:webHidden/>
          </w:rPr>
          <w:fldChar w:fldCharType="separate"/>
        </w:r>
        <w:r>
          <w:rPr>
            <w:noProof/>
            <w:webHidden/>
          </w:rPr>
          <w:t>611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5" w:history="1">
        <w:r w:rsidRPr="001B13A4">
          <w:rPr>
            <w:rStyle w:val="Hyperlink"/>
            <w:noProof/>
          </w:rPr>
          <w:t>2.1.1709</w:t>
        </w:r>
        <w:r>
          <w:rPr>
            <w:rFonts w:asciiTheme="minorHAnsi" w:eastAsiaTheme="minorEastAsia" w:hAnsiTheme="minorHAnsi" w:cstheme="minorBidi"/>
            <w:noProof/>
            <w:sz w:val="22"/>
            <w:szCs w:val="22"/>
          </w:rPr>
          <w:tab/>
        </w:r>
        <w:r w:rsidRPr="001B13A4">
          <w:rPr>
            <w:rStyle w:val="Hyperlink"/>
            <w:noProof/>
          </w:rPr>
          <w:t>Part 1 Section 22.1.2.115, supHide (Hide Superscript (n-ary))</w:t>
        </w:r>
        <w:r>
          <w:rPr>
            <w:noProof/>
            <w:webHidden/>
          </w:rPr>
          <w:tab/>
        </w:r>
        <w:r>
          <w:rPr>
            <w:noProof/>
            <w:webHidden/>
          </w:rPr>
          <w:fldChar w:fldCharType="begin"/>
        </w:r>
        <w:r>
          <w:rPr>
            <w:noProof/>
            <w:webHidden/>
          </w:rPr>
          <w:instrText xml:space="preserve"> PAGEREF _Toc181684745 \h </w:instrText>
        </w:r>
        <w:r>
          <w:rPr>
            <w:noProof/>
            <w:webHidden/>
          </w:rPr>
        </w:r>
        <w:r>
          <w:rPr>
            <w:noProof/>
            <w:webHidden/>
          </w:rPr>
          <w:fldChar w:fldCharType="separate"/>
        </w:r>
        <w:r>
          <w:rPr>
            <w:noProof/>
            <w:webHidden/>
          </w:rPr>
          <w:t>611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6" w:history="1">
        <w:r w:rsidRPr="001B13A4">
          <w:rPr>
            <w:rStyle w:val="Hyperlink"/>
            <w:noProof/>
          </w:rPr>
          <w:t>2.1.1710</w:t>
        </w:r>
        <w:r>
          <w:rPr>
            <w:rFonts w:asciiTheme="minorHAnsi" w:eastAsiaTheme="minorEastAsia" w:hAnsiTheme="minorHAnsi" w:cstheme="minorBidi"/>
            <w:noProof/>
            <w:sz w:val="22"/>
            <w:szCs w:val="22"/>
          </w:rPr>
          <w:tab/>
        </w:r>
        <w:r w:rsidRPr="001B13A4">
          <w:rPr>
            <w:rStyle w:val="Hyperlink"/>
            <w:noProof/>
          </w:rPr>
          <w:t>Part 1 Section 22.1.2.116, t (Text)</w:t>
        </w:r>
        <w:r>
          <w:rPr>
            <w:noProof/>
            <w:webHidden/>
          </w:rPr>
          <w:tab/>
        </w:r>
        <w:r>
          <w:rPr>
            <w:noProof/>
            <w:webHidden/>
          </w:rPr>
          <w:fldChar w:fldCharType="begin"/>
        </w:r>
        <w:r>
          <w:rPr>
            <w:noProof/>
            <w:webHidden/>
          </w:rPr>
          <w:instrText xml:space="preserve"> PAGEREF _Toc181684746 \h </w:instrText>
        </w:r>
        <w:r>
          <w:rPr>
            <w:noProof/>
            <w:webHidden/>
          </w:rPr>
        </w:r>
        <w:r>
          <w:rPr>
            <w:noProof/>
            <w:webHidden/>
          </w:rPr>
          <w:fldChar w:fldCharType="separate"/>
        </w:r>
        <w:r>
          <w:rPr>
            <w:noProof/>
            <w:webHidden/>
          </w:rPr>
          <w:t>611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7" w:history="1">
        <w:r w:rsidRPr="001B13A4">
          <w:rPr>
            <w:rStyle w:val="Hyperlink"/>
            <w:noProof/>
          </w:rPr>
          <w:t>2.1.1711</w:t>
        </w:r>
        <w:r>
          <w:rPr>
            <w:rFonts w:asciiTheme="minorHAnsi" w:eastAsiaTheme="minorEastAsia" w:hAnsiTheme="minorHAnsi" w:cstheme="minorBidi"/>
            <w:noProof/>
            <w:sz w:val="22"/>
            <w:szCs w:val="22"/>
          </w:rPr>
          <w:tab/>
        </w:r>
        <w:r w:rsidRPr="001B13A4">
          <w:rPr>
            <w:rStyle w:val="Hyperlink"/>
            <w:noProof/>
          </w:rPr>
          <w:t>Part 1 Section 22.1.2.117, transp (Transparent (Phantom))</w:t>
        </w:r>
        <w:r>
          <w:rPr>
            <w:noProof/>
            <w:webHidden/>
          </w:rPr>
          <w:tab/>
        </w:r>
        <w:r>
          <w:rPr>
            <w:noProof/>
            <w:webHidden/>
          </w:rPr>
          <w:fldChar w:fldCharType="begin"/>
        </w:r>
        <w:r>
          <w:rPr>
            <w:noProof/>
            <w:webHidden/>
          </w:rPr>
          <w:instrText xml:space="preserve"> PAGEREF _Toc181684747 \h </w:instrText>
        </w:r>
        <w:r>
          <w:rPr>
            <w:noProof/>
            <w:webHidden/>
          </w:rPr>
        </w:r>
        <w:r>
          <w:rPr>
            <w:noProof/>
            <w:webHidden/>
          </w:rPr>
          <w:fldChar w:fldCharType="separate"/>
        </w:r>
        <w:r>
          <w:rPr>
            <w:noProof/>
            <w:webHidden/>
          </w:rPr>
          <w:t>611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8" w:history="1">
        <w:r w:rsidRPr="001B13A4">
          <w:rPr>
            <w:rStyle w:val="Hyperlink"/>
            <w:noProof/>
          </w:rPr>
          <w:t>2.1.1712</w:t>
        </w:r>
        <w:r>
          <w:rPr>
            <w:rFonts w:asciiTheme="minorHAnsi" w:eastAsiaTheme="minorEastAsia" w:hAnsiTheme="minorHAnsi" w:cstheme="minorBidi"/>
            <w:noProof/>
            <w:sz w:val="22"/>
            <w:szCs w:val="22"/>
          </w:rPr>
          <w:tab/>
        </w:r>
        <w:r w:rsidRPr="001B13A4">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_Toc181684748 \h </w:instrText>
        </w:r>
        <w:r>
          <w:rPr>
            <w:noProof/>
            <w:webHidden/>
          </w:rPr>
        </w:r>
        <w:r>
          <w:rPr>
            <w:noProof/>
            <w:webHidden/>
          </w:rPr>
          <w:fldChar w:fldCharType="separate"/>
        </w:r>
        <w:r>
          <w:rPr>
            <w:noProof/>
            <w:webHidden/>
          </w:rPr>
          <w:t>611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49" w:history="1">
        <w:r w:rsidRPr="001B13A4">
          <w:rPr>
            <w:rStyle w:val="Hyperlink"/>
            <w:noProof/>
          </w:rPr>
          <w:t>2.1.1713</w:t>
        </w:r>
        <w:r>
          <w:rPr>
            <w:rFonts w:asciiTheme="minorHAnsi" w:eastAsiaTheme="minorEastAsia" w:hAnsiTheme="minorHAnsi" w:cstheme="minorBidi"/>
            <w:noProof/>
            <w:sz w:val="22"/>
            <w:szCs w:val="22"/>
          </w:rPr>
          <w:tab/>
        </w:r>
        <w:r w:rsidRPr="001B13A4">
          <w:rPr>
            <w:rStyle w:val="Hyperlink"/>
            <w:noProof/>
          </w:rPr>
          <w:t>Part 1 Section 22.1.3.7, ST_Jc (Justification)</w:t>
        </w:r>
        <w:r>
          <w:rPr>
            <w:noProof/>
            <w:webHidden/>
          </w:rPr>
          <w:tab/>
        </w:r>
        <w:r>
          <w:rPr>
            <w:noProof/>
            <w:webHidden/>
          </w:rPr>
          <w:fldChar w:fldCharType="begin"/>
        </w:r>
        <w:r>
          <w:rPr>
            <w:noProof/>
            <w:webHidden/>
          </w:rPr>
          <w:instrText xml:space="preserve"> PAGEREF _Toc181684749 \h </w:instrText>
        </w:r>
        <w:r>
          <w:rPr>
            <w:noProof/>
            <w:webHidden/>
          </w:rPr>
        </w:r>
        <w:r>
          <w:rPr>
            <w:noProof/>
            <w:webHidden/>
          </w:rPr>
          <w:fldChar w:fldCharType="separate"/>
        </w:r>
        <w:r>
          <w:rPr>
            <w:noProof/>
            <w:webHidden/>
          </w:rPr>
          <w:t>612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0" w:history="1">
        <w:r w:rsidRPr="001B13A4">
          <w:rPr>
            <w:rStyle w:val="Hyperlink"/>
            <w:noProof/>
          </w:rPr>
          <w:t>2.1.1714</w:t>
        </w:r>
        <w:r>
          <w:rPr>
            <w:rFonts w:asciiTheme="minorHAnsi" w:eastAsiaTheme="minorEastAsia" w:hAnsiTheme="minorHAnsi" w:cstheme="minorBidi"/>
            <w:noProof/>
            <w:sz w:val="22"/>
            <w:szCs w:val="22"/>
          </w:rPr>
          <w:tab/>
        </w:r>
        <w:r w:rsidRPr="001B13A4">
          <w:rPr>
            <w:rStyle w:val="Hyperlink"/>
            <w:noProof/>
          </w:rPr>
          <w:t>Part 1 Section 22.1.3.10, ST_Shp (Shape (Delimiters))</w:t>
        </w:r>
        <w:r>
          <w:rPr>
            <w:noProof/>
            <w:webHidden/>
          </w:rPr>
          <w:tab/>
        </w:r>
        <w:r>
          <w:rPr>
            <w:noProof/>
            <w:webHidden/>
          </w:rPr>
          <w:fldChar w:fldCharType="begin"/>
        </w:r>
        <w:r>
          <w:rPr>
            <w:noProof/>
            <w:webHidden/>
          </w:rPr>
          <w:instrText xml:space="preserve"> PAGEREF _Toc181684750 \h </w:instrText>
        </w:r>
        <w:r>
          <w:rPr>
            <w:noProof/>
            <w:webHidden/>
          </w:rPr>
        </w:r>
        <w:r>
          <w:rPr>
            <w:noProof/>
            <w:webHidden/>
          </w:rPr>
          <w:fldChar w:fldCharType="separate"/>
        </w:r>
        <w:r>
          <w:rPr>
            <w:noProof/>
            <w:webHidden/>
          </w:rPr>
          <w:t>612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1" w:history="1">
        <w:r w:rsidRPr="001B13A4">
          <w:rPr>
            <w:rStyle w:val="Hyperlink"/>
            <w:noProof/>
          </w:rPr>
          <w:t>2.1.1715</w:t>
        </w:r>
        <w:r>
          <w:rPr>
            <w:rFonts w:asciiTheme="minorHAnsi" w:eastAsiaTheme="minorEastAsia" w:hAnsiTheme="minorHAnsi" w:cstheme="minorBidi"/>
            <w:noProof/>
            <w:sz w:val="22"/>
            <w:szCs w:val="22"/>
          </w:rPr>
          <w:tab/>
        </w:r>
        <w:r w:rsidRPr="001B13A4">
          <w:rPr>
            <w:rStyle w:val="Hyperlink"/>
            <w:noProof/>
          </w:rPr>
          <w:t>Part 1 Section 22.1.3.13, ST_TopBot (Top-Bottom)</w:t>
        </w:r>
        <w:r>
          <w:rPr>
            <w:noProof/>
            <w:webHidden/>
          </w:rPr>
          <w:tab/>
        </w:r>
        <w:r>
          <w:rPr>
            <w:noProof/>
            <w:webHidden/>
          </w:rPr>
          <w:fldChar w:fldCharType="begin"/>
        </w:r>
        <w:r>
          <w:rPr>
            <w:noProof/>
            <w:webHidden/>
          </w:rPr>
          <w:instrText xml:space="preserve"> PAGEREF _Toc181684751 \h </w:instrText>
        </w:r>
        <w:r>
          <w:rPr>
            <w:noProof/>
            <w:webHidden/>
          </w:rPr>
        </w:r>
        <w:r>
          <w:rPr>
            <w:noProof/>
            <w:webHidden/>
          </w:rPr>
          <w:fldChar w:fldCharType="separate"/>
        </w:r>
        <w:r>
          <w:rPr>
            <w:noProof/>
            <w:webHidden/>
          </w:rPr>
          <w:t>612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2" w:history="1">
        <w:r w:rsidRPr="001B13A4">
          <w:rPr>
            <w:rStyle w:val="Hyperlink"/>
            <w:noProof/>
          </w:rPr>
          <w:t>2.1.1716</w:t>
        </w:r>
        <w:r>
          <w:rPr>
            <w:rFonts w:asciiTheme="minorHAnsi" w:eastAsiaTheme="minorEastAsia" w:hAnsiTheme="minorHAnsi" w:cstheme="minorBidi"/>
            <w:noProof/>
            <w:sz w:val="22"/>
            <w:szCs w:val="22"/>
          </w:rPr>
          <w:tab/>
        </w:r>
        <w:r w:rsidRPr="001B13A4">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_Toc181684752 \h </w:instrText>
        </w:r>
        <w:r>
          <w:rPr>
            <w:noProof/>
            <w:webHidden/>
          </w:rPr>
        </w:r>
        <w:r>
          <w:rPr>
            <w:noProof/>
            <w:webHidden/>
          </w:rPr>
          <w:fldChar w:fldCharType="separate"/>
        </w:r>
        <w:r>
          <w:rPr>
            <w:noProof/>
            <w:webHidden/>
          </w:rPr>
          <w:t>612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3" w:history="1">
        <w:r w:rsidRPr="001B13A4">
          <w:rPr>
            <w:rStyle w:val="Hyperlink"/>
            <w:noProof/>
          </w:rPr>
          <w:t>2.1.1717</w:t>
        </w:r>
        <w:r>
          <w:rPr>
            <w:rFonts w:asciiTheme="minorHAnsi" w:eastAsiaTheme="minorEastAsia" w:hAnsiTheme="minorHAnsi" w:cstheme="minorBidi"/>
            <w:noProof/>
            <w:sz w:val="22"/>
            <w:szCs w:val="22"/>
          </w:rPr>
          <w:tab/>
        </w:r>
        <w:r w:rsidRPr="001B13A4">
          <w:rPr>
            <w:rStyle w:val="Hyperlink"/>
            <w:noProof/>
          </w:rPr>
          <w:t>Part 1 Section 22.2.2.2, AppVersion (Application Version)</w:t>
        </w:r>
        <w:r>
          <w:rPr>
            <w:noProof/>
            <w:webHidden/>
          </w:rPr>
          <w:tab/>
        </w:r>
        <w:r>
          <w:rPr>
            <w:noProof/>
            <w:webHidden/>
          </w:rPr>
          <w:fldChar w:fldCharType="begin"/>
        </w:r>
        <w:r>
          <w:rPr>
            <w:noProof/>
            <w:webHidden/>
          </w:rPr>
          <w:instrText xml:space="preserve"> PAGEREF _Toc181684753 \h </w:instrText>
        </w:r>
        <w:r>
          <w:rPr>
            <w:noProof/>
            <w:webHidden/>
          </w:rPr>
        </w:r>
        <w:r>
          <w:rPr>
            <w:noProof/>
            <w:webHidden/>
          </w:rPr>
          <w:fldChar w:fldCharType="separate"/>
        </w:r>
        <w:r>
          <w:rPr>
            <w:noProof/>
            <w:webHidden/>
          </w:rPr>
          <w:t>612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4" w:history="1">
        <w:r w:rsidRPr="001B13A4">
          <w:rPr>
            <w:rStyle w:val="Hyperlink"/>
            <w:noProof/>
          </w:rPr>
          <w:t>2.1.1718</w:t>
        </w:r>
        <w:r>
          <w:rPr>
            <w:rFonts w:asciiTheme="minorHAnsi" w:eastAsiaTheme="minorEastAsia" w:hAnsiTheme="minorHAnsi" w:cstheme="minorBidi"/>
            <w:noProof/>
            <w:sz w:val="22"/>
            <w:szCs w:val="22"/>
          </w:rPr>
          <w:tab/>
        </w:r>
        <w:r w:rsidRPr="001B13A4">
          <w:rPr>
            <w:rStyle w:val="Hyperlink"/>
            <w:noProof/>
          </w:rPr>
          <w:t>Part 1 Section 22.2.2.6, DigSig (Digital Signature)</w:t>
        </w:r>
        <w:r>
          <w:rPr>
            <w:noProof/>
            <w:webHidden/>
          </w:rPr>
          <w:tab/>
        </w:r>
        <w:r>
          <w:rPr>
            <w:noProof/>
            <w:webHidden/>
          </w:rPr>
          <w:fldChar w:fldCharType="begin"/>
        </w:r>
        <w:r>
          <w:rPr>
            <w:noProof/>
            <w:webHidden/>
          </w:rPr>
          <w:instrText xml:space="preserve"> PAGEREF _Toc181684754 \h </w:instrText>
        </w:r>
        <w:r>
          <w:rPr>
            <w:noProof/>
            <w:webHidden/>
          </w:rPr>
        </w:r>
        <w:r>
          <w:rPr>
            <w:noProof/>
            <w:webHidden/>
          </w:rPr>
          <w:fldChar w:fldCharType="separate"/>
        </w:r>
        <w:r>
          <w:rPr>
            <w:noProof/>
            <w:webHidden/>
          </w:rPr>
          <w:t>612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5" w:history="1">
        <w:r w:rsidRPr="001B13A4">
          <w:rPr>
            <w:rStyle w:val="Hyperlink"/>
            <w:noProof/>
          </w:rPr>
          <w:t>2.1.1719</w:t>
        </w:r>
        <w:r>
          <w:rPr>
            <w:rFonts w:asciiTheme="minorHAnsi" w:eastAsiaTheme="minorEastAsia" w:hAnsiTheme="minorHAnsi" w:cstheme="minorBidi"/>
            <w:noProof/>
            <w:sz w:val="22"/>
            <w:szCs w:val="22"/>
          </w:rPr>
          <w:tab/>
        </w:r>
        <w:r w:rsidRPr="001B13A4">
          <w:rPr>
            <w:rStyle w:val="Hyperlink"/>
            <w:noProof/>
          </w:rPr>
          <w:t>Part 1 Section 22.2.2.7, DocSecurity (Document Security)</w:t>
        </w:r>
        <w:r>
          <w:rPr>
            <w:noProof/>
            <w:webHidden/>
          </w:rPr>
          <w:tab/>
        </w:r>
        <w:r>
          <w:rPr>
            <w:noProof/>
            <w:webHidden/>
          </w:rPr>
          <w:fldChar w:fldCharType="begin"/>
        </w:r>
        <w:r>
          <w:rPr>
            <w:noProof/>
            <w:webHidden/>
          </w:rPr>
          <w:instrText xml:space="preserve"> PAGEREF _Toc181684755 \h </w:instrText>
        </w:r>
        <w:r>
          <w:rPr>
            <w:noProof/>
            <w:webHidden/>
          </w:rPr>
        </w:r>
        <w:r>
          <w:rPr>
            <w:noProof/>
            <w:webHidden/>
          </w:rPr>
          <w:fldChar w:fldCharType="separate"/>
        </w:r>
        <w:r>
          <w:rPr>
            <w:noProof/>
            <w:webHidden/>
          </w:rPr>
          <w:t>613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6" w:history="1">
        <w:r w:rsidRPr="001B13A4">
          <w:rPr>
            <w:rStyle w:val="Hyperlink"/>
            <w:noProof/>
          </w:rPr>
          <w:t>2.1.1720</w:t>
        </w:r>
        <w:r>
          <w:rPr>
            <w:rFonts w:asciiTheme="minorHAnsi" w:eastAsiaTheme="minorEastAsia" w:hAnsiTheme="minorHAnsi" w:cstheme="minorBidi"/>
            <w:noProof/>
            <w:sz w:val="22"/>
            <w:szCs w:val="22"/>
          </w:rPr>
          <w:tab/>
        </w:r>
        <w:r w:rsidRPr="001B13A4">
          <w:rPr>
            <w:rStyle w:val="Hyperlink"/>
            <w:noProof/>
          </w:rPr>
          <w:t>Part 1 Section 22.2.2.8, HeadingPairs (Heading Pairs)</w:t>
        </w:r>
        <w:r>
          <w:rPr>
            <w:noProof/>
            <w:webHidden/>
          </w:rPr>
          <w:tab/>
        </w:r>
        <w:r>
          <w:rPr>
            <w:noProof/>
            <w:webHidden/>
          </w:rPr>
          <w:fldChar w:fldCharType="begin"/>
        </w:r>
        <w:r>
          <w:rPr>
            <w:noProof/>
            <w:webHidden/>
          </w:rPr>
          <w:instrText xml:space="preserve"> PAGEREF _Toc181684756 \h </w:instrText>
        </w:r>
        <w:r>
          <w:rPr>
            <w:noProof/>
            <w:webHidden/>
          </w:rPr>
        </w:r>
        <w:r>
          <w:rPr>
            <w:noProof/>
            <w:webHidden/>
          </w:rPr>
          <w:fldChar w:fldCharType="separate"/>
        </w:r>
        <w:r>
          <w:rPr>
            <w:noProof/>
            <w:webHidden/>
          </w:rPr>
          <w:t>613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7" w:history="1">
        <w:r w:rsidRPr="001B13A4">
          <w:rPr>
            <w:rStyle w:val="Hyperlink"/>
            <w:noProof/>
          </w:rPr>
          <w:t>2.1.1721</w:t>
        </w:r>
        <w:r>
          <w:rPr>
            <w:rFonts w:asciiTheme="minorHAnsi" w:eastAsiaTheme="minorEastAsia" w:hAnsiTheme="minorHAnsi" w:cstheme="minorBidi"/>
            <w:noProof/>
            <w:sz w:val="22"/>
            <w:szCs w:val="22"/>
          </w:rPr>
          <w:tab/>
        </w:r>
        <w:r w:rsidRPr="001B13A4">
          <w:rPr>
            <w:rStyle w:val="Hyperlink"/>
            <w:noProof/>
          </w:rPr>
          <w:t>Part 1 Section 22.2.2.10, HLinks (Hyperlink List)</w:t>
        </w:r>
        <w:r>
          <w:rPr>
            <w:noProof/>
            <w:webHidden/>
          </w:rPr>
          <w:tab/>
        </w:r>
        <w:r>
          <w:rPr>
            <w:noProof/>
            <w:webHidden/>
          </w:rPr>
          <w:fldChar w:fldCharType="begin"/>
        </w:r>
        <w:r>
          <w:rPr>
            <w:noProof/>
            <w:webHidden/>
          </w:rPr>
          <w:instrText xml:space="preserve"> PAGEREF _Toc181684757 \h </w:instrText>
        </w:r>
        <w:r>
          <w:rPr>
            <w:noProof/>
            <w:webHidden/>
          </w:rPr>
        </w:r>
        <w:r>
          <w:rPr>
            <w:noProof/>
            <w:webHidden/>
          </w:rPr>
          <w:fldChar w:fldCharType="separate"/>
        </w:r>
        <w:r>
          <w:rPr>
            <w:noProof/>
            <w:webHidden/>
          </w:rPr>
          <w:t>613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8" w:history="1">
        <w:r w:rsidRPr="001B13A4">
          <w:rPr>
            <w:rStyle w:val="Hyperlink"/>
            <w:noProof/>
          </w:rPr>
          <w:t>2.1.1722</w:t>
        </w:r>
        <w:r>
          <w:rPr>
            <w:rFonts w:asciiTheme="minorHAnsi" w:eastAsiaTheme="minorEastAsia" w:hAnsiTheme="minorHAnsi" w:cstheme="minorBidi"/>
            <w:noProof/>
            <w:sz w:val="22"/>
            <w:szCs w:val="22"/>
          </w:rPr>
          <w:tab/>
        </w:r>
        <w:r w:rsidRPr="001B13A4">
          <w:rPr>
            <w:rStyle w:val="Hyperlink"/>
            <w:noProof/>
          </w:rPr>
          <w:t>Part 1 Section 22.2.2.26, TitlesOfParts (Part Titles)</w:t>
        </w:r>
        <w:r>
          <w:rPr>
            <w:noProof/>
            <w:webHidden/>
          </w:rPr>
          <w:tab/>
        </w:r>
        <w:r>
          <w:rPr>
            <w:noProof/>
            <w:webHidden/>
          </w:rPr>
          <w:fldChar w:fldCharType="begin"/>
        </w:r>
        <w:r>
          <w:rPr>
            <w:noProof/>
            <w:webHidden/>
          </w:rPr>
          <w:instrText xml:space="preserve"> PAGEREF _Toc181684758 \h </w:instrText>
        </w:r>
        <w:r>
          <w:rPr>
            <w:noProof/>
            <w:webHidden/>
          </w:rPr>
        </w:r>
        <w:r>
          <w:rPr>
            <w:noProof/>
            <w:webHidden/>
          </w:rPr>
          <w:fldChar w:fldCharType="separate"/>
        </w:r>
        <w:r>
          <w:rPr>
            <w:noProof/>
            <w:webHidden/>
          </w:rPr>
          <w:t>614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59" w:history="1">
        <w:r w:rsidRPr="001B13A4">
          <w:rPr>
            <w:rStyle w:val="Hyperlink"/>
            <w:noProof/>
          </w:rPr>
          <w:t>2.1.1723</w:t>
        </w:r>
        <w:r>
          <w:rPr>
            <w:rFonts w:asciiTheme="minorHAnsi" w:eastAsiaTheme="minorEastAsia" w:hAnsiTheme="minorHAnsi" w:cstheme="minorBidi"/>
            <w:noProof/>
            <w:sz w:val="22"/>
            <w:szCs w:val="22"/>
          </w:rPr>
          <w:tab/>
        </w:r>
        <w:r w:rsidRPr="001B13A4">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_Toc181684759 \h </w:instrText>
        </w:r>
        <w:r>
          <w:rPr>
            <w:noProof/>
            <w:webHidden/>
          </w:rPr>
        </w:r>
        <w:r>
          <w:rPr>
            <w:noProof/>
            <w:webHidden/>
          </w:rPr>
          <w:fldChar w:fldCharType="separate"/>
        </w:r>
        <w:r>
          <w:rPr>
            <w:noProof/>
            <w:webHidden/>
          </w:rPr>
          <w:t>615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0" w:history="1">
        <w:r w:rsidRPr="001B13A4">
          <w:rPr>
            <w:rStyle w:val="Hyperlink"/>
            <w:noProof/>
          </w:rPr>
          <w:t>2.1.1724</w:t>
        </w:r>
        <w:r>
          <w:rPr>
            <w:rFonts w:asciiTheme="minorHAnsi" w:eastAsiaTheme="minorEastAsia" w:hAnsiTheme="minorHAnsi" w:cstheme="minorBidi"/>
            <w:noProof/>
            <w:sz w:val="22"/>
            <w:szCs w:val="22"/>
          </w:rPr>
          <w:tab/>
        </w:r>
        <w:r w:rsidRPr="001B13A4">
          <w:rPr>
            <w:rStyle w:val="Hyperlink"/>
            <w:noProof/>
          </w:rPr>
          <w:t>Part 1 Section 22.3.2.2, property (Custom File Property)</w:t>
        </w:r>
        <w:r>
          <w:rPr>
            <w:noProof/>
            <w:webHidden/>
          </w:rPr>
          <w:tab/>
        </w:r>
        <w:r>
          <w:rPr>
            <w:noProof/>
            <w:webHidden/>
          </w:rPr>
          <w:fldChar w:fldCharType="begin"/>
        </w:r>
        <w:r>
          <w:rPr>
            <w:noProof/>
            <w:webHidden/>
          </w:rPr>
          <w:instrText xml:space="preserve"> PAGEREF _Toc181684760 \h </w:instrText>
        </w:r>
        <w:r>
          <w:rPr>
            <w:noProof/>
            <w:webHidden/>
          </w:rPr>
        </w:r>
        <w:r>
          <w:rPr>
            <w:noProof/>
            <w:webHidden/>
          </w:rPr>
          <w:fldChar w:fldCharType="separate"/>
        </w:r>
        <w:r>
          <w:rPr>
            <w:noProof/>
            <w:webHidden/>
          </w:rPr>
          <w:t>615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1" w:history="1">
        <w:r w:rsidRPr="001B13A4">
          <w:rPr>
            <w:rStyle w:val="Hyperlink"/>
            <w:noProof/>
          </w:rPr>
          <w:t>2.1.1725</w:t>
        </w:r>
        <w:r>
          <w:rPr>
            <w:rFonts w:asciiTheme="minorHAnsi" w:eastAsiaTheme="minorEastAsia" w:hAnsiTheme="minorHAnsi" w:cstheme="minorBidi"/>
            <w:noProof/>
            <w:sz w:val="22"/>
            <w:szCs w:val="22"/>
          </w:rPr>
          <w:tab/>
        </w:r>
        <w:r w:rsidRPr="001B13A4">
          <w:rPr>
            <w:rStyle w:val="Hyperlink"/>
            <w:noProof/>
          </w:rPr>
          <w:t>Part 1 Section 22.4.2.1, array (Array)</w:t>
        </w:r>
        <w:r>
          <w:rPr>
            <w:noProof/>
            <w:webHidden/>
          </w:rPr>
          <w:tab/>
        </w:r>
        <w:r>
          <w:rPr>
            <w:noProof/>
            <w:webHidden/>
          </w:rPr>
          <w:fldChar w:fldCharType="begin"/>
        </w:r>
        <w:r>
          <w:rPr>
            <w:noProof/>
            <w:webHidden/>
          </w:rPr>
          <w:instrText xml:space="preserve"> PAGEREF _Toc181684761 \h </w:instrText>
        </w:r>
        <w:r>
          <w:rPr>
            <w:noProof/>
            <w:webHidden/>
          </w:rPr>
        </w:r>
        <w:r>
          <w:rPr>
            <w:noProof/>
            <w:webHidden/>
          </w:rPr>
          <w:fldChar w:fldCharType="separate"/>
        </w:r>
        <w:r>
          <w:rPr>
            <w:noProof/>
            <w:webHidden/>
          </w:rPr>
          <w:t>617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2" w:history="1">
        <w:r w:rsidRPr="001B13A4">
          <w:rPr>
            <w:rStyle w:val="Hyperlink"/>
            <w:noProof/>
          </w:rPr>
          <w:t>2.1.1726</w:t>
        </w:r>
        <w:r>
          <w:rPr>
            <w:rFonts w:asciiTheme="minorHAnsi" w:eastAsiaTheme="minorEastAsia" w:hAnsiTheme="minorHAnsi" w:cstheme="minorBidi"/>
            <w:noProof/>
            <w:sz w:val="22"/>
            <w:szCs w:val="22"/>
          </w:rPr>
          <w:tab/>
        </w:r>
        <w:r w:rsidRPr="001B13A4">
          <w:rPr>
            <w:rStyle w:val="Hyperlink"/>
            <w:noProof/>
          </w:rPr>
          <w:t>Part 1 Section 22.4.2.5, clsid (Class ID)</w:t>
        </w:r>
        <w:r>
          <w:rPr>
            <w:noProof/>
            <w:webHidden/>
          </w:rPr>
          <w:tab/>
        </w:r>
        <w:r>
          <w:rPr>
            <w:noProof/>
            <w:webHidden/>
          </w:rPr>
          <w:fldChar w:fldCharType="begin"/>
        </w:r>
        <w:r>
          <w:rPr>
            <w:noProof/>
            <w:webHidden/>
          </w:rPr>
          <w:instrText xml:space="preserve"> PAGEREF _Toc181684762 \h </w:instrText>
        </w:r>
        <w:r>
          <w:rPr>
            <w:noProof/>
            <w:webHidden/>
          </w:rPr>
        </w:r>
        <w:r>
          <w:rPr>
            <w:noProof/>
            <w:webHidden/>
          </w:rPr>
          <w:fldChar w:fldCharType="separate"/>
        </w:r>
        <w:r>
          <w:rPr>
            <w:noProof/>
            <w:webHidden/>
          </w:rPr>
          <w:t>618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3" w:history="1">
        <w:r w:rsidRPr="001B13A4">
          <w:rPr>
            <w:rStyle w:val="Hyperlink"/>
            <w:noProof/>
          </w:rPr>
          <w:t>2.1.1727</w:t>
        </w:r>
        <w:r>
          <w:rPr>
            <w:rFonts w:asciiTheme="minorHAnsi" w:eastAsiaTheme="minorEastAsia" w:hAnsiTheme="minorHAnsi" w:cstheme="minorBidi"/>
            <w:noProof/>
            <w:sz w:val="22"/>
            <w:szCs w:val="22"/>
          </w:rPr>
          <w:tab/>
        </w:r>
        <w:r w:rsidRPr="001B13A4">
          <w:rPr>
            <w:rStyle w:val="Hyperlink"/>
            <w:noProof/>
          </w:rPr>
          <w:t>Part 1 Section 22.4.2.7, date (Date and Time)</w:t>
        </w:r>
        <w:r>
          <w:rPr>
            <w:noProof/>
            <w:webHidden/>
          </w:rPr>
          <w:tab/>
        </w:r>
        <w:r>
          <w:rPr>
            <w:noProof/>
            <w:webHidden/>
          </w:rPr>
          <w:fldChar w:fldCharType="begin"/>
        </w:r>
        <w:r>
          <w:rPr>
            <w:noProof/>
            <w:webHidden/>
          </w:rPr>
          <w:instrText xml:space="preserve"> PAGEREF _Toc181684763 \h </w:instrText>
        </w:r>
        <w:r>
          <w:rPr>
            <w:noProof/>
            <w:webHidden/>
          </w:rPr>
        </w:r>
        <w:r>
          <w:rPr>
            <w:noProof/>
            <w:webHidden/>
          </w:rPr>
          <w:fldChar w:fldCharType="separate"/>
        </w:r>
        <w:r>
          <w:rPr>
            <w:noProof/>
            <w:webHidden/>
          </w:rPr>
          <w:t>618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4" w:history="1">
        <w:r w:rsidRPr="001B13A4">
          <w:rPr>
            <w:rStyle w:val="Hyperlink"/>
            <w:noProof/>
          </w:rPr>
          <w:t>2.1.1728</w:t>
        </w:r>
        <w:r>
          <w:rPr>
            <w:rFonts w:asciiTheme="minorHAnsi" w:eastAsiaTheme="minorEastAsia" w:hAnsiTheme="minorHAnsi" w:cstheme="minorBidi"/>
            <w:noProof/>
            <w:sz w:val="22"/>
            <w:szCs w:val="22"/>
          </w:rPr>
          <w:tab/>
        </w:r>
        <w:r w:rsidRPr="001B13A4">
          <w:rPr>
            <w:rStyle w:val="Hyperlink"/>
            <w:noProof/>
          </w:rPr>
          <w:t>Part 1 Section 22.4.2.11, filetime (File Time)</w:t>
        </w:r>
        <w:r>
          <w:rPr>
            <w:noProof/>
            <w:webHidden/>
          </w:rPr>
          <w:tab/>
        </w:r>
        <w:r>
          <w:rPr>
            <w:noProof/>
            <w:webHidden/>
          </w:rPr>
          <w:fldChar w:fldCharType="begin"/>
        </w:r>
        <w:r>
          <w:rPr>
            <w:noProof/>
            <w:webHidden/>
          </w:rPr>
          <w:instrText xml:space="preserve"> PAGEREF _Toc181684764 \h </w:instrText>
        </w:r>
        <w:r>
          <w:rPr>
            <w:noProof/>
            <w:webHidden/>
          </w:rPr>
        </w:r>
        <w:r>
          <w:rPr>
            <w:noProof/>
            <w:webHidden/>
          </w:rPr>
          <w:fldChar w:fldCharType="separate"/>
        </w:r>
        <w:r>
          <w:rPr>
            <w:noProof/>
            <w:webHidden/>
          </w:rPr>
          <w:t>618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5" w:history="1">
        <w:r w:rsidRPr="001B13A4">
          <w:rPr>
            <w:rStyle w:val="Hyperlink"/>
            <w:noProof/>
          </w:rPr>
          <w:t>2.1.1729</w:t>
        </w:r>
        <w:r>
          <w:rPr>
            <w:rFonts w:asciiTheme="minorHAnsi" w:eastAsiaTheme="minorEastAsia" w:hAnsiTheme="minorHAnsi" w:cstheme="minorBidi"/>
            <w:noProof/>
            <w:sz w:val="22"/>
            <w:szCs w:val="22"/>
          </w:rPr>
          <w:tab/>
        </w:r>
        <w:r w:rsidRPr="001B13A4">
          <w:rPr>
            <w:rStyle w:val="Hyperlink"/>
            <w:noProof/>
          </w:rPr>
          <w:t>Part 1 Section 22.4.2.19, null (Null)</w:t>
        </w:r>
        <w:r>
          <w:rPr>
            <w:noProof/>
            <w:webHidden/>
          </w:rPr>
          <w:tab/>
        </w:r>
        <w:r>
          <w:rPr>
            <w:noProof/>
            <w:webHidden/>
          </w:rPr>
          <w:fldChar w:fldCharType="begin"/>
        </w:r>
        <w:r>
          <w:rPr>
            <w:noProof/>
            <w:webHidden/>
          </w:rPr>
          <w:instrText xml:space="preserve"> PAGEREF _Toc181684765 \h </w:instrText>
        </w:r>
        <w:r>
          <w:rPr>
            <w:noProof/>
            <w:webHidden/>
          </w:rPr>
        </w:r>
        <w:r>
          <w:rPr>
            <w:noProof/>
            <w:webHidden/>
          </w:rPr>
          <w:fldChar w:fldCharType="separate"/>
        </w:r>
        <w:r>
          <w:rPr>
            <w:noProof/>
            <w:webHidden/>
          </w:rPr>
          <w:t>618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6" w:history="1">
        <w:r w:rsidRPr="001B13A4">
          <w:rPr>
            <w:rStyle w:val="Hyperlink"/>
            <w:noProof/>
          </w:rPr>
          <w:t>2.1.1730</w:t>
        </w:r>
        <w:r>
          <w:rPr>
            <w:rFonts w:asciiTheme="minorHAnsi" w:eastAsiaTheme="minorEastAsia" w:hAnsiTheme="minorHAnsi" w:cstheme="minorBidi"/>
            <w:noProof/>
            <w:sz w:val="22"/>
            <w:szCs w:val="22"/>
          </w:rPr>
          <w:tab/>
        </w:r>
        <w:r w:rsidRPr="001B13A4">
          <w:rPr>
            <w:rStyle w:val="Hyperlink"/>
            <w:noProof/>
          </w:rPr>
          <w:t>Part 1 Section 22.4.2.21, ostorage (Binary Storage Object)</w:t>
        </w:r>
        <w:r>
          <w:rPr>
            <w:noProof/>
            <w:webHidden/>
          </w:rPr>
          <w:tab/>
        </w:r>
        <w:r>
          <w:rPr>
            <w:noProof/>
            <w:webHidden/>
          </w:rPr>
          <w:fldChar w:fldCharType="begin"/>
        </w:r>
        <w:r>
          <w:rPr>
            <w:noProof/>
            <w:webHidden/>
          </w:rPr>
          <w:instrText xml:space="preserve"> PAGEREF _Toc181684766 \h </w:instrText>
        </w:r>
        <w:r>
          <w:rPr>
            <w:noProof/>
            <w:webHidden/>
          </w:rPr>
        </w:r>
        <w:r>
          <w:rPr>
            <w:noProof/>
            <w:webHidden/>
          </w:rPr>
          <w:fldChar w:fldCharType="separate"/>
        </w:r>
        <w:r>
          <w:rPr>
            <w:noProof/>
            <w:webHidden/>
          </w:rPr>
          <w:t>618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7" w:history="1">
        <w:r w:rsidRPr="001B13A4">
          <w:rPr>
            <w:rStyle w:val="Hyperlink"/>
            <w:noProof/>
          </w:rPr>
          <w:t>2.1.1731</w:t>
        </w:r>
        <w:r>
          <w:rPr>
            <w:rFonts w:asciiTheme="minorHAnsi" w:eastAsiaTheme="minorEastAsia" w:hAnsiTheme="minorHAnsi" w:cstheme="minorBidi"/>
            <w:noProof/>
            <w:sz w:val="22"/>
            <w:szCs w:val="22"/>
          </w:rPr>
          <w:tab/>
        </w:r>
        <w:r w:rsidRPr="001B13A4">
          <w:rPr>
            <w:rStyle w:val="Hyperlink"/>
            <w:noProof/>
          </w:rPr>
          <w:t>Part 1 Section 22.4.2.25, storage (Binary Storage)</w:t>
        </w:r>
        <w:r>
          <w:rPr>
            <w:noProof/>
            <w:webHidden/>
          </w:rPr>
          <w:tab/>
        </w:r>
        <w:r>
          <w:rPr>
            <w:noProof/>
            <w:webHidden/>
          </w:rPr>
          <w:fldChar w:fldCharType="begin"/>
        </w:r>
        <w:r>
          <w:rPr>
            <w:noProof/>
            <w:webHidden/>
          </w:rPr>
          <w:instrText xml:space="preserve"> PAGEREF _Toc181684767 \h </w:instrText>
        </w:r>
        <w:r>
          <w:rPr>
            <w:noProof/>
            <w:webHidden/>
          </w:rPr>
        </w:r>
        <w:r>
          <w:rPr>
            <w:noProof/>
            <w:webHidden/>
          </w:rPr>
          <w:fldChar w:fldCharType="separate"/>
        </w:r>
        <w:r>
          <w:rPr>
            <w:noProof/>
            <w:webHidden/>
          </w:rPr>
          <w:t>618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8" w:history="1">
        <w:r w:rsidRPr="001B13A4">
          <w:rPr>
            <w:rStyle w:val="Hyperlink"/>
            <w:noProof/>
          </w:rPr>
          <w:t>2.1.1732</w:t>
        </w:r>
        <w:r>
          <w:rPr>
            <w:rFonts w:asciiTheme="minorHAnsi" w:eastAsiaTheme="minorEastAsia" w:hAnsiTheme="minorHAnsi" w:cstheme="minorBidi"/>
            <w:noProof/>
            <w:sz w:val="22"/>
            <w:szCs w:val="22"/>
          </w:rPr>
          <w:tab/>
        </w:r>
        <w:r w:rsidRPr="001B13A4">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_Toc181684768 \h </w:instrText>
        </w:r>
        <w:r>
          <w:rPr>
            <w:noProof/>
            <w:webHidden/>
          </w:rPr>
        </w:r>
        <w:r>
          <w:rPr>
            <w:noProof/>
            <w:webHidden/>
          </w:rPr>
          <w:fldChar w:fldCharType="separate"/>
        </w:r>
        <w:r>
          <w:rPr>
            <w:noProof/>
            <w:webHidden/>
          </w:rPr>
          <w:t>618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69" w:history="1">
        <w:r w:rsidRPr="001B13A4">
          <w:rPr>
            <w:rStyle w:val="Hyperlink"/>
            <w:noProof/>
          </w:rPr>
          <w:t>2.1.1733</w:t>
        </w:r>
        <w:r>
          <w:rPr>
            <w:rFonts w:asciiTheme="minorHAnsi" w:eastAsiaTheme="minorEastAsia" w:hAnsiTheme="minorHAnsi" w:cstheme="minorBidi"/>
            <w:noProof/>
            <w:sz w:val="22"/>
            <w:szCs w:val="22"/>
          </w:rPr>
          <w:tab/>
        </w:r>
        <w:r w:rsidRPr="001B13A4">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_Toc181684769 \h </w:instrText>
        </w:r>
        <w:r>
          <w:rPr>
            <w:noProof/>
            <w:webHidden/>
          </w:rPr>
        </w:r>
        <w:r>
          <w:rPr>
            <w:noProof/>
            <w:webHidden/>
          </w:rPr>
          <w:fldChar w:fldCharType="separate"/>
        </w:r>
        <w:r>
          <w:rPr>
            <w:noProof/>
            <w:webHidden/>
          </w:rPr>
          <w:t>618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0" w:history="1">
        <w:r w:rsidRPr="001B13A4">
          <w:rPr>
            <w:rStyle w:val="Hyperlink"/>
            <w:noProof/>
          </w:rPr>
          <w:t>2.1.1734</w:t>
        </w:r>
        <w:r>
          <w:rPr>
            <w:rFonts w:asciiTheme="minorHAnsi" w:eastAsiaTheme="minorEastAsia" w:hAnsiTheme="minorHAnsi" w:cstheme="minorBidi"/>
            <w:noProof/>
            <w:sz w:val="22"/>
            <w:szCs w:val="22"/>
          </w:rPr>
          <w:tab/>
        </w:r>
        <w:r w:rsidRPr="001B13A4">
          <w:rPr>
            <w:rStyle w:val="Hyperlink"/>
            <w:noProof/>
          </w:rPr>
          <w:t>Part 1 Section 22.6.2.4, Author (Contributors List)</w:t>
        </w:r>
        <w:r>
          <w:rPr>
            <w:noProof/>
            <w:webHidden/>
          </w:rPr>
          <w:tab/>
        </w:r>
        <w:r>
          <w:rPr>
            <w:noProof/>
            <w:webHidden/>
          </w:rPr>
          <w:fldChar w:fldCharType="begin"/>
        </w:r>
        <w:r>
          <w:rPr>
            <w:noProof/>
            <w:webHidden/>
          </w:rPr>
          <w:instrText xml:space="preserve"> PAGEREF _Toc181684770 \h </w:instrText>
        </w:r>
        <w:r>
          <w:rPr>
            <w:noProof/>
            <w:webHidden/>
          </w:rPr>
        </w:r>
        <w:r>
          <w:rPr>
            <w:noProof/>
            <w:webHidden/>
          </w:rPr>
          <w:fldChar w:fldCharType="separate"/>
        </w:r>
        <w:r>
          <w:rPr>
            <w:noProof/>
            <w:webHidden/>
          </w:rPr>
          <w:t>619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1" w:history="1">
        <w:r w:rsidRPr="001B13A4">
          <w:rPr>
            <w:rStyle w:val="Hyperlink"/>
            <w:noProof/>
          </w:rPr>
          <w:t>2.1.1735</w:t>
        </w:r>
        <w:r>
          <w:rPr>
            <w:rFonts w:asciiTheme="minorHAnsi" w:eastAsiaTheme="minorEastAsia" w:hAnsiTheme="minorHAnsi" w:cstheme="minorBidi"/>
            <w:noProof/>
            <w:sz w:val="22"/>
            <w:szCs w:val="22"/>
          </w:rPr>
          <w:tab/>
        </w:r>
        <w:r w:rsidRPr="001B13A4">
          <w:rPr>
            <w:rStyle w:val="Hyperlink"/>
            <w:noProof/>
          </w:rPr>
          <w:t>Part 1 Section 22.6.2.30, Guid (GUID)</w:t>
        </w:r>
        <w:r>
          <w:rPr>
            <w:noProof/>
            <w:webHidden/>
          </w:rPr>
          <w:tab/>
        </w:r>
        <w:r>
          <w:rPr>
            <w:noProof/>
            <w:webHidden/>
          </w:rPr>
          <w:fldChar w:fldCharType="begin"/>
        </w:r>
        <w:r>
          <w:rPr>
            <w:noProof/>
            <w:webHidden/>
          </w:rPr>
          <w:instrText xml:space="preserve"> PAGEREF _Toc181684771 \h </w:instrText>
        </w:r>
        <w:r>
          <w:rPr>
            <w:noProof/>
            <w:webHidden/>
          </w:rPr>
        </w:r>
        <w:r>
          <w:rPr>
            <w:noProof/>
            <w:webHidden/>
          </w:rPr>
          <w:fldChar w:fldCharType="separate"/>
        </w:r>
        <w:r>
          <w:rPr>
            <w:noProof/>
            <w:webHidden/>
          </w:rPr>
          <w:t>619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2" w:history="1">
        <w:r w:rsidRPr="001B13A4">
          <w:rPr>
            <w:rStyle w:val="Hyperlink"/>
            <w:noProof/>
          </w:rPr>
          <w:t>2.1.1736</w:t>
        </w:r>
        <w:r>
          <w:rPr>
            <w:rFonts w:asciiTheme="minorHAnsi" w:eastAsiaTheme="minorEastAsia" w:hAnsiTheme="minorHAnsi" w:cstheme="minorBidi"/>
            <w:noProof/>
            <w:sz w:val="22"/>
            <w:szCs w:val="22"/>
          </w:rPr>
          <w:tab/>
        </w:r>
        <w:r w:rsidRPr="001B13A4">
          <w:rPr>
            <w:rStyle w:val="Hyperlink"/>
            <w:noProof/>
          </w:rPr>
          <w:t>Part 1 Section 22.6.2.39, LCID (Locale ID)</w:t>
        </w:r>
        <w:r>
          <w:rPr>
            <w:noProof/>
            <w:webHidden/>
          </w:rPr>
          <w:tab/>
        </w:r>
        <w:r>
          <w:rPr>
            <w:noProof/>
            <w:webHidden/>
          </w:rPr>
          <w:fldChar w:fldCharType="begin"/>
        </w:r>
        <w:r>
          <w:rPr>
            <w:noProof/>
            <w:webHidden/>
          </w:rPr>
          <w:instrText xml:space="preserve"> PAGEREF _Toc181684772 \h </w:instrText>
        </w:r>
        <w:r>
          <w:rPr>
            <w:noProof/>
            <w:webHidden/>
          </w:rPr>
        </w:r>
        <w:r>
          <w:rPr>
            <w:noProof/>
            <w:webHidden/>
          </w:rPr>
          <w:fldChar w:fldCharType="separate"/>
        </w:r>
        <w:r>
          <w:rPr>
            <w:noProof/>
            <w:webHidden/>
          </w:rPr>
          <w:t>619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3" w:history="1">
        <w:r w:rsidRPr="001B13A4">
          <w:rPr>
            <w:rStyle w:val="Hyperlink"/>
            <w:noProof/>
          </w:rPr>
          <w:t>2.1.1737</w:t>
        </w:r>
        <w:r>
          <w:rPr>
            <w:rFonts w:asciiTheme="minorHAnsi" w:eastAsiaTheme="minorEastAsia" w:hAnsiTheme="minorHAnsi" w:cstheme="minorBidi"/>
            <w:noProof/>
            <w:sz w:val="22"/>
            <w:szCs w:val="22"/>
          </w:rPr>
          <w:tab/>
        </w:r>
        <w:r w:rsidRPr="001B13A4">
          <w:rPr>
            <w:rStyle w:val="Hyperlink"/>
            <w:noProof/>
          </w:rPr>
          <w:t>Part 1 Section 22.6.2.50, Person (Person)</w:t>
        </w:r>
        <w:r>
          <w:rPr>
            <w:noProof/>
            <w:webHidden/>
          </w:rPr>
          <w:tab/>
        </w:r>
        <w:r>
          <w:rPr>
            <w:noProof/>
            <w:webHidden/>
          </w:rPr>
          <w:fldChar w:fldCharType="begin"/>
        </w:r>
        <w:r>
          <w:rPr>
            <w:noProof/>
            <w:webHidden/>
          </w:rPr>
          <w:instrText xml:space="preserve"> PAGEREF _Toc181684773 \h </w:instrText>
        </w:r>
        <w:r>
          <w:rPr>
            <w:noProof/>
            <w:webHidden/>
          </w:rPr>
        </w:r>
        <w:r>
          <w:rPr>
            <w:noProof/>
            <w:webHidden/>
          </w:rPr>
          <w:fldChar w:fldCharType="separate"/>
        </w:r>
        <w:r>
          <w:rPr>
            <w:noProof/>
            <w:webHidden/>
          </w:rPr>
          <w:t>619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4" w:history="1">
        <w:r w:rsidRPr="001B13A4">
          <w:rPr>
            <w:rStyle w:val="Hyperlink"/>
            <w:noProof/>
          </w:rPr>
          <w:t>2.1.1738</w:t>
        </w:r>
        <w:r>
          <w:rPr>
            <w:rFonts w:asciiTheme="minorHAnsi" w:eastAsiaTheme="minorEastAsia" w:hAnsiTheme="minorHAnsi" w:cstheme="minorBidi"/>
            <w:noProof/>
            <w:sz w:val="22"/>
            <w:szCs w:val="22"/>
          </w:rPr>
          <w:tab/>
        </w:r>
        <w:r w:rsidRPr="001B13A4">
          <w:rPr>
            <w:rStyle w:val="Hyperlink"/>
            <w:noProof/>
          </w:rPr>
          <w:t>Part 1 Section 22.6.2.59, Source (Source)</w:t>
        </w:r>
        <w:r>
          <w:rPr>
            <w:noProof/>
            <w:webHidden/>
          </w:rPr>
          <w:tab/>
        </w:r>
        <w:r>
          <w:rPr>
            <w:noProof/>
            <w:webHidden/>
          </w:rPr>
          <w:fldChar w:fldCharType="begin"/>
        </w:r>
        <w:r>
          <w:rPr>
            <w:noProof/>
            <w:webHidden/>
          </w:rPr>
          <w:instrText xml:space="preserve"> PAGEREF _Toc181684774 \h </w:instrText>
        </w:r>
        <w:r>
          <w:rPr>
            <w:noProof/>
            <w:webHidden/>
          </w:rPr>
        </w:r>
        <w:r>
          <w:rPr>
            <w:noProof/>
            <w:webHidden/>
          </w:rPr>
          <w:fldChar w:fldCharType="separate"/>
        </w:r>
        <w:r>
          <w:rPr>
            <w:noProof/>
            <w:webHidden/>
          </w:rPr>
          <w:t>619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5" w:history="1">
        <w:r w:rsidRPr="001B13A4">
          <w:rPr>
            <w:rStyle w:val="Hyperlink"/>
            <w:noProof/>
          </w:rPr>
          <w:t>2.1.1739</w:t>
        </w:r>
        <w:r>
          <w:rPr>
            <w:rFonts w:asciiTheme="minorHAnsi" w:eastAsiaTheme="minorEastAsia" w:hAnsiTheme="minorHAnsi" w:cstheme="minorBidi"/>
            <w:noProof/>
            <w:sz w:val="22"/>
            <w:szCs w:val="22"/>
          </w:rPr>
          <w:tab/>
        </w:r>
        <w:r w:rsidRPr="001B13A4">
          <w:rPr>
            <w:rStyle w:val="Hyperlink"/>
            <w:noProof/>
          </w:rPr>
          <w:t>Part 1 Section 22.6.2.65, Tag (Tag)</w:t>
        </w:r>
        <w:r>
          <w:rPr>
            <w:noProof/>
            <w:webHidden/>
          </w:rPr>
          <w:tab/>
        </w:r>
        <w:r>
          <w:rPr>
            <w:noProof/>
            <w:webHidden/>
          </w:rPr>
          <w:fldChar w:fldCharType="begin"/>
        </w:r>
        <w:r>
          <w:rPr>
            <w:noProof/>
            <w:webHidden/>
          </w:rPr>
          <w:instrText xml:space="preserve"> PAGEREF _Toc181684775 \h </w:instrText>
        </w:r>
        <w:r>
          <w:rPr>
            <w:noProof/>
            <w:webHidden/>
          </w:rPr>
        </w:r>
        <w:r>
          <w:rPr>
            <w:noProof/>
            <w:webHidden/>
          </w:rPr>
          <w:fldChar w:fldCharType="separate"/>
        </w:r>
        <w:r>
          <w:rPr>
            <w:noProof/>
            <w:webHidden/>
          </w:rPr>
          <w:t>619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6" w:history="1">
        <w:r w:rsidRPr="001B13A4">
          <w:rPr>
            <w:rStyle w:val="Hyperlink"/>
            <w:noProof/>
          </w:rPr>
          <w:t>2.1.1740</w:t>
        </w:r>
        <w:r>
          <w:rPr>
            <w:rFonts w:asciiTheme="minorHAnsi" w:eastAsiaTheme="minorEastAsia" w:hAnsiTheme="minorHAnsi" w:cstheme="minorBidi"/>
            <w:noProof/>
            <w:sz w:val="22"/>
            <w:szCs w:val="22"/>
          </w:rPr>
          <w:tab/>
        </w:r>
        <w:r w:rsidRPr="001B13A4">
          <w:rPr>
            <w:rStyle w:val="Hyperlink"/>
            <w:noProof/>
          </w:rPr>
          <w:t>Part 1 Section 22.6.2.76, YearAccessed (Year Accessed)</w:t>
        </w:r>
        <w:r>
          <w:rPr>
            <w:noProof/>
            <w:webHidden/>
          </w:rPr>
          <w:tab/>
        </w:r>
        <w:r>
          <w:rPr>
            <w:noProof/>
            <w:webHidden/>
          </w:rPr>
          <w:fldChar w:fldCharType="begin"/>
        </w:r>
        <w:r>
          <w:rPr>
            <w:noProof/>
            <w:webHidden/>
          </w:rPr>
          <w:instrText xml:space="preserve"> PAGEREF _Toc181684776 \h </w:instrText>
        </w:r>
        <w:r>
          <w:rPr>
            <w:noProof/>
            <w:webHidden/>
          </w:rPr>
        </w:r>
        <w:r>
          <w:rPr>
            <w:noProof/>
            <w:webHidden/>
          </w:rPr>
          <w:fldChar w:fldCharType="separate"/>
        </w:r>
        <w:r>
          <w:rPr>
            <w:noProof/>
            <w:webHidden/>
          </w:rPr>
          <w:t>619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7" w:history="1">
        <w:r w:rsidRPr="001B13A4">
          <w:rPr>
            <w:rStyle w:val="Hyperlink"/>
            <w:noProof/>
          </w:rPr>
          <w:t>2.1.1741</w:t>
        </w:r>
        <w:r>
          <w:rPr>
            <w:rFonts w:asciiTheme="minorHAnsi" w:eastAsiaTheme="minorEastAsia" w:hAnsiTheme="minorHAnsi" w:cstheme="minorBidi"/>
            <w:noProof/>
            <w:sz w:val="22"/>
            <w:szCs w:val="22"/>
          </w:rPr>
          <w:tab/>
        </w:r>
        <w:r w:rsidRPr="001B13A4">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_Toc181684777 \h </w:instrText>
        </w:r>
        <w:r>
          <w:rPr>
            <w:noProof/>
            <w:webHidden/>
          </w:rPr>
        </w:r>
        <w:r>
          <w:rPr>
            <w:noProof/>
            <w:webHidden/>
          </w:rPr>
          <w:fldChar w:fldCharType="separate"/>
        </w:r>
        <w:r>
          <w:rPr>
            <w:noProof/>
            <w:webHidden/>
          </w:rPr>
          <w:t>619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8" w:history="1">
        <w:r w:rsidRPr="001B13A4">
          <w:rPr>
            <w:rStyle w:val="Hyperlink"/>
            <w:noProof/>
          </w:rPr>
          <w:t>2.1.1742</w:t>
        </w:r>
        <w:r>
          <w:rPr>
            <w:rFonts w:asciiTheme="minorHAnsi" w:eastAsiaTheme="minorEastAsia" w:hAnsiTheme="minorHAnsi" w:cstheme="minorBidi"/>
            <w:noProof/>
            <w:sz w:val="22"/>
            <w:szCs w:val="22"/>
          </w:rPr>
          <w:tab/>
        </w:r>
        <w:r w:rsidRPr="001B13A4">
          <w:rPr>
            <w:rStyle w:val="Hyperlink"/>
            <w:noProof/>
          </w:rPr>
          <w:t>Part 1 Section 22.9.2.1, ST_CalendarType (Calendar Types)</w:t>
        </w:r>
        <w:r>
          <w:rPr>
            <w:noProof/>
            <w:webHidden/>
          </w:rPr>
          <w:tab/>
        </w:r>
        <w:r>
          <w:rPr>
            <w:noProof/>
            <w:webHidden/>
          </w:rPr>
          <w:fldChar w:fldCharType="begin"/>
        </w:r>
        <w:r>
          <w:rPr>
            <w:noProof/>
            <w:webHidden/>
          </w:rPr>
          <w:instrText xml:space="preserve"> PAGEREF _Toc181684778 \h </w:instrText>
        </w:r>
        <w:r>
          <w:rPr>
            <w:noProof/>
            <w:webHidden/>
          </w:rPr>
        </w:r>
        <w:r>
          <w:rPr>
            <w:noProof/>
            <w:webHidden/>
          </w:rPr>
          <w:fldChar w:fldCharType="separate"/>
        </w:r>
        <w:r>
          <w:rPr>
            <w:noProof/>
            <w:webHidden/>
          </w:rPr>
          <w:t>620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79" w:history="1">
        <w:r w:rsidRPr="001B13A4">
          <w:rPr>
            <w:rStyle w:val="Hyperlink"/>
            <w:noProof/>
          </w:rPr>
          <w:t>2.1.1743</w:t>
        </w:r>
        <w:r>
          <w:rPr>
            <w:rFonts w:asciiTheme="minorHAnsi" w:eastAsiaTheme="minorEastAsia" w:hAnsiTheme="minorHAnsi" w:cstheme="minorBidi"/>
            <w:noProof/>
            <w:sz w:val="22"/>
            <w:szCs w:val="22"/>
          </w:rPr>
          <w:tab/>
        </w:r>
        <w:r w:rsidRPr="001B13A4">
          <w:rPr>
            <w:rStyle w:val="Hyperlink"/>
            <w:noProof/>
          </w:rPr>
          <w:t>Part 1 Section 22.9.2.6, ST_Lang (Language Reference)</w:t>
        </w:r>
        <w:r>
          <w:rPr>
            <w:noProof/>
            <w:webHidden/>
          </w:rPr>
          <w:tab/>
        </w:r>
        <w:r>
          <w:rPr>
            <w:noProof/>
            <w:webHidden/>
          </w:rPr>
          <w:fldChar w:fldCharType="begin"/>
        </w:r>
        <w:r>
          <w:rPr>
            <w:noProof/>
            <w:webHidden/>
          </w:rPr>
          <w:instrText xml:space="preserve"> PAGEREF _Toc181684779 \h </w:instrText>
        </w:r>
        <w:r>
          <w:rPr>
            <w:noProof/>
            <w:webHidden/>
          </w:rPr>
        </w:r>
        <w:r>
          <w:rPr>
            <w:noProof/>
            <w:webHidden/>
          </w:rPr>
          <w:fldChar w:fldCharType="separate"/>
        </w:r>
        <w:r>
          <w:rPr>
            <w:noProof/>
            <w:webHidden/>
          </w:rPr>
          <w:t>620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0" w:history="1">
        <w:r w:rsidRPr="001B13A4">
          <w:rPr>
            <w:rStyle w:val="Hyperlink"/>
            <w:noProof/>
          </w:rPr>
          <w:t>2.1.1744</w:t>
        </w:r>
        <w:r>
          <w:rPr>
            <w:rFonts w:asciiTheme="minorHAnsi" w:eastAsiaTheme="minorEastAsia" w:hAnsiTheme="minorHAnsi" w:cstheme="minorBidi"/>
            <w:noProof/>
            <w:sz w:val="22"/>
            <w:szCs w:val="22"/>
          </w:rPr>
          <w:tab/>
        </w:r>
        <w:r w:rsidRPr="001B13A4">
          <w:rPr>
            <w:rStyle w:val="Hyperlink"/>
            <w:noProof/>
          </w:rPr>
          <w:t>Part 1 Section 22.9.2.7, ST_OnOff (On/Off Value)</w:t>
        </w:r>
        <w:r>
          <w:rPr>
            <w:noProof/>
            <w:webHidden/>
          </w:rPr>
          <w:tab/>
        </w:r>
        <w:r>
          <w:rPr>
            <w:noProof/>
            <w:webHidden/>
          </w:rPr>
          <w:fldChar w:fldCharType="begin"/>
        </w:r>
        <w:r>
          <w:rPr>
            <w:noProof/>
            <w:webHidden/>
          </w:rPr>
          <w:instrText xml:space="preserve"> PAGEREF _Toc181684780 \h </w:instrText>
        </w:r>
        <w:r>
          <w:rPr>
            <w:noProof/>
            <w:webHidden/>
          </w:rPr>
        </w:r>
        <w:r>
          <w:rPr>
            <w:noProof/>
            <w:webHidden/>
          </w:rPr>
          <w:fldChar w:fldCharType="separate"/>
        </w:r>
        <w:r>
          <w:rPr>
            <w:noProof/>
            <w:webHidden/>
          </w:rPr>
          <w:t>627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1" w:history="1">
        <w:r w:rsidRPr="001B13A4">
          <w:rPr>
            <w:rStyle w:val="Hyperlink"/>
            <w:noProof/>
          </w:rPr>
          <w:t>2.1.1745</w:t>
        </w:r>
        <w:r>
          <w:rPr>
            <w:rFonts w:asciiTheme="minorHAnsi" w:eastAsiaTheme="minorEastAsia" w:hAnsiTheme="minorHAnsi" w:cstheme="minorBidi"/>
            <w:noProof/>
            <w:sz w:val="22"/>
            <w:szCs w:val="22"/>
          </w:rPr>
          <w:tab/>
        </w:r>
        <w:r w:rsidRPr="001B13A4">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_Toc181684781 \h </w:instrText>
        </w:r>
        <w:r>
          <w:rPr>
            <w:noProof/>
            <w:webHidden/>
          </w:rPr>
        </w:r>
        <w:r>
          <w:rPr>
            <w:noProof/>
            <w:webHidden/>
          </w:rPr>
          <w:fldChar w:fldCharType="separate"/>
        </w:r>
        <w:r>
          <w:rPr>
            <w:noProof/>
            <w:webHidden/>
          </w:rPr>
          <w:t>627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2" w:history="1">
        <w:r w:rsidRPr="001B13A4">
          <w:rPr>
            <w:rStyle w:val="Hyperlink"/>
            <w:noProof/>
          </w:rPr>
          <w:t>2.1.1746</w:t>
        </w:r>
        <w:r>
          <w:rPr>
            <w:rFonts w:asciiTheme="minorHAnsi" w:eastAsiaTheme="minorEastAsia" w:hAnsiTheme="minorHAnsi" w:cstheme="minorBidi"/>
            <w:noProof/>
            <w:sz w:val="22"/>
            <w:szCs w:val="22"/>
          </w:rPr>
          <w:tab/>
        </w:r>
        <w:r w:rsidRPr="001B13A4">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_Toc181684782 \h </w:instrText>
        </w:r>
        <w:r>
          <w:rPr>
            <w:noProof/>
            <w:webHidden/>
          </w:rPr>
        </w:r>
        <w:r>
          <w:rPr>
            <w:noProof/>
            <w:webHidden/>
          </w:rPr>
          <w:fldChar w:fldCharType="separate"/>
        </w:r>
        <w:r>
          <w:rPr>
            <w:noProof/>
            <w:webHidden/>
          </w:rPr>
          <w:t>628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3" w:history="1">
        <w:r w:rsidRPr="001B13A4">
          <w:rPr>
            <w:rStyle w:val="Hyperlink"/>
            <w:noProof/>
          </w:rPr>
          <w:t>2.1.1747</w:t>
        </w:r>
        <w:r>
          <w:rPr>
            <w:rFonts w:asciiTheme="minorHAnsi" w:eastAsiaTheme="minorEastAsia" w:hAnsiTheme="minorHAnsi" w:cstheme="minorBidi"/>
            <w:noProof/>
            <w:sz w:val="22"/>
            <w:szCs w:val="22"/>
          </w:rPr>
          <w:tab/>
        </w:r>
        <w:r w:rsidRPr="001B13A4">
          <w:rPr>
            <w:rStyle w:val="Hyperlink"/>
            <w:noProof/>
          </w:rPr>
          <w:t>Part 1 Section 22.9.2.19, ST_Xstring (Escaped String)</w:t>
        </w:r>
        <w:r>
          <w:rPr>
            <w:noProof/>
            <w:webHidden/>
          </w:rPr>
          <w:tab/>
        </w:r>
        <w:r>
          <w:rPr>
            <w:noProof/>
            <w:webHidden/>
          </w:rPr>
          <w:fldChar w:fldCharType="begin"/>
        </w:r>
        <w:r>
          <w:rPr>
            <w:noProof/>
            <w:webHidden/>
          </w:rPr>
          <w:instrText xml:space="preserve"> PAGEREF _Toc181684783 \h </w:instrText>
        </w:r>
        <w:r>
          <w:rPr>
            <w:noProof/>
            <w:webHidden/>
          </w:rPr>
        </w:r>
        <w:r>
          <w:rPr>
            <w:noProof/>
            <w:webHidden/>
          </w:rPr>
          <w:fldChar w:fldCharType="separate"/>
        </w:r>
        <w:r>
          <w:rPr>
            <w:noProof/>
            <w:webHidden/>
          </w:rPr>
          <w:t>628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4" w:history="1">
        <w:r w:rsidRPr="001B13A4">
          <w:rPr>
            <w:rStyle w:val="Hyperlink"/>
            <w:noProof/>
          </w:rPr>
          <w:t>2.1.1748</w:t>
        </w:r>
        <w:r>
          <w:rPr>
            <w:rFonts w:asciiTheme="minorHAnsi" w:eastAsiaTheme="minorEastAsia" w:hAnsiTheme="minorHAnsi" w:cstheme="minorBidi"/>
            <w:noProof/>
            <w:sz w:val="22"/>
            <w:szCs w:val="22"/>
          </w:rPr>
          <w:tab/>
        </w:r>
        <w:r w:rsidRPr="001B13A4">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_Toc181684784 \h </w:instrText>
        </w:r>
        <w:r>
          <w:rPr>
            <w:noProof/>
            <w:webHidden/>
          </w:rPr>
        </w:r>
        <w:r>
          <w:rPr>
            <w:noProof/>
            <w:webHidden/>
          </w:rPr>
          <w:fldChar w:fldCharType="separate"/>
        </w:r>
        <w:r>
          <w:rPr>
            <w:noProof/>
            <w:webHidden/>
          </w:rPr>
          <w:t>628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5" w:history="1">
        <w:r w:rsidRPr="001B13A4">
          <w:rPr>
            <w:rStyle w:val="Hyperlink"/>
            <w:noProof/>
          </w:rPr>
          <w:t>2.1.1749</w:t>
        </w:r>
        <w:r>
          <w:rPr>
            <w:rFonts w:asciiTheme="minorHAnsi" w:eastAsiaTheme="minorEastAsia" w:hAnsiTheme="minorHAnsi" w:cstheme="minorBidi"/>
            <w:noProof/>
            <w:sz w:val="22"/>
            <w:szCs w:val="22"/>
          </w:rPr>
          <w:tab/>
        </w:r>
        <w:r w:rsidRPr="001B13A4">
          <w:rPr>
            <w:rStyle w:val="Hyperlink"/>
            <w:noProof/>
          </w:rPr>
          <w:t>Part 2 Section 6.2.2.2, Syntax</w:t>
        </w:r>
        <w:r>
          <w:rPr>
            <w:noProof/>
            <w:webHidden/>
          </w:rPr>
          <w:tab/>
        </w:r>
        <w:r>
          <w:rPr>
            <w:noProof/>
            <w:webHidden/>
          </w:rPr>
          <w:fldChar w:fldCharType="begin"/>
        </w:r>
        <w:r>
          <w:rPr>
            <w:noProof/>
            <w:webHidden/>
          </w:rPr>
          <w:instrText xml:space="preserve"> PAGEREF _Toc181684785 \h </w:instrText>
        </w:r>
        <w:r>
          <w:rPr>
            <w:noProof/>
            <w:webHidden/>
          </w:rPr>
        </w:r>
        <w:r>
          <w:rPr>
            <w:noProof/>
            <w:webHidden/>
          </w:rPr>
          <w:fldChar w:fldCharType="separate"/>
        </w:r>
        <w:r>
          <w:rPr>
            <w:noProof/>
            <w:webHidden/>
          </w:rPr>
          <w:t>628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6" w:history="1">
        <w:r w:rsidRPr="001B13A4">
          <w:rPr>
            <w:rStyle w:val="Hyperlink"/>
            <w:noProof/>
          </w:rPr>
          <w:t>2.1.1750</w:t>
        </w:r>
        <w:r>
          <w:rPr>
            <w:rFonts w:asciiTheme="minorHAnsi" w:eastAsiaTheme="minorEastAsia" w:hAnsiTheme="minorHAnsi" w:cstheme="minorBidi"/>
            <w:noProof/>
            <w:sz w:val="22"/>
            <w:szCs w:val="22"/>
          </w:rPr>
          <w:tab/>
        </w:r>
        <w:r w:rsidRPr="001B13A4">
          <w:rPr>
            <w:rStyle w:val="Hyperlink"/>
            <w:noProof/>
          </w:rPr>
          <w:t>Part 2 Section 7.3.6, ZIP package limitations</w:t>
        </w:r>
        <w:r>
          <w:rPr>
            <w:noProof/>
            <w:webHidden/>
          </w:rPr>
          <w:tab/>
        </w:r>
        <w:r>
          <w:rPr>
            <w:noProof/>
            <w:webHidden/>
          </w:rPr>
          <w:fldChar w:fldCharType="begin"/>
        </w:r>
        <w:r>
          <w:rPr>
            <w:noProof/>
            <w:webHidden/>
          </w:rPr>
          <w:instrText xml:space="preserve"> PAGEREF _Toc181684786 \h </w:instrText>
        </w:r>
        <w:r>
          <w:rPr>
            <w:noProof/>
            <w:webHidden/>
          </w:rPr>
        </w:r>
        <w:r>
          <w:rPr>
            <w:noProof/>
            <w:webHidden/>
          </w:rPr>
          <w:fldChar w:fldCharType="separate"/>
        </w:r>
        <w:r>
          <w:rPr>
            <w:noProof/>
            <w:webHidden/>
          </w:rPr>
          <w:t>629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7" w:history="1">
        <w:r w:rsidRPr="001B13A4">
          <w:rPr>
            <w:rStyle w:val="Hyperlink"/>
            <w:noProof/>
          </w:rPr>
          <w:t>2.1.1751</w:t>
        </w:r>
        <w:r>
          <w:rPr>
            <w:rFonts w:asciiTheme="minorHAnsi" w:eastAsiaTheme="minorEastAsia" w:hAnsiTheme="minorHAnsi" w:cstheme="minorBidi"/>
            <w:noProof/>
            <w:sz w:val="22"/>
            <w:szCs w:val="22"/>
          </w:rPr>
          <w:tab/>
        </w:r>
        <w:r w:rsidRPr="001B13A4">
          <w:rPr>
            <w:rStyle w:val="Hyperlink"/>
            <w:noProof/>
          </w:rPr>
          <w:t>Part 2 Section 8, Core Properties</w:t>
        </w:r>
        <w:r>
          <w:rPr>
            <w:noProof/>
            <w:webHidden/>
          </w:rPr>
          <w:tab/>
        </w:r>
        <w:r>
          <w:rPr>
            <w:noProof/>
            <w:webHidden/>
          </w:rPr>
          <w:fldChar w:fldCharType="begin"/>
        </w:r>
        <w:r>
          <w:rPr>
            <w:noProof/>
            <w:webHidden/>
          </w:rPr>
          <w:instrText xml:space="preserve"> PAGEREF _Toc181684787 \h </w:instrText>
        </w:r>
        <w:r>
          <w:rPr>
            <w:noProof/>
            <w:webHidden/>
          </w:rPr>
        </w:r>
        <w:r>
          <w:rPr>
            <w:noProof/>
            <w:webHidden/>
          </w:rPr>
          <w:fldChar w:fldCharType="separate"/>
        </w:r>
        <w:r>
          <w:rPr>
            <w:noProof/>
            <w:webHidden/>
          </w:rPr>
          <w:t>629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8" w:history="1">
        <w:r w:rsidRPr="001B13A4">
          <w:rPr>
            <w:rStyle w:val="Hyperlink"/>
            <w:noProof/>
          </w:rPr>
          <w:t>2.1.1752</w:t>
        </w:r>
        <w:r>
          <w:rPr>
            <w:rFonts w:asciiTheme="minorHAnsi" w:eastAsiaTheme="minorEastAsia" w:hAnsiTheme="minorHAnsi" w:cstheme="minorBidi"/>
            <w:noProof/>
            <w:sz w:val="22"/>
            <w:szCs w:val="22"/>
          </w:rPr>
          <w:tab/>
        </w:r>
        <w:r w:rsidRPr="001B13A4">
          <w:rPr>
            <w:rStyle w:val="Hyperlink"/>
            <w:noProof/>
          </w:rPr>
          <w:t>Part 2 Section 10.6, Relationships transform algorithm</w:t>
        </w:r>
        <w:r>
          <w:rPr>
            <w:noProof/>
            <w:webHidden/>
          </w:rPr>
          <w:tab/>
        </w:r>
        <w:r>
          <w:rPr>
            <w:noProof/>
            <w:webHidden/>
          </w:rPr>
          <w:fldChar w:fldCharType="begin"/>
        </w:r>
        <w:r>
          <w:rPr>
            <w:noProof/>
            <w:webHidden/>
          </w:rPr>
          <w:instrText xml:space="preserve"> PAGEREF _Toc181684788 \h </w:instrText>
        </w:r>
        <w:r>
          <w:rPr>
            <w:noProof/>
            <w:webHidden/>
          </w:rPr>
        </w:r>
        <w:r>
          <w:rPr>
            <w:noProof/>
            <w:webHidden/>
          </w:rPr>
          <w:fldChar w:fldCharType="separate"/>
        </w:r>
        <w:r>
          <w:rPr>
            <w:noProof/>
            <w:webHidden/>
          </w:rPr>
          <w:t>629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89" w:history="1">
        <w:r w:rsidRPr="001B13A4">
          <w:rPr>
            <w:rStyle w:val="Hyperlink"/>
            <w:noProof/>
          </w:rPr>
          <w:t>2.1.1753</w:t>
        </w:r>
        <w:r>
          <w:rPr>
            <w:rFonts w:asciiTheme="minorHAnsi" w:eastAsiaTheme="minorEastAsia" w:hAnsiTheme="minorHAnsi" w:cstheme="minorBidi"/>
            <w:noProof/>
            <w:sz w:val="22"/>
            <w:szCs w:val="22"/>
          </w:rPr>
          <w:tab/>
        </w:r>
        <w:r w:rsidRPr="001B13A4">
          <w:rPr>
            <w:rStyle w:val="Hyperlink"/>
            <w:noProof/>
          </w:rPr>
          <w:t>Part 3 Section 7, MCE Elements and Attributes</w:t>
        </w:r>
        <w:r>
          <w:rPr>
            <w:noProof/>
            <w:webHidden/>
          </w:rPr>
          <w:tab/>
        </w:r>
        <w:r>
          <w:rPr>
            <w:noProof/>
            <w:webHidden/>
          </w:rPr>
          <w:fldChar w:fldCharType="begin"/>
        </w:r>
        <w:r>
          <w:rPr>
            <w:noProof/>
            <w:webHidden/>
          </w:rPr>
          <w:instrText xml:space="preserve"> PAGEREF _Toc181684789 \h </w:instrText>
        </w:r>
        <w:r>
          <w:rPr>
            <w:noProof/>
            <w:webHidden/>
          </w:rPr>
        </w:r>
        <w:r>
          <w:rPr>
            <w:noProof/>
            <w:webHidden/>
          </w:rPr>
          <w:fldChar w:fldCharType="separate"/>
        </w:r>
        <w:r>
          <w:rPr>
            <w:noProof/>
            <w:webHidden/>
          </w:rPr>
          <w:t>629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0" w:history="1">
        <w:r w:rsidRPr="001B13A4">
          <w:rPr>
            <w:rStyle w:val="Hyperlink"/>
            <w:noProof/>
          </w:rPr>
          <w:t>2.1.1754</w:t>
        </w:r>
        <w:r>
          <w:rPr>
            <w:rFonts w:asciiTheme="minorHAnsi" w:eastAsiaTheme="minorEastAsia" w:hAnsiTheme="minorHAnsi" w:cstheme="minorBidi"/>
            <w:noProof/>
            <w:sz w:val="22"/>
            <w:szCs w:val="22"/>
          </w:rPr>
          <w:tab/>
        </w:r>
        <w:r w:rsidRPr="001B13A4">
          <w:rPr>
            <w:rStyle w:val="Hyperlink"/>
            <w:noProof/>
          </w:rPr>
          <w:t>Part 4 Section 8.2, VML Drawing Part</w:t>
        </w:r>
        <w:r>
          <w:rPr>
            <w:noProof/>
            <w:webHidden/>
          </w:rPr>
          <w:tab/>
        </w:r>
        <w:r>
          <w:rPr>
            <w:noProof/>
            <w:webHidden/>
          </w:rPr>
          <w:fldChar w:fldCharType="begin"/>
        </w:r>
        <w:r>
          <w:rPr>
            <w:noProof/>
            <w:webHidden/>
          </w:rPr>
          <w:instrText xml:space="preserve"> PAGEREF _Toc181684790 \h </w:instrText>
        </w:r>
        <w:r>
          <w:rPr>
            <w:noProof/>
            <w:webHidden/>
          </w:rPr>
        </w:r>
        <w:r>
          <w:rPr>
            <w:noProof/>
            <w:webHidden/>
          </w:rPr>
          <w:fldChar w:fldCharType="separate"/>
        </w:r>
        <w:r>
          <w:rPr>
            <w:noProof/>
            <w:webHidden/>
          </w:rPr>
          <w:t>629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1" w:history="1">
        <w:r w:rsidRPr="001B13A4">
          <w:rPr>
            <w:rStyle w:val="Hyperlink"/>
            <w:noProof/>
          </w:rPr>
          <w:t>2.1.1755</w:t>
        </w:r>
        <w:r>
          <w:rPr>
            <w:rFonts w:asciiTheme="minorHAnsi" w:eastAsiaTheme="minorEastAsia" w:hAnsiTheme="minorHAnsi" w:cstheme="minorBidi"/>
            <w:noProof/>
            <w:sz w:val="22"/>
            <w:szCs w:val="22"/>
          </w:rPr>
          <w:tab/>
        </w:r>
        <w:r w:rsidRPr="001B13A4">
          <w:rPr>
            <w:rStyle w:val="Hyperlink"/>
            <w:noProof/>
          </w:rPr>
          <w:t>Part 4 Section 14.3.1.1, Additional attribute for cnfStyle element (Part 1, 17.3.1.8)</w:t>
        </w:r>
        <w:r>
          <w:rPr>
            <w:noProof/>
            <w:webHidden/>
          </w:rPr>
          <w:tab/>
        </w:r>
        <w:r>
          <w:rPr>
            <w:noProof/>
            <w:webHidden/>
          </w:rPr>
          <w:fldChar w:fldCharType="begin"/>
        </w:r>
        <w:r>
          <w:rPr>
            <w:noProof/>
            <w:webHidden/>
          </w:rPr>
          <w:instrText xml:space="preserve"> PAGEREF _Toc181684791 \h </w:instrText>
        </w:r>
        <w:r>
          <w:rPr>
            <w:noProof/>
            <w:webHidden/>
          </w:rPr>
        </w:r>
        <w:r>
          <w:rPr>
            <w:noProof/>
            <w:webHidden/>
          </w:rPr>
          <w:fldChar w:fldCharType="separate"/>
        </w:r>
        <w:r>
          <w:rPr>
            <w:noProof/>
            <w:webHidden/>
          </w:rPr>
          <w:t>629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2" w:history="1">
        <w:r w:rsidRPr="001B13A4">
          <w:rPr>
            <w:rStyle w:val="Hyperlink"/>
            <w:noProof/>
          </w:rPr>
          <w:t>2.1.1756</w:t>
        </w:r>
        <w:r>
          <w:rPr>
            <w:rFonts w:asciiTheme="minorHAnsi" w:eastAsiaTheme="minorEastAsia" w:hAnsiTheme="minorHAnsi" w:cstheme="minorBidi"/>
            <w:noProof/>
            <w:sz w:val="22"/>
            <w:szCs w:val="22"/>
          </w:rPr>
          <w:tab/>
        </w:r>
        <w:r w:rsidRPr="001B13A4">
          <w:rPr>
            <w:rStyle w:val="Hyperlink"/>
            <w:noProof/>
          </w:rPr>
          <w:t>Part 4 Section 14.3.2.1, control (Floating Embedded Control)</w:t>
        </w:r>
        <w:r>
          <w:rPr>
            <w:noProof/>
            <w:webHidden/>
          </w:rPr>
          <w:tab/>
        </w:r>
        <w:r>
          <w:rPr>
            <w:noProof/>
            <w:webHidden/>
          </w:rPr>
          <w:fldChar w:fldCharType="begin"/>
        </w:r>
        <w:r>
          <w:rPr>
            <w:noProof/>
            <w:webHidden/>
          </w:rPr>
          <w:instrText xml:space="preserve"> PAGEREF _Toc181684792 \h </w:instrText>
        </w:r>
        <w:r>
          <w:rPr>
            <w:noProof/>
            <w:webHidden/>
          </w:rPr>
        </w:r>
        <w:r>
          <w:rPr>
            <w:noProof/>
            <w:webHidden/>
          </w:rPr>
          <w:fldChar w:fldCharType="separate"/>
        </w:r>
        <w:r>
          <w:rPr>
            <w:noProof/>
            <w:webHidden/>
          </w:rPr>
          <w:t>629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3" w:history="1">
        <w:r w:rsidRPr="001B13A4">
          <w:rPr>
            <w:rStyle w:val="Hyperlink"/>
            <w:noProof/>
          </w:rPr>
          <w:t>2.1.1757</w:t>
        </w:r>
        <w:r>
          <w:rPr>
            <w:rFonts w:asciiTheme="minorHAnsi" w:eastAsiaTheme="minorEastAsia" w:hAnsiTheme="minorHAnsi" w:cstheme="minorBidi"/>
            <w:noProof/>
            <w:sz w:val="22"/>
            <w:szCs w:val="22"/>
          </w:rPr>
          <w:tab/>
        </w:r>
        <w:r w:rsidRPr="001B13A4">
          <w:rPr>
            <w:rStyle w:val="Hyperlink"/>
            <w:noProof/>
          </w:rPr>
          <w:t>Part 4 Section 14.3.2.2, pict (VML Object)</w:t>
        </w:r>
        <w:r>
          <w:rPr>
            <w:noProof/>
            <w:webHidden/>
          </w:rPr>
          <w:tab/>
        </w:r>
        <w:r>
          <w:rPr>
            <w:noProof/>
            <w:webHidden/>
          </w:rPr>
          <w:fldChar w:fldCharType="begin"/>
        </w:r>
        <w:r>
          <w:rPr>
            <w:noProof/>
            <w:webHidden/>
          </w:rPr>
          <w:instrText xml:space="preserve"> PAGEREF _Toc181684793 \h </w:instrText>
        </w:r>
        <w:r>
          <w:rPr>
            <w:noProof/>
            <w:webHidden/>
          </w:rPr>
        </w:r>
        <w:r>
          <w:rPr>
            <w:noProof/>
            <w:webHidden/>
          </w:rPr>
          <w:fldChar w:fldCharType="separate"/>
        </w:r>
        <w:r>
          <w:rPr>
            <w:noProof/>
            <w:webHidden/>
          </w:rPr>
          <w:t>630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4" w:history="1">
        <w:r w:rsidRPr="001B13A4">
          <w:rPr>
            <w:rStyle w:val="Hyperlink"/>
            <w:noProof/>
          </w:rPr>
          <w:t>2.1.1758</w:t>
        </w:r>
        <w:r>
          <w:rPr>
            <w:rFonts w:asciiTheme="minorHAnsi" w:eastAsiaTheme="minorEastAsia" w:hAnsiTheme="minorHAnsi" w:cstheme="minorBidi"/>
            <w:noProof/>
            <w:sz w:val="22"/>
            <w:szCs w:val="22"/>
          </w:rPr>
          <w:tab/>
        </w:r>
        <w:r w:rsidRPr="001B13A4">
          <w:rPr>
            <w:rStyle w:val="Hyperlink"/>
            <w:noProof/>
          </w:rPr>
          <w:t>Part 4 Section 14.4.1, left (Table Cell Leading Edge Border)</w:t>
        </w:r>
        <w:r>
          <w:rPr>
            <w:noProof/>
            <w:webHidden/>
          </w:rPr>
          <w:tab/>
        </w:r>
        <w:r>
          <w:rPr>
            <w:noProof/>
            <w:webHidden/>
          </w:rPr>
          <w:fldChar w:fldCharType="begin"/>
        </w:r>
        <w:r>
          <w:rPr>
            <w:noProof/>
            <w:webHidden/>
          </w:rPr>
          <w:instrText xml:space="preserve"> PAGEREF _Toc181684794 \h </w:instrText>
        </w:r>
        <w:r>
          <w:rPr>
            <w:noProof/>
            <w:webHidden/>
          </w:rPr>
        </w:r>
        <w:r>
          <w:rPr>
            <w:noProof/>
            <w:webHidden/>
          </w:rPr>
          <w:fldChar w:fldCharType="separate"/>
        </w:r>
        <w:r>
          <w:rPr>
            <w:noProof/>
            <w:webHidden/>
          </w:rPr>
          <w:t>630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5" w:history="1">
        <w:r w:rsidRPr="001B13A4">
          <w:rPr>
            <w:rStyle w:val="Hyperlink"/>
            <w:noProof/>
          </w:rPr>
          <w:t>2.1.1759</w:t>
        </w:r>
        <w:r>
          <w:rPr>
            <w:rFonts w:asciiTheme="minorHAnsi" w:eastAsiaTheme="minorEastAsia" w:hAnsiTheme="minorHAnsi" w:cstheme="minorBidi"/>
            <w:noProof/>
            <w:sz w:val="22"/>
            <w:szCs w:val="22"/>
          </w:rPr>
          <w:tab/>
        </w:r>
        <w:r w:rsidRPr="001B13A4">
          <w:rPr>
            <w:rStyle w:val="Hyperlink"/>
            <w:noProof/>
          </w:rPr>
          <w:t>Part 4 Section 14.4.2, left (Table Leading Edge Border)</w:t>
        </w:r>
        <w:r>
          <w:rPr>
            <w:noProof/>
            <w:webHidden/>
          </w:rPr>
          <w:tab/>
        </w:r>
        <w:r>
          <w:rPr>
            <w:noProof/>
            <w:webHidden/>
          </w:rPr>
          <w:fldChar w:fldCharType="begin"/>
        </w:r>
        <w:r>
          <w:rPr>
            <w:noProof/>
            <w:webHidden/>
          </w:rPr>
          <w:instrText xml:space="preserve"> PAGEREF _Toc181684795 \h </w:instrText>
        </w:r>
        <w:r>
          <w:rPr>
            <w:noProof/>
            <w:webHidden/>
          </w:rPr>
        </w:r>
        <w:r>
          <w:rPr>
            <w:noProof/>
            <w:webHidden/>
          </w:rPr>
          <w:fldChar w:fldCharType="separate"/>
        </w:r>
        <w:r>
          <w:rPr>
            <w:noProof/>
            <w:webHidden/>
          </w:rPr>
          <w:t>630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6" w:history="1">
        <w:r w:rsidRPr="001B13A4">
          <w:rPr>
            <w:rStyle w:val="Hyperlink"/>
            <w:noProof/>
          </w:rPr>
          <w:t>2.1.1760</w:t>
        </w:r>
        <w:r>
          <w:rPr>
            <w:rFonts w:asciiTheme="minorHAnsi" w:eastAsiaTheme="minorEastAsia" w:hAnsiTheme="minorHAnsi" w:cstheme="minorBidi"/>
            <w:noProof/>
            <w:sz w:val="22"/>
            <w:szCs w:val="22"/>
          </w:rPr>
          <w:tab/>
        </w:r>
        <w:r w:rsidRPr="001B13A4">
          <w:rPr>
            <w:rStyle w:val="Hyperlink"/>
            <w:noProof/>
          </w:rPr>
          <w:t>Part 4 Section 14.4.3, left (Table Cell Leading Margin Exception)</w:t>
        </w:r>
        <w:r>
          <w:rPr>
            <w:noProof/>
            <w:webHidden/>
          </w:rPr>
          <w:tab/>
        </w:r>
        <w:r>
          <w:rPr>
            <w:noProof/>
            <w:webHidden/>
          </w:rPr>
          <w:fldChar w:fldCharType="begin"/>
        </w:r>
        <w:r>
          <w:rPr>
            <w:noProof/>
            <w:webHidden/>
          </w:rPr>
          <w:instrText xml:space="preserve"> PAGEREF _Toc181684796 \h </w:instrText>
        </w:r>
        <w:r>
          <w:rPr>
            <w:noProof/>
            <w:webHidden/>
          </w:rPr>
        </w:r>
        <w:r>
          <w:rPr>
            <w:noProof/>
            <w:webHidden/>
          </w:rPr>
          <w:fldChar w:fldCharType="separate"/>
        </w:r>
        <w:r>
          <w:rPr>
            <w:noProof/>
            <w:webHidden/>
          </w:rPr>
          <w:t>630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7" w:history="1">
        <w:r w:rsidRPr="001B13A4">
          <w:rPr>
            <w:rStyle w:val="Hyperlink"/>
            <w:noProof/>
          </w:rPr>
          <w:t>2.1.1761</w:t>
        </w:r>
        <w:r>
          <w:rPr>
            <w:rFonts w:asciiTheme="minorHAnsi" w:eastAsiaTheme="minorEastAsia" w:hAnsiTheme="minorHAnsi" w:cstheme="minorBidi"/>
            <w:noProof/>
            <w:sz w:val="22"/>
            <w:szCs w:val="22"/>
          </w:rPr>
          <w:tab/>
        </w:r>
        <w:r w:rsidRPr="001B13A4">
          <w:rPr>
            <w:rStyle w:val="Hyperlink"/>
            <w:noProof/>
          </w:rPr>
          <w:t>Part 4 Section 14.4.4, left (Table Cell Leading Margin Default)</w:t>
        </w:r>
        <w:r>
          <w:rPr>
            <w:noProof/>
            <w:webHidden/>
          </w:rPr>
          <w:tab/>
        </w:r>
        <w:r>
          <w:rPr>
            <w:noProof/>
            <w:webHidden/>
          </w:rPr>
          <w:fldChar w:fldCharType="begin"/>
        </w:r>
        <w:r>
          <w:rPr>
            <w:noProof/>
            <w:webHidden/>
          </w:rPr>
          <w:instrText xml:space="preserve"> PAGEREF _Toc181684797 \h </w:instrText>
        </w:r>
        <w:r>
          <w:rPr>
            <w:noProof/>
            <w:webHidden/>
          </w:rPr>
        </w:r>
        <w:r>
          <w:rPr>
            <w:noProof/>
            <w:webHidden/>
          </w:rPr>
          <w:fldChar w:fldCharType="separate"/>
        </w:r>
        <w:r>
          <w:rPr>
            <w:noProof/>
            <w:webHidden/>
          </w:rPr>
          <w:t>630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8" w:history="1">
        <w:r w:rsidRPr="001B13A4">
          <w:rPr>
            <w:rStyle w:val="Hyperlink"/>
            <w:noProof/>
          </w:rPr>
          <w:t>2.1.1762</w:t>
        </w:r>
        <w:r>
          <w:rPr>
            <w:rFonts w:asciiTheme="minorHAnsi" w:eastAsiaTheme="minorEastAsia" w:hAnsiTheme="minorHAnsi" w:cstheme="minorBidi"/>
            <w:noProof/>
            <w:sz w:val="22"/>
            <w:szCs w:val="22"/>
          </w:rPr>
          <w:tab/>
        </w:r>
        <w:r w:rsidRPr="001B13A4">
          <w:rPr>
            <w:rStyle w:val="Hyperlink"/>
            <w:noProof/>
          </w:rPr>
          <w:t>Part 4 Section 14.4.5, right (Table Cell Trailing Edge Border)</w:t>
        </w:r>
        <w:r>
          <w:rPr>
            <w:noProof/>
            <w:webHidden/>
          </w:rPr>
          <w:tab/>
        </w:r>
        <w:r>
          <w:rPr>
            <w:noProof/>
            <w:webHidden/>
          </w:rPr>
          <w:fldChar w:fldCharType="begin"/>
        </w:r>
        <w:r>
          <w:rPr>
            <w:noProof/>
            <w:webHidden/>
          </w:rPr>
          <w:instrText xml:space="preserve"> PAGEREF _Toc181684798 \h </w:instrText>
        </w:r>
        <w:r>
          <w:rPr>
            <w:noProof/>
            <w:webHidden/>
          </w:rPr>
        </w:r>
        <w:r>
          <w:rPr>
            <w:noProof/>
            <w:webHidden/>
          </w:rPr>
          <w:fldChar w:fldCharType="separate"/>
        </w:r>
        <w:r>
          <w:rPr>
            <w:noProof/>
            <w:webHidden/>
          </w:rPr>
          <w:t>630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799" w:history="1">
        <w:r w:rsidRPr="001B13A4">
          <w:rPr>
            <w:rStyle w:val="Hyperlink"/>
            <w:noProof/>
          </w:rPr>
          <w:t>2.1.1763</w:t>
        </w:r>
        <w:r>
          <w:rPr>
            <w:rFonts w:asciiTheme="minorHAnsi" w:eastAsiaTheme="minorEastAsia" w:hAnsiTheme="minorHAnsi" w:cstheme="minorBidi"/>
            <w:noProof/>
            <w:sz w:val="22"/>
            <w:szCs w:val="22"/>
          </w:rPr>
          <w:tab/>
        </w:r>
        <w:r w:rsidRPr="001B13A4">
          <w:rPr>
            <w:rStyle w:val="Hyperlink"/>
            <w:noProof/>
          </w:rPr>
          <w:t>Part 4 Section 14.4.6, right (Table Trailing Edge Border)</w:t>
        </w:r>
        <w:r>
          <w:rPr>
            <w:noProof/>
            <w:webHidden/>
          </w:rPr>
          <w:tab/>
        </w:r>
        <w:r>
          <w:rPr>
            <w:noProof/>
            <w:webHidden/>
          </w:rPr>
          <w:fldChar w:fldCharType="begin"/>
        </w:r>
        <w:r>
          <w:rPr>
            <w:noProof/>
            <w:webHidden/>
          </w:rPr>
          <w:instrText xml:space="preserve"> PAGEREF _Toc181684799 \h </w:instrText>
        </w:r>
        <w:r>
          <w:rPr>
            <w:noProof/>
            <w:webHidden/>
          </w:rPr>
        </w:r>
        <w:r>
          <w:rPr>
            <w:noProof/>
            <w:webHidden/>
          </w:rPr>
          <w:fldChar w:fldCharType="separate"/>
        </w:r>
        <w:r>
          <w:rPr>
            <w:noProof/>
            <w:webHidden/>
          </w:rPr>
          <w:t>631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0" w:history="1">
        <w:r w:rsidRPr="001B13A4">
          <w:rPr>
            <w:rStyle w:val="Hyperlink"/>
            <w:noProof/>
          </w:rPr>
          <w:t>2.1.1764</w:t>
        </w:r>
        <w:r>
          <w:rPr>
            <w:rFonts w:asciiTheme="minorHAnsi" w:eastAsiaTheme="minorEastAsia" w:hAnsiTheme="minorHAnsi" w:cstheme="minorBidi"/>
            <w:noProof/>
            <w:sz w:val="22"/>
            <w:szCs w:val="22"/>
          </w:rPr>
          <w:tab/>
        </w:r>
        <w:r w:rsidRPr="001B13A4">
          <w:rPr>
            <w:rStyle w:val="Hyperlink"/>
            <w:noProof/>
          </w:rPr>
          <w:t>Part 4 Section 14.4.7, right (Table Cell Trailing Margin Default)</w:t>
        </w:r>
        <w:r>
          <w:rPr>
            <w:noProof/>
            <w:webHidden/>
          </w:rPr>
          <w:tab/>
        </w:r>
        <w:r>
          <w:rPr>
            <w:noProof/>
            <w:webHidden/>
          </w:rPr>
          <w:fldChar w:fldCharType="begin"/>
        </w:r>
        <w:r>
          <w:rPr>
            <w:noProof/>
            <w:webHidden/>
          </w:rPr>
          <w:instrText xml:space="preserve"> PAGEREF _Toc181684800 \h </w:instrText>
        </w:r>
        <w:r>
          <w:rPr>
            <w:noProof/>
            <w:webHidden/>
          </w:rPr>
        </w:r>
        <w:r>
          <w:rPr>
            <w:noProof/>
            <w:webHidden/>
          </w:rPr>
          <w:fldChar w:fldCharType="separate"/>
        </w:r>
        <w:r>
          <w:rPr>
            <w:noProof/>
            <w:webHidden/>
          </w:rPr>
          <w:t>631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1" w:history="1">
        <w:r w:rsidRPr="001B13A4">
          <w:rPr>
            <w:rStyle w:val="Hyperlink"/>
            <w:noProof/>
          </w:rPr>
          <w:t>2.1.1765</w:t>
        </w:r>
        <w:r>
          <w:rPr>
            <w:rFonts w:asciiTheme="minorHAnsi" w:eastAsiaTheme="minorEastAsia" w:hAnsiTheme="minorHAnsi" w:cstheme="minorBidi"/>
            <w:noProof/>
            <w:sz w:val="22"/>
            <w:szCs w:val="22"/>
          </w:rPr>
          <w:tab/>
        </w:r>
        <w:r w:rsidRPr="001B13A4">
          <w:rPr>
            <w:rStyle w:val="Hyperlink"/>
            <w:noProof/>
          </w:rPr>
          <w:t>Part 4 Section 14.4.8, right (Table Cell Trailing Margin Exception)</w:t>
        </w:r>
        <w:r>
          <w:rPr>
            <w:noProof/>
            <w:webHidden/>
          </w:rPr>
          <w:tab/>
        </w:r>
        <w:r>
          <w:rPr>
            <w:noProof/>
            <w:webHidden/>
          </w:rPr>
          <w:fldChar w:fldCharType="begin"/>
        </w:r>
        <w:r>
          <w:rPr>
            <w:noProof/>
            <w:webHidden/>
          </w:rPr>
          <w:instrText xml:space="preserve"> PAGEREF _Toc181684801 \h </w:instrText>
        </w:r>
        <w:r>
          <w:rPr>
            <w:noProof/>
            <w:webHidden/>
          </w:rPr>
        </w:r>
        <w:r>
          <w:rPr>
            <w:noProof/>
            <w:webHidden/>
          </w:rPr>
          <w:fldChar w:fldCharType="separate"/>
        </w:r>
        <w:r>
          <w:rPr>
            <w:noProof/>
            <w:webHidden/>
          </w:rPr>
          <w:t>631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2" w:history="1">
        <w:r w:rsidRPr="001B13A4">
          <w:rPr>
            <w:rStyle w:val="Hyperlink"/>
            <w:noProof/>
          </w:rPr>
          <w:t>2.1.1766</w:t>
        </w:r>
        <w:r>
          <w:rPr>
            <w:rFonts w:asciiTheme="minorHAnsi" w:eastAsiaTheme="minorEastAsia" w:hAnsiTheme="minorHAnsi" w:cstheme="minorBidi"/>
            <w:noProof/>
            <w:sz w:val="22"/>
            <w:szCs w:val="22"/>
          </w:rPr>
          <w:tab/>
        </w:r>
        <w:r w:rsidRPr="001B13A4">
          <w:rPr>
            <w:rStyle w:val="Hyperlink"/>
            <w:noProof/>
          </w:rPr>
          <w:t>Part 4 Section 14.4.9, Additional attribute for cnfStyle element (Part 1, 17.4.7)</w:t>
        </w:r>
        <w:r>
          <w:rPr>
            <w:noProof/>
            <w:webHidden/>
          </w:rPr>
          <w:tab/>
        </w:r>
        <w:r>
          <w:rPr>
            <w:noProof/>
            <w:webHidden/>
          </w:rPr>
          <w:fldChar w:fldCharType="begin"/>
        </w:r>
        <w:r>
          <w:rPr>
            <w:noProof/>
            <w:webHidden/>
          </w:rPr>
          <w:instrText xml:space="preserve"> PAGEREF _Toc181684802 \h </w:instrText>
        </w:r>
        <w:r>
          <w:rPr>
            <w:noProof/>
            <w:webHidden/>
          </w:rPr>
        </w:r>
        <w:r>
          <w:rPr>
            <w:noProof/>
            <w:webHidden/>
          </w:rPr>
          <w:fldChar w:fldCharType="separate"/>
        </w:r>
        <w:r>
          <w:rPr>
            <w:noProof/>
            <w:webHidden/>
          </w:rPr>
          <w:t>631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3" w:history="1">
        <w:r w:rsidRPr="001B13A4">
          <w:rPr>
            <w:rStyle w:val="Hyperlink"/>
            <w:noProof/>
          </w:rPr>
          <w:t>2.1.1767</w:t>
        </w:r>
        <w:r>
          <w:rPr>
            <w:rFonts w:asciiTheme="minorHAnsi" w:eastAsiaTheme="minorEastAsia" w:hAnsiTheme="minorHAnsi" w:cstheme="minorBidi"/>
            <w:noProof/>
            <w:sz w:val="22"/>
            <w:szCs w:val="22"/>
          </w:rPr>
          <w:tab/>
        </w:r>
        <w:r w:rsidRPr="001B13A4">
          <w:rPr>
            <w:rStyle w:val="Hyperlink"/>
            <w:noProof/>
          </w:rPr>
          <w:t>Part 4 Section 14.4.10, Additional attribute for cnfStyle element (Part 1, 17.4.8)</w:t>
        </w:r>
        <w:r>
          <w:rPr>
            <w:noProof/>
            <w:webHidden/>
          </w:rPr>
          <w:tab/>
        </w:r>
        <w:r>
          <w:rPr>
            <w:noProof/>
            <w:webHidden/>
          </w:rPr>
          <w:fldChar w:fldCharType="begin"/>
        </w:r>
        <w:r>
          <w:rPr>
            <w:noProof/>
            <w:webHidden/>
          </w:rPr>
          <w:instrText xml:space="preserve"> PAGEREF _Toc181684803 \h </w:instrText>
        </w:r>
        <w:r>
          <w:rPr>
            <w:noProof/>
            <w:webHidden/>
          </w:rPr>
        </w:r>
        <w:r>
          <w:rPr>
            <w:noProof/>
            <w:webHidden/>
          </w:rPr>
          <w:fldChar w:fldCharType="separate"/>
        </w:r>
        <w:r>
          <w:rPr>
            <w:noProof/>
            <w:webHidden/>
          </w:rPr>
          <w:t>631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4" w:history="1">
        <w:r w:rsidRPr="001B13A4">
          <w:rPr>
            <w:rStyle w:val="Hyperlink"/>
            <w:noProof/>
          </w:rPr>
          <w:t>2.1.1768</w:t>
        </w:r>
        <w:r>
          <w:rPr>
            <w:rFonts w:asciiTheme="minorHAnsi" w:eastAsiaTheme="minorEastAsia" w:hAnsiTheme="minorHAnsi" w:cstheme="minorBidi"/>
            <w:noProof/>
            <w:sz w:val="22"/>
            <w:szCs w:val="22"/>
          </w:rPr>
          <w:tab/>
        </w:r>
        <w:r w:rsidRPr="001B13A4">
          <w:rPr>
            <w:rStyle w:val="Hyperlink"/>
            <w:noProof/>
          </w:rPr>
          <w:t>Part 4 Section 14.4.13, hMerge (Horizontally Merged Cell)</w:t>
        </w:r>
        <w:r>
          <w:rPr>
            <w:noProof/>
            <w:webHidden/>
          </w:rPr>
          <w:tab/>
        </w:r>
        <w:r>
          <w:rPr>
            <w:noProof/>
            <w:webHidden/>
          </w:rPr>
          <w:fldChar w:fldCharType="begin"/>
        </w:r>
        <w:r>
          <w:rPr>
            <w:noProof/>
            <w:webHidden/>
          </w:rPr>
          <w:instrText xml:space="preserve"> PAGEREF _Toc181684804 \h </w:instrText>
        </w:r>
        <w:r>
          <w:rPr>
            <w:noProof/>
            <w:webHidden/>
          </w:rPr>
        </w:r>
        <w:r>
          <w:rPr>
            <w:noProof/>
            <w:webHidden/>
          </w:rPr>
          <w:fldChar w:fldCharType="separate"/>
        </w:r>
        <w:r>
          <w:rPr>
            <w:noProof/>
            <w:webHidden/>
          </w:rPr>
          <w:t>631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5" w:history="1">
        <w:r w:rsidRPr="001B13A4">
          <w:rPr>
            <w:rStyle w:val="Hyperlink"/>
            <w:noProof/>
          </w:rPr>
          <w:t>2.1.1769</w:t>
        </w:r>
        <w:r>
          <w:rPr>
            <w:rFonts w:asciiTheme="minorHAnsi" w:eastAsiaTheme="minorEastAsia" w:hAnsiTheme="minorHAnsi" w:cstheme="minorBidi"/>
            <w:noProof/>
            <w:sz w:val="22"/>
            <w:szCs w:val="22"/>
          </w:rPr>
          <w:tab/>
        </w:r>
        <w:r w:rsidRPr="001B13A4">
          <w:rPr>
            <w:rStyle w:val="Hyperlink"/>
            <w:noProof/>
          </w:rPr>
          <w:t>Part 4 Section 14.6.1, pict (Picture Numbering Symbol Properties)</w:t>
        </w:r>
        <w:r>
          <w:rPr>
            <w:noProof/>
            <w:webHidden/>
          </w:rPr>
          <w:tab/>
        </w:r>
        <w:r>
          <w:rPr>
            <w:noProof/>
            <w:webHidden/>
          </w:rPr>
          <w:fldChar w:fldCharType="begin"/>
        </w:r>
        <w:r>
          <w:rPr>
            <w:noProof/>
            <w:webHidden/>
          </w:rPr>
          <w:instrText xml:space="preserve"> PAGEREF _Toc181684805 \h </w:instrText>
        </w:r>
        <w:r>
          <w:rPr>
            <w:noProof/>
            <w:webHidden/>
          </w:rPr>
        </w:r>
        <w:r>
          <w:rPr>
            <w:noProof/>
            <w:webHidden/>
          </w:rPr>
          <w:fldChar w:fldCharType="separate"/>
        </w:r>
        <w:r>
          <w:rPr>
            <w:noProof/>
            <w:webHidden/>
          </w:rPr>
          <w:t>631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6" w:history="1">
        <w:r w:rsidRPr="001B13A4">
          <w:rPr>
            <w:rStyle w:val="Hyperlink"/>
            <w:noProof/>
          </w:rPr>
          <w:t>2.1.1770</w:t>
        </w:r>
        <w:r>
          <w:rPr>
            <w:rFonts w:asciiTheme="minorHAnsi" w:eastAsiaTheme="minorEastAsia" w:hAnsiTheme="minorHAnsi" w:cstheme="minorBidi"/>
            <w:noProof/>
            <w:sz w:val="22"/>
            <w:szCs w:val="22"/>
          </w:rPr>
          <w:tab/>
        </w:r>
        <w:r w:rsidRPr="001B13A4">
          <w:rPr>
            <w:rStyle w:val="Hyperlink"/>
            <w:noProof/>
          </w:rPr>
          <w:t>Part 4 Section 14.6.2, legacy (Legacy Numbering Level Properties)</w:t>
        </w:r>
        <w:r>
          <w:rPr>
            <w:noProof/>
            <w:webHidden/>
          </w:rPr>
          <w:tab/>
        </w:r>
        <w:r>
          <w:rPr>
            <w:noProof/>
            <w:webHidden/>
          </w:rPr>
          <w:fldChar w:fldCharType="begin"/>
        </w:r>
        <w:r>
          <w:rPr>
            <w:noProof/>
            <w:webHidden/>
          </w:rPr>
          <w:instrText xml:space="preserve"> PAGEREF _Toc181684806 \h </w:instrText>
        </w:r>
        <w:r>
          <w:rPr>
            <w:noProof/>
            <w:webHidden/>
          </w:rPr>
        </w:r>
        <w:r>
          <w:rPr>
            <w:noProof/>
            <w:webHidden/>
          </w:rPr>
          <w:fldChar w:fldCharType="separate"/>
        </w:r>
        <w:r>
          <w:rPr>
            <w:noProof/>
            <w:webHidden/>
          </w:rPr>
          <w:t>632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7" w:history="1">
        <w:r w:rsidRPr="001B13A4">
          <w:rPr>
            <w:rStyle w:val="Hyperlink"/>
            <w:noProof/>
          </w:rPr>
          <w:t>2.1.1771</w:t>
        </w:r>
        <w:r>
          <w:rPr>
            <w:rFonts w:asciiTheme="minorHAnsi" w:eastAsiaTheme="minorEastAsia" w:hAnsiTheme="minorHAnsi" w:cstheme="minorBidi"/>
            <w:noProof/>
            <w:sz w:val="22"/>
            <w:szCs w:val="22"/>
          </w:rPr>
          <w:tab/>
        </w:r>
        <w:r w:rsidRPr="001B13A4">
          <w:rPr>
            <w:rStyle w:val="Hyperlink"/>
            <w:noProof/>
          </w:rPr>
          <w:t>Part 4 Section 14.7.1.1, numberingChange (Previous Numbering Field Properties)</w:t>
        </w:r>
        <w:r>
          <w:rPr>
            <w:noProof/>
            <w:webHidden/>
          </w:rPr>
          <w:tab/>
        </w:r>
        <w:r>
          <w:rPr>
            <w:noProof/>
            <w:webHidden/>
          </w:rPr>
          <w:fldChar w:fldCharType="begin"/>
        </w:r>
        <w:r>
          <w:rPr>
            <w:noProof/>
            <w:webHidden/>
          </w:rPr>
          <w:instrText xml:space="preserve"> PAGEREF _Toc181684807 \h </w:instrText>
        </w:r>
        <w:r>
          <w:rPr>
            <w:noProof/>
            <w:webHidden/>
          </w:rPr>
        </w:r>
        <w:r>
          <w:rPr>
            <w:noProof/>
            <w:webHidden/>
          </w:rPr>
          <w:fldChar w:fldCharType="separate"/>
        </w:r>
        <w:r>
          <w:rPr>
            <w:noProof/>
            <w:webHidden/>
          </w:rPr>
          <w:t>632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8" w:history="1">
        <w:r w:rsidRPr="001B13A4">
          <w:rPr>
            <w:rStyle w:val="Hyperlink"/>
            <w:noProof/>
          </w:rPr>
          <w:t>2.1.1772</w:t>
        </w:r>
        <w:r>
          <w:rPr>
            <w:rFonts w:asciiTheme="minorHAnsi" w:eastAsiaTheme="minorEastAsia" w:hAnsiTheme="minorHAnsi" w:cstheme="minorBidi"/>
            <w:noProof/>
            <w:sz w:val="22"/>
            <w:szCs w:val="22"/>
          </w:rPr>
          <w:tab/>
        </w:r>
        <w:r w:rsidRPr="001B13A4">
          <w:rPr>
            <w:rStyle w:val="Hyperlink"/>
            <w:noProof/>
          </w:rPr>
          <w:t>Part 4 Section 14.7.1.2, numberingChange (Previous Paragraph Numbering Properties)</w:t>
        </w:r>
        <w:r>
          <w:rPr>
            <w:noProof/>
            <w:webHidden/>
          </w:rPr>
          <w:tab/>
        </w:r>
        <w:r>
          <w:rPr>
            <w:noProof/>
            <w:webHidden/>
          </w:rPr>
          <w:fldChar w:fldCharType="begin"/>
        </w:r>
        <w:r>
          <w:rPr>
            <w:noProof/>
            <w:webHidden/>
          </w:rPr>
          <w:instrText xml:space="preserve"> PAGEREF _Toc181684808 \h </w:instrText>
        </w:r>
        <w:r>
          <w:rPr>
            <w:noProof/>
            <w:webHidden/>
          </w:rPr>
        </w:r>
        <w:r>
          <w:rPr>
            <w:noProof/>
            <w:webHidden/>
          </w:rPr>
          <w:fldChar w:fldCharType="separate"/>
        </w:r>
        <w:r>
          <w:rPr>
            <w:noProof/>
            <w:webHidden/>
          </w:rPr>
          <w:t>632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09" w:history="1">
        <w:r w:rsidRPr="001B13A4">
          <w:rPr>
            <w:rStyle w:val="Hyperlink"/>
            <w:noProof/>
          </w:rPr>
          <w:t>2.1.1773</w:t>
        </w:r>
        <w:r>
          <w:rPr>
            <w:rFonts w:asciiTheme="minorHAnsi" w:eastAsiaTheme="minorEastAsia" w:hAnsiTheme="minorHAnsi" w:cstheme="minorBidi"/>
            <w:noProof/>
            <w:sz w:val="22"/>
            <w:szCs w:val="22"/>
          </w:rPr>
          <w:tab/>
        </w:r>
        <w:r w:rsidRPr="001B13A4">
          <w:rPr>
            <w:rStyle w:val="Hyperlink"/>
            <w:noProof/>
          </w:rPr>
          <w:t>Part 4 Section 14.8.2.1, hdrShapeDefaults (Default Properties for VML Objects in Header and Footer)</w:t>
        </w:r>
        <w:r>
          <w:rPr>
            <w:noProof/>
            <w:webHidden/>
          </w:rPr>
          <w:tab/>
        </w:r>
        <w:r>
          <w:rPr>
            <w:noProof/>
            <w:webHidden/>
          </w:rPr>
          <w:fldChar w:fldCharType="begin"/>
        </w:r>
        <w:r>
          <w:rPr>
            <w:noProof/>
            <w:webHidden/>
          </w:rPr>
          <w:instrText xml:space="preserve"> PAGEREF _Toc181684809 \h </w:instrText>
        </w:r>
        <w:r>
          <w:rPr>
            <w:noProof/>
            <w:webHidden/>
          </w:rPr>
        </w:r>
        <w:r>
          <w:rPr>
            <w:noProof/>
            <w:webHidden/>
          </w:rPr>
          <w:fldChar w:fldCharType="separate"/>
        </w:r>
        <w:r>
          <w:rPr>
            <w:noProof/>
            <w:webHidden/>
          </w:rPr>
          <w:t>635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0" w:history="1">
        <w:r w:rsidRPr="001B13A4">
          <w:rPr>
            <w:rStyle w:val="Hyperlink"/>
            <w:noProof/>
          </w:rPr>
          <w:t>2.1.1774</w:t>
        </w:r>
        <w:r>
          <w:rPr>
            <w:rFonts w:asciiTheme="minorHAnsi" w:eastAsiaTheme="minorEastAsia" w:hAnsiTheme="minorHAnsi" w:cstheme="minorBidi"/>
            <w:noProof/>
            <w:sz w:val="22"/>
            <w:szCs w:val="22"/>
          </w:rPr>
          <w:tab/>
        </w:r>
        <w:r w:rsidRPr="001B13A4">
          <w:rPr>
            <w:rStyle w:val="Hyperlink"/>
            <w:noProof/>
          </w:rPr>
          <w:t>Part 4 Section 14.8.2.2, shapeDefaults (Default Properties for VML Objects in Main Document)</w:t>
        </w:r>
        <w:r>
          <w:rPr>
            <w:noProof/>
            <w:webHidden/>
          </w:rPr>
          <w:tab/>
        </w:r>
        <w:r>
          <w:rPr>
            <w:noProof/>
            <w:webHidden/>
          </w:rPr>
          <w:fldChar w:fldCharType="begin"/>
        </w:r>
        <w:r>
          <w:rPr>
            <w:noProof/>
            <w:webHidden/>
          </w:rPr>
          <w:instrText xml:space="preserve"> PAGEREF _Toc181684810 \h </w:instrText>
        </w:r>
        <w:r>
          <w:rPr>
            <w:noProof/>
            <w:webHidden/>
          </w:rPr>
        </w:r>
        <w:r>
          <w:rPr>
            <w:noProof/>
            <w:webHidden/>
          </w:rPr>
          <w:fldChar w:fldCharType="separate"/>
        </w:r>
        <w:r>
          <w:rPr>
            <w:noProof/>
            <w:webHidden/>
          </w:rPr>
          <w:t>635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1" w:history="1">
        <w:r w:rsidRPr="001B13A4">
          <w:rPr>
            <w:rStyle w:val="Hyperlink"/>
            <w:noProof/>
          </w:rPr>
          <w:t>2.1.1775</w:t>
        </w:r>
        <w:r>
          <w:rPr>
            <w:rFonts w:asciiTheme="minorHAnsi" w:eastAsiaTheme="minorEastAsia" w:hAnsiTheme="minorHAnsi" w:cstheme="minorBidi"/>
            <w:noProof/>
            <w:sz w:val="22"/>
            <w:szCs w:val="22"/>
          </w:rPr>
          <w:tab/>
        </w:r>
        <w:r w:rsidRPr="001B13A4">
          <w:rPr>
            <w:rStyle w:val="Hyperlink"/>
            <w:noProof/>
          </w:rPr>
          <w:t>Part 4 Section 14.8.2.5, Additional attributes for writeProtection element (Part 1, 17.15.1.93)</w:t>
        </w:r>
        <w:r>
          <w:rPr>
            <w:noProof/>
            <w:webHidden/>
          </w:rPr>
          <w:tab/>
        </w:r>
        <w:r>
          <w:rPr>
            <w:noProof/>
            <w:webHidden/>
          </w:rPr>
          <w:fldChar w:fldCharType="begin"/>
        </w:r>
        <w:r>
          <w:rPr>
            <w:noProof/>
            <w:webHidden/>
          </w:rPr>
          <w:instrText xml:space="preserve"> PAGEREF _Toc181684811 \h </w:instrText>
        </w:r>
        <w:r>
          <w:rPr>
            <w:noProof/>
            <w:webHidden/>
          </w:rPr>
        </w:r>
        <w:r>
          <w:rPr>
            <w:noProof/>
            <w:webHidden/>
          </w:rPr>
          <w:fldChar w:fldCharType="separate"/>
        </w:r>
        <w:r>
          <w:rPr>
            <w:noProof/>
            <w:webHidden/>
          </w:rPr>
          <w:t>635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2" w:history="1">
        <w:r w:rsidRPr="001B13A4">
          <w:rPr>
            <w:rStyle w:val="Hyperlink"/>
            <w:noProof/>
          </w:rPr>
          <w:t>2.1.1776</w:t>
        </w:r>
        <w:r>
          <w:rPr>
            <w:rFonts w:asciiTheme="minorHAnsi" w:eastAsiaTheme="minorEastAsia" w:hAnsiTheme="minorHAnsi" w:cstheme="minorBidi"/>
            <w:noProof/>
            <w:sz w:val="22"/>
            <w:szCs w:val="22"/>
          </w:rPr>
          <w:tab/>
        </w:r>
        <w:r w:rsidRPr="001B13A4">
          <w:rPr>
            <w:rStyle w:val="Hyperlink"/>
            <w:noProof/>
          </w:rPr>
          <w:t>Part 4 Section 14.8.3.6, convMailMergeEsc (Treat Backslash Quotation Delimiter as Two Quotation Marks)</w:t>
        </w:r>
        <w:r>
          <w:rPr>
            <w:noProof/>
            <w:webHidden/>
          </w:rPr>
          <w:tab/>
        </w:r>
        <w:r>
          <w:rPr>
            <w:noProof/>
            <w:webHidden/>
          </w:rPr>
          <w:fldChar w:fldCharType="begin"/>
        </w:r>
        <w:r>
          <w:rPr>
            <w:noProof/>
            <w:webHidden/>
          </w:rPr>
          <w:instrText xml:space="preserve"> PAGEREF _Toc181684812 \h </w:instrText>
        </w:r>
        <w:r>
          <w:rPr>
            <w:noProof/>
            <w:webHidden/>
          </w:rPr>
        </w:r>
        <w:r>
          <w:rPr>
            <w:noProof/>
            <w:webHidden/>
          </w:rPr>
          <w:fldChar w:fldCharType="separate"/>
        </w:r>
        <w:r>
          <w:rPr>
            <w:noProof/>
            <w:webHidden/>
          </w:rPr>
          <w:t>635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3" w:history="1">
        <w:r w:rsidRPr="001B13A4">
          <w:rPr>
            <w:rStyle w:val="Hyperlink"/>
            <w:noProof/>
          </w:rPr>
          <w:t>2.1.1777</w:t>
        </w:r>
        <w:r>
          <w:rPr>
            <w:rFonts w:asciiTheme="minorHAnsi" w:eastAsiaTheme="minorEastAsia" w:hAnsiTheme="minorHAnsi" w:cstheme="minorBidi"/>
            <w:noProof/>
            <w:sz w:val="22"/>
            <w:szCs w:val="22"/>
          </w:rPr>
          <w:tab/>
        </w:r>
        <w:r w:rsidRPr="001B13A4">
          <w:rPr>
            <w:rStyle w:val="Hyperlink"/>
            <w:noProof/>
          </w:rPr>
          <w:t>Part 4 Section 14.8.3.8, doNotAutofitConstrainedTables (Do Not AutoFit Tables To Fit Next To Wrapped Objects)</w:t>
        </w:r>
        <w:r>
          <w:rPr>
            <w:noProof/>
            <w:webHidden/>
          </w:rPr>
          <w:tab/>
        </w:r>
        <w:r>
          <w:rPr>
            <w:noProof/>
            <w:webHidden/>
          </w:rPr>
          <w:fldChar w:fldCharType="begin"/>
        </w:r>
        <w:r>
          <w:rPr>
            <w:noProof/>
            <w:webHidden/>
          </w:rPr>
          <w:instrText xml:space="preserve"> PAGEREF _Toc181684813 \h </w:instrText>
        </w:r>
        <w:r>
          <w:rPr>
            <w:noProof/>
            <w:webHidden/>
          </w:rPr>
        </w:r>
        <w:r>
          <w:rPr>
            <w:noProof/>
            <w:webHidden/>
          </w:rPr>
          <w:fldChar w:fldCharType="separate"/>
        </w:r>
        <w:r>
          <w:rPr>
            <w:noProof/>
            <w:webHidden/>
          </w:rPr>
          <w:t>635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4" w:history="1">
        <w:r w:rsidRPr="001B13A4">
          <w:rPr>
            <w:rStyle w:val="Hyperlink"/>
            <w:noProof/>
          </w:rPr>
          <w:t>2.1.1778</w:t>
        </w:r>
        <w:r>
          <w:rPr>
            <w:rFonts w:asciiTheme="minorHAnsi" w:eastAsiaTheme="minorEastAsia" w:hAnsiTheme="minorHAnsi" w:cstheme="minorBidi"/>
            <w:noProof/>
            <w:sz w:val="22"/>
            <w:szCs w:val="22"/>
          </w:rPr>
          <w:tab/>
        </w:r>
        <w:r w:rsidRPr="001B13A4">
          <w:rPr>
            <w:rStyle w:val="Hyperlink"/>
            <w:noProof/>
          </w:rPr>
          <w:t>Part 4 Section 14.8.3.13, doNotSuppressParagraphBorders (Do Not Suppress Paragraph Borders Next To Frames)</w:t>
        </w:r>
        <w:r>
          <w:rPr>
            <w:noProof/>
            <w:webHidden/>
          </w:rPr>
          <w:tab/>
        </w:r>
        <w:r>
          <w:rPr>
            <w:noProof/>
            <w:webHidden/>
          </w:rPr>
          <w:fldChar w:fldCharType="begin"/>
        </w:r>
        <w:r>
          <w:rPr>
            <w:noProof/>
            <w:webHidden/>
          </w:rPr>
          <w:instrText xml:space="preserve"> PAGEREF _Toc181684814 \h </w:instrText>
        </w:r>
        <w:r>
          <w:rPr>
            <w:noProof/>
            <w:webHidden/>
          </w:rPr>
        </w:r>
        <w:r>
          <w:rPr>
            <w:noProof/>
            <w:webHidden/>
          </w:rPr>
          <w:fldChar w:fldCharType="separate"/>
        </w:r>
        <w:r>
          <w:rPr>
            <w:noProof/>
            <w:webHidden/>
          </w:rPr>
          <w:t>636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5" w:history="1">
        <w:r w:rsidRPr="001B13A4">
          <w:rPr>
            <w:rStyle w:val="Hyperlink"/>
            <w:noProof/>
          </w:rPr>
          <w:t>2.1.1779</w:t>
        </w:r>
        <w:r>
          <w:rPr>
            <w:rFonts w:asciiTheme="minorHAnsi" w:eastAsiaTheme="minorEastAsia" w:hAnsiTheme="minorHAnsi" w:cstheme="minorBidi"/>
            <w:noProof/>
            <w:sz w:val="22"/>
            <w:szCs w:val="22"/>
          </w:rPr>
          <w:tab/>
        </w:r>
        <w:r w:rsidRPr="001B13A4">
          <w:rPr>
            <w:rStyle w:val="Hyperlink"/>
            <w:noProof/>
          </w:rPr>
          <w:t>Part 4 Section 14.9.1.1, txbxContent (Rich Text Box Content Container)</w:t>
        </w:r>
        <w:r>
          <w:rPr>
            <w:noProof/>
            <w:webHidden/>
          </w:rPr>
          <w:tab/>
        </w:r>
        <w:r>
          <w:rPr>
            <w:noProof/>
            <w:webHidden/>
          </w:rPr>
          <w:fldChar w:fldCharType="begin"/>
        </w:r>
        <w:r>
          <w:rPr>
            <w:noProof/>
            <w:webHidden/>
          </w:rPr>
          <w:instrText xml:space="preserve"> PAGEREF _Toc181684815 \h </w:instrText>
        </w:r>
        <w:r>
          <w:rPr>
            <w:noProof/>
            <w:webHidden/>
          </w:rPr>
        </w:r>
        <w:r>
          <w:rPr>
            <w:noProof/>
            <w:webHidden/>
          </w:rPr>
          <w:fldChar w:fldCharType="separate"/>
        </w:r>
        <w:r>
          <w:rPr>
            <w:noProof/>
            <w:webHidden/>
          </w:rPr>
          <w:t>636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6" w:history="1">
        <w:r w:rsidRPr="001B13A4">
          <w:rPr>
            <w:rStyle w:val="Hyperlink"/>
            <w:noProof/>
          </w:rPr>
          <w:t>2.1.1780</w:t>
        </w:r>
        <w:r>
          <w:rPr>
            <w:rFonts w:asciiTheme="minorHAnsi" w:eastAsiaTheme="minorEastAsia" w:hAnsiTheme="minorHAnsi" w:cstheme="minorBidi"/>
            <w:noProof/>
            <w:sz w:val="22"/>
            <w:szCs w:val="22"/>
          </w:rPr>
          <w:tab/>
        </w:r>
        <w:r w:rsidRPr="001B13A4">
          <w:rPr>
            <w:rStyle w:val="Hyperlink"/>
            <w:noProof/>
          </w:rPr>
          <w:t>Part 4 Section 14.10.4.1, AUTONUM</w:t>
        </w:r>
        <w:r>
          <w:rPr>
            <w:noProof/>
            <w:webHidden/>
          </w:rPr>
          <w:tab/>
        </w:r>
        <w:r>
          <w:rPr>
            <w:noProof/>
            <w:webHidden/>
          </w:rPr>
          <w:fldChar w:fldCharType="begin"/>
        </w:r>
        <w:r>
          <w:rPr>
            <w:noProof/>
            <w:webHidden/>
          </w:rPr>
          <w:instrText xml:space="preserve"> PAGEREF _Toc181684816 \h </w:instrText>
        </w:r>
        <w:r>
          <w:rPr>
            <w:noProof/>
            <w:webHidden/>
          </w:rPr>
        </w:r>
        <w:r>
          <w:rPr>
            <w:noProof/>
            <w:webHidden/>
          </w:rPr>
          <w:fldChar w:fldCharType="separate"/>
        </w:r>
        <w:r>
          <w:rPr>
            <w:noProof/>
            <w:webHidden/>
          </w:rPr>
          <w:t>636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7" w:history="1">
        <w:r w:rsidRPr="001B13A4">
          <w:rPr>
            <w:rStyle w:val="Hyperlink"/>
            <w:noProof/>
          </w:rPr>
          <w:t>2.1.1781</w:t>
        </w:r>
        <w:r>
          <w:rPr>
            <w:rFonts w:asciiTheme="minorHAnsi" w:eastAsiaTheme="minorEastAsia" w:hAnsiTheme="minorHAnsi" w:cstheme="minorBidi"/>
            <w:noProof/>
            <w:sz w:val="22"/>
            <w:szCs w:val="22"/>
          </w:rPr>
          <w:tab/>
        </w:r>
        <w:r w:rsidRPr="001B13A4">
          <w:rPr>
            <w:rStyle w:val="Hyperlink"/>
            <w:noProof/>
          </w:rPr>
          <w:t>Part 4 Section 14.10.4.2, AUTONUMLGL</w:t>
        </w:r>
        <w:r>
          <w:rPr>
            <w:noProof/>
            <w:webHidden/>
          </w:rPr>
          <w:tab/>
        </w:r>
        <w:r>
          <w:rPr>
            <w:noProof/>
            <w:webHidden/>
          </w:rPr>
          <w:fldChar w:fldCharType="begin"/>
        </w:r>
        <w:r>
          <w:rPr>
            <w:noProof/>
            <w:webHidden/>
          </w:rPr>
          <w:instrText xml:space="preserve"> PAGEREF _Toc181684817 \h </w:instrText>
        </w:r>
        <w:r>
          <w:rPr>
            <w:noProof/>
            <w:webHidden/>
          </w:rPr>
        </w:r>
        <w:r>
          <w:rPr>
            <w:noProof/>
            <w:webHidden/>
          </w:rPr>
          <w:fldChar w:fldCharType="separate"/>
        </w:r>
        <w:r>
          <w:rPr>
            <w:noProof/>
            <w:webHidden/>
          </w:rPr>
          <w:t>636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8" w:history="1">
        <w:r w:rsidRPr="001B13A4">
          <w:rPr>
            <w:rStyle w:val="Hyperlink"/>
            <w:noProof/>
          </w:rPr>
          <w:t>2.1.1782</w:t>
        </w:r>
        <w:r>
          <w:rPr>
            <w:rFonts w:asciiTheme="minorHAnsi" w:eastAsiaTheme="minorEastAsia" w:hAnsiTheme="minorHAnsi" w:cstheme="minorBidi"/>
            <w:noProof/>
            <w:sz w:val="22"/>
            <w:szCs w:val="22"/>
          </w:rPr>
          <w:tab/>
        </w:r>
        <w:r w:rsidRPr="001B13A4">
          <w:rPr>
            <w:rStyle w:val="Hyperlink"/>
            <w:noProof/>
          </w:rPr>
          <w:t>Part 4 Section 14.10.4.3, AUTONUMOUT</w:t>
        </w:r>
        <w:r>
          <w:rPr>
            <w:noProof/>
            <w:webHidden/>
          </w:rPr>
          <w:tab/>
        </w:r>
        <w:r>
          <w:rPr>
            <w:noProof/>
            <w:webHidden/>
          </w:rPr>
          <w:fldChar w:fldCharType="begin"/>
        </w:r>
        <w:r>
          <w:rPr>
            <w:noProof/>
            <w:webHidden/>
          </w:rPr>
          <w:instrText xml:space="preserve"> PAGEREF _Toc181684818 \h </w:instrText>
        </w:r>
        <w:r>
          <w:rPr>
            <w:noProof/>
            <w:webHidden/>
          </w:rPr>
        </w:r>
        <w:r>
          <w:rPr>
            <w:noProof/>
            <w:webHidden/>
          </w:rPr>
          <w:fldChar w:fldCharType="separate"/>
        </w:r>
        <w:r>
          <w:rPr>
            <w:noProof/>
            <w:webHidden/>
          </w:rPr>
          <w:t>636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19" w:history="1">
        <w:r w:rsidRPr="001B13A4">
          <w:rPr>
            <w:rStyle w:val="Hyperlink"/>
            <w:noProof/>
          </w:rPr>
          <w:t>2.1.1783</w:t>
        </w:r>
        <w:r>
          <w:rPr>
            <w:rFonts w:asciiTheme="minorHAnsi" w:eastAsiaTheme="minorEastAsia" w:hAnsiTheme="minorHAnsi" w:cstheme="minorBidi"/>
            <w:noProof/>
            <w:sz w:val="22"/>
            <w:szCs w:val="22"/>
          </w:rPr>
          <w:tab/>
        </w:r>
        <w:r w:rsidRPr="001B13A4">
          <w:rPr>
            <w:rStyle w:val="Hyperlink"/>
            <w:noProof/>
          </w:rPr>
          <w:t>Part 4 Section 14.10.4.4, BARCODE</w:t>
        </w:r>
        <w:r>
          <w:rPr>
            <w:noProof/>
            <w:webHidden/>
          </w:rPr>
          <w:tab/>
        </w:r>
        <w:r>
          <w:rPr>
            <w:noProof/>
            <w:webHidden/>
          </w:rPr>
          <w:fldChar w:fldCharType="begin"/>
        </w:r>
        <w:r>
          <w:rPr>
            <w:noProof/>
            <w:webHidden/>
          </w:rPr>
          <w:instrText xml:space="preserve"> PAGEREF _Toc181684819 \h </w:instrText>
        </w:r>
        <w:r>
          <w:rPr>
            <w:noProof/>
            <w:webHidden/>
          </w:rPr>
        </w:r>
        <w:r>
          <w:rPr>
            <w:noProof/>
            <w:webHidden/>
          </w:rPr>
          <w:fldChar w:fldCharType="separate"/>
        </w:r>
        <w:r>
          <w:rPr>
            <w:noProof/>
            <w:webHidden/>
          </w:rPr>
          <w:t>637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0" w:history="1">
        <w:r w:rsidRPr="001B13A4">
          <w:rPr>
            <w:rStyle w:val="Hyperlink"/>
            <w:noProof/>
          </w:rPr>
          <w:t>2.1.1784</w:t>
        </w:r>
        <w:r>
          <w:rPr>
            <w:rFonts w:asciiTheme="minorHAnsi" w:eastAsiaTheme="minorEastAsia" w:hAnsiTheme="minorHAnsi" w:cstheme="minorBidi"/>
            <w:noProof/>
            <w:sz w:val="22"/>
            <w:szCs w:val="22"/>
          </w:rPr>
          <w:tab/>
        </w:r>
        <w:r w:rsidRPr="001B13A4">
          <w:rPr>
            <w:rStyle w:val="Hyperlink"/>
            <w:noProof/>
          </w:rPr>
          <w:t>Part 4 Section 14.10.4.5, BIDIOUTLINE</w:t>
        </w:r>
        <w:r>
          <w:rPr>
            <w:noProof/>
            <w:webHidden/>
          </w:rPr>
          <w:tab/>
        </w:r>
        <w:r>
          <w:rPr>
            <w:noProof/>
            <w:webHidden/>
          </w:rPr>
          <w:fldChar w:fldCharType="begin"/>
        </w:r>
        <w:r>
          <w:rPr>
            <w:noProof/>
            <w:webHidden/>
          </w:rPr>
          <w:instrText xml:space="preserve"> PAGEREF _Toc181684820 \h </w:instrText>
        </w:r>
        <w:r>
          <w:rPr>
            <w:noProof/>
            <w:webHidden/>
          </w:rPr>
        </w:r>
        <w:r>
          <w:rPr>
            <w:noProof/>
            <w:webHidden/>
          </w:rPr>
          <w:fldChar w:fldCharType="separate"/>
        </w:r>
        <w:r>
          <w:rPr>
            <w:noProof/>
            <w:webHidden/>
          </w:rPr>
          <w:t>637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1" w:history="1">
        <w:r w:rsidRPr="001B13A4">
          <w:rPr>
            <w:rStyle w:val="Hyperlink"/>
            <w:noProof/>
          </w:rPr>
          <w:t>2.1.1785</w:t>
        </w:r>
        <w:r>
          <w:rPr>
            <w:rFonts w:asciiTheme="minorHAnsi" w:eastAsiaTheme="minorEastAsia" w:hAnsiTheme="minorHAnsi" w:cstheme="minorBidi"/>
            <w:noProof/>
            <w:sz w:val="22"/>
            <w:szCs w:val="22"/>
          </w:rPr>
          <w:tab/>
        </w:r>
        <w:r w:rsidRPr="001B13A4">
          <w:rPr>
            <w:rStyle w:val="Hyperlink"/>
            <w:noProof/>
          </w:rPr>
          <w:t>Part 4 Section 14.10.4.6, EQ</w:t>
        </w:r>
        <w:r>
          <w:rPr>
            <w:noProof/>
            <w:webHidden/>
          </w:rPr>
          <w:tab/>
        </w:r>
        <w:r>
          <w:rPr>
            <w:noProof/>
            <w:webHidden/>
          </w:rPr>
          <w:fldChar w:fldCharType="begin"/>
        </w:r>
        <w:r>
          <w:rPr>
            <w:noProof/>
            <w:webHidden/>
          </w:rPr>
          <w:instrText xml:space="preserve"> PAGEREF _Toc181684821 \h </w:instrText>
        </w:r>
        <w:r>
          <w:rPr>
            <w:noProof/>
            <w:webHidden/>
          </w:rPr>
        </w:r>
        <w:r>
          <w:rPr>
            <w:noProof/>
            <w:webHidden/>
          </w:rPr>
          <w:fldChar w:fldCharType="separate"/>
        </w:r>
        <w:r>
          <w:rPr>
            <w:noProof/>
            <w:webHidden/>
          </w:rPr>
          <w:t>637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2" w:history="1">
        <w:r w:rsidRPr="001B13A4">
          <w:rPr>
            <w:rStyle w:val="Hyperlink"/>
            <w:noProof/>
          </w:rPr>
          <w:t>2.1.1786</w:t>
        </w:r>
        <w:r>
          <w:rPr>
            <w:rFonts w:asciiTheme="minorHAnsi" w:eastAsiaTheme="minorEastAsia" w:hAnsiTheme="minorHAnsi" w:cstheme="minorBidi"/>
            <w:noProof/>
            <w:sz w:val="22"/>
            <w:szCs w:val="22"/>
          </w:rPr>
          <w:tab/>
        </w:r>
        <w:r w:rsidRPr="001B13A4">
          <w:rPr>
            <w:rStyle w:val="Hyperlink"/>
            <w:noProof/>
          </w:rPr>
          <w:t>Part 4 Section 14.11.5, Additional enumeration values for ST_StyleSort (Part 1, 17.18.82)</w:t>
        </w:r>
        <w:r>
          <w:rPr>
            <w:noProof/>
            <w:webHidden/>
          </w:rPr>
          <w:tab/>
        </w:r>
        <w:r>
          <w:rPr>
            <w:noProof/>
            <w:webHidden/>
          </w:rPr>
          <w:fldChar w:fldCharType="begin"/>
        </w:r>
        <w:r>
          <w:rPr>
            <w:noProof/>
            <w:webHidden/>
          </w:rPr>
          <w:instrText xml:space="preserve"> PAGEREF _Toc181684822 \h </w:instrText>
        </w:r>
        <w:r>
          <w:rPr>
            <w:noProof/>
            <w:webHidden/>
          </w:rPr>
        </w:r>
        <w:r>
          <w:rPr>
            <w:noProof/>
            <w:webHidden/>
          </w:rPr>
          <w:fldChar w:fldCharType="separate"/>
        </w:r>
        <w:r>
          <w:rPr>
            <w:noProof/>
            <w:webHidden/>
          </w:rPr>
          <w:t>638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3" w:history="1">
        <w:r w:rsidRPr="001B13A4">
          <w:rPr>
            <w:rStyle w:val="Hyperlink"/>
            <w:noProof/>
          </w:rPr>
          <w:t>2.1.1787</w:t>
        </w:r>
        <w:r>
          <w:rPr>
            <w:rFonts w:asciiTheme="minorHAnsi" w:eastAsiaTheme="minorEastAsia" w:hAnsiTheme="minorHAnsi" w:cstheme="minorBidi"/>
            <w:noProof/>
            <w:sz w:val="22"/>
            <w:szCs w:val="22"/>
          </w:rPr>
          <w:tab/>
        </w:r>
        <w:r w:rsidRPr="001B13A4">
          <w:rPr>
            <w:rStyle w:val="Hyperlink"/>
            <w:noProof/>
          </w:rPr>
          <w:t>Part 4 Section 17.2.2.10, ST_TextFontScalePercent (Text Font Scale Percentage)</w:t>
        </w:r>
        <w:r>
          <w:rPr>
            <w:noProof/>
            <w:webHidden/>
          </w:rPr>
          <w:tab/>
        </w:r>
        <w:r>
          <w:rPr>
            <w:noProof/>
            <w:webHidden/>
          </w:rPr>
          <w:fldChar w:fldCharType="begin"/>
        </w:r>
        <w:r>
          <w:rPr>
            <w:noProof/>
            <w:webHidden/>
          </w:rPr>
          <w:instrText xml:space="preserve"> PAGEREF _Toc181684823 \h </w:instrText>
        </w:r>
        <w:r>
          <w:rPr>
            <w:noProof/>
            <w:webHidden/>
          </w:rPr>
        </w:r>
        <w:r>
          <w:rPr>
            <w:noProof/>
            <w:webHidden/>
          </w:rPr>
          <w:fldChar w:fldCharType="separate"/>
        </w:r>
        <w:r>
          <w:rPr>
            <w:noProof/>
            <w:webHidden/>
          </w:rPr>
          <w:t>638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4" w:history="1">
        <w:r w:rsidRPr="001B13A4">
          <w:rPr>
            <w:rStyle w:val="Hyperlink"/>
            <w:noProof/>
          </w:rPr>
          <w:t>2.1.1788</w:t>
        </w:r>
        <w:r>
          <w:rPr>
            <w:rFonts w:asciiTheme="minorHAnsi" w:eastAsiaTheme="minorEastAsia" w:hAnsiTheme="minorHAnsi" w:cstheme="minorBidi"/>
            <w:noProof/>
            <w:sz w:val="22"/>
            <w:szCs w:val="22"/>
          </w:rPr>
          <w:tab/>
        </w:r>
        <w:r w:rsidRPr="001B13A4">
          <w:rPr>
            <w:rStyle w:val="Hyperlink"/>
            <w:noProof/>
          </w:rPr>
          <w:t>Part 4 Section 17.2.2.11, ST_TextSpacingPercent (Text Spacing Percent)</w:t>
        </w:r>
        <w:r>
          <w:rPr>
            <w:noProof/>
            <w:webHidden/>
          </w:rPr>
          <w:tab/>
        </w:r>
        <w:r>
          <w:rPr>
            <w:noProof/>
            <w:webHidden/>
          </w:rPr>
          <w:fldChar w:fldCharType="begin"/>
        </w:r>
        <w:r>
          <w:rPr>
            <w:noProof/>
            <w:webHidden/>
          </w:rPr>
          <w:instrText xml:space="preserve"> PAGEREF _Toc181684824 \h </w:instrText>
        </w:r>
        <w:r>
          <w:rPr>
            <w:noProof/>
            <w:webHidden/>
          </w:rPr>
        </w:r>
        <w:r>
          <w:rPr>
            <w:noProof/>
            <w:webHidden/>
          </w:rPr>
          <w:fldChar w:fldCharType="separate"/>
        </w:r>
        <w:r>
          <w:rPr>
            <w:noProof/>
            <w:webHidden/>
          </w:rPr>
          <w:t>638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5" w:history="1">
        <w:r w:rsidRPr="001B13A4">
          <w:rPr>
            <w:rStyle w:val="Hyperlink"/>
            <w:noProof/>
          </w:rPr>
          <w:t>2.1.1789</w:t>
        </w:r>
        <w:r>
          <w:rPr>
            <w:rFonts w:asciiTheme="minorHAnsi" w:eastAsiaTheme="minorEastAsia" w:hAnsiTheme="minorHAnsi" w:cstheme="minorBidi"/>
            <w:noProof/>
            <w:sz w:val="22"/>
            <w:szCs w:val="22"/>
          </w:rPr>
          <w:tab/>
        </w:r>
        <w:r w:rsidRPr="001B13A4">
          <w:rPr>
            <w:rStyle w:val="Hyperlink"/>
            <w:noProof/>
          </w:rPr>
          <w:t>Part 4 Section 19.1, VML</w:t>
        </w:r>
        <w:r>
          <w:rPr>
            <w:noProof/>
            <w:webHidden/>
          </w:rPr>
          <w:tab/>
        </w:r>
        <w:r>
          <w:rPr>
            <w:noProof/>
            <w:webHidden/>
          </w:rPr>
          <w:fldChar w:fldCharType="begin"/>
        </w:r>
        <w:r>
          <w:rPr>
            <w:noProof/>
            <w:webHidden/>
          </w:rPr>
          <w:instrText xml:space="preserve"> PAGEREF _Toc181684825 \h </w:instrText>
        </w:r>
        <w:r>
          <w:rPr>
            <w:noProof/>
            <w:webHidden/>
          </w:rPr>
        </w:r>
        <w:r>
          <w:rPr>
            <w:noProof/>
            <w:webHidden/>
          </w:rPr>
          <w:fldChar w:fldCharType="separate"/>
        </w:r>
        <w:r>
          <w:rPr>
            <w:noProof/>
            <w:webHidden/>
          </w:rPr>
          <w:t>638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6" w:history="1">
        <w:r w:rsidRPr="001B13A4">
          <w:rPr>
            <w:rStyle w:val="Hyperlink"/>
            <w:noProof/>
          </w:rPr>
          <w:t>2.1.1790</w:t>
        </w:r>
        <w:r>
          <w:rPr>
            <w:rFonts w:asciiTheme="minorHAnsi" w:eastAsiaTheme="minorEastAsia" w:hAnsiTheme="minorHAnsi" w:cstheme="minorBidi"/>
            <w:noProof/>
            <w:sz w:val="22"/>
            <w:szCs w:val="22"/>
          </w:rPr>
          <w:tab/>
        </w:r>
        <w:r w:rsidRPr="001B13A4">
          <w:rPr>
            <w:rStyle w:val="Hyperlink"/>
            <w:noProof/>
          </w:rPr>
          <w:t>Part 4 Section 19.1.2.1, arc (Arc Segment)</w:t>
        </w:r>
        <w:r>
          <w:rPr>
            <w:noProof/>
            <w:webHidden/>
          </w:rPr>
          <w:tab/>
        </w:r>
        <w:r>
          <w:rPr>
            <w:noProof/>
            <w:webHidden/>
          </w:rPr>
          <w:fldChar w:fldCharType="begin"/>
        </w:r>
        <w:r>
          <w:rPr>
            <w:noProof/>
            <w:webHidden/>
          </w:rPr>
          <w:instrText xml:space="preserve"> PAGEREF _Toc181684826 \h </w:instrText>
        </w:r>
        <w:r>
          <w:rPr>
            <w:noProof/>
            <w:webHidden/>
          </w:rPr>
        </w:r>
        <w:r>
          <w:rPr>
            <w:noProof/>
            <w:webHidden/>
          </w:rPr>
          <w:fldChar w:fldCharType="separate"/>
        </w:r>
        <w:r>
          <w:rPr>
            <w:noProof/>
            <w:webHidden/>
          </w:rPr>
          <w:t>639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7" w:history="1">
        <w:r w:rsidRPr="001B13A4">
          <w:rPr>
            <w:rStyle w:val="Hyperlink"/>
            <w:noProof/>
          </w:rPr>
          <w:t>2.1.1791</w:t>
        </w:r>
        <w:r>
          <w:rPr>
            <w:rFonts w:asciiTheme="minorHAnsi" w:eastAsiaTheme="minorEastAsia" w:hAnsiTheme="minorHAnsi" w:cstheme="minorBidi"/>
            <w:noProof/>
            <w:sz w:val="22"/>
            <w:szCs w:val="22"/>
          </w:rPr>
          <w:tab/>
        </w:r>
        <w:r w:rsidRPr="001B13A4">
          <w:rPr>
            <w:rStyle w:val="Hyperlink"/>
            <w:noProof/>
          </w:rPr>
          <w:t>Part 4 Section 19.1.2.2, background (Document Background)</w:t>
        </w:r>
        <w:r>
          <w:rPr>
            <w:noProof/>
            <w:webHidden/>
          </w:rPr>
          <w:tab/>
        </w:r>
        <w:r>
          <w:rPr>
            <w:noProof/>
            <w:webHidden/>
          </w:rPr>
          <w:fldChar w:fldCharType="begin"/>
        </w:r>
        <w:r>
          <w:rPr>
            <w:noProof/>
            <w:webHidden/>
          </w:rPr>
          <w:instrText xml:space="preserve"> PAGEREF _Toc181684827 \h </w:instrText>
        </w:r>
        <w:r>
          <w:rPr>
            <w:noProof/>
            <w:webHidden/>
          </w:rPr>
        </w:r>
        <w:r>
          <w:rPr>
            <w:noProof/>
            <w:webHidden/>
          </w:rPr>
          <w:fldChar w:fldCharType="separate"/>
        </w:r>
        <w:r>
          <w:rPr>
            <w:noProof/>
            <w:webHidden/>
          </w:rPr>
          <w:t>647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8" w:history="1">
        <w:r w:rsidRPr="001B13A4">
          <w:rPr>
            <w:rStyle w:val="Hyperlink"/>
            <w:noProof/>
          </w:rPr>
          <w:t>2.1.1792</w:t>
        </w:r>
        <w:r>
          <w:rPr>
            <w:rFonts w:asciiTheme="minorHAnsi" w:eastAsiaTheme="minorEastAsia" w:hAnsiTheme="minorHAnsi" w:cstheme="minorBidi"/>
            <w:noProof/>
            <w:sz w:val="22"/>
            <w:szCs w:val="22"/>
          </w:rPr>
          <w:tab/>
        </w:r>
        <w:r w:rsidRPr="001B13A4">
          <w:rPr>
            <w:rStyle w:val="Hyperlink"/>
            <w:noProof/>
          </w:rPr>
          <w:t>Part 4 Section 19.1.2.3, curve (Bezier Curve)</w:t>
        </w:r>
        <w:r>
          <w:rPr>
            <w:noProof/>
            <w:webHidden/>
          </w:rPr>
          <w:tab/>
        </w:r>
        <w:r>
          <w:rPr>
            <w:noProof/>
            <w:webHidden/>
          </w:rPr>
          <w:fldChar w:fldCharType="begin"/>
        </w:r>
        <w:r>
          <w:rPr>
            <w:noProof/>
            <w:webHidden/>
          </w:rPr>
          <w:instrText xml:space="preserve"> PAGEREF _Toc181684828 \h </w:instrText>
        </w:r>
        <w:r>
          <w:rPr>
            <w:noProof/>
            <w:webHidden/>
          </w:rPr>
        </w:r>
        <w:r>
          <w:rPr>
            <w:noProof/>
            <w:webHidden/>
          </w:rPr>
          <w:fldChar w:fldCharType="separate"/>
        </w:r>
        <w:r>
          <w:rPr>
            <w:noProof/>
            <w:webHidden/>
          </w:rPr>
          <w:t>647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29" w:history="1">
        <w:r w:rsidRPr="001B13A4">
          <w:rPr>
            <w:rStyle w:val="Hyperlink"/>
            <w:noProof/>
          </w:rPr>
          <w:t>2.1.1793</w:t>
        </w:r>
        <w:r>
          <w:rPr>
            <w:rFonts w:asciiTheme="minorHAnsi" w:eastAsiaTheme="minorEastAsia" w:hAnsiTheme="minorHAnsi" w:cstheme="minorBidi"/>
            <w:noProof/>
            <w:sz w:val="22"/>
            <w:szCs w:val="22"/>
          </w:rPr>
          <w:tab/>
        </w:r>
        <w:r w:rsidRPr="001B13A4">
          <w:rPr>
            <w:rStyle w:val="Hyperlink"/>
            <w:noProof/>
          </w:rPr>
          <w:t>Part 4 Section 19.1.2.4, f (Single Formula)</w:t>
        </w:r>
        <w:r>
          <w:rPr>
            <w:noProof/>
            <w:webHidden/>
          </w:rPr>
          <w:tab/>
        </w:r>
        <w:r>
          <w:rPr>
            <w:noProof/>
            <w:webHidden/>
          </w:rPr>
          <w:fldChar w:fldCharType="begin"/>
        </w:r>
        <w:r>
          <w:rPr>
            <w:noProof/>
            <w:webHidden/>
          </w:rPr>
          <w:instrText xml:space="preserve"> PAGEREF _Toc181684829 \h </w:instrText>
        </w:r>
        <w:r>
          <w:rPr>
            <w:noProof/>
            <w:webHidden/>
          </w:rPr>
        </w:r>
        <w:r>
          <w:rPr>
            <w:noProof/>
            <w:webHidden/>
          </w:rPr>
          <w:fldChar w:fldCharType="separate"/>
        </w:r>
        <w:r>
          <w:rPr>
            <w:noProof/>
            <w:webHidden/>
          </w:rPr>
          <w:t>648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0" w:history="1">
        <w:r w:rsidRPr="001B13A4">
          <w:rPr>
            <w:rStyle w:val="Hyperlink"/>
            <w:noProof/>
          </w:rPr>
          <w:t>2.1.1794</w:t>
        </w:r>
        <w:r>
          <w:rPr>
            <w:rFonts w:asciiTheme="minorHAnsi" w:eastAsiaTheme="minorEastAsia" w:hAnsiTheme="minorHAnsi" w:cstheme="minorBidi"/>
            <w:noProof/>
            <w:sz w:val="22"/>
            <w:szCs w:val="22"/>
          </w:rPr>
          <w:tab/>
        </w:r>
        <w:r w:rsidRPr="001B13A4">
          <w:rPr>
            <w:rStyle w:val="Hyperlink"/>
            <w:noProof/>
          </w:rPr>
          <w:t>Part 4 Section 19.1.2.5, fill (Shape Fill Properties)</w:t>
        </w:r>
        <w:r>
          <w:rPr>
            <w:noProof/>
            <w:webHidden/>
          </w:rPr>
          <w:tab/>
        </w:r>
        <w:r>
          <w:rPr>
            <w:noProof/>
            <w:webHidden/>
          </w:rPr>
          <w:fldChar w:fldCharType="begin"/>
        </w:r>
        <w:r>
          <w:rPr>
            <w:noProof/>
            <w:webHidden/>
          </w:rPr>
          <w:instrText xml:space="preserve"> PAGEREF _Toc181684830 \h </w:instrText>
        </w:r>
        <w:r>
          <w:rPr>
            <w:noProof/>
            <w:webHidden/>
          </w:rPr>
        </w:r>
        <w:r>
          <w:rPr>
            <w:noProof/>
            <w:webHidden/>
          </w:rPr>
          <w:fldChar w:fldCharType="separate"/>
        </w:r>
        <w:r>
          <w:rPr>
            <w:noProof/>
            <w:webHidden/>
          </w:rPr>
          <w:t>648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1" w:history="1">
        <w:r w:rsidRPr="001B13A4">
          <w:rPr>
            <w:rStyle w:val="Hyperlink"/>
            <w:noProof/>
          </w:rPr>
          <w:t>2.1.1795</w:t>
        </w:r>
        <w:r>
          <w:rPr>
            <w:rFonts w:asciiTheme="minorHAnsi" w:eastAsiaTheme="minorEastAsia" w:hAnsiTheme="minorHAnsi" w:cstheme="minorBidi"/>
            <w:noProof/>
            <w:sz w:val="22"/>
            <w:szCs w:val="22"/>
          </w:rPr>
          <w:tab/>
        </w:r>
        <w:r w:rsidRPr="001B13A4">
          <w:rPr>
            <w:rStyle w:val="Hyperlink"/>
            <w:noProof/>
          </w:rPr>
          <w:t>Part 4 Section 19.1.2.6, formulas (Set of Formulas)</w:t>
        </w:r>
        <w:r>
          <w:rPr>
            <w:noProof/>
            <w:webHidden/>
          </w:rPr>
          <w:tab/>
        </w:r>
        <w:r>
          <w:rPr>
            <w:noProof/>
            <w:webHidden/>
          </w:rPr>
          <w:fldChar w:fldCharType="begin"/>
        </w:r>
        <w:r>
          <w:rPr>
            <w:noProof/>
            <w:webHidden/>
          </w:rPr>
          <w:instrText xml:space="preserve"> PAGEREF _Toc181684831 \h </w:instrText>
        </w:r>
        <w:r>
          <w:rPr>
            <w:noProof/>
            <w:webHidden/>
          </w:rPr>
        </w:r>
        <w:r>
          <w:rPr>
            <w:noProof/>
            <w:webHidden/>
          </w:rPr>
          <w:fldChar w:fldCharType="separate"/>
        </w:r>
        <w:r>
          <w:rPr>
            <w:noProof/>
            <w:webHidden/>
          </w:rPr>
          <w:t>650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2" w:history="1">
        <w:r w:rsidRPr="001B13A4">
          <w:rPr>
            <w:rStyle w:val="Hyperlink"/>
            <w:noProof/>
          </w:rPr>
          <w:t>2.1.1796</w:t>
        </w:r>
        <w:r>
          <w:rPr>
            <w:rFonts w:asciiTheme="minorHAnsi" w:eastAsiaTheme="minorEastAsia" w:hAnsiTheme="minorHAnsi" w:cstheme="minorBidi"/>
            <w:noProof/>
            <w:sz w:val="22"/>
            <w:szCs w:val="22"/>
          </w:rPr>
          <w:tab/>
        </w:r>
        <w:r w:rsidRPr="001B13A4">
          <w:rPr>
            <w:rStyle w:val="Hyperlink"/>
            <w:noProof/>
          </w:rPr>
          <w:t>Part 4 Section 19.1.2.7, group (Shape Group)</w:t>
        </w:r>
        <w:r>
          <w:rPr>
            <w:noProof/>
            <w:webHidden/>
          </w:rPr>
          <w:tab/>
        </w:r>
        <w:r>
          <w:rPr>
            <w:noProof/>
            <w:webHidden/>
          </w:rPr>
          <w:fldChar w:fldCharType="begin"/>
        </w:r>
        <w:r>
          <w:rPr>
            <w:noProof/>
            <w:webHidden/>
          </w:rPr>
          <w:instrText xml:space="preserve"> PAGEREF _Toc181684832 \h </w:instrText>
        </w:r>
        <w:r>
          <w:rPr>
            <w:noProof/>
            <w:webHidden/>
          </w:rPr>
        </w:r>
        <w:r>
          <w:rPr>
            <w:noProof/>
            <w:webHidden/>
          </w:rPr>
          <w:fldChar w:fldCharType="separate"/>
        </w:r>
        <w:r>
          <w:rPr>
            <w:noProof/>
            <w:webHidden/>
          </w:rPr>
          <w:t>650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3" w:history="1">
        <w:r w:rsidRPr="001B13A4">
          <w:rPr>
            <w:rStyle w:val="Hyperlink"/>
            <w:noProof/>
          </w:rPr>
          <w:t>2.1.1797</w:t>
        </w:r>
        <w:r>
          <w:rPr>
            <w:rFonts w:asciiTheme="minorHAnsi" w:eastAsiaTheme="minorEastAsia" w:hAnsiTheme="minorHAnsi" w:cstheme="minorBidi"/>
            <w:noProof/>
            <w:sz w:val="22"/>
            <w:szCs w:val="22"/>
          </w:rPr>
          <w:tab/>
        </w:r>
        <w:r w:rsidRPr="001B13A4">
          <w:rPr>
            <w:rStyle w:val="Hyperlink"/>
            <w:noProof/>
          </w:rPr>
          <w:t>Part 4 Section 19.1.2.8, h (Shape Handle)</w:t>
        </w:r>
        <w:r>
          <w:rPr>
            <w:noProof/>
            <w:webHidden/>
          </w:rPr>
          <w:tab/>
        </w:r>
        <w:r>
          <w:rPr>
            <w:noProof/>
            <w:webHidden/>
          </w:rPr>
          <w:fldChar w:fldCharType="begin"/>
        </w:r>
        <w:r>
          <w:rPr>
            <w:noProof/>
            <w:webHidden/>
          </w:rPr>
          <w:instrText xml:space="preserve"> PAGEREF _Toc181684833 \h </w:instrText>
        </w:r>
        <w:r>
          <w:rPr>
            <w:noProof/>
            <w:webHidden/>
          </w:rPr>
        </w:r>
        <w:r>
          <w:rPr>
            <w:noProof/>
            <w:webHidden/>
          </w:rPr>
          <w:fldChar w:fldCharType="separate"/>
        </w:r>
        <w:r>
          <w:rPr>
            <w:noProof/>
            <w:webHidden/>
          </w:rPr>
          <w:t>650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4" w:history="1">
        <w:r w:rsidRPr="001B13A4">
          <w:rPr>
            <w:rStyle w:val="Hyperlink"/>
            <w:noProof/>
          </w:rPr>
          <w:t>2.1.1798</w:t>
        </w:r>
        <w:r>
          <w:rPr>
            <w:rFonts w:asciiTheme="minorHAnsi" w:eastAsiaTheme="minorEastAsia" w:hAnsiTheme="minorHAnsi" w:cstheme="minorBidi"/>
            <w:noProof/>
            <w:sz w:val="22"/>
            <w:szCs w:val="22"/>
          </w:rPr>
          <w:tab/>
        </w:r>
        <w:r w:rsidRPr="001B13A4">
          <w:rPr>
            <w:rStyle w:val="Hyperlink"/>
            <w:noProof/>
          </w:rPr>
          <w:t>Part 4 Section 19.1.2.9, handles (Set of Handles)</w:t>
        </w:r>
        <w:r>
          <w:rPr>
            <w:noProof/>
            <w:webHidden/>
          </w:rPr>
          <w:tab/>
        </w:r>
        <w:r>
          <w:rPr>
            <w:noProof/>
            <w:webHidden/>
          </w:rPr>
          <w:fldChar w:fldCharType="begin"/>
        </w:r>
        <w:r>
          <w:rPr>
            <w:noProof/>
            <w:webHidden/>
          </w:rPr>
          <w:instrText xml:space="preserve"> PAGEREF _Toc181684834 \h </w:instrText>
        </w:r>
        <w:r>
          <w:rPr>
            <w:noProof/>
            <w:webHidden/>
          </w:rPr>
        </w:r>
        <w:r>
          <w:rPr>
            <w:noProof/>
            <w:webHidden/>
          </w:rPr>
          <w:fldChar w:fldCharType="separate"/>
        </w:r>
        <w:r>
          <w:rPr>
            <w:noProof/>
            <w:webHidden/>
          </w:rPr>
          <w:t>651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5" w:history="1">
        <w:r w:rsidRPr="001B13A4">
          <w:rPr>
            <w:rStyle w:val="Hyperlink"/>
            <w:noProof/>
          </w:rPr>
          <w:t>2.1.1799</w:t>
        </w:r>
        <w:r>
          <w:rPr>
            <w:rFonts w:asciiTheme="minorHAnsi" w:eastAsiaTheme="minorEastAsia" w:hAnsiTheme="minorHAnsi" w:cstheme="minorBidi"/>
            <w:noProof/>
            <w:sz w:val="22"/>
            <w:szCs w:val="22"/>
          </w:rPr>
          <w:tab/>
        </w:r>
        <w:r w:rsidRPr="001B13A4">
          <w:rPr>
            <w:rStyle w:val="Hyperlink"/>
            <w:noProof/>
          </w:rPr>
          <w:t>Part 4 Section 19.1.2.10, image (Image File)</w:t>
        </w:r>
        <w:r>
          <w:rPr>
            <w:noProof/>
            <w:webHidden/>
          </w:rPr>
          <w:tab/>
        </w:r>
        <w:r>
          <w:rPr>
            <w:noProof/>
            <w:webHidden/>
          </w:rPr>
          <w:fldChar w:fldCharType="begin"/>
        </w:r>
        <w:r>
          <w:rPr>
            <w:noProof/>
            <w:webHidden/>
          </w:rPr>
          <w:instrText xml:space="preserve"> PAGEREF _Toc181684835 \h </w:instrText>
        </w:r>
        <w:r>
          <w:rPr>
            <w:noProof/>
            <w:webHidden/>
          </w:rPr>
        </w:r>
        <w:r>
          <w:rPr>
            <w:noProof/>
            <w:webHidden/>
          </w:rPr>
          <w:fldChar w:fldCharType="separate"/>
        </w:r>
        <w:r>
          <w:rPr>
            <w:noProof/>
            <w:webHidden/>
          </w:rPr>
          <w:t>651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6" w:history="1">
        <w:r w:rsidRPr="001B13A4">
          <w:rPr>
            <w:rStyle w:val="Hyperlink"/>
            <w:noProof/>
          </w:rPr>
          <w:t>2.1.1800</w:t>
        </w:r>
        <w:r>
          <w:rPr>
            <w:rFonts w:asciiTheme="minorHAnsi" w:eastAsiaTheme="minorEastAsia" w:hAnsiTheme="minorHAnsi" w:cstheme="minorBidi"/>
            <w:noProof/>
            <w:sz w:val="22"/>
            <w:szCs w:val="22"/>
          </w:rPr>
          <w:tab/>
        </w:r>
        <w:r w:rsidRPr="001B13A4">
          <w:rPr>
            <w:rStyle w:val="Hyperlink"/>
            <w:noProof/>
          </w:rPr>
          <w:t>Part 4 Section 19.1.2.11, imagedata (Image Data)</w:t>
        </w:r>
        <w:r>
          <w:rPr>
            <w:noProof/>
            <w:webHidden/>
          </w:rPr>
          <w:tab/>
        </w:r>
        <w:r>
          <w:rPr>
            <w:noProof/>
            <w:webHidden/>
          </w:rPr>
          <w:fldChar w:fldCharType="begin"/>
        </w:r>
        <w:r>
          <w:rPr>
            <w:noProof/>
            <w:webHidden/>
          </w:rPr>
          <w:instrText xml:space="preserve"> PAGEREF _Toc181684836 \h </w:instrText>
        </w:r>
        <w:r>
          <w:rPr>
            <w:noProof/>
            <w:webHidden/>
          </w:rPr>
        </w:r>
        <w:r>
          <w:rPr>
            <w:noProof/>
            <w:webHidden/>
          </w:rPr>
          <w:fldChar w:fldCharType="separate"/>
        </w:r>
        <w:r>
          <w:rPr>
            <w:noProof/>
            <w:webHidden/>
          </w:rPr>
          <w:t>652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7" w:history="1">
        <w:r w:rsidRPr="001B13A4">
          <w:rPr>
            <w:rStyle w:val="Hyperlink"/>
            <w:noProof/>
          </w:rPr>
          <w:t>2.1.1801</w:t>
        </w:r>
        <w:r>
          <w:rPr>
            <w:rFonts w:asciiTheme="minorHAnsi" w:eastAsiaTheme="minorEastAsia" w:hAnsiTheme="minorHAnsi" w:cstheme="minorBidi"/>
            <w:noProof/>
            <w:sz w:val="22"/>
            <w:szCs w:val="22"/>
          </w:rPr>
          <w:tab/>
        </w:r>
        <w:r w:rsidRPr="001B13A4">
          <w:rPr>
            <w:rStyle w:val="Hyperlink"/>
            <w:noProof/>
          </w:rPr>
          <w:t>Part 4 Section 19.1.2.12, line (Line)</w:t>
        </w:r>
        <w:r>
          <w:rPr>
            <w:noProof/>
            <w:webHidden/>
          </w:rPr>
          <w:tab/>
        </w:r>
        <w:r>
          <w:rPr>
            <w:noProof/>
            <w:webHidden/>
          </w:rPr>
          <w:fldChar w:fldCharType="begin"/>
        </w:r>
        <w:r>
          <w:rPr>
            <w:noProof/>
            <w:webHidden/>
          </w:rPr>
          <w:instrText xml:space="preserve"> PAGEREF _Toc181684837 \h </w:instrText>
        </w:r>
        <w:r>
          <w:rPr>
            <w:noProof/>
            <w:webHidden/>
          </w:rPr>
        </w:r>
        <w:r>
          <w:rPr>
            <w:noProof/>
            <w:webHidden/>
          </w:rPr>
          <w:fldChar w:fldCharType="separate"/>
        </w:r>
        <w:r>
          <w:rPr>
            <w:noProof/>
            <w:webHidden/>
          </w:rPr>
          <w:t>653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8" w:history="1">
        <w:r w:rsidRPr="001B13A4">
          <w:rPr>
            <w:rStyle w:val="Hyperlink"/>
            <w:noProof/>
          </w:rPr>
          <w:t>2.1.1802</w:t>
        </w:r>
        <w:r>
          <w:rPr>
            <w:rFonts w:asciiTheme="minorHAnsi" w:eastAsiaTheme="minorEastAsia" w:hAnsiTheme="minorHAnsi" w:cstheme="minorBidi"/>
            <w:noProof/>
            <w:sz w:val="22"/>
            <w:szCs w:val="22"/>
          </w:rPr>
          <w:tab/>
        </w:r>
        <w:r w:rsidRPr="001B13A4">
          <w:rPr>
            <w:rStyle w:val="Hyperlink"/>
            <w:noProof/>
          </w:rPr>
          <w:t>Part 4 Section 19.1.2.13, oval (Oval)</w:t>
        </w:r>
        <w:r>
          <w:rPr>
            <w:noProof/>
            <w:webHidden/>
          </w:rPr>
          <w:tab/>
        </w:r>
        <w:r>
          <w:rPr>
            <w:noProof/>
            <w:webHidden/>
          </w:rPr>
          <w:fldChar w:fldCharType="begin"/>
        </w:r>
        <w:r>
          <w:rPr>
            <w:noProof/>
            <w:webHidden/>
          </w:rPr>
          <w:instrText xml:space="preserve"> PAGEREF _Toc181684838 \h </w:instrText>
        </w:r>
        <w:r>
          <w:rPr>
            <w:noProof/>
            <w:webHidden/>
          </w:rPr>
        </w:r>
        <w:r>
          <w:rPr>
            <w:noProof/>
            <w:webHidden/>
          </w:rPr>
          <w:fldChar w:fldCharType="separate"/>
        </w:r>
        <w:r>
          <w:rPr>
            <w:noProof/>
            <w:webHidden/>
          </w:rPr>
          <w:t>654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39" w:history="1">
        <w:r w:rsidRPr="001B13A4">
          <w:rPr>
            <w:rStyle w:val="Hyperlink"/>
            <w:noProof/>
          </w:rPr>
          <w:t>2.1.1803</w:t>
        </w:r>
        <w:r>
          <w:rPr>
            <w:rFonts w:asciiTheme="minorHAnsi" w:eastAsiaTheme="minorEastAsia" w:hAnsiTheme="minorHAnsi" w:cstheme="minorBidi"/>
            <w:noProof/>
            <w:sz w:val="22"/>
            <w:szCs w:val="22"/>
          </w:rPr>
          <w:tab/>
        </w:r>
        <w:r w:rsidRPr="001B13A4">
          <w:rPr>
            <w:rStyle w:val="Hyperlink"/>
            <w:noProof/>
          </w:rPr>
          <w:t>Part 4 Section 19.1.2.14, path (Shape Path)</w:t>
        </w:r>
        <w:r>
          <w:rPr>
            <w:noProof/>
            <w:webHidden/>
          </w:rPr>
          <w:tab/>
        </w:r>
        <w:r>
          <w:rPr>
            <w:noProof/>
            <w:webHidden/>
          </w:rPr>
          <w:fldChar w:fldCharType="begin"/>
        </w:r>
        <w:r>
          <w:rPr>
            <w:noProof/>
            <w:webHidden/>
          </w:rPr>
          <w:instrText xml:space="preserve"> PAGEREF _Toc181684839 \h </w:instrText>
        </w:r>
        <w:r>
          <w:rPr>
            <w:noProof/>
            <w:webHidden/>
          </w:rPr>
        </w:r>
        <w:r>
          <w:rPr>
            <w:noProof/>
            <w:webHidden/>
          </w:rPr>
          <w:fldChar w:fldCharType="separate"/>
        </w:r>
        <w:r>
          <w:rPr>
            <w:noProof/>
            <w:webHidden/>
          </w:rPr>
          <w:t>654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0" w:history="1">
        <w:r w:rsidRPr="001B13A4">
          <w:rPr>
            <w:rStyle w:val="Hyperlink"/>
            <w:noProof/>
          </w:rPr>
          <w:t>2.1.1804</w:t>
        </w:r>
        <w:r>
          <w:rPr>
            <w:rFonts w:asciiTheme="minorHAnsi" w:eastAsiaTheme="minorEastAsia" w:hAnsiTheme="minorHAnsi" w:cstheme="minorBidi"/>
            <w:noProof/>
            <w:sz w:val="22"/>
            <w:szCs w:val="22"/>
          </w:rPr>
          <w:tab/>
        </w:r>
        <w:r w:rsidRPr="001B13A4">
          <w:rPr>
            <w:rStyle w:val="Hyperlink"/>
            <w:noProof/>
          </w:rPr>
          <w:t>Part 4 Section 19.1.2.15, polyline (Multiple Path Line)</w:t>
        </w:r>
        <w:r>
          <w:rPr>
            <w:noProof/>
            <w:webHidden/>
          </w:rPr>
          <w:tab/>
        </w:r>
        <w:r>
          <w:rPr>
            <w:noProof/>
            <w:webHidden/>
          </w:rPr>
          <w:fldChar w:fldCharType="begin"/>
        </w:r>
        <w:r>
          <w:rPr>
            <w:noProof/>
            <w:webHidden/>
          </w:rPr>
          <w:instrText xml:space="preserve"> PAGEREF _Toc181684840 \h </w:instrText>
        </w:r>
        <w:r>
          <w:rPr>
            <w:noProof/>
            <w:webHidden/>
          </w:rPr>
        </w:r>
        <w:r>
          <w:rPr>
            <w:noProof/>
            <w:webHidden/>
          </w:rPr>
          <w:fldChar w:fldCharType="separate"/>
        </w:r>
        <w:r>
          <w:rPr>
            <w:noProof/>
            <w:webHidden/>
          </w:rPr>
          <w:t>657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1" w:history="1">
        <w:r w:rsidRPr="001B13A4">
          <w:rPr>
            <w:rStyle w:val="Hyperlink"/>
            <w:noProof/>
          </w:rPr>
          <w:t>2.1.1805</w:t>
        </w:r>
        <w:r>
          <w:rPr>
            <w:rFonts w:asciiTheme="minorHAnsi" w:eastAsiaTheme="minorEastAsia" w:hAnsiTheme="minorHAnsi" w:cstheme="minorBidi"/>
            <w:noProof/>
            <w:sz w:val="22"/>
            <w:szCs w:val="22"/>
          </w:rPr>
          <w:tab/>
        </w:r>
        <w:r w:rsidRPr="001B13A4">
          <w:rPr>
            <w:rStyle w:val="Hyperlink"/>
            <w:noProof/>
          </w:rPr>
          <w:t>Part 4 Section 19.1.2.16, rect (Rectangle)</w:t>
        </w:r>
        <w:r>
          <w:rPr>
            <w:noProof/>
            <w:webHidden/>
          </w:rPr>
          <w:tab/>
        </w:r>
        <w:r>
          <w:rPr>
            <w:noProof/>
            <w:webHidden/>
          </w:rPr>
          <w:fldChar w:fldCharType="begin"/>
        </w:r>
        <w:r>
          <w:rPr>
            <w:noProof/>
            <w:webHidden/>
          </w:rPr>
          <w:instrText xml:space="preserve"> PAGEREF _Toc181684841 \h </w:instrText>
        </w:r>
        <w:r>
          <w:rPr>
            <w:noProof/>
            <w:webHidden/>
          </w:rPr>
        </w:r>
        <w:r>
          <w:rPr>
            <w:noProof/>
            <w:webHidden/>
          </w:rPr>
          <w:fldChar w:fldCharType="separate"/>
        </w:r>
        <w:r>
          <w:rPr>
            <w:noProof/>
            <w:webHidden/>
          </w:rPr>
          <w:t>657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2" w:history="1">
        <w:r w:rsidRPr="001B13A4">
          <w:rPr>
            <w:rStyle w:val="Hyperlink"/>
            <w:noProof/>
          </w:rPr>
          <w:t>2.1.1806</w:t>
        </w:r>
        <w:r>
          <w:rPr>
            <w:rFonts w:asciiTheme="minorHAnsi" w:eastAsiaTheme="minorEastAsia" w:hAnsiTheme="minorHAnsi" w:cstheme="minorBidi"/>
            <w:noProof/>
            <w:sz w:val="22"/>
            <w:szCs w:val="22"/>
          </w:rPr>
          <w:tab/>
        </w:r>
        <w:r w:rsidRPr="001B13A4">
          <w:rPr>
            <w:rStyle w:val="Hyperlink"/>
            <w:noProof/>
          </w:rPr>
          <w:t>Part 4 Section 19.1.2.17, roundrect (Rounded Rectangle)</w:t>
        </w:r>
        <w:r>
          <w:rPr>
            <w:noProof/>
            <w:webHidden/>
          </w:rPr>
          <w:tab/>
        </w:r>
        <w:r>
          <w:rPr>
            <w:noProof/>
            <w:webHidden/>
          </w:rPr>
          <w:fldChar w:fldCharType="begin"/>
        </w:r>
        <w:r>
          <w:rPr>
            <w:noProof/>
            <w:webHidden/>
          </w:rPr>
          <w:instrText xml:space="preserve"> PAGEREF _Toc181684842 \h </w:instrText>
        </w:r>
        <w:r>
          <w:rPr>
            <w:noProof/>
            <w:webHidden/>
          </w:rPr>
        </w:r>
        <w:r>
          <w:rPr>
            <w:noProof/>
            <w:webHidden/>
          </w:rPr>
          <w:fldChar w:fldCharType="separate"/>
        </w:r>
        <w:r>
          <w:rPr>
            <w:noProof/>
            <w:webHidden/>
          </w:rPr>
          <w:t>658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3" w:history="1">
        <w:r w:rsidRPr="001B13A4">
          <w:rPr>
            <w:rStyle w:val="Hyperlink"/>
            <w:noProof/>
          </w:rPr>
          <w:t>2.1.1807</w:t>
        </w:r>
        <w:r>
          <w:rPr>
            <w:rFonts w:asciiTheme="minorHAnsi" w:eastAsiaTheme="minorEastAsia" w:hAnsiTheme="minorHAnsi" w:cstheme="minorBidi"/>
            <w:noProof/>
            <w:sz w:val="22"/>
            <w:szCs w:val="22"/>
          </w:rPr>
          <w:tab/>
        </w:r>
        <w:r w:rsidRPr="001B13A4">
          <w:rPr>
            <w:rStyle w:val="Hyperlink"/>
            <w:noProof/>
          </w:rPr>
          <w:t>Part 4 Section 19.1.2.18, shadow (Shadow Effect)</w:t>
        </w:r>
        <w:r>
          <w:rPr>
            <w:noProof/>
            <w:webHidden/>
          </w:rPr>
          <w:tab/>
        </w:r>
        <w:r>
          <w:rPr>
            <w:noProof/>
            <w:webHidden/>
          </w:rPr>
          <w:fldChar w:fldCharType="begin"/>
        </w:r>
        <w:r>
          <w:rPr>
            <w:noProof/>
            <w:webHidden/>
          </w:rPr>
          <w:instrText xml:space="preserve"> PAGEREF _Toc181684843 \h </w:instrText>
        </w:r>
        <w:r>
          <w:rPr>
            <w:noProof/>
            <w:webHidden/>
          </w:rPr>
        </w:r>
        <w:r>
          <w:rPr>
            <w:noProof/>
            <w:webHidden/>
          </w:rPr>
          <w:fldChar w:fldCharType="separate"/>
        </w:r>
        <w:r>
          <w:rPr>
            <w:noProof/>
            <w:webHidden/>
          </w:rPr>
          <w:t>658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4" w:history="1">
        <w:r w:rsidRPr="001B13A4">
          <w:rPr>
            <w:rStyle w:val="Hyperlink"/>
            <w:noProof/>
          </w:rPr>
          <w:t>2.1.1808</w:t>
        </w:r>
        <w:r>
          <w:rPr>
            <w:rFonts w:asciiTheme="minorHAnsi" w:eastAsiaTheme="minorEastAsia" w:hAnsiTheme="minorHAnsi" w:cstheme="minorBidi"/>
            <w:noProof/>
            <w:sz w:val="22"/>
            <w:szCs w:val="22"/>
          </w:rPr>
          <w:tab/>
        </w:r>
        <w:r w:rsidRPr="001B13A4">
          <w:rPr>
            <w:rStyle w:val="Hyperlink"/>
            <w:noProof/>
          </w:rPr>
          <w:t>Part 4 Section 19.1.2.19, shape (Shape Definition)</w:t>
        </w:r>
        <w:r>
          <w:rPr>
            <w:noProof/>
            <w:webHidden/>
          </w:rPr>
          <w:tab/>
        </w:r>
        <w:r>
          <w:rPr>
            <w:noProof/>
            <w:webHidden/>
          </w:rPr>
          <w:fldChar w:fldCharType="begin"/>
        </w:r>
        <w:r>
          <w:rPr>
            <w:noProof/>
            <w:webHidden/>
          </w:rPr>
          <w:instrText xml:space="preserve"> PAGEREF _Toc181684844 \h </w:instrText>
        </w:r>
        <w:r>
          <w:rPr>
            <w:noProof/>
            <w:webHidden/>
          </w:rPr>
        </w:r>
        <w:r>
          <w:rPr>
            <w:noProof/>
            <w:webHidden/>
          </w:rPr>
          <w:fldChar w:fldCharType="separate"/>
        </w:r>
        <w:r>
          <w:rPr>
            <w:noProof/>
            <w:webHidden/>
          </w:rPr>
          <w:t>659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5" w:history="1">
        <w:r w:rsidRPr="001B13A4">
          <w:rPr>
            <w:rStyle w:val="Hyperlink"/>
            <w:noProof/>
          </w:rPr>
          <w:t>2.1.1809</w:t>
        </w:r>
        <w:r>
          <w:rPr>
            <w:rFonts w:asciiTheme="minorHAnsi" w:eastAsiaTheme="minorEastAsia" w:hAnsiTheme="minorHAnsi" w:cstheme="minorBidi"/>
            <w:noProof/>
            <w:sz w:val="22"/>
            <w:szCs w:val="22"/>
          </w:rPr>
          <w:tab/>
        </w:r>
        <w:r w:rsidRPr="001B13A4">
          <w:rPr>
            <w:rStyle w:val="Hyperlink"/>
            <w:noProof/>
          </w:rPr>
          <w:t>Part 4 Section 19.1.2.20, shapetype (Shape Template)</w:t>
        </w:r>
        <w:r>
          <w:rPr>
            <w:noProof/>
            <w:webHidden/>
          </w:rPr>
          <w:tab/>
        </w:r>
        <w:r>
          <w:rPr>
            <w:noProof/>
            <w:webHidden/>
          </w:rPr>
          <w:fldChar w:fldCharType="begin"/>
        </w:r>
        <w:r>
          <w:rPr>
            <w:noProof/>
            <w:webHidden/>
          </w:rPr>
          <w:instrText xml:space="preserve"> PAGEREF _Toc181684845 \h </w:instrText>
        </w:r>
        <w:r>
          <w:rPr>
            <w:noProof/>
            <w:webHidden/>
          </w:rPr>
        </w:r>
        <w:r>
          <w:rPr>
            <w:noProof/>
            <w:webHidden/>
          </w:rPr>
          <w:fldChar w:fldCharType="separate"/>
        </w:r>
        <w:r>
          <w:rPr>
            <w:noProof/>
            <w:webHidden/>
          </w:rPr>
          <w:t>661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6" w:history="1">
        <w:r w:rsidRPr="001B13A4">
          <w:rPr>
            <w:rStyle w:val="Hyperlink"/>
            <w:noProof/>
          </w:rPr>
          <w:t>2.1.1810</w:t>
        </w:r>
        <w:r>
          <w:rPr>
            <w:rFonts w:asciiTheme="minorHAnsi" w:eastAsiaTheme="minorEastAsia" w:hAnsiTheme="minorHAnsi" w:cstheme="minorBidi"/>
            <w:noProof/>
            <w:sz w:val="22"/>
            <w:szCs w:val="22"/>
          </w:rPr>
          <w:tab/>
        </w:r>
        <w:r w:rsidRPr="001B13A4">
          <w:rPr>
            <w:rStyle w:val="Hyperlink"/>
            <w:noProof/>
          </w:rPr>
          <w:t>Part 4 Section 19.1.2.21, stroke (Line Stroke Settings)</w:t>
        </w:r>
        <w:r>
          <w:rPr>
            <w:noProof/>
            <w:webHidden/>
          </w:rPr>
          <w:tab/>
        </w:r>
        <w:r>
          <w:rPr>
            <w:noProof/>
            <w:webHidden/>
          </w:rPr>
          <w:fldChar w:fldCharType="begin"/>
        </w:r>
        <w:r>
          <w:rPr>
            <w:noProof/>
            <w:webHidden/>
          </w:rPr>
          <w:instrText xml:space="preserve"> PAGEREF _Toc181684846 \h </w:instrText>
        </w:r>
        <w:r>
          <w:rPr>
            <w:noProof/>
            <w:webHidden/>
          </w:rPr>
        </w:r>
        <w:r>
          <w:rPr>
            <w:noProof/>
            <w:webHidden/>
          </w:rPr>
          <w:fldChar w:fldCharType="separate"/>
        </w:r>
        <w:r>
          <w:rPr>
            <w:noProof/>
            <w:webHidden/>
          </w:rPr>
          <w:t>661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7" w:history="1">
        <w:r w:rsidRPr="001B13A4">
          <w:rPr>
            <w:rStyle w:val="Hyperlink"/>
            <w:noProof/>
          </w:rPr>
          <w:t>2.1.1811</w:t>
        </w:r>
        <w:r>
          <w:rPr>
            <w:rFonts w:asciiTheme="minorHAnsi" w:eastAsiaTheme="minorEastAsia" w:hAnsiTheme="minorHAnsi" w:cstheme="minorBidi"/>
            <w:noProof/>
            <w:sz w:val="22"/>
            <w:szCs w:val="22"/>
          </w:rPr>
          <w:tab/>
        </w:r>
        <w:r w:rsidRPr="001B13A4">
          <w:rPr>
            <w:rStyle w:val="Hyperlink"/>
            <w:noProof/>
          </w:rPr>
          <w:t>Part 4 Section 19.1.2.22, textbox (Text Box)</w:t>
        </w:r>
        <w:r>
          <w:rPr>
            <w:noProof/>
            <w:webHidden/>
          </w:rPr>
          <w:tab/>
        </w:r>
        <w:r>
          <w:rPr>
            <w:noProof/>
            <w:webHidden/>
          </w:rPr>
          <w:fldChar w:fldCharType="begin"/>
        </w:r>
        <w:r>
          <w:rPr>
            <w:noProof/>
            <w:webHidden/>
          </w:rPr>
          <w:instrText xml:space="preserve"> PAGEREF _Toc181684847 \h </w:instrText>
        </w:r>
        <w:r>
          <w:rPr>
            <w:noProof/>
            <w:webHidden/>
          </w:rPr>
        </w:r>
        <w:r>
          <w:rPr>
            <w:noProof/>
            <w:webHidden/>
          </w:rPr>
          <w:fldChar w:fldCharType="separate"/>
        </w:r>
        <w:r>
          <w:rPr>
            <w:noProof/>
            <w:webHidden/>
          </w:rPr>
          <w:t>662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8" w:history="1">
        <w:r w:rsidRPr="001B13A4">
          <w:rPr>
            <w:rStyle w:val="Hyperlink"/>
            <w:noProof/>
          </w:rPr>
          <w:t>2.1.1812</w:t>
        </w:r>
        <w:r>
          <w:rPr>
            <w:rFonts w:asciiTheme="minorHAnsi" w:eastAsiaTheme="minorEastAsia" w:hAnsiTheme="minorHAnsi" w:cstheme="minorBidi"/>
            <w:noProof/>
            <w:sz w:val="22"/>
            <w:szCs w:val="22"/>
          </w:rPr>
          <w:tab/>
        </w:r>
        <w:r w:rsidRPr="001B13A4">
          <w:rPr>
            <w:rStyle w:val="Hyperlink"/>
            <w:noProof/>
          </w:rPr>
          <w:t>Part 4 Section 19.1.2.23, textpath (Text Layout Path)</w:t>
        </w:r>
        <w:r>
          <w:rPr>
            <w:noProof/>
            <w:webHidden/>
          </w:rPr>
          <w:tab/>
        </w:r>
        <w:r>
          <w:rPr>
            <w:noProof/>
            <w:webHidden/>
          </w:rPr>
          <w:fldChar w:fldCharType="begin"/>
        </w:r>
        <w:r>
          <w:rPr>
            <w:noProof/>
            <w:webHidden/>
          </w:rPr>
          <w:instrText xml:space="preserve"> PAGEREF _Toc181684848 \h </w:instrText>
        </w:r>
        <w:r>
          <w:rPr>
            <w:noProof/>
            <w:webHidden/>
          </w:rPr>
        </w:r>
        <w:r>
          <w:rPr>
            <w:noProof/>
            <w:webHidden/>
          </w:rPr>
          <w:fldChar w:fldCharType="separate"/>
        </w:r>
        <w:r>
          <w:rPr>
            <w:noProof/>
            <w:webHidden/>
          </w:rPr>
          <w:t>664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49" w:history="1">
        <w:r w:rsidRPr="001B13A4">
          <w:rPr>
            <w:rStyle w:val="Hyperlink"/>
            <w:noProof/>
          </w:rPr>
          <w:t>2.1.1813</w:t>
        </w:r>
        <w:r>
          <w:rPr>
            <w:rFonts w:asciiTheme="minorHAnsi" w:eastAsiaTheme="minorEastAsia" w:hAnsiTheme="minorHAnsi" w:cstheme="minorBidi"/>
            <w:noProof/>
            <w:sz w:val="22"/>
            <w:szCs w:val="22"/>
          </w:rPr>
          <w:tab/>
        </w:r>
        <w:r w:rsidRPr="001B13A4">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_Toc181684849 \h </w:instrText>
        </w:r>
        <w:r>
          <w:rPr>
            <w:noProof/>
            <w:webHidden/>
          </w:rPr>
        </w:r>
        <w:r>
          <w:rPr>
            <w:noProof/>
            <w:webHidden/>
          </w:rPr>
          <w:fldChar w:fldCharType="separate"/>
        </w:r>
        <w:r>
          <w:rPr>
            <w:noProof/>
            <w:webHidden/>
          </w:rPr>
          <w:t>665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0" w:history="1">
        <w:r w:rsidRPr="001B13A4">
          <w:rPr>
            <w:rStyle w:val="Hyperlink"/>
            <w:noProof/>
          </w:rPr>
          <w:t>2.1.1814</w:t>
        </w:r>
        <w:r>
          <w:rPr>
            <w:rFonts w:asciiTheme="minorHAnsi" w:eastAsiaTheme="minorEastAsia" w:hAnsiTheme="minorHAnsi" w:cstheme="minorBidi"/>
            <w:noProof/>
            <w:sz w:val="22"/>
            <w:szCs w:val="22"/>
          </w:rPr>
          <w:tab/>
        </w:r>
        <w:r w:rsidRPr="001B13A4">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_Toc181684850 \h </w:instrText>
        </w:r>
        <w:r>
          <w:rPr>
            <w:noProof/>
            <w:webHidden/>
          </w:rPr>
        </w:r>
        <w:r>
          <w:rPr>
            <w:noProof/>
            <w:webHidden/>
          </w:rPr>
          <w:fldChar w:fldCharType="separate"/>
        </w:r>
        <w:r>
          <w:rPr>
            <w:noProof/>
            <w:webHidden/>
          </w:rPr>
          <w:t>666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1" w:history="1">
        <w:r w:rsidRPr="001B13A4">
          <w:rPr>
            <w:rStyle w:val="Hyperlink"/>
            <w:noProof/>
          </w:rPr>
          <w:t>2.1.1815</w:t>
        </w:r>
        <w:r>
          <w:rPr>
            <w:rFonts w:asciiTheme="minorHAnsi" w:eastAsiaTheme="minorEastAsia" w:hAnsiTheme="minorHAnsi" w:cstheme="minorBidi"/>
            <w:noProof/>
            <w:sz w:val="22"/>
            <w:szCs w:val="22"/>
          </w:rPr>
          <w:tab/>
        </w:r>
        <w:r w:rsidRPr="001B13A4">
          <w:rPr>
            <w:rStyle w:val="Hyperlink"/>
            <w:noProof/>
          </w:rPr>
          <w:t>Part 4 Section 19.1.3.4, ST_FillType (Shape Fill Type)</w:t>
        </w:r>
        <w:r>
          <w:rPr>
            <w:noProof/>
            <w:webHidden/>
          </w:rPr>
          <w:tab/>
        </w:r>
        <w:r>
          <w:rPr>
            <w:noProof/>
            <w:webHidden/>
          </w:rPr>
          <w:fldChar w:fldCharType="begin"/>
        </w:r>
        <w:r>
          <w:rPr>
            <w:noProof/>
            <w:webHidden/>
          </w:rPr>
          <w:instrText xml:space="preserve"> PAGEREF _Toc181684851 \h </w:instrText>
        </w:r>
        <w:r>
          <w:rPr>
            <w:noProof/>
            <w:webHidden/>
          </w:rPr>
        </w:r>
        <w:r>
          <w:rPr>
            <w:noProof/>
            <w:webHidden/>
          </w:rPr>
          <w:fldChar w:fldCharType="separate"/>
        </w:r>
        <w:r>
          <w:rPr>
            <w:noProof/>
            <w:webHidden/>
          </w:rPr>
          <w:t>666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2" w:history="1">
        <w:r w:rsidRPr="001B13A4">
          <w:rPr>
            <w:rStyle w:val="Hyperlink"/>
            <w:noProof/>
          </w:rPr>
          <w:t>2.1.1816</w:t>
        </w:r>
        <w:r>
          <w:rPr>
            <w:rFonts w:asciiTheme="minorHAnsi" w:eastAsiaTheme="minorEastAsia" w:hAnsiTheme="minorHAnsi" w:cstheme="minorBidi"/>
            <w:noProof/>
            <w:sz w:val="22"/>
            <w:szCs w:val="22"/>
          </w:rPr>
          <w:tab/>
        </w:r>
        <w:r w:rsidRPr="001B13A4">
          <w:rPr>
            <w:rStyle w:val="Hyperlink"/>
            <w:noProof/>
          </w:rPr>
          <w:t>Part 4 Section 19.1.3.6, ST_ShadowType (Shadow Type)</w:t>
        </w:r>
        <w:r>
          <w:rPr>
            <w:noProof/>
            <w:webHidden/>
          </w:rPr>
          <w:tab/>
        </w:r>
        <w:r>
          <w:rPr>
            <w:noProof/>
            <w:webHidden/>
          </w:rPr>
          <w:fldChar w:fldCharType="begin"/>
        </w:r>
        <w:r>
          <w:rPr>
            <w:noProof/>
            <w:webHidden/>
          </w:rPr>
          <w:instrText xml:space="preserve"> PAGEREF _Toc181684852 \h </w:instrText>
        </w:r>
        <w:r>
          <w:rPr>
            <w:noProof/>
            <w:webHidden/>
          </w:rPr>
        </w:r>
        <w:r>
          <w:rPr>
            <w:noProof/>
            <w:webHidden/>
          </w:rPr>
          <w:fldChar w:fldCharType="separate"/>
        </w:r>
        <w:r>
          <w:rPr>
            <w:noProof/>
            <w:webHidden/>
          </w:rPr>
          <w:t>666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3" w:history="1">
        <w:r w:rsidRPr="001B13A4">
          <w:rPr>
            <w:rStyle w:val="Hyperlink"/>
            <w:noProof/>
          </w:rPr>
          <w:t>2.1.1817</w:t>
        </w:r>
        <w:r>
          <w:rPr>
            <w:rFonts w:asciiTheme="minorHAnsi" w:eastAsiaTheme="minorEastAsia" w:hAnsiTheme="minorHAnsi" w:cstheme="minorBidi"/>
            <w:noProof/>
            <w:sz w:val="22"/>
            <w:szCs w:val="22"/>
          </w:rPr>
          <w:tab/>
        </w:r>
        <w:r w:rsidRPr="001B13A4">
          <w:rPr>
            <w:rStyle w:val="Hyperlink"/>
            <w:noProof/>
          </w:rPr>
          <w:t>Part 4 Section 19.2.2.1, bottom (Text Box Bottom Stroke)</w:t>
        </w:r>
        <w:r>
          <w:rPr>
            <w:noProof/>
            <w:webHidden/>
          </w:rPr>
          <w:tab/>
        </w:r>
        <w:r>
          <w:rPr>
            <w:noProof/>
            <w:webHidden/>
          </w:rPr>
          <w:fldChar w:fldCharType="begin"/>
        </w:r>
        <w:r>
          <w:rPr>
            <w:noProof/>
            <w:webHidden/>
          </w:rPr>
          <w:instrText xml:space="preserve"> PAGEREF _Toc181684853 \h </w:instrText>
        </w:r>
        <w:r>
          <w:rPr>
            <w:noProof/>
            <w:webHidden/>
          </w:rPr>
        </w:r>
        <w:r>
          <w:rPr>
            <w:noProof/>
            <w:webHidden/>
          </w:rPr>
          <w:fldChar w:fldCharType="separate"/>
        </w:r>
        <w:r>
          <w:rPr>
            <w:noProof/>
            <w:webHidden/>
          </w:rPr>
          <w:t>666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4" w:history="1">
        <w:r w:rsidRPr="001B13A4">
          <w:rPr>
            <w:rStyle w:val="Hyperlink"/>
            <w:noProof/>
          </w:rPr>
          <w:t>2.1.1818</w:t>
        </w:r>
        <w:r>
          <w:rPr>
            <w:rFonts w:asciiTheme="minorHAnsi" w:eastAsiaTheme="minorEastAsia" w:hAnsiTheme="minorHAnsi" w:cstheme="minorBidi"/>
            <w:noProof/>
            <w:sz w:val="22"/>
            <w:szCs w:val="22"/>
          </w:rPr>
          <w:tab/>
        </w:r>
        <w:r w:rsidRPr="001B13A4">
          <w:rPr>
            <w:rStyle w:val="Hyperlink"/>
            <w:noProof/>
          </w:rPr>
          <w:t>Part 4 Section 19.2.2.2, callout (Callout)</w:t>
        </w:r>
        <w:r>
          <w:rPr>
            <w:noProof/>
            <w:webHidden/>
          </w:rPr>
          <w:tab/>
        </w:r>
        <w:r>
          <w:rPr>
            <w:noProof/>
            <w:webHidden/>
          </w:rPr>
          <w:fldChar w:fldCharType="begin"/>
        </w:r>
        <w:r>
          <w:rPr>
            <w:noProof/>
            <w:webHidden/>
          </w:rPr>
          <w:instrText xml:space="preserve"> PAGEREF _Toc181684854 \h </w:instrText>
        </w:r>
        <w:r>
          <w:rPr>
            <w:noProof/>
            <w:webHidden/>
          </w:rPr>
        </w:r>
        <w:r>
          <w:rPr>
            <w:noProof/>
            <w:webHidden/>
          </w:rPr>
          <w:fldChar w:fldCharType="separate"/>
        </w:r>
        <w:r>
          <w:rPr>
            <w:noProof/>
            <w:webHidden/>
          </w:rPr>
          <w:t>668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5" w:history="1">
        <w:r w:rsidRPr="001B13A4">
          <w:rPr>
            <w:rStyle w:val="Hyperlink"/>
            <w:noProof/>
          </w:rPr>
          <w:t>2.1.1819</w:t>
        </w:r>
        <w:r>
          <w:rPr>
            <w:rFonts w:asciiTheme="minorHAnsi" w:eastAsiaTheme="minorEastAsia" w:hAnsiTheme="minorHAnsi" w:cstheme="minorBidi"/>
            <w:noProof/>
            <w:sz w:val="22"/>
            <w:szCs w:val="22"/>
          </w:rPr>
          <w:tab/>
        </w:r>
        <w:r w:rsidRPr="001B13A4">
          <w:rPr>
            <w:rStyle w:val="Hyperlink"/>
            <w:noProof/>
          </w:rPr>
          <w:t>Part 4 Section 19.2.2.3, clippath (Shape Clipping Path)</w:t>
        </w:r>
        <w:r>
          <w:rPr>
            <w:noProof/>
            <w:webHidden/>
          </w:rPr>
          <w:tab/>
        </w:r>
        <w:r>
          <w:rPr>
            <w:noProof/>
            <w:webHidden/>
          </w:rPr>
          <w:fldChar w:fldCharType="begin"/>
        </w:r>
        <w:r>
          <w:rPr>
            <w:noProof/>
            <w:webHidden/>
          </w:rPr>
          <w:instrText xml:space="preserve"> PAGEREF _Toc181684855 \h </w:instrText>
        </w:r>
        <w:r>
          <w:rPr>
            <w:noProof/>
            <w:webHidden/>
          </w:rPr>
        </w:r>
        <w:r>
          <w:rPr>
            <w:noProof/>
            <w:webHidden/>
          </w:rPr>
          <w:fldChar w:fldCharType="separate"/>
        </w:r>
        <w:r>
          <w:rPr>
            <w:noProof/>
            <w:webHidden/>
          </w:rPr>
          <w:t>670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6" w:history="1">
        <w:r w:rsidRPr="001B13A4">
          <w:rPr>
            <w:rStyle w:val="Hyperlink"/>
            <w:noProof/>
          </w:rPr>
          <w:t>2.1.1820</w:t>
        </w:r>
        <w:r>
          <w:rPr>
            <w:rFonts w:asciiTheme="minorHAnsi" w:eastAsiaTheme="minorEastAsia" w:hAnsiTheme="minorHAnsi" w:cstheme="minorBidi"/>
            <w:noProof/>
            <w:sz w:val="22"/>
            <w:szCs w:val="22"/>
          </w:rPr>
          <w:tab/>
        </w:r>
        <w:r w:rsidRPr="001B13A4">
          <w:rPr>
            <w:rStyle w:val="Hyperlink"/>
            <w:noProof/>
          </w:rPr>
          <w:t>Part 4 Section 19.2.2.4, colormenu (UI Default Colors)</w:t>
        </w:r>
        <w:r>
          <w:rPr>
            <w:noProof/>
            <w:webHidden/>
          </w:rPr>
          <w:tab/>
        </w:r>
        <w:r>
          <w:rPr>
            <w:noProof/>
            <w:webHidden/>
          </w:rPr>
          <w:fldChar w:fldCharType="begin"/>
        </w:r>
        <w:r>
          <w:rPr>
            <w:noProof/>
            <w:webHidden/>
          </w:rPr>
          <w:instrText xml:space="preserve"> PAGEREF _Toc181684856 \h </w:instrText>
        </w:r>
        <w:r>
          <w:rPr>
            <w:noProof/>
            <w:webHidden/>
          </w:rPr>
        </w:r>
        <w:r>
          <w:rPr>
            <w:noProof/>
            <w:webHidden/>
          </w:rPr>
          <w:fldChar w:fldCharType="separate"/>
        </w:r>
        <w:r>
          <w:rPr>
            <w:noProof/>
            <w:webHidden/>
          </w:rPr>
          <w:t>670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7" w:history="1">
        <w:r w:rsidRPr="001B13A4">
          <w:rPr>
            <w:rStyle w:val="Hyperlink"/>
            <w:noProof/>
          </w:rPr>
          <w:t>2.1.1821</w:t>
        </w:r>
        <w:r>
          <w:rPr>
            <w:rFonts w:asciiTheme="minorHAnsi" w:eastAsiaTheme="minorEastAsia" w:hAnsiTheme="minorHAnsi" w:cstheme="minorBidi"/>
            <w:noProof/>
            <w:sz w:val="22"/>
            <w:szCs w:val="22"/>
          </w:rPr>
          <w:tab/>
        </w:r>
        <w:r w:rsidRPr="001B13A4">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_Toc181684857 \h </w:instrText>
        </w:r>
        <w:r>
          <w:rPr>
            <w:noProof/>
            <w:webHidden/>
          </w:rPr>
        </w:r>
        <w:r>
          <w:rPr>
            <w:noProof/>
            <w:webHidden/>
          </w:rPr>
          <w:fldChar w:fldCharType="separate"/>
        </w:r>
        <w:r>
          <w:rPr>
            <w:noProof/>
            <w:webHidden/>
          </w:rPr>
          <w:t>670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8" w:history="1">
        <w:r w:rsidRPr="001B13A4">
          <w:rPr>
            <w:rStyle w:val="Hyperlink"/>
            <w:noProof/>
          </w:rPr>
          <w:t>2.1.1822</w:t>
        </w:r>
        <w:r>
          <w:rPr>
            <w:rFonts w:asciiTheme="minorHAnsi" w:eastAsiaTheme="minorEastAsia" w:hAnsiTheme="minorHAnsi" w:cstheme="minorBidi"/>
            <w:noProof/>
            <w:sz w:val="22"/>
            <w:szCs w:val="22"/>
          </w:rPr>
          <w:tab/>
        </w:r>
        <w:r w:rsidRPr="001B13A4">
          <w:rPr>
            <w:rStyle w:val="Hyperlink"/>
            <w:noProof/>
          </w:rPr>
          <w:t>Part 4 Section 19.2.2.6, column (Text Box Interior Stroke)</w:t>
        </w:r>
        <w:r>
          <w:rPr>
            <w:noProof/>
            <w:webHidden/>
          </w:rPr>
          <w:tab/>
        </w:r>
        <w:r>
          <w:rPr>
            <w:noProof/>
            <w:webHidden/>
          </w:rPr>
          <w:fldChar w:fldCharType="begin"/>
        </w:r>
        <w:r>
          <w:rPr>
            <w:noProof/>
            <w:webHidden/>
          </w:rPr>
          <w:instrText xml:space="preserve"> PAGEREF _Toc181684858 \h </w:instrText>
        </w:r>
        <w:r>
          <w:rPr>
            <w:noProof/>
            <w:webHidden/>
          </w:rPr>
        </w:r>
        <w:r>
          <w:rPr>
            <w:noProof/>
            <w:webHidden/>
          </w:rPr>
          <w:fldChar w:fldCharType="separate"/>
        </w:r>
        <w:r>
          <w:rPr>
            <w:noProof/>
            <w:webHidden/>
          </w:rPr>
          <w:t>671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59" w:history="1">
        <w:r w:rsidRPr="001B13A4">
          <w:rPr>
            <w:rStyle w:val="Hyperlink"/>
            <w:noProof/>
          </w:rPr>
          <w:t>2.1.1823</w:t>
        </w:r>
        <w:r>
          <w:rPr>
            <w:rFonts w:asciiTheme="minorHAnsi" w:eastAsiaTheme="minorEastAsia" w:hAnsiTheme="minorHAnsi" w:cstheme="minorBidi"/>
            <w:noProof/>
            <w:sz w:val="22"/>
            <w:szCs w:val="22"/>
          </w:rPr>
          <w:tab/>
        </w:r>
        <w:r w:rsidRPr="001B13A4">
          <w:rPr>
            <w:rStyle w:val="Hyperlink"/>
            <w:noProof/>
          </w:rPr>
          <w:t>Part 4 Section 19.2.2.7, complex (Complex)</w:t>
        </w:r>
        <w:r>
          <w:rPr>
            <w:noProof/>
            <w:webHidden/>
          </w:rPr>
          <w:tab/>
        </w:r>
        <w:r>
          <w:rPr>
            <w:noProof/>
            <w:webHidden/>
          </w:rPr>
          <w:fldChar w:fldCharType="begin"/>
        </w:r>
        <w:r>
          <w:rPr>
            <w:noProof/>
            <w:webHidden/>
          </w:rPr>
          <w:instrText xml:space="preserve"> PAGEREF _Toc181684859 \h </w:instrText>
        </w:r>
        <w:r>
          <w:rPr>
            <w:noProof/>
            <w:webHidden/>
          </w:rPr>
        </w:r>
        <w:r>
          <w:rPr>
            <w:noProof/>
            <w:webHidden/>
          </w:rPr>
          <w:fldChar w:fldCharType="separate"/>
        </w:r>
        <w:r>
          <w:rPr>
            <w:noProof/>
            <w:webHidden/>
          </w:rPr>
          <w:t>671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0" w:history="1">
        <w:r w:rsidRPr="001B13A4">
          <w:rPr>
            <w:rStyle w:val="Hyperlink"/>
            <w:noProof/>
          </w:rPr>
          <w:t>2.1.1824</w:t>
        </w:r>
        <w:r>
          <w:rPr>
            <w:rFonts w:asciiTheme="minorHAnsi" w:eastAsiaTheme="minorEastAsia" w:hAnsiTheme="minorHAnsi" w:cstheme="minorBidi"/>
            <w:noProof/>
            <w:sz w:val="22"/>
            <w:szCs w:val="22"/>
          </w:rPr>
          <w:tab/>
        </w:r>
        <w:r w:rsidRPr="001B13A4">
          <w:rPr>
            <w:rStyle w:val="Hyperlink"/>
            <w:noProof/>
          </w:rPr>
          <w:t>Part 4 Section 19.2.2.8, diagram (VML Diagram)</w:t>
        </w:r>
        <w:r>
          <w:rPr>
            <w:noProof/>
            <w:webHidden/>
          </w:rPr>
          <w:tab/>
        </w:r>
        <w:r>
          <w:rPr>
            <w:noProof/>
            <w:webHidden/>
          </w:rPr>
          <w:fldChar w:fldCharType="begin"/>
        </w:r>
        <w:r>
          <w:rPr>
            <w:noProof/>
            <w:webHidden/>
          </w:rPr>
          <w:instrText xml:space="preserve"> PAGEREF _Toc181684860 \h </w:instrText>
        </w:r>
        <w:r>
          <w:rPr>
            <w:noProof/>
            <w:webHidden/>
          </w:rPr>
        </w:r>
        <w:r>
          <w:rPr>
            <w:noProof/>
            <w:webHidden/>
          </w:rPr>
          <w:fldChar w:fldCharType="separate"/>
        </w:r>
        <w:r>
          <w:rPr>
            <w:noProof/>
            <w:webHidden/>
          </w:rPr>
          <w:t>671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1" w:history="1">
        <w:r w:rsidRPr="001B13A4">
          <w:rPr>
            <w:rStyle w:val="Hyperlink"/>
            <w:noProof/>
          </w:rPr>
          <w:t>2.1.1825</w:t>
        </w:r>
        <w:r>
          <w:rPr>
            <w:rFonts w:asciiTheme="minorHAnsi" w:eastAsiaTheme="minorEastAsia" w:hAnsiTheme="minorHAnsi" w:cstheme="minorBidi"/>
            <w:noProof/>
            <w:sz w:val="22"/>
            <w:szCs w:val="22"/>
          </w:rPr>
          <w:tab/>
        </w:r>
        <w:r w:rsidRPr="001B13A4">
          <w:rPr>
            <w:rStyle w:val="Hyperlink"/>
            <w:noProof/>
          </w:rPr>
          <w:t>Part 4 Section 19.2.2.11, extrusion (3D Extrusion)</w:t>
        </w:r>
        <w:r>
          <w:rPr>
            <w:noProof/>
            <w:webHidden/>
          </w:rPr>
          <w:tab/>
        </w:r>
        <w:r>
          <w:rPr>
            <w:noProof/>
            <w:webHidden/>
          </w:rPr>
          <w:fldChar w:fldCharType="begin"/>
        </w:r>
        <w:r>
          <w:rPr>
            <w:noProof/>
            <w:webHidden/>
          </w:rPr>
          <w:instrText xml:space="preserve"> PAGEREF _Toc181684861 \h </w:instrText>
        </w:r>
        <w:r>
          <w:rPr>
            <w:noProof/>
            <w:webHidden/>
          </w:rPr>
        </w:r>
        <w:r>
          <w:rPr>
            <w:noProof/>
            <w:webHidden/>
          </w:rPr>
          <w:fldChar w:fldCharType="separate"/>
        </w:r>
        <w:r>
          <w:rPr>
            <w:noProof/>
            <w:webHidden/>
          </w:rPr>
          <w:t>672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2" w:history="1">
        <w:r w:rsidRPr="001B13A4">
          <w:rPr>
            <w:rStyle w:val="Hyperlink"/>
            <w:noProof/>
          </w:rPr>
          <w:t>2.1.1826</w:t>
        </w:r>
        <w:r>
          <w:rPr>
            <w:rFonts w:asciiTheme="minorHAnsi" w:eastAsiaTheme="minorEastAsia" w:hAnsiTheme="minorHAnsi" w:cstheme="minorBidi"/>
            <w:noProof/>
            <w:sz w:val="22"/>
            <w:szCs w:val="22"/>
          </w:rPr>
          <w:tab/>
        </w:r>
        <w:r w:rsidRPr="001B13A4">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_Toc181684862 \h </w:instrText>
        </w:r>
        <w:r>
          <w:rPr>
            <w:noProof/>
            <w:webHidden/>
          </w:rPr>
        </w:r>
        <w:r>
          <w:rPr>
            <w:noProof/>
            <w:webHidden/>
          </w:rPr>
          <w:fldChar w:fldCharType="separate"/>
        </w:r>
        <w:r>
          <w:rPr>
            <w:noProof/>
            <w:webHidden/>
          </w:rPr>
          <w:t>674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3" w:history="1">
        <w:r w:rsidRPr="001B13A4">
          <w:rPr>
            <w:rStyle w:val="Hyperlink"/>
            <w:noProof/>
          </w:rPr>
          <w:t>2.1.1827</w:t>
        </w:r>
        <w:r>
          <w:rPr>
            <w:rFonts w:asciiTheme="minorHAnsi" w:eastAsiaTheme="minorEastAsia" w:hAnsiTheme="minorHAnsi" w:cstheme="minorBidi"/>
            <w:noProof/>
            <w:sz w:val="22"/>
            <w:szCs w:val="22"/>
          </w:rPr>
          <w:tab/>
        </w:r>
        <w:r w:rsidRPr="001B13A4">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_Toc181684863 \h </w:instrText>
        </w:r>
        <w:r>
          <w:rPr>
            <w:noProof/>
            <w:webHidden/>
          </w:rPr>
        </w:r>
        <w:r>
          <w:rPr>
            <w:noProof/>
            <w:webHidden/>
          </w:rPr>
          <w:fldChar w:fldCharType="separate"/>
        </w:r>
        <w:r>
          <w:rPr>
            <w:noProof/>
            <w:webHidden/>
          </w:rPr>
          <w:t>674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4" w:history="1">
        <w:r w:rsidRPr="001B13A4">
          <w:rPr>
            <w:rStyle w:val="Hyperlink"/>
            <w:noProof/>
          </w:rPr>
          <w:t>2.1.1828</w:t>
        </w:r>
        <w:r>
          <w:rPr>
            <w:rFonts w:asciiTheme="minorHAnsi" w:eastAsiaTheme="minorEastAsia" w:hAnsiTheme="minorHAnsi" w:cstheme="minorBidi"/>
            <w:noProof/>
            <w:sz w:val="22"/>
            <w:szCs w:val="22"/>
          </w:rPr>
          <w:tab/>
        </w:r>
        <w:r w:rsidRPr="001B13A4">
          <w:rPr>
            <w:rStyle w:val="Hyperlink"/>
            <w:noProof/>
          </w:rPr>
          <w:t>Part 4 Section 19.2.2.14, idmap (Shape ID Map)</w:t>
        </w:r>
        <w:r>
          <w:rPr>
            <w:noProof/>
            <w:webHidden/>
          </w:rPr>
          <w:tab/>
        </w:r>
        <w:r>
          <w:rPr>
            <w:noProof/>
            <w:webHidden/>
          </w:rPr>
          <w:fldChar w:fldCharType="begin"/>
        </w:r>
        <w:r>
          <w:rPr>
            <w:noProof/>
            <w:webHidden/>
          </w:rPr>
          <w:instrText xml:space="preserve"> PAGEREF _Toc181684864 \h </w:instrText>
        </w:r>
        <w:r>
          <w:rPr>
            <w:noProof/>
            <w:webHidden/>
          </w:rPr>
        </w:r>
        <w:r>
          <w:rPr>
            <w:noProof/>
            <w:webHidden/>
          </w:rPr>
          <w:fldChar w:fldCharType="separate"/>
        </w:r>
        <w:r>
          <w:rPr>
            <w:noProof/>
            <w:webHidden/>
          </w:rPr>
          <w:t>675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5" w:history="1">
        <w:r w:rsidRPr="001B13A4">
          <w:rPr>
            <w:rStyle w:val="Hyperlink"/>
            <w:noProof/>
          </w:rPr>
          <w:t>2.1.1829</w:t>
        </w:r>
        <w:r>
          <w:rPr>
            <w:rFonts w:asciiTheme="minorHAnsi" w:eastAsiaTheme="minorEastAsia" w:hAnsiTheme="minorHAnsi" w:cstheme="minorBidi"/>
            <w:noProof/>
            <w:sz w:val="22"/>
            <w:szCs w:val="22"/>
          </w:rPr>
          <w:tab/>
        </w:r>
        <w:r w:rsidRPr="001B13A4">
          <w:rPr>
            <w:rStyle w:val="Hyperlink"/>
            <w:noProof/>
          </w:rPr>
          <w:t>Part 4 Section 19.2.2.15, ink (Ink)</w:t>
        </w:r>
        <w:r>
          <w:rPr>
            <w:noProof/>
            <w:webHidden/>
          </w:rPr>
          <w:tab/>
        </w:r>
        <w:r>
          <w:rPr>
            <w:noProof/>
            <w:webHidden/>
          </w:rPr>
          <w:fldChar w:fldCharType="begin"/>
        </w:r>
        <w:r>
          <w:rPr>
            <w:noProof/>
            <w:webHidden/>
          </w:rPr>
          <w:instrText xml:space="preserve"> PAGEREF _Toc181684865 \h </w:instrText>
        </w:r>
        <w:r>
          <w:rPr>
            <w:noProof/>
            <w:webHidden/>
          </w:rPr>
        </w:r>
        <w:r>
          <w:rPr>
            <w:noProof/>
            <w:webHidden/>
          </w:rPr>
          <w:fldChar w:fldCharType="separate"/>
        </w:r>
        <w:r>
          <w:rPr>
            <w:noProof/>
            <w:webHidden/>
          </w:rPr>
          <w:t>675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6" w:history="1">
        <w:r w:rsidRPr="001B13A4">
          <w:rPr>
            <w:rStyle w:val="Hyperlink"/>
            <w:noProof/>
          </w:rPr>
          <w:t>2.1.1830</w:t>
        </w:r>
        <w:r>
          <w:rPr>
            <w:rFonts w:asciiTheme="minorHAnsi" w:eastAsiaTheme="minorEastAsia" w:hAnsiTheme="minorHAnsi" w:cstheme="minorBidi"/>
            <w:noProof/>
            <w:sz w:val="22"/>
            <w:szCs w:val="22"/>
          </w:rPr>
          <w:tab/>
        </w:r>
        <w:r w:rsidRPr="001B13A4">
          <w:rPr>
            <w:rStyle w:val="Hyperlink"/>
            <w:noProof/>
          </w:rPr>
          <w:t>Part 4 Section 19.2.2.16, left (Text Box Left Stroke)</w:t>
        </w:r>
        <w:r>
          <w:rPr>
            <w:noProof/>
            <w:webHidden/>
          </w:rPr>
          <w:tab/>
        </w:r>
        <w:r>
          <w:rPr>
            <w:noProof/>
            <w:webHidden/>
          </w:rPr>
          <w:fldChar w:fldCharType="begin"/>
        </w:r>
        <w:r>
          <w:rPr>
            <w:noProof/>
            <w:webHidden/>
          </w:rPr>
          <w:instrText xml:space="preserve"> PAGEREF _Toc181684866 \h </w:instrText>
        </w:r>
        <w:r>
          <w:rPr>
            <w:noProof/>
            <w:webHidden/>
          </w:rPr>
        </w:r>
        <w:r>
          <w:rPr>
            <w:noProof/>
            <w:webHidden/>
          </w:rPr>
          <w:fldChar w:fldCharType="separate"/>
        </w:r>
        <w:r>
          <w:rPr>
            <w:noProof/>
            <w:webHidden/>
          </w:rPr>
          <w:t>675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7" w:history="1">
        <w:r w:rsidRPr="001B13A4">
          <w:rPr>
            <w:rStyle w:val="Hyperlink"/>
            <w:noProof/>
          </w:rPr>
          <w:t>2.1.1831</w:t>
        </w:r>
        <w:r>
          <w:rPr>
            <w:rFonts w:asciiTheme="minorHAnsi" w:eastAsiaTheme="minorEastAsia" w:hAnsiTheme="minorHAnsi" w:cstheme="minorBidi"/>
            <w:noProof/>
            <w:sz w:val="22"/>
            <w:szCs w:val="22"/>
          </w:rPr>
          <w:tab/>
        </w:r>
        <w:r w:rsidRPr="001B13A4">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_Toc181684867 \h </w:instrText>
        </w:r>
        <w:r>
          <w:rPr>
            <w:noProof/>
            <w:webHidden/>
          </w:rPr>
        </w:r>
        <w:r>
          <w:rPr>
            <w:noProof/>
            <w:webHidden/>
          </w:rPr>
          <w:fldChar w:fldCharType="separate"/>
        </w:r>
        <w:r>
          <w:rPr>
            <w:noProof/>
            <w:webHidden/>
          </w:rPr>
          <w:t>676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8" w:history="1">
        <w:r w:rsidRPr="001B13A4">
          <w:rPr>
            <w:rStyle w:val="Hyperlink"/>
            <w:noProof/>
          </w:rPr>
          <w:t>2.1.1832</w:t>
        </w:r>
        <w:r>
          <w:rPr>
            <w:rFonts w:asciiTheme="minorHAnsi" w:eastAsiaTheme="minorEastAsia" w:hAnsiTheme="minorHAnsi" w:cstheme="minorBidi"/>
            <w:noProof/>
            <w:sz w:val="22"/>
            <w:szCs w:val="22"/>
          </w:rPr>
          <w:tab/>
        </w:r>
        <w:r w:rsidRPr="001B13A4">
          <w:rPr>
            <w:rStyle w:val="Hyperlink"/>
            <w:noProof/>
          </w:rPr>
          <w:t>Part 4 Section 19.2.2.18, lock (Shape Protections)</w:t>
        </w:r>
        <w:r>
          <w:rPr>
            <w:noProof/>
            <w:webHidden/>
          </w:rPr>
          <w:tab/>
        </w:r>
        <w:r>
          <w:rPr>
            <w:noProof/>
            <w:webHidden/>
          </w:rPr>
          <w:fldChar w:fldCharType="begin"/>
        </w:r>
        <w:r>
          <w:rPr>
            <w:noProof/>
            <w:webHidden/>
          </w:rPr>
          <w:instrText xml:space="preserve"> PAGEREF _Toc181684868 \h </w:instrText>
        </w:r>
        <w:r>
          <w:rPr>
            <w:noProof/>
            <w:webHidden/>
          </w:rPr>
        </w:r>
        <w:r>
          <w:rPr>
            <w:noProof/>
            <w:webHidden/>
          </w:rPr>
          <w:fldChar w:fldCharType="separate"/>
        </w:r>
        <w:r>
          <w:rPr>
            <w:noProof/>
            <w:webHidden/>
          </w:rPr>
          <w:t>676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69" w:history="1">
        <w:r w:rsidRPr="001B13A4">
          <w:rPr>
            <w:rStyle w:val="Hyperlink"/>
            <w:noProof/>
          </w:rPr>
          <w:t>2.1.1833</w:t>
        </w:r>
        <w:r>
          <w:rPr>
            <w:rFonts w:asciiTheme="minorHAnsi" w:eastAsiaTheme="minorEastAsia" w:hAnsiTheme="minorHAnsi" w:cstheme="minorBidi"/>
            <w:noProof/>
            <w:sz w:val="22"/>
            <w:szCs w:val="22"/>
          </w:rPr>
          <w:tab/>
        </w:r>
        <w:r w:rsidRPr="001B13A4">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_Toc181684869 \h </w:instrText>
        </w:r>
        <w:r>
          <w:rPr>
            <w:noProof/>
            <w:webHidden/>
          </w:rPr>
        </w:r>
        <w:r>
          <w:rPr>
            <w:noProof/>
            <w:webHidden/>
          </w:rPr>
          <w:fldChar w:fldCharType="separate"/>
        </w:r>
        <w:r>
          <w:rPr>
            <w:noProof/>
            <w:webHidden/>
          </w:rPr>
          <w:t>676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0" w:history="1">
        <w:r w:rsidRPr="001B13A4">
          <w:rPr>
            <w:rStyle w:val="Hyperlink"/>
            <w:noProof/>
          </w:rPr>
          <w:t>2.1.1834</w:t>
        </w:r>
        <w:r>
          <w:rPr>
            <w:rFonts w:asciiTheme="minorHAnsi" w:eastAsiaTheme="minorEastAsia" w:hAnsiTheme="minorHAnsi" w:cstheme="minorBidi"/>
            <w:noProof/>
            <w:sz w:val="22"/>
            <w:szCs w:val="22"/>
          </w:rPr>
          <w:tab/>
        </w:r>
        <w:r w:rsidRPr="001B13A4">
          <w:rPr>
            <w:rStyle w:val="Hyperlink"/>
            <w:noProof/>
          </w:rPr>
          <w:t>Part 4 Section 19.2.2.20, OLEObject (Embedded OLE Object)</w:t>
        </w:r>
        <w:r>
          <w:rPr>
            <w:noProof/>
            <w:webHidden/>
          </w:rPr>
          <w:tab/>
        </w:r>
        <w:r>
          <w:rPr>
            <w:noProof/>
            <w:webHidden/>
          </w:rPr>
          <w:fldChar w:fldCharType="begin"/>
        </w:r>
        <w:r>
          <w:rPr>
            <w:noProof/>
            <w:webHidden/>
          </w:rPr>
          <w:instrText xml:space="preserve"> PAGEREF _Toc181684870 \h </w:instrText>
        </w:r>
        <w:r>
          <w:rPr>
            <w:noProof/>
            <w:webHidden/>
          </w:rPr>
        </w:r>
        <w:r>
          <w:rPr>
            <w:noProof/>
            <w:webHidden/>
          </w:rPr>
          <w:fldChar w:fldCharType="separate"/>
        </w:r>
        <w:r>
          <w:rPr>
            <w:noProof/>
            <w:webHidden/>
          </w:rPr>
          <w:t>677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1" w:history="1">
        <w:r w:rsidRPr="001B13A4">
          <w:rPr>
            <w:rStyle w:val="Hyperlink"/>
            <w:noProof/>
          </w:rPr>
          <w:t>2.1.1835</w:t>
        </w:r>
        <w:r>
          <w:rPr>
            <w:rFonts w:asciiTheme="minorHAnsi" w:eastAsiaTheme="minorEastAsia" w:hAnsiTheme="minorHAnsi" w:cstheme="minorBidi"/>
            <w:noProof/>
            <w:sz w:val="22"/>
            <w:szCs w:val="22"/>
          </w:rPr>
          <w:tab/>
        </w:r>
        <w:r w:rsidRPr="001B13A4">
          <w:rPr>
            <w:rStyle w:val="Hyperlink"/>
            <w:noProof/>
          </w:rPr>
          <w:t>Part 4 Section 19.2.2.21, proxy (Shape Reference)</w:t>
        </w:r>
        <w:r>
          <w:rPr>
            <w:noProof/>
            <w:webHidden/>
          </w:rPr>
          <w:tab/>
        </w:r>
        <w:r>
          <w:rPr>
            <w:noProof/>
            <w:webHidden/>
          </w:rPr>
          <w:fldChar w:fldCharType="begin"/>
        </w:r>
        <w:r>
          <w:rPr>
            <w:noProof/>
            <w:webHidden/>
          </w:rPr>
          <w:instrText xml:space="preserve"> PAGEREF _Toc181684871 \h </w:instrText>
        </w:r>
        <w:r>
          <w:rPr>
            <w:noProof/>
            <w:webHidden/>
          </w:rPr>
        </w:r>
        <w:r>
          <w:rPr>
            <w:noProof/>
            <w:webHidden/>
          </w:rPr>
          <w:fldChar w:fldCharType="separate"/>
        </w:r>
        <w:r>
          <w:rPr>
            <w:noProof/>
            <w:webHidden/>
          </w:rPr>
          <w:t>677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2" w:history="1">
        <w:r w:rsidRPr="001B13A4">
          <w:rPr>
            <w:rStyle w:val="Hyperlink"/>
            <w:noProof/>
          </w:rPr>
          <w:t>2.1.1836</w:t>
        </w:r>
        <w:r>
          <w:rPr>
            <w:rFonts w:asciiTheme="minorHAnsi" w:eastAsiaTheme="minorEastAsia" w:hAnsiTheme="minorHAnsi" w:cstheme="minorBidi"/>
            <w:noProof/>
            <w:sz w:val="22"/>
            <w:szCs w:val="22"/>
          </w:rPr>
          <w:tab/>
        </w:r>
        <w:r w:rsidRPr="001B13A4">
          <w:rPr>
            <w:rStyle w:val="Hyperlink"/>
            <w:noProof/>
          </w:rPr>
          <w:t>Part 4 Section 19.2.2.22, r (Rule)</w:t>
        </w:r>
        <w:r>
          <w:rPr>
            <w:noProof/>
            <w:webHidden/>
          </w:rPr>
          <w:tab/>
        </w:r>
        <w:r>
          <w:rPr>
            <w:noProof/>
            <w:webHidden/>
          </w:rPr>
          <w:fldChar w:fldCharType="begin"/>
        </w:r>
        <w:r>
          <w:rPr>
            <w:noProof/>
            <w:webHidden/>
          </w:rPr>
          <w:instrText xml:space="preserve"> PAGEREF _Toc181684872 \h </w:instrText>
        </w:r>
        <w:r>
          <w:rPr>
            <w:noProof/>
            <w:webHidden/>
          </w:rPr>
        </w:r>
        <w:r>
          <w:rPr>
            <w:noProof/>
            <w:webHidden/>
          </w:rPr>
          <w:fldChar w:fldCharType="separate"/>
        </w:r>
        <w:r>
          <w:rPr>
            <w:noProof/>
            <w:webHidden/>
          </w:rPr>
          <w:t>678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3" w:history="1">
        <w:r w:rsidRPr="001B13A4">
          <w:rPr>
            <w:rStyle w:val="Hyperlink"/>
            <w:noProof/>
          </w:rPr>
          <w:t>2.1.1837</w:t>
        </w:r>
        <w:r>
          <w:rPr>
            <w:rFonts w:asciiTheme="minorHAnsi" w:eastAsiaTheme="minorEastAsia" w:hAnsiTheme="minorHAnsi" w:cstheme="minorBidi"/>
            <w:noProof/>
            <w:sz w:val="22"/>
            <w:szCs w:val="22"/>
          </w:rPr>
          <w:tab/>
        </w:r>
        <w:r w:rsidRPr="001B13A4">
          <w:rPr>
            <w:rStyle w:val="Hyperlink"/>
            <w:noProof/>
          </w:rPr>
          <w:t>Part 4 Section 19.2.2.24, rel (Diagram Relationship)</w:t>
        </w:r>
        <w:r>
          <w:rPr>
            <w:noProof/>
            <w:webHidden/>
          </w:rPr>
          <w:tab/>
        </w:r>
        <w:r>
          <w:rPr>
            <w:noProof/>
            <w:webHidden/>
          </w:rPr>
          <w:fldChar w:fldCharType="begin"/>
        </w:r>
        <w:r>
          <w:rPr>
            <w:noProof/>
            <w:webHidden/>
          </w:rPr>
          <w:instrText xml:space="preserve"> PAGEREF _Toc181684873 \h </w:instrText>
        </w:r>
        <w:r>
          <w:rPr>
            <w:noProof/>
            <w:webHidden/>
          </w:rPr>
        </w:r>
        <w:r>
          <w:rPr>
            <w:noProof/>
            <w:webHidden/>
          </w:rPr>
          <w:fldChar w:fldCharType="separate"/>
        </w:r>
        <w:r>
          <w:rPr>
            <w:noProof/>
            <w:webHidden/>
          </w:rPr>
          <w:t>678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4" w:history="1">
        <w:r w:rsidRPr="001B13A4">
          <w:rPr>
            <w:rStyle w:val="Hyperlink"/>
            <w:noProof/>
          </w:rPr>
          <w:t>2.1.1838</w:t>
        </w:r>
        <w:r>
          <w:rPr>
            <w:rFonts w:asciiTheme="minorHAnsi" w:eastAsiaTheme="minorEastAsia" w:hAnsiTheme="minorHAnsi" w:cstheme="minorBidi"/>
            <w:noProof/>
            <w:sz w:val="22"/>
            <w:szCs w:val="22"/>
          </w:rPr>
          <w:tab/>
        </w:r>
        <w:r w:rsidRPr="001B13A4">
          <w:rPr>
            <w:rStyle w:val="Hyperlink"/>
            <w:noProof/>
          </w:rPr>
          <w:t>Part 4 Section 19.2.2.26, right (Text Box Right Stroke)</w:t>
        </w:r>
        <w:r>
          <w:rPr>
            <w:noProof/>
            <w:webHidden/>
          </w:rPr>
          <w:tab/>
        </w:r>
        <w:r>
          <w:rPr>
            <w:noProof/>
            <w:webHidden/>
          </w:rPr>
          <w:fldChar w:fldCharType="begin"/>
        </w:r>
        <w:r>
          <w:rPr>
            <w:noProof/>
            <w:webHidden/>
          </w:rPr>
          <w:instrText xml:space="preserve"> PAGEREF _Toc181684874 \h </w:instrText>
        </w:r>
        <w:r>
          <w:rPr>
            <w:noProof/>
            <w:webHidden/>
          </w:rPr>
        </w:r>
        <w:r>
          <w:rPr>
            <w:noProof/>
            <w:webHidden/>
          </w:rPr>
          <w:fldChar w:fldCharType="separate"/>
        </w:r>
        <w:r>
          <w:rPr>
            <w:noProof/>
            <w:webHidden/>
          </w:rPr>
          <w:t>678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5" w:history="1">
        <w:r w:rsidRPr="001B13A4">
          <w:rPr>
            <w:rStyle w:val="Hyperlink"/>
            <w:noProof/>
          </w:rPr>
          <w:t>2.1.1839</w:t>
        </w:r>
        <w:r>
          <w:rPr>
            <w:rFonts w:asciiTheme="minorHAnsi" w:eastAsiaTheme="minorEastAsia" w:hAnsiTheme="minorHAnsi" w:cstheme="minorBidi"/>
            <w:noProof/>
            <w:sz w:val="22"/>
            <w:szCs w:val="22"/>
          </w:rPr>
          <w:tab/>
        </w:r>
        <w:r w:rsidRPr="001B13A4">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_Toc181684875 \h </w:instrText>
        </w:r>
        <w:r>
          <w:rPr>
            <w:noProof/>
            <w:webHidden/>
          </w:rPr>
        </w:r>
        <w:r>
          <w:rPr>
            <w:noProof/>
            <w:webHidden/>
          </w:rPr>
          <w:fldChar w:fldCharType="separate"/>
        </w:r>
        <w:r>
          <w:rPr>
            <w:noProof/>
            <w:webHidden/>
          </w:rPr>
          <w:t>679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6" w:history="1">
        <w:r w:rsidRPr="001B13A4">
          <w:rPr>
            <w:rStyle w:val="Hyperlink"/>
            <w:noProof/>
          </w:rPr>
          <w:t>2.1.1840</w:t>
        </w:r>
        <w:r>
          <w:rPr>
            <w:rFonts w:asciiTheme="minorHAnsi" w:eastAsiaTheme="minorEastAsia" w:hAnsiTheme="minorHAnsi" w:cstheme="minorBidi"/>
            <w:noProof/>
            <w:sz w:val="22"/>
            <w:szCs w:val="22"/>
          </w:rPr>
          <w:tab/>
        </w:r>
        <w:r w:rsidRPr="001B13A4">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_Toc181684876 \h </w:instrText>
        </w:r>
        <w:r>
          <w:rPr>
            <w:noProof/>
            <w:webHidden/>
          </w:rPr>
        </w:r>
        <w:r>
          <w:rPr>
            <w:noProof/>
            <w:webHidden/>
          </w:rPr>
          <w:fldChar w:fldCharType="separate"/>
        </w:r>
        <w:r>
          <w:rPr>
            <w:noProof/>
            <w:webHidden/>
          </w:rPr>
          <w:t>679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7" w:history="1">
        <w:r w:rsidRPr="001B13A4">
          <w:rPr>
            <w:rStyle w:val="Hyperlink"/>
            <w:noProof/>
          </w:rPr>
          <w:t>2.1.1841</w:t>
        </w:r>
        <w:r>
          <w:rPr>
            <w:rFonts w:asciiTheme="minorHAnsi" w:eastAsiaTheme="minorEastAsia" w:hAnsiTheme="minorHAnsi" w:cstheme="minorBidi"/>
            <w:noProof/>
            <w:sz w:val="22"/>
            <w:szCs w:val="22"/>
          </w:rPr>
          <w:tab/>
        </w:r>
        <w:r w:rsidRPr="001B13A4">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_Toc181684877 \h </w:instrText>
        </w:r>
        <w:r>
          <w:rPr>
            <w:noProof/>
            <w:webHidden/>
          </w:rPr>
        </w:r>
        <w:r>
          <w:rPr>
            <w:noProof/>
            <w:webHidden/>
          </w:rPr>
          <w:fldChar w:fldCharType="separate"/>
        </w:r>
        <w:r>
          <w:rPr>
            <w:noProof/>
            <w:webHidden/>
          </w:rPr>
          <w:t>679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8" w:history="1">
        <w:r w:rsidRPr="001B13A4">
          <w:rPr>
            <w:rStyle w:val="Hyperlink"/>
            <w:noProof/>
          </w:rPr>
          <w:t>2.1.1842</w:t>
        </w:r>
        <w:r>
          <w:rPr>
            <w:rFonts w:asciiTheme="minorHAnsi" w:eastAsiaTheme="minorEastAsia" w:hAnsiTheme="minorHAnsi" w:cstheme="minorBidi"/>
            <w:noProof/>
            <w:sz w:val="22"/>
            <w:szCs w:val="22"/>
          </w:rPr>
          <w:tab/>
        </w:r>
        <w:r w:rsidRPr="001B13A4">
          <w:rPr>
            <w:rStyle w:val="Hyperlink"/>
            <w:noProof/>
          </w:rPr>
          <w:t>Part 4 Section 19.2.2.31, skew (Skew Transform)</w:t>
        </w:r>
        <w:r>
          <w:rPr>
            <w:noProof/>
            <w:webHidden/>
          </w:rPr>
          <w:tab/>
        </w:r>
        <w:r>
          <w:rPr>
            <w:noProof/>
            <w:webHidden/>
          </w:rPr>
          <w:fldChar w:fldCharType="begin"/>
        </w:r>
        <w:r>
          <w:rPr>
            <w:noProof/>
            <w:webHidden/>
          </w:rPr>
          <w:instrText xml:space="preserve"> PAGEREF _Toc181684878 \h </w:instrText>
        </w:r>
        <w:r>
          <w:rPr>
            <w:noProof/>
            <w:webHidden/>
          </w:rPr>
        </w:r>
        <w:r>
          <w:rPr>
            <w:noProof/>
            <w:webHidden/>
          </w:rPr>
          <w:fldChar w:fldCharType="separate"/>
        </w:r>
        <w:r>
          <w:rPr>
            <w:noProof/>
            <w:webHidden/>
          </w:rPr>
          <w:t>680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79" w:history="1">
        <w:r w:rsidRPr="001B13A4">
          <w:rPr>
            <w:rStyle w:val="Hyperlink"/>
            <w:noProof/>
          </w:rPr>
          <w:t>2.1.1843</w:t>
        </w:r>
        <w:r>
          <w:rPr>
            <w:rFonts w:asciiTheme="minorHAnsi" w:eastAsiaTheme="minorEastAsia" w:hAnsiTheme="minorHAnsi" w:cstheme="minorBidi"/>
            <w:noProof/>
            <w:sz w:val="22"/>
            <w:szCs w:val="22"/>
          </w:rPr>
          <w:tab/>
        </w:r>
        <w:r w:rsidRPr="001B13A4">
          <w:rPr>
            <w:rStyle w:val="Hyperlink"/>
            <w:noProof/>
          </w:rPr>
          <w:t>Part 4 Section 19.2.2.32, top (Text Box Top Stroke)</w:t>
        </w:r>
        <w:r>
          <w:rPr>
            <w:noProof/>
            <w:webHidden/>
          </w:rPr>
          <w:tab/>
        </w:r>
        <w:r>
          <w:rPr>
            <w:noProof/>
            <w:webHidden/>
          </w:rPr>
          <w:fldChar w:fldCharType="begin"/>
        </w:r>
        <w:r>
          <w:rPr>
            <w:noProof/>
            <w:webHidden/>
          </w:rPr>
          <w:instrText xml:space="preserve"> PAGEREF _Toc181684879 \h </w:instrText>
        </w:r>
        <w:r>
          <w:rPr>
            <w:noProof/>
            <w:webHidden/>
          </w:rPr>
        </w:r>
        <w:r>
          <w:rPr>
            <w:noProof/>
            <w:webHidden/>
          </w:rPr>
          <w:fldChar w:fldCharType="separate"/>
        </w:r>
        <w:r>
          <w:rPr>
            <w:noProof/>
            <w:webHidden/>
          </w:rPr>
          <w:t>680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0" w:history="1">
        <w:r w:rsidRPr="001B13A4">
          <w:rPr>
            <w:rStyle w:val="Hyperlink"/>
            <w:noProof/>
          </w:rPr>
          <w:t>2.1.1844</w:t>
        </w:r>
        <w:r>
          <w:rPr>
            <w:rFonts w:asciiTheme="minorHAnsi" w:eastAsiaTheme="minorEastAsia" w:hAnsiTheme="minorHAnsi" w:cstheme="minorBidi"/>
            <w:noProof/>
            <w:sz w:val="22"/>
            <w:szCs w:val="22"/>
          </w:rPr>
          <w:tab/>
        </w:r>
        <w:r w:rsidRPr="001B13A4">
          <w:rPr>
            <w:rStyle w:val="Hyperlink"/>
            <w:noProof/>
          </w:rPr>
          <w:t>Part 4 Section 19.2.3.3, ST_BWMode (Black And White Modes)</w:t>
        </w:r>
        <w:r>
          <w:rPr>
            <w:noProof/>
            <w:webHidden/>
          </w:rPr>
          <w:tab/>
        </w:r>
        <w:r>
          <w:rPr>
            <w:noProof/>
            <w:webHidden/>
          </w:rPr>
          <w:fldChar w:fldCharType="begin"/>
        </w:r>
        <w:r>
          <w:rPr>
            <w:noProof/>
            <w:webHidden/>
          </w:rPr>
          <w:instrText xml:space="preserve"> PAGEREF _Toc181684880 \h </w:instrText>
        </w:r>
        <w:r>
          <w:rPr>
            <w:noProof/>
            <w:webHidden/>
          </w:rPr>
        </w:r>
        <w:r>
          <w:rPr>
            <w:noProof/>
            <w:webHidden/>
          </w:rPr>
          <w:fldChar w:fldCharType="separate"/>
        </w:r>
        <w:r>
          <w:rPr>
            <w:noProof/>
            <w:webHidden/>
          </w:rPr>
          <w:t>681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1" w:history="1">
        <w:r w:rsidRPr="001B13A4">
          <w:rPr>
            <w:rStyle w:val="Hyperlink"/>
            <w:noProof/>
          </w:rPr>
          <w:t>2.1.1845</w:t>
        </w:r>
        <w:r>
          <w:rPr>
            <w:rFonts w:asciiTheme="minorHAnsi" w:eastAsiaTheme="minorEastAsia" w:hAnsiTheme="minorHAnsi" w:cstheme="minorBidi"/>
            <w:noProof/>
            <w:sz w:val="22"/>
            <w:szCs w:val="22"/>
          </w:rPr>
          <w:tab/>
        </w:r>
        <w:r w:rsidRPr="001B13A4">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_Toc181684881 \h </w:instrText>
        </w:r>
        <w:r>
          <w:rPr>
            <w:noProof/>
            <w:webHidden/>
          </w:rPr>
        </w:r>
        <w:r>
          <w:rPr>
            <w:noProof/>
            <w:webHidden/>
          </w:rPr>
          <w:fldChar w:fldCharType="separate"/>
        </w:r>
        <w:r>
          <w:rPr>
            <w:noProof/>
            <w:webHidden/>
          </w:rPr>
          <w:t>681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2" w:history="1">
        <w:r w:rsidRPr="001B13A4">
          <w:rPr>
            <w:rStyle w:val="Hyperlink"/>
            <w:noProof/>
          </w:rPr>
          <w:t>2.1.1846</w:t>
        </w:r>
        <w:r>
          <w:rPr>
            <w:rFonts w:asciiTheme="minorHAnsi" w:eastAsiaTheme="minorEastAsia" w:hAnsiTheme="minorHAnsi" w:cstheme="minorBidi"/>
            <w:noProof/>
            <w:sz w:val="22"/>
            <w:szCs w:val="22"/>
          </w:rPr>
          <w:tab/>
        </w:r>
        <w:r w:rsidRPr="001B13A4">
          <w:rPr>
            <w:rStyle w:val="Hyperlink"/>
            <w:noProof/>
          </w:rPr>
          <w:t>Part 4 Section 19.2.3.14, ST_FillType (Shape Fill Type)</w:t>
        </w:r>
        <w:r>
          <w:rPr>
            <w:noProof/>
            <w:webHidden/>
          </w:rPr>
          <w:tab/>
        </w:r>
        <w:r>
          <w:rPr>
            <w:noProof/>
            <w:webHidden/>
          </w:rPr>
          <w:fldChar w:fldCharType="begin"/>
        </w:r>
        <w:r>
          <w:rPr>
            <w:noProof/>
            <w:webHidden/>
          </w:rPr>
          <w:instrText xml:space="preserve"> PAGEREF _Toc181684882 \h </w:instrText>
        </w:r>
        <w:r>
          <w:rPr>
            <w:noProof/>
            <w:webHidden/>
          </w:rPr>
        </w:r>
        <w:r>
          <w:rPr>
            <w:noProof/>
            <w:webHidden/>
          </w:rPr>
          <w:fldChar w:fldCharType="separate"/>
        </w:r>
        <w:r>
          <w:rPr>
            <w:noProof/>
            <w:webHidden/>
          </w:rPr>
          <w:t>681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3" w:history="1">
        <w:r w:rsidRPr="001B13A4">
          <w:rPr>
            <w:rStyle w:val="Hyperlink"/>
            <w:noProof/>
          </w:rPr>
          <w:t>2.1.1847</w:t>
        </w:r>
        <w:r>
          <w:rPr>
            <w:rFonts w:asciiTheme="minorHAnsi" w:eastAsiaTheme="minorEastAsia" w:hAnsiTheme="minorHAnsi" w:cstheme="minorBidi"/>
            <w:noProof/>
            <w:sz w:val="22"/>
            <w:szCs w:val="22"/>
          </w:rPr>
          <w:tab/>
        </w:r>
        <w:r w:rsidRPr="001B13A4">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_Toc181684883 \h </w:instrText>
        </w:r>
        <w:r>
          <w:rPr>
            <w:noProof/>
            <w:webHidden/>
          </w:rPr>
        </w:r>
        <w:r>
          <w:rPr>
            <w:noProof/>
            <w:webHidden/>
          </w:rPr>
          <w:fldChar w:fldCharType="separate"/>
        </w:r>
        <w:r>
          <w:rPr>
            <w:noProof/>
            <w:webHidden/>
          </w:rPr>
          <w:t>681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4" w:history="1">
        <w:r w:rsidRPr="001B13A4">
          <w:rPr>
            <w:rStyle w:val="Hyperlink"/>
            <w:noProof/>
          </w:rPr>
          <w:t>2.1.1848</w:t>
        </w:r>
        <w:r>
          <w:rPr>
            <w:rFonts w:asciiTheme="minorHAnsi" w:eastAsiaTheme="minorEastAsia" w:hAnsiTheme="minorHAnsi" w:cstheme="minorBidi"/>
            <w:noProof/>
            <w:sz w:val="22"/>
            <w:szCs w:val="22"/>
          </w:rPr>
          <w:tab/>
        </w:r>
        <w:r w:rsidRPr="001B13A4">
          <w:rPr>
            <w:rStyle w:val="Hyperlink"/>
            <w:noProof/>
          </w:rPr>
          <w:t>Part 4 Section 19.3.2.2, borderbottom (Bottom Border)</w:t>
        </w:r>
        <w:r>
          <w:rPr>
            <w:noProof/>
            <w:webHidden/>
          </w:rPr>
          <w:tab/>
        </w:r>
        <w:r>
          <w:rPr>
            <w:noProof/>
            <w:webHidden/>
          </w:rPr>
          <w:fldChar w:fldCharType="begin"/>
        </w:r>
        <w:r>
          <w:rPr>
            <w:noProof/>
            <w:webHidden/>
          </w:rPr>
          <w:instrText xml:space="preserve"> PAGEREF _Toc181684884 \h </w:instrText>
        </w:r>
        <w:r>
          <w:rPr>
            <w:noProof/>
            <w:webHidden/>
          </w:rPr>
        </w:r>
        <w:r>
          <w:rPr>
            <w:noProof/>
            <w:webHidden/>
          </w:rPr>
          <w:fldChar w:fldCharType="separate"/>
        </w:r>
        <w:r>
          <w:rPr>
            <w:noProof/>
            <w:webHidden/>
          </w:rPr>
          <w:t>682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5" w:history="1">
        <w:r w:rsidRPr="001B13A4">
          <w:rPr>
            <w:rStyle w:val="Hyperlink"/>
            <w:noProof/>
          </w:rPr>
          <w:t>2.1.1849</w:t>
        </w:r>
        <w:r>
          <w:rPr>
            <w:rFonts w:asciiTheme="minorHAnsi" w:eastAsiaTheme="minorEastAsia" w:hAnsiTheme="minorHAnsi" w:cstheme="minorBidi"/>
            <w:noProof/>
            <w:sz w:val="22"/>
            <w:szCs w:val="22"/>
          </w:rPr>
          <w:tab/>
        </w:r>
        <w:r w:rsidRPr="001B13A4">
          <w:rPr>
            <w:rStyle w:val="Hyperlink"/>
            <w:noProof/>
          </w:rPr>
          <w:t>Part 4 Section 19.3.2.3, borderleft (Left Border)</w:t>
        </w:r>
        <w:r>
          <w:rPr>
            <w:noProof/>
            <w:webHidden/>
          </w:rPr>
          <w:tab/>
        </w:r>
        <w:r>
          <w:rPr>
            <w:noProof/>
            <w:webHidden/>
          </w:rPr>
          <w:fldChar w:fldCharType="begin"/>
        </w:r>
        <w:r>
          <w:rPr>
            <w:noProof/>
            <w:webHidden/>
          </w:rPr>
          <w:instrText xml:space="preserve"> PAGEREF _Toc181684885 \h </w:instrText>
        </w:r>
        <w:r>
          <w:rPr>
            <w:noProof/>
            <w:webHidden/>
          </w:rPr>
        </w:r>
        <w:r>
          <w:rPr>
            <w:noProof/>
            <w:webHidden/>
          </w:rPr>
          <w:fldChar w:fldCharType="separate"/>
        </w:r>
        <w:r>
          <w:rPr>
            <w:noProof/>
            <w:webHidden/>
          </w:rPr>
          <w:t>682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6" w:history="1">
        <w:r w:rsidRPr="001B13A4">
          <w:rPr>
            <w:rStyle w:val="Hyperlink"/>
            <w:noProof/>
          </w:rPr>
          <w:t>2.1.1850</w:t>
        </w:r>
        <w:r>
          <w:rPr>
            <w:rFonts w:asciiTheme="minorHAnsi" w:eastAsiaTheme="minorEastAsia" w:hAnsiTheme="minorHAnsi" w:cstheme="minorBidi"/>
            <w:noProof/>
            <w:sz w:val="22"/>
            <w:szCs w:val="22"/>
          </w:rPr>
          <w:tab/>
        </w:r>
        <w:r w:rsidRPr="001B13A4">
          <w:rPr>
            <w:rStyle w:val="Hyperlink"/>
            <w:noProof/>
          </w:rPr>
          <w:t>Part 4 Section 19.3.2.4, borderright (Right Border)</w:t>
        </w:r>
        <w:r>
          <w:rPr>
            <w:noProof/>
            <w:webHidden/>
          </w:rPr>
          <w:tab/>
        </w:r>
        <w:r>
          <w:rPr>
            <w:noProof/>
            <w:webHidden/>
          </w:rPr>
          <w:fldChar w:fldCharType="begin"/>
        </w:r>
        <w:r>
          <w:rPr>
            <w:noProof/>
            <w:webHidden/>
          </w:rPr>
          <w:instrText xml:space="preserve"> PAGEREF _Toc181684886 \h </w:instrText>
        </w:r>
        <w:r>
          <w:rPr>
            <w:noProof/>
            <w:webHidden/>
          </w:rPr>
        </w:r>
        <w:r>
          <w:rPr>
            <w:noProof/>
            <w:webHidden/>
          </w:rPr>
          <w:fldChar w:fldCharType="separate"/>
        </w:r>
        <w:r>
          <w:rPr>
            <w:noProof/>
            <w:webHidden/>
          </w:rPr>
          <w:t>682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7" w:history="1">
        <w:r w:rsidRPr="001B13A4">
          <w:rPr>
            <w:rStyle w:val="Hyperlink"/>
            <w:noProof/>
          </w:rPr>
          <w:t>2.1.1851</w:t>
        </w:r>
        <w:r>
          <w:rPr>
            <w:rFonts w:asciiTheme="minorHAnsi" w:eastAsiaTheme="minorEastAsia" w:hAnsiTheme="minorHAnsi" w:cstheme="minorBidi"/>
            <w:noProof/>
            <w:sz w:val="22"/>
            <w:szCs w:val="22"/>
          </w:rPr>
          <w:tab/>
        </w:r>
        <w:r w:rsidRPr="001B13A4">
          <w:rPr>
            <w:rStyle w:val="Hyperlink"/>
            <w:noProof/>
          </w:rPr>
          <w:t>Part 4 Section 19.3.2.5, bordertop (Top Border)</w:t>
        </w:r>
        <w:r>
          <w:rPr>
            <w:noProof/>
            <w:webHidden/>
          </w:rPr>
          <w:tab/>
        </w:r>
        <w:r>
          <w:rPr>
            <w:noProof/>
            <w:webHidden/>
          </w:rPr>
          <w:fldChar w:fldCharType="begin"/>
        </w:r>
        <w:r>
          <w:rPr>
            <w:noProof/>
            <w:webHidden/>
          </w:rPr>
          <w:instrText xml:space="preserve"> PAGEREF _Toc181684887 \h </w:instrText>
        </w:r>
        <w:r>
          <w:rPr>
            <w:noProof/>
            <w:webHidden/>
          </w:rPr>
        </w:r>
        <w:r>
          <w:rPr>
            <w:noProof/>
            <w:webHidden/>
          </w:rPr>
          <w:fldChar w:fldCharType="separate"/>
        </w:r>
        <w:r>
          <w:rPr>
            <w:noProof/>
            <w:webHidden/>
          </w:rPr>
          <w:t>682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8" w:history="1">
        <w:r w:rsidRPr="001B13A4">
          <w:rPr>
            <w:rStyle w:val="Hyperlink"/>
            <w:noProof/>
          </w:rPr>
          <w:t>2.1.1852</w:t>
        </w:r>
        <w:r>
          <w:rPr>
            <w:rFonts w:asciiTheme="minorHAnsi" w:eastAsiaTheme="minorEastAsia" w:hAnsiTheme="minorHAnsi" w:cstheme="minorBidi"/>
            <w:noProof/>
            <w:sz w:val="22"/>
            <w:szCs w:val="22"/>
          </w:rPr>
          <w:tab/>
        </w:r>
        <w:r w:rsidRPr="001B13A4">
          <w:rPr>
            <w:rStyle w:val="Hyperlink"/>
            <w:noProof/>
          </w:rPr>
          <w:t>Part 4 Section 19.3.2.6, wrap (Text Wrapping)</w:t>
        </w:r>
        <w:r>
          <w:rPr>
            <w:noProof/>
            <w:webHidden/>
          </w:rPr>
          <w:tab/>
        </w:r>
        <w:r>
          <w:rPr>
            <w:noProof/>
            <w:webHidden/>
          </w:rPr>
          <w:fldChar w:fldCharType="begin"/>
        </w:r>
        <w:r>
          <w:rPr>
            <w:noProof/>
            <w:webHidden/>
          </w:rPr>
          <w:instrText xml:space="preserve"> PAGEREF _Toc181684888 \h </w:instrText>
        </w:r>
        <w:r>
          <w:rPr>
            <w:noProof/>
            <w:webHidden/>
          </w:rPr>
        </w:r>
        <w:r>
          <w:rPr>
            <w:noProof/>
            <w:webHidden/>
          </w:rPr>
          <w:fldChar w:fldCharType="separate"/>
        </w:r>
        <w:r>
          <w:rPr>
            <w:noProof/>
            <w:webHidden/>
          </w:rPr>
          <w:t>682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89" w:history="1">
        <w:r w:rsidRPr="001B13A4">
          <w:rPr>
            <w:rStyle w:val="Hyperlink"/>
            <w:noProof/>
          </w:rPr>
          <w:t>2.1.1853</w:t>
        </w:r>
        <w:r>
          <w:rPr>
            <w:rFonts w:asciiTheme="minorHAnsi" w:eastAsiaTheme="minorEastAsia" w:hAnsiTheme="minorHAnsi" w:cstheme="minorBidi"/>
            <w:noProof/>
            <w:sz w:val="22"/>
            <w:szCs w:val="22"/>
          </w:rPr>
          <w:tab/>
        </w:r>
        <w:r w:rsidRPr="001B13A4">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_Toc181684889 \h </w:instrText>
        </w:r>
        <w:r>
          <w:rPr>
            <w:noProof/>
            <w:webHidden/>
          </w:rPr>
        </w:r>
        <w:r>
          <w:rPr>
            <w:noProof/>
            <w:webHidden/>
          </w:rPr>
          <w:fldChar w:fldCharType="separate"/>
        </w:r>
        <w:r>
          <w:rPr>
            <w:noProof/>
            <w:webHidden/>
          </w:rPr>
          <w:t>682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0" w:history="1">
        <w:r w:rsidRPr="001B13A4">
          <w:rPr>
            <w:rStyle w:val="Hyperlink"/>
            <w:noProof/>
          </w:rPr>
          <w:t>2.1.1854</w:t>
        </w:r>
        <w:r>
          <w:rPr>
            <w:rFonts w:asciiTheme="minorHAnsi" w:eastAsiaTheme="minorEastAsia" w:hAnsiTheme="minorHAnsi" w:cstheme="minorBidi"/>
            <w:noProof/>
            <w:sz w:val="22"/>
            <w:szCs w:val="22"/>
          </w:rPr>
          <w:tab/>
        </w:r>
        <w:r w:rsidRPr="001B13A4">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_Toc181684890 \h </w:instrText>
        </w:r>
        <w:r>
          <w:rPr>
            <w:noProof/>
            <w:webHidden/>
          </w:rPr>
        </w:r>
        <w:r>
          <w:rPr>
            <w:noProof/>
            <w:webHidden/>
          </w:rPr>
          <w:fldChar w:fldCharType="separate"/>
        </w:r>
        <w:r>
          <w:rPr>
            <w:noProof/>
            <w:webHidden/>
          </w:rPr>
          <w:t>682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1" w:history="1">
        <w:r w:rsidRPr="001B13A4">
          <w:rPr>
            <w:rStyle w:val="Hyperlink"/>
            <w:noProof/>
          </w:rPr>
          <w:t>2.1.1855</w:t>
        </w:r>
        <w:r>
          <w:rPr>
            <w:rFonts w:asciiTheme="minorHAnsi" w:eastAsiaTheme="minorEastAsia" w:hAnsiTheme="minorHAnsi" w:cstheme="minorBidi"/>
            <w:noProof/>
            <w:sz w:val="22"/>
            <w:szCs w:val="22"/>
          </w:rPr>
          <w:tab/>
        </w:r>
        <w:r w:rsidRPr="001B13A4">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_Toc181684891 \h </w:instrText>
        </w:r>
        <w:r>
          <w:rPr>
            <w:noProof/>
            <w:webHidden/>
          </w:rPr>
        </w:r>
        <w:r>
          <w:rPr>
            <w:noProof/>
            <w:webHidden/>
          </w:rPr>
          <w:fldChar w:fldCharType="separate"/>
        </w:r>
        <w:r>
          <w:rPr>
            <w:noProof/>
            <w:webHidden/>
          </w:rPr>
          <w:t>682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2" w:history="1">
        <w:r w:rsidRPr="001B13A4">
          <w:rPr>
            <w:rStyle w:val="Hyperlink"/>
            <w:noProof/>
          </w:rPr>
          <w:t>2.1.1856</w:t>
        </w:r>
        <w:r>
          <w:rPr>
            <w:rFonts w:asciiTheme="minorHAnsi" w:eastAsiaTheme="minorEastAsia" w:hAnsiTheme="minorHAnsi" w:cstheme="minorBidi"/>
            <w:noProof/>
            <w:sz w:val="22"/>
            <w:szCs w:val="22"/>
          </w:rPr>
          <w:tab/>
        </w:r>
        <w:r w:rsidRPr="001B13A4">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_Toc181684892 \h </w:instrText>
        </w:r>
        <w:r>
          <w:rPr>
            <w:noProof/>
            <w:webHidden/>
          </w:rPr>
        </w:r>
        <w:r>
          <w:rPr>
            <w:noProof/>
            <w:webHidden/>
          </w:rPr>
          <w:fldChar w:fldCharType="separate"/>
        </w:r>
        <w:r>
          <w:rPr>
            <w:noProof/>
            <w:webHidden/>
          </w:rPr>
          <w:t>682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3" w:history="1">
        <w:r w:rsidRPr="001B13A4">
          <w:rPr>
            <w:rStyle w:val="Hyperlink"/>
            <w:noProof/>
          </w:rPr>
          <w:t>2.1.1857</w:t>
        </w:r>
        <w:r>
          <w:rPr>
            <w:rFonts w:asciiTheme="minorHAnsi" w:eastAsiaTheme="minorEastAsia" w:hAnsiTheme="minorHAnsi" w:cstheme="minorBidi"/>
            <w:noProof/>
            <w:sz w:val="22"/>
            <w:szCs w:val="22"/>
          </w:rPr>
          <w:tab/>
        </w:r>
        <w:r w:rsidRPr="001B13A4">
          <w:rPr>
            <w:rStyle w:val="Hyperlink"/>
            <w:noProof/>
          </w:rPr>
          <w:t>Part 4 Section 19.4.2.3, Anchor (Anchor)</w:t>
        </w:r>
        <w:r>
          <w:rPr>
            <w:noProof/>
            <w:webHidden/>
          </w:rPr>
          <w:tab/>
        </w:r>
        <w:r>
          <w:rPr>
            <w:noProof/>
            <w:webHidden/>
          </w:rPr>
          <w:fldChar w:fldCharType="begin"/>
        </w:r>
        <w:r>
          <w:rPr>
            <w:noProof/>
            <w:webHidden/>
          </w:rPr>
          <w:instrText xml:space="preserve"> PAGEREF _Toc181684893 \h </w:instrText>
        </w:r>
        <w:r>
          <w:rPr>
            <w:noProof/>
            <w:webHidden/>
          </w:rPr>
        </w:r>
        <w:r>
          <w:rPr>
            <w:noProof/>
            <w:webHidden/>
          </w:rPr>
          <w:fldChar w:fldCharType="separate"/>
        </w:r>
        <w:r>
          <w:rPr>
            <w:noProof/>
            <w:webHidden/>
          </w:rPr>
          <w:t>683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4" w:history="1">
        <w:r w:rsidRPr="001B13A4">
          <w:rPr>
            <w:rStyle w:val="Hyperlink"/>
            <w:noProof/>
          </w:rPr>
          <w:t>2.1.1858</w:t>
        </w:r>
        <w:r>
          <w:rPr>
            <w:rFonts w:asciiTheme="minorHAnsi" w:eastAsiaTheme="minorEastAsia" w:hAnsiTheme="minorHAnsi" w:cstheme="minorBidi"/>
            <w:noProof/>
            <w:sz w:val="22"/>
            <w:szCs w:val="22"/>
          </w:rPr>
          <w:tab/>
        </w:r>
        <w:r w:rsidRPr="001B13A4">
          <w:rPr>
            <w:rStyle w:val="Hyperlink"/>
            <w:noProof/>
          </w:rPr>
          <w:t>Part 4 Section 19.4.2.4, AutoFill (AutoFill)</w:t>
        </w:r>
        <w:r>
          <w:rPr>
            <w:noProof/>
            <w:webHidden/>
          </w:rPr>
          <w:tab/>
        </w:r>
        <w:r>
          <w:rPr>
            <w:noProof/>
            <w:webHidden/>
          </w:rPr>
          <w:fldChar w:fldCharType="begin"/>
        </w:r>
        <w:r>
          <w:rPr>
            <w:noProof/>
            <w:webHidden/>
          </w:rPr>
          <w:instrText xml:space="preserve"> PAGEREF _Toc181684894 \h </w:instrText>
        </w:r>
        <w:r>
          <w:rPr>
            <w:noProof/>
            <w:webHidden/>
          </w:rPr>
        </w:r>
        <w:r>
          <w:rPr>
            <w:noProof/>
            <w:webHidden/>
          </w:rPr>
          <w:fldChar w:fldCharType="separate"/>
        </w:r>
        <w:r>
          <w:rPr>
            <w:noProof/>
            <w:webHidden/>
          </w:rPr>
          <w:t>683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5" w:history="1">
        <w:r w:rsidRPr="001B13A4">
          <w:rPr>
            <w:rStyle w:val="Hyperlink"/>
            <w:noProof/>
          </w:rPr>
          <w:t>2.1.1859</w:t>
        </w:r>
        <w:r>
          <w:rPr>
            <w:rFonts w:asciiTheme="minorHAnsi" w:eastAsiaTheme="minorEastAsia" w:hAnsiTheme="minorHAnsi" w:cstheme="minorBidi"/>
            <w:noProof/>
            <w:sz w:val="22"/>
            <w:szCs w:val="22"/>
          </w:rPr>
          <w:tab/>
        </w:r>
        <w:r w:rsidRPr="001B13A4">
          <w:rPr>
            <w:rStyle w:val="Hyperlink"/>
            <w:noProof/>
          </w:rPr>
          <w:t>Part 4 Section 19.4.2.5, AutoLine (AutoLine)</w:t>
        </w:r>
        <w:r>
          <w:rPr>
            <w:noProof/>
            <w:webHidden/>
          </w:rPr>
          <w:tab/>
        </w:r>
        <w:r>
          <w:rPr>
            <w:noProof/>
            <w:webHidden/>
          </w:rPr>
          <w:fldChar w:fldCharType="begin"/>
        </w:r>
        <w:r>
          <w:rPr>
            <w:noProof/>
            <w:webHidden/>
          </w:rPr>
          <w:instrText xml:space="preserve"> PAGEREF _Toc181684895 \h </w:instrText>
        </w:r>
        <w:r>
          <w:rPr>
            <w:noProof/>
            <w:webHidden/>
          </w:rPr>
        </w:r>
        <w:r>
          <w:rPr>
            <w:noProof/>
            <w:webHidden/>
          </w:rPr>
          <w:fldChar w:fldCharType="separate"/>
        </w:r>
        <w:r>
          <w:rPr>
            <w:noProof/>
            <w:webHidden/>
          </w:rPr>
          <w:t>683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6" w:history="1">
        <w:r w:rsidRPr="001B13A4">
          <w:rPr>
            <w:rStyle w:val="Hyperlink"/>
            <w:noProof/>
          </w:rPr>
          <w:t>2.1.1860</w:t>
        </w:r>
        <w:r>
          <w:rPr>
            <w:rFonts w:asciiTheme="minorHAnsi" w:eastAsiaTheme="minorEastAsia" w:hAnsiTheme="minorHAnsi" w:cstheme="minorBidi"/>
            <w:noProof/>
            <w:sz w:val="22"/>
            <w:szCs w:val="22"/>
          </w:rPr>
          <w:tab/>
        </w:r>
        <w:r w:rsidRPr="001B13A4">
          <w:rPr>
            <w:rStyle w:val="Hyperlink"/>
            <w:noProof/>
          </w:rPr>
          <w:t>Part 4 Section 19.4.2.7, AutoScale (Font AutoScale)</w:t>
        </w:r>
        <w:r>
          <w:rPr>
            <w:noProof/>
            <w:webHidden/>
          </w:rPr>
          <w:tab/>
        </w:r>
        <w:r>
          <w:rPr>
            <w:noProof/>
            <w:webHidden/>
          </w:rPr>
          <w:fldChar w:fldCharType="begin"/>
        </w:r>
        <w:r>
          <w:rPr>
            <w:noProof/>
            <w:webHidden/>
          </w:rPr>
          <w:instrText xml:space="preserve"> PAGEREF _Toc181684896 \h </w:instrText>
        </w:r>
        <w:r>
          <w:rPr>
            <w:noProof/>
            <w:webHidden/>
          </w:rPr>
        </w:r>
        <w:r>
          <w:rPr>
            <w:noProof/>
            <w:webHidden/>
          </w:rPr>
          <w:fldChar w:fldCharType="separate"/>
        </w:r>
        <w:r>
          <w:rPr>
            <w:noProof/>
            <w:webHidden/>
          </w:rPr>
          <w:t>683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7" w:history="1">
        <w:r w:rsidRPr="001B13A4">
          <w:rPr>
            <w:rStyle w:val="Hyperlink"/>
            <w:noProof/>
          </w:rPr>
          <w:t>2.1.1861</w:t>
        </w:r>
        <w:r>
          <w:rPr>
            <w:rFonts w:asciiTheme="minorHAnsi" w:eastAsiaTheme="minorEastAsia" w:hAnsiTheme="minorHAnsi" w:cstheme="minorBidi"/>
            <w:noProof/>
            <w:sz w:val="22"/>
            <w:szCs w:val="22"/>
          </w:rPr>
          <w:tab/>
        </w:r>
        <w:r w:rsidRPr="001B13A4">
          <w:rPr>
            <w:rStyle w:val="Hyperlink"/>
            <w:noProof/>
          </w:rPr>
          <w:t>Part 4 Section 19.4.2.8, Camera (Camera Tool)</w:t>
        </w:r>
        <w:r>
          <w:rPr>
            <w:noProof/>
            <w:webHidden/>
          </w:rPr>
          <w:tab/>
        </w:r>
        <w:r>
          <w:rPr>
            <w:noProof/>
            <w:webHidden/>
          </w:rPr>
          <w:fldChar w:fldCharType="begin"/>
        </w:r>
        <w:r>
          <w:rPr>
            <w:noProof/>
            <w:webHidden/>
          </w:rPr>
          <w:instrText xml:space="preserve"> PAGEREF _Toc181684897 \h </w:instrText>
        </w:r>
        <w:r>
          <w:rPr>
            <w:noProof/>
            <w:webHidden/>
          </w:rPr>
        </w:r>
        <w:r>
          <w:rPr>
            <w:noProof/>
            <w:webHidden/>
          </w:rPr>
          <w:fldChar w:fldCharType="separate"/>
        </w:r>
        <w:r>
          <w:rPr>
            <w:noProof/>
            <w:webHidden/>
          </w:rPr>
          <w:t>683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8" w:history="1">
        <w:r w:rsidRPr="001B13A4">
          <w:rPr>
            <w:rStyle w:val="Hyperlink"/>
            <w:noProof/>
          </w:rPr>
          <w:t>2.1.1862</w:t>
        </w:r>
        <w:r>
          <w:rPr>
            <w:rFonts w:asciiTheme="minorHAnsi" w:eastAsiaTheme="minorEastAsia" w:hAnsiTheme="minorHAnsi" w:cstheme="minorBidi"/>
            <w:noProof/>
            <w:sz w:val="22"/>
            <w:szCs w:val="22"/>
          </w:rPr>
          <w:tab/>
        </w:r>
        <w:r w:rsidRPr="001B13A4">
          <w:rPr>
            <w:rStyle w:val="Hyperlink"/>
            <w:noProof/>
          </w:rPr>
          <w:t>Part 4 Section 19.4.2.10, CF (Clipboard Format)</w:t>
        </w:r>
        <w:r>
          <w:rPr>
            <w:noProof/>
            <w:webHidden/>
          </w:rPr>
          <w:tab/>
        </w:r>
        <w:r>
          <w:rPr>
            <w:noProof/>
            <w:webHidden/>
          </w:rPr>
          <w:fldChar w:fldCharType="begin"/>
        </w:r>
        <w:r>
          <w:rPr>
            <w:noProof/>
            <w:webHidden/>
          </w:rPr>
          <w:instrText xml:space="preserve"> PAGEREF _Toc181684898 \h </w:instrText>
        </w:r>
        <w:r>
          <w:rPr>
            <w:noProof/>
            <w:webHidden/>
          </w:rPr>
        </w:r>
        <w:r>
          <w:rPr>
            <w:noProof/>
            <w:webHidden/>
          </w:rPr>
          <w:fldChar w:fldCharType="separate"/>
        </w:r>
        <w:r>
          <w:rPr>
            <w:noProof/>
            <w:webHidden/>
          </w:rPr>
          <w:t>684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899" w:history="1">
        <w:r w:rsidRPr="001B13A4">
          <w:rPr>
            <w:rStyle w:val="Hyperlink"/>
            <w:noProof/>
          </w:rPr>
          <w:t>2.1.1863</w:t>
        </w:r>
        <w:r>
          <w:rPr>
            <w:rFonts w:asciiTheme="minorHAnsi" w:eastAsiaTheme="minorEastAsia" w:hAnsiTheme="minorHAnsi" w:cstheme="minorBidi"/>
            <w:noProof/>
            <w:sz w:val="22"/>
            <w:szCs w:val="22"/>
          </w:rPr>
          <w:tab/>
        </w:r>
        <w:r w:rsidRPr="001B13A4">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_Toc181684899 \h </w:instrText>
        </w:r>
        <w:r>
          <w:rPr>
            <w:noProof/>
            <w:webHidden/>
          </w:rPr>
        </w:r>
        <w:r>
          <w:rPr>
            <w:noProof/>
            <w:webHidden/>
          </w:rPr>
          <w:fldChar w:fldCharType="separate"/>
        </w:r>
        <w:r>
          <w:rPr>
            <w:noProof/>
            <w:webHidden/>
          </w:rPr>
          <w:t>684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0" w:history="1">
        <w:r w:rsidRPr="001B13A4">
          <w:rPr>
            <w:rStyle w:val="Hyperlink"/>
            <w:noProof/>
          </w:rPr>
          <w:t>2.1.1864</w:t>
        </w:r>
        <w:r>
          <w:rPr>
            <w:rFonts w:asciiTheme="minorHAnsi" w:eastAsiaTheme="minorEastAsia" w:hAnsiTheme="minorHAnsi" w:cstheme="minorBidi"/>
            <w:noProof/>
            <w:sz w:val="22"/>
            <w:szCs w:val="22"/>
          </w:rPr>
          <w:tab/>
        </w:r>
        <w:r w:rsidRPr="001B13A4">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_Toc181684900 \h </w:instrText>
        </w:r>
        <w:r>
          <w:rPr>
            <w:noProof/>
            <w:webHidden/>
          </w:rPr>
        </w:r>
        <w:r>
          <w:rPr>
            <w:noProof/>
            <w:webHidden/>
          </w:rPr>
          <w:fldChar w:fldCharType="separate"/>
        </w:r>
        <w:r>
          <w:rPr>
            <w:noProof/>
            <w:webHidden/>
          </w:rPr>
          <w:t>684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1" w:history="1">
        <w:r w:rsidRPr="001B13A4">
          <w:rPr>
            <w:rStyle w:val="Hyperlink"/>
            <w:noProof/>
          </w:rPr>
          <w:t>2.1.1865</w:t>
        </w:r>
        <w:r>
          <w:rPr>
            <w:rFonts w:asciiTheme="minorHAnsi" w:eastAsiaTheme="minorEastAsia" w:hAnsiTheme="minorHAnsi" w:cstheme="minorBidi"/>
            <w:noProof/>
            <w:sz w:val="22"/>
            <w:szCs w:val="22"/>
          </w:rPr>
          <w:tab/>
        </w:r>
        <w:r w:rsidRPr="001B13A4">
          <w:rPr>
            <w:rStyle w:val="Hyperlink"/>
            <w:noProof/>
          </w:rPr>
          <w:t>Part 4 Section 19.4.2.14, Colored (Dropdown Color Toggle)</w:t>
        </w:r>
        <w:r>
          <w:rPr>
            <w:noProof/>
            <w:webHidden/>
          </w:rPr>
          <w:tab/>
        </w:r>
        <w:r>
          <w:rPr>
            <w:noProof/>
            <w:webHidden/>
          </w:rPr>
          <w:fldChar w:fldCharType="begin"/>
        </w:r>
        <w:r>
          <w:rPr>
            <w:noProof/>
            <w:webHidden/>
          </w:rPr>
          <w:instrText xml:space="preserve"> PAGEREF _Toc181684901 \h </w:instrText>
        </w:r>
        <w:r>
          <w:rPr>
            <w:noProof/>
            <w:webHidden/>
          </w:rPr>
        </w:r>
        <w:r>
          <w:rPr>
            <w:noProof/>
            <w:webHidden/>
          </w:rPr>
          <w:fldChar w:fldCharType="separate"/>
        </w:r>
        <w:r>
          <w:rPr>
            <w:noProof/>
            <w:webHidden/>
          </w:rPr>
          <w:t>684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2" w:history="1">
        <w:r w:rsidRPr="001B13A4">
          <w:rPr>
            <w:rStyle w:val="Hyperlink"/>
            <w:noProof/>
          </w:rPr>
          <w:t>2.1.1866</w:t>
        </w:r>
        <w:r>
          <w:rPr>
            <w:rFonts w:asciiTheme="minorHAnsi" w:eastAsiaTheme="minorEastAsia" w:hAnsiTheme="minorHAnsi" w:cstheme="minorBidi"/>
            <w:noProof/>
            <w:sz w:val="22"/>
            <w:szCs w:val="22"/>
          </w:rPr>
          <w:tab/>
        </w:r>
        <w:r w:rsidRPr="001B13A4">
          <w:rPr>
            <w:rStyle w:val="Hyperlink"/>
            <w:noProof/>
          </w:rPr>
          <w:t>Part 4 Section 19.4.2.16, DDE (Dynamic Data Exchange)</w:t>
        </w:r>
        <w:r>
          <w:rPr>
            <w:noProof/>
            <w:webHidden/>
          </w:rPr>
          <w:tab/>
        </w:r>
        <w:r>
          <w:rPr>
            <w:noProof/>
            <w:webHidden/>
          </w:rPr>
          <w:fldChar w:fldCharType="begin"/>
        </w:r>
        <w:r>
          <w:rPr>
            <w:noProof/>
            <w:webHidden/>
          </w:rPr>
          <w:instrText xml:space="preserve"> PAGEREF _Toc181684902 \h </w:instrText>
        </w:r>
        <w:r>
          <w:rPr>
            <w:noProof/>
            <w:webHidden/>
          </w:rPr>
        </w:r>
        <w:r>
          <w:rPr>
            <w:noProof/>
            <w:webHidden/>
          </w:rPr>
          <w:fldChar w:fldCharType="separate"/>
        </w:r>
        <w:r>
          <w:rPr>
            <w:noProof/>
            <w:webHidden/>
          </w:rPr>
          <w:t>684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3" w:history="1">
        <w:r w:rsidRPr="001B13A4">
          <w:rPr>
            <w:rStyle w:val="Hyperlink"/>
            <w:noProof/>
          </w:rPr>
          <w:t>2.1.1867</w:t>
        </w:r>
        <w:r>
          <w:rPr>
            <w:rFonts w:asciiTheme="minorHAnsi" w:eastAsiaTheme="minorEastAsia" w:hAnsiTheme="minorHAnsi" w:cstheme="minorBidi"/>
            <w:noProof/>
            <w:sz w:val="22"/>
            <w:szCs w:val="22"/>
          </w:rPr>
          <w:tab/>
        </w:r>
        <w:r w:rsidRPr="001B13A4">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_Toc181684903 \h </w:instrText>
        </w:r>
        <w:r>
          <w:rPr>
            <w:noProof/>
            <w:webHidden/>
          </w:rPr>
        </w:r>
        <w:r>
          <w:rPr>
            <w:noProof/>
            <w:webHidden/>
          </w:rPr>
          <w:fldChar w:fldCharType="separate"/>
        </w:r>
        <w:r>
          <w:rPr>
            <w:noProof/>
            <w:webHidden/>
          </w:rPr>
          <w:t>684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4" w:history="1">
        <w:r w:rsidRPr="001B13A4">
          <w:rPr>
            <w:rStyle w:val="Hyperlink"/>
            <w:noProof/>
          </w:rPr>
          <w:t>2.1.1868</w:t>
        </w:r>
        <w:r>
          <w:rPr>
            <w:rFonts w:asciiTheme="minorHAnsi" w:eastAsiaTheme="minorEastAsia" w:hAnsiTheme="minorHAnsi" w:cstheme="minorBidi"/>
            <w:noProof/>
            <w:sz w:val="22"/>
            <w:szCs w:val="22"/>
          </w:rPr>
          <w:tab/>
        </w:r>
        <w:r w:rsidRPr="001B13A4">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_Toc181684904 \h </w:instrText>
        </w:r>
        <w:r>
          <w:rPr>
            <w:noProof/>
            <w:webHidden/>
          </w:rPr>
        </w:r>
        <w:r>
          <w:rPr>
            <w:noProof/>
            <w:webHidden/>
          </w:rPr>
          <w:fldChar w:fldCharType="separate"/>
        </w:r>
        <w:r>
          <w:rPr>
            <w:noProof/>
            <w:webHidden/>
          </w:rPr>
          <w:t>684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5" w:history="1">
        <w:r w:rsidRPr="001B13A4">
          <w:rPr>
            <w:rStyle w:val="Hyperlink"/>
            <w:noProof/>
          </w:rPr>
          <w:t>2.1.1869</w:t>
        </w:r>
        <w:r>
          <w:rPr>
            <w:rFonts w:asciiTheme="minorHAnsi" w:eastAsiaTheme="minorEastAsia" w:hAnsiTheme="minorHAnsi" w:cstheme="minorBidi"/>
            <w:noProof/>
            <w:sz w:val="22"/>
            <w:szCs w:val="22"/>
          </w:rPr>
          <w:tab/>
        </w:r>
        <w:r w:rsidRPr="001B13A4">
          <w:rPr>
            <w:rStyle w:val="Hyperlink"/>
            <w:noProof/>
          </w:rPr>
          <w:t>Part 4 Section 19.4.2.22, DropStyle (Dropdown Style)</w:t>
        </w:r>
        <w:r>
          <w:rPr>
            <w:noProof/>
            <w:webHidden/>
          </w:rPr>
          <w:tab/>
        </w:r>
        <w:r>
          <w:rPr>
            <w:noProof/>
            <w:webHidden/>
          </w:rPr>
          <w:fldChar w:fldCharType="begin"/>
        </w:r>
        <w:r>
          <w:rPr>
            <w:noProof/>
            <w:webHidden/>
          </w:rPr>
          <w:instrText xml:space="preserve"> PAGEREF _Toc181684905 \h </w:instrText>
        </w:r>
        <w:r>
          <w:rPr>
            <w:noProof/>
            <w:webHidden/>
          </w:rPr>
        </w:r>
        <w:r>
          <w:rPr>
            <w:noProof/>
            <w:webHidden/>
          </w:rPr>
          <w:fldChar w:fldCharType="separate"/>
        </w:r>
        <w:r>
          <w:rPr>
            <w:noProof/>
            <w:webHidden/>
          </w:rPr>
          <w:t>684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6" w:history="1">
        <w:r w:rsidRPr="001B13A4">
          <w:rPr>
            <w:rStyle w:val="Hyperlink"/>
            <w:noProof/>
          </w:rPr>
          <w:t>2.1.1870</w:t>
        </w:r>
        <w:r>
          <w:rPr>
            <w:rFonts w:asciiTheme="minorHAnsi" w:eastAsiaTheme="minorEastAsia" w:hAnsiTheme="minorHAnsi" w:cstheme="minorBidi"/>
            <w:noProof/>
            <w:sz w:val="22"/>
            <w:szCs w:val="22"/>
          </w:rPr>
          <w:tab/>
        </w:r>
        <w:r w:rsidRPr="001B13A4">
          <w:rPr>
            <w:rStyle w:val="Hyperlink"/>
            <w:noProof/>
          </w:rPr>
          <w:t>Part 4 Section 19.4.2.23, Dx (Scroll Bar Width)</w:t>
        </w:r>
        <w:r>
          <w:rPr>
            <w:noProof/>
            <w:webHidden/>
          </w:rPr>
          <w:tab/>
        </w:r>
        <w:r>
          <w:rPr>
            <w:noProof/>
            <w:webHidden/>
          </w:rPr>
          <w:fldChar w:fldCharType="begin"/>
        </w:r>
        <w:r>
          <w:rPr>
            <w:noProof/>
            <w:webHidden/>
          </w:rPr>
          <w:instrText xml:space="preserve"> PAGEREF _Toc181684906 \h </w:instrText>
        </w:r>
        <w:r>
          <w:rPr>
            <w:noProof/>
            <w:webHidden/>
          </w:rPr>
        </w:r>
        <w:r>
          <w:rPr>
            <w:noProof/>
            <w:webHidden/>
          </w:rPr>
          <w:fldChar w:fldCharType="separate"/>
        </w:r>
        <w:r>
          <w:rPr>
            <w:noProof/>
            <w:webHidden/>
          </w:rPr>
          <w:t>685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7" w:history="1">
        <w:r w:rsidRPr="001B13A4">
          <w:rPr>
            <w:rStyle w:val="Hyperlink"/>
            <w:noProof/>
          </w:rPr>
          <w:t>2.1.1871</w:t>
        </w:r>
        <w:r>
          <w:rPr>
            <w:rFonts w:asciiTheme="minorHAnsi" w:eastAsiaTheme="minorEastAsia" w:hAnsiTheme="minorHAnsi" w:cstheme="minorBidi"/>
            <w:noProof/>
            <w:sz w:val="22"/>
            <w:szCs w:val="22"/>
          </w:rPr>
          <w:tab/>
        </w:r>
        <w:r w:rsidRPr="001B13A4">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_Toc181684907 \h </w:instrText>
        </w:r>
        <w:r>
          <w:rPr>
            <w:noProof/>
            <w:webHidden/>
          </w:rPr>
        </w:r>
        <w:r>
          <w:rPr>
            <w:noProof/>
            <w:webHidden/>
          </w:rPr>
          <w:fldChar w:fldCharType="separate"/>
        </w:r>
        <w:r>
          <w:rPr>
            <w:noProof/>
            <w:webHidden/>
          </w:rPr>
          <w:t>685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8" w:history="1">
        <w:r w:rsidRPr="001B13A4">
          <w:rPr>
            <w:rStyle w:val="Hyperlink"/>
            <w:noProof/>
          </w:rPr>
          <w:t>2.1.1872</w:t>
        </w:r>
        <w:r>
          <w:rPr>
            <w:rFonts w:asciiTheme="minorHAnsi" w:eastAsiaTheme="minorEastAsia" w:hAnsiTheme="minorHAnsi" w:cstheme="minorBidi"/>
            <w:noProof/>
            <w:sz w:val="22"/>
            <w:szCs w:val="22"/>
          </w:rPr>
          <w:tab/>
        </w:r>
        <w:r w:rsidRPr="001B13A4">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_Toc181684908 \h </w:instrText>
        </w:r>
        <w:r>
          <w:rPr>
            <w:noProof/>
            <w:webHidden/>
          </w:rPr>
        </w:r>
        <w:r>
          <w:rPr>
            <w:noProof/>
            <w:webHidden/>
          </w:rPr>
          <w:fldChar w:fldCharType="separate"/>
        </w:r>
        <w:r>
          <w:rPr>
            <w:noProof/>
            <w:webHidden/>
          </w:rPr>
          <w:t>685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09" w:history="1">
        <w:r w:rsidRPr="001B13A4">
          <w:rPr>
            <w:rStyle w:val="Hyperlink"/>
            <w:noProof/>
          </w:rPr>
          <w:t>2.1.1873</w:t>
        </w:r>
        <w:r>
          <w:rPr>
            <w:rFonts w:asciiTheme="minorHAnsi" w:eastAsiaTheme="minorEastAsia" w:hAnsiTheme="minorHAnsi" w:cstheme="minorBidi"/>
            <w:noProof/>
            <w:sz w:val="22"/>
            <w:szCs w:val="22"/>
          </w:rPr>
          <w:tab/>
        </w:r>
        <w:r w:rsidRPr="001B13A4">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_Toc181684909 \h </w:instrText>
        </w:r>
        <w:r>
          <w:rPr>
            <w:noProof/>
            <w:webHidden/>
          </w:rPr>
        </w:r>
        <w:r>
          <w:rPr>
            <w:noProof/>
            <w:webHidden/>
          </w:rPr>
          <w:fldChar w:fldCharType="separate"/>
        </w:r>
        <w:r>
          <w:rPr>
            <w:noProof/>
            <w:webHidden/>
          </w:rPr>
          <w:t>685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0" w:history="1">
        <w:r w:rsidRPr="001B13A4">
          <w:rPr>
            <w:rStyle w:val="Hyperlink"/>
            <w:noProof/>
          </w:rPr>
          <w:t>2.1.1874</w:t>
        </w:r>
        <w:r>
          <w:rPr>
            <w:rFonts w:asciiTheme="minorHAnsi" w:eastAsiaTheme="minorEastAsia" w:hAnsiTheme="minorHAnsi" w:cstheme="minorBidi"/>
            <w:noProof/>
            <w:sz w:val="22"/>
            <w:szCs w:val="22"/>
          </w:rPr>
          <w:tab/>
        </w:r>
        <w:r w:rsidRPr="001B13A4">
          <w:rPr>
            <w:rStyle w:val="Hyperlink"/>
            <w:noProof/>
          </w:rPr>
          <w:t>Part 4 Section 19.4.2.30, FmlaTxbx (Text Formula)</w:t>
        </w:r>
        <w:r>
          <w:rPr>
            <w:noProof/>
            <w:webHidden/>
          </w:rPr>
          <w:tab/>
        </w:r>
        <w:r>
          <w:rPr>
            <w:noProof/>
            <w:webHidden/>
          </w:rPr>
          <w:fldChar w:fldCharType="begin"/>
        </w:r>
        <w:r>
          <w:rPr>
            <w:noProof/>
            <w:webHidden/>
          </w:rPr>
          <w:instrText xml:space="preserve"> PAGEREF _Toc181684910 \h </w:instrText>
        </w:r>
        <w:r>
          <w:rPr>
            <w:noProof/>
            <w:webHidden/>
          </w:rPr>
        </w:r>
        <w:r>
          <w:rPr>
            <w:noProof/>
            <w:webHidden/>
          </w:rPr>
          <w:fldChar w:fldCharType="separate"/>
        </w:r>
        <w:r>
          <w:rPr>
            <w:noProof/>
            <w:webHidden/>
          </w:rPr>
          <w:t>685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1" w:history="1">
        <w:r w:rsidRPr="001B13A4">
          <w:rPr>
            <w:rStyle w:val="Hyperlink"/>
            <w:noProof/>
          </w:rPr>
          <w:t>2.1.1875</w:t>
        </w:r>
        <w:r>
          <w:rPr>
            <w:rFonts w:asciiTheme="minorHAnsi" w:eastAsiaTheme="minorEastAsia" w:hAnsiTheme="minorHAnsi" w:cstheme="minorBidi"/>
            <w:noProof/>
            <w:sz w:val="22"/>
            <w:szCs w:val="22"/>
          </w:rPr>
          <w:tab/>
        </w:r>
        <w:r w:rsidRPr="001B13A4">
          <w:rPr>
            <w:rStyle w:val="Hyperlink"/>
            <w:noProof/>
          </w:rPr>
          <w:t>Part 4 Section 19.4.2.32, Horiz (Scroll Bar Orientation)</w:t>
        </w:r>
        <w:r>
          <w:rPr>
            <w:noProof/>
            <w:webHidden/>
          </w:rPr>
          <w:tab/>
        </w:r>
        <w:r>
          <w:rPr>
            <w:noProof/>
            <w:webHidden/>
          </w:rPr>
          <w:fldChar w:fldCharType="begin"/>
        </w:r>
        <w:r>
          <w:rPr>
            <w:noProof/>
            <w:webHidden/>
          </w:rPr>
          <w:instrText xml:space="preserve"> PAGEREF _Toc181684911 \h </w:instrText>
        </w:r>
        <w:r>
          <w:rPr>
            <w:noProof/>
            <w:webHidden/>
          </w:rPr>
        </w:r>
        <w:r>
          <w:rPr>
            <w:noProof/>
            <w:webHidden/>
          </w:rPr>
          <w:fldChar w:fldCharType="separate"/>
        </w:r>
        <w:r>
          <w:rPr>
            <w:noProof/>
            <w:webHidden/>
          </w:rPr>
          <w:t>685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2" w:history="1">
        <w:r w:rsidRPr="001B13A4">
          <w:rPr>
            <w:rStyle w:val="Hyperlink"/>
            <w:noProof/>
          </w:rPr>
          <w:t>2.1.1876</w:t>
        </w:r>
        <w:r>
          <w:rPr>
            <w:rFonts w:asciiTheme="minorHAnsi" w:eastAsiaTheme="minorEastAsia" w:hAnsiTheme="minorHAnsi" w:cstheme="minorBidi"/>
            <w:noProof/>
            <w:sz w:val="22"/>
            <w:szCs w:val="22"/>
          </w:rPr>
          <w:tab/>
        </w:r>
        <w:r w:rsidRPr="001B13A4">
          <w:rPr>
            <w:rStyle w:val="Hyperlink"/>
            <w:noProof/>
          </w:rPr>
          <w:t>Part 4 Section 19.4.2.33, Inc (Scroll Bar Increment)</w:t>
        </w:r>
        <w:r>
          <w:rPr>
            <w:noProof/>
            <w:webHidden/>
          </w:rPr>
          <w:tab/>
        </w:r>
        <w:r>
          <w:rPr>
            <w:noProof/>
            <w:webHidden/>
          </w:rPr>
          <w:fldChar w:fldCharType="begin"/>
        </w:r>
        <w:r>
          <w:rPr>
            <w:noProof/>
            <w:webHidden/>
          </w:rPr>
          <w:instrText xml:space="preserve"> PAGEREF _Toc181684912 \h </w:instrText>
        </w:r>
        <w:r>
          <w:rPr>
            <w:noProof/>
            <w:webHidden/>
          </w:rPr>
        </w:r>
        <w:r>
          <w:rPr>
            <w:noProof/>
            <w:webHidden/>
          </w:rPr>
          <w:fldChar w:fldCharType="separate"/>
        </w:r>
        <w:r>
          <w:rPr>
            <w:noProof/>
            <w:webHidden/>
          </w:rPr>
          <w:t>685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3" w:history="1">
        <w:r w:rsidRPr="001B13A4">
          <w:rPr>
            <w:rStyle w:val="Hyperlink"/>
            <w:noProof/>
          </w:rPr>
          <w:t>2.1.1877</w:t>
        </w:r>
        <w:r>
          <w:rPr>
            <w:rFonts w:asciiTheme="minorHAnsi" w:eastAsiaTheme="minorEastAsia" w:hAnsiTheme="minorHAnsi" w:cstheme="minorBidi"/>
            <w:noProof/>
            <w:sz w:val="22"/>
            <w:szCs w:val="22"/>
          </w:rPr>
          <w:tab/>
        </w:r>
        <w:r w:rsidRPr="001B13A4">
          <w:rPr>
            <w:rStyle w:val="Hyperlink"/>
            <w:noProof/>
          </w:rPr>
          <w:t>Part 4 Section 19.4.2.35, LCT (Callback Type)</w:t>
        </w:r>
        <w:r>
          <w:rPr>
            <w:noProof/>
            <w:webHidden/>
          </w:rPr>
          <w:tab/>
        </w:r>
        <w:r>
          <w:rPr>
            <w:noProof/>
            <w:webHidden/>
          </w:rPr>
          <w:fldChar w:fldCharType="begin"/>
        </w:r>
        <w:r>
          <w:rPr>
            <w:noProof/>
            <w:webHidden/>
          </w:rPr>
          <w:instrText xml:space="preserve"> PAGEREF _Toc181684913 \h </w:instrText>
        </w:r>
        <w:r>
          <w:rPr>
            <w:noProof/>
            <w:webHidden/>
          </w:rPr>
        </w:r>
        <w:r>
          <w:rPr>
            <w:noProof/>
            <w:webHidden/>
          </w:rPr>
          <w:fldChar w:fldCharType="separate"/>
        </w:r>
        <w:r>
          <w:rPr>
            <w:noProof/>
            <w:webHidden/>
          </w:rPr>
          <w:t>686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4" w:history="1">
        <w:r w:rsidRPr="001B13A4">
          <w:rPr>
            <w:rStyle w:val="Hyperlink"/>
            <w:noProof/>
          </w:rPr>
          <w:t>2.1.1878</w:t>
        </w:r>
        <w:r>
          <w:rPr>
            <w:rFonts w:asciiTheme="minorHAnsi" w:eastAsiaTheme="minorEastAsia" w:hAnsiTheme="minorHAnsi" w:cstheme="minorBidi"/>
            <w:noProof/>
            <w:sz w:val="22"/>
            <w:szCs w:val="22"/>
          </w:rPr>
          <w:tab/>
        </w:r>
        <w:r w:rsidRPr="001B13A4">
          <w:rPr>
            <w:rStyle w:val="Hyperlink"/>
            <w:noProof/>
          </w:rPr>
          <w:t>Part 4 Section 19.4.2.36, ListItem (Non-linked List Item)</w:t>
        </w:r>
        <w:r>
          <w:rPr>
            <w:noProof/>
            <w:webHidden/>
          </w:rPr>
          <w:tab/>
        </w:r>
        <w:r>
          <w:rPr>
            <w:noProof/>
            <w:webHidden/>
          </w:rPr>
          <w:fldChar w:fldCharType="begin"/>
        </w:r>
        <w:r>
          <w:rPr>
            <w:noProof/>
            <w:webHidden/>
          </w:rPr>
          <w:instrText xml:space="preserve"> PAGEREF _Toc181684914 \h </w:instrText>
        </w:r>
        <w:r>
          <w:rPr>
            <w:noProof/>
            <w:webHidden/>
          </w:rPr>
        </w:r>
        <w:r>
          <w:rPr>
            <w:noProof/>
            <w:webHidden/>
          </w:rPr>
          <w:fldChar w:fldCharType="separate"/>
        </w:r>
        <w:r>
          <w:rPr>
            <w:noProof/>
            <w:webHidden/>
          </w:rPr>
          <w:t>686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5" w:history="1">
        <w:r w:rsidRPr="001B13A4">
          <w:rPr>
            <w:rStyle w:val="Hyperlink"/>
            <w:noProof/>
          </w:rPr>
          <w:t>2.1.1879</w:t>
        </w:r>
        <w:r>
          <w:rPr>
            <w:rFonts w:asciiTheme="minorHAnsi" w:eastAsiaTheme="minorEastAsia" w:hAnsiTheme="minorHAnsi" w:cstheme="minorBidi"/>
            <w:noProof/>
            <w:sz w:val="22"/>
            <w:szCs w:val="22"/>
          </w:rPr>
          <w:tab/>
        </w:r>
        <w:r w:rsidRPr="001B13A4">
          <w:rPr>
            <w:rStyle w:val="Hyperlink"/>
            <w:noProof/>
          </w:rPr>
          <w:t>Part 4 Section 19.4.2.40, Max (Scroll Bar Maximum)</w:t>
        </w:r>
        <w:r>
          <w:rPr>
            <w:noProof/>
            <w:webHidden/>
          </w:rPr>
          <w:tab/>
        </w:r>
        <w:r>
          <w:rPr>
            <w:noProof/>
            <w:webHidden/>
          </w:rPr>
          <w:fldChar w:fldCharType="begin"/>
        </w:r>
        <w:r>
          <w:rPr>
            <w:noProof/>
            <w:webHidden/>
          </w:rPr>
          <w:instrText xml:space="preserve"> PAGEREF _Toc181684915 \h </w:instrText>
        </w:r>
        <w:r>
          <w:rPr>
            <w:noProof/>
            <w:webHidden/>
          </w:rPr>
        </w:r>
        <w:r>
          <w:rPr>
            <w:noProof/>
            <w:webHidden/>
          </w:rPr>
          <w:fldChar w:fldCharType="separate"/>
        </w:r>
        <w:r>
          <w:rPr>
            <w:noProof/>
            <w:webHidden/>
          </w:rPr>
          <w:t>686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6" w:history="1">
        <w:r w:rsidRPr="001B13A4">
          <w:rPr>
            <w:rStyle w:val="Hyperlink"/>
            <w:noProof/>
          </w:rPr>
          <w:t>2.1.1880</w:t>
        </w:r>
        <w:r>
          <w:rPr>
            <w:rFonts w:asciiTheme="minorHAnsi" w:eastAsiaTheme="minorEastAsia" w:hAnsiTheme="minorHAnsi" w:cstheme="minorBidi"/>
            <w:noProof/>
            <w:sz w:val="22"/>
            <w:szCs w:val="22"/>
          </w:rPr>
          <w:tab/>
        </w:r>
        <w:r w:rsidRPr="001B13A4">
          <w:rPr>
            <w:rStyle w:val="Hyperlink"/>
            <w:noProof/>
          </w:rPr>
          <w:t>Part 4 Section 19.4.2.41, Min (Scroll Bar Minimum)</w:t>
        </w:r>
        <w:r>
          <w:rPr>
            <w:noProof/>
            <w:webHidden/>
          </w:rPr>
          <w:tab/>
        </w:r>
        <w:r>
          <w:rPr>
            <w:noProof/>
            <w:webHidden/>
          </w:rPr>
          <w:fldChar w:fldCharType="begin"/>
        </w:r>
        <w:r>
          <w:rPr>
            <w:noProof/>
            <w:webHidden/>
          </w:rPr>
          <w:instrText xml:space="preserve"> PAGEREF _Toc181684916 \h </w:instrText>
        </w:r>
        <w:r>
          <w:rPr>
            <w:noProof/>
            <w:webHidden/>
          </w:rPr>
        </w:r>
        <w:r>
          <w:rPr>
            <w:noProof/>
            <w:webHidden/>
          </w:rPr>
          <w:fldChar w:fldCharType="separate"/>
        </w:r>
        <w:r>
          <w:rPr>
            <w:noProof/>
            <w:webHidden/>
          </w:rPr>
          <w:t>686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7" w:history="1">
        <w:r w:rsidRPr="001B13A4">
          <w:rPr>
            <w:rStyle w:val="Hyperlink"/>
            <w:noProof/>
          </w:rPr>
          <w:t>2.1.1881</w:t>
        </w:r>
        <w:r>
          <w:rPr>
            <w:rFonts w:asciiTheme="minorHAnsi" w:eastAsiaTheme="minorEastAsia" w:hAnsiTheme="minorHAnsi" w:cstheme="minorBidi"/>
            <w:noProof/>
            <w:sz w:val="22"/>
            <w:szCs w:val="22"/>
          </w:rPr>
          <w:tab/>
        </w:r>
        <w:r w:rsidRPr="001B13A4">
          <w:rPr>
            <w:rStyle w:val="Hyperlink"/>
            <w:noProof/>
          </w:rPr>
          <w:t>Part 4 Section 19.4.2.42, MoveWithCells (Move with Cells)</w:t>
        </w:r>
        <w:r>
          <w:rPr>
            <w:noProof/>
            <w:webHidden/>
          </w:rPr>
          <w:tab/>
        </w:r>
        <w:r>
          <w:rPr>
            <w:noProof/>
            <w:webHidden/>
          </w:rPr>
          <w:fldChar w:fldCharType="begin"/>
        </w:r>
        <w:r>
          <w:rPr>
            <w:noProof/>
            <w:webHidden/>
          </w:rPr>
          <w:instrText xml:space="preserve"> PAGEREF _Toc181684917 \h </w:instrText>
        </w:r>
        <w:r>
          <w:rPr>
            <w:noProof/>
            <w:webHidden/>
          </w:rPr>
        </w:r>
        <w:r>
          <w:rPr>
            <w:noProof/>
            <w:webHidden/>
          </w:rPr>
          <w:fldChar w:fldCharType="separate"/>
        </w:r>
        <w:r>
          <w:rPr>
            <w:noProof/>
            <w:webHidden/>
          </w:rPr>
          <w:t>686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8" w:history="1">
        <w:r w:rsidRPr="001B13A4">
          <w:rPr>
            <w:rStyle w:val="Hyperlink"/>
            <w:noProof/>
          </w:rPr>
          <w:t>2.1.1882</w:t>
        </w:r>
        <w:r>
          <w:rPr>
            <w:rFonts w:asciiTheme="minorHAnsi" w:eastAsiaTheme="minorEastAsia" w:hAnsiTheme="minorHAnsi" w:cstheme="minorBidi"/>
            <w:noProof/>
            <w:sz w:val="22"/>
            <w:szCs w:val="22"/>
          </w:rPr>
          <w:tab/>
        </w:r>
        <w:r w:rsidRPr="001B13A4">
          <w:rPr>
            <w:rStyle w:val="Hyperlink"/>
            <w:noProof/>
          </w:rPr>
          <w:t>Part 4 Section 19.4.2.45, NoThreeD (Disable 3D)</w:t>
        </w:r>
        <w:r>
          <w:rPr>
            <w:noProof/>
            <w:webHidden/>
          </w:rPr>
          <w:tab/>
        </w:r>
        <w:r>
          <w:rPr>
            <w:noProof/>
            <w:webHidden/>
          </w:rPr>
          <w:fldChar w:fldCharType="begin"/>
        </w:r>
        <w:r>
          <w:rPr>
            <w:noProof/>
            <w:webHidden/>
          </w:rPr>
          <w:instrText xml:space="preserve"> PAGEREF _Toc181684918 \h </w:instrText>
        </w:r>
        <w:r>
          <w:rPr>
            <w:noProof/>
            <w:webHidden/>
          </w:rPr>
        </w:r>
        <w:r>
          <w:rPr>
            <w:noProof/>
            <w:webHidden/>
          </w:rPr>
          <w:fldChar w:fldCharType="separate"/>
        </w:r>
        <w:r>
          <w:rPr>
            <w:noProof/>
            <w:webHidden/>
          </w:rPr>
          <w:t>686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19" w:history="1">
        <w:r w:rsidRPr="001B13A4">
          <w:rPr>
            <w:rStyle w:val="Hyperlink"/>
            <w:noProof/>
          </w:rPr>
          <w:t>2.1.1883</w:t>
        </w:r>
        <w:r>
          <w:rPr>
            <w:rFonts w:asciiTheme="minorHAnsi" w:eastAsiaTheme="minorEastAsia" w:hAnsiTheme="minorHAnsi" w:cstheme="minorBidi"/>
            <w:noProof/>
            <w:sz w:val="22"/>
            <w:szCs w:val="22"/>
          </w:rPr>
          <w:tab/>
        </w:r>
        <w:r w:rsidRPr="001B13A4">
          <w:rPr>
            <w:rStyle w:val="Hyperlink"/>
            <w:noProof/>
          </w:rPr>
          <w:t>Part 4 Section 19.4.2.47, Page (Scroll Bar Page Increment)</w:t>
        </w:r>
        <w:r>
          <w:rPr>
            <w:noProof/>
            <w:webHidden/>
          </w:rPr>
          <w:tab/>
        </w:r>
        <w:r>
          <w:rPr>
            <w:noProof/>
            <w:webHidden/>
          </w:rPr>
          <w:fldChar w:fldCharType="begin"/>
        </w:r>
        <w:r>
          <w:rPr>
            <w:noProof/>
            <w:webHidden/>
          </w:rPr>
          <w:instrText xml:space="preserve"> PAGEREF _Toc181684919 \h </w:instrText>
        </w:r>
        <w:r>
          <w:rPr>
            <w:noProof/>
            <w:webHidden/>
          </w:rPr>
        </w:r>
        <w:r>
          <w:rPr>
            <w:noProof/>
            <w:webHidden/>
          </w:rPr>
          <w:fldChar w:fldCharType="separate"/>
        </w:r>
        <w:r>
          <w:rPr>
            <w:noProof/>
            <w:webHidden/>
          </w:rPr>
          <w:t>686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0" w:history="1">
        <w:r w:rsidRPr="001B13A4">
          <w:rPr>
            <w:rStyle w:val="Hyperlink"/>
            <w:noProof/>
          </w:rPr>
          <w:t>2.1.1884</w:t>
        </w:r>
        <w:r>
          <w:rPr>
            <w:rFonts w:asciiTheme="minorHAnsi" w:eastAsiaTheme="minorEastAsia" w:hAnsiTheme="minorHAnsi" w:cstheme="minorBidi"/>
            <w:noProof/>
            <w:sz w:val="22"/>
            <w:szCs w:val="22"/>
          </w:rPr>
          <w:tab/>
        </w:r>
        <w:r w:rsidRPr="001B13A4">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_Toc181684920 \h </w:instrText>
        </w:r>
        <w:r>
          <w:rPr>
            <w:noProof/>
            <w:webHidden/>
          </w:rPr>
        </w:r>
        <w:r>
          <w:rPr>
            <w:noProof/>
            <w:webHidden/>
          </w:rPr>
          <w:fldChar w:fldCharType="separate"/>
        </w:r>
        <w:r>
          <w:rPr>
            <w:noProof/>
            <w:webHidden/>
          </w:rPr>
          <w:t>686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1" w:history="1">
        <w:r w:rsidRPr="001B13A4">
          <w:rPr>
            <w:rStyle w:val="Hyperlink"/>
            <w:noProof/>
          </w:rPr>
          <w:t>2.1.1885</w:t>
        </w:r>
        <w:r>
          <w:rPr>
            <w:rFonts w:asciiTheme="minorHAnsi" w:eastAsiaTheme="minorEastAsia" w:hAnsiTheme="minorHAnsi" w:cstheme="minorBidi"/>
            <w:noProof/>
            <w:sz w:val="22"/>
            <w:szCs w:val="22"/>
          </w:rPr>
          <w:tab/>
        </w:r>
        <w:r w:rsidRPr="001B13A4">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_Toc181684921 \h </w:instrText>
        </w:r>
        <w:r>
          <w:rPr>
            <w:noProof/>
            <w:webHidden/>
          </w:rPr>
        </w:r>
        <w:r>
          <w:rPr>
            <w:noProof/>
            <w:webHidden/>
          </w:rPr>
          <w:fldChar w:fldCharType="separate"/>
        </w:r>
        <w:r>
          <w:rPr>
            <w:noProof/>
            <w:webHidden/>
          </w:rPr>
          <w:t>687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2" w:history="1">
        <w:r w:rsidRPr="001B13A4">
          <w:rPr>
            <w:rStyle w:val="Hyperlink"/>
            <w:noProof/>
          </w:rPr>
          <w:t>2.1.1886</w:t>
        </w:r>
        <w:r>
          <w:rPr>
            <w:rFonts w:asciiTheme="minorHAnsi" w:eastAsiaTheme="minorEastAsia" w:hAnsiTheme="minorHAnsi" w:cstheme="minorBidi"/>
            <w:noProof/>
            <w:sz w:val="22"/>
            <w:szCs w:val="22"/>
          </w:rPr>
          <w:tab/>
        </w:r>
        <w:r w:rsidRPr="001B13A4">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_Toc181684922 \h </w:instrText>
        </w:r>
        <w:r>
          <w:rPr>
            <w:noProof/>
            <w:webHidden/>
          </w:rPr>
        </w:r>
        <w:r>
          <w:rPr>
            <w:noProof/>
            <w:webHidden/>
          </w:rPr>
          <w:fldChar w:fldCharType="separate"/>
        </w:r>
        <w:r>
          <w:rPr>
            <w:noProof/>
            <w:webHidden/>
          </w:rPr>
          <w:t>687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3" w:history="1">
        <w:r w:rsidRPr="001B13A4">
          <w:rPr>
            <w:rStyle w:val="Hyperlink"/>
            <w:noProof/>
          </w:rPr>
          <w:t>2.1.1887</w:t>
        </w:r>
        <w:r>
          <w:rPr>
            <w:rFonts w:asciiTheme="minorHAnsi" w:eastAsiaTheme="minorEastAsia" w:hAnsiTheme="minorHAnsi" w:cstheme="minorBidi"/>
            <w:noProof/>
            <w:sz w:val="22"/>
            <w:szCs w:val="22"/>
          </w:rPr>
          <w:tab/>
        </w:r>
        <w:r w:rsidRPr="001B13A4">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_Toc181684923 \h </w:instrText>
        </w:r>
        <w:r>
          <w:rPr>
            <w:noProof/>
            <w:webHidden/>
          </w:rPr>
        </w:r>
        <w:r>
          <w:rPr>
            <w:noProof/>
            <w:webHidden/>
          </w:rPr>
          <w:fldChar w:fldCharType="separate"/>
        </w:r>
        <w:r>
          <w:rPr>
            <w:noProof/>
            <w:webHidden/>
          </w:rPr>
          <w:t>687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4" w:history="1">
        <w:r w:rsidRPr="001B13A4">
          <w:rPr>
            <w:rStyle w:val="Hyperlink"/>
            <w:noProof/>
          </w:rPr>
          <w:t>2.1.1888</w:t>
        </w:r>
        <w:r>
          <w:rPr>
            <w:rFonts w:asciiTheme="minorHAnsi" w:eastAsiaTheme="minorEastAsia" w:hAnsiTheme="minorHAnsi" w:cstheme="minorBidi"/>
            <w:noProof/>
            <w:sz w:val="22"/>
            <w:szCs w:val="22"/>
          </w:rPr>
          <w:tab/>
        </w:r>
        <w:r w:rsidRPr="001B13A4">
          <w:rPr>
            <w:rStyle w:val="Hyperlink"/>
            <w:noProof/>
          </w:rPr>
          <w:t>Part 4 Section 19.4.2.62, UIObj (UI Object Toggle)</w:t>
        </w:r>
        <w:r>
          <w:rPr>
            <w:noProof/>
            <w:webHidden/>
          </w:rPr>
          <w:tab/>
        </w:r>
        <w:r>
          <w:rPr>
            <w:noProof/>
            <w:webHidden/>
          </w:rPr>
          <w:fldChar w:fldCharType="begin"/>
        </w:r>
        <w:r>
          <w:rPr>
            <w:noProof/>
            <w:webHidden/>
          </w:rPr>
          <w:instrText xml:space="preserve"> PAGEREF _Toc181684924 \h </w:instrText>
        </w:r>
        <w:r>
          <w:rPr>
            <w:noProof/>
            <w:webHidden/>
          </w:rPr>
        </w:r>
        <w:r>
          <w:rPr>
            <w:noProof/>
            <w:webHidden/>
          </w:rPr>
          <w:fldChar w:fldCharType="separate"/>
        </w:r>
        <w:r>
          <w:rPr>
            <w:noProof/>
            <w:webHidden/>
          </w:rPr>
          <w:t>687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5" w:history="1">
        <w:r w:rsidRPr="001B13A4">
          <w:rPr>
            <w:rStyle w:val="Hyperlink"/>
            <w:noProof/>
          </w:rPr>
          <w:t>2.1.1889</w:t>
        </w:r>
        <w:r>
          <w:rPr>
            <w:rFonts w:asciiTheme="minorHAnsi" w:eastAsiaTheme="minorEastAsia" w:hAnsiTheme="minorHAnsi" w:cstheme="minorBidi"/>
            <w:noProof/>
            <w:sz w:val="22"/>
            <w:szCs w:val="22"/>
          </w:rPr>
          <w:tab/>
        </w:r>
        <w:r w:rsidRPr="001B13A4">
          <w:rPr>
            <w:rStyle w:val="Hyperlink"/>
            <w:noProof/>
          </w:rPr>
          <w:t>Part 4 Section 19.4.2.63, Val (Scroll bar position)</w:t>
        </w:r>
        <w:r>
          <w:rPr>
            <w:noProof/>
            <w:webHidden/>
          </w:rPr>
          <w:tab/>
        </w:r>
        <w:r>
          <w:rPr>
            <w:noProof/>
            <w:webHidden/>
          </w:rPr>
          <w:fldChar w:fldCharType="begin"/>
        </w:r>
        <w:r>
          <w:rPr>
            <w:noProof/>
            <w:webHidden/>
          </w:rPr>
          <w:instrText xml:space="preserve"> PAGEREF _Toc181684925 \h </w:instrText>
        </w:r>
        <w:r>
          <w:rPr>
            <w:noProof/>
            <w:webHidden/>
          </w:rPr>
        </w:r>
        <w:r>
          <w:rPr>
            <w:noProof/>
            <w:webHidden/>
          </w:rPr>
          <w:fldChar w:fldCharType="separate"/>
        </w:r>
        <w:r>
          <w:rPr>
            <w:noProof/>
            <w:webHidden/>
          </w:rPr>
          <w:t>687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6" w:history="1">
        <w:r w:rsidRPr="001B13A4">
          <w:rPr>
            <w:rStyle w:val="Hyperlink"/>
            <w:noProof/>
          </w:rPr>
          <w:t>2.1.1890</w:t>
        </w:r>
        <w:r>
          <w:rPr>
            <w:rFonts w:asciiTheme="minorHAnsi" w:eastAsiaTheme="minorEastAsia" w:hAnsiTheme="minorHAnsi" w:cstheme="minorBidi"/>
            <w:noProof/>
            <w:sz w:val="22"/>
            <w:szCs w:val="22"/>
          </w:rPr>
          <w:tab/>
        </w:r>
        <w:r w:rsidRPr="001B13A4">
          <w:rPr>
            <w:rStyle w:val="Hyperlink"/>
            <w:noProof/>
          </w:rPr>
          <w:t>Part 4 Section 19.4.2.64, ValidIds (Valid ID)</w:t>
        </w:r>
        <w:r>
          <w:rPr>
            <w:noProof/>
            <w:webHidden/>
          </w:rPr>
          <w:tab/>
        </w:r>
        <w:r>
          <w:rPr>
            <w:noProof/>
            <w:webHidden/>
          </w:rPr>
          <w:fldChar w:fldCharType="begin"/>
        </w:r>
        <w:r>
          <w:rPr>
            <w:noProof/>
            <w:webHidden/>
          </w:rPr>
          <w:instrText xml:space="preserve"> PAGEREF _Toc181684926 \h </w:instrText>
        </w:r>
        <w:r>
          <w:rPr>
            <w:noProof/>
            <w:webHidden/>
          </w:rPr>
        </w:r>
        <w:r>
          <w:rPr>
            <w:noProof/>
            <w:webHidden/>
          </w:rPr>
          <w:fldChar w:fldCharType="separate"/>
        </w:r>
        <w:r>
          <w:rPr>
            <w:noProof/>
            <w:webHidden/>
          </w:rPr>
          <w:t>687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7" w:history="1">
        <w:r w:rsidRPr="001B13A4">
          <w:rPr>
            <w:rStyle w:val="Hyperlink"/>
            <w:noProof/>
          </w:rPr>
          <w:t>2.1.1891</w:t>
        </w:r>
        <w:r>
          <w:rPr>
            <w:rFonts w:asciiTheme="minorHAnsi" w:eastAsiaTheme="minorEastAsia" w:hAnsiTheme="minorHAnsi" w:cstheme="minorBidi"/>
            <w:noProof/>
            <w:sz w:val="22"/>
            <w:szCs w:val="22"/>
          </w:rPr>
          <w:tab/>
        </w:r>
        <w:r w:rsidRPr="001B13A4">
          <w:rPr>
            <w:rStyle w:val="Hyperlink"/>
            <w:noProof/>
          </w:rPr>
          <w:t>Part 4 Section 19.4.2.68, WidthMin (Minimum Width)</w:t>
        </w:r>
        <w:r>
          <w:rPr>
            <w:noProof/>
            <w:webHidden/>
          </w:rPr>
          <w:tab/>
        </w:r>
        <w:r>
          <w:rPr>
            <w:noProof/>
            <w:webHidden/>
          </w:rPr>
          <w:fldChar w:fldCharType="begin"/>
        </w:r>
        <w:r>
          <w:rPr>
            <w:noProof/>
            <w:webHidden/>
          </w:rPr>
          <w:instrText xml:space="preserve"> PAGEREF _Toc181684927 \h </w:instrText>
        </w:r>
        <w:r>
          <w:rPr>
            <w:noProof/>
            <w:webHidden/>
          </w:rPr>
        </w:r>
        <w:r>
          <w:rPr>
            <w:noProof/>
            <w:webHidden/>
          </w:rPr>
          <w:fldChar w:fldCharType="separate"/>
        </w:r>
        <w:r>
          <w:rPr>
            <w:noProof/>
            <w:webHidden/>
          </w:rPr>
          <w:t>687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8" w:history="1">
        <w:r w:rsidRPr="001B13A4">
          <w:rPr>
            <w:rStyle w:val="Hyperlink"/>
            <w:noProof/>
          </w:rPr>
          <w:t>2.1.1892</w:t>
        </w:r>
        <w:r>
          <w:rPr>
            <w:rFonts w:asciiTheme="minorHAnsi" w:eastAsiaTheme="minorEastAsia" w:hAnsiTheme="minorHAnsi" w:cstheme="minorBidi"/>
            <w:noProof/>
            <w:sz w:val="22"/>
            <w:szCs w:val="22"/>
          </w:rPr>
          <w:tab/>
        </w:r>
        <w:r w:rsidRPr="001B13A4">
          <w:rPr>
            <w:rStyle w:val="Hyperlink"/>
            <w:noProof/>
          </w:rPr>
          <w:t>Part 4 Section 19.5.2.2, textdata (VML Diagram Text)</w:t>
        </w:r>
        <w:r>
          <w:rPr>
            <w:noProof/>
            <w:webHidden/>
          </w:rPr>
          <w:tab/>
        </w:r>
        <w:r>
          <w:rPr>
            <w:noProof/>
            <w:webHidden/>
          </w:rPr>
          <w:fldChar w:fldCharType="begin"/>
        </w:r>
        <w:r>
          <w:rPr>
            <w:noProof/>
            <w:webHidden/>
          </w:rPr>
          <w:instrText xml:space="preserve"> PAGEREF _Toc181684928 \h </w:instrText>
        </w:r>
        <w:r>
          <w:rPr>
            <w:noProof/>
            <w:webHidden/>
          </w:rPr>
        </w:r>
        <w:r>
          <w:rPr>
            <w:noProof/>
            <w:webHidden/>
          </w:rPr>
          <w:fldChar w:fldCharType="separate"/>
        </w:r>
        <w:r>
          <w:rPr>
            <w:noProof/>
            <w:webHidden/>
          </w:rPr>
          <w:t>687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29" w:history="1">
        <w:r w:rsidRPr="001B13A4">
          <w:rPr>
            <w:rStyle w:val="Hyperlink"/>
            <w:noProof/>
          </w:rPr>
          <w:t>2.1.1893</w:t>
        </w:r>
        <w:r>
          <w:rPr>
            <w:rFonts w:asciiTheme="minorHAnsi" w:eastAsiaTheme="minorEastAsia" w:hAnsiTheme="minorHAnsi" w:cstheme="minorBidi"/>
            <w:noProof/>
            <w:sz w:val="22"/>
            <w:szCs w:val="22"/>
          </w:rPr>
          <w:tab/>
        </w:r>
        <w:r w:rsidRPr="001B13A4">
          <w:rPr>
            <w:rStyle w:val="Hyperlink"/>
            <w:noProof/>
          </w:rPr>
          <w:t>Part 4 Section 20.1.2.3, ST_ColorType (Color Type)</w:t>
        </w:r>
        <w:r>
          <w:rPr>
            <w:noProof/>
            <w:webHidden/>
          </w:rPr>
          <w:tab/>
        </w:r>
        <w:r>
          <w:rPr>
            <w:noProof/>
            <w:webHidden/>
          </w:rPr>
          <w:fldChar w:fldCharType="begin"/>
        </w:r>
        <w:r>
          <w:rPr>
            <w:noProof/>
            <w:webHidden/>
          </w:rPr>
          <w:instrText xml:space="preserve"> PAGEREF _Toc181684929 \h </w:instrText>
        </w:r>
        <w:r>
          <w:rPr>
            <w:noProof/>
            <w:webHidden/>
          </w:rPr>
        </w:r>
        <w:r>
          <w:rPr>
            <w:noProof/>
            <w:webHidden/>
          </w:rPr>
          <w:fldChar w:fldCharType="separate"/>
        </w:r>
        <w:r>
          <w:rPr>
            <w:noProof/>
            <w:webHidden/>
          </w:rPr>
          <w:t>688</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30" w:history="1">
        <w:r w:rsidRPr="001B13A4">
          <w:rPr>
            <w:rStyle w:val="Hyperlink"/>
            <w:noProof/>
          </w:rPr>
          <w:t>2.1.1894</w:t>
        </w:r>
        <w:r>
          <w:rPr>
            <w:rFonts w:asciiTheme="minorHAnsi" w:eastAsiaTheme="minorEastAsia" w:hAnsiTheme="minorHAnsi" w:cstheme="minorBidi"/>
            <w:noProof/>
            <w:sz w:val="22"/>
            <w:szCs w:val="22"/>
          </w:rPr>
          <w:tab/>
        </w:r>
        <w:r w:rsidRPr="001B13A4">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_Toc181684930 \h </w:instrText>
        </w:r>
        <w:r>
          <w:rPr>
            <w:noProof/>
            <w:webHidden/>
          </w:rPr>
        </w:r>
        <w:r>
          <w:rPr>
            <w:noProof/>
            <w:webHidden/>
          </w:rPr>
          <w:fldChar w:fldCharType="separate"/>
        </w:r>
        <w:r>
          <w:rPr>
            <w:noProof/>
            <w:webHidden/>
          </w:rPr>
          <w:t>693</w:t>
        </w:r>
        <w:r>
          <w:rPr>
            <w:noProof/>
            <w:webHidden/>
          </w:rPr>
          <w:fldChar w:fldCharType="end"/>
        </w:r>
      </w:hyperlink>
    </w:p>
    <w:p w:rsidR="00A9721F" w:rsidRDefault="00A9721F">
      <w:pPr>
        <w:pStyle w:val="TOC1"/>
        <w:rPr>
          <w:rFonts w:asciiTheme="minorHAnsi" w:eastAsiaTheme="minorEastAsia" w:hAnsiTheme="minorHAnsi" w:cstheme="minorBidi"/>
          <w:b w:val="0"/>
          <w:bCs w:val="0"/>
          <w:noProof/>
          <w:sz w:val="22"/>
          <w:szCs w:val="22"/>
        </w:rPr>
      </w:pPr>
      <w:hyperlink w:anchor="_Toc181684931" w:history="1">
        <w:r w:rsidRPr="001B13A4">
          <w:rPr>
            <w:rStyle w:val="Hyperlink"/>
            <w:noProof/>
          </w:rPr>
          <w:t>3</w:t>
        </w:r>
        <w:r>
          <w:rPr>
            <w:rFonts w:asciiTheme="minorHAnsi" w:eastAsiaTheme="minorEastAsia" w:hAnsiTheme="minorHAnsi" w:cstheme="minorBidi"/>
            <w:b w:val="0"/>
            <w:bCs w:val="0"/>
            <w:noProof/>
            <w:sz w:val="22"/>
            <w:szCs w:val="22"/>
          </w:rPr>
          <w:tab/>
        </w:r>
        <w:r w:rsidRPr="001B13A4">
          <w:rPr>
            <w:rStyle w:val="Hyperlink"/>
            <w:noProof/>
          </w:rPr>
          <w:t>Appendix A: Additional Information</w:t>
        </w:r>
        <w:r>
          <w:rPr>
            <w:noProof/>
            <w:webHidden/>
          </w:rPr>
          <w:tab/>
        </w:r>
        <w:r>
          <w:rPr>
            <w:noProof/>
            <w:webHidden/>
          </w:rPr>
          <w:fldChar w:fldCharType="begin"/>
        </w:r>
        <w:r>
          <w:rPr>
            <w:noProof/>
            <w:webHidden/>
          </w:rPr>
          <w:instrText xml:space="preserve"> PAGEREF _Toc181684931 \h </w:instrText>
        </w:r>
        <w:r>
          <w:rPr>
            <w:noProof/>
            <w:webHidden/>
          </w:rPr>
        </w:r>
        <w:r>
          <w:rPr>
            <w:noProof/>
            <w:webHidden/>
          </w:rPr>
          <w:fldChar w:fldCharType="separate"/>
        </w:r>
        <w:r>
          <w:rPr>
            <w:noProof/>
            <w:webHidden/>
          </w:rPr>
          <w:t>694</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4932" w:history="1">
        <w:r w:rsidRPr="001B13A4">
          <w:rPr>
            <w:rStyle w:val="Hyperlink"/>
            <w:noProof/>
          </w:rPr>
          <w:t>3.1</w:t>
        </w:r>
        <w:r>
          <w:rPr>
            <w:rFonts w:asciiTheme="minorHAnsi" w:eastAsiaTheme="minorEastAsia" w:hAnsiTheme="minorHAnsi" w:cstheme="minorBidi"/>
            <w:noProof/>
            <w:sz w:val="22"/>
            <w:szCs w:val="22"/>
          </w:rPr>
          <w:tab/>
        </w:r>
        <w:r w:rsidRPr="001B13A4">
          <w:rPr>
            <w:rStyle w:val="Hyperlink"/>
            <w:noProof/>
          </w:rPr>
          <w:t>Word</w:t>
        </w:r>
        <w:r>
          <w:rPr>
            <w:noProof/>
            <w:webHidden/>
          </w:rPr>
          <w:tab/>
        </w:r>
        <w:r>
          <w:rPr>
            <w:noProof/>
            <w:webHidden/>
          </w:rPr>
          <w:fldChar w:fldCharType="begin"/>
        </w:r>
        <w:r>
          <w:rPr>
            <w:noProof/>
            <w:webHidden/>
          </w:rPr>
          <w:instrText xml:space="preserve"> PAGEREF _Toc181684932 \h </w:instrText>
        </w:r>
        <w:r>
          <w:rPr>
            <w:noProof/>
            <w:webHidden/>
          </w:rPr>
        </w:r>
        <w:r>
          <w:rPr>
            <w:noProof/>
            <w:webHidden/>
          </w:rPr>
          <w:fldChar w:fldCharType="separate"/>
        </w:r>
        <w:r>
          <w:rPr>
            <w:noProof/>
            <w:webHidden/>
          </w:rPr>
          <w:t>694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33" w:history="1">
        <w:r w:rsidRPr="001B13A4">
          <w:rPr>
            <w:rStyle w:val="Hyperlink"/>
            <w:noProof/>
          </w:rPr>
          <w:t>3.1.1</w:t>
        </w:r>
        <w:r>
          <w:rPr>
            <w:rFonts w:asciiTheme="minorHAnsi" w:eastAsiaTheme="minorEastAsia" w:hAnsiTheme="minorHAnsi" w:cstheme="minorBidi"/>
            <w:noProof/>
            <w:sz w:val="22"/>
            <w:szCs w:val="22"/>
          </w:rPr>
          <w:tab/>
        </w:r>
        <w:r w:rsidRPr="001B13A4">
          <w:rPr>
            <w:rStyle w:val="Hyperlink"/>
            <w:noProof/>
          </w:rPr>
          <w:t>Additional Parts</w:t>
        </w:r>
        <w:r>
          <w:rPr>
            <w:noProof/>
            <w:webHidden/>
          </w:rPr>
          <w:tab/>
        </w:r>
        <w:r>
          <w:rPr>
            <w:noProof/>
            <w:webHidden/>
          </w:rPr>
          <w:fldChar w:fldCharType="begin"/>
        </w:r>
        <w:r>
          <w:rPr>
            <w:noProof/>
            <w:webHidden/>
          </w:rPr>
          <w:instrText xml:space="preserve"> PAGEREF _Toc181684933 \h </w:instrText>
        </w:r>
        <w:r>
          <w:rPr>
            <w:noProof/>
            <w:webHidden/>
          </w:rPr>
        </w:r>
        <w:r>
          <w:rPr>
            <w:noProof/>
            <w:webHidden/>
          </w:rPr>
          <w:fldChar w:fldCharType="separate"/>
        </w:r>
        <w:r>
          <w:rPr>
            <w:noProof/>
            <w:webHidden/>
          </w:rPr>
          <w:t>694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34" w:history="1">
        <w:r w:rsidRPr="001B13A4">
          <w:rPr>
            <w:rStyle w:val="Hyperlink"/>
            <w:noProof/>
          </w:rPr>
          <w:t>3.1.1.1</w:t>
        </w:r>
        <w:r>
          <w:rPr>
            <w:rFonts w:asciiTheme="minorHAnsi" w:eastAsiaTheme="minorEastAsia" w:hAnsiTheme="minorHAnsi" w:cstheme="minorBidi"/>
            <w:noProof/>
            <w:sz w:val="22"/>
            <w:szCs w:val="22"/>
          </w:rPr>
          <w:tab/>
        </w:r>
        <w:r w:rsidRPr="001B13A4">
          <w:rPr>
            <w:rStyle w:val="Hyperlink"/>
            <w:noProof/>
          </w:rPr>
          <w:t>Word Attached Toolbars Part</w:t>
        </w:r>
        <w:r>
          <w:rPr>
            <w:noProof/>
            <w:webHidden/>
          </w:rPr>
          <w:tab/>
        </w:r>
        <w:r>
          <w:rPr>
            <w:noProof/>
            <w:webHidden/>
          </w:rPr>
          <w:fldChar w:fldCharType="begin"/>
        </w:r>
        <w:r>
          <w:rPr>
            <w:noProof/>
            <w:webHidden/>
          </w:rPr>
          <w:instrText xml:space="preserve"> PAGEREF _Toc181684934 \h </w:instrText>
        </w:r>
        <w:r>
          <w:rPr>
            <w:noProof/>
            <w:webHidden/>
          </w:rPr>
        </w:r>
        <w:r>
          <w:rPr>
            <w:noProof/>
            <w:webHidden/>
          </w:rPr>
          <w:fldChar w:fldCharType="separate"/>
        </w:r>
        <w:r>
          <w:rPr>
            <w:noProof/>
            <w:webHidden/>
          </w:rPr>
          <w:t>694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35" w:history="1">
        <w:r w:rsidRPr="001B13A4">
          <w:rPr>
            <w:rStyle w:val="Hyperlink"/>
            <w:noProof/>
          </w:rPr>
          <w:t>3.1.1.2</w:t>
        </w:r>
        <w:r>
          <w:rPr>
            <w:rFonts w:asciiTheme="minorHAnsi" w:eastAsiaTheme="minorEastAsia" w:hAnsiTheme="minorHAnsi" w:cstheme="minorBidi"/>
            <w:noProof/>
            <w:sz w:val="22"/>
            <w:szCs w:val="22"/>
          </w:rPr>
          <w:tab/>
        </w:r>
        <w:r w:rsidRPr="001B13A4">
          <w:rPr>
            <w:rStyle w:val="Hyperlink"/>
            <w:noProof/>
          </w:rPr>
          <w:t>Customizations Part</w:t>
        </w:r>
        <w:r>
          <w:rPr>
            <w:noProof/>
            <w:webHidden/>
          </w:rPr>
          <w:tab/>
        </w:r>
        <w:r>
          <w:rPr>
            <w:noProof/>
            <w:webHidden/>
          </w:rPr>
          <w:fldChar w:fldCharType="begin"/>
        </w:r>
        <w:r>
          <w:rPr>
            <w:noProof/>
            <w:webHidden/>
          </w:rPr>
          <w:instrText xml:space="preserve"> PAGEREF _Toc181684935 \h </w:instrText>
        </w:r>
        <w:r>
          <w:rPr>
            <w:noProof/>
            <w:webHidden/>
          </w:rPr>
        </w:r>
        <w:r>
          <w:rPr>
            <w:noProof/>
            <w:webHidden/>
          </w:rPr>
          <w:fldChar w:fldCharType="separate"/>
        </w:r>
        <w:r>
          <w:rPr>
            <w:noProof/>
            <w:webHidden/>
          </w:rPr>
          <w:t>694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36" w:history="1">
        <w:r w:rsidRPr="001B13A4">
          <w:rPr>
            <w:rStyle w:val="Hyperlink"/>
            <w:noProof/>
          </w:rPr>
          <w:t>3.1.1.3</w:t>
        </w:r>
        <w:r>
          <w:rPr>
            <w:rFonts w:asciiTheme="minorHAnsi" w:eastAsiaTheme="minorEastAsia" w:hAnsiTheme="minorHAnsi" w:cstheme="minorBidi"/>
            <w:noProof/>
            <w:sz w:val="22"/>
            <w:szCs w:val="22"/>
          </w:rPr>
          <w:tab/>
        </w:r>
        <w:r w:rsidRPr="001B13A4">
          <w:rPr>
            <w:rStyle w:val="Hyperlink"/>
            <w:noProof/>
          </w:rPr>
          <w:t>Mail Merge Recipient Data Part</w:t>
        </w:r>
        <w:r>
          <w:rPr>
            <w:noProof/>
            <w:webHidden/>
          </w:rPr>
          <w:tab/>
        </w:r>
        <w:r>
          <w:rPr>
            <w:noProof/>
            <w:webHidden/>
          </w:rPr>
          <w:fldChar w:fldCharType="begin"/>
        </w:r>
        <w:r>
          <w:rPr>
            <w:noProof/>
            <w:webHidden/>
          </w:rPr>
          <w:instrText xml:space="preserve"> PAGEREF _Toc181684936 \h </w:instrText>
        </w:r>
        <w:r>
          <w:rPr>
            <w:noProof/>
            <w:webHidden/>
          </w:rPr>
        </w:r>
        <w:r>
          <w:rPr>
            <w:noProof/>
            <w:webHidden/>
          </w:rPr>
          <w:fldChar w:fldCharType="separate"/>
        </w:r>
        <w:r>
          <w:rPr>
            <w:noProof/>
            <w:webHidden/>
          </w:rPr>
          <w:t>695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37" w:history="1">
        <w:r w:rsidRPr="001B13A4">
          <w:rPr>
            <w:rStyle w:val="Hyperlink"/>
            <w:noProof/>
          </w:rPr>
          <w:t>3.1.2</w:t>
        </w:r>
        <w:r>
          <w:rPr>
            <w:rFonts w:asciiTheme="minorHAnsi" w:eastAsiaTheme="minorEastAsia" w:hAnsiTheme="minorHAnsi" w:cstheme="minorBidi"/>
            <w:noProof/>
            <w:sz w:val="22"/>
            <w:szCs w:val="22"/>
          </w:rPr>
          <w:tab/>
        </w:r>
        <w:r w:rsidRPr="001B13A4">
          <w:rPr>
            <w:rStyle w:val="Hyperlink"/>
            <w:noProof/>
          </w:rPr>
          <w:t>Word Schema</w:t>
        </w:r>
        <w:r>
          <w:rPr>
            <w:noProof/>
            <w:webHidden/>
          </w:rPr>
          <w:tab/>
        </w:r>
        <w:r>
          <w:rPr>
            <w:noProof/>
            <w:webHidden/>
          </w:rPr>
          <w:fldChar w:fldCharType="begin"/>
        </w:r>
        <w:r>
          <w:rPr>
            <w:noProof/>
            <w:webHidden/>
          </w:rPr>
          <w:instrText xml:space="preserve"> PAGEREF _Toc181684937 \h </w:instrText>
        </w:r>
        <w:r>
          <w:rPr>
            <w:noProof/>
            <w:webHidden/>
          </w:rPr>
        </w:r>
        <w:r>
          <w:rPr>
            <w:noProof/>
            <w:webHidden/>
          </w:rPr>
          <w:fldChar w:fldCharType="separate"/>
        </w:r>
        <w:r>
          <w:rPr>
            <w:noProof/>
            <w:webHidden/>
          </w:rPr>
          <w:t>697</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38" w:history="1">
        <w:r w:rsidRPr="001B13A4">
          <w:rPr>
            <w:rStyle w:val="Hyperlink"/>
            <w:noProof/>
          </w:rPr>
          <w:t>3.1.2.1</w:t>
        </w:r>
        <w:r>
          <w:rPr>
            <w:rFonts w:asciiTheme="minorHAnsi" w:eastAsiaTheme="minorEastAsia" w:hAnsiTheme="minorHAnsi" w:cstheme="minorBidi"/>
            <w:noProof/>
            <w:sz w:val="22"/>
            <w:szCs w:val="22"/>
          </w:rPr>
          <w:tab/>
        </w:r>
        <w:r w:rsidRPr="001B13A4">
          <w:rPr>
            <w:rStyle w:val="Hyperlink"/>
            <w:noProof/>
          </w:rPr>
          <w:t>Keyboard and Toolbar Customizations</w:t>
        </w:r>
        <w:r>
          <w:rPr>
            <w:noProof/>
            <w:webHidden/>
          </w:rPr>
          <w:tab/>
        </w:r>
        <w:r>
          <w:rPr>
            <w:noProof/>
            <w:webHidden/>
          </w:rPr>
          <w:fldChar w:fldCharType="begin"/>
        </w:r>
        <w:r>
          <w:rPr>
            <w:noProof/>
            <w:webHidden/>
          </w:rPr>
          <w:instrText xml:space="preserve"> PAGEREF _Toc181684938 \h </w:instrText>
        </w:r>
        <w:r>
          <w:rPr>
            <w:noProof/>
            <w:webHidden/>
          </w:rPr>
        </w:r>
        <w:r>
          <w:rPr>
            <w:noProof/>
            <w:webHidden/>
          </w:rPr>
          <w:fldChar w:fldCharType="separate"/>
        </w:r>
        <w:r>
          <w:rPr>
            <w:noProof/>
            <w:webHidden/>
          </w:rPr>
          <w:t>697</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39" w:history="1">
        <w:r w:rsidRPr="001B13A4">
          <w:rPr>
            <w:rStyle w:val="Hyperlink"/>
            <w:noProof/>
          </w:rPr>
          <w:t>3.1.2.1.1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_Toc181684939 \h </w:instrText>
        </w:r>
        <w:r>
          <w:rPr>
            <w:noProof/>
            <w:webHidden/>
          </w:rPr>
        </w:r>
        <w:r>
          <w:rPr>
            <w:noProof/>
            <w:webHidden/>
          </w:rPr>
          <w:fldChar w:fldCharType="separate"/>
        </w:r>
        <w:r>
          <w:rPr>
            <w:noProof/>
            <w:webHidden/>
          </w:rPr>
          <w:t>697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0" w:history="1">
        <w:r w:rsidRPr="001B13A4">
          <w:rPr>
            <w:rStyle w:val="Hyperlink"/>
            <w:noProof/>
          </w:rPr>
          <w:t>3.1.2.1.1.1</w:t>
        </w:r>
        <w:r>
          <w:rPr>
            <w:rFonts w:asciiTheme="minorHAnsi" w:eastAsiaTheme="minorEastAsia" w:hAnsiTheme="minorHAnsi" w:cstheme="minorBidi"/>
            <w:noProof/>
            <w:sz w:val="22"/>
            <w:szCs w:val="22"/>
          </w:rPr>
          <w:tab/>
        </w:r>
        <w:r w:rsidRPr="001B13A4">
          <w:rPr>
            <w:rStyle w:val="Hyperlink"/>
            <w:noProof/>
          </w:rPr>
          <w:t>acd (Allocated Command)</w:t>
        </w:r>
        <w:r>
          <w:rPr>
            <w:noProof/>
            <w:webHidden/>
          </w:rPr>
          <w:tab/>
        </w:r>
        <w:r>
          <w:rPr>
            <w:noProof/>
            <w:webHidden/>
          </w:rPr>
          <w:fldChar w:fldCharType="begin"/>
        </w:r>
        <w:r>
          <w:rPr>
            <w:noProof/>
            <w:webHidden/>
          </w:rPr>
          <w:instrText xml:space="preserve"> PAGEREF _Toc181684940 \h </w:instrText>
        </w:r>
        <w:r>
          <w:rPr>
            <w:noProof/>
            <w:webHidden/>
          </w:rPr>
        </w:r>
        <w:r>
          <w:rPr>
            <w:noProof/>
            <w:webHidden/>
          </w:rPr>
          <w:fldChar w:fldCharType="separate"/>
        </w:r>
        <w:r>
          <w:rPr>
            <w:noProof/>
            <w:webHidden/>
          </w:rPr>
          <w:t>697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1" w:history="1">
        <w:r w:rsidRPr="001B13A4">
          <w:rPr>
            <w:rStyle w:val="Hyperlink"/>
            <w:noProof/>
          </w:rPr>
          <w:t>3.1.2.1.1.2</w:t>
        </w:r>
        <w:r>
          <w:rPr>
            <w:rFonts w:asciiTheme="minorHAnsi" w:eastAsiaTheme="minorEastAsia" w:hAnsiTheme="minorHAnsi" w:cstheme="minorBidi"/>
            <w:noProof/>
            <w:sz w:val="22"/>
            <w:szCs w:val="22"/>
          </w:rPr>
          <w:tab/>
        </w:r>
        <w:r w:rsidRPr="001B13A4">
          <w:rPr>
            <w:rStyle w:val="Hyperlink"/>
            <w:noProof/>
          </w:rPr>
          <w:t>acd (Allocated Command Keyboard Customization Action)</w:t>
        </w:r>
        <w:r>
          <w:rPr>
            <w:noProof/>
            <w:webHidden/>
          </w:rPr>
          <w:tab/>
        </w:r>
        <w:r>
          <w:rPr>
            <w:noProof/>
            <w:webHidden/>
          </w:rPr>
          <w:fldChar w:fldCharType="begin"/>
        </w:r>
        <w:r>
          <w:rPr>
            <w:noProof/>
            <w:webHidden/>
          </w:rPr>
          <w:instrText xml:space="preserve"> PAGEREF _Toc181684941 \h </w:instrText>
        </w:r>
        <w:r>
          <w:rPr>
            <w:noProof/>
            <w:webHidden/>
          </w:rPr>
        </w:r>
        <w:r>
          <w:rPr>
            <w:noProof/>
            <w:webHidden/>
          </w:rPr>
          <w:fldChar w:fldCharType="separate"/>
        </w:r>
        <w:r>
          <w:rPr>
            <w:noProof/>
            <w:webHidden/>
          </w:rPr>
          <w:t>698</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2" w:history="1">
        <w:r w:rsidRPr="001B13A4">
          <w:rPr>
            <w:rStyle w:val="Hyperlink"/>
            <w:noProof/>
          </w:rPr>
          <w:t>3.1.2.1.1.3</w:t>
        </w:r>
        <w:r>
          <w:rPr>
            <w:rFonts w:asciiTheme="minorHAnsi" w:eastAsiaTheme="minorEastAsia" w:hAnsiTheme="minorHAnsi" w:cstheme="minorBidi"/>
            <w:noProof/>
            <w:sz w:val="22"/>
            <w:szCs w:val="22"/>
          </w:rPr>
          <w:tab/>
        </w:r>
        <w:r w:rsidRPr="001B13A4">
          <w:rPr>
            <w:rStyle w:val="Hyperlink"/>
            <w:noProof/>
          </w:rPr>
          <w:t>acdEntry (Allocated Command Manifest Entry)</w:t>
        </w:r>
        <w:r>
          <w:rPr>
            <w:noProof/>
            <w:webHidden/>
          </w:rPr>
          <w:tab/>
        </w:r>
        <w:r>
          <w:rPr>
            <w:noProof/>
            <w:webHidden/>
          </w:rPr>
          <w:fldChar w:fldCharType="begin"/>
        </w:r>
        <w:r>
          <w:rPr>
            <w:noProof/>
            <w:webHidden/>
          </w:rPr>
          <w:instrText xml:space="preserve"> PAGEREF _Toc181684942 \h </w:instrText>
        </w:r>
        <w:r>
          <w:rPr>
            <w:noProof/>
            <w:webHidden/>
          </w:rPr>
        </w:r>
        <w:r>
          <w:rPr>
            <w:noProof/>
            <w:webHidden/>
          </w:rPr>
          <w:fldChar w:fldCharType="separate"/>
        </w:r>
        <w:r>
          <w:rPr>
            <w:noProof/>
            <w:webHidden/>
          </w:rPr>
          <w:t>699</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3" w:history="1">
        <w:r w:rsidRPr="001B13A4">
          <w:rPr>
            <w:rStyle w:val="Hyperlink"/>
            <w:noProof/>
          </w:rPr>
          <w:t>3.1.2.1.1.4</w:t>
        </w:r>
        <w:r>
          <w:rPr>
            <w:rFonts w:asciiTheme="minorHAnsi" w:eastAsiaTheme="minorEastAsia" w:hAnsiTheme="minorHAnsi" w:cstheme="minorBidi"/>
            <w:noProof/>
            <w:sz w:val="22"/>
            <w:szCs w:val="22"/>
          </w:rPr>
          <w:tab/>
        </w:r>
        <w:r w:rsidRPr="001B13A4">
          <w:rPr>
            <w:rStyle w:val="Hyperlink"/>
            <w:noProof/>
          </w:rPr>
          <w:t>acdManifest (Allocated Command Manifest)</w:t>
        </w:r>
        <w:r>
          <w:rPr>
            <w:noProof/>
            <w:webHidden/>
          </w:rPr>
          <w:tab/>
        </w:r>
        <w:r>
          <w:rPr>
            <w:noProof/>
            <w:webHidden/>
          </w:rPr>
          <w:fldChar w:fldCharType="begin"/>
        </w:r>
        <w:r>
          <w:rPr>
            <w:noProof/>
            <w:webHidden/>
          </w:rPr>
          <w:instrText xml:space="preserve"> PAGEREF _Toc181684943 \h </w:instrText>
        </w:r>
        <w:r>
          <w:rPr>
            <w:noProof/>
            <w:webHidden/>
          </w:rPr>
        </w:r>
        <w:r>
          <w:rPr>
            <w:noProof/>
            <w:webHidden/>
          </w:rPr>
          <w:fldChar w:fldCharType="separate"/>
        </w:r>
        <w:r>
          <w:rPr>
            <w:noProof/>
            <w:webHidden/>
          </w:rPr>
          <w:t>699</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4" w:history="1">
        <w:r w:rsidRPr="001B13A4">
          <w:rPr>
            <w:rStyle w:val="Hyperlink"/>
            <w:noProof/>
          </w:rPr>
          <w:t>3.1.2.1.1.5</w:t>
        </w:r>
        <w:r>
          <w:rPr>
            <w:rFonts w:asciiTheme="minorHAnsi" w:eastAsiaTheme="minorEastAsia" w:hAnsiTheme="minorHAnsi" w:cstheme="minorBidi"/>
            <w:noProof/>
            <w:sz w:val="22"/>
            <w:szCs w:val="22"/>
          </w:rPr>
          <w:tab/>
        </w:r>
        <w:r w:rsidRPr="001B13A4">
          <w:rPr>
            <w:rStyle w:val="Hyperlink"/>
            <w:noProof/>
          </w:rPr>
          <w:t>acds (Allocated Commands)</w:t>
        </w:r>
        <w:r>
          <w:rPr>
            <w:noProof/>
            <w:webHidden/>
          </w:rPr>
          <w:tab/>
        </w:r>
        <w:r>
          <w:rPr>
            <w:noProof/>
            <w:webHidden/>
          </w:rPr>
          <w:fldChar w:fldCharType="begin"/>
        </w:r>
        <w:r>
          <w:rPr>
            <w:noProof/>
            <w:webHidden/>
          </w:rPr>
          <w:instrText xml:space="preserve"> PAGEREF _Toc181684944 \h </w:instrText>
        </w:r>
        <w:r>
          <w:rPr>
            <w:noProof/>
            <w:webHidden/>
          </w:rPr>
        </w:r>
        <w:r>
          <w:rPr>
            <w:noProof/>
            <w:webHidden/>
          </w:rPr>
          <w:fldChar w:fldCharType="separate"/>
        </w:r>
        <w:r>
          <w:rPr>
            <w:noProof/>
            <w:webHidden/>
          </w:rPr>
          <w:t>700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5" w:history="1">
        <w:r w:rsidRPr="001B13A4">
          <w:rPr>
            <w:rStyle w:val="Hyperlink"/>
            <w:noProof/>
          </w:rPr>
          <w:t>3.1.2.1.1.6</w:t>
        </w:r>
        <w:r>
          <w:rPr>
            <w:rFonts w:asciiTheme="minorHAnsi" w:eastAsiaTheme="minorEastAsia" w:hAnsiTheme="minorHAnsi" w:cstheme="minorBidi"/>
            <w:noProof/>
            <w:sz w:val="22"/>
            <w:szCs w:val="22"/>
          </w:rPr>
          <w:tab/>
        </w:r>
        <w:r w:rsidRPr="001B13A4">
          <w:rPr>
            <w:rStyle w:val="Hyperlink"/>
            <w:noProof/>
          </w:rPr>
          <w:t>active (Record Is Included in Mail Merge)</w:t>
        </w:r>
        <w:r>
          <w:rPr>
            <w:noProof/>
            <w:webHidden/>
          </w:rPr>
          <w:tab/>
        </w:r>
        <w:r>
          <w:rPr>
            <w:noProof/>
            <w:webHidden/>
          </w:rPr>
          <w:fldChar w:fldCharType="begin"/>
        </w:r>
        <w:r>
          <w:rPr>
            <w:noProof/>
            <w:webHidden/>
          </w:rPr>
          <w:instrText xml:space="preserve"> PAGEREF _Toc181684945 \h </w:instrText>
        </w:r>
        <w:r>
          <w:rPr>
            <w:noProof/>
            <w:webHidden/>
          </w:rPr>
        </w:r>
        <w:r>
          <w:rPr>
            <w:noProof/>
            <w:webHidden/>
          </w:rPr>
          <w:fldChar w:fldCharType="separate"/>
        </w:r>
        <w:r>
          <w:rPr>
            <w:noProof/>
            <w:webHidden/>
          </w:rPr>
          <w:t>701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6" w:history="1">
        <w:r w:rsidRPr="001B13A4">
          <w:rPr>
            <w:rStyle w:val="Hyperlink"/>
            <w:noProof/>
          </w:rPr>
          <w:t>3.1.2.1.1.7</w:t>
        </w:r>
        <w:r>
          <w:rPr>
            <w:rFonts w:asciiTheme="minorHAnsi" w:eastAsiaTheme="minorEastAsia" w:hAnsiTheme="minorHAnsi" w:cstheme="minorBidi"/>
            <w:noProof/>
            <w:sz w:val="22"/>
            <w:szCs w:val="22"/>
          </w:rPr>
          <w:tab/>
        </w:r>
        <w:r w:rsidRPr="001B13A4">
          <w:rPr>
            <w:rStyle w:val="Hyperlink"/>
            <w:noProof/>
          </w:rPr>
          <w:t>fci (Fixed Command Keyboard Customization Action)</w:t>
        </w:r>
        <w:r>
          <w:rPr>
            <w:noProof/>
            <w:webHidden/>
          </w:rPr>
          <w:tab/>
        </w:r>
        <w:r>
          <w:rPr>
            <w:noProof/>
            <w:webHidden/>
          </w:rPr>
          <w:fldChar w:fldCharType="begin"/>
        </w:r>
        <w:r>
          <w:rPr>
            <w:noProof/>
            <w:webHidden/>
          </w:rPr>
          <w:instrText xml:space="preserve"> PAGEREF _Toc181684946 \h </w:instrText>
        </w:r>
        <w:r>
          <w:rPr>
            <w:noProof/>
            <w:webHidden/>
          </w:rPr>
        </w:r>
        <w:r>
          <w:rPr>
            <w:noProof/>
            <w:webHidden/>
          </w:rPr>
          <w:fldChar w:fldCharType="separate"/>
        </w:r>
        <w:r>
          <w:rPr>
            <w:noProof/>
            <w:webHidden/>
          </w:rPr>
          <w:t>702</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7" w:history="1">
        <w:r w:rsidRPr="001B13A4">
          <w:rPr>
            <w:rStyle w:val="Hyperlink"/>
            <w:noProof/>
          </w:rPr>
          <w:t>3.1.2.1.1.8</w:t>
        </w:r>
        <w:r>
          <w:rPr>
            <w:rFonts w:asciiTheme="minorHAnsi" w:eastAsiaTheme="minorEastAsia" w:hAnsiTheme="minorHAnsi" w:cstheme="minorBidi"/>
            <w:noProof/>
            <w:sz w:val="22"/>
            <w:szCs w:val="22"/>
          </w:rPr>
          <w:tab/>
        </w:r>
        <w:r w:rsidRPr="001B13A4">
          <w:rPr>
            <w:rStyle w:val="Hyperlink"/>
            <w:noProof/>
          </w:rPr>
          <w:t>keymap (Key Map Entry)</w:t>
        </w:r>
        <w:r>
          <w:rPr>
            <w:noProof/>
            <w:webHidden/>
          </w:rPr>
          <w:tab/>
        </w:r>
        <w:r>
          <w:rPr>
            <w:noProof/>
            <w:webHidden/>
          </w:rPr>
          <w:fldChar w:fldCharType="begin"/>
        </w:r>
        <w:r>
          <w:rPr>
            <w:noProof/>
            <w:webHidden/>
          </w:rPr>
          <w:instrText xml:space="preserve"> PAGEREF _Toc181684947 \h </w:instrText>
        </w:r>
        <w:r>
          <w:rPr>
            <w:noProof/>
            <w:webHidden/>
          </w:rPr>
        </w:r>
        <w:r>
          <w:rPr>
            <w:noProof/>
            <w:webHidden/>
          </w:rPr>
          <w:fldChar w:fldCharType="separate"/>
        </w:r>
        <w:r>
          <w:rPr>
            <w:noProof/>
            <w:webHidden/>
          </w:rPr>
          <w:t>703</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8" w:history="1">
        <w:r w:rsidRPr="001B13A4">
          <w:rPr>
            <w:rStyle w:val="Hyperlink"/>
            <w:noProof/>
          </w:rPr>
          <w:t>3.1.2.1.1.9</w:t>
        </w:r>
        <w:r>
          <w:rPr>
            <w:rFonts w:asciiTheme="minorHAnsi" w:eastAsiaTheme="minorEastAsia" w:hAnsiTheme="minorHAnsi" w:cstheme="minorBidi"/>
            <w:noProof/>
            <w:sz w:val="22"/>
            <w:szCs w:val="22"/>
          </w:rPr>
          <w:tab/>
        </w:r>
        <w:r w:rsidRPr="001B13A4">
          <w:rPr>
            <w:rStyle w:val="Hyperlink"/>
            <w:noProof/>
          </w:rPr>
          <w:t>keymaps (Key Map Customizations)</w:t>
        </w:r>
        <w:r>
          <w:rPr>
            <w:noProof/>
            <w:webHidden/>
          </w:rPr>
          <w:tab/>
        </w:r>
        <w:r>
          <w:rPr>
            <w:noProof/>
            <w:webHidden/>
          </w:rPr>
          <w:fldChar w:fldCharType="begin"/>
        </w:r>
        <w:r>
          <w:rPr>
            <w:noProof/>
            <w:webHidden/>
          </w:rPr>
          <w:instrText xml:space="preserve"> PAGEREF _Toc181684948 \h </w:instrText>
        </w:r>
        <w:r>
          <w:rPr>
            <w:noProof/>
            <w:webHidden/>
          </w:rPr>
        </w:r>
        <w:r>
          <w:rPr>
            <w:noProof/>
            <w:webHidden/>
          </w:rPr>
          <w:fldChar w:fldCharType="separate"/>
        </w:r>
        <w:r>
          <w:rPr>
            <w:noProof/>
            <w:webHidden/>
          </w:rPr>
          <w:t>706</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49" w:history="1">
        <w:r w:rsidRPr="001B13A4">
          <w:rPr>
            <w:rStyle w:val="Hyperlink"/>
            <w:noProof/>
          </w:rPr>
          <w:t>3.1.2.1.1.10</w:t>
        </w:r>
        <w:r>
          <w:rPr>
            <w:rFonts w:asciiTheme="minorHAnsi" w:eastAsiaTheme="minorEastAsia" w:hAnsiTheme="minorHAnsi" w:cstheme="minorBidi"/>
            <w:noProof/>
            <w:sz w:val="22"/>
            <w:szCs w:val="22"/>
          </w:rPr>
          <w:tab/>
        </w:r>
        <w:r w:rsidRPr="001B13A4">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_Toc181684949 \h </w:instrText>
        </w:r>
        <w:r>
          <w:rPr>
            <w:noProof/>
            <w:webHidden/>
          </w:rPr>
        </w:r>
        <w:r>
          <w:rPr>
            <w:noProof/>
            <w:webHidden/>
          </w:rPr>
          <w:fldChar w:fldCharType="separate"/>
        </w:r>
        <w:r>
          <w:rPr>
            <w:noProof/>
            <w:webHidden/>
          </w:rPr>
          <w:t>707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50" w:history="1">
        <w:r w:rsidRPr="001B13A4">
          <w:rPr>
            <w:rStyle w:val="Hyperlink"/>
            <w:noProof/>
          </w:rPr>
          <w:t>3.1.2.1.1.11</w:t>
        </w:r>
        <w:r>
          <w:rPr>
            <w:rFonts w:asciiTheme="minorHAnsi" w:eastAsiaTheme="minorEastAsia" w:hAnsiTheme="minorHAnsi" w:cstheme="minorBidi"/>
            <w:noProof/>
            <w:sz w:val="22"/>
            <w:szCs w:val="22"/>
          </w:rPr>
          <w:tab/>
        </w:r>
        <w:r w:rsidRPr="001B13A4">
          <w:rPr>
            <w:rStyle w:val="Hyperlink"/>
            <w:noProof/>
          </w:rPr>
          <w:t>macro (Macro Keyboard Customization Action)</w:t>
        </w:r>
        <w:r>
          <w:rPr>
            <w:noProof/>
            <w:webHidden/>
          </w:rPr>
          <w:tab/>
        </w:r>
        <w:r>
          <w:rPr>
            <w:noProof/>
            <w:webHidden/>
          </w:rPr>
          <w:fldChar w:fldCharType="begin"/>
        </w:r>
        <w:r>
          <w:rPr>
            <w:noProof/>
            <w:webHidden/>
          </w:rPr>
          <w:instrText xml:space="preserve"> PAGEREF _Toc181684950 \h </w:instrText>
        </w:r>
        <w:r>
          <w:rPr>
            <w:noProof/>
            <w:webHidden/>
          </w:rPr>
        </w:r>
        <w:r>
          <w:rPr>
            <w:noProof/>
            <w:webHidden/>
          </w:rPr>
          <w:fldChar w:fldCharType="separate"/>
        </w:r>
        <w:r>
          <w:rPr>
            <w:noProof/>
            <w:webHidden/>
          </w:rPr>
          <w:t>708</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51" w:history="1">
        <w:r w:rsidRPr="001B13A4">
          <w:rPr>
            <w:rStyle w:val="Hyperlink"/>
            <w:noProof/>
          </w:rPr>
          <w:t>3.1.2.1.1.12</w:t>
        </w:r>
        <w:r>
          <w:rPr>
            <w:rFonts w:asciiTheme="minorHAnsi" w:eastAsiaTheme="minorEastAsia" w:hAnsiTheme="minorHAnsi" w:cstheme="minorBidi"/>
            <w:noProof/>
            <w:sz w:val="22"/>
            <w:szCs w:val="22"/>
          </w:rPr>
          <w:tab/>
        </w:r>
        <w:r w:rsidRPr="001B13A4">
          <w:rPr>
            <w:rStyle w:val="Hyperlink"/>
            <w:noProof/>
          </w:rPr>
          <w:t>tcg (Keyboard and Toolbar Customizations)</w:t>
        </w:r>
        <w:r>
          <w:rPr>
            <w:noProof/>
            <w:webHidden/>
          </w:rPr>
          <w:tab/>
        </w:r>
        <w:r>
          <w:rPr>
            <w:noProof/>
            <w:webHidden/>
          </w:rPr>
          <w:fldChar w:fldCharType="begin"/>
        </w:r>
        <w:r>
          <w:rPr>
            <w:noProof/>
            <w:webHidden/>
          </w:rPr>
          <w:instrText xml:space="preserve"> PAGEREF _Toc181684951 \h </w:instrText>
        </w:r>
        <w:r>
          <w:rPr>
            <w:noProof/>
            <w:webHidden/>
          </w:rPr>
        </w:r>
        <w:r>
          <w:rPr>
            <w:noProof/>
            <w:webHidden/>
          </w:rPr>
          <w:fldChar w:fldCharType="separate"/>
        </w:r>
        <w:r>
          <w:rPr>
            <w:noProof/>
            <w:webHidden/>
          </w:rPr>
          <w:t>708</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52" w:history="1">
        <w:r w:rsidRPr="001B13A4">
          <w:rPr>
            <w:rStyle w:val="Hyperlink"/>
            <w:noProof/>
          </w:rPr>
          <w:t>3.1.2.1.1.13</w:t>
        </w:r>
        <w:r>
          <w:rPr>
            <w:rFonts w:asciiTheme="minorHAnsi" w:eastAsiaTheme="minorEastAsia" w:hAnsiTheme="minorHAnsi" w:cstheme="minorBidi"/>
            <w:noProof/>
            <w:sz w:val="22"/>
            <w:szCs w:val="22"/>
          </w:rPr>
          <w:tab/>
        </w:r>
        <w:r w:rsidRPr="001B13A4">
          <w:rPr>
            <w:rStyle w:val="Hyperlink"/>
            <w:noProof/>
          </w:rPr>
          <w:t>toolbarData (Toolbar data)</w:t>
        </w:r>
        <w:r>
          <w:rPr>
            <w:noProof/>
            <w:webHidden/>
          </w:rPr>
          <w:tab/>
        </w:r>
        <w:r>
          <w:rPr>
            <w:noProof/>
            <w:webHidden/>
          </w:rPr>
          <w:fldChar w:fldCharType="begin"/>
        </w:r>
        <w:r>
          <w:rPr>
            <w:noProof/>
            <w:webHidden/>
          </w:rPr>
          <w:instrText xml:space="preserve"> PAGEREF _Toc181684952 \h </w:instrText>
        </w:r>
        <w:r>
          <w:rPr>
            <w:noProof/>
            <w:webHidden/>
          </w:rPr>
        </w:r>
        <w:r>
          <w:rPr>
            <w:noProof/>
            <w:webHidden/>
          </w:rPr>
          <w:fldChar w:fldCharType="separate"/>
        </w:r>
        <w:r>
          <w:rPr>
            <w:noProof/>
            <w:webHidden/>
          </w:rPr>
          <w:t>709</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53" w:history="1">
        <w:r w:rsidRPr="001B13A4">
          <w:rPr>
            <w:rStyle w:val="Hyperlink"/>
            <w:noProof/>
          </w:rPr>
          <w:t>3.1.2.1.1.14</w:t>
        </w:r>
        <w:r>
          <w:rPr>
            <w:rFonts w:asciiTheme="minorHAnsi" w:eastAsiaTheme="minorEastAsia" w:hAnsiTheme="minorHAnsi" w:cstheme="minorBidi"/>
            <w:noProof/>
            <w:sz w:val="22"/>
            <w:szCs w:val="22"/>
          </w:rPr>
          <w:tab/>
        </w:r>
        <w:r w:rsidRPr="001B13A4">
          <w:rPr>
            <w:rStyle w:val="Hyperlink"/>
            <w:noProof/>
          </w:rPr>
          <w:t>toolbars (Legacy Toolbar Customizations)</w:t>
        </w:r>
        <w:r>
          <w:rPr>
            <w:noProof/>
            <w:webHidden/>
          </w:rPr>
          <w:tab/>
        </w:r>
        <w:r>
          <w:rPr>
            <w:noProof/>
            <w:webHidden/>
          </w:rPr>
          <w:fldChar w:fldCharType="begin"/>
        </w:r>
        <w:r>
          <w:rPr>
            <w:noProof/>
            <w:webHidden/>
          </w:rPr>
          <w:instrText xml:space="preserve"> PAGEREF _Toc181684953 \h </w:instrText>
        </w:r>
        <w:r>
          <w:rPr>
            <w:noProof/>
            <w:webHidden/>
          </w:rPr>
        </w:r>
        <w:r>
          <w:rPr>
            <w:noProof/>
            <w:webHidden/>
          </w:rPr>
          <w:fldChar w:fldCharType="separate"/>
        </w:r>
        <w:r>
          <w:rPr>
            <w:noProof/>
            <w:webHidden/>
          </w:rPr>
          <w:t>710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54" w:history="1">
        <w:r w:rsidRPr="001B13A4">
          <w:rPr>
            <w:rStyle w:val="Hyperlink"/>
            <w:noProof/>
          </w:rPr>
          <w:t>3.1.2.1.1.15</w:t>
        </w:r>
        <w:r>
          <w:rPr>
            <w:rFonts w:asciiTheme="minorHAnsi" w:eastAsiaTheme="minorEastAsia" w:hAnsiTheme="minorHAnsi" w:cstheme="minorBidi"/>
            <w:noProof/>
            <w:sz w:val="22"/>
            <w:szCs w:val="22"/>
          </w:rPr>
          <w:tab/>
        </w:r>
        <w:r w:rsidRPr="001B13A4">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_Toc181684954 \h </w:instrText>
        </w:r>
        <w:r>
          <w:rPr>
            <w:noProof/>
            <w:webHidden/>
          </w:rPr>
        </w:r>
        <w:r>
          <w:rPr>
            <w:noProof/>
            <w:webHidden/>
          </w:rPr>
          <w:fldChar w:fldCharType="separate"/>
        </w:r>
        <w:r>
          <w:rPr>
            <w:noProof/>
            <w:webHidden/>
          </w:rPr>
          <w:t>710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55" w:history="1">
        <w:r w:rsidRPr="001B13A4">
          <w:rPr>
            <w:rStyle w:val="Hyperlink"/>
            <w:noProof/>
          </w:rPr>
          <w:t>3.1.2.1.1.16</w:t>
        </w:r>
        <w:r>
          <w:rPr>
            <w:rFonts w:asciiTheme="minorHAnsi" w:eastAsiaTheme="minorEastAsia" w:hAnsiTheme="minorHAnsi" w:cstheme="minorBidi"/>
            <w:noProof/>
            <w:sz w:val="22"/>
            <w:szCs w:val="22"/>
          </w:rPr>
          <w:tab/>
        </w:r>
        <w:r w:rsidRPr="001B13A4">
          <w:rPr>
            <w:rStyle w:val="Hyperlink"/>
            <w:noProof/>
          </w:rPr>
          <w:t>wll (WLL Macro Keyboard Customization Action)</w:t>
        </w:r>
        <w:r>
          <w:rPr>
            <w:noProof/>
            <w:webHidden/>
          </w:rPr>
          <w:tab/>
        </w:r>
        <w:r>
          <w:rPr>
            <w:noProof/>
            <w:webHidden/>
          </w:rPr>
          <w:fldChar w:fldCharType="begin"/>
        </w:r>
        <w:r>
          <w:rPr>
            <w:noProof/>
            <w:webHidden/>
          </w:rPr>
          <w:instrText xml:space="preserve"> PAGEREF _Toc181684955 \h </w:instrText>
        </w:r>
        <w:r>
          <w:rPr>
            <w:noProof/>
            <w:webHidden/>
          </w:rPr>
        </w:r>
        <w:r>
          <w:rPr>
            <w:noProof/>
            <w:webHidden/>
          </w:rPr>
          <w:fldChar w:fldCharType="separate"/>
        </w:r>
        <w:r>
          <w:rPr>
            <w:noProof/>
            <w:webHidden/>
          </w:rPr>
          <w:t>711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56" w:history="1">
        <w:r w:rsidRPr="001B13A4">
          <w:rPr>
            <w:rStyle w:val="Hyperlink"/>
            <w:noProof/>
          </w:rPr>
          <w:t>3.1.2.1.2</w:t>
        </w:r>
        <w:r>
          <w:rPr>
            <w:rFonts w:asciiTheme="minorHAnsi" w:eastAsiaTheme="minorEastAsia" w:hAnsiTheme="minorHAnsi" w:cstheme="minorBidi"/>
            <w:noProof/>
            <w:sz w:val="22"/>
            <w:szCs w:val="22"/>
          </w:rPr>
          <w:tab/>
        </w:r>
        <w:r w:rsidRPr="001B13A4">
          <w:rPr>
            <w:rStyle w:val="Hyperlink"/>
            <w:noProof/>
          </w:rPr>
          <w:t>Fixed Commands</w:t>
        </w:r>
        <w:r>
          <w:rPr>
            <w:noProof/>
            <w:webHidden/>
          </w:rPr>
          <w:tab/>
        </w:r>
        <w:r>
          <w:rPr>
            <w:noProof/>
            <w:webHidden/>
          </w:rPr>
          <w:fldChar w:fldCharType="begin"/>
        </w:r>
        <w:r>
          <w:rPr>
            <w:noProof/>
            <w:webHidden/>
          </w:rPr>
          <w:instrText xml:space="preserve"> PAGEREF _Toc181684956 \h </w:instrText>
        </w:r>
        <w:r>
          <w:rPr>
            <w:noProof/>
            <w:webHidden/>
          </w:rPr>
        </w:r>
        <w:r>
          <w:rPr>
            <w:noProof/>
            <w:webHidden/>
          </w:rPr>
          <w:fldChar w:fldCharType="separate"/>
        </w:r>
        <w:r>
          <w:rPr>
            <w:noProof/>
            <w:webHidden/>
          </w:rPr>
          <w:t>712</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57" w:history="1">
        <w:r w:rsidRPr="001B13A4">
          <w:rPr>
            <w:rStyle w:val="Hyperlink"/>
            <w:noProof/>
          </w:rPr>
          <w:t>3.1.2.1.3</w:t>
        </w:r>
        <w:r>
          <w:rPr>
            <w:rFonts w:asciiTheme="minorHAnsi" w:eastAsiaTheme="minorEastAsia" w:hAnsiTheme="minorHAnsi" w:cstheme="minorBidi"/>
            <w:noProof/>
            <w:sz w:val="22"/>
            <w:szCs w:val="22"/>
          </w:rPr>
          <w:tab/>
        </w:r>
        <w:r w:rsidRPr="001B13A4">
          <w:rPr>
            <w:rStyle w:val="Hyperlink"/>
            <w:noProof/>
          </w:rPr>
          <w:t>Statements</w:t>
        </w:r>
        <w:r>
          <w:rPr>
            <w:noProof/>
            <w:webHidden/>
          </w:rPr>
          <w:tab/>
        </w:r>
        <w:r>
          <w:rPr>
            <w:noProof/>
            <w:webHidden/>
          </w:rPr>
          <w:fldChar w:fldCharType="begin"/>
        </w:r>
        <w:r>
          <w:rPr>
            <w:noProof/>
            <w:webHidden/>
          </w:rPr>
          <w:instrText xml:space="preserve"> PAGEREF _Toc181684957 \h </w:instrText>
        </w:r>
        <w:r>
          <w:rPr>
            <w:noProof/>
            <w:webHidden/>
          </w:rPr>
        </w:r>
        <w:r>
          <w:rPr>
            <w:noProof/>
            <w:webHidden/>
          </w:rPr>
          <w:fldChar w:fldCharType="separate"/>
        </w:r>
        <w:r>
          <w:rPr>
            <w:noProof/>
            <w:webHidden/>
          </w:rPr>
          <w:t>772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58" w:history="1">
        <w:r w:rsidRPr="001B13A4">
          <w:rPr>
            <w:rStyle w:val="Hyperlink"/>
            <w:noProof/>
          </w:rPr>
          <w:t>3.1.2.2</w:t>
        </w:r>
        <w:r>
          <w:rPr>
            <w:rFonts w:asciiTheme="minorHAnsi" w:eastAsiaTheme="minorEastAsia" w:hAnsiTheme="minorHAnsi" w:cstheme="minorBidi"/>
            <w:noProof/>
            <w:sz w:val="22"/>
            <w:szCs w:val="22"/>
          </w:rPr>
          <w:tab/>
        </w:r>
        <w:r w:rsidRPr="001B13A4">
          <w:rPr>
            <w:rStyle w:val="Hyperlink"/>
            <w:noProof/>
          </w:rPr>
          <w:t>Mail Merge</w:t>
        </w:r>
        <w:r>
          <w:rPr>
            <w:noProof/>
            <w:webHidden/>
          </w:rPr>
          <w:tab/>
        </w:r>
        <w:r>
          <w:rPr>
            <w:noProof/>
            <w:webHidden/>
          </w:rPr>
          <w:fldChar w:fldCharType="begin"/>
        </w:r>
        <w:r>
          <w:rPr>
            <w:noProof/>
            <w:webHidden/>
          </w:rPr>
          <w:instrText xml:space="preserve"> PAGEREF _Toc181684958 \h </w:instrText>
        </w:r>
        <w:r>
          <w:rPr>
            <w:noProof/>
            <w:webHidden/>
          </w:rPr>
        </w:r>
        <w:r>
          <w:rPr>
            <w:noProof/>
            <w:webHidden/>
          </w:rPr>
          <w:fldChar w:fldCharType="separate"/>
        </w:r>
        <w:r>
          <w:rPr>
            <w:noProof/>
            <w:webHidden/>
          </w:rPr>
          <w:t>787</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59" w:history="1">
        <w:r w:rsidRPr="001B13A4">
          <w:rPr>
            <w:rStyle w:val="Hyperlink"/>
            <w:noProof/>
          </w:rPr>
          <w:t>3.1.2.2.1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_Toc181684959 \h </w:instrText>
        </w:r>
        <w:r>
          <w:rPr>
            <w:noProof/>
            <w:webHidden/>
          </w:rPr>
        </w:r>
        <w:r>
          <w:rPr>
            <w:noProof/>
            <w:webHidden/>
          </w:rPr>
          <w:fldChar w:fldCharType="separate"/>
        </w:r>
        <w:r>
          <w:rPr>
            <w:noProof/>
            <w:webHidden/>
          </w:rPr>
          <w:t>787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60" w:history="1">
        <w:r w:rsidRPr="001B13A4">
          <w:rPr>
            <w:rStyle w:val="Hyperlink"/>
            <w:noProof/>
          </w:rPr>
          <w:t>3.1.2.2.1.1</w:t>
        </w:r>
        <w:r>
          <w:rPr>
            <w:rFonts w:asciiTheme="minorHAnsi" w:eastAsiaTheme="minorEastAsia" w:hAnsiTheme="minorHAnsi" w:cstheme="minorBidi"/>
            <w:noProof/>
            <w:sz w:val="22"/>
            <w:szCs w:val="22"/>
          </w:rPr>
          <w:tab/>
        </w:r>
        <w:r w:rsidRPr="001B13A4">
          <w:rPr>
            <w:rStyle w:val="Hyperlink"/>
            <w:noProof/>
          </w:rPr>
          <w:t>hash (Hash Code for Record)</w:t>
        </w:r>
        <w:r>
          <w:rPr>
            <w:noProof/>
            <w:webHidden/>
          </w:rPr>
          <w:tab/>
        </w:r>
        <w:r>
          <w:rPr>
            <w:noProof/>
            <w:webHidden/>
          </w:rPr>
          <w:fldChar w:fldCharType="begin"/>
        </w:r>
        <w:r>
          <w:rPr>
            <w:noProof/>
            <w:webHidden/>
          </w:rPr>
          <w:instrText xml:space="preserve"> PAGEREF _Toc181684960 \h </w:instrText>
        </w:r>
        <w:r>
          <w:rPr>
            <w:noProof/>
            <w:webHidden/>
          </w:rPr>
        </w:r>
        <w:r>
          <w:rPr>
            <w:noProof/>
            <w:webHidden/>
          </w:rPr>
          <w:fldChar w:fldCharType="separate"/>
        </w:r>
        <w:r>
          <w:rPr>
            <w:noProof/>
            <w:webHidden/>
          </w:rPr>
          <w:t>787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61" w:history="1">
        <w:r w:rsidRPr="001B13A4">
          <w:rPr>
            <w:rStyle w:val="Hyperlink"/>
            <w:noProof/>
          </w:rPr>
          <w:t>3.1.2.2.1.2</w:t>
        </w:r>
        <w:r>
          <w:rPr>
            <w:rFonts w:asciiTheme="minorHAnsi" w:eastAsiaTheme="minorEastAsia" w:hAnsiTheme="minorHAnsi" w:cstheme="minorBidi"/>
            <w:noProof/>
            <w:sz w:val="22"/>
            <w:szCs w:val="22"/>
          </w:rPr>
          <w:tab/>
        </w:r>
        <w:r w:rsidRPr="001B13A4">
          <w:rPr>
            <w:rStyle w:val="Hyperlink"/>
            <w:noProof/>
          </w:rPr>
          <w:t>recipientData (Data About Single Data Source Record)</w:t>
        </w:r>
        <w:r>
          <w:rPr>
            <w:noProof/>
            <w:webHidden/>
          </w:rPr>
          <w:tab/>
        </w:r>
        <w:r>
          <w:rPr>
            <w:noProof/>
            <w:webHidden/>
          </w:rPr>
          <w:fldChar w:fldCharType="begin"/>
        </w:r>
        <w:r>
          <w:rPr>
            <w:noProof/>
            <w:webHidden/>
          </w:rPr>
          <w:instrText xml:space="preserve"> PAGEREF _Toc181684961 \h </w:instrText>
        </w:r>
        <w:r>
          <w:rPr>
            <w:noProof/>
            <w:webHidden/>
          </w:rPr>
        </w:r>
        <w:r>
          <w:rPr>
            <w:noProof/>
            <w:webHidden/>
          </w:rPr>
          <w:fldChar w:fldCharType="separate"/>
        </w:r>
        <w:r>
          <w:rPr>
            <w:noProof/>
            <w:webHidden/>
          </w:rPr>
          <w:t>789</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4962" w:history="1">
        <w:r w:rsidRPr="001B13A4">
          <w:rPr>
            <w:rStyle w:val="Hyperlink"/>
            <w:noProof/>
          </w:rPr>
          <w:t>3.1.2.2.1.3</w:t>
        </w:r>
        <w:r>
          <w:rPr>
            <w:rFonts w:asciiTheme="minorHAnsi" w:eastAsiaTheme="minorEastAsia" w:hAnsiTheme="minorHAnsi" w:cstheme="minorBidi"/>
            <w:noProof/>
            <w:sz w:val="22"/>
            <w:szCs w:val="22"/>
          </w:rPr>
          <w:tab/>
        </w:r>
        <w:r w:rsidRPr="001B13A4">
          <w:rPr>
            <w:rStyle w:val="Hyperlink"/>
            <w:noProof/>
          </w:rPr>
          <w:t>recipients (Inclusion/Exclusion Data for Data Source)</w:t>
        </w:r>
        <w:r>
          <w:rPr>
            <w:noProof/>
            <w:webHidden/>
          </w:rPr>
          <w:tab/>
        </w:r>
        <w:r>
          <w:rPr>
            <w:noProof/>
            <w:webHidden/>
          </w:rPr>
          <w:fldChar w:fldCharType="begin"/>
        </w:r>
        <w:r>
          <w:rPr>
            <w:noProof/>
            <w:webHidden/>
          </w:rPr>
          <w:instrText xml:space="preserve"> PAGEREF _Toc181684962 \h </w:instrText>
        </w:r>
        <w:r>
          <w:rPr>
            <w:noProof/>
            <w:webHidden/>
          </w:rPr>
        </w:r>
        <w:r>
          <w:rPr>
            <w:noProof/>
            <w:webHidden/>
          </w:rPr>
          <w:fldChar w:fldCharType="separate"/>
        </w:r>
        <w:r>
          <w:rPr>
            <w:noProof/>
            <w:webHidden/>
          </w:rPr>
          <w:t>790</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63" w:history="1">
        <w:r w:rsidRPr="001B13A4">
          <w:rPr>
            <w:rStyle w:val="Hyperlink"/>
            <w:noProof/>
          </w:rPr>
          <w:t>3.1.2.3</w:t>
        </w:r>
        <w:r>
          <w:rPr>
            <w:rFonts w:asciiTheme="minorHAnsi" w:eastAsiaTheme="minorEastAsia" w:hAnsiTheme="minorHAnsi" w:cstheme="minorBidi"/>
            <w:noProof/>
            <w:sz w:val="22"/>
            <w:szCs w:val="22"/>
          </w:rPr>
          <w:tab/>
        </w:r>
        <w:r w:rsidRPr="001B13A4">
          <w:rPr>
            <w:rStyle w:val="Hyperlink"/>
            <w:noProof/>
          </w:rPr>
          <w:t>Simple Types</w:t>
        </w:r>
        <w:r>
          <w:rPr>
            <w:noProof/>
            <w:webHidden/>
          </w:rPr>
          <w:tab/>
        </w:r>
        <w:r>
          <w:rPr>
            <w:noProof/>
            <w:webHidden/>
          </w:rPr>
          <w:fldChar w:fldCharType="begin"/>
        </w:r>
        <w:r>
          <w:rPr>
            <w:noProof/>
            <w:webHidden/>
          </w:rPr>
          <w:instrText xml:space="preserve"> PAGEREF _Toc181684963 \h </w:instrText>
        </w:r>
        <w:r>
          <w:rPr>
            <w:noProof/>
            <w:webHidden/>
          </w:rPr>
        </w:r>
        <w:r>
          <w:rPr>
            <w:noProof/>
            <w:webHidden/>
          </w:rPr>
          <w:fldChar w:fldCharType="separate"/>
        </w:r>
        <w:r>
          <w:rPr>
            <w:noProof/>
            <w:webHidden/>
          </w:rPr>
          <w:t>791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64" w:history="1">
        <w:r w:rsidRPr="001B13A4">
          <w:rPr>
            <w:rStyle w:val="Hyperlink"/>
            <w:noProof/>
          </w:rPr>
          <w:t>3.1.2.3.1</w:t>
        </w:r>
        <w:r>
          <w:rPr>
            <w:rFonts w:asciiTheme="minorHAnsi" w:eastAsiaTheme="minorEastAsia" w:hAnsiTheme="minorHAnsi" w:cstheme="minorBidi"/>
            <w:noProof/>
            <w:sz w:val="22"/>
            <w:szCs w:val="22"/>
          </w:rPr>
          <w:tab/>
        </w:r>
        <w:r w:rsidRPr="001B13A4">
          <w:rPr>
            <w:rStyle w:val="Hyperlink"/>
            <w:noProof/>
          </w:rPr>
          <w:t>ST_DecimalNumber (Decimal Number Value)</w:t>
        </w:r>
        <w:r>
          <w:rPr>
            <w:noProof/>
            <w:webHidden/>
          </w:rPr>
          <w:tab/>
        </w:r>
        <w:r>
          <w:rPr>
            <w:noProof/>
            <w:webHidden/>
          </w:rPr>
          <w:fldChar w:fldCharType="begin"/>
        </w:r>
        <w:r>
          <w:rPr>
            <w:noProof/>
            <w:webHidden/>
          </w:rPr>
          <w:instrText xml:space="preserve"> PAGEREF _Toc181684964 \h </w:instrText>
        </w:r>
        <w:r>
          <w:rPr>
            <w:noProof/>
            <w:webHidden/>
          </w:rPr>
        </w:r>
        <w:r>
          <w:rPr>
            <w:noProof/>
            <w:webHidden/>
          </w:rPr>
          <w:fldChar w:fldCharType="separate"/>
        </w:r>
        <w:r>
          <w:rPr>
            <w:noProof/>
            <w:webHidden/>
          </w:rPr>
          <w:t>791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65" w:history="1">
        <w:r w:rsidRPr="001B13A4">
          <w:rPr>
            <w:rStyle w:val="Hyperlink"/>
            <w:noProof/>
          </w:rPr>
          <w:t>3.1.2.3.2</w:t>
        </w:r>
        <w:r>
          <w:rPr>
            <w:rFonts w:asciiTheme="minorHAnsi" w:eastAsiaTheme="minorEastAsia" w:hAnsiTheme="minorHAnsi" w:cstheme="minorBidi"/>
            <w:noProof/>
            <w:sz w:val="22"/>
            <w:szCs w:val="22"/>
          </w:rPr>
          <w:tab/>
        </w:r>
        <w:r w:rsidRPr="001B13A4">
          <w:rPr>
            <w:rStyle w:val="Hyperlink"/>
            <w:noProof/>
          </w:rPr>
          <w:t>ST_LongHexNumber (Four Digit Hexadecimal Number Value)</w:t>
        </w:r>
        <w:r>
          <w:rPr>
            <w:noProof/>
            <w:webHidden/>
          </w:rPr>
          <w:tab/>
        </w:r>
        <w:r>
          <w:rPr>
            <w:noProof/>
            <w:webHidden/>
          </w:rPr>
          <w:fldChar w:fldCharType="begin"/>
        </w:r>
        <w:r>
          <w:rPr>
            <w:noProof/>
            <w:webHidden/>
          </w:rPr>
          <w:instrText xml:space="preserve"> PAGEREF _Toc181684965 \h </w:instrText>
        </w:r>
        <w:r>
          <w:rPr>
            <w:noProof/>
            <w:webHidden/>
          </w:rPr>
        </w:r>
        <w:r>
          <w:rPr>
            <w:noProof/>
            <w:webHidden/>
          </w:rPr>
          <w:fldChar w:fldCharType="separate"/>
        </w:r>
        <w:r>
          <w:rPr>
            <w:noProof/>
            <w:webHidden/>
          </w:rPr>
          <w:t>792</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66" w:history="1">
        <w:r w:rsidRPr="001B13A4">
          <w:rPr>
            <w:rStyle w:val="Hyperlink"/>
            <w:noProof/>
          </w:rPr>
          <w:t>3.1.2.3.3</w:t>
        </w:r>
        <w:r>
          <w:rPr>
            <w:rFonts w:asciiTheme="minorHAnsi" w:eastAsiaTheme="minorEastAsia" w:hAnsiTheme="minorHAnsi" w:cstheme="minorBidi"/>
            <w:noProof/>
            <w:sz w:val="22"/>
            <w:szCs w:val="22"/>
          </w:rPr>
          <w:tab/>
        </w:r>
        <w:r w:rsidRPr="001B13A4">
          <w:rPr>
            <w:rStyle w:val="Hyperlink"/>
            <w:noProof/>
          </w:rPr>
          <w:t>ST_OnOff (On/Off Value)</w:t>
        </w:r>
        <w:r>
          <w:rPr>
            <w:noProof/>
            <w:webHidden/>
          </w:rPr>
          <w:tab/>
        </w:r>
        <w:r>
          <w:rPr>
            <w:noProof/>
            <w:webHidden/>
          </w:rPr>
          <w:fldChar w:fldCharType="begin"/>
        </w:r>
        <w:r>
          <w:rPr>
            <w:noProof/>
            <w:webHidden/>
          </w:rPr>
          <w:instrText xml:space="preserve"> PAGEREF _Toc181684966 \h </w:instrText>
        </w:r>
        <w:r>
          <w:rPr>
            <w:noProof/>
            <w:webHidden/>
          </w:rPr>
        </w:r>
        <w:r>
          <w:rPr>
            <w:noProof/>
            <w:webHidden/>
          </w:rPr>
          <w:fldChar w:fldCharType="separate"/>
        </w:r>
        <w:r>
          <w:rPr>
            <w:noProof/>
            <w:webHidden/>
          </w:rPr>
          <w:t>792</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67" w:history="1">
        <w:r w:rsidRPr="001B13A4">
          <w:rPr>
            <w:rStyle w:val="Hyperlink"/>
            <w:noProof/>
          </w:rPr>
          <w:t>3.1.2.3.4</w:t>
        </w:r>
        <w:r>
          <w:rPr>
            <w:rFonts w:asciiTheme="minorHAnsi" w:eastAsiaTheme="minorEastAsia" w:hAnsiTheme="minorHAnsi" w:cstheme="minorBidi"/>
            <w:noProof/>
            <w:sz w:val="22"/>
            <w:szCs w:val="22"/>
          </w:rPr>
          <w:tab/>
        </w:r>
        <w:r w:rsidRPr="001B13A4">
          <w:rPr>
            <w:rStyle w:val="Hyperlink"/>
            <w:noProof/>
          </w:rPr>
          <w:t>ST_ShortHexNumber (Two Digit Hexadecimal Number Value)</w:t>
        </w:r>
        <w:r>
          <w:rPr>
            <w:noProof/>
            <w:webHidden/>
          </w:rPr>
          <w:tab/>
        </w:r>
        <w:r>
          <w:rPr>
            <w:noProof/>
            <w:webHidden/>
          </w:rPr>
          <w:fldChar w:fldCharType="begin"/>
        </w:r>
        <w:r>
          <w:rPr>
            <w:noProof/>
            <w:webHidden/>
          </w:rPr>
          <w:instrText xml:space="preserve"> PAGEREF _Toc181684967 \h </w:instrText>
        </w:r>
        <w:r>
          <w:rPr>
            <w:noProof/>
            <w:webHidden/>
          </w:rPr>
        </w:r>
        <w:r>
          <w:rPr>
            <w:noProof/>
            <w:webHidden/>
          </w:rPr>
          <w:fldChar w:fldCharType="separate"/>
        </w:r>
        <w:r>
          <w:rPr>
            <w:noProof/>
            <w:webHidden/>
          </w:rPr>
          <w:t>793</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68" w:history="1">
        <w:r w:rsidRPr="001B13A4">
          <w:rPr>
            <w:rStyle w:val="Hyperlink"/>
            <w:noProof/>
          </w:rPr>
          <w:t>3.1.2.3.5</w:t>
        </w:r>
        <w:r>
          <w:rPr>
            <w:rFonts w:asciiTheme="minorHAnsi" w:eastAsiaTheme="minorEastAsia" w:hAnsiTheme="minorHAnsi" w:cstheme="minorBidi"/>
            <w:noProof/>
            <w:sz w:val="22"/>
            <w:szCs w:val="22"/>
          </w:rPr>
          <w:tab/>
        </w:r>
        <w:r w:rsidRPr="001B13A4">
          <w:rPr>
            <w:rStyle w:val="Hyperlink"/>
            <w:noProof/>
          </w:rPr>
          <w:t>ST_String (String)</w:t>
        </w:r>
        <w:r>
          <w:rPr>
            <w:noProof/>
            <w:webHidden/>
          </w:rPr>
          <w:tab/>
        </w:r>
        <w:r>
          <w:rPr>
            <w:noProof/>
            <w:webHidden/>
          </w:rPr>
          <w:fldChar w:fldCharType="begin"/>
        </w:r>
        <w:r>
          <w:rPr>
            <w:noProof/>
            <w:webHidden/>
          </w:rPr>
          <w:instrText xml:space="preserve"> PAGEREF _Toc181684968 \h </w:instrText>
        </w:r>
        <w:r>
          <w:rPr>
            <w:noProof/>
            <w:webHidden/>
          </w:rPr>
        </w:r>
        <w:r>
          <w:rPr>
            <w:noProof/>
            <w:webHidden/>
          </w:rPr>
          <w:fldChar w:fldCharType="separate"/>
        </w:r>
        <w:r>
          <w:rPr>
            <w:noProof/>
            <w:webHidden/>
          </w:rPr>
          <w:t>794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69" w:history="1">
        <w:r w:rsidRPr="001B13A4">
          <w:rPr>
            <w:rStyle w:val="Hyperlink"/>
            <w:noProof/>
          </w:rPr>
          <w:t>3.1.3</w:t>
        </w:r>
        <w:r>
          <w:rPr>
            <w:rFonts w:asciiTheme="minorHAnsi" w:eastAsiaTheme="minorEastAsia" w:hAnsiTheme="minorHAnsi" w:cstheme="minorBidi"/>
            <w:noProof/>
            <w:sz w:val="22"/>
            <w:szCs w:val="22"/>
          </w:rPr>
          <w:tab/>
        </w:r>
        <w:r w:rsidRPr="001B13A4">
          <w:rPr>
            <w:rStyle w:val="Hyperlink"/>
            <w:noProof/>
          </w:rPr>
          <w:t>Additional WordprocessingML Schema</w:t>
        </w:r>
        <w:r>
          <w:rPr>
            <w:noProof/>
            <w:webHidden/>
          </w:rPr>
          <w:tab/>
        </w:r>
        <w:r>
          <w:rPr>
            <w:noProof/>
            <w:webHidden/>
          </w:rPr>
          <w:fldChar w:fldCharType="begin"/>
        </w:r>
        <w:r>
          <w:rPr>
            <w:noProof/>
            <w:webHidden/>
          </w:rPr>
          <w:instrText xml:space="preserve"> PAGEREF _Toc181684969 \h </w:instrText>
        </w:r>
        <w:r>
          <w:rPr>
            <w:noProof/>
            <w:webHidden/>
          </w:rPr>
        </w:r>
        <w:r>
          <w:rPr>
            <w:noProof/>
            <w:webHidden/>
          </w:rPr>
          <w:fldChar w:fldCharType="separate"/>
        </w:r>
        <w:r>
          <w:rPr>
            <w:noProof/>
            <w:webHidden/>
          </w:rPr>
          <w:t>795</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70" w:history="1">
        <w:r w:rsidRPr="001B13A4">
          <w:rPr>
            <w:rStyle w:val="Hyperlink"/>
            <w:noProof/>
          </w:rPr>
          <w:t>3.1.3.1</w:t>
        </w:r>
        <w:r>
          <w:rPr>
            <w:rFonts w:asciiTheme="minorHAnsi" w:eastAsiaTheme="minorEastAsia" w:hAnsiTheme="minorHAnsi" w:cstheme="minorBidi"/>
            <w:noProof/>
            <w:sz w:val="22"/>
            <w:szCs w:val="22"/>
          </w:rPr>
          <w:tab/>
        </w:r>
        <w:r w:rsidRPr="001B13A4">
          <w:rPr>
            <w:rStyle w:val="Hyperlink"/>
            <w:noProof/>
          </w:rPr>
          <w:t>Additional Elements</w:t>
        </w:r>
        <w:r>
          <w:rPr>
            <w:noProof/>
            <w:webHidden/>
          </w:rPr>
          <w:tab/>
        </w:r>
        <w:r>
          <w:rPr>
            <w:noProof/>
            <w:webHidden/>
          </w:rPr>
          <w:fldChar w:fldCharType="begin"/>
        </w:r>
        <w:r>
          <w:rPr>
            <w:noProof/>
            <w:webHidden/>
          </w:rPr>
          <w:instrText xml:space="preserve"> PAGEREF _Toc181684970 \h </w:instrText>
        </w:r>
        <w:r>
          <w:rPr>
            <w:noProof/>
            <w:webHidden/>
          </w:rPr>
        </w:r>
        <w:r>
          <w:rPr>
            <w:noProof/>
            <w:webHidden/>
          </w:rPr>
          <w:fldChar w:fldCharType="separate"/>
        </w:r>
        <w:r>
          <w:rPr>
            <w:noProof/>
            <w:webHidden/>
          </w:rPr>
          <w:t>795</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71" w:history="1">
        <w:r w:rsidRPr="001B13A4">
          <w:rPr>
            <w:rStyle w:val="Hyperlink"/>
            <w:noProof/>
          </w:rPr>
          <w:t>3.1.3.1.1</w:t>
        </w:r>
        <w:r>
          <w:rPr>
            <w:rFonts w:asciiTheme="minorHAnsi" w:eastAsiaTheme="minorEastAsia" w:hAnsiTheme="minorHAnsi" w:cstheme="minorBidi"/>
            <w:noProof/>
            <w:sz w:val="22"/>
            <w:szCs w:val="22"/>
          </w:rPr>
          <w:tab/>
        </w:r>
        <w:r w:rsidRPr="001B13A4">
          <w:rPr>
            <w:rStyle w:val="Hyperlink"/>
            <w:noProof/>
          </w:rPr>
          <w:t>customXml (Ruby Inline-Level Custom XML Element)</w:t>
        </w:r>
        <w:r>
          <w:rPr>
            <w:noProof/>
            <w:webHidden/>
          </w:rPr>
          <w:tab/>
        </w:r>
        <w:r>
          <w:rPr>
            <w:noProof/>
            <w:webHidden/>
          </w:rPr>
          <w:fldChar w:fldCharType="begin"/>
        </w:r>
        <w:r>
          <w:rPr>
            <w:noProof/>
            <w:webHidden/>
          </w:rPr>
          <w:instrText xml:space="preserve"> PAGEREF _Toc181684971 \h </w:instrText>
        </w:r>
        <w:r>
          <w:rPr>
            <w:noProof/>
            <w:webHidden/>
          </w:rPr>
        </w:r>
        <w:r>
          <w:rPr>
            <w:noProof/>
            <w:webHidden/>
          </w:rPr>
          <w:fldChar w:fldCharType="separate"/>
        </w:r>
        <w:r>
          <w:rPr>
            <w:noProof/>
            <w:webHidden/>
          </w:rPr>
          <w:t>795</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72" w:history="1">
        <w:r w:rsidRPr="001B13A4">
          <w:rPr>
            <w:rStyle w:val="Hyperlink"/>
            <w:noProof/>
          </w:rPr>
          <w:t>3.1.3.1.2</w:t>
        </w:r>
        <w:r>
          <w:rPr>
            <w:rFonts w:asciiTheme="minorHAnsi" w:eastAsiaTheme="minorEastAsia" w:hAnsiTheme="minorHAnsi" w:cstheme="minorBidi"/>
            <w:noProof/>
            <w:sz w:val="22"/>
            <w:szCs w:val="22"/>
          </w:rPr>
          <w:tab/>
        </w:r>
        <w:r w:rsidRPr="001B13A4">
          <w:rPr>
            <w:rStyle w:val="Hyperlink"/>
            <w:noProof/>
          </w:rPr>
          <w:t>fldSimple (Ruby Simple Field)</w:t>
        </w:r>
        <w:r>
          <w:rPr>
            <w:noProof/>
            <w:webHidden/>
          </w:rPr>
          <w:tab/>
        </w:r>
        <w:r>
          <w:rPr>
            <w:noProof/>
            <w:webHidden/>
          </w:rPr>
          <w:fldChar w:fldCharType="begin"/>
        </w:r>
        <w:r>
          <w:rPr>
            <w:noProof/>
            <w:webHidden/>
          </w:rPr>
          <w:instrText xml:space="preserve"> PAGEREF _Toc181684972 \h </w:instrText>
        </w:r>
        <w:r>
          <w:rPr>
            <w:noProof/>
            <w:webHidden/>
          </w:rPr>
        </w:r>
        <w:r>
          <w:rPr>
            <w:noProof/>
            <w:webHidden/>
          </w:rPr>
          <w:fldChar w:fldCharType="separate"/>
        </w:r>
        <w:r>
          <w:rPr>
            <w:noProof/>
            <w:webHidden/>
          </w:rPr>
          <w:t>799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73" w:history="1">
        <w:r w:rsidRPr="001B13A4">
          <w:rPr>
            <w:rStyle w:val="Hyperlink"/>
            <w:noProof/>
          </w:rPr>
          <w:t>3.1.3.1.3</w:t>
        </w:r>
        <w:r>
          <w:rPr>
            <w:rFonts w:asciiTheme="minorHAnsi" w:eastAsiaTheme="minorEastAsia" w:hAnsiTheme="minorHAnsi" w:cstheme="minorBidi"/>
            <w:noProof/>
            <w:sz w:val="22"/>
            <w:szCs w:val="22"/>
          </w:rPr>
          <w:tab/>
        </w:r>
        <w:r w:rsidRPr="001B13A4">
          <w:rPr>
            <w:rStyle w:val="Hyperlink"/>
            <w:noProof/>
          </w:rPr>
          <w:t>hyperlink (Ruby Hyperlink)</w:t>
        </w:r>
        <w:r>
          <w:rPr>
            <w:noProof/>
            <w:webHidden/>
          </w:rPr>
          <w:tab/>
        </w:r>
        <w:r>
          <w:rPr>
            <w:noProof/>
            <w:webHidden/>
          </w:rPr>
          <w:fldChar w:fldCharType="begin"/>
        </w:r>
        <w:r>
          <w:rPr>
            <w:noProof/>
            <w:webHidden/>
          </w:rPr>
          <w:instrText xml:space="preserve"> PAGEREF _Toc181684973 \h </w:instrText>
        </w:r>
        <w:r>
          <w:rPr>
            <w:noProof/>
            <w:webHidden/>
          </w:rPr>
        </w:r>
        <w:r>
          <w:rPr>
            <w:noProof/>
            <w:webHidden/>
          </w:rPr>
          <w:fldChar w:fldCharType="separate"/>
        </w:r>
        <w:r>
          <w:rPr>
            <w:noProof/>
            <w:webHidden/>
          </w:rPr>
          <w:t>803</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74" w:history="1">
        <w:r w:rsidRPr="001B13A4">
          <w:rPr>
            <w:rStyle w:val="Hyperlink"/>
            <w:noProof/>
          </w:rPr>
          <w:t>3.1.3.1.4</w:t>
        </w:r>
        <w:r>
          <w:rPr>
            <w:rFonts w:asciiTheme="minorHAnsi" w:eastAsiaTheme="minorEastAsia" w:hAnsiTheme="minorHAnsi" w:cstheme="minorBidi"/>
            <w:noProof/>
            <w:sz w:val="22"/>
            <w:szCs w:val="22"/>
          </w:rPr>
          <w:tab/>
        </w:r>
        <w:r w:rsidRPr="001B13A4">
          <w:rPr>
            <w:rStyle w:val="Hyperlink"/>
            <w:noProof/>
          </w:rPr>
          <w:t>moveFrom (Move Source Math Control Character)</w:t>
        </w:r>
        <w:r>
          <w:rPr>
            <w:noProof/>
            <w:webHidden/>
          </w:rPr>
          <w:tab/>
        </w:r>
        <w:r>
          <w:rPr>
            <w:noProof/>
            <w:webHidden/>
          </w:rPr>
          <w:fldChar w:fldCharType="begin"/>
        </w:r>
        <w:r>
          <w:rPr>
            <w:noProof/>
            <w:webHidden/>
          </w:rPr>
          <w:instrText xml:space="preserve"> PAGEREF _Toc181684974 \h </w:instrText>
        </w:r>
        <w:r>
          <w:rPr>
            <w:noProof/>
            <w:webHidden/>
          </w:rPr>
        </w:r>
        <w:r>
          <w:rPr>
            <w:noProof/>
            <w:webHidden/>
          </w:rPr>
          <w:fldChar w:fldCharType="separate"/>
        </w:r>
        <w:r>
          <w:rPr>
            <w:noProof/>
            <w:webHidden/>
          </w:rPr>
          <w:t>810</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75" w:history="1">
        <w:r w:rsidRPr="001B13A4">
          <w:rPr>
            <w:rStyle w:val="Hyperlink"/>
            <w:noProof/>
          </w:rPr>
          <w:t>3.1.3.1.5</w:t>
        </w:r>
        <w:r>
          <w:rPr>
            <w:rFonts w:asciiTheme="minorHAnsi" w:eastAsiaTheme="minorEastAsia" w:hAnsiTheme="minorHAnsi" w:cstheme="minorBidi"/>
            <w:noProof/>
            <w:sz w:val="22"/>
            <w:szCs w:val="22"/>
          </w:rPr>
          <w:tab/>
        </w:r>
        <w:r w:rsidRPr="001B13A4">
          <w:rPr>
            <w:rStyle w:val="Hyperlink"/>
            <w:noProof/>
          </w:rPr>
          <w:t>moveTo (Move Destination Math Control Character)</w:t>
        </w:r>
        <w:r>
          <w:rPr>
            <w:noProof/>
            <w:webHidden/>
          </w:rPr>
          <w:tab/>
        </w:r>
        <w:r>
          <w:rPr>
            <w:noProof/>
            <w:webHidden/>
          </w:rPr>
          <w:fldChar w:fldCharType="begin"/>
        </w:r>
        <w:r>
          <w:rPr>
            <w:noProof/>
            <w:webHidden/>
          </w:rPr>
          <w:instrText xml:space="preserve"> PAGEREF _Toc181684975 \h </w:instrText>
        </w:r>
        <w:r>
          <w:rPr>
            <w:noProof/>
            <w:webHidden/>
          </w:rPr>
        </w:r>
        <w:r>
          <w:rPr>
            <w:noProof/>
            <w:webHidden/>
          </w:rPr>
          <w:fldChar w:fldCharType="separate"/>
        </w:r>
        <w:r>
          <w:rPr>
            <w:noProof/>
            <w:webHidden/>
          </w:rPr>
          <w:t>812</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76" w:history="1">
        <w:r w:rsidRPr="001B13A4">
          <w:rPr>
            <w:rStyle w:val="Hyperlink"/>
            <w:noProof/>
          </w:rPr>
          <w:t>3.1.3.1.6</w:t>
        </w:r>
        <w:r>
          <w:rPr>
            <w:rFonts w:asciiTheme="minorHAnsi" w:eastAsiaTheme="minorEastAsia" w:hAnsiTheme="minorHAnsi" w:cstheme="minorBidi"/>
            <w:noProof/>
            <w:sz w:val="22"/>
            <w:szCs w:val="22"/>
          </w:rPr>
          <w:tab/>
        </w:r>
        <w:r w:rsidRPr="001B13A4">
          <w:rPr>
            <w:rStyle w:val="Hyperlink"/>
            <w:noProof/>
          </w:rPr>
          <w:t>sdt (Ruby Inline-Level Structured Document Tag)</w:t>
        </w:r>
        <w:r>
          <w:rPr>
            <w:noProof/>
            <w:webHidden/>
          </w:rPr>
          <w:tab/>
        </w:r>
        <w:r>
          <w:rPr>
            <w:noProof/>
            <w:webHidden/>
          </w:rPr>
          <w:fldChar w:fldCharType="begin"/>
        </w:r>
        <w:r>
          <w:rPr>
            <w:noProof/>
            <w:webHidden/>
          </w:rPr>
          <w:instrText xml:space="preserve"> PAGEREF _Toc181684976 \h </w:instrText>
        </w:r>
        <w:r>
          <w:rPr>
            <w:noProof/>
            <w:webHidden/>
          </w:rPr>
        </w:r>
        <w:r>
          <w:rPr>
            <w:noProof/>
            <w:webHidden/>
          </w:rPr>
          <w:fldChar w:fldCharType="separate"/>
        </w:r>
        <w:r>
          <w:rPr>
            <w:noProof/>
            <w:webHidden/>
          </w:rPr>
          <w:t>813</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77" w:history="1">
        <w:r w:rsidRPr="001B13A4">
          <w:rPr>
            <w:rStyle w:val="Hyperlink"/>
            <w:noProof/>
          </w:rPr>
          <w:t>3.1.3.1.7</w:t>
        </w:r>
        <w:r>
          <w:rPr>
            <w:rFonts w:asciiTheme="minorHAnsi" w:eastAsiaTheme="minorEastAsia" w:hAnsiTheme="minorHAnsi" w:cstheme="minorBidi"/>
            <w:noProof/>
            <w:sz w:val="22"/>
            <w:szCs w:val="22"/>
          </w:rPr>
          <w:tab/>
        </w:r>
        <w:r w:rsidRPr="001B13A4">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_Toc181684977 \h </w:instrText>
        </w:r>
        <w:r>
          <w:rPr>
            <w:noProof/>
            <w:webHidden/>
          </w:rPr>
        </w:r>
        <w:r>
          <w:rPr>
            <w:noProof/>
            <w:webHidden/>
          </w:rPr>
          <w:fldChar w:fldCharType="separate"/>
        </w:r>
        <w:r>
          <w:rPr>
            <w:noProof/>
            <w:webHidden/>
          </w:rPr>
          <w:t>815</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78" w:history="1">
        <w:r w:rsidRPr="001B13A4">
          <w:rPr>
            <w:rStyle w:val="Hyperlink"/>
            <w:noProof/>
          </w:rPr>
          <w:t>3.1.3.2</w:t>
        </w:r>
        <w:r>
          <w:rPr>
            <w:rFonts w:asciiTheme="minorHAnsi" w:eastAsiaTheme="minorEastAsia" w:hAnsiTheme="minorHAnsi" w:cstheme="minorBidi"/>
            <w:noProof/>
            <w:sz w:val="22"/>
            <w:szCs w:val="22"/>
          </w:rPr>
          <w:tab/>
        </w:r>
        <w:r w:rsidRPr="001B13A4">
          <w:rPr>
            <w:rStyle w:val="Hyperlink"/>
            <w:noProof/>
          </w:rPr>
          <w:t>Additional Fields</w:t>
        </w:r>
        <w:r>
          <w:rPr>
            <w:noProof/>
            <w:webHidden/>
          </w:rPr>
          <w:tab/>
        </w:r>
        <w:r>
          <w:rPr>
            <w:noProof/>
            <w:webHidden/>
          </w:rPr>
          <w:fldChar w:fldCharType="begin"/>
        </w:r>
        <w:r>
          <w:rPr>
            <w:noProof/>
            <w:webHidden/>
          </w:rPr>
          <w:instrText xml:space="preserve"> PAGEREF _Toc181684978 \h </w:instrText>
        </w:r>
        <w:r>
          <w:rPr>
            <w:noProof/>
            <w:webHidden/>
          </w:rPr>
        </w:r>
        <w:r>
          <w:rPr>
            <w:noProof/>
            <w:webHidden/>
          </w:rPr>
          <w:fldChar w:fldCharType="separate"/>
        </w:r>
        <w:r>
          <w:rPr>
            <w:noProof/>
            <w:webHidden/>
          </w:rPr>
          <w:t>819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79" w:history="1">
        <w:r w:rsidRPr="001B13A4">
          <w:rPr>
            <w:rStyle w:val="Hyperlink"/>
            <w:noProof/>
          </w:rPr>
          <w:t>3.1.3.2.1</w:t>
        </w:r>
        <w:r>
          <w:rPr>
            <w:rFonts w:asciiTheme="minorHAnsi" w:eastAsiaTheme="minorEastAsia" w:hAnsiTheme="minorHAnsi" w:cstheme="minorBidi"/>
            <w:noProof/>
            <w:sz w:val="22"/>
            <w:szCs w:val="22"/>
          </w:rPr>
          <w:tab/>
        </w:r>
        <w:r w:rsidRPr="001B13A4">
          <w:rPr>
            <w:rStyle w:val="Hyperlink"/>
            <w:noProof/>
          </w:rPr>
          <w:t>DDE</w:t>
        </w:r>
        <w:r>
          <w:rPr>
            <w:noProof/>
            <w:webHidden/>
          </w:rPr>
          <w:tab/>
        </w:r>
        <w:r>
          <w:rPr>
            <w:noProof/>
            <w:webHidden/>
          </w:rPr>
          <w:fldChar w:fldCharType="begin"/>
        </w:r>
        <w:r>
          <w:rPr>
            <w:noProof/>
            <w:webHidden/>
          </w:rPr>
          <w:instrText xml:space="preserve"> PAGEREF _Toc181684979 \h </w:instrText>
        </w:r>
        <w:r>
          <w:rPr>
            <w:noProof/>
            <w:webHidden/>
          </w:rPr>
        </w:r>
        <w:r>
          <w:rPr>
            <w:noProof/>
            <w:webHidden/>
          </w:rPr>
          <w:fldChar w:fldCharType="separate"/>
        </w:r>
        <w:r>
          <w:rPr>
            <w:noProof/>
            <w:webHidden/>
          </w:rPr>
          <w:t>819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80" w:history="1">
        <w:r w:rsidRPr="001B13A4">
          <w:rPr>
            <w:rStyle w:val="Hyperlink"/>
            <w:noProof/>
          </w:rPr>
          <w:t>3.1.3.2.2</w:t>
        </w:r>
        <w:r>
          <w:rPr>
            <w:rFonts w:asciiTheme="minorHAnsi" w:eastAsiaTheme="minorEastAsia" w:hAnsiTheme="minorHAnsi" w:cstheme="minorBidi"/>
            <w:noProof/>
            <w:sz w:val="22"/>
            <w:szCs w:val="22"/>
          </w:rPr>
          <w:tab/>
        </w:r>
        <w:r w:rsidRPr="001B13A4">
          <w:rPr>
            <w:rStyle w:val="Hyperlink"/>
            <w:noProof/>
          </w:rPr>
          <w:t>DDEAUTO</w:t>
        </w:r>
        <w:r>
          <w:rPr>
            <w:noProof/>
            <w:webHidden/>
          </w:rPr>
          <w:tab/>
        </w:r>
        <w:r>
          <w:rPr>
            <w:noProof/>
            <w:webHidden/>
          </w:rPr>
          <w:fldChar w:fldCharType="begin"/>
        </w:r>
        <w:r>
          <w:rPr>
            <w:noProof/>
            <w:webHidden/>
          </w:rPr>
          <w:instrText xml:space="preserve"> PAGEREF _Toc181684980 \h </w:instrText>
        </w:r>
        <w:r>
          <w:rPr>
            <w:noProof/>
            <w:webHidden/>
          </w:rPr>
        </w:r>
        <w:r>
          <w:rPr>
            <w:noProof/>
            <w:webHidden/>
          </w:rPr>
          <w:fldChar w:fldCharType="separate"/>
        </w:r>
        <w:r>
          <w:rPr>
            <w:noProof/>
            <w:webHidden/>
          </w:rPr>
          <w:t>820</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81" w:history="1">
        <w:r w:rsidRPr="001B13A4">
          <w:rPr>
            <w:rStyle w:val="Hyperlink"/>
            <w:noProof/>
          </w:rPr>
          <w:t>3.1.3.2.3</w:t>
        </w:r>
        <w:r>
          <w:rPr>
            <w:rFonts w:asciiTheme="minorHAnsi" w:eastAsiaTheme="minorEastAsia" w:hAnsiTheme="minorHAnsi" w:cstheme="minorBidi"/>
            <w:noProof/>
            <w:sz w:val="22"/>
            <w:szCs w:val="22"/>
          </w:rPr>
          <w:tab/>
        </w:r>
        <w:r w:rsidRPr="001B13A4">
          <w:rPr>
            <w:rStyle w:val="Hyperlink"/>
            <w:noProof/>
          </w:rPr>
          <w:t>GLOSSARY</w:t>
        </w:r>
        <w:r>
          <w:rPr>
            <w:noProof/>
            <w:webHidden/>
          </w:rPr>
          <w:tab/>
        </w:r>
        <w:r>
          <w:rPr>
            <w:noProof/>
            <w:webHidden/>
          </w:rPr>
          <w:fldChar w:fldCharType="begin"/>
        </w:r>
        <w:r>
          <w:rPr>
            <w:noProof/>
            <w:webHidden/>
          </w:rPr>
          <w:instrText xml:space="preserve"> PAGEREF _Toc181684981 \h </w:instrText>
        </w:r>
        <w:r>
          <w:rPr>
            <w:noProof/>
            <w:webHidden/>
          </w:rPr>
        </w:r>
        <w:r>
          <w:rPr>
            <w:noProof/>
            <w:webHidden/>
          </w:rPr>
          <w:fldChar w:fldCharType="separate"/>
        </w:r>
        <w:r>
          <w:rPr>
            <w:noProof/>
            <w:webHidden/>
          </w:rPr>
          <w:t>821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82" w:history="1">
        <w:r w:rsidRPr="001B13A4">
          <w:rPr>
            <w:rStyle w:val="Hyperlink"/>
            <w:noProof/>
          </w:rPr>
          <w:t>3.1.3.2.4</w:t>
        </w:r>
        <w:r>
          <w:rPr>
            <w:rFonts w:asciiTheme="minorHAnsi" w:eastAsiaTheme="minorEastAsia" w:hAnsiTheme="minorHAnsi" w:cstheme="minorBidi"/>
            <w:noProof/>
            <w:sz w:val="22"/>
            <w:szCs w:val="22"/>
          </w:rPr>
          <w:tab/>
        </w:r>
        <w:r w:rsidRPr="001B13A4">
          <w:rPr>
            <w:rStyle w:val="Hyperlink"/>
            <w:noProof/>
          </w:rPr>
          <w:t>IMPORT</w:t>
        </w:r>
        <w:r>
          <w:rPr>
            <w:noProof/>
            <w:webHidden/>
          </w:rPr>
          <w:tab/>
        </w:r>
        <w:r>
          <w:rPr>
            <w:noProof/>
            <w:webHidden/>
          </w:rPr>
          <w:fldChar w:fldCharType="begin"/>
        </w:r>
        <w:r>
          <w:rPr>
            <w:noProof/>
            <w:webHidden/>
          </w:rPr>
          <w:instrText xml:space="preserve"> PAGEREF _Toc181684982 \h </w:instrText>
        </w:r>
        <w:r>
          <w:rPr>
            <w:noProof/>
            <w:webHidden/>
          </w:rPr>
        </w:r>
        <w:r>
          <w:rPr>
            <w:noProof/>
            <w:webHidden/>
          </w:rPr>
          <w:fldChar w:fldCharType="separate"/>
        </w:r>
        <w:r>
          <w:rPr>
            <w:noProof/>
            <w:webHidden/>
          </w:rPr>
          <w:t>822</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83" w:history="1">
        <w:r w:rsidRPr="001B13A4">
          <w:rPr>
            <w:rStyle w:val="Hyperlink"/>
            <w:noProof/>
          </w:rPr>
          <w:t>3.1.3.2.5</w:t>
        </w:r>
        <w:r>
          <w:rPr>
            <w:rFonts w:asciiTheme="minorHAnsi" w:eastAsiaTheme="minorEastAsia" w:hAnsiTheme="minorHAnsi" w:cstheme="minorBidi"/>
            <w:noProof/>
            <w:sz w:val="22"/>
            <w:szCs w:val="22"/>
          </w:rPr>
          <w:tab/>
        </w:r>
        <w:r w:rsidRPr="001B13A4">
          <w:rPr>
            <w:rStyle w:val="Hyperlink"/>
            <w:noProof/>
          </w:rPr>
          <w:t>INCLUDE</w:t>
        </w:r>
        <w:r>
          <w:rPr>
            <w:noProof/>
            <w:webHidden/>
          </w:rPr>
          <w:tab/>
        </w:r>
        <w:r>
          <w:rPr>
            <w:noProof/>
            <w:webHidden/>
          </w:rPr>
          <w:fldChar w:fldCharType="begin"/>
        </w:r>
        <w:r>
          <w:rPr>
            <w:noProof/>
            <w:webHidden/>
          </w:rPr>
          <w:instrText xml:space="preserve"> PAGEREF _Toc181684983 \h </w:instrText>
        </w:r>
        <w:r>
          <w:rPr>
            <w:noProof/>
            <w:webHidden/>
          </w:rPr>
        </w:r>
        <w:r>
          <w:rPr>
            <w:noProof/>
            <w:webHidden/>
          </w:rPr>
          <w:fldChar w:fldCharType="separate"/>
        </w:r>
        <w:r>
          <w:rPr>
            <w:noProof/>
            <w:webHidden/>
          </w:rPr>
          <w:t>822</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84" w:history="1">
        <w:r w:rsidRPr="001B13A4">
          <w:rPr>
            <w:rStyle w:val="Hyperlink"/>
            <w:noProof/>
          </w:rPr>
          <w:t>3.1.3.2.6</w:t>
        </w:r>
        <w:r>
          <w:rPr>
            <w:rFonts w:asciiTheme="minorHAnsi" w:eastAsiaTheme="minorEastAsia" w:hAnsiTheme="minorHAnsi" w:cstheme="minorBidi"/>
            <w:noProof/>
            <w:sz w:val="22"/>
            <w:szCs w:val="22"/>
          </w:rPr>
          <w:tab/>
        </w:r>
        <w:r w:rsidRPr="001B13A4">
          <w:rPr>
            <w:rStyle w:val="Hyperlink"/>
            <w:noProof/>
          </w:rPr>
          <w:t>SHAPE</w:t>
        </w:r>
        <w:r>
          <w:rPr>
            <w:noProof/>
            <w:webHidden/>
          </w:rPr>
          <w:tab/>
        </w:r>
        <w:r>
          <w:rPr>
            <w:noProof/>
            <w:webHidden/>
          </w:rPr>
          <w:fldChar w:fldCharType="begin"/>
        </w:r>
        <w:r>
          <w:rPr>
            <w:noProof/>
            <w:webHidden/>
          </w:rPr>
          <w:instrText xml:space="preserve"> PAGEREF _Toc181684984 \h </w:instrText>
        </w:r>
        <w:r>
          <w:rPr>
            <w:noProof/>
            <w:webHidden/>
          </w:rPr>
        </w:r>
        <w:r>
          <w:rPr>
            <w:noProof/>
            <w:webHidden/>
          </w:rPr>
          <w:fldChar w:fldCharType="separate"/>
        </w:r>
        <w:r>
          <w:rPr>
            <w:noProof/>
            <w:webHidden/>
          </w:rPr>
          <w:t>823</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85" w:history="1">
        <w:r w:rsidRPr="001B13A4">
          <w:rPr>
            <w:rStyle w:val="Hyperlink"/>
            <w:noProof/>
          </w:rPr>
          <w:t>3.1.3.2.7</w:t>
        </w:r>
        <w:r>
          <w:rPr>
            <w:rFonts w:asciiTheme="minorHAnsi" w:eastAsiaTheme="minorEastAsia" w:hAnsiTheme="minorHAnsi" w:cstheme="minorBidi"/>
            <w:noProof/>
            <w:sz w:val="22"/>
            <w:szCs w:val="22"/>
          </w:rPr>
          <w:tab/>
        </w:r>
        <w:r w:rsidRPr="001B13A4">
          <w:rPr>
            <w:rStyle w:val="Hyperlink"/>
            <w:noProof/>
          </w:rPr>
          <w:t>DISPLAYBARCODE</w:t>
        </w:r>
        <w:r>
          <w:rPr>
            <w:noProof/>
            <w:webHidden/>
          </w:rPr>
          <w:tab/>
        </w:r>
        <w:r>
          <w:rPr>
            <w:noProof/>
            <w:webHidden/>
          </w:rPr>
          <w:fldChar w:fldCharType="begin"/>
        </w:r>
        <w:r>
          <w:rPr>
            <w:noProof/>
            <w:webHidden/>
          </w:rPr>
          <w:instrText xml:space="preserve"> PAGEREF _Toc181684985 \h </w:instrText>
        </w:r>
        <w:r>
          <w:rPr>
            <w:noProof/>
            <w:webHidden/>
          </w:rPr>
        </w:r>
        <w:r>
          <w:rPr>
            <w:noProof/>
            <w:webHidden/>
          </w:rPr>
          <w:fldChar w:fldCharType="separate"/>
        </w:r>
        <w:r>
          <w:rPr>
            <w:noProof/>
            <w:webHidden/>
          </w:rPr>
          <w:t>823</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86" w:history="1">
        <w:r w:rsidRPr="001B13A4">
          <w:rPr>
            <w:rStyle w:val="Hyperlink"/>
            <w:noProof/>
          </w:rPr>
          <w:t>3.1.3.2.8</w:t>
        </w:r>
        <w:r>
          <w:rPr>
            <w:rFonts w:asciiTheme="minorHAnsi" w:eastAsiaTheme="minorEastAsia" w:hAnsiTheme="minorHAnsi" w:cstheme="minorBidi"/>
            <w:noProof/>
            <w:sz w:val="22"/>
            <w:szCs w:val="22"/>
          </w:rPr>
          <w:tab/>
        </w:r>
        <w:r w:rsidRPr="001B13A4">
          <w:rPr>
            <w:rStyle w:val="Hyperlink"/>
            <w:noProof/>
          </w:rPr>
          <w:t>MERGEBARCODE</w:t>
        </w:r>
        <w:r>
          <w:rPr>
            <w:noProof/>
            <w:webHidden/>
          </w:rPr>
          <w:tab/>
        </w:r>
        <w:r>
          <w:rPr>
            <w:noProof/>
            <w:webHidden/>
          </w:rPr>
          <w:fldChar w:fldCharType="begin"/>
        </w:r>
        <w:r>
          <w:rPr>
            <w:noProof/>
            <w:webHidden/>
          </w:rPr>
          <w:instrText xml:space="preserve"> PAGEREF _Toc181684986 \h </w:instrText>
        </w:r>
        <w:r>
          <w:rPr>
            <w:noProof/>
            <w:webHidden/>
          </w:rPr>
        </w:r>
        <w:r>
          <w:rPr>
            <w:noProof/>
            <w:webHidden/>
          </w:rPr>
          <w:fldChar w:fldCharType="separate"/>
        </w:r>
        <w:r>
          <w:rPr>
            <w:noProof/>
            <w:webHidden/>
          </w:rPr>
          <w:t>825</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87" w:history="1">
        <w:r w:rsidRPr="001B13A4">
          <w:rPr>
            <w:rStyle w:val="Hyperlink"/>
            <w:noProof/>
          </w:rPr>
          <w:t>3.1.3.3</w:t>
        </w:r>
        <w:r>
          <w:rPr>
            <w:rFonts w:asciiTheme="minorHAnsi" w:eastAsiaTheme="minorEastAsia" w:hAnsiTheme="minorHAnsi" w:cstheme="minorBidi"/>
            <w:noProof/>
            <w:sz w:val="22"/>
            <w:szCs w:val="22"/>
          </w:rPr>
          <w:tab/>
        </w:r>
        <w:r w:rsidRPr="001B13A4">
          <w:rPr>
            <w:rStyle w:val="Hyperlink"/>
            <w:noProof/>
          </w:rPr>
          <w:t>Simple Types</w:t>
        </w:r>
        <w:r>
          <w:rPr>
            <w:noProof/>
            <w:webHidden/>
          </w:rPr>
          <w:tab/>
        </w:r>
        <w:r>
          <w:rPr>
            <w:noProof/>
            <w:webHidden/>
          </w:rPr>
          <w:fldChar w:fldCharType="begin"/>
        </w:r>
        <w:r>
          <w:rPr>
            <w:noProof/>
            <w:webHidden/>
          </w:rPr>
          <w:instrText xml:space="preserve"> PAGEREF _Toc181684987 \h </w:instrText>
        </w:r>
        <w:r>
          <w:rPr>
            <w:noProof/>
            <w:webHidden/>
          </w:rPr>
        </w:r>
        <w:r>
          <w:rPr>
            <w:noProof/>
            <w:webHidden/>
          </w:rPr>
          <w:fldChar w:fldCharType="separate"/>
        </w:r>
        <w:r>
          <w:rPr>
            <w:noProof/>
            <w:webHidden/>
          </w:rPr>
          <w:t>828</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88" w:history="1">
        <w:r w:rsidRPr="001B13A4">
          <w:rPr>
            <w:rStyle w:val="Hyperlink"/>
            <w:noProof/>
          </w:rPr>
          <w:t>3.1.3.3.1</w:t>
        </w:r>
        <w:r>
          <w:rPr>
            <w:rFonts w:asciiTheme="minorHAnsi" w:eastAsiaTheme="minorEastAsia" w:hAnsiTheme="minorHAnsi" w:cstheme="minorBidi"/>
            <w:noProof/>
            <w:sz w:val="22"/>
            <w:szCs w:val="22"/>
          </w:rPr>
          <w:tab/>
        </w:r>
        <w:r w:rsidRPr="001B13A4">
          <w:rPr>
            <w:rStyle w:val="Hyperlink"/>
            <w:noProof/>
          </w:rPr>
          <w:t>ST_CustomXmlURI (URI for Custom XML)</w:t>
        </w:r>
        <w:r>
          <w:rPr>
            <w:noProof/>
            <w:webHidden/>
          </w:rPr>
          <w:tab/>
        </w:r>
        <w:r>
          <w:rPr>
            <w:noProof/>
            <w:webHidden/>
          </w:rPr>
          <w:fldChar w:fldCharType="begin"/>
        </w:r>
        <w:r>
          <w:rPr>
            <w:noProof/>
            <w:webHidden/>
          </w:rPr>
          <w:instrText xml:space="preserve"> PAGEREF _Toc181684988 \h </w:instrText>
        </w:r>
        <w:r>
          <w:rPr>
            <w:noProof/>
            <w:webHidden/>
          </w:rPr>
        </w:r>
        <w:r>
          <w:rPr>
            <w:noProof/>
            <w:webHidden/>
          </w:rPr>
          <w:fldChar w:fldCharType="separate"/>
        </w:r>
        <w:r>
          <w:rPr>
            <w:noProof/>
            <w:webHidden/>
          </w:rPr>
          <w:t>828</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89" w:history="1">
        <w:r w:rsidRPr="001B13A4">
          <w:rPr>
            <w:rStyle w:val="Hyperlink"/>
            <w:noProof/>
          </w:rPr>
          <w:t>3.1.3.3.2</w:t>
        </w:r>
        <w:r>
          <w:rPr>
            <w:rFonts w:asciiTheme="minorHAnsi" w:eastAsiaTheme="minorEastAsia" w:hAnsiTheme="minorHAnsi" w:cstheme="minorBidi"/>
            <w:noProof/>
            <w:sz w:val="22"/>
            <w:szCs w:val="22"/>
          </w:rPr>
          <w:tab/>
        </w:r>
        <w:r w:rsidRPr="001B13A4">
          <w:rPr>
            <w:rStyle w:val="Hyperlink"/>
            <w:noProof/>
          </w:rPr>
          <w:t>ST_DateTime (Standard Date and Time Storage Format)</w:t>
        </w:r>
        <w:r>
          <w:rPr>
            <w:noProof/>
            <w:webHidden/>
          </w:rPr>
          <w:tab/>
        </w:r>
        <w:r>
          <w:rPr>
            <w:noProof/>
            <w:webHidden/>
          </w:rPr>
          <w:fldChar w:fldCharType="begin"/>
        </w:r>
        <w:r>
          <w:rPr>
            <w:noProof/>
            <w:webHidden/>
          </w:rPr>
          <w:instrText xml:space="preserve"> PAGEREF _Toc181684989 \h </w:instrText>
        </w:r>
        <w:r>
          <w:rPr>
            <w:noProof/>
            <w:webHidden/>
          </w:rPr>
        </w:r>
        <w:r>
          <w:rPr>
            <w:noProof/>
            <w:webHidden/>
          </w:rPr>
          <w:fldChar w:fldCharType="separate"/>
        </w:r>
        <w:r>
          <w:rPr>
            <w:noProof/>
            <w:webHidden/>
          </w:rPr>
          <w:t>828</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90" w:history="1">
        <w:r w:rsidRPr="001B13A4">
          <w:rPr>
            <w:rStyle w:val="Hyperlink"/>
            <w:noProof/>
          </w:rPr>
          <w:t>3.1.3.3.3</w:t>
        </w:r>
        <w:r>
          <w:rPr>
            <w:rFonts w:asciiTheme="minorHAnsi" w:eastAsiaTheme="minorEastAsia" w:hAnsiTheme="minorHAnsi" w:cstheme="minorBidi"/>
            <w:noProof/>
            <w:sz w:val="22"/>
            <w:szCs w:val="22"/>
          </w:rPr>
          <w:tab/>
        </w:r>
        <w:r w:rsidRPr="001B13A4">
          <w:rPr>
            <w:rStyle w:val="Hyperlink"/>
            <w:noProof/>
          </w:rPr>
          <w:t>ST_MarkupId (Annotation Identifier)</w:t>
        </w:r>
        <w:r>
          <w:rPr>
            <w:noProof/>
            <w:webHidden/>
          </w:rPr>
          <w:tab/>
        </w:r>
        <w:r>
          <w:rPr>
            <w:noProof/>
            <w:webHidden/>
          </w:rPr>
          <w:fldChar w:fldCharType="begin"/>
        </w:r>
        <w:r>
          <w:rPr>
            <w:noProof/>
            <w:webHidden/>
          </w:rPr>
          <w:instrText xml:space="preserve"> PAGEREF _Toc181684990 \h </w:instrText>
        </w:r>
        <w:r>
          <w:rPr>
            <w:noProof/>
            <w:webHidden/>
          </w:rPr>
        </w:r>
        <w:r>
          <w:rPr>
            <w:noProof/>
            <w:webHidden/>
          </w:rPr>
          <w:fldChar w:fldCharType="separate"/>
        </w:r>
        <w:r>
          <w:rPr>
            <w:noProof/>
            <w:webHidden/>
          </w:rPr>
          <w:t>829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91" w:history="1">
        <w:r w:rsidRPr="001B13A4">
          <w:rPr>
            <w:rStyle w:val="Hyperlink"/>
            <w:noProof/>
          </w:rPr>
          <w:t>3.1.3.3.4</w:t>
        </w:r>
        <w:r>
          <w:rPr>
            <w:rFonts w:asciiTheme="minorHAnsi" w:eastAsiaTheme="minorEastAsia" w:hAnsiTheme="minorHAnsi" w:cstheme="minorBidi"/>
            <w:noProof/>
            <w:sz w:val="22"/>
            <w:szCs w:val="22"/>
          </w:rPr>
          <w:tab/>
        </w:r>
        <w:r w:rsidRPr="001B13A4">
          <w:rPr>
            <w:rStyle w:val="Hyperlink"/>
            <w:noProof/>
          </w:rPr>
          <w:t>ST_NcName255 (Non-colonized Name)</w:t>
        </w:r>
        <w:r>
          <w:rPr>
            <w:noProof/>
            <w:webHidden/>
          </w:rPr>
          <w:tab/>
        </w:r>
        <w:r>
          <w:rPr>
            <w:noProof/>
            <w:webHidden/>
          </w:rPr>
          <w:fldChar w:fldCharType="begin"/>
        </w:r>
        <w:r>
          <w:rPr>
            <w:noProof/>
            <w:webHidden/>
          </w:rPr>
          <w:instrText xml:space="preserve"> PAGEREF _Toc181684991 \h </w:instrText>
        </w:r>
        <w:r>
          <w:rPr>
            <w:noProof/>
            <w:webHidden/>
          </w:rPr>
        </w:r>
        <w:r>
          <w:rPr>
            <w:noProof/>
            <w:webHidden/>
          </w:rPr>
          <w:fldChar w:fldCharType="separate"/>
        </w:r>
        <w:r>
          <w:rPr>
            <w:noProof/>
            <w:webHidden/>
          </w:rPr>
          <w:t>829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92" w:history="1">
        <w:r w:rsidRPr="001B13A4">
          <w:rPr>
            <w:rStyle w:val="Hyperlink"/>
            <w:noProof/>
          </w:rPr>
          <w:t>3.1.3.3.5</w:t>
        </w:r>
        <w:r>
          <w:rPr>
            <w:rFonts w:asciiTheme="minorHAnsi" w:eastAsiaTheme="minorEastAsia" w:hAnsiTheme="minorHAnsi" w:cstheme="minorBidi"/>
            <w:noProof/>
            <w:sz w:val="22"/>
            <w:szCs w:val="22"/>
          </w:rPr>
          <w:tab/>
        </w:r>
        <w:r w:rsidRPr="001B13A4">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_Toc181684992 \h </w:instrText>
        </w:r>
        <w:r>
          <w:rPr>
            <w:noProof/>
            <w:webHidden/>
          </w:rPr>
        </w:r>
        <w:r>
          <w:rPr>
            <w:noProof/>
            <w:webHidden/>
          </w:rPr>
          <w:fldChar w:fldCharType="separate"/>
        </w:r>
        <w:r>
          <w:rPr>
            <w:noProof/>
            <w:webHidden/>
          </w:rPr>
          <w:t>829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93" w:history="1">
        <w:r w:rsidRPr="001B13A4">
          <w:rPr>
            <w:rStyle w:val="Hyperlink"/>
            <w:noProof/>
          </w:rPr>
          <w:t>3.1.3.3.6</w:t>
        </w:r>
        <w:r>
          <w:rPr>
            <w:rFonts w:asciiTheme="minorHAnsi" w:eastAsiaTheme="minorEastAsia" w:hAnsiTheme="minorHAnsi" w:cstheme="minorBidi"/>
            <w:noProof/>
            <w:sz w:val="22"/>
            <w:szCs w:val="22"/>
          </w:rPr>
          <w:tab/>
        </w:r>
        <w:r w:rsidRPr="001B13A4">
          <w:rPr>
            <w:rStyle w:val="Hyperlink"/>
            <w:noProof/>
          </w:rPr>
          <w:t>ST_OnOff (On/Off Value)</w:t>
        </w:r>
        <w:r>
          <w:rPr>
            <w:noProof/>
            <w:webHidden/>
          </w:rPr>
          <w:tab/>
        </w:r>
        <w:r>
          <w:rPr>
            <w:noProof/>
            <w:webHidden/>
          </w:rPr>
          <w:fldChar w:fldCharType="begin"/>
        </w:r>
        <w:r>
          <w:rPr>
            <w:noProof/>
            <w:webHidden/>
          </w:rPr>
          <w:instrText xml:space="preserve"> PAGEREF _Toc181684993 \h </w:instrText>
        </w:r>
        <w:r>
          <w:rPr>
            <w:noProof/>
            <w:webHidden/>
          </w:rPr>
        </w:r>
        <w:r>
          <w:rPr>
            <w:noProof/>
            <w:webHidden/>
          </w:rPr>
          <w:fldChar w:fldCharType="separate"/>
        </w:r>
        <w:r>
          <w:rPr>
            <w:noProof/>
            <w:webHidden/>
          </w:rPr>
          <w:t>830</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94" w:history="1">
        <w:r w:rsidRPr="001B13A4">
          <w:rPr>
            <w:rStyle w:val="Hyperlink"/>
            <w:noProof/>
          </w:rPr>
          <w:t>3.1.3.3.7</w:t>
        </w:r>
        <w:r>
          <w:rPr>
            <w:rFonts w:asciiTheme="minorHAnsi" w:eastAsiaTheme="minorEastAsia" w:hAnsiTheme="minorHAnsi" w:cstheme="minorBidi"/>
            <w:noProof/>
            <w:sz w:val="22"/>
            <w:szCs w:val="22"/>
          </w:rPr>
          <w:tab/>
        </w:r>
        <w:r w:rsidRPr="001B13A4">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_Toc181684994 \h </w:instrText>
        </w:r>
        <w:r>
          <w:rPr>
            <w:noProof/>
            <w:webHidden/>
          </w:rPr>
        </w:r>
        <w:r>
          <w:rPr>
            <w:noProof/>
            <w:webHidden/>
          </w:rPr>
          <w:fldChar w:fldCharType="separate"/>
        </w:r>
        <w:r>
          <w:rPr>
            <w:noProof/>
            <w:webHidden/>
          </w:rPr>
          <w:t>831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95" w:history="1">
        <w:r w:rsidRPr="001B13A4">
          <w:rPr>
            <w:rStyle w:val="Hyperlink"/>
            <w:noProof/>
          </w:rPr>
          <w:t>3.1.3.3.8</w:t>
        </w:r>
        <w:r>
          <w:rPr>
            <w:rFonts w:asciiTheme="minorHAnsi" w:eastAsiaTheme="minorEastAsia" w:hAnsiTheme="minorHAnsi" w:cstheme="minorBidi"/>
            <w:noProof/>
            <w:sz w:val="22"/>
            <w:szCs w:val="22"/>
          </w:rPr>
          <w:tab/>
        </w:r>
        <w:r w:rsidRPr="001B13A4">
          <w:rPr>
            <w:rStyle w:val="Hyperlink"/>
            <w:noProof/>
          </w:rPr>
          <w:t>ST_String (String)</w:t>
        </w:r>
        <w:r>
          <w:rPr>
            <w:noProof/>
            <w:webHidden/>
          </w:rPr>
          <w:tab/>
        </w:r>
        <w:r>
          <w:rPr>
            <w:noProof/>
            <w:webHidden/>
          </w:rPr>
          <w:fldChar w:fldCharType="begin"/>
        </w:r>
        <w:r>
          <w:rPr>
            <w:noProof/>
            <w:webHidden/>
          </w:rPr>
          <w:instrText xml:space="preserve"> PAGEREF _Toc181684995 \h </w:instrText>
        </w:r>
        <w:r>
          <w:rPr>
            <w:noProof/>
            <w:webHidden/>
          </w:rPr>
        </w:r>
        <w:r>
          <w:rPr>
            <w:noProof/>
            <w:webHidden/>
          </w:rPr>
          <w:fldChar w:fldCharType="separate"/>
        </w:r>
        <w:r>
          <w:rPr>
            <w:noProof/>
            <w:webHidden/>
          </w:rPr>
          <w:t>831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96" w:history="1">
        <w:r w:rsidRPr="001B13A4">
          <w:rPr>
            <w:rStyle w:val="Hyperlink"/>
            <w:noProof/>
          </w:rPr>
          <w:t>3.1.3.3.9</w:t>
        </w:r>
        <w:r>
          <w:rPr>
            <w:rFonts w:asciiTheme="minorHAnsi" w:eastAsiaTheme="minorEastAsia" w:hAnsiTheme="minorHAnsi" w:cstheme="minorBidi"/>
            <w:noProof/>
            <w:sz w:val="22"/>
            <w:szCs w:val="22"/>
          </w:rPr>
          <w:tab/>
        </w:r>
        <w:r w:rsidRPr="001B13A4">
          <w:rPr>
            <w:rStyle w:val="Hyperlink"/>
            <w:noProof/>
          </w:rPr>
          <w:t>ST_String255 (String)</w:t>
        </w:r>
        <w:r>
          <w:rPr>
            <w:noProof/>
            <w:webHidden/>
          </w:rPr>
          <w:tab/>
        </w:r>
        <w:r>
          <w:rPr>
            <w:noProof/>
            <w:webHidden/>
          </w:rPr>
          <w:fldChar w:fldCharType="begin"/>
        </w:r>
        <w:r>
          <w:rPr>
            <w:noProof/>
            <w:webHidden/>
          </w:rPr>
          <w:instrText xml:space="preserve"> PAGEREF _Toc181684996 \h </w:instrText>
        </w:r>
        <w:r>
          <w:rPr>
            <w:noProof/>
            <w:webHidden/>
          </w:rPr>
        </w:r>
        <w:r>
          <w:rPr>
            <w:noProof/>
            <w:webHidden/>
          </w:rPr>
          <w:fldChar w:fldCharType="separate"/>
        </w:r>
        <w:r>
          <w:rPr>
            <w:noProof/>
            <w:webHidden/>
          </w:rPr>
          <w:t>832</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4997" w:history="1">
        <w:r w:rsidRPr="001B13A4">
          <w:rPr>
            <w:rStyle w:val="Hyperlink"/>
            <w:noProof/>
          </w:rPr>
          <w:t>3.1.3.3.10</w:t>
        </w:r>
        <w:r>
          <w:rPr>
            <w:rFonts w:asciiTheme="minorHAnsi" w:eastAsiaTheme="minorEastAsia" w:hAnsiTheme="minorHAnsi" w:cstheme="minorBidi"/>
            <w:noProof/>
            <w:sz w:val="22"/>
            <w:szCs w:val="22"/>
          </w:rPr>
          <w:tab/>
        </w:r>
        <w:r w:rsidRPr="001B13A4">
          <w:rPr>
            <w:rStyle w:val="Hyperlink"/>
            <w:noProof/>
          </w:rPr>
          <w:t>ST_String260 (String)</w:t>
        </w:r>
        <w:r>
          <w:rPr>
            <w:noProof/>
            <w:webHidden/>
          </w:rPr>
          <w:tab/>
        </w:r>
        <w:r>
          <w:rPr>
            <w:noProof/>
            <w:webHidden/>
          </w:rPr>
          <w:fldChar w:fldCharType="begin"/>
        </w:r>
        <w:r>
          <w:rPr>
            <w:noProof/>
            <w:webHidden/>
          </w:rPr>
          <w:instrText xml:space="preserve"> PAGEREF _Toc181684997 \h </w:instrText>
        </w:r>
        <w:r>
          <w:rPr>
            <w:noProof/>
            <w:webHidden/>
          </w:rPr>
        </w:r>
        <w:r>
          <w:rPr>
            <w:noProof/>
            <w:webHidden/>
          </w:rPr>
          <w:fldChar w:fldCharType="separate"/>
        </w:r>
        <w:r>
          <w:rPr>
            <w:noProof/>
            <w:webHidden/>
          </w:rPr>
          <w:t>832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4998" w:history="1">
        <w:r w:rsidRPr="001B13A4">
          <w:rPr>
            <w:rStyle w:val="Hyperlink"/>
            <w:noProof/>
          </w:rPr>
          <w:t>3.1.4</w:t>
        </w:r>
        <w:r>
          <w:rPr>
            <w:rFonts w:asciiTheme="minorHAnsi" w:eastAsiaTheme="minorEastAsia" w:hAnsiTheme="minorHAnsi" w:cstheme="minorBidi"/>
            <w:noProof/>
            <w:sz w:val="22"/>
            <w:szCs w:val="22"/>
          </w:rPr>
          <w:tab/>
        </w:r>
        <w:r w:rsidRPr="001B13A4">
          <w:rPr>
            <w:rStyle w:val="Hyperlink"/>
            <w:noProof/>
          </w:rPr>
          <w:t>DrawingML Persistence Part</w:t>
        </w:r>
        <w:r>
          <w:rPr>
            <w:noProof/>
            <w:webHidden/>
          </w:rPr>
          <w:tab/>
        </w:r>
        <w:r>
          <w:rPr>
            <w:noProof/>
            <w:webHidden/>
          </w:rPr>
          <w:fldChar w:fldCharType="begin"/>
        </w:r>
        <w:r>
          <w:rPr>
            <w:noProof/>
            <w:webHidden/>
          </w:rPr>
          <w:instrText xml:space="preserve"> PAGEREF _Toc181684998 \h </w:instrText>
        </w:r>
        <w:r>
          <w:rPr>
            <w:noProof/>
            <w:webHidden/>
          </w:rPr>
        </w:r>
        <w:r>
          <w:rPr>
            <w:noProof/>
            <w:webHidden/>
          </w:rPr>
          <w:fldChar w:fldCharType="separate"/>
        </w:r>
        <w:r>
          <w:rPr>
            <w:noProof/>
            <w:webHidden/>
          </w:rPr>
          <w:t>833</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4999" w:history="1">
        <w:r w:rsidRPr="001B13A4">
          <w:rPr>
            <w:rStyle w:val="Hyperlink"/>
            <w:noProof/>
          </w:rPr>
          <w:t>3.1.4.1</w:t>
        </w:r>
        <w:r>
          <w:rPr>
            <w:rFonts w:asciiTheme="minorHAnsi" w:eastAsiaTheme="minorEastAsia" w:hAnsiTheme="minorHAnsi" w:cstheme="minorBidi"/>
            <w:noProof/>
            <w:sz w:val="22"/>
            <w:szCs w:val="22"/>
          </w:rPr>
          <w:tab/>
        </w:r>
        <w:r w:rsidRPr="001B13A4">
          <w:rPr>
            <w:rStyle w:val="Hyperlink"/>
            <w:noProof/>
          </w:rPr>
          <w:t>DrawingML Persistence Parts</w:t>
        </w:r>
        <w:r>
          <w:rPr>
            <w:noProof/>
            <w:webHidden/>
          </w:rPr>
          <w:tab/>
        </w:r>
        <w:r>
          <w:rPr>
            <w:noProof/>
            <w:webHidden/>
          </w:rPr>
          <w:fldChar w:fldCharType="begin"/>
        </w:r>
        <w:r>
          <w:rPr>
            <w:noProof/>
            <w:webHidden/>
          </w:rPr>
          <w:instrText xml:space="preserve"> PAGEREF _Toc181684999 \h </w:instrText>
        </w:r>
        <w:r>
          <w:rPr>
            <w:noProof/>
            <w:webHidden/>
          </w:rPr>
        </w:r>
        <w:r>
          <w:rPr>
            <w:noProof/>
            <w:webHidden/>
          </w:rPr>
          <w:fldChar w:fldCharType="separate"/>
        </w:r>
        <w:r>
          <w:rPr>
            <w:noProof/>
            <w:webHidden/>
          </w:rPr>
          <w:t>833</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00" w:history="1">
        <w:r w:rsidRPr="001B13A4">
          <w:rPr>
            <w:rStyle w:val="Hyperlink"/>
            <w:noProof/>
          </w:rPr>
          <w:t>3.1.4.1.1</w:t>
        </w:r>
        <w:r>
          <w:rPr>
            <w:rFonts w:asciiTheme="minorHAnsi" w:eastAsiaTheme="minorEastAsia" w:hAnsiTheme="minorHAnsi" w:cstheme="minorBidi"/>
            <w:noProof/>
            <w:sz w:val="22"/>
            <w:szCs w:val="22"/>
          </w:rPr>
          <w:tab/>
        </w:r>
        <w:r w:rsidRPr="001B13A4">
          <w:rPr>
            <w:rStyle w:val="Hyperlink"/>
            <w:noProof/>
          </w:rPr>
          <w:t>Graphic Frame Doc</w:t>
        </w:r>
        <w:r>
          <w:rPr>
            <w:noProof/>
            <w:webHidden/>
          </w:rPr>
          <w:tab/>
        </w:r>
        <w:r>
          <w:rPr>
            <w:noProof/>
            <w:webHidden/>
          </w:rPr>
          <w:fldChar w:fldCharType="begin"/>
        </w:r>
        <w:r>
          <w:rPr>
            <w:noProof/>
            <w:webHidden/>
          </w:rPr>
          <w:instrText xml:space="preserve"> PAGEREF _Toc181685000 \h </w:instrText>
        </w:r>
        <w:r>
          <w:rPr>
            <w:noProof/>
            <w:webHidden/>
          </w:rPr>
        </w:r>
        <w:r>
          <w:rPr>
            <w:noProof/>
            <w:webHidden/>
          </w:rPr>
          <w:fldChar w:fldCharType="separate"/>
        </w:r>
        <w:r>
          <w:rPr>
            <w:noProof/>
            <w:webHidden/>
          </w:rPr>
          <w:t>833</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01" w:history="1">
        <w:r w:rsidRPr="001B13A4">
          <w:rPr>
            <w:rStyle w:val="Hyperlink"/>
            <w:noProof/>
          </w:rPr>
          <w:t>3.1.4.1.2</w:t>
        </w:r>
        <w:r>
          <w:rPr>
            <w:rFonts w:asciiTheme="minorHAnsi" w:eastAsiaTheme="minorEastAsia" w:hAnsiTheme="minorHAnsi" w:cstheme="minorBidi"/>
            <w:noProof/>
            <w:sz w:val="22"/>
            <w:szCs w:val="22"/>
          </w:rPr>
          <w:tab/>
        </w:r>
        <w:r w:rsidRPr="001B13A4">
          <w:rPr>
            <w:rStyle w:val="Hyperlink"/>
            <w:noProof/>
          </w:rPr>
          <w:t>Downrev Storage</w:t>
        </w:r>
        <w:r>
          <w:rPr>
            <w:noProof/>
            <w:webHidden/>
          </w:rPr>
          <w:tab/>
        </w:r>
        <w:r>
          <w:rPr>
            <w:noProof/>
            <w:webHidden/>
          </w:rPr>
          <w:fldChar w:fldCharType="begin"/>
        </w:r>
        <w:r>
          <w:rPr>
            <w:noProof/>
            <w:webHidden/>
          </w:rPr>
          <w:instrText xml:space="preserve"> PAGEREF _Toc181685001 \h </w:instrText>
        </w:r>
        <w:r>
          <w:rPr>
            <w:noProof/>
            <w:webHidden/>
          </w:rPr>
        </w:r>
        <w:r>
          <w:rPr>
            <w:noProof/>
            <w:webHidden/>
          </w:rPr>
          <w:fldChar w:fldCharType="separate"/>
        </w:r>
        <w:r>
          <w:rPr>
            <w:noProof/>
            <w:webHidden/>
          </w:rPr>
          <w:t>834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02" w:history="1">
        <w:r w:rsidRPr="001B13A4">
          <w:rPr>
            <w:rStyle w:val="Hyperlink"/>
            <w:noProof/>
          </w:rPr>
          <w:t>3.1.4.2</w:t>
        </w:r>
        <w:r>
          <w:rPr>
            <w:rFonts w:asciiTheme="minorHAnsi" w:eastAsiaTheme="minorEastAsia" w:hAnsiTheme="minorHAnsi" w:cstheme="minorBidi"/>
            <w:noProof/>
            <w:sz w:val="22"/>
            <w:szCs w:val="22"/>
          </w:rPr>
          <w:tab/>
        </w:r>
        <w:r w:rsidRPr="001B13A4">
          <w:rPr>
            <w:rStyle w:val="Hyperlink"/>
            <w:noProof/>
          </w:rPr>
          <w:t>Additional DrawingML - Main Schema</w:t>
        </w:r>
        <w:r>
          <w:rPr>
            <w:noProof/>
            <w:webHidden/>
          </w:rPr>
          <w:tab/>
        </w:r>
        <w:r>
          <w:rPr>
            <w:noProof/>
            <w:webHidden/>
          </w:rPr>
          <w:fldChar w:fldCharType="begin"/>
        </w:r>
        <w:r>
          <w:rPr>
            <w:noProof/>
            <w:webHidden/>
          </w:rPr>
          <w:instrText xml:space="preserve"> PAGEREF _Toc181685002 \h </w:instrText>
        </w:r>
        <w:r>
          <w:rPr>
            <w:noProof/>
            <w:webHidden/>
          </w:rPr>
        </w:r>
        <w:r>
          <w:rPr>
            <w:noProof/>
            <w:webHidden/>
          </w:rPr>
          <w:fldChar w:fldCharType="separate"/>
        </w:r>
        <w:r>
          <w:rPr>
            <w:noProof/>
            <w:webHidden/>
          </w:rPr>
          <w:t>835</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03" w:history="1">
        <w:r w:rsidRPr="001B13A4">
          <w:rPr>
            <w:rStyle w:val="Hyperlink"/>
            <w:noProof/>
          </w:rPr>
          <w:t>3.1.4.2.1</w:t>
        </w:r>
        <w:r>
          <w:rPr>
            <w:rFonts w:asciiTheme="minorHAnsi" w:eastAsiaTheme="minorEastAsia" w:hAnsiTheme="minorHAnsi" w:cstheme="minorBidi"/>
            <w:noProof/>
            <w:sz w:val="22"/>
            <w:szCs w:val="22"/>
          </w:rPr>
          <w:tab/>
        </w:r>
        <w:r w:rsidRPr="001B13A4">
          <w:rPr>
            <w:rStyle w:val="Hyperlink"/>
            <w:noProof/>
          </w:rPr>
          <w:t>Additional Elements</w:t>
        </w:r>
        <w:r>
          <w:rPr>
            <w:noProof/>
            <w:webHidden/>
          </w:rPr>
          <w:tab/>
        </w:r>
        <w:r>
          <w:rPr>
            <w:noProof/>
            <w:webHidden/>
          </w:rPr>
          <w:fldChar w:fldCharType="begin"/>
        </w:r>
        <w:r>
          <w:rPr>
            <w:noProof/>
            <w:webHidden/>
          </w:rPr>
          <w:instrText xml:space="preserve"> PAGEREF _Toc181685003 \h </w:instrText>
        </w:r>
        <w:r>
          <w:rPr>
            <w:noProof/>
            <w:webHidden/>
          </w:rPr>
        </w:r>
        <w:r>
          <w:rPr>
            <w:noProof/>
            <w:webHidden/>
          </w:rPr>
          <w:fldChar w:fldCharType="separate"/>
        </w:r>
        <w:r>
          <w:rPr>
            <w:noProof/>
            <w:webHidden/>
          </w:rPr>
          <w:t>835</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04" w:history="1">
        <w:r w:rsidRPr="001B13A4">
          <w:rPr>
            <w:rStyle w:val="Hyperlink"/>
            <w:noProof/>
          </w:rPr>
          <w:t>3.1.4.2.1.1</w:t>
        </w:r>
        <w:r>
          <w:rPr>
            <w:rFonts w:asciiTheme="minorHAnsi" w:eastAsiaTheme="minorEastAsia" w:hAnsiTheme="minorHAnsi" w:cstheme="minorBidi"/>
            <w:noProof/>
            <w:sz w:val="22"/>
            <w:szCs w:val="22"/>
          </w:rPr>
          <w:tab/>
        </w:r>
        <w:r w:rsidRPr="001B13A4">
          <w:rPr>
            <w:rStyle w:val="Hyperlink"/>
            <w:noProof/>
          </w:rPr>
          <w:t>bounds (Bounds)</w:t>
        </w:r>
        <w:r>
          <w:rPr>
            <w:noProof/>
            <w:webHidden/>
          </w:rPr>
          <w:tab/>
        </w:r>
        <w:r>
          <w:rPr>
            <w:noProof/>
            <w:webHidden/>
          </w:rPr>
          <w:fldChar w:fldCharType="begin"/>
        </w:r>
        <w:r>
          <w:rPr>
            <w:noProof/>
            <w:webHidden/>
          </w:rPr>
          <w:instrText xml:space="preserve"> PAGEREF _Toc181685004 \h </w:instrText>
        </w:r>
        <w:r>
          <w:rPr>
            <w:noProof/>
            <w:webHidden/>
          </w:rPr>
        </w:r>
        <w:r>
          <w:rPr>
            <w:noProof/>
            <w:webHidden/>
          </w:rPr>
          <w:fldChar w:fldCharType="separate"/>
        </w:r>
        <w:r>
          <w:rPr>
            <w:noProof/>
            <w:webHidden/>
          </w:rPr>
          <w:t>835</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05" w:history="1">
        <w:r w:rsidRPr="001B13A4">
          <w:rPr>
            <w:rStyle w:val="Hyperlink"/>
            <w:noProof/>
          </w:rPr>
          <w:t>3.1.4.2.1.2</w:t>
        </w:r>
        <w:r>
          <w:rPr>
            <w:rFonts w:asciiTheme="minorHAnsi" w:eastAsiaTheme="minorEastAsia" w:hAnsiTheme="minorHAnsi" w:cstheme="minorBidi"/>
            <w:noProof/>
            <w:sz w:val="22"/>
            <w:szCs w:val="22"/>
          </w:rPr>
          <w:tab/>
        </w:r>
        <w:r w:rsidRPr="001B13A4">
          <w:rPr>
            <w:rStyle w:val="Hyperlink"/>
            <w:noProof/>
          </w:rPr>
          <w:t>downRevStg (DownRev Storage)</w:t>
        </w:r>
        <w:r>
          <w:rPr>
            <w:noProof/>
            <w:webHidden/>
          </w:rPr>
          <w:tab/>
        </w:r>
        <w:r>
          <w:rPr>
            <w:noProof/>
            <w:webHidden/>
          </w:rPr>
          <w:fldChar w:fldCharType="begin"/>
        </w:r>
        <w:r>
          <w:rPr>
            <w:noProof/>
            <w:webHidden/>
          </w:rPr>
          <w:instrText xml:space="preserve"> PAGEREF _Toc181685005 \h </w:instrText>
        </w:r>
        <w:r>
          <w:rPr>
            <w:noProof/>
            <w:webHidden/>
          </w:rPr>
        </w:r>
        <w:r>
          <w:rPr>
            <w:noProof/>
            <w:webHidden/>
          </w:rPr>
          <w:fldChar w:fldCharType="separate"/>
        </w:r>
        <w:r>
          <w:rPr>
            <w:noProof/>
            <w:webHidden/>
          </w:rPr>
          <w:t>836</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06" w:history="1">
        <w:r w:rsidRPr="001B13A4">
          <w:rPr>
            <w:rStyle w:val="Hyperlink"/>
            <w:noProof/>
          </w:rPr>
          <w:t>3.1.4.2.2</w:t>
        </w:r>
        <w:r>
          <w:rPr>
            <w:rFonts w:asciiTheme="minorHAnsi" w:eastAsiaTheme="minorEastAsia" w:hAnsiTheme="minorHAnsi" w:cstheme="minorBidi"/>
            <w:noProof/>
            <w:sz w:val="22"/>
            <w:szCs w:val="22"/>
          </w:rPr>
          <w:tab/>
        </w:r>
        <w:r w:rsidRPr="001B13A4">
          <w:rPr>
            <w:rStyle w:val="Hyperlink"/>
            <w:noProof/>
          </w:rPr>
          <w:t>Simple Types</w:t>
        </w:r>
        <w:r>
          <w:rPr>
            <w:noProof/>
            <w:webHidden/>
          </w:rPr>
          <w:tab/>
        </w:r>
        <w:r>
          <w:rPr>
            <w:noProof/>
            <w:webHidden/>
          </w:rPr>
          <w:fldChar w:fldCharType="begin"/>
        </w:r>
        <w:r>
          <w:rPr>
            <w:noProof/>
            <w:webHidden/>
          </w:rPr>
          <w:instrText xml:space="preserve"> PAGEREF _Toc181685006 \h </w:instrText>
        </w:r>
        <w:r>
          <w:rPr>
            <w:noProof/>
            <w:webHidden/>
          </w:rPr>
        </w:r>
        <w:r>
          <w:rPr>
            <w:noProof/>
            <w:webHidden/>
          </w:rPr>
          <w:fldChar w:fldCharType="separate"/>
        </w:r>
        <w:r>
          <w:rPr>
            <w:noProof/>
            <w:webHidden/>
          </w:rPr>
          <w:t>837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07" w:history="1">
        <w:r w:rsidRPr="001B13A4">
          <w:rPr>
            <w:rStyle w:val="Hyperlink"/>
            <w:noProof/>
          </w:rPr>
          <w:t>3.1.4.2.2.1</w:t>
        </w:r>
        <w:r>
          <w:rPr>
            <w:rFonts w:asciiTheme="minorHAnsi" w:eastAsiaTheme="minorEastAsia" w:hAnsiTheme="minorHAnsi" w:cstheme="minorBidi"/>
            <w:noProof/>
            <w:sz w:val="22"/>
            <w:szCs w:val="22"/>
          </w:rPr>
          <w:tab/>
        </w:r>
        <w:r w:rsidRPr="001B13A4">
          <w:rPr>
            <w:rStyle w:val="Hyperlink"/>
            <w:noProof/>
          </w:rPr>
          <w:t>ST_CoordinateUnqualified (Coordinate)</w:t>
        </w:r>
        <w:r>
          <w:rPr>
            <w:noProof/>
            <w:webHidden/>
          </w:rPr>
          <w:tab/>
        </w:r>
        <w:r>
          <w:rPr>
            <w:noProof/>
            <w:webHidden/>
          </w:rPr>
          <w:fldChar w:fldCharType="begin"/>
        </w:r>
        <w:r>
          <w:rPr>
            <w:noProof/>
            <w:webHidden/>
          </w:rPr>
          <w:instrText xml:space="preserve"> PAGEREF _Toc181685007 \h </w:instrText>
        </w:r>
        <w:r>
          <w:rPr>
            <w:noProof/>
            <w:webHidden/>
          </w:rPr>
        </w:r>
        <w:r>
          <w:rPr>
            <w:noProof/>
            <w:webHidden/>
          </w:rPr>
          <w:fldChar w:fldCharType="separate"/>
        </w:r>
        <w:r>
          <w:rPr>
            <w:noProof/>
            <w:webHidden/>
          </w:rPr>
          <w:t>837</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08" w:history="1">
        <w:r w:rsidRPr="001B13A4">
          <w:rPr>
            <w:rStyle w:val="Hyperlink"/>
            <w:noProof/>
          </w:rPr>
          <w:t>3.1.4.3</w:t>
        </w:r>
        <w:r>
          <w:rPr>
            <w:rFonts w:asciiTheme="minorHAnsi" w:eastAsiaTheme="minorEastAsia" w:hAnsiTheme="minorHAnsi" w:cstheme="minorBidi"/>
            <w:noProof/>
            <w:sz w:val="22"/>
            <w:szCs w:val="22"/>
          </w:rPr>
          <w:tab/>
        </w:r>
        <w:r w:rsidRPr="001B13A4">
          <w:rPr>
            <w:rStyle w:val="Hyperlink"/>
            <w:noProof/>
          </w:rPr>
          <w:t>Additional DrawingML - WordprocessingML Schema</w:t>
        </w:r>
        <w:r>
          <w:rPr>
            <w:noProof/>
            <w:webHidden/>
          </w:rPr>
          <w:tab/>
        </w:r>
        <w:r>
          <w:rPr>
            <w:noProof/>
            <w:webHidden/>
          </w:rPr>
          <w:fldChar w:fldCharType="begin"/>
        </w:r>
        <w:r>
          <w:rPr>
            <w:noProof/>
            <w:webHidden/>
          </w:rPr>
          <w:instrText xml:space="preserve"> PAGEREF _Toc181685008 \h </w:instrText>
        </w:r>
        <w:r>
          <w:rPr>
            <w:noProof/>
            <w:webHidden/>
          </w:rPr>
        </w:r>
        <w:r>
          <w:rPr>
            <w:noProof/>
            <w:webHidden/>
          </w:rPr>
          <w:fldChar w:fldCharType="separate"/>
        </w:r>
        <w:r>
          <w:rPr>
            <w:noProof/>
            <w:webHidden/>
          </w:rPr>
          <w:t>837</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09" w:history="1">
        <w:r w:rsidRPr="001B13A4">
          <w:rPr>
            <w:rStyle w:val="Hyperlink"/>
            <w:noProof/>
          </w:rPr>
          <w:t>3.1.4.3.1</w:t>
        </w:r>
        <w:r>
          <w:rPr>
            <w:rFonts w:asciiTheme="minorHAnsi" w:eastAsiaTheme="minorEastAsia" w:hAnsiTheme="minorHAnsi" w:cstheme="minorBidi"/>
            <w:noProof/>
            <w:sz w:val="22"/>
            <w:szCs w:val="22"/>
          </w:rPr>
          <w:tab/>
        </w:r>
        <w:r w:rsidRPr="001B13A4">
          <w:rPr>
            <w:rStyle w:val="Hyperlink"/>
            <w:noProof/>
          </w:rPr>
          <w:t>Additional Elements</w:t>
        </w:r>
        <w:r>
          <w:rPr>
            <w:noProof/>
            <w:webHidden/>
          </w:rPr>
          <w:tab/>
        </w:r>
        <w:r>
          <w:rPr>
            <w:noProof/>
            <w:webHidden/>
          </w:rPr>
          <w:fldChar w:fldCharType="begin"/>
        </w:r>
        <w:r>
          <w:rPr>
            <w:noProof/>
            <w:webHidden/>
          </w:rPr>
          <w:instrText xml:space="preserve"> PAGEREF _Toc181685009 \h </w:instrText>
        </w:r>
        <w:r>
          <w:rPr>
            <w:noProof/>
            <w:webHidden/>
          </w:rPr>
        </w:r>
        <w:r>
          <w:rPr>
            <w:noProof/>
            <w:webHidden/>
          </w:rPr>
          <w:fldChar w:fldCharType="separate"/>
        </w:r>
        <w:r>
          <w:rPr>
            <w:noProof/>
            <w:webHidden/>
          </w:rPr>
          <w:t>837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10" w:history="1">
        <w:r w:rsidRPr="001B13A4">
          <w:rPr>
            <w:rStyle w:val="Hyperlink"/>
            <w:noProof/>
          </w:rPr>
          <w:t>3.1.4.3.1.1</w:t>
        </w:r>
        <w:r>
          <w:rPr>
            <w:rFonts w:asciiTheme="minorHAnsi" w:eastAsiaTheme="minorEastAsia" w:hAnsiTheme="minorHAnsi" w:cstheme="minorBidi"/>
            <w:noProof/>
            <w:sz w:val="22"/>
            <w:szCs w:val="22"/>
          </w:rPr>
          <w:tab/>
        </w:r>
        <w:r w:rsidRPr="001B13A4">
          <w:rPr>
            <w:rStyle w:val="Hyperlink"/>
            <w:noProof/>
          </w:rPr>
          <w:t>e2oholder (E2o Holder)</w:t>
        </w:r>
        <w:r>
          <w:rPr>
            <w:noProof/>
            <w:webHidden/>
          </w:rPr>
          <w:tab/>
        </w:r>
        <w:r>
          <w:rPr>
            <w:noProof/>
            <w:webHidden/>
          </w:rPr>
          <w:fldChar w:fldCharType="begin"/>
        </w:r>
        <w:r>
          <w:rPr>
            <w:noProof/>
            <w:webHidden/>
          </w:rPr>
          <w:instrText xml:space="preserve"> PAGEREF _Toc181685010 \h </w:instrText>
        </w:r>
        <w:r>
          <w:rPr>
            <w:noProof/>
            <w:webHidden/>
          </w:rPr>
        </w:r>
        <w:r>
          <w:rPr>
            <w:noProof/>
            <w:webHidden/>
          </w:rPr>
          <w:fldChar w:fldCharType="separate"/>
        </w:r>
        <w:r>
          <w:rPr>
            <w:noProof/>
            <w:webHidden/>
          </w:rPr>
          <w:t>838</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11" w:history="1">
        <w:r w:rsidRPr="001B13A4">
          <w:rPr>
            <w:rStyle w:val="Hyperlink"/>
            <w:noProof/>
          </w:rPr>
          <w:t>3.1.4.3.1.2</w:t>
        </w:r>
        <w:r>
          <w:rPr>
            <w:rFonts w:asciiTheme="minorHAnsi" w:eastAsiaTheme="minorEastAsia" w:hAnsiTheme="minorHAnsi" w:cstheme="minorBidi"/>
            <w:noProof/>
            <w:sz w:val="22"/>
            <w:szCs w:val="22"/>
          </w:rPr>
          <w:tab/>
        </w:r>
        <w:r w:rsidRPr="001B13A4">
          <w:rPr>
            <w:rStyle w:val="Hyperlink"/>
            <w:noProof/>
          </w:rPr>
          <w:t>effectOffset (Effect Offset)</w:t>
        </w:r>
        <w:r>
          <w:rPr>
            <w:noProof/>
            <w:webHidden/>
          </w:rPr>
          <w:tab/>
        </w:r>
        <w:r>
          <w:rPr>
            <w:noProof/>
            <w:webHidden/>
          </w:rPr>
          <w:fldChar w:fldCharType="begin"/>
        </w:r>
        <w:r>
          <w:rPr>
            <w:noProof/>
            <w:webHidden/>
          </w:rPr>
          <w:instrText xml:space="preserve"> PAGEREF _Toc181685011 \h </w:instrText>
        </w:r>
        <w:r>
          <w:rPr>
            <w:noProof/>
            <w:webHidden/>
          </w:rPr>
        </w:r>
        <w:r>
          <w:rPr>
            <w:noProof/>
            <w:webHidden/>
          </w:rPr>
          <w:fldChar w:fldCharType="separate"/>
        </w:r>
        <w:r>
          <w:rPr>
            <w:noProof/>
            <w:webHidden/>
          </w:rPr>
          <w:t>838</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012" w:history="1">
        <w:r w:rsidRPr="001B13A4">
          <w:rPr>
            <w:rStyle w:val="Hyperlink"/>
            <w:noProof/>
          </w:rPr>
          <w:t>3.2</w:t>
        </w:r>
        <w:r>
          <w:rPr>
            <w:rFonts w:asciiTheme="minorHAnsi" w:eastAsiaTheme="minorEastAsia" w:hAnsiTheme="minorHAnsi" w:cstheme="minorBidi"/>
            <w:noProof/>
            <w:sz w:val="22"/>
            <w:szCs w:val="22"/>
          </w:rPr>
          <w:tab/>
        </w:r>
        <w:r w:rsidRPr="001B13A4">
          <w:rPr>
            <w:rStyle w:val="Hyperlink"/>
            <w:noProof/>
          </w:rPr>
          <w:t>Excel</w:t>
        </w:r>
        <w:r>
          <w:rPr>
            <w:noProof/>
            <w:webHidden/>
          </w:rPr>
          <w:tab/>
        </w:r>
        <w:r>
          <w:rPr>
            <w:noProof/>
            <w:webHidden/>
          </w:rPr>
          <w:fldChar w:fldCharType="begin"/>
        </w:r>
        <w:r>
          <w:rPr>
            <w:noProof/>
            <w:webHidden/>
          </w:rPr>
          <w:instrText xml:space="preserve"> PAGEREF _Toc181685012 \h </w:instrText>
        </w:r>
        <w:r>
          <w:rPr>
            <w:noProof/>
            <w:webHidden/>
          </w:rPr>
        </w:r>
        <w:r>
          <w:rPr>
            <w:noProof/>
            <w:webHidden/>
          </w:rPr>
          <w:fldChar w:fldCharType="separate"/>
        </w:r>
        <w:r>
          <w:rPr>
            <w:noProof/>
            <w:webHidden/>
          </w:rPr>
          <w:t>839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13" w:history="1">
        <w:r w:rsidRPr="001B13A4">
          <w:rPr>
            <w:rStyle w:val="Hyperlink"/>
            <w:noProof/>
          </w:rPr>
          <w:t>3.2.1</w:t>
        </w:r>
        <w:r>
          <w:rPr>
            <w:rFonts w:asciiTheme="minorHAnsi" w:eastAsiaTheme="minorEastAsia" w:hAnsiTheme="minorHAnsi" w:cstheme="minorBidi"/>
            <w:noProof/>
            <w:sz w:val="22"/>
            <w:szCs w:val="22"/>
          </w:rPr>
          <w:tab/>
        </w:r>
        <w:r w:rsidRPr="001B13A4">
          <w:rPr>
            <w:rStyle w:val="Hyperlink"/>
            <w:noProof/>
          </w:rPr>
          <w:t>Additional Parts</w:t>
        </w:r>
        <w:r>
          <w:rPr>
            <w:noProof/>
            <w:webHidden/>
          </w:rPr>
          <w:tab/>
        </w:r>
        <w:r>
          <w:rPr>
            <w:noProof/>
            <w:webHidden/>
          </w:rPr>
          <w:fldChar w:fldCharType="begin"/>
        </w:r>
        <w:r>
          <w:rPr>
            <w:noProof/>
            <w:webHidden/>
          </w:rPr>
          <w:instrText xml:space="preserve"> PAGEREF _Toc181685013 \h </w:instrText>
        </w:r>
        <w:r>
          <w:rPr>
            <w:noProof/>
            <w:webHidden/>
          </w:rPr>
        </w:r>
        <w:r>
          <w:rPr>
            <w:noProof/>
            <w:webHidden/>
          </w:rPr>
          <w:fldChar w:fldCharType="separate"/>
        </w:r>
        <w:r>
          <w:rPr>
            <w:noProof/>
            <w:webHidden/>
          </w:rPr>
          <w:t>839</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14" w:history="1">
        <w:r w:rsidRPr="001B13A4">
          <w:rPr>
            <w:rStyle w:val="Hyperlink"/>
            <w:noProof/>
          </w:rPr>
          <w:t>3.2.1.1</w:t>
        </w:r>
        <w:r>
          <w:rPr>
            <w:rFonts w:asciiTheme="minorHAnsi" w:eastAsiaTheme="minorEastAsia" w:hAnsiTheme="minorHAnsi" w:cstheme="minorBidi"/>
            <w:noProof/>
            <w:sz w:val="22"/>
            <w:szCs w:val="22"/>
          </w:rPr>
          <w:tab/>
        </w:r>
        <w:r w:rsidRPr="001B13A4">
          <w:rPr>
            <w:rStyle w:val="Hyperlink"/>
            <w:noProof/>
          </w:rPr>
          <w:t>Excel Attached Toolbars Part</w:t>
        </w:r>
        <w:r>
          <w:rPr>
            <w:noProof/>
            <w:webHidden/>
          </w:rPr>
          <w:tab/>
        </w:r>
        <w:r>
          <w:rPr>
            <w:noProof/>
            <w:webHidden/>
          </w:rPr>
          <w:fldChar w:fldCharType="begin"/>
        </w:r>
        <w:r>
          <w:rPr>
            <w:noProof/>
            <w:webHidden/>
          </w:rPr>
          <w:instrText xml:space="preserve"> PAGEREF _Toc181685014 \h </w:instrText>
        </w:r>
        <w:r>
          <w:rPr>
            <w:noProof/>
            <w:webHidden/>
          </w:rPr>
        </w:r>
        <w:r>
          <w:rPr>
            <w:noProof/>
            <w:webHidden/>
          </w:rPr>
          <w:fldChar w:fldCharType="separate"/>
        </w:r>
        <w:r>
          <w:rPr>
            <w:noProof/>
            <w:webHidden/>
          </w:rPr>
          <w:t>839</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15" w:history="1">
        <w:r w:rsidRPr="001B13A4">
          <w:rPr>
            <w:rStyle w:val="Hyperlink"/>
            <w:noProof/>
          </w:rPr>
          <w:t>3.2.1.2</w:t>
        </w:r>
        <w:r>
          <w:rPr>
            <w:rFonts w:asciiTheme="minorHAnsi" w:eastAsiaTheme="minorEastAsia" w:hAnsiTheme="minorHAnsi" w:cstheme="minorBidi"/>
            <w:noProof/>
            <w:sz w:val="22"/>
            <w:szCs w:val="22"/>
          </w:rPr>
          <w:tab/>
        </w:r>
        <w:r w:rsidRPr="001B13A4">
          <w:rPr>
            <w:rStyle w:val="Hyperlink"/>
            <w:noProof/>
          </w:rPr>
          <w:t>Worksheet Sort Map Part</w:t>
        </w:r>
        <w:r>
          <w:rPr>
            <w:noProof/>
            <w:webHidden/>
          </w:rPr>
          <w:tab/>
        </w:r>
        <w:r>
          <w:rPr>
            <w:noProof/>
            <w:webHidden/>
          </w:rPr>
          <w:fldChar w:fldCharType="begin"/>
        </w:r>
        <w:r>
          <w:rPr>
            <w:noProof/>
            <w:webHidden/>
          </w:rPr>
          <w:instrText xml:space="preserve"> PAGEREF _Toc181685015 \h </w:instrText>
        </w:r>
        <w:r>
          <w:rPr>
            <w:noProof/>
            <w:webHidden/>
          </w:rPr>
        </w:r>
        <w:r>
          <w:rPr>
            <w:noProof/>
            <w:webHidden/>
          </w:rPr>
          <w:fldChar w:fldCharType="separate"/>
        </w:r>
        <w:r>
          <w:rPr>
            <w:noProof/>
            <w:webHidden/>
          </w:rPr>
          <w:t>840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16" w:history="1">
        <w:r w:rsidRPr="001B13A4">
          <w:rPr>
            <w:rStyle w:val="Hyperlink"/>
            <w:noProof/>
          </w:rPr>
          <w:t>3.2.2</w:t>
        </w:r>
        <w:r>
          <w:rPr>
            <w:rFonts w:asciiTheme="minorHAnsi" w:eastAsiaTheme="minorEastAsia" w:hAnsiTheme="minorHAnsi" w:cstheme="minorBidi"/>
            <w:noProof/>
            <w:sz w:val="22"/>
            <w:szCs w:val="22"/>
          </w:rPr>
          <w:tab/>
        </w:r>
        <w:r w:rsidRPr="001B13A4">
          <w:rPr>
            <w:rStyle w:val="Hyperlink"/>
            <w:noProof/>
          </w:rPr>
          <w:t>Microsoft Office Excel Sortmap</w:t>
        </w:r>
        <w:r>
          <w:rPr>
            <w:noProof/>
            <w:webHidden/>
          </w:rPr>
          <w:tab/>
        </w:r>
        <w:r>
          <w:rPr>
            <w:noProof/>
            <w:webHidden/>
          </w:rPr>
          <w:fldChar w:fldCharType="begin"/>
        </w:r>
        <w:r>
          <w:rPr>
            <w:noProof/>
            <w:webHidden/>
          </w:rPr>
          <w:instrText xml:space="preserve"> PAGEREF _Toc181685016 \h </w:instrText>
        </w:r>
        <w:r>
          <w:rPr>
            <w:noProof/>
            <w:webHidden/>
          </w:rPr>
        </w:r>
        <w:r>
          <w:rPr>
            <w:noProof/>
            <w:webHidden/>
          </w:rPr>
          <w:fldChar w:fldCharType="separate"/>
        </w:r>
        <w:r>
          <w:rPr>
            <w:noProof/>
            <w:webHidden/>
          </w:rPr>
          <w:t>841</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17" w:history="1">
        <w:r w:rsidRPr="001B13A4">
          <w:rPr>
            <w:rStyle w:val="Hyperlink"/>
            <w:noProof/>
          </w:rPr>
          <w:t>3.2.2.1</w:t>
        </w:r>
        <w:r>
          <w:rPr>
            <w:rFonts w:asciiTheme="minorHAnsi" w:eastAsiaTheme="minorEastAsia" w:hAnsiTheme="minorHAnsi" w:cstheme="minorBidi"/>
            <w:noProof/>
            <w:sz w:val="22"/>
            <w:szCs w:val="22"/>
          </w:rPr>
          <w:tab/>
        </w:r>
        <w:r w:rsidRPr="001B13A4">
          <w:rPr>
            <w:rStyle w:val="Hyperlink"/>
            <w:noProof/>
          </w:rPr>
          <w:t>Sortmap Elements</w:t>
        </w:r>
        <w:r>
          <w:rPr>
            <w:noProof/>
            <w:webHidden/>
          </w:rPr>
          <w:tab/>
        </w:r>
        <w:r>
          <w:rPr>
            <w:noProof/>
            <w:webHidden/>
          </w:rPr>
          <w:fldChar w:fldCharType="begin"/>
        </w:r>
        <w:r>
          <w:rPr>
            <w:noProof/>
            <w:webHidden/>
          </w:rPr>
          <w:instrText xml:space="preserve"> PAGEREF _Toc181685017 \h </w:instrText>
        </w:r>
        <w:r>
          <w:rPr>
            <w:noProof/>
            <w:webHidden/>
          </w:rPr>
        </w:r>
        <w:r>
          <w:rPr>
            <w:noProof/>
            <w:webHidden/>
          </w:rPr>
          <w:fldChar w:fldCharType="separate"/>
        </w:r>
        <w:r>
          <w:rPr>
            <w:noProof/>
            <w:webHidden/>
          </w:rPr>
          <w:t>841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18" w:history="1">
        <w:r w:rsidRPr="001B13A4">
          <w:rPr>
            <w:rStyle w:val="Hyperlink"/>
            <w:noProof/>
          </w:rPr>
          <w:t>3.2.2.1.1</w:t>
        </w:r>
        <w:r>
          <w:rPr>
            <w:rFonts w:asciiTheme="minorHAnsi" w:eastAsiaTheme="minorEastAsia" w:hAnsiTheme="minorHAnsi" w:cstheme="minorBidi"/>
            <w:noProof/>
            <w:sz w:val="22"/>
            <w:szCs w:val="22"/>
          </w:rPr>
          <w:tab/>
        </w:r>
        <w:r w:rsidRPr="001B13A4">
          <w:rPr>
            <w:rStyle w:val="Hyperlink"/>
            <w:noProof/>
          </w:rPr>
          <w:t>col (Column)</w:t>
        </w:r>
        <w:r>
          <w:rPr>
            <w:noProof/>
            <w:webHidden/>
          </w:rPr>
          <w:tab/>
        </w:r>
        <w:r>
          <w:rPr>
            <w:noProof/>
            <w:webHidden/>
          </w:rPr>
          <w:fldChar w:fldCharType="begin"/>
        </w:r>
        <w:r>
          <w:rPr>
            <w:noProof/>
            <w:webHidden/>
          </w:rPr>
          <w:instrText xml:space="preserve"> PAGEREF _Toc181685018 \h </w:instrText>
        </w:r>
        <w:r>
          <w:rPr>
            <w:noProof/>
            <w:webHidden/>
          </w:rPr>
        </w:r>
        <w:r>
          <w:rPr>
            <w:noProof/>
            <w:webHidden/>
          </w:rPr>
          <w:fldChar w:fldCharType="separate"/>
        </w:r>
        <w:r>
          <w:rPr>
            <w:noProof/>
            <w:webHidden/>
          </w:rPr>
          <w:t>842</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19" w:history="1">
        <w:r w:rsidRPr="001B13A4">
          <w:rPr>
            <w:rStyle w:val="Hyperlink"/>
            <w:noProof/>
          </w:rPr>
          <w:t>3.2.2.1.2</w:t>
        </w:r>
        <w:r>
          <w:rPr>
            <w:rFonts w:asciiTheme="minorHAnsi" w:eastAsiaTheme="minorEastAsia" w:hAnsiTheme="minorHAnsi" w:cstheme="minorBidi"/>
            <w:noProof/>
            <w:sz w:val="22"/>
            <w:szCs w:val="22"/>
          </w:rPr>
          <w:tab/>
        </w:r>
        <w:r w:rsidRPr="001B13A4">
          <w:rPr>
            <w:rStyle w:val="Hyperlink"/>
            <w:noProof/>
          </w:rPr>
          <w:t>colSortMap (Column Sort Map)</w:t>
        </w:r>
        <w:r>
          <w:rPr>
            <w:noProof/>
            <w:webHidden/>
          </w:rPr>
          <w:tab/>
        </w:r>
        <w:r>
          <w:rPr>
            <w:noProof/>
            <w:webHidden/>
          </w:rPr>
          <w:fldChar w:fldCharType="begin"/>
        </w:r>
        <w:r>
          <w:rPr>
            <w:noProof/>
            <w:webHidden/>
          </w:rPr>
          <w:instrText xml:space="preserve"> PAGEREF _Toc181685019 \h </w:instrText>
        </w:r>
        <w:r>
          <w:rPr>
            <w:noProof/>
            <w:webHidden/>
          </w:rPr>
        </w:r>
        <w:r>
          <w:rPr>
            <w:noProof/>
            <w:webHidden/>
          </w:rPr>
          <w:fldChar w:fldCharType="separate"/>
        </w:r>
        <w:r>
          <w:rPr>
            <w:noProof/>
            <w:webHidden/>
          </w:rPr>
          <w:t>843</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20" w:history="1">
        <w:r w:rsidRPr="001B13A4">
          <w:rPr>
            <w:rStyle w:val="Hyperlink"/>
            <w:noProof/>
          </w:rPr>
          <w:t>3.2.2.1.3</w:t>
        </w:r>
        <w:r>
          <w:rPr>
            <w:rFonts w:asciiTheme="minorHAnsi" w:eastAsiaTheme="minorEastAsia" w:hAnsiTheme="minorHAnsi" w:cstheme="minorBidi"/>
            <w:noProof/>
            <w:sz w:val="22"/>
            <w:szCs w:val="22"/>
          </w:rPr>
          <w:tab/>
        </w:r>
        <w:r w:rsidRPr="001B13A4">
          <w:rPr>
            <w:rStyle w:val="Hyperlink"/>
            <w:noProof/>
          </w:rPr>
          <w:t>row (Row)</w:t>
        </w:r>
        <w:r>
          <w:rPr>
            <w:noProof/>
            <w:webHidden/>
          </w:rPr>
          <w:tab/>
        </w:r>
        <w:r>
          <w:rPr>
            <w:noProof/>
            <w:webHidden/>
          </w:rPr>
          <w:fldChar w:fldCharType="begin"/>
        </w:r>
        <w:r>
          <w:rPr>
            <w:noProof/>
            <w:webHidden/>
          </w:rPr>
          <w:instrText xml:space="preserve"> PAGEREF _Toc181685020 \h </w:instrText>
        </w:r>
        <w:r>
          <w:rPr>
            <w:noProof/>
            <w:webHidden/>
          </w:rPr>
        </w:r>
        <w:r>
          <w:rPr>
            <w:noProof/>
            <w:webHidden/>
          </w:rPr>
          <w:fldChar w:fldCharType="separate"/>
        </w:r>
        <w:r>
          <w:rPr>
            <w:noProof/>
            <w:webHidden/>
          </w:rPr>
          <w:t>844</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21" w:history="1">
        <w:r w:rsidRPr="001B13A4">
          <w:rPr>
            <w:rStyle w:val="Hyperlink"/>
            <w:noProof/>
          </w:rPr>
          <w:t>3.2.2.1.4</w:t>
        </w:r>
        <w:r>
          <w:rPr>
            <w:rFonts w:asciiTheme="minorHAnsi" w:eastAsiaTheme="minorEastAsia" w:hAnsiTheme="minorHAnsi" w:cstheme="minorBidi"/>
            <w:noProof/>
            <w:sz w:val="22"/>
            <w:szCs w:val="22"/>
          </w:rPr>
          <w:tab/>
        </w:r>
        <w:r w:rsidRPr="001B13A4">
          <w:rPr>
            <w:rStyle w:val="Hyperlink"/>
            <w:noProof/>
          </w:rPr>
          <w:t>rowSortMap (Row Sort Map)</w:t>
        </w:r>
        <w:r>
          <w:rPr>
            <w:noProof/>
            <w:webHidden/>
          </w:rPr>
          <w:tab/>
        </w:r>
        <w:r>
          <w:rPr>
            <w:noProof/>
            <w:webHidden/>
          </w:rPr>
          <w:fldChar w:fldCharType="begin"/>
        </w:r>
        <w:r>
          <w:rPr>
            <w:noProof/>
            <w:webHidden/>
          </w:rPr>
          <w:instrText xml:space="preserve"> PAGEREF _Toc181685021 \h </w:instrText>
        </w:r>
        <w:r>
          <w:rPr>
            <w:noProof/>
            <w:webHidden/>
          </w:rPr>
        </w:r>
        <w:r>
          <w:rPr>
            <w:noProof/>
            <w:webHidden/>
          </w:rPr>
          <w:fldChar w:fldCharType="separate"/>
        </w:r>
        <w:r>
          <w:rPr>
            <w:noProof/>
            <w:webHidden/>
          </w:rPr>
          <w:t>844</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22" w:history="1">
        <w:r w:rsidRPr="001B13A4">
          <w:rPr>
            <w:rStyle w:val="Hyperlink"/>
            <w:noProof/>
          </w:rPr>
          <w:t>3.2.2.1.5</w:t>
        </w:r>
        <w:r>
          <w:rPr>
            <w:rFonts w:asciiTheme="minorHAnsi" w:eastAsiaTheme="minorEastAsia" w:hAnsiTheme="minorHAnsi" w:cstheme="minorBidi"/>
            <w:noProof/>
            <w:sz w:val="22"/>
            <w:szCs w:val="22"/>
          </w:rPr>
          <w:tab/>
        </w:r>
        <w:r w:rsidRPr="001B13A4">
          <w:rPr>
            <w:rStyle w:val="Hyperlink"/>
            <w:noProof/>
          </w:rPr>
          <w:t>worksheetSortMap (Worksheet Sort Map)</w:t>
        </w:r>
        <w:r>
          <w:rPr>
            <w:noProof/>
            <w:webHidden/>
          </w:rPr>
          <w:tab/>
        </w:r>
        <w:r>
          <w:rPr>
            <w:noProof/>
            <w:webHidden/>
          </w:rPr>
          <w:fldChar w:fldCharType="begin"/>
        </w:r>
        <w:r>
          <w:rPr>
            <w:noProof/>
            <w:webHidden/>
          </w:rPr>
          <w:instrText xml:space="preserve"> PAGEREF _Toc181685022 \h </w:instrText>
        </w:r>
        <w:r>
          <w:rPr>
            <w:noProof/>
            <w:webHidden/>
          </w:rPr>
        </w:r>
        <w:r>
          <w:rPr>
            <w:noProof/>
            <w:webHidden/>
          </w:rPr>
          <w:fldChar w:fldCharType="separate"/>
        </w:r>
        <w:r>
          <w:rPr>
            <w:noProof/>
            <w:webHidden/>
          </w:rPr>
          <w:t>845</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23" w:history="1">
        <w:r w:rsidRPr="001B13A4">
          <w:rPr>
            <w:rStyle w:val="Hyperlink"/>
            <w:noProof/>
          </w:rPr>
          <w:t>3.2.2.2</w:t>
        </w:r>
        <w:r>
          <w:rPr>
            <w:rFonts w:asciiTheme="minorHAnsi" w:eastAsiaTheme="minorEastAsia" w:hAnsiTheme="minorHAnsi" w:cstheme="minorBidi"/>
            <w:noProof/>
            <w:sz w:val="22"/>
            <w:szCs w:val="22"/>
          </w:rPr>
          <w:tab/>
        </w:r>
        <w:r w:rsidRPr="001B13A4">
          <w:rPr>
            <w:rStyle w:val="Hyperlink"/>
            <w:noProof/>
          </w:rPr>
          <w:t>Simple Types</w:t>
        </w:r>
        <w:r>
          <w:rPr>
            <w:noProof/>
            <w:webHidden/>
          </w:rPr>
          <w:tab/>
        </w:r>
        <w:r>
          <w:rPr>
            <w:noProof/>
            <w:webHidden/>
          </w:rPr>
          <w:fldChar w:fldCharType="begin"/>
        </w:r>
        <w:r>
          <w:rPr>
            <w:noProof/>
            <w:webHidden/>
          </w:rPr>
          <w:instrText xml:space="preserve"> PAGEREF _Toc181685023 \h </w:instrText>
        </w:r>
        <w:r>
          <w:rPr>
            <w:noProof/>
            <w:webHidden/>
          </w:rPr>
        </w:r>
        <w:r>
          <w:rPr>
            <w:noProof/>
            <w:webHidden/>
          </w:rPr>
          <w:fldChar w:fldCharType="separate"/>
        </w:r>
        <w:r>
          <w:rPr>
            <w:noProof/>
            <w:webHidden/>
          </w:rPr>
          <w:t>846</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24" w:history="1">
        <w:r w:rsidRPr="001B13A4">
          <w:rPr>
            <w:rStyle w:val="Hyperlink"/>
            <w:noProof/>
          </w:rPr>
          <w:t>3.2.2.2.1</w:t>
        </w:r>
        <w:r>
          <w:rPr>
            <w:rFonts w:asciiTheme="minorHAnsi" w:eastAsiaTheme="minorEastAsia" w:hAnsiTheme="minorHAnsi" w:cstheme="minorBidi"/>
            <w:noProof/>
            <w:sz w:val="22"/>
            <w:szCs w:val="22"/>
          </w:rPr>
          <w:tab/>
        </w:r>
        <w:r w:rsidRPr="001B13A4">
          <w:rPr>
            <w:rStyle w:val="Hyperlink"/>
            <w:noProof/>
          </w:rPr>
          <w:t>ST_SortMapCount (Sort Map Count)</w:t>
        </w:r>
        <w:r>
          <w:rPr>
            <w:noProof/>
            <w:webHidden/>
          </w:rPr>
          <w:tab/>
        </w:r>
        <w:r>
          <w:rPr>
            <w:noProof/>
            <w:webHidden/>
          </w:rPr>
          <w:fldChar w:fldCharType="begin"/>
        </w:r>
        <w:r>
          <w:rPr>
            <w:noProof/>
            <w:webHidden/>
          </w:rPr>
          <w:instrText xml:space="preserve"> PAGEREF _Toc181685024 \h </w:instrText>
        </w:r>
        <w:r>
          <w:rPr>
            <w:noProof/>
            <w:webHidden/>
          </w:rPr>
        </w:r>
        <w:r>
          <w:rPr>
            <w:noProof/>
            <w:webHidden/>
          </w:rPr>
          <w:fldChar w:fldCharType="separate"/>
        </w:r>
        <w:r>
          <w:rPr>
            <w:noProof/>
            <w:webHidden/>
          </w:rPr>
          <w:t>846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25" w:history="1">
        <w:r w:rsidRPr="001B13A4">
          <w:rPr>
            <w:rStyle w:val="Hyperlink"/>
            <w:noProof/>
          </w:rPr>
          <w:t>3.2.3</w:t>
        </w:r>
        <w:r>
          <w:rPr>
            <w:rFonts w:asciiTheme="minorHAnsi" w:eastAsiaTheme="minorEastAsia" w:hAnsiTheme="minorHAnsi" w:cstheme="minorBidi"/>
            <w:noProof/>
            <w:sz w:val="22"/>
            <w:szCs w:val="22"/>
          </w:rPr>
          <w:tab/>
        </w:r>
        <w:r w:rsidRPr="001B13A4">
          <w:rPr>
            <w:rStyle w:val="Hyperlink"/>
            <w:noProof/>
          </w:rPr>
          <w:t>Additional SpreadsheetML Schema</w:t>
        </w:r>
        <w:r>
          <w:rPr>
            <w:noProof/>
            <w:webHidden/>
          </w:rPr>
          <w:tab/>
        </w:r>
        <w:r>
          <w:rPr>
            <w:noProof/>
            <w:webHidden/>
          </w:rPr>
          <w:fldChar w:fldCharType="begin"/>
        </w:r>
        <w:r>
          <w:rPr>
            <w:noProof/>
            <w:webHidden/>
          </w:rPr>
          <w:instrText xml:space="preserve"> PAGEREF _Toc181685025 \h </w:instrText>
        </w:r>
        <w:r>
          <w:rPr>
            <w:noProof/>
            <w:webHidden/>
          </w:rPr>
        </w:r>
        <w:r>
          <w:rPr>
            <w:noProof/>
            <w:webHidden/>
          </w:rPr>
          <w:fldChar w:fldCharType="separate"/>
        </w:r>
        <w:r>
          <w:rPr>
            <w:noProof/>
            <w:webHidden/>
          </w:rPr>
          <w:t>846</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26" w:history="1">
        <w:r w:rsidRPr="001B13A4">
          <w:rPr>
            <w:rStyle w:val="Hyperlink"/>
            <w:noProof/>
          </w:rPr>
          <w:t>3.2.3.1</w:t>
        </w:r>
        <w:r>
          <w:rPr>
            <w:rFonts w:asciiTheme="minorHAnsi" w:eastAsiaTheme="minorEastAsia" w:hAnsiTheme="minorHAnsi" w:cstheme="minorBidi"/>
            <w:noProof/>
            <w:sz w:val="22"/>
            <w:szCs w:val="22"/>
          </w:rPr>
          <w:tab/>
        </w:r>
        <w:r w:rsidRPr="001B13A4">
          <w:rPr>
            <w:rStyle w:val="Hyperlink"/>
            <w:noProof/>
          </w:rPr>
          <w:t>Formulas</w:t>
        </w:r>
        <w:r>
          <w:rPr>
            <w:noProof/>
            <w:webHidden/>
          </w:rPr>
          <w:tab/>
        </w:r>
        <w:r>
          <w:rPr>
            <w:noProof/>
            <w:webHidden/>
          </w:rPr>
          <w:fldChar w:fldCharType="begin"/>
        </w:r>
        <w:r>
          <w:rPr>
            <w:noProof/>
            <w:webHidden/>
          </w:rPr>
          <w:instrText xml:space="preserve"> PAGEREF _Toc181685026 \h </w:instrText>
        </w:r>
        <w:r>
          <w:rPr>
            <w:noProof/>
            <w:webHidden/>
          </w:rPr>
        </w:r>
        <w:r>
          <w:rPr>
            <w:noProof/>
            <w:webHidden/>
          </w:rPr>
          <w:fldChar w:fldCharType="separate"/>
        </w:r>
        <w:r>
          <w:rPr>
            <w:noProof/>
            <w:webHidden/>
          </w:rPr>
          <w:t>846</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27" w:history="1">
        <w:r w:rsidRPr="001B13A4">
          <w:rPr>
            <w:rStyle w:val="Hyperlink"/>
            <w:noProof/>
          </w:rPr>
          <w:t>3.2.3.1.1</w:t>
        </w:r>
        <w:r>
          <w:rPr>
            <w:rFonts w:asciiTheme="minorHAnsi" w:eastAsiaTheme="minorEastAsia" w:hAnsiTheme="minorHAnsi" w:cstheme="minorBidi"/>
            <w:noProof/>
            <w:sz w:val="22"/>
            <w:szCs w:val="22"/>
          </w:rPr>
          <w:tab/>
        </w:r>
        <w:r w:rsidRPr="001B13A4">
          <w:rPr>
            <w:rStyle w:val="Hyperlink"/>
            <w:noProof/>
          </w:rPr>
          <w:t>Structure References</w:t>
        </w:r>
        <w:r>
          <w:rPr>
            <w:noProof/>
            <w:webHidden/>
          </w:rPr>
          <w:tab/>
        </w:r>
        <w:r>
          <w:rPr>
            <w:noProof/>
            <w:webHidden/>
          </w:rPr>
          <w:fldChar w:fldCharType="begin"/>
        </w:r>
        <w:r>
          <w:rPr>
            <w:noProof/>
            <w:webHidden/>
          </w:rPr>
          <w:instrText xml:space="preserve"> PAGEREF _Toc181685027 \h </w:instrText>
        </w:r>
        <w:r>
          <w:rPr>
            <w:noProof/>
            <w:webHidden/>
          </w:rPr>
        </w:r>
        <w:r>
          <w:rPr>
            <w:noProof/>
            <w:webHidden/>
          </w:rPr>
          <w:fldChar w:fldCharType="separate"/>
        </w:r>
        <w:r>
          <w:rPr>
            <w:noProof/>
            <w:webHidden/>
          </w:rPr>
          <w:t>846</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28" w:history="1">
        <w:r w:rsidRPr="001B13A4">
          <w:rPr>
            <w:rStyle w:val="Hyperlink"/>
            <w:noProof/>
          </w:rPr>
          <w:t>3.2.3.1.2</w:t>
        </w:r>
        <w:r>
          <w:rPr>
            <w:rFonts w:asciiTheme="minorHAnsi" w:eastAsiaTheme="minorEastAsia" w:hAnsiTheme="minorHAnsi" w:cstheme="minorBidi"/>
            <w:noProof/>
            <w:sz w:val="22"/>
            <w:szCs w:val="22"/>
          </w:rPr>
          <w:tab/>
        </w:r>
        <w:r w:rsidRPr="001B13A4">
          <w:rPr>
            <w:rStyle w:val="Hyperlink"/>
            <w:noProof/>
          </w:rPr>
          <w:t>Conditional Formatting Formulas</w:t>
        </w:r>
        <w:r>
          <w:rPr>
            <w:noProof/>
            <w:webHidden/>
          </w:rPr>
          <w:tab/>
        </w:r>
        <w:r>
          <w:rPr>
            <w:noProof/>
            <w:webHidden/>
          </w:rPr>
          <w:fldChar w:fldCharType="begin"/>
        </w:r>
        <w:r>
          <w:rPr>
            <w:noProof/>
            <w:webHidden/>
          </w:rPr>
          <w:instrText xml:space="preserve"> PAGEREF _Toc181685028 \h </w:instrText>
        </w:r>
        <w:r>
          <w:rPr>
            <w:noProof/>
            <w:webHidden/>
          </w:rPr>
        </w:r>
        <w:r>
          <w:rPr>
            <w:noProof/>
            <w:webHidden/>
          </w:rPr>
          <w:fldChar w:fldCharType="separate"/>
        </w:r>
        <w:r>
          <w:rPr>
            <w:noProof/>
            <w:webHidden/>
          </w:rPr>
          <w:t>848</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29" w:history="1">
        <w:r w:rsidRPr="001B13A4">
          <w:rPr>
            <w:rStyle w:val="Hyperlink"/>
            <w:noProof/>
          </w:rPr>
          <w:t>3.2.3.1.3</w:t>
        </w:r>
        <w:r>
          <w:rPr>
            <w:rFonts w:asciiTheme="minorHAnsi" w:eastAsiaTheme="minorEastAsia" w:hAnsiTheme="minorHAnsi" w:cstheme="minorBidi"/>
            <w:noProof/>
            <w:sz w:val="22"/>
            <w:szCs w:val="22"/>
          </w:rPr>
          <w:tab/>
        </w:r>
        <w:r w:rsidRPr="001B13A4">
          <w:rPr>
            <w:rStyle w:val="Hyperlink"/>
            <w:noProof/>
          </w:rPr>
          <w:t>Data Validation Formulas</w:t>
        </w:r>
        <w:r>
          <w:rPr>
            <w:noProof/>
            <w:webHidden/>
          </w:rPr>
          <w:tab/>
        </w:r>
        <w:r>
          <w:rPr>
            <w:noProof/>
            <w:webHidden/>
          </w:rPr>
          <w:fldChar w:fldCharType="begin"/>
        </w:r>
        <w:r>
          <w:rPr>
            <w:noProof/>
            <w:webHidden/>
          </w:rPr>
          <w:instrText xml:space="preserve"> PAGEREF _Toc181685029 \h </w:instrText>
        </w:r>
        <w:r>
          <w:rPr>
            <w:noProof/>
            <w:webHidden/>
          </w:rPr>
        </w:r>
        <w:r>
          <w:rPr>
            <w:noProof/>
            <w:webHidden/>
          </w:rPr>
          <w:fldChar w:fldCharType="separate"/>
        </w:r>
        <w:r>
          <w:rPr>
            <w:noProof/>
            <w:webHidden/>
          </w:rPr>
          <w:t>849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30" w:history="1">
        <w:r w:rsidRPr="001B13A4">
          <w:rPr>
            <w:rStyle w:val="Hyperlink"/>
            <w:noProof/>
          </w:rPr>
          <w:t>3.2.3.1.4</w:t>
        </w:r>
        <w:r>
          <w:rPr>
            <w:rFonts w:asciiTheme="minorHAnsi" w:eastAsiaTheme="minorEastAsia" w:hAnsiTheme="minorHAnsi" w:cstheme="minorBidi"/>
            <w:noProof/>
            <w:sz w:val="22"/>
            <w:szCs w:val="22"/>
          </w:rPr>
          <w:tab/>
        </w:r>
        <w:r w:rsidRPr="001B13A4">
          <w:rPr>
            <w:rStyle w:val="Hyperlink"/>
            <w:noProof/>
          </w:rPr>
          <w:t>Name Formulas</w:t>
        </w:r>
        <w:r>
          <w:rPr>
            <w:noProof/>
            <w:webHidden/>
          </w:rPr>
          <w:tab/>
        </w:r>
        <w:r>
          <w:rPr>
            <w:noProof/>
            <w:webHidden/>
          </w:rPr>
          <w:fldChar w:fldCharType="begin"/>
        </w:r>
        <w:r>
          <w:rPr>
            <w:noProof/>
            <w:webHidden/>
          </w:rPr>
          <w:instrText xml:space="preserve"> PAGEREF _Toc181685030 \h </w:instrText>
        </w:r>
        <w:r>
          <w:rPr>
            <w:noProof/>
            <w:webHidden/>
          </w:rPr>
        </w:r>
        <w:r>
          <w:rPr>
            <w:noProof/>
            <w:webHidden/>
          </w:rPr>
          <w:fldChar w:fldCharType="separate"/>
        </w:r>
        <w:r>
          <w:rPr>
            <w:noProof/>
            <w:webHidden/>
          </w:rPr>
          <w:t>849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31" w:history="1">
        <w:r w:rsidRPr="001B13A4">
          <w:rPr>
            <w:rStyle w:val="Hyperlink"/>
            <w:noProof/>
          </w:rPr>
          <w:t>3.2.3.1.5</w:t>
        </w:r>
        <w:r>
          <w:rPr>
            <w:rFonts w:asciiTheme="minorHAnsi" w:eastAsiaTheme="minorEastAsia" w:hAnsiTheme="minorHAnsi" w:cstheme="minorBidi"/>
            <w:noProof/>
            <w:sz w:val="22"/>
            <w:szCs w:val="22"/>
          </w:rPr>
          <w:tab/>
        </w:r>
        <w:r w:rsidRPr="001B13A4">
          <w:rPr>
            <w:rStyle w:val="Hyperlink"/>
            <w:noProof/>
          </w:rPr>
          <w:t>External Name Formulas</w:t>
        </w:r>
        <w:r>
          <w:rPr>
            <w:noProof/>
            <w:webHidden/>
          </w:rPr>
          <w:tab/>
        </w:r>
        <w:r>
          <w:rPr>
            <w:noProof/>
            <w:webHidden/>
          </w:rPr>
          <w:fldChar w:fldCharType="begin"/>
        </w:r>
        <w:r>
          <w:rPr>
            <w:noProof/>
            <w:webHidden/>
          </w:rPr>
          <w:instrText xml:space="preserve"> PAGEREF _Toc181685031 \h </w:instrText>
        </w:r>
        <w:r>
          <w:rPr>
            <w:noProof/>
            <w:webHidden/>
          </w:rPr>
        </w:r>
        <w:r>
          <w:rPr>
            <w:noProof/>
            <w:webHidden/>
          </w:rPr>
          <w:fldChar w:fldCharType="separate"/>
        </w:r>
        <w:r>
          <w:rPr>
            <w:noProof/>
            <w:webHidden/>
          </w:rPr>
          <w:t>849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32" w:history="1">
        <w:r w:rsidRPr="001B13A4">
          <w:rPr>
            <w:rStyle w:val="Hyperlink"/>
            <w:noProof/>
          </w:rPr>
          <w:t>3.2.3.1.6</w:t>
        </w:r>
        <w:r>
          <w:rPr>
            <w:rFonts w:asciiTheme="minorHAnsi" w:eastAsiaTheme="minorEastAsia" w:hAnsiTheme="minorHAnsi" w:cstheme="minorBidi"/>
            <w:noProof/>
            <w:sz w:val="22"/>
            <w:szCs w:val="22"/>
          </w:rPr>
          <w:tab/>
        </w:r>
        <w:r w:rsidRPr="001B13A4">
          <w:rPr>
            <w:rStyle w:val="Hyperlink"/>
            <w:noProof/>
          </w:rPr>
          <w:t>Chart formulas</w:t>
        </w:r>
        <w:r>
          <w:rPr>
            <w:noProof/>
            <w:webHidden/>
          </w:rPr>
          <w:tab/>
        </w:r>
        <w:r>
          <w:rPr>
            <w:noProof/>
            <w:webHidden/>
          </w:rPr>
          <w:fldChar w:fldCharType="begin"/>
        </w:r>
        <w:r>
          <w:rPr>
            <w:noProof/>
            <w:webHidden/>
          </w:rPr>
          <w:instrText xml:space="preserve"> PAGEREF _Toc181685032 \h </w:instrText>
        </w:r>
        <w:r>
          <w:rPr>
            <w:noProof/>
            <w:webHidden/>
          </w:rPr>
        </w:r>
        <w:r>
          <w:rPr>
            <w:noProof/>
            <w:webHidden/>
          </w:rPr>
          <w:fldChar w:fldCharType="separate"/>
        </w:r>
        <w:r>
          <w:rPr>
            <w:noProof/>
            <w:webHidden/>
          </w:rPr>
          <w:t>850</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33" w:history="1">
        <w:r w:rsidRPr="001B13A4">
          <w:rPr>
            <w:rStyle w:val="Hyperlink"/>
            <w:noProof/>
          </w:rPr>
          <w:t>3.2.3.1.7</w:t>
        </w:r>
        <w:r>
          <w:rPr>
            <w:rFonts w:asciiTheme="minorHAnsi" w:eastAsiaTheme="minorEastAsia" w:hAnsiTheme="minorHAnsi" w:cstheme="minorBidi"/>
            <w:noProof/>
            <w:sz w:val="22"/>
            <w:szCs w:val="22"/>
          </w:rPr>
          <w:tab/>
        </w:r>
        <w:r w:rsidRPr="001B13A4">
          <w:rPr>
            <w:rStyle w:val="Hyperlink"/>
            <w:noProof/>
          </w:rPr>
          <w:t>R1C1 formulas</w:t>
        </w:r>
        <w:r>
          <w:rPr>
            <w:noProof/>
            <w:webHidden/>
          </w:rPr>
          <w:tab/>
        </w:r>
        <w:r>
          <w:rPr>
            <w:noProof/>
            <w:webHidden/>
          </w:rPr>
          <w:fldChar w:fldCharType="begin"/>
        </w:r>
        <w:r>
          <w:rPr>
            <w:noProof/>
            <w:webHidden/>
          </w:rPr>
          <w:instrText xml:space="preserve"> PAGEREF _Toc181685033 \h </w:instrText>
        </w:r>
        <w:r>
          <w:rPr>
            <w:noProof/>
            <w:webHidden/>
          </w:rPr>
        </w:r>
        <w:r>
          <w:rPr>
            <w:noProof/>
            <w:webHidden/>
          </w:rPr>
          <w:fldChar w:fldCharType="separate"/>
        </w:r>
        <w:r>
          <w:rPr>
            <w:noProof/>
            <w:webHidden/>
          </w:rPr>
          <w:t>850</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34" w:history="1">
        <w:r w:rsidRPr="001B13A4">
          <w:rPr>
            <w:rStyle w:val="Hyperlink"/>
            <w:noProof/>
          </w:rPr>
          <w:t>3.2.3.1.8</w:t>
        </w:r>
        <w:r>
          <w:rPr>
            <w:rFonts w:asciiTheme="minorHAnsi" w:eastAsiaTheme="minorEastAsia" w:hAnsiTheme="minorHAnsi" w:cstheme="minorBidi"/>
            <w:noProof/>
            <w:sz w:val="22"/>
            <w:szCs w:val="22"/>
          </w:rPr>
          <w:tab/>
        </w:r>
        <w:r w:rsidRPr="001B13A4">
          <w:rPr>
            <w:rStyle w:val="Hyperlink"/>
            <w:noProof/>
          </w:rPr>
          <w:t>Pivot Formulas</w:t>
        </w:r>
        <w:r>
          <w:rPr>
            <w:noProof/>
            <w:webHidden/>
          </w:rPr>
          <w:tab/>
        </w:r>
        <w:r>
          <w:rPr>
            <w:noProof/>
            <w:webHidden/>
          </w:rPr>
          <w:fldChar w:fldCharType="begin"/>
        </w:r>
        <w:r>
          <w:rPr>
            <w:noProof/>
            <w:webHidden/>
          </w:rPr>
          <w:instrText xml:space="preserve"> PAGEREF _Toc181685034 \h </w:instrText>
        </w:r>
        <w:r>
          <w:rPr>
            <w:noProof/>
            <w:webHidden/>
          </w:rPr>
        </w:r>
        <w:r>
          <w:rPr>
            <w:noProof/>
            <w:webHidden/>
          </w:rPr>
          <w:fldChar w:fldCharType="separate"/>
        </w:r>
        <w:r>
          <w:rPr>
            <w:noProof/>
            <w:webHidden/>
          </w:rPr>
          <w:t>850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35" w:history="1">
        <w:r w:rsidRPr="001B13A4">
          <w:rPr>
            <w:rStyle w:val="Hyperlink"/>
            <w:noProof/>
          </w:rPr>
          <w:t>3.2.3.1.8.1</w:t>
        </w:r>
        <w:r>
          <w:rPr>
            <w:rFonts w:asciiTheme="minorHAnsi" w:eastAsiaTheme="minorEastAsia" w:hAnsiTheme="minorHAnsi" w:cstheme="minorBidi"/>
            <w:noProof/>
            <w:sz w:val="22"/>
            <w:szCs w:val="22"/>
          </w:rPr>
          <w:tab/>
        </w:r>
        <w:r w:rsidRPr="001B13A4">
          <w:rPr>
            <w:rStyle w:val="Hyperlink"/>
            <w:noProof/>
          </w:rPr>
          <w:t>Calculated Field Formulas</w:t>
        </w:r>
        <w:r>
          <w:rPr>
            <w:noProof/>
            <w:webHidden/>
          </w:rPr>
          <w:tab/>
        </w:r>
        <w:r>
          <w:rPr>
            <w:noProof/>
            <w:webHidden/>
          </w:rPr>
          <w:fldChar w:fldCharType="begin"/>
        </w:r>
        <w:r>
          <w:rPr>
            <w:noProof/>
            <w:webHidden/>
          </w:rPr>
          <w:instrText xml:space="preserve"> PAGEREF _Toc181685035 \h </w:instrText>
        </w:r>
        <w:r>
          <w:rPr>
            <w:noProof/>
            <w:webHidden/>
          </w:rPr>
        </w:r>
        <w:r>
          <w:rPr>
            <w:noProof/>
            <w:webHidden/>
          </w:rPr>
          <w:fldChar w:fldCharType="separate"/>
        </w:r>
        <w:r>
          <w:rPr>
            <w:noProof/>
            <w:webHidden/>
          </w:rPr>
          <w:t>851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36" w:history="1">
        <w:r w:rsidRPr="001B13A4">
          <w:rPr>
            <w:rStyle w:val="Hyperlink"/>
            <w:noProof/>
          </w:rPr>
          <w:t>3.2.3.1.8.2</w:t>
        </w:r>
        <w:r>
          <w:rPr>
            <w:rFonts w:asciiTheme="minorHAnsi" w:eastAsiaTheme="minorEastAsia" w:hAnsiTheme="minorHAnsi" w:cstheme="minorBidi"/>
            <w:noProof/>
            <w:sz w:val="22"/>
            <w:szCs w:val="22"/>
          </w:rPr>
          <w:tab/>
        </w:r>
        <w:r w:rsidRPr="001B13A4">
          <w:rPr>
            <w:rStyle w:val="Hyperlink"/>
            <w:noProof/>
          </w:rPr>
          <w:t>Calculated Item Formulas</w:t>
        </w:r>
        <w:r>
          <w:rPr>
            <w:noProof/>
            <w:webHidden/>
          </w:rPr>
          <w:tab/>
        </w:r>
        <w:r>
          <w:rPr>
            <w:noProof/>
            <w:webHidden/>
          </w:rPr>
          <w:fldChar w:fldCharType="begin"/>
        </w:r>
        <w:r>
          <w:rPr>
            <w:noProof/>
            <w:webHidden/>
          </w:rPr>
          <w:instrText xml:space="preserve"> PAGEREF _Toc181685036 \h </w:instrText>
        </w:r>
        <w:r>
          <w:rPr>
            <w:noProof/>
            <w:webHidden/>
          </w:rPr>
        </w:r>
        <w:r>
          <w:rPr>
            <w:noProof/>
            <w:webHidden/>
          </w:rPr>
          <w:fldChar w:fldCharType="separate"/>
        </w:r>
        <w:r>
          <w:rPr>
            <w:noProof/>
            <w:webHidden/>
          </w:rPr>
          <w:t>851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37" w:history="1">
        <w:r w:rsidRPr="001B13A4">
          <w:rPr>
            <w:rStyle w:val="Hyperlink"/>
            <w:noProof/>
          </w:rPr>
          <w:t>3.2.3.1.9</w:t>
        </w:r>
        <w:r>
          <w:rPr>
            <w:rFonts w:asciiTheme="minorHAnsi" w:eastAsiaTheme="minorEastAsia" w:hAnsiTheme="minorHAnsi" w:cstheme="minorBidi"/>
            <w:noProof/>
            <w:sz w:val="22"/>
            <w:szCs w:val="22"/>
          </w:rPr>
          <w:tab/>
        </w:r>
        <w:r w:rsidRPr="001B13A4">
          <w:rPr>
            <w:rStyle w:val="Hyperlink"/>
            <w:noProof/>
          </w:rPr>
          <w:t>OLE Link Formulas</w:t>
        </w:r>
        <w:r>
          <w:rPr>
            <w:noProof/>
            <w:webHidden/>
          </w:rPr>
          <w:tab/>
        </w:r>
        <w:r>
          <w:rPr>
            <w:noProof/>
            <w:webHidden/>
          </w:rPr>
          <w:fldChar w:fldCharType="begin"/>
        </w:r>
        <w:r>
          <w:rPr>
            <w:noProof/>
            <w:webHidden/>
          </w:rPr>
          <w:instrText xml:space="preserve"> PAGEREF _Toc181685037 \h </w:instrText>
        </w:r>
        <w:r>
          <w:rPr>
            <w:noProof/>
            <w:webHidden/>
          </w:rPr>
        </w:r>
        <w:r>
          <w:rPr>
            <w:noProof/>
            <w:webHidden/>
          </w:rPr>
          <w:fldChar w:fldCharType="separate"/>
        </w:r>
        <w:r>
          <w:rPr>
            <w:noProof/>
            <w:webHidden/>
          </w:rPr>
          <w:t>852</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038" w:history="1">
        <w:r w:rsidRPr="001B13A4">
          <w:rPr>
            <w:rStyle w:val="Hyperlink"/>
            <w:noProof/>
          </w:rPr>
          <w:t>3.3</w:t>
        </w:r>
        <w:r>
          <w:rPr>
            <w:rFonts w:asciiTheme="minorHAnsi" w:eastAsiaTheme="minorEastAsia" w:hAnsiTheme="minorHAnsi" w:cstheme="minorBidi"/>
            <w:noProof/>
            <w:sz w:val="22"/>
            <w:szCs w:val="22"/>
          </w:rPr>
          <w:tab/>
        </w:r>
        <w:r w:rsidRPr="001B13A4">
          <w:rPr>
            <w:rStyle w:val="Hyperlink"/>
            <w:noProof/>
          </w:rPr>
          <w:t>PowerPoint</w:t>
        </w:r>
        <w:r>
          <w:rPr>
            <w:noProof/>
            <w:webHidden/>
          </w:rPr>
          <w:tab/>
        </w:r>
        <w:r>
          <w:rPr>
            <w:noProof/>
            <w:webHidden/>
          </w:rPr>
          <w:fldChar w:fldCharType="begin"/>
        </w:r>
        <w:r>
          <w:rPr>
            <w:noProof/>
            <w:webHidden/>
          </w:rPr>
          <w:instrText xml:space="preserve"> PAGEREF _Toc181685038 \h </w:instrText>
        </w:r>
        <w:r>
          <w:rPr>
            <w:noProof/>
            <w:webHidden/>
          </w:rPr>
        </w:r>
        <w:r>
          <w:rPr>
            <w:noProof/>
            <w:webHidden/>
          </w:rPr>
          <w:fldChar w:fldCharType="separate"/>
        </w:r>
        <w:r>
          <w:rPr>
            <w:noProof/>
            <w:webHidden/>
          </w:rPr>
          <w:t>853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39" w:history="1">
        <w:r w:rsidRPr="001B13A4">
          <w:rPr>
            <w:rStyle w:val="Hyperlink"/>
            <w:noProof/>
          </w:rPr>
          <w:t>3.3.1</w:t>
        </w:r>
        <w:r>
          <w:rPr>
            <w:rFonts w:asciiTheme="minorHAnsi" w:eastAsiaTheme="minorEastAsia" w:hAnsiTheme="minorHAnsi" w:cstheme="minorBidi"/>
            <w:noProof/>
            <w:sz w:val="22"/>
            <w:szCs w:val="22"/>
          </w:rPr>
          <w:tab/>
        </w:r>
        <w:r w:rsidRPr="001B13A4">
          <w:rPr>
            <w:rStyle w:val="Hyperlink"/>
            <w:noProof/>
          </w:rPr>
          <w:t>Additional Parts</w:t>
        </w:r>
        <w:r>
          <w:rPr>
            <w:noProof/>
            <w:webHidden/>
          </w:rPr>
          <w:tab/>
        </w:r>
        <w:r>
          <w:rPr>
            <w:noProof/>
            <w:webHidden/>
          </w:rPr>
          <w:fldChar w:fldCharType="begin"/>
        </w:r>
        <w:r>
          <w:rPr>
            <w:noProof/>
            <w:webHidden/>
          </w:rPr>
          <w:instrText xml:space="preserve"> PAGEREF _Toc181685039 \h </w:instrText>
        </w:r>
        <w:r>
          <w:rPr>
            <w:noProof/>
            <w:webHidden/>
          </w:rPr>
        </w:r>
        <w:r>
          <w:rPr>
            <w:noProof/>
            <w:webHidden/>
          </w:rPr>
          <w:fldChar w:fldCharType="separate"/>
        </w:r>
        <w:r>
          <w:rPr>
            <w:noProof/>
            <w:webHidden/>
          </w:rPr>
          <w:t>853</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40" w:history="1">
        <w:r w:rsidRPr="001B13A4">
          <w:rPr>
            <w:rStyle w:val="Hyperlink"/>
            <w:noProof/>
          </w:rPr>
          <w:t>3.3.1.1</w:t>
        </w:r>
        <w:r>
          <w:rPr>
            <w:rFonts w:asciiTheme="minorHAnsi" w:eastAsiaTheme="minorEastAsia" w:hAnsiTheme="minorHAnsi" w:cstheme="minorBidi"/>
            <w:noProof/>
            <w:sz w:val="22"/>
            <w:szCs w:val="22"/>
          </w:rPr>
          <w:tab/>
        </w:r>
        <w:r w:rsidRPr="001B13A4">
          <w:rPr>
            <w:rStyle w:val="Hyperlink"/>
            <w:noProof/>
          </w:rPr>
          <w:t>Legacy Diagram Text part</w:t>
        </w:r>
        <w:r>
          <w:rPr>
            <w:noProof/>
            <w:webHidden/>
          </w:rPr>
          <w:tab/>
        </w:r>
        <w:r>
          <w:rPr>
            <w:noProof/>
            <w:webHidden/>
          </w:rPr>
          <w:fldChar w:fldCharType="begin"/>
        </w:r>
        <w:r>
          <w:rPr>
            <w:noProof/>
            <w:webHidden/>
          </w:rPr>
          <w:instrText xml:space="preserve"> PAGEREF _Toc181685040 \h </w:instrText>
        </w:r>
        <w:r>
          <w:rPr>
            <w:noProof/>
            <w:webHidden/>
          </w:rPr>
        </w:r>
        <w:r>
          <w:rPr>
            <w:noProof/>
            <w:webHidden/>
          </w:rPr>
          <w:fldChar w:fldCharType="separate"/>
        </w:r>
        <w:r>
          <w:rPr>
            <w:noProof/>
            <w:webHidden/>
          </w:rPr>
          <w:t>853</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41" w:history="1">
        <w:r w:rsidRPr="001B13A4">
          <w:rPr>
            <w:rStyle w:val="Hyperlink"/>
            <w:noProof/>
          </w:rPr>
          <w:t>3.3.1.2</w:t>
        </w:r>
        <w:r>
          <w:rPr>
            <w:rFonts w:asciiTheme="minorHAnsi" w:eastAsiaTheme="minorEastAsia" w:hAnsiTheme="minorHAnsi" w:cstheme="minorBidi"/>
            <w:noProof/>
            <w:sz w:val="22"/>
            <w:szCs w:val="22"/>
          </w:rPr>
          <w:tab/>
        </w:r>
        <w:r w:rsidRPr="001B13A4">
          <w:rPr>
            <w:rStyle w:val="Hyperlink"/>
            <w:noProof/>
          </w:rPr>
          <w:t>Legacy Diagram Text Info part</w:t>
        </w:r>
        <w:r>
          <w:rPr>
            <w:noProof/>
            <w:webHidden/>
          </w:rPr>
          <w:tab/>
        </w:r>
        <w:r>
          <w:rPr>
            <w:noProof/>
            <w:webHidden/>
          </w:rPr>
          <w:fldChar w:fldCharType="begin"/>
        </w:r>
        <w:r>
          <w:rPr>
            <w:noProof/>
            <w:webHidden/>
          </w:rPr>
          <w:instrText xml:space="preserve"> PAGEREF _Toc181685041 \h </w:instrText>
        </w:r>
        <w:r>
          <w:rPr>
            <w:noProof/>
            <w:webHidden/>
          </w:rPr>
        </w:r>
        <w:r>
          <w:rPr>
            <w:noProof/>
            <w:webHidden/>
          </w:rPr>
          <w:fldChar w:fldCharType="separate"/>
        </w:r>
        <w:r>
          <w:rPr>
            <w:noProof/>
            <w:webHidden/>
          </w:rPr>
          <w:t>853</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42" w:history="1">
        <w:r w:rsidRPr="001B13A4">
          <w:rPr>
            <w:rStyle w:val="Hyperlink"/>
            <w:noProof/>
          </w:rPr>
          <w:t>3.3.1.3</w:t>
        </w:r>
        <w:r>
          <w:rPr>
            <w:rFonts w:asciiTheme="minorHAnsi" w:eastAsiaTheme="minorEastAsia" w:hAnsiTheme="minorHAnsi" w:cstheme="minorBidi"/>
            <w:noProof/>
            <w:sz w:val="22"/>
            <w:szCs w:val="22"/>
          </w:rPr>
          <w:tab/>
        </w:r>
        <w:r w:rsidRPr="001B13A4">
          <w:rPr>
            <w:rStyle w:val="Hyperlink"/>
            <w:noProof/>
          </w:rPr>
          <w:t>SmartTags part</w:t>
        </w:r>
        <w:r>
          <w:rPr>
            <w:noProof/>
            <w:webHidden/>
          </w:rPr>
          <w:tab/>
        </w:r>
        <w:r>
          <w:rPr>
            <w:noProof/>
            <w:webHidden/>
          </w:rPr>
          <w:fldChar w:fldCharType="begin"/>
        </w:r>
        <w:r>
          <w:rPr>
            <w:noProof/>
            <w:webHidden/>
          </w:rPr>
          <w:instrText xml:space="preserve"> PAGEREF _Toc181685042 \h </w:instrText>
        </w:r>
        <w:r>
          <w:rPr>
            <w:noProof/>
            <w:webHidden/>
          </w:rPr>
        </w:r>
        <w:r>
          <w:rPr>
            <w:noProof/>
            <w:webHidden/>
          </w:rPr>
          <w:fldChar w:fldCharType="separate"/>
        </w:r>
        <w:r>
          <w:rPr>
            <w:noProof/>
            <w:webHidden/>
          </w:rPr>
          <w:t>854</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043" w:history="1">
        <w:r w:rsidRPr="001B13A4">
          <w:rPr>
            <w:rStyle w:val="Hyperlink"/>
            <w:noProof/>
          </w:rPr>
          <w:t>3.4</w:t>
        </w:r>
        <w:r>
          <w:rPr>
            <w:rFonts w:asciiTheme="minorHAnsi" w:eastAsiaTheme="minorEastAsia" w:hAnsiTheme="minorHAnsi" w:cstheme="minorBidi"/>
            <w:noProof/>
            <w:sz w:val="22"/>
            <w:szCs w:val="22"/>
          </w:rPr>
          <w:tab/>
        </w:r>
        <w:r w:rsidRPr="001B13A4">
          <w:rPr>
            <w:rStyle w:val="Hyperlink"/>
            <w:noProof/>
          </w:rPr>
          <w:t>Shared</w:t>
        </w:r>
        <w:r>
          <w:rPr>
            <w:noProof/>
            <w:webHidden/>
          </w:rPr>
          <w:tab/>
        </w:r>
        <w:r>
          <w:rPr>
            <w:noProof/>
            <w:webHidden/>
          </w:rPr>
          <w:fldChar w:fldCharType="begin"/>
        </w:r>
        <w:r>
          <w:rPr>
            <w:noProof/>
            <w:webHidden/>
          </w:rPr>
          <w:instrText xml:space="preserve"> PAGEREF _Toc181685043 \h </w:instrText>
        </w:r>
        <w:r>
          <w:rPr>
            <w:noProof/>
            <w:webHidden/>
          </w:rPr>
        </w:r>
        <w:r>
          <w:rPr>
            <w:noProof/>
            <w:webHidden/>
          </w:rPr>
          <w:fldChar w:fldCharType="separate"/>
        </w:r>
        <w:r>
          <w:rPr>
            <w:noProof/>
            <w:webHidden/>
          </w:rPr>
          <w:t>854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44" w:history="1">
        <w:r w:rsidRPr="001B13A4">
          <w:rPr>
            <w:rStyle w:val="Hyperlink"/>
            <w:noProof/>
          </w:rPr>
          <w:t>3.4.1</w:t>
        </w:r>
        <w:r>
          <w:rPr>
            <w:rFonts w:asciiTheme="minorHAnsi" w:eastAsiaTheme="minorEastAsia" w:hAnsiTheme="minorHAnsi" w:cstheme="minorBidi"/>
            <w:noProof/>
            <w:sz w:val="22"/>
            <w:szCs w:val="22"/>
          </w:rPr>
          <w:tab/>
        </w:r>
        <w:r w:rsidRPr="001B13A4">
          <w:rPr>
            <w:rStyle w:val="Hyperlink"/>
            <w:noProof/>
          </w:rPr>
          <w:t>Additional Parts</w:t>
        </w:r>
        <w:r>
          <w:rPr>
            <w:noProof/>
            <w:webHidden/>
          </w:rPr>
          <w:tab/>
        </w:r>
        <w:r>
          <w:rPr>
            <w:noProof/>
            <w:webHidden/>
          </w:rPr>
          <w:fldChar w:fldCharType="begin"/>
        </w:r>
        <w:r>
          <w:rPr>
            <w:noProof/>
            <w:webHidden/>
          </w:rPr>
          <w:instrText xml:space="preserve"> PAGEREF _Toc181685044 \h </w:instrText>
        </w:r>
        <w:r>
          <w:rPr>
            <w:noProof/>
            <w:webHidden/>
          </w:rPr>
        </w:r>
        <w:r>
          <w:rPr>
            <w:noProof/>
            <w:webHidden/>
          </w:rPr>
          <w:fldChar w:fldCharType="separate"/>
        </w:r>
        <w:r>
          <w:rPr>
            <w:noProof/>
            <w:webHidden/>
          </w:rPr>
          <w:t>854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45" w:history="1">
        <w:r w:rsidRPr="001B13A4">
          <w:rPr>
            <w:rStyle w:val="Hyperlink"/>
            <w:noProof/>
          </w:rPr>
          <w:t>3.4.1.1</w:t>
        </w:r>
        <w:r>
          <w:rPr>
            <w:rFonts w:asciiTheme="minorHAnsi" w:eastAsiaTheme="minorEastAsia" w:hAnsiTheme="minorHAnsi" w:cstheme="minorBidi"/>
            <w:noProof/>
            <w:sz w:val="22"/>
            <w:szCs w:val="22"/>
          </w:rPr>
          <w:tab/>
        </w:r>
        <w:r w:rsidRPr="001B13A4">
          <w:rPr>
            <w:rStyle w:val="Hyperlink"/>
            <w:noProof/>
          </w:rPr>
          <w:t>Embedded Control Persistence Binary Data Part</w:t>
        </w:r>
        <w:r>
          <w:rPr>
            <w:noProof/>
            <w:webHidden/>
          </w:rPr>
          <w:tab/>
        </w:r>
        <w:r>
          <w:rPr>
            <w:noProof/>
            <w:webHidden/>
          </w:rPr>
          <w:fldChar w:fldCharType="begin"/>
        </w:r>
        <w:r>
          <w:rPr>
            <w:noProof/>
            <w:webHidden/>
          </w:rPr>
          <w:instrText xml:space="preserve"> PAGEREF _Toc181685045 \h </w:instrText>
        </w:r>
        <w:r>
          <w:rPr>
            <w:noProof/>
            <w:webHidden/>
          </w:rPr>
        </w:r>
        <w:r>
          <w:rPr>
            <w:noProof/>
            <w:webHidden/>
          </w:rPr>
          <w:fldChar w:fldCharType="separate"/>
        </w:r>
        <w:r>
          <w:rPr>
            <w:noProof/>
            <w:webHidden/>
          </w:rPr>
          <w:t>854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46" w:history="1">
        <w:r w:rsidRPr="001B13A4">
          <w:rPr>
            <w:rStyle w:val="Hyperlink"/>
            <w:noProof/>
          </w:rPr>
          <w:t>3.4.1.2</w:t>
        </w:r>
        <w:r>
          <w:rPr>
            <w:rFonts w:asciiTheme="minorHAnsi" w:eastAsiaTheme="minorEastAsia" w:hAnsiTheme="minorHAnsi" w:cstheme="minorBidi"/>
            <w:noProof/>
            <w:sz w:val="22"/>
            <w:szCs w:val="22"/>
          </w:rPr>
          <w:tab/>
        </w:r>
        <w:r w:rsidRPr="001B13A4">
          <w:rPr>
            <w:rStyle w:val="Hyperlink"/>
            <w:noProof/>
          </w:rPr>
          <w:t>Quick Access Toolbar Customizations Part</w:t>
        </w:r>
        <w:r>
          <w:rPr>
            <w:noProof/>
            <w:webHidden/>
          </w:rPr>
          <w:tab/>
        </w:r>
        <w:r>
          <w:rPr>
            <w:noProof/>
            <w:webHidden/>
          </w:rPr>
          <w:fldChar w:fldCharType="begin"/>
        </w:r>
        <w:r>
          <w:rPr>
            <w:noProof/>
            <w:webHidden/>
          </w:rPr>
          <w:instrText xml:space="preserve"> PAGEREF _Toc181685046 \h </w:instrText>
        </w:r>
        <w:r>
          <w:rPr>
            <w:noProof/>
            <w:webHidden/>
          </w:rPr>
        </w:r>
        <w:r>
          <w:rPr>
            <w:noProof/>
            <w:webHidden/>
          </w:rPr>
          <w:fldChar w:fldCharType="separate"/>
        </w:r>
        <w:r>
          <w:rPr>
            <w:noProof/>
            <w:webHidden/>
          </w:rPr>
          <w:t>855</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47" w:history="1">
        <w:r w:rsidRPr="001B13A4">
          <w:rPr>
            <w:rStyle w:val="Hyperlink"/>
            <w:noProof/>
          </w:rPr>
          <w:t>3.4.1.3</w:t>
        </w:r>
        <w:r>
          <w:rPr>
            <w:rFonts w:asciiTheme="minorHAnsi" w:eastAsiaTheme="minorEastAsia" w:hAnsiTheme="minorHAnsi" w:cstheme="minorBidi"/>
            <w:noProof/>
            <w:sz w:val="22"/>
            <w:szCs w:val="22"/>
          </w:rPr>
          <w:tab/>
        </w:r>
        <w:r w:rsidRPr="001B13A4">
          <w:rPr>
            <w:rStyle w:val="Hyperlink"/>
            <w:noProof/>
          </w:rPr>
          <w:t>CustomUI Part</w:t>
        </w:r>
        <w:r>
          <w:rPr>
            <w:noProof/>
            <w:webHidden/>
          </w:rPr>
          <w:tab/>
        </w:r>
        <w:r>
          <w:rPr>
            <w:noProof/>
            <w:webHidden/>
          </w:rPr>
          <w:fldChar w:fldCharType="begin"/>
        </w:r>
        <w:r>
          <w:rPr>
            <w:noProof/>
            <w:webHidden/>
          </w:rPr>
          <w:instrText xml:space="preserve"> PAGEREF _Toc181685047 \h </w:instrText>
        </w:r>
        <w:r>
          <w:rPr>
            <w:noProof/>
            <w:webHidden/>
          </w:rPr>
        </w:r>
        <w:r>
          <w:rPr>
            <w:noProof/>
            <w:webHidden/>
          </w:rPr>
          <w:fldChar w:fldCharType="separate"/>
        </w:r>
        <w:r>
          <w:rPr>
            <w:noProof/>
            <w:webHidden/>
          </w:rPr>
          <w:t>856</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48" w:history="1">
        <w:r w:rsidRPr="001B13A4">
          <w:rPr>
            <w:rStyle w:val="Hyperlink"/>
            <w:noProof/>
          </w:rPr>
          <w:t>3.4.1.4</w:t>
        </w:r>
        <w:r>
          <w:rPr>
            <w:rFonts w:asciiTheme="minorHAnsi" w:eastAsiaTheme="minorEastAsia" w:hAnsiTheme="minorHAnsi" w:cstheme="minorBidi"/>
            <w:noProof/>
            <w:sz w:val="22"/>
            <w:szCs w:val="22"/>
          </w:rPr>
          <w:tab/>
        </w:r>
        <w:r w:rsidRPr="001B13A4">
          <w:rPr>
            <w:rStyle w:val="Hyperlink"/>
            <w:noProof/>
          </w:rPr>
          <w:t>CustomUI2 Part</w:t>
        </w:r>
        <w:r>
          <w:rPr>
            <w:noProof/>
            <w:webHidden/>
          </w:rPr>
          <w:tab/>
        </w:r>
        <w:r>
          <w:rPr>
            <w:noProof/>
            <w:webHidden/>
          </w:rPr>
          <w:fldChar w:fldCharType="begin"/>
        </w:r>
        <w:r>
          <w:rPr>
            <w:noProof/>
            <w:webHidden/>
          </w:rPr>
          <w:instrText xml:space="preserve"> PAGEREF _Toc181685048 \h </w:instrText>
        </w:r>
        <w:r>
          <w:rPr>
            <w:noProof/>
            <w:webHidden/>
          </w:rPr>
        </w:r>
        <w:r>
          <w:rPr>
            <w:noProof/>
            <w:webHidden/>
          </w:rPr>
          <w:fldChar w:fldCharType="separate"/>
        </w:r>
        <w:r>
          <w:rPr>
            <w:noProof/>
            <w:webHidden/>
          </w:rPr>
          <w:t>857</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49" w:history="1">
        <w:r w:rsidRPr="001B13A4">
          <w:rPr>
            <w:rStyle w:val="Hyperlink"/>
            <w:noProof/>
          </w:rPr>
          <w:t>3.4.1.5</w:t>
        </w:r>
        <w:r>
          <w:rPr>
            <w:rFonts w:asciiTheme="minorHAnsi" w:eastAsiaTheme="minorEastAsia" w:hAnsiTheme="minorHAnsi" w:cstheme="minorBidi"/>
            <w:noProof/>
            <w:sz w:val="22"/>
            <w:szCs w:val="22"/>
          </w:rPr>
          <w:tab/>
        </w:r>
        <w:r w:rsidRPr="001B13A4">
          <w:rPr>
            <w:rStyle w:val="Hyperlink"/>
            <w:noProof/>
          </w:rPr>
          <w:t>Sensitivity Label Information Part</w:t>
        </w:r>
        <w:r>
          <w:rPr>
            <w:noProof/>
            <w:webHidden/>
          </w:rPr>
          <w:tab/>
        </w:r>
        <w:r>
          <w:rPr>
            <w:noProof/>
            <w:webHidden/>
          </w:rPr>
          <w:fldChar w:fldCharType="begin"/>
        </w:r>
        <w:r>
          <w:rPr>
            <w:noProof/>
            <w:webHidden/>
          </w:rPr>
          <w:instrText xml:space="preserve"> PAGEREF _Toc181685049 \h </w:instrText>
        </w:r>
        <w:r>
          <w:rPr>
            <w:noProof/>
            <w:webHidden/>
          </w:rPr>
        </w:r>
        <w:r>
          <w:rPr>
            <w:noProof/>
            <w:webHidden/>
          </w:rPr>
          <w:fldChar w:fldCharType="separate"/>
        </w:r>
        <w:r>
          <w:rPr>
            <w:noProof/>
            <w:webHidden/>
          </w:rPr>
          <w:t>858</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050" w:history="1">
        <w:r w:rsidRPr="001B13A4">
          <w:rPr>
            <w:rStyle w:val="Hyperlink"/>
            <w:noProof/>
          </w:rPr>
          <w:t>3.5</w:t>
        </w:r>
        <w:r>
          <w:rPr>
            <w:rFonts w:asciiTheme="minorHAnsi" w:eastAsiaTheme="minorEastAsia" w:hAnsiTheme="minorHAnsi" w:cstheme="minorBidi"/>
            <w:noProof/>
            <w:sz w:val="22"/>
            <w:szCs w:val="22"/>
          </w:rPr>
          <w:tab/>
        </w:r>
        <w:r w:rsidRPr="001B13A4">
          <w:rPr>
            <w:rStyle w:val="Hyperlink"/>
            <w:noProof/>
          </w:rPr>
          <w:t>Office Well Defined Custom XML Parts</w:t>
        </w:r>
        <w:r>
          <w:rPr>
            <w:noProof/>
            <w:webHidden/>
          </w:rPr>
          <w:tab/>
        </w:r>
        <w:r>
          <w:rPr>
            <w:noProof/>
            <w:webHidden/>
          </w:rPr>
          <w:fldChar w:fldCharType="begin"/>
        </w:r>
        <w:r>
          <w:rPr>
            <w:noProof/>
            <w:webHidden/>
          </w:rPr>
          <w:instrText xml:space="preserve"> PAGEREF _Toc181685050 \h </w:instrText>
        </w:r>
        <w:r>
          <w:rPr>
            <w:noProof/>
            <w:webHidden/>
          </w:rPr>
        </w:r>
        <w:r>
          <w:rPr>
            <w:noProof/>
            <w:webHidden/>
          </w:rPr>
          <w:fldChar w:fldCharType="separate"/>
        </w:r>
        <w:r>
          <w:rPr>
            <w:noProof/>
            <w:webHidden/>
          </w:rPr>
          <w:t>859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51" w:history="1">
        <w:r w:rsidRPr="001B13A4">
          <w:rPr>
            <w:rStyle w:val="Hyperlink"/>
            <w:noProof/>
          </w:rPr>
          <w:t>3.5.1</w:t>
        </w:r>
        <w:r>
          <w:rPr>
            <w:rFonts w:asciiTheme="minorHAnsi" w:eastAsiaTheme="minorEastAsia" w:hAnsiTheme="minorHAnsi" w:cstheme="minorBidi"/>
            <w:noProof/>
            <w:sz w:val="22"/>
            <w:szCs w:val="22"/>
          </w:rPr>
          <w:tab/>
        </w:r>
        <w:r w:rsidRPr="001B13A4">
          <w:rPr>
            <w:rStyle w:val="Hyperlink"/>
            <w:noProof/>
          </w:rPr>
          <w:t>Cover Page Properties</w:t>
        </w:r>
        <w:r>
          <w:rPr>
            <w:noProof/>
            <w:webHidden/>
          </w:rPr>
          <w:tab/>
        </w:r>
        <w:r>
          <w:rPr>
            <w:noProof/>
            <w:webHidden/>
          </w:rPr>
          <w:fldChar w:fldCharType="begin"/>
        </w:r>
        <w:r>
          <w:rPr>
            <w:noProof/>
            <w:webHidden/>
          </w:rPr>
          <w:instrText xml:space="preserve"> PAGEREF _Toc181685051 \h </w:instrText>
        </w:r>
        <w:r>
          <w:rPr>
            <w:noProof/>
            <w:webHidden/>
          </w:rPr>
        </w:r>
        <w:r>
          <w:rPr>
            <w:noProof/>
            <w:webHidden/>
          </w:rPr>
          <w:fldChar w:fldCharType="separate"/>
        </w:r>
        <w:r>
          <w:rPr>
            <w:noProof/>
            <w:webHidden/>
          </w:rPr>
          <w:t>860</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52" w:history="1">
        <w:r w:rsidRPr="001B13A4">
          <w:rPr>
            <w:rStyle w:val="Hyperlink"/>
            <w:noProof/>
          </w:rPr>
          <w:t>3.5.1.1</w:t>
        </w:r>
        <w:r>
          <w:rPr>
            <w:rFonts w:asciiTheme="minorHAnsi" w:eastAsiaTheme="minorEastAsia" w:hAnsiTheme="minorHAnsi" w:cstheme="minorBidi"/>
            <w:noProof/>
            <w:sz w:val="22"/>
            <w:szCs w:val="22"/>
          </w:rPr>
          <w:tab/>
        </w:r>
        <w:r w:rsidRPr="001B13A4">
          <w:rPr>
            <w:rStyle w:val="Hyperlink"/>
            <w:noProof/>
          </w:rPr>
          <w:t>Cover Page Properties Schema</w:t>
        </w:r>
        <w:r>
          <w:rPr>
            <w:noProof/>
            <w:webHidden/>
          </w:rPr>
          <w:tab/>
        </w:r>
        <w:r>
          <w:rPr>
            <w:noProof/>
            <w:webHidden/>
          </w:rPr>
          <w:fldChar w:fldCharType="begin"/>
        </w:r>
        <w:r>
          <w:rPr>
            <w:noProof/>
            <w:webHidden/>
          </w:rPr>
          <w:instrText xml:space="preserve"> PAGEREF _Toc181685052 \h </w:instrText>
        </w:r>
        <w:r>
          <w:rPr>
            <w:noProof/>
            <w:webHidden/>
          </w:rPr>
        </w:r>
        <w:r>
          <w:rPr>
            <w:noProof/>
            <w:webHidden/>
          </w:rPr>
          <w:fldChar w:fldCharType="separate"/>
        </w:r>
        <w:r>
          <w:rPr>
            <w:noProof/>
            <w:webHidden/>
          </w:rPr>
          <w:t>860</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53" w:history="1">
        <w:r w:rsidRPr="001B13A4">
          <w:rPr>
            <w:rStyle w:val="Hyperlink"/>
            <w:noProof/>
          </w:rPr>
          <w:t>3.5.1.1.1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_Toc181685053 \h </w:instrText>
        </w:r>
        <w:r>
          <w:rPr>
            <w:noProof/>
            <w:webHidden/>
          </w:rPr>
        </w:r>
        <w:r>
          <w:rPr>
            <w:noProof/>
            <w:webHidden/>
          </w:rPr>
          <w:fldChar w:fldCharType="separate"/>
        </w:r>
        <w:r>
          <w:rPr>
            <w:noProof/>
            <w:webHidden/>
          </w:rPr>
          <w:t>860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54" w:history="1">
        <w:r w:rsidRPr="001B13A4">
          <w:rPr>
            <w:rStyle w:val="Hyperlink"/>
            <w:noProof/>
          </w:rPr>
          <w:t>3.5.1.1.1.1</w:t>
        </w:r>
        <w:r>
          <w:rPr>
            <w:rFonts w:asciiTheme="minorHAnsi" w:eastAsiaTheme="minorEastAsia" w:hAnsiTheme="minorHAnsi" w:cstheme="minorBidi"/>
            <w:noProof/>
            <w:sz w:val="22"/>
            <w:szCs w:val="22"/>
          </w:rPr>
          <w:tab/>
        </w:r>
        <w:r w:rsidRPr="001B13A4">
          <w:rPr>
            <w:rStyle w:val="Hyperlink"/>
            <w:noProof/>
          </w:rPr>
          <w:t>Abstract (Document Abstract)</w:t>
        </w:r>
        <w:r>
          <w:rPr>
            <w:noProof/>
            <w:webHidden/>
          </w:rPr>
          <w:tab/>
        </w:r>
        <w:r>
          <w:rPr>
            <w:noProof/>
            <w:webHidden/>
          </w:rPr>
          <w:fldChar w:fldCharType="begin"/>
        </w:r>
        <w:r>
          <w:rPr>
            <w:noProof/>
            <w:webHidden/>
          </w:rPr>
          <w:instrText xml:space="preserve"> PAGEREF _Toc181685054 \h </w:instrText>
        </w:r>
        <w:r>
          <w:rPr>
            <w:noProof/>
            <w:webHidden/>
          </w:rPr>
        </w:r>
        <w:r>
          <w:rPr>
            <w:noProof/>
            <w:webHidden/>
          </w:rPr>
          <w:fldChar w:fldCharType="separate"/>
        </w:r>
        <w:r>
          <w:rPr>
            <w:noProof/>
            <w:webHidden/>
          </w:rPr>
          <w:t>860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55" w:history="1">
        <w:r w:rsidRPr="001B13A4">
          <w:rPr>
            <w:rStyle w:val="Hyperlink"/>
            <w:noProof/>
          </w:rPr>
          <w:t>3.5.1.1.1.2</w:t>
        </w:r>
        <w:r>
          <w:rPr>
            <w:rFonts w:asciiTheme="minorHAnsi" w:eastAsiaTheme="minorEastAsia" w:hAnsiTheme="minorHAnsi" w:cstheme="minorBidi"/>
            <w:noProof/>
            <w:sz w:val="22"/>
            <w:szCs w:val="22"/>
          </w:rPr>
          <w:tab/>
        </w:r>
        <w:r w:rsidRPr="001B13A4">
          <w:rPr>
            <w:rStyle w:val="Hyperlink"/>
            <w:noProof/>
          </w:rPr>
          <w:t>CompanyAddress (Company Address)</w:t>
        </w:r>
        <w:r>
          <w:rPr>
            <w:noProof/>
            <w:webHidden/>
          </w:rPr>
          <w:tab/>
        </w:r>
        <w:r>
          <w:rPr>
            <w:noProof/>
            <w:webHidden/>
          </w:rPr>
          <w:fldChar w:fldCharType="begin"/>
        </w:r>
        <w:r>
          <w:rPr>
            <w:noProof/>
            <w:webHidden/>
          </w:rPr>
          <w:instrText xml:space="preserve"> PAGEREF _Toc181685055 \h </w:instrText>
        </w:r>
        <w:r>
          <w:rPr>
            <w:noProof/>
            <w:webHidden/>
          </w:rPr>
        </w:r>
        <w:r>
          <w:rPr>
            <w:noProof/>
            <w:webHidden/>
          </w:rPr>
          <w:fldChar w:fldCharType="separate"/>
        </w:r>
        <w:r>
          <w:rPr>
            <w:noProof/>
            <w:webHidden/>
          </w:rPr>
          <w:t>860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56" w:history="1">
        <w:r w:rsidRPr="001B13A4">
          <w:rPr>
            <w:rStyle w:val="Hyperlink"/>
            <w:noProof/>
          </w:rPr>
          <w:t>3.5.1.1.1.3</w:t>
        </w:r>
        <w:r>
          <w:rPr>
            <w:rFonts w:asciiTheme="minorHAnsi" w:eastAsiaTheme="minorEastAsia" w:hAnsiTheme="minorHAnsi" w:cstheme="minorBidi"/>
            <w:noProof/>
            <w:sz w:val="22"/>
            <w:szCs w:val="22"/>
          </w:rPr>
          <w:tab/>
        </w:r>
        <w:r w:rsidRPr="001B13A4">
          <w:rPr>
            <w:rStyle w:val="Hyperlink"/>
            <w:noProof/>
          </w:rPr>
          <w:t>CompanyEmail (Company Email Address)</w:t>
        </w:r>
        <w:r>
          <w:rPr>
            <w:noProof/>
            <w:webHidden/>
          </w:rPr>
          <w:tab/>
        </w:r>
        <w:r>
          <w:rPr>
            <w:noProof/>
            <w:webHidden/>
          </w:rPr>
          <w:fldChar w:fldCharType="begin"/>
        </w:r>
        <w:r>
          <w:rPr>
            <w:noProof/>
            <w:webHidden/>
          </w:rPr>
          <w:instrText xml:space="preserve"> PAGEREF _Toc181685056 \h </w:instrText>
        </w:r>
        <w:r>
          <w:rPr>
            <w:noProof/>
            <w:webHidden/>
          </w:rPr>
        </w:r>
        <w:r>
          <w:rPr>
            <w:noProof/>
            <w:webHidden/>
          </w:rPr>
          <w:fldChar w:fldCharType="separate"/>
        </w:r>
        <w:r>
          <w:rPr>
            <w:noProof/>
            <w:webHidden/>
          </w:rPr>
          <w:t>860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57" w:history="1">
        <w:r w:rsidRPr="001B13A4">
          <w:rPr>
            <w:rStyle w:val="Hyperlink"/>
            <w:noProof/>
          </w:rPr>
          <w:t>3.5.1.1.1.4</w:t>
        </w:r>
        <w:r>
          <w:rPr>
            <w:rFonts w:asciiTheme="minorHAnsi" w:eastAsiaTheme="minorEastAsia" w:hAnsiTheme="minorHAnsi" w:cstheme="minorBidi"/>
            <w:noProof/>
            <w:sz w:val="22"/>
            <w:szCs w:val="22"/>
          </w:rPr>
          <w:tab/>
        </w:r>
        <w:r w:rsidRPr="001B13A4">
          <w:rPr>
            <w:rStyle w:val="Hyperlink"/>
            <w:noProof/>
          </w:rPr>
          <w:t>CompanyFax (Company Fax Number)</w:t>
        </w:r>
        <w:r>
          <w:rPr>
            <w:noProof/>
            <w:webHidden/>
          </w:rPr>
          <w:tab/>
        </w:r>
        <w:r>
          <w:rPr>
            <w:noProof/>
            <w:webHidden/>
          </w:rPr>
          <w:fldChar w:fldCharType="begin"/>
        </w:r>
        <w:r>
          <w:rPr>
            <w:noProof/>
            <w:webHidden/>
          </w:rPr>
          <w:instrText xml:space="preserve"> PAGEREF _Toc181685057 \h </w:instrText>
        </w:r>
        <w:r>
          <w:rPr>
            <w:noProof/>
            <w:webHidden/>
          </w:rPr>
        </w:r>
        <w:r>
          <w:rPr>
            <w:noProof/>
            <w:webHidden/>
          </w:rPr>
          <w:fldChar w:fldCharType="separate"/>
        </w:r>
        <w:r>
          <w:rPr>
            <w:noProof/>
            <w:webHidden/>
          </w:rPr>
          <w:t>860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58" w:history="1">
        <w:r w:rsidRPr="001B13A4">
          <w:rPr>
            <w:rStyle w:val="Hyperlink"/>
            <w:noProof/>
          </w:rPr>
          <w:t>3.5.1.1.1.5</w:t>
        </w:r>
        <w:r>
          <w:rPr>
            <w:rFonts w:asciiTheme="minorHAnsi" w:eastAsiaTheme="minorEastAsia" w:hAnsiTheme="minorHAnsi" w:cstheme="minorBidi"/>
            <w:noProof/>
            <w:sz w:val="22"/>
            <w:szCs w:val="22"/>
          </w:rPr>
          <w:tab/>
        </w:r>
        <w:r w:rsidRPr="001B13A4">
          <w:rPr>
            <w:rStyle w:val="Hyperlink"/>
            <w:noProof/>
          </w:rPr>
          <w:t>CompanyPhone (Company Phone Number)</w:t>
        </w:r>
        <w:r>
          <w:rPr>
            <w:noProof/>
            <w:webHidden/>
          </w:rPr>
          <w:tab/>
        </w:r>
        <w:r>
          <w:rPr>
            <w:noProof/>
            <w:webHidden/>
          </w:rPr>
          <w:fldChar w:fldCharType="begin"/>
        </w:r>
        <w:r>
          <w:rPr>
            <w:noProof/>
            <w:webHidden/>
          </w:rPr>
          <w:instrText xml:space="preserve"> PAGEREF _Toc181685058 \h </w:instrText>
        </w:r>
        <w:r>
          <w:rPr>
            <w:noProof/>
            <w:webHidden/>
          </w:rPr>
        </w:r>
        <w:r>
          <w:rPr>
            <w:noProof/>
            <w:webHidden/>
          </w:rPr>
          <w:fldChar w:fldCharType="separate"/>
        </w:r>
        <w:r>
          <w:rPr>
            <w:noProof/>
            <w:webHidden/>
          </w:rPr>
          <w:t>861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59" w:history="1">
        <w:r w:rsidRPr="001B13A4">
          <w:rPr>
            <w:rStyle w:val="Hyperlink"/>
            <w:noProof/>
          </w:rPr>
          <w:t>3.5.1.1.1.6</w:t>
        </w:r>
        <w:r>
          <w:rPr>
            <w:rFonts w:asciiTheme="minorHAnsi" w:eastAsiaTheme="minorEastAsia" w:hAnsiTheme="minorHAnsi" w:cstheme="minorBidi"/>
            <w:noProof/>
            <w:sz w:val="22"/>
            <w:szCs w:val="22"/>
          </w:rPr>
          <w:tab/>
        </w:r>
        <w:r w:rsidRPr="001B13A4">
          <w:rPr>
            <w:rStyle w:val="Hyperlink"/>
            <w:noProof/>
          </w:rPr>
          <w:t>CoverPageProperties (Cover Page Properties)</w:t>
        </w:r>
        <w:r>
          <w:rPr>
            <w:noProof/>
            <w:webHidden/>
          </w:rPr>
          <w:tab/>
        </w:r>
        <w:r>
          <w:rPr>
            <w:noProof/>
            <w:webHidden/>
          </w:rPr>
          <w:fldChar w:fldCharType="begin"/>
        </w:r>
        <w:r>
          <w:rPr>
            <w:noProof/>
            <w:webHidden/>
          </w:rPr>
          <w:instrText xml:space="preserve"> PAGEREF _Toc181685059 \h </w:instrText>
        </w:r>
        <w:r>
          <w:rPr>
            <w:noProof/>
            <w:webHidden/>
          </w:rPr>
        </w:r>
        <w:r>
          <w:rPr>
            <w:noProof/>
            <w:webHidden/>
          </w:rPr>
          <w:fldChar w:fldCharType="separate"/>
        </w:r>
        <w:r>
          <w:rPr>
            <w:noProof/>
            <w:webHidden/>
          </w:rPr>
          <w:t>861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60" w:history="1">
        <w:r w:rsidRPr="001B13A4">
          <w:rPr>
            <w:rStyle w:val="Hyperlink"/>
            <w:noProof/>
          </w:rPr>
          <w:t>3.5.1.1.1.7</w:t>
        </w:r>
        <w:r>
          <w:rPr>
            <w:rFonts w:asciiTheme="minorHAnsi" w:eastAsiaTheme="minorEastAsia" w:hAnsiTheme="minorHAnsi" w:cstheme="minorBidi"/>
            <w:noProof/>
            <w:sz w:val="22"/>
            <w:szCs w:val="22"/>
          </w:rPr>
          <w:tab/>
        </w:r>
        <w:r w:rsidRPr="001B13A4">
          <w:rPr>
            <w:rStyle w:val="Hyperlink"/>
            <w:noProof/>
          </w:rPr>
          <w:t>PublishDate (Document Publish Date)</w:t>
        </w:r>
        <w:r>
          <w:rPr>
            <w:noProof/>
            <w:webHidden/>
          </w:rPr>
          <w:tab/>
        </w:r>
        <w:r>
          <w:rPr>
            <w:noProof/>
            <w:webHidden/>
          </w:rPr>
          <w:fldChar w:fldCharType="begin"/>
        </w:r>
        <w:r>
          <w:rPr>
            <w:noProof/>
            <w:webHidden/>
          </w:rPr>
          <w:instrText xml:space="preserve"> PAGEREF _Toc181685060 \h </w:instrText>
        </w:r>
        <w:r>
          <w:rPr>
            <w:noProof/>
            <w:webHidden/>
          </w:rPr>
        </w:r>
        <w:r>
          <w:rPr>
            <w:noProof/>
            <w:webHidden/>
          </w:rPr>
          <w:fldChar w:fldCharType="separate"/>
        </w:r>
        <w:r>
          <w:rPr>
            <w:noProof/>
            <w:webHidden/>
          </w:rPr>
          <w:t>861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61" w:history="1">
        <w:r w:rsidRPr="001B13A4">
          <w:rPr>
            <w:rStyle w:val="Hyperlink"/>
            <w:noProof/>
          </w:rPr>
          <w:t>3.5.1.1.2</w:t>
        </w:r>
        <w:r>
          <w:rPr>
            <w:rFonts w:asciiTheme="minorHAnsi" w:eastAsiaTheme="minorEastAsia" w:hAnsiTheme="minorHAnsi" w:cstheme="minorBidi"/>
            <w:noProof/>
            <w:sz w:val="22"/>
            <w:szCs w:val="22"/>
          </w:rPr>
          <w:tab/>
        </w:r>
        <w:r w:rsidRPr="001B13A4">
          <w:rPr>
            <w:rStyle w:val="Hyperlink"/>
            <w:noProof/>
          </w:rPr>
          <w:t>Simple Types</w:t>
        </w:r>
        <w:r>
          <w:rPr>
            <w:noProof/>
            <w:webHidden/>
          </w:rPr>
          <w:tab/>
        </w:r>
        <w:r>
          <w:rPr>
            <w:noProof/>
            <w:webHidden/>
          </w:rPr>
          <w:fldChar w:fldCharType="begin"/>
        </w:r>
        <w:r>
          <w:rPr>
            <w:noProof/>
            <w:webHidden/>
          </w:rPr>
          <w:instrText xml:space="preserve"> PAGEREF _Toc181685061 \h </w:instrText>
        </w:r>
        <w:r>
          <w:rPr>
            <w:noProof/>
            <w:webHidden/>
          </w:rPr>
        </w:r>
        <w:r>
          <w:rPr>
            <w:noProof/>
            <w:webHidden/>
          </w:rPr>
          <w:fldChar w:fldCharType="separate"/>
        </w:r>
        <w:r>
          <w:rPr>
            <w:noProof/>
            <w:webHidden/>
          </w:rPr>
          <w:t>862</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62" w:history="1">
        <w:r w:rsidRPr="001B13A4">
          <w:rPr>
            <w:rStyle w:val="Hyperlink"/>
            <w:noProof/>
          </w:rPr>
          <w:t>3.5.1.1.2.1</w:t>
        </w:r>
        <w:r>
          <w:rPr>
            <w:rFonts w:asciiTheme="minorHAnsi" w:eastAsiaTheme="minorEastAsia" w:hAnsiTheme="minorHAnsi" w:cstheme="minorBidi"/>
            <w:noProof/>
            <w:sz w:val="22"/>
            <w:szCs w:val="22"/>
          </w:rPr>
          <w:tab/>
        </w:r>
        <w:r w:rsidRPr="001B13A4">
          <w:rPr>
            <w:rStyle w:val="Hyperlink"/>
            <w:noProof/>
          </w:rPr>
          <w:t>ST_PublishDate (Publish Date Value)</w:t>
        </w:r>
        <w:r>
          <w:rPr>
            <w:noProof/>
            <w:webHidden/>
          </w:rPr>
          <w:tab/>
        </w:r>
        <w:r>
          <w:rPr>
            <w:noProof/>
            <w:webHidden/>
          </w:rPr>
          <w:fldChar w:fldCharType="begin"/>
        </w:r>
        <w:r>
          <w:rPr>
            <w:noProof/>
            <w:webHidden/>
          </w:rPr>
          <w:instrText xml:space="preserve"> PAGEREF _Toc181685062 \h </w:instrText>
        </w:r>
        <w:r>
          <w:rPr>
            <w:noProof/>
            <w:webHidden/>
          </w:rPr>
        </w:r>
        <w:r>
          <w:rPr>
            <w:noProof/>
            <w:webHidden/>
          </w:rPr>
          <w:fldChar w:fldCharType="separate"/>
        </w:r>
        <w:r>
          <w:rPr>
            <w:noProof/>
            <w:webHidden/>
          </w:rPr>
          <w:t>862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63" w:history="1">
        <w:r w:rsidRPr="001B13A4">
          <w:rPr>
            <w:rStyle w:val="Hyperlink"/>
            <w:noProof/>
          </w:rPr>
          <w:t>3.5.2</w:t>
        </w:r>
        <w:r>
          <w:rPr>
            <w:rFonts w:asciiTheme="minorHAnsi" w:eastAsiaTheme="minorEastAsia" w:hAnsiTheme="minorHAnsi" w:cstheme="minorBidi"/>
            <w:noProof/>
            <w:sz w:val="22"/>
            <w:szCs w:val="22"/>
          </w:rPr>
          <w:tab/>
        </w:r>
        <w:r w:rsidRPr="001B13A4">
          <w:rPr>
            <w:rStyle w:val="Hyperlink"/>
            <w:noProof/>
          </w:rPr>
          <w:t>Content Type Schemas</w:t>
        </w:r>
        <w:r>
          <w:rPr>
            <w:noProof/>
            <w:webHidden/>
          </w:rPr>
          <w:tab/>
        </w:r>
        <w:r>
          <w:rPr>
            <w:noProof/>
            <w:webHidden/>
          </w:rPr>
          <w:fldChar w:fldCharType="begin"/>
        </w:r>
        <w:r>
          <w:rPr>
            <w:noProof/>
            <w:webHidden/>
          </w:rPr>
          <w:instrText xml:space="preserve"> PAGEREF _Toc181685063 \h </w:instrText>
        </w:r>
        <w:r>
          <w:rPr>
            <w:noProof/>
            <w:webHidden/>
          </w:rPr>
        </w:r>
        <w:r>
          <w:rPr>
            <w:noProof/>
            <w:webHidden/>
          </w:rPr>
          <w:fldChar w:fldCharType="separate"/>
        </w:r>
        <w:r>
          <w:rPr>
            <w:noProof/>
            <w:webHidden/>
          </w:rPr>
          <w:t>862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64" w:history="1">
        <w:r w:rsidRPr="001B13A4">
          <w:rPr>
            <w:rStyle w:val="Hyperlink"/>
            <w:noProof/>
          </w:rPr>
          <w:t>3.5.2.1</w:t>
        </w:r>
        <w:r>
          <w:rPr>
            <w:rFonts w:asciiTheme="minorHAnsi" w:eastAsiaTheme="minorEastAsia" w:hAnsiTheme="minorHAnsi" w:cstheme="minorBidi"/>
            <w:noProof/>
            <w:sz w:val="22"/>
            <w:szCs w:val="22"/>
          </w:rPr>
          <w:tab/>
        </w:r>
        <w:r w:rsidRPr="001B13A4">
          <w:rPr>
            <w:rStyle w:val="Hyperlink"/>
            <w:noProof/>
          </w:rPr>
          <w:t>Content Type Schemas Schema</w:t>
        </w:r>
        <w:r>
          <w:rPr>
            <w:noProof/>
            <w:webHidden/>
          </w:rPr>
          <w:tab/>
        </w:r>
        <w:r>
          <w:rPr>
            <w:noProof/>
            <w:webHidden/>
          </w:rPr>
          <w:fldChar w:fldCharType="begin"/>
        </w:r>
        <w:r>
          <w:rPr>
            <w:noProof/>
            <w:webHidden/>
          </w:rPr>
          <w:instrText xml:space="preserve"> PAGEREF _Toc181685064 \h </w:instrText>
        </w:r>
        <w:r>
          <w:rPr>
            <w:noProof/>
            <w:webHidden/>
          </w:rPr>
        </w:r>
        <w:r>
          <w:rPr>
            <w:noProof/>
            <w:webHidden/>
          </w:rPr>
          <w:fldChar w:fldCharType="separate"/>
        </w:r>
        <w:r>
          <w:rPr>
            <w:noProof/>
            <w:webHidden/>
          </w:rPr>
          <w:t>863</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65" w:history="1">
        <w:r w:rsidRPr="001B13A4">
          <w:rPr>
            <w:rStyle w:val="Hyperlink"/>
            <w:noProof/>
          </w:rPr>
          <w:t>3.5.2.1.1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_Toc181685065 \h </w:instrText>
        </w:r>
        <w:r>
          <w:rPr>
            <w:noProof/>
            <w:webHidden/>
          </w:rPr>
        </w:r>
        <w:r>
          <w:rPr>
            <w:noProof/>
            <w:webHidden/>
          </w:rPr>
          <w:fldChar w:fldCharType="separate"/>
        </w:r>
        <w:r>
          <w:rPr>
            <w:noProof/>
            <w:webHidden/>
          </w:rPr>
          <w:t>863</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66" w:history="1">
        <w:r w:rsidRPr="001B13A4">
          <w:rPr>
            <w:rStyle w:val="Hyperlink"/>
            <w:noProof/>
          </w:rPr>
          <w:t>3.5.2.1.1.1</w:t>
        </w:r>
        <w:r>
          <w:rPr>
            <w:rFonts w:asciiTheme="minorHAnsi" w:eastAsiaTheme="minorEastAsia" w:hAnsiTheme="minorHAnsi" w:cstheme="minorBidi"/>
            <w:noProof/>
            <w:sz w:val="22"/>
            <w:szCs w:val="22"/>
          </w:rPr>
          <w:tab/>
        </w:r>
        <w:r w:rsidRPr="001B13A4">
          <w:rPr>
            <w:rStyle w:val="Hyperlink"/>
            <w:noProof/>
          </w:rPr>
          <w:t>contentTypeSchema (Schema for Content Type)</w:t>
        </w:r>
        <w:r>
          <w:rPr>
            <w:noProof/>
            <w:webHidden/>
          </w:rPr>
          <w:tab/>
        </w:r>
        <w:r>
          <w:rPr>
            <w:noProof/>
            <w:webHidden/>
          </w:rPr>
          <w:fldChar w:fldCharType="begin"/>
        </w:r>
        <w:r>
          <w:rPr>
            <w:noProof/>
            <w:webHidden/>
          </w:rPr>
          <w:instrText xml:space="preserve"> PAGEREF _Toc181685066 \h </w:instrText>
        </w:r>
        <w:r>
          <w:rPr>
            <w:noProof/>
            <w:webHidden/>
          </w:rPr>
        </w:r>
        <w:r>
          <w:rPr>
            <w:noProof/>
            <w:webHidden/>
          </w:rPr>
          <w:fldChar w:fldCharType="separate"/>
        </w:r>
        <w:r>
          <w:rPr>
            <w:noProof/>
            <w:webHidden/>
          </w:rPr>
          <w:t>863</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67" w:history="1">
        <w:r w:rsidRPr="001B13A4">
          <w:rPr>
            <w:rStyle w:val="Hyperlink"/>
            <w:noProof/>
          </w:rPr>
          <w:t>3.5.2.2</w:t>
        </w:r>
        <w:r>
          <w:rPr>
            <w:rFonts w:asciiTheme="minorHAnsi" w:eastAsiaTheme="minorEastAsia" w:hAnsiTheme="minorHAnsi" w:cstheme="minorBidi"/>
            <w:noProof/>
            <w:sz w:val="22"/>
            <w:szCs w:val="22"/>
          </w:rPr>
          <w:tab/>
        </w:r>
        <w:r w:rsidRPr="001B13A4">
          <w:rPr>
            <w:rStyle w:val="Hyperlink"/>
            <w:noProof/>
          </w:rPr>
          <w:t>Metadata Attributes</w:t>
        </w:r>
        <w:r>
          <w:rPr>
            <w:noProof/>
            <w:webHidden/>
          </w:rPr>
          <w:tab/>
        </w:r>
        <w:r>
          <w:rPr>
            <w:noProof/>
            <w:webHidden/>
          </w:rPr>
          <w:fldChar w:fldCharType="begin"/>
        </w:r>
        <w:r>
          <w:rPr>
            <w:noProof/>
            <w:webHidden/>
          </w:rPr>
          <w:instrText xml:space="preserve"> PAGEREF _Toc181685067 \h </w:instrText>
        </w:r>
        <w:r>
          <w:rPr>
            <w:noProof/>
            <w:webHidden/>
          </w:rPr>
        </w:r>
        <w:r>
          <w:rPr>
            <w:noProof/>
            <w:webHidden/>
          </w:rPr>
          <w:fldChar w:fldCharType="separate"/>
        </w:r>
        <w:r>
          <w:rPr>
            <w:noProof/>
            <w:webHidden/>
          </w:rPr>
          <w:t>866</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68" w:history="1">
        <w:r w:rsidRPr="001B13A4">
          <w:rPr>
            <w:rStyle w:val="Hyperlink"/>
            <w:noProof/>
          </w:rPr>
          <w:t>3.5.2.2.1</w:t>
        </w:r>
        <w:r>
          <w:rPr>
            <w:rFonts w:asciiTheme="minorHAnsi" w:eastAsiaTheme="minorEastAsia" w:hAnsiTheme="minorHAnsi" w:cstheme="minorBidi"/>
            <w:noProof/>
            <w:sz w:val="22"/>
            <w:szCs w:val="22"/>
          </w:rPr>
          <w:tab/>
        </w:r>
        <w:r w:rsidRPr="001B13A4">
          <w:rPr>
            <w:rStyle w:val="Hyperlink"/>
            <w:noProof/>
          </w:rPr>
          <w:t>Shared Attributes (Content Type Schemas)</w:t>
        </w:r>
        <w:r>
          <w:rPr>
            <w:noProof/>
            <w:webHidden/>
          </w:rPr>
          <w:tab/>
        </w:r>
        <w:r>
          <w:rPr>
            <w:noProof/>
            <w:webHidden/>
          </w:rPr>
          <w:fldChar w:fldCharType="begin"/>
        </w:r>
        <w:r>
          <w:rPr>
            <w:noProof/>
            <w:webHidden/>
          </w:rPr>
          <w:instrText xml:space="preserve"> PAGEREF _Toc181685068 \h </w:instrText>
        </w:r>
        <w:r>
          <w:rPr>
            <w:noProof/>
            <w:webHidden/>
          </w:rPr>
        </w:r>
        <w:r>
          <w:rPr>
            <w:noProof/>
            <w:webHidden/>
          </w:rPr>
          <w:fldChar w:fldCharType="separate"/>
        </w:r>
        <w:r>
          <w:rPr>
            <w:noProof/>
            <w:webHidden/>
          </w:rPr>
          <w:t>866</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69" w:history="1">
        <w:r w:rsidRPr="001B13A4">
          <w:rPr>
            <w:rStyle w:val="Hyperlink"/>
            <w:noProof/>
          </w:rPr>
          <w:t>3.5.2.2.2</w:t>
        </w:r>
        <w:r>
          <w:rPr>
            <w:rFonts w:asciiTheme="minorHAnsi" w:eastAsiaTheme="minorEastAsia" w:hAnsiTheme="minorHAnsi" w:cstheme="minorBidi"/>
            <w:noProof/>
            <w:sz w:val="22"/>
            <w:szCs w:val="22"/>
          </w:rPr>
          <w:tab/>
        </w:r>
        <w:r w:rsidRPr="001B13A4">
          <w:rPr>
            <w:rStyle w:val="Hyperlink"/>
            <w:noProof/>
          </w:rPr>
          <w:t>Simple Types</w:t>
        </w:r>
        <w:r>
          <w:rPr>
            <w:noProof/>
            <w:webHidden/>
          </w:rPr>
          <w:tab/>
        </w:r>
        <w:r>
          <w:rPr>
            <w:noProof/>
            <w:webHidden/>
          </w:rPr>
          <w:fldChar w:fldCharType="begin"/>
        </w:r>
        <w:r>
          <w:rPr>
            <w:noProof/>
            <w:webHidden/>
          </w:rPr>
          <w:instrText xml:space="preserve"> PAGEREF _Toc181685069 \h </w:instrText>
        </w:r>
        <w:r>
          <w:rPr>
            <w:noProof/>
            <w:webHidden/>
          </w:rPr>
        </w:r>
        <w:r>
          <w:rPr>
            <w:noProof/>
            <w:webHidden/>
          </w:rPr>
          <w:fldChar w:fldCharType="separate"/>
        </w:r>
        <w:r>
          <w:rPr>
            <w:noProof/>
            <w:webHidden/>
          </w:rPr>
          <w:t>873</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70" w:history="1">
        <w:r w:rsidRPr="001B13A4">
          <w:rPr>
            <w:rStyle w:val="Hyperlink"/>
            <w:noProof/>
          </w:rPr>
          <w:t>3.5.2.2.2.1</w:t>
        </w:r>
        <w:r>
          <w:rPr>
            <w:rFonts w:asciiTheme="minorHAnsi" w:eastAsiaTheme="minorEastAsia" w:hAnsiTheme="minorHAnsi" w:cstheme="minorBidi"/>
            <w:noProof/>
            <w:sz w:val="22"/>
            <w:szCs w:val="22"/>
          </w:rPr>
          <w:tab/>
        </w:r>
        <w:r w:rsidRPr="001B13A4">
          <w:rPr>
            <w:rStyle w:val="Hyperlink"/>
            <w:noProof/>
          </w:rPr>
          <w:t>ST_ContentTypeId (Content Type ID)</w:t>
        </w:r>
        <w:r>
          <w:rPr>
            <w:noProof/>
            <w:webHidden/>
          </w:rPr>
          <w:tab/>
        </w:r>
        <w:r>
          <w:rPr>
            <w:noProof/>
            <w:webHidden/>
          </w:rPr>
          <w:fldChar w:fldCharType="begin"/>
        </w:r>
        <w:r>
          <w:rPr>
            <w:noProof/>
            <w:webHidden/>
          </w:rPr>
          <w:instrText xml:space="preserve"> PAGEREF _Toc181685070 \h </w:instrText>
        </w:r>
        <w:r>
          <w:rPr>
            <w:noProof/>
            <w:webHidden/>
          </w:rPr>
        </w:r>
        <w:r>
          <w:rPr>
            <w:noProof/>
            <w:webHidden/>
          </w:rPr>
          <w:fldChar w:fldCharType="separate"/>
        </w:r>
        <w:r>
          <w:rPr>
            <w:noProof/>
            <w:webHidden/>
          </w:rPr>
          <w:t>873</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71" w:history="1">
        <w:r w:rsidRPr="001B13A4">
          <w:rPr>
            <w:rStyle w:val="Hyperlink"/>
            <w:noProof/>
          </w:rPr>
          <w:t>3.5.2.2.2.2</w:t>
        </w:r>
        <w:r>
          <w:rPr>
            <w:rFonts w:asciiTheme="minorHAnsi" w:eastAsiaTheme="minorEastAsia" w:hAnsiTheme="minorHAnsi" w:cstheme="minorBidi"/>
            <w:noProof/>
            <w:sz w:val="22"/>
            <w:szCs w:val="22"/>
          </w:rPr>
          <w:tab/>
        </w:r>
        <w:r w:rsidRPr="001B13A4">
          <w:rPr>
            <w:rStyle w:val="Hyperlink"/>
            <w:noProof/>
          </w:rPr>
          <w:t>ST_IntNonNegative (Non-Negative Integer)</w:t>
        </w:r>
        <w:r>
          <w:rPr>
            <w:noProof/>
            <w:webHidden/>
          </w:rPr>
          <w:tab/>
        </w:r>
        <w:r>
          <w:rPr>
            <w:noProof/>
            <w:webHidden/>
          </w:rPr>
          <w:fldChar w:fldCharType="begin"/>
        </w:r>
        <w:r>
          <w:rPr>
            <w:noProof/>
            <w:webHidden/>
          </w:rPr>
          <w:instrText xml:space="preserve"> PAGEREF _Toc181685071 \h </w:instrText>
        </w:r>
        <w:r>
          <w:rPr>
            <w:noProof/>
            <w:webHidden/>
          </w:rPr>
        </w:r>
        <w:r>
          <w:rPr>
            <w:noProof/>
            <w:webHidden/>
          </w:rPr>
          <w:fldChar w:fldCharType="separate"/>
        </w:r>
        <w:r>
          <w:rPr>
            <w:noProof/>
            <w:webHidden/>
          </w:rPr>
          <w:t>873</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72" w:history="1">
        <w:r w:rsidRPr="001B13A4">
          <w:rPr>
            <w:rStyle w:val="Hyperlink"/>
            <w:noProof/>
          </w:rPr>
          <w:t>3.5.2.2.2.3</w:t>
        </w:r>
        <w:r>
          <w:rPr>
            <w:rFonts w:asciiTheme="minorHAnsi" w:eastAsiaTheme="minorEastAsia" w:hAnsiTheme="minorHAnsi" w:cstheme="minorBidi"/>
            <w:noProof/>
            <w:sz w:val="22"/>
            <w:szCs w:val="22"/>
          </w:rPr>
          <w:tab/>
        </w:r>
        <w:r w:rsidRPr="001B13A4">
          <w:rPr>
            <w:rStyle w:val="Hyperlink"/>
            <w:noProof/>
          </w:rPr>
          <w:t>ST_TrueOnly (True Only)</w:t>
        </w:r>
        <w:r>
          <w:rPr>
            <w:noProof/>
            <w:webHidden/>
          </w:rPr>
          <w:tab/>
        </w:r>
        <w:r>
          <w:rPr>
            <w:noProof/>
            <w:webHidden/>
          </w:rPr>
          <w:fldChar w:fldCharType="begin"/>
        </w:r>
        <w:r>
          <w:rPr>
            <w:noProof/>
            <w:webHidden/>
          </w:rPr>
          <w:instrText xml:space="preserve"> PAGEREF _Toc181685072 \h </w:instrText>
        </w:r>
        <w:r>
          <w:rPr>
            <w:noProof/>
            <w:webHidden/>
          </w:rPr>
        </w:r>
        <w:r>
          <w:rPr>
            <w:noProof/>
            <w:webHidden/>
          </w:rPr>
          <w:fldChar w:fldCharType="separate"/>
        </w:r>
        <w:r>
          <w:rPr>
            <w:noProof/>
            <w:webHidden/>
          </w:rPr>
          <w:t>874</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73" w:history="1">
        <w:r w:rsidRPr="001B13A4">
          <w:rPr>
            <w:rStyle w:val="Hyperlink"/>
            <w:noProof/>
          </w:rPr>
          <w:t>3.5.2.2.2.4</w:t>
        </w:r>
        <w:r>
          <w:rPr>
            <w:rFonts w:asciiTheme="minorHAnsi" w:eastAsiaTheme="minorEastAsia" w:hAnsiTheme="minorHAnsi" w:cstheme="minorBidi"/>
            <w:noProof/>
            <w:sz w:val="22"/>
            <w:szCs w:val="22"/>
          </w:rPr>
          <w:tab/>
        </w:r>
        <w:r w:rsidRPr="001B13A4">
          <w:rPr>
            <w:rStyle w:val="Hyperlink"/>
            <w:noProof/>
          </w:rPr>
          <w:t>ST_UniqueIdentifier ()</w:t>
        </w:r>
        <w:r>
          <w:rPr>
            <w:noProof/>
            <w:webHidden/>
          </w:rPr>
          <w:tab/>
        </w:r>
        <w:r>
          <w:rPr>
            <w:noProof/>
            <w:webHidden/>
          </w:rPr>
          <w:fldChar w:fldCharType="begin"/>
        </w:r>
        <w:r>
          <w:rPr>
            <w:noProof/>
            <w:webHidden/>
          </w:rPr>
          <w:instrText xml:space="preserve"> PAGEREF _Toc181685073 \h </w:instrText>
        </w:r>
        <w:r>
          <w:rPr>
            <w:noProof/>
            <w:webHidden/>
          </w:rPr>
        </w:r>
        <w:r>
          <w:rPr>
            <w:noProof/>
            <w:webHidden/>
          </w:rPr>
          <w:fldChar w:fldCharType="separate"/>
        </w:r>
        <w:r>
          <w:rPr>
            <w:noProof/>
            <w:webHidden/>
          </w:rPr>
          <w:t>874</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74" w:history="1">
        <w:r w:rsidRPr="001B13A4">
          <w:rPr>
            <w:rStyle w:val="Hyperlink"/>
            <w:noProof/>
          </w:rPr>
          <w:t>3.5.2.2.2.5</w:t>
        </w:r>
        <w:r>
          <w:rPr>
            <w:rFonts w:asciiTheme="minorHAnsi" w:eastAsiaTheme="minorEastAsia" w:hAnsiTheme="minorHAnsi" w:cstheme="minorBidi"/>
            <w:noProof/>
            <w:sz w:val="22"/>
            <w:szCs w:val="22"/>
          </w:rPr>
          <w:tab/>
        </w:r>
        <w:r w:rsidRPr="001B13A4">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_Toc181685074 \h </w:instrText>
        </w:r>
        <w:r>
          <w:rPr>
            <w:noProof/>
            <w:webHidden/>
          </w:rPr>
        </w:r>
        <w:r>
          <w:rPr>
            <w:noProof/>
            <w:webHidden/>
          </w:rPr>
          <w:fldChar w:fldCharType="separate"/>
        </w:r>
        <w:r>
          <w:rPr>
            <w:noProof/>
            <w:webHidden/>
          </w:rPr>
          <w:t>875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75" w:history="1">
        <w:r w:rsidRPr="001B13A4">
          <w:rPr>
            <w:rStyle w:val="Hyperlink"/>
            <w:noProof/>
          </w:rPr>
          <w:t>3.5.3</w:t>
        </w:r>
        <w:r>
          <w:rPr>
            <w:rFonts w:asciiTheme="minorHAnsi" w:eastAsiaTheme="minorEastAsia" w:hAnsiTheme="minorHAnsi" w:cstheme="minorBidi"/>
            <w:noProof/>
            <w:sz w:val="22"/>
            <w:szCs w:val="22"/>
          </w:rPr>
          <w:tab/>
        </w:r>
        <w:r w:rsidRPr="001B13A4">
          <w:rPr>
            <w:rStyle w:val="Hyperlink"/>
            <w:noProof/>
          </w:rPr>
          <w:t>Custom Document Information Panel</w:t>
        </w:r>
        <w:r>
          <w:rPr>
            <w:noProof/>
            <w:webHidden/>
          </w:rPr>
          <w:tab/>
        </w:r>
        <w:r>
          <w:rPr>
            <w:noProof/>
            <w:webHidden/>
          </w:rPr>
          <w:fldChar w:fldCharType="begin"/>
        </w:r>
        <w:r>
          <w:rPr>
            <w:noProof/>
            <w:webHidden/>
          </w:rPr>
          <w:instrText xml:space="preserve"> PAGEREF _Toc181685075 \h </w:instrText>
        </w:r>
        <w:r>
          <w:rPr>
            <w:noProof/>
            <w:webHidden/>
          </w:rPr>
        </w:r>
        <w:r>
          <w:rPr>
            <w:noProof/>
            <w:webHidden/>
          </w:rPr>
          <w:fldChar w:fldCharType="separate"/>
        </w:r>
        <w:r>
          <w:rPr>
            <w:noProof/>
            <w:webHidden/>
          </w:rPr>
          <w:t>875</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76" w:history="1">
        <w:r w:rsidRPr="001B13A4">
          <w:rPr>
            <w:rStyle w:val="Hyperlink"/>
            <w:noProof/>
          </w:rPr>
          <w:t>3.5.3.1</w:t>
        </w:r>
        <w:r>
          <w:rPr>
            <w:rFonts w:asciiTheme="minorHAnsi" w:eastAsiaTheme="minorEastAsia" w:hAnsiTheme="minorHAnsi" w:cstheme="minorBidi"/>
            <w:noProof/>
            <w:sz w:val="22"/>
            <w:szCs w:val="22"/>
          </w:rPr>
          <w:tab/>
        </w:r>
        <w:r w:rsidRPr="001B13A4">
          <w:rPr>
            <w:rStyle w:val="Hyperlink"/>
            <w:noProof/>
          </w:rPr>
          <w:t>Custom Document Information Panel Schema</w:t>
        </w:r>
        <w:r>
          <w:rPr>
            <w:noProof/>
            <w:webHidden/>
          </w:rPr>
          <w:tab/>
        </w:r>
        <w:r>
          <w:rPr>
            <w:noProof/>
            <w:webHidden/>
          </w:rPr>
          <w:fldChar w:fldCharType="begin"/>
        </w:r>
        <w:r>
          <w:rPr>
            <w:noProof/>
            <w:webHidden/>
          </w:rPr>
          <w:instrText xml:space="preserve"> PAGEREF _Toc181685076 \h </w:instrText>
        </w:r>
        <w:r>
          <w:rPr>
            <w:noProof/>
            <w:webHidden/>
          </w:rPr>
        </w:r>
        <w:r>
          <w:rPr>
            <w:noProof/>
            <w:webHidden/>
          </w:rPr>
          <w:fldChar w:fldCharType="separate"/>
        </w:r>
        <w:r>
          <w:rPr>
            <w:noProof/>
            <w:webHidden/>
          </w:rPr>
          <w:t>875</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77" w:history="1">
        <w:r w:rsidRPr="001B13A4">
          <w:rPr>
            <w:rStyle w:val="Hyperlink"/>
            <w:noProof/>
          </w:rPr>
          <w:t>3.5.3.1.1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_Toc181685077 \h </w:instrText>
        </w:r>
        <w:r>
          <w:rPr>
            <w:noProof/>
            <w:webHidden/>
          </w:rPr>
        </w:r>
        <w:r>
          <w:rPr>
            <w:noProof/>
            <w:webHidden/>
          </w:rPr>
          <w:fldChar w:fldCharType="separate"/>
        </w:r>
        <w:r>
          <w:rPr>
            <w:noProof/>
            <w:webHidden/>
          </w:rPr>
          <w:t>876</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78" w:history="1">
        <w:r w:rsidRPr="001B13A4">
          <w:rPr>
            <w:rStyle w:val="Hyperlink"/>
            <w:noProof/>
          </w:rPr>
          <w:t>3.5.3.1.1.1</w:t>
        </w:r>
        <w:r>
          <w:rPr>
            <w:rFonts w:asciiTheme="minorHAnsi" w:eastAsiaTheme="minorEastAsia" w:hAnsiTheme="minorHAnsi" w:cstheme="minorBidi"/>
            <w:noProof/>
            <w:sz w:val="22"/>
            <w:szCs w:val="22"/>
          </w:rPr>
          <w:tab/>
        </w:r>
        <w:r w:rsidRPr="001B13A4">
          <w:rPr>
            <w:rStyle w:val="Hyperlink"/>
            <w:noProof/>
          </w:rPr>
          <w:t>customPropertyEditor (Custom Property Editor)</w:t>
        </w:r>
        <w:r>
          <w:rPr>
            <w:noProof/>
            <w:webHidden/>
          </w:rPr>
          <w:tab/>
        </w:r>
        <w:r>
          <w:rPr>
            <w:noProof/>
            <w:webHidden/>
          </w:rPr>
          <w:fldChar w:fldCharType="begin"/>
        </w:r>
        <w:r>
          <w:rPr>
            <w:noProof/>
            <w:webHidden/>
          </w:rPr>
          <w:instrText xml:space="preserve"> PAGEREF _Toc181685078 \h </w:instrText>
        </w:r>
        <w:r>
          <w:rPr>
            <w:noProof/>
            <w:webHidden/>
          </w:rPr>
        </w:r>
        <w:r>
          <w:rPr>
            <w:noProof/>
            <w:webHidden/>
          </w:rPr>
          <w:fldChar w:fldCharType="separate"/>
        </w:r>
        <w:r>
          <w:rPr>
            <w:noProof/>
            <w:webHidden/>
          </w:rPr>
          <w:t>876</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79" w:history="1">
        <w:r w:rsidRPr="001B13A4">
          <w:rPr>
            <w:rStyle w:val="Hyperlink"/>
            <w:noProof/>
          </w:rPr>
          <w:t>3.5.3.1.1.2</w:t>
        </w:r>
        <w:r>
          <w:rPr>
            <w:rFonts w:asciiTheme="minorHAnsi" w:eastAsiaTheme="minorEastAsia" w:hAnsiTheme="minorHAnsi" w:cstheme="minorBidi"/>
            <w:noProof/>
            <w:sz w:val="22"/>
            <w:szCs w:val="22"/>
          </w:rPr>
          <w:tab/>
        </w:r>
        <w:r w:rsidRPr="001B13A4">
          <w:rPr>
            <w:rStyle w:val="Hyperlink"/>
            <w:noProof/>
          </w:rPr>
          <w:t>customPropertyEditors (Custom Property Editors List)</w:t>
        </w:r>
        <w:r>
          <w:rPr>
            <w:noProof/>
            <w:webHidden/>
          </w:rPr>
          <w:tab/>
        </w:r>
        <w:r>
          <w:rPr>
            <w:noProof/>
            <w:webHidden/>
          </w:rPr>
          <w:fldChar w:fldCharType="begin"/>
        </w:r>
        <w:r>
          <w:rPr>
            <w:noProof/>
            <w:webHidden/>
          </w:rPr>
          <w:instrText xml:space="preserve"> PAGEREF _Toc181685079 \h </w:instrText>
        </w:r>
        <w:r>
          <w:rPr>
            <w:noProof/>
            <w:webHidden/>
          </w:rPr>
        </w:r>
        <w:r>
          <w:rPr>
            <w:noProof/>
            <w:webHidden/>
          </w:rPr>
          <w:fldChar w:fldCharType="separate"/>
        </w:r>
        <w:r>
          <w:rPr>
            <w:noProof/>
            <w:webHidden/>
          </w:rPr>
          <w:t>876</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80" w:history="1">
        <w:r w:rsidRPr="001B13A4">
          <w:rPr>
            <w:rStyle w:val="Hyperlink"/>
            <w:noProof/>
          </w:rPr>
          <w:t>3.5.3.1.1.3</w:t>
        </w:r>
        <w:r>
          <w:rPr>
            <w:rFonts w:asciiTheme="minorHAnsi" w:eastAsiaTheme="minorEastAsia" w:hAnsiTheme="minorHAnsi" w:cstheme="minorBidi"/>
            <w:noProof/>
            <w:sz w:val="22"/>
            <w:szCs w:val="22"/>
          </w:rPr>
          <w:tab/>
        </w:r>
        <w:r w:rsidRPr="001B13A4">
          <w:rPr>
            <w:rStyle w:val="Hyperlink"/>
            <w:noProof/>
          </w:rPr>
          <w:t>defaultPropertyEditorNamespace (Default Namespace)</w:t>
        </w:r>
        <w:r>
          <w:rPr>
            <w:noProof/>
            <w:webHidden/>
          </w:rPr>
          <w:tab/>
        </w:r>
        <w:r>
          <w:rPr>
            <w:noProof/>
            <w:webHidden/>
          </w:rPr>
          <w:fldChar w:fldCharType="begin"/>
        </w:r>
        <w:r>
          <w:rPr>
            <w:noProof/>
            <w:webHidden/>
          </w:rPr>
          <w:instrText xml:space="preserve"> PAGEREF _Toc181685080 \h </w:instrText>
        </w:r>
        <w:r>
          <w:rPr>
            <w:noProof/>
            <w:webHidden/>
          </w:rPr>
        </w:r>
        <w:r>
          <w:rPr>
            <w:noProof/>
            <w:webHidden/>
          </w:rPr>
          <w:fldChar w:fldCharType="separate"/>
        </w:r>
        <w:r>
          <w:rPr>
            <w:noProof/>
            <w:webHidden/>
          </w:rPr>
          <w:t>877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81" w:history="1">
        <w:r w:rsidRPr="001B13A4">
          <w:rPr>
            <w:rStyle w:val="Hyperlink"/>
            <w:noProof/>
          </w:rPr>
          <w:t>3.5.3.1.1.4</w:t>
        </w:r>
        <w:r>
          <w:rPr>
            <w:rFonts w:asciiTheme="minorHAnsi" w:eastAsiaTheme="minorEastAsia" w:hAnsiTheme="minorHAnsi" w:cstheme="minorBidi"/>
            <w:noProof/>
            <w:sz w:val="22"/>
            <w:szCs w:val="22"/>
          </w:rPr>
          <w:tab/>
        </w:r>
        <w:r w:rsidRPr="001B13A4">
          <w:rPr>
            <w:rStyle w:val="Hyperlink"/>
            <w:noProof/>
          </w:rPr>
          <w:t>showOnOpen (Show On Open)</w:t>
        </w:r>
        <w:r>
          <w:rPr>
            <w:noProof/>
            <w:webHidden/>
          </w:rPr>
          <w:tab/>
        </w:r>
        <w:r>
          <w:rPr>
            <w:noProof/>
            <w:webHidden/>
          </w:rPr>
          <w:fldChar w:fldCharType="begin"/>
        </w:r>
        <w:r>
          <w:rPr>
            <w:noProof/>
            <w:webHidden/>
          </w:rPr>
          <w:instrText xml:space="preserve"> PAGEREF _Toc181685081 \h </w:instrText>
        </w:r>
        <w:r>
          <w:rPr>
            <w:noProof/>
            <w:webHidden/>
          </w:rPr>
        </w:r>
        <w:r>
          <w:rPr>
            <w:noProof/>
            <w:webHidden/>
          </w:rPr>
          <w:fldChar w:fldCharType="separate"/>
        </w:r>
        <w:r>
          <w:rPr>
            <w:noProof/>
            <w:webHidden/>
          </w:rPr>
          <w:t>877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82" w:history="1">
        <w:r w:rsidRPr="001B13A4">
          <w:rPr>
            <w:rStyle w:val="Hyperlink"/>
            <w:noProof/>
          </w:rPr>
          <w:t>3.5.3.1.1.5</w:t>
        </w:r>
        <w:r>
          <w:rPr>
            <w:rFonts w:asciiTheme="minorHAnsi" w:eastAsiaTheme="minorEastAsia" w:hAnsiTheme="minorHAnsi" w:cstheme="minorBidi"/>
            <w:noProof/>
            <w:sz w:val="22"/>
            <w:szCs w:val="22"/>
          </w:rPr>
          <w:tab/>
        </w:r>
        <w:r w:rsidRPr="001B13A4">
          <w:rPr>
            <w:rStyle w:val="Hyperlink"/>
            <w:noProof/>
          </w:rPr>
          <w:t>XMLNamespace (Namespace for Property Editor)</w:t>
        </w:r>
        <w:r>
          <w:rPr>
            <w:noProof/>
            <w:webHidden/>
          </w:rPr>
          <w:tab/>
        </w:r>
        <w:r>
          <w:rPr>
            <w:noProof/>
            <w:webHidden/>
          </w:rPr>
          <w:fldChar w:fldCharType="begin"/>
        </w:r>
        <w:r>
          <w:rPr>
            <w:noProof/>
            <w:webHidden/>
          </w:rPr>
          <w:instrText xml:space="preserve"> PAGEREF _Toc181685082 \h </w:instrText>
        </w:r>
        <w:r>
          <w:rPr>
            <w:noProof/>
            <w:webHidden/>
          </w:rPr>
        </w:r>
        <w:r>
          <w:rPr>
            <w:noProof/>
            <w:webHidden/>
          </w:rPr>
          <w:fldChar w:fldCharType="separate"/>
        </w:r>
        <w:r>
          <w:rPr>
            <w:noProof/>
            <w:webHidden/>
          </w:rPr>
          <w:t>877</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83" w:history="1">
        <w:r w:rsidRPr="001B13A4">
          <w:rPr>
            <w:rStyle w:val="Hyperlink"/>
            <w:noProof/>
          </w:rPr>
          <w:t>3.5.3.1.1.6</w:t>
        </w:r>
        <w:r>
          <w:rPr>
            <w:rFonts w:asciiTheme="minorHAnsi" w:eastAsiaTheme="minorEastAsia" w:hAnsiTheme="minorHAnsi" w:cstheme="minorBidi"/>
            <w:noProof/>
            <w:sz w:val="22"/>
            <w:szCs w:val="22"/>
          </w:rPr>
          <w:tab/>
        </w:r>
        <w:r w:rsidRPr="001B13A4">
          <w:rPr>
            <w:rStyle w:val="Hyperlink"/>
            <w:noProof/>
          </w:rPr>
          <w:t>XSNLocation (Location of XSN File)</w:t>
        </w:r>
        <w:r>
          <w:rPr>
            <w:noProof/>
            <w:webHidden/>
          </w:rPr>
          <w:tab/>
        </w:r>
        <w:r>
          <w:rPr>
            <w:noProof/>
            <w:webHidden/>
          </w:rPr>
          <w:fldChar w:fldCharType="begin"/>
        </w:r>
        <w:r>
          <w:rPr>
            <w:noProof/>
            <w:webHidden/>
          </w:rPr>
          <w:instrText xml:space="preserve"> PAGEREF _Toc181685083 \h </w:instrText>
        </w:r>
        <w:r>
          <w:rPr>
            <w:noProof/>
            <w:webHidden/>
          </w:rPr>
        </w:r>
        <w:r>
          <w:rPr>
            <w:noProof/>
            <w:webHidden/>
          </w:rPr>
          <w:fldChar w:fldCharType="separate"/>
        </w:r>
        <w:r>
          <w:rPr>
            <w:noProof/>
            <w:webHidden/>
          </w:rPr>
          <w:t>877</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84" w:history="1">
        <w:r w:rsidRPr="001B13A4">
          <w:rPr>
            <w:rStyle w:val="Hyperlink"/>
            <w:noProof/>
          </w:rPr>
          <w:t>3.5.4</w:t>
        </w:r>
        <w:r>
          <w:rPr>
            <w:rFonts w:asciiTheme="minorHAnsi" w:eastAsiaTheme="minorEastAsia" w:hAnsiTheme="minorHAnsi" w:cstheme="minorBidi"/>
            <w:noProof/>
            <w:sz w:val="22"/>
            <w:szCs w:val="22"/>
          </w:rPr>
          <w:tab/>
        </w:r>
        <w:r w:rsidRPr="001B13A4">
          <w:rPr>
            <w:rStyle w:val="Hyperlink"/>
            <w:noProof/>
          </w:rPr>
          <w:t>Custom XSN</w:t>
        </w:r>
        <w:r>
          <w:rPr>
            <w:noProof/>
            <w:webHidden/>
          </w:rPr>
          <w:tab/>
        </w:r>
        <w:r>
          <w:rPr>
            <w:noProof/>
            <w:webHidden/>
          </w:rPr>
          <w:fldChar w:fldCharType="begin"/>
        </w:r>
        <w:r>
          <w:rPr>
            <w:noProof/>
            <w:webHidden/>
          </w:rPr>
          <w:instrText xml:space="preserve"> PAGEREF _Toc181685084 \h </w:instrText>
        </w:r>
        <w:r>
          <w:rPr>
            <w:noProof/>
            <w:webHidden/>
          </w:rPr>
        </w:r>
        <w:r>
          <w:rPr>
            <w:noProof/>
            <w:webHidden/>
          </w:rPr>
          <w:fldChar w:fldCharType="separate"/>
        </w:r>
        <w:r>
          <w:rPr>
            <w:noProof/>
            <w:webHidden/>
          </w:rPr>
          <w:t>878</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85" w:history="1">
        <w:r w:rsidRPr="001B13A4">
          <w:rPr>
            <w:rStyle w:val="Hyperlink"/>
            <w:noProof/>
          </w:rPr>
          <w:t>3.5.4.1</w:t>
        </w:r>
        <w:r>
          <w:rPr>
            <w:rFonts w:asciiTheme="minorHAnsi" w:eastAsiaTheme="minorEastAsia" w:hAnsiTheme="minorHAnsi" w:cstheme="minorBidi"/>
            <w:noProof/>
            <w:sz w:val="22"/>
            <w:szCs w:val="22"/>
          </w:rPr>
          <w:tab/>
        </w:r>
        <w:r w:rsidRPr="001B13A4">
          <w:rPr>
            <w:rStyle w:val="Hyperlink"/>
            <w:noProof/>
          </w:rPr>
          <w:t>Custom XSN Schema</w:t>
        </w:r>
        <w:r>
          <w:rPr>
            <w:noProof/>
            <w:webHidden/>
          </w:rPr>
          <w:tab/>
        </w:r>
        <w:r>
          <w:rPr>
            <w:noProof/>
            <w:webHidden/>
          </w:rPr>
          <w:fldChar w:fldCharType="begin"/>
        </w:r>
        <w:r>
          <w:rPr>
            <w:noProof/>
            <w:webHidden/>
          </w:rPr>
          <w:instrText xml:space="preserve"> PAGEREF _Toc181685085 \h </w:instrText>
        </w:r>
        <w:r>
          <w:rPr>
            <w:noProof/>
            <w:webHidden/>
          </w:rPr>
        </w:r>
        <w:r>
          <w:rPr>
            <w:noProof/>
            <w:webHidden/>
          </w:rPr>
          <w:fldChar w:fldCharType="separate"/>
        </w:r>
        <w:r>
          <w:rPr>
            <w:noProof/>
            <w:webHidden/>
          </w:rPr>
          <w:t>878</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86" w:history="1">
        <w:r w:rsidRPr="001B13A4">
          <w:rPr>
            <w:rStyle w:val="Hyperlink"/>
            <w:noProof/>
          </w:rPr>
          <w:t>3.5.4.1.1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_Toc181685086 \h </w:instrText>
        </w:r>
        <w:r>
          <w:rPr>
            <w:noProof/>
            <w:webHidden/>
          </w:rPr>
        </w:r>
        <w:r>
          <w:rPr>
            <w:noProof/>
            <w:webHidden/>
          </w:rPr>
          <w:fldChar w:fldCharType="separate"/>
        </w:r>
        <w:r>
          <w:rPr>
            <w:noProof/>
            <w:webHidden/>
          </w:rPr>
          <w:t>878</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87" w:history="1">
        <w:r w:rsidRPr="001B13A4">
          <w:rPr>
            <w:rStyle w:val="Hyperlink"/>
            <w:noProof/>
          </w:rPr>
          <w:t>3.5.4.1.1.1</w:t>
        </w:r>
        <w:r>
          <w:rPr>
            <w:rFonts w:asciiTheme="minorHAnsi" w:eastAsiaTheme="minorEastAsia" w:hAnsiTheme="minorHAnsi" w:cstheme="minorBidi"/>
            <w:noProof/>
            <w:sz w:val="22"/>
            <w:szCs w:val="22"/>
          </w:rPr>
          <w:tab/>
        </w:r>
        <w:r w:rsidRPr="001B13A4">
          <w:rPr>
            <w:rStyle w:val="Hyperlink"/>
            <w:noProof/>
          </w:rPr>
          <w:t>cached (Cached View)</w:t>
        </w:r>
        <w:r>
          <w:rPr>
            <w:noProof/>
            <w:webHidden/>
          </w:rPr>
          <w:tab/>
        </w:r>
        <w:r>
          <w:rPr>
            <w:noProof/>
            <w:webHidden/>
          </w:rPr>
          <w:fldChar w:fldCharType="begin"/>
        </w:r>
        <w:r>
          <w:rPr>
            <w:noProof/>
            <w:webHidden/>
          </w:rPr>
          <w:instrText xml:space="preserve"> PAGEREF _Toc181685087 \h </w:instrText>
        </w:r>
        <w:r>
          <w:rPr>
            <w:noProof/>
            <w:webHidden/>
          </w:rPr>
        </w:r>
        <w:r>
          <w:rPr>
            <w:noProof/>
            <w:webHidden/>
          </w:rPr>
          <w:fldChar w:fldCharType="separate"/>
        </w:r>
        <w:r>
          <w:rPr>
            <w:noProof/>
            <w:webHidden/>
          </w:rPr>
          <w:t>878</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88" w:history="1">
        <w:r w:rsidRPr="001B13A4">
          <w:rPr>
            <w:rStyle w:val="Hyperlink"/>
            <w:noProof/>
          </w:rPr>
          <w:t>3.5.4.1.1.2</w:t>
        </w:r>
        <w:r>
          <w:rPr>
            <w:rFonts w:asciiTheme="minorHAnsi" w:eastAsiaTheme="minorEastAsia" w:hAnsiTheme="minorHAnsi" w:cstheme="minorBidi"/>
            <w:noProof/>
            <w:sz w:val="22"/>
            <w:szCs w:val="22"/>
          </w:rPr>
          <w:tab/>
        </w:r>
        <w:r w:rsidRPr="001B13A4">
          <w:rPr>
            <w:rStyle w:val="Hyperlink"/>
            <w:noProof/>
          </w:rPr>
          <w:t>customXsn (Custom XSN)</w:t>
        </w:r>
        <w:r>
          <w:rPr>
            <w:noProof/>
            <w:webHidden/>
          </w:rPr>
          <w:tab/>
        </w:r>
        <w:r>
          <w:rPr>
            <w:noProof/>
            <w:webHidden/>
          </w:rPr>
          <w:fldChar w:fldCharType="begin"/>
        </w:r>
        <w:r>
          <w:rPr>
            <w:noProof/>
            <w:webHidden/>
          </w:rPr>
          <w:instrText xml:space="preserve"> PAGEREF _Toc181685088 \h </w:instrText>
        </w:r>
        <w:r>
          <w:rPr>
            <w:noProof/>
            <w:webHidden/>
          </w:rPr>
        </w:r>
        <w:r>
          <w:rPr>
            <w:noProof/>
            <w:webHidden/>
          </w:rPr>
          <w:fldChar w:fldCharType="separate"/>
        </w:r>
        <w:r>
          <w:rPr>
            <w:noProof/>
            <w:webHidden/>
          </w:rPr>
          <w:t>878</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89" w:history="1">
        <w:r w:rsidRPr="001B13A4">
          <w:rPr>
            <w:rStyle w:val="Hyperlink"/>
            <w:noProof/>
          </w:rPr>
          <w:t>3.5.4.1.1.3</w:t>
        </w:r>
        <w:r>
          <w:rPr>
            <w:rFonts w:asciiTheme="minorHAnsi" w:eastAsiaTheme="minorEastAsia" w:hAnsiTheme="minorHAnsi" w:cstheme="minorBidi"/>
            <w:noProof/>
            <w:sz w:val="22"/>
            <w:szCs w:val="22"/>
          </w:rPr>
          <w:tab/>
        </w:r>
        <w:r w:rsidRPr="001B13A4">
          <w:rPr>
            <w:rStyle w:val="Hyperlink"/>
            <w:noProof/>
          </w:rPr>
          <w:t>openByDefault (Open By Default)</w:t>
        </w:r>
        <w:r>
          <w:rPr>
            <w:noProof/>
            <w:webHidden/>
          </w:rPr>
          <w:tab/>
        </w:r>
        <w:r>
          <w:rPr>
            <w:noProof/>
            <w:webHidden/>
          </w:rPr>
          <w:fldChar w:fldCharType="begin"/>
        </w:r>
        <w:r>
          <w:rPr>
            <w:noProof/>
            <w:webHidden/>
          </w:rPr>
          <w:instrText xml:space="preserve"> PAGEREF _Toc181685089 \h </w:instrText>
        </w:r>
        <w:r>
          <w:rPr>
            <w:noProof/>
            <w:webHidden/>
          </w:rPr>
        </w:r>
        <w:r>
          <w:rPr>
            <w:noProof/>
            <w:webHidden/>
          </w:rPr>
          <w:fldChar w:fldCharType="separate"/>
        </w:r>
        <w:r>
          <w:rPr>
            <w:noProof/>
            <w:webHidden/>
          </w:rPr>
          <w:t>879</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90" w:history="1">
        <w:r w:rsidRPr="001B13A4">
          <w:rPr>
            <w:rStyle w:val="Hyperlink"/>
            <w:noProof/>
          </w:rPr>
          <w:t>3.5.4.1.1.4</w:t>
        </w:r>
        <w:r>
          <w:rPr>
            <w:rFonts w:asciiTheme="minorHAnsi" w:eastAsiaTheme="minorEastAsia" w:hAnsiTheme="minorHAnsi" w:cstheme="minorBidi"/>
            <w:noProof/>
            <w:sz w:val="22"/>
            <w:szCs w:val="22"/>
          </w:rPr>
          <w:tab/>
        </w:r>
        <w:r w:rsidRPr="001B13A4">
          <w:rPr>
            <w:rStyle w:val="Hyperlink"/>
            <w:noProof/>
          </w:rPr>
          <w:t>xsnLocation (XSN Location)</w:t>
        </w:r>
        <w:r>
          <w:rPr>
            <w:noProof/>
            <w:webHidden/>
          </w:rPr>
          <w:tab/>
        </w:r>
        <w:r>
          <w:rPr>
            <w:noProof/>
            <w:webHidden/>
          </w:rPr>
          <w:fldChar w:fldCharType="begin"/>
        </w:r>
        <w:r>
          <w:rPr>
            <w:noProof/>
            <w:webHidden/>
          </w:rPr>
          <w:instrText xml:space="preserve"> PAGEREF _Toc181685090 \h </w:instrText>
        </w:r>
        <w:r>
          <w:rPr>
            <w:noProof/>
            <w:webHidden/>
          </w:rPr>
        </w:r>
        <w:r>
          <w:rPr>
            <w:noProof/>
            <w:webHidden/>
          </w:rPr>
          <w:fldChar w:fldCharType="separate"/>
        </w:r>
        <w:r>
          <w:rPr>
            <w:noProof/>
            <w:webHidden/>
          </w:rPr>
          <w:t>879</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91" w:history="1">
        <w:r w:rsidRPr="001B13A4">
          <w:rPr>
            <w:rStyle w:val="Hyperlink"/>
            <w:noProof/>
          </w:rPr>
          <w:t>3.5.4.1.1.5</w:t>
        </w:r>
        <w:r>
          <w:rPr>
            <w:rFonts w:asciiTheme="minorHAnsi" w:eastAsiaTheme="minorEastAsia" w:hAnsiTheme="minorHAnsi" w:cstheme="minorBidi"/>
            <w:noProof/>
            <w:sz w:val="22"/>
            <w:szCs w:val="22"/>
          </w:rPr>
          <w:tab/>
        </w:r>
        <w:r w:rsidRPr="001B13A4">
          <w:rPr>
            <w:rStyle w:val="Hyperlink"/>
            <w:noProof/>
          </w:rPr>
          <w:t>xsnScope (Scope)</w:t>
        </w:r>
        <w:r>
          <w:rPr>
            <w:noProof/>
            <w:webHidden/>
          </w:rPr>
          <w:tab/>
        </w:r>
        <w:r>
          <w:rPr>
            <w:noProof/>
            <w:webHidden/>
          </w:rPr>
          <w:fldChar w:fldCharType="begin"/>
        </w:r>
        <w:r>
          <w:rPr>
            <w:noProof/>
            <w:webHidden/>
          </w:rPr>
          <w:instrText xml:space="preserve"> PAGEREF _Toc181685091 \h </w:instrText>
        </w:r>
        <w:r>
          <w:rPr>
            <w:noProof/>
            <w:webHidden/>
          </w:rPr>
        </w:r>
        <w:r>
          <w:rPr>
            <w:noProof/>
            <w:webHidden/>
          </w:rPr>
          <w:fldChar w:fldCharType="separate"/>
        </w:r>
        <w:r>
          <w:rPr>
            <w:noProof/>
            <w:webHidden/>
          </w:rPr>
          <w:t>879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92" w:history="1">
        <w:r w:rsidRPr="001B13A4">
          <w:rPr>
            <w:rStyle w:val="Hyperlink"/>
            <w:noProof/>
          </w:rPr>
          <w:t>3.5.5</w:t>
        </w:r>
        <w:r>
          <w:rPr>
            <w:rFonts w:asciiTheme="minorHAnsi" w:eastAsiaTheme="minorEastAsia" w:hAnsiTheme="minorHAnsi" w:cstheme="minorBidi"/>
            <w:noProof/>
            <w:sz w:val="22"/>
            <w:szCs w:val="22"/>
          </w:rPr>
          <w:tab/>
        </w:r>
        <w:r w:rsidRPr="001B13A4">
          <w:rPr>
            <w:rStyle w:val="Hyperlink"/>
            <w:noProof/>
          </w:rPr>
          <w:t>Long Properties</w:t>
        </w:r>
        <w:r>
          <w:rPr>
            <w:noProof/>
            <w:webHidden/>
          </w:rPr>
          <w:tab/>
        </w:r>
        <w:r>
          <w:rPr>
            <w:noProof/>
            <w:webHidden/>
          </w:rPr>
          <w:fldChar w:fldCharType="begin"/>
        </w:r>
        <w:r>
          <w:rPr>
            <w:noProof/>
            <w:webHidden/>
          </w:rPr>
          <w:instrText xml:space="preserve"> PAGEREF _Toc181685092 \h </w:instrText>
        </w:r>
        <w:r>
          <w:rPr>
            <w:noProof/>
            <w:webHidden/>
          </w:rPr>
        </w:r>
        <w:r>
          <w:rPr>
            <w:noProof/>
            <w:webHidden/>
          </w:rPr>
          <w:fldChar w:fldCharType="separate"/>
        </w:r>
        <w:r>
          <w:rPr>
            <w:noProof/>
            <w:webHidden/>
          </w:rPr>
          <w:t>879</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93" w:history="1">
        <w:r w:rsidRPr="001B13A4">
          <w:rPr>
            <w:rStyle w:val="Hyperlink"/>
            <w:noProof/>
          </w:rPr>
          <w:t>3.5.5.1</w:t>
        </w:r>
        <w:r>
          <w:rPr>
            <w:rFonts w:asciiTheme="minorHAnsi" w:eastAsiaTheme="minorEastAsia" w:hAnsiTheme="minorHAnsi" w:cstheme="minorBidi"/>
            <w:noProof/>
            <w:sz w:val="22"/>
            <w:szCs w:val="22"/>
          </w:rPr>
          <w:tab/>
        </w:r>
        <w:r w:rsidRPr="001B13A4">
          <w:rPr>
            <w:rStyle w:val="Hyperlink"/>
            <w:noProof/>
          </w:rPr>
          <w:t>Long Properties Schema</w:t>
        </w:r>
        <w:r>
          <w:rPr>
            <w:noProof/>
            <w:webHidden/>
          </w:rPr>
          <w:tab/>
        </w:r>
        <w:r>
          <w:rPr>
            <w:noProof/>
            <w:webHidden/>
          </w:rPr>
          <w:fldChar w:fldCharType="begin"/>
        </w:r>
        <w:r>
          <w:rPr>
            <w:noProof/>
            <w:webHidden/>
          </w:rPr>
          <w:instrText xml:space="preserve"> PAGEREF _Toc181685093 \h </w:instrText>
        </w:r>
        <w:r>
          <w:rPr>
            <w:noProof/>
            <w:webHidden/>
          </w:rPr>
        </w:r>
        <w:r>
          <w:rPr>
            <w:noProof/>
            <w:webHidden/>
          </w:rPr>
          <w:fldChar w:fldCharType="separate"/>
        </w:r>
        <w:r>
          <w:rPr>
            <w:noProof/>
            <w:webHidden/>
          </w:rPr>
          <w:t>879</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94" w:history="1">
        <w:r w:rsidRPr="001B13A4">
          <w:rPr>
            <w:rStyle w:val="Hyperlink"/>
            <w:noProof/>
          </w:rPr>
          <w:t>3.5.5.1.1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_Toc181685094 \h </w:instrText>
        </w:r>
        <w:r>
          <w:rPr>
            <w:noProof/>
            <w:webHidden/>
          </w:rPr>
        </w:r>
        <w:r>
          <w:rPr>
            <w:noProof/>
            <w:webHidden/>
          </w:rPr>
          <w:fldChar w:fldCharType="separate"/>
        </w:r>
        <w:r>
          <w:rPr>
            <w:noProof/>
            <w:webHidden/>
          </w:rPr>
          <w:t>880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95" w:history="1">
        <w:r w:rsidRPr="001B13A4">
          <w:rPr>
            <w:rStyle w:val="Hyperlink"/>
            <w:noProof/>
          </w:rPr>
          <w:t>3.5.5.1.1.1</w:t>
        </w:r>
        <w:r>
          <w:rPr>
            <w:rFonts w:asciiTheme="minorHAnsi" w:eastAsiaTheme="minorEastAsia" w:hAnsiTheme="minorHAnsi" w:cstheme="minorBidi"/>
            <w:noProof/>
            <w:sz w:val="22"/>
            <w:szCs w:val="22"/>
          </w:rPr>
          <w:tab/>
        </w:r>
        <w:r w:rsidRPr="001B13A4">
          <w:rPr>
            <w:rStyle w:val="Hyperlink"/>
            <w:noProof/>
          </w:rPr>
          <w:t>LongProp (Custom XML Server Property - Long Property)</w:t>
        </w:r>
        <w:r>
          <w:rPr>
            <w:noProof/>
            <w:webHidden/>
          </w:rPr>
          <w:tab/>
        </w:r>
        <w:r>
          <w:rPr>
            <w:noProof/>
            <w:webHidden/>
          </w:rPr>
          <w:fldChar w:fldCharType="begin"/>
        </w:r>
        <w:r>
          <w:rPr>
            <w:noProof/>
            <w:webHidden/>
          </w:rPr>
          <w:instrText xml:space="preserve"> PAGEREF _Toc181685095 \h </w:instrText>
        </w:r>
        <w:r>
          <w:rPr>
            <w:noProof/>
            <w:webHidden/>
          </w:rPr>
        </w:r>
        <w:r>
          <w:rPr>
            <w:noProof/>
            <w:webHidden/>
          </w:rPr>
          <w:fldChar w:fldCharType="separate"/>
        </w:r>
        <w:r>
          <w:rPr>
            <w:noProof/>
            <w:webHidden/>
          </w:rPr>
          <w:t>880</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096" w:history="1">
        <w:r w:rsidRPr="001B13A4">
          <w:rPr>
            <w:rStyle w:val="Hyperlink"/>
            <w:noProof/>
          </w:rPr>
          <w:t>3.5.5.1.1.2</w:t>
        </w:r>
        <w:r>
          <w:rPr>
            <w:rFonts w:asciiTheme="minorHAnsi" w:eastAsiaTheme="minorEastAsia" w:hAnsiTheme="minorHAnsi" w:cstheme="minorBidi"/>
            <w:noProof/>
            <w:sz w:val="22"/>
            <w:szCs w:val="22"/>
          </w:rPr>
          <w:tab/>
        </w:r>
        <w:r w:rsidRPr="001B13A4">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_Toc181685096 \h </w:instrText>
        </w:r>
        <w:r>
          <w:rPr>
            <w:noProof/>
            <w:webHidden/>
          </w:rPr>
        </w:r>
        <w:r>
          <w:rPr>
            <w:noProof/>
            <w:webHidden/>
          </w:rPr>
          <w:fldChar w:fldCharType="separate"/>
        </w:r>
        <w:r>
          <w:rPr>
            <w:noProof/>
            <w:webHidden/>
          </w:rPr>
          <w:t>880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097" w:history="1">
        <w:r w:rsidRPr="001B13A4">
          <w:rPr>
            <w:rStyle w:val="Hyperlink"/>
            <w:noProof/>
          </w:rPr>
          <w:t>3.5.6</w:t>
        </w:r>
        <w:r>
          <w:rPr>
            <w:rFonts w:asciiTheme="minorHAnsi" w:eastAsiaTheme="minorEastAsia" w:hAnsiTheme="minorHAnsi" w:cstheme="minorBidi"/>
            <w:noProof/>
            <w:sz w:val="22"/>
            <w:szCs w:val="22"/>
          </w:rPr>
          <w:tab/>
        </w:r>
        <w:r w:rsidRPr="001B13A4">
          <w:rPr>
            <w:rStyle w:val="Hyperlink"/>
            <w:noProof/>
          </w:rPr>
          <w:t>SharePoint Premium High Value Content Solution</w:t>
        </w:r>
        <w:r>
          <w:rPr>
            <w:noProof/>
            <w:webHidden/>
          </w:rPr>
          <w:tab/>
        </w:r>
        <w:r>
          <w:rPr>
            <w:noProof/>
            <w:webHidden/>
          </w:rPr>
          <w:fldChar w:fldCharType="begin"/>
        </w:r>
        <w:r>
          <w:rPr>
            <w:noProof/>
            <w:webHidden/>
          </w:rPr>
          <w:instrText xml:space="preserve"> PAGEREF _Toc181685097 \h </w:instrText>
        </w:r>
        <w:r>
          <w:rPr>
            <w:noProof/>
            <w:webHidden/>
          </w:rPr>
        </w:r>
        <w:r>
          <w:rPr>
            <w:noProof/>
            <w:webHidden/>
          </w:rPr>
          <w:fldChar w:fldCharType="separate"/>
        </w:r>
        <w:r>
          <w:rPr>
            <w:noProof/>
            <w:webHidden/>
          </w:rPr>
          <w:t>881</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098" w:history="1">
        <w:r w:rsidRPr="001B13A4">
          <w:rPr>
            <w:rStyle w:val="Hyperlink"/>
            <w:noProof/>
          </w:rPr>
          <w:t>3.5.6.1</w:t>
        </w:r>
        <w:r>
          <w:rPr>
            <w:rFonts w:asciiTheme="minorHAnsi" w:eastAsiaTheme="minorEastAsia" w:hAnsiTheme="minorHAnsi" w:cstheme="minorBidi"/>
            <w:noProof/>
            <w:sz w:val="22"/>
            <w:szCs w:val="22"/>
          </w:rPr>
          <w:tab/>
        </w:r>
        <w:r w:rsidRPr="001B13A4">
          <w:rPr>
            <w:rStyle w:val="Hyperlink"/>
            <w:noProof/>
          </w:rPr>
          <w:t>SharePoint Premium High Value Content Solution Schema</w:t>
        </w:r>
        <w:r>
          <w:rPr>
            <w:noProof/>
            <w:webHidden/>
          </w:rPr>
          <w:tab/>
        </w:r>
        <w:r>
          <w:rPr>
            <w:noProof/>
            <w:webHidden/>
          </w:rPr>
          <w:fldChar w:fldCharType="begin"/>
        </w:r>
        <w:r>
          <w:rPr>
            <w:noProof/>
            <w:webHidden/>
          </w:rPr>
          <w:instrText xml:space="preserve"> PAGEREF _Toc181685098 \h </w:instrText>
        </w:r>
        <w:r>
          <w:rPr>
            <w:noProof/>
            <w:webHidden/>
          </w:rPr>
        </w:r>
        <w:r>
          <w:rPr>
            <w:noProof/>
            <w:webHidden/>
          </w:rPr>
          <w:fldChar w:fldCharType="separate"/>
        </w:r>
        <w:r>
          <w:rPr>
            <w:noProof/>
            <w:webHidden/>
          </w:rPr>
          <w:t>881</w:t>
        </w:r>
        <w:r>
          <w:rPr>
            <w:noProof/>
            <w:webHidden/>
          </w:rPr>
          <w:fldChar w:fldCharType="end"/>
        </w:r>
      </w:hyperlink>
    </w:p>
    <w:p w:rsidR="00A9721F" w:rsidRDefault="00A9721F">
      <w:pPr>
        <w:pStyle w:val="TOC5"/>
        <w:rPr>
          <w:rFonts w:asciiTheme="minorHAnsi" w:eastAsiaTheme="minorEastAsia" w:hAnsiTheme="minorHAnsi" w:cstheme="minorBidi"/>
          <w:noProof/>
          <w:sz w:val="22"/>
          <w:szCs w:val="22"/>
        </w:rPr>
      </w:pPr>
      <w:hyperlink w:anchor="_Toc181685099" w:history="1">
        <w:r w:rsidRPr="001B13A4">
          <w:rPr>
            <w:rStyle w:val="Hyperlink"/>
            <w:noProof/>
          </w:rPr>
          <w:t>3.5.6.1.1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_Toc181685099 \h </w:instrText>
        </w:r>
        <w:r>
          <w:rPr>
            <w:noProof/>
            <w:webHidden/>
          </w:rPr>
        </w:r>
        <w:r>
          <w:rPr>
            <w:noProof/>
            <w:webHidden/>
          </w:rPr>
          <w:fldChar w:fldCharType="separate"/>
        </w:r>
        <w:r>
          <w:rPr>
            <w:noProof/>
            <w:webHidden/>
          </w:rPr>
          <w:t>881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0" w:history="1">
        <w:r w:rsidRPr="001B13A4">
          <w:rPr>
            <w:rStyle w:val="Hyperlink"/>
            <w:noProof/>
          </w:rPr>
          <w:t>3.5.6.1.1.1</w:t>
        </w:r>
        <w:r>
          <w:rPr>
            <w:rFonts w:asciiTheme="minorHAnsi" w:eastAsiaTheme="minorEastAsia" w:hAnsiTheme="minorHAnsi" w:cstheme="minorBidi"/>
            <w:noProof/>
            <w:sz w:val="22"/>
            <w:szCs w:val="22"/>
          </w:rPr>
          <w:tab/>
        </w:r>
        <w:r w:rsidRPr="001B13A4">
          <w:rPr>
            <w:rStyle w:val="Hyperlink"/>
            <w:noProof/>
          </w:rPr>
          <w:t>Agreements</w:t>
        </w:r>
        <w:r>
          <w:rPr>
            <w:noProof/>
            <w:webHidden/>
          </w:rPr>
          <w:tab/>
        </w:r>
        <w:r>
          <w:rPr>
            <w:noProof/>
            <w:webHidden/>
          </w:rPr>
          <w:fldChar w:fldCharType="begin"/>
        </w:r>
        <w:r>
          <w:rPr>
            <w:noProof/>
            <w:webHidden/>
          </w:rPr>
          <w:instrText xml:space="preserve"> PAGEREF _Toc181685100 \h </w:instrText>
        </w:r>
        <w:r>
          <w:rPr>
            <w:noProof/>
            <w:webHidden/>
          </w:rPr>
        </w:r>
        <w:r>
          <w:rPr>
            <w:noProof/>
            <w:webHidden/>
          </w:rPr>
          <w:fldChar w:fldCharType="separate"/>
        </w:r>
        <w:r>
          <w:rPr>
            <w:noProof/>
            <w:webHidden/>
          </w:rPr>
          <w:t>881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1" w:history="1">
        <w:r w:rsidRPr="001B13A4">
          <w:rPr>
            <w:rStyle w:val="Hyperlink"/>
            <w:noProof/>
          </w:rPr>
          <w:t>3.5.6.1.1.2</w:t>
        </w:r>
        <w:r>
          <w:rPr>
            <w:rFonts w:asciiTheme="minorHAnsi" w:eastAsiaTheme="minorEastAsia" w:hAnsiTheme="minorHAnsi" w:cstheme="minorBidi"/>
            <w:noProof/>
            <w:sz w:val="22"/>
            <w:szCs w:val="22"/>
          </w:rPr>
          <w:tab/>
        </w:r>
        <w:r w:rsidRPr="001B13A4">
          <w:rPr>
            <w:rStyle w:val="Hyperlink"/>
            <w:noProof/>
          </w:rPr>
          <w:t>SyntexCAMode</w:t>
        </w:r>
        <w:r>
          <w:rPr>
            <w:noProof/>
            <w:webHidden/>
          </w:rPr>
          <w:tab/>
        </w:r>
        <w:r>
          <w:rPr>
            <w:noProof/>
            <w:webHidden/>
          </w:rPr>
          <w:fldChar w:fldCharType="begin"/>
        </w:r>
        <w:r>
          <w:rPr>
            <w:noProof/>
            <w:webHidden/>
          </w:rPr>
          <w:instrText xml:space="preserve"> PAGEREF _Toc181685101 \h </w:instrText>
        </w:r>
        <w:r>
          <w:rPr>
            <w:noProof/>
            <w:webHidden/>
          </w:rPr>
        </w:r>
        <w:r>
          <w:rPr>
            <w:noProof/>
            <w:webHidden/>
          </w:rPr>
          <w:fldChar w:fldCharType="separate"/>
        </w:r>
        <w:r>
          <w:rPr>
            <w:noProof/>
            <w:webHidden/>
          </w:rPr>
          <w:t>881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2" w:history="1">
        <w:r w:rsidRPr="001B13A4">
          <w:rPr>
            <w:rStyle w:val="Hyperlink"/>
            <w:noProof/>
          </w:rPr>
          <w:t>3.5.6.1.1.3</w:t>
        </w:r>
        <w:r>
          <w:rPr>
            <w:rFonts w:asciiTheme="minorHAnsi" w:eastAsiaTheme="minorEastAsia" w:hAnsiTheme="minorHAnsi" w:cstheme="minorBidi"/>
            <w:noProof/>
            <w:sz w:val="22"/>
            <w:szCs w:val="22"/>
          </w:rPr>
          <w:tab/>
        </w:r>
        <w:r w:rsidRPr="001B13A4">
          <w:rPr>
            <w:rStyle w:val="Hyperlink"/>
            <w:noProof/>
          </w:rPr>
          <w:t>SourceTemplateUrl</w:t>
        </w:r>
        <w:r>
          <w:rPr>
            <w:noProof/>
            <w:webHidden/>
          </w:rPr>
          <w:tab/>
        </w:r>
        <w:r>
          <w:rPr>
            <w:noProof/>
            <w:webHidden/>
          </w:rPr>
          <w:fldChar w:fldCharType="begin"/>
        </w:r>
        <w:r>
          <w:rPr>
            <w:noProof/>
            <w:webHidden/>
          </w:rPr>
          <w:instrText xml:space="preserve"> PAGEREF _Toc181685102 \h </w:instrText>
        </w:r>
        <w:r>
          <w:rPr>
            <w:noProof/>
            <w:webHidden/>
          </w:rPr>
        </w:r>
        <w:r>
          <w:rPr>
            <w:noProof/>
            <w:webHidden/>
          </w:rPr>
          <w:fldChar w:fldCharType="separate"/>
        </w:r>
        <w:r>
          <w:rPr>
            <w:noProof/>
            <w:webHidden/>
          </w:rPr>
          <w:t>881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3" w:history="1">
        <w:r w:rsidRPr="001B13A4">
          <w:rPr>
            <w:rStyle w:val="Hyperlink"/>
            <w:noProof/>
          </w:rPr>
          <w:t>3.5.6.1.1.4</w:t>
        </w:r>
        <w:r>
          <w:rPr>
            <w:rFonts w:asciiTheme="minorHAnsi" w:eastAsiaTheme="minorEastAsia" w:hAnsiTheme="minorHAnsi" w:cstheme="minorBidi"/>
            <w:noProof/>
            <w:sz w:val="22"/>
            <w:szCs w:val="22"/>
          </w:rPr>
          <w:tab/>
        </w:r>
        <w:r w:rsidRPr="001B13A4">
          <w:rPr>
            <w:rStyle w:val="Hyperlink"/>
            <w:noProof/>
          </w:rPr>
          <w:t>CAAEPlaceholderMetaDataCustomPropertyName</w:t>
        </w:r>
        <w:r>
          <w:rPr>
            <w:noProof/>
            <w:webHidden/>
          </w:rPr>
          <w:tab/>
        </w:r>
        <w:r>
          <w:rPr>
            <w:noProof/>
            <w:webHidden/>
          </w:rPr>
          <w:fldChar w:fldCharType="begin"/>
        </w:r>
        <w:r>
          <w:rPr>
            <w:noProof/>
            <w:webHidden/>
          </w:rPr>
          <w:instrText xml:space="preserve"> PAGEREF _Toc181685103 \h </w:instrText>
        </w:r>
        <w:r>
          <w:rPr>
            <w:noProof/>
            <w:webHidden/>
          </w:rPr>
        </w:r>
        <w:r>
          <w:rPr>
            <w:noProof/>
            <w:webHidden/>
          </w:rPr>
          <w:fldChar w:fldCharType="separate"/>
        </w:r>
        <w:r>
          <w:rPr>
            <w:noProof/>
            <w:webHidden/>
          </w:rPr>
          <w:t>881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4" w:history="1">
        <w:r w:rsidRPr="001B13A4">
          <w:rPr>
            <w:rStyle w:val="Hyperlink"/>
            <w:noProof/>
          </w:rPr>
          <w:t>3.5.6.1.1.5</w:t>
        </w:r>
        <w:r>
          <w:rPr>
            <w:rFonts w:asciiTheme="minorHAnsi" w:eastAsiaTheme="minorEastAsia" w:hAnsiTheme="minorHAnsi" w:cstheme="minorBidi"/>
            <w:noProof/>
            <w:sz w:val="22"/>
            <w:szCs w:val="22"/>
          </w:rPr>
          <w:tab/>
        </w:r>
        <w:r w:rsidRPr="001B13A4">
          <w:rPr>
            <w:rStyle w:val="Hyperlink"/>
            <w:noProof/>
          </w:rPr>
          <w:t>SyntexAgreementStates</w:t>
        </w:r>
        <w:r>
          <w:rPr>
            <w:noProof/>
            <w:webHidden/>
          </w:rPr>
          <w:tab/>
        </w:r>
        <w:r>
          <w:rPr>
            <w:noProof/>
            <w:webHidden/>
          </w:rPr>
          <w:fldChar w:fldCharType="begin"/>
        </w:r>
        <w:r>
          <w:rPr>
            <w:noProof/>
            <w:webHidden/>
          </w:rPr>
          <w:instrText xml:space="preserve"> PAGEREF _Toc181685104 \h </w:instrText>
        </w:r>
        <w:r>
          <w:rPr>
            <w:noProof/>
            <w:webHidden/>
          </w:rPr>
        </w:r>
        <w:r>
          <w:rPr>
            <w:noProof/>
            <w:webHidden/>
          </w:rPr>
          <w:fldChar w:fldCharType="separate"/>
        </w:r>
        <w:r>
          <w:rPr>
            <w:noProof/>
            <w:webHidden/>
          </w:rPr>
          <w:t>881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5" w:history="1">
        <w:r w:rsidRPr="001B13A4">
          <w:rPr>
            <w:rStyle w:val="Hyperlink"/>
            <w:noProof/>
          </w:rPr>
          <w:t>3.5.6.1.1.6</w:t>
        </w:r>
        <w:r>
          <w:rPr>
            <w:rFonts w:asciiTheme="minorHAnsi" w:eastAsiaTheme="minorEastAsia" w:hAnsiTheme="minorHAnsi" w:cstheme="minorBidi"/>
            <w:noProof/>
            <w:sz w:val="22"/>
            <w:szCs w:val="22"/>
          </w:rPr>
          <w:tab/>
        </w:r>
        <w:r w:rsidRPr="001B13A4">
          <w:rPr>
            <w:rStyle w:val="Hyperlink"/>
            <w:noProof/>
          </w:rPr>
          <w:t>SyntexCustomWorkflowsConfigured</w:t>
        </w:r>
        <w:r>
          <w:rPr>
            <w:noProof/>
            <w:webHidden/>
          </w:rPr>
          <w:tab/>
        </w:r>
        <w:r>
          <w:rPr>
            <w:noProof/>
            <w:webHidden/>
          </w:rPr>
          <w:fldChar w:fldCharType="begin"/>
        </w:r>
        <w:r>
          <w:rPr>
            <w:noProof/>
            <w:webHidden/>
          </w:rPr>
          <w:instrText xml:space="preserve"> PAGEREF _Toc181685105 \h </w:instrText>
        </w:r>
        <w:r>
          <w:rPr>
            <w:noProof/>
            <w:webHidden/>
          </w:rPr>
        </w:r>
        <w:r>
          <w:rPr>
            <w:noProof/>
            <w:webHidden/>
          </w:rPr>
          <w:fldChar w:fldCharType="separate"/>
        </w:r>
        <w:r>
          <w:rPr>
            <w:noProof/>
            <w:webHidden/>
          </w:rPr>
          <w:t>881</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6" w:history="1">
        <w:r w:rsidRPr="001B13A4">
          <w:rPr>
            <w:rStyle w:val="Hyperlink"/>
            <w:noProof/>
          </w:rPr>
          <w:t>3.5.6.1.1.7</w:t>
        </w:r>
        <w:r>
          <w:rPr>
            <w:rFonts w:asciiTheme="minorHAnsi" w:eastAsiaTheme="minorEastAsia" w:hAnsiTheme="minorHAnsi" w:cstheme="minorBidi"/>
            <w:noProof/>
            <w:sz w:val="22"/>
            <w:szCs w:val="22"/>
          </w:rPr>
          <w:tab/>
        </w:r>
        <w:r w:rsidRPr="001B13A4">
          <w:rPr>
            <w:rStyle w:val="Hyperlink"/>
            <w:noProof/>
          </w:rPr>
          <w:t>SyntexDocMandatoryApprovalReq</w:t>
        </w:r>
        <w:r>
          <w:rPr>
            <w:noProof/>
            <w:webHidden/>
          </w:rPr>
          <w:tab/>
        </w:r>
        <w:r>
          <w:rPr>
            <w:noProof/>
            <w:webHidden/>
          </w:rPr>
          <w:fldChar w:fldCharType="begin"/>
        </w:r>
        <w:r>
          <w:rPr>
            <w:noProof/>
            <w:webHidden/>
          </w:rPr>
          <w:instrText xml:space="preserve"> PAGEREF _Toc181685106 \h </w:instrText>
        </w:r>
        <w:r>
          <w:rPr>
            <w:noProof/>
            <w:webHidden/>
          </w:rPr>
        </w:r>
        <w:r>
          <w:rPr>
            <w:noProof/>
            <w:webHidden/>
          </w:rPr>
          <w:fldChar w:fldCharType="separate"/>
        </w:r>
        <w:r>
          <w:rPr>
            <w:noProof/>
            <w:webHidden/>
          </w:rPr>
          <w:t>882</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7" w:history="1">
        <w:r w:rsidRPr="001B13A4">
          <w:rPr>
            <w:rStyle w:val="Hyperlink"/>
            <w:noProof/>
          </w:rPr>
          <w:t>3.5.6.1.1.8</w:t>
        </w:r>
        <w:r>
          <w:rPr>
            <w:rFonts w:asciiTheme="minorHAnsi" w:eastAsiaTheme="minorEastAsia" w:hAnsiTheme="minorHAnsi" w:cstheme="minorBidi"/>
            <w:noProof/>
            <w:sz w:val="22"/>
            <w:szCs w:val="22"/>
          </w:rPr>
          <w:tab/>
        </w:r>
        <w:r w:rsidRPr="001B13A4">
          <w:rPr>
            <w:rStyle w:val="Hyperlink"/>
            <w:noProof/>
          </w:rPr>
          <w:t>SyntexFieldAnswers</w:t>
        </w:r>
        <w:r>
          <w:rPr>
            <w:noProof/>
            <w:webHidden/>
          </w:rPr>
          <w:tab/>
        </w:r>
        <w:r>
          <w:rPr>
            <w:noProof/>
            <w:webHidden/>
          </w:rPr>
          <w:fldChar w:fldCharType="begin"/>
        </w:r>
        <w:r>
          <w:rPr>
            <w:noProof/>
            <w:webHidden/>
          </w:rPr>
          <w:instrText xml:space="preserve"> PAGEREF _Toc181685107 \h </w:instrText>
        </w:r>
        <w:r>
          <w:rPr>
            <w:noProof/>
            <w:webHidden/>
          </w:rPr>
        </w:r>
        <w:r>
          <w:rPr>
            <w:noProof/>
            <w:webHidden/>
          </w:rPr>
          <w:fldChar w:fldCharType="separate"/>
        </w:r>
        <w:r>
          <w:rPr>
            <w:noProof/>
            <w:webHidden/>
          </w:rPr>
          <w:t>882</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8" w:history="1">
        <w:r w:rsidRPr="001B13A4">
          <w:rPr>
            <w:rStyle w:val="Hyperlink"/>
            <w:noProof/>
          </w:rPr>
          <w:t>3.5.6.1.1.9</w:t>
        </w:r>
        <w:r>
          <w:rPr>
            <w:rFonts w:asciiTheme="minorHAnsi" w:eastAsiaTheme="minorEastAsia" w:hAnsiTheme="minorHAnsi" w:cstheme="minorBidi"/>
            <w:noProof/>
            <w:sz w:val="22"/>
            <w:szCs w:val="22"/>
          </w:rPr>
          <w:tab/>
        </w:r>
        <w:r w:rsidRPr="001B13A4">
          <w:rPr>
            <w:rStyle w:val="Hyperlink"/>
            <w:noProof/>
          </w:rPr>
          <w:t>SyntexSnippetMetadata</w:t>
        </w:r>
        <w:r>
          <w:rPr>
            <w:noProof/>
            <w:webHidden/>
          </w:rPr>
          <w:tab/>
        </w:r>
        <w:r>
          <w:rPr>
            <w:noProof/>
            <w:webHidden/>
          </w:rPr>
          <w:fldChar w:fldCharType="begin"/>
        </w:r>
        <w:r>
          <w:rPr>
            <w:noProof/>
            <w:webHidden/>
          </w:rPr>
          <w:instrText xml:space="preserve"> PAGEREF _Toc181685108 \h </w:instrText>
        </w:r>
        <w:r>
          <w:rPr>
            <w:noProof/>
            <w:webHidden/>
          </w:rPr>
        </w:r>
        <w:r>
          <w:rPr>
            <w:noProof/>
            <w:webHidden/>
          </w:rPr>
          <w:fldChar w:fldCharType="separate"/>
        </w:r>
        <w:r>
          <w:rPr>
            <w:noProof/>
            <w:webHidden/>
          </w:rPr>
          <w:t>882</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09" w:history="1">
        <w:r w:rsidRPr="001B13A4">
          <w:rPr>
            <w:rStyle w:val="Hyperlink"/>
            <w:noProof/>
          </w:rPr>
          <w:t>3.5.6.1.1.10</w:t>
        </w:r>
        <w:r>
          <w:rPr>
            <w:rFonts w:asciiTheme="minorHAnsi" w:eastAsiaTheme="minorEastAsia" w:hAnsiTheme="minorHAnsi" w:cstheme="minorBidi"/>
            <w:noProof/>
            <w:sz w:val="22"/>
            <w:szCs w:val="22"/>
          </w:rPr>
          <w:tab/>
        </w:r>
        <w:r w:rsidRPr="001B13A4">
          <w:rPr>
            <w:rStyle w:val="Hyperlink"/>
            <w:noProof/>
          </w:rPr>
          <w:t>SyntexDocumentApprovalConfig</w:t>
        </w:r>
        <w:r>
          <w:rPr>
            <w:noProof/>
            <w:webHidden/>
          </w:rPr>
          <w:tab/>
        </w:r>
        <w:r>
          <w:rPr>
            <w:noProof/>
            <w:webHidden/>
          </w:rPr>
          <w:fldChar w:fldCharType="begin"/>
        </w:r>
        <w:r>
          <w:rPr>
            <w:noProof/>
            <w:webHidden/>
          </w:rPr>
          <w:instrText xml:space="preserve"> PAGEREF _Toc181685109 \h </w:instrText>
        </w:r>
        <w:r>
          <w:rPr>
            <w:noProof/>
            <w:webHidden/>
          </w:rPr>
        </w:r>
        <w:r>
          <w:rPr>
            <w:noProof/>
            <w:webHidden/>
          </w:rPr>
          <w:fldChar w:fldCharType="separate"/>
        </w:r>
        <w:r>
          <w:rPr>
            <w:noProof/>
            <w:webHidden/>
          </w:rPr>
          <w:t>882</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10" w:history="1">
        <w:r w:rsidRPr="001B13A4">
          <w:rPr>
            <w:rStyle w:val="Hyperlink"/>
            <w:noProof/>
          </w:rPr>
          <w:t>3.5.6.1.1.11</w:t>
        </w:r>
        <w:r>
          <w:rPr>
            <w:rFonts w:asciiTheme="minorHAnsi" w:eastAsiaTheme="minorEastAsia" w:hAnsiTheme="minorHAnsi" w:cstheme="minorBidi"/>
            <w:noProof/>
            <w:sz w:val="22"/>
            <w:szCs w:val="22"/>
          </w:rPr>
          <w:tab/>
        </w:r>
        <w:r w:rsidRPr="001B13A4">
          <w:rPr>
            <w:rStyle w:val="Hyperlink"/>
            <w:noProof/>
          </w:rPr>
          <w:t>SyntexSnippetApprovalConfig</w:t>
        </w:r>
        <w:r>
          <w:rPr>
            <w:noProof/>
            <w:webHidden/>
          </w:rPr>
          <w:tab/>
        </w:r>
        <w:r>
          <w:rPr>
            <w:noProof/>
            <w:webHidden/>
          </w:rPr>
          <w:fldChar w:fldCharType="begin"/>
        </w:r>
        <w:r>
          <w:rPr>
            <w:noProof/>
            <w:webHidden/>
          </w:rPr>
          <w:instrText xml:space="preserve"> PAGEREF _Toc181685110 \h </w:instrText>
        </w:r>
        <w:r>
          <w:rPr>
            <w:noProof/>
            <w:webHidden/>
          </w:rPr>
        </w:r>
        <w:r>
          <w:rPr>
            <w:noProof/>
            <w:webHidden/>
          </w:rPr>
          <w:fldChar w:fldCharType="separate"/>
        </w:r>
        <w:r>
          <w:rPr>
            <w:noProof/>
            <w:webHidden/>
          </w:rPr>
          <w:t>882</w:t>
        </w:r>
        <w:r>
          <w:rPr>
            <w:noProof/>
            <w:webHidden/>
          </w:rPr>
          <w:fldChar w:fldCharType="end"/>
        </w:r>
      </w:hyperlink>
    </w:p>
    <w:p w:rsidR="00A9721F" w:rsidRDefault="00A9721F">
      <w:pPr>
        <w:pStyle w:val="TOC6"/>
        <w:rPr>
          <w:rFonts w:asciiTheme="minorHAnsi" w:eastAsiaTheme="minorEastAsia" w:hAnsiTheme="minorHAnsi" w:cstheme="minorBidi"/>
          <w:noProof/>
          <w:sz w:val="22"/>
          <w:szCs w:val="22"/>
        </w:rPr>
      </w:pPr>
      <w:hyperlink w:anchor="_Toc181685111" w:history="1">
        <w:r w:rsidRPr="001B13A4">
          <w:rPr>
            <w:rStyle w:val="Hyperlink"/>
            <w:noProof/>
          </w:rPr>
          <w:t>3.5.6.1.1.12</w:t>
        </w:r>
        <w:r>
          <w:rPr>
            <w:rFonts w:asciiTheme="minorHAnsi" w:eastAsiaTheme="minorEastAsia" w:hAnsiTheme="minorHAnsi" w:cstheme="minorBidi"/>
            <w:noProof/>
            <w:sz w:val="22"/>
            <w:szCs w:val="22"/>
          </w:rPr>
          <w:tab/>
        </w:r>
        <w:r w:rsidRPr="001B13A4">
          <w:rPr>
            <w:rStyle w:val="Hyperlink"/>
            <w:noProof/>
          </w:rPr>
          <w:t>SyntexTemplateApprovalConfig</w:t>
        </w:r>
        <w:r>
          <w:rPr>
            <w:noProof/>
            <w:webHidden/>
          </w:rPr>
          <w:tab/>
        </w:r>
        <w:r>
          <w:rPr>
            <w:noProof/>
            <w:webHidden/>
          </w:rPr>
          <w:fldChar w:fldCharType="begin"/>
        </w:r>
        <w:r>
          <w:rPr>
            <w:noProof/>
            <w:webHidden/>
          </w:rPr>
          <w:instrText xml:space="preserve"> PAGEREF _Toc181685111 \h </w:instrText>
        </w:r>
        <w:r>
          <w:rPr>
            <w:noProof/>
            <w:webHidden/>
          </w:rPr>
        </w:r>
        <w:r>
          <w:rPr>
            <w:noProof/>
            <w:webHidden/>
          </w:rPr>
          <w:fldChar w:fldCharType="separate"/>
        </w:r>
        <w:r>
          <w:rPr>
            <w:noProof/>
            <w:webHidden/>
          </w:rPr>
          <w:t>882</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112" w:history="1">
        <w:r w:rsidRPr="001B13A4">
          <w:rPr>
            <w:rStyle w:val="Hyperlink"/>
            <w:noProof/>
          </w:rPr>
          <w:t>3.6</w:t>
        </w:r>
        <w:r>
          <w:rPr>
            <w:rFonts w:asciiTheme="minorHAnsi" w:eastAsiaTheme="minorEastAsia" w:hAnsiTheme="minorHAnsi" w:cstheme="minorBidi"/>
            <w:noProof/>
            <w:sz w:val="22"/>
            <w:szCs w:val="22"/>
          </w:rPr>
          <w:tab/>
        </w:r>
        <w:r w:rsidRPr="001B13A4">
          <w:rPr>
            <w:rStyle w:val="Hyperlink"/>
            <w:noProof/>
          </w:rPr>
          <w:t>Office ActiveX Supplemental Information</w:t>
        </w:r>
        <w:r>
          <w:rPr>
            <w:noProof/>
            <w:webHidden/>
          </w:rPr>
          <w:tab/>
        </w:r>
        <w:r>
          <w:rPr>
            <w:noProof/>
            <w:webHidden/>
          </w:rPr>
          <w:fldChar w:fldCharType="begin"/>
        </w:r>
        <w:r>
          <w:rPr>
            <w:noProof/>
            <w:webHidden/>
          </w:rPr>
          <w:instrText xml:space="preserve"> PAGEREF _Toc181685112 \h </w:instrText>
        </w:r>
        <w:r>
          <w:rPr>
            <w:noProof/>
            <w:webHidden/>
          </w:rPr>
        </w:r>
        <w:r>
          <w:rPr>
            <w:noProof/>
            <w:webHidden/>
          </w:rPr>
          <w:fldChar w:fldCharType="separate"/>
        </w:r>
        <w:r>
          <w:rPr>
            <w:noProof/>
            <w:webHidden/>
          </w:rPr>
          <w:t>882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13" w:history="1">
        <w:r w:rsidRPr="001B13A4">
          <w:rPr>
            <w:rStyle w:val="Hyperlink"/>
            <w:noProof/>
          </w:rPr>
          <w:t>3.6.1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_Toc181685113 \h </w:instrText>
        </w:r>
        <w:r>
          <w:rPr>
            <w:noProof/>
            <w:webHidden/>
          </w:rPr>
        </w:r>
        <w:r>
          <w:rPr>
            <w:noProof/>
            <w:webHidden/>
          </w:rPr>
          <w:fldChar w:fldCharType="separate"/>
        </w:r>
        <w:r>
          <w:rPr>
            <w:noProof/>
            <w:webHidden/>
          </w:rPr>
          <w:t>882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14" w:history="1">
        <w:r w:rsidRPr="001B13A4">
          <w:rPr>
            <w:rStyle w:val="Hyperlink"/>
            <w:noProof/>
          </w:rPr>
          <w:t>3.6.1.1</w:t>
        </w:r>
        <w:r>
          <w:rPr>
            <w:rFonts w:asciiTheme="minorHAnsi" w:eastAsiaTheme="minorEastAsia" w:hAnsiTheme="minorHAnsi" w:cstheme="minorBidi"/>
            <w:noProof/>
            <w:sz w:val="22"/>
            <w:szCs w:val="22"/>
          </w:rPr>
          <w:tab/>
        </w:r>
        <w:r w:rsidRPr="001B13A4">
          <w:rPr>
            <w:rStyle w:val="Hyperlink"/>
            <w:noProof/>
          </w:rPr>
          <w:t>font (Standard COM Font Object)</w:t>
        </w:r>
        <w:r>
          <w:rPr>
            <w:noProof/>
            <w:webHidden/>
          </w:rPr>
          <w:tab/>
        </w:r>
        <w:r>
          <w:rPr>
            <w:noProof/>
            <w:webHidden/>
          </w:rPr>
          <w:fldChar w:fldCharType="begin"/>
        </w:r>
        <w:r>
          <w:rPr>
            <w:noProof/>
            <w:webHidden/>
          </w:rPr>
          <w:instrText xml:space="preserve"> PAGEREF _Toc181685114 \h </w:instrText>
        </w:r>
        <w:r>
          <w:rPr>
            <w:noProof/>
            <w:webHidden/>
          </w:rPr>
        </w:r>
        <w:r>
          <w:rPr>
            <w:noProof/>
            <w:webHidden/>
          </w:rPr>
          <w:fldChar w:fldCharType="separate"/>
        </w:r>
        <w:r>
          <w:rPr>
            <w:noProof/>
            <w:webHidden/>
          </w:rPr>
          <w:t>882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15" w:history="1">
        <w:r w:rsidRPr="001B13A4">
          <w:rPr>
            <w:rStyle w:val="Hyperlink"/>
            <w:noProof/>
          </w:rPr>
          <w:t>3.6.1.2</w:t>
        </w:r>
        <w:r>
          <w:rPr>
            <w:rFonts w:asciiTheme="minorHAnsi" w:eastAsiaTheme="minorEastAsia" w:hAnsiTheme="minorHAnsi" w:cstheme="minorBidi"/>
            <w:noProof/>
            <w:sz w:val="22"/>
            <w:szCs w:val="22"/>
          </w:rPr>
          <w:tab/>
        </w:r>
        <w:r w:rsidRPr="001B13A4">
          <w:rPr>
            <w:rStyle w:val="Hyperlink"/>
            <w:noProof/>
          </w:rPr>
          <w:t>ocx (ActiveX Control Data)</w:t>
        </w:r>
        <w:r>
          <w:rPr>
            <w:noProof/>
            <w:webHidden/>
          </w:rPr>
          <w:tab/>
        </w:r>
        <w:r>
          <w:rPr>
            <w:noProof/>
            <w:webHidden/>
          </w:rPr>
          <w:fldChar w:fldCharType="begin"/>
        </w:r>
        <w:r>
          <w:rPr>
            <w:noProof/>
            <w:webHidden/>
          </w:rPr>
          <w:instrText xml:space="preserve"> PAGEREF _Toc181685115 \h </w:instrText>
        </w:r>
        <w:r>
          <w:rPr>
            <w:noProof/>
            <w:webHidden/>
          </w:rPr>
        </w:r>
        <w:r>
          <w:rPr>
            <w:noProof/>
            <w:webHidden/>
          </w:rPr>
          <w:fldChar w:fldCharType="separate"/>
        </w:r>
        <w:r>
          <w:rPr>
            <w:noProof/>
            <w:webHidden/>
          </w:rPr>
          <w:t>884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16" w:history="1">
        <w:r w:rsidRPr="001B13A4">
          <w:rPr>
            <w:rStyle w:val="Hyperlink"/>
            <w:noProof/>
          </w:rPr>
          <w:t>3.6.1.3</w:t>
        </w:r>
        <w:r>
          <w:rPr>
            <w:rFonts w:asciiTheme="minorHAnsi" w:eastAsiaTheme="minorEastAsia" w:hAnsiTheme="minorHAnsi" w:cstheme="minorBidi"/>
            <w:noProof/>
            <w:sz w:val="22"/>
            <w:szCs w:val="22"/>
          </w:rPr>
          <w:tab/>
        </w:r>
        <w:r w:rsidRPr="001B13A4">
          <w:rPr>
            <w:rStyle w:val="Hyperlink"/>
            <w:noProof/>
          </w:rPr>
          <w:t>ocxPr (Object Property)</w:t>
        </w:r>
        <w:r>
          <w:rPr>
            <w:noProof/>
            <w:webHidden/>
          </w:rPr>
          <w:tab/>
        </w:r>
        <w:r>
          <w:rPr>
            <w:noProof/>
            <w:webHidden/>
          </w:rPr>
          <w:fldChar w:fldCharType="begin"/>
        </w:r>
        <w:r>
          <w:rPr>
            <w:noProof/>
            <w:webHidden/>
          </w:rPr>
          <w:instrText xml:space="preserve"> PAGEREF _Toc181685116 \h </w:instrText>
        </w:r>
        <w:r>
          <w:rPr>
            <w:noProof/>
            <w:webHidden/>
          </w:rPr>
        </w:r>
        <w:r>
          <w:rPr>
            <w:noProof/>
            <w:webHidden/>
          </w:rPr>
          <w:fldChar w:fldCharType="separate"/>
        </w:r>
        <w:r>
          <w:rPr>
            <w:noProof/>
            <w:webHidden/>
          </w:rPr>
          <w:t>885</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17" w:history="1">
        <w:r w:rsidRPr="001B13A4">
          <w:rPr>
            <w:rStyle w:val="Hyperlink"/>
            <w:noProof/>
          </w:rPr>
          <w:t>3.6.1.4</w:t>
        </w:r>
        <w:r>
          <w:rPr>
            <w:rFonts w:asciiTheme="minorHAnsi" w:eastAsiaTheme="minorEastAsia" w:hAnsiTheme="minorHAnsi" w:cstheme="minorBidi"/>
            <w:noProof/>
            <w:sz w:val="22"/>
            <w:szCs w:val="22"/>
          </w:rPr>
          <w:tab/>
        </w:r>
        <w:r w:rsidRPr="001B13A4">
          <w:rPr>
            <w:rStyle w:val="Hyperlink"/>
            <w:noProof/>
          </w:rPr>
          <w:t>picture (Standard COM Picture Object)</w:t>
        </w:r>
        <w:r>
          <w:rPr>
            <w:noProof/>
            <w:webHidden/>
          </w:rPr>
          <w:tab/>
        </w:r>
        <w:r>
          <w:rPr>
            <w:noProof/>
            <w:webHidden/>
          </w:rPr>
          <w:fldChar w:fldCharType="begin"/>
        </w:r>
        <w:r>
          <w:rPr>
            <w:noProof/>
            <w:webHidden/>
          </w:rPr>
          <w:instrText xml:space="preserve"> PAGEREF _Toc181685117 \h </w:instrText>
        </w:r>
        <w:r>
          <w:rPr>
            <w:noProof/>
            <w:webHidden/>
          </w:rPr>
        </w:r>
        <w:r>
          <w:rPr>
            <w:noProof/>
            <w:webHidden/>
          </w:rPr>
          <w:fldChar w:fldCharType="separate"/>
        </w:r>
        <w:r>
          <w:rPr>
            <w:noProof/>
            <w:webHidden/>
          </w:rPr>
          <w:t>886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18" w:history="1">
        <w:r w:rsidRPr="001B13A4">
          <w:rPr>
            <w:rStyle w:val="Hyperlink"/>
            <w:noProof/>
          </w:rPr>
          <w:t>3.6.2</w:t>
        </w:r>
        <w:r>
          <w:rPr>
            <w:rFonts w:asciiTheme="minorHAnsi" w:eastAsiaTheme="minorEastAsia" w:hAnsiTheme="minorHAnsi" w:cstheme="minorBidi"/>
            <w:noProof/>
            <w:sz w:val="22"/>
            <w:szCs w:val="22"/>
          </w:rPr>
          <w:tab/>
        </w:r>
        <w:r w:rsidRPr="001B13A4">
          <w:rPr>
            <w:rStyle w:val="Hyperlink"/>
            <w:noProof/>
          </w:rPr>
          <w:t>Simple Types</w:t>
        </w:r>
        <w:r>
          <w:rPr>
            <w:noProof/>
            <w:webHidden/>
          </w:rPr>
          <w:tab/>
        </w:r>
        <w:r>
          <w:rPr>
            <w:noProof/>
            <w:webHidden/>
          </w:rPr>
          <w:fldChar w:fldCharType="begin"/>
        </w:r>
        <w:r>
          <w:rPr>
            <w:noProof/>
            <w:webHidden/>
          </w:rPr>
          <w:instrText xml:space="preserve"> PAGEREF _Toc181685118 \h </w:instrText>
        </w:r>
        <w:r>
          <w:rPr>
            <w:noProof/>
            <w:webHidden/>
          </w:rPr>
        </w:r>
        <w:r>
          <w:rPr>
            <w:noProof/>
            <w:webHidden/>
          </w:rPr>
          <w:fldChar w:fldCharType="separate"/>
        </w:r>
        <w:r>
          <w:rPr>
            <w:noProof/>
            <w:webHidden/>
          </w:rPr>
          <w:t>887</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19" w:history="1">
        <w:r w:rsidRPr="001B13A4">
          <w:rPr>
            <w:rStyle w:val="Hyperlink"/>
            <w:noProof/>
          </w:rPr>
          <w:t>3.6.2.1</w:t>
        </w:r>
        <w:r>
          <w:rPr>
            <w:rFonts w:asciiTheme="minorHAnsi" w:eastAsiaTheme="minorEastAsia" w:hAnsiTheme="minorHAnsi" w:cstheme="minorBidi"/>
            <w:noProof/>
            <w:sz w:val="22"/>
            <w:szCs w:val="22"/>
          </w:rPr>
          <w:tab/>
        </w:r>
        <w:r w:rsidRPr="001B13A4">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_Toc181685119 \h </w:instrText>
        </w:r>
        <w:r>
          <w:rPr>
            <w:noProof/>
            <w:webHidden/>
          </w:rPr>
        </w:r>
        <w:r>
          <w:rPr>
            <w:noProof/>
            <w:webHidden/>
          </w:rPr>
          <w:fldChar w:fldCharType="separate"/>
        </w:r>
        <w:r>
          <w:rPr>
            <w:noProof/>
            <w:webHidden/>
          </w:rPr>
          <w:t>887</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20" w:history="1">
        <w:r w:rsidRPr="001B13A4">
          <w:rPr>
            <w:rStyle w:val="Hyperlink"/>
            <w:noProof/>
          </w:rPr>
          <w:t>3.6.2.2</w:t>
        </w:r>
        <w:r>
          <w:rPr>
            <w:rFonts w:asciiTheme="minorHAnsi" w:eastAsiaTheme="minorEastAsia" w:hAnsiTheme="minorHAnsi" w:cstheme="minorBidi"/>
            <w:noProof/>
            <w:sz w:val="22"/>
            <w:szCs w:val="22"/>
          </w:rPr>
          <w:tab/>
        </w:r>
        <w:r w:rsidRPr="001B13A4">
          <w:rPr>
            <w:rStyle w:val="Hyperlink"/>
            <w:noProof/>
          </w:rPr>
          <w:t>ST_String (String Type)</w:t>
        </w:r>
        <w:r>
          <w:rPr>
            <w:noProof/>
            <w:webHidden/>
          </w:rPr>
          <w:tab/>
        </w:r>
        <w:r>
          <w:rPr>
            <w:noProof/>
            <w:webHidden/>
          </w:rPr>
          <w:fldChar w:fldCharType="begin"/>
        </w:r>
        <w:r>
          <w:rPr>
            <w:noProof/>
            <w:webHidden/>
          </w:rPr>
          <w:instrText xml:space="preserve"> PAGEREF _Toc181685120 \h </w:instrText>
        </w:r>
        <w:r>
          <w:rPr>
            <w:noProof/>
            <w:webHidden/>
          </w:rPr>
        </w:r>
        <w:r>
          <w:rPr>
            <w:noProof/>
            <w:webHidden/>
          </w:rPr>
          <w:fldChar w:fldCharType="separate"/>
        </w:r>
        <w:r>
          <w:rPr>
            <w:noProof/>
            <w:webHidden/>
          </w:rPr>
          <w:t>888</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121" w:history="1">
        <w:r w:rsidRPr="001B13A4">
          <w:rPr>
            <w:rStyle w:val="Hyperlink"/>
            <w:noProof/>
          </w:rPr>
          <w:t>3.7</w:t>
        </w:r>
        <w:r>
          <w:rPr>
            <w:rFonts w:asciiTheme="minorHAnsi" w:eastAsiaTheme="minorEastAsia" w:hAnsiTheme="minorHAnsi" w:cstheme="minorBidi"/>
            <w:noProof/>
            <w:sz w:val="22"/>
            <w:szCs w:val="22"/>
          </w:rPr>
          <w:tab/>
        </w:r>
        <w:r w:rsidRPr="001B13A4">
          <w:rPr>
            <w:rStyle w:val="Hyperlink"/>
            <w:noProof/>
          </w:rPr>
          <w:t>Office Digital Signature</w:t>
        </w:r>
        <w:r>
          <w:rPr>
            <w:noProof/>
            <w:webHidden/>
          </w:rPr>
          <w:tab/>
        </w:r>
        <w:r>
          <w:rPr>
            <w:noProof/>
            <w:webHidden/>
          </w:rPr>
          <w:fldChar w:fldCharType="begin"/>
        </w:r>
        <w:r>
          <w:rPr>
            <w:noProof/>
            <w:webHidden/>
          </w:rPr>
          <w:instrText xml:space="preserve"> PAGEREF _Toc181685121 \h </w:instrText>
        </w:r>
        <w:r>
          <w:rPr>
            <w:noProof/>
            <w:webHidden/>
          </w:rPr>
        </w:r>
        <w:r>
          <w:rPr>
            <w:noProof/>
            <w:webHidden/>
          </w:rPr>
          <w:fldChar w:fldCharType="separate"/>
        </w:r>
        <w:r>
          <w:rPr>
            <w:noProof/>
            <w:webHidden/>
          </w:rPr>
          <w:t>889</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22" w:history="1">
        <w:r w:rsidRPr="001B13A4">
          <w:rPr>
            <w:rStyle w:val="Hyperlink"/>
            <w:noProof/>
          </w:rPr>
          <w:t>3.7.1</w:t>
        </w:r>
        <w:r>
          <w:rPr>
            <w:rFonts w:asciiTheme="minorHAnsi" w:eastAsiaTheme="minorEastAsia" w:hAnsiTheme="minorHAnsi" w:cstheme="minorBidi"/>
            <w:noProof/>
            <w:sz w:val="22"/>
            <w:szCs w:val="22"/>
          </w:rPr>
          <w:tab/>
        </w:r>
        <w:r w:rsidRPr="001B13A4">
          <w:rPr>
            <w:rStyle w:val="Hyperlink"/>
            <w:noProof/>
          </w:rPr>
          <w:t>Elements</w:t>
        </w:r>
        <w:r>
          <w:rPr>
            <w:noProof/>
            <w:webHidden/>
          </w:rPr>
          <w:tab/>
        </w:r>
        <w:r>
          <w:rPr>
            <w:noProof/>
            <w:webHidden/>
          </w:rPr>
          <w:fldChar w:fldCharType="begin"/>
        </w:r>
        <w:r>
          <w:rPr>
            <w:noProof/>
            <w:webHidden/>
          </w:rPr>
          <w:instrText xml:space="preserve"> PAGEREF _Toc181685122 \h </w:instrText>
        </w:r>
        <w:r>
          <w:rPr>
            <w:noProof/>
            <w:webHidden/>
          </w:rPr>
        </w:r>
        <w:r>
          <w:rPr>
            <w:noProof/>
            <w:webHidden/>
          </w:rPr>
          <w:fldChar w:fldCharType="separate"/>
        </w:r>
        <w:r>
          <w:rPr>
            <w:noProof/>
            <w:webHidden/>
          </w:rPr>
          <w:t>889</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23" w:history="1">
        <w:r w:rsidRPr="001B13A4">
          <w:rPr>
            <w:rStyle w:val="Hyperlink"/>
            <w:noProof/>
          </w:rPr>
          <w:t>3.7.1.1</w:t>
        </w:r>
        <w:r>
          <w:rPr>
            <w:rFonts w:asciiTheme="minorHAnsi" w:eastAsiaTheme="minorEastAsia" w:hAnsiTheme="minorHAnsi" w:cstheme="minorBidi"/>
            <w:noProof/>
            <w:sz w:val="22"/>
            <w:szCs w:val="22"/>
          </w:rPr>
          <w:tab/>
        </w:r>
        <w:r w:rsidRPr="001B13A4">
          <w:rPr>
            <w:rStyle w:val="Hyperlink"/>
            <w:noProof/>
          </w:rPr>
          <w:t>ApplicationVersion (Application Version)</w:t>
        </w:r>
        <w:r>
          <w:rPr>
            <w:noProof/>
            <w:webHidden/>
          </w:rPr>
          <w:tab/>
        </w:r>
        <w:r>
          <w:rPr>
            <w:noProof/>
            <w:webHidden/>
          </w:rPr>
          <w:fldChar w:fldCharType="begin"/>
        </w:r>
        <w:r>
          <w:rPr>
            <w:noProof/>
            <w:webHidden/>
          </w:rPr>
          <w:instrText xml:space="preserve"> PAGEREF _Toc181685123 \h </w:instrText>
        </w:r>
        <w:r>
          <w:rPr>
            <w:noProof/>
            <w:webHidden/>
          </w:rPr>
        </w:r>
        <w:r>
          <w:rPr>
            <w:noProof/>
            <w:webHidden/>
          </w:rPr>
          <w:fldChar w:fldCharType="separate"/>
        </w:r>
        <w:r>
          <w:rPr>
            <w:noProof/>
            <w:webHidden/>
          </w:rPr>
          <w:t>889</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24" w:history="1">
        <w:r w:rsidRPr="001B13A4">
          <w:rPr>
            <w:rStyle w:val="Hyperlink"/>
            <w:noProof/>
          </w:rPr>
          <w:t>3.7.1.2</w:t>
        </w:r>
        <w:r>
          <w:rPr>
            <w:rFonts w:asciiTheme="minorHAnsi" w:eastAsiaTheme="minorEastAsia" w:hAnsiTheme="minorHAnsi" w:cstheme="minorBidi"/>
            <w:noProof/>
            <w:sz w:val="22"/>
            <w:szCs w:val="22"/>
          </w:rPr>
          <w:tab/>
        </w:r>
        <w:r w:rsidRPr="001B13A4">
          <w:rPr>
            <w:rStyle w:val="Hyperlink"/>
            <w:noProof/>
          </w:rPr>
          <w:t>ColorDepth (Color Depth)</w:t>
        </w:r>
        <w:r>
          <w:rPr>
            <w:noProof/>
            <w:webHidden/>
          </w:rPr>
          <w:tab/>
        </w:r>
        <w:r>
          <w:rPr>
            <w:noProof/>
            <w:webHidden/>
          </w:rPr>
          <w:fldChar w:fldCharType="begin"/>
        </w:r>
        <w:r>
          <w:rPr>
            <w:noProof/>
            <w:webHidden/>
          </w:rPr>
          <w:instrText xml:space="preserve"> PAGEREF _Toc181685124 \h </w:instrText>
        </w:r>
        <w:r>
          <w:rPr>
            <w:noProof/>
            <w:webHidden/>
          </w:rPr>
        </w:r>
        <w:r>
          <w:rPr>
            <w:noProof/>
            <w:webHidden/>
          </w:rPr>
          <w:fldChar w:fldCharType="separate"/>
        </w:r>
        <w:r>
          <w:rPr>
            <w:noProof/>
            <w:webHidden/>
          </w:rPr>
          <w:t>889</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25" w:history="1">
        <w:r w:rsidRPr="001B13A4">
          <w:rPr>
            <w:rStyle w:val="Hyperlink"/>
            <w:noProof/>
          </w:rPr>
          <w:t>3.7.1.3</w:t>
        </w:r>
        <w:r>
          <w:rPr>
            <w:rFonts w:asciiTheme="minorHAnsi" w:eastAsiaTheme="minorEastAsia" w:hAnsiTheme="minorHAnsi" w:cstheme="minorBidi"/>
            <w:noProof/>
            <w:sz w:val="22"/>
            <w:szCs w:val="22"/>
          </w:rPr>
          <w:tab/>
        </w:r>
        <w:r w:rsidRPr="001B13A4">
          <w:rPr>
            <w:rStyle w:val="Hyperlink"/>
            <w:noProof/>
          </w:rPr>
          <w:t>DelegateSuggestedSigner (Delegate Suggested Signer)</w:t>
        </w:r>
        <w:r>
          <w:rPr>
            <w:noProof/>
            <w:webHidden/>
          </w:rPr>
          <w:tab/>
        </w:r>
        <w:r>
          <w:rPr>
            <w:noProof/>
            <w:webHidden/>
          </w:rPr>
          <w:fldChar w:fldCharType="begin"/>
        </w:r>
        <w:r>
          <w:rPr>
            <w:noProof/>
            <w:webHidden/>
          </w:rPr>
          <w:instrText xml:space="preserve"> PAGEREF _Toc181685125 \h </w:instrText>
        </w:r>
        <w:r>
          <w:rPr>
            <w:noProof/>
            <w:webHidden/>
          </w:rPr>
        </w:r>
        <w:r>
          <w:rPr>
            <w:noProof/>
            <w:webHidden/>
          </w:rPr>
          <w:fldChar w:fldCharType="separate"/>
        </w:r>
        <w:r>
          <w:rPr>
            <w:noProof/>
            <w:webHidden/>
          </w:rPr>
          <w:t>890</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26" w:history="1">
        <w:r w:rsidRPr="001B13A4">
          <w:rPr>
            <w:rStyle w:val="Hyperlink"/>
            <w:noProof/>
          </w:rPr>
          <w:t>3.7.1.4</w:t>
        </w:r>
        <w:r>
          <w:rPr>
            <w:rFonts w:asciiTheme="minorHAnsi" w:eastAsiaTheme="minorEastAsia" w:hAnsiTheme="minorHAnsi" w:cstheme="minorBidi"/>
            <w:noProof/>
            <w:sz w:val="22"/>
            <w:szCs w:val="22"/>
          </w:rPr>
          <w:tab/>
        </w:r>
        <w:r w:rsidRPr="001B13A4">
          <w:rPr>
            <w:rStyle w:val="Hyperlink"/>
            <w:noProof/>
          </w:rPr>
          <w:t>DelegateSuggestedSigner2 (Delegate Suggested Signer)</w:t>
        </w:r>
        <w:r>
          <w:rPr>
            <w:noProof/>
            <w:webHidden/>
          </w:rPr>
          <w:tab/>
        </w:r>
        <w:r>
          <w:rPr>
            <w:noProof/>
            <w:webHidden/>
          </w:rPr>
          <w:fldChar w:fldCharType="begin"/>
        </w:r>
        <w:r>
          <w:rPr>
            <w:noProof/>
            <w:webHidden/>
          </w:rPr>
          <w:instrText xml:space="preserve"> PAGEREF _Toc181685126 \h </w:instrText>
        </w:r>
        <w:r>
          <w:rPr>
            <w:noProof/>
            <w:webHidden/>
          </w:rPr>
        </w:r>
        <w:r>
          <w:rPr>
            <w:noProof/>
            <w:webHidden/>
          </w:rPr>
          <w:fldChar w:fldCharType="separate"/>
        </w:r>
        <w:r>
          <w:rPr>
            <w:noProof/>
            <w:webHidden/>
          </w:rPr>
          <w:t>890</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27" w:history="1">
        <w:r w:rsidRPr="001B13A4">
          <w:rPr>
            <w:rStyle w:val="Hyperlink"/>
            <w:noProof/>
          </w:rPr>
          <w:t>3.7.1.5</w:t>
        </w:r>
        <w:r>
          <w:rPr>
            <w:rFonts w:asciiTheme="minorHAnsi" w:eastAsiaTheme="minorEastAsia" w:hAnsiTheme="minorHAnsi" w:cstheme="minorBidi"/>
            <w:noProof/>
            <w:sz w:val="22"/>
            <w:szCs w:val="22"/>
          </w:rPr>
          <w:tab/>
        </w:r>
        <w:r w:rsidRPr="001B13A4">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_Toc181685127 \h </w:instrText>
        </w:r>
        <w:r>
          <w:rPr>
            <w:noProof/>
            <w:webHidden/>
          </w:rPr>
        </w:r>
        <w:r>
          <w:rPr>
            <w:noProof/>
            <w:webHidden/>
          </w:rPr>
          <w:fldChar w:fldCharType="separate"/>
        </w:r>
        <w:r>
          <w:rPr>
            <w:noProof/>
            <w:webHidden/>
          </w:rPr>
          <w:t>890</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28" w:history="1">
        <w:r w:rsidRPr="001B13A4">
          <w:rPr>
            <w:rStyle w:val="Hyperlink"/>
            <w:noProof/>
          </w:rPr>
          <w:t>3.7.1.6</w:t>
        </w:r>
        <w:r>
          <w:rPr>
            <w:rFonts w:asciiTheme="minorHAnsi" w:eastAsiaTheme="minorEastAsia" w:hAnsiTheme="minorHAnsi" w:cstheme="minorBidi"/>
            <w:noProof/>
            <w:sz w:val="22"/>
            <w:szCs w:val="22"/>
          </w:rPr>
          <w:tab/>
        </w:r>
        <w:r w:rsidRPr="001B13A4">
          <w:rPr>
            <w:rStyle w:val="Hyperlink"/>
            <w:noProof/>
          </w:rPr>
          <w:t>HorizontalResolution (Horizontal Resolution)</w:t>
        </w:r>
        <w:r>
          <w:rPr>
            <w:noProof/>
            <w:webHidden/>
          </w:rPr>
          <w:tab/>
        </w:r>
        <w:r>
          <w:rPr>
            <w:noProof/>
            <w:webHidden/>
          </w:rPr>
          <w:fldChar w:fldCharType="begin"/>
        </w:r>
        <w:r>
          <w:rPr>
            <w:noProof/>
            <w:webHidden/>
          </w:rPr>
          <w:instrText xml:space="preserve"> PAGEREF _Toc181685128 \h </w:instrText>
        </w:r>
        <w:r>
          <w:rPr>
            <w:noProof/>
            <w:webHidden/>
          </w:rPr>
        </w:r>
        <w:r>
          <w:rPr>
            <w:noProof/>
            <w:webHidden/>
          </w:rPr>
          <w:fldChar w:fldCharType="separate"/>
        </w:r>
        <w:r>
          <w:rPr>
            <w:noProof/>
            <w:webHidden/>
          </w:rPr>
          <w:t>890</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29" w:history="1">
        <w:r w:rsidRPr="001B13A4">
          <w:rPr>
            <w:rStyle w:val="Hyperlink"/>
            <w:noProof/>
          </w:rPr>
          <w:t>3.7.1.7</w:t>
        </w:r>
        <w:r>
          <w:rPr>
            <w:rFonts w:asciiTheme="minorHAnsi" w:eastAsiaTheme="minorEastAsia" w:hAnsiTheme="minorHAnsi" w:cstheme="minorBidi"/>
            <w:noProof/>
            <w:sz w:val="22"/>
            <w:szCs w:val="22"/>
          </w:rPr>
          <w:tab/>
        </w:r>
        <w:r w:rsidRPr="001B13A4">
          <w:rPr>
            <w:rStyle w:val="Hyperlink"/>
            <w:noProof/>
          </w:rPr>
          <w:t>ManifestHashAlgorithm (Manifest Hash Algorithm)</w:t>
        </w:r>
        <w:r>
          <w:rPr>
            <w:noProof/>
            <w:webHidden/>
          </w:rPr>
          <w:tab/>
        </w:r>
        <w:r>
          <w:rPr>
            <w:noProof/>
            <w:webHidden/>
          </w:rPr>
          <w:fldChar w:fldCharType="begin"/>
        </w:r>
        <w:r>
          <w:rPr>
            <w:noProof/>
            <w:webHidden/>
          </w:rPr>
          <w:instrText xml:space="preserve"> PAGEREF _Toc181685129 \h </w:instrText>
        </w:r>
        <w:r>
          <w:rPr>
            <w:noProof/>
            <w:webHidden/>
          </w:rPr>
        </w:r>
        <w:r>
          <w:rPr>
            <w:noProof/>
            <w:webHidden/>
          </w:rPr>
          <w:fldChar w:fldCharType="separate"/>
        </w:r>
        <w:r>
          <w:rPr>
            <w:noProof/>
            <w:webHidden/>
          </w:rPr>
          <w:t>891</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0" w:history="1">
        <w:r w:rsidRPr="001B13A4">
          <w:rPr>
            <w:rStyle w:val="Hyperlink"/>
            <w:noProof/>
          </w:rPr>
          <w:t>3.7.1.8</w:t>
        </w:r>
        <w:r>
          <w:rPr>
            <w:rFonts w:asciiTheme="minorHAnsi" w:eastAsiaTheme="minorEastAsia" w:hAnsiTheme="minorHAnsi" w:cstheme="minorBidi"/>
            <w:noProof/>
            <w:sz w:val="22"/>
            <w:szCs w:val="22"/>
          </w:rPr>
          <w:tab/>
        </w:r>
        <w:r w:rsidRPr="001B13A4">
          <w:rPr>
            <w:rStyle w:val="Hyperlink"/>
            <w:noProof/>
          </w:rPr>
          <w:t>Monitors (Monitor Count)</w:t>
        </w:r>
        <w:r>
          <w:rPr>
            <w:noProof/>
            <w:webHidden/>
          </w:rPr>
          <w:tab/>
        </w:r>
        <w:r>
          <w:rPr>
            <w:noProof/>
            <w:webHidden/>
          </w:rPr>
          <w:fldChar w:fldCharType="begin"/>
        </w:r>
        <w:r>
          <w:rPr>
            <w:noProof/>
            <w:webHidden/>
          </w:rPr>
          <w:instrText xml:space="preserve"> PAGEREF _Toc181685130 \h </w:instrText>
        </w:r>
        <w:r>
          <w:rPr>
            <w:noProof/>
            <w:webHidden/>
          </w:rPr>
        </w:r>
        <w:r>
          <w:rPr>
            <w:noProof/>
            <w:webHidden/>
          </w:rPr>
          <w:fldChar w:fldCharType="separate"/>
        </w:r>
        <w:r>
          <w:rPr>
            <w:noProof/>
            <w:webHidden/>
          </w:rPr>
          <w:t>891</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1" w:history="1">
        <w:r w:rsidRPr="001B13A4">
          <w:rPr>
            <w:rStyle w:val="Hyperlink"/>
            <w:noProof/>
          </w:rPr>
          <w:t>3.7.1.9</w:t>
        </w:r>
        <w:r>
          <w:rPr>
            <w:rFonts w:asciiTheme="minorHAnsi" w:eastAsiaTheme="minorEastAsia" w:hAnsiTheme="minorHAnsi" w:cstheme="minorBidi"/>
            <w:noProof/>
            <w:sz w:val="22"/>
            <w:szCs w:val="22"/>
          </w:rPr>
          <w:tab/>
        </w:r>
        <w:r w:rsidRPr="001B13A4">
          <w:rPr>
            <w:rStyle w:val="Hyperlink"/>
            <w:noProof/>
          </w:rPr>
          <w:t>OfficeVersion (Office Version)</w:t>
        </w:r>
        <w:r>
          <w:rPr>
            <w:noProof/>
            <w:webHidden/>
          </w:rPr>
          <w:tab/>
        </w:r>
        <w:r>
          <w:rPr>
            <w:noProof/>
            <w:webHidden/>
          </w:rPr>
          <w:fldChar w:fldCharType="begin"/>
        </w:r>
        <w:r>
          <w:rPr>
            <w:noProof/>
            <w:webHidden/>
          </w:rPr>
          <w:instrText xml:space="preserve"> PAGEREF _Toc181685131 \h </w:instrText>
        </w:r>
        <w:r>
          <w:rPr>
            <w:noProof/>
            <w:webHidden/>
          </w:rPr>
        </w:r>
        <w:r>
          <w:rPr>
            <w:noProof/>
            <w:webHidden/>
          </w:rPr>
          <w:fldChar w:fldCharType="separate"/>
        </w:r>
        <w:r>
          <w:rPr>
            <w:noProof/>
            <w:webHidden/>
          </w:rPr>
          <w:t>891</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2" w:history="1">
        <w:r w:rsidRPr="001B13A4">
          <w:rPr>
            <w:rStyle w:val="Hyperlink"/>
            <w:noProof/>
          </w:rPr>
          <w:t>3.7.1.10</w:t>
        </w:r>
        <w:r>
          <w:rPr>
            <w:rFonts w:asciiTheme="minorHAnsi" w:eastAsiaTheme="minorEastAsia" w:hAnsiTheme="minorHAnsi" w:cstheme="minorBidi"/>
            <w:noProof/>
            <w:sz w:val="22"/>
            <w:szCs w:val="22"/>
          </w:rPr>
          <w:tab/>
        </w:r>
        <w:r w:rsidRPr="001B13A4">
          <w:rPr>
            <w:rStyle w:val="Hyperlink"/>
            <w:noProof/>
          </w:rPr>
          <w:t>SetupID (Setup ID)</w:t>
        </w:r>
        <w:r>
          <w:rPr>
            <w:noProof/>
            <w:webHidden/>
          </w:rPr>
          <w:tab/>
        </w:r>
        <w:r>
          <w:rPr>
            <w:noProof/>
            <w:webHidden/>
          </w:rPr>
          <w:fldChar w:fldCharType="begin"/>
        </w:r>
        <w:r>
          <w:rPr>
            <w:noProof/>
            <w:webHidden/>
          </w:rPr>
          <w:instrText xml:space="preserve"> PAGEREF _Toc181685132 \h </w:instrText>
        </w:r>
        <w:r>
          <w:rPr>
            <w:noProof/>
            <w:webHidden/>
          </w:rPr>
        </w:r>
        <w:r>
          <w:rPr>
            <w:noProof/>
            <w:webHidden/>
          </w:rPr>
          <w:fldChar w:fldCharType="separate"/>
        </w:r>
        <w:r>
          <w:rPr>
            <w:noProof/>
            <w:webHidden/>
          </w:rPr>
          <w:t>892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3" w:history="1">
        <w:r w:rsidRPr="001B13A4">
          <w:rPr>
            <w:rStyle w:val="Hyperlink"/>
            <w:noProof/>
          </w:rPr>
          <w:t>3.7.1.11</w:t>
        </w:r>
        <w:r>
          <w:rPr>
            <w:rFonts w:asciiTheme="minorHAnsi" w:eastAsiaTheme="minorEastAsia" w:hAnsiTheme="minorHAnsi" w:cstheme="minorBidi"/>
            <w:noProof/>
            <w:sz w:val="22"/>
            <w:szCs w:val="22"/>
          </w:rPr>
          <w:tab/>
        </w:r>
        <w:r w:rsidRPr="001B13A4">
          <w:rPr>
            <w:rStyle w:val="Hyperlink"/>
            <w:noProof/>
          </w:rPr>
          <w:t>SignatureComments (Signature Comments)</w:t>
        </w:r>
        <w:r>
          <w:rPr>
            <w:noProof/>
            <w:webHidden/>
          </w:rPr>
          <w:tab/>
        </w:r>
        <w:r>
          <w:rPr>
            <w:noProof/>
            <w:webHidden/>
          </w:rPr>
          <w:fldChar w:fldCharType="begin"/>
        </w:r>
        <w:r>
          <w:rPr>
            <w:noProof/>
            <w:webHidden/>
          </w:rPr>
          <w:instrText xml:space="preserve"> PAGEREF _Toc181685133 \h </w:instrText>
        </w:r>
        <w:r>
          <w:rPr>
            <w:noProof/>
            <w:webHidden/>
          </w:rPr>
        </w:r>
        <w:r>
          <w:rPr>
            <w:noProof/>
            <w:webHidden/>
          </w:rPr>
          <w:fldChar w:fldCharType="separate"/>
        </w:r>
        <w:r>
          <w:rPr>
            <w:noProof/>
            <w:webHidden/>
          </w:rPr>
          <w:t>892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4" w:history="1">
        <w:r w:rsidRPr="001B13A4">
          <w:rPr>
            <w:rStyle w:val="Hyperlink"/>
            <w:noProof/>
          </w:rPr>
          <w:t>3.7.1.12</w:t>
        </w:r>
        <w:r>
          <w:rPr>
            <w:rFonts w:asciiTheme="minorHAnsi" w:eastAsiaTheme="minorEastAsia" w:hAnsiTheme="minorHAnsi" w:cstheme="minorBidi"/>
            <w:noProof/>
            <w:sz w:val="22"/>
            <w:szCs w:val="22"/>
          </w:rPr>
          <w:tab/>
        </w:r>
        <w:r w:rsidRPr="001B13A4">
          <w:rPr>
            <w:rStyle w:val="Hyperlink"/>
            <w:noProof/>
          </w:rPr>
          <w:t>SignatureImage (Signature Image)</w:t>
        </w:r>
        <w:r>
          <w:rPr>
            <w:noProof/>
            <w:webHidden/>
          </w:rPr>
          <w:tab/>
        </w:r>
        <w:r>
          <w:rPr>
            <w:noProof/>
            <w:webHidden/>
          </w:rPr>
          <w:fldChar w:fldCharType="begin"/>
        </w:r>
        <w:r>
          <w:rPr>
            <w:noProof/>
            <w:webHidden/>
          </w:rPr>
          <w:instrText xml:space="preserve"> PAGEREF _Toc181685134 \h </w:instrText>
        </w:r>
        <w:r>
          <w:rPr>
            <w:noProof/>
            <w:webHidden/>
          </w:rPr>
        </w:r>
        <w:r>
          <w:rPr>
            <w:noProof/>
            <w:webHidden/>
          </w:rPr>
          <w:fldChar w:fldCharType="separate"/>
        </w:r>
        <w:r>
          <w:rPr>
            <w:noProof/>
            <w:webHidden/>
          </w:rPr>
          <w:t>892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5" w:history="1">
        <w:r w:rsidRPr="001B13A4">
          <w:rPr>
            <w:rStyle w:val="Hyperlink"/>
            <w:noProof/>
          </w:rPr>
          <w:t>3.7.1.13</w:t>
        </w:r>
        <w:r>
          <w:rPr>
            <w:rFonts w:asciiTheme="minorHAnsi" w:eastAsiaTheme="minorEastAsia" w:hAnsiTheme="minorHAnsi" w:cstheme="minorBidi"/>
            <w:noProof/>
            <w:sz w:val="22"/>
            <w:szCs w:val="22"/>
          </w:rPr>
          <w:tab/>
        </w:r>
        <w:r w:rsidRPr="001B13A4">
          <w:rPr>
            <w:rStyle w:val="Hyperlink"/>
            <w:noProof/>
          </w:rPr>
          <w:t>SignatureInfoV1 (Office Digital Signature V1 Info)</w:t>
        </w:r>
        <w:r>
          <w:rPr>
            <w:noProof/>
            <w:webHidden/>
          </w:rPr>
          <w:tab/>
        </w:r>
        <w:r>
          <w:rPr>
            <w:noProof/>
            <w:webHidden/>
          </w:rPr>
          <w:fldChar w:fldCharType="begin"/>
        </w:r>
        <w:r>
          <w:rPr>
            <w:noProof/>
            <w:webHidden/>
          </w:rPr>
          <w:instrText xml:space="preserve"> PAGEREF _Toc181685135 \h </w:instrText>
        </w:r>
        <w:r>
          <w:rPr>
            <w:noProof/>
            <w:webHidden/>
          </w:rPr>
        </w:r>
        <w:r>
          <w:rPr>
            <w:noProof/>
            <w:webHidden/>
          </w:rPr>
          <w:fldChar w:fldCharType="separate"/>
        </w:r>
        <w:r>
          <w:rPr>
            <w:noProof/>
            <w:webHidden/>
          </w:rPr>
          <w:t>893</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6" w:history="1">
        <w:r w:rsidRPr="001B13A4">
          <w:rPr>
            <w:rStyle w:val="Hyperlink"/>
            <w:noProof/>
          </w:rPr>
          <w:t>3.7.1.14</w:t>
        </w:r>
        <w:r>
          <w:rPr>
            <w:rFonts w:asciiTheme="minorHAnsi" w:eastAsiaTheme="minorEastAsia" w:hAnsiTheme="minorHAnsi" w:cstheme="minorBidi"/>
            <w:noProof/>
            <w:sz w:val="22"/>
            <w:szCs w:val="22"/>
          </w:rPr>
          <w:tab/>
        </w:r>
        <w:r w:rsidRPr="001B13A4">
          <w:rPr>
            <w:rStyle w:val="Hyperlink"/>
            <w:noProof/>
          </w:rPr>
          <w:t>SignatureProviderDetails (Signature Provider Details)</w:t>
        </w:r>
        <w:r>
          <w:rPr>
            <w:noProof/>
            <w:webHidden/>
          </w:rPr>
          <w:tab/>
        </w:r>
        <w:r>
          <w:rPr>
            <w:noProof/>
            <w:webHidden/>
          </w:rPr>
          <w:fldChar w:fldCharType="begin"/>
        </w:r>
        <w:r>
          <w:rPr>
            <w:noProof/>
            <w:webHidden/>
          </w:rPr>
          <w:instrText xml:space="preserve"> PAGEREF _Toc181685136 \h </w:instrText>
        </w:r>
        <w:r>
          <w:rPr>
            <w:noProof/>
            <w:webHidden/>
          </w:rPr>
        </w:r>
        <w:r>
          <w:rPr>
            <w:noProof/>
            <w:webHidden/>
          </w:rPr>
          <w:fldChar w:fldCharType="separate"/>
        </w:r>
        <w:r>
          <w:rPr>
            <w:noProof/>
            <w:webHidden/>
          </w:rPr>
          <w:t>894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7" w:history="1">
        <w:r w:rsidRPr="001B13A4">
          <w:rPr>
            <w:rStyle w:val="Hyperlink"/>
            <w:noProof/>
          </w:rPr>
          <w:t>3.7.1.15</w:t>
        </w:r>
        <w:r>
          <w:rPr>
            <w:rFonts w:asciiTheme="minorHAnsi" w:eastAsiaTheme="minorEastAsia" w:hAnsiTheme="minorHAnsi" w:cstheme="minorBidi"/>
            <w:noProof/>
            <w:sz w:val="22"/>
            <w:szCs w:val="22"/>
          </w:rPr>
          <w:tab/>
        </w:r>
        <w:r w:rsidRPr="001B13A4">
          <w:rPr>
            <w:rStyle w:val="Hyperlink"/>
            <w:noProof/>
          </w:rPr>
          <w:t>SignatureProviderId (Signature Provider ID)</w:t>
        </w:r>
        <w:r>
          <w:rPr>
            <w:noProof/>
            <w:webHidden/>
          </w:rPr>
          <w:tab/>
        </w:r>
        <w:r>
          <w:rPr>
            <w:noProof/>
            <w:webHidden/>
          </w:rPr>
          <w:fldChar w:fldCharType="begin"/>
        </w:r>
        <w:r>
          <w:rPr>
            <w:noProof/>
            <w:webHidden/>
          </w:rPr>
          <w:instrText xml:space="preserve"> PAGEREF _Toc181685137 \h </w:instrText>
        </w:r>
        <w:r>
          <w:rPr>
            <w:noProof/>
            <w:webHidden/>
          </w:rPr>
        </w:r>
        <w:r>
          <w:rPr>
            <w:noProof/>
            <w:webHidden/>
          </w:rPr>
          <w:fldChar w:fldCharType="separate"/>
        </w:r>
        <w:r>
          <w:rPr>
            <w:noProof/>
            <w:webHidden/>
          </w:rPr>
          <w:t>894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8" w:history="1">
        <w:r w:rsidRPr="001B13A4">
          <w:rPr>
            <w:rStyle w:val="Hyperlink"/>
            <w:noProof/>
          </w:rPr>
          <w:t>3.7.1.16</w:t>
        </w:r>
        <w:r>
          <w:rPr>
            <w:rFonts w:asciiTheme="minorHAnsi" w:eastAsiaTheme="minorEastAsia" w:hAnsiTheme="minorHAnsi" w:cstheme="minorBidi"/>
            <w:noProof/>
            <w:sz w:val="22"/>
            <w:szCs w:val="22"/>
          </w:rPr>
          <w:tab/>
        </w:r>
        <w:r w:rsidRPr="001B13A4">
          <w:rPr>
            <w:rStyle w:val="Hyperlink"/>
            <w:noProof/>
          </w:rPr>
          <w:t>SignatureProviderUrl (Signature Provider URL)</w:t>
        </w:r>
        <w:r>
          <w:rPr>
            <w:noProof/>
            <w:webHidden/>
          </w:rPr>
          <w:tab/>
        </w:r>
        <w:r>
          <w:rPr>
            <w:noProof/>
            <w:webHidden/>
          </w:rPr>
          <w:fldChar w:fldCharType="begin"/>
        </w:r>
        <w:r>
          <w:rPr>
            <w:noProof/>
            <w:webHidden/>
          </w:rPr>
          <w:instrText xml:space="preserve"> PAGEREF _Toc181685138 \h </w:instrText>
        </w:r>
        <w:r>
          <w:rPr>
            <w:noProof/>
            <w:webHidden/>
          </w:rPr>
        </w:r>
        <w:r>
          <w:rPr>
            <w:noProof/>
            <w:webHidden/>
          </w:rPr>
          <w:fldChar w:fldCharType="separate"/>
        </w:r>
        <w:r>
          <w:rPr>
            <w:noProof/>
            <w:webHidden/>
          </w:rPr>
          <w:t>894</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39" w:history="1">
        <w:r w:rsidRPr="001B13A4">
          <w:rPr>
            <w:rStyle w:val="Hyperlink"/>
            <w:noProof/>
          </w:rPr>
          <w:t>3.7.1.17</w:t>
        </w:r>
        <w:r>
          <w:rPr>
            <w:rFonts w:asciiTheme="minorHAnsi" w:eastAsiaTheme="minorEastAsia" w:hAnsiTheme="minorHAnsi" w:cstheme="minorBidi"/>
            <w:noProof/>
            <w:sz w:val="22"/>
            <w:szCs w:val="22"/>
          </w:rPr>
          <w:tab/>
        </w:r>
        <w:r w:rsidRPr="001B13A4">
          <w:rPr>
            <w:rStyle w:val="Hyperlink"/>
            <w:noProof/>
          </w:rPr>
          <w:t>SignatureText (Signature Text)</w:t>
        </w:r>
        <w:r>
          <w:rPr>
            <w:noProof/>
            <w:webHidden/>
          </w:rPr>
          <w:tab/>
        </w:r>
        <w:r>
          <w:rPr>
            <w:noProof/>
            <w:webHidden/>
          </w:rPr>
          <w:fldChar w:fldCharType="begin"/>
        </w:r>
        <w:r>
          <w:rPr>
            <w:noProof/>
            <w:webHidden/>
          </w:rPr>
          <w:instrText xml:space="preserve"> PAGEREF _Toc181685139 \h </w:instrText>
        </w:r>
        <w:r>
          <w:rPr>
            <w:noProof/>
            <w:webHidden/>
          </w:rPr>
        </w:r>
        <w:r>
          <w:rPr>
            <w:noProof/>
            <w:webHidden/>
          </w:rPr>
          <w:fldChar w:fldCharType="separate"/>
        </w:r>
        <w:r>
          <w:rPr>
            <w:noProof/>
            <w:webHidden/>
          </w:rPr>
          <w:t>895</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40" w:history="1">
        <w:r w:rsidRPr="001B13A4">
          <w:rPr>
            <w:rStyle w:val="Hyperlink"/>
            <w:noProof/>
          </w:rPr>
          <w:t>3.7.1.18</w:t>
        </w:r>
        <w:r>
          <w:rPr>
            <w:rFonts w:asciiTheme="minorHAnsi" w:eastAsiaTheme="minorEastAsia" w:hAnsiTheme="minorHAnsi" w:cstheme="minorBidi"/>
            <w:noProof/>
            <w:sz w:val="22"/>
            <w:szCs w:val="22"/>
          </w:rPr>
          <w:tab/>
        </w:r>
        <w:r w:rsidRPr="001B13A4">
          <w:rPr>
            <w:rStyle w:val="Hyperlink"/>
            <w:noProof/>
          </w:rPr>
          <w:t>SignatureType (Signature Type)</w:t>
        </w:r>
        <w:r>
          <w:rPr>
            <w:noProof/>
            <w:webHidden/>
          </w:rPr>
          <w:tab/>
        </w:r>
        <w:r>
          <w:rPr>
            <w:noProof/>
            <w:webHidden/>
          </w:rPr>
          <w:fldChar w:fldCharType="begin"/>
        </w:r>
        <w:r>
          <w:rPr>
            <w:noProof/>
            <w:webHidden/>
          </w:rPr>
          <w:instrText xml:space="preserve"> PAGEREF _Toc181685140 \h </w:instrText>
        </w:r>
        <w:r>
          <w:rPr>
            <w:noProof/>
            <w:webHidden/>
          </w:rPr>
        </w:r>
        <w:r>
          <w:rPr>
            <w:noProof/>
            <w:webHidden/>
          </w:rPr>
          <w:fldChar w:fldCharType="separate"/>
        </w:r>
        <w:r>
          <w:rPr>
            <w:noProof/>
            <w:webHidden/>
          </w:rPr>
          <w:t>895</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41" w:history="1">
        <w:r w:rsidRPr="001B13A4">
          <w:rPr>
            <w:rStyle w:val="Hyperlink"/>
            <w:noProof/>
          </w:rPr>
          <w:t>3.7.1.19</w:t>
        </w:r>
        <w:r>
          <w:rPr>
            <w:rFonts w:asciiTheme="minorHAnsi" w:eastAsiaTheme="minorEastAsia" w:hAnsiTheme="minorHAnsi" w:cstheme="minorBidi"/>
            <w:noProof/>
            <w:sz w:val="22"/>
            <w:szCs w:val="22"/>
          </w:rPr>
          <w:tab/>
        </w:r>
        <w:r w:rsidRPr="001B13A4">
          <w:rPr>
            <w:rStyle w:val="Hyperlink"/>
            <w:noProof/>
          </w:rPr>
          <w:t>VerticalResolution (Vertical Resolution)</w:t>
        </w:r>
        <w:r>
          <w:rPr>
            <w:noProof/>
            <w:webHidden/>
          </w:rPr>
          <w:tab/>
        </w:r>
        <w:r>
          <w:rPr>
            <w:noProof/>
            <w:webHidden/>
          </w:rPr>
          <w:fldChar w:fldCharType="begin"/>
        </w:r>
        <w:r>
          <w:rPr>
            <w:noProof/>
            <w:webHidden/>
          </w:rPr>
          <w:instrText xml:space="preserve"> PAGEREF _Toc181685141 \h </w:instrText>
        </w:r>
        <w:r>
          <w:rPr>
            <w:noProof/>
            <w:webHidden/>
          </w:rPr>
        </w:r>
        <w:r>
          <w:rPr>
            <w:noProof/>
            <w:webHidden/>
          </w:rPr>
          <w:fldChar w:fldCharType="separate"/>
        </w:r>
        <w:r>
          <w:rPr>
            <w:noProof/>
            <w:webHidden/>
          </w:rPr>
          <w:t>896</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42" w:history="1">
        <w:r w:rsidRPr="001B13A4">
          <w:rPr>
            <w:rStyle w:val="Hyperlink"/>
            <w:noProof/>
          </w:rPr>
          <w:t>3.7.1.20</w:t>
        </w:r>
        <w:r>
          <w:rPr>
            <w:rFonts w:asciiTheme="minorHAnsi" w:eastAsiaTheme="minorEastAsia" w:hAnsiTheme="minorHAnsi" w:cstheme="minorBidi"/>
            <w:noProof/>
            <w:sz w:val="22"/>
            <w:szCs w:val="22"/>
          </w:rPr>
          <w:tab/>
        </w:r>
        <w:r w:rsidRPr="001B13A4">
          <w:rPr>
            <w:rStyle w:val="Hyperlink"/>
            <w:noProof/>
          </w:rPr>
          <w:t>WindowsVersion (Windows Version)</w:t>
        </w:r>
        <w:r>
          <w:rPr>
            <w:noProof/>
            <w:webHidden/>
          </w:rPr>
          <w:tab/>
        </w:r>
        <w:r>
          <w:rPr>
            <w:noProof/>
            <w:webHidden/>
          </w:rPr>
          <w:fldChar w:fldCharType="begin"/>
        </w:r>
        <w:r>
          <w:rPr>
            <w:noProof/>
            <w:webHidden/>
          </w:rPr>
          <w:instrText xml:space="preserve"> PAGEREF _Toc181685142 \h </w:instrText>
        </w:r>
        <w:r>
          <w:rPr>
            <w:noProof/>
            <w:webHidden/>
          </w:rPr>
        </w:r>
        <w:r>
          <w:rPr>
            <w:noProof/>
            <w:webHidden/>
          </w:rPr>
          <w:fldChar w:fldCharType="separate"/>
        </w:r>
        <w:r>
          <w:rPr>
            <w:noProof/>
            <w:webHidden/>
          </w:rPr>
          <w:t>896</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43" w:history="1">
        <w:r w:rsidRPr="001B13A4">
          <w:rPr>
            <w:rStyle w:val="Hyperlink"/>
            <w:noProof/>
          </w:rPr>
          <w:t>3.7.2</w:t>
        </w:r>
        <w:r>
          <w:rPr>
            <w:rFonts w:asciiTheme="minorHAnsi" w:eastAsiaTheme="minorEastAsia" w:hAnsiTheme="minorHAnsi" w:cstheme="minorBidi"/>
            <w:noProof/>
            <w:sz w:val="22"/>
            <w:szCs w:val="22"/>
          </w:rPr>
          <w:tab/>
        </w:r>
        <w:r w:rsidRPr="001B13A4">
          <w:rPr>
            <w:rStyle w:val="Hyperlink"/>
            <w:noProof/>
          </w:rPr>
          <w:t>Simple Types</w:t>
        </w:r>
        <w:r>
          <w:rPr>
            <w:noProof/>
            <w:webHidden/>
          </w:rPr>
          <w:tab/>
        </w:r>
        <w:r>
          <w:rPr>
            <w:noProof/>
            <w:webHidden/>
          </w:rPr>
          <w:fldChar w:fldCharType="begin"/>
        </w:r>
        <w:r>
          <w:rPr>
            <w:noProof/>
            <w:webHidden/>
          </w:rPr>
          <w:instrText xml:space="preserve"> PAGEREF _Toc181685143 \h </w:instrText>
        </w:r>
        <w:r>
          <w:rPr>
            <w:noProof/>
            <w:webHidden/>
          </w:rPr>
        </w:r>
        <w:r>
          <w:rPr>
            <w:noProof/>
            <w:webHidden/>
          </w:rPr>
          <w:fldChar w:fldCharType="separate"/>
        </w:r>
        <w:r>
          <w:rPr>
            <w:noProof/>
            <w:webHidden/>
          </w:rPr>
          <w:t>896</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44" w:history="1">
        <w:r w:rsidRPr="001B13A4">
          <w:rPr>
            <w:rStyle w:val="Hyperlink"/>
            <w:noProof/>
          </w:rPr>
          <w:t>3.7.2.1</w:t>
        </w:r>
        <w:r>
          <w:rPr>
            <w:rFonts w:asciiTheme="minorHAnsi" w:eastAsiaTheme="minorEastAsia" w:hAnsiTheme="minorHAnsi" w:cstheme="minorBidi"/>
            <w:noProof/>
            <w:sz w:val="22"/>
            <w:szCs w:val="22"/>
          </w:rPr>
          <w:tab/>
        </w:r>
        <w:r w:rsidRPr="001B13A4">
          <w:rPr>
            <w:rStyle w:val="Hyperlink"/>
            <w:noProof/>
          </w:rPr>
          <w:t>ST_PositiveInteger (Positive Integer)</w:t>
        </w:r>
        <w:r>
          <w:rPr>
            <w:noProof/>
            <w:webHidden/>
          </w:rPr>
          <w:tab/>
        </w:r>
        <w:r>
          <w:rPr>
            <w:noProof/>
            <w:webHidden/>
          </w:rPr>
          <w:fldChar w:fldCharType="begin"/>
        </w:r>
        <w:r>
          <w:rPr>
            <w:noProof/>
            <w:webHidden/>
          </w:rPr>
          <w:instrText xml:space="preserve"> PAGEREF _Toc181685144 \h </w:instrText>
        </w:r>
        <w:r>
          <w:rPr>
            <w:noProof/>
            <w:webHidden/>
          </w:rPr>
        </w:r>
        <w:r>
          <w:rPr>
            <w:noProof/>
            <w:webHidden/>
          </w:rPr>
          <w:fldChar w:fldCharType="separate"/>
        </w:r>
        <w:r>
          <w:rPr>
            <w:noProof/>
            <w:webHidden/>
          </w:rPr>
          <w:t>897</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45" w:history="1">
        <w:r w:rsidRPr="001B13A4">
          <w:rPr>
            <w:rStyle w:val="Hyperlink"/>
            <w:noProof/>
          </w:rPr>
          <w:t>3.7.2.2</w:t>
        </w:r>
        <w:r>
          <w:rPr>
            <w:rFonts w:asciiTheme="minorHAnsi" w:eastAsiaTheme="minorEastAsia" w:hAnsiTheme="minorHAnsi" w:cstheme="minorBidi"/>
            <w:noProof/>
            <w:sz w:val="22"/>
            <w:szCs w:val="22"/>
          </w:rPr>
          <w:tab/>
        </w:r>
        <w:r w:rsidRPr="001B13A4">
          <w:rPr>
            <w:rStyle w:val="Hyperlink"/>
            <w:noProof/>
          </w:rPr>
          <w:t>ST_SignatureComments (Signature Comments)</w:t>
        </w:r>
        <w:r>
          <w:rPr>
            <w:noProof/>
            <w:webHidden/>
          </w:rPr>
          <w:tab/>
        </w:r>
        <w:r>
          <w:rPr>
            <w:noProof/>
            <w:webHidden/>
          </w:rPr>
          <w:fldChar w:fldCharType="begin"/>
        </w:r>
        <w:r>
          <w:rPr>
            <w:noProof/>
            <w:webHidden/>
          </w:rPr>
          <w:instrText xml:space="preserve"> PAGEREF _Toc181685145 \h </w:instrText>
        </w:r>
        <w:r>
          <w:rPr>
            <w:noProof/>
            <w:webHidden/>
          </w:rPr>
        </w:r>
        <w:r>
          <w:rPr>
            <w:noProof/>
            <w:webHidden/>
          </w:rPr>
          <w:fldChar w:fldCharType="separate"/>
        </w:r>
        <w:r>
          <w:rPr>
            <w:noProof/>
            <w:webHidden/>
          </w:rPr>
          <w:t>897</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46" w:history="1">
        <w:r w:rsidRPr="001B13A4">
          <w:rPr>
            <w:rStyle w:val="Hyperlink"/>
            <w:noProof/>
          </w:rPr>
          <w:t>3.7.2.3</w:t>
        </w:r>
        <w:r>
          <w:rPr>
            <w:rFonts w:asciiTheme="minorHAnsi" w:eastAsiaTheme="minorEastAsia" w:hAnsiTheme="minorHAnsi" w:cstheme="minorBidi"/>
            <w:noProof/>
            <w:sz w:val="22"/>
            <w:szCs w:val="22"/>
          </w:rPr>
          <w:tab/>
        </w:r>
        <w:r w:rsidRPr="001B13A4">
          <w:rPr>
            <w:rStyle w:val="Hyperlink"/>
            <w:noProof/>
          </w:rPr>
          <w:t>ST_SignatureProviderUrl (Signature Provider URL)</w:t>
        </w:r>
        <w:r>
          <w:rPr>
            <w:noProof/>
            <w:webHidden/>
          </w:rPr>
          <w:tab/>
        </w:r>
        <w:r>
          <w:rPr>
            <w:noProof/>
            <w:webHidden/>
          </w:rPr>
          <w:fldChar w:fldCharType="begin"/>
        </w:r>
        <w:r>
          <w:rPr>
            <w:noProof/>
            <w:webHidden/>
          </w:rPr>
          <w:instrText xml:space="preserve"> PAGEREF _Toc181685146 \h </w:instrText>
        </w:r>
        <w:r>
          <w:rPr>
            <w:noProof/>
            <w:webHidden/>
          </w:rPr>
        </w:r>
        <w:r>
          <w:rPr>
            <w:noProof/>
            <w:webHidden/>
          </w:rPr>
          <w:fldChar w:fldCharType="separate"/>
        </w:r>
        <w:r>
          <w:rPr>
            <w:noProof/>
            <w:webHidden/>
          </w:rPr>
          <w:t>897</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47" w:history="1">
        <w:r w:rsidRPr="001B13A4">
          <w:rPr>
            <w:rStyle w:val="Hyperlink"/>
            <w:noProof/>
          </w:rPr>
          <w:t>3.7.2.4</w:t>
        </w:r>
        <w:r>
          <w:rPr>
            <w:rFonts w:asciiTheme="minorHAnsi" w:eastAsiaTheme="minorEastAsia" w:hAnsiTheme="minorHAnsi" w:cstheme="minorBidi"/>
            <w:noProof/>
            <w:sz w:val="22"/>
            <w:szCs w:val="22"/>
          </w:rPr>
          <w:tab/>
        </w:r>
        <w:r w:rsidRPr="001B13A4">
          <w:rPr>
            <w:rStyle w:val="Hyperlink"/>
            <w:noProof/>
          </w:rPr>
          <w:t>ST_SignatureText (Signature Text)</w:t>
        </w:r>
        <w:r>
          <w:rPr>
            <w:noProof/>
            <w:webHidden/>
          </w:rPr>
          <w:tab/>
        </w:r>
        <w:r>
          <w:rPr>
            <w:noProof/>
            <w:webHidden/>
          </w:rPr>
          <w:fldChar w:fldCharType="begin"/>
        </w:r>
        <w:r>
          <w:rPr>
            <w:noProof/>
            <w:webHidden/>
          </w:rPr>
          <w:instrText xml:space="preserve"> PAGEREF _Toc181685147 \h </w:instrText>
        </w:r>
        <w:r>
          <w:rPr>
            <w:noProof/>
            <w:webHidden/>
          </w:rPr>
        </w:r>
        <w:r>
          <w:rPr>
            <w:noProof/>
            <w:webHidden/>
          </w:rPr>
          <w:fldChar w:fldCharType="separate"/>
        </w:r>
        <w:r>
          <w:rPr>
            <w:noProof/>
            <w:webHidden/>
          </w:rPr>
          <w:t>898</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48" w:history="1">
        <w:r w:rsidRPr="001B13A4">
          <w:rPr>
            <w:rStyle w:val="Hyperlink"/>
            <w:noProof/>
          </w:rPr>
          <w:t>3.7.2.5</w:t>
        </w:r>
        <w:r>
          <w:rPr>
            <w:rFonts w:asciiTheme="minorHAnsi" w:eastAsiaTheme="minorEastAsia" w:hAnsiTheme="minorHAnsi" w:cstheme="minorBidi"/>
            <w:noProof/>
            <w:sz w:val="22"/>
            <w:szCs w:val="22"/>
          </w:rPr>
          <w:tab/>
        </w:r>
        <w:r w:rsidRPr="001B13A4">
          <w:rPr>
            <w:rStyle w:val="Hyperlink"/>
            <w:noProof/>
          </w:rPr>
          <w:t>ST_SignatureType (Signature Type)</w:t>
        </w:r>
        <w:r>
          <w:rPr>
            <w:noProof/>
            <w:webHidden/>
          </w:rPr>
          <w:tab/>
        </w:r>
        <w:r>
          <w:rPr>
            <w:noProof/>
            <w:webHidden/>
          </w:rPr>
          <w:fldChar w:fldCharType="begin"/>
        </w:r>
        <w:r>
          <w:rPr>
            <w:noProof/>
            <w:webHidden/>
          </w:rPr>
          <w:instrText xml:space="preserve"> PAGEREF _Toc181685148 \h </w:instrText>
        </w:r>
        <w:r>
          <w:rPr>
            <w:noProof/>
            <w:webHidden/>
          </w:rPr>
        </w:r>
        <w:r>
          <w:rPr>
            <w:noProof/>
            <w:webHidden/>
          </w:rPr>
          <w:fldChar w:fldCharType="separate"/>
        </w:r>
        <w:r>
          <w:rPr>
            <w:noProof/>
            <w:webHidden/>
          </w:rPr>
          <w:t>898</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49" w:history="1">
        <w:r w:rsidRPr="001B13A4">
          <w:rPr>
            <w:rStyle w:val="Hyperlink"/>
            <w:noProof/>
          </w:rPr>
          <w:t>3.7.2.6</w:t>
        </w:r>
        <w:r>
          <w:rPr>
            <w:rFonts w:asciiTheme="minorHAnsi" w:eastAsiaTheme="minorEastAsia" w:hAnsiTheme="minorHAnsi" w:cstheme="minorBidi"/>
            <w:noProof/>
            <w:sz w:val="22"/>
            <w:szCs w:val="22"/>
          </w:rPr>
          <w:tab/>
        </w:r>
        <w:r w:rsidRPr="001B13A4">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_Toc181685149 \h </w:instrText>
        </w:r>
        <w:r>
          <w:rPr>
            <w:noProof/>
            <w:webHidden/>
          </w:rPr>
        </w:r>
        <w:r>
          <w:rPr>
            <w:noProof/>
            <w:webHidden/>
          </w:rPr>
          <w:fldChar w:fldCharType="separate"/>
        </w:r>
        <w:r>
          <w:rPr>
            <w:noProof/>
            <w:webHidden/>
          </w:rPr>
          <w:t>899</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50" w:history="1">
        <w:r w:rsidRPr="001B13A4">
          <w:rPr>
            <w:rStyle w:val="Hyperlink"/>
            <w:noProof/>
          </w:rPr>
          <w:t>3.7.2.7</w:t>
        </w:r>
        <w:r>
          <w:rPr>
            <w:rFonts w:asciiTheme="minorHAnsi" w:eastAsiaTheme="minorEastAsia" w:hAnsiTheme="minorHAnsi" w:cstheme="minorBidi"/>
            <w:noProof/>
            <w:sz w:val="22"/>
            <w:szCs w:val="22"/>
          </w:rPr>
          <w:tab/>
        </w:r>
        <w:r w:rsidRPr="001B13A4">
          <w:rPr>
            <w:rStyle w:val="Hyperlink"/>
            <w:noProof/>
          </w:rPr>
          <w:t>ST_Version (Version)</w:t>
        </w:r>
        <w:r>
          <w:rPr>
            <w:noProof/>
            <w:webHidden/>
          </w:rPr>
          <w:tab/>
        </w:r>
        <w:r>
          <w:rPr>
            <w:noProof/>
            <w:webHidden/>
          </w:rPr>
          <w:fldChar w:fldCharType="begin"/>
        </w:r>
        <w:r>
          <w:rPr>
            <w:noProof/>
            <w:webHidden/>
          </w:rPr>
          <w:instrText xml:space="preserve"> PAGEREF _Toc181685150 \h </w:instrText>
        </w:r>
        <w:r>
          <w:rPr>
            <w:noProof/>
            <w:webHidden/>
          </w:rPr>
        </w:r>
        <w:r>
          <w:rPr>
            <w:noProof/>
            <w:webHidden/>
          </w:rPr>
          <w:fldChar w:fldCharType="separate"/>
        </w:r>
        <w:r>
          <w:rPr>
            <w:noProof/>
            <w:webHidden/>
          </w:rPr>
          <w:t>899</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151" w:history="1">
        <w:r w:rsidRPr="001B13A4">
          <w:rPr>
            <w:rStyle w:val="Hyperlink"/>
            <w:noProof/>
          </w:rPr>
          <w:t>3.8</w:t>
        </w:r>
        <w:r>
          <w:rPr>
            <w:rFonts w:asciiTheme="minorHAnsi" w:eastAsiaTheme="minorEastAsia" w:hAnsiTheme="minorHAnsi" w:cstheme="minorBidi"/>
            <w:noProof/>
            <w:sz w:val="22"/>
            <w:szCs w:val="22"/>
          </w:rPr>
          <w:tab/>
        </w:r>
        <w:r w:rsidRPr="001B13A4">
          <w:rPr>
            <w:rStyle w:val="Hyperlink"/>
            <w:noProof/>
          </w:rPr>
          <w:t>Equation XML</w:t>
        </w:r>
        <w:r>
          <w:rPr>
            <w:noProof/>
            <w:webHidden/>
          </w:rPr>
          <w:tab/>
        </w:r>
        <w:r>
          <w:rPr>
            <w:noProof/>
            <w:webHidden/>
          </w:rPr>
          <w:fldChar w:fldCharType="begin"/>
        </w:r>
        <w:r>
          <w:rPr>
            <w:noProof/>
            <w:webHidden/>
          </w:rPr>
          <w:instrText xml:space="preserve"> PAGEREF _Toc181685151 \h </w:instrText>
        </w:r>
        <w:r>
          <w:rPr>
            <w:noProof/>
            <w:webHidden/>
          </w:rPr>
        </w:r>
        <w:r>
          <w:rPr>
            <w:noProof/>
            <w:webHidden/>
          </w:rPr>
          <w:fldChar w:fldCharType="separate"/>
        </w:r>
        <w:r>
          <w:rPr>
            <w:noProof/>
            <w:webHidden/>
          </w:rPr>
          <w:t>900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52" w:history="1">
        <w:r w:rsidRPr="001B13A4">
          <w:rPr>
            <w:rStyle w:val="Hyperlink"/>
            <w:noProof/>
          </w:rPr>
          <w:t>3.8.1</w:t>
        </w:r>
        <w:r>
          <w:rPr>
            <w:rFonts w:asciiTheme="minorHAnsi" w:eastAsiaTheme="minorEastAsia" w:hAnsiTheme="minorHAnsi" w:cstheme="minorBidi"/>
            <w:noProof/>
            <w:sz w:val="22"/>
            <w:szCs w:val="22"/>
          </w:rPr>
          <w:tab/>
        </w:r>
        <w:r w:rsidRPr="001B13A4">
          <w:rPr>
            <w:rStyle w:val="Hyperlink"/>
            <w:noProof/>
          </w:rPr>
          <w:t>Introduction</w:t>
        </w:r>
        <w:r>
          <w:rPr>
            <w:noProof/>
            <w:webHidden/>
          </w:rPr>
          <w:tab/>
        </w:r>
        <w:r>
          <w:rPr>
            <w:noProof/>
            <w:webHidden/>
          </w:rPr>
          <w:fldChar w:fldCharType="begin"/>
        </w:r>
        <w:r>
          <w:rPr>
            <w:noProof/>
            <w:webHidden/>
          </w:rPr>
          <w:instrText xml:space="preserve"> PAGEREF _Toc181685152 \h </w:instrText>
        </w:r>
        <w:r>
          <w:rPr>
            <w:noProof/>
            <w:webHidden/>
          </w:rPr>
        </w:r>
        <w:r>
          <w:rPr>
            <w:noProof/>
            <w:webHidden/>
          </w:rPr>
          <w:fldChar w:fldCharType="separate"/>
        </w:r>
        <w:r>
          <w:rPr>
            <w:noProof/>
            <w:webHidden/>
          </w:rPr>
          <w:t>900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53" w:history="1">
        <w:r w:rsidRPr="001B13A4">
          <w:rPr>
            <w:rStyle w:val="Hyperlink"/>
            <w:noProof/>
          </w:rPr>
          <w:t>3.8.2</w:t>
        </w:r>
        <w:r>
          <w:rPr>
            <w:rFonts w:asciiTheme="minorHAnsi" w:eastAsiaTheme="minorEastAsia" w:hAnsiTheme="minorHAnsi" w:cstheme="minorBidi"/>
            <w:noProof/>
            <w:sz w:val="22"/>
            <w:szCs w:val="22"/>
          </w:rPr>
          <w:tab/>
        </w:r>
        <w:r w:rsidRPr="001B13A4">
          <w:rPr>
            <w:rStyle w:val="Hyperlink"/>
            <w:noProof/>
          </w:rPr>
          <w:t>Basic Format</w:t>
        </w:r>
        <w:r>
          <w:rPr>
            <w:noProof/>
            <w:webHidden/>
          </w:rPr>
          <w:tab/>
        </w:r>
        <w:r>
          <w:rPr>
            <w:noProof/>
            <w:webHidden/>
          </w:rPr>
          <w:fldChar w:fldCharType="begin"/>
        </w:r>
        <w:r>
          <w:rPr>
            <w:noProof/>
            <w:webHidden/>
          </w:rPr>
          <w:instrText xml:space="preserve"> PAGEREF _Toc181685153 \h </w:instrText>
        </w:r>
        <w:r>
          <w:rPr>
            <w:noProof/>
            <w:webHidden/>
          </w:rPr>
        </w:r>
        <w:r>
          <w:rPr>
            <w:noProof/>
            <w:webHidden/>
          </w:rPr>
          <w:fldChar w:fldCharType="separate"/>
        </w:r>
        <w:r>
          <w:rPr>
            <w:noProof/>
            <w:webHidden/>
          </w:rPr>
          <w:t>900</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54" w:history="1">
        <w:r w:rsidRPr="001B13A4">
          <w:rPr>
            <w:rStyle w:val="Hyperlink"/>
            <w:noProof/>
          </w:rPr>
          <w:t>3.8.3</w:t>
        </w:r>
        <w:r>
          <w:rPr>
            <w:rFonts w:asciiTheme="minorHAnsi" w:eastAsiaTheme="minorEastAsia" w:hAnsiTheme="minorHAnsi" w:cstheme="minorBidi"/>
            <w:noProof/>
            <w:sz w:val="22"/>
            <w:szCs w:val="22"/>
          </w:rPr>
          <w:tab/>
        </w:r>
        <w:r w:rsidRPr="001B13A4">
          <w:rPr>
            <w:rStyle w:val="Hyperlink"/>
            <w:noProof/>
          </w:rPr>
          <w:t>Reading the equationXml attribute</w:t>
        </w:r>
        <w:r>
          <w:rPr>
            <w:noProof/>
            <w:webHidden/>
          </w:rPr>
          <w:tab/>
        </w:r>
        <w:r>
          <w:rPr>
            <w:noProof/>
            <w:webHidden/>
          </w:rPr>
          <w:fldChar w:fldCharType="begin"/>
        </w:r>
        <w:r>
          <w:rPr>
            <w:noProof/>
            <w:webHidden/>
          </w:rPr>
          <w:instrText xml:space="preserve"> PAGEREF _Toc181685154 \h </w:instrText>
        </w:r>
        <w:r>
          <w:rPr>
            <w:noProof/>
            <w:webHidden/>
          </w:rPr>
        </w:r>
        <w:r>
          <w:rPr>
            <w:noProof/>
            <w:webHidden/>
          </w:rPr>
          <w:fldChar w:fldCharType="separate"/>
        </w:r>
        <w:r>
          <w:rPr>
            <w:noProof/>
            <w:webHidden/>
          </w:rPr>
          <w:t>901</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55" w:history="1">
        <w:r w:rsidRPr="001B13A4">
          <w:rPr>
            <w:rStyle w:val="Hyperlink"/>
            <w:noProof/>
          </w:rPr>
          <w:t>3.8.4</w:t>
        </w:r>
        <w:r>
          <w:rPr>
            <w:rFonts w:asciiTheme="minorHAnsi" w:eastAsiaTheme="minorEastAsia" w:hAnsiTheme="minorHAnsi" w:cstheme="minorBidi"/>
            <w:noProof/>
            <w:sz w:val="22"/>
            <w:szCs w:val="22"/>
          </w:rPr>
          <w:tab/>
        </w:r>
        <w:r w:rsidRPr="001B13A4">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_Toc181685155 \h </w:instrText>
        </w:r>
        <w:r>
          <w:rPr>
            <w:noProof/>
            <w:webHidden/>
          </w:rPr>
        </w:r>
        <w:r>
          <w:rPr>
            <w:noProof/>
            <w:webHidden/>
          </w:rPr>
          <w:fldChar w:fldCharType="separate"/>
        </w:r>
        <w:r>
          <w:rPr>
            <w:noProof/>
            <w:webHidden/>
          </w:rPr>
          <w:t>902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56" w:history="1">
        <w:r w:rsidRPr="001B13A4">
          <w:rPr>
            <w:rStyle w:val="Hyperlink"/>
            <w:noProof/>
          </w:rPr>
          <w:t>3.8.4.1</w:t>
        </w:r>
        <w:r>
          <w:rPr>
            <w:rFonts w:asciiTheme="minorHAnsi" w:eastAsiaTheme="minorEastAsia" w:hAnsiTheme="minorHAnsi" w:cstheme="minorBidi"/>
            <w:noProof/>
            <w:sz w:val="22"/>
            <w:szCs w:val="22"/>
          </w:rPr>
          <w:tab/>
        </w:r>
        <w:r w:rsidRPr="001B13A4">
          <w:rPr>
            <w:rStyle w:val="Hyperlink"/>
            <w:noProof/>
          </w:rPr>
          <w:t>Containment of the oMathPara element</w:t>
        </w:r>
        <w:r>
          <w:rPr>
            <w:noProof/>
            <w:webHidden/>
          </w:rPr>
          <w:tab/>
        </w:r>
        <w:r>
          <w:rPr>
            <w:noProof/>
            <w:webHidden/>
          </w:rPr>
          <w:fldChar w:fldCharType="begin"/>
        </w:r>
        <w:r>
          <w:rPr>
            <w:noProof/>
            <w:webHidden/>
          </w:rPr>
          <w:instrText xml:space="preserve"> PAGEREF _Toc181685156 \h </w:instrText>
        </w:r>
        <w:r>
          <w:rPr>
            <w:noProof/>
            <w:webHidden/>
          </w:rPr>
        </w:r>
        <w:r>
          <w:rPr>
            <w:noProof/>
            <w:webHidden/>
          </w:rPr>
          <w:fldChar w:fldCharType="separate"/>
        </w:r>
        <w:r>
          <w:rPr>
            <w:noProof/>
            <w:webHidden/>
          </w:rPr>
          <w:t>902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57" w:history="1">
        <w:r w:rsidRPr="001B13A4">
          <w:rPr>
            <w:rStyle w:val="Hyperlink"/>
            <w:noProof/>
          </w:rPr>
          <w:t>3.8.4.2</w:t>
        </w:r>
        <w:r>
          <w:rPr>
            <w:rFonts w:asciiTheme="minorHAnsi" w:eastAsiaTheme="minorEastAsia" w:hAnsiTheme="minorHAnsi" w:cstheme="minorBidi"/>
            <w:noProof/>
            <w:sz w:val="22"/>
            <w:szCs w:val="22"/>
          </w:rPr>
          <w:tab/>
        </w:r>
        <w:r w:rsidRPr="001B13A4">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_Toc181685157 \h </w:instrText>
        </w:r>
        <w:r>
          <w:rPr>
            <w:noProof/>
            <w:webHidden/>
          </w:rPr>
        </w:r>
        <w:r>
          <w:rPr>
            <w:noProof/>
            <w:webHidden/>
          </w:rPr>
          <w:fldChar w:fldCharType="separate"/>
        </w:r>
        <w:r>
          <w:rPr>
            <w:noProof/>
            <w:webHidden/>
          </w:rPr>
          <w:t>902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58" w:history="1">
        <w:r w:rsidRPr="001B13A4">
          <w:rPr>
            <w:rStyle w:val="Hyperlink"/>
            <w:noProof/>
          </w:rPr>
          <w:t>3.8.5</w:t>
        </w:r>
        <w:r>
          <w:rPr>
            <w:rFonts w:asciiTheme="minorHAnsi" w:eastAsiaTheme="minorEastAsia" w:hAnsiTheme="minorHAnsi" w:cstheme="minorBidi"/>
            <w:noProof/>
            <w:sz w:val="22"/>
            <w:szCs w:val="22"/>
          </w:rPr>
          <w:tab/>
        </w:r>
        <w:r w:rsidRPr="001B13A4">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_Toc181685158 \h </w:instrText>
        </w:r>
        <w:r>
          <w:rPr>
            <w:noProof/>
            <w:webHidden/>
          </w:rPr>
        </w:r>
        <w:r>
          <w:rPr>
            <w:noProof/>
            <w:webHidden/>
          </w:rPr>
          <w:fldChar w:fldCharType="separate"/>
        </w:r>
        <w:r>
          <w:rPr>
            <w:noProof/>
            <w:webHidden/>
          </w:rPr>
          <w:t>902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59" w:history="1">
        <w:r w:rsidRPr="001B13A4">
          <w:rPr>
            <w:rStyle w:val="Hyperlink"/>
            <w:noProof/>
          </w:rPr>
          <w:t>3.8.5.1</w:t>
        </w:r>
        <w:r>
          <w:rPr>
            <w:rFonts w:asciiTheme="minorHAnsi" w:eastAsiaTheme="minorEastAsia" w:hAnsiTheme="minorHAnsi" w:cstheme="minorBidi"/>
            <w:noProof/>
            <w:sz w:val="22"/>
            <w:szCs w:val="22"/>
          </w:rPr>
          <w:tab/>
        </w:r>
        <w:r w:rsidRPr="001B13A4">
          <w:rPr>
            <w:rStyle w:val="Hyperlink"/>
            <w:noProof/>
          </w:rPr>
          <w:t>Control Properties</w:t>
        </w:r>
        <w:r>
          <w:rPr>
            <w:noProof/>
            <w:webHidden/>
          </w:rPr>
          <w:tab/>
        </w:r>
        <w:r>
          <w:rPr>
            <w:noProof/>
            <w:webHidden/>
          </w:rPr>
          <w:fldChar w:fldCharType="begin"/>
        </w:r>
        <w:r>
          <w:rPr>
            <w:noProof/>
            <w:webHidden/>
          </w:rPr>
          <w:instrText xml:space="preserve"> PAGEREF _Toc181685159 \h </w:instrText>
        </w:r>
        <w:r>
          <w:rPr>
            <w:noProof/>
            <w:webHidden/>
          </w:rPr>
        </w:r>
        <w:r>
          <w:rPr>
            <w:noProof/>
            <w:webHidden/>
          </w:rPr>
          <w:fldChar w:fldCharType="separate"/>
        </w:r>
        <w:r>
          <w:rPr>
            <w:noProof/>
            <w:webHidden/>
          </w:rPr>
          <w:t>902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60" w:history="1">
        <w:r w:rsidRPr="001B13A4">
          <w:rPr>
            <w:rStyle w:val="Hyperlink"/>
            <w:noProof/>
          </w:rPr>
          <w:t>3.8.5.2</w:t>
        </w:r>
        <w:r>
          <w:rPr>
            <w:rFonts w:asciiTheme="minorHAnsi" w:eastAsiaTheme="minorEastAsia" w:hAnsiTheme="minorHAnsi" w:cstheme="minorBidi"/>
            <w:noProof/>
            <w:sz w:val="22"/>
            <w:szCs w:val="22"/>
          </w:rPr>
          <w:tab/>
        </w:r>
        <w:r w:rsidRPr="001B13A4">
          <w:rPr>
            <w:rStyle w:val="Hyperlink"/>
            <w:noProof/>
          </w:rPr>
          <w:t>oMath and Math Arguments</w:t>
        </w:r>
        <w:r>
          <w:rPr>
            <w:noProof/>
            <w:webHidden/>
          </w:rPr>
          <w:tab/>
        </w:r>
        <w:r>
          <w:rPr>
            <w:noProof/>
            <w:webHidden/>
          </w:rPr>
          <w:fldChar w:fldCharType="begin"/>
        </w:r>
        <w:r>
          <w:rPr>
            <w:noProof/>
            <w:webHidden/>
          </w:rPr>
          <w:instrText xml:space="preserve"> PAGEREF _Toc181685160 \h </w:instrText>
        </w:r>
        <w:r>
          <w:rPr>
            <w:noProof/>
            <w:webHidden/>
          </w:rPr>
        </w:r>
        <w:r>
          <w:rPr>
            <w:noProof/>
            <w:webHidden/>
          </w:rPr>
          <w:fldChar w:fldCharType="separate"/>
        </w:r>
        <w:r>
          <w:rPr>
            <w:noProof/>
            <w:webHidden/>
          </w:rPr>
          <w:t>902</w:t>
        </w:r>
        <w:r>
          <w:rPr>
            <w:noProof/>
            <w:webHidden/>
          </w:rPr>
          <w:fldChar w:fldCharType="end"/>
        </w:r>
      </w:hyperlink>
    </w:p>
    <w:p w:rsidR="00A9721F" w:rsidRDefault="00A9721F">
      <w:pPr>
        <w:pStyle w:val="TOC4"/>
        <w:rPr>
          <w:rFonts w:asciiTheme="minorHAnsi" w:eastAsiaTheme="minorEastAsia" w:hAnsiTheme="minorHAnsi" w:cstheme="minorBidi"/>
          <w:noProof/>
          <w:sz w:val="22"/>
          <w:szCs w:val="22"/>
        </w:rPr>
      </w:pPr>
      <w:hyperlink w:anchor="_Toc181685161" w:history="1">
        <w:r w:rsidRPr="001B13A4">
          <w:rPr>
            <w:rStyle w:val="Hyperlink"/>
            <w:noProof/>
          </w:rPr>
          <w:t>3.8.5.3</w:t>
        </w:r>
        <w:r>
          <w:rPr>
            <w:rFonts w:asciiTheme="minorHAnsi" w:eastAsiaTheme="minorEastAsia" w:hAnsiTheme="minorHAnsi" w:cstheme="minorBidi"/>
            <w:noProof/>
            <w:sz w:val="22"/>
            <w:szCs w:val="22"/>
          </w:rPr>
          <w:tab/>
        </w:r>
        <w:r w:rsidRPr="001B13A4">
          <w:rPr>
            <w:rStyle w:val="Hyperlink"/>
            <w:noProof/>
          </w:rPr>
          <w:t>Math Run</w:t>
        </w:r>
        <w:r>
          <w:rPr>
            <w:noProof/>
            <w:webHidden/>
          </w:rPr>
          <w:tab/>
        </w:r>
        <w:r>
          <w:rPr>
            <w:noProof/>
            <w:webHidden/>
          </w:rPr>
          <w:fldChar w:fldCharType="begin"/>
        </w:r>
        <w:r>
          <w:rPr>
            <w:noProof/>
            <w:webHidden/>
          </w:rPr>
          <w:instrText xml:space="preserve"> PAGEREF _Toc181685161 \h </w:instrText>
        </w:r>
        <w:r>
          <w:rPr>
            <w:noProof/>
            <w:webHidden/>
          </w:rPr>
        </w:r>
        <w:r>
          <w:rPr>
            <w:noProof/>
            <w:webHidden/>
          </w:rPr>
          <w:fldChar w:fldCharType="separate"/>
        </w:r>
        <w:r>
          <w:rPr>
            <w:noProof/>
            <w:webHidden/>
          </w:rPr>
          <w:t>903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62" w:history="1">
        <w:r w:rsidRPr="001B13A4">
          <w:rPr>
            <w:rStyle w:val="Hyperlink"/>
            <w:noProof/>
          </w:rPr>
          <w:t>3.8.6</w:t>
        </w:r>
        <w:r>
          <w:rPr>
            <w:rFonts w:asciiTheme="minorHAnsi" w:eastAsiaTheme="minorEastAsia" w:hAnsiTheme="minorHAnsi" w:cstheme="minorBidi"/>
            <w:noProof/>
            <w:sz w:val="22"/>
            <w:szCs w:val="22"/>
          </w:rPr>
          <w:tab/>
        </w:r>
        <w:r w:rsidRPr="001B13A4">
          <w:rPr>
            <w:rStyle w:val="Hyperlink"/>
            <w:noProof/>
          </w:rPr>
          <w:t>Limitations in Word</w:t>
        </w:r>
        <w:r>
          <w:rPr>
            <w:noProof/>
            <w:webHidden/>
          </w:rPr>
          <w:tab/>
        </w:r>
        <w:r>
          <w:rPr>
            <w:noProof/>
            <w:webHidden/>
          </w:rPr>
          <w:fldChar w:fldCharType="begin"/>
        </w:r>
        <w:r>
          <w:rPr>
            <w:noProof/>
            <w:webHidden/>
          </w:rPr>
          <w:instrText xml:space="preserve"> PAGEREF _Toc181685162 \h </w:instrText>
        </w:r>
        <w:r>
          <w:rPr>
            <w:noProof/>
            <w:webHidden/>
          </w:rPr>
        </w:r>
        <w:r>
          <w:rPr>
            <w:noProof/>
            <w:webHidden/>
          </w:rPr>
          <w:fldChar w:fldCharType="separate"/>
        </w:r>
        <w:r>
          <w:rPr>
            <w:noProof/>
            <w:webHidden/>
          </w:rPr>
          <w:t>903</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163" w:history="1">
        <w:r w:rsidRPr="001B13A4">
          <w:rPr>
            <w:rStyle w:val="Hyperlink"/>
            <w:noProof/>
          </w:rPr>
          <w:t>3.9</w:t>
        </w:r>
        <w:r>
          <w:rPr>
            <w:rFonts w:asciiTheme="minorHAnsi" w:eastAsiaTheme="minorEastAsia" w:hAnsiTheme="minorHAnsi" w:cstheme="minorBidi"/>
            <w:noProof/>
            <w:sz w:val="22"/>
            <w:szCs w:val="22"/>
          </w:rPr>
          <w:tab/>
        </w:r>
        <w:r w:rsidRPr="001B13A4">
          <w:rPr>
            <w:rStyle w:val="Hyperlink"/>
            <w:noProof/>
          </w:rPr>
          <w:t>Simple Types</w:t>
        </w:r>
        <w:r>
          <w:rPr>
            <w:noProof/>
            <w:webHidden/>
          </w:rPr>
          <w:tab/>
        </w:r>
        <w:r>
          <w:rPr>
            <w:noProof/>
            <w:webHidden/>
          </w:rPr>
          <w:fldChar w:fldCharType="begin"/>
        </w:r>
        <w:r>
          <w:rPr>
            <w:noProof/>
            <w:webHidden/>
          </w:rPr>
          <w:instrText xml:space="preserve"> PAGEREF _Toc181685163 \h </w:instrText>
        </w:r>
        <w:r>
          <w:rPr>
            <w:noProof/>
            <w:webHidden/>
          </w:rPr>
        </w:r>
        <w:r>
          <w:rPr>
            <w:noProof/>
            <w:webHidden/>
          </w:rPr>
          <w:fldChar w:fldCharType="separate"/>
        </w:r>
        <w:r>
          <w:rPr>
            <w:noProof/>
            <w:webHidden/>
          </w:rPr>
          <w:t>903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64" w:history="1">
        <w:r w:rsidRPr="001B13A4">
          <w:rPr>
            <w:rStyle w:val="Hyperlink"/>
            <w:noProof/>
          </w:rPr>
          <w:t>3.9.1</w:t>
        </w:r>
        <w:r>
          <w:rPr>
            <w:rFonts w:asciiTheme="minorHAnsi" w:eastAsiaTheme="minorEastAsia" w:hAnsiTheme="minorHAnsi" w:cstheme="minorBidi"/>
            <w:noProof/>
            <w:sz w:val="22"/>
            <w:szCs w:val="22"/>
          </w:rPr>
          <w:tab/>
        </w:r>
        <w:r w:rsidRPr="001B13A4">
          <w:rPr>
            <w:rStyle w:val="Hyperlink"/>
            <w:noProof/>
          </w:rPr>
          <w:t>ST_Fraction (Fraction Type)</w:t>
        </w:r>
        <w:r>
          <w:rPr>
            <w:noProof/>
            <w:webHidden/>
          </w:rPr>
          <w:tab/>
        </w:r>
        <w:r>
          <w:rPr>
            <w:noProof/>
            <w:webHidden/>
          </w:rPr>
          <w:fldChar w:fldCharType="begin"/>
        </w:r>
        <w:r>
          <w:rPr>
            <w:noProof/>
            <w:webHidden/>
          </w:rPr>
          <w:instrText xml:space="preserve"> PAGEREF _Toc181685164 \h </w:instrText>
        </w:r>
        <w:r>
          <w:rPr>
            <w:noProof/>
            <w:webHidden/>
          </w:rPr>
        </w:r>
        <w:r>
          <w:rPr>
            <w:noProof/>
            <w:webHidden/>
          </w:rPr>
          <w:fldChar w:fldCharType="separate"/>
        </w:r>
        <w:r>
          <w:rPr>
            <w:noProof/>
            <w:webHidden/>
          </w:rPr>
          <w:t>903</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65" w:history="1">
        <w:r w:rsidRPr="001B13A4">
          <w:rPr>
            <w:rStyle w:val="Hyperlink"/>
            <w:noProof/>
          </w:rPr>
          <w:t>3.9.2</w:t>
        </w:r>
        <w:r>
          <w:rPr>
            <w:rFonts w:asciiTheme="minorHAnsi" w:eastAsiaTheme="minorEastAsia" w:hAnsiTheme="minorHAnsi" w:cstheme="minorBidi"/>
            <w:noProof/>
            <w:sz w:val="22"/>
            <w:szCs w:val="22"/>
          </w:rPr>
          <w:tab/>
        </w:r>
        <w:r w:rsidRPr="001B13A4">
          <w:rPr>
            <w:rStyle w:val="Hyperlink"/>
            <w:noProof/>
          </w:rPr>
          <w:t>ST_Macro (Custom Function Name Type)</w:t>
        </w:r>
        <w:r>
          <w:rPr>
            <w:noProof/>
            <w:webHidden/>
          </w:rPr>
          <w:tab/>
        </w:r>
        <w:r>
          <w:rPr>
            <w:noProof/>
            <w:webHidden/>
          </w:rPr>
          <w:fldChar w:fldCharType="begin"/>
        </w:r>
        <w:r>
          <w:rPr>
            <w:noProof/>
            <w:webHidden/>
          </w:rPr>
          <w:instrText xml:space="preserve"> PAGEREF _Toc181685165 \h </w:instrText>
        </w:r>
        <w:r>
          <w:rPr>
            <w:noProof/>
            <w:webHidden/>
          </w:rPr>
        </w:r>
        <w:r>
          <w:rPr>
            <w:noProof/>
            <w:webHidden/>
          </w:rPr>
          <w:fldChar w:fldCharType="separate"/>
        </w:r>
        <w:r>
          <w:rPr>
            <w:noProof/>
            <w:webHidden/>
          </w:rPr>
          <w:t>904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66" w:history="1">
        <w:r w:rsidRPr="001B13A4">
          <w:rPr>
            <w:rStyle w:val="Hyperlink"/>
            <w:noProof/>
          </w:rPr>
          <w:t>3.9.3</w:t>
        </w:r>
        <w:r>
          <w:rPr>
            <w:rFonts w:asciiTheme="minorHAnsi" w:eastAsiaTheme="minorEastAsia" w:hAnsiTheme="minorHAnsi" w:cstheme="minorBidi"/>
            <w:noProof/>
            <w:sz w:val="22"/>
            <w:szCs w:val="22"/>
          </w:rPr>
          <w:tab/>
        </w:r>
        <w:r w:rsidRPr="001B13A4">
          <w:rPr>
            <w:rStyle w:val="Hyperlink"/>
            <w:noProof/>
          </w:rPr>
          <w:t>ST_ObjID (Object ID)</w:t>
        </w:r>
        <w:r>
          <w:rPr>
            <w:noProof/>
            <w:webHidden/>
          </w:rPr>
          <w:tab/>
        </w:r>
        <w:r>
          <w:rPr>
            <w:noProof/>
            <w:webHidden/>
          </w:rPr>
          <w:fldChar w:fldCharType="begin"/>
        </w:r>
        <w:r>
          <w:rPr>
            <w:noProof/>
            <w:webHidden/>
          </w:rPr>
          <w:instrText xml:space="preserve"> PAGEREF _Toc181685166 \h </w:instrText>
        </w:r>
        <w:r>
          <w:rPr>
            <w:noProof/>
            <w:webHidden/>
          </w:rPr>
        </w:r>
        <w:r>
          <w:rPr>
            <w:noProof/>
            <w:webHidden/>
          </w:rPr>
          <w:fldChar w:fldCharType="separate"/>
        </w:r>
        <w:r>
          <w:rPr>
            <w:noProof/>
            <w:webHidden/>
          </w:rPr>
          <w:t>904</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67" w:history="1">
        <w:r w:rsidRPr="001B13A4">
          <w:rPr>
            <w:rStyle w:val="Hyperlink"/>
            <w:noProof/>
          </w:rPr>
          <w:t>3.9.4</w:t>
        </w:r>
        <w:r>
          <w:rPr>
            <w:rFonts w:asciiTheme="minorHAnsi" w:eastAsiaTheme="minorEastAsia" w:hAnsiTheme="minorHAnsi" w:cstheme="minorBidi"/>
            <w:noProof/>
            <w:sz w:val="22"/>
            <w:szCs w:val="22"/>
          </w:rPr>
          <w:tab/>
        </w:r>
        <w:r w:rsidRPr="001B13A4">
          <w:rPr>
            <w:rStyle w:val="Hyperlink"/>
            <w:noProof/>
          </w:rPr>
          <w:t>ST_ObjIDRef (Object ID Reference)</w:t>
        </w:r>
        <w:r>
          <w:rPr>
            <w:noProof/>
            <w:webHidden/>
          </w:rPr>
          <w:tab/>
        </w:r>
        <w:r>
          <w:rPr>
            <w:noProof/>
            <w:webHidden/>
          </w:rPr>
          <w:fldChar w:fldCharType="begin"/>
        </w:r>
        <w:r>
          <w:rPr>
            <w:noProof/>
            <w:webHidden/>
          </w:rPr>
          <w:instrText xml:space="preserve"> PAGEREF _Toc181685167 \h </w:instrText>
        </w:r>
        <w:r>
          <w:rPr>
            <w:noProof/>
            <w:webHidden/>
          </w:rPr>
        </w:r>
        <w:r>
          <w:rPr>
            <w:noProof/>
            <w:webHidden/>
          </w:rPr>
          <w:fldChar w:fldCharType="separate"/>
        </w:r>
        <w:r>
          <w:rPr>
            <w:noProof/>
            <w:webHidden/>
          </w:rPr>
          <w:t>905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68" w:history="1">
        <w:r w:rsidRPr="001B13A4">
          <w:rPr>
            <w:rStyle w:val="Hyperlink"/>
            <w:noProof/>
          </w:rPr>
          <w:t>3.9.5</w:t>
        </w:r>
        <w:r>
          <w:rPr>
            <w:rFonts w:asciiTheme="minorHAnsi" w:eastAsiaTheme="minorEastAsia" w:hAnsiTheme="minorHAnsi" w:cstheme="minorBidi"/>
            <w:noProof/>
            <w:sz w:val="22"/>
            <w:szCs w:val="22"/>
          </w:rPr>
          <w:tab/>
        </w:r>
        <w:r w:rsidRPr="001B13A4">
          <w:rPr>
            <w:rStyle w:val="Hyperlink"/>
            <w:noProof/>
          </w:rPr>
          <w:t>ST_ShapeType (Shape Type)</w:t>
        </w:r>
        <w:r>
          <w:rPr>
            <w:noProof/>
            <w:webHidden/>
          </w:rPr>
          <w:tab/>
        </w:r>
        <w:r>
          <w:rPr>
            <w:noProof/>
            <w:webHidden/>
          </w:rPr>
          <w:fldChar w:fldCharType="begin"/>
        </w:r>
        <w:r>
          <w:rPr>
            <w:noProof/>
            <w:webHidden/>
          </w:rPr>
          <w:instrText xml:space="preserve"> PAGEREF _Toc181685168 \h </w:instrText>
        </w:r>
        <w:r>
          <w:rPr>
            <w:noProof/>
            <w:webHidden/>
          </w:rPr>
        </w:r>
        <w:r>
          <w:rPr>
            <w:noProof/>
            <w:webHidden/>
          </w:rPr>
          <w:fldChar w:fldCharType="separate"/>
        </w:r>
        <w:r>
          <w:rPr>
            <w:noProof/>
            <w:webHidden/>
          </w:rPr>
          <w:t>905</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69" w:history="1">
        <w:r w:rsidRPr="001B13A4">
          <w:rPr>
            <w:rStyle w:val="Hyperlink"/>
            <w:noProof/>
          </w:rPr>
          <w:t>3.9.6</w:t>
        </w:r>
        <w:r>
          <w:rPr>
            <w:rFonts w:asciiTheme="minorHAnsi" w:eastAsiaTheme="minorEastAsia" w:hAnsiTheme="minorHAnsi" w:cstheme="minorBidi"/>
            <w:noProof/>
            <w:sz w:val="22"/>
            <w:szCs w:val="22"/>
          </w:rPr>
          <w:tab/>
        </w:r>
        <w:r w:rsidRPr="001B13A4">
          <w:rPr>
            <w:rStyle w:val="Hyperlink"/>
            <w:noProof/>
          </w:rPr>
          <w:t>ST_SpId (Shape ID Type)</w:t>
        </w:r>
        <w:r>
          <w:rPr>
            <w:noProof/>
            <w:webHidden/>
          </w:rPr>
          <w:tab/>
        </w:r>
        <w:r>
          <w:rPr>
            <w:noProof/>
            <w:webHidden/>
          </w:rPr>
          <w:fldChar w:fldCharType="begin"/>
        </w:r>
        <w:r>
          <w:rPr>
            <w:noProof/>
            <w:webHidden/>
          </w:rPr>
          <w:instrText xml:space="preserve"> PAGEREF _Toc181685169 \h </w:instrText>
        </w:r>
        <w:r>
          <w:rPr>
            <w:noProof/>
            <w:webHidden/>
          </w:rPr>
        </w:r>
        <w:r>
          <w:rPr>
            <w:noProof/>
            <w:webHidden/>
          </w:rPr>
          <w:fldChar w:fldCharType="separate"/>
        </w:r>
        <w:r>
          <w:rPr>
            <w:noProof/>
            <w:webHidden/>
          </w:rPr>
          <w:t>910</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170" w:history="1">
        <w:r w:rsidRPr="001B13A4">
          <w:rPr>
            <w:rStyle w:val="Hyperlink"/>
            <w:noProof/>
          </w:rPr>
          <w:t>3.10</w:t>
        </w:r>
        <w:r>
          <w:rPr>
            <w:rFonts w:asciiTheme="minorHAnsi" w:eastAsiaTheme="minorEastAsia" w:hAnsiTheme="minorHAnsi" w:cstheme="minorBidi"/>
            <w:noProof/>
            <w:sz w:val="22"/>
            <w:szCs w:val="22"/>
          </w:rPr>
          <w:tab/>
        </w:r>
        <w:r w:rsidRPr="001B13A4">
          <w:rPr>
            <w:rStyle w:val="Hyperlink"/>
            <w:noProof/>
          </w:rPr>
          <w:t>Activating embedded packages in Office (Part 1 Section L.7.2 Embeddings)</w:t>
        </w:r>
        <w:r>
          <w:rPr>
            <w:noProof/>
            <w:webHidden/>
          </w:rPr>
          <w:tab/>
        </w:r>
        <w:r>
          <w:rPr>
            <w:noProof/>
            <w:webHidden/>
          </w:rPr>
          <w:fldChar w:fldCharType="begin"/>
        </w:r>
        <w:r>
          <w:rPr>
            <w:noProof/>
            <w:webHidden/>
          </w:rPr>
          <w:instrText xml:space="preserve"> PAGEREF _Toc181685170 \h </w:instrText>
        </w:r>
        <w:r>
          <w:rPr>
            <w:noProof/>
            <w:webHidden/>
          </w:rPr>
        </w:r>
        <w:r>
          <w:rPr>
            <w:noProof/>
            <w:webHidden/>
          </w:rPr>
          <w:fldChar w:fldCharType="separate"/>
        </w:r>
        <w:r>
          <w:rPr>
            <w:noProof/>
            <w:webHidden/>
          </w:rPr>
          <w:t>910</w:t>
        </w:r>
        <w:r>
          <w:rPr>
            <w:noProof/>
            <w:webHidden/>
          </w:rPr>
          <w:fldChar w:fldCharType="end"/>
        </w:r>
      </w:hyperlink>
    </w:p>
    <w:p w:rsidR="00A9721F" w:rsidRDefault="00A9721F">
      <w:pPr>
        <w:pStyle w:val="TOC2"/>
        <w:rPr>
          <w:rFonts w:asciiTheme="minorHAnsi" w:eastAsiaTheme="minorEastAsia" w:hAnsiTheme="minorHAnsi" w:cstheme="minorBidi"/>
          <w:noProof/>
          <w:sz w:val="22"/>
          <w:szCs w:val="22"/>
        </w:rPr>
      </w:pPr>
      <w:hyperlink w:anchor="_Toc181685171" w:history="1">
        <w:r w:rsidRPr="001B13A4">
          <w:rPr>
            <w:rStyle w:val="Hyperlink"/>
            <w:noProof/>
          </w:rPr>
          <w:t>3.11</w:t>
        </w:r>
        <w:r>
          <w:rPr>
            <w:rFonts w:asciiTheme="minorHAnsi" w:eastAsiaTheme="minorEastAsia" w:hAnsiTheme="minorHAnsi" w:cstheme="minorBidi"/>
            <w:noProof/>
            <w:sz w:val="22"/>
            <w:szCs w:val="22"/>
          </w:rPr>
          <w:tab/>
        </w:r>
        <w:r w:rsidRPr="001B13A4">
          <w:rPr>
            <w:rStyle w:val="Hyperlink"/>
            <w:noProof/>
          </w:rPr>
          <w:t>Reserved Custom File Properties</w:t>
        </w:r>
        <w:r>
          <w:rPr>
            <w:noProof/>
            <w:webHidden/>
          </w:rPr>
          <w:tab/>
        </w:r>
        <w:r>
          <w:rPr>
            <w:noProof/>
            <w:webHidden/>
          </w:rPr>
          <w:fldChar w:fldCharType="begin"/>
        </w:r>
        <w:r>
          <w:rPr>
            <w:noProof/>
            <w:webHidden/>
          </w:rPr>
          <w:instrText xml:space="preserve"> PAGEREF _Toc181685171 \h </w:instrText>
        </w:r>
        <w:r>
          <w:rPr>
            <w:noProof/>
            <w:webHidden/>
          </w:rPr>
        </w:r>
        <w:r>
          <w:rPr>
            <w:noProof/>
            <w:webHidden/>
          </w:rPr>
          <w:fldChar w:fldCharType="separate"/>
        </w:r>
        <w:r>
          <w:rPr>
            <w:noProof/>
            <w:webHidden/>
          </w:rPr>
          <w:t>912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72" w:history="1">
        <w:r w:rsidRPr="001B13A4">
          <w:rPr>
            <w:rStyle w:val="Hyperlink"/>
            <w:noProof/>
          </w:rPr>
          <w:t>3.11.1</w:t>
        </w:r>
        <w:r>
          <w:rPr>
            <w:rFonts w:asciiTheme="minorHAnsi" w:eastAsiaTheme="minorEastAsia" w:hAnsiTheme="minorHAnsi" w:cstheme="minorBidi"/>
            <w:noProof/>
            <w:sz w:val="22"/>
            <w:szCs w:val="22"/>
          </w:rPr>
          <w:tab/>
        </w:r>
        <w:r w:rsidRPr="001B13A4">
          <w:rPr>
            <w:rStyle w:val="Hyperlink"/>
            <w:noProof/>
          </w:rPr>
          <w:t>Shared Reserved Properties</w:t>
        </w:r>
        <w:r>
          <w:rPr>
            <w:noProof/>
            <w:webHidden/>
          </w:rPr>
          <w:tab/>
        </w:r>
        <w:r>
          <w:rPr>
            <w:noProof/>
            <w:webHidden/>
          </w:rPr>
          <w:fldChar w:fldCharType="begin"/>
        </w:r>
        <w:r>
          <w:rPr>
            <w:noProof/>
            <w:webHidden/>
          </w:rPr>
          <w:instrText xml:space="preserve"> PAGEREF _Toc181685172 \h </w:instrText>
        </w:r>
        <w:r>
          <w:rPr>
            <w:noProof/>
            <w:webHidden/>
          </w:rPr>
        </w:r>
        <w:r>
          <w:rPr>
            <w:noProof/>
            <w:webHidden/>
          </w:rPr>
          <w:fldChar w:fldCharType="separate"/>
        </w:r>
        <w:r>
          <w:rPr>
            <w:noProof/>
            <w:webHidden/>
          </w:rPr>
          <w:t>912</w:t>
        </w:r>
        <w:r>
          <w:rPr>
            <w:noProof/>
            <w:webHidden/>
          </w:rPr>
          <w:fldChar w:fldCharType="end"/>
        </w:r>
      </w:hyperlink>
    </w:p>
    <w:p w:rsidR="00A9721F" w:rsidRDefault="00A9721F">
      <w:pPr>
        <w:pStyle w:val="TOC3"/>
        <w:rPr>
          <w:rFonts w:asciiTheme="minorHAnsi" w:eastAsiaTheme="minorEastAsia" w:hAnsiTheme="minorHAnsi" w:cstheme="minorBidi"/>
          <w:noProof/>
          <w:sz w:val="22"/>
          <w:szCs w:val="22"/>
        </w:rPr>
      </w:pPr>
      <w:hyperlink w:anchor="_Toc181685173" w:history="1">
        <w:r w:rsidRPr="001B13A4">
          <w:rPr>
            <w:rStyle w:val="Hyperlink"/>
            <w:noProof/>
          </w:rPr>
          <w:t>3.11.2</w:t>
        </w:r>
        <w:r>
          <w:rPr>
            <w:rFonts w:asciiTheme="minorHAnsi" w:eastAsiaTheme="minorEastAsia" w:hAnsiTheme="minorHAnsi" w:cstheme="minorBidi"/>
            <w:noProof/>
            <w:sz w:val="22"/>
            <w:szCs w:val="22"/>
          </w:rPr>
          <w:tab/>
        </w:r>
        <w:r w:rsidRPr="001B13A4">
          <w:rPr>
            <w:rStyle w:val="Hyperlink"/>
            <w:noProof/>
          </w:rPr>
          <w:t>Sensitivity Label Properties</w:t>
        </w:r>
        <w:r>
          <w:rPr>
            <w:noProof/>
            <w:webHidden/>
          </w:rPr>
          <w:tab/>
        </w:r>
        <w:r>
          <w:rPr>
            <w:noProof/>
            <w:webHidden/>
          </w:rPr>
          <w:fldChar w:fldCharType="begin"/>
        </w:r>
        <w:r>
          <w:rPr>
            <w:noProof/>
            <w:webHidden/>
          </w:rPr>
          <w:instrText xml:space="preserve"> PAGEREF _Toc181685173 \h </w:instrText>
        </w:r>
        <w:r>
          <w:rPr>
            <w:noProof/>
            <w:webHidden/>
          </w:rPr>
        </w:r>
        <w:r>
          <w:rPr>
            <w:noProof/>
            <w:webHidden/>
          </w:rPr>
          <w:fldChar w:fldCharType="separate"/>
        </w:r>
        <w:r>
          <w:rPr>
            <w:noProof/>
            <w:webHidden/>
          </w:rPr>
          <w:t>912</w:t>
        </w:r>
        <w:r>
          <w:rPr>
            <w:noProof/>
            <w:webHidden/>
          </w:rPr>
          <w:fldChar w:fldCharType="end"/>
        </w:r>
      </w:hyperlink>
    </w:p>
    <w:p w:rsidR="00A9721F" w:rsidRDefault="00A9721F">
      <w:pPr>
        <w:pStyle w:val="TOC1"/>
        <w:rPr>
          <w:rFonts w:asciiTheme="minorHAnsi" w:eastAsiaTheme="minorEastAsia" w:hAnsiTheme="minorHAnsi" w:cstheme="minorBidi"/>
          <w:b w:val="0"/>
          <w:bCs w:val="0"/>
          <w:noProof/>
          <w:sz w:val="22"/>
          <w:szCs w:val="22"/>
        </w:rPr>
      </w:pPr>
      <w:hyperlink w:anchor="_Toc181685174" w:history="1">
        <w:r w:rsidRPr="001B13A4">
          <w:rPr>
            <w:rStyle w:val="Hyperlink"/>
            <w:noProof/>
          </w:rPr>
          <w:t>4</w:t>
        </w:r>
        <w:r>
          <w:rPr>
            <w:rFonts w:asciiTheme="minorHAnsi" w:eastAsiaTheme="minorEastAsia" w:hAnsiTheme="minorHAnsi" w:cstheme="minorBidi"/>
            <w:b w:val="0"/>
            <w:bCs w:val="0"/>
            <w:noProof/>
            <w:sz w:val="22"/>
            <w:szCs w:val="22"/>
          </w:rPr>
          <w:tab/>
        </w:r>
        <w:r w:rsidRPr="001B13A4">
          <w:rPr>
            <w:rStyle w:val="Hyperlink"/>
            <w:noProof/>
          </w:rPr>
          <w:t>Change Tracking</w:t>
        </w:r>
        <w:r>
          <w:rPr>
            <w:noProof/>
            <w:webHidden/>
          </w:rPr>
          <w:tab/>
        </w:r>
        <w:r>
          <w:rPr>
            <w:noProof/>
            <w:webHidden/>
          </w:rPr>
          <w:fldChar w:fldCharType="begin"/>
        </w:r>
        <w:r>
          <w:rPr>
            <w:noProof/>
            <w:webHidden/>
          </w:rPr>
          <w:instrText xml:space="preserve"> PAGEREF _Toc181685174 \h </w:instrText>
        </w:r>
        <w:r>
          <w:rPr>
            <w:noProof/>
            <w:webHidden/>
          </w:rPr>
        </w:r>
        <w:r>
          <w:rPr>
            <w:noProof/>
            <w:webHidden/>
          </w:rPr>
          <w:fldChar w:fldCharType="separate"/>
        </w:r>
        <w:r>
          <w:rPr>
            <w:noProof/>
            <w:webHidden/>
          </w:rPr>
          <w:t>918</w:t>
        </w:r>
        <w:r>
          <w:rPr>
            <w:noProof/>
            <w:webHidden/>
          </w:rPr>
          <w:fldChar w:fldCharType="end"/>
        </w:r>
      </w:hyperlink>
    </w:p>
    <w:p w:rsidR="00A9721F" w:rsidRDefault="00A9721F">
      <w:pPr>
        <w:pStyle w:val="TOC1"/>
        <w:rPr>
          <w:rFonts w:asciiTheme="minorHAnsi" w:eastAsiaTheme="minorEastAsia" w:hAnsiTheme="minorHAnsi" w:cstheme="minorBidi"/>
          <w:b w:val="0"/>
          <w:bCs w:val="0"/>
          <w:noProof/>
          <w:sz w:val="22"/>
          <w:szCs w:val="22"/>
        </w:rPr>
      </w:pPr>
      <w:hyperlink w:anchor="_Toc181685175" w:history="1">
        <w:r w:rsidRPr="001B13A4">
          <w:rPr>
            <w:rStyle w:val="Hyperlink"/>
            <w:noProof/>
          </w:rPr>
          <w:t>5</w:t>
        </w:r>
        <w:r>
          <w:rPr>
            <w:rFonts w:asciiTheme="minorHAnsi" w:eastAsiaTheme="minorEastAsia" w:hAnsiTheme="minorHAnsi" w:cstheme="minorBidi"/>
            <w:b w:val="0"/>
            <w:bCs w:val="0"/>
            <w:noProof/>
            <w:sz w:val="22"/>
            <w:szCs w:val="22"/>
          </w:rPr>
          <w:tab/>
        </w:r>
        <w:r w:rsidRPr="001B13A4">
          <w:rPr>
            <w:rStyle w:val="Hyperlink"/>
            <w:noProof/>
          </w:rPr>
          <w:t>Index</w:t>
        </w:r>
        <w:r>
          <w:rPr>
            <w:noProof/>
            <w:webHidden/>
          </w:rPr>
          <w:tab/>
        </w:r>
        <w:r>
          <w:rPr>
            <w:noProof/>
            <w:webHidden/>
          </w:rPr>
          <w:fldChar w:fldCharType="begin"/>
        </w:r>
        <w:r>
          <w:rPr>
            <w:noProof/>
            <w:webHidden/>
          </w:rPr>
          <w:instrText xml:space="preserve"> PAGEREF _Toc181685175 \h </w:instrText>
        </w:r>
        <w:r>
          <w:rPr>
            <w:noProof/>
            <w:webHidden/>
          </w:rPr>
        </w:r>
        <w:r>
          <w:rPr>
            <w:noProof/>
            <w:webHidden/>
          </w:rPr>
          <w:fldChar w:fldCharType="separate"/>
        </w:r>
        <w:r>
          <w:rPr>
            <w:noProof/>
            <w:webHidden/>
          </w:rPr>
          <w:t>919</w:t>
        </w:r>
        <w:r>
          <w:rPr>
            <w:noProof/>
            <w:webHidden/>
          </w:rPr>
          <w:fldChar w:fldCharType="end"/>
        </w:r>
      </w:hyperlink>
    </w:p>
    <w:p w:rsidR="000A156F" w:rsidRDefault="00A9721F">
      <w:r>
        <w:fldChar w:fldCharType="end"/>
      </w:r>
    </w:p>
    <w:p w:rsidR="000A156F" w:rsidRDefault="00A9721F">
      <w:pPr>
        <w:pStyle w:val="Heading1"/>
      </w:pPr>
      <w:bookmarkStart w:id="1" w:name="section_cc8df712c9b7445087ba208fd1079a2a"/>
      <w:bookmarkStart w:id="2" w:name="_Toc181683028"/>
      <w:r>
        <w:lastRenderedPageBreak/>
        <w:t>Introduction</w:t>
      </w:r>
      <w:bookmarkEnd w:id="1"/>
      <w:bookmarkEnd w:id="2"/>
      <w:r>
        <w:fldChar w:fldCharType="begin"/>
      </w:r>
      <w:r>
        <w:instrText xml:space="preserve"> XE "Introduction" </w:instrText>
      </w:r>
      <w:r>
        <w:fldChar w:fldCharType="end"/>
      </w:r>
    </w:p>
    <w:p w:rsidR="000A156F" w:rsidRDefault="00A9721F">
      <w:r>
        <w:t>In creating a</w:t>
      </w:r>
      <w:r>
        <w:t xml:space="preserve">n interoperable implementation, it may be helpful to understand specific implementation choices made by other products implementing the same standard. For example, portions of the standard may provide only general guidance, leaving specific implementation </w:t>
      </w:r>
      <w:r>
        <w:t>choices up to the application implementer; in some circumstances, it may be helpful for other implementers to understand those choices. In addition, products often vary from or extend standards either because of application deviations or to allow for use s</w:t>
      </w:r>
      <w:r>
        <w:t xml:space="preserve">cenarios not originally envisioned by the specifications. Documentation of those variations and/or extensions may also be helpful to other implementers. </w:t>
      </w:r>
    </w:p>
    <w:p w:rsidR="000A156F" w:rsidRDefault="00A9721F">
      <w:r>
        <w:t>The implementer notes contained in this document provide information about how Office implements ISO/I</w:t>
      </w:r>
      <w:r>
        <w:t xml:space="preserve">EC-29500 Office Open XML File Formats </w:t>
      </w:r>
      <w:hyperlink r:id="rId15">
        <w:r>
          <w:rPr>
            <w:rStyle w:val="Hyperlink"/>
          </w:rPr>
          <w:t>[ISO/IEC-29500-1]</w:t>
        </w:r>
      </w:hyperlink>
      <w:r>
        <w:t xml:space="preserve">, including areas where additional detail may be of benefit to other implementers and areas where the product is known to vary from or </w:t>
      </w:r>
      <w:r>
        <w:t>extend the specification.</w:t>
      </w:r>
    </w:p>
    <w:p w:rsidR="000A156F" w:rsidRDefault="00A9721F">
      <w:pPr>
        <w:pStyle w:val="Heading2"/>
      </w:pPr>
      <w:bookmarkStart w:id="3" w:name="section_844a3afe7f7f4ff8bcd759e7a6a4b1ea"/>
      <w:bookmarkStart w:id="4" w:name="_Toc181683029"/>
      <w:r>
        <w:t>Glossary</w:t>
      </w:r>
      <w:bookmarkEnd w:id="3"/>
      <w:bookmarkEnd w:id="4"/>
      <w:r>
        <w:fldChar w:fldCharType="begin"/>
      </w:r>
      <w:r>
        <w:instrText xml:space="preserve"> XE "Glossary" </w:instrText>
      </w:r>
      <w:r>
        <w:fldChar w:fldCharType="end"/>
      </w:r>
    </w:p>
    <w:p w:rsidR="000A156F" w:rsidRDefault="00A9721F">
      <w:r>
        <w:t>This document uses the following terms:</w:t>
      </w:r>
    </w:p>
    <w:p w:rsidR="000A156F" w:rsidRDefault="00A9721F">
      <w:pPr>
        <w:ind w:left="548" w:hanging="274"/>
      </w:pPr>
      <w:bookmarkStart w:id="5" w:name="gt_ff35237a-a497-42aa-b0d5-7a0116328759"/>
      <w:r>
        <w:rPr>
          <w:b/>
        </w:rPr>
        <w:t>Information Rights Management (IRM)</w:t>
      </w:r>
      <w:r>
        <w:t>: A technology that provides persistent protection to digital data by using encryption, certificates, and authentication</w:t>
      </w:r>
      <w:r>
        <w:t>. Authorized recipients or users acquire a license to gain access to the protected files according to the rights or business rules that are set by the content owner.</w:t>
      </w:r>
      <w:bookmarkEnd w:id="5"/>
    </w:p>
    <w:p w:rsidR="000A156F" w:rsidRDefault="00A9721F">
      <w:pPr>
        <w:ind w:left="548" w:hanging="274"/>
      </w:pPr>
      <w:bookmarkStart w:id="6" w:name="gt_ae6b3334-fd18-48b8-81a1-70580357c7ea"/>
      <w:r>
        <w:rPr>
          <w:b/>
        </w:rPr>
        <w:t>sensitivity label metadata</w:t>
      </w:r>
      <w:r>
        <w:t>: Information specific to a particular instance of one or more s</w:t>
      </w:r>
      <w:r>
        <w:t>ensitivity labels as applied to content.</w:t>
      </w:r>
      <w:bookmarkEnd w:id="6"/>
    </w:p>
    <w:p w:rsidR="000A156F" w:rsidRDefault="00A9721F">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read from or written t</w:t>
      </w:r>
      <w:r>
        <w:t>o by an application, and they can exist only in storages.</w:t>
      </w:r>
      <w:bookmarkEnd w:id="7"/>
    </w:p>
    <w:p w:rsidR="000A156F" w:rsidRDefault="00A9721F">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w:t>
      </w:r>
      <w:r>
        <w:t>ior use either MAY, SHOULD, or SHOULD NOT.</w:t>
      </w:r>
    </w:p>
    <w:p w:rsidR="000A156F" w:rsidRDefault="00A9721F">
      <w:pPr>
        <w:pStyle w:val="Heading2"/>
      </w:pPr>
      <w:bookmarkStart w:id="8" w:name="section_d407dfa99fa74df9b932eae91729f7a0"/>
      <w:bookmarkStart w:id="9" w:name="_Toc181683030"/>
      <w:r>
        <w:t>References</w:t>
      </w:r>
      <w:bookmarkEnd w:id="8"/>
      <w:bookmarkEnd w:id="9"/>
    </w:p>
    <w:p w:rsidR="000A156F" w:rsidRDefault="00A9721F">
      <w:r w:rsidRPr="00301053">
        <w:t xml:space="preserve">Links to a document in the Microsoft Open Specifications library point to the correct section in the most recently published version of the referenced document. However, because individual documents in </w:t>
      </w:r>
      <w:r w:rsidRPr="00301053">
        <w:t xml:space="preserve">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0A156F" w:rsidRDefault="00A9721F">
      <w:pPr>
        <w:pStyle w:val="Heading3"/>
      </w:pPr>
      <w:bookmarkStart w:id="10" w:name="section_d4b9098aeabb46c4a334260d55267084"/>
      <w:bookmarkStart w:id="11" w:name="_Toc181683031"/>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A156F" w:rsidRDefault="00A9721F">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0A156F" w:rsidRDefault="00A9721F">
      <w:pPr>
        <w:spacing w:after="200"/>
      </w:pPr>
      <w:r>
        <w:t xml:space="preserve">[AIM-BC1-1995-Code39] AIM, "Information technology Automatic identification and data capture techniques Code 39 bar code symbology specification", </w:t>
      </w:r>
      <w:hyperlink r:id="rId20">
        <w:r>
          <w:rPr>
            <w:rStyle w:val="Hyperlink"/>
          </w:rPr>
          <w:t>https://www.iso.org/standard/77799.html</w:t>
        </w:r>
      </w:hyperlink>
    </w:p>
    <w:p w:rsidR="000A156F" w:rsidRDefault="00A9721F">
      <w:r>
        <w:rPr>
          <w:b/>
        </w:rPr>
        <w:t xml:space="preserve">Note </w:t>
      </w:r>
      <w:r>
        <w:t>There is a charge to download this specification.</w:t>
      </w:r>
    </w:p>
    <w:p w:rsidR="000A156F" w:rsidRDefault="00A9721F">
      <w:pPr>
        <w:spacing w:after="200"/>
      </w:pPr>
      <w:r>
        <w:t xml:space="preserve">[AIM-BC3-1995-Codabar] AIM, "AIM BC3-1995 - USS - Codabar", </w:t>
      </w:r>
      <w:hyperlink r:id="rId21">
        <w:r>
          <w:rPr>
            <w:rStyle w:val="Hyperlink"/>
          </w:rPr>
          <w:t>https://web.aimglobal.org/atlas/ecommerce/item/42</w:t>
        </w:r>
      </w:hyperlink>
    </w:p>
    <w:p w:rsidR="000A156F" w:rsidRDefault="00A9721F">
      <w:r>
        <w:rPr>
          <w:b/>
        </w:rPr>
        <w:t xml:space="preserve">Note </w:t>
      </w:r>
      <w:r>
        <w:t>There is a charge to download this specification.</w:t>
      </w:r>
    </w:p>
    <w:p w:rsidR="000A156F" w:rsidRDefault="00A9721F">
      <w:pPr>
        <w:spacing w:after="200"/>
      </w:pPr>
      <w:r>
        <w:lastRenderedPageBreak/>
        <w:t>[AIM-BC4-1995-Code128] AIM, "ISO/IEC 15417:2007-Information technology Automatic identification and data capture techniques Code 128</w:t>
      </w:r>
      <w:r>
        <w:t xml:space="preserve"> bar code symbology specification", </w:t>
      </w:r>
      <w:hyperlink r:id="rId22">
        <w:r>
          <w:rPr>
            <w:rStyle w:val="Hyperlink"/>
          </w:rPr>
          <w:t>https://www.iso.org/standard/43896.html</w:t>
        </w:r>
      </w:hyperlink>
    </w:p>
    <w:p w:rsidR="000A156F" w:rsidRDefault="00A9721F">
      <w:r>
        <w:rPr>
          <w:b/>
        </w:rPr>
        <w:t xml:space="preserve">Note </w:t>
      </w:r>
      <w:r>
        <w:t>There is a charge to download this specification.</w:t>
      </w:r>
    </w:p>
    <w:p w:rsidR="000A156F" w:rsidRDefault="00A9721F">
      <w:pPr>
        <w:spacing w:after="200"/>
      </w:pPr>
      <w:r>
        <w:t xml:space="preserve">[CSS-LEVEL2] Bos, B., Celik, T., Hickson, I., and Lie, H., </w:t>
      </w:r>
      <w:r>
        <w:t xml:space="preserve">"Cascading Style Sheets Level 2 Revision 1 (CSS2.1) Specification: W3C Candidate Recommendation", July 2007, </w:t>
      </w:r>
      <w:hyperlink r:id="rId23">
        <w:r>
          <w:rPr>
            <w:rStyle w:val="Hyperlink"/>
          </w:rPr>
          <w:t>http://www.w3.org/TR/2007/CR-CSS21-20070719/</w:t>
        </w:r>
      </w:hyperlink>
    </w:p>
    <w:p w:rsidR="000A156F" w:rsidRDefault="00A9721F">
      <w:pPr>
        <w:spacing w:after="200"/>
      </w:pPr>
      <w:r>
        <w:t>[DEVMODE] Microsoft Corporation, "DE</w:t>
      </w:r>
      <w:r>
        <w:t xml:space="preserve">VMODE structure", </w:t>
      </w:r>
      <w:hyperlink r:id="rId24">
        <w:r>
          <w:rPr>
            <w:rStyle w:val="Hyperlink"/>
          </w:rPr>
          <w:t>http://msdn.microsoft.com/en-us/library/dd183565(VS.85).aspx</w:t>
        </w:r>
      </w:hyperlink>
    </w:p>
    <w:p w:rsidR="000A156F" w:rsidRDefault="00A9721F">
      <w:pPr>
        <w:spacing w:after="200"/>
      </w:pPr>
      <w:r>
        <w:t xml:space="preserve">[Embed-Open-Type-Format] Nelson, P., "Embedded OpenType (EOT) File Format", W3C Member Submission, March 2008, </w:t>
      </w:r>
      <w:hyperlink r:id="rId25">
        <w:r>
          <w:rPr>
            <w:rStyle w:val="Hyperlink"/>
          </w:rPr>
          <w:t>http://www.w3.org/Submission/2008/SUBM-EOT-20080305/</w:t>
        </w:r>
      </w:hyperlink>
    </w:p>
    <w:p w:rsidR="000A156F" w:rsidRDefault="00A9721F">
      <w:pPr>
        <w:spacing w:after="200"/>
      </w:pPr>
      <w:r>
        <w:t xml:space="preserve">[GS1-BARCODE] GS1, "Bar Code Types", </w:t>
      </w:r>
      <w:hyperlink r:id="rId26">
        <w:r>
          <w:rPr>
            <w:rStyle w:val="Hyperlink"/>
          </w:rPr>
          <w:t>http://www.gs1.org/barcodes/technic</w:t>
        </w:r>
        <w:r>
          <w:rPr>
            <w:rStyle w:val="Hyperlink"/>
          </w:rPr>
          <w:t>al/bar_code_types</w:t>
        </w:r>
      </w:hyperlink>
    </w:p>
    <w:p w:rsidR="000A156F" w:rsidRDefault="00A9721F">
      <w:pPr>
        <w:spacing w:after="200"/>
      </w:pPr>
      <w:r>
        <w:t xml:space="preserve">[ISO-8601] International Organization for Standardization, "Data Elements and Interchange Formats - Information Interchange - Representation of Dates and Times", ISO/IEC 8601:2004, December 2004, </w:t>
      </w:r>
      <w:hyperlink r:id="rId27">
        <w:r>
          <w:rPr>
            <w:rStyle w:val="Hyperlink"/>
          </w:rPr>
          <w:t>http://www.iso.org/iso/en/CatalogueDetailPage.CatalogueDetail?CSNUMBER=40874&amp;ICS1=1&amp;ICS2=140&amp;ICS3=30</w:t>
        </w:r>
      </w:hyperlink>
    </w:p>
    <w:p w:rsidR="000A156F" w:rsidRDefault="00A9721F">
      <w:r>
        <w:rPr>
          <w:b/>
        </w:rPr>
        <w:t xml:space="preserve">Note </w:t>
      </w:r>
      <w:r>
        <w:t>There is a charge to download the specification.</w:t>
      </w:r>
    </w:p>
    <w:p w:rsidR="000A156F" w:rsidRDefault="00A9721F">
      <w:pPr>
        <w:spacing w:after="200"/>
      </w:pPr>
      <w:r>
        <w:t>[ISO/IEC-14496-22] International Organization for Standardization, "Informatio</w:t>
      </w:r>
      <w:r>
        <w:t xml:space="preserve">n technology -- Coding of audio-visual objects -- Part 22: Open Font Format", 2007, </w:t>
      </w:r>
      <w:hyperlink r:id="rId28">
        <w:r>
          <w:rPr>
            <w:rStyle w:val="Hyperlink"/>
          </w:rPr>
          <w:t>http://www.iso.org/iso/iso_catalogue/catalogue_tc/catalogue_detail.htm?csnumber=43466</w:t>
        </w:r>
      </w:hyperlink>
    </w:p>
    <w:p w:rsidR="000A156F" w:rsidRDefault="00A9721F">
      <w:pPr>
        <w:spacing w:after="200"/>
      </w:pPr>
      <w:r>
        <w:t>[ISO/IEC-29500-1] In</w:t>
      </w:r>
      <w:r>
        <w:t xml:space="preserve">ternational Organization for Standardization, "Information technology -- Document description and processing languages -- Office Open XML File Formats -- Part 1: Fundamentals and Markup Language Reference", ISO/IEC 29500-1:2016, </w:t>
      </w:r>
      <w:hyperlink r:id="rId29">
        <w:r>
          <w:rPr>
            <w:rStyle w:val="Hyperlink"/>
          </w:rPr>
          <w:t>https://www.iso.org/standard/71691.html</w:t>
        </w:r>
      </w:hyperlink>
    </w:p>
    <w:p w:rsidR="000A156F" w:rsidRDefault="00A9721F">
      <w:pPr>
        <w:spacing w:after="200"/>
      </w:pPr>
      <w:r>
        <w:t>[ISO/IEC-29500-2] International Organization for Standardization, "Information technology -- Document description and processing languages -- Office Open XML File Formats -- Par</w:t>
      </w:r>
      <w:r>
        <w:t xml:space="preserve">t 2: Open Packaging Conventions", ISO/IEC 29500-2:2021, </w:t>
      </w:r>
      <w:hyperlink r:id="rId30">
        <w:r>
          <w:rPr>
            <w:rStyle w:val="Hyperlink"/>
          </w:rPr>
          <w:t>https://www.iso.org/standard/77818.html</w:t>
        </w:r>
      </w:hyperlink>
    </w:p>
    <w:p w:rsidR="000A156F" w:rsidRDefault="00A9721F">
      <w:pPr>
        <w:spacing w:after="200"/>
      </w:pPr>
      <w:r>
        <w:t>[ISO/IEC-29500-3] International Organization for Standardization, "Information technology -- D</w:t>
      </w:r>
      <w:r>
        <w:t xml:space="preserve">ocument description and processing languages -- Office Open XML File Formats -- Part 3: Markup Compatibility and Extensibility", ISO/IEC 29500-3:2015, </w:t>
      </w:r>
      <w:hyperlink r:id="rId31">
        <w:r>
          <w:rPr>
            <w:rStyle w:val="Hyperlink"/>
          </w:rPr>
          <w:t>https://www.iso.org/standard/65533.html</w:t>
        </w:r>
      </w:hyperlink>
    </w:p>
    <w:p w:rsidR="000A156F" w:rsidRDefault="00A9721F">
      <w:pPr>
        <w:spacing w:after="200"/>
      </w:pPr>
      <w:r>
        <w:t xml:space="preserve">[ISO/IEC-29500-4] International Organization for Standardization, "Information technology -- Document description and processing languages -- Office Open XML File Formats -- Part 4: Transitional Migration Features", ISO/IEC 29500-4:2016, </w:t>
      </w:r>
      <w:hyperlink r:id="rId32">
        <w:r>
          <w:rPr>
            <w:rStyle w:val="Hyperlink"/>
          </w:rPr>
          <w:t>https://www.iso.org/standard/71692.html</w:t>
        </w:r>
      </w:hyperlink>
    </w:p>
    <w:p w:rsidR="000A156F" w:rsidRDefault="00A9721F">
      <w:pPr>
        <w:spacing w:after="200"/>
      </w:pPr>
      <w:r>
        <w:t xml:space="preserve">[ISO/IEC18004:2006] ISO/IEC, "Information technology -- Automatic identification and data capture techniques -- QR Code 2005 bar code symbology specification", </w:t>
      </w:r>
      <w:hyperlink r:id="rId33">
        <w:r>
          <w:rPr>
            <w:rStyle w:val="Hyperlink"/>
          </w:rPr>
          <w:t>http://www.iso.org/iso/catalogue_detail?csnumber=43655</w:t>
        </w:r>
      </w:hyperlink>
    </w:p>
    <w:p w:rsidR="000A156F" w:rsidRDefault="00A9721F">
      <w:r>
        <w:rPr>
          <w:b/>
        </w:rPr>
        <w:t xml:space="preserve">Note </w:t>
      </w:r>
      <w:r>
        <w:t>There is a charge to download this specification.</w:t>
      </w:r>
    </w:p>
    <w:p w:rsidR="000A156F" w:rsidRDefault="00A9721F">
      <w:pPr>
        <w:spacing w:after="200"/>
      </w:pPr>
      <w:r>
        <w:t xml:space="preserve">[MC-ISF] Microsoft Corporation, "Ink Serialized Format (ISF) Specification", 2007, </w:t>
      </w:r>
      <w:hyperlink r:id="rId34">
        <w:r>
          <w:rPr>
            <w:rStyle w:val="Hyperlink"/>
          </w:rPr>
          <w:t>http://download.microsoft.com/download/0/B/E/0BE8BDD7-E5E8-422A-ABFD-4342ED7AD886/InkSerializedFormat(ISF)Specification.pdf</w:t>
        </w:r>
      </w:hyperlink>
    </w:p>
    <w:p w:rsidR="000A156F" w:rsidRDefault="00A9721F">
      <w:pPr>
        <w:spacing w:after="200"/>
      </w:pPr>
      <w:r>
        <w:t>[Micro-Type-Exp-Format] Martin, S., Ristow, A., Martin, S., Levantovsk</w:t>
      </w:r>
      <w:r>
        <w:t xml:space="preserve">y, V., and Chapman, C., "MicroType Express (MTX) Font Format", W3C Member Submission, March 2008, </w:t>
      </w:r>
      <w:hyperlink r:id="rId35">
        <w:r>
          <w:rPr>
            <w:rStyle w:val="Hyperlink"/>
          </w:rPr>
          <w:t>http://www.w3.org/Submission/2008/SUBM-MTX-20080305/</w:t>
        </w:r>
      </w:hyperlink>
    </w:p>
    <w:p w:rsidR="000A156F" w:rsidRDefault="00A9721F">
      <w:pPr>
        <w:spacing w:after="200"/>
      </w:pPr>
      <w:r>
        <w:lastRenderedPageBreak/>
        <w:t>[MS-CFB] Microsoft Corporation, "</w:t>
      </w:r>
      <w:hyperlink r:id="rId36" w:anchor="Section_53989ce47b054f8d829bd08d6148375b">
        <w:r>
          <w:rPr>
            <w:rStyle w:val="Hyperlink"/>
          </w:rPr>
          <w:t>Compound File Binary File Format</w:t>
        </w:r>
      </w:hyperlink>
      <w:r>
        <w:t>".</w:t>
      </w:r>
    </w:p>
    <w:p w:rsidR="000A156F" w:rsidRDefault="00A9721F">
      <w:pPr>
        <w:spacing w:after="200"/>
      </w:pPr>
      <w:r>
        <w:t>[MS-CUSTOMUI2] Microsoft Corporation, "</w:t>
      </w:r>
      <w:hyperlink r:id="rId37" w:anchor="Section_bad56c217b1541bcaf328b5afe6e922e">
        <w:r>
          <w:rPr>
            <w:rStyle w:val="Hyperlink"/>
          </w:rPr>
          <w:t>Custom UI XML Markup Versi</w:t>
        </w:r>
        <w:r>
          <w:rPr>
            <w:rStyle w:val="Hyperlink"/>
          </w:rPr>
          <w:t>on 2 Specification</w:t>
        </w:r>
      </w:hyperlink>
      <w:r>
        <w:t>".</w:t>
      </w:r>
    </w:p>
    <w:p w:rsidR="000A156F" w:rsidRDefault="00A9721F">
      <w:pPr>
        <w:spacing w:after="200"/>
      </w:pPr>
      <w:r>
        <w:t>[MS-CUSTOMUI] Microsoft Corporation, "</w:t>
      </w:r>
      <w:hyperlink r:id="rId38" w:anchor="Section_31f152d62a5d4b50a8679dbc6d01aa43">
        <w:r>
          <w:rPr>
            <w:rStyle w:val="Hyperlink"/>
          </w:rPr>
          <w:t>Custom UI XML Markup Specification</w:t>
        </w:r>
      </w:hyperlink>
      <w:r>
        <w:t>".</w:t>
      </w:r>
    </w:p>
    <w:p w:rsidR="000A156F" w:rsidRDefault="00A9721F">
      <w:pPr>
        <w:spacing w:after="200"/>
      </w:pPr>
      <w:r>
        <w:t>[MS-DOC] Microsoft Corporation, "</w:t>
      </w:r>
      <w:hyperlink r:id="rId39" w:anchor="Section_ccd7b4867881484ca13751170af7cc22">
        <w:r>
          <w:rPr>
            <w:rStyle w:val="Hyperlink"/>
          </w:rPr>
          <w:t>Word (.doc) Binary File Format</w:t>
        </w:r>
      </w:hyperlink>
      <w:r>
        <w:t>".</w:t>
      </w:r>
    </w:p>
    <w:p w:rsidR="000A156F" w:rsidRDefault="00A9721F">
      <w:pPr>
        <w:spacing w:after="200"/>
      </w:pPr>
      <w:r>
        <w:t>[MS-EMFPLUS] Microsoft Corporation, "</w:t>
      </w:r>
      <w:hyperlink r:id="rId40" w:anchor="Section_5f92c78964f246b59ed415a9bb0946c6">
        <w:r>
          <w:rPr>
            <w:rStyle w:val="Hyperlink"/>
          </w:rPr>
          <w:t>Enhanced Metafile Format Plus Extensions</w:t>
        </w:r>
      </w:hyperlink>
      <w:r>
        <w:t>".</w:t>
      </w:r>
    </w:p>
    <w:p w:rsidR="000A156F" w:rsidRDefault="00A9721F">
      <w:pPr>
        <w:spacing w:after="200"/>
      </w:pPr>
      <w:r>
        <w:t>[MS-EMF] Microsoft Corporation, "</w:t>
      </w:r>
      <w:hyperlink r:id="rId41" w:anchor="Section_91c257d7c39d4a369b1f63e3f73d30ca">
        <w:r>
          <w:rPr>
            <w:rStyle w:val="Hyperlink"/>
          </w:rPr>
          <w:t>Enhanced Metafile Format</w:t>
        </w:r>
      </w:hyperlink>
      <w:r>
        <w:t>".</w:t>
      </w:r>
    </w:p>
    <w:p w:rsidR="000A156F" w:rsidRDefault="00A9721F">
      <w:pPr>
        <w:spacing w:after="200"/>
      </w:pPr>
      <w:r>
        <w:t>[MS-IPFF] Microsoft Corporation, "</w:t>
      </w:r>
      <w:hyperlink r:id="rId42" w:anchor="Section_93482ffc8be24c288de5324a835e66b1">
        <w:r>
          <w:rPr>
            <w:rStyle w:val="Hyperlink"/>
          </w:rPr>
          <w:t>InfoP</w:t>
        </w:r>
        <w:r>
          <w:rPr>
            <w:rStyle w:val="Hyperlink"/>
          </w:rPr>
          <w:t>ath Form Template Format</w:t>
        </w:r>
      </w:hyperlink>
      <w:r>
        <w:t>".</w:t>
      </w:r>
    </w:p>
    <w:p w:rsidR="000A156F" w:rsidRDefault="00A9721F">
      <w:pPr>
        <w:spacing w:after="200"/>
      </w:pPr>
      <w:r>
        <w:t>[MS-LCID] Microsoft Corporation, "</w:t>
      </w:r>
      <w:hyperlink r:id="rId43" w:anchor="Section_70feba9f294e491eb6eb56532684c37f">
        <w:r>
          <w:rPr>
            <w:rStyle w:val="Hyperlink"/>
          </w:rPr>
          <w:t>Windows Language Code Identifier (LCID) Reference</w:t>
        </w:r>
      </w:hyperlink>
      <w:r>
        <w:t>".</w:t>
      </w:r>
    </w:p>
    <w:p w:rsidR="000A156F" w:rsidRDefault="00A9721F">
      <w:pPr>
        <w:spacing w:after="200"/>
      </w:pPr>
      <w:r>
        <w:t>[MS-LISTSWS] Microsoft Corporation, "</w:t>
      </w:r>
      <w:hyperlink r:id="rId44" w:anchor="Section_30b364cc38374e839ce81963292e2ee5">
        <w:r>
          <w:rPr>
            <w:rStyle w:val="Hyperlink"/>
          </w:rPr>
          <w:t>Lists Web Service Protocol</w:t>
        </w:r>
      </w:hyperlink>
      <w:r>
        <w:t>".</w:t>
      </w:r>
    </w:p>
    <w:p w:rsidR="000A156F" w:rsidRDefault="00A9721F">
      <w:pPr>
        <w:spacing w:after="200"/>
      </w:pPr>
      <w:r>
        <w:t>[MS-ODRAWXML] Microsoft Corporation, "</w:t>
      </w:r>
      <w:hyperlink r:id="rId45" w:anchor="Section_06cff208c6e14db7bb68665135e5f0de">
        <w:r>
          <w:rPr>
            <w:rStyle w:val="Hyperlink"/>
          </w:rPr>
          <w:t>Office Drawing Extensions to Office Open XML Struct</w:t>
        </w:r>
        <w:r>
          <w:rPr>
            <w:rStyle w:val="Hyperlink"/>
          </w:rPr>
          <w:t>ure</w:t>
        </w:r>
      </w:hyperlink>
      <w:r>
        <w:t>".</w:t>
      </w:r>
    </w:p>
    <w:p w:rsidR="000A156F" w:rsidRDefault="00A9721F">
      <w:pPr>
        <w:spacing w:after="200"/>
      </w:pPr>
      <w:r>
        <w:t>[MS-OFFCRYPTO] Microsoft Corporation, "</w:t>
      </w:r>
      <w:hyperlink r:id="rId46" w:anchor="Section_3c34d72a1a614b52a893196f9157f083">
        <w:r>
          <w:rPr>
            <w:rStyle w:val="Hyperlink"/>
          </w:rPr>
          <w:t>Office Document Cryptography Structure</w:t>
        </w:r>
      </w:hyperlink>
      <w:r>
        <w:t>".</w:t>
      </w:r>
    </w:p>
    <w:p w:rsidR="000A156F" w:rsidRDefault="00A9721F">
      <w:pPr>
        <w:spacing w:after="200"/>
      </w:pPr>
      <w:r>
        <w:t>[MS-OFORMS] Microsoft Corporation, "</w:t>
      </w:r>
      <w:hyperlink r:id="rId47" w:anchor="Section_9c79701a8c3e4429a139b60ac3a1d50a">
        <w:r>
          <w:rPr>
            <w:rStyle w:val="Hyperlink"/>
          </w:rPr>
          <w:t>Office Forms Binary File Formats</w:t>
        </w:r>
      </w:hyperlink>
      <w:r>
        <w:t>".</w:t>
      </w:r>
    </w:p>
    <w:p w:rsidR="000A156F" w:rsidRDefault="00A9721F">
      <w:pPr>
        <w:spacing w:after="200"/>
      </w:pPr>
      <w:r>
        <w:t>[MS-OSHARED] Microsoft Corporation, "</w:t>
      </w:r>
      <w:hyperlink r:id="rId48" w:anchor="Section_d93502fa5b8f4f47a3fe5574046f4b8d">
        <w:r>
          <w:rPr>
            <w:rStyle w:val="Hyperlink"/>
          </w:rPr>
          <w:t>Office Common Data Types and Objects Structures</w:t>
        </w:r>
      </w:hyperlink>
      <w:r>
        <w:t>".</w:t>
      </w:r>
    </w:p>
    <w:p w:rsidR="000A156F" w:rsidRDefault="00A9721F">
      <w:pPr>
        <w:spacing w:after="200"/>
      </w:pPr>
      <w:r>
        <w:t>[MS-PPT] Microsoft Co</w:t>
      </w:r>
      <w:r>
        <w:t>rporation, "</w:t>
      </w:r>
      <w:hyperlink r:id="rId49" w:anchor="Section_6be79dde33c14c1b8ccc4b2301c08662">
        <w:r>
          <w:rPr>
            <w:rStyle w:val="Hyperlink"/>
          </w:rPr>
          <w:t>PowerPoint (.ppt) Binary File Format</w:t>
        </w:r>
      </w:hyperlink>
      <w:r>
        <w:t>".</w:t>
      </w:r>
    </w:p>
    <w:p w:rsidR="000A156F" w:rsidRDefault="00A9721F">
      <w:pPr>
        <w:spacing w:after="200"/>
      </w:pPr>
      <w:r>
        <w:t>[MS-WMF] Microsoft Corporation, "</w:t>
      </w:r>
      <w:hyperlink r:id="rId50" w:anchor="Section_4813e7fd52d04f42965f228c8b7488d2">
        <w:r>
          <w:rPr>
            <w:rStyle w:val="Hyperlink"/>
          </w:rPr>
          <w:t>Windows Metafile</w:t>
        </w:r>
        <w:r>
          <w:rPr>
            <w:rStyle w:val="Hyperlink"/>
          </w:rPr>
          <w:t xml:space="preserve"> Format</w:t>
        </w:r>
      </w:hyperlink>
      <w:r>
        <w:t>".</w:t>
      </w:r>
    </w:p>
    <w:p w:rsidR="000A156F" w:rsidRDefault="00A9721F">
      <w:pPr>
        <w:spacing w:after="200"/>
      </w:pPr>
      <w:r>
        <w:t>[MS-WSSCAML] Microsoft Corporation, "</w:t>
      </w:r>
      <w:hyperlink r:id="rId51" w:anchor="Section_8d6156fd646842949594644a946ed6a6">
        <w:r>
          <w:rPr>
            <w:rStyle w:val="Hyperlink"/>
          </w:rPr>
          <w:t>Collaborative Application Markup Language (CAML) Structure</w:t>
        </w:r>
      </w:hyperlink>
      <w:r>
        <w:t>".</w:t>
      </w:r>
    </w:p>
    <w:p w:rsidR="000A156F" w:rsidRDefault="00A9721F">
      <w:pPr>
        <w:spacing w:after="200"/>
      </w:pPr>
      <w:r>
        <w:t>[MS-XLS] Microsoft Corporation, "</w:t>
      </w:r>
      <w:hyperlink r:id="rId52" w:anchor="Section_cd03cb5fca024934a391bb674cb8aa06">
        <w:r>
          <w:rPr>
            <w:rStyle w:val="Hyperlink"/>
          </w:rPr>
          <w:t>Excel Binary File Format (.xls) Structure</w:t>
        </w:r>
      </w:hyperlink>
      <w:r>
        <w:t>".</w:t>
      </w:r>
    </w:p>
    <w:p w:rsidR="000A156F" w:rsidRDefault="00A9721F">
      <w:pPr>
        <w:spacing w:after="200"/>
      </w:pPr>
      <w:r>
        <w:t xml:space="preserve">[RFC2119] Bradner, S., "Key words for use in RFCs to Indicate Requirement Levels", BCP 14, RFC 2119, March 1997, </w:t>
      </w:r>
      <w:hyperlink r:id="rId53">
        <w:r>
          <w:rPr>
            <w:rStyle w:val="Hyperlink"/>
          </w:rPr>
          <w:t>https://www.rfc-editor.org/info/rfc2119</w:t>
        </w:r>
      </w:hyperlink>
    </w:p>
    <w:p w:rsidR="000A156F" w:rsidRDefault="00A9721F">
      <w:pPr>
        <w:pStyle w:val="Heading3"/>
      </w:pPr>
      <w:bookmarkStart w:id="12" w:name="section_94d2b16ecf4446248c7be2f0afe1a072"/>
      <w:bookmarkStart w:id="13" w:name="_Toc181683032"/>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A156F" w:rsidRDefault="00A9721F">
      <w:pPr>
        <w:spacing w:after="200"/>
      </w:pPr>
      <w:r>
        <w:t>[MS-XLSX] Microsoft Corporation, "</w:t>
      </w:r>
      <w:hyperlink r:id="rId54" w:anchor="Section_2c5dee00eff24b2292b60738acd4475e">
        <w:r>
          <w:rPr>
            <w:rStyle w:val="Hyperlink"/>
          </w:rPr>
          <w:t>Excel (.xlsx) Extensions to the Office Open XML SpreadsheetML File Format</w:t>
        </w:r>
      </w:hyperlink>
      <w:r>
        <w:t>".</w:t>
      </w:r>
    </w:p>
    <w:p w:rsidR="000A156F" w:rsidRDefault="00A9721F">
      <w:pPr>
        <w:spacing w:after="200"/>
      </w:pPr>
      <w:r>
        <w:t xml:space="preserve">[MSFT-MIPSDK] Microsoft Corporation, "Microsoft Information Protection SDK documentation", </w:t>
      </w:r>
      <w:hyperlink r:id="rId55">
        <w:r>
          <w:rPr>
            <w:rStyle w:val="Hyperlink"/>
          </w:rPr>
          <w:t>ht</w:t>
        </w:r>
        <w:r>
          <w:rPr>
            <w:rStyle w:val="Hyperlink"/>
          </w:rPr>
          <w:t>tps://learn.microsoft.com/en-us/information-protection/develop/</w:t>
        </w:r>
      </w:hyperlink>
    </w:p>
    <w:p w:rsidR="000A156F" w:rsidRDefault="00A9721F">
      <w:pPr>
        <w:pStyle w:val="Heading2"/>
      </w:pPr>
      <w:bookmarkStart w:id="14" w:name="section_21a135a0df4f404dad43ba943b828c63"/>
      <w:bookmarkStart w:id="15" w:name="_Toc181683033"/>
      <w:r>
        <w:t>Microsoft Implementations</w:t>
      </w:r>
      <w:bookmarkEnd w:id="14"/>
      <w:bookmarkEnd w:id="15"/>
    </w:p>
    <w:p w:rsidR="000A156F" w:rsidRDefault="00A9721F">
      <w:pPr>
        <w:ind w:firstLine="576"/>
      </w:pPr>
      <w:r>
        <w:t>Microsoft Excel 2010</w:t>
      </w:r>
    </w:p>
    <w:p w:rsidR="000A156F" w:rsidRDefault="00A9721F">
      <w:pPr>
        <w:ind w:firstLine="576"/>
      </w:pPr>
      <w:r>
        <w:t>Microsoft Excel 2013</w:t>
      </w:r>
    </w:p>
    <w:p w:rsidR="000A156F" w:rsidRDefault="00A9721F">
      <w:pPr>
        <w:ind w:firstLine="576"/>
      </w:pPr>
      <w:r>
        <w:t>Microsoft Excel 2016</w:t>
      </w:r>
    </w:p>
    <w:p w:rsidR="000A156F" w:rsidRDefault="00A9721F">
      <w:pPr>
        <w:ind w:firstLine="576"/>
      </w:pPr>
      <w:r>
        <w:t xml:space="preserve">Microsoft Excel 2019 </w:t>
      </w:r>
    </w:p>
    <w:p w:rsidR="000A156F" w:rsidRDefault="00A9721F">
      <w:pPr>
        <w:ind w:firstLine="576"/>
      </w:pPr>
      <w:r>
        <w:t xml:space="preserve">Microsoft Excel 2021 </w:t>
      </w:r>
    </w:p>
    <w:p w:rsidR="000A156F" w:rsidRDefault="00A9721F">
      <w:pPr>
        <w:ind w:firstLine="576"/>
      </w:pPr>
      <w:r>
        <w:t xml:space="preserve">Microsoft Excel LTSC 2024 </w:t>
      </w:r>
    </w:p>
    <w:p w:rsidR="000A156F" w:rsidRDefault="00A9721F">
      <w:pPr>
        <w:ind w:firstLine="576"/>
      </w:pPr>
      <w:r>
        <w:t>Microsoft PowerPoint 2010</w:t>
      </w:r>
    </w:p>
    <w:p w:rsidR="000A156F" w:rsidRDefault="00A9721F">
      <w:pPr>
        <w:ind w:firstLine="576"/>
      </w:pPr>
      <w:r>
        <w:lastRenderedPageBreak/>
        <w:t>Micros</w:t>
      </w:r>
      <w:r>
        <w:t>oft PowerPoint 2013</w:t>
      </w:r>
    </w:p>
    <w:p w:rsidR="000A156F" w:rsidRDefault="00A9721F">
      <w:pPr>
        <w:ind w:firstLine="576"/>
      </w:pPr>
      <w:r>
        <w:t>Microsoft PowerPoint 2016</w:t>
      </w:r>
    </w:p>
    <w:p w:rsidR="000A156F" w:rsidRDefault="00A9721F">
      <w:pPr>
        <w:ind w:firstLine="576"/>
      </w:pPr>
      <w:r>
        <w:t xml:space="preserve">Microsoft PowerPoint 2019 </w:t>
      </w:r>
    </w:p>
    <w:p w:rsidR="000A156F" w:rsidRDefault="00A9721F">
      <w:pPr>
        <w:ind w:firstLine="576"/>
      </w:pPr>
      <w:r>
        <w:t xml:space="preserve">Microsoft PowerPoint 2021 </w:t>
      </w:r>
    </w:p>
    <w:p w:rsidR="000A156F" w:rsidRDefault="00A9721F">
      <w:pPr>
        <w:ind w:firstLine="576"/>
      </w:pPr>
      <w:r>
        <w:t xml:space="preserve">Microsoft PowerPoint LTSC 2024 </w:t>
      </w:r>
    </w:p>
    <w:p w:rsidR="000A156F" w:rsidRDefault="00A9721F">
      <w:pPr>
        <w:ind w:firstLine="576"/>
      </w:pPr>
      <w:r>
        <w:t>Microsoft Word 2010</w:t>
      </w:r>
    </w:p>
    <w:p w:rsidR="000A156F" w:rsidRDefault="00A9721F">
      <w:pPr>
        <w:ind w:firstLine="576"/>
      </w:pPr>
      <w:r>
        <w:t>Microsoft Word 2013</w:t>
      </w:r>
    </w:p>
    <w:p w:rsidR="000A156F" w:rsidRDefault="00A9721F">
      <w:pPr>
        <w:ind w:firstLine="576"/>
      </w:pPr>
      <w:r>
        <w:t>Microsoft Word 2016</w:t>
      </w:r>
    </w:p>
    <w:p w:rsidR="000A156F" w:rsidRDefault="00A9721F">
      <w:pPr>
        <w:ind w:firstLine="576"/>
      </w:pPr>
      <w:r>
        <w:t xml:space="preserve">Microsoft Word 2019 </w:t>
      </w:r>
    </w:p>
    <w:p w:rsidR="000A156F" w:rsidRDefault="00A9721F">
      <w:pPr>
        <w:ind w:firstLine="576"/>
      </w:pPr>
      <w:r>
        <w:t xml:space="preserve">Microsoft Word 2021 </w:t>
      </w:r>
    </w:p>
    <w:p w:rsidR="000A156F" w:rsidRDefault="00A9721F">
      <w:pPr>
        <w:ind w:firstLine="576"/>
      </w:pPr>
      <w:r>
        <w:t xml:space="preserve">Microsoft Word LTSC 2024 </w:t>
      </w:r>
    </w:p>
    <w:p w:rsidR="000A156F" w:rsidRDefault="00A9721F">
      <w:pPr>
        <w:pStyle w:val="Heading1"/>
      </w:pPr>
      <w:bookmarkStart w:id="16" w:name="section_bd9e8289844a42e2980966c7005bd9e2"/>
      <w:bookmarkStart w:id="17" w:name="_Toc181683034"/>
      <w:r>
        <w:lastRenderedPageBreak/>
        <w:t>Conformance Statements</w:t>
      </w:r>
      <w:bookmarkEnd w:id="16"/>
      <w:bookmarkEnd w:id="17"/>
    </w:p>
    <w:p w:rsidR="000A156F" w:rsidRDefault="00A9721F">
      <w:r>
        <w:t>This section contains implementation information about how Microsoft Excel 2010, Microsoft PowerPoint 2010, Microsoft Word 2010 and later versions implement ISO-IEC 29500 Office Open XML File Formats (</w:t>
      </w:r>
      <w:hyperlink r:id="rId56">
        <w:r>
          <w:rPr>
            <w:rStyle w:val="Hyperlink"/>
          </w:rPr>
          <w:t>[ISO/IEC-29500-1]</w:t>
        </w:r>
      </w:hyperlink>
      <w:r>
        <w:t xml:space="preserve">, </w:t>
      </w:r>
      <w:hyperlink r:id="rId57">
        <w:r>
          <w:rPr>
            <w:rStyle w:val="Hyperlink"/>
          </w:rPr>
          <w:t>[ISO/IEC-29500-2]</w:t>
        </w:r>
      </w:hyperlink>
      <w:r>
        <w:t xml:space="preserve">, </w:t>
      </w:r>
      <w:hyperlink r:id="rId58">
        <w:r>
          <w:rPr>
            <w:rStyle w:val="Hyperlink"/>
          </w:rPr>
          <w:t>[ISO/IEC-29500-3]</w:t>
        </w:r>
      </w:hyperlink>
      <w:r>
        <w:t xml:space="preserve">, </w:t>
      </w:r>
      <w:hyperlink r:id="rId59">
        <w:r>
          <w:rPr>
            <w:rStyle w:val="Hyperlink"/>
          </w:rPr>
          <w:t>[ISO/IEC-29500-4]</w:t>
        </w:r>
      </w:hyperlink>
      <w:r>
        <w:t>).  Unless otherwise specified, implementation information in this document pertains to both Client and Server as well as Strict and Transitional implementations of Microsoft Offic</w:t>
      </w:r>
      <w:r>
        <w:t>e 2010 suites and later versions of the Microsoft Excel, Word and PowerPoint products.  The Office Implementation Information section follows the organization of the Office Open XML File Formats.</w:t>
      </w:r>
    </w:p>
    <w:p w:rsidR="000A156F" w:rsidRDefault="00A9721F">
      <w:pPr>
        <w:pStyle w:val="Heading2"/>
      </w:pPr>
      <w:bookmarkStart w:id="18" w:name="section_e40a8fd6d09945c3bee10774e2bd1f7a"/>
      <w:bookmarkStart w:id="19" w:name="_Toc181683035"/>
      <w:r>
        <w:t>Normative Variations</w:t>
      </w:r>
      <w:bookmarkEnd w:id="18"/>
      <w:bookmarkEnd w:id="19"/>
    </w:p>
    <w:p w:rsidR="000A156F" w:rsidRDefault="00A9721F">
      <w:pPr>
        <w:pStyle w:val="Heading3"/>
      </w:pPr>
      <w:bookmarkStart w:id="20" w:name="section_4893beff89e44326a9c3a89ddf80f063"/>
      <w:bookmarkStart w:id="21" w:name="_Toc181683036"/>
      <w:r>
        <w:t>Part 1 Section 2.2, Application Conform</w:t>
      </w:r>
      <w:r>
        <w:t>ance</w:t>
      </w:r>
      <w:bookmarkEnd w:id="20"/>
      <w:bookmarkEnd w:id="21"/>
      <w:r>
        <w:fldChar w:fldCharType="begin"/>
      </w:r>
      <w:r>
        <w:instrText xml:space="preserve"> XE "Application Conformance" </w:instrText>
      </w:r>
      <w:r>
        <w:fldChar w:fldCharType="end"/>
      </w:r>
    </w:p>
    <w:p w:rsidR="000A156F" w:rsidRDefault="00A9721F">
      <w:pPr>
        <w:pStyle w:val="Definition-Field"/>
      </w:pPr>
      <w:r>
        <w:t xml:space="preserve">a.   </w:t>
      </w:r>
      <w:r>
        <w:rPr>
          <w:i/>
        </w:rPr>
        <w:t>The standard specifies that white space content in strings representing atomic data must be normalized as part of processing.</w:t>
      </w:r>
    </w:p>
    <w:p w:rsidR="000A156F" w:rsidRDefault="00A9721F">
      <w:pPr>
        <w:pStyle w:val="Definition-Field2"/>
      </w:pPr>
      <w:r>
        <w:t>Office will only accept XML in which atomic content of attributes and elements is repres</w:t>
      </w:r>
      <w:r>
        <w:t>ented with white space content already normalized.</w:t>
      </w:r>
    </w:p>
    <w:p w:rsidR="000A156F" w:rsidRDefault="00A9721F">
      <w:pPr>
        <w:pStyle w:val="Definition-Field"/>
      </w:pPr>
      <w:r>
        <w:t xml:space="preserve">b.   </w:t>
      </w:r>
      <w:r>
        <w:rPr>
          <w:i/>
        </w:rPr>
        <w:t>The standard allows INF, NaN, and -INF as legal representations for double and float XML Schema types.</w:t>
      </w:r>
    </w:p>
    <w:p w:rsidR="000A156F" w:rsidRDefault="00A9721F">
      <w:pPr>
        <w:pStyle w:val="Definition-Field2"/>
      </w:pPr>
      <w:r>
        <w:t>Office does not accept INF, NaN, and -INF as valid representations for double and float data.</w:t>
      </w:r>
    </w:p>
    <w:p w:rsidR="000A156F" w:rsidRDefault="00A9721F">
      <w:pPr>
        <w:pStyle w:val="Heading3"/>
      </w:pPr>
      <w:bookmarkStart w:id="22" w:name="section_fa1be7cffc314bb698c9fd1db9cede94"/>
      <w:bookmarkStart w:id="23" w:name="_Toc181683037"/>
      <w:r>
        <w:t>Part 1 Section 8.6, PresentationML</w:t>
      </w:r>
      <w:bookmarkEnd w:id="22"/>
      <w:bookmarkEnd w:id="23"/>
      <w:r>
        <w:fldChar w:fldCharType="begin"/>
      </w:r>
      <w:r>
        <w:instrText xml:space="preserve"> XE "PresentationML" </w:instrText>
      </w:r>
      <w:r>
        <w:fldChar w:fldCharType="end"/>
      </w:r>
    </w:p>
    <w:p w:rsidR="000A156F" w:rsidRDefault="00A9721F">
      <w:pPr>
        <w:pStyle w:val="Definition-Field"/>
      </w:pPr>
      <w:r>
        <w:t xml:space="preserve">a.   </w:t>
      </w:r>
      <w:r>
        <w:rPr>
          <w:i/>
        </w:rPr>
        <w:t>The standard states that all comment authors in a document are stored in one comment-authors part while each slide has its own part.</w:t>
      </w:r>
    </w:p>
    <w:p w:rsidR="000A156F" w:rsidRDefault="00A9721F">
      <w:pPr>
        <w:pStyle w:val="Definition-Field2"/>
      </w:pPr>
      <w:r>
        <w:t>Office interprets comments to mean comment authors in this c</w:t>
      </w:r>
      <w:r>
        <w:t>ontext.</w:t>
      </w:r>
    </w:p>
    <w:p w:rsidR="000A156F" w:rsidRDefault="00A9721F">
      <w:pPr>
        <w:pStyle w:val="Heading3"/>
      </w:pPr>
      <w:bookmarkStart w:id="24" w:name="section_245fab239fe44f6f9b45e6d17e5ccadf"/>
      <w:bookmarkStart w:id="25" w:name="_Toc181683038"/>
      <w:r>
        <w:t>Part 1 Section 9, Packages</w:t>
      </w:r>
      <w:bookmarkEnd w:id="24"/>
      <w:bookmarkEnd w:id="25"/>
      <w:r>
        <w:fldChar w:fldCharType="begin"/>
      </w:r>
      <w:r>
        <w:instrText xml:space="preserve"> XE "Packages" </w:instrText>
      </w:r>
      <w:r>
        <w:fldChar w:fldCharType="end"/>
      </w:r>
    </w:p>
    <w:p w:rsidR="000A156F" w:rsidRDefault="00A9721F">
      <w:pPr>
        <w:pStyle w:val="Definition-Field"/>
      </w:pPr>
      <w:r>
        <w:t xml:space="preserve">a.   </w:t>
      </w:r>
      <w:r>
        <w:rPr>
          <w:i/>
        </w:rPr>
        <w:t>The standard does not define idOfficeObject digital signature.</w:t>
      </w:r>
    </w:p>
    <w:p w:rsidR="000A156F" w:rsidRDefault="00A9721F">
      <w:pPr>
        <w:pStyle w:val="Definition-Field2"/>
      </w:pPr>
      <w:r>
        <w:t>Office reserves the object ID of idOfficeObject (</w:t>
      </w:r>
      <w:hyperlink w:anchor="Section_e8dafc63570a444fa0aedd1af1966d76">
        <w:r>
          <w:rPr>
            <w:rStyle w:val="Hyperlink"/>
          </w:rPr>
          <w:t>§3.7, Office Digital Sig</w:t>
        </w:r>
        <w:r>
          <w:rPr>
            <w:rStyle w:val="Hyperlink"/>
          </w:rPr>
          <w:t>nature</w:t>
        </w:r>
      </w:hyperlink>
      <w:r>
        <w:t>) for its digital signature.</w:t>
      </w:r>
    </w:p>
    <w:p w:rsidR="000A156F" w:rsidRDefault="00A9721F">
      <w:pPr>
        <w:pStyle w:val="Heading3"/>
      </w:pPr>
      <w:bookmarkStart w:id="26" w:name="section_19b9c0c565dd491c94d31487769154cf"/>
      <w:bookmarkStart w:id="27" w:name="_Toc181683039"/>
      <w:r>
        <w:t>Part 1 Section 11, WordprocessingML</w:t>
      </w:r>
      <w:bookmarkEnd w:id="26"/>
      <w:bookmarkEnd w:id="27"/>
      <w:r>
        <w:fldChar w:fldCharType="begin"/>
      </w:r>
      <w:r>
        <w:instrText xml:space="preserve"> XE "WordprocessingML" </w:instrText>
      </w:r>
      <w:r>
        <w:fldChar w:fldCharType="end"/>
      </w:r>
    </w:p>
    <w:p w:rsidR="000A156F" w:rsidRDefault="00A9721F">
      <w:pPr>
        <w:pStyle w:val="Definition-Field"/>
      </w:pPr>
      <w:r>
        <w:t xml:space="preserve">a.   </w:t>
      </w:r>
      <w:r>
        <w:rPr>
          <w:i/>
        </w:rPr>
        <w:t>The standard defines a document setting as "A reusable element in a template."</w:t>
      </w:r>
    </w:p>
    <w:p w:rsidR="000A156F" w:rsidRDefault="00A9721F">
      <w:pPr>
        <w:pStyle w:val="Definition-Field2"/>
      </w:pPr>
      <w:r>
        <w:t>Office defines a document setting to be "A document-level property that affe</w:t>
      </w:r>
      <w:r>
        <w:t>cts the handling of a given document, and influences the appearance and behavior of the current document, as well as the stored document-level state."</w:t>
      </w:r>
    </w:p>
    <w:p w:rsidR="000A156F" w:rsidRDefault="00A9721F">
      <w:pPr>
        <w:pStyle w:val="Heading3"/>
      </w:pPr>
      <w:bookmarkStart w:id="28" w:name="section_c3233670f36446ed8ddf853d74c2bbc1"/>
      <w:bookmarkStart w:id="29" w:name="_Toc181683040"/>
      <w:r>
        <w:t>Part 1 Section 11.3, Part Summary</w:t>
      </w:r>
      <w:bookmarkEnd w:id="28"/>
      <w:bookmarkEnd w:id="29"/>
      <w:r>
        <w:fldChar w:fldCharType="begin"/>
      </w:r>
      <w:r>
        <w:instrText xml:space="preserve"> XE "Part Summary" </w:instrText>
      </w:r>
      <w:r>
        <w:fldChar w:fldCharType="end"/>
      </w:r>
    </w:p>
    <w:p w:rsidR="000A156F" w:rsidRDefault="00A9721F">
      <w:pPr>
        <w:pStyle w:val="Definition-Field"/>
      </w:pPr>
      <w:r>
        <w:t xml:space="preserve">a.   </w:t>
      </w:r>
      <w:r>
        <w:rPr>
          <w:i/>
        </w:rPr>
        <w:t>The standard does not document a Customizatio</w:t>
      </w:r>
      <w:r>
        <w:rPr>
          <w:i/>
        </w:rPr>
        <w:t>ns part for key mapping and toolbar customizations.</w:t>
      </w:r>
    </w:p>
    <w:p w:rsidR="000A156F" w:rsidRDefault="00A9721F">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0A156F" w:rsidRDefault="00A9721F">
      <w:pPr>
        <w:pStyle w:val="Definition-Field"/>
      </w:pPr>
      <w:r>
        <w:t xml:space="preserve">b.   </w:t>
      </w:r>
      <w:r>
        <w:rPr>
          <w:i/>
        </w:rPr>
        <w:t xml:space="preserve">The standard does not </w:t>
      </w:r>
      <w:r>
        <w:rPr>
          <w:i/>
        </w:rPr>
        <w:t>include documentation for the Attachedtoolbars part.</w:t>
      </w:r>
    </w:p>
    <w:p w:rsidR="000A156F" w:rsidRDefault="00A9721F">
      <w:pPr>
        <w:pStyle w:val="Definition-Field2"/>
      </w:pPr>
      <w:r>
        <w:lastRenderedPageBreak/>
        <w:t>Word defines an Attachedtoolbars part (</w:t>
      </w:r>
      <w:hyperlink w:anchor="Section_618afd53b3d54eb4836da647299f9e39">
        <w:r>
          <w:rPr>
            <w:rStyle w:val="Hyperlink"/>
          </w:rPr>
          <w:t>§3.1.1.1, Word Attached Toolbars Part</w:t>
        </w:r>
      </w:hyperlink>
      <w:r>
        <w:t xml:space="preserve">), which supports the storage of custom toolbars created by the </w:t>
      </w:r>
      <w:r>
        <w:t>user.</w:t>
      </w:r>
    </w:p>
    <w:p w:rsidR="000A156F" w:rsidRDefault="00A9721F">
      <w:pPr>
        <w:pStyle w:val="Definition-Field"/>
      </w:pPr>
      <w:r>
        <w:t xml:space="preserve">c.   </w:t>
      </w:r>
      <w:r>
        <w:rPr>
          <w:i/>
        </w:rPr>
        <w:t>The standard does not document a Mail Merge Recipient Data part for storage of mail merge recipient data.</w:t>
      </w:r>
    </w:p>
    <w:p w:rsidR="000A156F" w:rsidRDefault="00A9721F">
      <w:pPr>
        <w:pStyle w:val="Definition-Field2"/>
      </w:pPr>
      <w:r>
        <w:t>Word defines a Mail Merge Recipient Data part (</w:t>
      </w:r>
      <w:hyperlink w:anchor="Section_af3dc9138c084843ab40495a92170b96">
        <w:r>
          <w:rPr>
            <w:rStyle w:val="Hyperlink"/>
          </w:rPr>
          <w:t>§3.1.1.3, Mail Merge Recipien</w:t>
        </w:r>
        <w:r>
          <w:rPr>
            <w:rStyle w:val="Hyperlink"/>
          </w:rPr>
          <w:t>t Data Part</w:t>
        </w:r>
      </w:hyperlink>
      <w:r>
        <w:t>) for storage of mail merge recipient data.</w:t>
      </w:r>
    </w:p>
    <w:p w:rsidR="000A156F" w:rsidRDefault="00A9721F">
      <w:pPr>
        <w:pStyle w:val="Heading3"/>
      </w:pPr>
      <w:bookmarkStart w:id="30" w:name="section_559aaaa9dbea49feaeebcd2aeb99f924"/>
      <w:bookmarkStart w:id="31" w:name="_Toc181683041"/>
      <w:r>
        <w:t>Part 1 Section 12.3, Part Summary</w:t>
      </w:r>
      <w:bookmarkEnd w:id="30"/>
      <w:bookmarkEnd w:id="31"/>
      <w:r>
        <w:fldChar w:fldCharType="begin"/>
      </w:r>
      <w:r>
        <w:instrText xml:space="preserve"> XE "Part Summary" </w:instrText>
      </w:r>
      <w:r>
        <w:fldChar w:fldCharType="end"/>
      </w:r>
    </w:p>
    <w:p w:rsidR="000A156F" w:rsidRDefault="00A9721F">
      <w:pPr>
        <w:pStyle w:val="Definition-Field"/>
      </w:pPr>
      <w:r>
        <w:t xml:space="preserve">a.   </w:t>
      </w:r>
      <w:r>
        <w:rPr>
          <w:i/>
        </w:rPr>
        <w:t>The standard does not include documentation for the Attachedtoolbars part.</w:t>
      </w:r>
    </w:p>
    <w:p w:rsidR="000A156F" w:rsidRDefault="00A9721F">
      <w:pPr>
        <w:pStyle w:val="Definition-Field2"/>
      </w:pPr>
      <w:r>
        <w:t>Office defines an Attachedtoolbars part (</w:t>
      </w:r>
      <w:hyperlink w:anchor="Section_693389eed71540f89ef4055de69fd6a8">
        <w:r>
          <w:rPr>
            <w:rStyle w:val="Hyperlink"/>
          </w:rPr>
          <w:t>§3.2.1.1, Excel Attached Toolbars Part</w:t>
        </w:r>
      </w:hyperlink>
      <w:r>
        <w:t>), which supports the storage of custom toolbars created by the user.</w:t>
      </w:r>
    </w:p>
    <w:p w:rsidR="000A156F" w:rsidRDefault="00A9721F">
      <w:pPr>
        <w:pStyle w:val="Definition-Field"/>
      </w:pPr>
      <w:r>
        <w:t xml:space="preserve">b.   </w:t>
      </w:r>
      <w:r>
        <w:rPr>
          <w:i/>
        </w:rPr>
        <w:t>The standard lists the Comment part as a relationship target of the Chartsheet part and the Dialogsheet p</w:t>
      </w:r>
      <w:r>
        <w:rPr>
          <w:i/>
        </w:rPr>
        <w:t>art.</w:t>
      </w:r>
    </w:p>
    <w:p w:rsidR="000A156F" w:rsidRDefault="00A9721F">
      <w:pPr>
        <w:pStyle w:val="Definition-Field2"/>
      </w:pPr>
      <w:r>
        <w:t>Office does not allow the Comment part as a valid relationship target of the Chartsheet part or the Dialogsheet part.</w:t>
      </w:r>
    </w:p>
    <w:p w:rsidR="000A156F" w:rsidRDefault="00A9721F">
      <w:pPr>
        <w:pStyle w:val="Definition-Field"/>
      </w:pPr>
      <w:r>
        <w:t xml:space="preserve">c.   </w:t>
      </w:r>
      <w:r>
        <w:rPr>
          <w:i/>
        </w:rPr>
        <w:t>The standard states that the Custom Property part is a relationship target of the Workbook part.</w:t>
      </w:r>
    </w:p>
    <w:p w:rsidR="000A156F" w:rsidRDefault="00A9721F">
      <w:pPr>
        <w:pStyle w:val="Definition-Field2"/>
      </w:pPr>
      <w:r>
        <w:t>Office requires that the Custom</w:t>
      </w:r>
      <w:r>
        <w:t xml:space="preserve"> Property part is a relationship target of the Worksheet part.</w:t>
      </w:r>
    </w:p>
    <w:p w:rsidR="000A156F" w:rsidRDefault="00A9721F">
      <w:pPr>
        <w:pStyle w:val="Definition-Field"/>
      </w:pPr>
      <w:r>
        <w:t xml:space="preserve">d.   </w:t>
      </w:r>
      <w:r>
        <w:rPr>
          <w:i/>
        </w:rPr>
        <w:t>The standard states that the Single Cell Table Definitions part is a valid relationship target of the Dialogsheet part.</w:t>
      </w:r>
    </w:p>
    <w:p w:rsidR="000A156F" w:rsidRDefault="00A9721F">
      <w:pPr>
        <w:pStyle w:val="Definition-Field2"/>
      </w:pPr>
      <w:r>
        <w:t>Office does not allow the Single Cell Table Definitions part as a re</w:t>
      </w:r>
      <w:r>
        <w:t>lationship target of the Dialogsheet part.</w:t>
      </w:r>
    </w:p>
    <w:p w:rsidR="000A156F" w:rsidRDefault="00A9721F">
      <w:pPr>
        <w:pStyle w:val="Definition-Field"/>
      </w:pPr>
      <w:r>
        <w:t xml:space="preserve">e.   </w:t>
      </w:r>
      <w:r>
        <w:rPr>
          <w:i/>
        </w:rPr>
        <w:t>The standard states that the Table Definition part is a valid relationship target of the Dialogsheet part.</w:t>
      </w:r>
    </w:p>
    <w:p w:rsidR="000A156F" w:rsidRDefault="00A9721F">
      <w:pPr>
        <w:pStyle w:val="Definition-Field2"/>
      </w:pPr>
      <w:r>
        <w:t>Office does not allow the Table Definition part as a relationship target of the Dialogsheet part.</w:t>
      </w:r>
    </w:p>
    <w:p w:rsidR="000A156F" w:rsidRDefault="00A9721F">
      <w:pPr>
        <w:pStyle w:val="Definition-Field"/>
      </w:pPr>
      <w:r>
        <w:t xml:space="preserve">f.   </w:t>
      </w:r>
      <w:r>
        <w:rPr>
          <w:i/>
        </w:rPr>
        <w:t>The standard specifies the Root Element of the Dialogsheet part as dialogSheet.</w:t>
      </w:r>
    </w:p>
    <w:p w:rsidR="000A156F" w:rsidRDefault="00A9721F">
      <w:pPr>
        <w:pStyle w:val="Definition-Field2"/>
      </w:pPr>
      <w:r>
        <w:t>Office requires the Root Element to be dialogsheet.</w:t>
      </w:r>
    </w:p>
    <w:p w:rsidR="000A156F" w:rsidRDefault="00A9721F">
      <w:pPr>
        <w:pStyle w:val="Definition-Field"/>
      </w:pPr>
      <w:r>
        <w:t xml:space="preserve">g.   </w:t>
      </w:r>
      <w:r>
        <w:rPr>
          <w:i/>
        </w:rPr>
        <w:t>The standard specifies the Root Element of the External Workbook References part as externalReference.</w:t>
      </w:r>
    </w:p>
    <w:p w:rsidR="000A156F" w:rsidRDefault="00A9721F">
      <w:pPr>
        <w:pStyle w:val="Definition-Field2"/>
      </w:pPr>
      <w:r>
        <w:t>Office requ</w:t>
      </w:r>
      <w:r>
        <w:t>ires the Root Element to be externalLink.</w:t>
      </w:r>
    </w:p>
    <w:p w:rsidR="000A156F" w:rsidRDefault="00A9721F">
      <w:pPr>
        <w:pStyle w:val="Definition-Field"/>
      </w:pPr>
      <w:r>
        <w:t xml:space="preserve">h.   </w:t>
      </w:r>
      <w:r>
        <w:rPr>
          <w:i/>
        </w:rPr>
        <w:t>The standard does not include documentation for the Worksheet Sort Map part.</w:t>
      </w:r>
    </w:p>
    <w:p w:rsidR="000A156F" w:rsidRDefault="00A9721F">
      <w:pPr>
        <w:pStyle w:val="Definition-Field2"/>
      </w:pPr>
      <w:r>
        <w:t>Office defines a Worksheet Sort Map part (</w:t>
      </w:r>
      <w:hyperlink w:anchor="Section_a24b67311ed74c89ab5828431df113ee">
        <w:r>
          <w:rPr>
            <w:rStyle w:val="Hyperlink"/>
          </w:rPr>
          <w:t>§3.2.2, Microsoft Office Ex</w:t>
        </w:r>
        <w:r>
          <w:rPr>
            <w:rStyle w:val="Hyperlink"/>
          </w:rPr>
          <w:t>cel Sortmap</w:t>
        </w:r>
      </w:hyperlink>
      <w:r>
        <w:t>) to reconcile different sort operations on the worksheet in a shared workbook.</w:t>
      </w:r>
    </w:p>
    <w:p w:rsidR="000A156F" w:rsidRDefault="00A9721F">
      <w:pPr>
        <w:pStyle w:val="Definition-Field"/>
      </w:pPr>
      <w:r>
        <w:t xml:space="preserve">i.   </w:t>
      </w:r>
      <w:r>
        <w:rPr>
          <w:i/>
        </w:rPr>
        <w:t>The standard does not list the Query Table part as a relationship target of the Table Definition part.</w:t>
      </w:r>
    </w:p>
    <w:p w:rsidR="000A156F" w:rsidRDefault="00A9721F">
      <w:pPr>
        <w:pStyle w:val="Definition-Field2"/>
      </w:pPr>
      <w:r>
        <w:t>Office allows the Query Table part as a valid relationshi</w:t>
      </w:r>
      <w:r>
        <w:t>p target of the Table Definition part.</w:t>
      </w:r>
    </w:p>
    <w:p w:rsidR="000A156F" w:rsidRDefault="00A9721F">
      <w:pPr>
        <w:pStyle w:val="Heading3"/>
      </w:pPr>
      <w:bookmarkStart w:id="32" w:name="section_ad7b4b63522f4b6191bc56ec1602b872"/>
      <w:bookmarkStart w:id="33" w:name="_Toc181683042"/>
      <w:r>
        <w:t>Part 1 Section 12.3.2, Chartsheet Part</w:t>
      </w:r>
      <w:bookmarkEnd w:id="32"/>
      <w:bookmarkEnd w:id="33"/>
      <w:r>
        <w:fldChar w:fldCharType="begin"/>
      </w:r>
      <w:r>
        <w:instrText xml:space="preserve"> XE "Chartsheet Part" </w:instrText>
      </w:r>
      <w:r>
        <w:fldChar w:fldCharType="end"/>
      </w:r>
    </w:p>
    <w:p w:rsidR="000A156F" w:rsidRDefault="00A9721F">
      <w:pPr>
        <w:pStyle w:val="Definition-Field"/>
      </w:pPr>
      <w:r>
        <w:t xml:space="preserve">a.   </w:t>
      </w:r>
      <w:r>
        <w:rPr>
          <w:i/>
        </w:rPr>
        <w:t>The standard does not allow the Chartsheet part to have an explicit relationship with the VML Drawing part.</w:t>
      </w:r>
    </w:p>
    <w:p w:rsidR="000A156F" w:rsidRDefault="00A9721F">
      <w:pPr>
        <w:pStyle w:val="Definition-Field2"/>
      </w:pPr>
      <w:r>
        <w:t>Office allows the Chartsheet part to have</w:t>
      </w:r>
      <w:r>
        <w:t xml:space="preserve"> an explicit relationship with the VML Drawing part.</w:t>
      </w:r>
    </w:p>
    <w:p w:rsidR="000A156F" w:rsidRDefault="00A9721F">
      <w:pPr>
        <w:pStyle w:val="Definition-Field"/>
      </w:pPr>
      <w:r>
        <w:lastRenderedPageBreak/>
        <w:t xml:space="preserve">b.   </w:t>
      </w:r>
      <w:r>
        <w:rPr>
          <w:i/>
        </w:rPr>
        <w:t>The standard does not allow the Chartsheet part to have an explicit relationship with the Images part.</w:t>
      </w:r>
    </w:p>
    <w:p w:rsidR="000A156F" w:rsidRDefault="00A9721F">
      <w:pPr>
        <w:pStyle w:val="Definition-Field2"/>
      </w:pPr>
      <w:r>
        <w:t>Office allows the Chartsheet part to have an explicit relationship with the Images part.</w:t>
      </w:r>
    </w:p>
    <w:p w:rsidR="000A156F" w:rsidRDefault="00A9721F">
      <w:pPr>
        <w:pStyle w:val="Heading3"/>
      </w:pPr>
      <w:bookmarkStart w:id="34" w:name="section_af4b5f43ab984970bd5ae569ff550042"/>
      <w:bookmarkStart w:id="35" w:name="_Toc181683043"/>
      <w:r>
        <w:t>Part 1</w:t>
      </w:r>
      <w:r>
        <w:t xml:space="preserve"> Section 12.3.6, Custom XML Mappings Part</w:t>
      </w:r>
      <w:bookmarkEnd w:id="34"/>
      <w:bookmarkEnd w:id="35"/>
      <w:r>
        <w:fldChar w:fldCharType="begin"/>
      </w:r>
      <w:r>
        <w:instrText xml:space="preserve"> XE "Custom XML Mappings Part" </w:instrText>
      </w:r>
      <w:r>
        <w:fldChar w:fldCharType="end"/>
      </w:r>
    </w:p>
    <w:p w:rsidR="000A156F" w:rsidRDefault="00A9721F">
      <w:pPr>
        <w:pStyle w:val="Definition-Field"/>
      </w:pPr>
      <w:r>
        <w:t xml:space="preserve">a.   </w:t>
      </w:r>
      <w:r>
        <w:rPr>
          <w:i/>
        </w:rPr>
        <w:t>The standard specifies the Root Element of the Custom XML Mapping part as mapInfo.</w:t>
      </w:r>
    </w:p>
    <w:p w:rsidR="000A156F" w:rsidRDefault="00A9721F">
      <w:pPr>
        <w:pStyle w:val="Definition-Field2"/>
      </w:pPr>
      <w:r>
        <w:t>Office requires the Root Element to be MapInfo.</w:t>
      </w:r>
    </w:p>
    <w:p w:rsidR="000A156F" w:rsidRDefault="00A9721F">
      <w:pPr>
        <w:pStyle w:val="Heading3"/>
      </w:pPr>
      <w:bookmarkStart w:id="36" w:name="section_df608f0d3ef3449a98cd7319467fa01e"/>
      <w:bookmarkStart w:id="37" w:name="_Toc181683044"/>
      <w:r>
        <w:t>Part 1 Section 12.3.7, Dialogsheet Part</w:t>
      </w:r>
      <w:bookmarkEnd w:id="36"/>
      <w:bookmarkEnd w:id="37"/>
      <w:r>
        <w:fldChar w:fldCharType="begin"/>
      </w:r>
      <w:r>
        <w:instrText xml:space="preserve"> XE "Dialogsheet Part" </w:instrText>
      </w:r>
      <w:r>
        <w:fldChar w:fldCharType="end"/>
      </w:r>
    </w:p>
    <w:p w:rsidR="000A156F" w:rsidRDefault="00A9721F">
      <w:pPr>
        <w:pStyle w:val="Definition-Field"/>
      </w:pPr>
      <w:r>
        <w:t xml:space="preserve">a.   </w:t>
      </w:r>
      <w:r>
        <w:rPr>
          <w:i/>
        </w:rPr>
        <w:t>The standard states that a Dialogsheet part is permitted to have an explicit relationship with the Embedded Control Persistence part.</w:t>
      </w:r>
    </w:p>
    <w:p w:rsidR="000A156F" w:rsidRDefault="00A9721F">
      <w:pPr>
        <w:pStyle w:val="Definition-Field2"/>
      </w:pPr>
      <w:r>
        <w:t>Office does not allow a Dialogsheet part to have an explicit relationship to the Embedded C</w:t>
      </w:r>
      <w:r>
        <w:t>ontrol Persistence part.</w:t>
      </w:r>
    </w:p>
    <w:p w:rsidR="000A156F" w:rsidRDefault="00A9721F">
      <w:pPr>
        <w:pStyle w:val="Definition-Field"/>
      </w:pPr>
      <w:r>
        <w:t xml:space="preserve">b.   </w:t>
      </w:r>
      <w:r>
        <w:rPr>
          <w:i/>
        </w:rPr>
        <w:t>The standard does not allow the Dialogsheet part to have an explicit relationship with the VML Drawing part.</w:t>
      </w:r>
    </w:p>
    <w:p w:rsidR="000A156F" w:rsidRDefault="00A9721F">
      <w:pPr>
        <w:pStyle w:val="Definition-Field2"/>
      </w:pPr>
      <w:r>
        <w:t>Office allows the Dialogsheet part to have an explicit relationship with the VML Drawing part.</w:t>
      </w:r>
    </w:p>
    <w:p w:rsidR="000A156F" w:rsidRDefault="00A9721F">
      <w:pPr>
        <w:pStyle w:val="Heading3"/>
      </w:pPr>
      <w:bookmarkStart w:id="38" w:name="section_739cf85bb45b4850ba8f6f7b737607be"/>
      <w:bookmarkStart w:id="39" w:name="_Toc181683045"/>
      <w:r>
        <w:t>Part 1 Section 12.3.19</w:t>
      </w:r>
      <w:r>
        <w:t>, Single Cell Table Definitions Part</w:t>
      </w:r>
      <w:bookmarkEnd w:id="38"/>
      <w:bookmarkEnd w:id="39"/>
      <w:r>
        <w:fldChar w:fldCharType="begin"/>
      </w:r>
      <w:r>
        <w:instrText xml:space="preserve"> XE "Single Cell Table Definitions Part" </w:instrText>
      </w:r>
      <w:r>
        <w:fldChar w:fldCharType="end"/>
      </w:r>
    </w:p>
    <w:p w:rsidR="000A156F" w:rsidRDefault="00A9721F">
      <w:pPr>
        <w:pStyle w:val="Definition-Field"/>
      </w:pPr>
      <w:r>
        <w:t xml:space="preserve">a.   </w:t>
      </w:r>
      <w:r>
        <w:rPr>
          <w:i/>
        </w:rPr>
        <w:t>The standard specifies the Root Element of the Single Cell Table Definitions part as singleCells.</w:t>
      </w:r>
    </w:p>
    <w:p w:rsidR="000A156F" w:rsidRDefault="00A9721F">
      <w:pPr>
        <w:pStyle w:val="Definition-Field2"/>
      </w:pPr>
      <w:r>
        <w:t>Office requires the Root Element to be singleXmlCells.</w:t>
      </w:r>
    </w:p>
    <w:p w:rsidR="000A156F" w:rsidRDefault="00A9721F">
      <w:pPr>
        <w:pStyle w:val="Heading3"/>
      </w:pPr>
      <w:bookmarkStart w:id="40" w:name="section_88c100b9aa6a4adea91c045eac37812e"/>
      <w:bookmarkStart w:id="41" w:name="_Toc181683046"/>
      <w:r>
        <w:t>Part 1 Section 12.</w:t>
      </w:r>
      <w:r>
        <w:t>3.20, Styles Part</w:t>
      </w:r>
      <w:bookmarkEnd w:id="40"/>
      <w:bookmarkEnd w:id="41"/>
      <w:r>
        <w:fldChar w:fldCharType="begin"/>
      </w:r>
      <w:r>
        <w:instrText xml:space="preserve"> XE "Styles Part" </w:instrText>
      </w:r>
      <w:r>
        <w:fldChar w:fldCharType="end"/>
      </w:r>
    </w:p>
    <w:p w:rsidR="000A156F" w:rsidRDefault="00A9721F">
      <w:pPr>
        <w:pStyle w:val="Definition-Field"/>
      </w:pPr>
      <w:r>
        <w:t xml:space="preserve">a.   </w:t>
      </w:r>
      <w:r>
        <w:rPr>
          <w:i/>
        </w:rPr>
        <w:t>The standard specifies the Root Namespace for the Styles Part as http://schemas.openxmlformats.org/spreadsheetml/2006/mains.</w:t>
      </w:r>
    </w:p>
    <w:p w:rsidR="000A156F" w:rsidRDefault="00A9721F">
      <w:pPr>
        <w:pStyle w:val="Definition-Field2"/>
      </w:pPr>
      <w:r>
        <w:t>Office requires the Root Namespace to be http://schemas.openxmlformats.org/spreadhseetml</w:t>
      </w:r>
      <w:r>
        <w:t>/2006/main.</w:t>
      </w:r>
    </w:p>
    <w:p w:rsidR="000A156F" w:rsidRDefault="00A9721F">
      <w:pPr>
        <w:pStyle w:val="Heading3"/>
      </w:pPr>
      <w:bookmarkStart w:id="42" w:name="section_a7964130cdca418e927282ca6b66f915"/>
      <w:bookmarkStart w:id="43" w:name="_Toc181683047"/>
      <w:r>
        <w:t>Part 1 Section 12.3.24, Worksheet Part</w:t>
      </w:r>
      <w:bookmarkEnd w:id="42"/>
      <w:bookmarkEnd w:id="43"/>
      <w:r>
        <w:fldChar w:fldCharType="begin"/>
      </w:r>
      <w:r>
        <w:instrText xml:space="preserve"> XE "Worksheet Part" </w:instrText>
      </w:r>
      <w:r>
        <w:fldChar w:fldCharType="end"/>
      </w:r>
    </w:p>
    <w:p w:rsidR="000A156F" w:rsidRDefault="00A9721F">
      <w:pPr>
        <w:pStyle w:val="Definition-Field"/>
      </w:pPr>
      <w:r>
        <w:t xml:space="preserve">a.   </w:t>
      </w:r>
      <w:r>
        <w:rPr>
          <w:i/>
        </w:rPr>
        <w:t>The standard does not allow the Worksheet part to have an implicit relationship with the Worksheet Sort Map part.</w:t>
      </w:r>
    </w:p>
    <w:p w:rsidR="000A156F" w:rsidRDefault="00A9721F">
      <w:pPr>
        <w:pStyle w:val="Definition-Field2"/>
      </w:pPr>
      <w:r>
        <w:t>Office allows the Worksheet part to have an implicit relationsh</w:t>
      </w:r>
      <w:r>
        <w:t>ip with the Worksheet Sort Map part.</w:t>
      </w:r>
    </w:p>
    <w:p w:rsidR="000A156F" w:rsidRDefault="00A9721F">
      <w:pPr>
        <w:pStyle w:val="Definition-Field"/>
      </w:pPr>
      <w:r>
        <w:t xml:space="preserve">b.   </w:t>
      </w:r>
      <w:r>
        <w:rPr>
          <w:i/>
        </w:rPr>
        <w:t>The standard does not allow the Worksheet part to have an implicit relationship with the Query Table part.</w:t>
      </w:r>
    </w:p>
    <w:p w:rsidR="000A156F" w:rsidRDefault="00A9721F">
      <w:pPr>
        <w:pStyle w:val="Definition-Field2"/>
      </w:pPr>
      <w:r>
        <w:t>Office allows the Worksheet part to have an implicit relationship with the Query Table part.</w:t>
      </w:r>
    </w:p>
    <w:p w:rsidR="000A156F" w:rsidRDefault="00A9721F">
      <w:pPr>
        <w:pStyle w:val="Definition-Field"/>
      </w:pPr>
      <w:r>
        <w:t xml:space="preserve">c.   </w:t>
      </w:r>
      <w:r>
        <w:rPr>
          <w:i/>
        </w:rPr>
        <w:t>The stand</w:t>
      </w:r>
      <w:r>
        <w:rPr>
          <w:i/>
        </w:rPr>
        <w:t>ard does not allow the Worksheet part to have an explicit relationship with the Custom Property part.</w:t>
      </w:r>
    </w:p>
    <w:p w:rsidR="000A156F" w:rsidRDefault="00A9721F">
      <w:pPr>
        <w:pStyle w:val="Definition-Field2"/>
      </w:pPr>
      <w:r>
        <w:t>Office allows the Worksheet part to have an explicit relationship with the Custom Property part.</w:t>
      </w:r>
    </w:p>
    <w:p w:rsidR="000A156F" w:rsidRDefault="00A9721F">
      <w:pPr>
        <w:pStyle w:val="Heading3"/>
      </w:pPr>
      <w:bookmarkStart w:id="44" w:name="section_69a5e5d3789449c299d7db87b61f4302"/>
      <w:bookmarkStart w:id="45" w:name="_Toc181683048"/>
      <w:r>
        <w:lastRenderedPageBreak/>
        <w:t>Part 1 Section 12.4, External Workbooks</w:t>
      </w:r>
      <w:bookmarkEnd w:id="44"/>
      <w:bookmarkEnd w:id="45"/>
      <w:r>
        <w:fldChar w:fldCharType="begin"/>
      </w:r>
      <w:r>
        <w:instrText xml:space="preserve"> XE "External Workbooks" </w:instrText>
      </w:r>
      <w:r>
        <w:fldChar w:fldCharType="end"/>
      </w:r>
    </w:p>
    <w:p w:rsidR="000A156F" w:rsidRDefault="00A9721F">
      <w:pPr>
        <w:pStyle w:val="Definition-Field"/>
      </w:pPr>
      <w:r>
        <w:t xml:space="preserve">a.   </w:t>
      </w:r>
      <w:r>
        <w:rPr>
          <w:i/>
        </w:rPr>
        <w:t>The standard does not specify the meaning of the http://schemas.microsoft.com/office/2006/relationships/xlExternalLinkPath/xlStartup relationship type.</w:t>
      </w:r>
    </w:p>
    <w:p w:rsidR="000A156F" w:rsidRDefault="00A9721F">
      <w:pPr>
        <w:pStyle w:val="Definition-Field2"/>
      </w:pPr>
      <w:r>
        <w:t>Excel uses the http://schemas.microsoft.com/office/2006/relationships/x</w:t>
      </w:r>
      <w:r>
        <w:t>lExternalLinkPath/xlStartup relationship type to specify a base path of an application-defined startup directory.</w:t>
      </w:r>
    </w:p>
    <w:p w:rsidR="000A156F" w:rsidRDefault="00A9721F">
      <w:pPr>
        <w:pStyle w:val="Definition-Field"/>
      </w:pPr>
      <w:r>
        <w:t xml:space="preserve">b.   </w:t>
      </w:r>
      <w:r>
        <w:rPr>
          <w:i/>
        </w:rPr>
        <w:t>The standard does not specify the meaning of the http://schemas.microsoft.com/office/2006/relationships/xlExternalLinkPath/xlAlternateSta</w:t>
      </w:r>
      <w:r>
        <w:rPr>
          <w:i/>
        </w:rPr>
        <w:t>rtup relationship type.</w:t>
      </w:r>
    </w:p>
    <w:p w:rsidR="000A156F" w:rsidRDefault="00A9721F">
      <w:pPr>
        <w:pStyle w:val="Definition-Field2"/>
      </w:pPr>
      <w:r>
        <w:t>Excel uses the http://schemas.microsoft.com/office/2006/relationships/xlExternalLinkPath/xlAlternateStartup relationship type to specify a base path of an application-defined alternate startup directory.</w:t>
      </w:r>
    </w:p>
    <w:p w:rsidR="000A156F" w:rsidRDefault="00A9721F">
      <w:pPr>
        <w:pStyle w:val="Definition-Field"/>
      </w:pPr>
      <w:r>
        <w:t xml:space="preserve">c.   </w:t>
      </w:r>
      <w:r>
        <w:rPr>
          <w:i/>
        </w:rPr>
        <w:t>The standard does not s</w:t>
      </w:r>
      <w:r>
        <w:rPr>
          <w:i/>
        </w:rPr>
        <w:t>pecify the meaning of the http://schemas.microsoft.com/office/2006/relationships/xlExternalLinkPath/xlPathMissing relationship type.</w:t>
      </w:r>
    </w:p>
    <w:p w:rsidR="000A156F" w:rsidRDefault="00A9721F">
      <w:pPr>
        <w:pStyle w:val="Definition-Field2"/>
      </w:pPr>
      <w:r>
        <w:t>Excel uses the http://schemas.microsoft.com/office/2006/relationships/xlExternalLinkPath/xlPathMissing relationship type to</w:t>
      </w:r>
      <w:r>
        <w:t xml:space="preserve"> specify that a base path should not be inferred.</w:t>
      </w:r>
    </w:p>
    <w:p w:rsidR="000A156F" w:rsidRDefault="00A9721F">
      <w:pPr>
        <w:pStyle w:val="Definition-Field"/>
      </w:pPr>
      <w:r>
        <w:t xml:space="preserve">d.   </w:t>
      </w:r>
      <w:r>
        <w:rPr>
          <w:i/>
        </w:rPr>
        <w:t>The standard does not specify the meaning of the http://schemas.microsoft.com/office/2006/relationships/xlExternalLinkPath/xlLibrary relationship type.</w:t>
      </w:r>
    </w:p>
    <w:p w:rsidR="000A156F" w:rsidRDefault="00A9721F">
      <w:pPr>
        <w:pStyle w:val="Definition-Field2"/>
      </w:pPr>
      <w:r>
        <w:t>Excel uses the http://schemas.microsoft.com/offic</w:t>
      </w:r>
      <w:r>
        <w:t>e/2006/relationships/xlExternalLinkPath/xlLibrary relationship type to specify a base path of an application-defined library directory.</w:t>
      </w:r>
    </w:p>
    <w:p w:rsidR="000A156F" w:rsidRDefault="00A9721F">
      <w:pPr>
        <w:pStyle w:val="Definition-Field"/>
      </w:pPr>
      <w:r>
        <w:t xml:space="preserve">e.   </w:t>
      </w:r>
      <w:r>
        <w:rPr>
          <w:i/>
        </w:rPr>
        <w:t>The standard states that this part can only contain links to external workbooks.</w:t>
      </w:r>
    </w:p>
    <w:p w:rsidR="000A156F" w:rsidRDefault="00A9721F">
      <w:pPr>
        <w:pStyle w:val="Definition-Field2"/>
      </w:pPr>
      <w:r>
        <w:t xml:space="preserve">Excel also allows this part to </w:t>
      </w:r>
      <w:r>
        <w:t>contain OLE links and DDE links.</w:t>
      </w:r>
    </w:p>
    <w:p w:rsidR="000A156F" w:rsidRDefault="00A9721F">
      <w:pPr>
        <w:pStyle w:val="Definition-Field"/>
      </w:pPr>
      <w:r>
        <w:t>f.</w:t>
      </w:r>
      <w:r>
        <w:tab/>
      </w:r>
      <w:r>
        <w:rPr>
          <w:i/>
        </w:rPr>
        <w:t>The standard does not specify the meaning of the http://schemas.microsoft.com/office/2019/04/relationships/externalLinkLongPath relationship type.</w:t>
      </w:r>
    </w:p>
    <w:p w:rsidR="000A156F" w:rsidRDefault="00A9721F">
      <w:pPr>
        <w:pStyle w:val="Definition-Field2"/>
      </w:pPr>
      <w:r>
        <w:t>Excel uses the http://schemas.microsoft.com/office/2019/04/relationships/</w:t>
      </w:r>
      <w:r>
        <w:t>externalLinkLongPath relationship type to specify a path that is longer than 218 characters.</w:t>
      </w:r>
    </w:p>
    <w:p w:rsidR="000A156F" w:rsidRDefault="00A9721F">
      <w:pPr>
        <w:pStyle w:val="Definition-Field"/>
      </w:pPr>
      <w:r>
        <w:t>g.</w:t>
      </w:r>
      <w:r>
        <w:tab/>
      </w:r>
      <w:r>
        <w:rPr>
          <w:i/>
        </w:rPr>
        <w:t>The standard does not specify the meaning of the http://schemas.microsoft.com/office/2019/04/relationships/oleObjectLinkLongPath relationship type.</w:t>
      </w:r>
    </w:p>
    <w:p w:rsidR="000A156F" w:rsidRDefault="00A9721F">
      <w:pPr>
        <w:pStyle w:val="Definition-Field2"/>
      </w:pPr>
      <w:r>
        <w:t>Excel uses t</w:t>
      </w:r>
      <w:r>
        <w:t>he http://schemas.microsoft.com/office/2019/04/relationships/oleObjectLinkLongPath relationship type to specify an OLE object link path that is longer than 218 characters.</w:t>
      </w:r>
    </w:p>
    <w:p w:rsidR="000A156F" w:rsidRDefault="00A9721F">
      <w:pPr>
        <w:pStyle w:val="Definition-Field"/>
      </w:pPr>
      <w:r>
        <w:t>h.</w:t>
      </w:r>
      <w:r>
        <w:tab/>
      </w:r>
      <w:r>
        <w:rPr>
          <w:i/>
        </w:rPr>
        <w:t>The standard does not specify the meaning of the http://schemas.microsoft.com/off</w:t>
      </w:r>
      <w:r>
        <w:rPr>
          <w:i/>
        </w:rPr>
        <w:t>ice/2019/04/relationships/xlExternalLinkLongPath/xlStartup relationship type.</w:t>
      </w:r>
    </w:p>
    <w:p w:rsidR="000A156F" w:rsidRDefault="00A9721F">
      <w:pPr>
        <w:pStyle w:val="Definition-Field2"/>
      </w:pPr>
      <w:r>
        <w:t>Excel uses the http://schemas.microsoft.com/office/2019/04/relationships/xlExternalLinkLongPath/xlStartup relationship type to specify a longer than 218-character base path of an</w:t>
      </w:r>
      <w:r>
        <w:t xml:space="preserve"> application-defined startup directory.</w:t>
      </w:r>
    </w:p>
    <w:p w:rsidR="000A156F" w:rsidRDefault="00A9721F">
      <w:pPr>
        <w:pStyle w:val="Definition-Field"/>
      </w:pPr>
      <w:r>
        <w:lastRenderedPageBreak/>
        <w:t>i.</w:t>
      </w:r>
      <w:r>
        <w:tab/>
      </w:r>
      <w:r>
        <w:rPr>
          <w:i/>
        </w:rPr>
        <w:t>The standard does not specify the meaning of the http://schemas.microsoft.com/office/2019/04/relationships/xlExternalLinkLongPath/xlAlternateStartup relationship type.</w:t>
      </w:r>
    </w:p>
    <w:p w:rsidR="000A156F" w:rsidRDefault="00A9721F">
      <w:pPr>
        <w:pStyle w:val="Definition-Field2"/>
      </w:pPr>
      <w:r>
        <w:t>Excel uses the http://schemas.microsoft.com/o</w:t>
      </w:r>
      <w:r>
        <w:t>ffice/2019/04/relationships/xlExternalLinkLongPath/xlAlternateStartup relationship type to specify a longer than 218-character base path of an application-defined alternate startup directory.</w:t>
      </w:r>
    </w:p>
    <w:p w:rsidR="000A156F" w:rsidRDefault="00A9721F">
      <w:pPr>
        <w:pStyle w:val="Definition-Field"/>
      </w:pPr>
      <w:r>
        <w:rPr>
          <w:i/>
        </w:rPr>
        <w:t>j.</w:t>
      </w:r>
      <w:r>
        <w:rPr>
          <w:i/>
        </w:rPr>
        <w:tab/>
        <w:t>The standard does not specify the meaning of the http://schem</w:t>
      </w:r>
      <w:r>
        <w:rPr>
          <w:i/>
        </w:rPr>
        <w:t>as.microsoft.com/office/2009/04/relationships/xlExternalLinkLongPath/xlPathMissing relationship type.</w:t>
      </w:r>
    </w:p>
    <w:p w:rsidR="000A156F" w:rsidRDefault="00A9721F">
      <w:pPr>
        <w:pStyle w:val="Definition-Field2"/>
      </w:pPr>
      <w:r>
        <w:t>Excel uses the http://schemas.microsoft.com/office/2009/04/relationships/xlExternalLinkLongPath/xlPathMissing relationship type to specify that a longer t</w:t>
      </w:r>
      <w:r>
        <w:t>han 218-character base path should not be inferred.</w:t>
      </w:r>
    </w:p>
    <w:p w:rsidR="000A156F" w:rsidRDefault="00A9721F">
      <w:pPr>
        <w:pStyle w:val="Definition-Field"/>
      </w:pPr>
      <w:r>
        <w:rPr>
          <w:i/>
        </w:rPr>
        <w:t>k.</w:t>
      </w:r>
      <w:r>
        <w:rPr>
          <w:i/>
        </w:rPr>
        <w:tab/>
        <w:t>The standard does not specify the meaning of the http://schemas.microsoft.com/office/2009/04/relationships/xlExternalLinkLongPath/xlLibrary relationship type.</w:t>
      </w:r>
    </w:p>
    <w:p w:rsidR="000A156F" w:rsidRDefault="00A9721F">
      <w:pPr>
        <w:pStyle w:val="Definition-Field2"/>
      </w:pPr>
      <w:r>
        <w:t>Excel uses the http://schemas.microsoft.co</w:t>
      </w:r>
      <w:r>
        <w:t>m/office/2009/04/relationships/xlExternalLinkLongPath/xlLibrary relationship type to specify a longer than 218-character base path of an application-defined library directory.</w:t>
      </w:r>
    </w:p>
    <w:p w:rsidR="000A156F" w:rsidRDefault="00A9721F">
      <w:pPr>
        <w:pStyle w:val="Heading4"/>
      </w:pPr>
      <w:bookmarkStart w:id="46" w:name="section_67ed5418961347ee98c4fe2683c44abd"/>
      <w:bookmarkStart w:id="47" w:name="_Toc181683049"/>
      <w:r>
        <w:t>Part 1 Selection 12.4.1, External Workbooks With Long Path</w:t>
      </w:r>
      <w:bookmarkEnd w:id="46"/>
      <w:bookmarkEnd w:id="47"/>
    </w:p>
    <w:p w:rsidR="000A156F" w:rsidRDefault="00A9721F">
      <w:r>
        <w:t>a.</w:t>
      </w:r>
      <w:r>
        <w:tab/>
        <w:t xml:space="preserve">The standard does </w:t>
      </w:r>
      <w:r>
        <w:t>not specify the path length limit for external workbooks.</w:t>
      </w:r>
    </w:p>
    <w:p w:rsidR="000A156F" w:rsidRDefault="00A9721F">
      <w:pPr>
        <w:ind w:firstLine="720"/>
      </w:pPr>
      <w:r>
        <w:t>Excel uses the following relationship types to specify paths for external workbooks that are longer than 218 characters.</w:t>
      </w:r>
    </w:p>
    <w:p w:rsidR="000A156F" w:rsidRDefault="00A9721F">
      <w:pPr>
        <w:ind w:firstLine="720"/>
        <w:rPr>
          <w:i/>
        </w:rPr>
      </w:pPr>
      <w:r>
        <w:t>http://schemas.microsoft.com/office/2019/04/relationships/externalLinkLongPat</w:t>
      </w:r>
      <w:r>
        <w:t xml:space="preserve">h, </w:t>
      </w:r>
      <w:r>
        <w:rPr>
          <w:i/>
        </w:rPr>
        <w:t>http://schemas.microsoft.com/office/2019/04/relationships/oleObjectLinkLongPath, http://schemas.microsoft.com/office/2019/04/relationships/xlExternalLinkLongPath/xlStartup, http://schemas.microsoft.com/office/2019/04/relationships/xlExternalLinkLongPath</w:t>
      </w:r>
      <w:r>
        <w:rPr>
          <w:i/>
        </w:rPr>
        <w:t>/xlAlternateStartup, http://schemas.microsoft.com/office/2009/04/relationships/xlExternalLinkLongPath/xlPathMissing, http://schemas.microsoft.com/office/2009/04/relationships/xlExternalLinkLongPath/xlLibrary.</w:t>
      </w:r>
    </w:p>
    <w:p w:rsidR="000A156F" w:rsidRDefault="00A9721F">
      <w:pPr>
        <w:ind w:firstLine="720"/>
      </w:pPr>
      <w:r>
        <w:t>When an external workbook path is longer than 2</w:t>
      </w:r>
      <w:r>
        <w:t>18 characters, Excel creates a short path in the form of \\unc\filename. This short path is saved in the relationships for external workbooks, specified in a through e in section 12.4. This short path must be unique among all relationships for the correspo</w:t>
      </w:r>
      <w:r>
        <w:t>nding external workbook. The “unc” part of the short path must not exceed 8 characters. The “filename” part of the short path must not exceed 207 characters.</w:t>
      </w:r>
    </w:p>
    <w:p w:rsidR="000A156F" w:rsidRDefault="00A9721F">
      <w:pPr>
        <w:ind w:firstLine="720"/>
      </w:pPr>
      <w:r>
        <w:t xml:space="preserve">The long path corresponding to the short path must be saved in one of the above relationships for </w:t>
      </w:r>
      <w:r>
        <w:t>long paths, specified in f through k in section 12.4. The “unc” part must be appended to the long path as the query string without the key.</w:t>
      </w:r>
    </w:p>
    <w:p w:rsidR="000A156F" w:rsidRDefault="00A9721F">
      <w:pPr>
        <w:pStyle w:val="Heading3"/>
      </w:pPr>
      <w:bookmarkStart w:id="48" w:name="section_861755efd1fe4366859cb88bab7810f4"/>
      <w:bookmarkStart w:id="49" w:name="_Toc181683050"/>
      <w:r>
        <w:t>Part 1 Section 13.3, Part Summary</w:t>
      </w:r>
      <w:bookmarkEnd w:id="48"/>
      <w:bookmarkEnd w:id="49"/>
      <w:r>
        <w:fldChar w:fldCharType="begin"/>
      </w:r>
      <w:r>
        <w:instrText xml:space="preserve"> XE "Part Summary" </w:instrText>
      </w:r>
      <w:r>
        <w:fldChar w:fldCharType="end"/>
      </w:r>
    </w:p>
    <w:p w:rsidR="000A156F" w:rsidRDefault="00A9721F">
      <w:pPr>
        <w:pStyle w:val="Definition-Field"/>
      </w:pPr>
      <w:r>
        <w:t xml:space="preserve">a.   </w:t>
      </w:r>
      <w:r>
        <w:rPr>
          <w:i/>
        </w:rPr>
        <w:t>The standard does not include documentation for the Lega</w:t>
      </w:r>
      <w:r>
        <w:rPr>
          <w:i/>
        </w:rPr>
        <w:t>cy Diagram Text Info binary part.</w:t>
      </w:r>
    </w:p>
    <w:p w:rsidR="000A156F" w:rsidRDefault="00A9721F">
      <w:pPr>
        <w:pStyle w:val="Definition-Field2"/>
      </w:pPr>
      <w:r>
        <w:t>PowerPoint defines a Legacy Diagram Text Info binary part (</w:t>
      </w:r>
      <w:hyperlink w:anchor="Section_40b7fcb52a8347efb0a42ac4d13aa6e1">
        <w:r>
          <w:rPr>
            <w:rStyle w:val="Hyperlink"/>
          </w:rPr>
          <w:t>§3.3.1.1, Legacy Diagram Text part</w:t>
        </w:r>
      </w:hyperlink>
      <w:r>
        <w:t>) to store legacy diagram text information.</w:t>
      </w:r>
    </w:p>
    <w:p w:rsidR="000A156F" w:rsidRDefault="00A9721F">
      <w:pPr>
        <w:pStyle w:val="Definition-Field"/>
      </w:pPr>
      <w:r>
        <w:t xml:space="preserve">b.   </w:t>
      </w:r>
      <w:r>
        <w:rPr>
          <w:i/>
        </w:rPr>
        <w:t>The standard does</w:t>
      </w:r>
      <w:r>
        <w:rPr>
          <w:i/>
        </w:rPr>
        <w:t xml:space="preserve"> not include documentation for the Legacy Diagram Text binary part.</w:t>
      </w:r>
    </w:p>
    <w:p w:rsidR="000A156F" w:rsidRDefault="00A9721F">
      <w:pPr>
        <w:pStyle w:val="Definition-Field2"/>
      </w:pPr>
      <w:r>
        <w:lastRenderedPageBreak/>
        <w:t>PowerPoint defines a Legacy Diagram Text binary part (§3.3.1.1, Legacy Diagram Text part) to store legacy diagram text.</w:t>
      </w:r>
    </w:p>
    <w:p w:rsidR="000A156F" w:rsidRDefault="00A9721F">
      <w:pPr>
        <w:pStyle w:val="Definition-Field"/>
      </w:pPr>
      <w:r>
        <w:t xml:space="preserve">c.   </w:t>
      </w:r>
      <w:r>
        <w:rPr>
          <w:i/>
        </w:rPr>
        <w:t>The standard does not include documentation for the SmartTags b</w:t>
      </w:r>
      <w:r>
        <w:rPr>
          <w:i/>
        </w:rPr>
        <w:t>inary part.</w:t>
      </w:r>
    </w:p>
    <w:p w:rsidR="000A156F" w:rsidRDefault="00A9721F">
      <w:pPr>
        <w:pStyle w:val="Definition-Field2"/>
      </w:pPr>
      <w:r>
        <w:t>PowerPoint defines a SmartTags binary part (</w:t>
      </w:r>
      <w:hyperlink w:anchor="Section_adb4ca1d99144d6aaf38755990ac9427">
        <w:r>
          <w:rPr>
            <w:rStyle w:val="Hyperlink"/>
          </w:rPr>
          <w:t>§3.3.1.3, SmartTags part</w:t>
        </w:r>
      </w:hyperlink>
      <w:r>
        <w:t>) to store smart tag data.</w:t>
      </w:r>
    </w:p>
    <w:p w:rsidR="000A156F" w:rsidRDefault="00A9721F">
      <w:pPr>
        <w:pStyle w:val="Heading3"/>
      </w:pPr>
      <w:bookmarkStart w:id="50" w:name="section_6edd755f569e4d1dad791a16230b4fd8"/>
      <w:bookmarkStart w:id="51" w:name="_Toc181683051"/>
      <w:r>
        <w:t>Part 1 Section 13.3.3, Handout Master Part</w:t>
      </w:r>
      <w:bookmarkEnd w:id="50"/>
      <w:bookmarkEnd w:id="51"/>
      <w:r>
        <w:fldChar w:fldCharType="begin"/>
      </w:r>
      <w:r>
        <w:instrText xml:space="preserve"> XE "Handout Master Part" </w:instrText>
      </w:r>
      <w:r>
        <w:fldChar w:fldCharType="end"/>
      </w:r>
    </w:p>
    <w:p w:rsidR="000A156F" w:rsidRDefault="00A9721F">
      <w:pPr>
        <w:pStyle w:val="Definition-Field"/>
      </w:pPr>
      <w:r>
        <w:t xml:space="preserve">a.   </w:t>
      </w:r>
      <w:r>
        <w:rPr>
          <w:i/>
        </w:rPr>
        <w:t xml:space="preserve">The </w:t>
      </w:r>
      <w:r>
        <w:rPr>
          <w:i/>
        </w:rPr>
        <w:t>standard states that a Handout Master part is permitted to have an explicit relationship with the Embedded Control Persistence part.</w:t>
      </w:r>
    </w:p>
    <w:p w:rsidR="000A156F" w:rsidRDefault="00A9721F">
      <w:pPr>
        <w:pStyle w:val="Definition-Field2"/>
      </w:pPr>
      <w:r>
        <w:t>Office does not allow a Handout Master part to have an explicit relationship to the Embedded Control Persistence part.</w:t>
      </w:r>
    </w:p>
    <w:p w:rsidR="000A156F" w:rsidRDefault="00A9721F">
      <w:pPr>
        <w:pStyle w:val="Definition-Field"/>
      </w:pPr>
      <w:r>
        <w:t xml:space="preserve">b.  </w:t>
      </w:r>
      <w:r>
        <w:t xml:space="preserve"> </w:t>
      </w:r>
      <w:r>
        <w:rPr>
          <w:i/>
        </w:rPr>
        <w:t>The standard does not allow the Handout Master part to have an explicit relationship with the User Defined Tags part.</w:t>
      </w:r>
    </w:p>
    <w:p w:rsidR="000A156F" w:rsidRDefault="00A9721F">
      <w:pPr>
        <w:pStyle w:val="Definition-Field2"/>
      </w:pPr>
      <w:r>
        <w:t>Office allows the Handout Master part to have an explicit relationship with the User Defined Tags part.</w:t>
      </w:r>
    </w:p>
    <w:p w:rsidR="000A156F" w:rsidRDefault="00A9721F">
      <w:pPr>
        <w:pStyle w:val="Definition-Field"/>
      </w:pPr>
      <w:r>
        <w:t xml:space="preserve">c.   </w:t>
      </w:r>
      <w:r>
        <w:rPr>
          <w:i/>
        </w:rPr>
        <w:t>The standard states that a H</w:t>
      </w:r>
      <w:r>
        <w:rPr>
          <w:i/>
        </w:rPr>
        <w:t>andout Master part is permitted to have an implicit relationship with the Custom XML Data Storage part.</w:t>
      </w:r>
    </w:p>
    <w:p w:rsidR="000A156F" w:rsidRDefault="00A9721F">
      <w:pPr>
        <w:pStyle w:val="Definition-Field2"/>
      </w:pPr>
      <w:r>
        <w:t>Office only allows for an explicit relationship between these two parts.</w:t>
      </w:r>
    </w:p>
    <w:p w:rsidR="000A156F" w:rsidRDefault="00A9721F">
      <w:pPr>
        <w:pStyle w:val="Definition-Field"/>
      </w:pPr>
      <w:r>
        <w:t xml:space="preserve">d.   </w:t>
      </w:r>
      <w:r>
        <w:rPr>
          <w:i/>
        </w:rPr>
        <w:t>The standard states that a Handout Master part is permitted to have an imp</w:t>
      </w:r>
      <w:r>
        <w:rPr>
          <w:i/>
        </w:rPr>
        <w:t>licit relationship with the Thumbnail part.</w:t>
      </w:r>
    </w:p>
    <w:p w:rsidR="000A156F" w:rsidRDefault="00A9721F">
      <w:pPr>
        <w:pStyle w:val="Definition-Field2"/>
      </w:pPr>
      <w:r>
        <w:t>Office does not allow a Handout Master part to have an implicit relationship to the Thumbnail part.</w:t>
      </w:r>
    </w:p>
    <w:p w:rsidR="000A156F" w:rsidRDefault="00A9721F">
      <w:pPr>
        <w:pStyle w:val="Definition-Field"/>
      </w:pPr>
      <w:r>
        <w:t xml:space="preserve">e.   </w:t>
      </w:r>
      <w:r>
        <w:rPr>
          <w:i/>
        </w:rPr>
        <w:t>The standard does not allow the Handout Master part to have an explicit relationship with the Slide part.</w:t>
      </w:r>
    </w:p>
    <w:p w:rsidR="000A156F" w:rsidRDefault="00A9721F">
      <w:pPr>
        <w:pStyle w:val="Definition-Field2"/>
      </w:pPr>
      <w:r>
        <w:t>O</w:t>
      </w:r>
      <w:r>
        <w:t>ffice allows the Handout Master part to have an explicit relationship with the Slide part.</w:t>
      </w:r>
    </w:p>
    <w:p w:rsidR="000A156F" w:rsidRDefault="00A9721F">
      <w:pPr>
        <w:pStyle w:val="Definition-Field"/>
      </w:pPr>
      <w:r>
        <w:t xml:space="preserve">f.   </w:t>
      </w:r>
      <w:r>
        <w:rPr>
          <w:i/>
        </w:rPr>
        <w:t>The standard permits the Handout Master part to have an explicit relationship with the VML Drawing part.</w:t>
      </w:r>
    </w:p>
    <w:p w:rsidR="000A156F" w:rsidRDefault="00A9721F">
      <w:pPr>
        <w:pStyle w:val="Definition-Field2"/>
      </w:pPr>
      <w:r>
        <w:t xml:space="preserve">Office only permits the Handout Master part to have an </w:t>
      </w:r>
      <w:r>
        <w:t>implicit relationship with the VML Drawing part.</w:t>
      </w:r>
    </w:p>
    <w:p w:rsidR="000A156F" w:rsidRDefault="00A9721F">
      <w:pPr>
        <w:pStyle w:val="Definition-Field"/>
      </w:pPr>
      <w:r>
        <w:t xml:space="preserve">g.   </w:t>
      </w:r>
      <w:r>
        <w:rPr>
          <w:i/>
        </w:rPr>
        <w:t>The standard permits the Handout Master part to have an implicit relationship with the Additional Characteristics part.</w:t>
      </w:r>
    </w:p>
    <w:p w:rsidR="000A156F" w:rsidRDefault="00A9721F">
      <w:pPr>
        <w:pStyle w:val="Definition-Field2"/>
      </w:pPr>
      <w:r>
        <w:t xml:space="preserve">Office only permits the Handout Master part to have an explicit relationship with </w:t>
      </w:r>
      <w:r>
        <w:t>the Additional Characteristics part.</w:t>
      </w:r>
    </w:p>
    <w:p w:rsidR="000A156F" w:rsidRDefault="00A9721F">
      <w:pPr>
        <w:pStyle w:val="Definition-Field"/>
      </w:pPr>
      <w:r>
        <w:t xml:space="preserve">h.   </w:t>
      </w:r>
      <w:r>
        <w:rPr>
          <w:i/>
        </w:rPr>
        <w:t>The standard states that the Handout Master part is permitted to have an implicit relationship to a Bibliography part.</w:t>
      </w:r>
    </w:p>
    <w:p w:rsidR="000A156F" w:rsidRDefault="00A9721F">
      <w:pPr>
        <w:pStyle w:val="Definition-Field2"/>
      </w:pPr>
      <w:r>
        <w:t>Office only allows the Handout Master part to have an explicit relationship with a Bibliography</w:t>
      </w:r>
      <w:r>
        <w:t xml:space="preserve"> part.</w:t>
      </w:r>
    </w:p>
    <w:p w:rsidR="000A156F" w:rsidRDefault="00A9721F">
      <w:pPr>
        <w:pStyle w:val="Heading3"/>
      </w:pPr>
      <w:bookmarkStart w:id="52" w:name="section_7722a188d62f4451921616b75f29d22f"/>
      <w:bookmarkStart w:id="53" w:name="_Toc181683052"/>
      <w:r>
        <w:t>Part 1 Section 13.3.4, Notes Master Part</w:t>
      </w:r>
      <w:bookmarkEnd w:id="52"/>
      <w:bookmarkEnd w:id="53"/>
      <w:r>
        <w:fldChar w:fldCharType="begin"/>
      </w:r>
      <w:r>
        <w:instrText xml:space="preserve"> XE "Notes Master Part" </w:instrText>
      </w:r>
      <w:r>
        <w:fldChar w:fldCharType="end"/>
      </w:r>
    </w:p>
    <w:p w:rsidR="000A156F" w:rsidRDefault="00A9721F">
      <w:pPr>
        <w:pStyle w:val="Definition-Field"/>
      </w:pPr>
      <w:r>
        <w:t xml:space="preserve">a.   </w:t>
      </w:r>
      <w:r>
        <w:rPr>
          <w:i/>
        </w:rPr>
        <w:t>The standard states that a Notes Master part is permitted to have an explicit relationship with the Embedded Control Persistence part.</w:t>
      </w:r>
    </w:p>
    <w:p w:rsidR="000A156F" w:rsidRDefault="00A9721F">
      <w:pPr>
        <w:pStyle w:val="Definition-Field2"/>
      </w:pPr>
      <w:r>
        <w:lastRenderedPageBreak/>
        <w:t xml:space="preserve">Office does not allow a Notes Master part </w:t>
      </w:r>
      <w:r>
        <w:t>to have an explicit relationship to the Embedded Control Persistence part.</w:t>
      </w:r>
    </w:p>
    <w:p w:rsidR="000A156F" w:rsidRDefault="00A9721F">
      <w:pPr>
        <w:pStyle w:val="Definition-Field"/>
      </w:pPr>
      <w:r>
        <w:t xml:space="preserve">b.   </w:t>
      </w:r>
      <w:r>
        <w:rPr>
          <w:i/>
        </w:rPr>
        <w:t>The standard states that a Notes Master part is permitted to have an implicit relationship with the Thumbnail part.</w:t>
      </w:r>
    </w:p>
    <w:p w:rsidR="000A156F" w:rsidRDefault="00A9721F">
      <w:pPr>
        <w:pStyle w:val="Definition-Field2"/>
      </w:pPr>
      <w:r>
        <w:t>Office does not allow a Notes Master part to have an implici</w:t>
      </w:r>
      <w:r>
        <w:t>t relationship to the Thumbnail part.</w:t>
      </w:r>
    </w:p>
    <w:p w:rsidR="000A156F" w:rsidRDefault="00A9721F">
      <w:pPr>
        <w:pStyle w:val="Definition-Field"/>
      </w:pPr>
      <w:r>
        <w:t xml:space="preserve">c.   </w:t>
      </w:r>
      <w:r>
        <w:rPr>
          <w:i/>
        </w:rPr>
        <w:t>The standard does not allow the Notes Master part to have an explicit relationship with the User Defined Tags part.</w:t>
      </w:r>
    </w:p>
    <w:p w:rsidR="000A156F" w:rsidRDefault="00A9721F">
      <w:pPr>
        <w:pStyle w:val="Definition-Field2"/>
      </w:pPr>
      <w:r>
        <w:t>Office allows the Notes Master part to have an explicit relationship with the User Defined Tags p</w:t>
      </w:r>
      <w:r>
        <w:t>art.</w:t>
      </w:r>
    </w:p>
    <w:p w:rsidR="000A156F" w:rsidRDefault="00A9721F">
      <w:pPr>
        <w:pStyle w:val="Definition-Field"/>
      </w:pPr>
      <w:r>
        <w:t xml:space="preserve">d.   </w:t>
      </w:r>
      <w:r>
        <w:rPr>
          <w:i/>
        </w:rPr>
        <w:t>The standard does not allow the Notes Master part to have an explicit relationship with the Slide part.</w:t>
      </w:r>
    </w:p>
    <w:p w:rsidR="000A156F" w:rsidRDefault="00A9721F">
      <w:pPr>
        <w:pStyle w:val="Definition-Field2"/>
      </w:pPr>
      <w:r>
        <w:t>Office allows the Notes Master part to have an explicit relationship with the Slide part.</w:t>
      </w:r>
    </w:p>
    <w:p w:rsidR="000A156F" w:rsidRDefault="00A9721F">
      <w:pPr>
        <w:pStyle w:val="Definition-Field"/>
      </w:pPr>
      <w:r>
        <w:t xml:space="preserve">e.   </w:t>
      </w:r>
      <w:r>
        <w:rPr>
          <w:i/>
        </w:rPr>
        <w:t>The standard permits the Notes Master part to h</w:t>
      </w:r>
      <w:r>
        <w:rPr>
          <w:i/>
        </w:rPr>
        <w:t>ave an explicit relationship with the VML Drawing part.</w:t>
      </w:r>
    </w:p>
    <w:p w:rsidR="000A156F" w:rsidRDefault="00A9721F">
      <w:pPr>
        <w:pStyle w:val="Definition-Field2"/>
      </w:pPr>
      <w:r>
        <w:t>Office only permits the Notes Master part to have an implicit relationship with the VML Drawing part.</w:t>
      </w:r>
    </w:p>
    <w:p w:rsidR="000A156F" w:rsidRDefault="00A9721F">
      <w:pPr>
        <w:pStyle w:val="Definition-Field"/>
      </w:pPr>
      <w:r>
        <w:t xml:space="preserve">f.   </w:t>
      </w:r>
      <w:r>
        <w:rPr>
          <w:i/>
        </w:rPr>
        <w:t>The standard permits the Notes Master part to have an implicit relationship with the Addition</w:t>
      </w:r>
      <w:r>
        <w:rPr>
          <w:i/>
        </w:rPr>
        <w:t>al Characteristics part.</w:t>
      </w:r>
    </w:p>
    <w:p w:rsidR="000A156F" w:rsidRDefault="00A9721F">
      <w:pPr>
        <w:pStyle w:val="Definition-Field2"/>
      </w:pPr>
      <w:r>
        <w:t>Office only permits the Notes Master part to have an explicit relationship with the Additional Characteristics part.</w:t>
      </w:r>
    </w:p>
    <w:p w:rsidR="000A156F" w:rsidRDefault="00A9721F">
      <w:pPr>
        <w:pStyle w:val="Definition-Field"/>
      </w:pPr>
      <w:r>
        <w:t xml:space="preserve">g.   </w:t>
      </w:r>
      <w:r>
        <w:rPr>
          <w:i/>
        </w:rPr>
        <w:t xml:space="preserve">The standard states that the Notes Master part is permitted to have an implicit relationship to a </w:t>
      </w:r>
      <w:r>
        <w:rPr>
          <w:i/>
        </w:rPr>
        <w:t>Bibliography part.</w:t>
      </w:r>
    </w:p>
    <w:p w:rsidR="000A156F" w:rsidRDefault="00A9721F">
      <w:pPr>
        <w:pStyle w:val="Definition-Field2"/>
      </w:pPr>
      <w:r>
        <w:t>Office only allows the Notes Master part to have an explicit relationship with a Bibliography part.</w:t>
      </w:r>
    </w:p>
    <w:p w:rsidR="000A156F" w:rsidRDefault="00A9721F">
      <w:pPr>
        <w:pStyle w:val="Heading3"/>
      </w:pPr>
      <w:bookmarkStart w:id="54" w:name="section_4241f073467b4245a44f947b96e88325"/>
      <w:bookmarkStart w:id="55" w:name="_Toc181683053"/>
      <w:r>
        <w:t>Part 1 Section 13.3.5, Notes Slide Part</w:t>
      </w:r>
      <w:bookmarkEnd w:id="54"/>
      <w:bookmarkEnd w:id="55"/>
      <w:r>
        <w:fldChar w:fldCharType="begin"/>
      </w:r>
      <w:r>
        <w:instrText xml:space="preserve"> XE "Notes Slide Part" </w:instrText>
      </w:r>
      <w:r>
        <w:fldChar w:fldCharType="end"/>
      </w:r>
    </w:p>
    <w:p w:rsidR="000A156F" w:rsidRDefault="00A9721F">
      <w:pPr>
        <w:pStyle w:val="Definition-Field"/>
      </w:pPr>
      <w:r>
        <w:t xml:space="preserve">a.   </w:t>
      </w:r>
      <w:r>
        <w:rPr>
          <w:i/>
        </w:rPr>
        <w:t>The standard states that a Notes Slide part is permitted to have an</w:t>
      </w:r>
      <w:r>
        <w:rPr>
          <w:i/>
        </w:rPr>
        <w:t xml:space="preserve"> explicit relationship with the Embedded Control Persistence part.</w:t>
      </w:r>
    </w:p>
    <w:p w:rsidR="000A156F" w:rsidRDefault="00A9721F">
      <w:pPr>
        <w:pStyle w:val="Definition-Field2"/>
      </w:pPr>
      <w:r>
        <w:t>Office does not allow a Notes Slide part to have an explicit relationship to the Embedded Control Persistence part.</w:t>
      </w:r>
    </w:p>
    <w:p w:rsidR="000A156F" w:rsidRDefault="00A9721F">
      <w:pPr>
        <w:pStyle w:val="Definition-Field"/>
      </w:pPr>
      <w:r>
        <w:t xml:space="preserve">b.   </w:t>
      </w:r>
      <w:r>
        <w:rPr>
          <w:i/>
        </w:rPr>
        <w:t>The standard does not allow the Notes Slide part to have an implicit</w:t>
      </w:r>
      <w:r>
        <w:rPr>
          <w:i/>
        </w:rPr>
        <w:t xml:space="preserve"> relationship to a Slide part.</w:t>
      </w:r>
    </w:p>
    <w:p w:rsidR="000A156F" w:rsidRDefault="00A9721F">
      <w:pPr>
        <w:pStyle w:val="Definition-Field2"/>
      </w:pPr>
      <w:r>
        <w:t>Office allows the Notes Slide part to have an implicit relationship to a Slide part.</w:t>
      </w:r>
    </w:p>
    <w:p w:rsidR="000A156F" w:rsidRDefault="00A9721F">
      <w:pPr>
        <w:pStyle w:val="Definition-Field"/>
      </w:pPr>
      <w:r>
        <w:t xml:space="preserve">c.   </w:t>
      </w:r>
      <w:r>
        <w:rPr>
          <w:i/>
        </w:rPr>
        <w:t>The standard states that a Notes Slide part is permitted to have an implicit relationship with the Thumbnail part.</w:t>
      </w:r>
    </w:p>
    <w:p w:rsidR="000A156F" w:rsidRDefault="00A9721F">
      <w:pPr>
        <w:pStyle w:val="Definition-Field2"/>
      </w:pPr>
      <w:r>
        <w:t>Office does not allo</w:t>
      </w:r>
      <w:r>
        <w:t>w a Notes Slide part to have an implicit relationship to the Thumbnail part.</w:t>
      </w:r>
    </w:p>
    <w:p w:rsidR="000A156F" w:rsidRDefault="00A9721F">
      <w:pPr>
        <w:pStyle w:val="Definition-Field"/>
      </w:pPr>
      <w:r>
        <w:t xml:space="preserve">d.   </w:t>
      </w:r>
      <w:r>
        <w:rPr>
          <w:i/>
        </w:rPr>
        <w:t>The standard does not allow the Notes Slide part to have an explicit relationship with the User Defined Tags part.</w:t>
      </w:r>
    </w:p>
    <w:p w:rsidR="000A156F" w:rsidRDefault="00A9721F">
      <w:pPr>
        <w:pStyle w:val="Definition-Field2"/>
      </w:pPr>
      <w:r>
        <w:t>Office allows the Notes Slide part to have an explicit rela</w:t>
      </w:r>
      <w:r>
        <w:t>tionship with the User Defined Tags part.</w:t>
      </w:r>
    </w:p>
    <w:p w:rsidR="000A156F" w:rsidRDefault="00A9721F">
      <w:pPr>
        <w:pStyle w:val="Definition-Field"/>
      </w:pPr>
      <w:r>
        <w:t xml:space="preserve">e.   </w:t>
      </w:r>
      <w:r>
        <w:rPr>
          <w:i/>
        </w:rPr>
        <w:t>The standard does not allow the Notes Slide part to have an explicit relationship with the Slide part.</w:t>
      </w:r>
    </w:p>
    <w:p w:rsidR="000A156F" w:rsidRDefault="00A9721F">
      <w:pPr>
        <w:pStyle w:val="Definition-Field2"/>
      </w:pPr>
      <w:r>
        <w:lastRenderedPageBreak/>
        <w:t>Office allows the Notes Slide part to have an explicit relationship with the Slide part.</w:t>
      </w:r>
    </w:p>
    <w:p w:rsidR="000A156F" w:rsidRDefault="00A9721F">
      <w:pPr>
        <w:pStyle w:val="Definition-Field"/>
      </w:pPr>
      <w:r>
        <w:t xml:space="preserve">f.   </w:t>
      </w:r>
      <w:r>
        <w:rPr>
          <w:i/>
        </w:rPr>
        <w:t>The standard</w:t>
      </w:r>
      <w:r>
        <w:rPr>
          <w:i/>
        </w:rPr>
        <w:t xml:space="preserve"> permits the Notes Slide part to have an explicit relationship with the VML Drawing part.</w:t>
      </w:r>
    </w:p>
    <w:p w:rsidR="000A156F" w:rsidRDefault="00A9721F">
      <w:pPr>
        <w:pStyle w:val="Definition-Field2"/>
      </w:pPr>
      <w:r>
        <w:t>Office only permits the Notes Slide part to have an implicit relationship with the VML Drawing part.</w:t>
      </w:r>
    </w:p>
    <w:p w:rsidR="000A156F" w:rsidRDefault="00A9721F">
      <w:pPr>
        <w:pStyle w:val="Definition-Field"/>
      </w:pPr>
      <w:r>
        <w:t xml:space="preserve">g.   </w:t>
      </w:r>
      <w:r>
        <w:rPr>
          <w:i/>
        </w:rPr>
        <w:t>The standard permits the Notes Slide part to have an implici</w:t>
      </w:r>
      <w:r>
        <w:rPr>
          <w:i/>
        </w:rPr>
        <w:t>t relationship with the Additional Characteristics part.</w:t>
      </w:r>
    </w:p>
    <w:p w:rsidR="000A156F" w:rsidRDefault="00A9721F">
      <w:pPr>
        <w:pStyle w:val="Definition-Field2"/>
      </w:pPr>
      <w:r>
        <w:t>Office only permits the Notes Slide part to have an explicit relationship with the Additional Characteristics part.</w:t>
      </w:r>
    </w:p>
    <w:p w:rsidR="000A156F" w:rsidRDefault="00A9721F">
      <w:pPr>
        <w:pStyle w:val="Definition-Field"/>
      </w:pPr>
      <w:r>
        <w:t xml:space="preserve">h.   </w:t>
      </w:r>
      <w:r>
        <w:rPr>
          <w:i/>
        </w:rPr>
        <w:t>The standard states that the Notes Slide part is permitted to have an implicit</w:t>
      </w:r>
      <w:r>
        <w:rPr>
          <w:i/>
        </w:rPr>
        <w:t xml:space="preserve"> relationship to a Bibliography part.</w:t>
      </w:r>
    </w:p>
    <w:p w:rsidR="000A156F" w:rsidRDefault="00A9721F">
      <w:pPr>
        <w:pStyle w:val="Definition-Field2"/>
      </w:pPr>
      <w:r>
        <w:t>Office only allows the Notes Slide part to have an explicit relationship with a Bibliography part.</w:t>
      </w:r>
    </w:p>
    <w:p w:rsidR="000A156F" w:rsidRDefault="00A9721F">
      <w:pPr>
        <w:pStyle w:val="Heading3"/>
      </w:pPr>
      <w:bookmarkStart w:id="56" w:name="section_878e09616c044b579a6d9bebc1ac3be3"/>
      <w:bookmarkStart w:id="57" w:name="_Toc181683054"/>
      <w:r>
        <w:t>Part 1 Section 13.3.6, Presentation Part</w:t>
      </w:r>
      <w:bookmarkEnd w:id="56"/>
      <w:bookmarkEnd w:id="57"/>
      <w:r>
        <w:fldChar w:fldCharType="begin"/>
      </w:r>
      <w:r>
        <w:instrText xml:space="preserve"> XE "Presentation Part" </w:instrText>
      </w:r>
      <w:r>
        <w:fldChar w:fldCharType="end"/>
      </w:r>
    </w:p>
    <w:p w:rsidR="000A156F" w:rsidRDefault="00A9721F">
      <w:pPr>
        <w:pStyle w:val="Definition-Field"/>
      </w:pPr>
      <w:r>
        <w:t xml:space="preserve">a.   </w:t>
      </w:r>
      <w:r>
        <w:rPr>
          <w:i/>
        </w:rPr>
        <w:t>The standard states that a Presentation part is</w:t>
      </w:r>
      <w:r>
        <w:rPr>
          <w:i/>
        </w:rPr>
        <w:t xml:space="preserve"> permitted to have implicit relationships with the Comments part.</w:t>
      </w:r>
    </w:p>
    <w:p w:rsidR="000A156F" w:rsidRDefault="00A9721F">
      <w:pPr>
        <w:pStyle w:val="Definition-Field2"/>
      </w:pPr>
      <w:r>
        <w:t>Office only allows the Presentation part to have implicit relationships with the Comment Authors part.</w:t>
      </w:r>
    </w:p>
    <w:p w:rsidR="000A156F" w:rsidRDefault="00A9721F">
      <w:pPr>
        <w:pStyle w:val="Definition-Field"/>
      </w:pPr>
      <w:r>
        <w:t xml:space="preserve">b.   </w:t>
      </w:r>
      <w:r>
        <w:rPr>
          <w:i/>
        </w:rPr>
        <w:t>The standard states that a Presentation part is permitted to have explicit relatio</w:t>
      </w:r>
      <w:r>
        <w:rPr>
          <w:i/>
        </w:rPr>
        <w:t>nships with the Slide Layout part.</w:t>
      </w:r>
    </w:p>
    <w:p w:rsidR="000A156F" w:rsidRDefault="00A9721F">
      <w:pPr>
        <w:pStyle w:val="Definition-Field2"/>
      </w:pPr>
      <w:r>
        <w:t>Office does not allow a Presentation part to have explicit relationships with the Slide Layout part.</w:t>
      </w:r>
    </w:p>
    <w:p w:rsidR="000A156F" w:rsidRDefault="00A9721F">
      <w:pPr>
        <w:pStyle w:val="Definition-Field"/>
      </w:pPr>
      <w:r>
        <w:t xml:space="preserve">c.   </w:t>
      </w:r>
      <w:r>
        <w:rPr>
          <w:i/>
        </w:rPr>
        <w:t>The standard states that the Presentation part is permitted to have an implicit relationship to a Font part.</w:t>
      </w:r>
    </w:p>
    <w:p w:rsidR="000A156F" w:rsidRDefault="00A9721F">
      <w:pPr>
        <w:pStyle w:val="Definition-Field2"/>
      </w:pPr>
      <w:r>
        <w:t>Office</w:t>
      </w:r>
      <w:r>
        <w:t xml:space="preserve"> only allows the Presentation part to have an explicit relationship with a Font part.</w:t>
      </w:r>
    </w:p>
    <w:p w:rsidR="000A156F" w:rsidRDefault="00A9721F">
      <w:pPr>
        <w:pStyle w:val="Definition-Field"/>
      </w:pPr>
      <w:r>
        <w:t xml:space="preserve">d.   </w:t>
      </w:r>
      <w:r>
        <w:rPr>
          <w:i/>
        </w:rPr>
        <w:t>The standard states that a Presentation part is permitted to have an implicit relationship to the Thumbnail part.</w:t>
      </w:r>
    </w:p>
    <w:p w:rsidR="000A156F" w:rsidRDefault="00A9721F">
      <w:pPr>
        <w:pStyle w:val="Definition-Field2"/>
      </w:pPr>
      <w:r>
        <w:t>Office does not allow a Presentation part to have a</w:t>
      </w:r>
      <w:r>
        <w:t>n implicit relationship to the Thumbnail part.</w:t>
      </w:r>
    </w:p>
    <w:p w:rsidR="000A156F" w:rsidRDefault="00A9721F">
      <w:pPr>
        <w:pStyle w:val="Definition-Field"/>
      </w:pPr>
      <w:r>
        <w:t xml:space="preserve">e.   </w:t>
      </w:r>
      <w:r>
        <w:rPr>
          <w:i/>
        </w:rPr>
        <w:t>The standard states that the Presentation part is permitted to have an implicit relationship to a Custom XML Data Storage part.</w:t>
      </w:r>
    </w:p>
    <w:p w:rsidR="000A156F" w:rsidRDefault="00A9721F">
      <w:pPr>
        <w:pStyle w:val="Definition-Field2"/>
      </w:pPr>
      <w:r>
        <w:t xml:space="preserve">Office also allows for an explicit relationship between the Presentation </w:t>
      </w:r>
      <w:r>
        <w:t>part and a Custom XML Data Storage part.</w:t>
      </w:r>
    </w:p>
    <w:p w:rsidR="000A156F" w:rsidRDefault="00A9721F">
      <w:pPr>
        <w:pStyle w:val="Definition-Field"/>
      </w:pPr>
      <w:r>
        <w:t xml:space="preserve">f.   </w:t>
      </w:r>
      <w:r>
        <w:rPr>
          <w:i/>
        </w:rPr>
        <w:t>The standard states that a Presentation part is permitted to have an implicit relationship to the Additional Characteristics part.</w:t>
      </w:r>
    </w:p>
    <w:p w:rsidR="000A156F" w:rsidRDefault="00A9721F">
      <w:pPr>
        <w:pStyle w:val="Definition-Field2"/>
      </w:pPr>
      <w:r>
        <w:t xml:space="preserve">Office also allows there to be an explicit relationship between a Presentation </w:t>
      </w:r>
      <w:r>
        <w:t>part and the Additional Characteristics part.</w:t>
      </w:r>
    </w:p>
    <w:p w:rsidR="000A156F" w:rsidRDefault="00A9721F">
      <w:pPr>
        <w:pStyle w:val="Definition-Field"/>
      </w:pPr>
      <w:r>
        <w:t xml:space="preserve">g.   </w:t>
      </w:r>
      <w:r>
        <w:rPr>
          <w:i/>
        </w:rPr>
        <w:t>The standard states that a Presentation part is permitted to have an implicit relationship to a Bibliography part.</w:t>
      </w:r>
    </w:p>
    <w:p w:rsidR="000A156F" w:rsidRDefault="00A9721F">
      <w:pPr>
        <w:pStyle w:val="Definition-Field2"/>
      </w:pPr>
      <w:r>
        <w:t xml:space="preserve">Office also allows there to be an explicit relationship between a Presentation part and a </w:t>
      </w:r>
      <w:r>
        <w:t>Bibliography part.</w:t>
      </w:r>
    </w:p>
    <w:p w:rsidR="000A156F" w:rsidRDefault="00A9721F">
      <w:pPr>
        <w:pStyle w:val="Heading3"/>
      </w:pPr>
      <w:bookmarkStart w:id="58" w:name="section_a63cebe0eca5492db580bdc59f618639"/>
      <w:bookmarkStart w:id="59" w:name="_Toc181683055"/>
      <w:r>
        <w:lastRenderedPageBreak/>
        <w:t>Part 1 Section 13.3.7, Presentation Properties Part</w:t>
      </w:r>
      <w:bookmarkEnd w:id="58"/>
      <w:bookmarkEnd w:id="59"/>
      <w:r>
        <w:fldChar w:fldCharType="begin"/>
      </w:r>
      <w:r>
        <w:instrText xml:space="preserve"> XE "Presentation Properties Part" </w:instrText>
      </w:r>
      <w:r>
        <w:fldChar w:fldCharType="end"/>
      </w:r>
    </w:p>
    <w:p w:rsidR="000A156F" w:rsidRDefault="00A9721F">
      <w:pPr>
        <w:pStyle w:val="Definition-Field"/>
      </w:pPr>
      <w:r>
        <w:t xml:space="preserve">a.   </w:t>
      </w:r>
      <w:r>
        <w:rPr>
          <w:i/>
        </w:rPr>
        <w:t>The standard states that a Presentation Properties part does not have any implicit or explicit relationships to other parts.</w:t>
      </w:r>
    </w:p>
    <w:p w:rsidR="000A156F" w:rsidRDefault="00A9721F">
      <w:pPr>
        <w:pStyle w:val="Definition-Field2"/>
      </w:pPr>
      <w:r>
        <w:t>Office allows a Pr</w:t>
      </w:r>
      <w:r>
        <w:t>esentation Properties part to have an explicit relationship to the HTML Publish part.</w:t>
      </w:r>
    </w:p>
    <w:p w:rsidR="000A156F" w:rsidRDefault="00A9721F">
      <w:pPr>
        <w:pStyle w:val="Heading3"/>
      </w:pPr>
      <w:bookmarkStart w:id="60" w:name="section_709d622fc25e488c820de04e3be537c6"/>
      <w:bookmarkStart w:id="61" w:name="_Toc181683056"/>
      <w:r>
        <w:t>Part 1 Section 13.3.8, Slide Part</w:t>
      </w:r>
      <w:bookmarkEnd w:id="60"/>
      <w:bookmarkEnd w:id="61"/>
      <w:r>
        <w:fldChar w:fldCharType="begin"/>
      </w:r>
      <w:r>
        <w:instrText xml:space="preserve"> XE "Slide Part" </w:instrText>
      </w:r>
      <w:r>
        <w:fldChar w:fldCharType="end"/>
      </w:r>
    </w:p>
    <w:p w:rsidR="000A156F" w:rsidRDefault="00A9721F">
      <w:pPr>
        <w:pStyle w:val="Definition-Field"/>
      </w:pPr>
      <w:r>
        <w:t xml:space="preserve">a.   </w:t>
      </w:r>
      <w:r>
        <w:rPr>
          <w:i/>
        </w:rPr>
        <w:t>The standard states that a Slide part is permitted to have an implicit relationship with the Thumbnail part.</w:t>
      </w:r>
    </w:p>
    <w:p w:rsidR="000A156F" w:rsidRDefault="00A9721F">
      <w:pPr>
        <w:pStyle w:val="Definition-Field2"/>
      </w:pPr>
      <w:r>
        <w:t>Off</w:t>
      </w:r>
      <w:r>
        <w:t>ice does not allow a Slide part to have an implicit relationship to the Thumbnail part.</w:t>
      </w:r>
    </w:p>
    <w:p w:rsidR="000A156F" w:rsidRDefault="00A9721F">
      <w:pPr>
        <w:pStyle w:val="Definition-Field"/>
      </w:pPr>
      <w:r>
        <w:t xml:space="preserve">b.   </w:t>
      </w:r>
      <w:r>
        <w:rPr>
          <w:i/>
        </w:rPr>
        <w:t>The standard does not allow the Slide part to have an explicit relationship with the Slide part.</w:t>
      </w:r>
    </w:p>
    <w:p w:rsidR="000A156F" w:rsidRDefault="00A9721F">
      <w:pPr>
        <w:pStyle w:val="Definition-Field2"/>
      </w:pPr>
      <w:r>
        <w:t>Office allows the Slide part to have an explicit relationship with</w:t>
      </w:r>
      <w:r>
        <w:t xml:space="preserve"> the Slide part.</w:t>
      </w:r>
    </w:p>
    <w:p w:rsidR="000A156F" w:rsidRDefault="00A9721F">
      <w:pPr>
        <w:pStyle w:val="Definition-Field"/>
      </w:pPr>
      <w:r>
        <w:t xml:space="preserve">c.   </w:t>
      </w:r>
      <w:r>
        <w:rPr>
          <w:i/>
        </w:rPr>
        <w:t>The standard permits the Slide part to have an explicit relationship with the VML Drawing part.</w:t>
      </w:r>
    </w:p>
    <w:p w:rsidR="000A156F" w:rsidRDefault="00A9721F">
      <w:pPr>
        <w:pStyle w:val="Definition-Field2"/>
      </w:pPr>
      <w:r>
        <w:t>Office only permits the Slide part to have an implicit relationship with the VML Drawing part.</w:t>
      </w:r>
    </w:p>
    <w:p w:rsidR="000A156F" w:rsidRDefault="00A9721F">
      <w:pPr>
        <w:pStyle w:val="Definition-Field"/>
      </w:pPr>
      <w:r>
        <w:t xml:space="preserve">d.   </w:t>
      </w:r>
      <w:r>
        <w:rPr>
          <w:i/>
        </w:rPr>
        <w:t>The standard permits the Slide part to</w:t>
      </w:r>
      <w:r>
        <w:rPr>
          <w:i/>
        </w:rPr>
        <w:t xml:space="preserve"> have an implicit relationship with the Additional Characteristics part.</w:t>
      </w:r>
    </w:p>
    <w:p w:rsidR="000A156F" w:rsidRDefault="00A9721F">
      <w:pPr>
        <w:pStyle w:val="Definition-Field2"/>
      </w:pPr>
      <w:r>
        <w:t>Office only permits the Slide part to have an explicit relationship with the Additional Characteristics part.</w:t>
      </w:r>
    </w:p>
    <w:p w:rsidR="000A156F" w:rsidRDefault="00A9721F">
      <w:pPr>
        <w:pStyle w:val="Definition-Field"/>
      </w:pPr>
      <w:r>
        <w:t xml:space="preserve">e.   </w:t>
      </w:r>
      <w:r>
        <w:rPr>
          <w:i/>
        </w:rPr>
        <w:t>The standard states that the Slide part is permitted to have an impl</w:t>
      </w:r>
      <w:r>
        <w:rPr>
          <w:i/>
        </w:rPr>
        <w:t>icit relationship to a Bibliography part.</w:t>
      </w:r>
    </w:p>
    <w:p w:rsidR="000A156F" w:rsidRDefault="00A9721F">
      <w:pPr>
        <w:pStyle w:val="Definition-Field2"/>
      </w:pPr>
      <w:r>
        <w:t>Office only allows the Slide part to have an explicit relationship with a Bibliography part.</w:t>
      </w:r>
    </w:p>
    <w:p w:rsidR="000A156F" w:rsidRDefault="00A9721F">
      <w:pPr>
        <w:pStyle w:val="Heading3"/>
      </w:pPr>
      <w:bookmarkStart w:id="62" w:name="section_0e96b521bd75493cbec627b7784d46c7"/>
      <w:bookmarkStart w:id="63" w:name="_Toc181683057"/>
      <w:r>
        <w:t>Part 1 Section 13.3.9, Slide Layout Part</w:t>
      </w:r>
      <w:bookmarkEnd w:id="62"/>
      <w:bookmarkEnd w:id="63"/>
      <w:r>
        <w:fldChar w:fldCharType="begin"/>
      </w:r>
      <w:r>
        <w:instrText xml:space="preserve"> XE "Slide Layout Part" </w:instrText>
      </w:r>
      <w:r>
        <w:fldChar w:fldCharType="end"/>
      </w:r>
    </w:p>
    <w:p w:rsidR="000A156F" w:rsidRDefault="00A9721F">
      <w:pPr>
        <w:pStyle w:val="Definition-Field"/>
      </w:pPr>
      <w:r>
        <w:t xml:space="preserve">a.   </w:t>
      </w:r>
      <w:r>
        <w:rPr>
          <w:i/>
        </w:rPr>
        <w:t>The standard states that a Slide Layout part is p</w:t>
      </w:r>
      <w:r>
        <w:rPr>
          <w:i/>
        </w:rPr>
        <w:t>ermitted to have an implicit relationship with the Thumbnail part.</w:t>
      </w:r>
    </w:p>
    <w:p w:rsidR="000A156F" w:rsidRDefault="00A9721F">
      <w:pPr>
        <w:pStyle w:val="Definition-Field2"/>
      </w:pPr>
      <w:r>
        <w:t>Office does not allow a Slide Layout part to have an implicit relationship to the Thumbnail part.</w:t>
      </w:r>
    </w:p>
    <w:p w:rsidR="000A156F" w:rsidRDefault="00A9721F">
      <w:pPr>
        <w:pStyle w:val="Definition-Field"/>
      </w:pPr>
      <w:r>
        <w:t xml:space="preserve">b.   </w:t>
      </w:r>
      <w:r>
        <w:rPr>
          <w:i/>
        </w:rPr>
        <w:t>The standard does not allow the Slide Layout part to have an explicit relationship wit</w:t>
      </w:r>
      <w:r>
        <w:rPr>
          <w:i/>
        </w:rPr>
        <w:t>h the User Defined Tags part.</w:t>
      </w:r>
    </w:p>
    <w:p w:rsidR="000A156F" w:rsidRDefault="00A9721F">
      <w:pPr>
        <w:pStyle w:val="Definition-Field2"/>
      </w:pPr>
      <w:r>
        <w:t>Office allows the Slide Layout part to have an explicit relationship with the User Defined Tags part.</w:t>
      </w:r>
    </w:p>
    <w:p w:rsidR="000A156F" w:rsidRDefault="00A9721F">
      <w:pPr>
        <w:pStyle w:val="Definition-Field"/>
      </w:pPr>
      <w:r>
        <w:t xml:space="preserve">c.   </w:t>
      </w:r>
      <w:r>
        <w:rPr>
          <w:i/>
        </w:rPr>
        <w:t>The standard does not allow the Slide Layout part to have an explicit relationship with the Slide part.</w:t>
      </w:r>
    </w:p>
    <w:p w:rsidR="000A156F" w:rsidRDefault="00A9721F">
      <w:pPr>
        <w:pStyle w:val="Definition-Field2"/>
      </w:pPr>
      <w:r>
        <w:t>Office allows t</w:t>
      </w:r>
      <w:r>
        <w:t>he Slide Layout part to have an explicit relationship with the Slide part.</w:t>
      </w:r>
    </w:p>
    <w:p w:rsidR="000A156F" w:rsidRDefault="00A9721F">
      <w:pPr>
        <w:pStyle w:val="Definition-Field"/>
      </w:pPr>
      <w:r>
        <w:t xml:space="preserve">d.   </w:t>
      </w:r>
      <w:r>
        <w:rPr>
          <w:i/>
        </w:rPr>
        <w:t>The standard permits the Slide Layout part to have an explicit relationship with the VML Drawing part.</w:t>
      </w:r>
    </w:p>
    <w:p w:rsidR="000A156F" w:rsidRDefault="00A9721F">
      <w:pPr>
        <w:pStyle w:val="Definition-Field2"/>
      </w:pPr>
      <w:r>
        <w:t>Office only permits the Slide Layout part to have an implicit relationshi</w:t>
      </w:r>
      <w:r>
        <w:t>p with the VML Drawing part.</w:t>
      </w:r>
    </w:p>
    <w:p w:rsidR="000A156F" w:rsidRDefault="00A9721F">
      <w:pPr>
        <w:pStyle w:val="Definition-Field"/>
      </w:pPr>
      <w:r>
        <w:t xml:space="preserve">e.   </w:t>
      </w:r>
      <w:r>
        <w:rPr>
          <w:i/>
        </w:rPr>
        <w:t>The standard permits the Slide Layout part to have an implicit relationship with the Additional Characteristics part.</w:t>
      </w:r>
    </w:p>
    <w:p w:rsidR="000A156F" w:rsidRDefault="00A9721F">
      <w:pPr>
        <w:pStyle w:val="Definition-Field2"/>
      </w:pPr>
      <w:r>
        <w:lastRenderedPageBreak/>
        <w:t xml:space="preserve">Office only permits the Slide Layout part to have an explicit relationship with the Additional </w:t>
      </w:r>
      <w:r>
        <w:t>Characteristics part.</w:t>
      </w:r>
    </w:p>
    <w:p w:rsidR="000A156F" w:rsidRDefault="00A9721F">
      <w:pPr>
        <w:pStyle w:val="Definition-Field"/>
      </w:pPr>
      <w:r>
        <w:t xml:space="preserve">f.   </w:t>
      </w:r>
      <w:r>
        <w:rPr>
          <w:i/>
        </w:rPr>
        <w:t>The standard states that the Slide Layout part is permitted to have an implicit relationship to a Bibliography part.</w:t>
      </w:r>
    </w:p>
    <w:p w:rsidR="000A156F" w:rsidRDefault="00A9721F">
      <w:pPr>
        <w:pStyle w:val="Definition-Field2"/>
      </w:pPr>
      <w:r>
        <w:t>Office only allows the Slide Layout part to have an explicit relationship with a Bibliography part.</w:t>
      </w:r>
    </w:p>
    <w:p w:rsidR="000A156F" w:rsidRDefault="00A9721F">
      <w:pPr>
        <w:pStyle w:val="Heading3"/>
      </w:pPr>
      <w:bookmarkStart w:id="64" w:name="section_ce80d3db31664d82981a77c01473a7f6"/>
      <w:bookmarkStart w:id="65" w:name="_Toc181683058"/>
      <w:r>
        <w:t>Part 1 Secti</w:t>
      </w:r>
      <w:r>
        <w:t>on 13.3.10, Slide Master Part</w:t>
      </w:r>
      <w:bookmarkEnd w:id="64"/>
      <w:bookmarkEnd w:id="65"/>
      <w:r>
        <w:fldChar w:fldCharType="begin"/>
      </w:r>
      <w:r>
        <w:instrText xml:space="preserve"> XE "Slide Master Part" </w:instrText>
      </w:r>
      <w:r>
        <w:fldChar w:fldCharType="end"/>
      </w:r>
    </w:p>
    <w:p w:rsidR="000A156F" w:rsidRDefault="00A9721F">
      <w:pPr>
        <w:pStyle w:val="Definition-Field"/>
      </w:pPr>
      <w:r>
        <w:t xml:space="preserve">a.   </w:t>
      </w:r>
      <w:r>
        <w:rPr>
          <w:i/>
        </w:rPr>
        <w:t>The standard states that a Slide Master part is permitted to have an implicit relationship with the Slide Layout part.</w:t>
      </w:r>
    </w:p>
    <w:p w:rsidR="000A156F" w:rsidRDefault="00A9721F">
      <w:pPr>
        <w:pStyle w:val="Definition-Field2"/>
      </w:pPr>
      <w:r>
        <w:t>Office only allows a Slide Master part to have an explicit relationship with</w:t>
      </w:r>
      <w:r>
        <w:t xml:space="preserve"> the Slide Layout part.</w:t>
      </w:r>
    </w:p>
    <w:p w:rsidR="000A156F" w:rsidRDefault="00A9721F">
      <w:pPr>
        <w:pStyle w:val="Definition-Field"/>
      </w:pPr>
      <w:r>
        <w:t xml:space="preserve">b.   </w:t>
      </w:r>
      <w:r>
        <w:rPr>
          <w:i/>
        </w:rPr>
        <w:t>The standard states that the Slide Master part is permitted to have an implicit relationship to a Slide Layout part.</w:t>
      </w:r>
    </w:p>
    <w:p w:rsidR="000A156F" w:rsidRDefault="00A9721F">
      <w:pPr>
        <w:pStyle w:val="Definition-Field2"/>
      </w:pPr>
      <w:r>
        <w:t>Office only allows the Slide Master part to have an explicit relationship with a Slide Layout part.</w:t>
      </w:r>
    </w:p>
    <w:p w:rsidR="000A156F" w:rsidRDefault="00A9721F">
      <w:pPr>
        <w:pStyle w:val="Definition-Field"/>
      </w:pPr>
      <w:r>
        <w:t xml:space="preserve">c.   </w:t>
      </w:r>
      <w:r>
        <w:rPr>
          <w:i/>
        </w:rPr>
        <w:t>The s</w:t>
      </w:r>
      <w:r>
        <w:rPr>
          <w:i/>
        </w:rPr>
        <w:t>tandard states that a Slide Master part is permitted to have an implicit relationship with the Thumbnail part.</w:t>
      </w:r>
    </w:p>
    <w:p w:rsidR="000A156F" w:rsidRDefault="00A9721F">
      <w:pPr>
        <w:pStyle w:val="Definition-Field2"/>
      </w:pPr>
      <w:r>
        <w:t>Office does not allow a Slide Master part to have an implicit relationship to the Thumbnail part.</w:t>
      </w:r>
    </w:p>
    <w:p w:rsidR="000A156F" w:rsidRDefault="00A9721F">
      <w:pPr>
        <w:pStyle w:val="Definition-Field"/>
      </w:pPr>
      <w:r>
        <w:t xml:space="preserve">d.   </w:t>
      </w:r>
      <w:r>
        <w:rPr>
          <w:i/>
        </w:rPr>
        <w:t>The standard does not allow the Slide Mast</w:t>
      </w:r>
      <w:r>
        <w:rPr>
          <w:i/>
        </w:rPr>
        <w:t>er part to have an explicit relationship with the User Defined Tags part.</w:t>
      </w:r>
    </w:p>
    <w:p w:rsidR="000A156F" w:rsidRDefault="00A9721F">
      <w:pPr>
        <w:pStyle w:val="Definition-Field2"/>
      </w:pPr>
      <w:r>
        <w:t>Office allows the Slide Master part to have an explicit relationship with the User Defined Tags part.</w:t>
      </w:r>
    </w:p>
    <w:p w:rsidR="000A156F" w:rsidRDefault="00A9721F">
      <w:pPr>
        <w:pStyle w:val="Definition-Field"/>
      </w:pPr>
      <w:r>
        <w:t xml:space="preserve">e.   </w:t>
      </w:r>
      <w:r>
        <w:rPr>
          <w:i/>
        </w:rPr>
        <w:t>The standard does not allow the Slide Master part to have an explicit relat</w:t>
      </w:r>
      <w:r>
        <w:rPr>
          <w:i/>
        </w:rPr>
        <w:t>ionship with the Slide part.</w:t>
      </w:r>
    </w:p>
    <w:p w:rsidR="000A156F" w:rsidRDefault="00A9721F">
      <w:pPr>
        <w:pStyle w:val="Definition-Field2"/>
      </w:pPr>
      <w:r>
        <w:t>Office allows the Slide Master part to have an explicit relationship with the Slide part.</w:t>
      </w:r>
    </w:p>
    <w:p w:rsidR="000A156F" w:rsidRDefault="00A9721F">
      <w:pPr>
        <w:pStyle w:val="Definition-Field"/>
      </w:pPr>
      <w:r>
        <w:t xml:space="preserve">f.   </w:t>
      </w:r>
      <w:r>
        <w:rPr>
          <w:i/>
        </w:rPr>
        <w:t>The standard permits the Slide Master part to have an explicit relationship with the VML Drawing part.</w:t>
      </w:r>
    </w:p>
    <w:p w:rsidR="000A156F" w:rsidRDefault="00A9721F">
      <w:pPr>
        <w:pStyle w:val="Definition-Field2"/>
      </w:pPr>
      <w:r>
        <w:t>Office only permits the Slide</w:t>
      </w:r>
      <w:r>
        <w:t xml:space="preserve"> Master part to have an implicit relationship with the VML Drawing part.</w:t>
      </w:r>
    </w:p>
    <w:p w:rsidR="000A156F" w:rsidRDefault="00A9721F">
      <w:pPr>
        <w:pStyle w:val="Definition-Field"/>
      </w:pPr>
      <w:r>
        <w:t xml:space="preserve">g.   </w:t>
      </w:r>
      <w:r>
        <w:rPr>
          <w:i/>
        </w:rPr>
        <w:t>The standard permits the Slide Master part to have an implicit relationship with the Additional Characteristics part.</w:t>
      </w:r>
    </w:p>
    <w:p w:rsidR="000A156F" w:rsidRDefault="00A9721F">
      <w:pPr>
        <w:pStyle w:val="Definition-Field2"/>
      </w:pPr>
      <w:r>
        <w:t>Office only permits the Slide Master part to have an explici</w:t>
      </w:r>
      <w:r>
        <w:t>t relationship with the Additional Characteristics part.</w:t>
      </w:r>
    </w:p>
    <w:p w:rsidR="000A156F" w:rsidRDefault="00A9721F">
      <w:pPr>
        <w:pStyle w:val="Definition-Field"/>
      </w:pPr>
      <w:r>
        <w:t xml:space="preserve">h.   </w:t>
      </w:r>
      <w:r>
        <w:rPr>
          <w:i/>
        </w:rPr>
        <w:t>The standard states that the Slide Master part is permitted to have an implicit relationship to a Bibliography part.</w:t>
      </w:r>
    </w:p>
    <w:p w:rsidR="000A156F" w:rsidRDefault="00A9721F">
      <w:pPr>
        <w:pStyle w:val="Definition-Field2"/>
      </w:pPr>
      <w:r>
        <w:t>Office only allows the Slide Master part to have an explicit relationship wit</w:t>
      </w:r>
      <w:r>
        <w:t>h a Bibliography part.</w:t>
      </w:r>
    </w:p>
    <w:p w:rsidR="000A156F" w:rsidRDefault="00A9721F">
      <w:pPr>
        <w:pStyle w:val="Heading3"/>
      </w:pPr>
      <w:bookmarkStart w:id="66" w:name="section_9d6cf39365424a73a890ee66e3e0dad7"/>
      <w:bookmarkStart w:id="67" w:name="_Toc181683059"/>
      <w:r>
        <w:t>Part 1 Section 14.2.1, Chart Part</w:t>
      </w:r>
      <w:bookmarkEnd w:id="66"/>
      <w:bookmarkEnd w:id="67"/>
      <w:r>
        <w:fldChar w:fldCharType="begin"/>
      </w:r>
      <w:r>
        <w:instrText xml:space="preserve"> XE "Chart Part" </w:instrText>
      </w:r>
      <w:r>
        <w:fldChar w:fldCharType="end"/>
      </w:r>
    </w:p>
    <w:p w:rsidR="000A156F" w:rsidRDefault="00A9721F">
      <w:pPr>
        <w:pStyle w:val="Definition-Field"/>
      </w:pPr>
      <w:r>
        <w:t xml:space="preserve">a.   </w:t>
      </w:r>
      <w:r>
        <w:rPr>
          <w:i/>
        </w:rPr>
        <w:t>The standard allows the Chart Part only to have an explicit relationship with a Chart Drawing part or an Embedded Package part.</w:t>
      </w:r>
    </w:p>
    <w:p w:rsidR="000A156F" w:rsidRDefault="00A9721F">
      <w:pPr>
        <w:pStyle w:val="Definition-Field2"/>
      </w:pPr>
      <w:r>
        <w:t>Office allows the Chart Part to have an explici</w:t>
      </w:r>
      <w:r>
        <w:t>t relationship with a Theme Override part.</w:t>
      </w:r>
    </w:p>
    <w:p w:rsidR="000A156F" w:rsidRDefault="00A9721F">
      <w:pPr>
        <w:pStyle w:val="Heading3"/>
      </w:pPr>
      <w:bookmarkStart w:id="68" w:name="section_3a29b98ed48f444fa30ce872a4ebc349"/>
      <w:bookmarkStart w:id="69" w:name="_Toc181683060"/>
      <w:r>
        <w:lastRenderedPageBreak/>
        <w:t>Part 1 Section 14.2.2, Chart Drawing Part</w:t>
      </w:r>
      <w:bookmarkEnd w:id="68"/>
      <w:bookmarkEnd w:id="69"/>
      <w:r>
        <w:fldChar w:fldCharType="begin"/>
      </w:r>
      <w:r>
        <w:instrText xml:space="preserve"> XE "Chart Drawing Part" </w:instrText>
      </w:r>
      <w:r>
        <w:fldChar w:fldCharType="end"/>
      </w:r>
    </w:p>
    <w:p w:rsidR="000A156F" w:rsidRDefault="00A9721F">
      <w:pPr>
        <w:pStyle w:val="Definition-Field"/>
      </w:pPr>
      <w:r>
        <w:t xml:space="preserve">a.   </w:t>
      </w:r>
      <w:r>
        <w:rPr>
          <w:i/>
        </w:rPr>
        <w:t>The standard allows the Chart Drawing Part only to have an explicit relationship with a Chart Part.</w:t>
      </w:r>
    </w:p>
    <w:p w:rsidR="000A156F" w:rsidRDefault="00A9721F">
      <w:pPr>
        <w:pStyle w:val="Definition-Field2"/>
      </w:pPr>
      <w:r>
        <w:t>Office allows the Chart Drawing Part to</w:t>
      </w:r>
      <w:r>
        <w:t xml:space="preserve"> have an explicit relationship with an Image part.</w:t>
      </w:r>
    </w:p>
    <w:p w:rsidR="000A156F" w:rsidRDefault="00A9721F">
      <w:pPr>
        <w:pStyle w:val="Heading3"/>
      </w:pPr>
      <w:bookmarkStart w:id="70" w:name="section_d8ea1093c53b4135ab674a51a0b6fe7e"/>
      <w:bookmarkStart w:id="71" w:name="_Toc181683061"/>
      <w:r>
        <w:t>Part 1 Section 14.2.3, Diagram Colors Part</w:t>
      </w:r>
      <w:bookmarkEnd w:id="70"/>
      <w:bookmarkEnd w:id="71"/>
      <w:r>
        <w:fldChar w:fldCharType="begin"/>
      </w:r>
      <w:r>
        <w:instrText xml:space="preserve"> XE "Diagram Colors Part" </w:instrText>
      </w:r>
      <w:r>
        <w:fldChar w:fldCharType="end"/>
      </w:r>
    </w:p>
    <w:p w:rsidR="000A156F" w:rsidRDefault="00A9721F">
      <w:pPr>
        <w:pStyle w:val="Definition-Field"/>
      </w:pPr>
      <w:r>
        <w:t xml:space="preserve">a.   </w:t>
      </w:r>
      <w:r>
        <w:rPr>
          <w:i/>
        </w:rPr>
        <w:t>The standard states that a Diagram Colors part is the target of an explicit relationship in a WordprocessingML Main Document, Spr</w:t>
      </w:r>
      <w:r>
        <w:rPr>
          <w:i/>
        </w:rPr>
        <w:t>eadsheetML Drawings, or PresentationM Slide part.</w:t>
      </w:r>
    </w:p>
    <w:p w:rsidR="000A156F" w:rsidRDefault="00A9721F">
      <w:r>
        <w:t>In Office, the Diagram Colors part can also be the target of an explicit relationship in a PresentationML Handout Master ("</w:t>
      </w:r>
      <w:hyperlink r:id="rId60">
        <w:r>
          <w:rPr>
            <w:rStyle w:val="Hyperlink"/>
          </w:rPr>
          <w:t>[ISO/IEC-29500-1]</w:t>
        </w:r>
      </w:hyperlink>
      <w:r>
        <w:t xml:space="preserve"> §13.3.3"), Notes Master ("[ISO/IEC-29500-1] §13.3.4"), Notes Slide ("[ISO/IEC-29500-1] §13.3.5"), Slide ("[ISO/IEC-29500-1] §13.3.8"), Slide Layout ("[ISO/IEC-29500-1] §13.3.9"), or Slide Master ("[ISO/IEC-29500-1] §13.3.10") part.</w:t>
      </w:r>
    </w:p>
    <w:p w:rsidR="000A156F" w:rsidRDefault="00A9721F">
      <w:pPr>
        <w:pStyle w:val="Heading3"/>
      </w:pPr>
      <w:bookmarkStart w:id="72" w:name="section_fbaa1e283676408f8e241c31101d4de7"/>
      <w:bookmarkStart w:id="73" w:name="_Toc181683062"/>
      <w:r>
        <w:t xml:space="preserve">Part 1 Section 14.2.4, </w:t>
      </w:r>
      <w:r>
        <w:t>Diagram Data Part</w:t>
      </w:r>
      <w:bookmarkEnd w:id="72"/>
      <w:bookmarkEnd w:id="73"/>
      <w:r>
        <w:fldChar w:fldCharType="begin"/>
      </w:r>
      <w:r>
        <w:instrText xml:space="preserve"> XE "Diagram Data Part" </w:instrText>
      </w:r>
      <w:r>
        <w:fldChar w:fldCharType="end"/>
      </w:r>
    </w:p>
    <w:p w:rsidR="000A156F" w:rsidRDefault="00A9721F">
      <w:pPr>
        <w:pStyle w:val="Definition-Field"/>
      </w:pPr>
      <w:r>
        <w:t xml:space="preserve">a.   </w:t>
      </w:r>
      <w:r>
        <w:rPr>
          <w:i/>
        </w:rPr>
        <w:t>The standard states that a Diagram Data part is permitted to have an explicit relationship to an Image part.</w:t>
      </w:r>
    </w:p>
    <w:p w:rsidR="000A156F" w:rsidRDefault="00A9721F">
      <w:pPr>
        <w:pStyle w:val="Definition-Field2"/>
      </w:pPr>
      <w:r>
        <w:t>In Office the Diagram Data part can also have explicit relationships to Hyperlinks ("</w:t>
      </w:r>
      <w:hyperlink r:id="rId61">
        <w:r>
          <w:rPr>
            <w:rStyle w:val="Hyperlink"/>
          </w:rPr>
          <w:t>[ISO/IEC-29500-1]</w:t>
        </w:r>
      </w:hyperlink>
      <w:r>
        <w:t xml:space="preserve"> §15.3").</w:t>
      </w:r>
    </w:p>
    <w:p w:rsidR="000A156F" w:rsidRDefault="00A9721F">
      <w:pPr>
        <w:pStyle w:val="Heading3"/>
      </w:pPr>
      <w:bookmarkStart w:id="74" w:name="section_542685d1b8f8426ba15a6e179e8e8643"/>
      <w:bookmarkStart w:id="75" w:name="_Toc181683063"/>
      <w:r>
        <w:t>Part 1 Section 15.2, Part Summary</w:t>
      </w:r>
      <w:bookmarkEnd w:id="74"/>
      <w:bookmarkEnd w:id="75"/>
      <w:r>
        <w:fldChar w:fldCharType="begin"/>
      </w:r>
      <w:r>
        <w:instrText xml:space="preserve"> XE "Part Summary" </w:instrText>
      </w:r>
      <w:r>
        <w:fldChar w:fldCharType="end"/>
      </w:r>
    </w:p>
    <w:p w:rsidR="000A156F" w:rsidRDefault="00A9721F">
      <w:pPr>
        <w:pStyle w:val="Definition-Field"/>
      </w:pPr>
      <w:r>
        <w:t xml:space="preserve">a.   </w:t>
      </w:r>
      <w:r>
        <w:rPr>
          <w:i/>
        </w:rPr>
        <w:t>The standard does not include documentation for the Embedded Control Persistence Binary Data part.</w:t>
      </w:r>
    </w:p>
    <w:p w:rsidR="000A156F" w:rsidRDefault="00A9721F">
      <w:pPr>
        <w:pStyle w:val="Definition-Field2"/>
      </w:pPr>
      <w:r>
        <w:t>Office defines an</w:t>
      </w:r>
      <w:r>
        <w:t xml:space="preserve"> Embedded Control Persistence Binary Data part (</w:t>
      </w:r>
      <w:hyperlink w:anchor="Section_2c6688debe084ffaac5432d19ebc4ca3">
        <w:r>
          <w:rPr>
            <w:rStyle w:val="Hyperlink"/>
          </w:rPr>
          <w:t>§3.4.1.1, Embedded Control Persistence Binary Data Part</w:t>
        </w:r>
      </w:hyperlink>
      <w:r>
        <w:t>), which contains information about persisted embedded controls in the package.</w:t>
      </w:r>
    </w:p>
    <w:p w:rsidR="000A156F" w:rsidRDefault="00A9721F">
      <w:pPr>
        <w:pStyle w:val="Definition-Field"/>
      </w:pPr>
      <w:r>
        <w:t xml:space="preserve">b.   </w:t>
      </w:r>
      <w:r>
        <w:rPr>
          <w:i/>
        </w:rPr>
        <w:t>The s</w:t>
      </w:r>
      <w:r>
        <w:rPr>
          <w:i/>
        </w:rPr>
        <w:t>tandard does not include documentation for the Quick Access Toolbar Customizations part.</w:t>
      </w:r>
    </w:p>
    <w:p w:rsidR="000A156F" w:rsidRDefault="00A9721F">
      <w:pPr>
        <w:pStyle w:val="Definition-Field2"/>
      </w:pPr>
      <w:r>
        <w:t>Office defines a Quick Access Toolbar Customizations part (</w:t>
      </w:r>
      <w:hyperlink w:anchor="Section_55d273e4770e48bc883fc66dc2816d30">
        <w:r>
          <w:rPr>
            <w:rStyle w:val="Hyperlink"/>
          </w:rPr>
          <w:t>§3.4.1.2, Quick Access Toolbar Customizations</w:t>
        </w:r>
        <w:r>
          <w:rPr>
            <w:rStyle w:val="Hyperlink"/>
          </w:rPr>
          <w:t xml:space="preserve"> Part</w:t>
        </w:r>
      </w:hyperlink>
      <w:r>
        <w:t>), which contains information about quick access toolbar customizations.</w:t>
      </w:r>
    </w:p>
    <w:p w:rsidR="000A156F" w:rsidRDefault="00A9721F">
      <w:pPr>
        <w:pStyle w:val="Definition-Field"/>
      </w:pPr>
      <w:r>
        <w:t xml:space="preserve">c.   </w:t>
      </w:r>
      <w:r>
        <w:rPr>
          <w:i/>
        </w:rPr>
        <w:t>The standard does not include documentation for the Ribbon Extensibility part.</w:t>
      </w:r>
    </w:p>
    <w:p w:rsidR="000A156F" w:rsidRDefault="00A9721F">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customizations.</w:t>
      </w:r>
    </w:p>
    <w:p w:rsidR="000A156F" w:rsidRDefault="00A9721F">
      <w:pPr>
        <w:pStyle w:val="Definition-Field"/>
      </w:pPr>
      <w:r>
        <w:t xml:space="preserve">d.   </w:t>
      </w:r>
      <w:r>
        <w:rPr>
          <w:i/>
        </w:rPr>
        <w:t>The standard does not include documentation for the Context Menu part.</w:t>
      </w:r>
    </w:p>
    <w:p w:rsidR="000A156F" w:rsidRDefault="00A9721F">
      <w:pPr>
        <w:pStyle w:val="Definition-Field2"/>
      </w:pPr>
      <w:r>
        <w:t>Office defines a Context Menu part, which contains information about Context Menu cus</w:t>
      </w:r>
      <w:r>
        <w:t>tomizations.</w:t>
      </w:r>
    </w:p>
    <w:p w:rsidR="000A156F" w:rsidRDefault="00A9721F">
      <w:pPr>
        <w:pStyle w:val="Definition-Field"/>
      </w:pPr>
      <w:r>
        <w:t xml:space="preserve">e.   </w:t>
      </w:r>
      <w:r>
        <w:rPr>
          <w:i/>
        </w:rPr>
        <w:t>The standard does not include documentation for the Backstage part.</w:t>
      </w:r>
    </w:p>
    <w:p w:rsidR="000A156F" w:rsidRDefault="00A9721F">
      <w:pPr>
        <w:pStyle w:val="Definition-Field2"/>
      </w:pPr>
      <w:r>
        <w:t>Office defines a Backstage part, which contains information about Backstage customizations.</w:t>
      </w:r>
    </w:p>
    <w:p w:rsidR="000A156F" w:rsidRDefault="00A9721F">
      <w:pPr>
        <w:pStyle w:val="Heading3"/>
      </w:pPr>
      <w:bookmarkStart w:id="76" w:name="section_59d313b6b9a8485083f1e87ad9abd509"/>
      <w:bookmarkStart w:id="77" w:name="_Toc181683064"/>
      <w:r>
        <w:t>Part 1 Section 15.2.5, Custom XML Data Storage Part</w:t>
      </w:r>
      <w:bookmarkEnd w:id="76"/>
      <w:bookmarkEnd w:id="77"/>
      <w:r>
        <w:fldChar w:fldCharType="begin"/>
      </w:r>
      <w:r>
        <w:instrText xml:space="preserve"> XE "Custom XML Data Storag</w:instrText>
      </w:r>
      <w:r>
        <w:instrText xml:space="preserve">e Part" </w:instrText>
      </w:r>
      <w:r>
        <w:fldChar w:fldCharType="end"/>
      </w:r>
    </w:p>
    <w:p w:rsidR="000A156F" w:rsidRDefault="00A9721F">
      <w:pPr>
        <w:pStyle w:val="Definition-Field"/>
      </w:pPr>
      <w:r>
        <w:t xml:space="preserve">a.   </w:t>
      </w:r>
      <w:r>
        <w:rPr>
          <w:i/>
        </w:rPr>
        <w:t>The standard does not specify that Office reserves namespaces for storing document properties.</w:t>
      </w:r>
    </w:p>
    <w:p w:rsidR="000A156F" w:rsidRDefault="00A9721F">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Root Namespace</w:t>
            </w:r>
          </w:p>
        </w:tc>
        <w:tc>
          <w:tcPr>
            <w:tcW w:w="0" w:type="auto"/>
            <w:vAlign w:val="center"/>
          </w:tcPr>
          <w:p w:rsidR="000A156F" w:rsidRDefault="00A9721F">
            <w:pPr>
              <w:pStyle w:val="TableHeaderText"/>
            </w:pPr>
            <w:r>
              <w:t>Reference</w:t>
            </w:r>
          </w:p>
        </w:tc>
      </w:tr>
      <w:tr w:rsidR="000A156F" w:rsidTr="000A156F">
        <w:tc>
          <w:tcPr>
            <w:tcW w:w="0" w:type="auto"/>
            <w:vAlign w:val="center"/>
          </w:tcPr>
          <w:p w:rsidR="000A156F" w:rsidRDefault="00A9721F">
            <w:pPr>
              <w:pStyle w:val="TableBodyText"/>
            </w:pPr>
            <w:r>
              <w:t>http://schemas.microsoft.com/office/</w:t>
            </w:r>
            <w:r>
              <w:t>2006/customDocumentInformationPanel</w:t>
            </w:r>
          </w:p>
        </w:tc>
        <w:tc>
          <w:tcPr>
            <w:tcW w:w="0" w:type="auto"/>
            <w:vAlign w:val="center"/>
          </w:tcPr>
          <w:p w:rsidR="000A156F" w:rsidRDefault="00A9721F">
            <w:pPr>
              <w:pStyle w:val="TableBodyText"/>
            </w:pPr>
            <w:hyperlink w:anchor="Section_471bacba8a3243149825ae9d444e1af9">
              <w:r>
                <w:rPr>
                  <w:rStyle w:val="Hyperlink"/>
                </w:rPr>
                <w:t>§3.5.3.1, Custom Document Information Panel Schema</w:t>
              </w:r>
            </w:hyperlink>
          </w:p>
        </w:tc>
      </w:tr>
      <w:tr w:rsidR="000A156F" w:rsidTr="000A156F">
        <w:tc>
          <w:tcPr>
            <w:tcW w:w="0" w:type="auto"/>
            <w:vAlign w:val="center"/>
          </w:tcPr>
          <w:p w:rsidR="000A156F" w:rsidRDefault="00A9721F">
            <w:pPr>
              <w:pStyle w:val="TableBodyText"/>
            </w:pPr>
            <w:r>
              <w:t>http://schemas.microsoft.com/office/2006/metadata/customXsn</w:t>
            </w:r>
          </w:p>
        </w:tc>
        <w:tc>
          <w:tcPr>
            <w:tcW w:w="0" w:type="auto"/>
            <w:vAlign w:val="center"/>
          </w:tcPr>
          <w:p w:rsidR="000A156F" w:rsidRDefault="00A9721F">
            <w:pPr>
              <w:pStyle w:val="TableBodyText"/>
            </w:pPr>
            <w:hyperlink w:anchor="Section_d9b4ba0ebe664084a162d0eac8fa85e9">
              <w:r>
                <w:rPr>
                  <w:rStyle w:val="Hyperlink"/>
                </w:rPr>
                <w:t>§3.5.4.1, Custom XSN Schema</w:t>
              </w:r>
            </w:hyperlink>
          </w:p>
        </w:tc>
      </w:tr>
      <w:tr w:rsidR="000A156F" w:rsidTr="000A156F">
        <w:tc>
          <w:tcPr>
            <w:tcW w:w="0" w:type="auto"/>
            <w:vAlign w:val="center"/>
          </w:tcPr>
          <w:p w:rsidR="000A156F" w:rsidRDefault="00A9721F">
            <w:pPr>
              <w:pStyle w:val="TableBodyText"/>
            </w:pPr>
            <w:r>
              <w:t>http://schemas.microsoft.com/office/2006/metadata/contentType</w:t>
            </w:r>
          </w:p>
        </w:tc>
        <w:tc>
          <w:tcPr>
            <w:tcW w:w="0" w:type="auto"/>
            <w:vAlign w:val="center"/>
          </w:tcPr>
          <w:p w:rsidR="000A156F" w:rsidRDefault="00A9721F">
            <w:pPr>
              <w:pStyle w:val="TableBodyText"/>
            </w:pPr>
            <w:hyperlink w:anchor="Section_acb43eb342e64ae998cacd04346b080a">
              <w:r>
                <w:rPr>
                  <w:rStyle w:val="Hyperlink"/>
                </w:rPr>
                <w:t>§3.5.2.1, Content Type Schemas Schema</w:t>
              </w:r>
            </w:hyperlink>
          </w:p>
        </w:tc>
      </w:tr>
      <w:tr w:rsidR="000A156F" w:rsidTr="000A156F">
        <w:tc>
          <w:tcPr>
            <w:tcW w:w="0" w:type="auto"/>
            <w:vAlign w:val="center"/>
          </w:tcPr>
          <w:p w:rsidR="000A156F" w:rsidRDefault="00A9721F">
            <w:pPr>
              <w:pStyle w:val="TableBodyText"/>
            </w:pPr>
            <w:r>
              <w:t>ht</w:t>
            </w:r>
            <w:r>
              <w:t>tp://schemas.microsoft.com/office/2006/coverPageProps</w:t>
            </w:r>
          </w:p>
        </w:tc>
        <w:tc>
          <w:tcPr>
            <w:tcW w:w="0" w:type="auto"/>
            <w:vAlign w:val="center"/>
          </w:tcPr>
          <w:p w:rsidR="000A156F" w:rsidRDefault="00A9721F">
            <w:pPr>
              <w:pStyle w:val="TableBodyText"/>
            </w:pPr>
            <w:hyperlink w:anchor="Section_f4d50e0ddbdb493d9c1f5e94acf656a1">
              <w:r>
                <w:rPr>
                  <w:rStyle w:val="Hyperlink"/>
                </w:rPr>
                <w:t>§3.5.1.1, Cover Page Properties Schema</w:t>
              </w:r>
            </w:hyperlink>
          </w:p>
        </w:tc>
      </w:tr>
      <w:tr w:rsidR="000A156F" w:rsidTr="000A156F">
        <w:tc>
          <w:tcPr>
            <w:tcW w:w="0" w:type="auto"/>
            <w:vAlign w:val="center"/>
          </w:tcPr>
          <w:p w:rsidR="000A156F" w:rsidRDefault="00A9721F">
            <w:pPr>
              <w:pStyle w:val="TableBodyText"/>
            </w:pPr>
            <w:r>
              <w:t>http://schemas.microsoft.com/office/2006/metadata/longProperties</w:t>
            </w:r>
          </w:p>
        </w:tc>
        <w:tc>
          <w:tcPr>
            <w:tcW w:w="0" w:type="auto"/>
            <w:vAlign w:val="center"/>
          </w:tcPr>
          <w:p w:rsidR="000A156F" w:rsidRDefault="00A9721F">
            <w:pPr>
              <w:pStyle w:val="TableBodyText"/>
            </w:pPr>
            <w:hyperlink w:anchor="Section_03e16b150a6b4dc88574f27a056f37e5">
              <w:r>
                <w:rPr>
                  <w:rStyle w:val="Hyperlink"/>
                </w:rPr>
                <w:t>§3.5.5.1, Long Properties Schema</w:t>
              </w:r>
            </w:hyperlink>
          </w:p>
        </w:tc>
      </w:tr>
      <w:tr w:rsidR="000A156F" w:rsidTr="000A156F">
        <w:tc>
          <w:tcPr>
            <w:tcW w:w="0" w:type="auto"/>
            <w:vAlign w:val="center"/>
          </w:tcPr>
          <w:p w:rsidR="000A156F" w:rsidRDefault="00A9721F">
            <w:pPr>
              <w:pStyle w:val="TableBodyText"/>
            </w:pPr>
            <w:r>
              <w:t>office.server.policy</w:t>
            </w:r>
          </w:p>
        </w:tc>
        <w:tc>
          <w:tcPr>
            <w:tcW w:w="0" w:type="auto"/>
            <w:vAlign w:val="center"/>
          </w:tcPr>
          <w:p w:rsidR="000A156F" w:rsidRDefault="00A9721F">
            <w:pPr>
              <w:pStyle w:val="TableBodyText"/>
            </w:pPr>
            <w:r>
              <w:t>Collaborative Application Markup Language (CAML) Structure Specification (</w:t>
            </w:r>
            <w:hyperlink r:id="rId62" w:anchor="Section_8d6156fd646842949594644a946ed6a6">
              <w:r>
                <w:rPr>
                  <w:rStyle w:val="Hyperlink"/>
                </w:rPr>
                <w:t>[MS-WSSCAML]</w:t>
              </w:r>
            </w:hyperlink>
            <w:r>
              <w:t xml:space="preserve"> Sub</w:t>
            </w:r>
            <w:r>
              <w:t>clause 2.5.1.7).</w:t>
            </w:r>
          </w:p>
        </w:tc>
      </w:tr>
    </w:tbl>
    <w:p w:rsidR="000A156F" w:rsidRDefault="000A156F"/>
    <w:p w:rsidR="000A156F" w:rsidRDefault="00A9721F">
      <w:r>
        <w:t>Furthermore, a Custom XML Data Storage part with root namespace of http://schemas.microsoft.com/office/2006/metadata/properties describes the properties of this document as defined by the xsd:schema children of Content Type Schemas (§3.5</w:t>
      </w:r>
      <w:r>
        <w:t>.2.1, Content Type Schemas Schema). The xsd:schema that bears the ma:root Root (</w:t>
      </w:r>
      <w:hyperlink w:anchor="Section_83c200b15a6944308fe6adc3583034a2">
        <w:r>
          <w:rPr>
            <w:rStyle w:val="Hyperlink"/>
          </w:rPr>
          <w:t>§3.5.2.2.1, Shared Attributes</w:t>
        </w:r>
      </w:hyperlink>
      <w:r>
        <w:t>) attribute describes the structure of the root element this Custom XML Data Storage</w:t>
      </w:r>
      <w:r>
        <w:t xml:space="preserve"> part, with the other xsd:schema children collectively describing elements from other namespaces referenced.</w:t>
      </w:r>
    </w:p>
    <w:p w:rsidR="000A156F" w:rsidRDefault="00A9721F">
      <w:pPr>
        <w:pStyle w:val="Heading3"/>
      </w:pPr>
      <w:bookmarkStart w:id="78" w:name="section_754c8ac1923d412f8fefc85862e9124a"/>
      <w:bookmarkStart w:id="79" w:name="_Toc181683065"/>
      <w:r>
        <w:t>Part 1 Section 15.2.9, Embedded Control Persistence Part</w:t>
      </w:r>
      <w:bookmarkEnd w:id="78"/>
      <w:bookmarkEnd w:id="79"/>
      <w:r>
        <w:fldChar w:fldCharType="begin"/>
      </w:r>
      <w:r>
        <w:instrText xml:space="preserve"> XE "Embedded Control Persistence Part" </w:instrText>
      </w:r>
      <w:r>
        <w:fldChar w:fldCharType="end"/>
      </w:r>
    </w:p>
    <w:p w:rsidR="000A156F" w:rsidRDefault="00A9721F">
      <w:pPr>
        <w:pStyle w:val="Definition-Field"/>
      </w:pPr>
      <w:r>
        <w:t xml:space="preserve">a.   </w:t>
      </w:r>
      <w:r>
        <w:rPr>
          <w:i/>
        </w:rPr>
        <w:t>The standard does not state the content typ</w:t>
      </w:r>
      <w:r>
        <w:rPr>
          <w:i/>
        </w:rPr>
        <w:t>e used for ActiveX data stored in the Embedded Control Persistence part.</w:t>
      </w:r>
    </w:p>
    <w:p w:rsidR="000A156F" w:rsidRDefault="00A9721F">
      <w:pPr>
        <w:pStyle w:val="Definition-Field2"/>
      </w:pPr>
      <w:r>
        <w:t>When Office stores data for ActiveX controls in the Embedded Control Persistence part, the following content type is used: application/vnd.ms-office.activeX+xml.</w:t>
      </w:r>
    </w:p>
    <w:p w:rsidR="000A156F" w:rsidRDefault="00A9721F">
      <w:pPr>
        <w:pStyle w:val="Heading3"/>
      </w:pPr>
      <w:bookmarkStart w:id="80" w:name="section_28beaa8f42ce41e6820d4d7af34457a5"/>
      <w:bookmarkStart w:id="81" w:name="_Toc181683066"/>
      <w:r>
        <w:t>Part 1 Section 15.2.1</w:t>
      </w:r>
      <w:r>
        <w:t>2.1, Core File Properties Part</w:t>
      </w:r>
      <w:bookmarkEnd w:id="80"/>
      <w:bookmarkEnd w:id="81"/>
      <w:r>
        <w:fldChar w:fldCharType="begin"/>
      </w:r>
      <w:r>
        <w:instrText xml:space="preserve"> XE "Core File Properties Part" </w:instrText>
      </w:r>
      <w:r>
        <w:fldChar w:fldCharType="end"/>
      </w:r>
    </w:p>
    <w:p w:rsidR="000A156F" w:rsidRDefault="00A9721F">
      <w:pPr>
        <w:pStyle w:val="Definition-Field"/>
      </w:pPr>
      <w:r>
        <w:t xml:space="preserve">a.   </w:t>
      </w:r>
      <w:r>
        <w:rPr>
          <w:i/>
        </w:rPr>
        <w:t>The standard specifies a source relations ship for the Core File Properties part as follows: http://schemas.openxmlformats.org/officedocument/2006/relationships/metadata/core-properties.</w:t>
      </w:r>
    </w:p>
    <w:p w:rsidR="000A156F" w:rsidRDefault="00A9721F">
      <w:pPr>
        <w:pStyle w:val="Definition-Field2"/>
      </w:pPr>
      <w:r>
        <w:t>Office uses the following source relationship for the Core File Properties part: http://schemas.openxmlformats.org/package/2006/relationships/metadata/core-properties.</w:t>
      </w:r>
    </w:p>
    <w:p w:rsidR="000A156F" w:rsidRDefault="00A9721F">
      <w:pPr>
        <w:pStyle w:val="Heading3"/>
      </w:pPr>
      <w:bookmarkStart w:id="82" w:name="section_329b6ef35848403b97e9069503df5e3a"/>
      <w:bookmarkStart w:id="83" w:name="_Toc181683067"/>
      <w:r>
        <w:t>Part 1 Section 15.2.12.2, Custom File Properties Part</w:t>
      </w:r>
      <w:bookmarkEnd w:id="82"/>
      <w:bookmarkEnd w:id="83"/>
      <w:r>
        <w:fldChar w:fldCharType="begin"/>
      </w:r>
      <w:r>
        <w:instrText xml:space="preserve"> XE "Custom File Properties Part" </w:instrText>
      </w:r>
      <w:r>
        <w:fldChar w:fldCharType="end"/>
      </w:r>
    </w:p>
    <w:p w:rsidR="000A156F" w:rsidRDefault="00A9721F">
      <w:pPr>
        <w:rPr>
          <w:i/>
        </w:rPr>
      </w:pPr>
      <w:r>
        <w:rPr>
          <w:i/>
        </w:rPr>
        <w:t>The standard does not specify any specific Custom File Properties (</w:t>
      </w:r>
      <w:r>
        <w:t>"</w:t>
      </w:r>
      <w:hyperlink r:id="rId63">
        <w:r>
          <w:rPr>
            <w:rStyle w:val="Hyperlink"/>
          </w:rPr>
          <w:t>[ISO/IEC-29500-1]</w:t>
        </w:r>
      </w:hyperlink>
      <w:r>
        <w:t xml:space="preserve"> §15.2.12.2; Custom File Properties Part"</w:t>
      </w:r>
      <w:r>
        <w:rPr>
          <w:i/>
        </w:rPr>
        <w:t>) names or values, nor does it attribute meaning to them.</w:t>
      </w:r>
    </w:p>
    <w:p w:rsidR="000A156F" w:rsidRDefault="00A9721F">
      <w:r>
        <w:t>Off</w:t>
      </w:r>
      <w:r>
        <w:t xml:space="preserve">ice reserves a number of Custom File Properties as enumerated in </w:t>
      </w:r>
      <w:hyperlink w:anchor="Section_96cf335c22d94dfca08a72558e12983b" w:history="1">
        <w:r>
          <w:rPr>
            <w:rStyle w:val="Hyperlink"/>
          </w:rPr>
          <w:t>§3.11, Reserved Custom File Properties</w:t>
        </w:r>
      </w:hyperlink>
      <w:r>
        <w:t>.</w:t>
      </w:r>
    </w:p>
    <w:p w:rsidR="000A156F" w:rsidRDefault="00A9721F">
      <w:pPr>
        <w:pStyle w:val="Heading3"/>
      </w:pPr>
      <w:bookmarkStart w:id="84" w:name="section_ea097c5757944624b08e017b47051b1d"/>
      <w:bookmarkStart w:id="85" w:name="_Toc181683068"/>
      <w:r>
        <w:t>Part 1 Section 15.2.13, Font Part</w:t>
      </w:r>
      <w:bookmarkEnd w:id="84"/>
      <w:bookmarkEnd w:id="85"/>
      <w:r>
        <w:fldChar w:fldCharType="begin"/>
      </w:r>
      <w:r>
        <w:instrText xml:space="preserve"> XE "Font Part" </w:instrText>
      </w:r>
      <w:r>
        <w:fldChar w:fldCharType="end"/>
      </w:r>
    </w:p>
    <w:p w:rsidR="000A156F" w:rsidRDefault="00A9721F">
      <w:pPr>
        <w:pStyle w:val="Definition-Field"/>
      </w:pPr>
      <w:r>
        <w:t xml:space="preserve">a.   </w:t>
      </w:r>
      <w:r>
        <w:rPr>
          <w:i/>
        </w:rPr>
        <w:t>The standard states that applicati</w:t>
      </w:r>
      <w:r>
        <w:rPr>
          <w:i/>
        </w:rPr>
        <w:t>on/x-font-ttf specifies that the font shall be stored in the TrueType or OpenType format.</w:t>
      </w:r>
    </w:p>
    <w:p w:rsidR="000A156F" w:rsidRDefault="00A9721F">
      <w:pPr>
        <w:pStyle w:val="Definition-Field2"/>
      </w:pPr>
      <w:r>
        <w:lastRenderedPageBreak/>
        <w:t>PowerPoint does not use this content type. Word reads these fonts if the value of the fontKey attribute is equal to 00000000-0000-0000-0000-000000000000.</w:t>
      </w:r>
    </w:p>
    <w:p w:rsidR="000A156F" w:rsidRDefault="00A9721F">
      <w:pPr>
        <w:pStyle w:val="Definition-Field"/>
      </w:pPr>
      <w:r>
        <w:t xml:space="preserve">b.   </w:t>
      </w:r>
      <w:r>
        <w:rPr>
          <w:i/>
        </w:rPr>
        <w:t>The sta</w:t>
      </w:r>
      <w:r>
        <w:rPr>
          <w:i/>
        </w:rPr>
        <w:t>ndard states that application/x-fontdata specifies that the font shall be stored as a bitmapped font (each glyph is stored as a raster image).</w:t>
      </w:r>
    </w:p>
    <w:p w:rsidR="000A156F" w:rsidRDefault="00A9721F">
      <w:pPr>
        <w:pStyle w:val="Definition-Field2"/>
      </w:pPr>
      <w:r>
        <w:t>PowerPoint stores TrueType and OpenType fonts (</w:t>
      </w:r>
      <w:hyperlink r:id="rId64">
        <w:r>
          <w:rPr>
            <w:rStyle w:val="Hyperlink"/>
          </w:rPr>
          <w:t>[Embed-Open-Type-Format]</w:t>
        </w:r>
      </w:hyperlink>
      <w:r>
        <w:t xml:space="preserve">, </w:t>
      </w:r>
      <w:hyperlink r:id="rId65">
        <w:r>
          <w:rPr>
            <w:rStyle w:val="Hyperlink"/>
          </w:rPr>
          <w:t>[Micro-Type-Exp-Format]</w:t>
        </w:r>
      </w:hyperlink>
      <w:r>
        <w:t>) in parts of this type. Word does not read or write this content type.</w:t>
      </w:r>
    </w:p>
    <w:p w:rsidR="000A156F" w:rsidRDefault="00A9721F">
      <w:pPr>
        <w:pStyle w:val="Definition-Field"/>
      </w:pPr>
      <w:r>
        <w:t xml:space="preserve">c.   </w:t>
      </w:r>
      <w:r>
        <w:rPr>
          <w:i/>
        </w:rPr>
        <w:t>The standard specifies three possible values for the content typ</w:t>
      </w:r>
      <w:r>
        <w:rPr>
          <w:i/>
        </w:rPr>
        <w:t>e of this part, but specifies the format corresponding to only two of them.</w:t>
      </w:r>
    </w:p>
    <w:p w:rsidR="000A156F" w:rsidRDefault="00A9721F">
      <w:r>
        <w:t>Word 2010 reads obfuscated fonts using the content type application/vnd.openxmlformats-officedocument.obfuscatedFont. This content type specifies that the font shall be stored in a</w:t>
      </w:r>
      <w:r>
        <w:t xml:space="preserve"> format conforming to </w:t>
      </w:r>
      <w:hyperlink r:id="rId66">
        <w:r>
          <w:rPr>
            <w:rStyle w:val="Hyperlink"/>
          </w:rPr>
          <w:t>[ISO/IEC-14496-22]</w:t>
        </w:r>
      </w:hyperlink>
      <w:r>
        <w:t xml:space="preserve"> and shall be obfuscated using the algorithm specified by Font Embedding ("</w:t>
      </w:r>
      <w:hyperlink r:id="rId67">
        <w:r>
          <w:rPr>
            <w:rStyle w:val="Hyperlink"/>
          </w:rPr>
          <w:t>[ISO/IEC-</w:t>
        </w:r>
        <w:r>
          <w:rPr>
            <w:rStyle w:val="Hyperlink"/>
          </w:rPr>
          <w:t>29500-1]</w:t>
        </w:r>
      </w:hyperlink>
      <w:r>
        <w:t xml:space="preserve"> §17.8.1"). </w:t>
      </w:r>
    </w:p>
    <w:p w:rsidR="000A156F" w:rsidRDefault="00A9721F">
      <w:pPr>
        <w:pStyle w:val="Heading3"/>
      </w:pPr>
      <w:bookmarkStart w:id="86" w:name="section_bc8ed1a051414dbcbc98d7bb41712df8"/>
      <w:bookmarkStart w:id="87" w:name="_Toc181683069"/>
      <w:r>
        <w:t>Part 1 Section 15.2.14, Image Part</w:t>
      </w:r>
      <w:bookmarkEnd w:id="86"/>
      <w:bookmarkEnd w:id="87"/>
      <w:r>
        <w:fldChar w:fldCharType="begin"/>
      </w:r>
      <w:r>
        <w:instrText xml:space="preserve"> XE "Image Part" </w:instrText>
      </w:r>
      <w:r>
        <w:fldChar w:fldCharType="end"/>
      </w:r>
    </w:p>
    <w:p w:rsidR="000A156F" w:rsidRDefault="00A9721F">
      <w:pPr>
        <w:pStyle w:val="Definition-Field"/>
      </w:pPr>
      <w:r>
        <w:t xml:space="preserve">a.   </w:t>
      </w:r>
      <w:r>
        <w:rPr>
          <w:i/>
        </w:rPr>
        <w:t>The standard does not list a reference to the Enhanced Metafile Format Specification.</w:t>
      </w:r>
    </w:p>
    <w:p w:rsidR="000A156F" w:rsidRDefault="00A9721F">
      <w:pPr>
        <w:pStyle w:val="Definition-Field2"/>
      </w:pPr>
      <w:r>
        <w:t xml:space="preserve">Office also supports the image/emf image type </w:t>
      </w:r>
      <w:hyperlink r:id="rId68" w:anchor="Section_91c257d7c39d4a369b1f63e3f73d30ca">
        <w:r>
          <w:rPr>
            <w:rStyle w:val="Hyperlink"/>
          </w:rPr>
          <w:t>[MS-EMF]</w:t>
        </w:r>
      </w:hyperlink>
      <w:r>
        <w:t>.</w:t>
      </w:r>
    </w:p>
    <w:p w:rsidR="000A156F" w:rsidRDefault="00A9721F">
      <w:pPr>
        <w:pStyle w:val="Definition-Field"/>
      </w:pPr>
      <w:r>
        <w:t xml:space="preserve">b.   </w:t>
      </w:r>
      <w:r>
        <w:rPr>
          <w:i/>
        </w:rPr>
        <w:t>The standard does not list reference to the Enhanced Metafile Format Plus Extensions Specification.</w:t>
      </w:r>
    </w:p>
    <w:p w:rsidR="000A156F" w:rsidRDefault="00A9721F">
      <w:pPr>
        <w:pStyle w:val="Definition-Field2"/>
      </w:pPr>
      <w:r>
        <w:t xml:space="preserve">Office also supports the image/emf+ image type </w:t>
      </w:r>
      <w:hyperlink r:id="rId69" w:anchor="Section_5f92c78964f246b59ed415a9bb0946c6">
        <w:r>
          <w:rPr>
            <w:rStyle w:val="Hyperlink"/>
          </w:rPr>
          <w:t>[MS-EMFPLUS]</w:t>
        </w:r>
      </w:hyperlink>
      <w:r>
        <w:t>.</w:t>
      </w:r>
    </w:p>
    <w:p w:rsidR="000A156F" w:rsidRDefault="00A9721F">
      <w:pPr>
        <w:pStyle w:val="Definition-Field"/>
      </w:pPr>
      <w:r>
        <w:t xml:space="preserve">c.   </w:t>
      </w:r>
      <w:r>
        <w:rPr>
          <w:i/>
        </w:rPr>
        <w:t>The standard does not list a reference to the Windows Metafile Format Specification.</w:t>
      </w:r>
    </w:p>
    <w:p w:rsidR="000A156F" w:rsidRDefault="00A9721F">
      <w:pPr>
        <w:pStyle w:val="Definition-Field2"/>
      </w:pPr>
      <w:r>
        <w:t xml:space="preserve">Office also supports the image/wmf image type </w:t>
      </w:r>
      <w:hyperlink r:id="rId70" w:anchor="Section_4813e7fd52d04f42965f228c8b7488d2">
        <w:r>
          <w:rPr>
            <w:rStyle w:val="Hyperlink"/>
          </w:rPr>
          <w:t>[MS-WM</w:t>
        </w:r>
        <w:r>
          <w:rPr>
            <w:rStyle w:val="Hyperlink"/>
          </w:rPr>
          <w:t>F]</w:t>
        </w:r>
      </w:hyperlink>
      <w:r>
        <w:t>.</w:t>
      </w:r>
    </w:p>
    <w:p w:rsidR="000A156F" w:rsidRDefault="00A9721F">
      <w:pPr>
        <w:pStyle w:val="Heading3"/>
      </w:pPr>
      <w:bookmarkStart w:id="88" w:name="section_6eda3d446cdc430ebe6ebb2327e747ad"/>
      <w:bookmarkStart w:id="89" w:name="_Toc181683070"/>
      <w:r>
        <w:t>Part 1 Section 15.2.15, Printer Settings Part</w:t>
      </w:r>
      <w:bookmarkEnd w:id="88"/>
      <w:bookmarkEnd w:id="89"/>
      <w:r>
        <w:fldChar w:fldCharType="begin"/>
      </w:r>
      <w:r>
        <w:instrText xml:space="preserve"> XE "Printer Settings Part" </w:instrText>
      </w:r>
      <w:r>
        <w:fldChar w:fldCharType="end"/>
      </w:r>
    </w:p>
    <w:p w:rsidR="000A156F" w:rsidRDefault="00A9721F">
      <w:pPr>
        <w:pStyle w:val="Definition-Field"/>
      </w:pPr>
      <w:r>
        <w:t xml:space="preserve">a.   </w:t>
      </w:r>
      <w:r>
        <w:rPr>
          <w:i/>
        </w:rPr>
        <w:t>The standard provides the following reference to DEVMODE: http://msdn.microsoft.com/library/default.asp?url=/library/en-us/gdi/prntspol_8nle.asp.</w:t>
      </w:r>
    </w:p>
    <w:p w:rsidR="000A156F" w:rsidRDefault="00A9721F">
      <w:pPr>
        <w:pStyle w:val="Definition-Field2"/>
      </w:pPr>
      <w:r>
        <w:t xml:space="preserve">Office uses DEVMODE </w:t>
      </w:r>
      <w:hyperlink r:id="rId71">
        <w:r>
          <w:rPr>
            <w:rStyle w:val="Hyperlink"/>
          </w:rPr>
          <w:t>[DEVMODE]</w:t>
        </w:r>
      </w:hyperlink>
      <w:r>
        <w:t xml:space="preserve"> as specified by: http://msdn2.microsoft.com/en-us/library/ms535771.aspx.</w:t>
      </w:r>
    </w:p>
    <w:p w:rsidR="000A156F" w:rsidRDefault="00A9721F">
      <w:pPr>
        <w:pStyle w:val="Definition-Field"/>
      </w:pPr>
      <w:r>
        <w:t xml:space="preserve">b.   </w:t>
      </w:r>
      <w:r>
        <w:rPr>
          <w:i/>
        </w:rPr>
        <w:t>The standard does not specify the contents of the target attribute.</w:t>
      </w:r>
    </w:p>
    <w:p w:rsidR="000A156F" w:rsidRDefault="00A9721F">
      <w:pPr>
        <w:pStyle w:val="Definition-Field2"/>
      </w:pPr>
      <w:r>
        <w:t>Office writes the DEVMODE [DEVMODE] stru</w:t>
      </w:r>
      <w:r>
        <w:t>cture including printer driver specific data in machine byte order to the part specified in target attribute.</w:t>
      </w:r>
    </w:p>
    <w:p w:rsidR="000A156F" w:rsidRDefault="00A9721F">
      <w:pPr>
        <w:pStyle w:val="Heading3"/>
      </w:pPr>
      <w:bookmarkStart w:id="90" w:name="section_1e504bbc5f604aa1a4c0f8f3a925e6f7"/>
      <w:bookmarkStart w:id="91" w:name="_Toc181683071"/>
      <w:r>
        <w:t>Part 1 Section 17.2.1, background (Document Background)</w:t>
      </w:r>
      <w:bookmarkEnd w:id="90"/>
      <w:bookmarkEnd w:id="91"/>
      <w:r>
        <w:fldChar w:fldCharType="begin"/>
      </w:r>
      <w:r>
        <w:instrText xml:space="preserve"> XE "background (Document Background)" </w:instrText>
      </w:r>
      <w:r>
        <w:fldChar w:fldCharType="end"/>
      </w:r>
    </w:p>
    <w:p w:rsidR="000A156F" w:rsidRDefault="00A9721F">
      <w:pPr>
        <w:pStyle w:val="Definition-Field"/>
      </w:pPr>
      <w:r>
        <w:t xml:space="preserve">a.   </w:t>
      </w:r>
      <w:r>
        <w:rPr>
          <w:i/>
        </w:rPr>
        <w:t>The standard states that any element from th</w:t>
      </w:r>
      <w:r>
        <w:rPr>
          <w:i/>
        </w:rPr>
        <w:t>e VML namespace or the drawingML namespace is allowed as a child of the background element.</w:t>
      </w:r>
    </w:p>
    <w:p w:rsidR="000A156F" w:rsidRDefault="00A9721F">
      <w:pPr>
        <w:pStyle w:val="Definition-Field2"/>
      </w:pPr>
      <w:r>
        <w:t>Word renders any drawingML specified as a background at the beginning of the document and not as a background.</w:t>
      </w:r>
    </w:p>
    <w:p w:rsidR="000A156F" w:rsidRDefault="00A9721F">
      <w:pPr>
        <w:pStyle w:val="Definition-Field"/>
      </w:pPr>
      <w:r>
        <w:t xml:space="preserve">b.   </w:t>
      </w:r>
      <w:r>
        <w:rPr>
          <w:i/>
        </w:rPr>
        <w:t>The standard does not state which setting is app</w:t>
      </w:r>
      <w:r>
        <w:rPr>
          <w:i/>
        </w:rPr>
        <w:t>lied when both the themeShade and the themeTint attributes are present.</w:t>
      </w:r>
    </w:p>
    <w:p w:rsidR="000A156F" w:rsidRDefault="00A9721F">
      <w:pPr>
        <w:pStyle w:val="Definition-Field2"/>
      </w:pPr>
      <w:r>
        <w:t>Word applies the themeTint setting when both of these attributes are present.</w:t>
      </w:r>
    </w:p>
    <w:p w:rsidR="000A156F" w:rsidRDefault="00A9721F">
      <w:pPr>
        <w:pStyle w:val="Heading3"/>
      </w:pPr>
      <w:bookmarkStart w:id="92" w:name="section_8d43fabb714e4c4c9d9d854d046f1857"/>
      <w:bookmarkStart w:id="93" w:name="_Toc181683072"/>
      <w:r>
        <w:lastRenderedPageBreak/>
        <w:t>Part 1 Section 17.2.2, body (Document Body)</w:t>
      </w:r>
      <w:bookmarkEnd w:id="92"/>
      <w:bookmarkEnd w:id="93"/>
      <w:r>
        <w:fldChar w:fldCharType="begin"/>
      </w:r>
      <w:r>
        <w:instrText xml:space="preserve"> XE "body (Document Body)"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 xml:space="preserve">oMathPara, </w:t>
        </w:r>
        <w:r>
          <w:rPr>
            <w:rStyle w:val="Hyperlink"/>
          </w:rPr>
          <w:t>§22.1.2.78(c)</w:t>
        </w:r>
      </w:hyperlink>
      <w:r>
        <w:rPr>
          <w:i/>
        </w:rPr>
        <w:t>.</w:t>
      </w:r>
    </w:p>
    <w:p w:rsidR="000A156F" w:rsidRDefault="00A9721F">
      <w:pPr>
        <w:pStyle w:val="Heading3"/>
      </w:pPr>
      <w:bookmarkStart w:id="94" w:name="section_1a464df4e60c4d648582d2d29478a887"/>
      <w:bookmarkStart w:id="95" w:name="_Toc181683073"/>
      <w:r>
        <w:t>Part 1 Section 17.2.3, document (Document)</w:t>
      </w:r>
      <w:bookmarkEnd w:id="94"/>
      <w:bookmarkEnd w:id="95"/>
      <w:r>
        <w:fldChar w:fldCharType="begin"/>
      </w:r>
      <w:r>
        <w:instrText xml:space="preserve"> XE "document (Document)" </w:instrText>
      </w:r>
      <w:r>
        <w:fldChar w:fldCharType="end"/>
      </w:r>
    </w:p>
    <w:p w:rsidR="000A156F" w:rsidRDefault="00A9721F">
      <w:pPr>
        <w:pStyle w:val="Definition-Field"/>
      </w:pPr>
      <w:r>
        <w:t xml:space="preserve">a.   </w:t>
      </w:r>
      <w:r>
        <w:rPr>
          <w:i/>
        </w:rPr>
        <w:t>The standard specifies that the conformance attribute is a valid attribute of the document element.</w:t>
      </w:r>
    </w:p>
    <w:p w:rsidR="000A156F" w:rsidRDefault="00A9721F">
      <w:pPr>
        <w:pStyle w:val="Definition-Field2"/>
      </w:pPr>
      <w:r>
        <w:t>Word 2007 ignores the conformance attribute.  Word 2010 ignores t</w:t>
      </w:r>
      <w:r>
        <w:t>he conformance attribute unless the user has installed the OOXML Strict Converter for Office 2010.</w:t>
      </w:r>
    </w:p>
    <w:p w:rsidR="000A156F" w:rsidRDefault="00A9721F">
      <w:pPr>
        <w:pStyle w:val="Heading3"/>
      </w:pPr>
      <w:bookmarkStart w:id="96" w:name="section_c2a35f2312704ca699140fa440d56fdf"/>
      <w:bookmarkStart w:id="97" w:name="_Toc181683074"/>
      <w:r>
        <w:t>Part 1 Section 17.3.1.4, bar (Paragraph Border Between Facing Pages)</w:t>
      </w:r>
      <w:bookmarkEnd w:id="96"/>
      <w:bookmarkEnd w:id="97"/>
      <w:r>
        <w:fldChar w:fldCharType="begin"/>
      </w:r>
      <w:r>
        <w:instrText xml:space="preserve"> XE "bar (Paragraph Border Between Facing Pages)" </w:instrText>
      </w:r>
      <w:r>
        <w:fldChar w:fldCharType="end"/>
      </w:r>
    </w:p>
    <w:p w:rsidR="000A156F" w:rsidRDefault="00A9721F">
      <w:pPr>
        <w:pStyle w:val="Definition-Field2"/>
      </w:pPr>
      <w:r>
        <w:rPr>
          <w:i/>
        </w:rPr>
        <w:t>For additional notes that apply to t</w:t>
      </w:r>
      <w:r>
        <w:rPr>
          <w:i/>
        </w:rPr>
        <w:t xml:space="preserve">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 xml:space="preserve">The standard does not state a </w:t>
      </w:r>
      <w:r>
        <w:rPr>
          <w:i/>
        </w:rPr>
        <w:t>default value for the color attribute.</w:t>
      </w:r>
    </w:p>
    <w:p w:rsidR="000A156F" w:rsidRDefault="00A9721F">
      <w:pPr>
        <w:pStyle w:val="Definition-Field2"/>
      </w:pPr>
      <w:r>
        <w:t>Word uses a default value of auto for this attribute.</w:t>
      </w:r>
    </w:p>
    <w:p w:rsidR="000A156F" w:rsidRDefault="00A9721F">
      <w:pPr>
        <w:pStyle w:val="Definition-Field"/>
      </w:pPr>
      <w:r>
        <w:t xml:space="preserve">b.   </w:t>
      </w:r>
      <w:r>
        <w:rPr>
          <w:i/>
        </w:rPr>
        <w:t>The standard does not specify a default value for the sz attribute.</w:t>
      </w:r>
    </w:p>
    <w:p w:rsidR="000A156F" w:rsidRDefault="00A9721F">
      <w:pPr>
        <w:pStyle w:val="Definition-Field2"/>
      </w:pPr>
      <w:r>
        <w:t>Word uses a default value of 0 for this attribute.</w:t>
      </w:r>
    </w:p>
    <w:p w:rsidR="000A156F" w:rsidRDefault="00A9721F">
      <w:pPr>
        <w:pStyle w:val="Definition-Field"/>
      </w:pPr>
      <w:r>
        <w:t xml:space="preserve">c.   </w:t>
      </w:r>
      <w:r>
        <w:rPr>
          <w:i/>
        </w:rPr>
        <w:t>The standard does not specify a de</w:t>
      </w:r>
      <w:r>
        <w:rPr>
          <w:i/>
        </w:rPr>
        <w:t>fault value for the space attribute.</w:t>
      </w:r>
    </w:p>
    <w:p w:rsidR="000A156F" w:rsidRDefault="00A9721F">
      <w:pPr>
        <w:pStyle w:val="Definition-Field2"/>
      </w:pPr>
      <w:r>
        <w:t>Word uses a default value of 0 for this attribute.</w:t>
      </w:r>
    </w:p>
    <w:p w:rsidR="000A156F" w:rsidRDefault="00A9721F">
      <w:pPr>
        <w:pStyle w:val="Heading3"/>
      </w:pPr>
      <w:bookmarkStart w:id="98" w:name="section_d8f1b25b44f64d97a3de49aae9bc6e25"/>
      <w:bookmarkStart w:id="99" w:name="_Toc181683075"/>
      <w:r>
        <w:t>Part 1 Section 17.3.1.5, between (Paragraph Border Between Identical Paragraphs)</w:t>
      </w:r>
      <w:bookmarkEnd w:id="98"/>
      <w:bookmarkEnd w:id="99"/>
      <w:r>
        <w:fldChar w:fldCharType="begin"/>
      </w:r>
      <w:r>
        <w:instrText xml:space="preserve"> XE "between (Paragraph Border Between Identical Paragraphs)" </w:instrText>
      </w:r>
      <w:r>
        <w:fldChar w:fldCharType="end"/>
      </w:r>
    </w:p>
    <w:p w:rsidR="000A156F" w:rsidRDefault="00A9721F">
      <w:pPr>
        <w:pStyle w:val="Definition-Field2"/>
      </w:pPr>
      <w:r>
        <w:rPr>
          <w:i/>
        </w:rPr>
        <w:t>For additional notes th</w:t>
      </w:r>
      <w:r>
        <w:rPr>
          <w:i/>
        </w:rPr>
        <w:t xml:space="preserve">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100" w:name="section_51e18657b7924721833351f4e3aba8bf"/>
      <w:bookmarkStart w:id="101" w:name="_Toc181683076"/>
      <w:r>
        <w:t>Part 1 Section 17.3.1.7, bottom (Paragraph Border Below Identical Paragraphs)</w:t>
      </w:r>
      <w:bookmarkEnd w:id="100"/>
      <w:bookmarkEnd w:id="101"/>
      <w:r>
        <w:fldChar w:fldCharType="begin"/>
      </w:r>
      <w:r>
        <w:instrText xml:space="preserve"> XE "bottom (Paragraph Border Below Identical Paragraphs)" </w:instrText>
      </w:r>
      <w:r>
        <w:fldChar w:fldCharType="end"/>
      </w:r>
    </w:p>
    <w:p w:rsidR="000A156F" w:rsidRDefault="00A9721F">
      <w:pPr>
        <w:pStyle w:val="Definition-Field2"/>
      </w:pPr>
      <w:r>
        <w:rPr>
          <w:i/>
        </w:rPr>
        <w:t xml:space="preserve">For additional notes that apply to this portion of the </w:t>
      </w:r>
      <w:r>
        <w:rPr>
          <w:i/>
        </w:rPr>
        <w:t xml:space="preserve">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102" w:name="section_2a155d8805864ebead3f635ec13a691b"/>
      <w:bookmarkStart w:id="103" w:name="_Toc181683077"/>
      <w:r>
        <w:t>Part 1 Section 17.3.1.8, cnfStyle (Paragraph Conditional Formatting)</w:t>
      </w:r>
      <w:bookmarkEnd w:id="102"/>
      <w:bookmarkEnd w:id="103"/>
      <w:r>
        <w:fldChar w:fldCharType="begin"/>
      </w:r>
      <w:r>
        <w:instrText xml:space="preserve"> XE "cnfStyle (Paragraph Conditional Formatting)"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A156F" w:rsidRDefault="00A9721F">
      <w:pPr>
        <w:pStyle w:val="Definition-Field"/>
      </w:pPr>
      <w:r>
        <w:t xml:space="preserve">a.   </w:t>
      </w:r>
      <w:r>
        <w:rPr>
          <w:i/>
        </w:rPr>
        <w:t>The standard specifies a set of attributes on this element.</w:t>
      </w:r>
    </w:p>
    <w:p w:rsidR="000A156F" w:rsidRDefault="00A9721F">
      <w:pPr>
        <w:pStyle w:val="Definition-Field2"/>
      </w:pPr>
      <w:r>
        <w:t>Word reads the val attribute as specified in "</w:t>
      </w:r>
      <w:hyperlink r:id="rId72">
        <w:r>
          <w:rPr>
            <w:rStyle w:val="Hyperlink"/>
          </w:rPr>
          <w:t>[ISO/IEC-29500-4]</w:t>
        </w:r>
      </w:hyperlink>
      <w:r>
        <w:t xml:space="preserve"> §14.3.1.1; Additional attribute for cnfStyle element (Part 1, §17.3.1.8)" if none of the attributes specified in this subsection are present.</w:t>
      </w:r>
    </w:p>
    <w:p w:rsidR="000A156F" w:rsidRDefault="00A9721F">
      <w:pPr>
        <w:pStyle w:val="Heading3"/>
      </w:pPr>
      <w:bookmarkStart w:id="104" w:name="section_5ff84bc9d5b747c7bcd53bebf540efb0"/>
      <w:bookmarkStart w:id="105" w:name="_Toc181683078"/>
      <w:r>
        <w:t>Part 1 Section 17.3.1.10, divId (Associated HTML div ID)</w:t>
      </w:r>
      <w:bookmarkEnd w:id="104"/>
      <w:bookmarkEnd w:id="105"/>
      <w:r>
        <w:fldChar w:fldCharType="begin"/>
      </w:r>
      <w:r>
        <w:instrText xml:space="preserve"> XE "divId (Associated HTML div ID)"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A156F" w:rsidRDefault="00A9721F">
      <w:pPr>
        <w:pStyle w:val="Definition-Field"/>
      </w:pPr>
      <w:r>
        <w:lastRenderedPageBreak/>
        <w:t xml:space="preserve">a.   </w:t>
      </w:r>
      <w:r>
        <w:rPr>
          <w:i/>
        </w:rPr>
        <w:t>The stan</w:t>
      </w:r>
      <w:r>
        <w:rPr>
          <w:i/>
        </w:rPr>
        <w:t>dard states that the values of the val attribute are defined by the XML Schema integer datatype.</w:t>
      </w:r>
    </w:p>
    <w:p w:rsidR="000A156F" w:rsidRDefault="00A9721F">
      <w:pPr>
        <w:pStyle w:val="Definition-Field2"/>
      </w:pPr>
      <w:r>
        <w:t>Word does not allow a value of 0 on this attribute.</w:t>
      </w:r>
    </w:p>
    <w:p w:rsidR="000A156F" w:rsidRDefault="00A9721F">
      <w:pPr>
        <w:pStyle w:val="Heading3"/>
      </w:pPr>
      <w:bookmarkStart w:id="106" w:name="section_cc9a5828bc534a188b66416b4509f4b9"/>
      <w:bookmarkStart w:id="107" w:name="_Toc181683079"/>
      <w:r>
        <w:t>Part 1 Section 17.3.1.11, framePr (Text Frame Properties)</w:t>
      </w:r>
      <w:bookmarkEnd w:id="106"/>
      <w:bookmarkEnd w:id="107"/>
      <w:r>
        <w:fldChar w:fldCharType="begin"/>
      </w:r>
      <w:r>
        <w:instrText xml:space="preserve"> XE "framePr (Text Frame Properties)" </w:instrText>
      </w:r>
      <w:r>
        <w:fldChar w:fldCharType="end"/>
      </w:r>
    </w:p>
    <w:p w:rsidR="000A156F" w:rsidRDefault="00A9721F">
      <w:pPr>
        <w:pStyle w:val="Definition-Field"/>
      </w:pPr>
      <w:r>
        <w:t xml:space="preserve">a.   </w:t>
      </w:r>
      <w:r>
        <w:rPr>
          <w:i/>
        </w:rPr>
        <w:t xml:space="preserve">The </w:t>
      </w:r>
      <w:r>
        <w:rPr>
          <w:i/>
        </w:rPr>
        <w:t>standard states that the lines attribute can be any 32-bit integer.</w:t>
      </w:r>
    </w:p>
    <w:p w:rsidR="000A156F" w:rsidRDefault="00A9721F">
      <w:pPr>
        <w:pStyle w:val="Definition-Field2"/>
      </w:pPr>
      <w:r>
        <w:t>Word restricts this attributes to values between 1 and 10.</w:t>
      </w:r>
    </w:p>
    <w:p w:rsidR="000A156F" w:rsidRDefault="00A9721F">
      <w:pPr>
        <w:pStyle w:val="Definition-Field"/>
      </w:pPr>
      <w:r>
        <w:t xml:space="preserve">b.   </w:t>
      </w:r>
      <w:r>
        <w:rPr>
          <w:i/>
        </w:rPr>
        <w:t>The standard states that the values of the h attribute are defined by the ST_TwipsMeasure simple type.</w:t>
      </w:r>
    </w:p>
    <w:p w:rsidR="000A156F" w:rsidRDefault="00A9721F">
      <w:pPr>
        <w:pStyle w:val="Definition-Field2"/>
      </w:pPr>
      <w:r>
        <w:t xml:space="preserve">Word restricts the </w:t>
      </w:r>
      <w:r>
        <w:t>value of this attribute to be at least 1 and at most 31680.</w:t>
      </w:r>
    </w:p>
    <w:p w:rsidR="000A156F" w:rsidRDefault="00A9721F">
      <w:pPr>
        <w:pStyle w:val="Definition-Field"/>
      </w:pPr>
      <w:r>
        <w:t xml:space="preserve">c.   </w:t>
      </w:r>
      <w:r>
        <w:rPr>
          <w:i/>
        </w:rPr>
        <w:t>The standard states that the hAnchor attribute is evaluated relative to paragraph direction (LTR versus RTL).</w:t>
      </w:r>
    </w:p>
    <w:p w:rsidR="000A156F" w:rsidRDefault="00A9721F">
      <w:pPr>
        <w:pStyle w:val="Definition-Field2"/>
      </w:pPr>
      <w:r>
        <w:t>Word always evaluates the hAnchor attribute relative to the left edge.</w:t>
      </w:r>
    </w:p>
    <w:p w:rsidR="000A156F" w:rsidRDefault="00A9721F">
      <w:pPr>
        <w:pStyle w:val="Definition-Field"/>
      </w:pPr>
      <w:r>
        <w:t xml:space="preserve">d.   </w:t>
      </w:r>
      <w:r>
        <w:rPr>
          <w:i/>
        </w:rPr>
        <w:t>The s</w:t>
      </w:r>
      <w:r>
        <w:rPr>
          <w:i/>
        </w:rPr>
        <w:t>tandard states that 0 is a valid value of the h attribute.</w:t>
      </w:r>
    </w:p>
    <w:p w:rsidR="000A156F" w:rsidRDefault="00A9721F">
      <w:pPr>
        <w:pStyle w:val="Definition-Field2"/>
      </w:pPr>
      <w:r>
        <w:t>Word treats a value of 0 on this attribute as a value of auto.</w:t>
      </w:r>
    </w:p>
    <w:p w:rsidR="000A156F" w:rsidRDefault="00A9721F">
      <w:pPr>
        <w:pStyle w:val="Definition-Field"/>
      </w:pPr>
      <w:r>
        <w:t xml:space="preserve">e.   </w:t>
      </w:r>
      <w:r>
        <w:rPr>
          <w:i/>
        </w:rPr>
        <w:t>The standard states that the default value of the hAnchor attribute is page.</w:t>
      </w:r>
    </w:p>
    <w:p w:rsidR="000A156F" w:rsidRDefault="00A9721F">
      <w:pPr>
        <w:pStyle w:val="Definition-Field2"/>
      </w:pPr>
      <w:r>
        <w:t>Word uses a default value of text for the hAnchor at</w:t>
      </w:r>
      <w:r>
        <w:t>tribute.</w:t>
      </w:r>
    </w:p>
    <w:p w:rsidR="000A156F" w:rsidRDefault="00A9721F">
      <w:pPr>
        <w:pStyle w:val="Definition-Field"/>
      </w:pPr>
      <w:r>
        <w:t xml:space="preserve">f.   </w:t>
      </w:r>
      <w:r>
        <w:rPr>
          <w:i/>
        </w:rPr>
        <w:t>The standard states that the default value of the hRule attribute is auto.</w:t>
      </w:r>
    </w:p>
    <w:p w:rsidR="000A156F" w:rsidRDefault="00A9721F">
      <w:pPr>
        <w:pStyle w:val="Definition-Field2"/>
      </w:pPr>
      <w:r>
        <w:t>Word uses a default value of atLeast for this attribute when the value of the h attribute is not 0.</w:t>
      </w:r>
    </w:p>
    <w:p w:rsidR="000A156F" w:rsidRDefault="00A9721F">
      <w:pPr>
        <w:pStyle w:val="Definition-Field"/>
      </w:pPr>
      <w:r>
        <w:t xml:space="preserve">g.   </w:t>
      </w:r>
      <w:r>
        <w:rPr>
          <w:i/>
        </w:rPr>
        <w:t>The standard states that the default value for the vAnchor att</w:t>
      </w:r>
      <w:r>
        <w:rPr>
          <w:i/>
        </w:rPr>
        <w:t>ribute is page.</w:t>
      </w:r>
    </w:p>
    <w:p w:rsidR="000A156F" w:rsidRDefault="00A9721F">
      <w:pPr>
        <w:pStyle w:val="Definition-Field2"/>
      </w:pPr>
      <w:r>
        <w:t>Word uses a default value of text for this attribute.</w:t>
      </w:r>
    </w:p>
    <w:p w:rsidR="000A156F" w:rsidRDefault="00A9721F">
      <w:pPr>
        <w:pStyle w:val="Heading3"/>
      </w:pPr>
      <w:bookmarkStart w:id="108" w:name="section_138732dc507a4164af66808c2fd9f2f9"/>
      <w:bookmarkStart w:id="109" w:name="_Toc181683080"/>
      <w:r>
        <w:t>Part 1 Section 17.3.1.12, ind (Paragraph Indentation)</w:t>
      </w:r>
      <w:bookmarkEnd w:id="108"/>
      <w:bookmarkEnd w:id="109"/>
      <w:r>
        <w:fldChar w:fldCharType="begin"/>
      </w:r>
      <w:r>
        <w:instrText xml:space="preserve"> XE "ind (Paragraph Indentation)" </w:instrText>
      </w:r>
      <w:r>
        <w:fldChar w:fldCharType="end"/>
      </w:r>
    </w:p>
    <w:p w:rsidR="000A156F" w:rsidRDefault="00A9721F">
      <w:pPr>
        <w:pStyle w:val="Definition-Field"/>
      </w:pPr>
      <w:r>
        <w:t xml:space="preserve">a.   </w:t>
      </w:r>
      <w:r>
        <w:rPr>
          <w:i/>
        </w:rPr>
        <w:t xml:space="preserve">The standard states that character unit indent attributes (endChars, firstLineChars, </w:t>
      </w:r>
      <w:r>
        <w:rPr>
          <w:i/>
        </w:rPr>
        <w:t>hangingChars and startChars) specify indents in character units, which will be applied to the paragraph in the order specified by the Style Hierarchy.</w:t>
      </w:r>
    </w:p>
    <w:p w:rsidR="000A156F" w:rsidRDefault="00A9721F">
      <w:pPr>
        <w:pStyle w:val="Definition-Field2"/>
      </w:pPr>
      <w:r>
        <w:t>During Style Hierarchy application, Word ignores character unit indents with a value of zero along with r</w:t>
      </w:r>
      <w:r>
        <w:t>elated character unit indents that are applied earlier in the Style Hierarchy order.</w:t>
      </w:r>
    </w:p>
    <w:p w:rsidR="000A156F" w:rsidRDefault="00A9721F">
      <w:pPr>
        <w:pStyle w:val="Definition-Field"/>
      </w:pPr>
      <w:r>
        <w:t xml:space="preserve">b.   </w:t>
      </w:r>
      <w:r>
        <w:rPr>
          <w:i/>
        </w:rPr>
        <w:t>The standard states that character unit indent attributes, endChars, firstLineChars, hangingChars and startChars, specify indents in character units, which will be ap</w:t>
      </w:r>
      <w:r>
        <w:rPr>
          <w:i/>
        </w:rPr>
        <w:t>plied to the paragraph in the order specified by the Style Hierarchy.</w:t>
      </w:r>
    </w:p>
    <w:p w:rsidR="000A156F" w:rsidRDefault="00A9721F">
      <w:pPr>
        <w:pStyle w:val="Definition-Field2"/>
      </w:pPr>
      <w:r>
        <w:t>During Style Hierarchy application, Word overrides non-character unit indents with related non-zero character unit indents that are applied earlier in the Style Hierarchy order.</w:t>
      </w:r>
    </w:p>
    <w:p w:rsidR="000A156F" w:rsidRDefault="00A9721F">
      <w:pPr>
        <w:pStyle w:val="Heading3"/>
      </w:pPr>
      <w:bookmarkStart w:id="110" w:name="section_7e29304230364d9baaaa1cc714554db0"/>
      <w:bookmarkStart w:id="111" w:name="_Toc181683081"/>
      <w:r>
        <w:t>Part 1 S</w:t>
      </w:r>
      <w:r>
        <w:t>ection 17.3.1.13, jc (Paragraph Alignment)</w:t>
      </w:r>
      <w:bookmarkEnd w:id="110"/>
      <w:bookmarkEnd w:id="111"/>
      <w:r>
        <w:fldChar w:fldCharType="begin"/>
      </w:r>
      <w:r>
        <w:instrText xml:space="preserve"> XE "jc (Paragraph Alignment)" </w:instrText>
      </w:r>
      <w:r>
        <w:fldChar w:fldCharType="end"/>
      </w:r>
    </w:p>
    <w:p w:rsidR="000A156F" w:rsidRDefault="00A9721F">
      <w:pPr>
        <w:pStyle w:val="Definition-Field"/>
      </w:pPr>
      <w:r>
        <w:t xml:space="preserve">a.   </w:t>
      </w:r>
      <w:r>
        <w:rPr>
          <w:i/>
        </w:rPr>
        <w:t>The standard states that no alignment is applied to the paragraph when the paragraph alignment setting is never specified in the style hierarchy.</w:t>
      </w:r>
    </w:p>
    <w:p w:rsidR="000A156F" w:rsidRDefault="00A9721F">
      <w:pPr>
        <w:pStyle w:val="Definition-Field2"/>
      </w:pPr>
      <w:r>
        <w:t>Word applies a left alignment</w:t>
      </w:r>
      <w:r>
        <w:t xml:space="preserve"> to the paragraph under this circumstance.</w:t>
      </w:r>
    </w:p>
    <w:p w:rsidR="000A156F" w:rsidRDefault="00A9721F">
      <w:pPr>
        <w:pStyle w:val="Heading3"/>
      </w:pPr>
      <w:bookmarkStart w:id="112" w:name="section_6229412bf0c64019aabd260ee2f4145f"/>
      <w:bookmarkStart w:id="113" w:name="_Toc181683082"/>
      <w:r>
        <w:lastRenderedPageBreak/>
        <w:t>Part 1 Section 17.3.1.14, keepLines (Keep All Lines On One Page)</w:t>
      </w:r>
      <w:bookmarkEnd w:id="112"/>
      <w:bookmarkEnd w:id="113"/>
      <w:r>
        <w:fldChar w:fldCharType="begin"/>
      </w:r>
      <w:r>
        <w:instrText xml:space="preserve"> XE "keepLines (Keep All Lines On One Page)" </w:instrText>
      </w:r>
      <w:r>
        <w:fldChar w:fldCharType="end"/>
      </w:r>
    </w:p>
    <w:p w:rsidR="000A156F" w:rsidRDefault="00A9721F">
      <w:pPr>
        <w:pStyle w:val="Definition-Field"/>
      </w:pPr>
      <w:r>
        <w:t xml:space="preserve">a.   </w:t>
      </w:r>
      <w:r>
        <w:rPr>
          <w:i/>
        </w:rPr>
        <w:t>The standard states that the property can be applied to paragraphs anywhere in a document.</w:t>
      </w:r>
    </w:p>
    <w:p w:rsidR="000A156F" w:rsidRDefault="00A9721F">
      <w:pPr>
        <w:pStyle w:val="Definition-Field2"/>
      </w:pPr>
      <w:r>
        <w:t xml:space="preserve">Word </w:t>
      </w:r>
      <w:r>
        <w:t>does not keep lines together when rendering paragraphs inside a table.</w:t>
      </w:r>
    </w:p>
    <w:p w:rsidR="000A156F" w:rsidRDefault="00A9721F">
      <w:pPr>
        <w:pStyle w:val="Heading3"/>
      </w:pPr>
      <w:bookmarkStart w:id="114" w:name="section_84486937c3e44d37867268892080944d"/>
      <w:bookmarkStart w:id="115" w:name="_Toc181683083"/>
      <w:r>
        <w:t>Part 1 Section 17.3.1.16, kinsoku (Use East Asian Typography Rules for First and Last Character per Line)</w:t>
      </w:r>
      <w:bookmarkEnd w:id="114"/>
      <w:bookmarkEnd w:id="115"/>
      <w:r>
        <w:fldChar w:fldCharType="begin"/>
      </w:r>
      <w:r>
        <w:instrText xml:space="preserve"> XE "kinsoku (Use East Asian Typography Rules for First and Last Character per L</w:instrText>
      </w:r>
      <w:r>
        <w:instrText xml:space="preserve">ine)" </w:instrText>
      </w:r>
      <w:r>
        <w:fldChar w:fldCharType="end"/>
      </w:r>
    </w:p>
    <w:p w:rsidR="000A156F" w:rsidRDefault="00A9721F">
      <w:pPr>
        <w:pStyle w:val="Definition-Field"/>
      </w:pPr>
      <w:r>
        <w:t xml:space="preserve">a.   </w:t>
      </w:r>
      <w:r>
        <w:rPr>
          <w:i/>
        </w:rPr>
        <w:t>The standard states that the East Asian typography and line-breaking rules only apply to Simplified Chinese, Traditional Chinese, and Japanese text in the paragraph.</w:t>
      </w:r>
    </w:p>
    <w:p w:rsidR="000A156F" w:rsidRDefault="00A9721F">
      <w:pPr>
        <w:pStyle w:val="Definition-Field2"/>
      </w:pPr>
      <w:r>
        <w:t>Word only applies these rules to Simplified Chinese, Traditional Chinese, Ko</w:t>
      </w:r>
      <w:r>
        <w:t>rean, and Japanese text in the paragraph.</w:t>
      </w:r>
    </w:p>
    <w:p w:rsidR="000A156F" w:rsidRDefault="00A9721F">
      <w:pPr>
        <w:pStyle w:val="Definition-Field"/>
      </w:pPr>
      <w:r>
        <w:t xml:space="preserve">b.   </w:t>
      </w:r>
      <w:r>
        <w:rPr>
          <w:i/>
        </w:rPr>
        <w:t>The standard does not state how to resolve a conflict between this setting and the overflowPunct element when their rules conflict.</w:t>
      </w:r>
    </w:p>
    <w:p w:rsidR="000A156F" w:rsidRDefault="00A9721F">
      <w:pPr>
        <w:pStyle w:val="Definition-Field2"/>
      </w:pPr>
      <w:r>
        <w:t>Word allows the rules specified by the overflowPunct element to override this</w:t>
      </w:r>
      <w:r>
        <w:t xml:space="preserve"> element when they are both true and affect the same character.</w:t>
      </w:r>
    </w:p>
    <w:p w:rsidR="000A156F" w:rsidRDefault="00A9721F">
      <w:pPr>
        <w:pStyle w:val="Heading3"/>
      </w:pPr>
      <w:bookmarkStart w:id="116" w:name="section_357112b6a39c472a92df956d518d4aa8"/>
      <w:bookmarkStart w:id="117" w:name="_Toc181683084"/>
      <w:r>
        <w:t>Part 1 Section 17.3.1.17, left (Left Paragraph Border)</w:t>
      </w:r>
      <w:bookmarkEnd w:id="116"/>
      <w:bookmarkEnd w:id="117"/>
      <w:r>
        <w:fldChar w:fldCharType="begin"/>
      </w:r>
      <w:r>
        <w:instrText xml:space="preserve"> XE "left (Left Paragraph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118" w:name="section_7d70ca688cbe48b7b3c34e19a9a7ee5a"/>
      <w:bookmarkStart w:id="119" w:name="_Toc181683085"/>
      <w:r>
        <w:t xml:space="preserve">Part 1 </w:t>
      </w:r>
      <w:r>
        <w:t>Section 17.3.1.18,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0A156F" w:rsidRDefault="00A9721F">
      <w:pPr>
        <w:pStyle w:val="Definition-Field"/>
      </w:pPr>
      <w:r>
        <w:t xml:space="preserve">a.   </w:t>
      </w:r>
      <w:r>
        <w:rPr>
          <w:i/>
        </w:rPr>
        <w:t>The standard does not describe the interaction between a hanging indent and this element.</w:t>
      </w:r>
    </w:p>
    <w:p w:rsidR="000A156F" w:rsidRDefault="00A9721F">
      <w:pPr>
        <w:pStyle w:val="Definition-Field2"/>
      </w:pPr>
      <w:r>
        <w:t>Word</w:t>
      </w:r>
      <w:r>
        <w:t xml:space="preserve"> incorrectly aligns the hanging indent to the left margin for odd-numbered pages when a hanging indent is used with this element.</w:t>
      </w:r>
    </w:p>
    <w:p w:rsidR="000A156F" w:rsidRDefault="00A9721F">
      <w:pPr>
        <w:pStyle w:val="Definition-Field"/>
      </w:pPr>
      <w:r>
        <w:t xml:space="preserve">b.   </w:t>
      </w:r>
      <w:r>
        <w:rPr>
          <w:i/>
        </w:rPr>
        <w:t>The standard states that this setting can be applied to any set of paragraph properties.</w:t>
      </w:r>
    </w:p>
    <w:p w:rsidR="000A156F" w:rsidRDefault="00A9721F">
      <w:pPr>
        <w:pStyle w:val="Definition-Field2"/>
      </w:pPr>
      <w:r>
        <w:t>Word ignores this setting when d</w:t>
      </w:r>
      <w:r>
        <w:t>isplaying paragraphs inside a table.</w:t>
      </w:r>
    </w:p>
    <w:p w:rsidR="000A156F" w:rsidRDefault="00A9721F">
      <w:pPr>
        <w:pStyle w:val="Heading3"/>
      </w:pPr>
      <w:bookmarkStart w:id="120" w:name="section_6a8f14ffdf9041549bc9e0e88ae5e641"/>
      <w:bookmarkStart w:id="121" w:name="_Toc181683086"/>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0A156F" w:rsidRDefault="00A9721F">
      <w:pPr>
        <w:pStyle w:val="Definition-Field"/>
      </w:pPr>
      <w:r>
        <w:t xml:space="preserve">a.   </w:t>
      </w:r>
      <w:r>
        <w:rPr>
          <w:i/>
        </w:rPr>
        <w:t>The standard states that when this element appears as part of the paragraph formatti</w:t>
      </w:r>
      <w:r>
        <w:rPr>
          <w:i/>
        </w:rPr>
        <w:t>ng for a paragraph style, then any numbering level defined using the ilvl element shall be ignored.</w:t>
      </w:r>
    </w:p>
    <w:p w:rsidR="000A156F" w:rsidRDefault="00A9721F">
      <w:pPr>
        <w:pStyle w:val="Definition-Field2"/>
      </w:pPr>
      <w:r>
        <w:t>Word does not ignore this element within a paragraph style definition, and will exhibit unpredictable behavior when it is present.</w:t>
      </w:r>
    </w:p>
    <w:p w:rsidR="000A156F" w:rsidRDefault="00A9721F">
      <w:pPr>
        <w:pStyle w:val="Heading3"/>
      </w:pPr>
      <w:bookmarkStart w:id="122" w:name="section_d102191b957b471ab0627af071ec8e52"/>
      <w:bookmarkStart w:id="123" w:name="_Toc181683087"/>
      <w:r>
        <w:t>Part 1 Section 17.3.1.20,</w:t>
      </w:r>
      <w:r>
        <w:t xml:space="preserve"> outlineLvl (Associated Outline Level)</w:t>
      </w:r>
      <w:bookmarkEnd w:id="122"/>
      <w:bookmarkEnd w:id="123"/>
      <w:r>
        <w:fldChar w:fldCharType="begin"/>
      </w:r>
      <w:r>
        <w:instrText xml:space="preserve"> XE "outlineLvl (Associated Outline Level)" </w:instrText>
      </w:r>
      <w:r>
        <w:fldChar w:fldCharType="end"/>
      </w:r>
    </w:p>
    <w:p w:rsidR="000A156F" w:rsidRDefault="00A9721F">
      <w:pPr>
        <w:pStyle w:val="Definition-Field"/>
      </w:pPr>
      <w:r>
        <w:t xml:space="preserve">a.   </w:t>
      </w:r>
      <w:r>
        <w:rPr>
          <w:i/>
        </w:rPr>
        <w:t>The standard does not explicitly specify conditions under which this element can be ignored.</w:t>
      </w:r>
    </w:p>
    <w:p w:rsidR="000A156F" w:rsidRDefault="00A9721F">
      <w:pPr>
        <w:pStyle w:val="Definition-Field2"/>
      </w:pPr>
      <w:r>
        <w:t>Word ignores this element when the associated paragraph style has a style</w:t>
      </w:r>
      <w:r>
        <w:t xml:space="preserve"> ID of Heading1 through Heading9, instead setting it to a corresponding value between 1 and 9.</w:t>
      </w:r>
    </w:p>
    <w:p w:rsidR="000A156F" w:rsidRDefault="00A9721F">
      <w:pPr>
        <w:pStyle w:val="Heading3"/>
      </w:pPr>
      <w:bookmarkStart w:id="124" w:name="section_879a1ee25d6c41818fd57b4b1b55949f"/>
      <w:bookmarkStart w:id="125" w:name="_Toc181683088"/>
      <w:r>
        <w:lastRenderedPageBreak/>
        <w:t>Part 1 Section 17.3.1.21, overflowPunct (Allow Punctuation to Extend Past Text Extents)</w:t>
      </w:r>
      <w:bookmarkEnd w:id="124"/>
      <w:bookmarkEnd w:id="125"/>
      <w:r>
        <w:fldChar w:fldCharType="begin"/>
      </w:r>
      <w:r>
        <w:instrText xml:space="preserve"> XE "overflowPunct (Allow Punctuation to Extend Past Text Extents)" </w:instrText>
      </w:r>
      <w:r>
        <w:fldChar w:fldCharType="end"/>
      </w:r>
    </w:p>
    <w:p w:rsidR="000A156F" w:rsidRDefault="00A9721F">
      <w:pPr>
        <w:pStyle w:val="Definition-Field"/>
      </w:pPr>
      <w:r>
        <w:t xml:space="preserve">a.   </w:t>
      </w:r>
      <w:r>
        <w:rPr>
          <w:i/>
        </w:rPr>
        <w:t>The standard states that this setting applies to punctuation characters, but does not specify which characters are punctuation characters.</w:t>
      </w:r>
    </w:p>
    <w:p w:rsidR="000A156F" w:rsidRDefault="00A9721F">
      <w:r>
        <w:t>Word only applies this setting to the following characters:</w:t>
      </w:r>
    </w:p>
    <w:p w:rsidR="000A156F" w:rsidRDefault="00A9721F">
      <w:r>
        <w:t>If the parent run is Chinese (Simplified):</w:t>
      </w:r>
    </w:p>
    <w:p w:rsidR="000A156F" w:rsidRDefault="00A9721F">
      <w:pPr>
        <w:pStyle w:val="ListParagraph"/>
        <w:numPr>
          <w:ilvl w:val="0"/>
          <w:numId w:val="47"/>
        </w:numPr>
      </w:pPr>
      <w:r>
        <w:t>!%),.:;&gt;?</w:t>
      </w:r>
      <w:r>
        <w:t>]}¢°·ˇ’”‰′″℃∶、。〃〉》」』】〕〗〞﹚﹜﹞！＂％＇），．：；？］｝￠</w:t>
      </w:r>
    </w:p>
    <w:p w:rsidR="000A156F" w:rsidRDefault="00A9721F">
      <w:r>
        <w:t>If the parent run is Chinese (Traditional):</w:t>
      </w:r>
    </w:p>
    <w:p w:rsidR="000A156F" w:rsidRDefault="00A9721F">
      <w:pPr>
        <w:pStyle w:val="ListParagraph"/>
        <w:numPr>
          <w:ilvl w:val="0"/>
          <w:numId w:val="48"/>
        </w:numPr>
      </w:pPr>
      <w:r>
        <w:t>!),.:;?]}’”′、。〉》」』】〕〞﹚﹜﹞！），．：；？］｝</w:t>
      </w:r>
    </w:p>
    <w:p w:rsidR="000A156F" w:rsidRDefault="00A9721F">
      <w:r>
        <w:t>If the parent run is Japanese:</w:t>
      </w:r>
    </w:p>
    <w:p w:rsidR="000A156F" w:rsidRDefault="00A9721F">
      <w:pPr>
        <w:pStyle w:val="ListParagraph"/>
        <w:numPr>
          <w:ilvl w:val="0"/>
          <w:numId w:val="49"/>
        </w:numPr>
      </w:pPr>
      <w:r>
        <w:t>,.’”、。」』】），．］｝｡､</w:t>
      </w:r>
    </w:p>
    <w:p w:rsidR="000A156F" w:rsidRDefault="00A9721F">
      <w:r>
        <w:t>If the parent run is Korean:</w:t>
      </w:r>
    </w:p>
    <w:p w:rsidR="000A156F" w:rsidRDefault="00A9721F">
      <w:pPr>
        <w:pStyle w:val="ListParagraph"/>
        <w:numPr>
          <w:ilvl w:val="0"/>
          <w:numId w:val="50"/>
        </w:numPr>
      </w:pPr>
      <w:r>
        <w:t>!%),.:;?]}¢°’”′″℃〉》」』】〕！％），．：；？］｝￠</w:t>
      </w:r>
    </w:p>
    <w:p w:rsidR="000A156F" w:rsidRDefault="00A9721F">
      <w:pPr>
        <w:pStyle w:val="Definition-Field"/>
      </w:pPr>
      <w:r>
        <w:t xml:space="preserve">b.   </w:t>
      </w:r>
      <w:r>
        <w:rPr>
          <w:i/>
        </w:rPr>
        <w:t>The standard does no</w:t>
      </w:r>
      <w:r>
        <w:rPr>
          <w:i/>
        </w:rPr>
        <w:t>t state how a conflict between the overflowPunct element and the kinsoku element should be resolved when both are applied to a single paragraph.</w:t>
      </w:r>
    </w:p>
    <w:p w:rsidR="000A156F" w:rsidRDefault="00A9721F">
      <w:pPr>
        <w:pStyle w:val="Definition-Field2"/>
      </w:pPr>
      <w:r>
        <w:t>Word ignores the kinsoku element when this element is present and the two settings conflict.</w:t>
      </w:r>
    </w:p>
    <w:p w:rsidR="000A156F" w:rsidRDefault="00A9721F">
      <w:pPr>
        <w:pStyle w:val="Heading3"/>
      </w:pPr>
      <w:bookmarkStart w:id="126" w:name="section_926783638af840998a4a44fa944c04ea"/>
      <w:bookmarkStart w:id="127" w:name="_Toc181683089"/>
      <w:r>
        <w:t>Part 1 Section 17.</w:t>
      </w:r>
      <w:r>
        <w:t>3.1.22, p (Paragraph)</w:t>
      </w:r>
      <w:bookmarkEnd w:id="126"/>
      <w:bookmarkEnd w:id="127"/>
      <w:r>
        <w:fldChar w:fldCharType="begin"/>
      </w:r>
      <w:r>
        <w:instrText xml:space="preserve"> XE "p (Paragraph)"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128" w:name="section_cb186a0b98ee403f9d0623629e9cb647"/>
      <w:bookmarkStart w:id="129" w:name="_Toc181683090"/>
      <w:r>
        <w:t>Part 1 Section 17.3.1.25, pPr (Previous Paragraph Properties)</w:t>
      </w:r>
      <w:bookmarkEnd w:id="128"/>
      <w:bookmarkEnd w:id="129"/>
      <w:r>
        <w:fldChar w:fldCharType="begin"/>
      </w:r>
      <w:r>
        <w:instrText xml:space="preserve"> XE "pPr (Previous Paragraph Properties)" </w:instrText>
      </w:r>
      <w:r>
        <w:fldChar w:fldCharType="end"/>
      </w:r>
    </w:p>
    <w:p w:rsidR="000A156F" w:rsidRDefault="00A9721F">
      <w:pPr>
        <w:pStyle w:val="Definition-Field"/>
      </w:pPr>
      <w:r>
        <w:t xml:space="preserve">a.   </w:t>
      </w:r>
      <w:r>
        <w:rPr>
          <w:i/>
        </w:rPr>
        <w:t>The standard states that the cnfStyle and divId elements can differ between previous paragraph properties and current paragraph properties.</w:t>
      </w:r>
    </w:p>
    <w:p w:rsidR="000A156F" w:rsidRDefault="00A9721F">
      <w:pPr>
        <w:pStyle w:val="Definition-Field2"/>
      </w:pPr>
      <w:r>
        <w:t xml:space="preserve">Word </w:t>
      </w:r>
      <w:r>
        <w:t>sets cnfStyle and divId in previous paragraph properties to the values in current paragraph properties.</w:t>
      </w:r>
    </w:p>
    <w:p w:rsidR="000A156F" w:rsidRDefault="00A9721F">
      <w:pPr>
        <w:pStyle w:val="Heading3"/>
      </w:pPr>
      <w:bookmarkStart w:id="130" w:name="section_116e5d7e734943748adbe53a78afa7cc"/>
      <w:bookmarkStart w:id="131" w:name="_Toc181683091"/>
      <w:r>
        <w:t>Part 1 Section 17.3.1.27, pStyle (Referenced Paragraph Style)</w:t>
      </w:r>
      <w:bookmarkEnd w:id="130"/>
      <w:bookmarkEnd w:id="131"/>
      <w:r>
        <w:fldChar w:fldCharType="begin"/>
      </w:r>
      <w:r>
        <w:instrText xml:space="preserve"> XE "pStyle (Referenced Paragraph Style)" </w:instrText>
      </w:r>
      <w:r>
        <w:fldChar w:fldCharType="end"/>
      </w:r>
    </w:p>
    <w:p w:rsidR="000A156F" w:rsidRDefault="00A9721F">
      <w:pPr>
        <w:pStyle w:val="Definition-Field2"/>
      </w:pPr>
      <w:r>
        <w:rPr>
          <w:i/>
        </w:rPr>
        <w:t>For additional notes that apply to this portio</w:t>
      </w:r>
      <w:r>
        <w:rPr>
          <w:i/>
        </w:rPr>
        <w:t xml:space="preserve">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0A156F" w:rsidRDefault="00A9721F">
      <w:pPr>
        <w:pStyle w:val="Heading3"/>
      </w:pPr>
      <w:bookmarkStart w:id="132" w:name="section_689ac9029287469ca73337206ae40ea7"/>
      <w:bookmarkStart w:id="133" w:name="_Toc181683092"/>
      <w:r>
        <w:t>Part 1 Section 17.3.1.28, right (Right Paragraph Border)</w:t>
      </w:r>
      <w:bookmarkEnd w:id="132"/>
      <w:bookmarkEnd w:id="133"/>
      <w:r>
        <w:fldChar w:fldCharType="begin"/>
      </w:r>
      <w:r>
        <w:instrText xml:space="preserve"> XE "right (Right Paragraph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134" w:name="section_de7e18425f80491599253bf0b4fe84bf"/>
      <w:bookmarkStart w:id="135" w:name="_Toc181683093"/>
      <w:r>
        <w:t>Part 1 Section 17.3.1.29, rPr (Run Proper</w:t>
      </w:r>
      <w:r>
        <w:t>ties for the Paragraph Mark)</w:t>
      </w:r>
      <w:bookmarkEnd w:id="134"/>
      <w:bookmarkEnd w:id="135"/>
      <w:r>
        <w:fldChar w:fldCharType="begin"/>
      </w:r>
      <w:r>
        <w:instrText xml:space="preserve"> XE "rPr (Run Properties for the Paragraph Mark)" </w:instrText>
      </w:r>
      <w:r>
        <w:fldChar w:fldCharType="end"/>
      </w:r>
    </w:p>
    <w:p w:rsidR="000A156F" w:rsidRDefault="00A9721F">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A156F" w:rsidRDefault="00A9721F">
      <w:pPr>
        <w:pStyle w:val="Definition-Field"/>
        <w:numPr>
          <w:ilvl w:val="0"/>
          <w:numId w:val="51"/>
        </w:numPr>
        <w:rPr>
          <w:i/>
        </w:rPr>
      </w:pPr>
      <w:r>
        <w:rPr>
          <w:i/>
        </w:rPr>
        <w:lastRenderedPageBreak/>
        <w:t xml:space="preserve">The standard </w:t>
      </w:r>
      <w:r>
        <w:rPr>
          <w:i/>
        </w:rPr>
        <w:t>does not describe how text formatting in a list item is affected when formatting is applied to the paragraph mark.</w:t>
      </w:r>
    </w:p>
    <w:p w:rsidR="000A156F" w:rsidRDefault="00A9721F">
      <w:pPr>
        <w:pStyle w:val="Definition-Field2"/>
      </w:pPr>
      <w:r>
        <w:t>When run formatting properties are applied to the paragraph mark at the end of a list item, the paragraph run text for the list item does not</w:t>
      </w:r>
      <w:r>
        <w:t xml:space="preserve"> change to match the number and paragraph mark properties, and neither does the run text for subsequent runs.</w:t>
      </w:r>
    </w:p>
    <w:p w:rsidR="000A156F" w:rsidRDefault="00A9721F">
      <w:pPr>
        <w:pStyle w:val="Heading3"/>
      </w:pPr>
      <w:bookmarkStart w:id="136" w:name="section_4b5ea5ae6acf4e6cb5fdc540b5d024ba"/>
      <w:bookmarkStart w:id="137" w:name="_Toc181683094"/>
      <w:r>
        <w:t>Part 1 Section 17.3.1.30, rPr (Previous Run Properties for the Paragraph Mark)</w:t>
      </w:r>
      <w:bookmarkEnd w:id="136"/>
      <w:bookmarkEnd w:id="137"/>
      <w:r>
        <w:fldChar w:fldCharType="begin"/>
      </w:r>
      <w:r>
        <w:instrText xml:space="preserve"> XE "rPr (Previous Run Properties for the Paragraph Mark)" </w:instrText>
      </w:r>
      <w:r>
        <w:fldChar w:fldCharType="end"/>
      </w:r>
    </w:p>
    <w:p w:rsidR="000A156F" w:rsidRDefault="00A9721F">
      <w:pPr>
        <w:pStyle w:val="Definition-Field"/>
      </w:pPr>
      <w:r>
        <w:t xml:space="preserve">a.   </w:t>
      </w:r>
      <w:r>
        <w:rPr>
          <w:i/>
        </w:rPr>
        <w:t>T</w:t>
      </w:r>
      <w:r>
        <w:rPr>
          <w:i/>
        </w:rPr>
        <w:t>he standard states that the ins, del, moveFrom, moveTo, and oMath elements can differ between the current run properties and previous run properties for the paragraph mark.</w:t>
      </w:r>
    </w:p>
    <w:p w:rsidR="000A156F" w:rsidRDefault="00A9721F">
      <w:pPr>
        <w:pStyle w:val="Definition-Field2"/>
      </w:pPr>
      <w:r>
        <w:t>Word ignores the values of the ins, del, moveFrom, moveTo, and oMath elements in th</w:t>
      </w:r>
      <w:r>
        <w:t>e previous run properties for the paragraph mark and uses the values from the current run properties for the paragraph mark.</w:t>
      </w:r>
    </w:p>
    <w:p w:rsidR="000A156F" w:rsidRDefault="00A9721F">
      <w:pPr>
        <w:pStyle w:val="Heading3"/>
      </w:pPr>
      <w:bookmarkStart w:id="138" w:name="section_0401ba7548d24372a50f7726fe318b65"/>
      <w:bookmarkStart w:id="139" w:name="_Toc181683095"/>
      <w:r>
        <w:t>Part 1 Section 17.3.1.31, shd (Paragraph Shading)</w:t>
      </w:r>
      <w:bookmarkEnd w:id="138"/>
      <w:bookmarkEnd w:id="139"/>
      <w:r>
        <w:fldChar w:fldCharType="begin"/>
      </w:r>
      <w:r>
        <w:instrText xml:space="preserve"> XE "shd (Paragraph Shading)" </w:instrText>
      </w:r>
      <w:r>
        <w:fldChar w:fldCharType="end"/>
      </w:r>
    </w:p>
    <w:p w:rsidR="000A156F" w:rsidRDefault="00A9721F">
      <w:pPr>
        <w:pStyle w:val="Definition-Field2"/>
      </w:pPr>
      <w:r>
        <w:rPr>
          <w:i/>
        </w:rPr>
        <w:t>For additional notes that apply to this portion o</w:t>
      </w:r>
      <w:r>
        <w:rPr>
          <w:i/>
        </w:rPr>
        <w:t xml:space="preserve">f the standard, please see the notes for </w:t>
      </w:r>
      <w:hyperlink w:anchor="Section_4f0cccae70c2492abc943ccc39172119">
        <w:r>
          <w:rPr>
            <w:rStyle w:val="Hyperlink"/>
          </w:rPr>
          <w:t>shd, §17.4.32(a,d)</w:t>
        </w:r>
      </w:hyperlink>
      <w:r>
        <w:rPr>
          <w:i/>
        </w:rPr>
        <w:t>.</w:t>
      </w:r>
    </w:p>
    <w:p w:rsidR="000A156F" w:rsidRDefault="00A9721F">
      <w:pPr>
        <w:pStyle w:val="Heading3"/>
      </w:pPr>
      <w:bookmarkStart w:id="140" w:name="section_264a013981744574b20dab778e770931"/>
      <w:bookmarkStart w:id="141" w:name="_Toc181683096"/>
      <w:r>
        <w:t>Part 1 Section 17.3.1.33, spacing (Spacing Between Lines and Above/Below Paragraph)</w:t>
      </w:r>
      <w:bookmarkEnd w:id="140"/>
      <w:bookmarkEnd w:id="141"/>
      <w:r>
        <w:fldChar w:fldCharType="begin"/>
      </w:r>
      <w:r>
        <w:instrText xml:space="preserve"> XE "spacing (Spacing Between Lines and Above/Bel</w:instrText>
      </w:r>
      <w:r>
        <w:instrText xml:space="preserve">ow Paragraph)" </w:instrText>
      </w:r>
      <w:r>
        <w:fldChar w:fldCharType="end"/>
      </w:r>
    </w:p>
    <w:p w:rsidR="000A156F" w:rsidRDefault="00A9721F">
      <w:pPr>
        <w:pStyle w:val="Definition-Field"/>
      </w:pPr>
      <w:r>
        <w:t xml:space="preserve">a.   </w:t>
      </w:r>
      <w:r>
        <w:rPr>
          <w:i/>
        </w:rPr>
        <w:t>The standard states that line unit spacing attributes, beforeLines and afterLines, specify spacing in line units, which will be applied to the paragraph in the order specified by the Style Hierarchy.</w:t>
      </w:r>
    </w:p>
    <w:p w:rsidR="000A156F" w:rsidRDefault="00A9721F">
      <w:pPr>
        <w:pStyle w:val="Definition-Field2"/>
      </w:pPr>
      <w:r>
        <w:t>During Style Hierarchy applicatio</w:t>
      </w:r>
      <w:r>
        <w:t>n, Word overrides non-line unit spacing with related non-zero line unit spacing that is applied earlier in the Style Hierarchy order.</w:t>
      </w:r>
    </w:p>
    <w:p w:rsidR="000A156F" w:rsidRDefault="00A9721F">
      <w:pPr>
        <w:pStyle w:val="Heading3"/>
      </w:pPr>
      <w:bookmarkStart w:id="142" w:name="section_c52e929cfa384f889ee7f6ec4b1ab882"/>
      <w:bookmarkStart w:id="143" w:name="_Toc181683097"/>
      <w:r>
        <w:t>Part 1 Section 17.3.1.37, tab (Custom Tab Stop)</w:t>
      </w:r>
      <w:bookmarkEnd w:id="142"/>
      <w:bookmarkEnd w:id="143"/>
      <w:r>
        <w:fldChar w:fldCharType="begin"/>
      </w:r>
      <w:r>
        <w:instrText xml:space="preserve"> XE "tab (Custom Tab Stop)" </w:instrText>
      </w:r>
      <w:r>
        <w:fldChar w:fldCharType="end"/>
      </w:r>
    </w:p>
    <w:p w:rsidR="000A156F" w:rsidRDefault="00A9721F">
      <w:pPr>
        <w:pStyle w:val="Definition-Field"/>
      </w:pPr>
      <w:r>
        <w:t xml:space="preserve">a.   </w:t>
      </w:r>
      <w:r>
        <w:rPr>
          <w:i/>
        </w:rPr>
        <w:t xml:space="preserve">The standard states that the values of </w:t>
      </w:r>
      <w:r>
        <w:rPr>
          <w:i/>
        </w:rPr>
        <w:t>the pos attribute are defined by the XML Schema integer datatype.</w:t>
      </w:r>
    </w:p>
    <w:p w:rsidR="000A156F" w:rsidRDefault="00A9721F">
      <w:pPr>
        <w:pStyle w:val="Definition-Field2"/>
      </w:pPr>
      <w:r>
        <w:t>Word restricts the value of this attribute to be at least -31680 (-22") and at most 31680 (22").</w:t>
      </w:r>
    </w:p>
    <w:p w:rsidR="000A156F" w:rsidRDefault="00A9721F">
      <w:pPr>
        <w:pStyle w:val="Heading3"/>
      </w:pPr>
      <w:bookmarkStart w:id="144" w:name="section_65c200ca97df41caa4fcf55246052527"/>
      <w:bookmarkStart w:id="145" w:name="_Toc181683098"/>
      <w:r>
        <w:t>Part 1 Section 17.3.1.40, textboxTightWrap (Allow Surrounding Paragraphs to Tight Wrap to Tex</w:t>
      </w:r>
      <w:r>
        <w:t>t Box Contents)</w:t>
      </w:r>
      <w:bookmarkEnd w:id="144"/>
      <w:bookmarkEnd w:id="145"/>
      <w:r>
        <w:fldChar w:fldCharType="begin"/>
      </w:r>
      <w:r>
        <w:instrText xml:space="preserve"> XE "textboxTightWrap (Allow Surrounding Paragraphs to Tight Wrap to Text Box Contents)" </w:instrText>
      </w:r>
      <w:r>
        <w:fldChar w:fldCharType="end"/>
      </w:r>
    </w:p>
    <w:p w:rsidR="000A156F" w:rsidRDefault="00A9721F">
      <w:pPr>
        <w:pStyle w:val="Definition-Field"/>
      </w:pPr>
      <w:r>
        <w:t xml:space="preserve">a.   </w:t>
      </w:r>
      <w:r>
        <w:rPr>
          <w:i/>
        </w:rPr>
        <w:t>The standard describes that the val attribute on the textboxTightWrap element takes one of five values: none, allLines, firstAndLastLine, firstL</w:t>
      </w:r>
      <w:r>
        <w:rPr>
          <w:i/>
        </w:rPr>
        <w:t>ineOnly, and lastLineOnly.</w:t>
      </w:r>
    </w:p>
    <w:p w:rsidR="000A156F" w:rsidRDefault="00A9721F">
      <w:pPr>
        <w:pStyle w:val="Definition-Field2"/>
      </w:pPr>
      <w:r>
        <w:t>Word always resets the value of this attribute to allLines when opening a document.</w:t>
      </w:r>
    </w:p>
    <w:p w:rsidR="000A156F" w:rsidRDefault="00A9721F">
      <w:pPr>
        <w:pStyle w:val="Heading3"/>
      </w:pPr>
      <w:bookmarkStart w:id="146" w:name="section_e80c7fbf1f174786921bfa5be9194ae9"/>
      <w:bookmarkStart w:id="147" w:name="_Toc181683099"/>
      <w:r>
        <w:t>Part 1 Section 17.3.1.41, textDirection (Paragraph Text Flow Direction)</w:t>
      </w:r>
      <w:bookmarkEnd w:id="146"/>
      <w:bookmarkEnd w:id="147"/>
      <w:r>
        <w:fldChar w:fldCharType="begin"/>
      </w:r>
      <w:r>
        <w:instrText xml:space="preserve"> XE "textDirection (Paragraph Text Flow Direction)" </w:instrText>
      </w:r>
      <w:r>
        <w:fldChar w:fldCharType="end"/>
      </w:r>
    </w:p>
    <w:p w:rsidR="000A156F" w:rsidRDefault="00A9721F">
      <w:pPr>
        <w:pStyle w:val="Definition-Field"/>
      </w:pPr>
      <w:r>
        <w:t xml:space="preserve">a.   </w:t>
      </w:r>
      <w:r>
        <w:rPr>
          <w:i/>
        </w:rPr>
        <w:t>The standard s</w:t>
      </w:r>
      <w:r>
        <w:rPr>
          <w:i/>
        </w:rPr>
        <w:t>tates that this element specifies the direction of the text flow for this paragraph.</w:t>
      </w:r>
    </w:p>
    <w:p w:rsidR="000A156F" w:rsidRDefault="00A9721F">
      <w:pPr>
        <w:pStyle w:val="Definition-Field2"/>
      </w:pPr>
      <w:r>
        <w:t>Word uses this property only when the paragraph is contained within a frame.</w:t>
      </w:r>
    </w:p>
    <w:p w:rsidR="000A156F" w:rsidRDefault="00A9721F">
      <w:pPr>
        <w:pStyle w:val="Heading3"/>
      </w:pPr>
      <w:bookmarkStart w:id="148" w:name="section_0d93be1be21a4f6fa76d8922fbcf203e"/>
      <w:bookmarkStart w:id="149" w:name="_Toc181683100"/>
      <w:r>
        <w:t>Part 1 Section 17.3.1.42, top (Paragraph Border Above Identical Paragraphs)</w:t>
      </w:r>
      <w:bookmarkEnd w:id="148"/>
      <w:bookmarkEnd w:id="149"/>
      <w:r>
        <w:fldChar w:fldCharType="begin"/>
      </w:r>
      <w:r>
        <w:instrText xml:space="preserve"> XE "top (Paragraph Border Above Identical Paragraphs)"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150" w:name="section_029135c2138c4bbf81ad6bf338c2ce89"/>
      <w:bookmarkStart w:id="151" w:name="_Toc181683101"/>
      <w:r>
        <w:lastRenderedPageBreak/>
        <w:t>Part 1 Section 17.3.1.43, topLinePunct (Compress Punctuation at Start of a Line)</w:t>
      </w:r>
      <w:bookmarkEnd w:id="150"/>
      <w:bookmarkEnd w:id="151"/>
      <w:r>
        <w:fldChar w:fldCharType="begin"/>
      </w:r>
      <w:r>
        <w:instrText xml:space="preserve"> XE "topLinePunct (Compress Punc</w:instrText>
      </w:r>
      <w:r>
        <w:instrText xml:space="preserve">tuation at Start of a Line)" </w:instrText>
      </w:r>
      <w:r>
        <w:fldChar w:fldCharType="end"/>
      </w:r>
    </w:p>
    <w:p w:rsidR="000A156F" w:rsidRDefault="00A9721F">
      <w:pPr>
        <w:pStyle w:val="Definition-Field"/>
      </w:pPr>
      <w:r>
        <w:t xml:space="preserve">a.   </w:t>
      </w:r>
      <w:r>
        <w:rPr>
          <w:i/>
        </w:rPr>
        <w:t>The standard states that this element specifies whether punctuation shall be compressed when it appears as the first character in a line, but does not define which characters are affected.</w:t>
      </w:r>
    </w:p>
    <w:p w:rsidR="000A156F" w:rsidRDefault="00A9721F">
      <w:pPr>
        <w:pStyle w:val="Definition-Field2"/>
      </w:pPr>
      <w:r>
        <w:t xml:space="preserve">Word only applies this </w:t>
      </w:r>
      <w:r>
        <w:t>property to runs in one of the following languages: Chinese (Simplified), Chinese (Traditional), Korean, or Japanese.</w:t>
      </w:r>
    </w:p>
    <w:p w:rsidR="000A156F" w:rsidRDefault="00A9721F">
      <w:pPr>
        <w:pStyle w:val="Heading3"/>
      </w:pPr>
      <w:bookmarkStart w:id="152" w:name="section_12a52a6eebe841c09aebfdfb4fbca849"/>
      <w:bookmarkStart w:id="153" w:name="_Toc181683102"/>
      <w:r>
        <w:t>Part 1 Section 17.3.1.44, widowControl (Allow First/Last Line to Display on a Separate Page)</w:t>
      </w:r>
      <w:bookmarkEnd w:id="152"/>
      <w:bookmarkEnd w:id="153"/>
      <w:r>
        <w:fldChar w:fldCharType="begin"/>
      </w:r>
      <w:r>
        <w:instrText xml:space="preserve"> XE "widowControl (Allow First/Last Line to Di</w:instrText>
      </w:r>
      <w:r>
        <w:instrText xml:space="preserve">splay on a Separate Page)" </w:instrText>
      </w:r>
      <w:r>
        <w:fldChar w:fldCharType="end"/>
      </w:r>
    </w:p>
    <w:p w:rsidR="000A156F" w:rsidRDefault="00A9721F">
      <w:pPr>
        <w:pStyle w:val="Definition-Field"/>
      </w:pPr>
      <w:r>
        <w:t xml:space="preserve">a.   </w:t>
      </w:r>
      <w:r>
        <w:rPr>
          <w:i/>
        </w:rPr>
        <w:t>The standard states that this element is applied to all paragraphs.</w:t>
      </w:r>
    </w:p>
    <w:p w:rsidR="000A156F" w:rsidRDefault="00A9721F">
      <w:pPr>
        <w:pStyle w:val="Definition-Field2"/>
      </w:pPr>
      <w:r>
        <w:t>Word ignores this element when rendering paragraphs inside a table.</w:t>
      </w:r>
    </w:p>
    <w:p w:rsidR="000A156F" w:rsidRDefault="00A9721F">
      <w:pPr>
        <w:pStyle w:val="Heading3"/>
      </w:pPr>
      <w:bookmarkStart w:id="154" w:name="section_5c96914d820a4f49a23940024839685e"/>
      <w:bookmarkStart w:id="155" w:name="_Toc181683103"/>
      <w:r>
        <w:t>Part 1 Section 17.3.1.45, wordWrap (Allow Line Breaking At Character Level)</w:t>
      </w:r>
      <w:bookmarkEnd w:id="154"/>
      <w:bookmarkEnd w:id="155"/>
      <w:r>
        <w:fldChar w:fldCharType="begin"/>
      </w:r>
      <w:r>
        <w:instrText xml:space="preserve"> XE "wordW</w:instrText>
      </w:r>
      <w:r>
        <w:instrText xml:space="preserve">rap (Allow Line Breaking At Character Level)" </w:instrText>
      </w:r>
      <w:r>
        <w:fldChar w:fldCharType="end"/>
      </w:r>
    </w:p>
    <w:p w:rsidR="000A156F" w:rsidRDefault="00A9721F">
      <w:pPr>
        <w:pStyle w:val="Definition-Field"/>
      </w:pPr>
      <w:r>
        <w:t xml:space="preserve">a.   </w:t>
      </w:r>
      <w:r>
        <w:rPr>
          <w:i/>
        </w:rPr>
        <w:t>The standard states that this element will cause text to break on the character level.</w:t>
      </w:r>
    </w:p>
    <w:p w:rsidR="000A156F" w:rsidRDefault="00A9721F">
      <w:pPr>
        <w:pStyle w:val="Definition-Field2"/>
      </w:pPr>
      <w:r>
        <w:t>Word applies this property to Korean text only if Word determines that there is Korean text in the paragraph.</w:t>
      </w:r>
    </w:p>
    <w:p w:rsidR="000A156F" w:rsidRDefault="00A9721F">
      <w:pPr>
        <w:pStyle w:val="Definition-Field"/>
      </w:pPr>
      <w:r>
        <w:t xml:space="preserve">b.   </w:t>
      </w:r>
      <w:r>
        <w:rPr>
          <w:i/>
        </w:rPr>
        <w:t>The standard does not impose any restrictions on the type of text that this element applies to.</w:t>
      </w:r>
    </w:p>
    <w:p w:rsidR="000A156F" w:rsidRDefault="00A9721F">
      <w:pPr>
        <w:pStyle w:val="Definition-Field2"/>
      </w:pPr>
      <w:r>
        <w:t>Word applies this element to only space-delimited languages.</w:t>
      </w:r>
    </w:p>
    <w:p w:rsidR="000A156F" w:rsidRDefault="00A9721F">
      <w:pPr>
        <w:pStyle w:val="Heading3"/>
      </w:pPr>
      <w:bookmarkStart w:id="156" w:name="section_03b9695ffd69435d90e6b1069aadf291"/>
      <w:bookmarkStart w:id="157" w:name="_Toc181683104"/>
      <w:r>
        <w:t>Part 1 Section 17.3.2.1, b (Bold)</w:t>
      </w:r>
      <w:bookmarkEnd w:id="156"/>
      <w:bookmarkEnd w:id="157"/>
      <w:r>
        <w:fldChar w:fldCharType="begin"/>
      </w:r>
      <w:r>
        <w:instrText xml:space="preserve"> XE "b (Bold)" </w:instrText>
      </w:r>
      <w:r>
        <w:fldChar w:fldCharType="end"/>
      </w:r>
    </w:p>
    <w:p w:rsidR="000A156F" w:rsidRDefault="00A9721F">
      <w:pPr>
        <w:pStyle w:val="Definition-Field"/>
      </w:pPr>
      <w:r>
        <w:t xml:space="preserve">a.   </w:t>
      </w:r>
      <w:r>
        <w:rPr>
          <w:i/>
        </w:rPr>
        <w:t>The standard states that this element appli</w:t>
      </w:r>
      <w:r>
        <w:rPr>
          <w:i/>
        </w:rPr>
        <w:t>es bold to non-complex script characters, but does not specify how that determination is made.</w:t>
      </w:r>
    </w:p>
    <w:p w:rsidR="000A156F" w:rsidRDefault="00A9721F">
      <w:pPr>
        <w:pStyle w:val="Definition-Field2"/>
      </w:pPr>
      <w:r>
        <w:t>Word determines this state based on the state of the cs and rtl properties and applies bold to runs that do not use either of those properties.</w:t>
      </w:r>
    </w:p>
    <w:p w:rsidR="000A156F" w:rsidRDefault="00A9721F">
      <w:pPr>
        <w:pStyle w:val="Heading3"/>
      </w:pPr>
      <w:bookmarkStart w:id="158" w:name="section_264d37471f124370b25cee2a812acf68"/>
      <w:bookmarkStart w:id="159" w:name="_Toc181683105"/>
      <w:r>
        <w:t>Part 1 Section 17</w:t>
      </w:r>
      <w:r>
        <w:t>.3.2.2, bCs (Complex Script Bold)</w:t>
      </w:r>
      <w:bookmarkEnd w:id="158"/>
      <w:bookmarkEnd w:id="159"/>
      <w:r>
        <w:fldChar w:fldCharType="begin"/>
      </w:r>
      <w:r>
        <w:instrText xml:space="preserve"> XE "bCs (Complex Script Bold)" </w:instrText>
      </w:r>
      <w:r>
        <w:fldChar w:fldCharType="end"/>
      </w:r>
    </w:p>
    <w:p w:rsidR="000A156F" w:rsidRDefault="00A9721F">
      <w:pPr>
        <w:pStyle w:val="Definition-Field"/>
      </w:pPr>
      <w:r>
        <w:t xml:space="preserve">a.   </w:t>
      </w:r>
      <w:r>
        <w:rPr>
          <w:i/>
        </w:rPr>
        <w:t>The standard states that this element applies bold to complex script characters, but does not specify how that determination is made.</w:t>
      </w:r>
    </w:p>
    <w:p w:rsidR="000A156F" w:rsidRDefault="00A9721F">
      <w:pPr>
        <w:pStyle w:val="Definition-Field2"/>
      </w:pPr>
      <w:r>
        <w:t xml:space="preserve">Word determines this state based on the state of </w:t>
      </w:r>
      <w:r>
        <w:t>the cs and rtl properties and applies bold to runs that use either of those properties.</w:t>
      </w:r>
    </w:p>
    <w:p w:rsidR="000A156F" w:rsidRDefault="00A9721F">
      <w:pPr>
        <w:pStyle w:val="Heading3"/>
      </w:pPr>
      <w:bookmarkStart w:id="160" w:name="section_c8b2f58e1a33450e982faa321cad291c"/>
      <w:bookmarkStart w:id="161" w:name="_Toc181683106"/>
      <w:r>
        <w:t>Part 1 Section 17.3.2.3, bdo (Bidirectional Override)</w:t>
      </w:r>
      <w:bookmarkEnd w:id="160"/>
      <w:bookmarkEnd w:id="161"/>
      <w:r>
        <w:fldChar w:fldCharType="begin"/>
      </w:r>
      <w:r>
        <w:instrText xml:space="preserve"> XE "bdo (Bidirectional Override)" </w:instrText>
      </w:r>
      <w:r>
        <w:fldChar w:fldCharType="end"/>
      </w:r>
    </w:p>
    <w:p w:rsidR="000A156F" w:rsidRDefault="00A9721F">
      <w:pPr>
        <w:pStyle w:val="Definition-Field"/>
      </w:pPr>
      <w:r>
        <w:t xml:space="preserve">a.   </w:t>
      </w:r>
      <w:r>
        <w:rPr>
          <w:i/>
        </w:rPr>
        <w:t xml:space="preserve">The standard lists the possible parents for this element, but this list </w:t>
      </w:r>
      <w:r>
        <w:rPr>
          <w:i/>
        </w:rPr>
        <w:t>does not include oMath</w:t>
      </w:r>
    </w:p>
    <w:p w:rsidR="000A156F" w:rsidRDefault="00A9721F">
      <w:pPr>
        <w:pStyle w:val="Definition-Field2"/>
      </w:pPr>
      <w:r>
        <w:t>Word writes this element as a child of the oMath element.</w:t>
      </w:r>
    </w:p>
    <w:p w:rsidR="000A156F" w:rsidRDefault="00A9721F">
      <w:pPr>
        <w:pStyle w:val="Heading3"/>
      </w:pPr>
      <w:bookmarkStart w:id="162" w:name="section_f38eb4e2d0424a4eb8633fac712e250a"/>
      <w:bookmarkStart w:id="163" w:name="_Toc181683107"/>
      <w:r>
        <w:t>Part 1 Section 17.3.2.4, bdr (Text Border)</w:t>
      </w:r>
      <w:bookmarkEnd w:id="162"/>
      <w:bookmarkEnd w:id="163"/>
      <w:r>
        <w:fldChar w:fldCharType="begin"/>
      </w:r>
      <w:r>
        <w:instrText xml:space="preserve"> XE "bdr (Text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The standard does not state which setting is applied when both the themeShade and the themeTint at</w:t>
      </w:r>
      <w:r>
        <w:rPr>
          <w:i/>
        </w:rPr>
        <w:t>tributes are present.</w:t>
      </w:r>
    </w:p>
    <w:p w:rsidR="000A156F" w:rsidRDefault="00A9721F">
      <w:pPr>
        <w:pStyle w:val="Definition-Field2"/>
      </w:pPr>
      <w:r>
        <w:lastRenderedPageBreak/>
        <w:t>Word applies the themeTint setting when both of these attributes are present.</w:t>
      </w:r>
    </w:p>
    <w:p w:rsidR="000A156F" w:rsidRDefault="00A9721F">
      <w:pPr>
        <w:pStyle w:val="Heading3"/>
      </w:pPr>
      <w:bookmarkStart w:id="164" w:name="section_8229a0777fc84fba96ccc77b6a4fc768"/>
      <w:bookmarkStart w:id="165" w:name="_Toc181683108"/>
      <w:r>
        <w:t>Part 1 Section 17.3.2.6, color (Run Content Color)</w:t>
      </w:r>
      <w:bookmarkEnd w:id="164"/>
      <w:bookmarkEnd w:id="165"/>
      <w:r>
        <w:fldChar w:fldCharType="begin"/>
      </w:r>
      <w:r>
        <w:instrText xml:space="preserve"> XE "color (Run Content Color)" </w:instrText>
      </w:r>
      <w:r>
        <w:fldChar w:fldCharType="end"/>
      </w:r>
    </w:p>
    <w:p w:rsidR="000A156F" w:rsidRDefault="00A9721F">
      <w:pPr>
        <w:pStyle w:val="Definition-Field2"/>
      </w:pPr>
      <w:r>
        <w:rPr>
          <w:i/>
        </w:rPr>
        <w:t>For additional notes that apply to this portion of the standard, please</w:t>
      </w:r>
      <w:r>
        <w:rPr>
          <w:i/>
        </w:rPr>
        <w:t xml:space="preserve"> see the notes for </w:t>
      </w:r>
      <w:hyperlink w:anchor="Section_9a2a00db9248454d9f81952c27658324">
        <w:r>
          <w:rPr>
            <w:rStyle w:val="Hyperlink"/>
          </w:rPr>
          <w:t>color, §17.15.2.5(a)</w:t>
        </w:r>
      </w:hyperlink>
      <w:r>
        <w:rPr>
          <w:i/>
        </w:rPr>
        <w:t>.</w:t>
      </w:r>
    </w:p>
    <w:p w:rsidR="000A156F" w:rsidRDefault="00A9721F">
      <w:pPr>
        <w:pStyle w:val="Definition-Field"/>
      </w:pPr>
      <w:r>
        <w:t xml:space="preserve">a.   </w:t>
      </w:r>
      <w:r>
        <w:rPr>
          <w:i/>
        </w:rPr>
        <w:t>The standard specifies an algorithm for themeShade calculations that is different from themeShade calculations in other subclauses.</w:t>
      </w:r>
    </w:p>
    <w:p w:rsidR="000A156F" w:rsidRDefault="00A9721F">
      <w:r>
        <w:t xml:space="preserve">Given an RGB </w:t>
      </w:r>
      <w:r>
        <w:t>color defined as three hex values in RRGGBB format, the shade is applied as follows:</w:t>
      </w:r>
    </w:p>
    <w:p w:rsidR="000A156F" w:rsidRDefault="00A9721F">
      <w:pPr>
        <w:pStyle w:val="ListParagraph"/>
        <w:numPr>
          <w:ilvl w:val="0"/>
          <w:numId w:val="52"/>
        </w:numPr>
        <w:contextualSpacing/>
      </w:pPr>
      <w:r>
        <w:t>Convert the color to the HSL color format (values from 0 to 1).</w:t>
      </w:r>
    </w:p>
    <w:p w:rsidR="000A156F" w:rsidRDefault="00A9721F">
      <w:pPr>
        <w:pStyle w:val="ListParagraph"/>
        <w:numPr>
          <w:ilvl w:val="0"/>
          <w:numId w:val="52"/>
        </w:numPr>
        <w:contextualSpacing/>
      </w:pPr>
      <w:r>
        <w:t>Modify the luminance factor as follows:</w:t>
      </w:r>
    </w:p>
    <w:p w:rsidR="000A156F" w:rsidRDefault="00A9721F">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73"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0A156F" w:rsidRDefault="00A9721F">
      <w:pPr>
        <w:pStyle w:val="ListParagraph"/>
        <w:numPr>
          <w:ilvl w:val="0"/>
          <w:numId w:val="52"/>
        </w:numPr>
      </w:pPr>
      <w:r>
        <w:t>Convert the resultant HSL color to RGB.</w:t>
      </w:r>
    </w:p>
    <w:p w:rsidR="000A156F" w:rsidRDefault="00A9721F">
      <w:r>
        <w:t xml:space="preserve">If this attribute is specified in the </w:t>
      </w:r>
      <w:r>
        <w:rPr>
          <w:b/>
        </w:rPr>
        <w:t>color</w:t>
      </w:r>
      <w:r>
        <w:t xml:space="preserve"> element ("</w:t>
      </w:r>
      <w:hyperlink r:id="rId74">
        <w:r>
          <w:rPr>
            <w:rStyle w:val="Hyperlink"/>
          </w:rPr>
          <w:t>[ISO/IEC-29500-1]</w:t>
        </w:r>
      </w:hyperlink>
      <w:r>
        <w:t xml:space="preserve"> §17.15.2.5; color (Frameset Splitter Color)") nested inside a </w:t>
      </w:r>
      <w:r>
        <w:rPr>
          <w:b/>
        </w:rPr>
        <w:t xml:space="preserve">framesetSplitbar </w:t>
      </w:r>
      <w:r>
        <w:t>("[ISO/IEC-29500-1] §17.15.2.20; frames</w:t>
      </w:r>
      <w:r>
        <w:t xml:space="preserve">etSplitbar (Frameset Splitter Properties)") element, Word deviates from this behavior. Refer to the </w:t>
      </w:r>
      <w:r>
        <w:rPr>
          <w:b/>
        </w:rPr>
        <w:t>themeColor</w:t>
      </w:r>
      <w:r>
        <w:t xml:space="preserve"> attribute description.</w:t>
      </w:r>
    </w:p>
    <w:p w:rsidR="000A156F" w:rsidRDefault="00A9721F">
      <w:r>
        <w:t xml:space="preserve">[Example: </w:t>
      </w:r>
    </w:p>
    <w:p w:rsidR="000A156F" w:rsidRDefault="00A9721F">
      <w:r>
        <w:t xml:space="preserve">Consider a document with a background using the </w:t>
      </w:r>
      <w:r>
        <w:rPr>
          <w:i/>
        </w:rPr>
        <w:t>accent2</w:t>
      </w:r>
      <w:r>
        <w:t xml:space="preserve"> theme color, whose RGB value (in RRGGBB hex format) is </w:t>
      </w:r>
      <w:r>
        <w:rPr>
          <w:i/>
        </w:rPr>
        <w:t>C0504D</w:t>
      </w:r>
      <w:r>
        <w:t>.</w:t>
      </w:r>
    </w:p>
    <w:p w:rsidR="000A156F" w:rsidRDefault="00A9721F">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0A156F" w:rsidRDefault="00A9721F">
      <w:r>
        <w:t>Applying the shade formula with a shade percentage of 75% to the luminance, the result is:</w:t>
      </w:r>
    </w:p>
    <w:p w:rsidR="000A156F" w:rsidRDefault="00A9721F">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6"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0A156F" w:rsidRDefault="00A9721F">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7"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0A156F" w:rsidRDefault="00A9721F">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8"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0A156F" w:rsidRDefault="00A9721F">
      <w:r>
        <w:t>This transformed va</w:t>
      </w:r>
      <w:r>
        <w:t xml:space="preserve">lue can be seen in the resulting run color WordprocessingML's </w:t>
      </w:r>
      <w:r>
        <w:rPr>
          <w:b/>
        </w:rPr>
        <w:t>val</w:t>
      </w:r>
      <w:r>
        <w:t xml:space="preserve"> attribute:</w:t>
      </w:r>
    </w:p>
    <w:p w:rsidR="000A156F" w:rsidRDefault="00A9721F">
      <w:pPr>
        <w:pStyle w:val="Code"/>
      </w:pPr>
      <w:r>
        <w:t>&lt;w:color w:val="943634" w:themeColor="accent2" w:themeShade="BF" /&gt;</w:t>
      </w:r>
    </w:p>
    <w:p w:rsidR="000A156F" w:rsidRDefault="00A9721F">
      <w:r>
        <w:t>end example]</w:t>
      </w:r>
    </w:p>
    <w:p w:rsidR="000A156F" w:rsidRDefault="00A9721F">
      <w:pPr>
        <w:pStyle w:val="Definition-Field"/>
      </w:pPr>
      <w:r>
        <w:t xml:space="preserve">b.   </w:t>
      </w:r>
      <w:r>
        <w:rPr>
          <w:i/>
        </w:rPr>
        <w:t>The standard does not state which setting is applied when both the themeShade and the themeTi</w:t>
      </w:r>
      <w:r>
        <w:rPr>
          <w:i/>
        </w:rPr>
        <w:t>nt attributes are present.</w:t>
      </w:r>
    </w:p>
    <w:p w:rsidR="000A156F" w:rsidRDefault="00A9721F">
      <w:pPr>
        <w:pStyle w:val="Definition-Field2"/>
      </w:pPr>
      <w:r>
        <w:t>Word applies the themeTint setting when both of these attributes are present.</w:t>
      </w:r>
    </w:p>
    <w:p w:rsidR="000A156F" w:rsidRDefault="00A9721F">
      <w:pPr>
        <w:pStyle w:val="Definition-Field"/>
      </w:pPr>
      <w:r>
        <w:t xml:space="preserve">c.   </w:t>
      </w:r>
      <w:r>
        <w:rPr>
          <w:i/>
        </w:rPr>
        <w:t>The standard describes an algorithm for themeTint calculations that is different from themeTint calculations in other subclauses.</w:t>
      </w:r>
    </w:p>
    <w:p w:rsidR="000A156F" w:rsidRDefault="00A9721F">
      <w:r>
        <w:t>In Word, the the</w:t>
      </w:r>
      <w:r>
        <w:t>meTint attribute is calculated using the following algorithm:</w:t>
      </w:r>
    </w:p>
    <w:p w:rsidR="000A156F" w:rsidRDefault="00A9721F">
      <w:r>
        <w:t>Given an RGB color defined as three hex values in RRGGBB format, the shade is applied as follows:</w:t>
      </w:r>
    </w:p>
    <w:p w:rsidR="000A156F" w:rsidRDefault="00A9721F">
      <w:pPr>
        <w:pStyle w:val="ListParagraph"/>
        <w:numPr>
          <w:ilvl w:val="0"/>
          <w:numId w:val="53"/>
        </w:numPr>
        <w:contextualSpacing/>
      </w:pPr>
      <w:r>
        <w:lastRenderedPageBreak/>
        <w:t>Convert the color to the HSL color format (values from 0 to 1).</w:t>
      </w:r>
    </w:p>
    <w:p w:rsidR="000A156F" w:rsidRDefault="00A9721F">
      <w:pPr>
        <w:pStyle w:val="ListParagraph"/>
        <w:numPr>
          <w:ilvl w:val="0"/>
          <w:numId w:val="53"/>
        </w:numPr>
        <w:contextualSpacing/>
      </w:pPr>
      <w:r>
        <w:t>Modify the luminance factor as f</w:t>
      </w:r>
      <w:r>
        <w:t>ollows:</w:t>
      </w:r>
    </w:p>
    <w:p w:rsidR="000A156F" w:rsidRDefault="00A9721F">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9"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0A156F" w:rsidRDefault="00A9721F">
      <w:pPr>
        <w:pStyle w:val="ListParagraph"/>
        <w:numPr>
          <w:ilvl w:val="0"/>
          <w:numId w:val="53"/>
        </w:numPr>
      </w:pPr>
      <w:r>
        <w:t>Convert the resultant HSL color to RGB.</w:t>
      </w:r>
    </w:p>
    <w:p w:rsidR="000A156F" w:rsidRDefault="00A9721F">
      <w:r>
        <w:t xml:space="preserve">If this attribute is specified in the </w:t>
      </w:r>
      <w:r>
        <w:rPr>
          <w:b/>
        </w:rPr>
        <w:t>color</w:t>
      </w:r>
      <w:r>
        <w:t xml:space="preserve"> element ("[ISO/IEC-29500-1] §17.15.2.5; color (Frameset Splitter Color)") nested inside a </w:t>
      </w:r>
      <w:r>
        <w:rPr>
          <w:b/>
        </w:rPr>
        <w:t>framesetSplitbar</w:t>
      </w:r>
      <w:r>
        <w:t xml:space="preserve"> element ("[ISO/IEC-29500-1]</w:t>
      </w:r>
      <w:r>
        <w:t xml:space="preserve"> §17.15.2.20; framesetSplitbar (Frameset Splitter Properties)"), Word will not use the specified theme color but rather will use an RGB color based on the </w:t>
      </w:r>
      <w:r>
        <w:rPr>
          <w:b/>
        </w:rPr>
        <w:t>themeShade</w:t>
      </w:r>
      <w:r>
        <w:t xml:space="preserve"> and </w:t>
      </w:r>
      <w:r>
        <w:rPr>
          <w:b/>
        </w:rPr>
        <w:t>themeTint</w:t>
      </w:r>
      <w:r>
        <w:t xml:space="preserve"> attributes. The intensity of the red, green, and blue components of this RGB</w:t>
      </w:r>
      <w:r>
        <w:t xml:space="preserve"> color range from 0 to 255. The value of </w:t>
      </w:r>
      <w:r>
        <w:rPr>
          <w:b/>
        </w:rPr>
        <w:t>themeTint</w:t>
      </w:r>
      <w:r>
        <w:t xml:space="preserve"> shall specify the intensity of the red component. If the </w:t>
      </w:r>
      <w:r>
        <w:rPr>
          <w:b/>
        </w:rPr>
        <w:t>themeTint</w:t>
      </w:r>
      <w:r>
        <w:t xml:space="preserve"> attribute is omitted, the intensity of the red component shall default to 255. The value of </w:t>
      </w:r>
      <w:r>
        <w:rPr>
          <w:b/>
        </w:rPr>
        <w:t>themeShade</w:t>
      </w:r>
      <w:r>
        <w:t xml:space="preserve"> shall specify the intensity of the </w:t>
      </w:r>
      <w:r>
        <w:t xml:space="preserve">green component. If the </w:t>
      </w:r>
      <w:r>
        <w:rPr>
          <w:b/>
        </w:rPr>
        <w:t>themeShade</w:t>
      </w:r>
      <w:r>
        <w:t xml:space="preserve"> attribute is omitted, the intensity of the green component shall default to 255. The intensity of the blue component shall be 0.</w:t>
      </w:r>
    </w:p>
    <w:p w:rsidR="000A156F" w:rsidRDefault="00A9721F">
      <w:r>
        <w:t xml:space="preserve">[Example: Consider a document with a background using the </w:t>
      </w:r>
      <w:r>
        <w:rPr>
          <w:i/>
        </w:rPr>
        <w:t>accent2</w:t>
      </w:r>
      <w:r>
        <w:t xml:space="preserve"> theme color, whose RGB val</w:t>
      </w:r>
      <w:r>
        <w:t xml:space="preserve">ue (in RRGGBB hex format) is </w:t>
      </w:r>
      <w:r>
        <w:rPr>
          <w:i/>
        </w:rPr>
        <w:t>4F81BD</w:t>
      </w:r>
      <w:r>
        <w:t>.</w:t>
      </w:r>
    </w:p>
    <w:p w:rsidR="000A156F" w:rsidRDefault="00A9721F">
      <w:r>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8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0A156F" w:rsidRDefault="00A9721F">
      <w:r>
        <w:t>Applying the tint formula with a tint percentage of 60% to the luminance, the result is:</w:t>
      </w:r>
    </w:p>
    <w:p w:rsidR="000A156F" w:rsidRDefault="00A9721F">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81"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0A156F" w:rsidRDefault="00A9721F">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82"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0A156F" w:rsidRDefault="00A9721F">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83"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0A156F" w:rsidRDefault="00A9721F">
      <w:r>
        <w:t xml:space="preserve">This transformed value can be seen in the resulting background's </w:t>
      </w:r>
      <w:r>
        <w:rPr>
          <w:b/>
        </w:rPr>
        <w:t>color</w:t>
      </w:r>
      <w:r>
        <w:t xml:space="preserve"> attribute:</w:t>
      </w:r>
    </w:p>
    <w:p w:rsidR="000A156F" w:rsidRDefault="00A9721F">
      <w:pPr>
        <w:pStyle w:val="Code"/>
      </w:pPr>
      <w:r>
        <w:t>&lt;w:top w:val="single" w:sz="4" w:space="24"</w:t>
      </w:r>
    </w:p>
    <w:p w:rsidR="000A156F" w:rsidRDefault="00A9721F">
      <w:pPr>
        <w:pStyle w:val="Code"/>
      </w:pPr>
      <w:r>
        <w:t xml:space="preserve">  w:color="95B3D7" w:themeColor="accent2" </w:t>
      </w:r>
    </w:p>
    <w:p w:rsidR="000A156F" w:rsidRDefault="00A9721F">
      <w:pPr>
        <w:pStyle w:val="Code"/>
      </w:pPr>
      <w:r>
        <w:t xml:space="preserve">  w:themeTint="99"/&gt;</w:t>
      </w:r>
    </w:p>
    <w:p w:rsidR="000A156F" w:rsidRDefault="00A9721F">
      <w:r>
        <w:t>end example]</w:t>
      </w:r>
    </w:p>
    <w:p w:rsidR="000A156F" w:rsidRDefault="00A9721F">
      <w:pPr>
        <w:pStyle w:val="Heading3"/>
      </w:pPr>
      <w:bookmarkStart w:id="166" w:name="section_4f50ceb9013d4affa66144e88c4ae009"/>
      <w:bookmarkStart w:id="167" w:name="_Toc181683109"/>
      <w:r>
        <w:t>Pa</w:t>
      </w:r>
      <w:r>
        <w:t>rt 1 Section 17.3.2.7, cs (Use Complex Script Formatting on Run)</w:t>
      </w:r>
      <w:bookmarkEnd w:id="166"/>
      <w:bookmarkEnd w:id="167"/>
      <w:r>
        <w:fldChar w:fldCharType="begin"/>
      </w:r>
      <w:r>
        <w:instrText xml:space="preserve"> XE "cs (Use Complex Script Formatting on Run)"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0A156F" w:rsidRDefault="00A9721F">
      <w:pPr>
        <w:pStyle w:val="Heading3"/>
      </w:pPr>
      <w:bookmarkStart w:id="168" w:name="section_0c2fbdfee3c442339e5874bee9eac813"/>
      <w:bookmarkStart w:id="169" w:name="_Toc181683110"/>
      <w:r>
        <w:t>Part 1 Section 17.3.2.8, dir (Bidirectional Embedding Level)</w:t>
      </w:r>
      <w:bookmarkEnd w:id="168"/>
      <w:bookmarkEnd w:id="169"/>
      <w:r>
        <w:fldChar w:fldCharType="begin"/>
      </w:r>
      <w:r>
        <w:instrText xml:space="preserve"> </w:instrText>
      </w:r>
      <w:r>
        <w:instrText xml:space="preserve">XE "dir (Bidirectional Embedding Level)" </w:instrText>
      </w:r>
      <w:r>
        <w:fldChar w:fldCharType="end"/>
      </w:r>
    </w:p>
    <w:p w:rsidR="000A156F" w:rsidRDefault="00A9721F">
      <w:pPr>
        <w:pStyle w:val="Definition-Field"/>
      </w:pPr>
      <w:r>
        <w:t xml:space="preserve">a.   </w:t>
      </w:r>
      <w:r>
        <w:rPr>
          <w:i/>
        </w:rPr>
        <w:t>The standard states the list of parents of the dir element, which does not include the oMath element (Section 22.1.2.77)</w:t>
      </w:r>
    </w:p>
    <w:p w:rsidR="000A156F" w:rsidRDefault="00A9721F">
      <w:pPr>
        <w:pStyle w:val="Definition-Field2"/>
      </w:pPr>
      <w:r>
        <w:t>Word can write the w:dir element as a child of the oMath element.</w:t>
      </w:r>
    </w:p>
    <w:p w:rsidR="000A156F" w:rsidRDefault="00A9721F">
      <w:pPr>
        <w:pStyle w:val="Heading3"/>
      </w:pPr>
      <w:bookmarkStart w:id="170" w:name="section_efbc3ed11349457293a0a4e0f71e2a8b"/>
      <w:bookmarkStart w:id="171" w:name="_Toc181683111"/>
      <w:r>
        <w:t>Part 1 Section 17.3.</w:t>
      </w:r>
      <w:r>
        <w:t>2.10, eastAsianLayout (East Asian Typography Settings)</w:t>
      </w:r>
      <w:bookmarkEnd w:id="170"/>
      <w:bookmarkEnd w:id="171"/>
      <w:r>
        <w:fldChar w:fldCharType="begin"/>
      </w:r>
      <w:r>
        <w:instrText xml:space="preserve"> XE "eastAsianLayout (East Asian Typography Settings)" </w:instrText>
      </w:r>
      <w:r>
        <w:fldChar w:fldCharType="end"/>
      </w:r>
    </w:p>
    <w:p w:rsidR="000A156F" w:rsidRDefault="00A9721F">
      <w:pPr>
        <w:pStyle w:val="Definition-Field"/>
      </w:pPr>
      <w:r>
        <w:t xml:space="preserve">a.   </w:t>
      </w:r>
      <w:r>
        <w:rPr>
          <w:i/>
        </w:rPr>
        <w:t>The standard states that horizontal in vertical text is performed with rotation for vertical at 90 degrees in one location and 270 in anoth</w:t>
      </w:r>
      <w:r>
        <w:rPr>
          <w:i/>
        </w:rPr>
        <w:t>er.</w:t>
      </w:r>
    </w:p>
    <w:p w:rsidR="000A156F" w:rsidRDefault="00A9721F">
      <w:pPr>
        <w:pStyle w:val="Definition-Field2"/>
      </w:pPr>
      <w:r>
        <w:lastRenderedPageBreak/>
        <w:t>Word rotates text 90 degrees to the left.</w:t>
      </w:r>
    </w:p>
    <w:p w:rsidR="000A156F" w:rsidRDefault="00A9721F">
      <w:pPr>
        <w:pStyle w:val="Definition-Field"/>
      </w:pPr>
      <w:r>
        <w:t xml:space="preserve">b.   </w:t>
      </w:r>
      <w:r>
        <w:rPr>
          <w:i/>
        </w:rPr>
        <w:t>The standard states that the vertCompress attribute determines whether the rotated text shall be compressed at display time in order to ensure that it fits into the existing line height.</w:t>
      </w:r>
    </w:p>
    <w:p w:rsidR="000A156F" w:rsidRDefault="00A9721F">
      <w:pPr>
        <w:pStyle w:val="Definition-Field2"/>
      </w:pPr>
      <w:r>
        <w:t xml:space="preserve">Word ignores this </w:t>
      </w:r>
      <w:r>
        <w:t>attribute.</w:t>
      </w:r>
    </w:p>
    <w:p w:rsidR="000A156F" w:rsidRDefault="00A9721F">
      <w:pPr>
        <w:pStyle w:val="Definition-Field"/>
      </w:pPr>
      <w:r>
        <w:t xml:space="preserve">c.   </w:t>
      </w:r>
      <w:r>
        <w:rPr>
          <w:i/>
        </w:rPr>
        <w:t>The standard does not state how to resolve conflicts between this element and the fitText element.</w:t>
      </w:r>
    </w:p>
    <w:p w:rsidR="000A156F" w:rsidRDefault="00A9721F">
      <w:pPr>
        <w:pStyle w:val="Definition-Field2"/>
      </w:pPr>
      <w:r>
        <w:t>Word ignores this element if the fitText element is also present on the parent paragraph.</w:t>
      </w:r>
    </w:p>
    <w:p w:rsidR="000A156F" w:rsidRDefault="00A9721F">
      <w:pPr>
        <w:pStyle w:val="Definition-Field"/>
      </w:pPr>
      <w:r>
        <w:t xml:space="preserve">d.   </w:t>
      </w:r>
      <w:r>
        <w:rPr>
          <w:i/>
        </w:rPr>
        <w:t>The standard does not state how a conflict bet</w:t>
      </w:r>
      <w:r>
        <w:rPr>
          <w:i/>
        </w:rPr>
        <w:t>ween the settings specified by the combine attribute and the vert attribute should be resolved.</w:t>
      </w:r>
    </w:p>
    <w:p w:rsidR="000A156F" w:rsidRDefault="00A9721F">
      <w:pPr>
        <w:pStyle w:val="Definition-Field2"/>
      </w:pPr>
      <w:r>
        <w:t>Word ignores the vert attribute when the combine attribute is set to true (or equivalent).</w:t>
      </w:r>
    </w:p>
    <w:p w:rsidR="000A156F" w:rsidRDefault="00A9721F">
      <w:pPr>
        <w:pStyle w:val="Definition-Field"/>
      </w:pPr>
      <w:r>
        <w:t xml:space="preserve">e.   </w:t>
      </w:r>
      <w:r>
        <w:rPr>
          <w:i/>
        </w:rPr>
        <w:t>The standard states that this element should work within a numbe</w:t>
      </w:r>
      <w:r>
        <w:rPr>
          <w:i/>
        </w:rPr>
        <w:t>ring level definition.</w:t>
      </w:r>
    </w:p>
    <w:p w:rsidR="000A156F" w:rsidRDefault="00A9721F">
      <w:pPr>
        <w:pStyle w:val="Definition-Field2"/>
      </w:pPr>
      <w:r>
        <w:t>Word does not support this element when used within the run properties of a numbering level definition.</w:t>
      </w:r>
    </w:p>
    <w:p w:rsidR="000A156F" w:rsidRDefault="00A9721F">
      <w:pPr>
        <w:pStyle w:val="Definition-Field"/>
      </w:pPr>
      <w:r>
        <w:t xml:space="preserve">f.   </w:t>
      </w:r>
      <w:r>
        <w:rPr>
          <w:i/>
        </w:rPr>
        <w:t>The standard states that this element specifies the East Asian typography settings which shall be applied to the contents of</w:t>
      </w:r>
      <w:r>
        <w:rPr>
          <w:i/>
        </w:rPr>
        <w:t xml:space="preserve"> the run.</w:t>
      </w:r>
    </w:p>
    <w:p w:rsidR="000A156F" w:rsidRDefault="00A9721F">
      <w:pPr>
        <w:pStyle w:val="Definition-Field2"/>
      </w:pPr>
      <w:r>
        <w:t>Word ignores these settings when the run is contained inside an equation, and when the run's direction does not match the direction of the parent paragraph.</w:t>
      </w:r>
    </w:p>
    <w:p w:rsidR="000A156F" w:rsidRDefault="00A9721F">
      <w:pPr>
        <w:pStyle w:val="Heading3"/>
      </w:pPr>
      <w:bookmarkStart w:id="172" w:name="section_be63571bd1204e6c87935326f06cba49"/>
      <w:bookmarkStart w:id="173" w:name="_Toc181683112"/>
      <w:r>
        <w:t>Part 1 Section 17.3.2.11, effect (Animated Text Effect)</w:t>
      </w:r>
      <w:bookmarkEnd w:id="172"/>
      <w:bookmarkEnd w:id="173"/>
      <w:r>
        <w:fldChar w:fldCharType="begin"/>
      </w:r>
      <w:r>
        <w:instrText xml:space="preserve"> XE "effect (Animated Text Effect)</w:instrText>
      </w:r>
      <w:r>
        <w:instrText xml:space="preserve">" </w:instrText>
      </w:r>
      <w:r>
        <w:fldChar w:fldCharType="end"/>
      </w:r>
    </w:p>
    <w:p w:rsidR="000A156F" w:rsidRDefault="00A9721F">
      <w:pPr>
        <w:pStyle w:val="Definition-Field"/>
      </w:pPr>
      <w:r>
        <w:t xml:space="preserve">a.   </w:t>
      </w:r>
      <w:r>
        <w:rPr>
          <w:i/>
        </w:rPr>
        <w:t>The standard states that the text effect is rendered around the text, but not all effects are border effects.</w:t>
      </w:r>
    </w:p>
    <w:p w:rsidR="000A156F" w:rsidRDefault="00A9721F">
      <w:pPr>
        <w:pStyle w:val="Definition-Field2"/>
      </w:pPr>
      <w:r>
        <w:t xml:space="preserve">Word renders the text effects defined in blinkBackground, shimmer, and sparkle animations behind the text, as they are not border </w:t>
      </w:r>
      <w:r>
        <w:t>animations.</w:t>
      </w:r>
    </w:p>
    <w:p w:rsidR="000A156F" w:rsidRDefault="00A9721F">
      <w:pPr>
        <w:pStyle w:val="Heading3"/>
      </w:pPr>
      <w:bookmarkStart w:id="174" w:name="section_ee04d38668c14e8dbce4f4250173ca21"/>
      <w:bookmarkStart w:id="175" w:name="_Toc181683113"/>
      <w:r>
        <w:t>Part 1 Section 17.3.2.13, emboss (Embossing)</w:t>
      </w:r>
      <w:bookmarkEnd w:id="174"/>
      <w:bookmarkEnd w:id="175"/>
      <w:r>
        <w:fldChar w:fldCharType="begin"/>
      </w:r>
      <w:r>
        <w:instrText xml:space="preserve"> XE "emboss (Embossing)" </w:instrText>
      </w:r>
      <w:r>
        <w:fldChar w:fldCharType="end"/>
      </w:r>
    </w:p>
    <w:p w:rsidR="000A156F" w:rsidRDefault="00A9721F">
      <w:pPr>
        <w:pStyle w:val="Definition-Field"/>
      </w:pPr>
      <w:r>
        <w:t xml:space="preserve">a.   </w:t>
      </w:r>
      <w:r>
        <w:rPr>
          <w:i/>
        </w:rPr>
        <w:t>The standard states that this element shall not be present with either the imprint or outline elements.</w:t>
      </w:r>
    </w:p>
    <w:p w:rsidR="000A156F" w:rsidRDefault="00A9721F">
      <w:pPr>
        <w:pStyle w:val="Definition-Field2"/>
      </w:pPr>
      <w:r>
        <w:t>Word also prevents it from being present with the shadow elemen</w:t>
      </w:r>
      <w:r>
        <w:t>t.</w:t>
      </w:r>
    </w:p>
    <w:p w:rsidR="000A156F" w:rsidRDefault="00A9721F">
      <w:pPr>
        <w:pStyle w:val="Heading3"/>
      </w:pPr>
      <w:bookmarkStart w:id="176" w:name="section_aec278824aa1491c9c00fbc9bb00c9f7"/>
      <w:bookmarkStart w:id="177" w:name="_Toc181683114"/>
      <w:r>
        <w:t>Part 1 Section 17.3.2.14, fitText (Manual Run Width)</w:t>
      </w:r>
      <w:bookmarkEnd w:id="176"/>
      <w:bookmarkEnd w:id="177"/>
      <w:r>
        <w:fldChar w:fldCharType="begin"/>
      </w:r>
      <w:r>
        <w:instrText xml:space="preserve"> XE "fitText (Manual Run Width)" </w:instrText>
      </w:r>
      <w:r>
        <w:fldChar w:fldCharType="end"/>
      </w:r>
    </w:p>
    <w:p w:rsidR="000A156F" w:rsidRDefault="00A9721F">
      <w:pPr>
        <w:pStyle w:val="Definition-Field"/>
      </w:pPr>
      <w:r>
        <w:t xml:space="preserve">a.   </w:t>
      </w:r>
      <w:r>
        <w:rPr>
          <w:i/>
        </w:rPr>
        <w:t>The standard states that the fitText element causes the contents of the run to be resized to fit the width specified by the val attribute.</w:t>
      </w:r>
    </w:p>
    <w:p w:rsidR="000A156F" w:rsidRDefault="00A9721F">
      <w:pPr>
        <w:pStyle w:val="Definition-Field2"/>
      </w:pPr>
      <w:r>
        <w:t>Word ignores this ele</w:t>
      </w:r>
      <w:r>
        <w:t>ment inside Math, inside structured document tags, and for text that does not match the reading order of the parent paragraph.</w:t>
      </w:r>
    </w:p>
    <w:p w:rsidR="000A156F" w:rsidRDefault="00A9721F">
      <w:pPr>
        <w:pStyle w:val="Definition-Field"/>
      </w:pPr>
      <w:r>
        <w:t xml:space="preserve">b.   </w:t>
      </w:r>
      <w:r>
        <w:rPr>
          <w:i/>
        </w:rPr>
        <w:t xml:space="preserve">The standard states that if the id attribute is omitted, then this run has no ID and shall not be linked with any other run </w:t>
      </w:r>
      <w:r>
        <w:rPr>
          <w:i/>
        </w:rPr>
        <w:t>in the parent paragraph.</w:t>
      </w:r>
    </w:p>
    <w:p w:rsidR="000A156F" w:rsidRDefault="00A9721F">
      <w:pPr>
        <w:pStyle w:val="Definition-Field2"/>
      </w:pPr>
      <w:r>
        <w:t>Word assigns an id of 0 when the id attribute is omitted, and links it to other contiguous runs having an omitted id attribute (or an explicit id value of 0).</w:t>
      </w:r>
    </w:p>
    <w:p w:rsidR="000A156F" w:rsidRDefault="00A9721F">
      <w:pPr>
        <w:pStyle w:val="Definition-Field"/>
      </w:pPr>
      <w:r>
        <w:t xml:space="preserve">c.   </w:t>
      </w:r>
      <w:r>
        <w:rPr>
          <w:i/>
        </w:rPr>
        <w:t>The standard states that the val attribute can contain any 64-bit i</w:t>
      </w:r>
      <w:r>
        <w:rPr>
          <w:i/>
        </w:rPr>
        <w:t>nteger value.</w:t>
      </w:r>
    </w:p>
    <w:p w:rsidR="000A156F" w:rsidRDefault="00A9721F">
      <w:pPr>
        <w:pStyle w:val="Definition-Field2"/>
      </w:pPr>
      <w:r>
        <w:t>Word restricts this attribute to a value between 0 and 31680 (22").</w:t>
      </w:r>
    </w:p>
    <w:p w:rsidR="000A156F" w:rsidRDefault="00A9721F">
      <w:pPr>
        <w:pStyle w:val="Definition-Field"/>
      </w:pPr>
      <w:r>
        <w:lastRenderedPageBreak/>
        <w:t xml:space="preserve">d.   </w:t>
      </w:r>
      <w:r>
        <w:rPr>
          <w:i/>
        </w:rPr>
        <w:t>The standard does not state how a conflict between this setting and the spacing element and/or the eastAsianLayout element should be handled.</w:t>
      </w:r>
    </w:p>
    <w:p w:rsidR="000A156F" w:rsidRDefault="00A9721F">
      <w:pPr>
        <w:pStyle w:val="Definition-Field2"/>
      </w:pPr>
      <w:r>
        <w:t>Word uses this element when</w:t>
      </w:r>
      <w:r>
        <w:t xml:space="preserve"> it is present, ignoring the spacing element and/or the eastAsianLayout element.</w:t>
      </w:r>
    </w:p>
    <w:p w:rsidR="000A156F" w:rsidRDefault="00A9721F">
      <w:pPr>
        <w:pStyle w:val="Heading3"/>
      </w:pPr>
      <w:bookmarkStart w:id="178" w:name="section_e07a90e276b547dd8bf4668a806177c7"/>
      <w:bookmarkStart w:id="179" w:name="_Toc181683115"/>
      <w:r>
        <w:t>Part 1 Section 17.3.2.15, highlight (Text Highlighting)</w:t>
      </w:r>
      <w:bookmarkEnd w:id="178"/>
      <w:bookmarkEnd w:id="179"/>
      <w:r>
        <w:fldChar w:fldCharType="begin"/>
      </w:r>
      <w:r>
        <w:instrText xml:space="preserve"> XE "highlight (Text Highlighting)" </w:instrText>
      </w:r>
      <w:r>
        <w:fldChar w:fldCharType="end"/>
      </w:r>
    </w:p>
    <w:p w:rsidR="000A156F" w:rsidRDefault="00A9721F">
      <w:pPr>
        <w:pStyle w:val="Definition-Field2"/>
      </w:pPr>
      <w:r>
        <w:rPr>
          <w:i/>
        </w:rPr>
        <w:t>For additional notes that apply to this portion of the standard, please see the n</w:t>
      </w:r>
      <w:r>
        <w:rPr>
          <w:i/>
        </w:rPr>
        <w:t xml:space="preserve">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0A156F" w:rsidRDefault="00A9721F">
      <w:pPr>
        <w:pStyle w:val="Heading3"/>
      </w:pPr>
      <w:bookmarkStart w:id="180" w:name="section_1288dac9291e4330b7cd020a392632c4"/>
      <w:bookmarkStart w:id="181" w:name="_Toc181683116"/>
      <w:r>
        <w:t>Part 1 Section 17.3.2.16, i (Italics)</w:t>
      </w:r>
      <w:bookmarkEnd w:id="180"/>
      <w:bookmarkEnd w:id="181"/>
      <w:r>
        <w:fldChar w:fldCharType="begin"/>
      </w:r>
      <w:r>
        <w:instrText xml:space="preserve"> XE "i (Italics)" </w:instrText>
      </w:r>
      <w:r>
        <w:fldChar w:fldCharType="end"/>
      </w:r>
    </w:p>
    <w:p w:rsidR="000A156F" w:rsidRDefault="00A9721F">
      <w:pPr>
        <w:pStyle w:val="Definition-Field"/>
      </w:pPr>
      <w:r>
        <w:t xml:space="preserve">a.   </w:t>
      </w:r>
      <w:r>
        <w:rPr>
          <w:i/>
        </w:rPr>
        <w:t xml:space="preserve">The standard states that this element applies italics to non-complex script characters, but does not specify how </w:t>
      </w:r>
      <w:r>
        <w:rPr>
          <w:i/>
        </w:rPr>
        <w:t>that determination is made.</w:t>
      </w:r>
    </w:p>
    <w:p w:rsidR="000A156F" w:rsidRDefault="00A9721F">
      <w:pPr>
        <w:pStyle w:val="Definition-Field2"/>
      </w:pPr>
      <w:r>
        <w:t>Word determines this state based on the state of the cs and rtl properties and applies italics to runs that do not use either of those properties.</w:t>
      </w:r>
    </w:p>
    <w:p w:rsidR="000A156F" w:rsidRDefault="00A9721F">
      <w:pPr>
        <w:pStyle w:val="Heading3"/>
      </w:pPr>
      <w:bookmarkStart w:id="182" w:name="section_22f74ff1babf4b338095058fc001c105"/>
      <w:bookmarkStart w:id="183" w:name="_Toc181683117"/>
      <w:r>
        <w:t>Part 1 Section 17.3.2.17, iCs (Complex Script Italics)</w:t>
      </w:r>
      <w:bookmarkEnd w:id="182"/>
      <w:bookmarkEnd w:id="183"/>
      <w:r>
        <w:fldChar w:fldCharType="begin"/>
      </w:r>
      <w:r>
        <w:instrText xml:space="preserve"> XE "iCs (Complex Script It</w:instrText>
      </w:r>
      <w:r>
        <w:instrText xml:space="preserve">alics)" </w:instrText>
      </w:r>
      <w:r>
        <w:fldChar w:fldCharType="end"/>
      </w:r>
    </w:p>
    <w:p w:rsidR="000A156F" w:rsidRDefault="00A9721F">
      <w:pPr>
        <w:pStyle w:val="Definition-Field"/>
      </w:pPr>
      <w:r>
        <w:t xml:space="preserve">a.   </w:t>
      </w:r>
      <w:r>
        <w:rPr>
          <w:i/>
        </w:rPr>
        <w:t>The standard states that this element applies italics to complex script characters, but does not specify how that determination is made.</w:t>
      </w:r>
    </w:p>
    <w:p w:rsidR="000A156F" w:rsidRDefault="00A9721F">
      <w:pPr>
        <w:pStyle w:val="Definition-Field2"/>
      </w:pPr>
      <w:r>
        <w:t xml:space="preserve">Word determines this state based on the state of the cs and rtl properties and applies italics to runs </w:t>
      </w:r>
      <w:r>
        <w:t>that use either of those properties.</w:t>
      </w:r>
    </w:p>
    <w:p w:rsidR="000A156F" w:rsidRDefault="00A9721F">
      <w:pPr>
        <w:pStyle w:val="Heading3"/>
      </w:pPr>
      <w:bookmarkStart w:id="184" w:name="section_1b1a3ab800294944aa76f1e7188c9447"/>
      <w:bookmarkStart w:id="185" w:name="_Toc181683118"/>
      <w:r>
        <w:t>Part 1 Section 17.3.2.18, imprint (Imprinting)</w:t>
      </w:r>
      <w:bookmarkEnd w:id="184"/>
      <w:bookmarkEnd w:id="185"/>
      <w:r>
        <w:fldChar w:fldCharType="begin"/>
      </w:r>
      <w:r>
        <w:instrText xml:space="preserve"> XE "imprint (Imprinting)" </w:instrText>
      </w:r>
      <w:r>
        <w:fldChar w:fldCharType="end"/>
      </w:r>
    </w:p>
    <w:p w:rsidR="000A156F" w:rsidRDefault="00A9721F">
      <w:pPr>
        <w:pStyle w:val="Definition-Field"/>
      </w:pPr>
      <w:r>
        <w:t xml:space="preserve">a.   </w:t>
      </w:r>
      <w:r>
        <w:rPr>
          <w:i/>
        </w:rPr>
        <w:t>The standard states that this element shall not be present with either the emboss or outline elements.</w:t>
      </w:r>
    </w:p>
    <w:p w:rsidR="000A156F" w:rsidRDefault="00A9721F">
      <w:pPr>
        <w:pStyle w:val="Definition-Field2"/>
      </w:pPr>
      <w:r>
        <w:t>Word also prevents it from being pr</w:t>
      </w:r>
      <w:r>
        <w:t>esent with the shadow element.</w:t>
      </w:r>
    </w:p>
    <w:p w:rsidR="000A156F" w:rsidRDefault="00A9721F">
      <w:pPr>
        <w:pStyle w:val="Heading3"/>
      </w:pPr>
      <w:bookmarkStart w:id="186" w:name="section_f04d9c4e29ef45e18de4de8701e7b796"/>
      <w:bookmarkStart w:id="187" w:name="_Toc181683119"/>
      <w:r>
        <w:t>Part 1 Section 17.3.2.19, kern (Font Kerning)</w:t>
      </w:r>
      <w:bookmarkEnd w:id="186"/>
      <w:bookmarkEnd w:id="187"/>
      <w:r>
        <w:fldChar w:fldCharType="begin"/>
      </w:r>
      <w:r>
        <w:instrText xml:space="preserve"> XE "kern (Font Kerning)" </w:instrText>
      </w:r>
      <w:r>
        <w:fldChar w:fldCharType="end"/>
      </w:r>
    </w:p>
    <w:p w:rsidR="000A156F" w:rsidRDefault="00A9721F">
      <w:pPr>
        <w:pStyle w:val="Definition-Field"/>
      </w:pPr>
      <w:r>
        <w:t xml:space="preserve">a.   </w:t>
      </w:r>
      <w:r>
        <w:rPr>
          <w:i/>
        </w:rPr>
        <w:t>The standard states that the values of the val attribute are defined by the XML Schema unsignedLong datatype.</w:t>
      </w:r>
    </w:p>
    <w:p w:rsidR="000A156F" w:rsidRDefault="00A9721F">
      <w:pPr>
        <w:pStyle w:val="Definition-Field2"/>
      </w:pPr>
      <w:r>
        <w:t xml:space="preserve">Word defines the values of this </w:t>
      </w:r>
      <w:r>
        <w:t>attribute with the XML Schema unsignedInt datatype, with a minimum value of 0 and a maximum value of 3277.</w:t>
      </w:r>
    </w:p>
    <w:p w:rsidR="000A156F" w:rsidRDefault="00A9721F">
      <w:pPr>
        <w:pStyle w:val="Heading3"/>
      </w:pPr>
      <w:bookmarkStart w:id="188" w:name="section_40c5a8d11e3e43dca5b0f324ea36bac1"/>
      <w:bookmarkStart w:id="189" w:name="_Toc181683120"/>
      <w:r>
        <w:t>Part 1 Section 17.3.2.20, lang (Languages for Run Content)</w:t>
      </w:r>
      <w:bookmarkEnd w:id="188"/>
      <w:bookmarkEnd w:id="189"/>
      <w:r>
        <w:fldChar w:fldCharType="begin"/>
      </w:r>
      <w:r>
        <w:instrText xml:space="preserve"> XE "lang (Languages for Run Content)" </w:instrText>
      </w:r>
      <w:r>
        <w:fldChar w:fldCharType="end"/>
      </w:r>
    </w:p>
    <w:p w:rsidR="000A156F" w:rsidRDefault="00A9721F">
      <w:pPr>
        <w:pStyle w:val="Definition-Field"/>
      </w:pPr>
      <w:r>
        <w:t xml:space="preserve">a.   </w:t>
      </w:r>
      <w:r>
        <w:rPr>
          <w:i/>
        </w:rPr>
        <w:t xml:space="preserve">The standard states that the bidi attribute </w:t>
      </w:r>
      <w:r>
        <w:rPr>
          <w:i/>
        </w:rPr>
        <w:t>applies font size to complex script characters, but does not specify how that determination is made.</w:t>
      </w:r>
    </w:p>
    <w:p w:rsidR="000A156F" w:rsidRDefault="00A9721F">
      <w:pPr>
        <w:pStyle w:val="Definition-Field2"/>
      </w:pPr>
      <w:r>
        <w:t>Word determines this state based on the state of the cs and rtl properties and applies the language to runs that use either of those properties.</w:t>
      </w:r>
    </w:p>
    <w:p w:rsidR="000A156F" w:rsidRDefault="00A9721F">
      <w:pPr>
        <w:pStyle w:val="Heading3"/>
      </w:pPr>
      <w:bookmarkStart w:id="190" w:name="section_c79fa63fc83f4f3cacd9979af05ae4fd"/>
      <w:bookmarkStart w:id="191" w:name="_Toc181683121"/>
      <w:r>
        <w:t>Part 1 Sec</w:t>
      </w:r>
      <w:r>
        <w:t>tion 17.3.2.21, noProof (Do Not Check Spelling or Grammar)</w:t>
      </w:r>
      <w:bookmarkEnd w:id="190"/>
      <w:bookmarkEnd w:id="191"/>
      <w:r>
        <w:fldChar w:fldCharType="begin"/>
      </w:r>
      <w:r>
        <w:instrText xml:space="preserve"> XE "noProof (Do Not Check Spelling or Grammar)" </w:instrText>
      </w:r>
      <w:r>
        <w:fldChar w:fldCharType="end"/>
      </w:r>
    </w:p>
    <w:p w:rsidR="000A156F" w:rsidRDefault="00A9721F">
      <w:pPr>
        <w:pStyle w:val="Definition-Field"/>
      </w:pPr>
      <w:r>
        <w:t xml:space="preserve">a.   </w:t>
      </w:r>
      <w:r>
        <w:rPr>
          <w:i/>
        </w:rPr>
        <w:t>The standard states that this element causes spelling and grammar to be suppressed.</w:t>
      </w:r>
    </w:p>
    <w:p w:rsidR="000A156F" w:rsidRDefault="00A9721F">
      <w:pPr>
        <w:pStyle w:val="Definition-Field2"/>
      </w:pPr>
      <w:r>
        <w:t xml:space="preserve">Word does not check spelling, grammar, or hyphenate runs </w:t>
      </w:r>
      <w:r>
        <w:t>that contain this element.</w:t>
      </w:r>
    </w:p>
    <w:p w:rsidR="000A156F" w:rsidRDefault="00A9721F">
      <w:pPr>
        <w:pStyle w:val="Heading3"/>
      </w:pPr>
      <w:bookmarkStart w:id="192" w:name="section_94590ec4e4c14f7ab967abe6bf8658b2"/>
      <w:bookmarkStart w:id="193" w:name="_Toc181683122"/>
      <w:r>
        <w:lastRenderedPageBreak/>
        <w:t>Part 1 Section 17.3.2.22, oMath (Office Open XML Math)</w:t>
      </w:r>
      <w:bookmarkEnd w:id="192"/>
      <w:bookmarkEnd w:id="193"/>
      <w:r>
        <w:fldChar w:fldCharType="begin"/>
      </w:r>
      <w:r>
        <w:instrText xml:space="preserve"> XE "oMath (Office Open XML Math)"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0A156F" w:rsidRDefault="00A9721F">
      <w:pPr>
        <w:pStyle w:val="Definition-Field"/>
      </w:pPr>
      <w:r>
        <w:t xml:space="preserve">a.   </w:t>
      </w:r>
      <w:r>
        <w:rPr>
          <w:i/>
        </w:rPr>
        <w:t>The standard states that the oMath run property can be applied to any run.</w:t>
      </w:r>
    </w:p>
    <w:p w:rsidR="000A156F" w:rsidRDefault="00A9721F">
      <w:pPr>
        <w:pStyle w:val="Definition-Field2"/>
      </w:pPr>
      <w:r>
        <w:t>Word only supports the oMath element when applied to the run properties on the paragraph mark.</w:t>
      </w:r>
    </w:p>
    <w:p w:rsidR="000A156F" w:rsidRDefault="00A9721F">
      <w:pPr>
        <w:pStyle w:val="Heading3"/>
      </w:pPr>
      <w:bookmarkStart w:id="194" w:name="section_f2e9836a5ffa4c5d87420c7a0637b277"/>
      <w:bookmarkStart w:id="195" w:name="_Toc181683123"/>
      <w:r>
        <w:t>Part 1 Section 17.3.2.25, r (Text Run)</w:t>
      </w:r>
      <w:bookmarkEnd w:id="194"/>
      <w:bookmarkEnd w:id="195"/>
      <w:r>
        <w:fldChar w:fldCharType="begin"/>
      </w:r>
      <w:r>
        <w:instrText xml:space="preserve"> XE "r (Text Run)" </w:instrText>
      </w:r>
      <w:r>
        <w:fldChar w:fldCharType="end"/>
      </w:r>
    </w:p>
    <w:p w:rsidR="000A156F" w:rsidRDefault="00A9721F">
      <w:pPr>
        <w:pStyle w:val="Definition-Field"/>
      </w:pPr>
      <w:r>
        <w:t xml:space="preserve">a.   </w:t>
      </w:r>
      <w:r>
        <w:rPr>
          <w:i/>
        </w:rPr>
        <w:t>The standard states that runs can occur outside of paragraphs.</w:t>
      </w:r>
    </w:p>
    <w:p w:rsidR="000A156F" w:rsidRDefault="00A9721F">
      <w:pPr>
        <w:pStyle w:val="Definition-Field2"/>
      </w:pPr>
      <w:r>
        <w:t>Word does not open a file that contains this element outside of a paragraph. This paragraph element does not need to be the direct parent of the run, but the paragraph element must exis</w:t>
      </w:r>
      <w:r>
        <w:t>t at some level around the run.</w:t>
      </w:r>
    </w:p>
    <w:p w:rsidR="000A156F" w:rsidRDefault="00A9721F">
      <w:pPr>
        <w:pStyle w:val="Heading3"/>
      </w:pPr>
      <w:bookmarkStart w:id="196" w:name="section_aef3c9a65d6c434b90b785e761fd8e62"/>
      <w:bookmarkStart w:id="197" w:name="_Toc181683124"/>
      <w:r>
        <w:t>Part 1 Section 17.3.2.26, rFonts (Run Fonts)</w:t>
      </w:r>
      <w:bookmarkEnd w:id="196"/>
      <w:bookmarkEnd w:id="197"/>
      <w:r>
        <w:fldChar w:fldCharType="begin"/>
      </w:r>
      <w:r>
        <w:instrText xml:space="preserve"> XE "rFonts (Run Fonts)" </w:instrText>
      </w:r>
      <w:r>
        <w:fldChar w:fldCharType="end"/>
      </w:r>
    </w:p>
    <w:p w:rsidR="000A156F" w:rsidRDefault="00A9721F">
      <w:pPr>
        <w:pStyle w:val="Definition-Field"/>
      </w:pPr>
      <w:r>
        <w:t xml:space="preserve">a.   </w:t>
      </w:r>
      <w:r>
        <w:rPr>
          <w:i/>
        </w:rPr>
        <w:t>The standard does not limit the length of the ascii, hAnsi, cs, and eastAsia attributes.</w:t>
      </w:r>
    </w:p>
    <w:p w:rsidR="000A156F" w:rsidRDefault="00A9721F">
      <w:pPr>
        <w:pStyle w:val="Definition-Field2"/>
      </w:pPr>
      <w:r>
        <w:t>Word restricts the value of these attributes to be less th</w:t>
      </w:r>
      <w:r>
        <w:t>an 32 characters.</w:t>
      </w:r>
    </w:p>
    <w:p w:rsidR="000A156F" w:rsidRDefault="00A9721F">
      <w:pPr>
        <w:pStyle w:val="Definition-Field"/>
      </w:pPr>
      <w:r>
        <w:t xml:space="preserve">b.   </w:t>
      </w:r>
      <w:r>
        <w:rPr>
          <w:i/>
        </w:rPr>
        <w:t>The standard states that the use of each of the run fonts shall be determined by the Unicode character values of the run content, but does not explain precisely how this is done.</w:t>
      </w:r>
    </w:p>
    <w:p w:rsidR="000A156F" w:rsidRDefault="00A9721F">
      <w:r>
        <w:t>Word determines the use of each of these fonts from th</w:t>
      </w:r>
      <w:r>
        <w:t>e Unicode character values in the following manner:</w:t>
      </w:r>
    </w:p>
    <w:p w:rsidR="000A156F" w:rsidRDefault="00A9721F">
      <w:pPr>
        <w:pStyle w:val="ListParagraph"/>
        <w:numPr>
          <w:ilvl w:val="0"/>
          <w:numId w:val="54"/>
        </w:numPr>
        <w:contextualSpacing/>
      </w:pPr>
      <w:r>
        <w:t xml:space="preserve">If the run has the </w:t>
      </w:r>
      <w:r>
        <w:rPr>
          <w:b/>
        </w:rPr>
        <w:t>cs</w:t>
      </w:r>
      <w:r>
        <w:t xml:space="preserve"> element ("</w:t>
      </w:r>
      <w:hyperlink r:id="rId84">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w:t>
      </w:r>
      <w:r>
        <w:t xml:space="preserve">r </w:t>
      </w:r>
      <w:r>
        <w:rPr>
          <w:b/>
        </w:rPr>
        <w:t>cstheme</w:t>
      </w:r>
      <w:r>
        <w:t xml:space="preserve"> if defined) font is used, regardless of the Unicode character values of the run’s content.</w:t>
      </w:r>
    </w:p>
    <w:p w:rsidR="000A156F" w:rsidRDefault="00A9721F">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0A156F" w:rsidRDefault="00A9721F">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Unicode Block</w:t>
            </w:r>
          </w:p>
        </w:tc>
        <w:tc>
          <w:tcPr>
            <w:tcW w:w="0" w:type="auto"/>
            <w:vAlign w:val="center"/>
          </w:tcPr>
          <w:p w:rsidR="000A156F" w:rsidRDefault="00A9721F">
            <w:pPr>
              <w:pStyle w:val="TableHeaderText"/>
            </w:pPr>
            <w:r>
              <w:t>Rang</w:t>
            </w:r>
            <w:r>
              <w:t>e</w:t>
            </w:r>
          </w:p>
        </w:tc>
        <w:tc>
          <w:tcPr>
            <w:tcW w:w="0" w:type="auto"/>
            <w:vAlign w:val="center"/>
          </w:tcPr>
          <w:p w:rsidR="000A156F" w:rsidRDefault="00A9721F">
            <w:pPr>
              <w:pStyle w:val="TableHeaderText"/>
            </w:pPr>
            <w:r>
              <w:t>Classification</w:t>
            </w:r>
          </w:p>
        </w:tc>
      </w:tr>
      <w:tr w:rsidR="000A156F" w:rsidTr="000A156F">
        <w:tc>
          <w:tcPr>
            <w:tcW w:w="0" w:type="auto"/>
            <w:vAlign w:val="center"/>
          </w:tcPr>
          <w:p w:rsidR="000A156F" w:rsidRDefault="00A9721F">
            <w:pPr>
              <w:pStyle w:val="TableBodyText"/>
            </w:pPr>
            <w:r>
              <w:rPr>
                <w:b/>
              </w:rPr>
              <w:t>Basic Latin</w:t>
            </w:r>
          </w:p>
        </w:tc>
        <w:tc>
          <w:tcPr>
            <w:tcW w:w="0" w:type="auto"/>
            <w:vAlign w:val="center"/>
          </w:tcPr>
          <w:p w:rsidR="000A156F" w:rsidRDefault="00A9721F">
            <w:pPr>
              <w:pStyle w:val="TableBodyText"/>
            </w:pPr>
            <w:r>
              <w:t>0000 – 007F</w:t>
            </w:r>
          </w:p>
        </w:tc>
        <w:tc>
          <w:tcPr>
            <w:tcW w:w="0" w:type="auto"/>
            <w:vAlign w:val="center"/>
          </w:tcPr>
          <w:p w:rsidR="000A156F" w:rsidRDefault="00A9721F">
            <w:pPr>
              <w:pStyle w:val="TableBodyText"/>
            </w:pPr>
            <w:r>
              <w:rPr>
                <w:b/>
              </w:rPr>
              <w:t>ascii</w:t>
            </w:r>
            <w:r>
              <w:t xml:space="preserve"> (or </w:t>
            </w:r>
            <w:r>
              <w:rPr>
                <w:b/>
              </w:rPr>
              <w:t>asciiTheme</w:t>
            </w:r>
            <w:r>
              <w:t xml:space="preserve"> if defined)</w:t>
            </w:r>
          </w:p>
        </w:tc>
      </w:tr>
      <w:tr w:rsidR="000A156F" w:rsidTr="000A156F">
        <w:tc>
          <w:tcPr>
            <w:tcW w:w="0" w:type="auto"/>
            <w:vAlign w:val="center"/>
          </w:tcPr>
          <w:p w:rsidR="000A156F" w:rsidRDefault="00A9721F">
            <w:pPr>
              <w:pStyle w:val="TableBodyText"/>
            </w:pPr>
            <w:r>
              <w:rPr>
                <w:b/>
              </w:rPr>
              <w:t>Latin-1 Supplement</w:t>
            </w:r>
          </w:p>
        </w:tc>
        <w:tc>
          <w:tcPr>
            <w:tcW w:w="0" w:type="auto"/>
            <w:vAlign w:val="center"/>
          </w:tcPr>
          <w:p w:rsidR="000A156F" w:rsidRDefault="00A9721F">
            <w:pPr>
              <w:pStyle w:val="TableBodyText"/>
            </w:pPr>
            <w:r>
              <w:t>00A0 – 00FF</w:t>
            </w:r>
          </w:p>
        </w:tc>
        <w:tc>
          <w:tcPr>
            <w:tcW w:w="0" w:type="auto"/>
            <w:vAlign w:val="center"/>
          </w:tcPr>
          <w:p w:rsidR="000A156F" w:rsidRDefault="00A9721F">
            <w:pPr>
              <w:pStyle w:val="TableBodyText"/>
            </w:pPr>
            <w:r>
              <w:rPr>
                <w:b/>
              </w:rPr>
              <w:t>hAnsi</w:t>
            </w:r>
            <w:r>
              <w:t xml:space="preserve"> (or </w:t>
            </w:r>
            <w:r>
              <w:rPr>
                <w:b/>
              </w:rPr>
              <w:t>hAnsiTheme</w:t>
            </w:r>
            <w:r>
              <w:t xml:space="preserve"> if defined), with the following exceptions:</w:t>
            </w:r>
          </w:p>
          <w:p w:rsidR="000A156F" w:rsidRDefault="00A9721F">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0A156F" w:rsidRDefault="00A9721F">
            <w:pPr>
              <w:pStyle w:val="TableBodyText"/>
            </w:pPr>
            <w:r>
              <w:t xml:space="preserve">If </w:t>
            </w:r>
            <w:r>
              <w:rPr>
                <w:b/>
              </w:rPr>
              <w:t>hint</w:t>
            </w:r>
            <w:r>
              <w:t xml:space="preserve"> is </w:t>
            </w:r>
            <w:r>
              <w:rPr>
                <w:i/>
              </w:rPr>
              <w:t>eastAsia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w:t>
            </w:r>
            <w:r>
              <w:t>E8 – EA, EC – ED, F2 – F3, F9 – FA, FC</w:t>
            </w:r>
          </w:p>
        </w:tc>
      </w:tr>
      <w:tr w:rsidR="000A156F" w:rsidTr="000A156F">
        <w:tc>
          <w:tcPr>
            <w:tcW w:w="0" w:type="auto"/>
            <w:vAlign w:val="center"/>
          </w:tcPr>
          <w:p w:rsidR="000A156F" w:rsidRDefault="00A9721F">
            <w:pPr>
              <w:pStyle w:val="TableBodyText"/>
            </w:pPr>
            <w:r>
              <w:rPr>
                <w:b/>
              </w:rPr>
              <w:t>Latin Extended-A</w:t>
            </w:r>
          </w:p>
        </w:tc>
        <w:tc>
          <w:tcPr>
            <w:tcW w:w="0" w:type="auto"/>
            <w:vAlign w:val="center"/>
          </w:tcPr>
          <w:p w:rsidR="000A156F" w:rsidRDefault="00A9721F">
            <w:pPr>
              <w:pStyle w:val="TableBodyText"/>
            </w:pPr>
            <w:r>
              <w:t>0100 – 017F</w:t>
            </w:r>
          </w:p>
        </w:tc>
        <w:tc>
          <w:tcPr>
            <w:tcW w:w="0" w:type="auto"/>
            <w:vAlign w:val="center"/>
          </w:tcPr>
          <w:p w:rsidR="000A156F" w:rsidRDefault="00A9721F">
            <w:pPr>
              <w:pStyle w:val="TableBodyText"/>
            </w:pPr>
            <w:r>
              <w:rPr>
                <w:b/>
              </w:rPr>
              <w:t>hAnsi</w:t>
            </w:r>
            <w:r>
              <w:t xml:space="preserve"> (or </w:t>
            </w:r>
            <w:r>
              <w:rPr>
                <w:b/>
              </w:rPr>
              <w:t>hAnsiTheme</w:t>
            </w:r>
            <w:r>
              <w:t xml:space="preserve"> if defined), with the following exception:</w:t>
            </w:r>
          </w:p>
          <w:p w:rsidR="000A156F" w:rsidRDefault="00A9721F">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w:t>
            </w:r>
            <w:r>
              <w:t xml:space="preserve">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eastAsiaTheme</w:t>
            </w:r>
            <w:r>
              <w:t xml:space="preserve"> if defined)</w:t>
            </w:r>
            <w:r>
              <w:rPr>
                <w:i/>
              </w:rPr>
              <w:t xml:space="preserve"> </w:t>
            </w:r>
            <w:r>
              <w:t>font is used.</w:t>
            </w:r>
          </w:p>
        </w:tc>
      </w:tr>
      <w:tr w:rsidR="000A156F" w:rsidTr="000A156F">
        <w:tc>
          <w:tcPr>
            <w:tcW w:w="0" w:type="auto"/>
            <w:vAlign w:val="center"/>
          </w:tcPr>
          <w:p w:rsidR="000A156F" w:rsidRDefault="00A9721F">
            <w:pPr>
              <w:pStyle w:val="TableBodyText"/>
            </w:pPr>
            <w:r>
              <w:rPr>
                <w:b/>
              </w:rPr>
              <w:t>Latin Extended-B</w:t>
            </w:r>
          </w:p>
        </w:tc>
        <w:tc>
          <w:tcPr>
            <w:tcW w:w="0" w:type="auto"/>
            <w:vAlign w:val="center"/>
          </w:tcPr>
          <w:p w:rsidR="000A156F" w:rsidRDefault="00A9721F">
            <w:pPr>
              <w:pStyle w:val="TableBodyText"/>
            </w:pPr>
            <w:r>
              <w:t xml:space="preserve">0180 – </w:t>
            </w:r>
            <w:r>
              <w:lastRenderedPageBreak/>
              <w:t>024F</w:t>
            </w:r>
          </w:p>
        </w:tc>
        <w:tc>
          <w:tcPr>
            <w:tcW w:w="0" w:type="auto"/>
            <w:vAlign w:val="center"/>
          </w:tcPr>
          <w:p w:rsidR="000A156F" w:rsidRDefault="00A9721F">
            <w:pPr>
              <w:pStyle w:val="TableBodyText"/>
            </w:pPr>
            <w:r>
              <w:rPr>
                <w:b/>
              </w:rPr>
              <w:lastRenderedPageBreak/>
              <w:t>hAnsi</w:t>
            </w:r>
            <w:r>
              <w:t xml:space="preserve"> (or </w:t>
            </w:r>
            <w:r>
              <w:rPr>
                <w:b/>
              </w:rPr>
              <w:t>hAnsiTheme</w:t>
            </w:r>
            <w:r>
              <w:t xml:space="preserve"> if defined), with the following exception:</w:t>
            </w:r>
          </w:p>
          <w:p w:rsidR="000A156F" w:rsidRDefault="00A9721F">
            <w:pPr>
              <w:pStyle w:val="TableBodyText"/>
            </w:pPr>
            <w:r>
              <w:lastRenderedPageBreak/>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0A156F" w:rsidTr="000A156F">
        <w:tc>
          <w:tcPr>
            <w:tcW w:w="0" w:type="auto"/>
            <w:vAlign w:val="center"/>
          </w:tcPr>
          <w:p w:rsidR="000A156F" w:rsidRDefault="00A9721F">
            <w:pPr>
              <w:pStyle w:val="TableBodyText"/>
            </w:pPr>
            <w:r>
              <w:rPr>
                <w:b/>
              </w:rPr>
              <w:lastRenderedPageBreak/>
              <w:t>IPA Extensions</w:t>
            </w:r>
          </w:p>
        </w:tc>
        <w:tc>
          <w:tcPr>
            <w:tcW w:w="0" w:type="auto"/>
            <w:vAlign w:val="center"/>
          </w:tcPr>
          <w:p w:rsidR="000A156F" w:rsidRDefault="00A9721F">
            <w:pPr>
              <w:pStyle w:val="TableBodyText"/>
            </w:pPr>
            <w:r>
              <w:t xml:space="preserve">0250 </w:t>
            </w:r>
            <w:r>
              <w:t>– 02AF</w:t>
            </w:r>
          </w:p>
        </w:tc>
        <w:tc>
          <w:tcPr>
            <w:tcW w:w="0" w:type="auto"/>
            <w:vAlign w:val="center"/>
          </w:tcPr>
          <w:p w:rsidR="000A156F" w:rsidRDefault="00A9721F">
            <w:pPr>
              <w:pStyle w:val="TableBodyText"/>
            </w:pPr>
            <w:r>
              <w:rPr>
                <w:b/>
              </w:rPr>
              <w:t>hAnsi</w:t>
            </w:r>
            <w:r>
              <w:t xml:space="preserve"> (or </w:t>
            </w:r>
            <w:r>
              <w:rPr>
                <w:b/>
              </w:rPr>
              <w:t>hAnsiTheme</w:t>
            </w:r>
            <w:r>
              <w:t xml:space="preserve"> if defined), with the following exception:</w:t>
            </w:r>
          </w:p>
          <w:p w:rsidR="000A156F" w:rsidRDefault="00A9721F">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w:t>
            </w:r>
            <w:r>
              <w:t xml:space="preserve"> or GB2312 then </w:t>
            </w:r>
            <w:r>
              <w:rPr>
                <w:b/>
              </w:rPr>
              <w:t>eastAsia</w:t>
            </w:r>
            <w:r>
              <w:t xml:space="preserve"> (or </w:t>
            </w:r>
            <w:r>
              <w:rPr>
                <w:b/>
              </w:rPr>
              <w:t>eastAsiaTheme</w:t>
            </w:r>
            <w:r>
              <w:t xml:space="preserve"> if defined) font is used.</w:t>
            </w:r>
          </w:p>
        </w:tc>
      </w:tr>
      <w:tr w:rsidR="000A156F" w:rsidTr="000A156F">
        <w:tc>
          <w:tcPr>
            <w:tcW w:w="0" w:type="auto"/>
            <w:vAlign w:val="center"/>
          </w:tcPr>
          <w:p w:rsidR="000A156F" w:rsidRDefault="00A9721F">
            <w:pPr>
              <w:pStyle w:val="TableBodyText"/>
            </w:pPr>
            <w:r>
              <w:rPr>
                <w:b/>
              </w:rPr>
              <w:t>Spacing Modifier Letters</w:t>
            </w:r>
          </w:p>
        </w:tc>
        <w:tc>
          <w:tcPr>
            <w:tcW w:w="0" w:type="auto"/>
            <w:vAlign w:val="center"/>
          </w:tcPr>
          <w:p w:rsidR="000A156F" w:rsidRDefault="00A9721F">
            <w:pPr>
              <w:pStyle w:val="TableBodyText"/>
            </w:pPr>
            <w:r>
              <w:t>02B0 – 02FF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Combining Diacritical Marks</w:t>
            </w:r>
          </w:p>
        </w:tc>
        <w:tc>
          <w:tcPr>
            <w:tcW w:w="0" w:type="auto"/>
            <w:vAlign w:val="center"/>
          </w:tcPr>
          <w:p w:rsidR="000A156F" w:rsidRDefault="00A9721F">
            <w:pPr>
              <w:pStyle w:val="TableBodyText"/>
            </w:pPr>
            <w:r>
              <w:t>0300 – 036F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w:t>
            </w:r>
            <w:r>
              <w:rPr>
                <w:b/>
              </w:rPr>
              <w:t>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Greek</w:t>
            </w:r>
          </w:p>
        </w:tc>
        <w:tc>
          <w:tcPr>
            <w:tcW w:w="0" w:type="auto"/>
            <w:vAlign w:val="center"/>
          </w:tcPr>
          <w:p w:rsidR="000A156F" w:rsidRDefault="00A9721F">
            <w:pPr>
              <w:pStyle w:val="TableBodyText"/>
            </w:pPr>
            <w:r>
              <w:t>0370 – 03CF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Cyrillic</w:t>
            </w:r>
          </w:p>
        </w:tc>
        <w:tc>
          <w:tcPr>
            <w:tcW w:w="0" w:type="auto"/>
            <w:vAlign w:val="center"/>
          </w:tcPr>
          <w:p w:rsidR="000A156F" w:rsidRDefault="00A9721F">
            <w:pPr>
              <w:pStyle w:val="TableBodyText"/>
            </w:pPr>
            <w:r>
              <w:t>0400 – 04FF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Hebrew</w:t>
            </w:r>
          </w:p>
        </w:tc>
        <w:tc>
          <w:tcPr>
            <w:tcW w:w="0" w:type="auto"/>
            <w:vAlign w:val="center"/>
          </w:tcPr>
          <w:p w:rsidR="000A156F" w:rsidRDefault="00A9721F">
            <w:pPr>
              <w:pStyle w:val="TableBodyText"/>
            </w:pPr>
            <w:r>
              <w:t xml:space="preserve">0590 – </w:t>
            </w:r>
            <w:r>
              <w:t>05FF</w:t>
            </w:r>
          </w:p>
        </w:tc>
        <w:tc>
          <w:tcPr>
            <w:tcW w:w="0" w:type="auto"/>
            <w:vAlign w:val="center"/>
          </w:tcPr>
          <w:p w:rsidR="000A156F" w:rsidRDefault="00A9721F">
            <w:pPr>
              <w:pStyle w:val="TableBodyText"/>
            </w:pPr>
            <w:r>
              <w:rPr>
                <w:b/>
              </w:rPr>
              <w:t>ascii</w:t>
            </w:r>
            <w:r>
              <w:t xml:space="preserve"> (or </w:t>
            </w:r>
            <w:r>
              <w:rPr>
                <w:b/>
              </w:rPr>
              <w:t>asciiTheme</w:t>
            </w:r>
            <w:r>
              <w:t xml:space="preserve"> if defined)</w:t>
            </w:r>
          </w:p>
        </w:tc>
      </w:tr>
      <w:tr w:rsidR="000A156F" w:rsidTr="000A156F">
        <w:tc>
          <w:tcPr>
            <w:tcW w:w="0" w:type="auto"/>
            <w:vAlign w:val="center"/>
          </w:tcPr>
          <w:p w:rsidR="000A156F" w:rsidRDefault="00A9721F">
            <w:pPr>
              <w:pStyle w:val="TableBodyText"/>
            </w:pPr>
            <w:r>
              <w:rPr>
                <w:b/>
              </w:rPr>
              <w:t>Arabic</w:t>
            </w:r>
          </w:p>
        </w:tc>
        <w:tc>
          <w:tcPr>
            <w:tcW w:w="0" w:type="auto"/>
            <w:vAlign w:val="center"/>
          </w:tcPr>
          <w:p w:rsidR="000A156F" w:rsidRDefault="00A9721F">
            <w:pPr>
              <w:pStyle w:val="TableBodyText"/>
            </w:pPr>
            <w:r>
              <w:t>0600 – 06FF</w:t>
            </w:r>
          </w:p>
        </w:tc>
        <w:tc>
          <w:tcPr>
            <w:tcW w:w="0" w:type="auto"/>
            <w:vAlign w:val="center"/>
          </w:tcPr>
          <w:p w:rsidR="000A156F" w:rsidRDefault="00A9721F">
            <w:pPr>
              <w:pStyle w:val="TableBodyText"/>
            </w:pPr>
            <w:r>
              <w:rPr>
                <w:b/>
              </w:rPr>
              <w:t>ascii</w:t>
            </w:r>
            <w:r>
              <w:t xml:space="preserve"> (or </w:t>
            </w:r>
            <w:r>
              <w:rPr>
                <w:b/>
              </w:rPr>
              <w:t>asciiTheme</w:t>
            </w:r>
            <w:r>
              <w:t xml:space="preserve"> if defined)</w:t>
            </w:r>
          </w:p>
        </w:tc>
      </w:tr>
      <w:tr w:rsidR="000A156F" w:rsidTr="000A156F">
        <w:tc>
          <w:tcPr>
            <w:tcW w:w="0" w:type="auto"/>
            <w:vAlign w:val="center"/>
          </w:tcPr>
          <w:p w:rsidR="000A156F" w:rsidRDefault="00A9721F">
            <w:pPr>
              <w:pStyle w:val="TableBodyText"/>
            </w:pPr>
            <w:r>
              <w:rPr>
                <w:b/>
              </w:rPr>
              <w:t>Syriac</w:t>
            </w:r>
          </w:p>
        </w:tc>
        <w:tc>
          <w:tcPr>
            <w:tcW w:w="0" w:type="auto"/>
            <w:vAlign w:val="center"/>
          </w:tcPr>
          <w:p w:rsidR="000A156F" w:rsidRDefault="00A9721F">
            <w:pPr>
              <w:pStyle w:val="TableBodyText"/>
            </w:pPr>
            <w:r>
              <w:t>0700 – 074F</w:t>
            </w:r>
          </w:p>
        </w:tc>
        <w:tc>
          <w:tcPr>
            <w:tcW w:w="0" w:type="auto"/>
            <w:vAlign w:val="center"/>
          </w:tcPr>
          <w:p w:rsidR="000A156F" w:rsidRDefault="00A9721F">
            <w:pPr>
              <w:pStyle w:val="TableBodyText"/>
            </w:pPr>
            <w:r>
              <w:rPr>
                <w:b/>
              </w:rPr>
              <w:t>ascii</w:t>
            </w:r>
            <w:r>
              <w:t xml:space="preserve"> (or </w:t>
            </w:r>
            <w:r>
              <w:rPr>
                <w:b/>
              </w:rPr>
              <w:t>asciiTheme</w:t>
            </w:r>
            <w:r>
              <w:t xml:space="preserve"> if defined)</w:t>
            </w:r>
          </w:p>
        </w:tc>
      </w:tr>
      <w:tr w:rsidR="000A156F" w:rsidTr="000A156F">
        <w:tc>
          <w:tcPr>
            <w:tcW w:w="0" w:type="auto"/>
            <w:vAlign w:val="center"/>
          </w:tcPr>
          <w:p w:rsidR="000A156F" w:rsidRDefault="00A9721F">
            <w:pPr>
              <w:pStyle w:val="TableBodyText"/>
            </w:pPr>
            <w:r>
              <w:rPr>
                <w:b/>
              </w:rPr>
              <w:t>Arabic Supplement</w:t>
            </w:r>
          </w:p>
        </w:tc>
        <w:tc>
          <w:tcPr>
            <w:tcW w:w="0" w:type="auto"/>
            <w:vAlign w:val="center"/>
          </w:tcPr>
          <w:p w:rsidR="000A156F" w:rsidRDefault="00A9721F">
            <w:pPr>
              <w:pStyle w:val="TableBodyText"/>
            </w:pPr>
            <w:r>
              <w:t>0750 – 077F</w:t>
            </w:r>
          </w:p>
        </w:tc>
        <w:tc>
          <w:tcPr>
            <w:tcW w:w="0" w:type="auto"/>
            <w:vAlign w:val="center"/>
          </w:tcPr>
          <w:p w:rsidR="000A156F" w:rsidRDefault="00A9721F">
            <w:pPr>
              <w:pStyle w:val="TableBodyText"/>
            </w:pPr>
            <w:r>
              <w:rPr>
                <w:b/>
              </w:rPr>
              <w:t>ascii</w:t>
            </w:r>
            <w:r>
              <w:t xml:space="preserve"> (or </w:t>
            </w:r>
            <w:r>
              <w:rPr>
                <w:b/>
              </w:rPr>
              <w:t>asciiTheme</w:t>
            </w:r>
            <w:r>
              <w:t xml:space="preserve"> if defined)</w:t>
            </w:r>
          </w:p>
        </w:tc>
      </w:tr>
      <w:tr w:rsidR="000A156F" w:rsidTr="000A156F">
        <w:tc>
          <w:tcPr>
            <w:tcW w:w="0" w:type="auto"/>
            <w:vAlign w:val="center"/>
          </w:tcPr>
          <w:p w:rsidR="000A156F" w:rsidRDefault="00A9721F">
            <w:pPr>
              <w:pStyle w:val="TableBodyText"/>
            </w:pPr>
            <w:r>
              <w:rPr>
                <w:b/>
              </w:rPr>
              <w:t>Thaana</w:t>
            </w:r>
          </w:p>
        </w:tc>
        <w:tc>
          <w:tcPr>
            <w:tcW w:w="0" w:type="auto"/>
            <w:vAlign w:val="center"/>
          </w:tcPr>
          <w:p w:rsidR="000A156F" w:rsidRDefault="00A9721F">
            <w:pPr>
              <w:pStyle w:val="TableBodyText"/>
            </w:pPr>
            <w:r>
              <w:t>0780 – 07BF</w:t>
            </w:r>
          </w:p>
        </w:tc>
        <w:tc>
          <w:tcPr>
            <w:tcW w:w="0" w:type="auto"/>
            <w:vAlign w:val="center"/>
          </w:tcPr>
          <w:p w:rsidR="000A156F" w:rsidRDefault="00A9721F">
            <w:pPr>
              <w:pStyle w:val="TableBodyText"/>
            </w:pPr>
            <w:r>
              <w:rPr>
                <w:b/>
              </w:rPr>
              <w:t>ascii</w:t>
            </w:r>
            <w:r>
              <w:t xml:space="preserve"> (or </w:t>
            </w:r>
            <w:r>
              <w:rPr>
                <w:b/>
              </w:rPr>
              <w:t>asciiTheme</w:t>
            </w:r>
            <w:r>
              <w:t xml:space="preserve"> if defined)</w:t>
            </w:r>
          </w:p>
        </w:tc>
      </w:tr>
      <w:tr w:rsidR="000A156F" w:rsidTr="000A156F">
        <w:tc>
          <w:tcPr>
            <w:tcW w:w="0" w:type="auto"/>
            <w:vAlign w:val="center"/>
          </w:tcPr>
          <w:p w:rsidR="000A156F" w:rsidRDefault="00A9721F">
            <w:pPr>
              <w:pStyle w:val="TableBodyText"/>
            </w:pPr>
            <w:r>
              <w:rPr>
                <w:b/>
              </w:rPr>
              <w:t>Hangul Jamo</w:t>
            </w:r>
          </w:p>
        </w:tc>
        <w:tc>
          <w:tcPr>
            <w:tcW w:w="0" w:type="auto"/>
            <w:vAlign w:val="center"/>
          </w:tcPr>
          <w:p w:rsidR="000A156F" w:rsidRDefault="00A9721F">
            <w:pPr>
              <w:pStyle w:val="TableBodyText"/>
            </w:pPr>
            <w:r>
              <w:t>1100 – 11FF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Latin Extended Additional</w:t>
            </w:r>
          </w:p>
        </w:tc>
        <w:tc>
          <w:tcPr>
            <w:tcW w:w="0" w:type="auto"/>
            <w:vAlign w:val="center"/>
          </w:tcPr>
          <w:p w:rsidR="000A156F" w:rsidRDefault="00A9721F">
            <w:pPr>
              <w:pStyle w:val="TableBodyText"/>
            </w:pPr>
            <w:r>
              <w:t>1E00 – 1EFF</w:t>
            </w:r>
          </w:p>
        </w:tc>
        <w:tc>
          <w:tcPr>
            <w:tcW w:w="0" w:type="auto"/>
            <w:vAlign w:val="center"/>
          </w:tcPr>
          <w:p w:rsidR="000A156F" w:rsidRDefault="00A9721F">
            <w:pPr>
              <w:pStyle w:val="TableBodyText"/>
            </w:pPr>
            <w:r>
              <w:rPr>
                <w:b/>
              </w:rPr>
              <w:t>hAnsi</w:t>
            </w:r>
            <w:r>
              <w:t xml:space="preserve"> (or </w:t>
            </w:r>
            <w:r>
              <w:rPr>
                <w:b/>
              </w:rPr>
              <w:t>hAnsiTheme</w:t>
            </w:r>
            <w:r>
              <w:t xml:space="preserve"> if defined), with the following exception:</w:t>
            </w:r>
          </w:p>
          <w:p w:rsidR="000A156F" w:rsidRDefault="00A9721F">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General Punctuation</w:t>
            </w:r>
          </w:p>
        </w:tc>
        <w:tc>
          <w:tcPr>
            <w:tcW w:w="0" w:type="auto"/>
            <w:vAlign w:val="center"/>
          </w:tcPr>
          <w:p w:rsidR="000A156F" w:rsidRDefault="00A9721F">
            <w:pPr>
              <w:pStyle w:val="TableBodyText"/>
            </w:pPr>
            <w:r>
              <w:t>2000 – 206F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Superscripts and S</w:t>
            </w:r>
            <w:r>
              <w:rPr>
                <w:b/>
              </w:rPr>
              <w:t>ubscripts</w:t>
            </w:r>
          </w:p>
        </w:tc>
        <w:tc>
          <w:tcPr>
            <w:tcW w:w="0" w:type="auto"/>
            <w:vAlign w:val="center"/>
          </w:tcPr>
          <w:p w:rsidR="000A156F" w:rsidRDefault="00A9721F">
            <w:pPr>
              <w:pStyle w:val="TableBodyText"/>
            </w:pPr>
            <w:r>
              <w:t>2070 – 209F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Currency Symbols</w:t>
            </w:r>
          </w:p>
        </w:tc>
        <w:tc>
          <w:tcPr>
            <w:tcW w:w="0" w:type="auto"/>
            <w:vAlign w:val="center"/>
          </w:tcPr>
          <w:p w:rsidR="000A156F" w:rsidRDefault="00A9721F">
            <w:pPr>
              <w:pStyle w:val="TableBodyText"/>
            </w:pPr>
            <w:r>
              <w:t>20A0 – 20CF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Combining Diacritical Marks for Symbols</w:t>
            </w:r>
          </w:p>
        </w:tc>
        <w:tc>
          <w:tcPr>
            <w:tcW w:w="0" w:type="auto"/>
            <w:vAlign w:val="center"/>
          </w:tcPr>
          <w:p w:rsidR="000A156F" w:rsidRDefault="00A9721F">
            <w:pPr>
              <w:pStyle w:val="TableBodyText"/>
            </w:pPr>
            <w:r>
              <w:t xml:space="preserve">20D0 – </w:t>
            </w:r>
            <w:r>
              <w:t>20FF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Letter-like Symbols</w:t>
            </w:r>
          </w:p>
        </w:tc>
        <w:tc>
          <w:tcPr>
            <w:tcW w:w="0" w:type="auto"/>
            <w:vAlign w:val="center"/>
          </w:tcPr>
          <w:p w:rsidR="000A156F" w:rsidRDefault="00A9721F">
            <w:pPr>
              <w:pStyle w:val="TableBodyText"/>
            </w:pPr>
            <w:r>
              <w:t>2100 – 214F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lastRenderedPageBreak/>
              <w:t>Number Forms</w:t>
            </w:r>
          </w:p>
        </w:tc>
        <w:tc>
          <w:tcPr>
            <w:tcW w:w="0" w:type="auto"/>
            <w:vAlign w:val="center"/>
          </w:tcPr>
          <w:p w:rsidR="000A156F" w:rsidRDefault="00A9721F">
            <w:pPr>
              <w:pStyle w:val="TableBodyText"/>
            </w:pPr>
            <w:r>
              <w:t>2150 – 218F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Arrows</w:t>
            </w:r>
          </w:p>
        </w:tc>
        <w:tc>
          <w:tcPr>
            <w:tcW w:w="0" w:type="auto"/>
            <w:vAlign w:val="center"/>
          </w:tcPr>
          <w:p w:rsidR="000A156F" w:rsidRDefault="00A9721F">
            <w:pPr>
              <w:pStyle w:val="TableBodyText"/>
            </w:pPr>
            <w:r>
              <w:t>2190 – 21FF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Mathematical Operators</w:t>
            </w:r>
          </w:p>
        </w:tc>
        <w:tc>
          <w:tcPr>
            <w:tcW w:w="0" w:type="auto"/>
            <w:vAlign w:val="center"/>
          </w:tcPr>
          <w:p w:rsidR="000A156F" w:rsidRDefault="00A9721F">
            <w:pPr>
              <w:pStyle w:val="TableBodyText"/>
            </w:pPr>
            <w:r>
              <w:t>2200 – 22FF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Misce</w:t>
            </w:r>
            <w:r>
              <w:rPr>
                <w:b/>
              </w:rPr>
              <w:t>llaneous Technical</w:t>
            </w:r>
          </w:p>
        </w:tc>
        <w:tc>
          <w:tcPr>
            <w:tcW w:w="0" w:type="auto"/>
            <w:vAlign w:val="center"/>
          </w:tcPr>
          <w:p w:rsidR="000A156F" w:rsidRDefault="00A9721F">
            <w:pPr>
              <w:pStyle w:val="TableBodyText"/>
            </w:pPr>
            <w:r>
              <w:t>2300 – 23FF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Control Pictures</w:t>
            </w:r>
          </w:p>
        </w:tc>
        <w:tc>
          <w:tcPr>
            <w:tcW w:w="0" w:type="auto"/>
            <w:vAlign w:val="center"/>
          </w:tcPr>
          <w:p w:rsidR="000A156F" w:rsidRDefault="00A9721F">
            <w:pPr>
              <w:pStyle w:val="TableBodyText"/>
            </w:pPr>
            <w:r>
              <w:t>2400 – 243F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Optical Character Recognition</w:t>
            </w:r>
          </w:p>
        </w:tc>
        <w:tc>
          <w:tcPr>
            <w:tcW w:w="0" w:type="auto"/>
            <w:vAlign w:val="center"/>
          </w:tcPr>
          <w:p w:rsidR="000A156F" w:rsidRDefault="00A9721F">
            <w:pPr>
              <w:pStyle w:val="TableBodyText"/>
            </w:pPr>
            <w:r>
              <w:t xml:space="preserve">2440 – </w:t>
            </w:r>
            <w:r>
              <w:t>245F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Enclosed Alphanumerics</w:t>
            </w:r>
          </w:p>
        </w:tc>
        <w:tc>
          <w:tcPr>
            <w:tcW w:w="0" w:type="auto"/>
            <w:vAlign w:val="center"/>
          </w:tcPr>
          <w:p w:rsidR="000A156F" w:rsidRDefault="00A9721F">
            <w:pPr>
              <w:pStyle w:val="TableBodyText"/>
            </w:pPr>
            <w:r>
              <w:t>2460 – 24FF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Box Drawing</w:t>
            </w:r>
          </w:p>
        </w:tc>
        <w:tc>
          <w:tcPr>
            <w:tcW w:w="0" w:type="auto"/>
            <w:vAlign w:val="center"/>
          </w:tcPr>
          <w:p w:rsidR="000A156F" w:rsidRDefault="00A9721F">
            <w:pPr>
              <w:pStyle w:val="TableBodyText"/>
            </w:pPr>
            <w:r>
              <w:t>2500 – 257F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w:t>
            </w:r>
            <w:r>
              <w:rPr>
                <w:b/>
              </w:rPr>
              <w:t>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Block Elements</w:t>
            </w:r>
          </w:p>
        </w:tc>
        <w:tc>
          <w:tcPr>
            <w:tcW w:w="0" w:type="auto"/>
            <w:vAlign w:val="center"/>
          </w:tcPr>
          <w:p w:rsidR="000A156F" w:rsidRDefault="00A9721F">
            <w:pPr>
              <w:pStyle w:val="TableBodyText"/>
            </w:pPr>
            <w:r>
              <w:t>2580 – 259F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Geometric Shapes</w:t>
            </w:r>
          </w:p>
        </w:tc>
        <w:tc>
          <w:tcPr>
            <w:tcW w:w="0" w:type="auto"/>
            <w:vAlign w:val="center"/>
          </w:tcPr>
          <w:p w:rsidR="000A156F" w:rsidRDefault="00A9721F">
            <w:pPr>
              <w:pStyle w:val="TableBodyText"/>
            </w:pPr>
            <w:r>
              <w:t>25A0 – 25FF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Miscellaneous Symbols</w:t>
            </w:r>
          </w:p>
        </w:tc>
        <w:tc>
          <w:tcPr>
            <w:tcW w:w="0" w:type="auto"/>
            <w:vAlign w:val="center"/>
          </w:tcPr>
          <w:p w:rsidR="000A156F" w:rsidRDefault="00A9721F">
            <w:pPr>
              <w:pStyle w:val="TableBodyText"/>
            </w:pPr>
            <w:r>
              <w:t>2600 – 26FF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Dingbats</w:t>
            </w:r>
          </w:p>
        </w:tc>
        <w:tc>
          <w:tcPr>
            <w:tcW w:w="0" w:type="auto"/>
            <w:vAlign w:val="center"/>
          </w:tcPr>
          <w:p w:rsidR="000A156F" w:rsidRDefault="00A9721F">
            <w:pPr>
              <w:pStyle w:val="TableBodyText"/>
            </w:pPr>
            <w:r>
              <w:t>2700 – 27BF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CJK Radicals Supplement</w:t>
            </w:r>
          </w:p>
        </w:tc>
        <w:tc>
          <w:tcPr>
            <w:tcW w:w="0" w:type="auto"/>
            <w:vAlign w:val="center"/>
          </w:tcPr>
          <w:p w:rsidR="000A156F" w:rsidRDefault="00A9721F">
            <w:pPr>
              <w:pStyle w:val="TableBodyText"/>
            </w:pPr>
            <w:r>
              <w:t>2E80 – 2EFF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Kangxi Radicals</w:t>
            </w:r>
          </w:p>
        </w:tc>
        <w:tc>
          <w:tcPr>
            <w:tcW w:w="0" w:type="auto"/>
            <w:vAlign w:val="center"/>
          </w:tcPr>
          <w:p w:rsidR="000A156F" w:rsidRDefault="00A9721F">
            <w:pPr>
              <w:pStyle w:val="TableBodyText"/>
            </w:pPr>
            <w:r>
              <w:t>2F00 – 2FDF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Ideographic Description Characters</w:t>
            </w:r>
          </w:p>
        </w:tc>
        <w:tc>
          <w:tcPr>
            <w:tcW w:w="0" w:type="auto"/>
            <w:vAlign w:val="center"/>
          </w:tcPr>
          <w:p w:rsidR="000A156F" w:rsidRDefault="00A9721F">
            <w:pPr>
              <w:pStyle w:val="TableBodyText"/>
            </w:pPr>
            <w:r>
              <w:t>2FF0 – 2FFF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CJK Symbols and Punctuation</w:t>
            </w:r>
          </w:p>
        </w:tc>
        <w:tc>
          <w:tcPr>
            <w:tcW w:w="0" w:type="auto"/>
            <w:vAlign w:val="center"/>
          </w:tcPr>
          <w:p w:rsidR="000A156F" w:rsidRDefault="00A9721F">
            <w:pPr>
              <w:pStyle w:val="TableBodyText"/>
            </w:pPr>
            <w:r>
              <w:t>30</w:t>
            </w:r>
            <w:r>
              <w:t>00 – 303F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Hiragana</w:t>
            </w:r>
          </w:p>
        </w:tc>
        <w:tc>
          <w:tcPr>
            <w:tcW w:w="0" w:type="auto"/>
            <w:vAlign w:val="center"/>
          </w:tcPr>
          <w:p w:rsidR="000A156F" w:rsidRDefault="00A9721F">
            <w:pPr>
              <w:pStyle w:val="TableBodyText"/>
            </w:pPr>
            <w:r>
              <w:t>3040 – 309F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Katakana</w:t>
            </w:r>
          </w:p>
        </w:tc>
        <w:tc>
          <w:tcPr>
            <w:tcW w:w="0" w:type="auto"/>
            <w:vAlign w:val="center"/>
          </w:tcPr>
          <w:p w:rsidR="000A156F" w:rsidRDefault="00A9721F">
            <w:pPr>
              <w:pStyle w:val="TableBodyText"/>
            </w:pPr>
            <w:r>
              <w:t>30A0 – 30FF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Bopomofo</w:t>
            </w:r>
          </w:p>
        </w:tc>
        <w:tc>
          <w:tcPr>
            <w:tcW w:w="0" w:type="auto"/>
            <w:vAlign w:val="center"/>
          </w:tcPr>
          <w:p w:rsidR="000A156F" w:rsidRDefault="00A9721F">
            <w:pPr>
              <w:pStyle w:val="TableBodyText"/>
            </w:pPr>
            <w:r>
              <w:t>3100 – 312F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 xml:space="preserve">Hangul Compatibility </w:t>
            </w:r>
            <w:r>
              <w:rPr>
                <w:b/>
              </w:rPr>
              <w:t>Jamo</w:t>
            </w:r>
          </w:p>
        </w:tc>
        <w:tc>
          <w:tcPr>
            <w:tcW w:w="0" w:type="auto"/>
            <w:vAlign w:val="center"/>
          </w:tcPr>
          <w:p w:rsidR="000A156F" w:rsidRDefault="00A9721F">
            <w:pPr>
              <w:pStyle w:val="TableBodyText"/>
            </w:pPr>
            <w:r>
              <w:t>3130 – 318F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Kanbun</w:t>
            </w:r>
          </w:p>
        </w:tc>
        <w:tc>
          <w:tcPr>
            <w:tcW w:w="0" w:type="auto"/>
            <w:vAlign w:val="center"/>
          </w:tcPr>
          <w:p w:rsidR="000A156F" w:rsidRDefault="00A9721F">
            <w:pPr>
              <w:pStyle w:val="TableBodyText"/>
            </w:pPr>
            <w:r>
              <w:t>3190 – 319F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lastRenderedPageBreak/>
              <w:t>Enclosed CJK Letters and Months</w:t>
            </w:r>
          </w:p>
        </w:tc>
        <w:tc>
          <w:tcPr>
            <w:tcW w:w="0" w:type="auto"/>
            <w:vAlign w:val="center"/>
          </w:tcPr>
          <w:p w:rsidR="000A156F" w:rsidRDefault="00A9721F">
            <w:pPr>
              <w:pStyle w:val="TableBodyText"/>
            </w:pPr>
            <w:r>
              <w:t>3200 – 32FF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CJK Compatibility</w:t>
            </w:r>
          </w:p>
        </w:tc>
        <w:tc>
          <w:tcPr>
            <w:tcW w:w="0" w:type="auto"/>
            <w:vAlign w:val="center"/>
          </w:tcPr>
          <w:p w:rsidR="000A156F" w:rsidRDefault="00A9721F">
            <w:pPr>
              <w:pStyle w:val="TableBodyText"/>
            </w:pPr>
            <w:r>
              <w:t>3300 – 33FF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CJK Unified Ideographs Extension A</w:t>
            </w:r>
          </w:p>
        </w:tc>
        <w:tc>
          <w:tcPr>
            <w:tcW w:w="0" w:type="auto"/>
            <w:vAlign w:val="center"/>
          </w:tcPr>
          <w:p w:rsidR="000A156F" w:rsidRDefault="00A9721F">
            <w:pPr>
              <w:pStyle w:val="TableBodyText"/>
            </w:pPr>
            <w:r>
              <w:t>3400 – 4DBF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CJK Unified Ideographs</w:t>
            </w:r>
          </w:p>
        </w:tc>
        <w:tc>
          <w:tcPr>
            <w:tcW w:w="0" w:type="auto"/>
            <w:vAlign w:val="center"/>
          </w:tcPr>
          <w:p w:rsidR="000A156F" w:rsidRDefault="00A9721F">
            <w:pPr>
              <w:pStyle w:val="TableBodyText"/>
            </w:pPr>
            <w:r>
              <w:t>4E00 – 9FAF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Yi Syllables</w:t>
            </w:r>
          </w:p>
        </w:tc>
        <w:tc>
          <w:tcPr>
            <w:tcW w:w="0" w:type="auto"/>
            <w:vAlign w:val="center"/>
          </w:tcPr>
          <w:p w:rsidR="000A156F" w:rsidRDefault="00A9721F">
            <w:pPr>
              <w:pStyle w:val="TableBodyText"/>
            </w:pPr>
            <w:r>
              <w:t>A000 – A48F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Yi Radicals</w:t>
            </w:r>
          </w:p>
        </w:tc>
        <w:tc>
          <w:tcPr>
            <w:tcW w:w="0" w:type="auto"/>
            <w:vAlign w:val="center"/>
          </w:tcPr>
          <w:p w:rsidR="000A156F" w:rsidRDefault="00A9721F">
            <w:pPr>
              <w:pStyle w:val="TableBodyText"/>
            </w:pPr>
            <w:r>
              <w:t>A49</w:t>
            </w:r>
            <w:r>
              <w:t>0 – A4CF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Hangul Syllables</w:t>
            </w:r>
          </w:p>
        </w:tc>
        <w:tc>
          <w:tcPr>
            <w:tcW w:w="0" w:type="auto"/>
            <w:vAlign w:val="center"/>
          </w:tcPr>
          <w:p w:rsidR="000A156F" w:rsidRDefault="00A9721F">
            <w:pPr>
              <w:pStyle w:val="TableBodyText"/>
            </w:pPr>
            <w:r>
              <w:t>AC00 – D7AF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High Surrogates</w:t>
            </w:r>
          </w:p>
        </w:tc>
        <w:tc>
          <w:tcPr>
            <w:tcW w:w="0" w:type="auto"/>
            <w:vAlign w:val="center"/>
          </w:tcPr>
          <w:p w:rsidR="000A156F" w:rsidRDefault="00A9721F">
            <w:pPr>
              <w:pStyle w:val="TableBodyText"/>
            </w:pPr>
            <w:r>
              <w:t>D800 – DB7F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High Private Use Surrogates</w:t>
            </w:r>
          </w:p>
        </w:tc>
        <w:tc>
          <w:tcPr>
            <w:tcW w:w="0" w:type="auto"/>
            <w:vAlign w:val="center"/>
          </w:tcPr>
          <w:p w:rsidR="000A156F" w:rsidRDefault="00A9721F">
            <w:pPr>
              <w:pStyle w:val="TableBodyText"/>
            </w:pPr>
            <w:r>
              <w:t>DB80 – DBFF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Low Surrogates</w:t>
            </w:r>
          </w:p>
        </w:tc>
        <w:tc>
          <w:tcPr>
            <w:tcW w:w="0" w:type="auto"/>
            <w:vAlign w:val="center"/>
          </w:tcPr>
          <w:p w:rsidR="000A156F" w:rsidRDefault="00A9721F">
            <w:pPr>
              <w:pStyle w:val="TableBodyText"/>
            </w:pPr>
            <w:r>
              <w:t>DC00 – DFFF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Private Use Area</w:t>
            </w:r>
          </w:p>
        </w:tc>
        <w:tc>
          <w:tcPr>
            <w:tcW w:w="0" w:type="auto"/>
            <w:vAlign w:val="center"/>
          </w:tcPr>
          <w:p w:rsidR="000A156F" w:rsidRDefault="00A9721F">
            <w:pPr>
              <w:pStyle w:val="TableBodyText"/>
            </w:pPr>
            <w:r>
              <w:t>E000 – F8FF</w:t>
            </w:r>
          </w:p>
        </w:tc>
        <w:tc>
          <w:tcPr>
            <w:tcW w:w="0" w:type="auto"/>
            <w:vAlign w:val="center"/>
          </w:tcPr>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0A156F" w:rsidTr="000A156F">
        <w:tc>
          <w:tcPr>
            <w:tcW w:w="0" w:type="auto"/>
            <w:vAlign w:val="center"/>
          </w:tcPr>
          <w:p w:rsidR="000A156F" w:rsidRDefault="00A9721F">
            <w:pPr>
              <w:pStyle w:val="TableBodyText"/>
            </w:pPr>
            <w:r>
              <w:rPr>
                <w:b/>
              </w:rPr>
              <w:t>CJK Compatibility Ideographs</w:t>
            </w:r>
          </w:p>
        </w:tc>
        <w:tc>
          <w:tcPr>
            <w:tcW w:w="0" w:type="auto"/>
            <w:vAlign w:val="center"/>
          </w:tcPr>
          <w:p w:rsidR="000A156F" w:rsidRDefault="00A9721F">
            <w:pPr>
              <w:pStyle w:val="TableBodyText"/>
            </w:pPr>
            <w:r>
              <w:t>F900 – FAFF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Alphabetic Presentation Forms</w:t>
            </w:r>
          </w:p>
        </w:tc>
        <w:tc>
          <w:tcPr>
            <w:tcW w:w="0" w:type="auto"/>
            <w:vAlign w:val="center"/>
          </w:tcPr>
          <w:p w:rsidR="000A156F" w:rsidRDefault="00A9721F">
            <w:pPr>
              <w:pStyle w:val="TableBodyText"/>
            </w:pPr>
            <w:r>
              <w:t>FB00 – FB4F</w:t>
            </w:r>
          </w:p>
        </w:tc>
        <w:tc>
          <w:tcPr>
            <w:tcW w:w="0" w:type="auto"/>
            <w:vAlign w:val="center"/>
          </w:tcPr>
          <w:p w:rsidR="000A156F" w:rsidRDefault="00A9721F">
            <w:pPr>
              <w:pStyle w:val="TableBodyText"/>
            </w:pPr>
            <w:r>
              <w:rPr>
                <w:b/>
              </w:rPr>
              <w:t>hAnsi</w:t>
            </w:r>
            <w:r>
              <w:t xml:space="preserve"> (or </w:t>
            </w:r>
            <w:r>
              <w:rPr>
                <w:b/>
              </w:rPr>
              <w:t>hAnsiTheme</w:t>
            </w:r>
            <w:r>
              <w:t xml:space="preserve"> if defined), with the following exceptions:</w:t>
            </w:r>
          </w:p>
          <w:p w:rsidR="000A156F" w:rsidRDefault="00A9721F">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0A156F" w:rsidRDefault="00A9721F">
            <w:pPr>
              <w:pStyle w:val="TableBodyText"/>
            </w:pPr>
            <w:r>
              <w:t xml:space="preserve">For the range FB1D – FB4F, </w:t>
            </w:r>
            <w:r>
              <w:rPr>
                <w:b/>
              </w:rPr>
              <w:t>ascii</w:t>
            </w:r>
            <w:r>
              <w:t xml:space="preserve"> (or </w:t>
            </w:r>
            <w:r>
              <w:rPr>
                <w:b/>
              </w:rPr>
              <w:t>asciiTheme</w:t>
            </w:r>
            <w:r>
              <w:t xml:space="preserve"> if defined) is used.</w:t>
            </w:r>
          </w:p>
        </w:tc>
      </w:tr>
      <w:tr w:rsidR="000A156F" w:rsidTr="000A156F">
        <w:tc>
          <w:tcPr>
            <w:tcW w:w="0" w:type="auto"/>
            <w:vAlign w:val="center"/>
          </w:tcPr>
          <w:p w:rsidR="000A156F" w:rsidRDefault="00A9721F">
            <w:pPr>
              <w:pStyle w:val="TableBodyText"/>
            </w:pPr>
            <w:r>
              <w:rPr>
                <w:b/>
              </w:rPr>
              <w:t>Arabic Presentation Forms-A</w:t>
            </w:r>
          </w:p>
        </w:tc>
        <w:tc>
          <w:tcPr>
            <w:tcW w:w="0" w:type="auto"/>
            <w:vAlign w:val="center"/>
          </w:tcPr>
          <w:p w:rsidR="000A156F" w:rsidRDefault="00A9721F">
            <w:pPr>
              <w:pStyle w:val="TableBodyText"/>
            </w:pPr>
            <w:r>
              <w:t>FB50 – FDFF</w:t>
            </w:r>
          </w:p>
        </w:tc>
        <w:tc>
          <w:tcPr>
            <w:tcW w:w="0" w:type="auto"/>
            <w:vAlign w:val="center"/>
          </w:tcPr>
          <w:p w:rsidR="000A156F" w:rsidRDefault="00A9721F">
            <w:pPr>
              <w:pStyle w:val="TableBodyText"/>
            </w:pPr>
            <w:r>
              <w:rPr>
                <w:b/>
              </w:rPr>
              <w:t>ascii</w:t>
            </w:r>
            <w:r>
              <w:t xml:space="preserve"> (or </w:t>
            </w:r>
            <w:r>
              <w:rPr>
                <w:b/>
              </w:rPr>
              <w:t>asciiTheme</w:t>
            </w:r>
            <w:r>
              <w:t xml:space="preserve"> if defined)</w:t>
            </w:r>
          </w:p>
        </w:tc>
      </w:tr>
      <w:tr w:rsidR="000A156F" w:rsidTr="000A156F">
        <w:tc>
          <w:tcPr>
            <w:tcW w:w="0" w:type="auto"/>
            <w:vAlign w:val="center"/>
          </w:tcPr>
          <w:p w:rsidR="000A156F" w:rsidRDefault="00A9721F">
            <w:pPr>
              <w:pStyle w:val="TableBodyText"/>
            </w:pPr>
            <w:r>
              <w:rPr>
                <w:b/>
              </w:rPr>
              <w:t>CJK Compatibility Forms</w:t>
            </w:r>
          </w:p>
        </w:tc>
        <w:tc>
          <w:tcPr>
            <w:tcW w:w="0" w:type="auto"/>
            <w:vAlign w:val="center"/>
          </w:tcPr>
          <w:p w:rsidR="000A156F" w:rsidRDefault="00A9721F">
            <w:pPr>
              <w:pStyle w:val="TableBodyText"/>
            </w:pPr>
            <w:r>
              <w:t>FE30 – FE4F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Small Form Variants</w:t>
            </w:r>
          </w:p>
        </w:tc>
        <w:tc>
          <w:tcPr>
            <w:tcW w:w="0" w:type="auto"/>
            <w:vAlign w:val="center"/>
          </w:tcPr>
          <w:p w:rsidR="000A156F" w:rsidRDefault="00A9721F">
            <w:pPr>
              <w:pStyle w:val="TableBodyText"/>
            </w:pPr>
            <w:r>
              <w:t>FE50 – FE6F</w:t>
            </w:r>
          </w:p>
        </w:tc>
        <w:tc>
          <w:tcPr>
            <w:tcW w:w="0" w:type="auto"/>
            <w:vAlign w:val="center"/>
          </w:tcPr>
          <w:p w:rsidR="000A156F" w:rsidRDefault="00A9721F">
            <w:pPr>
              <w:pStyle w:val="TableBodyText"/>
            </w:pPr>
            <w:r>
              <w:rPr>
                <w:b/>
              </w:rPr>
              <w:t>east</w:t>
            </w:r>
            <w:r>
              <w:rPr>
                <w:b/>
              </w:rPr>
              <w:t>Asia</w:t>
            </w:r>
            <w:r>
              <w:t xml:space="preserve"> (or </w:t>
            </w:r>
            <w:r>
              <w:rPr>
                <w:b/>
              </w:rPr>
              <w:t>eastAsiaTheme</w:t>
            </w:r>
            <w:r>
              <w:t xml:space="preserve"> if defined)</w:t>
            </w:r>
          </w:p>
        </w:tc>
      </w:tr>
      <w:tr w:rsidR="000A156F" w:rsidTr="000A156F">
        <w:tc>
          <w:tcPr>
            <w:tcW w:w="0" w:type="auto"/>
            <w:vAlign w:val="center"/>
          </w:tcPr>
          <w:p w:rsidR="000A156F" w:rsidRDefault="00A9721F">
            <w:pPr>
              <w:pStyle w:val="TableBodyText"/>
            </w:pPr>
            <w:r>
              <w:rPr>
                <w:b/>
              </w:rPr>
              <w:t>Arabic Presentation Forms-B</w:t>
            </w:r>
          </w:p>
        </w:tc>
        <w:tc>
          <w:tcPr>
            <w:tcW w:w="0" w:type="auto"/>
            <w:vAlign w:val="center"/>
          </w:tcPr>
          <w:p w:rsidR="000A156F" w:rsidRDefault="00A9721F">
            <w:pPr>
              <w:pStyle w:val="TableBodyText"/>
            </w:pPr>
            <w:r>
              <w:t>FE70 – FEFE</w:t>
            </w:r>
          </w:p>
        </w:tc>
        <w:tc>
          <w:tcPr>
            <w:tcW w:w="0" w:type="auto"/>
            <w:vAlign w:val="center"/>
          </w:tcPr>
          <w:p w:rsidR="000A156F" w:rsidRDefault="00A9721F">
            <w:pPr>
              <w:pStyle w:val="TableBodyText"/>
            </w:pPr>
            <w:r>
              <w:rPr>
                <w:b/>
              </w:rPr>
              <w:t>ascii</w:t>
            </w:r>
            <w:r>
              <w:t xml:space="preserve"> (or </w:t>
            </w:r>
            <w:r>
              <w:rPr>
                <w:b/>
              </w:rPr>
              <w:t>asciiTheme</w:t>
            </w:r>
            <w:r>
              <w:t xml:space="preserve"> if defined)</w:t>
            </w:r>
          </w:p>
        </w:tc>
      </w:tr>
      <w:tr w:rsidR="000A156F" w:rsidTr="000A156F">
        <w:tc>
          <w:tcPr>
            <w:tcW w:w="0" w:type="auto"/>
            <w:vAlign w:val="center"/>
          </w:tcPr>
          <w:p w:rsidR="000A156F" w:rsidRDefault="00A9721F">
            <w:pPr>
              <w:pStyle w:val="TableBodyText"/>
            </w:pPr>
            <w:r>
              <w:rPr>
                <w:b/>
              </w:rPr>
              <w:t>Halfwidth and Fullwidth Forms</w:t>
            </w:r>
          </w:p>
        </w:tc>
        <w:tc>
          <w:tcPr>
            <w:tcW w:w="0" w:type="auto"/>
            <w:vAlign w:val="center"/>
          </w:tcPr>
          <w:p w:rsidR="000A156F" w:rsidRDefault="00A9721F">
            <w:pPr>
              <w:pStyle w:val="TableBodyText"/>
            </w:pPr>
            <w:r>
              <w:t>FF00 – FFEF</w:t>
            </w:r>
          </w:p>
        </w:tc>
        <w:tc>
          <w:tcPr>
            <w:tcW w:w="0" w:type="auto"/>
            <w:vAlign w:val="center"/>
          </w:tcPr>
          <w:p w:rsidR="000A156F" w:rsidRDefault="00A9721F">
            <w:pPr>
              <w:pStyle w:val="TableBodyText"/>
            </w:pPr>
            <w:r>
              <w:rPr>
                <w:b/>
              </w:rPr>
              <w:t>eastAsia</w:t>
            </w:r>
            <w:r>
              <w:t xml:space="preserve"> (or </w:t>
            </w:r>
            <w:r>
              <w:rPr>
                <w:b/>
              </w:rPr>
              <w:t>eastAsiaTheme</w:t>
            </w:r>
            <w:r>
              <w:t xml:space="preserve"> if defined)</w:t>
            </w:r>
          </w:p>
        </w:tc>
      </w:tr>
    </w:tbl>
    <w:p w:rsidR="000A156F" w:rsidRDefault="000A156F"/>
    <w:p w:rsidR="000A156F" w:rsidRDefault="00A9721F">
      <w:pPr>
        <w:pStyle w:val="Definition-Field"/>
      </w:pPr>
      <w:r>
        <w:t xml:space="preserve">c.   </w:t>
      </w:r>
      <w:r>
        <w:rPr>
          <w:i/>
        </w:rPr>
        <w:t xml:space="preserve">The standard states that the default fonts for the ascii, </w:t>
      </w:r>
      <w:r>
        <w:rPr>
          <w:i/>
        </w:rPr>
        <w:t>hAnsi, cs, and eastAsia attributes are application-defined.</w:t>
      </w:r>
    </w:p>
    <w:p w:rsidR="000A156F" w:rsidRDefault="00A9721F">
      <w:pPr>
        <w:pStyle w:val="Definition-Field2"/>
      </w:pPr>
      <w:r>
        <w:lastRenderedPageBreak/>
        <w:t>Word uses a default font of Times New Roman for all of these attributes.</w:t>
      </w:r>
    </w:p>
    <w:p w:rsidR="000A156F" w:rsidRDefault="00A9721F">
      <w:pPr>
        <w:pStyle w:val="Definition-Field"/>
      </w:pPr>
      <w:r>
        <w:t xml:space="preserve">d.   </w:t>
      </w:r>
      <w:r>
        <w:rPr>
          <w:i/>
        </w:rPr>
        <w:t xml:space="preserve">The standard states that all characters that are determined to be East Asian should use the value of eastAsia element </w:t>
      </w:r>
      <w:r>
        <w:rPr>
          <w:i/>
        </w:rPr>
        <w:t>as the font.</w:t>
      </w:r>
    </w:p>
    <w:p w:rsidR="000A156F" w:rsidRDefault="00A9721F">
      <w:pPr>
        <w:pStyle w:val="Definition-Field2"/>
      </w:pPr>
      <w:r>
        <w:t>If the value of eastAsia attibute is "Times New Roman", and the value of the ascii (or asciiTheme) and the hAnsi (or hAnsiTheme) attributes are equal, then the value of the ascii (or asciiTheme, if defined) attribute is used as the font.</w:t>
      </w:r>
    </w:p>
    <w:p w:rsidR="000A156F" w:rsidRDefault="00A9721F">
      <w:pPr>
        <w:pStyle w:val="Definition-Field"/>
        <w:rPr>
          <w:i/>
        </w:rPr>
      </w:pPr>
      <w:r>
        <w:rPr>
          <w:i/>
        </w:rPr>
        <w:t xml:space="preserve">e.   </w:t>
      </w:r>
      <w:r>
        <w:rPr>
          <w:i/>
        </w:rPr>
        <w:t>The standard states the following regarding ascii and asciiTheme attributes: If the asciiTheme attribute is also specified, then this attribute (ascii) shall be ignored and that value shall be used instead. If the ascii attribute is also specified, then th</w:t>
      </w:r>
      <w:r>
        <w:rPr>
          <w:i/>
        </w:rPr>
        <w:t xml:space="preserve">at attribute (asciiTheme) shall be ignored and this value shall be used instead. </w:t>
      </w:r>
    </w:p>
    <w:p w:rsidR="000A156F" w:rsidRDefault="00A9721F">
      <w:pPr>
        <w:spacing w:before="0" w:after="0"/>
        <w:ind w:left="360"/>
      </w:pPr>
      <w:r>
        <w:t>These statements only apply to the current rFonts element that both attributes appear in and are not taken into consideration at different levels of the style hierarchy.</w:t>
      </w:r>
    </w:p>
    <w:p w:rsidR="000A156F" w:rsidRDefault="00A9721F">
      <w:pPr>
        <w:spacing w:before="0" w:after="0"/>
        <w:ind w:left="360"/>
      </w:pPr>
      <w:r>
        <w:t> </w:t>
      </w:r>
    </w:p>
    <w:p w:rsidR="000A156F" w:rsidRDefault="00A9721F">
      <w:pPr>
        <w:spacing w:before="0" w:after="0"/>
        <w:ind w:left="360"/>
      </w:pPr>
      <w:r>
        <w:t>If</w:t>
      </w:r>
      <w:r>
        <w:t xml:space="preserve"> an inherited style contains an rFonts element with the ascii attribute it will override any previously specified ascii or asciiTheme attribute in the style hierarchy. The same is true of the asciiTheme attribute, it will also override any previously speci</w:t>
      </w:r>
      <w:r>
        <w:t>fied asciiTheme or ascii attribute in the style hierarchy.</w:t>
      </w:r>
    </w:p>
    <w:p w:rsidR="000A156F" w:rsidRDefault="00A9721F">
      <w:pPr>
        <w:spacing w:before="0" w:after="0"/>
        <w:ind w:left="360"/>
      </w:pPr>
      <w:r>
        <w:t> </w:t>
      </w:r>
    </w:p>
    <w:p w:rsidR="000A156F" w:rsidRDefault="00A9721F">
      <w:pPr>
        <w:spacing w:before="0" w:after="0"/>
        <w:ind w:left="360"/>
      </w:pPr>
      <w:r>
        <w:t xml:space="preserve">Similar behavior exists for cs, csTheme, eastAsia, easAsiaTheme, hAnsi, and hAnsiTheme attributes. </w:t>
      </w:r>
    </w:p>
    <w:p w:rsidR="000A156F" w:rsidRDefault="00A9721F">
      <w:pPr>
        <w:pStyle w:val="Heading3"/>
      </w:pPr>
      <w:bookmarkStart w:id="198" w:name="section_db26e22195ca499589a2087f606df11f"/>
      <w:bookmarkStart w:id="199" w:name="_Toc181683125"/>
      <w:r>
        <w:t>Part 1 Section 17.3.2.27, rPr (Previous Run Properties)</w:t>
      </w:r>
      <w:bookmarkEnd w:id="198"/>
      <w:bookmarkEnd w:id="199"/>
      <w:r>
        <w:fldChar w:fldCharType="begin"/>
      </w:r>
      <w:r>
        <w:instrText xml:space="preserve"> XE "rPr (Previous Run Properties)" </w:instrText>
      </w:r>
      <w:r>
        <w:fldChar w:fldCharType="end"/>
      </w:r>
    </w:p>
    <w:p w:rsidR="000A156F" w:rsidRDefault="00A9721F">
      <w:pPr>
        <w:pStyle w:val="Definition-Field2"/>
      </w:pPr>
      <w:r>
        <w:rPr>
          <w:i/>
        </w:rPr>
        <w:t>F</w:t>
      </w:r>
      <w:r>
        <w:rPr>
          <w:i/>
        </w:rPr>
        <w:t xml:space="preserve">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0A156F" w:rsidRDefault="00A9721F">
      <w:pPr>
        <w:pStyle w:val="Heading3"/>
      </w:pPr>
      <w:bookmarkStart w:id="200" w:name="section_09fdbd6fad184a3392a6d948e65b8f1b"/>
      <w:bookmarkStart w:id="201" w:name="_Toc181683126"/>
      <w:r>
        <w:t>Part 1 Section 17.3.2.28, rPr (Run Properties)</w:t>
      </w:r>
      <w:bookmarkEnd w:id="200"/>
      <w:bookmarkEnd w:id="201"/>
      <w:r>
        <w:fldChar w:fldCharType="begin"/>
      </w:r>
      <w:r>
        <w:instrText xml:space="preserve"> XE "rPr (Run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0A156F" w:rsidRDefault="00A9721F">
      <w:pPr>
        <w:pStyle w:val="Heading3"/>
      </w:pPr>
      <w:bookmarkStart w:id="202" w:name="section_73fcb2a52673440c8be215a35a93346e"/>
      <w:bookmarkStart w:id="203" w:name="_Toc181683127"/>
      <w:r>
        <w:t>Part 1 Section 17.3.2.29, rStyle (Referenced Character Style)</w:t>
      </w:r>
      <w:bookmarkEnd w:id="202"/>
      <w:bookmarkEnd w:id="203"/>
      <w:r>
        <w:fldChar w:fldCharType="begin"/>
      </w:r>
      <w:r>
        <w:instrText xml:space="preserve"> XE "rStyle (Referenced Character Style)" </w:instrText>
      </w:r>
      <w:r>
        <w:fldChar w:fldCharType="end"/>
      </w:r>
    </w:p>
    <w:p w:rsidR="000A156F" w:rsidRDefault="00A9721F">
      <w:pPr>
        <w:pStyle w:val="Definition-Field2"/>
      </w:pPr>
      <w:r>
        <w:rPr>
          <w:i/>
        </w:rPr>
        <w:t>For additional notes that apply to this portion of the standard, plea</w:t>
      </w:r>
      <w:r>
        <w:rPr>
          <w:i/>
        </w:rPr>
        <w:t xml:space="preserve">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w:t>
        </w:r>
        <w:r>
          <w:rPr>
            <w:rStyle w:val="Hyperlink"/>
          </w:rPr>
          <w:t>.7.9.1(a)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rsidR="000A156F" w:rsidRDefault="00A9721F">
      <w:pPr>
        <w:pStyle w:val="Definition-Field"/>
      </w:pPr>
      <w:r>
        <w:t xml:space="preserve">a.   </w:t>
      </w:r>
      <w:r>
        <w:rPr>
          <w:i/>
        </w:rPr>
        <w:t>The standard states that this element specifies the style ID of the c</w:t>
      </w:r>
      <w:r>
        <w:rPr>
          <w:i/>
        </w:rPr>
        <w:t>haracter style that shall be used to format the contents of this paragraph.</w:t>
      </w:r>
    </w:p>
    <w:p w:rsidR="000A156F" w:rsidRDefault="00A9721F">
      <w:pPr>
        <w:pStyle w:val="Definition-Field2"/>
      </w:pPr>
      <w:r>
        <w:t>Word applies character styles to the parent run.</w:t>
      </w:r>
    </w:p>
    <w:p w:rsidR="000A156F" w:rsidRDefault="00A9721F">
      <w:pPr>
        <w:pStyle w:val="Definition-Field"/>
      </w:pPr>
      <w:r>
        <w:t xml:space="preserve">b.   </w:t>
      </w:r>
      <w:r>
        <w:rPr>
          <w:i/>
        </w:rPr>
        <w:t>The standard does not limit the length of the value of the val attribute.</w:t>
      </w:r>
    </w:p>
    <w:p w:rsidR="000A156F" w:rsidRDefault="00A9721F">
      <w:pPr>
        <w:pStyle w:val="Definition-Field2"/>
      </w:pPr>
      <w:r>
        <w:t xml:space="preserve">Word restricts the value of this attribute to be at </w:t>
      </w:r>
      <w:r>
        <w:t>most 253 characters.</w:t>
      </w:r>
    </w:p>
    <w:p w:rsidR="000A156F" w:rsidRDefault="00A9721F">
      <w:pPr>
        <w:pStyle w:val="Heading3"/>
      </w:pPr>
      <w:bookmarkStart w:id="204" w:name="section_da2e20e23a5748c094fc7e7bc05831a2"/>
      <w:bookmarkStart w:id="205" w:name="_Toc181683128"/>
      <w:r>
        <w:t>Part 1 Section 17.3.2.30, rtl (Right To Left Text)</w:t>
      </w:r>
      <w:bookmarkEnd w:id="204"/>
      <w:bookmarkEnd w:id="205"/>
      <w:r>
        <w:fldChar w:fldCharType="begin"/>
      </w:r>
      <w:r>
        <w:instrText xml:space="preserve"> XE "rtl (Right To Left Text)"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0A156F" w:rsidRDefault="00A9721F">
      <w:pPr>
        <w:pStyle w:val="Heading3"/>
      </w:pPr>
      <w:bookmarkStart w:id="206" w:name="section_3b963a5d814141b09dab75b578400861"/>
      <w:bookmarkStart w:id="207" w:name="_Toc181683129"/>
      <w:r>
        <w:lastRenderedPageBreak/>
        <w:t>Part 1 Section 17.3.2.31, shadow (Shadow)</w:t>
      </w:r>
      <w:bookmarkEnd w:id="206"/>
      <w:bookmarkEnd w:id="207"/>
      <w:r>
        <w:fldChar w:fldCharType="begin"/>
      </w:r>
      <w:r>
        <w:instrText xml:space="preserve"> XE "shadow (Shadow)" </w:instrText>
      </w:r>
      <w:r>
        <w:fldChar w:fldCharType="end"/>
      </w:r>
    </w:p>
    <w:p w:rsidR="000A156F" w:rsidRDefault="00A9721F">
      <w:pPr>
        <w:pStyle w:val="Definition-Field"/>
      </w:pPr>
      <w:r>
        <w:t xml:space="preserve">a.   </w:t>
      </w:r>
      <w:r>
        <w:rPr>
          <w:i/>
        </w:rPr>
        <w:t>The standard states that for left-to-right text, the shadow is beneath the text and to its right; for right-to-left text, the shadow is beneath the text and to its left.</w:t>
      </w:r>
    </w:p>
    <w:p w:rsidR="000A156F" w:rsidRDefault="00A9721F">
      <w:pPr>
        <w:pStyle w:val="Definition-Field2"/>
      </w:pPr>
      <w:r>
        <w:t>Word always shows the shadow beneath the text and to its right, regardless of directio</w:t>
      </w:r>
      <w:r>
        <w:t>n of text.</w:t>
      </w:r>
    </w:p>
    <w:p w:rsidR="000A156F" w:rsidRDefault="00A9721F">
      <w:pPr>
        <w:pStyle w:val="Heading3"/>
      </w:pPr>
      <w:bookmarkStart w:id="208" w:name="section_9eaa0715d38f4c548f1ff1e0d5eb6cdb"/>
      <w:bookmarkStart w:id="209" w:name="_Toc181683130"/>
      <w:r>
        <w:t>Part 1 Section 17.3.2.32, shd (Run Shading)</w:t>
      </w:r>
      <w:bookmarkEnd w:id="208"/>
      <w:bookmarkEnd w:id="209"/>
      <w:r>
        <w:fldChar w:fldCharType="begin"/>
      </w:r>
      <w:r>
        <w:instrText xml:space="preserve"> XE "shd (Run Shading)"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0A156F" w:rsidRDefault="00A9721F">
      <w:pPr>
        <w:pStyle w:val="Heading3"/>
      </w:pPr>
      <w:bookmarkStart w:id="210" w:name="section_94e629161ec0494486039f3162b6ccbd"/>
      <w:bookmarkStart w:id="211" w:name="_Toc181683131"/>
      <w:r>
        <w:t>Pa</w:t>
      </w:r>
      <w:r>
        <w:t>rt 1 Section 17.3.2.33, smallCaps (Small Caps)</w:t>
      </w:r>
      <w:bookmarkEnd w:id="210"/>
      <w:bookmarkEnd w:id="211"/>
      <w:r>
        <w:fldChar w:fldCharType="begin"/>
      </w:r>
      <w:r>
        <w:instrText xml:space="preserve"> XE "smallCaps (Small Caps)" </w:instrText>
      </w:r>
      <w:r>
        <w:fldChar w:fldCharType="end"/>
      </w:r>
    </w:p>
    <w:p w:rsidR="000A156F" w:rsidRDefault="00A9721F">
      <w:pPr>
        <w:pStyle w:val="Definition-Field"/>
      </w:pPr>
      <w:r>
        <w:t xml:space="preserve">a.   </w:t>
      </w:r>
      <w:r>
        <w:rPr>
          <w:i/>
        </w:rPr>
        <w:t>The standard states that all small letter characters shall display as their capital letter equivalent in a font size two points smaller than the actual font size specified.</w:t>
      </w:r>
    </w:p>
    <w:p w:rsidR="000A156F" w:rsidRDefault="00A9721F">
      <w:pPr>
        <w:pStyle w:val="Definition-Field2"/>
      </w:pPr>
      <w:r>
        <w:t>Word displays small caps text in a font size slightly smaller than the original size, but not exactly 2 points smaller.</w:t>
      </w:r>
    </w:p>
    <w:p w:rsidR="000A156F" w:rsidRDefault="00A9721F">
      <w:pPr>
        <w:pStyle w:val="Heading3"/>
      </w:pPr>
      <w:bookmarkStart w:id="212" w:name="section_7f709c81c04a4a1fa5b55ffbe94268a5"/>
      <w:bookmarkStart w:id="213" w:name="_Toc181683132"/>
      <w:r>
        <w:t>Part 1 Section 17.3.2.35, spacing (Character Spacing Adjustment)</w:t>
      </w:r>
      <w:bookmarkEnd w:id="212"/>
      <w:bookmarkEnd w:id="213"/>
      <w:r>
        <w:fldChar w:fldCharType="begin"/>
      </w:r>
      <w:r>
        <w:instrText xml:space="preserve"> XE "spacing (Character Spacing Adjustment)" </w:instrText>
      </w:r>
      <w:r>
        <w:fldChar w:fldCharType="end"/>
      </w:r>
    </w:p>
    <w:p w:rsidR="000A156F" w:rsidRDefault="00A9721F">
      <w:pPr>
        <w:pStyle w:val="Definition-Field"/>
      </w:pPr>
      <w:r>
        <w:t xml:space="preserve">a.   </w:t>
      </w:r>
      <w:r>
        <w:rPr>
          <w:i/>
        </w:rPr>
        <w:t>The standard does n</w:t>
      </w:r>
      <w:r>
        <w:rPr>
          <w:i/>
        </w:rPr>
        <w:t>ot state how a conflict between this element and the fitText element should be resolved, when their requirements conflict.</w:t>
      </w:r>
    </w:p>
    <w:p w:rsidR="000A156F" w:rsidRDefault="00A9721F">
      <w:pPr>
        <w:pStyle w:val="Definition-Field2"/>
      </w:pPr>
      <w:r>
        <w:t>Word ignores this element when the fitText element is also specified.</w:t>
      </w:r>
    </w:p>
    <w:p w:rsidR="000A156F" w:rsidRDefault="00A9721F">
      <w:pPr>
        <w:pStyle w:val="Definition-Field"/>
      </w:pPr>
      <w:r>
        <w:t xml:space="preserve">b.   </w:t>
      </w:r>
      <w:r>
        <w:rPr>
          <w:i/>
        </w:rPr>
        <w:t>The standard states that the values of the val attribute a</w:t>
      </w:r>
      <w:r>
        <w:rPr>
          <w:i/>
        </w:rPr>
        <w:t>re defined by the XML Schema integer datatype.</w:t>
      </w:r>
    </w:p>
    <w:p w:rsidR="000A156F" w:rsidRDefault="00A9721F">
      <w:pPr>
        <w:pStyle w:val="Definition-Field2"/>
      </w:pPr>
      <w:r>
        <w:t>Word restricts the value of this attribute to be at least -31680 (-22") and at most 31680 (22").</w:t>
      </w:r>
    </w:p>
    <w:p w:rsidR="000A156F" w:rsidRDefault="00A9721F">
      <w:pPr>
        <w:pStyle w:val="Heading3"/>
      </w:pPr>
      <w:bookmarkStart w:id="214" w:name="section_d5de3ae0d0e448b28cfc1a250eb30ac4"/>
      <w:bookmarkStart w:id="215" w:name="_Toc181683133"/>
      <w:r>
        <w:t>Part 1 Section 17.3.2.36, specVanish (Paragraph Mark Is Always Hidden)</w:t>
      </w:r>
      <w:bookmarkEnd w:id="214"/>
      <w:bookmarkEnd w:id="215"/>
      <w:r>
        <w:fldChar w:fldCharType="begin"/>
      </w:r>
      <w:r>
        <w:instrText xml:space="preserve"> XE "specVanish (Paragraph Mark Is Always </w:instrText>
      </w:r>
      <w:r>
        <w:instrText xml:space="preserve">Hidden)" </w:instrText>
      </w:r>
      <w:r>
        <w:fldChar w:fldCharType="end"/>
      </w:r>
    </w:p>
    <w:p w:rsidR="000A156F" w:rsidRDefault="00A9721F">
      <w:pPr>
        <w:pStyle w:val="Definition-Field"/>
      </w:pPr>
      <w:r>
        <w:t xml:space="preserve">a.   </w:t>
      </w:r>
      <w:r>
        <w:rPr>
          <w:i/>
        </w:rPr>
        <w:t>The standard states that this element results in the text always being hidden.</w:t>
      </w:r>
    </w:p>
    <w:p w:rsidR="000A156F" w:rsidRDefault="00A9721F">
      <w:pPr>
        <w:pStyle w:val="Definition-Field2"/>
      </w:pPr>
      <w:r>
        <w:t>Word ignores this element unless the vanish element is also set.</w:t>
      </w:r>
    </w:p>
    <w:p w:rsidR="000A156F" w:rsidRDefault="00A9721F">
      <w:pPr>
        <w:pStyle w:val="Heading3"/>
      </w:pPr>
      <w:bookmarkStart w:id="216" w:name="section_4f2762ad03f64430be6e2a85480268ee"/>
      <w:bookmarkStart w:id="217" w:name="_Toc181683134"/>
      <w:r>
        <w:t>Part 1 Section 17.3.2.38, sz (Non-Complex Script Font Size)</w:t>
      </w:r>
      <w:bookmarkEnd w:id="216"/>
      <w:bookmarkEnd w:id="217"/>
      <w:r>
        <w:fldChar w:fldCharType="begin"/>
      </w:r>
      <w:r>
        <w:instrText xml:space="preserve"> XE "sz (Non-Complex Script Font Siz</w:instrText>
      </w:r>
      <w:r>
        <w:instrText xml:space="preserve">e)" </w:instrText>
      </w:r>
      <w:r>
        <w:fldChar w:fldCharType="end"/>
      </w:r>
    </w:p>
    <w:p w:rsidR="000A156F" w:rsidRDefault="00A9721F">
      <w:pPr>
        <w:pStyle w:val="Definition-Field"/>
      </w:pPr>
      <w:r>
        <w:t xml:space="preserve">a.   </w:t>
      </w:r>
      <w:r>
        <w:rPr>
          <w:i/>
        </w:rPr>
        <w:t>The standard states that this element applies font size to non-complex script characters but does not specify how that determination is made.</w:t>
      </w:r>
    </w:p>
    <w:p w:rsidR="000A156F" w:rsidRDefault="00A9721F">
      <w:pPr>
        <w:pStyle w:val="Definition-Field2"/>
      </w:pPr>
      <w:r>
        <w:t>Word determines this state based on the state of the cs and rtl properties and applies font size to ru</w:t>
      </w:r>
      <w:r>
        <w:t>ns that do not use either of those properties.</w:t>
      </w:r>
    </w:p>
    <w:p w:rsidR="000A156F" w:rsidRDefault="00A9721F">
      <w:pPr>
        <w:pStyle w:val="Heading3"/>
      </w:pPr>
      <w:bookmarkStart w:id="218" w:name="section_40f37d666eb14e72b768a8bfec1f78df"/>
      <w:bookmarkStart w:id="219" w:name="_Toc181683135"/>
      <w:r>
        <w:t>Part 1 Section 17.3.2.39, szCs (Complex Script Font Size)</w:t>
      </w:r>
      <w:bookmarkEnd w:id="218"/>
      <w:bookmarkEnd w:id="219"/>
      <w:r>
        <w:fldChar w:fldCharType="begin"/>
      </w:r>
      <w:r>
        <w:instrText xml:space="preserve"> XE "szCs (Complex Script Font Size)" </w:instrText>
      </w:r>
      <w:r>
        <w:fldChar w:fldCharType="end"/>
      </w:r>
    </w:p>
    <w:p w:rsidR="000A156F" w:rsidRDefault="00A9721F">
      <w:pPr>
        <w:pStyle w:val="Definition-Field"/>
      </w:pPr>
      <w:r>
        <w:t xml:space="preserve">a.   </w:t>
      </w:r>
      <w:r>
        <w:rPr>
          <w:i/>
        </w:rPr>
        <w:t xml:space="preserve">The standard states that this element applies font size to complex script characters but does not specify </w:t>
      </w:r>
      <w:r>
        <w:rPr>
          <w:i/>
        </w:rPr>
        <w:t>how that determination is made.</w:t>
      </w:r>
    </w:p>
    <w:p w:rsidR="000A156F" w:rsidRDefault="00A9721F">
      <w:pPr>
        <w:pStyle w:val="Definition-Field2"/>
      </w:pPr>
      <w:r>
        <w:t>Word determines this state based on the state of the cs and rtl properties and applies font size to runs that use either of those properties.</w:t>
      </w:r>
    </w:p>
    <w:p w:rsidR="000A156F" w:rsidRDefault="00A9721F">
      <w:pPr>
        <w:pStyle w:val="Heading3"/>
      </w:pPr>
      <w:bookmarkStart w:id="220" w:name="section_983b4d5a53ba4d7989cbfc13303af71b"/>
      <w:bookmarkStart w:id="221" w:name="_Toc181683136"/>
      <w:r>
        <w:lastRenderedPageBreak/>
        <w:t>Part 1 Section 17.3.2.40, u (Underline)</w:t>
      </w:r>
      <w:bookmarkEnd w:id="220"/>
      <w:bookmarkEnd w:id="221"/>
      <w:r>
        <w:fldChar w:fldCharType="begin"/>
      </w:r>
      <w:r>
        <w:instrText xml:space="preserve"> XE "u (Underline)" </w:instrText>
      </w:r>
      <w:r>
        <w:fldChar w:fldCharType="end"/>
      </w:r>
    </w:p>
    <w:p w:rsidR="000A156F" w:rsidRDefault="00A9721F">
      <w:pPr>
        <w:pStyle w:val="Definition-Field"/>
      </w:pPr>
      <w:r>
        <w:t xml:space="preserve">a.   </w:t>
      </w:r>
      <w:r>
        <w:rPr>
          <w:i/>
        </w:rPr>
        <w:t>The standard do</w:t>
      </w:r>
      <w:r>
        <w:rPr>
          <w:i/>
        </w:rPr>
        <w:t>es not state a default value for the color attribute.</w:t>
      </w:r>
    </w:p>
    <w:p w:rsidR="000A156F" w:rsidRDefault="00A9721F">
      <w:pPr>
        <w:pStyle w:val="Definition-Field2"/>
      </w:pPr>
      <w:r>
        <w:t>If the color attribute is not specified, Word defaults to the value defined in the style hierarchy and then to a value of auto.</w:t>
      </w:r>
    </w:p>
    <w:p w:rsidR="000A156F" w:rsidRDefault="00A9721F">
      <w:pPr>
        <w:pStyle w:val="Definition-Field"/>
      </w:pPr>
      <w:r>
        <w:t xml:space="preserve">b.   </w:t>
      </w:r>
      <w:r>
        <w:rPr>
          <w:i/>
        </w:rPr>
        <w:t xml:space="preserve">The standard does not state which setting is applied when both the </w:t>
      </w:r>
      <w:r>
        <w:rPr>
          <w:i/>
        </w:rPr>
        <w:t>themeShade and the themeTint attributes are present.</w:t>
      </w:r>
    </w:p>
    <w:p w:rsidR="000A156F" w:rsidRDefault="00A9721F">
      <w:pPr>
        <w:pStyle w:val="Definition-Field2"/>
      </w:pPr>
      <w:r>
        <w:t>Word applies the themeTint setting when both of these attributes are present.</w:t>
      </w:r>
    </w:p>
    <w:p w:rsidR="000A156F" w:rsidRDefault="00A9721F">
      <w:pPr>
        <w:pStyle w:val="Definition-Field"/>
      </w:pPr>
      <w:r>
        <w:t xml:space="preserve">c.   </w:t>
      </w:r>
      <w:r>
        <w:rPr>
          <w:i/>
        </w:rPr>
        <w:t>The standard does not specify a default value for the val attribute.</w:t>
      </w:r>
    </w:p>
    <w:p w:rsidR="000A156F" w:rsidRDefault="00A9721F">
      <w:pPr>
        <w:pStyle w:val="Definition-Field2"/>
      </w:pPr>
      <w:r>
        <w:t>If the val attribute is not specified, Word default</w:t>
      </w:r>
      <w:r>
        <w:t>s to the value defined in the style hierarchy and then to no underline.</w:t>
      </w:r>
    </w:p>
    <w:p w:rsidR="000A156F" w:rsidRDefault="00A9721F">
      <w:pPr>
        <w:pStyle w:val="Heading3"/>
      </w:pPr>
      <w:bookmarkStart w:id="222" w:name="section_9008244b5c6a4219943e9431cf3372bc"/>
      <w:bookmarkStart w:id="223" w:name="_Toc181683137"/>
      <w:r>
        <w:t>Part 1 Section 17.3.2.44, webHidden (Web Hidden Text)</w:t>
      </w:r>
      <w:bookmarkEnd w:id="222"/>
      <w:bookmarkEnd w:id="223"/>
      <w:r>
        <w:fldChar w:fldCharType="begin"/>
      </w:r>
      <w:r>
        <w:instrText xml:space="preserve"> XE "webHidden (Web Hidden Text)" </w:instrText>
      </w:r>
      <w:r>
        <w:fldChar w:fldCharType="end"/>
      </w:r>
    </w:p>
    <w:p w:rsidR="000A156F" w:rsidRDefault="00A9721F">
      <w:pPr>
        <w:pStyle w:val="Definition-Field"/>
      </w:pPr>
      <w:r>
        <w:t xml:space="preserve">a.   </w:t>
      </w:r>
      <w:r>
        <w:rPr>
          <w:i/>
        </w:rPr>
        <w:t>The standard states that this setting shall cause content to be hidden from display at di</w:t>
      </w:r>
      <w:r>
        <w:rPr>
          <w:i/>
        </w:rPr>
        <w:t>splay time in a document when the document is being displayed in a web page view.</w:t>
      </w:r>
    </w:p>
    <w:p w:rsidR="000A156F" w:rsidRDefault="00A9721F">
      <w:pPr>
        <w:pStyle w:val="Definition-Field2"/>
      </w:pPr>
      <w:r>
        <w:t>Word ignores this setting when it is applied as part of a character style definition.</w:t>
      </w:r>
    </w:p>
    <w:p w:rsidR="000A156F" w:rsidRDefault="00A9721F">
      <w:pPr>
        <w:pStyle w:val="Definition-Field"/>
      </w:pPr>
      <w:r>
        <w:t xml:space="preserve">b.   </w:t>
      </w:r>
      <w:r>
        <w:rPr>
          <w:i/>
        </w:rPr>
        <w:t>The standard states that this element specifies whether the contents of this run sh</w:t>
      </w:r>
      <w:r>
        <w:rPr>
          <w:i/>
        </w:rPr>
        <w:t>all be hidden from display at display time in a document when the document is being displayed in a web page view.</w:t>
      </w:r>
    </w:p>
    <w:p w:rsidR="000A156F" w:rsidRDefault="00A9721F">
      <w:pPr>
        <w:pStyle w:val="Definition-Field2"/>
      </w:pPr>
      <w:r>
        <w:t>If this element is present within the previous run properties for a run, Word will apply that setting to the current run properties when it is</w:t>
      </w:r>
      <w:r>
        <w:t xml:space="preserve"> saved.</w:t>
      </w:r>
    </w:p>
    <w:p w:rsidR="000A156F" w:rsidRDefault="00A9721F">
      <w:pPr>
        <w:pStyle w:val="Heading3"/>
      </w:pPr>
      <w:bookmarkStart w:id="224" w:name="section_7e9860bb2b3d469aa3ea08a692df6507"/>
      <w:bookmarkStart w:id="225" w:name="_Toc181683138"/>
      <w:r>
        <w:t>Part 1 Section 17.3.3.2, contentPart (Content Part)</w:t>
      </w:r>
      <w:bookmarkEnd w:id="224"/>
      <w:bookmarkEnd w:id="225"/>
      <w:r>
        <w:fldChar w:fldCharType="begin"/>
      </w:r>
      <w:r>
        <w:instrText xml:space="preserve"> XE "contentPart (Content Part)" </w:instrText>
      </w:r>
      <w:r>
        <w:fldChar w:fldCharType="end"/>
      </w:r>
    </w:p>
    <w:p w:rsidR="000A156F" w:rsidRDefault="00A9721F">
      <w:pPr>
        <w:pStyle w:val="Definition-Field"/>
      </w:pPr>
      <w:r>
        <w:t xml:space="preserve">a.   </w:t>
      </w:r>
      <w:r>
        <w:rPr>
          <w:i/>
        </w:rPr>
        <w:t>The standard states that if an application cannot process content of the content type specified by the targeted part, then it should continue to process the</w:t>
      </w:r>
      <w:r>
        <w:rPr>
          <w:i/>
        </w:rPr>
        <w:t xml:space="preserve"> file. If possible, it should also provide some indication that unknown content was not imported.</w:t>
      </w:r>
    </w:p>
    <w:p w:rsidR="000A156F" w:rsidRDefault="00A9721F">
      <w:r>
        <w:t>Word will fail to load the document if the content part’s content type is not text/xml.  Otherwise, Word will ignore the content part without any indication i</w:t>
      </w:r>
      <w:r>
        <w:t>f the root namespace is not recognized.  For example, Word 2013 will ignore the content part without any indication if the root namespace neither “http://www.w3.org/1998/Math/MathML” nor “http://www.w3.org/2003/InkML”.</w:t>
      </w:r>
    </w:p>
    <w:p w:rsidR="000A156F" w:rsidRDefault="00A9721F">
      <w:pPr>
        <w:pStyle w:val="Heading3"/>
      </w:pPr>
      <w:bookmarkStart w:id="226" w:name="section_4dd24eb05f974935875aba6fb4a1ea6d"/>
      <w:bookmarkStart w:id="227" w:name="_Toc181683139"/>
      <w:r>
        <w:t>Part 1 Section 17.3.3.3, control (Emb</w:t>
      </w:r>
      <w:r>
        <w:t>edded Control)</w:t>
      </w:r>
      <w:bookmarkEnd w:id="226"/>
      <w:bookmarkEnd w:id="227"/>
      <w:r>
        <w:fldChar w:fldCharType="begin"/>
      </w:r>
      <w:r>
        <w:instrText xml:space="preserve"> XE "control (Embedded Control)"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fb2a0fdd9af44a4a0ed5dd4ad286134">
        <w:r>
          <w:rPr>
            <w:rStyle w:val="Hyperlink"/>
          </w:rPr>
          <w:t>control, §14.2.2.1(a)</w:t>
        </w:r>
      </w:hyperlink>
      <w:r>
        <w:rPr>
          <w:i/>
        </w:rPr>
        <w:t>.</w:t>
      </w:r>
    </w:p>
    <w:p w:rsidR="000A156F" w:rsidRDefault="00A9721F">
      <w:pPr>
        <w:pStyle w:val="Definition-Field"/>
      </w:pPr>
      <w:r>
        <w:t xml:space="preserve">a.   </w:t>
      </w:r>
      <w:r>
        <w:rPr>
          <w:i/>
        </w:rPr>
        <w:t>The standard specifies th</w:t>
      </w:r>
      <w:r>
        <w:rPr>
          <w:i/>
        </w:rPr>
        <w:t>at the shapeid reference is resolved by looking for a DrawingML object whose id attribute matches the value specified by the shapeid attribute.</w:t>
      </w:r>
    </w:p>
    <w:p w:rsidR="000A156F" w:rsidRDefault="00A9721F">
      <w:pPr>
        <w:pStyle w:val="Definition-Field2"/>
      </w:pPr>
      <w:r>
        <w:t>Word looks for a DrawingML object or a VML shape element ("</w:t>
      </w:r>
      <w:hyperlink r:id="rId85">
        <w:r>
          <w:rPr>
            <w:rStyle w:val="Hyperlink"/>
          </w:rPr>
          <w:t>[ISO/IEC-29500-4]</w:t>
        </w:r>
      </w:hyperlink>
      <w:r>
        <w:t xml:space="preserve"> §19.1.2.19; shape (Shape Definition)"), whose id attribute matches the value specified by the shapeid attribute.</w:t>
      </w:r>
    </w:p>
    <w:p w:rsidR="000A156F" w:rsidRDefault="00A9721F">
      <w:pPr>
        <w:pStyle w:val="Heading3"/>
      </w:pPr>
      <w:bookmarkStart w:id="228" w:name="section_a1c3e0e5f5544b71b9cc950db18ec0f2"/>
      <w:bookmarkStart w:id="229" w:name="_Toc181683140"/>
      <w:r>
        <w:t>Part 1 Section 17.3.3.9, drawing (DrawingML Object)</w:t>
      </w:r>
      <w:bookmarkEnd w:id="228"/>
      <w:bookmarkEnd w:id="229"/>
      <w:r>
        <w:fldChar w:fldCharType="begin"/>
      </w:r>
      <w:r>
        <w:instrText xml:space="preserve"> XE "drawing (DrawingML Object)" </w:instrText>
      </w:r>
      <w:r>
        <w:fldChar w:fldCharType="end"/>
      </w:r>
    </w:p>
    <w:p w:rsidR="000A156F" w:rsidRDefault="00A9721F">
      <w:pPr>
        <w:pStyle w:val="Definition-Field"/>
      </w:pPr>
      <w:r>
        <w:t xml:space="preserve">a.   </w:t>
      </w:r>
      <w:r>
        <w:rPr>
          <w:i/>
        </w:rPr>
        <w:t xml:space="preserve">The standard states </w:t>
      </w:r>
      <w:r>
        <w:rPr>
          <w:i/>
        </w:rPr>
        <w:t>that there can be an unlimited number of inline drawing and anchor drawing properties inside the drawing element.</w:t>
      </w:r>
    </w:p>
    <w:p w:rsidR="000A156F" w:rsidRDefault="00A9721F">
      <w:pPr>
        <w:pStyle w:val="Definition-Field2"/>
      </w:pPr>
      <w:r>
        <w:lastRenderedPageBreak/>
        <w:t>Word expects a single child element to occur and will behave according to the last such element in the drawing element.</w:t>
      </w:r>
    </w:p>
    <w:p w:rsidR="000A156F" w:rsidRDefault="00A9721F">
      <w:pPr>
        <w:pStyle w:val="Heading3"/>
      </w:pPr>
      <w:bookmarkStart w:id="230" w:name="section_22f2ace97cdb4742a9ffcaf620a17baa"/>
      <w:bookmarkStart w:id="231" w:name="_Toc181683141"/>
      <w:r>
        <w:t>Part 1 Section 17.3.3.</w:t>
      </w:r>
      <w:r>
        <w:t>12, hpsRaise (Distance Between Phonetic Guide Text and Phonetic Guide Base Text)</w:t>
      </w:r>
      <w:bookmarkEnd w:id="230"/>
      <w:bookmarkEnd w:id="231"/>
      <w:r>
        <w:fldChar w:fldCharType="begin"/>
      </w:r>
      <w:r>
        <w:instrText xml:space="preserve"> XE "hpsRaise (Distance Between Phonetic Guide Text and Phonetic Guide Base Text)" </w:instrText>
      </w:r>
      <w:r>
        <w:fldChar w:fldCharType="end"/>
      </w:r>
    </w:p>
    <w:p w:rsidR="000A156F" w:rsidRDefault="00A9721F">
      <w:pPr>
        <w:pStyle w:val="Definition-Field"/>
      </w:pPr>
      <w:r>
        <w:t xml:space="preserve">a.   </w:t>
      </w:r>
      <w:r>
        <w:rPr>
          <w:i/>
        </w:rPr>
        <w:t>The standard states that the values of the val attribute are defined by the XML Schem</w:t>
      </w:r>
      <w:r>
        <w:rPr>
          <w:i/>
        </w:rPr>
        <w:t>a unsignedLong datatype.</w:t>
      </w:r>
    </w:p>
    <w:p w:rsidR="000A156F" w:rsidRDefault="00A9721F">
      <w:pPr>
        <w:pStyle w:val="Definition-Field2"/>
      </w:pPr>
      <w:r>
        <w:t>Word defines the values of this attribute with the XML Schema short datatype.</w:t>
      </w:r>
    </w:p>
    <w:p w:rsidR="000A156F" w:rsidRDefault="00A9721F">
      <w:pPr>
        <w:pStyle w:val="Heading3"/>
      </w:pPr>
      <w:bookmarkStart w:id="232" w:name="section_e0d0fc0796bb4248a832dd0e8e42f001"/>
      <w:bookmarkStart w:id="233" w:name="_Toc181683142"/>
      <w:r>
        <w:t>Part 1 Section 17.3.3.13, lastRenderedPageBreak (Position of Last Calculated Page Break)</w:t>
      </w:r>
      <w:bookmarkEnd w:id="232"/>
      <w:bookmarkEnd w:id="233"/>
      <w:r>
        <w:fldChar w:fldCharType="begin"/>
      </w:r>
      <w:r>
        <w:instrText xml:space="preserve"> XE "lastRenderedPageBreak (Position of Last Calculated Page Brea</w:instrText>
      </w:r>
      <w:r>
        <w:instrText xml:space="preserve">k)" </w:instrText>
      </w:r>
      <w:r>
        <w:fldChar w:fldCharType="end"/>
      </w:r>
    </w:p>
    <w:p w:rsidR="000A156F" w:rsidRDefault="00A9721F">
      <w:pPr>
        <w:pStyle w:val="Definition-Field"/>
      </w:pPr>
      <w:r>
        <w:t xml:space="preserve">a.   </w:t>
      </w:r>
      <w:r>
        <w:rPr>
          <w:i/>
        </w:rPr>
        <w:t>The standard states that a lastRenderedPageBreak is written for each page break as calculated by the rendering application's pagination algorithm.</w:t>
      </w:r>
    </w:p>
    <w:p w:rsidR="000A156F" w:rsidRDefault="00A9721F">
      <w:pPr>
        <w:pStyle w:val="Definition-Field2"/>
      </w:pPr>
      <w:r>
        <w:t>When Word encounters a continuous section break ("</w:t>
      </w:r>
      <w:hyperlink r:id="rId86">
        <w:r>
          <w:rPr>
            <w:rStyle w:val="Hyperlink"/>
          </w:rPr>
          <w:t>[ISO/IEC-29500-1]</w:t>
        </w:r>
      </w:hyperlink>
      <w:r>
        <w:t xml:space="preserve"> §17.6.22; type") during pagination, Word will erroneously write a lastRenderedPageBreak.</w:t>
      </w:r>
    </w:p>
    <w:p w:rsidR="000A156F" w:rsidRDefault="00A9721F">
      <w:pPr>
        <w:pStyle w:val="Definition-Field2"/>
      </w:pPr>
      <w:r>
        <w:t>This note applies to the following products: Office 2010, Office 2010 Server, Office 2010 SP1.</w:t>
      </w:r>
    </w:p>
    <w:p w:rsidR="000A156F" w:rsidRDefault="00A9721F">
      <w:pPr>
        <w:pStyle w:val="Heading3"/>
      </w:pPr>
      <w:bookmarkStart w:id="234" w:name="section_22af890dc1be4b36939a8608ea5b01ae"/>
      <w:bookmarkStart w:id="235" w:name="_Toc181683143"/>
      <w:r>
        <w:t>Part 1 Section 17.3.3.14, lid (Lang</w:t>
      </w:r>
      <w:r>
        <w:t>uage ID for Phonetic Guide)</w:t>
      </w:r>
      <w:bookmarkEnd w:id="234"/>
      <w:bookmarkEnd w:id="235"/>
      <w:r>
        <w:fldChar w:fldCharType="begin"/>
      </w:r>
      <w:r>
        <w:instrText xml:space="preserve"> XE "lid (Language ID for Phonetic Guide)"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0A156F" w:rsidRDefault="00A9721F">
      <w:pPr>
        <w:pStyle w:val="Heading3"/>
      </w:pPr>
      <w:bookmarkStart w:id="236" w:name="section_ef061fe2ceaa4fc29574c941845977c7"/>
      <w:bookmarkStart w:id="237" w:name="_Toc181683144"/>
      <w:r>
        <w:t>Part 1 Section 17.3.3.17, movie (Embedded Video)</w:t>
      </w:r>
      <w:bookmarkEnd w:id="236"/>
      <w:bookmarkEnd w:id="237"/>
      <w:r>
        <w:fldChar w:fldCharType="begin"/>
      </w:r>
      <w:r>
        <w:instrText xml:space="preserve"> XE "movie (Embedded Video)"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0A156F" w:rsidRDefault="00A9721F">
      <w:pPr>
        <w:pStyle w:val="Definition-Field"/>
      </w:pPr>
      <w:r>
        <w:t xml:space="preserve">a.   </w:t>
      </w:r>
      <w:r>
        <w:rPr>
          <w:i/>
        </w:rPr>
        <w:t>The standard states that this element shall be used to store video information associated with an image.</w:t>
      </w:r>
    </w:p>
    <w:p w:rsidR="000A156F" w:rsidRDefault="00A9721F">
      <w:pPr>
        <w:pStyle w:val="Definition-Field2"/>
      </w:pPr>
      <w:r>
        <w:t>Word ignores this element when loading a Wordprocessing</w:t>
      </w:r>
      <w:r>
        <w:t>ML document; therefore, this element is lost on roundtrip.</w:t>
      </w:r>
    </w:p>
    <w:p w:rsidR="000A156F" w:rsidRDefault="00A9721F">
      <w:pPr>
        <w:pStyle w:val="Heading3"/>
      </w:pPr>
      <w:bookmarkStart w:id="238" w:name="section_a30a56e7e4d24c1a808f318292fbb4a4"/>
      <w:bookmarkStart w:id="239" w:name="_Toc181683145"/>
      <w:r>
        <w:t>Part 1 Section 17.3.3.19, object (Embedded Object)</w:t>
      </w:r>
      <w:bookmarkEnd w:id="238"/>
      <w:bookmarkEnd w:id="239"/>
      <w:r>
        <w:fldChar w:fldCharType="begin"/>
      </w:r>
      <w:r>
        <w:instrText xml:space="preserve"> XE "object (Embedded Object)" </w:instrText>
      </w:r>
      <w:r>
        <w:fldChar w:fldCharType="end"/>
      </w:r>
    </w:p>
    <w:p w:rsidR="000A156F" w:rsidRDefault="00A9721F">
      <w:pPr>
        <w:pStyle w:val="Definition-Field"/>
      </w:pPr>
      <w:r>
        <w:t xml:space="preserve">a.   </w:t>
      </w:r>
      <w:r>
        <w:rPr>
          <w:i/>
        </w:rPr>
        <w:t>The standard states that object can have a child of type drawing (DrawingML Object)</w:t>
      </w:r>
    </w:p>
    <w:p w:rsidR="000A156F" w:rsidRDefault="00A9721F">
      <w:pPr>
        <w:pStyle w:val="Definition-Field2"/>
      </w:pPr>
      <w:r>
        <w:t>Word will ignore the emb</w:t>
      </w:r>
      <w:r>
        <w:t>edded object if it has a child of type drawing (DrawingML Object). The static representation of the object is maintained, but no longer has any connection to the embedded object.</w:t>
      </w:r>
    </w:p>
    <w:p w:rsidR="000A156F" w:rsidRDefault="00A9721F">
      <w:pPr>
        <w:pStyle w:val="Definition-Field2"/>
      </w:pPr>
      <w:r>
        <w:t xml:space="preserve">This note applies to the following products: Office 2013 Client </w:t>
      </w:r>
      <w:r>
        <w:t>(Transitional), Office 2013 Server (Transitional), Office 2016 Client (Transitional), Office 2016 Server (Transitional).</w:t>
      </w:r>
    </w:p>
    <w:p w:rsidR="000A156F" w:rsidRDefault="00A9721F">
      <w:pPr>
        <w:pStyle w:val="Heading3"/>
      </w:pPr>
      <w:bookmarkStart w:id="240" w:name="section_80584e929ba74ac4a2e6babf3221caf4"/>
      <w:bookmarkStart w:id="241" w:name="_Toc181683146"/>
      <w:r>
        <w:t>Part 1 Section 17.3.3.20, objectEmbed (Embedded Object Properties)</w:t>
      </w:r>
      <w:bookmarkEnd w:id="240"/>
      <w:bookmarkEnd w:id="241"/>
      <w:r>
        <w:fldChar w:fldCharType="begin"/>
      </w:r>
      <w:r>
        <w:instrText xml:space="preserve"> XE "objectEmbed (Embedded Object Properties)" </w:instrText>
      </w:r>
      <w:r>
        <w:fldChar w:fldCharType="end"/>
      </w:r>
    </w:p>
    <w:p w:rsidR="000A156F" w:rsidRDefault="00A9721F">
      <w:pPr>
        <w:pStyle w:val="Definition-Field"/>
      </w:pPr>
      <w:r>
        <w:t xml:space="preserve">a.   </w:t>
      </w:r>
      <w:r>
        <w:rPr>
          <w:i/>
        </w:rPr>
        <w:t>The standard s</w:t>
      </w:r>
      <w:r>
        <w:rPr>
          <w:i/>
        </w:rPr>
        <w:t>tates that this element specifies the visual properties and associated server application of an embedded object.</w:t>
      </w:r>
    </w:p>
    <w:p w:rsidR="000A156F" w:rsidRDefault="00A9721F">
      <w:pPr>
        <w:pStyle w:val="Definition-Field2"/>
      </w:pPr>
      <w:r>
        <w:t>Word always ignores this element.</w:t>
      </w:r>
    </w:p>
    <w:p w:rsidR="000A156F" w:rsidRDefault="00A9721F">
      <w:pPr>
        <w:pStyle w:val="Definition-Field2"/>
      </w:pPr>
      <w:r>
        <w:lastRenderedPageBreak/>
        <w:t>This note applies to the following products: Office 2013 Client (Transitional), Office 2013 Server (Transitio</w:t>
      </w:r>
      <w:r>
        <w:t>nal), Office 2016 Client (Transitional), Office 2016 Server (Transitional).</w:t>
      </w:r>
    </w:p>
    <w:p w:rsidR="000A156F" w:rsidRDefault="00A9721F">
      <w:pPr>
        <w:pStyle w:val="Heading3"/>
      </w:pPr>
      <w:bookmarkStart w:id="242" w:name="section_8f7f48e70926447782e24eead69938c5"/>
      <w:bookmarkStart w:id="243" w:name="_Toc181683147"/>
      <w:r>
        <w:t>Part 1 Section 17.3.3.21, objectLink (Linked Object Properties)</w:t>
      </w:r>
      <w:bookmarkEnd w:id="242"/>
      <w:bookmarkEnd w:id="243"/>
      <w:r>
        <w:fldChar w:fldCharType="begin"/>
      </w:r>
      <w:r>
        <w:instrText xml:space="preserve"> XE "objectLink (Linked Object Properties)" </w:instrText>
      </w:r>
      <w:r>
        <w:fldChar w:fldCharType="end"/>
      </w:r>
    </w:p>
    <w:p w:rsidR="000A156F" w:rsidRDefault="00A9721F">
      <w:pPr>
        <w:pStyle w:val="Definition-Field"/>
      </w:pPr>
      <w:r>
        <w:t xml:space="preserve">a.   </w:t>
      </w:r>
      <w:r>
        <w:rPr>
          <w:i/>
        </w:rPr>
        <w:t>The standard states that this element specifies the visual proper</w:t>
      </w:r>
      <w:r>
        <w:rPr>
          <w:i/>
        </w:rPr>
        <w:t>ties, associated server application, and refresh mode of a linked object.</w:t>
      </w:r>
    </w:p>
    <w:p w:rsidR="000A156F" w:rsidRDefault="00A9721F">
      <w:pPr>
        <w:pStyle w:val="Definition-Field2"/>
      </w:pPr>
      <w:r>
        <w:t>Word always ignores this element.</w:t>
      </w:r>
    </w:p>
    <w:p w:rsidR="000A156F" w:rsidRDefault="00A9721F">
      <w:pPr>
        <w:pStyle w:val="Definition-Field2"/>
      </w:pPr>
      <w:r>
        <w:t>This note applies to the following products: Office 2013 Client (Transitional), Office 2013 Server (Transitional), Office 2016 Client (Transitional)</w:t>
      </w:r>
      <w:r>
        <w:t>, Office 2016 Server (Transitional).</w:t>
      </w:r>
    </w:p>
    <w:p w:rsidR="000A156F" w:rsidRDefault="00A9721F">
      <w:pPr>
        <w:pStyle w:val="Heading3"/>
      </w:pPr>
      <w:bookmarkStart w:id="244" w:name="section_af021f39c8864571a52f70966013513b"/>
      <w:bookmarkStart w:id="245" w:name="_Toc181683148"/>
      <w:r>
        <w:t>Part 1 Section 17.3.3.24, rt (Phonetic Guide Text)</w:t>
      </w:r>
      <w:bookmarkEnd w:id="244"/>
      <w:bookmarkEnd w:id="245"/>
      <w:r>
        <w:fldChar w:fldCharType="begin"/>
      </w:r>
      <w:r>
        <w:instrText xml:space="preserve"> XE "rt (Phonetic Guide Text)"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0A156F" w:rsidRDefault="00A9721F">
      <w:pPr>
        <w:pStyle w:val="Heading3"/>
      </w:pPr>
      <w:bookmarkStart w:id="246" w:name="section_7fe9debd14844460b600621fc119b521"/>
      <w:bookmarkStart w:id="247" w:name="_Toc181683149"/>
      <w:r>
        <w:t>Part 1 Section 17.3.3.27, rubyBase (Phonetic Guide Base Text)</w:t>
      </w:r>
      <w:bookmarkEnd w:id="246"/>
      <w:bookmarkEnd w:id="247"/>
      <w:r>
        <w:fldChar w:fldCharType="begin"/>
      </w:r>
      <w:r>
        <w:instrText xml:space="preserve"> XE "rubyBase (Phonetic Guide Base Text)" </w:instrText>
      </w:r>
      <w:r>
        <w:fldChar w:fldCharType="end"/>
      </w:r>
    </w:p>
    <w:p w:rsidR="000A156F" w:rsidRDefault="00A9721F">
      <w:pPr>
        <w:pStyle w:val="Definition-Field2"/>
      </w:pPr>
      <w:r>
        <w:rPr>
          <w:i/>
        </w:rPr>
        <w:t>For additional notes</w:t>
      </w:r>
      <w:r>
        <w:rPr>
          <w:i/>
        </w:rPr>
        <w:t xml:space="preserve">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standard makes no mention of a child customXml element.</w:t>
      </w:r>
    </w:p>
    <w:p w:rsidR="000A156F" w:rsidRDefault="00A9721F">
      <w:pPr>
        <w:pStyle w:val="Definition-Field2"/>
      </w:pPr>
      <w:r>
        <w:t>Word allows a child customXml elemen</w:t>
      </w:r>
      <w:r>
        <w:t>t as defined in customXml (Ruby Cell-Level Custom XML Element) (</w:t>
      </w:r>
      <w:hyperlink w:anchor="Section_d188da3eb34b4445b3a0118155f75ff3">
        <w:r>
          <w:rPr>
            <w:rStyle w:val="Hyperlink"/>
          </w:rPr>
          <w:t>§3.1.3.1.1, customXml</w:t>
        </w:r>
      </w:hyperlink>
      <w:r>
        <w:t>).</w:t>
      </w:r>
    </w:p>
    <w:p w:rsidR="000A156F" w:rsidRDefault="00A9721F">
      <w:pPr>
        <w:pStyle w:val="Definition-Field"/>
      </w:pPr>
      <w:r>
        <w:t xml:space="preserve">b.   </w:t>
      </w:r>
      <w:r>
        <w:rPr>
          <w:i/>
        </w:rPr>
        <w:t>The standard makes no mention of a child fldSimple element.</w:t>
      </w:r>
    </w:p>
    <w:p w:rsidR="000A156F" w:rsidRDefault="00A9721F">
      <w:pPr>
        <w:pStyle w:val="Definition-Field2"/>
      </w:pPr>
      <w:r>
        <w:t>Word allows a child fldSimple element as</w:t>
      </w:r>
      <w:r>
        <w:t xml:space="preserve"> defined in fldSimple (Ruby Simple Field) (</w:t>
      </w:r>
      <w:hyperlink w:anchor="Section_34477fff355a497ea2bf4b9c3f80b093">
        <w:r>
          <w:rPr>
            <w:rStyle w:val="Hyperlink"/>
          </w:rPr>
          <w:t>§3.1.3.1.2, fldSimple</w:t>
        </w:r>
      </w:hyperlink>
      <w:r>
        <w:t>).</w:t>
      </w:r>
    </w:p>
    <w:p w:rsidR="000A156F" w:rsidRDefault="00A9721F">
      <w:pPr>
        <w:pStyle w:val="Definition-Field"/>
      </w:pPr>
      <w:r>
        <w:t xml:space="preserve">c.   </w:t>
      </w:r>
      <w:r>
        <w:rPr>
          <w:i/>
        </w:rPr>
        <w:t>The standard makes no mention of a child hyperlink element.</w:t>
      </w:r>
    </w:p>
    <w:p w:rsidR="000A156F" w:rsidRDefault="00A9721F">
      <w:pPr>
        <w:pStyle w:val="Definition-Field2"/>
      </w:pPr>
      <w:r>
        <w:t>Word allows a child hyperlink element as defined in hyperlink</w:t>
      </w:r>
      <w:r>
        <w:t xml:space="preserve"> (Ruby Hyperlink) (</w:t>
      </w:r>
      <w:hyperlink w:anchor="Section_cc9e4bbd134f4d35b2c795fde8c633a7">
        <w:r>
          <w:rPr>
            <w:rStyle w:val="Hyperlink"/>
          </w:rPr>
          <w:t>§3.1.3.1.3, hyperlink</w:t>
        </w:r>
      </w:hyperlink>
      <w:r>
        <w:t>).</w:t>
      </w:r>
    </w:p>
    <w:p w:rsidR="000A156F" w:rsidRDefault="00A9721F">
      <w:pPr>
        <w:pStyle w:val="Definition-Field"/>
      </w:pPr>
      <w:r>
        <w:t xml:space="preserve">d.   </w:t>
      </w:r>
      <w:r>
        <w:rPr>
          <w:i/>
        </w:rPr>
        <w:t>The standard makes no mention of a child sdt element.</w:t>
      </w:r>
    </w:p>
    <w:p w:rsidR="000A156F" w:rsidRDefault="00A9721F">
      <w:pPr>
        <w:pStyle w:val="Definition-Field2"/>
      </w:pPr>
      <w:r>
        <w:t>Word allows a child sdt element as defined in sdt (Ruby Inline-Level Structured Document Ta</w:t>
      </w:r>
      <w:r>
        <w:t>g) (</w:t>
      </w:r>
      <w:hyperlink w:anchor="Section_808b32d8ad644c849fb585ad68be54b9">
        <w:r>
          <w:rPr>
            <w:rStyle w:val="Hyperlink"/>
          </w:rPr>
          <w:t>§3.1.3.1.6, sdt</w:t>
        </w:r>
      </w:hyperlink>
      <w:r>
        <w:t>).</w:t>
      </w:r>
    </w:p>
    <w:p w:rsidR="000A156F" w:rsidRDefault="00A9721F">
      <w:pPr>
        <w:pStyle w:val="Heading3"/>
      </w:pPr>
      <w:bookmarkStart w:id="248" w:name="section_6180ac79cc0e411d8ab9cdf689f36f75"/>
      <w:bookmarkStart w:id="249" w:name="_Toc181683150"/>
      <w:r>
        <w:t>Part 1 Section 17.3.3.30, sym (Symbol Character)</w:t>
      </w:r>
      <w:bookmarkEnd w:id="248"/>
      <w:bookmarkEnd w:id="249"/>
      <w:r>
        <w:fldChar w:fldCharType="begin"/>
      </w:r>
      <w:r>
        <w:instrText xml:space="preserve"> XE "sym (Symbol Character)" </w:instrText>
      </w:r>
      <w:r>
        <w:fldChar w:fldCharType="end"/>
      </w:r>
    </w:p>
    <w:p w:rsidR="000A156F" w:rsidRDefault="00A9721F">
      <w:pPr>
        <w:pStyle w:val="Definition-Field"/>
      </w:pPr>
      <w:r>
        <w:t xml:space="preserve">a.   </w:t>
      </w:r>
      <w:r>
        <w:rPr>
          <w:i/>
        </w:rPr>
        <w:t>The standard states that the font attribute can contain any string value.</w:t>
      </w:r>
    </w:p>
    <w:p w:rsidR="000A156F" w:rsidRDefault="00A9721F">
      <w:pPr>
        <w:pStyle w:val="Definition-Field2"/>
      </w:pPr>
      <w:r>
        <w:t xml:space="preserve">Word </w:t>
      </w:r>
      <w:r>
        <w:t>restricts the contents of the font attribute to a maximum length of 31 characters.</w:t>
      </w:r>
    </w:p>
    <w:p w:rsidR="000A156F" w:rsidRDefault="00A9721F">
      <w:pPr>
        <w:pStyle w:val="Heading3"/>
      </w:pPr>
      <w:bookmarkStart w:id="250" w:name="section_233dfa68d1f34d56a781bfef71cc74fa"/>
      <w:bookmarkStart w:id="251" w:name="_Toc181683151"/>
      <w:r>
        <w:t>Part 1 Section 17.4.1, bidiVisual (Visually Right to Left Table)</w:t>
      </w:r>
      <w:bookmarkEnd w:id="250"/>
      <w:bookmarkEnd w:id="251"/>
      <w:r>
        <w:fldChar w:fldCharType="begin"/>
      </w:r>
      <w:r>
        <w:instrText xml:space="preserve"> XE "bidiVisual (Visually Right to Left Table)"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A156F" w:rsidRDefault="00A9721F">
      <w:pPr>
        <w:pStyle w:val="Heading3"/>
      </w:pPr>
      <w:bookmarkStart w:id="252" w:name="section_8301b45dae9045f18fcaf3e3bd7d9c49"/>
      <w:bookmarkStart w:id="253" w:name="_Toc181683152"/>
      <w:r>
        <w:lastRenderedPageBreak/>
        <w:t>Part 1 Section 17.4.2, bottom (Table Cell Bottom Margin Exception)</w:t>
      </w:r>
      <w:bookmarkEnd w:id="252"/>
      <w:bookmarkEnd w:id="253"/>
      <w:r>
        <w:fldChar w:fldCharType="begin"/>
      </w:r>
      <w:r>
        <w:instrText xml:space="preserve"> XE "bottom (Table Cell Bottom Margin Exception)"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A156F" w:rsidRDefault="00A9721F">
      <w:pPr>
        <w:pStyle w:val="Definition-Field"/>
      </w:pPr>
      <w:r>
        <w:t xml:space="preserve">a.   </w:t>
      </w:r>
      <w:r>
        <w:rPr>
          <w:i/>
        </w:rPr>
        <w:t>The standard states that a 'type' attribute value of "nil" specifies that the current width is 0.</w:t>
      </w:r>
    </w:p>
    <w:p w:rsidR="000A156F" w:rsidRDefault="00A9721F">
      <w:pPr>
        <w:pStyle w:val="Definition-Field2"/>
      </w:pPr>
      <w:r>
        <w:t>Word ignores this element when the 'type' attribute has a value of "nil".</w:t>
      </w:r>
    </w:p>
    <w:p w:rsidR="000A156F" w:rsidRDefault="00A9721F">
      <w:pPr>
        <w:pStyle w:val="Heading3"/>
      </w:pPr>
      <w:bookmarkStart w:id="254" w:name="section_a24ca39e7f694a89a30e13abea010529"/>
      <w:bookmarkStart w:id="255" w:name="_Toc181683153"/>
      <w:r>
        <w:t>Part 1 Section 17.4.3, bottom (Table Cell B</w:t>
      </w:r>
      <w:r>
        <w:t>ottom Border)</w:t>
      </w:r>
      <w:bookmarkEnd w:id="254"/>
      <w:bookmarkEnd w:id="255"/>
      <w:r>
        <w:fldChar w:fldCharType="begin"/>
      </w:r>
      <w:r>
        <w:instrText xml:space="preserve"> XE "bottom (Table Cell Bottom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256" w:name="section_ae7dd4da0bda48e69d365645b9c35ce6"/>
      <w:bookmarkStart w:id="257" w:name="_Toc181683154"/>
      <w:r>
        <w:t>Part 1 Section 17.4.4, bottom (Table Bottom Border)</w:t>
      </w:r>
      <w:bookmarkEnd w:id="256"/>
      <w:bookmarkEnd w:id="257"/>
      <w:r>
        <w:fldChar w:fldCharType="begin"/>
      </w:r>
      <w:r>
        <w:instrText xml:space="preserve"> XE "bottom (Table Bottom Border)" </w:instrText>
      </w:r>
      <w:r>
        <w:fldChar w:fldCharType="end"/>
      </w:r>
    </w:p>
    <w:p w:rsidR="000A156F" w:rsidRDefault="00A9721F">
      <w:pPr>
        <w:pStyle w:val="Definition-Field2"/>
      </w:pPr>
      <w:r>
        <w:rPr>
          <w:i/>
        </w:rPr>
        <w:t xml:space="preserve">For additional notes that </w:t>
      </w:r>
      <w:r>
        <w:rPr>
          <w:i/>
        </w:rPr>
        <w:t xml:space="preserve">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258" w:name="section_0dd57f39232e42649600a0075f27b8b4"/>
      <w:bookmarkStart w:id="259" w:name="_Toc181683155"/>
      <w:r>
        <w:t>Part 1 Section 17.4.5, bottom (Table Cell Bottom Margin Default)</w:t>
      </w:r>
      <w:bookmarkEnd w:id="258"/>
      <w:bookmarkEnd w:id="259"/>
      <w:r>
        <w:fldChar w:fldCharType="begin"/>
      </w:r>
      <w:r>
        <w:instrText xml:space="preserve"> XE "bottom (Table Cell Bottom Margin Default)" </w:instrText>
      </w:r>
      <w:r>
        <w:fldChar w:fldCharType="end"/>
      </w:r>
    </w:p>
    <w:p w:rsidR="000A156F" w:rsidRDefault="00A9721F">
      <w:pPr>
        <w:pStyle w:val="Definition-Field2"/>
      </w:pPr>
      <w:r>
        <w:rPr>
          <w:i/>
        </w:rPr>
        <w:t>For additional notes that apply to this portion of the standard, please see the no</w:t>
      </w:r>
      <w:r>
        <w:rPr>
          <w:i/>
        </w:rPr>
        <w:t xml:space="preserve">tes for </w:t>
      </w:r>
      <w:hyperlink w:anchor="Section_8446a4220fe8401bb11fa2d4933ee83c">
        <w:r>
          <w:rPr>
            <w:rStyle w:val="Hyperlink"/>
          </w:rPr>
          <w:t>top, §17.4.77(a)</w:t>
        </w:r>
      </w:hyperlink>
      <w:r>
        <w:rPr>
          <w:i/>
        </w:rPr>
        <w:t>.</w:t>
      </w:r>
    </w:p>
    <w:p w:rsidR="000A156F" w:rsidRDefault="00A9721F">
      <w:pPr>
        <w:pStyle w:val="Heading3"/>
      </w:pPr>
      <w:bookmarkStart w:id="260" w:name="section_a55188f724434c17ba5a75999085bab4"/>
      <w:bookmarkStart w:id="261" w:name="_Toc181683156"/>
      <w:r>
        <w:t>Part 1 Section 17.4.6, cantSplit (Table Row Cannot Break Across Pages)</w:t>
      </w:r>
      <w:bookmarkEnd w:id="260"/>
      <w:bookmarkEnd w:id="261"/>
      <w:r>
        <w:fldChar w:fldCharType="begin"/>
      </w:r>
      <w:r>
        <w:instrText xml:space="preserve"> XE "cantSplit (Table Row Cannot Break Across Pages)" </w:instrText>
      </w:r>
      <w:r>
        <w:fldChar w:fldCharType="end"/>
      </w:r>
    </w:p>
    <w:p w:rsidR="000A156F" w:rsidRDefault="00A9721F">
      <w:pPr>
        <w:pStyle w:val="Definition-Field"/>
      </w:pPr>
      <w:r>
        <w:t xml:space="preserve">a.   </w:t>
      </w:r>
      <w:r>
        <w:rPr>
          <w:i/>
        </w:rPr>
        <w:t>The standard states that the row sh</w:t>
      </w:r>
      <w:r>
        <w:rPr>
          <w:i/>
        </w:rPr>
        <w:t>all start on a new page and flow onto multiple pages as necessary when the contents of the table row cannot fit on a single page.</w:t>
      </w:r>
    </w:p>
    <w:p w:rsidR="000A156F" w:rsidRDefault="00A9721F">
      <w:pPr>
        <w:pStyle w:val="Definition-Field2"/>
      </w:pPr>
      <w:r>
        <w:t>Word starts the row on a new page and cuts off overflowing contents as necessary under this circumstance.</w:t>
      </w:r>
    </w:p>
    <w:p w:rsidR="000A156F" w:rsidRDefault="00A9721F">
      <w:pPr>
        <w:pStyle w:val="Heading3"/>
      </w:pPr>
      <w:bookmarkStart w:id="262" w:name="section_00d36f3922a349eb925e84c7bba02c37"/>
      <w:bookmarkStart w:id="263" w:name="_Toc181683157"/>
      <w:r>
        <w:t>Part 1 Section 17.4.</w:t>
      </w:r>
      <w:r>
        <w:t>7, cnfStyle (Table Row Conditional Formatting)</w:t>
      </w:r>
      <w:bookmarkEnd w:id="262"/>
      <w:bookmarkEnd w:id="263"/>
      <w:r>
        <w:fldChar w:fldCharType="begin"/>
      </w:r>
      <w:r>
        <w:instrText xml:space="preserve"> XE "cnfStyle (Table Row Conditional Formatting)"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8643db45244582bab3b93a2dd7b94a">
        <w:r>
          <w:rPr>
            <w:rStyle w:val="Hyperlink"/>
          </w:rPr>
          <w:t>trPr</w:t>
        </w:r>
        <w:r>
          <w:rPr>
            <w:rStyle w:val="Hyperlink"/>
          </w:rPr>
          <w:t>, §17.7.6.10(b)</w:t>
        </w:r>
      </w:hyperlink>
      <w:r>
        <w:rPr>
          <w:i/>
        </w:rPr>
        <w:t xml:space="preserve">; </w:t>
      </w:r>
      <w:hyperlink w:anchor="Section_36064a5b267d4a27a567453d8b96a5b3">
        <w:r>
          <w:rPr>
            <w:rStyle w:val="Hyperlink"/>
          </w:rPr>
          <w:t>trPr, §17.7.6.11(a)</w:t>
        </w:r>
      </w:hyperlink>
      <w:r>
        <w:rPr>
          <w:i/>
        </w:rPr>
        <w:t>.</w:t>
      </w:r>
    </w:p>
    <w:p w:rsidR="000A156F" w:rsidRDefault="00A9721F">
      <w:pPr>
        <w:pStyle w:val="Heading3"/>
      </w:pPr>
      <w:bookmarkStart w:id="264" w:name="section_0a28293f8ae14ef889f29e0f11b6281f"/>
      <w:bookmarkStart w:id="265" w:name="_Toc181683158"/>
      <w:r>
        <w:t>Part 1 Section 17.4.8, cnfStyle (Table Cell Conditional Formatting)</w:t>
      </w:r>
      <w:bookmarkEnd w:id="264"/>
      <w:bookmarkEnd w:id="265"/>
      <w:r>
        <w:fldChar w:fldCharType="begin"/>
      </w:r>
      <w:r>
        <w:instrText xml:space="preserve"> XE "cnfStyle (Table Cell Conditional Formatting)"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A156F" w:rsidRDefault="00A9721F">
      <w:pPr>
        <w:pStyle w:val="Heading3"/>
      </w:pPr>
      <w:bookmarkStart w:id="266" w:name="section_818e7ab5d66642ad8111cd3898c6d53b"/>
      <w:bookmarkStart w:id="267" w:name="_Toc181683159"/>
      <w:r>
        <w:t>Part 1 Section 17.4.9, divId (Associated HTML div ID)</w:t>
      </w:r>
      <w:bookmarkEnd w:id="266"/>
      <w:bookmarkEnd w:id="267"/>
      <w:r>
        <w:fldChar w:fldCharType="begin"/>
      </w:r>
      <w:r>
        <w:instrText xml:space="preserve"> XE "divId (Associated HTML div ID)"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ff84bc9d5b747c7bcd53bebf540efb0">
        <w:r>
          <w:rPr>
            <w:rStyle w:val="Hyperlink"/>
          </w:rPr>
          <w:t>divId, §17</w:t>
        </w:r>
        <w:r>
          <w:rPr>
            <w:rStyle w:val="Hyperlink"/>
          </w:rPr>
          <w:t>.3.1.10(a)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A156F" w:rsidRDefault="00A9721F">
      <w:pPr>
        <w:pStyle w:val="Definition-Field"/>
      </w:pPr>
      <w:r>
        <w:t xml:space="preserve">a.   </w:t>
      </w:r>
      <w:r>
        <w:rPr>
          <w:i/>
        </w:rPr>
        <w:t>The standard states that the values of the val attribute are defined by</w:t>
      </w:r>
      <w:r>
        <w:rPr>
          <w:i/>
        </w:rPr>
        <w:t xml:space="preserve"> the XML Schema integer datatype.</w:t>
      </w:r>
    </w:p>
    <w:p w:rsidR="000A156F" w:rsidRDefault="00A9721F">
      <w:pPr>
        <w:pStyle w:val="Definition-Field2"/>
      </w:pPr>
      <w:r>
        <w:t>Word does not allow a value of 0 on this attribute.</w:t>
      </w:r>
    </w:p>
    <w:p w:rsidR="000A156F" w:rsidRDefault="00A9721F">
      <w:pPr>
        <w:pStyle w:val="Heading3"/>
      </w:pPr>
      <w:bookmarkStart w:id="268" w:name="section_4c92f707926044458881c728fd0988ca"/>
      <w:bookmarkStart w:id="269" w:name="_Toc181683160"/>
      <w:r>
        <w:t>Part 1 Section 17.4.10, end (Table Cell Trailing Margin Exception)</w:t>
      </w:r>
      <w:bookmarkEnd w:id="268"/>
      <w:bookmarkEnd w:id="269"/>
      <w:r>
        <w:fldChar w:fldCharType="begin"/>
      </w:r>
      <w:r>
        <w:instrText xml:space="preserve"> XE "end (Table Cell Trailing Margin Exception)" </w:instrText>
      </w:r>
      <w:r>
        <w:fldChar w:fldCharType="end"/>
      </w:r>
    </w:p>
    <w:p w:rsidR="000A156F" w:rsidRDefault="00A9721F">
      <w:pPr>
        <w:pStyle w:val="Definition-Field2"/>
      </w:pPr>
      <w:r>
        <w:rPr>
          <w:i/>
        </w:rPr>
        <w:t>For additional notes that apply to this portion of t</w:t>
      </w:r>
      <w:r>
        <w:rPr>
          <w:i/>
        </w:rPr>
        <w:t xml:space="preserve">he standard, please see the notes for </w:t>
      </w:r>
      <w:hyperlink w:anchor="Section_8446a4220fe8401bb11fa2d4933ee83c">
        <w:r>
          <w:rPr>
            <w:rStyle w:val="Hyperlink"/>
          </w:rPr>
          <w:t>top, §17.4.77(a)</w:t>
        </w:r>
      </w:hyperlink>
      <w:r>
        <w:rPr>
          <w:i/>
        </w:rPr>
        <w:t>.</w:t>
      </w:r>
    </w:p>
    <w:p w:rsidR="000A156F" w:rsidRDefault="00A9721F">
      <w:pPr>
        <w:pStyle w:val="Definition-Field"/>
      </w:pPr>
      <w:r>
        <w:lastRenderedPageBreak/>
        <w:t xml:space="preserve">a.   </w:t>
      </w:r>
      <w:r>
        <w:rPr>
          <w:i/>
        </w:rPr>
        <w:t>The standard states that a 'type' attribute value of "nil" specifies that the current width is 0.</w:t>
      </w:r>
    </w:p>
    <w:p w:rsidR="000A156F" w:rsidRDefault="00A9721F">
      <w:pPr>
        <w:pStyle w:val="Definition-Field2"/>
      </w:pPr>
      <w:r>
        <w:t>Word ignores this element when the</w:t>
      </w:r>
      <w:r>
        <w:t xml:space="preserve"> 'type' attribute has a value of "nil".</w:t>
      </w:r>
    </w:p>
    <w:p w:rsidR="000A156F" w:rsidRDefault="00A9721F">
      <w:pPr>
        <w:pStyle w:val="Heading3"/>
      </w:pPr>
      <w:bookmarkStart w:id="270" w:name="section_922e778f0e234947a0e4b52508651f6f"/>
      <w:bookmarkStart w:id="271" w:name="_Toc181683161"/>
      <w:r>
        <w:t>Part 1 Section 17.4.11, end (Table Cell Trailing Margin Default)</w:t>
      </w:r>
      <w:bookmarkEnd w:id="270"/>
      <w:bookmarkEnd w:id="271"/>
      <w:r>
        <w:fldChar w:fldCharType="begin"/>
      </w:r>
      <w:r>
        <w:instrText xml:space="preserve"> XE "end (Table Cell Trailing Margin Default)" </w:instrText>
      </w:r>
      <w:r>
        <w:fldChar w:fldCharType="end"/>
      </w:r>
    </w:p>
    <w:p w:rsidR="000A156F" w:rsidRDefault="00A9721F">
      <w:pPr>
        <w:pStyle w:val="Definition-Field"/>
      </w:pPr>
      <w:r>
        <w:t xml:space="preserve">a.   </w:t>
      </w:r>
      <w:r>
        <w:rPr>
          <w:i/>
        </w:rPr>
        <w:t>The standard states that any width value of type pct or auto for this element shall be ignored.</w:t>
      </w:r>
    </w:p>
    <w:p w:rsidR="000A156F" w:rsidRDefault="00A9721F">
      <w:pPr>
        <w:pStyle w:val="Definition-Field2"/>
      </w:pPr>
      <w:r>
        <w:t>W</w:t>
      </w:r>
      <w:r>
        <w:t>ord uses a default value of 0 for the width when the value of the type attribute is pct or auto.</w:t>
      </w:r>
    </w:p>
    <w:p w:rsidR="000A156F" w:rsidRDefault="00A9721F">
      <w:pPr>
        <w:pStyle w:val="Heading3"/>
      </w:pPr>
      <w:bookmarkStart w:id="272" w:name="section_5afd726060ff42518744b0ed5d826f54"/>
      <w:bookmarkStart w:id="273" w:name="_Toc181683162"/>
      <w:r>
        <w:t>Part 1 Section 17.4.12, end (Table Cell Trailing Edge Border)</w:t>
      </w:r>
      <w:bookmarkEnd w:id="272"/>
      <w:bookmarkEnd w:id="273"/>
      <w:r>
        <w:fldChar w:fldCharType="begin"/>
      </w:r>
      <w:r>
        <w:instrText xml:space="preserve"> XE "end (Table Cell Trailing Edge Border)" </w:instrText>
      </w:r>
      <w:r>
        <w:fldChar w:fldCharType="end"/>
      </w:r>
    </w:p>
    <w:p w:rsidR="000A156F" w:rsidRDefault="00A9721F">
      <w:pPr>
        <w:pStyle w:val="Definition-Field2"/>
      </w:pPr>
      <w:r>
        <w:rPr>
          <w:i/>
        </w:rPr>
        <w:t xml:space="preserve">For additional notes that apply to this portion of </w:t>
      </w:r>
      <w:r>
        <w:rPr>
          <w:i/>
        </w:rPr>
        <w:t xml:space="preserve">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274" w:name="section_38d238ef408a4e128032b243fb47247b"/>
      <w:bookmarkStart w:id="275" w:name="_Toc181683163"/>
      <w:r>
        <w:t>Part 1 Section 17.4.13, end (Table Trailing Edge Border)</w:t>
      </w:r>
      <w:bookmarkEnd w:id="274"/>
      <w:bookmarkEnd w:id="275"/>
      <w:r>
        <w:fldChar w:fldCharType="begin"/>
      </w:r>
      <w:r>
        <w:instrText xml:space="preserve"> XE "end (Table Trailing Edge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276" w:name="section_12e40cc181624abf985e412e9324e57c"/>
      <w:bookmarkStart w:id="277" w:name="_Toc181683164"/>
      <w:r>
        <w:t>Part 1 Section 17.4.14, gridAfter (Grid Columns After Last Cell)</w:t>
      </w:r>
      <w:bookmarkEnd w:id="276"/>
      <w:bookmarkEnd w:id="277"/>
      <w:r>
        <w:fldChar w:fldCharType="begin"/>
      </w:r>
      <w:r>
        <w:instrText xml:space="preserve"> XE "gridAfter (Grid Columns After Last Cell)"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A156F" w:rsidRDefault="00A9721F">
      <w:pPr>
        <w:pStyle w:val="Definition-Field"/>
      </w:pPr>
      <w:r>
        <w:t xml:space="preserve">a.   </w:t>
      </w:r>
      <w:r>
        <w:rPr>
          <w:i/>
        </w:rPr>
        <w:t>The standard states that if this element conflicts with the document grid, then it is ignored.</w:t>
      </w:r>
    </w:p>
    <w:p w:rsidR="000A156F" w:rsidRDefault="00A9721F">
      <w:pPr>
        <w:pStyle w:val="Definition-Field2"/>
      </w:pPr>
      <w:r>
        <w:t xml:space="preserve">In Word, if this element conflicts with </w:t>
      </w:r>
      <w:r>
        <w:t>the table grid, then it is ignored.</w:t>
      </w:r>
    </w:p>
    <w:p w:rsidR="000A156F" w:rsidRDefault="00A9721F">
      <w:pPr>
        <w:pStyle w:val="Definition-Field"/>
      </w:pPr>
      <w:r>
        <w:t xml:space="preserve">b.   </w:t>
      </w:r>
      <w:r>
        <w:rPr>
          <w:i/>
        </w:rPr>
        <w:t>The standard states the values for the val attribute are defined by the ST_DecimalNumber simple type</w:t>
      </w:r>
    </w:p>
    <w:p w:rsidR="000A156F" w:rsidRDefault="00A9721F">
      <w:pPr>
        <w:pStyle w:val="Definition-Field2"/>
      </w:pPr>
      <w:r>
        <w:t>Word only ignores 0 or negative values for this element</w:t>
      </w:r>
    </w:p>
    <w:p w:rsidR="000A156F" w:rsidRDefault="00A9721F">
      <w:pPr>
        <w:pStyle w:val="Heading3"/>
      </w:pPr>
      <w:bookmarkStart w:id="278" w:name="section_c0d7a13166d24bee8df8e5bae148119f"/>
      <w:bookmarkStart w:id="279" w:name="_Toc181683165"/>
      <w:r>
        <w:t>Part 1 Section 17.4.15, gridBefore (Grid Columns Before Fi</w:t>
      </w:r>
      <w:r>
        <w:t>rst Cell)</w:t>
      </w:r>
      <w:bookmarkEnd w:id="278"/>
      <w:bookmarkEnd w:id="279"/>
      <w:r>
        <w:fldChar w:fldCharType="begin"/>
      </w:r>
      <w:r>
        <w:instrText xml:space="preserve"> XE "gridBefore (Grid Columns Before First Cell)"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A156F" w:rsidRDefault="00A9721F">
      <w:pPr>
        <w:pStyle w:val="Definition-Field"/>
      </w:pPr>
      <w:r>
        <w:t xml:space="preserve">a.   </w:t>
      </w:r>
      <w:r>
        <w:rPr>
          <w:i/>
        </w:rPr>
        <w:t>The standard states that if the value of this element exceeds the number of grid columns, then the value shall be ignored.</w:t>
      </w:r>
    </w:p>
    <w:p w:rsidR="000A156F" w:rsidRDefault="00A9721F">
      <w:pPr>
        <w:pStyle w:val="Definition-Field2"/>
      </w:pPr>
      <w:r>
        <w:t>Word requires that this value not exceed the total number of gri</w:t>
      </w:r>
      <w:r>
        <w:t>d columns. If the value of this element exceeds the number of grid columns, then the behavior is unpredictable.</w:t>
      </w:r>
    </w:p>
    <w:p w:rsidR="000A156F" w:rsidRDefault="00A9721F">
      <w:pPr>
        <w:pStyle w:val="Definition-Field"/>
      </w:pPr>
      <w:r>
        <w:t xml:space="preserve">b.   </w:t>
      </w:r>
      <w:r>
        <w:rPr>
          <w:i/>
        </w:rPr>
        <w:t>The standard states that the possible values for the val attribute are defined by the ST_DecimalNumber simple type.</w:t>
      </w:r>
    </w:p>
    <w:p w:rsidR="000A156F" w:rsidRDefault="00A9721F">
      <w:pPr>
        <w:pStyle w:val="Definition-Field2"/>
      </w:pPr>
      <w:r>
        <w:t>Word only understands n</w:t>
      </w:r>
      <w:r>
        <w:t>on-negative values for the val attribute.</w:t>
      </w:r>
    </w:p>
    <w:p w:rsidR="000A156F" w:rsidRDefault="00A9721F">
      <w:pPr>
        <w:pStyle w:val="Heading3"/>
      </w:pPr>
      <w:bookmarkStart w:id="280" w:name="section_01bfc2007b7d40c0bb1045afd2f72c8f"/>
      <w:bookmarkStart w:id="281" w:name="_Toc181683166"/>
      <w:r>
        <w:t>Part 1 Section 17.4.17, gridSpan (Grid Columns Spanned by Current Table Cell)</w:t>
      </w:r>
      <w:bookmarkEnd w:id="280"/>
      <w:bookmarkEnd w:id="281"/>
      <w:r>
        <w:fldChar w:fldCharType="begin"/>
      </w:r>
      <w:r>
        <w:instrText xml:space="preserve"> XE "gridSpan (Grid Columns Spanned by Current Table Cell)" </w:instrText>
      </w:r>
      <w:r>
        <w:fldChar w:fldCharType="end"/>
      </w:r>
    </w:p>
    <w:p w:rsidR="000A156F" w:rsidRDefault="00A9721F">
      <w:pPr>
        <w:pStyle w:val="Definition-Field2"/>
      </w:pPr>
      <w:r>
        <w:rPr>
          <w:i/>
        </w:rPr>
        <w:t>For additional notes that apply to this portion of the standard, please se</w:t>
      </w:r>
      <w:r>
        <w:rPr>
          <w:i/>
        </w:rPr>
        <w:t xml:space="preserv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A156F" w:rsidRDefault="00A9721F">
      <w:pPr>
        <w:pStyle w:val="Definition-Field"/>
      </w:pPr>
      <w:r>
        <w:t xml:space="preserve">a.   </w:t>
      </w:r>
      <w:r>
        <w:rPr>
          <w:i/>
        </w:rPr>
        <w:t>The standard allows a gridSpan to have a value of 0.</w:t>
      </w:r>
    </w:p>
    <w:p w:rsidR="000A156F" w:rsidRDefault="00A9721F">
      <w:pPr>
        <w:pStyle w:val="Definition-Field2"/>
      </w:pPr>
      <w:r>
        <w:lastRenderedPageBreak/>
        <w:t>Word treats a gr</w:t>
      </w:r>
      <w:r>
        <w:t>idSpan of 0 the same as a grid span of 1.</w:t>
      </w:r>
    </w:p>
    <w:p w:rsidR="000A156F" w:rsidRDefault="00A9721F">
      <w:pPr>
        <w:pStyle w:val="Heading3"/>
      </w:pPr>
      <w:bookmarkStart w:id="282" w:name="section_1d65167f972c46138b475f43053a1989"/>
      <w:bookmarkStart w:id="283" w:name="_Toc181683167"/>
      <w:r>
        <w:t>Part 1 Section 17.4.18, header (Header Cell Reference)</w:t>
      </w:r>
      <w:bookmarkEnd w:id="282"/>
      <w:bookmarkEnd w:id="283"/>
      <w:r>
        <w:fldChar w:fldCharType="begin"/>
      </w:r>
      <w:r>
        <w:instrText xml:space="preserve"> XE "header (Header Cell Reference)" </w:instrText>
      </w:r>
      <w:r>
        <w:fldChar w:fldCharType="end"/>
      </w:r>
    </w:p>
    <w:p w:rsidR="000A156F" w:rsidRDefault="00A9721F">
      <w:pPr>
        <w:pStyle w:val="Definition-Field"/>
      </w:pPr>
      <w:r>
        <w:t xml:space="preserve">a.   </w:t>
      </w:r>
      <w:r>
        <w:rPr>
          <w:i/>
        </w:rPr>
        <w:t>The standard specifies that this element specifies a reference, using a unique identifier, to a table header cell t</w:t>
      </w:r>
      <w:r>
        <w:rPr>
          <w:i/>
        </w:rPr>
        <w:t>hat is associated with the current table cell.</w:t>
      </w:r>
    </w:p>
    <w:p w:rsidR="000A156F" w:rsidRDefault="00A9721F">
      <w:pPr>
        <w:pStyle w:val="Definition-Field2"/>
      </w:pPr>
      <w:r>
        <w:t>Word always ignores this element.</w:t>
      </w:r>
    </w:p>
    <w:p w:rsidR="000A156F" w:rsidRDefault="00A9721F">
      <w:pPr>
        <w:pStyle w:val="Heading3"/>
      </w:pPr>
      <w:bookmarkStart w:id="284" w:name="section_89821d899e9048f38b136c6f025b6657"/>
      <w:bookmarkStart w:id="285" w:name="_Toc181683168"/>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0A156F" w:rsidRDefault="00A9721F">
      <w:pPr>
        <w:pStyle w:val="Definition-Field"/>
      </w:pPr>
      <w:r>
        <w:t xml:space="preserve">a.   </w:t>
      </w:r>
      <w:r>
        <w:rPr>
          <w:i/>
        </w:rPr>
        <w:t xml:space="preserve">The standard specifies the list of </w:t>
      </w:r>
      <w:r>
        <w:rPr>
          <w:i/>
        </w:rPr>
        <w:t>header cells, as specified by child header elements, that provide header information associated with the current table cell.</w:t>
      </w:r>
    </w:p>
    <w:p w:rsidR="000A156F" w:rsidRDefault="00A9721F">
      <w:pPr>
        <w:pStyle w:val="Definition-Field2"/>
      </w:pPr>
      <w:r>
        <w:t>Word always ignores this element.</w:t>
      </w:r>
    </w:p>
    <w:p w:rsidR="000A156F" w:rsidRDefault="00A9721F">
      <w:pPr>
        <w:pStyle w:val="Heading3"/>
      </w:pPr>
      <w:bookmarkStart w:id="286" w:name="section_be9bdcbbf5ff45f9912044d8a545773b"/>
      <w:bookmarkStart w:id="287" w:name="_Toc181683169"/>
      <w:r>
        <w:t>Part 1 Section 17.4.20, hidden (Hidden Table Row Marker)</w:t>
      </w:r>
      <w:bookmarkEnd w:id="286"/>
      <w:bookmarkEnd w:id="287"/>
      <w:r>
        <w:fldChar w:fldCharType="begin"/>
      </w:r>
      <w:r>
        <w:instrText xml:space="preserve"> XE "hidden (Hidden Table Row Marker)" </w:instrText>
      </w:r>
      <w:r>
        <w:fldChar w:fldCharType="end"/>
      </w:r>
    </w:p>
    <w:p w:rsidR="000A156F" w:rsidRDefault="00A9721F">
      <w:pPr>
        <w:pStyle w:val="Definition-Field"/>
      </w:pPr>
      <w:r>
        <w:t xml:space="preserve">a.   </w:t>
      </w:r>
      <w:r>
        <w:rPr>
          <w:i/>
        </w:rPr>
        <w:t>The standard allows the hidden element inside a table style definition.</w:t>
      </w:r>
    </w:p>
    <w:p w:rsidR="000A156F" w:rsidRDefault="00A9721F">
      <w:pPr>
        <w:pStyle w:val="Definition-Field2"/>
      </w:pPr>
      <w:r>
        <w:t>Word ignores the hidden element inside a table style definition.</w:t>
      </w:r>
    </w:p>
    <w:p w:rsidR="000A156F" w:rsidRDefault="00A9721F">
      <w:pPr>
        <w:pStyle w:val="Heading3"/>
      </w:pPr>
      <w:bookmarkStart w:id="288" w:name="section_c0865addb937497b8bea368b654b6329"/>
      <w:bookmarkStart w:id="289" w:name="_Toc181683170"/>
      <w:r>
        <w:t>Part 1 Section 17.4.21, hideMark (Ignore End Of Cell Marker In Row Height Calculation)</w:t>
      </w:r>
      <w:bookmarkEnd w:id="288"/>
      <w:bookmarkEnd w:id="289"/>
      <w:r>
        <w:fldChar w:fldCharType="begin"/>
      </w:r>
      <w:r>
        <w:instrText xml:space="preserve"> XE "hideMark (Ignore End O</w:instrText>
      </w:r>
      <w:r>
        <w:instrText xml:space="preserve">f Cell Marker In Row Height Calculation)"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A156F" w:rsidRDefault="00A9721F">
      <w:pPr>
        <w:pStyle w:val="Heading3"/>
      </w:pPr>
      <w:bookmarkStart w:id="290" w:name="section_6afd824014e0455da0b3c6c90e2cde22"/>
      <w:bookmarkStart w:id="291" w:name="_Toc181683171"/>
      <w:r>
        <w:t>Part 1 Section 17.4.22, insideH (Table Inside Horizontal Edges Border)</w:t>
      </w:r>
      <w:bookmarkEnd w:id="290"/>
      <w:bookmarkEnd w:id="291"/>
      <w:r>
        <w:fldChar w:fldCharType="begin"/>
      </w:r>
      <w:r>
        <w:instrText xml:space="preserve"> XE "insideH (Table Inside Horizontal Edges Border)" </w:instrText>
      </w:r>
      <w:r>
        <w:fldChar w:fldCharType="end"/>
      </w:r>
    </w:p>
    <w:p w:rsidR="000A156F" w:rsidRDefault="00A9721F">
      <w:pPr>
        <w:pStyle w:val="Definition-Field2"/>
      </w:pPr>
      <w:r>
        <w:rPr>
          <w:i/>
        </w:rPr>
        <w:t>For additional notes that apply to this portion of the standard, please see the notes</w:t>
      </w:r>
      <w:r>
        <w:rPr>
          <w:i/>
        </w:rPr>
        <w:t xml:space="preserve">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292" w:name="section_5185d2f77b5c4e9884ff5efb17b43913"/>
      <w:bookmarkStart w:id="293" w:name="_Toc181683172"/>
      <w:r>
        <w:t>Part 1 Section 17.4.23, insideH (Table Cell Inside Horizontal Edges Border)</w:t>
      </w:r>
      <w:bookmarkEnd w:id="292"/>
      <w:bookmarkEnd w:id="293"/>
      <w:r>
        <w:fldChar w:fldCharType="begin"/>
      </w:r>
      <w:r>
        <w:instrText xml:space="preserve"> XE "insideH (Table Cell Inside Horizontal Edges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The standard states that if th</w:t>
      </w:r>
      <w:r>
        <w:rPr>
          <w:i/>
        </w:rPr>
        <w:t>e table has cell spacing then inside horizontal borders are displayed.</w:t>
      </w:r>
    </w:p>
    <w:p w:rsidR="000A156F" w:rsidRDefault="00A9721F">
      <w:pPr>
        <w:pStyle w:val="Definition-Field2"/>
      </w:pPr>
      <w:r>
        <w:t>In Word, when a table has cell spacing, the appearance of the insideH border is still subject to the conflict resolution algorithm defined by the tcBorders and tblBorders elements.</w:t>
      </w:r>
    </w:p>
    <w:p w:rsidR="000A156F" w:rsidRDefault="00A9721F">
      <w:pPr>
        <w:pStyle w:val="Heading3"/>
      </w:pPr>
      <w:bookmarkStart w:id="294" w:name="section_1225ff9613a84d70a653beb61ffebd0e"/>
      <w:bookmarkStart w:id="295" w:name="_Toc181683173"/>
      <w:r>
        <w:t>Part</w:t>
      </w:r>
      <w:r>
        <w:t xml:space="preserve"> 1 Section 17.4.24, insideV (Table Inside Vertical Edges Border)</w:t>
      </w:r>
      <w:bookmarkEnd w:id="294"/>
      <w:bookmarkEnd w:id="295"/>
      <w:r>
        <w:fldChar w:fldCharType="begin"/>
      </w:r>
      <w:r>
        <w:instrText xml:space="preserve"> XE "insideV (Table Inside Vertical Edges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296" w:name="section_f1da490f467b4fb4bfd63e97f4752417"/>
      <w:bookmarkStart w:id="297" w:name="_Toc181683174"/>
      <w:r>
        <w:t>Part 1 Section 17.4.25, insideV (Table Cell Inside Ve</w:t>
      </w:r>
      <w:r>
        <w:t>rtical Edges Border)</w:t>
      </w:r>
      <w:bookmarkEnd w:id="296"/>
      <w:bookmarkEnd w:id="297"/>
      <w:r>
        <w:fldChar w:fldCharType="begin"/>
      </w:r>
      <w:r>
        <w:instrText xml:space="preserve"> XE "insideV (Table Cell Inside Vertical Edges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The standard states that if the table has cell spacing then inside vertical borders ar</w:t>
      </w:r>
      <w:r>
        <w:rPr>
          <w:i/>
        </w:rPr>
        <w:t>e displayed.</w:t>
      </w:r>
    </w:p>
    <w:p w:rsidR="000A156F" w:rsidRDefault="00A9721F">
      <w:pPr>
        <w:pStyle w:val="Definition-Field2"/>
      </w:pPr>
      <w:r>
        <w:lastRenderedPageBreak/>
        <w:t>In Word, when a table has cell spacing the appearance of the insideV border is still subject to the conflict resolution algorithm defined by the tcBorders and tblBorders elements.</w:t>
      </w:r>
    </w:p>
    <w:p w:rsidR="000A156F" w:rsidRDefault="00A9721F">
      <w:pPr>
        <w:pStyle w:val="Heading3"/>
      </w:pPr>
      <w:bookmarkStart w:id="298" w:name="section_965040fb3191460bb92da50fa1e5d441"/>
      <w:bookmarkStart w:id="299" w:name="_Toc181683175"/>
      <w:r>
        <w:t>Part 1 Section 17.4.26, jc (Table Alignment Exception)</w:t>
      </w:r>
      <w:bookmarkEnd w:id="298"/>
      <w:bookmarkEnd w:id="299"/>
      <w:r>
        <w:fldChar w:fldCharType="begin"/>
      </w:r>
      <w:r>
        <w:instrText xml:space="preserve"> XE "jc (</w:instrText>
      </w:r>
      <w:r>
        <w:instrText xml:space="preserve">Table Alignment Exception)"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0A156F" w:rsidRDefault="00A9721F">
      <w:pPr>
        <w:pStyle w:val="Heading3"/>
      </w:pPr>
      <w:bookmarkStart w:id="300" w:name="section_e28be190a4304bd5a38b7145b3d6afe5"/>
      <w:bookmarkStart w:id="301" w:name="_Toc181683176"/>
      <w:r>
        <w:t>Part 1 Section 17.4.27, jc (Table Row Alignment)</w:t>
      </w:r>
      <w:bookmarkEnd w:id="300"/>
      <w:bookmarkEnd w:id="301"/>
      <w:r>
        <w:fldChar w:fldCharType="begin"/>
      </w:r>
      <w:r>
        <w:instrText xml:space="preserve"> XE "</w:instrText>
      </w:r>
      <w:r>
        <w:instrText xml:space="preserve">jc (Table Row Alignment)"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0A156F" w:rsidRDefault="00A9721F">
      <w:pPr>
        <w:pStyle w:val="Heading3"/>
      </w:pPr>
      <w:bookmarkStart w:id="302" w:name="section_ae3c5af0e77f4428ba4162f8fd5fc7c6"/>
      <w:bookmarkStart w:id="303" w:name="_Toc181683177"/>
      <w:r>
        <w:t>Part 1 Section 17.4.28, jc (Table Alignment)</w:t>
      </w:r>
      <w:bookmarkEnd w:id="302"/>
      <w:bookmarkEnd w:id="303"/>
      <w:r>
        <w:fldChar w:fldCharType="begin"/>
      </w:r>
      <w:r>
        <w:instrText xml:space="preserve"> XE "jc (Ta</w:instrText>
      </w:r>
      <w:r>
        <w:instrText xml:space="preserve">ble Alignment)" </w:instrText>
      </w:r>
      <w:r>
        <w:fldChar w:fldCharType="end"/>
      </w:r>
    </w:p>
    <w:p w:rsidR="000A156F" w:rsidRDefault="00A9721F">
      <w:pPr>
        <w:pStyle w:val="Definition-Field"/>
      </w:pPr>
      <w:r>
        <w:t xml:space="preserve">a.   </w:t>
      </w:r>
      <w:r>
        <w:rPr>
          <w:i/>
        </w:rPr>
        <w:t>The standard states that the table shall be left justified with zero indentation from the leading margin when no table alignment is specified in the style hierarchy.</w:t>
      </w:r>
    </w:p>
    <w:p w:rsidR="000A156F" w:rsidRDefault="00A9721F">
      <w:pPr>
        <w:pStyle w:val="Definition-Field2"/>
      </w:pPr>
      <w:r>
        <w:t>Word honors indentation under this circumstance.</w:t>
      </w:r>
    </w:p>
    <w:p w:rsidR="000A156F" w:rsidRDefault="00A9721F">
      <w:pPr>
        <w:pStyle w:val="Heading3"/>
      </w:pPr>
      <w:bookmarkStart w:id="304" w:name="section_a7c8261dea1c4fc6a131fc0e48c5176e"/>
      <w:bookmarkStart w:id="305" w:name="_Toc181683178"/>
      <w:r>
        <w:t>Part 1 Section 17</w:t>
      </w:r>
      <w:r>
        <w:t>.4.30, shd (Table Shading Exception)</w:t>
      </w:r>
      <w:bookmarkEnd w:id="304"/>
      <w:bookmarkEnd w:id="305"/>
      <w:r>
        <w:fldChar w:fldCharType="begin"/>
      </w:r>
      <w:r>
        <w:instrText xml:space="preserve"> XE "shd (Table Shading Exception)"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0A156F" w:rsidRDefault="00A9721F">
      <w:pPr>
        <w:pStyle w:val="Definition-Field"/>
      </w:pPr>
      <w:r>
        <w:t xml:space="preserve">a.   </w:t>
      </w:r>
      <w:r>
        <w:rPr>
          <w:i/>
        </w:rPr>
        <w:t>The</w:t>
      </w:r>
      <w:r>
        <w:rPr>
          <w:i/>
        </w:rPr>
        <w:t xml:space="preserve"> standard states that table shading is applied to cells in the table.</w:t>
      </w:r>
    </w:p>
    <w:p w:rsidR="000A156F" w:rsidRDefault="00A9721F">
      <w:pPr>
        <w:pStyle w:val="Definition-Field2"/>
      </w:pPr>
      <w:r>
        <w:t>Word applies table shading only to the cell spacing of the table.</w:t>
      </w:r>
    </w:p>
    <w:p w:rsidR="000A156F" w:rsidRDefault="00A9721F">
      <w:pPr>
        <w:pStyle w:val="Definition-Field"/>
      </w:pPr>
      <w:r>
        <w:t xml:space="preserve">b.   </w:t>
      </w:r>
      <w:r>
        <w:rPr>
          <w:i/>
        </w:rPr>
        <w:t>The standard specifies that the val attribute is both required and optional.</w:t>
      </w:r>
    </w:p>
    <w:p w:rsidR="000A156F" w:rsidRDefault="00A9721F">
      <w:pPr>
        <w:pStyle w:val="Definition-Field2"/>
      </w:pPr>
      <w:r>
        <w:t xml:space="preserve">Word treats the val attribute as </w:t>
      </w:r>
      <w:r>
        <w:t>required.</w:t>
      </w:r>
    </w:p>
    <w:p w:rsidR="000A156F" w:rsidRDefault="00A9721F">
      <w:pPr>
        <w:pStyle w:val="Heading3"/>
      </w:pPr>
      <w:bookmarkStart w:id="306" w:name="section_ee110ab2af6a4ee8923d9a12a2fe65ab"/>
      <w:bookmarkStart w:id="307" w:name="_Toc181683179"/>
      <w:r>
        <w:t>Part 1 Section 17.4.31, shd (Table Shading)</w:t>
      </w:r>
      <w:bookmarkEnd w:id="306"/>
      <w:bookmarkEnd w:id="307"/>
      <w:r>
        <w:fldChar w:fldCharType="begin"/>
      </w:r>
      <w:r>
        <w:instrText xml:space="preserve"> XE "shd (Table Shading)"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0A156F" w:rsidRDefault="00A9721F">
      <w:pPr>
        <w:pStyle w:val="Definition-Field"/>
      </w:pPr>
      <w:r>
        <w:t>a</w:t>
      </w:r>
      <w:r>
        <w:t xml:space="preserve">.   </w:t>
      </w:r>
      <w:r>
        <w:rPr>
          <w:i/>
        </w:rPr>
        <w:t>The standard states that table shading is applied to cells in the table.</w:t>
      </w:r>
    </w:p>
    <w:p w:rsidR="000A156F" w:rsidRDefault="00A9721F">
      <w:pPr>
        <w:pStyle w:val="Definition-Field2"/>
      </w:pPr>
      <w:r>
        <w:t>Word applies table shading only to the cell spacing of the table.</w:t>
      </w:r>
    </w:p>
    <w:p w:rsidR="000A156F" w:rsidRDefault="00A9721F">
      <w:pPr>
        <w:pStyle w:val="Definition-Field"/>
      </w:pPr>
      <w:r>
        <w:t xml:space="preserve">b.   </w:t>
      </w:r>
      <w:r>
        <w:rPr>
          <w:i/>
        </w:rPr>
        <w:t>The standard specifies that the val attribute is both required and optional.</w:t>
      </w:r>
    </w:p>
    <w:p w:rsidR="000A156F" w:rsidRDefault="00A9721F">
      <w:pPr>
        <w:pStyle w:val="Definition-Field2"/>
      </w:pPr>
      <w:r>
        <w:t>Word treats the val attribute a</w:t>
      </w:r>
      <w:r>
        <w:t>s required.</w:t>
      </w:r>
    </w:p>
    <w:p w:rsidR="000A156F" w:rsidRDefault="00A9721F">
      <w:pPr>
        <w:pStyle w:val="Heading3"/>
      </w:pPr>
      <w:bookmarkStart w:id="308" w:name="section_4f0cccae70c2492abc943ccc39172119"/>
      <w:bookmarkStart w:id="309" w:name="_Toc181683180"/>
      <w:r>
        <w:t>Part 1 Section 17.4.32, shd (Table Cell Shading)</w:t>
      </w:r>
      <w:bookmarkEnd w:id="308"/>
      <w:bookmarkEnd w:id="309"/>
      <w:r>
        <w:fldChar w:fldCharType="begin"/>
      </w:r>
      <w:r>
        <w:instrText xml:space="preserve"> XE "shd (Table Cell Shading)" </w:instrText>
      </w:r>
      <w:r>
        <w:fldChar w:fldCharType="end"/>
      </w:r>
    </w:p>
    <w:p w:rsidR="000A156F" w:rsidRDefault="00A9721F">
      <w:pPr>
        <w:pStyle w:val="Definition-Field"/>
      </w:pPr>
      <w:r>
        <w:t xml:space="preserve">a.   </w:t>
      </w:r>
      <w:r>
        <w:rPr>
          <w:i/>
        </w:rPr>
        <w:t>The standard does not state which setting is applied when both the themeShade and the themeTint attributes are present.</w:t>
      </w:r>
    </w:p>
    <w:p w:rsidR="000A156F" w:rsidRDefault="00A9721F">
      <w:pPr>
        <w:pStyle w:val="Definition-Field2"/>
      </w:pPr>
      <w:r>
        <w:t xml:space="preserve">Word applies the themeTint setting </w:t>
      </w:r>
      <w:r>
        <w:t>when both of these attributes are present.</w:t>
      </w:r>
    </w:p>
    <w:p w:rsidR="000A156F" w:rsidRDefault="00A9721F">
      <w:pPr>
        <w:pStyle w:val="Definition-Field"/>
      </w:pPr>
      <w:r>
        <w:t xml:space="preserve">b.   </w:t>
      </w:r>
      <w:r>
        <w:rPr>
          <w:i/>
        </w:rPr>
        <w:t>The standard states that if the shd element is omitted, then the cell shading is determined by the table-level or table-level exception cell shading settings.</w:t>
      </w:r>
    </w:p>
    <w:p w:rsidR="000A156F" w:rsidRDefault="00A9721F">
      <w:pPr>
        <w:pStyle w:val="Definition-Field2"/>
      </w:pPr>
      <w:r>
        <w:t>In Word if the shd element is omitted, then the c</w:t>
      </w:r>
      <w:r>
        <w:t>ell shading is determined by the table style.</w:t>
      </w:r>
    </w:p>
    <w:p w:rsidR="000A156F" w:rsidRDefault="00A9721F">
      <w:pPr>
        <w:pStyle w:val="Definition-Field"/>
      </w:pPr>
      <w:r>
        <w:lastRenderedPageBreak/>
        <w:t xml:space="preserve">c.   </w:t>
      </w:r>
      <w:r>
        <w:rPr>
          <w:i/>
        </w:rPr>
        <w:t>The standard specifies that the val attribute is both required and optional.</w:t>
      </w:r>
    </w:p>
    <w:p w:rsidR="000A156F" w:rsidRDefault="00A9721F">
      <w:pPr>
        <w:pStyle w:val="Definition-Field2"/>
      </w:pPr>
      <w:r>
        <w:t>Word treats the val attribute as required.</w:t>
      </w:r>
    </w:p>
    <w:p w:rsidR="000A156F" w:rsidRDefault="00A9721F">
      <w:pPr>
        <w:pStyle w:val="Definition-Field"/>
      </w:pPr>
      <w:r>
        <w:t xml:space="preserve">d.   </w:t>
      </w:r>
      <w:r>
        <w:rPr>
          <w:i/>
        </w:rPr>
        <w:t>The standard states that if the themeFill attribute is omitted, the color attrib</w:t>
      </w:r>
      <w:r>
        <w:rPr>
          <w:i/>
        </w:rPr>
        <w:t>ute is used.</w:t>
      </w:r>
    </w:p>
    <w:p w:rsidR="000A156F" w:rsidRDefault="00A9721F">
      <w:pPr>
        <w:pStyle w:val="Definition-Field2"/>
      </w:pPr>
      <w:r>
        <w:t>Because themeFill is the theme color equivalent of fill, if themeFill is omitted, Word uses the fill attribute in its place.</w:t>
      </w:r>
    </w:p>
    <w:p w:rsidR="000A156F" w:rsidRDefault="00A9721F">
      <w:pPr>
        <w:pStyle w:val="Heading3"/>
      </w:pPr>
      <w:bookmarkStart w:id="310" w:name="section_e904b9013e03484fa606b4c9ac291538"/>
      <w:bookmarkStart w:id="311" w:name="_Toc181683181"/>
      <w:r>
        <w:t>Part 1 Section 17.4.33, start (Table Cell Leading Edge Border)</w:t>
      </w:r>
      <w:bookmarkEnd w:id="310"/>
      <w:bookmarkEnd w:id="311"/>
      <w:r>
        <w:fldChar w:fldCharType="begin"/>
      </w:r>
      <w:r>
        <w:instrText xml:space="preserve"> XE "start (Table Cell Leading Edge Border)" </w:instrText>
      </w:r>
      <w:r>
        <w:fldChar w:fldCharType="end"/>
      </w:r>
    </w:p>
    <w:p w:rsidR="000A156F" w:rsidRDefault="00A9721F">
      <w:pPr>
        <w:pStyle w:val="Definition-Field2"/>
      </w:pPr>
      <w:r>
        <w:rPr>
          <w:i/>
        </w:rPr>
        <w:t>For addi</w:t>
      </w:r>
      <w:r>
        <w:rPr>
          <w:i/>
        </w:rPr>
        <w:t xml:space="preserve">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312" w:name="section_7764bed5db624323ad79ac21e1b96f45"/>
      <w:bookmarkStart w:id="313" w:name="_Toc181683182"/>
      <w:r>
        <w:t>Part 1 Section 17.4.34, start (Table Cell Leading Margin Default)</w:t>
      </w:r>
      <w:bookmarkEnd w:id="312"/>
      <w:bookmarkEnd w:id="313"/>
      <w:r>
        <w:fldChar w:fldCharType="begin"/>
      </w:r>
      <w:r>
        <w:instrText xml:space="preserve"> XE "start (Table Cell Leading Margin Default)" </w:instrText>
      </w:r>
      <w:r>
        <w:fldChar w:fldCharType="end"/>
      </w:r>
    </w:p>
    <w:p w:rsidR="000A156F" w:rsidRDefault="00A9721F">
      <w:pPr>
        <w:pStyle w:val="Definition-Field"/>
      </w:pPr>
      <w:r>
        <w:t xml:space="preserve">a.   </w:t>
      </w:r>
      <w:r>
        <w:rPr>
          <w:i/>
        </w:rPr>
        <w:t>The standard states that any width value of type pct or au</w:t>
      </w:r>
      <w:r>
        <w:rPr>
          <w:i/>
        </w:rPr>
        <w:t>to for this element shall be ignored.</w:t>
      </w:r>
    </w:p>
    <w:p w:rsidR="000A156F" w:rsidRDefault="00A9721F">
      <w:pPr>
        <w:pStyle w:val="Definition-Field2"/>
      </w:pPr>
      <w:r>
        <w:t>Word uses a default value of 0 for the width when the value of the type attribute is pct or auto.</w:t>
      </w:r>
    </w:p>
    <w:p w:rsidR="000A156F" w:rsidRDefault="00A9721F">
      <w:pPr>
        <w:pStyle w:val="Heading3"/>
      </w:pPr>
      <w:bookmarkStart w:id="314" w:name="section_799ae85c14ec4a04a583768fbb6a05aa"/>
      <w:bookmarkStart w:id="315" w:name="_Toc181683183"/>
      <w:r>
        <w:t>Part 1 Section 17.4.35, start (Table Cell Leading Margin Exception)</w:t>
      </w:r>
      <w:bookmarkEnd w:id="314"/>
      <w:bookmarkEnd w:id="315"/>
      <w:r>
        <w:fldChar w:fldCharType="begin"/>
      </w:r>
      <w:r>
        <w:instrText xml:space="preserve"> XE "start (Table Cell Leading Margin Exception)"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A156F" w:rsidRDefault="00A9721F">
      <w:pPr>
        <w:pStyle w:val="Definition-Field"/>
      </w:pPr>
      <w:r>
        <w:t xml:space="preserve">a.   </w:t>
      </w:r>
      <w:r>
        <w:rPr>
          <w:i/>
        </w:rPr>
        <w:t>The standard states that a 'type' attribute value of "nil" specifies that the cu</w:t>
      </w:r>
      <w:r>
        <w:rPr>
          <w:i/>
        </w:rPr>
        <w:t>rrent width is 0.</w:t>
      </w:r>
    </w:p>
    <w:p w:rsidR="000A156F" w:rsidRDefault="00A9721F">
      <w:pPr>
        <w:pStyle w:val="Definition-Field2"/>
      </w:pPr>
      <w:r>
        <w:t>Word ignores this element when the 'type' attribute has a value of "nil".</w:t>
      </w:r>
    </w:p>
    <w:p w:rsidR="000A156F" w:rsidRDefault="00A9721F">
      <w:pPr>
        <w:pStyle w:val="Heading3"/>
      </w:pPr>
      <w:bookmarkStart w:id="316" w:name="section_af57788ba32349a883cd0014c2f7c89e"/>
      <w:bookmarkStart w:id="317" w:name="_Toc181683184"/>
      <w:r>
        <w:t>Part 1 Section 17.4.36, start (Table Leading Edge Border)</w:t>
      </w:r>
      <w:bookmarkEnd w:id="316"/>
      <w:bookmarkEnd w:id="317"/>
      <w:r>
        <w:fldChar w:fldCharType="begin"/>
      </w:r>
      <w:r>
        <w:instrText xml:space="preserve"> XE "start (Table Leading Edge Border)" </w:instrText>
      </w:r>
      <w:r>
        <w:fldChar w:fldCharType="end"/>
      </w:r>
    </w:p>
    <w:p w:rsidR="000A156F" w:rsidRDefault="00A9721F">
      <w:pPr>
        <w:pStyle w:val="Definition-Field2"/>
      </w:pPr>
      <w:r>
        <w:rPr>
          <w:i/>
        </w:rPr>
        <w:t>For additional notes that apply to this portion of the standard,</w:t>
      </w:r>
      <w:r>
        <w:rPr>
          <w:i/>
        </w:rPr>
        <w:t xml:space="preserve">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w:t>
        </w:r>
        <w:r>
          <w:rPr>
            <w:rStyle w:val="Hyperlink"/>
          </w:rPr>
          <w:t>eft, §17.15.2.21(a)</w:t>
        </w:r>
      </w:hyperlink>
      <w:r>
        <w:rPr>
          <w:i/>
        </w:rPr>
        <w:t>.</w:t>
      </w:r>
    </w:p>
    <w:p w:rsidR="000A156F" w:rsidRDefault="00A9721F">
      <w:pPr>
        <w:pStyle w:val="Heading3"/>
      </w:pPr>
      <w:bookmarkStart w:id="318" w:name="section_232ad787a0444a52851db4544c285aab"/>
      <w:bookmarkStart w:id="319" w:name="_Toc181683185"/>
      <w:r>
        <w:t>Part 1 Section 17.4.37, tbl (Table)</w:t>
      </w:r>
      <w:bookmarkEnd w:id="318"/>
      <w:bookmarkEnd w:id="319"/>
      <w:r>
        <w:fldChar w:fldCharType="begin"/>
      </w:r>
      <w:r>
        <w:instrText xml:space="preserve"> XE "tbl (Table)"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Definition-Field"/>
      </w:pPr>
      <w:r>
        <w:t xml:space="preserve">a.   </w:t>
      </w:r>
      <w:r>
        <w:rPr>
          <w:i/>
        </w:rPr>
        <w:t xml:space="preserve">The standard states that when two tbl elements having the same style are present within the document content, without any intervening p elements, the corresponding </w:t>
      </w:r>
      <w:r>
        <w:rPr>
          <w:i/>
        </w:rPr>
        <w:t>tables shall be treated as a single table.</w:t>
      </w:r>
    </w:p>
    <w:p w:rsidR="000A156F" w:rsidRDefault="00A9721F">
      <w:pPr>
        <w:pStyle w:val="Definition-Field2"/>
      </w:pPr>
      <w:r>
        <w:t>In Word, there is an exception to this behavior when at least one of the tables has an absolute position specified in its tblpPr element.  In this case, the corresponding tables are treated as distinct.</w:t>
      </w:r>
    </w:p>
    <w:p w:rsidR="000A156F" w:rsidRDefault="00A9721F">
      <w:pPr>
        <w:pStyle w:val="Heading3"/>
      </w:pPr>
      <w:bookmarkStart w:id="320" w:name="section_63aedc89c4c940628d5b385b09e2036a"/>
      <w:bookmarkStart w:id="321" w:name="_Toc181683186"/>
      <w:r>
        <w:t>Part 1 Sec</w:t>
      </w:r>
      <w:r>
        <w:t>tion 17.4.38, tblBorders (Table Borders)</w:t>
      </w:r>
      <w:bookmarkEnd w:id="320"/>
      <w:bookmarkEnd w:id="321"/>
      <w:r>
        <w:fldChar w:fldCharType="begin"/>
      </w:r>
      <w:r>
        <w:instrText xml:space="preserve"> XE "tblBorders (Table Borders)" </w:instrText>
      </w:r>
      <w:r>
        <w:fldChar w:fldCharType="end"/>
      </w:r>
    </w:p>
    <w:p w:rsidR="000A156F" w:rsidRDefault="00A9721F">
      <w:pPr>
        <w:pStyle w:val="Definition-Field"/>
      </w:pPr>
      <w:r>
        <w:t xml:space="preserve">a.   </w:t>
      </w:r>
      <w:r>
        <w:rPr>
          <w:i/>
        </w:rPr>
        <w:t>The standard specifies a method for resolving border conflicts.</w:t>
      </w:r>
    </w:p>
    <w:p w:rsidR="000A156F" w:rsidRDefault="00A9721F">
      <w:r>
        <w:t xml:space="preserve">In Word, when cell spacing is nonzero, </w:t>
      </w:r>
      <w:r>
        <w:rPr>
          <w:b/>
        </w:rPr>
        <w:t>insideH</w:t>
      </w:r>
      <w:r>
        <w:t xml:space="preserve"> and </w:t>
      </w:r>
      <w:r>
        <w:rPr>
          <w:b/>
        </w:rPr>
        <w:t>insideV</w:t>
      </w:r>
      <w:r>
        <w:t xml:space="preserve"> table-level exception borders may still conflict wit</w:t>
      </w:r>
      <w:r>
        <w:t xml:space="preserve">h cell borders.  If there is a border conflict, it shall be resolved using the method describe in </w:t>
      </w:r>
      <w:r>
        <w:rPr>
          <w:b/>
        </w:rPr>
        <w:t>tcBorders</w:t>
      </w:r>
      <w:r>
        <w:t xml:space="preserve"> ("</w:t>
      </w:r>
      <w:hyperlink r:id="rId87">
        <w:r>
          <w:rPr>
            <w:rStyle w:val="Hyperlink"/>
          </w:rPr>
          <w:t>[ISO/IEC-29500-1]</w:t>
        </w:r>
      </w:hyperlink>
      <w:r>
        <w:t xml:space="preserve"> §17.4.66; tcBorders (Table Cell Borders)").</w:t>
      </w:r>
    </w:p>
    <w:p w:rsidR="000A156F" w:rsidRDefault="00A9721F">
      <w:pPr>
        <w:pStyle w:val="Definition-Field"/>
      </w:pPr>
      <w:r>
        <w:t xml:space="preserve">b.   </w:t>
      </w:r>
      <w:r>
        <w:rPr>
          <w:i/>
        </w:rPr>
        <w:t xml:space="preserve">The standard </w:t>
      </w:r>
      <w:r>
        <w:rPr>
          <w:i/>
        </w:rPr>
        <w:t>says that if cell spacing is nonzero, then there is no border conflict even though insideH and insideV table exception borders may conflict with cell borders.</w:t>
      </w:r>
    </w:p>
    <w:p w:rsidR="000A156F" w:rsidRDefault="00A9721F">
      <w:pPr>
        <w:pStyle w:val="Definition-Field2"/>
      </w:pPr>
      <w:r>
        <w:lastRenderedPageBreak/>
        <w:t>In Word, when cell spacing is nonzero, insideH and insideV table exception borders may still conf</w:t>
      </w:r>
      <w:r>
        <w:t>lict with cell borders.</w:t>
      </w:r>
    </w:p>
    <w:p w:rsidR="000A156F" w:rsidRDefault="00A9721F">
      <w:pPr>
        <w:pStyle w:val="Heading3"/>
      </w:pPr>
      <w:bookmarkStart w:id="322" w:name="section_c6c5d5c4206a4e0a9f1ecee1fe4ffe42"/>
      <w:bookmarkStart w:id="323" w:name="_Toc181683187"/>
      <w:r>
        <w:t>Part 1 Section 17.4.39, tblBorders (Table Borders Exceptions)</w:t>
      </w:r>
      <w:bookmarkEnd w:id="322"/>
      <w:bookmarkEnd w:id="323"/>
      <w:r>
        <w:fldChar w:fldCharType="begin"/>
      </w:r>
      <w:r>
        <w:instrText xml:space="preserve"> XE "tblBorders (Table Borders Exceptions)" </w:instrText>
      </w:r>
      <w:r>
        <w:fldChar w:fldCharType="end"/>
      </w:r>
    </w:p>
    <w:p w:rsidR="000A156F" w:rsidRDefault="00A9721F">
      <w:pPr>
        <w:pStyle w:val="Definition-Field"/>
      </w:pPr>
      <w:r>
        <w:t xml:space="preserve">a.   </w:t>
      </w:r>
      <w:r>
        <w:rPr>
          <w:i/>
        </w:rPr>
        <w:t>The standard specifies a method for resolving border conflicts.</w:t>
      </w:r>
    </w:p>
    <w:p w:rsidR="000A156F" w:rsidRDefault="00A9721F">
      <w:r>
        <w:t xml:space="preserve">In Word, when cell spacing is nonzero, </w:t>
      </w:r>
      <w:r>
        <w:rPr>
          <w:b/>
        </w:rPr>
        <w:t>insideH</w:t>
      </w:r>
      <w:r>
        <w:t xml:space="preserve"> and </w:t>
      </w:r>
      <w:r>
        <w:rPr>
          <w:b/>
        </w:rPr>
        <w:t>insi</w:t>
      </w:r>
      <w:r>
        <w:rPr>
          <w:b/>
        </w:rPr>
        <w:t>deV</w:t>
      </w:r>
      <w:r>
        <w:t xml:space="preserve"> table-level exception borders may still conflict with cell borders.  If there is a border conflict, it shall be resolved using the method describe in </w:t>
      </w:r>
      <w:r>
        <w:rPr>
          <w:b/>
        </w:rPr>
        <w:t>tcBorders</w:t>
      </w:r>
      <w:r>
        <w:t xml:space="preserve"> ("</w:t>
      </w:r>
      <w:hyperlink r:id="rId88">
        <w:r>
          <w:rPr>
            <w:rStyle w:val="Hyperlink"/>
          </w:rPr>
          <w:t>[ISO/IEC-29500-1]</w:t>
        </w:r>
      </w:hyperlink>
      <w:r>
        <w:t xml:space="preserve"> §17.4.</w:t>
      </w:r>
      <w:r>
        <w:t>66; tcBorders (Table Cell Borders)").</w:t>
      </w:r>
    </w:p>
    <w:p w:rsidR="000A156F" w:rsidRDefault="00A9721F">
      <w:pPr>
        <w:pStyle w:val="Definition-Field"/>
      </w:pPr>
      <w:r>
        <w:t xml:space="preserve">b.   </w:t>
      </w:r>
      <w:r>
        <w:rPr>
          <w:i/>
        </w:rPr>
        <w:t>The standard says that if cell spacing is nonzero, then there is no border conflict even though insideH and insideV table exception borders may conflict with cell borders.</w:t>
      </w:r>
    </w:p>
    <w:p w:rsidR="000A156F" w:rsidRDefault="00A9721F">
      <w:pPr>
        <w:pStyle w:val="Definition-Field2"/>
      </w:pPr>
      <w:r>
        <w:t>In Word, when cell spacing is nonzero, in</w:t>
      </w:r>
      <w:r>
        <w:t>sideH and insideV table exception borders may still conflict with cell borders.</w:t>
      </w:r>
    </w:p>
    <w:p w:rsidR="000A156F" w:rsidRDefault="00A9721F">
      <w:pPr>
        <w:pStyle w:val="Heading3"/>
      </w:pPr>
      <w:bookmarkStart w:id="324" w:name="section_6258617e410c4d38898eb9cda572b9fa"/>
      <w:bookmarkStart w:id="325" w:name="_Toc181683188"/>
      <w:r>
        <w:t>Part 1 Section 17.4.43, tblCellSpacing (Table Row Cell Spacing)</w:t>
      </w:r>
      <w:bookmarkEnd w:id="324"/>
      <w:bookmarkEnd w:id="325"/>
      <w:r>
        <w:fldChar w:fldCharType="begin"/>
      </w:r>
      <w:r>
        <w:instrText xml:space="preserve"> XE "tblCellSpacing (Table Row Cell Spacing)" </w:instrText>
      </w:r>
      <w:r>
        <w:fldChar w:fldCharType="end"/>
      </w:r>
    </w:p>
    <w:p w:rsidR="000A156F" w:rsidRDefault="00A9721F">
      <w:pPr>
        <w:pStyle w:val="Definition-Field"/>
      </w:pPr>
      <w:r>
        <w:t xml:space="preserve">a.   </w:t>
      </w:r>
      <w:r>
        <w:rPr>
          <w:i/>
        </w:rPr>
        <w:t>The standard states that any width value of type pct or aut</w:t>
      </w:r>
      <w:r>
        <w:rPr>
          <w:i/>
        </w:rPr>
        <w:t>o for this element shall be ignored.</w:t>
      </w:r>
    </w:p>
    <w:p w:rsidR="000A156F" w:rsidRDefault="00A9721F">
      <w:pPr>
        <w:pStyle w:val="Definition-Field2"/>
      </w:pPr>
      <w:r>
        <w:t>Word uses a default value of 0 for the width when the value of the type attribute is pct or auto.</w:t>
      </w:r>
    </w:p>
    <w:p w:rsidR="000A156F" w:rsidRDefault="00A9721F">
      <w:pPr>
        <w:pStyle w:val="Heading3"/>
      </w:pPr>
      <w:bookmarkStart w:id="326" w:name="section_d0468dfd6e9c46d0bd3675fcb81c36e7"/>
      <w:bookmarkStart w:id="327" w:name="_Toc181683189"/>
      <w:r>
        <w:t>Part 1 Section 17.4.44, tblCellSpacing (Table Cell Spacing Exception)</w:t>
      </w:r>
      <w:bookmarkEnd w:id="326"/>
      <w:bookmarkEnd w:id="327"/>
      <w:r>
        <w:fldChar w:fldCharType="begin"/>
      </w:r>
      <w:r>
        <w:instrText xml:space="preserve"> XE "tblCellSpacing (Table Cell Spacing Exception)" </w:instrText>
      </w:r>
      <w:r>
        <w:fldChar w:fldCharType="end"/>
      </w:r>
    </w:p>
    <w:p w:rsidR="000A156F" w:rsidRDefault="00A9721F">
      <w:pPr>
        <w:pStyle w:val="Definition-Field"/>
      </w:pPr>
      <w:r>
        <w:t xml:space="preserve">a.   </w:t>
      </w:r>
      <w:r>
        <w:rPr>
          <w:i/>
        </w:rPr>
        <w:t>The standard states that any width value of type pct or auto for this element shall be ignored.</w:t>
      </w:r>
    </w:p>
    <w:p w:rsidR="000A156F" w:rsidRDefault="00A9721F">
      <w:pPr>
        <w:pStyle w:val="Definition-Field2"/>
      </w:pPr>
      <w:r>
        <w:t>Word uses a default value of 0 for the width when the value of the type attribute is pct or auto.</w:t>
      </w:r>
    </w:p>
    <w:p w:rsidR="000A156F" w:rsidRDefault="00A9721F">
      <w:pPr>
        <w:pStyle w:val="Heading3"/>
      </w:pPr>
      <w:bookmarkStart w:id="328" w:name="section_f8f75687e6b6442f8b5cd68b3664de5f"/>
      <w:bookmarkStart w:id="329" w:name="_Toc181683190"/>
      <w:r>
        <w:t>Part 1 Section 17.4.45, tblCellSpacing (Table Cell Spa</w:t>
      </w:r>
      <w:r>
        <w:t>cing Default)</w:t>
      </w:r>
      <w:bookmarkEnd w:id="328"/>
      <w:bookmarkEnd w:id="329"/>
      <w:r>
        <w:fldChar w:fldCharType="begin"/>
      </w:r>
      <w:r>
        <w:instrText xml:space="preserve"> XE "tblCellSpacing (Table Cell Spacing Default)" </w:instrText>
      </w:r>
      <w:r>
        <w:fldChar w:fldCharType="end"/>
      </w:r>
    </w:p>
    <w:p w:rsidR="000A156F" w:rsidRDefault="00A9721F">
      <w:pPr>
        <w:pStyle w:val="Definition-Field"/>
      </w:pPr>
      <w:r>
        <w:t xml:space="preserve">a.   </w:t>
      </w:r>
      <w:r>
        <w:rPr>
          <w:i/>
        </w:rPr>
        <w:t>The standard states that any width value of type pct or auto for this element shall be ignored.</w:t>
      </w:r>
    </w:p>
    <w:p w:rsidR="000A156F" w:rsidRDefault="00A9721F">
      <w:pPr>
        <w:pStyle w:val="Definition-Field2"/>
      </w:pPr>
      <w:r>
        <w:t xml:space="preserve">Word uses a default value of 0 for the width when the value of the type attribute is pct </w:t>
      </w:r>
      <w:r>
        <w:t>or auto.</w:t>
      </w:r>
    </w:p>
    <w:p w:rsidR="000A156F" w:rsidRDefault="00A9721F">
      <w:pPr>
        <w:pStyle w:val="Heading3"/>
      </w:pPr>
      <w:bookmarkStart w:id="330" w:name="section_cd88a1fb76c6477dad02f4d5f74e4a06"/>
      <w:bookmarkStart w:id="331" w:name="_Toc181683191"/>
      <w:r>
        <w:t>Part 1 Section 17.4.50, tblInd (Table Indent from Leading Margin)</w:t>
      </w:r>
      <w:bookmarkEnd w:id="330"/>
      <w:bookmarkEnd w:id="331"/>
      <w:r>
        <w:fldChar w:fldCharType="begin"/>
      </w:r>
      <w:r>
        <w:instrText xml:space="preserve"> XE "tblInd (Table Indent from Leading Margin)" </w:instrText>
      </w:r>
      <w:r>
        <w:fldChar w:fldCharType="end"/>
      </w:r>
    </w:p>
    <w:p w:rsidR="000A156F" w:rsidRDefault="00A9721F">
      <w:pPr>
        <w:pStyle w:val="Definition-Field"/>
      </w:pPr>
      <w:r>
        <w:t xml:space="preserve">a.   </w:t>
      </w:r>
      <w:r>
        <w:rPr>
          <w:i/>
        </w:rPr>
        <w:t>The standard says tblInd is ignored if the justification is not left.</w:t>
      </w:r>
    </w:p>
    <w:p w:rsidR="000A156F" w:rsidRDefault="00A9721F">
      <w:pPr>
        <w:pStyle w:val="Definition-Field2"/>
      </w:pPr>
      <w:r>
        <w:t xml:space="preserve">Word does not ignore tblInd if the justification is not </w:t>
      </w:r>
      <w:r>
        <w:t>left.</w:t>
      </w:r>
    </w:p>
    <w:p w:rsidR="000A156F" w:rsidRDefault="00A9721F">
      <w:pPr>
        <w:pStyle w:val="Heading3"/>
      </w:pPr>
      <w:bookmarkStart w:id="332" w:name="section_eec0c73c18c2417699e614501f3a4ad7"/>
      <w:bookmarkStart w:id="333" w:name="_Toc181683192"/>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0A156F" w:rsidRDefault="00A9721F">
      <w:pPr>
        <w:pStyle w:val="Definition-Field"/>
      </w:pPr>
      <w:r>
        <w:t xml:space="preserve">a.   </w:t>
      </w:r>
      <w:r>
        <w:rPr>
          <w:i/>
        </w:rPr>
        <w:t>The standard allows table indent exception to be set for any table row.</w:t>
      </w:r>
    </w:p>
    <w:p w:rsidR="000A156F" w:rsidRDefault="00A9721F">
      <w:pPr>
        <w:pStyle w:val="Definition-Field2"/>
      </w:pPr>
      <w:r>
        <w:t>Word applies table indent exception t</w:t>
      </w:r>
      <w:r>
        <w:t>o the whole table if the property is specified for the first table row and ignores this property if it is set for other table rows.</w:t>
      </w:r>
    </w:p>
    <w:p w:rsidR="000A156F" w:rsidRDefault="00A9721F">
      <w:pPr>
        <w:pStyle w:val="Definition-Field"/>
      </w:pPr>
      <w:r>
        <w:t xml:space="preserve">b.   </w:t>
      </w:r>
      <w:r>
        <w:rPr>
          <w:i/>
        </w:rPr>
        <w:t>The standard says tblInd is ignored if justification on the parent table row is not left.</w:t>
      </w:r>
    </w:p>
    <w:p w:rsidR="000A156F" w:rsidRDefault="00A9721F">
      <w:pPr>
        <w:pStyle w:val="Definition-Field2"/>
      </w:pPr>
      <w:r>
        <w:t xml:space="preserve">Word does not ignore tblInd </w:t>
      </w:r>
      <w:r>
        <w:t>if the justification is not left.</w:t>
      </w:r>
    </w:p>
    <w:p w:rsidR="000A156F" w:rsidRDefault="00A9721F">
      <w:pPr>
        <w:pStyle w:val="Heading3"/>
      </w:pPr>
      <w:bookmarkStart w:id="334" w:name="section_ae22d06082974b719f701fdf3625132a"/>
      <w:bookmarkStart w:id="335" w:name="_Toc181683193"/>
      <w:r>
        <w:t>Part 1 Section 17.4.52, tblLayout (Table Layout)</w:t>
      </w:r>
      <w:bookmarkEnd w:id="334"/>
      <w:bookmarkEnd w:id="335"/>
      <w:r>
        <w:fldChar w:fldCharType="begin"/>
      </w:r>
      <w:r>
        <w:instrText xml:space="preserve"> XE "tblLayout (Table Layout)"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A156F" w:rsidRDefault="00A9721F">
      <w:pPr>
        <w:pStyle w:val="Heading3"/>
      </w:pPr>
      <w:bookmarkStart w:id="336" w:name="section_b27e9e3afa724ac099292b5971588b2b"/>
      <w:bookmarkStart w:id="337" w:name="_Toc181683194"/>
      <w:r>
        <w:lastRenderedPageBreak/>
        <w:t>Part 1 Section 17.4.53, tblLayout (Table Layout Exception)</w:t>
      </w:r>
      <w:bookmarkEnd w:id="336"/>
      <w:bookmarkEnd w:id="337"/>
      <w:r>
        <w:fldChar w:fldCharType="begin"/>
      </w:r>
      <w:r>
        <w:instrText xml:space="preserve"> XE "tblLayout (Table Layout Exception)" </w:instrText>
      </w:r>
      <w:r>
        <w:fldChar w:fldCharType="end"/>
      </w:r>
    </w:p>
    <w:p w:rsidR="000A156F" w:rsidRDefault="00A9721F">
      <w:pPr>
        <w:pStyle w:val="Definition-Field"/>
      </w:pPr>
      <w:r>
        <w:t xml:space="preserve">a.   </w:t>
      </w:r>
      <w:r>
        <w:rPr>
          <w:i/>
        </w:rPr>
        <w:t>The standard states that the ta</w:t>
      </w:r>
      <w:r>
        <w:rPr>
          <w:i/>
        </w:rPr>
        <w:t>ble layout exception can be used to set any table row's table layout to autofit or fixed.</w:t>
      </w:r>
    </w:p>
    <w:p w:rsidR="000A156F" w:rsidRDefault="00A9721F">
      <w:pPr>
        <w:pStyle w:val="Definition-Field2"/>
      </w:pPr>
      <w:r>
        <w:t>Word ignores this element if it is not in the first row of the table or if its value is autofit. If the value is not ignored, then it applies to the whole table.</w:t>
      </w:r>
    </w:p>
    <w:p w:rsidR="000A156F" w:rsidRDefault="00A9721F">
      <w:pPr>
        <w:pStyle w:val="Definition-Field"/>
      </w:pPr>
      <w:r>
        <w:t xml:space="preserve">b.  </w:t>
      </w:r>
      <w:r>
        <w:t xml:space="preserve"> </w:t>
      </w:r>
      <w:r>
        <w:rPr>
          <w:i/>
        </w:rPr>
        <w:t>The standard states that if the tblLayout element is omitted, then the value defaults to autofit.</w:t>
      </w:r>
    </w:p>
    <w:p w:rsidR="000A156F" w:rsidRDefault="00A9721F">
      <w:pPr>
        <w:pStyle w:val="Definition-Field2"/>
      </w:pPr>
      <w:r>
        <w:t>In Word, if the tblLayout element is omitted, then the layout algorithm is determined by the default set of table properties on the parent table.</w:t>
      </w:r>
    </w:p>
    <w:p w:rsidR="000A156F" w:rsidRDefault="00A9721F">
      <w:pPr>
        <w:pStyle w:val="Heading3"/>
      </w:pPr>
      <w:bookmarkStart w:id="338" w:name="section_814bc31910274d3c9cc52276e470e4a2"/>
      <w:bookmarkStart w:id="339" w:name="_Toc181683195"/>
      <w:r>
        <w:t>Part 1 Sect</w:t>
      </w:r>
      <w:r>
        <w:t>ion 17.4.54, tblLook (Table Style Conditional Formatting Settings Exception)</w:t>
      </w:r>
      <w:bookmarkEnd w:id="338"/>
      <w:bookmarkEnd w:id="339"/>
      <w:r>
        <w:fldChar w:fldCharType="begin"/>
      </w:r>
      <w:r>
        <w:instrText xml:space="preserve"> XE "tblLook (Table Style Conditional Formatting Settings Exception)" </w:instrText>
      </w:r>
      <w:r>
        <w:fldChar w:fldCharType="end"/>
      </w:r>
    </w:p>
    <w:p w:rsidR="000A156F" w:rsidRDefault="00A9721F">
      <w:pPr>
        <w:pStyle w:val="Definition-Field"/>
      </w:pPr>
      <w:r>
        <w:t xml:space="preserve">a.   </w:t>
      </w:r>
      <w:r>
        <w:rPr>
          <w:i/>
        </w:rPr>
        <w:t>The standard does not specify how to format corner cells when both a row style and an overlapping colu</w:t>
      </w:r>
      <w:r>
        <w:rPr>
          <w:i/>
        </w:rPr>
        <w:t>mn style are determined by the options set in tblLook.</w:t>
      </w:r>
    </w:p>
    <w:p w:rsidR="000A156F" w:rsidRDefault="00A9721F">
      <w:r>
        <w:t>When both a row and a column styling apply to a corner cell, Word allows the cell to be individually styled.  These corner cells are:</w:t>
      </w:r>
    </w:p>
    <w:p w:rsidR="000A156F" w:rsidRDefault="00A9721F">
      <w:pPr>
        <w:pStyle w:val="ListParagraph"/>
        <w:numPr>
          <w:ilvl w:val="0"/>
          <w:numId w:val="55"/>
        </w:numPr>
        <w:contextualSpacing/>
      </w:pPr>
      <w:r>
        <w:t>Top left cell – Applicable when both Header Row and First Column ar</w:t>
      </w:r>
      <w:r>
        <w:t>e used.</w:t>
      </w:r>
    </w:p>
    <w:p w:rsidR="000A156F" w:rsidRDefault="00A9721F">
      <w:pPr>
        <w:pStyle w:val="ListParagraph"/>
        <w:numPr>
          <w:ilvl w:val="0"/>
          <w:numId w:val="55"/>
        </w:numPr>
        <w:contextualSpacing/>
      </w:pPr>
      <w:r>
        <w:t>Top right cell – Applicable when both Header Row and Last Column are used.</w:t>
      </w:r>
    </w:p>
    <w:p w:rsidR="000A156F" w:rsidRDefault="00A9721F">
      <w:pPr>
        <w:pStyle w:val="ListParagraph"/>
        <w:numPr>
          <w:ilvl w:val="0"/>
          <w:numId w:val="55"/>
        </w:numPr>
        <w:contextualSpacing/>
      </w:pPr>
      <w:r>
        <w:t>Bottom left cell – Applicable when both Total Row and First Column are used.</w:t>
      </w:r>
    </w:p>
    <w:p w:rsidR="000A156F" w:rsidRDefault="00A9721F">
      <w:pPr>
        <w:pStyle w:val="ListParagraph"/>
        <w:numPr>
          <w:ilvl w:val="0"/>
          <w:numId w:val="55"/>
        </w:numPr>
      </w:pPr>
      <w:r>
        <w:t>Bottom right cell – Applicable when both Total Row and Last Column are used.</w:t>
      </w:r>
    </w:p>
    <w:p w:rsidR="000A156F" w:rsidRDefault="00A9721F">
      <w:pPr>
        <w:pStyle w:val="Definition-Field"/>
      </w:pPr>
      <w:r>
        <w:t xml:space="preserve">b.   </w:t>
      </w:r>
      <w:r>
        <w:rPr>
          <w:i/>
        </w:rPr>
        <w:t>The standard s</w:t>
      </w:r>
      <w:r>
        <w:rPr>
          <w:i/>
        </w:rPr>
        <w:t>pecifies a set of attributes on this element.</w:t>
      </w:r>
    </w:p>
    <w:p w:rsidR="000A156F" w:rsidRDefault="00A9721F">
      <w:pPr>
        <w:pStyle w:val="Definition-Field2"/>
      </w:pPr>
      <w:r>
        <w:t>Word reads the val attribute specified in "</w:t>
      </w:r>
      <w:hyperlink r:id="rId89">
        <w:r>
          <w:rPr>
            <w:rStyle w:val="Hyperlink"/>
          </w:rPr>
          <w:t>[ISO/IEC-29500-4]</w:t>
        </w:r>
      </w:hyperlink>
      <w:r>
        <w:t xml:space="preserve"> §14.4.11; Additional attribute for tblLook element (Part 1, §17.4.54)" if, and only</w:t>
      </w:r>
      <w:r>
        <w:t xml:space="preserve"> if, none of the attributes specified in this subsection are present.</w:t>
      </w:r>
    </w:p>
    <w:p w:rsidR="000A156F" w:rsidRDefault="00A9721F">
      <w:pPr>
        <w:pStyle w:val="Heading3"/>
      </w:pPr>
      <w:bookmarkStart w:id="340" w:name="section_90f075ceb16d422ab1b039c9777a594e"/>
      <w:bookmarkStart w:id="341" w:name="_Toc181683196"/>
      <w:r>
        <w:t>Part 1 Section 17.4.55, tblLook (Table Style Conditional Formatting Settings)</w:t>
      </w:r>
      <w:bookmarkEnd w:id="340"/>
      <w:bookmarkEnd w:id="341"/>
      <w:r>
        <w:fldChar w:fldCharType="begin"/>
      </w:r>
      <w:r>
        <w:instrText xml:space="preserve"> XE "tblLook (Table Style Conditional Formatting Settings)" </w:instrText>
      </w:r>
      <w:r>
        <w:fldChar w:fldCharType="end"/>
      </w:r>
    </w:p>
    <w:p w:rsidR="000A156F" w:rsidRDefault="00A9721F">
      <w:pPr>
        <w:pStyle w:val="Definition-Field2"/>
      </w:pPr>
      <w:r>
        <w:rPr>
          <w:i/>
        </w:rPr>
        <w:t>For additional notes that apply to this portio</w:t>
      </w:r>
      <w:r>
        <w:rPr>
          <w:i/>
        </w:rPr>
        <w:t xml:space="preserve">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A156F" w:rsidRDefault="00A9721F">
      <w:pPr>
        <w:pStyle w:val="Definition-Field"/>
      </w:pPr>
      <w:r>
        <w:t xml:space="preserve">a.   </w:t>
      </w:r>
      <w:r>
        <w:rPr>
          <w:i/>
        </w:rPr>
        <w:t>The standard states that when the tblLo</w:t>
      </w:r>
      <w:r>
        <w:rPr>
          <w:i/>
        </w:rPr>
        <w:t>ok element is omitted, the bitmask of table style options on the current table shall be assumed to be 0x0000.</w:t>
      </w:r>
    </w:p>
    <w:p w:rsidR="000A156F" w:rsidRDefault="00A9721F">
      <w:pPr>
        <w:pStyle w:val="Definition-Field2"/>
      </w:pPr>
      <w:r>
        <w:t>In Word, when the tblLook element is omitted, the bitmask of table style options on the current table is assumed to be 0x04A0.</w:t>
      </w:r>
    </w:p>
    <w:p w:rsidR="000A156F" w:rsidRDefault="00A9721F">
      <w:pPr>
        <w:pStyle w:val="Definition-Field"/>
      </w:pPr>
      <w:r>
        <w:t xml:space="preserve">b.   </w:t>
      </w:r>
      <w:r>
        <w:rPr>
          <w:i/>
        </w:rPr>
        <w:t>The standard s</w:t>
      </w:r>
      <w:r>
        <w:rPr>
          <w:i/>
        </w:rPr>
        <w:t>tates there are six conditional formatting options that can be set in tblLook.</w:t>
      </w:r>
    </w:p>
    <w:p w:rsidR="000A156F" w:rsidRDefault="00A9721F">
      <w:r>
        <w:t xml:space="preserve">When both a row and a column styling is applied it may yield undesired effect on the overlapping corner cell. Word allows the cell to be individually styled. These corner cells </w:t>
      </w:r>
      <w:r>
        <w:t>are:</w:t>
      </w:r>
    </w:p>
    <w:p w:rsidR="000A156F" w:rsidRDefault="00A9721F">
      <w:pPr>
        <w:pStyle w:val="ListParagraph"/>
        <w:numPr>
          <w:ilvl w:val="0"/>
          <w:numId w:val="56"/>
        </w:numPr>
        <w:contextualSpacing/>
      </w:pPr>
      <w:r>
        <w:t>Top left cell – when Header Row and First Column are used.</w:t>
      </w:r>
    </w:p>
    <w:p w:rsidR="000A156F" w:rsidRDefault="00A9721F">
      <w:pPr>
        <w:pStyle w:val="ListParagraph"/>
        <w:numPr>
          <w:ilvl w:val="0"/>
          <w:numId w:val="56"/>
        </w:numPr>
        <w:contextualSpacing/>
      </w:pPr>
      <w:r>
        <w:t>Top right cell – when Header Row and Last Column are used.</w:t>
      </w:r>
    </w:p>
    <w:p w:rsidR="000A156F" w:rsidRDefault="00A9721F">
      <w:pPr>
        <w:pStyle w:val="ListParagraph"/>
        <w:numPr>
          <w:ilvl w:val="0"/>
          <w:numId w:val="56"/>
        </w:numPr>
        <w:contextualSpacing/>
      </w:pPr>
      <w:r>
        <w:t>Bottom left cell – when Total Row and First Column are used.</w:t>
      </w:r>
    </w:p>
    <w:p w:rsidR="000A156F" w:rsidRDefault="00A9721F">
      <w:pPr>
        <w:pStyle w:val="ListParagraph"/>
        <w:numPr>
          <w:ilvl w:val="0"/>
          <w:numId w:val="56"/>
        </w:numPr>
        <w:contextualSpacing/>
      </w:pPr>
      <w:r>
        <w:t>Bottom right cell – when Total Row and Last Column are used.</w:t>
      </w:r>
    </w:p>
    <w:p w:rsidR="000A156F" w:rsidRDefault="00A9721F">
      <w:pPr>
        <w:pStyle w:val="Definition-Field"/>
      </w:pPr>
      <w:r>
        <w:t xml:space="preserve">c.   </w:t>
      </w:r>
      <w:r>
        <w:rPr>
          <w:i/>
        </w:rPr>
        <w:t xml:space="preserve">The </w:t>
      </w:r>
      <w:r>
        <w:rPr>
          <w:i/>
        </w:rPr>
        <w:t>standard specifies a set of attributes on this element.</w:t>
      </w:r>
    </w:p>
    <w:p w:rsidR="000A156F" w:rsidRDefault="00A9721F">
      <w:pPr>
        <w:pStyle w:val="Definition-Field2"/>
      </w:pPr>
      <w:r>
        <w:lastRenderedPageBreak/>
        <w:t>Word reads the val attribute specified in "</w:t>
      </w:r>
      <w:hyperlink r:id="rId90">
        <w:r>
          <w:rPr>
            <w:rStyle w:val="Hyperlink"/>
          </w:rPr>
          <w:t>[ISO/IEC-29500-4]</w:t>
        </w:r>
      </w:hyperlink>
      <w:r>
        <w:t xml:space="preserve"> §14.4.12; Additional attribute for tblLook element (Part 1, §17.4.55)" if, and only if, none of the attributes specified in this subsection are present.</w:t>
      </w:r>
    </w:p>
    <w:p w:rsidR="000A156F" w:rsidRDefault="00A9721F">
      <w:pPr>
        <w:pStyle w:val="Heading3"/>
      </w:pPr>
      <w:bookmarkStart w:id="342" w:name="section_56c0b0dedcc146fda1e1ea2310dc7741"/>
      <w:bookmarkStart w:id="343" w:name="_Toc181683197"/>
      <w:r>
        <w:t>Part 1 Section 17.4.56, tblOverlap (Floating Table Allows Other Tables to Overlap)</w:t>
      </w:r>
      <w:bookmarkEnd w:id="342"/>
      <w:bookmarkEnd w:id="343"/>
      <w:r>
        <w:fldChar w:fldCharType="begin"/>
      </w:r>
      <w:r>
        <w:instrText xml:space="preserve"> XE "tblOverlap (Flo</w:instrText>
      </w:r>
      <w:r>
        <w:instrText xml:space="preserve">ating Table Allows Other Tables to Overlap)"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A156F" w:rsidRDefault="00A9721F">
      <w:pPr>
        <w:pStyle w:val="Heading3"/>
      </w:pPr>
      <w:bookmarkStart w:id="344" w:name="section_4175e818958f4b4fb6f717003f1721b5"/>
      <w:bookmarkStart w:id="345" w:name="_Toc181683198"/>
      <w:r>
        <w:t>Part 1 Section 17.4.57, tblpPr (Floating Table Positioning)</w:t>
      </w:r>
      <w:bookmarkEnd w:id="344"/>
      <w:bookmarkEnd w:id="345"/>
      <w:r>
        <w:fldChar w:fldCharType="begin"/>
      </w:r>
      <w:r>
        <w:instrText xml:space="preserve"> XE "tblpPr (Floating Table Positioning)"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A156F" w:rsidRDefault="00A9721F">
      <w:pPr>
        <w:pStyle w:val="Definition-Field"/>
      </w:pPr>
      <w:r>
        <w:t xml:space="preserve">a.   </w:t>
      </w:r>
      <w:r>
        <w:rPr>
          <w:i/>
        </w:rPr>
        <w:t>The standard says that horizontal floating table positioning flips which edge it is relative to</w:t>
      </w:r>
      <w:r>
        <w:rPr>
          <w:i/>
        </w:rPr>
        <w:t xml:space="preserve"> in right to left paragraphs versus left to right paragraphs.</w:t>
      </w:r>
    </w:p>
    <w:p w:rsidR="000A156F" w:rsidRDefault="00A9721F">
      <w:pPr>
        <w:pStyle w:val="Definition-Field2"/>
      </w:pPr>
      <w:r>
        <w:t>In Word, horizontal floating table positioning is always relative to the left edge.</w:t>
      </w:r>
    </w:p>
    <w:p w:rsidR="000A156F" w:rsidRDefault="00A9721F">
      <w:pPr>
        <w:pStyle w:val="Definition-Field"/>
      </w:pPr>
      <w:r>
        <w:t xml:space="preserve">b.   </w:t>
      </w:r>
      <w:r>
        <w:rPr>
          <w:i/>
        </w:rPr>
        <w:t>The standard does not specify any conditions under which tblpPr is ignored.</w:t>
      </w:r>
    </w:p>
    <w:p w:rsidR="000A156F" w:rsidRDefault="00A9721F">
      <w:r>
        <w:t xml:space="preserve">Word ignores the </w:t>
      </w:r>
      <w:r>
        <w:rPr>
          <w:b/>
        </w:rPr>
        <w:t>tblpPr</w:t>
      </w:r>
      <w:r>
        <w:t xml:space="preserve"> eleme</w:t>
      </w:r>
      <w:r>
        <w:t>nt if all attributes are omitted. It also ignores this element if the table is contained in a textbox, footnote, endnote, or comment, or if all of the following conditions are met:</w:t>
      </w:r>
    </w:p>
    <w:p w:rsidR="000A156F" w:rsidRDefault="00A9721F">
      <w:pPr>
        <w:pStyle w:val="ListParagraph"/>
        <w:numPr>
          <w:ilvl w:val="0"/>
          <w:numId w:val="57"/>
        </w:numPr>
        <w:contextualSpacing/>
      </w:pPr>
      <w:r>
        <w:t xml:space="preserve">The </w:t>
      </w:r>
      <w:r>
        <w:rPr>
          <w:b/>
        </w:rPr>
        <w:t>tblpX</w:t>
      </w:r>
      <w:r>
        <w:t xml:space="preserve"> attribute value is 0.</w:t>
      </w:r>
    </w:p>
    <w:p w:rsidR="000A156F" w:rsidRDefault="00A9721F">
      <w:pPr>
        <w:pStyle w:val="ListParagraph"/>
        <w:numPr>
          <w:ilvl w:val="0"/>
          <w:numId w:val="57"/>
        </w:numPr>
        <w:contextualSpacing/>
      </w:pPr>
      <w:r>
        <w:t xml:space="preserve">The </w:t>
      </w:r>
      <w:r>
        <w:rPr>
          <w:b/>
        </w:rPr>
        <w:t>tblpY</w:t>
      </w:r>
      <w:r>
        <w:t xml:space="preserve"> attribute value is 0.</w:t>
      </w:r>
    </w:p>
    <w:p w:rsidR="000A156F" w:rsidRDefault="00A9721F">
      <w:pPr>
        <w:pStyle w:val="ListParagraph"/>
        <w:numPr>
          <w:ilvl w:val="0"/>
          <w:numId w:val="57"/>
        </w:numPr>
        <w:contextualSpacing/>
      </w:pPr>
      <w:r>
        <w:t xml:space="preserve">The </w:t>
      </w:r>
      <w:r>
        <w:rPr>
          <w:b/>
        </w:rPr>
        <w:t>horzAnc</w:t>
      </w:r>
      <w:r>
        <w:rPr>
          <w:b/>
        </w:rPr>
        <w:t>hor</w:t>
      </w:r>
      <w:r>
        <w:t xml:space="preserve"> attribute value is </w:t>
      </w:r>
      <w:r>
        <w:rPr>
          <w:i/>
        </w:rPr>
        <w:t>text.</w:t>
      </w:r>
    </w:p>
    <w:p w:rsidR="000A156F" w:rsidRDefault="00A9721F">
      <w:pPr>
        <w:pStyle w:val="ListParagraph"/>
        <w:numPr>
          <w:ilvl w:val="0"/>
          <w:numId w:val="57"/>
        </w:numPr>
      </w:pPr>
      <w:r>
        <w:t xml:space="preserve">The </w:t>
      </w:r>
      <w:r>
        <w:rPr>
          <w:b/>
        </w:rPr>
        <w:t>vertAnchor</w:t>
      </w:r>
      <w:r>
        <w:t xml:space="preserve"> attribute value is not </w:t>
      </w:r>
      <w:r>
        <w:rPr>
          <w:i/>
        </w:rPr>
        <w:t>text.</w:t>
      </w:r>
    </w:p>
    <w:p w:rsidR="000A156F" w:rsidRDefault="00A9721F">
      <w:pPr>
        <w:pStyle w:val="Definition-Field"/>
      </w:pPr>
      <w:r>
        <w:t xml:space="preserve">c.   </w:t>
      </w:r>
      <w:r>
        <w:rPr>
          <w:i/>
        </w:rPr>
        <w:t>The standard states that the default values of vertAnchor and horzAnchor are page.</w:t>
      </w:r>
    </w:p>
    <w:p w:rsidR="000A156F" w:rsidRDefault="00A9721F">
      <w:pPr>
        <w:pStyle w:val="Definition-Field2"/>
      </w:pPr>
      <w:r>
        <w:t>In Word, the default value for vertAnchor is margin and the default value for horzAnchor is tex</w:t>
      </w:r>
      <w:r>
        <w:t>t.</w:t>
      </w:r>
    </w:p>
    <w:p w:rsidR="000A156F" w:rsidRDefault="00A9721F">
      <w:pPr>
        <w:pStyle w:val="Definition-Field"/>
      </w:pPr>
      <w:r>
        <w:t xml:space="preserve">d.   </w:t>
      </w:r>
      <w:r>
        <w:rPr>
          <w:i/>
        </w:rPr>
        <w:t>The standard allows any integer for leftFromText, rightFromText, topFromText, bottomFromText, tblpX, and tblpY.</w:t>
      </w:r>
    </w:p>
    <w:p w:rsidR="000A156F" w:rsidRDefault="00A9721F">
      <w:pPr>
        <w:pStyle w:val="Definition-Field2"/>
      </w:pPr>
      <w:r>
        <w:t>Word only allows integers between 0 and 32767 for leftFromText, rightFromText, topFromText, bottomFromText, tblpX, and tblpY.</w:t>
      </w:r>
    </w:p>
    <w:p w:rsidR="000A156F" w:rsidRDefault="00A9721F">
      <w:pPr>
        <w:pStyle w:val="Definition-Field"/>
      </w:pPr>
      <w:r>
        <w:t xml:space="preserve">e.   </w:t>
      </w:r>
      <w:r>
        <w:rPr>
          <w:i/>
        </w:rPr>
        <w:t>The s</w:t>
      </w:r>
      <w:r>
        <w:rPr>
          <w:i/>
        </w:rPr>
        <w:t>tandard does not specify that tblpX and tblpY should be changed before display.</w:t>
      </w:r>
    </w:p>
    <w:p w:rsidR="000A156F" w:rsidRDefault="00A9721F">
      <w:r>
        <w:t>To avoid the condition where the tblpPr element is ignored, Word adds 1 twentieth of a point to the actual distance value when it saves a file and subtracts 1 twentieth of a po</w:t>
      </w:r>
      <w:r>
        <w:t xml:space="preserve">int to the actual distance value when it opens a file. For example, if the value of attribute </w:t>
      </w:r>
      <w:r>
        <w:rPr>
          <w:b/>
        </w:rPr>
        <w:t>tblpX</w:t>
      </w:r>
      <w:r>
        <w:t xml:space="preserve"> or </w:t>
      </w:r>
      <w:r>
        <w:rPr>
          <w:b/>
        </w:rPr>
        <w:t>tblpY</w:t>
      </w:r>
      <w:r>
        <w:t xml:space="preserve"> is supposed be 0 twentieths of a point, then Word writes 1 instead, and if Word reads the value 1 for tblpX or tblpY it interprets that value as 0 </w:t>
      </w:r>
      <w:r>
        <w:t>instead.</w:t>
      </w:r>
    </w:p>
    <w:p w:rsidR="000A156F" w:rsidRDefault="00A9721F">
      <w:pPr>
        <w:pStyle w:val="Heading3"/>
      </w:pPr>
      <w:bookmarkStart w:id="346" w:name="section_b838cab3eb77495a9cb98c6e693f0ac1"/>
      <w:bookmarkStart w:id="347" w:name="_Toc181683199"/>
      <w:r>
        <w:t>Part 1 Section 17.4.58, tblPr (Previous Table Properties)</w:t>
      </w:r>
      <w:bookmarkEnd w:id="346"/>
      <w:bookmarkEnd w:id="347"/>
      <w:r>
        <w:fldChar w:fldCharType="begin"/>
      </w:r>
      <w:r>
        <w:instrText xml:space="preserve"> XE "tblPr (Previous Table Properties)" </w:instrText>
      </w:r>
      <w:r>
        <w:fldChar w:fldCharType="end"/>
      </w:r>
    </w:p>
    <w:p w:rsidR="000A156F" w:rsidRDefault="00A9721F">
      <w:pPr>
        <w:pStyle w:val="Definition-Field"/>
      </w:pPr>
      <w:r>
        <w:t xml:space="preserve">a.   </w:t>
      </w:r>
      <w:r>
        <w:rPr>
          <w:i/>
        </w:rPr>
        <w:t>The standard states that the tblStyleColBandSize and tblStyleRowBandSize elements are valid child elements of the tblPr element.</w:t>
      </w:r>
    </w:p>
    <w:p w:rsidR="000A156F" w:rsidRDefault="00A9721F">
      <w:pPr>
        <w:pStyle w:val="Definition-Field2"/>
      </w:pPr>
      <w:r>
        <w:t>Word does not</w:t>
      </w:r>
      <w:r>
        <w:t xml:space="preserve"> allow these elements to be child elements of the tblPr element.</w:t>
      </w:r>
    </w:p>
    <w:p w:rsidR="000A156F" w:rsidRDefault="00A9721F">
      <w:pPr>
        <w:pStyle w:val="Heading3"/>
      </w:pPr>
      <w:bookmarkStart w:id="348" w:name="section_2020ce86cc3945b28bec82dc97435c44"/>
      <w:bookmarkStart w:id="349" w:name="_Toc181683200"/>
      <w:r>
        <w:lastRenderedPageBreak/>
        <w:t>Part 1 Section 17.4.59, tblPr (Table Properties)</w:t>
      </w:r>
      <w:bookmarkEnd w:id="348"/>
      <w:bookmarkEnd w:id="349"/>
      <w:r>
        <w:fldChar w:fldCharType="begin"/>
      </w:r>
      <w:r>
        <w:instrText xml:space="preserve"> XE "tblPr (Table Properties)" </w:instrText>
      </w:r>
      <w:r>
        <w:fldChar w:fldCharType="end"/>
      </w:r>
    </w:p>
    <w:p w:rsidR="000A156F" w:rsidRDefault="00A9721F">
      <w:pPr>
        <w:pStyle w:val="Definition-Field"/>
      </w:pPr>
      <w:r>
        <w:t xml:space="preserve">a.   </w:t>
      </w:r>
      <w:r>
        <w:rPr>
          <w:i/>
        </w:rPr>
        <w:t xml:space="preserve">The standard states that the tblStyleColBandSize and tblStyleRowBandSize elements are valid child </w:t>
      </w:r>
      <w:r>
        <w:rPr>
          <w:i/>
        </w:rPr>
        <w:t>elements of the tblPr element.</w:t>
      </w:r>
    </w:p>
    <w:p w:rsidR="000A156F" w:rsidRDefault="00A9721F">
      <w:pPr>
        <w:pStyle w:val="Definition-Field2"/>
      </w:pPr>
      <w:r>
        <w:t>Word does not allow these elements to be child elements of the tblPr element.</w:t>
      </w:r>
    </w:p>
    <w:p w:rsidR="000A156F" w:rsidRDefault="00A9721F">
      <w:pPr>
        <w:pStyle w:val="Heading3"/>
      </w:pPr>
      <w:bookmarkStart w:id="350" w:name="section_35aa3feae5804ca695bdcb921384f005"/>
      <w:bookmarkStart w:id="351" w:name="_Toc181683201"/>
      <w:r>
        <w:t>Part 1 Section 17.4.62, tblStyle (Referenced Table Style)</w:t>
      </w:r>
      <w:bookmarkEnd w:id="350"/>
      <w:bookmarkEnd w:id="351"/>
      <w:r>
        <w:fldChar w:fldCharType="begin"/>
      </w:r>
      <w:r>
        <w:instrText xml:space="preserve"> XE "tblStyle (Referenced Table Style)" </w:instrText>
      </w:r>
      <w:r>
        <w:fldChar w:fldCharType="end"/>
      </w:r>
    </w:p>
    <w:p w:rsidR="000A156F" w:rsidRDefault="00A9721F">
      <w:pPr>
        <w:pStyle w:val="Definition-Field2"/>
      </w:pPr>
      <w:r>
        <w:rPr>
          <w:i/>
        </w:rPr>
        <w:t>For additional notes that apply to this portion</w:t>
      </w:r>
      <w:r>
        <w:rPr>
          <w:i/>
        </w:rPr>
        <w:t xml:space="preserve">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The standard does not limit the length of the value of the val attribute.</w:t>
      </w:r>
    </w:p>
    <w:p w:rsidR="000A156F" w:rsidRDefault="00A9721F">
      <w:pPr>
        <w:pStyle w:val="Definition-Field2"/>
      </w:pPr>
      <w:r>
        <w:t>Word restricts the value of this attribute to be at most 253 characters.</w:t>
      </w:r>
    </w:p>
    <w:p w:rsidR="000A156F" w:rsidRDefault="00A9721F">
      <w:pPr>
        <w:pStyle w:val="Heading3"/>
      </w:pPr>
      <w:bookmarkStart w:id="352" w:name="section_5d923fcc83b6489e8761c0a8b7fa7c47"/>
      <w:bookmarkStart w:id="353" w:name="_Toc181683202"/>
      <w:r>
        <w:t>Part 1 Section 17.4.63, tblW (Preferred Table Width)</w:t>
      </w:r>
      <w:bookmarkEnd w:id="352"/>
      <w:bookmarkEnd w:id="353"/>
      <w:r>
        <w:fldChar w:fldCharType="begin"/>
      </w:r>
      <w:r>
        <w:instrText xml:space="preserve"> XE "tb</w:instrText>
      </w:r>
      <w:r>
        <w:instrText xml:space="preserve">lW (Preferred Table Width)"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0A156F" w:rsidRDefault="00A9721F">
      <w:pPr>
        <w:pStyle w:val="Definition-Field"/>
      </w:pPr>
      <w:r>
        <w:t xml:space="preserve">a.   </w:t>
      </w:r>
      <w:r>
        <w:rPr>
          <w:i/>
        </w:rPr>
        <w:t>The standard specifies that if w is 0, the preferred table width is 0.</w:t>
      </w:r>
    </w:p>
    <w:p w:rsidR="000A156F" w:rsidRDefault="00A9721F">
      <w:pPr>
        <w:pStyle w:val="Definition-Field2"/>
      </w:pPr>
      <w:r>
        <w:t>Word interprets the type attribute as auto if w is 0.</w:t>
      </w:r>
    </w:p>
    <w:p w:rsidR="000A156F" w:rsidRDefault="00A9721F">
      <w:pPr>
        <w:pStyle w:val="Definition-Field"/>
      </w:pPr>
      <w:r>
        <w:t xml:space="preserve">b.   </w:t>
      </w:r>
      <w:r>
        <w:rPr>
          <w:i/>
        </w:rPr>
        <w:t>The sta</w:t>
      </w:r>
      <w:r>
        <w:rPr>
          <w:i/>
        </w:rPr>
        <w:t>ndard does not specify the behavior when the type attribute is nil.</w:t>
      </w:r>
    </w:p>
    <w:p w:rsidR="000A156F" w:rsidRDefault="00A9721F">
      <w:pPr>
        <w:pStyle w:val="Definition-Field2"/>
      </w:pPr>
      <w:r>
        <w:t>When the type attribute has a value of nil, Word interprets the type attribute value as auto.</w:t>
      </w:r>
    </w:p>
    <w:p w:rsidR="000A156F" w:rsidRDefault="00A9721F">
      <w:pPr>
        <w:pStyle w:val="Heading3"/>
      </w:pPr>
      <w:bookmarkStart w:id="354" w:name="section_9b01c51ffe5d472cba38bc12ce971ad2"/>
      <w:bookmarkStart w:id="355" w:name="_Toc181683203"/>
      <w:r>
        <w:t>Part 1 Section 17.4.64, tblW (Preferred Table Width Exception)</w:t>
      </w:r>
      <w:bookmarkEnd w:id="354"/>
      <w:bookmarkEnd w:id="355"/>
      <w:r>
        <w:fldChar w:fldCharType="begin"/>
      </w:r>
      <w:r>
        <w:instrText xml:space="preserve"> XE "tblW (Preferred Table Width</w:instrText>
      </w:r>
      <w:r>
        <w:instrText xml:space="preserve"> Exception)"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A156F" w:rsidRDefault="00A9721F">
      <w:pPr>
        <w:pStyle w:val="Definition-Field"/>
      </w:pPr>
      <w:r>
        <w:t xml:space="preserve">a.   </w:t>
      </w:r>
      <w:r>
        <w:rPr>
          <w:i/>
        </w:rPr>
        <w:t>The standard specifies that this element specifies the preferred</w:t>
      </w:r>
      <w:r>
        <w:rPr>
          <w:i/>
        </w:rPr>
        <w:t xml:space="preserve"> width for the parent table row.</w:t>
      </w:r>
    </w:p>
    <w:p w:rsidR="000A156F" w:rsidRDefault="00A9721F">
      <w:pPr>
        <w:pStyle w:val="Definition-Field2"/>
      </w:pPr>
      <w:r>
        <w:t>Word ignores this element if it is not present in the first row of the table. If it is in the first row, Word applies this preferred width to the entire table.</w:t>
      </w:r>
    </w:p>
    <w:p w:rsidR="000A156F" w:rsidRDefault="00A9721F">
      <w:pPr>
        <w:pStyle w:val="Definition-Field"/>
      </w:pPr>
      <w:r>
        <w:t xml:space="preserve">b.   </w:t>
      </w:r>
      <w:r>
        <w:rPr>
          <w:i/>
        </w:rPr>
        <w:t>The standard specifies that if w is 0, the preferred table</w:t>
      </w:r>
      <w:r>
        <w:rPr>
          <w:i/>
        </w:rPr>
        <w:t xml:space="preserve"> width is 0.</w:t>
      </w:r>
    </w:p>
    <w:p w:rsidR="000A156F" w:rsidRDefault="00A9721F">
      <w:pPr>
        <w:pStyle w:val="Definition-Field2"/>
      </w:pPr>
      <w:r>
        <w:t>Word interprets the type attribute as auto if w is 0.</w:t>
      </w:r>
    </w:p>
    <w:p w:rsidR="000A156F" w:rsidRDefault="00A9721F">
      <w:pPr>
        <w:pStyle w:val="Definition-Field"/>
      </w:pPr>
      <w:r>
        <w:t xml:space="preserve">c.   </w:t>
      </w:r>
      <w:r>
        <w:rPr>
          <w:i/>
        </w:rPr>
        <w:t>The standard states that if the tblW element is omitted, then the cell width is auto.</w:t>
      </w:r>
    </w:p>
    <w:p w:rsidR="000A156F" w:rsidRDefault="00A9721F">
      <w:pPr>
        <w:pStyle w:val="Definition-Field2"/>
      </w:pPr>
      <w:r>
        <w:t>In Word, if the tblW element is omitted, then the table width is determined by the preferred table</w:t>
      </w:r>
      <w:r>
        <w:t xml:space="preserve"> width element.</w:t>
      </w:r>
    </w:p>
    <w:p w:rsidR="000A156F" w:rsidRDefault="00A9721F">
      <w:pPr>
        <w:pStyle w:val="Definition-Field"/>
      </w:pPr>
      <w:r>
        <w:t xml:space="preserve">d.   </w:t>
      </w:r>
      <w:r>
        <w:rPr>
          <w:i/>
        </w:rPr>
        <w:t>The standard does not specify the behavior when the type attribute is nil.</w:t>
      </w:r>
    </w:p>
    <w:p w:rsidR="000A156F" w:rsidRDefault="00A9721F">
      <w:pPr>
        <w:pStyle w:val="Definition-Field2"/>
      </w:pPr>
      <w:r>
        <w:t>Word interprets the type attribute value as auto when the type attribute has a value of nil.</w:t>
      </w:r>
    </w:p>
    <w:p w:rsidR="000A156F" w:rsidRDefault="00A9721F">
      <w:pPr>
        <w:pStyle w:val="Heading3"/>
      </w:pPr>
      <w:bookmarkStart w:id="356" w:name="section_51518f1baa8746adaf91607351eba2db"/>
      <w:bookmarkStart w:id="357" w:name="_Toc181683204"/>
      <w:r>
        <w:t>Part 1 Section 17.4.65, tc (Table Cell)</w:t>
      </w:r>
      <w:bookmarkEnd w:id="356"/>
      <w:bookmarkEnd w:id="357"/>
      <w:r>
        <w:fldChar w:fldCharType="begin"/>
      </w:r>
      <w:r>
        <w:instrText xml:space="preserve"> XE "tc (Table Cell)" </w:instrText>
      </w:r>
      <w:r>
        <w:fldChar w:fldCharType="end"/>
      </w:r>
    </w:p>
    <w:p w:rsidR="000A156F" w:rsidRDefault="00A9721F">
      <w:pPr>
        <w:pStyle w:val="Definition-Field2"/>
      </w:pPr>
      <w:r>
        <w:rPr>
          <w:i/>
        </w:rPr>
        <w:t>For</w:t>
      </w:r>
      <w:r>
        <w:rPr>
          <w:i/>
        </w:rPr>
        <w:t xml:space="preserve">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 xml:space="preserve">oMathPara, </w:t>
        </w:r>
        <w:r>
          <w:rPr>
            <w:rStyle w:val="Hyperlink"/>
          </w:rPr>
          <w:t>§22.1.2.78(c)</w:t>
        </w:r>
      </w:hyperlink>
      <w:r>
        <w:rPr>
          <w:i/>
        </w:rPr>
        <w:t>.</w:t>
      </w:r>
    </w:p>
    <w:p w:rsidR="000A156F" w:rsidRDefault="00A9721F">
      <w:pPr>
        <w:pStyle w:val="Definition-Field"/>
      </w:pPr>
      <w:r>
        <w:t xml:space="preserve">a.   </w:t>
      </w:r>
      <w:r>
        <w:rPr>
          <w:i/>
        </w:rPr>
        <w:t>The standard states that the id attribute is a valid attribute of the tc element.</w:t>
      </w:r>
    </w:p>
    <w:p w:rsidR="000A156F" w:rsidRDefault="00A9721F">
      <w:pPr>
        <w:pStyle w:val="Definition-Field2"/>
      </w:pPr>
      <w:r>
        <w:lastRenderedPageBreak/>
        <w:t>Word ignores the id attribute.</w:t>
      </w:r>
    </w:p>
    <w:p w:rsidR="000A156F" w:rsidRDefault="00A9721F">
      <w:pPr>
        <w:pStyle w:val="Definition-Field"/>
      </w:pPr>
      <w:r>
        <w:t xml:space="preserve">b.   </w:t>
      </w:r>
      <w:r>
        <w:rPr>
          <w:i/>
        </w:rPr>
        <w:t>The standard states that a tc element must include at least one block-level element.</w:t>
      </w:r>
    </w:p>
    <w:p w:rsidR="000A156F" w:rsidRDefault="00A9721F">
      <w:pPr>
        <w:pStyle w:val="Definition-Field2"/>
      </w:pPr>
      <w:r>
        <w:t xml:space="preserve">If a tc element does not contain </w:t>
      </w:r>
      <w:r>
        <w:t>at least one p element, and that element is not the last child block-level element of the tc element, then Word will fail to open the file.</w:t>
      </w:r>
    </w:p>
    <w:p w:rsidR="000A156F" w:rsidRDefault="00A9721F">
      <w:pPr>
        <w:pStyle w:val="Heading3"/>
      </w:pPr>
      <w:bookmarkStart w:id="358" w:name="section_7c791c5d44c34fe8abdd8f136761bb93"/>
      <w:bookmarkStart w:id="359" w:name="_Toc181683205"/>
      <w:r>
        <w:t>Part 1 Section 17.4.66, tcBorders (Table Cell Borders)</w:t>
      </w:r>
      <w:bookmarkEnd w:id="358"/>
      <w:bookmarkEnd w:id="359"/>
      <w:r>
        <w:fldChar w:fldCharType="begin"/>
      </w:r>
      <w:r>
        <w:instrText xml:space="preserve"> XE "tcBorders (Table Cell Borders)"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e742550b4384b9d96064ae34d83830f">
        <w:r>
          <w:rPr>
            <w:rStyle w:val="Hyperlink"/>
          </w:rPr>
          <w:t>tcPr, §17.7.6.9(b)</w:t>
        </w:r>
      </w:hyperlink>
      <w:r>
        <w:rPr>
          <w:i/>
        </w:rPr>
        <w:t>.</w:t>
      </w:r>
    </w:p>
    <w:p w:rsidR="000A156F" w:rsidRDefault="00A9721F">
      <w:pPr>
        <w:pStyle w:val="Definition-Field"/>
      </w:pPr>
      <w:r>
        <w:t xml:space="preserve">a.   </w:t>
      </w:r>
      <w:r>
        <w:rPr>
          <w:i/>
        </w:rPr>
        <w:t>The standard specifies a method for resolving border conflicts.</w:t>
      </w:r>
    </w:p>
    <w:p w:rsidR="000A156F" w:rsidRDefault="00A9721F">
      <w:r>
        <w:t>Word determine</w:t>
      </w:r>
      <w:r>
        <w:t>s top, bottom, left, and right cell border for each cell as follows:</w:t>
      </w:r>
    </w:p>
    <w:p w:rsidR="000A156F" w:rsidRDefault="00A9721F">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91">
        <w:r>
          <w:rPr>
            <w:rStyle w:val="Hyperlink"/>
          </w:rPr>
          <w:t>[ISO/IEC-29500-1]</w:t>
        </w:r>
      </w:hyperlink>
      <w:r>
        <w:t xml:space="preserve"> §17.7.6"</w:t>
      </w:r>
      <w:r>
        <w:t>).</w:t>
      </w:r>
    </w:p>
    <w:p w:rsidR="000A156F" w:rsidRDefault="00A9721F">
      <w:pPr>
        <w:pStyle w:val="ListParagraph"/>
        <w:numPr>
          <w:ilvl w:val="0"/>
          <w:numId w:val="58"/>
        </w:numPr>
        <w:contextualSpacing/>
      </w:pPr>
      <w:r>
        <w:t>If the cell border is still not specified, find the appropriate border from the table-level border exceptions ("[ISO/IEC-29500-1] §17.4.39; tblBorders").</w:t>
      </w:r>
    </w:p>
    <w:p w:rsidR="000A156F" w:rsidRDefault="00A9721F">
      <w:pPr>
        <w:pStyle w:val="ListParagraph"/>
        <w:numPr>
          <w:ilvl w:val="0"/>
          <w:numId w:val="58"/>
        </w:numPr>
      </w:pPr>
      <w:r>
        <w:t>If the cell border is still not specified, find the appropriate border from the table-level borders</w:t>
      </w:r>
      <w:r>
        <w:t xml:space="preserve"> ("[ISO/IEC-29500-1] §17.4.38; tblBorders").</w:t>
      </w:r>
    </w:p>
    <w:p w:rsidR="000A156F" w:rsidRDefault="00A9721F">
      <w:r>
        <w:t>If the cell spacing is nonzero as specified using the tblCellSpacing element ("[ISO/IEC-29500-1] §17.4.44; tblCellSpacing"), then all cell borders and outer table borders display.</w:t>
      </w:r>
    </w:p>
    <w:p w:rsidR="000A156F" w:rsidRDefault="00A9721F">
      <w:r>
        <w:t>If the cell spacing is zero, th</w:t>
      </w:r>
      <w:r>
        <w:t>en there may be a conflict between two adjacent borders. In Office, this conflict is resolved using the following procedure:</w:t>
      </w:r>
    </w:p>
    <w:p w:rsidR="000A156F" w:rsidRDefault="00A9721F">
      <w:r>
        <w:t xml:space="preserve">If the conflicting table cell border is </w:t>
      </w:r>
      <w:r>
        <w:rPr>
          <w:i/>
        </w:rPr>
        <w:t>none</w:t>
      </w:r>
      <w:r>
        <w:t xml:space="preserve"> (no border), then the opposing border shall be displayed. If the conflicting table cel</w:t>
      </w:r>
      <w:r>
        <w:t xml:space="preserve">l border is </w:t>
      </w:r>
      <w:r>
        <w:rPr>
          <w:i/>
        </w:rPr>
        <w:t>nil</w:t>
      </w:r>
      <w:r>
        <w:t>, then no border shall be displayed.</w:t>
      </w:r>
    </w:p>
    <w:p w:rsidR="000A156F" w:rsidRDefault="00A9721F">
      <w:r>
        <w:t>Each border shall then be assigned a weight using the following formula, and the border which has a higher value using this calculation shall be displayed over the alternative border:</w:t>
      </w:r>
    </w:p>
    <w:p w:rsidR="000A156F" w:rsidRDefault="00A9721F">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92"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0A156F" w:rsidRDefault="00A9721F">
      <w:r>
        <w:t>The border width s</w:t>
      </w:r>
      <w:r>
        <w:t xml:space="preserve">hall be specified in measurements of eighths of a point. The border number shall be determined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A156F" w:rsidRDefault="00A9721F">
            <w:pPr>
              <w:pStyle w:val="TableHeaderText"/>
            </w:pPr>
            <w:r>
              <w:t>Border Number</w:t>
            </w:r>
          </w:p>
        </w:tc>
      </w:tr>
      <w:tr w:rsidR="000A156F" w:rsidTr="000A156F">
        <w:tc>
          <w:tcPr>
            <w:tcW w:w="0" w:type="auto"/>
            <w:vAlign w:val="center"/>
          </w:tcPr>
          <w:p w:rsidR="000A156F" w:rsidRDefault="00A9721F">
            <w:pPr>
              <w:pStyle w:val="TableBodyText"/>
            </w:pPr>
            <w:r>
              <w:rPr>
                <w:b/>
              </w:rPr>
              <w:t>single</w:t>
            </w:r>
          </w:p>
        </w:tc>
        <w:tc>
          <w:tcPr>
            <w:tcW w:w="0" w:type="auto"/>
            <w:vAlign w:val="center"/>
          </w:tcPr>
          <w:p w:rsidR="000A156F" w:rsidRDefault="00A9721F">
            <w:pPr>
              <w:pStyle w:val="TableBodyText"/>
            </w:pPr>
            <w:r>
              <w:rPr>
                <w:b/>
              </w:rPr>
              <w:t>1</w:t>
            </w:r>
          </w:p>
        </w:tc>
      </w:tr>
      <w:tr w:rsidR="000A156F" w:rsidTr="000A156F">
        <w:tc>
          <w:tcPr>
            <w:tcW w:w="0" w:type="auto"/>
            <w:vAlign w:val="center"/>
          </w:tcPr>
          <w:p w:rsidR="000A156F" w:rsidRDefault="00A9721F">
            <w:pPr>
              <w:pStyle w:val="TableBodyText"/>
            </w:pPr>
            <w:r>
              <w:rPr>
                <w:b/>
              </w:rPr>
              <w:t>thick</w:t>
            </w:r>
          </w:p>
        </w:tc>
        <w:tc>
          <w:tcPr>
            <w:tcW w:w="0" w:type="auto"/>
            <w:vAlign w:val="center"/>
          </w:tcPr>
          <w:p w:rsidR="000A156F" w:rsidRDefault="00A9721F">
            <w:pPr>
              <w:pStyle w:val="TableBodyText"/>
            </w:pPr>
            <w:r>
              <w:rPr>
                <w:b/>
              </w:rPr>
              <w:t>2</w:t>
            </w:r>
          </w:p>
        </w:tc>
      </w:tr>
      <w:tr w:rsidR="000A156F" w:rsidTr="000A156F">
        <w:tc>
          <w:tcPr>
            <w:tcW w:w="0" w:type="auto"/>
            <w:vAlign w:val="center"/>
          </w:tcPr>
          <w:p w:rsidR="000A156F" w:rsidRDefault="00A9721F">
            <w:pPr>
              <w:pStyle w:val="TableBodyText"/>
            </w:pPr>
            <w:r>
              <w:rPr>
                <w:b/>
              </w:rPr>
              <w:t>double</w:t>
            </w:r>
          </w:p>
        </w:tc>
        <w:tc>
          <w:tcPr>
            <w:tcW w:w="0" w:type="auto"/>
            <w:vAlign w:val="center"/>
          </w:tcPr>
          <w:p w:rsidR="000A156F" w:rsidRDefault="00A9721F">
            <w:pPr>
              <w:pStyle w:val="TableBodyText"/>
            </w:pPr>
            <w:r>
              <w:rPr>
                <w:b/>
              </w:rPr>
              <w:t>3</w:t>
            </w:r>
          </w:p>
        </w:tc>
      </w:tr>
      <w:tr w:rsidR="000A156F" w:rsidTr="000A156F">
        <w:tc>
          <w:tcPr>
            <w:tcW w:w="0" w:type="auto"/>
            <w:vAlign w:val="center"/>
          </w:tcPr>
          <w:p w:rsidR="000A156F" w:rsidRDefault="00A9721F">
            <w:pPr>
              <w:pStyle w:val="TableBodyText"/>
            </w:pPr>
            <w:r>
              <w:rPr>
                <w:b/>
              </w:rPr>
              <w:t>dotDash</w:t>
            </w:r>
          </w:p>
        </w:tc>
        <w:tc>
          <w:tcPr>
            <w:tcW w:w="0" w:type="auto"/>
            <w:vAlign w:val="center"/>
          </w:tcPr>
          <w:p w:rsidR="000A156F" w:rsidRDefault="00A9721F">
            <w:pPr>
              <w:pStyle w:val="TableBodyText"/>
            </w:pPr>
            <w:r>
              <w:rPr>
                <w:b/>
              </w:rPr>
              <w:t>8</w:t>
            </w:r>
          </w:p>
        </w:tc>
      </w:tr>
      <w:tr w:rsidR="000A156F" w:rsidTr="000A156F">
        <w:tc>
          <w:tcPr>
            <w:tcW w:w="0" w:type="auto"/>
            <w:vAlign w:val="center"/>
          </w:tcPr>
          <w:p w:rsidR="000A156F" w:rsidRDefault="00A9721F">
            <w:pPr>
              <w:pStyle w:val="TableBodyText"/>
            </w:pPr>
            <w:r>
              <w:rPr>
                <w:b/>
              </w:rPr>
              <w:t>dotDotDash</w:t>
            </w:r>
          </w:p>
        </w:tc>
        <w:tc>
          <w:tcPr>
            <w:tcW w:w="0" w:type="auto"/>
            <w:vAlign w:val="center"/>
          </w:tcPr>
          <w:p w:rsidR="000A156F" w:rsidRDefault="00A9721F">
            <w:pPr>
              <w:pStyle w:val="TableBodyText"/>
            </w:pPr>
            <w:r>
              <w:rPr>
                <w:b/>
              </w:rPr>
              <w:t>9</w:t>
            </w:r>
          </w:p>
        </w:tc>
      </w:tr>
      <w:tr w:rsidR="000A156F" w:rsidTr="000A156F">
        <w:tc>
          <w:tcPr>
            <w:tcW w:w="0" w:type="auto"/>
            <w:vAlign w:val="center"/>
          </w:tcPr>
          <w:p w:rsidR="000A156F" w:rsidRDefault="00A9721F">
            <w:pPr>
              <w:pStyle w:val="TableBodyText"/>
            </w:pPr>
            <w:r>
              <w:rPr>
                <w:b/>
              </w:rPr>
              <w:t>triple</w:t>
            </w:r>
          </w:p>
        </w:tc>
        <w:tc>
          <w:tcPr>
            <w:tcW w:w="0" w:type="auto"/>
            <w:vAlign w:val="center"/>
          </w:tcPr>
          <w:p w:rsidR="000A156F" w:rsidRDefault="00A9721F">
            <w:pPr>
              <w:pStyle w:val="TableBodyText"/>
            </w:pPr>
            <w:r>
              <w:rPr>
                <w:b/>
              </w:rPr>
              <w:t>10</w:t>
            </w:r>
          </w:p>
        </w:tc>
      </w:tr>
      <w:tr w:rsidR="000A156F" w:rsidTr="000A156F">
        <w:tc>
          <w:tcPr>
            <w:tcW w:w="0" w:type="auto"/>
            <w:vAlign w:val="center"/>
          </w:tcPr>
          <w:p w:rsidR="000A156F" w:rsidRDefault="00A9721F">
            <w:pPr>
              <w:pStyle w:val="TableBodyText"/>
            </w:pPr>
            <w:r>
              <w:rPr>
                <w:b/>
              </w:rPr>
              <w:t>thinThickSmallGap</w:t>
            </w:r>
          </w:p>
        </w:tc>
        <w:tc>
          <w:tcPr>
            <w:tcW w:w="0" w:type="auto"/>
            <w:vAlign w:val="center"/>
          </w:tcPr>
          <w:p w:rsidR="000A156F" w:rsidRDefault="00A9721F">
            <w:pPr>
              <w:pStyle w:val="TableBodyText"/>
            </w:pPr>
            <w:r>
              <w:rPr>
                <w:b/>
              </w:rPr>
              <w:t>11</w:t>
            </w:r>
          </w:p>
        </w:tc>
      </w:tr>
      <w:tr w:rsidR="000A156F" w:rsidTr="000A156F">
        <w:tc>
          <w:tcPr>
            <w:tcW w:w="0" w:type="auto"/>
            <w:vAlign w:val="center"/>
          </w:tcPr>
          <w:p w:rsidR="000A156F" w:rsidRDefault="00A9721F">
            <w:pPr>
              <w:pStyle w:val="TableBodyText"/>
            </w:pPr>
            <w:r>
              <w:rPr>
                <w:b/>
              </w:rPr>
              <w:t>thickThinSmallGap</w:t>
            </w:r>
          </w:p>
        </w:tc>
        <w:tc>
          <w:tcPr>
            <w:tcW w:w="0" w:type="auto"/>
            <w:vAlign w:val="center"/>
          </w:tcPr>
          <w:p w:rsidR="000A156F" w:rsidRDefault="00A9721F">
            <w:pPr>
              <w:pStyle w:val="TableBodyText"/>
            </w:pPr>
            <w:r>
              <w:rPr>
                <w:b/>
              </w:rPr>
              <w:t>12</w:t>
            </w:r>
          </w:p>
        </w:tc>
      </w:tr>
      <w:tr w:rsidR="000A156F" w:rsidTr="000A156F">
        <w:tc>
          <w:tcPr>
            <w:tcW w:w="0" w:type="auto"/>
            <w:vAlign w:val="center"/>
          </w:tcPr>
          <w:p w:rsidR="000A156F" w:rsidRDefault="00A9721F">
            <w:pPr>
              <w:pStyle w:val="TableBodyText"/>
            </w:pPr>
            <w:r>
              <w:rPr>
                <w:b/>
              </w:rPr>
              <w:t>thinThickThinSmallGap</w:t>
            </w:r>
          </w:p>
        </w:tc>
        <w:tc>
          <w:tcPr>
            <w:tcW w:w="0" w:type="auto"/>
            <w:vAlign w:val="center"/>
          </w:tcPr>
          <w:p w:rsidR="000A156F" w:rsidRDefault="00A9721F">
            <w:pPr>
              <w:pStyle w:val="TableBodyText"/>
            </w:pPr>
            <w:r>
              <w:rPr>
                <w:b/>
              </w:rPr>
              <w:t>13</w:t>
            </w:r>
          </w:p>
        </w:tc>
      </w:tr>
      <w:tr w:rsidR="000A156F" w:rsidTr="000A156F">
        <w:tc>
          <w:tcPr>
            <w:tcW w:w="0" w:type="auto"/>
            <w:vAlign w:val="center"/>
          </w:tcPr>
          <w:p w:rsidR="000A156F" w:rsidRDefault="00A9721F">
            <w:pPr>
              <w:pStyle w:val="TableBodyText"/>
            </w:pPr>
            <w:r>
              <w:rPr>
                <w:b/>
              </w:rPr>
              <w:lastRenderedPageBreak/>
              <w:t>thinThickMediumGap</w:t>
            </w:r>
          </w:p>
        </w:tc>
        <w:tc>
          <w:tcPr>
            <w:tcW w:w="0" w:type="auto"/>
            <w:vAlign w:val="center"/>
          </w:tcPr>
          <w:p w:rsidR="000A156F" w:rsidRDefault="00A9721F">
            <w:pPr>
              <w:pStyle w:val="TableBodyText"/>
            </w:pPr>
            <w:r>
              <w:rPr>
                <w:b/>
              </w:rPr>
              <w:t>14</w:t>
            </w:r>
          </w:p>
        </w:tc>
      </w:tr>
      <w:tr w:rsidR="000A156F" w:rsidTr="000A156F">
        <w:tc>
          <w:tcPr>
            <w:tcW w:w="0" w:type="auto"/>
            <w:vAlign w:val="center"/>
          </w:tcPr>
          <w:p w:rsidR="000A156F" w:rsidRDefault="00A9721F">
            <w:pPr>
              <w:pStyle w:val="TableBodyText"/>
            </w:pPr>
            <w:r>
              <w:rPr>
                <w:b/>
              </w:rPr>
              <w:t>thickThinMediumGap</w:t>
            </w:r>
          </w:p>
        </w:tc>
        <w:tc>
          <w:tcPr>
            <w:tcW w:w="0" w:type="auto"/>
            <w:vAlign w:val="center"/>
          </w:tcPr>
          <w:p w:rsidR="000A156F" w:rsidRDefault="00A9721F">
            <w:pPr>
              <w:pStyle w:val="TableBodyText"/>
            </w:pPr>
            <w:r>
              <w:rPr>
                <w:b/>
              </w:rPr>
              <w:t>15</w:t>
            </w:r>
          </w:p>
        </w:tc>
      </w:tr>
      <w:tr w:rsidR="000A156F" w:rsidTr="000A156F">
        <w:tc>
          <w:tcPr>
            <w:tcW w:w="0" w:type="auto"/>
            <w:vAlign w:val="center"/>
          </w:tcPr>
          <w:p w:rsidR="000A156F" w:rsidRDefault="00A9721F">
            <w:pPr>
              <w:pStyle w:val="TableBodyText"/>
            </w:pPr>
            <w:r>
              <w:rPr>
                <w:b/>
              </w:rPr>
              <w:t>thinThickThinMediumGap</w:t>
            </w:r>
          </w:p>
        </w:tc>
        <w:tc>
          <w:tcPr>
            <w:tcW w:w="0" w:type="auto"/>
            <w:vAlign w:val="center"/>
          </w:tcPr>
          <w:p w:rsidR="000A156F" w:rsidRDefault="00A9721F">
            <w:pPr>
              <w:pStyle w:val="TableBodyText"/>
            </w:pPr>
            <w:r>
              <w:rPr>
                <w:b/>
              </w:rPr>
              <w:t>16</w:t>
            </w:r>
          </w:p>
        </w:tc>
      </w:tr>
      <w:tr w:rsidR="000A156F" w:rsidTr="000A156F">
        <w:tc>
          <w:tcPr>
            <w:tcW w:w="0" w:type="auto"/>
            <w:vAlign w:val="center"/>
          </w:tcPr>
          <w:p w:rsidR="000A156F" w:rsidRDefault="00A9721F">
            <w:pPr>
              <w:pStyle w:val="TableBodyText"/>
            </w:pPr>
            <w:r>
              <w:rPr>
                <w:b/>
              </w:rPr>
              <w:t>thinThickLargeGap</w:t>
            </w:r>
          </w:p>
        </w:tc>
        <w:tc>
          <w:tcPr>
            <w:tcW w:w="0" w:type="auto"/>
            <w:vAlign w:val="center"/>
          </w:tcPr>
          <w:p w:rsidR="000A156F" w:rsidRDefault="00A9721F">
            <w:pPr>
              <w:pStyle w:val="TableBodyText"/>
            </w:pPr>
            <w:r>
              <w:rPr>
                <w:b/>
              </w:rPr>
              <w:t>17</w:t>
            </w:r>
          </w:p>
        </w:tc>
      </w:tr>
      <w:tr w:rsidR="000A156F" w:rsidTr="000A156F">
        <w:tc>
          <w:tcPr>
            <w:tcW w:w="0" w:type="auto"/>
            <w:vAlign w:val="center"/>
          </w:tcPr>
          <w:p w:rsidR="000A156F" w:rsidRDefault="00A9721F">
            <w:pPr>
              <w:pStyle w:val="TableBodyText"/>
            </w:pPr>
            <w:r>
              <w:rPr>
                <w:b/>
              </w:rPr>
              <w:t>thickThinLargeGap</w:t>
            </w:r>
          </w:p>
        </w:tc>
        <w:tc>
          <w:tcPr>
            <w:tcW w:w="0" w:type="auto"/>
            <w:vAlign w:val="center"/>
          </w:tcPr>
          <w:p w:rsidR="000A156F" w:rsidRDefault="00A9721F">
            <w:pPr>
              <w:pStyle w:val="TableBodyText"/>
            </w:pPr>
            <w:r>
              <w:rPr>
                <w:b/>
              </w:rPr>
              <w:t>18</w:t>
            </w:r>
          </w:p>
        </w:tc>
      </w:tr>
      <w:tr w:rsidR="000A156F" w:rsidTr="000A156F">
        <w:tc>
          <w:tcPr>
            <w:tcW w:w="0" w:type="auto"/>
            <w:vAlign w:val="center"/>
          </w:tcPr>
          <w:p w:rsidR="000A156F" w:rsidRDefault="00A9721F">
            <w:pPr>
              <w:pStyle w:val="TableBodyText"/>
            </w:pPr>
            <w:r>
              <w:rPr>
                <w:b/>
              </w:rPr>
              <w:t>thinThickThinLargeGap</w:t>
            </w:r>
          </w:p>
        </w:tc>
        <w:tc>
          <w:tcPr>
            <w:tcW w:w="0" w:type="auto"/>
            <w:vAlign w:val="center"/>
          </w:tcPr>
          <w:p w:rsidR="000A156F" w:rsidRDefault="00A9721F">
            <w:pPr>
              <w:pStyle w:val="TableBodyText"/>
            </w:pPr>
            <w:r>
              <w:rPr>
                <w:b/>
              </w:rPr>
              <w:t>19</w:t>
            </w:r>
          </w:p>
        </w:tc>
      </w:tr>
      <w:tr w:rsidR="000A156F" w:rsidTr="000A156F">
        <w:tc>
          <w:tcPr>
            <w:tcW w:w="0" w:type="auto"/>
            <w:vAlign w:val="center"/>
          </w:tcPr>
          <w:p w:rsidR="000A156F" w:rsidRDefault="00A9721F">
            <w:pPr>
              <w:pStyle w:val="TableBodyText"/>
            </w:pPr>
            <w:r>
              <w:rPr>
                <w:b/>
              </w:rPr>
              <w:t>wave</w:t>
            </w:r>
          </w:p>
        </w:tc>
        <w:tc>
          <w:tcPr>
            <w:tcW w:w="0" w:type="auto"/>
            <w:vAlign w:val="center"/>
          </w:tcPr>
          <w:p w:rsidR="000A156F" w:rsidRDefault="00A9721F">
            <w:pPr>
              <w:pStyle w:val="TableBodyText"/>
            </w:pPr>
            <w:r>
              <w:rPr>
                <w:b/>
              </w:rPr>
              <w:t>20</w:t>
            </w:r>
          </w:p>
        </w:tc>
      </w:tr>
      <w:tr w:rsidR="000A156F" w:rsidTr="000A156F">
        <w:tc>
          <w:tcPr>
            <w:tcW w:w="0" w:type="auto"/>
            <w:vAlign w:val="center"/>
          </w:tcPr>
          <w:p w:rsidR="000A156F" w:rsidRDefault="00A9721F">
            <w:pPr>
              <w:pStyle w:val="TableBodyText"/>
            </w:pPr>
            <w:r>
              <w:rPr>
                <w:b/>
              </w:rPr>
              <w:t>doubleWave</w:t>
            </w:r>
          </w:p>
        </w:tc>
        <w:tc>
          <w:tcPr>
            <w:tcW w:w="0" w:type="auto"/>
            <w:vAlign w:val="center"/>
          </w:tcPr>
          <w:p w:rsidR="000A156F" w:rsidRDefault="00A9721F">
            <w:pPr>
              <w:pStyle w:val="TableBodyText"/>
            </w:pPr>
            <w:r>
              <w:rPr>
                <w:b/>
              </w:rPr>
              <w:t>21</w:t>
            </w:r>
          </w:p>
        </w:tc>
      </w:tr>
      <w:tr w:rsidR="000A156F" w:rsidTr="000A156F">
        <w:tc>
          <w:tcPr>
            <w:tcW w:w="0" w:type="auto"/>
            <w:vAlign w:val="center"/>
          </w:tcPr>
          <w:p w:rsidR="000A156F" w:rsidRDefault="00A9721F">
            <w:pPr>
              <w:pStyle w:val="TableBodyText"/>
            </w:pPr>
            <w:r>
              <w:rPr>
                <w:b/>
              </w:rPr>
              <w:t>dashSmallGap</w:t>
            </w:r>
          </w:p>
        </w:tc>
        <w:tc>
          <w:tcPr>
            <w:tcW w:w="0" w:type="auto"/>
            <w:vAlign w:val="center"/>
          </w:tcPr>
          <w:p w:rsidR="000A156F" w:rsidRDefault="00A9721F">
            <w:pPr>
              <w:pStyle w:val="TableBodyText"/>
            </w:pPr>
            <w:r>
              <w:rPr>
                <w:b/>
              </w:rPr>
              <w:t>22</w:t>
            </w:r>
          </w:p>
        </w:tc>
      </w:tr>
      <w:tr w:rsidR="000A156F" w:rsidTr="000A156F">
        <w:tc>
          <w:tcPr>
            <w:tcW w:w="0" w:type="auto"/>
            <w:vAlign w:val="center"/>
          </w:tcPr>
          <w:p w:rsidR="000A156F" w:rsidRDefault="00A9721F">
            <w:pPr>
              <w:pStyle w:val="TableBodyText"/>
            </w:pPr>
            <w:r>
              <w:rPr>
                <w:b/>
              </w:rPr>
              <w:t>dashDotStroked</w:t>
            </w:r>
          </w:p>
        </w:tc>
        <w:tc>
          <w:tcPr>
            <w:tcW w:w="0" w:type="auto"/>
            <w:vAlign w:val="center"/>
          </w:tcPr>
          <w:p w:rsidR="000A156F" w:rsidRDefault="00A9721F">
            <w:pPr>
              <w:pStyle w:val="TableBodyText"/>
            </w:pPr>
            <w:r>
              <w:rPr>
                <w:b/>
              </w:rPr>
              <w:t>23</w:t>
            </w:r>
          </w:p>
        </w:tc>
      </w:tr>
      <w:tr w:rsidR="000A156F" w:rsidTr="000A156F">
        <w:tc>
          <w:tcPr>
            <w:tcW w:w="0" w:type="auto"/>
            <w:vAlign w:val="center"/>
          </w:tcPr>
          <w:p w:rsidR="000A156F" w:rsidRDefault="00A9721F">
            <w:pPr>
              <w:pStyle w:val="TableBodyText"/>
            </w:pPr>
            <w:r>
              <w:rPr>
                <w:b/>
              </w:rPr>
              <w:t>threeDEmboss</w:t>
            </w:r>
          </w:p>
        </w:tc>
        <w:tc>
          <w:tcPr>
            <w:tcW w:w="0" w:type="auto"/>
            <w:vAlign w:val="center"/>
          </w:tcPr>
          <w:p w:rsidR="000A156F" w:rsidRDefault="00A9721F">
            <w:pPr>
              <w:pStyle w:val="TableBodyText"/>
            </w:pPr>
            <w:r>
              <w:rPr>
                <w:b/>
              </w:rPr>
              <w:t>24</w:t>
            </w:r>
          </w:p>
        </w:tc>
      </w:tr>
      <w:tr w:rsidR="000A156F" w:rsidTr="000A156F">
        <w:tc>
          <w:tcPr>
            <w:tcW w:w="0" w:type="auto"/>
            <w:vAlign w:val="center"/>
          </w:tcPr>
          <w:p w:rsidR="000A156F" w:rsidRDefault="00A9721F">
            <w:pPr>
              <w:pStyle w:val="TableBodyText"/>
            </w:pPr>
            <w:r>
              <w:rPr>
                <w:b/>
              </w:rPr>
              <w:t>threeDEngrave</w:t>
            </w:r>
          </w:p>
        </w:tc>
        <w:tc>
          <w:tcPr>
            <w:tcW w:w="0" w:type="auto"/>
            <w:vAlign w:val="center"/>
          </w:tcPr>
          <w:p w:rsidR="000A156F" w:rsidRDefault="00A9721F">
            <w:pPr>
              <w:pStyle w:val="TableBodyText"/>
            </w:pPr>
            <w:r>
              <w:rPr>
                <w:b/>
              </w:rPr>
              <w:t>25</w:t>
            </w:r>
          </w:p>
        </w:tc>
      </w:tr>
      <w:tr w:rsidR="000A156F" w:rsidTr="000A156F">
        <w:tc>
          <w:tcPr>
            <w:tcW w:w="0" w:type="auto"/>
            <w:vAlign w:val="center"/>
          </w:tcPr>
          <w:p w:rsidR="000A156F" w:rsidRDefault="00A9721F">
            <w:pPr>
              <w:pStyle w:val="TableBodyText"/>
            </w:pPr>
            <w:r>
              <w:rPr>
                <w:b/>
              </w:rPr>
              <w:t>outset</w:t>
            </w:r>
          </w:p>
        </w:tc>
        <w:tc>
          <w:tcPr>
            <w:tcW w:w="0" w:type="auto"/>
            <w:vAlign w:val="center"/>
          </w:tcPr>
          <w:p w:rsidR="000A156F" w:rsidRDefault="00A9721F">
            <w:pPr>
              <w:pStyle w:val="TableBodyText"/>
            </w:pPr>
            <w:r>
              <w:rPr>
                <w:b/>
              </w:rPr>
              <w:t>26</w:t>
            </w:r>
          </w:p>
        </w:tc>
      </w:tr>
      <w:tr w:rsidR="000A156F" w:rsidTr="000A156F">
        <w:tc>
          <w:tcPr>
            <w:tcW w:w="0" w:type="auto"/>
            <w:vAlign w:val="center"/>
          </w:tcPr>
          <w:p w:rsidR="000A156F" w:rsidRDefault="00A9721F">
            <w:pPr>
              <w:pStyle w:val="TableBodyText"/>
            </w:pPr>
            <w:r>
              <w:rPr>
                <w:b/>
              </w:rPr>
              <w:t>inset</w:t>
            </w:r>
          </w:p>
        </w:tc>
        <w:tc>
          <w:tcPr>
            <w:tcW w:w="0" w:type="auto"/>
            <w:vAlign w:val="center"/>
          </w:tcPr>
          <w:p w:rsidR="000A156F" w:rsidRDefault="00A9721F">
            <w:pPr>
              <w:pStyle w:val="TableBodyText"/>
            </w:pPr>
            <w:r>
              <w:rPr>
                <w:b/>
              </w:rPr>
              <w:t>27</w:t>
            </w:r>
          </w:p>
        </w:tc>
      </w:tr>
    </w:tbl>
    <w:p w:rsidR="000A156F" w:rsidRDefault="000A156F"/>
    <w:p w:rsidR="000A156F" w:rsidRDefault="00A9721F">
      <w:r>
        <w:t>If the borders have an equal weight, then the higher of the two on this precedence list shall be displayed:</w:t>
      </w:r>
    </w:p>
    <w:p w:rsidR="000A156F" w:rsidRDefault="00A9721F">
      <w:pPr>
        <w:pStyle w:val="ListParagraph"/>
        <w:numPr>
          <w:ilvl w:val="0"/>
          <w:numId w:val="59"/>
        </w:numPr>
        <w:contextualSpacing/>
      </w:pPr>
      <w:r>
        <w:rPr>
          <w:b/>
        </w:rPr>
        <w:t>single</w:t>
      </w:r>
    </w:p>
    <w:p w:rsidR="000A156F" w:rsidRDefault="00A9721F">
      <w:pPr>
        <w:pStyle w:val="ListParagraph"/>
        <w:numPr>
          <w:ilvl w:val="0"/>
          <w:numId w:val="59"/>
        </w:numPr>
        <w:contextualSpacing/>
      </w:pPr>
      <w:r>
        <w:rPr>
          <w:b/>
        </w:rPr>
        <w:t>thick</w:t>
      </w:r>
    </w:p>
    <w:p w:rsidR="000A156F" w:rsidRDefault="00A9721F">
      <w:pPr>
        <w:pStyle w:val="ListParagraph"/>
        <w:numPr>
          <w:ilvl w:val="0"/>
          <w:numId w:val="59"/>
        </w:numPr>
        <w:contextualSpacing/>
      </w:pPr>
      <w:r>
        <w:rPr>
          <w:b/>
        </w:rPr>
        <w:t>double</w:t>
      </w:r>
    </w:p>
    <w:p w:rsidR="000A156F" w:rsidRDefault="00A9721F">
      <w:pPr>
        <w:pStyle w:val="ListParagraph"/>
        <w:numPr>
          <w:ilvl w:val="0"/>
          <w:numId w:val="59"/>
        </w:numPr>
        <w:contextualSpacing/>
      </w:pPr>
      <w:r>
        <w:rPr>
          <w:b/>
        </w:rPr>
        <w:t>dotted</w:t>
      </w:r>
    </w:p>
    <w:p w:rsidR="000A156F" w:rsidRDefault="00A9721F">
      <w:pPr>
        <w:pStyle w:val="ListParagraph"/>
        <w:numPr>
          <w:ilvl w:val="0"/>
          <w:numId w:val="59"/>
        </w:numPr>
        <w:contextualSpacing/>
      </w:pPr>
      <w:r>
        <w:rPr>
          <w:b/>
        </w:rPr>
        <w:t>dashed</w:t>
      </w:r>
    </w:p>
    <w:p w:rsidR="000A156F" w:rsidRDefault="00A9721F">
      <w:pPr>
        <w:pStyle w:val="ListParagraph"/>
        <w:numPr>
          <w:ilvl w:val="0"/>
          <w:numId w:val="59"/>
        </w:numPr>
        <w:contextualSpacing/>
      </w:pPr>
      <w:r>
        <w:rPr>
          <w:b/>
        </w:rPr>
        <w:t>dotDash</w:t>
      </w:r>
    </w:p>
    <w:p w:rsidR="000A156F" w:rsidRDefault="00A9721F">
      <w:pPr>
        <w:pStyle w:val="ListParagraph"/>
        <w:numPr>
          <w:ilvl w:val="0"/>
          <w:numId w:val="59"/>
        </w:numPr>
        <w:contextualSpacing/>
      </w:pPr>
      <w:r>
        <w:rPr>
          <w:b/>
        </w:rPr>
        <w:t>dotDotDash</w:t>
      </w:r>
    </w:p>
    <w:p w:rsidR="000A156F" w:rsidRDefault="00A9721F">
      <w:pPr>
        <w:pStyle w:val="ListParagraph"/>
        <w:numPr>
          <w:ilvl w:val="0"/>
          <w:numId w:val="59"/>
        </w:numPr>
        <w:contextualSpacing/>
      </w:pPr>
      <w:r>
        <w:rPr>
          <w:b/>
        </w:rPr>
        <w:t>triple</w:t>
      </w:r>
    </w:p>
    <w:p w:rsidR="000A156F" w:rsidRDefault="00A9721F">
      <w:pPr>
        <w:pStyle w:val="ListParagraph"/>
        <w:numPr>
          <w:ilvl w:val="0"/>
          <w:numId w:val="59"/>
        </w:numPr>
        <w:contextualSpacing/>
      </w:pPr>
      <w:r>
        <w:rPr>
          <w:b/>
        </w:rPr>
        <w:t>thinThickSmallGap</w:t>
      </w:r>
    </w:p>
    <w:p w:rsidR="000A156F" w:rsidRDefault="00A9721F">
      <w:pPr>
        <w:pStyle w:val="ListParagraph"/>
        <w:numPr>
          <w:ilvl w:val="0"/>
          <w:numId w:val="59"/>
        </w:numPr>
        <w:contextualSpacing/>
      </w:pPr>
      <w:r>
        <w:rPr>
          <w:b/>
        </w:rPr>
        <w:t>thickThinSmallGap</w:t>
      </w:r>
    </w:p>
    <w:p w:rsidR="000A156F" w:rsidRDefault="00A9721F">
      <w:pPr>
        <w:pStyle w:val="ListParagraph"/>
        <w:numPr>
          <w:ilvl w:val="0"/>
          <w:numId w:val="59"/>
        </w:numPr>
        <w:contextualSpacing/>
      </w:pPr>
      <w:r>
        <w:rPr>
          <w:b/>
        </w:rPr>
        <w:t>thinThickThinSmallGap</w:t>
      </w:r>
    </w:p>
    <w:p w:rsidR="000A156F" w:rsidRDefault="00A9721F">
      <w:pPr>
        <w:pStyle w:val="ListParagraph"/>
        <w:numPr>
          <w:ilvl w:val="0"/>
          <w:numId w:val="59"/>
        </w:numPr>
        <w:contextualSpacing/>
      </w:pPr>
      <w:r>
        <w:rPr>
          <w:b/>
        </w:rPr>
        <w:t>thinThickMediumGap</w:t>
      </w:r>
    </w:p>
    <w:p w:rsidR="000A156F" w:rsidRDefault="00A9721F">
      <w:pPr>
        <w:pStyle w:val="ListParagraph"/>
        <w:numPr>
          <w:ilvl w:val="0"/>
          <w:numId w:val="59"/>
        </w:numPr>
        <w:contextualSpacing/>
      </w:pPr>
      <w:r>
        <w:rPr>
          <w:b/>
        </w:rPr>
        <w:t>thickThinMediumGap</w:t>
      </w:r>
    </w:p>
    <w:p w:rsidR="000A156F" w:rsidRDefault="00A9721F">
      <w:pPr>
        <w:pStyle w:val="ListParagraph"/>
        <w:numPr>
          <w:ilvl w:val="0"/>
          <w:numId w:val="59"/>
        </w:numPr>
        <w:contextualSpacing/>
      </w:pPr>
      <w:r>
        <w:rPr>
          <w:b/>
        </w:rPr>
        <w:t>thinThickThinMediumGap</w:t>
      </w:r>
    </w:p>
    <w:p w:rsidR="000A156F" w:rsidRDefault="00A9721F">
      <w:pPr>
        <w:pStyle w:val="ListParagraph"/>
        <w:numPr>
          <w:ilvl w:val="0"/>
          <w:numId w:val="59"/>
        </w:numPr>
        <w:contextualSpacing/>
      </w:pPr>
      <w:r>
        <w:rPr>
          <w:b/>
        </w:rPr>
        <w:t>thinThickLargeGap</w:t>
      </w:r>
    </w:p>
    <w:p w:rsidR="000A156F" w:rsidRDefault="00A9721F">
      <w:pPr>
        <w:pStyle w:val="ListParagraph"/>
        <w:numPr>
          <w:ilvl w:val="0"/>
          <w:numId w:val="59"/>
        </w:numPr>
        <w:contextualSpacing/>
      </w:pPr>
      <w:r>
        <w:rPr>
          <w:b/>
        </w:rPr>
        <w:t>thickThinLargeGap</w:t>
      </w:r>
    </w:p>
    <w:p w:rsidR="000A156F" w:rsidRDefault="00A9721F">
      <w:pPr>
        <w:pStyle w:val="ListParagraph"/>
        <w:numPr>
          <w:ilvl w:val="0"/>
          <w:numId w:val="59"/>
        </w:numPr>
        <w:contextualSpacing/>
      </w:pPr>
      <w:r>
        <w:rPr>
          <w:b/>
        </w:rPr>
        <w:t>thinThickThinLargeGap</w:t>
      </w:r>
    </w:p>
    <w:p w:rsidR="000A156F" w:rsidRDefault="00A9721F">
      <w:pPr>
        <w:pStyle w:val="ListParagraph"/>
        <w:numPr>
          <w:ilvl w:val="0"/>
          <w:numId w:val="59"/>
        </w:numPr>
        <w:contextualSpacing/>
      </w:pPr>
      <w:r>
        <w:rPr>
          <w:b/>
        </w:rPr>
        <w:t>wave</w:t>
      </w:r>
    </w:p>
    <w:p w:rsidR="000A156F" w:rsidRDefault="00A9721F">
      <w:pPr>
        <w:pStyle w:val="ListParagraph"/>
        <w:numPr>
          <w:ilvl w:val="0"/>
          <w:numId w:val="59"/>
        </w:numPr>
        <w:contextualSpacing/>
      </w:pPr>
      <w:r>
        <w:rPr>
          <w:b/>
        </w:rPr>
        <w:t>doubleWave</w:t>
      </w:r>
    </w:p>
    <w:p w:rsidR="000A156F" w:rsidRDefault="00A9721F">
      <w:pPr>
        <w:pStyle w:val="ListParagraph"/>
        <w:numPr>
          <w:ilvl w:val="0"/>
          <w:numId w:val="59"/>
        </w:numPr>
        <w:contextualSpacing/>
      </w:pPr>
      <w:r>
        <w:rPr>
          <w:b/>
        </w:rPr>
        <w:t>dashSmallGap</w:t>
      </w:r>
    </w:p>
    <w:p w:rsidR="000A156F" w:rsidRDefault="00A9721F">
      <w:pPr>
        <w:pStyle w:val="ListParagraph"/>
        <w:numPr>
          <w:ilvl w:val="0"/>
          <w:numId w:val="59"/>
        </w:numPr>
        <w:contextualSpacing/>
      </w:pPr>
      <w:r>
        <w:rPr>
          <w:b/>
        </w:rPr>
        <w:t>dashDotStroked</w:t>
      </w:r>
    </w:p>
    <w:p w:rsidR="000A156F" w:rsidRDefault="00A9721F">
      <w:pPr>
        <w:pStyle w:val="ListParagraph"/>
        <w:numPr>
          <w:ilvl w:val="0"/>
          <w:numId w:val="59"/>
        </w:numPr>
        <w:contextualSpacing/>
      </w:pPr>
      <w:r>
        <w:rPr>
          <w:b/>
        </w:rPr>
        <w:t>threeDEmboss</w:t>
      </w:r>
    </w:p>
    <w:p w:rsidR="000A156F" w:rsidRDefault="00A9721F">
      <w:pPr>
        <w:pStyle w:val="ListParagraph"/>
        <w:numPr>
          <w:ilvl w:val="0"/>
          <w:numId w:val="59"/>
        </w:numPr>
        <w:contextualSpacing/>
      </w:pPr>
      <w:r>
        <w:rPr>
          <w:b/>
        </w:rPr>
        <w:t>threeDEngrave</w:t>
      </w:r>
    </w:p>
    <w:p w:rsidR="000A156F" w:rsidRDefault="00A9721F">
      <w:pPr>
        <w:pStyle w:val="ListParagraph"/>
        <w:numPr>
          <w:ilvl w:val="0"/>
          <w:numId w:val="59"/>
        </w:numPr>
        <w:contextualSpacing/>
      </w:pPr>
      <w:r>
        <w:rPr>
          <w:b/>
        </w:rPr>
        <w:t>outset</w:t>
      </w:r>
    </w:p>
    <w:p w:rsidR="000A156F" w:rsidRDefault="00A9721F">
      <w:pPr>
        <w:pStyle w:val="ListParagraph"/>
        <w:numPr>
          <w:ilvl w:val="0"/>
          <w:numId w:val="59"/>
        </w:numPr>
      </w:pPr>
      <w:r>
        <w:rPr>
          <w:b/>
        </w:rPr>
        <w:t>inset</w:t>
      </w:r>
    </w:p>
    <w:p w:rsidR="000A156F" w:rsidRDefault="00A9721F">
      <w:r>
        <w:lastRenderedPageBreak/>
        <w:t>If the borders have an identical style, then each border color shall be assigned a brightness value as follows:</w:t>
      </w:r>
    </w:p>
    <w:p w:rsidR="000A156F" w:rsidRDefault="00A9721F">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93"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0A156F" w:rsidRDefault="00A9721F">
      <w:r>
        <w:t>The color with the smaller brightness value shall be displayed.</w:t>
      </w:r>
    </w:p>
    <w:p w:rsidR="000A156F" w:rsidRDefault="00A9721F">
      <w:r>
        <w:t>If the bor</w:t>
      </w:r>
      <w:r>
        <w:t>ders have an identical brightness value, then each border color shall be assigned a new brightness value as follows:</w:t>
      </w:r>
    </w:p>
    <w:p w:rsidR="000A156F" w:rsidRDefault="00A9721F">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94"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0A156F" w:rsidRDefault="00A9721F">
      <w:r>
        <w:t>The color with the smaller brightness value shall be displayed.</w:t>
      </w:r>
    </w:p>
    <w:p w:rsidR="000A156F" w:rsidRDefault="00A9721F">
      <w:r>
        <w:t>If the borders have an identical brightness value, then each border color</w:t>
      </w:r>
      <w:r>
        <w:t xml:space="preserve"> shall be assigned a brightness value as follows:</w:t>
      </w:r>
    </w:p>
    <w:p w:rsidR="000A156F" w:rsidRDefault="00A9721F">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5"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0A156F" w:rsidRDefault="00A9721F">
      <w:r>
        <w:t>The color with the smaller brightness value shall be displayed.</w:t>
      </w:r>
    </w:p>
    <w:p w:rsidR="000A156F" w:rsidRDefault="00A9721F">
      <w:r>
        <w:t>If the borders have an identical brightness value, then they are functionally identical, and the first border in reading order should be dis</w:t>
      </w:r>
      <w:r>
        <w:t>played.</w:t>
      </w:r>
    </w:p>
    <w:p w:rsidR="000A156F" w:rsidRDefault="00A9721F">
      <w:pPr>
        <w:pStyle w:val="Heading3"/>
      </w:pPr>
      <w:bookmarkStart w:id="360" w:name="section_1839bb55e06a4fd1b1813d89018a0151"/>
      <w:bookmarkStart w:id="361" w:name="_Toc181683206"/>
      <w:r>
        <w:t>Part 1 Section 17.4.67, tcFitText (Fit Text Within Cell)</w:t>
      </w:r>
      <w:bookmarkEnd w:id="360"/>
      <w:bookmarkEnd w:id="361"/>
      <w:r>
        <w:fldChar w:fldCharType="begin"/>
      </w:r>
      <w:r>
        <w:instrText xml:space="preserve"> XE "tcFitText (Fit Text Within Cell)"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A156F" w:rsidRDefault="00A9721F">
      <w:pPr>
        <w:pStyle w:val="Definition-Field"/>
      </w:pPr>
      <w:r>
        <w:t xml:space="preserve">a.   </w:t>
      </w:r>
      <w:r>
        <w:rPr>
          <w:i/>
        </w:rPr>
        <w:t>The standard defines no special behavior for a cell containing text with line breaks.</w:t>
      </w:r>
    </w:p>
    <w:p w:rsidR="000A156F" w:rsidRDefault="00A9721F">
      <w:pPr>
        <w:pStyle w:val="Definition-Field2"/>
      </w:pPr>
      <w:r>
        <w:t>In Word, the text in the first paragraph in the cell is fit</w:t>
      </w:r>
      <w:r>
        <w:t>, but subsequent paragraphs are not.</w:t>
      </w:r>
    </w:p>
    <w:p w:rsidR="000A156F" w:rsidRDefault="00A9721F">
      <w:pPr>
        <w:pStyle w:val="Definition-Field"/>
      </w:pPr>
      <w:r>
        <w:t xml:space="preserve">b.   </w:t>
      </w:r>
      <w:r>
        <w:rPr>
          <w:i/>
        </w:rPr>
        <w:t>The standard states that inter-character spacing shall be reduced to fit text.</w:t>
      </w:r>
    </w:p>
    <w:p w:rsidR="000A156F" w:rsidRDefault="00A9721F">
      <w:pPr>
        <w:pStyle w:val="Definition-Field2"/>
      </w:pPr>
      <w:r>
        <w:t>In Word, the horizontal size of non-space characters is also reduced to fit text.</w:t>
      </w:r>
    </w:p>
    <w:p w:rsidR="000A156F" w:rsidRDefault="00A9721F">
      <w:pPr>
        <w:pStyle w:val="Heading3"/>
      </w:pPr>
      <w:bookmarkStart w:id="362" w:name="section_57cf0f4610394fd089650ea4f8336fad"/>
      <w:bookmarkStart w:id="363" w:name="_Toc181683207"/>
      <w:r>
        <w:t>Part 1 Section 17.4.71, tcW (Preferred Table Cell Wid</w:t>
      </w:r>
      <w:r>
        <w:t>th)</w:t>
      </w:r>
      <w:bookmarkEnd w:id="362"/>
      <w:bookmarkEnd w:id="363"/>
      <w:r>
        <w:fldChar w:fldCharType="begin"/>
      </w:r>
      <w:r>
        <w:instrText xml:space="preserve"> XE "tcW (Preferred Table Cell Width)"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A156F" w:rsidRDefault="00A9721F">
      <w:pPr>
        <w:pStyle w:val="Definition-Field"/>
      </w:pPr>
      <w:r>
        <w:t xml:space="preserve">a.   </w:t>
      </w:r>
      <w:r>
        <w:rPr>
          <w:i/>
        </w:rPr>
        <w:t>The standard states that if the w attribute is 0, then preferred cell width is 0.</w:t>
      </w:r>
    </w:p>
    <w:p w:rsidR="000A156F" w:rsidRDefault="00A9721F">
      <w:pPr>
        <w:pStyle w:val="Definition-Field2"/>
      </w:pPr>
      <w:r>
        <w:t xml:space="preserve">In Word, if the w attribute is 0, then the </w:t>
      </w:r>
      <w:r>
        <w:t>type attribute is interpreted as auto.</w:t>
      </w:r>
    </w:p>
    <w:p w:rsidR="000A156F" w:rsidRDefault="00A9721F">
      <w:pPr>
        <w:pStyle w:val="Definition-Field"/>
      </w:pPr>
      <w:r>
        <w:t xml:space="preserve">b.   </w:t>
      </w:r>
      <w:r>
        <w:rPr>
          <w:i/>
        </w:rPr>
        <w:t>The standard does not specify the behavior when type is nil.</w:t>
      </w:r>
    </w:p>
    <w:p w:rsidR="000A156F" w:rsidRDefault="00A9721F">
      <w:pPr>
        <w:pStyle w:val="Definition-Field2"/>
      </w:pPr>
      <w:r>
        <w:t>Word interprets the type attribute value as auto when the type attribute has a value of nil.</w:t>
      </w:r>
    </w:p>
    <w:p w:rsidR="000A156F" w:rsidRDefault="00A9721F">
      <w:pPr>
        <w:pStyle w:val="Heading3"/>
      </w:pPr>
      <w:bookmarkStart w:id="364" w:name="section_d1912b80175449d4a2f610af9470ec26"/>
      <w:bookmarkStart w:id="365" w:name="_Toc181683208"/>
      <w:r>
        <w:t>Part 1 Section 17.4.72, textDirection (Table Cell Text Flo</w:t>
      </w:r>
      <w:r>
        <w:t>w Direction)</w:t>
      </w:r>
      <w:bookmarkEnd w:id="364"/>
      <w:bookmarkEnd w:id="365"/>
      <w:r>
        <w:fldChar w:fldCharType="begin"/>
      </w:r>
      <w:r>
        <w:instrText xml:space="preserve"> XE "textDirection (Table Cell Text Flow Direction)"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A156F" w:rsidRDefault="00A9721F">
      <w:pPr>
        <w:pStyle w:val="Definition-Field"/>
      </w:pPr>
      <w:r>
        <w:t xml:space="preserve">a.   </w:t>
      </w:r>
      <w:r>
        <w:rPr>
          <w:i/>
        </w:rPr>
        <w:t>The standard states that if the textDirection element is omitted and is not specified in table style, then the table cell shall inherit text flow direction from the parent section.</w:t>
      </w:r>
    </w:p>
    <w:p w:rsidR="000A156F" w:rsidRDefault="00A9721F">
      <w:pPr>
        <w:pStyle w:val="Definition-Field2"/>
      </w:pPr>
      <w:r>
        <w:lastRenderedPageBreak/>
        <w:t>In</w:t>
      </w:r>
      <w:r>
        <w:t xml:space="preserve"> Word, if the textDirection element is omitted and is not specified in table style, then the default text flow direction is lrTb.</w:t>
      </w:r>
    </w:p>
    <w:p w:rsidR="000A156F" w:rsidRDefault="00A9721F">
      <w:pPr>
        <w:pStyle w:val="Heading3"/>
      </w:pPr>
      <w:bookmarkStart w:id="366" w:name="section_b6367788d039424fbc44c119b62a5238"/>
      <w:bookmarkStart w:id="367" w:name="_Toc181683209"/>
      <w:r>
        <w:t>Part 1 Section 17.4.73, tl2br (Table Cell Top Left to Bottom Right Diagonal Border)</w:t>
      </w:r>
      <w:bookmarkEnd w:id="366"/>
      <w:bookmarkEnd w:id="367"/>
      <w:r>
        <w:fldChar w:fldCharType="begin"/>
      </w:r>
      <w:r>
        <w:instrText xml:space="preserve"> XE "tl2br (Table Cell Top Left to Bottom R</w:instrText>
      </w:r>
      <w:r>
        <w:instrText xml:space="preserve">ight Diagonal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The standard places no restrictions on the border style used in the val attribute.</w:t>
      </w:r>
    </w:p>
    <w:p w:rsidR="000A156F" w:rsidRDefault="00A9721F">
      <w:pPr>
        <w:pStyle w:val="Definition-Field2"/>
      </w:pPr>
      <w:r>
        <w:t>Word displays diagonal cell borders as a single solid lin</w:t>
      </w:r>
      <w:r>
        <w:t>e, except borders with dotted, dashed, dashSmallGap, dotDash, dotDotDash, and double border styles.</w:t>
      </w:r>
    </w:p>
    <w:p w:rsidR="000A156F" w:rsidRDefault="00A9721F">
      <w:pPr>
        <w:pStyle w:val="Definition-Field"/>
      </w:pPr>
      <w:r>
        <w:t xml:space="preserve">b.   </w:t>
      </w:r>
      <w:r>
        <w:rPr>
          <w:i/>
        </w:rPr>
        <w:t>The standard states that if this element is omitted then the table's border settings may be used.</w:t>
      </w:r>
    </w:p>
    <w:p w:rsidR="000A156F" w:rsidRDefault="00A9721F">
      <w:pPr>
        <w:pStyle w:val="Definition-Field2"/>
      </w:pPr>
      <w:r>
        <w:t>In Word, if this element is omitted, then the table s</w:t>
      </w:r>
      <w:r>
        <w:t>tyles border is used.</w:t>
      </w:r>
    </w:p>
    <w:p w:rsidR="000A156F" w:rsidRDefault="00A9721F">
      <w:pPr>
        <w:pStyle w:val="Heading3"/>
      </w:pPr>
      <w:bookmarkStart w:id="368" w:name="section_35e1cc297dc64e00a86e1aff557190a7"/>
      <w:bookmarkStart w:id="369" w:name="_Toc181683210"/>
      <w:r>
        <w:t>Part 1 Section 17.4.74, top (Table Cell Top Border)</w:t>
      </w:r>
      <w:bookmarkEnd w:id="368"/>
      <w:bookmarkEnd w:id="369"/>
      <w:r>
        <w:fldChar w:fldCharType="begin"/>
      </w:r>
      <w:r>
        <w:instrText xml:space="preserve"> XE "top (Table Cell Top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370" w:name="section_27237d22be604bdfa7f2e50b688877bd"/>
      <w:bookmarkStart w:id="371" w:name="_Toc181683211"/>
      <w:r>
        <w:t xml:space="preserve">Part 1 </w:t>
      </w:r>
      <w:r>
        <w:t>Section 17.4.75, top (Table Cell Top Margin Default)</w:t>
      </w:r>
      <w:bookmarkEnd w:id="370"/>
      <w:bookmarkEnd w:id="371"/>
      <w:r>
        <w:fldChar w:fldCharType="begin"/>
      </w:r>
      <w:r>
        <w:instrText xml:space="preserve"> XE "top (Table Cell Top Margin Default)"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446a4220fe8401bb11fa2d4933ee83c">
        <w:r>
          <w:rPr>
            <w:rStyle w:val="Hyperlink"/>
          </w:rPr>
          <w:t>top, §</w:t>
        </w:r>
        <w:r>
          <w:rPr>
            <w:rStyle w:val="Hyperlink"/>
          </w:rPr>
          <w:t>17.4.77(a)</w:t>
        </w:r>
      </w:hyperlink>
      <w:r>
        <w:rPr>
          <w:i/>
        </w:rPr>
        <w:t>.</w:t>
      </w:r>
    </w:p>
    <w:p w:rsidR="000A156F" w:rsidRDefault="00A9721F">
      <w:pPr>
        <w:pStyle w:val="Heading3"/>
      </w:pPr>
      <w:bookmarkStart w:id="372" w:name="section_4d15f8f654514b1fa1cb481e018c3cef"/>
      <w:bookmarkStart w:id="373" w:name="_Toc181683212"/>
      <w:r>
        <w:t>Part 1 Section 17.4.76, top (Table Top Border)</w:t>
      </w:r>
      <w:bookmarkEnd w:id="372"/>
      <w:bookmarkEnd w:id="373"/>
      <w:r>
        <w:fldChar w:fldCharType="begin"/>
      </w:r>
      <w:r>
        <w:instrText xml:space="preserve"> XE "top (Table Top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 xml:space="preserve">bar, </w:t>
        </w:r>
        <w:r>
          <w:rPr>
            <w:rStyle w:val="Hyperlink"/>
          </w:rPr>
          <w:t>§17.3.1.4(a-c)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374" w:name="section_8446a4220fe8401bb11fa2d4933ee83c"/>
      <w:bookmarkStart w:id="375" w:name="_Toc181683213"/>
      <w:r>
        <w:t>Part 1 Section 17.4.77, top (Table Cell Top Margin Exception)</w:t>
      </w:r>
      <w:bookmarkEnd w:id="374"/>
      <w:bookmarkEnd w:id="375"/>
      <w:r>
        <w:fldChar w:fldCharType="begin"/>
      </w:r>
      <w:r>
        <w:instrText xml:space="preserve"> XE "top (Ta</w:instrText>
      </w:r>
      <w:r>
        <w:instrText xml:space="preserve">ble Cell Top Margin Exception)" </w:instrText>
      </w:r>
      <w:r>
        <w:fldChar w:fldCharType="end"/>
      </w:r>
    </w:p>
    <w:p w:rsidR="000A156F" w:rsidRDefault="00A9721F">
      <w:pPr>
        <w:pStyle w:val="Definition-Field"/>
      </w:pPr>
      <w:r>
        <w:t xml:space="preserve">a.   </w:t>
      </w:r>
      <w:r>
        <w:rPr>
          <w:i/>
        </w:rPr>
        <w:t>The standard states that a 'type' attribute value of "nil" specifies that the current width is 0.</w:t>
      </w:r>
    </w:p>
    <w:p w:rsidR="000A156F" w:rsidRDefault="00A9721F">
      <w:pPr>
        <w:pStyle w:val="Definition-Field2"/>
      </w:pPr>
      <w:r>
        <w:t>Word ignores this element when the 'type' attribute has a value of "nil".</w:t>
      </w:r>
    </w:p>
    <w:p w:rsidR="000A156F" w:rsidRDefault="00A9721F">
      <w:pPr>
        <w:pStyle w:val="Heading3"/>
      </w:pPr>
      <w:bookmarkStart w:id="376" w:name="section_cc8ad504f84b4d8bac1d808e6f7b2a31"/>
      <w:bookmarkStart w:id="377" w:name="_Toc181683214"/>
      <w:r>
        <w:t>Part 1 Section 17.4.78, tr (Table Row)</w:t>
      </w:r>
      <w:bookmarkEnd w:id="376"/>
      <w:bookmarkEnd w:id="377"/>
      <w:r>
        <w:fldChar w:fldCharType="begin"/>
      </w:r>
      <w:r>
        <w:instrText xml:space="preserve"> XE "t</w:instrText>
      </w:r>
      <w:r>
        <w:instrText xml:space="preserve">r (Table Row)"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Definition-Field"/>
      </w:pPr>
      <w:r>
        <w:t xml:space="preserve">a.   </w:t>
      </w:r>
      <w:r>
        <w:rPr>
          <w:i/>
        </w:rPr>
        <w:t>The standard states that if a table cell does not contain at least one child, then the file is corrupt.</w:t>
      </w:r>
    </w:p>
    <w:p w:rsidR="000A156F" w:rsidRDefault="00A9721F">
      <w:pPr>
        <w:pStyle w:val="Definition-Field2"/>
      </w:pPr>
      <w:r>
        <w:t>In Word, if a table row does not contain at least one child other than the row properties, then the file is corrupt.</w:t>
      </w:r>
    </w:p>
    <w:p w:rsidR="000A156F" w:rsidRDefault="00A9721F">
      <w:pPr>
        <w:pStyle w:val="Heading3"/>
      </w:pPr>
      <w:bookmarkStart w:id="378" w:name="section_e029a4373f4d408c945eb1b52dcb04b3"/>
      <w:bookmarkStart w:id="379" w:name="_Toc181683215"/>
      <w:r>
        <w:t>Part</w:t>
      </w:r>
      <w:r>
        <w:t xml:space="preserve"> 1 Section 17.4.79, tr2bl (Table Cell Top Right to Bottom Left Diagonal Border)</w:t>
      </w:r>
      <w:bookmarkEnd w:id="378"/>
      <w:bookmarkEnd w:id="379"/>
      <w:r>
        <w:fldChar w:fldCharType="begin"/>
      </w:r>
      <w:r>
        <w:instrText xml:space="preserve"> XE "tr2bl (Table Cell Top Right to Bottom Left Diagonal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The standard place</w:t>
      </w:r>
      <w:r>
        <w:rPr>
          <w:i/>
        </w:rPr>
        <w:t>s no restrictions on the border style used in the val attribute.</w:t>
      </w:r>
    </w:p>
    <w:p w:rsidR="000A156F" w:rsidRDefault="00A9721F">
      <w:pPr>
        <w:pStyle w:val="Definition-Field2"/>
      </w:pPr>
      <w:r>
        <w:lastRenderedPageBreak/>
        <w:t>Word displays diagonal cell borders as a single solid line, except borders with dotted, dashed, dashSmallGap, dotDash, dotDotDash, and double border styles.</w:t>
      </w:r>
    </w:p>
    <w:p w:rsidR="000A156F" w:rsidRDefault="00A9721F">
      <w:pPr>
        <w:pStyle w:val="Definition-Field"/>
      </w:pPr>
      <w:r>
        <w:t xml:space="preserve">b.   </w:t>
      </w:r>
      <w:r>
        <w:rPr>
          <w:i/>
        </w:rPr>
        <w:t>The standard states that if t</w:t>
      </w:r>
      <w:r>
        <w:rPr>
          <w:i/>
        </w:rPr>
        <w:t>his element is omitted then the table's border settings may be used.</w:t>
      </w:r>
    </w:p>
    <w:p w:rsidR="000A156F" w:rsidRDefault="00A9721F">
      <w:pPr>
        <w:pStyle w:val="Definition-Field2"/>
      </w:pPr>
      <w:r>
        <w:t>In Word, if this element is omitted, then the table styles border is used.</w:t>
      </w:r>
    </w:p>
    <w:p w:rsidR="000A156F" w:rsidRDefault="00A9721F">
      <w:pPr>
        <w:pStyle w:val="Heading3"/>
      </w:pPr>
      <w:bookmarkStart w:id="380" w:name="section_5919e0bde6ce477e8d660e5282f5c506"/>
      <w:bookmarkStart w:id="381" w:name="_Toc181683216"/>
      <w:r>
        <w:t>Part 1 Section 17.4.80, trHeight (Table Row Height)</w:t>
      </w:r>
      <w:bookmarkEnd w:id="380"/>
      <w:bookmarkEnd w:id="381"/>
      <w:r>
        <w:fldChar w:fldCharType="begin"/>
      </w:r>
      <w:r>
        <w:instrText xml:space="preserve"> XE "trHeight (Table Row Height)" </w:instrText>
      </w:r>
      <w:r>
        <w:fldChar w:fldCharType="end"/>
      </w:r>
    </w:p>
    <w:p w:rsidR="000A156F" w:rsidRDefault="00A9721F">
      <w:pPr>
        <w:pStyle w:val="Definition-Field2"/>
      </w:pPr>
      <w:r>
        <w:rPr>
          <w:i/>
        </w:rPr>
        <w:t>For additional notes tha</w:t>
      </w:r>
      <w:r>
        <w:rPr>
          <w:i/>
        </w:rPr>
        <w:t xml:space="preserve">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A156F" w:rsidRDefault="00A9721F">
      <w:pPr>
        <w:pStyle w:val="Definition-Field"/>
      </w:pPr>
      <w:r>
        <w:t xml:space="preserve">a.   </w:t>
      </w:r>
      <w:r>
        <w:rPr>
          <w:i/>
        </w:rPr>
        <w:t>The standard stat</w:t>
      </w:r>
      <w:r>
        <w:rPr>
          <w:i/>
        </w:rPr>
        <w:t>es that if the hRule attribute is omitted, then its value is assumed to be auto.</w:t>
      </w:r>
    </w:p>
    <w:p w:rsidR="000A156F" w:rsidRDefault="00A9721F">
      <w:pPr>
        <w:pStyle w:val="Definition-Field2"/>
      </w:pPr>
      <w:r>
        <w:t>In Word, if the hRule attribute is omitted, then its value is assumed to be atLeast.</w:t>
      </w:r>
    </w:p>
    <w:p w:rsidR="000A156F" w:rsidRDefault="00A9721F">
      <w:pPr>
        <w:pStyle w:val="Definition-Field"/>
      </w:pPr>
      <w:r>
        <w:t xml:space="preserve">b.   </w:t>
      </w:r>
      <w:r>
        <w:rPr>
          <w:i/>
        </w:rPr>
        <w:t xml:space="preserve">The standard states that the values of the val attribute are defined by the XML </w:t>
      </w:r>
      <w:r>
        <w:rPr>
          <w:i/>
        </w:rPr>
        <w:t>Schema unsignedLong datatype.</w:t>
      </w:r>
    </w:p>
    <w:p w:rsidR="000A156F" w:rsidRDefault="00A9721F">
      <w:pPr>
        <w:pStyle w:val="Definition-Field2"/>
      </w:pPr>
      <w:r>
        <w:t>Word defines the values of this attribute with the XML Schema unsignedInt datatype, with a minimum value of 0 and a maximum value of 31680.</w:t>
      </w:r>
    </w:p>
    <w:p w:rsidR="000A156F" w:rsidRDefault="00A9721F">
      <w:pPr>
        <w:pStyle w:val="Definition-Field"/>
      </w:pPr>
      <w:r>
        <w:t xml:space="preserve">c.   </w:t>
      </w:r>
      <w:r>
        <w:rPr>
          <w:i/>
        </w:rPr>
        <w:t>The standard allows the hRule attribute to be set to exact while the val attribut</w:t>
      </w:r>
      <w:r>
        <w:rPr>
          <w:i/>
        </w:rPr>
        <w:t>e is set to 0.</w:t>
      </w:r>
    </w:p>
    <w:p w:rsidR="000A156F" w:rsidRDefault="00A9721F">
      <w:pPr>
        <w:pStyle w:val="Definition-Field2"/>
      </w:pPr>
      <w:r>
        <w:t>Word requires that if the hRule attribute is set to exact, then the val attribute must not be 0.</w:t>
      </w:r>
    </w:p>
    <w:p w:rsidR="000A156F" w:rsidRDefault="00A9721F">
      <w:pPr>
        <w:pStyle w:val="Definition-Field"/>
      </w:pPr>
      <w:r>
        <w:t xml:space="preserve">d.   </w:t>
      </w:r>
      <w:r>
        <w:rPr>
          <w:i/>
        </w:rPr>
        <w:t>The standard states that if the hRule attribute is exact, the row height must be exactly as specified.</w:t>
      </w:r>
    </w:p>
    <w:p w:rsidR="000A156F" w:rsidRDefault="00A9721F">
      <w:pPr>
        <w:pStyle w:val="Definition-Field2"/>
      </w:pPr>
      <w:r>
        <w:t>In Word, if the hRule attribute is e</w:t>
      </w:r>
      <w:r>
        <w:t>xact, Word sets the row height to the exact height plus the largest bottom cell padding of any cell in the row.</w:t>
      </w:r>
    </w:p>
    <w:p w:rsidR="000A156F" w:rsidRDefault="00A9721F">
      <w:pPr>
        <w:pStyle w:val="Heading3"/>
      </w:pPr>
      <w:bookmarkStart w:id="382" w:name="section_d42f12d5178c4a6f8107e15b5b27bce8"/>
      <w:bookmarkStart w:id="383" w:name="_Toc181683217"/>
      <w:r>
        <w:t>Part 1 Section 17.4.83, vAlign (Table Cell Vertical Alignment)</w:t>
      </w:r>
      <w:bookmarkEnd w:id="382"/>
      <w:bookmarkEnd w:id="383"/>
      <w:r>
        <w:fldChar w:fldCharType="begin"/>
      </w:r>
      <w:r>
        <w:instrText xml:space="preserve"> XE "vAlign (Table Cell Vertical Alignment)" </w:instrText>
      </w:r>
      <w:r>
        <w:fldChar w:fldCharType="end"/>
      </w:r>
    </w:p>
    <w:p w:rsidR="000A156F" w:rsidRDefault="00A9721F">
      <w:pPr>
        <w:pStyle w:val="Definition-Field"/>
      </w:pPr>
      <w:r>
        <w:t xml:space="preserve">a.   </w:t>
      </w:r>
      <w:r>
        <w:rPr>
          <w:i/>
        </w:rPr>
        <w:t xml:space="preserve">The standard states that the </w:t>
      </w:r>
      <w:r>
        <w:rPr>
          <w:i/>
        </w:rPr>
        <w:t>values of the val attribute are defined by the ST_VerticalJc simple type.</w:t>
      </w:r>
    </w:p>
    <w:p w:rsidR="000A156F" w:rsidRDefault="00A9721F">
      <w:pPr>
        <w:pStyle w:val="Definition-Field2"/>
      </w:pPr>
      <w:r>
        <w:t>Word only allows the values top, center, and bottom.</w:t>
      </w:r>
    </w:p>
    <w:p w:rsidR="000A156F" w:rsidRDefault="00A9721F">
      <w:pPr>
        <w:pStyle w:val="Heading3"/>
      </w:pPr>
      <w:bookmarkStart w:id="384" w:name="section_b23f8fd990cf47bea43371f702932446"/>
      <w:bookmarkStart w:id="385" w:name="_Toc181683218"/>
      <w:r>
        <w:t>Part 1 Section 17.4.84, vMerge (Vertically Merged Cell)</w:t>
      </w:r>
      <w:bookmarkEnd w:id="384"/>
      <w:bookmarkEnd w:id="385"/>
      <w:r>
        <w:fldChar w:fldCharType="begin"/>
      </w:r>
      <w:r>
        <w:instrText xml:space="preserve"> XE "vMerge (Vertically Merged Cell)" </w:instrText>
      </w:r>
      <w:r>
        <w:fldChar w:fldCharType="end"/>
      </w:r>
    </w:p>
    <w:p w:rsidR="000A156F" w:rsidRDefault="00A9721F">
      <w:pPr>
        <w:pStyle w:val="Definition-Field2"/>
      </w:pPr>
      <w:r>
        <w:rPr>
          <w:i/>
        </w:rPr>
        <w:t>For additional notes that apply t</w:t>
      </w:r>
      <w:r>
        <w:rPr>
          <w:i/>
        </w:rPr>
        <w:t xml:space="preserve">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A156F" w:rsidRDefault="00A9721F">
      <w:pPr>
        <w:pStyle w:val="Heading3"/>
      </w:pPr>
      <w:bookmarkStart w:id="386" w:name="section_8141efd348254481b184b67376135071"/>
      <w:bookmarkStart w:id="387" w:name="_Toc181683219"/>
      <w:r>
        <w:t>Part 1 Section 17.4.85, wAfter (P</w:t>
      </w:r>
      <w:r>
        <w:t>referred Width After Table Row)</w:t>
      </w:r>
      <w:bookmarkEnd w:id="386"/>
      <w:bookmarkEnd w:id="387"/>
      <w:r>
        <w:fldChar w:fldCharType="begin"/>
      </w:r>
      <w:r>
        <w:instrText xml:space="preserve"> XE "wAfter (Preferred Width After Table Row)"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A156F" w:rsidRDefault="00A9721F">
      <w:pPr>
        <w:pStyle w:val="Heading3"/>
      </w:pPr>
      <w:bookmarkStart w:id="388" w:name="section_94462b68e41c45288c011a5a370b8590"/>
      <w:bookmarkStart w:id="389" w:name="_Toc181683220"/>
      <w:r>
        <w:t>Part 1 Section 17.4.86, wBefore (Preferred Width Before Table Row)</w:t>
      </w:r>
      <w:bookmarkEnd w:id="388"/>
      <w:bookmarkEnd w:id="389"/>
      <w:r>
        <w:fldChar w:fldCharType="begin"/>
      </w:r>
      <w:r>
        <w:instrText xml:space="preserve"> XE "wBefore (Preferred Wi</w:instrText>
      </w:r>
      <w:r>
        <w:instrText xml:space="preserve">dth Before Table Row)"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0A156F" w:rsidRDefault="00A9721F">
      <w:pPr>
        <w:pStyle w:val="Definition-Field"/>
      </w:pPr>
      <w:r>
        <w:t xml:space="preserve">a.   </w:t>
      </w:r>
      <w:r>
        <w:rPr>
          <w:i/>
        </w:rPr>
        <w:t>The standard states that the wBefore element specifies the width for the grid columns specified in gridAfter.</w:t>
      </w:r>
    </w:p>
    <w:p w:rsidR="000A156F" w:rsidRDefault="00A9721F">
      <w:pPr>
        <w:pStyle w:val="Definition-Field2"/>
      </w:pPr>
      <w:r>
        <w:t>In Word, the wBefore element spe</w:t>
      </w:r>
      <w:r>
        <w:t>cifies the width for the grid columns specified in gridBefore.</w:t>
      </w:r>
    </w:p>
    <w:p w:rsidR="000A156F" w:rsidRDefault="00A9721F">
      <w:pPr>
        <w:pStyle w:val="Heading3"/>
      </w:pPr>
      <w:bookmarkStart w:id="390" w:name="section_d9b4a6f68b0743c587f234c1238911a4"/>
      <w:bookmarkStart w:id="391" w:name="_Toc181683221"/>
      <w:r>
        <w:lastRenderedPageBreak/>
        <w:t>Part 1 Section 17.4.87, Table Measurement (CT_TblWidth)</w:t>
      </w:r>
      <w:bookmarkEnd w:id="390"/>
      <w:bookmarkEnd w:id="391"/>
      <w:r>
        <w:fldChar w:fldCharType="begin"/>
      </w:r>
      <w:r>
        <w:instrText xml:space="preserve"> XE "Table Measurement (CT_TblWidth)"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0A156F" w:rsidRDefault="00A9721F">
      <w:pPr>
        <w:pStyle w:val="Definition-Field"/>
      </w:pPr>
      <w:r>
        <w:t xml:space="preserve">a.   </w:t>
      </w:r>
      <w:r>
        <w:rPr>
          <w:i/>
        </w:rPr>
        <w:t>The standard does not describe how to interpret the w attribute when the type attribute is set to “pct” and the value of w does not contain a percent sign.</w:t>
      </w:r>
    </w:p>
    <w:p w:rsidR="000A156F" w:rsidRDefault="00A9721F">
      <w:pPr>
        <w:pStyle w:val="Definition-Field2"/>
      </w:pPr>
      <w:r>
        <w:t xml:space="preserve">In Word, if the type </w:t>
      </w:r>
      <w:r>
        <w:t>attribute is equal to "pct" and the value of the w attribute does not contain a percent sign, the value of the w attribute shall be interpreted as fiftieths of a percent.</w:t>
      </w:r>
    </w:p>
    <w:p w:rsidR="000A156F" w:rsidRDefault="00A9721F">
      <w:pPr>
        <w:pStyle w:val="Definition-Field"/>
      </w:pPr>
      <w:r>
        <w:t xml:space="preserve">b.   </w:t>
      </w:r>
      <w:r>
        <w:rPr>
          <w:i/>
        </w:rPr>
        <w:t>The standard does not specify the expected behavior when the 'w' attribute conta</w:t>
      </w:r>
      <w:r>
        <w:rPr>
          <w:i/>
        </w:rPr>
        <w:t>ins a percent sign, and the 'type' attribute is not equal to "pct".</w:t>
      </w:r>
    </w:p>
    <w:p w:rsidR="000A156F" w:rsidRDefault="00A9721F">
      <w:pPr>
        <w:pStyle w:val="Definition-Field2"/>
      </w:pPr>
      <w:r>
        <w:t>In Word, when the value of 'w' contains a percent sign, then the 'type' attribute is ignored and the value is interpreted as whole percentage points.</w:t>
      </w:r>
    </w:p>
    <w:p w:rsidR="000A156F" w:rsidRDefault="00A9721F">
      <w:pPr>
        <w:pStyle w:val="Definition-Field"/>
      </w:pPr>
      <w:r>
        <w:t xml:space="preserve">c.   </w:t>
      </w:r>
      <w:r>
        <w:rPr>
          <w:i/>
        </w:rPr>
        <w:t>The standard states that the valu</w:t>
      </w:r>
      <w:r>
        <w:rPr>
          <w:i/>
        </w:rPr>
        <w:t>es of the w attribute are defined by ST_DecimalNumberOrPercent.</w:t>
      </w:r>
    </w:p>
    <w:p w:rsidR="000A156F" w:rsidRDefault="00A9721F">
      <w:pPr>
        <w:pStyle w:val="Definition-Field2"/>
      </w:pPr>
      <w:r>
        <w:t>Word expects w to be XML Schema short datatype, not including the percent sign.</w:t>
      </w:r>
    </w:p>
    <w:p w:rsidR="000A156F" w:rsidRDefault="00A9721F">
      <w:pPr>
        <w:pStyle w:val="Definition-Field"/>
      </w:pPr>
      <w:r>
        <w:t xml:space="preserve">d.   </w:t>
      </w:r>
      <w:r>
        <w:rPr>
          <w:i/>
        </w:rPr>
        <w:t>The standard states that the values of the w attribute are defined by ST_DecimalNumberOrPercent.</w:t>
      </w:r>
    </w:p>
    <w:p w:rsidR="000A156F" w:rsidRDefault="00A9721F">
      <w:pPr>
        <w:pStyle w:val="Definition-Field2"/>
      </w:pPr>
      <w:r>
        <w:t>Word expec</w:t>
      </w:r>
      <w:r>
        <w:t>ts the value of the w attribute to be greater than or equal to zero for all elements of type CT_TblWidth, except tblInd.</w:t>
      </w:r>
    </w:p>
    <w:p w:rsidR="000A156F" w:rsidRDefault="00A9721F">
      <w:pPr>
        <w:pStyle w:val="Definition-Field"/>
        <w:rPr>
          <w:i/>
        </w:rPr>
      </w:pPr>
      <w:r>
        <w:t>e.</w:t>
      </w:r>
      <w:r>
        <w:tab/>
      </w:r>
      <w:r>
        <w:rPr>
          <w:i/>
        </w:rPr>
        <w:t>The standard does not specify in ST_UniversalMeasure that the value of the ‘w’ attribute must be preserved in its format with a suff</w:t>
      </w:r>
      <w:r>
        <w:rPr>
          <w:i/>
        </w:rPr>
        <w:t>ix (mm|cm|in|pt|pc|pi) when the ‘type’ attribute is equal to “dxa”.</w:t>
      </w:r>
    </w:p>
    <w:p w:rsidR="000A156F" w:rsidRDefault="00A9721F">
      <w:pPr>
        <w:pStyle w:val="Definition-Field2"/>
      </w:pPr>
      <w:r>
        <w:t>On load, Word interprets the w attribute as specified by the standard, including the unit suffix. On save, Word may convert and write out the value of ‘w’ in twips.</w:t>
      </w:r>
    </w:p>
    <w:p w:rsidR="000A156F" w:rsidRDefault="00A9721F">
      <w:pPr>
        <w:pStyle w:val="Heading3"/>
      </w:pPr>
      <w:bookmarkStart w:id="392" w:name="section_e006e9091e854c368d77cf9b67ea3ed4"/>
      <w:bookmarkStart w:id="393" w:name="_Toc181683222"/>
      <w:r>
        <w:t>Part 1 Section 17.5.1.1</w:t>
      </w:r>
      <w:r>
        <w:t>, attr (Custom XML Attribute)</w:t>
      </w:r>
      <w:bookmarkEnd w:id="392"/>
      <w:bookmarkEnd w:id="393"/>
      <w:r>
        <w:fldChar w:fldCharType="begin"/>
      </w:r>
      <w:r>
        <w:instrText xml:space="preserve"> XE "attr (Custom XML Attribute)" </w:instrText>
      </w:r>
      <w:r>
        <w:fldChar w:fldCharType="end"/>
      </w:r>
    </w:p>
    <w:p w:rsidR="000A156F" w:rsidRDefault="00A9721F">
      <w:pPr>
        <w:pStyle w:val="Definition-Field"/>
      </w:pPr>
      <w:r>
        <w:t xml:space="preserve">a.   </w:t>
      </w:r>
      <w:r>
        <w:rPr>
          <w:i/>
        </w:rPr>
        <w:t>The standard states that the values of the name attribute are defined by the ST_String simple type.</w:t>
      </w:r>
    </w:p>
    <w:p w:rsidR="000A156F" w:rsidRDefault="00A9721F">
      <w:pPr>
        <w:pStyle w:val="Definition-Field2"/>
      </w:pPr>
      <w:r>
        <w:t>Word defines the values of this attribute with the XML Schema NCName datatype, restri</w:t>
      </w:r>
      <w:r>
        <w:t>cting it to a maximum length of 255 characters.</w:t>
      </w:r>
    </w:p>
    <w:p w:rsidR="000A156F" w:rsidRDefault="00A9721F">
      <w:pPr>
        <w:pStyle w:val="Heading3"/>
      </w:pPr>
      <w:bookmarkStart w:id="394" w:name="section_ea1b29f078d34ebdbc039dfcde093719"/>
      <w:bookmarkStart w:id="395" w:name="_Toc181683223"/>
      <w:r>
        <w:t>Part 1 Section 17.5.1.2, attr (Smart Tag Property)</w:t>
      </w:r>
      <w:bookmarkEnd w:id="394"/>
      <w:bookmarkEnd w:id="395"/>
      <w:r>
        <w:fldChar w:fldCharType="begin"/>
      </w:r>
      <w:r>
        <w:instrText xml:space="preserve"> XE "attr (Smart Tag Property)" </w:instrText>
      </w:r>
      <w:r>
        <w:fldChar w:fldCharType="end"/>
      </w:r>
    </w:p>
    <w:p w:rsidR="000A156F" w:rsidRDefault="00A9721F">
      <w:pPr>
        <w:pStyle w:val="Definition-Field"/>
      </w:pPr>
      <w:r>
        <w:t xml:space="preserve">a.   </w:t>
      </w:r>
      <w:r>
        <w:rPr>
          <w:i/>
        </w:rPr>
        <w:t>The standard does not place any restrictions on the value of the uri attribute.</w:t>
      </w:r>
    </w:p>
    <w:p w:rsidR="000A156F" w:rsidRDefault="00A9721F">
      <w:pPr>
        <w:pStyle w:val="Definition-Field2"/>
      </w:pPr>
      <w:r>
        <w:t>Word requires the value of this attrib</w:t>
      </w:r>
      <w:r>
        <w:t>ute to be urn:schemas-microsoft-com:office:office.</w:t>
      </w:r>
    </w:p>
    <w:p w:rsidR="000A156F" w:rsidRDefault="00A9721F">
      <w:pPr>
        <w:pStyle w:val="Heading3"/>
      </w:pPr>
      <w:bookmarkStart w:id="396" w:name="section_fb39493214a94ebcbf3fabfe9d946a61"/>
      <w:bookmarkStart w:id="397" w:name="_Toc181683224"/>
      <w:r>
        <w:t>Part 1 Section 17.5.1.3, customXml (Inline-Level Custom XML Element)</w:t>
      </w:r>
      <w:bookmarkEnd w:id="396"/>
      <w:bookmarkEnd w:id="397"/>
      <w:r>
        <w:fldChar w:fldCharType="begin"/>
      </w:r>
      <w:r>
        <w:instrText xml:space="preserve"> XE "customXml (Inline-Level Custom XML Element)"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standard allows ins, del, moveTo, and moveFrom to contain inline customX</w:t>
      </w:r>
      <w:r>
        <w:rPr>
          <w:i/>
        </w:rPr>
        <w:t>ml.</w:t>
      </w:r>
    </w:p>
    <w:p w:rsidR="000A156F" w:rsidRDefault="00A9721F">
      <w:pPr>
        <w:pStyle w:val="Definition-Field2"/>
      </w:pPr>
      <w:r>
        <w:t>Word will fail to load a file if ins, del, moveTo, or moveFrom contains inline customXml.</w:t>
      </w:r>
    </w:p>
    <w:p w:rsidR="000A156F" w:rsidRDefault="00A9721F">
      <w:pPr>
        <w:pStyle w:val="Definition-Field"/>
      </w:pPr>
      <w:r>
        <w:t xml:space="preserve">b.   </w:t>
      </w:r>
      <w:r>
        <w:rPr>
          <w:i/>
        </w:rPr>
        <w:t>The standard states a specific set of parent elements that can contain inline customXml elements.</w:t>
      </w:r>
    </w:p>
    <w:p w:rsidR="000A156F" w:rsidRDefault="00A9721F">
      <w:pPr>
        <w:pStyle w:val="Definition-Field2"/>
      </w:pPr>
      <w:r>
        <w:lastRenderedPageBreak/>
        <w:t>Word allows the following parent elements in addition to th</w:t>
      </w:r>
      <w:r>
        <w:t>ose already listed: deg, den, e, fName, lim, num, oMath, sub, and sup.</w:t>
      </w:r>
    </w:p>
    <w:p w:rsidR="000A156F" w:rsidRDefault="00A9721F">
      <w:pPr>
        <w:pStyle w:val="Definition-Field"/>
      </w:pPr>
      <w:r>
        <w:t xml:space="preserve">c.   </w:t>
      </w:r>
      <w:r>
        <w:rPr>
          <w:i/>
        </w:rPr>
        <w:t>The standard allows any string for the uri attribute.</w:t>
      </w:r>
    </w:p>
    <w:p w:rsidR="000A156F" w:rsidRDefault="00A9721F">
      <w:pPr>
        <w:pStyle w:val="Definition-Field2"/>
      </w:pPr>
      <w:r>
        <w:t>Word will not open a file if the uri attribute is not declared in an accompanying attachedSchema element.</w:t>
      </w:r>
    </w:p>
    <w:p w:rsidR="000A156F" w:rsidRDefault="00A9721F">
      <w:pPr>
        <w:pStyle w:val="Definition-Field"/>
      </w:pPr>
      <w:r>
        <w:t xml:space="preserve">d.   </w:t>
      </w:r>
      <w:r>
        <w:rPr>
          <w:i/>
        </w:rPr>
        <w:t>The standard st</w:t>
      </w:r>
      <w:r>
        <w:rPr>
          <w:i/>
        </w:rPr>
        <w:t>ates that the element attribute can contain any string value.</w:t>
      </w:r>
    </w:p>
    <w:p w:rsidR="000A156F" w:rsidRDefault="00A9721F">
      <w:pPr>
        <w:pStyle w:val="Definition-Field2"/>
      </w:pPr>
      <w:r>
        <w:t>Word only allows values conforming to the XML specification; a string conforming to the definition of xsd:NCName with a length of at most 255 characters.</w:t>
      </w:r>
    </w:p>
    <w:p w:rsidR="000A156F" w:rsidRDefault="00A9721F">
      <w:pPr>
        <w:pStyle w:val="Heading3"/>
      </w:pPr>
      <w:bookmarkStart w:id="398" w:name="section_d46901cef70f439fbc173f020a8cbb0a"/>
      <w:bookmarkStart w:id="399" w:name="_Toc181683225"/>
      <w:r>
        <w:t>Part 1 Section 17.5.1.4, customXml (Cell</w:t>
      </w:r>
      <w:r>
        <w:t>-Level Custom XML Element)</w:t>
      </w:r>
      <w:bookmarkEnd w:id="398"/>
      <w:bookmarkEnd w:id="399"/>
      <w:r>
        <w:fldChar w:fldCharType="begin"/>
      </w:r>
      <w:r>
        <w:instrText xml:space="preserve"> XE "customXml (Cell-Level Custom XML Element)"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Definition-Field"/>
      </w:pPr>
      <w:r>
        <w:t xml:space="preserve">a.   </w:t>
      </w:r>
      <w:r>
        <w:rPr>
          <w:i/>
        </w:rPr>
        <w:t>The standard states that the element attribute can contain any string value.</w:t>
      </w:r>
    </w:p>
    <w:p w:rsidR="000A156F" w:rsidRDefault="00A9721F">
      <w:pPr>
        <w:pStyle w:val="Definition-Field2"/>
      </w:pPr>
      <w:r>
        <w:t>Word only allows values conforming to the XML specification; a string conforming to the d</w:t>
      </w:r>
      <w:r>
        <w:t>efinition of xsd:NCName with a length of at most 255 characters.</w:t>
      </w:r>
    </w:p>
    <w:p w:rsidR="000A156F" w:rsidRDefault="00A9721F">
      <w:pPr>
        <w:pStyle w:val="Definition-Field"/>
      </w:pPr>
      <w:r>
        <w:t xml:space="preserve">b.   </w:t>
      </w:r>
      <w:r>
        <w:rPr>
          <w:i/>
        </w:rPr>
        <w:t>The standard states that the uri attribute can contain any string value.</w:t>
      </w:r>
    </w:p>
    <w:p w:rsidR="000A156F" w:rsidRDefault="00A9721F">
      <w:pPr>
        <w:pStyle w:val="Definition-Field2"/>
      </w:pPr>
      <w:r>
        <w:t>Word requires that the namespace specified in the uri attribute be declared in an accompanying attachedSchema ele</w:t>
      </w:r>
      <w:r>
        <w:t>ment.</w:t>
      </w:r>
    </w:p>
    <w:p w:rsidR="000A156F" w:rsidRDefault="00A9721F">
      <w:pPr>
        <w:pStyle w:val="Heading3"/>
      </w:pPr>
      <w:bookmarkStart w:id="400" w:name="section_3188c7db7968430db14806b88ecc8038"/>
      <w:bookmarkStart w:id="401" w:name="_Toc181683226"/>
      <w:r>
        <w:t>Part 1 Section 17.5.1.5, customXml (Row-Level Custom XML Element)</w:t>
      </w:r>
      <w:bookmarkEnd w:id="400"/>
      <w:bookmarkEnd w:id="401"/>
      <w:r>
        <w:fldChar w:fldCharType="begin"/>
      </w:r>
      <w:r>
        <w:instrText xml:space="preserve"> XE "customXml (Row-Level Custom XML Element)"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Definition-Field"/>
      </w:pPr>
      <w:r>
        <w:t xml:space="preserve">a.   </w:t>
      </w:r>
      <w:r>
        <w:rPr>
          <w:i/>
        </w:rPr>
        <w:t>The standard states that the element attribute can contain any string value.</w:t>
      </w:r>
    </w:p>
    <w:p w:rsidR="000A156F" w:rsidRDefault="00A9721F">
      <w:pPr>
        <w:pStyle w:val="Definition-Field2"/>
      </w:pPr>
      <w:r>
        <w:t>Wo</w:t>
      </w:r>
      <w:r>
        <w:t>rd only allows values conforming to the XML specification; a string conforming to the definition of xsd:NCName with a length of at most 255 characters.</w:t>
      </w:r>
    </w:p>
    <w:p w:rsidR="000A156F" w:rsidRDefault="00A9721F">
      <w:pPr>
        <w:pStyle w:val="Heading3"/>
      </w:pPr>
      <w:bookmarkStart w:id="402" w:name="section_cad2d3a17f3446278a9750e04d47fc2f"/>
      <w:bookmarkStart w:id="403" w:name="_Toc181683227"/>
      <w:r>
        <w:t>Part 1 Section 17.5.1.6, customXml (Block-Level Custom XML Element)</w:t>
      </w:r>
      <w:bookmarkEnd w:id="402"/>
      <w:bookmarkEnd w:id="403"/>
      <w:r>
        <w:fldChar w:fldCharType="begin"/>
      </w:r>
      <w:r>
        <w:instrText xml:space="preserve"> XE "customXml (Block-Level Custom XM</w:instrText>
      </w:r>
      <w:r>
        <w:instrText xml:space="preserve">L Element)"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w:t>
        </w:r>
        <w:r>
          <w:rPr>
            <w:rStyle w:val="Hyperlink"/>
          </w:rPr>
          <w:t>thPara, §22.1.2.78(c)</w:t>
        </w:r>
      </w:hyperlink>
      <w:r>
        <w:rPr>
          <w:i/>
        </w:rPr>
        <w:t>.</w:t>
      </w:r>
    </w:p>
    <w:p w:rsidR="000A156F" w:rsidRDefault="00A9721F">
      <w:pPr>
        <w:pStyle w:val="Definition-Field"/>
      </w:pPr>
      <w:r>
        <w:t xml:space="preserve">a.   </w:t>
      </w:r>
      <w:r>
        <w:rPr>
          <w:i/>
        </w:rPr>
        <w:t>The standard states that the element attribute can contain any string value.</w:t>
      </w:r>
    </w:p>
    <w:p w:rsidR="000A156F" w:rsidRDefault="00A9721F">
      <w:pPr>
        <w:pStyle w:val="Definition-Field2"/>
      </w:pPr>
      <w:r>
        <w:t>Word only allows values conforming to the XML specification: a string conforming to the definition of xsd:NCName with a length of at most 255 character</w:t>
      </w:r>
      <w:r>
        <w:t>s.</w:t>
      </w:r>
    </w:p>
    <w:p w:rsidR="000A156F" w:rsidRDefault="00A9721F">
      <w:pPr>
        <w:pStyle w:val="Definition-Field"/>
      </w:pPr>
      <w:r>
        <w:t xml:space="preserve">b.   </w:t>
      </w:r>
      <w:r>
        <w:rPr>
          <w:i/>
        </w:rPr>
        <w:t>The standard allows any string for the uri attribute.</w:t>
      </w:r>
    </w:p>
    <w:p w:rsidR="000A156F" w:rsidRDefault="00A9721F">
      <w:pPr>
        <w:pStyle w:val="Definition-Field2"/>
      </w:pPr>
      <w:r>
        <w:t>Word will not open a file if the uri attribute is not declared in an accompanying attachedSchema element.</w:t>
      </w:r>
    </w:p>
    <w:p w:rsidR="000A156F" w:rsidRDefault="00A9721F">
      <w:pPr>
        <w:pStyle w:val="Heading3"/>
      </w:pPr>
      <w:bookmarkStart w:id="404" w:name="section_d7860fab7e4e4c1da712d9d5326bff13"/>
      <w:bookmarkStart w:id="405" w:name="_Toc181683228"/>
      <w:r>
        <w:t>Part 1 Section 17.5.1.9, smartTag (Inline-Level Smart Tag)</w:t>
      </w:r>
      <w:bookmarkEnd w:id="404"/>
      <w:bookmarkEnd w:id="405"/>
      <w:r>
        <w:fldChar w:fldCharType="begin"/>
      </w:r>
      <w:r>
        <w:instrText xml:space="preserve"> XE "smartTag (Inline-Level Sm</w:instrText>
      </w:r>
      <w:r>
        <w:instrText xml:space="preserve">art Tag)"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 xml:space="preserve">The standard states that the element attribute can contain any </w:t>
      </w:r>
      <w:r>
        <w:rPr>
          <w:i/>
        </w:rPr>
        <w:t>string value.</w:t>
      </w:r>
    </w:p>
    <w:p w:rsidR="000A156F" w:rsidRDefault="00A9721F">
      <w:pPr>
        <w:pStyle w:val="Definition-Field2"/>
      </w:pPr>
      <w:r>
        <w:lastRenderedPageBreak/>
        <w:t>Word only allows values for this attribute that conform to the xsd:NCName datatype.</w:t>
      </w:r>
    </w:p>
    <w:p w:rsidR="000A156F" w:rsidRDefault="00A9721F">
      <w:pPr>
        <w:pStyle w:val="Heading3"/>
      </w:pPr>
      <w:bookmarkStart w:id="406" w:name="section_7108b87e0dbb44c79a68e915b14a8392"/>
      <w:bookmarkStart w:id="407" w:name="_Toc181683229"/>
      <w:r>
        <w:t>Part 1 Section 17.5.2.6, dataBinding (XML Mapping)</w:t>
      </w:r>
      <w:bookmarkEnd w:id="406"/>
      <w:bookmarkEnd w:id="407"/>
      <w:r>
        <w:fldChar w:fldCharType="begin"/>
      </w:r>
      <w:r>
        <w:instrText xml:space="preserve"> XE "dataBinding (XML Mapping)" </w:instrText>
      </w:r>
      <w:r>
        <w:fldChar w:fldCharType="end"/>
      </w:r>
    </w:p>
    <w:p w:rsidR="000A156F" w:rsidRDefault="00A9721F">
      <w:pPr>
        <w:pStyle w:val="Definition-Field"/>
      </w:pPr>
      <w:r>
        <w:t xml:space="preserve">a.   </w:t>
      </w:r>
      <w:r>
        <w:rPr>
          <w:i/>
        </w:rPr>
        <w:t>The standard states that if the parent structured document tag is of</w:t>
      </w:r>
      <w:r>
        <w:rPr>
          <w:i/>
        </w:rPr>
        <w:t xml:space="preserve"> type rich text or document part gallery, then this property shall be ignored.</w:t>
      </w:r>
    </w:p>
    <w:p w:rsidR="000A156F" w:rsidRDefault="00A9721F">
      <w:pPr>
        <w:pStyle w:val="Definition-Field2"/>
      </w:pPr>
      <w:r>
        <w:t>Word ignores the type of the content control and reverts it to plain text if this property is present.</w:t>
      </w:r>
    </w:p>
    <w:p w:rsidR="000A156F" w:rsidRDefault="00A9721F">
      <w:pPr>
        <w:pStyle w:val="Heading3"/>
      </w:pPr>
      <w:bookmarkStart w:id="408" w:name="section_5869560232ea4f2baca18c805192d742"/>
      <w:bookmarkStart w:id="409" w:name="_Toc181683230"/>
      <w:r>
        <w:t>Part 1 Section 17.5.2.7, date (Date Structured Document Tag)</w:t>
      </w:r>
      <w:bookmarkEnd w:id="408"/>
      <w:bookmarkEnd w:id="409"/>
      <w:r>
        <w:fldChar w:fldCharType="begin"/>
      </w:r>
      <w:r>
        <w:instrText xml:space="preserve"> XE "date (Dat</w:instrText>
      </w:r>
      <w:r>
        <w:instrText xml:space="preserve">e Structured Document Tag)" </w:instrText>
      </w:r>
      <w:r>
        <w:fldChar w:fldCharType="end"/>
      </w:r>
    </w:p>
    <w:p w:rsidR="000A156F" w:rsidRDefault="00A9721F">
      <w:pPr>
        <w:pStyle w:val="Definition-Field"/>
      </w:pPr>
      <w:r>
        <w:t xml:space="preserve">a.   </w:t>
      </w:r>
      <w:r>
        <w:rPr>
          <w:i/>
        </w:rPr>
        <w:t>The standard says a date structured document tag cannot contain more than one table cell and cannot contain a table cell.</w:t>
      </w:r>
    </w:p>
    <w:p w:rsidR="000A156F" w:rsidRDefault="00A9721F">
      <w:pPr>
        <w:pStyle w:val="Definition-Field2"/>
      </w:pPr>
      <w:r>
        <w:t>In Word, a date structured document tag cannot contain more than one table cell and cannot contain</w:t>
      </w:r>
      <w:r>
        <w:t xml:space="preserve"> a table.</w:t>
      </w:r>
    </w:p>
    <w:p w:rsidR="000A156F" w:rsidRDefault="00A9721F">
      <w:pPr>
        <w:pStyle w:val="Heading3"/>
      </w:pPr>
      <w:bookmarkStart w:id="410" w:name="section_3a5e135e0986496c90a772bf5238d43d"/>
      <w:bookmarkStart w:id="411" w:name="_Toc181683231"/>
      <w:r>
        <w:t>Part 1 Section 17.5.2.9, docPart (Document Part Reference)</w:t>
      </w:r>
      <w:bookmarkEnd w:id="410"/>
      <w:bookmarkEnd w:id="411"/>
      <w:r>
        <w:fldChar w:fldCharType="begin"/>
      </w:r>
      <w:r>
        <w:instrText xml:space="preserve"> XE "docPart (Document Part Reference)" </w:instrText>
      </w:r>
      <w:r>
        <w:fldChar w:fldCharType="end"/>
      </w:r>
    </w:p>
    <w:p w:rsidR="000A156F" w:rsidRDefault="00A9721F">
      <w:pPr>
        <w:pStyle w:val="Definition-Field"/>
      </w:pPr>
      <w:r>
        <w:t xml:space="preserve">a.   </w:t>
      </w:r>
      <w:r>
        <w:rPr>
          <w:i/>
        </w:rPr>
        <w:t>The standard states that the application shall display the placeholder text of a document part if the parent structured document tag run con</w:t>
      </w:r>
      <w:r>
        <w:rPr>
          <w:i/>
        </w:rPr>
        <w:t>tents are empty.</w:t>
      </w:r>
    </w:p>
    <w:p w:rsidR="000A156F" w:rsidRDefault="00A9721F">
      <w:pPr>
        <w:pStyle w:val="Definition-Field2"/>
      </w:pPr>
      <w:r>
        <w:t>Word does not display the placeholder text until the user clicks in and out of the structured document tag.</w:t>
      </w:r>
    </w:p>
    <w:p w:rsidR="000A156F" w:rsidRDefault="00A9721F">
      <w:pPr>
        <w:pStyle w:val="Heading3"/>
      </w:pPr>
      <w:bookmarkStart w:id="412" w:name="section_1bc668d079434affb0ab5debbec78e1d"/>
      <w:bookmarkStart w:id="413" w:name="_Toc181683232"/>
      <w:r>
        <w:t>Part 1 Section 17.5.2.18, id (Unique ID)</w:t>
      </w:r>
      <w:bookmarkEnd w:id="412"/>
      <w:bookmarkEnd w:id="413"/>
      <w:r>
        <w:fldChar w:fldCharType="begin"/>
      </w:r>
      <w:r>
        <w:instrText xml:space="preserve"> XE "id (Unique ID)" </w:instrText>
      </w:r>
      <w:r>
        <w:fldChar w:fldCharType="end"/>
      </w:r>
    </w:p>
    <w:p w:rsidR="000A156F" w:rsidRDefault="00A9721F">
      <w:pPr>
        <w:pStyle w:val="Definition-Field"/>
      </w:pPr>
      <w:r>
        <w:t xml:space="preserve">a.   </w:t>
      </w:r>
      <w:r>
        <w:rPr>
          <w:i/>
        </w:rPr>
        <w:t>The standard states that if multiple SDTs specify the same val</w:t>
      </w:r>
      <w:r>
        <w:rPr>
          <w:i/>
        </w:rPr>
        <w:t>ue for id, then the first SDT is maintained, and others get a new ID.</w:t>
      </w:r>
    </w:p>
    <w:p w:rsidR="000A156F" w:rsidRDefault="00A9721F">
      <w:pPr>
        <w:pStyle w:val="Definition-Field2"/>
      </w:pPr>
      <w:r>
        <w:t>Word discards each SDT completely (leaving its contents) except the last one.</w:t>
      </w:r>
    </w:p>
    <w:p w:rsidR="000A156F" w:rsidRDefault="00A9721F">
      <w:pPr>
        <w:pStyle w:val="Heading3"/>
      </w:pPr>
      <w:bookmarkStart w:id="414" w:name="section_9105ab06e3984c73a1484b3b02dc0a3f"/>
      <w:bookmarkStart w:id="415" w:name="_Toc181683233"/>
      <w:r>
        <w:t>Part 1 Section 17.5.2.19, label (Structured Document Tag Label)</w:t>
      </w:r>
      <w:bookmarkEnd w:id="414"/>
      <w:bookmarkEnd w:id="415"/>
      <w:r>
        <w:fldChar w:fldCharType="begin"/>
      </w:r>
      <w:r>
        <w:instrText xml:space="preserve"> XE "label (Structured Document Tag Label)" </w:instrText>
      </w:r>
      <w:r>
        <w:fldChar w:fldCharType="end"/>
      </w:r>
    </w:p>
    <w:p w:rsidR="000A156F" w:rsidRDefault="00A9721F">
      <w:pPr>
        <w:pStyle w:val="Definition-Field"/>
      </w:pPr>
      <w:r>
        <w:t xml:space="preserve">a.   </w:t>
      </w:r>
      <w:r>
        <w:rPr>
          <w:i/>
        </w:rPr>
        <w:t>The standard states that this element specifies a label identifier associated with the current structured document tag.</w:t>
      </w:r>
    </w:p>
    <w:p w:rsidR="000A156F" w:rsidRDefault="00A9721F">
      <w:pPr>
        <w:pStyle w:val="Definition-Field2"/>
      </w:pPr>
      <w:r>
        <w:t>Word ignores this element.</w:t>
      </w:r>
    </w:p>
    <w:p w:rsidR="000A156F" w:rsidRDefault="00A9721F">
      <w:pPr>
        <w:pStyle w:val="Heading3"/>
      </w:pPr>
      <w:bookmarkStart w:id="416" w:name="section_1871b640e0af43cd8bb29ac3ed938a57"/>
      <w:bookmarkStart w:id="417" w:name="_Toc181683234"/>
      <w:r>
        <w:t>Part 1 Section 17.5.2.20, lid (Date Picker Language ID)</w:t>
      </w:r>
      <w:bookmarkEnd w:id="416"/>
      <w:bookmarkEnd w:id="417"/>
      <w:r>
        <w:fldChar w:fldCharType="begin"/>
      </w:r>
      <w:r>
        <w:instrText xml:space="preserve"> XE "lid (Date Picker Language ID)"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0A156F" w:rsidRDefault="00A9721F">
      <w:pPr>
        <w:pStyle w:val="Heading3"/>
      </w:pPr>
      <w:bookmarkStart w:id="418" w:name="section_99ab35907a1e4b41bb584e0c1c535215"/>
      <w:bookmarkStart w:id="419" w:name="_Toc181683235"/>
      <w:r>
        <w:t>Part 1 Section 17.5.2.25, placeholder (Structured Document Tag Placeholder Text)</w:t>
      </w:r>
      <w:bookmarkEnd w:id="418"/>
      <w:bookmarkEnd w:id="419"/>
      <w:r>
        <w:fldChar w:fldCharType="begin"/>
      </w:r>
      <w:r>
        <w:instrText xml:space="preserve"> XE </w:instrText>
      </w:r>
      <w:r>
        <w:instrText xml:space="preserve">"placeholder (Structured Document Tag Placeholder Text)" </w:instrText>
      </w:r>
      <w:r>
        <w:fldChar w:fldCharType="end"/>
      </w:r>
    </w:p>
    <w:p w:rsidR="000A156F" w:rsidRDefault="00A9721F">
      <w:pPr>
        <w:pStyle w:val="Definition-Field"/>
      </w:pPr>
      <w:r>
        <w:t xml:space="preserve">a.   </w:t>
      </w:r>
      <w:r>
        <w:rPr>
          <w:i/>
        </w:rPr>
        <w:t>The standard states that the placeholder text shall be displayed when the parent structured document tag's run is empty</w:t>
      </w:r>
    </w:p>
    <w:p w:rsidR="000A156F" w:rsidRDefault="00A9721F">
      <w:pPr>
        <w:pStyle w:val="Definition-Field2"/>
      </w:pPr>
      <w:r>
        <w:t>Application does not show content control nor the placeholder text</w:t>
      </w:r>
    </w:p>
    <w:p w:rsidR="000A156F" w:rsidRDefault="00A9721F">
      <w:pPr>
        <w:pStyle w:val="Heading3"/>
      </w:pPr>
      <w:bookmarkStart w:id="420" w:name="section_6bd198dd11e345f39c350fb448216a02"/>
      <w:bookmarkStart w:id="421" w:name="_Toc181683236"/>
      <w:r>
        <w:lastRenderedPageBreak/>
        <w:t>Part</w:t>
      </w:r>
      <w:r>
        <w:t xml:space="preserve"> 1 Section 17.5.2.27, rPr (Run Properties For Structured Document Tag Contents)</w:t>
      </w:r>
      <w:bookmarkEnd w:id="420"/>
      <w:bookmarkEnd w:id="421"/>
      <w:r>
        <w:fldChar w:fldCharType="begin"/>
      </w:r>
      <w:r>
        <w:instrText xml:space="preserve"> XE "rPr (Run Properties For Structured Document Tag Contents)"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0A156F" w:rsidRDefault="00A9721F">
      <w:pPr>
        <w:pStyle w:val="Heading3"/>
      </w:pPr>
      <w:bookmarkStart w:id="422" w:name="section_8099cfe74fb24c51acf499ff0f09a2f4"/>
      <w:bookmarkStart w:id="423" w:name="_Toc181683237"/>
      <w:r>
        <w:t>Part 1 Section 17.5.2.28, rPr (Structured Document Tag End Character Run Properties)</w:t>
      </w:r>
      <w:bookmarkEnd w:id="422"/>
      <w:bookmarkEnd w:id="423"/>
      <w:r>
        <w:fldChar w:fldCharType="begin"/>
      </w:r>
      <w:r>
        <w:instrText xml:space="preserve"> XE "rPr (Structured Document Tag End Character Run Properties)" </w:instrText>
      </w:r>
      <w:r>
        <w:fldChar w:fldCharType="end"/>
      </w:r>
    </w:p>
    <w:p w:rsidR="000A156F" w:rsidRDefault="00A9721F">
      <w:pPr>
        <w:pStyle w:val="Definition-Field2"/>
      </w:pPr>
      <w:r>
        <w:rPr>
          <w:i/>
        </w:rPr>
        <w:t>For additional notes that apply to this</w:t>
      </w:r>
      <w:r>
        <w:rPr>
          <w:i/>
        </w:rPr>
        <w:t xml:space="preserve"> portion of the standard, please see the notes for </w:t>
      </w:r>
      <w:hyperlink w:anchor="Section_94590ec4e4c14f7ab967abe6bf8658b2">
        <w:r>
          <w:rPr>
            <w:rStyle w:val="Hyperlink"/>
          </w:rPr>
          <w:t>oMath, §17.3.2.22(a)</w:t>
        </w:r>
      </w:hyperlink>
      <w:r>
        <w:rPr>
          <w:i/>
        </w:rPr>
        <w:t>.</w:t>
      </w:r>
    </w:p>
    <w:p w:rsidR="000A156F" w:rsidRDefault="00A9721F">
      <w:pPr>
        <w:pStyle w:val="Heading3"/>
      </w:pPr>
      <w:bookmarkStart w:id="424" w:name="section_e395604b15d9406089b7acdc18864414"/>
      <w:bookmarkStart w:id="425" w:name="_Toc181683238"/>
      <w:r>
        <w:t>Part 1 Section 17.5.2.30, sdt (Row-Level Structured Document Tag)</w:t>
      </w:r>
      <w:bookmarkEnd w:id="424"/>
      <w:bookmarkEnd w:id="425"/>
      <w:r>
        <w:fldChar w:fldCharType="begin"/>
      </w:r>
      <w:r>
        <w:instrText xml:space="preserve"> XE "sdt (Row-Level Structured Document Tag)" </w:instrText>
      </w:r>
      <w:r>
        <w:fldChar w:fldCharType="end"/>
      </w:r>
    </w:p>
    <w:p w:rsidR="000A156F" w:rsidRDefault="00A9721F">
      <w:pPr>
        <w:pStyle w:val="Definition-Field"/>
      </w:pPr>
      <w:r>
        <w:t xml:space="preserve">a.   </w:t>
      </w:r>
      <w:r>
        <w:rPr>
          <w:i/>
        </w:rPr>
        <w:t>T</w:t>
      </w:r>
      <w:r>
        <w:rPr>
          <w:i/>
        </w:rPr>
        <w:t>he standard does not allow range elements as children of the sdt element.</w:t>
      </w:r>
    </w:p>
    <w:p w:rsidR="000A156F" w:rsidRDefault="00A9721F">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r>
      <w:tr w:rsidR="000A156F" w:rsidTr="000A156F">
        <w:tc>
          <w:tcPr>
            <w:tcW w:w="0" w:type="auto"/>
            <w:vAlign w:val="center"/>
          </w:tcPr>
          <w:p w:rsidR="000A156F" w:rsidRDefault="00A9721F">
            <w:pPr>
              <w:pStyle w:val="TableBodyText"/>
            </w:pPr>
            <w:r>
              <w:rPr>
                <w:b/>
              </w:rPr>
              <w:t>bookmarkEnd</w:t>
            </w:r>
            <w:r>
              <w:t xml:space="preserve"> ("</w:t>
            </w:r>
            <w:hyperlink r:id="rId96">
              <w:r>
                <w:rPr>
                  <w:rStyle w:val="Hyperlink"/>
                </w:rPr>
                <w:t>[ISO/IEC-29500-1]</w:t>
              </w:r>
            </w:hyperlink>
            <w:r>
              <w:t xml:space="preserve"> §17.13.6.1; bookmarkEnd")</w:t>
            </w:r>
          </w:p>
        </w:tc>
      </w:tr>
      <w:tr w:rsidR="000A156F" w:rsidTr="000A156F">
        <w:tc>
          <w:tcPr>
            <w:tcW w:w="0" w:type="auto"/>
            <w:vAlign w:val="center"/>
          </w:tcPr>
          <w:p w:rsidR="000A156F" w:rsidRDefault="00A9721F">
            <w:pPr>
              <w:pStyle w:val="TableBodyText"/>
            </w:pPr>
            <w:r>
              <w:rPr>
                <w:b/>
              </w:rPr>
              <w:t>bookmarkStart</w:t>
            </w:r>
            <w:r>
              <w:t xml:space="preserve"> ("[ISO/IEC-29500-1] §17.13.6.2; bookmarkStart")</w:t>
            </w:r>
          </w:p>
        </w:tc>
      </w:tr>
      <w:tr w:rsidR="000A156F" w:rsidTr="000A156F">
        <w:tc>
          <w:tcPr>
            <w:tcW w:w="0" w:type="auto"/>
            <w:vAlign w:val="center"/>
          </w:tcPr>
          <w:p w:rsidR="000A156F" w:rsidRDefault="00A9721F">
            <w:pPr>
              <w:pStyle w:val="TableBodyText"/>
            </w:pPr>
            <w:r>
              <w:rPr>
                <w:b/>
              </w:rPr>
              <w:t>commentRangeEnd</w:t>
            </w:r>
            <w:r>
              <w:t xml:space="preserve"> ("[ISO/IEC-29500-1] §17.13.4.3; commentRangeEnd")</w:t>
            </w:r>
          </w:p>
        </w:tc>
      </w:tr>
      <w:tr w:rsidR="000A156F" w:rsidTr="000A156F">
        <w:tc>
          <w:tcPr>
            <w:tcW w:w="0" w:type="auto"/>
            <w:vAlign w:val="center"/>
          </w:tcPr>
          <w:p w:rsidR="000A156F" w:rsidRDefault="00A9721F">
            <w:pPr>
              <w:pStyle w:val="TableBodyText"/>
            </w:pPr>
            <w:r>
              <w:rPr>
                <w:b/>
              </w:rPr>
              <w:t>commentRangeStart</w:t>
            </w:r>
            <w:r>
              <w:t xml:space="preserve"> ("[ISO/IEC-29500-1] §17.13.4.4; commentRangeStart")</w:t>
            </w:r>
          </w:p>
        </w:tc>
      </w:tr>
      <w:tr w:rsidR="000A156F" w:rsidTr="000A156F">
        <w:tc>
          <w:tcPr>
            <w:tcW w:w="0" w:type="auto"/>
            <w:vAlign w:val="center"/>
          </w:tcPr>
          <w:p w:rsidR="000A156F" w:rsidRDefault="00A9721F">
            <w:pPr>
              <w:pStyle w:val="TableBodyText"/>
            </w:pPr>
            <w:r>
              <w:rPr>
                <w:b/>
              </w:rPr>
              <w:t>customXmlD</w:t>
            </w:r>
            <w:r>
              <w:rPr>
                <w:b/>
              </w:rPr>
              <w:t>elRangeEnd</w:t>
            </w:r>
            <w:r>
              <w:t xml:space="preserve"> ("[ISO/IEC-29500-1] §17.13.5.4; customXmlDelRangeEnd")</w:t>
            </w:r>
          </w:p>
        </w:tc>
      </w:tr>
      <w:tr w:rsidR="000A156F" w:rsidTr="000A156F">
        <w:tc>
          <w:tcPr>
            <w:tcW w:w="0" w:type="auto"/>
            <w:vAlign w:val="center"/>
          </w:tcPr>
          <w:p w:rsidR="000A156F" w:rsidRDefault="00A9721F">
            <w:pPr>
              <w:pStyle w:val="TableBodyText"/>
            </w:pPr>
            <w:r>
              <w:rPr>
                <w:b/>
              </w:rPr>
              <w:t>customXmlDelRangeStart</w:t>
            </w:r>
            <w:r>
              <w:t xml:space="preserve"> ("[ISO/IEC-29500-1] §17.13.5.5; customXmlDelRangeStart")</w:t>
            </w:r>
          </w:p>
        </w:tc>
      </w:tr>
      <w:tr w:rsidR="000A156F" w:rsidTr="000A156F">
        <w:tc>
          <w:tcPr>
            <w:tcW w:w="0" w:type="auto"/>
            <w:vAlign w:val="center"/>
          </w:tcPr>
          <w:p w:rsidR="000A156F" w:rsidRDefault="00A9721F">
            <w:pPr>
              <w:pStyle w:val="TableBodyText"/>
            </w:pPr>
            <w:r>
              <w:rPr>
                <w:b/>
              </w:rPr>
              <w:t>customXmlInsRangeEnd</w:t>
            </w:r>
            <w:r>
              <w:t xml:space="preserve"> ("[ISO/IEC-29500-1] §17.13.5.6; customXmlInsRangeEnd")</w:t>
            </w:r>
          </w:p>
        </w:tc>
      </w:tr>
      <w:tr w:rsidR="000A156F" w:rsidTr="000A156F">
        <w:tc>
          <w:tcPr>
            <w:tcW w:w="0" w:type="auto"/>
            <w:vAlign w:val="center"/>
          </w:tcPr>
          <w:p w:rsidR="000A156F" w:rsidRDefault="00A9721F">
            <w:pPr>
              <w:pStyle w:val="TableBodyText"/>
            </w:pPr>
            <w:r>
              <w:rPr>
                <w:b/>
              </w:rPr>
              <w:t>customXmlInsRangeStart</w:t>
            </w:r>
            <w:r>
              <w:t xml:space="preserve"> ("[ISO/I</w:t>
            </w:r>
            <w:r>
              <w:t>EC-29500-1] §17.13.5.7; customXmlInsRangeStart")</w:t>
            </w:r>
          </w:p>
        </w:tc>
      </w:tr>
      <w:tr w:rsidR="000A156F" w:rsidTr="000A156F">
        <w:tc>
          <w:tcPr>
            <w:tcW w:w="0" w:type="auto"/>
            <w:vAlign w:val="center"/>
          </w:tcPr>
          <w:p w:rsidR="000A156F" w:rsidRDefault="00A9721F">
            <w:pPr>
              <w:pStyle w:val="TableBodyText"/>
            </w:pPr>
            <w:r>
              <w:rPr>
                <w:b/>
              </w:rPr>
              <w:t>customXmlMoveFromRangeEnd</w:t>
            </w:r>
            <w:r>
              <w:t xml:space="preserve"> ("[ISO/IEC-29500-1] §17.13.5.8; customXmlMoveFromRangeEnd")</w:t>
            </w:r>
          </w:p>
        </w:tc>
      </w:tr>
      <w:tr w:rsidR="000A156F" w:rsidTr="000A156F">
        <w:tc>
          <w:tcPr>
            <w:tcW w:w="0" w:type="auto"/>
            <w:vAlign w:val="center"/>
          </w:tcPr>
          <w:p w:rsidR="000A156F" w:rsidRDefault="00A9721F">
            <w:pPr>
              <w:pStyle w:val="TableBodyText"/>
            </w:pPr>
            <w:r>
              <w:rPr>
                <w:b/>
              </w:rPr>
              <w:t>customXmlMoveFromRangeStart</w:t>
            </w:r>
            <w:r>
              <w:t xml:space="preserve"> ("[ISO/IEC-29500-1] §17.13.5.9; customXmlMoveFromRangeStart")</w:t>
            </w:r>
          </w:p>
        </w:tc>
      </w:tr>
      <w:tr w:rsidR="000A156F" w:rsidTr="000A156F">
        <w:tc>
          <w:tcPr>
            <w:tcW w:w="0" w:type="auto"/>
            <w:vAlign w:val="center"/>
          </w:tcPr>
          <w:p w:rsidR="000A156F" w:rsidRDefault="00A9721F">
            <w:pPr>
              <w:pStyle w:val="TableBodyText"/>
            </w:pPr>
            <w:r>
              <w:rPr>
                <w:b/>
              </w:rPr>
              <w:t>customXmlMoveToRangeEnd</w:t>
            </w:r>
            <w:r>
              <w:t xml:space="preserve"> ("</w:t>
            </w:r>
            <w:r>
              <w:t>[ISO/IEC-29500-1] §17.13.5.10; customXmlMoveToRangeEnd")</w:t>
            </w:r>
          </w:p>
        </w:tc>
      </w:tr>
      <w:tr w:rsidR="000A156F" w:rsidTr="000A156F">
        <w:tc>
          <w:tcPr>
            <w:tcW w:w="0" w:type="auto"/>
            <w:vAlign w:val="center"/>
          </w:tcPr>
          <w:p w:rsidR="000A156F" w:rsidRDefault="00A9721F">
            <w:pPr>
              <w:pStyle w:val="TableBodyText"/>
            </w:pPr>
            <w:r>
              <w:rPr>
                <w:b/>
              </w:rPr>
              <w:t>customXmlMoveToRangeStart</w:t>
            </w:r>
            <w:r>
              <w:t xml:space="preserve"> ("[ISO/IEC-29500-1] §17.13.5.11; customXmlMoveToRangeStart")</w:t>
            </w:r>
          </w:p>
        </w:tc>
      </w:tr>
      <w:tr w:rsidR="000A156F" w:rsidTr="000A156F">
        <w:tc>
          <w:tcPr>
            <w:tcW w:w="0" w:type="auto"/>
            <w:vAlign w:val="center"/>
          </w:tcPr>
          <w:p w:rsidR="000A156F" w:rsidRDefault="00A9721F">
            <w:pPr>
              <w:pStyle w:val="TableBodyText"/>
            </w:pPr>
            <w:r>
              <w:rPr>
                <w:b/>
              </w:rPr>
              <w:t>moveFromRangeEnd</w:t>
            </w:r>
            <w:r>
              <w:t xml:space="preserve"> ("[ISO/IEC-29500-1] §17.13.5.23; moveFromRangeEnd")</w:t>
            </w:r>
          </w:p>
        </w:tc>
      </w:tr>
      <w:tr w:rsidR="000A156F" w:rsidTr="000A156F">
        <w:tc>
          <w:tcPr>
            <w:tcW w:w="0" w:type="auto"/>
            <w:vAlign w:val="center"/>
          </w:tcPr>
          <w:p w:rsidR="000A156F" w:rsidRDefault="00A9721F">
            <w:pPr>
              <w:pStyle w:val="TableBodyText"/>
            </w:pPr>
            <w:r>
              <w:rPr>
                <w:b/>
              </w:rPr>
              <w:t>moveFromRangeStart</w:t>
            </w:r>
            <w:r>
              <w:t xml:space="preserve"> ("[ISO/IEC-29500-1]</w:t>
            </w:r>
            <w:r>
              <w:t xml:space="preserve"> §17.13.5.24; moveFromRangeStart")</w:t>
            </w:r>
          </w:p>
        </w:tc>
      </w:tr>
      <w:tr w:rsidR="000A156F" w:rsidTr="000A156F">
        <w:tc>
          <w:tcPr>
            <w:tcW w:w="0" w:type="auto"/>
            <w:vAlign w:val="center"/>
          </w:tcPr>
          <w:p w:rsidR="000A156F" w:rsidRDefault="00A9721F">
            <w:pPr>
              <w:pStyle w:val="TableBodyText"/>
            </w:pPr>
            <w:r>
              <w:rPr>
                <w:b/>
              </w:rPr>
              <w:t>moveToRangeEnd</w:t>
            </w:r>
            <w:r>
              <w:t xml:space="preserve"> ("[ISO/IEC-29500-1] §17.13.5.27; moveToRangeEnd")</w:t>
            </w:r>
          </w:p>
        </w:tc>
      </w:tr>
      <w:tr w:rsidR="000A156F" w:rsidTr="000A156F">
        <w:tc>
          <w:tcPr>
            <w:tcW w:w="0" w:type="auto"/>
            <w:vAlign w:val="center"/>
          </w:tcPr>
          <w:p w:rsidR="000A156F" w:rsidRDefault="00A9721F">
            <w:pPr>
              <w:pStyle w:val="TableBodyText"/>
            </w:pPr>
            <w:r>
              <w:rPr>
                <w:b/>
              </w:rPr>
              <w:t>moveToRangeStart</w:t>
            </w:r>
            <w:r>
              <w:t xml:space="preserve"> ("[ISO/IEC-29500-1] §17.13.5.28; moveToRangeStart")</w:t>
            </w:r>
          </w:p>
        </w:tc>
      </w:tr>
    </w:tbl>
    <w:p w:rsidR="000A156F" w:rsidRDefault="000A156F"/>
    <w:p w:rsidR="000A156F" w:rsidRDefault="00A9721F">
      <w:pPr>
        <w:pStyle w:val="Heading3"/>
      </w:pPr>
      <w:bookmarkStart w:id="426" w:name="section_85def6dbd37f460ea39e7417858aec50"/>
      <w:bookmarkStart w:id="427" w:name="_Toc181683239"/>
      <w:r>
        <w:t>Part 1 Section 17.5.2.31, sdt (Inline-Level Structured Document Tag)</w:t>
      </w:r>
      <w:bookmarkEnd w:id="426"/>
      <w:bookmarkEnd w:id="427"/>
      <w:r>
        <w:fldChar w:fldCharType="begin"/>
      </w:r>
      <w:r>
        <w:instrText xml:space="preserve"> XE "sdt (Inlin</w:instrText>
      </w:r>
      <w:r>
        <w:instrText xml:space="preserve">e-Level Structured Document Tag)"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standard does not allow range eleme</w:t>
      </w:r>
      <w:r>
        <w:rPr>
          <w:i/>
        </w:rPr>
        <w:t>nts as children of the sdt element.</w:t>
      </w:r>
    </w:p>
    <w:p w:rsidR="000A156F" w:rsidRDefault="00A9721F">
      <w:r>
        <w:lastRenderedPageBreak/>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r>
      <w:tr w:rsidR="000A156F" w:rsidTr="000A156F">
        <w:tc>
          <w:tcPr>
            <w:tcW w:w="0" w:type="auto"/>
            <w:vAlign w:val="center"/>
          </w:tcPr>
          <w:p w:rsidR="000A156F" w:rsidRDefault="00A9721F">
            <w:pPr>
              <w:pStyle w:val="TableBodyText"/>
            </w:pPr>
            <w:r>
              <w:rPr>
                <w:b/>
              </w:rPr>
              <w:t>bookmarkEnd</w:t>
            </w:r>
            <w:r>
              <w:t xml:space="preserve"> ("</w:t>
            </w:r>
            <w:hyperlink r:id="rId97">
              <w:r>
                <w:rPr>
                  <w:rStyle w:val="Hyperlink"/>
                </w:rPr>
                <w:t>[ISO/IEC-29500-1]</w:t>
              </w:r>
            </w:hyperlink>
            <w:r>
              <w:t xml:space="preserve"> §17.13.6.1; bookmarkEnd")</w:t>
            </w:r>
          </w:p>
        </w:tc>
      </w:tr>
      <w:tr w:rsidR="000A156F" w:rsidTr="000A156F">
        <w:tc>
          <w:tcPr>
            <w:tcW w:w="0" w:type="auto"/>
            <w:vAlign w:val="center"/>
          </w:tcPr>
          <w:p w:rsidR="000A156F" w:rsidRDefault="00A9721F">
            <w:pPr>
              <w:pStyle w:val="TableBodyText"/>
            </w:pPr>
            <w:r>
              <w:rPr>
                <w:b/>
              </w:rPr>
              <w:t>bookmarkStart</w:t>
            </w:r>
            <w:r>
              <w:t xml:space="preserve"> ("[ISO/IEC-29500-1] §17.13.6.2; bookmarkStart")</w:t>
            </w:r>
          </w:p>
        </w:tc>
      </w:tr>
      <w:tr w:rsidR="000A156F" w:rsidTr="000A156F">
        <w:tc>
          <w:tcPr>
            <w:tcW w:w="0" w:type="auto"/>
            <w:vAlign w:val="center"/>
          </w:tcPr>
          <w:p w:rsidR="000A156F" w:rsidRDefault="00A9721F">
            <w:pPr>
              <w:pStyle w:val="TableBodyText"/>
            </w:pPr>
            <w:r>
              <w:rPr>
                <w:b/>
              </w:rPr>
              <w:t>commentRangeEnd</w:t>
            </w:r>
            <w:r>
              <w:t xml:space="preserve"> ("[ISO/IEC-29500-1] §17.13.4.3; commentRangeEnd")</w:t>
            </w:r>
          </w:p>
        </w:tc>
      </w:tr>
      <w:tr w:rsidR="000A156F" w:rsidTr="000A156F">
        <w:tc>
          <w:tcPr>
            <w:tcW w:w="0" w:type="auto"/>
            <w:vAlign w:val="center"/>
          </w:tcPr>
          <w:p w:rsidR="000A156F" w:rsidRDefault="00A9721F">
            <w:pPr>
              <w:pStyle w:val="TableBodyText"/>
            </w:pPr>
            <w:r>
              <w:rPr>
                <w:b/>
              </w:rPr>
              <w:t>commentRangeStart</w:t>
            </w:r>
            <w:r>
              <w:t xml:space="preserve"> ("[ISO/IEC-29500-1] §17.13.4.4; commentRangeStart")</w:t>
            </w:r>
          </w:p>
        </w:tc>
      </w:tr>
      <w:tr w:rsidR="000A156F" w:rsidTr="000A156F">
        <w:tc>
          <w:tcPr>
            <w:tcW w:w="0" w:type="auto"/>
            <w:vAlign w:val="center"/>
          </w:tcPr>
          <w:p w:rsidR="000A156F" w:rsidRDefault="00A9721F">
            <w:pPr>
              <w:pStyle w:val="TableBodyText"/>
            </w:pPr>
            <w:r>
              <w:rPr>
                <w:b/>
              </w:rPr>
              <w:t>customXmlDelRangeEnd</w:t>
            </w:r>
            <w:r>
              <w:t xml:space="preserve"> ("[ISO</w:t>
            </w:r>
            <w:r>
              <w:t>/IEC-29500-1] §17.13.5.4; customXmlDelRangeEnd")</w:t>
            </w:r>
          </w:p>
        </w:tc>
      </w:tr>
      <w:tr w:rsidR="000A156F" w:rsidTr="000A156F">
        <w:tc>
          <w:tcPr>
            <w:tcW w:w="0" w:type="auto"/>
            <w:vAlign w:val="center"/>
          </w:tcPr>
          <w:p w:rsidR="000A156F" w:rsidRDefault="00A9721F">
            <w:pPr>
              <w:pStyle w:val="TableBodyText"/>
            </w:pPr>
            <w:r>
              <w:rPr>
                <w:b/>
              </w:rPr>
              <w:t>customXmlDelRangeStart</w:t>
            </w:r>
            <w:r>
              <w:t xml:space="preserve"> ("[ISO/IEC-29500-1] §17.13.5.5; customXmlDelRangeStart")</w:t>
            </w:r>
          </w:p>
        </w:tc>
      </w:tr>
      <w:tr w:rsidR="000A156F" w:rsidTr="000A156F">
        <w:tc>
          <w:tcPr>
            <w:tcW w:w="0" w:type="auto"/>
            <w:vAlign w:val="center"/>
          </w:tcPr>
          <w:p w:rsidR="000A156F" w:rsidRDefault="00A9721F">
            <w:pPr>
              <w:pStyle w:val="TableBodyText"/>
            </w:pPr>
            <w:r>
              <w:rPr>
                <w:b/>
              </w:rPr>
              <w:t>customXmlInsRangeEnd</w:t>
            </w:r>
            <w:r>
              <w:t xml:space="preserve"> ("[ISO/IEC-29500-1] §17.13.5.6; customXmlInsRangeEnd")</w:t>
            </w:r>
          </w:p>
        </w:tc>
      </w:tr>
      <w:tr w:rsidR="000A156F" w:rsidTr="000A156F">
        <w:tc>
          <w:tcPr>
            <w:tcW w:w="0" w:type="auto"/>
            <w:vAlign w:val="center"/>
          </w:tcPr>
          <w:p w:rsidR="000A156F" w:rsidRDefault="00A9721F">
            <w:pPr>
              <w:pStyle w:val="TableBodyText"/>
            </w:pPr>
            <w:r>
              <w:rPr>
                <w:b/>
              </w:rPr>
              <w:t>customXmlInsRangeStart</w:t>
            </w:r>
            <w:r>
              <w:t xml:space="preserve"> ("[ISO/IEC-29500-1] §17.1</w:t>
            </w:r>
            <w:r>
              <w:t>3.5.7; customXmlInsRangeStart")</w:t>
            </w:r>
          </w:p>
        </w:tc>
      </w:tr>
      <w:tr w:rsidR="000A156F" w:rsidTr="000A156F">
        <w:tc>
          <w:tcPr>
            <w:tcW w:w="0" w:type="auto"/>
            <w:vAlign w:val="center"/>
          </w:tcPr>
          <w:p w:rsidR="000A156F" w:rsidRDefault="00A9721F">
            <w:pPr>
              <w:pStyle w:val="TableBodyText"/>
            </w:pPr>
            <w:r>
              <w:rPr>
                <w:b/>
              </w:rPr>
              <w:t>customXmlMoveFromRangeEnd</w:t>
            </w:r>
            <w:r>
              <w:t xml:space="preserve"> ("[ISO/IEC-29500-1] §17.13.5.8; customXmlMoveFromRangeEnd")</w:t>
            </w:r>
          </w:p>
        </w:tc>
      </w:tr>
      <w:tr w:rsidR="000A156F" w:rsidTr="000A156F">
        <w:tc>
          <w:tcPr>
            <w:tcW w:w="0" w:type="auto"/>
            <w:vAlign w:val="center"/>
          </w:tcPr>
          <w:p w:rsidR="000A156F" w:rsidRDefault="00A9721F">
            <w:pPr>
              <w:pStyle w:val="TableBodyText"/>
            </w:pPr>
            <w:r>
              <w:rPr>
                <w:b/>
              </w:rPr>
              <w:t>customXmlMoveFromRangeStart</w:t>
            </w:r>
            <w:r>
              <w:t xml:space="preserve"> ("[ISO/IEC-29500-1] §17.13.5.9; customXmlMoveFromRangeStart")</w:t>
            </w:r>
          </w:p>
        </w:tc>
      </w:tr>
      <w:tr w:rsidR="000A156F" w:rsidTr="000A156F">
        <w:tc>
          <w:tcPr>
            <w:tcW w:w="0" w:type="auto"/>
            <w:vAlign w:val="center"/>
          </w:tcPr>
          <w:p w:rsidR="000A156F" w:rsidRDefault="00A9721F">
            <w:pPr>
              <w:pStyle w:val="TableBodyText"/>
            </w:pPr>
            <w:r>
              <w:rPr>
                <w:b/>
              </w:rPr>
              <w:t>customXmlMoveToRangeEnd</w:t>
            </w:r>
            <w:r>
              <w:t xml:space="preserve"> ("[ISO/IEC-29500-1]</w:t>
            </w:r>
            <w:r>
              <w:t xml:space="preserve"> §17.13.5.10; customXmlMoveToRangeEnd")</w:t>
            </w:r>
          </w:p>
        </w:tc>
      </w:tr>
      <w:tr w:rsidR="000A156F" w:rsidTr="000A156F">
        <w:tc>
          <w:tcPr>
            <w:tcW w:w="0" w:type="auto"/>
            <w:vAlign w:val="center"/>
          </w:tcPr>
          <w:p w:rsidR="000A156F" w:rsidRDefault="00A9721F">
            <w:pPr>
              <w:pStyle w:val="TableBodyText"/>
            </w:pPr>
            <w:r>
              <w:rPr>
                <w:b/>
              </w:rPr>
              <w:t>customXmlMoveToRangeStart</w:t>
            </w:r>
            <w:r>
              <w:t xml:space="preserve"> ("[ISO/IEC-29500-1] §17.13.5.11; customXmlMoveToRangeStart")</w:t>
            </w:r>
          </w:p>
        </w:tc>
      </w:tr>
      <w:tr w:rsidR="000A156F" w:rsidTr="000A156F">
        <w:tc>
          <w:tcPr>
            <w:tcW w:w="0" w:type="auto"/>
            <w:vAlign w:val="center"/>
          </w:tcPr>
          <w:p w:rsidR="000A156F" w:rsidRDefault="00A9721F">
            <w:pPr>
              <w:pStyle w:val="TableBodyText"/>
            </w:pPr>
            <w:r>
              <w:rPr>
                <w:b/>
              </w:rPr>
              <w:t>moveFromRangeEnd</w:t>
            </w:r>
            <w:r>
              <w:t xml:space="preserve"> ("[ISO/IEC-29500-1] §17.13.5.23; moveFromRangeEnd")</w:t>
            </w:r>
          </w:p>
        </w:tc>
      </w:tr>
      <w:tr w:rsidR="000A156F" w:rsidTr="000A156F">
        <w:tc>
          <w:tcPr>
            <w:tcW w:w="0" w:type="auto"/>
            <w:vAlign w:val="center"/>
          </w:tcPr>
          <w:p w:rsidR="000A156F" w:rsidRDefault="00A9721F">
            <w:pPr>
              <w:pStyle w:val="TableBodyText"/>
            </w:pPr>
            <w:r>
              <w:rPr>
                <w:b/>
              </w:rPr>
              <w:t>moveFromRangeStart</w:t>
            </w:r>
            <w:r>
              <w:t xml:space="preserve"> ("[ISO/IEC-29500-1] §17.13.5.24; moveF</w:t>
            </w:r>
            <w:r>
              <w:t>romRangeStart")</w:t>
            </w:r>
          </w:p>
        </w:tc>
      </w:tr>
      <w:tr w:rsidR="000A156F" w:rsidTr="000A156F">
        <w:tc>
          <w:tcPr>
            <w:tcW w:w="0" w:type="auto"/>
            <w:vAlign w:val="center"/>
          </w:tcPr>
          <w:p w:rsidR="000A156F" w:rsidRDefault="00A9721F">
            <w:pPr>
              <w:pStyle w:val="TableBodyText"/>
            </w:pPr>
            <w:r>
              <w:rPr>
                <w:b/>
              </w:rPr>
              <w:t>moveToRangeEnd</w:t>
            </w:r>
            <w:r>
              <w:t xml:space="preserve"> ("[ISO/IEC-29500-1] §17.13.5.27; moveToRangeEnd")</w:t>
            </w:r>
          </w:p>
        </w:tc>
      </w:tr>
      <w:tr w:rsidR="000A156F" w:rsidTr="000A156F">
        <w:tc>
          <w:tcPr>
            <w:tcW w:w="0" w:type="auto"/>
            <w:vAlign w:val="center"/>
          </w:tcPr>
          <w:p w:rsidR="000A156F" w:rsidRDefault="00A9721F">
            <w:pPr>
              <w:pStyle w:val="TableBodyText"/>
            </w:pPr>
            <w:r>
              <w:rPr>
                <w:b/>
              </w:rPr>
              <w:t>moveToRangeStart</w:t>
            </w:r>
            <w:r>
              <w:t xml:space="preserve"> ("[ISO/IEC-29500-1] §17.13.5.28; moveToRangeStart")</w:t>
            </w:r>
          </w:p>
        </w:tc>
      </w:tr>
    </w:tbl>
    <w:p w:rsidR="000A156F" w:rsidRDefault="000A156F"/>
    <w:p w:rsidR="000A156F" w:rsidRDefault="00A9721F">
      <w:pPr>
        <w:pStyle w:val="Heading3"/>
      </w:pPr>
      <w:bookmarkStart w:id="428" w:name="section_4232a2561a874a59af30a23a5f2d3e59"/>
      <w:bookmarkStart w:id="429" w:name="_Toc181683240"/>
      <w:r>
        <w:t>Part 1 Section 17.5.2.32, sdt (Cell-Level Structured Document Tag)</w:t>
      </w:r>
      <w:bookmarkEnd w:id="428"/>
      <w:bookmarkEnd w:id="429"/>
      <w:r>
        <w:fldChar w:fldCharType="begin"/>
      </w:r>
      <w:r>
        <w:instrText xml:space="preserve"> XE "sdt (Cell-Level Structured Docu</w:instrText>
      </w:r>
      <w:r>
        <w:instrText xml:space="preserve">ment Tag)" </w:instrText>
      </w:r>
      <w:r>
        <w:fldChar w:fldCharType="end"/>
      </w:r>
    </w:p>
    <w:p w:rsidR="000A156F" w:rsidRDefault="00A9721F">
      <w:pPr>
        <w:pStyle w:val="Definition-Field"/>
      </w:pPr>
      <w:r>
        <w:t xml:space="preserve">a.   </w:t>
      </w:r>
      <w:r>
        <w:rPr>
          <w:i/>
        </w:rPr>
        <w:t>The standard does not allow range elements as children of the sdt element.</w:t>
      </w:r>
    </w:p>
    <w:p w:rsidR="000A156F" w:rsidRDefault="00A9721F">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r>
      <w:tr w:rsidR="000A156F" w:rsidTr="000A156F">
        <w:tc>
          <w:tcPr>
            <w:tcW w:w="0" w:type="auto"/>
            <w:vAlign w:val="center"/>
          </w:tcPr>
          <w:p w:rsidR="000A156F" w:rsidRDefault="00A9721F">
            <w:pPr>
              <w:pStyle w:val="TableBodyText"/>
            </w:pPr>
            <w:r>
              <w:rPr>
                <w:b/>
              </w:rPr>
              <w:t>bookmarkEnd</w:t>
            </w:r>
            <w:r>
              <w:t xml:space="preserve"> ("</w:t>
            </w:r>
            <w:hyperlink r:id="rId98">
              <w:r>
                <w:rPr>
                  <w:rStyle w:val="Hyperlink"/>
                </w:rPr>
                <w:t>[ISO/IEC-29500-1]</w:t>
              </w:r>
            </w:hyperlink>
            <w:r>
              <w:t xml:space="preserve"> §17.13.6.1; bookmarkEnd")</w:t>
            </w:r>
          </w:p>
        </w:tc>
      </w:tr>
      <w:tr w:rsidR="000A156F" w:rsidTr="000A156F">
        <w:tc>
          <w:tcPr>
            <w:tcW w:w="0" w:type="auto"/>
            <w:vAlign w:val="center"/>
          </w:tcPr>
          <w:p w:rsidR="000A156F" w:rsidRDefault="00A9721F">
            <w:pPr>
              <w:pStyle w:val="TableBodyText"/>
            </w:pPr>
            <w:r>
              <w:rPr>
                <w:b/>
              </w:rPr>
              <w:t>bookmarkStart</w:t>
            </w:r>
            <w:r>
              <w:t xml:space="preserve"> ("[ISO/IEC-29500-1] §17.13.6.2; bookmarkStart")</w:t>
            </w:r>
          </w:p>
        </w:tc>
      </w:tr>
      <w:tr w:rsidR="000A156F" w:rsidTr="000A156F">
        <w:tc>
          <w:tcPr>
            <w:tcW w:w="0" w:type="auto"/>
            <w:vAlign w:val="center"/>
          </w:tcPr>
          <w:p w:rsidR="000A156F" w:rsidRDefault="00A9721F">
            <w:pPr>
              <w:pStyle w:val="TableBodyText"/>
            </w:pPr>
            <w:r>
              <w:rPr>
                <w:b/>
              </w:rPr>
              <w:t>commentRangeEnd</w:t>
            </w:r>
            <w:r>
              <w:t xml:space="preserve"> ("[ISO/IEC-29500-1] §17.13.4.3; commentRangeEnd")</w:t>
            </w:r>
          </w:p>
        </w:tc>
      </w:tr>
      <w:tr w:rsidR="000A156F" w:rsidTr="000A156F">
        <w:tc>
          <w:tcPr>
            <w:tcW w:w="0" w:type="auto"/>
            <w:vAlign w:val="center"/>
          </w:tcPr>
          <w:p w:rsidR="000A156F" w:rsidRDefault="00A9721F">
            <w:pPr>
              <w:pStyle w:val="TableBodyText"/>
            </w:pPr>
            <w:r>
              <w:rPr>
                <w:b/>
              </w:rPr>
              <w:t>commentRangeStart</w:t>
            </w:r>
            <w:r>
              <w:t xml:space="preserve"> ("[ISO/IEC-29500-1] §17.13.4.4; commentRangeStart")</w:t>
            </w:r>
          </w:p>
        </w:tc>
      </w:tr>
      <w:tr w:rsidR="000A156F" w:rsidTr="000A156F">
        <w:tc>
          <w:tcPr>
            <w:tcW w:w="0" w:type="auto"/>
            <w:vAlign w:val="center"/>
          </w:tcPr>
          <w:p w:rsidR="000A156F" w:rsidRDefault="00A9721F">
            <w:pPr>
              <w:pStyle w:val="TableBodyText"/>
            </w:pPr>
            <w:r>
              <w:rPr>
                <w:b/>
              </w:rPr>
              <w:t>customXmlDelRangeEnd</w:t>
            </w:r>
            <w:r>
              <w:t xml:space="preserve"> ("[ISO/IEC-29500-1] §17.13.5.4; customXmlDelRangeEnd")</w:t>
            </w:r>
          </w:p>
        </w:tc>
      </w:tr>
      <w:tr w:rsidR="000A156F" w:rsidTr="000A156F">
        <w:tc>
          <w:tcPr>
            <w:tcW w:w="0" w:type="auto"/>
            <w:vAlign w:val="center"/>
          </w:tcPr>
          <w:p w:rsidR="000A156F" w:rsidRDefault="00A9721F">
            <w:pPr>
              <w:pStyle w:val="TableBodyText"/>
            </w:pPr>
            <w:r>
              <w:rPr>
                <w:b/>
              </w:rPr>
              <w:t>customXmlDelRangeStart</w:t>
            </w:r>
            <w:r>
              <w:t xml:space="preserve"> ("[ISO/IEC-29500-1] §17.13.5.5; customXmlDelRangeStart")</w:t>
            </w:r>
          </w:p>
        </w:tc>
      </w:tr>
      <w:tr w:rsidR="000A156F" w:rsidTr="000A156F">
        <w:tc>
          <w:tcPr>
            <w:tcW w:w="0" w:type="auto"/>
            <w:vAlign w:val="center"/>
          </w:tcPr>
          <w:p w:rsidR="000A156F" w:rsidRDefault="00A9721F">
            <w:pPr>
              <w:pStyle w:val="TableBodyText"/>
            </w:pPr>
            <w:r>
              <w:rPr>
                <w:b/>
              </w:rPr>
              <w:t>customXmlInsRangeEnd</w:t>
            </w:r>
            <w:r>
              <w:t xml:space="preserve"> ("[ISO/IEC-29500-1] §17</w:t>
            </w:r>
            <w:r>
              <w:t>.13.5.6; customXmlInsRangeEnd")</w:t>
            </w:r>
          </w:p>
        </w:tc>
      </w:tr>
      <w:tr w:rsidR="000A156F" w:rsidTr="000A156F">
        <w:tc>
          <w:tcPr>
            <w:tcW w:w="0" w:type="auto"/>
            <w:vAlign w:val="center"/>
          </w:tcPr>
          <w:p w:rsidR="000A156F" w:rsidRDefault="00A9721F">
            <w:pPr>
              <w:pStyle w:val="TableBodyText"/>
            </w:pPr>
            <w:r>
              <w:rPr>
                <w:b/>
              </w:rPr>
              <w:t>customXmlInsRangeStart</w:t>
            </w:r>
            <w:r>
              <w:t xml:space="preserve"> ("[ISO/IEC-29500-1] §17.13.5.7; customXmlInsRangeStart")</w:t>
            </w:r>
          </w:p>
        </w:tc>
      </w:tr>
      <w:tr w:rsidR="000A156F" w:rsidTr="000A156F">
        <w:tc>
          <w:tcPr>
            <w:tcW w:w="0" w:type="auto"/>
            <w:vAlign w:val="center"/>
          </w:tcPr>
          <w:p w:rsidR="000A156F" w:rsidRDefault="00A9721F">
            <w:pPr>
              <w:pStyle w:val="TableBodyText"/>
            </w:pPr>
            <w:r>
              <w:rPr>
                <w:b/>
              </w:rPr>
              <w:t>customXmlMoveFromRangeEnd</w:t>
            </w:r>
            <w:r>
              <w:t xml:space="preserve"> ("[ISO/IEC-29500-1] §17.13.5.8; customXmlMoveFromRangeEnd")</w:t>
            </w:r>
          </w:p>
        </w:tc>
      </w:tr>
      <w:tr w:rsidR="000A156F" w:rsidTr="000A156F">
        <w:tc>
          <w:tcPr>
            <w:tcW w:w="0" w:type="auto"/>
            <w:vAlign w:val="center"/>
          </w:tcPr>
          <w:p w:rsidR="000A156F" w:rsidRDefault="00A9721F">
            <w:pPr>
              <w:pStyle w:val="TableBodyText"/>
            </w:pPr>
            <w:r>
              <w:rPr>
                <w:b/>
              </w:rPr>
              <w:lastRenderedPageBreak/>
              <w:t>customXmlMoveFromRangeStart</w:t>
            </w:r>
            <w:r>
              <w:t xml:space="preserve"> ("[ISO/IEC-29500-1] §17.13.</w:t>
            </w:r>
            <w:r>
              <w:t>5.9; customXmlMoveFromRangeStart")</w:t>
            </w:r>
          </w:p>
        </w:tc>
      </w:tr>
      <w:tr w:rsidR="000A156F" w:rsidTr="000A156F">
        <w:tc>
          <w:tcPr>
            <w:tcW w:w="0" w:type="auto"/>
            <w:vAlign w:val="center"/>
          </w:tcPr>
          <w:p w:rsidR="000A156F" w:rsidRDefault="00A9721F">
            <w:pPr>
              <w:pStyle w:val="TableBodyText"/>
            </w:pPr>
            <w:r>
              <w:rPr>
                <w:b/>
              </w:rPr>
              <w:t>customXmlMoveToRangeEnd</w:t>
            </w:r>
            <w:r>
              <w:t xml:space="preserve"> ("[ISO/IEC-29500-1] §17.13.5.10; customXmlMoveToRangeEnd")</w:t>
            </w:r>
          </w:p>
        </w:tc>
      </w:tr>
      <w:tr w:rsidR="000A156F" w:rsidTr="000A156F">
        <w:tc>
          <w:tcPr>
            <w:tcW w:w="0" w:type="auto"/>
            <w:vAlign w:val="center"/>
          </w:tcPr>
          <w:p w:rsidR="000A156F" w:rsidRDefault="00A9721F">
            <w:pPr>
              <w:pStyle w:val="TableBodyText"/>
            </w:pPr>
            <w:r>
              <w:rPr>
                <w:b/>
              </w:rPr>
              <w:t>customXmlMoveToRangeStart</w:t>
            </w:r>
            <w:r>
              <w:t xml:space="preserve"> ("[ISO/IEC-29500-1] §17.13.5.11; customXmlMoveToRangeStart")</w:t>
            </w:r>
          </w:p>
        </w:tc>
      </w:tr>
      <w:tr w:rsidR="000A156F" w:rsidTr="000A156F">
        <w:tc>
          <w:tcPr>
            <w:tcW w:w="0" w:type="auto"/>
            <w:vAlign w:val="center"/>
          </w:tcPr>
          <w:p w:rsidR="000A156F" w:rsidRDefault="00A9721F">
            <w:pPr>
              <w:pStyle w:val="TableBodyText"/>
            </w:pPr>
            <w:r>
              <w:rPr>
                <w:b/>
              </w:rPr>
              <w:t>moveFromRangeEnd</w:t>
            </w:r>
            <w:r>
              <w:t xml:space="preserve"> ("[ISO/IEC-29500-1]</w:t>
            </w:r>
            <w:r>
              <w:t xml:space="preserve"> §17.13.5.23; moveFromRangeEnd")</w:t>
            </w:r>
          </w:p>
        </w:tc>
      </w:tr>
      <w:tr w:rsidR="000A156F" w:rsidTr="000A156F">
        <w:tc>
          <w:tcPr>
            <w:tcW w:w="0" w:type="auto"/>
            <w:vAlign w:val="center"/>
          </w:tcPr>
          <w:p w:rsidR="000A156F" w:rsidRDefault="00A9721F">
            <w:pPr>
              <w:pStyle w:val="TableBodyText"/>
            </w:pPr>
            <w:r>
              <w:rPr>
                <w:b/>
              </w:rPr>
              <w:t>moveFromRangeStart</w:t>
            </w:r>
            <w:r>
              <w:t xml:space="preserve"> ("[ISO/IEC-29500-1] §17.13.5.24; moveFromRangeStart")</w:t>
            </w:r>
          </w:p>
        </w:tc>
      </w:tr>
      <w:tr w:rsidR="000A156F" w:rsidTr="000A156F">
        <w:tc>
          <w:tcPr>
            <w:tcW w:w="0" w:type="auto"/>
            <w:vAlign w:val="center"/>
          </w:tcPr>
          <w:p w:rsidR="000A156F" w:rsidRDefault="00A9721F">
            <w:pPr>
              <w:pStyle w:val="TableBodyText"/>
            </w:pPr>
            <w:r>
              <w:rPr>
                <w:b/>
              </w:rPr>
              <w:t>moveToRangeEnd</w:t>
            </w:r>
            <w:r>
              <w:t xml:space="preserve"> ("[ISO/IEC-29500-1] §17.13.5.27; moveToRangeEnd")</w:t>
            </w:r>
          </w:p>
        </w:tc>
      </w:tr>
      <w:tr w:rsidR="000A156F" w:rsidTr="000A156F">
        <w:tc>
          <w:tcPr>
            <w:tcW w:w="0" w:type="auto"/>
            <w:vAlign w:val="center"/>
          </w:tcPr>
          <w:p w:rsidR="000A156F" w:rsidRDefault="00A9721F">
            <w:pPr>
              <w:pStyle w:val="TableBodyText"/>
            </w:pPr>
            <w:r>
              <w:rPr>
                <w:b/>
              </w:rPr>
              <w:t>moveToRangeStart</w:t>
            </w:r>
            <w:r>
              <w:t xml:space="preserve"> ("[ISO/IEC-29500-1] §17.13.5.28; moveToRangeStart")</w:t>
            </w:r>
          </w:p>
        </w:tc>
      </w:tr>
    </w:tbl>
    <w:p w:rsidR="000A156F" w:rsidRDefault="000A156F"/>
    <w:p w:rsidR="000A156F" w:rsidRDefault="00A9721F">
      <w:pPr>
        <w:pStyle w:val="Heading3"/>
      </w:pPr>
      <w:bookmarkStart w:id="430" w:name="section_7f335d09bee1415e9a2bb867cdfd17bc"/>
      <w:bookmarkStart w:id="431" w:name="_Toc181683241"/>
      <w:r>
        <w:t>Part 1 Sect</w:t>
      </w:r>
      <w:r>
        <w:t>ion 17.5.2.33, sdtContent (Cell-Level Structured Document Tag Content)</w:t>
      </w:r>
      <w:bookmarkEnd w:id="430"/>
      <w:bookmarkEnd w:id="431"/>
      <w:r>
        <w:fldChar w:fldCharType="begin"/>
      </w:r>
      <w:r>
        <w:instrText xml:space="preserve"> XE "sdtContent (Cell-Level Structured Document Tag Content)"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Heading3"/>
      </w:pPr>
      <w:bookmarkStart w:id="432" w:name="section_6be4f41f2dba418e9586a427af43e12e"/>
      <w:bookmarkStart w:id="433" w:name="_Toc181683242"/>
      <w:r>
        <w:t>Part 1 Section 17.5.2.34, sdtContent (Block-Level Structured Document Tag Content)</w:t>
      </w:r>
      <w:bookmarkEnd w:id="432"/>
      <w:bookmarkEnd w:id="433"/>
      <w:r>
        <w:fldChar w:fldCharType="begin"/>
      </w:r>
      <w:r>
        <w:instrText xml:space="preserve"> XE "sdtContent (Block-Level St</w:instrText>
      </w:r>
      <w:r>
        <w:instrText xml:space="preserve">ructured Document Tag Content)"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Heading3"/>
      </w:pPr>
      <w:bookmarkStart w:id="434" w:name="section_e620584d36d841cda011ded3f5c84e3a"/>
      <w:bookmarkStart w:id="435" w:name="_Toc181683243"/>
      <w:r>
        <w:t>Part 1 Section 17.5.2.35, sdtContent (Row-Level Structured Document Tag Content)</w:t>
      </w:r>
      <w:bookmarkEnd w:id="434"/>
      <w:bookmarkEnd w:id="435"/>
      <w:r>
        <w:fldChar w:fldCharType="begin"/>
      </w:r>
      <w:r>
        <w:instrText xml:space="preserve"> XE "sdtContent (Row-Level Structured Document Tag Content)" </w:instrText>
      </w:r>
      <w:r>
        <w:fldChar w:fldCharType="end"/>
      </w:r>
    </w:p>
    <w:p w:rsidR="000A156F" w:rsidRDefault="00A9721F">
      <w:pPr>
        <w:pStyle w:val="Definition-Field2"/>
      </w:pPr>
      <w:r>
        <w:rPr>
          <w:i/>
        </w:rPr>
        <w:t>For additional notes that apply to this portion of the standard, plea</w:t>
      </w:r>
      <w:r>
        <w:rPr>
          <w:i/>
        </w:rPr>
        <w:t xml:space="preserve">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Heading3"/>
      </w:pPr>
      <w:bookmarkStart w:id="436" w:name="section_bc8e1043bdc24731aea36e6b045a6471"/>
      <w:bookmarkStart w:id="437" w:name="_Toc181683244"/>
      <w:r>
        <w:t>Part 1 Section 17.5.2.36, sdtContent (Inline-Level Structured Document Tag Content)</w:t>
      </w:r>
      <w:bookmarkEnd w:id="436"/>
      <w:bookmarkEnd w:id="437"/>
      <w:r>
        <w:fldChar w:fldCharType="begin"/>
      </w:r>
      <w:r>
        <w:instrText xml:space="preserve"> XE "sdtContent (Inline-Level Structured Document Tag Content)"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438" w:name="section_792638a52321467ea2266b23a9b56806"/>
      <w:bookmarkStart w:id="439" w:name="_Toc181683245"/>
      <w:r>
        <w:t>Part 1 Section 17.5.2.41, tabIndex (Structured Document Tag Navigation Order Index)</w:t>
      </w:r>
      <w:bookmarkEnd w:id="438"/>
      <w:bookmarkEnd w:id="439"/>
      <w:r>
        <w:fldChar w:fldCharType="begin"/>
      </w:r>
      <w:r>
        <w:instrText xml:space="preserve"> XE "tabIndex (Structured Document Tag Navigation Order Index)" </w:instrText>
      </w:r>
      <w:r>
        <w:fldChar w:fldCharType="end"/>
      </w:r>
    </w:p>
    <w:p w:rsidR="000A156F" w:rsidRDefault="00A9721F">
      <w:pPr>
        <w:pStyle w:val="Definition-Field"/>
      </w:pPr>
      <w:r>
        <w:t xml:space="preserve">a.   </w:t>
      </w:r>
      <w:r>
        <w:rPr>
          <w:i/>
        </w:rPr>
        <w:t xml:space="preserve">The standard states that this </w:t>
      </w:r>
      <w:r>
        <w:rPr>
          <w:i/>
        </w:rPr>
        <w:t>element specifies the position of the current structured document tag in the navigation (tab) order used in the document.</w:t>
      </w:r>
    </w:p>
    <w:p w:rsidR="000A156F" w:rsidRDefault="00A9721F">
      <w:pPr>
        <w:pStyle w:val="Definition-Field2"/>
      </w:pPr>
      <w:r>
        <w:t>Word ignores this element.</w:t>
      </w:r>
    </w:p>
    <w:p w:rsidR="000A156F" w:rsidRDefault="00A9721F">
      <w:pPr>
        <w:pStyle w:val="Heading3"/>
      </w:pPr>
      <w:bookmarkStart w:id="440" w:name="section_3f646bb2ec694ae29201d5b67fc28e70"/>
      <w:bookmarkStart w:id="441" w:name="_Toc181683246"/>
      <w:r>
        <w:t>Part 1 Section 17.5.2.43, temporary (Remove Structured Document Tag When Contents Are Edited)</w:t>
      </w:r>
      <w:bookmarkEnd w:id="440"/>
      <w:bookmarkEnd w:id="441"/>
      <w:r>
        <w:fldChar w:fldCharType="begin"/>
      </w:r>
      <w:r>
        <w:instrText xml:space="preserve"> XE "temporary</w:instrText>
      </w:r>
      <w:r>
        <w:instrText xml:space="preserve"> (Remove Structured Document Tag When Contents Are Edited)" </w:instrText>
      </w:r>
      <w:r>
        <w:fldChar w:fldCharType="end"/>
      </w:r>
    </w:p>
    <w:p w:rsidR="000A156F" w:rsidRDefault="00A9721F">
      <w:pPr>
        <w:pStyle w:val="Definition-Field"/>
      </w:pPr>
      <w:r>
        <w:t xml:space="preserve">a.   </w:t>
      </w:r>
      <w:r>
        <w:rPr>
          <w:i/>
        </w:rPr>
        <w:t>The standard states that temporary means the parent sdt should be removed when the contents are modified.</w:t>
      </w:r>
    </w:p>
    <w:p w:rsidR="000A156F" w:rsidRDefault="00A9721F">
      <w:pPr>
        <w:pStyle w:val="Definition-Field2"/>
      </w:pPr>
      <w:r>
        <w:lastRenderedPageBreak/>
        <w:t>Under limited circumstances involving inserting pictures, Word fails to remove the</w:t>
      </w:r>
      <w:r>
        <w:t xml:space="preserve"> parent sdt when the contents are modified.</w:t>
      </w:r>
    </w:p>
    <w:p w:rsidR="000A156F" w:rsidRDefault="00A9721F">
      <w:pPr>
        <w:pStyle w:val="Heading3"/>
      </w:pPr>
      <w:bookmarkStart w:id="442" w:name="section_98ca3cc91270454bbd1c41a7afc55ffc"/>
      <w:bookmarkStart w:id="443" w:name="_Toc181683247"/>
      <w:r>
        <w:t>Part 1 Section 17.6.2, bottom (Bottom Border)</w:t>
      </w:r>
      <w:bookmarkEnd w:id="442"/>
      <w:bookmarkEnd w:id="443"/>
      <w:r>
        <w:fldChar w:fldCharType="begin"/>
      </w:r>
      <w:r>
        <w:instrText xml:space="preserve"> XE "bottom (Bottom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The standard states that bottomLeft, bottomRi</w:t>
      </w:r>
      <w:r>
        <w:rPr>
          <w:i/>
        </w:rPr>
        <w:t>ght, and id are attributes on the bottom element.</w:t>
      </w:r>
    </w:p>
    <w:p w:rsidR="000A156F" w:rsidRDefault="00A9721F">
      <w:pPr>
        <w:pStyle w:val="Definition-Field2"/>
      </w:pPr>
      <w:r>
        <w:t>Word ignores the bottomLeft, bottomRight, and id attributes on this element.</w:t>
      </w:r>
    </w:p>
    <w:p w:rsidR="000A156F" w:rsidRDefault="00A9721F">
      <w:pPr>
        <w:pStyle w:val="Heading3"/>
      </w:pPr>
      <w:bookmarkStart w:id="444" w:name="section_d6035671f6764755b101c4de68de62ed"/>
      <w:bookmarkStart w:id="445" w:name="_Toc181683248"/>
      <w:r>
        <w:t>Part 1 Section 17.6.3, col (Single Column Definition)</w:t>
      </w:r>
      <w:bookmarkEnd w:id="444"/>
      <w:bookmarkEnd w:id="445"/>
      <w:r>
        <w:fldChar w:fldCharType="begin"/>
      </w:r>
      <w:r>
        <w:instrText xml:space="preserve"> XE "col (Single Column Definition)" </w:instrText>
      </w:r>
      <w:r>
        <w:fldChar w:fldCharType="end"/>
      </w:r>
    </w:p>
    <w:p w:rsidR="000A156F" w:rsidRDefault="00A9721F">
      <w:pPr>
        <w:pStyle w:val="Definition-Field"/>
      </w:pPr>
      <w:r>
        <w:t xml:space="preserve">a.   </w:t>
      </w:r>
      <w:r>
        <w:rPr>
          <w:i/>
        </w:rPr>
        <w:t>The standard does not specify a</w:t>
      </w:r>
      <w:r>
        <w:rPr>
          <w:i/>
        </w:rPr>
        <w:t xml:space="preserve"> default value for the space attribute.</w:t>
      </w:r>
    </w:p>
    <w:p w:rsidR="000A156F" w:rsidRDefault="00A9721F">
      <w:pPr>
        <w:pStyle w:val="Definition-Field2"/>
      </w:pPr>
      <w:r>
        <w:t>Word uses a default value of 0 for this attribute.</w:t>
      </w:r>
    </w:p>
    <w:p w:rsidR="000A156F" w:rsidRDefault="00A9721F">
      <w:pPr>
        <w:pStyle w:val="Definition-Field"/>
      </w:pPr>
      <w:r>
        <w:t xml:space="preserve">b.   </w:t>
      </w:r>
      <w:r>
        <w:rPr>
          <w:i/>
        </w:rPr>
        <w:t>The standard states that the w attribute is always optional.</w:t>
      </w:r>
    </w:p>
    <w:p w:rsidR="000A156F" w:rsidRDefault="00A9721F">
      <w:pPr>
        <w:pStyle w:val="Definition-Field2"/>
      </w:pPr>
      <w:r>
        <w:t>Word requires that this attribute is present when the parent cols element has an equalWidth attribu</w:t>
      </w:r>
      <w:r>
        <w:t>te value of false (or equivalent).</w:t>
      </w:r>
    </w:p>
    <w:p w:rsidR="000A156F" w:rsidRDefault="00A9721F">
      <w:pPr>
        <w:pStyle w:val="Heading3"/>
      </w:pPr>
      <w:bookmarkStart w:id="446" w:name="section_ef7027d4e05d473b8777dcc2aee91935"/>
      <w:bookmarkStart w:id="447" w:name="_Toc181683249"/>
      <w:r>
        <w:t>Part 1 Section 17.6.4, cols (Column Definitions)</w:t>
      </w:r>
      <w:bookmarkEnd w:id="446"/>
      <w:bookmarkEnd w:id="447"/>
      <w:r>
        <w:fldChar w:fldCharType="begin"/>
      </w:r>
      <w:r>
        <w:instrText xml:space="preserve"> XE "cols (Column Definitions)" </w:instrText>
      </w:r>
      <w:r>
        <w:fldChar w:fldCharType="end"/>
      </w:r>
    </w:p>
    <w:p w:rsidR="000A156F" w:rsidRDefault="00A9721F">
      <w:pPr>
        <w:pStyle w:val="Definition-Field"/>
      </w:pPr>
      <w:r>
        <w:t xml:space="preserve">a.   </w:t>
      </w:r>
      <w:r>
        <w:rPr>
          <w:i/>
        </w:rPr>
        <w:t>The standard states that the num attribute allows any integer value.</w:t>
      </w:r>
    </w:p>
    <w:p w:rsidR="000A156F" w:rsidRDefault="00A9721F">
      <w:pPr>
        <w:pStyle w:val="Definition-Field2"/>
      </w:pPr>
      <w:r>
        <w:t>Word restricts the value of the num attribute to a value between</w:t>
      </w:r>
      <w:r>
        <w:t xml:space="preserve"> 1 and 45.</w:t>
      </w:r>
    </w:p>
    <w:p w:rsidR="000A156F" w:rsidRDefault="00A9721F">
      <w:pPr>
        <w:pStyle w:val="Definition-Field"/>
      </w:pPr>
      <w:r>
        <w:t xml:space="preserve">b.   </w:t>
      </w:r>
      <w:r>
        <w:rPr>
          <w:i/>
        </w:rPr>
        <w:t>The standard does not specify a default value for the equalWidth attribute.</w:t>
      </w:r>
    </w:p>
    <w:p w:rsidR="000A156F" w:rsidRDefault="00A9721F">
      <w:pPr>
        <w:pStyle w:val="Definition-Field2"/>
      </w:pPr>
      <w:r>
        <w:t>Word uses a default value of true for this attribute.</w:t>
      </w:r>
    </w:p>
    <w:p w:rsidR="000A156F" w:rsidRDefault="00A9721F">
      <w:pPr>
        <w:pStyle w:val="Definition-Field"/>
      </w:pPr>
      <w:r>
        <w:t xml:space="preserve">c.   </w:t>
      </w:r>
      <w:r>
        <w:rPr>
          <w:i/>
        </w:rPr>
        <w:t>The standard states that when the equalWidth attribute is false (or equivalent), the num attribute is ign</w:t>
      </w:r>
      <w:r>
        <w:rPr>
          <w:i/>
        </w:rPr>
        <w:t>ored in favor of the number of child col elements.</w:t>
      </w:r>
    </w:p>
    <w:p w:rsidR="000A156F" w:rsidRDefault="00A9721F">
      <w:pPr>
        <w:pStyle w:val="Definition-Field2"/>
      </w:pPr>
      <w:r>
        <w:t>Word requires that the value of the num attribute matches the number of child col elements. If the num attribute is not specified, then Word assumes a value of 1.</w:t>
      </w:r>
    </w:p>
    <w:p w:rsidR="000A156F" w:rsidRDefault="00A9721F">
      <w:pPr>
        <w:pStyle w:val="Heading3"/>
      </w:pPr>
      <w:bookmarkStart w:id="448" w:name="section_94d7cfde2a8847babe9615860e86d40f"/>
      <w:bookmarkStart w:id="449" w:name="_Toc181683250"/>
      <w:r>
        <w:t>Part 1 Section 17.6.7, left (Left Border)</w:t>
      </w:r>
      <w:bookmarkEnd w:id="448"/>
      <w:bookmarkEnd w:id="449"/>
      <w:r>
        <w:fldChar w:fldCharType="begin"/>
      </w:r>
      <w:r>
        <w:instrText xml:space="preserve"> </w:instrText>
      </w:r>
      <w:r>
        <w:instrText xml:space="preserve">XE "left (Left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The standard states that the id attribute specifies a relationship ID for a custom border image.</w:t>
      </w:r>
    </w:p>
    <w:p w:rsidR="000A156F" w:rsidRDefault="00A9721F">
      <w:pPr>
        <w:pStyle w:val="Definition-Field2"/>
      </w:pPr>
      <w:r>
        <w:t>Word ignores the id attribute.</w:t>
      </w:r>
    </w:p>
    <w:p w:rsidR="000A156F" w:rsidRDefault="00A9721F">
      <w:pPr>
        <w:pStyle w:val="Heading3"/>
      </w:pPr>
      <w:bookmarkStart w:id="450" w:name="section_c4252e1348d24ac99fb53b276d02be30"/>
      <w:bookmarkStart w:id="451" w:name="_Toc181683251"/>
      <w:r>
        <w:t>Part 1 Section 17.6.8, lnNumType (Line Numbering Settings)</w:t>
      </w:r>
      <w:bookmarkEnd w:id="450"/>
      <w:bookmarkEnd w:id="451"/>
      <w:r>
        <w:fldChar w:fldCharType="begin"/>
      </w:r>
      <w:r>
        <w:instrText xml:space="preserve"> XE "lnNumType (Line Numbering Settings)" </w:instrText>
      </w:r>
      <w:r>
        <w:fldChar w:fldCharType="end"/>
      </w:r>
    </w:p>
    <w:p w:rsidR="000A156F" w:rsidRDefault="00A9721F">
      <w:pPr>
        <w:pStyle w:val="Definition-Field"/>
      </w:pPr>
      <w:r>
        <w:t xml:space="preserve">a.   </w:t>
      </w:r>
      <w:r>
        <w:rPr>
          <w:i/>
        </w:rPr>
        <w:t>The standard states that the values of the start attribute are defined by the ST_DecimalNumber simple type.</w:t>
      </w:r>
    </w:p>
    <w:p w:rsidR="000A156F" w:rsidRDefault="00A9721F">
      <w:pPr>
        <w:pStyle w:val="Definition-Field2"/>
      </w:pPr>
      <w:r>
        <w:t>Word restricts the value of this attribu</w:t>
      </w:r>
      <w:r>
        <w:t>te to be at least 0 and at most 32767.</w:t>
      </w:r>
    </w:p>
    <w:p w:rsidR="000A156F" w:rsidRDefault="00A9721F">
      <w:pPr>
        <w:pStyle w:val="Definition-Field"/>
      </w:pPr>
      <w:r>
        <w:t xml:space="preserve">b.   </w:t>
      </w:r>
      <w:r>
        <w:rPr>
          <w:i/>
        </w:rPr>
        <w:t>The standard states that the start attribute specifies the starting value for (re)started line numbering.</w:t>
      </w:r>
    </w:p>
    <w:p w:rsidR="000A156F" w:rsidRDefault="00A9721F">
      <w:pPr>
        <w:pStyle w:val="Definition-Field2"/>
      </w:pPr>
      <w:r>
        <w:lastRenderedPageBreak/>
        <w:t xml:space="preserve">Word uses the start attribute as the number of line numbers that should be skipped when starting or </w:t>
      </w:r>
      <w:r>
        <w:t>restarting line numbering (for example, a value of 3 means to start numbering at 4).</w:t>
      </w:r>
    </w:p>
    <w:p w:rsidR="000A156F" w:rsidRDefault="00A9721F">
      <w:pPr>
        <w:pStyle w:val="Definition-Field"/>
      </w:pPr>
      <w:r>
        <w:t xml:space="preserve">c.   </w:t>
      </w:r>
      <w:r>
        <w:rPr>
          <w:i/>
        </w:rPr>
        <w:t>The standard states that the countBy attribute can be any integer value.</w:t>
      </w:r>
    </w:p>
    <w:p w:rsidR="000A156F" w:rsidRDefault="00A9721F">
      <w:pPr>
        <w:pStyle w:val="Definition-Field2"/>
      </w:pPr>
      <w:r>
        <w:t>Word restricts the contents of this attribute to a value between 1 and 100 inclusive.</w:t>
      </w:r>
    </w:p>
    <w:p w:rsidR="000A156F" w:rsidRDefault="00A9721F">
      <w:pPr>
        <w:pStyle w:val="Heading3"/>
      </w:pPr>
      <w:bookmarkStart w:id="452" w:name="section_9702ba00325540d0901640f8b1da3f57"/>
      <w:bookmarkStart w:id="453" w:name="_Toc181683252"/>
      <w:r>
        <w:t xml:space="preserve">Part 1 </w:t>
      </w:r>
      <w:r>
        <w:t>Section 17.6.9, paperSrc (Paper Source Information)</w:t>
      </w:r>
      <w:bookmarkEnd w:id="452"/>
      <w:bookmarkEnd w:id="453"/>
      <w:r>
        <w:fldChar w:fldCharType="begin"/>
      </w:r>
      <w:r>
        <w:instrText xml:space="preserve"> XE "paperSrc (Paper Source Information)" </w:instrText>
      </w:r>
      <w:r>
        <w:fldChar w:fldCharType="end"/>
      </w:r>
    </w:p>
    <w:p w:rsidR="000A156F" w:rsidRDefault="00A9721F">
      <w:pPr>
        <w:pStyle w:val="Definition-Field"/>
      </w:pPr>
      <w:r>
        <w:t xml:space="preserve">a.   </w:t>
      </w:r>
      <w:r>
        <w:rPr>
          <w:i/>
        </w:rPr>
        <w:t>The standard states that the first and other attributes can be any integer.</w:t>
      </w:r>
    </w:p>
    <w:p w:rsidR="000A156F" w:rsidRDefault="00A9721F">
      <w:pPr>
        <w:pStyle w:val="Definition-Field2"/>
      </w:pPr>
      <w:r>
        <w:t>Word restricts these values to the range of an unsigned short.</w:t>
      </w:r>
    </w:p>
    <w:p w:rsidR="000A156F" w:rsidRDefault="00A9721F">
      <w:pPr>
        <w:pStyle w:val="Definition-Field"/>
      </w:pPr>
      <w:r>
        <w:t xml:space="preserve">b.   </w:t>
      </w:r>
      <w:r>
        <w:rPr>
          <w:i/>
        </w:rPr>
        <w:t>The standar</w:t>
      </w:r>
      <w:r>
        <w:rPr>
          <w:i/>
        </w:rPr>
        <w:t>d simply states that this element's attributes specify "...a printer-specific code that uniquely identifies a specific printer tray..."</w:t>
      </w:r>
    </w:p>
    <w:p w:rsidR="000A156F" w:rsidRDefault="00A9721F">
      <w:pPr>
        <w:pStyle w:val="Definition-Field2"/>
      </w:pPr>
      <w:r>
        <w:t xml:space="preserve">Word passes this value to the Windows DEVMODE printing API </w:t>
      </w:r>
      <w:hyperlink r:id="rId99">
        <w:r>
          <w:rPr>
            <w:rStyle w:val="Hyperlink"/>
          </w:rPr>
          <w:t>[DEVMODE]</w:t>
        </w:r>
      </w:hyperlink>
      <w:r>
        <w:t xml:space="preserve"> where the value may have a standard meaning to Windows or an installed printer.</w:t>
      </w:r>
    </w:p>
    <w:p w:rsidR="000A156F" w:rsidRDefault="00A9721F">
      <w:pPr>
        <w:pStyle w:val="Heading3"/>
      </w:pPr>
      <w:bookmarkStart w:id="454" w:name="section_5307147fa81a42d2b84c3a2b50576876"/>
      <w:bookmarkStart w:id="455" w:name="_Toc181683253"/>
      <w:r>
        <w:t>Part 1 Section 17.6.10, pgBorders (Page Borders)</w:t>
      </w:r>
      <w:bookmarkEnd w:id="454"/>
      <w:bookmarkEnd w:id="455"/>
      <w:r>
        <w:fldChar w:fldCharType="begin"/>
      </w:r>
      <w:r>
        <w:instrText xml:space="preserve"> XE "pgBorders (Page Borders)" </w:instrText>
      </w:r>
      <w:r>
        <w:fldChar w:fldCharType="end"/>
      </w:r>
    </w:p>
    <w:p w:rsidR="000A156F" w:rsidRDefault="00A9721F">
      <w:pPr>
        <w:pStyle w:val="Definition-Field"/>
      </w:pPr>
      <w:r>
        <w:t xml:space="preserve">a.   </w:t>
      </w:r>
      <w:r>
        <w:rPr>
          <w:i/>
        </w:rPr>
        <w:t>The standard does not specify a default value for the zOrder attribute.</w:t>
      </w:r>
    </w:p>
    <w:p w:rsidR="000A156F" w:rsidRDefault="00A9721F">
      <w:pPr>
        <w:pStyle w:val="Definition-Field2"/>
      </w:pPr>
      <w:r>
        <w:t>Wor</w:t>
      </w:r>
      <w:r>
        <w:t>d uses a default value of front for this attribute.</w:t>
      </w:r>
    </w:p>
    <w:p w:rsidR="000A156F" w:rsidRDefault="00A9721F">
      <w:pPr>
        <w:pStyle w:val="Definition-Field"/>
      </w:pPr>
      <w:r>
        <w:t xml:space="preserve">b.   </w:t>
      </w:r>
      <w:r>
        <w:rPr>
          <w:i/>
        </w:rPr>
        <w:t>The standard does not specify a default value for the offsetFrom attribute.</w:t>
      </w:r>
    </w:p>
    <w:p w:rsidR="000A156F" w:rsidRDefault="00A9721F">
      <w:pPr>
        <w:pStyle w:val="Definition-Field2"/>
      </w:pPr>
      <w:r>
        <w:t>Word uses a default value of text for this attribute.</w:t>
      </w:r>
    </w:p>
    <w:p w:rsidR="000A156F" w:rsidRDefault="00A9721F">
      <w:pPr>
        <w:pStyle w:val="Heading3"/>
      </w:pPr>
      <w:bookmarkStart w:id="456" w:name="section_c13857a66aa54b53a2a8a8498e62085b"/>
      <w:bookmarkStart w:id="457" w:name="_Toc181683254"/>
      <w:r>
        <w:t>Part 1 Section 17.6.11, pgMar (Page Margins)</w:t>
      </w:r>
      <w:bookmarkEnd w:id="456"/>
      <w:bookmarkEnd w:id="457"/>
      <w:r>
        <w:fldChar w:fldCharType="begin"/>
      </w:r>
      <w:r>
        <w:instrText xml:space="preserve"> XE "pgMar (Page Margins)</w:instrText>
      </w:r>
      <w:r>
        <w:instrText xml:space="preserve">" </w:instrText>
      </w:r>
      <w:r>
        <w:fldChar w:fldCharType="end"/>
      </w:r>
    </w:p>
    <w:p w:rsidR="000A156F" w:rsidRDefault="00A9721F">
      <w:pPr>
        <w:pStyle w:val="Definition-Field"/>
      </w:pPr>
      <w:r>
        <w:t xml:space="preserve">a.   </w:t>
      </w:r>
      <w:r>
        <w:rPr>
          <w:i/>
        </w:rPr>
        <w:t>The standard states that the values of the right, left, header, footer, and gutter attributes are defined by the XML Schema unsignedLong datatype.</w:t>
      </w:r>
    </w:p>
    <w:p w:rsidR="000A156F" w:rsidRDefault="00A9721F">
      <w:pPr>
        <w:pStyle w:val="Definition-Field2"/>
      </w:pPr>
      <w:r>
        <w:t>Word restricts the values of these attributes to be at most 31680 (22").</w:t>
      </w:r>
    </w:p>
    <w:p w:rsidR="000A156F" w:rsidRDefault="00A9721F">
      <w:pPr>
        <w:pStyle w:val="Definition-Field"/>
      </w:pPr>
      <w:r>
        <w:t xml:space="preserve">b.   </w:t>
      </w:r>
      <w:r>
        <w:rPr>
          <w:i/>
        </w:rPr>
        <w:t>The standard states t</w:t>
      </w:r>
      <w:r>
        <w:rPr>
          <w:i/>
        </w:rPr>
        <w:t>hat the values of the top and bottom attributes are defined by the XML Schema integer datatype.</w:t>
      </w:r>
    </w:p>
    <w:p w:rsidR="000A156F" w:rsidRDefault="00A9721F">
      <w:pPr>
        <w:pStyle w:val="Definition-Field2"/>
      </w:pPr>
      <w:r>
        <w:t>Word restricts the values of these attributes to be at least -31680 (-22") and at most 31680 (22").</w:t>
      </w:r>
    </w:p>
    <w:p w:rsidR="000A156F" w:rsidRDefault="00A9721F">
      <w:pPr>
        <w:pStyle w:val="Heading3"/>
      </w:pPr>
      <w:bookmarkStart w:id="458" w:name="section_a3bbd1887d1e400c9ea71d8f96eb62c4"/>
      <w:bookmarkStart w:id="459" w:name="_Toc181683255"/>
      <w:r>
        <w:t>Part 1 Section 17.6.12, pgNumType (Page Numbering Settings)</w:t>
      </w:r>
      <w:bookmarkEnd w:id="458"/>
      <w:bookmarkEnd w:id="459"/>
      <w:r>
        <w:fldChar w:fldCharType="begin"/>
      </w:r>
      <w:r>
        <w:instrText xml:space="preserve"> </w:instrText>
      </w:r>
      <w:r>
        <w:instrText xml:space="preserve">XE "pgNumType (Page Numbering Settings)" </w:instrText>
      </w:r>
      <w:r>
        <w:fldChar w:fldCharType="end"/>
      </w:r>
    </w:p>
    <w:p w:rsidR="000A156F" w:rsidRDefault="00A9721F">
      <w:pPr>
        <w:pStyle w:val="Definition-Field"/>
      </w:pPr>
      <w:r>
        <w:t xml:space="preserve">a.   </w:t>
      </w:r>
      <w:r>
        <w:rPr>
          <w:i/>
        </w:rPr>
        <w:t>The standard states that the chapStyle attribute can be any integer value.</w:t>
      </w:r>
    </w:p>
    <w:p w:rsidR="000A156F" w:rsidRDefault="00A9721F">
      <w:pPr>
        <w:pStyle w:val="Definition-Field2"/>
      </w:pPr>
      <w:r>
        <w:t>Word requires that this attribute is an unsigned byte.</w:t>
      </w:r>
    </w:p>
    <w:p w:rsidR="000A156F" w:rsidRDefault="00A9721F">
      <w:pPr>
        <w:pStyle w:val="Definition-Field"/>
      </w:pPr>
      <w:r>
        <w:t xml:space="preserve">b.   </w:t>
      </w:r>
      <w:r>
        <w:rPr>
          <w:i/>
        </w:rPr>
        <w:t>The standard does not specify a default value for the chapSep attribute.</w:t>
      </w:r>
    </w:p>
    <w:p w:rsidR="000A156F" w:rsidRDefault="00A9721F">
      <w:pPr>
        <w:pStyle w:val="Definition-Field2"/>
      </w:pPr>
      <w:r>
        <w:t>Word uses a default value of hyphen for this attribute.</w:t>
      </w:r>
    </w:p>
    <w:p w:rsidR="000A156F" w:rsidRDefault="00A9721F">
      <w:pPr>
        <w:pStyle w:val="Definition-Field"/>
      </w:pPr>
      <w:r>
        <w:t xml:space="preserve">c.   </w:t>
      </w:r>
      <w:r>
        <w:rPr>
          <w:i/>
        </w:rPr>
        <w:t>The standard does not state a default for the fmt attribute.</w:t>
      </w:r>
    </w:p>
    <w:p w:rsidR="000A156F" w:rsidRDefault="00A9721F">
      <w:pPr>
        <w:pStyle w:val="Definition-Field2"/>
      </w:pPr>
      <w:r>
        <w:t>Word uses a default value of decimal for this attribute.</w:t>
      </w:r>
    </w:p>
    <w:p w:rsidR="000A156F" w:rsidRDefault="00A9721F">
      <w:pPr>
        <w:pStyle w:val="Definition-Field"/>
      </w:pPr>
      <w:r>
        <w:t xml:space="preserve">d.   </w:t>
      </w:r>
      <w:r>
        <w:rPr>
          <w:i/>
        </w:rPr>
        <w:t>The standard states that the start attribute can be any integer value.</w:t>
      </w:r>
    </w:p>
    <w:p w:rsidR="000A156F" w:rsidRDefault="00A9721F">
      <w:pPr>
        <w:pStyle w:val="Definition-Field2"/>
      </w:pPr>
      <w:r>
        <w:t>Word requires that the start attribute is an unsigned 32-bit integer.</w:t>
      </w:r>
    </w:p>
    <w:p w:rsidR="000A156F" w:rsidRDefault="00A9721F">
      <w:pPr>
        <w:pStyle w:val="Heading3"/>
      </w:pPr>
      <w:bookmarkStart w:id="460" w:name="section_e701752006b4438f97d23e49f247ca9f"/>
      <w:bookmarkStart w:id="461" w:name="_Toc181683256"/>
      <w:r>
        <w:lastRenderedPageBreak/>
        <w:t>Part 1 Section 17.6.13, pgSz (Page Size)</w:t>
      </w:r>
      <w:bookmarkEnd w:id="460"/>
      <w:bookmarkEnd w:id="461"/>
      <w:r>
        <w:fldChar w:fldCharType="begin"/>
      </w:r>
      <w:r>
        <w:instrText xml:space="preserve"> XE "pgSz (Page Size)" </w:instrText>
      </w:r>
      <w:r>
        <w:fldChar w:fldCharType="end"/>
      </w:r>
    </w:p>
    <w:p w:rsidR="000A156F" w:rsidRDefault="00A9721F">
      <w:pPr>
        <w:pStyle w:val="Definition-Field"/>
      </w:pPr>
      <w:r>
        <w:t xml:space="preserve">a.   </w:t>
      </w:r>
      <w:r>
        <w:rPr>
          <w:i/>
        </w:rPr>
        <w:t>The standard states that the values of the code attribute are defined by the ST_DecimalNumber simple type.</w:t>
      </w:r>
    </w:p>
    <w:p w:rsidR="000A156F" w:rsidRDefault="00A9721F">
      <w:pPr>
        <w:pStyle w:val="Definition-Field2"/>
      </w:pPr>
      <w:r>
        <w:t xml:space="preserve">Word </w:t>
      </w:r>
      <w:r>
        <w:t>restricts the value of this attribute to be at least 0 and at most 118.</w:t>
      </w:r>
    </w:p>
    <w:p w:rsidR="000A156F" w:rsidRDefault="00A9721F">
      <w:pPr>
        <w:pStyle w:val="Definition-Field"/>
      </w:pPr>
      <w:r>
        <w:t xml:space="preserve">b.   </w:t>
      </w:r>
      <w:r>
        <w:rPr>
          <w:i/>
        </w:rPr>
        <w:t>The standard states that the h and w attributes can have any value in the range 0 to 4294967295, inclusive.</w:t>
      </w:r>
    </w:p>
    <w:p w:rsidR="000A156F" w:rsidRDefault="00A9721F">
      <w:pPr>
        <w:pStyle w:val="Definition-Field2"/>
      </w:pPr>
      <w:r>
        <w:t xml:space="preserve">Word requires that this value is between the width of the page margins </w:t>
      </w:r>
      <w:r>
        <w:t>(and any column widths, for the w attribute) and 31680 (22 inches).</w:t>
      </w:r>
    </w:p>
    <w:p w:rsidR="000A156F" w:rsidRDefault="00A9721F">
      <w:pPr>
        <w:pStyle w:val="Heading3"/>
      </w:pPr>
      <w:bookmarkStart w:id="462" w:name="section_5e58b73274f34537b4b6be33958bd32f"/>
      <w:bookmarkStart w:id="463" w:name="_Toc181683257"/>
      <w:r>
        <w:t>Part 1 Section 17.6.14, printerSettings (Reference to Printer Settings Data)</w:t>
      </w:r>
      <w:bookmarkEnd w:id="462"/>
      <w:bookmarkEnd w:id="463"/>
      <w:r>
        <w:fldChar w:fldCharType="begin"/>
      </w:r>
      <w:r>
        <w:instrText xml:space="preserve"> XE "printerSettings (Reference to Printer Settings Data)" </w:instrText>
      </w:r>
      <w:r>
        <w:fldChar w:fldCharType="end"/>
      </w:r>
    </w:p>
    <w:p w:rsidR="000A156F" w:rsidRDefault="00A9721F">
      <w:pPr>
        <w:pStyle w:val="Definition-Field2"/>
      </w:pPr>
      <w:r>
        <w:rPr>
          <w:i/>
        </w:rPr>
        <w:t>For additional notes that apply to this portion of</w:t>
      </w:r>
      <w:r>
        <w:rPr>
          <w:i/>
        </w:rPr>
        <w:t xml:space="preserve"> the standard, please see the notes for </w:t>
      </w:r>
      <w:hyperlink w:anchor="Section_55e01b00ed934498b4e5b0bc0abdf97d">
        <w:r>
          <w:rPr>
            <w:rStyle w:val="Hyperlink"/>
          </w:rPr>
          <w:t>attachedTemplate, §17.15.1.6(a)</w:t>
        </w:r>
      </w:hyperlink>
      <w:r>
        <w:rPr>
          <w:i/>
        </w:rPr>
        <w:t>.</w:t>
      </w:r>
    </w:p>
    <w:p w:rsidR="000A156F" w:rsidRDefault="00A9721F">
      <w:pPr>
        <w:pStyle w:val="Definition-Field"/>
      </w:pPr>
      <w:r>
        <w:t xml:space="preserve">a.   </w:t>
      </w:r>
      <w:r>
        <w:rPr>
          <w:i/>
        </w:rPr>
        <w:t>The standard states that the printerSettings element references the Printer Settings part associated with this sect</w:t>
      </w:r>
      <w:r>
        <w:rPr>
          <w:i/>
        </w:rPr>
        <w:t>ion.</w:t>
      </w:r>
    </w:p>
    <w:p w:rsidR="000A156F" w:rsidRDefault="00A9721F">
      <w:pPr>
        <w:pStyle w:val="Definition-Field2"/>
      </w:pPr>
      <w:r>
        <w:t>Word discards this element and the associated Printer Settings part.</w:t>
      </w:r>
    </w:p>
    <w:p w:rsidR="000A156F" w:rsidRDefault="00A9721F">
      <w:pPr>
        <w:pStyle w:val="Heading3"/>
      </w:pPr>
      <w:bookmarkStart w:id="464" w:name="section_0f1da753bf8a44e1a4a7ed7d1d0ba7b1"/>
      <w:bookmarkStart w:id="465" w:name="_Toc181683258"/>
      <w:r>
        <w:t>Part 1 Section 17.6.15, right (Right Border)</w:t>
      </w:r>
      <w:bookmarkEnd w:id="464"/>
      <w:bookmarkEnd w:id="465"/>
      <w:r>
        <w:fldChar w:fldCharType="begin"/>
      </w:r>
      <w:r>
        <w:instrText xml:space="preserve"> XE "right (Right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The standard state</w:t>
      </w:r>
      <w:r>
        <w:rPr>
          <w:i/>
        </w:rPr>
        <w:t>s that the id attribute specifies a relationship ID for the border image.</w:t>
      </w:r>
    </w:p>
    <w:p w:rsidR="000A156F" w:rsidRDefault="00A9721F">
      <w:pPr>
        <w:pStyle w:val="Definition-Field2"/>
      </w:pPr>
      <w:r>
        <w:t>Word ignores the id attribute.</w:t>
      </w:r>
    </w:p>
    <w:p w:rsidR="000A156F" w:rsidRDefault="00A9721F">
      <w:pPr>
        <w:pStyle w:val="Heading3"/>
      </w:pPr>
      <w:bookmarkStart w:id="466" w:name="section_ce8217a61aad45fb8e56b8c3fe411fe1"/>
      <w:bookmarkStart w:id="467" w:name="_Toc181683259"/>
      <w:r>
        <w:t>Part 1 Section 17.6.17, sectPr (Document Final Section Properties)</w:t>
      </w:r>
      <w:bookmarkEnd w:id="466"/>
      <w:bookmarkEnd w:id="467"/>
      <w:r>
        <w:fldChar w:fldCharType="begin"/>
      </w:r>
      <w:r>
        <w:instrText xml:space="preserve"> XE "sectPr (Document Final Section Properties)" </w:instrText>
      </w:r>
      <w:r>
        <w:fldChar w:fldCharType="end"/>
      </w:r>
    </w:p>
    <w:p w:rsidR="000A156F" w:rsidRDefault="00A9721F">
      <w:pPr>
        <w:pStyle w:val="Definition-Field2"/>
      </w:pPr>
      <w:r>
        <w:rPr>
          <w:i/>
        </w:rPr>
        <w:t>For additional notes that apply t</w:t>
      </w:r>
      <w:r>
        <w:rPr>
          <w:i/>
        </w:rPr>
        <w:t xml:space="preserve">o this portion of the standard, please see the notes for </w:t>
      </w:r>
      <w:hyperlink w:anchor="Section_b6dd3f0a901b4698a7d1a1be4c1eb3f5">
        <w:r>
          <w:rPr>
            <w:rStyle w:val="Hyperlink"/>
          </w:rPr>
          <w:t>sectPr, §17.6.18(a, b)</w:t>
        </w:r>
      </w:hyperlink>
      <w:r>
        <w:rPr>
          <w:i/>
        </w:rPr>
        <w:t>.</w:t>
      </w:r>
    </w:p>
    <w:p w:rsidR="000A156F" w:rsidRDefault="00A9721F">
      <w:pPr>
        <w:pStyle w:val="Heading3"/>
      </w:pPr>
      <w:bookmarkStart w:id="468" w:name="section_b6dd3f0a901b4698a7d1a1be4c1eb3f5"/>
      <w:bookmarkStart w:id="469" w:name="_Toc181683260"/>
      <w:r>
        <w:t>Part 1 Section 17.6.18, sectPr (Section Properties)</w:t>
      </w:r>
      <w:bookmarkEnd w:id="468"/>
      <w:bookmarkEnd w:id="469"/>
      <w:r>
        <w:fldChar w:fldCharType="begin"/>
      </w:r>
      <w:r>
        <w:instrText xml:space="preserve"> XE "sectPr (Section Properties)" </w:instrText>
      </w:r>
      <w:r>
        <w:fldChar w:fldCharType="end"/>
      </w:r>
    </w:p>
    <w:p w:rsidR="000A156F" w:rsidRDefault="00A9721F">
      <w:pPr>
        <w:pStyle w:val="Definition-Field2"/>
      </w:pPr>
      <w:r>
        <w:rPr>
          <w:i/>
        </w:rPr>
        <w:t>For additional notes tha</w:t>
      </w:r>
      <w:r>
        <w:rPr>
          <w:i/>
        </w:rPr>
        <w:t xml:space="preserve">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0A156F" w:rsidRDefault="00A9721F">
      <w:pPr>
        <w:pStyle w:val="Definition-Field"/>
      </w:pPr>
      <w:r>
        <w:t xml:space="preserve">a.   </w:t>
      </w:r>
      <w:r>
        <w:rPr>
          <w:i/>
        </w:rPr>
        <w:t>The standard appears to have the same definition for rsidSect as it does for rsidRPr.</w:t>
      </w:r>
    </w:p>
    <w:p w:rsidR="000A156F" w:rsidRDefault="00A9721F">
      <w:pPr>
        <w:pStyle w:val="Definition-Field2"/>
      </w:pPr>
      <w:r>
        <w:t>Word uses rsidSect to denote</w:t>
      </w:r>
      <w:r>
        <w:t xml:space="preserve"> the editing session when the section properties were last modified.</w:t>
      </w:r>
    </w:p>
    <w:p w:rsidR="000A156F" w:rsidRDefault="00A9721F">
      <w:pPr>
        <w:pStyle w:val="Definition-Field"/>
      </w:pPr>
      <w:r>
        <w:t xml:space="preserve">b.   </w:t>
      </w:r>
      <w:r>
        <w:rPr>
          <w:i/>
        </w:rPr>
        <w:t>The standard states that rsids are stored on the section properties, distinct from the paragraph in which they are located.</w:t>
      </w:r>
    </w:p>
    <w:p w:rsidR="000A156F" w:rsidRDefault="00A9721F">
      <w:pPr>
        <w:pStyle w:val="Definition-Field2"/>
      </w:pPr>
      <w:r>
        <w:t xml:space="preserve">Word ignores rsids in the sectPr and instead applies the </w:t>
      </w:r>
      <w:r>
        <w:t>corresponding rsids from the containing p (for the sectPr of any non-final section) or the last p in the document (for the final section).</w:t>
      </w:r>
    </w:p>
    <w:p w:rsidR="000A156F" w:rsidRDefault="00A9721F">
      <w:pPr>
        <w:pStyle w:val="Definition-Field"/>
      </w:pPr>
      <w:r>
        <w:t xml:space="preserve">c.   </w:t>
      </w:r>
      <w:r>
        <w:rPr>
          <w:i/>
        </w:rPr>
        <w:t>The standard states that a sectPr element can be contained within any pPr element.</w:t>
      </w:r>
    </w:p>
    <w:p w:rsidR="000A156F" w:rsidRDefault="00A9721F">
      <w:pPr>
        <w:pStyle w:val="Definition-Field2"/>
      </w:pPr>
      <w:r>
        <w:t>Word does not allow this elem</w:t>
      </w:r>
      <w:r>
        <w:t>ent to be used on paragraphs within tables, headers, footers, comments, footnotes, endnotes, or text boxes.</w:t>
      </w:r>
    </w:p>
    <w:p w:rsidR="000A156F" w:rsidRDefault="00A9721F">
      <w:pPr>
        <w:pStyle w:val="Heading3"/>
      </w:pPr>
      <w:bookmarkStart w:id="470" w:name="section_24ff9b7e6fea433ba934bd70c6c24d1e"/>
      <w:bookmarkStart w:id="471" w:name="_Toc181683261"/>
      <w:r>
        <w:lastRenderedPageBreak/>
        <w:t>Part 1 Section 17.6.19, sectPr (Previous Section Properties)</w:t>
      </w:r>
      <w:bookmarkEnd w:id="470"/>
      <w:bookmarkEnd w:id="471"/>
      <w:r>
        <w:fldChar w:fldCharType="begin"/>
      </w:r>
      <w:r>
        <w:instrText xml:space="preserve"> XE "sectPr (Previous Section Properties)" </w:instrText>
      </w:r>
      <w:r>
        <w:fldChar w:fldCharType="end"/>
      </w:r>
    </w:p>
    <w:p w:rsidR="000A156F" w:rsidRDefault="00A9721F">
      <w:pPr>
        <w:pStyle w:val="Definition-Field2"/>
      </w:pPr>
      <w:r>
        <w:rPr>
          <w:i/>
        </w:rPr>
        <w:t>For additional notes that apply to this po</w:t>
      </w:r>
      <w:r>
        <w:rPr>
          <w:i/>
        </w:rPr>
        <w:t xml:space="preserve">rtion of the standard, please see the notes for </w:t>
      </w:r>
      <w:hyperlink w:anchor="Section_b6dd3f0a901b4698a7d1a1be4c1eb3f5">
        <w:r>
          <w:rPr>
            <w:rStyle w:val="Hyperlink"/>
          </w:rPr>
          <w:t>sectPr, §17.6.18(a, b)</w:t>
        </w:r>
      </w:hyperlink>
      <w:r>
        <w:rPr>
          <w:i/>
        </w:rPr>
        <w:t>.</w:t>
      </w:r>
    </w:p>
    <w:p w:rsidR="000A156F" w:rsidRDefault="00A9721F">
      <w:pPr>
        <w:pStyle w:val="Definition-Field"/>
      </w:pPr>
      <w:r>
        <w:t xml:space="preserve">a.   </w:t>
      </w:r>
      <w:r>
        <w:rPr>
          <w:i/>
        </w:rPr>
        <w:t>The standard states that text flow direction can differ between previous section properties and current section prop</w:t>
      </w:r>
      <w:r>
        <w:rPr>
          <w:i/>
        </w:rPr>
        <w:t>erties.</w:t>
      </w:r>
    </w:p>
    <w:p w:rsidR="000A156F" w:rsidRDefault="00A9721F">
      <w:pPr>
        <w:pStyle w:val="Definition-Field2"/>
      </w:pPr>
      <w:r>
        <w:t>Word sets the text direction in the previous section properties to the text flow direction specified in the current section properties.</w:t>
      </w:r>
    </w:p>
    <w:p w:rsidR="000A156F" w:rsidRDefault="00A9721F">
      <w:pPr>
        <w:pStyle w:val="Heading3"/>
      </w:pPr>
      <w:bookmarkStart w:id="472" w:name="section_8e7719cb43844e26a23187be6b37083a"/>
      <w:bookmarkStart w:id="473" w:name="_Toc181683262"/>
      <w:r>
        <w:t>Part 1 Section 17.6.21, top (Top Border)</w:t>
      </w:r>
      <w:bookmarkEnd w:id="472"/>
      <w:bookmarkEnd w:id="473"/>
      <w:r>
        <w:fldChar w:fldCharType="begin"/>
      </w:r>
      <w:r>
        <w:instrText xml:space="preserve"> XE "top (Top Border)" </w:instrText>
      </w:r>
      <w:r>
        <w:fldChar w:fldCharType="end"/>
      </w:r>
    </w:p>
    <w:p w:rsidR="000A156F" w:rsidRDefault="00A9721F">
      <w:pPr>
        <w:pStyle w:val="Definition-Field2"/>
      </w:pPr>
      <w:r>
        <w:rPr>
          <w:i/>
        </w:rPr>
        <w:t>For additional notes that apply to this portio</w:t>
      </w:r>
      <w:r>
        <w:rPr>
          <w:i/>
        </w:rPr>
        <w:t xml:space="preserve">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Definition-Field"/>
      </w:pPr>
      <w:r>
        <w:t xml:space="preserve">a.   </w:t>
      </w:r>
      <w:r>
        <w:rPr>
          <w:i/>
        </w:rPr>
        <w:t>The standard states that topLeft, topRight, and id are attributes on the top element.</w:t>
      </w:r>
    </w:p>
    <w:p w:rsidR="000A156F" w:rsidRDefault="00A9721F">
      <w:pPr>
        <w:pStyle w:val="Definition-Field2"/>
      </w:pPr>
      <w:r>
        <w:t>Word ignores topLeft, topRight, and id attributes.</w:t>
      </w:r>
    </w:p>
    <w:p w:rsidR="000A156F" w:rsidRDefault="00A9721F">
      <w:pPr>
        <w:pStyle w:val="Heading3"/>
      </w:pPr>
      <w:bookmarkStart w:id="474" w:name="section_b2b9f6962920492c92412a7b9ab6604e"/>
      <w:bookmarkStart w:id="475" w:name="_Toc181683263"/>
      <w:r>
        <w:t>Part 1 Section 17.6.22, type (Section Type)</w:t>
      </w:r>
      <w:bookmarkEnd w:id="474"/>
      <w:bookmarkEnd w:id="475"/>
      <w:r>
        <w:fldChar w:fldCharType="begin"/>
      </w:r>
      <w:r>
        <w:instrText xml:space="preserve"> XE "type (Section Type)"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Word requires this attribute.</w:t>
      </w:r>
    </w:p>
    <w:p w:rsidR="000A156F" w:rsidRDefault="00A9721F">
      <w:pPr>
        <w:pStyle w:val="Heading3"/>
      </w:pPr>
      <w:bookmarkStart w:id="476" w:name="section_70d90b35eedb4800b270814e892de6fe"/>
      <w:bookmarkStart w:id="477" w:name="_Toc181683264"/>
      <w:r>
        <w:t>Part 1 Section 17.7.1, Style Inheritance</w:t>
      </w:r>
      <w:bookmarkEnd w:id="476"/>
      <w:bookmarkEnd w:id="477"/>
      <w:r>
        <w:fldChar w:fldCharType="begin"/>
      </w:r>
      <w:r>
        <w:instrText xml:space="preserve"> XE "Style Inheritance" </w:instrText>
      </w:r>
      <w:r>
        <w:fldChar w:fldCharType="end"/>
      </w:r>
    </w:p>
    <w:p w:rsidR="000A156F" w:rsidRDefault="00A9721F">
      <w:pPr>
        <w:pStyle w:val="Definition-Field"/>
      </w:pPr>
      <w:r>
        <w:t xml:space="preserve">a.   </w:t>
      </w:r>
      <w:r>
        <w:rPr>
          <w:i/>
        </w:rPr>
        <w:t xml:space="preserve">The standard ambiguously states that a style's definition "should not" duplicate properties </w:t>
      </w:r>
      <w:r>
        <w:rPr>
          <w:i/>
        </w:rPr>
        <w:t>that are specified by the document defaults or any previous level in the style's hierarchy.</w:t>
      </w:r>
    </w:p>
    <w:p w:rsidR="000A156F" w:rsidRDefault="00A9721F">
      <w:pPr>
        <w:pStyle w:val="Definition-Field2"/>
      </w:pPr>
      <w:r>
        <w:t>Word may include properties in a style's definition which are already defined and unchanged in the document defaults or a previous level of the style's hierarchy.</w:t>
      </w:r>
    </w:p>
    <w:p w:rsidR="000A156F" w:rsidRDefault="00A9721F">
      <w:pPr>
        <w:pStyle w:val="Heading3"/>
      </w:pPr>
      <w:bookmarkStart w:id="478" w:name="section_f20aa1bd46a84833bf1cee47082e12ba"/>
      <w:bookmarkStart w:id="479" w:name="_Toc181683265"/>
      <w:r>
        <w:t>P</w:t>
      </w:r>
      <w:r>
        <w:t>art 1 Section 17.7.2, Style Hierarchy</w:t>
      </w:r>
      <w:bookmarkEnd w:id="478"/>
      <w:bookmarkEnd w:id="479"/>
      <w:r>
        <w:fldChar w:fldCharType="begin"/>
      </w:r>
      <w:r>
        <w:instrText xml:space="preserve"> XE "Style Hierarchy" </w:instrText>
      </w:r>
      <w:r>
        <w:fldChar w:fldCharType="end"/>
      </w:r>
    </w:p>
    <w:p w:rsidR="000A156F" w:rsidRDefault="00A9721F">
      <w:pPr>
        <w:pStyle w:val="Definition-Field"/>
      </w:pPr>
      <w:r>
        <w:t xml:space="preserve">a.   </w:t>
      </w:r>
      <w:r>
        <w:rPr>
          <w:i/>
        </w:rPr>
        <w:t>The standard states that numbering styles are applied before paragraph styles in the style hierarchy.</w:t>
      </w:r>
    </w:p>
    <w:p w:rsidR="000A156F" w:rsidRDefault="00A9721F">
      <w:pPr>
        <w:pStyle w:val="Definition-Field2"/>
      </w:pPr>
      <w:r>
        <w:t>Word applies the properties from a paragraph style applied to a paragraph before it app</w:t>
      </w:r>
      <w:r>
        <w:t>lies the properties from a numbering style applied to a paragraph via numbering properties.</w:t>
      </w:r>
    </w:p>
    <w:p w:rsidR="000A156F" w:rsidRDefault="00A9721F">
      <w:pPr>
        <w:pStyle w:val="Heading3"/>
      </w:pPr>
      <w:bookmarkStart w:id="480" w:name="section_f7130225236848f3acaea9d278d0fb25"/>
      <w:bookmarkStart w:id="481" w:name="_Toc181683266"/>
      <w:r>
        <w:t>Part 1 Section 17.7.3, Toggle Properties</w:t>
      </w:r>
      <w:bookmarkEnd w:id="480"/>
      <w:bookmarkEnd w:id="481"/>
      <w:r>
        <w:fldChar w:fldCharType="begin"/>
      </w:r>
      <w:r>
        <w:instrText xml:space="preserve"> XE "Toggle Properties" </w:instrText>
      </w:r>
      <w:r>
        <w:fldChar w:fldCharType="end"/>
      </w:r>
    </w:p>
    <w:p w:rsidR="000A156F" w:rsidRDefault="00A9721F">
      <w:pPr>
        <w:pStyle w:val="Definition-Field"/>
      </w:pPr>
      <w:r>
        <w:t xml:space="preserve">a.   </w:t>
      </w:r>
      <w:r>
        <w:rPr>
          <w:i/>
        </w:rPr>
        <w:t>The standard states that if a toggle property is not explicitly set in direct formatting, th</w:t>
      </w:r>
      <w:r>
        <w:rPr>
          <w:i/>
        </w:rPr>
        <w:t>e toggle property appears at multiple levels of the style hierarchy, and the value specified by the document defaults is true, the effective value is true.</w:t>
      </w:r>
    </w:p>
    <w:p w:rsidR="000A156F" w:rsidRDefault="00A9721F">
      <w:pPr>
        <w:pStyle w:val="Definition-Field2"/>
      </w:pPr>
      <w:r>
        <w:t>In this case, Word determines that the effective value to be applied to the content shall be true if</w:t>
      </w:r>
      <w:r>
        <w:t xml:space="preserve"> and only if its effective value is false for an even number of levels in the style hierarchy.</w:t>
      </w:r>
    </w:p>
    <w:p w:rsidR="000A156F" w:rsidRDefault="00A9721F">
      <w:pPr>
        <w:pStyle w:val="Definition-Field"/>
      </w:pPr>
      <w:r>
        <w:t xml:space="preserve">b.   </w:t>
      </w:r>
      <w:r>
        <w:rPr>
          <w:i/>
        </w:rPr>
        <w:t>The standard states that if no value is encountered on a level of the style hierarchy, the property takes on its default value.</w:t>
      </w:r>
    </w:p>
    <w:p w:rsidR="000A156F" w:rsidRDefault="00A9721F">
      <w:pPr>
        <w:pStyle w:val="Definition-Field2"/>
      </w:pPr>
      <w:r>
        <w:t>In Word, if no value is enco</w:t>
      </w:r>
      <w:r>
        <w:t>untered on a level of the style hierarchy, the property takes on the value specified by the document defaults.</w:t>
      </w:r>
    </w:p>
    <w:p w:rsidR="000A156F" w:rsidRDefault="00A9721F">
      <w:pPr>
        <w:pStyle w:val="Definition-Field"/>
        <w:rPr>
          <w:i/>
        </w:rPr>
      </w:pPr>
      <w:r>
        <w:rPr>
          <w:i/>
        </w:rPr>
        <w:lastRenderedPageBreak/>
        <w:t xml:space="preserve">c.   The standard states that if a paragraph style does not set a bold property value to false, and the paragraph style specified by its basedOn </w:t>
      </w:r>
      <w:r>
        <w:rPr>
          <w:i/>
        </w:rPr>
        <w:t>element specifies that it is true, the result of applying the style definition sets the value of bold to true.</w:t>
      </w:r>
    </w:p>
    <w:p w:rsidR="000A156F" w:rsidRDefault="00A9721F">
      <w:pPr>
        <w:pStyle w:val="Definition-Field2"/>
      </w:pPr>
      <w:r>
        <w:t>Versions of Microsoft Word prior to Microsoft Word 2016 do not correctly display toggle properties for a table style unless the property is speci</w:t>
      </w:r>
      <w:r>
        <w:t>fied directly in the referenced table style.</w:t>
      </w:r>
    </w:p>
    <w:p w:rsidR="000A156F" w:rsidRDefault="00A9721F">
      <w:pPr>
        <w:pStyle w:val="Heading3"/>
      </w:pPr>
      <w:bookmarkStart w:id="482" w:name="section_a8bca340ed81482c84ca7f105a1a11cf"/>
      <w:bookmarkStart w:id="483" w:name="_Toc181683267"/>
      <w:r>
        <w:t>Part 1 Section 17.7.4.1, aliases (Alternate Style Names)</w:t>
      </w:r>
      <w:bookmarkEnd w:id="482"/>
      <w:bookmarkEnd w:id="483"/>
      <w:r>
        <w:fldChar w:fldCharType="begin"/>
      </w:r>
      <w:r>
        <w:instrText xml:space="preserve"> XE "aliases (Alternate Style Names)"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The standard states that any series of alternate style names is valid.</w:t>
      </w:r>
    </w:p>
    <w:p w:rsidR="000A156F" w:rsidRDefault="00A9721F">
      <w:pPr>
        <w:pStyle w:val="Definition-Field2"/>
      </w:pPr>
      <w:r>
        <w:t>Word does not roundtrip multiple instances of an identical style name (including both duplic</w:t>
      </w:r>
      <w:r>
        <w:t>ation within this element and duplication with the primary style name).</w:t>
      </w:r>
    </w:p>
    <w:p w:rsidR="000A156F" w:rsidRDefault="00A9721F">
      <w:pPr>
        <w:pStyle w:val="Definition-Field"/>
      </w:pPr>
      <w:r>
        <w:t xml:space="preserve">b.   </w:t>
      </w:r>
      <w:r>
        <w:rPr>
          <w:i/>
        </w:rPr>
        <w:t>The standard states that any number of consecutive comma characters can be used to delimit consecutive style names.</w:t>
      </w:r>
    </w:p>
    <w:p w:rsidR="000A156F" w:rsidRDefault="00A9721F">
      <w:pPr>
        <w:pStyle w:val="Definition-Field2"/>
      </w:pPr>
      <w:r>
        <w:t>Word discards all aliases after the presence of multiple consec</w:t>
      </w:r>
      <w:r>
        <w:t>utive comma characters.</w:t>
      </w:r>
    </w:p>
    <w:p w:rsidR="000A156F" w:rsidRDefault="00A9721F">
      <w:pPr>
        <w:pStyle w:val="Definition-Field"/>
      </w:pPr>
      <w:r>
        <w:t xml:space="preserve">c.   </w:t>
      </w:r>
      <w:r>
        <w:rPr>
          <w:i/>
        </w:rPr>
        <w:t>The standard does not limit the length of the value of the val attribute.</w:t>
      </w:r>
    </w:p>
    <w:p w:rsidR="000A156F" w:rsidRDefault="00A9721F">
      <w:pPr>
        <w:pStyle w:val="Definition-Field2"/>
      </w:pPr>
      <w:r>
        <w:t>Word restricts the value of this attribute to be at most 253 characters, removing all aliases whose inclusion would exceed that length.</w:t>
      </w:r>
    </w:p>
    <w:p w:rsidR="000A156F" w:rsidRDefault="00A9721F">
      <w:pPr>
        <w:pStyle w:val="Heading3"/>
      </w:pPr>
      <w:bookmarkStart w:id="484" w:name="section_97f8900f7cbd47c5878b7b80c8599cb3"/>
      <w:bookmarkStart w:id="485" w:name="_Toc181683268"/>
      <w:r>
        <w:t>Part 1 Section 17</w:t>
      </w:r>
      <w:r>
        <w:t>.7.4.2, autoRedefine (Automatically Merge User Formatting Into Style Definition)</w:t>
      </w:r>
      <w:bookmarkEnd w:id="484"/>
      <w:bookmarkEnd w:id="485"/>
      <w:r>
        <w:fldChar w:fldCharType="begin"/>
      </w:r>
      <w:r>
        <w:instrText xml:space="preserve"> XE "autoRedefine (Automatically Merge User Formatting Into Style Definition)" </w:instrText>
      </w:r>
      <w:r>
        <w:fldChar w:fldCharType="end"/>
      </w:r>
    </w:p>
    <w:p w:rsidR="000A156F" w:rsidRDefault="00A9721F">
      <w:pPr>
        <w:pStyle w:val="Definition-Field"/>
      </w:pPr>
      <w:r>
        <w:t xml:space="preserve">a.   </w:t>
      </w:r>
      <w:r>
        <w:rPr>
          <w:i/>
        </w:rPr>
        <w:t>The standard states that this element can be specified for any type of style.</w:t>
      </w:r>
    </w:p>
    <w:p w:rsidR="000A156F" w:rsidRDefault="00A9721F">
      <w:pPr>
        <w:pStyle w:val="Definition-Field2"/>
      </w:pPr>
      <w:r>
        <w:t>Word only a</w:t>
      </w:r>
      <w:r>
        <w:t>pplies this element to paragraph styles.</w:t>
      </w:r>
    </w:p>
    <w:p w:rsidR="000A156F" w:rsidRDefault="00A9721F">
      <w:pPr>
        <w:pStyle w:val="Heading3"/>
      </w:pPr>
      <w:bookmarkStart w:id="486" w:name="section_51a9f19520db446fa805e9860978c28d"/>
      <w:bookmarkStart w:id="487" w:name="_Toc181683269"/>
      <w:r>
        <w:t>Part 1 Section 17.7.4.3, basedOn (Parent Style ID)</w:t>
      </w:r>
      <w:bookmarkEnd w:id="486"/>
      <w:bookmarkEnd w:id="487"/>
      <w:r>
        <w:fldChar w:fldCharType="begin"/>
      </w:r>
      <w:r>
        <w:instrText xml:space="preserve"> XE "basedOn (Parent Style ID)"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The standard allows loops in the style based-on chain.</w:t>
      </w:r>
    </w:p>
    <w:p w:rsidR="000A156F" w:rsidRDefault="00A9721F">
      <w:pPr>
        <w:pStyle w:val="Definition-Field2"/>
      </w:pPr>
      <w:r>
        <w:t>Word requires that the style based-on chain does not have a circular reference.</w:t>
      </w:r>
    </w:p>
    <w:p w:rsidR="000A156F" w:rsidRDefault="00A9721F">
      <w:pPr>
        <w:pStyle w:val="Definition-Field"/>
      </w:pPr>
      <w:r>
        <w:t xml:space="preserve">b.   </w:t>
      </w:r>
      <w:r>
        <w:rPr>
          <w:i/>
        </w:rPr>
        <w:t xml:space="preserve">The standard does not limit the length of the value of the </w:t>
      </w:r>
      <w:r>
        <w:rPr>
          <w:i/>
        </w:rPr>
        <w:t>val attribute.</w:t>
      </w:r>
    </w:p>
    <w:p w:rsidR="000A156F" w:rsidRDefault="00A9721F">
      <w:pPr>
        <w:pStyle w:val="Definition-Field2"/>
      </w:pPr>
      <w:r>
        <w:t>Word restricts the value of this attribute to be at most 253 characters.</w:t>
      </w:r>
    </w:p>
    <w:p w:rsidR="000A156F" w:rsidRDefault="00A9721F">
      <w:pPr>
        <w:pStyle w:val="Heading3"/>
      </w:pPr>
      <w:bookmarkStart w:id="488" w:name="section_08608911e4574cbd8a3001b9433dc849"/>
      <w:bookmarkStart w:id="489" w:name="_Toc181683270"/>
      <w:r>
        <w:t>Part 1 Section 17.7.4.5, latentStyles (Latent Style Information)</w:t>
      </w:r>
      <w:bookmarkEnd w:id="488"/>
      <w:bookmarkEnd w:id="489"/>
      <w:r>
        <w:fldChar w:fldCharType="begin"/>
      </w:r>
      <w:r>
        <w:instrText xml:space="preserve"> XE "latentStyles (Latent Style Information)" </w:instrText>
      </w:r>
      <w:r>
        <w:fldChar w:fldCharType="end"/>
      </w:r>
    </w:p>
    <w:p w:rsidR="000A156F" w:rsidRDefault="00A9721F">
      <w:pPr>
        <w:pStyle w:val="Definition-Field"/>
      </w:pPr>
      <w:r>
        <w:t xml:space="preserve">a.   </w:t>
      </w:r>
      <w:r>
        <w:rPr>
          <w:i/>
        </w:rPr>
        <w:t>The standard allows any integer for defUIPriorty.</w:t>
      </w:r>
    </w:p>
    <w:p w:rsidR="000A156F" w:rsidRDefault="00A9721F">
      <w:pPr>
        <w:pStyle w:val="Definition-Field2"/>
      </w:pPr>
      <w:r>
        <w:t>Word allows values between 0 and 99 inclusive for defUIPriority.</w:t>
      </w:r>
    </w:p>
    <w:p w:rsidR="000A156F" w:rsidRDefault="00A9721F">
      <w:pPr>
        <w:pStyle w:val="Definition-Field"/>
      </w:pPr>
      <w:r>
        <w:t xml:space="preserve">b.   </w:t>
      </w:r>
      <w:r>
        <w:rPr>
          <w:i/>
        </w:rPr>
        <w:t>The standard says that count specifies how many built-in styles to apply latent style defaults to, but does not specify which ones.</w:t>
      </w:r>
    </w:p>
    <w:p w:rsidR="000A156F" w:rsidRDefault="00A9721F">
      <w:pPr>
        <w:pStyle w:val="Definition-Field2"/>
      </w:pPr>
      <w:r>
        <w:t>Word applies these latent style defaults to the built-</w:t>
      </w:r>
      <w:r>
        <w:t>in styles in order of their index within Word’s built-in styles. The table listing the primary style names of the built-in styles ("</w:t>
      </w:r>
      <w:hyperlink r:id="rId100">
        <w:r>
          <w:rPr>
            <w:rStyle w:val="Hyperlink"/>
          </w:rPr>
          <w:t>[ISO/IEC-29500-1]</w:t>
        </w:r>
      </w:hyperlink>
      <w:r>
        <w:t xml:space="preserve"> §17.7.4.9; name") provides the index for</w:t>
      </w:r>
      <w:r>
        <w:t xml:space="preserve"> each built-in style.</w:t>
      </w:r>
    </w:p>
    <w:p w:rsidR="000A156F" w:rsidRDefault="00A9721F">
      <w:pPr>
        <w:pStyle w:val="Definition-Field"/>
      </w:pPr>
      <w:r>
        <w:lastRenderedPageBreak/>
        <w:t xml:space="preserve">c.   </w:t>
      </w:r>
      <w:r>
        <w:rPr>
          <w:i/>
        </w:rPr>
        <w:t>The standard says the default value for defUiPriority is 99.</w:t>
      </w:r>
    </w:p>
    <w:p w:rsidR="000A156F" w:rsidRDefault="00A9721F">
      <w:pPr>
        <w:pStyle w:val="Definition-Field2"/>
      </w:pPr>
      <w:r>
        <w:t>In Word, the default value for defUiPriority is 0.</w:t>
      </w:r>
    </w:p>
    <w:p w:rsidR="000A156F" w:rsidRDefault="00A9721F">
      <w:pPr>
        <w:pStyle w:val="Definition-Field"/>
      </w:pPr>
      <w:r>
        <w:t xml:space="preserve">d.   </w:t>
      </w:r>
      <w:r>
        <w:rPr>
          <w:i/>
        </w:rPr>
        <w:t>The standard does not specify default behavior when count is omitted.</w:t>
      </w:r>
    </w:p>
    <w:p w:rsidR="000A156F" w:rsidRDefault="00A9721F">
      <w:pPr>
        <w:pStyle w:val="Definition-Field2"/>
      </w:pPr>
      <w:r>
        <w:t>If count is omitted, then Word applies the</w:t>
      </w:r>
      <w:r>
        <w:t xml:space="preserve"> latent style defaults to all known built-in styles.</w:t>
      </w:r>
    </w:p>
    <w:p w:rsidR="000A156F" w:rsidRDefault="00A9721F">
      <w:pPr>
        <w:pStyle w:val="Heading3"/>
      </w:pPr>
      <w:bookmarkStart w:id="490" w:name="section_a1ed4f25b4cf446a89352c1579325c94"/>
      <w:bookmarkStart w:id="491" w:name="_Toc181683271"/>
      <w:r>
        <w:t>Part 1 Section 17.7.4.6, link (Linked Style Reference)</w:t>
      </w:r>
      <w:bookmarkEnd w:id="490"/>
      <w:bookmarkEnd w:id="491"/>
      <w:r>
        <w:fldChar w:fldCharType="begin"/>
      </w:r>
      <w:r>
        <w:instrText xml:space="preserve"> XE "link (Linked Style Reference)"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The standard does not specify behavior when more than one style specifies the same styleId for a link.</w:t>
      </w:r>
    </w:p>
    <w:p w:rsidR="000A156F" w:rsidRDefault="00A9721F">
      <w:pPr>
        <w:pStyle w:val="Definition-Field2"/>
      </w:pPr>
      <w:r>
        <w:t>Word ignores all but the last link to a given style.</w:t>
      </w:r>
    </w:p>
    <w:p w:rsidR="000A156F" w:rsidRDefault="00A9721F">
      <w:pPr>
        <w:pStyle w:val="Definition-Field"/>
      </w:pPr>
      <w:r>
        <w:t xml:space="preserve">b.   </w:t>
      </w:r>
      <w:r>
        <w:rPr>
          <w:i/>
        </w:rPr>
        <w:t xml:space="preserve">The standard does </w:t>
      </w:r>
      <w:r>
        <w:rPr>
          <w:i/>
        </w:rPr>
        <w:t>not specify behavior for a singly linked style pairing.</w:t>
      </w:r>
    </w:p>
    <w:p w:rsidR="000A156F" w:rsidRDefault="00A9721F">
      <w:pPr>
        <w:pStyle w:val="Definition-Field2"/>
      </w:pPr>
      <w:r>
        <w:t>If Word reads a singly-linked style pairing, it makes the linking bi-directional.</w:t>
      </w:r>
    </w:p>
    <w:p w:rsidR="000A156F" w:rsidRDefault="00A9721F">
      <w:pPr>
        <w:pStyle w:val="Definition-Field"/>
      </w:pPr>
      <w:r>
        <w:t xml:space="preserve">c.   </w:t>
      </w:r>
      <w:r>
        <w:rPr>
          <w:i/>
        </w:rPr>
        <w:t>The standard does not limit the length of the value of the val attribute.</w:t>
      </w:r>
    </w:p>
    <w:p w:rsidR="000A156F" w:rsidRDefault="00A9721F">
      <w:pPr>
        <w:pStyle w:val="Definition-Field2"/>
      </w:pPr>
      <w:r>
        <w:t>Word restricts the value of this attrib</w:t>
      </w:r>
      <w:r>
        <w:t>ute to be at most 253 characters.</w:t>
      </w:r>
    </w:p>
    <w:p w:rsidR="000A156F" w:rsidRDefault="00A9721F">
      <w:pPr>
        <w:pStyle w:val="Heading3"/>
      </w:pPr>
      <w:bookmarkStart w:id="492" w:name="section_2e117ead5ede4f1bb2d9bf4a463da221"/>
      <w:bookmarkStart w:id="493" w:name="_Toc181683272"/>
      <w:r>
        <w:t>Part 1 Section 17.7.4.8, lsdException (Latent Style Exception)</w:t>
      </w:r>
      <w:bookmarkEnd w:id="492"/>
      <w:bookmarkEnd w:id="493"/>
      <w:r>
        <w:fldChar w:fldCharType="begin"/>
      </w:r>
      <w:r>
        <w:instrText xml:space="preserve"> XE "lsdException (Latent Style Exception)" </w:instrText>
      </w:r>
      <w:r>
        <w:fldChar w:fldCharType="end"/>
      </w:r>
    </w:p>
    <w:p w:rsidR="000A156F" w:rsidRDefault="00A9721F">
      <w:pPr>
        <w:pStyle w:val="Definition-Field"/>
      </w:pPr>
      <w:r>
        <w:t xml:space="preserve">a.   </w:t>
      </w:r>
      <w:r>
        <w:rPr>
          <w:i/>
        </w:rPr>
        <w:t>The standard allows an unbounded integer for uiPriority.</w:t>
      </w:r>
    </w:p>
    <w:p w:rsidR="000A156F" w:rsidRDefault="00A9721F">
      <w:pPr>
        <w:pStyle w:val="Definition-Field2"/>
      </w:pPr>
      <w:r>
        <w:t>Word allows values between 0 and 99 for uiPriority.</w:t>
      </w:r>
    </w:p>
    <w:p w:rsidR="000A156F" w:rsidRDefault="00A9721F">
      <w:pPr>
        <w:pStyle w:val="Heading3"/>
      </w:pPr>
      <w:bookmarkStart w:id="494" w:name="section_716e4d7c3b23421096172b8324486a3b"/>
      <w:bookmarkStart w:id="495" w:name="_Toc181683273"/>
      <w:r>
        <w:t>Part 1 Section 17.7.4.9, name (Primary Style Name)</w:t>
      </w:r>
      <w:bookmarkEnd w:id="494"/>
      <w:bookmarkEnd w:id="495"/>
      <w:r>
        <w:fldChar w:fldCharType="begin"/>
      </w:r>
      <w:r>
        <w:instrText xml:space="preserve"> XE "name (Primary Style Name)" </w:instrText>
      </w:r>
      <w:r>
        <w:fldChar w:fldCharType="end"/>
      </w:r>
    </w:p>
    <w:p w:rsidR="000A156F" w:rsidRDefault="00A9721F">
      <w:pPr>
        <w:pStyle w:val="Definition-Field"/>
      </w:pPr>
      <w:r>
        <w:t xml:space="preserve">a.   </w:t>
      </w:r>
      <w:r>
        <w:rPr>
          <w:i/>
        </w:rPr>
        <w:t>The standard does not place any restrictions on the value of the val attribute.</w:t>
      </w:r>
    </w:p>
    <w:p w:rsidR="000A156F" w:rsidRDefault="00A9721F">
      <w:pPr>
        <w:pStyle w:val="Definition-Field2"/>
      </w:pPr>
      <w:r>
        <w:t>Word does not allow commas in this attribute's value.</w:t>
      </w:r>
    </w:p>
    <w:p w:rsidR="000A156F" w:rsidRDefault="00A9721F">
      <w:pPr>
        <w:pStyle w:val="Definition-Field"/>
      </w:pPr>
      <w:r>
        <w:t xml:space="preserve">b.   </w:t>
      </w:r>
      <w:r>
        <w:rPr>
          <w:i/>
        </w:rPr>
        <w:t>The standard does not limi</w:t>
      </w:r>
      <w:r>
        <w:rPr>
          <w:i/>
        </w:rPr>
        <w:t>t the length of the value of the val attribute.</w:t>
      </w:r>
    </w:p>
    <w:p w:rsidR="000A156F" w:rsidRDefault="00A9721F">
      <w:pPr>
        <w:pStyle w:val="Definition-Field2"/>
      </w:pPr>
      <w:r>
        <w:t>Word restricts the combined length of the primary style name, all aliases, and alias separators (commas) to be at most 253 characters.</w:t>
      </w:r>
    </w:p>
    <w:p w:rsidR="000A156F" w:rsidRDefault="00A9721F">
      <w:pPr>
        <w:pStyle w:val="Definition-Field"/>
      </w:pPr>
      <w:r>
        <w:t xml:space="preserve">c.   </w:t>
      </w:r>
      <w:r>
        <w:rPr>
          <w:i/>
        </w:rPr>
        <w:t xml:space="preserve">The standard does not specify to remove white space from the </w:t>
      </w:r>
      <w:r>
        <w:rPr>
          <w:i/>
        </w:rPr>
        <w:t>beginning or end of primary style name.</w:t>
      </w:r>
    </w:p>
    <w:p w:rsidR="000A156F" w:rsidRDefault="00A9721F">
      <w:pPr>
        <w:pStyle w:val="Definition-Field2"/>
      </w:pPr>
      <w:r>
        <w:t>Word removes white space from the beginning or end of primary style name.</w:t>
      </w:r>
    </w:p>
    <w:p w:rsidR="000A156F" w:rsidRDefault="00A9721F">
      <w:pPr>
        <w:pStyle w:val="Definition-Field"/>
      </w:pPr>
      <w:r>
        <w:t xml:space="preserve">d.   </w:t>
      </w:r>
      <w:r>
        <w:rPr>
          <w:i/>
        </w:rPr>
        <w:t>The standard does not specify that certain primary style names must have certain style types.</w:t>
      </w:r>
    </w:p>
    <w:p w:rsidR="000A156F" w:rsidRDefault="00A9721F">
      <w:r>
        <w:t>Word reserves a list of style names for use</w:t>
      </w:r>
      <w:r>
        <w:t xml:space="preserve"> as built-in styles and requires that these names be used with the appropriate style type. If a built-in style name is used with the wrong style type or the style type is omitted, then Word enforces the correct built-in style name types by renaming the sty</w:t>
      </w:r>
      <w:r>
        <w:t>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Reserved name</w:t>
            </w:r>
          </w:p>
        </w:tc>
        <w:tc>
          <w:tcPr>
            <w:tcW w:w="0" w:type="auto"/>
            <w:vAlign w:val="center"/>
          </w:tcPr>
          <w:p w:rsidR="000A156F" w:rsidRDefault="00A9721F">
            <w:pPr>
              <w:pStyle w:val="TableHeaderText"/>
            </w:pPr>
            <w:r>
              <w:t>Style type</w:t>
            </w:r>
          </w:p>
        </w:tc>
        <w:tc>
          <w:tcPr>
            <w:tcW w:w="0" w:type="auto"/>
            <w:vAlign w:val="center"/>
          </w:tcPr>
          <w:p w:rsidR="000A156F" w:rsidRDefault="00A9721F">
            <w:pPr>
              <w:pStyle w:val="TableHeaderText"/>
            </w:pPr>
            <w:r>
              <w:t>Index within built-in styles</w:t>
            </w:r>
          </w:p>
        </w:tc>
      </w:tr>
      <w:tr w:rsidR="000A156F" w:rsidTr="000A156F">
        <w:tc>
          <w:tcPr>
            <w:tcW w:w="0" w:type="auto"/>
            <w:vAlign w:val="center"/>
          </w:tcPr>
          <w:p w:rsidR="000A156F" w:rsidRDefault="00A9721F">
            <w:pPr>
              <w:pStyle w:val="TableBodyText"/>
            </w:pPr>
            <w:r>
              <w:t>annotation reference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39</w:t>
            </w:r>
          </w:p>
        </w:tc>
      </w:tr>
      <w:tr w:rsidR="000A156F" w:rsidTr="000A156F">
        <w:tc>
          <w:tcPr>
            <w:tcW w:w="0" w:type="auto"/>
            <w:vAlign w:val="center"/>
          </w:tcPr>
          <w:p w:rsidR="000A156F" w:rsidRDefault="00A9721F">
            <w:pPr>
              <w:pStyle w:val="TableBodyText"/>
            </w:pPr>
            <w:r>
              <w:lastRenderedPageBreak/>
              <w:t>annotation subject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106</w:t>
            </w:r>
          </w:p>
        </w:tc>
      </w:tr>
      <w:tr w:rsidR="000A156F" w:rsidTr="000A156F">
        <w:tc>
          <w:tcPr>
            <w:tcW w:w="0" w:type="auto"/>
            <w:vAlign w:val="center"/>
          </w:tcPr>
          <w:p w:rsidR="000A156F" w:rsidRDefault="00A9721F">
            <w:pPr>
              <w:pStyle w:val="TableBodyText"/>
            </w:pPr>
            <w:r>
              <w:t>annotation text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30</w:t>
            </w:r>
          </w:p>
        </w:tc>
      </w:tr>
      <w:tr w:rsidR="000A156F" w:rsidTr="000A156F">
        <w:tc>
          <w:tcPr>
            <w:tcW w:w="0" w:type="auto"/>
            <w:vAlign w:val="center"/>
          </w:tcPr>
          <w:p w:rsidR="000A156F" w:rsidRDefault="00A9721F">
            <w:pPr>
              <w:pStyle w:val="TableBodyText"/>
            </w:pPr>
            <w:r>
              <w:t>Balloon Text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153</w:t>
            </w:r>
          </w:p>
        </w:tc>
      </w:tr>
      <w:tr w:rsidR="000A156F" w:rsidTr="000A156F">
        <w:tc>
          <w:tcPr>
            <w:tcW w:w="0" w:type="auto"/>
            <w:vAlign w:val="center"/>
          </w:tcPr>
          <w:p w:rsidR="000A156F" w:rsidRDefault="00A9721F">
            <w:pPr>
              <w:pStyle w:val="TableBodyText"/>
            </w:pPr>
            <w:r>
              <w:t>Bibliography</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265</w:t>
            </w:r>
          </w:p>
        </w:tc>
      </w:tr>
      <w:tr w:rsidR="000A156F" w:rsidTr="000A156F">
        <w:tc>
          <w:tcPr>
            <w:tcW w:w="0" w:type="auto"/>
            <w:vAlign w:val="center"/>
          </w:tcPr>
          <w:p w:rsidR="000A156F" w:rsidRDefault="00A9721F">
            <w:pPr>
              <w:pStyle w:val="TableBodyText"/>
            </w:pPr>
            <w:r>
              <w:t>Block Text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84</w:t>
            </w:r>
          </w:p>
        </w:tc>
      </w:tr>
      <w:tr w:rsidR="000A156F" w:rsidTr="000A156F">
        <w:tc>
          <w:tcPr>
            <w:tcW w:w="0" w:type="auto"/>
            <w:vAlign w:val="center"/>
          </w:tcPr>
          <w:p w:rsidR="000A156F" w:rsidRDefault="00A9721F">
            <w:pPr>
              <w:pStyle w:val="TableBodyText"/>
            </w:pPr>
            <w:r>
              <w:t>Body Text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66</w:t>
            </w:r>
          </w:p>
        </w:tc>
      </w:tr>
      <w:tr w:rsidR="000A156F" w:rsidTr="000A156F">
        <w:tc>
          <w:tcPr>
            <w:tcW w:w="0" w:type="auto"/>
            <w:vAlign w:val="center"/>
          </w:tcPr>
          <w:p w:rsidR="000A156F" w:rsidRDefault="00A9721F">
            <w:pPr>
              <w:pStyle w:val="TableBodyText"/>
            </w:pPr>
            <w:r>
              <w:t>Body Text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80</w:t>
            </w:r>
          </w:p>
        </w:tc>
      </w:tr>
      <w:tr w:rsidR="000A156F" w:rsidTr="000A156F">
        <w:tc>
          <w:tcPr>
            <w:tcW w:w="0" w:type="auto"/>
            <w:vAlign w:val="center"/>
          </w:tcPr>
          <w:p w:rsidR="000A156F" w:rsidRDefault="00A9721F">
            <w:pPr>
              <w:pStyle w:val="TableBodyText"/>
            </w:pPr>
            <w:r>
              <w:t>Body Text 3</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81</w:t>
            </w:r>
          </w:p>
        </w:tc>
      </w:tr>
      <w:tr w:rsidR="000A156F" w:rsidTr="000A156F">
        <w:tc>
          <w:tcPr>
            <w:tcW w:w="0" w:type="auto"/>
            <w:vAlign w:val="center"/>
          </w:tcPr>
          <w:p w:rsidR="000A156F" w:rsidRDefault="00A9721F">
            <w:pPr>
              <w:pStyle w:val="TableBodyText"/>
            </w:pPr>
            <w:r>
              <w:t>Body Text First Indent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77</w:t>
            </w:r>
          </w:p>
        </w:tc>
      </w:tr>
      <w:tr w:rsidR="000A156F" w:rsidTr="000A156F">
        <w:tc>
          <w:tcPr>
            <w:tcW w:w="0" w:type="auto"/>
            <w:vAlign w:val="center"/>
          </w:tcPr>
          <w:p w:rsidR="000A156F" w:rsidRDefault="00A9721F">
            <w:pPr>
              <w:pStyle w:val="TableBodyText"/>
            </w:pPr>
            <w:r>
              <w:t>Body Text First Indent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78</w:t>
            </w:r>
          </w:p>
        </w:tc>
      </w:tr>
      <w:tr w:rsidR="000A156F" w:rsidTr="000A156F">
        <w:tc>
          <w:tcPr>
            <w:tcW w:w="0" w:type="auto"/>
            <w:vAlign w:val="center"/>
          </w:tcPr>
          <w:p w:rsidR="000A156F" w:rsidRDefault="00A9721F">
            <w:pPr>
              <w:pStyle w:val="TableBodyText"/>
            </w:pPr>
            <w:r>
              <w:t>Body Text Indent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67</w:t>
            </w:r>
          </w:p>
        </w:tc>
      </w:tr>
      <w:tr w:rsidR="000A156F" w:rsidTr="000A156F">
        <w:tc>
          <w:tcPr>
            <w:tcW w:w="0" w:type="auto"/>
            <w:vAlign w:val="center"/>
          </w:tcPr>
          <w:p w:rsidR="000A156F" w:rsidRDefault="00A9721F">
            <w:pPr>
              <w:pStyle w:val="TableBodyText"/>
            </w:pPr>
            <w:r>
              <w:t>Body Text Indent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82</w:t>
            </w:r>
          </w:p>
        </w:tc>
      </w:tr>
      <w:tr w:rsidR="000A156F" w:rsidTr="000A156F">
        <w:tc>
          <w:tcPr>
            <w:tcW w:w="0" w:type="auto"/>
            <w:vAlign w:val="center"/>
          </w:tcPr>
          <w:p w:rsidR="000A156F" w:rsidRDefault="00A9721F">
            <w:pPr>
              <w:pStyle w:val="TableBodyText"/>
            </w:pPr>
            <w:r>
              <w:t>Body Text Indent 3</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83</w:t>
            </w:r>
          </w:p>
        </w:tc>
      </w:tr>
      <w:tr w:rsidR="000A156F" w:rsidTr="000A156F">
        <w:tc>
          <w:tcPr>
            <w:tcW w:w="0" w:type="auto"/>
            <w:vAlign w:val="center"/>
          </w:tcPr>
          <w:p w:rsidR="000A156F" w:rsidRDefault="00A9721F">
            <w:pPr>
              <w:pStyle w:val="TableBodyText"/>
            </w:pPr>
            <w:r>
              <w:t>Book Title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264</w:t>
            </w:r>
          </w:p>
        </w:tc>
      </w:tr>
      <w:tr w:rsidR="000A156F" w:rsidTr="000A156F">
        <w:tc>
          <w:tcPr>
            <w:tcW w:w="0" w:type="auto"/>
            <w:vAlign w:val="center"/>
          </w:tcPr>
          <w:p w:rsidR="000A156F" w:rsidRDefault="00A9721F">
            <w:pPr>
              <w:pStyle w:val="TableBodyText"/>
            </w:pPr>
            <w:r>
              <w:t>caption</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34</w:t>
            </w:r>
          </w:p>
        </w:tc>
      </w:tr>
      <w:tr w:rsidR="000A156F" w:rsidTr="000A156F">
        <w:tc>
          <w:tcPr>
            <w:tcW w:w="0" w:type="auto"/>
            <w:vAlign w:val="center"/>
          </w:tcPr>
          <w:p w:rsidR="000A156F" w:rsidRDefault="00A9721F">
            <w:pPr>
              <w:pStyle w:val="TableBodyText"/>
            </w:pPr>
            <w:r>
              <w:t>Closing</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63</w:t>
            </w:r>
          </w:p>
        </w:tc>
      </w:tr>
      <w:tr w:rsidR="000A156F" w:rsidTr="000A156F">
        <w:tc>
          <w:tcPr>
            <w:tcW w:w="0" w:type="auto"/>
            <w:vAlign w:val="center"/>
          </w:tcPr>
          <w:p w:rsidR="000A156F" w:rsidRDefault="00A9721F">
            <w:pPr>
              <w:pStyle w:val="TableBodyText"/>
            </w:pPr>
            <w:r>
              <w:t>Colorful Grid</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171</w:t>
            </w:r>
          </w:p>
        </w:tc>
      </w:tr>
      <w:tr w:rsidR="000A156F" w:rsidTr="000A156F">
        <w:tc>
          <w:tcPr>
            <w:tcW w:w="0" w:type="auto"/>
            <w:vAlign w:val="center"/>
          </w:tcPr>
          <w:p w:rsidR="000A156F" w:rsidRDefault="00A9721F">
            <w:pPr>
              <w:pStyle w:val="TableBodyText"/>
            </w:pPr>
            <w:r>
              <w:t>Colorful Grid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189</w:t>
            </w:r>
          </w:p>
        </w:tc>
      </w:tr>
      <w:tr w:rsidR="000A156F" w:rsidTr="000A156F">
        <w:tc>
          <w:tcPr>
            <w:tcW w:w="0" w:type="auto"/>
            <w:vAlign w:val="center"/>
          </w:tcPr>
          <w:p w:rsidR="000A156F" w:rsidRDefault="00A9721F">
            <w:pPr>
              <w:pStyle w:val="TableBodyText"/>
            </w:pPr>
            <w:r>
              <w:t>Colorful Grid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203</w:t>
            </w:r>
          </w:p>
        </w:tc>
      </w:tr>
      <w:tr w:rsidR="000A156F" w:rsidTr="000A156F">
        <w:tc>
          <w:tcPr>
            <w:tcW w:w="0" w:type="auto"/>
            <w:vAlign w:val="center"/>
          </w:tcPr>
          <w:p w:rsidR="000A156F" w:rsidRDefault="00A9721F">
            <w:pPr>
              <w:pStyle w:val="TableBodyText"/>
            </w:pPr>
            <w:r>
              <w:t>Colorful Grid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217</w:t>
            </w:r>
          </w:p>
        </w:tc>
      </w:tr>
      <w:tr w:rsidR="000A156F" w:rsidTr="000A156F">
        <w:tc>
          <w:tcPr>
            <w:tcW w:w="0" w:type="auto"/>
            <w:vAlign w:val="center"/>
          </w:tcPr>
          <w:p w:rsidR="000A156F" w:rsidRDefault="00A9721F">
            <w:pPr>
              <w:pStyle w:val="TableBodyText"/>
            </w:pPr>
            <w:r>
              <w:t>Colorful Grid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231</w:t>
            </w:r>
          </w:p>
        </w:tc>
      </w:tr>
      <w:tr w:rsidR="000A156F" w:rsidTr="000A156F">
        <w:tc>
          <w:tcPr>
            <w:tcW w:w="0" w:type="auto"/>
            <w:vAlign w:val="center"/>
          </w:tcPr>
          <w:p w:rsidR="000A156F" w:rsidRDefault="00A9721F">
            <w:pPr>
              <w:pStyle w:val="TableBodyText"/>
            </w:pPr>
            <w:r>
              <w:t>Colorful Grid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245</w:t>
            </w:r>
          </w:p>
        </w:tc>
      </w:tr>
      <w:tr w:rsidR="000A156F" w:rsidTr="000A156F">
        <w:tc>
          <w:tcPr>
            <w:tcW w:w="0" w:type="auto"/>
            <w:vAlign w:val="center"/>
          </w:tcPr>
          <w:p w:rsidR="000A156F" w:rsidRDefault="00A9721F">
            <w:pPr>
              <w:pStyle w:val="TableBodyText"/>
            </w:pPr>
            <w:r>
              <w:t>Colorful Grid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259</w:t>
            </w:r>
          </w:p>
        </w:tc>
      </w:tr>
      <w:tr w:rsidR="000A156F" w:rsidTr="000A156F">
        <w:tc>
          <w:tcPr>
            <w:tcW w:w="0" w:type="auto"/>
            <w:vAlign w:val="center"/>
          </w:tcPr>
          <w:p w:rsidR="000A156F" w:rsidRDefault="00A9721F">
            <w:pPr>
              <w:pStyle w:val="TableBodyText"/>
            </w:pPr>
            <w:r>
              <w:t>Colorful List</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170</w:t>
            </w:r>
          </w:p>
        </w:tc>
      </w:tr>
      <w:tr w:rsidR="000A156F" w:rsidTr="000A156F">
        <w:tc>
          <w:tcPr>
            <w:tcW w:w="0" w:type="auto"/>
            <w:vAlign w:val="center"/>
          </w:tcPr>
          <w:p w:rsidR="000A156F" w:rsidRDefault="00A9721F">
            <w:pPr>
              <w:pStyle w:val="TableBodyText"/>
            </w:pPr>
            <w:r>
              <w:t>Colorful List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188</w:t>
            </w:r>
          </w:p>
        </w:tc>
      </w:tr>
      <w:tr w:rsidR="000A156F" w:rsidTr="000A156F">
        <w:tc>
          <w:tcPr>
            <w:tcW w:w="0" w:type="auto"/>
            <w:vAlign w:val="center"/>
          </w:tcPr>
          <w:p w:rsidR="000A156F" w:rsidRDefault="00A9721F">
            <w:pPr>
              <w:pStyle w:val="TableBodyText"/>
            </w:pPr>
            <w:r>
              <w:t>Colorful List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202</w:t>
            </w:r>
          </w:p>
        </w:tc>
      </w:tr>
      <w:tr w:rsidR="000A156F" w:rsidTr="000A156F">
        <w:tc>
          <w:tcPr>
            <w:tcW w:w="0" w:type="auto"/>
            <w:vAlign w:val="center"/>
          </w:tcPr>
          <w:p w:rsidR="000A156F" w:rsidRDefault="00A9721F">
            <w:pPr>
              <w:pStyle w:val="TableBodyText"/>
            </w:pPr>
            <w:r>
              <w:t>Colorful List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216</w:t>
            </w:r>
          </w:p>
        </w:tc>
      </w:tr>
      <w:tr w:rsidR="000A156F" w:rsidTr="000A156F">
        <w:tc>
          <w:tcPr>
            <w:tcW w:w="0" w:type="auto"/>
            <w:vAlign w:val="center"/>
          </w:tcPr>
          <w:p w:rsidR="000A156F" w:rsidRDefault="00A9721F">
            <w:pPr>
              <w:pStyle w:val="TableBodyText"/>
            </w:pPr>
            <w:r>
              <w:t>Colorful List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230</w:t>
            </w:r>
          </w:p>
        </w:tc>
      </w:tr>
      <w:tr w:rsidR="000A156F" w:rsidTr="000A156F">
        <w:tc>
          <w:tcPr>
            <w:tcW w:w="0" w:type="auto"/>
            <w:vAlign w:val="center"/>
          </w:tcPr>
          <w:p w:rsidR="000A156F" w:rsidRDefault="00A9721F">
            <w:pPr>
              <w:pStyle w:val="TableBodyText"/>
            </w:pPr>
            <w:r>
              <w:t xml:space="preserve">Colorful List </w:t>
            </w:r>
            <w:r>
              <w:t>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244</w:t>
            </w:r>
          </w:p>
        </w:tc>
      </w:tr>
      <w:tr w:rsidR="000A156F" w:rsidTr="000A156F">
        <w:tc>
          <w:tcPr>
            <w:tcW w:w="0" w:type="auto"/>
            <w:vAlign w:val="center"/>
          </w:tcPr>
          <w:p w:rsidR="000A156F" w:rsidRDefault="00A9721F">
            <w:pPr>
              <w:pStyle w:val="TableBodyText"/>
            </w:pPr>
            <w:r>
              <w:t>Colorful List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258</w:t>
            </w:r>
          </w:p>
        </w:tc>
      </w:tr>
      <w:tr w:rsidR="000A156F" w:rsidTr="000A156F">
        <w:tc>
          <w:tcPr>
            <w:tcW w:w="0" w:type="auto"/>
            <w:vAlign w:val="center"/>
          </w:tcPr>
          <w:p w:rsidR="000A156F" w:rsidRDefault="00A9721F">
            <w:pPr>
              <w:pStyle w:val="TableBodyText"/>
            </w:pPr>
            <w:r>
              <w:t>Colorful Shading</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169</w:t>
            </w:r>
          </w:p>
        </w:tc>
      </w:tr>
      <w:tr w:rsidR="000A156F" w:rsidTr="000A156F">
        <w:tc>
          <w:tcPr>
            <w:tcW w:w="0" w:type="auto"/>
            <w:vAlign w:val="center"/>
          </w:tcPr>
          <w:p w:rsidR="000A156F" w:rsidRDefault="00A9721F">
            <w:pPr>
              <w:pStyle w:val="TableBodyText"/>
            </w:pPr>
            <w:r>
              <w:t>Colorful Shading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187</w:t>
            </w:r>
          </w:p>
        </w:tc>
      </w:tr>
      <w:tr w:rsidR="000A156F" w:rsidTr="000A156F">
        <w:tc>
          <w:tcPr>
            <w:tcW w:w="0" w:type="auto"/>
            <w:vAlign w:val="center"/>
          </w:tcPr>
          <w:p w:rsidR="000A156F" w:rsidRDefault="00A9721F">
            <w:pPr>
              <w:pStyle w:val="TableBodyText"/>
            </w:pPr>
            <w:r>
              <w:lastRenderedPageBreak/>
              <w:t>Colorful Shading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201</w:t>
            </w:r>
          </w:p>
        </w:tc>
      </w:tr>
      <w:tr w:rsidR="000A156F" w:rsidTr="000A156F">
        <w:tc>
          <w:tcPr>
            <w:tcW w:w="0" w:type="auto"/>
            <w:vAlign w:val="center"/>
          </w:tcPr>
          <w:p w:rsidR="000A156F" w:rsidRDefault="00A9721F">
            <w:pPr>
              <w:pStyle w:val="TableBodyText"/>
            </w:pPr>
            <w:r>
              <w:t>Colorful Shading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215</w:t>
            </w:r>
          </w:p>
        </w:tc>
      </w:tr>
      <w:tr w:rsidR="000A156F" w:rsidTr="000A156F">
        <w:tc>
          <w:tcPr>
            <w:tcW w:w="0" w:type="auto"/>
            <w:vAlign w:val="center"/>
          </w:tcPr>
          <w:p w:rsidR="000A156F" w:rsidRDefault="00A9721F">
            <w:pPr>
              <w:pStyle w:val="TableBodyText"/>
            </w:pPr>
            <w:r>
              <w:t>Colorful Shading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229</w:t>
            </w:r>
          </w:p>
        </w:tc>
      </w:tr>
      <w:tr w:rsidR="000A156F" w:rsidTr="000A156F">
        <w:tc>
          <w:tcPr>
            <w:tcW w:w="0" w:type="auto"/>
            <w:vAlign w:val="center"/>
          </w:tcPr>
          <w:p w:rsidR="000A156F" w:rsidRDefault="00A9721F">
            <w:pPr>
              <w:pStyle w:val="TableBodyText"/>
            </w:pPr>
            <w:r>
              <w:t>Colorful Shading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243</w:t>
            </w:r>
          </w:p>
        </w:tc>
      </w:tr>
      <w:tr w:rsidR="000A156F" w:rsidTr="000A156F">
        <w:tc>
          <w:tcPr>
            <w:tcW w:w="0" w:type="auto"/>
            <w:vAlign w:val="center"/>
          </w:tcPr>
          <w:p w:rsidR="000A156F" w:rsidRDefault="00A9721F">
            <w:pPr>
              <w:pStyle w:val="TableBodyText"/>
            </w:pPr>
            <w:r>
              <w:t>Colorful Shading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257</w:t>
            </w:r>
          </w:p>
        </w:tc>
      </w:tr>
      <w:tr w:rsidR="000A156F" w:rsidTr="000A156F">
        <w:tc>
          <w:tcPr>
            <w:tcW w:w="0" w:type="auto"/>
            <w:vAlign w:val="center"/>
          </w:tcPr>
          <w:p w:rsidR="000A156F" w:rsidRDefault="00A9721F">
            <w:pPr>
              <w:pStyle w:val="TableBodyText"/>
            </w:pPr>
            <w:r>
              <w:t>Dark List</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168</w:t>
            </w:r>
          </w:p>
        </w:tc>
      </w:tr>
      <w:tr w:rsidR="000A156F" w:rsidTr="000A156F">
        <w:tc>
          <w:tcPr>
            <w:tcW w:w="0" w:type="auto"/>
            <w:vAlign w:val="center"/>
          </w:tcPr>
          <w:p w:rsidR="000A156F" w:rsidRDefault="00A9721F">
            <w:pPr>
              <w:pStyle w:val="TableBodyText"/>
            </w:pPr>
            <w:r>
              <w:t>Dark List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186</w:t>
            </w:r>
          </w:p>
        </w:tc>
      </w:tr>
      <w:tr w:rsidR="000A156F" w:rsidTr="000A156F">
        <w:tc>
          <w:tcPr>
            <w:tcW w:w="0" w:type="auto"/>
            <w:vAlign w:val="center"/>
          </w:tcPr>
          <w:p w:rsidR="000A156F" w:rsidRDefault="00A9721F">
            <w:pPr>
              <w:pStyle w:val="TableBodyText"/>
            </w:pPr>
            <w:r>
              <w:t>Dark List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200</w:t>
            </w:r>
          </w:p>
        </w:tc>
      </w:tr>
      <w:tr w:rsidR="000A156F" w:rsidTr="000A156F">
        <w:tc>
          <w:tcPr>
            <w:tcW w:w="0" w:type="auto"/>
            <w:vAlign w:val="center"/>
          </w:tcPr>
          <w:p w:rsidR="000A156F" w:rsidRDefault="00A9721F">
            <w:pPr>
              <w:pStyle w:val="TableBodyText"/>
            </w:pPr>
            <w:r>
              <w:t>Dark List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214</w:t>
            </w:r>
          </w:p>
        </w:tc>
      </w:tr>
      <w:tr w:rsidR="000A156F" w:rsidTr="000A156F">
        <w:tc>
          <w:tcPr>
            <w:tcW w:w="0" w:type="auto"/>
            <w:vAlign w:val="center"/>
          </w:tcPr>
          <w:p w:rsidR="000A156F" w:rsidRDefault="00A9721F">
            <w:pPr>
              <w:pStyle w:val="TableBodyText"/>
            </w:pPr>
            <w:r>
              <w:t>Dark List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228</w:t>
            </w:r>
          </w:p>
        </w:tc>
      </w:tr>
      <w:tr w:rsidR="000A156F" w:rsidTr="000A156F">
        <w:tc>
          <w:tcPr>
            <w:tcW w:w="0" w:type="auto"/>
            <w:vAlign w:val="center"/>
          </w:tcPr>
          <w:p w:rsidR="000A156F" w:rsidRDefault="00A9721F">
            <w:pPr>
              <w:pStyle w:val="TableBodyText"/>
            </w:pPr>
            <w:r>
              <w:t>Dark List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242</w:t>
            </w:r>
          </w:p>
        </w:tc>
      </w:tr>
      <w:tr w:rsidR="000A156F" w:rsidTr="000A156F">
        <w:tc>
          <w:tcPr>
            <w:tcW w:w="0" w:type="auto"/>
            <w:vAlign w:val="center"/>
          </w:tcPr>
          <w:p w:rsidR="000A156F" w:rsidRDefault="00A9721F">
            <w:pPr>
              <w:pStyle w:val="TableBodyText"/>
            </w:pPr>
            <w:r>
              <w:t>Dark List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256</w:t>
            </w:r>
          </w:p>
        </w:tc>
      </w:tr>
      <w:tr w:rsidR="000A156F" w:rsidTr="000A156F">
        <w:tc>
          <w:tcPr>
            <w:tcW w:w="0" w:type="auto"/>
            <w:vAlign w:val="center"/>
          </w:tcPr>
          <w:p w:rsidR="000A156F" w:rsidRDefault="00A9721F">
            <w:pPr>
              <w:pStyle w:val="TableBodyText"/>
            </w:pPr>
            <w:r>
              <w:t>Date</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76</w:t>
            </w:r>
          </w:p>
        </w:tc>
      </w:tr>
      <w:tr w:rsidR="000A156F" w:rsidTr="000A156F">
        <w:tc>
          <w:tcPr>
            <w:tcW w:w="0" w:type="auto"/>
            <w:vAlign w:val="center"/>
          </w:tcPr>
          <w:p w:rsidR="000A156F" w:rsidRDefault="00A9721F">
            <w:pPr>
              <w:pStyle w:val="TableBodyText"/>
            </w:pPr>
            <w:r>
              <w:t>Default Paragraph Font</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65</w:t>
            </w:r>
          </w:p>
        </w:tc>
      </w:tr>
      <w:tr w:rsidR="000A156F" w:rsidTr="000A156F">
        <w:tc>
          <w:tcPr>
            <w:tcW w:w="0" w:type="auto"/>
            <w:vAlign w:val="center"/>
          </w:tcPr>
          <w:p w:rsidR="000A156F" w:rsidRDefault="00A9721F">
            <w:pPr>
              <w:pStyle w:val="TableBodyText"/>
            </w:pPr>
            <w:r>
              <w:t>Document Map</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89</w:t>
            </w:r>
          </w:p>
        </w:tc>
      </w:tr>
      <w:tr w:rsidR="000A156F" w:rsidTr="000A156F">
        <w:tc>
          <w:tcPr>
            <w:tcW w:w="0" w:type="auto"/>
            <w:vAlign w:val="center"/>
          </w:tcPr>
          <w:p w:rsidR="000A156F" w:rsidRDefault="00A9721F">
            <w:pPr>
              <w:pStyle w:val="TableBodyText"/>
            </w:pPr>
            <w:r>
              <w:t>E-mail Signature</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91</w:t>
            </w:r>
          </w:p>
        </w:tc>
      </w:tr>
      <w:tr w:rsidR="000A156F" w:rsidTr="000A156F">
        <w:tc>
          <w:tcPr>
            <w:tcW w:w="0" w:type="auto"/>
            <w:vAlign w:val="center"/>
          </w:tcPr>
          <w:p w:rsidR="000A156F" w:rsidRDefault="00A9721F">
            <w:pPr>
              <w:pStyle w:val="TableBodyText"/>
            </w:pPr>
            <w:r>
              <w:t>Emphasis</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88</w:t>
            </w:r>
          </w:p>
        </w:tc>
      </w:tr>
      <w:tr w:rsidR="000A156F" w:rsidTr="000A156F">
        <w:tc>
          <w:tcPr>
            <w:tcW w:w="0" w:type="auto"/>
            <w:vAlign w:val="center"/>
          </w:tcPr>
          <w:p w:rsidR="000A156F" w:rsidRDefault="00A9721F">
            <w:pPr>
              <w:pStyle w:val="TableBodyText"/>
            </w:pPr>
            <w:r>
              <w:t>endnote reference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42</w:t>
            </w:r>
          </w:p>
        </w:tc>
      </w:tr>
      <w:tr w:rsidR="000A156F" w:rsidTr="000A156F">
        <w:tc>
          <w:tcPr>
            <w:tcW w:w="0" w:type="auto"/>
            <w:vAlign w:val="center"/>
          </w:tcPr>
          <w:p w:rsidR="000A156F" w:rsidRDefault="00A9721F">
            <w:pPr>
              <w:pStyle w:val="TableBodyText"/>
            </w:pPr>
            <w:r>
              <w:t>endnote text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43</w:t>
            </w:r>
          </w:p>
        </w:tc>
      </w:tr>
      <w:tr w:rsidR="000A156F" w:rsidTr="000A156F">
        <w:tc>
          <w:tcPr>
            <w:tcW w:w="0" w:type="auto"/>
            <w:vAlign w:val="center"/>
          </w:tcPr>
          <w:p w:rsidR="000A156F" w:rsidRDefault="00A9721F">
            <w:pPr>
              <w:pStyle w:val="TableBodyText"/>
            </w:pPr>
            <w:r>
              <w:t>envelope address</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36</w:t>
            </w:r>
          </w:p>
        </w:tc>
      </w:tr>
      <w:tr w:rsidR="000A156F" w:rsidTr="000A156F">
        <w:tc>
          <w:tcPr>
            <w:tcW w:w="0" w:type="auto"/>
            <w:vAlign w:val="center"/>
          </w:tcPr>
          <w:p w:rsidR="000A156F" w:rsidRDefault="00A9721F">
            <w:pPr>
              <w:pStyle w:val="TableBodyText"/>
            </w:pPr>
            <w:r>
              <w:t>envelope return</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37</w:t>
            </w:r>
          </w:p>
        </w:tc>
      </w:tr>
      <w:tr w:rsidR="000A156F" w:rsidTr="000A156F">
        <w:tc>
          <w:tcPr>
            <w:tcW w:w="0" w:type="auto"/>
            <w:vAlign w:val="center"/>
          </w:tcPr>
          <w:p w:rsidR="000A156F" w:rsidRDefault="00A9721F">
            <w:pPr>
              <w:pStyle w:val="TableBodyText"/>
            </w:pPr>
            <w:r>
              <w:t>FollowedHyperlink</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86</w:t>
            </w:r>
          </w:p>
        </w:tc>
      </w:tr>
      <w:tr w:rsidR="000A156F" w:rsidTr="000A156F">
        <w:tc>
          <w:tcPr>
            <w:tcW w:w="0" w:type="auto"/>
            <w:vAlign w:val="center"/>
          </w:tcPr>
          <w:p w:rsidR="000A156F" w:rsidRDefault="00A9721F">
            <w:pPr>
              <w:pStyle w:val="TableBodyText"/>
            </w:pPr>
            <w:r>
              <w:t>footer</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32</w:t>
            </w:r>
          </w:p>
        </w:tc>
      </w:tr>
      <w:tr w:rsidR="000A156F" w:rsidTr="000A156F">
        <w:tc>
          <w:tcPr>
            <w:tcW w:w="0" w:type="auto"/>
            <w:vAlign w:val="center"/>
          </w:tcPr>
          <w:p w:rsidR="000A156F" w:rsidRDefault="00A9721F">
            <w:pPr>
              <w:pStyle w:val="TableBodyText"/>
            </w:pPr>
            <w:r>
              <w:t>footnote reference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38</w:t>
            </w:r>
          </w:p>
        </w:tc>
      </w:tr>
      <w:tr w:rsidR="000A156F" w:rsidTr="000A156F">
        <w:tc>
          <w:tcPr>
            <w:tcW w:w="0" w:type="auto"/>
            <w:vAlign w:val="center"/>
          </w:tcPr>
          <w:p w:rsidR="000A156F" w:rsidRDefault="00A9721F">
            <w:pPr>
              <w:pStyle w:val="TableBodyText"/>
            </w:pPr>
            <w:r>
              <w:t>footnote text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29</w:t>
            </w:r>
          </w:p>
        </w:tc>
      </w:tr>
      <w:tr w:rsidR="000A156F" w:rsidTr="000A156F">
        <w:tc>
          <w:tcPr>
            <w:tcW w:w="0" w:type="auto"/>
            <w:vAlign w:val="center"/>
          </w:tcPr>
          <w:p w:rsidR="000A156F" w:rsidRDefault="00A9721F">
            <w:pPr>
              <w:pStyle w:val="TableBodyText"/>
            </w:pPr>
            <w:r>
              <w:t>header</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31</w:t>
            </w:r>
          </w:p>
        </w:tc>
      </w:tr>
      <w:tr w:rsidR="000A156F" w:rsidTr="000A156F">
        <w:tc>
          <w:tcPr>
            <w:tcW w:w="0" w:type="auto"/>
            <w:vAlign w:val="center"/>
          </w:tcPr>
          <w:p w:rsidR="000A156F" w:rsidRDefault="00A9721F">
            <w:pPr>
              <w:pStyle w:val="TableBodyText"/>
            </w:pPr>
            <w:r>
              <w:t>heading 1</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w:t>
            </w:r>
          </w:p>
        </w:tc>
      </w:tr>
      <w:tr w:rsidR="000A156F" w:rsidTr="000A156F">
        <w:tc>
          <w:tcPr>
            <w:tcW w:w="0" w:type="auto"/>
            <w:vAlign w:val="center"/>
          </w:tcPr>
          <w:p w:rsidR="000A156F" w:rsidRDefault="00A9721F">
            <w:pPr>
              <w:pStyle w:val="TableBodyText"/>
            </w:pPr>
            <w:r>
              <w:t>heading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w:t>
            </w:r>
          </w:p>
        </w:tc>
      </w:tr>
      <w:tr w:rsidR="000A156F" w:rsidTr="000A156F">
        <w:tc>
          <w:tcPr>
            <w:tcW w:w="0" w:type="auto"/>
            <w:vAlign w:val="center"/>
          </w:tcPr>
          <w:p w:rsidR="000A156F" w:rsidRDefault="00A9721F">
            <w:pPr>
              <w:pStyle w:val="TableBodyText"/>
            </w:pPr>
            <w:r>
              <w:t>heading 3</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3</w:t>
            </w:r>
          </w:p>
        </w:tc>
      </w:tr>
      <w:tr w:rsidR="000A156F" w:rsidTr="000A156F">
        <w:tc>
          <w:tcPr>
            <w:tcW w:w="0" w:type="auto"/>
            <w:vAlign w:val="center"/>
          </w:tcPr>
          <w:p w:rsidR="000A156F" w:rsidRDefault="00A9721F">
            <w:pPr>
              <w:pStyle w:val="TableBodyText"/>
            </w:pPr>
            <w:r>
              <w:t>heading 4</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4</w:t>
            </w:r>
          </w:p>
        </w:tc>
      </w:tr>
      <w:tr w:rsidR="000A156F" w:rsidTr="000A156F">
        <w:tc>
          <w:tcPr>
            <w:tcW w:w="0" w:type="auto"/>
            <w:vAlign w:val="center"/>
          </w:tcPr>
          <w:p w:rsidR="000A156F" w:rsidRDefault="00A9721F">
            <w:pPr>
              <w:pStyle w:val="TableBodyText"/>
            </w:pPr>
            <w:r>
              <w:t>heading 5</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w:t>
            </w:r>
          </w:p>
        </w:tc>
      </w:tr>
      <w:tr w:rsidR="000A156F" w:rsidTr="000A156F">
        <w:tc>
          <w:tcPr>
            <w:tcW w:w="0" w:type="auto"/>
            <w:vAlign w:val="center"/>
          </w:tcPr>
          <w:p w:rsidR="000A156F" w:rsidRDefault="00A9721F">
            <w:pPr>
              <w:pStyle w:val="TableBodyText"/>
            </w:pPr>
            <w:r>
              <w:t>heading 6</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w:t>
            </w:r>
          </w:p>
        </w:tc>
      </w:tr>
      <w:tr w:rsidR="000A156F" w:rsidTr="000A156F">
        <w:tc>
          <w:tcPr>
            <w:tcW w:w="0" w:type="auto"/>
            <w:vAlign w:val="center"/>
          </w:tcPr>
          <w:p w:rsidR="000A156F" w:rsidRDefault="00A9721F">
            <w:pPr>
              <w:pStyle w:val="TableBodyText"/>
            </w:pPr>
            <w:r>
              <w:lastRenderedPageBreak/>
              <w:t>heading 7</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w:t>
            </w:r>
          </w:p>
        </w:tc>
      </w:tr>
      <w:tr w:rsidR="000A156F" w:rsidTr="000A156F">
        <w:tc>
          <w:tcPr>
            <w:tcW w:w="0" w:type="auto"/>
            <w:vAlign w:val="center"/>
          </w:tcPr>
          <w:p w:rsidR="000A156F" w:rsidRDefault="00A9721F">
            <w:pPr>
              <w:pStyle w:val="TableBodyText"/>
            </w:pPr>
            <w:r>
              <w:t>heading 8</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8</w:t>
            </w:r>
          </w:p>
        </w:tc>
      </w:tr>
      <w:tr w:rsidR="000A156F" w:rsidTr="000A156F">
        <w:tc>
          <w:tcPr>
            <w:tcW w:w="0" w:type="auto"/>
            <w:vAlign w:val="center"/>
          </w:tcPr>
          <w:p w:rsidR="000A156F" w:rsidRDefault="00A9721F">
            <w:pPr>
              <w:pStyle w:val="TableBodyText"/>
            </w:pPr>
            <w:r>
              <w:t>heading 9</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9</w:t>
            </w:r>
          </w:p>
        </w:tc>
      </w:tr>
      <w:tr w:rsidR="000A156F" w:rsidTr="000A156F">
        <w:tc>
          <w:tcPr>
            <w:tcW w:w="0" w:type="auto"/>
            <w:vAlign w:val="center"/>
          </w:tcPr>
          <w:p w:rsidR="000A156F" w:rsidRDefault="00A9721F">
            <w:pPr>
              <w:pStyle w:val="TableBodyText"/>
            </w:pPr>
            <w:r>
              <w:t>HTML Acronym</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95</w:t>
            </w:r>
          </w:p>
        </w:tc>
      </w:tr>
      <w:tr w:rsidR="000A156F" w:rsidTr="000A156F">
        <w:tc>
          <w:tcPr>
            <w:tcW w:w="0" w:type="auto"/>
            <w:vAlign w:val="center"/>
          </w:tcPr>
          <w:p w:rsidR="000A156F" w:rsidRDefault="00A9721F">
            <w:pPr>
              <w:pStyle w:val="TableBodyText"/>
            </w:pPr>
            <w:r>
              <w:t>HTML Address</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96</w:t>
            </w:r>
          </w:p>
        </w:tc>
      </w:tr>
      <w:tr w:rsidR="000A156F" w:rsidTr="000A156F">
        <w:tc>
          <w:tcPr>
            <w:tcW w:w="0" w:type="auto"/>
            <w:vAlign w:val="center"/>
          </w:tcPr>
          <w:p w:rsidR="000A156F" w:rsidRDefault="00A9721F">
            <w:pPr>
              <w:pStyle w:val="TableBodyText"/>
            </w:pPr>
            <w:r>
              <w:t>HTML Bottom of Form</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93</w:t>
            </w:r>
          </w:p>
        </w:tc>
      </w:tr>
      <w:tr w:rsidR="000A156F" w:rsidTr="000A156F">
        <w:tc>
          <w:tcPr>
            <w:tcW w:w="0" w:type="auto"/>
            <w:vAlign w:val="center"/>
          </w:tcPr>
          <w:p w:rsidR="000A156F" w:rsidRDefault="00A9721F">
            <w:pPr>
              <w:pStyle w:val="TableBodyText"/>
            </w:pPr>
            <w:r>
              <w:t>HTML Cite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97</w:t>
            </w:r>
          </w:p>
        </w:tc>
      </w:tr>
      <w:tr w:rsidR="000A156F" w:rsidTr="000A156F">
        <w:tc>
          <w:tcPr>
            <w:tcW w:w="0" w:type="auto"/>
            <w:vAlign w:val="center"/>
          </w:tcPr>
          <w:p w:rsidR="000A156F" w:rsidRDefault="00A9721F">
            <w:pPr>
              <w:pStyle w:val="TableBodyText"/>
            </w:pPr>
            <w:r>
              <w:t>HTML Code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98</w:t>
            </w:r>
          </w:p>
        </w:tc>
      </w:tr>
      <w:tr w:rsidR="000A156F" w:rsidTr="000A156F">
        <w:tc>
          <w:tcPr>
            <w:tcW w:w="0" w:type="auto"/>
            <w:vAlign w:val="center"/>
          </w:tcPr>
          <w:p w:rsidR="000A156F" w:rsidRDefault="00A9721F">
            <w:pPr>
              <w:pStyle w:val="TableBodyText"/>
            </w:pPr>
            <w:r>
              <w:t>HTML Definition</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99</w:t>
            </w:r>
          </w:p>
        </w:tc>
      </w:tr>
      <w:tr w:rsidR="000A156F" w:rsidTr="000A156F">
        <w:tc>
          <w:tcPr>
            <w:tcW w:w="0" w:type="auto"/>
            <w:vAlign w:val="center"/>
          </w:tcPr>
          <w:p w:rsidR="000A156F" w:rsidRDefault="00A9721F">
            <w:pPr>
              <w:pStyle w:val="TableBodyText"/>
            </w:pPr>
            <w:r>
              <w:t>HTML Keyboard</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100</w:t>
            </w:r>
          </w:p>
        </w:tc>
      </w:tr>
      <w:tr w:rsidR="000A156F" w:rsidTr="000A156F">
        <w:tc>
          <w:tcPr>
            <w:tcW w:w="0" w:type="auto"/>
            <w:vAlign w:val="center"/>
          </w:tcPr>
          <w:p w:rsidR="000A156F" w:rsidRDefault="00A9721F">
            <w:pPr>
              <w:pStyle w:val="TableBodyText"/>
            </w:pPr>
            <w:r>
              <w:t>HTML Preformatted</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101</w:t>
            </w:r>
          </w:p>
        </w:tc>
      </w:tr>
      <w:tr w:rsidR="000A156F" w:rsidTr="000A156F">
        <w:tc>
          <w:tcPr>
            <w:tcW w:w="0" w:type="auto"/>
            <w:vAlign w:val="center"/>
          </w:tcPr>
          <w:p w:rsidR="000A156F" w:rsidRDefault="00A9721F">
            <w:pPr>
              <w:pStyle w:val="TableBodyText"/>
            </w:pPr>
            <w:r>
              <w:t>HTML Sample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102</w:t>
            </w:r>
          </w:p>
        </w:tc>
      </w:tr>
      <w:tr w:rsidR="000A156F" w:rsidTr="000A156F">
        <w:tc>
          <w:tcPr>
            <w:tcW w:w="0" w:type="auto"/>
            <w:vAlign w:val="center"/>
          </w:tcPr>
          <w:p w:rsidR="000A156F" w:rsidRDefault="00A9721F">
            <w:pPr>
              <w:pStyle w:val="TableBodyText"/>
            </w:pPr>
            <w:r>
              <w:t>HTML Top of Form</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92</w:t>
            </w:r>
          </w:p>
        </w:tc>
      </w:tr>
      <w:tr w:rsidR="000A156F" w:rsidTr="000A156F">
        <w:tc>
          <w:tcPr>
            <w:tcW w:w="0" w:type="auto"/>
            <w:vAlign w:val="center"/>
          </w:tcPr>
          <w:p w:rsidR="000A156F" w:rsidRDefault="00A9721F">
            <w:pPr>
              <w:pStyle w:val="TableBodyText"/>
            </w:pPr>
            <w:r>
              <w:t>HTML Typewriter</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103</w:t>
            </w:r>
          </w:p>
        </w:tc>
      </w:tr>
      <w:tr w:rsidR="000A156F" w:rsidTr="000A156F">
        <w:tc>
          <w:tcPr>
            <w:tcW w:w="0" w:type="auto"/>
            <w:vAlign w:val="center"/>
          </w:tcPr>
          <w:p w:rsidR="000A156F" w:rsidRDefault="00A9721F">
            <w:pPr>
              <w:pStyle w:val="TableBodyText"/>
            </w:pPr>
            <w:r>
              <w:t>HTML Variable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104</w:t>
            </w:r>
          </w:p>
        </w:tc>
      </w:tr>
      <w:tr w:rsidR="000A156F" w:rsidTr="000A156F">
        <w:tc>
          <w:tcPr>
            <w:tcW w:w="0" w:type="auto"/>
            <w:vAlign w:val="center"/>
          </w:tcPr>
          <w:p w:rsidR="000A156F" w:rsidRDefault="00A9721F">
            <w:pPr>
              <w:pStyle w:val="TableBodyText"/>
            </w:pPr>
            <w:r>
              <w:t>Hyperlink</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85</w:t>
            </w:r>
          </w:p>
        </w:tc>
      </w:tr>
      <w:tr w:rsidR="000A156F" w:rsidTr="000A156F">
        <w:tc>
          <w:tcPr>
            <w:tcW w:w="0" w:type="auto"/>
            <w:vAlign w:val="center"/>
          </w:tcPr>
          <w:p w:rsidR="000A156F" w:rsidRDefault="00A9721F">
            <w:pPr>
              <w:pStyle w:val="TableBodyText"/>
            </w:pPr>
            <w:r>
              <w:t>index 1</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10</w:t>
            </w:r>
          </w:p>
        </w:tc>
      </w:tr>
      <w:tr w:rsidR="000A156F" w:rsidTr="000A156F">
        <w:tc>
          <w:tcPr>
            <w:tcW w:w="0" w:type="auto"/>
            <w:vAlign w:val="center"/>
          </w:tcPr>
          <w:p w:rsidR="000A156F" w:rsidRDefault="00A9721F">
            <w:pPr>
              <w:pStyle w:val="TableBodyText"/>
            </w:pPr>
            <w:r>
              <w:t>index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11</w:t>
            </w:r>
          </w:p>
        </w:tc>
      </w:tr>
      <w:tr w:rsidR="000A156F" w:rsidTr="000A156F">
        <w:tc>
          <w:tcPr>
            <w:tcW w:w="0" w:type="auto"/>
            <w:vAlign w:val="center"/>
          </w:tcPr>
          <w:p w:rsidR="000A156F" w:rsidRDefault="00A9721F">
            <w:pPr>
              <w:pStyle w:val="TableBodyText"/>
            </w:pPr>
            <w:r>
              <w:t xml:space="preserve">index </w:t>
            </w:r>
            <w:r>
              <w:t>3</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12</w:t>
            </w:r>
          </w:p>
        </w:tc>
      </w:tr>
      <w:tr w:rsidR="000A156F" w:rsidTr="000A156F">
        <w:tc>
          <w:tcPr>
            <w:tcW w:w="0" w:type="auto"/>
            <w:vAlign w:val="center"/>
          </w:tcPr>
          <w:p w:rsidR="000A156F" w:rsidRDefault="00A9721F">
            <w:pPr>
              <w:pStyle w:val="TableBodyText"/>
            </w:pPr>
            <w:r>
              <w:t>index 4</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13</w:t>
            </w:r>
          </w:p>
        </w:tc>
      </w:tr>
      <w:tr w:rsidR="000A156F" w:rsidTr="000A156F">
        <w:tc>
          <w:tcPr>
            <w:tcW w:w="0" w:type="auto"/>
            <w:vAlign w:val="center"/>
          </w:tcPr>
          <w:p w:rsidR="000A156F" w:rsidRDefault="00A9721F">
            <w:pPr>
              <w:pStyle w:val="TableBodyText"/>
            </w:pPr>
            <w:r>
              <w:t>index 5</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14</w:t>
            </w:r>
          </w:p>
        </w:tc>
      </w:tr>
      <w:tr w:rsidR="000A156F" w:rsidTr="000A156F">
        <w:tc>
          <w:tcPr>
            <w:tcW w:w="0" w:type="auto"/>
            <w:vAlign w:val="center"/>
          </w:tcPr>
          <w:p w:rsidR="000A156F" w:rsidRDefault="00A9721F">
            <w:pPr>
              <w:pStyle w:val="TableBodyText"/>
            </w:pPr>
            <w:r>
              <w:t>index 6</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15</w:t>
            </w:r>
          </w:p>
        </w:tc>
      </w:tr>
      <w:tr w:rsidR="000A156F" w:rsidTr="000A156F">
        <w:tc>
          <w:tcPr>
            <w:tcW w:w="0" w:type="auto"/>
            <w:vAlign w:val="center"/>
          </w:tcPr>
          <w:p w:rsidR="000A156F" w:rsidRDefault="00A9721F">
            <w:pPr>
              <w:pStyle w:val="TableBodyText"/>
            </w:pPr>
            <w:r>
              <w:t>index 7</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16</w:t>
            </w:r>
          </w:p>
        </w:tc>
      </w:tr>
      <w:tr w:rsidR="000A156F" w:rsidTr="000A156F">
        <w:tc>
          <w:tcPr>
            <w:tcW w:w="0" w:type="auto"/>
            <w:vAlign w:val="center"/>
          </w:tcPr>
          <w:p w:rsidR="000A156F" w:rsidRDefault="00A9721F">
            <w:pPr>
              <w:pStyle w:val="TableBodyText"/>
            </w:pPr>
            <w:r>
              <w:t>index 8</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17</w:t>
            </w:r>
          </w:p>
        </w:tc>
      </w:tr>
      <w:tr w:rsidR="000A156F" w:rsidTr="000A156F">
        <w:tc>
          <w:tcPr>
            <w:tcW w:w="0" w:type="auto"/>
            <w:vAlign w:val="center"/>
          </w:tcPr>
          <w:p w:rsidR="000A156F" w:rsidRDefault="00A9721F">
            <w:pPr>
              <w:pStyle w:val="TableBodyText"/>
            </w:pPr>
            <w:r>
              <w:t>index 9</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18</w:t>
            </w:r>
          </w:p>
        </w:tc>
      </w:tr>
      <w:tr w:rsidR="000A156F" w:rsidTr="000A156F">
        <w:tc>
          <w:tcPr>
            <w:tcW w:w="0" w:type="auto"/>
            <w:vAlign w:val="center"/>
          </w:tcPr>
          <w:p w:rsidR="000A156F" w:rsidRDefault="00A9721F">
            <w:pPr>
              <w:pStyle w:val="TableBodyText"/>
            </w:pPr>
            <w:r>
              <w:t>index heading</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33</w:t>
            </w:r>
          </w:p>
        </w:tc>
      </w:tr>
      <w:tr w:rsidR="000A156F" w:rsidTr="000A156F">
        <w:tc>
          <w:tcPr>
            <w:tcW w:w="0" w:type="auto"/>
            <w:vAlign w:val="center"/>
          </w:tcPr>
          <w:p w:rsidR="000A156F" w:rsidRDefault="00A9721F">
            <w:pPr>
              <w:pStyle w:val="TableBodyText"/>
            </w:pPr>
            <w:r>
              <w:t>Intense Emphasis</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261</w:t>
            </w:r>
          </w:p>
        </w:tc>
      </w:tr>
      <w:tr w:rsidR="000A156F" w:rsidTr="000A156F">
        <w:tc>
          <w:tcPr>
            <w:tcW w:w="0" w:type="auto"/>
            <w:vAlign w:val="center"/>
          </w:tcPr>
          <w:p w:rsidR="000A156F" w:rsidRDefault="00A9721F">
            <w:pPr>
              <w:pStyle w:val="TableBodyText"/>
            </w:pPr>
            <w:r>
              <w:t>Intense Quote</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181</w:t>
            </w:r>
          </w:p>
        </w:tc>
      </w:tr>
      <w:tr w:rsidR="000A156F" w:rsidTr="000A156F">
        <w:tc>
          <w:tcPr>
            <w:tcW w:w="0" w:type="auto"/>
            <w:vAlign w:val="center"/>
          </w:tcPr>
          <w:p w:rsidR="000A156F" w:rsidRDefault="00A9721F">
            <w:pPr>
              <w:pStyle w:val="TableBodyText"/>
            </w:pPr>
            <w:r>
              <w:t>Intense Reference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263</w:t>
            </w:r>
          </w:p>
        </w:tc>
      </w:tr>
      <w:tr w:rsidR="000A156F" w:rsidTr="000A156F">
        <w:tc>
          <w:tcPr>
            <w:tcW w:w="0" w:type="auto"/>
            <w:vAlign w:val="center"/>
          </w:tcPr>
          <w:p w:rsidR="000A156F" w:rsidRDefault="00A9721F">
            <w:pPr>
              <w:pStyle w:val="TableBodyText"/>
            </w:pPr>
            <w:r>
              <w:t>Light Grid</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160</w:t>
            </w:r>
          </w:p>
        </w:tc>
      </w:tr>
      <w:tr w:rsidR="000A156F" w:rsidTr="000A156F">
        <w:tc>
          <w:tcPr>
            <w:tcW w:w="0" w:type="auto"/>
            <w:vAlign w:val="center"/>
          </w:tcPr>
          <w:p w:rsidR="000A156F" w:rsidRDefault="00A9721F">
            <w:pPr>
              <w:pStyle w:val="TableBodyText"/>
            </w:pPr>
            <w:r>
              <w:t>Light Grid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174</w:t>
            </w:r>
          </w:p>
        </w:tc>
      </w:tr>
      <w:tr w:rsidR="000A156F" w:rsidTr="000A156F">
        <w:tc>
          <w:tcPr>
            <w:tcW w:w="0" w:type="auto"/>
            <w:vAlign w:val="center"/>
          </w:tcPr>
          <w:p w:rsidR="000A156F" w:rsidRDefault="00A9721F">
            <w:pPr>
              <w:pStyle w:val="TableBodyText"/>
            </w:pPr>
            <w:r>
              <w:t>Light Grid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192</w:t>
            </w:r>
          </w:p>
        </w:tc>
      </w:tr>
      <w:tr w:rsidR="000A156F" w:rsidTr="000A156F">
        <w:tc>
          <w:tcPr>
            <w:tcW w:w="0" w:type="auto"/>
            <w:vAlign w:val="center"/>
          </w:tcPr>
          <w:p w:rsidR="000A156F" w:rsidRDefault="00A9721F">
            <w:pPr>
              <w:pStyle w:val="TableBodyText"/>
            </w:pPr>
            <w:r>
              <w:lastRenderedPageBreak/>
              <w:t>Light Grid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206</w:t>
            </w:r>
          </w:p>
        </w:tc>
      </w:tr>
      <w:tr w:rsidR="000A156F" w:rsidTr="000A156F">
        <w:tc>
          <w:tcPr>
            <w:tcW w:w="0" w:type="auto"/>
            <w:vAlign w:val="center"/>
          </w:tcPr>
          <w:p w:rsidR="000A156F" w:rsidRDefault="00A9721F">
            <w:pPr>
              <w:pStyle w:val="TableBodyText"/>
            </w:pPr>
            <w:r>
              <w:t>Light Grid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220</w:t>
            </w:r>
          </w:p>
        </w:tc>
      </w:tr>
      <w:tr w:rsidR="000A156F" w:rsidTr="000A156F">
        <w:tc>
          <w:tcPr>
            <w:tcW w:w="0" w:type="auto"/>
            <w:vAlign w:val="center"/>
          </w:tcPr>
          <w:p w:rsidR="000A156F" w:rsidRDefault="00A9721F">
            <w:pPr>
              <w:pStyle w:val="TableBodyText"/>
            </w:pPr>
            <w:r>
              <w:t>Light Grid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234</w:t>
            </w:r>
          </w:p>
        </w:tc>
      </w:tr>
      <w:tr w:rsidR="000A156F" w:rsidTr="000A156F">
        <w:tc>
          <w:tcPr>
            <w:tcW w:w="0" w:type="auto"/>
            <w:vAlign w:val="center"/>
          </w:tcPr>
          <w:p w:rsidR="000A156F" w:rsidRDefault="00A9721F">
            <w:pPr>
              <w:pStyle w:val="TableBodyText"/>
            </w:pPr>
            <w:r>
              <w:t>Light Grid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248</w:t>
            </w:r>
          </w:p>
        </w:tc>
      </w:tr>
      <w:tr w:rsidR="000A156F" w:rsidTr="000A156F">
        <w:tc>
          <w:tcPr>
            <w:tcW w:w="0" w:type="auto"/>
            <w:vAlign w:val="center"/>
          </w:tcPr>
          <w:p w:rsidR="000A156F" w:rsidRDefault="00A9721F">
            <w:pPr>
              <w:pStyle w:val="TableBodyText"/>
            </w:pPr>
            <w:r>
              <w:t>Light List</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159</w:t>
            </w:r>
          </w:p>
        </w:tc>
      </w:tr>
      <w:tr w:rsidR="000A156F" w:rsidTr="000A156F">
        <w:tc>
          <w:tcPr>
            <w:tcW w:w="0" w:type="auto"/>
            <w:vAlign w:val="center"/>
          </w:tcPr>
          <w:p w:rsidR="000A156F" w:rsidRDefault="00A9721F">
            <w:pPr>
              <w:pStyle w:val="TableBodyText"/>
            </w:pPr>
            <w:r>
              <w:t xml:space="preserve">Light List </w:t>
            </w:r>
            <w:r>
              <w:t>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173</w:t>
            </w:r>
          </w:p>
        </w:tc>
      </w:tr>
      <w:tr w:rsidR="000A156F" w:rsidTr="000A156F">
        <w:tc>
          <w:tcPr>
            <w:tcW w:w="0" w:type="auto"/>
            <w:vAlign w:val="center"/>
          </w:tcPr>
          <w:p w:rsidR="000A156F" w:rsidRDefault="00A9721F">
            <w:pPr>
              <w:pStyle w:val="TableBodyText"/>
            </w:pPr>
            <w:r>
              <w:t>Light List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191</w:t>
            </w:r>
          </w:p>
        </w:tc>
      </w:tr>
      <w:tr w:rsidR="000A156F" w:rsidTr="000A156F">
        <w:tc>
          <w:tcPr>
            <w:tcW w:w="0" w:type="auto"/>
            <w:vAlign w:val="center"/>
          </w:tcPr>
          <w:p w:rsidR="000A156F" w:rsidRDefault="00A9721F">
            <w:pPr>
              <w:pStyle w:val="TableBodyText"/>
            </w:pPr>
            <w:r>
              <w:t>Light List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205</w:t>
            </w:r>
          </w:p>
        </w:tc>
      </w:tr>
      <w:tr w:rsidR="000A156F" w:rsidTr="000A156F">
        <w:tc>
          <w:tcPr>
            <w:tcW w:w="0" w:type="auto"/>
            <w:vAlign w:val="center"/>
          </w:tcPr>
          <w:p w:rsidR="000A156F" w:rsidRDefault="00A9721F">
            <w:pPr>
              <w:pStyle w:val="TableBodyText"/>
            </w:pPr>
            <w:r>
              <w:t>Light List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219</w:t>
            </w:r>
          </w:p>
        </w:tc>
      </w:tr>
      <w:tr w:rsidR="000A156F" w:rsidTr="000A156F">
        <w:tc>
          <w:tcPr>
            <w:tcW w:w="0" w:type="auto"/>
            <w:vAlign w:val="center"/>
          </w:tcPr>
          <w:p w:rsidR="000A156F" w:rsidRDefault="00A9721F">
            <w:pPr>
              <w:pStyle w:val="TableBodyText"/>
            </w:pPr>
            <w:r>
              <w:t>Light List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233</w:t>
            </w:r>
          </w:p>
        </w:tc>
      </w:tr>
      <w:tr w:rsidR="000A156F" w:rsidTr="000A156F">
        <w:tc>
          <w:tcPr>
            <w:tcW w:w="0" w:type="auto"/>
            <w:vAlign w:val="center"/>
          </w:tcPr>
          <w:p w:rsidR="000A156F" w:rsidRDefault="00A9721F">
            <w:pPr>
              <w:pStyle w:val="TableBodyText"/>
            </w:pPr>
            <w:r>
              <w:t>Light List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247</w:t>
            </w:r>
          </w:p>
        </w:tc>
      </w:tr>
      <w:tr w:rsidR="000A156F" w:rsidTr="000A156F">
        <w:tc>
          <w:tcPr>
            <w:tcW w:w="0" w:type="auto"/>
            <w:vAlign w:val="center"/>
          </w:tcPr>
          <w:p w:rsidR="000A156F" w:rsidRDefault="00A9721F">
            <w:pPr>
              <w:pStyle w:val="TableBodyText"/>
            </w:pPr>
            <w:r>
              <w:t>Light Shading</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158</w:t>
            </w:r>
          </w:p>
        </w:tc>
      </w:tr>
      <w:tr w:rsidR="000A156F" w:rsidTr="000A156F">
        <w:tc>
          <w:tcPr>
            <w:tcW w:w="0" w:type="auto"/>
            <w:vAlign w:val="center"/>
          </w:tcPr>
          <w:p w:rsidR="000A156F" w:rsidRDefault="00A9721F">
            <w:pPr>
              <w:pStyle w:val="TableBodyText"/>
            </w:pPr>
            <w:r>
              <w:t>Light Shading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172</w:t>
            </w:r>
          </w:p>
        </w:tc>
      </w:tr>
      <w:tr w:rsidR="000A156F" w:rsidTr="000A156F">
        <w:tc>
          <w:tcPr>
            <w:tcW w:w="0" w:type="auto"/>
            <w:vAlign w:val="center"/>
          </w:tcPr>
          <w:p w:rsidR="000A156F" w:rsidRDefault="00A9721F">
            <w:pPr>
              <w:pStyle w:val="TableBodyText"/>
            </w:pPr>
            <w:r>
              <w:t>Light Shading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190</w:t>
            </w:r>
          </w:p>
        </w:tc>
      </w:tr>
      <w:tr w:rsidR="000A156F" w:rsidTr="000A156F">
        <w:tc>
          <w:tcPr>
            <w:tcW w:w="0" w:type="auto"/>
            <w:vAlign w:val="center"/>
          </w:tcPr>
          <w:p w:rsidR="000A156F" w:rsidRDefault="00A9721F">
            <w:pPr>
              <w:pStyle w:val="TableBodyText"/>
            </w:pPr>
            <w:r>
              <w:t>Light Shading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204</w:t>
            </w:r>
          </w:p>
        </w:tc>
      </w:tr>
      <w:tr w:rsidR="000A156F" w:rsidTr="000A156F">
        <w:tc>
          <w:tcPr>
            <w:tcW w:w="0" w:type="auto"/>
            <w:vAlign w:val="center"/>
          </w:tcPr>
          <w:p w:rsidR="000A156F" w:rsidRDefault="00A9721F">
            <w:pPr>
              <w:pStyle w:val="TableBodyText"/>
            </w:pPr>
            <w:r>
              <w:t>Light Shading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218</w:t>
            </w:r>
          </w:p>
        </w:tc>
      </w:tr>
      <w:tr w:rsidR="000A156F" w:rsidTr="000A156F">
        <w:tc>
          <w:tcPr>
            <w:tcW w:w="0" w:type="auto"/>
            <w:vAlign w:val="center"/>
          </w:tcPr>
          <w:p w:rsidR="000A156F" w:rsidRDefault="00A9721F">
            <w:pPr>
              <w:pStyle w:val="TableBodyText"/>
            </w:pPr>
            <w:r>
              <w:t>Light Shading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232</w:t>
            </w:r>
          </w:p>
        </w:tc>
      </w:tr>
      <w:tr w:rsidR="000A156F" w:rsidTr="000A156F">
        <w:tc>
          <w:tcPr>
            <w:tcW w:w="0" w:type="auto"/>
            <w:vAlign w:val="center"/>
          </w:tcPr>
          <w:p w:rsidR="000A156F" w:rsidRDefault="00A9721F">
            <w:pPr>
              <w:pStyle w:val="TableBodyText"/>
            </w:pPr>
            <w:r>
              <w:t>Light Shading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246</w:t>
            </w:r>
          </w:p>
        </w:tc>
      </w:tr>
      <w:tr w:rsidR="000A156F" w:rsidTr="000A156F">
        <w:tc>
          <w:tcPr>
            <w:tcW w:w="0" w:type="auto"/>
            <w:vAlign w:val="center"/>
          </w:tcPr>
          <w:p w:rsidR="000A156F" w:rsidRDefault="00A9721F">
            <w:pPr>
              <w:pStyle w:val="TableBodyText"/>
            </w:pPr>
            <w:r>
              <w:t>line number</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40</w:t>
            </w:r>
          </w:p>
        </w:tc>
      </w:tr>
      <w:tr w:rsidR="000A156F" w:rsidTr="000A156F">
        <w:tc>
          <w:tcPr>
            <w:tcW w:w="0" w:type="auto"/>
            <w:vAlign w:val="center"/>
          </w:tcPr>
          <w:p w:rsidR="000A156F" w:rsidRDefault="00A9721F">
            <w:pPr>
              <w:pStyle w:val="TableBodyText"/>
            </w:pPr>
            <w:r>
              <w:t>List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47</w:t>
            </w:r>
          </w:p>
        </w:tc>
      </w:tr>
      <w:tr w:rsidR="000A156F" w:rsidTr="000A156F">
        <w:tc>
          <w:tcPr>
            <w:tcW w:w="0" w:type="auto"/>
            <w:vAlign w:val="center"/>
          </w:tcPr>
          <w:p w:rsidR="000A156F" w:rsidRDefault="00A9721F">
            <w:pPr>
              <w:pStyle w:val="TableBodyText"/>
            </w:pPr>
            <w:r>
              <w:t>List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50</w:t>
            </w:r>
          </w:p>
        </w:tc>
      </w:tr>
      <w:tr w:rsidR="000A156F" w:rsidTr="000A156F">
        <w:tc>
          <w:tcPr>
            <w:tcW w:w="0" w:type="auto"/>
            <w:vAlign w:val="center"/>
          </w:tcPr>
          <w:p w:rsidR="000A156F" w:rsidRDefault="00A9721F">
            <w:pPr>
              <w:pStyle w:val="TableBodyText"/>
            </w:pPr>
            <w:r>
              <w:t>List 3</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51</w:t>
            </w:r>
          </w:p>
        </w:tc>
      </w:tr>
      <w:tr w:rsidR="000A156F" w:rsidTr="000A156F">
        <w:tc>
          <w:tcPr>
            <w:tcW w:w="0" w:type="auto"/>
            <w:vAlign w:val="center"/>
          </w:tcPr>
          <w:p w:rsidR="000A156F" w:rsidRDefault="00A9721F">
            <w:pPr>
              <w:pStyle w:val="TableBodyText"/>
            </w:pPr>
            <w:r>
              <w:t>List 4</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52</w:t>
            </w:r>
          </w:p>
        </w:tc>
      </w:tr>
      <w:tr w:rsidR="000A156F" w:rsidTr="000A156F">
        <w:tc>
          <w:tcPr>
            <w:tcW w:w="0" w:type="auto"/>
            <w:vAlign w:val="center"/>
          </w:tcPr>
          <w:p w:rsidR="000A156F" w:rsidRDefault="00A9721F">
            <w:pPr>
              <w:pStyle w:val="TableBodyText"/>
            </w:pPr>
            <w:r>
              <w:t>List 5</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53</w:t>
            </w:r>
          </w:p>
        </w:tc>
      </w:tr>
      <w:tr w:rsidR="000A156F" w:rsidTr="000A156F">
        <w:tc>
          <w:tcPr>
            <w:tcW w:w="0" w:type="auto"/>
            <w:vAlign w:val="center"/>
          </w:tcPr>
          <w:p w:rsidR="000A156F" w:rsidRDefault="00A9721F">
            <w:pPr>
              <w:pStyle w:val="TableBodyText"/>
            </w:pPr>
            <w:r>
              <w:t>List Bullet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48</w:t>
            </w:r>
          </w:p>
        </w:tc>
      </w:tr>
      <w:tr w:rsidR="000A156F" w:rsidTr="000A156F">
        <w:tc>
          <w:tcPr>
            <w:tcW w:w="0" w:type="auto"/>
            <w:vAlign w:val="center"/>
          </w:tcPr>
          <w:p w:rsidR="000A156F" w:rsidRDefault="00A9721F">
            <w:pPr>
              <w:pStyle w:val="TableBodyText"/>
            </w:pPr>
            <w:r>
              <w:t>List Bullet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54</w:t>
            </w:r>
          </w:p>
        </w:tc>
      </w:tr>
      <w:tr w:rsidR="000A156F" w:rsidTr="000A156F">
        <w:tc>
          <w:tcPr>
            <w:tcW w:w="0" w:type="auto"/>
            <w:vAlign w:val="center"/>
          </w:tcPr>
          <w:p w:rsidR="000A156F" w:rsidRDefault="00A9721F">
            <w:pPr>
              <w:pStyle w:val="TableBodyText"/>
            </w:pPr>
            <w:r>
              <w:t>List Bullet 3</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55</w:t>
            </w:r>
          </w:p>
        </w:tc>
      </w:tr>
      <w:tr w:rsidR="000A156F" w:rsidTr="000A156F">
        <w:tc>
          <w:tcPr>
            <w:tcW w:w="0" w:type="auto"/>
            <w:vAlign w:val="center"/>
          </w:tcPr>
          <w:p w:rsidR="000A156F" w:rsidRDefault="00A9721F">
            <w:pPr>
              <w:pStyle w:val="TableBodyText"/>
            </w:pPr>
            <w:r>
              <w:t>List Bullet 4</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56</w:t>
            </w:r>
          </w:p>
        </w:tc>
      </w:tr>
      <w:tr w:rsidR="000A156F" w:rsidTr="000A156F">
        <w:tc>
          <w:tcPr>
            <w:tcW w:w="0" w:type="auto"/>
            <w:vAlign w:val="center"/>
          </w:tcPr>
          <w:p w:rsidR="000A156F" w:rsidRDefault="00A9721F">
            <w:pPr>
              <w:pStyle w:val="TableBodyText"/>
            </w:pPr>
            <w:r>
              <w:t>List Bullet 5</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57</w:t>
            </w:r>
          </w:p>
        </w:tc>
      </w:tr>
      <w:tr w:rsidR="000A156F" w:rsidTr="000A156F">
        <w:tc>
          <w:tcPr>
            <w:tcW w:w="0" w:type="auto"/>
            <w:vAlign w:val="center"/>
          </w:tcPr>
          <w:p w:rsidR="000A156F" w:rsidRDefault="00A9721F">
            <w:pPr>
              <w:pStyle w:val="TableBodyText"/>
            </w:pPr>
            <w:r>
              <w:t>List Continue</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68</w:t>
            </w:r>
          </w:p>
        </w:tc>
      </w:tr>
      <w:tr w:rsidR="000A156F" w:rsidTr="000A156F">
        <w:tc>
          <w:tcPr>
            <w:tcW w:w="0" w:type="auto"/>
            <w:vAlign w:val="center"/>
          </w:tcPr>
          <w:p w:rsidR="000A156F" w:rsidRDefault="00A9721F">
            <w:pPr>
              <w:pStyle w:val="TableBodyText"/>
            </w:pPr>
            <w:r>
              <w:t>List Continue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69</w:t>
            </w:r>
          </w:p>
        </w:tc>
      </w:tr>
      <w:tr w:rsidR="000A156F" w:rsidTr="000A156F">
        <w:tc>
          <w:tcPr>
            <w:tcW w:w="0" w:type="auto"/>
            <w:vAlign w:val="center"/>
          </w:tcPr>
          <w:p w:rsidR="000A156F" w:rsidRDefault="00A9721F">
            <w:pPr>
              <w:pStyle w:val="TableBodyText"/>
            </w:pPr>
            <w:r>
              <w:t>List Continue 3</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70</w:t>
            </w:r>
          </w:p>
        </w:tc>
      </w:tr>
      <w:tr w:rsidR="000A156F" w:rsidTr="000A156F">
        <w:tc>
          <w:tcPr>
            <w:tcW w:w="0" w:type="auto"/>
            <w:vAlign w:val="center"/>
          </w:tcPr>
          <w:p w:rsidR="000A156F" w:rsidRDefault="00A9721F">
            <w:pPr>
              <w:pStyle w:val="TableBodyText"/>
            </w:pPr>
            <w:r>
              <w:lastRenderedPageBreak/>
              <w:t xml:space="preserve">List </w:t>
            </w:r>
            <w:r>
              <w:t>Continue 4</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71</w:t>
            </w:r>
          </w:p>
        </w:tc>
      </w:tr>
      <w:tr w:rsidR="000A156F" w:rsidTr="000A156F">
        <w:tc>
          <w:tcPr>
            <w:tcW w:w="0" w:type="auto"/>
            <w:vAlign w:val="center"/>
          </w:tcPr>
          <w:p w:rsidR="000A156F" w:rsidRDefault="00A9721F">
            <w:pPr>
              <w:pStyle w:val="TableBodyText"/>
            </w:pPr>
            <w:r>
              <w:t>List Continue 5</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72</w:t>
            </w:r>
          </w:p>
        </w:tc>
      </w:tr>
      <w:tr w:rsidR="000A156F" w:rsidTr="000A156F">
        <w:tc>
          <w:tcPr>
            <w:tcW w:w="0" w:type="auto"/>
            <w:vAlign w:val="center"/>
          </w:tcPr>
          <w:p w:rsidR="000A156F" w:rsidRDefault="00A9721F">
            <w:pPr>
              <w:pStyle w:val="TableBodyText"/>
            </w:pPr>
            <w:r>
              <w:t>List Number</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49</w:t>
            </w:r>
          </w:p>
        </w:tc>
      </w:tr>
      <w:tr w:rsidR="000A156F" w:rsidTr="000A156F">
        <w:tc>
          <w:tcPr>
            <w:tcW w:w="0" w:type="auto"/>
            <w:vAlign w:val="center"/>
          </w:tcPr>
          <w:p w:rsidR="000A156F" w:rsidRDefault="00A9721F">
            <w:pPr>
              <w:pStyle w:val="TableBodyText"/>
            </w:pPr>
            <w:r>
              <w:t>List Number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58</w:t>
            </w:r>
          </w:p>
        </w:tc>
      </w:tr>
      <w:tr w:rsidR="000A156F" w:rsidTr="000A156F">
        <w:tc>
          <w:tcPr>
            <w:tcW w:w="0" w:type="auto"/>
            <w:vAlign w:val="center"/>
          </w:tcPr>
          <w:p w:rsidR="000A156F" w:rsidRDefault="00A9721F">
            <w:pPr>
              <w:pStyle w:val="TableBodyText"/>
            </w:pPr>
            <w:r>
              <w:t>List Number 3</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59</w:t>
            </w:r>
          </w:p>
        </w:tc>
      </w:tr>
      <w:tr w:rsidR="000A156F" w:rsidTr="000A156F">
        <w:tc>
          <w:tcPr>
            <w:tcW w:w="0" w:type="auto"/>
            <w:vAlign w:val="center"/>
          </w:tcPr>
          <w:p w:rsidR="000A156F" w:rsidRDefault="00A9721F">
            <w:pPr>
              <w:pStyle w:val="TableBodyText"/>
            </w:pPr>
            <w:r>
              <w:t>List Number 4</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60</w:t>
            </w:r>
          </w:p>
        </w:tc>
      </w:tr>
      <w:tr w:rsidR="000A156F" w:rsidTr="000A156F">
        <w:tc>
          <w:tcPr>
            <w:tcW w:w="0" w:type="auto"/>
            <w:vAlign w:val="center"/>
          </w:tcPr>
          <w:p w:rsidR="000A156F" w:rsidRDefault="00A9721F">
            <w:pPr>
              <w:pStyle w:val="TableBodyText"/>
            </w:pPr>
            <w:r>
              <w:t>List Number 5</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61</w:t>
            </w:r>
          </w:p>
        </w:tc>
      </w:tr>
      <w:tr w:rsidR="000A156F" w:rsidTr="000A156F">
        <w:tc>
          <w:tcPr>
            <w:tcW w:w="0" w:type="auto"/>
            <w:vAlign w:val="center"/>
          </w:tcPr>
          <w:p w:rsidR="000A156F" w:rsidRDefault="00A9721F">
            <w:pPr>
              <w:pStyle w:val="TableBodyText"/>
            </w:pPr>
            <w:r>
              <w:t>List Paragraph</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179</w:t>
            </w:r>
          </w:p>
        </w:tc>
      </w:tr>
      <w:tr w:rsidR="000A156F" w:rsidTr="000A156F">
        <w:tc>
          <w:tcPr>
            <w:tcW w:w="0" w:type="auto"/>
            <w:vAlign w:val="center"/>
          </w:tcPr>
          <w:p w:rsidR="000A156F" w:rsidRDefault="00A9721F">
            <w:pPr>
              <w:pStyle w:val="TableBodyText"/>
            </w:pPr>
            <w:r>
              <w:t>macro</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45</w:t>
            </w:r>
          </w:p>
        </w:tc>
      </w:tr>
      <w:tr w:rsidR="000A156F" w:rsidTr="000A156F">
        <w:tc>
          <w:tcPr>
            <w:tcW w:w="0" w:type="auto"/>
            <w:vAlign w:val="center"/>
          </w:tcPr>
          <w:p w:rsidR="000A156F" w:rsidRDefault="00A9721F">
            <w:pPr>
              <w:pStyle w:val="TableBodyText"/>
            </w:pPr>
            <w:r>
              <w:t>Medium Grid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165</w:t>
            </w:r>
          </w:p>
        </w:tc>
      </w:tr>
      <w:tr w:rsidR="000A156F" w:rsidTr="000A156F">
        <w:tc>
          <w:tcPr>
            <w:tcW w:w="0" w:type="auto"/>
            <w:vAlign w:val="center"/>
          </w:tcPr>
          <w:p w:rsidR="000A156F" w:rsidRDefault="00A9721F">
            <w:pPr>
              <w:pStyle w:val="TableBodyText"/>
            </w:pPr>
            <w:r>
              <w:t>Medium Grid 1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183</w:t>
            </w:r>
          </w:p>
        </w:tc>
      </w:tr>
      <w:tr w:rsidR="000A156F" w:rsidTr="000A156F">
        <w:tc>
          <w:tcPr>
            <w:tcW w:w="0" w:type="auto"/>
            <w:vAlign w:val="center"/>
          </w:tcPr>
          <w:p w:rsidR="000A156F" w:rsidRDefault="00A9721F">
            <w:pPr>
              <w:pStyle w:val="TableBodyText"/>
            </w:pPr>
            <w:r>
              <w:t>Medium Grid 1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197</w:t>
            </w:r>
          </w:p>
        </w:tc>
      </w:tr>
      <w:tr w:rsidR="000A156F" w:rsidTr="000A156F">
        <w:tc>
          <w:tcPr>
            <w:tcW w:w="0" w:type="auto"/>
            <w:vAlign w:val="center"/>
          </w:tcPr>
          <w:p w:rsidR="000A156F" w:rsidRDefault="00A9721F">
            <w:pPr>
              <w:pStyle w:val="TableBodyText"/>
            </w:pPr>
            <w:r>
              <w:t>Medium Grid 1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211</w:t>
            </w:r>
          </w:p>
        </w:tc>
      </w:tr>
      <w:tr w:rsidR="000A156F" w:rsidTr="000A156F">
        <w:tc>
          <w:tcPr>
            <w:tcW w:w="0" w:type="auto"/>
            <w:vAlign w:val="center"/>
          </w:tcPr>
          <w:p w:rsidR="000A156F" w:rsidRDefault="00A9721F">
            <w:pPr>
              <w:pStyle w:val="TableBodyText"/>
            </w:pPr>
            <w:r>
              <w:t>Medium Grid 1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225</w:t>
            </w:r>
          </w:p>
        </w:tc>
      </w:tr>
      <w:tr w:rsidR="000A156F" w:rsidTr="000A156F">
        <w:tc>
          <w:tcPr>
            <w:tcW w:w="0" w:type="auto"/>
            <w:vAlign w:val="center"/>
          </w:tcPr>
          <w:p w:rsidR="000A156F" w:rsidRDefault="00A9721F">
            <w:pPr>
              <w:pStyle w:val="TableBodyText"/>
            </w:pPr>
            <w:r>
              <w:t>Medium Grid 1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239</w:t>
            </w:r>
          </w:p>
        </w:tc>
      </w:tr>
      <w:tr w:rsidR="000A156F" w:rsidTr="000A156F">
        <w:tc>
          <w:tcPr>
            <w:tcW w:w="0" w:type="auto"/>
            <w:vAlign w:val="center"/>
          </w:tcPr>
          <w:p w:rsidR="000A156F" w:rsidRDefault="00A9721F">
            <w:pPr>
              <w:pStyle w:val="TableBodyText"/>
            </w:pPr>
            <w:r>
              <w:t>Medium Grid 1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253</w:t>
            </w:r>
          </w:p>
        </w:tc>
      </w:tr>
      <w:tr w:rsidR="000A156F" w:rsidTr="000A156F">
        <w:tc>
          <w:tcPr>
            <w:tcW w:w="0" w:type="auto"/>
            <w:vAlign w:val="center"/>
          </w:tcPr>
          <w:p w:rsidR="000A156F" w:rsidRDefault="00A9721F">
            <w:pPr>
              <w:pStyle w:val="TableBodyText"/>
            </w:pPr>
            <w:r>
              <w:t>Medium Grid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166</w:t>
            </w:r>
          </w:p>
        </w:tc>
      </w:tr>
      <w:tr w:rsidR="000A156F" w:rsidTr="000A156F">
        <w:tc>
          <w:tcPr>
            <w:tcW w:w="0" w:type="auto"/>
            <w:vAlign w:val="center"/>
          </w:tcPr>
          <w:p w:rsidR="000A156F" w:rsidRDefault="00A9721F">
            <w:pPr>
              <w:pStyle w:val="TableBodyText"/>
            </w:pPr>
            <w:r>
              <w:t xml:space="preserve">Medium Grid 2 </w:t>
            </w:r>
            <w:r>
              <w:t>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184</w:t>
            </w:r>
          </w:p>
        </w:tc>
      </w:tr>
      <w:tr w:rsidR="000A156F" w:rsidTr="000A156F">
        <w:tc>
          <w:tcPr>
            <w:tcW w:w="0" w:type="auto"/>
            <w:vAlign w:val="center"/>
          </w:tcPr>
          <w:p w:rsidR="000A156F" w:rsidRDefault="00A9721F">
            <w:pPr>
              <w:pStyle w:val="TableBodyText"/>
            </w:pPr>
            <w:r>
              <w:t>Medium Grid 2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198</w:t>
            </w:r>
          </w:p>
        </w:tc>
      </w:tr>
      <w:tr w:rsidR="000A156F" w:rsidTr="000A156F">
        <w:tc>
          <w:tcPr>
            <w:tcW w:w="0" w:type="auto"/>
            <w:vAlign w:val="center"/>
          </w:tcPr>
          <w:p w:rsidR="000A156F" w:rsidRDefault="00A9721F">
            <w:pPr>
              <w:pStyle w:val="TableBodyText"/>
            </w:pPr>
            <w:r>
              <w:t>Medium Grid 2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212</w:t>
            </w:r>
          </w:p>
        </w:tc>
      </w:tr>
      <w:tr w:rsidR="000A156F" w:rsidTr="000A156F">
        <w:tc>
          <w:tcPr>
            <w:tcW w:w="0" w:type="auto"/>
            <w:vAlign w:val="center"/>
          </w:tcPr>
          <w:p w:rsidR="000A156F" w:rsidRDefault="00A9721F">
            <w:pPr>
              <w:pStyle w:val="TableBodyText"/>
            </w:pPr>
            <w:r>
              <w:t>Medium Grid 2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226</w:t>
            </w:r>
          </w:p>
        </w:tc>
      </w:tr>
      <w:tr w:rsidR="000A156F" w:rsidTr="000A156F">
        <w:tc>
          <w:tcPr>
            <w:tcW w:w="0" w:type="auto"/>
            <w:vAlign w:val="center"/>
          </w:tcPr>
          <w:p w:rsidR="000A156F" w:rsidRDefault="00A9721F">
            <w:pPr>
              <w:pStyle w:val="TableBodyText"/>
            </w:pPr>
            <w:r>
              <w:t>Medium Grid 2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240</w:t>
            </w:r>
          </w:p>
        </w:tc>
      </w:tr>
      <w:tr w:rsidR="000A156F" w:rsidTr="000A156F">
        <w:tc>
          <w:tcPr>
            <w:tcW w:w="0" w:type="auto"/>
            <w:vAlign w:val="center"/>
          </w:tcPr>
          <w:p w:rsidR="000A156F" w:rsidRDefault="00A9721F">
            <w:pPr>
              <w:pStyle w:val="TableBodyText"/>
            </w:pPr>
            <w:r>
              <w:t>Medium Grid 2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254</w:t>
            </w:r>
          </w:p>
        </w:tc>
      </w:tr>
      <w:tr w:rsidR="000A156F" w:rsidTr="000A156F">
        <w:tc>
          <w:tcPr>
            <w:tcW w:w="0" w:type="auto"/>
            <w:vAlign w:val="center"/>
          </w:tcPr>
          <w:p w:rsidR="000A156F" w:rsidRDefault="00A9721F">
            <w:pPr>
              <w:pStyle w:val="TableBodyText"/>
            </w:pPr>
            <w:r>
              <w:t>Medium Grid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167</w:t>
            </w:r>
          </w:p>
        </w:tc>
      </w:tr>
      <w:tr w:rsidR="000A156F" w:rsidTr="000A156F">
        <w:tc>
          <w:tcPr>
            <w:tcW w:w="0" w:type="auto"/>
            <w:vAlign w:val="center"/>
          </w:tcPr>
          <w:p w:rsidR="000A156F" w:rsidRDefault="00A9721F">
            <w:pPr>
              <w:pStyle w:val="TableBodyText"/>
            </w:pPr>
            <w:r>
              <w:t>Medium Grid 3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185</w:t>
            </w:r>
          </w:p>
        </w:tc>
      </w:tr>
      <w:tr w:rsidR="000A156F" w:rsidTr="000A156F">
        <w:tc>
          <w:tcPr>
            <w:tcW w:w="0" w:type="auto"/>
            <w:vAlign w:val="center"/>
          </w:tcPr>
          <w:p w:rsidR="000A156F" w:rsidRDefault="00A9721F">
            <w:pPr>
              <w:pStyle w:val="TableBodyText"/>
            </w:pPr>
            <w:r>
              <w:t xml:space="preserve">Medium </w:t>
            </w:r>
            <w:r>
              <w:t>Grid 3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199</w:t>
            </w:r>
          </w:p>
        </w:tc>
      </w:tr>
      <w:tr w:rsidR="000A156F" w:rsidTr="000A156F">
        <w:tc>
          <w:tcPr>
            <w:tcW w:w="0" w:type="auto"/>
            <w:vAlign w:val="center"/>
          </w:tcPr>
          <w:p w:rsidR="000A156F" w:rsidRDefault="00A9721F">
            <w:pPr>
              <w:pStyle w:val="TableBodyText"/>
            </w:pPr>
            <w:r>
              <w:t>Medium Grid 3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213</w:t>
            </w:r>
          </w:p>
        </w:tc>
      </w:tr>
      <w:tr w:rsidR="000A156F" w:rsidTr="000A156F">
        <w:tc>
          <w:tcPr>
            <w:tcW w:w="0" w:type="auto"/>
            <w:vAlign w:val="center"/>
          </w:tcPr>
          <w:p w:rsidR="000A156F" w:rsidRDefault="00A9721F">
            <w:pPr>
              <w:pStyle w:val="TableBodyText"/>
            </w:pPr>
            <w:r>
              <w:t>Medium Grid 3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227</w:t>
            </w:r>
          </w:p>
        </w:tc>
      </w:tr>
      <w:tr w:rsidR="000A156F" w:rsidTr="000A156F">
        <w:tc>
          <w:tcPr>
            <w:tcW w:w="0" w:type="auto"/>
            <w:vAlign w:val="center"/>
          </w:tcPr>
          <w:p w:rsidR="000A156F" w:rsidRDefault="00A9721F">
            <w:pPr>
              <w:pStyle w:val="TableBodyText"/>
            </w:pPr>
            <w:r>
              <w:t>Medium Grid 3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241</w:t>
            </w:r>
          </w:p>
        </w:tc>
      </w:tr>
      <w:tr w:rsidR="000A156F" w:rsidTr="000A156F">
        <w:tc>
          <w:tcPr>
            <w:tcW w:w="0" w:type="auto"/>
            <w:vAlign w:val="center"/>
          </w:tcPr>
          <w:p w:rsidR="000A156F" w:rsidRDefault="00A9721F">
            <w:pPr>
              <w:pStyle w:val="TableBodyText"/>
            </w:pPr>
            <w:r>
              <w:t>Medium Grid 3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255</w:t>
            </w:r>
          </w:p>
        </w:tc>
      </w:tr>
      <w:tr w:rsidR="000A156F" w:rsidTr="000A156F">
        <w:tc>
          <w:tcPr>
            <w:tcW w:w="0" w:type="auto"/>
            <w:vAlign w:val="center"/>
          </w:tcPr>
          <w:p w:rsidR="000A156F" w:rsidRDefault="00A9721F">
            <w:pPr>
              <w:pStyle w:val="TableBodyText"/>
            </w:pPr>
            <w:r>
              <w:t>Medium List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163</w:t>
            </w:r>
          </w:p>
        </w:tc>
      </w:tr>
      <w:tr w:rsidR="000A156F" w:rsidTr="000A156F">
        <w:tc>
          <w:tcPr>
            <w:tcW w:w="0" w:type="auto"/>
            <w:vAlign w:val="center"/>
          </w:tcPr>
          <w:p w:rsidR="000A156F" w:rsidRDefault="00A9721F">
            <w:pPr>
              <w:pStyle w:val="TableBodyText"/>
            </w:pPr>
            <w:r>
              <w:t>Medium List 1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177</w:t>
            </w:r>
          </w:p>
        </w:tc>
      </w:tr>
      <w:tr w:rsidR="000A156F" w:rsidTr="000A156F">
        <w:tc>
          <w:tcPr>
            <w:tcW w:w="0" w:type="auto"/>
            <w:vAlign w:val="center"/>
          </w:tcPr>
          <w:p w:rsidR="000A156F" w:rsidRDefault="00A9721F">
            <w:pPr>
              <w:pStyle w:val="TableBodyText"/>
            </w:pPr>
            <w:r>
              <w:lastRenderedPageBreak/>
              <w:t>Medium List 1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195</w:t>
            </w:r>
          </w:p>
        </w:tc>
      </w:tr>
      <w:tr w:rsidR="000A156F" w:rsidTr="000A156F">
        <w:tc>
          <w:tcPr>
            <w:tcW w:w="0" w:type="auto"/>
            <w:vAlign w:val="center"/>
          </w:tcPr>
          <w:p w:rsidR="000A156F" w:rsidRDefault="00A9721F">
            <w:pPr>
              <w:pStyle w:val="TableBodyText"/>
            </w:pPr>
            <w:r>
              <w:t>Medium List 1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209</w:t>
            </w:r>
          </w:p>
        </w:tc>
      </w:tr>
      <w:tr w:rsidR="000A156F" w:rsidTr="000A156F">
        <w:tc>
          <w:tcPr>
            <w:tcW w:w="0" w:type="auto"/>
            <w:vAlign w:val="center"/>
          </w:tcPr>
          <w:p w:rsidR="000A156F" w:rsidRDefault="00A9721F">
            <w:pPr>
              <w:pStyle w:val="TableBodyText"/>
            </w:pPr>
            <w:r>
              <w:t>Medium List 1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223</w:t>
            </w:r>
          </w:p>
        </w:tc>
      </w:tr>
      <w:tr w:rsidR="000A156F" w:rsidTr="000A156F">
        <w:tc>
          <w:tcPr>
            <w:tcW w:w="0" w:type="auto"/>
            <w:vAlign w:val="center"/>
          </w:tcPr>
          <w:p w:rsidR="000A156F" w:rsidRDefault="00A9721F">
            <w:pPr>
              <w:pStyle w:val="TableBodyText"/>
            </w:pPr>
            <w:r>
              <w:t>Medium List 1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237</w:t>
            </w:r>
          </w:p>
        </w:tc>
      </w:tr>
      <w:tr w:rsidR="000A156F" w:rsidTr="000A156F">
        <w:tc>
          <w:tcPr>
            <w:tcW w:w="0" w:type="auto"/>
            <w:vAlign w:val="center"/>
          </w:tcPr>
          <w:p w:rsidR="000A156F" w:rsidRDefault="00A9721F">
            <w:pPr>
              <w:pStyle w:val="TableBodyText"/>
            </w:pPr>
            <w:r>
              <w:t>Medium List 1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251</w:t>
            </w:r>
          </w:p>
        </w:tc>
      </w:tr>
      <w:tr w:rsidR="000A156F" w:rsidTr="000A156F">
        <w:tc>
          <w:tcPr>
            <w:tcW w:w="0" w:type="auto"/>
            <w:vAlign w:val="center"/>
          </w:tcPr>
          <w:p w:rsidR="000A156F" w:rsidRDefault="00A9721F">
            <w:pPr>
              <w:pStyle w:val="TableBodyText"/>
            </w:pPr>
            <w:r>
              <w:t>Medium List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164</w:t>
            </w:r>
          </w:p>
        </w:tc>
      </w:tr>
      <w:tr w:rsidR="000A156F" w:rsidTr="000A156F">
        <w:tc>
          <w:tcPr>
            <w:tcW w:w="0" w:type="auto"/>
            <w:vAlign w:val="center"/>
          </w:tcPr>
          <w:p w:rsidR="000A156F" w:rsidRDefault="00A9721F">
            <w:pPr>
              <w:pStyle w:val="TableBodyText"/>
            </w:pPr>
            <w:r>
              <w:t>Medium List 2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182</w:t>
            </w:r>
          </w:p>
        </w:tc>
      </w:tr>
      <w:tr w:rsidR="000A156F" w:rsidTr="000A156F">
        <w:tc>
          <w:tcPr>
            <w:tcW w:w="0" w:type="auto"/>
            <w:vAlign w:val="center"/>
          </w:tcPr>
          <w:p w:rsidR="000A156F" w:rsidRDefault="00A9721F">
            <w:pPr>
              <w:pStyle w:val="TableBodyText"/>
            </w:pPr>
            <w:r>
              <w:t>Medium List 2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196</w:t>
            </w:r>
          </w:p>
        </w:tc>
      </w:tr>
      <w:tr w:rsidR="000A156F" w:rsidTr="000A156F">
        <w:tc>
          <w:tcPr>
            <w:tcW w:w="0" w:type="auto"/>
            <w:vAlign w:val="center"/>
          </w:tcPr>
          <w:p w:rsidR="000A156F" w:rsidRDefault="00A9721F">
            <w:pPr>
              <w:pStyle w:val="TableBodyText"/>
            </w:pPr>
            <w:r>
              <w:t>Medium List 2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210</w:t>
            </w:r>
          </w:p>
        </w:tc>
      </w:tr>
      <w:tr w:rsidR="000A156F" w:rsidTr="000A156F">
        <w:tc>
          <w:tcPr>
            <w:tcW w:w="0" w:type="auto"/>
            <w:vAlign w:val="center"/>
          </w:tcPr>
          <w:p w:rsidR="000A156F" w:rsidRDefault="00A9721F">
            <w:pPr>
              <w:pStyle w:val="TableBodyText"/>
            </w:pPr>
            <w:r>
              <w:t>Medium List 2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224</w:t>
            </w:r>
          </w:p>
        </w:tc>
      </w:tr>
      <w:tr w:rsidR="000A156F" w:rsidTr="000A156F">
        <w:tc>
          <w:tcPr>
            <w:tcW w:w="0" w:type="auto"/>
            <w:vAlign w:val="center"/>
          </w:tcPr>
          <w:p w:rsidR="000A156F" w:rsidRDefault="00A9721F">
            <w:pPr>
              <w:pStyle w:val="TableBodyText"/>
            </w:pPr>
            <w:r>
              <w:t>Medium List 2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238</w:t>
            </w:r>
          </w:p>
        </w:tc>
      </w:tr>
      <w:tr w:rsidR="000A156F" w:rsidTr="000A156F">
        <w:tc>
          <w:tcPr>
            <w:tcW w:w="0" w:type="auto"/>
            <w:vAlign w:val="center"/>
          </w:tcPr>
          <w:p w:rsidR="000A156F" w:rsidRDefault="00A9721F">
            <w:pPr>
              <w:pStyle w:val="TableBodyText"/>
            </w:pPr>
            <w:r>
              <w:t>Medium List 2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252</w:t>
            </w:r>
          </w:p>
        </w:tc>
      </w:tr>
      <w:tr w:rsidR="000A156F" w:rsidTr="000A156F">
        <w:tc>
          <w:tcPr>
            <w:tcW w:w="0" w:type="auto"/>
            <w:vAlign w:val="center"/>
          </w:tcPr>
          <w:p w:rsidR="000A156F" w:rsidRDefault="00A9721F">
            <w:pPr>
              <w:pStyle w:val="TableBodyText"/>
            </w:pPr>
            <w:r>
              <w:t>Medium Shading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161</w:t>
            </w:r>
          </w:p>
        </w:tc>
      </w:tr>
      <w:tr w:rsidR="000A156F" w:rsidTr="000A156F">
        <w:tc>
          <w:tcPr>
            <w:tcW w:w="0" w:type="auto"/>
            <w:vAlign w:val="center"/>
          </w:tcPr>
          <w:p w:rsidR="000A156F" w:rsidRDefault="00A9721F">
            <w:pPr>
              <w:pStyle w:val="TableBodyText"/>
            </w:pPr>
            <w:r>
              <w:t>Medium Shading 1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175</w:t>
            </w:r>
          </w:p>
        </w:tc>
      </w:tr>
      <w:tr w:rsidR="000A156F" w:rsidTr="000A156F">
        <w:tc>
          <w:tcPr>
            <w:tcW w:w="0" w:type="auto"/>
            <w:vAlign w:val="center"/>
          </w:tcPr>
          <w:p w:rsidR="000A156F" w:rsidRDefault="00A9721F">
            <w:pPr>
              <w:pStyle w:val="TableBodyText"/>
            </w:pPr>
            <w:r>
              <w:t>Medium Shading 1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193</w:t>
            </w:r>
          </w:p>
        </w:tc>
      </w:tr>
      <w:tr w:rsidR="000A156F" w:rsidTr="000A156F">
        <w:tc>
          <w:tcPr>
            <w:tcW w:w="0" w:type="auto"/>
            <w:vAlign w:val="center"/>
          </w:tcPr>
          <w:p w:rsidR="000A156F" w:rsidRDefault="00A9721F">
            <w:pPr>
              <w:pStyle w:val="TableBodyText"/>
            </w:pPr>
            <w:r>
              <w:t>Medium Shading 1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207</w:t>
            </w:r>
          </w:p>
        </w:tc>
      </w:tr>
      <w:tr w:rsidR="000A156F" w:rsidTr="000A156F">
        <w:tc>
          <w:tcPr>
            <w:tcW w:w="0" w:type="auto"/>
            <w:vAlign w:val="center"/>
          </w:tcPr>
          <w:p w:rsidR="000A156F" w:rsidRDefault="00A9721F">
            <w:pPr>
              <w:pStyle w:val="TableBodyText"/>
            </w:pPr>
            <w:r>
              <w:t>Medium Shading 1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221</w:t>
            </w:r>
          </w:p>
        </w:tc>
      </w:tr>
      <w:tr w:rsidR="000A156F" w:rsidTr="000A156F">
        <w:tc>
          <w:tcPr>
            <w:tcW w:w="0" w:type="auto"/>
            <w:vAlign w:val="center"/>
          </w:tcPr>
          <w:p w:rsidR="000A156F" w:rsidRDefault="00A9721F">
            <w:pPr>
              <w:pStyle w:val="TableBodyText"/>
            </w:pPr>
            <w:r>
              <w:t>Medium Shading 1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235</w:t>
            </w:r>
          </w:p>
        </w:tc>
      </w:tr>
      <w:tr w:rsidR="000A156F" w:rsidTr="000A156F">
        <w:tc>
          <w:tcPr>
            <w:tcW w:w="0" w:type="auto"/>
            <w:vAlign w:val="center"/>
          </w:tcPr>
          <w:p w:rsidR="000A156F" w:rsidRDefault="00A9721F">
            <w:pPr>
              <w:pStyle w:val="TableBodyText"/>
            </w:pPr>
            <w:r>
              <w:t>Medium Shading 1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249</w:t>
            </w:r>
          </w:p>
        </w:tc>
      </w:tr>
      <w:tr w:rsidR="000A156F" w:rsidTr="000A156F">
        <w:tc>
          <w:tcPr>
            <w:tcW w:w="0" w:type="auto"/>
            <w:vAlign w:val="center"/>
          </w:tcPr>
          <w:p w:rsidR="000A156F" w:rsidRDefault="00A9721F">
            <w:pPr>
              <w:pStyle w:val="TableBodyText"/>
            </w:pPr>
            <w:r>
              <w:t>Medium Shading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162</w:t>
            </w:r>
          </w:p>
        </w:tc>
      </w:tr>
      <w:tr w:rsidR="000A156F" w:rsidTr="000A156F">
        <w:tc>
          <w:tcPr>
            <w:tcW w:w="0" w:type="auto"/>
            <w:vAlign w:val="center"/>
          </w:tcPr>
          <w:p w:rsidR="000A156F" w:rsidRDefault="00A9721F">
            <w:pPr>
              <w:pStyle w:val="TableBodyText"/>
            </w:pPr>
            <w:r>
              <w:t>Medium Shading 2 Accent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176</w:t>
            </w:r>
          </w:p>
        </w:tc>
      </w:tr>
      <w:tr w:rsidR="000A156F" w:rsidTr="000A156F">
        <w:tc>
          <w:tcPr>
            <w:tcW w:w="0" w:type="auto"/>
            <w:vAlign w:val="center"/>
          </w:tcPr>
          <w:p w:rsidR="000A156F" w:rsidRDefault="00A9721F">
            <w:pPr>
              <w:pStyle w:val="TableBodyText"/>
            </w:pPr>
            <w:r>
              <w:t>Medium Shading 2 Accent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194</w:t>
            </w:r>
          </w:p>
        </w:tc>
      </w:tr>
      <w:tr w:rsidR="000A156F" w:rsidTr="000A156F">
        <w:tc>
          <w:tcPr>
            <w:tcW w:w="0" w:type="auto"/>
            <w:vAlign w:val="center"/>
          </w:tcPr>
          <w:p w:rsidR="000A156F" w:rsidRDefault="00A9721F">
            <w:pPr>
              <w:pStyle w:val="TableBodyText"/>
            </w:pPr>
            <w:r>
              <w:t>Medium Shading 2 Accent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208</w:t>
            </w:r>
          </w:p>
        </w:tc>
      </w:tr>
      <w:tr w:rsidR="000A156F" w:rsidTr="000A156F">
        <w:tc>
          <w:tcPr>
            <w:tcW w:w="0" w:type="auto"/>
            <w:vAlign w:val="center"/>
          </w:tcPr>
          <w:p w:rsidR="000A156F" w:rsidRDefault="00A9721F">
            <w:pPr>
              <w:pStyle w:val="TableBodyText"/>
            </w:pPr>
            <w:r>
              <w:t>Medium</w:t>
            </w:r>
            <w:r>
              <w:t xml:space="preserve"> Shading 2 Accent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222</w:t>
            </w:r>
          </w:p>
        </w:tc>
      </w:tr>
      <w:tr w:rsidR="000A156F" w:rsidTr="000A156F">
        <w:tc>
          <w:tcPr>
            <w:tcW w:w="0" w:type="auto"/>
            <w:vAlign w:val="center"/>
          </w:tcPr>
          <w:p w:rsidR="000A156F" w:rsidRDefault="00A9721F">
            <w:pPr>
              <w:pStyle w:val="TableBodyText"/>
            </w:pPr>
            <w:r>
              <w:t>Medium Shading 2 Accent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236</w:t>
            </w:r>
          </w:p>
        </w:tc>
      </w:tr>
      <w:tr w:rsidR="000A156F" w:rsidTr="000A156F">
        <w:tc>
          <w:tcPr>
            <w:tcW w:w="0" w:type="auto"/>
            <w:vAlign w:val="center"/>
          </w:tcPr>
          <w:p w:rsidR="000A156F" w:rsidRDefault="00A9721F">
            <w:pPr>
              <w:pStyle w:val="TableBodyText"/>
            </w:pPr>
            <w:r>
              <w:t>Medium Shading 2 Accent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250</w:t>
            </w:r>
          </w:p>
        </w:tc>
      </w:tr>
      <w:tr w:rsidR="000A156F" w:rsidTr="000A156F">
        <w:tc>
          <w:tcPr>
            <w:tcW w:w="0" w:type="auto"/>
            <w:vAlign w:val="center"/>
          </w:tcPr>
          <w:p w:rsidR="000A156F" w:rsidRDefault="00A9721F">
            <w:pPr>
              <w:pStyle w:val="TableBodyText"/>
            </w:pPr>
            <w:r>
              <w:t>Message Header</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73</w:t>
            </w:r>
          </w:p>
        </w:tc>
      </w:tr>
      <w:tr w:rsidR="000A156F" w:rsidTr="000A156F">
        <w:tc>
          <w:tcPr>
            <w:tcW w:w="0" w:type="auto"/>
            <w:vAlign w:val="center"/>
          </w:tcPr>
          <w:p w:rsidR="000A156F" w:rsidRDefault="00A9721F">
            <w:pPr>
              <w:pStyle w:val="TableBodyText"/>
            </w:pPr>
            <w:r>
              <w:t>No List</w:t>
            </w:r>
          </w:p>
        </w:tc>
        <w:tc>
          <w:tcPr>
            <w:tcW w:w="0" w:type="auto"/>
            <w:vAlign w:val="center"/>
          </w:tcPr>
          <w:p w:rsidR="000A156F" w:rsidRDefault="00A9721F">
            <w:pPr>
              <w:pStyle w:val="TableBodyText"/>
            </w:pPr>
            <w:r>
              <w:t>numbering</w:t>
            </w:r>
          </w:p>
        </w:tc>
        <w:tc>
          <w:tcPr>
            <w:tcW w:w="0" w:type="auto"/>
            <w:vAlign w:val="center"/>
          </w:tcPr>
          <w:p w:rsidR="000A156F" w:rsidRDefault="00A9721F">
            <w:pPr>
              <w:pStyle w:val="TableBodyText"/>
            </w:pPr>
            <w:r>
              <w:t>107</w:t>
            </w:r>
          </w:p>
        </w:tc>
      </w:tr>
      <w:tr w:rsidR="000A156F" w:rsidTr="000A156F">
        <w:tc>
          <w:tcPr>
            <w:tcW w:w="0" w:type="auto"/>
            <w:vAlign w:val="center"/>
          </w:tcPr>
          <w:p w:rsidR="000A156F" w:rsidRDefault="00A9721F">
            <w:pPr>
              <w:pStyle w:val="TableBodyText"/>
            </w:pPr>
            <w:r>
              <w:t>No Spacing</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157</w:t>
            </w:r>
          </w:p>
        </w:tc>
      </w:tr>
      <w:tr w:rsidR="000A156F" w:rsidTr="000A156F">
        <w:tc>
          <w:tcPr>
            <w:tcW w:w="0" w:type="auto"/>
            <w:vAlign w:val="center"/>
          </w:tcPr>
          <w:p w:rsidR="000A156F" w:rsidRDefault="00A9721F">
            <w:pPr>
              <w:pStyle w:val="TableBodyText"/>
            </w:pPr>
            <w:r>
              <w:t>Normal</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0</w:t>
            </w:r>
          </w:p>
        </w:tc>
      </w:tr>
      <w:tr w:rsidR="000A156F" w:rsidTr="000A156F">
        <w:tc>
          <w:tcPr>
            <w:tcW w:w="0" w:type="auto"/>
            <w:vAlign w:val="center"/>
          </w:tcPr>
          <w:p w:rsidR="000A156F" w:rsidRDefault="00A9721F">
            <w:pPr>
              <w:pStyle w:val="TableBodyText"/>
            </w:pPr>
            <w:r>
              <w:t>Normal (Web)</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94</w:t>
            </w:r>
          </w:p>
        </w:tc>
      </w:tr>
      <w:tr w:rsidR="000A156F" w:rsidTr="000A156F">
        <w:tc>
          <w:tcPr>
            <w:tcW w:w="0" w:type="auto"/>
            <w:vAlign w:val="center"/>
          </w:tcPr>
          <w:p w:rsidR="000A156F" w:rsidRDefault="00A9721F">
            <w:pPr>
              <w:pStyle w:val="TableBodyText"/>
            </w:pPr>
            <w:r>
              <w:t>Normal Indent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28</w:t>
            </w:r>
          </w:p>
        </w:tc>
      </w:tr>
      <w:tr w:rsidR="000A156F" w:rsidTr="000A156F">
        <w:tc>
          <w:tcPr>
            <w:tcW w:w="0" w:type="auto"/>
            <w:vAlign w:val="center"/>
          </w:tcPr>
          <w:p w:rsidR="000A156F" w:rsidRDefault="00A9721F">
            <w:pPr>
              <w:pStyle w:val="TableBodyText"/>
            </w:pPr>
            <w:r>
              <w:lastRenderedPageBreak/>
              <w:t>Normal Table</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105</w:t>
            </w:r>
          </w:p>
        </w:tc>
      </w:tr>
      <w:tr w:rsidR="000A156F" w:rsidTr="000A156F">
        <w:tc>
          <w:tcPr>
            <w:tcW w:w="0" w:type="auto"/>
            <w:vAlign w:val="center"/>
          </w:tcPr>
          <w:p w:rsidR="000A156F" w:rsidRDefault="00A9721F">
            <w:pPr>
              <w:pStyle w:val="TableBodyText"/>
            </w:pPr>
            <w:r>
              <w:t>Note Heading</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79</w:t>
            </w:r>
          </w:p>
        </w:tc>
      </w:tr>
      <w:tr w:rsidR="000A156F" w:rsidTr="000A156F">
        <w:tc>
          <w:tcPr>
            <w:tcW w:w="0" w:type="auto"/>
            <w:vAlign w:val="center"/>
          </w:tcPr>
          <w:p w:rsidR="000A156F" w:rsidRDefault="00A9721F">
            <w:pPr>
              <w:pStyle w:val="TableBodyText"/>
            </w:pPr>
            <w:r>
              <w:t>Outline List 1</w:t>
            </w:r>
          </w:p>
        </w:tc>
        <w:tc>
          <w:tcPr>
            <w:tcW w:w="0" w:type="auto"/>
            <w:vAlign w:val="center"/>
          </w:tcPr>
          <w:p w:rsidR="000A156F" w:rsidRDefault="00A9721F">
            <w:pPr>
              <w:pStyle w:val="TableBodyText"/>
            </w:pPr>
            <w:r>
              <w:t>numbering</w:t>
            </w:r>
          </w:p>
        </w:tc>
        <w:tc>
          <w:tcPr>
            <w:tcW w:w="0" w:type="auto"/>
            <w:vAlign w:val="center"/>
          </w:tcPr>
          <w:p w:rsidR="000A156F" w:rsidRDefault="00A9721F">
            <w:pPr>
              <w:pStyle w:val="TableBodyText"/>
            </w:pPr>
            <w:r>
              <w:t>108</w:t>
            </w:r>
          </w:p>
        </w:tc>
      </w:tr>
      <w:tr w:rsidR="000A156F" w:rsidTr="000A156F">
        <w:tc>
          <w:tcPr>
            <w:tcW w:w="0" w:type="auto"/>
            <w:vAlign w:val="center"/>
          </w:tcPr>
          <w:p w:rsidR="000A156F" w:rsidRDefault="00A9721F">
            <w:pPr>
              <w:pStyle w:val="TableBodyText"/>
            </w:pPr>
            <w:r>
              <w:t>Outline List 2</w:t>
            </w:r>
          </w:p>
        </w:tc>
        <w:tc>
          <w:tcPr>
            <w:tcW w:w="0" w:type="auto"/>
            <w:vAlign w:val="center"/>
          </w:tcPr>
          <w:p w:rsidR="000A156F" w:rsidRDefault="00A9721F">
            <w:pPr>
              <w:pStyle w:val="TableBodyText"/>
            </w:pPr>
            <w:r>
              <w:t>numbering</w:t>
            </w:r>
          </w:p>
        </w:tc>
        <w:tc>
          <w:tcPr>
            <w:tcW w:w="0" w:type="auto"/>
            <w:vAlign w:val="center"/>
          </w:tcPr>
          <w:p w:rsidR="000A156F" w:rsidRDefault="00A9721F">
            <w:pPr>
              <w:pStyle w:val="TableBodyText"/>
            </w:pPr>
            <w:r>
              <w:t>109</w:t>
            </w:r>
          </w:p>
        </w:tc>
      </w:tr>
      <w:tr w:rsidR="000A156F" w:rsidTr="000A156F">
        <w:tc>
          <w:tcPr>
            <w:tcW w:w="0" w:type="auto"/>
            <w:vAlign w:val="center"/>
          </w:tcPr>
          <w:p w:rsidR="000A156F" w:rsidRDefault="00A9721F">
            <w:pPr>
              <w:pStyle w:val="TableBodyText"/>
            </w:pPr>
            <w:r>
              <w:t>Outline List 3</w:t>
            </w:r>
          </w:p>
        </w:tc>
        <w:tc>
          <w:tcPr>
            <w:tcW w:w="0" w:type="auto"/>
            <w:vAlign w:val="center"/>
          </w:tcPr>
          <w:p w:rsidR="000A156F" w:rsidRDefault="00A9721F">
            <w:pPr>
              <w:pStyle w:val="TableBodyText"/>
            </w:pPr>
            <w:r>
              <w:t>numbering</w:t>
            </w:r>
          </w:p>
        </w:tc>
        <w:tc>
          <w:tcPr>
            <w:tcW w:w="0" w:type="auto"/>
            <w:vAlign w:val="center"/>
          </w:tcPr>
          <w:p w:rsidR="000A156F" w:rsidRDefault="00A9721F">
            <w:pPr>
              <w:pStyle w:val="TableBodyText"/>
            </w:pPr>
            <w:r>
              <w:t>110</w:t>
            </w:r>
          </w:p>
        </w:tc>
      </w:tr>
      <w:tr w:rsidR="000A156F" w:rsidTr="000A156F">
        <w:tc>
          <w:tcPr>
            <w:tcW w:w="0" w:type="auto"/>
            <w:vAlign w:val="center"/>
          </w:tcPr>
          <w:p w:rsidR="000A156F" w:rsidRDefault="00A9721F">
            <w:pPr>
              <w:pStyle w:val="TableBodyText"/>
            </w:pPr>
            <w:r>
              <w:t>page number</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41</w:t>
            </w:r>
          </w:p>
        </w:tc>
      </w:tr>
      <w:tr w:rsidR="000A156F" w:rsidTr="000A156F">
        <w:tc>
          <w:tcPr>
            <w:tcW w:w="0" w:type="auto"/>
            <w:vAlign w:val="center"/>
          </w:tcPr>
          <w:p w:rsidR="000A156F" w:rsidRDefault="00A9721F">
            <w:pPr>
              <w:pStyle w:val="TableBodyText"/>
            </w:pPr>
            <w:r>
              <w:t>Placeholder Text</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156</w:t>
            </w:r>
          </w:p>
        </w:tc>
      </w:tr>
      <w:tr w:rsidR="000A156F" w:rsidTr="000A156F">
        <w:tc>
          <w:tcPr>
            <w:tcW w:w="0" w:type="auto"/>
            <w:vAlign w:val="center"/>
          </w:tcPr>
          <w:p w:rsidR="000A156F" w:rsidRDefault="00A9721F">
            <w:pPr>
              <w:pStyle w:val="TableBodyText"/>
            </w:pPr>
            <w:r>
              <w:t>Plain Text</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90</w:t>
            </w:r>
          </w:p>
        </w:tc>
      </w:tr>
      <w:tr w:rsidR="000A156F" w:rsidTr="000A156F">
        <w:tc>
          <w:tcPr>
            <w:tcW w:w="0" w:type="auto"/>
            <w:vAlign w:val="center"/>
          </w:tcPr>
          <w:p w:rsidR="000A156F" w:rsidRDefault="00A9721F">
            <w:pPr>
              <w:pStyle w:val="TableBodyText"/>
            </w:pPr>
            <w:r>
              <w:t>Quote</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180</w:t>
            </w:r>
          </w:p>
        </w:tc>
      </w:tr>
      <w:tr w:rsidR="000A156F" w:rsidTr="000A156F">
        <w:tc>
          <w:tcPr>
            <w:tcW w:w="0" w:type="auto"/>
            <w:vAlign w:val="center"/>
          </w:tcPr>
          <w:p w:rsidR="000A156F" w:rsidRDefault="00A9721F">
            <w:pPr>
              <w:pStyle w:val="TableBodyText"/>
            </w:pPr>
            <w:r>
              <w:t>Revision</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178</w:t>
            </w:r>
          </w:p>
        </w:tc>
      </w:tr>
      <w:tr w:rsidR="000A156F" w:rsidTr="000A156F">
        <w:tc>
          <w:tcPr>
            <w:tcW w:w="0" w:type="auto"/>
            <w:vAlign w:val="center"/>
          </w:tcPr>
          <w:p w:rsidR="000A156F" w:rsidRDefault="00A9721F">
            <w:pPr>
              <w:pStyle w:val="TableBodyText"/>
            </w:pPr>
            <w:r>
              <w:t>Salutation</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75</w:t>
            </w:r>
          </w:p>
        </w:tc>
      </w:tr>
      <w:tr w:rsidR="000A156F" w:rsidTr="000A156F">
        <w:tc>
          <w:tcPr>
            <w:tcW w:w="0" w:type="auto"/>
            <w:vAlign w:val="center"/>
          </w:tcPr>
          <w:p w:rsidR="000A156F" w:rsidRDefault="00A9721F">
            <w:pPr>
              <w:pStyle w:val="TableBodyText"/>
            </w:pPr>
            <w:r>
              <w:t>Signature</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64</w:t>
            </w:r>
          </w:p>
        </w:tc>
      </w:tr>
      <w:tr w:rsidR="000A156F" w:rsidTr="000A156F">
        <w:tc>
          <w:tcPr>
            <w:tcW w:w="0" w:type="auto"/>
            <w:vAlign w:val="center"/>
          </w:tcPr>
          <w:p w:rsidR="000A156F" w:rsidRDefault="00A9721F">
            <w:pPr>
              <w:pStyle w:val="TableBodyText"/>
            </w:pPr>
            <w:r>
              <w:t>Strong</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87</w:t>
            </w:r>
          </w:p>
        </w:tc>
      </w:tr>
      <w:tr w:rsidR="000A156F" w:rsidTr="000A156F">
        <w:tc>
          <w:tcPr>
            <w:tcW w:w="0" w:type="auto"/>
            <w:vAlign w:val="center"/>
          </w:tcPr>
          <w:p w:rsidR="000A156F" w:rsidRDefault="00A9721F">
            <w:pPr>
              <w:pStyle w:val="TableBodyText"/>
            </w:pPr>
            <w:r>
              <w:t>Subtitle</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74</w:t>
            </w:r>
          </w:p>
        </w:tc>
      </w:tr>
      <w:tr w:rsidR="000A156F" w:rsidTr="000A156F">
        <w:tc>
          <w:tcPr>
            <w:tcW w:w="0" w:type="auto"/>
            <w:vAlign w:val="center"/>
          </w:tcPr>
          <w:p w:rsidR="000A156F" w:rsidRDefault="00A9721F">
            <w:pPr>
              <w:pStyle w:val="TableBodyText"/>
            </w:pPr>
            <w:r>
              <w:t>Subtle Emphasis</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260</w:t>
            </w:r>
          </w:p>
        </w:tc>
      </w:tr>
      <w:tr w:rsidR="000A156F" w:rsidTr="000A156F">
        <w:tc>
          <w:tcPr>
            <w:tcW w:w="0" w:type="auto"/>
            <w:vAlign w:val="center"/>
          </w:tcPr>
          <w:p w:rsidR="000A156F" w:rsidRDefault="00A9721F">
            <w:pPr>
              <w:pStyle w:val="TableBodyText"/>
            </w:pPr>
            <w:r>
              <w:t>Subtle Reference</w:t>
            </w:r>
          </w:p>
        </w:tc>
        <w:tc>
          <w:tcPr>
            <w:tcW w:w="0" w:type="auto"/>
            <w:vAlign w:val="center"/>
          </w:tcPr>
          <w:p w:rsidR="000A156F" w:rsidRDefault="00A9721F">
            <w:pPr>
              <w:pStyle w:val="TableBodyText"/>
            </w:pPr>
            <w:r>
              <w:t>character</w:t>
            </w:r>
          </w:p>
        </w:tc>
        <w:tc>
          <w:tcPr>
            <w:tcW w:w="0" w:type="auto"/>
            <w:vAlign w:val="center"/>
          </w:tcPr>
          <w:p w:rsidR="000A156F" w:rsidRDefault="00A9721F">
            <w:pPr>
              <w:pStyle w:val="TableBodyText"/>
            </w:pPr>
            <w:r>
              <w:t>262</w:t>
            </w:r>
          </w:p>
        </w:tc>
      </w:tr>
      <w:tr w:rsidR="000A156F" w:rsidTr="000A156F">
        <w:tc>
          <w:tcPr>
            <w:tcW w:w="0" w:type="auto"/>
            <w:vAlign w:val="center"/>
          </w:tcPr>
          <w:p w:rsidR="000A156F" w:rsidRDefault="00A9721F">
            <w:pPr>
              <w:pStyle w:val="TableBodyText"/>
            </w:pPr>
            <w:r>
              <w:t>Table 3D effects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142</w:t>
            </w:r>
          </w:p>
        </w:tc>
      </w:tr>
      <w:tr w:rsidR="000A156F" w:rsidTr="000A156F">
        <w:tc>
          <w:tcPr>
            <w:tcW w:w="0" w:type="auto"/>
            <w:vAlign w:val="center"/>
          </w:tcPr>
          <w:p w:rsidR="000A156F" w:rsidRDefault="00A9721F">
            <w:pPr>
              <w:pStyle w:val="TableBodyText"/>
            </w:pPr>
            <w:r>
              <w:t>Table 3D effects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143</w:t>
            </w:r>
          </w:p>
        </w:tc>
      </w:tr>
      <w:tr w:rsidR="000A156F" w:rsidTr="000A156F">
        <w:tc>
          <w:tcPr>
            <w:tcW w:w="0" w:type="auto"/>
            <w:vAlign w:val="center"/>
          </w:tcPr>
          <w:p w:rsidR="000A156F" w:rsidRDefault="00A9721F">
            <w:pPr>
              <w:pStyle w:val="TableBodyText"/>
            </w:pPr>
            <w:r>
              <w:t>Table 3D effects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144</w:t>
            </w:r>
          </w:p>
        </w:tc>
      </w:tr>
      <w:tr w:rsidR="000A156F" w:rsidTr="000A156F">
        <w:tc>
          <w:tcPr>
            <w:tcW w:w="0" w:type="auto"/>
            <w:vAlign w:val="center"/>
          </w:tcPr>
          <w:p w:rsidR="000A156F" w:rsidRDefault="00A9721F">
            <w:pPr>
              <w:pStyle w:val="TableBodyText"/>
            </w:pPr>
            <w:r>
              <w:t>Table Classic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114</w:t>
            </w:r>
          </w:p>
        </w:tc>
      </w:tr>
      <w:tr w:rsidR="000A156F" w:rsidTr="000A156F">
        <w:tc>
          <w:tcPr>
            <w:tcW w:w="0" w:type="auto"/>
            <w:vAlign w:val="center"/>
          </w:tcPr>
          <w:p w:rsidR="000A156F" w:rsidRDefault="00A9721F">
            <w:pPr>
              <w:pStyle w:val="TableBodyText"/>
            </w:pPr>
            <w:r>
              <w:t>Table Classic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115</w:t>
            </w:r>
          </w:p>
        </w:tc>
      </w:tr>
      <w:tr w:rsidR="000A156F" w:rsidTr="000A156F">
        <w:tc>
          <w:tcPr>
            <w:tcW w:w="0" w:type="auto"/>
            <w:vAlign w:val="center"/>
          </w:tcPr>
          <w:p w:rsidR="000A156F" w:rsidRDefault="00A9721F">
            <w:pPr>
              <w:pStyle w:val="TableBodyText"/>
            </w:pPr>
            <w:r>
              <w:t>Table Classic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116</w:t>
            </w:r>
          </w:p>
        </w:tc>
      </w:tr>
      <w:tr w:rsidR="000A156F" w:rsidTr="000A156F">
        <w:tc>
          <w:tcPr>
            <w:tcW w:w="0" w:type="auto"/>
            <w:vAlign w:val="center"/>
          </w:tcPr>
          <w:p w:rsidR="000A156F" w:rsidRDefault="00A9721F">
            <w:pPr>
              <w:pStyle w:val="TableBodyText"/>
            </w:pPr>
            <w:r>
              <w:t>Table Classic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117</w:t>
            </w:r>
          </w:p>
        </w:tc>
      </w:tr>
      <w:tr w:rsidR="000A156F" w:rsidTr="000A156F">
        <w:tc>
          <w:tcPr>
            <w:tcW w:w="0" w:type="auto"/>
            <w:vAlign w:val="center"/>
          </w:tcPr>
          <w:p w:rsidR="000A156F" w:rsidRDefault="00A9721F">
            <w:pPr>
              <w:pStyle w:val="TableBodyText"/>
            </w:pPr>
            <w:r>
              <w:t>Table Colorful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118</w:t>
            </w:r>
          </w:p>
        </w:tc>
      </w:tr>
      <w:tr w:rsidR="000A156F" w:rsidTr="000A156F">
        <w:tc>
          <w:tcPr>
            <w:tcW w:w="0" w:type="auto"/>
            <w:vAlign w:val="center"/>
          </w:tcPr>
          <w:p w:rsidR="000A156F" w:rsidRDefault="00A9721F">
            <w:pPr>
              <w:pStyle w:val="TableBodyText"/>
            </w:pPr>
            <w:r>
              <w:t>Table Colorful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119</w:t>
            </w:r>
          </w:p>
        </w:tc>
      </w:tr>
      <w:tr w:rsidR="000A156F" w:rsidTr="000A156F">
        <w:tc>
          <w:tcPr>
            <w:tcW w:w="0" w:type="auto"/>
            <w:vAlign w:val="center"/>
          </w:tcPr>
          <w:p w:rsidR="000A156F" w:rsidRDefault="00A9721F">
            <w:pPr>
              <w:pStyle w:val="TableBodyText"/>
            </w:pPr>
            <w:r>
              <w:t>Table Colorful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120</w:t>
            </w:r>
          </w:p>
        </w:tc>
      </w:tr>
      <w:tr w:rsidR="000A156F" w:rsidTr="000A156F">
        <w:tc>
          <w:tcPr>
            <w:tcW w:w="0" w:type="auto"/>
            <w:vAlign w:val="center"/>
          </w:tcPr>
          <w:p w:rsidR="000A156F" w:rsidRDefault="00A9721F">
            <w:pPr>
              <w:pStyle w:val="TableBodyText"/>
            </w:pPr>
            <w:r>
              <w:t>Table Columns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121</w:t>
            </w:r>
          </w:p>
        </w:tc>
      </w:tr>
      <w:tr w:rsidR="000A156F" w:rsidTr="000A156F">
        <w:tc>
          <w:tcPr>
            <w:tcW w:w="0" w:type="auto"/>
            <w:vAlign w:val="center"/>
          </w:tcPr>
          <w:p w:rsidR="000A156F" w:rsidRDefault="00A9721F">
            <w:pPr>
              <w:pStyle w:val="TableBodyText"/>
            </w:pPr>
            <w:r>
              <w:t>Table Columns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122</w:t>
            </w:r>
          </w:p>
        </w:tc>
      </w:tr>
      <w:tr w:rsidR="000A156F" w:rsidTr="000A156F">
        <w:tc>
          <w:tcPr>
            <w:tcW w:w="0" w:type="auto"/>
            <w:vAlign w:val="center"/>
          </w:tcPr>
          <w:p w:rsidR="000A156F" w:rsidRDefault="00A9721F">
            <w:pPr>
              <w:pStyle w:val="TableBodyText"/>
            </w:pPr>
            <w:r>
              <w:t>Table</w:t>
            </w:r>
            <w:r>
              <w:t xml:space="preserve"> Columns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123</w:t>
            </w:r>
          </w:p>
        </w:tc>
      </w:tr>
      <w:tr w:rsidR="000A156F" w:rsidTr="000A156F">
        <w:tc>
          <w:tcPr>
            <w:tcW w:w="0" w:type="auto"/>
            <w:vAlign w:val="center"/>
          </w:tcPr>
          <w:p w:rsidR="000A156F" w:rsidRDefault="00A9721F">
            <w:pPr>
              <w:pStyle w:val="TableBodyText"/>
            </w:pPr>
            <w:r>
              <w:t>Table Columns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124</w:t>
            </w:r>
          </w:p>
        </w:tc>
      </w:tr>
      <w:tr w:rsidR="000A156F" w:rsidTr="000A156F">
        <w:tc>
          <w:tcPr>
            <w:tcW w:w="0" w:type="auto"/>
            <w:vAlign w:val="center"/>
          </w:tcPr>
          <w:p w:rsidR="000A156F" w:rsidRDefault="00A9721F">
            <w:pPr>
              <w:pStyle w:val="TableBodyText"/>
            </w:pPr>
            <w:r>
              <w:t>Table Columns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125</w:t>
            </w:r>
          </w:p>
        </w:tc>
      </w:tr>
      <w:tr w:rsidR="000A156F" w:rsidTr="000A156F">
        <w:tc>
          <w:tcPr>
            <w:tcW w:w="0" w:type="auto"/>
            <w:vAlign w:val="center"/>
          </w:tcPr>
          <w:p w:rsidR="000A156F" w:rsidRDefault="00A9721F">
            <w:pPr>
              <w:pStyle w:val="TableBodyText"/>
            </w:pPr>
            <w:r>
              <w:t>Table Contemporary</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145</w:t>
            </w:r>
          </w:p>
        </w:tc>
      </w:tr>
      <w:tr w:rsidR="000A156F" w:rsidTr="000A156F">
        <w:tc>
          <w:tcPr>
            <w:tcW w:w="0" w:type="auto"/>
            <w:vAlign w:val="center"/>
          </w:tcPr>
          <w:p w:rsidR="000A156F" w:rsidRDefault="00A9721F">
            <w:pPr>
              <w:pStyle w:val="TableBodyText"/>
            </w:pPr>
            <w:r>
              <w:lastRenderedPageBreak/>
              <w:t>Table Elegant</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146</w:t>
            </w:r>
          </w:p>
        </w:tc>
      </w:tr>
      <w:tr w:rsidR="000A156F" w:rsidTr="000A156F">
        <w:tc>
          <w:tcPr>
            <w:tcW w:w="0" w:type="auto"/>
            <w:vAlign w:val="center"/>
          </w:tcPr>
          <w:p w:rsidR="000A156F" w:rsidRDefault="00A9721F">
            <w:pPr>
              <w:pStyle w:val="TableBodyText"/>
            </w:pPr>
            <w:r>
              <w:t>Table Grid</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154</w:t>
            </w:r>
          </w:p>
        </w:tc>
      </w:tr>
      <w:tr w:rsidR="000A156F" w:rsidTr="000A156F">
        <w:tc>
          <w:tcPr>
            <w:tcW w:w="0" w:type="auto"/>
            <w:vAlign w:val="center"/>
          </w:tcPr>
          <w:p w:rsidR="000A156F" w:rsidRDefault="00A9721F">
            <w:pPr>
              <w:pStyle w:val="TableBodyText"/>
            </w:pPr>
            <w:r>
              <w:t>Table Grid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126</w:t>
            </w:r>
          </w:p>
        </w:tc>
      </w:tr>
      <w:tr w:rsidR="000A156F" w:rsidTr="000A156F">
        <w:tc>
          <w:tcPr>
            <w:tcW w:w="0" w:type="auto"/>
            <w:vAlign w:val="center"/>
          </w:tcPr>
          <w:p w:rsidR="000A156F" w:rsidRDefault="00A9721F">
            <w:pPr>
              <w:pStyle w:val="TableBodyText"/>
            </w:pPr>
            <w:r>
              <w:t>Table Grid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127</w:t>
            </w:r>
          </w:p>
        </w:tc>
      </w:tr>
      <w:tr w:rsidR="000A156F" w:rsidTr="000A156F">
        <w:tc>
          <w:tcPr>
            <w:tcW w:w="0" w:type="auto"/>
            <w:vAlign w:val="center"/>
          </w:tcPr>
          <w:p w:rsidR="000A156F" w:rsidRDefault="00A9721F">
            <w:pPr>
              <w:pStyle w:val="TableBodyText"/>
            </w:pPr>
            <w:r>
              <w:t>Table Grid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128</w:t>
            </w:r>
          </w:p>
        </w:tc>
      </w:tr>
      <w:tr w:rsidR="000A156F" w:rsidTr="000A156F">
        <w:tc>
          <w:tcPr>
            <w:tcW w:w="0" w:type="auto"/>
            <w:vAlign w:val="center"/>
          </w:tcPr>
          <w:p w:rsidR="000A156F" w:rsidRDefault="00A9721F">
            <w:pPr>
              <w:pStyle w:val="TableBodyText"/>
            </w:pPr>
            <w:r>
              <w:t>Table Grid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129</w:t>
            </w:r>
          </w:p>
        </w:tc>
      </w:tr>
      <w:tr w:rsidR="000A156F" w:rsidTr="000A156F">
        <w:tc>
          <w:tcPr>
            <w:tcW w:w="0" w:type="auto"/>
            <w:vAlign w:val="center"/>
          </w:tcPr>
          <w:p w:rsidR="000A156F" w:rsidRDefault="00A9721F">
            <w:pPr>
              <w:pStyle w:val="TableBodyText"/>
            </w:pPr>
            <w:r>
              <w:t xml:space="preserve">Table </w:t>
            </w:r>
            <w:r>
              <w:t>Grid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130</w:t>
            </w:r>
          </w:p>
        </w:tc>
      </w:tr>
      <w:tr w:rsidR="000A156F" w:rsidTr="000A156F">
        <w:tc>
          <w:tcPr>
            <w:tcW w:w="0" w:type="auto"/>
            <w:vAlign w:val="center"/>
          </w:tcPr>
          <w:p w:rsidR="000A156F" w:rsidRDefault="00A9721F">
            <w:pPr>
              <w:pStyle w:val="TableBodyText"/>
            </w:pPr>
            <w:r>
              <w:t>Table Grid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131</w:t>
            </w:r>
          </w:p>
        </w:tc>
      </w:tr>
      <w:tr w:rsidR="000A156F" w:rsidTr="000A156F">
        <w:tc>
          <w:tcPr>
            <w:tcW w:w="0" w:type="auto"/>
            <w:vAlign w:val="center"/>
          </w:tcPr>
          <w:p w:rsidR="000A156F" w:rsidRDefault="00A9721F">
            <w:pPr>
              <w:pStyle w:val="TableBodyText"/>
            </w:pPr>
            <w:r>
              <w:t>Table Grid 7</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132</w:t>
            </w:r>
          </w:p>
        </w:tc>
      </w:tr>
      <w:tr w:rsidR="000A156F" w:rsidTr="000A156F">
        <w:tc>
          <w:tcPr>
            <w:tcW w:w="0" w:type="auto"/>
            <w:vAlign w:val="center"/>
          </w:tcPr>
          <w:p w:rsidR="000A156F" w:rsidRDefault="00A9721F">
            <w:pPr>
              <w:pStyle w:val="TableBodyText"/>
            </w:pPr>
            <w:r>
              <w:t>Table Grid 8</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133</w:t>
            </w:r>
          </w:p>
        </w:tc>
      </w:tr>
      <w:tr w:rsidR="000A156F" w:rsidTr="000A156F">
        <w:tc>
          <w:tcPr>
            <w:tcW w:w="0" w:type="auto"/>
            <w:vAlign w:val="center"/>
          </w:tcPr>
          <w:p w:rsidR="000A156F" w:rsidRDefault="00A9721F">
            <w:pPr>
              <w:pStyle w:val="TableBodyText"/>
            </w:pPr>
            <w:r>
              <w:t>Table List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134</w:t>
            </w:r>
          </w:p>
        </w:tc>
      </w:tr>
      <w:tr w:rsidR="000A156F" w:rsidTr="000A156F">
        <w:tc>
          <w:tcPr>
            <w:tcW w:w="0" w:type="auto"/>
            <w:vAlign w:val="center"/>
          </w:tcPr>
          <w:p w:rsidR="000A156F" w:rsidRDefault="00A9721F">
            <w:pPr>
              <w:pStyle w:val="TableBodyText"/>
            </w:pPr>
            <w:r>
              <w:t>Table List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135</w:t>
            </w:r>
          </w:p>
        </w:tc>
      </w:tr>
      <w:tr w:rsidR="000A156F" w:rsidTr="000A156F">
        <w:tc>
          <w:tcPr>
            <w:tcW w:w="0" w:type="auto"/>
            <w:vAlign w:val="center"/>
          </w:tcPr>
          <w:p w:rsidR="000A156F" w:rsidRDefault="00A9721F">
            <w:pPr>
              <w:pStyle w:val="TableBodyText"/>
            </w:pPr>
            <w:r>
              <w:t>Table List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136</w:t>
            </w:r>
          </w:p>
        </w:tc>
      </w:tr>
      <w:tr w:rsidR="000A156F" w:rsidTr="000A156F">
        <w:tc>
          <w:tcPr>
            <w:tcW w:w="0" w:type="auto"/>
            <w:vAlign w:val="center"/>
          </w:tcPr>
          <w:p w:rsidR="000A156F" w:rsidRDefault="00A9721F">
            <w:pPr>
              <w:pStyle w:val="TableBodyText"/>
            </w:pPr>
            <w:r>
              <w:t>Table List 4</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137</w:t>
            </w:r>
          </w:p>
        </w:tc>
      </w:tr>
      <w:tr w:rsidR="000A156F" w:rsidTr="000A156F">
        <w:tc>
          <w:tcPr>
            <w:tcW w:w="0" w:type="auto"/>
            <w:vAlign w:val="center"/>
          </w:tcPr>
          <w:p w:rsidR="000A156F" w:rsidRDefault="00A9721F">
            <w:pPr>
              <w:pStyle w:val="TableBodyText"/>
            </w:pPr>
            <w:r>
              <w:t>Table List 5</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138</w:t>
            </w:r>
          </w:p>
        </w:tc>
      </w:tr>
      <w:tr w:rsidR="000A156F" w:rsidTr="000A156F">
        <w:tc>
          <w:tcPr>
            <w:tcW w:w="0" w:type="auto"/>
            <w:vAlign w:val="center"/>
          </w:tcPr>
          <w:p w:rsidR="000A156F" w:rsidRDefault="00A9721F">
            <w:pPr>
              <w:pStyle w:val="TableBodyText"/>
            </w:pPr>
            <w:r>
              <w:t>Table List 6</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139</w:t>
            </w:r>
          </w:p>
        </w:tc>
      </w:tr>
      <w:tr w:rsidR="000A156F" w:rsidTr="000A156F">
        <w:tc>
          <w:tcPr>
            <w:tcW w:w="0" w:type="auto"/>
            <w:vAlign w:val="center"/>
          </w:tcPr>
          <w:p w:rsidR="000A156F" w:rsidRDefault="00A9721F">
            <w:pPr>
              <w:pStyle w:val="TableBodyText"/>
            </w:pPr>
            <w:r>
              <w:t>Table List 7</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140</w:t>
            </w:r>
          </w:p>
        </w:tc>
      </w:tr>
      <w:tr w:rsidR="000A156F" w:rsidTr="000A156F">
        <w:tc>
          <w:tcPr>
            <w:tcW w:w="0" w:type="auto"/>
            <w:vAlign w:val="center"/>
          </w:tcPr>
          <w:p w:rsidR="000A156F" w:rsidRDefault="00A9721F">
            <w:pPr>
              <w:pStyle w:val="TableBodyText"/>
            </w:pPr>
            <w:r>
              <w:t>Table List 8</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141</w:t>
            </w:r>
          </w:p>
        </w:tc>
      </w:tr>
      <w:tr w:rsidR="000A156F" w:rsidTr="000A156F">
        <w:tc>
          <w:tcPr>
            <w:tcW w:w="0" w:type="auto"/>
            <w:vAlign w:val="center"/>
          </w:tcPr>
          <w:p w:rsidR="000A156F" w:rsidRDefault="00A9721F">
            <w:pPr>
              <w:pStyle w:val="TableBodyText"/>
            </w:pPr>
            <w:r>
              <w:t>table of authorities</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44</w:t>
            </w:r>
          </w:p>
        </w:tc>
      </w:tr>
      <w:tr w:rsidR="000A156F" w:rsidTr="000A156F">
        <w:tc>
          <w:tcPr>
            <w:tcW w:w="0" w:type="auto"/>
            <w:vAlign w:val="center"/>
          </w:tcPr>
          <w:p w:rsidR="000A156F" w:rsidRDefault="00A9721F">
            <w:pPr>
              <w:pStyle w:val="TableBodyText"/>
            </w:pPr>
            <w:r>
              <w:t>table of figures</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35</w:t>
            </w:r>
          </w:p>
        </w:tc>
      </w:tr>
      <w:tr w:rsidR="000A156F" w:rsidTr="000A156F">
        <w:tc>
          <w:tcPr>
            <w:tcW w:w="0" w:type="auto"/>
            <w:vAlign w:val="center"/>
          </w:tcPr>
          <w:p w:rsidR="000A156F" w:rsidRDefault="00A9721F">
            <w:pPr>
              <w:pStyle w:val="TableBodyText"/>
            </w:pPr>
            <w:r>
              <w:t>Table Professional</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147</w:t>
            </w:r>
          </w:p>
        </w:tc>
      </w:tr>
      <w:tr w:rsidR="000A156F" w:rsidTr="000A156F">
        <w:tc>
          <w:tcPr>
            <w:tcW w:w="0" w:type="auto"/>
            <w:vAlign w:val="center"/>
          </w:tcPr>
          <w:p w:rsidR="000A156F" w:rsidRDefault="00A9721F">
            <w:pPr>
              <w:pStyle w:val="TableBodyText"/>
            </w:pPr>
            <w:r>
              <w:t>Table Simple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111</w:t>
            </w:r>
          </w:p>
        </w:tc>
      </w:tr>
      <w:tr w:rsidR="000A156F" w:rsidTr="000A156F">
        <w:tc>
          <w:tcPr>
            <w:tcW w:w="0" w:type="auto"/>
            <w:vAlign w:val="center"/>
          </w:tcPr>
          <w:p w:rsidR="000A156F" w:rsidRDefault="00A9721F">
            <w:pPr>
              <w:pStyle w:val="TableBodyText"/>
            </w:pPr>
            <w:r>
              <w:t>Table Simple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112</w:t>
            </w:r>
          </w:p>
        </w:tc>
      </w:tr>
      <w:tr w:rsidR="000A156F" w:rsidTr="000A156F">
        <w:tc>
          <w:tcPr>
            <w:tcW w:w="0" w:type="auto"/>
            <w:vAlign w:val="center"/>
          </w:tcPr>
          <w:p w:rsidR="000A156F" w:rsidRDefault="00A9721F">
            <w:pPr>
              <w:pStyle w:val="TableBodyText"/>
            </w:pPr>
            <w:r>
              <w:t>Table Simple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113</w:t>
            </w:r>
          </w:p>
        </w:tc>
      </w:tr>
      <w:tr w:rsidR="000A156F" w:rsidTr="000A156F">
        <w:tc>
          <w:tcPr>
            <w:tcW w:w="0" w:type="auto"/>
            <w:vAlign w:val="center"/>
          </w:tcPr>
          <w:p w:rsidR="000A156F" w:rsidRDefault="00A9721F">
            <w:pPr>
              <w:pStyle w:val="TableBodyText"/>
            </w:pPr>
            <w:r>
              <w:t>Table Subtle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148</w:t>
            </w:r>
          </w:p>
        </w:tc>
      </w:tr>
      <w:tr w:rsidR="000A156F" w:rsidTr="000A156F">
        <w:tc>
          <w:tcPr>
            <w:tcW w:w="0" w:type="auto"/>
            <w:vAlign w:val="center"/>
          </w:tcPr>
          <w:p w:rsidR="000A156F" w:rsidRDefault="00A9721F">
            <w:pPr>
              <w:pStyle w:val="TableBodyText"/>
            </w:pPr>
            <w:r>
              <w:t>Table Subtle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149</w:t>
            </w:r>
          </w:p>
        </w:tc>
      </w:tr>
      <w:tr w:rsidR="000A156F" w:rsidTr="000A156F">
        <w:tc>
          <w:tcPr>
            <w:tcW w:w="0" w:type="auto"/>
            <w:vAlign w:val="center"/>
          </w:tcPr>
          <w:p w:rsidR="000A156F" w:rsidRDefault="00A9721F">
            <w:pPr>
              <w:pStyle w:val="TableBodyText"/>
            </w:pPr>
            <w:r>
              <w:t>Table Theme</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155</w:t>
            </w:r>
          </w:p>
        </w:tc>
      </w:tr>
      <w:tr w:rsidR="000A156F" w:rsidTr="000A156F">
        <w:tc>
          <w:tcPr>
            <w:tcW w:w="0" w:type="auto"/>
            <w:vAlign w:val="center"/>
          </w:tcPr>
          <w:p w:rsidR="000A156F" w:rsidRDefault="00A9721F">
            <w:pPr>
              <w:pStyle w:val="TableBodyText"/>
            </w:pPr>
            <w:r>
              <w:t>Table Web 1</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150</w:t>
            </w:r>
          </w:p>
        </w:tc>
      </w:tr>
      <w:tr w:rsidR="000A156F" w:rsidTr="000A156F">
        <w:tc>
          <w:tcPr>
            <w:tcW w:w="0" w:type="auto"/>
            <w:vAlign w:val="center"/>
          </w:tcPr>
          <w:p w:rsidR="000A156F" w:rsidRDefault="00A9721F">
            <w:pPr>
              <w:pStyle w:val="TableBodyText"/>
            </w:pPr>
            <w:r>
              <w:t>Table Web 2</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151</w:t>
            </w:r>
          </w:p>
        </w:tc>
      </w:tr>
      <w:tr w:rsidR="000A156F" w:rsidTr="000A156F">
        <w:tc>
          <w:tcPr>
            <w:tcW w:w="0" w:type="auto"/>
            <w:vAlign w:val="center"/>
          </w:tcPr>
          <w:p w:rsidR="000A156F" w:rsidRDefault="00A9721F">
            <w:pPr>
              <w:pStyle w:val="TableBodyText"/>
            </w:pPr>
            <w:r>
              <w:t>Table Web 3</w:t>
            </w:r>
          </w:p>
        </w:tc>
        <w:tc>
          <w:tcPr>
            <w:tcW w:w="0" w:type="auto"/>
            <w:vAlign w:val="center"/>
          </w:tcPr>
          <w:p w:rsidR="000A156F" w:rsidRDefault="00A9721F">
            <w:pPr>
              <w:pStyle w:val="TableBodyText"/>
            </w:pPr>
            <w:r>
              <w:t>table</w:t>
            </w:r>
          </w:p>
        </w:tc>
        <w:tc>
          <w:tcPr>
            <w:tcW w:w="0" w:type="auto"/>
            <w:vAlign w:val="center"/>
          </w:tcPr>
          <w:p w:rsidR="000A156F" w:rsidRDefault="00A9721F">
            <w:pPr>
              <w:pStyle w:val="TableBodyText"/>
            </w:pPr>
            <w:r>
              <w:t>152</w:t>
            </w:r>
          </w:p>
        </w:tc>
      </w:tr>
      <w:tr w:rsidR="000A156F" w:rsidTr="000A156F">
        <w:tc>
          <w:tcPr>
            <w:tcW w:w="0" w:type="auto"/>
            <w:vAlign w:val="center"/>
          </w:tcPr>
          <w:p w:rsidR="000A156F" w:rsidRDefault="00A9721F">
            <w:pPr>
              <w:pStyle w:val="TableBodyText"/>
            </w:pPr>
            <w:r>
              <w:t>Title</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62</w:t>
            </w:r>
          </w:p>
        </w:tc>
      </w:tr>
      <w:tr w:rsidR="000A156F" w:rsidTr="000A156F">
        <w:tc>
          <w:tcPr>
            <w:tcW w:w="0" w:type="auto"/>
            <w:vAlign w:val="center"/>
          </w:tcPr>
          <w:p w:rsidR="000A156F" w:rsidRDefault="00A9721F">
            <w:pPr>
              <w:pStyle w:val="TableBodyText"/>
            </w:pPr>
            <w:r>
              <w:t>toa heading</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46</w:t>
            </w:r>
          </w:p>
        </w:tc>
      </w:tr>
      <w:tr w:rsidR="000A156F" w:rsidTr="000A156F">
        <w:tc>
          <w:tcPr>
            <w:tcW w:w="0" w:type="auto"/>
            <w:vAlign w:val="center"/>
          </w:tcPr>
          <w:p w:rsidR="000A156F" w:rsidRDefault="00A9721F">
            <w:pPr>
              <w:pStyle w:val="TableBodyText"/>
            </w:pPr>
            <w:r>
              <w:lastRenderedPageBreak/>
              <w:t>toc 1</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19</w:t>
            </w:r>
          </w:p>
        </w:tc>
      </w:tr>
      <w:tr w:rsidR="000A156F" w:rsidTr="000A156F">
        <w:tc>
          <w:tcPr>
            <w:tcW w:w="0" w:type="auto"/>
            <w:vAlign w:val="center"/>
          </w:tcPr>
          <w:p w:rsidR="000A156F" w:rsidRDefault="00A9721F">
            <w:pPr>
              <w:pStyle w:val="TableBodyText"/>
            </w:pPr>
            <w:r>
              <w:t>toc 2</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20</w:t>
            </w:r>
          </w:p>
        </w:tc>
      </w:tr>
      <w:tr w:rsidR="000A156F" w:rsidTr="000A156F">
        <w:tc>
          <w:tcPr>
            <w:tcW w:w="0" w:type="auto"/>
            <w:vAlign w:val="center"/>
          </w:tcPr>
          <w:p w:rsidR="000A156F" w:rsidRDefault="00A9721F">
            <w:pPr>
              <w:pStyle w:val="TableBodyText"/>
            </w:pPr>
            <w:r>
              <w:t>toc 3</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21</w:t>
            </w:r>
          </w:p>
        </w:tc>
      </w:tr>
      <w:tr w:rsidR="000A156F" w:rsidTr="000A156F">
        <w:tc>
          <w:tcPr>
            <w:tcW w:w="0" w:type="auto"/>
            <w:vAlign w:val="center"/>
          </w:tcPr>
          <w:p w:rsidR="000A156F" w:rsidRDefault="00A9721F">
            <w:pPr>
              <w:pStyle w:val="TableBodyText"/>
            </w:pPr>
            <w:r>
              <w:t>toc 4</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22</w:t>
            </w:r>
          </w:p>
        </w:tc>
      </w:tr>
      <w:tr w:rsidR="000A156F" w:rsidTr="000A156F">
        <w:tc>
          <w:tcPr>
            <w:tcW w:w="0" w:type="auto"/>
            <w:vAlign w:val="center"/>
          </w:tcPr>
          <w:p w:rsidR="000A156F" w:rsidRDefault="00A9721F">
            <w:pPr>
              <w:pStyle w:val="TableBodyText"/>
            </w:pPr>
            <w:r>
              <w:t>toc 5</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23</w:t>
            </w:r>
          </w:p>
        </w:tc>
      </w:tr>
      <w:tr w:rsidR="000A156F" w:rsidTr="000A156F">
        <w:tc>
          <w:tcPr>
            <w:tcW w:w="0" w:type="auto"/>
            <w:vAlign w:val="center"/>
          </w:tcPr>
          <w:p w:rsidR="000A156F" w:rsidRDefault="00A9721F">
            <w:pPr>
              <w:pStyle w:val="TableBodyText"/>
            </w:pPr>
            <w:r>
              <w:t>toc 6</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24</w:t>
            </w:r>
          </w:p>
        </w:tc>
      </w:tr>
      <w:tr w:rsidR="000A156F" w:rsidTr="000A156F">
        <w:tc>
          <w:tcPr>
            <w:tcW w:w="0" w:type="auto"/>
            <w:vAlign w:val="center"/>
          </w:tcPr>
          <w:p w:rsidR="000A156F" w:rsidRDefault="00A9721F">
            <w:pPr>
              <w:pStyle w:val="TableBodyText"/>
            </w:pPr>
            <w:r>
              <w:t>toc 7</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25</w:t>
            </w:r>
          </w:p>
        </w:tc>
      </w:tr>
      <w:tr w:rsidR="000A156F" w:rsidTr="000A156F">
        <w:tc>
          <w:tcPr>
            <w:tcW w:w="0" w:type="auto"/>
            <w:vAlign w:val="center"/>
          </w:tcPr>
          <w:p w:rsidR="000A156F" w:rsidRDefault="00A9721F">
            <w:pPr>
              <w:pStyle w:val="TableBodyText"/>
            </w:pPr>
            <w:r>
              <w:t>toc 8</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26</w:t>
            </w:r>
          </w:p>
        </w:tc>
      </w:tr>
      <w:tr w:rsidR="000A156F" w:rsidTr="000A156F">
        <w:tc>
          <w:tcPr>
            <w:tcW w:w="0" w:type="auto"/>
            <w:vAlign w:val="center"/>
          </w:tcPr>
          <w:p w:rsidR="000A156F" w:rsidRDefault="00A9721F">
            <w:pPr>
              <w:pStyle w:val="TableBodyText"/>
            </w:pPr>
            <w:r>
              <w:t>toc 9</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27</w:t>
            </w:r>
          </w:p>
        </w:tc>
      </w:tr>
      <w:tr w:rsidR="000A156F" w:rsidTr="000A156F">
        <w:tc>
          <w:tcPr>
            <w:tcW w:w="0" w:type="auto"/>
            <w:vAlign w:val="center"/>
          </w:tcPr>
          <w:p w:rsidR="000A156F" w:rsidRDefault="00A9721F">
            <w:pPr>
              <w:pStyle w:val="TableBodyText"/>
            </w:pPr>
            <w:r>
              <w:t>TOC Heading</w:t>
            </w:r>
          </w:p>
        </w:tc>
        <w:tc>
          <w:tcPr>
            <w:tcW w:w="0" w:type="auto"/>
            <w:vAlign w:val="center"/>
          </w:tcPr>
          <w:p w:rsidR="000A156F" w:rsidRDefault="00A9721F">
            <w:pPr>
              <w:pStyle w:val="TableBodyText"/>
            </w:pPr>
            <w:r>
              <w:t>paragraph</w:t>
            </w:r>
          </w:p>
        </w:tc>
        <w:tc>
          <w:tcPr>
            <w:tcW w:w="0" w:type="auto"/>
            <w:vAlign w:val="center"/>
          </w:tcPr>
          <w:p w:rsidR="000A156F" w:rsidRDefault="00A9721F">
            <w:pPr>
              <w:pStyle w:val="TableBodyText"/>
            </w:pPr>
            <w:r>
              <w:t>266</w:t>
            </w:r>
          </w:p>
        </w:tc>
      </w:tr>
    </w:tbl>
    <w:p w:rsidR="000A156F" w:rsidRDefault="000A156F"/>
    <w:p w:rsidR="000A156F" w:rsidRDefault="00A9721F">
      <w:pPr>
        <w:pStyle w:val="Heading3"/>
      </w:pPr>
      <w:bookmarkStart w:id="496" w:name="section_dd6e5f4e0b3a4d329ca1f6d5a8c1b41b"/>
      <w:bookmarkStart w:id="497" w:name="_Toc181683274"/>
      <w:r>
        <w:t>Part 1 Section 17.7.4.10, next (Style For Next Paragraph)</w:t>
      </w:r>
      <w:bookmarkEnd w:id="496"/>
      <w:bookmarkEnd w:id="497"/>
      <w:r>
        <w:fldChar w:fldCharType="begin"/>
      </w:r>
      <w:r>
        <w:instrText xml:space="preserve"> XE "next (Style For Next Paragraph)"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The standard does not limit the length of the value of the val attribut</w:t>
      </w:r>
      <w:r>
        <w:rPr>
          <w:i/>
        </w:rPr>
        <w:t>e.</w:t>
      </w:r>
    </w:p>
    <w:p w:rsidR="000A156F" w:rsidRDefault="00A9721F">
      <w:pPr>
        <w:pStyle w:val="Definition-Field2"/>
      </w:pPr>
      <w:r>
        <w:t>Word restricts the value of this attribute to be at most 253 characters.</w:t>
      </w:r>
    </w:p>
    <w:p w:rsidR="000A156F" w:rsidRDefault="00A9721F">
      <w:pPr>
        <w:pStyle w:val="Heading3"/>
      </w:pPr>
      <w:bookmarkStart w:id="498" w:name="section_8214eaf1a8b14e1a99543a5068b6d3ce"/>
      <w:bookmarkStart w:id="499" w:name="_Toc181683275"/>
      <w:r>
        <w:t>Part 1 Section 17.7.4.11, personal (E-Mail Message Text Style)</w:t>
      </w:r>
      <w:bookmarkEnd w:id="498"/>
      <w:bookmarkEnd w:id="499"/>
      <w:r>
        <w:fldChar w:fldCharType="begin"/>
      </w:r>
      <w:r>
        <w:instrText xml:space="preserve"> XE "personal (E-Mail Message Text Style)" </w:instrText>
      </w:r>
      <w:r>
        <w:fldChar w:fldCharType="end"/>
      </w:r>
    </w:p>
    <w:p w:rsidR="000A156F" w:rsidRDefault="00A9721F">
      <w:pPr>
        <w:pStyle w:val="Definition-Field"/>
      </w:pPr>
      <w:r>
        <w:t xml:space="preserve">a.   </w:t>
      </w:r>
      <w:r>
        <w:rPr>
          <w:i/>
        </w:rPr>
        <w:t>The standard says personal is ignored if no style exists whose styl</w:t>
      </w:r>
      <w:r>
        <w:rPr>
          <w:i/>
        </w:rPr>
        <w:t>eId matches the boolean val attribute.</w:t>
      </w:r>
    </w:p>
    <w:p w:rsidR="000A156F" w:rsidRDefault="00A9721F">
      <w:pPr>
        <w:pStyle w:val="Definition-Field2"/>
      </w:pPr>
      <w:r>
        <w:t>Word treats the val attribute of personal as a boolean setting.</w:t>
      </w:r>
    </w:p>
    <w:p w:rsidR="000A156F" w:rsidRDefault="00A9721F">
      <w:pPr>
        <w:pStyle w:val="Heading3"/>
      </w:pPr>
      <w:bookmarkStart w:id="500" w:name="section_ed224d8374a34499ac0b58e27f0f8474"/>
      <w:bookmarkStart w:id="501" w:name="_Toc181683276"/>
      <w:r>
        <w:t>Part 1 Section 17.7.4.12, personalCompose (E-Mail Message Composition Style)</w:t>
      </w:r>
      <w:bookmarkEnd w:id="500"/>
      <w:bookmarkEnd w:id="501"/>
      <w:r>
        <w:fldChar w:fldCharType="begin"/>
      </w:r>
      <w:r>
        <w:instrText xml:space="preserve"> XE "personalCompose (E-Mail Message Composition Style)" </w:instrText>
      </w:r>
      <w:r>
        <w:fldChar w:fldCharType="end"/>
      </w:r>
    </w:p>
    <w:p w:rsidR="000A156F" w:rsidRDefault="00A9721F">
      <w:pPr>
        <w:pStyle w:val="Definition-Field"/>
      </w:pPr>
      <w:r>
        <w:t xml:space="preserve">a.   </w:t>
      </w:r>
      <w:r>
        <w:rPr>
          <w:i/>
        </w:rPr>
        <w:t>The standard</w:t>
      </w:r>
      <w:r>
        <w:rPr>
          <w:i/>
        </w:rPr>
        <w:t xml:space="preserve"> says personalCompose is ignored if no style exists whose styleId matches the boolean val attribute.</w:t>
      </w:r>
    </w:p>
    <w:p w:rsidR="000A156F" w:rsidRDefault="00A9721F">
      <w:pPr>
        <w:pStyle w:val="Definition-Field2"/>
      </w:pPr>
      <w:r>
        <w:t>Word treats the val attribute of personalCompose as a boolean setting.</w:t>
      </w:r>
    </w:p>
    <w:p w:rsidR="000A156F" w:rsidRDefault="00A9721F">
      <w:pPr>
        <w:pStyle w:val="Heading3"/>
      </w:pPr>
      <w:bookmarkStart w:id="502" w:name="section_a0c391fe1c0e40a3b97dfb9edcb61a83"/>
      <w:bookmarkStart w:id="503" w:name="_Toc181683277"/>
      <w:r>
        <w:t>Part 1 Section 17.7.4.13, personalReply (E-Mail Message Reply Style)</w:t>
      </w:r>
      <w:bookmarkEnd w:id="502"/>
      <w:bookmarkEnd w:id="503"/>
      <w:r>
        <w:fldChar w:fldCharType="begin"/>
      </w:r>
      <w:r>
        <w:instrText xml:space="preserve"> XE "personalRep</w:instrText>
      </w:r>
      <w:r>
        <w:instrText xml:space="preserve">ly (E-Mail Message Reply Style)" </w:instrText>
      </w:r>
      <w:r>
        <w:fldChar w:fldCharType="end"/>
      </w:r>
    </w:p>
    <w:p w:rsidR="000A156F" w:rsidRDefault="00A9721F">
      <w:pPr>
        <w:pStyle w:val="Definition-Field"/>
      </w:pPr>
      <w:r>
        <w:t xml:space="preserve">a.   </w:t>
      </w:r>
      <w:r>
        <w:rPr>
          <w:i/>
        </w:rPr>
        <w:t>The standard says personalReply is ignored if no style exists whose styleId matches the boolean val attribute.</w:t>
      </w:r>
    </w:p>
    <w:p w:rsidR="000A156F" w:rsidRDefault="00A9721F">
      <w:pPr>
        <w:pStyle w:val="Definition-Field2"/>
      </w:pPr>
      <w:r>
        <w:t>Word treats the val attribute of personalReply as a boolean setting.</w:t>
      </w:r>
    </w:p>
    <w:p w:rsidR="000A156F" w:rsidRDefault="00A9721F">
      <w:pPr>
        <w:pStyle w:val="Heading3"/>
      </w:pPr>
      <w:bookmarkStart w:id="504" w:name="section_bb6afca988a74b34911f7110e8062bb1"/>
      <w:bookmarkStart w:id="505" w:name="_Toc181683278"/>
      <w:r>
        <w:lastRenderedPageBreak/>
        <w:t>Part 1 Section 17.7.4.17, style (St</w:t>
      </w:r>
      <w:r>
        <w:t>yle Definition)</w:t>
      </w:r>
      <w:bookmarkEnd w:id="504"/>
      <w:bookmarkEnd w:id="505"/>
      <w:r>
        <w:fldChar w:fldCharType="begin"/>
      </w:r>
      <w:r>
        <w:instrText xml:space="preserve"> XE "style (Style Definition)" </w:instrText>
      </w:r>
      <w:r>
        <w:fldChar w:fldCharType="end"/>
      </w:r>
    </w:p>
    <w:p w:rsidR="000A156F" w:rsidRDefault="00A9721F">
      <w:pPr>
        <w:pStyle w:val="Definition-Field"/>
      </w:pPr>
      <w:r>
        <w:t xml:space="preserve">a.   </w:t>
      </w:r>
      <w:r>
        <w:rPr>
          <w:i/>
        </w:rPr>
        <w:t>The standard does not state any special behavior for "NoList", "DefaultParagraphFont", and "TableNormal" styles.</w:t>
      </w:r>
    </w:p>
    <w:p w:rsidR="000A156F" w:rsidRDefault="00A9721F">
      <w:pPr>
        <w:pStyle w:val="Definition-Field2"/>
      </w:pPr>
      <w:r>
        <w:t xml:space="preserve">Word ignores any child elements of a style element with id "NoList", </w:t>
      </w:r>
      <w:r>
        <w:t>"DefaultParagraphFont", or "TableNormal".</w:t>
      </w:r>
    </w:p>
    <w:p w:rsidR="000A156F" w:rsidRDefault="00A9721F">
      <w:pPr>
        <w:pStyle w:val="Definition-Field"/>
      </w:pPr>
      <w:r>
        <w:t xml:space="preserve">b.   </w:t>
      </w:r>
      <w:r>
        <w:rPr>
          <w:i/>
        </w:rPr>
        <w:t>The standard says the length of the styleId attribute is unlimited.</w:t>
      </w:r>
    </w:p>
    <w:p w:rsidR="000A156F" w:rsidRDefault="00A9721F">
      <w:pPr>
        <w:pStyle w:val="Definition-Field2"/>
      </w:pPr>
      <w:r>
        <w:t>Word ignores the value of the styleId attribute if it exceeds 253 characters in length.</w:t>
      </w:r>
    </w:p>
    <w:p w:rsidR="000A156F" w:rsidRDefault="00A9721F">
      <w:pPr>
        <w:pStyle w:val="Definition-Field"/>
      </w:pPr>
      <w:r>
        <w:t xml:space="preserve">c.   </w:t>
      </w:r>
      <w:r>
        <w:rPr>
          <w:i/>
        </w:rPr>
        <w:t>The standard states that the number of styles is</w:t>
      </w:r>
      <w:r>
        <w:rPr>
          <w:i/>
        </w:rPr>
        <w:t xml:space="preserve"> unbounded.</w:t>
      </w:r>
    </w:p>
    <w:p w:rsidR="000A156F" w:rsidRDefault="00A9721F">
      <w:pPr>
        <w:pStyle w:val="Definition-Field2"/>
      </w:pPr>
      <w:r>
        <w:t>Word does not open a document containing more than 4,079 styles.</w:t>
      </w:r>
    </w:p>
    <w:p w:rsidR="000A156F" w:rsidRDefault="00A9721F">
      <w:pPr>
        <w:pStyle w:val="Heading3"/>
      </w:pPr>
      <w:bookmarkStart w:id="506" w:name="section_b7604183092342c887b44f0b6f850cbf"/>
      <w:bookmarkStart w:id="507" w:name="_Toc181683279"/>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0A156F" w:rsidRDefault="00A9721F">
      <w:pPr>
        <w:pStyle w:val="Definition-Field"/>
      </w:pPr>
      <w:r>
        <w:t xml:space="preserve">a.   </w:t>
      </w:r>
      <w:r>
        <w:rPr>
          <w:i/>
        </w:rPr>
        <w:t>The standard states that the values of</w:t>
      </w:r>
      <w:r>
        <w:rPr>
          <w:i/>
        </w:rPr>
        <w:t xml:space="preserve"> the val attribute are defined by the XML Schema integer datatype.</w:t>
      </w:r>
    </w:p>
    <w:p w:rsidR="000A156F" w:rsidRDefault="00A9721F">
      <w:pPr>
        <w:pStyle w:val="Definition-Field2"/>
      </w:pPr>
      <w:r>
        <w:t>Word restricts the value of this attribute to be at least 0 and at most 99.</w:t>
      </w:r>
    </w:p>
    <w:p w:rsidR="000A156F" w:rsidRDefault="00A9721F">
      <w:pPr>
        <w:pStyle w:val="Definition-Field"/>
      </w:pPr>
      <w:r>
        <w:t xml:space="preserve">b.   </w:t>
      </w:r>
      <w:r>
        <w:rPr>
          <w:i/>
        </w:rPr>
        <w:t>The standard says the default behavior is to sort to the end of the list.</w:t>
      </w:r>
    </w:p>
    <w:p w:rsidR="000A156F" w:rsidRDefault="00A9721F">
      <w:pPr>
        <w:pStyle w:val="Definition-Field2"/>
      </w:pPr>
      <w:r>
        <w:t>In Word, the default behavior is t</w:t>
      </w:r>
      <w:r>
        <w:t>o sort to the beginning of the list.</w:t>
      </w:r>
    </w:p>
    <w:p w:rsidR="000A156F" w:rsidRDefault="00A9721F">
      <w:pPr>
        <w:pStyle w:val="Heading3"/>
      </w:pPr>
      <w:bookmarkStart w:id="508" w:name="section_1b4958bf2fcf4db89a967f553494276b"/>
      <w:bookmarkStart w:id="509" w:name="_Toc181683280"/>
      <w:r>
        <w:t>Part 1 Section 17.7.5.2, pPr (Paragraph Properties)</w:t>
      </w:r>
      <w:bookmarkEnd w:id="508"/>
      <w:bookmarkEnd w:id="509"/>
      <w:r>
        <w:fldChar w:fldCharType="begin"/>
      </w:r>
      <w:r>
        <w:instrText xml:space="preserve"> XE "pPr (Paragraph Properties)" </w:instrText>
      </w:r>
      <w:r>
        <w:fldChar w:fldCharType="end"/>
      </w:r>
    </w:p>
    <w:p w:rsidR="000A156F" w:rsidRDefault="00A9721F">
      <w:pPr>
        <w:pStyle w:val="Definition-Field"/>
      </w:pPr>
      <w:r>
        <w:t xml:space="preserve">a.   </w:t>
      </w:r>
      <w:r>
        <w:rPr>
          <w:i/>
        </w:rPr>
        <w:t>The standard states that the cnfStyle, divId, pPrChange, pStyle, rPr, and sectPr elements are valid child elements of the pPr e</w:t>
      </w:r>
      <w:r>
        <w:rPr>
          <w:i/>
        </w:rPr>
        <w:t>lement.</w:t>
      </w:r>
    </w:p>
    <w:p w:rsidR="000A156F" w:rsidRDefault="00A9721F">
      <w:pPr>
        <w:pStyle w:val="Definition-Field2"/>
      </w:pPr>
      <w:r>
        <w:t>Word does not allow these elements to be child elements of the pPr element.</w:t>
      </w:r>
    </w:p>
    <w:p w:rsidR="000A156F" w:rsidRDefault="00A9721F">
      <w:pPr>
        <w:pStyle w:val="Heading3"/>
      </w:pPr>
      <w:bookmarkStart w:id="510" w:name="section_9f0ca7a05e6a487ebb522b74d4bb614a"/>
      <w:bookmarkStart w:id="511" w:name="_Toc181683281"/>
      <w:r>
        <w:t>Part 1 Section 17.7.5.4, rPr (Run Properties)</w:t>
      </w:r>
      <w:bookmarkEnd w:id="510"/>
      <w:bookmarkEnd w:id="511"/>
      <w:r>
        <w:fldChar w:fldCharType="begin"/>
      </w:r>
      <w:r>
        <w:instrText xml:space="preserve"> XE "rPr (Run Properties)" </w:instrText>
      </w:r>
      <w:r>
        <w:fldChar w:fldCharType="end"/>
      </w:r>
    </w:p>
    <w:p w:rsidR="000A156F" w:rsidRDefault="00A9721F">
      <w:pPr>
        <w:pStyle w:val="Definition-Field"/>
      </w:pPr>
      <w:r>
        <w:t xml:space="preserve">a.   </w:t>
      </w:r>
      <w:r>
        <w:rPr>
          <w:i/>
        </w:rPr>
        <w:t>The standard states that the cs, highlight, oMath, rPrChange, rStyle, and rtl elements are v</w:t>
      </w:r>
      <w:r>
        <w:rPr>
          <w:i/>
        </w:rPr>
        <w:t>alid child elements of the rPr element.</w:t>
      </w:r>
    </w:p>
    <w:p w:rsidR="000A156F" w:rsidRDefault="00A9721F">
      <w:pPr>
        <w:pStyle w:val="Definition-Field2"/>
      </w:pPr>
      <w:r>
        <w:t>Word does not allow these elements to be child elements of the rPr element.</w:t>
      </w:r>
    </w:p>
    <w:p w:rsidR="000A156F" w:rsidRDefault="00A9721F">
      <w:pPr>
        <w:pStyle w:val="Heading3"/>
      </w:pPr>
      <w:bookmarkStart w:id="512" w:name="section_14452bbebe4d4dbb90e63d23ae9361bc"/>
      <w:bookmarkStart w:id="513" w:name="_Toc181683282"/>
      <w:r>
        <w:t>Part 1 Section 17.7.6, Table Styles</w:t>
      </w:r>
      <w:bookmarkEnd w:id="512"/>
      <w:bookmarkEnd w:id="513"/>
      <w:r>
        <w:fldChar w:fldCharType="begin"/>
      </w:r>
      <w:r>
        <w:instrText xml:space="preserve"> XE "Table Styles" </w:instrText>
      </w:r>
      <w:r>
        <w:fldChar w:fldCharType="end"/>
      </w:r>
    </w:p>
    <w:p w:rsidR="000A156F" w:rsidRDefault="00A9721F">
      <w:pPr>
        <w:pStyle w:val="Definition-Field"/>
      </w:pPr>
      <w:r>
        <w:t xml:space="preserve">a.   </w:t>
      </w:r>
      <w:r>
        <w:rPr>
          <w:i/>
        </w:rPr>
        <w:t>The standard does not specify how the tblLook affects the corner cell conditio</w:t>
      </w:r>
      <w:r>
        <w:rPr>
          <w:i/>
        </w:rPr>
        <w:t>nal formatting.</w:t>
      </w:r>
    </w:p>
    <w:p w:rsidR="000A156F" w:rsidRDefault="00A9721F">
      <w:pPr>
        <w:pStyle w:val="Definition-Field2"/>
      </w:pPr>
      <w:r>
        <w:t>In Word, corner cell conditional formatting is applied only if both of the corresponding first or last row or column are enabled.</w:t>
      </w:r>
    </w:p>
    <w:p w:rsidR="000A156F" w:rsidRDefault="00A9721F">
      <w:pPr>
        <w:pStyle w:val="Definition-Field"/>
      </w:pPr>
      <w:r>
        <w:t xml:space="preserve">b.   </w:t>
      </w:r>
      <w:r>
        <w:rPr>
          <w:i/>
        </w:rPr>
        <w:t>The standard specifies that the resolved value of the toggle properties will toggle the previous level (T</w:t>
      </w:r>
      <w:r>
        <w:rPr>
          <w:i/>
        </w:rPr>
        <w:t>rue) or leave it unchanged (False) when present in a table style.</w:t>
      </w:r>
    </w:p>
    <w:p w:rsidR="000A156F" w:rsidRDefault="00A9721F">
      <w:pPr>
        <w:pStyle w:val="Definition-Field2"/>
      </w:pPr>
      <w:r>
        <w:t>Word resets the value of the toggle property to the value specified by the table style if a value is present; for example, a value of 1 resets the property's state to True instead of togglin</w:t>
      </w:r>
      <w:r>
        <w:t>g it.</w:t>
      </w:r>
    </w:p>
    <w:p w:rsidR="000A156F" w:rsidRDefault="00A9721F">
      <w:pPr>
        <w:pStyle w:val="Definition-Field"/>
      </w:pPr>
      <w:r>
        <w:t xml:space="preserve">c.   </w:t>
      </w:r>
      <w:r>
        <w:rPr>
          <w:i/>
        </w:rPr>
        <w:t>The standard specifies the precedence order in which conditional formatting should be applied.</w:t>
      </w:r>
    </w:p>
    <w:p w:rsidR="000A156F" w:rsidRDefault="00A9721F">
      <w:r>
        <w:t>When specified, Office applies conditional formats in the following order (therefore subsequent formats override properties on previous formats):</w:t>
      </w:r>
    </w:p>
    <w:p w:rsidR="000A156F" w:rsidRDefault="00A9721F">
      <w:pPr>
        <w:pStyle w:val="ListParagraph"/>
        <w:numPr>
          <w:ilvl w:val="0"/>
          <w:numId w:val="60"/>
        </w:numPr>
        <w:ind w:left="720"/>
        <w:contextualSpacing/>
      </w:pPr>
      <w:r>
        <w:lastRenderedPageBreak/>
        <w:t xml:space="preserve">Odd </w:t>
      </w:r>
      <w:r>
        <w:t>row banding, even row banding</w:t>
      </w:r>
    </w:p>
    <w:p w:rsidR="000A156F" w:rsidRDefault="00A9721F">
      <w:pPr>
        <w:pStyle w:val="ListParagraph"/>
        <w:numPr>
          <w:ilvl w:val="0"/>
          <w:numId w:val="60"/>
        </w:numPr>
        <w:ind w:left="720"/>
        <w:contextualSpacing/>
      </w:pPr>
      <w:r>
        <w:t>Odd column banding, even column banding</w:t>
      </w:r>
    </w:p>
    <w:p w:rsidR="000A156F" w:rsidRDefault="00A9721F">
      <w:pPr>
        <w:pStyle w:val="ListParagraph"/>
        <w:numPr>
          <w:ilvl w:val="0"/>
          <w:numId w:val="60"/>
        </w:numPr>
        <w:ind w:left="720"/>
        <w:contextualSpacing/>
      </w:pPr>
      <w:r>
        <w:t>First column, last column</w:t>
      </w:r>
    </w:p>
    <w:p w:rsidR="000A156F" w:rsidRDefault="00A9721F">
      <w:pPr>
        <w:pStyle w:val="ListParagraph"/>
        <w:numPr>
          <w:ilvl w:val="0"/>
          <w:numId w:val="60"/>
        </w:numPr>
        <w:ind w:left="720"/>
        <w:contextualSpacing/>
      </w:pPr>
      <w:r>
        <w:t>First row, last row</w:t>
      </w:r>
    </w:p>
    <w:p w:rsidR="000A156F" w:rsidRDefault="00A9721F">
      <w:pPr>
        <w:pStyle w:val="ListParagraph"/>
        <w:numPr>
          <w:ilvl w:val="0"/>
          <w:numId w:val="60"/>
        </w:numPr>
        <w:ind w:left="720"/>
        <w:contextualSpacing/>
      </w:pPr>
      <w:r>
        <w:t>Top left, top right, bottom left, bottom right</w:t>
      </w:r>
    </w:p>
    <w:p w:rsidR="000A156F" w:rsidRDefault="00A9721F">
      <w:r>
        <w:t xml:space="preserve">Refer to </w:t>
      </w:r>
      <w:hyperlink w:anchor="Section_3359ff85c4234b9dbe78d1cf96f79486" w:history="1">
        <w:r>
          <w:rPr>
            <w:rStyle w:val="Hyperlink"/>
          </w:rPr>
          <w:t>ST_TblStyleOverrideType,</w:t>
        </w:r>
        <w:r>
          <w:rPr>
            <w:rStyle w:val="Hyperlink"/>
          </w:rPr>
          <w:t xml:space="preserve"> §17.18.89(a)</w:t>
        </w:r>
      </w:hyperlink>
      <w:r>
        <w:t xml:space="preserve"> for information about the conditional formatting values Microsoft Office recognizes.</w:t>
      </w:r>
    </w:p>
    <w:p w:rsidR="000A156F" w:rsidRDefault="00A9721F">
      <w:pPr>
        <w:pStyle w:val="Heading3"/>
      </w:pPr>
      <w:bookmarkStart w:id="514" w:name="section_e6cd172f23d344d9942bcf3ffaed67fc"/>
      <w:bookmarkStart w:id="515" w:name="_Toc181683283"/>
      <w:r>
        <w:t>Part 1 Section 17.7.6.1, pPr (Table Style Conditional Formatting Paragraph Properties)</w:t>
      </w:r>
      <w:bookmarkEnd w:id="514"/>
      <w:bookmarkEnd w:id="515"/>
      <w:r>
        <w:fldChar w:fldCharType="begin"/>
      </w:r>
      <w:r>
        <w:instrText xml:space="preserve"> XE "pPr (Table Style Conditional Formatting Paragraph Properties)" </w:instrText>
      </w:r>
      <w:r>
        <w:fldChar w:fldCharType="end"/>
      </w:r>
    </w:p>
    <w:p w:rsidR="000A156F" w:rsidRDefault="00A9721F">
      <w:pPr>
        <w:pStyle w:val="Definition-Field"/>
      </w:pPr>
      <w:r>
        <w:t xml:space="preserve">a.   </w:t>
      </w:r>
      <w:r>
        <w:rPr>
          <w:i/>
        </w:rPr>
        <w:t>The standard states that the cnfStyle, divId, pStyle, rPr, and sectPr elements are valid child elements of the pPr element.</w:t>
      </w:r>
    </w:p>
    <w:p w:rsidR="000A156F" w:rsidRDefault="00A9721F">
      <w:pPr>
        <w:pStyle w:val="Definition-Field2"/>
      </w:pPr>
      <w:r>
        <w:t>Word does not allow these elements to be child elements of the pPr element.</w:t>
      </w:r>
    </w:p>
    <w:p w:rsidR="000A156F" w:rsidRDefault="00A9721F">
      <w:pPr>
        <w:pStyle w:val="Definition-Field"/>
      </w:pPr>
      <w:r>
        <w:t xml:space="preserve">b.   </w:t>
      </w:r>
      <w:r>
        <w:rPr>
          <w:i/>
        </w:rPr>
        <w:t xml:space="preserve">The standard allows framePr, suppressOverlap, </w:t>
      </w:r>
      <w:r>
        <w:rPr>
          <w:i/>
        </w:rPr>
        <w:t>and textDirection as a child element of pPr in a table style.</w:t>
      </w:r>
    </w:p>
    <w:p w:rsidR="000A156F" w:rsidRDefault="00A9721F">
      <w:pPr>
        <w:pStyle w:val="Definition-Field2"/>
      </w:pPr>
      <w:r>
        <w:t>Word does not allow framePr, suppressOverlap, or textDirection as a child element of pPr in a table style, and may fail to open such a file.</w:t>
      </w:r>
    </w:p>
    <w:p w:rsidR="000A156F" w:rsidRDefault="00A9721F">
      <w:pPr>
        <w:pStyle w:val="Heading3"/>
      </w:pPr>
      <w:bookmarkStart w:id="516" w:name="section_d0244b61fd9645f0ac847380d2b6d663"/>
      <w:bookmarkStart w:id="517" w:name="_Toc181683284"/>
      <w:r>
        <w:t>Part 1 Section 17.7.6.2, rPr (Table Style Conditional</w:t>
      </w:r>
      <w:r>
        <w:t xml:space="preserve"> Formatting Run Properties)</w:t>
      </w:r>
      <w:bookmarkEnd w:id="516"/>
      <w:bookmarkEnd w:id="517"/>
      <w:r>
        <w:fldChar w:fldCharType="begin"/>
      </w:r>
      <w:r>
        <w:instrText xml:space="preserve"> XE "rPr (Table Style Conditional Formatting Run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f0ca7a05e6a487ebb522b74d4bb614a">
        <w:r>
          <w:rPr>
            <w:rStyle w:val="Hyperlink"/>
          </w:rPr>
          <w:t xml:space="preserve">rPr, </w:t>
        </w:r>
        <w:r>
          <w:rPr>
            <w:rStyle w:val="Hyperlink"/>
          </w:rPr>
          <w:t>§17.7.5.4(a)</w:t>
        </w:r>
      </w:hyperlink>
      <w:r>
        <w:rPr>
          <w:i/>
        </w:rPr>
        <w:t>.</w:t>
      </w:r>
    </w:p>
    <w:p w:rsidR="000A156F" w:rsidRDefault="00A9721F">
      <w:pPr>
        <w:pStyle w:val="Definition-Field"/>
      </w:pPr>
      <w:r>
        <w:t xml:space="preserve">a.   </w:t>
      </w:r>
      <w:r>
        <w:rPr>
          <w:i/>
        </w:rPr>
        <w:t>The standard states that the cs, highlight, oMath, rPrChange, rStyle, and rtl elements are valid child elements of the rPr element.</w:t>
      </w:r>
    </w:p>
    <w:p w:rsidR="000A156F" w:rsidRDefault="00A9721F">
      <w:pPr>
        <w:pStyle w:val="Definition-Field2"/>
      </w:pPr>
      <w:r>
        <w:t>Word does not allow these elements to be child elements of the rPr element.</w:t>
      </w:r>
    </w:p>
    <w:p w:rsidR="000A156F" w:rsidRDefault="00A9721F">
      <w:pPr>
        <w:pStyle w:val="Heading3"/>
      </w:pPr>
      <w:bookmarkStart w:id="518" w:name="section_8ab3579cde9a4cdc931d261772a2365e"/>
      <w:bookmarkStart w:id="519" w:name="_Toc181683285"/>
      <w:r>
        <w:t>Part 1 Section 17.7.6.3, tblP</w:t>
      </w:r>
      <w:r>
        <w:t>r (Table Style Conditional Formatting Table Properties)</w:t>
      </w:r>
      <w:bookmarkEnd w:id="518"/>
      <w:bookmarkEnd w:id="519"/>
      <w:r>
        <w:fldChar w:fldCharType="begin"/>
      </w:r>
      <w:r>
        <w:instrText xml:space="preserve"> XE "tblPr (Table Style Conditional Formatting Table Properties)" </w:instrText>
      </w:r>
      <w:r>
        <w:fldChar w:fldCharType="end"/>
      </w:r>
    </w:p>
    <w:p w:rsidR="000A156F" w:rsidRDefault="00A9721F">
      <w:pPr>
        <w:pStyle w:val="Definition-Field"/>
      </w:pPr>
      <w:r>
        <w:t xml:space="preserve">a.   </w:t>
      </w:r>
      <w:r>
        <w:rPr>
          <w:i/>
        </w:rPr>
        <w:t>The standard states that the bidiVisual, tblLayout, tblLook, tblOverlap, tblpPr, tblStyle, tblStyleColBandSize, tblStyleRowBand</w:t>
      </w:r>
      <w:r>
        <w:rPr>
          <w:i/>
        </w:rPr>
        <w:t>Size, and tblW elements are valid child elements of the tblPr element.</w:t>
      </w:r>
    </w:p>
    <w:p w:rsidR="000A156F" w:rsidRDefault="00A9721F">
      <w:pPr>
        <w:pStyle w:val="Definition-Field2"/>
      </w:pPr>
      <w:r>
        <w:t>Word does not allow these elements to be child elements of the tblPr element.</w:t>
      </w:r>
    </w:p>
    <w:p w:rsidR="000A156F" w:rsidRDefault="00A9721F">
      <w:pPr>
        <w:pStyle w:val="Heading3"/>
      </w:pPr>
      <w:bookmarkStart w:id="520" w:name="section_9110e397e8e24e23af712fa84eab74f5"/>
      <w:bookmarkStart w:id="521" w:name="_Toc181683286"/>
      <w:r>
        <w:t>Part 1 Section 17.7.6.4, tblPr (Style Table Properties)</w:t>
      </w:r>
      <w:bookmarkEnd w:id="520"/>
      <w:bookmarkEnd w:id="521"/>
      <w:r>
        <w:fldChar w:fldCharType="begin"/>
      </w:r>
      <w:r>
        <w:instrText xml:space="preserve"> XE "tblPr (Style Table Properties)" </w:instrText>
      </w:r>
      <w:r>
        <w:fldChar w:fldCharType="end"/>
      </w:r>
    </w:p>
    <w:p w:rsidR="000A156F" w:rsidRDefault="00A9721F">
      <w:pPr>
        <w:pStyle w:val="Definition-Field"/>
      </w:pPr>
      <w:r>
        <w:t xml:space="preserve">a.   </w:t>
      </w:r>
      <w:r>
        <w:rPr>
          <w:i/>
        </w:rPr>
        <w:t>The sta</w:t>
      </w:r>
      <w:r>
        <w:rPr>
          <w:i/>
        </w:rPr>
        <w:t>ndard states that the bidiVisual, tblLayout, tblLook, tblOverlap, tblpPr, tblStyle, and tblW elements are valid child elements of the tblPr element.</w:t>
      </w:r>
    </w:p>
    <w:p w:rsidR="000A156F" w:rsidRDefault="00A9721F">
      <w:pPr>
        <w:pStyle w:val="Definition-Field2"/>
      </w:pPr>
      <w:r>
        <w:t>Word does not allow these elements to be child elements of the tblPr element.</w:t>
      </w:r>
    </w:p>
    <w:p w:rsidR="000A156F" w:rsidRDefault="00A9721F">
      <w:pPr>
        <w:pStyle w:val="Heading3"/>
      </w:pPr>
      <w:bookmarkStart w:id="522" w:name="section_6998fa345ceb40a7b3b5ac4591c2f09e"/>
      <w:bookmarkStart w:id="523" w:name="_Toc181683287"/>
      <w:r>
        <w:t>Part 1 Section 17.7.6.5, tblS</w:t>
      </w:r>
      <w:r>
        <w:t>tyleColBandSize (Number of Columns in Column Band)</w:t>
      </w:r>
      <w:bookmarkEnd w:id="522"/>
      <w:bookmarkEnd w:id="523"/>
      <w:r>
        <w:fldChar w:fldCharType="begin"/>
      </w:r>
      <w:r>
        <w:instrText xml:space="preserve"> XE "tblStyleColBandSize (Number of Columns in Column Band)"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0A156F" w:rsidRDefault="00A9721F">
      <w:pPr>
        <w:pStyle w:val="Definition-Field"/>
      </w:pPr>
      <w:r>
        <w:lastRenderedPageBreak/>
        <w:t xml:space="preserve">a.   </w:t>
      </w:r>
      <w:r>
        <w:rPr>
          <w:i/>
        </w:rPr>
        <w:t>The standard states that the values of the val attrib</w:t>
      </w:r>
      <w:r>
        <w:rPr>
          <w:i/>
        </w:rPr>
        <w:t>ute are defined by the XML Schema integer datatype.</w:t>
      </w:r>
    </w:p>
    <w:p w:rsidR="000A156F" w:rsidRDefault="00A9721F">
      <w:pPr>
        <w:pStyle w:val="Definition-Field2"/>
      </w:pPr>
      <w:r>
        <w:t>Word restricts the value of this attribute to be at least 0 and at most 3.</w:t>
      </w:r>
    </w:p>
    <w:p w:rsidR="000A156F" w:rsidRDefault="00A9721F">
      <w:pPr>
        <w:pStyle w:val="Definition-Field"/>
      </w:pPr>
      <w:r>
        <w:t xml:space="preserve">b.   </w:t>
      </w:r>
      <w:r>
        <w:rPr>
          <w:i/>
        </w:rPr>
        <w:t>The standard says the default for tblStyleColBandSize is 1.</w:t>
      </w:r>
    </w:p>
    <w:p w:rsidR="000A156F" w:rsidRDefault="00A9721F">
      <w:pPr>
        <w:pStyle w:val="Definition-Field2"/>
      </w:pPr>
      <w:r>
        <w:t>Word uses 0 as the default for tblStyleColBandSize.</w:t>
      </w:r>
    </w:p>
    <w:p w:rsidR="000A156F" w:rsidRDefault="00A9721F">
      <w:pPr>
        <w:pStyle w:val="Definition-Field"/>
      </w:pPr>
      <w:r>
        <w:t xml:space="preserve">c.   </w:t>
      </w:r>
      <w:r>
        <w:rPr>
          <w:i/>
        </w:rPr>
        <w:t>The sta</w:t>
      </w:r>
      <w:r>
        <w:rPr>
          <w:i/>
        </w:rPr>
        <w:t>ndard does not specify the meaning if tblStyleColBandSize is set to 0.</w:t>
      </w:r>
    </w:p>
    <w:p w:rsidR="000A156F" w:rsidRDefault="00A9721F">
      <w:pPr>
        <w:pStyle w:val="Definition-Field2"/>
      </w:pPr>
      <w:r>
        <w:t>If tblStyleColBandSize is set to 0, Word does not apply any banded column conditional formatting.</w:t>
      </w:r>
    </w:p>
    <w:p w:rsidR="000A156F" w:rsidRDefault="00A9721F">
      <w:pPr>
        <w:pStyle w:val="Heading3"/>
      </w:pPr>
      <w:bookmarkStart w:id="524" w:name="section_2ac331d4cf1e4fa08bca6da74411e284"/>
      <w:bookmarkStart w:id="525" w:name="_Toc181683288"/>
      <w:r>
        <w:t>Part 1 Section 17.7.6.6, tblStylePr (Style Conditional Table Formatting Properties)</w:t>
      </w:r>
      <w:bookmarkEnd w:id="524"/>
      <w:bookmarkEnd w:id="525"/>
      <w:r>
        <w:fldChar w:fldCharType="begin"/>
      </w:r>
      <w:r>
        <w:instrText xml:space="preserve"> XE </w:instrText>
      </w:r>
      <w:r>
        <w:instrText xml:space="preserve">"tblStylePr (Style Conditional Table Formatting Properties)" </w:instrText>
      </w:r>
      <w:r>
        <w:fldChar w:fldCharType="end"/>
      </w:r>
    </w:p>
    <w:p w:rsidR="000A156F" w:rsidRDefault="00A9721F">
      <w:pPr>
        <w:pStyle w:val="Definition-Field"/>
      </w:pPr>
      <w:r>
        <w:t xml:space="preserve">a.    </w:t>
      </w:r>
      <w:r>
        <w:rPr>
          <w:i/>
        </w:rPr>
        <w:t>The standard specifies the precedence order in which conditional formatting should be applied.</w:t>
      </w:r>
    </w:p>
    <w:p w:rsidR="000A156F" w:rsidRDefault="00A9721F">
      <w:r>
        <w:t>When specified, Office applies conditional formats in the following order (therefore subseq</w:t>
      </w:r>
      <w:r>
        <w:t>uent formats override properties on previous formats):</w:t>
      </w:r>
    </w:p>
    <w:p w:rsidR="000A156F" w:rsidRDefault="00A9721F">
      <w:pPr>
        <w:pStyle w:val="ListParagraph"/>
        <w:numPr>
          <w:ilvl w:val="0"/>
          <w:numId w:val="60"/>
        </w:numPr>
        <w:ind w:left="720"/>
        <w:contextualSpacing/>
      </w:pPr>
      <w:r>
        <w:t>Odd row banding, even row banding</w:t>
      </w:r>
    </w:p>
    <w:p w:rsidR="000A156F" w:rsidRDefault="00A9721F">
      <w:pPr>
        <w:pStyle w:val="ListParagraph"/>
        <w:numPr>
          <w:ilvl w:val="0"/>
          <w:numId w:val="60"/>
        </w:numPr>
        <w:ind w:left="720"/>
        <w:contextualSpacing/>
      </w:pPr>
      <w:r>
        <w:t>Odd column banding, even column banding</w:t>
      </w:r>
    </w:p>
    <w:p w:rsidR="000A156F" w:rsidRDefault="00A9721F">
      <w:pPr>
        <w:pStyle w:val="ListParagraph"/>
        <w:numPr>
          <w:ilvl w:val="0"/>
          <w:numId w:val="60"/>
        </w:numPr>
        <w:ind w:left="720"/>
        <w:contextualSpacing/>
      </w:pPr>
      <w:r>
        <w:t>First column, last column</w:t>
      </w:r>
    </w:p>
    <w:p w:rsidR="000A156F" w:rsidRDefault="00A9721F">
      <w:pPr>
        <w:pStyle w:val="ListParagraph"/>
        <w:numPr>
          <w:ilvl w:val="0"/>
          <w:numId w:val="60"/>
        </w:numPr>
        <w:ind w:left="720"/>
        <w:contextualSpacing/>
      </w:pPr>
      <w:r>
        <w:t>First row, last row</w:t>
      </w:r>
    </w:p>
    <w:p w:rsidR="000A156F" w:rsidRDefault="00A9721F">
      <w:pPr>
        <w:pStyle w:val="ListParagraph"/>
        <w:numPr>
          <w:ilvl w:val="0"/>
          <w:numId w:val="60"/>
        </w:numPr>
        <w:ind w:left="720"/>
      </w:pPr>
      <w:r>
        <w:t>Top left, top right, bottom left, bottom right</w:t>
      </w:r>
    </w:p>
    <w:p w:rsidR="000A156F" w:rsidRDefault="00A9721F">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0A156F" w:rsidRDefault="00A9721F">
      <w:pPr>
        <w:pStyle w:val="Heading3"/>
      </w:pPr>
      <w:bookmarkStart w:id="526" w:name="section_77519f5b08b345479f5d0c4d87854220"/>
      <w:bookmarkStart w:id="527" w:name="_Toc181683289"/>
      <w:r>
        <w:t>Part 1 Section 17.7.6.7, tblStyleRowBandSize (Number of Rows in Row Band)</w:t>
      </w:r>
      <w:bookmarkEnd w:id="526"/>
      <w:bookmarkEnd w:id="527"/>
      <w:r>
        <w:fldChar w:fldCharType="begin"/>
      </w:r>
      <w:r>
        <w:instrText xml:space="preserve"> X</w:instrText>
      </w:r>
      <w:r>
        <w:instrText xml:space="preserve">E "tblStyleRowBandSize (Number of Rows in Row Band)"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0A156F" w:rsidRDefault="00A9721F">
      <w:pPr>
        <w:pStyle w:val="Definition-Field"/>
      </w:pPr>
      <w:r>
        <w:t xml:space="preserve">a.   </w:t>
      </w:r>
      <w:r>
        <w:rPr>
          <w:i/>
        </w:rPr>
        <w:t>The standard says the default for tblStyleRowBandSize is 1.</w:t>
      </w:r>
    </w:p>
    <w:p w:rsidR="000A156F" w:rsidRDefault="00A9721F">
      <w:pPr>
        <w:pStyle w:val="Definition-Field2"/>
      </w:pPr>
      <w:r>
        <w:t>Word uses 0 as the default</w:t>
      </w:r>
      <w:r>
        <w:t xml:space="preserve"> for tblStyleRowBandSize.</w:t>
      </w:r>
    </w:p>
    <w:p w:rsidR="000A156F" w:rsidRDefault="00A9721F">
      <w:pPr>
        <w:pStyle w:val="Definition-Field"/>
      </w:pPr>
      <w:r>
        <w:t xml:space="preserve">b.   </w:t>
      </w:r>
      <w:r>
        <w:rPr>
          <w:i/>
        </w:rPr>
        <w:t>The standard does not specify the meaning if tblStyleRowBandSize is set to 0.</w:t>
      </w:r>
    </w:p>
    <w:p w:rsidR="000A156F" w:rsidRDefault="00A9721F">
      <w:pPr>
        <w:pStyle w:val="Definition-Field2"/>
      </w:pPr>
      <w:r>
        <w:t>If tblStyleRowBandSize is set to 0, Word does not apply any banded row conditional formatting.</w:t>
      </w:r>
    </w:p>
    <w:p w:rsidR="000A156F" w:rsidRDefault="00A9721F">
      <w:pPr>
        <w:pStyle w:val="Definition-Field"/>
      </w:pPr>
      <w:r>
        <w:t xml:space="preserve">c.   </w:t>
      </w:r>
      <w:r>
        <w:rPr>
          <w:i/>
        </w:rPr>
        <w:t xml:space="preserve">The standard states that the values of the val </w:t>
      </w:r>
      <w:r>
        <w:rPr>
          <w:i/>
        </w:rPr>
        <w:t>attribute are defined by the XML Schema integer datatype.</w:t>
      </w:r>
    </w:p>
    <w:p w:rsidR="000A156F" w:rsidRDefault="00A9721F">
      <w:pPr>
        <w:pStyle w:val="Definition-Field2"/>
      </w:pPr>
      <w:r>
        <w:t>Word restricts the value of this attribute to be at least 0 and at most 3.</w:t>
      </w:r>
    </w:p>
    <w:p w:rsidR="000A156F" w:rsidRDefault="00A9721F">
      <w:pPr>
        <w:pStyle w:val="Heading3"/>
      </w:pPr>
      <w:bookmarkStart w:id="528" w:name="section_348cf5dd492c4e2b9fe3c4996f8c52e5"/>
      <w:bookmarkStart w:id="529" w:name="_Toc181683290"/>
      <w:r>
        <w:t>Part 1 Section 17.7.6.8, tcPr (Table Style Conditional Formatting Table Cell Properties)</w:t>
      </w:r>
      <w:bookmarkEnd w:id="528"/>
      <w:bookmarkEnd w:id="529"/>
      <w:r>
        <w:fldChar w:fldCharType="begin"/>
      </w:r>
      <w:r>
        <w:instrText xml:space="preserve"> XE "tcPr (Table Style Conditional </w:instrText>
      </w:r>
      <w:r>
        <w:instrText xml:space="preserve">Formatting Table Cell Properties)" </w:instrText>
      </w:r>
      <w:r>
        <w:fldChar w:fldCharType="end"/>
      </w:r>
    </w:p>
    <w:p w:rsidR="000A156F" w:rsidRDefault="00A9721F">
      <w:pPr>
        <w:pStyle w:val="Definition-Field"/>
      </w:pPr>
      <w:r>
        <w:t xml:space="preserve">a.   </w:t>
      </w:r>
      <w:r>
        <w:rPr>
          <w:i/>
        </w:rPr>
        <w:t>The standard says the properties in this element apply to the table regions specified by the conditional formatting setting.</w:t>
      </w:r>
    </w:p>
    <w:p w:rsidR="000A156F" w:rsidRDefault="00A9721F">
      <w:pPr>
        <w:pStyle w:val="Definition-Field2"/>
      </w:pPr>
      <w:r>
        <w:t>In Word, the noWrap, tcMar, and vAlign elements in this element always apply to entire t</w:t>
      </w:r>
      <w:r>
        <w:t>able rows, even if the parent tblStylePr specifies the formatting should be applied to columns or a particular cell.</w:t>
      </w:r>
    </w:p>
    <w:p w:rsidR="000A156F" w:rsidRDefault="00A9721F">
      <w:pPr>
        <w:pStyle w:val="Definition-Field"/>
      </w:pPr>
      <w:r>
        <w:lastRenderedPageBreak/>
        <w:t xml:space="preserve">b.   </w:t>
      </w:r>
      <w:r>
        <w:rPr>
          <w:i/>
        </w:rPr>
        <w:t>The standard states that the cellDel, cellIns, cellMerge, cnfStyle, gridSpan, hideMark, hMerge, tcFitText, tcPrChange, tcW, textDirect</w:t>
      </w:r>
      <w:r>
        <w:rPr>
          <w:i/>
        </w:rPr>
        <w:t>ion, and vMerge elements are valid child elements of the tcPr element.</w:t>
      </w:r>
    </w:p>
    <w:p w:rsidR="000A156F" w:rsidRDefault="00A9721F">
      <w:pPr>
        <w:pStyle w:val="Definition-Field2"/>
      </w:pPr>
      <w:r>
        <w:t>Word does not allow these elements to be child elements of the tcPr element.</w:t>
      </w:r>
    </w:p>
    <w:p w:rsidR="000A156F" w:rsidRDefault="00A9721F">
      <w:pPr>
        <w:pStyle w:val="Heading3"/>
      </w:pPr>
      <w:bookmarkStart w:id="530" w:name="section_9e742550b4384b9d96064ae34d83830f"/>
      <w:bookmarkStart w:id="531" w:name="_Toc181683291"/>
      <w:r>
        <w:t>Part 1 Section 17.7.6.9, tcPr (Style Table Cell Properties)</w:t>
      </w:r>
      <w:bookmarkEnd w:id="530"/>
      <w:bookmarkEnd w:id="531"/>
      <w:r>
        <w:fldChar w:fldCharType="begin"/>
      </w:r>
      <w:r>
        <w:instrText xml:space="preserve"> XE "tcPr (Style Table Cell Properties)" </w:instrText>
      </w:r>
      <w:r>
        <w:fldChar w:fldCharType="end"/>
      </w:r>
    </w:p>
    <w:p w:rsidR="000A156F" w:rsidRDefault="00A9721F">
      <w:pPr>
        <w:pStyle w:val="Definition-Field"/>
      </w:pPr>
      <w:r>
        <w:t xml:space="preserve">a.   </w:t>
      </w:r>
      <w:r>
        <w:rPr>
          <w:i/>
        </w:rPr>
        <w:t>The standard allows all table cell properties in table styles.</w:t>
      </w:r>
    </w:p>
    <w:p w:rsidR="000A156F" w:rsidRDefault="00A9721F">
      <w:pPr>
        <w:pStyle w:val="Definition-Field2"/>
      </w:pPr>
      <w:r>
        <w:t>Word does not allow cellDel, cellIns, cellMerge, cnfStyle, gridSpan, hideMark, hMerge, tcFitText, tcPrChange, tcW, textDirection, and vMerge in table styles.</w:t>
      </w:r>
    </w:p>
    <w:p w:rsidR="000A156F" w:rsidRDefault="00A9721F">
      <w:pPr>
        <w:pStyle w:val="Definition-Field"/>
      </w:pPr>
      <w:r>
        <w:t xml:space="preserve">b.   </w:t>
      </w:r>
      <w:r>
        <w:rPr>
          <w:i/>
        </w:rPr>
        <w:t xml:space="preserve">The standard allows tcBorders </w:t>
      </w:r>
      <w:r>
        <w:rPr>
          <w:i/>
        </w:rPr>
        <w:t>elements in a table style for table-wide cell properties.</w:t>
      </w:r>
    </w:p>
    <w:p w:rsidR="000A156F" w:rsidRDefault="00A9721F">
      <w:pPr>
        <w:pStyle w:val="Definition-Field2"/>
      </w:pPr>
      <w:r>
        <w:t>Word does not allow the tcBorders elements in a table style for table-wide cell properties.</w:t>
      </w:r>
    </w:p>
    <w:p w:rsidR="000A156F" w:rsidRDefault="00A9721F">
      <w:pPr>
        <w:pStyle w:val="Heading3"/>
      </w:pPr>
      <w:bookmarkStart w:id="532" w:name="section_c78643db45244582bab3b93a2dd7b94a"/>
      <w:bookmarkStart w:id="533" w:name="_Toc181683292"/>
      <w:r>
        <w:t>Part 1 Section 17.7.6.10, trPr (Table Style Conditional Formatting Table Row Properties)</w:t>
      </w:r>
      <w:bookmarkEnd w:id="532"/>
      <w:bookmarkEnd w:id="533"/>
      <w:r>
        <w:fldChar w:fldCharType="begin"/>
      </w:r>
      <w:r>
        <w:instrText xml:space="preserve"> XE "trPr (Table S</w:instrText>
      </w:r>
      <w:r>
        <w:instrText xml:space="preserve">tyle Conditional Formatting Table Row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0A156F" w:rsidRDefault="00A9721F">
      <w:pPr>
        <w:pStyle w:val="Definition-Field"/>
      </w:pPr>
      <w:r>
        <w:t xml:space="preserve">a.   </w:t>
      </w:r>
      <w:r>
        <w:rPr>
          <w:i/>
        </w:rPr>
        <w:t>The standard all</w:t>
      </w:r>
      <w:r>
        <w:rPr>
          <w:i/>
        </w:rPr>
        <w:t>ows hidden as a child or trPr in a table style.</w:t>
      </w:r>
    </w:p>
    <w:p w:rsidR="000A156F" w:rsidRDefault="00A9721F">
      <w:pPr>
        <w:pStyle w:val="Definition-Field2"/>
      </w:pPr>
      <w:r>
        <w:t>Word ignores hidden if it is a child of trPr in a table style.</w:t>
      </w:r>
    </w:p>
    <w:p w:rsidR="000A156F" w:rsidRDefault="00A9721F">
      <w:pPr>
        <w:pStyle w:val="Definition-Field"/>
      </w:pPr>
      <w:r>
        <w:t xml:space="preserve">b.   </w:t>
      </w:r>
      <w:r>
        <w:rPr>
          <w:i/>
        </w:rPr>
        <w:t xml:space="preserve">The standard states that the cnfStyle, del, divId, gridAfter, gridBefore, ins, trHeight, trPrChange, wAfter, and wBefore elements are valid </w:t>
      </w:r>
      <w:r>
        <w:rPr>
          <w:i/>
        </w:rPr>
        <w:t>child elements of the trPr element.</w:t>
      </w:r>
    </w:p>
    <w:p w:rsidR="000A156F" w:rsidRDefault="00A9721F">
      <w:pPr>
        <w:pStyle w:val="Definition-Field2"/>
      </w:pPr>
      <w:r>
        <w:t>Word does not allow these elements to be child elements of the trPr element.</w:t>
      </w:r>
    </w:p>
    <w:p w:rsidR="000A156F" w:rsidRDefault="00A9721F">
      <w:pPr>
        <w:pStyle w:val="Heading3"/>
      </w:pPr>
      <w:bookmarkStart w:id="534" w:name="section_36064a5b267d4a27a567453d8b96a5b3"/>
      <w:bookmarkStart w:id="535" w:name="_Toc181683293"/>
      <w:r>
        <w:t>Part 1 Section 17.7.6.11, trPr (Style Table Row Properties)</w:t>
      </w:r>
      <w:bookmarkEnd w:id="534"/>
      <w:bookmarkEnd w:id="535"/>
      <w:r>
        <w:fldChar w:fldCharType="begin"/>
      </w:r>
      <w:r>
        <w:instrText xml:space="preserve"> XE "trPr (Style Table Row Properties)" </w:instrText>
      </w:r>
      <w:r>
        <w:fldChar w:fldCharType="end"/>
      </w:r>
    </w:p>
    <w:p w:rsidR="000A156F" w:rsidRDefault="00A9721F">
      <w:pPr>
        <w:pStyle w:val="Definition-Field"/>
      </w:pPr>
      <w:r>
        <w:t xml:space="preserve">a.   </w:t>
      </w:r>
      <w:r>
        <w:rPr>
          <w:i/>
        </w:rPr>
        <w:t xml:space="preserve">The standard states that the </w:t>
      </w:r>
      <w:r>
        <w:rPr>
          <w:i/>
        </w:rPr>
        <w:t>cnfStyle, del, divId, gridAfter, gridBefore, ins, trHeight, trPrChange, wAfter, and wBefore elements are valid child elements of the trPr element.</w:t>
      </w:r>
    </w:p>
    <w:p w:rsidR="000A156F" w:rsidRDefault="00A9721F">
      <w:pPr>
        <w:pStyle w:val="Definition-Field2"/>
      </w:pPr>
      <w:r>
        <w:t>Word does not allow these elements to be child elements of the trPr element.</w:t>
      </w:r>
    </w:p>
    <w:p w:rsidR="000A156F" w:rsidRDefault="00A9721F">
      <w:pPr>
        <w:pStyle w:val="Definition-Field"/>
      </w:pPr>
      <w:r>
        <w:t xml:space="preserve">b.   </w:t>
      </w:r>
      <w:r>
        <w:rPr>
          <w:i/>
        </w:rPr>
        <w:t xml:space="preserve">The standard allows hidden </w:t>
      </w:r>
      <w:r>
        <w:rPr>
          <w:i/>
        </w:rPr>
        <w:t>as a child of trPr in a table style.</w:t>
      </w:r>
    </w:p>
    <w:p w:rsidR="000A156F" w:rsidRDefault="00A9721F">
      <w:pPr>
        <w:pStyle w:val="Definition-Field2"/>
      </w:pPr>
      <w:r>
        <w:t>Word ignores hidden as a child of trPr in a table style.</w:t>
      </w:r>
    </w:p>
    <w:p w:rsidR="000A156F" w:rsidRDefault="00A9721F">
      <w:pPr>
        <w:pStyle w:val="Heading3"/>
      </w:pPr>
      <w:bookmarkStart w:id="536" w:name="section_bd62641d7786473f872d4b3205e91a82"/>
      <w:bookmarkStart w:id="537" w:name="_Toc181683294"/>
      <w:r>
        <w:t>Part 1 Section 17.7.8, Paragraph Styles</w:t>
      </w:r>
      <w:bookmarkEnd w:id="536"/>
      <w:bookmarkEnd w:id="537"/>
      <w:r>
        <w:fldChar w:fldCharType="begin"/>
      </w:r>
      <w:r>
        <w:instrText xml:space="preserve"> XE "Paragraph Styles" </w:instrText>
      </w:r>
      <w:r>
        <w:fldChar w:fldCharType="end"/>
      </w:r>
    </w:p>
    <w:p w:rsidR="000A156F" w:rsidRDefault="00A9721F">
      <w:pPr>
        <w:pStyle w:val="Definition-Field"/>
      </w:pPr>
      <w:r>
        <w:t xml:space="preserve">a.   </w:t>
      </w:r>
      <w:r>
        <w:rPr>
          <w:i/>
        </w:rPr>
        <w:t>The standard specifies that the resolved value of the toggle properties will toggle the prev</w:t>
      </w:r>
      <w:r>
        <w:rPr>
          <w:i/>
        </w:rPr>
        <w:t>ious level (True) or leave it unchanged (False) when present in a paragraph style.</w:t>
      </w:r>
    </w:p>
    <w:p w:rsidR="000A156F" w:rsidRDefault="00A9721F">
      <w:pPr>
        <w:pStyle w:val="Definition-Field2"/>
      </w:pPr>
      <w:r>
        <w:t>Word resets the value of the toggle property to the value specified by the paragraph style if a value is present; for example, a value of 1 resets the property's state to Tr</w:t>
      </w:r>
      <w:r>
        <w:t>ue instead of toggling it.</w:t>
      </w:r>
    </w:p>
    <w:p w:rsidR="000A156F" w:rsidRDefault="00A9721F">
      <w:pPr>
        <w:pStyle w:val="Heading3"/>
      </w:pPr>
      <w:bookmarkStart w:id="538" w:name="section_03bd6b70ee1a457885a1b4207bbb34ce"/>
      <w:bookmarkStart w:id="539" w:name="_Toc181683295"/>
      <w:r>
        <w:t>Part 1 Section 17.7.8.2, pPr (Style Paragraph Properties)</w:t>
      </w:r>
      <w:bookmarkEnd w:id="538"/>
      <w:bookmarkEnd w:id="539"/>
      <w:r>
        <w:fldChar w:fldCharType="begin"/>
      </w:r>
      <w:r>
        <w:instrText xml:space="preserve"> XE "pPr (Style Paragraph Properties)" </w:instrText>
      </w:r>
      <w:r>
        <w:fldChar w:fldCharType="end"/>
      </w:r>
    </w:p>
    <w:p w:rsidR="000A156F" w:rsidRDefault="00A9721F">
      <w:pPr>
        <w:pStyle w:val="Definition-Field"/>
      </w:pPr>
      <w:r>
        <w:t xml:space="preserve">a.   </w:t>
      </w:r>
      <w:r>
        <w:rPr>
          <w:i/>
        </w:rPr>
        <w:t>The standard states that the cnfStyle, divId, pStyle, rPr, and sectPr elements are valid child elements of the pPr element.</w:t>
      </w:r>
    </w:p>
    <w:p w:rsidR="000A156F" w:rsidRDefault="00A9721F">
      <w:pPr>
        <w:pStyle w:val="Definition-Field2"/>
      </w:pPr>
      <w:r>
        <w:t>Word does not allow these elements to be child elements of the pPr element.</w:t>
      </w:r>
    </w:p>
    <w:p w:rsidR="000A156F" w:rsidRDefault="00A9721F">
      <w:pPr>
        <w:pStyle w:val="Definition-Field"/>
      </w:pPr>
      <w:r>
        <w:lastRenderedPageBreak/>
        <w:t xml:space="preserve">b.   </w:t>
      </w:r>
      <w:r>
        <w:rPr>
          <w:i/>
        </w:rPr>
        <w:t>The standard allows framePr, suppressOverlap, and textDirection as child elements of pPr in a style.</w:t>
      </w:r>
    </w:p>
    <w:p w:rsidR="000A156F" w:rsidRDefault="00A9721F">
      <w:pPr>
        <w:pStyle w:val="Definition-Field2"/>
      </w:pPr>
      <w:r>
        <w:t>Word does not allow framePr, suppressOverlap, and textDirection as child e</w:t>
      </w:r>
      <w:r>
        <w:t>lements in a style and may fail to load such a file.</w:t>
      </w:r>
    </w:p>
    <w:p w:rsidR="000A156F" w:rsidRDefault="00A9721F">
      <w:pPr>
        <w:pStyle w:val="Heading3"/>
      </w:pPr>
      <w:bookmarkStart w:id="540" w:name="section_0f36799f599e449b8d9dcd42c9c6e41f"/>
      <w:bookmarkStart w:id="541" w:name="_Toc181683296"/>
      <w:r>
        <w:t>Part 1 Section 17.7.9.1, rPr (Run Properties)</w:t>
      </w:r>
      <w:bookmarkEnd w:id="540"/>
      <w:bookmarkEnd w:id="541"/>
      <w:r>
        <w:fldChar w:fldCharType="begin"/>
      </w:r>
      <w:r>
        <w:instrText xml:space="preserve"> XE "rPr (Run Properties)" </w:instrText>
      </w:r>
      <w:r>
        <w:fldChar w:fldCharType="end"/>
      </w:r>
    </w:p>
    <w:p w:rsidR="000A156F" w:rsidRDefault="00A9721F">
      <w:pPr>
        <w:pStyle w:val="Definition-Field"/>
      </w:pPr>
      <w:r>
        <w:t xml:space="preserve">a.   </w:t>
      </w:r>
      <w:r>
        <w:rPr>
          <w:i/>
        </w:rPr>
        <w:t>The standard states that the cs, highlight, oMath, rStyle, and rtl elements are valid child elements of the rPr element.</w:t>
      </w:r>
    </w:p>
    <w:p w:rsidR="000A156F" w:rsidRDefault="00A9721F">
      <w:pPr>
        <w:pStyle w:val="Definition-Field2"/>
      </w:pPr>
      <w:r>
        <w:t>Wo</w:t>
      </w:r>
      <w:r>
        <w:t>rd does not allow these elements to be child elements of the rPr element.</w:t>
      </w:r>
    </w:p>
    <w:p w:rsidR="000A156F" w:rsidRDefault="00A9721F">
      <w:pPr>
        <w:pStyle w:val="Heading3"/>
      </w:pPr>
      <w:bookmarkStart w:id="542" w:name="section_09b83e1530de481d8ddf777107d4122e"/>
      <w:bookmarkStart w:id="543" w:name="_Toc181683297"/>
      <w:r>
        <w:t>Part 1 Section 17.8, Fonts</w:t>
      </w:r>
      <w:bookmarkEnd w:id="542"/>
      <w:bookmarkEnd w:id="543"/>
      <w:r>
        <w:fldChar w:fldCharType="begin"/>
      </w:r>
      <w:r>
        <w:instrText xml:space="preserve"> XE "Fonts" </w:instrText>
      </w:r>
      <w:r>
        <w:fldChar w:fldCharType="end"/>
      </w:r>
    </w:p>
    <w:p w:rsidR="000A156F" w:rsidRDefault="00A9721F">
      <w:pPr>
        <w:pStyle w:val="Definition-Field"/>
      </w:pPr>
      <w:r>
        <w:t xml:space="preserve">a.   </w:t>
      </w:r>
      <w:r>
        <w:rPr>
          <w:i/>
        </w:rPr>
        <w:t>The standard states that when a font is unavailable, font substitution elements may not be modified.</w:t>
      </w:r>
    </w:p>
    <w:p w:rsidR="000A156F" w:rsidRDefault="00A9721F">
      <w:pPr>
        <w:pStyle w:val="Definition-Field2"/>
      </w:pPr>
      <w:r>
        <w:t>Word can modify the font substituti</w:t>
      </w:r>
      <w:r>
        <w:t>on elements (altName, panose1, charset, family, notTrueType, pitch, sig) if a font with the same name has been loaded before in the same application session.</w:t>
      </w:r>
    </w:p>
    <w:p w:rsidR="000A156F" w:rsidRDefault="00A9721F">
      <w:pPr>
        <w:pStyle w:val="Definition-Field"/>
      </w:pPr>
      <w:r>
        <w:t xml:space="preserve">b.   </w:t>
      </w:r>
      <w:r>
        <w:rPr>
          <w:i/>
        </w:rPr>
        <w:t>The standard does not state that different forms of embedded font types must be from the same</w:t>
      </w:r>
      <w:r>
        <w:rPr>
          <w:i/>
        </w:rPr>
        <w:t xml:space="preserve"> font.</w:t>
      </w:r>
    </w:p>
    <w:p w:rsidR="000A156F" w:rsidRDefault="00A9721F">
      <w:r>
        <w:t xml:space="preserve">Word can only display one embedded font per font name.  If </w:t>
      </w:r>
      <w:r>
        <w:rPr>
          <w:b/>
        </w:rPr>
        <w:t>embedRegular</w:t>
      </w:r>
      <w:r>
        <w:t xml:space="preserve"> ("</w:t>
      </w:r>
      <w:hyperlink r:id="rId101">
        <w:r>
          <w:rPr>
            <w:rStyle w:val="Hyperlink"/>
          </w:rPr>
          <w:t>[ISO/IEC-29500-1]</w:t>
        </w:r>
      </w:hyperlink>
      <w:r>
        <w:t xml:space="preserve"> §17.8.3.6; embedRegular"), </w:t>
      </w:r>
      <w:r>
        <w:rPr>
          <w:b/>
        </w:rPr>
        <w:t>embedBold</w:t>
      </w:r>
      <w:r>
        <w:t xml:space="preserve"> (“"[ISO/IEC-29500-1] §17.8.3.3; embedBold"), </w:t>
      </w:r>
      <w:r>
        <w:rPr>
          <w:b/>
        </w:rPr>
        <w:t>embedItal</w:t>
      </w:r>
      <w:r>
        <w:rPr>
          <w:b/>
        </w:rPr>
        <w:t>ic</w:t>
      </w:r>
      <w:r>
        <w:t xml:space="preserve"> (“"[ISO/IEC-29500-1] §17.8.3.5; embedItalic") or </w:t>
      </w:r>
      <w:r>
        <w:rPr>
          <w:b/>
        </w:rPr>
        <w:t>embedBoldItalic</w:t>
      </w:r>
      <w:r>
        <w:t xml:space="preserve"> (“"[ISO/IEC-29500-1] §17.8.3.4; embedBoldItalic") specify different fonts, only one of these fonts will be used to display all variations. If multiple documents are loaded which specify di</w:t>
      </w:r>
      <w:r>
        <w:t xml:space="preserve">fferent embedded fonts for a given font name, only one embedded font will be used to display all variations of such font across all documents.  When Word saves a document;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forms </w:t>
      </w:r>
      <w:r>
        <w:t>of the same font.</w:t>
      </w:r>
    </w:p>
    <w:p w:rsidR="000A156F" w:rsidRDefault="00A9721F">
      <w:pPr>
        <w:pStyle w:val="Heading3"/>
      </w:pPr>
      <w:bookmarkStart w:id="544" w:name="section_f7c44a603d384925893457d77c277e84"/>
      <w:bookmarkStart w:id="545" w:name="_Toc181683298"/>
      <w:r>
        <w:t>Part 1 Section 17.8.3.1, altName (Alternate Names for Font)</w:t>
      </w:r>
      <w:bookmarkEnd w:id="544"/>
      <w:bookmarkEnd w:id="545"/>
      <w:r>
        <w:fldChar w:fldCharType="begin"/>
      </w:r>
      <w:r>
        <w:instrText xml:space="preserve"> XE "altName (Alternate Names for Font)" </w:instrText>
      </w:r>
      <w:r>
        <w:fldChar w:fldCharType="end"/>
      </w:r>
    </w:p>
    <w:p w:rsidR="000A156F" w:rsidRDefault="00A9721F">
      <w:pPr>
        <w:pStyle w:val="Definition-Field"/>
      </w:pPr>
      <w:r>
        <w:t xml:space="preserve">a.   </w:t>
      </w:r>
      <w:r>
        <w:rPr>
          <w:i/>
        </w:rPr>
        <w:t>The standard describes the altName element as a set of alternative names given as comma-delimited list.</w:t>
      </w:r>
    </w:p>
    <w:p w:rsidR="000A156F" w:rsidRDefault="00A9721F">
      <w:pPr>
        <w:pStyle w:val="Definition-Field2"/>
      </w:pPr>
      <w:r>
        <w:t>Word does not split values</w:t>
      </w:r>
      <w:r>
        <w:t xml:space="preserve"> on commas or anything else; instead, it treats the entire value as a single alternate font name.</w:t>
      </w:r>
    </w:p>
    <w:p w:rsidR="000A156F" w:rsidRDefault="00A9721F">
      <w:pPr>
        <w:pStyle w:val="Definition-Field"/>
      </w:pPr>
      <w:r>
        <w:t xml:space="preserve">b.   </w:t>
      </w:r>
      <w:r>
        <w:rPr>
          <w:i/>
        </w:rPr>
        <w:t>The standard does not limit the length of the value of the val attribute.</w:t>
      </w:r>
    </w:p>
    <w:p w:rsidR="000A156F" w:rsidRDefault="00A9721F">
      <w:pPr>
        <w:pStyle w:val="Definition-Field2"/>
      </w:pPr>
      <w:r>
        <w:t>Word restricts the value of this attribute to be at most 31 characters.</w:t>
      </w:r>
    </w:p>
    <w:p w:rsidR="000A156F" w:rsidRDefault="00A9721F">
      <w:pPr>
        <w:pStyle w:val="Definition-Field"/>
      </w:pPr>
      <w:r>
        <w:t xml:space="preserve">c.   </w:t>
      </w:r>
      <w:r>
        <w:rPr>
          <w:i/>
        </w:rPr>
        <w:t>Th</w:t>
      </w:r>
      <w:r>
        <w:rPr>
          <w:i/>
        </w:rPr>
        <w:t>e standard states that the value of the altName element does not change when resaving a document.</w:t>
      </w:r>
    </w:p>
    <w:p w:rsidR="000A156F" w:rsidRDefault="00A9721F">
      <w:pPr>
        <w:pStyle w:val="Definition-Field2"/>
      </w:pPr>
      <w:r>
        <w:t xml:space="preserve">Word removes the altName element for system fonts, keeps it for other fonts the first time they are loaded in the session, and reverts them to the previous </w:t>
      </w:r>
      <w:r>
        <w:t>value for subsequent times they are loaded in the session.</w:t>
      </w:r>
    </w:p>
    <w:p w:rsidR="000A156F" w:rsidRDefault="00A9721F">
      <w:pPr>
        <w:pStyle w:val="Definition-Field"/>
      </w:pPr>
      <w:r>
        <w:t xml:space="preserve">d.   </w:t>
      </w:r>
      <w:r>
        <w:rPr>
          <w:i/>
        </w:rPr>
        <w:t>The standard states that the value of the altName element does not change when resaving a document.</w:t>
      </w:r>
    </w:p>
    <w:p w:rsidR="000A156F" w:rsidRDefault="00A9721F">
      <w:pPr>
        <w:pStyle w:val="Definition-Field2"/>
      </w:pPr>
      <w:r>
        <w:t xml:space="preserve">When Word resolves an unknown font, it changes the value of the altName element to the font </w:t>
      </w:r>
      <w:r>
        <w:t>to which it was resolved, whether altName had a value before or not.</w:t>
      </w:r>
    </w:p>
    <w:p w:rsidR="000A156F" w:rsidRDefault="00A9721F">
      <w:pPr>
        <w:pStyle w:val="Heading3"/>
      </w:pPr>
      <w:bookmarkStart w:id="546" w:name="section_52357dd845fc4d83b9aa87787d22666a"/>
      <w:bookmarkStart w:id="547" w:name="_Toc181683299"/>
      <w:r>
        <w:lastRenderedPageBreak/>
        <w:t>Part 1 Section 17.8.3.2, charset (Character Set Supported By Font)</w:t>
      </w:r>
      <w:bookmarkEnd w:id="546"/>
      <w:bookmarkEnd w:id="547"/>
      <w:r>
        <w:fldChar w:fldCharType="begin"/>
      </w:r>
      <w:r>
        <w:instrText xml:space="preserve"> XE "charset (Character Set Supported By Font)" </w:instrText>
      </w:r>
      <w:r>
        <w:fldChar w:fldCharType="end"/>
      </w:r>
    </w:p>
    <w:p w:rsidR="000A156F" w:rsidRDefault="00A9721F">
      <w:pPr>
        <w:pStyle w:val="Definition-Field"/>
      </w:pPr>
      <w:r>
        <w:t xml:space="preserve">a.   </w:t>
      </w:r>
      <w:r>
        <w:rPr>
          <w:i/>
        </w:rPr>
        <w:t>The standard states that when a font is unavailable the charset e</w:t>
      </w:r>
      <w:r>
        <w:rPr>
          <w:i/>
        </w:rPr>
        <w:t>lement shall not be modified.</w:t>
      </w:r>
    </w:p>
    <w:p w:rsidR="000A156F" w:rsidRDefault="00A9721F">
      <w:pPr>
        <w:pStyle w:val="Definition-Field2"/>
      </w:pPr>
      <w:r>
        <w:t>Word can modify the charset element of an unavailable font if a font with the same name has been loaded before in the same Word instance.</w:t>
      </w:r>
    </w:p>
    <w:p w:rsidR="000A156F" w:rsidRDefault="00A9721F">
      <w:pPr>
        <w:pStyle w:val="Definition-Field"/>
      </w:pPr>
      <w:r>
        <w:t xml:space="preserve">b.   </w:t>
      </w:r>
      <w:r>
        <w:rPr>
          <w:i/>
        </w:rPr>
        <w:t xml:space="preserve">The standard specifies that the characterSet attribute is a valid attribute of the </w:t>
      </w:r>
      <w:r>
        <w:rPr>
          <w:i/>
        </w:rPr>
        <w:t>charset element.</w:t>
      </w:r>
    </w:p>
    <w:p w:rsidR="000A156F" w:rsidRDefault="00A9721F">
      <w:pPr>
        <w:pStyle w:val="Definition-Field2"/>
      </w:pPr>
      <w:r>
        <w:t>Word ignores the characterSet attribute.</w:t>
      </w:r>
    </w:p>
    <w:p w:rsidR="000A156F" w:rsidRDefault="00A9721F">
      <w:pPr>
        <w:pStyle w:val="Heading3"/>
      </w:pPr>
      <w:bookmarkStart w:id="548" w:name="section_6fbd8de94638407883b94c7a065baa9c"/>
      <w:bookmarkStart w:id="549" w:name="_Toc181683300"/>
      <w:r>
        <w:t>Part 1 Section 17.8.3.3, embedBold (Bold Style Font Style Embedding)</w:t>
      </w:r>
      <w:bookmarkEnd w:id="548"/>
      <w:bookmarkEnd w:id="549"/>
      <w:r>
        <w:fldChar w:fldCharType="begin"/>
      </w:r>
      <w:r>
        <w:instrText xml:space="preserve"> XE "embedBold (Bold Style Font Style Embedding)" </w:instrText>
      </w:r>
      <w:r>
        <w:fldChar w:fldCharType="end"/>
      </w:r>
    </w:p>
    <w:p w:rsidR="000A156F" w:rsidRDefault="00A9721F">
      <w:pPr>
        <w:pStyle w:val="Definition-Field2"/>
      </w:pPr>
      <w:r>
        <w:rPr>
          <w:i/>
        </w:rPr>
        <w:t>For additional notes that apply to this portion of the standard, please see t</w:t>
      </w:r>
      <w:r>
        <w:rPr>
          <w:i/>
        </w:rPr>
        <w:t xml:space="preserve">he notes for </w:t>
      </w:r>
      <w:hyperlink w:anchor="Section_55e01b00ed934498b4e5b0bc0abdf97d">
        <w:r>
          <w:rPr>
            <w:rStyle w:val="Hyperlink"/>
          </w:rPr>
          <w:t>attachedTemplate, §17.15.1.6(a)</w:t>
        </w:r>
      </w:hyperlink>
      <w:r>
        <w:rPr>
          <w:i/>
        </w:rPr>
        <w:t>.</w:t>
      </w:r>
    </w:p>
    <w:p w:rsidR="000A156F" w:rsidRDefault="00A9721F">
      <w:pPr>
        <w:pStyle w:val="Heading3"/>
      </w:pPr>
      <w:bookmarkStart w:id="550" w:name="section_dbbfc4ff54c04dbcaebae872109c43e8"/>
      <w:bookmarkStart w:id="551" w:name="_Toc181683301"/>
      <w:r>
        <w:t>Part 1 Section 17.8.3.4, embedBoldItalic (Bold Italic Font Style Embedding)</w:t>
      </w:r>
      <w:bookmarkEnd w:id="550"/>
      <w:bookmarkEnd w:id="551"/>
      <w:r>
        <w:fldChar w:fldCharType="begin"/>
      </w:r>
      <w:r>
        <w:instrText xml:space="preserve"> XE "embedBoldItalic (Bold Italic Font Style Embedding)"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A156F" w:rsidRDefault="00A9721F">
      <w:pPr>
        <w:pStyle w:val="Heading3"/>
      </w:pPr>
      <w:bookmarkStart w:id="552" w:name="section_6da0671b0642486684113e94da64d2d8"/>
      <w:bookmarkStart w:id="553" w:name="_Toc181683302"/>
      <w:r>
        <w:t>Part 1 Section 17.8.3.5, embedItalic (Italic Font Style Embedding)</w:t>
      </w:r>
      <w:bookmarkEnd w:id="552"/>
      <w:bookmarkEnd w:id="553"/>
      <w:r>
        <w:fldChar w:fldCharType="begin"/>
      </w:r>
      <w:r>
        <w:instrText xml:space="preserve"> XE </w:instrText>
      </w:r>
      <w:r>
        <w:instrText xml:space="preserve">"embedItalic (Italic Font Style Embedding)"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A156F" w:rsidRDefault="00A9721F">
      <w:pPr>
        <w:pStyle w:val="Heading3"/>
      </w:pPr>
      <w:bookmarkStart w:id="554" w:name="section_10b5df87a73f4b55ada6222da4780aba"/>
      <w:bookmarkStart w:id="555" w:name="_Toc181683303"/>
      <w:r>
        <w:t>Part 1 Section 17.8.3.6</w:t>
      </w:r>
      <w:r>
        <w:t>, embedRegular (Regular Font Style Embedding)</w:t>
      </w:r>
      <w:bookmarkEnd w:id="554"/>
      <w:bookmarkEnd w:id="555"/>
      <w:r>
        <w:fldChar w:fldCharType="begin"/>
      </w:r>
      <w:r>
        <w:instrText xml:space="preserve"> XE "embedRegular (Regular Font Style Embedding)"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e01b00ed934498b4e5b0bc0abdf97d">
        <w:r>
          <w:rPr>
            <w:rStyle w:val="Hyperlink"/>
          </w:rPr>
          <w:t>attac</w:t>
        </w:r>
        <w:r>
          <w:rPr>
            <w:rStyle w:val="Hyperlink"/>
          </w:rPr>
          <w:t>hedTemplate, §17.15.1.6(a)</w:t>
        </w:r>
      </w:hyperlink>
      <w:r>
        <w:rPr>
          <w:i/>
        </w:rPr>
        <w:t>.</w:t>
      </w:r>
    </w:p>
    <w:p w:rsidR="000A156F" w:rsidRDefault="00A9721F">
      <w:pPr>
        <w:pStyle w:val="Heading3"/>
      </w:pPr>
      <w:bookmarkStart w:id="556" w:name="section_8c385d066c29470b89cf3c2bab8633e6"/>
      <w:bookmarkStart w:id="557" w:name="_Toc181683304"/>
      <w:r>
        <w:t>Part 1 Section 17.8.3.8, embedTrueTypeFonts (Embed TrueType Fonts)</w:t>
      </w:r>
      <w:bookmarkEnd w:id="556"/>
      <w:bookmarkEnd w:id="557"/>
      <w:r>
        <w:fldChar w:fldCharType="begin"/>
      </w:r>
      <w:r>
        <w:instrText xml:space="preserve"> XE "embedTrueTypeFonts (Embed TrueType Fonts)" </w:instrText>
      </w:r>
      <w:r>
        <w:fldChar w:fldCharType="end"/>
      </w:r>
    </w:p>
    <w:p w:rsidR="000A156F" w:rsidRDefault="00A9721F">
      <w:pPr>
        <w:pStyle w:val="Definition-Field"/>
      </w:pPr>
      <w:r>
        <w:t xml:space="preserve">a.   </w:t>
      </w:r>
      <w:r>
        <w:rPr>
          <w:i/>
        </w:rPr>
        <w:t>The standard states that the embedTrueTypeFonts element directs the application to embed used fonts.</w:t>
      </w:r>
    </w:p>
    <w:p w:rsidR="000A156F" w:rsidRDefault="00A9721F">
      <w:pPr>
        <w:pStyle w:val="Definition-Field2"/>
      </w:pPr>
      <w:r>
        <w:t xml:space="preserve">Word </w:t>
      </w:r>
      <w:r>
        <w:t>does not embed non-installed fonts after resolved through font substitution.</w:t>
      </w:r>
    </w:p>
    <w:p w:rsidR="000A156F" w:rsidRDefault="00A9721F">
      <w:pPr>
        <w:pStyle w:val="Heading3"/>
      </w:pPr>
      <w:bookmarkStart w:id="558" w:name="section_d78baa1b850d4aeb91cc254c814a4cba"/>
      <w:bookmarkStart w:id="559" w:name="_Toc181683305"/>
      <w:r>
        <w:t>Part 1 Section 17.8.3.9, family (Font Family)</w:t>
      </w:r>
      <w:bookmarkEnd w:id="558"/>
      <w:bookmarkEnd w:id="559"/>
      <w:r>
        <w:fldChar w:fldCharType="begin"/>
      </w:r>
      <w:r>
        <w:instrText xml:space="preserve"> XE "family (Font Family)" </w:instrText>
      </w:r>
      <w:r>
        <w:fldChar w:fldCharType="end"/>
      </w:r>
    </w:p>
    <w:p w:rsidR="000A156F" w:rsidRDefault="00A9721F">
      <w:pPr>
        <w:pStyle w:val="Definition-Field"/>
      </w:pPr>
      <w:r>
        <w:t xml:space="preserve">a.   </w:t>
      </w:r>
      <w:r>
        <w:rPr>
          <w:i/>
        </w:rPr>
        <w:t>The standard states that when a font is unavailable the family element shall not be modified.</w:t>
      </w:r>
    </w:p>
    <w:p w:rsidR="000A156F" w:rsidRDefault="00A9721F">
      <w:pPr>
        <w:pStyle w:val="Definition-Field2"/>
      </w:pPr>
      <w:r>
        <w:t xml:space="preserve">Word </w:t>
      </w:r>
      <w:r>
        <w:t>can modify the family element of an unavailable font if a font with the same name has been loaded before in the same Word instance.</w:t>
      </w:r>
    </w:p>
    <w:p w:rsidR="000A156F" w:rsidRDefault="00A9721F">
      <w:pPr>
        <w:pStyle w:val="Heading3"/>
      </w:pPr>
      <w:bookmarkStart w:id="560" w:name="section_140b01ad31f04eafbf45c2121fee0dc6"/>
      <w:bookmarkStart w:id="561" w:name="_Toc181683306"/>
      <w:r>
        <w:t>Part 1 Section 17.8.3.10, font (Properties for a Single Font)</w:t>
      </w:r>
      <w:bookmarkEnd w:id="560"/>
      <w:bookmarkEnd w:id="561"/>
      <w:r>
        <w:fldChar w:fldCharType="begin"/>
      </w:r>
      <w:r>
        <w:instrText xml:space="preserve"> XE "font (Properties for a Single Font)" </w:instrText>
      </w:r>
      <w:r>
        <w:fldChar w:fldCharType="end"/>
      </w:r>
    </w:p>
    <w:p w:rsidR="000A156F" w:rsidRDefault="00A9721F">
      <w:pPr>
        <w:pStyle w:val="Definition-Field"/>
      </w:pPr>
      <w:r>
        <w:t xml:space="preserve">a.   </w:t>
      </w:r>
      <w:r>
        <w:rPr>
          <w:i/>
        </w:rPr>
        <w:t xml:space="preserve">The standard </w:t>
      </w:r>
      <w:r>
        <w:rPr>
          <w:i/>
        </w:rPr>
        <w:t>defines font name with an unbounded string length.</w:t>
      </w:r>
    </w:p>
    <w:p w:rsidR="000A156F" w:rsidRDefault="00A9721F">
      <w:pPr>
        <w:pStyle w:val="Definition-Field2"/>
      </w:pPr>
      <w:r>
        <w:t>Word limits font name length to between 1 and 31 characters.</w:t>
      </w:r>
    </w:p>
    <w:p w:rsidR="000A156F" w:rsidRDefault="00A9721F">
      <w:pPr>
        <w:pStyle w:val="Definition-Field"/>
      </w:pPr>
      <w:r>
        <w:t xml:space="preserve">b.   </w:t>
      </w:r>
      <w:r>
        <w:rPr>
          <w:i/>
        </w:rPr>
        <w:t>The standard does not describe font names as case insensitive.</w:t>
      </w:r>
    </w:p>
    <w:p w:rsidR="000A156F" w:rsidRDefault="00A9721F">
      <w:pPr>
        <w:pStyle w:val="Definition-Field2"/>
      </w:pPr>
      <w:r>
        <w:t>In Word, font names are case insensitive.</w:t>
      </w:r>
    </w:p>
    <w:p w:rsidR="000A156F" w:rsidRDefault="00A9721F">
      <w:pPr>
        <w:pStyle w:val="Definition-Field"/>
      </w:pPr>
      <w:r>
        <w:t xml:space="preserve">c.   </w:t>
      </w:r>
      <w:r>
        <w:rPr>
          <w:i/>
        </w:rPr>
        <w:t xml:space="preserve">The standard states that the </w:t>
      </w:r>
      <w:r>
        <w:rPr>
          <w:i/>
        </w:rPr>
        <w:t>name attribute specifies the name of the font.</w:t>
      </w:r>
    </w:p>
    <w:p w:rsidR="000A156F" w:rsidRDefault="00A9721F">
      <w:pPr>
        <w:pStyle w:val="Definition-Field2"/>
      </w:pPr>
      <w:r>
        <w:lastRenderedPageBreak/>
        <w:t>Word prepends the font name with an @ symbol to signify the font should be used for rendering vertical text.</w:t>
      </w:r>
    </w:p>
    <w:p w:rsidR="000A156F" w:rsidRDefault="00A9721F">
      <w:pPr>
        <w:pStyle w:val="Heading3"/>
      </w:pPr>
      <w:bookmarkStart w:id="562" w:name="section_1edea166fbb741cf8d573fb2d2979a6e"/>
      <w:bookmarkStart w:id="563" w:name="_Toc181683307"/>
      <w:r>
        <w:t>Part 1 Section 17.8.3.12, notTrueType (Raster or Vector Font)</w:t>
      </w:r>
      <w:bookmarkEnd w:id="562"/>
      <w:bookmarkEnd w:id="563"/>
      <w:r>
        <w:fldChar w:fldCharType="begin"/>
      </w:r>
      <w:r>
        <w:instrText xml:space="preserve"> XE "notTrueType (Raster or Vector Font)" </w:instrText>
      </w:r>
      <w:r>
        <w:fldChar w:fldCharType="end"/>
      </w:r>
    </w:p>
    <w:p w:rsidR="000A156F" w:rsidRDefault="00A9721F">
      <w:pPr>
        <w:pStyle w:val="Definition-Field"/>
      </w:pPr>
      <w:r>
        <w:t xml:space="preserve">a.   </w:t>
      </w:r>
      <w:r>
        <w:rPr>
          <w:i/>
        </w:rPr>
        <w:t>The standard states that when a font is unavailable the notTrueType element shall not be modified.</w:t>
      </w:r>
    </w:p>
    <w:p w:rsidR="000A156F" w:rsidRDefault="00A9721F">
      <w:pPr>
        <w:pStyle w:val="Definition-Field2"/>
      </w:pPr>
      <w:r>
        <w:t>Word can modify the notTrueType element of an unavailable font if a font with the same name has been loaded</w:t>
      </w:r>
      <w:r>
        <w:t xml:space="preserve"> before in the same Word instance.</w:t>
      </w:r>
    </w:p>
    <w:p w:rsidR="000A156F" w:rsidRDefault="00A9721F">
      <w:pPr>
        <w:pStyle w:val="Heading3"/>
      </w:pPr>
      <w:bookmarkStart w:id="564" w:name="section_9d27324fe2a94774a3b30eb04da5170f"/>
      <w:bookmarkStart w:id="565" w:name="_Toc181683308"/>
      <w:r>
        <w:t>Part 1 Section 17.8.3.13, panose1 (Panose-1 Typeface Classification Number)</w:t>
      </w:r>
      <w:bookmarkEnd w:id="564"/>
      <w:bookmarkEnd w:id="565"/>
      <w:r>
        <w:fldChar w:fldCharType="begin"/>
      </w:r>
      <w:r>
        <w:instrText xml:space="preserve"> XE "panose1 (Panose-1 Typeface Classification Number)" </w:instrText>
      </w:r>
      <w:r>
        <w:fldChar w:fldCharType="end"/>
      </w:r>
    </w:p>
    <w:p w:rsidR="000A156F" w:rsidRDefault="00A9721F">
      <w:pPr>
        <w:pStyle w:val="Definition-Field"/>
      </w:pPr>
      <w:r>
        <w:t xml:space="preserve">a.   </w:t>
      </w:r>
      <w:r>
        <w:rPr>
          <w:i/>
        </w:rPr>
        <w:t>The standard states that when a font is unavailable, the panose1 element shall not</w:t>
      </w:r>
      <w:r>
        <w:rPr>
          <w:i/>
        </w:rPr>
        <w:t xml:space="preserve"> be modified.</w:t>
      </w:r>
    </w:p>
    <w:p w:rsidR="000A156F" w:rsidRDefault="00A9721F">
      <w:pPr>
        <w:pStyle w:val="Definition-Field2"/>
      </w:pPr>
      <w:r>
        <w:t>Word does not roundtrip the panose1 value for fonts not installed on the system.</w:t>
      </w:r>
    </w:p>
    <w:p w:rsidR="000A156F" w:rsidRDefault="00A9721F">
      <w:pPr>
        <w:pStyle w:val="Definition-Field"/>
      </w:pPr>
      <w:r>
        <w:t xml:space="preserve">b.   </w:t>
      </w:r>
      <w:r>
        <w:rPr>
          <w:i/>
        </w:rPr>
        <w:t>The standard states that when a font is unavailable the panose1 element shall not be modified.</w:t>
      </w:r>
    </w:p>
    <w:p w:rsidR="000A156F" w:rsidRDefault="00A9721F">
      <w:pPr>
        <w:pStyle w:val="Definition-Field2"/>
      </w:pPr>
      <w:r>
        <w:t>Word can modify the panose1 element of an unavailable font if</w:t>
      </w:r>
      <w:r>
        <w:t xml:space="preserve"> a font with the same name has been loaded before in the same Word instance.</w:t>
      </w:r>
    </w:p>
    <w:p w:rsidR="000A156F" w:rsidRDefault="00A9721F">
      <w:pPr>
        <w:pStyle w:val="Heading3"/>
      </w:pPr>
      <w:bookmarkStart w:id="566" w:name="section_108821f5262d491b87a2d6861913882e"/>
      <w:bookmarkStart w:id="567" w:name="_Toc181683309"/>
      <w:r>
        <w:t>Part 1 Section 17.8.3.14, pitch (Font Pitch)</w:t>
      </w:r>
      <w:bookmarkEnd w:id="566"/>
      <w:bookmarkEnd w:id="567"/>
      <w:r>
        <w:fldChar w:fldCharType="begin"/>
      </w:r>
      <w:r>
        <w:instrText xml:space="preserve"> XE "pitch (Font Pitch)" </w:instrText>
      </w:r>
      <w:r>
        <w:fldChar w:fldCharType="end"/>
      </w:r>
    </w:p>
    <w:p w:rsidR="000A156F" w:rsidRDefault="00A9721F">
      <w:pPr>
        <w:pStyle w:val="Definition-Field"/>
      </w:pPr>
      <w:r>
        <w:t xml:space="preserve">a.   </w:t>
      </w:r>
      <w:r>
        <w:rPr>
          <w:i/>
        </w:rPr>
        <w:t>The standard states that when a font is unavailable the pitch element shall not be modified.</w:t>
      </w:r>
    </w:p>
    <w:p w:rsidR="000A156F" w:rsidRDefault="00A9721F">
      <w:pPr>
        <w:pStyle w:val="Definition-Field2"/>
      </w:pPr>
      <w:r>
        <w:t xml:space="preserve">Word can </w:t>
      </w:r>
      <w:r>
        <w:t>modify the pitch element of an unavailable font if a font with the same name has been loaded before in the same Word instance.</w:t>
      </w:r>
    </w:p>
    <w:p w:rsidR="000A156F" w:rsidRDefault="00A9721F">
      <w:pPr>
        <w:pStyle w:val="Heading3"/>
      </w:pPr>
      <w:bookmarkStart w:id="568" w:name="section_b66d6f1254b749ddbe00148ca16a9bdf"/>
      <w:bookmarkStart w:id="569" w:name="_Toc181683310"/>
      <w:r>
        <w:t>Part 1 Section 17.8.3.16, sig (Supported Unicode Subranges and Code Pages)</w:t>
      </w:r>
      <w:bookmarkEnd w:id="568"/>
      <w:bookmarkEnd w:id="569"/>
      <w:r>
        <w:fldChar w:fldCharType="begin"/>
      </w:r>
      <w:r>
        <w:instrText xml:space="preserve"> XE "sig (Supported Unicode Subranges and Code Pages)" </w:instrText>
      </w:r>
      <w:r>
        <w:fldChar w:fldCharType="end"/>
      </w:r>
    </w:p>
    <w:p w:rsidR="000A156F" w:rsidRDefault="00A9721F">
      <w:pPr>
        <w:pStyle w:val="Definition-Field"/>
      </w:pPr>
      <w:r>
        <w:t xml:space="preserve">a.   </w:t>
      </w:r>
      <w:r>
        <w:rPr>
          <w:i/>
        </w:rPr>
        <w:t>The standard states that the sig element shall not be modified when the font is an unknown font.</w:t>
      </w:r>
    </w:p>
    <w:p w:rsidR="000A156F" w:rsidRDefault="00A9721F">
      <w:pPr>
        <w:pStyle w:val="Definition-Field2"/>
      </w:pPr>
      <w:r>
        <w:t>For unknown fonts, if the font cannot be resolved using the alternate font name or character set, Word might incorrectly reset bits to 0 in the usb0 at</w:t>
      </w:r>
      <w:r>
        <w:t>tribute when bits in the csb0 attribute are set.</w:t>
      </w:r>
    </w:p>
    <w:p w:rsidR="000A156F" w:rsidRDefault="00A9721F">
      <w:pPr>
        <w:pStyle w:val="Definition-Field"/>
      </w:pPr>
      <w:r>
        <w:t xml:space="preserve">b.   </w:t>
      </w:r>
      <w:r>
        <w:rPr>
          <w:i/>
        </w:rPr>
        <w:t>The standard states that when a font is unavailable the sig element shall not be modified.</w:t>
      </w:r>
    </w:p>
    <w:p w:rsidR="000A156F" w:rsidRDefault="00A9721F">
      <w:pPr>
        <w:pStyle w:val="Definition-Field2"/>
      </w:pPr>
      <w:r>
        <w:t>Word can modify the sig element of an unavailable font if a font with the same name has been loaded before in t</w:t>
      </w:r>
      <w:r>
        <w:t>he same Word instance.</w:t>
      </w:r>
    </w:p>
    <w:p w:rsidR="000A156F" w:rsidRDefault="00A9721F">
      <w:pPr>
        <w:pStyle w:val="Definition-Field"/>
      </w:pPr>
      <w:r>
        <w:t xml:space="preserve">c.   </w:t>
      </w:r>
      <w:r>
        <w:rPr>
          <w:i/>
        </w:rPr>
        <w:t>The standard states that the csb0 and csb1 attributes are specified as four-digit hexadecimal encodings.</w:t>
      </w:r>
    </w:p>
    <w:p w:rsidR="000A156F" w:rsidRDefault="00A9721F">
      <w:pPr>
        <w:pStyle w:val="Definition-Field2"/>
      </w:pPr>
      <w:r>
        <w:t>Word expects the csb1 and csb2 attributes to be eight-digit hexadecimal encodings.</w:t>
      </w:r>
    </w:p>
    <w:p w:rsidR="000A156F" w:rsidRDefault="00A9721F">
      <w:pPr>
        <w:pStyle w:val="Heading3"/>
      </w:pPr>
      <w:bookmarkStart w:id="570" w:name="section_3140e0b043d54c06a42da8f1a6ad9b75"/>
      <w:bookmarkStart w:id="571" w:name="_Toc181683311"/>
      <w:r>
        <w:t>Part 1 Section 17.9.1, abstractNum (Abst</w:t>
      </w:r>
      <w:r>
        <w:t>ract Numbering Definition)</w:t>
      </w:r>
      <w:bookmarkEnd w:id="570"/>
      <w:bookmarkEnd w:id="571"/>
      <w:r>
        <w:fldChar w:fldCharType="begin"/>
      </w:r>
      <w:r>
        <w:instrText xml:space="preserve"> XE "abstractNum (Abstract Numbering Definition)" </w:instrText>
      </w:r>
      <w:r>
        <w:fldChar w:fldCharType="end"/>
      </w:r>
    </w:p>
    <w:p w:rsidR="000A156F" w:rsidRDefault="00A9721F">
      <w:pPr>
        <w:pStyle w:val="Definition-Field"/>
      </w:pPr>
      <w:r>
        <w:t xml:space="preserve">a.   </w:t>
      </w:r>
      <w:r>
        <w:rPr>
          <w:i/>
        </w:rPr>
        <w:t>The standard allows any integer for the attribute abstractNumId.</w:t>
      </w:r>
    </w:p>
    <w:p w:rsidR="000A156F" w:rsidRDefault="00A9721F">
      <w:pPr>
        <w:pStyle w:val="Definition-Field2"/>
      </w:pPr>
      <w:r>
        <w:t>Word will not load a file where abstractNumId is negative.</w:t>
      </w:r>
    </w:p>
    <w:p w:rsidR="000A156F" w:rsidRDefault="00A9721F">
      <w:pPr>
        <w:pStyle w:val="Heading3"/>
      </w:pPr>
      <w:bookmarkStart w:id="572" w:name="section_48305a09a4c548faa6d9aa87a8d229bb"/>
      <w:bookmarkStart w:id="573" w:name="_Toc181683312"/>
      <w:r>
        <w:lastRenderedPageBreak/>
        <w:t>Part 1 Section 17.9.2, abstractNumId (Abstract N</w:t>
      </w:r>
      <w:r>
        <w:t>umbering Definition Reference)</w:t>
      </w:r>
      <w:bookmarkEnd w:id="572"/>
      <w:bookmarkEnd w:id="573"/>
      <w:r>
        <w:fldChar w:fldCharType="begin"/>
      </w:r>
      <w:r>
        <w:instrText xml:space="preserve"> XE "abstractNumId (Abstract Numbering Definition Reference)" </w:instrText>
      </w:r>
      <w:r>
        <w:fldChar w:fldCharType="end"/>
      </w:r>
    </w:p>
    <w:p w:rsidR="000A156F" w:rsidRDefault="00A9721F">
      <w:pPr>
        <w:pStyle w:val="Definition-Field"/>
      </w:pPr>
      <w:r>
        <w:t xml:space="preserve">a.   </w:t>
      </w:r>
      <w:r>
        <w:rPr>
          <w:i/>
        </w:rPr>
        <w:t>The standard states that the values of the val attribute are defined by the XML integer datatype.</w:t>
      </w:r>
    </w:p>
    <w:p w:rsidR="000A156F" w:rsidRDefault="00A9721F">
      <w:pPr>
        <w:pStyle w:val="Definition-Field2"/>
      </w:pPr>
      <w:r>
        <w:t xml:space="preserve">Word restricts the value of this attribute to be at least </w:t>
      </w:r>
      <w:r>
        <w:t>0.</w:t>
      </w:r>
    </w:p>
    <w:p w:rsidR="000A156F" w:rsidRDefault="00A9721F">
      <w:pPr>
        <w:pStyle w:val="Heading3"/>
      </w:pPr>
      <w:bookmarkStart w:id="574" w:name="section_b7139e3b7f1f43d18df72022ec0c2c2d"/>
      <w:bookmarkStart w:id="575" w:name="_Toc181683313"/>
      <w:r>
        <w:t>Part 1 Section 17.9.3, ilvl (Numbering Level Reference)</w:t>
      </w:r>
      <w:bookmarkEnd w:id="574"/>
      <w:bookmarkEnd w:id="575"/>
      <w:r>
        <w:fldChar w:fldCharType="begin"/>
      </w:r>
      <w:r>
        <w:instrText xml:space="preserve"> XE "ilvl (Numbering Level Reference)" </w:instrText>
      </w:r>
      <w:r>
        <w:fldChar w:fldCharType="end"/>
      </w:r>
    </w:p>
    <w:p w:rsidR="000A156F" w:rsidRDefault="00A9721F">
      <w:pPr>
        <w:pStyle w:val="Definition-Field"/>
      </w:pPr>
      <w:r>
        <w:t xml:space="preserve">a.   </w:t>
      </w:r>
      <w:r>
        <w:rPr>
          <w:i/>
        </w:rPr>
        <w:t>The standard states that the values of the val attribute are defined by the XML Schema integer datatype.</w:t>
      </w:r>
    </w:p>
    <w:p w:rsidR="000A156F" w:rsidRDefault="00A9721F">
      <w:pPr>
        <w:pStyle w:val="Definition-Field2"/>
      </w:pPr>
      <w:r>
        <w:t xml:space="preserve">Word restricts the value of this attribute to </w:t>
      </w:r>
      <w:r>
        <w:t>be at least 0 and at most 255.</w:t>
      </w:r>
    </w:p>
    <w:p w:rsidR="000A156F" w:rsidRDefault="00A9721F">
      <w:pPr>
        <w:pStyle w:val="Heading3"/>
      </w:pPr>
      <w:bookmarkStart w:id="576" w:name="section_0953b25e15cc4461a50ecc5d8585f6ff"/>
      <w:bookmarkStart w:id="577" w:name="_Toc181683314"/>
      <w:r>
        <w:t>Part 1 Section 17.9.4, isLgl (Display All Levels Using Arabic Numerals)</w:t>
      </w:r>
      <w:bookmarkEnd w:id="576"/>
      <w:bookmarkEnd w:id="577"/>
      <w:r>
        <w:fldChar w:fldCharType="begin"/>
      </w:r>
      <w:r>
        <w:instrText xml:space="preserve"> XE "isLgl (Display All Levels Using Arabic Numerals)" </w:instrText>
      </w:r>
      <w:r>
        <w:fldChar w:fldCharType="end"/>
      </w:r>
    </w:p>
    <w:p w:rsidR="000A156F" w:rsidRDefault="00A9721F">
      <w:pPr>
        <w:pStyle w:val="Definition-Field"/>
      </w:pPr>
      <w:r>
        <w:t xml:space="preserve">a.   </w:t>
      </w:r>
      <w:r>
        <w:rPr>
          <w:i/>
        </w:rPr>
        <w:t>The standard implies that only previous levels are affected by isLgl.</w:t>
      </w:r>
    </w:p>
    <w:p w:rsidR="000A156F" w:rsidRDefault="00A9721F">
      <w:pPr>
        <w:pStyle w:val="Definition-Field2"/>
      </w:pPr>
      <w:r>
        <w:t xml:space="preserve">Word isLgl affects </w:t>
      </w:r>
      <w:r>
        <w:t>all numbering levels, including the immediate level.</w:t>
      </w:r>
    </w:p>
    <w:p w:rsidR="000A156F" w:rsidRDefault="00A9721F">
      <w:pPr>
        <w:pStyle w:val="Definition-Field"/>
      </w:pPr>
      <w:r>
        <w:t xml:space="preserve">b.   </w:t>
      </w:r>
      <w:r>
        <w:rPr>
          <w:i/>
        </w:rPr>
        <w:t>The standard says the level text is displayed using the decimal number format regardless of the actual number format of that level in the list.</w:t>
      </w:r>
    </w:p>
    <w:p w:rsidR="000A156F" w:rsidRDefault="00A9721F">
      <w:pPr>
        <w:pStyle w:val="Definition-Field2"/>
      </w:pPr>
      <w:r>
        <w:t>In Word, if the actual numbering format of the level i</w:t>
      </w:r>
      <w:r>
        <w:t>s none, then Word will display the level text using the none format regardless of isLgl.</w:t>
      </w:r>
    </w:p>
    <w:p w:rsidR="000A156F" w:rsidRDefault="00A9721F">
      <w:pPr>
        <w:pStyle w:val="Heading3"/>
      </w:pPr>
      <w:bookmarkStart w:id="578" w:name="section_aab4583bf1ec4ae18c5d314f27742479"/>
      <w:bookmarkStart w:id="579" w:name="_Toc181683315"/>
      <w:r>
        <w:t>Part 1 Section 17.9.5, lvl (Numbering Level Override Definition)</w:t>
      </w:r>
      <w:bookmarkEnd w:id="578"/>
      <w:bookmarkEnd w:id="579"/>
      <w:r>
        <w:fldChar w:fldCharType="begin"/>
      </w:r>
      <w:r>
        <w:instrText xml:space="preserve"> XE "lvl (Numbering Level Override Definition)" </w:instrText>
      </w:r>
      <w:r>
        <w:fldChar w:fldCharType="end"/>
      </w:r>
    </w:p>
    <w:p w:rsidR="000A156F" w:rsidRDefault="00A9721F">
      <w:pPr>
        <w:pStyle w:val="Definition-Field2"/>
      </w:pPr>
      <w:r>
        <w:rPr>
          <w:i/>
        </w:rPr>
        <w:t>For additional notes that apply to this portion of t</w:t>
      </w:r>
      <w:r>
        <w:rPr>
          <w:i/>
        </w:rPr>
        <w:t xml:space="preserve">he standard, please see the notes for </w:t>
      </w:r>
      <w:hyperlink w:anchor="Section_895f4d8b0bff4f5ba8fe36595d6ca794">
        <w:r>
          <w:rPr>
            <w:rStyle w:val="Hyperlink"/>
          </w:rPr>
          <w:t>lvl, §17.9.6(a, b)</w:t>
        </w:r>
      </w:hyperlink>
      <w:r>
        <w:rPr>
          <w:i/>
        </w:rPr>
        <w:t>.</w:t>
      </w:r>
    </w:p>
    <w:p w:rsidR="000A156F" w:rsidRDefault="00A9721F">
      <w:pPr>
        <w:pStyle w:val="Heading3"/>
      </w:pPr>
      <w:bookmarkStart w:id="580" w:name="section_895f4d8b0bff4f5ba8fe36595d6ca794"/>
      <w:bookmarkStart w:id="581" w:name="_Toc181683316"/>
      <w:r>
        <w:t>Part 1 Section 17.9.6, lvl (Numbering Level Definition)</w:t>
      </w:r>
      <w:bookmarkEnd w:id="580"/>
      <w:bookmarkEnd w:id="581"/>
      <w:r>
        <w:fldChar w:fldCharType="begin"/>
      </w:r>
      <w:r>
        <w:instrText xml:space="preserve"> XE "lvl (Numbering Level Definition)" </w:instrText>
      </w:r>
      <w:r>
        <w:fldChar w:fldCharType="end"/>
      </w:r>
    </w:p>
    <w:p w:rsidR="000A156F" w:rsidRDefault="00A9721F">
      <w:pPr>
        <w:pStyle w:val="Definition-Field"/>
      </w:pPr>
      <w:r>
        <w:t xml:space="preserve">a.   </w:t>
      </w:r>
      <w:r>
        <w:rPr>
          <w:i/>
        </w:rPr>
        <w:t>The standard allows any integer f</w:t>
      </w:r>
      <w:r>
        <w:rPr>
          <w:i/>
        </w:rPr>
        <w:t>or ilvl.</w:t>
      </w:r>
    </w:p>
    <w:p w:rsidR="000A156F" w:rsidRDefault="00A9721F">
      <w:pPr>
        <w:pStyle w:val="Definition-Field2"/>
      </w:pPr>
      <w:r>
        <w:t>Word will not load a file with ilvl less than 0 or greater than 8.</w:t>
      </w:r>
    </w:p>
    <w:p w:rsidR="000A156F" w:rsidRDefault="00A9721F">
      <w:pPr>
        <w:pStyle w:val="Definition-Field"/>
      </w:pPr>
      <w:r>
        <w:t xml:space="preserve">b.   </w:t>
      </w:r>
      <w:r>
        <w:rPr>
          <w:i/>
        </w:rPr>
        <w:t>The standard states that tentative levels shall not be shown in user interface.</w:t>
      </w:r>
    </w:p>
    <w:p w:rsidR="000A156F" w:rsidRDefault="00A9721F">
      <w:pPr>
        <w:pStyle w:val="Definition-Field2"/>
      </w:pPr>
      <w:r>
        <w:t>Word displays tentative numbering levels in its Multilevel List drop-down list.</w:t>
      </w:r>
    </w:p>
    <w:p w:rsidR="000A156F" w:rsidRDefault="00A9721F">
      <w:pPr>
        <w:pStyle w:val="Heading3"/>
      </w:pPr>
      <w:bookmarkStart w:id="582" w:name="section_182e6a3c70ea4ba1bcd001caa609fcdf"/>
      <w:bookmarkStart w:id="583" w:name="_Toc181683317"/>
      <w:r>
        <w:t xml:space="preserve">Part 1 Section </w:t>
      </w:r>
      <w:r>
        <w:t>17.9.7, lvlJc (Justification)</w:t>
      </w:r>
      <w:bookmarkEnd w:id="582"/>
      <w:bookmarkEnd w:id="583"/>
      <w:r>
        <w:fldChar w:fldCharType="begin"/>
      </w:r>
      <w:r>
        <w:instrText xml:space="preserve"> XE "lvlJc (Justification)" </w:instrText>
      </w:r>
      <w:r>
        <w:fldChar w:fldCharType="end"/>
      </w:r>
    </w:p>
    <w:p w:rsidR="000A156F" w:rsidRDefault="00A9721F">
      <w:pPr>
        <w:pStyle w:val="Definition-Field"/>
      </w:pPr>
      <w:r>
        <w:t xml:space="preserve">a.   </w:t>
      </w:r>
      <w:r>
        <w:rPr>
          <w:i/>
        </w:rPr>
        <w:t>The standard allows many values for lvlJc beyond start, center, and end.</w:t>
      </w:r>
    </w:p>
    <w:p w:rsidR="000A156F" w:rsidRDefault="00A9721F">
      <w:pPr>
        <w:pStyle w:val="Definition-Field2"/>
      </w:pPr>
      <w:r>
        <w:t>Word supports only the values for start, center, and end for lvlJc.</w:t>
      </w:r>
    </w:p>
    <w:p w:rsidR="000A156F" w:rsidRDefault="00A9721F">
      <w:pPr>
        <w:pStyle w:val="Heading3"/>
      </w:pPr>
      <w:bookmarkStart w:id="584" w:name="section_140a2cd92f26456d9760ae6ecef4e8b5"/>
      <w:bookmarkStart w:id="585" w:name="_Toc181683318"/>
      <w:r>
        <w:t>Part 1 Section 17.9.10, lvlRestart (Restart Number</w:t>
      </w:r>
      <w:r>
        <w:t>ing Level Symbol)</w:t>
      </w:r>
      <w:bookmarkEnd w:id="584"/>
      <w:bookmarkEnd w:id="585"/>
      <w:r>
        <w:fldChar w:fldCharType="begin"/>
      </w:r>
      <w:r>
        <w:instrText xml:space="preserve"> XE "lvlRestart (Restart Numbering Level Symbol)" </w:instrText>
      </w:r>
      <w:r>
        <w:fldChar w:fldCharType="end"/>
      </w:r>
    </w:p>
    <w:p w:rsidR="000A156F" w:rsidRDefault="00A9721F">
      <w:pPr>
        <w:pStyle w:val="Definition-Field"/>
      </w:pPr>
      <w:r>
        <w:t xml:space="preserve">a.   </w:t>
      </w:r>
      <w:r>
        <w:rPr>
          <w:i/>
        </w:rPr>
        <w:t>The standard allows any integer for the value of lvlRestart.</w:t>
      </w:r>
    </w:p>
    <w:p w:rsidR="000A156F" w:rsidRDefault="00A9721F">
      <w:pPr>
        <w:pStyle w:val="Definition-Field2"/>
      </w:pPr>
      <w:r>
        <w:t>Word only allows values between 0 and 7 for lvlRestart.</w:t>
      </w:r>
    </w:p>
    <w:p w:rsidR="000A156F" w:rsidRDefault="00A9721F">
      <w:pPr>
        <w:pStyle w:val="Definition-Field"/>
      </w:pPr>
      <w:r>
        <w:t xml:space="preserve">b.   </w:t>
      </w:r>
      <w:r>
        <w:rPr>
          <w:i/>
        </w:rPr>
        <w:t>The standard allows lvlRestart as a child of lvl (Numbering</w:t>
      </w:r>
      <w:r>
        <w:rPr>
          <w:i/>
        </w:rPr>
        <w:t xml:space="preserve"> Level Override Definition).</w:t>
      </w:r>
    </w:p>
    <w:p w:rsidR="000A156F" w:rsidRDefault="00A9721F">
      <w:pPr>
        <w:pStyle w:val="Definition-Field2"/>
      </w:pPr>
      <w:r>
        <w:t>Word ignores lvlRestart if it is a child of lvl (Numbering Level Override Definition).</w:t>
      </w:r>
    </w:p>
    <w:p w:rsidR="000A156F" w:rsidRDefault="00A9721F">
      <w:pPr>
        <w:pStyle w:val="Definition-Field"/>
      </w:pPr>
      <w:r>
        <w:lastRenderedPageBreak/>
        <w:t xml:space="preserve">c.   </w:t>
      </w:r>
      <w:r>
        <w:rPr>
          <w:i/>
        </w:rPr>
        <w:t>The standard states that a numbering level restarts when an instance of the specified numbering level is used.</w:t>
      </w:r>
    </w:p>
    <w:p w:rsidR="000A156F" w:rsidRDefault="00A9721F">
      <w:pPr>
        <w:pStyle w:val="Definition-Field2"/>
      </w:pPr>
      <w:r>
        <w:t>Word restarts a numberin</w:t>
      </w:r>
      <w:r>
        <w:t>g level when an instance of the specified numbering level or any higher level is used.</w:t>
      </w:r>
    </w:p>
    <w:p w:rsidR="000A156F" w:rsidRDefault="00A9721F">
      <w:pPr>
        <w:pStyle w:val="Definition-Field"/>
      </w:pPr>
      <w:r>
        <w:t xml:space="preserve">d.   </w:t>
      </w:r>
      <w:r>
        <w:rPr>
          <w:i/>
        </w:rPr>
        <w:t>The standard states that if this element is omitted, the numbering level shall restart each time the previous numbering level is used.</w:t>
      </w:r>
    </w:p>
    <w:p w:rsidR="000A156F" w:rsidRDefault="00A9721F">
      <w:pPr>
        <w:pStyle w:val="Definition-Field2"/>
      </w:pPr>
      <w:r>
        <w:t>If this element is omitted, W</w:t>
      </w:r>
      <w:r>
        <w:t>ord restarts the numbering level each time the previous numbering level or any higher level is used.</w:t>
      </w:r>
    </w:p>
    <w:p w:rsidR="000A156F" w:rsidRDefault="00A9721F">
      <w:pPr>
        <w:pStyle w:val="Heading3"/>
      </w:pPr>
      <w:bookmarkStart w:id="586" w:name="section_74f54646dbe040ea90c95ec70107e91d"/>
      <w:bookmarkStart w:id="587" w:name="_Toc181683319"/>
      <w:r>
        <w:t>Part 1 Section 17.9.11, lvlText (Numbering Level Text)</w:t>
      </w:r>
      <w:bookmarkEnd w:id="586"/>
      <w:bookmarkEnd w:id="587"/>
      <w:r>
        <w:fldChar w:fldCharType="begin"/>
      </w:r>
      <w:r>
        <w:instrText xml:space="preserve"> XE "lvlText (Numbering Level Text)" </w:instrText>
      </w:r>
      <w:r>
        <w:fldChar w:fldCharType="end"/>
      </w:r>
    </w:p>
    <w:p w:rsidR="000A156F" w:rsidRDefault="00A9721F">
      <w:pPr>
        <w:pStyle w:val="Definition-Field"/>
      </w:pPr>
      <w:r>
        <w:t xml:space="preserve">a.   </w:t>
      </w:r>
      <w:r>
        <w:rPr>
          <w:i/>
        </w:rPr>
        <w:t>The standard does not bound the number of escaped sequen</w:t>
      </w:r>
      <w:r>
        <w:rPr>
          <w:i/>
        </w:rPr>
        <w:t>ces %[1-9] included in the val attribute.</w:t>
      </w:r>
    </w:p>
    <w:p w:rsidR="000A156F" w:rsidRDefault="00A9721F">
      <w:pPr>
        <w:pStyle w:val="Definition-Field2"/>
      </w:pPr>
      <w:r>
        <w:t>Word allows at most 9 escaped sequences %[1-9] in the val attribute.</w:t>
      </w:r>
    </w:p>
    <w:p w:rsidR="000A156F" w:rsidRDefault="00A9721F">
      <w:pPr>
        <w:pStyle w:val="Definition-Field"/>
      </w:pPr>
      <w:r>
        <w:t xml:space="preserve">b.   </w:t>
      </w:r>
      <w:r>
        <w:rPr>
          <w:i/>
        </w:rPr>
        <w:t>The standard allows any length string for the val attribute of lvlText.</w:t>
      </w:r>
    </w:p>
    <w:p w:rsidR="000A156F" w:rsidRDefault="00A9721F">
      <w:pPr>
        <w:pStyle w:val="Definition-Field2"/>
      </w:pPr>
      <w:r>
        <w:t>Word requires that the length of the val attribute be at most 31 cha</w:t>
      </w:r>
      <w:r>
        <w:t>racters after instances of the % syntax are converted to their final values.</w:t>
      </w:r>
    </w:p>
    <w:p w:rsidR="000A156F" w:rsidRDefault="00A9721F">
      <w:pPr>
        <w:pStyle w:val="Definition-Field"/>
      </w:pPr>
      <w:r>
        <w:t xml:space="preserve">c.   </w:t>
      </w:r>
      <w:r>
        <w:rPr>
          <w:i/>
        </w:rPr>
        <w:t>The standard states that if the val attribute contains a % followed by a number higher than the current level, then that number is ignored.</w:t>
      </w:r>
    </w:p>
    <w:p w:rsidR="000A156F" w:rsidRDefault="00A9721F">
      <w:pPr>
        <w:pStyle w:val="Definition-Field2"/>
      </w:pPr>
      <w:r>
        <w:t xml:space="preserve">If the val attribute contains a % </w:t>
      </w:r>
      <w:r>
        <w:t>followed by a number higher than the current level, then Word ignores the entire lvlText.</w:t>
      </w:r>
    </w:p>
    <w:p w:rsidR="000A156F" w:rsidRDefault="00A9721F">
      <w:pPr>
        <w:pStyle w:val="Definition-Field"/>
      </w:pPr>
      <w:r>
        <w:t xml:space="preserve">d.   </w:t>
      </w:r>
      <w:r>
        <w:rPr>
          <w:i/>
        </w:rPr>
        <w:t>The standard allows the val attribute to be omitted while the null attribute is not set to on.</w:t>
      </w:r>
    </w:p>
    <w:p w:rsidR="000A156F" w:rsidRDefault="00A9721F">
      <w:pPr>
        <w:pStyle w:val="Definition-Field2"/>
      </w:pPr>
      <w:r>
        <w:t xml:space="preserve">Word requires that the null attribute be set to on if the val </w:t>
      </w:r>
      <w:r>
        <w:t>attribute is omitted.</w:t>
      </w:r>
    </w:p>
    <w:p w:rsidR="000A156F" w:rsidRDefault="00A9721F">
      <w:pPr>
        <w:pStyle w:val="Heading3"/>
      </w:pPr>
      <w:bookmarkStart w:id="588" w:name="section_f64ffe252900401eba6e8f0459bd63c6"/>
      <w:bookmarkStart w:id="589" w:name="_Toc181683320"/>
      <w:r>
        <w:t>Part 1 Section 17.9.13, name (Abstract Numbering Definition Name)</w:t>
      </w:r>
      <w:bookmarkEnd w:id="588"/>
      <w:bookmarkEnd w:id="589"/>
      <w:r>
        <w:fldChar w:fldCharType="begin"/>
      </w:r>
      <w:r>
        <w:instrText xml:space="preserve"> XE "name (Abstract Numbering Definition Name)"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The standard does not limit the length of the value of the val attribute.</w:t>
      </w:r>
    </w:p>
    <w:p w:rsidR="000A156F" w:rsidRDefault="00A9721F">
      <w:pPr>
        <w:pStyle w:val="Definition-Field2"/>
      </w:pPr>
      <w:r>
        <w:t>Word restricts the value of this attribute to be at most 253 characters.</w:t>
      </w:r>
    </w:p>
    <w:p w:rsidR="000A156F" w:rsidRDefault="00A9721F">
      <w:pPr>
        <w:pStyle w:val="Heading3"/>
      </w:pPr>
      <w:bookmarkStart w:id="590" w:name="section_c70e89b2bfc44e608dbc3371635ebec7"/>
      <w:bookmarkStart w:id="591" w:name="_Toc181683321"/>
      <w:r>
        <w:t>Part 1 Section 17.9.15, num (Numbering Def</w:t>
      </w:r>
      <w:r>
        <w:t>inition Instance)</w:t>
      </w:r>
      <w:bookmarkEnd w:id="590"/>
      <w:bookmarkEnd w:id="591"/>
      <w:r>
        <w:fldChar w:fldCharType="begin"/>
      </w:r>
      <w:r>
        <w:instrText xml:space="preserve"> XE "num (Numbering Definition Instance)" </w:instrText>
      </w:r>
      <w:r>
        <w:fldChar w:fldCharType="end"/>
      </w:r>
    </w:p>
    <w:p w:rsidR="000A156F" w:rsidRDefault="00A9721F">
      <w:pPr>
        <w:pStyle w:val="Definition-Field"/>
      </w:pPr>
      <w:r>
        <w:t xml:space="preserve">a.   </w:t>
      </w:r>
      <w:r>
        <w:rPr>
          <w:i/>
        </w:rPr>
        <w:t>The standard allows any integer for the numId.</w:t>
      </w:r>
    </w:p>
    <w:p w:rsidR="000A156F" w:rsidRDefault="00A9721F">
      <w:pPr>
        <w:pStyle w:val="Definition-Field2"/>
      </w:pPr>
      <w:r>
        <w:t>Word requires that the numId contain at most 32 characters.</w:t>
      </w:r>
    </w:p>
    <w:p w:rsidR="000A156F" w:rsidRDefault="00A9721F">
      <w:pPr>
        <w:pStyle w:val="Heading3"/>
      </w:pPr>
      <w:bookmarkStart w:id="592" w:name="section_9f8357d1a09944a3bc1888b33bae4eab"/>
      <w:bookmarkStart w:id="593" w:name="_Toc181683322"/>
      <w:r>
        <w:t>Part 1 Section 17.9.17, numFmt (Numbering Format)</w:t>
      </w:r>
      <w:bookmarkEnd w:id="592"/>
      <w:bookmarkEnd w:id="593"/>
      <w:r>
        <w:fldChar w:fldCharType="begin"/>
      </w:r>
      <w:r>
        <w:instrText xml:space="preserve"> XE "numFmt (Numbering Format)" </w:instrText>
      </w:r>
      <w:r>
        <w:fldChar w:fldCharType="end"/>
      </w:r>
    </w:p>
    <w:p w:rsidR="000A156F" w:rsidRDefault="00A9721F">
      <w:pPr>
        <w:pStyle w:val="Definition-Field"/>
      </w:pPr>
      <w:r>
        <w:t xml:space="preserve">a.   </w:t>
      </w:r>
      <w:r>
        <w:rPr>
          <w:i/>
        </w:rPr>
        <w:t>The standard does not specify behavior when numFmt is bullet but lvlText is also set.</w:t>
      </w:r>
    </w:p>
    <w:p w:rsidR="000A156F" w:rsidRDefault="00A9721F">
      <w:pPr>
        <w:pStyle w:val="Definition-Field2"/>
      </w:pPr>
      <w:r>
        <w:t>If the numFmt is bullet, Word will use the literal text in lvlText, ignoring %x syntax in lvlText.</w:t>
      </w:r>
    </w:p>
    <w:p w:rsidR="000A156F" w:rsidRDefault="00A9721F">
      <w:pPr>
        <w:pStyle w:val="Definition-Field"/>
      </w:pPr>
      <w:r>
        <w:t xml:space="preserve">b.   </w:t>
      </w:r>
      <w:r>
        <w:rPr>
          <w:i/>
        </w:rPr>
        <w:t>The standard states that the format attribute takes precede</w:t>
      </w:r>
      <w:r>
        <w:rPr>
          <w:i/>
        </w:rPr>
        <w:t>nce over the val attribute.</w:t>
      </w:r>
    </w:p>
    <w:p w:rsidR="000A156F" w:rsidRDefault="00A9721F">
      <w:pPr>
        <w:pStyle w:val="Definition-Field2"/>
      </w:pPr>
      <w:r>
        <w:t>Word ignores the format attribute unless the value of the val attribute is equal to "custom".</w:t>
      </w:r>
    </w:p>
    <w:p w:rsidR="000A156F" w:rsidRDefault="00A9721F">
      <w:pPr>
        <w:pStyle w:val="Heading3"/>
      </w:pPr>
      <w:bookmarkStart w:id="594" w:name="section_d131c48e4fc941bfa6c720823510d636"/>
      <w:bookmarkStart w:id="595" w:name="_Toc181683323"/>
      <w:r>
        <w:lastRenderedPageBreak/>
        <w:t>Part 1 Section 17.9.18, numId (Numbering Definition Instance Reference)</w:t>
      </w:r>
      <w:bookmarkEnd w:id="594"/>
      <w:bookmarkEnd w:id="595"/>
      <w:r>
        <w:fldChar w:fldCharType="begin"/>
      </w:r>
      <w:r>
        <w:instrText xml:space="preserve"> XE "numId (Numbering Definition Instance Reference)" </w:instrText>
      </w:r>
      <w:r>
        <w:fldChar w:fldCharType="end"/>
      </w:r>
    </w:p>
    <w:p w:rsidR="000A156F" w:rsidRDefault="00A9721F">
      <w:pPr>
        <w:pStyle w:val="Definition-Field"/>
      </w:pPr>
      <w:r>
        <w:t xml:space="preserve">a.   </w:t>
      </w:r>
      <w:r>
        <w:rPr>
          <w:i/>
        </w:rPr>
        <w:t>T</w:t>
      </w:r>
      <w:r>
        <w:rPr>
          <w:i/>
        </w:rPr>
        <w:t>he standard states that the values of the val attribute are defined by the XML Schema integer datatype.</w:t>
      </w:r>
    </w:p>
    <w:p w:rsidR="000A156F" w:rsidRDefault="00A9721F">
      <w:pPr>
        <w:pStyle w:val="Definition-Field2"/>
      </w:pPr>
      <w:r>
        <w:t>Word restricts the value of this attribute to be at least 0.</w:t>
      </w:r>
    </w:p>
    <w:p w:rsidR="000A156F" w:rsidRDefault="00A9721F">
      <w:pPr>
        <w:pStyle w:val="Heading3"/>
      </w:pPr>
      <w:bookmarkStart w:id="596" w:name="section_1e273b9e816940a691aaf9ebd083e0b8"/>
      <w:bookmarkStart w:id="597" w:name="_Toc181683324"/>
      <w:r>
        <w:t>Part 1 Section 17.9.21, numStyleLink (Numbering Style Reference)</w:t>
      </w:r>
      <w:bookmarkEnd w:id="596"/>
      <w:bookmarkEnd w:id="597"/>
      <w:r>
        <w:fldChar w:fldCharType="begin"/>
      </w:r>
      <w:r>
        <w:instrText xml:space="preserve"> XE "numStyleLink (Numberin</w:instrText>
      </w:r>
      <w:r>
        <w:instrText xml:space="preserve">g Style Reference)" </w:instrText>
      </w:r>
      <w:r>
        <w:fldChar w:fldCharType="end"/>
      </w:r>
    </w:p>
    <w:p w:rsidR="000A156F" w:rsidRDefault="00A9721F">
      <w:pPr>
        <w:pStyle w:val="Definition-Field"/>
      </w:pPr>
      <w:r>
        <w:t xml:space="preserve">a.   </w:t>
      </w:r>
      <w:r>
        <w:rPr>
          <w:i/>
        </w:rPr>
        <w:t>The standard does not limit the length of the value of the val attribute.</w:t>
      </w:r>
    </w:p>
    <w:p w:rsidR="000A156F" w:rsidRDefault="00A9721F">
      <w:pPr>
        <w:pStyle w:val="Definition-Field2"/>
      </w:pPr>
      <w:r>
        <w:t>Word restricts the value of this attribute to be at most 253 characters.</w:t>
      </w:r>
    </w:p>
    <w:p w:rsidR="000A156F" w:rsidRDefault="00A9721F">
      <w:pPr>
        <w:pStyle w:val="Heading3"/>
      </w:pPr>
      <w:bookmarkStart w:id="598" w:name="section_e0f793ec25174bd792363bd6a7f828b7"/>
      <w:bookmarkStart w:id="599" w:name="_Toc181683325"/>
      <w:r>
        <w:t>Part 1 Section 17.9.22, pPr (Numbering Level Associated Paragraph Properties)</w:t>
      </w:r>
      <w:bookmarkEnd w:id="598"/>
      <w:bookmarkEnd w:id="599"/>
      <w:r>
        <w:fldChar w:fldCharType="begin"/>
      </w:r>
      <w:r>
        <w:instrText xml:space="preserve"> XE </w:instrText>
      </w:r>
      <w:r>
        <w:instrText xml:space="preserve">"pPr (Numbering Level Associated Paragraph Properties)" </w:instrText>
      </w:r>
      <w:r>
        <w:fldChar w:fldCharType="end"/>
      </w:r>
    </w:p>
    <w:p w:rsidR="000A156F" w:rsidRDefault="00A9721F">
      <w:pPr>
        <w:pStyle w:val="Definition-Field"/>
      </w:pPr>
      <w:r>
        <w:t xml:space="preserve">a.   </w:t>
      </w:r>
      <w:r>
        <w:rPr>
          <w:i/>
        </w:rPr>
        <w:t>The standard states that the cnfStyle, divId, pPrChange, rPr, and sectPr elements are valid child elements of the pPr element.</w:t>
      </w:r>
    </w:p>
    <w:p w:rsidR="000A156F" w:rsidRDefault="00A9721F">
      <w:pPr>
        <w:pStyle w:val="Definition-Field2"/>
      </w:pPr>
      <w:r>
        <w:t xml:space="preserve">Word does not allow these elements to be child elements of the </w:t>
      </w:r>
      <w:r>
        <w:t>pPr element.</w:t>
      </w:r>
    </w:p>
    <w:p w:rsidR="000A156F" w:rsidRDefault="00A9721F">
      <w:pPr>
        <w:pStyle w:val="Definition-Field"/>
      </w:pPr>
      <w:r>
        <w:t xml:space="preserve">b.   </w:t>
      </w:r>
      <w:r>
        <w:rPr>
          <w:i/>
        </w:rPr>
        <w:t>The standard lists all pPr child elements as valid in the context of a numbering definition instance.</w:t>
      </w:r>
    </w:p>
    <w:p w:rsidR="000A156F" w:rsidRDefault="00A9721F">
      <w:pPr>
        <w:pStyle w:val="Definition-Field2"/>
      </w:pPr>
      <w:r>
        <w:t>Word only allows jc, ind, and tabs as child elements.</w:t>
      </w:r>
    </w:p>
    <w:p w:rsidR="000A156F" w:rsidRDefault="00A9721F">
      <w:pPr>
        <w:pStyle w:val="Heading3"/>
      </w:pPr>
      <w:bookmarkStart w:id="600" w:name="section_97207d86e4564bd9bffa527cca14613e"/>
      <w:bookmarkStart w:id="601" w:name="_Toc181683326"/>
      <w:r>
        <w:t>Part 1 Section 17.9.23, pStyle (Paragraph Style's Associated Numbering Level)</w:t>
      </w:r>
      <w:bookmarkEnd w:id="600"/>
      <w:bookmarkEnd w:id="601"/>
      <w:r>
        <w:fldChar w:fldCharType="begin"/>
      </w:r>
      <w:r>
        <w:instrText xml:space="preserve"> XE "</w:instrText>
      </w:r>
      <w:r>
        <w:instrText xml:space="preserve">pStyle (Paragraph Style's Associated Numbering Level)"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 xml:space="preserve">The standard </w:t>
      </w:r>
      <w:r>
        <w:rPr>
          <w:i/>
        </w:rPr>
        <w:t>does not limit the length of the value of the val attribute.</w:t>
      </w:r>
    </w:p>
    <w:p w:rsidR="000A156F" w:rsidRDefault="00A9721F">
      <w:pPr>
        <w:pStyle w:val="Definition-Field2"/>
      </w:pPr>
      <w:r>
        <w:t>Word restricts the value of this attribute to be at most 253 characters.</w:t>
      </w:r>
    </w:p>
    <w:p w:rsidR="000A156F" w:rsidRDefault="00A9721F">
      <w:pPr>
        <w:pStyle w:val="Heading3"/>
      </w:pPr>
      <w:bookmarkStart w:id="602" w:name="section_ffb4a990b46f4e388db396fc13d0b0f6"/>
      <w:bookmarkStart w:id="603" w:name="_Toc181683327"/>
      <w:r>
        <w:t>Part 1 Section 17.9.24, rPr (Numbering Symbol Run Properties)</w:t>
      </w:r>
      <w:bookmarkEnd w:id="602"/>
      <w:bookmarkEnd w:id="603"/>
      <w:r>
        <w:fldChar w:fldCharType="begin"/>
      </w:r>
      <w:r>
        <w:instrText xml:space="preserve"> XE "rPr (Numbering Symbol Run Properties)" </w:instrText>
      </w:r>
      <w:r>
        <w:fldChar w:fldCharType="end"/>
      </w:r>
    </w:p>
    <w:p w:rsidR="000A156F" w:rsidRDefault="00A9721F">
      <w:pPr>
        <w:pStyle w:val="Definition-Field"/>
      </w:pPr>
      <w:r>
        <w:t xml:space="preserve">a.   </w:t>
      </w:r>
      <w:r>
        <w:rPr>
          <w:i/>
        </w:rPr>
        <w:t xml:space="preserve">The </w:t>
      </w:r>
      <w:r>
        <w:rPr>
          <w:i/>
        </w:rPr>
        <w:t>standard states that the highlight, oMath, rPrChange, and rStyle elements are valid child elements of the rPr element.</w:t>
      </w:r>
    </w:p>
    <w:p w:rsidR="000A156F" w:rsidRDefault="00A9721F">
      <w:pPr>
        <w:pStyle w:val="Definition-Field2"/>
      </w:pPr>
      <w:r>
        <w:t>Word does not allow these elements to be child elements of the rPr element.</w:t>
      </w:r>
    </w:p>
    <w:p w:rsidR="000A156F" w:rsidRDefault="00A9721F">
      <w:pPr>
        <w:pStyle w:val="Heading3"/>
      </w:pPr>
      <w:bookmarkStart w:id="604" w:name="section_8f14505554224df0933de67a81c633cd"/>
      <w:bookmarkStart w:id="605" w:name="_Toc181683328"/>
      <w:r>
        <w:t>Part 1 Section 17.9.25, start (Starting Value)</w:t>
      </w:r>
      <w:bookmarkEnd w:id="604"/>
      <w:bookmarkEnd w:id="605"/>
      <w:r>
        <w:fldChar w:fldCharType="begin"/>
      </w:r>
      <w:r>
        <w:instrText xml:space="preserve"> XE "start (Sta</w:instrText>
      </w:r>
      <w:r>
        <w:instrText xml:space="preserve">rting Value)" </w:instrText>
      </w:r>
      <w:r>
        <w:fldChar w:fldCharType="end"/>
      </w:r>
    </w:p>
    <w:p w:rsidR="000A156F" w:rsidRDefault="00A9721F">
      <w:pPr>
        <w:pStyle w:val="Definition-Field"/>
      </w:pPr>
      <w:r>
        <w:t xml:space="preserve">a.   </w:t>
      </w:r>
      <w:r>
        <w:rPr>
          <w:i/>
        </w:rPr>
        <w:t>The standard states that the values of the val attribute are defined by the XML Schema integer datatype.</w:t>
      </w:r>
    </w:p>
    <w:p w:rsidR="000A156F" w:rsidRDefault="00A9721F">
      <w:pPr>
        <w:pStyle w:val="Definition-Field2"/>
      </w:pPr>
      <w:r>
        <w:t>Word restricts the value of this attribute to be at least 0.</w:t>
      </w:r>
    </w:p>
    <w:p w:rsidR="000A156F" w:rsidRDefault="00A9721F">
      <w:pPr>
        <w:pStyle w:val="Definition-Field"/>
      </w:pPr>
      <w:r>
        <w:t xml:space="preserve">b.   </w:t>
      </w:r>
      <w:r>
        <w:rPr>
          <w:i/>
        </w:rPr>
        <w:t>The standard allows start as a child of lvl (Numbering Level Ov</w:t>
      </w:r>
      <w:r>
        <w:rPr>
          <w:i/>
        </w:rPr>
        <w:t>erride Definition).</w:t>
      </w:r>
    </w:p>
    <w:p w:rsidR="000A156F" w:rsidRDefault="00A9721F">
      <w:pPr>
        <w:pStyle w:val="Definition-Field2"/>
      </w:pPr>
      <w:r>
        <w:t>Word ignores start if it is a child of lvl (Numbering Level Override Definition).</w:t>
      </w:r>
    </w:p>
    <w:p w:rsidR="000A156F" w:rsidRDefault="00A9721F">
      <w:pPr>
        <w:pStyle w:val="Heading3"/>
      </w:pPr>
      <w:bookmarkStart w:id="606" w:name="section_b1483740789145e091dbe5672379847a"/>
      <w:bookmarkStart w:id="607" w:name="_Toc181683329"/>
      <w:r>
        <w:lastRenderedPageBreak/>
        <w:t>Part 1 Section 17.9.27, styleLink (Numbering Style Definition)</w:t>
      </w:r>
      <w:bookmarkEnd w:id="606"/>
      <w:bookmarkEnd w:id="607"/>
      <w:r>
        <w:fldChar w:fldCharType="begin"/>
      </w:r>
      <w:r>
        <w:instrText xml:space="preserve"> XE "styleLink (Numbering Style Definition)" </w:instrText>
      </w:r>
      <w:r>
        <w:fldChar w:fldCharType="end"/>
      </w:r>
    </w:p>
    <w:p w:rsidR="000A156F" w:rsidRDefault="00A9721F">
      <w:pPr>
        <w:pStyle w:val="Definition-Field2"/>
      </w:pPr>
      <w:r>
        <w:rPr>
          <w:i/>
        </w:rPr>
        <w:t>For additional notes that apply to this port</w:t>
      </w:r>
      <w:r>
        <w:rPr>
          <w:i/>
        </w:rPr>
        <w:t xml:space="preserve">ion of the standard, please see the notes for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The standard does not limit the length of the value of the val attribute.</w:t>
      </w:r>
    </w:p>
    <w:p w:rsidR="000A156F" w:rsidRDefault="00A9721F">
      <w:pPr>
        <w:pStyle w:val="Definition-Field2"/>
      </w:pPr>
      <w:r>
        <w:t>Word restricts the value of this attribut</w:t>
      </w:r>
      <w:r>
        <w:t>e to be at most 253 characters.</w:t>
      </w:r>
    </w:p>
    <w:p w:rsidR="000A156F" w:rsidRDefault="00A9721F">
      <w:pPr>
        <w:pStyle w:val="Heading3"/>
      </w:pPr>
      <w:bookmarkStart w:id="608" w:name="section_e95359624cf342799367637241e4b195"/>
      <w:bookmarkStart w:id="609" w:name="_Toc181683330"/>
      <w:r>
        <w:t>Part 1 Section 17.10.1, evenAndOddHeaders (Different Even/Odd Page Headers and Footers)</w:t>
      </w:r>
      <w:bookmarkEnd w:id="608"/>
      <w:bookmarkEnd w:id="609"/>
      <w:r>
        <w:fldChar w:fldCharType="begin"/>
      </w:r>
      <w:r>
        <w:instrText xml:space="preserve"> XE "evenAndOddHeaders (Different Even/Odd Page Headers and Footers)" </w:instrText>
      </w:r>
      <w:r>
        <w:fldChar w:fldCharType="end"/>
      </w:r>
    </w:p>
    <w:p w:rsidR="000A156F" w:rsidRDefault="00A9721F">
      <w:pPr>
        <w:pStyle w:val="Definition-Field"/>
      </w:pPr>
      <w:r>
        <w:t xml:space="preserve">a.   </w:t>
      </w:r>
      <w:r>
        <w:rPr>
          <w:i/>
        </w:rPr>
        <w:t>The standard says the determination of even and odd pages i</w:t>
      </w:r>
      <w:r>
        <w:rPr>
          <w:i/>
        </w:rPr>
        <w:t>s based on the ordinality of the pages.</w:t>
      </w:r>
    </w:p>
    <w:p w:rsidR="000A156F" w:rsidRDefault="00A9721F">
      <w:pPr>
        <w:pStyle w:val="Definition-Field2"/>
      </w:pPr>
      <w:r>
        <w:t>Word uses the starting value of page numbering for the parent section to determine if the first page is even or odd.  This is specified with the start attribute on pgNUmType element.</w:t>
      </w:r>
    </w:p>
    <w:p w:rsidR="000A156F" w:rsidRDefault="00A9721F">
      <w:pPr>
        <w:pStyle w:val="Definition-Field"/>
      </w:pPr>
      <w:r>
        <w:t xml:space="preserve">b.   </w:t>
      </w:r>
      <w:r>
        <w:rPr>
          <w:i/>
        </w:rPr>
        <w:t xml:space="preserve">The standard says a missing </w:t>
      </w:r>
      <w:r>
        <w:rPr>
          <w:i/>
        </w:rPr>
        <w:t>header type shall use a new blank header.</w:t>
      </w:r>
    </w:p>
    <w:p w:rsidR="000A156F" w:rsidRDefault="00A9721F">
      <w:pPr>
        <w:pStyle w:val="Definition-Field2"/>
      </w:pPr>
      <w:r>
        <w:t>If a header is missing in a section beyond the first section, Word uses the header from the previous section.</w:t>
      </w:r>
    </w:p>
    <w:p w:rsidR="000A156F" w:rsidRDefault="00A9721F">
      <w:pPr>
        <w:pStyle w:val="Heading3"/>
      </w:pPr>
      <w:bookmarkStart w:id="610" w:name="section_02af532c67914f63b4b2cd20e58dce91"/>
      <w:bookmarkStart w:id="611" w:name="_Toc181683331"/>
      <w:r>
        <w:t>Part 1 Section 17.10.2, footerReference (Footer Reference)</w:t>
      </w:r>
      <w:bookmarkEnd w:id="610"/>
      <w:bookmarkEnd w:id="611"/>
      <w:r>
        <w:fldChar w:fldCharType="begin"/>
      </w:r>
      <w:r>
        <w:instrText xml:space="preserve"> XE "footerReference (Footer Reference)" </w:instrText>
      </w:r>
      <w:r>
        <w:fldChar w:fldCharType="end"/>
      </w:r>
    </w:p>
    <w:p w:rsidR="000A156F" w:rsidRDefault="00A9721F">
      <w:pPr>
        <w:pStyle w:val="Definition-Field2"/>
      </w:pPr>
      <w:r>
        <w:rPr>
          <w:i/>
        </w:rPr>
        <w:t>Fo</w:t>
      </w:r>
      <w:r>
        <w:rPr>
          <w:i/>
        </w:rPr>
        <w:t xml:space="preserve">r additional notes that apply to this portion of the standard, please see the notes for </w:t>
      </w:r>
      <w:hyperlink w:anchor="Section_55e01b00ed934498b4e5b0bc0abdf97d">
        <w:r>
          <w:rPr>
            <w:rStyle w:val="Hyperlink"/>
          </w:rPr>
          <w:t>attachedTemplate, §17.15.1.6(a)</w:t>
        </w:r>
      </w:hyperlink>
      <w:r>
        <w:rPr>
          <w:i/>
        </w:rPr>
        <w:t>.</w:t>
      </w:r>
    </w:p>
    <w:p w:rsidR="000A156F" w:rsidRDefault="00A9721F">
      <w:pPr>
        <w:pStyle w:val="Definition-Field"/>
      </w:pPr>
      <w:r>
        <w:t xml:space="preserve">a.   </w:t>
      </w:r>
      <w:r>
        <w:rPr>
          <w:i/>
        </w:rPr>
        <w:t xml:space="preserve">The standard says the relationship type referenced by this element </w:t>
      </w:r>
      <w:r>
        <w:rPr>
          <w:i/>
        </w:rPr>
        <w:t>shall be http://schemas.openxmlformats.org/officeDocument/2006/footer.</w:t>
      </w:r>
    </w:p>
    <w:p w:rsidR="000A156F" w:rsidRDefault="00A9721F">
      <w:pPr>
        <w:pStyle w:val="Definition-Field2"/>
      </w:pPr>
      <w:r>
        <w:t>Word uses the relationship type http://schemas.openxmlformats.org/officeDocument/2006/relationships/footer.</w:t>
      </w:r>
    </w:p>
    <w:p w:rsidR="000A156F" w:rsidRDefault="00A9721F">
      <w:pPr>
        <w:pStyle w:val="Definition-Field"/>
      </w:pPr>
      <w:r>
        <w:t xml:space="preserve">b.   </w:t>
      </w:r>
      <w:r>
        <w:rPr>
          <w:i/>
        </w:rPr>
        <w:t>The standard says that when no footerReference for the odd page footer i</w:t>
      </w:r>
      <w:r>
        <w:rPr>
          <w:i/>
        </w:rPr>
        <w:t>s specified, then the even page footer shall be inherited from the previous section.</w:t>
      </w:r>
    </w:p>
    <w:p w:rsidR="000A156F" w:rsidRDefault="00A9721F">
      <w:pPr>
        <w:pStyle w:val="Definition-Field2"/>
      </w:pPr>
      <w:r>
        <w:t>In Word, when no footerReference for the odd page footer is specified, then the odd page footer is inherited from the previous section.</w:t>
      </w:r>
    </w:p>
    <w:p w:rsidR="000A156F" w:rsidRDefault="00A9721F">
      <w:pPr>
        <w:pStyle w:val="Heading3"/>
      </w:pPr>
      <w:bookmarkStart w:id="612" w:name="section_f9aa4dbcf5274fd6a115527aae5f7881"/>
      <w:bookmarkStart w:id="613" w:name="_Toc181683332"/>
      <w:r>
        <w:t>Part 1 Section 17.10.3, ftr (Footer</w:t>
      </w:r>
      <w:r>
        <w:t>)</w:t>
      </w:r>
      <w:bookmarkEnd w:id="612"/>
      <w:bookmarkEnd w:id="613"/>
      <w:r>
        <w:fldChar w:fldCharType="begin"/>
      </w:r>
      <w:r>
        <w:instrText xml:space="preserve"> XE "ftr (Footer)"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Heading3"/>
      </w:pPr>
      <w:bookmarkStart w:id="614" w:name="section_1b8a330cd8ca44a3b28ddb59f4203a66"/>
      <w:bookmarkStart w:id="615" w:name="_Toc181683333"/>
      <w:r>
        <w:t>Part 1 Section 17.10.4, hdr (Header)</w:t>
      </w:r>
      <w:bookmarkEnd w:id="614"/>
      <w:bookmarkEnd w:id="615"/>
      <w:r>
        <w:fldChar w:fldCharType="begin"/>
      </w:r>
      <w:r>
        <w:instrText xml:space="preserve"> XE "hdr (Header)"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Heading3"/>
      </w:pPr>
      <w:bookmarkStart w:id="616" w:name="section_5de15e593ec14f80aa4d00bdd447b86f"/>
      <w:bookmarkStart w:id="617" w:name="_Toc181683334"/>
      <w:r>
        <w:t>Part 1 Section 17.10.5, headerReference (Header Reference)</w:t>
      </w:r>
      <w:bookmarkEnd w:id="616"/>
      <w:bookmarkEnd w:id="617"/>
      <w:r>
        <w:fldChar w:fldCharType="begin"/>
      </w:r>
      <w:r>
        <w:instrText xml:space="preserve"> XE "headerReference (Header Reference)" </w:instrText>
      </w:r>
      <w:r>
        <w:fldChar w:fldCharType="end"/>
      </w:r>
    </w:p>
    <w:p w:rsidR="000A156F" w:rsidRDefault="00A9721F">
      <w:pPr>
        <w:pStyle w:val="Definition-Field2"/>
      </w:pPr>
      <w:r>
        <w:rPr>
          <w:i/>
        </w:rPr>
        <w:t>F</w:t>
      </w:r>
      <w:r>
        <w:rPr>
          <w:i/>
        </w:rPr>
        <w:t xml:space="preserve">or additional notes that apply to this portion of the standard, please see the notes for </w:t>
      </w:r>
      <w:hyperlink w:anchor="Section_55e01b00ed934498b4e5b0bc0abdf97d">
        <w:r>
          <w:rPr>
            <w:rStyle w:val="Hyperlink"/>
          </w:rPr>
          <w:t>attachedTemplate, §17.15.1.6(a)</w:t>
        </w:r>
      </w:hyperlink>
      <w:r>
        <w:rPr>
          <w:i/>
        </w:rPr>
        <w:t>.</w:t>
      </w:r>
    </w:p>
    <w:p w:rsidR="000A156F" w:rsidRDefault="00A9721F">
      <w:pPr>
        <w:pStyle w:val="Definition-Field"/>
      </w:pPr>
      <w:r>
        <w:t xml:space="preserve">a.   </w:t>
      </w:r>
      <w:r>
        <w:rPr>
          <w:i/>
        </w:rPr>
        <w:t xml:space="preserve">The standard says that the relationship type referenced by this </w:t>
      </w:r>
      <w:r>
        <w:rPr>
          <w:i/>
        </w:rPr>
        <w:t>element shall be http://schemas.openxmlformats.org/officeDocument/2006/header.</w:t>
      </w:r>
    </w:p>
    <w:p w:rsidR="000A156F" w:rsidRDefault="00A9721F">
      <w:pPr>
        <w:pStyle w:val="Definition-Field2"/>
      </w:pPr>
      <w:r>
        <w:lastRenderedPageBreak/>
        <w:t>Word uses the relationship type http://schemas.openxmlformats.org/officeDocument/2006/relationships/header.</w:t>
      </w:r>
    </w:p>
    <w:p w:rsidR="000A156F" w:rsidRDefault="00A9721F">
      <w:pPr>
        <w:pStyle w:val="Definition-Field"/>
      </w:pPr>
      <w:r>
        <w:t xml:space="preserve">b.   </w:t>
      </w:r>
      <w:r>
        <w:rPr>
          <w:i/>
        </w:rPr>
        <w:t>The standard says that if no headerReference for the odd page he</w:t>
      </w:r>
      <w:r>
        <w:rPr>
          <w:i/>
        </w:rPr>
        <w:t>ader is specified, then the even page header shall be inherited from the previous section.</w:t>
      </w:r>
    </w:p>
    <w:p w:rsidR="000A156F" w:rsidRDefault="00A9721F">
      <w:pPr>
        <w:pStyle w:val="Definition-Field2"/>
      </w:pPr>
      <w:r>
        <w:t>In Word, if no headerReference for the odd page header is specified, then the odd page header is inherited from the previous section.</w:t>
      </w:r>
    </w:p>
    <w:p w:rsidR="000A156F" w:rsidRDefault="00A9721F">
      <w:pPr>
        <w:pStyle w:val="Heading3"/>
      </w:pPr>
      <w:bookmarkStart w:id="618" w:name="section_bce5f993d6834aa7825ebce25c64e8b8"/>
      <w:bookmarkStart w:id="619" w:name="_Toc181683335"/>
      <w:r>
        <w:t>Part 1 Section 17.10.6, titlePg</w:t>
      </w:r>
      <w:r>
        <w:t xml:space="preserve"> (Different First Page Headers and Footers)</w:t>
      </w:r>
      <w:bookmarkEnd w:id="618"/>
      <w:bookmarkEnd w:id="619"/>
      <w:r>
        <w:fldChar w:fldCharType="begin"/>
      </w:r>
      <w:r>
        <w:instrText xml:space="preserve"> XE "titlePg (Different First Page Headers and Footers)" </w:instrText>
      </w:r>
      <w:r>
        <w:fldChar w:fldCharType="end"/>
      </w:r>
    </w:p>
    <w:p w:rsidR="000A156F" w:rsidRDefault="00A9721F">
      <w:pPr>
        <w:pStyle w:val="Definition-Field"/>
      </w:pPr>
      <w:r>
        <w:t xml:space="preserve">a.   </w:t>
      </w:r>
      <w:r>
        <w:rPr>
          <w:i/>
        </w:rPr>
        <w:t>The standard says that if titlePg is not specified, the first page shall use the odd page header/footer.</w:t>
      </w:r>
    </w:p>
    <w:p w:rsidR="000A156F" w:rsidRDefault="00A9721F">
      <w:pPr>
        <w:pStyle w:val="Definition-Field2"/>
      </w:pPr>
      <w:r>
        <w:t>If the evenAndOddHeaders element is true, W</w:t>
      </w:r>
      <w:r>
        <w:t>ord uses the odd/even state of the start attribute on the pgNumType element to determine whether to use the even or odd header on the first page.</w:t>
      </w:r>
    </w:p>
    <w:p w:rsidR="000A156F" w:rsidRDefault="00A9721F">
      <w:pPr>
        <w:pStyle w:val="Definition-Field"/>
      </w:pPr>
      <w:r>
        <w:t xml:space="preserve">b.   </w:t>
      </w:r>
      <w:r>
        <w:rPr>
          <w:i/>
        </w:rPr>
        <w:t>The standard says that if this element is specified and no first page header is specified using headerRef</w:t>
      </w:r>
      <w:r>
        <w:rPr>
          <w:i/>
        </w:rPr>
        <w:t>erence, a blank first page header is used.</w:t>
      </w:r>
    </w:p>
    <w:p w:rsidR="000A156F" w:rsidRDefault="00A9721F">
      <w:pPr>
        <w:pStyle w:val="Definition-Field2"/>
      </w:pPr>
      <w:r>
        <w:t>In Word, for all sections other than the first section in the document, if this element is specified and no first page header is specified, then the first page header of the previous section is used.</w:t>
      </w:r>
    </w:p>
    <w:p w:rsidR="000A156F" w:rsidRDefault="00A9721F">
      <w:pPr>
        <w:pStyle w:val="Heading3"/>
      </w:pPr>
      <w:bookmarkStart w:id="620" w:name="section_9a1dbfc1962449af810efbfd0922949c"/>
      <w:bookmarkStart w:id="621" w:name="_Toc181683336"/>
      <w:r>
        <w:t>Part 1 Sectio</w:t>
      </w:r>
      <w:r>
        <w:t>n 17.11.2, endnote (Endnote Content)</w:t>
      </w:r>
      <w:bookmarkEnd w:id="620"/>
      <w:bookmarkEnd w:id="621"/>
      <w:r>
        <w:fldChar w:fldCharType="begin"/>
      </w:r>
      <w:r>
        <w:instrText xml:space="preserve"> XE "endnote (Endnote Content)"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Definition-Field"/>
      </w:pPr>
      <w:r>
        <w:t xml:space="preserve">a.   </w:t>
      </w:r>
      <w:r>
        <w:rPr>
          <w:i/>
        </w:rPr>
        <w:t>The standard allows any integer for footnote or endnote ID.</w:t>
      </w:r>
    </w:p>
    <w:p w:rsidR="000A156F" w:rsidRDefault="00A9721F">
      <w:pPr>
        <w:pStyle w:val="Definition-Field2"/>
      </w:pPr>
      <w:r>
        <w:t>Word only allows integers</w:t>
      </w:r>
      <w:r>
        <w:t xml:space="preserve"> between -2147483648 and 32767.</w:t>
      </w:r>
    </w:p>
    <w:p w:rsidR="000A156F" w:rsidRDefault="00A9721F">
      <w:pPr>
        <w:pStyle w:val="Heading3"/>
      </w:pPr>
      <w:bookmarkStart w:id="622" w:name="section_35d669a8a0a04176acf26f206cac5d4d"/>
      <w:bookmarkStart w:id="623" w:name="_Toc181683337"/>
      <w:r>
        <w:t>Part 1 Section 17.11.3, endnote (Special Endnote List)</w:t>
      </w:r>
      <w:bookmarkEnd w:id="622"/>
      <w:bookmarkEnd w:id="623"/>
      <w:r>
        <w:fldChar w:fldCharType="begin"/>
      </w:r>
      <w:r>
        <w:instrText xml:space="preserve"> XE "endnote (Special Endnote List)" </w:instrText>
      </w:r>
      <w:r>
        <w:fldChar w:fldCharType="end"/>
      </w:r>
    </w:p>
    <w:p w:rsidR="000A156F" w:rsidRDefault="00A9721F">
      <w:pPr>
        <w:pStyle w:val="Definition-Field"/>
      </w:pPr>
      <w:r>
        <w:t xml:space="preserve">a.   </w:t>
      </w:r>
      <w:r>
        <w:rPr>
          <w:i/>
        </w:rPr>
        <w:t>The standard allows any integer for footnote or endnote ID.</w:t>
      </w:r>
    </w:p>
    <w:p w:rsidR="000A156F" w:rsidRDefault="00A9721F">
      <w:pPr>
        <w:pStyle w:val="Definition-Field2"/>
      </w:pPr>
      <w:r>
        <w:t>Word only allows integers between -2147483648 and 32767.</w:t>
      </w:r>
    </w:p>
    <w:p w:rsidR="000A156F" w:rsidRDefault="00A9721F">
      <w:pPr>
        <w:pStyle w:val="Definition-Field"/>
      </w:pPr>
      <w:r>
        <w:t xml:space="preserve">b.   </w:t>
      </w:r>
      <w:r>
        <w:rPr>
          <w:i/>
        </w:rPr>
        <w:t>The</w:t>
      </w:r>
      <w:r>
        <w:rPr>
          <w:i/>
        </w:rPr>
        <w:t xml:space="preserve"> standard says the footnote or endnote ID is used to match the ID in the footnoteRef or endnoteRef, although footnoteRef and endnoteRef do not contain an ID.</w:t>
      </w:r>
    </w:p>
    <w:p w:rsidR="000A156F" w:rsidRDefault="00A9721F">
      <w:pPr>
        <w:pStyle w:val="Definition-Field2"/>
      </w:pPr>
      <w:r>
        <w:t>In Word, the footnote or endnote ID is used to match the ID in the footnoteReference or endnoteRef</w:t>
      </w:r>
      <w:r>
        <w:t>erence.</w:t>
      </w:r>
    </w:p>
    <w:p w:rsidR="000A156F" w:rsidRDefault="00A9721F">
      <w:pPr>
        <w:pStyle w:val="Heading3"/>
      </w:pPr>
      <w:bookmarkStart w:id="624" w:name="section_540efde2e14f4ab0b0aa7961a41fe10b"/>
      <w:bookmarkStart w:id="625" w:name="_Toc181683338"/>
      <w:r>
        <w:t>Part 1 Section 17.11.7, endnoteReference (Endnote Reference)</w:t>
      </w:r>
      <w:bookmarkEnd w:id="624"/>
      <w:bookmarkEnd w:id="625"/>
      <w:r>
        <w:fldChar w:fldCharType="begin"/>
      </w:r>
      <w:r>
        <w:instrText xml:space="preserve"> XE "endnoteReference (Endnote Reference)" </w:instrText>
      </w:r>
      <w:r>
        <w:fldChar w:fldCharType="end"/>
      </w:r>
    </w:p>
    <w:p w:rsidR="000A156F" w:rsidRDefault="00A9721F">
      <w:pPr>
        <w:pStyle w:val="Definition-Field"/>
      </w:pPr>
      <w:r>
        <w:t xml:space="preserve">a.   </w:t>
      </w:r>
      <w:r>
        <w:rPr>
          <w:i/>
        </w:rPr>
        <w:t>The standard allows any integer for footnote or endnote ID.</w:t>
      </w:r>
    </w:p>
    <w:p w:rsidR="000A156F" w:rsidRDefault="00A9721F">
      <w:pPr>
        <w:pStyle w:val="Definition-Field2"/>
      </w:pPr>
      <w:r>
        <w:t>Word only allows integers between -2147483648 and 32767.</w:t>
      </w:r>
    </w:p>
    <w:p w:rsidR="000A156F" w:rsidRDefault="00A9721F">
      <w:pPr>
        <w:pStyle w:val="Definition-Field"/>
      </w:pPr>
      <w:r>
        <w:t xml:space="preserve">b.   </w:t>
      </w:r>
      <w:r>
        <w:rPr>
          <w:i/>
        </w:rPr>
        <w:t>The standard al</w:t>
      </w:r>
      <w:r>
        <w:rPr>
          <w:i/>
        </w:rPr>
        <w:t>lows endnote references in comments and text boxes.</w:t>
      </w:r>
    </w:p>
    <w:p w:rsidR="000A156F" w:rsidRDefault="00A9721F">
      <w:pPr>
        <w:pStyle w:val="Definition-Field2"/>
      </w:pPr>
      <w:r>
        <w:t>Word ignores this element if it is specified in a comment or text box.</w:t>
      </w:r>
    </w:p>
    <w:p w:rsidR="000A156F" w:rsidRDefault="00A9721F">
      <w:pPr>
        <w:pStyle w:val="Heading3"/>
      </w:pPr>
      <w:bookmarkStart w:id="626" w:name="section_568c6fabc68e4100a369804243c54d56"/>
      <w:bookmarkStart w:id="627" w:name="_Toc181683339"/>
      <w:r>
        <w:t>Part 1 Section 17.11.9, footnote (Special Footnote List)</w:t>
      </w:r>
      <w:bookmarkEnd w:id="626"/>
      <w:bookmarkEnd w:id="627"/>
      <w:r>
        <w:fldChar w:fldCharType="begin"/>
      </w:r>
      <w:r>
        <w:instrText xml:space="preserve"> XE "footnote (Special Footnote List)" </w:instrText>
      </w:r>
      <w:r>
        <w:fldChar w:fldCharType="end"/>
      </w:r>
    </w:p>
    <w:p w:rsidR="000A156F" w:rsidRDefault="00A9721F">
      <w:pPr>
        <w:pStyle w:val="Definition-Field2"/>
      </w:pPr>
      <w:r>
        <w:rPr>
          <w:i/>
        </w:rPr>
        <w:t xml:space="preserve">For additional notes that apply to </w:t>
      </w:r>
      <w:r>
        <w:rPr>
          <w:i/>
        </w:rPr>
        <w:t xml:space="preserve">this portion of the standard, please see the notes for </w:t>
      </w:r>
      <w:hyperlink w:anchor="Section_35d669a8a0a04176acf26f206cac5d4d">
        <w:r>
          <w:rPr>
            <w:rStyle w:val="Hyperlink"/>
          </w:rPr>
          <w:t>endnote, §17.11.3(a, b)</w:t>
        </w:r>
      </w:hyperlink>
      <w:r>
        <w:rPr>
          <w:i/>
        </w:rPr>
        <w:t>.</w:t>
      </w:r>
    </w:p>
    <w:p w:rsidR="000A156F" w:rsidRDefault="00A9721F">
      <w:pPr>
        <w:pStyle w:val="Heading3"/>
      </w:pPr>
      <w:bookmarkStart w:id="628" w:name="section_d5931152c596463d931edb02b303844b"/>
      <w:bookmarkStart w:id="629" w:name="_Toc181683340"/>
      <w:r>
        <w:lastRenderedPageBreak/>
        <w:t>Part 1 Section 17.11.10, footnote (Footnote Content)</w:t>
      </w:r>
      <w:bookmarkEnd w:id="628"/>
      <w:bookmarkEnd w:id="629"/>
      <w:r>
        <w:fldChar w:fldCharType="begin"/>
      </w:r>
      <w:r>
        <w:instrText xml:space="preserve"> XE "footnote (Footnote Content)" </w:instrText>
      </w:r>
      <w:r>
        <w:fldChar w:fldCharType="end"/>
      </w:r>
    </w:p>
    <w:p w:rsidR="000A156F" w:rsidRDefault="00A9721F">
      <w:pPr>
        <w:pStyle w:val="Definition-Field2"/>
      </w:pPr>
      <w:r>
        <w:rPr>
          <w:i/>
        </w:rPr>
        <w:t>For additional notes tha</w:t>
      </w:r>
      <w:r>
        <w:rPr>
          <w:i/>
        </w:rPr>
        <w:t xml:space="preserve">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Definition-Field"/>
      </w:pPr>
      <w:r>
        <w:t xml:space="preserve">a.   </w:t>
      </w:r>
      <w:r>
        <w:rPr>
          <w:i/>
        </w:rPr>
        <w:t>The standard states that the id attribute is used to match the contents of a footnote or endnote using the footnoteRef or endnoteRef element.</w:t>
      </w:r>
    </w:p>
    <w:p w:rsidR="000A156F" w:rsidRDefault="00A9721F">
      <w:pPr>
        <w:pStyle w:val="Definition-Field2"/>
      </w:pPr>
      <w:r>
        <w:t>Word uses this attribute to make this ma</w:t>
      </w:r>
      <w:r>
        <w:t>tch using the footnoteReference/endnoteReference elements.</w:t>
      </w:r>
    </w:p>
    <w:p w:rsidR="000A156F" w:rsidRDefault="00A9721F">
      <w:pPr>
        <w:pStyle w:val="Heading3"/>
      </w:pPr>
      <w:bookmarkStart w:id="630" w:name="section_d399b2b668ad4c7faba00d1b77a5aa60"/>
      <w:bookmarkStart w:id="631" w:name="_Toc181683341"/>
      <w:r>
        <w:t>Part 1 Section 17.11.14, footnoteReference (Footnote Reference)</w:t>
      </w:r>
      <w:bookmarkEnd w:id="630"/>
      <w:bookmarkEnd w:id="631"/>
      <w:r>
        <w:fldChar w:fldCharType="begin"/>
      </w:r>
      <w:r>
        <w:instrText xml:space="preserve"> XE "footnoteReference (Footnote Reference)"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0A156F" w:rsidRDefault="00A9721F">
      <w:pPr>
        <w:pStyle w:val="Definition-Field"/>
      </w:pPr>
      <w:r>
        <w:t xml:space="preserve">a.   </w:t>
      </w:r>
      <w:r>
        <w:rPr>
          <w:i/>
        </w:rPr>
        <w:t>The standard states that footnote references can appear in comments</w:t>
      </w:r>
      <w:r>
        <w:rPr>
          <w:i/>
        </w:rPr>
        <w:t xml:space="preserve"> and text boxes.</w:t>
      </w:r>
    </w:p>
    <w:p w:rsidR="000A156F" w:rsidRDefault="00A9721F">
      <w:pPr>
        <w:pStyle w:val="Definition-Field2"/>
      </w:pPr>
      <w:r>
        <w:t>Word ignores this element if it is specified within a comment or text box.</w:t>
      </w:r>
    </w:p>
    <w:p w:rsidR="000A156F" w:rsidRDefault="00A9721F">
      <w:pPr>
        <w:pStyle w:val="Heading3"/>
      </w:pPr>
      <w:bookmarkStart w:id="632" w:name="section_a910e9f7f95f49adad2368ea9a7922cd"/>
      <w:bookmarkStart w:id="633" w:name="_Toc181683342"/>
      <w:r>
        <w:t>Part 1 Section 17.11.17, numFmt (Endnote Numbering Format)</w:t>
      </w:r>
      <w:bookmarkEnd w:id="632"/>
      <w:bookmarkEnd w:id="633"/>
      <w:r>
        <w:fldChar w:fldCharType="begin"/>
      </w:r>
      <w:r>
        <w:instrText xml:space="preserve"> XE "numFmt (Endnote Numbering Format)" </w:instrText>
      </w:r>
      <w:r>
        <w:fldChar w:fldCharType="end"/>
      </w:r>
    </w:p>
    <w:p w:rsidR="000A156F" w:rsidRDefault="00A9721F">
      <w:pPr>
        <w:pStyle w:val="Definition-Field"/>
      </w:pPr>
      <w:r>
        <w:t xml:space="preserve">a.   </w:t>
      </w:r>
      <w:r>
        <w:rPr>
          <w:i/>
        </w:rPr>
        <w:t xml:space="preserve">The standard says the default value for endnote numbering </w:t>
      </w:r>
      <w:r>
        <w:rPr>
          <w:i/>
        </w:rPr>
        <w:t>format is decimal.</w:t>
      </w:r>
    </w:p>
    <w:p w:rsidR="000A156F" w:rsidRDefault="00A9721F">
      <w:pPr>
        <w:pStyle w:val="Definition-Field2"/>
      </w:pPr>
      <w:r>
        <w:t>In Word, the default value for endnote numbering format is lowerRoman.</w:t>
      </w:r>
    </w:p>
    <w:p w:rsidR="000A156F" w:rsidRDefault="00A9721F">
      <w:pPr>
        <w:pStyle w:val="Definition-Field"/>
      </w:pPr>
      <w:r>
        <w:t xml:space="preserve">b.   </w:t>
      </w:r>
      <w:r>
        <w:rPr>
          <w:i/>
        </w:rPr>
        <w:t>The standard allows the numFmt to be set to bullet numbering format.</w:t>
      </w:r>
    </w:p>
    <w:p w:rsidR="000A156F" w:rsidRDefault="00A9721F">
      <w:pPr>
        <w:pStyle w:val="Definition-Field2"/>
      </w:pPr>
      <w:r>
        <w:t>If numFmt is set to bullet numbering format, Word uses decimal numbering format instead.</w:t>
      </w:r>
    </w:p>
    <w:p w:rsidR="000A156F" w:rsidRDefault="00A9721F">
      <w:pPr>
        <w:pStyle w:val="Definition-Field"/>
      </w:pPr>
      <w:r>
        <w:t xml:space="preserve">c. </w:t>
      </w:r>
      <w:r>
        <w:t xml:space="preserve">  </w:t>
      </w:r>
      <w:r>
        <w:rPr>
          <w:i/>
        </w:rPr>
        <w:t>The standard says the endnote numFmt specifies the numbering format which shall be used for both footnotes and endnotes.</w:t>
      </w:r>
    </w:p>
    <w:p w:rsidR="000A156F" w:rsidRDefault="00A9721F">
      <w:pPr>
        <w:pStyle w:val="Definition-Field2"/>
      </w:pPr>
      <w:r>
        <w:t xml:space="preserve">In Word, the footnotes numFmt specifies the numbering format for footnotes and the endnote numFmt specifies the numbering format for </w:t>
      </w:r>
      <w:r>
        <w:t>endnotes.</w:t>
      </w:r>
    </w:p>
    <w:p w:rsidR="000A156F" w:rsidRDefault="00A9721F">
      <w:pPr>
        <w:pStyle w:val="Heading3"/>
      </w:pPr>
      <w:bookmarkStart w:id="634" w:name="section_5101925a4b134c999081b00a1eb63ac4"/>
      <w:bookmarkStart w:id="635" w:name="_Toc181683343"/>
      <w:r>
        <w:t>Part 1 Section 17.11.18, numFmt (Footnote Numbering Format)</w:t>
      </w:r>
      <w:bookmarkEnd w:id="634"/>
      <w:bookmarkEnd w:id="635"/>
      <w:r>
        <w:fldChar w:fldCharType="begin"/>
      </w:r>
      <w:r>
        <w:instrText xml:space="preserve"> XE "numFmt (Footnote Numbering Format)" </w:instrText>
      </w:r>
      <w:r>
        <w:fldChar w:fldCharType="end"/>
      </w:r>
    </w:p>
    <w:p w:rsidR="000A156F" w:rsidRDefault="00A9721F">
      <w:pPr>
        <w:pStyle w:val="Definition-Field"/>
      </w:pPr>
      <w:r>
        <w:t xml:space="preserve">a.   </w:t>
      </w:r>
      <w:r>
        <w:rPr>
          <w:i/>
        </w:rPr>
        <w:t>The standard says the footnote numFmt specifies the numbering format that shall be used for both footnotes and endnotes.</w:t>
      </w:r>
    </w:p>
    <w:p w:rsidR="000A156F" w:rsidRDefault="00A9721F">
      <w:pPr>
        <w:pStyle w:val="Definition-Field2"/>
      </w:pPr>
      <w:r>
        <w:t>In Word, the foot</w:t>
      </w:r>
      <w:r>
        <w:t>notes numFmt specifies the numbering format for footnotes and the endnote numFmt specifies the numbering format for endnotes.</w:t>
      </w:r>
    </w:p>
    <w:p w:rsidR="000A156F" w:rsidRDefault="00A9721F">
      <w:pPr>
        <w:pStyle w:val="Definition-Field"/>
      </w:pPr>
      <w:r>
        <w:t xml:space="preserve">b.   </w:t>
      </w:r>
      <w:r>
        <w:rPr>
          <w:i/>
        </w:rPr>
        <w:t>The standard allows the numFmt to be set to bullet numbering format.</w:t>
      </w:r>
    </w:p>
    <w:p w:rsidR="000A156F" w:rsidRDefault="00A9721F">
      <w:pPr>
        <w:pStyle w:val="Definition-Field2"/>
      </w:pPr>
      <w:r>
        <w:t xml:space="preserve">If numFmt is set to bullet numbering format, Word uses </w:t>
      </w:r>
      <w:r>
        <w:t>decimal numbering format instead.</w:t>
      </w:r>
    </w:p>
    <w:p w:rsidR="000A156F" w:rsidRDefault="00A9721F">
      <w:pPr>
        <w:pStyle w:val="Heading3"/>
      </w:pPr>
      <w:bookmarkStart w:id="636" w:name="section_3d4f2605895d43f79d2ae695b1062787"/>
      <w:bookmarkStart w:id="637" w:name="_Toc181683344"/>
      <w:r>
        <w:t>Part 1 Section 17.11.20, numStart (Footnote and Endnote Numbering Starting Value)</w:t>
      </w:r>
      <w:bookmarkEnd w:id="636"/>
      <w:bookmarkEnd w:id="637"/>
      <w:r>
        <w:fldChar w:fldCharType="begin"/>
      </w:r>
      <w:r>
        <w:instrText xml:space="preserve"> XE "numStart (Footnote and Endnote Numbering Starting Value)" </w:instrText>
      </w:r>
      <w:r>
        <w:fldChar w:fldCharType="end"/>
      </w:r>
    </w:p>
    <w:p w:rsidR="000A156F" w:rsidRDefault="00A9721F">
      <w:pPr>
        <w:pStyle w:val="Definition-Field"/>
      </w:pPr>
      <w:r>
        <w:t xml:space="preserve">a.   </w:t>
      </w:r>
      <w:r>
        <w:rPr>
          <w:i/>
        </w:rPr>
        <w:t>The standard states that the values of the val attribute are defined b</w:t>
      </w:r>
      <w:r>
        <w:rPr>
          <w:i/>
        </w:rPr>
        <w:t>y the XML Schema integer datatype.</w:t>
      </w:r>
    </w:p>
    <w:p w:rsidR="000A156F" w:rsidRDefault="00A9721F">
      <w:pPr>
        <w:pStyle w:val="Definition-Field2"/>
      </w:pPr>
      <w:r>
        <w:t>Word defines the values of this attribute with the XML Schema unsignedShort datatype.</w:t>
      </w:r>
    </w:p>
    <w:p w:rsidR="000A156F" w:rsidRDefault="00A9721F">
      <w:pPr>
        <w:pStyle w:val="Heading3"/>
      </w:pPr>
      <w:bookmarkStart w:id="638" w:name="section_5e9e5e99e0434691baec1b732916259b"/>
      <w:bookmarkStart w:id="639" w:name="_Toc181683345"/>
      <w:r>
        <w:lastRenderedPageBreak/>
        <w:t>Part 1 Section 17.11.21, pos (Footnote Placement)</w:t>
      </w:r>
      <w:bookmarkEnd w:id="638"/>
      <w:bookmarkEnd w:id="639"/>
      <w:r>
        <w:fldChar w:fldCharType="begin"/>
      </w:r>
      <w:r>
        <w:instrText xml:space="preserve"> XE "pos (Footnote Placement)" </w:instrText>
      </w:r>
      <w:r>
        <w:fldChar w:fldCharType="end"/>
      </w:r>
    </w:p>
    <w:p w:rsidR="000A156F" w:rsidRDefault="00A9721F">
      <w:pPr>
        <w:pStyle w:val="Definition-Field"/>
      </w:pPr>
      <w:r>
        <w:t xml:space="preserve">a.   </w:t>
      </w:r>
      <w:r>
        <w:rPr>
          <w:i/>
        </w:rPr>
        <w:t>The standard states that footnote placement ope</w:t>
      </w:r>
      <w:r>
        <w:rPr>
          <w:i/>
        </w:rPr>
        <w:t>rates at the document level and is ignored at the section level.</w:t>
      </w:r>
    </w:p>
    <w:p w:rsidR="000A156F" w:rsidRDefault="00A9721F">
      <w:pPr>
        <w:pStyle w:val="Definition-Field2"/>
      </w:pPr>
      <w:r>
        <w:t>Word determines footnote placement from the section level and ignores the setting at the document level.</w:t>
      </w:r>
    </w:p>
    <w:p w:rsidR="000A156F" w:rsidRDefault="00A9721F">
      <w:pPr>
        <w:pStyle w:val="Heading3"/>
      </w:pPr>
      <w:bookmarkStart w:id="640" w:name="section_120023b2ce194bc79f3d619ff7e1d81e"/>
      <w:bookmarkStart w:id="641" w:name="_Toc181683346"/>
      <w:r>
        <w:t>Part 1 Section 17.12.6, docPartBody (Contents of Glossary Document Entry)</w:t>
      </w:r>
      <w:bookmarkEnd w:id="640"/>
      <w:bookmarkEnd w:id="641"/>
      <w:r>
        <w:fldChar w:fldCharType="begin"/>
      </w:r>
      <w:r>
        <w:instrText xml:space="preserve"> XE "docPartB</w:instrText>
      </w:r>
      <w:r>
        <w:instrText xml:space="preserve">ody (Contents of Glossary Document Entry)"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Heading3"/>
      </w:pPr>
      <w:bookmarkStart w:id="642" w:name="section_c6dde08d044443058e44c23a0a66aab0"/>
      <w:bookmarkStart w:id="643" w:name="_Toc181683347"/>
      <w:r>
        <w:t>Part 1 Section 17.12.7, docPartPr (Glossary Document Entry Properties)</w:t>
      </w:r>
      <w:bookmarkEnd w:id="642"/>
      <w:bookmarkEnd w:id="643"/>
      <w:r>
        <w:fldChar w:fldCharType="begin"/>
      </w:r>
      <w:r>
        <w:instrText xml:space="preserve"> XE "docPartPr (Glossary Document Entry Properties)" </w:instrText>
      </w:r>
      <w:r>
        <w:fldChar w:fldCharType="end"/>
      </w:r>
    </w:p>
    <w:p w:rsidR="000A156F" w:rsidRDefault="00A9721F">
      <w:pPr>
        <w:pStyle w:val="Definition-Field"/>
      </w:pPr>
      <w:r>
        <w:t xml:space="preserve">a.   </w:t>
      </w:r>
      <w:r>
        <w:rPr>
          <w:i/>
        </w:rPr>
        <w:t>The standard states that there can be multiple occurrences of any given</w:t>
      </w:r>
      <w:r>
        <w:rPr>
          <w:i/>
        </w:rPr>
        <w:t xml:space="preserve"> child element.</w:t>
      </w:r>
    </w:p>
    <w:p w:rsidR="000A156F" w:rsidRDefault="00A9721F">
      <w:pPr>
        <w:pStyle w:val="Definition-Field2"/>
      </w:pPr>
      <w:r>
        <w:t>Word ignores all except the last occurrence of any given child element.</w:t>
      </w:r>
    </w:p>
    <w:p w:rsidR="000A156F" w:rsidRDefault="00A9721F">
      <w:pPr>
        <w:pStyle w:val="Heading3"/>
      </w:pPr>
      <w:bookmarkStart w:id="644" w:name="section_14fb7c6771444eb1baab7076dfd03d90"/>
      <w:bookmarkStart w:id="645" w:name="_Toc181683348"/>
      <w:r>
        <w:t>Part 1 Section 17.12.8, docParts (List of Glossary Document Entries)</w:t>
      </w:r>
      <w:bookmarkEnd w:id="644"/>
      <w:bookmarkEnd w:id="645"/>
      <w:r>
        <w:fldChar w:fldCharType="begin"/>
      </w:r>
      <w:r>
        <w:instrText xml:space="preserve"> XE "docParts (List of Glossary Document Entries)" </w:instrText>
      </w:r>
      <w:r>
        <w:fldChar w:fldCharType="end"/>
      </w:r>
    </w:p>
    <w:p w:rsidR="000A156F" w:rsidRDefault="00A9721F">
      <w:pPr>
        <w:pStyle w:val="Definition-Field"/>
      </w:pPr>
      <w:r>
        <w:t xml:space="preserve">a.   </w:t>
      </w:r>
      <w:r>
        <w:rPr>
          <w:i/>
        </w:rPr>
        <w:t>The standard states that docParts must ha</w:t>
      </w:r>
      <w:r>
        <w:rPr>
          <w:i/>
        </w:rPr>
        <w:t>ve at least 1 child element docPart</w:t>
      </w:r>
    </w:p>
    <w:p w:rsidR="000A156F" w:rsidRDefault="00A9721F">
      <w:pPr>
        <w:pStyle w:val="Definition-Field2"/>
      </w:pPr>
      <w:r>
        <w:t>Word can write out a document with 0 docPart elements</w:t>
      </w:r>
    </w:p>
    <w:p w:rsidR="000A156F" w:rsidRDefault="00A9721F">
      <w:pPr>
        <w:pStyle w:val="Heading3"/>
      </w:pPr>
      <w:bookmarkStart w:id="646" w:name="section_2f42e7a6a0144392846153a493241d28"/>
      <w:bookmarkStart w:id="647" w:name="_Toc181683349"/>
      <w:r>
        <w:t>Part 1 Section 17.13.4.2, comment (Comment Content)</w:t>
      </w:r>
      <w:bookmarkEnd w:id="646"/>
      <w:bookmarkEnd w:id="647"/>
      <w:r>
        <w:fldChar w:fldCharType="begin"/>
      </w:r>
      <w:r>
        <w:instrText xml:space="preserve"> XE "comment (Comment Content)"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Definition-Field"/>
      </w:pPr>
      <w:r>
        <w:t xml:space="preserve">a.   </w:t>
      </w:r>
      <w:r>
        <w:rPr>
          <w:i/>
        </w:rPr>
        <w:t>The standard does not limit the length of the value of the initials attr</w:t>
      </w:r>
      <w:r>
        <w:rPr>
          <w:i/>
        </w:rPr>
        <w:t>ibute.</w:t>
      </w:r>
    </w:p>
    <w:p w:rsidR="000A156F" w:rsidRDefault="00A9721F">
      <w:pPr>
        <w:pStyle w:val="Definition-Field2"/>
      </w:pPr>
      <w:r>
        <w:t>Word restricts the value of this attribute to be at most nine characters.</w:t>
      </w:r>
    </w:p>
    <w:p w:rsidR="000A156F" w:rsidRDefault="00A9721F">
      <w:pPr>
        <w:pStyle w:val="Definition-Field"/>
      </w:pPr>
      <w:r>
        <w:t xml:space="preserve">b.   </w:t>
      </w:r>
      <w:r>
        <w:rPr>
          <w:i/>
        </w:rPr>
        <w:t>The standard allows revisions inside comments.</w:t>
      </w:r>
    </w:p>
    <w:p w:rsidR="000A156F" w:rsidRDefault="00A9721F">
      <w:r>
        <w:t>Word does not support having revisions in comments and the following revision elements should not appear in comment content</w:t>
      </w:r>
      <w:r>
        <w:t xml:space="preserve">: </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Revision Elements</w:t>
            </w:r>
          </w:p>
        </w:tc>
      </w:tr>
      <w:tr w:rsidR="000A156F" w:rsidTr="000A156F">
        <w:tc>
          <w:tcPr>
            <w:tcW w:w="0" w:type="auto"/>
            <w:vAlign w:val="center"/>
          </w:tcPr>
          <w:p w:rsidR="000A156F" w:rsidRDefault="00A9721F">
            <w:pPr>
              <w:pStyle w:val="TableBodyText"/>
            </w:pPr>
            <w:r>
              <w:rPr>
                <w:b/>
              </w:rPr>
              <w:t>cellDel</w:t>
            </w:r>
            <w:r>
              <w:t xml:space="preserve"> ("</w:t>
            </w:r>
            <w:hyperlink r:id="rId102">
              <w:r>
                <w:rPr>
                  <w:rStyle w:val="Hyperlink"/>
                </w:rPr>
                <w:t>[ISO/IEC-29500-1]</w:t>
              </w:r>
            </w:hyperlink>
            <w:r>
              <w:t xml:space="preserve"> §17.13.5.1; cellDel") </w:t>
            </w:r>
          </w:p>
        </w:tc>
      </w:tr>
      <w:tr w:rsidR="000A156F" w:rsidTr="000A156F">
        <w:tc>
          <w:tcPr>
            <w:tcW w:w="0" w:type="auto"/>
            <w:vAlign w:val="center"/>
          </w:tcPr>
          <w:p w:rsidR="000A156F" w:rsidRDefault="00A9721F">
            <w:pPr>
              <w:pStyle w:val="TableBodyText"/>
            </w:pPr>
            <w:r>
              <w:rPr>
                <w:b/>
              </w:rPr>
              <w:t>cellIns</w:t>
            </w:r>
            <w:r>
              <w:t xml:space="preserve"> ("[ISO/IEC-29500-1] §17.13.5.2; cellIns") </w:t>
            </w:r>
          </w:p>
        </w:tc>
      </w:tr>
      <w:tr w:rsidR="000A156F" w:rsidTr="000A156F">
        <w:tc>
          <w:tcPr>
            <w:tcW w:w="0" w:type="auto"/>
            <w:vAlign w:val="center"/>
          </w:tcPr>
          <w:p w:rsidR="000A156F" w:rsidRDefault="00A9721F">
            <w:pPr>
              <w:pStyle w:val="TableBodyText"/>
            </w:pPr>
            <w:r>
              <w:rPr>
                <w:b/>
              </w:rPr>
              <w:t>cellMerge</w:t>
            </w:r>
            <w:r>
              <w:t xml:space="preserve"> ("[ISO/IEC-29500-1] §17.13.5.3; cellMerge"); </w:t>
            </w:r>
          </w:p>
        </w:tc>
      </w:tr>
      <w:tr w:rsidR="000A156F" w:rsidTr="000A156F">
        <w:tc>
          <w:tcPr>
            <w:tcW w:w="0" w:type="auto"/>
            <w:vAlign w:val="center"/>
          </w:tcPr>
          <w:p w:rsidR="000A156F" w:rsidRDefault="00A9721F">
            <w:pPr>
              <w:pStyle w:val="TableBodyText"/>
            </w:pPr>
            <w:r>
              <w:rPr>
                <w:b/>
              </w:rPr>
              <w:t>customXmlDelRangeEnd</w:t>
            </w:r>
            <w:r>
              <w:t xml:space="preserve"> ("[ISO/IEC-29500-1] §17.13.5.4; customXmlDelRangeEnd")</w:t>
            </w:r>
          </w:p>
        </w:tc>
      </w:tr>
      <w:tr w:rsidR="000A156F" w:rsidTr="000A156F">
        <w:tc>
          <w:tcPr>
            <w:tcW w:w="0" w:type="auto"/>
            <w:vAlign w:val="center"/>
          </w:tcPr>
          <w:p w:rsidR="000A156F" w:rsidRDefault="00A9721F">
            <w:pPr>
              <w:pStyle w:val="TableBodyText"/>
            </w:pPr>
            <w:r>
              <w:rPr>
                <w:b/>
              </w:rPr>
              <w:t>customXmlDelRangeStart</w:t>
            </w:r>
            <w:r>
              <w:t xml:space="preserve"> ("[ISO/IEC-29500-1] §17.13.5.5; customXmlDelRangeStart")</w:t>
            </w:r>
          </w:p>
        </w:tc>
      </w:tr>
      <w:tr w:rsidR="000A156F" w:rsidTr="000A156F">
        <w:tc>
          <w:tcPr>
            <w:tcW w:w="0" w:type="auto"/>
            <w:vAlign w:val="center"/>
          </w:tcPr>
          <w:p w:rsidR="000A156F" w:rsidRDefault="00A9721F">
            <w:pPr>
              <w:pStyle w:val="TableBodyText"/>
            </w:pPr>
            <w:r>
              <w:rPr>
                <w:b/>
              </w:rPr>
              <w:t>customXmlInsRangeEnd</w:t>
            </w:r>
            <w:r>
              <w:t xml:space="preserve"> ("[ISO/IEC-29500-1] §17.13.5.6; customXmlInsRangeEnd")</w:t>
            </w:r>
          </w:p>
        </w:tc>
      </w:tr>
      <w:tr w:rsidR="000A156F" w:rsidTr="000A156F">
        <w:tc>
          <w:tcPr>
            <w:tcW w:w="0" w:type="auto"/>
            <w:vAlign w:val="center"/>
          </w:tcPr>
          <w:p w:rsidR="000A156F" w:rsidRDefault="00A9721F">
            <w:pPr>
              <w:pStyle w:val="TableBodyText"/>
            </w:pPr>
            <w:r>
              <w:rPr>
                <w:b/>
              </w:rPr>
              <w:t>customXmlInsRangeStart</w:t>
            </w:r>
            <w:r>
              <w:t xml:space="preserve"> ("[ISO/IEC-29500-1] §17.13.5.7; customXmlInsRangeStart")</w:t>
            </w:r>
          </w:p>
        </w:tc>
      </w:tr>
      <w:tr w:rsidR="000A156F" w:rsidTr="000A156F">
        <w:tc>
          <w:tcPr>
            <w:tcW w:w="0" w:type="auto"/>
            <w:vAlign w:val="center"/>
          </w:tcPr>
          <w:p w:rsidR="000A156F" w:rsidRDefault="00A9721F">
            <w:pPr>
              <w:pStyle w:val="TableBodyText"/>
            </w:pPr>
            <w:r>
              <w:rPr>
                <w:b/>
              </w:rPr>
              <w:t>customXmlMoveFromRangeEnd</w:t>
            </w:r>
            <w:r>
              <w:t xml:space="preserve"> ("[ISO/IEC-29500-1] §17.13.5.8; customXmlMoveFromRangeEnd")</w:t>
            </w:r>
          </w:p>
        </w:tc>
      </w:tr>
      <w:tr w:rsidR="000A156F" w:rsidTr="000A156F">
        <w:tc>
          <w:tcPr>
            <w:tcW w:w="0" w:type="auto"/>
            <w:vAlign w:val="center"/>
          </w:tcPr>
          <w:p w:rsidR="000A156F" w:rsidRDefault="00A9721F">
            <w:pPr>
              <w:pStyle w:val="TableBodyText"/>
            </w:pPr>
            <w:r>
              <w:rPr>
                <w:b/>
              </w:rPr>
              <w:t>customXmlMoveFromRangeStart</w:t>
            </w:r>
            <w:r>
              <w:t xml:space="preserve"> ("[ISO/IEC-29500-1] §17.13.5.9; customXmlMoveFromRangeStart"</w:t>
            </w:r>
            <w:r>
              <w:t>)</w:t>
            </w:r>
          </w:p>
        </w:tc>
      </w:tr>
      <w:tr w:rsidR="000A156F" w:rsidTr="000A156F">
        <w:tc>
          <w:tcPr>
            <w:tcW w:w="0" w:type="auto"/>
            <w:vAlign w:val="center"/>
          </w:tcPr>
          <w:p w:rsidR="000A156F" w:rsidRDefault="00A9721F">
            <w:pPr>
              <w:pStyle w:val="TableBodyText"/>
            </w:pPr>
            <w:r>
              <w:rPr>
                <w:b/>
              </w:rPr>
              <w:lastRenderedPageBreak/>
              <w:t>customXmlMoveToRangeEnd</w:t>
            </w:r>
            <w:r>
              <w:t xml:space="preserve"> ("[ISO/IEC-29500-1] §17.13.5.10; customXmlMoveToRangeEnd")</w:t>
            </w:r>
          </w:p>
        </w:tc>
      </w:tr>
      <w:tr w:rsidR="000A156F" w:rsidTr="000A156F">
        <w:tc>
          <w:tcPr>
            <w:tcW w:w="0" w:type="auto"/>
            <w:vAlign w:val="center"/>
          </w:tcPr>
          <w:p w:rsidR="000A156F" w:rsidRDefault="00A9721F">
            <w:pPr>
              <w:pStyle w:val="TableBodyText"/>
            </w:pPr>
            <w:r>
              <w:rPr>
                <w:b/>
              </w:rPr>
              <w:t>customXmlMoveToRangeStart</w:t>
            </w:r>
            <w:r>
              <w:t xml:space="preserve"> ("[ISO/IEC-29500-1] §17.13.5.11; customXmlMoveToRangeStart")</w:t>
            </w:r>
          </w:p>
        </w:tc>
      </w:tr>
      <w:tr w:rsidR="000A156F" w:rsidTr="000A156F">
        <w:tc>
          <w:tcPr>
            <w:tcW w:w="0" w:type="auto"/>
            <w:vAlign w:val="center"/>
          </w:tcPr>
          <w:p w:rsidR="000A156F" w:rsidRDefault="00A9721F">
            <w:pPr>
              <w:pStyle w:val="TableBodyText"/>
            </w:pPr>
            <w:r>
              <w:rPr>
                <w:b/>
              </w:rPr>
              <w:t>del</w:t>
            </w:r>
            <w:r>
              <w:t xml:space="preserve"> ("[ISO/IEC-29500-1] §17.13.5.14; del")</w:t>
            </w:r>
          </w:p>
        </w:tc>
      </w:tr>
      <w:tr w:rsidR="000A156F" w:rsidTr="000A156F">
        <w:tc>
          <w:tcPr>
            <w:tcW w:w="0" w:type="auto"/>
            <w:vAlign w:val="center"/>
          </w:tcPr>
          <w:p w:rsidR="000A156F" w:rsidRDefault="00A9721F">
            <w:pPr>
              <w:pStyle w:val="TableBodyText"/>
            </w:pPr>
            <w:r>
              <w:rPr>
                <w:b/>
              </w:rPr>
              <w:t>del</w:t>
            </w:r>
            <w:r>
              <w:t xml:space="preserve"> ("[ISO/IEC-29500-1] §17.13.5.15; </w:t>
            </w:r>
            <w:r>
              <w:t>del")</w:t>
            </w:r>
          </w:p>
        </w:tc>
      </w:tr>
      <w:tr w:rsidR="000A156F" w:rsidTr="000A156F">
        <w:tc>
          <w:tcPr>
            <w:tcW w:w="0" w:type="auto"/>
            <w:vAlign w:val="center"/>
          </w:tcPr>
          <w:p w:rsidR="000A156F" w:rsidRDefault="00A9721F">
            <w:pPr>
              <w:pStyle w:val="TableBodyText"/>
            </w:pPr>
            <w:r>
              <w:rPr>
                <w:b/>
              </w:rPr>
              <w:t>del</w:t>
            </w:r>
            <w:r>
              <w:t xml:space="preserve"> ("[ISO/IEC-29500-1] §17.13.5.12; del")</w:t>
            </w:r>
          </w:p>
        </w:tc>
      </w:tr>
      <w:tr w:rsidR="000A156F" w:rsidTr="000A156F">
        <w:tc>
          <w:tcPr>
            <w:tcW w:w="0" w:type="auto"/>
            <w:vAlign w:val="center"/>
          </w:tcPr>
          <w:p w:rsidR="000A156F" w:rsidRDefault="00A9721F">
            <w:pPr>
              <w:pStyle w:val="TableBodyText"/>
            </w:pPr>
            <w:r>
              <w:rPr>
                <w:b/>
              </w:rPr>
              <w:t>del</w:t>
            </w:r>
            <w:r>
              <w:t xml:space="preserve"> ("[ISO/IEC-29500-1] §17.13.5.13; del")</w:t>
            </w:r>
          </w:p>
        </w:tc>
      </w:tr>
      <w:tr w:rsidR="000A156F" w:rsidTr="000A156F">
        <w:tc>
          <w:tcPr>
            <w:tcW w:w="0" w:type="auto"/>
            <w:vAlign w:val="center"/>
          </w:tcPr>
          <w:p w:rsidR="000A156F" w:rsidRDefault="00A9721F">
            <w:pPr>
              <w:pStyle w:val="TableBodyText"/>
            </w:pPr>
            <w:r>
              <w:rPr>
                <w:b/>
              </w:rPr>
              <w:t>delInstrText</w:t>
            </w:r>
            <w:r>
              <w:t xml:space="preserve"> ("[ISO/IEC-29500-1] §17.16.13; delInstrText") </w:t>
            </w:r>
          </w:p>
        </w:tc>
      </w:tr>
      <w:tr w:rsidR="000A156F" w:rsidTr="000A156F">
        <w:tc>
          <w:tcPr>
            <w:tcW w:w="0" w:type="auto"/>
            <w:vAlign w:val="center"/>
          </w:tcPr>
          <w:p w:rsidR="000A156F" w:rsidRDefault="00A9721F">
            <w:pPr>
              <w:pStyle w:val="TableBodyText"/>
            </w:pPr>
            <w:r>
              <w:rPr>
                <w:b/>
              </w:rPr>
              <w:t>delText</w:t>
            </w:r>
            <w:r>
              <w:t xml:space="preserve"> ("[ISO/IEC-29500-1] §17.3.3.7; delText"); </w:t>
            </w:r>
          </w:p>
        </w:tc>
      </w:tr>
      <w:tr w:rsidR="000A156F" w:rsidTr="000A156F">
        <w:tc>
          <w:tcPr>
            <w:tcW w:w="0" w:type="auto"/>
            <w:vAlign w:val="center"/>
          </w:tcPr>
          <w:p w:rsidR="000A156F" w:rsidRDefault="00A9721F">
            <w:pPr>
              <w:pStyle w:val="TableBodyText"/>
            </w:pPr>
            <w:r>
              <w:rPr>
                <w:b/>
              </w:rPr>
              <w:t>ins</w:t>
            </w:r>
            <w:r>
              <w:t xml:space="preserve"> ("[ISO/IEC-29500-1] §17.13.5.17; ins")</w:t>
            </w:r>
          </w:p>
        </w:tc>
      </w:tr>
      <w:tr w:rsidR="000A156F" w:rsidTr="000A156F">
        <w:tc>
          <w:tcPr>
            <w:tcW w:w="0" w:type="auto"/>
            <w:vAlign w:val="center"/>
          </w:tcPr>
          <w:p w:rsidR="000A156F" w:rsidRDefault="00A9721F">
            <w:pPr>
              <w:pStyle w:val="TableBodyText"/>
            </w:pPr>
            <w:r>
              <w:rPr>
                <w:b/>
              </w:rPr>
              <w:t>ins</w:t>
            </w:r>
            <w:r>
              <w:t xml:space="preserve"> ("[ISO/IEC-29500-1] §17.13.5.16; ins"); </w:t>
            </w:r>
          </w:p>
        </w:tc>
      </w:tr>
      <w:tr w:rsidR="000A156F" w:rsidTr="000A156F">
        <w:tc>
          <w:tcPr>
            <w:tcW w:w="0" w:type="auto"/>
            <w:vAlign w:val="center"/>
          </w:tcPr>
          <w:p w:rsidR="000A156F" w:rsidRDefault="00A9721F">
            <w:pPr>
              <w:pStyle w:val="TableBodyText"/>
            </w:pPr>
            <w:r>
              <w:rPr>
                <w:b/>
              </w:rPr>
              <w:t>ins</w:t>
            </w:r>
            <w:r>
              <w:t xml:space="preserve"> ("[ISO/IEC-29500-1] §17.13.5.20; ins")</w:t>
            </w:r>
          </w:p>
        </w:tc>
      </w:tr>
      <w:tr w:rsidR="000A156F" w:rsidTr="000A156F">
        <w:tc>
          <w:tcPr>
            <w:tcW w:w="0" w:type="auto"/>
            <w:vAlign w:val="center"/>
          </w:tcPr>
          <w:p w:rsidR="000A156F" w:rsidRDefault="00A9721F">
            <w:pPr>
              <w:pStyle w:val="TableBodyText"/>
            </w:pPr>
            <w:r>
              <w:rPr>
                <w:b/>
              </w:rPr>
              <w:t>ins</w:t>
            </w:r>
            <w:r>
              <w:t xml:space="preserve"> ("[ISO/IEC-29500-1] §17.13.5.19; ins") </w:t>
            </w:r>
          </w:p>
        </w:tc>
      </w:tr>
      <w:tr w:rsidR="000A156F" w:rsidTr="000A156F">
        <w:tc>
          <w:tcPr>
            <w:tcW w:w="0" w:type="auto"/>
            <w:vAlign w:val="center"/>
          </w:tcPr>
          <w:p w:rsidR="000A156F" w:rsidRDefault="00A9721F">
            <w:pPr>
              <w:pStyle w:val="TableBodyText"/>
            </w:pPr>
            <w:r>
              <w:rPr>
                <w:b/>
              </w:rPr>
              <w:t>ins</w:t>
            </w:r>
            <w:r>
              <w:t xml:space="preserve"> ("[ISO/IEC-29500-1] §17.13.5.18; ins")</w:t>
            </w:r>
          </w:p>
        </w:tc>
      </w:tr>
      <w:tr w:rsidR="000A156F" w:rsidTr="000A156F">
        <w:tc>
          <w:tcPr>
            <w:tcW w:w="0" w:type="auto"/>
            <w:vAlign w:val="center"/>
          </w:tcPr>
          <w:p w:rsidR="000A156F" w:rsidRDefault="00A9721F">
            <w:pPr>
              <w:pStyle w:val="TableBodyText"/>
            </w:pPr>
            <w:r>
              <w:rPr>
                <w:b/>
              </w:rPr>
              <w:t>moveFrom</w:t>
            </w:r>
            <w:r>
              <w:t xml:space="preserve"> ("[ISO/IEC-29500-1] §17.13.5.22; moveFrom")</w:t>
            </w:r>
          </w:p>
        </w:tc>
      </w:tr>
      <w:tr w:rsidR="000A156F" w:rsidTr="000A156F">
        <w:tc>
          <w:tcPr>
            <w:tcW w:w="0" w:type="auto"/>
            <w:vAlign w:val="center"/>
          </w:tcPr>
          <w:p w:rsidR="000A156F" w:rsidRDefault="00A9721F">
            <w:pPr>
              <w:pStyle w:val="TableBodyText"/>
            </w:pPr>
            <w:r>
              <w:rPr>
                <w:b/>
              </w:rPr>
              <w:t>moveFrom</w:t>
            </w:r>
            <w:r>
              <w:t xml:space="preserve"> ("[ISO/IEC-29500-</w:t>
            </w:r>
            <w:r>
              <w:t xml:space="preserve">1] §17.13.5.21; moveFrom") </w:t>
            </w:r>
          </w:p>
        </w:tc>
      </w:tr>
      <w:tr w:rsidR="000A156F" w:rsidTr="000A156F">
        <w:tc>
          <w:tcPr>
            <w:tcW w:w="0" w:type="auto"/>
            <w:vAlign w:val="center"/>
          </w:tcPr>
          <w:p w:rsidR="000A156F" w:rsidRDefault="00A9721F">
            <w:pPr>
              <w:pStyle w:val="TableBodyText"/>
            </w:pPr>
            <w:r>
              <w:rPr>
                <w:b/>
              </w:rPr>
              <w:t>moveFromRangeEnd</w:t>
            </w:r>
            <w:r>
              <w:t xml:space="preserve"> ("[ISO/IEC-29500-1] §17.13.5.23; moveFromRangeEnd")</w:t>
            </w:r>
          </w:p>
        </w:tc>
      </w:tr>
      <w:tr w:rsidR="000A156F" w:rsidTr="000A156F">
        <w:tc>
          <w:tcPr>
            <w:tcW w:w="0" w:type="auto"/>
            <w:vAlign w:val="center"/>
          </w:tcPr>
          <w:p w:rsidR="000A156F" w:rsidRDefault="00A9721F">
            <w:pPr>
              <w:pStyle w:val="TableBodyText"/>
            </w:pPr>
            <w:r>
              <w:rPr>
                <w:b/>
              </w:rPr>
              <w:t>moveFromRangeStart</w:t>
            </w:r>
            <w:r>
              <w:t xml:space="preserve"> ("[ISO/IEC-29500-1] §17.13.5.24; moveFromRangeStart")</w:t>
            </w:r>
          </w:p>
        </w:tc>
      </w:tr>
      <w:tr w:rsidR="000A156F" w:rsidTr="000A156F">
        <w:tc>
          <w:tcPr>
            <w:tcW w:w="0" w:type="auto"/>
            <w:vAlign w:val="center"/>
          </w:tcPr>
          <w:p w:rsidR="000A156F" w:rsidRDefault="00A9721F">
            <w:pPr>
              <w:pStyle w:val="TableBodyText"/>
            </w:pPr>
            <w:r>
              <w:rPr>
                <w:b/>
              </w:rPr>
              <w:t>moveTo</w:t>
            </w:r>
            <w:r>
              <w:t xml:space="preserve"> ("[ISO/IEC-29500-1] §17.13.5.26; moveTo")</w:t>
            </w:r>
          </w:p>
        </w:tc>
      </w:tr>
      <w:tr w:rsidR="000A156F" w:rsidTr="000A156F">
        <w:tc>
          <w:tcPr>
            <w:tcW w:w="0" w:type="auto"/>
            <w:vAlign w:val="center"/>
          </w:tcPr>
          <w:p w:rsidR="000A156F" w:rsidRDefault="00A9721F">
            <w:pPr>
              <w:pStyle w:val="TableBodyText"/>
            </w:pPr>
            <w:r>
              <w:rPr>
                <w:b/>
              </w:rPr>
              <w:t>moveTo</w:t>
            </w:r>
            <w:r>
              <w:t xml:space="preserve"> ("[ISO/IEC-29500-1] §17.13</w:t>
            </w:r>
            <w:r>
              <w:t>.5.25; moveTo")</w:t>
            </w:r>
          </w:p>
        </w:tc>
      </w:tr>
      <w:tr w:rsidR="000A156F" w:rsidTr="000A156F">
        <w:tc>
          <w:tcPr>
            <w:tcW w:w="0" w:type="auto"/>
            <w:vAlign w:val="center"/>
          </w:tcPr>
          <w:p w:rsidR="000A156F" w:rsidRDefault="00A9721F">
            <w:pPr>
              <w:pStyle w:val="TableBodyText"/>
            </w:pPr>
            <w:r>
              <w:rPr>
                <w:b/>
              </w:rPr>
              <w:t>moveToRangeEnd</w:t>
            </w:r>
            <w:r>
              <w:t xml:space="preserve"> ("[ISO/IEC-29500-1] §17.13.5.27; moveToRangeEnd")</w:t>
            </w:r>
          </w:p>
        </w:tc>
      </w:tr>
      <w:tr w:rsidR="000A156F" w:rsidTr="000A156F">
        <w:tc>
          <w:tcPr>
            <w:tcW w:w="0" w:type="auto"/>
            <w:vAlign w:val="center"/>
          </w:tcPr>
          <w:p w:rsidR="000A156F" w:rsidRDefault="00A9721F">
            <w:pPr>
              <w:pStyle w:val="TableBodyText"/>
            </w:pPr>
            <w:r>
              <w:rPr>
                <w:b/>
              </w:rPr>
              <w:t>moveToRangeStart</w:t>
            </w:r>
            <w:r>
              <w:t xml:space="preserve"> ("[ISO/IEC-29500-1] §17.13.5.28; moveToRangeStart")</w:t>
            </w:r>
          </w:p>
        </w:tc>
      </w:tr>
      <w:tr w:rsidR="000A156F" w:rsidTr="000A156F">
        <w:tc>
          <w:tcPr>
            <w:tcW w:w="0" w:type="auto"/>
            <w:vAlign w:val="center"/>
          </w:tcPr>
          <w:p w:rsidR="000A156F" w:rsidRDefault="00A9721F">
            <w:pPr>
              <w:pStyle w:val="TableBodyText"/>
            </w:pPr>
            <w:r>
              <w:rPr>
                <w:b/>
              </w:rPr>
              <w:t>numberingChange</w:t>
            </w:r>
            <w:r>
              <w:t xml:space="preserve"> ("</w:t>
            </w:r>
            <w:hyperlink r:id="rId103">
              <w:r>
                <w:rPr>
                  <w:rStyle w:val="Hyperlink"/>
                </w:rPr>
                <w:t>[ISO/IEC-29500-4]</w:t>
              </w:r>
            </w:hyperlink>
            <w:r>
              <w:t xml:space="preserve"> §14.6.1.1; numberingChange (Previous Numbering Field Properties)")</w:t>
            </w:r>
          </w:p>
        </w:tc>
      </w:tr>
      <w:tr w:rsidR="000A156F" w:rsidTr="000A156F">
        <w:tc>
          <w:tcPr>
            <w:tcW w:w="0" w:type="auto"/>
            <w:vAlign w:val="center"/>
          </w:tcPr>
          <w:p w:rsidR="000A156F" w:rsidRDefault="00A9721F">
            <w:pPr>
              <w:pStyle w:val="TableBodyText"/>
            </w:pPr>
            <w:r>
              <w:rPr>
                <w:b/>
              </w:rPr>
              <w:t>numberingChange</w:t>
            </w:r>
            <w:r>
              <w:t xml:space="preserve"> ("[ISO/IEC-29500-4] §14.6.1.2; numberingChange (Previous Paragraph Numbering Properties)") </w:t>
            </w:r>
          </w:p>
        </w:tc>
      </w:tr>
      <w:tr w:rsidR="000A156F" w:rsidTr="000A156F">
        <w:tc>
          <w:tcPr>
            <w:tcW w:w="0" w:type="auto"/>
            <w:vAlign w:val="center"/>
          </w:tcPr>
          <w:p w:rsidR="000A156F" w:rsidRDefault="00A9721F">
            <w:pPr>
              <w:pStyle w:val="TableBodyText"/>
            </w:pPr>
            <w:r>
              <w:rPr>
                <w:b/>
              </w:rPr>
              <w:t>pPrChange</w:t>
            </w:r>
            <w:r>
              <w:t xml:space="preserve"> ("[ISO/IEC-29500-1] §17.13.5.29; pPrChange") </w:t>
            </w:r>
          </w:p>
        </w:tc>
      </w:tr>
      <w:tr w:rsidR="000A156F" w:rsidTr="000A156F">
        <w:tc>
          <w:tcPr>
            <w:tcW w:w="0" w:type="auto"/>
            <w:vAlign w:val="center"/>
          </w:tcPr>
          <w:p w:rsidR="000A156F" w:rsidRDefault="00A9721F">
            <w:pPr>
              <w:pStyle w:val="TableBodyText"/>
            </w:pPr>
            <w:r>
              <w:rPr>
                <w:b/>
              </w:rPr>
              <w:t>rPrChange</w:t>
            </w:r>
            <w:r>
              <w:t xml:space="preserve"> ("</w:t>
            </w:r>
            <w:r>
              <w:t>[ISO/IEC-29500-1] §17.13.5.31; rPrChange")</w:t>
            </w:r>
          </w:p>
        </w:tc>
      </w:tr>
      <w:tr w:rsidR="000A156F" w:rsidTr="000A156F">
        <w:tc>
          <w:tcPr>
            <w:tcW w:w="0" w:type="auto"/>
            <w:vAlign w:val="center"/>
          </w:tcPr>
          <w:p w:rsidR="000A156F" w:rsidRDefault="00A9721F">
            <w:pPr>
              <w:pStyle w:val="TableBodyText"/>
            </w:pPr>
            <w:r>
              <w:rPr>
                <w:b/>
              </w:rPr>
              <w:t>rPrChange</w:t>
            </w:r>
            <w:r>
              <w:t xml:space="preserve"> ("[ISO/IEC-29500-1] §17.13.5.30; rPrChange") </w:t>
            </w:r>
          </w:p>
        </w:tc>
      </w:tr>
      <w:tr w:rsidR="000A156F" w:rsidTr="000A156F">
        <w:tc>
          <w:tcPr>
            <w:tcW w:w="0" w:type="auto"/>
            <w:vAlign w:val="center"/>
          </w:tcPr>
          <w:p w:rsidR="000A156F" w:rsidRDefault="00A9721F">
            <w:pPr>
              <w:pStyle w:val="TableBodyText"/>
            </w:pPr>
            <w:r>
              <w:rPr>
                <w:b/>
              </w:rPr>
              <w:t>sectPrChange</w:t>
            </w:r>
            <w:r>
              <w:t xml:space="preserve"> ("[ISO/IEC-29500-1] §17.13.5.32; sectPrChange") </w:t>
            </w:r>
          </w:p>
        </w:tc>
      </w:tr>
      <w:tr w:rsidR="000A156F" w:rsidTr="000A156F">
        <w:tc>
          <w:tcPr>
            <w:tcW w:w="0" w:type="auto"/>
            <w:vAlign w:val="center"/>
          </w:tcPr>
          <w:p w:rsidR="000A156F" w:rsidRDefault="00A9721F">
            <w:pPr>
              <w:pStyle w:val="TableBodyText"/>
            </w:pPr>
            <w:r>
              <w:rPr>
                <w:b/>
              </w:rPr>
              <w:t>tblGridChange</w:t>
            </w:r>
            <w:r>
              <w:t xml:space="preserve"> ("[ISO/IEC-29500-1] §17.13.5.33; tblGridChange") </w:t>
            </w:r>
          </w:p>
        </w:tc>
      </w:tr>
      <w:tr w:rsidR="000A156F" w:rsidTr="000A156F">
        <w:tc>
          <w:tcPr>
            <w:tcW w:w="0" w:type="auto"/>
            <w:vAlign w:val="center"/>
          </w:tcPr>
          <w:p w:rsidR="000A156F" w:rsidRDefault="00A9721F">
            <w:pPr>
              <w:pStyle w:val="TableBodyText"/>
            </w:pPr>
            <w:r>
              <w:rPr>
                <w:b/>
              </w:rPr>
              <w:t>tblPrChange</w:t>
            </w:r>
            <w:r>
              <w:t xml:space="preserve"> ("[ISO/IEC-2950</w:t>
            </w:r>
            <w:r>
              <w:t>0-1] §17.13.5.34; tblPrChange")</w:t>
            </w:r>
          </w:p>
        </w:tc>
      </w:tr>
      <w:tr w:rsidR="000A156F" w:rsidTr="000A156F">
        <w:tc>
          <w:tcPr>
            <w:tcW w:w="0" w:type="auto"/>
            <w:vAlign w:val="center"/>
          </w:tcPr>
          <w:p w:rsidR="000A156F" w:rsidRDefault="00A9721F">
            <w:pPr>
              <w:pStyle w:val="TableBodyText"/>
            </w:pPr>
            <w:r>
              <w:rPr>
                <w:b/>
              </w:rPr>
              <w:t>tblPrExChange</w:t>
            </w:r>
            <w:r>
              <w:t xml:space="preserve"> ("[ISO/IEC-29500-1] §17.13.5.35; tblPrExChange")</w:t>
            </w:r>
          </w:p>
        </w:tc>
      </w:tr>
      <w:tr w:rsidR="000A156F" w:rsidTr="000A156F">
        <w:tc>
          <w:tcPr>
            <w:tcW w:w="0" w:type="auto"/>
            <w:vAlign w:val="center"/>
          </w:tcPr>
          <w:p w:rsidR="000A156F" w:rsidRDefault="00A9721F">
            <w:pPr>
              <w:pStyle w:val="TableBodyText"/>
            </w:pPr>
            <w:r>
              <w:rPr>
                <w:b/>
              </w:rPr>
              <w:t>tcPrChange</w:t>
            </w:r>
            <w:r>
              <w:t xml:space="preserve"> ("[ISO/IEC-29500-1] §17.13.5.36; tcPrChange")</w:t>
            </w:r>
          </w:p>
        </w:tc>
      </w:tr>
      <w:tr w:rsidR="000A156F" w:rsidTr="000A156F">
        <w:tc>
          <w:tcPr>
            <w:tcW w:w="0" w:type="auto"/>
            <w:vAlign w:val="center"/>
          </w:tcPr>
          <w:p w:rsidR="000A156F" w:rsidRDefault="00A9721F">
            <w:pPr>
              <w:pStyle w:val="TableBodyText"/>
            </w:pPr>
            <w:r>
              <w:rPr>
                <w:b/>
              </w:rPr>
              <w:lastRenderedPageBreak/>
              <w:t>trPrChange</w:t>
            </w:r>
            <w:r>
              <w:t xml:space="preserve"> ("[ISO/IEC-29500-1] §17.13.5.37; trPrChange")</w:t>
            </w:r>
          </w:p>
        </w:tc>
      </w:tr>
    </w:tbl>
    <w:p w:rsidR="000A156F" w:rsidRDefault="000A156F"/>
    <w:p w:rsidR="000A156F" w:rsidRDefault="00A9721F">
      <w:pPr>
        <w:pStyle w:val="Definition-Field"/>
      </w:pPr>
      <w:r>
        <w:t xml:space="preserve">c.   </w:t>
      </w:r>
      <w:r>
        <w:rPr>
          <w:i/>
        </w:rPr>
        <w:t xml:space="preserve">The standard does not limit the </w:t>
      </w:r>
      <w:r>
        <w:rPr>
          <w:i/>
        </w:rPr>
        <w:t>length of the value of the author attribute.</w:t>
      </w:r>
    </w:p>
    <w:p w:rsidR="000A156F" w:rsidRDefault="00A9721F">
      <w:pPr>
        <w:pStyle w:val="Definition-Field2"/>
      </w:pPr>
      <w:r>
        <w:t>Word restricts the value of this attribute to be at most 255 characters.</w:t>
      </w:r>
    </w:p>
    <w:p w:rsidR="000A156F" w:rsidRDefault="00A9721F">
      <w:pPr>
        <w:pStyle w:val="Definition-Field"/>
      </w:pPr>
      <w:r>
        <w:t xml:space="preserve">d.   </w:t>
      </w:r>
      <w:r>
        <w:rPr>
          <w:i/>
        </w:rPr>
        <w:t>The standard states that the date stored in the date attribute on the comment element is stored with the UTC date signifier (a traili</w:t>
      </w:r>
      <w:r>
        <w:rPr>
          <w:i/>
        </w:rPr>
        <w:t>ng Z).</w:t>
      </w:r>
    </w:p>
    <w:p w:rsidR="000A156F" w:rsidRDefault="00A9721F">
      <w:pPr>
        <w:pStyle w:val="Definition-Field2"/>
      </w:pPr>
      <w:r>
        <w:t>The actual date is stored in the user’s time zone. On load, Word ignores the UTC signifier and loads the date in the current time zone.</w:t>
      </w:r>
    </w:p>
    <w:p w:rsidR="000A156F" w:rsidRDefault="00A9721F">
      <w:pPr>
        <w:pStyle w:val="Heading3"/>
      </w:pPr>
      <w:bookmarkStart w:id="648" w:name="section_f9692dfcfc0f4f63847275907af12ade"/>
      <w:bookmarkStart w:id="649" w:name="_Toc181683350"/>
      <w:r>
        <w:t>Part 1 Section 17.13.4.3, commentRangeEnd (Comment Anchor Range End)</w:t>
      </w:r>
      <w:bookmarkEnd w:id="648"/>
      <w:bookmarkEnd w:id="649"/>
      <w:r>
        <w:fldChar w:fldCharType="begin"/>
      </w:r>
      <w:r>
        <w:instrText xml:space="preserve"> XE "commentRangeEnd (Comment Anchor Range En</w:instrText>
      </w:r>
      <w:r>
        <w:instrText xml:space="preserve">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w:t>
        </w:r>
        <w:r>
          <w:rPr>
            <w:rStyle w:val="Hyperlink"/>
          </w:rPr>
          <w:t>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The standard states that if this element occurs without a corresponding co</w:t>
      </w:r>
      <w:r>
        <w:rPr>
          <w:i/>
        </w:rPr>
        <w:t>mmentRangeStart element, it shall be considered the single anchor point for the comment reference.</w:t>
      </w:r>
    </w:p>
    <w:p w:rsidR="000A156F" w:rsidRDefault="00A9721F">
      <w:pPr>
        <w:pStyle w:val="Definition-Field2"/>
      </w:pPr>
      <w:r>
        <w:t>If Word opens a file with a commentRangeEnd element without a corresponding commentRangeStart element, the location of the commentReference element determine</w:t>
      </w:r>
      <w:r>
        <w:t>s the single anchor point for the comment reference.</w:t>
      </w:r>
    </w:p>
    <w:p w:rsidR="000A156F" w:rsidRDefault="00A9721F">
      <w:pPr>
        <w:pStyle w:val="Definition-Field"/>
      </w:pPr>
      <w:r>
        <w:t xml:space="preserve">b.   </w:t>
      </w:r>
      <w:r>
        <w:rPr>
          <w:i/>
        </w:rPr>
        <w:t>The standard allows commentRangeEnd in headers, footers, text boxes, footnotes, and endnotes.</w:t>
      </w:r>
    </w:p>
    <w:p w:rsidR="000A156F" w:rsidRDefault="00A9721F">
      <w:pPr>
        <w:pStyle w:val="Definition-Field2"/>
      </w:pPr>
      <w:r>
        <w:t>Word ignores this element if it is under a header, footer, text box, footnote, or endnote.</w:t>
      </w:r>
    </w:p>
    <w:p w:rsidR="000A156F" w:rsidRDefault="00A9721F">
      <w:pPr>
        <w:pStyle w:val="Heading3"/>
      </w:pPr>
      <w:bookmarkStart w:id="650" w:name="section_64b95366980f4c759519b745345ded9a"/>
      <w:bookmarkStart w:id="651" w:name="_Toc181683351"/>
      <w:r>
        <w:t>Part 1 Sectio</w:t>
      </w:r>
      <w:r>
        <w:t>n 17.13.4.4, commentRangeStart (Comment Anchor Range Start)</w:t>
      </w:r>
      <w:bookmarkEnd w:id="650"/>
      <w:bookmarkEnd w:id="651"/>
      <w:r>
        <w:fldChar w:fldCharType="begin"/>
      </w:r>
      <w:r>
        <w:instrText xml:space="preserve"> XE "commentRangeStart (Comment Anchor Range Start)"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The standard allows an unbounded number of comment ranges.</w:t>
      </w:r>
    </w:p>
    <w:p w:rsidR="000A156F" w:rsidRDefault="00A9721F">
      <w:pPr>
        <w:pStyle w:val="Definition-Field2"/>
      </w:pPr>
      <w:r>
        <w:t>Word will not open a file with more than 32767 comment ranges.</w:t>
      </w:r>
    </w:p>
    <w:p w:rsidR="000A156F" w:rsidRDefault="00A9721F">
      <w:pPr>
        <w:pStyle w:val="Definition-Field"/>
      </w:pPr>
      <w:r>
        <w:t xml:space="preserve">b.   </w:t>
      </w:r>
      <w:r>
        <w:rPr>
          <w:i/>
        </w:rPr>
        <w:t>The standard states that if this elemen</w:t>
      </w:r>
      <w:r>
        <w:rPr>
          <w:i/>
        </w:rPr>
        <w:t>t occurs without a corresponding commentRangeEnd element, it shall be considered the single anchor point for the comment reference.</w:t>
      </w:r>
    </w:p>
    <w:p w:rsidR="000A156F" w:rsidRDefault="00A9721F">
      <w:pPr>
        <w:pStyle w:val="Definition-Field2"/>
      </w:pPr>
      <w:r>
        <w:t>If Word opens a file with a commentRangeStart element without a corresponding commentRangeEnd element, the location of the c</w:t>
      </w:r>
      <w:r>
        <w:t>ommentReference element determines the single anchor point for the comment reference.</w:t>
      </w:r>
    </w:p>
    <w:p w:rsidR="000A156F" w:rsidRDefault="00A9721F">
      <w:pPr>
        <w:pStyle w:val="Definition-Field"/>
      </w:pPr>
      <w:r>
        <w:t xml:space="preserve">c.   </w:t>
      </w:r>
      <w:r>
        <w:rPr>
          <w:i/>
        </w:rPr>
        <w:t>The standard allows commentRangeStart in headers, footers, text boxes, footnotes, and endnotes.</w:t>
      </w:r>
    </w:p>
    <w:p w:rsidR="000A156F" w:rsidRDefault="00A9721F">
      <w:pPr>
        <w:pStyle w:val="Definition-Field2"/>
      </w:pPr>
      <w:r>
        <w:t xml:space="preserve">Word ignores this element if it is under a header, footer, text box, </w:t>
      </w:r>
      <w:r>
        <w:t>footnote, or endnote.</w:t>
      </w:r>
    </w:p>
    <w:p w:rsidR="000A156F" w:rsidRDefault="00A9721F">
      <w:pPr>
        <w:pStyle w:val="Heading3"/>
      </w:pPr>
      <w:bookmarkStart w:id="652" w:name="section_84a35ef39c124b59ab4c4a88f520d06c"/>
      <w:bookmarkStart w:id="653" w:name="_Toc181683352"/>
      <w:r>
        <w:lastRenderedPageBreak/>
        <w:t>Part 1 Section 17.13.4.5, commentReference (Comment Content Reference Mark)</w:t>
      </w:r>
      <w:bookmarkEnd w:id="652"/>
      <w:bookmarkEnd w:id="653"/>
      <w:r>
        <w:fldChar w:fldCharType="begin"/>
      </w:r>
      <w:r>
        <w:instrText xml:space="preserve"> XE "commentReference (Comment Content Reference Mark)"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The standard allows commentReference in headers, footers, text boxes, footnotes, and endnotes.</w:t>
      </w:r>
    </w:p>
    <w:p w:rsidR="000A156F" w:rsidRDefault="00A9721F">
      <w:pPr>
        <w:pStyle w:val="Definition-Field2"/>
      </w:pPr>
      <w:r>
        <w:t xml:space="preserve">Word ignores this element if it is under a header, footer, text box, footnote, </w:t>
      </w:r>
      <w:r>
        <w:t>or endnote.</w:t>
      </w:r>
    </w:p>
    <w:p w:rsidR="000A156F" w:rsidRDefault="00A9721F">
      <w:pPr>
        <w:pStyle w:val="Heading3"/>
      </w:pPr>
      <w:bookmarkStart w:id="654" w:name="section_cf861d389d024d8e8fe7450a01f33d40"/>
      <w:bookmarkStart w:id="655" w:name="_Toc181683353"/>
      <w:r>
        <w:t>Part 1 Section 17.13.5.1, cellDel (Table Cell Deletion)</w:t>
      </w:r>
      <w:bookmarkEnd w:id="654"/>
      <w:bookmarkEnd w:id="655"/>
      <w:r>
        <w:fldChar w:fldCharType="begin"/>
      </w:r>
      <w:r>
        <w:instrText xml:space="preserve"> XE "cellDel (Table Cell Deletion)"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states that the values of the id attribute are defined by the XML Schema integer datatype.</w:t>
      </w:r>
    </w:p>
    <w:p w:rsidR="000A156F" w:rsidRDefault="00A9721F">
      <w:pPr>
        <w:pStyle w:val="Definition-Field2"/>
      </w:pPr>
      <w:r>
        <w:t>Word does not allow a value of -1 on this attribute.</w:t>
      </w:r>
    </w:p>
    <w:p w:rsidR="000A156F" w:rsidRDefault="00A9721F">
      <w:pPr>
        <w:pStyle w:val="Heading3"/>
      </w:pPr>
      <w:bookmarkStart w:id="656" w:name="section_f444e7c398fb4b75808aedcb36852e28"/>
      <w:bookmarkStart w:id="657" w:name="_Toc181683354"/>
      <w:r>
        <w:t xml:space="preserve">Part 1 Section </w:t>
      </w:r>
      <w:r>
        <w:t>17.13.5.2, cellIns (Table Cell Insertion)</w:t>
      </w:r>
      <w:bookmarkEnd w:id="656"/>
      <w:bookmarkEnd w:id="657"/>
      <w:r>
        <w:fldChar w:fldCharType="begin"/>
      </w:r>
      <w:r>
        <w:instrText xml:space="preserve"> XE "cellIns (Table Cell Insertion)"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658" w:name="section_bc72271d4fa2406eb84a000c6dcce4dd"/>
      <w:bookmarkStart w:id="659" w:name="_Toc181683355"/>
      <w:r>
        <w:t>Part 1 Section 17.13.5.3, cellMerge (Vertically Merged/Split Table Cells)</w:t>
      </w:r>
      <w:bookmarkEnd w:id="658"/>
      <w:bookmarkEnd w:id="659"/>
      <w:r>
        <w:fldChar w:fldCharType="begin"/>
      </w:r>
      <w:r>
        <w:instrText xml:space="preserve"> XE "cellMerge (Vertically Merged/Split Table Cells)"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660" w:name="section_09390857bdfc41548f0d3a034116fc17"/>
      <w:bookmarkStart w:id="661" w:name="_Toc181683356"/>
      <w:r>
        <w:t>Part 1 Section 17.13.5.4, customXmlDelRangeEnd (Custom XML Markup Deletion End)</w:t>
      </w:r>
      <w:bookmarkEnd w:id="660"/>
      <w:bookmarkEnd w:id="661"/>
      <w:r>
        <w:fldChar w:fldCharType="begin"/>
      </w:r>
      <w:r>
        <w:instrText xml:space="preserve"> XE "custom</w:instrText>
      </w:r>
      <w:r>
        <w:instrText xml:space="preserve">XmlDelRangeEnd (Custom XML Markup Deletion End)"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The standard states that the customXmlDelRangeStart element applies deletion to customXml elements.</w:t>
      </w:r>
    </w:p>
    <w:p w:rsidR="000A156F" w:rsidRDefault="00A9721F">
      <w:pPr>
        <w:pStyle w:val="Definition-Field2"/>
      </w:pPr>
      <w:r>
        <w:t>Word uses this element to apply deletion to customXml elements and structured document tag element</w:t>
      </w:r>
      <w:r>
        <w:t>s.</w:t>
      </w:r>
    </w:p>
    <w:p w:rsidR="000A156F" w:rsidRDefault="00A9721F">
      <w:pPr>
        <w:pStyle w:val="Heading3"/>
      </w:pPr>
      <w:bookmarkStart w:id="662" w:name="section_01c325f9222f41cea66dfa32c38aa598"/>
      <w:bookmarkStart w:id="663" w:name="_Toc181683357"/>
      <w:r>
        <w:t>Part 1 Section 17.13.5.5, customXmlDelRangeStart (Custom XML Markup Deletion Start)</w:t>
      </w:r>
      <w:bookmarkEnd w:id="662"/>
      <w:bookmarkEnd w:id="663"/>
      <w:r>
        <w:fldChar w:fldCharType="begin"/>
      </w:r>
      <w:r>
        <w:instrText xml:space="preserve"> XE "customXmlDelRangeStart (Custom XML Markup Deletion Start)"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 xml:space="preserve">The </w:t>
      </w:r>
      <w:r>
        <w:rPr>
          <w:i/>
        </w:rPr>
        <w:t>standard states that the customXmlDelRangeStart element applies deletion to customXml elements.</w:t>
      </w:r>
    </w:p>
    <w:p w:rsidR="000A156F" w:rsidRDefault="00A9721F">
      <w:pPr>
        <w:pStyle w:val="Definition-Field2"/>
      </w:pPr>
      <w:r>
        <w:t>Word uses this element to apply deletion to customXml elements and structured document tag elements.</w:t>
      </w:r>
    </w:p>
    <w:p w:rsidR="000A156F" w:rsidRDefault="00A9721F">
      <w:pPr>
        <w:pStyle w:val="Definition-Field"/>
      </w:pPr>
      <w:r>
        <w:lastRenderedPageBreak/>
        <w:t xml:space="preserve">b.   </w:t>
      </w:r>
      <w:r>
        <w:rPr>
          <w:i/>
        </w:rPr>
        <w:t>The standard states that the range specified by a pair</w:t>
      </w:r>
      <w:r>
        <w:rPr>
          <w:i/>
        </w:rPr>
        <w:t xml:space="preserve"> of customXmlDelRangeStart and customXmlDelRangeEnd elements can overlap the range specified by another such pair of elements.</w:t>
      </w:r>
    </w:p>
    <w:p w:rsidR="000A156F" w:rsidRDefault="00A9721F">
      <w:pPr>
        <w:pStyle w:val="Definition-Field2"/>
      </w:pPr>
      <w:r>
        <w:t>Word does not allow the range specified by a pair of customXmlDelRangeStart and customXmlDelRangeEnd elements to overlap the rang</w:t>
      </w:r>
      <w:r>
        <w:t>e specified by any other such pair of elements.</w:t>
      </w:r>
    </w:p>
    <w:p w:rsidR="000A156F" w:rsidRDefault="00A9721F">
      <w:pPr>
        <w:pStyle w:val="Heading3"/>
      </w:pPr>
      <w:bookmarkStart w:id="664" w:name="section_66213ef21f7b4e3092edf96e46b5b5cc"/>
      <w:bookmarkStart w:id="665" w:name="_Toc181683358"/>
      <w:r>
        <w:t>Part 1 Section 17.13.5.6, customXmlInsRangeEnd (Custom XML Markup Insertion End)</w:t>
      </w:r>
      <w:bookmarkEnd w:id="664"/>
      <w:bookmarkEnd w:id="665"/>
      <w:r>
        <w:fldChar w:fldCharType="begin"/>
      </w:r>
      <w:r>
        <w:instrText xml:space="preserve"> XE "customXmlInsRangeEnd (Custom XML Markup Insertion End)" </w:instrText>
      </w:r>
      <w:r>
        <w:fldChar w:fldCharType="end"/>
      </w:r>
    </w:p>
    <w:p w:rsidR="000A156F" w:rsidRDefault="00A9721F">
      <w:pPr>
        <w:pStyle w:val="Definition-Field2"/>
      </w:pPr>
      <w:r>
        <w:rPr>
          <w:i/>
        </w:rPr>
        <w:t>For additional notes that apply to this portion of the standard,</w:t>
      </w:r>
      <w:r>
        <w:rPr>
          <w:i/>
        </w:rPr>
        <w:t xml:space="preserve">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w:t>
        </w:r>
        <w:r>
          <w:rPr>
            <w:rStyle w:val="Hyperlink"/>
          </w:rPr>
          <w:t>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 xml:space="preserve">The standard states that the customXmlInsRangeEnd element </w:t>
      </w:r>
      <w:r>
        <w:rPr>
          <w:i/>
        </w:rPr>
        <w:t>applies insertion to customXml elements.</w:t>
      </w:r>
    </w:p>
    <w:p w:rsidR="000A156F" w:rsidRDefault="00A9721F">
      <w:pPr>
        <w:pStyle w:val="Definition-Field2"/>
      </w:pPr>
      <w:r>
        <w:t>Word uses this element to apply insertion to customXml elements and structured document tag elements.</w:t>
      </w:r>
    </w:p>
    <w:p w:rsidR="000A156F" w:rsidRDefault="00A9721F">
      <w:pPr>
        <w:pStyle w:val="Heading3"/>
      </w:pPr>
      <w:bookmarkStart w:id="666" w:name="section_ca13fff5ae694458a26a848e9709382d"/>
      <w:bookmarkStart w:id="667" w:name="_Toc181683359"/>
      <w:r>
        <w:t>Part 1 Section 17.13.5.7, customXmlInsRangeStart (Custom XML Markup Insertion Start)</w:t>
      </w:r>
      <w:bookmarkEnd w:id="666"/>
      <w:bookmarkEnd w:id="667"/>
      <w:r>
        <w:fldChar w:fldCharType="begin"/>
      </w:r>
      <w:r>
        <w:instrText xml:space="preserve"> XE "customXmlInsRangeStart (</w:instrText>
      </w:r>
      <w:r>
        <w:instrText xml:space="preserve">Custom XML Markup Insertion Start)"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applies semantics and restrictions of both customXmlInsRangeStart and customXmlInsRangeEnd to customXmlInsRange</w:t>
      </w:r>
      <w:r>
        <w:rPr>
          <w:i/>
        </w:rPr>
        <w:t>Start.</w:t>
      </w:r>
    </w:p>
    <w:p w:rsidR="000A156F" w:rsidRDefault="00A9721F">
      <w:pPr>
        <w:pStyle w:val="Definition-Field2"/>
      </w:pPr>
      <w:r>
        <w:t>Word only applies the semantics and restrictions of customXmlInsRangeStart.</w:t>
      </w:r>
    </w:p>
    <w:p w:rsidR="000A156F" w:rsidRDefault="00A9721F">
      <w:pPr>
        <w:pStyle w:val="Definition-Field"/>
      </w:pPr>
      <w:r>
        <w:t xml:space="preserve">b.   </w:t>
      </w:r>
      <w:r>
        <w:rPr>
          <w:i/>
        </w:rPr>
        <w:t>The standard states that the customXmlInsRangeStart element applies insertion to customXml elements.</w:t>
      </w:r>
    </w:p>
    <w:p w:rsidR="000A156F" w:rsidRDefault="00A9721F">
      <w:pPr>
        <w:pStyle w:val="Definition-Field2"/>
      </w:pPr>
      <w:r>
        <w:t>Word uses this element to apply insertion to customXml elements and</w:t>
      </w:r>
      <w:r>
        <w:t xml:space="preserve"> structured document tag elements.</w:t>
      </w:r>
    </w:p>
    <w:p w:rsidR="000A156F" w:rsidRDefault="00A9721F">
      <w:pPr>
        <w:pStyle w:val="Definition-Field"/>
      </w:pPr>
      <w:r>
        <w:t xml:space="preserve">c.   </w:t>
      </w:r>
      <w:r>
        <w:rPr>
          <w:i/>
        </w:rPr>
        <w:t>The standard states that the range specified by a pair of customXmlInsRangeStart and customXmlInsRangeEnd elements can overlap the range specified by another such pair of elements.</w:t>
      </w:r>
    </w:p>
    <w:p w:rsidR="000A156F" w:rsidRDefault="00A9721F">
      <w:pPr>
        <w:pStyle w:val="Definition-Field2"/>
      </w:pPr>
      <w:r>
        <w:t xml:space="preserve">Word does not allow the range </w:t>
      </w:r>
      <w:r>
        <w:t>specified by a pair of customXmlInsRangeStart and customXmlInsRangeEnd elements to overlap the range specified by any other such pair of elements.</w:t>
      </w:r>
    </w:p>
    <w:p w:rsidR="000A156F" w:rsidRDefault="00A9721F">
      <w:pPr>
        <w:pStyle w:val="Heading3"/>
      </w:pPr>
      <w:bookmarkStart w:id="668" w:name="section_7174721fd51b496cb4e40a629713bef3"/>
      <w:bookmarkStart w:id="669" w:name="_Toc181683360"/>
      <w:r>
        <w:t>Part 1 Section 17.13.5.8, customXmlMoveFromRangeEnd (Custom XML Markup Move Source End)</w:t>
      </w:r>
      <w:bookmarkEnd w:id="668"/>
      <w:bookmarkEnd w:id="669"/>
      <w:r>
        <w:fldChar w:fldCharType="begin"/>
      </w:r>
      <w:r>
        <w:instrText xml:space="preserve"> XE "customXmlMoveFrom</w:instrText>
      </w:r>
      <w:r>
        <w:instrText xml:space="preserve">RangeEnd (Custom XML Markup Move Source End)"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The standard states that this element applies moveFrom to customXml elements.</w:t>
      </w:r>
    </w:p>
    <w:p w:rsidR="000A156F" w:rsidRDefault="00A9721F">
      <w:pPr>
        <w:pStyle w:val="Definition-Field2"/>
      </w:pPr>
      <w:r>
        <w:t>Word may use this element to apply moveFrom to structured document tag elements.</w:t>
      </w:r>
    </w:p>
    <w:p w:rsidR="000A156F" w:rsidRDefault="00A9721F">
      <w:pPr>
        <w:pStyle w:val="Heading3"/>
      </w:pPr>
      <w:bookmarkStart w:id="670" w:name="section_6e5e1e9d76ce40febad6bb846b2ce6e9"/>
      <w:bookmarkStart w:id="671" w:name="_Toc181683361"/>
      <w:r>
        <w:lastRenderedPageBreak/>
        <w:t>Part 1 Sec</w:t>
      </w:r>
      <w:r>
        <w:t>tion 17.13.5.9, customXmlMoveFromRangeStart (Custom XML Markup Move Source Start)</w:t>
      </w:r>
      <w:bookmarkEnd w:id="670"/>
      <w:bookmarkEnd w:id="671"/>
      <w:r>
        <w:fldChar w:fldCharType="begin"/>
      </w:r>
      <w:r>
        <w:instrText xml:space="preserve"> XE "customXmlMoveFromRangeStart (Custom XML Markup Move Source Start)"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w:t>
      </w:r>
      <w:r>
        <w:rPr>
          <w:i/>
        </w:rPr>
        <w:t>ndard states that this element applies moveFrom to customXml elements.</w:t>
      </w:r>
    </w:p>
    <w:p w:rsidR="000A156F" w:rsidRDefault="00A9721F">
      <w:pPr>
        <w:pStyle w:val="Definition-Field2"/>
      </w:pPr>
      <w:r>
        <w:t>Word also uses this element to apply moveFrom to structured document tag elements.</w:t>
      </w:r>
    </w:p>
    <w:p w:rsidR="000A156F" w:rsidRDefault="00A9721F">
      <w:pPr>
        <w:pStyle w:val="Definition-Field"/>
      </w:pPr>
      <w:r>
        <w:t xml:space="preserve">b.   </w:t>
      </w:r>
      <w:r>
        <w:rPr>
          <w:i/>
        </w:rPr>
        <w:t>The standard states that the range specified by a pair of customXmlMoveFromRangeStart and customX</w:t>
      </w:r>
      <w:r>
        <w:rPr>
          <w:i/>
        </w:rPr>
        <w:t>mlMoveFromRangeEnd elements can overlap the range specified by another such pair of elements.</w:t>
      </w:r>
    </w:p>
    <w:p w:rsidR="000A156F" w:rsidRDefault="00A9721F">
      <w:pPr>
        <w:pStyle w:val="Definition-Field2"/>
      </w:pPr>
      <w:r>
        <w:t>Word does not allow the range specified by a pair of customXmlMoveFromRangeStart and customXmlMoveFromRangeEnd elements to overlap the range specified by any othe</w:t>
      </w:r>
      <w:r>
        <w:t>r such pair of elements.</w:t>
      </w:r>
    </w:p>
    <w:p w:rsidR="000A156F" w:rsidRDefault="00A9721F">
      <w:pPr>
        <w:pStyle w:val="Definition-Field"/>
      </w:pPr>
      <w:r>
        <w:t xml:space="preserve">c.   </w:t>
      </w:r>
      <w:r>
        <w:rPr>
          <w:i/>
        </w:rPr>
        <w:t>The standard allows customXML move tracking to begin inside, end inside, or contain an oMathPara element.</w:t>
      </w:r>
    </w:p>
    <w:p w:rsidR="000A156F" w:rsidRDefault="00A9721F">
      <w:pPr>
        <w:pStyle w:val="Definition-Field2"/>
      </w:pPr>
      <w:r>
        <w:t>Word has unpredictable results when customXML move tracking begins inside, ends inside, or contains an oMathPara element</w:t>
      </w:r>
      <w:r>
        <w:t>.</w:t>
      </w:r>
    </w:p>
    <w:p w:rsidR="000A156F" w:rsidRDefault="00A9721F">
      <w:pPr>
        <w:pStyle w:val="Heading3"/>
      </w:pPr>
      <w:bookmarkStart w:id="672" w:name="section_f8238e0f99bf44689124e828a849cc16"/>
      <w:bookmarkStart w:id="673" w:name="_Toc181683362"/>
      <w:r>
        <w:t>Part 1 Section 17.13.5.10, customXmlMoveToRangeEnd (Custom XML Markup Move Destination Location End)</w:t>
      </w:r>
      <w:bookmarkEnd w:id="672"/>
      <w:bookmarkEnd w:id="673"/>
      <w:r>
        <w:fldChar w:fldCharType="begin"/>
      </w:r>
      <w:r>
        <w:instrText xml:space="preserve"> XE "customXmlMoveToRangeEnd (Custom XML Markup Move Destination Location End)" </w:instrText>
      </w:r>
      <w:r>
        <w:fldChar w:fldCharType="end"/>
      </w:r>
    </w:p>
    <w:p w:rsidR="000A156F" w:rsidRDefault="00A9721F">
      <w:pPr>
        <w:pStyle w:val="Definition-Field2"/>
      </w:pPr>
      <w:r>
        <w:rPr>
          <w:i/>
        </w:rPr>
        <w:t>For additional notes that apply to this portion of the standard, please</w:t>
      </w:r>
      <w:r>
        <w:rPr>
          <w:i/>
        </w:rPr>
        <w:t xml:space="preserv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 xml:space="preserve">sdt, </w:t>
        </w:r>
        <w:r>
          <w:rPr>
            <w:rStyle w:val="Hyperlink"/>
          </w:rPr>
          <w:t>§17.5.2.32(a)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The standard states that the customXmlMoveToRangeEnd element a</w:t>
      </w:r>
      <w:r>
        <w:rPr>
          <w:i/>
        </w:rPr>
        <w:t>pplies moveTo to customXml elements.</w:t>
      </w:r>
    </w:p>
    <w:p w:rsidR="000A156F" w:rsidRDefault="00A9721F">
      <w:pPr>
        <w:pStyle w:val="Definition-Field2"/>
      </w:pPr>
      <w:r>
        <w:t>Word also uses this element to apply moveTo to structured document tag elements.</w:t>
      </w:r>
    </w:p>
    <w:p w:rsidR="000A156F" w:rsidRDefault="00A9721F">
      <w:pPr>
        <w:pStyle w:val="Definition-Field"/>
      </w:pPr>
      <w:r>
        <w:t xml:space="preserve">b.   </w:t>
      </w:r>
      <w:r>
        <w:rPr>
          <w:i/>
        </w:rPr>
        <w:t>The standard states that the document is non-conformant if customXmlMoveToRangeEnd is not contained in a move source container.</w:t>
      </w:r>
    </w:p>
    <w:p w:rsidR="000A156F" w:rsidRDefault="00A9721F">
      <w:pPr>
        <w:pStyle w:val="Definition-Field2"/>
      </w:pPr>
      <w:r>
        <w:t xml:space="preserve">Word </w:t>
      </w:r>
      <w:r>
        <w:t>ignores customXmlMoveToRangeEnd if it is contained in a move source container.</w:t>
      </w:r>
    </w:p>
    <w:p w:rsidR="000A156F" w:rsidRDefault="00A9721F">
      <w:pPr>
        <w:pStyle w:val="Definition-Field"/>
      </w:pPr>
      <w:r>
        <w:t xml:space="preserve">c.   </w:t>
      </w:r>
      <w:r>
        <w:rPr>
          <w:i/>
        </w:rPr>
        <w:t>The standard states that the document is non-conformant if customXmlMoveToRangeEnd is not contained in a move source container.</w:t>
      </w:r>
    </w:p>
    <w:p w:rsidR="000A156F" w:rsidRDefault="00A9721F">
      <w:pPr>
        <w:pStyle w:val="Definition-Field2"/>
      </w:pPr>
      <w:r>
        <w:t>Word always writes the customXmlMoveToRangeE</w:t>
      </w:r>
      <w:r>
        <w:t>nd in a move destination container.</w:t>
      </w:r>
    </w:p>
    <w:p w:rsidR="000A156F" w:rsidRDefault="00A9721F">
      <w:pPr>
        <w:pStyle w:val="Heading3"/>
      </w:pPr>
      <w:bookmarkStart w:id="674" w:name="section_5aad40547dc943e0927ee80dd560511b"/>
      <w:bookmarkStart w:id="675" w:name="_Toc181683363"/>
      <w:r>
        <w:t>Part 1 Section 17.13.5.11, customXmlMoveToRangeStart (Custom XML Markup Move Destination Location Start)</w:t>
      </w:r>
      <w:bookmarkEnd w:id="674"/>
      <w:bookmarkEnd w:id="675"/>
      <w:r>
        <w:fldChar w:fldCharType="begin"/>
      </w:r>
      <w:r>
        <w:instrText xml:space="preserve"> XE "customXmlMoveToRangeStart (Custom XML Markup Move Destination Location Start)" </w:instrText>
      </w:r>
      <w:r>
        <w:fldChar w:fldCharType="end"/>
      </w:r>
    </w:p>
    <w:p w:rsidR="000A156F" w:rsidRDefault="00A9721F">
      <w:pPr>
        <w:pStyle w:val="Definition-Field2"/>
      </w:pPr>
      <w:r>
        <w:rPr>
          <w:i/>
        </w:rPr>
        <w:t>For additional notes that app</w:t>
      </w:r>
      <w:r>
        <w:rPr>
          <w:i/>
        </w:rPr>
        <w:t xml:space="preserve">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states that the customXmlMoveToRangeStart element applies moveTo to customXml elements.</w:t>
      </w:r>
    </w:p>
    <w:p w:rsidR="000A156F" w:rsidRDefault="00A9721F">
      <w:pPr>
        <w:pStyle w:val="Definition-Field2"/>
      </w:pPr>
      <w:r>
        <w:t>Word also uses this element to apply moveTo to structured document tag elements.</w:t>
      </w:r>
    </w:p>
    <w:p w:rsidR="000A156F" w:rsidRDefault="00A9721F">
      <w:pPr>
        <w:pStyle w:val="Definition-Field"/>
      </w:pPr>
      <w:r>
        <w:lastRenderedPageBreak/>
        <w:t xml:space="preserve">b.   </w:t>
      </w:r>
      <w:r>
        <w:rPr>
          <w:i/>
        </w:rPr>
        <w:t>The s</w:t>
      </w:r>
      <w:r>
        <w:rPr>
          <w:i/>
        </w:rPr>
        <w:t>tandard states that the range specified by a pair of customXmlMoveToRangeStart and customXmlMoveToRangeEnd elements can overlap the range specified by another such pair of elements.</w:t>
      </w:r>
    </w:p>
    <w:p w:rsidR="000A156F" w:rsidRDefault="00A9721F">
      <w:pPr>
        <w:pStyle w:val="Definition-Field2"/>
      </w:pPr>
      <w:r>
        <w:t>Word does not allow the range specified by a pair of customXmlMoveToRangeS</w:t>
      </w:r>
      <w:r>
        <w:t>tart and customXmlMoveToRangeEnd elements to overlap the range specified by any other such pair of elements.</w:t>
      </w:r>
    </w:p>
    <w:p w:rsidR="000A156F" w:rsidRDefault="00A9721F">
      <w:pPr>
        <w:pStyle w:val="Definition-Field"/>
      </w:pPr>
      <w:r>
        <w:t xml:space="preserve">c.   </w:t>
      </w:r>
      <w:r>
        <w:rPr>
          <w:i/>
        </w:rPr>
        <w:t>The standard allows customXML move tracking to begin inside, end inside, or contain an oMathPara element.</w:t>
      </w:r>
    </w:p>
    <w:p w:rsidR="000A156F" w:rsidRDefault="00A9721F">
      <w:pPr>
        <w:pStyle w:val="Definition-Field2"/>
      </w:pPr>
      <w:r>
        <w:t>Word has unpredictable behavior when</w:t>
      </w:r>
      <w:r>
        <w:t xml:space="preserve"> customXML move tracking begins inside, ends inside, or contains an oMathPara element.</w:t>
      </w:r>
    </w:p>
    <w:p w:rsidR="000A156F" w:rsidRDefault="00A9721F">
      <w:pPr>
        <w:pStyle w:val="Definition-Field"/>
      </w:pPr>
      <w:r>
        <w:t xml:space="preserve">d.   </w:t>
      </w:r>
      <w:r>
        <w:rPr>
          <w:i/>
        </w:rPr>
        <w:t>The standard states that the document is non-conformant if customXmlMoveToRangeStart is not contained in a move source container.</w:t>
      </w:r>
    </w:p>
    <w:p w:rsidR="000A156F" w:rsidRDefault="00A9721F">
      <w:pPr>
        <w:pStyle w:val="Definition-Field2"/>
      </w:pPr>
      <w:r>
        <w:t xml:space="preserve">Word ignores </w:t>
      </w:r>
      <w:r>
        <w:t>customXmlMoveToRangeStart if it is contained in a move source container.</w:t>
      </w:r>
    </w:p>
    <w:p w:rsidR="000A156F" w:rsidRDefault="00A9721F">
      <w:pPr>
        <w:pStyle w:val="Definition-Field"/>
      </w:pPr>
      <w:r>
        <w:t xml:space="preserve">e.   </w:t>
      </w:r>
      <w:r>
        <w:rPr>
          <w:i/>
        </w:rPr>
        <w:t>The standard states that the document is non-conformant if customXmlMoveToRangeStart is not contained in a move source container.</w:t>
      </w:r>
    </w:p>
    <w:p w:rsidR="000A156F" w:rsidRDefault="00A9721F">
      <w:pPr>
        <w:pStyle w:val="Definition-Field2"/>
      </w:pPr>
      <w:r>
        <w:t>Word always writes the customXmlMoveToRangeStart</w:t>
      </w:r>
      <w:r>
        <w:t xml:space="preserve"> in a move destination container.</w:t>
      </w:r>
    </w:p>
    <w:p w:rsidR="000A156F" w:rsidRDefault="00A9721F">
      <w:pPr>
        <w:pStyle w:val="Heading3"/>
      </w:pPr>
      <w:bookmarkStart w:id="676" w:name="section_ee129f764bdb46c7be1ad1c7d2bf7ad3"/>
      <w:bookmarkStart w:id="677" w:name="_Toc181683364"/>
      <w:r>
        <w:t>Part 1 Section 17.13.5.12, del (Deleted Table Row)</w:t>
      </w:r>
      <w:bookmarkEnd w:id="676"/>
      <w:bookmarkEnd w:id="677"/>
      <w:r>
        <w:fldChar w:fldCharType="begin"/>
      </w:r>
      <w:r>
        <w:instrText xml:space="preserve"> XE "del (Deleted Table Row)"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678" w:name="section_0a4ccd31153b4a47b3ffc070a3743a70"/>
      <w:bookmarkStart w:id="679" w:name="_Toc181683365"/>
      <w:r>
        <w:t>Part 1 Section 17.13.5.13, del (Deleted Math Control Character)</w:t>
      </w:r>
      <w:bookmarkEnd w:id="678"/>
      <w:bookmarkEnd w:id="679"/>
      <w:r>
        <w:fldChar w:fldCharType="begin"/>
      </w:r>
      <w:r>
        <w:instrText xml:space="preserve"> XE "del (Deleted Math Co</w:instrText>
      </w:r>
      <w:r>
        <w:instrText xml:space="preserve">ntrol Character)"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states that the rPr (Previous Run Propert</w:t>
      </w:r>
      <w:r>
        <w:rPr>
          <w:i/>
        </w:rPr>
        <w:t>ies) element is a valid child.</w:t>
      </w:r>
    </w:p>
    <w:p w:rsidR="000A156F" w:rsidRDefault="00A9721F">
      <w:pPr>
        <w:pStyle w:val="Definition-Field2"/>
      </w:pPr>
      <w:r>
        <w:t>Word allows the rPr (Run Properties) element, not the rPr (Previous Run Properties) element, to be a child.</w:t>
      </w:r>
    </w:p>
    <w:p w:rsidR="000A156F" w:rsidRDefault="00A9721F">
      <w:pPr>
        <w:pStyle w:val="Heading3"/>
      </w:pPr>
      <w:bookmarkStart w:id="680" w:name="section_97b1a91213164dcbba0d45f59f6662f9"/>
      <w:bookmarkStart w:id="681" w:name="_Toc181683366"/>
      <w:r>
        <w:t>Part 1 Section 17.13.5.14, del (Deleted Run Content)</w:t>
      </w:r>
      <w:bookmarkEnd w:id="680"/>
      <w:bookmarkEnd w:id="681"/>
      <w:r>
        <w:fldChar w:fldCharType="begin"/>
      </w:r>
      <w:r>
        <w:instrText xml:space="preserve"> XE "del (Deleted Run Content)" </w:instrText>
      </w:r>
      <w:r>
        <w:fldChar w:fldCharType="end"/>
      </w:r>
    </w:p>
    <w:p w:rsidR="000A156F" w:rsidRDefault="00A9721F">
      <w:pPr>
        <w:pStyle w:val="Definition-Field2"/>
      </w:pPr>
      <w:r>
        <w:rPr>
          <w:i/>
        </w:rPr>
        <w:t>For additional notes that appl</w:t>
      </w:r>
      <w:r>
        <w:rPr>
          <w:i/>
        </w:rPr>
        <w:t xml:space="preserve">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allows nested deletions.</w:t>
      </w:r>
    </w:p>
    <w:p w:rsidR="000A156F" w:rsidRDefault="00A9721F">
      <w:pPr>
        <w:pStyle w:val="Definition-Field2"/>
      </w:pPr>
      <w:r>
        <w:t>Word does not support nested deletions.</w:t>
      </w:r>
    </w:p>
    <w:p w:rsidR="000A156F" w:rsidRDefault="00A9721F">
      <w:pPr>
        <w:pStyle w:val="Heading3"/>
      </w:pPr>
      <w:bookmarkStart w:id="682" w:name="section_8b5f240eeddd4650923cca36a8c37094"/>
      <w:bookmarkStart w:id="683" w:name="_Toc181683367"/>
      <w:r>
        <w:t>Part 1 Section 17.13</w:t>
      </w:r>
      <w:r>
        <w:t>.5.15, del (Deleted Paragraph)</w:t>
      </w:r>
      <w:bookmarkEnd w:id="682"/>
      <w:bookmarkEnd w:id="683"/>
      <w:r>
        <w:fldChar w:fldCharType="begin"/>
      </w:r>
      <w:r>
        <w:instrText xml:space="preserve"> XE "del (Deleted Paragraph)"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684" w:name="section_e0eecaacdbe94cb8a4914ad994c6976f"/>
      <w:bookmarkStart w:id="685" w:name="_Toc181683368"/>
      <w:r>
        <w:lastRenderedPageBreak/>
        <w:t>Part 1 Section 17.13.5.16, ins (Inserted Math Control Character)</w:t>
      </w:r>
      <w:bookmarkEnd w:id="684"/>
      <w:bookmarkEnd w:id="685"/>
      <w:r>
        <w:fldChar w:fldCharType="begin"/>
      </w:r>
      <w:r>
        <w:instrText xml:space="preserve"> XE "ins (Inserted Math</w:instrText>
      </w:r>
      <w:r>
        <w:instrText xml:space="preserve"> Control Character)"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states that the rPr (Previous Run Prop</w:t>
      </w:r>
      <w:r>
        <w:rPr>
          <w:i/>
        </w:rPr>
        <w:t>erties) element is a valid child.</w:t>
      </w:r>
    </w:p>
    <w:p w:rsidR="000A156F" w:rsidRDefault="00A9721F">
      <w:pPr>
        <w:pStyle w:val="Definition-Field2"/>
      </w:pPr>
      <w:r>
        <w:t>Word allows the rPr (Run Properties) element, not the rPr (Previous Run Properties) element, to be a child.</w:t>
      </w:r>
    </w:p>
    <w:p w:rsidR="000A156F" w:rsidRDefault="00A9721F">
      <w:pPr>
        <w:pStyle w:val="Definition-Field"/>
      </w:pPr>
      <w:r>
        <w:t xml:space="preserve">b.   </w:t>
      </w:r>
      <w:r>
        <w:rPr>
          <w:i/>
        </w:rPr>
        <w:t>The standard states that the minOccurs value for the rPr child element is 1.</w:t>
      </w:r>
    </w:p>
    <w:p w:rsidR="000A156F" w:rsidRDefault="00A9721F">
      <w:pPr>
        <w:pStyle w:val="Definition-Field2"/>
      </w:pPr>
      <w:r>
        <w:t>Word does not require an occurre</w:t>
      </w:r>
      <w:r>
        <w:t>nce of this element.</w:t>
      </w:r>
    </w:p>
    <w:p w:rsidR="000A156F" w:rsidRDefault="00A9721F">
      <w:pPr>
        <w:pStyle w:val="Heading3"/>
      </w:pPr>
      <w:bookmarkStart w:id="686" w:name="section_70498abcdc0b4c418e8dd1bd5044ebe6"/>
      <w:bookmarkStart w:id="687" w:name="_Toc181683369"/>
      <w:r>
        <w:t>Part 1 Section 17.13.5.17, ins (Inserted Table Row)</w:t>
      </w:r>
      <w:bookmarkEnd w:id="686"/>
      <w:bookmarkEnd w:id="687"/>
      <w:r>
        <w:fldChar w:fldCharType="begin"/>
      </w:r>
      <w:r>
        <w:instrText xml:space="preserve"> XE "ins (Inserted Table Row)"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688" w:name="section_960dd70180364eedb52a774caf7075d2"/>
      <w:bookmarkStart w:id="689" w:name="_Toc181683370"/>
      <w:r>
        <w:t>Part 1 Section 17.13.5.18, ins (Inserted Run Content)</w:t>
      </w:r>
      <w:bookmarkEnd w:id="688"/>
      <w:bookmarkEnd w:id="689"/>
      <w:r>
        <w:fldChar w:fldCharType="begin"/>
      </w:r>
      <w:r>
        <w:instrText xml:space="preserve"> XE "ins (Inserted Run Content)" </w:instrText>
      </w:r>
      <w:r>
        <w:fldChar w:fldCharType="end"/>
      </w:r>
    </w:p>
    <w:p w:rsidR="000A156F" w:rsidRDefault="00A9721F">
      <w:pPr>
        <w:pStyle w:val="Definition-Field2"/>
      </w:pPr>
      <w:r>
        <w:rPr>
          <w:i/>
        </w:rPr>
        <w:t>For additional notes that apply to this portion of the st</w:t>
      </w:r>
      <w:r>
        <w:rPr>
          <w:i/>
        </w:rPr>
        <w:t xml:space="preserve">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The standard allows nested insertions.</w:t>
      </w:r>
    </w:p>
    <w:p w:rsidR="000A156F" w:rsidRDefault="00A9721F">
      <w:pPr>
        <w:pStyle w:val="Definition-Field2"/>
      </w:pPr>
      <w:r>
        <w:t>Word does not support nested insertions.</w:t>
      </w:r>
    </w:p>
    <w:p w:rsidR="000A156F" w:rsidRDefault="00A9721F">
      <w:pPr>
        <w:pStyle w:val="Definition-Field"/>
      </w:pPr>
      <w:r>
        <w:t xml:space="preserve">b.   </w:t>
      </w:r>
      <w:r>
        <w:rPr>
          <w:i/>
        </w:rPr>
        <w:t>The standard states that the author attribute is required, but the prose defines its behavior when omitted.</w:t>
      </w:r>
    </w:p>
    <w:p w:rsidR="000A156F" w:rsidRDefault="00A9721F">
      <w:pPr>
        <w:pStyle w:val="Definition-Field2"/>
      </w:pPr>
      <w:r>
        <w:t xml:space="preserve">Word behaves </w:t>
      </w:r>
      <w:r>
        <w:t>according to schema - the author attribute is required.</w:t>
      </w:r>
    </w:p>
    <w:p w:rsidR="000A156F" w:rsidRDefault="00A9721F">
      <w:pPr>
        <w:pStyle w:val="Heading3"/>
      </w:pPr>
      <w:bookmarkStart w:id="690" w:name="section_2e24b3f2b745464e8194e4e074058b0c"/>
      <w:bookmarkStart w:id="691" w:name="_Toc181683371"/>
      <w:r>
        <w:t>Part 1 Section 17.13.5.19, ins (Inserted Numbering Properties)</w:t>
      </w:r>
      <w:bookmarkEnd w:id="690"/>
      <w:bookmarkEnd w:id="691"/>
      <w:r>
        <w:fldChar w:fldCharType="begin"/>
      </w:r>
      <w:r>
        <w:instrText xml:space="preserve"> XE "ins (Inserted Numbering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692" w:name="section_1d66ba8a1eeb4cffab8aeaa79113cc89"/>
      <w:bookmarkStart w:id="693" w:name="_Toc181683372"/>
      <w:r>
        <w:t>P</w:t>
      </w:r>
      <w:r>
        <w:t>art 1 Section 17.13.5.20, ins (Inserted Paragraph)</w:t>
      </w:r>
      <w:bookmarkEnd w:id="692"/>
      <w:bookmarkEnd w:id="693"/>
      <w:r>
        <w:fldChar w:fldCharType="begin"/>
      </w:r>
      <w:r>
        <w:instrText xml:space="preserve"> XE "ins (Inserted Paragraph)"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w:t>
        </w:r>
        <w:r>
          <w:rPr>
            <w:rStyle w:val="Hyperlink"/>
          </w:rPr>
          <w:t>(c)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states that this element specifies that a paragraph mark shall</w:t>
      </w:r>
      <w:r>
        <w:rPr>
          <w:i/>
        </w:rPr>
        <w:t xml:space="preserve"> be treated as deleted (that is, the contents of this paragraph are no longer delimited by this paragraph mark, and are combined with the following paragraph).</w:t>
      </w:r>
    </w:p>
    <w:p w:rsidR="000A156F" w:rsidRDefault="00A9721F">
      <w:pPr>
        <w:pStyle w:val="Definition-Field2"/>
      </w:pPr>
      <w:r>
        <w:t>Word uses this element to specify that the paragraph mark shall be treated as inserted (that is,</w:t>
      </w:r>
      <w:r>
        <w:t xml:space="preserve"> the contents of this paragraph used to be combined with the following paragraph but were moved into a new paragraph).</w:t>
      </w:r>
    </w:p>
    <w:p w:rsidR="000A156F" w:rsidRDefault="00A9721F">
      <w:pPr>
        <w:pStyle w:val="Heading3"/>
      </w:pPr>
      <w:bookmarkStart w:id="694" w:name="section_123328dcd0324adcbdd39388ff472ea2"/>
      <w:bookmarkStart w:id="695" w:name="_Toc181683373"/>
      <w:r>
        <w:t>Part 1 Section 17.13.5.21, moveFrom (Move Source Paragraph)</w:t>
      </w:r>
      <w:bookmarkEnd w:id="694"/>
      <w:bookmarkEnd w:id="695"/>
      <w:r>
        <w:fldChar w:fldCharType="begin"/>
      </w:r>
      <w:r>
        <w:instrText xml:space="preserve"> XE "moveFrom (Move Source Paragraph)" </w:instrText>
      </w:r>
      <w:r>
        <w:fldChar w:fldCharType="end"/>
      </w:r>
    </w:p>
    <w:p w:rsidR="000A156F" w:rsidRDefault="00A9721F">
      <w:pPr>
        <w:pStyle w:val="Definition-Field2"/>
      </w:pPr>
      <w:r>
        <w:rPr>
          <w:i/>
        </w:rPr>
        <w:t>For additional notes that apply to t</w:t>
      </w:r>
      <w:r>
        <w:rPr>
          <w:i/>
        </w:rPr>
        <w:t xml:space="preserve">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specifies semantics for this element.</w:t>
      </w:r>
    </w:p>
    <w:p w:rsidR="000A156F" w:rsidRDefault="00A9721F">
      <w:pPr>
        <w:pStyle w:val="Definition-Field2"/>
      </w:pPr>
      <w:r>
        <w:lastRenderedPageBreak/>
        <w:t>Word ignores this element.</w:t>
      </w:r>
    </w:p>
    <w:p w:rsidR="000A156F" w:rsidRDefault="00A9721F">
      <w:pPr>
        <w:pStyle w:val="Heading3"/>
      </w:pPr>
      <w:bookmarkStart w:id="696" w:name="section_70a0803b276e4570a179bc29869d6701"/>
      <w:bookmarkStart w:id="697" w:name="_Toc181683374"/>
      <w:r>
        <w:t>Part 1 Section 17.13.5.22, moveFrom (Move Source Run Content)</w:t>
      </w:r>
      <w:bookmarkEnd w:id="696"/>
      <w:bookmarkEnd w:id="697"/>
      <w:r>
        <w:fldChar w:fldCharType="begin"/>
      </w:r>
      <w:r>
        <w:instrText xml:space="preserve"> XE "moveFrom (Move Source Run Content)" </w:instrText>
      </w:r>
      <w:r>
        <w:fldChar w:fldCharType="end"/>
      </w:r>
    </w:p>
    <w:p w:rsidR="000A156F" w:rsidRDefault="00A9721F">
      <w:pPr>
        <w:pStyle w:val="Definition-Field2"/>
      </w:pPr>
      <w:r>
        <w:rPr>
          <w:i/>
        </w:rPr>
        <w:t>For addition</w:t>
      </w:r>
      <w:r>
        <w:rPr>
          <w:i/>
        </w:rPr>
        <w:t xml:space="preserve">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allows moveFrom to be nested.</w:t>
      </w:r>
    </w:p>
    <w:p w:rsidR="000A156F" w:rsidRDefault="00A9721F">
      <w:pPr>
        <w:pStyle w:val="Definition-Field2"/>
      </w:pPr>
      <w:r>
        <w:t>Word does not support nesting moveFro</w:t>
      </w:r>
      <w:r>
        <w:t>m.</w:t>
      </w:r>
    </w:p>
    <w:p w:rsidR="000A156F" w:rsidRDefault="00A9721F">
      <w:pPr>
        <w:pStyle w:val="Definition-Field"/>
      </w:pPr>
      <w:r>
        <w:t xml:space="preserve">b.   </w:t>
      </w:r>
      <w:r>
        <w:rPr>
          <w:i/>
        </w:rPr>
        <w:t>The standard allows tracked moves in math objects and functions.</w:t>
      </w:r>
    </w:p>
    <w:p w:rsidR="000A156F" w:rsidRDefault="00A9721F">
      <w:pPr>
        <w:pStyle w:val="Definition-Field2"/>
      </w:pPr>
      <w:r>
        <w:t>Word treats tracked moves (moveFrom, moveTo) in math objects and functions as insertions and deletions.</w:t>
      </w:r>
    </w:p>
    <w:p w:rsidR="000A156F" w:rsidRDefault="00A9721F">
      <w:pPr>
        <w:pStyle w:val="Heading3"/>
      </w:pPr>
      <w:bookmarkStart w:id="698" w:name="section_f90cd8b7925d4d049a0385f33bc74843"/>
      <w:bookmarkStart w:id="699" w:name="_Toc181683375"/>
      <w:r>
        <w:t>Part 1 Section 17.13.5.23, moveFromRangeEnd (Move Source Location Container - E</w:t>
      </w:r>
      <w:r>
        <w:t>nd)</w:t>
      </w:r>
      <w:bookmarkEnd w:id="698"/>
      <w:bookmarkEnd w:id="699"/>
      <w:r>
        <w:fldChar w:fldCharType="begin"/>
      </w:r>
      <w:r>
        <w:instrText xml:space="preserve"> XE "moveFromRangeEnd (Move Source Location Container - End)"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A156F" w:rsidRDefault="00A9721F">
      <w:pPr>
        <w:pStyle w:val="Heading3"/>
      </w:pPr>
      <w:bookmarkStart w:id="700" w:name="section_5214839b61db423aa618a375b90fd0a8"/>
      <w:bookmarkStart w:id="701" w:name="_Toc181683376"/>
      <w:r>
        <w:t>Part 1 Section 17.13.5.24, moveFromRangeStart (Move Source Location Container - Start)</w:t>
      </w:r>
      <w:bookmarkEnd w:id="700"/>
      <w:bookmarkEnd w:id="701"/>
      <w:r>
        <w:fldChar w:fldCharType="begin"/>
      </w:r>
      <w:r>
        <w:instrText xml:space="preserve"> XE "moveFromRangeStart (Move Source Location Container - Start)" </w:instrText>
      </w:r>
      <w:r>
        <w:fldChar w:fldCharType="end"/>
      </w:r>
    </w:p>
    <w:p w:rsidR="000A156F" w:rsidRDefault="00A9721F">
      <w:pPr>
        <w:pStyle w:val="Definition-Field2"/>
      </w:pPr>
      <w:r>
        <w:rPr>
          <w:i/>
        </w:rPr>
        <w:t xml:space="preserve">For additional notes that apply </w:t>
      </w:r>
      <w:r>
        <w:rPr>
          <w:i/>
        </w:rPr>
        <w:t xml:space="preserve">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0A156F" w:rsidRDefault="00A9721F">
      <w:pPr>
        <w:pStyle w:val="Definition-Field"/>
      </w:pPr>
      <w:r>
        <w:t xml:space="preserve">a.   </w:t>
      </w:r>
      <w:r>
        <w:rPr>
          <w:i/>
        </w:rPr>
        <w:t>The standard allows an unbounded number of moveFrom/moveTo ranges.</w:t>
      </w:r>
    </w:p>
    <w:p w:rsidR="000A156F" w:rsidRDefault="00A9721F">
      <w:pPr>
        <w:pStyle w:val="Definition-Field2"/>
      </w:pPr>
      <w:r>
        <w:t>Word will not open a document with too many moveFrom/moveTo ranges. If the uiCompat97to2003 is set, the maximum is 32,75</w:t>
      </w:r>
      <w:r>
        <w:t>1; otherwise the maximum is 2,147,483,647.</w:t>
      </w:r>
    </w:p>
    <w:p w:rsidR="000A156F" w:rsidRDefault="00A9721F">
      <w:pPr>
        <w:pStyle w:val="Heading3"/>
      </w:pPr>
      <w:bookmarkStart w:id="702" w:name="section_4fffb314e0bf4947af2079d7ca0448d5"/>
      <w:bookmarkStart w:id="703" w:name="_Toc181683377"/>
      <w:r>
        <w:t>Part 1 Section 17.13.5.25, moveTo (Move Destination Run Content)</w:t>
      </w:r>
      <w:bookmarkEnd w:id="702"/>
      <w:bookmarkEnd w:id="703"/>
      <w:r>
        <w:fldChar w:fldCharType="begin"/>
      </w:r>
      <w:r>
        <w:instrText xml:space="preserve"> XE "moveTo (Move Destination Run Content)"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w:t>
        </w:r>
        <w:r>
          <w:rPr>
            <w:rStyle w:val="Hyperlink"/>
          </w:rPr>
          <w:t>.1(a)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allows the moveTo element to be a descendant of another moveTo element.</w:t>
      </w:r>
    </w:p>
    <w:p w:rsidR="000A156F" w:rsidRDefault="00A9721F">
      <w:pPr>
        <w:pStyle w:val="Definition-Field2"/>
      </w:pPr>
      <w:r>
        <w:t>Word does not allow the moveTo element to be a descendant of another moveTo</w:t>
      </w:r>
      <w:r>
        <w:t xml:space="preserve"> element.</w:t>
      </w:r>
    </w:p>
    <w:p w:rsidR="000A156F" w:rsidRDefault="00A9721F">
      <w:pPr>
        <w:pStyle w:val="Definition-Field"/>
      </w:pPr>
      <w:r>
        <w:t xml:space="preserve">b.   </w:t>
      </w:r>
      <w:r>
        <w:rPr>
          <w:i/>
        </w:rPr>
        <w:t>The standard allows tracked moves in math objects and functions.</w:t>
      </w:r>
    </w:p>
    <w:p w:rsidR="000A156F" w:rsidRDefault="00A9721F">
      <w:pPr>
        <w:pStyle w:val="Definition-Field2"/>
      </w:pPr>
      <w:r>
        <w:t>Word treats tracked moves (moveFrom, moveTo) in math objects and functions as deletions and insertions.</w:t>
      </w:r>
    </w:p>
    <w:p w:rsidR="000A156F" w:rsidRDefault="00A9721F">
      <w:pPr>
        <w:pStyle w:val="Heading3"/>
      </w:pPr>
      <w:bookmarkStart w:id="704" w:name="section_dafb64ea058d4c1fa592c3c6c8df91c6"/>
      <w:bookmarkStart w:id="705" w:name="_Toc181683378"/>
      <w:r>
        <w:t>Part 1 Section 17.13.5.26, moveTo (Move Destination Paragraph)</w:t>
      </w:r>
      <w:bookmarkEnd w:id="704"/>
      <w:bookmarkEnd w:id="705"/>
      <w:r>
        <w:fldChar w:fldCharType="begin"/>
      </w:r>
      <w:r>
        <w:instrText xml:space="preserve"> XE "moveTo (Move Destination Paragraph)"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specifies semantics for this element.</w:t>
      </w:r>
    </w:p>
    <w:p w:rsidR="000A156F" w:rsidRDefault="00A9721F">
      <w:pPr>
        <w:pStyle w:val="Definition-Field2"/>
      </w:pPr>
      <w:r>
        <w:lastRenderedPageBreak/>
        <w:t>Word ignores this element.</w:t>
      </w:r>
    </w:p>
    <w:p w:rsidR="000A156F" w:rsidRDefault="00A9721F">
      <w:pPr>
        <w:pStyle w:val="Heading3"/>
      </w:pPr>
      <w:bookmarkStart w:id="706" w:name="section_8e9341b0a75f40009e2209c559e8a4ce"/>
      <w:bookmarkStart w:id="707" w:name="_Toc181683379"/>
      <w:r>
        <w:t>Part 1 Section 17.13.5.27, moveToRan</w:t>
      </w:r>
      <w:r>
        <w:t>geEnd (Move Destination Location Container - End)</w:t>
      </w:r>
      <w:bookmarkEnd w:id="706"/>
      <w:bookmarkEnd w:id="707"/>
      <w:r>
        <w:fldChar w:fldCharType="begin"/>
      </w:r>
      <w:r>
        <w:instrText xml:space="preserve"> XE "moveToRangeEnd (Move Destination Location Container - End)"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The standard does not specify any restrictions concerning multiple moveToRangeEnd elements with the same id attribute value.</w:t>
      </w:r>
    </w:p>
    <w:p w:rsidR="000A156F" w:rsidRDefault="00A9721F">
      <w:pPr>
        <w:pStyle w:val="Definition-Field2"/>
      </w:pPr>
      <w:r>
        <w:t>Word wil</w:t>
      </w:r>
      <w:r>
        <w:t>l use the first moveToRangeEnd element (in document order) to determine the end of the destination container</w:t>
      </w:r>
    </w:p>
    <w:p w:rsidR="000A156F" w:rsidRDefault="00A9721F">
      <w:pPr>
        <w:pStyle w:val="Heading3"/>
      </w:pPr>
      <w:bookmarkStart w:id="708" w:name="section_03c98d1c57d84c05bd1b76e79d3673a4"/>
      <w:bookmarkStart w:id="709" w:name="_Toc181683380"/>
      <w:r>
        <w:t>Part 1 Section 17.13.5.28, moveToRangeStart (Move Destination Location Container - Start)</w:t>
      </w:r>
      <w:bookmarkEnd w:id="708"/>
      <w:bookmarkEnd w:id="709"/>
      <w:r>
        <w:fldChar w:fldCharType="begin"/>
      </w:r>
      <w:r>
        <w:instrText xml:space="preserve"> XE "moveToRangeStart (Move Destination Location Container</w:instrText>
      </w:r>
      <w:r>
        <w:instrText xml:space="preserve"> - Start)"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 xml:space="preserve">sdt, </w:t>
        </w:r>
        <w:r>
          <w:rPr>
            <w:rStyle w:val="Hyperlink"/>
          </w:rPr>
          <w:t>§17.5.2.31(a)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w:t>
        </w:r>
        <w:r>
          <w:rPr>
            <w:rStyle w:val="Hyperlink"/>
          </w:rPr>
          <w:t xml:space="preserve"> §17.13.5.1(a)</w:t>
        </w:r>
      </w:hyperlink>
      <w:r>
        <w:rPr>
          <w:i/>
        </w:rPr>
        <w:t xml:space="preserve">; </w:t>
      </w:r>
      <w:hyperlink w:anchor="Section_da8b8f592af149d98553f0c1ff2fb18d">
        <w:r>
          <w:rPr>
            <w:rStyle w:val="Hyperlink"/>
          </w:rPr>
          <w:t>bookmarkStart, §17.13.6.2(a-e)</w:t>
        </w:r>
      </w:hyperlink>
      <w:r>
        <w:rPr>
          <w:i/>
        </w:rPr>
        <w:t>.</w:t>
      </w:r>
    </w:p>
    <w:p w:rsidR="000A156F" w:rsidRDefault="00A9721F">
      <w:pPr>
        <w:pStyle w:val="Heading3"/>
      </w:pPr>
      <w:bookmarkStart w:id="710" w:name="section_ca8a2548c37b4d7bbf3f4531b6309281"/>
      <w:bookmarkStart w:id="711" w:name="_Toc181683381"/>
      <w:r>
        <w:t>Part 1 Section 17.13.5.29, pPrChange (Revision Information for Paragraph Properties)</w:t>
      </w:r>
      <w:bookmarkEnd w:id="710"/>
      <w:bookmarkEnd w:id="711"/>
      <w:r>
        <w:fldChar w:fldCharType="begin"/>
      </w:r>
      <w:r>
        <w:instrText xml:space="preserve"> XE "pPrChange (Revision Information for Paragraph Properties</w:instrText>
      </w:r>
      <w:r>
        <w:instrText xml:space="preserv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r>
          <w:rPr>
            <w:rStyle w:val="Hyperlink"/>
          </w:rPr>
          <w:t>)</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w:t>
      </w:r>
    </w:p>
    <w:p w:rsidR="000A156F" w:rsidRDefault="00A9721F">
      <w:pPr>
        <w:pStyle w:val="Heading3"/>
      </w:pPr>
      <w:bookmarkStart w:id="712" w:name="section_7fec6f90a2ff40dcba8df45db391f716"/>
      <w:bookmarkStart w:id="713" w:name="_Toc181683382"/>
      <w:r>
        <w:t>Part 1 Section 17.13.5.30, rPrChange (Revision Information for Run Properties on the Paragraph Mark)</w:t>
      </w:r>
      <w:bookmarkEnd w:id="712"/>
      <w:bookmarkEnd w:id="713"/>
      <w:r>
        <w:fldChar w:fldCharType="begin"/>
      </w:r>
      <w:r>
        <w:instrText xml:space="preserve"> XE "rPrChange (Revision Information for Run Properties on the Paragraph Mark)" </w:instrText>
      </w:r>
      <w:r>
        <w:fldChar w:fldCharType="end"/>
      </w:r>
    </w:p>
    <w:p w:rsidR="000A156F" w:rsidRDefault="00A9721F">
      <w:pPr>
        <w:pStyle w:val="Definition-Field2"/>
      </w:pPr>
      <w:r>
        <w:rPr>
          <w:i/>
        </w:rPr>
        <w:t>For additional notes that apply to this portion of the standard, ple</w:t>
      </w:r>
      <w:r>
        <w:rPr>
          <w:i/>
        </w:rPr>
        <w:t xml:space="preserv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714" w:name="section_d12848504d134d5eb6cd167c00942216"/>
      <w:bookmarkStart w:id="715" w:name="_Toc181683383"/>
      <w:r>
        <w:t>Part 1 Section 17.13.5.31, rPrChange (Revision Information for Run Properties)</w:t>
      </w:r>
      <w:bookmarkEnd w:id="714"/>
      <w:bookmarkEnd w:id="715"/>
      <w:r>
        <w:fldChar w:fldCharType="begin"/>
      </w:r>
      <w:r>
        <w:instrText xml:space="preserve"> XE "rPrChange (Revision Information for Run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716" w:name="section_ab7b2013909a41d795d945a910802bd7"/>
      <w:bookmarkStart w:id="717" w:name="_Toc181683384"/>
      <w:r>
        <w:t>Part 1 Section 17.13.5.32, sectPrChange (Revision Information for Section Properties)</w:t>
      </w:r>
      <w:bookmarkEnd w:id="716"/>
      <w:bookmarkEnd w:id="717"/>
      <w:r>
        <w:fldChar w:fldCharType="begin"/>
      </w:r>
      <w:r>
        <w:instrText xml:space="preserve"> XE "sectPrChange (Revision Information for Section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w:t>
      </w:r>
      <w:r>
        <w:rPr>
          <w:i/>
        </w:rPr>
        <w:t>andard states that the previous section properties are expressed as a complete set of properties.</w:t>
      </w:r>
    </w:p>
    <w:p w:rsidR="000A156F" w:rsidRDefault="00A9721F">
      <w:pPr>
        <w:pStyle w:val="Definition-Field2"/>
      </w:pPr>
      <w:r>
        <w:t>Word interprets previous section properties as relative to the current set of properties.</w:t>
      </w:r>
    </w:p>
    <w:p w:rsidR="000A156F" w:rsidRDefault="00A9721F">
      <w:pPr>
        <w:pStyle w:val="Heading3"/>
      </w:pPr>
      <w:bookmarkStart w:id="718" w:name="section_1e829ce750c1488184750119e5e0d5bc"/>
      <w:bookmarkStart w:id="719" w:name="_Toc181683385"/>
      <w:r>
        <w:lastRenderedPageBreak/>
        <w:t>Part 1 Section 17.13.5.33, tblGridChange (Revision Information for T</w:t>
      </w:r>
      <w:r>
        <w:t>able Grid Column Definitions)</w:t>
      </w:r>
      <w:bookmarkEnd w:id="718"/>
      <w:bookmarkEnd w:id="719"/>
      <w:r>
        <w:fldChar w:fldCharType="begin"/>
      </w:r>
      <w:r>
        <w:instrText xml:space="preserve"> XE "tblGridChange (Revision Information for Table Grid Column Definitions)"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0A156F" w:rsidRDefault="00A9721F">
      <w:pPr>
        <w:pStyle w:val="Heading3"/>
      </w:pPr>
      <w:bookmarkStart w:id="720" w:name="section_0f826fe09212450781a1cc695561c0bc"/>
      <w:bookmarkStart w:id="721" w:name="_Toc181683386"/>
      <w:r>
        <w:t>Part 1 Section 17.13.5.34, tblPrChange (Revision Information for Table Properties)</w:t>
      </w:r>
      <w:bookmarkEnd w:id="720"/>
      <w:bookmarkEnd w:id="721"/>
      <w:r>
        <w:fldChar w:fldCharType="begin"/>
      </w:r>
      <w:r>
        <w:instrText xml:space="preserve"> XE "tblPrChange (Revision Information for Table Properties)" </w:instrText>
      </w:r>
      <w:r>
        <w:fldChar w:fldCharType="end"/>
      </w:r>
    </w:p>
    <w:p w:rsidR="000A156F" w:rsidRDefault="00A9721F">
      <w:pPr>
        <w:pStyle w:val="Definition-Field2"/>
      </w:pPr>
      <w:r>
        <w:rPr>
          <w:i/>
        </w:rPr>
        <w:t>For additional notes that apply to this portion of the standard, please see the</w:t>
      </w:r>
      <w:r>
        <w:rPr>
          <w:i/>
        </w:rPr>
        <w:t xml:space="preserv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w:t>
        </w:r>
        <w:r>
          <w:rPr>
            <w:rStyle w:val="Hyperlink"/>
          </w:rPr>
          <w:t>.13.5.18(b)</w:t>
        </w:r>
      </w:hyperlink>
      <w:r>
        <w:rPr>
          <w:i/>
        </w:rPr>
        <w:t>.</w:t>
      </w:r>
    </w:p>
    <w:p w:rsidR="000A156F" w:rsidRDefault="00A9721F">
      <w:pPr>
        <w:pStyle w:val="Heading3"/>
      </w:pPr>
      <w:bookmarkStart w:id="722" w:name="section_9f2644cb18224b9992b7b781740e0f88"/>
      <w:bookmarkStart w:id="723" w:name="_Toc181683387"/>
      <w:r>
        <w:t>Part 1 Section 17.13.5.35, tblPrExChange (Revision Information for Table-Level Property Exceptions)</w:t>
      </w:r>
      <w:bookmarkEnd w:id="722"/>
      <w:bookmarkEnd w:id="723"/>
      <w:r>
        <w:fldChar w:fldCharType="begin"/>
      </w:r>
      <w:r>
        <w:instrText xml:space="preserve"> XE "tblPrExChange (Revision Information for Table-Level Property Exceptions)" </w:instrText>
      </w:r>
      <w:r>
        <w:fldChar w:fldCharType="end"/>
      </w:r>
    </w:p>
    <w:p w:rsidR="000A156F" w:rsidRDefault="00A9721F">
      <w:pPr>
        <w:pStyle w:val="Definition-Field2"/>
      </w:pPr>
      <w:r>
        <w:rPr>
          <w:i/>
        </w:rPr>
        <w:t>For additional notes that apply to this portion of the standar</w:t>
      </w:r>
      <w:r>
        <w:rPr>
          <w:i/>
        </w:rPr>
        <w:t xml:space="preserve">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724" w:name="section_784866f51c0947c48ea8696c1f0b2ac2"/>
      <w:bookmarkStart w:id="725" w:name="_Toc181683388"/>
      <w:r>
        <w:t>Part 1 Section 17.13.5.36, tcPrChange (Revision Information for Table Cell Properties)</w:t>
      </w:r>
      <w:bookmarkEnd w:id="724"/>
      <w:bookmarkEnd w:id="725"/>
      <w:r>
        <w:fldChar w:fldCharType="begin"/>
      </w:r>
      <w:r>
        <w:instrText xml:space="preserve"> XE "tcPrChange (Revision Information for Table Cell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Heading3"/>
      </w:pPr>
      <w:bookmarkStart w:id="726" w:name="section_953ded84289041e2b60711dc9c658a54"/>
      <w:bookmarkStart w:id="727" w:name="_Toc181683389"/>
      <w:r>
        <w:t>Part 1 Section 17.13.5.37, trPrChange (Revision Information for Table Row Properties)</w:t>
      </w:r>
      <w:bookmarkEnd w:id="726"/>
      <w:bookmarkEnd w:id="727"/>
      <w:r>
        <w:fldChar w:fldCharType="begin"/>
      </w:r>
      <w:r>
        <w:instrText xml:space="preserve"> XE "trPrChange (Revision Information for Table Row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states that table styles can contain row property revisions.</w:t>
      </w:r>
    </w:p>
    <w:p w:rsidR="000A156F" w:rsidRDefault="00A9721F">
      <w:pPr>
        <w:pStyle w:val="Definition-Field2"/>
      </w:pPr>
      <w:r>
        <w:t>Word does</w:t>
      </w:r>
      <w:r>
        <w:t xml:space="preserve"> not allow row property revisions in table styles.</w:t>
      </w:r>
    </w:p>
    <w:p w:rsidR="000A156F" w:rsidRDefault="00A9721F">
      <w:pPr>
        <w:pStyle w:val="Heading3"/>
      </w:pPr>
      <w:bookmarkStart w:id="728" w:name="section_a790410f43e742a89105776a6c661fdd"/>
      <w:bookmarkStart w:id="729" w:name="_Toc181683390"/>
      <w:r>
        <w:t>Part 1 Section 17.13.6, Bookmarks</w:t>
      </w:r>
      <w:bookmarkEnd w:id="728"/>
      <w:bookmarkEnd w:id="729"/>
      <w:r>
        <w:fldChar w:fldCharType="begin"/>
      </w:r>
      <w:r>
        <w:instrText xml:space="preserve"> XE "Bookmarks" </w:instrText>
      </w:r>
      <w:r>
        <w:fldChar w:fldCharType="end"/>
      </w:r>
    </w:p>
    <w:p w:rsidR="000A156F" w:rsidRDefault="00A9721F">
      <w:pPr>
        <w:pStyle w:val="Definition-Field"/>
      </w:pPr>
      <w:r>
        <w:t xml:space="preserve">a.   </w:t>
      </w:r>
      <w:r>
        <w:rPr>
          <w:i/>
        </w:rPr>
        <w:t>The standard allows a bookmark to begin inside a math object and end outside that object or vice versa.</w:t>
      </w:r>
    </w:p>
    <w:p w:rsidR="000A156F" w:rsidRDefault="00A9721F">
      <w:pPr>
        <w:pStyle w:val="Definition-Field2"/>
      </w:pPr>
      <w:r>
        <w:t>Word does not allow a bookmark to begin insi</w:t>
      </w:r>
      <w:r>
        <w:t>de a math object and end outside that object or vice versa.</w:t>
      </w:r>
    </w:p>
    <w:p w:rsidR="000A156F" w:rsidRDefault="00A9721F">
      <w:pPr>
        <w:pStyle w:val="Definition-Field"/>
      </w:pPr>
      <w:r>
        <w:t xml:space="preserve">b.   </w:t>
      </w:r>
      <w:r>
        <w:rPr>
          <w:i/>
        </w:rPr>
        <w:t>The standard does not specify a maximum number of bookmarks allowed in a document.</w:t>
      </w:r>
    </w:p>
    <w:p w:rsidR="000A156F" w:rsidRDefault="00A9721F">
      <w:pPr>
        <w:pStyle w:val="Definition-Field2"/>
      </w:pPr>
      <w:r>
        <w:t xml:space="preserve">Word fails to open the file if it has too many bookmarks (more than 16380 when the uiCompat97to2003 element </w:t>
      </w:r>
      <w:r>
        <w:t>is present, more than 2147483647 otherwise).</w:t>
      </w:r>
    </w:p>
    <w:p w:rsidR="000A156F" w:rsidRDefault="00A9721F">
      <w:pPr>
        <w:pStyle w:val="Heading3"/>
      </w:pPr>
      <w:bookmarkStart w:id="730" w:name="section_fa51f4d3bb2a4fac845f8368432e3174"/>
      <w:bookmarkStart w:id="731" w:name="_Toc181683391"/>
      <w:r>
        <w:t>Part 1 Section 17.13.6.1, bookmarkEnd (Bookmark End)</w:t>
      </w:r>
      <w:bookmarkEnd w:id="730"/>
      <w:bookmarkEnd w:id="731"/>
      <w:r>
        <w:fldChar w:fldCharType="begin"/>
      </w:r>
      <w:r>
        <w:instrText xml:space="preserve"> XE "bookmarkEnd (Bookmark End)"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0A156F" w:rsidRDefault="00A9721F">
      <w:pPr>
        <w:pStyle w:val="Heading3"/>
      </w:pPr>
      <w:bookmarkStart w:id="732" w:name="section_da8b8f592af149d98553f0c1ff2fb18d"/>
      <w:bookmarkStart w:id="733" w:name="_Toc181683392"/>
      <w:r>
        <w:lastRenderedPageBreak/>
        <w:t>Part 1 Section 17.13.6.2, bookmarkStart (Bookmark Start)</w:t>
      </w:r>
      <w:bookmarkEnd w:id="732"/>
      <w:bookmarkEnd w:id="733"/>
      <w:r>
        <w:fldChar w:fldCharType="begin"/>
      </w:r>
      <w:r>
        <w:instrText xml:space="preserve"> XE "bookmarkStart (Bookmark Start)" </w:instrText>
      </w:r>
      <w:r>
        <w:fldChar w:fldCharType="end"/>
      </w:r>
    </w:p>
    <w:p w:rsidR="000A156F" w:rsidRDefault="00A9721F">
      <w:pPr>
        <w:pStyle w:val="Definition-Field2"/>
      </w:pPr>
      <w:r>
        <w:rPr>
          <w:i/>
        </w:rPr>
        <w:t>For additional notes that apply to this portion of the standard, please see</w:t>
      </w:r>
      <w:r>
        <w:rPr>
          <w:i/>
        </w:rPr>
        <w:t xml:space="preserv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w:t>
        </w:r>
        <w:r>
          <w:rPr>
            <w:rStyle w:val="Hyperlink"/>
          </w:rPr>
          <w:t>.32(a)</w:t>
        </w:r>
      </w:hyperlink>
      <w:r>
        <w:rPr>
          <w:i/>
        </w:rPr>
        <w:t xml:space="preserve">; </w:t>
      </w:r>
      <w:hyperlink w:anchor="Section_cf861d389d024d8e8fe7450a01f33d40">
        <w:r>
          <w:rPr>
            <w:rStyle w:val="Hyperlink"/>
          </w:rPr>
          <w:t>cellDel, §17.13.5.1(a)</w:t>
        </w:r>
      </w:hyperlink>
      <w:r>
        <w:rPr>
          <w:i/>
        </w:rPr>
        <w:t>.</w:t>
      </w:r>
    </w:p>
    <w:p w:rsidR="000A156F" w:rsidRDefault="00A9721F">
      <w:pPr>
        <w:pStyle w:val="Definition-Field"/>
      </w:pPr>
      <w:r>
        <w:t xml:space="preserve">a.   </w:t>
      </w:r>
      <w:r>
        <w:rPr>
          <w:i/>
        </w:rPr>
        <w:t>The standard says that if colFirst is greater than colLast, then colFirst and colLast should be ignored.</w:t>
      </w:r>
    </w:p>
    <w:p w:rsidR="000A156F" w:rsidRDefault="00A9721F">
      <w:pPr>
        <w:pStyle w:val="Definition-Field2"/>
      </w:pPr>
      <w:r>
        <w:t xml:space="preserve">In Word, if colFirst is greater than colLast, then </w:t>
      </w:r>
      <w:r>
        <w:t>colFirst behaves as if it took on the value of colLast.</w:t>
      </w:r>
    </w:p>
    <w:p w:rsidR="000A156F" w:rsidRDefault="00A9721F">
      <w:pPr>
        <w:pStyle w:val="Definition-Field"/>
      </w:pPr>
      <w:r>
        <w:t xml:space="preserve">b.   </w:t>
      </w:r>
      <w:r>
        <w:rPr>
          <w:i/>
        </w:rPr>
        <w:t>The standard allows any length string for the name attribute.</w:t>
      </w:r>
    </w:p>
    <w:p w:rsidR="000A156F" w:rsidRDefault="00A9721F">
      <w:pPr>
        <w:pStyle w:val="Definition-Field2"/>
      </w:pPr>
      <w:r>
        <w:t xml:space="preserve">Word only allows strings of length at most 40 for the name attribute. For additional restrictions on bookmark name attributes, refer </w:t>
      </w:r>
      <w:r>
        <w:t>to the Word Binary File Format (.doc) Structure Specification (</w:t>
      </w:r>
      <w:hyperlink r:id="rId104" w:anchor="Section_ccd7b4867881484ca13751170af7cc22">
        <w:r>
          <w:rPr>
            <w:rStyle w:val="Hyperlink"/>
          </w:rPr>
          <w:t>[MS-DOC]</w:t>
        </w:r>
      </w:hyperlink>
      <w:r>
        <w:t xml:space="preserve"> section 2.9.279 “SttbfBkmk”).</w:t>
      </w:r>
    </w:p>
    <w:p w:rsidR="000A156F" w:rsidRDefault="00A9721F">
      <w:pPr>
        <w:pStyle w:val="Definition-Field"/>
      </w:pPr>
      <w:r>
        <w:t xml:space="preserve">c.   </w:t>
      </w:r>
      <w:r>
        <w:rPr>
          <w:i/>
        </w:rPr>
        <w:t>The standard says that if multiple bookmarks have the same name, the fi</w:t>
      </w:r>
      <w:r>
        <w:rPr>
          <w:i/>
        </w:rPr>
        <w:t>rst bookmark shall be maintained, and all subsequent bookmarks should be ignored.</w:t>
      </w:r>
    </w:p>
    <w:p w:rsidR="000A156F" w:rsidRDefault="00A9721F">
      <w:pPr>
        <w:pStyle w:val="Definition-Field2"/>
      </w:pPr>
      <w:r>
        <w:t>In Word, if multiple bookmarks have the same name, the last bookmark is maintained and all others are ignored.</w:t>
      </w:r>
    </w:p>
    <w:p w:rsidR="000A156F" w:rsidRDefault="00A9721F">
      <w:pPr>
        <w:pStyle w:val="Definition-Field"/>
      </w:pPr>
      <w:r>
        <w:t xml:space="preserve">d.   </w:t>
      </w:r>
      <w:r>
        <w:rPr>
          <w:i/>
        </w:rPr>
        <w:t>The standard says that if colFirst or colLast is greater t</w:t>
      </w:r>
      <w:r>
        <w:rPr>
          <w:i/>
        </w:rPr>
        <w:t>han the number of columns in the table, then colFirst and colLast should be ignored.</w:t>
      </w:r>
    </w:p>
    <w:p w:rsidR="000A156F" w:rsidRDefault="00A9721F">
      <w:pPr>
        <w:pStyle w:val="Definition-Field2"/>
      </w:pPr>
      <w:r>
        <w:t>In Word, if colLast is greater than the number of columns in the table, the bookmark will extend from the column specified by colFirst past the end of the table row.</w:t>
      </w:r>
    </w:p>
    <w:p w:rsidR="000A156F" w:rsidRDefault="00A9721F">
      <w:pPr>
        <w:pStyle w:val="Definition-Field"/>
      </w:pPr>
      <w:r>
        <w:t xml:space="preserve">e.   </w:t>
      </w:r>
      <w:r>
        <w:rPr>
          <w:i/>
        </w:rPr>
        <w:t>The standard says that if colFirst or colLast is greater than the number of columns in the table, then colFirst and colLast should be ignored.</w:t>
      </w:r>
    </w:p>
    <w:p w:rsidR="000A156F" w:rsidRDefault="00A9721F">
      <w:pPr>
        <w:pStyle w:val="Definition-Field2"/>
      </w:pPr>
      <w:r>
        <w:t>In Word, if colFirst and colLast are greater than the number of columns in the table, the bookmark appears past t</w:t>
      </w:r>
      <w:r>
        <w:t>he end of the table row.</w:t>
      </w:r>
    </w:p>
    <w:p w:rsidR="000A156F" w:rsidRDefault="00A9721F">
      <w:pPr>
        <w:pStyle w:val="Heading3"/>
      </w:pPr>
      <w:bookmarkStart w:id="734" w:name="section_d3f13602f1564b7f928a9afd1eccafd5"/>
      <w:bookmarkStart w:id="735" w:name="_Toc181683393"/>
      <w:r>
        <w:t>Part 1 Section 17.13.7.1, permEnd (Range Permission End)</w:t>
      </w:r>
      <w:bookmarkEnd w:id="734"/>
      <w:bookmarkEnd w:id="735"/>
      <w:r>
        <w:fldChar w:fldCharType="begin"/>
      </w:r>
      <w:r>
        <w:instrText xml:space="preserve"> XE "permEnd (Range Permission End)" </w:instrText>
      </w:r>
      <w:r>
        <w:fldChar w:fldCharType="end"/>
      </w:r>
    </w:p>
    <w:p w:rsidR="000A156F" w:rsidRDefault="00A9721F">
      <w:pPr>
        <w:pStyle w:val="Definition-Field"/>
      </w:pPr>
      <w:r>
        <w:t xml:space="preserve">a.   </w:t>
      </w:r>
      <w:r>
        <w:rPr>
          <w:i/>
        </w:rPr>
        <w:t>The standard allows any string for the id attribute.</w:t>
      </w:r>
    </w:p>
    <w:p w:rsidR="000A156F" w:rsidRDefault="00A9721F">
      <w:pPr>
        <w:pStyle w:val="Definition-Field2"/>
      </w:pPr>
      <w:r>
        <w:t>Word only allows 32-bit integers for the id attribute.</w:t>
      </w:r>
    </w:p>
    <w:p w:rsidR="000A156F" w:rsidRDefault="00A9721F">
      <w:pPr>
        <w:pStyle w:val="Definition-Field"/>
      </w:pPr>
      <w:r>
        <w:t xml:space="preserve">b.   </w:t>
      </w:r>
      <w:r>
        <w:rPr>
          <w:i/>
        </w:rPr>
        <w:t>The standard allo</w:t>
      </w:r>
      <w:r>
        <w:rPr>
          <w:i/>
        </w:rPr>
        <w:t>ws an unbounded number of range permissions.</w:t>
      </w:r>
    </w:p>
    <w:p w:rsidR="000A156F" w:rsidRDefault="00A9721F">
      <w:pPr>
        <w:pStyle w:val="Definition-Field2"/>
      </w:pPr>
      <w:r>
        <w:t>Word will not open a file with too many range permissions (32752 if the uiCompat97to2003 element is present, 2147483647 otherwise).</w:t>
      </w:r>
    </w:p>
    <w:p w:rsidR="000A156F" w:rsidRDefault="00A9721F">
      <w:pPr>
        <w:pStyle w:val="Heading3"/>
      </w:pPr>
      <w:bookmarkStart w:id="736" w:name="section_25f91d1968a2419086112d804a821d10"/>
      <w:bookmarkStart w:id="737" w:name="_Toc181683394"/>
      <w:r>
        <w:t>Part 1 Section 17.13.7.2, permStart (Range Permission Start)</w:t>
      </w:r>
      <w:bookmarkEnd w:id="736"/>
      <w:bookmarkEnd w:id="737"/>
      <w:r>
        <w:fldChar w:fldCharType="begin"/>
      </w:r>
      <w:r>
        <w:instrText xml:space="preserve"> XE "permStart (Ran</w:instrText>
      </w:r>
      <w:r>
        <w:instrText xml:space="preserve">ge Permission Start)"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d3f13602f1564b7f928a9afd1eccafd5">
        <w:r>
          <w:rPr>
            <w:rStyle w:val="Hyperlink"/>
          </w:rPr>
          <w:t>permEnd, §17.13.7.1(a)</w:t>
        </w:r>
      </w:hyperlink>
      <w:r>
        <w:rPr>
          <w:i/>
        </w:rPr>
        <w:t>.</w:t>
      </w:r>
    </w:p>
    <w:p w:rsidR="000A156F" w:rsidRDefault="00A9721F">
      <w:pPr>
        <w:pStyle w:val="Definition-Field"/>
      </w:pPr>
      <w:r>
        <w:t xml:space="preserve">a.   </w:t>
      </w:r>
      <w:r>
        <w:rPr>
          <w:i/>
        </w:rPr>
        <w:t xml:space="preserve">The standard says that if colFirst or colLast is </w:t>
      </w:r>
      <w:r>
        <w:rPr>
          <w:i/>
        </w:rPr>
        <w:t>greater than the number of columns in table, both attributes should be ignored.</w:t>
      </w:r>
    </w:p>
    <w:p w:rsidR="000A156F" w:rsidRDefault="00A9721F">
      <w:pPr>
        <w:pStyle w:val="Definition-Field2"/>
      </w:pPr>
      <w:r>
        <w:t>Word does not ignore the attributes and instead behaves unpredictably.</w:t>
      </w:r>
    </w:p>
    <w:p w:rsidR="000A156F" w:rsidRDefault="00A9721F">
      <w:pPr>
        <w:pStyle w:val="Definition-Field"/>
      </w:pPr>
      <w:r>
        <w:t xml:space="preserve">b.   </w:t>
      </w:r>
      <w:r>
        <w:rPr>
          <w:i/>
        </w:rPr>
        <w:t>The standard does not specify behavior when both the ed and edGrp attributes are present.</w:t>
      </w:r>
    </w:p>
    <w:p w:rsidR="000A156F" w:rsidRDefault="00A9721F">
      <w:pPr>
        <w:pStyle w:val="Definition-Field2"/>
      </w:pPr>
      <w:r>
        <w:t xml:space="preserve">In Word, </w:t>
      </w:r>
      <w:r>
        <w:t>if the ed attribute is present, the edGrp attribute will be ignored.</w:t>
      </w:r>
    </w:p>
    <w:p w:rsidR="000A156F" w:rsidRDefault="00A9721F">
      <w:pPr>
        <w:pStyle w:val="Definition-Field"/>
      </w:pPr>
      <w:r>
        <w:lastRenderedPageBreak/>
        <w:t xml:space="preserve">c.   </w:t>
      </w:r>
      <w:r>
        <w:rPr>
          <w:i/>
        </w:rPr>
        <w:t>The standard states that the value of the 'id' attribute can be any string.</w:t>
      </w:r>
    </w:p>
    <w:p w:rsidR="000A156F" w:rsidRDefault="00A9721F">
      <w:pPr>
        <w:pStyle w:val="Definition-Field2"/>
      </w:pPr>
      <w:r>
        <w:t>Word allows only 32-bit integers for the id attribute.</w:t>
      </w:r>
    </w:p>
    <w:p w:rsidR="000A156F" w:rsidRDefault="00A9721F">
      <w:pPr>
        <w:pStyle w:val="Definition-Field"/>
      </w:pPr>
      <w:r>
        <w:t xml:space="preserve">d.   </w:t>
      </w:r>
      <w:r>
        <w:rPr>
          <w:i/>
        </w:rPr>
        <w:t>The standard allows an unbounded number of ran</w:t>
      </w:r>
      <w:r>
        <w:rPr>
          <w:i/>
        </w:rPr>
        <w:t>ge permissions.</w:t>
      </w:r>
    </w:p>
    <w:p w:rsidR="000A156F" w:rsidRDefault="00A9721F">
      <w:pPr>
        <w:pStyle w:val="Definition-Field2"/>
      </w:pPr>
      <w:r>
        <w:t>Word will not open a file with too many range permissions (32752 if the uiCompat97to2003 element is present, 2147483647 otherwise).</w:t>
      </w:r>
    </w:p>
    <w:p w:rsidR="000A156F" w:rsidRDefault="00A9721F">
      <w:pPr>
        <w:pStyle w:val="Heading3"/>
      </w:pPr>
      <w:bookmarkStart w:id="738" w:name="section_70b993e7519d4c62a55257ff1f7cceac"/>
      <w:bookmarkStart w:id="739" w:name="_Toc181683395"/>
      <w:r>
        <w:t>Part 1 Section 17.14, Mail Merge</w:t>
      </w:r>
      <w:bookmarkEnd w:id="738"/>
      <w:bookmarkEnd w:id="739"/>
      <w:r>
        <w:fldChar w:fldCharType="begin"/>
      </w:r>
      <w:r>
        <w:instrText xml:space="preserve"> XE "Mail Merge" </w:instrText>
      </w:r>
      <w:r>
        <w:fldChar w:fldCharType="end"/>
      </w:r>
    </w:p>
    <w:p w:rsidR="000A156F" w:rsidRDefault="00A9721F">
      <w:pPr>
        <w:pStyle w:val="Definition-Field"/>
      </w:pPr>
      <w:r>
        <w:t xml:space="preserve">a.   </w:t>
      </w:r>
      <w:r>
        <w:rPr>
          <w:i/>
        </w:rPr>
        <w:t>The standard says that the odso element in settings</w:t>
      </w:r>
      <w:r>
        <w:rPr>
          <w:i/>
        </w:rPr>
        <w:t>.xml contains information about whether to include or exclude records.</w:t>
      </w:r>
    </w:p>
    <w:p w:rsidR="000A156F" w:rsidRDefault="00A9721F">
      <w:pPr>
        <w:pStyle w:val="Definition-Field2"/>
      </w:pPr>
      <w:r>
        <w:t>In Word, information about whether to include or exclude records is stored in recipientData.xml.</w:t>
      </w:r>
    </w:p>
    <w:p w:rsidR="000A156F" w:rsidRDefault="00A9721F">
      <w:pPr>
        <w:pStyle w:val="Definition-Field"/>
      </w:pPr>
      <w:r>
        <w:t xml:space="preserve">b.   </w:t>
      </w:r>
      <w:r>
        <w:rPr>
          <w:i/>
        </w:rPr>
        <w:t>The standard says the odso element contains information about how to map data sourc</w:t>
      </w:r>
      <w:r>
        <w:rPr>
          <w:i/>
        </w:rPr>
        <w:t>e columns to MERGEFIELD fields.</w:t>
      </w:r>
    </w:p>
    <w:p w:rsidR="000A156F" w:rsidRDefault="00A9721F">
      <w:pPr>
        <w:pStyle w:val="Definition-Field2"/>
      </w:pPr>
      <w:r>
        <w:t>In Word, the odso element contains information about how to map data source columns to a set of predefined mail merge fields.</w:t>
      </w:r>
    </w:p>
    <w:p w:rsidR="000A156F" w:rsidRDefault="00A9721F">
      <w:pPr>
        <w:pStyle w:val="Heading3"/>
      </w:pPr>
      <w:bookmarkStart w:id="740" w:name="section_501412c497b647ea897fa4ba36e50324"/>
      <w:bookmarkStart w:id="741" w:name="_Toc181683396"/>
      <w:r>
        <w:t>Part 1 Section 17.14.2, activeRecord (Record Currently Displayed In Merged Document)</w:t>
      </w:r>
      <w:bookmarkEnd w:id="740"/>
      <w:bookmarkEnd w:id="741"/>
      <w:r>
        <w:fldChar w:fldCharType="begin"/>
      </w:r>
      <w:r>
        <w:instrText xml:space="preserve"> XE "activeRec</w:instrText>
      </w:r>
      <w:r>
        <w:instrText xml:space="preserve">ord (Record Currently Displayed In Merged Document)" </w:instrText>
      </w:r>
      <w:r>
        <w:fldChar w:fldCharType="end"/>
      </w:r>
    </w:p>
    <w:p w:rsidR="000A156F" w:rsidRDefault="00A9721F">
      <w:pPr>
        <w:pStyle w:val="Definition-Field"/>
      </w:pPr>
      <w:r>
        <w:t xml:space="preserve">a.   </w:t>
      </w:r>
      <w:r>
        <w:rPr>
          <w:i/>
        </w:rPr>
        <w:t>The standard says that if the val attribute is greater than the number of records in the specified external data source, the val attribute is treated as if it were 1.</w:t>
      </w:r>
    </w:p>
    <w:p w:rsidR="000A156F" w:rsidRDefault="00A9721F">
      <w:pPr>
        <w:pStyle w:val="Definition-Field2"/>
      </w:pPr>
      <w:r>
        <w:t>If the val attribute greater</w:t>
      </w:r>
      <w:r>
        <w:t xml:space="preserve"> than the number of records in the specified external data source, Word fails to open the file.</w:t>
      </w:r>
    </w:p>
    <w:p w:rsidR="000A156F" w:rsidRDefault="00A9721F">
      <w:pPr>
        <w:pStyle w:val="Definition-Field"/>
      </w:pPr>
      <w:r>
        <w:t xml:space="preserve">b.   </w:t>
      </w:r>
      <w:r>
        <w:rPr>
          <w:i/>
        </w:rPr>
        <w:t>The standard says that data is populated in merge fields based on mappings defined by the fieldMapData elements.</w:t>
      </w:r>
    </w:p>
    <w:p w:rsidR="000A156F" w:rsidRDefault="00A9721F">
      <w:pPr>
        <w:pStyle w:val="Definition-Field2"/>
      </w:pPr>
      <w:r>
        <w:t>In Word, merge fields directly reference d</w:t>
      </w:r>
      <w:r>
        <w:t>ata columns in the data source, not fieldMapData mappings.</w:t>
      </w:r>
    </w:p>
    <w:p w:rsidR="000A156F" w:rsidRDefault="00A9721F">
      <w:pPr>
        <w:pStyle w:val="Heading3"/>
      </w:pPr>
      <w:bookmarkStart w:id="742" w:name="section_82e2e7bd829d475881e6caf57fea72d4"/>
      <w:bookmarkStart w:id="743" w:name="_Toc181683397"/>
      <w:r>
        <w:t>Part 1 Section 17.14.4, checkErrors (Mail Merge Error Reporting Setting)</w:t>
      </w:r>
      <w:bookmarkEnd w:id="742"/>
      <w:bookmarkEnd w:id="743"/>
      <w:r>
        <w:fldChar w:fldCharType="begin"/>
      </w:r>
      <w:r>
        <w:instrText xml:space="preserve"> XE "checkErrors (Mail Merge Error Reporting Setting)" </w:instrText>
      </w:r>
      <w:r>
        <w:fldChar w:fldCharType="end"/>
      </w:r>
    </w:p>
    <w:p w:rsidR="000A156F" w:rsidRDefault="00A9721F">
      <w:pPr>
        <w:pStyle w:val="Definition-Field"/>
      </w:pPr>
      <w:r>
        <w:t xml:space="preserve">a.   </w:t>
      </w:r>
      <w:r>
        <w:rPr>
          <w:i/>
        </w:rPr>
        <w:t>The standard says that apps can define their own behaviors for</w:t>
      </w:r>
      <w:r>
        <w:rPr>
          <w:i/>
        </w:rPr>
        <w:t xml:space="preserve"> values other than 1, 2, and 3.</w:t>
      </w:r>
    </w:p>
    <w:p w:rsidR="000A156F" w:rsidRDefault="00A9721F">
      <w:pPr>
        <w:pStyle w:val="Definition-Field2"/>
      </w:pPr>
      <w:r>
        <w:t>Word fails to roundtrip any value other than 1, 2, and 3.</w:t>
      </w:r>
    </w:p>
    <w:p w:rsidR="000A156F" w:rsidRDefault="00A9721F">
      <w:pPr>
        <w:pStyle w:val="Heading3"/>
      </w:pPr>
      <w:bookmarkStart w:id="744" w:name="section_b1596bd84ac9480e816125dc616c61d7"/>
      <w:bookmarkStart w:id="745" w:name="_Toc181683398"/>
      <w:r>
        <w:t>Part 1 Section 17.14.5, colDelim (Column Delimiter for Data Source)</w:t>
      </w:r>
      <w:bookmarkEnd w:id="744"/>
      <w:bookmarkEnd w:id="745"/>
      <w:r>
        <w:fldChar w:fldCharType="begin"/>
      </w:r>
      <w:r>
        <w:instrText xml:space="preserve"> XE "colDelim (Column Delimiter for Data Source)" </w:instrText>
      </w:r>
      <w:r>
        <w:fldChar w:fldCharType="end"/>
      </w:r>
    </w:p>
    <w:p w:rsidR="000A156F" w:rsidRDefault="00A9721F">
      <w:pPr>
        <w:pStyle w:val="Definition-Field"/>
      </w:pPr>
      <w:r>
        <w:t xml:space="preserve">a.   </w:t>
      </w:r>
      <w:r>
        <w:rPr>
          <w:i/>
        </w:rPr>
        <w:t>The standard states that the values of th</w:t>
      </w:r>
      <w:r>
        <w:rPr>
          <w:i/>
        </w:rPr>
        <w:t>e val attribute are defined by the XML Schema integer datatype.</w:t>
      </w:r>
    </w:p>
    <w:p w:rsidR="000A156F" w:rsidRDefault="00A9721F">
      <w:pPr>
        <w:pStyle w:val="Definition-Field2"/>
      </w:pPr>
      <w:r>
        <w:t>Word defines the values of this attribute with the XML Schema unsignedInt datatype.</w:t>
      </w:r>
    </w:p>
    <w:p w:rsidR="000A156F" w:rsidRDefault="00A9721F">
      <w:pPr>
        <w:pStyle w:val="Heading3"/>
      </w:pPr>
      <w:bookmarkStart w:id="746" w:name="section_d9083bc9de704df5bd4cf32c81e3118d"/>
      <w:bookmarkStart w:id="747" w:name="_Toc181683399"/>
      <w:r>
        <w:t>Part 1 Section 17.14.6, column (Index of Column Being Mapped)</w:t>
      </w:r>
      <w:bookmarkEnd w:id="746"/>
      <w:bookmarkEnd w:id="747"/>
      <w:r>
        <w:fldChar w:fldCharType="begin"/>
      </w:r>
      <w:r>
        <w:instrText xml:space="preserve"> XE "column (Index of Column Being Mapped)" </w:instrText>
      </w:r>
      <w:r>
        <w:fldChar w:fldCharType="end"/>
      </w:r>
    </w:p>
    <w:p w:rsidR="000A156F" w:rsidRDefault="00A9721F">
      <w:pPr>
        <w:pStyle w:val="Definition-Field"/>
      </w:pPr>
      <w:r>
        <w:t xml:space="preserve">a.   </w:t>
      </w:r>
      <w:r>
        <w:rPr>
          <w:i/>
        </w:rPr>
        <w:t>The standard states that the values of the val attribute are defined by the XML Schema integer datatype.</w:t>
      </w:r>
    </w:p>
    <w:p w:rsidR="000A156F" w:rsidRDefault="00A9721F">
      <w:pPr>
        <w:pStyle w:val="Definition-Field2"/>
      </w:pPr>
      <w:r>
        <w:t>Word defines the values of this attribute with the XML Schema unsignedInt datatype.</w:t>
      </w:r>
    </w:p>
    <w:p w:rsidR="000A156F" w:rsidRDefault="00A9721F">
      <w:pPr>
        <w:pStyle w:val="Heading3"/>
      </w:pPr>
      <w:bookmarkStart w:id="748" w:name="section_10f201d6b7ae4a629a4e7a0397026467"/>
      <w:bookmarkStart w:id="749" w:name="_Toc181683400"/>
      <w:r>
        <w:lastRenderedPageBreak/>
        <w:t>Part 1 Section 17.14.7, column (Index of Column Containing Uni</w:t>
      </w:r>
      <w:r>
        <w:t>que Values for Record)</w:t>
      </w:r>
      <w:bookmarkEnd w:id="748"/>
      <w:bookmarkEnd w:id="749"/>
      <w:r>
        <w:fldChar w:fldCharType="begin"/>
      </w:r>
      <w:r>
        <w:instrText xml:space="preserve"> XE "column (Index of Column Containing Unique Values for Record)" </w:instrText>
      </w:r>
      <w:r>
        <w:fldChar w:fldCharType="end"/>
      </w:r>
    </w:p>
    <w:p w:rsidR="000A156F" w:rsidRDefault="00A9721F">
      <w:pPr>
        <w:pStyle w:val="Definition-Field"/>
      </w:pPr>
      <w:r>
        <w:t xml:space="preserve">a.   </w:t>
      </w:r>
      <w:r>
        <w:rPr>
          <w:i/>
        </w:rPr>
        <w:t>The standard states that the values of the val attribute are defined by the XML Schema integer datatype.</w:t>
      </w:r>
    </w:p>
    <w:p w:rsidR="000A156F" w:rsidRDefault="00A9721F">
      <w:pPr>
        <w:pStyle w:val="Definition-Field2"/>
      </w:pPr>
      <w:r>
        <w:t>Word defines the values of this attribute with the XML</w:t>
      </w:r>
      <w:r>
        <w:t xml:space="preserve"> Schema unsignedInt datatype.</w:t>
      </w:r>
    </w:p>
    <w:p w:rsidR="000A156F" w:rsidRDefault="00A9721F">
      <w:pPr>
        <w:pStyle w:val="Heading3"/>
      </w:pPr>
      <w:bookmarkStart w:id="750" w:name="section_39eec3e0a78f44529f4046407e0247de"/>
      <w:bookmarkStart w:id="751" w:name="_Toc181683401"/>
      <w:r>
        <w:t>Part 1 Section 17.14.9, dataSource (Data Source File Path)</w:t>
      </w:r>
      <w:bookmarkEnd w:id="750"/>
      <w:bookmarkEnd w:id="751"/>
      <w:r>
        <w:fldChar w:fldCharType="begin"/>
      </w:r>
      <w:r>
        <w:instrText xml:space="preserve"> XE "dataSource (Data Source File Path)"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A156F" w:rsidRDefault="00A9721F">
      <w:pPr>
        <w:pStyle w:val="Heading3"/>
      </w:pPr>
      <w:bookmarkStart w:id="752" w:name="section_e66cb7aa8ce74144a087a6cbae1d32e0"/>
      <w:bookmarkStart w:id="753" w:name="_Toc181683402"/>
      <w:r>
        <w:t>Part 1 Section 17.14.12, doNotSuppressBlankLines (Remove Blank Lines from Merged Documents)</w:t>
      </w:r>
      <w:bookmarkEnd w:id="752"/>
      <w:bookmarkEnd w:id="753"/>
      <w:r>
        <w:fldChar w:fldCharType="begin"/>
      </w:r>
      <w:r>
        <w:instrText xml:space="preserve"> XE "doNotSuppressBlankLines (Remove Blank Lines from Merged Documents)" </w:instrText>
      </w:r>
      <w:r>
        <w:fldChar w:fldCharType="end"/>
      </w:r>
    </w:p>
    <w:p w:rsidR="000A156F" w:rsidRDefault="00A9721F">
      <w:pPr>
        <w:pStyle w:val="Definition-Field"/>
      </w:pPr>
      <w:r>
        <w:t xml:space="preserve">a.   </w:t>
      </w:r>
      <w:r>
        <w:rPr>
          <w:i/>
        </w:rPr>
        <w:t>The standard specifies</w:t>
      </w:r>
      <w:r>
        <w:rPr>
          <w:i/>
        </w:rPr>
        <w:t xml:space="preserve"> that when this element is present, the merged documents which are generated from the mail merge shall not have any blank lines removed.</w:t>
      </w:r>
    </w:p>
    <w:p w:rsidR="000A156F" w:rsidRDefault="00A9721F">
      <w:pPr>
        <w:pStyle w:val="Definition-Field2"/>
      </w:pPr>
      <w:r>
        <w:t>If this element is present with a val attribute value of false, Word will stop trying to connect to the external data s</w:t>
      </w:r>
      <w:r>
        <w:t>ource.</w:t>
      </w:r>
    </w:p>
    <w:p w:rsidR="000A156F" w:rsidRDefault="00A9721F">
      <w:pPr>
        <w:pStyle w:val="Heading3"/>
      </w:pPr>
      <w:bookmarkStart w:id="754" w:name="section_02dec7e2a50549b3aa72334570ecbf26"/>
      <w:bookmarkStart w:id="755" w:name="_Toc181683403"/>
      <w:r>
        <w:t>Part 1 Section 17.14.13, dynamicAddress (Use Country-Based Address Field Ordering)</w:t>
      </w:r>
      <w:bookmarkEnd w:id="754"/>
      <w:bookmarkEnd w:id="755"/>
      <w:r>
        <w:fldChar w:fldCharType="begin"/>
      </w:r>
      <w:r>
        <w:instrText xml:space="preserve"> XE "dynamicAddress (Use Country-Based Address Field Ordering)" </w:instrText>
      </w:r>
      <w:r>
        <w:fldChar w:fldCharType="end"/>
      </w:r>
    </w:p>
    <w:p w:rsidR="000A156F" w:rsidRDefault="00A9721F">
      <w:pPr>
        <w:pStyle w:val="Definition-Field"/>
      </w:pPr>
      <w:r>
        <w:t xml:space="preserve">a.   </w:t>
      </w:r>
      <w:r>
        <w:rPr>
          <w:i/>
        </w:rPr>
        <w:t>The standard says the default value of dynamicAddress is on.</w:t>
      </w:r>
    </w:p>
    <w:p w:rsidR="000A156F" w:rsidRDefault="00A9721F">
      <w:pPr>
        <w:pStyle w:val="Definition-Field2"/>
      </w:pPr>
      <w:r>
        <w:t xml:space="preserve">In Word, the default value of </w:t>
      </w:r>
      <w:r>
        <w:t>dynamicAddress is off.</w:t>
      </w:r>
    </w:p>
    <w:p w:rsidR="000A156F" w:rsidRDefault="00A9721F">
      <w:pPr>
        <w:pStyle w:val="Heading3"/>
      </w:pPr>
      <w:bookmarkStart w:id="756" w:name="section_bdee1e1f1cb94cd7a7e2e4339f0b8cd2"/>
      <w:bookmarkStart w:id="757" w:name="_Toc181683404"/>
      <w:r>
        <w:t>Part 1 Section 17.14.14, fHdr (First Row of Data Source Contains Column Names)</w:t>
      </w:r>
      <w:bookmarkEnd w:id="756"/>
      <w:bookmarkEnd w:id="757"/>
      <w:r>
        <w:fldChar w:fldCharType="begin"/>
      </w:r>
      <w:r>
        <w:instrText xml:space="preserve"> XE "fHdr (First Row of Data Source Contains Column Names)" </w:instrText>
      </w:r>
      <w:r>
        <w:fldChar w:fldCharType="end"/>
      </w:r>
    </w:p>
    <w:p w:rsidR="000A156F" w:rsidRDefault="00A9721F">
      <w:pPr>
        <w:pStyle w:val="Definition-Field"/>
      </w:pPr>
      <w:r>
        <w:t xml:space="preserve">a.   </w:t>
      </w:r>
      <w:r>
        <w:rPr>
          <w:i/>
        </w:rPr>
        <w:t>The standard says this element specifies the first row of data in the specified externa</w:t>
      </w:r>
      <w:r>
        <w:rPr>
          <w:i/>
        </w:rPr>
        <w:t>l data source should be treated as a header row.</w:t>
      </w:r>
    </w:p>
    <w:p w:rsidR="000A156F" w:rsidRDefault="00A9721F">
      <w:pPr>
        <w:pStyle w:val="Definition-Field2"/>
      </w:pPr>
      <w:r>
        <w:t>Word ignores this element for all types of external data sources except Excel.</w:t>
      </w:r>
    </w:p>
    <w:p w:rsidR="000A156F" w:rsidRDefault="00A9721F">
      <w:pPr>
        <w:pStyle w:val="Heading3"/>
      </w:pPr>
      <w:bookmarkStart w:id="758" w:name="section_df0bbd4bc5e44836a65cf956185a0f8d"/>
      <w:bookmarkStart w:id="759" w:name="_Toc181683405"/>
      <w:r>
        <w:t>Part 1 Section 17.14.15, fieldMapData (External Data Source to Merge Field Mapping)</w:t>
      </w:r>
      <w:bookmarkEnd w:id="758"/>
      <w:bookmarkEnd w:id="759"/>
      <w:r>
        <w:fldChar w:fldCharType="begin"/>
      </w:r>
      <w:r>
        <w:instrText xml:space="preserve"> XE "fieldMapData (External Data Source to Me</w:instrText>
      </w:r>
      <w:r>
        <w:instrText xml:space="preserve">rge Field Mapping)" </w:instrText>
      </w:r>
      <w:r>
        <w:fldChar w:fldCharType="end"/>
      </w:r>
    </w:p>
    <w:p w:rsidR="000A156F" w:rsidRDefault="00A9721F">
      <w:pPr>
        <w:pStyle w:val="Definition-Field"/>
      </w:pPr>
      <w:r>
        <w:t xml:space="preserve">a.   </w:t>
      </w:r>
      <w:r>
        <w:rPr>
          <w:i/>
        </w:rPr>
        <w:t>The standard states that the fieldMapData element is used to map from mappedName to data source columns.</w:t>
      </w:r>
    </w:p>
    <w:p w:rsidR="000A156F" w:rsidRDefault="00A9721F">
      <w:r>
        <w:t>Word uses 30 pre-defined mail merge fields as follows:</w:t>
      </w:r>
    </w:p>
    <w:p w:rsidR="000A156F" w:rsidRDefault="00A9721F">
      <w:r>
        <w:t xml:space="preserve">Unique                </w:t>
      </w:r>
    </w:p>
    <w:p w:rsidR="000A156F" w:rsidRDefault="00A9721F">
      <w:r>
        <w:t>CourtesyTitle       </w:t>
      </w:r>
    </w:p>
    <w:p w:rsidR="000A156F" w:rsidRDefault="00A9721F">
      <w:r>
        <w:t xml:space="preserve">FirstName             </w:t>
      </w:r>
    </w:p>
    <w:p w:rsidR="000A156F" w:rsidRDefault="00A9721F">
      <w:r>
        <w:t>M</w:t>
      </w:r>
      <w:r>
        <w:t xml:space="preserve">iddleName            </w:t>
      </w:r>
    </w:p>
    <w:p w:rsidR="000A156F" w:rsidRDefault="00A9721F">
      <w:r>
        <w:t xml:space="preserve">LastName              </w:t>
      </w:r>
    </w:p>
    <w:p w:rsidR="000A156F" w:rsidRDefault="00A9721F">
      <w:r>
        <w:t xml:space="preserve">Suffix                </w:t>
      </w:r>
    </w:p>
    <w:p w:rsidR="000A156F" w:rsidRDefault="00A9721F">
      <w:r>
        <w:lastRenderedPageBreak/>
        <w:t xml:space="preserve">Nickname              </w:t>
      </w:r>
    </w:p>
    <w:p w:rsidR="000A156F" w:rsidRDefault="00A9721F">
      <w:r>
        <w:t xml:space="preserve">JobTitle              </w:t>
      </w:r>
    </w:p>
    <w:p w:rsidR="000A156F" w:rsidRDefault="00A9721F">
      <w:r>
        <w:t xml:space="preserve">Company               </w:t>
      </w:r>
    </w:p>
    <w:p w:rsidR="000A156F" w:rsidRDefault="00A9721F">
      <w:r>
        <w:t xml:space="preserve">Address1              </w:t>
      </w:r>
    </w:p>
    <w:p w:rsidR="000A156F" w:rsidRDefault="00A9721F">
      <w:r>
        <w:t xml:space="preserve">Address2             </w:t>
      </w:r>
    </w:p>
    <w:p w:rsidR="000A156F" w:rsidRDefault="00A9721F">
      <w:r>
        <w:t xml:space="preserve">City                 </w:t>
      </w:r>
    </w:p>
    <w:p w:rsidR="000A156F" w:rsidRDefault="00A9721F">
      <w:r>
        <w:t xml:space="preserve">State                </w:t>
      </w:r>
    </w:p>
    <w:p w:rsidR="000A156F" w:rsidRDefault="00A9721F">
      <w:r>
        <w:t xml:space="preserve">PostalCode           </w:t>
      </w:r>
    </w:p>
    <w:p w:rsidR="000A156F" w:rsidRDefault="00A9721F">
      <w:r>
        <w:t>CountryorRegion      </w:t>
      </w:r>
    </w:p>
    <w:p w:rsidR="000A156F" w:rsidRDefault="00A9721F">
      <w:r>
        <w:t xml:space="preserve">BusinessPhone        </w:t>
      </w:r>
    </w:p>
    <w:p w:rsidR="000A156F" w:rsidRDefault="00A9721F">
      <w:r>
        <w:t xml:space="preserve">BusinessFax          </w:t>
      </w:r>
    </w:p>
    <w:p w:rsidR="000A156F" w:rsidRDefault="00A9721F">
      <w:r>
        <w:t xml:space="preserve">HomePhone            </w:t>
      </w:r>
    </w:p>
    <w:p w:rsidR="000A156F" w:rsidRDefault="00A9721F">
      <w:r>
        <w:t>HomeFax              </w:t>
      </w:r>
    </w:p>
    <w:p w:rsidR="000A156F" w:rsidRDefault="00A9721F">
      <w:r>
        <w:t xml:space="preserve">EmailAddress         </w:t>
      </w:r>
    </w:p>
    <w:p w:rsidR="000A156F" w:rsidRDefault="00A9721F">
      <w:r>
        <w:t>WebPage              </w:t>
      </w:r>
    </w:p>
    <w:p w:rsidR="000A156F" w:rsidRDefault="00A9721F">
      <w:r>
        <w:t xml:space="preserve">SpouseCourtesyTitle  </w:t>
      </w:r>
    </w:p>
    <w:p w:rsidR="000A156F" w:rsidRDefault="00A9721F">
      <w:r>
        <w:t>SpouseFirstName      </w:t>
      </w:r>
    </w:p>
    <w:p w:rsidR="000A156F" w:rsidRDefault="00A9721F">
      <w:r>
        <w:t>SpouseMiddleName     </w:t>
      </w:r>
    </w:p>
    <w:p w:rsidR="000A156F" w:rsidRDefault="00A9721F">
      <w:r>
        <w:t>SpouseLastName       </w:t>
      </w:r>
    </w:p>
    <w:p w:rsidR="000A156F" w:rsidRDefault="00A9721F">
      <w:r>
        <w:t>SpouseNickname</w:t>
      </w:r>
      <w:r>
        <w:t>       </w:t>
      </w:r>
    </w:p>
    <w:p w:rsidR="000A156F" w:rsidRDefault="00A9721F">
      <w:r>
        <w:t xml:space="preserve">RubyFirstName        </w:t>
      </w:r>
    </w:p>
    <w:p w:rsidR="000A156F" w:rsidRDefault="00A9721F">
      <w:r>
        <w:t xml:space="preserve">RubyLastName         </w:t>
      </w:r>
    </w:p>
    <w:p w:rsidR="000A156F" w:rsidRDefault="00A9721F">
      <w:r>
        <w:t>Address3             </w:t>
      </w:r>
    </w:p>
    <w:p w:rsidR="000A156F" w:rsidRDefault="00A9721F">
      <w:r>
        <w:t>Department  </w:t>
      </w:r>
    </w:p>
    <w:p w:rsidR="000A156F" w:rsidRDefault="00A9721F">
      <w:r>
        <w:t xml:space="preserve">Word ignores the </w:t>
      </w:r>
      <w:r>
        <w:rPr>
          <w:b/>
        </w:rPr>
        <w:t>mappedName</w:t>
      </w:r>
      <w:r>
        <w:t xml:space="preserve"> child element of a </w:t>
      </w:r>
      <w:r>
        <w:rPr>
          <w:b/>
        </w:rPr>
        <w:t>fieldMapData</w:t>
      </w:r>
      <w:r>
        <w:t xml:space="preserve"> element and maps the mail merge fields according to the order of the fieldMapData elements inside the </w:t>
      </w:r>
      <w:r>
        <w:rPr>
          <w:b/>
        </w:rPr>
        <w:t>odso</w:t>
      </w:r>
      <w:r>
        <w:t xml:space="preserve"> el</w:t>
      </w:r>
      <w:r>
        <w:t xml:space="preserve">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element corresponds to </w:t>
      </w:r>
      <w:r>
        <w:rPr>
          <w:i/>
        </w:rPr>
        <w:t>CourtesyTitle</w:t>
      </w:r>
      <w:r>
        <w:t xml:space="preserve"> field, and so on.</w:t>
      </w:r>
    </w:p>
    <w:p w:rsidR="000A156F" w:rsidRDefault="00A9721F">
      <w:pPr>
        <w:pStyle w:val="Definition-Field"/>
      </w:pPr>
      <w:r>
        <w:t xml:space="preserve">b.   </w:t>
      </w:r>
      <w:r>
        <w:rPr>
          <w:i/>
        </w:rPr>
        <w:t xml:space="preserve">The standard says that this element maps MERGEFIELD fields to data </w:t>
      </w:r>
      <w:r>
        <w:rPr>
          <w:i/>
        </w:rPr>
        <w:t>source columns.</w:t>
      </w:r>
    </w:p>
    <w:p w:rsidR="000A156F" w:rsidRDefault="00A9721F">
      <w:pPr>
        <w:pStyle w:val="Definition-Field2"/>
      </w:pPr>
      <w:r>
        <w:t>In Word, this element maps predefined fields to data source columns.</w:t>
      </w:r>
    </w:p>
    <w:p w:rsidR="000A156F" w:rsidRDefault="00A9721F">
      <w:pPr>
        <w:pStyle w:val="Heading3"/>
      </w:pPr>
      <w:bookmarkStart w:id="760" w:name="section_6dce24e56a194a6798fbd2f301658523"/>
      <w:bookmarkStart w:id="761" w:name="_Toc181683406"/>
      <w:r>
        <w:t>Part 1 Section 17.14.16, headerSource (Header Definition File Path)</w:t>
      </w:r>
      <w:bookmarkEnd w:id="760"/>
      <w:bookmarkEnd w:id="761"/>
      <w:r>
        <w:fldChar w:fldCharType="begin"/>
      </w:r>
      <w:r>
        <w:instrText xml:space="preserve"> XE "headerSource (Header Definition File Path)" </w:instrText>
      </w:r>
      <w:r>
        <w:fldChar w:fldCharType="end"/>
      </w:r>
    </w:p>
    <w:p w:rsidR="000A156F" w:rsidRDefault="00A9721F">
      <w:pPr>
        <w:pStyle w:val="Definition-Field2"/>
      </w:pPr>
      <w:r>
        <w:rPr>
          <w:i/>
        </w:rPr>
        <w:t>For additional notes that apply to this portion of t</w:t>
      </w:r>
      <w:r>
        <w:rPr>
          <w:i/>
        </w:rPr>
        <w:t xml:space="preserve">he standard, please see the notes for </w:t>
      </w:r>
      <w:hyperlink w:anchor="Section_55e01b00ed934498b4e5b0bc0abdf97d">
        <w:r>
          <w:rPr>
            <w:rStyle w:val="Hyperlink"/>
          </w:rPr>
          <w:t>attachedTemplate, §17.15.1.6(a)</w:t>
        </w:r>
      </w:hyperlink>
      <w:r>
        <w:rPr>
          <w:i/>
        </w:rPr>
        <w:t>.</w:t>
      </w:r>
    </w:p>
    <w:p w:rsidR="000A156F" w:rsidRDefault="00A9721F">
      <w:pPr>
        <w:pStyle w:val="Definition-Field"/>
      </w:pPr>
      <w:r>
        <w:lastRenderedPageBreak/>
        <w:t xml:space="preserve">a.   </w:t>
      </w:r>
      <w:r>
        <w:rPr>
          <w:i/>
        </w:rPr>
        <w:t>The standard specifies the headerSource element.</w:t>
      </w:r>
    </w:p>
    <w:p w:rsidR="000A156F" w:rsidRDefault="00A9721F">
      <w:pPr>
        <w:pStyle w:val="Definition-Field2"/>
      </w:pPr>
      <w:r>
        <w:t xml:space="preserve">Word fails to open WordprocessingML documents in which this element </w:t>
      </w:r>
      <w:r>
        <w:t>is present.</w:t>
      </w:r>
    </w:p>
    <w:p w:rsidR="000A156F" w:rsidRDefault="00A9721F">
      <w:pPr>
        <w:pStyle w:val="Heading3"/>
      </w:pPr>
      <w:bookmarkStart w:id="762" w:name="section_c73305a2b02643f9846307203a71f773"/>
      <w:bookmarkStart w:id="763" w:name="_Toc181683407"/>
      <w:r>
        <w:t>Part 1 Section 17.14.17, lid (Merge Field Name Language ID)</w:t>
      </w:r>
      <w:bookmarkEnd w:id="762"/>
      <w:bookmarkEnd w:id="763"/>
      <w:r>
        <w:fldChar w:fldCharType="begin"/>
      </w:r>
      <w:r>
        <w:instrText xml:space="preserve"> XE "lid (Merge Field Name Language ID)" </w:instrText>
      </w:r>
      <w:r>
        <w:fldChar w:fldCharType="end"/>
      </w:r>
    </w:p>
    <w:p w:rsidR="000A156F" w:rsidRDefault="00A9721F">
      <w:pPr>
        <w:pStyle w:val="Definition-Field"/>
      </w:pPr>
      <w:r>
        <w:t xml:space="preserve">a.   </w:t>
      </w:r>
      <w:r>
        <w:rPr>
          <w:i/>
        </w:rPr>
        <w:t>The standard says the val attribute specifies either an ISO 639-1 letter code or 4 digit hexadecimal code for a specific language.</w:t>
      </w:r>
    </w:p>
    <w:p w:rsidR="000A156F" w:rsidRDefault="00A9721F">
      <w:pPr>
        <w:pStyle w:val="Definition-Field2"/>
      </w:pPr>
      <w:r>
        <w:t xml:space="preserve">Word </w:t>
      </w:r>
      <w:r>
        <w:t>does not understand 4 digit hexadecimal codes for languages when stored in this attribute.</w:t>
      </w:r>
    </w:p>
    <w:p w:rsidR="000A156F" w:rsidRDefault="00A9721F">
      <w:pPr>
        <w:pStyle w:val="Heading3"/>
      </w:pPr>
      <w:bookmarkStart w:id="764" w:name="section_a0916d92e8be4cd398c08d58842a4b67"/>
      <w:bookmarkStart w:id="765" w:name="_Toc181683408"/>
      <w:r>
        <w:t>Part 1 Section 17.14.18, linkToQuery (Query Contains Link to External Query File)</w:t>
      </w:r>
      <w:bookmarkEnd w:id="764"/>
      <w:bookmarkEnd w:id="765"/>
      <w:r>
        <w:fldChar w:fldCharType="begin"/>
      </w:r>
      <w:r>
        <w:instrText xml:space="preserve"> XE "linkToQuery (Query Contains Link to External Query File)" </w:instrText>
      </w:r>
      <w:r>
        <w:fldChar w:fldCharType="end"/>
      </w:r>
    </w:p>
    <w:p w:rsidR="000A156F" w:rsidRDefault="00A9721F">
      <w:pPr>
        <w:pStyle w:val="Definition-Field"/>
      </w:pPr>
      <w:r>
        <w:t xml:space="preserve">a.   </w:t>
      </w:r>
      <w:r>
        <w:rPr>
          <w:i/>
        </w:rPr>
        <w:t xml:space="preserve">The standard </w:t>
      </w:r>
      <w:r>
        <w:rPr>
          <w:i/>
        </w:rPr>
        <w:t>says this element specifies that the query string contains a reference to an external query file that contains the actual query data to be used against the specified external data source for the mail merge.</w:t>
      </w:r>
    </w:p>
    <w:p w:rsidR="000A156F" w:rsidRDefault="00A9721F">
      <w:pPr>
        <w:pStyle w:val="Definition-Field2"/>
      </w:pPr>
      <w:r>
        <w:t>Word saves this element irrespective of whether t</w:t>
      </w:r>
      <w:r>
        <w:t>he query string actually contains a reference to an external query file or not, and subsequently ignores the element.</w:t>
      </w:r>
    </w:p>
    <w:p w:rsidR="000A156F" w:rsidRDefault="00A9721F">
      <w:pPr>
        <w:pStyle w:val="Heading3"/>
      </w:pPr>
      <w:bookmarkStart w:id="766" w:name="section_86d70704e1464242bbbe719a8e663c4b"/>
      <w:bookmarkStart w:id="767" w:name="_Toc181683409"/>
      <w:r>
        <w:t>Part 1 Section 17.14.20, mailMerge (Mail Merge Settings)</w:t>
      </w:r>
      <w:bookmarkEnd w:id="766"/>
      <w:bookmarkEnd w:id="767"/>
      <w:r>
        <w:fldChar w:fldCharType="begin"/>
      </w:r>
      <w:r>
        <w:instrText xml:space="preserve"> XE "mailMerge (Mail Merge Settings)" </w:instrText>
      </w:r>
      <w:r>
        <w:fldChar w:fldCharType="end"/>
      </w:r>
    </w:p>
    <w:p w:rsidR="000A156F" w:rsidRDefault="00A9721F">
      <w:pPr>
        <w:pStyle w:val="Definition-Field"/>
      </w:pPr>
      <w:r>
        <w:t xml:space="preserve">a.   </w:t>
      </w:r>
      <w:r>
        <w:rPr>
          <w:i/>
        </w:rPr>
        <w:t>The standard states that the minOccu</w:t>
      </w:r>
      <w:r>
        <w:rPr>
          <w:i/>
        </w:rPr>
        <w:t>rs value for the mainDocumentType child element is 1.</w:t>
      </w:r>
    </w:p>
    <w:p w:rsidR="000A156F" w:rsidRDefault="00A9721F">
      <w:pPr>
        <w:pStyle w:val="Definition-Field2"/>
      </w:pPr>
      <w:r>
        <w:t>Word does not require an occurrence of this element.</w:t>
      </w:r>
    </w:p>
    <w:p w:rsidR="000A156F" w:rsidRDefault="00A9721F">
      <w:pPr>
        <w:pStyle w:val="Heading3"/>
      </w:pPr>
      <w:bookmarkStart w:id="768" w:name="section_65e8cdb15d92405ba16b6aab39f3f150"/>
      <w:bookmarkStart w:id="769" w:name="_Toc181683410"/>
      <w:r>
        <w:t>Part 1 Section 17.14.23, mappedName (Predefined Merge Field Name)</w:t>
      </w:r>
      <w:bookmarkEnd w:id="768"/>
      <w:bookmarkEnd w:id="769"/>
      <w:r>
        <w:fldChar w:fldCharType="begin"/>
      </w:r>
      <w:r>
        <w:instrText xml:space="preserve"> XE "mappedName (Predefined Merge Field Name)" </w:instrText>
      </w:r>
      <w:r>
        <w:fldChar w:fldCharType="end"/>
      </w:r>
    </w:p>
    <w:p w:rsidR="000A156F" w:rsidRDefault="00A9721F">
      <w:pPr>
        <w:pStyle w:val="Definition-Field"/>
      </w:pPr>
      <w:r>
        <w:t xml:space="preserve">a.   </w:t>
      </w:r>
      <w:r>
        <w:rPr>
          <w:i/>
        </w:rPr>
        <w:t>The standard says that this e</w:t>
      </w:r>
      <w:r>
        <w:rPr>
          <w:i/>
        </w:rPr>
        <w:t>lement is used to map MERGEFIELD fields to data source columns.</w:t>
      </w:r>
    </w:p>
    <w:p w:rsidR="000A156F" w:rsidRDefault="00A9721F">
      <w:pPr>
        <w:pStyle w:val="Definition-Field2"/>
      </w:pPr>
      <w:r>
        <w:t>In Word, this element is used to map predefined mail merge fields to data source columns.</w:t>
      </w:r>
    </w:p>
    <w:p w:rsidR="000A156F" w:rsidRDefault="00A9721F">
      <w:pPr>
        <w:pStyle w:val="Heading3"/>
      </w:pPr>
      <w:bookmarkStart w:id="770" w:name="section_51a7812ca4d047cba9ad3369db15bff2"/>
      <w:bookmarkStart w:id="771" w:name="_Toc181683411"/>
      <w:r>
        <w:t>Part 1 Section 17.14.24, name (Data Source Name for Column)</w:t>
      </w:r>
      <w:bookmarkEnd w:id="770"/>
      <w:bookmarkEnd w:id="771"/>
      <w:r>
        <w:fldChar w:fldCharType="begin"/>
      </w:r>
      <w:r>
        <w:instrText xml:space="preserve"> XE "name (Data Source Name for Column)" </w:instrText>
      </w:r>
      <w:r>
        <w:fldChar w:fldCharType="end"/>
      </w:r>
    </w:p>
    <w:p w:rsidR="000A156F" w:rsidRDefault="00A9721F">
      <w:pPr>
        <w:pStyle w:val="Definition-Field"/>
      </w:pPr>
      <w:r>
        <w:t xml:space="preserve">a.   </w:t>
      </w:r>
      <w:r>
        <w:rPr>
          <w:i/>
        </w:rPr>
        <w:t>The standard says this element is used to look up a column name that is used to determine which column to map from the data source, but it also specifies the same meaning for the column element.</w:t>
      </w:r>
    </w:p>
    <w:p w:rsidR="000A156F" w:rsidRDefault="00A9721F">
      <w:pPr>
        <w:pStyle w:val="Definition-Field2"/>
      </w:pPr>
      <w:r>
        <w:t xml:space="preserve">In Word, the name element caches the value of the name </w:t>
      </w:r>
      <w:r>
        <w:t>of this column in the data source at the time when the connection was established, but the column element is used to determine which column to map from the data source.</w:t>
      </w:r>
    </w:p>
    <w:p w:rsidR="000A156F" w:rsidRDefault="00A9721F">
      <w:pPr>
        <w:pStyle w:val="Definition-Field"/>
      </w:pPr>
      <w:r>
        <w:t xml:space="preserve">b.   </w:t>
      </w:r>
      <w:r>
        <w:rPr>
          <w:i/>
        </w:rPr>
        <w:t>The standard says that if this element is omitted, no data source column name is p</w:t>
      </w:r>
      <w:r>
        <w:rPr>
          <w:i/>
        </w:rPr>
        <w:t>rovided for the current column.</w:t>
      </w:r>
    </w:p>
    <w:p w:rsidR="000A156F" w:rsidRDefault="00A9721F">
      <w:pPr>
        <w:pStyle w:val="Definition-Field2"/>
      </w:pPr>
      <w:r>
        <w:t>In Word, if this element is omitted, no data source column name is provided for the current column mapping.</w:t>
      </w:r>
    </w:p>
    <w:p w:rsidR="000A156F" w:rsidRDefault="00A9721F">
      <w:pPr>
        <w:pStyle w:val="Heading3"/>
      </w:pPr>
      <w:bookmarkStart w:id="772" w:name="section_9a5c99b84476437893dced42b0e4457a"/>
      <w:bookmarkStart w:id="773" w:name="_Toc181683412"/>
      <w:r>
        <w:t>Part 1 Section 17.14.25, odso (Office Data Source Object Settings)</w:t>
      </w:r>
      <w:bookmarkEnd w:id="772"/>
      <w:bookmarkEnd w:id="773"/>
      <w:r>
        <w:fldChar w:fldCharType="begin"/>
      </w:r>
      <w:r>
        <w:instrText xml:space="preserve"> XE "odso (Office Data Source Object Settings)" </w:instrText>
      </w:r>
      <w:r>
        <w:fldChar w:fldCharType="end"/>
      </w:r>
    </w:p>
    <w:p w:rsidR="000A156F" w:rsidRDefault="00A9721F">
      <w:pPr>
        <w:pStyle w:val="Definition-Field"/>
      </w:pPr>
      <w:r>
        <w:t xml:space="preserve">a.   </w:t>
      </w:r>
      <w:r>
        <w:rPr>
          <w:i/>
        </w:rPr>
        <w:t>The standard states that the maxOccurs value for the recipientData child element is unbounded.</w:t>
      </w:r>
    </w:p>
    <w:p w:rsidR="000A156F" w:rsidRDefault="00A9721F">
      <w:pPr>
        <w:pStyle w:val="Definition-Field2"/>
      </w:pPr>
      <w:r>
        <w:t>Word limits the occurrences of this element to 1.</w:t>
      </w:r>
    </w:p>
    <w:p w:rsidR="000A156F" w:rsidRDefault="00A9721F">
      <w:pPr>
        <w:pStyle w:val="Definition-Field"/>
      </w:pPr>
      <w:r>
        <w:t xml:space="preserve">b.   </w:t>
      </w:r>
      <w:r>
        <w:rPr>
          <w:i/>
        </w:rPr>
        <w:t>The standard says that the odso element provides information about mapping to MERGEFIELD fields.</w:t>
      </w:r>
    </w:p>
    <w:p w:rsidR="000A156F" w:rsidRDefault="00A9721F">
      <w:pPr>
        <w:pStyle w:val="Definition-Field2"/>
      </w:pPr>
      <w:r>
        <w:lastRenderedPageBreak/>
        <w:t xml:space="preserve">In </w:t>
      </w:r>
      <w:r>
        <w:t>Word, the odso element provides information about mappings to built-in mail merge data fields, not MERGEFIELD fields.</w:t>
      </w:r>
    </w:p>
    <w:p w:rsidR="000A156F" w:rsidRDefault="00A9721F">
      <w:pPr>
        <w:pStyle w:val="Heading3"/>
      </w:pPr>
      <w:bookmarkStart w:id="774" w:name="section_a9c31b5313cd44a29b23ed04ed2aa79b"/>
      <w:bookmarkStart w:id="775" w:name="_Toc181683413"/>
      <w:r>
        <w:t>Part 1 Section 17.14.26, query (Query For Data Source Records To Merge)</w:t>
      </w:r>
      <w:bookmarkEnd w:id="774"/>
      <w:bookmarkEnd w:id="775"/>
      <w:r>
        <w:fldChar w:fldCharType="begin"/>
      </w:r>
      <w:r>
        <w:instrText xml:space="preserve"> XE "query (Query For Data Source Records To Merge)" </w:instrText>
      </w:r>
      <w:r>
        <w:fldChar w:fldCharType="end"/>
      </w:r>
    </w:p>
    <w:p w:rsidR="000A156F" w:rsidRDefault="00A9721F">
      <w:pPr>
        <w:pStyle w:val="Definition-Field"/>
      </w:pPr>
      <w:r>
        <w:t xml:space="preserve">a.   </w:t>
      </w:r>
      <w:r>
        <w:rPr>
          <w:i/>
        </w:rPr>
        <w:t>The st</w:t>
      </w:r>
      <w:r>
        <w:rPr>
          <w:i/>
        </w:rPr>
        <w:t>andard does not restrict the SQL statements that may be used.</w:t>
      </w:r>
    </w:p>
    <w:p w:rsidR="000A156F" w:rsidRDefault="00A9721F">
      <w:pPr>
        <w:pStyle w:val="Definition-Field2"/>
      </w:pPr>
      <w:r>
        <w:t>Word does not allow SQL statements that attempt to modify the data source.</w:t>
      </w:r>
    </w:p>
    <w:p w:rsidR="000A156F" w:rsidRDefault="00A9721F">
      <w:pPr>
        <w:pStyle w:val="Heading3"/>
      </w:pPr>
      <w:bookmarkStart w:id="776" w:name="section_b05d3137d2c64c6e9afaeb92d7ccf317"/>
      <w:bookmarkStart w:id="777" w:name="_Toc181683414"/>
      <w:r>
        <w:t>Part 1 Section 17.14.28, recipientData (Reference to Inclusion/Exclusion Data for Data Source)</w:t>
      </w:r>
      <w:bookmarkEnd w:id="776"/>
      <w:bookmarkEnd w:id="777"/>
      <w:r>
        <w:fldChar w:fldCharType="begin"/>
      </w:r>
      <w:r>
        <w:instrText xml:space="preserve"> XE "recipientData (Refer</w:instrText>
      </w:r>
      <w:r>
        <w:instrText xml:space="preserve">ence to Inclusion/Exclusion Data for Data Source)"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A156F" w:rsidRDefault="00A9721F">
      <w:pPr>
        <w:pStyle w:val="Definition-Field"/>
      </w:pPr>
      <w:r>
        <w:t xml:space="preserve">a.   </w:t>
      </w:r>
      <w:r>
        <w:rPr>
          <w:i/>
        </w:rPr>
        <w:t xml:space="preserve">The </w:t>
      </w:r>
      <w:r>
        <w:rPr>
          <w:i/>
        </w:rPr>
        <w:t>standard requires relationships specified by this element to be of type http://schemas.openxmlformats.org/officeDocument/2006/mailMergeRecipientData.</w:t>
      </w:r>
    </w:p>
    <w:p w:rsidR="000A156F" w:rsidRDefault="00A9721F">
      <w:pPr>
        <w:pStyle w:val="Definition-Field2"/>
      </w:pPr>
      <w:r>
        <w:t>Word expects relationships specified by this element to be of type http://schemas.openxmlformats.org/offic</w:t>
      </w:r>
      <w:r>
        <w:t>eDocument/2006/relationships/recipientData.</w:t>
      </w:r>
    </w:p>
    <w:p w:rsidR="000A156F" w:rsidRDefault="00A9721F">
      <w:pPr>
        <w:pStyle w:val="Heading3"/>
      </w:pPr>
      <w:bookmarkStart w:id="778" w:name="section_b024812a26b24c69b7f74a056ac257f0"/>
      <w:bookmarkStart w:id="779" w:name="_Toc181683415"/>
      <w:r>
        <w:t>Part 1 Section 17.14.30, src (ODSO Data Source File Path)</w:t>
      </w:r>
      <w:bookmarkEnd w:id="778"/>
      <w:bookmarkEnd w:id="779"/>
      <w:r>
        <w:fldChar w:fldCharType="begin"/>
      </w:r>
      <w:r>
        <w:instrText xml:space="preserve"> XE "src (ODSO Data Source File Path)"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A156F" w:rsidRDefault="00A9721F">
      <w:pPr>
        <w:pStyle w:val="Definition-Field"/>
      </w:pPr>
      <w:r>
        <w:t xml:space="preserve">a.   </w:t>
      </w:r>
      <w:r>
        <w:rPr>
          <w:i/>
        </w:rPr>
        <w:t>The standard specifies that this element is used only under certain conditions.</w:t>
      </w:r>
    </w:p>
    <w:p w:rsidR="000A156F" w:rsidRDefault="00A9721F">
      <w:pPr>
        <w:pStyle w:val="Definition-Field2"/>
      </w:pPr>
      <w:r>
        <w:t>Word does not use this element under any conditions.</w:t>
      </w:r>
    </w:p>
    <w:p w:rsidR="000A156F" w:rsidRDefault="00A9721F">
      <w:pPr>
        <w:pStyle w:val="Heading3"/>
      </w:pPr>
      <w:bookmarkStart w:id="780" w:name="section_9aa94d9d71474207943f86ec6ab00f2e"/>
      <w:bookmarkStart w:id="781" w:name="_Toc181683416"/>
      <w:r>
        <w:t>Part 1 Section 17.14.31, table (Data Source Table Name)</w:t>
      </w:r>
      <w:bookmarkEnd w:id="780"/>
      <w:bookmarkEnd w:id="781"/>
      <w:r>
        <w:fldChar w:fldCharType="begin"/>
      </w:r>
      <w:r>
        <w:instrText xml:space="preserve"> XE "table (Data Source Table Name)" </w:instrText>
      </w:r>
      <w:r>
        <w:fldChar w:fldCharType="end"/>
      </w:r>
    </w:p>
    <w:p w:rsidR="000A156F" w:rsidRDefault="00A9721F">
      <w:pPr>
        <w:pStyle w:val="Definition-Field"/>
      </w:pPr>
      <w:r>
        <w:t xml:space="preserve">a.   </w:t>
      </w:r>
      <w:r>
        <w:rPr>
          <w:i/>
        </w:rPr>
        <w:t>The standard says that this element specifies which table in a data source is being used.</w:t>
      </w:r>
    </w:p>
    <w:p w:rsidR="000A156F" w:rsidRDefault="00A9721F">
      <w:pPr>
        <w:pStyle w:val="Definition-Field2"/>
      </w:pPr>
      <w:r>
        <w:t>Word uses this element only when the query element is omitted.</w:t>
      </w:r>
    </w:p>
    <w:p w:rsidR="000A156F" w:rsidRDefault="00A9721F">
      <w:pPr>
        <w:pStyle w:val="Heading3"/>
      </w:pPr>
      <w:bookmarkStart w:id="782" w:name="section_26666ffbbd6640afae0ff52667122e22"/>
      <w:bookmarkStart w:id="783" w:name="_Toc181683417"/>
      <w:r>
        <w:t>Par</w:t>
      </w:r>
      <w:r>
        <w:t>t 1 Section 17.14.34, udl (UDL Connection String)</w:t>
      </w:r>
      <w:bookmarkEnd w:id="782"/>
      <w:bookmarkEnd w:id="783"/>
      <w:r>
        <w:fldChar w:fldCharType="begin"/>
      </w:r>
      <w:r>
        <w:instrText xml:space="preserve"> XE "udl (UDL Connection String)" </w:instrText>
      </w:r>
      <w:r>
        <w:fldChar w:fldCharType="end"/>
      </w:r>
    </w:p>
    <w:p w:rsidR="000A156F" w:rsidRDefault="00A9721F">
      <w:pPr>
        <w:pStyle w:val="Definition-Field"/>
      </w:pPr>
      <w:r>
        <w:t xml:space="preserve">a.   </w:t>
      </w:r>
      <w:r>
        <w:rPr>
          <w:i/>
        </w:rPr>
        <w:t>The standard specifies conditions under which the udl connection string is used.</w:t>
      </w:r>
    </w:p>
    <w:p w:rsidR="000A156F" w:rsidRDefault="00A9721F">
      <w:pPr>
        <w:pStyle w:val="Definition-Field2"/>
      </w:pPr>
      <w:r>
        <w:t>Word does not use the udl connection string.</w:t>
      </w:r>
    </w:p>
    <w:p w:rsidR="000A156F" w:rsidRDefault="00A9721F">
      <w:pPr>
        <w:pStyle w:val="Heading3"/>
      </w:pPr>
      <w:bookmarkStart w:id="784" w:name="section_8d383ab778ce4218ae868c670081fe50"/>
      <w:bookmarkStart w:id="785" w:name="_Toc181683418"/>
      <w:r>
        <w:t>Part 1 Section 17.14.35, uniqueTag (Uni</w:t>
      </w:r>
      <w:r>
        <w:t>que Value for Record)</w:t>
      </w:r>
      <w:bookmarkEnd w:id="784"/>
      <w:bookmarkEnd w:id="785"/>
      <w:r>
        <w:fldChar w:fldCharType="begin"/>
      </w:r>
      <w:r>
        <w:instrText xml:space="preserve"> XE "uniqueTag (Unique Value for Record)" </w:instrText>
      </w:r>
      <w:r>
        <w:fldChar w:fldCharType="end"/>
      </w:r>
    </w:p>
    <w:p w:rsidR="000A156F" w:rsidRDefault="00A9721F">
      <w:pPr>
        <w:pStyle w:val="Definition-Field"/>
      </w:pPr>
      <w:r>
        <w:t xml:space="preserve">a.   </w:t>
      </w:r>
      <w:r>
        <w:rPr>
          <w:i/>
        </w:rPr>
        <w:t>The standard does not define the contents of this element.</w:t>
      </w:r>
    </w:p>
    <w:p w:rsidR="000A156F" w:rsidRDefault="00A9721F">
      <w:pPr>
        <w:pStyle w:val="Definition-Field2"/>
      </w:pPr>
      <w:r>
        <w:t>Word defines this element to contain a val attribute that is defined by the XML Schema base64Binary datatype.</w:t>
      </w:r>
    </w:p>
    <w:p w:rsidR="000A156F" w:rsidRDefault="00A9721F">
      <w:pPr>
        <w:pStyle w:val="Definition-Field"/>
      </w:pPr>
      <w:r>
        <w:t xml:space="preserve">b.   </w:t>
      </w:r>
      <w:r>
        <w:rPr>
          <w:i/>
        </w:rPr>
        <w:t>The standar</w:t>
      </w:r>
      <w:r>
        <w:rPr>
          <w:i/>
        </w:rPr>
        <w:t>d says that this element is used to maintain a relationship between the records within an external data source and a given merged WordprocessingML document.</w:t>
      </w:r>
    </w:p>
    <w:p w:rsidR="000A156F" w:rsidRDefault="00A9721F">
      <w:pPr>
        <w:pStyle w:val="Definition-Field2"/>
      </w:pPr>
      <w:r>
        <w:t>Word uses this element to maintain a relationship between the records within an external data sourc</w:t>
      </w:r>
      <w:r>
        <w:t>e and a given source WordprocessingML document.</w:t>
      </w:r>
    </w:p>
    <w:p w:rsidR="000A156F" w:rsidRDefault="00A9721F">
      <w:pPr>
        <w:pStyle w:val="Definition-Field"/>
      </w:pPr>
      <w:r>
        <w:lastRenderedPageBreak/>
        <w:t xml:space="preserve">c.   </w:t>
      </w:r>
      <w:r>
        <w:rPr>
          <w:i/>
        </w:rPr>
        <w:t>The standard does not state how this element should be populated when the column containing unique data for a record is empty.</w:t>
      </w:r>
    </w:p>
    <w:p w:rsidR="000A156F" w:rsidRDefault="00A9721F">
      <w:r>
        <w:t>Word computes the unique tag, when empty, to be a base64-encoded value using</w:t>
      </w:r>
      <w:r>
        <w:t xml:space="preserve"> the following algorithm:</w:t>
      </w:r>
    </w:p>
    <w:p w:rsidR="000A156F" w:rsidRDefault="00A9721F">
      <w:r>
        <w:t>Utility function 1:</w:t>
      </w:r>
    </w:p>
    <w:p w:rsidR="000A156F" w:rsidRDefault="00A9721F">
      <w:pPr>
        <w:pStyle w:val="Code"/>
      </w:pPr>
      <w:r>
        <w:t>#define nPrimeLast 4294967291</w:t>
      </w:r>
    </w:p>
    <w:p w:rsidR="000A156F" w:rsidRDefault="00A9721F">
      <w:pPr>
        <w:pStyle w:val="Code"/>
      </w:pPr>
      <w:r>
        <w:t>__int32 LHashMM( __int32 l, __int32 dl )</w:t>
      </w:r>
    </w:p>
    <w:p w:rsidR="000A156F" w:rsidRDefault="00A9721F">
      <w:pPr>
        <w:pStyle w:val="Code"/>
      </w:pPr>
      <w:r>
        <w:t>{</w:t>
      </w:r>
    </w:p>
    <w:p w:rsidR="000A156F" w:rsidRDefault="00A9721F">
      <w:pPr>
        <w:pStyle w:val="Code"/>
      </w:pPr>
      <w:r>
        <w:t xml:space="preserve">        l = 131 * l + dl;</w:t>
      </w:r>
    </w:p>
    <w:p w:rsidR="000A156F" w:rsidRDefault="000A156F">
      <w:pPr>
        <w:pStyle w:val="Code"/>
      </w:pPr>
    </w:p>
    <w:p w:rsidR="000A156F" w:rsidRDefault="00A9721F">
      <w:pPr>
        <w:pStyle w:val="Code"/>
      </w:pPr>
      <w:r>
        <w:t xml:space="preserve">        if (l &gt;= nPrimeLast) {</w:t>
      </w:r>
    </w:p>
    <w:p w:rsidR="000A156F" w:rsidRDefault="00A9721F">
      <w:pPr>
        <w:pStyle w:val="Code"/>
      </w:pPr>
      <w:r>
        <w:t xml:space="preserve">                l -= nPrimeLast;</w:t>
      </w:r>
    </w:p>
    <w:p w:rsidR="000A156F" w:rsidRDefault="00A9721F">
      <w:pPr>
        <w:pStyle w:val="Code"/>
      </w:pPr>
      <w:r>
        <w:t xml:space="preserve">        }</w:t>
      </w:r>
    </w:p>
    <w:p w:rsidR="000A156F" w:rsidRDefault="000A156F">
      <w:pPr>
        <w:pStyle w:val="Code"/>
      </w:pPr>
    </w:p>
    <w:p w:rsidR="000A156F" w:rsidRDefault="00A9721F">
      <w:pPr>
        <w:pStyle w:val="Code"/>
      </w:pPr>
      <w:r>
        <w:t xml:space="preserve">        return l;</w:t>
      </w:r>
    </w:p>
    <w:p w:rsidR="000A156F" w:rsidRDefault="00A9721F">
      <w:pPr>
        <w:pStyle w:val="Code"/>
      </w:pPr>
      <w:r>
        <w:t>}</w:t>
      </w:r>
    </w:p>
    <w:p w:rsidR="000A156F" w:rsidRDefault="00A9721F">
      <w:r>
        <w:t>Utility functio</w:t>
      </w:r>
      <w:r>
        <w:t>n 2:</w:t>
      </w:r>
    </w:p>
    <w:p w:rsidR="000A156F" w:rsidRDefault="00A9721F">
      <w:pPr>
        <w:pStyle w:val="Code"/>
      </w:pPr>
      <w:r>
        <w:t>__int32 LGetHashWz(const WCHAR *wzText)</w:t>
      </w:r>
    </w:p>
    <w:p w:rsidR="000A156F" w:rsidRDefault="00A9721F">
      <w:pPr>
        <w:pStyle w:val="Code"/>
      </w:pPr>
      <w:r>
        <w:t>{</w:t>
      </w:r>
    </w:p>
    <w:p w:rsidR="000A156F" w:rsidRDefault="00A9721F">
      <w:pPr>
        <w:pStyle w:val="Code"/>
      </w:pPr>
      <w:r>
        <w:t xml:space="preserve">        int cch = lstrlen(wzText);</w:t>
      </w:r>
    </w:p>
    <w:p w:rsidR="000A156F" w:rsidRDefault="00A9721F">
      <w:pPr>
        <w:pStyle w:val="Code"/>
      </w:pPr>
      <w:r>
        <w:t xml:space="preserve">        __int32 lhash = 0L;</w:t>
      </w:r>
    </w:p>
    <w:p w:rsidR="000A156F" w:rsidRDefault="000A156F">
      <w:pPr>
        <w:pStyle w:val="Code"/>
      </w:pPr>
    </w:p>
    <w:p w:rsidR="000A156F" w:rsidRDefault="00A9721F">
      <w:pPr>
        <w:pStyle w:val="Code"/>
      </w:pPr>
      <w:r>
        <w:t xml:space="preserve">        for (int i = 0; i &lt; cch; i++) {</w:t>
      </w:r>
    </w:p>
    <w:p w:rsidR="000A156F" w:rsidRDefault="00A9721F">
      <w:pPr>
        <w:pStyle w:val="Code"/>
      </w:pPr>
      <w:r>
        <w:t xml:space="preserve">                lhash = LHashMM(lhash, wzText[i]);</w:t>
      </w:r>
    </w:p>
    <w:p w:rsidR="000A156F" w:rsidRDefault="00A9721F">
      <w:pPr>
        <w:pStyle w:val="Code"/>
      </w:pPr>
      <w:r>
        <w:t xml:space="preserve">        }</w:t>
      </w:r>
    </w:p>
    <w:p w:rsidR="000A156F" w:rsidRDefault="000A156F">
      <w:pPr>
        <w:pStyle w:val="Code"/>
      </w:pPr>
    </w:p>
    <w:p w:rsidR="000A156F" w:rsidRDefault="00A9721F">
      <w:pPr>
        <w:pStyle w:val="Code"/>
      </w:pPr>
      <w:r>
        <w:t xml:space="preserve">        return lhash;</w:t>
      </w:r>
    </w:p>
    <w:p w:rsidR="000A156F" w:rsidRDefault="00A9721F">
      <w:pPr>
        <w:pStyle w:val="Code"/>
      </w:pPr>
      <w:r>
        <w:t>}</w:t>
      </w:r>
    </w:p>
    <w:p w:rsidR="000A156F" w:rsidRDefault="00A9721F">
      <w:r>
        <w:t>Utility function 3:</w:t>
      </w:r>
    </w:p>
    <w:p w:rsidR="000A156F" w:rsidRDefault="00A9721F">
      <w:pPr>
        <w:pStyle w:val="Code"/>
      </w:pPr>
      <w:r>
        <w:t xml:space="preserve">__int32 DwRowHash(thisRow) </w:t>
      </w:r>
    </w:p>
    <w:p w:rsidR="000A156F" w:rsidRDefault="00A9721F">
      <w:pPr>
        <w:pStyle w:val="Code"/>
      </w:pPr>
      <w:r>
        <w:t>{</w:t>
      </w:r>
    </w:p>
    <w:p w:rsidR="000A156F" w:rsidRDefault="00A9721F">
      <w:pPr>
        <w:pStyle w:val="Code"/>
      </w:pPr>
      <w:r>
        <w:t xml:space="preserve">        __int32 lwHash = 0L;</w:t>
      </w:r>
    </w:p>
    <w:p w:rsidR="000A156F" w:rsidRDefault="00A9721F">
      <w:pPr>
        <w:pStyle w:val="Code"/>
      </w:pPr>
      <w:r>
        <w:t xml:space="preserve">        for(int i = 0; i &lt; TotalNumberOfColumnsInTheDataSource; i++) {</w:t>
      </w:r>
    </w:p>
    <w:p w:rsidR="000A156F" w:rsidRDefault="00A9721F">
      <w:pPr>
        <w:pStyle w:val="Code"/>
      </w:pPr>
      <w:r>
        <w:t xml:space="preserve">                Retrieve the value in the i-th column of thisRow as a Unicode String wzData;</w:t>
      </w:r>
    </w:p>
    <w:p w:rsidR="000A156F" w:rsidRDefault="00A9721F">
      <w:pPr>
        <w:pStyle w:val="Code"/>
      </w:pPr>
      <w:r>
        <w:t xml:space="preserve">                __int32 l = LGet</w:t>
      </w:r>
      <w:r>
        <w:t>HashWz(wzData);</w:t>
      </w:r>
    </w:p>
    <w:p w:rsidR="000A156F" w:rsidRDefault="00A9721F">
      <w:pPr>
        <w:pStyle w:val="Code"/>
      </w:pPr>
      <w:r>
        <w:t xml:space="preserve">                if(l) {</w:t>
      </w:r>
    </w:p>
    <w:p w:rsidR="000A156F" w:rsidRDefault="00A9721F">
      <w:pPr>
        <w:pStyle w:val="Code"/>
      </w:pPr>
      <w:r>
        <w:t xml:space="preserve">                        lwHash = LHashMM(lwHash, l);</w:t>
      </w:r>
    </w:p>
    <w:p w:rsidR="000A156F" w:rsidRDefault="00A9721F">
      <w:pPr>
        <w:pStyle w:val="Code"/>
      </w:pPr>
      <w:r>
        <w:t xml:space="preserve">                }</w:t>
      </w:r>
    </w:p>
    <w:p w:rsidR="000A156F" w:rsidRDefault="00A9721F">
      <w:pPr>
        <w:pStyle w:val="Code"/>
      </w:pPr>
      <w:r>
        <w:t xml:space="preserve">        }</w:t>
      </w:r>
    </w:p>
    <w:p w:rsidR="000A156F" w:rsidRDefault="00A9721F">
      <w:pPr>
        <w:pStyle w:val="Code"/>
      </w:pPr>
      <w:r>
        <w:t xml:space="preserve">        return lwHash;        </w:t>
      </w:r>
    </w:p>
    <w:p w:rsidR="000A156F" w:rsidRDefault="00A9721F">
      <w:pPr>
        <w:pStyle w:val="Code"/>
      </w:pPr>
      <w:r>
        <w:t>}</w:t>
      </w:r>
    </w:p>
    <w:p w:rsidR="000A156F" w:rsidRDefault="00A9721F">
      <w:r>
        <w:t>Unique tag computation algorithm:</w:t>
      </w:r>
    </w:p>
    <w:p w:rsidR="000A156F" w:rsidRDefault="00A9721F">
      <w:r>
        <w:rPr>
          <w:rStyle w:val="InlineCode"/>
        </w:rPr>
        <w:t>WCHAR wzUniqueTag[64] = {0};</w:t>
      </w:r>
    </w:p>
    <w:p w:rsidR="000A156F" w:rsidRDefault="00A9721F">
      <w:r>
        <w:rPr>
          <w:rStyle w:val="InlineCode"/>
        </w:rPr>
        <w:t>*((__int32*) wzUniqueTag) = DwRowHash(t</w:t>
      </w:r>
      <w:r>
        <w:rPr>
          <w:rStyle w:val="InlineCode"/>
        </w:rPr>
        <w:t>he_row_containing_this_record);</w:t>
      </w:r>
    </w:p>
    <w:p w:rsidR="000A156F" w:rsidRDefault="00A9721F">
      <w:r>
        <w:rPr>
          <w:rStyle w:val="InlineCode"/>
        </w:rPr>
        <w:t>return the wzUniqueTag as the uniqueTag;</w:t>
      </w:r>
    </w:p>
    <w:p w:rsidR="000A156F" w:rsidRDefault="00A9721F">
      <w:pPr>
        <w:pStyle w:val="Heading3"/>
      </w:pPr>
      <w:bookmarkStart w:id="786" w:name="section_8d8cee16e3b646348d9d57d84acbc399"/>
      <w:bookmarkStart w:id="787" w:name="_Toc181683419"/>
      <w:r>
        <w:lastRenderedPageBreak/>
        <w:t>Part 1 Section 17.15.1.1, activeWritingStyle (Grammar Checking Settings)</w:t>
      </w:r>
      <w:bookmarkEnd w:id="786"/>
      <w:bookmarkEnd w:id="787"/>
      <w:r>
        <w:fldChar w:fldCharType="begin"/>
      </w:r>
      <w:r>
        <w:instrText xml:space="preserve"> XE "activeWritingStyle (Grammar Checking Settings)" </w:instrText>
      </w:r>
      <w:r>
        <w:fldChar w:fldCharType="end"/>
      </w:r>
    </w:p>
    <w:p w:rsidR="000A156F" w:rsidRDefault="00A9721F">
      <w:pPr>
        <w:pStyle w:val="Definition-Field"/>
      </w:pPr>
      <w:r>
        <w:t xml:space="preserve">a.   </w:t>
      </w:r>
      <w:r>
        <w:rPr>
          <w:i/>
        </w:rPr>
        <w:t>The standard states that the lang attribute specif</w:t>
      </w:r>
      <w:r>
        <w:rPr>
          <w:i/>
        </w:rPr>
        <w:t>ies the language of the engine used to perform the grammatical content checking.</w:t>
      </w:r>
    </w:p>
    <w:p w:rsidR="000A156F" w:rsidRDefault="00A9721F">
      <w:pPr>
        <w:pStyle w:val="Definition-Field2"/>
      </w:pPr>
      <w:r>
        <w:t>Word ignores the activeWritingStyle element if the lang attribute specifies an unknown locale.</w:t>
      </w:r>
    </w:p>
    <w:p w:rsidR="000A156F" w:rsidRDefault="00A9721F">
      <w:pPr>
        <w:pStyle w:val="Definition-Field"/>
      </w:pPr>
      <w:r>
        <w:t xml:space="preserve">b.   </w:t>
      </w:r>
      <w:r>
        <w:rPr>
          <w:i/>
        </w:rPr>
        <w:t>The standard states that the dllVersion attribute can be any integer value.</w:t>
      </w:r>
    </w:p>
    <w:p w:rsidR="000A156F" w:rsidRDefault="00A9721F">
      <w:pPr>
        <w:pStyle w:val="Definition-Field2"/>
      </w:pPr>
      <w:r>
        <w:t>Word restricts this attribute to a 32-bit unsigned integer when the nlCheck attribute value is on, and a 16-bit unsigned integer when the nlCheck attribute value is off.</w:t>
      </w:r>
    </w:p>
    <w:p w:rsidR="000A156F" w:rsidRDefault="00A9721F">
      <w:pPr>
        <w:pStyle w:val="Definition-Field"/>
      </w:pPr>
      <w:r>
        <w:t xml:space="preserve">c.   </w:t>
      </w:r>
      <w:r>
        <w:rPr>
          <w:i/>
        </w:rPr>
        <w:t>The standard states that the values of the vendorID attribute are defined by the</w:t>
      </w:r>
      <w:r>
        <w:rPr>
          <w:i/>
        </w:rPr>
        <w:t xml:space="preserve"> XML Schema integer datatype.</w:t>
      </w:r>
    </w:p>
    <w:p w:rsidR="000A156F" w:rsidRDefault="00A9721F">
      <w:pPr>
        <w:pStyle w:val="Definition-Field2"/>
      </w:pPr>
      <w:r>
        <w:t>Word defines this attribute with the XML Schema int datatype, with a minimum value of 0.</w:t>
      </w:r>
    </w:p>
    <w:p w:rsidR="000A156F" w:rsidRDefault="00A9721F">
      <w:pPr>
        <w:pStyle w:val="Definition-Field"/>
      </w:pPr>
      <w:r>
        <w:t xml:space="preserve">d.   </w:t>
      </w:r>
      <w:r>
        <w:rPr>
          <w:i/>
        </w:rPr>
        <w:t>The standard does not state a default value for the nlCheck attribute.</w:t>
      </w:r>
    </w:p>
    <w:p w:rsidR="000A156F" w:rsidRDefault="00A9721F">
      <w:pPr>
        <w:pStyle w:val="Definition-Field2"/>
      </w:pPr>
      <w:r>
        <w:t>Word uses off as the default value for the nlCheck attribute.</w:t>
      </w:r>
    </w:p>
    <w:p w:rsidR="000A156F" w:rsidRDefault="00A9721F">
      <w:pPr>
        <w:pStyle w:val="Definition-Field"/>
      </w:pPr>
      <w:r>
        <w:t xml:space="preserve">e.   </w:t>
      </w:r>
      <w:r>
        <w:rPr>
          <w:i/>
        </w:rPr>
        <w:t>The standard states that if an application reads these settings and does not understand the value of appName, then its settings may be ignored and the application's default settings used instead.</w:t>
      </w:r>
    </w:p>
    <w:p w:rsidR="000A156F" w:rsidRDefault="00A9721F">
      <w:pPr>
        <w:pStyle w:val="Definition-Field2"/>
      </w:pPr>
      <w:r>
        <w:t>Word only understands an appName attribute value of MS</w:t>
      </w:r>
      <w:r>
        <w:t>Word.</w:t>
      </w:r>
    </w:p>
    <w:p w:rsidR="000A156F" w:rsidRDefault="00A9721F">
      <w:pPr>
        <w:pStyle w:val="Heading3"/>
      </w:pPr>
      <w:bookmarkStart w:id="788" w:name="section_9f6e8efb597047108b6a26e75256d593"/>
      <w:bookmarkStart w:id="789" w:name="_Toc181683420"/>
      <w:r>
        <w:t>Part 1 Section 17.15.1.3, alwaysMergeEmptyNamespace (Do Not Mark Custom XML Elements With No Namespace As Invalid)</w:t>
      </w:r>
      <w:bookmarkEnd w:id="788"/>
      <w:bookmarkEnd w:id="789"/>
      <w:r>
        <w:fldChar w:fldCharType="begin"/>
      </w:r>
      <w:r>
        <w:instrText xml:space="preserve"> XE "alwaysMergeEmptyNamespace (Do Not Mark Custom XML Elements With No Namespace As Invalid)" </w:instrText>
      </w:r>
      <w:r>
        <w:fldChar w:fldCharType="end"/>
      </w:r>
    </w:p>
    <w:p w:rsidR="000A156F" w:rsidRDefault="00A9721F">
      <w:pPr>
        <w:pStyle w:val="Definition-Field"/>
      </w:pPr>
      <w:r>
        <w:t xml:space="preserve">a.   </w:t>
      </w:r>
      <w:r>
        <w:rPr>
          <w:i/>
        </w:rPr>
        <w:t xml:space="preserve">The standard states that if this </w:t>
      </w:r>
      <w:r>
        <w:rPr>
          <w:i/>
        </w:rPr>
        <w:t>element is not present, then the custom XML markup that has no associated namespace shall be treated as an error.</w:t>
      </w:r>
    </w:p>
    <w:p w:rsidR="000A156F" w:rsidRDefault="00A9721F">
      <w:pPr>
        <w:pStyle w:val="Definition-Field2"/>
      </w:pPr>
      <w:r>
        <w:t xml:space="preserve">Word uses a default value of true for the val attribute of this element when no schemas are attached to the document using the attachedSchema </w:t>
      </w:r>
      <w:r>
        <w:t>element and no custom XML markup with an associated namespace appears in the document.</w:t>
      </w:r>
    </w:p>
    <w:p w:rsidR="000A156F" w:rsidRDefault="00A9721F">
      <w:pPr>
        <w:pStyle w:val="Definition-Field"/>
      </w:pPr>
      <w:r>
        <w:t xml:space="preserve">b.   </w:t>
      </w:r>
      <w:r>
        <w:rPr>
          <w:i/>
        </w:rPr>
        <w:t>The standard states that if this element is not present, then the custom XML markup that has no associated namespace shall be moved into a special error namespace w</w:t>
      </w:r>
      <w:r>
        <w:rPr>
          <w:i/>
        </w:rPr>
        <w:t>hen the document is opened.</w:t>
      </w:r>
    </w:p>
    <w:p w:rsidR="000A156F" w:rsidRDefault="00A9721F">
      <w:pPr>
        <w:pStyle w:val="Definition-Field2"/>
      </w:pPr>
      <w:r>
        <w:t>Word does not move the custom XML markup into an error namespace if the alwaysMergeEmptyNamespace element is not present.</w:t>
      </w:r>
    </w:p>
    <w:p w:rsidR="000A156F" w:rsidRDefault="00A9721F">
      <w:pPr>
        <w:pStyle w:val="Heading3"/>
      </w:pPr>
      <w:bookmarkStart w:id="790" w:name="section_55e01b00ed934498b4e5b0bc0abdf97d"/>
      <w:bookmarkStart w:id="791" w:name="_Toc181683421"/>
      <w:r>
        <w:t>Part 1 Section 17.15.1.6, attachedTemplate (Attached Document Template)</w:t>
      </w:r>
      <w:bookmarkEnd w:id="790"/>
      <w:bookmarkEnd w:id="791"/>
      <w:r>
        <w:fldChar w:fldCharType="begin"/>
      </w:r>
      <w:r>
        <w:instrText xml:space="preserve"> XE "attachedTemplate (Attached Doc</w:instrText>
      </w:r>
      <w:r>
        <w:instrText xml:space="preserve">ument Template)" </w:instrText>
      </w:r>
      <w:r>
        <w:fldChar w:fldCharType="end"/>
      </w:r>
    </w:p>
    <w:p w:rsidR="000A156F" w:rsidRDefault="00A9721F">
      <w:pPr>
        <w:pStyle w:val="Definition-Field"/>
      </w:pPr>
      <w:r>
        <w:t xml:space="preserve">a.   </w:t>
      </w:r>
      <w:r>
        <w:rPr>
          <w:i/>
        </w:rPr>
        <w:t>The standard states that the id attribute specifies the relationship that shall have the type required by the parent element, yet a relationship type for the attachedTemplate element is not listed.</w:t>
      </w:r>
    </w:p>
    <w:p w:rsidR="000A156F" w:rsidRDefault="00A9721F">
      <w:pPr>
        <w:pStyle w:val="Definition-Field2"/>
      </w:pPr>
      <w:r>
        <w:t>Word requires http://schemas.open</w:t>
      </w:r>
      <w:r>
        <w:t>xmlformats.org/officeDocument/2006/relationships/attachedTemplate as the relationship type for the attachedTemplate element, as specified in "</w:t>
      </w:r>
      <w:hyperlink r:id="rId105">
        <w:r>
          <w:rPr>
            <w:rStyle w:val="Hyperlink"/>
          </w:rPr>
          <w:t>[ISO/IEC-29500-1]</w:t>
        </w:r>
      </w:hyperlink>
      <w:r>
        <w:t xml:space="preserve"> §11.4".</w:t>
      </w:r>
    </w:p>
    <w:p w:rsidR="000A156F" w:rsidRDefault="00A9721F">
      <w:pPr>
        <w:pStyle w:val="Definition-Field"/>
      </w:pPr>
      <w:r>
        <w:t xml:space="preserve">b.   </w:t>
      </w:r>
      <w:r>
        <w:rPr>
          <w:i/>
        </w:rPr>
        <w:t>The standard stat</w:t>
      </w:r>
      <w:r>
        <w:rPr>
          <w:i/>
        </w:rPr>
        <w:t>es that this element's val attribute shall contain the file path of the associated document template.</w:t>
      </w:r>
    </w:p>
    <w:p w:rsidR="000A156F" w:rsidRDefault="00A9721F">
      <w:pPr>
        <w:pStyle w:val="Definition-Field2"/>
      </w:pPr>
      <w:r>
        <w:t>Word does not support a val attribute for the attachedTemplate element. The file path for the associated document template is determined by evaluating the</w:t>
      </w:r>
      <w:r>
        <w:t xml:space="preserve"> relationship ID on this element.</w:t>
      </w:r>
    </w:p>
    <w:p w:rsidR="000A156F" w:rsidRDefault="00A9721F">
      <w:pPr>
        <w:pStyle w:val="Heading3"/>
      </w:pPr>
      <w:bookmarkStart w:id="792" w:name="section_362f7de5917646c1aff7c3e44bc9566b"/>
      <w:bookmarkStart w:id="793" w:name="_Toc181683422"/>
      <w:r>
        <w:lastRenderedPageBreak/>
        <w:t>Part 1 Section 17.15.1.7, autoCaption (Single Automatic Captioning Setting)</w:t>
      </w:r>
      <w:bookmarkEnd w:id="792"/>
      <w:bookmarkEnd w:id="793"/>
      <w:r>
        <w:fldChar w:fldCharType="begin"/>
      </w:r>
      <w:r>
        <w:instrText xml:space="preserve"> XE "autoCaption (Single Automatic Captioning Setting)" </w:instrText>
      </w:r>
      <w:r>
        <w:fldChar w:fldCharType="end"/>
      </w:r>
    </w:p>
    <w:p w:rsidR="000A156F" w:rsidRDefault="00A9721F">
      <w:pPr>
        <w:pStyle w:val="Definition-Field"/>
      </w:pPr>
      <w:r>
        <w:t xml:space="preserve">a.   </w:t>
      </w:r>
      <w:r>
        <w:rPr>
          <w:i/>
        </w:rPr>
        <w:t xml:space="preserve">The standard places no restrictions on the conditions under which this element is </w:t>
      </w:r>
      <w:r>
        <w:rPr>
          <w:i/>
        </w:rPr>
        <w:t>to be used.</w:t>
      </w:r>
    </w:p>
    <w:p w:rsidR="000A156F" w:rsidRDefault="00A9721F">
      <w:pPr>
        <w:pStyle w:val="Definition-Field2"/>
      </w:pPr>
      <w:r>
        <w:t>Word only reads this element when it is stored within the default document template.</w:t>
      </w:r>
    </w:p>
    <w:p w:rsidR="000A156F" w:rsidRDefault="00A9721F">
      <w:pPr>
        <w:pStyle w:val="Definition-Field"/>
      </w:pPr>
      <w:r>
        <w:t xml:space="preserve">b.   </w:t>
      </w:r>
      <w:r>
        <w:rPr>
          <w:i/>
        </w:rPr>
        <w:t>The standard states that the name attribute specifies a unique identifier for types of objects to be automatically captioned.</w:t>
      </w:r>
    </w:p>
    <w:p w:rsidR="000A156F" w:rsidRDefault="00A9721F">
      <w:pPr>
        <w:pStyle w:val="Definition-Field2"/>
      </w:pPr>
      <w:r>
        <w:t>Word writes and expects wfwT</w:t>
      </w:r>
      <w:r>
        <w:t>ables for Microsoft Word Tables, and the key name of the OLE object for OLE objects (the key name is stored in the Windows registry under HKEY_CLASSES_ROOT).</w:t>
      </w:r>
    </w:p>
    <w:p w:rsidR="000A156F" w:rsidRDefault="00A9721F">
      <w:pPr>
        <w:pStyle w:val="Definition-Field"/>
      </w:pPr>
      <w:r>
        <w:t xml:space="preserve">c.   </w:t>
      </w:r>
      <w:r>
        <w:rPr>
          <w:i/>
        </w:rPr>
        <w:t>The standard states that the name attribute and the caption attribute can contain a string of</w:t>
      </w:r>
      <w:r>
        <w:rPr>
          <w:i/>
        </w:rPr>
        <w:t xml:space="preserve"> unlimited length.</w:t>
      </w:r>
    </w:p>
    <w:p w:rsidR="000A156F" w:rsidRDefault="00A9721F">
      <w:pPr>
        <w:pStyle w:val="Definition-Field2"/>
      </w:pPr>
      <w:r>
        <w:t>Word limits these values to 255 characters.</w:t>
      </w:r>
    </w:p>
    <w:p w:rsidR="000A156F" w:rsidRDefault="00A9721F">
      <w:pPr>
        <w:pStyle w:val="Heading3"/>
      </w:pPr>
      <w:bookmarkStart w:id="794" w:name="section_908fbb07b5d74019b3ca50db0007af8f"/>
      <w:bookmarkStart w:id="795" w:name="_Toc181683423"/>
      <w:r>
        <w:t>Part 1 Section 17.15.1.8, autoCaptions (Automatic Captioning Settings)</w:t>
      </w:r>
      <w:bookmarkEnd w:id="794"/>
      <w:bookmarkEnd w:id="795"/>
      <w:r>
        <w:fldChar w:fldCharType="begin"/>
      </w:r>
      <w:r>
        <w:instrText xml:space="preserve"> XE "autoCaptions (Automatic Captioning Settings)" </w:instrText>
      </w:r>
      <w:r>
        <w:fldChar w:fldCharType="end"/>
      </w:r>
    </w:p>
    <w:p w:rsidR="000A156F" w:rsidRDefault="00A9721F">
      <w:pPr>
        <w:pStyle w:val="Definition-Field"/>
      </w:pPr>
      <w:r>
        <w:t xml:space="preserve">a.   </w:t>
      </w:r>
      <w:r>
        <w:rPr>
          <w:i/>
        </w:rPr>
        <w:t>The standard does not state that this element will be ignored un</w:t>
      </w:r>
      <w:r>
        <w:rPr>
          <w:i/>
        </w:rPr>
        <w:t>der certain circumstances.</w:t>
      </w:r>
    </w:p>
    <w:p w:rsidR="000A156F" w:rsidRDefault="00A9721F">
      <w:pPr>
        <w:pStyle w:val="Definition-Field2"/>
      </w:pPr>
      <w:r>
        <w:t>Word ignores this element unless it is stored within its default document template.</w:t>
      </w:r>
    </w:p>
    <w:p w:rsidR="000A156F" w:rsidRDefault="00A9721F">
      <w:pPr>
        <w:pStyle w:val="Heading3"/>
      </w:pPr>
      <w:bookmarkStart w:id="796" w:name="section_bea4050c46424a089c462b323e796a19"/>
      <w:bookmarkStart w:id="797" w:name="_Toc181683424"/>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0A156F" w:rsidRDefault="00A9721F">
      <w:pPr>
        <w:pStyle w:val="Definition-Field"/>
      </w:pPr>
      <w:r>
        <w:t xml:space="preserve">a.   </w:t>
      </w:r>
      <w:r>
        <w:rPr>
          <w:i/>
        </w:rPr>
        <w:t>The standard states that the val attribute specifies that automatic formatting behavior shall be applied regardless of the formatting restrictions in p</w:t>
      </w:r>
      <w:r>
        <w:rPr>
          <w:i/>
        </w:rPr>
        <w:t>lace.</w:t>
      </w:r>
    </w:p>
    <w:p w:rsidR="000A156F" w:rsidRDefault="00A9721F">
      <w:pPr>
        <w:pStyle w:val="Definition-Field2"/>
      </w:pPr>
      <w:r>
        <w:t>Word ignores this element.</w:t>
      </w:r>
    </w:p>
    <w:p w:rsidR="000A156F" w:rsidRDefault="00A9721F">
      <w:pPr>
        <w:pStyle w:val="Heading3"/>
      </w:pPr>
      <w:bookmarkStart w:id="798" w:name="section_a3f96a731cad4a64a7e3cf18ad747708"/>
      <w:bookmarkStart w:id="799" w:name="_Toc181683425"/>
      <w:r>
        <w:t>Part 1 Section 17.15.1.11, bookFoldPrinting (Book Fold Printing)</w:t>
      </w:r>
      <w:bookmarkEnd w:id="798"/>
      <w:bookmarkEnd w:id="799"/>
      <w:r>
        <w:fldChar w:fldCharType="begin"/>
      </w:r>
      <w:r>
        <w:instrText xml:space="preserve"> XE "bookFoldPrinting (Book Fold Printing)" </w:instrText>
      </w:r>
      <w:r>
        <w:fldChar w:fldCharType="end"/>
      </w:r>
    </w:p>
    <w:p w:rsidR="000A156F" w:rsidRDefault="00A9721F">
      <w:pPr>
        <w:pStyle w:val="Definition-Field"/>
      </w:pPr>
      <w:r>
        <w:t xml:space="preserve">a.   </w:t>
      </w:r>
      <w:r>
        <w:rPr>
          <w:i/>
        </w:rPr>
        <w:t>The standard says book fold printing divides the page in half vertically with two left margins emanating fr</w:t>
      </w:r>
      <w:r>
        <w:rPr>
          <w:i/>
        </w:rPr>
        <w:t>om the bisector of the page, and two right margins instantiated at the left and right side of the page.</w:t>
      </w:r>
    </w:p>
    <w:p w:rsidR="000A156F" w:rsidRDefault="00A9721F">
      <w:pPr>
        <w:pStyle w:val="Definition-Field2"/>
      </w:pPr>
      <w:r>
        <w:t>Word divides the page in half vertically with two right margins emanating from the bisector of the page, and two left margins instantiated at the left a</w:t>
      </w:r>
      <w:r>
        <w:t>nd right side of the page.</w:t>
      </w:r>
    </w:p>
    <w:p w:rsidR="000A156F" w:rsidRDefault="00A9721F">
      <w:pPr>
        <w:pStyle w:val="Heading3"/>
      </w:pPr>
      <w:bookmarkStart w:id="800" w:name="section_54ddf37e03b84d0391a4755fb2c6695a"/>
      <w:bookmarkStart w:id="801" w:name="_Toc181683426"/>
      <w:r>
        <w:t>Part 1 Section 17.15.1.12, bookFoldPrintingSheets (Number of Pages Per Booklet)</w:t>
      </w:r>
      <w:bookmarkEnd w:id="800"/>
      <w:bookmarkEnd w:id="801"/>
      <w:r>
        <w:fldChar w:fldCharType="begin"/>
      </w:r>
      <w:r>
        <w:instrText xml:space="preserve"> XE "bookFoldPrintingSheets (Number of Pages Per Booklet)" </w:instrText>
      </w:r>
      <w:r>
        <w:fldChar w:fldCharType="end"/>
      </w:r>
    </w:p>
    <w:p w:rsidR="000A156F" w:rsidRDefault="00A9721F">
      <w:pPr>
        <w:pStyle w:val="Definition-Field"/>
      </w:pPr>
      <w:r>
        <w:t xml:space="preserve">a.   </w:t>
      </w:r>
      <w:r>
        <w:rPr>
          <w:i/>
        </w:rPr>
        <w:t>The standard states that if this element is omitted, then default behavior shall be</w:t>
      </w:r>
      <w:r>
        <w:rPr>
          <w:i/>
        </w:rPr>
        <w:t xml:space="preserve"> to print the document on a single sheet.</w:t>
      </w:r>
    </w:p>
    <w:p w:rsidR="000A156F" w:rsidRDefault="00A9721F">
      <w:pPr>
        <w:pStyle w:val="Definition-Field2"/>
      </w:pPr>
      <w:r>
        <w:t>In Word, if this element is omitted, default behavior is to include all the pages of the document in a single booklet.</w:t>
      </w:r>
    </w:p>
    <w:p w:rsidR="000A156F" w:rsidRDefault="00A9721F">
      <w:pPr>
        <w:pStyle w:val="Definition-Field"/>
      </w:pPr>
      <w:r>
        <w:t xml:space="preserve">b.   </w:t>
      </w:r>
      <w:r>
        <w:rPr>
          <w:i/>
        </w:rPr>
        <w:t>The standard states that the values of the val attribute are defined by the XML Schema int</w:t>
      </w:r>
      <w:r>
        <w:rPr>
          <w:i/>
        </w:rPr>
        <w:t>eger datatype.</w:t>
      </w:r>
    </w:p>
    <w:p w:rsidR="000A156F" w:rsidRDefault="00A9721F">
      <w:pPr>
        <w:pStyle w:val="Definition-Field2"/>
      </w:pPr>
      <w:r>
        <w:t>Word defines the values of this attribute with the XML Schema short datatype, with a minimum value of 0.</w:t>
      </w:r>
    </w:p>
    <w:p w:rsidR="000A156F" w:rsidRDefault="00A9721F">
      <w:pPr>
        <w:pStyle w:val="Heading3"/>
      </w:pPr>
      <w:bookmarkStart w:id="802" w:name="section_4a4ba7698bc142b3b66208b23bd8e953"/>
      <w:bookmarkStart w:id="803" w:name="_Toc181683427"/>
      <w:r>
        <w:lastRenderedPageBreak/>
        <w:t>Part 1 Section 17.15.1.13, bookFoldRevPrinting (Reverse Book Fold Printing)</w:t>
      </w:r>
      <w:bookmarkEnd w:id="802"/>
      <w:bookmarkEnd w:id="803"/>
      <w:r>
        <w:fldChar w:fldCharType="begin"/>
      </w:r>
      <w:r>
        <w:instrText xml:space="preserve"> XE "bookFoldRevPrinting (Reverse Book Fold Printing)" </w:instrText>
      </w:r>
      <w:r>
        <w:fldChar w:fldCharType="end"/>
      </w:r>
    </w:p>
    <w:p w:rsidR="000A156F" w:rsidRDefault="00A9721F">
      <w:pPr>
        <w:pStyle w:val="Definition-Field"/>
      </w:pPr>
      <w:r>
        <w:t xml:space="preserve">a. </w:t>
      </w:r>
      <w:r>
        <w:t xml:space="preserve">  </w:t>
      </w:r>
      <w:r>
        <w:rPr>
          <w:i/>
        </w:rPr>
        <w:t>The standard says this element divides the page in half vertically with two left margins emanating from the bisector of the page, and two right margins instantiated at the left and right side of the page.</w:t>
      </w:r>
    </w:p>
    <w:p w:rsidR="000A156F" w:rsidRDefault="00A9721F">
      <w:pPr>
        <w:pStyle w:val="Definition-Field2"/>
      </w:pPr>
      <w:r>
        <w:t>In Word, this element divides the page in half ve</w:t>
      </w:r>
      <w:r>
        <w:t>rtically with two right margins emanating from the bisector of the page, and left margins instantiated at the left and right side of the page.</w:t>
      </w:r>
    </w:p>
    <w:p w:rsidR="000A156F" w:rsidRDefault="00A9721F">
      <w:pPr>
        <w:pStyle w:val="Definition-Field"/>
      </w:pPr>
      <w:r>
        <w:t xml:space="preserve">b.   </w:t>
      </w:r>
      <w:r>
        <w:rPr>
          <w:i/>
        </w:rPr>
        <w:t>The standard describes through example the output of printed pages with page 3 printed after page 2.</w:t>
      </w:r>
    </w:p>
    <w:p w:rsidR="000A156F" w:rsidRDefault="00A9721F">
      <w:r>
        <w:t>Word pr</w:t>
      </w:r>
      <w:r>
        <w:t>ints page 3 on the left side of the second printed signature to allow the construction of a printed booklet. This can be visualized as follows:</w:t>
      </w:r>
    </w:p>
    <w:tbl>
      <w:tblPr>
        <w:tblStyle w:val="Table-ShadedHeader"/>
        <w:tblW w:w="0" w:type="auto"/>
        <w:tblLook w:val="04A0" w:firstRow="1" w:lastRow="0" w:firstColumn="1" w:lastColumn="0" w:noHBand="0" w:noVBand="1"/>
      </w:tblPr>
      <w:tblGrid>
        <w:gridCol w:w="4565"/>
        <w:gridCol w:w="452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 xml:space="preserve">Second Printed Sheet </w:t>
            </w:r>
          </w:p>
        </w:tc>
        <w:tc>
          <w:tcPr>
            <w:tcW w:w="0" w:type="auto"/>
            <w:vAlign w:val="center"/>
          </w:tcPr>
          <w:p w:rsidR="000A156F" w:rsidRDefault="00A9721F">
            <w:pPr>
              <w:pStyle w:val="TableHeaderText"/>
            </w:pPr>
            <w:r>
              <w:t>Second Printed Signature</w:t>
            </w:r>
          </w:p>
        </w:tc>
      </w:tr>
      <w:tr w:rsidR="000A156F" w:rsidTr="000A156F">
        <w:tc>
          <w:tcPr>
            <w:tcW w:w="0" w:type="auto"/>
            <w:vAlign w:val="center"/>
          </w:tcPr>
          <w:p w:rsidR="000A156F" w:rsidRDefault="00A9721F">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6"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0A156F" w:rsidRDefault="00A9721F">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7"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0A156F" w:rsidRDefault="000A156F"/>
    <w:p w:rsidR="000A156F" w:rsidRDefault="00A9721F">
      <w:pPr>
        <w:pStyle w:val="Heading3"/>
      </w:pPr>
      <w:bookmarkStart w:id="804" w:name="section_5ac3ac4fcfc24a6ab6f30bb1ce1e0628"/>
      <w:bookmarkStart w:id="805" w:name="_Toc181683428"/>
      <w:r>
        <w:t>Part 1 Section 17.15.1.16, caption (Single Caption Type Definition)</w:t>
      </w:r>
      <w:bookmarkEnd w:id="804"/>
      <w:bookmarkEnd w:id="805"/>
      <w:r>
        <w:fldChar w:fldCharType="begin"/>
      </w:r>
      <w:r>
        <w:instrText xml:space="preserve"> XE "caption (Single Caption Type Definition)" </w:instrText>
      </w:r>
      <w:r>
        <w:fldChar w:fldCharType="end"/>
      </w:r>
    </w:p>
    <w:p w:rsidR="000A156F" w:rsidRDefault="00A9721F">
      <w:pPr>
        <w:pStyle w:val="Definition-Field"/>
      </w:pPr>
      <w:r>
        <w:t xml:space="preserve">a.   </w:t>
      </w:r>
      <w:r>
        <w:rPr>
          <w:i/>
        </w:rPr>
        <w:t>The standard allows strings of unbounded length for the name attribute.</w:t>
      </w:r>
    </w:p>
    <w:p w:rsidR="000A156F" w:rsidRDefault="00A9721F">
      <w:pPr>
        <w:pStyle w:val="Definition-Field2"/>
      </w:pPr>
      <w:r>
        <w:t>Word allows strings of length at most 255 for the name attribu</w:t>
      </w:r>
      <w:r>
        <w:t>te.</w:t>
      </w:r>
    </w:p>
    <w:p w:rsidR="000A156F" w:rsidRDefault="00A9721F">
      <w:pPr>
        <w:pStyle w:val="Definition-Field"/>
      </w:pPr>
      <w:r>
        <w:t xml:space="preserve">b.   </w:t>
      </w:r>
      <w:r>
        <w:rPr>
          <w:i/>
        </w:rPr>
        <w:t>In the standard, the heading attribute is described with specific semantics for values 1 through 9.</w:t>
      </w:r>
    </w:p>
    <w:p w:rsidR="000A156F" w:rsidRDefault="00A9721F">
      <w:pPr>
        <w:pStyle w:val="Definition-Field2"/>
      </w:pPr>
      <w:r>
        <w:t>If the heading attribute is present, Word reads the value as zero and incorrectly displays autogenerated captions.</w:t>
      </w:r>
    </w:p>
    <w:p w:rsidR="000A156F" w:rsidRDefault="00A9721F">
      <w:pPr>
        <w:pStyle w:val="Definition-Field"/>
      </w:pPr>
      <w:r>
        <w:t xml:space="preserve">c.   </w:t>
      </w:r>
      <w:r>
        <w:rPr>
          <w:i/>
        </w:rPr>
        <w:t>The standard says the noLab</w:t>
      </w:r>
      <w:r>
        <w:rPr>
          <w:i/>
        </w:rPr>
        <w:t>el attribute controls whether labels are included in automatically generated captions.</w:t>
      </w:r>
    </w:p>
    <w:p w:rsidR="000A156F" w:rsidRDefault="00A9721F">
      <w:pPr>
        <w:pStyle w:val="Definition-Field2"/>
      </w:pPr>
      <w:r>
        <w:t>Word ignores the noLabel attribute and instead uses the value of the chapNum attribute.</w:t>
      </w:r>
    </w:p>
    <w:p w:rsidR="000A156F" w:rsidRDefault="00A9721F">
      <w:pPr>
        <w:pStyle w:val="Heading3"/>
      </w:pPr>
      <w:bookmarkStart w:id="806" w:name="section_6bef7b68188f4b29b696d9676810e906"/>
      <w:bookmarkStart w:id="807" w:name="_Toc181683429"/>
      <w:r>
        <w:t>Part 1 Section 17.15.1.17, captions (Caption Settings)</w:t>
      </w:r>
      <w:bookmarkEnd w:id="806"/>
      <w:bookmarkEnd w:id="807"/>
      <w:r>
        <w:fldChar w:fldCharType="begin"/>
      </w:r>
      <w:r>
        <w:instrText xml:space="preserve"> XE "captions (Caption Settings)" </w:instrText>
      </w:r>
      <w:r>
        <w:fldChar w:fldCharType="end"/>
      </w:r>
    </w:p>
    <w:p w:rsidR="000A156F" w:rsidRDefault="00A9721F">
      <w:pPr>
        <w:pStyle w:val="Definition-Field"/>
      </w:pPr>
      <w:r>
        <w:t xml:space="preserve">a.   </w:t>
      </w:r>
      <w:r>
        <w:rPr>
          <w:i/>
        </w:rPr>
        <w:t>The standard states that this element could be used by other documents besides the default template.</w:t>
      </w:r>
    </w:p>
    <w:p w:rsidR="000A156F" w:rsidRDefault="00A9721F">
      <w:pPr>
        <w:pStyle w:val="Definition-Field2"/>
      </w:pPr>
      <w:r>
        <w:lastRenderedPageBreak/>
        <w:t>Word only reads this element when it is stored in its default document template.</w:t>
      </w:r>
    </w:p>
    <w:p w:rsidR="000A156F" w:rsidRDefault="00A9721F">
      <w:pPr>
        <w:pStyle w:val="Heading3"/>
      </w:pPr>
      <w:bookmarkStart w:id="808" w:name="section_a388debef4624d05aac2e61c2edeb110"/>
      <w:bookmarkStart w:id="809" w:name="_Toc181683430"/>
      <w:r>
        <w:t>Part 1 Section 17.15.1.19, click</w:t>
      </w:r>
      <w:r>
        <w:t>AndTypeStyle (Paragraph Style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0A156F" w:rsidRDefault="00A9721F">
      <w:pPr>
        <w:pStyle w:val="Definition-Field2"/>
      </w:pPr>
      <w:r>
        <w:rPr>
          <w:i/>
        </w:rPr>
        <w:t>For additional notes that apply to this portion of the standard, please see the notes for</w:t>
      </w:r>
      <w:r>
        <w:rPr>
          <w:i/>
        </w:rPr>
        <w:t xml:space="preserve">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The standard does not limit the length of the value of the val attribute.</w:t>
      </w:r>
    </w:p>
    <w:p w:rsidR="000A156F" w:rsidRDefault="00A9721F">
      <w:pPr>
        <w:pStyle w:val="Definition-Field2"/>
      </w:pPr>
      <w:r>
        <w:t>Word restricts the value of this attribute to be at most 253 characters.</w:t>
      </w:r>
    </w:p>
    <w:p w:rsidR="000A156F" w:rsidRDefault="00A9721F">
      <w:pPr>
        <w:pStyle w:val="Heading3"/>
      </w:pPr>
      <w:bookmarkStart w:id="810" w:name="section_1be239133f8840ab9cb22790be8c549d"/>
      <w:bookmarkStart w:id="811" w:name="_Toc181683431"/>
      <w:r>
        <w:t>Part 1 Sectio</w:t>
      </w:r>
      <w:r>
        <w:t>n 17.15.1.20, clrSchemeMapping (Theme Color Mappings)</w:t>
      </w:r>
      <w:bookmarkEnd w:id="810"/>
      <w:bookmarkEnd w:id="811"/>
      <w:r>
        <w:fldChar w:fldCharType="begin"/>
      </w:r>
      <w:r>
        <w:instrText xml:space="preserve"> XE "clrSchemeMapping (Theme Color Mappings)" </w:instrText>
      </w:r>
      <w:r>
        <w:fldChar w:fldCharType="end"/>
      </w:r>
    </w:p>
    <w:p w:rsidR="000A156F" w:rsidRDefault="00A9721F">
      <w:pPr>
        <w:pStyle w:val="Definition-Field"/>
      </w:pPr>
      <w:r>
        <w:t xml:space="preserve">a.   </w:t>
      </w:r>
      <w:r>
        <w:rPr>
          <w:i/>
        </w:rPr>
        <w:t>The standard states that if the t1 attribute is omitted, then the t1 theme color shall be used.</w:t>
      </w:r>
    </w:p>
    <w:p w:rsidR="000A156F" w:rsidRDefault="00A9721F">
      <w:pPr>
        <w:pStyle w:val="Definition-Field2"/>
      </w:pPr>
      <w:r>
        <w:t>Word uses the dark1 theme color, as no t1 theme color</w:t>
      </w:r>
      <w:r>
        <w:t xml:space="preserve"> exists in the enumeration.</w:t>
      </w:r>
    </w:p>
    <w:p w:rsidR="000A156F" w:rsidRDefault="00A9721F">
      <w:pPr>
        <w:pStyle w:val="Definition-Field"/>
      </w:pPr>
      <w:r>
        <w:t xml:space="preserve">b.   </w:t>
      </w:r>
      <w:r>
        <w:rPr>
          <w:i/>
        </w:rPr>
        <w:t>The standard says that if the t2 attribute is omitted, then the t2 theme color shall be used.</w:t>
      </w:r>
    </w:p>
    <w:p w:rsidR="000A156F" w:rsidRDefault="00A9721F">
      <w:pPr>
        <w:pStyle w:val="Definition-Field2"/>
      </w:pPr>
      <w:r>
        <w:t>Word uses the dark2 theme color, as no t2 theme color exists in the enumeration.</w:t>
      </w:r>
    </w:p>
    <w:p w:rsidR="000A156F" w:rsidRDefault="00A9721F">
      <w:pPr>
        <w:pStyle w:val="Heading3"/>
      </w:pPr>
      <w:bookmarkStart w:id="812" w:name="section_f68636b8b56d4a0c918d596752081e79"/>
      <w:bookmarkStart w:id="813" w:name="_Toc181683432"/>
      <w:r>
        <w:t>Part 1 Section 17.15.1.22, consecutiveHyphenLimi</w:t>
      </w:r>
      <w:r>
        <w:t>t (Maximum Number of Consecutively Hyphenated Lines)</w:t>
      </w:r>
      <w:bookmarkEnd w:id="812"/>
      <w:bookmarkEnd w:id="813"/>
      <w:r>
        <w:fldChar w:fldCharType="begin"/>
      </w:r>
      <w:r>
        <w:instrText xml:space="preserve"> XE "consecutiveHyphenLimit (Maximum Number of Consecutively Hyphenated Lines)" </w:instrText>
      </w:r>
      <w:r>
        <w:fldChar w:fldCharType="end"/>
      </w:r>
    </w:p>
    <w:p w:rsidR="000A156F" w:rsidRDefault="00A9721F">
      <w:pPr>
        <w:pStyle w:val="Definition-Field"/>
      </w:pPr>
      <w:r>
        <w:t xml:space="preserve">a.   </w:t>
      </w:r>
      <w:r>
        <w:rPr>
          <w:i/>
        </w:rPr>
        <w:t>The standard states that the values of the val attribute are defined by the XML Schema integer datatype.</w:t>
      </w:r>
    </w:p>
    <w:p w:rsidR="000A156F" w:rsidRDefault="00A9721F">
      <w:pPr>
        <w:pStyle w:val="Definition-Field2"/>
      </w:pPr>
      <w:r>
        <w:t>Word define</w:t>
      </w:r>
      <w:r>
        <w:t>s the values of this attribute with the XML Schema unsignedShort datatype.</w:t>
      </w:r>
    </w:p>
    <w:p w:rsidR="000A156F" w:rsidRDefault="00A9721F">
      <w:pPr>
        <w:pStyle w:val="Heading3"/>
      </w:pPr>
      <w:bookmarkStart w:id="814" w:name="section_fdae3e41bf9549de8c194dfc98f3ddf4"/>
      <w:bookmarkStart w:id="815" w:name="_Toc181683433"/>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0A156F" w:rsidRDefault="00A9721F">
      <w:pPr>
        <w:pStyle w:val="Definition-Field"/>
      </w:pPr>
      <w:r>
        <w:t xml:space="preserve">a.   </w:t>
      </w:r>
      <w:r>
        <w:rPr>
          <w:i/>
        </w:rPr>
        <w:t xml:space="preserve">The standard states that this </w:t>
      </w:r>
      <w:r>
        <w:rPr>
          <w:i/>
        </w:rPr>
        <w:t>element specifies the character that shall be interpreted as the radix point symbol.</w:t>
      </w:r>
    </w:p>
    <w:p w:rsidR="000A156F" w:rsidRDefault="00A9721F">
      <w:pPr>
        <w:pStyle w:val="Definition-Field2"/>
      </w:pPr>
      <w:r>
        <w:t>Word ignores this element and its value and always reads the system locale settings to get the value of the radix point symbol.</w:t>
      </w:r>
    </w:p>
    <w:p w:rsidR="000A156F" w:rsidRDefault="00A9721F">
      <w:pPr>
        <w:pStyle w:val="Heading3"/>
      </w:pPr>
      <w:bookmarkStart w:id="816" w:name="section_fd6deb8c493a454fb4eb266ce809595a"/>
      <w:bookmarkStart w:id="817" w:name="_Toc181683434"/>
      <w:r>
        <w:t>Part 1 Section 17.15.1.24, defaultTableStyl</w:t>
      </w:r>
      <w:r>
        <w:t>e (Default Table Style for Newly Inserted Tables)</w:t>
      </w:r>
      <w:bookmarkEnd w:id="816"/>
      <w:bookmarkEnd w:id="817"/>
      <w:r>
        <w:fldChar w:fldCharType="begin"/>
      </w:r>
      <w:r>
        <w:instrText xml:space="preserve"> XE "defaultTableStyle (Default Table Style for Newly Inserted Tables)"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0A156F" w:rsidRDefault="00A9721F">
      <w:pPr>
        <w:pStyle w:val="Definition-Field"/>
      </w:pPr>
      <w:r>
        <w:t xml:space="preserve">a.   </w:t>
      </w:r>
      <w:r>
        <w:rPr>
          <w:i/>
        </w:rPr>
        <w:t>The standard states that if this element is not specified then the application shall apply the default table style for inserted table</w:t>
      </w:r>
    </w:p>
    <w:p w:rsidR="000A156F" w:rsidRDefault="00A9721F">
      <w:pPr>
        <w:pStyle w:val="Definition-Field2"/>
      </w:pPr>
      <w:r>
        <w:t>Word will apply the TableGrid style for tables when this element is n</w:t>
      </w:r>
      <w:r>
        <w:t>ot specified</w:t>
      </w:r>
    </w:p>
    <w:p w:rsidR="000A156F" w:rsidRDefault="00A9721F">
      <w:pPr>
        <w:pStyle w:val="Definition-Field"/>
      </w:pPr>
      <w:r>
        <w:t xml:space="preserve">b.   </w:t>
      </w:r>
      <w:r>
        <w:rPr>
          <w:i/>
        </w:rPr>
        <w:t>The standard does not limit the length of the value of the val attribute.</w:t>
      </w:r>
    </w:p>
    <w:p w:rsidR="000A156F" w:rsidRDefault="00A9721F">
      <w:pPr>
        <w:pStyle w:val="Definition-Field2"/>
      </w:pPr>
      <w:r>
        <w:t>Word restricts the value of this attribute to be at most 253 characters.</w:t>
      </w:r>
    </w:p>
    <w:p w:rsidR="000A156F" w:rsidRDefault="00A9721F">
      <w:pPr>
        <w:pStyle w:val="Heading3"/>
      </w:pPr>
      <w:bookmarkStart w:id="818" w:name="section_d09bfc71d0d249729275bc0edf849558"/>
      <w:bookmarkStart w:id="819" w:name="_Toc181683435"/>
      <w:r>
        <w:lastRenderedPageBreak/>
        <w:t>Part 1 Section 17.15.1.25, defaultTabStop (Distance Between Automatic Tab Stops)</w:t>
      </w:r>
      <w:bookmarkEnd w:id="818"/>
      <w:bookmarkEnd w:id="819"/>
      <w:r>
        <w:fldChar w:fldCharType="begin"/>
      </w:r>
      <w:r>
        <w:instrText xml:space="preserve"> XE "defaul</w:instrText>
      </w:r>
      <w:r>
        <w:instrText xml:space="preserve">tTabStop (Distance Between Automatic Tab Stops)" </w:instrText>
      </w:r>
      <w:r>
        <w:fldChar w:fldCharType="end"/>
      </w:r>
    </w:p>
    <w:p w:rsidR="000A156F" w:rsidRDefault="00A9721F">
      <w:pPr>
        <w:pStyle w:val="Definition-Field"/>
      </w:pPr>
      <w:r>
        <w:t xml:space="preserve">a.   </w:t>
      </w:r>
      <w:r>
        <w:rPr>
          <w:i/>
        </w:rPr>
        <w:t>The standard states that the values of the val attribute are defined by the XML Schema unsignedLong datatype.</w:t>
      </w:r>
    </w:p>
    <w:p w:rsidR="000A156F" w:rsidRDefault="00A9721F">
      <w:pPr>
        <w:pStyle w:val="Definition-Field2"/>
      </w:pPr>
      <w:r>
        <w:t>Word defines the values of this attribute with the XML Schema short datatype, with a mini</w:t>
      </w:r>
      <w:r>
        <w:t>mum value of 0.</w:t>
      </w:r>
    </w:p>
    <w:p w:rsidR="000A156F" w:rsidRDefault="00A9721F">
      <w:pPr>
        <w:pStyle w:val="Heading3"/>
      </w:pPr>
      <w:bookmarkStart w:id="820" w:name="section_3556936a408d4c088893a61fd0754f5c"/>
      <w:bookmarkStart w:id="821" w:name="_Toc181683436"/>
      <w:r>
        <w:t>Part 1 Section 17.15.1.27, displayHorizontalDrawingGridEvery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0A156F" w:rsidRDefault="00A9721F">
      <w:pPr>
        <w:pStyle w:val="Definition-Field"/>
      </w:pPr>
      <w:r>
        <w:t xml:space="preserve">a.   </w:t>
      </w:r>
      <w:r>
        <w:rPr>
          <w:i/>
        </w:rPr>
        <w:t>The standard says this element controls the number o</w:t>
      </w:r>
      <w:r>
        <w:rPr>
          <w:i/>
        </w:rPr>
        <w:t>f horizontal grid units between horizontal grid lines.</w:t>
      </w:r>
    </w:p>
    <w:p w:rsidR="000A156F" w:rsidRDefault="00A9721F">
      <w:pPr>
        <w:pStyle w:val="Definition-Field2"/>
      </w:pPr>
      <w:r>
        <w:t>In Word, this element controls the number of horizontal grid units between vertical grid lines.</w:t>
      </w:r>
    </w:p>
    <w:p w:rsidR="000A156F" w:rsidRDefault="00A9721F">
      <w:pPr>
        <w:pStyle w:val="Definition-Field"/>
      </w:pPr>
      <w:r>
        <w:t xml:space="preserve">b.   </w:t>
      </w:r>
      <w:r>
        <w:rPr>
          <w:i/>
        </w:rPr>
        <w:t>The standard states that the values of the val attribute are defined by the XML Schema integer datat</w:t>
      </w:r>
      <w:r>
        <w:rPr>
          <w:i/>
        </w:rPr>
        <w:t>ype.</w:t>
      </w:r>
    </w:p>
    <w:p w:rsidR="000A156F" w:rsidRDefault="00A9721F">
      <w:pPr>
        <w:pStyle w:val="Definition-Field2"/>
      </w:pPr>
      <w:r>
        <w:t>Word restricts the value of this attribute to be at least 0 and at most 127.</w:t>
      </w:r>
    </w:p>
    <w:p w:rsidR="000A156F" w:rsidRDefault="00A9721F">
      <w:pPr>
        <w:pStyle w:val="Heading3"/>
      </w:pPr>
      <w:bookmarkStart w:id="822" w:name="section_73f2c4bc60754f1fa1f308a250abbdba"/>
      <w:bookmarkStart w:id="823" w:name="_Toc181683437"/>
      <w:r>
        <w:t>Part 1 Section 17.15.1.28, displayVerticalDrawingGridEvery (Distance between Vertical Gridlines)</w:t>
      </w:r>
      <w:bookmarkEnd w:id="822"/>
      <w:bookmarkEnd w:id="823"/>
      <w:r>
        <w:fldChar w:fldCharType="begin"/>
      </w:r>
      <w:r>
        <w:instrText xml:space="preserve"> XE "displayVerticalDrawingGridEvery (Distance between Vertical Gridlines)" </w:instrText>
      </w:r>
      <w:r>
        <w:fldChar w:fldCharType="end"/>
      </w:r>
    </w:p>
    <w:p w:rsidR="000A156F" w:rsidRDefault="00A9721F">
      <w:pPr>
        <w:pStyle w:val="Definition-Field"/>
      </w:pPr>
      <w:r>
        <w:t xml:space="preserve">a.   </w:t>
      </w:r>
      <w:r>
        <w:rPr>
          <w:i/>
        </w:rPr>
        <w:t>The standard says this element controls the number of vertical grid units between vertical grid lines.</w:t>
      </w:r>
    </w:p>
    <w:p w:rsidR="000A156F" w:rsidRDefault="00A9721F">
      <w:pPr>
        <w:pStyle w:val="Definition-Field2"/>
      </w:pPr>
      <w:r>
        <w:t>In Word, this element controls the number of vertical grid units between horizontal grid lines.</w:t>
      </w:r>
    </w:p>
    <w:p w:rsidR="000A156F" w:rsidRDefault="00A9721F">
      <w:pPr>
        <w:pStyle w:val="Definition-Field"/>
      </w:pPr>
      <w:r>
        <w:t xml:space="preserve">b.   </w:t>
      </w:r>
      <w:r>
        <w:rPr>
          <w:i/>
        </w:rPr>
        <w:t>The standard states that, if this element is o</w:t>
      </w:r>
      <w:r>
        <w:rPr>
          <w:i/>
        </w:rPr>
        <w:t>mitted, no vertical gridlines are displayed.</w:t>
      </w:r>
    </w:p>
    <w:p w:rsidR="000A156F" w:rsidRDefault="00A9721F">
      <w:pPr>
        <w:pStyle w:val="Definition-Field2"/>
      </w:pPr>
      <w:r>
        <w:t>In Word, if this element is omitted, horizontal gridlines are displayed for every vertical grid unit.</w:t>
      </w:r>
    </w:p>
    <w:p w:rsidR="000A156F" w:rsidRDefault="00A9721F">
      <w:pPr>
        <w:pStyle w:val="Definition-Field"/>
      </w:pPr>
      <w:r>
        <w:t xml:space="preserve">c.   </w:t>
      </w:r>
      <w:r>
        <w:rPr>
          <w:i/>
        </w:rPr>
        <w:t>The standard states that the values of the val attribute are defined by the XML Schema integer datatype.</w:t>
      </w:r>
    </w:p>
    <w:p w:rsidR="000A156F" w:rsidRDefault="00A9721F">
      <w:pPr>
        <w:pStyle w:val="Definition-Field2"/>
      </w:pPr>
      <w:r>
        <w:t>Word restricts the value of this attribute to be at least 0 and at most 127.</w:t>
      </w:r>
    </w:p>
    <w:p w:rsidR="000A156F" w:rsidRDefault="00A9721F">
      <w:pPr>
        <w:pStyle w:val="Heading3"/>
      </w:pPr>
      <w:bookmarkStart w:id="824" w:name="section_e12d2773e2d045bfb1c2b8f0548e156d"/>
      <w:bookmarkStart w:id="825" w:name="_Toc181683438"/>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0A156F" w:rsidRDefault="00A9721F">
      <w:pPr>
        <w:pStyle w:val="Definition-Field"/>
      </w:pPr>
      <w:r>
        <w:t xml:space="preserve">a.   </w:t>
      </w:r>
      <w:r>
        <w:rPr>
          <w:i/>
        </w:rPr>
        <w:t>The standard's salt attribute descri</w:t>
      </w:r>
      <w:r>
        <w:rPr>
          <w:i/>
        </w:rPr>
        <w:t>ption conflicts with itself, describing the salt attribute as being both prepended and appended to the password.</w:t>
      </w:r>
    </w:p>
    <w:p w:rsidR="000A156F" w:rsidRDefault="00A9721F">
      <w:pPr>
        <w:pStyle w:val="Definition-Field2"/>
      </w:pPr>
      <w:r>
        <w:t>Word prepends the salt attribute to the password.</w:t>
      </w:r>
    </w:p>
    <w:p w:rsidR="000A156F" w:rsidRDefault="00A9721F">
      <w:pPr>
        <w:pStyle w:val="Definition-Field"/>
      </w:pPr>
      <w:r>
        <w:t xml:space="preserve">b.   </w:t>
      </w:r>
      <w:r>
        <w:rPr>
          <w:i/>
        </w:rPr>
        <w:t>In the standard, the spinCount attribute specifies the number of times the hashing funct</w:t>
      </w:r>
      <w:r>
        <w:rPr>
          <w:i/>
        </w:rPr>
        <w:t>ion shall be iteratively run.</w:t>
      </w:r>
    </w:p>
    <w:p w:rsidR="000A156F" w:rsidRDefault="00A9721F">
      <w:pPr>
        <w:pStyle w:val="Definition-Field2"/>
      </w:pPr>
      <w:r>
        <w:t>Word requires that the initial hash of the password with the salt not be considered in the count.</w:t>
      </w:r>
    </w:p>
    <w:p w:rsidR="000A156F" w:rsidRDefault="00A9721F">
      <w:pPr>
        <w:pStyle w:val="Definition-Field"/>
      </w:pPr>
      <w:r>
        <w:t xml:space="preserve">c.   </w:t>
      </w:r>
      <w:r>
        <w:rPr>
          <w:i/>
        </w:rPr>
        <w:t>The standard states that if the enforcement attribute is omitted, then protection settings are ignored by application.</w:t>
      </w:r>
    </w:p>
    <w:p w:rsidR="000A156F" w:rsidRDefault="00A9721F">
      <w:pPr>
        <w:pStyle w:val="Definition-Field2"/>
      </w:pPr>
      <w:r>
        <w:t>Word</w:t>
      </w:r>
      <w:r>
        <w:t xml:space="preserve"> enforces protection when this attribute is missing.</w:t>
      </w:r>
    </w:p>
    <w:p w:rsidR="000A156F" w:rsidRDefault="00A9721F">
      <w:pPr>
        <w:pStyle w:val="Definition-Field"/>
      </w:pPr>
      <w:r>
        <w:t xml:space="preserve">d.   </w:t>
      </w:r>
      <w:r>
        <w:rPr>
          <w:i/>
        </w:rPr>
        <w:t>The standard states that the values for the cryptSpinCount attribute are defined by the ST_DecimalNumber simple type.</w:t>
      </w:r>
    </w:p>
    <w:p w:rsidR="000A156F" w:rsidRDefault="00A9721F">
      <w:pPr>
        <w:pStyle w:val="Definition-Field2"/>
      </w:pPr>
      <w:r>
        <w:lastRenderedPageBreak/>
        <w:t>Word supports values only for the spinCount attribute that are between 0 and 10,</w:t>
      </w:r>
      <w:r>
        <w:t>000,000 (inclusive).</w:t>
      </w:r>
    </w:p>
    <w:p w:rsidR="000A156F" w:rsidRDefault="00A9721F">
      <w:pPr>
        <w:pStyle w:val="Definition-Field"/>
      </w:pPr>
      <w:r>
        <w:t xml:space="preserve">e.   </w:t>
      </w:r>
      <w:r>
        <w:rPr>
          <w:i/>
        </w:rPr>
        <w:t>The standard states that the saltValue attribute is a base64 string.</w:t>
      </w:r>
    </w:p>
    <w:p w:rsidR="000A156F" w:rsidRDefault="00A9721F">
      <w:pPr>
        <w:pStyle w:val="Definition-Field2"/>
      </w:pPr>
      <w:r>
        <w:t>Word prepends the binary form of the saltValue attribute and not the base64 string representation when hashing.</w:t>
      </w:r>
    </w:p>
    <w:p w:rsidR="000A156F" w:rsidRDefault="00A9721F">
      <w:pPr>
        <w:pStyle w:val="Definition-Field"/>
      </w:pPr>
      <w:r>
        <w:t xml:space="preserve">f.   </w:t>
      </w:r>
      <w:r>
        <w:rPr>
          <w:i/>
        </w:rPr>
        <w:t>The standard states that this setting uses a</w:t>
      </w:r>
      <w:r>
        <w:rPr>
          <w:i/>
        </w:rPr>
        <w:t xml:space="preserve"> specific set of attributes, specified by the AG_Password attribute group, to store the password hash.</w:t>
      </w:r>
    </w:p>
    <w:p w:rsidR="000A156F" w:rsidRDefault="00A9721F">
      <w:r>
        <w:t>In Office, when the HKCU/Software/Microsoft/Office/&lt;VERSION&gt;/Common/Security/UseIsoPasswordVerifier registry key is set to 1, the XML for file sharing is</w:t>
      </w:r>
      <w:r>
        <w:t xml:space="preserve">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algorithm Name</w:t>
            </w:r>
          </w:p>
        </w:tc>
        <w:tc>
          <w:tcPr>
            <w:tcW w:w="0" w:type="auto"/>
            <w:vAlign w:val="center"/>
          </w:tcPr>
          <w:p w:rsidR="000A156F" w:rsidRDefault="00A9721F">
            <w:pPr>
              <w:pStyle w:val="TableBodyText"/>
            </w:pPr>
            <w:r>
              <w:t>The name of the cryptographic hashing algorithm used to generate the hash value. Only those algorithms that are installed in the operating system’s crypt</w:t>
            </w:r>
            <w:r>
              <w:t>ographic subsystem can be utilized by Office.</w:t>
            </w:r>
          </w:p>
          <w:p w:rsidR="000A156F" w:rsidRDefault="000A156F">
            <w:pPr>
              <w:pStyle w:val="TableBodyText"/>
            </w:pPr>
          </w:p>
          <w:p w:rsidR="000A156F" w:rsidRDefault="00A9721F">
            <w:pPr>
              <w:pStyle w:val="TableBodyText"/>
            </w:pPr>
            <w:r>
              <w:t>The following hash algorithm names are reserved:</w:t>
            </w:r>
          </w:p>
          <w:p w:rsidR="000A156F" w:rsidRDefault="000A156F">
            <w:pPr>
              <w:pStyle w:val="TableBodyText"/>
            </w:pPr>
          </w:p>
          <w:p w:rsidR="000A156F" w:rsidRDefault="00A9721F">
            <w:pPr>
              <w:pStyle w:val="TableBodyText"/>
            </w:pPr>
            <w:r>
              <w:rPr>
                <w:b/>
                <w:i/>
              </w:rPr>
              <w:t xml:space="preserve">MD2 </w:t>
            </w:r>
          </w:p>
          <w:p w:rsidR="000A156F" w:rsidRDefault="00A9721F">
            <w:pPr>
              <w:pStyle w:val="TableBodyText"/>
            </w:pPr>
            <w:r>
              <w:rPr>
                <w:i/>
              </w:rPr>
              <w:t>Specifies that the MD2 algorithm, as defined by RFC 1319, shall be used.</w:t>
            </w:r>
          </w:p>
          <w:p w:rsidR="000A156F" w:rsidRDefault="000A156F">
            <w:pPr>
              <w:pStyle w:val="TableBodyText"/>
            </w:pPr>
          </w:p>
          <w:p w:rsidR="000A156F" w:rsidRDefault="00A9721F">
            <w:pPr>
              <w:pStyle w:val="TableBodyText"/>
            </w:pPr>
            <w:r>
              <w:rPr>
                <w:i/>
              </w:rPr>
              <w:t xml:space="preserve">[Note: It is recommended that applications should avoid using this algorithm to </w:t>
            </w:r>
            <w:r>
              <w:rPr>
                <w:i/>
              </w:rPr>
              <w:t>store new hash values, because of publicly known breaks. end note]</w:t>
            </w:r>
          </w:p>
          <w:p w:rsidR="000A156F" w:rsidRDefault="00A9721F">
            <w:pPr>
              <w:pStyle w:val="TableBodyText"/>
            </w:pPr>
            <w:r>
              <w:rPr>
                <w:b/>
                <w:i/>
              </w:rPr>
              <w:t xml:space="preserve">MD4 </w:t>
            </w:r>
          </w:p>
          <w:p w:rsidR="000A156F" w:rsidRDefault="00A9721F">
            <w:pPr>
              <w:pStyle w:val="TableBodyText"/>
            </w:pPr>
            <w:r>
              <w:rPr>
                <w:i/>
              </w:rPr>
              <w:t>Specifies that the MD4 algorithm, as defined by RFC 1320,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w:t>
            </w:r>
            <w:r>
              <w:rPr>
                <w:i/>
              </w:rPr>
              <w:t xml:space="preserve"> of publicly known breaks. end note]</w:t>
            </w:r>
          </w:p>
          <w:p w:rsidR="000A156F" w:rsidRDefault="00A9721F">
            <w:pPr>
              <w:pStyle w:val="TableBodyText"/>
            </w:pPr>
            <w:r>
              <w:rPr>
                <w:b/>
                <w:i/>
              </w:rPr>
              <w:t>MD5</w:t>
            </w:r>
          </w:p>
          <w:p w:rsidR="000A156F" w:rsidRDefault="00A9721F">
            <w:pPr>
              <w:pStyle w:val="TableBodyText"/>
            </w:pPr>
            <w:r>
              <w:rPr>
                <w:i/>
              </w:rPr>
              <w:t>Specifies that the MD5 algorithm, as defined by RFC 1321, shall be used.</w:t>
            </w:r>
          </w:p>
          <w:p w:rsidR="000A156F" w:rsidRDefault="000A156F">
            <w:pPr>
              <w:pStyle w:val="TableBodyText"/>
            </w:pPr>
          </w:p>
          <w:p w:rsidR="000A156F" w:rsidRDefault="00A9721F">
            <w:pPr>
              <w:pStyle w:val="TableBodyText"/>
            </w:pPr>
            <w:r>
              <w:rPr>
                <w:i/>
              </w:rPr>
              <w:t xml:space="preserve">[Note: It is recommended that applications should avoid using this algorithm to store new hash values, because of publicly known breaks. end </w:t>
            </w:r>
            <w:r>
              <w:rPr>
                <w:i/>
              </w:rPr>
              <w:t>note]</w:t>
            </w:r>
          </w:p>
          <w:p w:rsidR="000A156F" w:rsidRDefault="00A9721F">
            <w:pPr>
              <w:pStyle w:val="TableBodyText"/>
            </w:pPr>
            <w:r>
              <w:rPr>
                <w:b/>
                <w:i/>
              </w:rPr>
              <w:t>RIPEMD-128</w:t>
            </w:r>
          </w:p>
          <w:p w:rsidR="000A156F" w:rsidRDefault="00A9721F">
            <w:pPr>
              <w:pStyle w:val="TableBodyText"/>
            </w:pPr>
            <w:r>
              <w:rPr>
                <w:i/>
              </w:rPr>
              <w:t>Specifies that the RIPEMD-128 algorithm, as defined by ISO/IEC 10118-3:2004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RIPEMD-160</w:t>
            </w:r>
          </w:p>
          <w:p w:rsidR="000A156F" w:rsidRDefault="00A9721F">
            <w:pPr>
              <w:pStyle w:val="TableBodyText"/>
            </w:pPr>
            <w:r>
              <w:rPr>
                <w:i/>
              </w:rPr>
              <w:t>Specifies that the RIPEMD-160 algorithm, as defined by ISO/IEC 10118-3:2004, shall be used.</w:t>
            </w:r>
          </w:p>
          <w:p w:rsidR="000A156F" w:rsidRDefault="00A9721F">
            <w:pPr>
              <w:pStyle w:val="TableBodyText"/>
            </w:pPr>
            <w:r>
              <w:rPr>
                <w:b/>
                <w:i/>
              </w:rPr>
              <w:t>SHA-1</w:t>
            </w:r>
          </w:p>
          <w:p w:rsidR="000A156F" w:rsidRDefault="00A9721F">
            <w:pPr>
              <w:pStyle w:val="TableBodyText"/>
            </w:pPr>
            <w:r>
              <w:rPr>
                <w:i/>
              </w:rPr>
              <w:t>Specifies that the SHA-1 algorithm, as defined by ISO/IEC 10118-3:2004, shall be used.</w:t>
            </w:r>
          </w:p>
          <w:p w:rsidR="000A156F" w:rsidRDefault="00A9721F">
            <w:pPr>
              <w:pStyle w:val="TableBodyText"/>
            </w:pPr>
            <w:r>
              <w:rPr>
                <w:b/>
                <w:i/>
              </w:rPr>
              <w:t>SHA-256</w:t>
            </w:r>
          </w:p>
          <w:p w:rsidR="000A156F" w:rsidRDefault="00A9721F">
            <w:pPr>
              <w:pStyle w:val="TableBodyText"/>
            </w:pPr>
            <w:r>
              <w:rPr>
                <w:i/>
              </w:rPr>
              <w:t xml:space="preserve">Specifies that the SHA-256 algorithm, as defined by </w:t>
            </w:r>
            <w:r>
              <w:rPr>
                <w:i/>
              </w:rPr>
              <w:t>ISO/IEC 10118-3:2004, shall be used.</w:t>
            </w:r>
          </w:p>
          <w:p w:rsidR="000A156F" w:rsidRDefault="00A9721F">
            <w:pPr>
              <w:pStyle w:val="TableBodyText"/>
            </w:pPr>
            <w:r>
              <w:rPr>
                <w:b/>
                <w:i/>
              </w:rPr>
              <w:t>SHA-384</w:t>
            </w:r>
          </w:p>
          <w:p w:rsidR="000A156F" w:rsidRDefault="00A9721F">
            <w:pPr>
              <w:pStyle w:val="TableBodyText"/>
            </w:pPr>
            <w:r>
              <w:rPr>
                <w:i/>
              </w:rPr>
              <w:t>Specifies that the SHA-384 algorithm, as defined by ISO/IEC 10118-3:2004, shall be used.</w:t>
            </w:r>
          </w:p>
          <w:p w:rsidR="000A156F" w:rsidRDefault="00A9721F">
            <w:pPr>
              <w:pStyle w:val="TableBodyText"/>
            </w:pPr>
            <w:r>
              <w:rPr>
                <w:b/>
                <w:i/>
              </w:rPr>
              <w:t>SHA-512</w:t>
            </w:r>
          </w:p>
          <w:p w:rsidR="000A156F" w:rsidRDefault="00A9721F">
            <w:pPr>
              <w:pStyle w:val="TableBodyText"/>
            </w:pPr>
            <w:r>
              <w:rPr>
                <w:i/>
              </w:rPr>
              <w:t>Specifies that the SHA-512 algorithm, as defined by ISO/IEC 10118-3:2004, shall be used.</w:t>
            </w:r>
          </w:p>
          <w:p w:rsidR="000A156F" w:rsidRDefault="00A9721F">
            <w:pPr>
              <w:pStyle w:val="TableBodyText"/>
            </w:pPr>
            <w:r>
              <w:rPr>
                <w:b/>
                <w:i/>
              </w:rPr>
              <w:lastRenderedPageBreak/>
              <w:t>WHIRLPOOL</w:t>
            </w:r>
          </w:p>
          <w:p w:rsidR="000A156F" w:rsidRDefault="00A9721F">
            <w:pPr>
              <w:pStyle w:val="TableBodyText"/>
            </w:pPr>
            <w:r>
              <w:rPr>
                <w:i/>
              </w:rPr>
              <w:t xml:space="preserve">Specifies that </w:t>
            </w:r>
            <w:r>
              <w:rPr>
                <w:i/>
              </w:rPr>
              <w:t>the WHIRLPOOL algorithm, as defined by ISO/IEC 10118-3:2004, shall be used.</w:t>
            </w:r>
          </w:p>
          <w:p w:rsidR="000A156F" w:rsidRDefault="000A156F">
            <w:pPr>
              <w:pStyle w:val="TableBodyText"/>
            </w:pP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hash Value</w:t>
            </w:r>
          </w:p>
        </w:tc>
        <w:tc>
          <w:tcPr>
            <w:tcW w:w="0" w:type="auto"/>
            <w:vAlign w:val="center"/>
          </w:tcPr>
          <w:p w:rsidR="000A156F" w:rsidRDefault="00A9721F">
            <w:pPr>
              <w:pStyle w:val="TableBodyText"/>
            </w:pPr>
            <w:r>
              <w:t xml:space="preserve">Specifies the hash value for the password required to edit this worksheet. This value shall be compared with the resulting hash value after hashing the user-supplied </w:t>
            </w:r>
            <w:r>
              <w:t>password using the algorithm specified by the preceding attributes and parent XML element. If the two values match, the protection shall no longer be enforced.</w:t>
            </w:r>
          </w:p>
          <w:p w:rsidR="000A156F" w:rsidRDefault="000A156F">
            <w:pPr>
              <w:pStyle w:val="TableBodyText"/>
            </w:pPr>
          </w:p>
          <w:p w:rsidR="000A156F" w:rsidRDefault="00A9721F">
            <w:pPr>
              <w:pStyle w:val="TableBodyText"/>
            </w:pPr>
            <w:r>
              <w:t>If this value is omitted, then the reservationPassword attribute shall contain the password has</w:t>
            </w:r>
            <w:r>
              <w:t>h for the workbook.</w:t>
            </w:r>
          </w:p>
          <w:p w:rsidR="000A156F" w:rsidRDefault="000A156F">
            <w:pPr>
              <w:pStyle w:val="TableBodyText"/>
            </w:pPr>
          </w:p>
          <w:p w:rsidR="000A156F" w:rsidRDefault="00A9721F">
            <w:pPr>
              <w:pStyle w:val="TableBodyText"/>
            </w:pPr>
            <w:r>
              <w:t>[</w:t>
            </w:r>
            <w:r>
              <w:rPr>
                <w:i/>
              </w:rPr>
              <w:t>Example</w:t>
            </w:r>
            <w:r>
              <w:t>: Consider an Office Open XML document with the following information stored in one of its protection elements:</w:t>
            </w:r>
          </w:p>
          <w:p w:rsidR="000A156F" w:rsidRDefault="000A156F">
            <w:pPr>
              <w:pStyle w:val="TableBodyText"/>
            </w:pPr>
          </w:p>
          <w:p w:rsidR="000A156F" w:rsidRDefault="00A9721F">
            <w:pPr>
              <w:pStyle w:val="TableBodyText"/>
            </w:pPr>
            <w:r>
              <w:t>&lt;… algorithmName="SHA-1" hashValue="9oN7nWkCAyEZib1RomSJTjmPpCY=" /&gt;</w:t>
            </w:r>
          </w:p>
          <w:p w:rsidR="000A156F" w:rsidRDefault="000A156F">
            <w:pPr>
              <w:pStyle w:val="TableBodyText"/>
            </w:pPr>
          </w:p>
          <w:p w:rsidR="000A156F" w:rsidRDefault="00A9721F">
            <w:pPr>
              <w:pStyle w:val="TableBodyText"/>
            </w:pPr>
            <w:r>
              <w:t>The hashValue attribute value of 9oN7nWkCAyE</w:t>
            </w:r>
            <w:r>
              <w:t>Zib1RomSJTjmPpCY= specifies that the user-supplied password must be hashed using the pre-processing defined by the parent element (if any) followed by the hashing algorithm (specified via the algorithmName attribute value) and that the resulting hash value</w:t>
            </w:r>
            <w:r>
              <w:t xml:space="preserve"> must be match for the protection to be disabled. </w:t>
            </w:r>
          </w:p>
          <w:p w:rsidR="000A156F" w:rsidRDefault="00A9721F">
            <w:pPr>
              <w:pStyle w:val="TableBodyText"/>
            </w:pPr>
            <w:r>
              <w:rPr>
                <w:i/>
              </w:rPr>
              <w:t>end example</w:t>
            </w:r>
            <w:r>
              <w:t>]</w:t>
            </w:r>
          </w:p>
          <w:p w:rsidR="000A156F" w:rsidRDefault="000A156F">
            <w:pPr>
              <w:pStyle w:val="TableBodyText"/>
            </w:pPr>
          </w:p>
          <w:p w:rsidR="000A156F" w:rsidRDefault="00A9721F">
            <w:pPr>
              <w:pStyle w:val="TableBodyText"/>
            </w:pPr>
            <w:r>
              <w:t>The possible values for this attribute are defined by the W3C XML Schema base64Binary datatype.</w:t>
            </w:r>
          </w:p>
        </w:tc>
      </w:tr>
      <w:tr w:rsidR="000A156F" w:rsidTr="000A156F">
        <w:tc>
          <w:tcPr>
            <w:tcW w:w="0" w:type="auto"/>
            <w:vAlign w:val="center"/>
          </w:tcPr>
          <w:p w:rsidR="000A156F" w:rsidRDefault="00A9721F">
            <w:pPr>
              <w:pStyle w:val="TableBodyText"/>
            </w:pPr>
            <w:r>
              <w:rPr>
                <w:b/>
              </w:rPr>
              <w:t>saltValue</w:t>
            </w:r>
          </w:p>
        </w:tc>
        <w:tc>
          <w:tcPr>
            <w:tcW w:w="0" w:type="auto"/>
            <w:vAlign w:val="center"/>
          </w:tcPr>
          <w:p w:rsidR="000A156F" w:rsidRDefault="00A9721F">
            <w:pPr>
              <w:pStyle w:val="TableBodyText"/>
            </w:pPr>
            <w:r>
              <w:t xml:space="preserve">Specifies the random bytes that are pre-pended to the user-supplied password before </w:t>
            </w:r>
            <w:r>
              <w:t>it was hashed by the hashing algorithm.</w:t>
            </w:r>
          </w:p>
        </w:tc>
      </w:tr>
      <w:tr w:rsidR="000A156F" w:rsidTr="000A156F">
        <w:tc>
          <w:tcPr>
            <w:tcW w:w="0" w:type="auto"/>
            <w:vAlign w:val="center"/>
          </w:tcPr>
          <w:p w:rsidR="000A156F" w:rsidRDefault="00A9721F">
            <w:pPr>
              <w:pStyle w:val="TableBodyText"/>
            </w:pPr>
            <w:r>
              <w:rPr>
                <w:b/>
              </w:rPr>
              <w:t>spinCount</w:t>
            </w:r>
          </w:p>
        </w:tc>
        <w:tc>
          <w:tcPr>
            <w:tcW w:w="0" w:type="auto"/>
            <w:vAlign w:val="center"/>
          </w:tcPr>
          <w:p w:rsidR="000A156F" w:rsidRDefault="00A9721F">
            <w:pPr>
              <w:pStyle w:val="TableBodyText"/>
            </w:pPr>
            <w:r>
              <w:t>Specifies the number of times the hashing function shall be iteratively run (using each iteration's result as the input for the next iteration).</w:t>
            </w:r>
          </w:p>
        </w:tc>
      </w:tr>
    </w:tbl>
    <w:p w:rsidR="000A156F" w:rsidRDefault="000A156F"/>
    <w:p w:rsidR="000A156F" w:rsidRDefault="00A9721F">
      <w:r>
        <w:t>[</w:t>
      </w:r>
      <w:r>
        <w:rPr>
          <w:i/>
        </w:rPr>
        <w:t>Example</w:t>
      </w:r>
      <w:r>
        <w:t xml:space="preserve">: </w:t>
      </w:r>
    </w:p>
    <w:p w:rsidR="000A156F" w:rsidRDefault="00A9721F">
      <w:r>
        <w:t xml:space="preserve">Consider an Office Open XML document with the </w:t>
      </w:r>
      <w:r>
        <w:t>following information stored in one of its protection elements:</w:t>
      </w:r>
    </w:p>
    <w:p w:rsidR="000A156F" w:rsidRDefault="00A9721F">
      <w:r>
        <w:t>&lt; … algorithmName="SHA-1" hashValue="9oN7nWkCAyEZib1RomSJTjmPpCY=" /&gt;</w:t>
      </w:r>
    </w:p>
    <w:p w:rsidR="000A156F" w:rsidRDefault="00A9721F">
      <w:r>
        <w:t>The algorithmName attribute value of SHA-1 specifies that the SHA-1 hashing algorithm must be used to generate a hash from</w:t>
      </w:r>
      <w:r>
        <w:t xml:space="preserve"> the user-defined password.</w:t>
      </w:r>
    </w:p>
    <w:p w:rsidR="000A156F" w:rsidRDefault="00A9721F">
      <w:r>
        <w:rPr>
          <w:i/>
        </w:rPr>
        <w:t>end example</w:t>
      </w:r>
      <w:r>
        <w:t>]</w:t>
      </w:r>
    </w:p>
    <w:p w:rsidR="000A156F" w:rsidRDefault="00A9721F">
      <w:pPr>
        <w:pStyle w:val="Heading3"/>
      </w:pPr>
      <w:bookmarkStart w:id="826" w:name="section_db557c47a6d844cba1d1e00b81720be2"/>
      <w:bookmarkStart w:id="827" w:name="_Toc181683439"/>
      <w:r>
        <w:t>Part 1 Section 17.15.1.31, docVar (Single Document Variable)</w:t>
      </w:r>
      <w:bookmarkEnd w:id="826"/>
      <w:bookmarkEnd w:id="827"/>
      <w:r>
        <w:fldChar w:fldCharType="begin"/>
      </w:r>
      <w:r>
        <w:instrText xml:space="preserve"> XE "docVar (Single Document Variable)" </w:instrText>
      </w:r>
      <w:r>
        <w:fldChar w:fldCharType="end"/>
      </w:r>
    </w:p>
    <w:p w:rsidR="000A156F" w:rsidRDefault="00A9721F">
      <w:pPr>
        <w:pStyle w:val="Definition-Field"/>
      </w:pPr>
      <w:r>
        <w:t xml:space="preserve">a.   </w:t>
      </w:r>
      <w:r>
        <w:rPr>
          <w:i/>
        </w:rPr>
        <w:t>The standard does not limit the length of the value of the name attribute.</w:t>
      </w:r>
    </w:p>
    <w:p w:rsidR="000A156F" w:rsidRDefault="00A9721F">
      <w:pPr>
        <w:pStyle w:val="Definition-Field2"/>
      </w:pPr>
      <w:r>
        <w:t>Word restricts the value of this</w:t>
      </w:r>
      <w:r>
        <w:t xml:space="preserve"> attribute to be at least 1 and at most 255 characters.</w:t>
      </w:r>
    </w:p>
    <w:p w:rsidR="000A156F" w:rsidRDefault="00A9721F">
      <w:pPr>
        <w:pStyle w:val="Definition-Field"/>
      </w:pPr>
      <w:r>
        <w:t xml:space="preserve">b.   </w:t>
      </w:r>
      <w:r>
        <w:rPr>
          <w:i/>
        </w:rPr>
        <w:t>The standard does not limit the length of the value of the val attribute.</w:t>
      </w:r>
    </w:p>
    <w:p w:rsidR="000A156F" w:rsidRDefault="00A9721F">
      <w:pPr>
        <w:pStyle w:val="Definition-Field2"/>
      </w:pPr>
      <w:r>
        <w:t>Word restricts the value of this attribute to be at most 65280 characters.</w:t>
      </w:r>
    </w:p>
    <w:p w:rsidR="000A156F" w:rsidRDefault="00A9721F">
      <w:pPr>
        <w:pStyle w:val="Heading3"/>
      </w:pPr>
      <w:bookmarkStart w:id="828" w:name="section_54ee14414d034f27a278fdc84825d1a4"/>
      <w:bookmarkStart w:id="829" w:name="_Toc181683440"/>
      <w:r>
        <w:lastRenderedPageBreak/>
        <w:t>Part 1 Section 17.15.1.42, doNotUseMarginsForD</w:t>
      </w:r>
      <w:r>
        <w:t>rawingGridOrigin (Do Not Use Margins for Drawing Grid Origin)</w:t>
      </w:r>
      <w:bookmarkEnd w:id="828"/>
      <w:bookmarkEnd w:id="829"/>
      <w:r>
        <w:fldChar w:fldCharType="begin"/>
      </w:r>
      <w:r>
        <w:instrText xml:space="preserve"> XE "doNotUseMarginsForDrawingGridOrigin (Do Not Use Margins for Drawing Grid Origin)" </w:instrText>
      </w:r>
      <w:r>
        <w:fldChar w:fldCharType="end"/>
      </w:r>
    </w:p>
    <w:p w:rsidR="000A156F" w:rsidRDefault="00A9721F">
      <w:pPr>
        <w:pStyle w:val="Definition-Field"/>
      </w:pPr>
      <w:r>
        <w:t xml:space="preserve">a.   </w:t>
      </w:r>
      <w:r>
        <w:rPr>
          <w:i/>
        </w:rPr>
        <w:t>The standard contradicts itself with regard to the meaning of this element.</w:t>
      </w:r>
    </w:p>
    <w:p w:rsidR="000A156F" w:rsidRDefault="00A9721F">
      <w:pPr>
        <w:pStyle w:val="Definition-Field2"/>
      </w:pPr>
      <w:r>
        <w:t>Word uses the top-left c</w:t>
      </w:r>
      <w:r>
        <w:t>orner of the page as the origin for the drawing grid when this element is present (instead of the margins).</w:t>
      </w:r>
    </w:p>
    <w:p w:rsidR="000A156F" w:rsidRDefault="00A9721F">
      <w:pPr>
        <w:pStyle w:val="Heading3"/>
      </w:pPr>
      <w:bookmarkStart w:id="830" w:name="section_8fb48b7d2afc4228bcebccf65ace2627"/>
      <w:bookmarkStart w:id="831" w:name="_Toc181683441"/>
      <w:r>
        <w:t>Part 1 Section 17.15.1.44, drawingGridHorizontalOrigin (Drawing Grid Horizontal Origin Point)</w:t>
      </w:r>
      <w:bookmarkEnd w:id="830"/>
      <w:bookmarkEnd w:id="831"/>
      <w:r>
        <w:fldChar w:fldCharType="begin"/>
      </w:r>
      <w:r>
        <w:instrText xml:space="preserve"> XE "drawingGridHorizontalOrigin (Drawing Grid Horizont</w:instrText>
      </w:r>
      <w:r>
        <w:instrText xml:space="preserve">al Origin Point)" </w:instrText>
      </w:r>
      <w:r>
        <w:fldChar w:fldCharType="end"/>
      </w:r>
    </w:p>
    <w:p w:rsidR="000A156F" w:rsidRDefault="00A9721F">
      <w:pPr>
        <w:pStyle w:val="Definition-Field"/>
      </w:pPr>
      <w:r>
        <w:t xml:space="preserve">a.   </w:t>
      </w:r>
      <w:r>
        <w:rPr>
          <w:i/>
        </w:rPr>
        <w:t>The standard states that this element as specifying the distance from the origin used for horizontal gridlines.</w:t>
      </w:r>
    </w:p>
    <w:p w:rsidR="000A156F" w:rsidRDefault="00A9721F">
      <w:pPr>
        <w:pStyle w:val="Definition-Field2"/>
      </w:pPr>
      <w:r>
        <w:t>Word interprets this element as the distance from the origin used for vertical gridlines.</w:t>
      </w:r>
    </w:p>
    <w:p w:rsidR="000A156F" w:rsidRDefault="00A9721F">
      <w:pPr>
        <w:pStyle w:val="Heading3"/>
      </w:pPr>
      <w:bookmarkStart w:id="832" w:name="section_6f3978f5d2b14c05852f0a7002cb7e48"/>
      <w:bookmarkStart w:id="833" w:name="_Toc181683442"/>
      <w:r>
        <w:t>Part 1 Section 17.15.1.46, d</w:t>
      </w:r>
      <w:r>
        <w:t>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0A156F" w:rsidRDefault="00A9721F">
      <w:pPr>
        <w:pStyle w:val="Definition-Field"/>
      </w:pPr>
      <w:r>
        <w:t xml:space="preserve">a.   </w:t>
      </w:r>
      <w:r>
        <w:rPr>
          <w:i/>
        </w:rPr>
        <w:t>The standard states that this element specifies the distance from the origin used for vertical gridlines.</w:t>
      </w:r>
    </w:p>
    <w:p w:rsidR="000A156F" w:rsidRDefault="00A9721F">
      <w:pPr>
        <w:pStyle w:val="Definition-Field2"/>
      </w:pPr>
      <w:r>
        <w:t>Word interpr</w:t>
      </w:r>
      <w:r>
        <w:t>ets this element as the distance from the origin used for horizontal gridlines.</w:t>
      </w:r>
    </w:p>
    <w:p w:rsidR="000A156F" w:rsidRDefault="00A9721F">
      <w:pPr>
        <w:pStyle w:val="Heading3"/>
      </w:pPr>
      <w:bookmarkStart w:id="834" w:name="section_678b19e3244248e8968a61d46a51d2e0"/>
      <w:bookmarkStart w:id="835" w:name="_Toc181683443"/>
      <w:r>
        <w:t>Part 1 Section 17.15.1.53, hyphenationZone (Hyphenation Zone)</w:t>
      </w:r>
      <w:bookmarkEnd w:id="834"/>
      <w:bookmarkEnd w:id="835"/>
      <w:r>
        <w:fldChar w:fldCharType="begin"/>
      </w:r>
      <w:r>
        <w:instrText xml:space="preserve"> XE "hyphenationZone (Hyphenation Zone)" </w:instrText>
      </w:r>
      <w:r>
        <w:fldChar w:fldCharType="end"/>
      </w:r>
    </w:p>
    <w:p w:rsidR="000A156F" w:rsidRDefault="00A9721F">
      <w:pPr>
        <w:pStyle w:val="Definition-Field"/>
      </w:pPr>
      <w:r>
        <w:t xml:space="preserve">a.   </w:t>
      </w:r>
      <w:r>
        <w:rPr>
          <w:i/>
        </w:rPr>
        <w:t xml:space="preserve">The standard states that if this element is omitted, then a </w:t>
      </w:r>
      <w:r>
        <w:rPr>
          <w:i/>
        </w:rPr>
        <w:t>default hyphenation zone of 360 twentieths of a point (0.25") shall be applied.</w:t>
      </w:r>
    </w:p>
    <w:p w:rsidR="000A156F" w:rsidRDefault="00A9721F">
      <w:pPr>
        <w:pStyle w:val="Definition-Field2"/>
      </w:pPr>
      <w:r>
        <w:t>Word assigns different default values for the hyphenation zone, based on the language of the running operating system.</w:t>
      </w:r>
    </w:p>
    <w:p w:rsidR="000A156F" w:rsidRDefault="00A9721F">
      <w:pPr>
        <w:pStyle w:val="Heading3"/>
      </w:pPr>
      <w:bookmarkStart w:id="836" w:name="section_090d9b057d914871b6324ec1e7035e22"/>
      <w:bookmarkStart w:id="837" w:name="_Toc181683444"/>
      <w:r>
        <w:t xml:space="preserve">Part 1 Section 17.15.1.56, listSeparator (List Separator </w:t>
      </w:r>
      <w:r>
        <w:t>for Field Code Evaluation)</w:t>
      </w:r>
      <w:bookmarkEnd w:id="836"/>
      <w:bookmarkEnd w:id="837"/>
      <w:r>
        <w:fldChar w:fldCharType="begin"/>
      </w:r>
      <w:r>
        <w:instrText xml:space="preserve"> XE "listSeparator (List Separator for Field Code Evaluation)" </w:instrText>
      </w:r>
      <w:r>
        <w:fldChar w:fldCharType="end"/>
      </w:r>
    </w:p>
    <w:p w:rsidR="000A156F" w:rsidRDefault="00A9721F">
      <w:pPr>
        <w:pStyle w:val="Definition-Field"/>
      </w:pPr>
      <w:r>
        <w:t xml:space="preserve">a.   </w:t>
      </w:r>
      <w:r>
        <w:rPr>
          <w:i/>
        </w:rPr>
        <w:t>The standard states that this element specifies the character that shall be interpreted as a list item separator.</w:t>
      </w:r>
    </w:p>
    <w:p w:rsidR="000A156F" w:rsidRDefault="00A9721F">
      <w:pPr>
        <w:pStyle w:val="Definition-Field2"/>
      </w:pPr>
      <w:r>
        <w:t>Word ignores this element and its value and a</w:t>
      </w:r>
      <w:r>
        <w:t>lways reads the system locale settings to get the value of the list item separator.</w:t>
      </w:r>
    </w:p>
    <w:p w:rsidR="000A156F" w:rsidRDefault="00A9721F">
      <w:pPr>
        <w:pStyle w:val="Heading3"/>
      </w:pPr>
      <w:bookmarkStart w:id="838" w:name="section_b86a56c0b34c41cb905ee041eb3d021f"/>
      <w:bookmarkStart w:id="839" w:name="_Toc181683445"/>
      <w:r>
        <w:t>Part 1 Section 17.15.1.58, noLineBreaksAfter (Custom Set of Characters Which Cannot End a Line)</w:t>
      </w:r>
      <w:bookmarkEnd w:id="838"/>
      <w:bookmarkEnd w:id="839"/>
      <w:r>
        <w:fldChar w:fldCharType="begin"/>
      </w:r>
      <w:r>
        <w:instrText xml:space="preserve"> XE "noLineBreaksAfter (Custom Set of Characters Which Cannot End a Line)" </w:instrText>
      </w:r>
      <w:r>
        <w:fldChar w:fldCharType="end"/>
      </w:r>
    </w:p>
    <w:p w:rsidR="000A156F" w:rsidRDefault="00A9721F">
      <w:pPr>
        <w:pStyle w:val="Definition-Field"/>
      </w:pPr>
      <w:r>
        <w:t xml:space="preserve">a.   </w:t>
      </w:r>
      <w:r>
        <w:rPr>
          <w:i/>
        </w:rPr>
        <w:t>The standard does not state how conflicts between this element and the strictFirstAndLastChars elements should be resolved.</w:t>
      </w:r>
    </w:p>
    <w:p w:rsidR="000A156F" w:rsidRDefault="00A9721F">
      <w:pPr>
        <w:pStyle w:val="Definition-Field2"/>
      </w:pPr>
      <w:r>
        <w:t>Word ignores this element for Japanese text if the strictFirstAndLastChars element is specified.</w:t>
      </w:r>
    </w:p>
    <w:p w:rsidR="000A156F" w:rsidRDefault="00A9721F">
      <w:pPr>
        <w:pStyle w:val="Definition-Field"/>
      </w:pPr>
      <w:r>
        <w:t xml:space="preserve">b.   </w:t>
      </w:r>
      <w:r>
        <w:rPr>
          <w:i/>
        </w:rPr>
        <w:t>The standard does not li</w:t>
      </w:r>
      <w:r>
        <w:rPr>
          <w:i/>
        </w:rPr>
        <w:t>mit the length of the value of the val attribute.</w:t>
      </w:r>
    </w:p>
    <w:p w:rsidR="000A156F" w:rsidRDefault="00A9721F">
      <w:pPr>
        <w:pStyle w:val="Definition-Field2"/>
      </w:pPr>
      <w:r>
        <w:t>Word restricts the value of this attribute to be at most 50 characters.</w:t>
      </w:r>
    </w:p>
    <w:p w:rsidR="000A156F" w:rsidRDefault="00A9721F">
      <w:pPr>
        <w:pStyle w:val="Heading3"/>
      </w:pPr>
      <w:bookmarkStart w:id="840" w:name="section_e6744d01fb9b4f54bc2551359980589c"/>
      <w:bookmarkStart w:id="841" w:name="_Toc181683446"/>
      <w:r>
        <w:lastRenderedPageBreak/>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0A156F" w:rsidRDefault="00A9721F">
      <w:pPr>
        <w:pStyle w:val="Definition-Field"/>
      </w:pPr>
      <w:r>
        <w:t xml:space="preserve">a.   </w:t>
      </w:r>
      <w:r>
        <w:rPr>
          <w:i/>
        </w:rPr>
        <w:t>The standard does not state how conflicts between this element and the strictFirstAndLastChars element should be resolved.</w:t>
      </w:r>
    </w:p>
    <w:p w:rsidR="000A156F" w:rsidRDefault="00A9721F">
      <w:pPr>
        <w:pStyle w:val="Definition-Field2"/>
      </w:pPr>
      <w:r>
        <w:t>Word ignores this element when the strictFirstA</w:t>
      </w:r>
      <w:r>
        <w:t>ndLastChars element is also specified.</w:t>
      </w:r>
    </w:p>
    <w:p w:rsidR="000A156F" w:rsidRDefault="00A9721F">
      <w:pPr>
        <w:pStyle w:val="Definition-Field"/>
      </w:pPr>
      <w:r>
        <w:t xml:space="preserve">b.   </w:t>
      </w:r>
      <w:r>
        <w:rPr>
          <w:i/>
        </w:rPr>
        <w:t>The standard does not limit the length of the value of the val attribute.</w:t>
      </w:r>
    </w:p>
    <w:p w:rsidR="000A156F" w:rsidRDefault="00A9721F">
      <w:pPr>
        <w:pStyle w:val="Definition-Field2"/>
      </w:pPr>
      <w:r>
        <w:t>Word restricts the value of this attribute to be at most 100 characters.</w:t>
      </w:r>
    </w:p>
    <w:p w:rsidR="000A156F" w:rsidRDefault="00A9721F">
      <w:pPr>
        <w:pStyle w:val="Heading3"/>
      </w:pPr>
      <w:bookmarkStart w:id="842" w:name="section_8802f662d621416eb4562b7843c90a3b"/>
      <w:bookmarkStart w:id="843" w:name="_Toc181683447"/>
      <w:r>
        <w:t>Part 1 Section 17.15.1.60, noPunctuationKerning (Never Kern Punct</w:t>
      </w:r>
      <w:r>
        <w:t>uation Characters)</w:t>
      </w:r>
      <w:bookmarkEnd w:id="842"/>
      <w:bookmarkEnd w:id="843"/>
      <w:r>
        <w:fldChar w:fldCharType="begin"/>
      </w:r>
      <w:r>
        <w:instrText xml:space="preserve"> XE "noPunctuationKerning (Never Kern Punctuation Characters)" </w:instrText>
      </w:r>
      <w:r>
        <w:fldChar w:fldCharType="end"/>
      </w:r>
    </w:p>
    <w:p w:rsidR="000A156F" w:rsidRDefault="00A9721F">
      <w:pPr>
        <w:pStyle w:val="Definition-Field"/>
      </w:pPr>
      <w:r>
        <w:t xml:space="preserve">a.   </w:t>
      </w:r>
      <w:r>
        <w:rPr>
          <w:i/>
        </w:rPr>
        <w:t>The standard states that the default value of this element is false.</w:t>
      </w:r>
    </w:p>
    <w:p w:rsidR="000A156F" w:rsidRDefault="00A9721F">
      <w:pPr>
        <w:pStyle w:val="Definition-Field2"/>
      </w:pPr>
      <w:r>
        <w:t>Word uses a default equal to true when the primary editing language is Korean.</w:t>
      </w:r>
    </w:p>
    <w:p w:rsidR="000A156F" w:rsidRDefault="00A9721F">
      <w:pPr>
        <w:pStyle w:val="Definition-Field"/>
      </w:pPr>
      <w:r>
        <w:t xml:space="preserve">b.   </w:t>
      </w:r>
      <w:r>
        <w:rPr>
          <w:i/>
        </w:rPr>
        <w:t>The standard s</w:t>
      </w:r>
      <w:r>
        <w:rPr>
          <w:i/>
        </w:rPr>
        <w:t>tates here that when kerning is enabled, Latin text should be kerned. However, the kern element contains no such restriction.</w:t>
      </w:r>
    </w:p>
    <w:p w:rsidR="000A156F" w:rsidRDefault="00A9721F">
      <w:pPr>
        <w:pStyle w:val="Definition-Field2"/>
      </w:pPr>
      <w:r>
        <w:t>Word kerns all characters when kerning is enabled.</w:t>
      </w:r>
    </w:p>
    <w:p w:rsidR="000A156F" w:rsidRDefault="00A9721F">
      <w:pPr>
        <w:pStyle w:val="Heading3"/>
      </w:pPr>
      <w:bookmarkStart w:id="844" w:name="section_efb3ba595ce5401a8de162bf62a2d89d"/>
      <w:bookmarkStart w:id="845" w:name="_Toc181683448"/>
      <w:r>
        <w:t>Part 1 Section 17.15.1.62, printFractionalCharacterWidth (Print Fractional Char</w:t>
      </w:r>
      <w:r>
        <w:t>acter Widths)</w:t>
      </w:r>
      <w:bookmarkEnd w:id="844"/>
      <w:bookmarkEnd w:id="845"/>
      <w:r>
        <w:fldChar w:fldCharType="begin"/>
      </w:r>
      <w:r>
        <w:instrText xml:space="preserve"> XE "printFractionalCharacterWidth (Print Fractional Character Widths)" </w:instrText>
      </w:r>
      <w:r>
        <w:fldChar w:fldCharType="end"/>
      </w:r>
    </w:p>
    <w:p w:rsidR="000A156F" w:rsidRDefault="00A9721F">
      <w:pPr>
        <w:pStyle w:val="Definition-Field"/>
      </w:pPr>
      <w:r>
        <w:t xml:space="preserve">a.   </w:t>
      </w:r>
      <w:r>
        <w:rPr>
          <w:i/>
        </w:rPr>
        <w:t>The standard does not state the default behavior when this element is omitted.</w:t>
      </w:r>
    </w:p>
    <w:p w:rsidR="000A156F" w:rsidRDefault="00A9721F">
      <w:pPr>
        <w:pStyle w:val="Definition-Field2"/>
      </w:pPr>
      <w:r>
        <w:t>Word does not apply this property when this element is omitted.</w:t>
      </w:r>
    </w:p>
    <w:p w:rsidR="000A156F" w:rsidRDefault="00A9721F">
      <w:pPr>
        <w:pStyle w:val="Definition-Field"/>
      </w:pPr>
      <w:r>
        <w:t xml:space="preserve">b.   </w:t>
      </w:r>
      <w:r>
        <w:rPr>
          <w:i/>
        </w:rPr>
        <w:t>The standard st</w:t>
      </w:r>
      <w:r>
        <w:rPr>
          <w:i/>
        </w:rPr>
        <w:t>ates that this setting specifies that the contents of this document shall be printed with fractional character widths.</w:t>
      </w:r>
    </w:p>
    <w:p w:rsidR="000A156F" w:rsidRDefault="00A9721F">
      <w:pPr>
        <w:pStyle w:val="Definition-Field2"/>
      </w:pPr>
      <w:r>
        <w:t>Word ignores this property.</w:t>
      </w:r>
    </w:p>
    <w:p w:rsidR="000A156F" w:rsidRDefault="00A9721F">
      <w:pPr>
        <w:pStyle w:val="Heading3"/>
      </w:pPr>
      <w:bookmarkStart w:id="846" w:name="section_9b0dce269f9e4536ba8337b34eb3f536"/>
      <w:bookmarkStart w:id="847" w:name="_Toc181683449"/>
      <w:r>
        <w:t>Part 1 Section 17.15.1.63, printPostScriptOverText (Print PostScript Codes With Document Text)</w:t>
      </w:r>
      <w:bookmarkEnd w:id="846"/>
      <w:bookmarkEnd w:id="847"/>
      <w:r>
        <w:fldChar w:fldCharType="begin"/>
      </w:r>
      <w:r>
        <w:instrText xml:space="preserve"> XE "printPostS</w:instrText>
      </w:r>
      <w:r>
        <w:instrText xml:space="preserve">criptOverText (Print PostScript Codes With Document Text)" </w:instrText>
      </w:r>
      <w:r>
        <w:fldChar w:fldCharType="end"/>
      </w:r>
    </w:p>
    <w:p w:rsidR="000A156F" w:rsidRDefault="00A9721F">
      <w:pPr>
        <w:pStyle w:val="Definition-Field"/>
      </w:pPr>
      <w:r>
        <w:t xml:space="preserve">a.   </w:t>
      </w:r>
      <w:r>
        <w:rPr>
          <w:i/>
        </w:rPr>
        <w:t>The standard states that the PostScript codes specified in WordprocessingML documents containing PRINT fields shall be included in foreground (on the same Z-order as text) with the data pri</w:t>
      </w:r>
      <w:r>
        <w:rPr>
          <w:i/>
        </w:rPr>
        <w:t>nted in the contents of a given WordprocessingML document.</w:t>
      </w:r>
    </w:p>
    <w:p w:rsidR="000A156F" w:rsidRDefault="00A9721F">
      <w:pPr>
        <w:pStyle w:val="Definition-Field2"/>
      </w:pPr>
      <w:r>
        <w:t>Word ignores this element.</w:t>
      </w:r>
    </w:p>
    <w:p w:rsidR="000A156F" w:rsidRDefault="00A9721F">
      <w:pPr>
        <w:pStyle w:val="Heading3"/>
      </w:pPr>
      <w:bookmarkStart w:id="848" w:name="section_6138f7fcba1740f692cb8ed961619ebf"/>
      <w:bookmarkStart w:id="849" w:name="_Toc181683450"/>
      <w:r>
        <w:t>Part 1 Section 17.15.1.69, revisionView (Visibility of Annotation Types)</w:t>
      </w:r>
      <w:bookmarkEnd w:id="848"/>
      <w:bookmarkEnd w:id="849"/>
      <w:r>
        <w:fldChar w:fldCharType="begin"/>
      </w:r>
      <w:r>
        <w:instrText xml:space="preserve"> XE "revisionView (Visibility of Annotation Types)" </w:instrText>
      </w:r>
      <w:r>
        <w:fldChar w:fldCharType="end"/>
      </w:r>
    </w:p>
    <w:p w:rsidR="000A156F" w:rsidRDefault="00A9721F">
      <w:pPr>
        <w:pStyle w:val="Definition-Field"/>
      </w:pPr>
      <w:r>
        <w:t xml:space="preserve">a.   </w:t>
      </w:r>
      <w:r>
        <w:rPr>
          <w:i/>
        </w:rPr>
        <w:t>The standard states that the markup at</w:t>
      </w:r>
      <w:r>
        <w:rPr>
          <w:i/>
        </w:rPr>
        <w:t>tribute specifies whether the application shall visually indicate any additional non-printing area used to display annotations.</w:t>
      </w:r>
    </w:p>
    <w:p w:rsidR="000A156F" w:rsidRDefault="00A9721F">
      <w:pPr>
        <w:pStyle w:val="Definition-Field2"/>
      </w:pPr>
      <w:r>
        <w:t>Word uses this attribute to specify whether any annotations should be displayed when the document is opened. If this attribute i</w:t>
      </w:r>
      <w:r>
        <w:t>s set to false, then no annotations are displayed, regardless of the state of the other attributes.</w:t>
      </w:r>
    </w:p>
    <w:p w:rsidR="000A156F" w:rsidRDefault="00A9721F">
      <w:pPr>
        <w:pStyle w:val="Heading3"/>
      </w:pPr>
      <w:bookmarkStart w:id="850" w:name="section_9e7cca9a56a74c999e307aeedfa4c995"/>
      <w:bookmarkStart w:id="851" w:name="_Toc181683451"/>
      <w:r>
        <w:lastRenderedPageBreak/>
        <w:t>Part 1 Section 17.15.1.70, rsid (Single Session Revision Save ID)</w:t>
      </w:r>
      <w:bookmarkEnd w:id="850"/>
      <w:bookmarkEnd w:id="851"/>
      <w:r>
        <w:fldChar w:fldCharType="begin"/>
      </w:r>
      <w:r>
        <w:instrText xml:space="preserve"> XE "rsid (Single Session Revision Save ID)" </w:instrText>
      </w:r>
      <w:r>
        <w:fldChar w:fldCharType="end"/>
      </w:r>
    </w:p>
    <w:p w:rsidR="000A156F" w:rsidRDefault="00A9721F">
      <w:pPr>
        <w:pStyle w:val="Definition-Field"/>
      </w:pPr>
      <w:r>
        <w:t xml:space="preserve">a.   </w:t>
      </w:r>
      <w:r>
        <w:rPr>
          <w:i/>
        </w:rPr>
        <w:t>The standard states that the rsid shou</w:t>
      </w:r>
      <w:r>
        <w:rPr>
          <w:i/>
        </w:rPr>
        <w:t>ld be randomly chosen and that every editing session shall be assigned an rsid that is larger than all earlier ones in the same file. If both are observed, the application would quickly run out of allowable rsid's.</w:t>
      </w:r>
    </w:p>
    <w:p w:rsidR="000A156F" w:rsidRDefault="00A9721F">
      <w:pPr>
        <w:pStyle w:val="Definition-Field2"/>
      </w:pPr>
      <w:r>
        <w:t xml:space="preserve">Word generates a random number for every </w:t>
      </w:r>
      <w:r>
        <w:t>rsid that is not necessarily larger than all earlier ones in the same file.</w:t>
      </w:r>
    </w:p>
    <w:p w:rsidR="000A156F" w:rsidRDefault="00A9721F">
      <w:pPr>
        <w:pStyle w:val="Heading3"/>
      </w:pPr>
      <w:bookmarkStart w:id="852" w:name="section_5530b6b16de7404188adf0c784df4781"/>
      <w:bookmarkStart w:id="853" w:name="_Toc181683452"/>
      <w:r>
        <w:t>Part 1 Section 17.15.1.74, saveInvalidXml (Allow Saving Document As XML File When Custom XML Markup Is Invalid)</w:t>
      </w:r>
      <w:bookmarkEnd w:id="852"/>
      <w:bookmarkEnd w:id="853"/>
      <w:r>
        <w:fldChar w:fldCharType="begin"/>
      </w:r>
      <w:r>
        <w:instrText xml:space="preserve"> XE "saveInvalidXml (Allow Saving Document As XML File When Custom XM</w:instrText>
      </w:r>
      <w:r>
        <w:instrText xml:space="preserve">L Markup Is Invalid)" </w:instrText>
      </w:r>
      <w:r>
        <w:fldChar w:fldCharType="end"/>
      </w:r>
    </w:p>
    <w:p w:rsidR="000A156F" w:rsidRDefault="00A9721F">
      <w:pPr>
        <w:pStyle w:val="Definition-Field"/>
      </w:pPr>
      <w:r>
        <w:t xml:space="preserve">a.   </w:t>
      </w:r>
      <w:r>
        <w:rPr>
          <w:i/>
        </w:rPr>
        <w:t>The standard states that if the doNotValidateAgainstSchema element is set, then the XML is never invalid and this property is ignored.</w:t>
      </w:r>
    </w:p>
    <w:p w:rsidR="000A156F" w:rsidRDefault="00A9721F">
      <w:pPr>
        <w:pStyle w:val="Definition-Field2"/>
      </w:pPr>
      <w:r>
        <w:t>Word does not ignore this property when doNotValidateAgainstSchema element is set.</w:t>
      </w:r>
    </w:p>
    <w:p w:rsidR="000A156F" w:rsidRDefault="00A9721F">
      <w:pPr>
        <w:pStyle w:val="Heading3"/>
      </w:pPr>
      <w:bookmarkStart w:id="854" w:name="section_4b47b239faff4088bad3808500ee9c0f"/>
      <w:bookmarkStart w:id="855" w:name="_Toc181683453"/>
      <w:r>
        <w:t>Part 1 Section 17.15.1.76, saveThroughXslt (Custom XSL Transform To Use When Saving As XML File)</w:t>
      </w:r>
      <w:bookmarkEnd w:id="854"/>
      <w:bookmarkEnd w:id="855"/>
      <w:r>
        <w:fldChar w:fldCharType="begin"/>
      </w:r>
      <w:r>
        <w:instrText xml:space="preserve"> XE "saveThroughXslt (Custom XSL Transform To Use When Saving As XML File)" </w:instrText>
      </w:r>
      <w:r>
        <w:fldChar w:fldCharType="end"/>
      </w:r>
    </w:p>
    <w:p w:rsidR="000A156F" w:rsidRDefault="00A9721F">
      <w:pPr>
        <w:pStyle w:val="Definition-Field"/>
      </w:pPr>
      <w:r>
        <w:t xml:space="preserve">a.   </w:t>
      </w:r>
      <w:r>
        <w:rPr>
          <w:i/>
        </w:rPr>
        <w:t xml:space="preserve">The standard states that if both solutionID and id attributes are present, </w:t>
      </w:r>
      <w:r>
        <w:rPr>
          <w:i/>
        </w:rPr>
        <w:t>the id attribute is used if the solutionID attribute cannot be used successfully.</w:t>
      </w:r>
    </w:p>
    <w:p w:rsidR="000A156F" w:rsidRDefault="00A9721F">
      <w:pPr>
        <w:pStyle w:val="Definition-Field2"/>
      </w:pPr>
      <w:r>
        <w:t>Word ignores the id attribute whenever this attribute is present, even if this information cannot be used successfully.</w:t>
      </w:r>
    </w:p>
    <w:p w:rsidR="000A156F" w:rsidRDefault="00A9721F">
      <w:pPr>
        <w:pStyle w:val="Definition-Field"/>
      </w:pPr>
      <w:r>
        <w:t xml:space="preserve">b.   </w:t>
      </w:r>
      <w:r>
        <w:rPr>
          <w:i/>
        </w:rPr>
        <w:t>The standard does not state what shall occur when</w:t>
      </w:r>
      <w:r>
        <w:rPr>
          <w:i/>
        </w:rPr>
        <w:t xml:space="preserve"> the solutionID attribute cannot be recognized.</w:t>
      </w:r>
    </w:p>
    <w:p w:rsidR="000A156F" w:rsidRDefault="00A9721F">
      <w:pPr>
        <w:pStyle w:val="Definition-Field2"/>
      </w:pPr>
      <w:r>
        <w:t>Word ignores the parent saveThroughXslt element if this attribute cannot be recognized.</w:t>
      </w:r>
    </w:p>
    <w:p w:rsidR="000A156F" w:rsidRDefault="00A9721F">
      <w:pPr>
        <w:pStyle w:val="Heading3"/>
      </w:pPr>
      <w:bookmarkStart w:id="856" w:name="section_80f71dda5cee4b6b8c0a199fd8a8e206"/>
      <w:bookmarkStart w:id="857" w:name="_Toc181683454"/>
      <w:r>
        <w:t>Part 1 Section 17.15.1.80, showXMLTags (Show Visual Indicators for Custom XML Markup Start/End Locations)</w:t>
      </w:r>
      <w:bookmarkEnd w:id="856"/>
      <w:bookmarkEnd w:id="857"/>
      <w:r>
        <w:fldChar w:fldCharType="begin"/>
      </w:r>
      <w:r>
        <w:instrText xml:space="preserve"> XE "showXMLTag</w:instrText>
      </w:r>
      <w:r>
        <w:instrText xml:space="preserve">s (Show Visual Indicators for Custom XML Markup Start/End Locations)" </w:instrText>
      </w:r>
      <w:r>
        <w:fldChar w:fldCharType="end"/>
      </w:r>
    </w:p>
    <w:p w:rsidR="000A156F" w:rsidRDefault="00A9721F">
      <w:pPr>
        <w:pStyle w:val="Definition-Field"/>
      </w:pPr>
      <w:r>
        <w:t xml:space="preserve">a.   </w:t>
      </w:r>
      <w:r>
        <w:rPr>
          <w:i/>
        </w:rPr>
        <w:t>The standard does not explicitly state that this element does not need to be roundtripped.</w:t>
      </w:r>
    </w:p>
    <w:p w:rsidR="000A156F" w:rsidRDefault="00A9721F">
      <w:pPr>
        <w:pStyle w:val="Definition-Field2"/>
      </w:pPr>
      <w:r>
        <w:t>Word uses, but does not roundtrip, this element.</w:t>
      </w:r>
    </w:p>
    <w:p w:rsidR="000A156F" w:rsidRDefault="00A9721F">
      <w:pPr>
        <w:pStyle w:val="Heading3"/>
      </w:pPr>
      <w:bookmarkStart w:id="858" w:name="section_c2dc42b5a40341a396fac6e15abbad03"/>
      <w:bookmarkStart w:id="859" w:name="_Toc181683455"/>
      <w:r>
        <w:t>Part 1 Section 17.15.1.81, smartTagTyp</w:t>
      </w:r>
      <w:r>
        <w:t>e (Supplementary Smart Tag Information)</w:t>
      </w:r>
      <w:bookmarkEnd w:id="858"/>
      <w:bookmarkEnd w:id="859"/>
      <w:r>
        <w:fldChar w:fldCharType="begin"/>
      </w:r>
      <w:r>
        <w:instrText xml:space="preserve"> XE "smartTagType (Supplementary Smart Tag Information)" </w:instrText>
      </w:r>
      <w:r>
        <w:fldChar w:fldCharType="end"/>
      </w:r>
    </w:p>
    <w:p w:rsidR="000A156F" w:rsidRDefault="00A9721F">
      <w:pPr>
        <w:pStyle w:val="Definition-Field"/>
      </w:pPr>
      <w:r>
        <w:t xml:space="preserve">a.   </w:t>
      </w:r>
      <w:r>
        <w:rPr>
          <w:i/>
        </w:rPr>
        <w:t>The standard does explicitly state that this element can be ignored under certain conditions.</w:t>
      </w:r>
    </w:p>
    <w:p w:rsidR="000A156F" w:rsidRDefault="00A9721F">
      <w:pPr>
        <w:pStyle w:val="Definition-Field2"/>
      </w:pPr>
      <w:r>
        <w:t>Word ignores this element if either the name or namespaceu</w:t>
      </w:r>
      <w:r>
        <w:t>ri attribute is omitted, or the attributes do not identify a smart tag contained in the document.</w:t>
      </w:r>
    </w:p>
    <w:p w:rsidR="000A156F" w:rsidRDefault="00A9721F">
      <w:pPr>
        <w:pStyle w:val="Definition-Field"/>
      </w:pPr>
      <w:r>
        <w:t xml:space="preserve">b.   </w:t>
      </w:r>
      <w:r>
        <w:rPr>
          <w:i/>
        </w:rPr>
        <w:t>The standard does not say that the url attribute can be ignored under certain conditions.</w:t>
      </w:r>
    </w:p>
    <w:p w:rsidR="000A156F" w:rsidRDefault="00A9721F">
      <w:pPr>
        <w:pStyle w:val="Definition-Field2"/>
      </w:pPr>
      <w:r>
        <w:t>Word ignores this attribute when the application already has UR</w:t>
      </w:r>
      <w:r>
        <w:t>L information for this name/namespaceuri combination.</w:t>
      </w:r>
    </w:p>
    <w:p w:rsidR="000A156F" w:rsidRDefault="00A9721F">
      <w:pPr>
        <w:pStyle w:val="Heading3"/>
      </w:pPr>
      <w:bookmarkStart w:id="860" w:name="section_4de15093b8f248faa66b08b9e11c112b"/>
      <w:bookmarkStart w:id="861" w:name="_Toc181683456"/>
      <w:r>
        <w:t>Part 1 Section 17.15.1.82, strictFirstAndLastChars (Use Strict Kinsoku Rules for Japanese Text)</w:t>
      </w:r>
      <w:bookmarkEnd w:id="860"/>
      <w:bookmarkEnd w:id="861"/>
      <w:r>
        <w:fldChar w:fldCharType="begin"/>
      </w:r>
      <w:r>
        <w:instrText xml:space="preserve"> XE "strictFirstAndLastChars (Use Strict Kinsoku Rules for Japanese Text)" </w:instrText>
      </w:r>
      <w:r>
        <w:fldChar w:fldCharType="end"/>
      </w:r>
    </w:p>
    <w:p w:rsidR="000A156F" w:rsidRDefault="00A9721F">
      <w:pPr>
        <w:pStyle w:val="Definition-Field"/>
      </w:pPr>
      <w:r>
        <w:t xml:space="preserve">a.   </w:t>
      </w:r>
      <w:r>
        <w:rPr>
          <w:i/>
        </w:rPr>
        <w:t>The standard does not st</w:t>
      </w:r>
      <w:r>
        <w:rPr>
          <w:i/>
        </w:rPr>
        <w:t>ate how to resolve conflicts between this element and the noLineBreaksBefore and noLineBreaksAfter elements when their settings conflict.</w:t>
      </w:r>
    </w:p>
    <w:p w:rsidR="000A156F" w:rsidRDefault="00A9721F">
      <w:pPr>
        <w:pStyle w:val="Definition-Field2"/>
      </w:pPr>
      <w:r>
        <w:lastRenderedPageBreak/>
        <w:t xml:space="preserve">Word overrides the settings specified by the noLineBreaksBefore and noLineBreaksAfter elements with the settings from </w:t>
      </w:r>
      <w:r>
        <w:t>this element on Japanese text.</w:t>
      </w:r>
    </w:p>
    <w:p w:rsidR="000A156F" w:rsidRDefault="00A9721F">
      <w:pPr>
        <w:pStyle w:val="Heading3"/>
      </w:pPr>
      <w:bookmarkStart w:id="862" w:name="section_6b4f3e2f281a412ca486c41b5f773b09"/>
      <w:bookmarkStart w:id="863" w:name="_Toc181683457"/>
      <w:r>
        <w:t>Part 1 Section 17.15.1.85, stylePaneFormatFilter (Suggested Filtering for List of Document Styles)</w:t>
      </w:r>
      <w:bookmarkEnd w:id="862"/>
      <w:bookmarkEnd w:id="863"/>
      <w:r>
        <w:fldChar w:fldCharType="begin"/>
      </w:r>
      <w:r>
        <w:instrText xml:space="preserve"> XE "stylePaneFormatFilter (Suggested Filtering for List of Document Styles)" </w:instrText>
      </w:r>
      <w:r>
        <w:fldChar w:fldCharType="end"/>
      </w:r>
    </w:p>
    <w:p w:rsidR="000A156F" w:rsidRDefault="00A9721F">
      <w:pPr>
        <w:pStyle w:val="Definition-Field"/>
      </w:pPr>
      <w:r>
        <w:t xml:space="preserve">a.   </w:t>
      </w:r>
      <w:r>
        <w:rPr>
          <w:i/>
        </w:rPr>
        <w:t>The standard states that the default valu</w:t>
      </w:r>
      <w:r>
        <w:rPr>
          <w:i/>
        </w:rPr>
        <w:t>e of this element is to have all settings defined turned off.</w:t>
      </w:r>
    </w:p>
    <w:p w:rsidR="000A156F" w:rsidRDefault="00A9721F">
      <w:pPr>
        <w:pStyle w:val="Definition-Field2"/>
      </w:pPr>
      <w:r>
        <w:t>Word has the following settings turned on: visibleStyles, clearFormatting, headingStyles, and latentStyles.</w:t>
      </w:r>
    </w:p>
    <w:p w:rsidR="000A156F" w:rsidRDefault="00A9721F">
      <w:pPr>
        <w:pStyle w:val="Definition-Field"/>
      </w:pPr>
      <w:r>
        <w:t xml:space="preserve">b.   </w:t>
      </w:r>
      <w:r>
        <w:rPr>
          <w:i/>
        </w:rPr>
        <w:t>The standard states the meaning for each setting.</w:t>
      </w:r>
    </w:p>
    <w:p w:rsidR="000A156F" w:rsidRDefault="00A9721F">
      <w:pPr>
        <w:pStyle w:val="Definition-Field2"/>
      </w:pPr>
      <w:r>
        <w:t>Word does not support numbering</w:t>
      </w:r>
      <w:r>
        <w:t>Styles, tableStyles, or directformattingOnTables.</w:t>
      </w:r>
    </w:p>
    <w:p w:rsidR="000A156F" w:rsidRDefault="00A9721F">
      <w:pPr>
        <w:pStyle w:val="Definition-Field"/>
      </w:pPr>
      <w:r>
        <w:t xml:space="preserve">c.   </w:t>
      </w:r>
      <w:r>
        <w:rPr>
          <w:i/>
        </w:rPr>
        <w:t>The standard specifies a set of attributes on this element.</w:t>
      </w:r>
    </w:p>
    <w:p w:rsidR="000A156F" w:rsidRDefault="00A9721F">
      <w:pPr>
        <w:pStyle w:val="Definition-Field2"/>
      </w:pPr>
      <w:r>
        <w:t>Word reads the val attribute specified in "</w:t>
      </w:r>
      <w:hyperlink r:id="rId108">
        <w:r>
          <w:rPr>
            <w:rStyle w:val="Hyperlink"/>
          </w:rPr>
          <w:t>[ISO/IEC-29500-4]</w:t>
        </w:r>
      </w:hyperlink>
      <w:r>
        <w:t xml:space="preserve"> §14.8.2.4; Add</w:t>
      </w:r>
      <w:r>
        <w:t>itional attribute for stylePaneFormatFilter element (Part 1, §17.15.1.85)" if, and only if, none of the attributes specified in this subsection are present.</w:t>
      </w:r>
    </w:p>
    <w:p w:rsidR="000A156F" w:rsidRDefault="00A9721F">
      <w:pPr>
        <w:pStyle w:val="Heading3"/>
      </w:pPr>
      <w:bookmarkStart w:id="864" w:name="section_31d623a4868e43a3abca577849f3ca54"/>
      <w:bookmarkStart w:id="865" w:name="_Toc181683458"/>
      <w:r>
        <w:t>Part 1 Section 17.15.1.87, summaryLength (Percentage of Document to Use When Generating Summary)</w:t>
      </w:r>
      <w:bookmarkEnd w:id="864"/>
      <w:bookmarkEnd w:id="865"/>
      <w:r>
        <w:fldChar w:fldCharType="begin"/>
      </w:r>
      <w:r>
        <w:instrText xml:space="preserve"> XE</w:instrText>
      </w:r>
      <w:r>
        <w:instrText xml:space="preserve"> "summaryLength (Percentage of Document to Use When Generating Summary)" </w:instrText>
      </w:r>
      <w:r>
        <w:fldChar w:fldCharType="end"/>
      </w:r>
    </w:p>
    <w:p w:rsidR="000A156F" w:rsidRDefault="00A9721F">
      <w:pPr>
        <w:pStyle w:val="Definition-Field"/>
      </w:pPr>
      <w:r>
        <w:t xml:space="preserve">a.   </w:t>
      </w:r>
      <w:r>
        <w:rPr>
          <w:i/>
        </w:rPr>
        <w:t>The standard does not explicitly state that the summaryLength element can be removed when a document is saved.</w:t>
      </w:r>
    </w:p>
    <w:p w:rsidR="000A156F" w:rsidRDefault="00A9721F">
      <w:pPr>
        <w:pStyle w:val="Definition-Field2"/>
      </w:pPr>
      <w:r>
        <w:t xml:space="preserve">Word does not round trip this setting unless certain operations </w:t>
      </w:r>
      <w:r>
        <w:t>related to automatic summaries are performed while the document is open.</w:t>
      </w:r>
    </w:p>
    <w:p w:rsidR="000A156F" w:rsidRDefault="00A9721F">
      <w:pPr>
        <w:pStyle w:val="Definition-Field"/>
      </w:pPr>
      <w:r>
        <w:t xml:space="preserve">b.   </w:t>
      </w:r>
      <w:r>
        <w:rPr>
          <w:i/>
        </w:rPr>
        <w:t>The standard states that the values of the val attribute are defined by the XML Schema integer datatype.</w:t>
      </w:r>
    </w:p>
    <w:p w:rsidR="000A156F" w:rsidRDefault="00A9721F">
      <w:pPr>
        <w:pStyle w:val="Definition-Field2"/>
      </w:pPr>
      <w:r>
        <w:t>Word restricts the value of this attribute to be at least 0 and at most 1</w:t>
      </w:r>
      <w:r>
        <w:t>00.</w:t>
      </w:r>
    </w:p>
    <w:p w:rsidR="000A156F" w:rsidRDefault="00A9721F">
      <w:pPr>
        <w:pStyle w:val="Heading3"/>
      </w:pPr>
      <w:bookmarkStart w:id="866" w:name="section_490387c4cef043bd9a2b526cc3cae961"/>
      <w:bookmarkStart w:id="867" w:name="_Toc181683459"/>
      <w:r>
        <w:t>Part 1 Section 17.15.1.88, themeFontLang (Theme Font Languages)</w:t>
      </w:r>
      <w:bookmarkEnd w:id="866"/>
      <w:bookmarkEnd w:id="867"/>
      <w:r>
        <w:fldChar w:fldCharType="begin"/>
      </w:r>
      <w:r>
        <w:instrText xml:space="preserve"> XE "themeFontLang (Theme Font Languages)"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0c5a8d11e3e43dca5b0f324ea36bac1">
        <w:r>
          <w:rPr>
            <w:rStyle w:val="Hyperlink"/>
          </w:rPr>
          <w:t>lang, §17.3.2.20(a)</w:t>
        </w:r>
      </w:hyperlink>
      <w:r>
        <w:rPr>
          <w:i/>
        </w:rPr>
        <w:t>.</w:t>
      </w:r>
    </w:p>
    <w:p w:rsidR="000A156F" w:rsidRDefault="00A9721F">
      <w:pPr>
        <w:pStyle w:val="Definition-Field"/>
      </w:pPr>
      <w:r>
        <w:t xml:space="preserve">a.   </w:t>
      </w:r>
      <w:r>
        <w:rPr>
          <w:i/>
        </w:rPr>
        <w:t>The standard states that the default values of languages of the theme fonts are specified by the cs, ea, and latin elements in the Theme part.</w:t>
      </w:r>
    </w:p>
    <w:p w:rsidR="000A156F" w:rsidRDefault="00A9721F">
      <w:pPr>
        <w:pStyle w:val="Definition-Field2"/>
      </w:pPr>
      <w:r>
        <w:t xml:space="preserve">Word calculates the default languages of the theme fonts based on the Office </w:t>
      </w:r>
      <w:r>
        <w:t>install language and the system installed keyboards.</w:t>
      </w:r>
    </w:p>
    <w:p w:rsidR="000A156F" w:rsidRDefault="00A9721F">
      <w:pPr>
        <w:pStyle w:val="Heading3"/>
      </w:pPr>
      <w:bookmarkStart w:id="868" w:name="section_d8bc14c05eeb49c19ba78edf4c33976f"/>
      <w:bookmarkStart w:id="869" w:name="_Toc181683460"/>
      <w:r>
        <w:t>Part 1 Section 17.15.1.90, updateFields (Automatically Recalculate Fields on Open)</w:t>
      </w:r>
      <w:bookmarkEnd w:id="868"/>
      <w:bookmarkEnd w:id="869"/>
      <w:r>
        <w:fldChar w:fldCharType="begin"/>
      </w:r>
      <w:r>
        <w:instrText xml:space="preserve"> XE "updateFields (Automatically Recalculate Fields on Open)" </w:instrText>
      </w:r>
      <w:r>
        <w:fldChar w:fldCharType="end"/>
      </w:r>
    </w:p>
    <w:p w:rsidR="000A156F" w:rsidRDefault="00A9721F">
      <w:pPr>
        <w:pStyle w:val="Definition-Field"/>
      </w:pPr>
      <w:r>
        <w:t xml:space="preserve">a.   </w:t>
      </w:r>
      <w:r>
        <w:rPr>
          <w:i/>
        </w:rPr>
        <w:t xml:space="preserve">The standard makes no explicit mention of the </w:t>
      </w:r>
      <w:r>
        <w:rPr>
          <w:i/>
        </w:rPr>
        <w:t>roundtripping behavior of the updateFields element.</w:t>
      </w:r>
    </w:p>
    <w:p w:rsidR="000A156F" w:rsidRDefault="00A9721F">
      <w:pPr>
        <w:pStyle w:val="Definition-Field2"/>
      </w:pPr>
      <w:r>
        <w:t>Word does not roundtrip the updateFields element in all circumstances.</w:t>
      </w:r>
    </w:p>
    <w:p w:rsidR="000A156F" w:rsidRDefault="00A9721F">
      <w:pPr>
        <w:pStyle w:val="Heading3"/>
      </w:pPr>
      <w:bookmarkStart w:id="870" w:name="section_9a6fb0ecc0454d0bb29c8f94edddef13"/>
      <w:bookmarkStart w:id="871" w:name="_Toc181683461"/>
      <w:r>
        <w:lastRenderedPageBreak/>
        <w:t>Part 1 Section 17.15.1.92, view (Document View Setting)</w:t>
      </w:r>
      <w:bookmarkEnd w:id="870"/>
      <w:bookmarkEnd w:id="871"/>
      <w:r>
        <w:fldChar w:fldCharType="begin"/>
      </w:r>
      <w:r>
        <w:instrText xml:space="preserve"> XE "view (Document View Setting)" </w:instrText>
      </w:r>
      <w:r>
        <w:fldChar w:fldCharType="end"/>
      </w:r>
    </w:p>
    <w:p w:rsidR="000A156F" w:rsidRDefault="00A9721F">
      <w:pPr>
        <w:pStyle w:val="Definition-Field"/>
      </w:pPr>
      <w:r>
        <w:t xml:space="preserve">a.   </w:t>
      </w:r>
      <w:r>
        <w:rPr>
          <w:i/>
        </w:rPr>
        <w:t>The standard states that the val at</w:t>
      </w:r>
      <w:r>
        <w:rPr>
          <w:i/>
        </w:rPr>
        <w:t>tribute value specifies the view which shall be used to render the contents of a WordprocessingML document.</w:t>
      </w:r>
    </w:p>
    <w:p w:rsidR="000A156F" w:rsidRDefault="00A9721F">
      <w:pPr>
        <w:pStyle w:val="Definition-Field2"/>
      </w:pPr>
      <w:r>
        <w:t>Under certain conditions, Word treats a value of normal as unsupported when the document is loaded and reverted to a value of print.</w:t>
      </w:r>
    </w:p>
    <w:p w:rsidR="000A156F" w:rsidRDefault="00A9721F">
      <w:pPr>
        <w:pStyle w:val="Heading3"/>
      </w:pPr>
      <w:bookmarkStart w:id="872" w:name="section_3a54031ff56e49cf8701a75401f3130d"/>
      <w:bookmarkStart w:id="873" w:name="_Toc181683462"/>
      <w:r>
        <w:t xml:space="preserve">Part 1 Section </w:t>
      </w:r>
      <w:r>
        <w:t>17.15.1.93, writeProtection (Write Protection)</w:t>
      </w:r>
      <w:bookmarkEnd w:id="872"/>
      <w:bookmarkEnd w:id="873"/>
      <w:r>
        <w:fldChar w:fldCharType="begin"/>
      </w:r>
      <w:r>
        <w:instrText xml:space="preserve"> XE "writeProtection (Write Protection)"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12d2773e2d045bfb1c2b8f0548e156d">
        <w:r>
          <w:rPr>
            <w:rStyle w:val="Hyperlink"/>
          </w:rPr>
          <w:t>documentProte</w:t>
        </w:r>
        <w:r>
          <w:rPr>
            <w:rStyle w:val="Hyperlink"/>
          </w:rPr>
          <w:t>ction, §17.15.1.29(a, b,d, e)</w:t>
        </w:r>
      </w:hyperlink>
      <w:r>
        <w:rPr>
          <w:i/>
        </w:rPr>
        <w:t>.</w:t>
      </w:r>
    </w:p>
    <w:p w:rsidR="000A156F" w:rsidRDefault="00A9721F">
      <w:pPr>
        <w:pStyle w:val="Definition-Field"/>
      </w:pPr>
      <w:r>
        <w:t xml:space="preserve">a.   </w:t>
      </w:r>
      <w:r>
        <w:rPr>
          <w:i/>
        </w:rPr>
        <w:t>The standard states that this setting is keyed off of a non-existent password attribute.</w:t>
      </w:r>
    </w:p>
    <w:p w:rsidR="000A156F" w:rsidRDefault="00A9721F">
      <w:pPr>
        <w:pStyle w:val="Definition-Field2"/>
      </w:pPr>
      <w:r>
        <w:t>Word uses the AG_Password attribute group to determine whether to prompt for a password.</w:t>
      </w:r>
    </w:p>
    <w:p w:rsidR="000A156F" w:rsidRDefault="00A9721F">
      <w:pPr>
        <w:pStyle w:val="Definition-Field"/>
      </w:pPr>
      <w:r>
        <w:t xml:space="preserve">b.   </w:t>
      </w:r>
      <w:r>
        <w:rPr>
          <w:i/>
        </w:rPr>
        <w:t>The standard states that this setting</w:t>
      </w:r>
      <w:r>
        <w:rPr>
          <w:i/>
        </w:rPr>
        <w:t xml:space="preserve"> uses a specific set of attributes, specified by the AG_Password attribute group, to store the password hash.</w:t>
      </w:r>
    </w:p>
    <w:p w:rsidR="000A156F" w:rsidRDefault="00A9721F">
      <w:r>
        <w:t>In Office, when the HKCU/Software/Microsoft/Office/&lt;VERSION&gt;/Common/Security/UseIsoPasswordVerifier registry key is set to 1, the XML for file sha</w:t>
      </w:r>
      <w:r>
        <w:t>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algorithm Name</w:t>
            </w:r>
          </w:p>
        </w:tc>
        <w:tc>
          <w:tcPr>
            <w:tcW w:w="0" w:type="auto"/>
            <w:vAlign w:val="center"/>
          </w:tcPr>
          <w:p w:rsidR="000A156F" w:rsidRDefault="00A9721F">
            <w:pPr>
              <w:pStyle w:val="TableBodyText"/>
            </w:pPr>
            <w:r>
              <w:t>The name of the cryptographic hashing algorithm used to generate the hash value. Only those algorithms that are installed in the operating system’</w:t>
            </w:r>
            <w:r>
              <w:t>s cryptographic subsystem can be utilized by Office.</w:t>
            </w:r>
          </w:p>
          <w:p w:rsidR="000A156F" w:rsidRDefault="000A156F">
            <w:pPr>
              <w:pStyle w:val="TableBodyText"/>
            </w:pPr>
          </w:p>
          <w:p w:rsidR="000A156F" w:rsidRDefault="00A9721F">
            <w:pPr>
              <w:pStyle w:val="TableBodyText"/>
            </w:pPr>
            <w:r>
              <w:t>The following hash algorithm names are reserved:</w:t>
            </w:r>
          </w:p>
          <w:p w:rsidR="000A156F" w:rsidRDefault="000A156F">
            <w:pPr>
              <w:pStyle w:val="TableBodyText"/>
            </w:pPr>
          </w:p>
          <w:p w:rsidR="000A156F" w:rsidRDefault="00A9721F">
            <w:pPr>
              <w:pStyle w:val="TableBodyText"/>
            </w:pPr>
            <w:r>
              <w:rPr>
                <w:b/>
                <w:i/>
              </w:rPr>
              <w:t xml:space="preserve">MD2 </w:t>
            </w:r>
          </w:p>
          <w:p w:rsidR="000A156F" w:rsidRDefault="00A9721F">
            <w:pPr>
              <w:pStyle w:val="TableBodyText"/>
            </w:pPr>
            <w:r>
              <w:rPr>
                <w:i/>
              </w:rPr>
              <w:t>Specifies that the MD2 algorithm, as defined by RFC 1319, shall be used.</w:t>
            </w:r>
          </w:p>
          <w:p w:rsidR="000A156F" w:rsidRDefault="000A156F">
            <w:pPr>
              <w:pStyle w:val="TableBodyText"/>
            </w:pPr>
          </w:p>
          <w:p w:rsidR="000A156F" w:rsidRDefault="00A9721F">
            <w:pPr>
              <w:pStyle w:val="TableBodyText"/>
            </w:pPr>
            <w:r>
              <w:rPr>
                <w:i/>
              </w:rPr>
              <w:t xml:space="preserve">[Note: It is recommended that applications should avoid using this </w:t>
            </w:r>
            <w:r>
              <w:rPr>
                <w:i/>
              </w:rPr>
              <w:t>algorithm to store new hash values, because of publicly known breaks. end note]</w:t>
            </w:r>
          </w:p>
          <w:p w:rsidR="000A156F" w:rsidRDefault="00A9721F">
            <w:pPr>
              <w:pStyle w:val="TableBodyText"/>
            </w:pPr>
            <w:r>
              <w:rPr>
                <w:b/>
                <w:i/>
              </w:rPr>
              <w:t xml:space="preserve">MD4 </w:t>
            </w:r>
          </w:p>
          <w:p w:rsidR="000A156F" w:rsidRDefault="00A9721F">
            <w:pPr>
              <w:pStyle w:val="TableBodyText"/>
            </w:pPr>
            <w:r>
              <w:rPr>
                <w:i/>
              </w:rPr>
              <w:t>Specifies that the MD4 algorithm, as defined by RFC 1320,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w:t>
            </w:r>
            <w:r>
              <w:rPr>
                <w:i/>
              </w:rPr>
              <w:t>lues, because of publicly known breaks. end note]</w:t>
            </w:r>
          </w:p>
          <w:p w:rsidR="000A156F" w:rsidRDefault="00A9721F">
            <w:pPr>
              <w:pStyle w:val="TableBodyText"/>
            </w:pPr>
            <w:r>
              <w:rPr>
                <w:b/>
                <w:i/>
              </w:rPr>
              <w:t>MD5</w:t>
            </w:r>
          </w:p>
          <w:p w:rsidR="000A156F" w:rsidRDefault="00A9721F">
            <w:pPr>
              <w:pStyle w:val="TableBodyText"/>
            </w:pPr>
            <w:r>
              <w:rPr>
                <w:i/>
              </w:rPr>
              <w:t>Specifies that the MD5 algorithm, as defined by RFC 1321,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w:t>
            </w:r>
            <w:r>
              <w:rPr>
                <w:i/>
              </w:rPr>
              <w:t xml:space="preserve"> breaks. end note]</w:t>
            </w:r>
          </w:p>
          <w:p w:rsidR="000A156F" w:rsidRDefault="00A9721F">
            <w:pPr>
              <w:pStyle w:val="TableBodyText"/>
            </w:pPr>
            <w:r>
              <w:rPr>
                <w:b/>
                <w:i/>
              </w:rPr>
              <w:t>RIPEMD-128</w:t>
            </w:r>
          </w:p>
          <w:p w:rsidR="000A156F" w:rsidRDefault="00A9721F">
            <w:pPr>
              <w:pStyle w:val="TableBodyText"/>
            </w:pPr>
            <w:r>
              <w:rPr>
                <w:i/>
              </w:rPr>
              <w:t>Specifies that the RIPEMD-128 algorithm, as defined by ISO/IEC 10118-3:2004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w:t>
            </w:r>
            <w:r>
              <w:rPr>
                <w:i/>
              </w:rPr>
              <w:t>s. end note]</w:t>
            </w:r>
          </w:p>
          <w:p w:rsidR="000A156F" w:rsidRDefault="00A9721F">
            <w:pPr>
              <w:pStyle w:val="TableBodyText"/>
            </w:pPr>
            <w:r>
              <w:rPr>
                <w:b/>
                <w:i/>
              </w:rPr>
              <w:t>RIPEMD-160</w:t>
            </w:r>
          </w:p>
          <w:p w:rsidR="000A156F" w:rsidRDefault="00A9721F">
            <w:pPr>
              <w:pStyle w:val="TableBodyText"/>
            </w:pPr>
            <w:r>
              <w:rPr>
                <w:i/>
              </w:rPr>
              <w:t>Specifies that the RIPEMD-160 algorithm, as defined by ISO/IEC 10118-3:2004, shall be used.</w:t>
            </w:r>
          </w:p>
          <w:p w:rsidR="000A156F" w:rsidRDefault="00A9721F">
            <w:pPr>
              <w:pStyle w:val="TableBodyText"/>
            </w:pPr>
            <w:r>
              <w:rPr>
                <w:b/>
                <w:i/>
              </w:rPr>
              <w:lastRenderedPageBreak/>
              <w:t>SHA-1</w:t>
            </w:r>
          </w:p>
          <w:p w:rsidR="000A156F" w:rsidRDefault="00A9721F">
            <w:pPr>
              <w:pStyle w:val="TableBodyText"/>
            </w:pPr>
            <w:r>
              <w:rPr>
                <w:i/>
              </w:rPr>
              <w:t>Specifies that the SHA-1 algorithm, as defined by ISO/IEC 10118-3:2004, shall be used.</w:t>
            </w:r>
          </w:p>
          <w:p w:rsidR="000A156F" w:rsidRDefault="00A9721F">
            <w:pPr>
              <w:pStyle w:val="TableBodyText"/>
            </w:pPr>
            <w:r>
              <w:rPr>
                <w:b/>
                <w:i/>
              </w:rPr>
              <w:t>SHA-256</w:t>
            </w:r>
          </w:p>
          <w:p w:rsidR="000A156F" w:rsidRDefault="00A9721F">
            <w:pPr>
              <w:pStyle w:val="TableBodyText"/>
            </w:pPr>
            <w:r>
              <w:rPr>
                <w:i/>
              </w:rPr>
              <w:t>Specifies that the SHA-256 algorithm, a</w:t>
            </w:r>
            <w:r>
              <w:rPr>
                <w:i/>
              </w:rPr>
              <w:t>s defined by ISO/IEC 10118-3:2004, shall be used.</w:t>
            </w:r>
          </w:p>
          <w:p w:rsidR="000A156F" w:rsidRDefault="00A9721F">
            <w:pPr>
              <w:pStyle w:val="TableBodyText"/>
            </w:pPr>
            <w:r>
              <w:rPr>
                <w:b/>
                <w:i/>
              </w:rPr>
              <w:t>SHA-384</w:t>
            </w:r>
          </w:p>
          <w:p w:rsidR="000A156F" w:rsidRDefault="00A9721F">
            <w:pPr>
              <w:pStyle w:val="TableBodyText"/>
            </w:pPr>
            <w:r>
              <w:rPr>
                <w:i/>
              </w:rPr>
              <w:t>Specifies that the SHA-384 algorithm, as defined by ISO/IEC 10118-3:2004, shall be used.</w:t>
            </w:r>
          </w:p>
          <w:p w:rsidR="000A156F" w:rsidRDefault="00A9721F">
            <w:pPr>
              <w:pStyle w:val="TableBodyText"/>
            </w:pPr>
            <w:r>
              <w:rPr>
                <w:b/>
                <w:i/>
              </w:rPr>
              <w:t>SHA-512</w:t>
            </w:r>
          </w:p>
          <w:p w:rsidR="000A156F" w:rsidRDefault="00A9721F">
            <w:pPr>
              <w:pStyle w:val="TableBodyText"/>
            </w:pPr>
            <w:r>
              <w:rPr>
                <w:i/>
              </w:rPr>
              <w:t>Specifies that the SHA-512 algorithm, as defined by ISO/IEC 10118-3:2004, shall be used.</w:t>
            </w:r>
          </w:p>
          <w:p w:rsidR="000A156F" w:rsidRDefault="00A9721F">
            <w:pPr>
              <w:pStyle w:val="TableBodyText"/>
            </w:pPr>
            <w:r>
              <w:rPr>
                <w:b/>
                <w:i/>
              </w:rPr>
              <w:t>WHIRLPOOL</w:t>
            </w:r>
          </w:p>
          <w:p w:rsidR="000A156F" w:rsidRDefault="00A9721F">
            <w:pPr>
              <w:pStyle w:val="TableBodyText"/>
            </w:pPr>
            <w:r>
              <w:rPr>
                <w:i/>
              </w:rPr>
              <w:t>Specifies that the WHIRLPOOL algorithm, as defined by ISO/IEC 10118-3:2004, shall be used.</w:t>
            </w:r>
          </w:p>
          <w:p w:rsidR="000A156F" w:rsidRDefault="000A156F">
            <w:pPr>
              <w:pStyle w:val="TableBodyText"/>
            </w:pP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hash Value</w:t>
            </w:r>
          </w:p>
        </w:tc>
        <w:tc>
          <w:tcPr>
            <w:tcW w:w="0" w:type="auto"/>
            <w:vAlign w:val="center"/>
          </w:tcPr>
          <w:p w:rsidR="000A156F" w:rsidRDefault="00A9721F">
            <w:pPr>
              <w:pStyle w:val="TableBodyText"/>
            </w:pPr>
            <w:r>
              <w:t>Specifies the hash value for the password required to edit this worksheet. This value shall be compared with the resulting hash value after hashing the</w:t>
            </w:r>
            <w:r>
              <w:t xml:space="preserve"> user-supplied password using the algorithm specified by the preceding attributes and parent XML element. If the two values match, the protection shall no longer be enforced.</w:t>
            </w:r>
          </w:p>
          <w:p w:rsidR="000A156F" w:rsidRDefault="000A156F">
            <w:pPr>
              <w:pStyle w:val="TableBodyText"/>
            </w:pPr>
          </w:p>
          <w:p w:rsidR="000A156F" w:rsidRDefault="00A9721F">
            <w:pPr>
              <w:pStyle w:val="TableBodyText"/>
            </w:pPr>
            <w:r>
              <w:t>If this value is omitted, then the reservationPassword attribute shall contain t</w:t>
            </w:r>
            <w:r>
              <w:t>he password hash for the workbook.</w:t>
            </w:r>
          </w:p>
          <w:p w:rsidR="000A156F" w:rsidRDefault="000A156F">
            <w:pPr>
              <w:pStyle w:val="TableBodyText"/>
            </w:pPr>
          </w:p>
          <w:p w:rsidR="000A156F" w:rsidRDefault="00A9721F">
            <w:pPr>
              <w:pStyle w:val="TableBodyText"/>
            </w:pPr>
            <w:r>
              <w:t>[</w:t>
            </w:r>
            <w:r>
              <w:rPr>
                <w:i/>
              </w:rPr>
              <w:t>Example</w:t>
            </w:r>
            <w:r>
              <w:t>: Consider an Office Open XML document with the following information stored in one of its protection elements:</w:t>
            </w:r>
          </w:p>
          <w:p w:rsidR="000A156F" w:rsidRDefault="000A156F">
            <w:pPr>
              <w:pStyle w:val="TableBodyText"/>
            </w:pPr>
          </w:p>
          <w:p w:rsidR="000A156F" w:rsidRDefault="00A9721F">
            <w:pPr>
              <w:pStyle w:val="TableBodyText"/>
            </w:pPr>
            <w:r>
              <w:t>&lt;… algorithmName="SHA-1" hashValue="9oN7nWkCAyEZib1RomSJTjmPpCY=" /&gt;</w:t>
            </w:r>
          </w:p>
          <w:p w:rsidR="000A156F" w:rsidRDefault="000A156F">
            <w:pPr>
              <w:pStyle w:val="TableBodyText"/>
            </w:pPr>
          </w:p>
          <w:p w:rsidR="000A156F" w:rsidRDefault="00A9721F">
            <w:pPr>
              <w:pStyle w:val="TableBodyText"/>
            </w:pPr>
            <w:r>
              <w:t>The hashValue attribute value</w:t>
            </w:r>
            <w:r>
              <w:t xml:space="preserve"> of 9oN7nWkCAyEZib1RomSJTjmPpCY= specifies that the user-supplied password must be hashed using the pre-processing defined by the parent element (if any) followed by the hashing algorithm (specified via the algorithmName attribute value) and that the resul</w:t>
            </w:r>
            <w:r>
              <w:t xml:space="preserve">ting hash value must be match for the protection to be disabled. </w:t>
            </w:r>
          </w:p>
          <w:p w:rsidR="000A156F" w:rsidRDefault="00A9721F">
            <w:pPr>
              <w:pStyle w:val="TableBodyText"/>
            </w:pPr>
            <w:r>
              <w:rPr>
                <w:i/>
              </w:rPr>
              <w:t>end example</w:t>
            </w:r>
            <w:r>
              <w:t>]</w:t>
            </w:r>
          </w:p>
          <w:p w:rsidR="000A156F" w:rsidRDefault="000A156F">
            <w:pPr>
              <w:pStyle w:val="TableBodyText"/>
            </w:pPr>
          </w:p>
          <w:p w:rsidR="000A156F" w:rsidRDefault="00A9721F">
            <w:pPr>
              <w:pStyle w:val="TableBodyText"/>
            </w:pPr>
            <w:r>
              <w:t>The possible values for this attribute are defined by the W3C XML Schema base64Binary datatype.</w:t>
            </w:r>
          </w:p>
        </w:tc>
      </w:tr>
      <w:tr w:rsidR="000A156F" w:rsidTr="000A156F">
        <w:tc>
          <w:tcPr>
            <w:tcW w:w="0" w:type="auto"/>
            <w:vAlign w:val="center"/>
          </w:tcPr>
          <w:p w:rsidR="000A156F" w:rsidRDefault="00A9721F">
            <w:pPr>
              <w:pStyle w:val="TableBodyText"/>
            </w:pPr>
            <w:r>
              <w:rPr>
                <w:b/>
              </w:rPr>
              <w:t>saltValue</w:t>
            </w:r>
          </w:p>
        </w:tc>
        <w:tc>
          <w:tcPr>
            <w:tcW w:w="0" w:type="auto"/>
            <w:vAlign w:val="center"/>
          </w:tcPr>
          <w:p w:rsidR="000A156F" w:rsidRDefault="00A9721F">
            <w:pPr>
              <w:pStyle w:val="TableBodyText"/>
            </w:pPr>
            <w:r>
              <w:t>Specifies the random bytes that are pre-pended to the user-supplied p</w:t>
            </w:r>
            <w:r>
              <w:t>assword before it was hashed by the hashing algorithm.</w:t>
            </w:r>
          </w:p>
        </w:tc>
      </w:tr>
      <w:tr w:rsidR="000A156F" w:rsidTr="000A156F">
        <w:tc>
          <w:tcPr>
            <w:tcW w:w="0" w:type="auto"/>
            <w:vAlign w:val="center"/>
          </w:tcPr>
          <w:p w:rsidR="000A156F" w:rsidRDefault="00A9721F">
            <w:pPr>
              <w:pStyle w:val="TableBodyText"/>
            </w:pPr>
            <w:r>
              <w:rPr>
                <w:b/>
              </w:rPr>
              <w:t>spinCount</w:t>
            </w:r>
          </w:p>
        </w:tc>
        <w:tc>
          <w:tcPr>
            <w:tcW w:w="0" w:type="auto"/>
            <w:vAlign w:val="center"/>
          </w:tcPr>
          <w:p w:rsidR="000A156F" w:rsidRDefault="00A9721F">
            <w:pPr>
              <w:pStyle w:val="TableBodyText"/>
            </w:pPr>
            <w:r>
              <w:t>Specifies the number of times the hashing function shall be iteratively run (using each iteration's result as the input for the next iteration).</w:t>
            </w:r>
          </w:p>
        </w:tc>
      </w:tr>
    </w:tbl>
    <w:p w:rsidR="000A156F" w:rsidRDefault="000A156F"/>
    <w:p w:rsidR="000A156F" w:rsidRDefault="00A9721F">
      <w:r>
        <w:t>[</w:t>
      </w:r>
      <w:r>
        <w:rPr>
          <w:i/>
        </w:rPr>
        <w:t>Example</w:t>
      </w:r>
      <w:r>
        <w:t xml:space="preserve">: </w:t>
      </w:r>
    </w:p>
    <w:p w:rsidR="000A156F" w:rsidRDefault="00A9721F">
      <w:r>
        <w:t xml:space="preserve">Consider an Office Open XML </w:t>
      </w:r>
      <w:r>
        <w:t>document with the following information stored in one of its protection elements:</w:t>
      </w:r>
    </w:p>
    <w:p w:rsidR="000A156F" w:rsidRDefault="00A9721F">
      <w:r>
        <w:t>&lt; … algorithmName="SHA-1" hashValue="9oN7nWkCAyEZib1RomSJTjmPpCY=" /&gt;</w:t>
      </w:r>
    </w:p>
    <w:p w:rsidR="000A156F" w:rsidRDefault="00A9721F">
      <w:r>
        <w:t>The algorithmName attribute value of SHA-1 specifies that the SHA-1 hashing algorithm must be used to ge</w:t>
      </w:r>
      <w:r>
        <w:t>nerate a hash from the user-defined password.</w:t>
      </w:r>
    </w:p>
    <w:p w:rsidR="000A156F" w:rsidRDefault="00A9721F">
      <w:r>
        <w:rPr>
          <w:i/>
        </w:rPr>
        <w:t>end example</w:t>
      </w:r>
      <w:r>
        <w:t>]</w:t>
      </w:r>
    </w:p>
    <w:p w:rsidR="000A156F" w:rsidRDefault="00A9721F">
      <w:pPr>
        <w:pStyle w:val="Definition-Field"/>
      </w:pPr>
      <w:r>
        <w:t xml:space="preserve">c.   </w:t>
      </w:r>
      <w:r>
        <w:rPr>
          <w:i/>
        </w:rPr>
        <w:t>The standard states that all attributes within AG_Password are optional</w:t>
      </w:r>
    </w:p>
    <w:p w:rsidR="000A156F" w:rsidRDefault="00A9721F">
      <w:pPr>
        <w:pStyle w:val="Definition-Field2"/>
      </w:pPr>
      <w:r>
        <w:lastRenderedPageBreak/>
        <w:t>If any attribute specified by AG_Password is present, Word will require these attributes to be present: algorithmName, h</w:t>
      </w:r>
      <w:r>
        <w:t>ashValue, spinCount. Otherwise, Word will not open the file.</w:t>
      </w:r>
    </w:p>
    <w:p w:rsidR="000A156F" w:rsidRDefault="00A9721F">
      <w:pPr>
        <w:pStyle w:val="Heading3"/>
      </w:pPr>
      <w:bookmarkStart w:id="874" w:name="section_73d8d8a211eb4c28a37b6aef7041b24c"/>
      <w:bookmarkStart w:id="875" w:name="_Toc181683463"/>
      <w:r>
        <w:t>Part 1 Section 17.15.1.94, zoom (Magnification Setting)</w:t>
      </w:r>
      <w:bookmarkEnd w:id="874"/>
      <w:bookmarkEnd w:id="875"/>
      <w:r>
        <w:fldChar w:fldCharType="begin"/>
      </w:r>
      <w:r>
        <w:instrText xml:space="preserve"> XE "zoom (Magnification Setting)" </w:instrText>
      </w:r>
      <w:r>
        <w:fldChar w:fldCharType="end"/>
      </w:r>
    </w:p>
    <w:p w:rsidR="000A156F" w:rsidRDefault="00A9721F">
      <w:pPr>
        <w:pStyle w:val="Definition-Field"/>
      </w:pPr>
      <w:r>
        <w:t xml:space="preserve">a.   </w:t>
      </w:r>
      <w:r>
        <w:rPr>
          <w:i/>
        </w:rPr>
        <w:t>The standard states that the percent attribute is required.</w:t>
      </w:r>
    </w:p>
    <w:p w:rsidR="000A156F" w:rsidRDefault="00A9721F">
      <w:pPr>
        <w:pStyle w:val="Definition-Field2"/>
      </w:pPr>
      <w:r>
        <w:t>Word does not always require this att</w:t>
      </w:r>
      <w:r>
        <w:t>ribute.</w:t>
      </w:r>
    </w:p>
    <w:p w:rsidR="000A156F" w:rsidRDefault="00A9721F">
      <w:pPr>
        <w:pStyle w:val="Definition-Field"/>
      </w:pPr>
      <w:r>
        <w:t xml:space="preserve">b.   </w:t>
      </w:r>
      <w:r>
        <w:rPr>
          <w:i/>
        </w:rPr>
        <w:t>The standard specifies that a percent attribute value of less than the minimum zoom level shall result in display of the document using the application's minimum zoom level.</w:t>
      </w:r>
    </w:p>
    <w:p w:rsidR="000A156F" w:rsidRDefault="00A9721F">
      <w:pPr>
        <w:pStyle w:val="Definition-Field2"/>
      </w:pPr>
      <w:r>
        <w:t>Word treats this attribute as omitted when it has a value of 0.</w:t>
      </w:r>
    </w:p>
    <w:p w:rsidR="000A156F" w:rsidRDefault="00A9721F">
      <w:pPr>
        <w:pStyle w:val="Definition-Field"/>
      </w:pPr>
      <w:r>
        <w:t xml:space="preserve">c.   </w:t>
      </w:r>
      <w:r>
        <w:rPr>
          <w:i/>
        </w:rPr>
        <w:t>The standard states that this element specifies the magnification level which should be applied to a document when it is displayed by an application.</w:t>
      </w:r>
    </w:p>
    <w:p w:rsidR="000A156F" w:rsidRDefault="00A9721F">
      <w:pPr>
        <w:pStyle w:val="Definition-Field2"/>
      </w:pPr>
      <w:r>
        <w:t>Word 2013 ignores this element when reading a document.</w:t>
      </w:r>
    </w:p>
    <w:p w:rsidR="000A156F" w:rsidRDefault="00A9721F">
      <w:pPr>
        <w:pStyle w:val="Heading3"/>
      </w:pPr>
      <w:bookmarkStart w:id="876" w:name="section_c2ec4940906f489c8ae252b0ac885207"/>
      <w:bookmarkStart w:id="877" w:name="_Toc181683464"/>
      <w:r>
        <w:t>Part 1 Section 17.15.2.1, allowPNG (Allow PNG as G</w:t>
      </w:r>
      <w:r>
        <w:t>raphic Format)</w:t>
      </w:r>
      <w:bookmarkEnd w:id="876"/>
      <w:bookmarkEnd w:id="877"/>
      <w:r>
        <w:fldChar w:fldCharType="begin"/>
      </w:r>
      <w:r>
        <w:instrText xml:space="preserve"> XE "allowPNG (Allow PNG as Graphic Format)" </w:instrText>
      </w:r>
      <w:r>
        <w:fldChar w:fldCharType="end"/>
      </w:r>
    </w:p>
    <w:p w:rsidR="000A156F" w:rsidRDefault="00A9721F">
      <w:pPr>
        <w:pStyle w:val="Definition-Field"/>
      </w:pPr>
      <w:r>
        <w:t xml:space="preserve">a.   </w:t>
      </w:r>
      <w:r>
        <w:rPr>
          <w:i/>
        </w:rPr>
        <w:t>The standard states that when this element is false, the PNG file format shall not be allowed when this document is saved as a web page.</w:t>
      </w:r>
    </w:p>
    <w:p w:rsidR="000A156F" w:rsidRDefault="00A9721F">
      <w:pPr>
        <w:pStyle w:val="Definition-Field2"/>
      </w:pPr>
      <w:r>
        <w:t>Word does save PNG files when this setting is off; h</w:t>
      </w:r>
      <w:r>
        <w:t>owever, the web page is structured such that the PNG files are not required for a web browser to read the file correctly.</w:t>
      </w:r>
    </w:p>
    <w:p w:rsidR="000A156F" w:rsidRDefault="00A9721F">
      <w:pPr>
        <w:pStyle w:val="Heading3"/>
      </w:pPr>
      <w:bookmarkStart w:id="878" w:name="section_1be1db766f44442eb9d1acc7a2bb0e71"/>
      <w:bookmarkStart w:id="879" w:name="_Toc181683465"/>
      <w:r>
        <w:t>Part 1 Section 17.15.2.2, blockQuote (Data for HTML blockquote Element)</w:t>
      </w:r>
      <w:bookmarkEnd w:id="878"/>
      <w:bookmarkEnd w:id="879"/>
      <w:r>
        <w:fldChar w:fldCharType="begin"/>
      </w:r>
      <w:r>
        <w:instrText xml:space="preserve"> XE "blockQuote (Data for HTML blockquote Element)" </w:instrText>
      </w:r>
      <w:r>
        <w:fldChar w:fldCharType="end"/>
      </w:r>
    </w:p>
    <w:p w:rsidR="000A156F" w:rsidRDefault="00A9721F">
      <w:pPr>
        <w:pStyle w:val="Definition-Field"/>
      </w:pPr>
      <w:r>
        <w:t xml:space="preserve">a.   </w:t>
      </w:r>
      <w:r>
        <w:rPr>
          <w:i/>
        </w:rPr>
        <w:t>The</w:t>
      </w:r>
      <w:r>
        <w:rPr>
          <w:i/>
        </w:rPr>
        <w:t xml:space="preserve"> standard states that if both this element and the bodyDiv element are specified, then the bodyDiv element shall be ignored.</w:t>
      </w:r>
    </w:p>
    <w:p w:rsidR="000A156F" w:rsidRDefault="00A9721F">
      <w:pPr>
        <w:pStyle w:val="Definition-Field2"/>
      </w:pPr>
      <w:r>
        <w:t>Word ignores this element in favor of the bodyDiv element when the current div is a direct descendant of the divs element.</w:t>
      </w:r>
    </w:p>
    <w:p w:rsidR="000A156F" w:rsidRDefault="00A9721F">
      <w:pPr>
        <w:pStyle w:val="Heading3"/>
      </w:pPr>
      <w:bookmarkStart w:id="880" w:name="section_848d73bb8eec4704bcd5ba25de573e9a"/>
      <w:bookmarkStart w:id="881" w:name="_Toc181683466"/>
      <w:r>
        <w:t>Part 1 S</w:t>
      </w:r>
      <w:r>
        <w:t>ection 17.15.2.3, bodyDiv (Data for HTML body Element)</w:t>
      </w:r>
      <w:bookmarkEnd w:id="880"/>
      <w:bookmarkEnd w:id="881"/>
      <w:r>
        <w:fldChar w:fldCharType="begin"/>
      </w:r>
      <w:r>
        <w:instrText xml:space="preserve"> XE "bodyDiv (Data for HTML body Element)" </w:instrText>
      </w:r>
      <w:r>
        <w:fldChar w:fldCharType="end"/>
      </w:r>
    </w:p>
    <w:p w:rsidR="000A156F" w:rsidRDefault="00A9721F">
      <w:pPr>
        <w:pStyle w:val="Definition-Field"/>
      </w:pPr>
      <w:r>
        <w:t xml:space="preserve">a.   </w:t>
      </w:r>
      <w:r>
        <w:rPr>
          <w:i/>
        </w:rPr>
        <w:t>The standard states that if both this element and the blockQuote element ("</w:t>
      </w:r>
      <w:hyperlink r:id="rId109">
        <w:r>
          <w:rPr>
            <w:rStyle w:val="Hyperlink"/>
          </w:rPr>
          <w:t>[ISO/IEC-2</w:t>
        </w:r>
        <w:r>
          <w:rPr>
            <w:rStyle w:val="Hyperlink"/>
          </w:rPr>
          <w:t>9500-1]</w:t>
        </w:r>
      </w:hyperlink>
      <w:r>
        <w:rPr>
          <w:i/>
        </w:rPr>
        <w:t xml:space="preserve"> §17.15.2.2; blockQuote") are specified, then this element shall be ignored.</w:t>
      </w:r>
    </w:p>
    <w:p w:rsidR="000A156F" w:rsidRDefault="00A9721F">
      <w:pPr>
        <w:pStyle w:val="Definition-Field2"/>
      </w:pPr>
      <w:r>
        <w:t>Word ignores the blockQuote element in favor of this element if this div is a direct subelement of the divs tag.</w:t>
      </w:r>
    </w:p>
    <w:p w:rsidR="000A156F" w:rsidRDefault="00A9721F">
      <w:pPr>
        <w:pStyle w:val="Heading3"/>
      </w:pPr>
      <w:bookmarkStart w:id="882" w:name="section_629fcc767cc14e55b9b3b6354b20116a"/>
      <w:bookmarkStart w:id="883" w:name="_Toc181683467"/>
      <w:r>
        <w:t>Part 1 Section 17.15.2.4, bottom (Bottom Border for HTML di</w:t>
      </w:r>
      <w:r>
        <w:t>v)</w:t>
      </w:r>
      <w:bookmarkEnd w:id="882"/>
      <w:bookmarkEnd w:id="883"/>
      <w:r>
        <w:fldChar w:fldCharType="begin"/>
      </w:r>
      <w:r>
        <w:instrText xml:space="preserve"> XE "bottom (Bottom Border for HTML div)"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884" w:name="section_9a2a00db9248454d9f81952c27658324"/>
      <w:bookmarkStart w:id="885" w:name="_Toc181683468"/>
      <w:r>
        <w:t>Part 1 Section 17.15.2.5, color (Frameset Splitter Color)</w:t>
      </w:r>
      <w:bookmarkEnd w:id="884"/>
      <w:bookmarkEnd w:id="885"/>
      <w:r>
        <w:fldChar w:fldCharType="begin"/>
      </w:r>
      <w:r>
        <w:instrText xml:space="preserve"> XE "color (Frameset Splitter Colo</w:instrText>
      </w:r>
      <w:r>
        <w:instrText xml:space="preserv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0A156F" w:rsidRDefault="00A9721F">
      <w:pPr>
        <w:pStyle w:val="Definition-Field"/>
      </w:pPr>
      <w:r>
        <w:t xml:space="preserve">a.   </w:t>
      </w:r>
      <w:r>
        <w:rPr>
          <w:i/>
        </w:rPr>
        <w:t xml:space="preserve">The standard states that the themeColor attribute specifies the </w:t>
      </w:r>
      <w:r>
        <w:rPr>
          <w:i/>
        </w:rPr>
        <w:t>theme color that should be applied to the current object.</w:t>
      </w:r>
    </w:p>
    <w:p w:rsidR="000A156F" w:rsidRDefault="00A9721F">
      <w:r>
        <w:lastRenderedPageBreak/>
        <w:t>Word does not use the specified theme color, but will use an RGB color calculated from the themeShade and themeTint attributes if this attribute is specified in the color element ("</w:t>
      </w:r>
      <w:hyperlink r:id="rId110">
        <w:r>
          <w:rPr>
            <w:rStyle w:val="Hyperlink"/>
          </w:rPr>
          <w:t>[ISO/IEC-29500-1]</w:t>
        </w:r>
      </w:hyperlink>
      <w:r>
        <w:t xml:space="preserve"> §17.15.2.5; color") nested inside a framesetSplitbar element ("[ISO/IEC-29500-1] §17.15.2.20; framesetSplitbar").</w:t>
      </w:r>
    </w:p>
    <w:p w:rsidR="000A156F" w:rsidRDefault="00A9721F">
      <w:pPr>
        <w:pStyle w:val="Heading3"/>
      </w:pPr>
      <w:bookmarkStart w:id="886" w:name="section_2740ab5f3c2b41ef954aff6f642e140f"/>
      <w:bookmarkStart w:id="887" w:name="_Toc181683469"/>
      <w:r>
        <w:t>Part 1 Section 17.15.2.6, div (Information About Single HTML div Element)</w:t>
      </w:r>
      <w:bookmarkEnd w:id="886"/>
      <w:bookmarkEnd w:id="887"/>
      <w:r>
        <w:fldChar w:fldCharType="begin"/>
      </w:r>
      <w:r>
        <w:instrText xml:space="preserve"> X</w:instrText>
      </w:r>
      <w:r>
        <w:instrText xml:space="preserve">E "div (Information About Single HTML div Element)" </w:instrText>
      </w:r>
      <w:r>
        <w:fldChar w:fldCharType="end"/>
      </w:r>
    </w:p>
    <w:p w:rsidR="000A156F" w:rsidRDefault="00A9721F">
      <w:pPr>
        <w:pStyle w:val="Definition-Field"/>
      </w:pPr>
      <w:r>
        <w:t xml:space="preserve">a.   </w:t>
      </w:r>
      <w:r>
        <w:rPr>
          <w:i/>
        </w:rPr>
        <w:t>The standard states that the values of the id attribute are defined by the XML Schema integer datatype.</w:t>
      </w:r>
    </w:p>
    <w:p w:rsidR="000A156F" w:rsidRDefault="00A9721F">
      <w:pPr>
        <w:pStyle w:val="Definition-Field2"/>
      </w:pPr>
      <w:r>
        <w:t>Word does not allow a value of 0 on this attribute.</w:t>
      </w:r>
    </w:p>
    <w:p w:rsidR="000A156F" w:rsidRDefault="00A9721F">
      <w:pPr>
        <w:pStyle w:val="Heading3"/>
      </w:pPr>
      <w:bookmarkStart w:id="888" w:name="section_12c70bad8a3c48ab9451a184aa79471b"/>
      <w:bookmarkStart w:id="889" w:name="_Toc181683470"/>
      <w:r>
        <w:t>Part 1 Section 17.15.2.10, doNotOrganize</w:t>
      </w:r>
      <w:r>
        <w:t>InFolder (Do Not Place Supporting Files in Subdirectory)</w:t>
      </w:r>
      <w:bookmarkEnd w:id="888"/>
      <w:bookmarkEnd w:id="889"/>
      <w:r>
        <w:fldChar w:fldCharType="begin"/>
      </w:r>
      <w:r>
        <w:instrText xml:space="preserve"> XE "doNotOrganizeInFolder (Do Not Place Supporting Files in Subdirectory)" </w:instrText>
      </w:r>
      <w:r>
        <w:fldChar w:fldCharType="end"/>
      </w:r>
    </w:p>
    <w:p w:rsidR="000A156F" w:rsidRDefault="00A9721F">
      <w:pPr>
        <w:pStyle w:val="Definition-Field"/>
      </w:pPr>
      <w:r>
        <w:t xml:space="preserve">a.   </w:t>
      </w:r>
      <w:r>
        <w:rPr>
          <w:i/>
        </w:rPr>
        <w:t>The standard states that the doNotOrganizeInFolder element specifies that applications shall not automatically place</w:t>
      </w:r>
      <w:r>
        <w:rPr>
          <w:i/>
        </w:rPr>
        <w:t xml:space="preserve"> all supporting files in a subdirectory.</w:t>
      </w:r>
    </w:p>
    <w:p w:rsidR="000A156F" w:rsidRDefault="00A9721F">
      <w:pPr>
        <w:pStyle w:val="Definition-Field2"/>
      </w:pPr>
      <w:r>
        <w:t>Word ignores this element when the doNotUseLongFileNames element is set to true (or equivalent).</w:t>
      </w:r>
    </w:p>
    <w:p w:rsidR="000A156F" w:rsidRDefault="00A9721F">
      <w:pPr>
        <w:pStyle w:val="Heading3"/>
      </w:pPr>
      <w:bookmarkStart w:id="890" w:name="section_829e3c8a5e294f0b9b384d4ab414818c"/>
      <w:bookmarkStart w:id="891" w:name="_Toc181683471"/>
      <w:r>
        <w:t>Part 1 Section 17.15.2.14, encoding (Output Encoding When Saving as Web Page)</w:t>
      </w:r>
      <w:bookmarkEnd w:id="890"/>
      <w:bookmarkEnd w:id="891"/>
      <w:r>
        <w:fldChar w:fldCharType="begin"/>
      </w:r>
      <w:r>
        <w:instrText xml:space="preserve"> XE "encoding (Output Encoding When Savin</w:instrText>
      </w:r>
      <w:r>
        <w:instrText xml:space="preserve">g as Web Page)" </w:instrText>
      </w:r>
      <w:r>
        <w:fldChar w:fldCharType="end"/>
      </w:r>
    </w:p>
    <w:p w:rsidR="000A156F" w:rsidRDefault="00A9721F">
      <w:pPr>
        <w:pStyle w:val="Definition-Field"/>
      </w:pPr>
      <w:r>
        <w:t xml:space="preserve">a.   </w:t>
      </w:r>
      <w:r>
        <w:rPr>
          <w:i/>
        </w:rPr>
        <w:t>The standard requires that this setting is roundtripped as specified.</w:t>
      </w:r>
    </w:p>
    <w:p w:rsidR="000A156F" w:rsidRDefault="00A9721F">
      <w:pPr>
        <w:pStyle w:val="Definition-Field2"/>
      </w:pPr>
      <w:r>
        <w:t>Word does not roundtrip this element when the specified encoding is equal to the current default encoding, or when the specified encoding is not supported.</w:t>
      </w:r>
    </w:p>
    <w:p w:rsidR="000A156F" w:rsidRDefault="00A9721F">
      <w:pPr>
        <w:pStyle w:val="Definition-Field"/>
      </w:pPr>
      <w:r>
        <w:t xml:space="preserve">b.   </w:t>
      </w:r>
      <w:r>
        <w:rPr>
          <w:i/>
        </w:rPr>
        <w:t>T</w:t>
      </w:r>
      <w:r>
        <w:rPr>
          <w:i/>
        </w:rPr>
        <w:t>he standard does not limit the length of the value of the val attribute.</w:t>
      </w:r>
    </w:p>
    <w:p w:rsidR="000A156F" w:rsidRDefault="00A9721F">
      <w:pPr>
        <w:pStyle w:val="Definition-Field2"/>
      </w:pPr>
      <w:r>
        <w:t>Word restricts the value of this attribute to be at most 255 characters.</w:t>
      </w:r>
    </w:p>
    <w:p w:rsidR="000A156F" w:rsidRDefault="00A9721F">
      <w:pPr>
        <w:pStyle w:val="Heading3"/>
      </w:pPr>
      <w:bookmarkStart w:id="892" w:name="section_3c6fa2ad817947adb6a0f55e3b4a67ca"/>
      <w:bookmarkStart w:id="893" w:name="_Toc181683472"/>
      <w:r>
        <w:t>Part 1 Section 17.15.2.17, frameLayout (Frameset Layout)</w:t>
      </w:r>
      <w:bookmarkEnd w:id="892"/>
      <w:bookmarkEnd w:id="893"/>
      <w:r>
        <w:fldChar w:fldCharType="begin"/>
      </w:r>
      <w:r>
        <w:instrText xml:space="preserve"> XE "frameLayout (Frameset Layout)" </w:instrText>
      </w:r>
      <w:r>
        <w:fldChar w:fldCharType="end"/>
      </w:r>
    </w:p>
    <w:p w:rsidR="000A156F" w:rsidRDefault="00A9721F">
      <w:pPr>
        <w:pStyle w:val="Definition-Field"/>
      </w:pPr>
      <w:r>
        <w:t xml:space="preserve">a.   </w:t>
      </w:r>
      <w:r>
        <w:rPr>
          <w:i/>
        </w:rPr>
        <w:t>The standa</w:t>
      </w:r>
      <w:r>
        <w:rPr>
          <w:i/>
        </w:rPr>
        <w:t>rd says that if this element is omitted, the frames in this frameset shall be stacked vertically on top of one another (a row frameset).</w:t>
      </w:r>
    </w:p>
    <w:p w:rsidR="000A156F" w:rsidRDefault="00A9721F">
      <w:pPr>
        <w:pStyle w:val="Definition-Field2"/>
      </w:pPr>
      <w:r>
        <w:t>In Word, if this element is omitted, the default value is none.</w:t>
      </w:r>
    </w:p>
    <w:p w:rsidR="000A156F" w:rsidRDefault="00A9721F">
      <w:pPr>
        <w:pStyle w:val="Heading3"/>
      </w:pPr>
      <w:bookmarkStart w:id="894" w:name="section_24552affdfd2441fa559cc592469a966"/>
      <w:bookmarkStart w:id="895" w:name="_Toc181683473"/>
      <w:r>
        <w:t>Part 1 Section 17.15.2.18, frameset (Nested Frameset De</w:t>
      </w:r>
      <w:r>
        <w:t>finition)</w:t>
      </w:r>
      <w:bookmarkEnd w:id="894"/>
      <w:bookmarkEnd w:id="895"/>
      <w:r>
        <w:fldChar w:fldCharType="begin"/>
      </w:r>
      <w:r>
        <w:instrText xml:space="preserve"> XE "frameset (Nested Frameset Definition)" </w:instrText>
      </w:r>
      <w:r>
        <w:fldChar w:fldCharType="end"/>
      </w:r>
    </w:p>
    <w:p w:rsidR="000A156F" w:rsidRDefault="00A9721F">
      <w:pPr>
        <w:pStyle w:val="Definition-Field"/>
      </w:pPr>
      <w:r>
        <w:t xml:space="preserve">a.   </w:t>
      </w:r>
      <w:r>
        <w:rPr>
          <w:i/>
        </w:rPr>
        <w:t>The standard does not state the behavior of an empty frameset element.</w:t>
      </w:r>
    </w:p>
    <w:p w:rsidR="000A156F" w:rsidRDefault="00A9721F">
      <w:pPr>
        <w:pStyle w:val="Definition-Field2"/>
      </w:pPr>
      <w:r>
        <w:t>Word treats an empty frameset as though it contains a single frame element (using its default values).</w:t>
      </w:r>
    </w:p>
    <w:p w:rsidR="000A156F" w:rsidRDefault="00A9721F">
      <w:pPr>
        <w:pStyle w:val="Heading3"/>
      </w:pPr>
      <w:bookmarkStart w:id="896" w:name="section_f7970f138896405eae5e7775aa04a053"/>
      <w:bookmarkStart w:id="897" w:name="_Toc181683474"/>
      <w:r>
        <w:t>Part 1 Section 17.15.</w:t>
      </w:r>
      <w:r>
        <w:t>2.19, frameset (Root Frameset Definition)</w:t>
      </w:r>
      <w:bookmarkEnd w:id="896"/>
      <w:bookmarkEnd w:id="897"/>
      <w:r>
        <w:fldChar w:fldCharType="begin"/>
      </w:r>
      <w:r>
        <w:instrText xml:space="preserve"> XE "frameset (Root Frameset Definition)" </w:instrText>
      </w:r>
      <w:r>
        <w:fldChar w:fldCharType="end"/>
      </w:r>
    </w:p>
    <w:p w:rsidR="000A156F" w:rsidRDefault="00A9721F">
      <w:pPr>
        <w:pStyle w:val="Definition-Field"/>
      </w:pPr>
      <w:r>
        <w:t xml:space="preserve">a.   </w:t>
      </w:r>
      <w:r>
        <w:rPr>
          <w:i/>
        </w:rPr>
        <w:t>The standard does not state the behavior of an empty frameset element.</w:t>
      </w:r>
    </w:p>
    <w:p w:rsidR="000A156F" w:rsidRDefault="00A9721F">
      <w:pPr>
        <w:pStyle w:val="Definition-Field2"/>
      </w:pPr>
      <w:r>
        <w:t xml:space="preserve">Word treats an empty frameset as though it contains a single frame element (using its default </w:t>
      </w:r>
      <w:r>
        <w:t>values).</w:t>
      </w:r>
    </w:p>
    <w:p w:rsidR="000A156F" w:rsidRDefault="00A9721F">
      <w:pPr>
        <w:pStyle w:val="Heading3"/>
      </w:pPr>
      <w:bookmarkStart w:id="898" w:name="section_88086db0881a462fafb3fad01a9b1be3"/>
      <w:bookmarkStart w:id="899" w:name="_Toc181683475"/>
      <w:r>
        <w:lastRenderedPageBreak/>
        <w:t>Part 1 Section 17.15.2.21, left (Left Border for HTML div)</w:t>
      </w:r>
      <w:bookmarkEnd w:id="898"/>
      <w:bookmarkEnd w:id="899"/>
      <w:r>
        <w:fldChar w:fldCharType="begin"/>
      </w:r>
      <w:r>
        <w:instrText xml:space="preserve"> XE "left (Left Border for HTML div)"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0A156F" w:rsidRDefault="00A9721F">
      <w:pPr>
        <w:pStyle w:val="Definition-Field"/>
      </w:pPr>
      <w:r>
        <w:t xml:space="preserve">a.   </w:t>
      </w:r>
      <w:r>
        <w:rPr>
          <w:i/>
        </w:rPr>
        <w:t>The standard does not state which borders the frame attribute applies to.</w:t>
      </w:r>
    </w:p>
    <w:p w:rsidR="000A156F" w:rsidRDefault="00A9721F">
      <w:pPr>
        <w:pStyle w:val="Definition-Field2"/>
      </w:pPr>
      <w:r>
        <w:t>Word only applies this attribute to the right and bottom borders.</w:t>
      </w:r>
    </w:p>
    <w:p w:rsidR="000A156F" w:rsidRDefault="00A9721F">
      <w:pPr>
        <w:pStyle w:val="Heading3"/>
      </w:pPr>
      <w:bookmarkStart w:id="900" w:name="section_a29af684e8d2433685bb33f038481e2c"/>
      <w:bookmarkStart w:id="901" w:name="_Toc181683476"/>
      <w:r>
        <w:t>Part 1 Section 17.15.2.23, longDesc (Frame Long Description)</w:t>
      </w:r>
      <w:bookmarkEnd w:id="900"/>
      <w:bookmarkEnd w:id="901"/>
      <w:r>
        <w:fldChar w:fldCharType="begin"/>
      </w:r>
      <w:r>
        <w:instrText xml:space="preserve"> XE "longDesc (Frame Long Description)" </w:instrText>
      </w:r>
      <w:r>
        <w:fldChar w:fldCharType="end"/>
      </w:r>
    </w:p>
    <w:p w:rsidR="000A156F" w:rsidRDefault="00A9721F">
      <w:pPr>
        <w:pStyle w:val="Definition-Field"/>
      </w:pPr>
      <w:r>
        <w:t xml:space="preserve">a.   </w:t>
      </w:r>
      <w:r>
        <w:rPr>
          <w:i/>
        </w:rPr>
        <w:t>The standard specifies this element.</w:t>
      </w:r>
    </w:p>
    <w:p w:rsidR="000A156F" w:rsidRDefault="00A9721F">
      <w:pPr>
        <w:pStyle w:val="Definition-Field2"/>
      </w:pPr>
      <w:r>
        <w:t>Word ignores this element.</w:t>
      </w:r>
    </w:p>
    <w:p w:rsidR="000A156F" w:rsidRDefault="00A9721F">
      <w:pPr>
        <w:pStyle w:val="Heading3"/>
      </w:pPr>
      <w:bookmarkStart w:id="902" w:name="section_d1915b52a64a4e87a89e66bb610cbfad"/>
      <w:bookmarkStart w:id="903" w:name="_Toc181683477"/>
      <w:r>
        <w:t>Part 1 Section 17.15.2.30, name (Frame Name)</w:t>
      </w:r>
      <w:bookmarkEnd w:id="902"/>
      <w:bookmarkEnd w:id="903"/>
      <w:r>
        <w:fldChar w:fldCharType="begin"/>
      </w:r>
      <w:r>
        <w:instrText xml:space="preserve"> XE "name (Frame Name)" </w:instrText>
      </w:r>
      <w:r>
        <w:fldChar w:fldCharType="end"/>
      </w:r>
    </w:p>
    <w:p w:rsidR="000A156F" w:rsidRDefault="00A9721F">
      <w:pPr>
        <w:pStyle w:val="Definition-Field"/>
      </w:pPr>
      <w:r>
        <w:t xml:space="preserve">a.   </w:t>
      </w:r>
      <w:r>
        <w:rPr>
          <w:i/>
        </w:rPr>
        <w:t xml:space="preserve">The </w:t>
      </w:r>
      <w:r>
        <w:rPr>
          <w:i/>
        </w:rPr>
        <w:t>standard does not limit the length of the value of the val attribute.</w:t>
      </w:r>
    </w:p>
    <w:p w:rsidR="000A156F" w:rsidRDefault="00A9721F">
      <w:pPr>
        <w:pStyle w:val="Definition-Field2"/>
      </w:pPr>
      <w:r>
        <w:t>Word restricts the value of this attribute to be at most 255 characters.</w:t>
      </w:r>
    </w:p>
    <w:p w:rsidR="000A156F" w:rsidRDefault="00A9721F">
      <w:pPr>
        <w:pStyle w:val="Heading3"/>
      </w:pPr>
      <w:bookmarkStart w:id="904" w:name="section_1a4436e36c77480184e063d913cb56a8"/>
      <w:bookmarkStart w:id="905" w:name="_Toc181683478"/>
      <w:r>
        <w:t>Part 1 Section 17.15.2.33, optimizeForBrowser (Disable Features Not Supported by Target Web Profile)</w:t>
      </w:r>
      <w:bookmarkEnd w:id="904"/>
      <w:bookmarkEnd w:id="905"/>
      <w:r>
        <w:fldChar w:fldCharType="begin"/>
      </w:r>
      <w:r>
        <w:instrText xml:space="preserve"> XE "optimize</w:instrText>
      </w:r>
      <w:r>
        <w:instrText xml:space="preserve">ForBrowser (Disable Features Not Supported by Target Web Profile)" </w:instrText>
      </w:r>
      <w:r>
        <w:fldChar w:fldCharType="end"/>
      </w:r>
    </w:p>
    <w:p w:rsidR="000A156F" w:rsidRDefault="00A9721F">
      <w:pPr>
        <w:pStyle w:val="Definition-Field"/>
      </w:pPr>
      <w:r>
        <w:t xml:space="preserve">a.   </w:t>
      </w:r>
      <w:r>
        <w:rPr>
          <w:i/>
        </w:rPr>
        <w:t>The standard states that this element (in conjunction with the other elements listed) is used to set the target web browser.</w:t>
      </w:r>
    </w:p>
    <w:p w:rsidR="000A156F" w:rsidRDefault="00A9721F">
      <w:pPr>
        <w:pStyle w:val="Definition-Field2"/>
      </w:pPr>
      <w:r>
        <w:t>Word does not use the indicated settings to determine ta</w:t>
      </w:r>
      <w:r>
        <w:t>rget browser when document is loaded, instead using Internet Explorer 6 as the target browser in every case.</w:t>
      </w:r>
    </w:p>
    <w:p w:rsidR="000A156F" w:rsidRDefault="00A9721F">
      <w:pPr>
        <w:pStyle w:val="Definition-Field"/>
      </w:pPr>
      <w:r>
        <w:t xml:space="preserve">b.   </w:t>
      </w:r>
      <w:r>
        <w:rPr>
          <w:i/>
        </w:rPr>
        <w:t>The standard states that the target attribute should specify which HTML profile to use when saving docs to HTML.</w:t>
      </w:r>
    </w:p>
    <w:p w:rsidR="000A156F" w:rsidRDefault="00A9721F">
      <w:pPr>
        <w:pStyle w:val="Definition-Field2"/>
      </w:pPr>
      <w:r>
        <w:t>Word ignores this attribute.</w:t>
      </w:r>
    </w:p>
    <w:p w:rsidR="000A156F" w:rsidRDefault="00A9721F">
      <w:pPr>
        <w:pStyle w:val="Heading3"/>
      </w:pPr>
      <w:bookmarkStart w:id="906" w:name="section_47933ae0e3be4fc1b04924347180a89f"/>
      <w:bookmarkStart w:id="907" w:name="_Toc181683479"/>
      <w:r>
        <w:t>Part 1 Section 17.15.2.34, pixelsPerInch (Pixels per Inch for Graphics/Images)</w:t>
      </w:r>
      <w:bookmarkEnd w:id="906"/>
      <w:bookmarkEnd w:id="907"/>
      <w:r>
        <w:fldChar w:fldCharType="begin"/>
      </w:r>
      <w:r>
        <w:instrText xml:space="preserve"> XE "pixelsPerInch (Pixels per Inch for Graphics/Images)" </w:instrText>
      </w:r>
      <w:r>
        <w:fldChar w:fldCharType="end"/>
      </w:r>
    </w:p>
    <w:p w:rsidR="000A156F" w:rsidRDefault="00A9721F">
      <w:pPr>
        <w:pStyle w:val="Definition-Field"/>
      </w:pPr>
      <w:r>
        <w:t xml:space="preserve">a.   </w:t>
      </w:r>
      <w:r>
        <w:rPr>
          <w:i/>
        </w:rPr>
        <w:t>The standard states that the values of the val attribute are defined by the XML Schema integer datatype.</w:t>
      </w:r>
    </w:p>
    <w:p w:rsidR="000A156F" w:rsidRDefault="00A9721F">
      <w:pPr>
        <w:pStyle w:val="Definition-Field2"/>
      </w:pPr>
      <w:r>
        <w:t>Word re</w:t>
      </w:r>
      <w:r>
        <w:t>stricts the value of this attribute to be at least 0 and at most 1023.</w:t>
      </w:r>
    </w:p>
    <w:p w:rsidR="000A156F" w:rsidRDefault="00A9721F">
      <w:pPr>
        <w:pStyle w:val="Heading3"/>
      </w:pPr>
      <w:bookmarkStart w:id="908" w:name="section_e15940e2d10546e3901ecc38b9773f7f"/>
      <w:bookmarkStart w:id="909" w:name="_Toc181683480"/>
      <w:r>
        <w:t>Part 1 Section 17.15.2.35, right (Right Border for HTML div)</w:t>
      </w:r>
      <w:bookmarkEnd w:id="908"/>
      <w:bookmarkEnd w:id="909"/>
      <w:r>
        <w:fldChar w:fldCharType="begin"/>
      </w:r>
      <w:r>
        <w:instrText xml:space="preserve"> XE "right (Right Border for HTML div)" </w:instrText>
      </w:r>
      <w:r>
        <w:fldChar w:fldCharType="end"/>
      </w:r>
    </w:p>
    <w:p w:rsidR="000A156F" w:rsidRDefault="00A9721F">
      <w:pPr>
        <w:pStyle w:val="Definition-Field2"/>
      </w:pPr>
      <w:r>
        <w:rPr>
          <w:i/>
        </w:rPr>
        <w:t>For additional notes that apply to this portion of the standard, please see the no</w:t>
      </w:r>
      <w:r>
        <w:rPr>
          <w:i/>
        </w:rPr>
        <w:t xml:space="preserve">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r>
          <w:rPr>
            <w:rStyle w:val="Hyperlink"/>
          </w:rPr>
          <w:t>)</w:t>
        </w:r>
      </w:hyperlink>
      <w:r>
        <w:rPr>
          <w:i/>
        </w:rPr>
        <w:t>.</w:t>
      </w:r>
    </w:p>
    <w:p w:rsidR="000A156F" w:rsidRDefault="00A9721F">
      <w:pPr>
        <w:pStyle w:val="Heading3"/>
      </w:pPr>
      <w:bookmarkStart w:id="910" w:name="section_0dc4313ba3e341f796ff723d68d0e725"/>
      <w:bookmarkStart w:id="911" w:name="_Toc181683481"/>
      <w:r>
        <w:t>Part 1 Section 17.15.2.38, sourceFileName (Source File for Frame)</w:t>
      </w:r>
      <w:bookmarkEnd w:id="910"/>
      <w:bookmarkEnd w:id="911"/>
      <w:r>
        <w:fldChar w:fldCharType="begin"/>
      </w:r>
      <w:r>
        <w:instrText xml:space="preserve"> XE "sourceFileName (Source File for Frame)"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0A156F" w:rsidRDefault="00A9721F">
      <w:pPr>
        <w:pStyle w:val="Heading3"/>
      </w:pPr>
      <w:bookmarkStart w:id="912" w:name="section_bac943bf2e5d4d439ba2ab0f26a8e8fd"/>
      <w:bookmarkStart w:id="913" w:name="_Toc181683482"/>
      <w:r>
        <w:t>Part 1 Section 17.15.2.39, sz (Frame Size)</w:t>
      </w:r>
      <w:bookmarkEnd w:id="912"/>
      <w:bookmarkEnd w:id="913"/>
      <w:r>
        <w:fldChar w:fldCharType="begin"/>
      </w:r>
      <w:r>
        <w:instrText xml:space="preserve"> XE "sz (Frame Size)" </w:instrText>
      </w:r>
      <w:r>
        <w:fldChar w:fldCharType="end"/>
      </w:r>
    </w:p>
    <w:p w:rsidR="000A156F" w:rsidRDefault="00A9721F">
      <w:pPr>
        <w:pStyle w:val="Definition-Field"/>
      </w:pPr>
      <w:r>
        <w:t xml:space="preserve">a.   </w:t>
      </w:r>
      <w:r>
        <w:rPr>
          <w:i/>
        </w:rPr>
        <w:t>The standard allows any string for the val attribute.</w:t>
      </w:r>
    </w:p>
    <w:p w:rsidR="000A156F" w:rsidRDefault="00A9721F">
      <w:pPr>
        <w:pStyle w:val="Definition-Field2"/>
      </w:pPr>
      <w:r>
        <w:lastRenderedPageBreak/>
        <w:t>For the val attribute, Word allows an integer between 1 and 32,767 followed by *; an</w:t>
      </w:r>
      <w:r>
        <w:t xml:space="preserve"> integer between 1 and 500 followed by %; or an integer which divided by pixelsPerInch gives a value between 0 and 22.</w:t>
      </w:r>
    </w:p>
    <w:p w:rsidR="000A156F" w:rsidRDefault="00A9721F">
      <w:pPr>
        <w:pStyle w:val="Definition-Field"/>
      </w:pPr>
      <w:r>
        <w:t xml:space="preserve">b.   </w:t>
      </w:r>
      <w:r>
        <w:rPr>
          <w:i/>
        </w:rPr>
        <w:t>The standard says if this element is omitted, then no information shall be implied about the size of the current frameset.</w:t>
      </w:r>
    </w:p>
    <w:p w:rsidR="000A156F" w:rsidRDefault="00A9721F">
      <w:pPr>
        <w:pStyle w:val="Definition-Field2"/>
      </w:pPr>
      <w:r>
        <w:t>Word cons</w:t>
      </w:r>
      <w:r>
        <w:t>iders the default value to be 1*.</w:t>
      </w:r>
    </w:p>
    <w:p w:rsidR="000A156F" w:rsidRDefault="00A9721F">
      <w:pPr>
        <w:pStyle w:val="Heading3"/>
      </w:pPr>
      <w:bookmarkStart w:id="914" w:name="section_12da267d2f2644498e44750a097fb97f"/>
      <w:bookmarkStart w:id="915" w:name="_Toc181683483"/>
      <w:r>
        <w:t>Part 1 Section 17.15.2.40, sz (Nested Frameset Size)</w:t>
      </w:r>
      <w:bookmarkEnd w:id="914"/>
      <w:bookmarkEnd w:id="915"/>
      <w:r>
        <w:fldChar w:fldCharType="begin"/>
      </w:r>
      <w:r>
        <w:instrText xml:space="preserve"> XE "sz (Nested Frameset Size)" </w:instrText>
      </w:r>
      <w:r>
        <w:fldChar w:fldCharType="end"/>
      </w:r>
    </w:p>
    <w:p w:rsidR="000A156F" w:rsidRDefault="00A9721F">
      <w:pPr>
        <w:pStyle w:val="Definition-Field"/>
      </w:pPr>
      <w:r>
        <w:t xml:space="preserve">a.   </w:t>
      </w:r>
      <w:r>
        <w:rPr>
          <w:i/>
        </w:rPr>
        <w:t>The standard allows any string for the val attribute.</w:t>
      </w:r>
    </w:p>
    <w:p w:rsidR="000A156F" w:rsidRDefault="00A9721F">
      <w:pPr>
        <w:pStyle w:val="Definition-Field2"/>
      </w:pPr>
      <w:r>
        <w:t xml:space="preserve">For the val attribute, Word allows an integer between 1 and 32,767 followed </w:t>
      </w:r>
      <w:r>
        <w:t>by *; an integer between 1 and 500 followed by %; or an integer which divided by pixelsPerInch gives a value between 0 and 22.</w:t>
      </w:r>
    </w:p>
    <w:p w:rsidR="000A156F" w:rsidRDefault="00A9721F">
      <w:pPr>
        <w:pStyle w:val="Definition-Field"/>
      </w:pPr>
      <w:r>
        <w:t xml:space="preserve">b.   </w:t>
      </w:r>
      <w:r>
        <w:rPr>
          <w:i/>
        </w:rPr>
        <w:t>The standard states that no information shall be implied about the size of the current frameset when this element is omitted</w:t>
      </w:r>
      <w:r>
        <w:rPr>
          <w:i/>
        </w:rPr>
        <w:t>.</w:t>
      </w:r>
    </w:p>
    <w:p w:rsidR="000A156F" w:rsidRDefault="00A9721F">
      <w:pPr>
        <w:pStyle w:val="Definition-Field2"/>
      </w:pPr>
      <w:r>
        <w:t>Word implies that the size of the current frameset shall be a relative measurement with a value of 1 when the sz element is omitted.</w:t>
      </w:r>
    </w:p>
    <w:p w:rsidR="000A156F" w:rsidRDefault="00A9721F">
      <w:pPr>
        <w:pStyle w:val="Heading3"/>
      </w:pPr>
      <w:bookmarkStart w:id="916" w:name="section_1cdcce02e27c40e68d43c718e61f96fc"/>
      <w:bookmarkStart w:id="917" w:name="_Toc181683484"/>
      <w:r>
        <w:t>Part 1 Section 17.15.2.41, targetScreenSz (Target Screen Size for Web Page)</w:t>
      </w:r>
      <w:bookmarkEnd w:id="916"/>
      <w:bookmarkEnd w:id="917"/>
      <w:r>
        <w:fldChar w:fldCharType="begin"/>
      </w:r>
      <w:r>
        <w:instrText xml:space="preserve"> XE "targetScreenSz (Target Screen Size for We</w:instrText>
      </w:r>
      <w:r>
        <w:instrText xml:space="preserve">b Page)" </w:instrText>
      </w:r>
      <w:r>
        <w:fldChar w:fldCharType="end"/>
      </w:r>
    </w:p>
    <w:p w:rsidR="000A156F" w:rsidRDefault="00A9721F">
      <w:pPr>
        <w:pStyle w:val="Definition-Field"/>
      </w:pPr>
      <w:r>
        <w:t xml:space="preserve">a.   </w:t>
      </w:r>
      <w:r>
        <w:rPr>
          <w:i/>
        </w:rPr>
        <w:t>The standard states that this element stores the ideal minimum target screen size on which web pages generated when saving this document will be displayed.</w:t>
      </w:r>
    </w:p>
    <w:p w:rsidR="000A156F" w:rsidRDefault="00A9721F">
      <w:pPr>
        <w:pStyle w:val="Definition-Field2"/>
      </w:pPr>
      <w:r>
        <w:t>Word ignores this element.</w:t>
      </w:r>
    </w:p>
    <w:p w:rsidR="000A156F" w:rsidRDefault="00A9721F">
      <w:pPr>
        <w:pStyle w:val="Heading3"/>
      </w:pPr>
      <w:bookmarkStart w:id="918" w:name="section_94bb88fd795741c8b9340f82d8d04f7e"/>
      <w:bookmarkStart w:id="919" w:name="_Toc181683485"/>
      <w:r>
        <w:t>Part 1 Section 17.15.2.42, title (Frame or Frameset Title)</w:t>
      </w:r>
      <w:bookmarkEnd w:id="918"/>
      <w:bookmarkEnd w:id="919"/>
      <w:r>
        <w:fldChar w:fldCharType="begin"/>
      </w:r>
      <w:r>
        <w:instrText xml:space="preserve"> XE "title (Frame or Frameset Title)" </w:instrText>
      </w:r>
      <w:r>
        <w:fldChar w:fldCharType="end"/>
      </w:r>
    </w:p>
    <w:p w:rsidR="000A156F" w:rsidRDefault="00A9721F">
      <w:pPr>
        <w:pStyle w:val="Definition-Field"/>
      </w:pPr>
      <w:r>
        <w:t xml:space="preserve">a.   </w:t>
      </w:r>
      <w:r>
        <w:rPr>
          <w:i/>
        </w:rPr>
        <w:t>The standard specifies that a frameset may have a title element.</w:t>
      </w:r>
    </w:p>
    <w:p w:rsidR="000A156F" w:rsidRDefault="00A9721F">
      <w:pPr>
        <w:pStyle w:val="Definition-Field2"/>
      </w:pPr>
      <w:r>
        <w:t>Word ignores any title element inside a frameset; therefore, this element is lost on ro</w:t>
      </w:r>
      <w:r>
        <w:t>undtrip.</w:t>
      </w:r>
      <w:r>
        <w:rPr>
          <w:rStyle w:val="PlaceholderText"/>
        </w:rPr>
        <w:t xml:space="preserve"> </w:t>
      </w:r>
    </w:p>
    <w:p w:rsidR="000A156F" w:rsidRDefault="00A9721F">
      <w:pPr>
        <w:pStyle w:val="Heading3"/>
      </w:pPr>
      <w:bookmarkStart w:id="920" w:name="section_bd4c27d984664da3aa9a6ecbff6f39fe"/>
      <w:bookmarkStart w:id="921" w:name="_Toc181683486"/>
      <w:r>
        <w:t>Part 1 Section 17.15.2.43, top (Top Border for HTML div)</w:t>
      </w:r>
      <w:bookmarkEnd w:id="920"/>
      <w:bookmarkEnd w:id="921"/>
      <w:r>
        <w:fldChar w:fldCharType="begin"/>
      </w:r>
      <w:r>
        <w:instrText xml:space="preserve"> XE "top (Top Border for HTML div)"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0A156F" w:rsidRDefault="00A9721F">
      <w:pPr>
        <w:pStyle w:val="Heading3"/>
      </w:pPr>
      <w:bookmarkStart w:id="922" w:name="section_61e2927d6fad483d9e933a00bb8620fb"/>
      <w:bookmarkStart w:id="923" w:name="_Toc181683487"/>
      <w:r>
        <w:t xml:space="preserve">Part 1 Section 17.15.3.2, applyBreakingRules (Use Legacy Ethiopic </w:t>
      </w:r>
      <w:r>
        <w:t>and Amharic Line Breaking Rules)</w:t>
      </w:r>
      <w:bookmarkEnd w:id="922"/>
      <w:bookmarkEnd w:id="923"/>
      <w:r>
        <w:fldChar w:fldCharType="begin"/>
      </w:r>
      <w:r>
        <w:instrText xml:space="preserve"> XE "applyBreakingRules (Use Legacy Ethiopic and Amharic Line Breaking Rules)" </w:instrText>
      </w:r>
      <w:r>
        <w:fldChar w:fldCharType="end"/>
      </w:r>
    </w:p>
    <w:p w:rsidR="000A156F" w:rsidRDefault="00A9721F">
      <w:pPr>
        <w:pStyle w:val="Definition-Field"/>
      </w:pPr>
      <w:r>
        <w:t xml:space="preserve">a.   </w:t>
      </w:r>
      <w:r>
        <w:rPr>
          <w:i/>
        </w:rPr>
        <w:t>The standard says that the application shall allow break opportunities after this specific set of character only if this setting is off.</w:t>
      </w:r>
    </w:p>
    <w:p w:rsidR="000A156F" w:rsidRDefault="00A9721F">
      <w:pPr>
        <w:pStyle w:val="Definition-Field2"/>
      </w:pPr>
      <w:r>
        <w:t>Word allows break opportunities after this specific set of characters only if the setting is on.</w:t>
      </w:r>
    </w:p>
    <w:p w:rsidR="000A156F" w:rsidRDefault="00A9721F">
      <w:pPr>
        <w:pStyle w:val="Definition-Field"/>
      </w:pPr>
      <w:r>
        <w:t xml:space="preserve">b.   </w:t>
      </w:r>
      <w:r>
        <w:rPr>
          <w:i/>
        </w:rPr>
        <w:t>The standard says that setting the val attribute to 0, off, or false should turn off this property.</w:t>
      </w:r>
    </w:p>
    <w:p w:rsidR="000A156F" w:rsidRDefault="00A9721F">
      <w:pPr>
        <w:pStyle w:val="Definition-Field2"/>
      </w:pPr>
      <w:r>
        <w:t>Word may turn this setting on if editing has been enab</w:t>
      </w:r>
      <w:r>
        <w:t>led for a language that is right to left or that uses complex scripts.</w:t>
      </w:r>
    </w:p>
    <w:p w:rsidR="000A156F" w:rsidRDefault="00A9721F">
      <w:pPr>
        <w:pStyle w:val="Heading3"/>
      </w:pPr>
      <w:bookmarkStart w:id="924" w:name="section_ef7c006b0a794542aea8687f9a5275fc"/>
      <w:bookmarkStart w:id="925" w:name="_Toc181683488"/>
      <w:r>
        <w:lastRenderedPageBreak/>
        <w:t>Part 1 Section 17.15.3.6, doNotLeaveBackslashAlone (Display Backslash As Yen Sign)</w:t>
      </w:r>
      <w:bookmarkEnd w:id="924"/>
      <w:bookmarkEnd w:id="925"/>
      <w:r>
        <w:fldChar w:fldCharType="begin"/>
      </w:r>
      <w:r>
        <w:instrText xml:space="preserve"> XE "doNotLeaveBackslashAlone (Display Backslash As Yen Sign)" </w:instrText>
      </w:r>
      <w:r>
        <w:fldChar w:fldCharType="end"/>
      </w:r>
    </w:p>
    <w:p w:rsidR="000A156F" w:rsidRDefault="00A9721F">
      <w:pPr>
        <w:pStyle w:val="Definition-Field"/>
      </w:pPr>
      <w:r>
        <w:t xml:space="preserve">a.   </w:t>
      </w:r>
      <w:r>
        <w:rPr>
          <w:i/>
        </w:rPr>
        <w:t>The standard states that backsla</w:t>
      </w:r>
      <w:r>
        <w:rPr>
          <w:i/>
        </w:rPr>
        <w:t>shes should be converted to yen signs unconditionally if the setting is turned on.</w:t>
      </w:r>
    </w:p>
    <w:p w:rsidR="000A156F" w:rsidRDefault="00A9721F">
      <w:pPr>
        <w:pStyle w:val="Definition-Field2"/>
      </w:pPr>
      <w:r>
        <w:t>Word only converts backslashes to yen signs if the setting is turned on and Japanese language support has been installed.</w:t>
      </w:r>
    </w:p>
    <w:p w:rsidR="000A156F" w:rsidRDefault="00A9721F">
      <w:pPr>
        <w:pStyle w:val="Heading3"/>
      </w:pPr>
      <w:bookmarkStart w:id="926" w:name="section_6091e3a7b33d4afabff08a7ee9cba183"/>
      <w:bookmarkStart w:id="927" w:name="_Toc181683489"/>
      <w:r>
        <w:t>Part 1 Section 17.16.1, Syntax</w:t>
      </w:r>
      <w:bookmarkEnd w:id="926"/>
      <w:bookmarkEnd w:id="927"/>
      <w:r>
        <w:fldChar w:fldCharType="begin"/>
      </w:r>
      <w:r>
        <w:instrText xml:space="preserve"> XE "Syntax" </w:instrText>
      </w:r>
      <w:r>
        <w:fldChar w:fldCharType="end"/>
      </w:r>
    </w:p>
    <w:p w:rsidR="000A156F" w:rsidRDefault="00A9721F">
      <w:pPr>
        <w:pStyle w:val="Definition-Field"/>
      </w:pPr>
      <w:r>
        <w:t xml:space="preserve">a.   </w:t>
      </w:r>
      <w:r>
        <w:rPr>
          <w:i/>
        </w:rPr>
        <w:t>The standard states that an arbitrary amount of white space (including none) is supported between tokens.</w:t>
      </w:r>
    </w:p>
    <w:p w:rsidR="000A156F" w:rsidRDefault="00A9721F">
      <w:pPr>
        <w:pStyle w:val="Definition-Field2"/>
      </w:pPr>
      <w:r>
        <w:t xml:space="preserve">Unless the instruction begins with a field, Word requires white space between the field-type and its instructions, to disambiguate custom field names </w:t>
      </w:r>
      <w:r>
        <w:t>from a field + string instruction.</w:t>
      </w:r>
    </w:p>
    <w:p w:rsidR="000A156F" w:rsidRDefault="00A9721F">
      <w:pPr>
        <w:pStyle w:val="Definition-Field"/>
      </w:pPr>
      <w:r>
        <w:t xml:space="preserve">b.   </w:t>
      </w:r>
      <w:r>
        <w:rPr>
          <w:i/>
        </w:rPr>
        <w:t>The standard does not restrict the number of switches used in a field.</w:t>
      </w:r>
    </w:p>
    <w:p w:rsidR="000A156F" w:rsidRDefault="00A9721F">
      <w:pPr>
        <w:pStyle w:val="Definition-Field2"/>
      </w:pPr>
      <w:r>
        <w:t>Word allows at most 10 formatting-switches and at most 10 field-specific-switches in a field.</w:t>
      </w:r>
    </w:p>
    <w:p w:rsidR="000A156F" w:rsidRDefault="00A9721F">
      <w:pPr>
        <w:pStyle w:val="Definition-Field"/>
      </w:pPr>
      <w:r>
        <w:t xml:space="preserve">c.   </w:t>
      </w:r>
      <w:r>
        <w:rPr>
          <w:i/>
        </w:rPr>
        <w:t>The standard allows more than one picture swit</w:t>
      </w:r>
      <w:r>
        <w:rPr>
          <w:i/>
        </w:rPr>
        <w:t>ch and allows picture switch to occur in any order relative to other field switches.</w:t>
      </w:r>
    </w:p>
    <w:p w:rsidR="000A156F" w:rsidRDefault="00A9721F">
      <w:pPr>
        <w:pStyle w:val="Definition-Field2"/>
      </w:pPr>
      <w:r>
        <w:t>Word allows at most one picture switch and requires that picture switch to precede other field switches.</w:t>
      </w:r>
    </w:p>
    <w:p w:rsidR="000A156F" w:rsidRDefault="00A9721F">
      <w:pPr>
        <w:pStyle w:val="Definition-Field"/>
      </w:pPr>
      <w:r>
        <w:t xml:space="preserve">d.   </w:t>
      </w:r>
      <w:r>
        <w:rPr>
          <w:i/>
        </w:rPr>
        <w:t>The standard defines a general syntax of fields that includes</w:t>
      </w:r>
      <w:r>
        <w:rPr>
          <w:i/>
        </w:rPr>
        <w:t xml:space="preserve"> many field types.</w:t>
      </w:r>
    </w:p>
    <w:p w:rsidR="000A156F" w:rsidRDefault="00A9721F">
      <w:pPr>
        <w:ind w:left="360"/>
      </w:pPr>
      <w:r>
        <w:t>Word uses the following field types (</w:t>
      </w:r>
      <w:hyperlink w:anchor="Section_0f6b31f54bcc47ba918420810cfc304f">
        <w:r>
          <w:rPr>
            <w:rStyle w:val="Hyperlink"/>
          </w:rPr>
          <w:t>§3.1.3.2, Additional Fields</w:t>
        </w:r>
      </w:hyperlink>
      <w:r>
        <w:t>) in addition to or superseding those already specified by the general syntax of fields in "</w:t>
      </w:r>
      <w:hyperlink r:id="rId111">
        <w:r>
          <w:rPr>
            <w:rStyle w:val="Hyperlink"/>
          </w:rPr>
          <w:t>[ISO/IEC-29500-1]</w:t>
        </w:r>
      </w:hyperlink>
      <w:r>
        <w:t xml:space="preserve"> §17.16.1":</w:t>
      </w:r>
    </w:p>
    <w:p w:rsidR="000A156F" w:rsidRDefault="00A9721F">
      <w:pPr>
        <w:ind w:left="360"/>
      </w:pPr>
      <w:r>
        <w:t>document-information:</w:t>
      </w:r>
    </w:p>
    <w:p w:rsidR="000A156F" w:rsidRDefault="00A9721F">
      <w:pPr>
        <w:ind w:left="360"/>
      </w:pPr>
      <w:r>
        <w:t xml:space="preserve">PRIVATE  |  </w:t>
      </w:r>
    </w:p>
    <w:p w:rsidR="000A156F" w:rsidRDefault="00A9721F">
      <w:pPr>
        <w:ind w:left="360"/>
      </w:pPr>
      <w:r>
        <w:t>links-and-references:</w:t>
      </w:r>
    </w:p>
    <w:p w:rsidR="000A156F" w:rsidRDefault="00A9721F">
      <w:pPr>
        <w:ind w:left="360"/>
      </w:pPr>
      <w:r>
        <w:t>DDE  |  DDEAUTO  |  GLOSSARY  |   INCLUDE  |   IMPORT  | SHAPE</w:t>
      </w:r>
    </w:p>
    <w:p w:rsidR="000A156F" w:rsidRDefault="00A9721F">
      <w:pPr>
        <w:pStyle w:val="Definition-Field"/>
      </w:pPr>
      <w:r>
        <w:t xml:space="preserve">e.   </w:t>
      </w:r>
      <w:r>
        <w:rPr>
          <w:i/>
        </w:rPr>
        <w:t>The standard defines a user-defined-fi</w:t>
      </w:r>
      <w:r>
        <w:rPr>
          <w:i/>
        </w:rPr>
        <w:t>eld.</w:t>
      </w:r>
    </w:p>
    <w:p w:rsidR="000A156F" w:rsidRDefault="00A9721F">
      <w:pPr>
        <w:ind w:firstLine="360"/>
      </w:pPr>
      <w:r>
        <w:t>Word does not implement user-defined-fields.</w:t>
      </w:r>
    </w:p>
    <w:p w:rsidR="000A156F" w:rsidRDefault="00A9721F">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 §17.16.1".</w:t>
      </w:r>
    </w:p>
    <w:p w:rsidR="000A156F" w:rsidRDefault="00A9721F">
      <w:pPr>
        <w:pStyle w:val="Definition-Field2"/>
      </w:pPr>
      <w:r>
        <w:t xml:space="preserve">Word interprets “instructions” in this </w:t>
      </w:r>
      <w:r>
        <w:t>section to mean “codes”, as defined in "[ISO/IEC-29500-1] §17.16".</w:t>
      </w:r>
    </w:p>
    <w:p w:rsidR="000A156F" w:rsidRDefault="00A9721F">
      <w:pPr>
        <w:pStyle w:val="Heading3"/>
      </w:pPr>
      <w:bookmarkStart w:id="928" w:name="section_01d8bb8ec1fa46e7865d931ad671a6c1"/>
      <w:bookmarkStart w:id="929" w:name="_Toc181683490"/>
      <w:r>
        <w:t>Part 1 Section 17.16.2, XML representation</w:t>
      </w:r>
      <w:bookmarkEnd w:id="928"/>
      <w:bookmarkEnd w:id="929"/>
      <w:r>
        <w:fldChar w:fldCharType="begin"/>
      </w:r>
      <w:r>
        <w:instrText xml:space="preserve"> XE "XML representation" </w:instrText>
      </w:r>
      <w:r>
        <w:fldChar w:fldCharType="end"/>
      </w:r>
    </w:p>
    <w:p w:rsidR="000A156F" w:rsidRDefault="00A9721F">
      <w:pPr>
        <w:pStyle w:val="ListParagraph"/>
        <w:ind w:left="0"/>
        <w:rPr>
          <w:i/>
        </w:rPr>
      </w:pPr>
      <w:r>
        <w:t xml:space="preserve">a.   </w:t>
      </w:r>
      <w:r>
        <w:rPr>
          <w:i/>
        </w:rPr>
        <w:t>The standard states that the instruction of one field can be another field, allowing fields to nest.</w:t>
      </w:r>
    </w:p>
    <w:p w:rsidR="000A156F" w:rsidRDefault="00A9721F">
      <w:pPr>
        <w:ind w:firstLine="360"/>
      </w:pPr>
      <w:r>
        <w:t>Word does not</w:t>
      </w:r>
      <w:r>
        <w:t xml:space="preserve"> allow the field-type name to be composed of nested fields.</w:t>
      </w:r>
    </w:p>
    <w:p w:rsidR="000A156F" w:rsidRDefault="00A9721F">
      <w:pPr>
        <w:ind w:firstLine="360"/>
      </w:pPr>
      <w:r>
        <w:t>[</w:t>
      </w:r>
      <w:r>
        <w:rPr>
          <w:i/>
        </w:rPr>
        <w:t>Example:</w:t>
      </w:r>
      <w:r>
        <w:t xml:space="preserve"> { DATE } is allowed, { DA{ QUOTE "TE" } } is not allowed. </w:t>
      </w:r>
      <w:r>
        <w:rPr>
          <w:i/>
        </w:rPr>
        <w:t>end example</w:t>
      </w:r>
      <w:r>
        <w:t>]</w:t>
      </w:r>
    </w:p>
    <w:p w:rsidR="000A156F" w:rsidRDefault="00A9721F">
      <w:pPr>
        <w:pStyle w:val="Heading3"/>
      </w:pPr>
      <w:bookmarkStart w:id="930" w:name="section_0e7a01caa5cd40aea9c6248bfda82221"/>
      <w:bookmarkStart w:id="931" w:name="_Toc181683491"/>
      <w:r>
        <w:lastRenderedPageBreak/>
        <w:t>Part 1 Section 17.16.3.2, Bookmarks</w:t>
      </w:r>
      <w:bookmarkEnd w:id="930"/>
      <w:bookmarkEnd w:id="931"/>
      <w:r>
        <w:fldChar w:fldCharType="begin"/>
      </w:r>
      <w:r>
        <w:instrText xml:space="preserve"> XE "Bookmarks" </w:instrText>
      </w:r>
      <w:r>
        <w:fldChar w:fldCharType="end"/>
      </w:r>
    </w:p>
    <w:p w:rsidR="000A156F" w:rsidRDefault="00A9721F">
      <w:pPr>
        <w:pStyle w:val="Definition-Field"/>
        <w:numPr>
          <w:ilvl w:val="0"/>
          <w:numId w:val="61"/>
        </w:numPr>
        <w:rPr>
          <w:i/>
        </w:rPr>
      </w:pPr>
      <w:r>
        <w:rPr>
          <w:i/>
        </w:rPr>
        <w:t>The standard does not explicitly indicate behavior when a boo</w:t>
      </w:r>
      <w:r>
        <w:rPr>
          <w:i/>
        </w:rPr>
        <w:t>kmark name is a valid table cell reference and is used in a field formula.</w:t>
      </w:r>
    </w:p>
    <w:p w:rsidR="000A156F" w:rsidRDefault="00A9721F">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w:t>
        </w:r>
        <w:r>
          <w:rPr>
            <w:rStyle w:val="Hyperlink"/>
          </w:rPr>
          <w:t xml:space="preserve"> §18.17.2.3.1(a)</w:t>
        </w:r>
      </w:hyperlink>
      <w:r>
        <w:t xml:space="preserve"> or </w:t>
      </w:r>
      <w:hyperlink w:anchor="Section_8d68c790057144f68583f837e72635ed" w:history="1">
        <w:r>
          <w:rPr>
            <w:rStyle w:val="Hyperlink"/>
          </w:rPr>
          <w:t>R1C1-Style Cell Reference, §18.17.2.3.2(a)</w:t>
        </w:r>
      </w:hyperlink>
      <w:r>
        <w:t>, its value is evaluated as follows:</w:t>
      </w:r>
    </w:p>
    <w:p w:rsidR="000A156F" w:rsidRDefault="00A9721F">
      <w:pPr>
        <w:pStyle w:val="Definition-Field2"/>
      </w:pPr>
      <w:r>
        <w:t>If the field formula is contained in a table and references a non-existent table cell, an error m</w:t>
      </w:r>
      <w:r>
        <w:t>essage is displayed. If the table cell exists, but does not have a numeric value, Word will use a value of 0. If the table cell does have a numeric value, Word will use that value.</w:t>
      </w:r>
    </w:p>
    <w:p w:rsidR="000A156F" w:rsidRDefault="00A9721F">
      <w:pPr>
        <w:pStyle w:val="Definition-Field2"/>
      </w:pPr>
      <w:r>
        <w:t xml:space="preserve">If the field formula is not contained in a table, and the bookmark name is </w:t>
      </w:r>
      <w:r>
        <w:t>not a valid bookmark, Word will use a value of 0. If the bookmark name is valid, and the bookmark does not have a numeric value, Word will use the value of 0. If the bookmark name is valid and the bookmark does have a numeric value, Word will use that valu</w:t>
      </w:r>
      <w:r>
        <w:t>e.</w:t>
      </w:r>
    </w:p>
    <w:p w:rsidR="000A156F" w:rsidRDefault="00A9721F">
      <w:pPr>
        <w:pStyle w:val="ListParagraph"/>
        <w:numPr>
          <w:ilvl w:val="0"/>
          <w:numId w:val="61"/>
        </w:numPr>
        <w:rPr>
          <w:i/>
        </w:rPr>
      </w:pPr>
      <w:r>
        <w:rPr>
          <w:i/>
        </w:rPr>
        <w:t>The standard does not explicitly indicate behavior when a bookmark name is the same as a reserved function name.</w:t>
      </w:r>
    </w:p>
    <w:p w:rsidR="000A156F" w:rsidRDefault="00A9721F">
      <w:pPr>
        <w:pStyle w:val="Definition-Field2"/>
      </w:pPr>
      <w:r>
        <w:t>In Word, reserved function names cannot be used as bookmark names within a formula or expression.</w:t>
      </w:r>
    </w:p>
    <w:p w:rsidR="000A156F" w:rsidRDefault="00A9721F">
      <w:pPr>
        <w:pStyle w:val="Heading3"/>
      </w:pPr>
      <w:bookmarkStart w:id="932" w:name="section_85aca241958e4d6f8c8081258ea5ca60"/>
      <w:bookmarkStart w:id="933" w:name="_Toc181683492"/>
      <w:r>
        <w:t>Part 1 Section 17.16.3.3, Operators</w:t>
      </w:r>
      <w:bookmarkEnd w:id="932"/>
      <w:bookmarkEnd w:id="933"/>
      <w:r>
        <w:fldChar w:fldCharType="begin"/>
      </w:r>
      <w:r>
        <w:instrText xml:space="preserve"> XE "Op</w:instrText>
      </w:r>
      <w:r>
        <w:instrText xml:space="preserve">erators" </w:instrText>
      </w:r>
      <w:r>
        <w:fldChar w:fldCharType="end"/>
      </w:r>
    </w:p>
    <w:p w:rsidR="000A156F" w:rsidRDefault="00A9721F">
      <w:pPr>
        <w:pStyle w:val="Definition-Field"/>
      </w:pPr>
      <w:r>
        <w:t xml:space="preserve">a.   </w:t>
      </w:r>
      <w:r>
        <w:rPr>
          <w:i/>
        </w:rPr>
        <w:t>The standard says that the multiplication, division and exponent operators have higher precedence than the percentage operator.</w:t>
      </w:r>
    </w:p>
    <w:p w:rsidR="000A156F" w:rsidRDefault="00A9721F">
      <w:pPr>
        <w:pStyle w:val="Definition-Field2"/>
      </w:pPr>
      <w:r>
        <w:t>In Word, the percentage operator has higher precedence than the multiplication, division and exponent operators</w:t>
      </w:r>
      <w:r>
        <w:t>.</w:t>
      </w:r>
    </w:p>
    <w:p w:rsidR="000A156F" w:rsidRDefault="00A9721F">
      <w:pPr>
        <w:pStyle w:val="Heading3"/>
      </w:pPr>
      <w:bookmarkStart w:id="934" w:name="section_f6c3f73269c144b9b8f4517245404a01"/>
      <w:bookmarkStart w:id="935" w:name="_Toc181683493"/>
      <w:r>
        <w:t>Part 1 Section 17.16.3.5, Table cell references</w:t>
      </w:r>
      <w:bookmarkEnd w:id="934"/>
      <w:bookmarkEnd w:id="935"/>
      <w:r>
        <w:fldChar w:fldCharType="begin"/>
      </w:r>
      <w:r>
        <w:instrText xml:space="preserve"> XE "Table cell references" </w:instrText>
      </w:r>
      <w:r>
        <w:fldChar w:fldCharType="end"/>
      </w:r>
    </w:p>
    <w:p w:rsidR="000A156F" w:rsidRDefault="00A9721F">
      <w:pPr>
        <w:pStyle w:val="Definition-Field"/>
        <w:numPr>
          <w:ilvl w:val="0"/>
          <w:numId w:val="62"/>
        </w:numPr>
        <w:rPr>
          <w:i/>
        </w:rPr>
      </w:pPr>
      <w:r>
        <w:rPr>
          <w:i/>
        </w:rPr>
        <w:t>The standard states that cells have names such as A1, A2, B1, B2, and so on, with the letter representing the column and the number representing a row.</w:t>
      </w:r>
    </w:p>
    <w:p w:rsidR="000A156F" w:rsidRDefault="00A9721F">
      <w:pPr>
        <w:pStyle w:val="Definition-Field2"/>
      </w:pPr>
      <w:r>
        <w:t>In Word, a cell can also</w:t>
      </w:r>
      <w:r>
        <w:t xml:space="preserve"> be referenced with the R1C1 style as described in </w:t>
      </w:r>
      <w:hyperlink w:anchor="Section_8d68c790057144f68583f837e72635ed" w:history="1">
        <w:r>
          <w:rPr>
            <w:rStyle w:val="Hyperlink"/>
          </w:rPr>
          <w:t>R1C1-Style Cell Reference, §18.17.2.3.2(a)</w:t>
        </w:r>
      </w:hyperlink>
      <w:r>
        <w:t>. Word only recognizes absolute cell references in this format.</w:t>
      </w:r>
    </w:p>
    <w:p w:rsidR="000A156F" w:rsidRDefault="00A9721F">
      <w:pPr>
        <w:pStyle w:val="Heading3"/>
      </w:pPr>
      <w:bookmarkStart w:id="936" w:name="section_b4bc44db20704cee8793f96817dd4985"/>
      <w:bookmarkStart w:id="937" w:name="_Toc181683494"/>
      <w:r>
        <w:t>Part 1 Section 17.16.4.1, Date and time</w:t>
      </w:r>
      <w:r>
        <w:t xml:space="preserve"> formatting</w:t>
      </w:r>
      <w:bookmarkEnd w:id="936"/>
      <w:bookmarkEnd w:id="937"/>
      <w:r>
        <w:fldChar w:fldCharType="begin"/>
      </w:r>
      <w:r>
        <w:instrText xml:space="preserve"> XE "Date and time formatting" </w:instrText>
      </w:r>
      <w:r>
        <w:fldChar w:fldCharType="end"/>
      </w:r>
    </w:p>
    <w:p w:rsidR="000A156F" w:rsidRDefault="00A9721F">
      <w:pPr>
        <w:pStyle w:val="Definition-Field"/>
      </w:pPr>
      <w:r>
        <w:t xml:space="preserve">a.   </w:t>
      </w:r>
      <w:r>
        <w:rPr>
          <w:i/>
        </w:rPr>
        <w:t>The standard does not specify that quotation marks must surround switch arguments that contain white space.</w:t>
      </w:r>
    </w:p>
    <w:p w:rsidR="000A156F" w:rsidRDefault="00A9721F">
      <w:pPr>
        <w:pStyle w:val="Definition-Field2"/>
      </w:pPr>
      <w:r>
        <w:t xml:space="preserve">In Word, quotation marks are required around the switch-argument if it contains white space; </w:t>
      </w:r>
      <w:r>
        <w:t>otherwise, the quotation marks are optional.</w:t>
      </w:r>
    </w:p>
    <w:p w:rsidR="000A156F" w:rsidRDefault="00A9721F">
      <w:pPr>
        <w:pStyle w:val="Heading3"/>
      </w:pPr>
      <w:bookmarkStart w:id="938" w:name="section_77bace381a5343a19598684246b14b62"/>
      <w:bookmarkStart w:id="939" w:name="_Toc181683495"/>
      <w:r>
        <w:t>Part 1 Section 17.16.4.3, General formatting</w:t>
      </w:r>
      <w:bookmarkEnd w:id="938"/>
      <w:bookmarkEnd w:id="939"/>
      <w:r>
        <w:fldChar w:fldCharType="begin"/>
      </w:r>
      <w:r>
        <w:instrText xml:space="preserve"> XE "General formatting" </w:instrText>
      </w:r>
      <w:r>
        <w:fldChar w:fldCharType="end"/>
      </w:r>
    </w:p>
    <w:p w:rsidR="000A156F" w:rsidRDefault="00A9721F">
      <w:pPr>
        <w:pStyle w:val="Definition-Field"/>
      </w:pPr>
      <w:r>
        <w:t xml:space="preserve">a.   </w:t>
      </w:r>
      <w:r>
        <w:rPr>
          <w:i/>
        </w:rPr>
        <w:t>The standard makes no mention of the MERGEFORMATINET switch argument</w:t>
      </w:r>
    </w:p>
    <w:p w:rsidR="000A156F" w:rsidRDefault="00A9721F">
      <w:r>
        <w:t xml:space="preserve">Word understands an additional switch argument, MERGEFORMATINET.  </w:t>
      </w:r>
    </w:p>
    <w:p w:rsidR="000A156F" w:rsidRDefault="00A9721F">
      <w:r>
        <w:t>When this switch argument is present on an INCLUDEPICTURE or IMPORT field, Word will preserve the dimensions of any picture within the result such that when the result is updated with a new</w:t>
      </w:r>
      <w:r>
        <w:t xml:space="preserve"> picture, the dimensions of the new picture shall be set to match the dimensions of the original picture.  </w:t>
      </w:r>
    </w:p>
    <w:p w:rsidR="000A156F" w:rsidRDefault="00A9721F">
      <w:r>
        <w:lastRenderedPageBreak/>
        <w:t>When this switch argument is present on any other field, Word interprets this the same as a MERGEFORMAT switch.</w:t>
      </w:r>
    </w:p>
    <w:p w:rsidR="000A156F" w:rsidRDefault="00A9721F">
      <w:pPr>
        <w:pStyle w:val="Heading3"/>
      </w:pPr>
      <w:bookmarkStart w:id="940" w:name="section_9ca3f9d657da45608daac53116a60fa3"/>
      <w:bookmarkStart w:id="941" w:name="_Toc181683496"/>
      <w:r>
        <w:t>Part 1 Section 17.16.5.1, ADDRESSBLO</w:t>
      </w:r>
      <w:r>
        <w:t>CK</w:t>
      </w:r>
      <w:bookmarkEnd w:id="940"/>
      <w:bookmarkEnd w:id="941"/>
      <w:r>
        <w:fldChar w:fldCharType="begin"/>
      </w:r>
      <w:r>
        <w:instrText xml:space="preserve"> XE "ADDRESSBLOCK" </w:instrText>
      </w:r>
      <w:r>
        <w:fldChar w:fldCharType="end"/>
      </w:r>
    </w:p>
    <w:p w:rsidR="000A156F" w:rsidRDefault="00A9721F">
      <w:pPr>
        <w:pStyle w:val="Definition-Field"/>
      </w:pPr>
      <w:r>
        <w:t xml:space="preserve">a.   </w:t>
      </w:r>
      <w:r>
        <w:rPr>
          <w:i/>
        </w:rPr>
        <w:t>The standard does not fully explain the format accepted by the \f switch.</w:t>
      </w:r>
    </w:p>
    <w:p w:rsidR="000A156F" w:rsidRDefault="00A9721F">
      <w:r>
        <w:t xml:space="preserve">In Word, placeholders in this switch's field-argument reference a </w:t>
      </w:r>
      <w:r>
        <w:rPr>
          <w:b/>
        </w:rPr>
        <w:t>fieldMapData</w:t>
      </w:r>
      <w:r>
        <w:t xml:space="preserve"> element. ("</w:t>
      </w:r>
      <w:hyperlink r:id="rId112">
        <w:r>
          <w:rPr>
            <w:rStyle w:val="Hyperlink"/>
          </w:rPr>
          <w:t>[ISO/IEC-29500-1]</w:t>
        </w:r>
      </w:hyperlink>
      <w:r>
        <w:t xml:space="preserve"> §17.14.15;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0A156F" w:rsidRDefault="00A9721F">
      <w:r>
        <w:t>The following are the possible placeholders and corresponding mapped merge field names are reserved:</w:t>
      </w:r>
    </w:p>
    <w:tbl>
      <w:tblPr>
        <w:tblStyle w:val="Table-ShadedHeader"/>
        <w:tblW w:w="0" w:type="auto"/>
        <w:tblLook w:val="04A0" w:firstRow="1" w:lastRow="0" w:firstColumn="1" w:lastColumn="0" w:noHBand="0" w:noVBand="1"/>
      </w:tblPr>
      <w:tblGrid>
        <w:gridCol w:w="1754"/>
        <w:gridCol w:w="2641"/>
        <w:gridCol w:w="265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PLACEHOLDER</w:t>
            </w:r>
          </w:p>
        </w:tc>
        <w:tc>
          <w:tcPr>
            <w:tcW w:w="0" w:type="auto"/>
            <w:vAlign w:val="center"/>
          </w:tcPr>
          <w:p w:rsidR="000A156F" w:rsidRDefault="00A9721F">
            <w:pPr>
              <w:pStyle w:val="TableHeaderText"/>
            </w:pPr>
            <w:r>
              <w:t>ALTERNATE PLACEHOLDER</w:t>
            </w:r>
          </w:p>
        </w:tc>
        <w:tc>
          <w:tcPr>
            <w:tcW w:w="0" w:type="auto"/>
            <w:vAlign w:val="center"/>
          </w:tcPr>
          <w:p w:rsidR="000A156F" w:rsidRDefault="00A9721F">
            <w:pPr>
              <w:pStyle w:val="TableHeaderText"/>
            </w:pPr>
            <w:r>
              <w:t>mappedName</w:t>
            </w:r>
          </w:p>
        </w:tc>
      </w:tr>
      <w:tr w:rsidR="000A156F" w:rsidTr="000A156F">
        <w:tc>
          <w:tcPr>
            <w:tcW w:w="0" w:type="auto"/>
            <w:vAlign w:val="center"/>
          </w:tcPr>
          <w:p w:rsidR="000A156F" w:rsidRDefault="00A9721F">
            <w:pPr>
              <w:pStyle w:val="TableBodyText"/>
            </w:pPr>
            <w:r>
              <w:t>&lt;&lt;_TITLE0_&gt;&gt;</w:t>
            </w:r>
          </w:p>
        </w:tc>
        <w:tc>
          <w:tcPr>
            <w:tcW w:w="0" w:type="auto"/>
            <w:vAlign w:val="center"/>
          </w:tcPr>
          <w:p w:rsidR="000A156F" w:rsidRDefault="00A9721F">
            <w:pPr>
              <w:pStyle w:val="TableBodyText"/>
            </w:pPr>
            <w:r>
              <w:t>/t0</w:t>
            </w:r>
          </w:p>
        </w:tc>
        <w:tc>
          <w:tcPr>
            <w:tcW w:w="0" w:type="auto"/>
            <w:vAlign w:val="center"/>
          </w:tcPr>
          <w:p w:rsidR="000A156F" w:rsidRDefault="00A9721F">
            <w:pPr>
              <w:pStyle w:val="TableBodyText"/>
            </w:pPr>
            <w:r>
              <w:t>Courtesy Title</w:t>
            </w:r>
          </w:p>
        </w:tc>
      </w:tr>
      <w:tr w:rsidR="000A156F" w:rsidTr="000A156F">
        <w:tc>
          <w:tcPr>
            <w:tcW w:w="0" w:type="auto"/>
            <w:vAlign w:val="center"/>
          </w:tcPr>
          <w:p w:rsidR="000A156F" w:rsidRDefault="00A9721F">
            <w:pPr>
              <w:pStyle w:val="TableBodyText"/>
            </w:pPr>
            <w:r>
              <w:t>&lt;&lt;_NICK0_&gt;&gt;</w:t>
            </w:r>
          </w:p>
        </w:tc>
        <w:tc>
          <w:tcPr>
            <w:tcW w:w="0" w:type="auto"/>
            <w:vAlign w:val="center"/>
          </w:tcPr>
          <w:p w:rsidR="000A156F" w:rsidRDefault="00A9721F">
            <w:pPr>
              <w:pStyle w:val="TableBodyText"/>
            </w:pPr>
            <w:r>
              <w:t>/n0</w:t>
            </w:r>
          </w:p>
        </w:tc>
        <w:tc>
          <w:tcPr>
            <w:tcW w:w="0" w:type="auto"/>
            <w:vAlign w:val="center"/>
          </w:tcPr>
          <w:p w:rsidR="000A156F" w:rsidRDefault="00A9721F">
            <w:pPr>
              <w:pStyle w:val="TableBodyText"/>
            </w:pPr>
            <w:r>
              <w:t>Nickname</w:t>
            </w:r>
          </w:p>
        </w:tc>
      </w:tr>
      <w:tr w:rsidR="000A156F" w:rsidTr="000A156F">
        <w:tc>
          <w:tcPr>
            <w:tcW w:w="0" w:type="auto"/>
            <w:vAlign w:val="center"/>
          </w:tcPr>
          <w:p w:rsidR="000A156F" w:rsidRDefault="00A9721F">
            <w:pPr>
              <w:pStyle w:val="TableBodyText"/>
            </w:pPr>
            <w:r>
              <w:t>&lt;&lt;_FIRST0_&gt;&gt;</w:t>
            </w:r>
          </w:p>
        </w:tc>
        <w:tc>
          <w:tcPr>
            <w:tcW w:w="0" w:type="auto"/>
            <w:vAlign w:val="center"/>
          </w:tcPr>
          <w:p w:rsidR="000A156F" w:rsidRDefault="00A9721F">
            <w:pPr>
              <w:pStyle w:val="TableBodyText"/>
            </w:pPr>
            <w:r>
              <w:t>/f0</w:t>
            </w:r>
          </w:p>
        </w:tc>
        <w:tc>
          <w:tcPr>
            <w:tcW w:w="0" w:type="auto"/>
            <w:vAlign w:val="center"/>
          </w:tcPr>
          <w:p w:rsidR="000A156F" w:rsidRDefault="00A9721F">
            <w:pPr>
              <w:pStyle w:val="TableBodyText"/>
            </w:pPr>
            <w:r>
              <w:t>First Name</w:t>
            </w:r>
          </w:p>
        </w:tc>
      </w:tr>
      <w:tr w:rsidR="000A156F" w:rsidTr="000A156F">
        <w:tc>
          <w:tcPr>
            <w:tcW w:w="0" w:type="auto"/>
            <w:vAlign w:val="center"/>
          </w:tcPr>
          <w:p w:rsidR="000A156F" w:rsidRDefault="00A9721F">
            <w:pPr>
              <w:pStyle w:val="TableBodyText"/>
            </w:pPr>
            <w:r>
              <w:t>&lt;&lt;_MIDDLE0_&gt;&gt;</w:t>
            </w:r>
          </w:p>
        </w:tc>
        <w:tc>
          <w:tcPr>
            <w:tcW w:w="0" w:type="auto"/>
            <w:vAlign w:val="center"/>
          </w:tcPr>
          <w:p w:rsidR="000A156F" w:rsidRDefault="00A9721F">
            <w:pPr>
              <w:pStyle w:val="TableBodyText"/>
            </w:pPr>
            <w:r>
              <w:t>/m0</w:t>
            </w:r>
          </w:p>
        </w:tc>
        <w:tc>
          <w:tcPr>
            <w:tcW w:w="0" w:type="auto"/>
            <w:vAlign w:val="center"/>
          </w:tcPr>
          <w:p w:rsidR="000A156F" w:rsidRDefault="00A9721F">
            <w:pPr>
              <w:pStyle w:val="TableBodyText"/>
            </w:pPr>
            <w:r>
              <w:t>Middle Name</w:t>
            </w:r>
          </w:p>
        </w:tc>
      </w:tr>
      <w:tr w:rsidR="000A156F" w:rsidTr="000A156F">
        <w:tc>
          <w:tcPr>
            <w:tcW w:w="0" w:type="auto"/>
            <w:vAlign w:val="center"/>
          </w:tcPr>
          <w:p w:rsidR="000A156F" w:rsidRDefault="00A9721F">
            <w:pPr>
              <w:pStyle w:val="TableBodyText"/>
            </w:pPr>
            <w:r>
              <w:t>&lt;&lt;_LAST0_&gt;&gt;</w:t>
            </w:r>
          </w:p>
        </w:tc>
        <w:tc>
          <w:tcPr>
            <w:tcW w:w="0" w:type="auto"/>
            <w:vAlign w:val="center"/>
          </w:tcPr>
          <w:p w:rsidR="000A156F" w:rsidRDefault="00A9721F">
            <w:pPr>
              <w:pStyle w:val="TableBodyText"/>
            </w:pPr>
            <w:r>
              <w:t>/l0</w:t>
            </w:r>
          </w:p>
        </w:tc>
        <w:tc>
          <w:tcPr>
            <w:tcW w:w="0" w:type="auto"/>
            <w:vAlign w:val="center"/>
          </w:tcPr>
          <w:p w:rsidR="000A156F" w:rsidRDefault="00A9721F">
            <w:pPr>
              <w:pStyle w:val="TableBodyText"/>
            </w:pPr>
            <w:r>
              <w:t>Last Name</w:t>
            </w:r>
          </w:p>
        </w:tc>
      </w:tr>
      <w:tr w:rsidR="000A156F" w:rsidTr="000A156F">
        <w:tc>
          <w:tcPr>
            <w:tcW w:w="0" w:type="auto"/>
            <w:vAlign w:val="center"/>
          </w:tcPr>
          <w:p w:rsidR="000A156F" w:rsidRDefault="00A9721F">
            <w:pPr>
              <w:pStyle w:val="TableBodyText"/>
            </w:pPr>
            <w:r>
              <w:t>&lt;&lt;_SUFFIX0_&gt;&gt;</w:t>
            </w:r>
          </w:p>
        </w:tc>
        <w:tc>
          <w:tcPr>
            <w:tcW w:w="0" w:type="auto"/>
            <w:vAlign w:val="center"/>
          </w:tcPr>
          <w:p w:rsidR="000A156F" w:rsidRDefault="00A9721F">
            <w:pPr>
              <w:pStyle w:val="TableBodyText"/>
            </w:pPr>
            <w:r>
              <w:t>/s0</w:t>
            </w:r>
          </w:p>
        </w:tc>
        <w:tc>
          <w:tcPr>
            <w:tcW w:w="0" w:type="auto"/>
            <w:vAlign w:val="center"/>
          </w:tcPr>
          <w:p w:rsidR="000A156F" w:rsidRDefault="00A9721F">
            <w:pPr>
              <w:pStyle w:val="TableBodyText"/>
            </w:pPr>
            <w:r>
              <w:t>Suffix</w:t>
            </w:r>
          </w:p>
        </w:tc>
      </w:tr>
      <w:tr w:rsidR="000A156F" w:rsidTr="000A156F">
        <w:tc>
          <w:tcPr>
            <w:tcW w:w="0" w:type="auto"/>
            <w:vAlign w:val="center"/>
          </w:tcPr>
          <w:p w:rsidR="000A156F" w:rsidRDefault="00A9721F">
            <w:pPr>
              <w:pStyle w:val="TableBodyText"/>
            </w:pPr>
            <w:r>
              <w:t>&lt;&lt;_TITLE1_&gt;&gt;</w:t>
            </w:r>
          </w:p>
        </w:tc>
        <w:tc>
          <w:tcPr>
            <w:tcW w:w="0" w:type="auto"/>
            <w:vAlign w:val="center"/>
          </w:tcPr>
          <w:p w:rsidR="000A156F" w:rsidRDefault="00A9721F">
            <w:pPr>
              <w:pStyle w:val="TableBodyText"/>
            </w:pPr>
            <w:r>
              <w:t>/t1</w:t>
            </w:r>
          </w:p>
        </w:tc>
        <w:tc>
          <w:tcPr>
            <w:tcW w:w="0" w:type="auto"/>
            <w:vAlign w:val="center"/>
          </w:tcPr>
          <w:p w:rsidR="000A156F" w:rsidRDefault="00A9721F">
            <w:pPr>
              <w:pStyle w:val="TableBodyText"/>
            </w:pPr>
            <w:r>
              <w:t>Spouse/Partner Courtesy Title</w:t>
            </w:r>
          </w:p>
        </w:tc>
      </w:tr>
      <w:tr w:rsidR="000A156F" w:rsidTr="000A156F">
        <w:tc>
          <w:tcPr>
            <w:tcW w:w="0" w:type="auto"/>
            <w:vAlign w:val="center"/>
          </w:tcPr>
          <w:p w:rsidR="000A156F" w:rsidRDefault="00A9721F">
            <w:pPr>
              <w:pStyle w:val="TableBodyText"/>
            </w:pPr>
            <w:r>
              <w:t>&lt;&lt;_NICK1_&gt;&gt;</w:t>
            </w:r>
          </w:p>
        </w:tc>
        <w:tc>
          <w:tcPr>
            <w:tcW w:w="0" w:type="auto"/>
            <w:vAlign w:val="center"/>
          </w:tcPr>
          <w:p w:rsidR="000A156F" w:rsidRDefault="00A9721F">
            <w:pPr>
              <w:pStyle w:val="TableBodyText"/>
            </w:pPr>
            <w:r>
              <w:t>/n1</w:t>
            </w:r>
          </w:p>
        </w:tc>
        <w:tc>
          <w:tcPr>
            <w:tcW w:w="0" w:type="auto"/>
            <w:vAlign w:val="center"/>
          </w:tcPr>
          <w:p w:rsidR="000A156F" w:rsidRDefault="00A9721F">
            <w:pPr>
              <w:pStyle w:val="TableBodyText"/>
            </w:pPr>
            <w:r>
              <w:t>Spouse/Partner Nickname</w:t>
            </w:r>
          </w:p>
        </w:tc>
      </w:tr>
      <w:tr w:rsidR="000A156F" w:rsidTr="000A156F">
        <w:tc>
          <w:tcPr>
            <w:tcW w:w="0" w:type="auto"/>
            <w:vAlign w:val="center"/>
          </w:tcPr>
          <w:p w:rsidR="000A156F" w:rsidRDefault="00A9721F">
            <w:pPr>
              <w:pStyle w:val="TableBodyText"/>
            </w:pPr>
            <w:r>
              <w:t>&lt;&lt;_FIRST1_&gt;&gt;</w:t>
            </w:r>
          </w:p>
        </w:tc>
        <w:tc>
          <w:tcPr>
            <w:tcW w:w="0" w:type="auto"/>
            <w:vAlign w:val="center"/>
          </w:tcPr>
          <w:p w:rsidR="000A156F" w:rsidRDefault="00A9721F">
            <w:pPr>
              <w:pStyle w:val="TableBodyText"/>
            </w:pPr>
            <w:r>
              <w:t>/f1</w:t>
            </w:r>
          </w:p>
        </w:tc>
        <w:tc>
          <w:tcPr>
            <w:tcW w:w="0" w:type="auto"/>
            <w:vAlign w:val="center"/>
          </w:tcPr>
          <w:p w:rsidR="000A156F" w:rsidRDefault="00A9721F">
            <w:pPr>
              <w:pStyle w:val="TableBodyText"/>
            </w:pPr>
            <w:r>
              <w:t>Spouse/Partner First Name</w:t>
            </w:r>
          </w:p>
        </w:tc>
      </w:tr>
      <w:tr w:rsidR="000A156F" w:rsidTr="000A156F">
        <w:tc>
          <w:tcPr>
            <w:tcW w:w="0" w:type="auto"/>
            <w:vAlign w:val="center"/>
          </w:tcPr>
          <w:p w:rsidR="000A156F" w:rsidRDefault="00A9721F">
            <w:pPr>
              <w:pStyle w:val="TableBodyText"/>
            </w:pPr>
            <w:r>
              <w:t>&lt;&lt;_MIDDLE1_&gt;&gt;</w:t>
            </w:r>
          </w:p>
        </w:tc>
        <w:tc>
          <w:tcPr>
            <w:tcW w:w="0" w:type="auto"/>
            <w:vAlign w:val="center"/>
          </w:tcPr>
          <w:p w:rsidR="000A156F" w:rsidRDefault="00A9721F">
            <w:pPr>
              <w:pStyle w:val="TableBodyText"/>
            </w:pPr>
            <w:r>
              <w:t>/m1</w:t>
            </w:r>
          </w:p>
        </w:tc>
        <w:tc>
          <w:tcPr>
            <w:tcW w:w="0" w:type="auto"/>
            <w:vAlign w:val="center"/>
          </w:tcPr>
          <w:p w:rsidR="000A156F" w:rsidRDefault="00A9721F">
            <w:pPr>
              <w:pStyle w:val="TableBodyText"/>
            </w:pPr>
            <w:r>
              <w:t>Spouse/Partner Middle Name</w:t>
            </w:r>
          </w:p>
        </w:tc>
      </w:tr>
      <w:tr w:rsidR="000A156F" w:rsidTr="000A156F">
        <w:tc>
          <w:tcPr>
            <w:tcW w:w="0" w:type="auto"/>
            <w:vAlign w:val="center"/>
          </w:tcPr>
          <w:p w:rsidR="000A156F" w:rsidRDefault="00A9721F">
            <w:pPr>
              <w:pStyle w:val="TableBodyText"/>
            </w:pPr>
            <w:r>
              <w:t>&lt;&lt;_LAST1_&gt;&gt;</w:t>
            </w:r>
          </w:p>
        </w:tc>
        <w:tc>
          <w:tcPr>
            <w:tcW w:w="0" w:type="auto"/>
            <w:vAlign w:val="center"/>
          </w:tcPr>
          <w:p w:rsidR="000A156F" w:rsidRDefault="00A9721F">
            <w:pPr>
              <w:pStyle w:val="TableBodyText"/>
            </w:pPr>
            <w:r>
              <w:t>/l1</w:t>
            </w:r>
          </w:p>
        </w:tc>
        <w:tc>
          <w:tcPr>
            <w:tcW w:w="0" w:type="auto"/>
            <w:vAlign w:val="center"/>
          </w:tcPr>
          <w:p w:rsidR="000A156F" w:rsidRDefault="00A9721F">
            <w:pPr>
              <w:pStyle w:val="TableBodyText"/>
            </w:pPr>
            <w:r>
              <w:t>Spouse/Partner Last Name</w:t>
            </w:r>
          </w:p>
        </w:tc>
      </w:tr>
      <w:tr w:rsidR="000A156F" w:rsidTr="000A156F">
        <w:tc>
          <w:tcPr>
            <w:tcW w:w="0" w:type="auto"/>
            <w:vAlign w:val="center"/>
          </w:tcPr>
          <w:p w:rsidR="000A156F" w:rsidRDefault="00A9721F">
            <w:pPr>
              <w:pStyle w:val="TableBodyText"/>
            </w:pPr>
            <w:r>
              <w:t>&lt;&lt;_SUFFIX1_&gt;&gt;</w:t>
            </w:r>
          </w:p>
        </w:tc>
        <w:tc>
          <w:tcPr>
            <w:tcW w:w="0" w:type="auto"/>
            <w:vAlign w:val="center"/>
          </w:tcPr>
          <w:p w:rsidR="000A156F" w:rsidRDefault="00A9721F">
            <w:pPr>
              <w:pStyle w:val="TableBodyText"/>
            </w:pPr>
            <w:r>
              <w:t>/s1</w:t>
            </w:r>
          </w:p>
        </w:tc>
        <w:tc>
          <w:tcPr>
            <w:tcW w:w="0" w:type="auto"/>
            <w:vAlign w:val="center"/>
          </w:tcPr>
          <w:p w:rsidR="000A156F" w:rsidRDefault="00A9721F">
            <w:pPr>
              <w:pStyle w:val="TableBodyText"/>
            </w:pPr>
            <w:r>
              <w:t>Spouse/Partner Suffix</w:t>
            </w:r>
          </w:p>
        </w:tc>
      </w:tr>
      <w:tr w:rsidR="000A156F" w:rsidTr="000A156F">
        <w:tc>
          <w:tcPr>
            <w:tcW w:w="0" w:type="auto"/>
            <w:vAlign w:val="center"/>
          </w:tcPr>
          <w:p w:rsidR="000A156F" w:rsidRDefault="00A9721F">
            <w:pPr>
              <w:pStyle w:val="TableBodyText"/>
            </w:pPr>
            <w:r>
              <w:t>&lt;&lt;_COMPANY_&gt;&gt;</w:t>
            </w:r>
          </w:p>
        </w:tc>
        <w:tc>
          <w:tcPr>
            <w:tcW w:w="0" w:type="auto"/>
            <w:vAlign w:val="center"/>
          </w:tcPr>
          <w:p w:rsidR="000A156F" w:rsidRDefault="00A9721F">
            <w:pPr>
              <w:pStyle w:val="TableBodyText"/>
            </w:pPr>
            <w:r>
              <w:t>/c</w:t>
            </w:r>
          </w:p>
        </w:tc>
        <w:tc>
          <w:tcPr>
            <w:tcW w:w="0" w:type="auto"/>
            <w:vAlign w:val="center"/>
          </w:tcPr>
          <w:p w:rsidR="000A156F" w:rsidRDefault="00A9721F">
            <w:pPr>
              <w:pStyle w:val="TableBodyText"/>
            </w:pPr>
            <w:r>
              <w:t>Company</w:t>
            </w:r>
          </w:p>
        </w:tc>
      </w:tr>
      <w:tr w:rsidR="000A156F" w:rsidTr="000A156F">
        <w:tc>
          <w:tcPr>
            <w:tcW w:w="0" w:type="auto"/>
            <w:vAlign w:val="center"/>
          </w:tcPr>
          <w:p w:rsidR="000A156F" w:rsidRDefault="00A9721F">
            <w:pPr>
              <w:pStyle w:val="TableBodyText"/>
            </w:pPr>
            <w:r>
              <w:t>&lt;&lt;_STREET1_&gt;&gt;</w:t>
            </w:r>
          </w:p>
        </w:tc>
        <w:tc>
          <w:tcPr>
            <w:tcW w:w="0" w:type="auto"/>
            <w:vAlign w:val="center"/>
          </w:tcPr>
          <w:p w:rsidR="000A156F" w:rsidRDefault="000A156F">
            <w:pPr>
              <w:pStyle w:val="TableBodyText"/>
            </w:pPr>
          </w:p>
          <w:p w:rsidR="000A156F" w:rsidRDefault="000A156F">
            <w:pPr>
              <w:pStyle w:val="TableBodyText"/>
            </w:pPr>
          </w:p>
          <w:p w:rsidR="000A156F" w:rsidRDefault="00A9721F">
            <w:pPr>
              <w:pStyle w:val="TableBodyText"/>
            </w:pPr>
            <w:r>
              <w:t>/r</w:t>
            </w:r>
          </w:p>
        </w:tc>
        <w:tc>
          <w:tcPr>
            <w:tcW w:w="0" w:type="auto"/>
            <w:vAlign w:val="center"/>
          </w:tcPr>
          <w:p w:rsidR="000A156F" w:rsidRDefault="00A9721F">
            <w:pPr>
              <w:pStyle w:val="TableBodyText"/>
            </w:pPr>
            <w:r>
              <w:t>Address 1</w:t>
            </w:r>
          </w:p>
        </w:tc>
      </w:tr>
      <w:tr w:rsidR="000A156F" w:rsidTr="000A156F">
        <w:tc>
          <w:tcPr>
            <w:tcW w:w="0" w:type="auto"/>
            <w:vAlign w:val="center"/>
          </w:tcPr>
          <w:p w:rsidR="000A156F" w:rsidRDefault="00A9721F">
            <w:pPr>
              <w:pStyle w:val="TableBodyText"/>
            </w:pPr>
            <w:r>
              <w:t>&lt;&lt;_STREET2_&gt;&gt;</w:t>
            </w:r>
          </w:p>
        </w:tc>
        <w:tc>
          <w:tcPr>
            <w:tcW w:w="0" w:type="auto"/>
            <w:vAlign w:val="center"/>
          </w:tcPr>
          <w:p w:rsidR="000A156F" w:rsidRDefault="00A9721F">
            <w:pPr>
              <w:pStyle w:val="TableBodyText"/>
            </w:pPr>
            <w:r>
              <w:t>/e</w:t>
            </w:r>
          </w:p>
        </w:tc>
        <w:tc>
          <w:tcPr>
            <w:tcW w:w="0" w:type="auto"/>
            <w:vAlign w:val="center"/>
          </w:tcPr>
          <w:p w:rsidR="000A156F" w:rsidRDefault="00A9721F">
            <w:pPr>
              <w:pStyle w:val="TableBodyText"/>
            </w:pPr>
            <w:r>
              <w:t>Address 2</w:t>
            </w:r>
          </w:p>
        </w:tc>
      </w:tr>
      <w:tr w:rsidR="000A156F" w:rsidTr="000A156F">
        <w:tc>
          <w:tcPr>
            <w:tcW w:w="0" w:type="auto"/>
            <w:vAlign w:val="center"/>
          </w:tcPr>
          <w:p w:rsidR="000A156F" w:rsidRDefault="00A9721F">
            <w:pPr>
              <w:pStyle w:val="TableBodyText"/>
            </w:pPr>
            <w:r>
              <w:t>&lt;&lt;_CITY_&gt;&gt;</w:t>
            </w:r>
          </w:p>
        </w:tc>
        <w:tc>
          <w:tcPr>
            <w:tcW w:w="0" w:type="auto"/>
            <w:vAlign w:val="center"/>
          </w:tcPr>
          <w:p w:rsidR="000A156F" w:rsidRDefault="00A9721F">
            <w:pPr>
              <w:pStyle w:val="TableBodyText"/>
            </w:pPr>
            <w:r>
              <w:t>/i</w:t>
            </w:r>
          </w:p>
        </w:tc>
        <w:tc>
          <w:tcPr>
            <w:tcW w:w="0" w:type="auto"/>
            <w:vAlign w:val="center"/>
          </w:tcPr>
          <w:p w:rsidR="000A156F" w:rsidRDefault="00A9721F">
            <w:pPr>
              <w:pStyle w:val="TableBodyText"/>
            </w:pPr>
            <w:r>
              <w:t>City</w:t>
            </w:r>
          </w:p>
        </w:tc>
      </w:tr>
      <w:tr w:rsidR="000A156F" w:rsidTr="000A156F">
        <w:tc>
          <w:tcPr>
            <w:tcW w:w="0" w:type="auto"/>
            <w:vAlign w:val="center"/>
          </w:tcPr>
          <w:p w:rsidR="000A156F" w:rsidRDefault="00A9721F">
            <w:pPr>
              <w:pStyle w:val="TableBodyText"/>
            </w:pPr>
            <w:r>
              <w:t>&lt;&lt;_STATE_&gt;&gt;</w:t>
            </w:r>
          </w:p>
        </w:tc>
        <w:tc>
          <w:tcPr>
            <w:tcW w:w="0" w:type="auto"/>
            <w:vAlign w:val="center"/>
          </w:tcPr>
          <w:p w:rsidR="000A156F" w:rsidRDefault="00A9721F">
            <w:pPr>
              <w:pStyle w:val="TableBodyText"/>
            </w:pPr>
            <w:r>
              <w:t>/a</w:t>
            </w:r>
          </w:p>
        </w:tc>
        <w:tc>
          <w:tcPr>
            <w:tcW w:w="0" w:type="auto"/>
            <w:vAlign w:val="center"/>
          </w:tcPr>
          <w:p w:rsidR="000A156F" w:rsidRDefault="00A9721F">
            <w:pPr>
              <w:pStyle w:val="TableBodyText"/>
            </w:pPr>
            <w:r>
              <w:t>State</w:t>
            </w:r>
          </w:p>
        </w:tc>
      </w:tr>
      <w:tr w:rsidR="000A156F" w:rsidTr="000A156F">
        <w:tc>
          <w:tcPr>
            <w:tcW w:w="0" w:type="auto"/>
            <w:vAlign w:val="center"/>
          </w:tcPr>
          <w:p w:rsidR="000A156F" w:rsidRDefault="00A9721F">
            <w:pPr>
              <w:pStyle w:val="TableBodyText"/>
            </w:pPr>
            <w:r>
              <w:t>&lt;&lt;_POSTAL_&gt;&gt;</w:t>
            </w:r>
          </w:p>
        </w:tc>
        <w:tc>
          <w:tcPr>
            <w:tcW w:w="0" w:type="auto"/>
            <w:vAlign w:val="center"/>
          </w:tcPr>
          <w:p w:rsidR="000A156F" w:rsidRDefault="00A9721F">
            <w:pPr>
              <w:pStyle w:val="TableBodyText"/>
            </w:pPr>
            <w:r>
              <w:t>/z</w:t>
            </w:r>
          </w:p>
        </w:tc>
        <w:tc>
          <w:tcPr>
            <w:tcW w:w="0" w:type="auto"/>
            <w:vAlign w:val="center"/>
          </w:tcPr>
          <w:p w:rsidR="000A156F" w:rsidRDefault="00A9721F">
            <w:pPr>
              <w:pStyle w:val="TableBodyText"/>
            </w:pPr>
            <w:r>
              <w:t>Postal Code</w:t>
            </w:r>
          </w:p>
        </w:tc>
      </w:tr>
      <w:tr w:rsidR="000A156F" w:rsidTr="000A156F">
        <w:tc>
          <w:tcPr>
            <w:tcW w:w="0" w:type="auto"/>
            <w:vAlign w:val="center"/>
          </w:tcPr>
          <w:p w:rsidR="000A156F" w:rsidRDefault="00A9721F">
            <w:pPr>
              <w:pStyle w:val="TableBodyText"/>
            </w:pPr>
            <w:r>
              <w:t>&lt;&lt;_COUNTRY_&gt;&gt;</w:t>
            </w:r>
          </w:p>
        </w:tc>
        <w:tc>
          <w:tcPr>
            <w:tcW w:w="0" w:type="auto"/>
            <w:vAlign w:val="center"/>
          </w:tcPr>
          <w:p w:rsidR="000A156F" w:rsidRDefault="00A9721F">
            <w:pPr>
              <w:pStyle w:val="TableBodyText"/>
            </w:pPr>
            <w:r>
              <w:t>/d</w:t>
            </w:r>
          </w:p>
        </w:tc>
        <w:tc>
          <w:tcPr>
            <w:tcW w:w="0" w:type="auto"/>
            <w:vAlign w:val="center"/>
          </w:tcPr>
          <w:p w:rsidR="000A156F" w:rsidRDefault="00A9721F">
            <w:pPr>
              <w:pStyle w:val="TableBodyText"/>
            </w:pPr>
            <w:r>
              <w:t xml:space="preserve">Country or </w:t>
            </w:r>
            <w:r>
              <w:t>Region</w:t>
            </w:r>
          </w:p>
        </w:tc>
      </w:tr>
    </w:tbl>
    <w:p w:rsidR="000A156F" w:rsidRDefault="000A156F"/>
    <w:p w:rsidR="000A156F" w:rsidRDefault="00A9721F">
      <w:r>
        <w:t>Word maps the &lt;&lt;_SUFFIX1_&gt;&gt; and /s1 placeholder to mappedName Spouse/Partner Nickname, and maps the placeholder &lt;&lt;_NICK1_&gt;&gt; or /n1 to the empty string.</w:t>
      </w:r>
    </w:p>
    <w:p w:rsidR="000A156F" w:rsidRDefault="00A9721F">
      <w:pPr>
        <w:pStyle w:val="Definition-Field"/>
      </w:pPr>
      <w:r>
        <w:lastRenderedPageBreak/>
        <w:t xml:space="preserve">b.   </w:t>
      </w:r>
      <w:r>
        <w:rPr>
          <w:i/>
        </w:rPr>
        <w:t xml:space="preserve">The standard states that to exclude multiple countries/regions, multiple \e switches can </w:t>
      </w:r>
      <w:r>
        <w:rPr>
          <w:i/>
        </w:rPr>
        <w:t>be used.</w:t>
      </w:r>
    </w:p>
    <w:p w:rsidR="000A156F" w:rsidRDefault="00A9721F">
      <w:pPr>
        <w:pStyle w:val="Definition-Field2"/>
      </w:pPr>
      <w:r>
        <w:t>Word will respect only the right-most switch, assuming the instruction string is read left to right.</w:t>
      </w:r>
    </w:p>
    <w:p w:rsidR="000A156F" w:rsidRDefault="00A9721F">
      <w:pPr>
        <w:pStyle w:val="Definition-Field"/>
      </w:pPr>
      <w:r>
        <w:t xml:space="preserve">c.   </w:t>
      </w:r>
      <w:r>
        <w:rPr>
          <w:i/>
        </w:rPr>
        <w:t>The standard does not specify the format that the argument to the \e switch should be in.</w:t>
      </w:r>
    </w:p>
    <w:p w:rsidR="000A156F" w:rsidRDefault="00A9721F">
      <w:r>
        <w:t xml:space="preserve">If the text within the field-argument supplied for </w:t>
      </w:r>
      <w:r>
        <w:t>the \e switch is equivalent to the country that would be used when expanding this mail merge entry, then the country shall be excluded.</w:t>
      </w:r>
    </w:p>
    <w:p w:rsidR="000A156F" w:rsidRDefault="00A9721F">
      <w:r>
        <w:t>The following strings MAY contain characters represented in the following way.  U+ABCD shall represent the unicode point</w:t>
      </w:r>
      <w:r>
        <w:t xml:space="preserve"> ABCD. When U+ABCD notation is used in this way, a trailing space will be included to separate U+ABCD from subsequent text, if any.</w:t>
      </w:r>
    </w:p>
    <w:p w:rsidR="000A156F" w:rsidRDefault="00A9721F">
      <w:r>
        <w:t>For example, "AlgU+00E8 ria" represents the string "Algèria"</w:t>
      </w:r>
    </w:p>
    <w:p w:rsidR="000A156F" w:rsidRDefault="00A9721F">
      <w:r>
        <w:t>The following paragraphs contain strings which are all consider</w:t>
      </w:r>
      <w:r>
        <w:t>ed equivalent to other strings within that paragraph.  These strings are enclosed within quotation marks, and are separated by commas.</w:t>
      </w:r>
    </w:p>
    <w:p w:rsidR="000A156F" w:rsidRDefault="00A9721F">
      <w:r>
        <w:t>"Algeria", "Algerien", "Algerie", "U+0627 U+0644 U+062C U+0632 U+0627 U+0626 U+0631", "U+0410 U+043B U+0436 U+0438 U+0440</w:t>
      </w:r>
      <w:r>
        <w:t xml:space="preserve">", "AlU+017E U+00ED rsko", "Algeriet", "U+0391 U+03BB U+03B3 U+03B5 U+03C1 U+03AF U+03B1", "Argelia", "AlU+017E eeria", "AlgU+00E9 rie", "U+05D0 U+05DC U+05D2 'U+05D9 U+05E8 U+05D9 U+05D4", "AlU+017E ir", "AlgU+00E9 ria", "Algerian", "Algeria ", "AlU+017E </w:t>
      </w:r>
      <w:r>
        <w:t>U+012B rija", "AlU+017E yras", "AlU+017E yro Liaudies DemokratinU+0117  Respublika", "Algerije", "Algieria", "ArgU+00E9 lia", "RepU+00FA blica Argelina DemocrU+00E1 tica e Popular", "AlU+017E irija", "U+0E41 U+0E2D U+0E25 U+0E08 U+0E35 U+0E40 U+0E23 U+0E35</w:t>
      </w:r>
      <w:r>
        <w:t xml:space="preserve"> U+0E22", "Cezayir", "U+0905 U+0932 U+094D U+091C U+0940 U+0930 U+093F U+092F U+093E", "AlgU+00E8 ria"</w:t>
      </w:r>
    </w:p>
    <w:p w:rsidR="000A156F" w:rsidRDefault="00A9721F">
      <w:r>
        <w:t>"Armenia", "U+0623 U+0631 U+0645 U+064A U+0646 U+064A U+0627", "U+0410 U+0440 U+043C U+0435 U+043D U+0438 U+044F", "ArmU+00E9 nie", "Armenien", "U+0391 U</w:t>
      </w:r>
      <w:r>
        <w:t>+03C1 U+03BC U+03B5 U+03BD U+03AF U+03B1", "Armeenia", "Armenian tasavalta", "U+05D0 U+05E8 U+05DE U+05E0 U+05D9 U+05D4", "Armenija", "U+00D6 rmU+00E9 nyorszU+00E1 g", "ArmU+0113 nija", "ArmU+0117 nija", "ArmU+0117 nijos Respublika", "ArmeniU+00EB", "ArmU+</w:t>
      </w:r>
      <w:r>
        <w:t>00EA nia", "RepU+00FA blica da ArmU+00EA nia", "ArmU+00E9 nia", "ArmU+00E9 nsko", "U+0E2D U+0E32 U+0E23 U+0E4C U+0E40 U+0E21 U+0E40 U+0E19 U+0E35 U+0E22", "Ermenistan", "U+0412 U+0456 U+0440 U+043C U+0435 U+043D U+0456 U+044F", "U+0906 U+0930 U+094D U+092E</w:t>
      </w:r>
      <w:r>
        <w:t xml:space="preserve"> U+0947 U+0928 U+093F U+092F U+093E", "ArmU+00E8 nia"</w:t>
      </w:r>
    </w:p>
    <w:p w:rsidR="000A156F" w:rsidRDefault="00A9721F">
      <w:r>
        <w:t>"Australia", "Australie", "Oz", "AS", "U+0623 U+0633 U+062A U+0631 U+0627 U+0644 U+064A U+0627", "U+0410 U+0432 U+0441 U+0442 U+0440 U+0430 U+043B U+0438 U+044F", "AustrU+00E1 lie", "Australien", "U+039</w:t>
      </w:r>
      <w:r>
        <w:t>1 U+03C5 U+03C3 U+03C4 U+03C1 U+03B1 U+03BB U+03AF U+03B1", "Austraalia", "Australian liittovaltio", "U+05D0 U+05D5 U+05E1 U+05D8 U+05E8 U+05DC U+05D9 U+05D4", "Australija", "AusztrU+00E1 lia", "AustrU+0101 lija", "Australijos Sandrauga", "AustraliU+00EB",</w:t>
      </w:r>
      <w:r>
        <w:t xml:space="preserve"> "AustrU+00E1 lia", "Comunidade da AustrU+00E1 lia", "Avstralija", "U+0E2D U+0E2D U+0E2A U+0E40 U+0E15 U+0E23 U+0E40 U+0E25 U+0E35 U+0E22", "Avustralya", "U+0410 U+0432 U+0441 U+0442 U+0440 U+0430 U+043B U+0456 U+044F", "U+0911 U+0938 U+094D U+091F U+094D </w:t>
      </w:r>
      <w:r>
        <w:t>U+0930 U+0947 U+0932 U+093F U+092F U+093E", "AustrU+00E0 lia"</w:t>
      </w:r>
    </w:p>
    <w:p w:rsidR="000A156F" w:rsidRDefault="00A9721F">
      <w:r>
        <w:t>"Austria", "Autriche", "U+00D6 sterreich", "Oesterreich", "U+0627 U+0644 U+0646 U+0645 U+0633 U+0627", "U+0410 U+0432 U+0441 U+0442 U+0440 U+0438 U+044F", "Rakousko", "U+00D8 strig", "Oestereich</w:t>
      </w:r>
      <w:r>
        <w:t>", "U+0391 U+03C5 U+03C3 U+03C4 U+03C1 U+03AF U+03B1", "ItU+00E4 valta", "ItU+00E4 vallan tasavalta", "U+05D0 U+05D5 U+05E1 U+05D8 U+05E8 U+05D9 U+05D4", "Austrija", "Ausztria", "Austrijos Respublika", "Oostenrijk", "U+00D8 sterrike", "U+00C1 ustria", "Rep</w:t>
      </w:r>
      <w:r>
        <w:t>U+00FA blica da U+00C1 ustria", "RakU+00FA sko", "Avstrija", "U+00D6 sterrike", "U+0E2D U+0E2D U+0E2A U+0E40 U+0E15 U+0E23 U+0E35 U+0E22", "Avusturya", "U+0410 U+0432 U+0441 U+0442 U+0440 U+0456 U+044F", "U+0911 U+0938 U+094D U+091F U+094D U+0930 U+093F U+</w:t>
      </w:r>
      <w:r>
        <w:t>092F U+093E", "U+00C0 ustria"</w:t>
      </w:r>
    </w:p>
    <w:p w:rsidR="000A156F" w:rsidRDefault="00A9721F">
      <w:r>
        <w:lastRenderedPageBreak/>
        <w:t>"Azerbaijan", "U+0623 U+0630 U+0631 U+0628 U+064A U+062C U+0627 U+0646", "U+0410 U+0437 U+0435 U+0440 U+0431 U+0430 U+0439 U+0434 U+0436 U+0430 U+043D", "AzerbajdU+017E U+00E1 n", "Aserbajdsjan", "Aserbajdjan", "Aserbaidschan"</w:t>
      </w:r>
      <w:r>
        <w:t>, "U+0391 U+03B6 U+03B5 U+03C1 U+03BC U+03C0 U+03B1 U+03CA U+03C4 U+03B6 U+03AC U+03BD", "AzerbaiyU+00E1 n", "RepU+00FA blica de AzerbaiyU+00E1 n", "AserbaidU+017E aan", "AserbaidU+017E aani Vabariik", "Azerbaidzan", "Azerbaidzanin tasavalta", "AzerbaU+00E</w:t>
      </w:r>
      <w:r>
        <w:t>F djan", "U+05D0 U+05D6 U+05E8 U+05D1 U+05D9 U+05D2 'U+05D0 U+05DF", "U+05D0 U+05D6 U+05E8 U+05D1 U+05D9 U+05D2 'U+05DF", "AzerbajdU+017E an", "AzerbajdzsU+00E1 n", "Azerbaigian", "AzerbaidU+017E U+0101 na", "AzerbaidU+017E anas", "AzerbaidU+017E ano Respu</w:t>
      </w:r>
      <w:r>
        <w:t>blika", "Azerbeidzjan", "AzerbejdU+017C an", "AzerbaijU+00E3 o", "RepU+00FA blica do AzerbaijU+00E3 o", "Azerbaidjan", "Azerbajdzjan", "U+0E2D U+0E32 U+0E40 U+0E0B U+0E2D U+0E23 U+0E4C U+0E44 U+0E1A U+0E08 U+0E32 U+0E19", "Azerbaycan", "U+0905 U+095B U+093</w:t>
      </w:r>
      <w:r>
        <w:t>0 U+092C U+0948 U+091C U+093E U+0928"</w:t>
      </w:r>
    </w:p>
    <w:p w:rsidR="000A156F" w:rsidRDefault="00A9721F">
      <w:r>
        <w:t>"Bahrain", "Bahrayn", "U+0627 U+0644 U+0628 U+062D U+0631 U+064A U+0646", "U+0411 U+0430 U+0445 U+0440 U+0435 U+0439 U+043D", "Bahrajn", "U+039C U+03C0 U+03B1 U+03C7 U+03C1 U+03AD U+03B9 U+03BD", "BahrU+00E1 in", "Bahr</w:t>
      </w:r>
      <w:r>
        <w:t>ein", "BahrU+00E9 in", "Estado de BahrU+00E9 in", "Estado de Bahrein", "Bahrainin valtio", "BahreU+00EF n", "U+05D1 U+05D7 U+05E8 U+05D9 U+05D9 U+05DF", "U+05D1 U+05D7 U+05E8 U+05D9 U+05DF", "Bahreina", "Bahreinas", "Bahreino ValstybU+0117", "BarU+00E9 m",</w:t>
      </w:r>
      <w:r>
        <w:t xml:space="preserve"> "Estado de BarU+00E9 m", "Barein", "U+0E1A U+0E32 U+0E2B U+0E4C U+0E40 U+0E23 U+0E19", "Bahreyn", "U+092C U+0939 U+0930 U+0940 U+0928"</w:t>
      </w:r>
    </w:p>
    <w:p w:rsidR="000A156F" w:rsidRDefault="00A9721F">
      <w:r>
        <w:t>"Bangladesh", "U+0628 U+0646 U+063A U+0644 U+0627 U+062F U+0634", "U+0628 U+0646 U+063A U+0644 U+0627 U+062F U+064A U+06</w:t>
      </w:r>
      <w:r>
        <w:t xml:space="preserve">34", "U+0628 U+0646 U+062C U+0644 U+0627 U+062F U+064A U+0634", "U+0411 U+0430 U+043D U+0433 U+043B U+0430 U+0434 U+0435 U+0448", "BangladU+00E9 U+0161", "Bangladesch", "U+039C U+03C0 U+03B1 U+03BD U+03B3 U+03BA U+03BB U+03B1 U+03BD U+03C4 U+03AD U+03C2", </w:t>
      </w:r>
      <w:r>
        <w:t>"Bangladeshin kansantasavalta", "U+05D1 U+05E0 U+05D2 U+05DC U+05D3 U+05E9", "U+05D1 U+05E0 U+05D2 U+05DC U+05D4 U+05D3 U+05E9", "U+05D1 U+05E0 U+05D2 U+05DC U+05D4 -U+05D3 U+05E9", "BangladeU+0161", "Banglades", "BangladeU+0161 a", "BangladeU+0161 as", "B</w:t>
      </w:r>
      <w:r>
        <w:t xml:space="preserve">angladeU+0161 o Liaudies Respublika", "Bangladesz", "RepU+00FA blica Popular de Bangladesh", "Bangladeche", "U+0E1A U+0E31 U+0E07 U+0E04 U+0E25 U+0E32 U+0E40 U+0E17 U+0E28", "BangladeU+015F", "U+092C U+093E U+0902 U+0917 U+094D U+0932 U+093E U+0926 U+0947 </w:t>
      </w:r>
      <w:r>
        <w:t>U+0936"</w:t>
      </w:r>
    </w:p>
    <w:p w:rsidR="000A156F" w:rsidRDefault="00A9721F">
      <w:r>
        <w:t>"Belarus", "U+0628 U+064A U+0644 U+0627 U+0631 U+0648 U+0633", "U+0411 U+0435 U+043B U+043E U+0440 U+0443 U+0441 U+0438 U+044F", "BU+011B lorusko", "Hviderusland", "WeiU+00DF russland", "Weissrussland", "U+039B U+03B5 U+03C5 U+03BA U+03BF U+03C1 U+</w:t>
      </w:r>
      <w:r>
        <w:t>03C9 U+03C3 U+03AF U+03B1", "Bielorrusia", "BelarU+00FA s", "RepU+00FA blica de Bielorrusia", "RepU+00FA blica de BelarU+00FA s", "Valgevene", "Valgevenemaa", "Valko-VenU+00E4 jU+00E4", "Valko-VenU+00E4 jU+00E4 n tasavalta", "BiU+00E9 lorussie", "U+05D1 U+</w:t>
      </w:r>
      <w:r>
        <w:t xml:space="preserve">05DC U+05D0 U+05E8 U+05D5 U+05E1", "U+05D1 U+05DC U+05E8 U+05D5 U+05E1", "U+05E8 U+05D5 U+05E1 U+05D9 U+05D4  U+05D4 U+05DC U+05D1 U+05E0 U+05D4", "U+05D1 U+05D9 U+05D9 U+05DC U+05E8 U+05D5 U+05E1", "U+05D1 U+05D9 U+05D9 U+05DC U+05D5 U+05E8 U+05D5 U+05E1 </w:t>
      </w:r>
      <w:r>
        <w:t>U+05D9 U+05D4", "Bjelorusija", "Belarusz", "Belarusszia", "FehU+00E9 roroszorszU+00E1 g", "Belaruszia", "Belorusszia", "Beloruszia", "Bielorussia", "Baltkrievija", "Baltarusija", "Baltarusijos Respublika", "Wit-Rusland", "Wit Rusland", "Hviterussland", "Bi</w:t>
      </w:r>
      <w:r>
        <w:t>aU+0142 oruU+015B", "RepU+00FA blica da Belarus", "BielorrU+00FA sia", "Bielo-rU+00FA ssia", "U+0411 U+0435 U+043B U+0430 U+0440 U+0443 U+0441 U+044C", "U+0411 U+0435 U+043B U+043E U+0440 U+0443 U+0441 U+0441 U+0438 U+044F", "Bielorusko", "Belorusija", "Vi</w:t>
      </w:r>
      <w:r>
        <w:t>tryssland", "U+0E40 U+0E1A U+0E25 U+0E32 U+0E23 U+0E38 U+0E2A", "Beyaz Rusya", "U+0411 U+0456 U+043B U+043E U+0440 U+0443 U+0441 U+044C", "U+0420 U+0435 U+0441 U+043F U+0443 U+0431 U+043B U+0456 U+043A U+0430  U+0411 U+0456 U+043B U+043E U+0440 U+0443 U+04</w:t>
      </w:r>
      <w:r>
        <w:t>41 U+044C ", "U+092C U+0947 U+0932 U+093E U+0930 U+0942 U+0938", "BielorU+00FA ssia"</w:t>
      </w:r>
    </w:p>
    <w:p w:rsidR="000A156F" w:rsidRDefault="00A9721F">
      <w:r>
        <w:t xml:space="preserve">"Belgium", "Belgia", "BU+00E9 lgica", "Belgien", "Belgique", "Belgio", "U+0628 U+0644 U+062C U+064A U+0643 U+0627", "U+0411 U+0435 U+043B U+0433 U+0438 U+044F", "Belgie", </w:t>
      </w:r>
      <w:r>
        <w:t xml:space="preserve">"U+0392 U+03AD U+03BB U+03B3 U+03B9 U+03BF", "Belgian kuningaskunta", "U+05D1 U+05DC U+05D2 </w:t>
      </w:r>
      <w:r>
        <w:lastRenderedPageBreak/>
        <w:t>U+05D9 U+05D4", "Belgija", "BeU+013C U+0123 ija", "Belgijos KaralystU+0117", "BelgiU+00EB", "Reino da BU+00E9 lgica", "U+0411 U+0435 U+043B U+044C U+0433 U+0438 U+0</w:t>
      </w:r>
      <w:r>
        <w:t>44F", "Belgicko", "U+0E40 U+0E1A U+0E25 U+0E40 U+0E22 U+0E35 U+0E22 U+0E21", "BelU+00E7 ika", "U+0411 U+0435 U+043B U+044C U+0433 U+0456 U+044F", "U+092C U+0947 U+0932 U+094D U+091C U+093F U+092F U+092E", "BU+00E8 lgica"</w:t>
      </w:r>
    </w:p>
    <w:p w:rsidR="000A156F" w:rsidRDefault="00A9721F">
      <w:r>
        <w:t>"Bhutan", "BhutU+00E1 n", "Bhoutan"</w:t>
      </w:r>
      <w:r>
        <w:t>, "Butatilde", "U+0628 U+0648 U+062A U+0627 U+0646", "U+0411 U+0443 U+0442 U+0430 U+043D", "BhU+00FA tU+00E1 n", "U+039C U+03C0 U+03BF U+03C5 U+03C4 U+03AC U+03BD", "ButU+00E1 n", "Bhutanin kuningaskunta", "U+05D1 U+05D5 U+05D8 U+05D0 U+05DF", "U+05D1 U+05</w:t>
      </w:r>
      <w:r>
        <w:t>D4 U+05D5 U+05D8 U+05DF", "Butan", "ButU+0101 na", "Butanas", "Butano KaralystU+0117", "ButU+00E3 o", "Reino do ButU+00E3 o", "U+0E20 U+0E39 U+0E0F U+0E32 U+0E19", "U+092D U+0942 U+091F U+093E U+0928"</w:t>
      </w:r>
    </w:p>
    <w:p w:rsidR="000A156F" w:rsidRDefault="00A9721F">
      <w:r>
        <w:t xml:space="preserve">"Brazil", "Bresil", "Brasil", "Brasile", "Brasilien", </w:t>
      </w:r>
      <w:r>
        <w:t>"U+0627 U+0644 U+0628 U+0631 U+0627 U+0632 U+064A U+0644", "U+0411 U+0440 U+0430 U+0437 U+0438 U+043B U+0438 U+044F", "BrazU+00ED lie", "U+0392 U+03C1 U+03B1 U+03B6 U+03B9 U+03BB U+03AF U+03B1", "Brasiilia", "Brasilia", "Brasilian liittotasavalta", "BrU+00</w:t>
      </w:r>
      <w:r>
        <w:t xml:space="preserve">E9 sil", "U+05D1 U+05E8 U+05D6 U+05D9 U+05DC", "BrazU+00ED lia", "BrazU+012B lija", "Brazilija", "Brazilijos FederacinU+0117  Respublika", "BraziliU+00EB", "Brazylia", "RepU+00FA blica Federativa do Brasil", "Brazilia", "U+0E1A U+0E23 U+0E32 U+0E0B U+0E34 </w:t>
      </w:r>
      <w:r>
        <w:t>U+0E25", "Brezilya", "U+0411 U+0440 U+0430 U+0437 U+0438 U+043B U+0456 U+044F", "U+092C U+094D U+0930 U+093E U+095B U+0940 U+0932"</w:t>
      </w:r>
    </w:p>
    <w:p w:rsidR="000A156F" w:rsidRDefault="00A9721F">
      <w:r>
        <w:t>"Bulgaria", "Bulgarien", "U+0628 U+0644 U+063A U+0627 U+0631 U+064A U+0627", "U+0411 U+044A U+043B U+0433 U+0430 U+0440 U+043</w:t>
      </w:r>
      <w:r>
        <w:t>8 U+044F", "Bulharsko", "U+0392 U+03BF U+03C5 U+03BB U+03B3 U+03B1 U+03C1 U+03AF U+03B1", "Bulgaaria", "Bulgarian tasavalta", "Bulgarie", "U+05D1 U+05D5 U+05DC U+05D2 U+05E8 U+05D9 U+05D4", "Bugarska", "BulgU+00E1 ria", "BulgU+0101 rija", "Bulgarija", "Bul</w:t>
      </w:r>
      <w:r>
        <w:t>garijos Respublika", "Bulgarije", "BuU+0142 garia", "RepU+00FA blica da BulgU+00E1 ria", "U+0411 U+043E U+043B U+0433 U+0430 U+0440 U+0438 U+044F", "Bolgarija", "U+0E1A U+0E31 U+0E25 U+0E41 U+0E01 U+0E40 U+0E23 U+0E35 U+0E22", "Bulgaristan", "U+0411 U+043E</w:t>
      </w:r>
      <w:r>
        <w:t xml:space="preserve"> U+043B U+0433 U+0430 U+0440 U+0456 U+044F", "U+092C U+0932 U+094D U+0917 U+093E U+0930 U+093F U+092F U+093E", "BulgU+00E0 ria"</w:t>
      </w:r>
    </w:p>
    <w:p w:rsidR="000A156F" w:rsidRDefault="00A9721F">
      <w:r>
        <w:t>"Canada", "CanadU+00E1", "Kanada", "CDN", "U+0643 U+0646 U+062F U+0627", "U+041A U+0430 U+043D U+0430 U+0434 U+0430", "U+039A U+</w:t>
      </w:r>
      <w:r>
        <w:t>03B1 U+03BD U+03B1 U+03B4 U+03AC U+03C2", "U+05E7 U+05E0 U+05D3 U+05D4", "CanadU+00E0", "KanU+0101 da", "U+0E41 U+0E04 U+0E19 U+0E32 U+0E14 U+0E32", "U+0915 U+0928 U+093E U+0921 U+093E"</w:t>
      </w:r>
    </w:p>
    <w:p w:rsidR="000A156F" w:rsidRDefault="00A9721F">
      <w:r>
        <w:t>"China", "PRC", "RepU+00FA blica Popular China", "People's Republic of</w:t>
      </w:r>
      <w:r>
        <w:t xml:space="preserve"> China", "U+0627 U+0644 U+0635 U+064A U+0646", "U+041A U+0438 U+0442 U+0430 U+0439", "U+041A U+041D U+0420", "U+041A U+0438 U+0442 U+0430 U+0439 U+0441 U+043A U+0430  U+041D U+0430 U+0440 U+043E U+0434 U+043D U+0430  U+0420 U+0435 U+043F U+0443 U+0431 U+04</w:t>
      </w:r>
      <w:r>
        <w:t>3B U+0438 U+043A U+0430", "U+010C U+00ED na", "U+010C U+00ED nskU+00E1 lidovU+00E1 republika", "U+010C LR", "Kina", "Volksrepublik China", "VR China", "U+039A U+03AF U+03BD U+03B1", "Hiina", "Hiina Rahvavabariik", "Hiinamaa", "HRV", "Kiina", "Kiinan kansan</w:t>
      </w:r>
      <w:r>
        <w:t xml:space="preserve">tasavalta", "Chine", "RU+00E9 publique populaire de Chine", "U+05E1 U+05D9 U+05DF", "U+05D4 U+05E8 U+05E4 U+05D5 U+05D1 U+05DC U+05D9 U+05E7 U+05D4  U+05D4 U+05E2 U+05DE U+05DE U+05D9 U+05EA  U+05E9 U+05DC  U+05E1 U+05D9 U+05DF", "Narodna Republika Kina", </w:t>
      </w:r>
      <w:r>
        <w:t>"KU+00ED na", "Cina", "Repubblica popolare cinese", "Repubblica cinese", "U+0136 U+012B na", "Kinija", "Kinijos Liaudies Respublika", "Volksrepubliek China", "Folkerepublikken Kina", "Chiny", "ChiU+0144 ska Republika Ludowa", "ChRL", "RepU+00FA blica Popul</w:t>
      </w:r>
      <w:r>
        <w:t>ar da China", "China (Republica PopularU+0103 )", "U+041A U+0438 U+0442 U+0430 U+0439 U+0441 U+043A U+0430 U+044F  U+041D U+0430 U+0440 U+043E U+0434 U+043D U+0430 U+044F  U+0420 U+0435 U+0441 U+043F U+0443 U+0431 U+043B U+0438 U+043A U+0430", "U+010C U+01</w:t>
      </w:r>
      <w:r>
        <w:t>3D R", "Kitajska", "Folkrepubliken Kina", "U+0E08 U+0E35 U+0E19", "U+00C7 in", "U+00C7 in Halk Cumhuriyeti", "U+041A U+0438 U+0442 U+0430 U+0439 U+0441 U+044C U+043A U+0430  U+041D U+0430 U+0440 U+043E U+0434 U+043D U+0430  U+0420 U+0435 U+0441 U+043F U+04</w:t>
      </w:r>
      <w:r>
        <w:t>43 U+0431 U+043B U+0456 U+043A U+0430", "U+091A U+0940 U+0928"</w:t>
      </w:r>
    </w:p>
    <w:p w:rsidR="000A156F" w:rsidRDefault="00A9721F">
      <w:r>
        <w:lastRenderedPageBreak/>
        <w:t>"Croatia", "Kroatien", "Croacia", "Croatie", "Croazia", "CroU+00E1 cia", "U+0643 U+0631 U+0648 U+0627 U+062A U+064A U+0627", "U+0425 U+044A U+0440 U+0432 U+0430 U+0442 U+0441 U+043A U+0430", "C</w:t>
      </w:r>
      <w:r>
        <w:t>horvatsko", "U+039A U+03C1 U+03BF U+03B1 U+03C4 U+03AF U+03B1", "Horvaatia", "Kroaatia", "Kroatia", "Kroatian tasavalta", "U+05E7 U+05E8 U+05D5 U+05D0 U+05D8 U+05D9 U+05D4", "Hrvatska", "HorvU+00E1 torszU+00E1 g", "HorvU+0101 tija", "KroU+0101 tija", "Kroa</w:t>
      </w:r>
      <w:r>
        <w:t>tija", "Kroatijos Respublika", "KroatiU+00EB", "Chorwacja", "RepU+00FA blica da CroU+00E1 cia", "CroaU+0163 ia", "U+0425 U+043E U+0440 U+0432 U+0430 U+0442 U+0438 U+044F", "ChorvU+00E1 tsko", "HrvaU+0161 ka", "U+0E42 U+0E04 U+0E23 U+0E40 U+0E2D U+0E40 U+0E</w:t>
      </w:r>
      <w:r>
        <w:t>0A U+0E35 U+0E22", "HU+0131 rvatistan", "U+0425 U+043E U+0440 U+0432 U+0430 U+0442 U+0456 U+044F", "U+0915 U+094D U+0930 U+094B U+090F U+0936 U+093F U+092F U+093E", "CroU+00E0 cia"</w:t>
      </w:r>
    </w:p>
    <w:p w:rsidR="000A156F" w:rsidRDefault="00A9721F">
      <w:r>
        <w:t>"Czech Republic", "Czech", "Checa", "RepU+00FA blica Checa", "U+062C U+0645</w:t>
      </w:r>
      <w:r>
        <w:t xml:space="preserve"> U+0647 U+0648 U+0631 U+064A U+0629  U+0627 U+0644 U+062A U+0634 U+064A U+0643", "U+0427 U+0435 U+0445 U+0438 U+044F", "U+0427 U+0435 U+0448 U+043A U+0430  U+0440 U+0435 U+043F U+0443 U+0431 U+043B U+0438 U+043A U+0430", "U+010C eskU+00E1 republika", "U+01</w:t>
      </w:r>
      <w:r>
        <w:t>0C echy", "U+010C esko", "U+010C R", "U+010C S", "U+010C echy a Morava", "CZ", "Tjekkiet", "Den Tjekkiske Republik", "Tschechische Republik", "Tschechien", "U+03A4 U+03C3 U+03B5 U+03C7 U+03AF U+03B1", "TU+0161 ehhi Vabariik", "TU+0161 ehhimaa", "TU+0161 eh</w:t>
      </w:r>
      <w:r>
        <w:t>hi", "Tsekki", "Tsekinmaa", "Tsekin tasavalta", "RU+00E9 publique tchU+00E8 que", "U+05E6 'U+05DB U+05D9 U+05D4", "U+05E6 'U+05DB U+05D5 U+05E1 U+05DC U+05D5 U+05D1 U+05E7 U+05D9 U+05D4", "U+05D4 U+05E8 U+05E4 U+05D5 U+05D1 U+05DC U+05D9 U+05E7 U+05D4  U+0</w:t>
      </w:r>
      <w:r>
        <w:t>5D4 U+05E6 'U+05DB U+05D9 U+05EA", "U+010C eU+0161 ka", "U+010C eU+0161 ka Republika", "Cseh KU+00F6 ztrU+00E1 rsasU+00E1 g", "CsehorszU+00E1 g", "Repubblica Ceca", "U+010C ehija", "U+010C ehijas Republika", "U+010C ekija", "U+010C ekijos Respublika", "Tsj</w:t>
      </w:r>
      <w:r>
        <w:t>echiU+00EB", "Tsjechische republiek", "Tsjekkia", "Den tsjekkiske republikk", "Czechy", "Republika Czeska", "RepU+00FA blica Tcheca", "Cehia", "U+0427 U+0435 U+0448 U+0441 U+043A U+0430 U+044F  U+0420 U+0435 U+0441 U+043F U+0443 U+0431 U+043B U+0438 U+043A</w:t>
      </w:r>
      <w:r>
        <w:t xml:space="preserve"> U+0430", "Tjeckien", "Tjeckiska republiken", "U+0E2A U+0E32 U+0E18 U+0E32 U+0E23 U+0E13 U+0E23 U+0E31 U+0E10 U+0E40 U+0E0A U+0E47 U+0E01", "U+00C7 ek Cumhuriyeti", "U+0427 U+0435 U+0445 U+0456 U+044F", "U+091A U+0947 U+0915  U+0917 U+0923 U+0930 U+093E U+</w:t>
      </w:r>
      <w:r>
        <w:t>091C U+094D U+092F", "RepU+00FA blica Txeca"</w:t>
      </w:r>
    </w:p>
    <w:p w:rsidR="000A156F" w:rsidRDefault="00A9721F">
      <w:r>
        <w:t>"Denmark", "Danmark", "Danemark", "Dinamarca", "Danimarca", "U+0627 U+0644 U+062F U+0646 U+0645 U+0627 U+0631 U+0643", "U+0414 U+0430 U+043D U+0438 U+044F", "DU+00E1 nsko", "DU+00E4 nemark", "U+0394 U+03B1 U+03B</w:t>
      </w:r>
      <w:r>
        <w:t xml:space="preserve">D U+03AF U+03B1", "Taani", "Tanska", "Tanskan kuningaskunta", "U+05D3 U+05E0 U+05DE U+05E8 U+05E7", "Danska", "DU+00E1 nia", "DU+0101 nija", "Danija", "Danijos KaralystU+0117", "Denemarken", "DK", "Dania", "Reino da Dinamarca", "Danemarca", "U+0E40 U+0E14 </w:t>
      </w:r>
      <w:r>
        <w:t>U+0E19 U+0E21 U+0E32 U+0E23 U+0E4C U+0E01", "Danimarka", "U+0414 U+0430 U+043D U+0456 U+044F", "U+0921 U+0947 U+0928 U+092E U+093E U+0930 U+094D U+0915"</w:t>
      </w:r>
    </w:p>
    <w:p w:rsidR="000A156F" w:rsidRDefault="00A9721F">
      <w:r>
        <w:t>"Egypt", "Arab Republic of Egypt", "Egitto", "Egypto", "U+062C U+0645 U+0647 U+0648 U+0631 U+064A U+062</w:t>
      </w:r>
      <w:r>
        <w:t>9  U+0645 U+0635 U+0631  U+0627 U+0644 U+0639 U+0631 U+0628 U+064A U+0629", "U+0645 U+0635 U+0631", "U+0415 U+0433 U+0438 U+043F U+0435 U+0442", "Egypten", "U+00C6 gypten", "U+00C4 gypten", "Arabische Republik U+00C4 gypten", "U+0391 U+03AF U+03B3 U+03C5 U</w:t>
      </w:r>
      <w:r>
        <w:t>+03C0 U+03C4 U+03BF U+03C2", "Egipto", "RepU+00FA blica U+00C1 rabe de Egipto", "Egiptus", "Egiptuse Araabia Vabariik", "Egypti", "Egyptin arabitasavalta", "U+00C9 gypte", "U+05DE U+05E6 U+05E8 U+05D9 U+05DD", "U+05D4 U+05E8 U+05E4 U+05D5 U+05D1 U+05DC U+0</w:t>
      </w:r>
      <w:r>
        <w:t>5D9 U+05E7 U+05D4  U+05D4 U+05E2 U+05E8 U+05D1 U+05D9 U+05EA  U+05E9 U+05DC  U+05DE U+05E6 U+05E8 U+05D9 U+05DD", "Egipat", "Egyiptom", "U+0112 U+0123 ipte", "U+0112 U+0123 iptes ArU+0101 bu Republika", "Egiptas", "Egipto ArabU+0173  Respublika", "Egypte",</w:t>
      </w:r>
      <w:r>
        <w:t xml:space="preserve"> "Egipt", "Republika Egiptu", "Egito", "RepU+00FA blica U+00C1 rabe do Egito", "RepU+00FA blica U+00C1 rabe do Egipto", "U+0410 U+0440 U+0430 U+0431 U+0441 U+043A U+0430 U+044F  U+0420 U+0435 U+0441 U+0431 U+0443 U+0431 U+043B U+0438 U+043A U+0430  U+0415 </w:t>
      </w:r>
      <w:r>
        <w:t xml:space="preserve">U+0433 U+0438 U+043F U+0435 U+0442", "Arabrepubliken Egypten", "U+0E2D U+0E35 U+0E22 U+0E34 U+0E1B U+0E15 U+0E4C", "MU+0131 sU+0131 r", "U+0404 U+0433 U+0438 U+043F U+0435 U+0442", "U+0410 U+0440 U+0430 U+0431 U+0441 U+044C U+043A U+0430  U+0420 </w:t>
      </w:r>
      <w:r>
        <w:lastRenderedPageBreak/>
        <w:t>U+0435 U+0</w:t>
      </w:r>
      <w:r>
        <w:t>441 U+043F U+0443 U+0431 U+043B U+0456 U+043A U+0430  U+0404 U+0433 U+0438 U+043F U+0435 U+0442", "U+0410 U+0420 U+0415", "U+092E U+093F U+0938 U+094D U+0930", "Egipte"</w:t>
      </w:r>
    </w:p>
    <w:p w:rsidR="000A156F" w:rsidRDefault="00A9721F">
      <w:r>
        <w:t>"Estonia", "U+0627 U+0633 U+062A U+0648 U+0646 U+064A U+0627", "U+0415 U+0441 U+0442 U+</w:t>
      </w:r>
      <w:r>
        <w:t>043E U+043D U+0438 U+044F", "Estonsko", "Estland", "U+0395 U+03C3 U+03B8 U+03BF U+03BD U+03AF U+03B1", "Eesti", "Eestimaa", "Viro", "Viron tasavalta", "Estonie", "U+05D0 U+05E1 U+05D8 U+05D5 U+05E0 U+05D9 U+05D4", "Estonija", "U+00C9 sztorszU+00E1 g", "Iga</w:t>
      </w:r>
      <w:r>
        <w:t>unija", "Estija", "Estijos Respublika", "EstU+00F4 nia", "RepU+00FA blica da EstU+00F4 nia", "EstU+00F3 nia", "U+042D U+0441 U+0442 U+043E U+043D U+0438 U+044F", "EstU+00F3 nsko", "U+0E40 U+0E2D U+0E2A U+0E42 U+0E15 U+0E40 U+0E19 U+0E35 U+0E22", "Estonya",</w:t>
      </w:r>
      <w:r>
        <w:t xml:space="preserve"> "U+0415 U+0441 U+0442 U+043E U+043D U+0456 U+044F", "U+090F U+0938 U+094D U+091F U+094B U+0928 U+093F U+092F U+093E", "EstU+00F2 nia"</w:t>
      </w:r>
    </w:p>
    <w:p w:rsidR="000A156F" w:rsidRDefault="00A9721F">
      <w:r>
        <w:t>"Finland", "Finnland", "Finlandia", "Suomi", "U+0641 U+0646 U+0644 U+0646 U+062F U+0629", "U+0641 U+0646 U+0644 U+0646 U+</w:t>
      </w:r>
      <w:r>
        <w:t>062F U+0627", "U+0424 U+0438 U+043D U+043B U+0430 U+043D U+0434 U+0438 U+044F", "Finsko", "U+03A6 U+03B9 U+03BD U+03BB U+03B1 U+03BD U+03B4 U+03AF U+03B1", "RepU+00FA blica de Finlandia", "Soome", "Suomen tasavalta", "Finlande", "U+05E4 U+05D9 U+05E0 U+05D</w:t>
      </w:r>
      <w:r>
        <w:t>C U+05E0 U+05D3", "Finska", "FinnorszU+00E1 g", "Somija", "Suomija", "Suomijos Respublika", "SF", "Suomi Finland", "FinlU+00E2 ndia", "RepU+00FA blica da FinlU+00E2 ndia", "Finlanda", "U+0424 U+0438 U+043D U+043B U+044F U+043D U+0434 U+0438 U+044F", "FU+00</w:t>
      </w:r>
      <w:r>
        <w:t>ED nsko", "U+0E1F U+0E34 U+0E19 U+0E41 U+0E25 U+0E19 U+0E14 U+0E4C", "Finlandiya", "U+0424 U+0456 U+043D U+043B U+044F U+043D U+0434 U+0456 U+044F", "U+095E U+093F U+0928 U+0932 U+0948 U+0902 U+0921", "FinlU+00E0 ndia"</w:t>
      </w:r>
    </w:p>
    <w:p w:rsidR="000A156F" w:rsidRDefault="00A9721F">
      <w:r>
        <w:t>"France", "Francia", "Frankreich", "F</w:t>
      </w:r>
      <w:r>
        <w:t>rankrijk", "Peranchis", "U+0641 U+0631 U+0646 U+0633 U+0627", "U+0424 U+0440 U+0430 U+043D U+0446 U+0438 U+044F", "Francie", "Frankrig", "U+0393 U+03B1 U+03BB U+03BB U+03AF U+03B1", "Prantsusmaa", "Prantsuse Vabariik", "Ranska", "Ranskan tasavalta", "U+05E</w:t>
      </w:r>
      <w:r>
        <w:t>6 U+05E8 U+05E4 U+05EA", "Francuska", "FranciaorszU+00E1 g", "Francija", "PrancU+016B zija", "PrancU+016B zijos Respublika", "Frankrike", "Francja", "FranU+00E7 a", "RepU+00FA blica Francesa", "FranU+0163 a", "U+0424 U+0440 U+0430 U+043D U+0446 U+0443 U+04</w:t>
      </w:r>
      <w:r>
        <w:t>37 U+0441 U+043A U+0430 U+044F  U+0420 U+0435 U+0441 U+043F U+0443 U+0431 U+043B U+0438 U+043A U+0430", "FrancU+00FA zsko", "U+0E1D U+0E23 U+0E31 U+0E48 U+0E07 U+0E40 U+0E28 U+0E2A", "Fransa", "U+0424 U+0440 U+0430 U+043D U+0446 U+0456 U+044F", "U+095E U+0</w:t>
      </w:r>
      <w:r>
        <w:t>94D U+0930 U+093E U+0902 U+0938"</w:t>
      </w:r>
    </w:p>
    <w:p w:rsidR="000A156F" w:rsidRDefault="00A9721F">
      <w:r>
        <w:t xml:space="preserve">"Georgia", "U+062C U+0648 U+0631 U+062C U+064A U+0627", "U+0413 U+0440 U+0443 U+0437 U+0438 U+044F", "Gruzie", "Georgien", "U+0393 U+03B5 U+03C9 U+03C1 U+03B3 U+03AF U+03B1", "Gruusia", "Georgian tasavalta", "GU+00E9 </w:t>
      </w:r>
      <w:r>
        <w:t>orgie", "U+05D2 U+05E8 U+05D5 U+05D6 U+05D9 U+05D4", "Gruzija", "GrU+00FA zia", "Gruzijos Respublika", "GeorgiU+00EB", "Gruzja", "GeU+00F3 rgia", "RepU+00FA blica da GeU+00F3 rgia", "GruzU+00ED nsko", "U+0E08 U+0E2D U+0E23 U+0E4C U+0E40 U+0E08 U+0E35 U+0E2</w:t>
      </w:r>
      <w:r>
        <w:t>2", "GU+00FC rcistan", "U+0413 U+0440 U+0443 U+0437 U+0456 U+044F", "U+091C U+0949 U+0930 U+094D U+091C U+093F U+092F U+093E", "GeU+00F2 rgia"</w:t>
      </w:r>
    </w:p>
    <w:p w:rsidR="000A156F" w:rsidRDefault="00A9721F">
      <w:r>
        <w:t>"Germany", "West Germany", "East Germany", "Deutschland", "GDR", "FRG", "GER", "Allemagne", "Alemania", "U+0623 U</w:t>
      </w:r>
      <w:r>
        <w:t>+0644 U+0645 U+0627 U+0646 U+064A U+0627", "U+0413 U+0435 U+0440 U+043C U+0430 U+043D U+0438 U+044F", "U+0424 U+0420 U+0413", "NU+011B mecko", "SpolkovU+00E1 republika NU+011B mecko", "SRN", "ZU+00E1 padnU+00ED  NU+011B mecko", "VU+00FD chodnU+00ED  NU+011</w:t>
      </w:r>
      <w:r>
        <w:t>B mecko", "NDR", "NSR", "Tyskland", "Bundesrepublik Deutschland", "BRD", "B.R.D.", "U+0393 U+03B5 U+03C1 U+03BC U+03B1 U+03BD U+03AF U+03B1", "RepU+00FA blica Federal de Alemania", "RepU+00FA blica Federal Alemana", "Saksamaa", "Saksa Liitvabariik", "Saksa</w:t>
      </w:r>
      <w:r>
        <w:t>", "LU+00E4 U+00E4 ne-Saksamaa", "Ida-Saksamaa", "SLV", "SFV", "Saksan liittotasavalta", "FU+00F6 rbundsrepubliken Tyskland", "ItU+00E4 -Saksa", "LU+00E4 nsi-Saksa", "DDR", "U+05D2 U+05E8 U+05DE U+05E0 U+05D9 U+05D4", "U+05DE U+05D6 U+05E8 U+05D7  U+05D2 U</w:t>
      </w:r>
      <w:r>
        <w:t xml:space="preserve">+05E8 U+05DE U+05E0 U+05D9 U+05D4", "U+05DE U+05E2 U+05E8 U+05D1  U+05D2 U+05E8 U+05DE U+05E0 U+05D9 U+05D4", "U+05D2 U+05E8 U+05DE U+05E0 U+05D9 U+05D4  U+05D4 U+05DE U+05D6 U+05E8 U+05D7 U+05D9 U+05EA", "U+05D2 U+05E8 U+05DE U+05E0 U+05D9 U+05D4  U+05D4 </w:t>
      </w:r>
      <w:r>
        <w:t xml:space="preserve">U+05DE U+05E2 U+05E8 U+05D1 U+05D9 U+05EA", </w:t>
      </w:r>
      <w:r>
        <w:lastRenderedPageBreak/>
        <w:t>"NjemaU+010D ka", "NU+00E9 metorszU+00E1 g", "NU+00E9 met SzU+00F6 vetsU+00E9 gi KU+00F6 ztU+00E1 rsasU+00E1 g", "Germania", "VU+0101 cija", "AustrumvU+0101 cija", "RietumvU+0101 cija", "Vokietija", "Vokietijos F</w:t>
      </w:r>
      <w:r>
        <w:t>ederacinU+0117  Respublika", "VFR", "Duitsland", "Bondsrepubliek Duitsland", "Vest-Tyskland", "U+00D8 st-Tyskland", "Niemcy", "Republika Federalna Niemiec", "Niemiecka Republika Demokratyczna", "RFN", "NRD", "Alemanha", "RepU+00FA blica Federal da Alemanha</w:t>
      </w:r>
      <w:r>
        <w:t>", "Germania de Vest", "Germania de Est", "U+0424 U+0435 U+0434 U+0435 U+0440 U+0430 U+0442 U+0438 U+0432 U+043D U+0430 U+044F  U+0420 U+0435 U+0441 U+043F U+0443 U+0431 U+043B U+0438 U+043A U+0430  U+0413 U+0435 U+0440 U+043C U+0430 U+043D U+0438 U+044F",</w:t>
      </w:r>
      <w:r>
        <w:t xml:space="preserve"> "Nemecko", "NemU+010D ija", "Zahodna NemU+010D ija", "Vzhodna NemU+010D ija", "VU+00E4 sttyskland", "U+00D6 sttyskland", "U+0E40 U+0E22 U+0E2D U+0E23 U+0E21 U+0E19 U+0E35", "Almanya", "BatU+0131  Almanya", "DoU+011F u Almanya", "U+041D U+0456 U+043C U+043</w:t>
      </w:r>
      <w:r>
        <w:t>5 U+0447 U+0447 U+0438 U+043D U+0430", "U+0424 U+0435 U+0434 U+0435 U+0440 U+0430 U+0442 U+0438 U+0432 U+043D U+0430  U+0420 U+0435 U+0441 U+043F U+0443 U+0431 U+043B U+0456 U+043A U+0430  U+041D U+0456 U+043C U+0435 U+0447 U+0447 U+0438 U+043D U+0430", "U</w:t>
      </w:r>
      <w:r>
        <w:t>+0424 U+0420 U+041D", "U+091C U+0930 U+094D U+092E U+0928 U+0940", "Alemanya"</w:t>
      </w:r>
    </w:p>
    <w:p w:rsidR="000A156F" w:rsidRDefault="00A9721F">
      <w:r>
        <w:t>"Greece", "Grecia", "Griechenland", "U+0627 U+0644 U+064A U+0648 U+0646 U+0627 U+0646", "U+0413 U+044A U+0440 U+0446 U+0438 U+044F", "U+0158 ecko", "GrU+00E6 kenland", "U+0395 U+</w:t>
      </w:r>
      <w:r>
        <w:t>03BB U+03BB U+03AC U+03B4 U+03B1", "Kreeka", "Kreikka", "Kreikan tasavalta", "Helleenien tasavalta", "GrU+00E8 ce", "U+05D9 U+05D5 U+05D5 U+05DF", "GrU+010D ka", "GU+00F6 rU+00F6 gorszU+00E1 g", "GrieU+0137 ija", "Graikija", "Graikijos Respublika", "Grieke</w:t>
      </w:r>
      <w:r>
        <w:t>nland", "Hellas", "Grekenland", "Grecja", "GrU+00E9 cia", "RepU+00FA blica HelU+00EA nica", "U+0413 U+0440 U+0435 U+0446 U+0438 U+044F", "GrU+00E9 cko", "GrU+010D ija", "Grekland", "U+0E01 U+0E23 U+0E35 U+0E0B", "Yunanistan", "U+0413 U+0440 U+0435 U+0446 U</w:t>
      </w:r>
      <w:r>
        <w:t>+0456 U+044F", "U+092F U+0942 U+0928 U+093E U+0928", "GrU+00E8 cia"</w:t>
      </w:r>
    </w:p>
    <w:p w:rsidR="000A156F" w:rsidRDefault="00A9721F">
      <w:r>
        <w:t>"Hong Kong SAR", "Hong Kong", "HK", "U+0647 U+0648 U+0646 U+062C  U+0643 U+0648 U+0646 U+062C", "U+0425 U+043E U+043D U+0433  U+041A U+043E U+043D U+0433", "Hongkong U+2013 zvlU+00E1 U+016</w:t>
      </w:r>
      <w:r>
        <w:t>1 tnU+00ED sprU+00E1 vnU+00ED oblast U+010C LR", "Hongkong", "Hongk Kong", "Sonderverwaltungsregion Hongkong", "U+03A7 U+03BF U+03BD U+03B3 U+03BA  U+039A U+03BF U+03BD U+03B3 U+03BA  U+0395 U+0394 U+03A0", "Hong Kong, ZAE", "RegiU+00F3 n Administrativa Es</w:t>
      </w:r>
      <w:r>
        <w:t>pecial de Hong Kong (RepU+00FA blica Popular China)", "\"RegiU+00F3 n Administrativa Especial\" (RAE) de la RepU+00FA blica Popular China", "Xianggang", "Kiinan kansantasavallan erityisalue Hongkong ", "RU+00E9 gion administrative spU+00E9 ciale de Hong Ko</w:t>
      </w:r>
      <w:r>
        <w:t>ng", "U+05D4 U+05D5 U+05E0 U+05D2  U+05E7 U+05D5 U+05E0 U+05D2  U+05D4 U+05DE U+05D7 U+05D5 U+05D6  U+05D4 U+05DE U+05D9 U+05E0 U+05D4 U+05DC U+05D9  U+05D4 U+05DE U+05D9 U+05D5 U+05D7 U+05D3", "U+05D4 U+05D5 U+05E0 U+05D2  U+05E7 U+05D5 U+05E0 U+05D2", "H</w:t>
      </w:r>
      <w:r>
        <w:t>onkonga", "Honkongas U+012B paU+0161 U+0101 s pU+0101 rvaldes apgabals", "Honkongas", "Hongkong SAR", "RAE Hong Kong", "RAE de Hong Kong", "U+0413 U+043E U+043D U+043A U+043E U+043D U+0433", "Hong Kong O.S.O.", "U+0E2E U+0E48 U+0E2D U+0E07 U+0E01 U+0E07  S</w:t>
      </w:r>
      <w:r>
        <w:t>AR", "Hong Kong (U+00D6 U+0130  B)", "U+0413 U+043E U+043D U+043A U+043E U+043D U+0433 (U+041E U+0410 U+0420 )", "U+0939 U+093E U+0901 U+0917  U+0915 U+093E U+0901 U+0917"</w:t>
      </w:r>
    </w:p>
    <w:p w:rsidR="000A156F" w:rsidRDefault="00A9721F">
      <w:r>
        <w:t>"Hungary", "Hongrie", "Ungarn", "Ungheria", "HungrU+00ED a", "U+0627 U+0644 U+0645 U</w:t>
      </w:r>
      <w:r>
        <w:t>+062C U+0631", "U+0423 U+043D U+0433 U+0430 U+0440 U+0438 U+044F", "MaU+010F arsko", "U+039F U+03C5 U+03B3 U+03B3 U+03B1 U+03C1 U+03AF U+03B1", "Ungari", "Unkari", "Unkarin tasavalta", "U+05D4 U+05D5 U+05E0 U+05D2 U+05E8 U+05D9 U+05D4", "MaU+0111 arska", "</w:t>
      </w:r>
      <w:r>
        <w:t>MagyarorszU+00E1 g", "UngU+0101 rija", "Vengrija", "Vengrijos Respublika", "Hongarije", "WU+0119 gry", "Hungria", "RepU+00FA blica da Hungria", "Ungaria", "U+0412 U+0435 U+043D U+0433 U+0440 U+0438 U+044F", "MR", "MadU+017E arska", "Ungern", "U+0E2E U+0E31</w:t>
      </w:r>
      <w:r>
        <w:t xml:space="preserve"> U+0E07 U+0E01 U+0E32 U+0E23 U+0E35", "Macaristan", "U+0423 U+0433 U+043E U+0440 U+0449 U+0438 U+043D U+0430", "U+0939 U+0902 U+0917 U+0930 U+0940", "Hongria"</w:t>
      </w:r>
    </w:p>
    <w:p w:rsidR="000A156F" w:rsidRDefault="00A9721F">
      <w:r>
        <w:t>"Iceland", "Island", "Islande", "Islandia", "U+0623 U+064A U+0633 U+0644 U+0627 U+0646 U+062F", "</w:t>
      </w:r>
      <w:r>
        <w:t xml:space="preserve">U+0622 U+064A U+0633 U+0644 U+0646 U+062F U+0627", "U+0418 U+0441 U+043B U+0430 U+043D U+0434 U+0438 U+044F", "U+0399 U+03C3 U+03BB U+03B1 U+03BD U+03B4 </w:t>
      </w:r>
      <w:r>
        <w:lastRenderedPageBreak/>
        <w:t>U+03AF U+03B1", "Islandi Vabariik", "Islanti", "Islannin tasavalta", "U+05D0 U+05D9 U+05E1 U+05DC U+05E</w:t>
      </w:r>
      <w:r>
        <w:t>0 U+05D3", "Izland", "Islanda", "Islandija", "Islandijos Respublika", "IJsland", "IslU+00E2 ndia", "RepU+00FA blica da IslU+00E2 ndia", "U+0E44 U+0E2D U+0E0B U+0E4C U+0E41 U+0E25 U+0E19 U+0E14 U+0E4C", "U+0130 zlanda", "U+0406 U+0441 U+043B U+0430 U+043D U</w:t>
      </w:r>
      <w:r>
        <w:t>+0434 U+0456 U+044F", "U+0906 U+0907 U+0938 U+0932 U+0948 U+0902 U+0921", "IslU+00E0 ndia"</w:t>
      </w:r>
    </w:p>
    <w:p w:rsidR="000A156F" w:rsidRDefault="00A9721F">
      <w:r>
        <w:t>"India", "Inde", "Indien", "U+0627 U+0644 U+0647 U+0646 U+062F", "U+0418 U+043D U+0434 U+0438 U+044F", "Indie", "U+0399 U+03BD U+03B4 U+03AF U+03B1", "Intia", "Intia</w:t>
      </w:r>
      <w:r>
        <w:t>n tasavalta", "U+05D4 U+05D5 U+05D3 U+05D5", "Indija", "Indijos Respublika", "U+00CD ndia", "RepU+00FA blica da U+00CD ndia", "U+0E2D U+0E34 U+0E19 U+0E40 U+0E14 U+0E35 U+0E22", "Hindistan", "U+0406 U+043D U+0434 U+0456 U+044F", "U+092D U+093E U+0930 U+092</w:t>
      </w:r>
      <w:r>
        <w:t>4", "U+0907 U+0902 U+0921 U+093F U+092F U+093E"</w:t>
      </w:r>
    </w:p>
    <w:p w:rsidR="000A156F" w:rsidRDefault="00A9721F">
      <w:r>
        <w:t>"Israel", "Yisra'el", "U+0418 U+0437 U+0440 U+0430 U+0435 U+043B", "Izrael", "U+0399 U+03C3 U+03C1 U+03B1 U+03AE U+03BB", "Iisrael", "Iisraeli Riik", "Israelin valtio", "IsraU+00EB l", "U+05D9 U+05E9 U+05E8 U</w:t>
      </w:r>
      <w:r>
        <w:t>+05D0 U+05DC", "Isreal", "Israele", "IzraU+0113 la", "Izraelis", "Izraelio ValstybU+0117", "Estado de Israel", "U+0418 U+0437 U+0440 U+0430 U+0438 U+043B U+044C", "U+0E2D U+0E34 U+0E2A U+0E23 U+0E32 U+0E40 U+0E2D U+0E25", "U+0130 srail", "U+0406 U+0437 U+0</w:t>
      </w:r>
      <w:r>
        <w:t>440 U+0430 U+0457 U+043B U+044C", "U+0907 U+095B U+0930 U+093E U+0907 U+0932"</w:t>
      </w:r>
    </w:p>
    <w:p w:rsidR="000A156F" w:rsidRDefault="00A9721F">
      <w:r>
        <w:t>"Italy", "Italien", "Italia", "ITA", "U+0625 U+064A U+0637 U+0627 U+0644 U+064A U+0627", "U+0625 U+064A U+0637 U+0627 U+0644 U+064A U+0629", "U+0418 U+0442 U+0430 U+043B U+0438 U</w:t>
      </w:r>
      <w:r>
        <w:t>+044F", "ItU+00E1 lie", "U+0399 U+03C4 U+03B1 U+03BB U+03AF U+03B1", "Itaalia", "Italian tasavalta", "Italie", "U+05D0 U+05D9 U+05D8 U+05DC U+05D9 U+05D4", "Italija", "OlaszorszU+00E1 g", "ItU+0101 lija", "Italijos Respublika", "ItaliU+00EB", "WU+0142 ochy</w:t>
      </w:r>
      <w:r>
        <w:t>", "ItU+00E1 lia", "RepU+00FA blica Italiana", "Taliansko", "U+0E2D U+0E34 U+0E15 U+0E32 U+0E25 U+0E35", "U+0130 talya", "U+0406 U+0442 U+0430 U+043B U+0456 U+044F", "U+0907 U+091F U+0932 U+0940", "ItU+00E0 lia"</w:t>
      </w:r>
    </w:p>
    <w:p w:rsidR="000A156F" w:rsidRDefault="00A9721F">
      <w:r>
        <w:t>"Japan", "Giappone", "Japon", "Jepun", "JapU</w:t>
      </w:r>
      <w:r>
        <w:t>+00F3 n", "U+0627 U+0644 U+064A U+0627 U+0628 U+0627 U+0646", "U+042F U+043F U+043E U+043D U+0438 U+044F", "Japonsko", "U+0399 U+03B1 U+03C0 U+03C9 U+03BD U+03AF U+03B1", "Jaapan", "Japani", "U+05D9 U+05E4 U+05DF", "U+05D9 U+05E4 U+05D0 U+05DF", "JapU+00E1</w:t>
      </w:r>
      <w:r>
        <w:t xml:space="preserve"> n", "JapU+0101 na", "Japonija", "Japonia", "JapU+00E3 o", "Japonska", "U+0E0D U+0E35 U+0E48 U+0E1B U+0E38 U+0E48 U+0E19", "Japonya", "U+042F U+043F U+043E U+043D U+0456 U+044F", "U+091C U+093E U+092A U+093E U+0928"</w:t>
      </w:r>
    </w:p>
    <w:p w:rsidR="000A156F" w:rsidRDefault="00A9721F">
      <w:r>
        <w:t>"Jordan", "U+0627 U+0644 U+0623 U+0631 U</w:t>
      </w:r>
      <w:r>
        <w:t xml:space="preserve">+062F U+0646", "U+0419 U+043E U+0440 U+0434 U+0430 U+043D U+0438 U+044F", "JordU+00E1 nsko", "Jordanien", "U+0399 U+03BF U+03C1 U+03B4 U+03B1 U+03BD U+03AF U+03B1", "Jordania", "Reino Hachemita de Jordania", "Reino HachemU+00ED  de Jordania", "Jordaania", </w:t>
      </w:r>
      <w:r>
        <w:t>"Jordanian hasemiittinen kuningaskunta", "Jordanie", "U+05D9 U+05E8 U+05D3 U+05DF", "JordU+00E1 nia", "Giordania", "JordU+0101 nija", "Jordanija", "Jordanijos HaU+0161 imitU+0173  KaralystU+0117", "JordaniU+00EB", "JordU+00E2 nia", "Reino Hachemita da Jord</w:t>
      </w:r>
      <w:r>
        <w:t>U+00E2 nia", "Iordania", "U+0418 U+043E U+0440 U+0434 U+0430 U+043D U+0438 U+044F", "JordU+00E1 n", "U+0E08 U+0E2D U+0E23 U+0E4C U+0E41 U+0E14 U+0E19", "U+00DC rdU+00FC n", "U+0419 U+043E U+0440 U+0434 U+0430 U+043D U+0456 U+044F", "U+091C U+0949 U+0930 U+</w:t>
      </w:r>
      <w:r>
        <w:t>094D U+0921 U+0928", "JordU+00E0 nia"</w:t>
      </w:r>
    </w:p>
    <w:p w:rsidR="000A156F" w:rsidRDefault="00A9721F">
      <w:r>
        <w:t>"Kazakhstan", "U+0643 U+0627 U+0632 U+0627 U+062E U+0633 U+062A U+0627 U+0646", "U+041A U+0430 U+0437 U+0430 U+0445 U+0441 U+0442 U+0430 U+043D", "KazachstU+00E1 n", "Kasakhstan", "Kasakstan", "Kazakstan", "Kasachstan"</w:t>
      </w:r>
      <w:r>
        <w:t>, "U+039A U+03B1 U+03B6 U+03B1 U+03C7 U+03C3 U+03C4 U+03AC U+03BD", "KazajstU+00E1 n", "KazajistU+00E1 n", "RepU+00FA blica de KazajistU+00E1 n", "Kasahstan", "Kasahstani Vabariik", "Kasahhi", "Kazakstanin tasavalta", "U+05E7 U+05D6 U+05D7 U+05E1 U+05D8 U+</w:t>
      </w:r>
      <w:r>
        <w:t xml:space="preserve">05D0 U+05DF", "U+05E7 U+05D6 U+05D7 U+05E1 U+05D8 U+05DF", "Kazahstan", "KazahsztU+00E1 n", "Kazakistan", "KazahstU+0101 na", "Kazachstanas", "Kazachija", "Kazachstano Respublika", "Kazachstan", "CazaquistU+00E3 o", "RepU+00FA blica do CazaquistU+00E3 o", </w:t>
      </w:r>
      <w:r>
        <w:t xml:space="preserve">"U+0E04 U+0E32 U+0E0B U+0E31 U+0E04 U+0E2A </w:t>
      </w:r>
      <w:r>
        <w:lastRenderedPageBreak/>
        <w:t>U+0E16 U+0E32 U+0E19", "U+0915 U+095B U+093E U+0916 U+0938 U+094D U+0924 U+093E U+0928"</w:t>
      </w:r>
    </w:p>
    <w:p w:rsidR="000A156F" w:rsidRDefault="00A9721F">
      <w:r>
        <w:t>"Korea (Republic of)", "Korea", "Republic of Korea", "South Korea", "Corea", "Corea del Sur", "CorU+00E9 e", "SU+00FC dkorea"</w:t>
      </w:r>
      <w:r>
        <w:t>, "U+0643 U+0648 U+0631 U+064A U+0627", "(U+062C U+0645 U+0647 U+0648 U+0631 U+064A U+0629 ) U+0643 U+0648 U+0631 U+064A U+0627", "U+0643 U+0648 U+0631 U+064A U+0627  U+0627 U+0644 U+062C U+0646 U+0648 U+0628 U+064A U+0629", "U+041A U+043E U+0440 U+0435 U+</w:t>
      </w:r>
      <w:r>
        <w:t>044F", "U+0420 U+0435 U+043F U+0443 U+0431 U+043B U+0438 U+043A U+0430  U+041A U+043E U+0440 U+0435 U+044F", "U+042E U+0436 U+043D U+0430  U+041A U+043E U+0440 U+0435 U+044F", "JiU+017E nU+00ED  Korea", "Sydkorea", "Korea (Republik)", "Republik Korea", "U+</w:t>
      </w:r>
      <w:r>
        <w:t>039A U+03BF U+03C1 U+03AD U+03B1 (U+0394 U+03B7 U+03BC U+03BF U+03BA U+03C1 U+03B1 U+03C4 U+03AF U+03B1  U+03C4 U+03B7 U+03C2 )", "RepU+00FA blica de Corea", "LU+00F5 una-Korea", "Korea Vabariik", "Korean tasavalta", "Korea (tasavalta)", "EtelU+00E4 -Korea</w:t>
      </w:r>
      <w:r>
        <w:t>", "RU+00E9 publique de CorU+00E9 e", "CorU+00E9 e du Sud", "U+05E7 U+05D5 U+05E8 U+05D9 U+05D0 U+05D4 (U+05D4 U+05E8 U+05E4 U+05D5 U+05D1 U+05DC U+05D9 U+05E7 U+05D4  U+05E9 U+05DC )", "JuU+017E na Koreja", "Republika Koreja", "Korea (Koreai KU+00F6 ztU+0</w:t>
      </w:r>
      <w:r>
        <w:t xml:space="preserve">0E1 rsasU+00E1 g)", "Repubblica di Corea", "Corea del Sud", "Koreja", "KorU+0117 ja", "KorU+0117 jos Respublika", "PietU+0173  KorU+0117 ja", "Republiek Korea", "Zuid-Korea", "SU+00F8 r-Korea", "Republika Korei", "Korea PoU+0142 udniowa", "CorU+00E9 ia do </w:t>
      </w:r>
      <w:r>
        <w:t>Sul", "RepU+00FA blica da CorU+00E9 ia", "Coreia (RepU+00FA blica da)", "Coreia", "RepU+00FA blica da Coreia", "Coreia do Sul", "Republica Coreea", "U+042E U+0436 U+043D U+0430 U+044F  U+041A U+043E U+0440 U+0435 U+044F", "JuU+017E nU+00E1  KU+00F3 rea", "</w:t>
      </w:r>
      <w:r>
        <w:t>KU+00F3 rea", "Nordkorea", "Republiken Korea", "U+0E40 U+0E01 U+0E32 U+0E2B U+0E25 U+0E35", "Kore (Cumhuriyeti)", "Kore", "GU+00FC ney Kore", "U+041F U+0456 U+0432 U+0434 U+0435 U+043D U+043D U+0430  U+041A U+043E U+0440 U+0435 U+044F", "U+0915 U+094B U+09</w:t>
      </w:r>
      <w:r>
        <w:t>30 U+093F U+092F U+093E"</w:t>
      </w:r>
    </w:p>
    <w:p w:rsidR="000A156F" w:rsidRDefault="00A9721F">
      <w:r>
        <w:t>"Kuwait", "U+0627 U+0644 U+0643 U+0648 U+064A U+062A", "U+041A U+0443 U+0432 U+0435 U+0439 U+0442", "Kuvajt", "U+039A U+03BF U+03C5 U+03B2 U+03AD U+03B9 U+03C4", "Estado de Kuwait", "Kuveit", "Kuveidi Riik", "Kuwaitin valtio", "Kow</w:t>
      </w:r>
      <w:r>
        <w:t>eU+00EF t", "U+05DB U+05D5 U+05D5 U+05D9 U+05EA", "U+05DB U+05D5 U+05D5 U+05D9 U+05D9 U+05EA", "Kuvait", "Kuveita", "Kuveitas", "Kuveito ValstybU+0117", "Koeweit", "Kuwejt", "Coveite (Kuaite)", "RepU+00FA blica do Coveite (Kuaite)", "Kuweit", "U+0E04 U+0E3</w:t>
      </w:r>
      <w:r>
        <w:t>9 U+0E40 U+0E27 U+0E15", "Kuveyt", "U+0915 U+0941 U+0935 U+0948 U+0924"</w:t>
      </w:r>
    </w:p>
    <w:p w:rsidR="000A156F" w:rsidRDefault="00A9721F">
      <w:r>
        <w:t xml:space="preserve">"Latvia", "U+0644 U+0627 U+062A U+0641 U+064A U+0627", "U+041B U+0430 U+0442 U+0432 U+0438 U+044F", "LotyU+0161 sko", "Letland", "Lettland", "U+039B U+03B5 U+03C4 U+03BF U+03BD U+03AF </w:t>
      </w:r>
      <w:r>
        <w:t>U+03B1", "Letonia", "RepU+00FA blica de Letonia", "LU+00E4 ti", "LU+00E4 ti Vabariik", "LU+00E4 timaa", "Latvian tasavalta", "Lettonie", "U+05DC U+05D8 U+05D1 U+05D9 U+05D4", "U+05DC U+05D8 U+05D5 U+05D5 U+05D9 U+05D4", "Latvija", "Letonija", "LettorszU+00</w:t>
      </w:r>
      <w:r>
        <w:t>E1 g", "Lettonia", "Latvijos Respublika", "U+0141 otwa", "LetU+00F4 nia", "RepU+00FA blica da LetU+00F4 nia", "LetU+00F3 nia", "U+0E25 U+0E31 U+0E15 U+0E40 U+0E27 U+0E35 U+0E22", "Letonya", "U+041B U+0430 U+0442 U+0432 U+0456 U+044F", "U+0932 U+093E U+0924</w:t>
      </w:r>
      <w:r>
        <w:t xml:space="preserve"> U+0935 U+093F U+092F U+093E", "LU+00E0 tvia"</w:t>
      </w:r>
    </w:p>
    <w:p w:rsidR="000A156F" w:rsidRDefault="00A9721F">
      <w:r>
        <w:t>"Lebanon", "U+0644 U+0628 U+0646 U+0627 U+0646", "U+041B U+0438 U+0432 U+0430 U+043D", "Libanon", "U+039B U+03AF U+03B2 U+03B1 U+03BD U+03BF U+03C2", "LU+00ED bano", "RepU+00FA blica Libanesa", "Liibanon", "Lii</w:t>
      </w:r>
      <w:r>
        <w:t>banoni Vabariik", "Libanonin tasavalta", "Liban", "U+05DC U+05D1 U+05E0 U+05D5 U+05DF", "Libano", "LibU+0101 na", "Libanas", "Libano Respublika", "U+0E40 U+0E25 U+0E1A U+0E32 U+0E19 U+0E2D U+0E19", "LU+00FC bnan", "U+041B U+0456 U+0432 U+0430 U+043D", "U+0</w:t>
      </w:r>
      <w:r>
        <w:t>932 U+0947 U+092C U+0928 U+093E U+0928", "LU+00ED ban"</w:t>
      </w:r>
    </w:p>
    <w:p w:rsidR="000A156F" w:rsidRDefault="00A9721F">
      <w:r>
        <w:t xml:space="preserve">"Lithuania", "Lituania", "U+0644 U+062A U+0648 U+0627 U+0646 U+064A U+0627", "U+041B U+0438 U+0442 U+0432 U+0430", "Litva", "Litauen", "U+039B U+03B9 U+03B8 U+03BF U+03C5 U+03B1 U+03BD U+03AF U+03B1", </w:t>
      </w:r>
      <w:r>
        <w:t xml:space="preserve">"Leedu", "Leedu Vabariik", "Leedumaa", "Liettua", "Liettuan tasavalta", "Lituanie", "U+05DC U+05D9 U+05D8 U+05D0", "LitvU+00E1 nia", "Lietuva", "Lietuvos Respublika", "Litouwen", "Litwa", "LituU+00E2 nia", "RepU+00FA blica da LituU+00E2 nia", "U+0E25 </w:t>
      </w:r>
      <w:r>
        <w:lastRenderedPageBreak/>
        <w:t>U+0E3</w:t>
      </w:r>
      <w:r>
        <w:t>4 U+0E17 U+0E31 U+0E27 U+0E40 U+0E19 U+0E35 U+0E22", "Litvanya", "U+0932 U+093F U+0925 U+0941 U+0906 U+0928 U+093F U+092F U+093E", "LituU+00E0 nia"</w:t>
      </w:r>
    </w:p>
    <w:p w:rsidR="000A156F" w:rsidRDefault="00A9721F">
      <w:r>
        <w:t>"Maldives", "Malediven", "Maldivas", "Maldive", "U+062C U+0632 U+0631  U+0627 U+0644 U+0645 U+0627 U+0644 U+</w:t>
      </w:r>
      <w:r>
        <w:t>062F U+064A U+0641", "U+041C U+0430 U+043B U+0434 U+0438 U+0432 U+0438", "U+041C U+0430 U+043B U+0434 U+0438 U+0432 U+0441 U+043A U+0438  U+043E -U+0432 U+0438", "Maledivy", "Maldiverne", "U+039C U+03B1 U+03BB U+03B4 U+03AF U+03B2 U+03B5 U+03C2", "Maldiivi</w:t>
      </w:r>
      <w:r>
        <w:t>d", "Maldiivi Vabariik", "Malediivit", "Malediivien tasavalta", "U+05D4 U+05D0 U+05D9 U+05D9 U+05DD  U+05D4 U+05DE U+05DC U+05D3 U+05D9 U+05D1 U+05D9 U+05D9 U+05DD", "U+05D0 U+05D9 U+05D9  U+05DE U+05DC U+05D3 U+05D9 U+05D1", "Maldivi", "MaldU+00ED v-szige</w:t>
      </w:r>
      <w:r>
        <w:t>tek", "MaldU+012B vu salas", "Maldyvai", "MaldyvU+0173  Respublika", "Maldivene", "The Maldives", "Malediwy", "RepU+00FA blica das Maldivas", "U+041C U+0430 U+043B U+044C U+0434 U+0438 U+0432 U+044B", "U+041C U+0430 U+043B U+044C U+0434 U+0438 U+0432 U+044</w:t>
      </w:r>
      <w:r>
        <w:t>1 U+043A U+0438 U+0435  U+043E -U+0432 U+0430", "Maldiverna", "U+0E21 U+0E31 U+0E25 U+0E14 U+0E35 U+0E1F U+0E2A U+0E4C", "Maldiv AdalarU+0131", "U+041C U+0430 U+043B U+044C U+0434 U+0456 U+0432 U+0438", "U+092E U+093E U+0932 U+0926 U+0940 U+0935"</w:t>
      </w:r>
    </w:p>
    <w:p w:rsidR="000A156F" w:rsidRDefault="00A9721F">
      <w:r>
        <w:t>"Morocco"</w:t>
      </w:r>
      <w:r>
        <w:t>, "Maroc", "Marocco", "Marruecos", "U+0627 U+0644 U+0645 U+063A U+0631 U+0628", "U+041C U+043E U+043D U+0430 U+043A U+043E", "Maroko", "Marokko", "U+039C U+03B1 U+03C1 U+03CC U+03BA U+03BF", "Reino de Marruecos", "Marokon kuningaskunta", "U+05DE U+05E8 U+0</w:t>
      </w:r>
      <w:r>
        <w:t>5D5 U+05E7 U+05D5", "MarokkU+00F3", "Maroka", "Marokas", "Maroko KaralystU+0117", "Marrocos", "Reino do Marrocos", "U+041C U+0430 U+0440 U+043E U+043A U+043A U+043E", "Marocko", "U+0E42 U+0E21 U+0E23 U+0E47 U+0E2D U+0E01 U+0E42 U+0E01", "Fas", "U+092E U+09</w:t>
      </w:r>
      <w:r>
        <w:t>4B U+0930 U+0915 U+094D U+0915 U+094B", "Marroc"</w:t>
      </w:r>
    </w:p>
    <w:p w:rsidR="000A156F" w:rsidRDefault="00A9721F">
      <w:r>
        <w:t>"Nepal", "NU+00E9 pal", "U+0646 U+064A U+0628 U+0627 U+0644", "U+041D U+0435 U+043F U+0430 U+043B", "NepU+00E1 l", "U+039D U+03B5 U+03C0 U+03AC U+03BB", "Nepali Kuningriik", "Nepaal", "Nepalin kuningaskunta"</w:t>
      </w:r>
      <w:r>
        <w:t>, "U+05E0 U+05E4 U+05D0 U+05DC", "NepU+0101 la", "Nepalas", "Nepalo KaralystU+0117", "Reino do Nepal", "U+0E40 U+0E19 U+0E1B U+0E32 U+0E25", "U+0928 U+0947 U+092A U+093E U+0932"</w:t>
      </w:r>
    </w:p>
    <w:p w:rsidR="000A156F" w:rsidRDefault="00A9721F">
      <w:r>
        <w:t>"Netherlands", "The Netherlands", "Holland", "Belanda", "Holanda", "Niederland</w:t>
      </w:r>
      <w:r>
        <w:t>e", "Paesi Bassi", "Paises Bajos", "Pay-Bas", "U+0647 U+0648 U+0644 U+0646 U+062F U+0627", "U+0425 U+043E U+043B U+0430 U+043D U+0434 U+0438 U+044F", "U+041D U+0438 U+0434 U+0435 U+0440 U+043B U+0430 U+043D U+0434 U+0438 U+044F", "Nizozemsko", "NizozemU+00</w:t>
      </w:r>
      <w:r>
        <w:t xml:space="preserve">ED", "Holandsko", "Nederlandene", "U+039F U+03BB U+03BB U+03B1 U+03BD U+03B4 U+03AF U+03B1", "PaU+00ED ses Bajos", "Madalmaad", "Hollandi Kuningriik", "Madalmaade Kuningriik", "Hollandi", "Alankomaat", "Hollanti", "Alankomaiden kuningaskunta", "Pays-Bas", </w:t>
      </w:r>
      <w:r>
        <w:t>"U+05D4 U+05D5 U+05DC U+05E0 U+05D3", "Nizozemska", "Hollandia", "Olanda", "NU+012B derlande", "Nyderlandai", "NyderlandU+0173  KaralystU+0117", "Olandija", "Nederland", "NL", "Holandia", "PaU+00ED ses Baixos", "Reino dos PaU+00ED ses Baixos", "U+041D U+04</w:t>
      </w:r>
      <w:r>
        <w:t>38 U+0434 U+0435 U+0440 U+043B U+0430 U+043D U+0434 U+044B", "U+0413 U+043E U+043B U+043B U+0430 U+043D U+0434 U+0438 U+044F", "HolandskU+00E9 krU+00E1 U+013E ovstvo", "Holandija", "NederlU+00E4 nderna", "U+0E40 U+0E19 U+0E40 U+0E18 U+0E2D U+0E23 U+0E4C U+</w:t>
      </w:r>
      <w:r>
        <w:t>0E41 U+0E25 U+0E19 U+0E14 U+0E4C", "Hollanda", "U+041D U+0456 U+0434 U+0435 U+0440 U+043B U+0430 U+043D U+0434 U+0438", "U+0413 U+043E U+043B U+043B U+0430 U+043D U+0434 U+0456 U+044F", "U+0928 U+0940 U+0926 U+0930 U+0932 U+0948 U+0902 U+0921", "PaU+00EF s</w:t>
      </w:r>
      <w:r>
        <w:t>os Baixos"</w:t>
      </w:r>
    </w:p>
    <w:p w:rsidR="000A156F" w:rsidRDefault="00A9721F">
      <w:r>
        <w:t>"Norway", "Norge", "Noruega", "NorvU+00E8 ge", "Norvegia", "Norwegen", "U+0627 U+0644 U+0646 U+0631 U+0648 U+064A U+062C", "U+041D U+043E U+0440 U+0432 U+0435 U+0433 U+0438 U+044F", "Norsko", "U+039D U+03BF U+03C1 U+03B2 U+03B7 U+03B3 U+03AF U+0</w:t>
      </w:r>
      <w:r>
        <w:t>3B1", "Norra", "Norja", "Norjan kuningaskunta", "U+05E0 U+05D5 U+05E8 U+05D5 U+05D5 U+05D2 U+05D9 U+05D4", "U+05E0 U+05D5 U+05E8 U+05D1 U+05D2 U+05D9 U+05D4", "NorveU+0161 ka", "NorvU+00E9 gia", "NorvU+0113 U+0123 ija", "Norvegija", "Norvegijos KaralystU+0</w:t>
      </w:r>
      <w:r>
        <w:t>117", "Noorwegen", "Norwegia", "Reino da Noruega", "NU+00F3 rsko", "Norvege", "U+0E19 U+0E2D U+0E23 U+0E4C U+0E40 U+0E27 U+0E22 U+0E4C", "NorveU+00E7", "U+041D U+043E U+0440 U+0432 U+0435 U+0433 U+0456 U+044F", "U+0928 U+0949 U+0930 U+094D U+0935 U+0947"</w:t>
      </w:r>
    </w:p>
    <w:p w:rsidR="000A156F" w:rsidRDefault="00A9721F">
      <w:r>
        <w:lastRenderedPageBreak/>
        <w:t>"</w:t>
      </w:r>
      <w:r>
        <w:t>Oman", "Sultanate of Oman", "OmU+00E1 n", "U+0639 U+0645 U+0627 U+0646", "U+0633 U+0644 U+0637 U+0646 U+0629  U+0639 U+0645 U+0627 U+0646", "U+041E U+043C U+0430 U+043D", "U+039F U+03BC U+03AC U+03BD", "Sultanato de OmU+00E1 n", "SultanU+00ED a de OmU+00E1</w:t>
      </w:r>
      <w:r>
        <w:t xml:space="preserve"> n", "Omaan", "Omaani Sultaniriik", "Omanin sulttaanikunta", "Sultanat d'Oman", "U+05E2 U+05D5 U+05DE U+05DF", "U+05E2 U+05D5 U+05DE U+05D0 U+05DF", "OmU+0101 na", "Omanas", "Omano Sultonatas", "Sultanaat van Oman", "Sultanaat Oman", "Sultanatet Oman", "Om</w:t>
      </w:r>
      <w:r>
        <w:t>U+00E3", "Sultanato de OmU+00E3", "Sultanat Oman", "U+0E42 U+0E2D U+0E21 U+0E32 U+0E19", "Umman", "Umman SultanlU+0131 U+011F U+0131", "U+0913 U+092E U+093E U+0928"</w:t>
      </w:r>
    </w:p>
    <w:p w:rsidR="000A156F" w:rsidRDefault="00A9721F">
      <w:r>
        <w:t>"Pakistan", "West Pakistan", "PakistU+00E1 n", "U+0628 U+0627 U+0643 U+0633 U+062A U+0627 U</w:t>
      </w:r>
      <w:r>
        <w:t>+0646", "U+041F U+0430 U+043A U+0438 U+0441 U+0442 U+0430 U+043D", "PU+00E1 kistU+00E1 n", "U+03A0 U+03B1 U+03BA U+03B9 U+03C3 U+03C4 U+03AC U+03BD", "PaquistU+00E1 n", "RepU+00FA blica IslU+00E1 mica de PakistU+00E1 n", "Pakistani Islamivabariik", "Pakist</w:t>
      </w:r>
      <w:r>
        <w:t xml:space="preserve">anin islamilainen tasavalta", "U+05E4 U+05E7 U+05D9 U+05E1 U+05D8 U+05DF", "U+05E4 U+05E7 U+05D9 U+05E1 U+05D8 U+05D0 U+05DF", "PakisztU+00E1 n", "PakistU+0101 na", "Pakistanas", "Pakistano Islamo Respublika", "PaquistU+00E3 o", "RepU+00FA blica IslU+00E2 </w:t>
      </w:r>
      <w:r>
        <w:t>mica do PaquistU+00E3 o", "VU+00E4 stpakistan", "U+0E1B U+0E32 U+0E01 U+0E35 U+0E2A U+0E16 U+0E32 U+0E19", "U+092A U+093E U+0915 U+093F U+0938 U+094D U+0924 U+093E U+0928"</w:t>
      </w:r>
    </w:p>
    <w:p w:rsidR="000A156F" w:rsidRDefault="00A9721F">
      <w:r>
        <w:t xml:space="preserve">"Poland", "Polska", "Pologne", "Polen", "Polland", "Polonia", "U+0628 U+0648 U+0644 </w:t>
      </w:r>
      <w:r>
        <w:t>U+0646 U+062F U+0629", "U+0628 U+0648 U+0644 U+0646 U+062F U+0627", "U+041F U+043E U+043B U+0448 U+0430", "Polsko", "U+03A0 U+03BF U+03BB U+03C9 U+03BD U+03AF U+03B1", "Poola", "Puola", "Puolan tasavalta", "U+05E4 U+05D5 U+05DC U+05D9 U+05DF", "U+05E4 U+05</w:t>
      </w:r>
      <w:r>
        <w:t>D5 U+05DC U+05E0 U+05D9 U+05D4", "Poljska", "LengyelorszU+00E1 g", "Polija", "Lenkija", "Lenkijos Respublika", "Rzeczpospolita Polska", "RP", "PolU+00F4 nia", "RepU+00FA blica da PolU+00F4 nia", "PolU+00F3 nia", "U+041F U+043E U+043B U+044C U+0448 U+0430",</w:t>
      </w:r>
      <w:r>
        <w:t xml:space="preserve"> "PoU+013E sko", "PR", "U+0E42 U+0E1B U+0E41 U+0E25 U+0E19 U+0E14 U+0E4C", "Polonya", "U+041F U+043E U+043B U+044C U+0449 U+0430", "U+041F U+043E U+043B U+044C U+0441 U+044C U+043A U+0430  U+0420 U+0435 U+0441 U+043F U+0443 U+0431 U+043B U+0456 U+043A U+04</w:t>
      </w:r>
      <w:r>
        <w:t>30", "U+092A U+094B U+0932 U+0948 U+0902 U+0921", "PolU+00F2 nia"</w:t>
      </w:r>
    </w:p>
    <w:p w:rsidR="000A156F" w:rsidRDefault="00A9721F">
      <w:r>
        <w:t>"Portugal", "Portogallo", "U+0627 U+0644 U+0628 U+0631 U+062A U+063A U+0627 U+0644", "U+041F U+043E U+0440 U+0442 U+0443 U+0433 U+0430 U+043B U+0438 U+044F", "Portugalsko", "U+03A0 U+03BF U+</w:t>
      </w:r>
      <w:r>
        <w:t>03C1 U+03C4 U+03BF U+03B3 U+03B1 U+03BB U+03AF U+03B1", "Portugali Vabariik", "Portugali", "Portugalin tasavalta", "U+05E4 U+05D5 U+05E8 U+05D8 U+05D5 U+05D2 U+05DC", "PortugU+00E1 lia", "PortugU+0101 le", "Portugalija", "Portugalijos Respublika", "Portuga</w:t>
      </w:r>
      <w:r>
        <w:t>lia", "RepU+00FA blica Portuguesa", "Portugalska", "U+0E42 U+0E1B U+0E23 U+0E15 U+0E38 U+0E40 U+0E01 U+0E2A", "Portekiz", "U+041F U+043E U+0440 U+0442 U+0443 U+0433 U+0430 U+043B U+0456 U+044F", "U+092A U+0941 U+0930 U+094D U+0924 U+0917 U+093E U+0932"</w:t>
      </w:r>
    </w:p>
    <w:p w:rsidR="000A156F" w:rsidRDefault="00A9721F">
      <w:r>
        <w:t>"Qa</w:t>
      </w:r>
      <w:r>
        <w:t xml:space="preserve">tar", "U+0642 U+0637 U+0631", "U+041A U+0430 U+0442 U+0430 U+0440", "Katar", "U+039A U+03B1 U+03C4 U+03AC U+03C1", "Emirato de Qatar", "Estado de Qatar", "Katari Riik", "Qatarin valtio", "U+05E7 U+05D8 U+05D0 U+05E8", "U+05E7 U+05D0 U+05D8 U+05D0 U+05E8", </w:t>
      </w:r>
      <w:r>
        <w:t>"Katara", "Kataras", "Kataro ValstybU+0117", "Catar", "Estado de Catar", "U+0E01 U+0E32 U+0E15 U+0E32 U+0E23 U+0E4C", "U+0915 U+0924 U+0930"</w:t>
      </w:r>
    </w:p>
    <w:p w:rsidR="000A156F" w:rsidRDefault="00A9721F">
      <w:r>
        <w:t>"Romania", "Rumania", "RumU+00E4 nien", "U+0631 U+0648 U+0645 U+0627 U+0646 U+064A U+0627", "U+0420 U+0443 U+043C U</w:t>
      </w:r>
      <w:r>
        <w:t>+044A U+043D U+0438 U+044F", "Rumunsko", "RumU+00E6 nien", "U+03A1 U+03BF U+03C5 U+03BC U+03B1 U+03BD U+03AF U+03B1", "RumanU+00ED a", "Rumeenia", "Roumanie", "U+05E8 U+05D5 U+05DE U+05E0 U+05D9 U+05D4", "Rumunjska", "RomU+00E1 nia", "RumU+0101 nija", "Rum</w:t>
      </w:r>
      <w:r>
        <w:t>unija", "RoemeniU+00EB", "Rumunia", "RomU+00EA nia", "RomU+00E9 nia", "RomU+00E2 nia", "U+0420 U+0443 U+043C U+044B U+043D U+0438 U+044F", "Romunija", "U+0E42 U+0E23 U+0E21 U+0E32 U+0E40 U+0E19 U+0E35 U+0E22", "Romanya", "U+0420 U+0443 U+043C U+0443 U+043D</w:t>
      </w:r>
      <w:r>
        <w:t xml:space="preserve"> U+0456 U+044F", "U+0930 U+094B U+092E U+093E U+0928 U+093F U+092F U+093E"</w:t>
      </w:r>
    </w:p>
    <w:p w:rsidR="000A156F" w:rsidRDefault="00A9721F">
      <w:r>
        <w:lastRenderedPageBreak/>
        <w:t>"Russia", "Rusia", "RuU+00DF land", "Russland", "U+0631 U+0648 U+0633 U+064A U+0627", "U+0420 U+0443 U+0441 U+0438 U+044F", "Rusko", "RuskU+00E1 federace", "Rusland", "Russische FU+</w:t>
      </w:r>
      <w:r>
        <w:t>00F6 deration", "U+03A1 U+03C9 U+03C3 U+03AF U+03B1", "Venemaa", "Venemaa FU+00F6 deratsioon", "Vene", "VenU+00E4 jU+00E4", "VenU+00E4 jU+00E4 n federaatio", "Russie", "FU+00E9 dU+00E9 ration de Russie", "U+05E8 U+05D5 U+05E1 U+05D9 U+05D4", "Rusija", "Oro</w:t>
      </w:r>
      <w:r>
        <w:t>szorszU+00E1 g", "Krievija", "Krievijas FederU+0101 cija", "Rusijos Federacija", "Russische Federatie", "Russische republiek", "Den russiske fU+00F8 derasjon", "Rosja", "Federacja Rosyjska", "RU+00FA ssia", "FederaU+00E7 U+00E3 o da RU+00FA ssia", "FederaU</w:t>
      </w:r>
      <w:r>
        <w:t>+00E7 U+00E3 o Russa", "U+0420 U+043E U+0441 U+0441 U+0438 U+044F", "U+0420 U+0424", "U+0420 U+043E U+0441 U+0441 U+0438 U+0439 U+0441 U+043A U+0430 U+044F  U+0424 U+0435 U+0434 U+0435 U+0440 U+0430 U+0446 U+0438 U+044F", "RuskU+00E1 federU+00E1 cia", "RF"</w:t>
      </w:r>
      <w:r>
        <w:t>, "Ryssland", "U+0E23 U+0E31 U+0E2A U+0E40 U+0E0B U+0E35 U+0E22", "Rusya", "U+0420 U+043E U+0441 U+0456 U+044F", "U+0420 U+043E U+0441 U+0456 U+0439 U+0441 U+044C U+043A U+0430  U+0424 U+0435 U+0434 U+0435 U+0440 U+0430 U+0446 U+0456 U+044F", "U+0930 U+094</w:t>
      </w:r>
      <w:r>
        <w:t>2 U+0938"</w:t>
      </w:r>
    </w:p>
    <w:p w:rsidR="000A156F" w:rsidRDefault="00A9721F">
      <w:r>
        <w:t xml:space="preserve">"Saudi Arabia", "Saudi", "Arabia Saudita", "U+0627 U+0644 U+0645 U+0645 U+0644 U+0643 U+0629  U+0627 U+0644 U+0639 U+0631 U+0628 U+064A U+0629  U+0627 U+0644 U+0633 U+0639 U+0648 U+062F U+064A U+0629", "U+0627 U+0644 U+0633 U+0639 U+0648 U+062F </w:t>
      </w:r>
      <w:r>
        <w:t>U+064A U+0629", "U+0421 U+0430 U+0443 U+0434 U+0438 U+0442 U+0441 U+043A U+0430  U+0410 U+0440 U+0430 U+0431 U+0438 U+044F", "SaU+00FA dskU+00E1  ArU+00E1 bie", "Saudi-Arabien", "Saudiarabien", "U+03A3 U+03B1 U+03BF U+03C5 U+03B4 U+03B9 U+03BA U+03AE  U+03</w:t>
      </w:r>
      <w:r>
        <w:t>91 U+03C1 U+03B1 U+03B2 U+03AF U+03B1", "Arabia SaudU+00ED", "Reino de Arabia SaudU+00ED", "Reino de Arabia Saudita", "Saudi Araabia", "Saudi-Araabia", "Saudi-Arabia", "Saudi-Arabian kuningaskunta", "Arabie saoudite", "U+05E1 U+05E2 U+05D5 U+05D3 U+05D9 U+</w:t>
      </w:r>
      <w:r>
        <w:t>05D4", "U+05E2 U+05E8 U+05D1  U+05D4 U+05E1 U+05E2 U+05D5 U+05D3 U+05D9 U+05EA", "Saudijska Arabija", "SzaU+00FA d-ArU+00E1 bia", "Arabia", "SaU+016B da ArU+0101 bija", "Saudo Arabija", "Saudo Arabijos KaralystU+0117", "Saoedi-ArabiU+00EB", "Saoedi ArabiU+</w:t>
      </w:r>
      <w:r>
        <w:t>00EB", "Arabia Saudyjska", "ArU+00E1 bia Saudita", "Reino da ArU+00E1 bia Saudita", "Arabia SauditU+0103", "U+0421 U+0430 U+0443 U+0434 U+043E U+0432 U+0441 U+043A U+0430 U+044F  U+0410 U+0440 U+0430 U+0432 U+0438 U+044F", "SaudskU+00E1  ArU+00E1 bia", "Sa</w:t>
      </w:r>
      <w:r>
        <w:t>udska Arabija", "U+0E0B U+0E32 U+0E2D U+0E38 U+0E14 U+0E35 U+0E2D U+0E32 U+0E23 U+0E30 U+0E40 U+0E1A U+0E35 U+0E22", "Suudi Arabistan", "U+0421 U+0430 U+0443 U+0434 U+0456 U+0432 U+0441 U+044C U+043A U+0430  U+0410 U+0440 U+0430 U+0432 U+0456 U+044F", "U+0</w:t>
      </w:r>
      <w:r>
        <w:t>938 U+090A U+0926 U+0940  U+0905 U+0930 U+092C", "ArU+00E0 bia Saudita"</w:t>
      </w:r>
    </w:p>
    <w:p w:rsidR="000A156F" w:rsidRDefault="00A9721F">
      <w:r>
        <w:t>"Slovak Republic", "Slovakia", "Slovenska Republika", "Slowakei", "U+062C U+0645 U+0647 U+0648 U+0631 U+064A U+0629  U+0627 U+0644 U+0633 U+0644 U+0648 U+0641 U+0627 U+0643", "U+0421 U</w:t>
      </w:r>
      <w:r>
        <w:t>+043B U+043E U+0432 U+0430 U+043A U+0438 U+044F", "SlovenskU+00E1 republika", "Slovensko", "Slovakiet", "Slowakische Republik", "U+03A3 U+03BB U+03BF U+03B2 U+03B1 U+03BA U+03AF U+03B1", "Eslovaquia", "RepU+00FA blica Eslovaca", "Slovakkia", "Slovaki Vabar</w:t>
      </w:r>
      <w:r>
        <w:t>iik", "Slovakian tasavalta", "Slovaquie", "RU+00E9 publique slovaque", "U+05E1 U+05DC U+05D5 U+05D1 U+05E7 U+05D9 U+05D4", "U+05D4 U+05E8 U+05E4 U+05D5 U+05D1 U+05DC U+05D9 U+05E7 U+05D4  U+05D4 U+05E1 U+05DC U+05D5 U+05D1 U+05E7 U+05D9 U+05EA", "SlovaU+01</w:t>
      </w:r>
      <w:r>
        <w:t xml:space="preserve">0D ka", "SzlovU+00E1 k KU+00F6 ztU+00E1 rsasU+00E1 g", "SzlovU+00E1 kia", "Slovacchia", "Repubblica Slovacca", "SlovU+0101 kija", "Slovakija", "Slovakijos Respublika", "Slowakije", "Slowaakse Republiek", "Republikken Slovakia", "Den slovakiske republikk", </w:t>
      </w:r>
      <w:r>
        <w:t>"SU+0142 owacja", "Republika SU+0142 owacka", "EslovU+00E1 quia", "Slovacia", "U+0420 U+0435 U+0441 U+043F U+0443 U+0431 U+043B U+0438 U+043A U+0430  U+0421 U+043B U+043E U+0432 U+0430 U+043A U+0438 U+044F", "SR", "SlovaU+0161 ka", "Slovakien", "Slovakiska</w:t>
      </w:r>
      <w:r>
        <w:t xml:space="preserve"> republiken", "U+0E2A U+0E42 U+0E25 U+0E27 U+0E30 U+0E40 U+0E01 U+0E35 U+0E22", "Slovak Cumhuriyeti", "U+0420 U+0435 U+0441 U+043F U+0443 U+0431 U+043B U+0456 U+043A U+0430  U+0421 U+043B U+043E U+0432 U+0430 U+043A U+0456 U+044F", "U+0421 U+043B U+043E U+</w:t>
      </w:r>
      <w:r>
        <w:t>0432 U+0430 U+043A U+0456 U+044F", "U+0938 U+094D U+0932 U+094B U+0935 U+093E U+0915  U+0917 U+0923 U+0930 U+093E U+091C U+094D U+092F", "EslovU+00E0 quia"</w:t>
      </w:r>
    </w:p>
    <w:p w:rsidR="000A156F" w:rsidRDefault="00A9721F">
      <w:r>
        <w:t>"Slovenia", "Eslovenia", "Slovenija", "U+0633 U+0644 U+0648 U+0641 U+064A U+0646 U+064A U+0627", "U+</w:t>
      </w:r>
      <w:r>
        <w:t xml:space="preserve">0421 U+043B U+043E U+0432 U+0435 U+043D U+0438 U+044F", "Slovinsko", </w:t>
      </w:r>
      <w:r>
        <w:lastRenderedPageBreak/>
        <w:t>"Slovenien", "Slowenien", "U+03A3 U+03BB U+03BF U+03B2 U+03B5 U+03BD U+03AF U+03B1", "Sloveenia", "Slovenian tasavalta", "SlovU+00E9 nie", "U+05E1 U+05DC U+05D5 U+05D1 U+05E0 U+05D9 U+05D</w:t>
      </w:r>
      <w:r>
        <w:t>4", "SzlovU+00E9 nia", "SlovU+0113 nija", "SlovU+0117 nija", "SlovU+0117 nijos Respublika", "SloveniU+00EB", "SU+0142 owenia", "EslovU+00EA nia", "RepU+00FA blica da EslovU+00EA nia", "EslovU+00E9 nia", "Republika Slovenija", "Republic Slovenia", "U+0E2A U</w:t>
      </w:r>
      <w:r>
        <w:t>+0E42 U+0E25 U+0E27 U+0E35 U+0E40 U+0E19 U+0E35 U+0E22", "Slovenya", "U+0421 U+043B U+043E U+0432 U+0435 U+043D U+0456 U+044F", "U+0938 U+094D U+0932 U+094B U+0935 U+0947 U+0928 U+093F U+092F U+093E", "EslovU+00E8 nia"</w:t>
      </w:r>
    </w:p>
    <w:p w:rsidR="000A156F" w:rsidRDefault="00A9721F">
      <w:r>
        <w:t>"Spain", "EspaU+00F1 a", "Espana", "E</w:t>
      </w:r>
      <w:r>
        <w:t>spagne", "Espanha", "Spagna", "Spanien", "Sepanyol", "U+0623 U+0633 U+0628 U+0627 U+0646 U+064A U+0627", "U+0418 U+0441 U+043F U+0430 U+043D U+0438 U+044F", "U+0160 panU+011B lsko", "U+0399 U+03C3 U+03C0 U+03B1 U+03BD U+03AF U+03B1", "Hispaania", "Espanja"</w:t>
      </w:r>
      <w:r>
        <w:t>, "Espanjan kuningaskunta", "U+05E1 U+05E4 U+05E8 U+05D3", "U+0160 panjolska", "SpanyolorszU+00E1 g", "SpU+0101 nija", "Ispanija", "Ispanijos KaralystU+0117", "Spanje", "Spania", "Hiszpania", "U+0160 panielsko", "U+0160 panija", "U+0E2A U+0E40 U+0E1B U+0E1</w:t>
      </w:r>
      <w:r>
        <w:t>9", "U+0130 spanya", "U+0406 U+0441 U+043F U+0430 U+043D U+0456 U+044F", "U+0938 U+094D U+092A U+0947 U+0928", "Espanya"</w:t>
      </w:r>
    </w:p>
    <w:p w:rsidR="000A156F" w:rsidRDefault="00A9721F">
      <w:r>
        <w:t>"Sri Lanka", "Ceilan", "U+0633 U+0631 U+064A U+0644 U+0627 U+0646 U+0643 U+0627", "U+0428 U+0440 U+0438  U+041B U+0430 U+043D U+043A U+</w:t>
      </w:r>
      <w:r>
        <w:t xml:space="preserve">0430", "U+0426 U+0435 U+0439 U+043B U+043E U+043D", "SrU+00ED  Lanka", "Ceylon", "U+03A3 U+03C1 U+03B9  U+039B U+03AC U+03BD U+03BA U+03B1", "CeilU+00E1 n", "RepU+00FA blica Socialista DemocrU+00E1 tica de Sri Lanka", "Tseilon", "Sri Lankan demokraattinen </w:t>
      </w:r>
      <w:r>
        <w:t>sosialistinen tasavalta", "U+05E1 U+05E8 U+05D9  U+05DC U+05E0 U+05E7 U+05D4", "U+0160 ri Lanka", "U+0160 rilanka", "U+0160 ri Lankos DemokratinU+0117  SocialistinU+0117  Respublika", "Cejlon", "RepU+00FA blica DemocrU+00E1 tica Socialista do Sri Lanka", "</w:t>
      </w:r>
      <w:r>
        <w:t>CeilU+00E3 o", "U+0428 U+0440 U+0438 -U+041B U+0430 U+043D U+043A U+0430", "U+0E28 U+0E23 U+0E35 U+0E25 U+0E31 U+0E07 U+0E01 U+0E32", "Seylan", "U+0428 U+0440 U+0456 -U+041B U+0430 U+043D U+043A U+0430", "U+0936 U+094D U+0930 U+0940 U+0932 U+0902 U+0915 U+</w:t>
      </w:r>
      <w:r>
        <w:t>093E"</w:t>
      </w:r>
    </w:p>
    <w:p w:rsidR="000A156F" w:rsidRDefault="00A9721F">
      <w:r>
        <w:t>"Sweden", "Sverige", "Schweden", "SuU+00E9 de", "Suecia", "Svezia", "U+0627 U+0644 U+0633 U+0648 U+064A U+062F", "U+0428 U+0432 U+0435 U+0446 U+0438 U+044F", "U+0160 vU+00E9 dsko", "U+03A3 U+03BF U+03C5 U+03B7 U+03B4 U+03AF U+03B1", "Rootsi", "Rootsi</w:t>
      </w:r>
      <w:r>
        <w:t>maa", "Ruotsi", "Ruotsin kuningaskunta", "SuU+00E8 de", "U+05E9 U+05D5 U+05D5 U+05D3 U+05D9 U+05D4", "U+05E9 U+05D1 U+05D3 U+05D9 U+05D4", "U+0160 vedska", "SvU+00E9 dorszU+00E1 g", "Zviedrija", "U+0160 vedija", "U+0160 vedijos KaralystU+0117", "Zweden", "</w:t>
      </w:r>
      <w:r>
        <w:t>Szwecja", "SuU+00E9 cia", "Reino da SuU+00E9 cia", "Suedia", "U+0160 vU+00E9 dske krU+00E1 U+013E ovsvto", "U+0E2A U+0E27 U+0E35 U+0E40 U+0E14 U+0E19", "U+0130 sveU+00E7", "U+0428 U+0432 U+0435 U+0446 U+0456 U+044F", "U+0938 U+094D U+0935 U+0940 U+0921 U+0</w:t>
      </w:r>
      <w:r>
        <w:t>928", "SuU+00E8 cia"</w:t>
      </w:r>
    </w:p>
    <w:p w:rsidR="000A156F" w:rsidRDefault="00A9721F">
      <w:r>
        <w:t>"Switzerland", "Suisse", "Suiza", "Sveits", "Sviss", "Svizzera", "Schweiz", "U+0633 U+0648 U+064A U+0633 U+0631 U+0627", "U+0428 U+0432 U+0435 U+0439 U+0446 U+0430 U+0440 U+0438 U+044F", "U+0160 vU+00FD carsko", "Svejts", "Eidgenossens</w:t>
      </w:r>
      <w:r>
        <w:t>chaft", "U+0395 U+03BB U+03B2 U+03B5 U+03C4 U+03AF U+03B1", "U+0160 veits", "U+0160 veitsi KonfU+00F6 deratsioon", "Helveetsia", "Sveitsi", "Sveitsin valaliitto", "U+05E9 U+05D5 U+05D5 U+05D9 U+05E5", "U+05E9 U+05D5 U+05D9 U+05D9 U+05E5", "U+05E9 U+05D5 U+</w:t>
      </w:r>
      <w:r>
        <w:t>05D5 U+05D9 U+05E6 U+05E8 U+05D9 U+05D4", "U+05E9 U+05D5 U+05D9 U+05D9 U+05E6 U+05E8 U+05D9 U+05D4", "U+05E9 U+05D5 U+05D5 U+05D9 U+05D9 U+05E5", "U+0160 vicarska", "SvU+00E1 jc", "U+0160 veice", "U+0160 veicarija", "U+0160 veicarijos Konferderacija", "Zwi</w:t>
      </w:r>
      <w:r>
        <w:t>tserland", "Szwajcaria", "SuU+00ED U+00E7 a", "ConfederaU+00E7 U+00E3 o SuU+00ED U+00E7 a", "ElveU+0163 ia", "U+0160 vajU+010D iarsko", "U+0160 vica", "U+0E2A U+0E27 U+0E34 U+0E15 U+0E40 U+0E0B U+0E2D U+0E23 U+0E4C U+0E41 U+0E25 U+0E19 U+0E14 U+0E4C", "U+0</w:t>
      </w:r>
      <w:r>
        <w:t>130 sviU+00E7 re", "U+0428 U+0432 U+0435 U+0439 U+0446 U+0430 U+0440 U+0456 U+044F", "U+0938 U+094D U+0935 U+093F U+091F U+094D U+095B U+0930 U+0932 U+0948 U+0902 U+0921", "SuU+00EF ssa"</w:t>
      </w:r>
    </w:p>
    <w:p w:rsidR="000A156F" w:rsidRDefault="00A9721F">
      <w:r>
        <w:t>"Taiwan", "Formosa", "U+062A U+0627 U+064A U+0648 U+0627 U+0646", "U+</w:t>
      </w:r>
      <w:r>
        <w:t xml:space="preserve">0422 U+0430 U+0439 U+0432 U+0430 U+043D", "Tchaj-wan", "Tchajwan", "U+03A4 U+03B1 U+03CA U+03B2 U+03AC U+03BD", "TaiwU+00E1 n", "RepU+00FA blica de China", "Taivan", "TaU+00EF wan", </w:t>
      </w:r>
      <w:r>
        <w:lastRenderedPageBreak/>
        <w:t xml:space="preserve">"U+05D8 U+05D0 U+05D9 U+05D9 U+05D5 U+05D0 U+05DF", "U+05D8 U+05D9 U+05D5 </w:t>
      </w:r>
      <w:r>
        <w:t>U+05D5 U+05D0 U+05DF", "U+05D8 U+05D0 U+05D9 U+05D5 U+05D5 U+05D0 U+05DF", "U+05E4 U+05D5 U+05E8 U+05DE U+05D5 U+05D6 U+05D4", "U+05D8 U+05D9 U+05D9 U+05D5 U+05D5 U+05D0 U+05DF", "U+05D8 U+05D9 U+05D9 U+05D5 U+05D0 U+05DF", "U+05D8 U+05D9 U+05D9 U+05D5 U+0</w:t>
      </w:r>
      <w:r>
        <w:t>5D5", "Tajvan", "TaivU+0101 na", "Taivanas", "Tajwan", "U+0422 U+0430 U+0439 U+0432 U+0430 U+043D U+044C", "U+0E44 U+0E15 U+0E49 U+0E2B U+0E27 U+0E31 U+0E19", "Tayvan", "U+0924 U+093E U+0907 U+0935 U+093E U+0928"</w:t>
      </w:r>
    </w:p>
    <w:p w:rsidR="000A156F" w:rsidRDefault="00A9721F">
      <w:r>
        <w:t>"Thailand", "Tailandia", "U+062A U+0627 U+0</w:t>
      </w:r>
      <w:r>
        <w:t>64A U+0644 U+0627 U+0646 U+062F", "U+0422 U+0430 U+0439 U+043B U+0430 U+043D U+0434", "Thajsko", "U+03A4 U+03B1 U+03CA U+03BB U+03AC U+03BD U+03B4 U+03B7", "Tai", "Taimaa", "Thai", "Thaimaa", "Thaimaan kuningaskunta", "ThaU+00EF lande", "U+05EA U+05D0 U+05</w:t>
      </w:r>
      <w:r>
        <w:t xml:space="preserve">D9 U+05DC U+05E0 U+05D3", "U+05EA U+05D9 U+05D9 U+05DC U+05D0 U+05E0 U+05D3", "U+05EA U+05D9 U+05D9 U+05DC U+05E0 U+05D3", "Tajland", "ThaifU+00F6 ld", "Thailandia", "Taizeme", "Tailandas", "Tailando KaralystU+0117", "Tajlandia", "TailU+00E2 ndia", "Reino </w:t>
      </w:r>
      <w:r>
        <w:t>da TailU+00E2 ndia", "Thailanda", "Tajska", "U+0E1B U+0E23 U+0E30 U+0E40 U+0E17 U+0E28 U+0E44 U+0E17 U+0E22", "Tayland", "U+0422 U+0430 U+0457 U+043B U+0430 U+043D U+0434", "U+0925 U+093E U+0907 U+0932 U+0948 U+0902 U+0921"</w:t>
      </w:r>
    </w:p>
    <w:p w:rsidR="000A156F" w:rsidRDefault="00A9721F">
      <w:r>
        <w:t>"Tunisia", "U+062A U+0648 U+0646</w:t>
      </w:r>
      <w:r>
        <w:t xml:space="preserve"> U+0633", "U+0422 U+0443 U+043D U+0438 U+0441", "Tunisko", "Tunesien", "U+03A4 U+03C5 U+03BD U+03B7 U+03C3 U+03AF U+03B1", "TU+00FA nez", "Tuneesia", "Tunisian tasavalta", "Tunisie", "U+05D8 U+05D5 U+05E0 U+05D9 U+05E1", "U+05D8 U+05D5 U+05E0 U+05D9 U+05E1</w:t>
      </w:r>
      <w:r>
        <w:t xml:space="preserve"> U+05D9 U+05D4", "U+05EA U+05D5 U+05E0 U+05D9 U+05E1 U+05D9 U+05D4", "Tunis", "TunU+00E9 zia", "Tunisija", "Tunisas", "Tuniso Respublika", "TunesiU+00EB", "Tunezja", "TunU+00ED sia", "RepU+00FA blica da TunU+00ED sia", "Tunizija", "Tunisien", "U+0E15 U+0E3</w:t>
      </w:r>
      <w:r>
        <w:t>9 U+0E19 U+0E34 U+0E40 U+0E0B U+0E35 U+0E22", "Tunus", "U+0422 U+0443 U+043D U+0456 U+0441", "U+091F U+094D U+092F U+0942 U+0928 U+0940 U+0936 U+093F U+092F U+093E"</w:t>
      </w:r>
    </w:p>
    <w:p w:rsidR="000A156F" w:rsidRDefault="00A9721F">
      <w:r>
        <w:t xml:space="preserve">"Turkey", "Turkiye", "Turchia", "TurquU+00ED a", "TU+00FC rkei", "U+062A U+0631 U+0643 </w:t>
      </w:r>
      <w:r>
        <w:t>U+064A U+0627", "U+0422 U+0443 U+0440 U+0446 U+0438 U+044F", "Turecko", "Tyrkiet", "U+03A4 U+03BF U+03C5 U+03C1 U+03BA U+03AF U+03B1", "TU+00FC rgi", "TU+00FC rkiye", "Turkki", "Turkin tasavalta", "Turquie", "U+05D8 U+05D5 U+05E8 U+05E7 U+05D9 U+05D4", "U+</w:t>
      </w:r>
      <w:r>
        <w:t>05EA U+05D5 U+05E8 U+05DB U+05D9 U+05D4", "Turska", "TU+00F6 rU+00F6 korszU+00E1 g", "Turcija", "Turkija", "Turkijos Respublika", "Turkije", "Tyrkia", "Turcja", "Turquia", "RepU+00FA blica da Turquia", "Turcia", "TurU+010D ija", "Turkiet", "U+0E15 U+0E38 U</w:t>
      </w:r>
      <w:r>
        <w:t>+0E23 U+0E01 U+0E35", "U+0422 U+0443 U+0440 U+0435 U+0447 U+0447 U+0438 U+043D U+0430", "U+0924 U+0941 U+0930 U+094D U+0915 U+0940"</w:t>
      </w:r>
    </w:p>
    <w:p w:rsidR="000A156F" w:rsidRDefault="00A9721F">
      <w:r>
        <w:t xml:space="preserve">"Ukraine", "Ucrania", "U+0623 U+0648 U+0643 U+0631 U+0627 U+0646 U+064A U+0627", "U+0423 U+043A U+0440 U+0430 U+0439 U+043D </w:t>
      </w:r>
      <w:r>
        <w:t>U+0430", "Ukrajina", "U+039F U+03C5 U+03BA U+03C1 U+03B1 U+03BD U+03AF U+03B1", "Ukraina", "U+05D0 U+05D5 U+05E7 U+05E8 U+05D0 U+05D9 U+05E0 U+05D4", "Ukrajna", "Ucraina", "OekraU+00EF ne", "UcrU+00E2 nia", "RepU+00FA blica da UcrU+00E2 nia", "U+0423 U+043</w:t>
      </w:r>
      <w:r>
        <w:t>A U+0440 U+0430 U+0438 U+043D U+0430", "U+0E22 U+0E39 U+0E40 U+0E04 U+0E23 U+0E19", "Ukrayna", "U+0423 U+043A U+0440 U+0430 U+0457 U+043D U+0430", "U+092F U+0942 U+0915 U+094D U+0930 U+0947 U+0928", "UcraU+00EF na"</w:t>
      </w:r>
    </w:p>
    <w:p w:rsidR="000A156F" w:rsidRDefault="00A9721F">
      <w:r>
        <w:t xml:space="preserve">"United Arab Emirates", "UAE", "Emiratos </w:t>
      </w:r>
      <w:r>
        <w:t>U+00C1 rabes Unidos", "Emirates Arabes Unis", "U+0627 U+0644 U+0625 U+0645 U+0627 U+0631 U+0627 U+062A  U+0627 U+0644 U+0639 U+0631 U+0628 U+064A U+0629  U+0627 U+0644 U+0645 U+062A U+062D U+062F U+0629", "U+041E U+0431 U+0435 U+0434 U+0438 U+043D U+0435 U</w:t>
      </w:r>
      <w:r>
        <w:t>+043D U+0438  U+0430 U+0440 U+0430 U+0431 U+0441 U+043A U+0438  U+0435 U+043C U+0438 U+0440 U+0441 U+0442 U+0432 U+0430", "U+041E U+0410 U+0415", "SpojenU+00E9 arabskU+00E9 emirU+00E1 ty", "SAE", "Forenede Arabiske Emirater", "De Forenede Arabiske Emirater</w:t>
      </w:r>
      <w:r>
        <w:t>", "Vereinigte Arabische Emirate", "U+0397 U+03BD U+03C9 U+03BC U+03AD U+03BD U+03B1  U+0391 U+03C1 U+03B1 U+03B2 U+03B9 U+03BA U+03AC  U+0395 U+03BC U+03B9 U+03C1 U+03AC U+03C4 U+03B1", "EAU", "Araabia U+00DC hendemiraadid", "AU+00DC  E", "U+00DC hendemir</w:t>
      </w:r>
      <w:r>
        <w:t>aadid", "Arabiemiirikunnat", "Arabiemiraattien liitto", "Yhdistyneet arabiemiirikunnat", "U+00C9 mirats arabes unis", "U+05D0 U+05D9 U+05D7 U+05D5 U+05D3  U+05D4 U+05E0 U+05E1 U+05D9 U+05DB U+05D5 U+05D9 U+05D5 U+05EA  U+05D4 U+05E2 U+05E8 U+05D1 U+05D9 U+</w:t>
      </w:r>
      <w:r>
        <w:t xml:space="preserve">05D5 U+05EA", "U+05D0 U+05DE </w:t>
      </w:r>
      <w:r>
        <w:lastRenderedPageBreak/>
        <w:t>U+05D9 U+05E8 U+05D5 U+05D9 U+05D5 U+05EA  U+05E2 U+05E8 U+05D1 U+05D9 U+05D5 U+05EA  U+05DE U+05D0 U+05D5 U+05D7 U+05D3 U+05D5 U+05EA", "Ujedinjeni Arapski Emirati", "EgyesU+00FC lt Arab EmU+00ED rsU+00E9 gek", "EgyesU+00FC lt</w:t>
      </w:r>
      <w:r>
        <w:t xml:space="preserve"> Arab EmirU+00E1 tusok", "Emirati Arabi Uniti", "Emirati Arabi", "Apvienotie ArU+0101 bu EmirU+0101 ti", "AAE", "Jungtiniai ArabU+0173  Emyratai", "Verenigde Arabische Emiraten", "De forente arabiske emiratene", "De forente arabiske emirater", "Zjednoczone</w:t>
      </w:r>
      <w:r>
        <w:t xml:space="preserve"> Emiraty Arabskie", "ZEA", "Emirados U+00C1 rabes Unidos", "Emirados", "Emiratele Arabe Unite", "U+041E U+0410 U+042D", "U+041E U+0431 U+044A U+0435 U+0434 U+0438 U+043D U+0435 U+043D U+043D U+044B U+0435  AU+0440 U+0430 U+0431 U+0441 U+043A U+0438 U+0435 </w:t>
      </w:r>
      <w:r>
        <w:t xml:space="preserve"> U+042D U+043C U+0438 U+0440 U+0430 U+0442 U+044B", "SAR", "ZdruU+017E eni arabski emirati", "FU+00F6 renade Arabemiraten", "U+0E2A U+0E2B U+0E23 U+0E31 U+0E10 U+0E2D U+0E32 U+0E2B U+0E23 U+0E31 U+0E1A U+0E40 U+0E2D U+0E21 U+0E34 U+0E40 U+0E23 U+0E15 U+0E2</w:t>
      </w:r>
      <w:r>
        <w:t xml:space="preserve">A U+0E4C", "BirleU+015F ik Arap Emirlikleri", "U+041E U+0431 'U+0454 U+0434 U+043D U+0430 U+043D U+0456  U+0410 U+0440 U+0430 U+0431 U+0441 U+044C U+043A U+0456  U+0415 U+043C U+0456 U+0440 U+0430 U+0442 U+0438", "U+0410 U+0440 U+0430 U+0431 U+0441 U+044C </w:t>
      </w:r>
      <w:r>
        <w:t>U+043A U+0456  U+0415 U+043C U+0456 U+0440 U+0430 U+0442 U+0438", "U+0938 U+0902 U+092F U+0941 U+0915 U+094D U+0924  U+0905 U+0930 U+092C  U+0905 U+092E U+0940 U+0930 U+093E U+0924"</w:t>
      </w:r>
    </w:p>
    <w:p w:rsidR="000A156F" w:rsidRDefault="00A9721F">
      <w:r>
        <w:t>"United Kingdom", "Great Britain", "Britain", "England", "GB", "UK", "Angl</w:t>
      </w:r>
      <w:r>
        <w:t>eterre", "Inglaterra", "Reino Unido", "GroU+00DF britannien", "U+0628 U+0631 U+064A U+0637 U+0627 U+0646 U+064A U+0627", "U+0627 U+0644 U+0645 U+0645 U+0644 U+0643 U+0629  U+0627 U+0644 U+0645 U+062A U+062D U+062F U+0629", "U+0625 U+0646 U+062C U+0644 U+06</w:t>
      </w:r>
      <w:r>
        <w:t>2A U+0631 U+0627", "U+0625 U+0646 U+062C U+0644 U+062A U+0631 U+0629", "U+041E U+0431 U+0435 U+0434 U+0438 U+043D U+0435 U+043D U+043E  U+043A U+0440 U+0430 U+043B U+0441 U+0442 U+0432 U+043E", "U+0412 U+0435 U+043B U+0438 U+043A U+043E U+0431 U+0440 U+043</w:t>
      </w:r>
      <w:r>
        <w:t>8 U+0442 U+0430 U+043D U+0438 U+044F", "U+0410 U+043D U+0433 U+043B U+0438 U+044F", "VelkU+00E1  BritU+00E1 nie", "SpojenU+00E9 krU+00E1 lovstvU+00ED", "Storbritannien", "Vereinigtes KU+00F6 nigreich", "Schottland", "Nordirland", "Wales", "G.B.", "U.K.", "</w:t>
      </w:r>
      <w:r>
        <w:t>U+039C U+03B5 U+03B3 U+03AC U+03BB U+03B7  U+0392 U+03C1 U+03B5 U+03C4 U+03B1 U+03BD U+03AF U+03B1", "Gran BretaU+00F1 a", "Islas BritU+00E1 nicas", "Suurbritannia", "Suurbritannia ja PU+00F5 hja-Iiri U+00DC hendkuningriik", "U+00DC hendkuningriik", "Brita</w:t>
      </w:r>
      <w:r>
        <w:t xml:space="preserve">nnia", "Briti", "Inglismaa", "Iso-Britannia", "Yhdistynyt kuningaskunta", "Englanti", "Pohjois-Irlanti", "Ison-Britannian ja Pohjois-Irlannin yhdistynyt kuningaskunta", "Royaume-Uni", "Grande-Bretagne", "U+05D0 U+05E0 U+05D2 U+05DC U+05D9 U+05D4", "U+05D1 </w:t>
      </w:r>
      <w:r>
        <w:t>U+05E8 U+05D9 U+05D8 U+05E0 U+05D9 U+05D4", "U+05D4 U+05DE U+05DE U+05DC U+05DB U+05D4  U+05D4 U+05DE U+05D0 U+05D5 U+05D7 U+05D3 U+05EA", "U+05D1 U+05E8 U+05D9 U+05D8 U+05E0 U+05D9 U+05D4  U+05D4 U+05D2 U+05D3 U+05D5 U+05DC U+05D4", "Velika Britanija", "E</w:t>
      </w:r>
      <w:r>
        <w:t>ngleska", "Ujedinjeno Kraljevstvo", "EgyesU+00FC lt KirU+00E1 lysU+00E1 g", "Nagy-Britannia", "United Kingdon", "Regno Unito", "Gran Bretagna", "Inghilterra", "ApvienotU+0101  Kar aliste", "LielbritU+0101 nija", "JungtinU+0117  KaralystU+0117", "JungtinU+0</w:t>
      </w:r>
      <w:r>
        <w:t>117  DidU+017E iosios Britanijos ir U+0160 iaurU+0117 s Airijos KaralystU+0117", "DidU+017E ioji Britanija", "Britanija", "Anglija", "JK", "Verenigd Koninkrijk", "Groot-BrittanniU+00EB", "Engeland", "Verenigd Koninkrijk van Groot BrittanniU+00EB en Noord-I</w:t>
      </w:r>
      <w:r>
        <w:t>erland", "V.K.", "VK", "Storbritannia", "Skottland", "Nord-Irland", "Wielka Brytania", "Zjednoczone KrU+00F3 lestwo", "Brytania", "GrU+00E3 -Bretanha", "Reino Unido da GrU+00E3 -Bretanha e Irlanda do Norte", "Regatul Unit", "Marea Britanie", "Anglia", "U+0</w:t>
      </w:r>
      <w:r>
        <w:t>421 U+043E U+0435 U+0434 U+0438 U+043D U+0435 U+043D U+043D U+043E U+0435  U+041A U+043E U+0440 U+043E U+043B U+0435 U+0432 U+0441 U+0442 U+0432 U+043E", "VeU+013E kU+00E1  BritU+00E1 nia", "Anglicko", "ZdruU+017E eno kraljestvo", "U+0E2A U+0E2B U+0E23 U+0</w:t>
      </w:r>
      <w:r>
        <w:t>E32 U+0E0A U+0E2D U+0E32 U+0E13 U+0E32 U+0E08 U+0E31 U+0E01 U+0E23", "U+0130 ngiltere", "BU+00FC yU+00FC k Britanya", "BirleU+015F ik KrallU+0131 k", "U+0412 U+0435 U+043B U+0438 U+043A U+043E U+0431 U+0440 U+0438 U+0442 U+0430 U+043D U+0456 U+044F", "U+04</w:t>
      </w:r>
      <w:r>
        <w:t>11 U+0440 U+0438 U+0442 U+0430 U+043D U+0438 U+044F", "U+0412 U+0435 U+043B U+0438 U+043A U+0430  U+0411 U+0440 U+0438 U+0442 U+0430 U+043D U+0456 U+044F", "U+092C U+094D U+0930 U+093F U+091F U+0947 U+0928", "Regne Unit", "Anglaterra", "Gran Bretanya", "No</w:t>
      </w:r>
      <w:r>
        <w:t>rthern Ireland", "Irlanda do Norte", "U+0421 U+0435 U+0432 U+0435 U+0440 U+043D U+0430  U+0418 U+0440 U+043B U+0430 U+043D U+0434 U+0438 U+044F", "Irlanda del Nord", "Sjeverna Irska", "SevernU+00ED  Irsko", "Nordirland", "Noord-Ierland", "PU+00F5 hja-Iirim</w:t>
      </w:r>
      <w:r>
        <w:t xml:space="preserve">aa", "Pohjois-Irlanti", "Irlan de du Nord", "U+0392 U+03CC U+03C1 U+03B5 U+03B9 U+03B1  U+0399 U+03C1 U+03BB </w:t>
      </w:r>
      <w:r>
        <w:lastRenderedPageBreak/>
        <w:t>U+03B1 U+03BD U+03B4 U+03AF U+03B1", "Eszak-Irorszag", "ZiemeU+013C U+012B rija", "U+0160 iaurU+0117 s Airija", "Nord-Irland", "nord-Irland", "Nord</w:t>
      </w:r>
      <w:r>
        <w:t xml:space="preserve"> Irland", "Irlandia PU+00F3 U+0142 nocna", "Irlandia PU+0142 n.", "PU+00F3 U+0142 nocna Irlandia", "Irlanda de Nord", "U+0421 U+0435 U+0432 U+0435 U+0440 U+043D U+0430 U+044F  U+0418 U+0440 U+043B U+0430 U+043D U+0434 U+0438 U+044F", "SevernU+00E9  U+00CD </w:t>
      </w:r>
      <w:r>
        <w:t>rsko", "Severna Irska", "Irlanda del Norte", "Kuzey U+0130 rlan da", "U+041F U+0456 U+0432 U+043D U+0456 U+0447 U+043D U+0430  U+0406 U+0440 U+043B U+0430 U+043D U+0434 U+0456 U+044F", "U+5317 U+30A2 U+30A4 U+30EB U+30E9 U+30F3 U+30C9", "U+5317 U+7231 U+5C</w:t>
      </w:r>
      <w:r>
        <w:t>14 U+5170", "U+5317 U+611B U+723E U+862D", "U+BD81 U+C544 U+C77C U+B79C U+B4DC", "U+0623 U+064A U+0631 U+0644 U+0646 U+062F U+0629  U+0627 U+0644 U+0634 U+0645 U+0627 U+0644 U+064A U+0629", "U+05E6 U+05E4 U+05D5 U+05DF  U+05D0 U+05D9 U+05E8 U+05DC U+05E0 U</w:t>
      </w:r>
      <w:r>
        <w:t>+05D3", "U+0E19 U+0E2D U+0E23 U+0E4C U+0E40 U+0E17 U+0E34 U+0E23 U+0E4C U+0E19 U+0E44 U+0E2D U+0E23 U+0E4C U+0E41 U+0E25 U+0E19 U+0E14 U+0E4C", "W ales", "PaU+00ED s de Gales", "U+0423 U+0435 U+043B U+0441", "PaU+00ED s de GalU+00B7 les", "Pays de Galles",</w:t>
      </w:r>
      <w:r>
        <w:t xml:space="preserve"> "U+039F U+03C5 U+03B1 U+03BB U+03AF U+03B1", "Galles", "Velsa", "Velsas", "Walia", "U+0162 ara Galilor", "U+0423 U+044D U+043B U+044C U+0441", "Gales", "PaU+00ED s de Gales", "Galler", "U+0423 U+0435 U+043B U+044C U+0441", "U+30A6 U+30A7 U+30FC U+30EB U+3</w:t>
      </w:r>
      <w:r>
        <w:t>0BA", "U+5A01 U+5C14 U+58EB", "U+5A01 U+723E U+65AF", "U+C6E8 U+C77C U+C2A4", "U+0648 U+064A U+0644 U+0632", "U+05D5 U+05D9 U+05D9 U+05DC U+05E1", "U+0E40 U+0E27 U+0E25 U+0E2A U+0E4C", "Scotland", "EscU+00F3 cia", "U+0428 U+043E U+0442 U+043B U+0430 U+043D</w:t>
      </w:r>
      <w:r>
        <w:t xml:space="preserve"> U+0434 U+0438 U+044F", "EscU+00F2 cia", "U+0160 kotska", "Skotsko", "Skotland", "Schotland", "U+0160 otimaa", "Skotlanti", "U+00C9 cosse", "U+03A3 U+03BA U+03C9 U+03C4 U+03AF U+03B1", "Skocia", "Scozia ", "Skotija", "U+0160 kotija", "Skottland", "Szkocja"</w:t>
      </w:r>
      <w:r>
        <w:t xml:space="preserve">, "ScoU+0163 ia", "U+0160 kU+00F3 tsko", "Escocia", "U+0130 skoU+00E7 ya", "U+0428 U+043E U+0442 U+043B U+0430 U+043D U+0434 U+0456 U+044F", "U+30B9 U+30B3 U+30C3 U+30C8 U+30E9 U+30F3 U+30C9", "U+82CF U+683C U+5170", "U+8607 U+683C U+862D", "U+C2A4 U+CF54 </w:t>
      </w:r>
      <w:r>
        <w:t>U+D2C0 U+B79C U+B4DC", "U+0627 U+0633 U+0643 U+062A U+0644 U+0646 U+062F U+0629", "U+05E1 U+05E7 U+05D5 U+05D8 U+05DC U+05E0 U+05D3", "U+0E2A U+0E01 U+0E2D U+0E15 U+0E41 U+0E25 U+0E19 U+0E14 U+0E4C", "I sle of Man", "Ilha de Man", "U+041E U+0441 U+0442 U+0</w:t>
      </w:r>
      <w:r>
        <w:t>440 U+043E U+0432  U+041C U+0430 U+043D", "Illa de Man", "Ostrov Man", "U+00D8 en Man", "Man", "Mani saar", "Mansaari", "U+00CE le de Man", "U+039D U+03AE U+03C3 U+03BF U+03C2  U+039C U+03B1 U+03BD", "Man-sziget", "Isola di Man", "Menas sala", "Meno sala",</w:t>
      </w:r>
      <w:r>
        <w:t xml:space="preserve"> "Wyspa Man", "Insula Man", "U+041E U+0441 U+0442 U+0440 U+043E U+0432  U+041C U+044D U+043D", "Otok Man", "Isla de Man", "ManU+00F6 n", "Man AdasU+0131", "U+041E U+0441 U+0442 U+0440 U+0456 U+0432  U+041C U+0435 U+043D", "U+30DE U+30F3 U+5CF6", "U+9A6C U+</w:t>
      </w:r>
      <w:r>
        <w:t>6069 U+5C9B", "U+66FC U+57CE U+5CF6", "U+B9E8  U+C12C", "U+062C U+0632 U+064A U+0631 U+0629  U+0645 U+0627 U+0646", "U+05D4 U+05D0 U+05D9  U+05DE U+05D0 U+05DF", "U+0E2B U+0E21 U+0E39 U+0E48 U+0E40 U+0E01 U+0E32 U+0E30 U+0E41 U+0E21 U+0E19"</w:t>
      </w:r>
    </w:p>
    <w:p w:rsidR="000A156F" w:rsidRDefault="00A9721F">
      <w:r>
        <w:t xml:space="preserve">"United States </w:t>
      </w:r>
      <w:r>
        <w:t>of America", "Etats-Unis", "Estados Unidos de AmU+00E9 rica", "Es Us", "Stati Uniti d'America", "EUA", "EEUU", "USA", "US", "America", "United States", "Amerika Syarikat", "U+0627 U+0644 U+0648 U+0644 U+0627 U+064A U+0627 U+062A  U+0627 U+0644 U+0645 U+062</w:t>
      </w:r>
      <w:r>
        <w:t>A U+062D U+062F U+0629  U+0627 U+0644 U+0623 U+0645 U+0631 U+064A U+0643 U+064A U+0629", "U+0623 U+0645 U+0631 U+064A U+0643 U+0627", "U+0421 U+044A U+0435 U+0434 U+0438 U+043D U+0435 U+043D U+0438  U+0430 U+043C U+0435 U+0440 U+0438 U+043A U+0430 U+043D U</w:t>
      </w:r>
      <w:r>
        <w:t>+0441 U+043A U+0438  U+0449 U+0430 U+0442 U+0438", "U+0421 U+044A U+0435 U+0434 U+0438 U+043D U+0435 U+043D U+0438  U+0449 U+0430 U+0442 U+0438", "U+0421 U+0410 U+0429", "SpojenU+00E9 stU+00E1 ty americkU+00E9", "Vereinigte Staaten von Amerika", "Vereinigt</w:t>
      </w:r>
      <w:r>
        <w:t>e Staaten", "Amerika", "U.S.A.", "U+0397 U+03BD U+03C9 U+03BC U+03AD U+03BD U+03B5 U+03C2  U+03A0 U+03BF U+03BB U+03B9 U+03C4 U+03B5 U+03AF U+03B5 U+03C2  U+03C4 U+03B7 U+03C2  U+0391 U+03BC U+03B5 U+03C1 U+03B9 U+03BA U+03AE U+03C2", "Estados Unidos", "EE</w:t>
      </w:r>
      <w:r>
        <w:t>. UU.", "Ameerika U+00DC hendriigid", "U+00DC hendriigid", "Ameerika", "Amerikan yhdysvallat", "Yhdysvallat", "Amerikka", "Pohjois-Amerikka", "U+00C9 tats-Unis d'AmU+00E9 rique", "U+00C9 tats-Unis", "U+05D0 U+05E8 U+05E6 U+05D5 U+05EA  U+05D4 U+05D1 U+05E8</w:t>
      </w:r>
      <w:r>
        <w:t xml:space="preserve"> U+05D9 U+05EA", "U+05D0 U+05E8 U+05E6 U+05D5 U+05EA -U+05D4 U+05D1 U+05E8 U+05D9 U+05EA", "U+05D0 U+05DE U+05E8 U+05D9 U+05E7 U+05D4", "U+05D0 U+05E8 U+05E6 U+05D5 U+05EA  U+05D4 U+05D1 U+05E8 U+05D9 U+05EA  U+05E9 U+05DC  U+05D0 U+05DE U+05E8 U+05D9 U+05</w:t>
      </w:r>
      <w:r>
        <w:t xml:space="preserve">E7 U+05D4", "Sjedinjene AmeriU+010D ke DrU+017E ave", "SAD", </w:t>
      </w:r>
      <w:r>
        <w:lastRenderedPageBreak/>
        <w:t>"Amerikai EgyesU+00FC lt U+00C1 llamok", "Stati Uniti", "Amerikas SavienotU+0101 s Valstis", "ASV", "JungtinU+0117 s Amerikos Valstijos", "JungtinU+0117 s Valstijos", "JAV", "Verenigde Staten", "</w:t>
      </w:r>
      <w:r>
        <w:t>Verenigde Staten van Amerika", "VS", "V.S.", "Noord-Amerika", "Noord Amerika", "De forente stater", "U.S.", "Amerikas forente stater", "Stany Zjednoczone", "Stany Zjednoczone Ameryki PU+00F3 U+0142 nocnej", "Estados Unidos da AmU+00E9 rica", "E.U.A.", "AmU</w:t>
      </w:r>
      <w:r>
        <w:t xml:space="preserve">+00E9 rica", "Statele Unite ale Americii", "S.U.A", "U+0421 U+0428 U+0410", "U+0421 U+043E U+0435 U+0434 U+0438 U+043D U+0435 U+043D U+043D U+044B U+0435  U+0428 U+0442 U+0430 U+0442 U+044B", "U+0421 U+043E U+0435 U+0434 U+0438 U+043D U+0435 U+043D U+043D </w:t>
      </w:r>
      <w:r>
        <w:t xml:space="preserve">U+044B U+0435  U+0428 U+0442 U+0430 U+0442 U+044B  U+0410 U+043C U+0435 U+0440 U+0438 U+043A U+0438", "SpojenU+00E9  U+0161 tU+00E1 ty americkU+00E9", "ZdruU+017E ene drU+017E ave Amerike", "ZDA", "Amerikas fU+00F6 renta stater", "FU+00F6 renta staterna", </w:t>
      </w:r>
      <w:r>
        <w:t xml:space="preserve">"U+0E2A U+0E2B U+0E23 U+0E31 U+0E10 U+0E2D U+0E40 U+0E21 U+0E23 U+0E34 U+0E01 U+0E32", "Amerika BirleU+015F ik Devletleri", "A.B.D.", "ABD", "U+0421 U+043F U+043E U+043B U+0443 U+0447 U+0435 U+043D U+0456  U+0428 U+0442 U+0430 U+0442 U+0438  U+0410 U+043C </w:t>
      </w:r>
      <w:r>
        <w:t xml:space="preserve">U+0435 U+0440 U+0438 U+043A U+0438", "U+0421 U+043F U+043E U+043B U+0443 U+0447 U+0435 U+043D U+0456  U+0428 U+0442 U+0430 U+0442 U+0438", "U+0410 U+043C U+0435 U+0440 U+0438 U+043A U+0430", "U+0421 U+043F U+043E U+043B U+0443 U+0447 U+0435 U+043D U+0456  </w:t>
      </w:r>
      <w:r>
        <w:t>U+0428", "U+0938 U+0902 U+092F U+0941 U+0915 U+094D U+0924  U+0930 U+093E U+091C U+094D U+092F  U+0905 U+092E U+0947 U+0930 U+093F U+0915 U+093E", "Estats Units", "Nord-AmU+00E8 rica", "U+05D0 U+05E8 U+05D4 U+0022 U+05D1"</w:t>
      </w:r>
    </w:p>
    <w:p w:rsidR="000A156F" w:rsidRDefault="00A9721F">
      <w:r>
        <w:t>"Uzbekistan", "U+0623 U+0632 U+062</w:t>
      </w:r>
      <w:r>
        <w:t>8 U+0643 U+0633 U+062A U+0627 U+0646 U+0623 U+0648 U+0632 U+0628 U+0643 U+0633 U+062A U+0627 U+0646", "U+0423 U+0437 U+0431 U+0435 U+043A U+0438 U+0441 U+0442 U+0430 U+043D", "UzbekistU+00E1 n", "Usbekistan", "U+039F U+03C5 U+03B6 U+03BC U+03C0 U+03B5 U+03</w:t>
      </w:r>
      <w:r>
        <w:t>BA U+03B9 U+03C3 U+03C4 U+03AC U+03BD", "RepU+00FA blica de UzbekistU+00E1 n", "Usbekistani Vabariik", "Usbeki", "Uzbekistanin tasavalta", "OuzbU+00E9 kistan", "U+05D0 U+05D5 U+05D6 U+05D1 U+05E7 U+05D9 U+05E1 U+05D8 U+05D0 U+05DF", "U+05D0 U+05D5 U+05D6 U</w:t>
      </w:r>
      <w:r>
        <w:t>+05D1 U+05E7 U+05D9 U+05E1 U+05D8 U+05DF", "U+00DC zbegisztU+00E1 n", "UzbekistU+0101 na", "Uzbekistanas", "Uzbekija", "Uzbekistano Respublika", "Oezbekistan", "UzbequistU+00E3 o", "RepU+00FA blica do UzbequistU+00E3 o", "UsbequistU+00E3 o", "U+0E2D U+0E38</w:t>
      </w:r>
      <w:r>
        <w:t xml:space="preserve"> U+0E0B U+0E40 U+0E1A U+0E01 U+0E34 U+0E2A U+0E16 U+0E32 U+0E19", "U+00D6 zbekistan", "U+0909 U+095B U+094D U+092C U+0947 U+0915 U+093F U+0938 U+094D U+0924 U+093E U+0928"</w:t>
      </w:r>
    </w:p>
    <w:p w:rsidR="000A156F" w:rsidRDefault="00A9721F">
      <w:r>
        <w:t>"Vietnam", "Socialist Republic of Vietnam", "U+0641 U+064A U+062A U+0646 U+0627 U+06</w:t>
      </w:r>
      <w:r>
        <w:t xml:space="preserve">45", "U+0412 U+0438 U+0435 U+0442 U+043D U+0430 U+043C", "U+0421 U+043E U+0446 U+0438 U+0430 U+043B U+0438 U+0441 U+0442 U+0438 U+0447 U+0435 U+0441 U+043A U+0430  U+0440 U+0435 U+043F U+0443 U+0431 U+043B U+0438 U+043A U+0430  U+0412 U+0438 U+0435 U+0442 </w:t>
      </w:r>
      <w:r>
        <w:t>U+043D U+0430 U+043C", "VietnamskU+00E1 socialistickU+00E1 republika", "Sozialistische Republik Vietnam", "U+0392 U+03B9 U+03B5 U+03C4 U+03BD U+03AC U+03BC", "RepU+00FA blica socialista de Vietnam", "RepU+00FA blica Socialista de Vietnam", "Vietnami Sotsia</w:t>
      </w:r>
      <w:r>
        <w:t>listlik Vabariik", "Vietnamin sosialistinen tasavalta", "ViU+00EA t Nam", "U+05D5 U+05D9 U+05D9 U+05D8 U+05E0 U+05D0 U+05DD", "U+05D5 U+05D9 U+05D8 U+05E0 U+05DD", "U+05D4 U+05E8 U+05E4 U+05D5 U+05D1 U+05DC U+05D9 U+05E7 U+05D4  U+05D4 U+05E1 U+05D5 U+05E6</w:t>
      </w:r>
      <w:r>
        <w:t xml:space="preserve"> U+05D9 U+05D0 U+05DC U+05D9 U+05E1 U+05D8 U+05D9 U+05EA  U+05E9 U+05DC  U+05D5 U+05D9 U+05D9 U+05D8 U+05E0 U+05D0 U+05DD", "Vijetnam", "VietnU+00E1 m", "Repubblica Socialista del Vietnam", "Vjetnama", "Vietnamas", "Vietnamo SocialistinU+0117  Respublika",</w:t>
      </w:r>
      <w:r>
        <w:t xml:space="preserve"> "Socialistische Republiek Vietnam", "Viet Nam", "Wietnam", "VietnU+00E3", "RepU+00FA blica Socialista do VietnU+00E3", "Vietname", "RepU+00FA blica Socialista do Vietname", "Republica SocialistU+0103  Vietnam", "U+0412 U+044C U+0435 U+0442 U+043D U+0430 U</w:t>
      </w:r>
      <w:r>
        <w:t>+043C", "U+0421 U+043E U+0446 U+0438 U+0430 U+043B U+0438 U+0441 U+0442 U+0438 U+0447 U+0435 U+0441 U+043A U+0430 U+044F  U+0420 U+0435 U+0441 U+043F U+0443 U+0431 U+043B U+0438 U+043A U+0430  U+0412 U+044C U+0435 U+0442 U+043D U+0430 U+043C", "VSR", "Soci</w:t>
      </w:r>
      <w:r>
        <w:t>alistiska republiken Vietnam", "U+0E40 U+0E27 U+0E35 U+0E22 U+0E14 U+0E19 U+0E32 U+0E21", "Vietnam Sosyalist Cumhuriyeti", "U+0412 'U+0454 U+0442 U+043D U+0430 U+043C", "U+0421 U+043E U+0446 U+0456 U+0430 U+043B U+0456 U+0441 U+0442 U+0438 U+0447 U+043D U+</w:t>
      </w:r>
      <w:r>
        <w:t xml:space="preserve">0430  U+0420 U+0435 U+0441 U+043F U+0443 U+0431 U+043B U+0456 U+043A </w:t>
      </w:r>
      <w:r>
        <w:lastRenderedPageBreak/>
        <w:t>U+0430  U+0412 'U+0454 U+0442 U+043D U+0430 U+043C", "U+0421 U+0420 U+0412", "U+0935 U+093F U+092F U+0924 U+0928 U+093E U+092E"</w:t>
      </w:r>
    </w:p>
    <w:p w:rsidR="000A156F" w:rsidRDefault="00A9721F">
      <w:r>
        <w:t>"Ireland", "Republic of Ireland", "Eire", "Irlanda", "RepU+</w:t>
      </w:r>
      <w:r>
        <w:t>00FA blica da Irlanda", "U+0418 U+0440 U+043B U+0430 U+043D U+0434 U+0438 U+044F", "U+0420 U+0435 U+043F U+0443 U+0431 U+043B U+0438 U+043A U+0430  U+0418 U+0440 U+043B U+0430 U+043D U+0434 U+0438 U+044F", "U+0415 U+0439 U+0440 U+0435", "RepU+00FA blica d'</w:t>
      </w:r>
      <w:r>
        <w:t>Irlanda", "Irska", "Republika Irska", "Irsko", "IrskU+00E1 republika", "Irland", "Ierland", "Iirimaa", "Irlanti", "Irlannin tasavalta", "Irlande", "U+0399 U+03C1 U+03BB U+03B1 U+03BD U+03B4 U+03AF U+03B1", "U+00CD rorszU+00E1 g", "Irlanda ", "U+012A rija",</w:t>
      </w:r>
      <w:r>
        <w:t xml:space="preserve"> "U+012A rijas Republika", "Airija", "Airijos Res publika", "Irlandia", "Republika Irlandii", "Republica Irlanda", "U+00CD rsko", "U+00CD rska republika", "IrlU+00E4 ndska republiken", "IrlU+00E4 ndska Republiken", "U+0130 rlanda ", "U+0406 U+0440 U+043B U</w:t>
      </w:r>
      <w:r>
        <w:t>+0430 U+043D U+0434 U+0456 U+044F", "U+0420 U+0435 U+0441 U+043F U+0443 U+0431 U+043B U+0456 U+043A U+0430  U+0406 U+0440 U+043B U+0430 U+043D U+0434 U+0456 U+044F", "U+30A2 U+30A4 U+30EB U+30E9 U+30F3 U+30C9", "U+7231 U+5C14 U+5170", "U+611B U+723E U+862D</w:t>
      </w:r>
      <w:r>
        <w:t>", "U+C544 U+C77C U+B79C U+B4DC", "U+0623 U+064A U+0631 U+0644 U+0646 U+062F U+0627", "U+05D0 U+05D9 U+05E8 U+05DC U+05E0 U+05D3", "U+0E44 U+0E2D U+0E23 U+0E4C U+0E41 U+0E25 U+0E19 U+0E14 U+0E4C"</w:t>
      </w:r>
    </w:p>
    <w:p w:rsidR="000A156F" w:rsidRDefault="00A9721F">
      <w:r>
        <w:t>"Argentina", "Argentine", "Argentinien", "AR"</w:t>
      </w:r>
    </w:p>
    <w:p w:rsidR="000A156F" w:rsidRDefault="00A9721F">
      <w:r>
        <w:t>"Bolivia"</w:t>
      </w:r>
    </w:p>
    <w:p w:rsidR="000A156F" w:rsidRDefault="00A9721F">
      <w:r>
        <w:t>"Bru</w:t>
      </w:r>
      <w:r>
        <w:t>nei Darussalam", "Brunei"</w:t>
      </w:r>
    </w:p>
    <w:p w:rsidR="000A156F" w:rsidRDefault="00A9721F">
      <w:r>
        <w:t>"Chile", "Cile"</w:t>
      </w:r>
    </w:p>
    <w:p w:rsidR="000A156F" w:rsidRDefault="00A9721F">
      <w:r>
        <w:t>"Colombia", "Kolumbien"</w:t>
      </w:r>
    </w:p>
    <w:p w:rsidR="000A156F" w:rsidRDefault="00A9721F">
      <w:r>
        <w:t>"Costa Rica", "Costarica"</w:t>
      </w:r>
    </w:p>
    <w:p w:rsidR="000A156F" w:rsidRDefault="00A9721F">
      <w:r>
        <w:t>"Dominican Republic", "República Dominicana", "Rep.Dom.", "RD"</w:t>
      </w:r>
    </w:p>
    <w:p w:rsidR="000A156F" w:rsidRDefault="00A9721F">
      <w:r>
        <w:t>"Ecuador"</w:t>
      </w:r>
    </w:p>
    <w:p w:rsidR="000A156F" w:rsidRDefault="00A9721F">
      <w:r>
        <w:t>"Guatemala"</w:t>
      </w:r>
    </w:p>
    <w:p w:rsidR="000A156F" w:rsidRDefault="00A9721F">
      <w:r>
        <w:t>"Indonesia", "Dutch East Indies"</w:t>
      </w:r>
    </w:p>
    <w:p w:rsidR="000A156F" w:rsidRDefault="00A9721F">
      <w:r>
        <w:t>"Iraq"</w:t>
      </w:r>
    </w:p>
    <w:p w:rsidR="000A156F" w:rsidRDefault="00A9721F">
      <w:r>
        <w:t>"Jamaica", "Giamaica"</w:t>
      </w:r>
    </w:p>
    <w:p w:rsidR="000A156F" w:rsidRDefault="00A9721F">
      <w:r>
        <w:t>"Kenya"</w:t>
      </w:r>
    </w:p>
    <w:p w:rsidR="000A156F" w:rsidRDefault="00A9721F">
      <w:r>
        <w:t>"Kyrgyzstan"</w:t>
      </w:r>
    </w:p>
    <w:p w:rsidR="000A156F" w:rsidRDefault="00A9721F">
      <w:r>
        <w:t>"Libya"</w:t>
      </w:r>
    </w:p>
    <w:p w:rsidR="000A156F" w:rsidRDefault="00A9721F">
      <w:r>
        <w:t>"Liechtenstein"</w:t>
      </w:r>
    </w:p>
    <w:p w:rsidR="000A156F" w:rsidRDefault="00A9721F">
      <w:r>
        <w:t>"Luxembourg", "Lussemburgo", "Luxemburgo"</w:t>
      </w:r>
    </w:p>
    <w:p w:rsidR="000A156F" w:rsidRDefault="00A9721F">
      <w:r>
        <w:t>"Macau SAR", "Macau", "Macao"</w:t>
      </w:r>
    </w:p>
    <w:p w:rsidR="000A156F" w:rsidRDefault="00A9721F">
      <w:r>
        <w:t>"Malaysia", "East Malaysia", "Malaya", "Malaisie"</w:t>
      </w:r>
    </w:p>
    <w:p w:rsidR="000A156F" w:rsidRDefault="00A9721F">
      <w:r>
        <w:t>"Mexico", "Mejico", "México", "Messico"</w:t>
      </w:r>
    </w:p>
    <w:p w:rsidR="000A156F" w:rsidRDefault="00A9721F">
      <w:r>
        <w:t>"Moldova"</w:t>
      </w:r>
    </w:p>
    <w:p w:rsidR="000A156F" w:rsidRDefault="00A9721F">
      <w:r>
        <w:t>"Monaco", "Mónaco"</w:t>
      </w:r>
    </w:p>
    <w:p w:rsidR="000A156F" w:rsidRDefault="00A9721F">
      <w:r>
        <w:lastRenderedPageBreak/>
        <w:t>"New Zealand", "NZ", "Neusee</w:t>
      </w:r>
      <w:r>
        <w:t>land", "Nuovo Zelanda", "Nueva Zelanda"</w:t>
      </w:r>
    </w:p>
    <w:p w:rsidR="000A156F" w:rsidRDefault="00A9721F">
      <w:r>
        <w:t>"Nicaragua"</w:t>
      </w:r>
    </w:p>
    <w:p w:rsidR="000A156F" w:rsidRDefault="00A9721F">
      <w:r>
        <w:t>"Panama", "Panamá", "Panama"</w:t>
      </w:r>
    </w:p>
    <w:p w:rsidR="000A156F" w:rsidRDefault="00A9721F">
      <w:r>
        <w:t>"Paraguay"</w:t>
      </w:r>
    </w:p>
    <w:p w:rsidR="000A156F" w:rsidRDefault="00A9721F">
      <w:r>
        <w:t>"Peru", "Perú", "Peru"</w:t>
      </w:r>
    </w:p>
    <w:p w:rsidR="000A156F" w:rsidRDefault="00A9721F">
      <w:r>
        <w:t>"Philippines", "The Philippines", "Pilipinas", "Filippine", "Filipinas"</w:t>
      </w:r>
    </w:p>
    <w:p w:rsidR="000A156F" w:rsidRDefault="00A9721F">
      <w:r>
        <w:t>"Singapore", "Republic of Singapore", "Singapur"</w:t>
      </w:r>
    </w:p>
    <w:p w:rsidR="000A156F" w:rsidRDefault="00A9721F">
      <w:r>
        <w:t>"South Africa", "S A</w:t>
      </w:r>
      <w:r>
        <w:t>frica", "Republic of South Africa", "Suid-Afrika", "Sud Africa", "Südafrika", "Sudáfrica"</w:t>
      </w:r>
    </w:p>
    <w:p w:rsidR="000A156F" w:rsidRDefault="00A9721F">
      <w:r>
        <w:t>"Syria"</w:t>
      </w:r>
    </w:p>
    <w:p w:rsidR="000A156F" w:rsidRDefault="00A9721F">
      <w:r>
        <w:t>"Tajikistan"</w:t>
      </w:r>
    </w:p>
    <w:p w:rsidR="000A156F" w:rsidRDefault="00A9721F">
      <w:r>
        <w:t>"Turkmenistan"</w:t>
      </w:r>
    </w:p>
    <w:p w:rsidR="000A156F" w:rsidRDefault="00A9721F">
      <w:r>
        <w:t>"Uruguay"</w:t>
      </w:r>
    </w:p>
    <w:p w:rsidR="000A156F" w:rsidRDefault="00A9721F">
      <w:r>
        <w:t>"Venezuela"</w:t>
      </w:r>
    </w:p>
    <w:p w:rsidR="000A156F" w:rsidRDefault="00A9721F">
      <w:r>
        <w:t>"Yemen"</w:t>
      </w:r>
    </w:p>
    <w:p w:rsidR="000A156F" w:rsidRDefault="00A9721F">
      <w:pPr>
        <w:pStyle w:val="Heading3"/>
      </w:pPr>
      <w:bookmarkStart w:id="942" w:name="section_fc652f822fbf477887ff9b52fab9d600"/>
      <w:bookmarkStart w:id="943" w:name="_Toc181683497"/>
      <w:r>
        <w:t>Part 1 Section 17.16.5.2, ADVANCE</w:t>
      </w:r>
      <w:bookmarkEnd w:id="942"/>
      <w:bookmarkEnd w:id="943"/>
      <w:r>
        <w:fldChar w:fldCharType="begin"/>
      </w:r>
      <w:r>
        <w:instrText xml:space="preserve"> XE "ADVANCE" </w:instrText>
      </w:r>
      <w:r>
        <w:fldChar w:fldCharType="end"/>
      </w:r>
    </w:p>
    <w:p w:rsidR="000A156F" w:rsidRDefault="00A9721F">
      <w:pPr>
        <w:pStyle w:val="Definition-Field"/>
      </w:pPr>
      <w:r>
        <w:t xml:space="preserve">a.   </w:t>
      </w:r>
      <w:r>
        <w:rPr>
          <w:i/>
        </w:rPr>
        <w:t>The standard allows the advance field to be n</w:t>
      </w:r>
      <w:r>
        <w:rPr>
          <w:i/>
        </w:rPr>
        <w:t>ested inside another field.</w:t>
      </w:r>
    </w:p>
    <w:p w:rsidR="000A156F" w:rsidRDefault="00A9721F">
      <w:pPr>
        <w:pStyle w:val="Definition-Field2"/>
      </w:pPr>
      <w:r>
        <w:t>Word does not carry out the display behavior of the ADVANCE field if it is nested inside another field.</w:t>
      </w:r>
    </w:p>
    <w:p w:rsidR="000A156F" w:rsidRDefault="00A9721F">
      <w:pPr>
        <w:pStyle w:val="Definition-Field"/>
      </w:pPr>
      <w:r>
        <w:t xml:space="preserve">b.   </w:t>
      </w:r>
      <w:r>
        <w:rPr>
          <w:i/>
        </w:rPr>
        <w:t>The standard states that this field has no effect on images, etc.</w:t>
      </w:r>
    </w:p>
    <w:p w:rsidR="000A156F" w:rsidRDefault="00A9721F">
      <w:pPr>
        <w:pStyle w:val="Definition-Field2"/>
      </w:pPr>
      <w:r>
        <w:t>Word moves inline objects, including pictures.</w:t>
      </w:r>
    </w:p>
    <w:p w:rsidR="000A156F" w:rsidRDefault="00A9721F">
      <w:pPr>
        <w:pStyle w:val="Heading3"/>
      </w:pPr>
      <w:bookmarkStart w:id="944" w:name="section_dc04613da39c452b8c1088e60dd06752"/>
      <w:bookmarkStart w:id="945" w:name="_Toc181683498"/>
      <w:r>
        <w:t>Part 1 Section 17.16.5.4, AUTHOR</w:t>
      </w:r>
      <w:bookmarkEnd w:id="944"/>
      <w:bookmarkEnd w:id="945"/>
      <w:r>
        <w:fldChar w:fldCharType="begin"/>
      </w:r>
      <w:r>
        <w:instrText xml:space="preserve"> XE "AUTHOR" </w:instrText>
      </w:r>
      <w:r>
        <w:fldChar w:fldCharType="end"/>
      </w:r>
    </w:p>
    <w:p w:rsidR="000A156F" w:rsidRDefault="00A9721F">
      <w:pPr>
        <w:pStyle w:val="Definition-Field"/>
      </w:pPr>
      <w:r>
        <w:t xml:space="preserve">a.   </w:t>
      </w:r>
      <w:r>
        <w:rPr>
          <w:i/>
        </w:rPr>
        <w:t>The standard says that an author field must have one of the general-formatting switches.</w:t>
      </w:r>
    </w:p>
    <w:p w:rsidR="000A156F" w:rsidRDefault="00A9721F">
      <w:pPr>
        <w:pStyle w:val="Definition-Field2"/>
      </w:pPr>
      <w:r>
        <w:t>In Word, having a general-formatting switch is optional for an author field.</w:t>
      </w:r>
    </w:p>
    <w:p w:rsidR="000A156F" w:rsidRDefault="00A9721F">
      <w:pPr>
        <w:pStyle w:val="Heading3"/>
      </w:pPr>
      <w:bookmarkStart w:id="946" w:name="section_1aed887d26154119b901ce3ec798cccf"/>
      <w:bookmarkStart w:id="947" w:name="_Toc181683499"/>
      <w:r>
        <w:t>Part 1 Section 17.16.5.7, BIBLIOGRAPH</w:t>
      </w:r>
      <w:r>
        <w:t>Y</w:t>
      </w:r>
      <w:bookmarkEnd w:id="946"/>
      <w:bookmarkEnd w:id="947"/>
      <w:r>
        <w:fldChar w:fldCharType="begin"/>
      </w:r>
      <w:r>
        <w:instrText xml:space="preserve"> XE "BIBLIOGRAPHY" </w:instrText>
      </w:r>
      <w:r>
        <w:fldChar w:fldCharType="end"/>
      </w:r>
    </w:p>
    <w:p w:rsidR="000A156F" w:rsidRDefault="00A9721F">
      <w:pPr>
        <w:pStyle w:val="Definition-Field"/>
      </w:pPr>
      <w:r>
        <w:t xml:space="preserve">a.   </w:t>
      </w:r>
      <w:r>
        <w:rPr>
          <w:i/>
        </w:rPr>
        <w:t>The standard does not specify default behavior when the \f switch is present without an argument.</w:t>
      </w:r>
    </w:p>
    <w:p w:rsidR="000A156F" w:rsidRDefault="00A9721F">
      <w:pPr>
        <w:pStyle w:val="Definition-Field2"/>
      </w:pPr>
      <w:r>
        <w:t>In Word, if the argument for \f is not specified, then the language from the \l switch is used if specified.</w:t>
      </w:r>
    </w:p>
    <w:p w:rsidR="000A156F" w:rsidRDefault="00A9721F">
      <w:pPr>
        <w:pStyle w:val="Definition-Field"/>
      </w:pPr>
      <w:r>
        <w:t xml:space="preserve">b.   </w:t>
      </w:r>
      <w:r>
        <w:rPr>
          <w:i/>
        </w:rPr>
        <w:t>The standard doe</w:t>
      </w:r>
      <w:r>
        <w:rPr>
          <w:i/>
        </w:rPr>
        <w:t>s mention the acceptance of integer language codes for the \l and \f switches.</w:t>
      </w:r>
    </w:p>
    <w:p w:rsidR="000A156F" w:rsidRDefault="00A9721F">
      <w:pPr>
        <w:pStyle w:val="Definition-Field2"/>
      </w:pPr>
      <w:r>
        <w:t>Word also accepts integer LCID language codes in addition to BCP47 culture tags.</w:t>
      </w:r>
    </w:p>
    <w:p w:rsidR="000A156F" w:rsidRDefault="00A9721F">
      <w:pPr>
        <w:pStyle w:val="Definition-Field"/>
      </w:pPr>
      <w:r>
        <w:t xml:space="preserve">c.   </w:t>
      </w:r>
      <w:r>
        <w:rPr>
          <w:i/>
        </w:rPr>
        <w:t>The standard says \m switch specifies which single source to show in the bibliography.</w:t>
      </w:r>
    </w:p>
    <w:p w:rsidR="000A156F" w:rsidRDefault="00A9721F">
      <w:pPr>
        <w:pStyle w:val="Definition-Field2"/>
      </w:pPr>
      <w:r>
        <w:lastRenderedPageBreak/>
        <w:t>In W</w:t>
      </w:r>
      <w:r>
        <w:t>ord, the \m switch may be used repeatedly to specify a set of sources to show in the bibliography.</w:t>
      </w:r>
    </w:p>
    <w:p w:rsidR="000A156F" w:rsidRDefault="00A9721F">
      <w:pPr>
        <w:pStyle w:val="Definition-Field"/>
      </w:pPr>
      <w:r>
        <w:t xml:space="preserve">d.   </w:t>
      </w:r>
      <w:r>
        <w:rPr>
          <w:i/>
        </w:rPr>
        <w:t>The standard allows the /f and /l switches to supply different locales.</w:t>
      </w:r>
    </w:p>
    <w:p w:rsidR="000A156F" w:rsidRDefault="00A9721F">
      <w:pPr>
        <w:pStyle w:val="Definition-Field2"/>
      </w:pPr>
      <w:r>
        <w:t>In Word, if the /f and /l switches supply different locales, then the locale sup</w:t>
      </w:r>
      <w:r>
        <w:t>plied with /f is used for /l.</w:t>
      </w:r>
    </w:p>
    <w:p w:rsidR="000A156F" w:rsidRDefault="00A9721F">
      <w:pPr>
        <w:pStyle w:val="Heading3"/>
      </w:pPr>
      <w:bookmarkStart w:id="948" w:name="section_706517631bd24fa2ae94420b4a980998"/>
      <w:bookmarkStart w:id="949" w:name="_Toc181683500"/>
      <w:r>
        <w:t>Part 1 Section 17.16.5.8, CITATION</w:t>
      </w:r>
      <w:bookmarkEnd w:id="948"/>
      <w:bookmarkEnd w:id="949"/>
      <w:r>
        <w:fldChar w:fldCharType="begin"/>
      </w:r>
      <w:r>
        <w:instrText xml:space="preserve"> XE "CITATION" </w:instrText>
      </w:r>
      <w:r>
        <w:fldChar w:fldCharType="end"/>
      </w:r>
    </w:p>
    <w:p w:rsidR="000A156F" w:rsidRDefault="00A9721F">
      <w:pPr>
        <w:pStyle w:val="Definition-Field"/>
      </w:pPr>
      <w:r>
        <w:t xml:space="preserve">a.   </w:t>
      </w:r>
      <w:r>
        <w:rPr>
          <w:i/>
        </w:rPr>
        <w:t>The standard says that the \l switch specifies the locale used to format the citation.</w:t>
      </w:r>
    </w:p>
    <w:p w:rsidR="000A156F" w:rsidRDefault="00A9721F">
      <w:pPr>
        <w:pStyle w:val="Definition-Field2"/>
      </w:pPr>
      <w:r>
        <w:t>In Word, if a source has a locale set using the LCID element ("</w:t>
      </w:r>
      <w:hyperlink r:id="rId113">
        <w:r>
          <w:rPr>
            <w:rStyle w:val="Hyperlink"/>
          </w:rPr>
          <w:t>[ISO/IEC-29500-1]</w:t>
        </w:r>
      </w:hyperlink>
      <w:r>
        <w:t xml:space="preserve"> §22.6.2.39; LCID"), then that locale is used to format the source rather than the locale specified in the \l switch.</w:t>
      </w:r>
    </w:p>
    <w:p w:rsidR="000A156F" w:rsidRDefault="00A9721F">
      <w:pPr>
        <w:pStyle w:val="Definition-Field"/>
      </w:pPr>
      <w:r>
        <w:t xml:space="preserve">b.   </w:t>
      </w:r>
      <w:r>
        <w:rPr>
          <w:i/>
        </w:rPr>
        <w:t>The standard does not describe how \m switch affect other switches in</w:t>
      </w:r>
      <w:r>
        <w:rPr>
          <w:i/>
        </w:rPr>
        <w:t xml:space="preserve"> a multi-source citation.</w:t>
      </w:r>
    </w:p>
    <w:p w:rsidR="000A156F" w:rsidRDefault="00A9721F">
      <w:pPr>
        <w:pStyle w:val="Definition-Field2"/>
      </w:pPr>
      <w:r>
        <w:t>In Word, other switches affect the previously defined source, defined either by the initial tag in the field or the last tag specified with the \m switch.</w:t>
      </w:r>
    </w:p>
    <w:p w:rsidR="000A156F" w:rsidRDefault="00A9721F">
      <w:pPr>
        <w:pStyle w:val="Definition-Field"/>
      </w:pPr>
      <w:r>
        <w:t xml:space="preserve">c.   </w:t>
      </w:r>
      <w:r>
        <w:rPr>
          <w:i/>
        </w:rPr>
        <w:t>The standard says the field value for the CITATION field is the same a</w:t>
      </w:r>
      <w:r>
        <w:rPr>
          <w:i/>
        </w:rPr>
        <w:t>s for the COMMENTS field.</w:t>
      </w:r>
    </w:p>
    <w:p w:rsidR="000A156F" w:rsidRDefault="00A9721F">
      <w:pPr>
        <w:pStyle w:val="Definition-Field2"/>
      </w:pPr>
      <w:r>
        <w:t>In Word, the field value for the CITATION field is a formatted citation for the sources specified within the field.</w:t>
      </w:r>
    </w:p>
    <w:p w:rsidR="000A156F" w:rsidRDefault="00A9721F">
      <w:pPr>
        <w:pStyle w:val="Heading3"/>
      </w:pPr>
      <w:bookmarkStart w:id="950" w:name="section_6662898652f04e7687cd532773d73936"/>
      <w:bookmarkStart w:id="951" w:name="_Toc181683501"/>
      <w:r>
        <w:t>Part 1 Section 17.16.5.9, COMMENTS</w:t>
      </w:r>
      <w:bookmarkEnd w:id="950"/>
      <w:bookmarkEnd w:id="951"/>
      <w:r>
        <w:fldChar w:fldCharType="begin"/>
      </w:r>
      <w:r>
        <w:instrText xml:space="preserve"> XE "COMMENTS" </w:instrText>
      </w:r>
      <w:r>
        <w:fldChar w:fldCharType="end"/>
      </w:r>
    </w:p>
    <w:p w:rsidR="000A156F" w:rsidRDefault="00A9721F">
      <w:pPr>
        <w:pStyle w:val="Definition-Field"/>
      </w:pPr>
      <w:r>
        <w:t xml:space="preserve">a.   </w:t>
      </w:r>
      <w:r>
        <w:rPr>
          <w:i/>
        </w:rPr>
        <w:t>The standard says a COMMENTS field must have a general-fo</w:t>
      </w:r>
      <w:r>
        <w:rPr>
          <w:i/>
        </w:rPr>
        <w:t>rmatting-switch.</w:t>
      </w:r>
    </w:p>
    <w:p w:rsidR="000A156F" w:rsidRDefault="00A9721F">
      <w:pPr>
        <w:pStyle w:val="Definition-Field2"/>
      </w:pPr>
      <w:r>
        <w:t>In Word, using a general-formatting switch in a COMMENTS field is optional.</w:t>
      </w:r>
    </w:p>
    <w:p w:rsidR="000A156F" w:rsidRDefault="00A9721F">
      <w:pPr>
        <w:pStyle w:val="Heading3"/>
      </w:pPr>
      <w:bookmarkStart w:id="952" w:name="section_efc903893bb0477795d2f3479d5109e7"/>
      <w:bookmarkStart w:id="953" w:name="_Toc181683502"/>
      <w:r>
        <w:t>Part 1 Section 17.16.5.10, COMPARE</w:t>
      </w:r>
      <w:bookmarkEnd w:id="952"/>
      <w:bookmarkEnd w:id="953"/>
      <w:r>
        <w:fldChar w:fldCharType="begin"/>
      </w:r>
      <w:r>
        <w:instrText xml:space="preserve"> XE "COMPARE" </w:instrText>
      </w:r>
      <w:r>
        <w:fldChar w:fldCharType="end"/>
      </w:r>
    </w:p>
    <w:p w:rsidR="000A156F" w:rsidRDefault="00A9721F">
      <w:pPr>
        <w:pStyle w:val="Definition-Field"/>
      </w:pPr>
      <w:r>
        <w:t xml:space="preserve">a.   </w:t>
      </w:r>
      <w:r>
        <w:rPr>
          <w:i/>
        </w:rPr>
        <w:t>The Standard does not specify the expression used to evaluate the comparison.</w:t>
      </w:r>
    </w:p>
    <w:p w:rsidR="000A156F" w:rsidRDefault="00A9721F">
      <w:pPr>
        <w:pStyle w:val="Definition-Field2"/>
      </w:pPr>
      <w:r>
        <w:t>Word uses the following expre</w:t>
      </w:r>
      <w:r>
        <w:t>ssion: comparison =&gt; expression comparison-operator expression.</w:t>
      </w:r>
    </w:p>
    <w:p w:rsidR="000A156F" w:rsidRDefault="00A9721F">
      <w:pPr>
        <w:pStyle w:val="Definition-Field"/>
      </w:pPr>
      <w:r>
        <w:t xml:space="preserve">b.   </w:t>
      </w:r>
      <w:r>
        <w:rPr>
          <w:i/>
        </w:rPr>
        <w:t>The standard states that the left hand expression operand can contain wildcards.</w:t>
      </w:r>
    </w:p>
    <w:p w:rsidR="000A156F" w:rsidRDefault="00A9721F">
      <w:pPr>
        <w:pStyle w:val="Definition-Field2"/>
      </w:pPr>
      <w:r>
        <w:t>Word supports wildcards in the right hand expression operand only.</w:t>
      </w:r>
    </w:p>
    <w:p w:rsidR="000A156F" w:rsidRDefault="00A9721F">
      <w:pPr>
        <w:pStyle w:val="Definition-Field"/>
      </w:pPr>
      <w:r>
        <w:t xml:space="preserve">c.   </w:t>
      </w:r>
      <w:r>
        <w:rPr>
          <w:i/>
        </w:rPr>
        <w:t xml:space="preserve">The standard does not specify any </w:t>
      </w:r>
      <w:r>
        <w:rPr>
          <w:i/>
        </w:rPr>
        <w:t>length restrictions on wildcards expansions.</w:t>
      </w:r>
    </w:p>
    <w:p w:rsidR="000A156F" w:rsidRDefault="00A9721F">
      <w:pPr>
        <w:pStyle w:val="Definition-Field2"/>
      </w:pPr>
      <w:r>
        <w:t>In Word, if an asterisk is used in Expression-2, the portion of Expression-1 that corresponds to the asterisk plus any remaining characters in Expression-2 shall NOT exceed 128 characters.</w:t>
      </w:r>
    </w:p>
    <w:p w:rsidR="000A156F" w:rsidRDefault="00A9721F">
      <w:pPr>
        <w:pStyle w:val="Heading3"/>
      </w:pPr>
      <w:bookmarkStart w:id="954" w:name="section_ab4095f610eb4826a70e9e92fcfeb5b3"/>
      <w:bookmarkStart w:id="955" w:name="_Toc181683503"/>
      <w:r>
        <w:t>Part 1 Section 17.16.5</w:t>
      </w:r>
      <w:r>
        <w:t>.11, CREATEDATE</w:t>
      </w:r>
      <w:bookmarkEnd w:id="954"/>
      <w:bookmarkEnd w:id="955"/>
      <w:r>
        <w:fldChar w:fldCharType="begin"/>
      </w:r>
      <w:r>
        <w:instrText xml:space="preserve"> XE "CREATEDATE" </w:instrText>
      </w:r>
      <w:r>
        <w:fldChar w:fldCharType="end"/>
      </w:r>
    </w:p>
    <w:p w:rsidR="000A156F" w:rsidRDefault="00A9721F">
      <w:pPr>
        <w:pStyle w:val="Definition-Field"/>
      </w:pPr>
      <w:r>
        <w:t xml:space="preserve">a.   </w:t>
      </w:r>
      <w:r>
        <w:rPr>
          <w:i/>
        </w:rPr>
        <w:t>The standard says by default the Gregorian calendar is used for the CREATEDATE field.</w:t>
      </w:r>
    </w:p>
    <w:p w:rsidR="000A156F" w:rsidRDefault="00A9721F">
      <w:pPr>
        <w:pStyle w:val="Definition-Field2"/>
      </w:pPr>
      <w:r>
        <w:t>In Word, the calendar used for the CREATEDATE field is locale specific.</w:t>
      </w:r>
    </w:p>
    <w:p w:rsidR="000A156F" w:rsidRDefault="00A9721F">
      <w:pPr>
        <w:pStyle w:val="Heading3"/>
      </w:pPr>
      <w:bookmarkStart w:id="956" w:name="section_6870342f637e45b2a66303c99dcff328"/>
      <w:bookmarkStart w:id="957" w:name="_Toc181683504"/>
      <w:r>
        <w:t>Part 1 Section 17.16.5.12, DATABASE</w:t>
      </w:r>
      <w:bookmarkEnd w:id="956"/>
      <w:bookmarkEnd w:id="957"/>
      <w:r>
        <w:fldChar w:fldCharType="begin"/>
      </w:r>
      <w:r>
        <w:instrText xml:space="preserve"> XE "DATABASE" </w:instrText>
      </w:r>
      <w:r>
        <w:fldChar w:fldCharType="end"/>
      </w:r>
    </w:p>
    <w:p w:rsidR="000A156F" w:rsidRDefault="00A9721F">
      <w:pPr>
        <w:pStyle w:val="Definition-Field"/>
      </w:pPr>
      <w:r>
        <w:t xml:space="preserve">a.   </w:t>
      </w:r>
      <w:r>
        <w:rPr>
          <w:i/>
        </w:rPr>
        <w:t>The standard does not specify meaning for arguments 512 and 1024 in the \b switch.</w:t>
      </w:r>
    </w:p>
    <w:p w:rsidR="000A156F" w:rsidRDefault="00A9721F">
      <w:pPr>
        <w:pStyle w:val="Definition-Field2"/>
      </w:pPr>
      <w:r>
        <w:t>In Word, arguments 512 and 1024 in the \b switch control row and column banding respectively.</w:t>
      </w:r>
    </w:p>
    <w:p w:rsidR="000A156F" w:rsidRDefault="00A9721F">
      <w:pPr>
        <w:pStyle w:val="Definition-Field"/>
      </w:pPr>
      <w:r>
        <w:lastRenderedPageBreak/>
        <w:t xml:space="preserve">b.   </w:t>
      </w:r>
      <w:r>
        <w:rPr>
          <w:i/>
        </w:rPr>
        <w:t>The standard does not explain the format of the argument to the \l switch.</w:t>
      </w:r>
    </w:p>
    <w:p w:rsidR="000A156F" w:rsidRDefault="00A9721F">
      <w:r>
        <w:t>In Word, the text in this switch's field-argument specifies the format, by indexing into the following table:</w:t>
      </w:r>
    </w:p>
    <w:tbl>
      <w:tblPr>
        <w:tblStyle w:val="Table-ShadedHeader"/>
        <w:tblW w:w="0" w:type="auto"/>
        <w:tblLook w:val="04A0" w:firstRow="1" w:lastRow="0" w:firstColumn="1" w:lastColumn="0" w:noHBand="0" w:noVBand="1"/>
      </w:tblPr>
      <w:tblGrid>
        <w:gridCol w:w="1784"/>
        <w:gridCol w:w="629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Index (Name)</w:t>
            </w:r>
          </w:p>
        </w:tc>
        <w:tc>
          <w:tcPr>
            <w:tcW w:w="0" w:type="auto"/>
            <w:vAlign w:val="center"/>
          </w:tcPr>
          <w:p w:rsidR="000A156F" w:rsidRDefault="00A9721F">
            <w:pPr>
              <w:pStyle w:val="TableHeaderText"/>
            </w:pPr>
            <w:r>
              <w:t>Properties</w:t>
            </w:r>
          </w:p>
        </w:tc>
      </w:tr>
      <w:tr w:rsidR="000A156F" w:rsidTr="000A156F">
        <w:tc>
          <w:tcPr>
            <w:tcW w:w="0" w:type="auto"/>
            <w:vAlign w:val="center"/>
          </w:tcPr>
          <w:p w:rsidR="000A156F" w:rsidRDefault="00A9721F">
            <w:pPr>
              <w:pStyle w:val="TableBodyText"/>
            </w:pPr>
            <w:r>
              <w:t>1 (Simple 1)</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 xml:space="preserve">The bottom </w:t>
            </w:r>
            <w:r>
              <w:t>border shall be a 1 1/2 pt single line.</w:t>
            </w:r>
          </w:p>
          <w:p w:rsidR="000A156F" w:rsidRDefault="00A9721F">
            <w:pPr>
              <w:pStyle w:val="TableBodyText"/>
            </w:pPr>
            <w:r>
              <w:t>The top border color shall be dark green (00CC00).</w:t>
            </w:r>
          </w:p>
          <w:p w:rsidR="000A156F" w:rsidRDefault="00A9721F">
            <w:pPr>
              <w:pStyle w:val="TableBodyText"/>
            </w:pPr>
            <w:r>
              <w:t>The bottom border color shall be dark green (00CC00).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 xml:space="preserve">The bottom border </w:t>
            </w:r>
            <w:r>
              <w:t>shall be a 3/4 pt single line.</w:t>
            </w:r>
          </w:p>
          <w:p w:rsidR="000A156F" w:rsidRDefault="00A9721F">
            <w:pPr>
              <w:pStyle w:val="TableBodyText"/>
            </w:pPr>
            <w:r>
              <w:t>The bottom border color shall be dark green (00CC00).</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3/4 pt single line.</w:t>
            </w:r>
          </w:p>
          <w:p w:rsidR="000A156F" w:rsidRDefault="00A9721F">
            <w:pPr>
              <w:pStyle w:val="TableBodyText"/>
            </w:pPr>
            <w:r>
              <w:t>The top border color shall be dark green (00CC00).</w:t>
            </w:r>
          </w:p>
          <w:p w:rsidR="000A156F" w:rsidRDefault="000A156F">
            <w:pPr>
              <w:pStyle w:val="TableBodyText"/>
            </w:pPr>
          </w:p>
        </w:tc>
      </w:tr>
      <w:tr w:rsidR="000A156F" w:rsidTr="000A156F">
        <w:tc>
          <w:tcPr>
            <w:tcW w:w="0" w:type="auto"/>
            <w:vAlign w:val="center"/>
          </w:tcPr>
          <w:p w:rsidR="000A156F" w:rsidRDefault="00A9721F">
            <w:pPr>
              <w:pStyle w:val="TableBodyText"/>
            </w:pPr>
            <w:r>
              <w:t>2 (Simple 2)</w:t>
            </w:r>
          </w:p>
        </w:tc>
        <w:tc>
          <w:tcPr>
            <w:tcW w:w="0" w:type="auto"/>
            <w:vAlign w:val="center"/>
          </w:tcPr>
          <w:p w:rsidR="000A156F" w:rsidRDefault="00A9721F">
            <w:pPr>
              <w:pStyle w:val="TableBodyText"/>
            </w:pPr>
            <w:r>
              <w:t>The tabl</w:t>
            </w:r>
            <w:r>
              <w:t>e shall have the following properties:</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1 1/2 pt single line.</w:t>
            </w:r>
          </w:p>
          <w:p w:rsidR="000A156F" w:rsidRDefault="00A9721F">
            <w:pPr>
              <w:pStyle w:val="TableBodyText"/>
            </w:pPr>
            <w:r>
              <w:t>The bottom border color shall be black (000000).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w:t>
            </w:r>
            <w:r>
              <w:t>he last row shall have the following properties:</w:t>
            </w:r>
          </w:p>
          <w:p w:rsidR="000A156F" w:rsidRDefault="00A9721F">
            <w:pPr>
              <w:pStyle w:val="TableBodyText"/>
            </w:pPr>
            <w:r>
              <w:t>The top border shall be a 3/4 pt single line.</w:t>
            </w:r>
          </w:p>
          <w:p w:rsidR="000A156F" w:rsidRDefault="00A9721F">
            <w:pPr>
              <w:pStyle w:val="TableBodyText"/>
            </w:pPr>
            <w:r>
              <w:t>The top border color shall be black (000000).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right border shall be a 1 1/2 pt</w:t>
            </w:r>
            <w:r>
              <w:t xml:space="preserve"> single line.</w:t>
            </w:r>
          </w:p>
          <w:p w:rsidR="000A156F" w:rsidRDefault="00A9721F">
            <w:pPr>
              <w:pStyle w:val="TableBodyText"/>
            </w:pPr>
            <w:r>
              <w:t>The right border color shall be black (000000).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of the last row shall have the following properties:</w:t>
            </w:r>
          </w:p>
          <w:p w:rsidR="000A156F" w:rsidRDefault="00A9721F">
            <w:pPr>
              <w:pStyle w:val="TableBodyText"/>
            </w:pPr>
            <w:r>
              <w:t>There shall be no top border.</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w:t>
            </w:r>
            <w:r>
              <w:t>perties:</w:t>
            </w:r>
          </w:p>
          <w:p w:rsidR="000A156F" w:rsidRDefault="00A9721F">
            <w:pPr>
              <w:pStyle w:val="TableBodyText"/>
            </w:pPr>
            <w:r>
              <w:t>The left border shall be a 3/4 pt single line.</w:t>
            </w:r>
          </w:p>
          <w:p w:rsidR="000A156F" w:rsidRDefault="00A9721F">
            <w:pPr>
              <w:pStyle w:val="TableBodyText"/>
            </w:pPr>
            <w:r>
              <w:t>The left border color shall be black (000000).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header rows of the last column shall have the following properties:</w:t>
            </w:r>
          </w:p>
          <w:p w:rsidR="000A156F" w:rsidRDefault="00A9721F">
            <w:pPr>
              <w:pStyle w:val="TableBodyText"/>
            </w:pPr>
            <w:r>
              <w:lastRenderedPageBreak/>
              <w:t>There should be no left border.</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3 (Simple3)</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1 1/2 pt single line.</w:t>
            </w:r>
          </w:p>
          <w:p w:rsidR="000A156F" w:rsidRDefault="00A9721F">
            <w:pPr>
              <w:pStyle w:val="TableBodyText"/>
            </w:pPr>
            <w:r>
              <w:t>The bottom border shall be a 1 1/2 pt single line.</w:t>
            </w:r>
          </w:p>
          <w:p w:rsidR="000A156F" w:rsidRDefault="00A9721F">
            <w:pPr>
              <w:pStyle w:val="TableBodyText"/>
            </w:pPr>
            <w:r>
              <w:t xml:space="preserve">The right border shall be a 1 1/2 pt single </w:t>
            </w:r>
            <w:r>
              <w:t>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 xml:space="preserve">The header rows shall </w:t>
            </w:r>
            <w:r>
              <w:t>have the following properties:</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 shall be white (FFFFFF).</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4 (Classic 1)</w:t>
            </w:r>
          </w:p>
        </w:tc>
        <w:tc>
          <w:tcPr>
            <w:tcW w:w="0" w:type="auto"/>
            <w:vAlign w:val="center"/>
          </w:tcPr>
          <w:p w:rsidR="000A156F" w:rsidRDefault="00A9721F">
            <w:pPr>
              <w:pStyle w:val="TableBodyText"/>
            </w:pPr>
            <w:r>
              <w:t>The tab</w:t>
            </w:r>
            <w:r>
              <w:t>le shall have the following properties:</w:t>
            </w:r>
          </w:p>
          <w:p w:rsidR="000A156F" w:rsidRDefault="00A9721F">
            <w:pPr>
              <w:pStyle w:val="TableBodyText"/>
            </w:pPr>
            <w:r>
              <w:t>The top border shall be a 1 1/2 pt single line.</w:t>
            </w:r>
          </w:p>
          <w:p w:rsidR="000A156F" w:rsidRDefault="00A9721F">
            <w:pPr>
              <w:pStyle w:val="TableBodyText"/>
            </w:pPr>
            <w:r>
              <w:t>The bottom border shall be a 1 1/2 pt single line.</w:t>
            </w:r>
          </w:p>
          <w:p w:rsidR="000A156F" w:rsidRDefault="00A9721F">
            <w:pPr>
              <w:pStyle w:val="TableBodyText"/>
            </w:pPr>
            <w:r>
              <w:t>The top border color shall be black (000000).</w:t>
            </w:r>
          </w:p>
          <w:p w:rsidR="000A156F" w:rsidRDefault="00A9721F">
            <w:pPr>
              <w:pStyle w:val="TableBodyText"/>
            </w:pPr>
            <w:r>
              <w:t>The bottom border color shall be black (000000).</w:t>
            </w:r>
          </w:p>
          <w:p w:rsidR="000A156F" w:rsidRDefault="00A9721F">
            <w:pPr>
              <w:pStyle w:val="TableBodyText"/>
            </w:pPr>
            <w:r>
              <w:t>The vertical alignment</w:t>
            </w:r>
            <w:r>
              <w:t xml:space="preserve">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3/4 pt single line.</w:t>
            </w:r>
          </w:p>
          <w:p w:rsidR="000A156F" w:rsidRDefault="00A9721F">
            <w:pPr>
              <w:pStyle w:val="TableBodyText"/>
            </w:pPr>
            <w:r>
              <w:t>The bottom border color shall be black (000000).</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 xml:space="preserve">The top </w:t>
            </w:r>
            <w:r>
              <w:t>border shall be a 3/4 pt single line.</w:t>
            </w:r>
          </w:p>
          <w:p w:rsidR="000A156F" w:rsidRDefault="00A9721F">
            <w:pPr>
              <w:pStyle w:val="TableBodyText"/>
            </w:pPr>
            <w:r>
              <w:t>The top border color shall be black (000000).</w:t>
            </w:r>
          </w:p>
          <w:p w:rsidR="000A156F" w:rsidRDefault="000A156F">
            <w:pPr>
              <w:pStyle w:val="TableBodyText"/>
            </w:pPr>
          </w:p>
          <w:p w:rsidR="000A156F" w:rsidRDefault="00A9721F">
            <w:pPr>
              <w:pStyle w:val="TableBodyText"/>
            </w:pPr>
            <w:r>
              <w:t>The first column of the last row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right border shall</w:t>
            </w:r>
            <w:r>
              <w:t xml:space="preserve"> be a 3/4 pt single line.</w:t>
            </w:r>
          </w:p>
          <w:p w:rsidR="000A156F" w:rsidRDefault="00A9721F">
            <w:pPr>
              <w:pStyle w:val="TableBodyText"/>
            </w:pPr>
            <w:r>
              <w:t>The right border color shall be black (000000).</w:t>
            </w:r>
          </w:p>
          <w:p w:rsidR="000A156F" w:rsidRDefault="000A156F">
            <w:pPr>
              <w:pStyle w:val="TableBodyText"/>
            </w:pPr>
          </w:p>
          <w:p w:rsidR="000A156F" w:rsidRDefault="00A9721F">
            <w:pPr>
              <w:pStyle w:val="TableBodyText"/>
            </w:pPr>
            <w:r>
              <w:t>The header rows of the last column shall have the following properties:</w:t>
            </w:r>
          </w:p>
          <w:p w:rsidR="000A156F" w:rsidRDefault="00A9721F">
            <w:pPr>
              <w:pStyle w:val="TableBodyText"/>
            </w:pPr>
            <w:r>
              <w:t>The font shall not be italic.</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5 (Classic 2)</w:t>
            </w:r>
          </w:p>
          <w:p w:rsidR="000A156F" w:rsidRDefault="000A156F">
            <w:pPr>
              <w:pStyle w:val="TableBodyText"/>
            </w:pPr>
          </w:p>
        </w:tc>
        <w:tc>
          <w:tcPr>
            <w:tcW w:w="0" w:type="auto"/>
            <w:vAlign w:val="center"/>
          </w:tcPr>
          <w:p w:rsidR="000A156F" w:rsidRDefault="00A9721F">
            <w:pPr>
              <w:pStyle w:val="TableBodyText"/>
            </w:pPr>
            <w:r>
              <w:t>The table shall have the following pro</w:t>
            </w:r>
            <w:r>
              <w:t>perties:</w:t>
            </w:r>
          </w:p>
          <w:p w:rsidR="000A156F" w:rsidRDefault="00A9721F">
            <w:pPr>
              <w:pStyle w:val="TableBodyText"/>
            </w:pPr>
            <w:r>
              <w:t>The top border shall be a 1 1/2 pt single line.</w:t>
            </w:r>
          </w:p>
          <w:p w:rsidR="000A156F" w:rsidRDefault="00A9721F">
            <w:pPr>
              <w:pStyle w:val="TableBodyText"/>
            </w:pPr>
            <w:r>
              <w:t>The bottom border shall be a 1 1/2 pt single line.</w:t>
            </w:r>
          </w:p>
          <w:p w:rsidR="000A156F" w:rsidRDefault="00A9721F">
            <w:pPr>
              <w:pStyle w:val="TableBodyText"/>
            </w:pPr>
            <w:r>
              <w:t>The top border color shall be black (000000).</w:t>
            </w:r>
          </w:p>
          <w:p w:rsidR="000A156F" w:rsidRDefault="00A9721F">
            <w:pPr>
              <w:pStyle w:val="TableBodyText"/>
            </w:pPr>
            <w:r>
              <w:t>The bottom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w:t>
            </w:r>
            <w:r>
              <w:t xml:space="preserve"> shall have the following properties:</w:t>
            </w:r>
          </w:p>
          <w:p w:rsidR="000A156F" w:rsidRDefault="00A9721F">
            <w:pPr>
              <w:pStyle w:val="TableBodyText"/>
            </w:pPr>
            <w:r>
              <w:t>The bottom border shall be a 3/4 pt single line.</w:t>
            </w:r>
          </w:p>
          <w:p w:rsidR="000A156F" w:rsidRDefault="00A9721F">
            <w:pPr>
              <w:pStyle w:val="TableBodyText"/>
            </w:pPr>
            <w:r>
              <w:t>The bottom border color shall be black (000000).</w:t>
            </w:r>
          </w:p>
          <w:p w:rsidR="000A156F" w:rsidRDefault="00A9721F">
            <w:pPr>
              <w:pStyle w:val="TableBodyText"/>
            </w:pPr>
            <w:r>
              <w:t>The foreground shading color shall be dark magenta (CC00CC).</w:t>
            </w:r>
          </w:p>
          <w:p w:rsidR="000A156F" w:rsidRDefault="00A9721F">
            <w:pPr>
              <w:pStyle w:val="TableBodyText"/>
            </w:pPr>
            <w:r>
              <w:t>The background shading shall be white (FFFFFF).</w:t>
            </w:r>
          </w:p>
          <w:p w:rsidR="000A156F" w:rsidRDefault="00A9721F">
            <w:pPr>
              <w:pStyle w:val="TableBodyText"/>
            </w:pPr>
            <w:r>
              <w:t>The shading</w:t>
            </w:r>
            <w:r>
              <w:t xml:space="preserve"> pattern shall be solid.</w:t>
            </w:r>
          </w:p>
          <w:p w:rsidR="000A156F" w:rsidRDefault="00A9721F">
            <w:pPr>
              <w:pStyle w:val="TableBodyText"/>
            </w:pPr>
            <w:r>
              <w:t>The font color shall be white (FFFFFF).</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3/4 pt single line.</w:t>
            </w:r>
          </w:p>
          <w:p w:rsidR="000A156F" w:rsidRDefault="00A9721F">
            <w:pPr>
              <w:pStyle w:val="TableBodyText"/>
            </w:pPr>
            <w:r>
              <w:t>The top border color shall be black (000000).</w:t>
            </w:r>
          </w:p>
          <w:p w:rsidR="000A156F" w:rsidRDefault="000A156F">
            <w:pPr>
              <w:pStyle w:val="TableBodyText"/>
            </w:pPr>
          </w:p>
          <w:p w:rsidR="000A156F" w:rsidRDefault="00A9721F">
            <w:pPr>
              <w:pStyle w:val="TableBodyText"/>
            </w:pPr>
            <w:r>
              <w:t>The first column of the last row shall have the</w:t>
            </w:r>
            <w:r>
              <w:t xml:space="preserve"> following properties:</w:t>
            </w:r>
          </w:p>
          <w:p w:rsidR="000A156F" w:rsidRDefault="00A9721F">
            <w:pPr>
              <w:pStyle w:val="TableBodyText"/>
            </w:pPr>
            <w:r>
              <w:t>The font color shall be dark blue (0000CC).</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foreground shading color shall be dark gray (C0C0C0).</w:t>
            </w:r>
          </w:p>
          <w:p w:rsidR="000A156F" w:rsidRDefault="00A9721F">
            <w:pPr>
              <w:pStyle w:val="TableBodyText"/>
            </w:pPr>
            <w:r>
              <w:t>The background shading shall be white (FFFFFF).</w:t>
            </w:r>
          </w:p>
          <w:p w:rsidR="000A156F" w:rsidRDefault="00A9721F">
            <w:pPr>
              <w:pStyle w:val="TableBodyText"/>
            </w:pPr>
            <w:r>
              <w:t>The shading pattern shall be</w:t>
            </w:r>
            <w:r>
              <w:t xml:space="preserve"> solid.</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of header rows shall have the following properties:</w:t>
            </w:r>
          </w:p>
          <w:p w:rsidR="000A156F" w:rsidRDefault="00A9721F">
            <w:pPr>
              <w:pStyle w:val="TableBodyText"/>
            </w:pPr>
            <w:r>
              <w:t>The foreground shading color shall be dark magenta (CC00CC).</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0A156F">
            <w:pPr>
              <w:pStyle w:val="TableBodyText"/>
            </w:pPr>
          </w:p>
          <w:p w:rsidR="000A156F" w:rsidRDefault="00A9721F">
            <w:pPr>
              <w:pStyle w:val="TableBodyText"/>
            </w:pPr>
            <w:r>
              <w:t xml:space="preserve">The </w:t>
            </w:r>
            <w:r>
              <w:t>header rows of the last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6 (Classic 3)</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1 1/2 pt single line.</w:t>
            </w:r>
          </w:p>
          <w:p w:rsidR="000A156F" w:rsidRDefault="00A9721F">
            <w:pPr>
              <w:pStyle w:val="TableBodyText"/>
            </w:pPr>
            <w:r>
              <w:t>The</w:t>
            </w:r>
            <w:r>
              <w:t xml:space="preserve"> bottom border shall be a 1 1/2 pt single line.</w:t>
            </w:r>
          </w:p>
          <w:p w:rsidR="000A156F" w:rsidRDefault="00A9721F">
            <w:pPr>
              <w:pStyle w:val="TableBodyText"/>
            </w:pPr>
            <w:r>
              <w:t>The right border shall be a 1 1/2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w:t>
            </w:r>
            <w:r>
              <w:t xml:space="preserve">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table data shall have the following properties:</w:t>
            </w:r>
          </w:p>
          <w:p w:rsidR="000A156F" w:rsidRDefault="00A9721F">
            <w:pPr>
              <w:pStyle w:val="TableBodyText"/>
            </w:pPr>
            <w:r>
              <w:t>The foreground shading color shall be dark gray (C0C0C0).</w:t>
            </w:r>
          </w:p>
          <w:p w:rsidR="000A156F" w:rsidRDefault="00A9721F">
            <w:pPr>
              <w:pStyle w:val="TableBodyText"/>
            </w:pPr>
            <w:r>
              <w:t>The background shading shall be white (FFFFFF).</w:t>
            </w:r>
          </w:p>
          <w:p w:rsidR="000A156F" w:rsidRDefault="00A9721F">
            <w:pPr>
              <w:pStyle w:val="TableBodyText"/>
            </w:pPr>
            <w:r>
              <w:t>The shading pattern shall be</w:t>
            </w:r>
            <w:r>
              <w:t xml:space="preserve"> solid.</w:t>
            </w:r>
          </w:p>
          <w:p w:rsidR="000A156F" w:rsidRDefault="00A9721F">
            <w:pPr>
              <w:pStyle w:val="TableBodyText"/>
            </w:pPr>
            <w:r>
              <w:t>The font color shall be dark blue (0000CC).</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3/4 pt single line.</w:t>
            </w:r>
          </w:p>
          <w:p w:rsidR="000A156F" w:rsidRDefault="00A9721F">
            <w:pPr>
              <w:pStyle w:val="TableBodyText"/>
            </w:pPr>
            <w:r>
              <w:t>The bottom border color shall be black (000000).</w:t>
            </w:r>
          </w:p>
          <w:p w:rsidR="000A156F" w:rsidRDefault="00A9721F">
            <w:pPr>
              <w:pStyle w:val="TableBodyText"/>
            </w:pPr>
            <w:r>
              <w:t xml:space="preserve">The foreground shading color shall be dark blue </w:t>
            </w:r>
            <w:r>
              <w:t>(0000CC).</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 shall be white (FFFFFF).</w:t>
            </w:r>
          </w:p>
          <w:p w:rsidR="000A156F" w:rsidRDefault="00A9721F">
            <w:pPr>
              <w:pStyle w:val="TableBodyText"/>
            </w:pPr>
            <w:r>
              <w:t>The font shall be bold.</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 xml:space="preserve">The top border shall </w:t>
            </w:r>
            <w:r>
              <w:t>be a 1 1/2 pt single line.</w:t>
            </w:r>
          </w:p>
          <w:p w:rsidR="000A156F" w:rsidRDefault="00A9721F">
            <w:pPr>
              <w:pStyle w:val="TableBodyText"/>
            </w:pPr>
            <w:r>
              <w:t>The top border color shall be black (000000).</w:t>
            </w:r>
          </w:p>
          <w:p w:rsidR="000A156F" w:rsidRDefault="00A9721F">
            <w:pPr>
              <w:pStyle w:val="TableBodyText"/>
            </w:pPr>
            <w:r>
              <w:t>The foreground shading color shall be white (FFFFFF).</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 shall be dark blue (0000CC).</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font color shall be black (000000).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of the header row shall have the following properties:</w:t>
            </w:r>
          </w:p>
          <w:p w:rsidR="000A156F" w:rsidRDefault="00A9721F">
            <w:pPr>
              <w:pStyle w:val="TableBodyText"/>
            </w:pPr>
            <w:r>
              <w:t>The font color shall be black (000000).</w:t>
            </w:r>
          </w:p>
          <w:p w:rsidR="000A156F" w:rsidRDefault="00A9721F">
            <w:pPr>
              <w:pStyle w:val="TableBodyText"/>
            </w:pPr>
            <w:r>
              <w:t>The font shall be bold.</w:t>
            </w:r>
          </w:p>
          <w:p w:rsidR="000A156F" w:rsidRDefault="00A9721F">
            <w:pPr>
              <w:pStyle w:val="TableBodyText"/>
            </w:pPr>
            <w:r>
              <w:t>The font shall be italic.</w:t>
            </w:r>
          </w:p>
        </w:tc>
      </w:tr>
      <w:tr w:rsidR="000A156F" w:rsidTr="000A156F">
        <w:tc>
          <w:tcPr>
            <w:tcW w:w="0" w:type="auto"/>
            <w:vAlign w:val="center"/>
          </w:tcPr>
          <w:p w:rsidR="000A156F" w:rsidRDefault="00A9721F">
            <w:pPr>
              <w:pStyle w:val="TableBodyText"/>
            </w:pPr>
            <w:r>
              <w:lastRenderedPageBreak/>
              <w:t>7 (Classic 4)</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3/4 pt single line.</w:t>
            </w:r>
          </w:p>
          <w:p w:rsidR="000A156F" w:rsidRDefault="00A9721F">
            <w:pPr>
              <w:pStyle w:val="TableBodyText"/>
            </w:pPr>
            <w:r>
              <w:t>The bottom border shall be a 1 1/2 pt single line.</w:t>
            </w:r>
          </w:p>
          <w:p w:rsidR="000A156F" w:rsidRDefault="00A9721F">
            <w:pPr>
              <w:pStyle w:val="TableBodyText"/>
            </w:pPr>
            <w:r>
              <w:t xml:space="preserve">The right border </w:t>
            </w:r>
            <w:r>
              <w:t>shall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t>The vertical alignment shall be top</w:t>
            </w:r>
            <w:r>
              <w:t>.</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3/4 pt single line.</w:t>
            </w:r>
          </w:p>
          <w:p w:rsidR="000A156F" w:rsidRDefault="00A9721F">
            <w:pPr>
              <w:pStyle w:val="TableBodyText"/>
            </w:pPr>
            <w:r>
              <w:t>The bottom border color shall be black (000000).</w:t>
            </w:r>
          </w:p>
          <w:p w:rsidR="000A156F" w:rsidRDefault="00A9721F">
            <w:pPr>
              <w:pStyle w:val="TableBodyText"/>
            </w:pPr>
            <w:r>
              <w:lastRenderedPageBreak/>
              <w:t>The foreground shading color shall be dark blue (0000CC).</w:t>
            </w:r>
          </w:p>
          <w:p w:rsidR="000A156F" w:rsidRDefault="00A9721F">
            <w:pPr>
              <w:pStyle w:val="TableBodyText"/>
            </w:pPr>
            <w:r>
              <w:t>The background shading shall be white (FFFFF</w:t>
            </w:r>
            <w:r>
              <w:t>F).</w:t>
            </w:r>
          </w:p>
          <w:p w:rsidR="000A156F" w:rsidRDefault="00A9721F">
            <w:pPr>
              <w:pStyle w:val="TableBodyText"/>
            </w:pPr>
            <w:r>
              <w:t>The shading pattern shall be pct50.</w:t>
            </w:r>
          </w:p>
          <w:p w:rsidR="000A156F" w:rsidRDefault="00A9721F">
            <w:pPr>
              <w:pStyle w:val="TableBodyText"/>
            </w:pPr>
            <w:r>
              <w:t>The font color shall be white (FFFFFF).</w:t>
            </w:r>
          </w:p>
          <w:p w:rsidR="000A156F" w:rsidRDefault="00A9721F">
            <w:pPr>
              <w:pStyle w:val="TableBodyText"/>
            </w:pPr>
            <w:r>
              <w:t>The font shall be bold.</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bottom border shall be a 3/4 pt single line.</w:t>
            </w:r>
          </w:p>
          <w:p w:rsidR="000A156F" w:rsidRDefault="00A9721F">
            <w:pPr>
              <w:pStyle w:val="TableBodyText"/>
            </w:pPr>
            <w:r>
              <w:t xml:space="preserve">The bottom border color </w:t>
            </w:r>
            <w:r>
              <w:t>shall be black (000000).</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pct50.</w:t>
            </w:r>
          </w:p>
          <w:p w:rsidR="000A156F" w:rsidRDefault="00A9721F">
            <w:pPr>
              <w:pStyle w:val="TableBodyText"/>
            </w:pPr>
            <w:r>
              <w:t>The font color shall be dark blue (0000CC).</w:t>
            </w:r>
          </w:p>
          <w:p w:rsidR="000A156F" w:rsidRDefault="000A156F">
            <w:pPr>
              <w:pStyle w:val="TableBodyText"/>
            </w:pPr>
          </w:p>
          <w:p w:rsidR="000A156F" w:rsidRDefault="00A9721F">
            <w:pPr>
              <w:pStyle w:val="TableBodyText"/>
            </w:pPr>
            <w:r>
              <w:t>The first column shall have the following proper</w:t>
            </w:r>
            <w:r>
              <w:t>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8 (Colorful 1)</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1 1/2 pt single line.</w:t>
            </w:r>
          </w:p>
          <w:p w:rsidR="000A156F" w:rsidRDefault="00A9721F">
            <w:pPr>
              <w:pStyle w:val="TableBodyText"/>
            </w:pPr>
            <w:r>
              <w:t>The bottom border shall be a 1 1/2 pt single line.</w:t>
            </w:r>
          </w:p>
          <w:p w:rsidR="000A156F" w:rsidRDefault="00A9721F">
            <w:pPr>
              <w:pStyle w:val="TableBodyText"/>
            </w:pPr>
            <w:r>
              <w:t>The right bor</w:t>
            </w:r>
            <w:r>
              <w:t>der shall be a 1 1/2 pt single line.</w:t>
            </w:r>
          </w:p>
          <w:p w:rsidR="000A156F" w:rsidRDefault="00A9721F">
            <w:pPr>
              <w:pStyle w:val="TableBodyText"/>
            </w:pPr>
            <w:r>
              <w:t>The top border color shall be dark cyan (00CCCC).</w:t>
            </w:r>
          </w:p>
          <w:p w:rsidR="000A156F" w:rsidRDefault="00A9721F">
            <w:pPr>
              <w:pStyle w:val="TableBodyText"/>
            </w:pPr>
            <w:r>
              <w:t>The left border color shall be dark cyan (00CCCC).</w:t>
            </w:r>
          </w:p>
          <w:p w:rsidR="000A156F" w:rsidRDefault="00A9721F">
            <w:pPr>
              <w:pStyle w:val="TableBodyText"/>
            </w:pPr>
            <w:r>
              <w:t>The bottom border color shall be dark cyan (00CCCC).</w:t>
            </w:r>
          </w:p>
          <w:p w:rsidR="000A156F" w:rsidRDefault="00A9721F">
            <w:pPr>
              <w:pStyle w:val="TableBodyText"/>
            </w:pPr>
            <w:r>
              <w:t>The right border color shall be dark cyan (00CCCC).</w:t>
            </w:r>
          </w:p>
          <w:p w:rsidR="000A156F" w:rsidRDefault="00A9721F">
            <w:pPr>
              <w:pStyle w:val="TableBodyText"/>
            </w:pPr>
            <w:r>
              <w:t>The font shal</w:t>
            </w:r>
            <w:r>
              <w:t>l be white (FFFFFF).</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table data shall have the following properties:</w:t>
            </w:r>
          </w:p>
          <w:p w:rsidR="000A156F" w:rsidRDefault="00A9721F">
            <w:pPr>
              <w:pStyle w:val="TableBodyText"/>
            </w:pPr>
            <w:r>
              <w:t>The inside horizontal border shall be a 3/4 pt single line.</w:t>
            </w:r>
          </w:p>
          <w:p w:rsidR="000A156F" w:rsidRDefault="00A9721F">
            <w:pPr>
              <w:pStyle w:val="TableBodyText"/>
            </w:pPr>
            <w:r>
              <w:t>The inside horizontal border color shall be cyan (00FFFF).</w:t>
            </w:r>
          </w:p>
          <w:p w:rsidR="000A156F" w:rsidRDefault="00A9721F">
            <w:pPr>
              <w:pStyle w:val="TableBodyText"/>
            </w:pPr>
            <w:r>
              <w:t xml:space="preserve">The foreground shading </w:t>
            </w:r>
            <w:r>
              <w:t>color shall be dark cyan (00CCCC).</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 shall be white (FFFFFF).</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foreground shading color shall be black</w:t>
            </w:r>
            <w:r>
              <w:t xml:space="preserve"> (000000).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shall be bold.</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foreground shading color shall be dark blue (0000CC)</w:t>
            </w:r>
            <w:r>
              <w:t>.</w:t>
            </w:r>
          </w:p>
          <w:p w:rsidR="000A156F" w:rsidRDefault="00A9721F">
            <w:pPr>
              <w:pStyle w:val="TableBodyText"/>
            </w:pPr>
            <w:r>
              <w:lastRenderedPageBreak/>
              <w:t>The background shading shall be white (FFFFFF).</w:t>
            </w:r>
          </w:p>
          <w:p w:rsidR="000A156F" w:rsidRDefault="00A9721F">
            <w:pPr>
              <w:pStyle w:val="TableBodyText"/>
            </w:pPr>
            <w:r>
              <w:t>The shading pattern shall be solid.</w:t>
            </w:r>
          </w:p>
          <w:p w:rsidR="000A156F" w:rsidRDefault="00A9721F">
            <w:pPr>
              <w:pStyle w:val="TableBodyText"/>
            </w:pPr>
            <w:r>
              <w:t>The font shall be bold.</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first column of header rows shall have the following properties:</w:t>
            </w:r>
          </w:p>
          <w:p w:rsidR="000A156F" w:rsidRDefault="00A9721F">
            <w:pPr>
              <w:pStyle w:val="TableBodyText"/>
            </w:pPr>
            <w:r>
              <w:t>The foreground shading color shall be black (00000</w:t>
            </w:r>
            <w:r>
              <w:t>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0A156F">
            <w:pPr>
              <w:pStyle w:val="TableBodyText"/>
            </w:pPr>
          </w:p>
          <w:p w:rsidR="000A156F" w:rsidRDefault="00A9721F">
            <w:pPr>
              <w:pStyle w:val="TableBodyText"/>
            </w:pPr>
            <w:r>
              <w:t>The first column of the last row shall have the following properties:</w:t>
            </w:r>
          </w:p>
          <w:p w:rsidR="000A156F" w:rsidRDefault="00A9721F">
            <w:pPr>
              <w:pStyle w:val="TableBodyText"/>
            </w:pPr>
            <w:r>
              <w:t>The font shall be bold.</w:t>
            </w:r>
          </w:p>
          <w:p w:rsidR="000A156F" w:rsidRDefault="00A9721F">
            <w:pPr>
              <w:pStyle w:val="TableBodyText"/>
            </w:pPr>
            <w:r>
              <w:t>The font shall not be italic.</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9 (Colorful 2)</w:t>
            </w:r>
          </w:p>
          <w:p w:rsidR="000A156F" w:rsidRDefault="000A156F">
            <w:pPr>
              <w:pStyle w:val="TableBodyText"/>
            </w:pPr>
          </w:p>
        </w:tc>
        <w:tc>
          <w:tcPr>
            <w:tcW w:w="0" w:type="auto"/>
            <w:vAlign w:val="center"/>
          </w:tcPr>
          <w:p w:rsidR="000A156F" w:rsidRDefault="00A9721F">
            <w:pPr>
              <w:pStyle w:val="TableBodyText"/>
            </w:pPr>
            <w:r>
              <w:t xml:space="preserve">The table shall have the </w:t>
            </w:r>
            <w:r>
              <w:t>following properties:</w:t>
            </w:r>
          </w:p>
          <w:p w:rsidR="000A156F" w:rsidRDefault="00A9721F">
            <w:pPr>
              <w:pStyle w:val="TableBodyText"/>
            </w:pPr>
            <w:r>
              <w:t>The bottom border shall be a 1 1/2 pt single line.</w:t>
            </w:r>
          </w:p>
          <w:p w:rsidR="000A156F" w:rsidRDefault="00A9721F">
            <w:pPr>
              <w:pStyle w:val="TableBodyText"/>
            </w:pPr>
            <w:r>
              <w:t>The bottom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table data shall have the following properties:</w:t>
            </w:r>
          </w:p>
          <w:p w:rsidR="000A156F" w:rsidRDefault="00A9721F">
            <w:pPr>
              <w:pStyle w:val="TableBodyText"/>
            </w:pPr>
            <w:r>
              <w:t>The foreground shading color shall be yellow</w:t>
            </w:r>
            <w:r>
              <w:t xml:space="preserve"> (FFFF00).</w:t>
            </w:r>
          </w:p>
          <w:p w:rsidR="000A156F" w:rsidRDefault="00A9721F">
            <w:pPr>
              <w:pStyle w:val="TableBodyText"/>
            </w:pPr>
            <w:r>
              <w:t>The background shading shall be white (FFFFFF).</w:t>
            </w:r>
          </w:p>
          <w:p w:rsidR="000A156F" w:rsidRDefault="00A9721F">
            <w:pPr>
              <w:pStyle w:val="TableBodyText"/>
            </w:pPr>
            <w:r>
              <w:t>The shading pattern shall be pct20.</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foreground shading color shall be dark gray (C0C0C0).</w:t>
            </w:r>
          </w:p>
          <w:p w:rsidR="000A156F" w:rsidRDefault="00A9721F">
            <w:pPr>
              <w:pStyle w:val="TableBodyText"/>
            </w:pPr>
            <w:r>
              <w:t>The background shading shall be white (FFFFFF).</w:t>
            </w:r>
          </w:p>
          <w:p w:rsidR="000A156F" w:rsidRDefault="00A9721F">
            <w:pPr>
              <w:pStyle w:val="TableBodyText"/>
            </w:pPr>
            <w:r>
              <w:t>T</w:t>
            </w:r>
            <w:r>
              <w:t>he shading pattern shall be solid.</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1 1/2 pt single line.</w:t>
            </w:r>
          </w:p>
          <w:p w:rsidR="000A156F" w:rsidRDefault="00A9721F">
            <w:pPr>
              <w:pStyle w:val="TableBodyText"/>
            </w:pPr>
            <w:r>
              <w:t>The bottom border color shall be black (000000).</w:t>
            </w:r>
          </w:p>
          <w:p w:rsidR="000A156F" w:rsidRDefault="00A9721F">
            <w:pPr>
              <w:pStyle w:val="TableBodyText"/>
            </w:pPr>
            <w:r>
              <w:t>The foreground shading color shall be dark red (CC0000).</w:t>
            </w:r>
          </w:p>
          <w:p w:rsidR="000A156F" w:rsidRDefault="00A9721F">
            <w:pPr>
              <w:pStyle w:val="TableBodyText"/>
            </w:pPr>
            <w:r>
              <w:t xml:space="preserve">The </w:t>
            </w:r>
            <w:r>
              <w:t>background shading shall be white (FFFFFF).</w:t>
            </w:r>
          </w:p>
          <w:p w:rsidR="000A156F" w:rsidRDefault="00A9721F">
            <w:pPr>
              <w:pStyle w:val="TableBodyText"/>
            </w:pPr>
            <w:r>
              <w:t>The shading pattern shall be solid.</w:t>
            </w:r>
          </w:p>
          <w:p w:rsidR="000A156F" w:rsidRDefault="00A9721F">
            <w:pPr>
              <w:pStyle w:val="TableBodyText"/>
            </w:pPr>
            <w:r>
              <w:t>The font color shall be white (FFFFFF).</w:t>
            </w:r>
          </w:p>
          <w:p w:rsidR="000A156F" w:rsidRDefault="00A9721F">
            <w:pPr>
              <w:pStyle w:val="TableBodyText"/>
            </w:pPr>
            <w:r>
              <w:t>The font shall be bold.</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font shall be bold.</w:t>
            </w:r>
          </w:p>
          <w:p w:rsidR="000A156F" w:rsidRDefault="00A9721F">
            <w:pPr>
              <w:pStyle w:val="TableBodyText"/>
            </w:pPr>
            <w:r>
              <w:t>The fon</w:t>
            </w:r>
            <w:r>
              <w:t>t shall be italic.</w:t>
            </w:r>
          </w:p>
          <w:p w:rsidR="000A156F" w:rsidRDefault="000A156F">
            <w:pPr>
              <w:pStyle w:val="TableBodyText"/>
            </w:pPr>
          </w:p>
          <w:p w:rsidR="000A156F" w:rsidRDefault="00A9721F">
            <w:pPr>
              <w:pStyle w:val="TableBodyText"/>
            </w:pPr>
            <w:r>
              <w:t>The first column of the last row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10 (Colorful 3)</w:t>
            </w:r>
          </w:p>
          <w:p w:rsidR="000A156F" w:rsidRDefault="000A156F">
            <w:pPr>
              <w:pStyle w:val="TableBodyText"/>
            </w:pPr>
          </w:p>
        </w:tc>
        <w:tc>
          <w:tcPr>
            <w:tcW w:w="0" w:type="auto"/>
            <w:vAlign w:val="center"/>
          </w:tcPr>
          <w:p w:rsidR="000A156F" w:rsidRDefault="00A9721F">
            <w:pPr>
              <w:pStyle w:val="TableBodyText"/>
            </w:pPr>
            <w:r>
              <w:lastRenderedPageBreak/>
              <w:t>The table shall have the following properties:</w:t>
            </w:r>
          </w:p>
          <w:p w:rsidR="000A156F" w:rsidRDefault="00A9721F">
            <w:pPr>
              <w:pStyle w:val="TableBodyText"/>
            </w:pPr>
            <w:r>
              <w:lastRenderedPageBreak/>
              <w:t>The top border shall be a 2 1/4 pt single line.</w:t>
            </w:r>
          </w:p>
          <w:p w:rsidR="000A156F" w:rsidRDefault="00A9721F">
            <w:pPr>
              <w:pStyle w:val="TableBodyText"/>
            </w:pPr>
            <w:r>
              <w:t>The left border shall be a 2</w:t>
            </w:r>
            <w:r>
              <w:t xml:space="preserve"> 1/4 pt single line.</w:t>
            </w:r>
          </w:p>
          <w:p w:rsidR="000A156F" w:rsidRDefault="00A9721F">
            <w:pPr>
              <w:pStyle w:val="TableBodyText"/>
            </w:pPr>
            <w:r>
              <w:t>The bottom border shall be a 2 1/4 pt single line.</w:t>
            </w:r>
          </w:p>
          <w:p w:rsidR="000A156F" w:rsidRDefault="00A9721F">
            <w:pPr>
              <w:pStyle w:val="TableBodyText"/>
            </w:pPr>
            <w:r>
              <w:t>The right border shall be a 2 1/4 pt single line.</w:t>
            </w:r>
          </w:p>
          <w:p w:rsidR="000A156F" w:rsidRDefault="00A9721F">
            <w:pPr>
              <w:pStyle w:val="TableBodyText"/>
            </w:pPr>
            <w:r>
              <w:t>The inside horizontal border shall be a 3/4 pt single line.</w:t>
            </w:r>
          </w:p>
          <w:p w:rsidR="000A156F" w:rsidRDefault="00A9721F">
            <w:pPr>
              <w:pStyle w:val="TableBodyText"/>
            </w:pPr>
            <w:r>
              <w:t>The top border color shall be black (000000).</w:t>
            </w:r>
          </w:p>
          <w:p w:rsidR="000A156F" w:rsidRDefault="00A9721F">
            <w:pPr>
              <w:pStyle w:val="TableBodyText"/>
            </w:pPr>
            <w:r>
              <w:t xml:space="preserve">The left border color shall </w:t>
            </w:r>
            <w:r>
              <w:t>be black (000000).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t>The inside horizontal border color shall be light gray (C0C0C0).</w:t>
            </w:r>
          </w:p>
          <w:p w:rsidR="000A156F" w:rsidRDefault="00A9721F">
            <w:pPr>
              <w:pStyle w:val="TableBodyText"/>
            </w:pPr>
            <w:r>
              <w:t>The foreground shading color shall be dark cyan (00CCCC).</w:t>
            </w:r>
          </w:p>
          <w:p w:rsidR="000A156F" w:rsidRDefault="00A9721F">
            <w:pPr>
              <w:pStyle w:val="TableBodyText"/>
            </w:pPr>
            <w:r>
              <w:t>The background sh</w:t>
            </w:r>
            <w:r>
              <w:t>ading shall be white (FFFFFF).</w:t>
            </w:r>
          </w:p>
          <w:p w:rsidR="000A156F" w:rsidRDefault="00A9721F">
            <w:pPr>
              <w:pStyle w:val="TableBodyText"/>
            </w:pPr>
            <w:r>
              <w:t>The shading pattern shall be pct25.</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3/4 pt single line.</w:t>
            </w:r>
          </w:p>
          <w:p w:rsidR="000A156F" w:rsidRDefault="00A9721F">
            <w:pPr>
              <w:pStyle w:val="TableBodyText"/>
            </w:pPr>
            <w:r>
              <w:t>The bottom border color shall be black (000000).</w:t>
            </w:r>
          </w:p>
          <w:p w:rsidR="000A156F" w:rsidRDefault="00A9721F">
            <w:pPr>
              <w:pStyle w:val="TableBodyText"/>
            </w:pPr>
            <w:r>
              <w:t>The foreground shading color shall be dark cyan (00CCCC).</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left border shall be a 4 1/2 pt single line.</w:t>
            </w:r>
          </w:p>
          <w:p w:rsidR="000A156F" w:rsidRDefault="00A9721F">
            <w:pPr>
              <w:pStyle w:val="TableBodyText"/>
            </w:pPr>
            <w:r>
              <w:t xml:space="preserve">The right </w:t>
            </w:r>
            <w:r>
              <w:t>border shall be a 3/4 pt single line.</w:t>
            </w:r>
          </w:p>
          <w:p w:rsidR="000A156F" w:rsidRDefault="00A9721F">
            <w:pPr>
              <w:pStyle w:val="TableBodyText"/>
            </w:pPr>
            <w:r>
              <w:t>The left border color shall be black (000000).</w:t>
            </w:r>
          </w:p>
          <w:p w:rsidR="000A156F" w:rsidRDefault="00A9721F">
            <w:pPr>
              <w:pStyle w:val="TableBodyText"/>
            </w:pPr>
            <w:r>
              <w:t>The right border color shall be black (000000).</w:t>
            </w:r>
          </w:p>
          <w:p w:rsidR="000A156F" w:rsidRDefault="00A9721F">
            <w:pPr>
              <w:pStyle w:val="TableBodyText"/>
            </w:pPr>
            <w:r>
              <w:t>The foreground shading color shall be dark cyan (00CCCC).</w:t>
            </w:r>
          </w:p>
          <w:p w:rsidR="000A156F" w:rsidRDefault="00A9721F">
            <w:pPr>
              <w:pStyle w:val="TableBodyText"/>
            </w:pPr>
            <w:r>
              <w:t>The background shading shall be white (FFFFFF).</w:t>
            </w:r>
          </w:p>
          <w:p w:rsidR="000A156F" w:rsidRDefault="00A9721F">
            <w:pPr>
              <w:pStyle w:val="TableBodyText"/>
            </w:pPr>
            <w:r>
              <w:t>The shading patte</w:t>
            </w:r>
            <w:r>
              <w:t>rn shall be solid.</w:t>
            </w:r>
          </w:p>
          <w:p w:rsidR="000A156F" w:rsidRDefault="000A156F">
            <w:pPr>
              <w:pStyle w:val="TableBodyText"/>
            </w:pPr>
          </w:p>
          <w:p w:rsidR="000A156F" w:rsidRDefault="00A9721F">
            <w:pPr>
              <w:pStyle w:val="TableBodyText"/>
            </w:pPr>
            <w:r>
              <w:t>The first column of header rows shall have the following properties:</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 shall be white</w:t>
            </w:r>
            <w:r>
              <w:t xml:space="preserve"> (FFFFFF).</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11 (Columns 1)</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1 1/2 pt single line.</w:t>
            </w:r>
          </w:p>
          <w:p w:rsidR="000A156F" w:rsidRDefault="00A9721F">
            <w:pPr>
              <w:pStyle w:val="TableBodyText"/>
            </w:pPr>
            <w:r>
              <w:t>The bottom border shall be a 1 1/2 pt single line.</w:t>
            </w:r>
          </w:p>
          <w:p w:rsidR="000A156F" w:rsidRDefault="00A9721F">
            <w:pPr>
              <w:pStyle w:val="TableBodyText"/>
            </w:pPr>
            <w:r>
              <w:t>The righ</w:t>
            </w:r>
            <w:r>
              <w:t>t border shall be a 1 1/2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lastRenderedPageBreak/>
              <w:t>The font shall be bold.</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Odd columns of table data shall have the following properties:</w:t>
            </w:r>
          </w:p>
          <w:p w:rsidR="000A156F" w:rsidRDefault="00A9721F">
            <w:pPr>
              <w:pStyle w:val="TableBodyText"/>
            </w:pPr>
            <w:r>
              <w:t>The foreground shading color shall be yellow (FFFF00).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0A156F">
            <w:pPr>
              <w:pStyle w:val="TableBodyText"/>
            </w:pPr>
          </w:p>
          <w:p w:rsidR="000A156F" w:rsidRDefault="00A9721F">
            <w:pPr>
              <w:pStyle w:val="TableBodyText"/>
            </w:pPr>
            <w:r>
              <w:t>Even columns of</w:t>
            </w:r>
            <w:r>
              <w:t xml:space="preserve"> table data shall have the following properties:</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 xml:space="preserve">The header rows shall have the following </w:t>
            </w:r>
            <w:r>
              <w:t>properties:</w:t>
            </w:r>
          </w:p>
          <w:p w:rsidR="000A156F" w:rsidRDefault="00A9721F">
            <w:pPr>
              <w:pStyle w:val="TableBodyText"/>
            </w:pPr>
            <w:r>
              <w:t>The bottom border shall be a 3/4 pt double line.</w:t>
            </w:r>
          </w:p>
          <w:p w:rsidR="000A156F" w:rsidRDefault="00A9721F">
            <w:pPr>
              <w:pStyle w:val="TableBodyText"/>
            </w:pPr>
            <w:r>
              <w:t>The bottom border color shall be black (000000).</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first column shall have the follow</w:t>
            </w:r>
            <w:r>
              <w:t>ing properties:</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last row of the first column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header rows of the last column</w:t>
            </w:r>
            <w:r>
              <w:t xml:space="preserve">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12 (Columns 2)</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font shall be bold.</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Odd columns of table data shall have the following properties:</w:t>
            </w:r>
          </w:p>
          <w:p w:rsidR="000A156F" w:rsidRDefault="00A9721F">
            <w:pPr>
              <w:pStyle w:val="TableBodyText"/>
            </w:pPr>
            <w:r>
              <w:t xml:space="preserve">The </w:t>
            </w:r>
            <w:r>
              <w:t>foreground shading color shall be green (00FF00).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0A156F">
            <w:pPr>
              <w:pStyle w:val="TableBodyText"/>
            </w:pPr>
          </w:p>
          <w:p w:rsidR="000A156F" w:rsidRDefault="00A9721F">
            <w:pPr>
              <w:pStyle w:val="TableBodyText"/>
            </w:pPr>
            <w:r>
              <w:t>Even columns of table data shall have the following properties:</w:t>
            </w:r>
          </w:p>
          <w:p w:rsidR="000A156F" w:rsidRDefault="00A9721F">
            <w:pPr>
              <w:pStyle w:val="TableBodyText"/>
            </w:pPr>
            <w:r>
              <w:t>The foreground shading color shall be black (000000).</w:t>
            </w:r>
          </w:p>
          <w:p w:rsidR="000A156F" w:rsidRDefault="00A9721F">
            <w:pPr>
              <w:pStyle w:val="TableBodyText"/>
            </w:pPr>
            <w:r>
              <w:t>The</w:t>
            </w:r>
            <w:r>
              <w:t xml:space="preserve"> background shading shall be white (FFFFFF).</w:t>
            </w:r>
          </w:p>
          <w:p w:rsidR="000A156F" w:rsidRDefault="00A9721F">
            <w:pPr>
              <w:pStyle w:val="TableBodyText"/>
            </w:pPr>
            <w:r>
              <w:t>The shading pattern shall be pct30.</w:t>
            </w:r>
          </w:p>
          <w:p w:rsidR="000A156F" w:rsidRDefault="00A9721F">
            <w:pPr>
              <w:pStyle w:val="TableBodyText"/>
            </w:pPr>
            <w:r>
              <w:lastRenderedPageBreak/>
              <w:t>The font color shall be dark blue (0000CC).</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foreground shading color shall be dark blue (0000</w:t>
            </w:r>
            <w:r>
              <w:t>CC).</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 shall be white (FFFFFF).</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 xml:space="preserve">The first column shall have the following </w:t>
            </w:r>
            <w:r>
              <w:t>properties:</w:t>
            </w:r>
          </w:p>
          <w:p w:rsidR="000A156F" w:rsidRDefault="00A9721F">
            <w:pPr>
              <w:pStyle w:val="TableBodyText"/>
            </w:pPr>
            <w:r>
              <w:t>The font color shall be black (000000).</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last row of the first column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header rows of the last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13 (Columns 3)</w:t>
            </w: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3/4 pt single line.</w:t>
            </w:r>
          </w:p>
          <w:p w:rsidR="000A156F" w:rsidRDefault="00A9721F">
            <w:pPr>
              <w:pStyle w:val="TableBodyText"/>
            </w:pPr>
            <w:r>
              <w:t>The left border shall be a 3/4 pt single line.</w:t>
            </w:r>
          </w:p>
          <w:p w:rsidR="000A156F" w:rsidRDefault="00A9721F">
            <w:pPr>
              <w:pStyle w:val="TableBodyText"/>
            </w:pPr>
            <w:r>
              <w:t>The bottom border shall be a 3/4 pt single line.</w:t>
            </w:r>
          </w:p>
          <w:p w:rsidR="000A156F" w:rsidRDefault="00A9721F">
            <w:pPr>
              <w:pStyle w:val="TableBodyText"/>
            </w:pPr>
            <w:r>
              <w:t>The right border shall be a 3/4 pt single line.</w:t>
            </w:r>
          </w:p>
          <w:p w:rsidR="000A156F" w:rsidRDefault="00A9721F">
            <w:pPr>
              <w:pStyle w:val="TableBodyText"/>
            </w:pPr>
            <w:r>
              <w:t>The inside vertical border shall be a 3/4 pt single line.</w:t>
            </w:r>
          </w:p>
          <w:p w:rsidR="000A156F" w:rsidRDefault="00A9721F">
            <w:pPr>
              <w:pStyle w:val="TableBodyText"/>
            </w:pPr>
            <w:r>
              <w:t>The top border color shall be dark blue (0000CC).</w:t>
            </w:r>
          </w:p>
          <w:p w:rsidR="000A156F" w:rsidRDefault="00A9721F">
            <w:pPr>
              <w:pStyle w:val="TableBodyText"/>
            </w:pPr>
            <w:r>
              <w:t>The left border color shall be dark blue (0000CC).</w:t>
            </w:r>
          </w:p>
          <w:p w:rsidR="000A156F" w:rsidRDefault="00A9721F">
            <w:pPr>
              <w:pStyle w:val="TableBodyText"/>
            </w:pPr>
            <w:r>
              <w:t>The bottom border color shall be dark blue (0000CC).</w:t>
            </w:r>
          </w:p>
          <w:p w:rsidR="000A156F" w:rsidRDefault="00A9721F">
            <w:pPr>
              <w:pStyle w:val="TableBodyText"/>
            </w:pPr>
            <w:r>
              <w:t>The right border color shall be dark blue (0000CC).</w:t>
            </w:r>
          </w:p>
          <w:p w:rsidR="000A156F" w:rsidRDefault="00A9721F">
            <w:pPr>
              <w:pStyle w:val="TableBodyText"/>
            </w:pPr>
            <w:r>
              <w:t>The inside vertical border color shall be dark blue (0000CC).</w:t>
            </w:r>
          </w:p>
          <w:p w:rsidR="000A156F" w:rsidRDefault="00A9721F">
            <w:pPr>
              <w:pStyle w:val="TableBodyText"/>
            </w:pPr>
            <w:r>
              <w:t>The font shall be bold.</w:t>
            </w:r>
          </w:p>
          <w:p w:rsidR="000A156F" w:rsidRDefault="00A9721F">
            <w:pPr>
              <w:pStyle w:val="TableBodyText"/>
            </w:pPr>
            <w:r>
              <w:t xml:space="preserve">Applies to odd columns.  </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O</w:t>
            </w:r>
            <w:r>
              <w:t>dd columns of table data shall have the following properties:</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pct10.</w:t>
            </w:r>
          </w:p>
          <w:p w:rsidR="000A156F" w:rsidRDefault="000A156F">
            <w:pPr>
              <w:pStyle w:val="TableBodyText"/>
            </w:pPr>
          </w:p>
          <w:p w:rsidR="000A156F" w:rsidRDefault="00A9721F">
            <w:pPr>
              <w:pStyle w:val="TableBodyText"/>
            </w:pPr>
            <w:r>
              <w:t>Even columns of table data shall have the following pro</w:t>
            </w:r>
            <w:r>
              <w:t>perties:</w:t>
            </w:r>
          </w:p>
          <w:p w:rsidR="000A156F" w:rsidRDefault="00A9721F">
            <w:pPr>
              <w:pStyle w:val="TableBodyText"/>
            </w:pPr>
            <w:r>
              <w:t>The foreground shading color shall be dark gray (C0C0C0).</w:t>
            </w:r>
          </w:p>
          <w:p w:rsidR="000A156F" w:rsidRDefault="00A9721F">
            <w:pPr>
              <w:pStyle w:val="TableBodyText"/>
            </w:pPr>
            <w:r>
              <w:lastRenderedPageBreak/>
              <w:t>The background shading shall be white (FFFFFF).</w:t>
            </w:r>
          </w:p>
          <w:p w:rsidR="000A156F" w:rsidRDefault="00A9721F">
            <w:pPr>
              <w:pStyle w:val="TableBodyText"/>
            </w:pPr>
            <w:r>
              <w:t>The shading pattern shall be solid.</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foreground shading color shall be dark blue (00</w:t>
            </w:r>
            <w:r>
              <w:t>00CC).</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 shall be white (FFFFFF).</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3/4 pt single line.</w:t>
            </w:r>
          </w:p>
          <w:p w:rsidR="000A156F" w:rsidRDefault="00A9721F">
            <w:pPr>
              <w:pStyle w:val="TableBodyText"/>
            </w:pPr>
            <w:r>
              <w:t xml:space="preserve">The top border color shall </w:t>
            </w:r>
            <w:r>
              <w:t>be dark blue (0000CC).</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header rows of the last column shal</w:t>
            </w:r>
            <w:r>
              <w:t>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14 (Columns 4)</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Odd columns of table data shall have the following properties:</w:t>
            </w:r>
          </w:p>
          <w:p w:rsidR="000A156F" w:rsidRDefault="00A9721F">
            <w:pPr>
              <w:pStyle w:val="TableBodyText"/>
            </w:pPr>
            <w:r>
              <w:t>The foreground shading color shal</w:t>
            </w:r>
            <w:r>
              <w:t>l be black (000000).</w:t>
            </w:r>
          </w:p>
          <w:p w:rsidR="000A156F" w:rsidRDefault="00A9721F">
            <w:pPr>
              <w:pStyle w:val="TableBodyText"/>
            </w:pPr>
            <w:r>
              <w:t>The background shading shall be white (FFFFFF).</w:t>
            </w:r>
          </w:p>
          <w:p w:rsidR="000A156F" w:rsidRDefault="00A9721F">
            <w:pPr>
              <w:pStyle w:val="TableBodyText"/>
            </w:pPr>
            <w:r>
              <w:t>The shading pattern shall be pct10.</w:t>
            </w:r>
          </w:p>
          <w:p w:rsidR="000A156F" w:rsidRDefault="000A156F">
            <w:pPr>
              <w:pStyle w:val="TableBodyText"/>
            </w:pPr>
          </w:p>
          <w:p w:rsidR="000A156F" w:rsidRDefault="00A9721F">
            <w:pPr>
              <w:pStyle w:val="TableBodyText"/>
            </w:pPr>
            <w:r>
              <w:t>Even columns of table data shall have the following properties:</w:t>
            </w:r>
          </w:p>
          <w:p w:rsidR="000A156F" w:rsidRDefault="00A9721F">
            <w:pPr>
              <w:pStyle w:val="TableBodyText"/>
            </w:pPr>
            <w:r>
              <w:t>The foreground shading color shall be dark cyan (00CCCC).</w:t>
            </w:r>
          </w:p>
          <w:p w:rsidR="000A156F" w:rsidRDefault="00A9721F">
            <w:pPr>
              <w:pStyle w:val="TableBodyText"/>
            </w:pPr>
            <w:r>
              <w:t>The background shading shall</w:t>
            </w:r>
            <w:r>
              <w:t xml:space="preserve"> be white (FFFFFF).</w:t>
            </w:r>
          </w:p>
          <w:p w:rsidR="000A156F" w:rsidRDefault="00A9721F">
            <w:pPr>
              <w:pStyle w:val="TableBodyText"/>
            </w:pPr>
            <w:r>
              <w:t>The shading pattern shall be pct50.</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w:t>
            </w:r>
            <w:r>
              <w:t xml:space="preserve"> color shall be white (FFFFFF).</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15 (Columns 5)</w:t>
            </w: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w:t>
            </w:r>
            <w:r>
              <w:t xml:space="preserve"> border shall be a 1 1/2 pt single line.</w:t>
            </w:r>
          </w:p>
          <w:p w:rsidR="000A156F" w:rsidRDefault="00A9721F">
            <w:pPr>
              <w:pStyle w:val="TableBodyText"/>
            </w:pPr>
            <w:r>
              <w:t>The left border shall be a 1 1/2 pt single line.</w:t>
            </w:r>
          </w:p>
          <w:p w:rsidR="000A156F" w:rsidRDefault="00A9721F">
            <w:pPr>
              <w:pStyle w:val="TableBodyText"/>
            </w:pPr>
            <w:r>
              <w:t>The bottom border shall be a 1 1/2 pt single line.</w:t>
            </w:r>
          </w:p>
          <w:p w:rsidR="000A156F" w:rsidRDefault="00A9721F">
            <w:pPr>
              <w:pStyle w:val="TableBodyText"/>
            </w:pPr>
            <w:r>
              <w:t>The right border shall be a 1 1/2 pt single line.</w:t>
            </w:r>
          </w:p>
          <w:p w:rsidR="000A156F" w:rsidRDefault="00A9721F">
            <w:pPr>
              <w:pStyle w:val="TableBodyText"/>
            </w:pPr>
            <w:r>
              <w:t>The inside vertical border shall be a 3/4 pt single line.</w:t>
            </w:r>
          </w:p>
          <w:p w:rsidR="000A156F" w:rsidRDefault="00A9721F">
            <w:pPr>
              <w:pStyle w:val="TableBodyText"/>
            </w:pPr>
            <w:r>
              <w:t>The top</w:t>
            </w:r>
            <w:r>
              <w:t xml:space="preserve"> border color shall be dark gray (CCCCCC).</w:t>
            </w:r>
          </w:p>
          <w:p w:rsidR="000A156F" w:rsidRDefault="00A9721F">
            <w:pPr>
              <w:pStyle w:val="TableBodyText"/>
            </w:pPr>
            <w:r>
              <w:t>The left border color shall be dark gray (CCCCCC).</w:t>
            </w:r>
          </w:p>
          <w:p w:rsidR="000A156F" w:rsidRDefault="00A9721F">
            <w:pPr>
              <w:pStyle w:val="TableBodyText"/>
            </w:pPr>
            <w:r>
              <w:t>The bottom border color shall be dark gray (CCCCCC).</w:t>
            </w:r>
          </w:p>
          <w:p w:rsidR="000A156F" w:rsidRDefault="00A9721F">
            <w:pPr>
              <w:pStyle w:val="TableBodyText"/>
            </w:pPr>
            <w:r>
              <w:t>The right border color shall be dark gray (CCCCCC).</w:t>
            </w:r>
          </w:p>
          <w:p w:rsidR="000A156F" w:rsidRDefault="00A9721F">
            <w:pPr>
              <w:pStyle w:val="TableBodyText"/>
            </w:pPr>
            <w:r>
              <w:t>The inside vertical border color shall be light gray (C0C</w:t>
            </w:r>
            <w:r>
              <w:t>0C0).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Even columns of table data shall have the following properties:</w:t>
            </w:r>
          </w:p>
          <w:p w:rsidR="000A156F" w:rsidRDefault="00A9721F">
            <w:pPr>
              <w:pStyle w:val="TableBodyText"/>
            </w:pPr>
            <w:r>
              <w:t>The foreground shading color shall be dark gray (C0C0C0).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0A156F">
            <w:pPr>
              <w:pStyle w:val="TableBodyText"/>
            </w:pPr>
          </w:p>
          <w:p w:rsidR="000A156F" w:rsidRDefault="00A9721F">
            <w:pPr>
              <w:pStyle w:val="TableBodyText"/>
            </w:pPr>
            <w:r>
              <w:t>The h</w:t>
            </w:r>
            <w:r>
              <w:t>eader rows shall have the following properties:</w:t>
            </w:r>
          </w:p>
          <w:p w:rsidR="000A156F" w:rsidRDefault="00A9721F">
            <w:pPr>
              <w:pStyle w:val="TableBodyText"/>
            </w:pPr>
            <w:r>
              <w:t>The bottom border shall be a 3/4 pt single line.</w:t>
            </w:r>
          </w:p>
          <w:p w:rsidR="000A156F" w:rsidRDefault="00A9721F">
            <w:pPr>
              <w:pStyle w:val="TableBodyText"/>
            </w:pPr>
            <w:r>
              <w:t>The bottom border color shall be dark gray (CCCCCC).</w:t>
            </w:r>
          </w:p>
          <w:p w:rsidR="000A156F" w:rsidRDefault="00A9721F">
            <w:pPr>
              <w:pStyle w:val="TableBodyText"/>
            </w:pPr>
            <w:r>
              <w:t>The font shall be bold.</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w:t>
            </w:r>
            <w:r>
              <w:t>op border shall be a 3/4 pt single line.</w:t>
            </w:r>
          </w:p>
          <w:p w:rsidR="000A156F" w:rsidRDefault="00A9721F">
            <w:pPr>
              <w:pStyle w:val="TableBodyText"/>
            </w:pPr>
            <w:r>
              <w:t>The top border color shall be dark gray (CCCCCC).</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w:t>
            </w:r>
            <w:r>
              <w:t xml:space="preserve">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16 (Grid 1)</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3/4 pt single line.</w:t>
            </w:r>
          </w:p>
          <w:p w:rsidR="000A156F" w:rsidRDefault="00A9721F">
            <w:pPr>
              <w:pStyle w:val="TableBodyText"/>
            </w:pPr>
            <w:r>
              <w:t>The left border shall be a 3/4 pt single line.</w:t>
            </w:r>
          </w:p>
          <w:p w:rsidR="000A156F" w:rsidRDefault="00A9721F">
            <w:pPr>
              <w:pStyle w:val="TableBodyText"/>
            </w:pPr>
            <w:r>
              <w:t>The bottom border shall be a 3/4 pt single line.</w:t>
            </w:r>
          </w:p>
          <w:p w:rsidR="000A156F" w:rsidRDefault="00A9721F">
            <w:pPr>
              <w:pStyle w:val="TableBodyText"/>
            </w:pPr>
            <w:r>
              <w:t xml:space="preserve">The right border shall be a 3/4 pt </w:t>
            </w:r>
            <w:r>
              <w:t>single line.</w:t>
            </w:r>
          </w:p>
          <w:p w:rsidR="000A156F" w:rsidRDefault="00A9721F">
            <w:pPr>
              <w:pStyle w:val="TableBodyText"/>
            </w:pPr>
            <w:r>
              <w:t>The inside horizontal border shall be a 3/4 pt single line.</w:t>
            </w:r>
          </w:p>
          <w:p w:rsidR="000A156F" w:rsidRDefault="00A9721F">
            <w:pPr>
              <w:pStyle w:val="TableBodyText"/>
            </w:pPr>
            <w:r>
              <w:t>The inside vertical border shall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w:t>
            </w:r>
            <w:r>
              <w:t xml:space="preserve"> black (000000).</w:t>
            </w:r>
          </w:p>
          <w:p w:rsidR="000A156F" w:rsidRDefault="00A9721F">
            <w:pPr>
              <w:pStyle w:val="TableBodyText"/>
            </w:pPr>
            <w:r>
              <w:t>The right border color shall be black (000000).</w:t>
            </w:r>
          </w:p>
          <w:p w:rsidR="000A156F" w:rsidRDefault="00A9721F">
            <w:pPr>
              <w:pStyle w:val="TableBodyText"/>
            </w:pPr>
            <w:r>
              <w:lastRenderedPageBreak/>
              <w:t>The inside horizontal border color shall be black (000000).</w:t>
            </w:r>
          </w:p>
          <w:p w:rsidR="000A156F" w:rsidRDefault="00A9721F">
            <w:pPr>
              <w:pStyle w:val="TableBodyText"/>
            </w:pPr>
            <w:r>
              <w:t>The inside vertical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 xml:space="preserve">The last column shall have the </w:t>
            </w:r>
            <w:r>
              <w:t>following properties:</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font shall be italic.</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17 (Grid 2)</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inside horizontal border shall be a 3/4 pt single line.</w:t>
            </w:r>
          </w:p>
          <w:p w:rsidR="000A156F" w:rsidRDefault="00A9721F">
            <w:pPr>
              <w:pStyle w:val="TableBodyText"/>
            </w:pPr>
            <w:r>
              <w:t xml:space="preserve">The </w:t>
            </w:r>
            <w:r>
              <w:t>inside vertical border shall be a 3/4 pt single line.</w:t>
            </w:r>
          </w:p>
          <w:p w:rsidR="000A156F" w:rsidRDefault="00A9721F">
            <w:pPr>
              <w:pStyle w:val="TableBodyText"/>
            </w:pPr>
            <w:r>
              <w:t>The inside horizontal border color shall be black (000000).</w:t>
            </w:r>
          </w:p>
          <w:p w:rsidR="000A156F" w:rsidRDefault="00A9721F">
            <w:pPr>
              <w:pStyle w:val="TableBodyText"/>
            </w:pPr>
            <w:r>
              <w:t>The inside vertical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w:t>
            </w:r>
            <w:r>
              <w:t>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3/4 pt single line.</w:t>
            </w:r>
          </w:p>
          <w:p w:rsidR="000A156F" w:rsidRDefault="00A9721F">
            <w:pPr>
              <w:pStyle w:val="TableBodyText"/>
            </w:pPr>
            <w:r>
              <w:t>The top border color shall be black (000000).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w:t>
            </w:r>
            <w:r>
              <w:t xml:space="preserv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18 (Grid 3)</w:t>
            </w: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3/4 pt single line.</w:t>
            </w:r>
          </w:p>
          <w:p w:rsidR="000A156F" w:rsidRDefault="00A9721F">
            <w:pPr>
              <w:pStyle w:val="TableBodyText"/>
            </w:pPr>
            <w:r>
              <w:t>The left border shall be a 1 1/2 pt single line.</w:t>
            </w:r>
          </w:p>
          <w:p w:rsidR="000A156F" w:rsidRDefault="00A9721F">
            <w:pPr>
              <w:pStyle w:val="TableBodyText"/>
            </w:pPr>
            <w:r>
              <w:t>The bottom border shall be a 3/4 pt single line.</w:t>
            </w:r>
          </w:p>
          <w:p w:rsidR="000A156F" w:rsidRDefault="00A9721F">
            <w:pPr>
              <w:pStyle w:val="TableBodyText"/>
            </w:pPr>
            <w:r>
              <w:t>The right border shall be a 1 1/2 pt single line.</w:t>
            </w:r>
          </w:p>
          <w:p w:rsidR="000A156F" w:rsidRDefault="00A9721F">
            <w:pPr>
              <w:pStyle w:val="TableBodyText"/>
            </w:pPr>
            <w:r>
              <w:t>The inside vertical border shall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w:t>
            </w:r>
            <w:r>
              <w:t>ttom border color shall be black (000000).</w:t>
            </w:r>
          </w:p>
          <w:p w:rsidR="000A156F" w:rsidRDefault="00A9721F">
            <w:pPr>
              <w:pStyle w:val="TableBodyText"/>
            </w:pPr>
            <w:r>
              <w:t>The right border color shall be black (000000).</w:t>
            </w:r>
          </w:p>
          <w:p w:rsidR="000A156F" w:rsidRDefault="00A9721F">
            <w:pPr>
              <w:pStyle w:val="TableBodyText"/>
            </w:pPr>
            <w:r>
              <w:t>The inside vertical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w:t>
            </w:r>
            <w:r>
              <w:t>r shall be a 3/4 pt single line.</w:t>
            </w:r>
          </w:p>
          <w:p w:rsidR="000A156F" w:rsidRDefault="00A9721F">
            <w:pPr>
              <w:pStyle w:val="TableBodyText"/>
            </w:pPr>
            <w:r>
              <w:t>The bottom border color shall be black (000000).</w:t>
            </w:r>
          </w:p>
          <w:p w:rsidR="000A156F" w:rsidRDefault="00A9721F">
            <w:pPr>
              <w:pStyle w:val="TableBodyText"/>
            </w:pPr>
            <w:r>
              <w:lastRenderedPageBreak/>
              <w:t>The foreground shading color shall be yellow (FFFF00).</w:t>
            </w:r>
          </w:p>
          <w:p w:rsidR="000A156F" w:rsidRDefault="00A9721F">
            <w:pPr>
              <w:pStyle w:val="TableBodyText"/>
            </w:pPr>
            <w:r>
              <w:t>The background shading shall be white (FFFFFF).</w:t>
            </w:r>
          </w:p>
          <w:p w:rsidR="000A156F" w:rsidRDefault="00A9721F">
            <w:pPr>
              <w:pStyle w:val="TableBodyText"/>
            </w:pPr>
            <w:r>
              <w:t>The shading pattern shall be pct30.</w:t>
            </w:r>
          </w:p>
          <w:p w:rsidR="000A156F" w:rsidRDefault="000A156F">
            <w:pPr>
              <w:pStyle w:val="TableBodyText"/>
            </w:pPr>
          </w:p>
          <w:p w:rsidR="000A156F" w:rsidRDefault="00A9721F">
            <w:pPr>
              <w:pStyle w:val="TableBodyText"/>
            </w:pPr>
            <w:r>
              <w:t>The last row shall have the follow</w:t>
            </w:r>
            <w:r>
              <w:t>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19 (Grid 4)</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left border shall be a 1 1/2 pt single line.</w:t>
            </w:r>
          </w:p>
          <w:p w:rsidR="000A156F" w:rsidRDefault="00A9721F">
            <w:pPr>
              <w:pStyle w:val="TableBodyText"/>
            </w:pPr>
            <w:r>
              <w:t>The right border shall be a</w:t>
            </w:r>
            <w:r>
              <w:t xml:space="preserve"> 1 1/2 pt single line.</w:t>
            </w:r>
          </w:p>
          <w:p w:rsidR="000A156F" w:rsidRDefault="00A9721F">
            <w:pPr>
              <w:pStyle w:val="TableBodyText"/>
            </w:pPr>
            <w:r>
              <w:t>The inside horizontal border shall be a 3/4 pt single line.</w:t>
            </w:r>
          </w:p>
          <w:p w:rsidR="000A156F" w:rsidRDefault="00A9721F">
            <w:pPr>
              <w:pStyle w:val="TableBodyText"/>
            </w:pPr>
            <w:r>
              <w:t>The inside vertical border shall be a 3/4 pt single line.</w:t>
            </w:r>
          </w:p>
          <w:p w:rsidR="000A156F" w:rsidRDefault="00A9721F">
            <w:pPr>
              <w:pStyle w:val="TableBodyText"/>
            </w:pPr>
            <w:r>
              <w:t>The left border color shall be black (000000).</w:t>
            </w:r>
          </w:p>
          <w:p w:rsidR="000A156F" w:rsidRDefault="00A9721F">
            <w:pPr>
              <w:pStyle w:val="TableBodyText"/>
            </w:pPr>
            <w:r>
              <w:t>The right border color shall be black (000000).</w:t>
            </w:r>
          </w:p>
          <w:p w:rsidR="000A156F" w:rsidRDefault="00A9721F">
            <w:pPr>
              <w:pStyle w:val="TableBodyText"/>
            </w:pPr>
            <w:r>
              <w:t xml:space="preserve">The inside </w:t>
            </w:r>
            <w:r>
              <w:t>horizontal border color shall be black (000000).</w:t>
            </w:r>
          </w:p>
          <w:p w:rsidR="000A156F" w:rsidRDefault="00A9721F">
            <w:pPr>
              <w:pStyle w:val="TableBodyText"/>
            </w:pPr>
            <w:r>
              <w:t>The inside vertical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3/4 pt single line.</w:t>
            </w:r>
          </w:p>
          <w:p w:rsidR="000A156F" w:rsidRDefault="00A9721F">
            <w:pPr>
              <w:pStyle w:val="TableBodyText"/>
            </w:pPr>
            <w:r>
              <w:t>The botto</w:t>
            </w:r>
            <w:r>
              <w:t>m border color shall be black (000000).</w:t>
            </w:r>
          </w:p>
          <w:p w:rsidR="000A156F" w:rsidRDefault="00A9721F">
            <w:pPr>
              <w:pStyle w:val="TableBodyText"/>
            </w:pPr>
            <w:r>
              <w:t>The foreground shading color shall be yellow (FFFF00).</w:t>
            </w:r>
          </w:p>
          <w:p w:rsidR="000A156F" w:rsidRDefault="00A9721F">
            <w:pPr>
              <w:pStyle w:val="TableBodyText"/>
            </w:pPr>
            <w:r>
              <w:t>The background shading shall be white (FFFFFF).</w:t>
            </w:r>
          </w:p>
          <w:p w:rsidR="000A156F" w:rsidRDefault="00A9721F">
            <w:pPr>
              <w:pStyle w:val="TableBodyText"/>
            </w:pPr>
            <w:r>
              <w:t>The shading pattern shall be pct30.</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 xml:space="preserve">The top border shall be a </w:t>
            </w:r>
            <w:r>
              <w:t>3/4 pt single line.</w:t>
            </w:r>
          </w:p>
          <w:p w:rsidR="000A156F" w:rsidRDefault="00A9721F">
            <w:pPr>
              <w:pStyle w:val="TableBodyText"/>
            </w:pPr>
            <w:r>
              <w:t>The top border color shall be black (000000).</w:t>
            </w:r>
          </w:p>
          <w:p w:rsidR="000A156F" w:rsidRDefault="00A9721F">
            <w:pPr>
              <w:pStyle w:val="TableBodyText"/>
            </w:pPr>
            <w:r>
              <w:t>The foreground shading color shall be yellow (FFFF00).</w:t>
            </w:r>
          </w:p>
          <w:p w:rsidR="000A156F" w:rsidRDefault="00A9721F">
            <w:pPr>
              <w:pStyle w:val="TableBodyText"/>
            </w:pPr>
            <w:r>
              <w:t>The background shading shall be white (FFFFFF).</w:t>
            </w:r>
          </w:p>
          <w:p w:rsidR="000A156F" w:rsidRDefault="00A9721F">
            <w:pPr>
              <w:pStyle w:val="TableBodyText"/>
            </w:pPr>
            <w:r>
              <w:t>The shading pattern shall be pct30.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w:t>
            </w:r>
            <w:r>
              <w:t xml:space="preser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20 (Grid 5)</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1 1/2 pt single line.</w:t>
            </w:r>
          </w:p>
          <w:p w:rsidR="000A156F" w:rsidRDefault="00A9721F">
            <w:pPr>
              <w:pStyle w:val="TableBodyText"/>
            </w:pPr>
            <w:r>
              <w:t>The bottom border shall be a 1 1/2 pt single l</w:t>
            </w:r>
            <w:r>
              <w:t>ine.</w:t>
            </w:r>
          </w:p>
          <w:p w:rsidR="000A156F" w:rsidRDefault="00A9721F">
            <w:pPr>
              <w:pStyle w:val="TableBodyText"/>
            </w:pPr>
            <w:r>
              <w:t>The right border shall be a 1 1/2 pt single line.</w:t>
            </w:r>
          </w:p>
          <w:p w:rsidR="000A156F" w:rsidRDefault="00A9721F">
            <w:pPr>
              <w:pStyle w:val="TableBodyText"/>
            </w:pPr>
            <w:r>
              <w:t>The inside horizontal border shall be a 3/4 pt single line.</w:t>
            </w:r>
          </w:p>
          <w:p w:rsidR="000A156F" w:rsidRDefault="00A9721F">
            <w:pPr>
              <w:pStyle w:val="TableBodyText"/>
            </w:pPr>
            <w:r>
              <w:t>The inside vertical border shall be a 3/4 pt single line.</w:t>
            </w:r>
          </w:p>
          <w:p w:rsidR="000A156F" w:rsidRDefault="00A9721F">
            <w:pPr>
              <w:pStyle w:val="TableBodyText"/>
            </w:pPr>
            <w:r>
              <w:t>The top border color shall be black (000000).</w:t>
            </w:r>
          </w:p>
          <w:p w:rsidR="000A156F" w:rsidRDefault="00A9721F">
            <w:pPr>
              <w:pStyle w:val="TableBodyText"/>
            </w:pPr>
            <w:r>
              <w:lastRenderedPageBreak/>
              <w:t xml:space="preserve">The left border color shall be black </w:t>
            </w:r>
            <w:r>
              <w:t>(000000).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t>The inside horizontal border color shall be black (000000).</w:t>
            </w:r>
          </w:p>
          <w:p w:rsidR="000A156F" w:rsidRDefault="00A9721F">
            <w:pPr>
              <w:pStyle w:val="TableBodyText"/>
            </w:pPr>
            <w:r>
              <w:t>The inside vertical border color shall be black (000000).</w:t>
            </w:r>
          </w:p>
          <w:p w:rsidR="000A156F" w:rsidRDefault="00A9721F">
            <w:pPr>
              <w:pStyle w:val="TableBodyText"/>
            </w:pPr>
            <w:r>
              <w:t>The vertical alignment shall be</w:t>
            </w:r>
            <w:r>
              <w:t xml:space="preserv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1 1/2 pt single line.</w:t>
            </w:r>
          </w:p>
          <w:p w:rsidR="000A156F" w:rsidRDefault="00A9721F">
            <w:pPr>
              <w:pStyle w:val="TableBodyText"/>
            </w:pPr>
            <w:r>
              <w:t>The bottom border color shall be black (000000).</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w:t>
            </w:r>
            <w:r>
              <w:t>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header rows in the first column shall have the following properties:</w:t>
            </w:r>
          </w:p>
          <w:p w:rsidR="000A156F" w:rsidRDefault="00A9721F">
            <w:pPr>
              <w:pStyle w:val="TableBodyText"/>
            </w:pPr>
            <w:r>
              <w:t>The top left to bottom right border shall be a 3/4 pt single line.</w:t>
            </w:r>
          </w:p>
          <w:p w:rsidR="000A156F" w:rsidRDefault="00A9721F">
            <w:pPr>
              <w:pStyle w:val="TableBodyText"/>
            </w:pPr>
            <w:r>
              <w:t>The top left to bottom right border color shall be black (</w:t>
            </w:r>
            <w:r>
              <w:t>000000).</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21 (Grid 6)</w:t>
            </w: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1 1/2 pt single line.</w:t>
            </w:r>
          </w:p>
          <w:p w:rsidR="000A156F" w:rsidRDefault="00A9721F">
            <w:pPr>
              <w:pStyle w:val="TableBodyText"/>
            </w:pPr>
            <w:r>
              <w:t>The bottom border shall be a 1 1/2 pt single line.</w:t>
            </w:r>
          </w:p>
          <w:p w:rsidR="000A156F" w:rsidRDefault="00A9721F">
            <w:pPr>
              <w:pStyle w:val="TableBodyText"/>
            </w:pPr>
            <w:r>
              <w:t xml:space="preserve">The right border shall be a 1 1/2 pt </w:t>
            </w:r>
            <w:r>
              <w:t>single line.</w:t>
            </w:r>
          </w:p>
          <w:p w:rsidR="000A156F" w:rsidRDefault="00A9721F">
            <w:pPr>
              <w:pStyle w:val="TableBodyText"/>
            </w:pPr>
            <w:r>
              <w:t>The inside vertical border shall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 color shall be black (0000</w:t>
            </w:r>
            <w:r>
              <w:t>00).</w:t>
            </w:r>
          </w:p>
          <w:p w:rsidR="000A156F" w:rsidRDefault="00A9721F">
            <w:pPr>
              <w:pStyle w:val="TableBodyText"/>
            </w:pPr>
            <w:r>
              <w:t>The inside vertical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3/4 pt single line.</w:t>
            </w:r>
          </w:p>
          <w:p w:rsidR="000A156F" w:rsidRDefault="00A9721F">
            <w:pPr>
              <w:pStyle w:val="TableBodyText"/>
            </w:pPr>
            <w:r>
              <w:t>The bottom border color shall be black (000000).</w:t>
            </w:r>
          </w:p>
          <w:p w:rsidR="000A156F" w:rsidRDefault="00A9721F">
            <w:pPr>
              <w:pStyle w:val="TableBodyText"/>
            </w:pPr>
            <w:r>
              <w:t xml:space="preserve">The </w:t>
            </w:r>
            <w:r>
              <w:t>font shall be bold.</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3/4 pt single line.</w:t>
            </w:r>
          </w:p>
          <w:p w:rsidR="000A156F" w:rsidRDefault="00A9721F">
            <w:pPr>
              <w:pStyle w:val="TableBodyText"/>
            </w:pPr>
            <w:r>
              <w:t>The top border color shall be black (000000).</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header ro</w:t>
            </w:r>
            <w:r>
              <w:t>ws in the first column shall have the following properties:</w:t>
            </w:r>
          </w:p>
          <w:p w:rsidR="000A156F" w:rsidRDefault="00A9721F">
            <w:pPr>
              <w:pStyle w:val="TableBodyText"/>
            </w:pPr>
            <w:r>
              <w:lastRenderedPageBreak/>
              <w:t>The top left to bottom right border shall be a 3/4 pt single line.</w:t>
            </w:r>
          </w:p>
          <w:p w:rsidR="000A156F" w:rsidRDefault="00A9721F">
            <w:pPr>
              <w:pStyle w:val="TableBodyText"/>
            </w:pPr>
            <w:r>
              <w:t>The top left to bottom right border color shall be black (000000).</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22 (Grid 7)</w:t>
            </w: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1 1/2 pt single line.</w:t>
            </w:r>
          </w:p>
          <w:p w:rsidR="000A156F" w:rsidRDefault="00A9721F">
            <w:pPr>
              <w:pStyle w:val="TableBodyText"/>
            </w:pPr>
            <w:r>
              <w:t>The bottom border shall be a 1 1/2 pt single line.</w:t>
            </w:r>
          </w:p>
          <w:p w:rsidR="000A156F" w:rsidRDefault="00A9721F">
            <w:pPr>
              <w:pStyle w:val="TableBodyText"/>
            </w:pPr>
            <w:r>
              <w:t>The right border shall be a 1 1/2 pt single line.</w:t>
            </w:r>
          </w:p>
          <w:p w:rsidR="000A156F" w:rsidRDefault="00A9721F">
            <w:pPr>
              <w:pStyle w:val="TableBodyText"/>
            </w:pPr>
            <w:r>
              <w:t>The inside horizontal border shall be a 3/4 pt single line</w:t>
            </w:r>
            <w:r>
              <w:t>.</w:t>
            </w:r>
          </w:p>
          <w:p w:rsidR="000A156F" w:rsidRDefault="00A9721F">
            <w:pPr>
              <w:pStyle w:val="TableBodyText"/>
            </w:pPr>
            <w:r>
              <w:t>The inside vertical border shall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t>The in</w:t>
            </w:r>
            <w:r>
              <w:t>side horizontal border color shall be black (000000).</w:t>
            </w:r>
          </w:p>
          <w:p w:rsidR="000A156F" w:rsidRDefault="00A9721F">
            <w:pPr>
              <w:pStyle w:val="TableBodyText"/>
            </w:pPr>
            <w:r>
              <w:t>The inside vertical border color shall be black (000000).</w:t>
            </w:r>
          </w:p>
          <w:p w:rsidR="000A156F" w:rsidRDefault="00A9721F">
            <w:pPr>
              <w:pStyle w:val="TableBodyText"/>
            </w:pPr>
            <w:r>
              <w:t>The font shall be bold.</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 xml:space="preserve">The bottom border shall be a </w:t>
            </w:r>
            <w:r>
              <w:t>1 1/2 pt single line.</w:t>
            </w:r>
          </w:p>
          <w:p w:rsidR="000A156F" w:rsidRDefault="00A9721F">
            <w:pPr>
              <w:pStyle w:val="TableBodyText"/>
            </w:pPr>
            <w:r>
              <w:t>The bottom border color shall be black (000000).</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3/4 pt single line.</w:t>
            </w:r>
          </w:p>
          <w:p w:rsidR="000A156F" w:rsidRDefault="00A9721F">
            <w:pPr>
              <w:pStyle w:val="TableBodyText"/>
            </w:pPr>
            <w:r>
              <w:t>The top border color shall be black (000000).</w:t>
            </w:r>
          </w:p>
          <w:p w:rsidR="000A156F" w:rsidRDefault="00A9721F">
            <w:pPr>
              <w:pStyle w:val="TableBodyText"/>
            </w:pPr>
            <w:r>
              <w:t>The font shall</w:t>
            </w:r>
            <w:r>
              <w:t xml:space="preserve"> not be bold.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 not be bold.</w:t>
            </w:r>
          </w:p>
          <w:p w:rsidR="000A156F" w:rsidRDefault="000A156F">
            <w:pPr>
              <w:pStyle w:val="TableBodyText"/>
            </w:pPr>
          </w:p>
          <w:p w:rsidR="000A156F" w:rsidRDefault="00A9721F">
            <w:pPr>
              <w:pStyle w:val="TableBodyText"/>
            </w:pPr>
            <w:r>
              <w:t>The header rows in the first column shall have the following properties:</w:t>
            </w:r>
          </w:p>
          <w:p w:rsidR="000A156F" w:rsidRDefault="00A9721F">
            <w:pPr>
              <w:pStyle w:val="TableBodyText"/>
            </w:pPr>
            <w:r>
              <w:t>The</w:t>
            </w:r>
            <w:r>
              <w:t xml:space="preserve"> top left to bottom right border shall be a 3/4 pt single line.</w:t>
            </w:r>
          </w:p>
          <w:p w:rsidR="000A156F" w:rsidRDefault="00A9721F">
            <w:pPr>
              <w:pStyle w:val="TableBodyText"/>
            </w:pPr>
            <w:r>
              <w:t>The top left to bottom right border color shall be black (000000).</w:t>
            </w:r>
          </w:p>
          <w:p w:rsidR="000A156F" w:rsidRDefault="000A156F">
            <w:pPr>
              <w:pStyle w:val="TableBodyText"/>
            </w:pPr>
          </w:p>
        </w:tc>
      </w:tr>
      <w:tr w:rsidR="000A156F" w:rsidTr="000A156F">
        <w:tc>
          <w:tcPr>
            <w:tcW w:w="0" w:type="auto"/>
            <w:vAlign w:val="center"/>
          </w:tcPr>
          <w:p w:rsidR="000A156F" w:rsidRDefault="00A9721F">
            <w:pPr>
              <w:pStyle w:val="TableBodyText"/>
            </w:pPr>
            <w:r>
              <w:t>23 (Grid 8)</w:t>
            </w: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3/4 pt single line.</w:t>
            </w:r>
          </w:p>
          <w:p w:rsidR="000A156F" w:rsidRDefault="00A9721F">
            <w:pPr>
              <w:pStyle w:val="TableBodyText"/>
            </w:pPr>
            <w:r>
              <w:t>The left border sh</w:t>
            </w:r>
            <w:r>
              <w:t>all be a 3/4 pt single line.</w:t>
            </w:r>
          </w:p>
          <w:p w:rsidR="000A156F" w:rsidRDefault="00A9721F">
            <w:pPr>
              <w:pStyle w:val="TableBodyText"/>
            </w:pPr>
            <w:r>
              <w:t>The bottom border shall be a 3/4 pt single line.</w:t>
            </w:r>
          </w:p>
          <w:p w:rsidR="000A156F" w:rsidRDefault="00A9721F">
            <w:pPr>
              <w:pStyle w:val="TableBodyText"/>
            </w:pPr>
            <w:r>
              <w:t>The right border shall be a 3/4 pt single line.</w:t>
            </w:r>
          </w:p>
          <w:p w:rsidR="000A156F" w:rsidRDefault="00A9721F">
            <w:pPr>
              <w:pStyle w:val="TableBodyText"/>
            </w:pPr>
            <w:r>
              <w:t>The inside horizontal border shall be a 3/4 pt single line.</w:t>
            </w:r>
          </w:p>
          <w:p w:rsidR="000A156F" w:rsidRDefault="00A9721F">
            <w:pPr>
              <w:pStyle w:val="TableBodyText"/>
            </w:pPr>
            <w:r>
              <w:t>The inside vertical border shall be a 3/4 pt single line.</w:t>
            </w:r>
          </w:p>
          <w:p w:rsidR="000A156F" w:rsidRDefault="00A9721F">
            <w:pPr>
              <w:pStyle w:val="TableBodyText"/>
            </w:pPr>
            <w:r>
              <w:t>The top bord</w:t>
            </w:r>
            <w:r>
              <w:t>er color shall be dark blue (0000CC).</w:t>
            </w:r>
          </w:p>
          <w:p w:rsidR="000A156F" w:rsidRDefault="00A9721F">
            <w:pPr>
              <w:pStyle w:val="TableBodyText"/>
            </w:pPr>
            <w:r>
              <w:lastRenderedPageBreak/>
              <w:t>The left border color shall be dark blue (0000CC).</w:t>
            </w:r>
          </w:p>
          <w:p w:rsidR="000A156F" w:rsidRDefault="00A9721F">
            <w:pPr>
              <w:pStyle w:val="TableBodyText"/>
            </w:pPr>
            <w:r>
              <w:t>The bottom border color shall be dark blue (0000CC).</w:t>
            </w:r>
          </w:p>
          <w:p w:rsidR="000A156F" w:rsidRDefault="00A9721F">
            <w:pPr>
              <w:pStyle w:val="TableBodyText"/>
            </w:pPr>
            <w:r>
              <w:t>The right border color shall be dark blue (0000CC).</w:t>
            </w:r>
          </w:p>
          <w:p w:rsidR="000A156F" w:rsidRDefault="00A9721F">
            <w:pPr>
              <w:pStyle w:val="TableBodyText"/>
            </w:pPr>
            <w:r>
              <w:t xml:space="preserve">The inside horizontal border color shall be dark blue </w:t>
            </w:r>
            <w:r>
              <w:t>(0000CC).</w:t>
            </w:r>
          </w:p>
          <w:p w:rsidR="000A156F" w:rsidRDefault="00A9721F">
            <w:pPr>
              <w:pStyle w:val="TableBodyText"/>
            </w:pPr>
            <w:r>
              <w:t>The inside vertical border color shall be dark blue (0000CC).</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foreground shading color shall be dark blue (0000CC).</w:t>
            </w:r>
          </w:p>
          <w:p w:rsidR="000A156F" w:rsidRDefault="00A9721F">
            <w:pPr>
              <w:pStyle w:val="TableBodyText"/>
            </w:pPr>
            <w:r>
              <w:t>The background shading shall be whi</w:t>
            </w:r>
            <w:r>
              <w:t>te (FFFFFF).</w:t>
            </w:r>
          </w:p>
          <w:p w:rsidR="000A156F" w:rsidRDefault="00A9721F">
            <w:pPr>
              <w:pStyle w:val="TableBodyText"/>
            </w:pPr>
            <w:r>
              <w:t>The shading pattern shall be solid.</w:t>
            </w:r>
          </w:p>
          <w:p w:rsidR="000A156F" w:rsidRDefault="00A9721F">
            <w:pPr>
              <w:pStyle w:val="TableBodyText"/>
            </w:pPr>
            <w:r>
              <w:t>The font color shall be white (FFFFFF).</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w:t>
            </w:r>
            <w:r>
              <w:t xml:space="preserve">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24 (List 1)</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3/4 pt single line.</w:t>
            </w:r>
          </w:p>
          <w:p w:rsidR="000A156F" w:rsidRDefault="00A9721F">
            <w:pPr>
              <w:pStyle w:val="TableBodyText"/>
            </w:pPr>
            <w:r>
              <w:t>The bottom border shall be a 1 1/2 pt single line.</w:t>
            </w:r>
          </w:p>
          <w:p w:rsidR="000A156F" w:rsidRDefault="00A9721F">
            <w:pPr>
              <w:pStyle w:val="TableBodyText"/>
            </w:pPr>
            <w:r>
              <w:t xml:space="preserve">The right border shall be a 3/4 pt </w:t>
            </w:r>
            <w:r>
              <w:t>single line.</w:t>
            </w:r>
          </w:p>
          <w:p w:rsidR="000A156F" w:rsidRDefault="00A9721F">
            <w:pPr>
              <w:pStyle w:val="TableBodyText"/>
            </w:pPr>
            <w:r>
              <w:t>The top border color shall be dark cyan (00CCCC).</w:t>
            </w:r>
          </w:p>
          <w:p w:rsidR="000A156F" w:rsidRDefault="00A9721F">
            <w:pPr>
              <w:pStyle w:val="TableBodyText"/>
            </w:pPr>
            <w:r>
              <w:t>The left border color shall be dark cyan (00CCCC).</w:t>
            </w:r>
          </w:p>
          <w:p w:rsidR="000A156F" w:rsidRDefault="00A9721F">
            <w:pPr>
              <w:pStyle w:val="TableBodyText"/>
            </w:pPr>
            <w:r>
              <w:t>The bottom border color shall be dark cyan (00CCCC).</w:t>
            </w:r>
          </w:p>
          <w:p w:rsidR="000A156F" w:rsidRDefault="00A9721F">
            <w:pPr>
              <w:pStyle w:val="TableBodyText"/>
            </w:pPr>
            <w:r>
              <w:t>The right border color shall be dark cyan (00CCCC).</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Even rows of table data shall have the following properties:</w:t>
            </w:r>
          </w:p>
          <w:p w:rsidR="000A156F" w:rsidRDefault="00A9721F">
            <w:pPr>
              <w:pStyle w:val="TableBodyText"/>
            </w:pPr>
            <w:r>
              <w:t>The foreground shading color shall be dark gray (C0C0C0).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0A156F">
            <w:pPr>
              <w:pStyle w:val="TableBodyText"/>
            </w:pPr>
          </w:p>
          <w:p w:rsidR="000A156F" w:rsidRDefault="00A9721F">
            <w:pPr>
              <w:pStyle w:val="TableBodyText"/>
            </w:pPr>
            <w:r>
              <w:t>The header rows shall have the following properties</w:t>
            </w:r>
            <w:r>
              <w:t>:</w:t>
            </w:r>
          </w:p>
          <w:p w:rsidR="000A156F" w:rsidRDefault="00A9721F">
            <w:pPr>
              <w:pStyle w:val="TableBodyText"/>
            </w:pPr>
            <w:r>
              <w:t>The bottom border shall be a 3/4 pt single line.</w:t>
            </w:r>
          </w:p>
          <w:p w:rsidR="000A156F" w:rsidRDefault="00A9721F">
            <w:pPr>
              <w:pStyle w:val="TableBodyText"/>
            </w:pPr>
            <w:r>
              <w:t>The bottom border color shall be black (000000).</w:t>
            </w:r>
          </w:p>
          <w:p w:rsidR="000A156F" w:rsidRDefault="00A9721F">
            <w:pPr>
              <w:pStyle w:val="TableBodyText"/>
            </w:pPr>
            <w:r>
              <w:t>The foreground shading color shall be dark gray (C0C0C0).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w:t>
            </w:r>
            <w:r>
              <w:t xml:space="preserve"> shall be dark red (CC0000).</w:t>
            </w:r>
          </w:p>
          <w:p w:rsidR="000A156F" w:rsidRDefault="00A9721F">
            <w:pPr>
              <w:pStyle w:val="TableBodyText"/>
            </w:pPr>
            <w:r>
              <w:t>The font shall be bold.</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lastRenderedPageBreak/>
              <w:t>The top border shall be a 3/4 pt single line.</w:t>
            </w:r>
          </w:p>
          <w:p w:rsidR="000A156F" w:rsidRDefault="00A9721F">
            <w:pPr>
              <w:pStyle w:val="TableBodyText"/>
            </w:pPr>
            <w:r>
              <w:t>The top border color shall be black (000000).</w:t>
            </w:r>
          </w:p>
          <w:p w:rsidR="000A156F" w:rsidRDefault="00A9721F">
            <w:pPr>
              <w:pStyle w:val="TableBodyText"/>
            </w:pPr>
            <w:r>
              <w:t xml:space="preserve">The shading pattern shall be </w:t>
            </w:r>
            <w:r>
              <w:t>clear.</w:t>
            </w:r>
          </w:p>
          <w:p w:rsidR="000A156F" w:rsidRDefault="000A156F">
            <w:pPr>
              <w:pStyle w:val="TableBodyText"/>
            </w:pPr>
          </w:p>
          <w:p w:rsidR="000A156F" w:rsidRDefault="00A9721F">
            <w:pPr>
              <w:pStyle w:val="TableBodyText"/>
            </w:pPr>
            <w:r>
              <w:t>The first column of the last row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25 (List 2)</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bottom border shall be a 1 1/2 pt single line.</w:t>
            </w:r>
          </w:p>
          <w:p w:rsidR="000A156F" w:rsidRDefault="00A9721F">
            <w:pPr>
              <w:pStyle w:val="TableBodyText"/>
            </w:pPr>
            <w:r>
              <w:t>The bottom border color shall be dark gra</w:t>
            </w:r>
            <w:r>
              <w:t>y (CCCCCC).</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Double banded even rows of table data shall have the following properties:</w:t>
            </w:r>
          </w:p>
          <w:p w:rsidR="000A156F" w:rsidRDefault="00A9721F">
            <w:pPr>
              <w:pStyle w:val="TableBodyText"/>
            </w:pPr>
            <w:r>
              <w:t>The foreground shading color shall be green (00FF00).</w:t>
            </w:r>
          </w:p>
          <w:p w:rsidR="000A156F" w:rsidRDefault="00A9721F">
            <w:pPr>
              <w:pStyle w:val="TableBodyText"/>
            </w:pPr>
            <w:r>
              <w:t>The background shading shall be white (FFFFFF).</w:t>
            </w:r>
          </w:p>
          <w:p w:rsidR="000A156F" w:rsidRDefault="00A9721F">
            <w:pPr>
              <w:pStyle w:val="TableBodyText"/>
            </w:pPr>
            <w:r>
              <w:t xml:space="preserve">The shading pattern shall be </w:t>
            </w:r>
            <w:r>
              <w:t>pct20.</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3/4 pt single line.</w:t>
            </w:r>
          </w:p>
          <w:p w:rsidR="000A156F" w:rsidRDefault="00A9721F">
            <w:pPr>
              <w:pStyle w:val="TableBodyText"/>
            </w:pPr>
            <w:r>
              <w:t>The bottom border color shall be black (000000).</w:t>
            </w:r>
          </w:p>
          <w:p w:rsidR="000A156F" w:rsidRDefault="00A9721F">
            <w:pPr>
              <w:pStyle w:val="TableBodyText"/>
            </w:pPr>
            <w:r>
              <w:t>The foreground shading color shall be dark cyan (00CCCC).</w:t>
            </w:r>
          </w:p>
          <w:p w:rsidR="000A156F" w:rsidRDefault="00A9721F">
            <w:pPr>
              <w:pStyle w:val="TableBodyText"/>
            </w:pPr>
            <w:r>
              <w:t>The background shading shall be dark gr</w:t>
            </w:r>
            <w:r>
              <w:t>een (00CC00).</w:t>
            </w:r>
          </w:p>
          <w:p w:rsidR="000A156F" w:rsidRDefault="00A9721F">
            <w:pPr>
              <w:pStyle w:val="TableBodyText"/>
            </w:pPr>
            <w:r>
              <w:t>The shading pattern shall be pct75.</w:t>
            </w:r>
          </w:p>
          <w:p w:rsidR="000A156F" w:rsidRDefault="00A9721F">
            <w:pPr>
              <w:pStyle w:val="TableBodyText"/>
            </w:pPr>
            <w:r>
              <w:t>The font color shall be white (FFFFFF).</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3/4 pt single line.</w:t>
            </w:r>
          </w:p>
          <w:p w:rsidR="000A156F" w:rsidRDefault="00A9721F">
            <w:pPr>
              <w:pStyle w:val="TableBodyText"/>
            </w:pPr>
            <w:r>
              <w:t>The top border color shall be black (000000).</w:t>
            </w:r>
          </w:p>
          <w:p w:rsidR="000A156F" w:rsidRDefault="00A9721F">
            <w:pPr>
              <w:pStyle w:val="TableBodyText"/>
            </w:pPr>
            <w:r>
              <w:t>The shading pattern shall be clear.</w:t>
            </w:r>
          </w:p>
          <w:p w:rsidR="000A156F" w:rsidRDefault="000A156F">
            <w:pPr>
              <w:pStyle w:val="TableBodyText"/>
            </w:pPr>
          </w:p>
          <w:p w:rsidR="000A156F" w:rsidRDefault="00A9721F">
            <w:pPr>
              <w:pStyle w:val="TableBodyText"/>
            </w:pPr>
            <w:r>
              <w:t>The first column of the last row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26 (List 3)</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bottom bor</w:t>
            </w:r>
            <w:r>
              <w:t>der shall be a 1 1/2 pt single line.</w:t>
            </w:r>
          </w:p>
          <w:p w:rsidR="000A156F" w:rsidRDefault="00A9721F">
            <w:pPr>
              <w:pStyle w:val="TableBodyText"/>
            </w:pPr>
            <w:r>
              <w:t>The top border color shall be black (000000).</w:t>
            </w:r>
          </w:p>
          <w:p w:rsidR="000A156F" w:rsidRDefault="00A9721F">
            <w:pPr>
              <w:pStyle w:val="TableBodyText"/>
            </w:pPr>
            <w:r>
              <w:t>The bottom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table data shall have the following properties:</w:t>
            </w:r>
          </w:p>
          <w:p w:rsidR="000A156F" w:rsidRDefault="00A9721F">
            <w:pPr>
              <w:pStyle w:val="TableBodyText"/>
            </w:pPr>
            <w:r>
              <w:t>The inside horizontal border shall</w:t>
            </w:r>
            <w:r>
              <w:t xml:space="preserve"> be a 3/4 pt single line.</w:t>
            </w:r>
          </w:p>
          <w:p w:rsidR="000A156F" w:rsidRDefault="00A9721F">
            <w:pPr>
              <w:pStyle w:val="TableBodyText"/>
            </w:pPr>
            <w:r>
              <w:t>The inside horizontal border color shall be black (000000).</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1 1/2 pt single line.</w:t>
            </w:r>
          </w:p>
          <w:p w:rsidR="000A156F" w:rsidRDefault="00A9721F">
            <w:pPr>
              <w:pStyle w:val="TableBodyText"/>
            </w:pPr>
            <w:r>
              <w:lastRenderedPageBreak/>
              <w:t>The bottom border color shall be black (000000).</w:t>
            </w:r>
          </w:p>
          <w:p w:rsidR="000A156F" w:rsidRDefault="00A9721F">
            <w:pPr>
              <w:pStyle w:val="TableBodyText"/>
            </w:pPr>
            <w:r>
              <w:t xml:space="preserve">The font color </w:t>
            </w:r>
            <w:r>
              <w:t>shall be dark blue (0000CC).</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1 1/2 pt single line.</w:t>
            </w:r>
          </w:p>
          <w:p w:rsidR="000A156F" w:rsidRDefault="00A9721F">
            <w:pPr>
              <w:pStyle w:val="TableBodyText"/>
            </w:pPr>
            <w:r>
              <w:t>The top border color shall be black (000000).</w:t>
            </w:r>
          </w:p>
          <w:p w:rsidR="000A156F" w:rsidRDefault="000A156F">
            <w:pPr>
              <w:pStyle w:val="TableBodyText"/>
            </w:pPr>
          </w:p>
          <w:p w:rsidR="000A156F" w:rsidRDefault="00A9721F">
            <w:pPr>
              <w:pStyle w:val="TableBodyText"/>
            </w:pPr>
            <w:r>
              <w:t>The first column of the last row shall have the following</w:t>
            </w:r>
            <w:r>
              <w:t xml:space="preserve"> properties:</w:t>
            </w:r>
          </w:p>
          <w:p w:rsidR="000A156F" w:rsidRDefault="00A9721F">
            <w:pPr>
              <w:pStyle w:val="TableBodyText"/>
            </w:pPr>
            <w:r>
              <w:t>The font color shall be dark blue (0000CC).</w:t>
            </w:r>
          </w:p>
          <w:p w:rsidR="000A156F" w:rsidRDefault="00A9721F">
            <w:pPr>
              <w:pStyle w:val="TableBodyText"/>
            </w:pPr>
            <w:r>
              <w:t>The font shall be italic.</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27 (List 4)</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1 1/2 pt single line.</w:t>
            </w:r>
          </w:p>
          <w:p w:rsidR="000A156F" w:rsidRDefault="00A9721F">
            <w:pPr>
              <w:pStyle w:val="TableBodyText"/>
            </w:pPr>
            <w:r>
              <w:t xml:space="preserve">The bottom </w:t>
            </w:r>
            <w:r>
              <w:t>border shall be a 1 1/2 pt single line.</w:t>
            </w:r>
          </w:p>
          <w:p w:rsidR="000A156F" w:rsidRDefault="00A9721F">
            <w:pPr>
              <w:pStyle w:val="TableBodyText"/>
            </w:pPr>
            <w:r>
              <w:t>The right border shall be a 1 1/2 pt single line.</w:t>
            </w:r>
          </w:p>
          <w:p w:rsidR="000A156F" w:rsidRDefault="00A9721F">
            <w:pPr>
              <w:pStyle w:val="TableBodyText"/>
            </w:pPr>
            <w:r>
              <w:t>The inside horizontal border shall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 xml:space="preserve">The bottom </w:t>
            </w:r>
            <w:r>
              <w:t>border color shall be black (000000).</w:t>
            </w:r>
          </w:p>
          <w:p w:rsidR="000A156F" w:rsidRDefault="00A9721F">
            <w:pPr>
              <w:pStyle w:val="TableBodyText"/>
            </w:pPr>
            <w:r>
              <w:t>The right border color shall be black (000000).</w:t>
            </w:r>
          </w:p>
          <w:p w:rsidR="000A156F" w:rsidRDefault="00A9721F">
            <w:pPr>
              <w:pStyle w:val="TableBodyText"/>
            </w:pPr>
            <w:r>
              <w:t>The inside horizontal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w:t>
            </w:r>
            <w:r>
              <w:t>hall be a 1 1/2 pt single line.</w:t>
            </w:r>
          </w:p>
          <w:p w:rsidR="000A156F" w:rsidRDefault="00A9721F">
            <w:pPr>
              <w:pStyle w:val="TableBodyText"/>
            </w:pPr>
            <w:r>
              <w:t>The bottom border color shall be black (000000).</w:t>
            </w:r>
          </w:p>
          <w:p w:rsidR="000A156F" w:rsidRDefault="00A9721F">
            <w:pPr>
              <w:pStyle w:val="TableBodyText"/>
            </w:pPr>
            <w:r>
              <w:t>The foreground shading color shall be dark gray (CCCCCC).</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 shall be white (FF</w:t>
            </w:r>
            <w:r>
              <w:t>FFFF).</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28 (List 5)</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3/4 pt single line.</w:t>
            </w:r>
          </w:p>
          <w:p w:rsidR="000A156F" w:rsidRDefault="00A9721F">
            <w:pPr>
              <w:pStyle w:val="TableBodyText"/>
            </w:pPr>
            <w:r>
              <w:t>The left border shall be a 3/4 pt single line.</w:t>
            </w:r>
          </w:p>
          <w:p w:rsidR="000A156F" w:rsidRDefault="00A9721F">
            <w:pPr>
              <w:pStyle w:val="TableBodyText"/>
            </w:pPr>
            <w:r>
              <w:t>The bottom border shall be a 3/4 pt single line.</w:t>
            </w:r>
          </w:p>
          <w:p w:rsidR="000A156F" w:rsidRDefault="00A9721F">
            <w:pPr>
              <w:pStyle w:val="TableBodyText"/>
            </w:pPr>
            <w:r>
              <w:t>The right border shal</w:t>
            </w:r>
            <w:r>
              <w:t>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table data shall have the following properties:</w:t>
            </w:r>
          </w:p>
          <w:p w:rsidR="000A156F" w:rsidRDefault="00A9721F">
            <w:pPr>
              <w:pStyle w:val="TableBodyText"/>
            </w:pPr>
            <w:r>
              <w:t>The inside horizontal border shall be a 3/4 pt single line.</w:t>
            </w:r>
          </w:p>
          <w:p w:rsidR="000A156F" w:rsidRDefault="00A9721F">
            <w:pPr>
              <w:pStyle w:val="TableBodyText"/>
            </w:pPr>
            <w:r>
              <w:lastRenderedPageBreak/>
              <w:t>The inside horizontal border color shall be black (000000).</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1</w:t>
            </w:r>
            <w:r>
              <w:t xml:space="preserve"> 1/2 pt single line.</w:t>
            </w:r>
          </w:p>
          <w:p w:rsidR="000A156F" w:rsidRDefault="00A9721F">
            <w:pPr>
              <w:pStyle w:val="TableBodyText"/>
            </w:pPr>
            <w:r>
              <w:t>The bottom border color shall be black (000000).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29 (List 6)</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 xml:space="preserve">The top border shall </w:t>
            </w:r>
            <w:r>
              <w:t>be a 3/4 pt single line.</w:t>
            </w:r>
          </w:p>
          <w:p w:rsidR="000A156F" w:rsidRDefault="00A9721F">
            <w:pPr>
              <w:pStyle w:val="TableBodyText"/>
            </w:pPr>
            <w:r>
              <w:t>The left border shall be a 3/4 pt single line.</w:t>
            </w:r>
          </w:p>
          <w:p w:rsidR="000A156F" w:rsidRDefault="00A9721F">
            <w:pPr>
              <w:pStyle w:val="TableBodyText"/>
            </w:pPr>
            <w:r>
              <w:t>The bottom border shall be a 3/4 pt single line.</w:t>
            </w:r>
          </w:p>
          <w:p w:rsidR="000A156F" w:rsidRDefault="00A9721F">
            <w:pPr>
              <w:pStyle w:val="TableBodyText"/>
            </w:pPr>
            <w:r>
              <w:t>The right border shall be a 3/4 pt single line.</w:t>
            </w:r>
          </w:p>
          <w:p w:rsidR="000A156F" w:rsidRDefault="00A9721F">
            <w:pPr>
              <w:pStyle w:val="TableBodyText"/>
            </w:pPr>
            <w:r>
              <w:t>The top border color shall be black (000000).</w:t>
            </w:r>
          </w:p>
          <w:p w:rsidR="000A156F" w:rsidRDefault="00A9721F">
            <w:pPr>
              <w:pStyle w:val="TableBodyText"/>
            </w:pPr>
            <w:r>
              <w:t xml:space="preserve">The left border color shall be black </w:t>
            </w:r>
            <w:r>
              <w:t>(000000).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pct50.</w:t>
            </w:r>
          </w:p>
          <w:p w:rsidR="000A156F" w:rsidRDefault="00A9721F">
            <w:pPr>
              <w:pStyle w:val="TableBodyText"/>
            </w:pPr>
            <w:r>
              <w:t xml:space="preserve">The </w:t>
            </w:r>
            <w:r>
              <w:t>vertical alignment shall be top.</w:t>
            </w:r>
          </w:p>
          <w:p w:rsidR="000A156F" w:rsidRDefault="000A156F">
            <w:pPr>
              <w:pStyle w:val="TableBodyText"/>
            </w:pPr>
          </w:p>
          <w:p w:rsidR="000A156F" w:rsidRDefault="00A9721F">
            <w:pPr>
              <w:pStyle w:val="TableBodyText"/>
            </w:pPr>
            <w:r>
              <w:t>Even rows of table data shall have the following properties:</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0A156F">
            <w:pPr>
              <w:pStyle w:val="TableBodyText"/>
            </w:pPr>
          </w:p>
          <w:p w:rsidR="000A156F" w:rsidRDefault="00A9721F">
            <w:pPr>
              <w:pStyle w:val="TableBodyText"/>
            </w:pPr>
            <w:r>
              <w:t xml:space="preserve">The header rows shall </w:t>
            </w:r>
            <w:r>
              <w:t>have the following properties:</w:t>
            </w:r>
          </w:p>
          <w:p w:rsidR="000A156F" w:rsidRDefault="00A9721F">
            <w:pPr>
              <w:pStyle w:val="TableBodyText"/>
            </w:pPr>
            <w:r>
              <w:t>The bottom border shall be a 1 1/2 pt single line.</w:t>
            </w:r>
          </w:p>
          <w:p w:rsidR="000A156F" w:rsidRDefault="00A9721F">
            <w:pPr>
              <w:pStyle w:val="TableBodyText"/>
            </w:pPr>
            <w:r>
              <w:t>The bottom border color shall be black (000000).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right border shall be a 1 1/2 pt single li</w:t>
            </w:r>
            <w:r>
              <w:t>ne.</w:t>
            </w:r>
          </w:p>
          <w:p w:rsidR="000A156F" w:rsidRDefault="00A9721F">
            <w:pPr>
              <w:pStyle w:val="TableBodyText"/>
            </w:pPr>
            <w:r>
              <w:t>The right border color shall be black (000000).</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30 (List 7)</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1 1/2 pt single line.</w:t>
            </w:r>
          </w:p>
          <w:p w:rsidR="000A156F" w:rsidRDefault="00A9721F">
            <w:pPr>
              <w:pStyle w:val="TableBodyText"/>
            </w:pPr>
            <w:r>
              <w:t>The left border shall be a 3/4 pt single line.</w:t>
            </w:r>
          </w:p>
          <w:p w:rsidR="000A156F" w:rsidRDefault="00A9721F">
            <w:pPr>
              <w:pStyle w:val="TableBodyText"/>
            </w:pPr>
            <w:r>
              <w:t>The bottom border shall</w:t>
            </w:r>
            <w:r>
              <w:t xml:space="preserve"> be a 1 1/2 pt single line.</w:t>
            </w:r>
          </w:p>
          <w:p w:rsidR="000A156F" w:rsidRDefault="00A9721F">
            <w:pPr>
              <w:pStyle w:val="TableBodyText"/>
            </w:pPr>
            <w:r>
              <w:t>The right border shall be a 3/4 pt single line.</w:t>
            </w:r>
          </w:p>
          <w:p w:rsidR="000A156F" w:rsidRDefault="00A9721F">
            <w:pPr>
              <w:pStyle w:val="TableBodyText"/>
            </w:pPr>
            <w:r>
              <w:t>The inside horizontal border shall be a 3/4 pt single line.</w:t>
            </w:r>
          </w:p>
          <w:p w:rsidR="000A156F" w:rsidRDefault="00A9721F">
            <w:pPr>
              <w:pStyle w:val="TableBodyText"/>
            </w:pPr>
            <w:r>
              <w:t>The top border color shall be dark green (00CC00).</w:t>
            </w:r>
          </w:p>
          <w:p w:rsidR="000A156F" w:rsidRDefault="00A9721F">
            <w:pPr>
              <w:pStyle w:val="TableBodyText"/>
            </w:pPr>
            <w:r>
              <w:t>The left border color shall be dark green (00CC00).</w:t>
            </w:r>
          </w:p>
          <w:p w:rsidR="000A156F" w:rsidRDefault="00A9721F">
            <w:pPr>
              <w:pStyle w:val="TableBodyText"/>
            </w:pPr>
            <w:r>
              <w:lastRenderedPageBreak/>
              <w:t>The bottom border</w:t>
            </w:r>
            <w:r>
              <w:t xml:space="preserve"> color shall be dark green (00CC00).</w:t>
            </w:r>
          </w:p>
          <w:p w:rsidR="000A156F" w:rsidRDefault="00A9721F">
            <w:pPr>
              <w:pStyle w:val="TableBodyText"/>
            </w:pPr>
            <w:r>
              <w:t>The right border color shall be dark green (00CC00).</w:t>
            </w:r>
          </w:p>
          <w:p w:rsidR="000A156F" w:rsidRDefault="00A9721F">
            <w:pPr>
              <w:pStyle w:val="TableBodyText"/>
            </w:pPr>
            <w:r>
              <w:t>The inside horizontal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Odd rows of table data shall have the following properties:</w:t>
            </w:r>
          </w:p>
          <w:p w:rsidR="000A156F" w:rsidRDefault="00A9721F">
            <w:pPr>
              <w:pStyle w:val="TableBodyText"/>
            </w:pPr>
            <w:r>
              <w:t>The fore</w:t>
            </w:r>
            <w:r>
              <w:t>ground shading color shall be yellow (FFFF00).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0A156F">
            <w:pPr>
              <w:pStyle w:val="TableBodyText"/>
            </w:pPr>
          </w:p>
          <w:p w:rsidR="000A156F" w:rsidRDefault="00A9721F">
            <w:pPr>
              <w:pStyle w:val="TableBodyText"/>
            </w:pPr>
            <w:r>
              <w:t>Even rows of table data shall have the following properties:</w:t>
            </w:r>
          </w:p>
          <w:p w:rsidR="000A156F" w:rsidRDefault="00A9721F">
            <w:pPr>
              <w:pStyle w:val="TableBodyText"/>
            </w:pPr>
            <w:r>
              <w:t>The foreground shading color shall be black (000000).</w:t>
            </w:r>
          </w:p>
          <w:p w:rsidR="000A156F" w:rsidRDefault="00A9721F">
            <w:pPr>
              <w:pStyle w:val="TableBodyText"/>
            </w:pPr>
            <w:r>
              <w:t>The backg</w:t>
            </w:r>
            <w:r>
              <w:t>round shading shall be white (FFFFFF).</w:t>
            </w:r>
          </w:p>
          <w:p w:rsidR="000A156F" w:rsidRDefault="00A9721F">
            <w:pPr>
              <w:pStyle w:val="TableBodyText"/>
            </w:pPr>
            <w:r>
              <w:t>The shading pattern shall be pct20.</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1 1/2 pt single line.</w:t>
            </w:r>
          </w:p>
          <w:p w:rsidR="000A156F" w:rsidRDefault="00A9721F">
            <w:pPr>
              <w:pStyle w:val="TableBodyText"/>
            </w:pPr>
            <w:r>
              <w:t>The bottom border color shall be dark green (00CC00).</w:t>
            </w:r>
          </w:p>
          <w:p w:rsidR="000A156F" w:rsidRDefault="00A9721F">
            <w:pPr>
              <w:pStyle w:val="TableBodyText"/>
            </w:pPr>
            <w:r>
              <w:t>The foreground shading</w:t>
            </w:r>
            <w:r>
              <w:t xml:space="preserve"> color shall be dark gray (C0C0C0).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row shall have the foll</w:t>
            </w:r>
            <w:r>
              <w:t>owing properties:</w:t>
            </w:r>
          </w:p>
          <w:p w:rsidR="000A156F" w:rsidRDefault="00A9721F">
            <w:pPr>
              <w:pStyle w:val="TableBodyText"/>
            </w:pPr>
            <w:r>
              <w:t>The top border shall be a 1 1/2 pt single line.</w:t>
            </w:r>
          </w:p>
          <w:p w:rsidR="000A156F" w:rsidRDefault="00A9721F">
            <w:pPr>
              <w:pStyle w:val="TableBodyText"/>
            </w:pPr>
            <w:r>
              <w:t>The top border color shall be dark green (00CC00).</w:t>
            </w:r>
          </w:p>
          <w:p w:rsidR="000A156F" w:rsidRDefault="00A9721F">
            <w:pPr>
              <w:pStyle w:val="TableBodyText"/>
            </w:pPr>
            <w:r>
              <w:t>The shading pattern shall be clear.</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31 (List 8)</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3/4 pt single line.</w:t>
            </w:r>
          </w:p>
          <w:p w:rsidR="000A156F" w:rsidRDefault="00A9721F">
            <w:pPr>
              <w:pStyle w:val="TableBodyText"/>
            </w:pPr>
            <w:r>
              <w:t>The left border shall be a 3/4 pt single line.</w:t>
            </w:r>
          </w:p>
          <w:p w:rsidR="000A156F" w:rsidRDefault="00A9721F">
            <w:pPr>
              <w:pStyle w:val="TableBodyText"/>
            </w:pPr>
            <w:r>
              <w:t>The bottom border shall be a 3/4 pt single line.</w:t>
            </w:r>
          </w:p>
          <w:p w:rsidR="000A156F" w:rsidRDefault="00A9721F">
            <w:pPr>
              <w:pStyle w:val="TableBodyText"/>
            </w:pPr>
            <w:r>
              <w:t>The right border shall be a 3/4 pt single line.</w:t>
            </w:r>
          </w:p>
          <w:p w:rsidR="000A156F" w:rsidRDefault="00A9721F">
            <w:pPr>
              <w:pStyle w:val="TableBodyText"/>
            </w:pPr>
            <w:r>
              <w:t xml:space="preserve">The </w:t>
            </w:r>
            <w:r>
              <w:t>inside vertical border shall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t>The inside v</w:t>
            </w:r>
            <w:r>
              <w:t>ertical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Odd rows of table data shall have the following properties:</w:t>
            </w:r>
          </w:p>
          <w:p w:rsidR="000A156F" w:rsidRDefault="00A9721F">
            <w:pPr>
              <w:pStyle w:val="TableBodyText"/>
            </w:pPr>
            <w:r>
              <w:t>The foreground shading color shall be red (FF0000).</w:t>
            </w:r>
          </w:p>
          <w:p w:rsidR="000A156F" w:rsidRDefault="00A9721F">
            <w:pPr>
              <w:pStyle w:val="TableBodyText"/>
            </w:pPr>
            <w:r>
              <w:t>The background shading shall be white (FFFFFF).</w:t>
            </w:r>
          </w:p>
          <w:p w:rsidR="000A156F" w:rsidRDefault="00A9721F">
            <w:pPr>
              <w:pStyle w:val="TableBodyText"/>
            </w:pPr>
            <w:r>
              <w:t xml:space="preserve">The shading </w:t>
            </w:r>
            <w:r>
              <w:t>pattern shall be pct50.</w:t>
            </w:r>
          </w:p>
          <w:p w:rsidR="000A156F" w:rsidRDefault="000A156F">
            <w:pPr>
              <w:pStyle w:val="TableBodyText"/>
            </w:pPr>
          </w:p>
          <w:p w:rsidR="000A156F" w:rsidRDefault="00A9721F">
            <w:pPr>
              <w:pStyle w:val="TableBodyText"/>
            </w:pPr>
            <w:r>
              <w:t>Even rows of table data shall have the following properties:</w:t>
            </w:r>
          </w:p>
          <w:p w:rsidR="000A156F" w:rsidRDefault="00A9721F">
            <w:pPr>
              <w:pStyle w:val="TableBodyText"/>
            </w:pPr>
            <w:r>
              <w:t>The foreground shading color shall be yellow (FFFF00).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0A156F">
            <w:pPr>
              <w:pStyle w:val="TableBodyText"/>
            </w:pPr>
          </w:p>
          <w:p w:rsidR="000A156F" w:rsidRDefault="00A9721F">
            <w:pPr>
              <w:pStyle w:val="TableBodyText"/>
            </w:pPr>
            <w:r>
              <w:t>The header rows shall have the</w:t>
            </w:r>
            <w:r>
              <w:t xml:space="preserve"> following properties:</w:t>
            </w:r>
          </w:p>
          <w:p w:rsidR="000A156F" w:rsidRDefault="00A9721F">
            <w:pPr>
              <w:pStyle w:val="TableBodyText"/>
            </w:pPr>
            <w:r>
              <w:t>The bottom border shall be a 3/4 pt single line.</w:t>
            </w:r>
          </w:p>
          <w:p w:rsidR="000A156F" w:rsidRDefault="00A9721F">
            <w:pPr>
              <w:pStyle w:val="TableBodyText"/>
            </w:pPr>
            <w:r>
              <w:t>The bottom border color shall be black (000000).</w:t>
            </w:r>
          </w:p>
          <w:p w:rsidR="000A156F" w:rsidRDefault="00A9721F">
            <w:pPr>
              <w:pStyle w:val="TableBodyText"/>
            </w:pPr>
            <w:r>
              <w:t>The foreground shading color shall be yellow (FFFF00).</w:t>
            </w:r>
          </w:p>
          <w:p w:rsidR="000A156F" w:rsidRDefault="00A9721F">
            <w:pPr>
              <w:pStyle w:val="TableBodyText"/>
            </w:pPr>
            <w:r>
              <w:t>The background shading shall be white (FFFFFF).</w:t>
            </w:r>
          </w:p>
          <w:p w:rsidR="000A156F" w:rsidRDefault="00A9721F">
            <w:pPr>
              <w:pStyle w:val="TableBodyText"/>
            </w:pPr>
            <w:r>
              <w:t xml:space="preserve">The shading pattern shall be </w:t>
            </w:r>
            <w:r>
              <w:t>solid.</w:t>
            </w:r>
          </w:p>
          <w:p w:rsidR="000A156F" w:rsidRDefault="00A9721F">
            <w:pPr>
              <w:pStyle w:val="TableBodyText"/>
            </w:pPr>
            <w:r>
              <w:t>The font shall be bold.</w:t>
            </w:r>
          </w:p>
          <w:p w:rsidR="000A156F" w:rsidRDefault="00A9721F">
            <w:pPr>
              <w:pStyle w:val="TableBodyText"/>
            </w:pPr>
            <w:r>
              <w:t>The font shall be italic.</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3/4 pt single line.</w:t>
            </w:r>
          </w:p>
          <w:p w:rsidR="000A156F" w:rsidRDefault="00A9721F">
            <w:pPr>
              <w:pStyle w:val="TableBodyText"/>
            </w:pPr>
            <w:r>
              <w:t>The top border color sh</w:t>
            </w:r>
            <w:r>
              <w:t>all be black (000000).</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32 (3DFx 1)</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foreground shading color shall be dark gray (C0C0C0).</w:t>
            </w:r>
          </w:p>
          <w:p w:rsidR="000A156F" w:rsidRDefault="00A9721F">
            <w:pPr>
              <w:pStyle w:val="TableBodyText"/>
            </w:pPr>
            <w:r>
              <w:t>The backgro</w:t>
            </w:r>
            <w:r>
              <w:t>und shading shall be white (FFFFFF).</w:t>
            </w:r>
          </w:p>
          <w:p w:rsidR="000A156F" w:rsidRDefault="00A9721F">
            <w:pPr>
              <w:pStyle w:val="TableBodyText"/>
            </w:pPr>
            <w:r>
              <w:t>The shading pattern shall be solid.</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3/4 pt single line.</w:t>
            </w:r>
          </w:p>
          <w:p w:rsidR="000A156F" w:rsidRDefault="00A9721F">
            <w:pPr>
              <w:pStyle w:val="TableBodyText"/>
            </w:pPr>
            <w:r>
              <w:t xml:space="preserve">The bottom border color shall be dark gray </w:t>
            </w:r>
            <w:r>
              <w:t>(CCCCCC).</w:t>
            </w:r>
          </w:p>
          <w:p w:rsidR="000A156F" w:rsidRDefault="00A9721F">
            <w:pPr>
              <w:pStyle w:val="TableBodyText"/>
            </w:pPr>
            <w:r>
              <w:t>The font color shall be dark magenta (CC00CC).</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3/4 pt single line.</w:t>
            </w:r>
          </w:p>
          <w:p w:rsidR="000A156F" w:rsidRDefault="00A9721F">
            <w:pPr>
              <w:pStyle w:val="TableBodyText"/>
            </w:pPr>
            <w:r>
              <w:t>The top border color shall be white (FFFFFF).</w:t>
            </w:r>
          </w:p>
          <w:p w:rsidR="000A156F" w:rsidRDefault="000A156F">
            <w:pPr>
              <w:pStyle w:val="TableBodyText"/>
            </w:pPr>
          </w:p>
          <w:p w:rsidR="000A156F" w:rsidRDefault="00A9721F">
            <w:pPr>
              <w:pStyle w:val="TableBodyText"/>
            </w:pPr>
            <w:r>
              <w:lastRenderedPageBreak/>
              <w:t>The first column shall have the</w:t>
            </w:r>
            <w:r>
              <w:t xml:space="preserve"> following properties:</w:t>
            </w:r>
          </w:p>
          <w:p w:rsidR="000A156F" w:rsidRDefault="00A9721F">
            <w:pPr>
              <w:pStyle w:val="TableBodyText"/>
            </w:pPr>
            <w:r>
              <w:t>The right border shall be a 3/4 pt single line.</w:t>
            </w:r>
          </w:p>
          <w:p w:rsidR="000A156F" w:rsidRDefault="00A9721F">
            <w:pPr>
              <w:pStyle w:val="TableBodyText"/>
            </w:pPr>
            <w:r>
              <w:t>The right border color shall be dark gray (CCCCCC).</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left border shall be a 3/4 pt single line.</w:t>
            </w:r>
          </w:p>
          <w:p w:rsidR="000A156F" w:rsidRDefault="00A9721F">
            <w:pPr>
              <w:pStyle w:val="TableBodyText"/>
            </w:pPr>
            <w:r>
              <w:t>The left</w:t>
            </w:r>
            <w:r>
              <w:t xml:space="preserve"> border color shall be white (FFFFFF).</w:t>
            </w:r>
          </w:p>
          <w:p w:rsidR="000A156F" w:rsidRDefault="000A156F">
            <w:pPr>
              <w:pStyle w:val="TableBodyText"/>
            </w:pPr>
          </w:p>
          <w:p w:rsidR="000A156F" w:rsidRDefault="00A9721F">
            <w:pPr>
              <w:pStyle w:val="TableBodyText"/>
            </w:pPr>
            <w:r>
              <w:t>The header rows in the first column shall have the following properties:</w:t>
            </w:r>
          </w:p>
          <w:p w:rsidR="000A156F" w:rsidRDefault="00A9721F">
            <w:pPr>
              <w:pStyle w:val="TableBodyText"/>
            </w:pPr>
            <w:r>
              <w:t>There shall be no bottom border.</w:t>
            </w:r>
          </w:p>
          <w:p w:rsidR="000A156F" w:rsidRDefault="00A9721F">
            <w:pPr>
              <w:pStyle w:val="TableBodyText"/>
            </w:pPr>
            <w:r>
              <w:t xml:space="preserve">There shall be no right border. </w:t>
            </w:r>
          </w:p>
          <w:p w:rsidR="000A156F" w:rsidRDefault="000A156F">
            <w:pPr>
              <w:pStyle w:val="TableBodyText"/>
            </w:pPr>
          </w:p>
          <w:p w:rsidR="000A156F" w:rsidRDefault="00A9721F">
            <w:pPr>
              <w:pStyle w:val="TableBodyText"/>
            </w:pPr>
            <w:r>
              <w:t>The header rows of the last column shall have the following properties:</w:t>
            </w:r>
          </w:p>
          <w:p w:rsidR="000A156F" w:rsidRDefault="00A9721F">
            <w:pPr>
              <w:pStyle w:val="TableBodyText"/>
            </w:pPr>
            <w:r>
              <w:t>Ther</w:t>
            </w:r>
            <w:r>
              <w:t>e shall be no left border.</w:t>
            </w:r>
          </w:p>
          <w:p w:rsidR="000A156F" w:rsidRDefault="00A9721F">
            <w:pPr>
              <w:pStyle w:val="TableBodyText"/>
            </w:pPr>
            <w:r>
              <w:t>There shall be no bottom border.</w:t>
            </w:r>
          </w:p>
          <w:p w:rsidR="000A156F" w:rsidRDefault="000A156F">
            <w:pPr>
              <w:pStyle w:val="TableBodyText"/>
            </w:pPr>
          </w:p>
          <w:p w:rsidR="000A156F" w:rsidRDefault="00A9721F">
            <w:pPr>
              <w:pStyle w:val="TableBodyText"/>
            </w:pPr>
            <w:r>
              <w:t>The last row of the first column shall have the following properties:</w:t>
            </w:r>
          </w:p>
          <w:p w:rsidR="000A156F" w:rsidRDefault="00A9721F">
            <w:pPr>
              <w:pStyle w:val="TableBodyText"/>
            </w:pPr>
            <w:r>
              <w:t>There shall be no top border.</w:t>
            </w:r>
          </w:p>
          <w:p w:rsidR="000A156F" w:rsidRDefault="00A9721F">
            <w:pPr>
              <w:pStyle w:val="TableBodyText"/>
            </w:pPr>
            <w:r>
              <w:t>There shall be no right border.</w:t>
            </w:r>
          </w:p>
          <w:p w:rsidR="000A156F" w:rsidRDefault="00A9721F">
            <w:pPr>
              <w:pStyle w:val="TableBodyText"/>
            </w:pPr>
            <w:r>
              <w:t>The font color shall be dark blue (0000CC).</w:t>
            </w:r>
          </w:p>
          <w:p w:rsidR="000A156F" w:rsidRDefault="000A156F">
            <w:pPr>
              <w:pStyle w:val="TableBodyText"/>
            </w:pPr>
          </w:p>
          <w:p w:rsidR="000A156F" w:rsidRDefault="00A9721F">
            <w:pPr>
              <w:pStyle w:val="TableBodyText"/>
            </w:pPr>
            <w:r>
              <w:t xml:space="preserve">The last row of </w:t>
            </w:r>
            <w:r>
              <w:t>the last column shall have the following properties:</w:t>
            </w:r>
          </w:p>
          <w:p w:rsidR="000A156F" w:rsidRDefault="00A9721F">
            <w:pPr>
              <w:pStyle w:val="TableBodyText"/>
            </w:pPr>
            <w:r>
              <w:t>There shall be no top border.</w:t>
            </w:r>
          </w:p>
          <w:p w:rsidR="000A156F" w:rsidRDefault="00A9721F">
            <w:pPr>
              <w:pStyle w:val="TableBodyText"/>
            </w:pPr>
            <w:r>
              <w:t>There shall be no left border.</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33 (3DFx 2)</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foreground shading color shall be dark gray (C0C0C0).</w:t>
            </w:r>
          </w:p>
          <w:p w:rsidR="000A156F" w:rsidRDefault="00A9721F">
            <w:pPr>
              <w:pStyle w:val="TableBodyText"/>
            </w:pPr>
            <w:r>
              <w:t>The background shading</w:t>
            </w:r>
            <w:r>
              <w:t xml:space="preserve"> shall be white (FFFFFF).</w:t>
            </w:r>
          </w:p>
          <w:p w:rsidR="000A156F" w:rsidRDefault="00A9721F">
            <w:pPr>
              <w:pStyle w:val="TableBodyText"/>
            </w:pPr>
            <w:r>
              <w:t>The shading pattern shall be solid.</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Odd rows of table data shall have the following properties:</w:t>
            </w:r>
          </w:p>
          <w:p w:rsidR="000A156F" w:rsidRDefault="00A9721F">
            <w:pPr>
              <w:pStyle w:val="TableBodyText"/>
            </w:pPr>
            <w:r>
              <w:t>The top border shall be a 3/4 pt single line.</w:t>
            </w:r>
          </w:p>
          <w:p w:rsidR="000A156F" w:rsidRDefault="00A9721F">
            <w:pPr>
              <w:pStyle w:val="TableBodyText"/>
            </w:pPr>
            <w:r>
              <w:t>The bottom border shall be a 3/4 pt single line.</w:t>
            </w:r>
          </w:p>
          <w:p w:rsidR="000A156F" w:rsidRDefault="00A9721F">
            <w:pPr>
              <w:pStyle w:val="TableBodyText"/>
            </w:pPr>
            <w:r>
              <w:t>T</w:t>
            </w:r>
            <w:r>
              <w:t>he top border color shall be dark gray (CCCCCC).</w:t>
            </w:r>
          </w:p>
          <w:p w:rsidR="000A156F" w:rsidRDefault="00A9721F">
            <w:pPr>
              <w:pStyle w:val="TableBodyText"/>
            </w:pPr>
            <w:r>
              <w:t>The bottom border color shall be white (FFFFFF).</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Odd rows of the first column shall have the following properties:</w:t>
            </w:r>
          </w:p>
          <w:p w:rsidR="000A156F" w:rsidRDefault="00A9721F">
            <w:pPr>
              <w:pStyle w:val="TableBodyText"/>
            </w:pPr>
            <w:r>
              <w:t xml:space="preserve">The right </w:t>
            </w:r>
            <w:r>
              <w:t>border shall be a 3/4 pt single line.</w:t>
            </w:r>
          </w:p>
          <w:p w:rsidR="000A156F" w:rsidRDefault="00A9721F">
            <w:pPr>
              <w:pStyle w:val="TableBodyText"/>
            </w:pPr>
            <w:r>
              <w:t>There shall be no top border.</w:t>
            </w:r>
          </w:p>
          <w:p w:rsidR="000A156F" w:rsidRDefault="00A9721F">
            <w:pPr>
              <w:pStyle w:val="TableBodyText"/>
            </w:pPr>
            <w:r>
              <w:t>There shall be no bottom border.</w:t>
            </w:r>
          </w:p>
          <w:p w:rsidR="000A156F" w:rsidRDefault="00A9721F">
            <w:pPr>
              <w:pStyle w:val="TableBodyText"/>
            </w:pPr>
            <w:r>
              <w:t>The right border color shall be dark gray (CCCCCC).</w:t>
            </w:r>
          </w:p>
          <w:p w:rsidR="000A156F" w:rsidRDefault="000A156F">
            <w:pPr>
              <w:pStyle w:val="TableBodyText"/>
            </w:pPr>
          </w:p>
          <w:p w:rsidR="000A156F" w:rsidRDefault="00A9721F">
            <w:pPr>
              <w:pStyle w:val="TableBodyText"/>
            </w:pPr>
            <w:r>
              <w:lastRenderedPageBreak/>
              <w:t>Odd rows of the last column shall have the following properties:</w:t>
            </w:r>
          </w:p>
          <w:p w:rsidR="000A156F" w:rsidRDefault="00A9721F">
            <w:pPr>
              <w:pStyle w:val="TableBodyText"/>
            </w:pPr>
            <w:r>
              <w:t>The right border shall be a 3/4 pt si</w:t>
            </w:r>
            <w:r>
              <w:t>ngle line.</w:t>
            </w:r>
          </w:p>
          <w:p w:rsidR="000A156F" w:rsidRDefault="00A9721F">
            <w:pPr>
              <w:pStyle w:val="TableBodyText"/>
            </w:pPr>
            <w:r>
              <w:t>The right border color shall be white (FFFFFF).</w:t>
            </w:r>
          </w:p>
          <w:p w:rsidR="000A156F" w:rsidRDefault="000A156F">
            <w:pPr>
              <w:pStyle w:val="TableBodyText"/>
            </w:pPr>
          </w:p>
          <w:p w:rsidR="000A156F" w:rsidRDefault="00A9721F">
            <w:pPr>
              <w:pStyle w:val="TableBodyText"/>
            </w:pPr>
            <w:r>
              <w:t>The last row of the first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34 (3DFx 3)</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Even columns of the table shall have the following properties:</w:t>
            </w:r>
          </w:p>
          <w:p w:rsidR="000A156F" w:rsidRDefault="00A9721F">
            <w:pPr>
              <w:pStyle w:val="TableBodyText"/>
            </w:pPr>
            <w:r>
              <w:t>The foreground shading color shall be dark gray (C0C0C0).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0A156F">
            <w:pPr>
              <w:pStyle w:val="TableBodyText"/>
            </w:pPr>
          </w:p>
          <w:p w:rsidR="000A156F" w:rsidRDefault="00A9721F">
            <w:pPr>
              <w:pStyle w:val="TableBodyText"/>
            </w:pPr>
            <w:r>
              <w:t xml:space="preserve">Odd columns of the table shall have the following </w:t>
            </w:r>
            <w:r>
              <w:t>properties:</w:t>
            </w:r>
          </w:p>
          <w:p w:rsidR="000A156F" w:rsidRDefault="00A9721F">
            <w:pPr>
              <w:pStyle w:val="TableBodyText"/>
            </w:pPr>
            <w:r>
              <w:t>The foreground shading color shall be dark gray (C0C0C0).</w:t>
            </w:r>
          </w:p>
          <w:p w:rsidR="000A156F" w:rsidRDefault="00A9721F">
            <w:pPr>
              <w:pStyle w:val="TableBodyText"/>
            </w:pPr>
            <w:r>
              <w:t>The background shading shall be white (FFFFFF).</w:t>
            </w:r>
          </w:p>
          <w:p w:rsidR="000A156F" w:rsidRDefault="00A9721F">
            <w:pPr>
              <w:pStyle w:val="TableBodyText"/>
            </w:pPr>
            <w:r>
              <w:t>The shading pattern shall be pct50.</w:t>
            </w:r>
          </w:p>
          <w:p w:rsidR="000A156F" w:rsidRDefault="000A156F">
            <w:pPr>
              <w:pStyle w:val="TableBodyText"/>
            </w:pPr>
          </w:p>
          <w:p w:rsidR="000A156F" w:rsidRDefault="00A9721F">
            <w:pPr>
              <w:pStyle w:val="TableBodyText"/>
            </w:pPr>
            <w:r>
              <w:t>Odd rows of table data shall have the following properties:</w:t>
            </w:r>
          </w:p>
          <w:p w:rsidR="000A156F" w:rsidRDefault="00A9721F">
            <w:pPr>
              <w:pStyle w:val="TableBodyText"/>
            </w:pPr>
            <w:r>
              <w:t>The top border shall be a 3/4 pt single l</w:t>
            </w:r>
            <w:r>
              <w:t>ine.</w:t>
            </w:r>
          </w:p>
          <w:p w:rsidR="000A156F" w:rsidRDefault="00A9721F">
            <w:pPr>
              <w:pStyle w:val="TableBodyText"/>
            </w:pPr>
            <w:r>
              <w:t>The bottom border shall be a 3/4 pt single line.</w:t>
            </w:r>
          </w:p>
          <w:p w:rsidR="000A156F" w:rsidRDefault="00A9721F">
            <w:pPr>
              <w:pStyle w:val="TableBodyText"/>
            </w:pPr>
            <w:r>
              <w:t>The top border color shall be dark gray (CCCCCC).</w:t>
            </w:r>
          </w:p>
          <w:p w:rsidR="000A156F" w:rsidRDefault="00A9721F">
            <w:pPr>
              <w:pStyle w:val="TableBodyText"/>
            </w:pPr>
            <w:r>
              <w:t>The bottom border color shall be white (FFFFFF).</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Odd rows of the first co</w:t>
            </w:r>
            <w:r>
              <w:t>lumn shall have the following properties:</w:t>
            </w:r>
          </w:p>
          <w:p w:rsidR="000A156F" w:rsidRDefault="00A9721F">
            <w:pPr>
              <w:pStyle w:val="TableBodyText"/>
            </w:pPr>
            <w:r>
              <w:t>The right border shall be a 3/4 pt single line.</w:t>
            </w:r>
          </w:p>
          <w:p w:rsidR="000A156F" w:rsidRDefault="00A9721F">
            <w:pPr>
              <w:pStyle w:val="TableBodyText"/>
            </w:pPr>
            <w:r>
              <w:t>The top border color shall be automatically determined.</w:t>
            </w:r>
          </w:p>
          <w:p w:rsidR="000A156F" w:rsidRDefault="00A9721F">
            <w:pPr>
              <w:pStyle w:val="TableBodyText"/>
            </w:pPr>
            <w:r>
              <w:t>The bottom border color shall be automatically determined.</w:t>
            </w:r>
          </w:p>
          <w:p w:rsidR="000A156F" w:rsidRDefault="00A9721F">
            <w:pPr>
              <w:pStyle w:val="TableBodyText"/>
            </w:pPr>
            <w:r>
              <w:t>The right border color shall be dark gray (CCCCCC).</w:t>
            </w:r>
          </w:p>
          <w:p w:rsidR="000A156F" w:rsidRDefault="000A156F">
            <w:pPr>
              <w:pStyle w:val="TableBodyText"/>
            </w:pPr>
          </w:p>
          <w:p w:rsidR="000A156F" w:rsidRDefault="00A9721F">
            <w:pPr>
              <w:pStyle w:val="TableBodyText"/>
            </w:pPr>
            <w:r>
              <w:t>Odd rows of the last column shall have the following properties:</w:t>
            </w:r>
          </w:p>
          <w:p w:rsidR="000A156F" w:rsidRDefault="00A9721F">
            <w:pPr>
              <w:pStyle w:val="TableBodyText"/>
            </w:pPr>
            <w:r>
              <w:t>The right border shall be a 3/4 pt single line.</w:t>
            </w:r>
          </w:p>
          <w:p w:rsidR="000A156F" w:rsidRDefault="00A9721F">
            <w:pPr>
              <w:pStyle w:val="TableBodyText"/>
            </w:pPr>
            <w:r>
              <w:t>The right border color shall be white (FFFFFF).</w:t>
            </w:r>
          </w:p>
          <w:p w:rsidR="000A156F" w:rsidRDefault="00A9721F">
            <w:pPr>
              <w:pStyle w:val="TableBodyText"/>
            </w:pPr>
            <w:r>
              <w:t>Applies to odd rows</w:t>
            </w:r>
          </w:p>
          <w:p w:rsidR="000A156F" w:rsidRDefault="000A156F">
            <w:pPr>
              <w:pStyle w:val="TableBodyText"/>
            </w:pPr>
          </w:p>
          <w:p w:rsidR="000A156F" w:rsidRDefault="00A9721F">
            <w:pPr>
              <w:pStyle w:val="TableBodyText"/>
            </w:pPr>
            <w:r>
              <w:t>The last row of the first column shall have the following properties:</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t>35 (Contemporary)</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inside horizontal border shall be a 2 1/4 pt single line.</w:t>
            </w:r>
          </w:p>
          <w:p w:rsidR="000A156F" w:rsidRDefault="00A9721F">
            <w:pPr>
              <w:pStyle w:val="TableBodyText"/>
            </w:pPr>
            <w:r>
              <w:t>The inside vertical border shall be a 2 1/4 pt single line.</w:t>
            </w:r>
          </w:p>
          <w:p w:rsidR="000A156F" w:rsidRDefault="00A9721F">
            <w:pPr>
              <w:pStyle w:val="TableBodyText"/>
            </w:pPr>
            <w:r>
              <w:t>The inside horizontal border color shall b</w:t>
            </w:r>
            <w:r>
              <w:t>e white (FFFFFF).</w:t>
            </w:r>
          </w:p>
          <w:p w:rsidR="000A156F" w:rsidRDefault="00A9721F">
            <w:pPr>
              <w:pStyle w:val="TableBodyText"/>
            </w:pPr>
            <w:r>
              <w:lastRenderedPageBreak/>
              <w:t>The inside vertical border color shall be white (FFFFFF).</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Odd rows of table data shall have the following properties:</w:t>
            </w:r>
          </w:p>
          <w:p w:rsidR="000A156F" w:rsidRDefault="00A9721F">
            <w:pPr>
              <w:pStyle w:val="TableBodyText"/>
            </w:pPr>
            <w:r>
              <w:t>The foreground shading color shall be black (000000).</w:t>
            </w:r>
          </w:p>
          <w:p w:rsidR="000A156F" w:rsidRDefault="00A9721F">
            <w:pPr>
              <w:pStyle w:val="TableBodyText"/>
            </w:pPr>
            <w:r>
              <w:t>The background shading shall</w:t>
            </w:r>
            <w:r>
              <w:t xml:space="preserve"> be white (FFFFFF).</w:t>
            </w:r>
          </w:p>
          <w:p w:rsidR="000A156F" w:rsidRDefault="00A9721F">
            <w:pPr>
              <w:pStyle w:val="TableBodyText"/>
            </w:pPr>
            <w:r>
              <w:t>The shading pattern shall be pct20.</w:t>
            </w:r>
          </w:p>
          <w:p w:rsidR="000A156F" w:rsidRDefault="000A156F">
            <w:pPr>
              <w:pStyle w:val="TableBodyText"/>
            </w:pPr>
          </w:p>
          <w:p w:rsidR="000A156F" w:rsidRDefault="00A9721F">
            <w:pPr>
              <w:pStyle w:val="TableBodyText"/>
            </w:pPr>
            <w:r>
              <w:t>Even rows of table data shall have the following properties:</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pct5.</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foreground shading color shall be black (000000).</w:t>
            </w:r>
          </w:p>
          <w:p w:rsidR="000A156F" w:rsidRDefault="00A9721F">
            <w:pPr>
              <w:pStyle w:val="TableBodyText"/>
            </w:pPr>
            <w:r>
              <w:t>The background shading shall be white (FFFFFF).</w:t>
            </w:r>
          </w:p>
          <w:p w:rsidR="000A156F" w:rsidRDefault="00A9721F">
            <w:pPr>
              <w:pStyle w:val="TableBodyText"/>
            </w:pPr>
            <w:r>
              <w:t>The shading pattern shall be pct20.</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36 (Elegant)</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3/4 pt double line.</w:t>
            </w:r>
          </w:p>
          <w:p w:rsidR="000A156F" w:rsidRDefault="00A9721F">
            <w:pPr>
              <w:pStyle w:val="TableBodyText"/>
            </w:pPr>
            <w:r>
              <w:t>The left border shall be a 3/4 pt double line.</w:t>
            </w:r>
          </w:p>
          <w:p w:rsidR="000A156F" w:rsidRDefault="00A9721F">
            <w:pPr>
              <w:pStyle w:val="TableBodyText"/>
            </w:pPr>
            <w:r>
              <w:t>The bottom border shall be a 3/4 pt double line.</w:t>
            </w:r>
          </w:p>
          <w:p w:rsidR="000A156F" w:rsidRDefault="00A9721F">
            <w:pPr>
              <w:pStyle w:val="TableBodyText"/>
            </w:pPr>
            <w:r>
              <w:t>The right border shall be a 3/4 pt double line.</w:t>
            </w:r>
          </w:p>
          <w:p w:rsidR="000A156F" w:rsidRDefault="00A9721F">
            <w:pPr>
              <w:pStyle w:val="TableBodyText"/>
            </w:pPr>
            <w:r>
              <w:t>The inside horizontal border shall be a 3/4 pt single line.</w:t>
            </w:r>
          </w:p>
          <w:p w:rsidR="000A156F" w:rsidRDefault="00A9721F">
            <w:pPr>
              <w:pStyle w:val="TableBodyText"/>
            </w:pPr>
            <w:r>
              <w:t xml:space="preserve">The </w:t>
            </w:r>
            <w:r>
              <w:t>inside vertical border shall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 color shall be black (000000).</w:t>
            </w:r>
          </w:p>
          <w:p w:rsidR="000A156F" w:rsidRDefault="00A9721F">
            <w:pPr>
              <w:pStyle w:val="TableBodyText"/>
            </w:pPr>
            <w:r>
              <w:t>The inside h</w:t>
            </w:r>
            <w:r>
              <w:t>orizontal border color shall be black (000000).</w:t>
            </w:r>
          </w:p>
          <w:p w:rsidR="000A156F" w:rsidRDefault="00A9721F">
            <w:pPr>
              <w:pStyle w:val="TableBodyText"/>
            </w:pPr>
            <w:r>
              <w:t>The inside vertical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font shall be all caps.</w:t>
            </w:r>
          </w:p>
          <w:p w:rsidR="000A156F" w:rsidRDefault="000A156F">
            <w:pPr>
              <w:pStyle w:val="TableBodyText"/>
            </w:pPr>
          </w:p>
        </w:tc>
      </w:tr>
      <w:tr w:rsidR="000A156F" w:rsidTr="000A156F">
        <w:tc>
          <w:tcPr>
            <w:tcW w:w="0" w:type="auto"/>
            <w:vAlign w:val="center"/>
          </w:tcPr>
          <w:p w:rsidR="000A156F" w:rsidRDefault="00A9721F">
            <w:pPr>
              <w:pStyle w:val="TableBodyText"/>
            </w:pPr>
            <w:r>
              <w:t>37 (Professional)</w:t>
            </w:r>
          </w:p>
          <w:p w:rsidR="000A156F" w:rsidRDefault="000A156F">
            <w:pPr>
              <w:pStyle w:val="TableBodyText"/>
            </w:pPr>
          </w:p>
        </w:tc>
        <w:tc>
          <w:tcPr>
            <w:tcW w:w="0" w:type="auto"/>
            <w:vAlign w:val="center"/>
          </w:tcPr>
          <w:p w:rsidR="000A156F" w:rsidRDefault="00A9721F">
            <w:pPr>
              <w:pStyle w:val="TableBodyText"/>
            </w:pPr>
            <w:r>
              <w:t xml:space="preserve">The table </w:t>
            </w:r>
            <w:r>
              <w:t>shall have the following properties:</w:t>
            </w:r>
          </w:p>
          <w:p w:rsidR="000A156F" w:rsidRDefault="00A9721F">
            <w:pPr>
              <w:pStyle w:val="TableBodyText"/>
            </w:pPr>
            <w:r>
              <w:t>The top border shall be a 3/4 pt single line.</w:t>
            </w:r>
          </w:p>
          <w:p w:rsidR="000A156F" w:rsidRDefault="00A9721F">
            <w:pPr>
              <w:pStyle w:val="TableBodyText"/>
            </w:pPr>
            <w:r>
              <w:t>The left border shall be a 3/4 pt single line.</w:t>
            </w:r>
          </w:p>
          <w:p w:rsidR="000A156F" w:rsidRDefault="00A9721F">
            <w:pPr>
              <w:pStyle w:val="TableBodyText"/>
            </w:pPr>
            <w:r>
              <w:t>The bottom border shall be a 3/4 pt single line.</w:t>
            </w:r>
          </w:p>
          <w:p w:rsidR="000A156F" w:rsidRDefault="00A9721F">
            <w:pPr>
              <w:pStyle w:val="TableBodyText"/>
            </w:pPr>
            <w:r>
              <w:t>The right border shall be a 3/4 pt single line.</w:t>
            </w:r>
          </w:p>
          <w:p w:rsidR="000A156F" w:rsidRDefault="00A9721F">
            <w:pPr>
              <w:pStyle w:val="TableBodyText"/>
            </w:pPr>
            <w:r>
              <w:t xml:space="preserve">The inside horizontal border </w:t>
            </w:r>
            <w:r>
              <w:t>shall be a 3/4 pt single line.</w:t>
            </w:r>
          </w:p>
          <w:p w:rsidR="000A156F" w:rsidRDefault="00A9721F">
            <w:pPr>
              <w:pStyle w:val="TableBodyText"/>
            </w:pPr>
            <w:r>
              <w:t>The inside vertical border shall be a 3/4 pt single line.</w:t>
            </w:r>
          </w:p>
          <w:p w:rsidR="000A156F" w:rsidRDefault="00A9721F">
            <w:pPr>
              <w:pStyle w:val="TableBodyText"/>
            </w:pPr>
            <w:r>
              <w:t>The top border color shall be black (000000).</w:t>
            </w:r>
          </w:p>
          <w:p w:rsidR="000A156F" w:rsidRDefault="00A9721F">
            <w:pPr>
              <w:pStyle w:val="TableBodyText"/>
            </w:pPr>
            <w:r>
              <w:t>The left border color shall be black (000000).</w:t>
            </w:r>
          </w:p>
          <w:p w:rsidR="000A156F" w:rsidRDefault="00A9721F">
            <w:pPr>
              <w:pStyle w:val="TableBodyText"/>
            </w:pPr>
            <w:r>
              <w:t>The bottom border color shall be black (000000).</w:t>
            </w:r>
          </w:p>
          <w:p w:rsidR="000A156F" w:rsidRDefault="00A9721F">
            <w:pPr>
              <w:pStyle w:val="TableBodyText"/>
            </w:pPr>
            <w:r>
              <w:t>The right border color sh</w:t>
            </w:r>
            <w:r>
              <w:t>all be black (000000).</w:t>
            </w:r>
          </w:p>
          <w:p w:rsidR="000A156F" w:rsidRDefault="00A9721F">
            <w:pPr>
              <w:pStyle w:val="TableBodyText"/>
            </w:pPr>
            <w:r>
              <w:lastRenderedPageBreak/>
              <w:t>The inside horizontal border color shall be black (000000).</w:t>
            </w:r>
          </w:p>
          <w:p w:rsidR="000A156F" w:rsidRDefault="00A9721F">
            <w:pPr>
              <w:pStyle w:val="TableBodyText"/>
            </w:pPr>
            <w:r>
              <w:t>The inside vertical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foreground shading c</w:t>
            </w:r>
            <w:r>
              <w:t>olor shall be black (000000).</w:t>
            </w:r>
          </w:p>
          <w:p w:rsidR="000A156F" w:rsidRDefault="00A9721F">
            <w:pPr>
              <w:pStyle w:val="TableBodyText"/>
            </w:pPr>
            <w:r>
              <w:t>The background shading shall be white (FFFFFF).</w:t>
            </w:r>
          </w:p>
          <w:p w:rsidR="000A156F" w:rsidRDefault="00A9721F">
            <w:pPr>
              <w:pStyle w:val="TableBodyText"/>
            </w:pPr>
            <w:r>
              <w:t>The shading pattern shall be solid.</w:t>
            </w:r>
          </w:p>
          <w:p w:rsidR="000A156F" w:rsidRDefault="00A9721F">
            <w:pPr>
              <w:pStyle w:val="TableBodyText"/>
            </w:pPr>
            <w:r>
              <w:t>The font color shall be white.</w:t>
            </w:r>
          </w:p>
          <w:p w:rsidR="000A156F" w:rsidRDefault="00A9721F">
            <w:pPr>
              <w:pStyle w:val="TableBodyText"/>
            </w:pPr>
            <w:r>
              <w:t>The font shall be bold.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38 (Subtle 1)</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 xml:space="preserve">The interior vertical </w:t>
            </w:r>
            <w:r>
              <w:t>border shall be a 3/4 pt single line.</w:t>
            </w:r>
          </w:p>
          <w:p w:rsidR="000A156F" w:rsidRDefault="00A9721F">
            <w:pPr>
              <w:pStyle w:val="TableBodyText"/>
            </w:pPr>
            <w:r>
              <w:t>The interior vertical border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Even rows of the table shall have the following properties:</w:t>
            </w:r>
          </w:p>
          <w:p w:rsidR="000A156F" w:rsidRDefault="00A9721F">
            <w:pPr>
              <w:pStyle w:val="TableBodyText"/>
            </w:pPr>
            <w:r>
              <w:t>The bottom border shall be a 3/4 pt single line.</w:t>
            </w:r>
          </w:p>
          <w:p w:rsidR="000A156F" w:rsidRDefault="00A9721F">
            <w:pPr>
              <w:pStyle w:val="TableBodyText"/>
            </w:pPr>
            <w:r>
              <w:t>The bottom border</w:t>
            </w:r>
            <w:r>
              <w:t xml:space="preserve"> color shall be black (000000).</w:t>
            </w:r>
          </w:p>
          <w:p w:rsidR="000A156F" w:rsidRDefault="00A9721F">
            <w:pPr>
              <w:pStyle w:val="TableBodyText"/>
            </w:pPr>
            <w:r>
              <w:t>There shall be no interior vertical border.</w:t>
            </w:r>
          </w:p>
          <w:p w:rsidR="000A156F" w:rsidRDefault="00A9721F">
            <w:pPr>
              <w:pStyle w:val="TableBodyText"/>
            </w:pPr>
            <w:r>
              <w:t>The foreground shading color shall be dark yellow (CCCC00).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0A156F">
            <w:pPr>
              <w:pStyle w:val="TableBodyText"/>
            </w:pPr>
          </w:p>
          <w:p w:rsidR="000A156F" w:rsidRDefault="00A9721F">
            <w:pPr>
              <w:pStyle w:val="TableBodyText"/>
            </w:pPr>
            <w:r>
              <w:t>The header rows shall have the foll</w:t>
            </w:r>
            <w:r>
              <w:t>owing properties:</w:t>
            </w:r>
          </w:p>
          <w:p w:rsidR="000A156F" w:rsidRDefault="00A9721F">
            <w:pPr>
              <w:pStyle w:val="TableBodyText"/>
            </w:pPr>
            <w:r>
              <w:t>The top border shall be a 3/4 pt single line.</w:t>
            </w:r>
          </w:p>
          <w:p w:rsidR="000A156F" w:rsidRDefault="00A9721F">
            <w:pPr>
              <w:pStyle w:val="TableBodyText"/>
            </w:pPr>
            <w:r>
              <w:t>The bottom border shall be a 1 1/2 pt single line.</w:t>
            </w:r>
          </w:p>
          <w:p w:rsidR="000A156F" w:rsidRDefault="00A9721F">
            <w:pPr>
              <w:pStyle w:val="TableBodyText"/>
            </w:pPr>
            <w:r>
              <w:t>The top border color shall be black (000000).</w:t>
            </w:r>
          </w:p>
          <w:p w:rsidR="000A156F" w:rsidRDefault="00A9721F">
            <w:pPr>
              <w:pStyle w:val="TableBodyText"/>
            </w:pPr>
            <w:r>
              <w:t>The bottom border color shall be black (000000).</w:t>
            </w:r>
          </w:p>
          <w:p w:rsidR="000A156F" w:rsidRDefault="00A9721F">
            <w:pPr>
              <w:pStyle w:val="TableBodyText"/>
            </w:pPr>
            <w:r>
              <w:t>The shading pattern shall be clear.</w:t>
            </w:r>
          </w:p>
          <w:p w:rsidR="000A156F" w:rsidRDefault="000A156F">
            <w:pPr>
              <w:pStyle w:val="TableBodyText"/>
            </w:pPr>
          </w:p>
          <w:p w:rsidR="000A156F" w:rsidRDefault="00A9721F">
            <w:pPr>
              <w:pStyle w:val="TableBodyText"/>
            </w:pPr>
            <w:r>
              <w:t xml:space="preserve">The last </w:t>
            </w:r>
            <w:r>
              <w:t>row shall have the following properties:</w:t>
            </w:r>
          </w:p>
          <w:p w:rsidR="000A156F" w:rsidRDefault="00A9721F">
            <w:pPr>
              <w:pStyle w:val="TableBodyText"/>
            </w:pPr>
            <w:r>
              <w:t>The top border shall be a 1 1/2 pt single line.</w:t>
            </w:r>
          </w:p>
          <w:p w:rsidR="000A156F" w:rsidRDefault="00A9721F">
            <w:pPr>
              <w:pStyle w:val="TableBodyText"/>
            </w:pPr>
            <w:r>
              <w:t>The top border color shall be black (000000).</w:t>
            </w:r>
          </w:p>
          <w:p w:rsidR="000A156F" w:rsidRDefault="00A9721F">
            <w:pPr>
              <w:pStyle w:val="TableBodyText"/>
            </w:pPr>
            <w:r>
              <w:t>The foreground shading color shall be dark magenta (CC00CC).</w:t>
            </w:r>
          </w:p>
          <w:p w:rsidR="000A156F" w:rsidRDefault="00A9721F">
            <w:pPr>
              <w:pStyle w:val="TableBodyText"/>
            </w:pPr>
            <w:r>
              <w:t>The background shading shall be white (FFFFFF).</w:t>
            </w:r>
          </w:p>
          <w:p w:rsidR="000A156F" w:rsidRDefault="00A9721F">
            <w:pPr>
              <w:pStyle w:val="TableBodyText"/>
            </w:pPr>
            <w:r>
              <w:t xml:space="preserve">The shading </w:t>
            </w:r>
            <w:r>
              <w:t>pattern shall be pct25.</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right border shall be a 1 1/2 pt single line.</w:t>
            </w:r>
          </w:p>
          <w:p w:rsidR="000A156F" w:rsidRDefault="00A9721F">
            <w:pPr>
              <w:pStyle w:val="TableBodyText"/>
            </w:pPr>
            <w:r>
              <w:t>The right border color shall be black (000000).</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 xml:space="preserve">The left border shall be </w:t>
            </w:r>
            <w:r>
              <w:t>a 1 1/2 pt single line.</w:t>
            </w:r>
          </w:p>
          <w:p w:rsidR="000A156F" w:rsidRDefault="00A9721F">
            <w:pPr>
              <w:pStyle w:val="TableBodyText"/>
            </w:pPr>
            <w:r>
              <w:t>The left border color shall be black (000000).</w:t>
            </w:r>
          </w:p>
          <w:p w:rsidR="000A156F" w:rsidRDefault="000A156F">
            <w:pPr>
              <w:pStyle w:val="TableBodyText"/>
            </w:pPr>
          </w:p>
          <w:p w:rsidR="000A156F" w:rsidRDefault="00A9721F">
            <w:pPr>
              <w:pStyle w:val="TableBodyText"/>
            </w:pPr>
            <w:r>
              <w:t>The last column of header rows shall have the following properties:</w:t>
            </w:r>
          </w:p>
          <w:p w:rsidR="000A156F" w:rsidRDefault="00A9721F">
            <w:pPr>
              <w:pStyle w:val="TableBodyText"/>
            </w:pPr>
            <w:r>
              <w:lastRenderedPageBreak/>
              <w:t>The font shall be bold.</w:t>
            </w:r>
          </w:p>
          <w:p w:rsidR="000A156F" w:rsidRDefault="000A156F">
            <w:pPr>
              <w:pStyle w:val="TableBodyText"/>
            </w:pPr>
          </w:p>
          <w:p w:rsidR="000A156F" w:rsidRDefault="00A9721F">
            <w:pPr>
              <w:pStyle w:val="TableBodyText"/>
            </w:pPr>
            <w:r>
              <w:t>The first column of the last row shall have the following properties:</w:t>
            </w:r>
          </w:p>
          <w:p w:rsidR="000A156F" w:rsidRDefault="00A9721F">
            <w:pPr>
              <w:pStyle w:val="TableBodyText"/>
            </w:pPr>
            <w:r>
              <w:t>The font shall be bol</w:t>
            </w:r>
            <w:r>
              <w:t>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39 (Subtle 2)</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left border shall be a 3/4 pt single line.</w:t>
            </w:r>
          </w:p>
          <w:p w:rsidR="000A156F" w:rsidRDefault="00A9721F">
            <w:pPr>
              <w:pStyle w:val="TableBodyText"/>
            </w:pPr>
            <w:r>
              <w:t>The right border shall be a 3/4 pt single line.</w:t>
            </w:r>
          </w:p>
          <w:p w:rsidR="000A156F" w:rsidRDefault="00A9721F">
            <w:pPr>
              <w:pStyle w:val="TableBodyText"/>
            </w:pPr>
            <w:r>
              <w:t>The left border color shall be black (000000).</w:t>
            </w:r>
          </w:p>
          <w:p w:rsidR="000A156F" w:rsidRDefault="00A9721F">
            <w:pPr>
              <w:pStyle w:val="TableBodyText"/>
            </w:pPr>
            <w:r>
              <w:t>The right border color shall be black (000000).</w:t>
            </w:r>
          </w:p>
          <w:p w:rsidR="000A156F" w:rsidRDefault="00A9721F">
            <w:pPr>
              <w:pStyle w:val="TableBodyText"/>
            </w:pPr>
            <w:r>
              <w:t>The vertical alignment shall be top.</w:t>
            </w:r>
          </w:p>
          <w:p w:rsidR="000A156F" w:rsidRDefault="000A156F">
            <w:pPr>
              <w:pStyle w:val="TableBodyText"/>
            </w:pPr>
          </w:p>
          <w:p w:rsidR="000A156F" w:rsidRDefault="00A9721F">
            <w:pPr>
              <w:pStyle w:val="TableBodyText"/>
            </w:pPr>
            <w:r>
              <w:t>The last column shall have the following properties:</w:t>
            </w:r>
          </w:p>
          <w:p w:rsidR="000A156F" w:rsidRDefault="00A9721F">
            <w:pPr>
              <w:pStyle w:val="TableBodyText"/>
            </w:pPr>
            <w:r>
              <w:t>The left border shall be a 1 1/2 pt single line.</w:t>
            </w:r>
          </w:p>
          <w:p w:rsidR="000A156F" w:rsidRDefault="00A9721F">
            <w:pPr>
              <w:pStyle w:val="TableBodyText"/>
            </w:pPr>
            <w:r>
              <w:t>The left border color shall be black (000000).</w:t>
            </w:r>
          </w:p>
          <w:p w:rsidR="000A156F" w:rsidRDefault="00A9721F">
            <w:pPr>
              <w:pStyle w:val="TableBodyText"/>
            </w:pPr>
            <w:r>
              <w:t>The foreground shading color shall be dark yellow (CCCC00).</w:t>
            </w:r>
          </w:p>
          <w:p w:rsidR="000A156F" w:rsidRDefault="00A9721F">
            <w:pPr>
              <w:pStyle w:val="TableBodyText"/>
            </w:pPr>
            <w:r>
              <w:t>The back</w:t>
            </w:r>
            <w:r>
              <w:t>ground shading shall be white (FFFFFF).</w:t>
            </w:r>
          </w:p>
          <w:p w:rsidR="000A156F" w:rsidRDefault="00A9721F">
            <w:pPr>
              <w:pStyle w:val="TableBodyText"/>
            </w:pPr>
            <w:r>
              <w:t>The shading pattern shall be pct25.</w:t>
            </w:r>
          </w:p>
          <w:p w:rsidR="000A156F" w:rsidRDefault="000A156F">
            <w:pPr>
              <w:pStyle w:val="TableBodyText"/>
            </w:pPr>
          </w:p>
          <w:p w:rsidR="000A156F" w:rsidRDefault="00A9721F">
            <w:pPr>
              <w:pStyle w:val="TableBodyText"/>
            </w:pPr>
            <w:r>
              <w:t>The first column shall have the following properties:</w:t>
            </w:r>
          </w:p>
          <w:p w:rsidR="000A156F" w:rsidRDefault="00A9721F">
            <w:pPr>
              <w:pStyle w:val="TableBodyText"/>
            </w:pPr>
            <w:r>
              <w:t>The right border shall be a 1 1/2 pt single line.</w:t>
            </w:r>
          </w:p>
          <w:p w:rsidR="000A156F" w:rsidRDefault="00A9721F">
            <w:pPr>
              <w:pStyle w:val="TableBodyText"/>
            </w:pPr>
            <w:r>
              <w:t>The right border color shall be black (000000).</w:t>
            </w:r>
          </w:p>
          <w:p w:rsidR="000A156F" w:rsidRDefault="00A9721F">
            <w:pPr>
              <w:pStyle w:val="TableBodyText"/>
            </w:pPr>
            <w:r>
              <w:t>The foreground shading colo</w:t>
            </w:r>
            <w:r>
              <w:t>r shall be dark green (00CC00).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0A156F">
            <w:pPr>
              <w:pStyle w:val="TableBodyText"/>
            </w:pPr>
          </w:p>
          <w:p w:rsidR="000A156F" w:rsidRDefault="00A9721F">
            <w:pPr>
              <w:pStyle w:val="TableBodyText"/>
            </w:pPr>
            <w:r>
              <w:t>The last row shall have the following properties:</w:t>
            </w:r>
          </w:p>
          <w:p w:rsidR="000A156F" w:rsidRDefault="00A9721F">
            <w:pPr>
              <w:pStyle w:val="TableBodyText"/>
            </w:pPr>
            <w:r>
              <w:t>The top border shall be a 1 1/2 pt single line.</w:t>
            </w:r>
          </w:p>
          <w:p w:rsidR="000A156F" w:rsidRDefault="00A9721F">
            <w:pPr>
              <w:pStyle w:val="TableBodyText"/>
            </w:pPr>
            <w:r>
              <w:t>The top border color shall be black (0000</w:t>
            </w:r>
            <w:r>
              <w:t>00).</w:t>
            </w:r>
          </w:p>
          <w:p w:rsidR="000A156F" w:rsidRDefault="00A9721F">
            <w:pPr>
              <w:pStyle w:val="TableBodyText"/>
            </w:pPr>
            <w:r>
              <w:t>The shading pattern shall be clear.</w:t>
            </w:r>
          </w:p>
          <w:p w:rsidR="000A156F" w:rsidRDefault="000A156F">
            <w:pPr>
              <w:pStyle w:val="TableBodyText"/>
            </w:pPr>
          </w:p>
          <w:p w:rsidR="000A156F" w:rsidRDefault="00A9721F">
            <w:pPr>
              <w:pStyle w:val="TableBodyText"/>
            </w:pPr>
            <w:r>
              <w:t>The last row of the first column shall have the following properties:</w:t>
            </w:r>
          </w:p>
          <w:p w:rsidR="000A156F" w:rsidRDefault="00A9721F">
            <w:pPr>
              <w:pStyle w:val="TableBodyText"/>
            </w:pPr>
            <w:r>
              <w:t>The foreground shading color shall be dark green (00CC00).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A9721F">
            <w:pPr>
              <w:pStyle w:val="TableBodyText"/>
            </w:pPr>
            <w:r>
              <w:t>The font shall be bold.</w:t>
            </w:r>
          </w:p>
          <w:p w:rsidR="000A156F" w:rsidRDefault="000A156F">
            <w:pPr>
              <w:pStyle w:val="TableBodyText"/>
            </w:pPr>
          </w:p>
          <w:p w:rsidR="000A156F" w:rsidRDefault="00A9721F">
            <w:pPr>
              <w:pStyle w:val="TableBodyText"/>
            </w:pPr>
            <w:r>
              <w:t>The last column of header rows shall have the following properties:</w:t>
            </w:r>
          </w:p>
          <w:p w:rsidR="000A156F" w:rsidRDefault="00A9721F">
            <w:pPr>
              <w:pStyle w:val="TableBodyText"/>
            </w:pPr>
            <w:r>
              <w:t>The foreground shading color shall be dark yellow (CCCC00).</w:t>
            </w:r>
          </w:p>
          <w:p w:rsidR="000A156F" w:rsidRDefault="00A9721F">
            <w:pPr>
              <w:pStyle w:val="TableBodyText"/>
            </w:pPr>
            <w:r>
              <w:t>The background shading shall be white (FFFFFF).</w:t>
            </w:r>
          </w:p>
          <w:p w:rsidR="000A156F" w:rsidRDefault="00A9721F">
            <w:pPr>
              <w:pStyle w:val="TableBodyText"/>
            </w:pPr>
            <w:r>
              <w:t>The shading pattern shall be pct25.</w:t>
            </w:r>
          </w:p>
          <w:p w:rsidR="000A156F" w:rsidRDefault="00A9721F">
            <w:pPr>
              <w:pStyle w:val="TableBodyText"/>
            </w:pPr>
            <w:r>
              <w:t xml:space="preserve">The font shall be </w:t>
            </w:r>
            <w:r>
              <w:t>bold.</w:t>
            </w:r>
          </w:p>
          <w:p w:rsidR="000A156F" w:rsidRDefault="000A156F">
            <w:pPr>
              <w:pStyle w:val="TableBodyText"/>
            </w:pPr>
          </w:p>
          <w:p w:rsidR="000A156F" w:rsidRDefault="00A9721F">
            <w:pPr>
              <w:pStyle w:val="TableBodyText"/>
            </w:pPr>
            <w:r>
              <w:t>The header rows shall have the following properties:</w:t>
            </w:r>
          </w:p>
          <w:p w:rsidR="000A156F" w:rsidRDefault="00A9721F">
            <w:pPr>
              <w:pStyle w:val="TableBodyText"/>
            </w:pPr>
            <w:r>
              <w:t>The bottom border shall be a 1 1/2 pt single line.</w:t>
            </w:r>
          </w:p>
          <w:p w:rsidR="000A156F" w:rsidRDefault="00A9721F">
            <w:pPr>
              <w:pStyle w:val="TableBodyText"/>
            </w:pPr>
            <w:r>
              <w:t>The bottom border color shall be black (000000).</w:t>
            </w:r>
          </w:p>
          <w:p w:rsidR="000A156F" w:rsidRDefault="00A9721F">
            <w:pPr>
              <w:pStyle w:val="TableBodyText"/>
            </w:pPr>
            <w:r>
              <w:t>The shading pattern shall be clear.</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40 (Web 1)</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3/4 pt outset line.</w:t>
            </w:r>
          </w:p>
          <w:p w:rsidR="000A156F" w:rsidRDefault="00A9721F">
            <w:pPr>
              <w:pStyle w:val="TableBodyText"/>
            </w:pPr>
            <w:r>
              <w:t>The left border shall be a 3/4 pt outset line.</w:t>
            </w:r>
          </w:p>
          <w:p w:rsidR="000A156F" w:rsidRDefault="00A9721F">
            <w:pPr>
              <w:pStyle w:val="TableBodyText"/>
            </w:pPr>
            <w:r>
              <w:t>The bottom border shall be a 3/4 pt outset line.</w:t>
            </w:r>
          </w:p>
          <w:p w:rsidR="000A156F" w:rsidRDefault="00A9721F">
            <w:pPr>
              <w:pStyle w:val="TableBodyText"/>
            </w:pPr>
            <w:r>
              <w:t>The right border shall be a 3/4 pt outset line.</w:t>
            </w:r>
          </w:p>
          <w:p w:rsidR="000A156F" w:rsidRDefault="00A9721F">
            <w:pPr>
              <w:pStyle w:val="TableBodyText"/>
            </w:pPr>
            <w:r>
              <w:t>The inside horizontal border shall be a 3/4 pt outset line.</w:t>
            </w:r>
          </w:p>
          <w:p w:rsidR="000A156F" w:rsidRDefault="00A9721F">
            <w:pPr>
              <w:pStyle w:val="TableBodyText"/>
            </w:pPr>
            <w:r>
              <w:t xml:space="preserve">The </w:t>
            </w:r>
            <w:r>
              <w:t>inside vertical border shall be a 3/4 pt outset line.</w:t>
            </w:r>
          </w:p>
          <w:p w:rsidR="000A156F" w:rsidRDefault="00A9721F">
            <w:pPr>
              <w:pStyle w:val="TableBodyText"/>
            </w:pPr>
            <w:r>
              <w:t>The vertical alignment shall be top.</w:t>
            </w:r>
          </w:p>
          <w:p w:rsidR="000A156F" w:rsidRDefault="00A9721F">
            <w:pPr>
              <w:pStyle w:val="TableBodyText"/>
            </w:pPr>
            <w:r>
              <w:t>The cell spacing shall be 20 twips.</w:t>
            </w:r>
          </w:p>
          <w:p w:rsidR="000A156F" w:rsidRDefault="000A156F">
            <w:pPr>
              <w:pStyle w:val="TableBodyText"/>
            </w:pPr>
          </w:p>
        </w:tc>
      </w:tr>
      <w:tr w:rsidR="000A156F" w:rsidTr="000A156F">
        <w:tc>
          <w:tcPr>
            <w:tcW w:w="0" w:type="auto"/>
            <w:vAlign w:val="center"/>
          </w:tcPr>
          <w:p w:rsidR="000A156F" w:rsidRDefault="00A9721F">
            <w:pPr>
              <w:pStyle w:val="TableBodyText"/>
            </w:pPr>
            <w:r>
              <w:t>41 (Web 2)</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3/4 pt inset line.</w:t>
            </w:r>
          </w:p>
          <w:p w:rsidR="000A156F" w:rsidRDefault="00A9721F">
            <w:pPr>
              <w:pStyle w:val="TableBodyText"/>
            </w:pPr>
            <w:r>
              <w:t>The left border shall b</w:t>
            </w:r>
            <w:r>
              <w:t>e a 3/4 pt inset line.</w:t>
            </w:r>
          </w:p>
          <w:p w:rsidR="000A156F" w:rsidRDefault="00A9721F">
            <w:pPr>
              <w:pStyle w:val="TableBodyText"/>
            </w:pPr>
            <w:r>
              <w:t>The bottom border shall be a 3/4 pt inset line.</w:t>
            </w:r>
          </w:p>
          <w:p w:rsidR="000A156F" w:rsidRDefault="00A9721F">
            <w:pPr>
              <w:pStyle w:val="TableBodyText"/>
            </w:pPr>
            <w:r>
              <w:t>The right border shall be a 3/4 pt inset line.</w:t>
            </w:r>
          </w:p>
          <w:p w:rsidR="000A156F" w:rsidRDefault="00A9721F">
            <w:pPr>
              <w:pStyle w:val="TableBodyText"/>
            </w:pPr>
            <w:r>
              <w:t>The inside horizontal border shall be a 3/4 pt inset line.</w:t>
            </w:r>
          </w:p>
          <w:p w:rsidR="000A156F" w:rsidRDefault="00A9721F">
            <w:pPr>
              <w:pStyle w:val="TableBodyText"/>
            </w:pPr>
            <w:r>
              <w:t>The inside vertical border shall be a 3/4 pt inset line.</w:t>
            </w:r>
          </w:p>
          <w:p w:rsidR="000A156F" w:rsidRDefault="00A9721F">
            <w:pPr>
              <w:pStyle w:val="TableBodyText"/>
            </w:pPr>
            <w:r>
              <w:t>The vertical alignment</w:t>
            </w:r>
            <w:r>
              <w:t xml:space="preserve"> shall be top.</w:t>
            </w:r>
          </w:p>
          <w:p w:rsidR="000A156F" w:rsidRDefault="00A9721F">
            <w:pPr>
              <w:pStyle w:val="TableBodyText"/>
            </w:pPr>
            <w:r>
              <w:t>The cell spacing shall be 20 twips.</w:t>
            </w:r>
          </w:p>
          <w:p w:rsidR="000A156F" w:rsidRDefault="000A156F">
            <w:pPr>
              <w:pStyle w:val="TableBodyText"/>
            </w:pPr>
          </w:p>
        </w:tc>
      </w:tr>
      <w:tr w:rsidR="000A156F" w:rsidTr="000A156F">
        <w:tc>
          <w:tcPr>
            <w:tcW w:w="0" w:type="auto"/>
            <w:vAlign w:val="center"/>
          </w:tcPr>
          <w:p w:rsidR="000A156F" w:rsidRDefault="00A9721F">
            <w:pPr>
              <w:pStyle w:val="TableBodyText"/>
            </w:pPr>
            <w:r>
              <w:t>42 (Web 3)</w:t>
            </w:r>
          </w:p>
          <w:p w:rsidR="000A156F" w:rsidRDefault="000A156F">
            <w:pPr>
              <w:pStyle w:val="TableBodyText"/>
            </w:pPr>
          </w:p>
        </w:tc>
        <w:tc>
          <w:tcPr>
            <w:tcW w:w="0" w:type="auto"/>
            <w:vAlign w:val="center"/>
          </w:tcPr>
          <w:p w:rsidR="000A156F" w:rsidRDefault="00A9721F">
            <w:pPr>
              <w:pStyle w:val="TableBodyText"/>
            </w:pPr>
            <w:r>
              <w:t>The table shall have the following properties:</w:t>
            </w:r>
          </w:p>
          <w:p w:rsidR="000A156F" w:rsidRDefault="00A9721F">
            <w:pPr>
              <w:pStyle w:val="TableBodyText"/>
            </w:pPr>
            <w:r>
              <w:t>The top border shall be a 2 1/4 pt outset line.</w:t>
            </w:r>
          </w:p>
          <w:p w:rsidR="000A156F" w:rsidRDefault="00A9721F">
            <w:pPr>
              <w:pStyle w:val="TableBodyText"/>
            </w:pPr>
            <w:r>
              <w:t>The left border shall be a 2 1/4 pt outset line.</w:t>
            </w:r>
          </w:p>
          <w:p w:rsidR="000A156F" w:rsidRDefault="00A9721F">
            <w:pPr>
              <w:pStyle w:val="TableBodyText"/>
            </w:pPr>
            <w:r>
              <w:t xml:space="preserve">The bottom border shall be a 2 1/4 pt outset </w:t>
            </w:r>
            <w:r>
              <w:t>line.</w:t>
            </w:r>
          </w:p>
          <w:p w:rsidR="000A156F" w:rsidRDefault="00A9721F">
            <w:pPr>
              <w:pStyle w:val="TableBodyText"/>
            </w:pPr>
            <w:r>
              <w:t>The right border shall be a 2 1/4 pt outset line.</w:t>
            </w:r>
          </w:p>
          <w:p w:rsidR="000A156F" w:rsidRDefault="00A9721F">
            <w:pPr>
              <w:pStyle w:val="TableBodyText"/>
            </w:pPr>
            <w:r>
              <w:t>The inside horizontal border shall be a 3/4 pt outset line.</w:t>
            </w:r>
          </w:p>
          <w:p w:rsidR="000A156F" w:rsidRDefault="00A9721F">
            <w:pPr>
              <w:pStyle w:val="TableBodyText"/>
            </w:pPr>
            <w:r>
              <w:t>The inside vertical border shall be a 3/4 pt outset line.</w:t>
            </w:r>
          </w:p>
          <w:p w:rsidR="000A156F" w:rsidRDefault="00A9721F">
            <w:pPr>
              <w:pStyle w:val="TableBodyText"/>
            </w:pPr>
            <w:r>
              <w:t>The vertical alignment shall be top.</w:t>
            </w:r>
          </w:p>
          <w:p w:rsidR="000A156F" w:rsidRDefault="00A9721F">
            <w:pPr>
              <w:pStyle w:val="TableBodyText"/>
            </w:pPr>
            <w:r>
              <w:t>The cell spacing shall be 20 twips.</w:t>
            </w:r>
          </w:p>
          <w:p w:rsidR="000A156F" w:rsidRDefault="000A156F">
            <w:pPr>
              <w:pStyle w:val="TableBodyText"/>
            </w:pPr>
          </w:p>
        </w:tc>
      </w:tr>
    </w:tbl>
    <w:p w:rsidR="000A156F" w:rsidRDefault="000A156F"/>
    <w:p w:rsidR="000A156F" w:rsidRDefault="00A9721F">
      <w:pPr>
        <w:pStyle w:val="Definition-Field"/>
      </w:pPr>
      <w:r>
        <w:t xml:space="preserve">c.   </w:t>
      </w:r>
      <w:r>
        <w:rPr>
          <w:i/>
        </w:rPr>
        <w:t>T</w:t>
      </w:r>
      <w:r>
        <w:rPr>
          <w:i/>
        </w:rPr>
        <w:t>he standard does not specify any restriction on the set of SQL instructions included with the \s switch.</w:t>
      </w:r>
    </w:p>
    <w:p w:rsidR="000A156F" w:rsidRDefault="00A9721F">
      <w:pPr>
        <w:pStyle w:val="Definition-Field2"/>
      </w:pPr>
      <w:r>
        <w:t>Word does not allow SQL commands that attempt to make changes to the data source (Drop Table, Insert, and so on).</w:t>
      </w:r>
    </w:p>
    <w:p w:rsidR="000A156F" w:rsidRDefault="00A9721F">
      <w:pPr>
        <w:pStyle w:val="Definition-Field"/>
      </w:pPr>
      <w:r>
        <w:t xml:space="preserve">d.   </w:t>
      </w:r>
      <w:r>
        <w:rPr>
          <w:i/>
        </w:rPr>
        <w:t>The standard says that if the \l</w:t>
      </w:r>
      <w:r>
        <w:rPr>
          <w:i/>
        </w:rPr>
        <w:t xml:space="preserve"> switch is blank, the \b switch value is 16 (Autofit).</w:t>
      </w:r>
    </w:p>
    <w:p w:rsidR="000A156F" w:rsidRDefault="00A9721F">
      <w:pPr>
        <w:pStyle w:val="Definition-Field2"/>
      </w:pPr>
      <w:r>
        <w:t>In Word, if the \l switch is blank or omitted, the \b bitmask for Autofit is the only one that will affect the display of the table.</w:t>
      </w:r>
    </w:p>
    <w:p w:rsidR="000A156F" w:rsidRDefault="00A9721F">
      <w:pPr>
        <w:pStyle w:val="Definition-Field"/>
      </w:pPr>
      <w:r>
        <w:t xml:space="preserve">e.   </w:t>
      </w:r>
      <w:r>
        <w:rPr>
          <w:i/>
        </w:rPr>
        <w:t xml:space="preserve">The standard says that if the number of columns is 62 or more, </w:t>
      </w:r>
      <w:r>
        <w:rPr>
          <w:i/>
        </w:rPr>
        <w:t>the field inserts the results of a query in columns separated by tabs.</w:t>
      </w:r>
    </w:p>
    <w:p w:rsidR="000A156F" w:rsidRDefault="00A9721F">
      <w:pPr>
        <w:pStyle w:val="Definition-Field2"/>
      </w:pPr>
      <w:r>
        <w:t>In Word, the results of the query are inserted in columns separated by tabs if the number of columns in the data source is 64 or more.</w:t>
      </w:r>
    </w:p>
    <w:p w:rsidR="000A156F" w:rsidRDefault="00A9721F">
      <w:pPr>
        <w:pStyle w:val="Definition-Field"/>
      </w:pPr>
      <w:r>
        <w:lastRenderedPageBreak/>
        <w:t xml:space="preserve">f.   </w:t>
      </w:r>
      <w:r>
        <w:rPr>
          <w:i/>
        </w:rPr>
        <w:t>The standard says the \c switch specifies a c</w:t>
      </w:r>
      <w:r>
        <w:rPr>
          <w:i/>
        </w:rPr>
        <w:t>onnection string for accessing the data source.</w:t>
      </w:r>
    </w:p>
    <w:p w:rsidR="000A156F" w:rsidRDefault="00A9721F">
      <w:pPr>
        <w:pStyle w:val="Definition-Field2"/>
      </w:pPr>
      <w:r>
        <w:t>Word does not use the connection string specified by the \c switch.</w:t>
      </w:r>
    </w:p>
    <w:p w:rsidR="000A156F" w:rsidRDefault="00A9721F">
      <w:pPr>
        <w:pStyle w:val="Heading3"/>
      </w:pPr>
      <w:bookmarkStart w:id="958" w:name="section_a5654a9f5dda4ec7bc38e48f50e4b435"/>
      <w:bookmarkStart w:id="959" w:name="_Toc181683505"/>
      <w:r>
        <w:t>Part 1 Section 17.16.5.13, DATE</w:t>
      </w:r>
      <w:bookmarkEnd w:id="958"/>
      <w:bookmarkEnd w:id="959"/>
      <w:r>
        <w:fldChar w:fldCharType="begin"/>
      </w:r>
      <w:r>
        <w:instrText xml:space="preserve"> XE "DATE" </w:instrText>
      </w:r>
      <w:r>
        <w:fldChar w:fldCharType="end"/>
      </w:r>
    </w:p>
    <w:p w:rsidR="000A156F" w:rsidRDefault="00A9721F">
      <w:pPr>
        <w:pStyle w:val="Definition-Field"/>
      </w:pPr>
      <w:r>
        <w:t xml:space="preserve">a.   </w:t>
      </w:r>
      <w:r>
        <w:rPr>
          <w:i/>
        </w:rPr>
        <w:t>The standard says the default calendar is Gregorian.</w:t>
      </w:r>
    </w:p>
    <w:p w:rsidR="000A156F" w:rsidRDefault="00A9721F">
      <w:pPr>
        <w:pStyle w:val="Definition-Field2"/>
      </w:pPr>
      <w:r>
        <w:t>In Word, the default calendar depends</w:t>
      </w:r>
      <w:r>
        <w:t xml:space="preserve"> on the locale.</w:t>
      </w:r>
    </w:p>
    <w:p w:rsidR="000A156F" w:rsidRDefault="00A9721F">
      <w:pPr>
        <w:pStyle w:val="Heading3"/>
      </w:pPr>
      <w:bookmarkStart w:id="960" w:name="section_e4275abe6a7542c2b2f0eb8f9f7cbe2c"/>
      <w:bookmarkStart w:id="961" w:name="_Toc181683506"/>
      <w:r>
        <w:t>Part 1 Section 17.16.5.14, DOCPROPERTY</w:t>
      </w:r>
      <w:bookmarkEnd w:id="960"/>
      <w:bookmarkEnd w:id="961"/>
      <w:r>
        <w:fldChar w:fldCharType="begin"/>
      </w:r>
      <w:r>
        <w:instrText xml:space="preserve"> XE "DOCPROPERTY" </w:instrText>
      </w:r>
      <w:r>
        <w:fldChar w:fldCharType="end"/>
      </w:r>
    </w:p>
    <w:p w:rsidR="000A156F" w:rsidRDefault="00A9721F">
      <w:pPr>
        <w:pStyle w:val="Definition-Field"/>
      </w:pPr>
      <w:r>
        <w:t xml:space="preserve">a.   </w:t>
      </w:r>
      <w:r>
        <w:rPr>
          <w:i/>
        </w:rPr>
        <w:t>The standard does not say that Custom document properties can be specified in the DOCPROPERTY field.</w:t>
      </w:r>
    </w:p>
    <w:p w:rsidR="000A156F" w:rsidRDefault="00A9721F">
      <w:pPr>
        <w:pStyle w:val="Definition-Field2"/>
      </w:pPr>
      <w:r>
        <w:t>In Word, Custom document properties can be specified by name in the DOCPROP</w:t>
      </w:r>
      <w:r>
        <w:t>ERTY field.</w:t>
      </w:r>
    </w:p>
    <w:p w:rsidR="000A156F" w:rsidRDefault="00A9721F">
      <w:pPr>
        <w:pStyle w:val="Definition-Field"/>
      </w:pPr>
      <w:r>
        <w:t xml:space="preserve">b.   </w:t>
      </w:r>
      <w:r>
        <w:rPr>
          <w:i/>
        </w:rPr>
        <w:t>The standard says that the Keywords and Words categories don't have any equivalent fields.</w:t>
      </w:r>
    </w:p>
    <w:p w:rsidR="000A156F" w:rsidRDefault="00A9721F">
      <w:pPr>
        <w:pStyle w:val="Definition-Field2"/>
      </w:pPr>
      <w:r>
        <w:t>In Word, the Keywords and Words categories are equivalent to the Keywords and NumWords fields.</w:t>
      </w:r>
    </w:p>
    <w:p w:rsidR="000A156F" w:rsidRDefault="00A9721F">
      <w:pPr>
        <w:pStyle w:val="Heading3"/>
      </w:pPr>
      <w:bookmarkStart w:id="962" w:name="section_784e4943f18a405e8483182e618231a2"/>
      <w:bookmarkStart w:id="963" w:name="_Toc181683507"/>
      <w:r>
        <w:t>Part 1 Section 17.16.5.17, FILENAME</w:t>
      </w:r>
      <w:bookmarkEnd w:id="962"/>
      <w:bookmarkEnd w:id="963"/>
      <w:r>
        <w:fldChar w:fldCharType="begin"/>
      </w:r>
      <w:r>
        <w:instrText xml:space="preserve"> XE "FILENAME" </w:instrText>
      </w:r>
      <w:r>
        <w:fldChar w:fldCharType="end"/>
      </w:r>
    </w:p>
    <w:p w:rsidR="000A156F" w:rsidRDefault="00A9721F">
      <w:pPr>
        <w:pStyle w:val="Definition-Field"/>
      </w:pPr>
      <w:r>
        <w:t xml:space="preserve">a.   </w:t>
      </w:r>
      <w:r>
        <w:rPr>
          <w:i/>
        </w:rPr>
        <w:t>The standard says a FILENAME field must use a general-formatting-switch.</w:t>
      </w:r>
    </w:p>
    <w:p w:rsidR="000A156F" w:rsidRDefault="00A9721F">
      <w:pPr>
        <w:pStyle w:val="Definition-Field2"/>
      </w:pPr>
      <w:r>
        <w:t>In Word, using a general-formatting-switch in a FILENAME field is optional.</w:t>
      </w:r>
    </w:p>
    <w:p w:rsidR="000A156F" w:rsidRDefault="00A9721F">
      <w:pPr>
        <w:pStyle w:val="Heading3"/>
      </w:pPr>
      <w:bookmarkStart w:id="964" w:name="section_25aa9afa28e246f0871e6dfdff199b11"/>
      <w:bookmarkStart w:id="965" w:name="_Toc181683508"/>
      <w:r>
        <w:t>Part 1 Section 17.16.5.18, FILESIZE</w:t>
      </w:r>
      <w:bookmarkEnd w:id="964"/>
      <w:bookmarkEnd w:id="965"/>
      <w:r>
        <w:fldChar w:fldCharType="begin"/>
      </w:r>
      <w:r>
        <w:instrText xml:space="preserve"> XE "FILESIZE" </w:instrText>
      </w:r>
      <w:r>
        <w:fldChar w:fldCharType="end"/>
      </w:r>
    </w:p>
    <w:p w:rsidR="000A156F" w:rsidRDefault="00A9721F">
      <w:pPr>
        <w:pStyle w:val="Definition-Field"/>
      </w:pPr>
      <w:r>
        <w:t xml:space="preserve">a.   </w:t>
      </w:r>
      <w:r>
        <w:rPr>
          <w:i/>
        </w:rPr>
        <w:t>The standard says that the switches cause th</w:t>
      </w:r>
      <w:r>
        <w:rPr>
          <w:i/>
        </w:rPr>
        <w:t>e result to be rounded to the nearest kilobyte or megabyte.</w:t>
      </w:r>
    </w:p>
    <w:p w:rsidR="000A156F" w:rsidRDefault="00A9721F">
      <w:pPr>
        <w:pStyle w:val="Definition-Field2"/>
      </w:pPr>
      <w:r>
        <w:t>Word rounds to the nearest thousand bytes and million bytes.</w:t>
      </w:r>
    </w:p>
    <w:p w:rsidR="000A156F" w:rsidRDefault="00A9721F">
      <w:pPr>
        <w:pStyle w:val="Heading3"/>
      </w:pPr>
      <w:bookmarkStart w:id="966" w:name="section_dc94db725d5f4aceae06e7bd722a3dab"/>
      <w:bookmarkStart w:id="967" w:name="_Toc181683509"/>
      <w:r>
        <w:t>Part 1 Section 17.16.5.20, FORMCHECKBOX</w:t>
      </w:r>
      <w:bookmarkEnd w:id="966"/>
      <w:bookmarkEnd w:id="967"/>
      <w:r>
        <w:fldChar w:fldCharType="begin"/>
      </w:r>
      <w:r>
        <w:instrText xml:space="preserve"> XE "FORMCHECKBOX" </w:instrText>
      </w:r>
      <w:r>
        <w:fldChar w:fldCharType="end"/>
      </w:r>
    </w:p>
    <w:p w:rsidR="000A156F" w:rsidRDefault="00A9721F">
      <w:pPr>
        <w:pStyle w:val="Definition-Field"/>
      </w:pPr>
      <w:r>
        <w:t xml:space="preserve">a.   </w:t>
      </w:r>
      <w:r>
        <w:rPr>
          <w:i/>
        </w:rPr>
        <w:t>The standard allows the FORMCHECKBOX field to be nested inside anothe</w:t>
      </w:r>
      <w:r>
        <w:rPr>
          <w:i/>
        </w:rPr>
        <w:t>r field.</w:t>
      </w:r>
    </w:p>
    <w:p w:rsidR="000A156F" w:rsidRDefault="00A9721F">
      <w:pPr>
        <w:pStyle w:val="Definition-Field2"/>
      </w:pPr>
      <w:r>
        <w:t>In Word, if the FORMCHECKBOX field is nested inside another field, no result is displayed.</w:t>
      </w:r>
    </w:p>
    <w:p w:rsidR="000A156F" w:rsidRDefault="00A9721F">
      <w:pPr>
        <w:pStyle w:val="Heading3"/>
      </w:pPr>
      <w:bookmarkStart w:id="968" w:name="section_3e69c23d9a6b4689b9a8c3d77e39567e"/>
      <w:bookmarkStart w:id="969" w:name="_Toc181683510"/>
      <w:r>
        <w:t>Part 1 Section 17.16.5.21, FORMDROPDOWN</w:t>
      </w:r>
      <w:bookmarkEnd w:id="968"/>
      <w:bookmarkEnd w:id="969"/>
      <w:r>
        <w:fldChar w:fldCharType="begin"/>
      </w:r>
      <w:r>
        <w:instrText xml:space="preserve"> XE "FORMDROPDOWN" </w:instrText>
      </w:r>
      <w:r>
        <w:fldChar w:fldCharType="end"/>
      </w:r>
    </w:p>
    <w:p w:rsidR="000A156F" w:rsidRDefault="00A9721F">
      <w:pPr>
        <w:pStyle w:val="Definition-Field"/>
      </w:pPr>
      <w:r>
        <w:t xml:space="preserve">a.   </w:t>
      </w:r>
      <w:r>
        <w:rPr>
          <w:i/>
        </w:rPr>
        <w:t>The standard allows the FORMDROPDOWN field to be nested inside another field.</w:t>
      </w:r>
    </w:p>
    <w:p w:rsidR="000A156F" w:rsidRDefault="00A9721F">
      <w:pPr>
        <w:pStyle w:val="Definition-Field2"/>
      </w:pPr>
      <w:r>
        <w:t xml:space="preserve">In Word, if </w:t>
      </w:r>
      <w:r>
        <w:t>the FORMDROPDOWN field is nested inside another field, no result is displayed.</w:t>
      </w:r>
    </w:p>
    <w:p w:rsidR="000A156F" w:rsidRDefault="00A9721F">
      <w:pPr>
        <w:pStyle w:val="Heading3"/>
      </w:pPr>
      <w:bookmarkStart w:id="970" w:name="section_88d009e20f714add9d1efd0bc02d9ca2"/>
      <w:bookmarkStart w:id="971" w:name="_Toc181683511"/>
      <w:r>
        <w:t>Part 1 Section 17.16.5.23, GOTOBUTTON</w:t>
      </w:r>
      <w:bookmarkEnd w:id="970"/>
      <w:bookmarkEnd w:id="971"/>
      <w:r>
        <w:fldChar w:fldCharType="begin"/>
      </w:r>
      <w:r>
        <w:instrText xml:space="preserve"> XE "GOTOBUTTON" </w:instrText>
      </w:r>
      <w:r>
        <w:fldChar w:fldCharType="end"/>
      </w:r>
    </w:p>
    <w:p w:rsidR="000A156F" w:rsidRDefault="00A9721F">
      <w:pPr>
        <w:pStyle w:val="Definition-Field"/>
      </w:pPr>
      <w:r>
        <w:t xml:space="preserve">a.   </w:t>
      </w:r>
      <w:r>
        <w:rPr>
          <w:i/>
        </w:rPr>
        <w:t>The standard does not state how to interpret % in field-argument-1 for the GOTOBUTTON field.</w:t>
      </w:r>
    </w:p>
    <w:p w:rsidR="000A156F" w:rsidRDefault="00A9721F">
      <w:pPr>
        <w:pStyle w:val="Definition-Field2"/>
      </w:pPr>
      <w:r>
        <w:t>Word uses % in field-a</w:t>
      </w:r>
      <w:r>
        <w:t>rgument-1 to specify a percentage of the document as a target for the GOTOBUTTON field.</w:t>
      </w:r>
    </w:p>
    <w:p w:rsidR="000A156F" w:rsidRDefault="00A9721F">
      <w:pPr>
        <w:pStyle w:val="Definition-Field"/>
      </w:pPr>
      <w:r>
        <w:t xml:space="preserve">b.   </w:t>
      </w:r>
      <w:r>
        <w:rPr>
          <w:i/>
        </w:rPr>
        <w:t>The standard allows a GOTOBUTTON field to be nested inside another field.</w:t>
      </w:r>
    </w:p>
    <w:p w:rsidR="000A156F" w:rsidRDefault="00A9721F">
      <w:pPr>
        <w:pStyle w:val="Definition-Field2"/>
      </w:pPr>
      <w:r>
        <w:t>In Word, if a GOTOBUTTON field is nested inside another field, no result is displayed.</w:t>
      </w:r>
    </w:p>
    <w:p w:rsidR="000A156F" w:rsidRDefault="00A9721F">
      <w:pPr>
        <w:pStyle w:val="Heading3"/>
      </w:pPr>
      <w:bookmarkStart w:id="972" w:name="section_7c6c5a820257412fb723ee973a8febe9"/>
      <w:bookmarkStart w:id="973" w:name="_Toc181683512"/>
      <w:r>
        <w:lastRenderedPageBreak/>
        <w:t>Pa</w:t>
      </w:r>
      <w:r>
        <w:t>rt 1 Section 17.16.5.24, GREETINGLINE</w:t>
      </w:r>
      <w:bookmarkEnd w:id="972"/>
      <w:bookmarkEnd w:id="973"/>
      <w:r>
        <w:fldChar w:fldCharType="begin"/>
      </w:r>
      <w:r>
        <w:instrText xml:space="preserve"> XE "GREETINGLINE" </w:instrText>
      </w:r>
      <w:r>
        <w:fldChar w:fldCharType="end"/>
      </w:r>
    </w:p>
    <w:p w:rsidR="000A156F" w:rsidRDefault="00A9721F">
      <w:pPr>
        <w:pStyle w:val="Definition-Field"/>
      </w:pPr>
      <w:r>
        <w:t xml:space="preserve">a.   </w:t>
      </w:r>
      <w:r>
        <w:rPr>
          <w:i/>
        </w:rPr>
        <w:t>The standard defines \c as both the alternate text switch and the format switch.</w:t>
      </w:r>
    </w:p>
    <w:p w:rsidR="000A156F" w:rsidRDefault="00A9721F">
      <w:pPr>
        <w:pStyle w:val="Definition-Field2"/>
      </w:pPr>
      <w:r>
        <w:t>In Word, the format switch is \f.</w:t>
      </w:r>
    </w:p>
    <w:p w:rsidR="000A156F" w:rsidRDefault="00A9721F">
      <w:pPr>
        <w:pStyle w:val="Definition-Field"/>
      </w:pPr>
      <w:r>
        <w:t xml:space="preserve">b.   </w:t>
      </w:r>
      <w:r>
        <w:rPr>
          <w:i/>
        </w:rPr>
        <w:t xml:space="preserve">The standard does not explain how the \f switch specifies the format of </w:t>
      </w:r>
      <w:r>
        <w:rPr>
          <w:i/>
        </w:rPr>
        <w:t>the field value.</w:t>
      </w:r>
    </w:p>
    <w:p w:rsidR="000A156F" w:rsidRDefault="00A9721F">
      <w:r>
        <w:t xml:space="preserve">In Word, the text in this switch's field-argument specifies the greeting line format by providing placeholders which reference a </w:t>
      </w:r>
      <w:r>
        <w:rPr>
          <w:b/>
        </w:rPr>
        <w:t>fieldMapData</w:t>
      </w:r>
      <w:r>
        <w:t xml:space="preserve"> element ("</w:t>
      </w:r>
      <w:hyperlink r:id="rId114">
        <w:r>
          <w:rPr>
            <w:rStyle w:val="Hyperlink"/>
          </w:rPr>
          <w:t>[ISO/IEC-29500-1]</w:t>
        </w:r>
      </w:hyperlink>
      <w:r>
        <w:t xml:space="preserve"> §17</w:t>
      </w:r>
      <w:r>
        <w:t xml:space="preserve">.14.15;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0A156F" w:rsidRDefault="00A9721F">
      <w:r>
        <w:t>The following are the pos</w:t>
      </w:r>
      <w:r>
        <w:t>sible placeholders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PLACEHOLDER</w:t>
            </w:r>
          </w:p>
        </w:tc>
        <w:tc>
          <w:tcPr>
            <w:tcW w:w="0" w:type="auto"/>
            <w:vAlign w:val="center"/>
          </w:tcPr>
          <w:p w:rsidR="000A156F" w:rsidRDefault="00A9721F">
            <w:pPr>
              <w:pStyle w:val="TableHeaderText"/>
            </w:pPr>
            <w:r>
              <w:t>ALTERNATE PLACEHOLDER</w:t>
            </w:r>
          </w:p>
        </w:tc>
        <w:tc>
          <w:tcPr>
            <w:tcW w:w="0" w:type="auto"/>
            <w:vAlign w:val="center"/>
          </w:tcPr>
          <w:p w:rsidR="000A156F" w:rsidRDefault="00A9721F">
            <w:pPr>
              <w:pStyle w:val="TableHeaderText"/>
            </w:pPr>
            <w:r>
              <w:t>mappedName</w:t>
            </w:r>
          </w:p>
        </w:tc>
      </w:tr>
      <w:tr w:rsidR="000A156F" w:rsidTr="000A156F">
        <w:tc>
          <w:tcPr>
            <w:tcW w:w="0" w:type="auto"/>
            <w:vAlign w:val="center"/>
          </w:tcPr>
          <w:p w:rsidR="000A156F" w:rsidRDefault="00A9721F">
            <w:pPr>
              <w:pStyle w:val="TableBodyText"/>
            </w:pPr>
            <w:r>
              <w:t>_BEFORE_ text</w:t>
            </w:r>
          </w:p>
        </w:tc>
        <w:tc>
          <w:tcPr>
            <w:tcW w:w="0" w:type="auto"/>
            <w:vAlign w:val="center"/>
          </w:tcPr>
          <w:p w:rsidR="000A156F" w:rsidRDefault="00A9721F">
            <w:pPr>
              <w:pStyle w:val="TableBodyText"/>
            </w:pPr>
            <w:r>
              <w:t>/g text</w:t>
            </w:r>
          </w:p>
        </w:tc>
        <w:tc>
          <w:tcPr>
            <w:tcW w:w="0" w:type="auto"/>
            <w:vAlign w:val="center"/>
          </w:tcPr>
          <w:p w:rsidR="000A156F" w:rsidRDefault="00A9721F">
            <w:pPr>
              <w:pStyle w:val="TableBodyText"/>
            </w:pPr>
            <w:r>
              <w:t>This placeholder specifies that text shall be inserted before the greeting line.</w:t>
            </w:r>
          </w:p>
        </w:tc>
      </w:tr>
      <w:tr w:rsidR="000A156F" w:rsidTr="000A156F">
        <w:tc>
          <w:tcPr>
            <w:tcW w:w="0" w:type="auto"/>
            <w:vAlign w:val="center"/>
          </w:tcPr>
          <w:p w:rsidR="000A156F" w:rsidRDefault="00A9721F">
            <w:pPr>
              <w:pStyle w:val="TableBodyText"/>
            </w:pPr>
            <w:r>
              <w:t>_AFTER_ text</w:t>
            </w:r>
          </w:p>
        </w:tc>
        <w:tc>
          <w:tcPr>
            <w:tcW w:w="0" w:type="auto"/>
            <w:vAlign w:val="center"/>
          </w:tcPr>
          <w:p w:rsidR="000A156F" w:rsidRDefault="00A9721F">
            <w:pPr>
              <w:pStyle w:val="TableBodyText"/>
            </w:pPr>
            <w:r>
              <w:t>/x text</w:t>
            </w:r>
          </w:p>
        </w:tc>
        <w:tc>
          <w:tcPr>
            <w:tcW w:w="0" w:type="auto"/>
            <w:vAlign w:val="center"/>
          </w:tcPr>
          <w:p w:rsidR="000A156F" w:rsidRDefault="00A9721F">
            <w:pPr>
              <w:pStyle w:val="TableBodyText"/>
            </w:pPr>
            <w:r>
              <w:t xml:space="preserve">This </w:t>
            </w:r>
            <w:r>
              <w:t>placeholder specifies that text shall be inserted after the greeting line.</w:t>
            </w:r>
          </w:p>
        </w:tc>
      </w:tr>
      <w:tr w:rsidR="000A156F" w:rsidTr="000A156F">
        <w:tc>
          <w:tcPr>
            <w:tcW w:w="0" w:type="auto"/>
            <w:vAlign w:val="center"/>
          </w:tcPr>
          <w:p w:rsidR="000A156F" w:rsidRDefault="00A9721F">
            <w:pPr>
              <w:pStyle w:val="TableBodyText"/>
            </w:pPr>
            <w:r>
              <w:t>_TITLE0_</w:t>
            </w:r>
          </w:p>
        </w:tc>
        <w:tc>
          <w:tcPr>
            <w:tcW w:w="0" w:type="auto"/>
            <w:vAlign w:val="center"/>
          </w:tcPr>
          <w:p w:rsidR="000A156F" w:rsidRDefault="00A9721F">
            <w:pPr>
              <w:pStyle w:val="TableBodyText"/>
            </w:pPr>
            <w:r>
              <w:t>/t0</w:t>
            </w:r>
          </w:p>
        </w:tc>
        <w:tc>
          <w:tcPr>
            <w:tcW w:w="0" w:type="auto"/>
            <w:vAlign w:val="center"/>
          </w:tcPr>
          <w:p w:rsidR="000A156F" w:rsidRDefault="00A9721F">
            <w:pPr>
              <w:pStyle w:val="TableBodyText"/>
            </w:pPr>
            <w:r>
              <w:t>Courtesy Title</w:t>
            </w:r>
          </w:p>
        </w:tc>
      </w:tr>
      <w:tr w:rsidR="000A156F" w:rsidTr="000A156F">
        <w:tc>
          <w:tcPr>
            <w:tcW w:w="0" w:type="auto"/>
            <w:vAlign w:val="center"/>
          </w:tcPr>
          <w:p w:rsidR="000A156F" w:rsidRDefault="00A9721F">
            <w:pPr>
              <w:pStyle w:val="TableBodyText"/>
            </w:pPr>
            <w:r>
              <w:t>_NICK0_</w:t>
            </w:r>
          </w:p>
        </w:tc>
        <w:tc>
          <w:tcPr>
            <w:tcW w:w="0" w:type="auto"/>
            <w:vAlign w:val="center"/>
          </w:tcPr>
          <w:p w:rsidR="000A156F" w:rsidRDefault="00A9721F">
            <w:pPr>
              <w:pStyle w:val="TableBodyText"/>
            </w:pPr>
            <w:r>
              <w:t>/n0</w:t>
            </w:r>
          </w:p>
        </w:tc>
        <w:tc>
          <w:tcPr>
            <w:tcW w:w="0" w:type="auto"/>
            <w:vAlign w:val="center"/>
          </w:tcPr>
          <w:p w:rsidR="000A156F" w:rsidRDefault="00A9721F">
            <w:pPr>
              <w:pStyle w:val="TableBodyText"/>
            </w:pPr>
            <w:r>
              <w:t>Nickname</w:t>
            </w:r>
          </w:p>
        </w:tc>
      </w:tr>
      <w:tr w:rsidR="000A156F" w:rsidTr="000A156F">
        <w:tc>
          <w:tcPr>
            <w:tcW w:w="0" w:type="auto"/>
            <w:vAlign w:val="center"/>
          </w:tcPr>
          <w:p w:rsidR="000A156F" w:rsidRDefault="00A9721F">
            <w:pPr>
              <w:pStyle w:val="TableBodyText"/>
            </w:pPr>
            <w:r>
              <w:t>_FIRST0_</w:t>
            </w:r>
          </w:p>
        </w:tc>
        <w:tc>
          <w:tcPr>
            <w:tcW w:w="0" w:type="auto"/>
            <w:vAlign w:val="center"/>
          </w:tcPr>
          <w:p w:rsidR="000A156F" w:rsidRDefault="00A9721F">
            <w:pPr>
              <w:pStyle w:val="TableBodyText"/>
            </w:pPr>
            <w:r>
              <w:t>/f0</w:t>
            </w:r>
          </w:p>
        </w:tc>
        <w:tc>
          <w:tcPr>
            <w:tcW w:w="0" w:type="auto"/>
            <w:vAlign w:val="center"/>
          </w:tcPr>
          <w:p w:rsidR="000A156F" w:rsidRDefault="00A9721F">
            <w:pPr>
              <w:pStyle w:val="TableBodyText"/>
            </w:pPr>
            <w:r>
              <w:t>First Name</w:t>
            </w:r>
          </w:p>
        </w:tc>
      </w:tr>
      <w:tr w:rsidR="000A156F" w:rsidTr="000A156F">
        <w:tc>
          <w:tcPr>
            <w:tcW w:w="0" w:type="auto"/>
            <w:vAlign w:val="center"/>
          </w:tcPr>
          <w:p w:rsidR="000A156F" w:rsidRDefault="00A9721F">
            <w:pPr>
              <w:pStyle w:val="TableBodyText"/>
            </w:pPr>
            <w:r>
              <w:t>_LAST0_</w:t>
            </w:r>
          </w:p>
        </w:tc>
        <w:tc>
          <w:tcPr>
            <w:tcW w:w="0" w:type="auto"/>
            <w:vAlign w:val="center"/>
          </w:tcPr>
          <w:p w:rsidR="000A156F" w:rsidRDefault="00A9721F">
            <w:pPr>
              <w:pStyle w:val="TableBodyText"/>
            </w:pPr>
            <w:r>
              <w:t>/l0</w:t>
            </w:r>
          </w:p>
        </w:tc>
        <w:tc>
          <w:tcPr>
            <w:tcW w:w="0" w:type="auto"/>
            <w:vAlign w:val="center"/>
          </w:tcPr>
          <w:p w:rsidR="000A156F" w:rsidRDefault="00A9721F">
            <w:pPr>
              <w:pStyle w:val="TableBodyText"/>
            </w:pPr>
            <w:r>
              <w:t>Last Name</w:t>
            </w:r>
          </w:p>
        </w:tc>
      </w:tr>
      <w:tr w:rsidR="000A156F" w:rsidTr="000A156F">
        <w:tc>
          <w:tcPr>
            <w:tcW w:w="0" w:type="auto"/>
            <w:vAlign w:val="center"/>
          </w:tcPr>
          <w:p w:rsidR="000A156F" w:rsidRDefault="00A9721F">
            <w:pPr>
              <w:pStyle w:val="TableBodyText"/>
            </w:pPr>
            <w:r>
              <w:t>_SUFFIX0_</w:t>
            </w:r>
          </w:p>
        </w:tc>
        <w:tc>
          <w:tcPr>
            <w:tcW w:w="0" w:type="auto"/>
            <w:vAlign w:val="center"/>
          </w:tcPr>
          <w:p w:rsidR="000A156F" w:rsidRDefault="00A9721F">
            <w:pPr>
              <w:pStyle w:val="TableBodyText"/>
            </w:pPr>
            <w:r>
              <w:t>/s0</w:t>
            </w:r>
          </w:p>
        </w:tc>
        <w:tc>
          <w:tcPr>
            <w:tcW w:w="0" w:type="auto"/>
            <w:vAlign w:val="center"/>
          </w:tcPr>
          <w:p w:rsidR="000A156F" w:rsidRDefault="00A9721F">
            <w:pPr>
              <w:pStyle w:val="TableBodyText"/>
            </w:pPr>
            <w:r>
              <w:t>Suffix</w:t>
            </w:r>
          </w:p>
        </w:tc>
      </w:tr>
      <w:tr w:rsidR="000A156F" w:rsidTr="000A156F">
        <w:tc>
          <w:tcPr>
            <w:tcW w:w="0" w:type="auto"/>
            <w:vAlign w:val="center"/>
          </w:tcPr>
          <w:p w:rsidR="000A156F" w:rsidRDefault="00A9721F">
            <w:pPr>
              <w:pStyle w:val="TableBodyText"/>
            </w:pPr>
            <w:r>
              <w:t>_TITLE1_</w:t>
            </w:r>
          </w:p>
        </w:tc>
        <w:tc>
          <w:tcPr>
            <w:tcW w:w="0" w:type="auto"/>
            <w:vAlign w:val="center"/>
          </w:tcPr>
          <w:p w:rsidR="000A156F" w:rsidRDefault="00A9721F">
            <w:pPr>
              <w:pStyle w:val="TableBodyText"/>
            </w:pPr>
            <w:r>
              <w:t>/t1</w:t>
            </w:r>
          </w:p>
        </w:tc>
        <w:tc>
          <w:tcPr>
            <w:tcW w:w="0" w:type="auto"/>
            <w:vAlign w:val="center"/>
          </w:tcPr>
          <w:p w:rsidR="000A156F" w:rsidRDefault="00A9721F">
            <w:pPr>
              <w:pStyle w:val="TableBodyText"/>
            </w:pPr>
            <w:r>
              <w:t>Spouse/Partner Courtesy Title</w:t>
            </w:r>
          </w:p>
        </w:tc>
      </w:tr>
      <w:tr w:rsidR="000A156F" w:rsidTr="000A156F">
        <w:tc>
          <w:tcPr>
            <w:tcW w:w="0" w:type="auto"/>
            <w:vAlign w:val="center"/>
          </w:tcPr>
          <w:p w:rsidR="000A156F" w:rsidRDefault="00A9721F">
            <w:pPr>
              <w:pStyle w:val="TableBodyText"/>
            </w:pPr>
            <w:r>
              <w:t>_FIRST1_</w:t>
            </w:r>
          </w:p>
        </w:tc>
        <w:tc>
          <w:tcPr>
            <w:tcW w:w="0" w:type="auto"/>
            <w:vAlign w:val="center"/>
          </w:tcPr>
          <w:p w:rsidR="000A156F" w:rsidRDefault="00A9721F">
            <w:pPr>
              <w:pStyle w:val="TableBodyText"/>
            </w:pPr>
            <w:r>
              <w:t>/f1</w:t>
            </w:r>
          </w:p>
        </w:tc>
        <w:tc>
          <w:tcPr>
            <w:tcW w:w="0" w:type="auto"/>
            <w:vAlign w:val="center"/>
          </w:tcPr>
          <w:p w:rsidR="000A156F" w:rsidRDefault="00A9721F">
            <w:pPr>
              <w:pStyle w:val="TableBodyText"/>
            </w:pPr>
            <w:r>
              <w:t>Spouse/Partner First Name</w:t>
            </w:r>
          </w:p>
        </w:tc>
      </w:tr>
    </w:tbl>
    <w:p w:rsidR="000A156F" w:rsidRDefault="000A156F"/>
    <w:p w:rsidR="000A156F" w:rsidRDefault="00A9721F">
      <w:r>
        <w:t>The following are the possible greeting line formats.</w:t>
      </w:r>
    </w:p>
    <w:tbl>
      <w:tblPr>
        <w:tblStyle w:val="Table-ShadedHeader"/>
        <w:tblW w:w="0" w:type="auto"/>
        <w:tblLook w:val="04A0" w:firstRow="1" w:lastRow="0" w:firstColumn="1" w:lastColumn="0" w:noHBand="0" w:noVBand="1"/>
      </w:tblPr>
      <w:tblGrid>
        <w:gridCol w:w="547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Greeting Line Formats</w:t>
            </w:r>
          </w:p>
        </w:tc>
      </w:tr>
      <w:tr w:rsidR="000A156F" w:rsidTr="000A156F">
        <w:tc>
          <w:tcPr>
            <w:tcW w:w="0" w:type="auto"/>
            <w:vAlign w:val="center"/>
          </w:tcPr>
          <w:p w:rsidR="000A156F" w:rsidRDefault="00A9721F">
            <w:pPr>
              <w:pStyle w:val="TableBodyText"/>
            </w:pPr>
            <w:r>
              <w:t>&lt;&lt;_TITLE0_&gt;&gt;&lt;&lt;_LAST0_&gt;&gt;</w:t>
            </w:r>
          </w:p>
        </w:tc>
      </w:tr>
      <w:tr w:rsidR="000A156F" w:rsidTr="000A156F">
        <w:tc>
          <w:tcPr>
            <w:tcW w:w="0" w:type="auto"/>
            <w:vAlign w:val="center"/>
          </w:tcPr>
          <w:p w:rsidR="000A156F" w:rsidRDefault="00A9721F">
            <w:pPr>
              <w:pStyle w:val="TableBodyText"/>
            </w:pPr>
            <w:r>
              <w:t>&lt;&lt;_TITLE0_&gt;&gt;&lt;&lt;and _TITLE1_&gt;&gt;&lt;&lt;_LAST0_&gt;&gt;</w:t>
            </w:r>
          </w:p>
        </w:tc>
      </w:tr>
      <w:tr w:rsidR="000A156F" w:rsidTr="000A156F">
        <w:tc>
          <w:tcPr>
            <w:tcW w:w="0" w:type="auto"/>
            <w:vAlign w:val="center"/>
          </w:tcPr>
          <w:p w:rsidR="000A156F" w:rsidRDefault="00A9721F">
            <w:pPr>
              <w:pStyle w:val="TableBodyText"/>
            </w:pPr>
            <w:r>
              <w:t>&lt;&lt;_TITLE0_&gt;&gt;&lt;&lt;_FIRST0_&gt;&gt;&lt;&lt;_LAST0_&gt;&gt;&lt;&lt;_SUFFIX0_&gt;&gt;</w:t>
            </w:r>
          </w:p>
        </w:tc>
      </w:tr>
      <w:tr w:rsidR="000A156F" w:rsidTr="000A156F">
        <w:tc>
          <w:tcPr>
            <w:tcW w:w="0" w:type="auto"/>
            <w:vAlign w:val="center"/>
          </w:tcPr>
          <w:p w:rsidR="000A156F" w:rsidRDefault="00A9721F">
            <w:pPr>
              <w:pStyle w:val="TableBodyText"/>
            </w:pPr>
            <w:r>
              <w:t>&lt;&lt;_TITLE0_&gt;&gt;&lt;&lt;_NICK0_&gt;&gt;&lt;&lt;_LAST0_&gt;&gt;&lt;</w:t>
            </w:r>
            <w:r>
              <w:t>&lt;_SUFFIX0_&gt;&gt;</w:t>
            </w:r>
          </w:p>
        </w:tc>
      </w:tr>
      <w:tr w:rsidR="000A156F" w:rsidTr="000A156F">
        <w:tc>
          <w:tcPr>
            <w:tcW w:w="0" w:type="auto"/>
            <w:vAlign w:val="center"/>
          </w:tcPr>
          <w:p w:rsidR="000A156F" w:rsidRDefault="00A9721F">
            <w:pPr>
              <w:pStyle w:val="TableBodyText"/>
            </w:pPr>
            <w:r>
              <w:t>&lt;&lt;_FIRST0_&gt;&gt;&lt;&lt;_LAST0_&gt;&gt;&lt;&lt;_SUFFIX0_&gt;&gt;</w:t>
            </w:r>
          </w:p>
        </w:tc>
      </w:tr>
      <w:tr w:rsidR="000A156F" w:rsidTr="000A156F">
        <w:tc>
          <w:tcPr>
            <w:tcW w:w="0" w:type="auto"/>
            <w:vAlign w:val="center"/>
          </w:tcPr>
          <w:p w:rsidR="000A156F" w:rsidRDefault="00A9721F">
            <w:pPr>
              <w:pStyle w:val="TableBodyText"/>
            </w:pPr>
            <w:r>
              <w:t>&lt;&lt;_NICK0_&gt;&gt;&lt;&lt;_LAST0_&gt;&gt;&lt;&lt;_SUFFIX0_&gt;&gt;</w:t>
            </w:r>
          </w:p>
        </w:tc>
      </w:tr>
      <w:tr w:rsidR="000A156F" w:rsidTr="000A156F">
        <w:tc>
          <w:tcPr>
            <w:tcW w:w="0" w:type="auto"/>
            <w:vAlign w:val="center"/>
          </w:tcPr>
          <w:p w:rsidR="000A156F" w:rsidRDefault="00A9721F">
            <w:pPr>
              <w:pStyle w:val="TableBodyText"/>
            </w:pPr>
            <w:r>
              <w:t>&lt;&lt;_FIRST0_&gt;&gt;&lt;&lt;and _FIRST1_&gt;&gt;&lt;&lt;_LAST0_&gt;&gt;</w:t>
            </w:r>
          </w:p>
        </w:tc>
      </w:tr>
      <w:tr w:rsidR="000A156F" w:rsidTr="000A156F">
        <w:tc>
          <w:tcPr>
            <w:tcW w:w="0" w:type="auto"/>
            <w:vAlign w:val="center"/>
          </w:tcPr>
          <w:p w:rsidR="000A156F" w:rsidRDefault="00A9721F">
            <w:pPr>
              <w:pStyle w:val="TableBodyText"/>
            </w:pPr>
            <w:r>
              <w:t>&lt;&lt;_NICK0_&gt;&gt;&lt;&lt;and _FIRST1_&gt;&gt;&lt;&lt;_LAST0_&gt;&gt;</w:t>
            </w:r>
          </w:p>
        </w:tc>
      </w:tr>
      <w:tr w:rsidR="000A156F" w:rsidTr="000A156F">
        <w:tc>
          <w:tcPr>
            <w:tcW w:w="0" w:type="auto"/>
            <w:vAlign w:val="center"/>
          </w:tcPr>
          <w:p w:rsidR="000A156F" w:rsidRDefault="00A9721F">
            <w:pPr>
              <w:pStyle w:val="TableBodyText"/>
            </w:pPr>
            <w:r>
              <w:t>&lt;&lt;_FIRST0_&gt;&gt;</w:t>
            </w:r>
          </w:p>
        </w:tc>
      </w:tr>
      <w:tr w:rsidR="000A156F" w:rsidTr="000A156F">
        <w:tc>
          <w:tcPr>
            <w:tcW w:w="0" w:type="auto"/>
            <w:vAlign w:val="center"/>
          </w:tcPr>
          <w:p w:rsidR="000A156F" w:rsidRDefault="00A9721F">
            <w:pPr>
              <w:pStyle w:val="TableBodyText"/>
            </w:pPr>
            <w:r>
              <w:lastRenderedPageBreak/>
              <w:t>&lt;&lt;_NICK0_&gt;&gt;</w:t>
            </w:r>
          </w:p>
        </w:tc>
      </w:tr>
      <w:tr w:rsidR="000A156F" w:rsidTr="000A156F">
        <w:tc>
          <w:tcPr>
            <w:tcW w:w="0" w:type="auto"/>
            <w:vAlign w:val="center"/>
          </w:tcPr>
          <w:p w:rsidR="000A156F" w:rsidRDefault="00A9721F">
            <w:pPr>
              <w:pStyle w:val="TableBodyText"/>
            </w:pPr>
            <w:r>
              <w:t>&lt;&lt;_FIRST0_&gt;&gt;&lt;&lt;and _FIRST1_&gt;&gt;</w:t>
            </w:r>
          </w:p>
        </w:tc>
      </w:tr>
      <w:tr w:rsidR="000A156F" w:rsidTr="000A156F">
        <w:tc>
          <w:tcPr>
            <w:tcW w:w="0" w:type="auto"/>
            <w:vAlign w:val="center"/>
          </w:tcPr>
          <w:p w:rsidR="000A156F" w:rsidRDefault="00A9721F">
            <w:pPr>
              <w:pStyle w:val="TableBodyText"/>
            </w:pPr>
            <w:r>
              <w:t>&lt;&lt;_NICK0_&gt;&gt;&lt;&lt;and _FIRST1_&gt;&gt;</w:t>
            </w:r>
          </w:p>
        </w:tc>
      </w:tr>
      <w:tr w:rsidR="000A156F" w:rsidTr="000A156F">
        <w:tc>
          <w:tcPr>
            <w:tcW w:w="0" w:type="auto"/>
            <w:vAlign w:val="center"/>
          </w:tcPr>
          <w:p w:rsidR="000A156F" w:rsidRDefault="00A9721F">
            <w:pPr>
              <w:pStyle w:val="TableBodyText"/>
            </w:pPr>
            <w:r>
              <w:t>&lt;&lt;Mr. and Mrs. _LAST0_&gt;&gt;</w:t>
            </w:r>
          </w:p>
        </w:tc>
      </w:tr>
    </w:tbl>
    <w:p w:rsidR="000A156F" w:rsidRDefault="000A156F"/>
    <w:p w:rsidR="000A156F" w:rsidRDefault="00A9721F">
      <w:r>
        <w:t>The &lt;&lt;_BEFORE_ text&gt;&gt; and &lt;&lt;_AFTER_ text&gt;&gt; placeholders may optionally come anywhere within a greeting line format.</w:t>
      </w:r>
    </w:p>
    <w:p w:rsidR="000A156F" w:rsidRDefault="00A9721F">
      <w:r>
        <w:t>&lt;&lt; and &gt;&gt; shall be omitted when displaying the greeting line.</w:t>
      </w:r>
    </w:p>
    <w:p w:rsidR="000A156F" w:rsidRDefault="00A9721F">
      <w:r>
        <w:t>If any of the placeholders in the greeting line for</w:t>
      </w:r>
      <w:r>
        <w:t xml:space="preserve">mat cannot be resolved, or are empty, the text specified in the /e switch shall be the field result.  If a greeting line format is not one of the possible greeting line formats specified in the preceding table, the text specified in the /e switch shall be </w:t>
      </w:r>
      <w:r>
        <w:t>the field result.</w:t>
      </w:r>
    </w:p>
    <w:p w:rsidR="000A156F" w:rsidRDefault="00A9721F">
      <w:pPr>
        <w:pStyle w:val="Definition-Field"/>
      </w:pPr>
      <w:r>
        <w:t xml:space="preserve">c.   </w:t>
      </w:r>
      <w:r>
        <w:rPr>
          <w:i/>
        </w:rPr>
        <w:t>The standard defines the alternate text switch as \c.</w:t>
      </w:r>
    </w:p>
    <w:p w:rsidR="000A156F" w:rsidRDefault="00A9721F">
      <w:pPr>
        <w:pStyle w:val="Definition-Field2"/>
      </w:pPr>
      <w:r>
        <w:t>In Word, the alternate text switch is \e.</w:t>
      </w:r>
    </w:p>
    <w:p w:rsidR="000A156F" w:rsidRDefault="00A9721F">
      <w:pPr>
        <w:pStyle w:val="Heading3"/>
      </w:pPr>
      <w:bookmarkStart w:id="974" w:name="section_18b8b8de874c46dda4983ce5335d430a"/>
      <w:bookmarkStart w:id="975" w:name="_Toc181683513"/>
      <w:r>
        <w:t>Part 1 Section 17.16.5.25, HYPERLINK</w:t>
      </w:r>
      <w:bookmarkEnd w:id="974"/>
      <w:bookmarkEnd w:id="975"/>
      <w:r>
        <w:fldChar w:fldCharType="begin"/>
      </w:r>
      <w:r>
        <w:instrText xml:space="preserve"> XE "HYPERLINK" </w:instrText>
      </w:r>
      <w:r>
        <w:fldChar w:fldCharType="end"/>
      </w:r>
    </w:p>
    <w:p w:rsidR="000A156F" w:rsidRDefault="00A9721F">
      <w:pPr>
        <w:pStyle w:val="Definition-Field"/>
      </w:pPr>
      <w:r>
        <w:t xml:space="preserve">a.   </w:t>
      </w:r>
      <w:r>
        <w:rPr>
          <w:i/>
        </w:rPr>
        <w:t>The standard does not list \h as a possible switch for the HYPERLINK field.</w:t>
      </w:r>
    </w:p>
    <w:p w:rsidR="000A156F" w:rsidRDefault="00A9721F">
      <w:pPr>
        <w:pStyle w:val="Definition-Field2"/>
      </w:pPr>
      <w:r>
        <w:t>In Word, the \h switch for the HYPERLINK field means that when the hyperlink is invoked, the target of the hyperlink should not be added to a list of viewed hyperlinks.</w:t>
      </w:r>
    </w:p>
    <w:p w:rsidR="000A156F" w:rsidRDefault="00A9721F">
      <w:pPr>
        <w:pStyle w:val="Definition-Field"/>
      </w:pPr>
      <w:r>
        <w:t xml:space="preserve">b.   </w:t>
      </w:r>
      <w:r>
        <w:rPr>
          <w:i/>
        </w:rPr>
        <w:t>The standard does not list \s as a possible switch for the HYPERLINK field.</w:t>
      </w:r>
    </w:p>
    <w:p w:rsidR="000A156F" w:rsidRDefault="00A9721F">
      <w:pPr>
        <w:pStyle w:val="Definition-Field2"/>
      </w:pPr>
      <w:r>
        <w:t>In Wor</w:t>
      </w:r>
      <w:r>
        <w:t>d, the \s switch is used for the HYPERLINK field with the same meaning as the docLocation attribute of the hyperlink element.</w:t>
      </w:r>
    </w:p>
    <w:p w:rsidR="000A156F" w:rsidRDefault="00A9721F">
      <w:pPr>
        <w:pStyle w:val="Heading3"/>
      </w:pPr>
      <w:bookmarkStart w:id="976" w:name="section_e7feed5302724346ac5c26342d8dfdf5"/>
      <w:bookmarkStart w:id="977" w:name="_Toc181683514"/>
      <w:r>
        <w:t>Part 1 Section 17.16.5.26, IF</w:t>
      </w:r>
      <w:bookmarkEnd w:id="976"/>
      <w:bookmarkEnd w:id="977"/>
      <w:r>
        <w:fldChar w:fldCharType="begin"/>
      </w:r>
      <w:r>
        <w:instrText xml:space="preserve"> XE "IF" </w:instrText>
      </w:r>
      <w:r>
        <w:fldChar w:fldCharType="end"/>
      </w:r>
    </w:p>
    <w:p w:rsidR="000A156F" w:rsidRDefault="00A9721F">
      <w:pPr>
        <w:pStyle w:val="Definition-Field"/>
      </w:pPr>
      <w:r>
        <w:t xml:space="preserve">a.   </w:t>
      </w:r>
      <w:r>
        <w:rPr>
          <w:i/>
        </w:rPr>
        <w:t>The Standard does not specify the format of comparison.</w:t>
      </w:r>
    </w:p>
    <w:p w:rsidR="000A156F" w:rsidRDefault="00A9721F">
      <w:pPr>
        <w:pStyle w:val="Definition-Field2"/>
      </w:pPr>
      <w:r>
        <w:t>Word uses the following rule</w:t>
      </w:r>
      <w:r>
        <w:t>: comparison =&gt; expression comparison-operator expression</w:t>
      </w:r>
    </w:p>
    <w:p w:rsidR="000A156F" w:rsidRDefault="00A9721F">
      <w:pPr>
        <w:pStyle w:val="Definition-Field"/>
      </w:pPr>
      <w:r>
        <w:t xml:space="preserve">b.   </w:t>
      </w:r>
      <w:r>
        <w:rPr>
          <w:i/>
        </w:rPr>
        <w:t>The standard states that the left hand expression can contain ? or *  wildcard characters.</w:t>
      </w:r>
    </w:p>
    <w:p w:rsidR="000A156F" w:rsidRDefault="00A9721F">
      <w:pPr>
        <w:pStyle w:val="Definition-Field2"/>
      </w:pPr>
      <w:r>
        <w:t>Word supports these characters in the right hand expression only.</w:t>
      </w:r>
    </w:p>
    <w:p w:rsidR="000A156F" w:rsidRDefault="00A9721F">
      <w:pPr>
        <w:pStyle w:val="Definition-Field"/>
      </w:pPr>
      <w:r>
        <w:t xml:space="preserve">c.   </w:t>
      </w:r>
      <w:r>
        <w:rPr>
          <w:i/>
        </w:rPr>
        <w:t xml:space="preserve">The standard does not specify </w:t>
      </w:r>
      <w:r>
        <w:rPr>
          <w:i/>
        </w:rPr>
        <w:t>any length restrictions on wildcard expansion.</w:t>
      </w:r>
    </w:p>
    <w:p w:rsidR="000A156F" w:rsidRDefault="00A9721F">
      <w:pPr>
        <w:pStyle w:val="Definition-Field2"/>
      </w:pPr>
      <w:r>
        <w:t>In Word, if an asterisk is used in Expression-2, the portion of Expression-1 that corresponds to the asterisk plus any remaining characters in Expression-2 shall NOT exceed 128 characters.</w:t>
      </w:r>
    </w:p>
    <w:p w:rsidR="000A156F" w:rsidRDefault="00A9721F">
      <w:pPr>
        <w:pStyle w:val="Heading3"/>
      </w:pPr>
      <w:bookmarkStart w:id="978" w:name="section_dc700ec9797b4edb9bdf9338fc93d797"/>
      <w:bookmarkStart w:id="979" w:name="_Toc181683515"/>
      <w:r>
        <w:t>Part 1 Section 17.16</w:t>
      </w:r>
      <w:r>
        <w:t>.5.28, INCLUDETEXT</w:t>
      </w:r>
      <w:bookmarkEnd w:id="978"/>
      <w:bookmarkEnd w:id="979"/>
      <w:r>
        <w:fldChar w:fldCharType="begin"/>
      </w:r>
      <w:r>
        <w:instrText xml:space="preserve"> XE "INCLUDETEXT" </w:instrText>
      </w:r>
      <w:r>
        <w:fldChar w:fldCharType="end"/>
      </w:r>
    </w:p>
    <w:p w:rsidR="000A156F" w:rsidRDefault="00A9721F">
      <w:pPr>
        <w:pStyle w:val="Definition-Field"/>
      </w:pPr>
      <w:r>
        <w:t xml:space="preserve">a.   </w:t>
      </w:r>
      <w:r>
        <w:rPr>
          <w:i/>
        </w:rPr>
        <w:t>The standard states the \e and \m switches are valid switches and describes what they should do.</w:t>
      </w:r>
    </w:p>
    <w:p w:rsidR="000A156F" w:rsidRDefault="00A9721F">
      <w:pPr>
        <w:pStyle w:val="Definition-Field2"/>
      </w:pPr>
      <w:r>
        <w:t>Word ignores the \e and \m switches.</w:t>
      </w:r>
    </w:p>
    <w:p w:rsidR="000A156F" w:rsidRDefault="00A9721F">
      <w:pPr>
        <w:pStyle w:val="Heading3"/>
      </w:pPr>
      <w:bookmarkStart w:id="980" w:name="section_9986087533d546d68d5276e0cdcd5da3"/>
      <w:bookmarkStart w:id="981" w:name="_Toc181683516"/>
      <w:r>
        <w:lastRenderedPageBreak/>
        <w:t>Part 1 Section 17.16.5.29, INDEX</w:t>
      </w:r>
      <w:bookmarkEnd w:id="980"/>
      <w:bookmarkEnd w:id="981"/>
      <w:r>
        <w:fldChar w:fldCharType="begin"/>
      </w:r>
      <w:r>
        <w:instrText xml:space="preserve"> XE "INDEX" </w:instrText>
      </w:r>
      <w:r>
        <w:fldChar w:fldCharType="end"/>
      </w:r>
    </w:p>
    <w:p w:rsidR="000A156F" w:rsidRDefault="00A9721F">
      <w:pPr>
        <w:pStyle w:val="Definition-Field"/>
      </w:pPr>
      <w:r>
        <w:t xml:space="preserve">a.   </w:t>
      </w:r>
      <w:r>
        <w:rPr>
          <w:i/>
        </w:rPr>
        <w:t>The standard does not list</w:t>
      </w:r>
      <w:r>
        <w:rPr>
          <w:i/>
        </w:rPr>
        <w:t xml:space="preserve"> \o as a switch for the INDEX field.</w:t>
      </w:r>
    </w:p>
    <w:p w:rsidR="000A156F" w:rsidRDefault="00A9721F">
      <w:r>
        <w:t>Word adds a \o switch that is used with the INDEX field to specify sort order.  The text in this switch's field-argument specifies the sort order for Chinese, S for sorting by strokes within radicals and P for sorting b</w:t>
      </w:r>
      <w:r>
        <w:t>y pronunciation. By default, sorting is by strokes.</w:t>
      </w:r>
    </w:p>
    <w:p w:rsidR="000A156F" w:rsidRDefault="00A9721F">
      <w:pPr>
        <w:pStyle w:val="Definition-Field"/>
      </w:pPr>
      <w:r>
        <w:t xml:space="preserve">b.   </w:t>
      </w:r>
      <w:r>
        <w:rPr>
          <w:i/>
        </w:rPr>
        <w:t>The standard says that if the \f switch is omitted, the index will include all entries.</w:t>
      </w:r>
    </w:p>
    <w:p w:rsidR="000A156F" w:rsidRDefault="00A9721F">
      <w:pPr>
        <w:pStyle w:val="Definition-Field2"/>
      </w:pPr>
      <w:r>
        <w:t>In Word, if the \f switch is omitted, the index will contain only those entries also lacking \f switches.</w:t>
      </w:r>
    </w:p>
    <w:p w:rsidR="000A156F" w:rsidRDefault="00A9721F">
      <w:pPr>
        <w:pStyle w:val="Definition-Field"/>
      </w:pPr>
      <w:r>
        <w:t xml:space="preserve">c.   </w:t>
      </w:r>
      <w:r>
        <w:rPr>
          <w:i/>
        </w:rPr>
        <w:t>The standard does not limit the length of the field arguments for switches \d, \e, \g, \k, and \l.</w:t>
      </w:r>
    </w:p>
    <w:p w:rsidR="000A156F" w:rsidRDefault="00A9721F">
      <w:pPr>
        <w:pStyle w:val="Definition-Field2"/>
      </w:pPr>
      <w:r>
        <w:t>In Word, the \d, \e, \g, \k, and \l switches are all limited to 15 characters.</w:t>
      </w:r>
    </w:p>
    <w:p w:rsidR="000A156F" w:rsidRDefault="00A9721F">
      <w:pPr>
        <w:pStyle w:val="Definition-Field"/>
      </w:pPr>
      <w:r>
        <w:t xml:space="preserve">d.   </w:t>
      </w:r>
      <w:r>
        <w:rPr>
          <w:i/>
        </w:rPr>
        <w:t>The standard states the \z flag is of type ST_Lang, yet has examples show</w:t>
      </w:r>
      <w:r>
        <w:rPr>
          <w:i/>
        </w:rPr>
        <w:t>ing the \z switch with an argument of 1033.</w:t>
      </w:r>
    </w:p>
    <w:p w:rsidR="000A156F" w:rsidRDefault="00A9721F">
      <w:pPr>
        <w:pStyle w:val="Definition-Field2"/>
      </w:pPr>
      <w:r>
        <w:t>Word also supports numeric language ID's for this switch.</w:t>
      </w:r>
    </w:p>
    <w:p w:rsidR="000A156F" w:rsidRDefault="00A9721F">
      <w:pPr>
        <w:pStyle w:val="Heading3"/>
      </w:pPr>
      <w:bookmarkStart w:id="982" w:name="section_20e5dd1b37474a47b717c2c69ecc77db"/>
      <w:bookmarkStart w:id="983" w:name="_Toc181683517"/>
      <w:r>
        <w:t>Part 1 Section 17.16.5.30, KEYWORDS</w:t>
      </w:r>
      <w:bookmarkEnd w:id="982"/>
      <w:bookmarkEnd w:id="983"/>
      <w:r>
        <w:fldChar w:fldCharType="begin"/>
      </w:r>
      <w:r>
        <w:instrText xml:space="preserve"> XE "KEYWORDS" </w:instrText>
      </w:r>
      <w:r>
        <w:fldChar w:fldCharType="end"/>
      </w:r>
    </w:p>
    <w:p w:rsidR="000A156F" w:rsidRDefault="00A9721F">
      <w:pPr>
        <w:pStyle w:val="Definition-Field"/>
      </w:pPr>
      <w:r>
        <w:t xml:space="preserve">a.   </w:t>
      </w:r>
      <w:r>
        <w:rPr>
          <w:i/>
        </w:rPr>
        <w:t>The standard says the KEYWORD field must have a general-formatting-switch.</w:t>
      </w:r>
    </w:p>
    <w:p w:rsidR="000A156F" w:rsidRDefault="00A9721F">
      <w:pPr>
        <w:pStyle w:val="Definition-Field2"/>
      </w:pPr>
      <w:r>
        <w:t>In Word, using a gene</w:t>
      </w:r>
      <w:r>
        <w:t>ral-formatting switch in a KEYWORD field is optional.</w:t>
      </w:r>
    </w:p>
    <w:p w:rsidR="000A156F" w:rsidRDefault="00A9721F">
      <w:pPr>
        <w:pStyle w:val="Heading3"/>
      </w:pPr>
      <w:bookmarkStart w:id="984" w:name="section_9bd6ce8277ae4615a46920fd41e88e8c"/>
      <w:bookmarkStart w:id="985" w:name="_Toc181683518"/>
      <w:r>
        <w:t>Part 1 Section 17.16.5.31, LASTSAVEDBY</w:t>
      </w:r>
      <w:bookmarkEnd w:id="984"/>
      <w:bookmarkEnd w:id="985"/>
      <w:r>
        <w:fldChar w:fldCharType="begin"/>
      </w:r>
      <w:r>
        <w:instrText xml:space="preserve"> XE "LASTSAVEDBY" </w:instrText>
      </w:r>
      <w:r>
        <w:fldChar w:fldCharType="end"/>
      </w:r>
    </w:p>
    <w:p w:rsidR="000A156F" w:rsidRDefault="00A9721F">
      <w:pPr>
        <w:pStyle w:val="Definition-Field"/>
      </w:pPr>
      <w:r>
        <w:t xml:space="preserve">a.   </w:t>
      </w:r>
      <w:r>
        <w:rPr>
          <w:i/>
        </w:rPr>
        <w:t>The standard says the LASTSAVEDBY field must use a general-formatting-switch.</w:t>
      </w:r>
    </w:p>
    <w:p w:rsidR="000A156F" w:rsidRDefault="00A9721F">
      <w:pPr>
        <w:pStyle w:val="Definition-Field2"/>
      </w:pPr>
      <w:r>
        <w:t>In Word using a general-formatting-switch with a LASTSAVEDBY</w:t>
      </w:r>
      <w:r>
        <w:t xml:space="preserve"> field is optional.</w:t>
      </w:r>
    </w:p>
    <w:p w:rsidR="000A156F" w:rsidRDefault="00A9721F">
      <w:pPr>
        <w:pStyle w:val="Heading3"/>
      </w:pPr>
      <w:bookmarkStart w:id="986" w:name="section_9264f074a348415da2243c1576083ffb"/>
      <w:bookmarkStart w:id="987" w:name="_Toc181683519"/>
      <w:r>
        <w:t>Part 1 Section 17.16.5.32, LINK</w:t>
      </w:r>
      <w:bookmarkEnd w:id="986"/>
      <w:bookmarkEnd w:id="987"/>
      <w:r>
        <w:fldChar w:fldCharType="begin"/>
      </w:r>
      <w:r>
        <w:instrText xml:space="preserve"> XE "LINK" </w:instrText>
      </w:r>
      <w:r>
        <w:fldChar w:fldCharType="end"/>
      </w:r>
    </w:p>
    <w:p w:rsidR="000A156F" w:rsidRDefault="00A9721F">
      <w:pPr>
        <w:pStyle w:val="Definition-Field"/>
      </w:pPr>
      <w:r>
        <w:t xml:space="preserve">a.   </w:t>
      </w:r>
      <w:r>
        <w:rPr>
          <w:i/>
        </w:rPr>
        <w:t>The standard does not explain the format of field-argument-1 of the LINK field.</w:t>
      </w:r>
    </w:p>
    <w:p w:rsidR="000A156F" w:rsidRDefault="00A9721F">
      <w:r>
        <w:t>Word has a specific format for field-argument-1 of the LINK field. This format specifies an OLE Programmat</w:t>
      </w:r>
      <w:r>
        <w:t xml:space="preserve">ic Identifier (ProgID).  This string shall not start with a digit, shall not contain any punctuation (including underscores) other than periods, and shall have a maximum length of 39 characters. </w:t>
      </w:r>
    </w:p>
    <w:p w:rsidR="000A156F" w:rsidRDefault="00A9721F">
      <w:r>
        <w:t>The pieces of a ProgID are separated by periods; white space</w:t>
      </w:r>
      <w:r>
        <w:t xml:space="preserve"> shall not occur within the ProgID. The typical format of a ProgID is:</w:t>
      </w:r>
    </w:p>
    <w:p w:rsidR="000A156F" w:rsidRDefault="00A9721F">
      <w:r>
        <w:t>&lt;Library&gt;.&lt;ComponentName&gt;.&lt;VersionNumber&gt;</w:t>
      </w:r>
    </w:p>
    <w:p w:rsidR="000A156F" w:rsidRDefault="00A9721F">
      <w:pPr>
        <w:pStyle w:val="Definition-Field"/>
      </w:pPr>
      <w:r>
        <w:t xml:space="preserve">b.   </w:t>
      </w:r>
      <w:r>
        <w:rPr>
          <w:i/>
        </w:rPr>
        <w:t>The standard says that the LINK field has no field value.</w:t>
      </w:r>
    </w:p>
    <w:p w:rsidR="000A156F" w:rsidRDefault="00A9721F">
      <w:pPr>
        <w:pStyle w:val="Definition-Field2"/>
      </w:pPr>
      <w:r>
        <w:t xml:space="preserve">In Word, the field value of a LINK field is an OLE object representation of the </w:t>
      </w:r>
      <w:r>
        <w:t>linked file, or the contents of the linked file itself, depending on the switches used.</w:t>
      </w:r>
    </w:p>
    <w:p w:rsidR="000A156F" w:rsidRDefault="00A9721F">
      <w:pPr>
        <w:pStyle w:val="Definition-Field"/>
      </w:pPr>
      <w:r>
        <w:t xml:space="preserve">c.   </w:t>
      </w:r>
      <w:r>
        <w:rPr>
          <w:i/>
        </w:rPr>
        <w:t>The standard says the \d switch will prevent the graphic data from being stored with the document.</w:t>
      </w:r>
    </w:p>
    <w:p w:rsidR="000A156F" w:rsidRDefault="00A9721F">
      <w:pPr>
        <w:pStyle w:val="Definition-Field2"/>
      </w:pPr>
      <w:r>
        <w:t>When saving a document to OOXML, Word stores the graphic data in</w:t>
      </w:r>
      <w:r>
        <w:t xml:space="preserve"> the file even if the \d switch is used.</w:t>
      </w:r>
    </w:p>
    <w:p w:rsidR="000A156F" w:rsidRDefault="00A9721F">
      <w:pPr>
        <w:pStyle w:val="Definition-Field"/>
      </w:pPr>
      <w:r>
        <w:lastRenderedPageBreak/>
        <w:t xml:space="preserve">d.   </w:t>
      </w:r>
      <w:r>
        <w:rPr>
          <w:i/>
        </w:rPr>
        <w:t>The standard says the \f switch determines the formatting of the linked object when displayed in the document.</w:t>
      </w:r>
    </w:p>
    <w:p w:rsidR="000A156F" w:rsidRDefault="00A9721F">
      <w:pPr>
        <w:pStyle w:val="Definition-Field2"/>
      </w:pPr>
      <w:r>
        <w:t>Word ignores the argument of the \f switch.</w:t>
      </w:r>
    </w:p>
    <w:p w:rsidR="000A156F" w:rsidRDefault="00A9721F">
      <w:pPr>
        <w:pStyle w:val="Definition-Field"/>
      </w:pPr>
      <w:r>
        <w:t xml:space="preserve">e.   </w:t>
      </w:r>
      <w:r>
        <w:rPr>
          <w:i/>
        </w:rPr>
        <w:t>The standard does not restrict which field switche</w:t>
      </w:r>
      <w:r>
        <w:rPr>
          <w:i/>
        </w:rPr>
        <w:t>s can be used with each other, even when their definitions are mutually exclusive.</w:t>
      </w:r>
    </w:p>
    <w:p w:rsidR="000A156F" w:rsidRDefault="00A9721F">
      <w:pPr>
        <w:pStyle w:val="Definition-Field2"/>
      </w:pPr>
      <w:r>
        <w:t>If more than one switch is present from the set \b, \h, \p, \r, \t, \d, and \u, Word ignores all but the last one.</w:t>
      </w:r>
    </w:p>
    <w:p w:rsidR="000A156F" w:rsidRDefault="00A9721F">
      <w:pPr>
        <w:pStyle w:val="Heading3"/>
      </w:pPr>
      <w:bookmarkStart w:id="988" w:name="section_da16701c070d4425961f496394df6d8a"/>
      <w:bookmarkStart w:id="989" w:name="_Toc181683520"/>
      <w:r>
        <w:t>Part 1 Section 17.16.5.33, LISTNUM</w:t>
      </w:r>
      <w:bookmarkEnd w:id="988"/>
      <w:bookmarkEnd w:id="989"/>
      <w:r>
        <w:fldChar w:fldCharType="begin"/>
      </w:r>
      <w:r>
        <w:instrText xml:space="preserve"> XE "LISTNUM" </w:instrText>
      </w:r>
      <w:r>
        <w:fldChar w:fldCharType="end"/>
      </w:r>
    </w:p>
    <w:p w:rsidR="000A156F" w:rsidRDefault="00A9721F">
      <w:pPr>
        <w:pStyle w:val="Definition-Field"/>
      </w:pPr>
      <w:r>
        <w:t xml:space="preserve">a.   </w:t>
      </w:r>
      <w:r>
        <w:rPr>
          <w:i/>
        </w:rPr>
        <w:t>Th</w:t>
      </w:r>
      <w:r>
        <w:rPr>
          <w:i/>
        </w:rPr>
        <w:t>e standard says that If the \l switch is omitted for a new series, the default value is 3.</w:t>
      </w:r>
    </w:p>
    <w:p w:rsidR="000A156F" w:rsidRDefault="00A9721F">
      <w:pPr>
        <w:pStyle w:val="Definition-Field2"/>
      </w:pPr>
      <w:r>
        <w:t>In Word, if the \l switch is omitted for a new series, the default value depends on the ilvl of the paragraph.</w:t>
      </w:r>
    </w:p>
    <w:p w:rsidR="000A156F" w:rsidRDefault="00A9721F">
      <w:pPr>
        <w:pStyle w:val="Definition-Field"/>
      </w:pPr>
      <w:r>
        <w:t xml:space="preserve">b.   </w:t>
      </w:r>
      <w:r>
        <w:rPr>
          <w:i/>
        </w:rPr>
        <w:t>The standard allows the LISTNUM to be nested insi</w:t>
      </w:r>
      <w:r>
        <w:rPr>
          <w:i/>
        </w:rPr>
        <w:t>de another field.</w:t>
      </w:r>
    </w:p>
    <w:p w:rsidR="000A156F" w:rsidRDefault="00A9721F">
      <w:pPr>
        <w:pStyle w:val="Definition-Field2"/>
      </w:pPr>
      <w:r>
        <w:t>In Word, the LISTNUM field is ignored if nested inside another field.</w:t>
      </w:r>
    </w:p>
    <w:p w:rsidR="000A156F" w:rsidRDefault="00A9721F">
      <w:pPr>
        <w:pStyle w:val="Definition-Field"/>
      </w:pPr>
      <w:r>
        <w:t xml:space="preserve">c.   </w:t>
      </w:r>
      <w:r>
        <w:rPr>
          <w:i/>
        </w:rPr>
        <w:t>The standard does not specify the behavior in the event that no previous numbered paragraph or LISTNUM is present in the document.</w:t>
      </w:r>
    </w:p>
    <w:p w:rsidR="000A156F" w:rsidRDefault="00A9721F">
      <w:pPr>
        <w:pStyle w:val="Definition-Field2"/>
      </w:pPr>
      <w:r>
        <w:t>Word uses the NumberDefault sequ</w:t>
      </w:r>
      <w:r>
        <w:t>ence by default.</w:t>
      </w:r>
    </w:p>
    <w:p w:rsidR="000A156F" w:rsidRDefault="00A9721F">
      <w:pPr>
        <w:pStyle w:val="Heading3"/>
      </w:pPr>
      <w:bookmarkStart w:id="990" w:name="section_d5aea26dd1a440c8abb93040566385fd"/>
      <w:bookmarkStart w:id="991" w:name="_Toc181683521"/>
      <w:r>
        <w:t>Part 1 Section 17.16.5.34, MACROBUTTON</w:t>
      </w:r>
      <w:bookmarkEnd w:id="990"/>
      <w:bookmarkEnd w:id="991"/>
      <w:r>
        <w:fldChar w:fldCharType="begin"/>
      </w:r>
      <w:r>
        <w:instrText xml:space="preserve"> XE "MACROBUTTON" </w:instrText>
      </w:r>
      <w:r>
        <w:fldChar w:fldCharType="end"/>
      </w:r>
    </w:p>
    <w:p w:rsidR="000A156F" w:rsidRDefault="00A9721F">
      <w:pPr>
        <w:pStyle w:val="Definition-Field"/>
      </w:pPr>
      <w:r>
        <w:t xml:space="preserve">a.   </w:t>
      </w:r>
      <w:r>
        <w:rPr>
          <w:i/>
        </w:rPr>
        <w:t>The standard allows the MACROBUTTON field to be nested inside another field.</w:t>
      </w:r>
    </w:p>
    <w:p w:rsidR="000A156F" w:rsidRDefault="00A9721F">
      <w:pPr>
        <w:pStyle w:val="Definition-Field2"/>
      </w:pPr>
      <w:r>
        <w:t>In Word, if the MACROBUTTON field is nested inside another field, no result is displayed.</w:t>
      </w:r>
    </w:p>
    <w:p w:rsidR="000A156F" w:rsidRDefault="00A9721F">
      <w:pPr>
        <w:pStyle w:val="Heading3"/>
      </w:pPr>
      <w:bookmarkStart w:id="992" w:name="section_bbe3b9853afb4e7bbf46585f77f5da21"/>
      <w:bookmarkStart w:id="993" w:name="_Toc181683522"/>
      <w:r>
        <w:t>Part 1 S</w:t>
      </w:r>
      <w:r>
        <w:t>ection 17.16.5.35, MERGEFIELD</w:t>
      </w:r>
      <w:bookmarkEnd w:id="992"/>
      <w:bookmarkEnd w:id="993"/>
      <w:r>
        <w:fldChar w:fldCharType="begin"/>
      </w:r>
      <w:r>
        <w:instrText xml:space="preserve"> XE "MERGEFIELD" </w:instrText>
      </w:r>
      <w:r>
        <w:fldChar w:fldCharType="end"/>
      </w:r>
    </w:p>
    <w:p w:rsidR="000A156F" w:rsidRDefault="00A9721F">
      <w:pPr>
        <w:pStyle w:val="Definition-Field"/>
      </w:pPr>
      <w:r>
        <w:t xml:space="preserve">a.   </w:t>
      </w:r>
      <w:r>
        <w:rPr>
          <w:i/>
        </w:rPr>
        <w:t>The standard specifies that the \m switch means the MERGEFIELD field is a mapped field.</w:t>
      </w:r>
    </w:p>
    <w:p w:rsidR="000A156F" w:rsidRDefault="00A9721F">
      <w:pPr>
        <w:pStyle w:val="Definition-Field2"/>
      </w:pPr>
      <w:r>
        <w:t>In Word, the \m switch in the MERGEFIELD means the text in field-argument specifies the mappedName of a fieldMapDa</w:t>
      </w:r>
      <w:r>
        <w:t>ta element.</w:t>
      </w:r>
    </w:p>
    <w:p w:rsidR="000A156F" w:rsidRDefault="00A9721F">
      <w:pPr>
        <w:pStyle w:val="Heading3"/>
      </w:pPr>
      <w:bookmarkStart w:id="994" w:name="section_1a3c2c96a9914239a39bdcfe05dd6b7c"/>
      <w:bookmarkStart w:id="995" w:name="_Toc181683523"/>
      <w:r>
        <w:t>Part 1 Section 17.16.5.39, NEXTIF</w:t>
      </w:r>
      <w:bookmarkEnd w:id="994"/>
      <w:bookmarkEnd w:id="995"/>
      <w:r>
        <w:fldChar w:fldCharType="begin"/>
      </w:r>
      <w:r>
        <w:instrText xml:space="preserve"> XE "NEXTIF" </w:instrText>
      </w:r>
      <w:r>
        <w:fldChar w:fldCharType="end"/>
      </w:r>
    </w:p>
    <w:p w:rsidR="000A156F" w:rsidRDefault="00A9721F">
      <w:pPr>
        <w:pStyle w:val="Definition-Field"/>
      </w:pPr>
      <w:r>
        <w:t xml:space="preserve">a.   </w:t>
      </w:r>
      <w:r>
        <w:rPr>
          <w:i/>
        </w:rPr>
        <w:t>The standards states that the expression shall be enclosed in quotation marks.</w:t>
      </w:r>
    </w:p>
    <w:p w:rsidR="000A156F" w:rsidRDefault="00A9721F">
      <w:pPr>
        <w:pStyle w:val="Definition-Field2"/>
      </w:pPr>
      <w:r>
        <w:t>Word does not require the expression to be enclosed in quotation marks.</w:t>
      </w:r>
    </w:p>
    <w:p w:rsidR="000A156F" w:rsidRDefault="00A9721F">
      <w:pPr>
        <w:pStyle w:val="Definition-Field"/>
      </w:pPr>
      <w:r>
        <w:t xml:space="preserve">b.   </w:t>
      </w:r>
      <w:r>
        <w:rPr>
          <w:i/>
        </w:rPr>
        <w:t xml:space="preserve">The Standard does not specify the </w:t>
      </w:r>
      <w:r>
        <w:rPr>
          <w:i/>
        </w:rPr>
        <w:t>format of comparison.</w:t>
      </w:r>
    </w:p>
    <w:p w:rsidR="000A156F" w:rsidRDefault="00A9721F">
      <w:pPr>
        <w:pStyle w:val="Definition-Field2"/>
      </w:pPr>
      <w:r>
        <w:t>Word uses the following rule: comparison =&gt; expression comparison-operator expression.</w:t>
      </w:r>
    </w:p>
    <w:p w:rsidR="000A156F" w:rsidRDefault="00A9721F">
      <w:pPr>
        <w:pStyle w:val="Definition-Field"/>
      </w:pPr>
      <w:r>
        <w:t xml:space="preserve">c.   </w:t>
      </w:r>
      <w:r>
        <w:rPr>
          <w:i/>
        </w:rPr>
        <w:t>The standard does not specify any length restrictions on wildcards expansions.</w:t>
      </w:r>
    </w:p>
    <w:p w:rsidR="000A156F" w:rsidRDefault="00A9721F">
      <w:pPr>
        <w:pStyle w:val="Definition-Field2"/>
      </w:pPr>
      <w:r>
        <w:t>In Word, if an asterisk is used in Expression-2, the portion of</w:t>
      </w:r>
      <w:r>
        <w:t xml:space="preserve"> Expression-1 that corresponds to the asterisk plus any remaining characters in Expression-2 shall NOT exceed 128 characters.</w:t>
      </w:r>
    </w:p>
    <w:p w:rsidR="000A156F" w:rsidRDefault="00A9721F">
      <w:pPr>
        <w:pStyle w:val="Heading3"/>
      </w:pPr>
      <w:bookmarkStart w:id="996" w:name="section_13f129e31cac476787c074c302db67fa"/>
      <w:bookmarkStart w:id="997" w:name="_Toc181683524"/>
      <w:r>
        <w:lastRenderedPageBreak/>
        <w:t>Part 1 Section 17.16.5.40, NOTEREF</w:t>
      </w:r>
      <w:bookmarkEnd w:id="996"/>
      <w:bookmarkEnd w:id="997"/>
      <w:r>
        <w:fldChar w:fldCharType="begin"/>
      </w:r>
      <w:r>
        <w:instrText xml:space="preserve"> XE "NOTEREF" </w:instrText>
      </w:r>
      <w:r>
        <w:fldChar w:fldCharType="end"/>
      </w:r>
    </w:p>
    <w:p w:rsidR="000A156F" w:rsidRDefault="00A9721F">
      <w:pPr>
        <w:pStyle w:val="Definition-Field"/>
      </w:pPr>
      <w:r>
        <w:t xml:space="preserve">a.   </w:t>
      </w:r>
      <w:r>
        <w:rPr>
          <w:i/>
        </w:rPr>
        <w:t xml:space="preserve">The standard says the /p switch causes the NOTEREF field value to include </w:t>
      </w:r>
      <w:r>
        <w:rPr>
          <w:i/>
        </w:rPr>
        <w:t>the string below or above.</w:t>
      </w:r>
    </w:p>
    <w:p w:rsidR="000A156F" w:rsidRDefault="00A9721F">
      <w:pPr>
        <w:pStyle w:val="Definition-Field2"/>
      </w:pPr>
      <w:r>
        <w:t>In Word, the /p switch causes the NOTEREF field value to include a localized version of the strings below or above.</w:t>
      </w:r>
    </w:p>
    <w:p w:rsidR="000A156F" w:rsidRDefault="00A9721F">
      <w:pPr>
        <w:pStyle w:val="Heading3"/>
      </w:pPr>
      <w:bookmarkStart w:id="998" w:name="section_defcfd84de2646f39ddb581dd08473a5"/>
      <w:bookmarkStart w:id="999" w:name="_Toc181683525"/>
      <w:r>
        <w:t>Part 1 Section 17.16.5.42 NUMPAGES</w:t>
      </w:r>
      <w:bookmarkEnd w:id="998"/>
      <w:bookmarkEnd w:id="999"/>
    </w:p>
    <w:p w:rsidR="000A156F" w:rsidRDefault="00A9721F">
      <w:pPr>
        <w:pStyle w:val="Definition-Field"/>
      </w:pPr>
      <w:r>
        <w:t xml:space="preserve">a.   </w:t>
      </w:r>
      <w:r>
        <w:rPr>
          <w:i/>
        </w:rPr>
        <w:t>The standard states NUMPAGES retrieves the number of pages in the current</w:t>
      </w:r>
      <w:r>
        <w:rPr>
          <w:i/>
        </w:rPr>
        <w:t xml:space="preserve"> document, as recorded in the Pages element of the Application-Defined File Properties part.</w:t>
      </w:r>
    </w:p>
    <w:p w:rsidR="000A156F" w:rsidRDefault="00A9721F">
      <w:pPr>
        <w:pStyle w:val="Definition-Field2"/>
      </w:pPr>
      <w:r>
        <w:t>Word uses the value stored in the Pages element of the File Properties part ("</w:t>
      </w:r>
      <w:hyperlink r:id="rId115">
        <w:r>
          <w:rPr>
            <w:rStyle w:val="Hyperlink"/>
          </w:rPr>
          <w:t>[ISO/IEC-29500-1]</w:t>
        </w:r>
      </w:hyperlink>
      <w:r>
        <w:t xml:space="preserve"> §</w:t>
      </w:r>
      <w:r>
        <w:t>15.2.12.3"). If the first section definition in the document includes a titlePg element ("[ISO/IEC-29500-1] §17.10.6; titlePg") and a pgNumType ("[ISO/IEC-29500-1] §17.6.12; pgNumType") element with a “start” attribute with a value of “0”, then Word will a</w:t>
      </w:r>
      <w:r>
        <w:t>djust the number of pages for the title page by subtracting 1 from the value of the Pages element.</w:t>
      </w:r>
    </w:p>
    <w:p w:rsidR="000A156F" w:rsidRDefault="00A9721F">
      <w:pPr>
        <w:pStyle w:val="Heading3"/>
      </w:pPr>
      <w:bookmarkStart w:id="1000" w:name="section_819d2fe99c1445e5a35321c13c2ff1f4"/>
      <w:bookmarkStart w:id="1001" w:name="_Toc181683526"/>
      <w:r>
        <w:t>Part 1 Section 17.16.5.45, PAGEREF</w:t>
      </w:r>
      <w:bookmarkEnd w:id="1000"/>
      <w:bookmarkEnd w:id="1001"/>
      <w:r>
        <w:fldChar w:fldCharType="begin"/>
      </w:r>
      <w:r>
        <w:instrText xml:space="preserve"> XE "PAGEREF" </w:instrText>
      </w:r>
      <w:r>
        <w:fldChar w:fldCharType="end"/>
      </w:r>
    </w:p>
    <w:p w:rsidR="000A156F" w:rsidRDefault="00A9721F">
      <w:pPr>
        <w:pStyle w:val="Definition-Field"/>
      </w:pPr>
      <w:r>
        <w:t xml:space="preserve">a.   </w:t>
      </w:r>
      <w:r>
        <w:rPr>
          <w:i/>
        </w:rPr>
        <w:t>The standard says the value of the PAGEREF field may contain the strings above, below, and "on page #</w:t>
      </w:r>
      <w:r>
        <w:rPr>
          <w:i/>
        </w:rPr>
        <w:t>".</w:t>
      </w:r>
    </w:p>
    <w:p w:rsidR="000A156F" w:rsidRDefault="00A9721F">
      <w:pPr>
        <w:pStyle w:val="Definition-Field2"/>
      </w:pPr>
      <w:r>
        <w:t>In Word, the value of the PAGEREF field contains versions of the strings above, below, and "on page #" that are translated depending on the language of the text in the document and the language of the current application UI.</w:t>
      </w:r>
    </w:p>
    <w:p w:rsidR="000A156F" w:rsidRDefault="00A9721F">
      <w:pPr>
        <w:pStyle w:val="Heading3"/>
      </w:pPr>
      <w:bookmarkStart w:id="1002" w:name="section_b42eda12a66849169fd22fc2deda2359"/>
      <w:bookmarkStart w:id="1003" w:name="_Toc181683527"/>
      <w:r>
        <w:t>Part 1 Section 17.16.5.46, P</w:t>
      </w:r>
      <w:r>
        <w:t>RINT</w:t>
      </w:r>
      <w:bookmarkEnd w:id="1002"/>
      <w:bookmarkEnd w:id="1003"/>
      <w:r>
        <w:fldChar w:fldCharType="begin"/>
      </w:r>
      <w:r>
        <w:instrText xml:space="preserve"> XE "PRINT" </w:instrText>
      </w:r>
      <w:r>
        <w:fldChar w:fldCharType="end"/>
      </w:r>
    </w:p>
    <w:p w:rsidR="000A156F" w:rsidRDefault="00A9721F">
      <w:pPr>
        <w:pStyle w:val="Definition-Field"/>
      </w:pPr>
      <w:r>
        <w:t xml:space="preserve">a.   </w:t>
      </w:r>
      <w:r>
        <w:rPr>
          <w:i/>
        </w:rPr>
        <w:t>The standard does not specify how field argument 1 defines the drawing rectangle.</w:t>
      </w:r>
    </w:p>
    <w:p w:rsidR="000A156F" w:rsidRDefault="00A9721F">
      <w:r>
        <w:t xml:space="preserve">In Word, text in this switch's field-argument-1 defines the drawing rectangle on which the subsequent PostScript instructions operate.  It can be any </w:t>
      </w:r>
      <w:r>
        <w:t>of the keywords from the following table.</w:t>
      </w:r>
    </w:p>
    <w:tbl>
      <w:tblPr>
        <w:tblStyle w:val="Table-ShadedHeader"/>
        <w:tblW w:w="0" w:type="auto"/>
        <w:tblLook w:val="04A0" w:firstRow="1" w:lastRow="0" w:firstColumn="1" w:lastColumn="0" w:noHBand="0" w:noVBand="1"/>
      </w:tblPr>
      <w:tblGrid>
        <w:gridCol w:w="1022"/>
        <w:gridCol w:w="845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Keyword</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rStyle w:val="InlineCode"/>
              </w:rPr>
              <w:t>cell</w:t>
            </w:r>
          </w:p>
        </w:tc>
        <w:tc>
          <w:tcPr>
            <w:tcW w:w="0" w:type="auto"/>
            <w:vAlign w:val="center"/>
          </w:tcPr>
          <w:p w:rsidR="000A156F" w:rsidRDefault="00A9721F">
            <w:pPr>
              <w:pStyle w:val="TableBodyText"/>
            </w:pPr>
            <w:r>
              <w:t>Sets the bounding box to equal the size of a one-line cell with the width of the current cell. The bounding box’s upper-left corner will be placed by default at the upper-left corner of th</w:t>
            </w:r>
            <w:r>
              <w:t>e current page. The bounding box will be offset to the right by the location of the current column, and offset down by the amount of prior text in the current cell.</w:t>
            </w:r>
          </w:p>
          <w:p w:rsidR="000A156F" w:rsidRDefault="00A9721F">
            <w:pPr>
              <w:pStyle w:val="TableBodyText"/>
            </w:pPr>
            <w:r>
              <w:t>In Word, the bounding box will be offset to the right by the location of the current column</w:t>
            </w:r>
            <w:r>
              <w:t xml:space="preserve"> minus the width of the left border, and offset down by the amount of prior text in the current cell minus the width of the top border.</w:t>
            </w:r>
          </w:p>
        </w:tc>
      </w:tr>
      <w:tr w:rsidR="000A156F" w:rsidTr="000A156F">
        <w:tc>
          <w:tcPr>
            <w:tcW w:w="0" w:type="auto"/>
            <w:vAlign w:val="center"/>
          </w:tcPr>
          <w:p w:rsidR="000A156F" w:rsidRDefault="00A9721F">
            <w:pPr>
              <w:pStyle w:val="TableBodyText"/>
            </w:pPr>
            <w:r>
              <w:rPr>
                <w:rStyle w:val="InlineCode"/>
              </w:rPr>
              <w:t>page</w:t>
            </w:r>
          </w:p>
        </w:tc>
        <w:tc>
          <w:tcPr>
            <w:tcW w:w="0" w:type="auto"/>
            <w:vAlign w:val="center"/>
          </w:tcPr>
          <w:p w:rsidR="000A156F" w:rsidRDefault="00A9721F">
            <w:pPr>
              <w:pStyle w:val="TableBodyText"/>
            </w:pPr>
            <w:r>
              <w:t>Sets the bounding box to be equal to the current page.</w:t>
            </w:r>
          </w:p>
        </w:tc>
      </w:tr>
      <w:tr w:rsidR="000A156F" w:rsidTr="000A156F">
        <w:tc>
          <w:tcPr>
            <w:tcW w:w="0" w:type="auto"/>
            <w:vAlign w:val="center"/>
          </w:tcPr>
          <w:p w:rsidR="000A156F" w:rsidRDefault="00A9721F">
            <w:pPr>
              <w:pStyle w:val="TableBodyText"/>
            </w:pPr>
            <w:r>
              <w:rPr>
                <w:rStyle w:val="InlineCode"/>
              </w:rPr>
              <w:t>para</w:t>
            </w:r>
          </w:p>
        </w:tc>
        <w:tc>
          <w:tcPr>
            <w:tcW w:w="0" w:type="auto"/>
            <w:vAlign w:val="center"/>
          </w:tcPr>
          <w:p w:rsidR="000A156F" w:rsidRDefault="00A9721F">
            <w:pPr>
              <w:pStyle w:val="TableBodyText"/>
            </w:pPr>
            <w:r>
              <w:t xml:space="preserve">Sets the bounding box to be equal to the current </w:t>
            </w:r>
            <w:r>
              <w:t>paragraph.</w:t>
            </w:r>
          </w:p>
        </w:tc>
      </w:tr>
      <w:tr w:rsidR="000A156F" w:rsidTr="000A156F">
        <w:tc>
          <w:tcPr>
            <w:tcW w:w="0" w:type="auto"/>
            <w:vAlign w:val="center"/>
          </w:tcPr>
          <w:p w:rsidR="000A156F" w:rsidRDefault="00A9721F">
            <w:pPr>
              <w:pStyle w:val="TableBodyText"/>
            </w:pPr>
            <w:r>
              <w:rPr>
                <w:rStyle w:val="InlineCode"/>
              </w:rPr>
              <w:t>pic</w:t>
            </w:r>
          </w:p>
        </w:tc>
        <w:tc>
          <w:tcPr>
            <w:tcW w:w="0" w:type="auto"/>
            <w:vAlign w:val="center"/>
          </w:tcPr>
          <w:p w:rsidR="000A156F" w:rsidRDefault="00A9721F">
            <w:pPr>
              <w:pStyle w:val="TableBodyText"/>
            </w:pPr>
            <w:r>
              <w:t>Sets the bounding box to be equal to the next picture in the current paragraph.</w:t>
            </w:r>
          </w:p>
          <w:p w:rsidR="000A156F" w:rsidRDefault="00A9721F">
            <w:pPr>
              <w:pStyle w:val="TableBodyText"/>
            </w:pPr>
            <w:r>
              <w:t>Word will only recognize a picture described using VML when using this option.</w:t>
            </w:r>
          </w:p>
        </w:tc>
      </w:tr>
      <w:tr w:rsidR="000A156F" w:rsidTr="000A156F">
        <w:tc>
          <w:tcPr>
            <w:tcW w:w="0" w:type="auto"/>
            <w:vAlign w:val="center"/>
          </w:tcPr>
          <w:p w:rsidR="000A156F" w:rsidRDefault="00A9721F">
            <w:pPr>
              <w:pStyle w:val="TableBodyText"/>
            </w:pPr>
            <w:r>
              <w:rPr>
                <w:rStyle w:val="InlineCode"/>
              </w:rPr>
              <w:t>row</w:t>
            </w:r>
          </w:p>
        </w:tc>
        <w:tc>
          <w:tcPr>
            <w:tcW w:w="0" w:type="auto"/>
            <w:vAlign w:val="center"/>
          </w:tcPr>
          <w:p w:rsidR="000A156F" w:rsidRDefault="00A9721F">
            <w:pPr>
              <w:pStyle w:val="TableBodyText"/>
            </w:pPr>
            <w:r>
              <w:t>Sets the bounding box to equal the size of a one-line row in the current tab</w:t>
            </w:r>
            <w:r>
              <w:t>le. The bounding box’s upper-left corner will be placed by default at the upper-left corner of the current page. The bounding box will be offset to the right by the location of the current row, and offset down by the amount of prior text in the current cel</w:t>
            </w:r>
            <w:r>
              <w:t>l.</w:t>
            </w:r>
          </w:p>
          <w:p w:rsidR="000A156F" w:rsidRDefault="00A9721F">
            <w:pPr>
              <w:pStyle w:val="TableBodyText"/>
            </w:pPr>
            <w:r>
              <w:t>In Word, the bounding box will not be offset to the right, and offset down by the amount of prior text in the current cell minus the width of the top border.</w:t>
            </w:r>
          </w:p>
        </w:tc>
      </w:tr>
    </w:tbl>
    <w:p w:rsidR="000A156F" w:rsidRDefault="000A156F"/>
    <w:p w:rsidR="000A156F" w:rsidRDefault="00A9721F">
      <w:pPr>
        <w:pStyle w:val="Definition-Field"/>
      </w:pPr>
      <w:r>
        <w:t xml:space="preserve">b.   </w:t>
      </w:r>
      <w:r>
        <w:rPr>
          <w:i/>
        </w:rPr>
        <w:t>The standard says that /p is an optional switch for the PRINT field.</w:t>
      </w:r>
    </w:p>
    <w:p w:rsidR="000A156F" w:rsidRDefault="00A9721F">
      <w:pPr>
        <w:pStyle w:val="Definition-Field2"/>
      </w:pPr>
      <w:r>
        <w:t>In Word, the /p swi</w:t>
      </w:r>
      <w:r>
        <w:t>tch is required for the PRINT field.</w:t>
      </w:r>
    </w:p>
    <w:p w:rsidR="000A156F" w:rsidRDefault="00A9721F">
      <w:pPr>
        <w:pStyle w:val="Definition-Field"/>
      </w:pPr>
      <w:r>
        <w:t xml:space="preserve">c.   </w:t>
      </w:r>
      <w:r>
        <w:rPr>
          <w:i/>
        </w:rPr>
        <w:t>The standard does not specify any relationship between the PRINT field and the usePrinterMetrics compatibility option.</w:t>
      </w:r>
    </w:p>
    <w:p w:rsidR="000A156F" w:rsidRDefault="00A9721F">
      <w:pPr>
        <w:pStyle w:val="Definition-Field2"/>
      </w:pPr>
      <w:r>
        <w:t xml:space="preserve">Word does not carry out the behavior specified by the PRINT field unless the usePrinterMetrics </w:t>
      </w:r>
      <w:r>
        <w:t>compatibility option is on.</w:t>
      </w:r>
    </w:p>
    <w:p w:rsidR="000A156F" w:rsidRDefault="00A9721F">
      <w:pPr>
        <w:pStyle w:val="Definition-Field"/>
      </w:pPr>
      <w:r>
        <w:t xml:space="preserve">d.   </w:t>
      </w:r>
      <w:r>
        <w:rPr>
          <w:i/>
        </w:rPr>
        <w:t>The standard allows the PRINT field to be nested inside another field.</w:t>
      </w:r>
    </w:p>
    <w:p w:rsidR="000A156F" w:rsidRDefault="00A9721F">
      <w:pPr>
        <w:pStyle w:val="Definition-Field2"/>
      </w:pPr>
      <w:r>
        <w:t>Word will not carry out the behavior specified by the PRINT field is it is nested inside another field.</w:t>
      </w:r>
    </w:p>
    <w:p w:rsidR="000A156F" w:rsidRDefault="00A9721F">
      <w:pPr>
        <w:pStyle w:val="Heading3"/>
      </w:pPr>
      <w:bookmarkStart w:id="1004" w:name="section_5f6bf1e3a9cf46c69ad63d8bcdb21a92"/>
      <w:bookmarkStart w:id="1005" w:name="_Toc181683528"/>
      <w:r>
        <w:t>Part 1 Section 17.16.5.47, PRINTDATE</w:t>
      </w:r>
      <w:bookmarkEnd w:id="1004"/>
      <w:bookmarkEnd w:id="1005"/>
      <w:r>
        <w:fldChar w:fldCharType="begin"/>
      </w:r>
      <w:r>
        <w:instrText xml:space="preserve"> XE "PRINTDA</w:instrText>
      </w:r>
      <w:r>
        <w:instrText xml:space="preserve">TE" </w:instrText>
      </w:r>
      <w:r>
        <w:fldChar w:fldCharType="end"/>
      </w:r>
    </w:p>
    <w:p w:rsidR="000A156F" w:rsidRDefault="00A9721F">
      <w:pPr>
        <w:pStyle w:val="Definition-Field"/>
      </w:pPr>
      <w:r>
        <w:t xml:space="preserve">a.   </w:t>
      </w:r>
      <w:r>
        <w:rPr>
          <w:i/>
        </w:rPr>
        <w:t>The standard says the Gregorian calendar is used by default.</w:t>
      </w:r>
    </w:p>
    <w:p w:rsidR="000A156F" w:rsidRDefault="00A9721F">
      <w:pPr>
        <w:pStyle w:val="Definition-Field2"/>
      </w:pPr>
      <w:r>
        <w:t>In Word, the default calendar depends on the locale.</w:t>
      </w:r>
    </w:p>
    <w:p w:rsidR="000A156F" w:rsidRDefault="00A9721F">
      <w:pPr>
        <w:pStyle w:val="Heading3"/>
      </w:pPr>
      <w:bookmarkStart w:id="1006" w:name="section_f4b4975ae97c41cd8461fe1b08714aaa"/>
      <w:bookmarkStart w:id="1007" w:name="_Toc181683529"/>
      <w:r>
        <w:t>Part 1 Section 17.16.5.49, QUOTE</w:t>
      </w:r>
      <w:bookmarkEnd w:id="1006"/>
      <w:bookmarkEnd w:id="1007"/>
      <w:r>
        <w:fldChar w:fldCharType="begin"/>
      </w:r>
      <w:r>
        <w:instrText xml:space="preserve"> XE "QUOTE" </w:instrText>
      </w:r>
      <w:r>
        <w:fldChar w:fldCharType="end"/>
      </w:r>
    </w:p>
    <w:p w:rsidR="000A156F" w:rsidRDefault="00A9721F">
      <w:pPr>
        <w:pStyle w:val="Definition-Field"/>
      </w:pPr>
      <w:r>
        <w:t xml:space="preserve">a.   </w:t>
      </w:r>
      <w:r>
        <w:rPr>
          <w:i/>
        </w:rPr>
        <w:t>The standard lists date-and-time-formatting switches twice in the list of swit</w:t>
      </w:r>
      <w:r>
        <w:rPr>
          <w:i/>
        </w:rPr>
        <w:t>ches allowed in a QUOTE field and leaves out numeric-formatting-switches.</w:t>
      </w:r>
    </w:p>
    <w:p w:rsidR="000A156F" w:rsidRDefault="00A9721F">
      <w:pPr>
        <w:pStyle w:val="Definition-Field2"/>
      </w:pPr>
      <w:r>
        <w:t>In Word, the list of allowable switches in a QUOTE field includes numeric-formatting-switches.</w:t>
      </w:r>
    </w:p>
    <w:p w:rsidR="000A156F" w:rsidRDefault="00A9721F">
      <w:pPr>
        <w:pStyle w:val="Definition-Field"/>
      </w:pPr>
      <w:r>
        <w:t xml:space="preserve">b.   </w:t>
      </w:r>
      <w:r>
        <w:rPr>
          <w:i/>
        </w:rPr>
        <w:t>The standard specifies the field value of the QUOTE field as the text in the field</w:t>
      </w:r>
      <w:r>
        <w:rPr>
          <w:i/>
        </w:rPr>
        <w:t xml:space="preserve"> argument without any transformation.</w:t>
      </w:r>
    </w:p>
    <w:p w:rsidR="000A156F" w:rsidRDefault="00A9721F">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decimal number</w:t>
      </w:r>
      <w:r>
        <w:t>s.  Up to four digits shall be used to specify a character using hexadecimal (leading 0x or 0X). Word does not allow insertion of the code point 13 as a character.</w:t>
      </w:r>
    </w:p>
    <w:p w:rsidR="000A156F" w:rsidRDefault="00A9721F">
      <w:pPr>
        <w:pStyle w:val="Definition-Field"/>
      </w:pPr>
      <w:r>
        <w:t xml:space="preserve">c.   </w:t>
      </w:r>
      <w:r>
        <w:rPr>
          <w:i/>
        </w:rPr>
        <w:t>The standard says that a QUOTE field must contain at least one switch.</w:t>
      </w:r>
    </w:p>
    <w:p w:rsidR="000A156F" w:rsidRDefault="00A9721F">
      <w:pPr>
        <w:pStyle w:val="Definition-Field2"/>
      </w:pPr>
      <w:r>
        <w:t>In Word, includi</w:t>
      </w:r>
      <w:r>
        <w:t>ng a switch in the QUOTE field is optional.</w:t>
      </w:r>
    </w:p>
    <w:p w:rsidR="000A156F" w:rsidRDefault="00A9721F">
      <w:pPr>
        <w:pStyle w:val="Heading3"/>
      </w:pPr>
      <w:bookmarkStart w:id="1008" w:name="section_a56b965194d24733b5d57c9135e298cc"/>
      <w:bookmarkStart w:id="1009" w:name="_Toc181683530"/>
      <w:r>
        <w:t>Part 1 Section 17.16.5.50, RD</w:t>
      </w:r>
      <w:bookmarkEnd w:id="1008"/>
      <w:bookmarkEnd w:id="1009"/>
      <w:r>
        <w:fldChar w:fldCharType="begin"/>
      </w:r>
      <w:r>
        <w:instrText xml:space="preserve"> XE "RD" </w:instrText>
      </w:r>
      <w:r>
        <w:fldChar w:fldCharType="end"/>
      </w:r>
    </w:p>
    <w:p w:rsidR="000A156F" w:rsidRDefault="00A9721F">
      <w:pPr>
        <w:pStyle w:val="Definition-Field"/>
      </w:pPr>
      <w:r>
        <w:t xml:space="preserve">a.   </w:t>
      </w:r>
      <w:r>
        <w:rPr>
          <w:i/>
        </w:rPr>
        <w:t>The standard says that the \p switch indicates relative path for an RD field.</w:t>
      </w:r>
    </w:p>
    <w:p w:rsidR="000A156F" w:rsidRDefault="00A9721F">
      <w:pPr>
        <w:pStyle w:val="Definition-Field2"/>
      </w:pPr>
      <w:r>
        <w:t>In Word, the \f indicates a relative path for an RD field.</w:t>
      </w:r>
    </w:p>
    <w:p w:rsidR="000A156F" w:rsidRDefault="00A9721F">
      <w:pPr>
        <w:pStyle w:val="Definition-Field"/>
      </w:pPr>
      <w:r>
        <w:t xml:space="preserve">b.   </w:t>
      </w:r>
      <w:r>
        <w:rPr>
          <w:i/>
        </w:rPr>
        <w:t>The standard says the RD</w:t>
      </w:r>
      <w:r>
        <w:rPr>
          <w:i/>
        </w:rPr>
        <w:t xml:space="preserve"> field must contain a switch.</w:t>
      </w:r>
    </w:p>
    <w:p w:rsidR="000A156F" w:rsidRDefault="00A9721F">
      <w:pPr>
        <w:pStyle w:val="Definition-Field2"/>
      </w:pPr>
      <w:r>
        <w:t>In Word, including a switch in the RD field is optional.</w:t>
      </w:r>
    </w:p>
    <w:p w:rsidR="000A156F" w:rsidRDefault="00A9721F">
      <w:pPr>
        <w:pStyle w:val="Heading3"/>
      </w:pPr>
      <w:bookmarkStart w:id="1010" w:name="section_7088a8cee78449d494b8cba6ef8fce78"/>
      <w:bookmarkStart w:id="1011" w:name="_Toc181683531"/>
      <w:r>
        <w:t>Part 1 Section 17.16.5.51, REF</w:t>
      </w:r>
      <w:bookmarkEnd w:id="1010"/>
      <w:bookmarkEnd w:id="1011"/>
      <w:r>
        <w:fldChar w:fldCharType="begin"/>
      </w:r>
      <w:r>
        <w:instrText xml:space="preserve"> XE "REF" </w:instrText>
      </w:r>
      <w:r>
        <w:fldChar w:fldCharType="end"/>
      </w:r>
    </w:p>
    <w:p w:rsidR="000A156F" w:rsidRDefault="00A9721F">
      <w:pPr>
        <w:pStyle w:val="Definition-Field"/>
      </w:pPr>
      <w:r>
        <w:t xml:space="preserve">a.   </w:t>
      </w:r>
      <w:r>
        <w:rPr>
          <w:i/>
        </w:rPr>
        <w:t>The standard says the REF must have at least one general-formatting-switch and at most one field-specific-switch.</w:t>
      </w:r>
    </w:p>
    <w:p w:rsidR="000A156F" w:rsidRDefault="00A9721F">
      <w:pPr>
        <w:pStyle w:val="Definition-Field2"/>
      </w:pPr>
      <w:r>
        <w:t xml:space="preserve">In </w:t>
      </w:r>
      <w:r>
        <w:t>Word, the REF field is allowed to have zero general-formatting-switches and multiple field-specific-switches.</w:t>
      </w:r>
    </w:p>
    <w:p w:rsidR="000A156F" w:rsidRDefault="00A9721F">
      <w:pPr>
        <w:pStyle w:val="Definition-Field"/>
      </w:pPr>
      <w:r>
        <w:lastRenderedPageBreak/>
        <w:t xml:space="preserve">b.   </w:t>
      </w:r>
      <w:r>
        <w:rPr>
          <w:i/>
        </w:rPr>
        <w:t>The standard says the \d switch specifies the character sequence used to separate sequence numbers and page numbers, but does not explain wha</w:t>
      </w:r>
      <w:r>
        <w:rPr>
          <w:i/>
        </w:rPr>
        <w:t>t sequence numbers and page numbers.</w:t>
      </w:r>
    </w:p>
    <w:p w:rsidR="000A156F" w:rsidRDefault="00A9721F">
      <w:pPr>
        <w:pStyle w:val="Definition-Field2"/>
      </w:pPr>
      <w:r>
        <w:t>In Word, the \d switch specifies the character sequence used to separate sequence numbers placed in the field value by the \n, \r, and \w switches.</w:t>
      </w:r>
    </w:p>
    <w:p w:rsidR="000A156F" w:rsidRDefault="00A9721F">
      <w:pPr>
        <w:pStyle w:val="Definition-Field"/>
      </w:pPr>
      <w:r>
        <w:t xml:space="preserve">c.   </w:t>
      </w:r>
      <w:r>
        <w:rPr>
          <w:i/>
        </w:rPr>
        <w:t xml:space="preserve">The standard provides insufficient information to explain how the </w:t>
      </w:r>
      <w:r>
        <w:rPr>
          <w:i/>
        </w:rPr>
        <w:t>\n switch affects the REF field value.</w:t>
      </w:r>
    </w:p>
    <w:p w:rsidR="000A156F" w:rsidRDefault="00A9721F">
      <w:pPr>
        <w:pStyle w:val="Definition-Field2"/>
      </w:pPr>
      <w:r>
        <w:t>In Word, for a referenced numbered paragraph, \n causes the field result to be the paragraph number without trailing periods. No information about prior numbered levels is displayed unless it is included as part of th</w:t>
      </w:r>
      <w:r>
        <w:t>e current level.</w:t>
      </w:r>
    </w:p>
    <w:p w:rsidR="000A156F" w:rsidRDefault="00A9721F">
      <w:r>
        <w:t xml:space="preserve">[Example: </w:t>
      </w:r>
    </w:p>
    <w:p w:rsidR="000A156F" w:rsidRDefault="00A9721F">
      <w:r>
        <w:t xml:space="preserve">If the referenced paragraph is numbered </w:t>
      </w:r>
      <w:r>
        <w:rPr>
          <w:rStyle w:val="InlineCode"/>
        </w:rPr>
        <w:t>2.7.1</w:t>
      </w:r>
      <w:r>
        <w:t xml:space="preserve">, the field shall result in </w:t>
      </w:r>
      <w:r>
        <w:rPr>
          <w:rStyle w:val="InlineCode"/>
        </w:rPr>
        <w:t>1</w:t>
      </w:r>
      <w:r>
        <w:t>. end example]</w:t>
      </w:r>
    </w:p>
    <w:p w:rsidR="000A156F" w:rsidRDefault="00A9721F">
      <w:pPr>
        <w:pStyle w:val="Definition-Field"/>
      </w:pPr>
      <w:r>
        <w:t xml:space="preserve">d.   </w:t>
      </w:r>
      <w:r>
        <w:rPr>
          <w:i/>
        </w:rPr>
        <w:t>The standard says the REF keyword is not optional when used with bookmarks with the same name as a field.</w:t>
      </w:r>
    </w:p>
    <w:p w:rsidR="000A156F" w:rsidRDefault="00A9721F">
      <w:pPr>
        <w:pStyle w:val="Definition-Field2"/>
      </w:pPr>
      <w:r>
        <w:t xml:space="preserve">In Word, REF is required to </w:t>
      </w:r>
      <w:r>
        <w:t>be present if the bookmark name is one of the following: CONTROL, DATA, EMBED, HTMLCONTROL, or SUBSCRIBER.</w:t>
      </w:r>
    </w:p>
    <w:p w:rsidR="000A156F" w:rsidRDefault="00A9721F">
      <w:pPr>
        <w:pStyle w:val="Definition-Field"/>
      </w:pPr>
      <w:r>
        <w:t xml:space="preserve">e.   </w:t>
      </w:r>
      <w:r>
        <w:rPr>
          <w:i/>
        </w:rPr>
        <w:t>The standard provides insufficient information to explain how the \r switch affects the REF field value.</w:t>
      </w:r>
    </w:p>
    <w:p w:rsidR="000A156F" w:rsidRDefault="00A9721F">
      <w:pPr>
        <w:pStyle w:val="Definition-Field2"/>
      </w:pPr>
      <w:r>
        <w:t>In Word, for a referenced numbered para</w:t>
      </w:r>
      <w:r>
        <w:t>graph, \r inserts the paragraph number of the bookmarked paragraph in relative context, or relative to its position in the numbering scheme without trailing periods.</w:t>
      </w:r>
    </w:p>
    <w:p w:rsidR="000A156F" w:rsidRDefault="00A9721F">
      <w:r>
        <w:t>[Example:</w:t>
      </w:r>
    </w:p>
    <w:p w:rsidR="000A156F" w:rsidRDefault="00A9721F">
      <w:r>
        <w:t xml:space="preserve">If the </w:t>
      </w:r>
      <w:r>
        <w:rPr>
          <w:rStyle w:val="InlineCode"/>
        </w:rPr>
        <w:t>REF</w:t>
      </w:r>
      <w:r>
        <w:t xml:space="preserve"> field is contained within paragraph </w:t>
      </w:r>
      <w:r>
        <w:rPr>
          <w:rStyle w:val="InlineCode"/>
        </w:rPr>
        <w:t>4.3.1</w:t>
      </w:r>
      <w:r>
        <w:t xml:space="preserve"> and the referenced paragrap</w:t>
      </w:r>
      <w:r>
        <w:t xml:space="preserve">h is numbered </w:t>
      </w:r>
      <w:r>
        <w:rPr>
          <w:rStyle w:val="InlineCode"/>
        </w:rPr>
        <w:t>4.5.2</w:t>
      </w:r>
      <w:r>
        <w:t xml:space="preserve">, the result shall be </w:t>
      </w:r>
      <w:r>
        <w:rPr>
          <w:rStyle w:val="InlineCode"/>
        </w:rPr>
        <w:t>5.2</w:t>
      </w:r>
      <w:r>
        <w:t>. end example]</w:t>
      </w:r>
    </w:p>
    <w:p w:rsidR="000A156F" w:rsidRDefault="00A9721F">
      <w:pPr>
        <w:pStyle w:val="Definition-Field"/>
      </w:pPr>
      <w:r>
        <w:t xml:space="preserve">f.   </w:t>
      </w:r>
      <w:r>
        <w:rPr>
          <w:i/>
        </w:rPr>
        <w:t>The standard provides insufficient information to explain how the \w switch affects the REF field value.</w:t>
      </w:r>
    </w:p>
    <w:p w:rsidR="000A156F" w:rsidRDefault="00A9721F">
      <w:pPr>
        <w:pStyle w:val="Definition-Field2"/>
      </w:pPr>
      <w:r>
        <w:t>In Word, for a referenced numbered paragraph, \w causes the field result to be the enti</w:t>
      </w:r>
      <w:r>
        <w:t xml:space="preserve">re paragraph number without trailing periods, regardless of the location of the </w:t>
      </w:r>
      <w:r>
        <w:rPr>
          <w:rStyle w:val="InlineCode"/>
        </w:rPr>
        <w:t>REF</w:t>
      </w:r>
      <w:r>
        <w:t xml:space="preserve"> field.</w:t>
      </w:r>
    </w:p>
    <w:p w:rsidR="000A156F" w:rsidRDefault="00A9721F">
      <w:r>
        <w:t>[Example:</w:t>
      </w:r>
    </w:p>
    <w:p w:rsidR="000A156F" w:rsidRDefault="00A9721F">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0A156F" w:rsidRDefault="00A9721F">
      <w:pPr>
        <w:pStyle w:val="Definition-Field"/>
      </w:pPr>
      <w:r>
        <w:t xml:space="preserve">g.   </w:t>
      </w:r>
      <w:r>
        <w:rPr>
          <w:i/>
        </w:rPr>
        <w:t xml:space="preserve">The </w:t>
      </w:r>
      <w:r>
        <w:rPr>
          <w:i/>
        </w:rPr>
        <w:t>standard says that a text entity in a field that does not match a known field instruction will be interpreted as a REF field.</w:t>
      </w:r>
    </w:p>
    <w:p w:rsidR="000A156F" w:rsidRDefault="00A9721F">
      <w:pPr>
        <w:pStyle w:val="Definition-Field2"/>
      </w:pPr>
      <w:r>
        <w:t>In addition to not allowing known field instructions as REF fields, Word also disallows the following names to be used as automati</w:t>
      </w:r>
      <w:r>
        <w:t>c bookmarks. These reserved names must be prefaced with REF.</w:t>
      </w:r>
    </w:p>
    <w:p w:rsidR="000A156F" w:rsidRDefault="00A9721F">
      <w:pPr>
        <w:pStyle w:val="ListParagraph"/>
        <w:numPr>
          <w:ilvl w:val="0"/>
          <w:numId w:val="63"/>
        </w:numPr>
        <w:ind w:left="720"/>
        <w:contextualSpacing/>
      </w:pPr>
      <w:r>
        <w:t>ADDIN</w:t>
      </w:r>
    </w:p>
    <w:p w:rsidR="000A156F" w:rsidRDefault="00A9721F">
      <w:pPr>
        <w:pStyle w:val="ListParagraph"/>
        <w:numPr>
          <w:ilvl w:val="0"/>
          <w:numId w:val="63"/>
        </w:numPr>
        <w:ind w:left="720"/>
        <w:contextualSpacing/>
      </w:pPr>
      <w:r>
        <w:t>CONTROL</w:t>
      </w:r>
    </w:p>
    <w:p w:rsidR="000A156F" w:rsidRDefault="00A9721F">
      <w:pPr>
        <w:pStyle w:val="ListParagraph"/>
        <w:numPr>
          <w:ilvl w:val="0"/>
          <w:numId w:val="63"/>
        </w:numPr>
        <w:ind w:left="720"/>
        <w:contextualSpacing/>
      </w:pPr>
      <w:r>
        <w:t>DATA</w:t>
      </w:r>
    </w:p>
    <w:p w:rsidR="000A156F" w:rsidRDefault="00A9721F">
      <w:pPr>
        <w:pStyle w:val="ListParagraph"/>
        <w:numPr>
          <w:ilvl w:val="0"/>
          <w:numId w:val="63"/>
        </w:numPr>
        <w:ind w:left="720"/>
        <w:contextualSpacing/>
      </w:pPr>
      <w:r>
        <w:t>DISPLAYNFC</w:t>
      </w:r>
    </w:p>
    <w:p w:rsidR="000A156F" w:rsidRDefault="00A9721F">
      <w:pPr>
        <w:pStyle w:val="ListParagraph"/>
        <w:numPr>
          <w:ilvl w:val="0"/>
          <w:numId w:val="63"/>
        </w:numPr>
        <w:ind w:left="720"/>
        <w:contextualSpacing/>
      </w:pPr>
      <w:r>
        <w:t>EMBED</w:t>
      </w:r>
    </w:p>
    <w:p w:rsidR="000A156F" w:rsidRDefault="00A9721F">
      <w:pPr>
        <w:pStyle w:val="ListParagraph"/>
        <w:numPr>
          <w:ilvl w:val="0"/>
          <w:numId w:val="63"/>
        </w:numPr>
        <w:ind w:left="720"/>
        <w:contextualSpacing/>
      </w:pPr>
      <w:r>
        <w:t>FTNREF</w:t>
      </w:r>
    </w:p>
    <w:p w:rsidR="000A156F" w:rsidRDefault="00A9721F">
      <w:pPr>
        <w:pStyle w:val="ListParagraph"/>
        <w:numPr>
          <w:ilvl w:val="0"/>
          <w:numId w:val="63"/>
        </w:numPr>
        <w:ind w:left="720"/>
        <w:contextualSpacing/>
      </w:pPr>
      <w:r>
        <w:t>HTMLCONTROL</w:t>
      </w:r>
    </w:p>
    <w:p w:rsidR="000A156F" w:rsidRDefault="00A9721F">
      <w:pPr>
        <w:pStyle w:val="ListParagraph"/>
        <w:numPr>
          <w:ilvl w:val="0"/>
          <w:numId w:val="63"/>
        </w:numPr>
        <w:ind w:left="720"/>
        <w:contextualSpacing/>
      </w:pPr>
      <w:r>
        <w:t>SUBSCRIBER</w:t>
      </w:r>
    </w:p>
    <w:p w:rsidR="000A156F" w:rsidRDefault="00A9721F">
      <w:pPr>
        <w:pStyle w:val="Heading3"/>
      </w:pPr>
      <w:bookmarkStart w:id="1012" w:name="section_a39e60af18344a42b64717ae5c794732"/>
      <w:bookmarkStart w:id="1013" w:name="_Toc181683532"/>
      <w:r>
        <w:lastRenderedPageBreak/>
        <w:t>Part 1 Section 17.16.5.52, REVNUM</w:t>
      </w:r>
      <w:bookmarkEnd w:id="1012"/>
      <w:bookmarkEnd w:id="1013"/>
      <w:r>
        <w:fldChar w:fldCharType="begin"/>
      </w:r>
      <w:r>
        <w:instrText xml:space="preserve"> XE "REVNUM" </w:instrText>
      </w:r>
      <w:r>
        <w:fldChar w:fldCharType="end"/>
      </w:r>
    </w:p>
    <w:p w:rsidR="000A156F" w:rsidRDefault="00A9721F">
      <w:pPr>
        <w:pStyle w:val="Definition-Field"/>
      </w:pPr>
      <w:r>
        <w:t xml:space="preserve">a.   </w:t>
      </w:r>
      <w:r>
        <w:rPr>
          <w:i/>
        </w:rPr>
        <w:t>The standard says that no switches are used on the REVNUM field.</w:t>
      </w:r>
    </w:p>
    <w:p w:rsidR="000A156F" w:rsidRDefault="00A9721F">
      <w:pPr>
        <w:pStyle w:val="Definition-Field2"/>
      </w:pPr>
      <w:r>
        <w:t>Word allow</w:t>
      </w:r>
      <w:r>
        <w:t>s both numeric and general formatting switches for the REVNUM field.</w:t>
      </w:r>
    </w:p>
    <w:p w:rsidR="000A156F" w:rsidRDefault="00A9721F">
      <w:pPr>
        <w:pStyle w:val="Heading3"/>
      </w:pPr>
      <w:bookmarkStart w:id="1014" w:name="section_ec6ce3a5b5c94683af962367fbcd9d08"/>
      <w:bookmarkStart w:id="1015" w:name="_Toc181683533"/>
      <w:r>
        <w:t>Part 1 Section 17.16.5.53, SAVEDATE</w:t>
      </w:r>
      <w:bookmarkEnd w:id="1014"/>
      <w:bookmarkEnd w:id="1015"/>
      <w:r>
        <w:fldChar w:fldCharType="begin"/>
      </w:r>
      <w:r>
        <w:instrText xml:space="preserve"> XE "SAVEDATE" </w:instrText>
      </w:r>
      <w:r>
        <w:fldChar w:fldCharType="end"/>
      </w:r>
    </w:p>
    <w:p w:rsidR="000A156F" w:rsidRDefault="00A9721F">
      <w:pPr>
        <w:pStyle w:val="Definition-Field"/>
      </w:pPr>
      <w:r>
        <w:t xml:space="preserve">a.   </w:t>
      </w:r>
      <w:r>
        <w:rPr>
          <w:i/>
        </w:rPr>
        <w:t>The standard says the default calendar for the SAVEDATE field is Gregorian calendar.</w:t>
      </w:r>
    </w:p>
    <w:p w:rsidR="000A156F" w:rsidRDefault="00A9721F">
      <w:pPr>
        <w:pStyle w:val="Definition-Field2"/>
      </w:pPr>
      <w:r>
        <w:t xml:space="preserve">In Word, the default calendar for the </w:t>
      </w:r>
      <w:r>
        <w:t>SAVEDATE field depends on the locale.</w:t>
      </w:r>
    </w:p>
    <w:p w:rsidR="000A156F" w:rsidRDefault="00A9721F">
      <w:pPr>
        <w:pStyle w:val="Heading3"/>
      </w:pPr>
      <w:bookmarkStart w:id="1016" w:name="section_c4afd4cb3be247439ef6e730081add8e"/>
      <w:bookmarkStart w:id="1017" w:name="_Toc181683534"/>
      <w:r>
        <w:t>Part 1 Section 17.16.5.54, SECTION</w:t>
      </w:r>
      <w:bookmarkEnd w:id="1016"/>
      <w:bookmarkEnd w:id="1017"/>
      <w:r>
        <w:fldChar w:fldCharType="begin"/>
      </w:r>
      <w:r>
        <w:instrText xml:space="preserve"> XE "SECTION" </w:instrText>
      </w:r>
      <w:r>
        <w:fldChar w:fldCharType="end"/>
      </w:r>
    </w:p>
    <w:p w:rsidR="000A156F" w:rsidRDefault="00A9721F">
      <w:pPr>
        <w:pStyle w:val="Definition-Field"/>
      </w:pPr>
      <w:r>
        <w:t xml:space="preserve">a.   </w:t>
      </w:r>
      <w:r>
        <w:rPr>
          <w:i/>
        </w:rPr>
        <w:t>The standard says that the SECTION field only allows switches general-formatting-switches.</w:t>
      </w:r>
    </w:p>
    <w:p w:rsidR="000A156F" w:rsidRDefault="00A9721F">
      <w:pPr>
        <w:pStyle w:val="Definition-Field2"/>
      </w:pPr>
      <w:r>
        <w:t>In Word, the SECTION field also allows numeric-formatting-switches.</w:t>
      </w:r>
    </w:p>
    <w:p w:rsidR="000A156F" w:rsidRDefault="00A9721F">
      <w:pPr>
        <w:pStyle w:val="Heading3"/>
      </w:pPr>
      <w:bookmarkStart w:id="1018" w:name="section_a5a21cd9a4b7494cac6b5006b7772c3f"/>
      <w:bookmarkStart w:id="1019" w:name="_Toc181683535"/>
      <w:r>
        <w:t>Par</w:t>
      </w:r>
      <w:r>
        <w:t>t 1 Section 17.16.5.55, SECTIONPAGES</w:t>
      </w:r>
      <w:bookmarkEnd w:id="1018"/>
      <w:bookmarkEnd w:id="1019"/>
      <w:r>
        <w:fldChar w:fldCharType="begin"/>
      </w:r>
      <w:r>
        <w:instrText xml:space="preserve"> XE "SECTIONPAGES" </w:instrText>
      </w:r>
      <w:r>
        <w:fldChar w:fldCharType="end"/>
      </w:r>
    </w:p>
    <w:p w:rsidR="000A156F" w:rsidRDefault="00A9721F">
      <w:pPr>
        <w:pStyle w:val="Definition-Field"/>
      </w:pPr>
      <w:r>
        <w:t xml:space="preserve">a.   </w:t>
      </w:r>
      <w:r>
        <w:rPr>
          <w:i/>
        </w:rPr>
        <w:t>The standard says the SECTIONPAGES field value is the number of the current page within the current section.</w:t>
      </w:r>
    </w:p>
    <w:p w:rsidR="000A156F" w:rsidRDefault="00A9721F">
      <w:pPr>
        <w:pStyle w:val="Definition-Field2"/>
      </w:pPr>
      <w:r>
        <w:t>In Word, the SECTIONPAGES field value is the number of pages in the current section.</w:t>
      </w:r>
    </w:p>
    <w:p w:rsidR="000A156F" w:rsidRDefault="00A9721F">
      <w:pPr>
        <w:pStyle w:val="Definition-Field"/>
      </w:pPr>
      <w:r>
        <w:t xml:space="preserve">b.   </w:t>
      </w:r>
      <w:r>
        <w:rPr>
          <w:i/>
        </w:rPr>
        <w:t>The standard says that the only switches the SECTIONPAGES field can take are general-formatting-switches.</w:t>
      </w:r>
    </w:p>
    <w:p w:rsidR="000A156F" w:rsidRDefault="00A9721F">
      <w:pPr>
        <w:pStyle w:val="Definition-Field2"/>
      </w:pPr>
      <w:r>
        <w:t>In Word, the SECTIONPAGES field can also take a numeric-formatting-switch.</w:t>
      </w:r>
    </w:p>
    <w:p w:rsidR="000A156F" w:rsidRDefault="00A9721F">
      <w:pPr>
        <w:pStyle w:val="Heading3"/>
      </w:pPr>
      <w:bookmarkStart w:id="1020" w:name="section_a591c06028004699b1f4dbb0c4374557"/>
      <w:bookmarkStart w:id="1021" w:name="_Toc181683536"/>
      <w:r>
        <w:t>Part 1 Section 17.16.5.56, SEQ</w:t>
      </w:r>
      <w:bookmarkEnd w:id="1020"/>
      <w:bookmarkEnd w:id="1021"/>
      <w:r>
        <w:fldChar w:fldCharType="begin"/>
      </w:r>
      <w:r>
        <w:instrText xml:space="preserve"> XE "SEQ" </w:instrText>
      </w:r>
      <w:r>
        <w:fldChar w:fldCharType="end"/>
      </w:r>
    </w:p>
    <w:p w:rsidR="000A156F" w:rsidRDefault="00A9721F">
      <w:pPr>
        <w:pStyle w:val="Definition-Field"/>
      </w:pPr>
      <w:r>
        <w:t xml:space="preserve">a.   </w:t>
      </w:r>
      <w:r>
        <w:rPr>
          <w:i/>
        </w:rPr>
        <w:t>The standard does not</w:t>
      </w:r>
      <w:r>
        <w:rPr>
          <w:i/>
        </w:rPr>
        <w:t xml:space="preserve"> specify the meaning of the optional bookmark name in the SEQ field.</w:t>
      </w:r>
    </w:p>
    <w:p w:rsidR="000A156F" w:rsidRDefault="00A9721F">
      <w:pPr>
        <w:pStyle w:val="Definition-Field2"/>
      </w:pPr>
      <w:r>
        <w:t>In Word, when a bookmark name is used in an SEQ field, the SEQ field displays the result of the SEQ field nearest the bookmark in the document.</w:t>
      </w:r>
    </w:p>
    <w:p w:rsidR="000A156F" w:rsidRDefault="00A9721F">
      <w:pPr>
        <w:pStyle w:val="Definition-Field"/>
      </w:pPr>
      <w:r>
        <w:t xml:space="preserve">b.   </w:t>
      </w:r>
      <w:r>
        <w:rPr>
          <w:i/>
        </w:rPr>
        <w:t xml:space="preserve">The standard says that the \s switch </w:t>
      </w:r>
      <w:r>
        <w:rPr>
          <w:i/>
        </w:rPr>
        <w:t>resets the sequence number to the built-in (integer) heading level specified.</w:t>
      </w:r>
    </w:p>
    <w:p w:rsidR="000A156F" w:rsidRDefault="00A9721F">
      <w:pPr>
        <w:pStyle w:val="Definition-Field2"/>
      </w:pPr>
      <w:r>
        <w:t>In Word, the \s switch resets the sequence following a heading of the specified level.</w:t>
      </w:r>
    </w:p>
    <w:p w:rsidR="000A156F" w:rsidRDefault="00A9721F">
      <w:pPr>
        <w:pStyle w:val="Heading3"/>
      </w:pPr>
      <w:bookmarkStart w:id="1022" w:name="section_7ceafbd6ebba4a17865bb88d5a6b0930"/>
      <w:bookmarkStart w:id="1023" w:name="_Toc181683537"/>
      <w:r>
        <w:t>Part 1 Section 17.16.5.58, SKIPIF</w:t>
      </w:r>
      <w:bookmarkEnd w:id="1022"/>
      <w:bookmarkEnd w:id="1023"/>
      <w:r>
        <w:fldChar w:fldCharType="begin"/>
      </w:r>
      <w:r>
        <w:instrText xml:space="preserve"> XE "SKIPIF" </w:instrText>
      </w:r>
      <w:r>
        <w:fldChar w:fldCharType="end"/>
      </w:r>
    </w:p>
    <w:p w:rsidR="000A156F" w:rsidRDefault="00A9721F">
      <w:pPr>
        <w:pStyle w:val="Definition-Field"/>
      </w:pPr>
      <w:r>
        <w:t xml:space="preserve">a.   </w:t>
      </w:r>
      <w:r>
        <w:rPr>
          <w:i/>
        </w:rPr>
        <w:t>The standard makes no mention of wild</w:t>
      </w:r>
      <w:r>
        <w:rPr>
          <w:i/>
        </w:rPr>
        <w:t>cards used in the SKIPIF field.</w:t>
      </w:r>
    </w:p>
    <w:p w:rsidR="000A156F" w:rsidRDefault="00A9721F">
      <w:r>
        <w:t xml:space="preserve">In Word, if Operator is </w:t>
      </w:r>
      <w:r>
        <w:rPr>
          <w:rStyle w:val="InlineCode"/>
        </w:rPr>
        <w:t>=</w:t>
      </w:r>
      <w:r>
        <w:t xml:space="preserve"> or </w:t>
      </w:r>
      <w:r>
        <w:rPr>
          <w:rStyle w:val="InlineCode"/>
        </w:rPr>
        <w:t>&lt;&gt;</w:t>
      </w:r>
      <w:r>
        <w:t>, Expression-2 can contain a question mark (?) to represent any single character, or an asterisk (*) to represent any string of characters. The expression shall be enclosed in quotation marks s</w:t>
      </w:r>
      <w:r>
        <w:t>o that it is compared as a character string. If an asterisk is used in Expression-2, the portion of Expression-1 that corresponds to the asterisk, plus any remaining characters in Expression-2, shall NOT exceed 128 characters.</w:t>
      </w:r>
    </w:p>
    <w:p w:rsidR="000A156F" w:rsidRDefault="00A9721F">
      <w:pPr>
        <w:pStyle w:val="Definition-Field"/>
      </w:pPr>
      <w:r>
        <w:t xml:space="preserve">b.   </w:t>
      </w:r>
      <w:r>
        <w:rPr>
          <w:i/>
        </w:rPr>
        <w:t>The standard does not sp</w:t>
      </w:r>
      <w:r>
        <w:rPr>
          <w:i/>
        </w:rPr>
        <w:t>ecify the expression that is evaluated for the comparison.</w:t>
      </w:r>
    </w:p>
    <w:p w:rsidR="000A156F" w:rsidRDefault="00A9721F">
      <w:pPr>
        <w:pStyle w:val="Definition-Field2"/>
      </w:pPr>
      <w:r>
        <w:t>Word evaluates the following expression: comparison =&gt; expression comparison-operator expression.</w:t>
      </w:r>
    </w:p>
    <w:p w:rsidR="000A156F" w:rsidRDefault="00A9721F">
      <w:pPr>
        <w:pStyle w:val="Definition-Field"/>
      </w:pPr>
      <w:r>
        <w:lastRenderedPageBreak/>
        <w:t xml:space="preserve">c.   </w:t>
      </w:r>
      <w:r>
        <w:rPr>
          <w:i/>
        </w:rPr>
        <w:t>The Standard states that quotation marks shall be around the expression using wildcard charact</w:t>
      </w:r>
      <w:r>
        <w:rPr>
          <w:i/>
        </w:rPr>
        <w:t>ers.</w:t>
      </w:r>
    </w:p>
    <w:p w:rsidR="000A156F" w:rsidRDefault="00A9721F">
      <w:pPr>
        <w:pStyle w:val="Definition-Field2"/>
      </w:pPr>
      <w:r>
        <w:t>Word does not require quotation marks surrounding expressions with wildcard characters.</w:t>
      </w:r>
    </w:p>
    <w:p w:rsidR="000A156F" w:rsidRDefault="00A9721F">
      <w:pPr>
        <w:pStyle w:val="Definition-Field"/>
      </w:pPr>
      <w:r>
        <w:t xml:space="preserve">d.   </w:t>
      </w:r>
      <w:r>
        <w:rPr>
          <w:i/>
        </w:rPr>
        <w:t>The Standard does not specify restrictions on the length of the wildcard expansion.</w:t>
      </w:r>
    </w:p>
    <w:p w:rsidR="000A156F" w:rsidRDefault="00A9721F">
      <w:pPr>
        <w:pStyle w:val="Definition-Field2"/>
      </w:pPr>
      <w:r>
        <w:t>In Word, if an asterisk is used in Expression-2, the portion of Expression</w:t>
      </w:r>
      <w:r>
        <w:t>-1 that corresponds to the asterisk plus any remaining characters in Expression-2 shall NOT exceed 128 characters.</w:t>
      </w:r>
    </w:p>
    <w:p w:rsidR="000A156F" w:rsidRDefault="00A9721F">
      <w:pPr>
        <w:pStyle w:val="Heading3"/>
      </w:pPr>
      <w:bookmarkStart w:id="1024" w:name="section_0f5599c33b124970931d659e489369f4"/>
      <w:bookmarkStart w:id="1025" w:name="_Toc181683538"/>
      <w:r>
        <w:t>Part 1 Section 17.16.5.59, STYLEREF</w:t>
      </w:r>
      <w:bookmarkEnd w:id="1024"/>
      <w:bookmarkEnd w:id="1025"/>
      <w:r>
        <w:fldChar w:fldCharType="begin"/>
      </w:r>
      <w:r>
        <w:instrText xml:space="preserve"> XE "STYLEREF" </w:instrText>
      </w:r>
      <w:r>
        <w:fldChar w:fldCharType="end"/>
      </w:r>
    </w:p>
    <w:p w:rsidR="000A156F" w:rsidRDefault="00A9721F">
      <w:pPr>
        <w:pStyle w:val="Definition-Field"/>
      </w:pPr>
      <w:r>
        <w:t xml:space="preserve">a.   </w:t>
      </w:r>
      <w:r>
        <w:rPr>
          <w:i/>
        </w:rPr>
        <w:t>The standard does not fully define what switch \n means in a STYLEREF field.</w:t>
      </w:r>
    </w:p>
    <w:p w:rsidR="000A156F" w:rsidRDefault="00A9721F">
      <w:r>
        <w:t>In Wor</w:t>
      </w:r>
      <w:r>
        <w:t>d, for a referenced numbered paragraph, \n causes the field result to be the paragraph number without trailing periods. No information about prior numbered levels is displayed unless it is included as part of the current level.</w:t>
      </w:r>
    </w:p>
    <w:p w:rsidR="000A156F" w:rsidRDefault="00A9721F">
      <w:r>
        <w:t xml:space="preserve">[Example: If the referenced </w:t>
      </w:r>
      <w:r>
        <w:t xml:space="preserve">paragraph is numbered </w:t>
      </w:r>
      <w:r>
        <w:rPr>
          <w:rStyle w:val="InlineCode"/>
        </w:rPr>
        <w:t>2.7.1</w:t>
      </w:r>
      <w:r>
        <w:t xml:space="preserve">, the field shall result in </w:t>
      </w:r>
      <w:r>
        <w:rPr>
          <w:rStyle w:val="InlineCode"/>
        </w:rPr>
        <w:t>1</w:t>
      </w:r>
      <w:r>
        <w:t>. end example]</w:t>
      </w:r>
    </w:p>
    <w:p w:rsidR="000A156F" w:rsidRDefault="00A9721F">
      <w:pPr>
        <w:pStyle w:val="Definition-Field"/>
      </w:pPr>
      <w:r>
        <w:t xml:space="preserve">b.   </w:t>
      </w:r>
      <w:r>
        <w:rPr>
          <w:i/>
        </w:rPr>
        <w:t>The standard does not mention shorthand for how heading styles may be used.</w:t>
      </w:r>
    </w:p>
    <w:p w:rsidR="000A156F" w:rsidRDefault="00A9721F">
      <w:pPr>
        <w:pStyle w:val="Definition-Field2"/>
      </w:pPr>
      <w:r>
        <w:t>Word interprets 1 as heading 1, 2 as heading 2, ... 9 as heading 9 in field-argument.</w:t>
      </w:r>
    </w:p>
    <w:p w:rsidR="000A156F" w:rsidRDefault="00A9721F">
      <w:pPr>
        <w:pStyle w:val="Definition-Field"/>
      </w:pPr>
      <w:r>
        <w:t xml:space="preserve">c.   </w:t>
      </w:r>
      <w:r>
        <w:rPr>
          <w:i/>
        </w:rPr>
        <w:t xml:space="preserve">The standard </w:t>
      </w:r>
      <w:r>
        <w:rPr>
          <w:i/>
        </w:rPr>
        <w:t>specifies different search algorithms for a STYLEREF field in a header for a printed document versus an electronic document.</w:t>
      </w:r>
    </w:p>
    <w:p w:rsidR="000A156F" w:rsidRDefault="00A9721F">
      <w:pPr>
        <w:pStyle w:val="Definition-Field2"/>
      </w:pPr>
      <w:r>
        <w:t xml:space="preserve">When a STYLEREF field is in a header in an electronic document, Word uses the search algorithm specified for a STYLEREF field in a </w:t>
      </w:r>
      <w:r>
        <w:t>header for a printed document.</w:t>
      </w:r>
    </w:p>
    <w:p w:rsidR="000A156F" w:rsidRDefault="00A9721F">
      <w:pPr>
        <w:pStyle w:val="Definition-Field"/>
      </w:pPr>
      <w:r>
        <w:t xml:space="preserve">d.   </w:t>
      </w:r>
      <w:r>
        <w:rPr>
          <w:i/>
        </w:rPr>
        <w:t>The standard does not fully define what switch \r means in a STYLEREF field.</w:t>
      </w:r>
    </w:p>
    <w:p w:rsidR="000A156F" w:rsidRDefault="00A9721F">
      <w:r>
        <w:t>In Word, for a referenced numbered paragraph, \r inserts the paragraph number of the bookmarked paragraph in relative context, or relative to i</w:t>
      </w:r>
      <w:r>
        <w:t>ts position in the numbering scheme without trailing periods.</w:t>
      </w:r>
    </w:p>
    <w:p w:rsidR="000A156F" w:rsidRDefault="00A9721F">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0A156F" w:rsidRDefault="00A9721F">
      <w:pPr>
        <w:pStyle w:val="Definition-Field"/>
      </w:pPr>
      <w:r>
        <w:t xml:space="preserve">e.   </w:t>
      </w:r>
      <w:r>
        <w:rPr>
          <w:i/>
        </w:rPr>
        <w:t xml:space="preserve">The standard does not fully define what </w:t>
      </w:r>
      <w:r>
        <w:rPr>
          <w:i/>
        </w:rPr>
        <w:t>switch \w means in a STYLEREF field.</w:t>
      </w:r>
    </w:p>
    <w:p w:rsidR="000A156F" w:rsidRDefault="00A9721F">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0A156F" w:rsidRDefault="00A9721F">
      <w:r>
        <w:t xml:space="preserve">[Example: If the </w:t>
      </w:r>
      <w:r>
        <w:rPr>
          <w:rStyle w:val="InlineCode"/>
        </w:rPr>
        <w:t>REF</w:t>
      </w:r>
      <w:r>
        <w:t xml:space="preserve"> field is contained w</w:t>
      </w:r>
      <w:r>
        <w:t xml:space="preserve">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0A156F" w:rsidRDefault="00A9721F">
      <w:pPr>
        <w:pStyle w:val="Definition-Field"/>
      </w:pPr>
      <w:r>
        <w:t xml:space="preserve">f.   </w:t>
      </w:r>
      <w:r>
        <w:rPr>
          <w:i/>
        </w:rPr>
        <w:t>The standard does not fully define what switch \l means in a STYLEREF field.</w:t>
      </w:r>
    </w:p>
    <w:p w:rsidR="000A156F" w:rsidRDefault="00A9721F">
      <w:pPr>
        <w:pStyle w:val="Definition-Field2"/>
      </w:pPr>
      <w:r>
        <w:t xml:space="preserve">In Word, if the STYLEREF field is in a header, then this switch </w:t>
      </w:r>
      <w:r>
        <w:t>causes the search to go from the bottom of the page to the beginning of the document and then to the end of the document; otherwise, it has no effect.</w:t>
      </w:r>
    </w:p>
    <w:p w:rsidR="000A156F" w:rsidRDefault="00A9721F">
      <w:pPr>
        <w:pStyle w:val="Heading3"/>
      </w:pPr>
      <w:bookmarkStart w:id="1026" w:name="section_861ec14e4e1d4e82b68335a6bc07903d"/>
      <w:bookmarkStart w:id="1027" w:name="_Toc181683539"/>
      <w:r>
        <w:t>Part 1 Section 17.16.5.60, SUBJECT</w:t>
      </w:r>
      <w:bookmarkEnd w:id="1026"/>
      <w:bookmarkEnd w:id="1027"/>
      <w:r>
        <w:fldChar w:fldCharType="begin"/>
      </w:r>
      <w:r>
        <w:instrText xml:space="preserve"> XE "SUBJECT" </w:instrText>
      </w:r>
      <w:r>
        <w:fldChar w:fldCharType="end"/>
      </w:r>
    </w:p>
    <w:p w:rsidR="000A156F" w:rsidRDefault="00A9721F">
      <w:pPr>
        <w:pStyle w:val="Definition-Field"/>
      </w:pPr>
      <w:r>
        <w:t xml:space="preserve">a.   </w:t>
      </w:r>
      <w:r>
        <w:rPr>
          <w:i/>
        </w:rPr>
        <w:t xml:space="preserve">The standard says the SUBJECT field must have a </w:t>
      </w:r>
      <w:r>
        <w:rPr>
          <w:i/>
        </w:rPr>
        <w:t>general-formatting-switch.</w:t>
      </w:r>
    </w:p>
    <w:p w:rsidR="000A156F" w:rsidRDefault="00A9721F">
      <w:pPr>
        <w:pStyle w:val="Definition-Field2"/>
      </w:pPr>
      <w:r>
        <w:t>In Word, using a general-formatting switch with the SUBJECT field is optional.</w:t>
      </w:r>
    </w:p>
    <w:p w:rsidR="000A156F" w:rsidRDefault="00A9721F">
      <w:pPr>
        <w:pStyle w:val="Heading3"/>
      </w:pPr>
      <w:bookmarkStart w:id="1028" w:name="section_32d1142aeb7a4ce8ac093b73e1de86b7"/>
      <w:bookmarkStart w:id="1029" w:name="_Toc181683540"/>
      <w:r>
        <w:lastRenderedPageBreak/>
        <w:t>Part 1 Section 17.16.5.61, SYMBOL</w:t>
      </w:r>
      <w:bookmarkEnd w:id="1028"/>
      <w:bookmarkEnd w:id="1029"/>
      <w:r>
        <w:fldChar w:fldCharType="begin"/>
      </w:r>
      <w:r>
        <w:instrText xml:space="preserve"> XE "SYMBOL" </w:instrText>
      </w:r>
      <w:r>
        <w:fldChar w:fldCharType="end"/>
      </w:r>
    </w:p>
    <w:p w:rsidR="000A156F" w:rsidRDefault="00A9721F">
      <w:pPr>
        <w:pStyle w:val="Definition-Field"/>
      </w:pPr>
      <w:r>
        <w:t xml:space="preserve">a.   </w:t>
      </w:r>
      <w:r>
        <w:rPr>
          <w:i/>
        </w:rPr>
        <w:t>The standard says the \j switch interprets text in the field argument as the value of a SHIFT-JI</w:t>
      </w:r>
      <w:r>
        <w:rPr>
          <w:i/>
        </w:rPr>
        <w:t>S character.</w:t>
      </w:r>
    </w:p>
    <w:p w:rsidR="000A156F" w:rsidRDefault="00A9721F">
      <w:pPr>
        <w:pStyle w:val="Definition-Field2"/>
      </w:pPr>
      <w:r>
        <w:t>If the \j switch is used with characters 0x5C or 0x7E, Word does not display their SHIFT-JIS substitutions.</w:t>
      </w:r>
    </w:p>
    <w:p w:rsidR="000A156F" w:rsidRDefault="00A9721F">
      <w:pPr>
        <w:pStyle w:val="Definition-Field"/>
      </w:pPr>
      <w:r>
        <w:t xml:space="preserve">b.   </w:t>
      </w:r>
      <w:r>
        <w:rPr>
          <w:i/>
        </w:rPr>
        <w:t>The standard places no restrictions on the Unicode characters which may be used with the \u switch in the SYMBOL field.</w:t>
      </w:r>
    </w:p>
    <w:p w:rsidR="000A156F" w:rsidRDefault="00A9721F">
      <w:pPr>
        <w:pStyle w:val="Definition-Field2"/>
      </w:pPr>
      <w:r>
        <w:t xml:space="preserve">Using the </w:t>
      </w:r>
      <w:r>
        <w:t>\u switch, Word will not display surrogate pairs or Unicode characters outside of Unicode plane 0 (Basic Multilingual Plane).  If a character is specified outside of plane 0, the value will be truncated to one within plane 0.</w:t>
      </w:r>
    </w:p>
    <w:p w:rsidR="000A156F" w:rsidRDefault="00A9721F">
      <w:pPr>
        <w:pStyle w:val="Definition-Field"/>
      </w:pPr>
      <w:r>
        <w:t xml:space="preserve">c.   </w:t>
      </w:r>
      <w:r>
        <w:rPr>
          <w:i/>
        </w:rPr>
        <w:t>The standard allows the S</w:t>
      </w:r>
      <w:r>
        <w:rPr>
          <w:i/>
        </w:rPr>
        <w:t>YMBOL field to be nested inside another field.</w:t>
      </w:r>
    </w:p>
    <w:p w:rsidR="000A156F" w:rsidRDefault="00A9721F">
      <w:pPr>
        <w:pStyle w:val="Definition-Field2"/>
      </w:pPr>
      <w:r>
        <w:t>In Word, if the SYMBOL field is nested inside another field, no result is displayed.</w:t>
      </w:r>
    </w:p>
    <w:p w:rsidR="000A156F" w:rsidRDefault="00A9721F">
      <w:pPr>
        <w:pStyle w:val="Heading3"/>
      </w:pPr>
      <w:bookmarkStart w:id="1030" w:name="section_7fe21147206c484f9a5dccb42e2b75d1"/>
      <w:bookmarkStart w:id="1031" w:name="_Toc181683541"/>
      <w:r>
        <w:t>Part 1 Section 17.16.5.62, TA</w:t>
      </w:r>
      <w:bookmarkEnd w:id="1030"/>
      <w:bookmarkEnd w:id="1031"/>
      <w:r>
        <w:fldChar w:fldCharType="begin"/>
      </w:r>
      <w:r>
        <w:instrText xml:space="preserve"> XE "TA" </w:instrText>
      </w:r>
      <w:r>
        <w:fldChar w:fldCharType="end"/>
      </w:r>
    </w:p>
    <w:p w:rsidR="000A156F" w:rsidRDefault="00A9721F">
      <w:pPr>
        <w:pStyle w:val="Definition-Field"/>
      </w:pPr>
      <w:r>
        <w:t xml:space="preserve">a.   </w:t>
      </w:r>
      <w:r>
        <w:rPr>
          <w:i/>
        </w:rPr>
        <w:t>The standard does not explain how a TOA field uses TA fields.</w:t>
      </w:r>
    </w:p>
    <w:p w:rsidR="000A156F" w:rsidRDefault="00A9721F">
      <w:pPr>
        <w:pStyle w:val="Definition-Field2"/>
      </w:pPr>
      <w:r>
        <w:t>In Word, the TOA</w:t>
      </w:r>
      <w:r>
        <w:t xml:space="preserve"> field will only display an entry for a set of TA fields (containing the same entry for short citation and category) if both a long citation and category are defined.</w:t>
      </w:r>
    </w:p>
    <w:p w:rsidR="000A156F" w:rsidRDefault="00A9721F">
      <w:pPr>
        <w:pStyle w:val="Definition-Field"/>
      </w:pPr>
      <w:r>
        <w:t xml:space="preserve">b.   </w:t>
      </w:r>
      <w:r>
        <w:rPr>
          <w:i/>
        </w:rPr>
        <w:t>The standard says the default value for the \c switch is 1 when omitted.</w:t>
      </w:r>
    </w:p>
    <w:p w:rsidR="000A156F" w:rsidRDefault="00A9721F">
      <w:pPr>
        <w:pStyle w:val="Definition-Field2"/>
      </w:pPr>
      <w:r>
        <w:t>In Word, th</w:t>
      </w:r>
      <w:r>
        <w:t>ere is no default value for the \c switch when omitted.</w:t>
      </w:r>
    </w:p>
    <w:p w:rsidR="000A156F" w:rsidRDefault="00A9721F">
      <w:pPr>
        <w:pStyle w:val="Heading3"/>
      </w:pPr>
      <w:bookmarkStart w:id="1032" w:name="section_1b90d6fc50354192b867ad4e1e0f86e7"/>
      <w:bookmarkStart w:id="1033" w:name="_Toc181683542"/>
      <w:r>
        <w:t>Part 1 Section 17.16.5.64, TEMPLATE</w:t>
      </w:r>
      <w:bookmarkEnd w:id="1032"/>
      <w:bookmarkEnd w:id="1033"/>
      <w:r>
        <w:fldChar w:fldCharType="begin"/>
      </w:r>
      <w:r>
        <w:instrText xml:space="preserve"> XE "TEMPLATE" </w:instrText>
      </w:r>
      <w:r>
        <w:fldChar w:fldCharType="end"/>
      </w:r>
    </w:p>
    <w:p w:rsidR="000A156F" w:rsidRDefault="00A9721F">
      <w:pPr>
        <w:pStyle w:val="Definition-Field"/>
      </w:pPr>
      <w:r>
        <w:t xml:space="preserve">a.   </w:t>
      </w:r>
      <w:r>
        <w:rPr>
          <w:i/>
        </w:rPr>
        <w:t>The standard says the TEMPLATE field must use a general-formatting-switch.</w:t>
      </w:r>
    </w:p>
    <w:p w:rsidR="000A156F" w:rsidRDefault="00A9721F">
      <w:pPr>
        <w:pStyle w:val="Definition-Field2"/>
      </w:pPr>
      <w:r>
        <w:t>In Word, using a general-formatting-switch in the TEMPLATE field is</w:t>
      </w:r>
      <w:r>
        <w:t xml:space="preserve"> optional.</w:t>
      </w:r>
    </w:p>
    <w:p w:rsidR="000A156F" w:rsidRDefault="00A9721F">
      <w:pPr>
        <w:pStyle w:val="Heading3"/>
      </w:pPr>
      <w:bookmarkStart w:id="1034" w:name="section_a3c7bbb534f24e52b9e110fe2143d5f6"/>
      <w:bookmarkStart w:id="1035" w:name="_Toc181683543"/>
      <w:r>
        <w:t>Part 1 Section 17.16.5.66, TITLE</w:t>
      </w:r>
      <w:bookmarkEnd w:id="1034"/>
      <w:bookmarkEnd w:id="1035"/>
      <w:r>
        <w:fldChar w:fldCharType="begin"/>
      </w:r>
      <w:r>
        <w:instrText xml:space="preserve"> XE "TITLE" </w:instrText>
      </w:r>
      <w:r>
        <w:fldChar w:fldCharType="end"/>
      </w:r>
    </w:p>
    <w:p w:rsidR="000A156F" w:rsidRDefault="00A9721F">
      <w:pPr>
        <w:pStyle w:val="Definition-Field"/>
      </w:pPr>
      <w:r>
        <w:t xml:space="preserve">a.   </w:t>
      </w:r>
      <w:r>
        <w:rPr>
          <w:i/>
        </w:rPr>
        <w:t>The standard says the TITLE field must use a general-formatting-switch.</w:t>
      </w:r>
    </w:p>
    <w:p w:rsidR="000A156F" w:rsidRDefault="00A9721F">
      <w:pPr>
        <w:pStyle w:val="Definition-Field2"/>
      </w:pPr>
      <w:r>
        <w:t>In Word, using a general-formatting-switch in the TITLE field is optional.</w:t>
      </w:r>
    </w:p>
    <w:p w:rsidR="000A156F" w:rsidRDefault="00A9721F">
      <w:pPr>
        <w:pStyle w:val="Heading3"/>
      </w:pPr>
      <w:bookmarkStart w:id="1036" w:name="section_034e6e26d25449c29b393767933a923d"/>
      <w:bookmarkStart w:id="1037" w:name="_Toc181683544"/>
      <w:r>
        <w:t>Part 1 Section 17.16.5.67, TOA</w:t>
      </w:r>
      <w:bookmarkEnd w:id="1036"/>
      <w:bookmarkEnd w:id="1037"/>
      <w:r>
        <w:fldChar w:fldCharType="begin"/>
      </w:r>
      <w:r>
        <w:instrText xml:space="preserve"> XE "TOA" </w:instrText>
      </w:r>
      <w:r>
        <w:fldChar w:fldCharType="end"/>
      </w:r>
    </w:p>
    <w:p w:rsidR="000A156F" w:rsidRDefault="00A9721F">
      <w:pPr>
        <w:pStyle w:val="Definition-Field"/>
      </w:pPr>
      <w:r>
        <w:t xml:space="preserve">a. </w:t>
      </w:r>
      <w:r>
        <w:t xml:space="preserve">  </w:t>
      </w:r>
      <w:r>
        <w:rPr>
          <w:i/>
        </w:rPr>
        <w:t>The standard does not define a maximum length for the separator switches \d, \e, \g, and \l.</w:t>
      </w:r>
    </w:p>
    <w:p w:rsidR="000A156F" w:rsidRDefault="00A9721F">
      <w:pPr>
        <w:pStyle w:val="Definition-Field2"/>
      </w:pPr>
      <w:r>
        <w:t>Word allows at most 15 characters for each of the separator switches \d, \e, \g, and \l.</w:t>
      </w:r>
    </w:p>
    <w:p w:rsidR="000A156F" w:rsidRDefault="00A9721F">
      <w:pPr>
        <w:pStyle w:val="Heading3"/>
      </w:pPr>
      <w:bookmarkStart w:id="1038" w:name="section_68f1577f0efe453bbad9cfd69f740b30"/>
      <w:bookmarkStart w:id="1039" w:name="_Toc181683545"/>
      <w:r>
        <w:t>Part 1 Section 17.16.5.68, TOC</w:t>
      </w:r>
      <w:bookmarkEnd w:id="1038"/>
      <w:bookmarkEnd w:id="1039"/>
      <w:r>
        <w:fldChar w:fldCharType="begin"/>
      </w:r>
      <w:r>
        <w:instrText xml:space="preserve"> XE "TOC" </w:instrText>
      </w:r>
      <w:r>
        <w:fldChar w:fldCharType="end"/>
      </w:r>
    </w:p>
    <w:p w:rsidR="000A156F" w:rsidRDefault="00A9721F">
      <w:pPr>
        <w:pStyle w:val="Definition-Field"/>
      </w:pPr>
      <w:r>
        <w:t xml:space="preserve">a.   </w:t>
      </w:r>
      <w:r>
        <w:rPr>
          <w:i/>
        </w:rPr>
        <w:t xml:space="preserve">The standard does not </w:t>
      </w:r>
      <w:r>
        <w:rPr>
          <w:i/>
        </w:rPr>
        <w:t>specify behavior when both the \f and \l switches are used.</w:t>
      </w:r>
    </w:p>
    <w:p w:rsidR="000A156F" w:rsidRDefault="00A9721F">
      <w:pPr>
        <w:pStyle w:val="Definition-Field2"/>
      </w:pPr>
      <w:r>
        <w:t>In Word, if the \f switch is used after the \l switch, the \f switch supersedes the levels specified to include all levels.</w:t>
      </w:r>
    </w:p>
    <w:p w:rsidR="000A156F" w:rsidRDefault="00A9721F">
      <w:pPr>
        <w:pStyle w:val="Definition-Field"/>
      </w:pPr>
      <w:r>
        <w:t xml:space="preserve">b.   </w:t>
      </w:r>
      <w:r>
        <w:rPr>
          <w:i/>
        </w:rPr>
        <w:t>The standard says that the \p switch argument is a sequence of char</w:t>
      </w:r>
      <w:r>
        <w:rPr>
          <w:i/>
        </w:rPr>
        <w:t>acters.</w:t>
      </w:r>
    </w:p>
    <w:p w:rsidR="000A156F" w:rsidRDefault="00A9721F">
      <w:pPr>
        <w:pStyle w:val="Definition-Field2"/>
      </w:pPr>
      <w:r>
        <w:lastRenderedPageBreak/>
        <w:t>Word only allows a single character in the argument of the \p switch and ignores any additional characters.</w:t>
      </w:r>
    </w:p>
    <w:p w:rsidR="000A156F" w:rsidRDefault="00A9721F">
      <w:pPr>
        <w:pStyle w:val="Definition-Field"/>
      </w:pPr>
      <w:r>
        <w:t xml:space="preserve">c.   </w:t>
      </w:r>
      <w:r>
        <w:rPr>
          <w:i/>
        </w:rPr>
        <w:t xml:space="preserve">The standard states that the \o switch will direct the TOC field to include paragraphs formatted with the specified built-in heading </w:t>
      </w:r>
      <w:r>
        <w:rPr>
          <w:i/>
        </w:rPr>
        <w:t>style(s).</w:t>
      </w:r>
    </w:p>
    <w:p w:rsidR="000A156F" w:rsidRDefault="00A9721F">
      <w:pPr>
        <w:pStyle w:val="Definition-Field2"/>
      </w:pPr>
      <w:r>
        <w:t>Word will include any style whose definition includes an outlineLvl ("</w:t>
      </w:r>
      <w:hyperlink r:id="rId116">
        <w:r>
          <w:rPr>
            <w:rStyle w:val="Hyperlink"/>
          </w:rPr>
          <w:t>[ISO/IEC-29500-1]</w:t>
        </w:r>
      </w:hyperlink>
      <w:r>
        <w:t xml:space="preserve"> §17.3.1.20; outlineLvl") paragraph property corresponding to the heading level(s) specified </w:t>
      </w:r>
      <w:r>
        <w:t>by the \o field argument.</w:t>
      </w:r>
    </w:p>
    <w:p w:rsidR="000A156F" w:rsidRDefault="00A9721F">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level.</w:t>
      </w:r>
    </w:p>
    <w:p w:rsidR="000A156F" w:rsidRDefault="00A9721F">
      <w:pPr>
        <w:pStyle w:val="Definition-Field2"/>
      </w:pPr>
      <w:r>
        <w:t>Wor</w:t>
      </w:r>
      <w:r>
        <w:t>d uses the list</w:t>
      </w:r>
      <w:r>
        <w:rPr>
          <w:i/>
        </w:rPr>
        <w:t>-</w:t>
      </w:r>
      <w:r>
        <w:t>separator ("[ISO/IEC-29500-1] §17.16.1; Syntax") between doublets and the two items within the doublet. But the list</w:t>
      </w:r>
      <w:r>
        <w:rPr>
          <w:i/>
        </w:rPr>
        <w:t>-</w:t>
      </w:r>
      <w:r>
        <w:t>separator can be other characters besides a comma.</w:t>
      </w:r>
    </w:p>
    <w:p w:rsidR="000A156F" w:rsidRDefault="00A9721F">
      <w:pPr>
        <w:pStyle w:val="Heading3"/>
      </w:pPr>
      <w:bookmarkStart w:id="1040" w:name="section_bb7ecf827f11485eacabe9237c313497"/>
      <w:bookmarkStart w:id="1041" w:name="_Toc181683546"/>
      <w:r>
        <w:t>Part 1 Section 17.16.5.69, USERADDRESS</w:t>
      </w:r>
      <w:bookmarkEnd w:id="1040"/>
      <w:bookmarkEnd w:id="1041"/>
      <w:r>
        <w:fldChar w:fldCharType="begin"/>
      </w:r>
      <w:r>
        <w:instrText xml:space="preserve"> XE "USERADDRESS" </w:instrText>
      </w:r>
      <w:r>
        <w:fldChar w:fldCharType="end"/>
      </w:r>
    </w:p>
    <w:p w:rsidR="000A156F" w:rsidRDefault="00A9721F">
      <w:pPr>
        <w:pStyle w:val="Definition-Field"/>
      </w:pPr>
      <w:r>
        <w:t xml:space="preserve">a.   </w:t>
      </w:r>
      <w:r>
        <w:rPr>
          <w:i/>
        </w:rPr>
        <w:t>The stan</w:t>
      </w:r>
      <w:r>
        <w:rPr>
          <w:i/>
        </w:rPr>
        <w:t>dard says a USERADDRESS field must use a general-formatting-switch.</w:t>
      </w:r>
    </w:p>
    <w:p w:rsidR="000A156F" w:rsidRDefault="00A9721F">
      <w:pPr>
        <w:pStyle w:val="Definition-Field2"/>
      </w:pPr>
      <w:r>
        <w:t>In Word, using a general-formatting-switch in a USERADDRESS field is optional.</w:t>
      </w:r>
    </w:p>
    <w:p w:rsidR="000A156F" w:rsidRDefault="00A9721F">
      <w:pPr>
        <w:pStyle w:val="Heading3"/>
      </w:pPr>
      <w:bookmarkStart w:id="1042" w:name="section_761605aa1b6b45aab7afd3147b353035"/>
      <w:bookmarkStart w:id="1043" w:name="_Toc181683547"/>
      <w:r>
        <w:t>Part 1 Section 17.16.5.70, USERINITIALS</w:t>
      </w:r>
      <w:bookmarkEnd w:id="1042"/>
      <w:bookmarkEnd w:id="1043"/>
      <w:r>
        <w:fldChar w:fldCharType="begin"/>
      </w:r>
      <w:r>
        <w:instrText xml:space="preserve"> XE "USERINITIALS" </w:instrText>
      </w:r>
      <w:r>
        <w:fldChar w:fldCharType="end"/>
      </w:r>
    </w:p>
    <w:p w:rsidR="000A156F" w:rsidRDefault="00A9721F">
      <w:pPr>
        <w:pStyle w:val="Definition-Field"/>
      </w:pPr>
      <w:r>
        <w:t xml:space="preserve">a.   </w:t>
      </w:r>
      <w:r>
        <w:rPr>
          <w:i/>
        </w:rPr>
        <w:t>The standard says the USERINITIALS field mu</w:t>
      </w:r>
      <w:r>
        <w:rPr>
          <w:i/>
        </w:rPr>
        <w:t>st use a general-formatting-switch.</w:t>
      </w:r>
    </w:p>
    <w:p w:rsidR="000A156F" w:rsidRDefault="00A9721F">
      <w:pPr>
        <w:pStyle w:val="Definition-Field2"/>
      </w:pPr>
      <w:r>
        <w:t>In Word, using a general-formatting-switch in a USERINITIALS field is optional.</w:t>
      </w:r>
    </w:p>
    <w:p w:rsidR="000A156F" w:rsidRDefault="00A9721F">
      <w:pPr>
        <w:pStyle w:val="Heading3"/>
      </w:pPr>
      <w:bookmarkStart w:id="1044" w:name="section_fa983962308148aeaefefd3dc47bf97f"/>
      <w:bookmarkStart w:id="1045" w:name="_Toc181683548"/>
      <w:r>
        <w:t>Part 1 Section 17.16.5.71, USERNAME</w:t>
      </w:r>
      <w:bookmarkEnd w:id="1044"/>
      <w:bookmarkEnd w:id="1045"/>
      <w:r>
        <w:fldChar w:fldCharType="begin"/>
      </w:r>
      <w:r>
        <w:instrText xml:space="preserve"> XE "USERNAME" </w:instrText>
      </w:r>
      <w:r>
        <w:fldChar w:fldCharType="end"/>
      </w:r>
    </w:p>
    <w:p w:rsidR="000A156F" w:rsidRDefault="00A9721F">
      <w:pPr>
        <w:pStyle w:val="Definition-Field"/>
      </w:pPr>
      <w:r>
        <w:t xml:space="preserve">a.   </w:t>
      </w:r>
      <w:r>
        <w:rPr>
          <w:i/>
        </w:rPr>
        <w:t>The standard says a USERNAME field must use a general-formatting-switch.</w:t>
      </w:r>
    </w:p>
    <w:p w:rsidR="000A156F" w:rsidRDefault="00A9721F">
      <w:pPr>
        <w:pStyle w:val="Definition-Field2"/>
      </w:pPr>
      <w:r>
        <w:t xml:space="preserve">In Word, </w:t>
      </w:r>
      <w:r>
        <w:t>using a general-formatting-switch in a USERNAME field is optional.</w:t>
      </w:r>
    </w:p>
    <w:p w:rsidR="000A156F" w:rsidRDefault="00A9721F">
      <w:pPr>
        <w:pStyle w:val="Heading3"/>
      </w:pPr>
      <w:bookmarkStart w:id="1046" w:name="section_7b8707b610e94ec597f9fc4672784ffd"/>
      <w:bookmarkStart w:id="1047" w:name="_Toc181683549"/>
      <w:r>
        <w:t>Part 1 Section 17.16.5.72, XE</w:t>
      </w:r>
      <w:bookmarkEnd w:id="1046"/>
      <w:bookmarkEnd w:id="1047"/>
      <w:r>
        <w:fldChar w:fldCharType="begin"/>
      </w:r>
      <w:r>
        <w:instrText xml:space="preserve"> XE "XE" </w:instrText>
      </w:r>
      <w:r>
        <w:fldChar w:fldCharType="end"/>
      </w:r>
    </w:p>
    <w:p w:rsidR="000A156F" w:rsidRDefault="00A9721F">
      <w:pPr>
        <w:pStyle w:val="Definition-Field"/>
      </w:pPr>
      <w:r>
        <w:t xml:space="preserve">a.   </w:t>
      </w:r>
      <w:r>
        <w:rPr>
          <w:i/>
        </w:rPr>
        <w:t>The standard allows an XE field to specify an unbounded level.</w:t>
      </w:r>
    </w:p>
    <w:p w:rsidR="000A156F" w:rsidRDefault="00A9721F">
      <w:pPr>
        <w:pStyle w:val="Definition-Field2"/>
      </w:pPr>
      <w:r>
        <w:t>Word only allows levels up to 7 in an XE field.</w:t>
      </w:r>
    </w:p>
    <w:p w:rsidR="000A156F" w:rsidRDefault="00A9721F">
      <w:pPr>
        <w:pStyle w:val="Heading3"/>
      </w:pPr>
      <w:bookmarkStart w:id="1048" w:name="section_91ca872a6a9444138c1471025fb0a08a"/>
      <w:bookmarkStart w:id="1049" w:name="_Toc181683550"/>
      <w:r>
        <w:t>Part 1 Section 17.16.9, ddList (</w:t>
      </w:r>
      <w:r>
        <w:t>Drop-Down List Form Field Properties)</w:t>
      </w:r>
      <w:bookmarkEnd w:id="1048"/>
      <w:bookmarkEnd w:id="1049"/>
      <w:r>
        <w:fldChar w:fldCharType="begin"/>
      </w:r>
      <w:r>
        <w:instrText xml:space="preserve"> XE "ddList (Drop-Down List Form Field Properties)" </w:instrText>
      </w:r>
      <w:r>
        <w:fldChar w:fldCharType="end"/>
      </w:r>
    </w:p>
    <w:p w:rsidR="000A156F" w:rsidRDefault="00A9721F">
      <w:pPr>
        <w:pStyle w:val="Definition-Field"/>
      </w:pPr>
      <w:r>
        <w:t xml:space="preserve">a.   </w:t>
      </w:r>
      <w:r>
        <w:rPr>
          <w:i/>
        </w:rPr>
        <w:t>The standard states that the maxOccurs value for the listEntry child element is unbounded.</w:t>
      </w:r>
    </w:p>
    <w:p w:rsidR="000A156F" w:rsidRDefault="00A9721F">
      <w:pPr>
        <w:pStyle w:val="Definition-Field2"/>
      </w:pPr>
      <w:r>
        <w:t>Word limits the occurrences of this element to 25.</w:t>
      </w:r>
    </w:p>
    <w:p w:rsidR="000A156F" w:rsidRDefault="00A9721F">
      <w:pPr>
        <w:pStyle w:val="Heading3"/>
      </w:pPr>
      <w:bookmarkStart w:id="1050" w:name="section_26de22b70cc44053bdea8cc6c6543413"/>
      <w:bookmarkStart w:id="1051" w:name="_Toc181683551"/>
      <w:r>
        <w:t>Part 1 Section 17</w:t>
      </w:r>
      <w:r>
        <w:t>.16.10, default (Default Text Box Form Field String)</w:t>
      </w:r>
      <w:bookmarkEnd w:id="1050"/>
      <w:bookmarkEnd w:id="1051"/>
      <w:r>
        <w:fldChar w:fldCharType="begin"/>
      </w:r>
      <w:r>
        <w:instrText xml:space="preserve"> XE "default (Default Text Box Form Field String)" </w:instrText>
      </w:r>
      <w:r>
        <w:fldChar w:fldCharType="end"/>
      </w:r>
    </w:p>
    <w:p w:rsidR="000A156F" w:rsidRDefault="00A9721F">
      <w:pPr>
        <w:pStyle w:val="Definition-Field"/>
      </w:pPr>
      <w:r>
        <w:t xml:space="preserve">a.   </w:t>
      </w:r>
      <w:r>
        <w:rPr>
          <w:i/>
        </w:rPr>
        <w:t>The standard does not limit the length of the value of the val attribute.</w:t>
      </w:r>
    </w:p>
    <w:p w:rsidR="000A156F" w:rsidRDefault="00A9721F">
      <w:pPr>
        <w:pStyle w:val="Definition-Field2"/>
      </w:pPr>
      <w:r>
        <w:t>Word restricts the value of this attribute to be at most 255 characters</w:t>
      </w:r>
      <w:r>
        <w:t>.</w:t>
      </w:r>
    </w:p>
    <w:p w:rsidR="000A156F" w:rsidRDefault="00A9721F">
      <w:pPr>
        <w:pStyle w:val="Heading3"/>
      </w:pPr>
      <w:bookmarkStart w:id="1052" w:name="section_7d6df51b2b874d34b9e2d8943ea6e2b4"/>
      <w:bookmarkStart w:id="1053" w:name="_Toc181683552"/>
      <w:r>
        <w:t>Part 1 Section 17.16.11, default (Default Drop-Down List Item Index)</w:t>
      </w:r>
      <w:bookmarkEnd w:id="1052"/>
      <w:bookmarkEnd w:id="1053"/>
      <w:r>
        <w:fldChar w:fldCharType="begin"/>
      </w:r>
      <w:r>
        <w:instrText xml:space="preserve"> XE "default (Default Drop-Down List Item Index)" </w:instrText>
      </w:r>
      <w:r>
        <w:fldChar w:fldCharType="end"/>
      </w:r>
    </w:p>
    <w:p w:rsidR="000A156F" w:rsidRDefault="00A9721F">
      <w:pPr>
        <w:pStyle w:val="Definition-Field"/>
      </w:pPr>
      <w:r>
        <w:t xml:space="preserve">a.   </w:t>
      </w:r>
      <w:r>
        <w:rPr>
          <w:i/>
        </w:rPr>
        <w:t>The standard says that if the value exceeds the number of items in the drop-down list, then drop-down list defaults to its first</w:t>
      </w:r>
      <w:r>
        <w:rPr>
          <w:i/>
        </w:rPr>
        <w:t xml:space="preserve"> entry.</w:t>
      </w:r>
    </w:p>
    <w:p w:rsidR="000A156F" w:rsidRDefault="00A9721F">
      <w:pPr>
        <w:pStyle w:val="Definition-Field2"/>
      </w:pPr>
      <w:r>
        <w:lastRenderedPageBreak/>
        <w:t>In Word, if the value exceeds the number of items, then the drop-down list defaults to an empty entry.</w:t>
      </w:r>
    </w:p>
    <w:p w:rsidR="000A156F" w:rsidRDefault="00A9721F">
      <w:pPr>
        <w:pStyle w:val="Definition-Field"/>
      </w:pPr>
      <w:r>
        <w:t xml:space="preserve">b.   </w:t>
      </w:r>
      <w:r>
        <w:rPr>
          <w:i/>
        </w:rPr>
        <w:t>The standard states that the values of the val attribute are defined by the XML Schema integer datatype.</w:t>
      </w:r>
    </w:p>
    <w:p w:rsidR="000A156F" w:rsidRDefault="00A9721F">
      <w:pPr>
        <w:pStyle w:val="Definition-Field2"/>
      </w:pPr>
      <w:r>
        <w:t>Word restricts the value of this at</w:t>
      </w:r>
      <w:r>
        <w:t>tribute to be at least 0 and at most 24.</w:t>
      </w:r>
    </w:p>
    <w:p w:rsidR="000A156F" w:rsidRDefault="00A9721F">
      <w:pPr>
        <w:pStyle w:val="Heading3"/>
      </w:pPr>
      <w:bookmarkStart w:id="1054" w:name="section_f18e21fcb8d848a383b9c369bb3880b6"/>
      <w:bookmarkStart w:id="1055" w:name="_Toc181683553"/>
      <w:r>
        <w:t>Part 1 Section 17.16.12, default (Default Checkbox Form Field State)</w:t>
      </w:r>
      <w:bookmarkEnd w:id="1054"/>
      <w:bookmarkEnd w:id="1055"/>
      <w:r>
        <w:fldChar w:fldCharType="begin"/>
      </w:r>
      <w:r>
        <w:instrText xml:space="preserve"> XE "default (Default Checkbox Form Field State)" </w:instrText>
      </w:r>
      <w:r>
        <w:fldChar w:fldCharType="end"/>
      </w:r>
    </w:p>
    <w:p w:rsidR="000A156F" w:rsidRDefault="00A9721F">
      <w:pPr>
        <w:pStyle w:val="Definition-Field"/>
      </w:pPr>
      <w:r>
        <w:t xml:space="preserve">a.   </w:t>
      </w:r>
      <w:r>
        <w:rPr>
          <w:i/>
        </w:rPr>
        <w:t>The standard says the checkbox default is used when there is no content in the drop-down.</w:t>
      </w:r>
    </w:p>
    <w:p w:rsidR="000A156F" w:rsidRDefault="00A9721F">
      <w:pPr>
        <w:pStyle w:val="Definition-Field2"/>
      </w:pPr>
      <w:r>
        <w:t>In Word, the checkbox default is the default state of the checkbox.</w:t>
      </w:r>
    </w:p>
    <w:p w:rsidR="000A156F" w:rsidRDefault="00A9721F">
      <w:pPr>
        <w:pStyle w:val="Heading3"/>
      </w:pPr>
      <w:bookmarkStart w:id="1056" w:name="section_0d5f6b5ce8ae4cd3a79f5d4a6b364db7"/>
      <w:bookmarkStart w:id="1057" w:name="_Toc181683554"/>
      <w:r>
        <w:t>Part 1 Section 17.16.17, ffData (Form Field Properties)</w:t>
      </w:r>
      <w:bookmarkEnd w:id="1056"/>
      <w:bookmarkEnd w:id="1057"/>
      <w:r>
        <w:fldChar w:fldCharType="begin"/>
      </w:r>
      <w:r>
        <w:instrText xml:space="preserve"> XE "ffData (Form Field Properties)" </w:instrText>
      </w:r>
      <w:r>
        <w:fldChar w:fldCharType="end"/>
      </w:r>
    </w:p>
    <w:p w:rsidR="000A156F" w:rsidRDefault="00A9721F">
      <w:pPr>
        <w:pStyle w:val="Definition-Field"/>
      </w:pPr>
      <w:r>
        <w:t xml:space="preserve">a.   </w:t>
      </w:r>
      <w:r>
        <w:rPr>
          <w:i/>
        </w:rPr>
        <w:t xml:space="preserve">The standard says that if ffData is omitted, the properties associated with the form </w:t>
      </w:r>
      <w:r>
        <w:rPr>
          <w:i/>
        </w:rPr>
        <w:t>field shall be based on default values for the form field.</w:t>
      </w:r>
    </w:p>
    <w:p w:rsidR="000A156F" w:rsidRDefault="00A9721F">
      <w:pPr>
        <w:pStyle w:val="Definition-Field2"/>
      </w:pPr>
      <w:r>
        <w:t>In Word, if ffData is omitted, the form field is considered invalid and cannot be used or edited.</w:t>
      </w:r>
    </w:p>
    <w:p w:rsidR="000A156F" w:rsidRDefault="00A9721F">
      <w:pPr>
        <w:pStyle w:val="Definition-Field"/>
      </w:pPr>
      <w:r>
        <w:t xml:space="preserve">b.   </w:t>
      </w:r>
      <w:r>
        <w:rPr>
          <w:i/>
        </w:rPr>
        <w:t>The standard states that label and tabIndex are child elements of this element.</w:t>
      </w:r>
    </w:p>
    <w:p w:rsidR="000A156F" w:rsidRDefault="00A9721F">
      <w:pPr>
        <w:pStyle w:val="Definition-Field2"/>
      </w:pPr>
      <w:r>
        <w:t>Word ignores t</w:t>
      </w:r>
      <w:r>
        <w:t>hese elements and does not round trip them.</w:t>
      </w:r>
    </w:p>
    <w:p w:rsidR="000A156F" w:rsidRDefault="00A9721F">
      <w:pPr>
        <w:pStyle w:val="Heading3"/>
      </w:pPr>
      <w:bookmarkStart w:id="1058" w:name="section_3ef1ff9c08084ef8a90c45eae43aa729"/>
      <w:bookmarkStart w:id="1059" w:name="_Toc181683555"/>
      <w:r>
        <w:t>Part 1 Section 17.16.19, fldSimple (Simple Field)</w:t>
      </w:r>
      <w:bookmarkEnd w:id="1058"/>
      <w:bookmarkEnd w:id="1059"/>
      <w:r>
        <w:fldChar w:fldCharType="begin"/>
      </w:r>
      <w:r>
        <w:instrText xml:space="preserve"> XE "fldSimple (Simple Field)"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1060" w:name="section_345db88e99a24102ab5eab85f1c4b3d9"/>
      <w:bookmarkStart w:id="1061" w:name="_Toc181683556"/>
      <w:r>
        <w:t>Part 1 Section 17.16.20, format (Text Box Form Field Formatting)</w:t>
      </w:r>
      <w:bookmarkEnd w:id="1060"/>
      <w:bookmarkEnd w:id="1061"/>
      <w:r>
        <w:fldChar w:fldCharType="begin"/>
      </w:r>
      <w:r>
        <w:instrText xml:space="preserve"> XE "format (Text Box Form Field Formatting)" </w:instrText>
      </w:r>
      <w:r>
        <w:fldChar w:fldCharType="end"/>
      </w:r>
    </w:p>
    <w:p w:rsidR="000A156F" w:rsidRDefault="00A9721F">
      <w:pPr>
        <w:pStyle w:val="Definition-Field"/>
      </w:pPr>
      <w:r>
        <w:t xml:space="preserve">a.   </w:t>
      </w:r>
      <w:r>
        <w:rPr>
          <w:i/>
        </w:rPr>
        <w:t>The standard does not limit the length of the value of the val attribute.</w:t>
      </w:r>
    </w:p>
    <w:p w:rsidR="000A156F" w:rsidRDefault="00A9721F">
      <w:pPr>
        <w:pStyle w:val="Definition-Field2"/>
      </w:pPr>
      <w:r>
        <w:t>Word restricts the</w:t>
      </w:r>
      <w:r>
        <w:t xml:space="preserve"> value of this attribute to be at most 64 characters.</w:t>
      </w:r>
    </w:p>
    <w:p w:rsidR="000A156F" w:rsidRDefault="00A9721F">
      <w:pPr>
        <w:pStyle w:val="Definition-Field"/>
      </w:pPr>
      <w:r>
        <w:t xml:space="preserve">b.   </w:t>
      </w:r>
      <w:r>
        <w:rPr>
          <w:i/>
        </w:rPr>
        <w:t>The standard lists four possible values for format when type is equal to regular.</w:t>
      </w:r>
    </w:p>
    <w:p w:rsidR="000A156F" w:rsidRDefault="00A9721F">
      <w:pPr>
        <w:pStyle w:val="Definition-Field2"/>
      </w:pPr>
      <w:r>
        <w:t>Word also uses the values "Single byte ..." and "Double byte ...".</w:t>
      </w:r>
    </w:p>
    <w:p w:rsidR="000A156F" w:rsidRDefault="00A9721F">
      <w:pPr>
        <w:pStyle w:val="Heading3"/>
      </w:pPr>
      <w:bookmarkStart w:id="1062" w:name="section_df06e42311a64a36bfb382139e531781"/>
      <w:bookmarkStart w:id="1063" w:name="_Toc181683557"/>
      <w:r>
        <w:t>Part 1 Section 17.16.22, hyperlink (Hyperlink)</w:t>
      </w:r>
      <w:bookmarkEnd w:id="1062"/>
      <w:bookmarkEnd w:id="1063"/>
      <w:r>
        <w:fldChar w:fldCharType="begin"/>
      </w:r>
      <w:r>
        <w:instrText xml:space="preserve"> X</w:instrText>
      </w:r>
      <w:r>
        <w:instrText xml:space="preserve">E "hyperlink (Hyperlink)"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standard does not limit the length of the v</w:t>
      </w:r>
      <w:r>
        <w:rPr>
          <w:i/>
        </w:rPr>
        <w:t>alues of the anchor, docLocation, tgtFrame, and tooltip attributes.</w:t>
      </w:r>
    </w:p>
    <w:p w:rsidR="000A156F" w:rsidRDefault="00A9721F">
      <w:pPr>
        <w:pStyle w:val="Definition-Field2"/>
      </w:pPr>
      <w:r>
        <w:t>Word restricts the values of the anchor, docLocation, and tgtFrame attributes to be at most 255 characters and the tooltip attribute to be at most 260 characters.</w:t>
      </w:r>
    </w:p>
    <w:p w:rsidR="000A156F" w:rsidRDefault="00A9721F">
      <w:pPr>
        <w:pStyle w:val="Definition-Field"/>
        <w:rPr>
          <w:i/>
        </w:rPr>
      </w:pPr>
      <w:r>
        <w:rPr>
          <w:i/>
        </w:rPr>
        <w:t xml:space="preserve">b.   The standard states </w:t>
      </w:r>
      <w:r>
        <w:rPr>
          <w:i/>
        </w:rPr>
        <w:t>that if a hyperlink target is also specified using the r:id attribute, then the anchor attribute shall be ignored.</w:t>
      </w:r>
    </w:p>
    <w:p w:rsidR="000A156F" w:rsidRDefault="00A9721F">
      <w:pPr>
        <w:pStyle w:val="Definition-Field2"/>
      </w:pPr>
      <w:r>
        <w:t>Word appends a “#” and the value of the anchor attribute to the hyperlink’s Target URL from the Relationship element in the corresponding rel</w:t>
      </w:r>
      <w:r>
        <w:t>ationship part.</w:t>
      </w:r>
    </w:p>
    <w:p w:rsidR="000A156F" w:rsidRDefault="00A9721F">
      <w:pPr>
        <w:pStyle w:val="Heading3"/>
      </w:pPr>
      <w:bookmarkStart w:id="1064" w:name="section_3e1acc92ae7a4b3db0f756fc7fb20389"/>
      <w:bookmarkStart w:id="1065" w:name="_Toc181683558"/>
      <w:r>
        <w:lastRenderedPageBreak/>
        <w:t>Part 1 Section 17.16.24, label (Form Field Label)</w:t>
      </w:r>
      <w:bookmarkEnd w:id="1064"/>
      <w:bookmarkEnd w:id="1065"/>
      <w:r>
        <w:fldChar w:fldCharType="begin"/>
      </w:r>
      <w:r>
        <w:instrText xml:space="preserve"> XE "label (Form Field Label)" </w:instrText>
      </w:r>
      <w:r>
        <w:fldChar w:fldCharType="end"/>
      </w:r>
    </w:p>
    <w:p w:rsidR="000A156F" w:rsidRDefault="00A9721F">
      <w:pPr>
        <w:pStyle w:val="Definition-Field"/>
      </w:pPr>
      <w:r>
        <w:t xml:space="preserve">a.   </w:t>
      </w:r>
      <w:r>
        <w:rPr>
          <w:i/>
        </w:rPr>
        <w:t>The standard specifies this element as a valid element.</w:t>
      </w:r>
    </w:p>
    <w:p w:rsidR="000A156F" w:rsidRDefault="00A9721F">
      <w:pPr>
        <w:pStyle w:val="Definition-Field2"/>
      </w:pPr>
      <w:r>
        <w:t>Word ignores this element and does not round trip it.</w:t>
      </w:r>
    </w:p>
    <w:p w:rsidR="000A156F" w:rsidRDefault="00A9721F">
      <w:pPr>
        <w:pStyle w:val="Heading3"/>
      </w:pPr>
      <w:bookmarkStart w:id="1066" w:name="section_4e781457da074e9faf1ddd0cec4763f3"/>
      <w:bookmarkStart w:id="1067" w:name="_Toc181683559"/>
      <w:r>
        <w:t>Part 1 Section 17.16.25, listEntry (Drop-D</w:t>
      </w:r>
      <w:r>
        <w:t>own List Entry)</w:t>
      </w:r>
      <w:bookmarkEnd w:id="1066"/>
      <w:bookmarkEnd w:id="1067"/>
      <w:r>
        <w:fldChar w:fldCharType="begin"/>
      </w:r>
      <w:r>
        <w:instrText xml:space="preserve"> XE "listEntry (Drop-Down List Entry)" </w:instrText>
      </w:r>
      <w:r>
        <w:fldChar w:fldCharType="end"/>
      </w:r>
    </w:p>
    <w:p w:rsidR="000A156F" w:rsidRDefault="00A9721F">
      <w:pPr>
        <w:pStyle w:val="Definition-Field"/>
      </w:pPr>
      <w:r>
        <w:t xml:space="preserve">a.   </w:t>
      </w:r>
      <w:r>
        <w:rPr>
          <w:i/>
        </w:rPr>
        <w:t>The standard does not limit the length of the value of the val attribute.</w:t>
      </w:r>
    </w:p>
    <w:p w:rsidR="000A156F" w:rsidRDefault="00A9721F">
      <w:pPr>
        <w:pStyle w:val="Definition-Field2"/>
      </w:pPr>
      <w:r>
        <w:t>Word restricts the value of this attribute to be at most 255 characters.</w:t>
      </w:r>
    </w:p>
    <w:p w:rsidR="000A156F" w:rsidRDefault="00A9721F">
      <w:pPr>
        <w:pStyle w:val="Heading3"/>
      </w:pPr>
      <w:bookmarkStart w:id="1068" w:name="section_e6ea592afffb4630a06894e9d7139d4f"/>
      <w:bookmarkStart w:id="1069" w:name="_Toc181683560"/>
      <w:r>
        <w:t>Part 1 Section 17.16.26, maxLength (Text Box Fo</w:t>
      </w:r>
      <w:r>
        <w:t>rm Field Maximum Length)</w:t>
      </w:r>
      <w:bookmarkEnd w:id="1068"/>
      <w:bookmarkEnd w:id="1069"/>
      <w:r>
        <w:fldChar w:fldCharType="begin"/>
      </w:r>
      <w:r>
        <w:instrText xml:space="preserve"> XE "maxLength (Text Box Form Field Maximum Length)" </w:instrText>
      </w:r>
      <w:r>
        <w:fldChar w:fldCharType="end"/>
      </w:r>
    </w:p>
    <w:p w:rsidR="000A156F" w:rsidRDefault="00A9721F">
      <w:pPr>
        <w:pStyle w:val="Definition-Field"/>
      </w:pPr>
      <w:r>
        <w:t xml:space="preserve">a.   </w:t>
      </w:r>
      <w:r>
        <w:rPr>
          <w:i/>
        </w:rPr>
        <w:t>The standard states that the values of the val attribute are defined by the XML Schema integer datatype.</w:t>
      </w:r>
    </w:p>
    <w:p w:rsidR="000A156F" w:rsidRDefault="00A9721F">
      <w:pPr>
        <w:pStyle w:val="Definition-Field2"/>
      </w:pPr>
      <w:r>
        <w:t>Word defines the values of this attribute with the XML Schema shor</w:t>
      </w:r>
      <w:r>
        <w:t>t datatype, with a minimum value of 1.</w:t>
      </w:r>
    </w:p>
    <w:p w:rsidR="000A156F" w:rsidRDefault="00A9721F">
      <w:pPr>
        <w:pStyle w:val="Heading3"/>
      </w:pPr>
      <w:bookmarkStart w:id="1070" w:name="section_0f67f3287aa143aab0460cc528dd282e"/>
      <w:bookmarkStart w:id="1071" w:name="_Toc181683561"/>
      <w:r>
        <w:t>Part 1 Section 17.16.32, tabIndex (Form Field Navigation Order Index)</w:t>
      </w:r>
      <w:bookmarkEnd w:id="1070"/>
      <w:bookmarkEnd w:id="1071"/>
      <w:r>
        <w:fldChar w:fldCharType="begin"/>
      </w:r>
      <w:r>
        <w:instrText xml:space="preserve"> XE "tabIndex (Form Field Navigation Order Index)" </w:instrText>
      </w:r>
      <w:r>
        <w:fldChar w:fldCharType="end"/>
      </w:r>
    </w:p>
    <w:p w:rsidR="000A156F" w:rsidRDefault="00A9721F">
      <w:pPr>
        <w:pStyle w:val="Definition-Field"/>
      </w:pPr>
      <w:r>
        <w:t xml:space="preserve">a.   </w:t>
      </w:r>
      <w:r>
        <w:rPr>
          <w:i/>
        </w:rPr>
        <w:t>The standard states this element is a valid element</w:t>
      </w:r>
    </w:p>
    <w:p w:rsidR="000A156F" w:rsidRDefault="00A9721F">
      <w:pPr>
        <w:pStyle w:val="Definition-Field2"/>
      </w:pPr>
      <w:r>
        <w:t xml:space="preserve">Word ignores this element, and does </w:t>
      </w:r>
      <w:r>
        <w:t>not round trip it.</w:t>
      </w:r>
    </w:p>
    <w:p w:rsidR="000A156F" w:rsidRDefault="00A9721F">
      <w:pPr>
        <w:pStyle w:val="Heading3"/>
      </w:pPr>
      <w:bookmarkStart w:id="1072" w:name="section_4a1be0d6d0b14f8ea9a8acc497684599"/>
      <w:bookmarkStart w:id="1073" w:name="_Toc181683562"/>
      <w:r>
        <w:t>Part 1 Section 17.17.1.1, subDoc (Anchor for Subdocument Location)</w:t>
      </w:r>
      <w:bookmarkEnd w:id="1072"/>
      <w:bookmarkEnd w:id="1073"/>
      <w:r>
        <w:fldChar w:fldCharType="begin"/>
      </w:r>
      <w:r>
        <w:instrText xml:space="preserve"> XE "subDoc (Anchor for Subdocument Location)"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0A156F" w:rsidRDefault="00A9721F">
      <w:pPr>
        <w:pStyle w:val="Heading3"/>
      </w:pPr>
      <w:bookmarkStart w:id="1074" w:name="section_c391c28f1b034a21a4f84d9cddd4a95c"/>
      <w:bookmarkStart w:id="1075" w:name="_Toc181683563"/>
      <w:r>
        <w:t>Part 1 Section 17.17.2.1, altChunk (Anchor for Imported External Content)</w:t>
      </w:r>
      <w:bookmarkEnd w:id="1074"/>
      <w:bookmarkEnd w:id="1075"/>
      <w:r>
        <w:fldChar w:fldCharType="begin"/>
      </w:r>
      <w:r>
        <w:instrText xml:space="preserve"> XE </w:instrText>
      </w:r>
      <w:r>
        <w:instrText xml:space="preserve">"altChunk (Anchor for Imported External Content)" </w:instrText>
      </w:r>
      <w:r>
        <w:fldChar w:fldCharType="end"/>
      </w:r>
    </w:p>
    <w:p w:rsidR="000A156F" w:rsidRDefault="00A9721F">
      <w:pPr>
        <w:pStyle w:val="Definition-Field"/>
      </w:pPr>
      <w:r>
        <w:t xml:space="preserve">a.   </w:t>
      </w:r>
      <w:r>
        <w:rPr>
          <w:i/>
        </w:rPr>
        <w:t>The standard states that the relationship type is http://schemas.openxmlformats.org/officeDocument/2006/relationships/afChunk.</w:t>
      </w:r>
    </w:p>
    <w:p w:rsidR="000A156F" w:rsidRDefault="00A9721F">
      <w:pPr>
        <w:pStyle w:val="Definition-Field2"/>
      </w:pPr>
      <w:r>
        <w:t>Word uses the relationship type defined in Alternative Format Import Pa</w:t>
      </w:r>
      <w:r>
        <w:t>rt ("</w:t>
      </w:r>
      <w:hyperlink r:id="rId117">
        <w:r>
          <w:rPr>
            <w:rStyle w:val="Hyperlink"/>
          </w:rPr>
          <w:t>[ISO/IEC-29500-1]</w:t>
        </w:r>
      </w:hyperlink>
      <w:r>
        <w:t xml:space="preserve"> §11.3.1"): http://schemas.openxmlformats.org/officeDocument/2006/relationships/aFChunk.</w:t>
      </w:r>
    </w:p>
    <w:p w:rsidR="000A156F" w:rsidRDefault="00A9721F">
      <w:pPr>
        <w:pStyle w:val="Definition-Field"/>
      </w:pPr>
      <w:r>
        <w:t xml:space="preserve">b.   </w:t>
      </w:r>
      <w:r>
        <w:rPr>
          <w:i/>
        </w:rPr>
        <w:t>The standard specifies that applications can support any set of content ty</w:t>
      </w:r>
      <w:r>
        <w:rPr>
          <w:i/>
        </w:rPr>
        <w:t>pes.</w:t>
      </w:r>
    </w:p>
    <w:p w:rsidR="000A156F" w:rsidRDefault="00A9721F">
      <w:r>
        <w:t>Word supports the following content types:</w:t>
      </w:r>
    </w:p>
    <w:p w:rsidR="000A156F" w:rsidRDefault="00A9721F">
      <w:pPr>
        <w:pStyle w:val="ListParagraph"/>
        <w:numPr>
          <w:ilvl w:val="0"/>
          <w:numId w:val="64"/>
        </w:numPr>
        <w:contextualSpacing/>
      </w:pPr>
      <w:r>
        <w:t>application/vnd.openxmlformats-officedocument.wordprocessingml.document.main+xml</w:t>
      </w:r>
    </w:p>
    <w:p w:rsidR="000A156F" w:rsidRDefault="00A9721F">
      <w:pPr>
        <w:pStyle w:val="ListParagraph"/>
        <w:numPr>
          <w:ilvl w:val="0"/>
          <w:numId w:val="64"/>
        </w:numPr>
        <w:contextualSpacing/>
      </w:pPr>
      <w:r>
        <w:t>application/vnd.ms-word.document.macroEnabled.main+xml</w:t>
      </w:r>
    </w:p>
    <w:p w:rsidR="000A156F" w:rsidRDefault="00A9721F">
      <w:pPr>
        <w:pStyle w:val="ListParagraph"/>
        <w:numPr>
          <w:ilvl w:val="0"/>
          <w:numId w:val="64"/>
        </w:numPr>
        <w:contextualSpacing/>
      </w:pPr>
      <w:r>
        <w:t>application/vnd.openxmlformats-officedocument.wordprocessingml.template.</w:t>
      </w:r>
      <w:r>
        <w:t>main+xml</w:t>
      </w:r>
    </w:p>
    <w:p w:rsidR="000A156F" w:rsidRDefault="00A9721F">
      <w:pPr>
        <w:pStyle w:val="ListParagraph"/>
        <w:numPr>
          <w:ilvl w:val="0"/>
          <w:numId w:val="64"/>
        </w:numPr>
        <w:contextualSpacing/>
      </w:pPr>
      <w:r>
        <w:t>application/vnd.ms-word.template.macroEnabledTemplate.main+xml</w:t>
      </w:r>
    </w:p>
    <w:p w:rsidR="000A156F" w:rsidRDefault="00A9721F">
      <w:pPr>
        <w:pStyle w:val="ListParagraph"/>
        <w:numPr>
          <w:ilvl w:val="0"/>
          <w:numId w:val="64"/>
        </w:numPr>
        <w:contextualSpacing/>
      </w:pPr>
      <w:r>
        <w:t>message/rfc822</w:t>
      </w:r>
    </w:p>
    <w:p w:rsidR="000A156F" w:rsidRDefault="00A9721F">
      <w:pPr>
        <w:pStyle w:val="ListParagraph"/>
        <w:numPr>
          <w:ilvl w:val="0"/>
          <w:numId w:val="64"/>
        </w:numPr>
        <w:contextualSpacing/>
      </w:pPr>
      <w:r>
        <w:t>application/xml</w:t>
      </w:r>
    </w:p>
    <w:p w:rsidR="000A156F" w:rsidRDefault="00A9721F">
      <w:pPr>
        <w:pStyle w:val="ListParagraph"/>
        <w:numPr>
          <w:ilvl w:val="0"/>
          <w:numId w:val="64"/>
        </w:numPr>
        <w:contextualSpacing/>
      </w:pPr>
      <w:r>
        <w:t>application/rtf</w:t>
      </w:r>
    </w:p>
    <w:p w:rsidR="000A156F" w:rsidRDefault="00A9721F">
      <w:pPr>
        <w:pStyle w:val="ListParagraph"/>
        <w:numPr>
          <w:ilvl w:val="0"/>
          <w:numId w:val="64"/>
        </w:numPr>
        <w:contextualSpacing/>
      </w:pPr>
      <w:r>
        <w:t>application/xhtml+xml</w:t>
      </w:r>
    </w:p>
    <w:p w:rsidR="000A156F" w:rsidRDefault="00A9721F">
      <w:pPr>
        <w:pStyle w:val="ListParagraph"/>
        <w:numPr>
          <w:ilvl w:val="0"/>
          <w:numId w:val="64"/>
        </w:numPr>
        <w:contextualSpacing/>
      </w:pPr>
      <w:r>
        <w:t>text/html</w:t>
      </w:r>
    </w:p>
    <w:p w:rsidR="000A156F" w:rsidRDefault="00A9721F">
      <w:pPr>
        <w:pStyle w:val="ListParagraph"/>
        <w:numPr>
          <w:ilvl w:val="0"/>
          <w:numId w:val="64"/>
        </w:numPr>
      </w:pPr>
      <w:r>
        <w:t>text/plain</w:t>
      </w:r>
    </w:p>
    <w:p w:rsidR="000A156F" w:rsidRDefault="00A9721F">
      <w:pPr>
        <w:pStyle w:val="Heading3"/>
      </w:pPr>
      <w:bookmarkStart w:id="1076" w:name="section_923382bf235a4f4ab9dfd5a0f8b2ead8"/>
      <w:bookmarkStart w:id="1077" w:name="_Toc181683564"/>
      <w:r>
        <w:lastRenderedPageBreak/>
        <w:t>Part 1 Section 17.18.2, ST_Border (Border Styles)</w:t>
      </w:r>
      <w:bookmarkEnd w:id="1076"/>
      <w:bookmarkEnd w:id="1077"/>
      <w:r>
        <w:fldChar w:fldCharType="begin"/>
      </w:r>
      <w:r>
        <w:instrText xml:space="preserve"> XE "ST_Border (Border Styles)" </w:instrText>
      </w:r>
      <w:r>
        <w:fldChar w:fldCharType="end"/>
      </w:r>
    </w:p>
    <w:p w:rsidR="000A156F" w:rsidRDefault="00A9721F">
      <w:pPr>
        <w:pStyle w:val="Definition-Field"/>
      </w:pPr>
      <w:r>
        <w:t xml:space="preserve">a.   </w:t>
      </w:r>
      <w:r>
        <w:rPr>
          <w:i/>
        </w:rPr>
        <w:t>The s</w:t>
      </w:r>
      <w:r>
        <w:rPr>
          <w:i/>
        </w:rPr>
        <w:t>tandard states that the thinThickLargeGap, thinThickMediumGap, and thinThickSmallGap border styles specify line borders consisting of a thin line contained within a thick line contained within a thick thin.</w:t>
      </w:r>
    </w:p>
    <w:p w:rsidR="000A156F" w:rsidRDefault="00A9721F">
      <w:pPr>
        <w:pStyle w:val="Definition-Field2"/>
      </w:pPr>
      <w:r>
        <w:t>Word uses these styles to specify line borders co</w:t>
      </w:r>
      <w:r>
        <w:t>nsisting of a thin line contained within a thick line.</w:t>
      </w:r>
    </w:p>
    <w:p w:rsidR="000A156F" w:rsidRDefault="00A9721F">
      <w:pPr>
        <w:pStyle w:val="Definition-Field"/>
      </w:pPr>
      <w:r>
        <w:t xml:space="preserve">b.   </w:t>
      </w:r>
      <w:r>
        <w:rPr>
          <w:i/>
        </w:rPr>
        <w:t>The standard places no restrictions on when the inset and outset border styles should be honored.</w:t>
      </w:r>
    </w:p>
    <w:p w:rsidR="000A156F" w:rsidRDefault="00A9721F">
      <w:pPr>
        <w:pStyle w:val="Definition-Field2"/>
      </w:pPr>
      <w:r>
        <w:t>Word displays inset and outset borders using the single border style when the border is not a tabl</w:t>
      </w:r>
      <w:r>
        <w:t>e border or when the resolved value of the tblCellSpacing element for a row is nil.</w:t>
      </w:r>
    </w:p>
    <w:p w:rsidR="000A156F" w:rsidRDefault="00A9721F">
      <w:pPr>
        <w:pStyle w:val="Definition-Field"/>
      </w:pPr>
      <w:r>
        <w:t xml:space="preserve">c.   </w:t>
      </w:r>
      <w:r>
        <w:rPr>
          <w:i/>
        </w:rPr>
        <w:t>The standard states that the inset and outset border styles specify a line border consisting of an inset/outset set of lines around the parent object.</w:t>
      </w:r>
    </w:p>
    <w:p w:rsidR="000A156F" w:rsidRDefault="00A9721F">
      <w:pPr>
        <w:pStyle w:val="Definition-Field2"/>
      </w:pPr>
      <w:r>
        <w:t>Word displays th</w:t>
      </w:r>
      <w:r>
        <w:t xml:space="preserve">ese border styles as defined in the CSS2 specification </w:t>
      </w:r>
      <w:hyperlink r:id="rId118">
        <w:r>
          <w:rPr>
            <w:rStyle w:val="Hyperlink"/>
          </w:rPr>
          <w:t>[CSS-LEVEL2]</w:t>
        </w:r>
      </w:hyperlink>
      <w:r>
        <w:t>.</w:t>
      </w:r>
    </w:p>
    <w:p w:rsidR="000A156F" w:rsidRDefault="00A9721F">
      <w:pPr>
        <w:pStyle w:val="Definition-Field"/>
      </w:pPr>
      <w:r>
        <w:t xml:space="preserve">d.   </w:t>
      </w:r>
      <w:r>
        <w:rPr>
          <w:i/>
        </w:rPr>
        <w:t>The standard states that custom is a valid enumeration value.</w:t>
      </w:r>
    </w:p>
    <w:p w:rsidR="000A156F" w:rsidRDefault="00A9721F">
      <w:pPr>
        <w:pStyle w:val="Definition-Field2"/>
      </w:pPr>
      <w:r>
        <w:t xml:space="preserve">In Word, if the enumeration value of an ST_Border </w:t>
      </w:r>
      <w:r>
        <w:t>simple type is custom, then the file is considered corrupt.</w:t>
      </w:r>
    </w:p>
    <w:p w:rsidR="000A156F" w:rsidRDefault="00A9721F">
      <w:pPr>
        <w:pStyle w:val="Heading3"/>
      </w:pPr>
      <w:bookmarkStart w:id="1078" w:name="section_1123446a4d214b2baa9cee57a2efb7c9"/>
      <w:bookmarkStart w:id="1079" w:name="_Toc181683565"/>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0A156F" w:rsidRDefault="00A9721F">
      <w:pPr>
        <w:pStyle w:val="Definition-Field"/>
      </w:pPr>
      <w:r>
        <w:t xml:space="preserve">a.   </w:t>
      </w:r>
      <w:r>
        <w:rPr>
          <w:i/>
        </w:rPr>
        <w:t>The standard states that a value of "clear" deter</w:t>
      </w:r>
      <w:r>
        <w:rPr>
          <w:i/>
        </w:rPr>
        <w:t>mines the next possible restart location.</w:t>
      </w:r>
    </w:p>
    <w:p w:rsidR="000A156F" w:rsidRDefault="00A9721F">
      <w:pPr>
        <w:pStyle w:val="Definition-Field2"/>
      </w:pPr>
      <w:r>
        <w:t>Word respects this value in Web Layout, but behaves unpredictably in Print Layout.</w:t>
      </w:r>
    </w:p>
    <w:p w:rsidR="000A156F" w:rsidRDefault="00A9721F">
      <w:pPr>
        <w:pStyle w:val="Heading3"/>
      </w:pPr>
      <w:bookmarkStart w:id="1080" w:name="section_aaf2ad21b3cf4832bfc3614966a1fd3e"/>
      <w:bookmarkStart w:id="1081" w:name="_Toc181683566"/>
      <w:r>
        <w:t>Part 1 Section 17.18.5, ST_CaptionPos (Automatic Caption Positioning Values)</w:t>
      </w:r>
      <w:bookmarkEnd w:id="1080"/>
      <w:bookmarkEnd w:id="1081"/>
      <w:r>
        <w:fldChar w:fldCharType="begin"/>
      </w:r>
      <w:r>
        <w:instrText xml:space="preserve"> XE "ST_CaptionPos (Automatic Caption Positioning Value</w:instrText>
      </w:r>
      <w:r>
        <w:instrText xml:space="preserve">s)" </w:instrText>
      </w:r>
      <w:r>
        <w:fldChar w:fldCharType="end"/>
      </w:r>
    </w:p>
    <w:p w:rsidR="000A156F" w:rsidRDefault="00A9721F">
      <w:pPr>
        <w:pStyle w:val="Definition-Field"/>
      </w:pPr>
      <w:r>
        <w:t xml:space="preserve">a.   </w:t>
      </w:r>
      <w:r>
        <w:rPr>
          <w:i/>
        </w:rPr>
        <w:t>The standard allows that left, right, above, and below for automatically inserted captions.</w:t>
      </w:r>
    </w:p>
    <w:p w:rsidR="000A156F" w:rsidRDefault="00A9721F">
      <w:pPr>
        <w:pStyle w:val="Definition-Field2"/>
      </w:pPr>
      <w:r>
        <w:t>Word supports only above and below for automatically inserted captions.</w:t>
      </w:r>
    </w:p>
    <w:p w:rsidR="000A156F" w:rsidRDefault="00A9721F">
      <w:pPr>
        <w:pStyle w:val="Heading3"/>
      </w:pPr>
      <w:bookmarkStart w:id="1082" w:name="section_df329b39b03e498395649c7d41edc5b5"/>
      <w:bookmarkStart w:id="1083" w:name="_Toc181683567"/>
      <w:r>
        <w:t>Part 1 Section 17.18.7, ST_CharacterSpacing (Character-Level Whitespace Compression Settings)</w:t>
      </w:r>
      <w:bookmarkEnd w:id="1082"/>
      <w:bookmarkEnd w:id="1083"/>
      <w:r>
        <w:fldChar w:fldCharType="begin"/>
      </w:r>
      <w:r>
        <w:instrText xml:space="preserve"> XE "ST_CharacterSpacing (Character-Level Whitespace Compression Settings)" </w:instrText>
      </w:r>
      <w:r>
        <w:fldChar w:fldCharType="end"/>
      </w:r>
    </w:p>
    <w:p w:rsidR="000A156F" w:rsidRDefault="00A9721F">
      <w:pPr>
        <w:pStyle w:val="Definition-Field"/>
      </w:pPr>
      <w:r>
        <w:t xml:space="preserve">a.   </w:t>
      </w:r>
      <w:r>
        <w:rPr>
          <w:i/>
        </w:rPr>
        <w:t>The standard states that the ST_CharacterSpacing simple type specifies that whi</w:t>
      </w:r>
      <w:r>
        <w:rPr>
          <w:i/>
        </w:rPr>
        <w:t>te space compression is applied to white space characters.</w:t>
      </w:r>
    </w:p>
    <w:p w:rsidR="000A156F" w:rsidRDefault="00A9721F">
      <w:pPr>
        <w:pStyle w:val="Definition-Field2"/>
      </w:pPr>
      <w:r>
        <w:t>In Word, this simple type applies white space compression to full width punctuation characters.</w:t>
      </w:r>
    </w:p>
    <w:p w:rsidR="000A156F" w:rsidRDefault="00A9721F">
      <w:pPr>
        <w:pStyle w:val="Heading3"/>
      </w:pPr>
      <w:bookmarkStart w:id="1084" w:name="section_f22c45b2866741ce93a3b1451c17790a"/>
      <w:bookmarkStart w:id="1085" w:name="_Toc181683568"/>
      <w:r>
        <w:t>Part 1 Section 17.18.10, ST_DecimalNumber (Decimal Number Value)</w:t>
      </w:r>
      <w:bookmarkEnd w:id="1084"/>
      <w:bookmarkEnd w:id="1085"/>
      <w:r>
        <w:fldChar w:fldCharType="begin"/>
      </w:r>
      <w:r>
        <w:instrText xml:space="preserve"> XE "ST_DecimalNumber (Decimal Number</w:instrText>
      </w:r>
      <w:r>
        <w:instrText xml:space="preserve"> Value)" </w:instrText>
      </w:r>
      <w:r>
        <w:fldChar w:fldCharType="end"/>
      </w:r>
    </w:p>
    <w:p w:rsidR="000A156F" w:rsidRDefault="00A9721F">
      <w:pPr>
        <w:pStyle w:val="Definition-Field"/>
      </w:pPr>
      <w:r>
        <w:t xml:space="preserve">a.   </w:t>
      </w:r>
      <w:r>
        <w:rPr>
          <w:i/>
        </w:rPr>
        <w:t>The standard states that the contents of the ST_DecimalNumber simple type are a restriction on the XML Schema integer datatype.</w:t>
      </w:r>
    </w:p>
    <w:p w:rsidR="000A156F" w:rsidRDefault="00A9721F">
      <w:pPr>
        <w:pStyle w:val="Definition-Field2"/>
      </w:pPr>
      <w:r>
        <w:t>Word defines the contents of this simple type as being a restriction on the XML Schema int datatype.</w:t>
      </w:r>
    </w:p>
    <w:p w:rsidR="000A156F" w:rsidRDefault="00A9721F">
      <w:pPr>
        <w:pStyle w:val="Heading3"/>
      </w:pPr>
      <w:bookmarkStart w:id="1086" w:name="section_45e24c5e5db2493694488c72a1f7d60e"/>
      <w:bookmarkStart w:id="1087" w:name="_Toc181683569"/>
      <w:r>
        <w:lastRenderedPageBreak/>
        <w:t>Part 1 Sec</w:t>
      </w:r>
      <w:r>
        <w:t>tion 17.18.13, ST_DisplacedByCustomXml (Location of Custom XML Markup Displacing an Annotation)</w:t>
      </w:r>
      <w:bookmarkEnd w:id="1086"/>
      <w:bookmarkEnd w:id="1087"/>
      <w:r>
        <w:fldChar w:fldCharType="begin"/>
      </w:r>
      <w:r>
        <w:instrText xml:space="preserve"> XE "ST_DisplacedByCustomXml (Location of Custom XML Markup Displacing an Annotation)" </w:instrText>
      </w:r>
      <w:r>
        <w:fldChar w:fldCharType="end"/>
      </w:r>
    </w:p>
    <w:p w:rsidR="000A156F" w:rsidRDefault="00A9721F">
      <w:pPr>
        <w:pStyle w:val="Definition-Field"/>
      </w:pPr>
      <w:r>
        <w:t xml:space="preserve">a.   </w:t>
      </w:r>
      <w:r>
        <w:rPr>
          <w:i/>
        </w:rPr>
        <w:t xml:space="preserve">The standard allows the displacedByCustomXml attribute to be used </w:t>
      </w:r>
      <w:r>
        <w:rPr>
          <w:i/>
        </w:rPr>
        <w:t>in comments, headers, and footers.</w:t>
      </w:r>
    </w:p>
    <w:p w:rsidR="000A156F" w:rsidRDefault="00A9721F">
      <w:pPr>
        <w:pStyle w:val="Definition-Field2"/>
      </w:pPr>
      <w:r>
        <w:t>Word may ignore the parent element under certain conditions when it encounters the displacedByCustomXml attribute in a comment, header, or footer.</w:t>
      </w:r>
    </w:p>
    <w:p w:rsidR="000A156F" w:rsidRDefault="00A9721F">
      <w:pPr>
        <w:pStyle w:val="Heading3"/>
      </w:pPr>
      <w:bookmarkStart w:id="1088" w:name="section_ad4d920120514b7d8f9cba019f0ae7a6"/>
      <w:bookmarkStart w:id="1089" w:name="_Toc181683570"/>
      <w:r>
        <w:t>Part 1 Section 17.18.14, ST_DocGrid (Document Grid Types)</w:t>
      </w:r>
      <w:bookmarkEnd w:id="1088"/>
      <w:bookmarkEnd w:id="1089"/>
      <w:r>
        <w:fldChar w:fldCharType="begin"/>
      </w:r>
      <w:r>
        <w:instrText xml:space="preserve"> XE "ST_DocGrid (</w:instrText>
      </w:r>
      <w:r>
        <w:instrText xml:space="preserve">Document Grid Types)" </w:instrText>
      </w:r>
      <w:r>
        <w:fldChar w:fldCharType="end"/>
      </w:r>
    </w:p>
    <w:p w:rsidR="000A156F" w:rsidRDefault="00A9721F">
      <w:pPr>
        <w:pStyle w:val="Definition-Field"/>
      </w:pPr>
      <w:r>
        <w:t xml:space="preserve">a.   </w:t>
      </w:r>
      <w:r>
        <w:rPr>
          <w:i/>
        </w:rPr>
        <w:t>The standard states that the snapToChars attribute serves the same purpose as the linesAndChars attribute.</w:t>
      </w:r>
    </w:p>
    <w:p w:rsidR="000A156F" w:rsidRDefault="00A9721F">
      <w:r>
        <w:t>The snapToChars attribute specifies that each line in the parent section shall be divided into units of the character p</w:t>
      </w:r>
      <w:r>
        <w:t xml:space="preserve">itch specified on the </w:t>
      </w:r>
      <w:r>
        <w:rPr>
          <w:b/>
        </w:rPr>
        <w:t>docGrid</w:t>
      </w:r>
      <w:r>
        <w:t xml:space="preserve"> element ("</w:t>
      </w:r>
      <w:hyperlink r:id="rId119">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w:t>
      </w:r>
      <w:r>
        <w:t xml:space="preserve"> are then placed into these units as follows:</w:t>
      </w:r>
    </w:p>
    <w:p w:rsidR="000A156F" w:rsidRDefault="00A9721F">
      <w:pPr>
        <w:pStyle w:val="ListParagraph"/>
        <w:numPr>
          <w:ilvl w:val="0"/>
          <w:numId w:val="65"/>
        </w:numPr>
        <w:contextualSpacing/>
      </w:pPr>
      <w:r>
        <w:rPr>
          <w:i/>
        </w:rPr>
        <w:t>eastAsia</w:t>
      </w:r>
      <w:r>
        <w:t xml:space="preserve"> – One character per grid unit, centered in that unit.</w:t>
      </w:r>
    </w:p>
    <w:p w:rsidR="000A156F" w:rsidRDefault="00A9721F">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w:t>
      </w:r>
      <w:r>
        <w:t>its of space, it is centered in 5 units. end example]</w:t>
      </w:r>
    </w:p>
    <w:p w:rsidR="000A156F" w:rsidRDefault="00A9721F">
      <w:pPr>
        <w:pStyle w:val="ListParagraph"/>
        <w:numPr>
          <w:ilvl w:val="0"/>
          <w:numId w:val="65"/>
        </w:numPr>
      </w:pPr>
      <w:r>
        <w:rPr>
          <w:i/>
        </w:rPr>
        <w:t>cs</w:t>
      </w:r>
      <w:r>
        <w:t xml:space="preserve"> – All characters in the block left-aligned in as many grid units as are necessary to display that text.</w:t>
      </w:r>
    </w:p>
    <w:p w:rsidR="000A156F" w:rsidRDefault="00A9721F">
      <w:r>
        <w:t xml:space="preserve">The additional line pitch on the </w:t>
      </w:r>
      <w:r>
        <w:rPr>
          <w:b/>
        </w:rPr>
        <w:t>docGrid</w:t>
      </w:r>
      <w:r>
        <w:t xml:space="preserve"> element is also added in order to maintain a specific </w:t>
      </w:r>
      <w:r>
        <w:t>number of lines per page and characters per line.</w:t>
      </w:r>
    </w:p>
    <w:p w:rsidR="000A156F" w:rsidRDefault="00A9721F">
      <w:pPr>
        <w:pStyle w:val="Heading3"/>
      </w:pPr>
      <w:bookmarkStart w:id="1090" w:name="section_292959d9ea4a4953b29f6c243ffa5471"/>
      <w:bookmarkStart w:id="1091" w:name="_Toc181683571"/>
      <w:r>
        <w:t>Part 1 Section 17.18.15, ST_DocPartBehavior (Insertion Behavior Types)</w:t>
      </w:r>
      <w:bookmarkEnd w:id="1090"/>
      <w:bookmarkEnd w:id="1091"/>
      <w:r>
        <w:fldChar w:fldCharType="begin"/>
      </w:r>
      <w:r>
        <w:instrText xml:space="preserve"> XE "ST_DocPartBehavior (Insertion Behavior Types)" </w:instrText>
      </w:r>
      <w:r>
        <w:fldChar w:fldCharType="end"/>
      </w:r>
    </w:p>
    <w:p w:rsidR="000A156F" w:rsidRDefault="00A9721F">
      <w:pPr>
        <w:pStyle w:val="Definition-Field"/>
      </w:pPr>
      <w:r>
        <w:t xml:space="preserve">a.   </w:t>
      </w:r>
      <w:r>
        <w:rPr>
          <w:i/>
        </w:rPr>
        <w:t>The standard says that when the behavior is set to pg, the entry is preceded</w:t>
      </w:r>
      <w:r>
        <w:rPr>
          <w:i/>
        </w:rPr>
        <w:t xml:space="preserve"> by a blank paragraph whose only content is a page break character.</w:t>
      </w:r>
    </w:p>
    <w:p w:rsidR="000A156F" w:rsidRDefault="00A9721F">
      <w:pPr>
        <w:pStyle w:val="Definition-Field2"/>
      </w:pPr>
      <w:r>
        <w:t>In Word, when the behavior is set to pg, the entry is preceded by a page break character, but that page break character is not necessarily the only content in the previous paragraph.</w:t>
      </w:r>
    </w:p>
    <w:p w:rsidR="000A156F" w:rsidRDefault="00A9721F">
      <w:pPr>
        <w:pStyle w:val="Definition-Field"/>
      </w:pPr>
      <w:r>
        <w:t xml:space="preserve">b.   </w:t>
      </w:r>
      <w:r>
        <w:rPr>
          <w:i/>
        </w:rPr>
        <w:t>The standard says that when the behavior is set to pg, the entry is put on its own new page by preceding it with a page break.</w:t>
      </w:r>
    </w:p>
    <w:p w:rsidR="000A156F" w:rsidRDefault="00A9721F">
      <w:pPr>
        <w:pStyle w:val="Definition-Field2"/>
      </w:pPr>
      <w:r>
        <w:t>In Word, when the behavior is set to pg, the entry is put on its own new page by adding a preceding and trailing page break.</w:t>
      </w:r>
    </w:p>
    <w:p w:rsidR="000A156F" w:rsidRDefault="00A9721F">
      <w:pPr>
        <w:pStyle w:val="Heading3"/>
      </w:pPr>
      <w:bookmarkStart w:id="1092" w:name="section_8043b424e27544ba95726a25ee5e9b84"/>
      <w:bookmarkStart w:id="1093" w:name="_Toc181683572"/>
      <w:r>
        <w:t>Part 1 Section 17.18.24, ST_Em (Emphasis Mark Type)</w:t>
      </w:r>
      <w:bookmarkEnd w:id="1092"/>
      <w:bookmarkEnd w:id="1093"/>
      <w:r>
        <w:fldChar w:fldCharType="begin"/>
      </w:r>
      <w:r>
        <w:instrText xml:space="preserve"> XE "ST_Em (Emphasis Mark Type)" </w:instrText>
      </w:r>
      <w:r>
        <w:fldChar w:fldCharType="end"/>
      </w:r>
    </w:p>
    <w:p w:rsidR="000A156F" w:rsidRDefault="00A9721F">
      <w:pPr>
        <w:pStyle w:val="Definition-Field"/>
      </w:pPr>
      <w:r>
        <w:t xml:space="preserve">a.   </w:t>
      </w:r>
      <w:r>
        <w:rPr>
          <w:i/>
        </w:rPr>
        <w:t>The standard does not state which language should be used for the language resolution part of the emphasis mark values.</w:t>
      </w:r>
    </w:p>
    <w:p w:rsidR="000A156F" w:rsidRDefault="00A9721F">
      <w:pPr>
        <w:pStyle w:val="Definition-Field2"/>
      </w:pPr>
      <w:r>
        <w:t>Word uses the East Asian language for the la</w:t>
      </w:r>
      <w:r>
        <w:t>nguage resolution part of these values.</w:t>
      </w:r>
    </w:p>
    <w:p w:rsidR="000A156F" w:rsidRDefault="00A9721F">
      <w:pPr>
        <w:pStyle w:val="Definition-Field"/>
      </w:pPr>
      <w:r>
        <w:t xml:space="preserve">b.   </w:t>
      </w:r>
      <w:r>
        <w:rPr>
          <w:i/>
        </w:rPr>
        <w:t>The standard states that the dot value specifies that the emphasis mark is to be rendered using Unicode character 0xFF0E for Japanese and Simplified Chinese, 0x2027 for Traditional Chinese, and 0x02D9 for all ot</w:t>
      </w:r>
      <w:r>
        <w:rPr>
          <w:i/>
        </w:rPr>
        <w:t>her East Asian languages.</w:t>
      </w:r>
    </w:p>
    <w:p w:rsidR="000A156F" w:rsidRDefault="00A9721F">
      <w:pPr>
        <w:pStyle w:val="Definition-Field2"/>
      </w:pPr>
      <w:r>
        <w:t>In Word, the emphasis mark is rendered using Unicode character 0x02D9 for Korean, 0x2027 for Traditional Chinese, and 0xFF0E for all other East Asian languages.</w:t>
      </w:r>
    </w:p>
    <w:p w:rsidR="000A156F" w:rsidRDefault="00A9721F">
      <w:pPr>
        <w:pStyle w:val="Definition-Field"/>
      </w:pPr>
      <w:r>
        <w:t xml:space="preserve">c.   </w:t>
      </w:r>
      <w:r>
        <w:rPr>
          <w:i/>
        </w:rPr>
        <w:t>The standard specifies that Traditional Chinese shall use Unicod</w:t>
      </w:r>
      <w:r>
        <w:rPr>
          <w:i/>
        </w:rPr>
        <w:t>e character 0x3002 for the circle value and that it shall be positioned beneath the characters.</w:t>
      </w:r>
    </w:p>
    <w:p w:rsidR="000A156F" w:rsidRDefault="00A9721F">
      <w:pPr>
        <w:pStyle w:val="Definition-Field2"/>
      </w:pPr>
      <w:r>
        <w:lastRenderedPageBreak/>
        <w:t>Word does not place the circle emphasis beneath the characters for Traditional Chinese.</w:t>
      </w:r>
    </w:p>
    <w:p w:rsidR="000A156F" w:rsidRDefault="00A9721F">
      <w:pPr>
        <w:pStyle w:val="Definition-Field"/>
      </w:pPr>
      <w:r>
        <w:t xml:space="preserve">d.   </w:t>
      </w:r>
      <w:r>
        <w:rPr>
          <w:i/>
        </w:rPr>
        <w:t>The standard specifies that the emphasis mark is a comma character,</w:t>
      </w:r>
      <w:r>
        <w:rPr>
          <w:i/>
        </w:rPr>
        <w:t xml:space="preserve"> rendered above each character, using Unicode character 0x3001.</w:t>
      </w:r>
    </w:p>
    <w:p w:rsidR="000A156F" w:rsidRDefault="00A9721F">
      <w:pPr>
        <w:pStyle w:val="Definition-Field2"/>
      </w:pPr>
      <w:r>
        <w:t>In Word, a circle type is used instead of the comma type if the East Asian language of the text is Korean or Traditional Chinese.</w:t>
      </w:r>
    </w:p>
    <w:p w:rsidR="000A156F" w:rsidRDefault="00A9721F">
      <w:pPr>
        <w:pStyle w:val="Heading3"/>
      </w:pPr>
      <w:bookmarkStart w:id="1094" w:name="section_04451925852741c38c05bbfa37d3b618"/>
      <w:bookmarkStart w:id="1095" w:name="_Toc181683573"/>
      <w:r>
        <w:t>Part 1 Section 17.18.25, ST_FFHelpTextVal (Help Text Value)</w:t>
      </w:r>
      <w:bookmarkEnd w:id="1094"/>
      <w:bookmarkEnd w:id="1095"/>
      <w:r>
        <w:fldChar w:fldCharType="begin"/>
      </w:r>
      <w:r>
        <w:instrText xml:space="preserve"> XE</w:instrText>
      </w:r>
      <w:r>
        <w:instrText xml:space="preserve"> "ST_FFHelpTextVal (Help Text Value)" </w:instrText>
      </w:r>
      <w:r>
        <w:fldChar w:fldCharType="end"/>
      </w:r>
    </w:p>
    <w:p w:rsidR="000A156F" w:rsidRDefault="00A9721F">
      <w:pPr>
        <w:pStyle w:val="Definition-Field"/>
      </w:pPr>
      <w:r>
        <w:t xml:space="preserve">a.   </w:t>
      </w:r>
      <w:r>
        <w:rPr>
          <w:i/>
        </w:rPr>
        <w:t>The standard states that the ST_FFHelpTextVal simple type allows strings with 256 characters.</w:t>
      </w:r>
    </w:p>
    <w:p w:rsidR="000A156F" w:rsidRDefault="00A9721F">
      <w:pPr>
        <w:pStyle w:val="Definition-Field2"/>
      </w:pPr>
      <w:r>
        <w:t>In Word, the ST_FFHelpTextVal attribute allows strings with at most 255 characters.</w:t>
      </w:r>
    </w:p>
    <w:p w:rsidR="000A156F" w:rsidRDefault="00A9721F">
      <w:pPr>
        <w:pStyle w:val="Heading3"/>
      </w:pPr>
      <w:bookmarkStart w:id="1096" w:name="section_b174b3b20ea040bf8af47b79f843ebd1"/>
      <w:bookmarkStart w:id="1097" w:name="_Toc181683574"/>
      <w:r>
        <w:t>Part 1 Section 17.18.26, ST_FFNa</w:t>
      </w:r>
      <w:r>
        <w:t>me (Form Field Name Value)</w:t>
      </w:r>
      <w:bookmarkEnd w:id="1096"/>
      <w:bookmarkEnd w:id="1097"/>
      <w:r>
        <w:fldChar w:fldCharType="begin"/>
      </w:r>
      <w:r>
        <w:instrText xml:space="preserve"> XE "ST_FFName (Form Field Name Value)" </w:instrText>
      </w:r>
      <w:r>
        <w:fldChar w:fldCharType="end"/>
      </w:r>
    </w:p>
    <w:p w:rsidR="000A156F" w:rsidRDefault="00A9721F">
      <w:pPr>
        <w:pStyle w:val="Definition-Field"/>
      </w:pPr>
      <w:r>
        <w:t xml:space="preserve">a.   </w:t>
      </w:r>
      <w:r>
        <w:rPr>
          <w:i/>
        </w:rPr>
        <w:t>The standard allows strings with at most 65 characters.</w:t>
      </w:r>
    </w:p>
    <w:p w:rsidR="000A156F" w:rsidRDefault="00A9721F">
      <w:pPr>
        <w:pStyle w:val="Definition-Field2"/>
      </w:pPr>
      <w:r>
        <w:t>Word allows strings with at most 20 characters.</w:t>
      </w:r>
    </w:p>
    <w:p w:rsidR="000A156F" w:rsidRDefault="00A9721F">
      <w:pPr>
        <w:pStyle w:val="Heading3"/>
      </w:pPr>
      <w:bookmarkStart w:id="1098" w:name="section_7ea5a9b7e6f3441da1fb24c4e7bf5afd"/>
      <w:bookmarkStart w:id="1099" w:name="_Toc181683575"/>
      <w:r>
        <w:t>Part 1 Section 17.18.27, ST_FFStatusTextVal (Status Text Value)</w:t>
      </w:r>
      <w:bookmarkEnd w:id="1098"/>
      <w:bookmarkEnd w:id="1099"/>
      <w:r>
        <w:fldChar w:fldCharType="begin"/>
      </w:r>
      <w:r>
        <w:instrText xml:space="preserve"> XE "ST_FFStatu</w:instrText>
      </w:r>
      <w:r>
        <w:instrText xml:space="preserve">sTextVal (Status Text Value)" </w:instrText>
      </w:r>
      <w:r>
        <w:fldChar w:fldCharType="end"/>
      </w:r>
    </w:p>
    <w:p w:rsidR="000A156F" w:rsidRDefault="00A9721F">
      <w:pPr>
        <w:pStyle w:val="Definition-Field"/>
      </w:pPr>
      <w:r>
        <w:t xml:space="preserve">a.   </w:t>
      </w:r>
      <w:r>
        <w:rPr>
          <w:i/>
        </w:rPr>
        <w:t>The standard states that the ST_FFStatusTextVal simple type allows strings with up to 140 characters.</w:t>
      </w:r>
    </w:p>
    <w:p w:rsidR="000A156F" w:rsidRDefault="00A9721F">
      <w:pPr>
        <w:pStyle w:val="Definition-Field2"/>
      </w:pPr>
      <w:r>
        <w:t>In Word, the ST_FFStatusTextVal simple type allows strings with at most 138 characters.</w:t>
      </w:r>
    </w:p>
    <w:p w:rsidR="000A156F" w:rsidRDefault="00A9721F">
      <w:pPr>
        <w:pStyle w:val="Heading3"/>
      </w:pPr>
      <w:bookmarkStart w:id="1100" w:name="section_f84063fe7ad248c78f86630a1cd53133"/>
      <w:bookmarkStart w:id="1101" w:name="_Toc181683576"/>
      <w:r>
        <w:t>Part 1 Section 17.18.31, ST_</w:t>
      </w:r>
      <w:r>
        <w:t>FrameLayout (Frameset Layout Order)</w:t>
      </w:r>
      <w:bookmarkEnd w:id="1100"/>
      <w:bookmarkEnd w:id="1101"/>
      <w:r>
        <w:fldChar w:fldCharType="begin"/>
      </w:r>
      <w:r>
        <w:instrText xml:space="preserve"> XE "ST_FrameLayout (Frameset Layout Order)" </w:instrText>
      </w:r>
      <w:r>
        <w:fldChar w:fldCharType="end"/>
      </w:r>
    </w:p>
    <w:p w:rsidR="000A156F" w:rsidRDefault="00A9721F">
      <w:pPr>
        <w:pStyle w:val="Definition-Field"/>
      </w:pPr>
      <w:r>
        <w:t xml:space="preserve">a.   </w:t>
      </w:r>
      <w:r>
        <w:rPr>
          <w:i/>
        </w:rPr>
        <w:t>The standard states that the enumeration value none means that no frames shall be shown in the frameset.</w:t>
      </w:r>
    </w:p>
    <w:p w:rsidR="000A156F" w:rsidRDefault="00A9721F">
      <w:pPr>
        <w:pStyle w:val="Definition-Field2"/>
      </w:pPr>
      <w:r>
        <w:t>Word interprets an enumeration value of none to mean that one f</w:t>
      </w:r>
      <w:r>
        <w:t>rame should be shown in the frameset.</w:t>
      </w:r>
    </w:p>
    <w:p w:rsidR="000A156F" w:rsidRDefault="00A9721F">
      <w:pPr>
        <w:pStyle w:val="Heading3"/>
      </w:pPr>
      <w:bookmarkStart w:id="1102" w:name="section_22bdb755e0c948d282929d5fac2c9a7b"/>
      <w:bookmarkStart w:id="1103" w:name="_Toc181683577"/>
      <w:r>
        <w:t>Part 1 Section 17.18.34, ST_FtnPos (Footnote Positioning Location)</w:t>
      </w:r>
      <w:bookmarkEnd w:id="1102"/>
      <w:bookmarkEnd w:id="1103"/>
      <w:r>
        <w:fldChar w:fldCharType="begin"/>
      </w:r>
      <w:r>
        <w:instrText xml:space="preserve"> XE "ST_FtnPos (Footnote Positioning Location)" </w:instrText>
      </w:r>
      <w:r>
        <w:fldChar w:fldCharType="end"/>
      </w:r>
    </w:p>
    <w:p w:rsidR="000A156F" w:rsidRDefault="00A9721F">
      <w:pPr>
        <w:pStyle w:val="Definition-Field"/>
      </w:pPr>
      <w:r>
        <w:t xml:space="preserve">a.   </w:t>
      </w:r>
      <w:r>
        <w:rPr>
          <w:i/>
        </w:rPr>
        <w:t>The standard defines docEnd as a supported value in the footnote position enumeration.</w:t>
      </w:r>
    </w:p>
    <w:p w:rsidR="000A156F" w:rsidRDefault="00A9721F">
      <w:pPr>
        <w:pStyle w:val="Definition-Field2"/>
      </w:pPr>
      <w:r>
        <w:t>Word does</w:t>
      </w:r>
      <w:r>
        <w:t xml:space="preserve"> not support docEnd as a value in the footnote position enumeration.</w:t>
      </w:r>
    </w:p>
    <w:p w:rsidR="000A156F" w:rsidRDefault="00A9721F">
      <w:pPr>
        <w:pStyle w:val="Definition-Field"/>
      </w:pPr>
      <w:r>
        <w:t xml:space="preserve">b.   </w:t>
      </w:r>
      <w:r>
        <w:rPr>
          <w:i/>
        </w:rPr>
        <w:t>In the standard, sectEnd specifies that all footnotes shall be placed at the end of the section in which they are referenced.</w:t>
      </w:r>
    </w:p>
    <w:p w:rsidR="000A156F" w:rsidRDefault="00A9721F">
      <w:pPr>
        <w:pStyle w:val="Definition-Field2"/>
      </w:pPr>
      <w:r>
        <w:t>Word treats sectEnd like beneathText and displays footno</w:t>
      </w:r>
      <w:r>
        <w:t>tes immediately after the last line of text on the page on which the note reference mark appears.</w:t>
      </w:r>
    </w:p>
    <w:p w:rsidR="000A156F" w:rsidRDefault="00A9721F">
      <w:pPr>
        <w:pStyle w:val="Heading3"/>
      </w:pPr>
      <w:bookmarkStart w:id="1104" w:name="section_df56a0b882f944d7b165a229c46c124f"/>
      <w:bookmarkStart w:id="1105" w:name="_Toc181683578"/>
      <w:r>
        <w:t>Part 1 Section 17.18.36, ST_HdrFtr (Header or Footer Type)</w:t>
      </w:r>
      <w:bookmarkEnd w:id="1104"/>
      <w:bookmarkEnd w:id="1105"/>
      <w:r>
        <w:fldChar w:fldCharType="begin"/>
      </w:r>
      <w:r>
        <w:instrText xml:space="preserve"> XE "ST_HdrFtr (Header or Footer Type)" </w:instrText>
      </w:r>
      <w:r>
        <w:fldChar w:fldCharType="end"/>
      </w:r>
    </w:p>
    <w:p w:rsidR="000A156F" w:rsidRDefault="00A9721F">
      <w:pPr>
        <w:pStyle w:val="Definition-Field"/>
      </w:pPr>
      <w:r>
        <w:t xml:space="preserve">a.   </w:t>
      </w:r>
      <w:r>
        <w:rPr>
          <w:i/>
        </w:rPr>
        <w:t>The standard states that counting always starts from</w:t>
      </w:r>
      <w:r>
        <w:rPr>
          <w:i/>
        </w:rPr>
        <w:t xml:space="preserve"> one for Odd/Even page number calculation.</w:t>
      </w:r>
    </w:p>
    <w:p w:rsidR="000A156F" w:rsidRDefault="00A9721F">
      <w:pPr>
        <w:pStyle w:val="Definition-Field2"/>
      </w:pPr>
      <w:r>
        <w:t>In Word, counting depends on page numbering settings of the section.</w:t>
      </w:r>
    </w:p>
    <w:p w:rsidR="000A156F" w:rsidRDefault="00A9721F">
      <w:pPr>
        <w:pStyle w:val="Heading3"/>
      </w:pPr>
      <w:bookmarkStart w:id="1106" w:name="section_c242dee3bf9c4be99bcdd49379689221"/>
      <w:bookmarkStart w:id="1107" w:name="_Toc181683579"/>
      <w:r>
        <w:lastRenderedPageBreak/>
        <w:t>Part 1 Section 17.18.41, ST_Hint (Font Type Hint)</w:t>
      </w:r>
      <w:bookmarkEnd w:id="1106"/>
      <w:bookmarkEnd w:id="1107"/>
      <w:r>
        <w:fldChar w:fldCharType="begin"/>
      </w:r>
      <w:r>
        <w:instrText xml:space="preserve"> XE "ST_Hint (Font Type Hint)" </w:instrText>
      </w:r>
      <w:r>
        <w:fldChar w:fldCharType="end"/>
      </w:r>
    </w:p>
    <w:p w:rsidR="000A156F" w:rsidRDefault="00A9721F">
      <w:pPr>
        <w:ind w:left="360" w:hanging="360"/>
      </w:pPr>
      <w:r>
        <w:t xml:space="preserve">a.   </w:t>
      </w:r>
      <w:r>
        <w:rPr>
          <w:i/>
        </w:rPr>
        <w:t>The standard states in a note that the W3C definition of</w:t>
      </w:r>
      <w:r>
        <w:rPr>
          <w:i/>
        </w:rPr>
        <w:t xml:space="preserve"> this simple type’s content model is located in appendix $A.1. Appendix $A.1 states that normative definitions of the definitions also reside in an accompanying file named OfficeOpenXML-XMLSchema-Strict.zip, distributed in electronic form.</w:t>
      </w:r>
    </w:p>
    <w:p w:rsidR="000A156F" w:rsidRDefault="00A9721F">
      <w:pPr>
        <w:ind w:left="360"/>
      </w:pPr>
      <w:r>
        <w:t>While present in</w:t>
      </w:r>
      <w:r>
        <w:t xml:space="preserve"> Appendix $A.1, the definition of the 'cs' enum is missing in the electronic version of the schema file (wml.xsd, contained in OfficeOpenXML-XMLSchema-Strict.zip).</w:t>
      </w:r>
    </w:p>
    <w:p w:rsidR="000A156F" w:rsidRDefault="00A9721F">
      <w:pPr>
        <w:pStyle w:val="Heading3"/>
      </w:pPr>
      <w:bookmarkStart w:id="1108" w:name="section_2d0bf5facdf44e5f9a49d3b3e0a2a35c"/>
      <w:bookmarkStart w:id="1109" w:name="_Toc181683580"/>
      <w:r>
        <w:t>Part 1 Section 17.18.42, ST_HpsMeasure (Measurement in Half-Points)</w:t>
      </w:r>
      <w:bookmarkEnd w:id="1108"/>
      <w:bookmarkEnd w:id="1109"/>
      <w:r>
        <w:fldChar w:fldCharType="begin"/>
      </w:r>
      <w:r>
        <w:instrText xml:space="preserve"> XE "ST_HpsMeasure (Measu</w:instrText>
      </w:r>
      <w:r>
        <w:instrText xml:space="preserve">rement in Half-Points)" </w:instrText>
      </w:r>
      <w:r>
        <w:fldChar w:fldCharType="end"/>
      </w:r>
    </w:p>
    <w:p w:rsidR="000A156F" w:rsidRDefault="00A9721F">
      <w:pPr>
        <w:pStyle w:val="Definition-Field"/>
      </w:pPr>
      <w:r>
        <w:t xml:space="preserve">a.   </w:t>
      </w:r>
      <w:r>
        <w:rPr>
          <w:i/>
        </w:rPr>
        <w:t>The standard states that the contents of the ST_HpsMeasure simple type are a restriction on the XML Schema unsignedLong datatype.</w:t>
      </w:r>
    </w:p>
    <w:p w:rsidR="000A156F" w:rsidRDefault="00A9721F">
      <w:pPr>
        <w:pStyle w:val="Definition-Field2"/>
      </w:pPr>
      <w:r>
        <w:t>Word defines this simple type as being a restriction on the XML Schema unsignedInt datatype, w</w:t>
      </w:r>
      <w:r>
        <w:t>ith a minimum value of 2 and a maximum value of 3277.</w:t>
      </w:r>
    </w:p>
    <w:p w:rsidR="000A156F" w:rsidRDefault="00A9721F">
      <w:pPr>
        <w:pStyle w:val="Heading3"/>
      </w:pPr>
      <w:bookmarkStart w:id="1110" w:name="section_07c96be7c9ee4987ab27c667e4b5ebfa"/>
      <w:bookmarkStart w:id="1111" w:name="_Toc181683581"/>
      <w:r>
        <w:t>Part 1 Section 17.18.44, ST_Jc (Horizontal Alignment Type)</w:t>
      </w:r>
      <w:bookmarkEnd w:id="1110"/>
      <w:bookmarkEnd w:id="1111"/>
      <w:r>
        <w:fldChar w:fldCharType="begin"/>
      </w:r>
      <w:r>
        <w:instrText xml:space="preserve"> XE "ST_Jc (Horizontal Alignment Type)" </w:instrText>
      </w:r>
      <w:r>
        <w:fldChar w:fldCharType="end"/>
      </w:r>
    </w:p>
    <w:p w:rsidR="000A156F" w:rsidRDefault="00A9721F">
      <w:pPr>
        <w:pStyle w:val="Definition-Field"/>
      </w:pPr>
      <w:r>
        <w:t xml:space="preserve">a.   </w:t>
      </w:r>
      <w:r>
        <w:rPr>
          <w:i/>
        </w:rPr>
        <w:t>The standard states that the lowKashida setting shall also be applied to Arabic text when the en</w:t>
      </w:r>
      <w:r>
        <w:rPr>
          <w:i/>
        </w:rPr>
        <w:t>umeration value is set to both.</w:t>
      </w:r>
    </w:p>
    <w:p w:rsidR="000A156F" w:rsidRDefault="00A9721F">
      <w:pPr>
        <w:pStyle w:val="Definition-Field2"/>
      </w:pPr>
      <w:r>
        <w:t>Word does not apply the lowKashida setting when the enumeration value is set to both.</w:t>
      </w:r>
    </w:p>
    <w:p w:rsidR="000A156F" w:rsidRDefault="00A9721F">
      <w:pPr>
        <w:pStyle w:val="Heading3"/>
      </w:pPr>
      <w:bookmarkStart w:id="1112" w:name="section_889892b800884fc2b546a4e8704b3c2c"/>
      <w:bookmarkStart w:id="1113" w:name="_Toc181683582"/>
      <w:r>
        <w:t>Part 1 Section 17.18.52, ST_MailMergeDataType (Mail Merge Data Source Type Values)</w:t>
      </w:r>
      <w:bookmarkEnd w:id="1112"/>
      <w:bookmarkEnd w:id="1113"/>
      <w:r>
        <w:fldChar w:fldCharType="begin"/>
      </w:r>
      <w:r>
        <w:instrText xml:space="preserve"> XE "ST_MailMergeDataType (Mail Merge Data Source Type V</w:instrText>
      </w:r>
      <w:r>
        <w:instrText xml:space="preserve">alues)" </w:instrText>
      </w:r>
      <w:r>
        <w:fldChar w:fldCharType="end"/>
      </w:r>
    </w:p>
    <w:p w:rsidR="000A156F" w:rsidRDefault="00A9721F">
      <w:pPr>
        <w:pStyle w:val="Definition-Field"/>
      </w:pPr>
      <w:r>
        <w:t xml:space="preserve">a.   </w:t>
      </w:r>
      <w:r>
        <w:rPr>
          <w:i/>
        </w:rPr>
        <w:t>The standard states the type as xsd:string and calls out a number of values as reserved for this type.</w:t>
      </w:r>
    </w:p>
    <w:p w:rsidR="000A156F" w:rsidRDefault="00A9721F">
      <w:pPr>
        <w:pStyle w:val="Definition-Field2"/>
      </w:pPr>
      <w:r>
        <w:t>Word accepts the following values 'textFile', 'database', 'spreadsheet', 'query', 'odbc', and 'native'. Word interprets any other value a</w:t>
      </w:r>
      <w:r>
        <w:t>s equivalent to 'textFile.'</w:t>
      </w:r>
    </w:p>
    <w:p w:rsidR="000A156F" w:rsidRDefault="00A9721F">
      <w:pPr>
        <w:pStyle w:val="Heading3"/>
      </w:pPr>
      <w:bookmarkStart w:id="1114" w:name="section_70e3977f3686456a896fb98b9a3be08e"/>
      <w:bookmarkStart w:id="1115" w:name="_Toc181683583"/>
      <w:r>
        <w:t>Part 1 Section 17.18.57, ST_Merge (Merged Cell Type)</w:t>
      </w:r>
      <w:bookmarkEnd w:id="1114"/>
      <w:bookmarkEnd w:id="1115"/>
      <w:r>
        <w:fldChar w:fldCharType="begin"/>
      </w:r>
      <w:r>
        <w:instrText xml:space="preserve"> XE "ST_Merge (Merged Cell Type)" </w:instrText>
      </w:r>
      <w:r>
        <w:fldChar w:fldCharType="end"/>
      </w:r>
    </w:p>
    <w:p w:rsidR="000A156F" w:rsidRDefault="00A9721F">
      <w:pPr>
        <w:pStyle w:val="Definition-Field"/>
      </w:pPr>
      <w:r>
        <w:t xml:space="preserve">a.   </w:t>
      </w:r>
      <w:r>
        <w:rPr>
          <w:i/>
        </w:rPr>
        <w:t>The standard states that a value of continue shall be ignored if the previous cell does not specify continue or restart</w:t>
      </w:r>
    </w:p>
    <w:p w:rsidR="000A156F" w:rsidRDefault="00A9721F">
      <w:pPr>
        <w:pStyle w:val="Definition-Field2"/>
      </w:pPr>
      <w:r>
        <w:t xml:space="preserve">Word attempts </w:t>
      </w:r>
      <w:r>
        <w:t>to interpret continue values for vertically merged cells even if none of the previous cells contain a restart value</w:t>
      </w:r>
    </w:p>
    <w:p w:rsidR="000A156F" w:rsidRDefault="00A9721F">
      <w:pPr>
        <w:pStyle w:val="Heading3"/>
      </w:pPr>
      <w:bookmarkStart w:id="1116" w:name="section_ea3612c8a09946c399a993658a30cb01"/>
      <w:bookmarkStart w:id="1117" w:name="_Toc181683584"/>
      <w:r>
        <w:t>Part 1 Section 17.18.59, ST_NumberFormat (Numbering Format)</w:t>
      </w:r>
      <w:bookmarkEnd w:id="1116"/>
      <w:bookmarkEnd w:id="1117"/>
      <w:r>
        <w:fldChar w:fldCharType="begin"/>
      </w:r>
      <w:r>
        <w:instrText xml:space="preserve"> XE "ST_NumberFormat (Numbering Format)" </w:instrText>
      </w:r>
      <w:r>
        <w:fldChar w:fldCharType="end"/>
      </w:r>
    </w:p>
    <w:p w:rsidR="000A156F" w:rsidRDefault="00A9721F">
      <w:pPr>
        <w:pStyle w:val="Definition-Field"/>
      </w:pPr>
      <w:r>
        <w:t xml:space="preserve">a.   </w:t>
      </w:r>
      <w:r>
        <w:rPr>
          <w:i/>
        </w:rPr>
        <w:t xml:space="preserve">The standard states that the </w:t>
      </w:r>
      <w:r>
        <w:rPr>
          <w:i/>
        </w:rPr>
        <w:t>ideographEnclosedCircle numbering format specifies that the sequence shall consist of sequential numerical ideographs, using the appropriate character, as described below.</w:t>
      </w:r>
    </w:p>
    <w:p w:rsidR="000A156F" w:rsidRDefault="00A9721F">
      <w:pPr>
        <w:pStyle w:val="Definition-Field2"/>
      </w:pPr>
      <w:r>
        <w:t>Word encloses sequential numerical ideographs of this format in parentheses.</w:t>
      </w:r>
    </w:p>
    <w:p w:rsidR="000A156F" w:rsidRDefault="00A9721F">
      <w:pPr>
        <w:pStyle w:val="Definition-Field"/>
      </w:pPr>
      <w:r>
        <w:t xml:space="preserve">b.   </w:t>
      </w:r>
      <w:r>
        <w:rPr>
          <w:i/>
        </w:rPr>
        <w:t>Th</w:t>
      </w:r>
      <w:r>
        <w:rPr>
          <w:i/>
        </w:rPr>
        <w:t>e standard states that the hindiConsonants attribute specifies that the sequence shall consist of Hindi consonants, and that the hindiVowels attribute specifies that the sequence shall consist of Hindi vowels.</w:t>
      </w:r>
    </w:p>
    <w:p w:rsidR="000A156F" w:rsidRDefault="00A9721F">
      <w:pPr>
        <w:pStyle w:val="Definition-Field2"/>
      </w:pPr>
      <w:r>
        <w:t>Word uses the hindiConsonants attribute to spe</w:t>
      </w:r>
      <w:r>
        <w:t>cify that the sequence shall consist of Hindi vowels, and the hindiVowels attribute to specify that the sequence shall consist of Hindi consonants.</w:t>
      </w:r>
    </w:p>
    <w:p w:rsidR="000A156F" w:rsidRDefault="00A9721F">
      <w:pPr>
        <w:pStyle w:val="Definition-Field"/>
      </w:pPr>
      <w:r>
        <w:lastRenderedPageBreak/>
        <w:t xml:space="preserve">c.   </w:t>
      </w:r>
      <w:r>
        <w:rPr>
          <w:i/>
        </w:rPr>
        <w:t>The standard states for the aiueo and aiueoFullWidth enumeration values that a character should be repe</w:t>
      </w:r>
      <w:r>
        <w:rPr>
          <w:i/>
        </w:rPr>
        <w:t>ated for values above 46</w:t>
      </w:r>
    </w:p>
    <w:p w:rsidR="000A156F" w:rsidRDefault="00A9721F">
      <w:pPr>
        <w:pStyle w:val="Definition-Field2"/>
      </w:pPr>
      <w:r>
        <w:t>Word does not repeat any characters for values above 46, instead it simply starts at 1 again.</w:t>
      </w:r>
    </w:p>
    <w:p w:rsidR="000A156F" w:rsidRDefault="00A9721F">
      <w:pPr>
        <w:pStyle w:val="Definition-Field"/>
      </w:pPr>
      <w:r>
        <w:t xml:space="preserve">d.   </w:t>
      </w:r>
      <w:r>
        <w:rPr>
          <w:i/>
        </w:rPr>
        <w:t xml:space="preserve">The standard states that for the bahtText enumeration value, the application will use a sequence consisting of a numeric value from </w:t>
      </w:r>
      <w:r>
        <w:rPr>
          <w:i/>
        </w:rPr>
        <w:t>the Thai counting system.</w:t>
      </w:r>
    </w:p>
    <w:p w:rsidR="000A156F" w:rsidRDefault="00A9721F">
      <w:pPr>
        <w:pStyle w:val="Definition-Field2"/>
      </w:pPr>
      <w:r>
        <w:t>Word interprets the bahtText enumeration value as decimal.</w:t>
      </w:r>
    </w:p>
    <w:p w:rsidR="000A156F" w:rsidRDefault="00A9721F">
      <w:pPr>
        <w:pStyle w:val="Definition-Field"/>
      </w:pPr>
      <w:r>
        <w:t xml:space="preserve">e.   </w:t>
      </w:r>
      <w:r>
        <w:rPr>
          <w:i/>
        </w:rPr>
        <w:t>The standard states for the chineseCountingThousand enumeration value, if the sequence number is between 10,000 and 100,000 and no groups are formed, and the number i</w:t>
      </w:r>
      <w:r>
        <w:rPr>
          <w:i/>
        </w:rPr>
        <w:t>s not a multiple of 1,000, the symbol U+96F6 should be written.</w:t>
      </w:r>
    </w:p>
    <w:p w:rsidR="000A156F" w:rsidRDefault="00A9721F">
      <w:pPr>
        <w:pStyle w:val="Definition-Field2"/>
      </w:pPr>
      <w:r>
        <w:t>Word does not write out the symbol U+96F6.</w:t>
      </w:r>
    </w:p>
    <w:p w:rsidR="000A156F" w:rsidRDefault="00A9721F">
      <w:pPr>
        <w:pStyle w:val="Definition-Field"/>
      </w:pPr>
      <w:r>
        <w:t xml:space="preserve">f.   </w:t>
      </w:r>
      <w:r>
        <w:rPr>
          <w:i/>
        </w:rPr>
        <w:t xml:space="preserve">The standard states for aiueoFullWidth that character is written once and then written once and then written once and then repeated the number </w:t>
      </w:r>
      <w:r>
        <w:rPr>
          <w:i/>
        </w:rPr>
        <w:t>of times the size of the set was subtracted from the original value.</w:t>
      </w:r>
    </w:p>
    <w:p w:rsidR="000A156F" w:rsidRDefault="00A9721F">
      <w:pPr>
        <w:pStyle w:val="Definition-Field2"/>
      </w:pPr>
      <w:r>
        <w:t>Word writes the character once and then repeats it the number of times the size of the set was subtracted from the original value.</w:t>
      </w:r>
    </w:p>
    <w:p w:rsidR="000A156F" w:rsidRDefault="00A9721F">
      <w:pPr>
        <w:pStyle w:val="Definition-Field"/>
      </w:pPr>
      <w:r>
        <w:t xml:space="preserve">g.   </w:t>
      </w:r>
      <w:r>
        <w:rPr>
          <w:i/>
        </w:rPr>
        <w:t xml:space="preserve">The standard states for arabicAbjad that character </w:t>
      </w:r>
      <w:r>
        <w:rPr>
          <w:i/>
        </w:rPr>
        <w:t>is written once and then written once and then written once and then repeated the number of times the size of the set was subtracted from the original value.</w:t>
      </w:r>
    </w:p>
    <w:p w:rsidR="000A156F" w:rsidRDefault="00A9721F">
      <w:pPr>
        <w:pStyle w:val="Definition-Field2"/>
      </w:pPr>
      <w:r>
        <w:t>Word writes the character once and then repeats it the number of times the size of the set was sub</w:t>
      </w:r>
      <w:r>
        <w:t>tracted from the original value.</w:t>
      </w:r>
    </w:p>
    <w:p w:rsidR="000A156F" w:rsidRDefault="00A9721F">
      <w:pPr>
        <w:pStyle w:val="Definition-Field"/>
      </w:pPr>
      <w:r>
        <w:t xml:space="preserve">h.   </w:t>
      </w:r>
      <w:r>
        <w:rPr>
          <w:i/>
        </w:rPr>
        <w:t>The standard states that the arabicAlpha character is written once and then written once and then written once and then repeated the number of times the size of the set was subtracted from the original value.</w:t>
      </w:r>
    </w:p>
    <w:p w:rsidR="000A156F" w:rsidRDefault="00A9721F">
      <w:pPr>
        <w:pStyle w:val="Definition-Field2"/>
      </w:pPr>
      <w:r>
        <w:t>Word writ</w:t>
      </w:r>
      <w:r>
        <w:t>es the character once and then repeats it the number of times the size of the set was subtracted from the original value.</w:t>
      </w:r>
    </w:p>
    <w:p w:rsidR="000A156F" w:rsidRDefault="00A9721F">
      <w:pPr>
        <w:pStyle w:val="Definition-Field"/>
      </w:pPr>
      <w:r>
        <w:t xml:space="preserve">i.   </w:t>
      </w:r>
      <w:r>
        <w:rPr>
          <w:i/>
        </w:rPr>
        <w:t>The standard states for chicago that the character is written once and then written once and then repeated the number of times th</w:t>
      </w:r>
      <w:r>
        <w:rPr>
          <w:i/>
        </w:rPr>
        <w:t>e size of the set was subtracted from the original value.</w:t>
      </w:r>
    </w:p>
    <w:p w:rsidR="000A156F" w:rsidRDefault="00A9721F">
      <w:pPr>
        <w:pStyle w:val="Definition-Field2"/>
      </w:pPr>
      <w:r>
        <w:t>Word writes the character once and then repeats it the number of times the size of the set was subtracted from the original value.</w:t>
      </w:r>
    </w:p>
    <w:p w:rsidR="000A156F" w:rsidRDefault="00A9721F">
      <w:pPr>
        <w:pStyle w:val="Definition-Field"/>
      </w:pPr>
      <w:r>
        <w:t xml:space="preserve">j.   </w:t>
      </w:r>
      <w:r>
        <w:rPr>
          <w:i/>
        </w:rPr>
        <w:t>The standard does not specify a maximum value for cardinalText</w:t>
      </w:r>
      <w:r>
        <w:rPr>
          <w:i/>
        </w:rPr>
        <w:t>, chineseCountingThousand, chineseLegalSimplified, ideographLegalTraditional, japaneseCounting, koreanCounting, koreanDigital2, ordinalText, or taiwaneseCountingThousand.</w:t>
      </w:r>
    </w:p>
    <w:p w:rsidR="000A156F" w:rsidRDefault="00A9721F">
      <w:r>
        <w:t>Word does not write out anything for sequence numbers after 999,999 for cardinalText,</w:t>
      </w:r>
      <w:r>
        <w:t xml:space="preserve"> chineseCountingThousand, chineseLegalSimplified, ideographLegalTraditional, japaneseCounting, koreanCounting, koreanDigital2, ordinalText, or taiwaneseCountingThousand.</w:t>
      </w:r>
    </w:p>
    <w:p w:rsidR="000A156F" w:rsidRDefault="00A9721F">
      <w:pPr>
        <w:pStyle w:val="Definition-Field"/>
      </w:pPr>
      <w:r>
        <w:t xml:space="preserve">k.   </w:t>
      </w:r>
      <w:r>
        <w:rPr>
          <w:i/>
        </w:rPr>
        <w:t>The standard does not specify a maximum value beyond which behavior should change</w:t>
      </w:r>
      <w:r>
        <w:rPr>
          <w:i/>
        </w:rPr>
        <w:t xml:space="preserve"> for chicago.</w:t>
      </w:r>
    </w:p>
    <w:p w:rsidR="000A156F" w:rsidRDefault="00A9721F">
      <w:pPr>
        <w:pStyle w:val="Definition-Field2"/>
      </w:pPr>
      <w:r>
        <w:t>Word does not write out sequence numbers for chicago after 116.</w:t>
      </w:r>
    </w:p>
    <w:p w:rsidR="000A156F" w:rsidRDefault="00A9721F">
      <w:pPr>
        <w:pStyle w:val="Definition-Field"/>
      </w:pPr>
      <w:r>
        <w:t xml:space="preserve">l.   </w:t>
      </w:r>
      <w:r>
        <w:rPr>
          <w:i/>
        </w:rPr>
        <w:t>The standard does not specify a maximum value beyond which behavior should change for hexadecimal format.</w:t>
      </w:r>
    </w:p>
    <w:p w:rsidR="000A156F" w:rsidRDefault="00A9721F">
      <w:pPr>
        <w:pStyle w:val="Definition-Field2"/>
      </w:pPr>
      <w:r>
        <w:t>Word writes out nothing for sequence numbers after 65535 in hexadec</w:t>
      </w:r>
      <w:r>
        <w:t>imal format.</w:t>
      </w:r>
    </w:p>
    <w:p w:rsidR="000A156F" w:rsidRDefault="00A9721F">
      <w:pPr>
        <w:pStyle w:val="Definition-Field"/>
      </w:pPr>
      <w:r>
        <w:lastRenderedPageBreak/>
        <w:t xml:space="preserve">m.   </w:t>
      </w:r>
      <w:r>
        <w:rPr>
          <w:i/>
        </w:rPr>
        <w:t>The standard does not specify what to display for numbers above 9999 for japaneseDigitalTenThousand numbering styles.</w:t>
      </w:r>
    </w:p>
    <w:p w:rsidR="000A156F" w:rsidRDefault="00A9721F">
      <w:pPr>
        <w:pStyle w:val="Definition-Field2"/>
      </w:pPr>
      <w:r>
        <w:t>Word does not display anything for sequence numbers above 9999 for japaneseDigitalTenThousand numbering styles.</w:t>
      </w:r>
    </w:p>
    <w:p w:rsidR="000A156F" w:rsidRDefault="00A9721F">
      <w:pPr>
        <w:pStyle w:val="Definition-Field"/>
      </w:pPr>
      <w:r>
        <w:t xml:space="preserve">n.   </w:t>
      </w:r>
      <w:r>
        <w:rPr>
          <w:i/>
        </w:rPr>
        <w:t>The</w:t>
      </w:r>
      <w:r>
        <w:rPr>
          <w:i/>
        </w:rPr>
        <w:t xml:space="preserve"> standard does not specify a maximum value beyond which behavior should change for koreanLegal.</w:t>
      </w:r>
    </w:p>
    <w:p w:rsidR="000A156F" w:rsidRDefault="00A9721F">
      <w:pPr>
        <w:pStyle w:val="Definition-Field2"/>
      </w:pPr>
      <w:r>
        <w:t>Word does not write out anything for sequence numbers for koreanLegal after 9,999,999.</w:t>
      </w:r>
    </w:p>
    <w:p w:rsidR="000A156F" w:rsidRDefault="00A9721F">
      <w:pPr>
        <w:pStyle w:val="Definition-Field"/>
      </w:pPr>
      <w:r>
        <w:t xml:space="preserve">o.   </w:t>
      </w:r>
      <w:r>
        <w:rPr>
          <w:i/>
        </w:rPr>
        <w:t>The standard does not specify maximum display values.</w:t>
      </w:r>
    </w:p>
    <w:p w:rsidR="000A156F" w:rsidRDefault="00A9721F">
      <w:pPr>
        <w:pStyle w:val="Definition-Field2"/>
      </w:pPr>
      <w:r>
        <w:t xml:space="preserve">Word does not </w:t>
      </w:r>
      <w:r>
        <w:t>display values above 217483647.  In some cases Word will not display values above a lower value.</w:t>
      </w:r>
    </w:p>
    <w:p w:rsidR="000A156F" w:rsidRDefault="00A9721F">
      <w:pPr>
        <w:pStyle w:val="Definition-Field"/>
      </w:pPr>
      <w:r>
        <w:t xml:space="preserve">p.   </w:t>
      </w:r>
      <w:r>
        <w:rPr>
          <w:i/>
        </w:rPr>
        <w:t>The standard states that the set of characters used by the chineseLegalSimplified numbering format for values 1-10 starts with U+96F6.</w:t>
      </w:r>
    </w:p>
    <w:p w:rsidR="000A156F" w:rsidRDefault="00A9721F">
      <w:pPr>
        <w:pStyle w:val="Definition-Field2"/>
      </w:pPr>
      <w:r>
        <w:t>Word uses the set o</w:t>
      </w:r>
      <w:r>
        <w:t>f characters starting with u+96F6 for this numbering format for values 0-9.</w:t>
      </w:r>
    </w:p>
    <w:p w:rsidR="000A156F" w:rsidRDefault="00A9721F">
      <w:pPr>
        <w:pStyle w:val="Definition-Field"/>
      </w:pPr>
      <w:r>
        <w:t xml:space="preserve">q.   </w:t>
      </w:r>
      <w:r>
        <w:rPr>
          <w:i/>
        </w:rPr>
        <w:t>The standard specifies that the ten thousand symbol for chineseLegalSimplified is U+4E07.</w:t>
      </w:r>
    </w:p>
    <w:p w:rsidR="000A156F" w:rsidRDefault="00A9721F">
      <w:pPr>
        <w:pStyle w:val="Definition-Field2"/>
      </w:pPr>
      <w:r>
        <w:t>Word uses the codepoint U+842C to represent the ten thousand sequence number for chin</w:t>
      </w:r>
      <w:r>
        <w:t>eseLegalSimplified.</w:t>
      </w:r>
    </w:p>
    <w:p w:rsidR="000A156F" w:rsidRDefault="00A9721F">
      <w:pPr>
        <w:pStyle w:val="Definition-Field"/>
      </w:pPr>
      <w:r>
        <w:t xml:space="preserve">r.   </w:t>
      </w:r>
      <w:r>
        <w:rPr>
          <w:i/>
        </w:rPr>
        <w:t>The standard states for the chosung enumeration value that a character should be repeated for values above 14.</w:t>
      </w:r>
    </w:p>
    <w:p w:rsidR="000A156F" w:rsidRDefault="00A9721F">
      <w:pPr>
        <w:pStyle w:val="Definition-Field2"/>
      </w:pPr>
      <w:r>
        <w:t>Word does not repeat any characters for values above 14, instead it simply starts at 1 again.</w:t>
      </w:r>
    </w:p>
    <w:p w:rsidR="000A156F" w:rsidRDefault="00A9721F">
      <w:pPr>
        <w:pStyle w:val="Definition-Field"/>
      </w:pPr>
      <w:r>
        <w:t xml:space="preserve">s.   </w:t>
      </w:r>
      <w:r>
        <w:rPr>
          <w:i/>
        </w:rPr>
        <w:t>The standard states t</w:t>
      </w:r>
      <w:r>
        <w:rPr>
          <w:i/>
        </w:rPr>
        <w:t>hat decimalEnclosedCircleChinese is identical to decimalEnclosedCircle.</w:t>
      </w:r>
    </w:p>
    <w:p w:rsidR="000A156F" w:rsidRDefault="00A9721F">
      <w:pPr>
        <w:pStyle w:val="Definition-Field2"/>
      </w:pPr>
      <w:r>
        <w:t>Word uses only the first 10 characters from the same set as decimalEnclosedCircle to represent the numbers 1-10, and then falls back to decimal.</w:t>
      </w:r>
    </w:p>
    <w:p w:rsidR="000A156F" w:rsidRDefault="00A9721F">
      <w:pPr>
        <w:pStyle w:val="Definition-Field"/>
      </w:pPr>
      <w:r>
        <w:t xml:space="preserve">t.   </w:t>
      </w:r>
      <w:r>
        <w:rPr>
          <w:i/>
        </w:rPr>
        <w:t>The standards specifies a behavior</w:t>
      </w:r>
      <w:r>
        <w:rPr>
          <w:i/>
        </w:rPr>
        <w:t xml:space="preserve"> for the dollarText enum value.</w:t>
      </w:r>
    </w:p>
    <w:p w:rsidR="000A156F" w:rsidRDefault="00A9721F">
      <w:pPr>
        <w:pStyle w:val="Definition-Field2"/>
      </w:pPr>
      <w:r>
        <w:t>Word interprets the dollarText enum value as decimal.</w:t>
      </w:r>
    </w:p>
    <w:p w:rsidR="000A156F" w:rsidRDefault="00A9721F">
      <w:pPr>
        <w:pStyle w:val="Definition-Field"/>
      </w:pPr>
      <w:r>
        <w:t xml:space="preserve">u.   </w:t>
      </w:r>
      <w:r>
        <w:rPr>
          <w:i/>
        </w:rPr>
        <w:t>The standard states for the ganada enumeration value that a character should be repeated for values above 14</w:t>
      </w:r>
    </w:p>
    <w:p w:rsidR="000A156F" w:rsidRDefault="00A9721F">
      <w:pPr>
        <w:pStyle w:val="Definition-Field2"/>
      </w:pPr>
      <w:r>
        <w:t>Word does not repeat any characters for values above 14;</w:t>
      </w:r>
      <w:r>
        <w:t xml:space="preserve"> instead it simply restarts at 1.</w:t>
      </w:r>
    </w:p>
    <w:p w:rsidR="000A156F" w:rsidRDefault="00A9721F">
      <w:pPr>
        <w:pStyle w:val="Definition-Field"/>
      </w:pPr>
      <w:r>
        <w:t xml:space="preserve">v.   </w:t>
      </w:r>
      <w:r>
        <w:rPr>
          <w:i/>
        </w:rPr>
        <w:t>The standard specifies that for the ideographLegalTraditional enum value, the sequence number 3 is represented by the character U+53C3.</w:t>
      </w:r>
    </w:p>
    <w:p w:rsidR="000A156F" w:rsidRDefault="00A9721F">
      <w:pPr>
        <w:pStyle w:val="Definition-Field2"/>
      </w:pPr>
      <w:r>
        <w:t>Word uses the character U+53C1 to represent the sequence number 3.</w:t>
      </w:r>
    </w:p>
    <w:p w:rsidR="000A156F" w:rsidRDefault="00A9721F">
      <w:pPr>
        <w:pStyle w:val="Definition-Field"/>
      </w:pPr>
      <w:r>
        <w:t xml:space="preserve">w.   </w:t>
      </w:r>
      <w:r>
        <w:rPr>
          <w:i/>
        </w:rPr>
        <w:t>The stand</w:t>
      </w:r>
      <w:r>
        <w:rPr>
          <w:i/>
        </w:rPr>
        <w:t>ard specifies the set of characters used by arabicAbjad numbering format for values 1–28.</w:t>
      </w:r>
    </w:p>
    <w:p w:rsidR="000A156F" w:rsidRDefault="00A9721F">
      <w:pPr>
        <w:pStyle w:val="Definition-Field2"/>
      </w:pPr>
      <w:r>
        <w:t>Word adds the zero-width non-joiner character U+200C before every sequence number used by this numbering format.</w:t>
      </w:r>
    </w:p>
    <w:p w:rsidR="000A156F" w:rsidRDefault="00A9721F">
      <w:pPr>
        <w:pStyle w:val="Definition-Field"/>
      </w:pPr>
      <w:r>
        <w:t xml:space="preserve">x.   </w:t>
      </w:r>
      <w:r>
        <w:rPr>
          <w:i/>
        </w:rPr>
        <w:t>The standard specifies the set of characters use</w:t>
      </w:r>
      <w:r>
        <w:rPr>
          <w:i/>
        </w:rPr>
        <w:t>d by arabicAlpha numbering format for values 1–28.</w:t>
      </w:r>
    </w:p>
    <w:p w:rsidR="000A156F" w:rsidRDefault="00A9721F">
      <w:pPr>
        <w:pStyle w:val="Definition-Field2"/>
      </w:pPr>
      <w:r>
        <w:t>Word adds the zero-width non-joiner character U+200C after every sequence number used by this numbering format.</w:t>
      </w:r>
    </w:p>
    <w:p w:rsidR="000A156F" w:rsidRDefault="00A9721F">
      <w:pPr>
        <w:pStyle w:val="Definition-Field"/>
      </w:pPr>
      <w:r>
        <w:lastRenderedPageBreak/>
        <w:t xml:space="preserve">y.   </w:t>
      </w:r>
      <w:r>
        <w:rPr>
          <w:i/>
        </w:rPr>
        <w:t>The standard specifies the set of characters used by hebrew2 numbering format for values</w:t>
      </w:r>
      <w:r>
        <w:rPr>
          <w:i/>
        </w:rPr>
        <w:t xml:space="preserve"> 1–22.</w:t>
      </w:r>
    </w:p>
    <w:p w:rsidR="000A156F" w:rsidRDefault="00A9721F">
      <w:pPr>
        <w:pStyle w:val="Definition-Field2"/>
      </w:pPr>
      <w:r>
        <w:t>Word adds the RTL character U+200F before every sequence number used by this numbering format.</w:t>
      </w:r>
    </w:p>
    <w:p w:rsidR="000A156F" w:rsidRDefault="00A9721F">
      <w:pPr>
        <w:pStyle w:val="Definition-Field"/>
      </w:pPr>
      <w:r>
        <w:t xml:space="preserve">z.   </w:t>
      </w:r>
      <w:r>
        <w:rPr>
          <w:i/>
        </w:rPr>
        <w:t>The standard does not mention the usage of U+96F6 for ideographLegalTraditional.</w:t>
      </w:r>
    </w:p>
    <w:p w:rsidR="000A156F" w:rsidRDefault="00A9721F">
      <w:pPr>
        <w:pStyle w:val="Definition-Field2"/>
      </w:pPr>
      <w:r>
        <w:t xml:space="preserve">Word uses the same rule as chineseLegalSimplified to determine when </w:t>
      </w:r>
      <w:r>
        <w:t>to write out U+96F6.</w:t>
      </w:r>
    </w:p>
    <w:p w:rsidR="000A156F" w:rsidRDefault="00A9721F">
      <w:pPr>
        <w:pStyle w:val="Definition-Field"/>
      </w:pPr>
      <w:r>
        <w:t xml:space="preserve">aa.  </w:t>
      </w:r>
      <w:r>
        <w:rPr>
          <w:i/>
        </w:rPr>
        <w:t>The standard does not mention the usage of the character U+5104 in the japaneseLegal numbering.</w:t>
      </w:r>
    </w:p>
    <w:p w:rsidR="000A156F" w:rsidRDefault="00A9721F">
      <w:pPr>
        <w:pStyle w:val="Definition-Field2"/>
      </w:pPr>
      <w:r>
        <w:t>Word uses the character U+5104 when writing out the sequence numbers from 100,000,000 and above.</w:t>
      </w:r>
    </w:p>
    <w:p w:rsidR="000A156F" w:rsidRDefault="00A9721F">
      <w:pPr>
        <w:pStyle w:val="Definition-Field"/>
      </w:pPr>
      <w:r>
        <w:t xml:space="preserve">bb.  </w:t>
      </w:r>
      <w:r>
        <w:rPr>
          <w:i/>
        </w:rPr>
        <w:t>The standard does not specify an</w:t>
      </w:r>
      <w:r>
        <w:rPr>
          <w:i/>
        </w:rPr>
        <w:t>y other characters for sequence numbers above 100 for the koreanLegal numbering style.</w:t>
      </w:r>
    </w:p>
    <w:p w:rsidR="000A156F" w:rsidRDefault="00A9721F">
      <w:pPr>
        <w:pStyle w:val="Definition-Field2"/>
      </w:pPr>
      <w:r>
        <w:t>Word uses the procedure specified for koreanCounting numbering format to create sequence numbers for 100 and above.</w:t>
      </w:r>
    </w:p>
    <w:p w:rsidR="000A156F" w:rsidRDefault="00A9721F">
      <w:pPr>
        <w:pStyle w:val="Definition-Field"/>
      </w:pPr>
      <w:r>
        <w:t xml:space="preserve">cc.  </w:t>
      </w:r>
      <w:r>
        <w:rPr>
          <w:i/>
        </w:rPr>
        <w:t xml:space="preserve">The standard states that the sequence number is </w:t>
      </w:r>
      <w:r>
        <w:rPr>
          <w:i/>
        </w:rPr>
        <w:t>placed between two dashes.</w:t>
      </w:r>
    </w:p>
    <w:p w:rsidR="000A156F" w:rsidRDefault="00A9721F">
      <w:pPr>
        <w:pStyle w:val="Definition-Field2"/>
      </w:pPr>
      <w:r>
        <w:t>Word inserts spaces (U+0020) between the number and the two dashes for numberInDashes numbering formats.</w:t>
      </w:r>
    </w:p>
    <w:p w:rsidR="000A156F" w:rsidRDefault="00A9721F">
      <w:pPr>
        <w:pStyle w:val="Heading3"/>
      </w:pPr>
      <w:bookmarkStart w:id="1118" w:name="section_aedde12f31894c22b1363b7a6b93e574"/>
      <w:bookmarkStart w:id="1119" w:name="_Toc181683585"/>
      <w:r>
        <w:t>Part 1 Section 17.18.62, ST_PageBorderDisplay (Page Border Display Options)</w:t>
      </w:r>
      <w:bookmarkEnd w:id="1118"/>
      <w:bookmarkEnd w:id="1119"/>
      <w:r>
        <w:fldChar w:fldCharType="begin"/>
      </w:r>
      <w:r>
        <w:instrText xml:space="preserve"> XE "ST_PageBorderDisplay (Page Border Display Op</w:instrText>
      </w:r>
      <w:r>
        <w:instrText xml:space="preserve">tions)" </w:instrText>
      </w:r>
      <w:r>
        <w:fldChar w:fldCharType="end"/>
      </w:r>
    </w:p>
    <w:p w:rsidR="000A156F" w:rsidRDefault="00A9721F">
      <w:pPr>
        <w:pStyle w:val="Definition-Field"/>
      </w:pPr>
      <w:r>
        <w:t xml:space="preserve">a.   </w:t>
      </w:r>
      <w:r>
        <w:rPr>
          <w:i/>
        </w:rPr>
        <w:t>The standard states that the value notFirstPage specifies that the page border shall be displayed on only the first page in the parent section.</w:t>
      </w:r>
    </w:p>
    <w:p w:rsidR="000A156F" w:rsidRDefault="00A9721F">
      <w:pPr>
        <w:pStyle w:val="Definition-Field2"/>
      </w:pPr>
      <w:r>
        <w:t xml:space="preserve">Word uses this value to specify that the page border shall be displayed on all pages except the </w:t>
      </w:r>
      <w:r>
        <w:t>first page in the parent section.</w:t>
      </w:r>
    </w:p>
    <w:p w:rsidR="000A156F" w:rsidRDefault="00A9721F">
      <w:pPr>
        <w:pStyle w:val="Heading3"/>
      </w:pPr>
      <w:bookmarkStart w:id="1120" w:name="section_b21388bd37bf41f0b4b69c84e2d212ec"/>
      <w:bookmarkStart w:id="1121" w:name="_Toc181683586"/>
      <w:r>
        <w:t>Part 1 Section 17.18.68, ST_PointMeasure (Measurement in Points)</w:t>
      </w:r>
      <w:bookmarkEnd w:id="1120"/>
      <w:bookmarkEnd w:id="1121"/>
      <w:r>
        <w:fldChar w:fldCharType="begin"/>
      </w:r>
      <w:r>
        <w:instrText xml:space="preserve"> XE "ST_PointMeasure (Measurement in Points)" </w:instrText>
      </w:r>
      <w:r>
        <w:fldChar w:fldCharType="end"/>
      </w:r>
    </w:p>
    <w:p w:rsidR="000A156F" w:rsidRDefault="00A9721F">
      <w:pPr>
        <w:pStyle w:val="Definition-Field"/>
      </w:pPr>
      <w:r>
        <w:t xml:space="preserve">a.   </w:t>
      </w:r>
      <w:r>
        <w:rPr>
          <w:i/>
        </w:rPr>
        <w:t>The standard states that the contents of the ST_PointMeasure simple type are defined by the ST_UnsignedD</w:t>
      </w:r>
      <w:r>
        <w:rPr>
          <w:i/>
        </w:rPr>
        <w:t>ecimalNumber simple type.</w:t>
      </w:r>
    </w:p>
    <w:p w:rsidR="000A156F" w:rsidRDefault="00A9721F">
      <w:pPr>
        <w:pStyle w:val="Definition-Field2"/>
      </w:pPr>
      <w:r>
        <w:t>Word restricts the contents of this simple type to be at least 0 and at most 31.</w:t>
      </w:r>
    </w:p>
    <w:p w:rsidR="000A156F" w:rsidRDefault="00A9721F">
      <w:pPr>
        <w:pStyle w:val="Heading3"/>
      </w:pPr>
      <w:bookmarkStart w:id="1122" w:name="section_2b440ff26db44035a578a0813d85890f"/>
      <w:bookmarkStart w:id="1123" w:name="_Toc181683587"/>
      <w:r>
        <w:t>Part 1 Section 17.18.70, ST_ProofErr (Proofing Error Type)</w:t>
      </w:r>
      <w:bookmarkEnd w:id="1122"/>
      <w:bookmarkEnd w:id="1123"/>
      <w:r>
        <w:fldChar w:fldCharType="begin"/>
      </w:r>
      <w:r>
        <w:instrText xml:space="preserve"> XE "ST_ProofErr (Proofing Error Type)" </w:instrText>
      </w:r>
      <w:r>
        <w:fldChar w:fldCharType="end"/>
      </w:r>
    </w:p>
    <w:p w:rsidR="000A156F" w:rsidRDefault="00A9721F">
      <w:pPr>
        <w:pStyle w:val="Definition-Field"/>
      </w:pPr>
      <w:r>
        <w:t xml:space="preserve">a.   </w:t>
      </w:r>
      <w:r>
        <w:rPr>
          <w:i/>
        </w:rPr>
        <w:t>The standard states that the gramStart attr</w:t>
      </w:r>
      <w:r>
        <w:rPr>
          <w:i/>
        </w:rPr>
        <w:t>ibute indicates the end of a grammatical error and the gramEnd attribute indicates the start of a grammatical error.</w:t>
      </w:r>
    </w:p>
    <w:p w:rsidR="000A156F" w:rsidRDefault="00A9721F">
      <w:pPr>
        <w:pStyle w:val="Definition-Field2"/>
      </w:pPr>
      <w:r>
        <w:t>Word uses the gramStart attribute to indicate the start of a grammatical error and the gramEnd attribute to indicate the end of a grammatic</w:t>
      </w:r>
      <w:r>
        <w:t>al error.</w:t>
      </w:r>
    </w:p>
    <w:p w:rsidR="000A156F" w:rsidRDefault="00A9721F">
      <w:pPr>
        <w:pStyle w:val="Heading3"/>
      </w:pPr>
      <w:bookmarkStart w:id="1124" w:name="section_efc29c4359ea4dfdb4f82ca25fd436f8"/>
      <w:bookmarkStart w:id="1125" w:name="_Toc181683588"/>
      <w:r>
        <w:t>Part 1 Section 17.18.75, ST_RubyAlign (Phonetic Guide Text Alignment)</w:t>
      </w:r>
      <w:bookmarkEnd w:id="1124"/>
      <w:bookmarkEnd w:id="1125"/>
      <w:r>
        <w:fldChar w:fldCharType="begin"/>
      </w:r>
      <w:r>
        <w:instrText xml:space="preserve"> XE "ST_RubyAlign (Phonetic Guide Text Alignment)" </w:instrText>
      </w:r>
      <w:r>
        <w:fldChar w:fldCharType="end"/>
      </w:r>
    </w:p>
    <w:p w:rsidR="000A156F" w:rsidRDefault="00A9721F">
      <w:pPr>
        <w:pStyle w:val="Definition-Field"/>
      </w:pPr>
      <w:r>
        <w:t xml:space="preserve">a.   </w:t>
      </w:r>
      <w:r>
        <w:rPr>
          <w:i/>
        </w:rPr>
        <w:t xml:space="preserve">The standard states that for the left enumeration value ruby text will be aligned left and for the right enumeration </w:t>
      </w:r>
      <w:r>
        <w:rPr>
          <w:i/>
        </w:rPr>
        <w:t>value ruby text will be aligned right.</w:t>
      </w:r>
    </w:p>
    <w:p w:rsidR="000A156F" w:rsidRDefault="00A9721F">
      <w:pPr>
        <w:pStyle w:val="Definition-Field2"/>
      </w:pPr>
      <w:r>
        <w:t>Word changes left to right and left to right when the run layout is right-to-left.</w:t>
      </w:r>
    </w:p>
    <w:p w:rsidR="000A156F" w:rsidRDefault="00A9721F">
      <w:pPr>
        <w:pStyle w:val="Heading3"/>
      </w:pPr>
      <w:bookmarkStart w:id="1126" w:name="section_e4664ccd36da4383a13c3d5df57ed188"/>
      <w:bookmarkStart w:id="1127" w:name="_Toc181683589"/>
      <w:r>
        <w:lastRenderedPageBreak/>
        <w:t>Part 1 Section 17.18.78, ST_Shd (Shading Patterns)</w:t>
      </w:r>
      <w:bookmarkEnd w:id="1126"/>
      <w:bookmarkEnd w:id="1127"/>
      <w:r>
        <w:fldChar w:fldCharType="begin"/>
      </w:r>
      <w:r>
        <w:instrText xml:space="preserve"> XE "ST_Shd (Shading Patterns)" </w:instrText>
      </w:r>
      <w:r>
        <w:fldChar w:fldCharType="end"/>
      </w:r>
    </w:p>
    <w:p w:rsidR="000A156F" w:rsidRDefault="00A9721F">
      <w:pPr>
        <w:pStyle w:val="Definition-Field"/>
      </w:pPr>
      <w:r>
        <w:t xml:space="preserve">a.   </w:t>
      </w:r>
      <w:r>
        <w:rPr>
          <w:i/>
        </w:rPr>
        <w:t xml:space="preserve">The standard specifies an enumeration value </w:t>
      </w:r>
      <w:r>
        <w:rPr>
          <w:i/>
        </w:rPr>
        <w:t>"nil" with the same meaning as clear.</w:t>
      </w:r>
    </w:p>
    <w:p w:rsidR="000A156F" w:rsidRDefault="00A9721F">
      <w:pPr>
        <w:pStyle w:val="Definition-Field2"/>
      </w:pPr>
      <w:r>
        <w:t>Word ignores value "nil" when used to specify properties of a paragraph or a run of text. Word treats the value "nil" as equivalent to not specifying shading when it is used to specify properties of a table, cell, or r</w:t>
      </w:r>
      <w:r>
        <w:t>ow.</w:t>
      </w:r>
    </w:p>
    <w:p w:rsidR="000A156F" w:rsidRDefault="00A9721F">
      <w:pPr>
        <w:pStyle w:val="Heading3"/>
      </w:pPr>
      <w:bookmarkStart w:id="1128" w:name="section_ec90ea290277451c89455d04dd0db08a"/>
      <w:bookmarkStart w:id="1129" w:name="_Toc181683590"/>
      <w:r>
        <w:t>Part 1 Section 17.18.80, ST_SignedHpsMeasure (Signed Measurement in Half-Points)</w:t>
      </w:r>
      <w:bookmarkEnd w:id="1128"/>
      <w:bookmarkEnd w:id="1129"/>
      <w:r>
        <w:fldChar w:fldCharType="begin"/>
      </w:r>
      <w:r>
        <w:instrText xml:space="preserve"> XE "ST_SignedHpsMeasure (Signed Measurement in Half-Points)" </w:instrText>
      </w:r>
      <w:r>
        <w:fldChar w:fldCharType="end"/>
      </w:r>
    </w:p>
    <w:p w:rsidR="000A156F" w:rsidRDefault="00A9721F">
      <w:pPr>
        <w:pStyle w:val="Definition-Field"/>
      </w:pPr>
      <w:r>
        <w:t xml:space="preserve">a.   </w:t>
      </w:r>
      <w:r>
        <w:rPr>
          <w:i/>
        </w:rPr>
        <w:t>The standard states that ST_SignedHpsMeasure allows unbounded integers.</w:t>
      </w:r>
    </w:p>
    <w:p w:rsidR="000A156F" w:rsidRDefault="00A9721F">
      <w:pPr>
        <w:pStyle w:val="Definition-Field2"/>
      </w:pPr>
      <w:r>
        <w:t xml:space="preserve">Word only reads 32-bit </w:t>
      </w:r>
      <w:r>
        <w:t>integers for ST_SignedHpsMeasure.</w:t>
      </w:r>
    </w:p>
    <w:p w:rsidR="000A156F" w:rsidRDefault="00A9721F">
      <w:pPr>
        <w:pStyle w:val="Heading3"/>
      </w:pPr>
      <w:bookmarkStart w:id="1130" w:name="section_5bc2ab7004c742d89784bf7101866b87"/>
      <w:bookmarkStart w:id="1131" w:name="_Toc181683591"/>
      <w:r>
        <w:t>Part 1 Section 17.18.81, ST_SignedTwipsMeasure (Signed Measurement in Twentieths of a Point)</w:t>
      </w:r>
      <w:bookmarkEnd w:id="1130"/>
      <w:bookmarkEnd w:id="1131"/>
      <w:r>
        <w:fldChar w:fldCharType="begin"/>
      </w:r>
      <w:r>
        <w:instrText xml:space="preserve"> XE "ST_SignedTwipsMeasure (Signed Measurement in Twentieths of a Point)" </w:instrText>
      </w:r>
      <w:r>
        <w:fldChar w:fldCharType="end"/>
      </w:r>
    </w:p>
    <w:p w:rsidR="000A156F" w:rsidRDefault="00A9721F">
      <w:pPr>
        <w:pStyle w:val="Definition-Field"/>
      </w:pPr>
      <w:r>
        <w:t xml:space="preserve">a.   </w:t>
      </w:r>
      <w:r>
        <w:rPr>
          <w:i/>
        </w:rPr>
        <w:t>The standard states that ST_SignedTwipsMeasure a</w:t>
      </w:r>
      <w:r>
        <w:rPr>
          <w:i/>
        </w:rPr>
        <w:t>llows unbounded integers.</w:t>
      </w:r>
    </w:p>
    <w:p w:rsidR="000A156F" w:rsidRDefault="00A9721F">
      <w:pPr>
        <w:pStyle w:val="Definition-Field2"/>
      </w:pPr>
      <w:r>
        <w:t>Word only reads 32-bit integers for ST_SignedTwipsMeasure.</w:t>
      </w:r>
    </w:p>
    <w:p w:rsidR="000A156F" w:rsidRDefault="00A9721F">
      <w:pPr>
        <w:pStyle w:val="Heading3"/>
      </w:pPr>
      <w:bookmarkStart w:id="1132" w:name="section_5c5c4a0a02ba44d7a0f2c101221ce4a8"/>
      <w:bookmarkStart w:id="1133" w:name="_Toc181683592"/>
      <w:r>
        <w:t>Part 1 Section 17.18.84, ST_TabJc (Custom Tab Stop Type)</w:t>
      </w:r>
      <w:bookmarkEnd w:id="1132"/>
      <w:bookmarkEnd w:id="1133"/>
      <w:r>
        <w:fldChar w:fldCharType="begin"/>
      </w:r>
      <w:r>
        <w:instrText xml:space="preserve"> XE "ST_TabJc (Custom Tab Stop Type)" </w:instrText>
      </w:r>
      <w:r>
        <w:fldChar w:fldCharType="end"/>
      </w:r>
    </w:p>
    <w:p w:rsidR="000A156F" w:rsidRDefault="00A9721F">
      <w:pPr>
        <w:pStyle w:val="Definition-Field"/>
      </w:pPr>
      <w:r>
        <w:t xml:space="preserve">a.   </w:t>
      </w:r>
      <w:r>
        <w:rPr>
          <w:i/>
        </w:rPr>
        <w:t>The standard states that the decimal value specifies that the current</w:t>
      </w:r>
      <w:r>
        <w:rPr>
          <w:i/>
        </w:rPr>
        <w:t xml:space="preserve"> tab stop shall result in a location in the document where all following text is aligned around the first decimal character in the following text runs.</w:t>
      </w:r>
    </w:p>
    <w:p w:rsidR="000A156F" w:rsidRDefault="00A9721F">
      <w:pPr>
        <w:pStyle w:val="Definition-Field2"/>
      </w:pPr>
      <w:r>
        <w:t>In Word, if the value is decimal, the tab stop results in a location in the document where all following</w:t>
      </w:r>
      <w:r>
        <w:t xml:space="preserve"> text is aligned around the first decimal separator in the following text runs.</w:t>
      </w:r>
    </w:p>
    <w:p w:rsidR="000A156F" w:rsidRDefault="00A9721F">
      <w:pPr>
        <w:pStyle w:val="Definition-Field"/>
      </w:pPr>
      <w:r>
        <w:t xml:space="preserve">b.   </w:t>
      </w:r>
      <w:r>
        <w:rPr>
          <w:i/>
        </w:rPr>
        <w:t>The standard does not state how to interpret the decimal attribute if there is no decimal separator.</w:t>
      </w:r>
    </w:p>
    <w:p w:rsidR="000A156F" w:rsidRDefault="00A9721F">
      <w:pPr>
        <w:pStyle w:val="Definition-Field2"/>
      </w:pPr>
      <w:r>
        <w:t xml:space="preserve">Word aligns text around the implicit decimal separator after the last </w:t>
      </w:r>
      <w:r>
        <w:t>digit of the first numerical value appearing in the following text if there is no decimal separator.</w:t>
      </w:r>
    </w:p>
    <w:p w:rsidR="000A156F" w:rsidRDefault="00A9721F">
      <w:pPr>
        <w:pStyle w:val="Definition-Field"/>
      </w:pPr>
      <w:r>
        <w:t xml:space="preserve">c.   </w:t>
      </w:r>
      <w:r>
        <w:rPr>
          <w:i/>
        </w:rPr>
        <w:t>The standard does not list "left" or "right" as valid values for the val attribute.</w:t>
      </w:r>
    </w:p>
    <w:p w:rsidR="000A156F" w:rsidRDefault="00A9721F">
      <w:pPr>
        <w:pStyle w:val="Definition-Field2"/>
      </w:pPr>
      <w:r>
        <w:t xml:space="preserve">Word treats a value of "left" as if it were "start".  Word treats </w:t>
      </w:r>
      <w:r>
        <w:t>a value of "right" as if it were "end".</w:t>
      </w:r>
    </w:p>
    <w:p w:rsidR="000A156F" w:rsidRDefault="00A9721F">
      <w:pPr>
        <w:pStyle w:val="Definition-Field"/>
      </w:pPr>
      <w:r>
        <w:t xml:space="preserve">d.   </w:t>
      </w:r>
      <w:r>
        <w:rPr>
          <w:i/>
        </w:rPr>
        <w:t>The standard does not describe the behavior when a table cell contains a single decimal tab stop.</w:t>
      </w:r>
    </w:p>
    <w:p w:rsidR="000A156F" w:rsidRDefault="00A9721F">
      <w:pPr>
        <w:pStyle w:val="Definition-Field2"/>
      </w:pPr>
      <w:r>
        <w:t>Word will insert an implicit tab into the table cell when there is a single decimal tab stop, which results in th</w:t>
      </w:r>
      <w:r>
        <w:t>e content being aligned to the decimal tab stop automatically.</w:t>
      </w:r>
    </w:p>
    <w:p w:rsidR="000A156F" w:rsidRDefault="00A9721F">
      <w:pPr>
        <w:pStyle w:val="Heading3"/>
      </w:pPr>
      <w:bookmarkStart w:id="1134" w:name="section_3359ff85c4234b9dbe78d1cf96f79486"/>
      <w:bookmarkStart w:id="1135" w:name="_Toc181683593"/>
      <w:r>
        <w:t>Part 1 Section 17.18.89, ST_TblStyleOverrideType (Conditional Table Style Formatting Types)</w:t>
      </w:r>
      <w:bookmarkEnd w:id="1134"/>
      <w:bookmarkEnd w:id="1135"/>
      <w:r>
        <w:fldChar w:fldCharType="begin"/>
      </w:r>
      <w:r>
        <w:instrText xml:space="preserve"> XE "ST_TblStyleOverrideType (Conditional Table Style Formatting Types)" </w:instrText>
      </w:r>
      <w:r>
        <w:fldChar w:fldCharType="end"/>
      </w:r>
    </w:p>
    <w:p w:rsidR="000A156F" w:rsidRDefault="00A9721F">
      <w:pPr>
        <w:pStyle w:val="Definition-Field"/>
      </w:pPr>
      <w:r>
        <w:t xml:space="preserve">a.   </w:t>
      </w:r>
      <w:r>
        <w:rPr>
          <w:i/>
        </w:rPr>
        <w:t>The standard states t</w:t>
      </w:r>
      <w:r>
        <w:rPr>
          <w:i/>
        </w:rPr>
        <w:t>hat a value of "wholeTable" for the "type" attribute specifies that the given conditional formatting applies to the entire table.</w:t>
      </w:r>
    </w:p>
    <w:p w:rsidR="000A156F" w:rsidRDefault="00A9721F">
      <w:pPr>
        <w:pStyle w:val="Definition-Field2"/>
      </w:pPr>
      <w:r>
        <w:t>Word does not apply and discards on save any properties within the tblStylePr ("</w:t>
      </w:r>
      <w:hyperlink r:id="rId120">
        <w:r>
          <w:rPr>
            <w:rStyle w:val="Hyperlink"/>
          </w:rPr>
          <w:t>[ISO/IEC-29500-1]</w:t>
        </w:r>
      </w:hyperlink>
      <w:r>
        <w:t xml:space="preserve"> §17.7.6.6; tblStylePr") element when the "type" attribute has a value of "wholeTable".</w:t>
      </w:r>
    </w:p>
    <w:p w:rsidR="000A156F" w:rsidRDefault="00A9721F">
      <w:pPr>
        <w:pStyle w:val="Heading3"/>
      </w:pPr>
      <w:bookmarkStart w:id="1136" w:name="section_ad8ec7f973a341aab193562caeda1103"/>
      <w:bookmarkStart w:id="1137" w:name="_Toc181683594"/>
      <w:r>
        <w:lastRenderedPageBreak/>
        <w:t>Part 1 Section 17.18.93, ST_TextDirection (Text Flow Direction)</w:t>
      </w:r>
      <w:bookmarkEnd w:id="1136"/>
      <w:bookmarkEnd w:id="1137"/>
      <w:r>
        <w:fldChar w:fldCharType="begin"/>
      </w:r>
      <w:r>
        <w:instrText xml:space="preserve"> XE "ST_TextDirection (Text Flow Direction)" </w:instrText>
      </w:r>
      <w:r>
        <w:fldChar w:fldCharType="end"/>
      </w:r>
    </w:p>
    <w:p w:rsidR="000A156F" w:rsidRDefault="00A9721F">
      <w:pPr>
        <w:pStyle w:val="Definition-Field"/>
      </w:pPr>
      <w:r>
        <w:t xml:space="preserve">a.   </w:t>
      </w:r>
      <w:r>
        <w:rPr>
          <w:i/>
        </w:rPr>
        <w:t>The standard st</w:t>
      </w:r>
      <w:r>
        <w:rPr>
          <w:i/>
        </w:rPr>
        <w:t>ates that tbLrV orients lines from top to bottom, left to right and tbRlV orients lines from top to bottom, right to left.</w:t>
      </w:r>
    </w:p>
    <w:p w:rsidR="000A156F" w:rsidRDefault="00A9721F">
      <w:r>
        <w:t>The standard states:</w:t>
      </w:r>
    </w:p>
    <w:tbl>
      <w:tblPr>
        <w:tblStyle w:val="Table-ShadedHeader"/>
        <w:tblW w:w="0" w:type="auto"/>
        <w:tblLook w:val="04A0" w:firstRow="1" w:lastRow="0" w:firstColumn="1" w:lastColumn="0" w:noHBand="0" w:noVBand="1"/>
      </w:tblPr>
      <w:tblGrid>
        <w:gridCol w:w="4162"/>
        <w:gridCol w:w="278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btLr</w:t>
            </w:r>
            <w:r>
              <w:t xml:space="preserve"> (Lines Flow From Left to Right)</w:t>
            </w:r>
          </w:p>
        </w:tc>
        <w:tc>
          <w:tcPr>
            <w:tcW w:w="0" w:type="auto"/>
            <w:vAlign w:val="center"/>
          </w:tcPr>
          <w:p w:rsidR="000A156F" w:rsidRDefault="00A9721F">
            <w:pPr>
              <w:pStyle w:val="TableBodyText"/>
            </w:pPr>
            <w:r>
              <w:t xml:space="preserve">Semantically equivalent to </w:t>
            </w:r>
            <w:r>
              <w:rPr>
                <w:b/>
              </w:rPr>
              <w:t>lr</w:t>
            </w:r>
            <w:r>
              <w:t>.</w:t>
            </w:r>
          </w:p>
        </w:tc>
      </w:tr>
      <w:tr w:rsidR="000A156F" w:rsidTr="000A156F">
        <w:tc>
          <w:tcPr>
            <w:tcW w:w="0" w:type="auto"/>
            <w:vAlign w:val="center"/>
          </w:tcPr>
          <w:p w:rsidR="000A156F" w:rsidRDefault="00A9721F">
            <w:pPr>
              <w:pStyle w:val="TableBodyText"/>
            </w:pPr>
            <w:r>
              <w:rPr>
                <w:b/>
              </w:rPr>
              <w:t>lrTb</w:t>
            </w:r>
            <w:r>
              <w:t xml:space="preserve"> (Lines Flow From Top to Bottom)</w:t>
            </w:r>
          </w:p>
        </w:tc>
        <w:tc>
          <w:tcPr>
            <w:tcW w:w="0" w:type="auto"/>
            <w:vAlign w:val="center"/>
          </w:tcPr>
          <w:p w:rsidR="000A156F" w:rsidRDefault="00A9721F">
            <w:pPr>
              <w:pStyle w:val="TableBodyText"/>
            </w:pPr>
            <w:r>
              <w:t xml:space="preserve">Semantically equivalent to </w:t>
            </w:r>
            <w:r>
              <w:rPr>
                <w:b/>
              </w:rPr>
              <w:t>tb</w:t>
            </w:r>
            <w:r>
              <w:t>.</w:t>
            </w:r>
          </w:p>
        </w:tc>
      </w:tr>
      <w:tr w:rsidR="000A156F" w:rsidTr="000A156F">
        <w:tc>
          <w:tcPr>
            <w:tcW w:w="0" w:type="auto"/>
            <w:vAlign w:val="center"/>
          </w:tcPr>
          <w:p w:rsidR="000A156F" w:rsidRDefault="00A9721F">
            <w:pPr>
              <w:pStyle w:val="TableBodyText"/>
            </w:pPr>
            <w:r>
              <w:rPr>
                <w:b/>
              </w:rPr>
              <w:t>lrTbV</w:t>
            </w:r>
            <w:r>
              <w:t xml:space="preserve"> (Lines Flow From Top to Bottom, Rotated)</w:t>
            </w:r>
          </w:p>
        </w:tc>
        <w:tc>
          <w:tcPr>
            <w:tcW w:w="0" w:type="auto"/>
            <w:vAlign w:val="center"/>
          </w:tcPr>
          <w:p w:rsidR="000A156F" w:rsidRDefault="00A9721F">
            <w:pPr>
              <w:pStyle w:val="TableBodyText"/>
            </w:pPr>
            <w:r>
              <w:t xml:space="preserve">Semantically equivalent to </w:t>
            </w:r>
            <w:r>
              <w:rPr>
                <w:b/>
              </w:rPr>
              <w:t>tbV</w:t>
            </w:r>
            <w:r>
              <w:t>.</w:t>
            </w:r>
          </w:p>
        </w:tc>
      </w:tr>
      <w:tr w:rsidR="000A156F" w:rsidTr="000A156F">
        <w:tc>
          <w:tcPr>
            <w:tcW w:w="0" w:type="auto"/>
            <w:vAlign w:val="center"/>
          </w:tcPr>
          <w:p w:rsidR="000A156F" w:rsidRDefault="00A9721F">
            <w:pPr>
              <w:pStyle w:val="TableBodyText"/>
            </w:pPr>
            <w:r>
              <w:rPr>
                <w:b/>
              </w:rPr>
              <w:t>tbLrV</w:t>
            </w:r>
            <w:r>
              <w:t xml:space="preserve"> (Lines Flow From Left to Right, Rotated)</w:t>
            </w:r>
          </w:p>
        </w:tc>
        <w:tc>
          <w:tcPr>
            <w:tcW w:w="0" w:type="auto"/>
            <w:vAlign w:val="center"/>
          </w:tcPr>
          <w:p w:rsidR="000A156F" w:rsidRDefault="00A9721F">
            <w:pPr>
              <w:pStyle w:val="TableBodyText"/>
            </w:pPr>
            <w:r>
              <w:t xml:space="preserve">Semantically equivalent to </w:t>
            </w:r>
            <w:r>
              <w:rPr>
                <w:b/>
              </w:rPr>
              <w:t>lrV</w:t>
            </w:r>
            <w:r>
              <w:t>.</w:t>
            </w:r>
          </w:p>
        </w:tc>
      </w:tr>
      <w:tr w:rsidR="000A156F" w:rsidTr="000A156F">
        <w:tc>
          <w:tcPr>
            <w:tcW w:w="0" w:type="auto"/>
            <w:vAlign w:val="center"/>
          </w:tcPr>
          <w:p w:rsidR="000A156F" w:rsidRDefault="00A9721F">
            <w:pPr>
              <w:pStyle w:val="TableBodyText"/>
            </w:pPr>
            <w:r>
              <w:rPr>
                <w:b/>
              </w:rPr>
              <w:t>tbRl</w:t>
            </w:r>
            <w:r>
              <w:t xml:space="preserve"> (Lines Flow From Right to </w:t>
            </w:r>
            <w:r>
              <w:t>Left)</w:t>
            </w:r>
          </w:p>
        </w:tc>
        <w:tc>
          <w:tcPr>
            <w:tcW w:w="0" w:type="auto"/>
            <w:vAlign w:val="center"/>
          </w:tcPr>
          <w:p w:rsidR="000A156F" w:rsidRDefault="00A9721F">
            <w:pPr>
              <w:pStyle w:val="TableBodyText"/>
            </w:pPr>
            <w:r>
              <w:t xml:space="preserve">Semantically equivalent to </w:t>
            </w:r>
            <w:r>
              <w:rPr>
                <w:b/>
              </w:rPr>
              <w:t>rl</w:t>
            </w:r>
            <w:r>
              <w:t>.</w:t>
            </w:r>
          </w:p>
        </w:tc>
      </w:tr>
      <w:tr w:rsidR="000A156F" w:rsidTr="000A156F">
        <w:tc>
          <w:tcPr>
            <w:tcW w:w="0" w:type="auto"/>
            <w:vAlign w:val="center"/>
          </w:tcPr>
          <w:p w:rsidR="000A156F" w:rsidRDefault="00A9721F">
            <w:pPr>
              <w:pStyle w:val="TableBodyText"/>
            </w:pPr>
            <w:r>
              <w:rPr>
                <w:b/>
              </w:rPr>
              <w:t>tbRlV</w:t>
            </w:r>
            <w:r>
              <w:t xml:space="preserve"> (Lines Flow From Left to Right, Rotated)</w:t>
            </w:r>
          </w:p>
        </w:tc>
        <w:tc>
          <w:tcPr>
            <w:tcW w:w="0" w:type="auto"/>
            <w:vAlign w:val="center"/>
          </w:tcPr>
          <w:p w:rsidR="000A156F" w:rsidRDefault="00A9721F">
            <w:pPr>
              <w:pStyle w:val="TableBodyText"/>
            </w:pPr>
            <w:r>
              <w:t xml:space="preserve">Semantically equivalent to </w:t>
            </w:r>
            <w:r>
              <w:rPr>
                <w:b/>
              </w:rPr>
              <w:t>lrV</w:t>
            </w:r>
            <w:r>
              <w:t>.</w:t>
            </w:r>
          </w:p>
        </w:tc>
      </w:tr>
    </w:tbl>
    <w:p w:rsidR="000A156F" w:rsidRDefault="000A156F"/>
    <w:p w:rsidR="000A156F" w:rsidRDefault="00A9721F">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btLr</w:t>
            </w:r>
            <w:r>
              <w:t xml:space="preserve"> (Bottom to Top, Left to Right)</w:t>
            </w:r>
          </w:p>
        </w:tc>
        <w:tc>
          <w:tcPr>
            <w:tcW w:w="0" w:type="auto"/>
            <w:vAlign w:val="center"/>
          </w:tcPr>
          <w:p w:rsidR="000A156F" w:rsidRDefault="00A9721F">
            <w:pPr>
              <w:pStyle w:val="TableBodyText"/>
            </w:pPr>
            <w:r>
              <w:t>Specifies that text in the parent object shall flow from bottom to top vertically, then from left to right horizontally on the page.</w:t>
            </w:r>
          </w:p>
          <w:p w:rsidR="000A156F" w:rsidRDefault="000A156F">
            <w:pPr>
              <w:pStyle w:val="TableBodyText"/>
            </w:pPr>
          </w:p>
          <w:p w:rsidR="000A156F" w:rsidRDefault="00A9721F">
            <w:pPr>
              <w:pStyle w:val="TableBodyText"/>
            </w:pPr>
            <w:r>
              <w:t>This means that vertical lines are filled before the text expands horizontally.</w:t>
            </w:r>
          </w:p>
        </w:tc>
      </w:tr>
      <w:tr w:rsidR="000A156F" w:rsidTr="000A156F">
        <w:tc>
          <w:tcPr>
            <w:tcW w:w="0" w:type="auto"/>
            <w:vAlign w:val="center"/>
          </w:tcPr>
          <w:p w:rsidR="000A156F" w:rsidRDefault="00A9721F">
            <w:pPr>
              <w:pStyle w:val="TableBodyText"/>
            </w:pPr>
            <w:r>
              <w:rPr>
                <w:b/>
              </w:rPr>
              <w:t>lrTb</w:t>
            </w:r>
            <w:r>
              <w:t xml:space="preserve"> (Lef</w:t>
            </w:r>
            <w:r>
              <w:t>t to Right, Top to Bottom)</w:t>
            </w:r>
          </w:p>
        </w:tc>
        <w:tc>
          <w:tcPr>
            <w:tcW w:w="0" w:type="auto"/>
            <w:vAlign w:val="center"/>
          </w:tcPr>
          <w:p w:rsidR="000A156F" w:rsidRDefault="00A9721F">
            <w:pPr>
              <w:pStyle w:val="TableBodyText"/>
            </w:pPr>
            <w:r>
              <w:t>Specifies that text in the parent object shall flow from left to right horizontally, then top to bottom vertically on the page.</w:t>
            </w:r>
          </w:p>
          <w:p w:rsidR="000A156F" w:rsidRDefault="000A156F">
            <w:pPr>
              <w:pStyle w:val="TableBodyText"/>
            </w:pPr>
          </w:p>
          <w:p w:rsidR="000A156F" w:rsidRDefault="00A9721F">
            <w:pPr>
              <w:pStyle w:val="TableBodyText"/>
            </w:pPr>
            <w:r>
              <w:t>This means that horizontal lines are filled before the text expands vertically.</w:t>
            </w:r>
          </w:p>
        </w:tc>
      </w:tr>
      <w:tr w:rsidR="000A156F" w:rsidTr="000A156F">
        <w:tc>
          <w:tcPr>
            <w:tcW w:w="0" w:type="auto"/>
            <w:vAlign w:val="center"/>
          </w:tcPr>
          <w:p w:rsidR="000A156F" w:rsidRDefault="00A9721F">
            <w:pPr>
              <w:pStyle w:val="TableBodyText"/>
            </w:pPr>
            <w:r>
              <w:rPr>
                <w:b/>
              </w:rPr>
              <w:t>lrTbV</w:t>
            </w:r>
            <w:r>
              <w:t xml:space="preserve"> (Left to Right, Top to Bottom Rotated)</w:t>
            </w:r>
          </w:p>
        </w:tc>
        <w:tc>
          <w:tcPr>
            <w:tcW w:w="0" w:type="auto"/>
            <w:vAlign w:val="center"/>
          </w:tcPr>
          <w:p w:rsidR="000A156F" w:rsidRDefault="00A9721F">
            <w:pPr>
              <w:pStyle w:val="TableBodyText"/>
            </w:pPr>
            <w:r>
              <w:t>Specifies that text in the parent object shall flow from left to right horizontally, then top to bottom vertically on the page.</w:t>
            </w:r>
          </w:p>
          <w:p w:rsidR="000A156F" w:rsidRDefault="000A156F">
            <w:pPr>
              <w:pStyle w:val="TableBodyText"/>
            </w:pPr>
          </w:p>
          <w:p w:rsidR="000A156F" w:rsidRDefault="00A9721F">
            <w:pPr>
              <w:pStyle w:val="TableBodyText"/>
            </w:pPr>
            <w:r>
              <w:t>This means that horizontal lines are filled before the text expands vertically.</w:t>
            </w:r>
          </w:p>
          <w:p w:rsidR="000A156F" w:rsidRDefault="000A156F">
            <w:pPr>
              <w:pStyle w:val="TableBodyText"/>
            </w:pPr>
          </w:p>
          <w:p w:rsidR="000A156F" w:rsidRDefault="00A9721F">
            <w:pPr>
              <w:pStyle w:val="TableBodyText"/>
            </w:pPr>
            <w:r>
              <w:t>This f</w:t>
            </w:r>
            <w:r>
              <w:t>low is also rotated such that any East Asian text shall be rotated 270 degrees when displayed on a page.</w:t>
            </w:r>
          </w:p>
        </w:tc>
      </w:tr>
      <w:tr w:rsidR="000A156F" w:rsidTr="000A156F">
        <w:tc>
          <w:tcPr>
            <w:tcW w:w="0" w:type="auto"/>
            <w:vAlign w:val="center"/>
          </w:tcPr>
          <w:p w:rsidR="000A156F" w:rsidRDefault="00A9721F">
            <w:pPr>
              <w:pStyle w:val="TableBodyText"/>
            </w:pPr>
            <w:r>
              <w:rPr>
                <w:b/>
              </w:rPr>
              <w:t>tbLrV</w:t>
            </w:r>
            <w:r>
              <w:t xml:space="preserve"> (Top to Bottom, Left to Right Rotated)</w:t>
            </w:r>
          </w:p>
        </w:tc>
        <w:tc>
          <w:tcPr>
            <w:tcW w:w="0" w:type="auto"/>
            <w:vAlign w:val="center"/>
          </w:tcPr>
          <w:p w:rsidR="000A156F" w:rsidRDefault="00A9721F">
            <w:pPr>
              <w:pStyle w:val="TableBodyText"/>
            </w:pPr>
            <w:r>
              <w:t>Specifies that text in the parent object shall flow from top to bottom vertically, then left to right hor</w:t>
            </w:r>
            <w:r>
              <w:t>izontally on the page.</w:t>
            </w:r>
          </w:p>
          <w:p w:rsidR="000A156F" w:rsidRDefault="000A156F">
            <w:pPr>
              <w:pStyle w:val="TableBodyText"/>
            </w:pPr>
          </w:p>
          <w:p w:rsidR="000A156F" w:rsidRDefault="00A9721F">
            <w:pPr>
              <w:pStyle w:val="TableBodyText"/>
            </w:pPr>
            <w:r>
              <w:t>This means that vertical lines are filled before the text expands horizontally.</w:t>
            </w:r>
          </w:p>
          <w:p w:rsidR="000A156F" w:rsidRDefault="000A156F">
            <w:pPr>
              <w:pStyle w:val="TableBodyText"/>
            </w:pPr>
          </w:p>
          <w:p w:rsidR="000A156F" w:rsidRDefault="00A9721F">
            <w:pPr>
              <w:pStyle w:val="TableBodyText"/>
            </w:pPr>
            <w:r>
              <w:t>This flow is also rotated such that all text is rotated 90 degrees when displayed on a page.</w:t>
            </w:r>
          </w:p>
        </w:tc>
      </w:tr>
      <w:tr w:rsidR="000A156F" w:rsidTr="000A156F">
        <w:tc>
          <w:tcPr>
            <w:tcW w:w="0" w:type="auto"/>
            <w:vAlign w:val="center"/>
          </w:tcPr>
          <w:p w:rsidR="000A156F" w:rsidRDefault="00A9721F">
            <w:pPr>
              <w:pStyle w:val="TableBodyText"/>
            </w:pPr>
            <w:r>
              <w:rPr>
                <w:b/>
              </w:rPr>
              <w:t>tbRl</w:t>
            </w:r>
            <w:r>
              <w:t xml:space="preserve"> (Top to Bottom, Right to Left)</w:t>
            </w:r>
          </w:p>
        </w:tc>
        <w:tc>
          <w:tcPr>
            <w:tcW w:w="0" w:type="auto"/>
            <w:vAlign w:val="center"/>
          </w:tcPr>
          <w:p w:rsidR="000A156F" w:rsidRDefault="00A9721F">
            <w:pPr>
              <w:pStyle w:val="TableBodyText"/>
            </w:pPr>
            <w:r>
              <w:t>Specifies that text i</w:t>
            </w:r>
            <w:r>
              <w:t>n the parent object shall flow from right to left horizontally, then top to bottom vertically on the page.</w:t>
            </w:r>
          </w:p>
          <w:p w:rsidR="000A156F" w:rsidRDefault="000A156F">
            <w:pPr>
              <w:pStyle w:val="TableBodyText"/>
            </w:pPr>
          </w:p>
          <w:p w:rsidR="000A156F" w:rsidRDefault="00A9721F">
            <w:pPr>
              <w:pStyle w:val="TableBodyText"/>
            </w:pPr>
            <w:r>
              <w:t>This means that horizontal lines are filled before the text expands vertically.</w:t>
            </w:r>
          </w:p>
        </w:tc>
      </w:tr>
      <w:tr w:rsidR="000A156F" w:rsidTr="000A156F">
        <w:tc>
          <w:tcPr>
            <w:tcW w:w="0" w:type="auto"/>
            <w:vAlign w:val="center"/>
          </w:tcPr>
          <w:p w:rsidR="000A156F" w:rsidRDefault="00A9721F">
            <w:pPr>
              <w:pStyle w:val="TableBodyText"/>
            </w:pPr>
            <w:r>
              <w:rPr>
                <w:b/>
              </w:rPr>
              <w:t>tbRlV</w:t>
            </w:r>
            <w:r>
              <w:t xml:space="preserve"> (Top to Bottom, Left to </w:t>
            </w:r>
            <w:r>
              <w:lastRenderedPageBreak/>
              <w:t>Right Rotated)</w:t>
            </w:r>
          </w:p>
        </w:tc>
        <w:tc>
          <w:tcPr>
            <w:tcW w:w="0" w:type="auto"/>
            <w:vAlign w:val="center"/>
          </w:tcPr>
          <w:p w:rsidR="000A156F" w:rsidRDefault="00A9721F">
            <w:pPr>
              <w:pStyle w:val="TableBodyText"/>
            </w:pPr>
            <w:r>
              <w:lastRenderedPageBreak/>
              <w:t>Specifies that text in</w:t>
            </w:r>
            <w:r>
              <w:t xml:space="preserve"> the parent object shall flow from top to bottom vertically, </w:t>
            </w:r>
            <w:r>
              <w:lastRenderedPageBreak/>
              <w:t>then left to right horizontally on the page.</w:t>
            </w:r>
          </w:p>
          <w:p w:rsidR="000A156F" w:rsidRDefault="000A156F">
            <w:pPr>
              <w:pStyle w:val="TableBodyText"/>
            </w:pPr>
          </w:p>
          <w:p w:rsidR="000A156F" w:rsidRDefault="00A9721F">
            <w:pPr>
              <w:pStyle w:val="TableBodyText"/>
            </w:pPr>
            <w:r>
              <w:t>This means that vertical lines are filled before the text expands horizontally.</w:t>
            </w:r>
          </w:p>
          <w:p w:rsidR="000A156F" w:rsidRDefault="000A156F">
            <w:pPr>
              <w:pStyle w:val="TableBodyText"/>
            </w:pPr>
          </w:p>
          <w:p w:rsidR="000A156F" w:rsidRDefault="00A9721F">
            <w:pPr>
              <w:pStyle w:val="TableBodyText"/>
            </w:pPr>
            <w:r>
              <w:t>This flow is also rotated such that all text is rotated 90 degrees w</w:t>
            </w:r>
            <w:r>
              <w:t>hen displayed on a page.</w:t>
            </w:r>
          </w:p>
        </w:tc>
      </w:tr>
    </w:tbl>
    <w:p w:rsidR="000A156F" w:rsidRDefault="000A156F">
      <w:pPr>
        <w:pStyle w:val="Definition-Field"/>
      </w:pPr>
    </w:p>
    <w:p w:rsidR="000A156F" w:rsidRDefault="00A9721F">
      <w:pPr>
        <w:pStyle w:val="Definition-Field"/>
      </w:pPr>
      <w:r>
        <w:t xml:space="preserve">b.   </w:t>
      </w:r>
      <w:r>
        <w:rPr>
          <w:i/>
        </w:rPr>
        <w:t>The standard states that btLr enumeration value was removed from the ST_TextDirection simple type.</w:t>
      </w:r>
    </w:p>
    <w:p w:rsidR="000A156F" w:rsidRDefault="00A9721F">
      <w:pPr>
        <w:pStyle w:val="Definition-Field2"/>
      </w:pPr>
      <w:r>
        <w:t>Word does not respect this value when used at the section level.</w:t>
      </w:r>
    </w:p>
    <w:p w:rsidR="000A156F" w:rsidRDefault="00A9721F">
      <w:pPr>
        <w:pStyle w:val="Definition-Field2"/>
        <w:ind w:left="0"/>
        <w:rPr>
          <w:i/>
        </w:rPr>
      </w:pPr>
      <w:r>
        <w:t xml:space="preserve">c.   </w:t>
      </w:r>
      <w:r>
        <w:rPr>
          <w:i/>
        </w:rPr>
        <w:t xml:space="preserve">The standard states that rlV orients the text from top </w:t>
      </w:r>
      <w:r>
        <w:rPr>
          <w:i/>
        </w:rPr>
        <w:t>to bottom, then right to left, rotated.</w:t>
      </w:r>
    </w:p>
    <w:p w:rsidR="000A156F" w:rsidRDefault="00A9721F">
      <w:pPr>
        <w:pStyle w:val="Definition-Field2"/>
      </w:pPr>
      <w:r>
        <w:t>Word does not respect this value when used at the section level.</w:t>
      </w:r>
    </w:p>
    <w:p w:rsidR="000A156F" w:rsidRDefault="00A9721F">
      <w:pPr>
        <w:pStyle w:val="Definition-Field"/>
      </w:pPr>
      <w:r>
        <w:t xml:space="preserve">d.   </w:t>
      </w:r>
      <w:r>
        <w:rPr>
          <w:i/>
        </w:rPr>
        <w:t>The standard states that lrV orients the text from top to bottom, then left to right, rotated.</w:t>
      </w:r>
    </w:p>
    <w:p w:rsidR="000A156F" w:rsidRDefault="00A9721F">
      <w:pPr>
        <w:pStyle w:val="Definition-Field2"/>
      </w:pPr>
      <w:r>
        <w:t>Word does not respect this value when used at the s</w:t>
      </w:r>
      <w:r>
        <w:t>ection level.</w:t>
      </w:r>
    </w:p>
    <w:p w:rsidR="000A156F" w:rsidRDefault="00A9721F">
      <w:pPr>
        <w:pStyle w:val="Heading3"/>
      </w:pPr>
      <w:bookmarkStart w:id="1138" w:name="section_9e3b0422c7ba419f9708830928e14808"/>
      <w:bookmarkStart w:id="1139" w:name="_Toc181683595"/>
      <w:r>
        <w:t>Part 1 Section 17.18.94, ST_TextEffect (Animated Text Effects)</w:t>
      </w:r>
      <w:bookmarkEnd w:id="1138"/>
      <w:bookmarkEnd w:id="1139"/>
      <w:r>
        <w:fldChar w:fldCharType="begin"/>
      </w:r>
      <w:r>
        <w:instrText xml:space="preserve"> XE "ST_TextEffect (Animated Text Effects)" </w:instrText>
      </w:r>
      <w:r>
        <w:fldChar w:fldCharType="end"/>
      </w:r>
    </w:p>
    <w:p w:rsidR="000A156F" w:rsidRDefault="00A9721F">
      <w:pPr>
        <w:pStyle w:val="Definition-Field"/>
      </w:pPr>
      <w:r>
        <w:t xml:space="preserve">a.   </w:t>
      </w:r>
      <w:r>
        <w:rPr>
          <w:i/>
        </w:rPr>
        <w:t>The standard specifies colors for each of the enumeration values.</w:t>
      </w:r>
    </w:p>
    <w:p w:rsidR="000A156F" w:rsidRDefault="00A9721F">
      <w:pPr>
        <w:pStyle w:val="Definition-Field2"/>
      </w:pPr>
      <w:r>
        <w:t xml:space="preserve">Word will use different colors in order to show the effect if </w:t>
      </w:r>
      <w:r>
        <w:t>the page background and system color background are too similar.</w:t>
      </w:r>
    </w:p>
    <w:p w:rsidR="000A156F" w:rsidRDefault="00A9721F">
      <w:pPr>
        <w:pStyle w:val="Heading3"/>
      </w:pPr>
      <w:bookmarkStart w:id="1140" w:name="section_a797e74752bf4755a3492028c1b96dcf"/>
      <w:bookmarkStart w:id="1141" w:name="_Toc181683596"/>
      <w:r>
        <w:t>Part 1 Section 17.18.95, ST_TextScale (Text Expansion/Compression Percentage)</w:t>
      </w:r>
      <w:bookmarkEnd w:id="1140"/>
      <w:bookmarkEnd w:id="1141"/>
      <w:r>
        <w:fldChar w:fldCharType="begin"/>
      </w:r>
      <w:r>
        <w:instrText xml:space="preserve"> XE "ST_TextScale (Text Expansion/Compression Percentage)" </w:instrText>
      </w:r>
      <w:r>
        <w:fldChar w:fldCharType="end"/>
      </w:r>
    </w:p>
    <w:p w:rsidR="000A156F" w:rsidRDefault="00A9721F">
      <w:pPr>
        <w:pStyle w:val="Definition-Field"/>
      </w:pPr>
      <w:r>
        <w:t xml:space="preserve">a.   </w:t>
      </w:r>
      <w:r>
        <w:rPr>
          <w:i/>
        </w:rPr>
        <w:t>The standard states that the valid range for ST</w:t>
      </w:r>
      <w:r>
        <w:rPr>
          <w:i/>
        </w:rPr>
        <w:t>_TextScale is between 0 and 600.</w:t>
      </w:r>
    </w:p>
    <w:p w:rsidR="000A156F" w:rsidRDefault="00A9721F">
      <w:pPr>
        <w:pStyle w:val="Definition-Field2"/>
      </w:pPr>
      <w:r>
        <w:t>Word requires that the valid range be between 1 and 600.</w:t>
      </w:r>
    </w:p>
    <w:p w:rsidR="000A156F" w:rsidRDefault="00A9721F">
      <w:pPr>
        <w:pStyle w:val="Heading3"/>
      </w:pPr>
      <w:bookmarkStart w:id="1142" w:name="section_d9309b78fe044bf79a64f30ff80215a9"/>
      <w:bookmarkStart w:id="1143" w:name="_Toc181683597"/>
      <w:r>
        <w:t>Part 1 Section 17.18.101, ST_VerticalJc (Vertical Alignment Type)</w:t>
      </w:r>
      <w:bookmarkEnd w:id="1142"/>
      <w:bookmarkEnd w:id="1143"/>
      <w:r>
        <w:fldChar w:fldCharType="begin"/>
      </w:r>
      <w:r>
        <w:instrText xml:space="preserve"> XE "ST_VerticalJc (Vertical Alignment Type)" </w:instrText>
      </w:r>
      <w:r>
        <w:fldChar w:fldCharType="end"/>
      </w:r>
    </w:p>
    <w:p w:rsidR="000A156F" w:rsidRDefault="00A9721F">
      <w:pPr>
        <w:pStyle w:val="Definition-Field"/>
      </w:pPr>
      <w:r>
        <w:t xml:space="preserve">a.   </w:t>
      </w:r>
      <w:r>
        <w:rPr>
          <w:i/>
        </w:rPr>
        <w:t xml:space="preserve">The standard says that both justification is </w:t>
      </w:r>
      <w:r>
        <w:rPr>
          <w:i/>
        </w:rPr>
        <w:t>not used if multiple sections are on a page, and does not specify behavior for other alignment values if multiple sections are on a page.</w:t>
      </w:r>
    </w:p>
    <w:p w:rsidR="000A156F" w:rsidRDefault="00A9721F">
      <w:pPr>
        <w:pStyle w:val="Definition-Field2"/>
      </w:pPr>
      <w:r>
        <w:t>If there are multiple sections on one page and they have different vertical alignment, then Word will ignore the verti</w:t>
      </w:r>
      <w:r>
        <w:t>cal alignment specified and will use the default value of top.</w:t>
      </w:r>
    </w:p>
    <w:p w:rsidR="000A156F" w:rsidRDefault="00A9721F">
      <w:pPr>
        <w:pStyle w:val="Heading3"/>
      </w:pPr>
      <w:bookmarkStart w:id="1144" w:name="section_7c0abcfe3753410185d1d2636a792cdc"/>
      <w:bookmarkStart w:id="1145" w:name="_Toc181683598"/>
      <w:r>
        <w:t>Part 1 Section 17.18.102, ST_View (Document View Values)</w:t>
      </w:r>
      <w:bookmarkEnd w:id="1144"/>
      <w:bookmarkEnd w:id="1145"/>
      <w:r>
        <w:fldChar w:fldCharType="begin"/>
      </w:r>
      <w:r>
        <w:instrText xml:space="preserve"> XE "ST_View (Document View Values)" </w:instrText>
      </w:r>
      <w:r>
        <w:fldChar w:fldCharType="end"/>
      </w:r>
    </w:p>
    <w:p w:rsidR="000A156F" w:rsidRDefault="00A9721F">
      <w:pPr>
        <w:pStyle w:val="Definition-Field"/>
      </w:pPr>
      <w:r>
        <w:t xml:space="preserve">a.   </w:t>
      </w:r>
      <w:r>
        <w:rPr>
          <w:i/>
        </w:rPr>
        <w:t>The standard states that the enumeration value normal renders the document in outline view.</w:t>
      </w:r>
    </w:p>
    <w:p w:rsidR="000A156F" w:rsidRDefault="00A9721F">
      <w:pPr>
        <w:pStyle w:val="Definition-Field2"/>
      </w:pPr>
      <w:r>
        <w:t>In Word, the enumeration value normal renders the document in a draft view.</w:t>
      </w:r>
    </w:p>
    <w:p w:rsidR="000A156F" w:rsidRDefault="00A9721F">
      <w:pPr>
        <w:pStyle w:val="Heading3"/>
      </w:pPr>
      <w:bookmarkStart w:id="1146" w:name="section_d2081988766c4aa1bfe807eeeefd1f4f"/>
      <w:bookmarkStart w:id="1147" w:name="_Toc181683599"/>
      <w:r>
        <w:t>Part 1 Section 17.18.104, ST_Wrap (Text Wrapping around Text Frame Type)</w:t>
      </w:r>
      <w:bookmarkEnd w:id="1146"/>
      <w:bookmarkEnd w:id="1147"/>
      <w:r>
        <w:fldChar w:fldCharType="begin"/>
      </w:r>
      <w:r>
        <w:instrText xml:space="preserve"> XE "ST_Wrap (Text Wrapping around Text Frame Type)" </w:instrText>
      </w:r>
      <w:r>
        <w:fldChar w:fldCharType="end"/>
      </w:r>
    </w:p>
    <w:p w:rsidR="000A156F" w:rsidRDefault="00A9721F">
      <w:pPr>
        <w:pStyle w:val="Definition-Field"/>
      </w:pPr>
      <w:r>
        <w:t xml:space="preserve">a.   </w:t>
      </w:r>
      <w:r>
        <w:rPr>
          <w:i/>
        </w:rPr>
        <w:t xml:space="preserve">The standard's description for the enumeration </w:t>
      </w:r>
      <w:r>
        <w:rPr>
          <w:i/>
        </w:rPr>
        <w:t>value none is the same as notBeside.</w:t>
      </w:r>
    </w:p>
    <w:p w:rsidR="000A156F" w:rsidRDefault="00A9721F">
      <w:pPr>
        <w:pStyle w:val="Definition-Field2"/>
      </w:pPr>
      <w:r>
        <w:lastRenderedPageBreak/>
        <w:t>The behavior of the enumeration values none and notBeside are implemented distinctly by Word.  Word implements none by not allowing text to wrap around the remaining space on each line around the text frame.</w:t>
      </w:r>
    </w:p>
    <w:p w:rsidR="000A156F" w:rsidRDefault="00A9721F">
      <w:pPr>
        <w:pStyle w:val="Heading3"/>
      </w:pPr>
      <w:bookmarkStart w:id="1148" w:name="section_b48d891444844a4f843315a9a24c3dc9"/>
      <w:bookmarkStart w:id="1149" w:name="_Toc181683600"/>
      <w:r>
        <w:t>Part 1 Sect</w:t>
      </w:r>
      <w:r>
        <w:t>ion 18.2.1, bookViews (Workbook Views)</w:t>
      </w:r>
      <w:bookmarkEnd w:id="1148"/>
      <w:bookmarkEnd w:id="1149"/>
      <w:r>
        <w:fldChar w:fldCharType="begin"/>
      </w:r>
      <w:r>
        <w:instrText xml:space="preserve"> XE "bookViews (Workbook Views)" </w:instrText>
      </w:r>
      <w:r>
        <w:fldChar w:fldCharType="end"/>
      </w:r>
    </w:p>
    <w:p w:rsidR="000A156F" w:rsidRDefault="00A9721F">
      <w:pPr>
        <w:pStyle w:val="Definition-Field"/>
      </w:pPr>
      <w:r>
        <w:t xml:space="preserve">a.   </w:t>
      </w:r>
      <w:r>
        <w:rPr>
          <w:i/>
        </w:rPr>
        <w:t>The standard states that the maxOccurs value for the workbookView child element is unbounded.</w:t>
      </w:r>
    </w:p>
    <w:p w:rsidR="000A156F" w:rsidRDefault="00A9721F">
      <w:pPr>
        <w:pStyle w:val="Definition-Field2"/>
      </w:pPr>
      <w:r>
        <w:t>Excel limits the occurrences of this element to 2147483647.</w:t>
      </w:r>
    </w:p>
    <w:p w:rsidR="000A156F" w:rsidRDefault="00A9721F">
      <w:pPr>
        <w:pStyle w:val="Heading3"/>
      </w:pPr>
      <w:bookmarkStart w:id="1150" w:name="section_9a86ba923c7d4538a7ae4c262aab614d"/>
      <w:bookmarkStart w:id="1151" w:name="_Toc181683601"/>
      <w:r>
        <w:t xml:space="preserve">Part 1 Section 18.2.2, </w:t>
      </w:r>
      <w:r>
        <w:t>calcPr (Calculation Properties)</w:t>
      </w:r>
      <w:bookmarkEnd w:id="1150"/>
      <w:bookmarkEnd w:id="1151"/>
      <w:r>
        <w:fldChar w:fldCharType="begin"/>
      </w:r>
      <w:r>
        <w:instrText xml:space="preserve"> XE "calcPr (Calculation Properties)" </w:instrText>
      </w:r>
      <w:r>
        <w:fldChar w:fldCharType="end"/>
      </w:r>
    </w:p>
    <w:p w:rsidR="000A156F" w:rsidRDefault="00A9721F">
      <w:pPr>
        <w:pStyle w:val="Definition-Field"/>
      </w:pPr>
      <w:r>
        <w:t xml:space="preserve">a.   </w:t>
      </w:r>
      <w:r>
        <w:rPr>
          <w:i/>
        </w:rPr>
        <w:t>The standard does not specify a default value for the forceFullCalc attribute.</w:t>
      </w:r>
    </w:p>
    <w:p w:rsidR="000A156F" w:rsidRDefault="00A9721F">
      <w:pPr>
        <w:pStyle w:val="Definition-Field2"/>
      </w:pPr>
      <w:r>
        <w:t>Excel uses a default value of false for this attribute.</w:t>
      </w:r>
    </w:p>
    <w:p w:rsidR="000A156F" w:rsidRDefault="00A9721F">
      <w:pPr>
        <w:pStyle w:val="Definition-Field"/>
      </w:pPr>
      <w:r>
        <w:t xml:space="preserve">b.   </w:t>
      </w:r>
      <w:r>
        <w:rPr>
          <w:i/>
        </w:rPr>
        <w:t>The standard specifies that iterateCoun</w:t>
      </w:r>
      <w:r>
        <w:rPr>
          <w:i/>
        </w:rPr>
        <w:t>t attribute iterations will always take place.</w:t>
      </w:r>
    </w:p>
    <w:p w:rsidR="000A156F" w:rsidRDefault="00A9721F">
      <w:pPr>
        <w:pStyle w:val="Definition-Field2"/>
      </w:pPr>
      <w:r>
        <w:t>Office will stop iteration if values change by less than the iterateDelta attribute value.</w:t>
      </w:r>
    </w:p>
    <w:p w:rsidR="000A156F" w:rsidRDefault="00A9721F">
      <w:pPr>
        <w:pStyle w:val="Definition-Field"/>
      </w:pPr>
      <w:r>
        <w:t xml:space="preserve">c.   </w:t>
      </w:r>
      <w:r>
        <w:rPr>
          <w:i/>
        </w:rPr>
        <w:t>The standard does not specify a default value for the calcId attribute.</w:t>
      </w:r>
    </w:p>
    <w:p w:rsidR="000A156F" w:rsidRDefault="00A9721F">
      <w:pPr>
        <w:pStyle w:val="Definition-Field2"/>
      </w:pPr>
      <w:r>
        <w:t xml:space="preserve">Excel uses a default value of 0 for this </w:t>
      </w:r>
      <w:r>
        <w:t>attribute.</w:t>
      </w:r>
    </w:p>
    <w:p w:rsidR="000A156F" w:rsidRDefault="00A9721F">
      <w:pPr>
        <w:pStyle w:val="Heading3"/>
      </w:pPr>
      <w:bookmarkStart w:id="1152" w:name="section_4a1279ef49db44dab7a7f88b371cdc89"/>
      <w:bookmarkStart w:id="1153" w:name="_Toc181683602"/>
      <w:r>
        <w:t>Part 1 Section 18.2.3, customWorkbookView (Custom Workbook View)</w:t>
      </w:r>
      <w:bookmarkEnd w:id="1152"/>
      <w:bookmarkEnd w:id="1153"/>
      <w:r>
        <w:fldChar w:fldCharType="begin"/>
      </w:r>
      <w:r>
        <w:instrText xml:space="preserve"> XE "customWorkbookView (Custom Workbook View)" </w:instrText>
      </w:r>
      <w:r>
        <w:fldChar w:fldCharType="end"/>
      </w:r>
    </w:p>
    <w:p w:rsidR="000A156F" w:rsidRDefault="00A9721F">
      <w:pPr>
        <w:pStyle w:val="Definition-Field"/>
      </w:pPr>
      <w:r>
        <w:t xml:space="preserve">a.   </w:t>
      </w:r>
      <w:r>
        <w:rPr>
          <w:i/>
        </w:rPr>
        <w:t>The standard states that the values of the windowWidth attribute are defined by the XML Schema unsignedInt datatype.</w:t>
      </w:r>
    </w:p>
    <w:p w:rsidR="000A156F" w:rsidRDefault="00A9721F">
      <w:pPr>
        <w:pStyle w:val="Definition-Field2"/>
      </w:pPr>
      <w:r>
        <w:t>Excel re</w:t>
      </w:r>
      <w:r>
        <w:t>stricts the value of this attribute to be at most 2147483647.</w:t>
      </w:r>
    </w:p>
    <w:p w:rsidR="000A156F" w:rsidRDefault="00A9721F">
      <w:pPr>
        <w:pStyle w:val="Definition-Field"/>
      </w:pPr>
      <w:r>
        <w:t xml:space="preserve">b.   </w:t>
      </w:r>
      <w:r>
        <w:rPr>
          <w:i/>
        </w:rPr>
        <w:t>The standard states that the values of the mergeInterval attribute are defined by the XML Schema unsignedInt datatype.</w:t>
      </w:r>
    </w:p>
    <w:p w:rsidR="000A156F" w:rsidRDefault="00A9721F">
      <w:pPr>
        <w:pStyle w:val="Definition-Field2"/>
      </w:pPr>
      <w:r>
        <w:t xml:space="preserve">Excel restricts the value of this attribute to be 0 or at least 5 and </w:t>
      </w:r>
      <w:r>
        <w:t>at most 1440.</w:t>
      </w:r>
    </w:p>
    <w:p w:rsidR="000A156F" w:rsidRDefault="00A9721F">
      <w:pPr>
        <w:pStyle w:val="Definition-Field"/>
      </w:pPr>
      <w:r>
        <w:t xml:space="preserve">c.   </w:t>
      </w:r>
      <w:r>
        <w:rPr>
          <w:i/>
        </w:rPr>
        <w:t>The standard states that the values of the tabRatio attribute are defined by the XML Schema unsignedInt datatype.</w:t>
      </w:r>
    </w:p>
    <w:p w:rsidR="000A156F" w:rsidRDefault="00A9721F">
      <w:pPr>
        <w:pStyle w:val="Definition-Field2"/>
      </w:pPr>
      <w:r>
        <w:t>Excel restricts the value of this attribute to be at most 1000.</w:t>
      </w:r>
    </w:p>
    <w:p w:rsidR="000A156F" w:rsidRDefault="00A9721F">
      <w:pPr>
        <w:pStyle w:val="Definition-Field"/>
      </w:pPr>
      <w:r>
        <w:t xml:space="preserve">d.   </w:t>
      </w:r>
      <w:r>
        <w:rPr>
          <w:i/>
        </w:rPr>
        <w:t>The standard states that the values of the activeSheet</w:t>
      </w:r>
      <w:r>
        <w:rPr>
          <w:i/>
        </w:rPr>
        <w:t>Id attribute are defined by the XML Schema unsignedInt datatype.</w:t>
      </w:r>
    </w:p>
    <w:p w:rsidR="000A156F" w:rsidRDefault="00A9721F">
      <w:pPr>
        <w:pStyle w:val="Definition-Field2"/>
      </w:pPr>
      <w:r>
        <w:t>Excel restricts the value of this attribute to be at least 1 and at most 65534.</w:t>
      </w:r>
    </w:p>
    <w:p w:rsidR="000A156F" w:rsidRDefault="00A9721F">
      <w:pPr>
        <w:pStyle w:val="Definition-Field"/>
      </w:pPr>
      <w:r>
        <w:t xml:space="preserve">e.   </w:t>
      </w:r>
      <w:r>
        <w:rPr>
          <w:i/>
        </w:rPr>
        <w:t>The standard states that setting the showStatusbar attribute equal to false or 0 will hide the status bar.</w:t>
      </w:r>
    </w:p>
    <w:p w:rsidR="000A156F" w:rsidRDefault="00A9721F">
      <w:pPr>
        <w:pStyle w:val="Definition-Field2"/>
      </w:pPr>
      <w:r>
        <w:t>Office does not hide the status bar when the showStatusbar attribute is set to false or 0.</w:t>
      </w:r>
    </w:p>
    <w:p w:rsidR="000A156F" w:rsidRDefault="00A9721F">
      <w:pPr>
        <w:pStyle w:val="Definition-Field"/>
      </w:pPr>
      <w:r>
        <w:t xml:space="preserve">f.   </w:t>
      </w:r>
      <w:r>
        <w:rPr>
          <w:i/>
        </w:rPr>
        <w:t>The standard states that the values of the guid attribute are defined by the ST_Guid simple type.</w:t>
      </w:r>
    </w:p>
    <w:p w:rsidR="000A156F" w:rsidRDefault="00A9721F">
      <w:pPr>
        <w:pStyle w:val="Definition-Field2"/>
      </w:pPr>
      <w:r>
        <w:t>Excel requires that the guid attribute value not be a null gu</w:t>
      </w:r>
      <w:r>
        <w:t>id (00000000-0000-0000-0000-000000000000).</w:t>
      </w:r>
    </w:p>
    <w:p w:rsidR="000A156F" w:rsidRDefault="00A9721F">
      <w:pPr>
        <w:pStyle w:val="Definition-Field"/>
      </w:pPr>
      <w:r>
        <w:t xml:space="preserve">g.   </w:t>
      </w:r>
      <w:r>
        <w:rPr>
          <w:i/>
        </w:rPr>
        <w:t>The standard does not limit the length of the value of the name attribute.</w:t>
      </w:r>
    </w:p>
    <w:p w:rsidR="000A156F" w:rsidRDefault="00A9721F">
      <w:pPr>
        <w:pStyle w:val="Definition-Field2"/>
      </w:pPr>
      <w:r>
        <w:t xml:space="preserve">Excel restricts the value of this attribute to be at most 255 UTF-16 code units after escape sequences have been replaced with </w:t>
      </w:r>
      <w:r>
        <w:t>characters.</w:t>
      </w:r>
    </w:p>
    <w:p w:rsidR="000A156F" w:rsidRDefault="00A9721F">
      <w:pPr>
        <w:pStyle w:val="Definition-Field"/>
      </w:pPr>
      <w:r>
        <w:lastRenderedPageBreak/>
        <w:t xml:space="preserve">h.   </w:t>
      </w:r>
      <w:r>
        <w:rPr>
          <w:i/>
        </w:rPr>
        <w:t>The standard states that the values of the windowHeight attribute are defined by the XML Schema unsignedInt datatype.</w:t>
      </w:r>
    </w:p>
    <w:p w:rsidR="000A156F" w:rsidRDefault="00A9721F">
      <w:pPr>
        <w:pStyle w:val="Definition-Field2"/>
      </w:pPr>
      <w:r>
        <w:t>Excel restricts the value of this attribute to be at most 2147483647.</w:t>
      </w:r>
    </w:p>
    <w:p w:rsidR="000A156F" w:rsidRDefault="00A9721F">
      <w:pPr>
        <w:pStyle w:val="Definition-Field"/>
      </w:pPr>
      <w:r>
        <w:t xml:space="preserve">i.   </w:t>
      </w:r>
      <w:r>
        <w:rPr>
          <w:i/>
        </w:rPr>
        <w:t>The standard states that the windowWidth attri</w:t>
      </w:r>
      <w:r>
        <w:rPr>
          <w:i/>
        </w:rPr>
        <w:t>bute is required.</w:t>
      </w:r>
    </w:p>
    <w:p w:rsidR="000A156F" w:rsidRDefault="00A9721F">
      <w:pPr>
        <w:pStyle w:val="Definition-Field2"/>
      </w:pPr>
      <w:r>
        <w:t>Excel does not require this attribute.</w:t>
      </w:r>
    </w:p>
    <w:p w:rsidR="000A156F" w:rsidRDefault="00A9721F">
      <w:pPr>
        <w:pStyle w:val="Definition-Field"/>
      </w:pPr>
      <w:r>
        <w:t xml:space="preserve">j.   </w:t>
      </w:r>
      <w:r>
        <w:rPr>
          <w:i/>
        </w:rPr>
        <w:t>The standard states that the windowHeight attribute is required.</w:t>
      </w:r>
    </w:p>
    <w:p w:rsidR="000A156F" w:rsidRDefault="00A9721F">
      <w:pPr>
        <w:pStyle w:val="Definition-Field2"/>
      </w:pPr>
      <w:r>
        <w:t>Excel does not require this attribute.</w:t>
      </w:r>
    </w:p>
    <w:p w:rsidR="000A156F" w:rsidRDefault="00A9721F">
      <w:pPr>
        <w:pStyle w:val="Heading3"/>
      </w:pPr>
      <w:bookmarkStart w:id="1154" w:name="section_e3436d35a07349779c97c4c5cd78ddab"/>
      <w:bookmarkStart w:id="1155" w:name="_Toc181683603"/>
      <w:r>
        <w:t>Part 1 Section 18.2.4, customWorkbookViews (Custom Workbook Views)</w:t>
      </w:r>
      <w:bookmarkEnd w:id="1154"/>
      <w:bookmarkEnd w:id="1155"/>
      <w:r>
        <w:fldChar w:fldCharType="begin"/>
      </w:r>
      <w:r>
        <w:instrText xml:space="preserve"> XE "customWorkbookViews (Custom Workbook Views)" </w:instrText>
      </w:r>
      <w:r>
        <w:fldChar w:fldCharType="end"/>
      </w:r>
    </w:p>
    <w:p w:rsidR="000A156F" w:rsidRDefault="00A9721F">
      <w:pPr>
        <w:pStyle w:val="Definition-Field"/>
      </w:pPr>
      <w:r>
        <w:t xml:space="preserve">a.   </w:t>
      </w:r>
      <w:r>
        <w:rPr>
          <w:i/>
        </w:rPr>
        <w:t>The standard states that the maxOccurs value for the customWorkbookView child element is unbounded.</w:t>
      </w:r>
    </w:p>
    <w:p w:rsidR="000A156F" w:rsidRDefault="00A9721F">
      <w:pPr>
        <w:pStyle w:val="Definition-Field2"/>
      </w:pPr>
      <w:r>
        <w:t>Excel limits the occurrences of this element to 2147483647.</w:t>
      </w:r>
    </w:p>
    <w:p w:rsidR="000A156F" w:rsidRDefault="00A9721F">
      <w:pPr>
        <w:pStyle w:val="Heading3"/>
      </w:pPr>
      <w:bookmarkStart w:id="1156" w:name="section_16c3c118f358493da99f4c85ca834c00"/>
      <w:bookmarkStart w:id="1157" w:name="_Toc181683604"/>
      <w:r>
        <w:t>Part 1 Section 18.2.5, definedName (De</w:t>
      </w:r>
      <w:r>
        <w:t>fined Name)</w:t>
      </w:r>
      <w:bookmarkEnd w:id="1156"/>
      <w:bookmarkEnd w:id="1157"/>
      <w:r>
        <w:fldChar w:fldCharType="begin"/>
      </w:r>
      <w:r>
        <w:instrText xml:space="preserve"> XE "definedName (Defined Name)" </w:instrText>
      </w:r>
      <w:r>
        <w:fldChar w:fldCharType="end"/>
      </w:r>
    </w:p>
    <w:p w:rsidR="000A156F" w:rsidRDefault="00A9721F">
      <w:pPr>
        <w:pStyle w:val="Definition-Field"/>
      </w:pPr>
      <w:r>
        <w:t xml:space="preserve">a.   </w:t>
      </w:r>
      <w:r>
        <w:rPr>
          <w:i/>
        </w:rPr>
        <w:t>The standard states that the contents of this element are an extension on the ST_Formula simple type.</w:t>
      </w:r>
    </w:p>
    <w:p w:rsidR="000A156F" w:rsidRDefault="00A9721F">
      <w:pPr>
        <w:pStyle w:val="Definition-Field2"/>
      </w:pPr>
      <w:r>
        <w:t>Excel requires the contents of this element to follow the grammar for a name formula, as defined in Na</w:t>
      </w:r>
      <w:r>
        <w:t>me Formulas (</w:t>
      </w:r>
      <w:hyperlink w:anchor="Section_da7f42ad0083451a98cfb475b578d91d">
        <w:r>
          <w:rPr>
            <w:rStyle w:val="Hyperlink"/>
          </w:rPr>
          <w:t>§3.2.3.1.4, Name Formulas</w:t>
        </w:r>
      </w:hyperlink>
      <w:r>
        <w:t>).</w:t>
      </w:r>
    </w:p>
    <w:p w:rsidR="000A156F" w:rsidRDefault="00A9721F">
      <w:pPr>
        <w:pStyle w:val="Definition-Field"/>
      </w:pPr>
      <w:r>
        <w:t xml:space="preserve">b.   </w:t>
      </w:r>
      <w:r>
        <w:rPr>
          <w:i/>
        </w:rPr>
        <w:t>The standard says that @customMenu is used.</w:t>
      </w:r>
    </w:p>
    <w:p w:rsidR="000A156F" w:rsidRDefault="00A9721F">
      <w:pPr>
        <w:pStyle w:val="Definition-Field2"/>
      </w:pPr>
      <w:r>
        <w:t>In Excel, @customMenu is reserved and unused.</w:t>
      </w:r>
    </w:p>
    <w:p w:rsidR="000A156F" w:rsidRDefault="00A9721F">
      <w:pPr>
        <w:pStyle w:val="Definition-Field"/>
      </w:pPr>
      <w:r>
        <w:t xml:space="preserve">c.   </w:t>
      </w:r>
      <w:r>
        <w:rPr>
          <w:i/>
        </w:rPr>
        <w:t>The standard says that @description is used.</w:t>
      </w:r>
    </w:p>
    <w:p w:rsidR="000A156F" w:rsidRDefault="00A9721F">
      <w:pPr>
        <w:pStyle w:val="Definition-Field2"/>
      </w:pPr>
      <w:r>
        <w:t>In Exce</w:t>
      </w:r>
      <w:r>
        <w:t>l, @description is reserved and unused.</w:t>
      </w:r>
    </w:p>
    <w:p w:rsidR="000A156F" w:rsidRDefault="00A9721F">
      <w:pPr>
        <w:pStyle w:val="Definition-Field"/>
      </w:pPr>
      <w:r>
        <w:t xml:space="preserve">d.   </w:t>
      </w:r>
      <w:r>
        <w:rPr>
          <w:i/>
        </w:rPr>
        <w:t>The standard says that @help is used.</w:t>
      </w:r>
    </w:p>
    <w:p w:rsidR="000A156F" w:rsidRDefault="00A9721F">
      <w:pPr>
        <w:pStyle w:val="Definition-Field2"/>
      </w:pPr>
      <w:r>
        <w:t>In Excel, @help is reserved and unused.</w:t>
      </w:r>
    </w:p>
    <w:p w:rsidR="000A156F" w:rsidRDefault="00A9721F">
      <w:pPr>
        <w:pStyle w:val="Definition-Field"/>
      </w:pPr>
      <w:r>
        <w:t xml:space="preserve">e.   </w:t>
      </w:r>
      <w:r>
        <w:rPr>
          <w:i/>
        </w:rPr>
        <w:t>The standard says that @statusBar is used.</w:t>
      </w:r>
    </w:p>
    <w:p w:rsidR="000A156F" w:rsidRDefault="00A9721F">
      <w:pPr>
        <w:pStyle w:val="Definition-Field2"/>
      </w:pPr>
      <w:r>
        <w:t>In Excel, @statusBar is reserved and unused.</w:t>
      </w:r>
    </w:p>
    <w:p w:rsidR="000A156F" w:rsidRDefault="00A9721F">
      <w:pPr>
        <w:pStyle w:val="Definition-Field"/>
      </w:pPr>
      <w:r>
        <w:t xml:space="preserve">f.   </w:t>
      </w:r>
      <w:r>
        <w:rPr>
          <w:i/>
        </w:rPr>
        <w:t>The standard says that @shortcutKey</w:t>
      </w:r>
      <w:r>
        <w:rPr>
          <w:i/>
        </w:rPr>
        <w:t xml:space="preserve"> is used.</w:t>
      </w:r>
    </w:p>
    <w:p w:rsidR="000A156F" w:rsidRDefault="00A9721F">
      <w:pPr>
        <w:pStyle w:val="Definition-Field2"/>
      </w:pPr>
      <w:r>
        <w:t>In Excel, @shortcutKey is reserved and unused.</w:t>
      </w:r>
    </w:p>
    <w:p w:rsidR="000A156F" w:rsidRDefault="00A9721F">
      <w:pPr>
        <w:pStyle w:val="Definition-Field"/>
      </w:pPr>
      <w:r>
        <w:t xml:space="preserve">g.   </w:t>
      </w:r>
      <w:r>
        <w:rPr>
          <w:i/>
        </w:rPr>
        <w:t>The standard says that @xlm is used.</w:t>
      </w:r>
    </w:p>
    <w:p w:rsidR="000A156F" w:rsidRDefault="00A9721F">
      <w:pPr>
        <w:pStyle w:val="Definition-Field2"/>
      </w:pPr>
      <w:r>
        <w:t>In Excel, @xlm is reserved and unused.</w:t>
      </w:r>
    </w:p>
    <w:p w:rsidR="000A156F" w:rsidRDefault="00A9721F">
      <w:pPr>
        <w:pStyle w:val="Definition-Field"/>
      </w:pPr>
      <w:r>
        <w:t xml:space="preserve">h.   </w:t>
      </w:r>
      <w:r>
        <w:rPr>
          <w:i/>
        </w:rPr>
        <w:t>The standard says that @vbProcedure is used.</w:t>
      </w:r>
    </w:p>
    <w:p w:rsidR="000A156F" w:rsidRDefault="00A9721F">
      <w:pPr>
        <w:pStyle w:val="Definition-Field2"/>
      </w:pPr>
      <w:r>
        <w:t>In Excel, @vbProcedure is reserved and unused.</w:t>
      </w:r>
    </w:p>
    <w:p w:rsidR="000A156F" w:rsidRDefault="00A9721F">
      <w:pPr>
        <w:pStyle w:val="Definition-Field"/>
      </w:pPr>
      <w:r>
        <w:t xml:space="preserve">i.   </w:t>
      </w:r>
      <w:r>
        <w:rPr>
          <w:i/>
        </w:rPr>
        <w:t>The standard say</w:t>
      </w:r>
      <w:r>
        <w:rPr>
          <w:i/>
        </w:rPr>
        <w:t>s that @functionGroupId is used.</w:t>
      </w:r>
    </w:p>
    <w:p w:rsidR="000A156F" w:rsidRDefault="00A9721F">
      <w:pPr>
        <w:pStyle w:val="Definition-Field2"/>
      </w:pPr>
      <w:r>
        <w:t>In Excel, @functionGroupId is reserved and unused.</w:t>
      </w:r>
    </w:p>
    <w:p w:rsidR="000A156F" w:rsidRDefault="00A9721F">
      <w:pPr>
        <w:pStyle w:val="Definition-Field"/>
      </w:pPr>
      <w:r>
        <w:t xml:space="preserve">j.   </w:t>
      </w:r>
      <w:r>
        <w:rPr>
          <w:i/>
        </w:rPr>
        <w:t>The standard does not limit the length of the value of the comment attribute.</w:t>
      </w:r>
    </w:p>
    <w:p w:rsidR="000A156F" w:rsidRDefault="00A9721F">
      <w:pPr>
        <w:pStyle w:val="Definition-Field2"/>
      </w:pPr>
      <w:r>
        <w:lastRenderedPageBreak/>
        <w:t>Excel restricts the value of this attribute to be at most 255 characters before escaping.</w:t>
      </w:r>
    </w:p>
    <w:p w:rsidR="000A156F" w:rsidRDefault="00A9721F">
      <w:pPr>
        <w:pStyle w:val="Definition-Field"/>
      </w:pPr>
      <w:r>
        <w:t xml:space="preserve">k.   </w:t>
      </w:r>
      <w:r>
        <w:rPr>
          <w:i/>
        </w:rPr>
        <w:t>The standard does not limit the length of the value of the name attribute.</w:t>
      </w:r>
    </w:p>
    <w:p w:rsidR="000A156F" w:rsidRDefault="00A9721F">
      <w:pPr>
        <w:pStyle w:val="Definition-Field2"/>
      </w:pPr>
      <w:r>
        <w:t>Excel restricts the value of this attribute to be at least 1 and at most 255 characters.</w:t>
      </w:r>
    </w:p>
    <w:p w:rsidR="000A156F" w:rsidRDefault="00A9721F">
      <w:pPr>
        <w:pStyle w:val="Definition-Field"/>
      </w:pPr>
      <w:r>
        <w:t xml:space="preserve">l.   </w:t>
      </w:r>
      <w:r>
        <w:rPr>
          <w:i/>
        </w:rPr>
        <w:t>The standard specifies localSheetID is the sheet index in this workbook where dat</w:t>
      </w:r>
      <w:r>
        <w:rPr>
          <w:i/>
        </w:rPr>
        <w:t>a from an external reference is displayed.</w:t>
      </w:r>
    </w:p>
    <w:p w:rsidR="000A156F" w:rsidRDefault="00A9721F">
      <w:pPr>
        <w:pStyle w:val="Definition-Field2"/>
      </w:pPr>
      <w:r>
        <w:t>Office uses this index for sheet-local names to specify the sheet on which the name is defined.</w:t>
      </w:r>
    </w:p>
    <w:p w:rsidR="000A156F" w:rsidRDefault="00A9721F">
      <w:pPr>
        <w:pStyle w:val="Definition-Field"/>
      </w:pPr>
      <w:r>
        <w:t xml:space="preserve">m.   </w:t>
      </w:r>
      <w:r>
        <w:rPr>
          <w:i/>
        </w:rPr>
        <w:t>The standard states that built-in names reserved by SpreadsheetML begin with _xlnm.</w:t>
      </w:r>
    </w:p>
    <w:p w:rsidR="000A156F" w:rsidRDefault="00A9721F">
      <w:pPr>
        <w:pStyle w:val="Definition-Field2"/>
      </w:pPr>
      <w:r>
        <w:t>Office assumes that all name</w:t>
      </w:r>
      <w:r>
        <w:t>s that being with _xl are restricted.</w:t>
      </w:r>
    </w:p>
    <w:p w:rsidR="000A156F" w:rsidRDefault="00A9721F">
      <w:pPr>
        <w:pStyle w:val="Definition-Field"/>
      </w:pPr>
      <w:r>
        <w:t xml:space="preserve">n.   </w:t>
      </w:r>
      <w:r>
        <w:rPr>
          <w:i/>
        </w:rPr>
        <w:t>The standard does not state restrictions around uniqueness of definedName elements.</w:t>
      </w:r>
    </w:p>
    <w:p w:rsidR="000A156F" w:rsidRDefault="00A9721F">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name must be unique among the other defined names that do not use the attribute.</w:t>
      </w:r>
    </w:p>
    <w:p w:rsidR="000A156F" w:rsidRDefault="00A9721F">
      <w:pPr>
        <w:pStyle w:val="Definition-Field"/>
      </w:pPr>
      <w:r>
        <w:t xml:space="preserve">o.   </w:t>
      </w:r>
      <w:r>
        <w:rPr>
          <w:i/>
        </w:rPr>
        <w:t>The standard makes no mention of an xml:space attr</w:t>
      </w:r>
      <w:r>
        <w:rPr>
          <w:i/>
        </w:rPr>
        <w:t>ibute.</w:t>
      </w:r>
    </w:p>
    <w:p w:rsidR="000A156F" w:rsidRDefault="00A9721F">
      <w:pPr>
        <w:pStyle w:val="Definition-Field2"/>
      </w:pPr>
      <w:r>
        <w:t>Excel uses this attribute to specify, using the W3C space preservation rules, how white space should be handled for the element's contents; its allowed values are defined by the XML 1.0 specification.</w:t>
      </w:r>
    </w:p>
    <w:p w:rsidR="000A156F" w:rsidRDefault="00A9721F">
      <w:pPr>
        <w:pStyle w:val="Definition-Field"/>
      </w:pPr>
      <w:r>
        <w:t xml:space="preserve">p.   </w:t>
      </w:r>
      <w:r>
        <w:rPr>
          <w:i/>
        </w:rPr>
        <w:t>The standard says that @function is used.</w:t>
      </w:r>
    </w:p>
    <w:p w:rsidR="000A156F" w:rsidRDefault="00A9721F">
      <w:pPr>
        <w:pStyle w:val="Definition-Field2"/>
      </w:pPr>
      <w:r>
        <w:t>I</w:t>
      </w:r>
      <w:r>
        <w:t>n Excel, @function is reserved and unused.</w:t>
      </w:r>
    </w:p>
    <w:p w:rsidR="000A156F" w:rsidRDefault="00A9721F">
      <w:pPr>
        <w:pStyle w:val="Definition-Field"/>
      </w:pPr>
      <w:r>
        <w:t xml:space="preserve">q.   </w:t>
      </w:r>
      <w:r>
        <w:rPr>
          <w:i/>
        </w:rPr>
        <w:t>The standard states that the values of the name attribute are defined by the ST_Xstring simple type.</w:t>
      </w:r>
    </w:p>
    <w:p w:rsidR="000A156F" w:rsidRDefault="00A9721F">
      <w:pPr>
        <w:pStyle w:val="Definition-Field2"/>
      </w:pPr>
      <w:r>
        <w:t>Excel requires the value of this attribute to meet the restrictions defined in Names ("</w:t>
      </w:r>
      <w:hyperlink r:id="rId121">
        <w:r>
          <w:rPr>
            <w:rStyle w:val="Hyperlink"/>
          </w:rPr>
          <w:t>[ISO/IEC-29500-1]</w:t>
        </w:r>
      </w:hyperlink>
      <w:r>
        <w:t xml:space="preserve"> §18.17.2.5").</w:t>
      </w:r>
    </w:p>
    <w:p w:rsidR="000A156F" w:rsidRDefault="00A9721F">
      <w:pPr>
        <w:pStyle w:val="Definition-Field"/>
      </w:pPr>
      <w:r>
        <w:t xml:space="preserve">r.   </w:t>
      </w:r>
      <w:r>
        <w:rPr>
          <w:i/>
        </w:rPr>
        <w:t>The standard states that the values of the localSheetId attribute are defined by the XML Schema unsignedInt datatype.</w:t>
      </w:r>
    </w:p>
    <w:p w:rsidR="000A156F" w:rsidRDefault="00A9721F">
      <w:pPr>
        <w:pStyle w:val="Definition-Field2"/>
      </w:pPr>
      <w:r>
        <w:t>Excel restricts the value of this attribute to be at mo</w:t>
      </w:r>
      <w:r>
        <w:t>st 32766.</w:t>
      </w:r>
    </w:p>
    <w:p w:rsidR="000A156F" w:rsidRDefault="00A9721F">
      <w:pPr>
        <w:pStyle w:val="Heading3"/>
      </w:pPr>
      <w:bookmarkStart w:id="1158" w:name="section_1aea93a7b20844b2a2e583dc2b635b41"/>
      <w:bookmarkStart w:id="1159" w:name="_Toc181683605"/>
      <w:r>
        <w:t>Part 1 Section 18.2.6, definedNames (Defined Names)</w:t>
      </w:r>
      <w:bookmarkEnd w:id="1158"/>
      <w:bookmarkEnd w:id="1159"/>
      <w:r>
        <w:fldChar w:fldCharType="begin"/>
      </w:r>
      <w:r>
        <w:instrText xml:space="preserve"> XE "definedNames (Defined Names)" </w:instrText>
      </w:r>
      <w:r>
        <w:fldChar w:fldCharType="end"/>
      </w:r>
    </w:p>
    <w:p w:rsidR="000A156F" w:rsidRDefault="00A9721F">
      <w:pPr>
        <w:pStyle w:val="Definition-Field"/>
      </w:pPr>
      <w:r>
        <w:t xml:space="preserve">a.   </w:t>
      </w:r>
      <w:r>
        <w:rPr>
          <w:i/>
        </w:rPr>
        <w:t>The standard states that the maxOccurs value for the definedName child element is unbounded.</w:t>
      </w:r>
    </w:p>
    <w:p w:rsidR="000A156F" w:rsidRDefault="00A9721F">
      <w:pPr>
        <w:pStyle w:val="Definition-Field2"/>
      </w:pPr>
      <w:r>
        <w:t>Excel limits the occurrences of this element to 2147483647.</w:t>
      </w:r>
    </w:p>
    <w:p w:rsidR="000A156F" w:rsidRDefault="00A9721F">
      <w:pPr>
        <w:pStyle w:val="Heading3"/>
      </w:pPr>
      <w:bookmarkStart w:id="1160" w:name="section_acddb526fd6c4835a83cbdc9f0924045"/>
      <w:bookmarkStart w:id="1161" w:name="_Toc181683606"/>
      <w:r>
        <w:t>Part 1 Section 18.2.7, ext (Extension)</w:t>
      </w:r>
      <w:bookmarkEnd w:id="1160"/>
      <w:bookmarkEnd w:id="1161"/>
      <w:r>
        <w:fldChar w:fldCharType="begin"/>
      </w:r>
      <w:r>
        <w:instrText xml:space="preserve"> XE "ext (Extension)" </w:instrText>
      </w:r>
      <w:r>
        <w:fldChar w:fldCharType="end"/>
      </w:r>
    </w:p>
    <w:p w:rsidR="000A156F" w:rsidRDefault="00A9721F">
      <w:pPr>
        <w:pStyle w:val="Definition-Field"/>
      </w:pPr>
      <w:r>
        <w:t xml:space="preserve">a.   </w:t>
      </w:r>
      <w:r>
        <w:rPr>
          <w:i/>
        </w:rPr>
        <w:t>The standard implies that the minOccurs value for the any child element is 1.</w:t>
      </w:r>
    </w:p>
    <w:p w:rsidR="000A156F" w:rsidRDefault="00A9721F">
      <w:pPr>
        <w:pStyle w:val="Definition-Field2"/>
      </w:pPr>
      <w:r>
        <w:t>Excel allows zero occurrences of this element.</w:t>
      </w:r>
    </w:p>
    <w:p w:rsidR="000A156F" w:rsidRDefault="00A9721F">
      <w:pPr>
        <w:pStyle w:val="Heading3"/>
      </w:pPr>
      <w:bookmarkStart w:id="1162" w:name="section_5cc825ef81d54aae9f101106494252e6"/>
      <w:bookmarkStart w:id="1163" w:name="_Toc181683607"/>
      <w:r>
        <w:t>Part 1 Section 18.2.9, externalReferences (External References</w:t>
      </w:r>
      <w:r>
        <w:t>)</w:t>
      </w:r>
      <w:bookmarkEnd w:id="1162"/>
      <w:bookmarkEnd w:id="1163"/>
      <w:r>
        <w:fldChar w:fldCharType="begin"/>
      </w:r>
      <w:r>
        <w:instrText xml:space="preserve"> XE "externalReferences (External References)" </w:instrText>
      </w:r>
      <w:r>
        <w:fldChar w:fldCharType="end"/>
      </w:r>
    </w:p>
    <w:p w:rsidR="000A156F" w:rsidRDefault="00A9721F">
      <w:pPr>
        <w:pStyle w:val="Definition-Field"/>
      </w:pPr>
      <w:r>
        <w:t xml:space="preserve">a.   </w:t>
      </w:r>
      <w:r>
        <w:rPr>
          <w:i/>
        </w:rPr>
        <w:t>The standard states that the maxOccurs value for the externalReference child element is unbounded.</w:t>
      </w:r>
    </w:p>
    <w:p w:rsidR="000A156F" w:rsidRDefault="00A9721F">
      <w:pPr>
        <w:pStyle w:val="Definition-Field2"/>
      </w:pPr>
      <w:r>
        <w:lastRenderedPageBreak/>
        <w:t>Excel limits the occurrences of this element to 65534.</w:t>
      </w:r>
    </w:p>
    <w:p w:rsidR="000A156F" w:rsidRDefault="00A9721F">
      <w:pPr>
        <w:pStyle w:val="Heading3"/>
      </w:pPr>
      <w:bookmarkStart w:id="1164" w:name="section_edcec9df5b19418eb91708b7fd2c4bda"/>
      <w:bookmarkStart w:id="1165" w:name="_Toc181683608"/>
      <w:r>
        <w:t>Part 1 Section 18.2.11, fileRecoveryPr (File Recovery Properties)</w:t>
      </w:r>
      <w:bookmarkEnd w:id="1164"/>
      <w:bookmarkEnd w:id="1165"/>
      <w:r>
        <w:fldChar w:fldCharType="begin"/>
      </w:r>
      <w:r>
        <w:instrText xml:space="preserve"> XE "fileRecoveryPr (File Recovery Properties)" </w:instrText>
      </w:r>
      <w:r>
        <w:fldChar w:fldCharType="end"/>
      </w:r>
    </w:p>
    <w:p w:rsidR="000A156F" w:rsidRDefault="00A9721F">
      <w:pPr>
        <w:pStyle w:val="Definition-Field"/>
      </w:pPr>
      <w:r>
        <w:t xml:space="preserve">a.   </w:t>
      </w:r>
      <w:r>
        <w:rPr>
          <w:i/>
        </w:rPr>
        <w:t>The standard states that applications typically mark the autorecover attribute as true only after crash.</w:t>
      </w:r>
    </w:p>
    <w:p w:rsidR="000A156F" w:rsidRDefault="00A9721F">
      <w:pPr>
        <w:pStyle w:val="Definition-Field2"/>
      </w:pPr>
      <w:r>
        <w:t xml:space="preserve">Excel unmarks the autorecover </w:t>
      </w:r>
      <w:r>
        <w:t>attribute after crash.</w:t>
      </w:r>
    </w:p>
    <w:p w:rsidR="000A156F" w:rsidRDefault="00A9721F">
      <w:pPr>
        <w:pStyle w:val="Heading3"/>
      </w:pPr>
      <w:bookmarkStart w:id="1166" w:name="section_2faf54e798054ca5a4e7e74f85d96201"/>
      <w:bookmarkStart w:id="1167" w:name="_Toc181683609"/>
      <w:r>
        <w:t>Part 1 Section 18.2.12, fileSharing (File Sharing)</w:t>
      </w:r>
      <w:bookmarkEnd w:id="1166"/>
      <w:bookmarkEnd w:id="1167"/>
      <w:r>
        <w:fldChar w:fldCharType="begin"/>
      </w:r>
      <w:r>
        <w:instrText xml:space="preserve"> XE "fileSharing (File Sharing)" </w:instrText>
      </w:r>
      <w:r>
        <w:fldChar w:fldCharType="end"/>
      </w:r>
    </w:p>
    <w:p w:rsidR="000A156F" w:rsidRDefault="00A9721F">
      <w:pPr>
        <w:pStyle w:val="Definition-Field"/>
      </w:pPr>
      <w:r>
        <w:t xml:space="preserve">a.   </w:t>
      </w:r>
      <w:r>
        <w:rPr>
          <w:i/>
        </w:rPr>
        <w:t>The standard allows the userName attribute to be any length.</w:t>
      </w:r>
    </w:p>
    <w:p w:rsidR="000A156F" w:rsidRDefault="00A9721F">
      <w:pPr>
        <w:pStyle w:val="Definition-Field2"/>
      </w:pPr>
      <w:r>
        <w:t>Office requires that if present, the value of the userName attribute must be 1 to</w:t>
      </w:r>
      <w:r>
        <w:t xml:space="preserve"> 54 characters long.</w:t>
      </w:r>
    </w:p>
    <w:p w:rsidR="000A156F" w:rsidRDefault="00A9721F">
      <w:pPr>
        <w:pStyle w:val="Definition-Field"/>
      </w:pPr>
      <w:r>
        <w:t xml:space="preserve">b.   </w:t>
      </w:r>
      <w:r>
        <w:rPr>
          <w:i/>
        </w:rPr>
        <w:t>The standard states that the userName and reservationPassword attributes are optional.</w:t>
      </w:r>
    </w:p>
    <w:p w:rsidR="000A156F" w:rsidRDefault="00A9721F">
      <w:pPr>
        <w:pStyle w:val="Definition-Field2"/>
      </w:pPr>
      <w:r>
        <w:t>Office requires that the userName attribute is present if the reservationPassword attribute exists.</w:t>
      </w:r>
    </w:p>
    <w:p w:rsidR="000A156F" w:rsidRDefault="00A9721F">
      <w:pPr>
        <w:pStyle w:val="Definition-Field"/>
      </w:pPr>
      <w:r>
        <w:t xml:space="preserve">c.   </w:t>
      </w:r>
      <w:r>
        <w:rPr>
          <w:i/>
        </w:rPr>
        <w:t xml:space="preserve">The standard states that this setting </w:t>
      </w:r>
      <w:r>
        <w:rPr>
          <w:i/>
        </w:rPr>
        <w:t>uses a specific reservationPassword attribute to store the password hash for unlocking revisions in the workbook.</w:t>
      </w:r>
    </w:p>
    <w:p w:rsidR="000A156F" w:rsidRDefault="00A9721F">
      <w:r>
        <w:t>In Office, when the HKCU/Software/Microsoft/Office/&lt;VERSION&gt;/Common/Security/UseIsoPasswordVerifier registry key is set to 1, the XML for file</w:t>
      </w:r>
      <w:r>
        <w:t xml:space="preserv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algorithm Name</w:t>
            </w:r>
          </w:p>
        </w:tc>
        <w:tc>
          <w:tcPr>
            <w:tcW w:w="0" w:type="auto"/>
            <w:vAlign w:val="center"/>
          </w:tcPr>
          <w:p w:rsidR="000A156F" w:rsidRDefault="00A9721F">
            <w:pPr>
              <w:pStyle w:val="TableBodyText"/>
            </w:pPr>
            <w:r>
              <w:t>The name of the cryptographic hashing algorithm used to generate the hash value. Only those algorithms that are installed in the operating sys</w:t>
            </w:r>
            <w:r>
              <w:t>tem’s cryptographic subsystem can be utilized by Office.</w:t>
            </w:r>
          </w:p>
          <w:p w:rsidR="000A156F" w:rsidRDefault="000A156F">
            <w:pPr>
              <w:pStyle w:val="TableBodyText"/>
            </w:pPr>
          </w:p>
          <w:p w:rsidR="000A156F" w:rsidRDefault="00A9721F">
            <w:pPr>
              <w:pStyle w:val="TableBodyText"/>
            </w:pPr>
            <w:r>
              <w:t>The hash algorithm names, described in the following table, are reserved.</w:t>
            </w:r>
          </w:p>
          <w:p w:rsidR="000A156F" w:rsidRDefault="000A156F">
            <w:pPr>
              <w:pStyle w:val="TableBodyText"/>
            </w:pPr>
          </w:p>
          <w:p w:rsidR="000A156F" w:rsidRDefault="00A9721F">
            <w:pPr>
              <w:pStyle w:val="TableBodyText"/>
            </w:pPr>
            <w:r>
              <w:rPr>
                <w:b/>
                <w:i/>
              </w:rPr>
              <w:t xml:space="preserve">MD2 </w:t>
            </w:r>
          </w:p>
          <w:p w:rsidR="000A156F" w:rsidRDefault="00A9721F">
            <w:pPr>
              <w:pStyle w:val="TableBodyText"/>
            </w:pPr>
            <w:r>
              <w:rPr>
                <w:i/>
              </w:rPr>
              <w:t>Specifies that the MD2 algorithm, as defined by RFC 1319, shall be used.</w:t>
            </w:r>
          </w:p>
          <w:p w:rsidR="000A156F" w:rsidRDefault="000A156F">
            <w:pPr>
              <w:pStyle w:val="TableBodyText"/>
            </w:pPr>
          </w:p>
          <w:p w:rsidR="000A156F" w:rsidRDefault="00A9721F">
            <w:pPr>
              <w:pStyle w:val="TableBodyText"/>
            </w:pPr>
            <w:r>
              <w:rPr>
                <w:i/>
              </w:rPr>
              <w:t xml:space="preserve">[Note: It is recommended that applications </w:t>
            </w:r>
            <w:r>
              <w:rPr>
                <w:i/>
              </w:rPr>
              <w:t>should avoid using this algorithm to store new hash values, because of publicly known breaks. end note]</w:t>
            </w:r>
          </w:p>
          <w:p w:rsidR="000A156F" w:rsidRDefault="00A9721F">
            <w:pPr>
              <w:pStyle w:val="TableBodyText"/>
            </w:pPr>
            <w:r>
              <w:rPr>
                <w:b/>
                <w:i/>
              </w:rPr>
              <w:t xml:space="preserve">MD4 </w:t>
            </w:r>
          </w:p>
          <w:p w:rsidR="000A156F" w:rsidRDefault="00A9721F">
            <w:pPr>
              <w:pStyle w:val="TableBodyText"/>
            </w:pPr>
            <w:r>
              <w:rPr>
                <w:i/>
              </w:rPr>
              <w:t>Specifies that the MD4 algorithm, as defined by RFC 1320, shall be used.</w:t>
            </w:r>
          </w:p>
          <w:p w:rsidR="000A156F" w:rsidRDefault="000A156F">
            <w:pPr>
              <w:pStyle w:val="TableBodyText"/>
            </w:pPr>
          </w:p>
          <w:p w:rsidR="000A156F" w:rsidRDefault="00A9721F">
            <w:pPr>
              <w:pStyle w:val="TableBodyText"/>
            </w:pPr>
            <w:r>
              <w:rPr>
                <w:i/>
              </w:rPr>
              <w:t>[Note: It is recommended that applications should avoid using this algori</w:t>
            </w:r>
            <w:r>
              <w:rPr>
                <w:i/>
              </w:rPr>
              <w:t>thm to store new hash values, because of publicly known breaks. end note]</w:t>
            </w:r>
          </w:p>
          <w:p w:rsidR="000A156F" w:rsidRDefault="00A9721F">
            <w:pPr>
              <w:pStyle w:val="TableBodyText"/>
            </w:pPr>
            <w:r>
              <w:rPr>
                <w:b/>
                <w:i/>
              </w:rPr>
              <w:t>MD5</w:t>
            </w:r>
          </w:p>
          <w:p w:rsidR="000A156F" w:rsidRDefault="00A9721F">
            <w:pPr>
              <w:pStyle w:val="TableBodyText"/>
            </w:pPr>
            <w:r>
              <w:rPr>
                <w:i/>
              </w:rPr>
              <w:t>Specifies that the MD5 algorithm, as defined by RFC 1321,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w:t>
            </w:r>
            <w:r>
              <w:rPr>
                <w:i/>
              </w:rPr>
              <w:t>ecause of publicly known breaks. end note]</w:t>
            </w:r>
          </w:p>
          <w:p w:rsidR="000A156F" w:rsidRDefault="00A9721F">
            <w:pPr>
              <w:pStyle w:val="TableBodyText"/>
            </w:pPr>
            <w:r>
              <w:rPr>
                <w:b/>
                <w:i/>
              </w:rPr>
              <w:t>RIPEMD-128</w:t>
            </w:r>
          </w:p>
          <w:p w:rsidR="000A156F" w:rsidRDefault="00A9721F">
            <w:pPr>
              <w:pStyle w:val="TableBodyText"/>
            </w:pPr>
            <w:r>
              <w:rPr>
                <w:i/>
              </w:rPr>
              <w:t>Specifies that the RIPEMD-128 algorithm, as defined by ISO/IEC 10118-3:2004 shall be used.</w:t>
            </w:r>
          </w:p>
          <w:p w:rsidR="000A156F" w:rsidRDefault="000A156F">
            <w:pPr>
              <w:pStyle w:val="TableBodyText"/>
            </w:pPr>
          </w:p>
          <w:p w:rsidR="000A156F" w:rsidRDefault="00A9721F">
            <w:pPr>
              <w:pStyle w:val="TableBodyText"/>
            </w:pPr>
            <w:r>
              <w:rPr>
                <w:i/>
              </w:rPr>
              <w:t xml:space="preserve">[Note: It is recommended that applications should avoid using this algorithm to store new hash </w:t>
            </w:r>
            <w:r>
              <w:rPr>
                <w:i/>
              </w:rPr>
              <w:lastRenderedPageBreak/>
              <w:t>values, because</w:t>
            </w:r>
            <w:r>
              <w:rPr>
                <w:i/>
              </w:rPr>
              <w:t xml:space="preserve"> of publicly known breaks. end note]</w:t>
            </w:r>
          </w:p>
          <w:p w:rsidR="000A156F" w:rsidRDefault="00A9721F">
            <w:pPr>
              <w:pStyle w:val="TableBodyText"/>
            </w:pPr>
            <w:r>
              <w:rPr>
                <w:b/>
                <w:i/>
              </w:rPr>
              <w:t>RIPEMD-160</w:t>
            </w:r>
          </w:p>
          <w:p w:rsidR="000A156F" w:rsidRDefault="00A9721F">
            <w:pPr>
              <w:pStyle w:val="TableBodyText"/>
            </w:pPr>
            <w:r>
              <w:rPr>
                <w:i/>
              </w:rPr>
              <w:t>Specifies that the RIPEMD-160 algorithm, as defined by ISO/IEC 10118-3:2004, shall be used.</w:t>
            </w:r>
          </w:p>
          <w:p w:rsidR="000A156F" w:rsidRDefault="00A9721F">
            <w:pPr>
              <w:pStyle w:val="TableBodyText"/>
            </w:pPr>
            <w:r>
              <w:rPr>
                <w:b/>
                <w:i/>
              </w:rPr>
              <w:t>SHA-1</w:t>
            </w:r>
          </w:p>
          <w:p w:rsidR="000A156F" w:rsidRDefault="00A9721F">
            <w:pPr>
              <w:pStyle w:val="TableBodyText"/>
            </w:pPr>
            <w:r>
              <w:rPr>
                <w:i/>
              </w:rPr>
              <w:t>Specifies that the SHA-1 algorithm, as defined by ISO/IEC 10118-3:2004, shall be used.</w:t>
            </w:r>
          </w:p>
          <w:p w:rsidR="000A156F" w:rsidRDefault="00A9721F">
            <w:pPr>
              <w:pStyle w:val="TableBodyText"/>
            </w:pPr>
            <w:r>
              <w:rPr>
                <w:b/>
                <w:i/>
              </w:rPr>
              <w:t>SHA-256</w:t>
            </w:r>
          </w:p>
          <w:p w:rsidR="000A156F" w:rsidRDefault="00A9721F">
            <w:pPr>
              <w:pStyle w:val="TableBodyText"/>
            </w:pPr>
            <w:r>
              <w:rPr>
                <w:i/>
              </w:rPr>
              <w:t xml:space="preserve">Specifies that </w:t>
            </w:r>
            <w:r>
              <w:rPr>
                <w:i/>
              </w:rPr>
              <w:t>the SHA-256 algorithm, as defined by ISO/IEC 10118-3:2004, shall be used.</w:t>
            </w:r>
          </w:p>
          <w:p w:rsidR="000A156F" w:rsidRDefault="00A9721F">
            <w:pPr>
              <w:pStyle w:val="TableBodyText"/>
            </w:pPr>
            <w:r>
              <w:rPr>
                <w:b/>
                <w:i/>
              </w:rPr>
              <w:t>SHA-384</w:t>
            </w:r>
          </w:p>
          <w:p w:rsidR="000A156F" w:rsidRDefault="00A9721F">
            <w:pPr>
              <w:pStyle w:val="TableBodyText"/>
            </w:pPr>
            <w:r>
              <w:rPr>
                <w:i/>
              </w:rPr>
              <w:t>Specifies that the SHA-384 algorithm, as defined by ISO/IEC 10118-3:2004, shall be used.</w:t>
            </w:r>
          </w:p>
          <w:p w:rsidR="000A156F" w:rsidRDefault="00A9721F">
            <w:pPr>
              <w:pStyle w:val="TableBodyText"/>
            </w:pPr>
            <w:r>
              <w:rPr>
                <w:b/>
                <w:i/>
              </w:rPr>
              <w:t>SHA-512</w:t>
            </w:r>
          </w:p>
          <w:p w:rsidR="000A156F" w:rsidRDefault="00A9721F">
            <w:pPr>
              <w:pStyle w:val="TableBodyText"/>
            </w:pPr>
            <w:r>
              <w:rPr>
                <w:i/>
              </w:rPr>
              <w:t>Specifies that the SHA-512 algorithm, as defined by ISO/IEC 10118-3:2004, sha</w:t>
            </w:r>
            <w:r>
              <w:rPr>
                <w:i/>
              </w:rPr>
              <w:t>ll be used.</w:t>
            </w:r>
          </w:p>
          <w:p w:rsidR="000A156F" w:rsidRDefault="00A9721F">
            <w:pPr>
              <w:pStyle w:val="TableBodyText"/>
            </w:pPr>
            <w:r>
              <w:rPr>
                <w:b/>
                <w:i/>
              </w:rPr>
              <w:t>WHIRLPOOL</w:t>
            </w:r>
          </w:p>
          <w:p w:rsidR="000A156F" w:rsidRDefault="00A9721F">
            <w:pPr>
              <w:pStyle w:val="TableBodyText"/>
            </w:pPr>
            <w:r>
              <w:rPr>
                <w:i/>
              </w:rPr>
              <w:t>Specifies that the WHIRLPOOL algorithm, as defined by ISO/IEC 10118-3:2004, shall be used.</w:t>
            </w:r>
          </w:p>
          <w:p w:rsidR="000A156F" w:rsidRDefault="000A156F">
            <w:pPr>
              <w:pStyle w:val="TableBodyText"/>
            </w:pP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hash Value</w:t>
            </w:r>
          </w:p>
        </w:tc>
        <w:tc>
          <w:tcPr>
            <w:tcW w:w="0" w:type="auto"/>
            <w:vAlign w:val="center"/>
          </w:tcPr>
          <w:p w:rsidR="000A156F" w:rsidRDefault="00A9721F">
            <w:pPr>
              <w:pStyle w:val="TableBodyText"/>
            </w:pPr>
            <w:r>
              <w:t xml:space="preserve">Specifies the hash value for the password required to edit this worksheet. This value shall be compared with the resulting hash </w:t>
            </w:r>
            <w:r>
              <w:t>value after hashing the user-supplied password using the algorithm specified by the preceding attributes and parent XML element. If the two values match, the protection shall no longer be enforced.</w:t>
            </w:r>
          </w:p>
          <w:p w:rsidR="000A156F" w:rsidRDefault="000A156F">
            <w:pPr>
              <w:pStyle w:val="TableBodyText"/>
            </w:pPr>
          </w:p>
          <w:p w:rsidR="000A156F" w:rsidRDefault="00A9721F">
            <w:pPr>
              <w:pStyle w:val="TableBodyText"/>
            </w:pPr>
            <w:r>
              <w:t>If this value is omitted, then the reservationPassword at</w:t>
            </w:r>
            <w:r>
              <w:t>tribute shall contain the password hash for the workbook.</w:t>
            </w:r>
          </w:p>
          <w:p w:rsidR="000A156F" w:rsidRDefault="000A156F">
            <w:pPr>
              <w:pStyle w:val="TableBodyText"/>
            </w:pPr>
          </w:p>
          <w:p w:rsidR="000A156F" w:rsidRDefault="00A9721F">
            <w:pPr>
              <w:pStyle w:val="TableBodyText"/>
            </w:pPr>
            <w:r>
              <w:t>[</w:t>
            </w:r>
            <w:r>
              <w:rPr>
                <w:i/>
              </w:rPr>
              <w:t>Example</w:t>
            </w:r>
          </w:p>
          <w:p w:rsidR="000A156F" w:rsidRDefault="000A156F">
            <w:pPr>
              <w:pStyle w:val="TableBodyText"/>
            </w:pPr>
          </w:p>
          <w:p w:rsidR="000A156F" w:rsidRDefault="00A9721F">
            <w:pPr>
              <w:pStyle w:val="TableBodyText"/>
            </w:pPr>
            <w:r>
              <w:t xml:space="preserve"> Consider an Office Open XML document with the following information stored in one of its protection elements:</w:t>
            </w:r>
          </w:p>
          <w:p w:rsidR="000A156F" w:rsidRDefault="000A156F">
            <w:pPr>
              <w:pStyle w:val="TableBodyText"/>
            </w:pPr>
          </w:p>
          <w:p w:rsidR="000A156F" w:rsidRDefault="00A9721F">
            <w:pPr>
              <w:pStyle w:val="TableBodyText"/>
            </w:pPr>
            <w:r>
              <w:t>&lt;… algorithmName="SHA-1" hashValue="9oN7nWkCAyEZib1RomSJTjmPpCY=" /&gt;</w:t>
            </w:r>
          </w:p>
          <w:p w:rsidR="000A156F" w:rsidRDefault="000A156F">
            <w:pPr>
              <w:pStyle w:val="TableBodyText"/>
            </w:pPr>
          </w:p>
          <w:p w:rsidR="000A156F" w:rsidRDefault="00A9721F">
            <w:pPr>
              <w:pStyle w:val="TableBodyText"/>
            </w:pPr>
            <w:r>
              <w:t>The h</w:t>
            </w:r>
            <w:r>
              <w:t>ashValue attribute value of 9oN7nWkCAyEZib1RomSJTjmPpCY= specifies that the user-supplied password must be hashed using the pre-processing defined by the parent element (if any) followed by the hashing algorithm (specified via the algorithmName attribute v</w:t>
            </w:r>
            <w:r>
              <w:t xml:space="preserve">alue) and that the resulting hash value must be match for the protection to be disabled. </w:t>
            </w:r>
          </w:p>
          <w:p w:rsidR="000A156F" w:rsidRDefault="00A9721F">
            <w:pPr>
              <w:pStyle w:val="TableBodyText"/>
            </w:pPr>
            <w:r>
              <w:rPr>
                <w:i/>
              </w:rPr>
              <w:t>end example</w:t>
            </w:r>
            <w:r>
              <w:t>]</w:t>
            </w:r>
          </w:p>
          <w:p w:rsidR="000A156F" w:rsidRDefault="000A156F">
            <w:pPr>
              <w:pStyle w:val="TableBodyText"/>
            </w:pPr>
          </w:p>
          <w:p w:rsidR="000A156F" w:rsidRDefault="00A9721F">
            <w:pPr>
              <w:pStyle w:val="TableBodyText"/>
            </w:pPr>
            <w:r>
              <w:t>The possible values for this attribute are defined by the W3C XML Schema base64Binary datatype.</w:t>
            </w:r>
          </w:p>
        </w:tc>
      </w:tr>
      <w:tr w:rsidR="000A156F" w:rsidTr="000A156F">
        <w:tc>
          <w:tcPr>
            <w:tcW w:w="0" w:type="auto"/>
            <w:vAlign w:val="center"/>
          </w:tcPr>
          <w:p w:rsidR="000A156F" w:rsidRDefault="00A9721F">
            <w:pPr>
              <w:pStyle w:val="TableBodyText"/>
            </w:pPr>
            <w:r>
              <w:rPr>
                <w:b/>
              </w:rPr>
              <w:t>saltValue</w:t>
            </w:r>
          </w:p>
        </w:tc>
        <w:tc>
          <w:tcPr>
            <w:tcW w:w="0" w:type="auto"/>
            <w:vAlign w:val="center"/>
          </w:tcPr>
          <w:p w:rsidR="000A156F" w:rsidRDefault="00A9721F">
            <w:pPr>
              <w:pStyle w:val="TableBodyText"/>
            </w:pPr>
            <w:r>
              <w:t>Specifies the random bytes that are pre-pende</w:t>
            </w:r>
            <w:r>
              <w:t>d to the user-supplied password before it was hashed by the hashing algorithm.</w:t>
            </w:r>
          </w:p>
        </w:tc>
      </w:tr>
      <w:tr w:rsidR="000A156F" w:rsidTr="000A156F">
        <w:tc>
          <w:tcPr>
            <w:tcW w:w="0" w:type="auto"/>
            <w:vAlign w:val="center"/>
          </w:tcPr>
          <w:p w:rsidR="000A156F" w:rsidRDefault="00A9721F">
            <w:pPr>
              <w:pStyle w:val="TableBodyText"/>
            </w:pPr>
            <w:r>
              <w:rPr>
                <w:b/>
              </w:rPr>
              <w:t>spinCount</w:t>
            </w:r>
          </w:p>
        </w:tc>
        <w:tc>
          <w:tcPr>
            <w:tcW w:w="0" w:type="auto"/>
            <w:vAlign w:val="center"/>
          </w:tcPr>
          <w:p w:rsidR="000A156F" w:rsidRDefault="00A9721F">
            <w:pPr>
              <w:pStyle w:val="TableBodyText"/>
            </w:pPr>
            <w:r>
              <w:t>Specifies the number of times the hashing function shall be iteratively run (using each iteration's result as the input for the next iteration).</w:t>
            </w:r>
          </w:p>
        </w:tc>
      </w:tr>
    </w:tbl>
    <w:p w:rsidR="000A156F" w:rsidRDefault="000A156F"/>
    <w:p w:rsidR="000A156F" w:rsidRDefault="00A9721F">
      <w:r>
        <w:t xml:space="preserve">[Example: </w:t>
      </w:r>
    </w:p>
    <w:p w:rsidR="000A156F" w:rsidRDefault="00A9721F">
      <w:r>
        <w:t>Consider</w:t>
      </w:r>
      <w:r>
        <w:t xml:space="preserve"> an Office Open XML document with the following information stored in one of its protection elements:</w:t>
      </w:r>
    </w:p>
    <w:p w:rsidR="000A156F" w:rsidRDefault="00A9721F">
      <w:r>
        <w:t>&lt; … algorithmName="SHA-1" hashValue="9oN7nWkCAyEZib1RomSJTjmPpCY=" /&gt;</w:t>
      </w:r>
    </w:p>
    <w:p w:rsidR="000A156F" w:rsidRDefault="00A9721F">
      <w:r>
        <w:lastRenderedPageBreak/>
        <w:t>The algorithmName attribute value of SHA-1 specifies that the SHA-1 hashing algorith</w:t>
      </w:r>
      <w:r>
        <w:t>m must be used to generate a hash from the user-defined password.</w:t>
      </w:r>
    </w:p>
    <w:p w:rsidR="000A156F" w:rsidRDefault="00A9721F">
      <w:r>
        <w:t>end example]</w:t>
      </w:r>
    </w:p>
    <w:p w:rsidR="000A156F" w:rsidRDefault="00A9721F">
      <w:pPr>
        <w:pStyle w:val="Heading3"/>
      </w:pPr>
      <w:bookmarkStart w:id="1168" w:name="section_d27109432add493cb42a58667e060146"/>
      <w:bookmarkStart w:id="1169" w:name="_Toc181683610"/>
      <w:r>
        <w:t>Part 1 Section 18.2.13, fileVersion (File Version)</w:t>
      </w:r>
      <w:bookmarkEnd w:id="1168"/>
      <w:bookmarkEnd w:id="1169"/>
      <w:r>
        <w:fldChar w:fldCharType="begin"/>
      </w:r>
      <w:r>
        <w:instrText xml:space="preserve"> XE "fileVersion (File Version)" </w:instrText>
      </w:r>
      <w:r>
        <w:fldChar w:fldCharType="end"/>
      </w:r>
    </w:p>
    <w:p w:rsidR="000A156F" w:rsidRDefault="00A9721F">
      <w:pPr>
        <w:pStyle w:val="Definition-Field"/>
      </w:pPr>
      <w:r>
        <w:t xml:space="preserve">a.   </w:t>
      </w:r>
      <w:r>
        <w:rPr>
          <w:i/>
        </w:rPr>
        <w:t>The standard states that the appName attribute is restricted to be an XML Schema strin</w:t>
      </w:r>
      <w:r>
        <w:rPr>
          <w:i/>
        </w:rPr>
        <w:t>g datatype.</w:t>
      </w:r>
    </w:p>
    <w:p w:rsidR="000A156F" w:rsidRDefault="00A9721F">
      <w:pPr>
        <w:pStyle w:val="Definition-Field2"/>
      </w:pPr>
      <w:r>
        <w:t>Office requires that the appName attribute have a maximum length of 65535 characters.</w:t>
      </w:r>
    </w:p>
    <w:p w:rsidR="000A156F" w:rsidRDefault="00A9721F">
      <w:pPr>
        <w:pStyle w:val="Definition-Field"/>
      </w:pPr>
      <w:r>
        <w:t xml:space="preserve">b.   </w:t>
      </w:r>
      <w:r>
        <w:rPr>
          <w:i/>
        </w:rPr>
        <w:t>The standard states that the lastEdited attribute is restricted to be an XML Schema string datatype.</w:t>
      </w:r>
    </w:p>
    <w:p w:rsidR="000A156F" w:rsidRDefault="00A9721F">
      <w:pPr>
        <w:pStyle w:val="Definition-Field2"/>
      </w:pPr>
      <w:r>
        <w:t>Office requires that the lastEdited attribute have a</w:t>
      </w:r>
      <w:r>
        <w:t xml:space="preserve"> maximum length of 65535 characters.</w:t>
      </w:r>
    </w:p>
    <w:p w:rsidR="000A156F" w:rsidRDefault="00A9721F">
      <w:pPr>
        <w:pStyle w:val="Definition-Field"/>
      </w:pPr>
      <w:r>
        <w:t xml:space="preserve">c.   </w:t>
      </w:r>
      <w:r>
        <w:rPr>
          <w:i/>
        </w:rPr>
        <w:t>The standard states that te lowestEdited attribute is restricted to be an XML Schema string datatype.</w:t>
      </w:r>
    </w:p>
    <w:p w:rsidR="000A156F" w:rsidRDefault="00A9721F">
      <w:pPr>
        <w:pStyle w:val="Definition-Field2"/>
      </w:pPr>
      <w:r>
        <w:t>Office requires that the lowestEdited attribute have a maximum length of 65535 characters.</w:t>
      </w:r>
    </w:p>
    <w:p w:rsidR="000A156F" w:rsidRDefault="00A9721F">
      <w:pPr>
        <w:pStyle w:val="Definition-Field"/>
      </w:pPr>
      <w:r>
        <w:t xml:space="preserve">d.   </w:t>
      </w:r>
      <w:r>
        <w:rPr>
          <w:i/>
        </w:rPr>
        <w:t xml:space="preserve">The standard </w:t>
      </w:r>
      <w:r>
        <w:rPr>
          <w:i/>
        </w:rPr>
        <w:t>states that the rupBuild attribute is restricted to an XML Schema string datatype.</w:t>
      </w:r>
    </w:p>
    <w:p w:rsidR="000A156F" w:rsidRDefault="00A9721F">
      <w:pPr>
        <w:pStyle w:val="Definition-Field2"/>
      </w:pPr>
      <w:r>
        <w:t>Office requires that the rupBuild attribute have a maximum length of 65535 characters.</w:t>
      </w:r>
    </w:p>
    <w:p w:rsidR="000A156F" w:rsidRDefault="00A9721F">
      <w:pPr>
        <w:pStyle w:val="Definition-Field"/>
      </w:pPr>
      <w:r>
        <w:t xml:space="preserve">e.   </w:t>
      </w:r>
      <w:r>
        <w:rPr>
          <w:i/>
        </w:rPr>
        <w:t>The standard does not define any value restrictions on the lastEdited attribute.</w:t>
      </w:r>
    </w:p>
    <w:p w:rsidR="000A156F" w:rsidRDefault="00A9721F">
      <w:pPr>
        <w:pStyle w:val="Definition-Field2"/>
      </w:pPr>
      <w:r>
        <w:t>In Office, if the appName attribute equals xl in the en-US locale, then the lastEdited attribute is the text representation of an unsigned integer in the en-US locale.</w:t>
      </w:r>
    </w:p>
    <w:p w:rsidR="000A156F" w:rsidRDefault="00A9721F">
      <w:pPr>
        <w:pStyle w:val="Definition-Field"/>
      </w:pPr>
      <w:r>
        <w:t xml:space="preserve">f.   </w:t>
      </w:r>
      <w:r>
        <w:rPr>
          <w:i/>
        </w:rPr>
        <w:t>The standard does not define any value restrictions on the lowestEdited attribute.</w:t>
      </w:r>
    </w:p>
    <w:p w:rsidR="000A156F" w:rsidRDefault="00A9721F">
      <w:pPr>
        <w:pStyle w:val="Definition-Field2"/>
      </w:pPr>
      <w:r>
        <w:t>In Office, if the appName attribute equals xl in the en-US locale, then the lowestEdited attribute is the text representation of an unsigned integer in the en-US locale.</w:t>
      </w:r>
    </w:p>
    <w:p w:rsidR="000A156F" w:rsidRDefault="00A9721F">
      <w:pPr>
        <w:pStyle w:val="Definition-Field"/>
      </w:pPr>
      <w:r>
        <w:t xml:space="preserve">g.   </w:t>
      </w:r>
      <w:r>
        <w:rPr>
          <w:i/>
        </w:rPr>
        <w:t>The standard does not define any value restrictions on the rupBuild attribute.</w:t>
      </w:r>
    </w:p>
    <w:p w:rsidR="000A156F" w:rsidRDefault="00A9721F">
      <w:pPr>
        <w:pStyle w:val="Definition-Field2"/>
      </w:pPr>
      <w:r>
        <w:t>In</w:t>
      </w:r>
      <w:r>
        <w:t xml:space="preserve"> Office, if the appName attribute equals xl in the en-US locale, then the rupBuild attribute is the text representation of an unsigned integer in the en-US locale.</w:t>
      </w:r>
    </w:p>
    <w:p w:rsidR="000A156F" w:rsidRDefault="00A9721F">
      <w:pPr>
        <w:pStyle w:val="Definition-Field"/>
      </w:pPr>
      <w:r>
        <w:t xml:space="preserve">h.   </w:t>
      </w:r>
      <w:r>
        <w:rPr>
          <w:i/>
        </w:rPr>
        <w:t>The standard does not place any restrictions on the value for the lastEdited attribute.</w:t>
      </w:r>
    </w:p>
    <w:p w:rsidR="000A156F" w:rsidRDefault="00A9721F">
      <w:pPr>
        <w:pStyle w:val="Definition-Field2"/>
      </w:pPr>
      <w:r>
        <w:t>In Office, when the appName attribute equals xl, the lastEdited attribute should be less than or equal to 32767.</w:t>
      </w:r>
    </w:p>
    <w:p w:rsidR="000A156F" w:rsidRDefault="00A9721F">
      <w:pPr>
        <w:pStyle w:val="Definition-Field"/>
      </w:pPr>
      <w:r>
        <w:t xml:space="preserve">i.   </w:t>
      </w:r>
      <w:r>
        <w:rPr>
          <w:i/>
        </w:rPr>
        <w:t>The standard does not place any restrictions on the value for the lowestEdited attribute.</w:t>
      </w:r>
    </w:p>
    <w:p w:rsidR="000A156F" w:rsidRDefault="00A9721F">
      <w:pPr>
        <w:pStyle w:val="Definition-Field2"/>
      </w:pPr>
      <w:r>
        <w:t>In Office, when the appName attribute equals xl</w:t>
      </w:r>
      <w:r>
        <w:t>, the lowestEdited attribute should be less than or equal to 32767.</w:t>
      </w:r>
    </w:p>
    <w:p w:rsidR="000A156F" w:rsidRDefault="00A9721F">
      <w:pPr>
        <w:pStyle w:val="Definition-Field"/>
      </w:pPr>
      <w:r>
        <w:t xml:space="preserve">j.   </w:t>
      </w:r>
      <w:r>
        <w:rPr>
          <w:i/>
        </w:rPr>
        <w:t>The standard does not place any restrictions on the value for the rupBuild attribute.</w:t>
      </w:r>
    </w:p>
    <w:p w:rsidR="000A156F" w:rsidRDefault="00A9721F">
      <w:pPr>
        <w:pStyle w:val="Definition-Field2"/>
      </w:pPr>
      <w:r>
        <w:t>In Office, when the appName attribute equals xl, the rupBuild attribute should be less than or eq</w:t>
      </w:r>
      <w:r>
        <w:t>ual to 32767.</w:t>
      </w:r>
    </w:p>
    <w:p w:rsidR="000A156F" w:rsidRDefault="00A9721F">
      <w:pPr>
        <w:pStyle w:val="Heading3"/>
      </w:pPr>
      <w:bookmarkStart w:id="1170" w:name="section_729549d888934b56b6597bd3dbada57e"/>
      <w:bookmarkStart w:id="1171" w:name="_Toc181683611"/>
      <w:r>
        <w:t>Part 1 Section 18.2.14, functionGroup (Function Group)</w:t>
      </w:r>
      <w:bookmarkEnd w:id="1170"/>
      <w:bookmarkEnd w:id="1171"/>
      <w:r>
        <w:fldChar w:fldCharType="begin"/>
      </w:r>
      <w:r>
        <w:instrText xml:space="preserve"> XE "functionGroup (Function Group)" </w:instrText>
      </w:r>
      <w:r>
        <w:fldChar w:fldCharType="end"/>
      </w:r>
    </w:p>
    <w:p w:rsidR="000A156F" w:rsidRDefault="00A9721F">
      <w:pPr>
        <w:pStyle w:val="Definition-Field"/>
      </w:pPr>
      <w:r>
        <w:t xml:space="preserve">a.   </w:t>
      </w:r>
      <w:r>
        <w:rPr>
          <w:i/>
        </w:rPr>
        <w:t>The standard implies that the name attribute is optional.</w:t>
      </w:r>
    </w:p>
    <w:p w:rsidR="000A156F" w:rsidRDefault="00A9721F">
      <w:pPr>
        <w:pStyle w:val="Definition-Field2"/>
      </w:pPr>
      <w:r>
        <w:t>Excel requires this attribute.</w:t>
      </w:r>
    </w:p>
    <w:p w:rsidR="000A156F" w:rsidRDefault="00A9721F">
      <w:pPr>
        <w:pStyle w:val="Definition-Field"/>
      </w:pPr>
      <w:r>
        <w:lastRenderedPageBreak/>
        <w:t xml:space="preserve">b.   </w:t>
      </w:r>
      <w:r>
        <w:rPr>
          <w:i/>
        </w:rPr>
        <w:t xml:space="preserve">The standard does not limit the length of the </w:t>
      </w:r>
      <w:r>
        <w:rPr>
          <w:i/>
        </w:rPr>
        <w:t>value of the name attribute.</w:t>
      </w:r>
    </w:p>
    <w:p w:rsidR="000A156F" w:rsidRDefault="00A9721F">
      <w:pPr>
        <w:pStyle w:val="Definition-Field2"/>
      </w:pPr>
      <w:r>
        <w:t>Excel restricts the value of this attribute to be at most 32 characters before escaping.</w:t>
      </w:r>
    </w:p>
    <w:p w:rsidR="000A156F" w:rsidRDefault="00A9721F">
      <w:pPr>
        <w:pStyle w:val="Heading3"/>
      </w:pPr>
      <w:bookmarkStart w:id="1172" w:name="section_6b54db2cbdb048d79ff72aeda743c8d2"/>
      <w:bookmarkStart w:id="1173" w:name="_Toc181683612"/>
      <w:r>
        <w:t>Part 1 Section 18.2.15, functionGroups (Function Groups)</w:t>
      </w:r>
      <w:bookmarkEnd w:id="1172"/>
      <w:bookmarkEnd w:id="1173"/>
      <w:r>
        <w:fldChar w:fldCharType="begin"/>
      </w:r>
      <w:r>
        <w:instrText xml:space="preserve"> XE "functionGroups (Function Groups)" </w:instrText>
      </w:r>
      <w:r>
        <w:fldChar w:fldCharType="end"/>
      </w:r>
    </w:p>
    <w:p w:rsidR="000A156F" w:rsidRDefault="00A9721F">
      <w:pPr>
        <w:pStyle w:val="Definition-Field"/>
      </w:pPr>
      <w:r>
        <w:t xml:space="preserve">a.   </w:t>
      </w:r>
      <w:r>
        <w:rPr>
          <w:i/>
        </w:rPr>
        <w:t>The standard does not limit the val</w:t>
      </w:r>
      <w:r>
        <w:rPr>
          <w:i/>
        </w:rPr>
        <w:t>ue of @builtInGroupCount.</w:t>
      </w:r>
    </w:p>
    <w:p w:rsidR="000A156F" w:rsidRDefault="00A9721F">
      <w:pPr>
        <w:pStyle w:val="Definition-Field2"/>
      </w:pPr>
      <w:r>
        <w:t>Office requires that the maximum value be 255.</w:t>
      </w:r>
    </w:p>
    <w:p w:rsidR="000A156F" w:rsidRDefault="00A9721F">
      <w:pPr>
        <w:pStyle w:val="Definition-Field"/>
      </w:pPr>
      <w:r>
        <w:t xml:space="preserve">b.   </w:t>
      </w:r>
      <w:r>
        <w:rPr>
          <w:i/>
        </w:rPr>
        <w:t>The standard states that the maxOccurs value for the sequence containing the child functionGroup element is unbounded.</w:t>
      </w:r>
    </w:p>
    <w:p w:rsidR="000A156F" w:rsidRDefault="00A9721F">
      <w:pPr>
        <w:pStyle w:val="Definition-Field2"/>
      </w:pPr>
      <w:r>
        <w:t>Excel limits the occurrences of the functionGroup element t</w:t>
      </w:r>
      <w:r>
        <w:t>o 255.</w:t>
      </w:r>
    </w:p>
    <w:p w:rsidR="000A156F" w:rsidRDefault="00A9721F">
      <w:pPr>
        <w:pStyle w:val="Definition-Field"/>
      </w:pPr>
      <w:r>
        <w:t xml:space="preserve">c.   </w:t>
      </w:r>
      <w:r>
        <w:rPr>
          <w:i/>
        </w:rPr>
        <w:t>The standard states that the values of the builtInGroupCount attribute are defined by the XML Schema unsignedInt datatype.</w:t>
      </w:r>
    </w:p>
    <w:p w:rsidR="000A156F" w:rsidRDefault="00A9721F">
      <w:pPr>
        <w:pStyle w:val="Definition-Field2"/>
      </w:pPr>
      <w:r>
        <w:t>Excel restricts the sum of the functionGroup elements plus the value of the builtInGroupCount attribute to be at most 255</w:t>
      </w:r>
      <w:r>
        <w:t>.</w:t>
      </w:r>
    </w:p>
    <w:p w:rsidR="000A156F" w:rsidRDefault="00A9721F">
      <w:pPr>
        <w:pStyle w:val="Heading3"/>
      </w:pPr>
      <w:bookmarkStart w:id="1174" w:name="section_170f8575e90e4b76b95209242531771f"/>
      <w:bookmarkStart w:id="1175" w:name="_Toc181683613"/>
      <w:r>
        <w:t>Part 1 Section 18.2.16, oleSize (Embedded Object Size)</w:t>
      </w:r>
      <w:bookmarkEnd w:id="1174"/>
      <w:bookmarkEnd w:id="1175"/>
      <w:r>
        <w:fldChar w:fldCharType="begin"/>
      </w:r>
      <w:r>
        <w:instrText xml:space="preserve"> XE "oleSize (Embedded Object Size)" </w:instrText>
      </w:r>
      <w:r>
        <w:fldChar w:fldCharType="end"/>
      </w:r>
    </w:p>
    <w:p w:rsidR="000A156F" w:rsidRDefault="00A9721F">
      <w:pPr>
        <w:pStyle w:val="Definition-Field"/>
      </w:pPr>
      <w:r>
        <w:t xml:space="preserve">a.   </w:t>
      </w:r>
      <w:r>
        <w:rPr>
          <w:i/>
        </w:rPr>
        <w:t>The standard states that the @ref is the reference for the embedded object.</w:t>
      </w:r>
    </w:p>
    <w:p w:rsidR="000A156F" w:rsidRDefault="00A9721F">
      <w:pPr>
        <w:pStyle w:val="Definition-Field2"/>
      </w:pPr>
      <w:r>
        <w:t>Office treats @ref as the cell range over which the embedded object is displaye</w:t>
      </w:r>
      <w:r>
        <w:t>d.</w:t>
      </w:r>
    </w:p>
    <w:p w:rsidR="000A156F" w:rsidRDefault="00A9721F">
      <w:pPr>
        <w:pStyle w:val="Heading3"/>
      </w:pPr>
      <w:bookmarkStart w:id="1176" w:name="section_ebf12ea52bb44af5ab26563f22d3f895"/>
      <w:bookmarkStart w:id="1177" w:name="_Toc181683614"/>
      <w:r>
        <w:t>Part 1 Section 18.2.19, sheet (Sheet Information)</w:t>
      </w:r>
      <w:bookmarkEnd w:id="1176"/>
      <w:bookmarkEnd w:id="1177"/>
      <w:r>
        <w:fldChar w:fldCharType="begin"/>
      </w:r>
      <w:r>
        <w:instrText xml:space="preserve"> XE "sheet (Sheet Information)" </w:instrText>
      </w:r>
      <w:r>
        <w:fldChar w:fldCharType="end"/>
      </w:r>
    </w:p>
    <w:p w:rsidR="000A156F" w:rsidRDefault="00A9721F">
      <w:pPr>
        <w:pStyle w:val="Definition-Field"/>
      </w:pPr>
      <w:r>
        <w:t xml:space="preserve">a.   </w:t>
      </w:r>
      <w:r>
        <w:rPr>
          <w:i/>
        </w:rPr>
        <w:t>The standard does not place any restrictions on the value for the name attribute.</w:t>
      </w:r>
    </w:p>
    <w:p w:rsidR="000A156F" w:rsidRDefault="00A9721F">
      <w:pPr>
        <w:pStyle w:val="Definition-Field2"/>
      </w:pPr>
      <w:r>
        <w:t xml:space="preserve">Office requires that the name attribute be less than or equal to 31 characters in </w:t>
      </w:r>
      <w:r>
        <w:t>length and follow the character limitations for sheet-name and sheet-name-special in Formulas ("</w:t>
      </w:r>
      <w:hyperlink r:id="rId122">
        <w:r>
          <w:rPr>
            <w:rStyle w:val="Hyperlink"/>
          </w:rPr>
          <w:t>[ISO/IEC-29500-1]</w:t>
        </w:r>
      </w:hyperlink>
      <w:r>
        <w:t xml:space="preserve"> §18.17").</w:t>
      </w:r>
    </w:p>
    <w:p w:rsidR="000A156F" w:rsidRDefault="00A9721F">
      <w:pPr>
        <w:pStyle w:val="Definition-Field"/>
      </w:pPr>
      <w:r>
        <w:t xml:space="preserve">b.   </w:t>
      </w:r>
      <w:r>
        <w:rPr>
          <w:i/>
        </w:rPr>
        <w:t>The standard does not place any restrictions on the value for</w:t>
      </w:r>
      <w:r>
        <w:rPr>
          <w:i/>
        </w:rPr>
        <w:t xml:space="preserve"> the sheetId attribute.</w:t>
      </w:r>
    </w:p>
    <w:p w:rsidR="000A156F" w:rsidRDefault="00A9721F">
      <w:pPr>
        <w:pStyle w:val="Definition-Field2"/>
      </w:pPr>
      <w:r>
        <w:t>Office requires that the sheetId attribute be between 1 and 65534 inclusive.</w:t>
      </w:r>
    </w:p>
    <w:p w:rsidR="000A156F" w:rsidRDefault="00A9721F">
      <w:pPr>
        <w:pStyle w:val="Definition-Field"/>
      </w:pPr>
      <w:r>
        <w:t xml:space="preserve">c.   </w:t>
      </w:r>
      <w:r>
        <w:rPr>
          <w:i/>
        </w:rPr>
        <w:t>The standard does not place any restrictions on the value for the id attribute.</w:t>
      </w:r>
    </w:p>
    <w:p w:rsidR="000A156F" w:rsidRDefault="00A9721F">
      <w:pPr>
        <w:pStyle w:val="Definition-Field2"/>
      </w:pPr>
      <w:r>
        <w:t xml:space="preserve">Office requires that the id attribute be 255 or less characters in </w:t>
      </w:r>
      <w:r>
        <w:t>length.</w:t>
      </w:r>
    </w:p>
    <w:p w:rsidR="000A156F" w:rsidRDefault="00A9721F">
      <w:pPr>
        <w:pStyle w:val="Definition-Field"/>
      </w:pPr>
      <w:r>
        <w:t xml:space="preserve">d.   </w:t>
      </w:r>
      <w:r>
        <w:rPr>
          <w:i/>
        </w:rPr>
        <w:t>The standard states that sheet names are unique.</w:t>
      </w:r>
    </w:p>
    <w:p w:rsidR="000A156F" w:rsidRDefault="00A9721F">
      <w:pPr>
        <w:pStyle w:val="Definition-Field2"/>
      </w:pPr>
      <w:r>
        <w:t>Office requires that sheet names are case-insensitive unique in any locale.</w:t>
      </w:r>
    </w:p>
    <w:p w:rsidR="000A156F" w:rsidRDefault="00A9721F">
      <w:pPr>
        <w:pStyle w:val="Heading3"/>
      </w:pPr>
      <w:bookmarkStart w:id="1178" w:name="section_c9766f83abdd4351aeff90859c90c9f7"/>
      <w:bookmarkStart w:id="1179" w:name="_Toc181683615"/>
      <w:r>
        <w:t>Part 1 Section 18.2.20, sheets (Sheets)</w:t>
      </w:r>
      <w:bookmarkEnd w:id="1178"/>
      <w:bookmarkEnd w:id="1179"/>
      <w:r>
        <w:fldChar w:fldCharType="begin"/>
      </w:r>
      <w:r>
        <w:instrText xml:space="preserve"> XE "sheets (Sheets)" </w:instrText>
      </w:r>
      <w:r>
        <w:fldChar w:fldCharType="end"/>
      </w:r>
    </w:p>
    <w:p w:rsidR="000A156F" w:rsidRDefault="00A9721F">
      <w:pPr>
        <w:pStyle w:val="Definition-Field"/>
      </w:pPr>
      <w:r>
        <w:t xml:space="preserve">a.   </w:t>
      </w:r>
      <w:r>
        <w:rPr>
          <w:i/>
        </w:rPr>
        <w:t xml:space="preserve">The standard states that the maxOccurs value for </w:t>
      </w:r>
      <w:r>
        <w:rPr>
          <w:i/>
        </w:rPr>
        <w:t>the sheet child element is unbounded.</w:t>
      </w:r>
    </w:p>
    <w:p w:rsidR="000A156F" w:rsidRDefault="00A9721F">
      <w:pPr>
        <w:pStyle w:val="Definition-Field2"/>
      </w:pPr>
      <w:r>
        <w:t>Excel limits the occurrences of this element to 32767.</w:t>
      </w:r>
    </w:p>
    <w:p w:rsidR="000A156F" w:rsidRDefault="00A9721F">
      <w:pPr>
        <w:pStyle w:val="Heading3"/>
      </w:pPr>
      <w:bookmarkStart w:id="1180" w:name="section_a7158173228147abbe714addd4682340"/>
      <w:bookmarkStart w:id="1181" w:name="_Toc181683616"/>
      <w:r>
        <w:t>Part 1 Section 18.2.22, smartTagType (Smart Tag Type)</w:t>
      </w:r>
      <w:bookmarkEnd w:id="1180"/>
      <w:bookmarkEnd w:id="1181"/>
      <w:r>
        <w:fldChar w:fldCharType="begin"/>
      </w:r>
      <w:r>
        <w:instrText xml:space="preserve"> XE "smartTagType (Smart Tag Type)" </w:instrText>
      </w:r>
      <w:r>
        <w:fldChar w:fldCharType="end"/>
      </w:r>
    </w:p>
    <w:p w:rsidR="000A156F" w:rsidRDefault="00A9721F">
      <w:pPr>
        <w:pStyle w:val="Definition-Field"/>
      </w:pPr>
      <w:r>
        <w:t xml:space="preserve">a.   </w:t>
      </w:r>
      <w:r>
        <w:rPr>
          <w:i/>
        </w:rPr>
        <w:t>The standard does not limit the length of the value of the namespa</w:t>
      </w:r>
      <w:r>
        <w:rPr>
          <w:i/>
        </w:rPr>
        <w:t>ceUri attribute.</w:t>
      </w:r>
    </w:p>
    <w:p w:rsidR="000A156F" w:rsidRDefault="00A9721F">
      <w:pPr>
        <w:pStyle w:val="Definition-Field2"/>
      </w:pPr>
      <w:r>
        <w:t>Excel restricts the value of this attribute to be at most 2083 characters.</w:t>
      </w:r>
    </w:p>
    <w:p w:rsidR="000A156F" w:rsidRDefault="00A9721F">
      <w:pPr>
        <w:pStyle w:val="Definition-Field"/>
      </w:pPr>
      <w:r>
        <w:lastRenderedPageBreak/>
        <w:t xml:space="preserve">b.   </w:t>
      </w:r>
      <w:r>
        <w:rPr>
          <w:i/>
        </w:rPr>
        <w:t>The standard does not limit the length of the value of the url attribute.</w:t>
      </w:r>
    </w:p>
    <w:p w:rsidR="000A156F" w:rsidRDefault="00A9721F">
      <w:pPr>
        <w:pStyle w:val="Definition-Field2"/>
      </w:pPr>
      <w:r>
        <w:t>Excel restricts the value of this attribute to be at most 2083 characters.</w:t>
      </w:r>
    </w:p>
    <w:p w:rsidR="000A156F" w:rsidRDefault="00A9721F">
      <w:pPr>
        <w:pStyle w:val="Definition-Field"/>
      </w:pPr>
      <w:r>
        <w:t xml:space="preserve">c.   </w:t>
      </w:r>
      <w:r>
        <w:rPr>
          <w:i/>
        </w:rPr>
        <w:t xml:space="preserve">The </w:t>
      </w:r>
      <w:r>
        <w:rPr>
          <w:i/>
        </w:rPr>
        <w:t>standard does not limit the length of the value of the name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d.   </w:t>
      </w:r>
      <w:r>
        <w:rPr>
          <w:i/>
        </w:rPr>
        <w:t>The standard states that the name attribute is optional.</w:t>
      </w:r>
    </w:p>
    <w:p w:rsidR="000A156F" w:rsidRDefault="00A9721F">
      <w:pPr>
        <w:pStyle w:val="Definition-Field2"/>
      </w:pPr>
      <w:r>
        <w:t>Excel requires this attribute.</w:t>
      </w:r>
    </w:p>
    <w:p w:rsidR="000A156F" w:rsidRDefault="00A9721F">
      <w:pPr>
        <w:pStyle w:val="Definition-Field"/>
      </w:pPr>
      <w:r>
        <w:t xml:space="preserve">e.   </w:t>
      </w:r>
      <w:r>
        <w:rPr>
          <w:i/>
        </w:rPr>
        <w:t xml:space="preserve">The standard </w:t>
      </w:r>
      <w:r>
        <w:rPr>
          <w:i/>
        </w:rPr>
        <w:t>states that the namespaceUri attribute is optional.</w:t>
      </w:r>
    </w:p>
    <w:p w:rsidR="000A156F" w:rsidRDefault="00A9721F">
      <w:pPr>
        <w:pStyle w:val="Definition-Field2"/>
      </w:pPr>
      <w:r>
        <w:t>Excel requires this attribute.</w:t>
      </w:r>
    </w:p>
    <w:p w:rsidR="000A156F" w:rsidRDefault="00A9721F">
      <w:pPr>
        <w:pStyle w:val="Heading3"/>
      </w:pPr>
      <w:bookmarkStart w:id="1182" w:name="section_bf9c45345d9846cabe7ea76543fce6a2"/>
      <w:bookmarkStart w:id="1183" w:name="_Toc181683617"/>
      <w:r>
        <w:t>Part 1 Section 18.2.23, smartTagTypes (Smart Tag Types)</w:t>
      </w:r>
      <w:bookmarkEnd w:id="1182"/>
      <w:bookmarkEnd w:id="1183"/>
      <w:r>
        <w:fldChar w:fldCharType="begin"/>
      </w:r>
      <w:r>
        <w:instrText xml:space="preserve"> XE "smartTagTypes (Smart Tag Types)" </w:instrText>
      </w:r>
      <w:r>
        <w:fldChar w:fldCharType="end"/>
      </w:r>
    </w:p>
    <w:p w:rsidR="000A156F" w:rsidRDefault="00A9721F">
      <w:pPr>
        <w:pStyle w:val="Definition-Field"/>
      </w:pPr>
      <w:r>
        <w:t xml:space="preserve">a.   </w:t>
      </w:r>
      <w:r>
        <w:rPr>
          <w:i/>
        </w:rPr>
        <w:t xml:space="preserve">The standard states that the minOccurs value for the smartTagType child </w:t>
      </w:r>
      <w:r>
        <w:rPr>
          <w:i/>
        </w:rPr>
        <w:t>element is 0.</w:t>
      </w:r>
    </w:p>
    <w:p w:rsidR="000A156F" w:rsidRDefault="00A9721F">
      <w:pPr>
        <w:pStyle w:val="Definition-Field2"/>
      </w:pPr>
      <w:r>
        <w:t>Excel requires an occurrence of this element.</w:t>
      </w:r>
    </w:p>
    <w:p w:rsidR="000A156F" w:rsidRDefault="00A9721F">
      <w:pPr>
        <w:pStyle w:val="Heading3"/>
      </w:pPr>
      <w:bookmarkStart w:id="1184" w:name="section_039e764d91ca4804af286f748173cd53"/>
      <w:bookmarkStart w:id="1185" w:name="_Toc181683618"/>
      <w:r>
        <w:t>Part 1 Section 18.2.24, webPublishing (Web Publishing Properties)</w:t>
      </w:r>
      <w:bookmarkEnd w:id="1184"/>
      <w:bookmarkEnd w:id="1185"/>
      <w:r>
        <w:fldChar w:fldCharType="begin"/>
      </w:r>
      <w:r>
        <w:instrText xml:space="preserve"> XE "webPublishing (Web Publishing Properties)" </w:instrText>
      </w:r>
      <w:r>
        <w:fldChar w:fldCharType="end"/>
      </w:r>
    </w:p>
    <w:p w:rsidR="000A156F" w:rsidRDefault="00A9721F">
      <w:pPr>
        <w:pStyle w:val="Definition-Field"/>
      </w:pPr>
      <w:r>
        <w:t xml:space="preserve">a.   </w:t>
      </w:r>
      <w:r>
        <w:rPr>
          <w:i/>
        </w:rPr>
        <w:t>The standard states that characterSet is a valid attribute, and that when i</w:t>
      </w:r>
      <w:r>
        <w:rPr>
          <w:i/>
        </w:rPr>
        <w:t>t is present, codePage should be ignored</w:t>
      </w:r>
    </w:p>
    <w:p w:rsidR="000A156F" w:rsidRDefault="00A9721F">
      <w:pPr>
        <w:pStyle w:val="Definition-Field2"/>
      </w:pPr>
      <w:r>
        <w:t>Office ignores the characterSet attribute if it is present, and does not ignore the codePage attribute if characterSet is present.</w:t>
      </w:r>
    </w:p>
    <w:p w:rsidR="000A156F" w:rsidRDefault="00A9721F">
      <w:pPr>
        <w:pStyle w:val="Heading3"/>
      </w:pPr>
      <w:bookmarkStart w:id="1186" w:name="section_3ef755fd19944ba1a2994e532589d163"/>
      <w:bookmarkStart w:id="1187" w:name="_Toc181683619"/>
      <w:r>
        <w:t>Part 1 Section 18.2.25, webPublishObject (Web Publishing Object)</w:t>
      </w:r>
      <w:bookmarkEnd w:id="1186"/>
      <w:bookmarkEnd w:id="1187"/>
      <w:r>
        <w:fldChar w:fldCharType="begin"/>
      </w:r>
      <w:r>
        <w:instrText xml:space="preserve"> XE "webPublishObjec</w:instrText>
      </w:r>
      <w:r>
        <w:instrText xml:space="preserve">t (Web Publishing Object)" </w:instrText>
      </w:r>
      <w:r>
        <w:fldChar w:fldCharType="end"/>
      </w:r>
    </w:p>
    <w:p w:rsidR="000A156F" w:rsidRDefault="00A9721F">
      <w:pPr>
        <w:pStyle w:val="Definition-Field"/>
      </w:pPr>
      <w:r>
        <w:t xml:space="preserve">a.   </w:t>
      </w:r>
      <w:r>
        <w:rPr>
          <w:i/>
        </w:rPr>
        <w:t>The standard does not limit the length of the value of the title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b.   </w:t>
      </w:r>
      <w:r>
        <w:rPr>
          <w:i/>
        </w:rPr>
        <w:t>The standard does not limit the length of the value of the destina</w:t>
      </w:r>
      <w:r>
        <w:rPr>
          <w:i/>
        </w:rPr>
        <w:t>tionFile attribute.</w:t>
      </w:r>
    </w:p>
    <w:p w:rsidR="000A156F" w:rsidRDefault="00A9721F">
      <w:pPr>
        <w:pStyle w:val="Definition-Field2"/>
      </w:pPr>
      <w:r>
        <w:t>Excel restricts the value of this attribute to be at least 1 and at most 255 characters.</w:t>
      </w:r>
    </w:p>
    <w:p w:rsidR="000A156F" w:rsidRDefault="00A9721F">
      <w:pPr>
        <w:pStyle w:val="Definition-Field"/>
      </w:pPr>
      <w:r>
        <w:t xml:space="preserve">c.   </w:t>
      </w:r>
      <w:r>
        <w:rPr>
          <w:i/>
        </w:rPr>
        <w:t>The standard does not limit the length of the value of the divId attribute.</w:t>
      </w:r>
    </w:p>
    <w:p w:rsidR="000A156F" w:rsidRDefault="00A9721F">
      <w:pPr>
        <w:pStyle w:val="Definition-Field2"/>
      </w:pPr>
      <w:r>
        <w:t>Excel restricts the value of this attribute to be at least 1 and a</w:t>
      </w:r>
      <w:r>
        <w:t>t most 255 characters.</w:t>
      </w:r>
    </w:p>
    <w:p w:rsidR="000A156F" w:rsidRDefault="00A9721F">
      <w:pPr>
        <w:pStyle w:val="Definition-Field"/>
      </w:pPr>
      <w:r>
        <w:t xml:space="preserve">d.   </w:t>
      </w:r>
      <w:r>
        <w:rPr>
          <w:i/>
        </w:rPr>
        <w:t>The standard does not limit the length of the value of the sourceObject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e.   </w:t>
      </w:r>
      <w:r>
        <w:rPr>
          <w:i/>
        </w:rPr>
        <w:t>The standard states that the values of the id attribute are define</w:t>
      </w:r>
      <w:r>
        <w:rPr>
          <w:i/>
        </w:rPr>
        <w:t>d by the XML Schema unsignedInt datatype.</w:t>
      </w:r>
    </w:p>
    <w:p w:rsidR="000A156F" w:rsidRDefault="00A9721F">
      <w:pPr>
        <w:pStyle w:val="Definition-Field2"/>
      </w:pPr>
      <w:r>
        <w:t>Excel restricts the value of this attribute to be at least 1 and at most 2147483647.</w:t>
      </w:r>
    </w:p>
    <w:p w:rsidR="000A156F" w:rsidRDefault="00A9721F">
      <w:pPr>
        <w:pStyle w:val="Definition-Field"/>
      </w:pPr>
      <w:r>
        <w:t xml:space="preserve">f.   </w:t>
      </w:r>
      <w:r>
        <w:rPr>
          <w:i/>
        </w:rPr>
        <w:t>The standard states that the values of the sourceObject attribute are defined by the ST_Xstring simple type.</w:t>
      </w:r>
    </w:p>
    <w:p w:rsidR="000A156F" w:rsidRDefault="00A9721F">
      <w:pPr>
        <w:pStyle w:val="Definition-Field2"/>
      </w:pPr>
      <w:r>
        <w:t xml:space="preserve">Excel requires </w:t>
      </w:r>
      <w:r>
        <w:t>the value of this attribute to meet the restrictions defined in Names ("</w:t>
      </w:r>
      <w:hyperlink r:id="rId123">
        <w:r>
          <w:rPr>
            <w:rStyle w:val="Hyperlink"/>
          </w:rPr>
          <w:t>[ISO/IEC-29500-1]</w:t>
        </w:r>
      </w:hyperlink>
      <w:r>
        <w:t xml:space="preserve"> §18.17.2.5").</w:t>
      </w:r>
    </w:p>
    <w:p w:rsidR="000A156F" w:rsidRDefault="00A9721F">
      <w:pPr>
        <w:pStyle w:val="Heading3"/>
      </w:pPr>
      <w:bookmarkStart w:id="1188" w:name="section_7821b8f6672a4f05bc0f33b818210695"/>
      <w:bookmarkStart w:id="1189" w:name="_Toc181683620"/>
      <w:r>
        <w:lastRenderedPageBreak/>
        <w:t>Part 1 Section 18.2.27, workbook (Workbook)</w:t>
      </w:r>
      <w:bookmarkEnd w:id="1188"/>
      <w:bookmarkEnd w:id="1189"/>
      <w:r>
        <w:fldChar w:fldCharType="begin"/>
      </w:r>
      <w:r>
        <w:instrText xml:space="preserve"> XE "workbook (Workbook)" </w:instrText>
      </w:r>
      <w:r>
        <w:fldChar w:fldCharType="end"/>
      </w:r>
    </w:p>
    <w:p w:rsidR="000A156F" w:rsidRDefault="00A9721F">
      <w:pPr>
        <w:pStyle w:val="Definition-Field"/>
      </w:pPr>
      <w:r>
        <w:t xml:space="preserve">a.   </w:t>
      </w:r>
      <w:r>
        <w:rPr>
          <w:i/>
        </w:rPr>
        <w:t xml:space="preserve">The </w:t>
      </w:r>
      <w:r>
        <w:rPr>
          <w:i/>
        </w:rPr>
        <w:t>standard states that minOccurs for the bookViews element is zero.</w:t>
      </w:r>
    </w:p>
    <w:p w:rsidR="000A156F" w:rsidRDefault="00A9721F">
      <w:pPr>
        <w:pStyle w:val="Definition-Field2"/>
      </w:pPr>
      <w:r>
        <w:t>Excel will fail to print files without a bookViews element.</w:t>
      </w:r>
    </w:p>
    <w:p w:rsidR="000A156F" w:rsidRDefault="00A9721F">
      <w:pPr>
        <w:pStyle w:val="Definition-Field"/>
      </w:pPr>
      <w:r>
        <w:t xml:space="preserve">b.   </w:t>
      </w:r>
      <w:r>
        <w:rPr>
          <w:i/>
        </w:rPr>
        <w:t>The standard specifies that the conformance attribute is a valid attribute of the workbook element.</w:t>
      </w:r>
    </w:p>
    <w:p w:rsidR="000A156F" w:rsidRDefault="00A9721F">
      <w:pPr>
        <w:pStyle w:val="Definition-Field2"/>
      </w:pPr>
      <w:r>
        <w:t xml:space="preserve">Excel ignores the </w:t>
      </w:r>
      <w:r>
        <w:t>conformance attribute.</w:t>
      </w:r>
    </w:p>
    <w:p w:rsidR="000A156F" w:rsidRDefault="00A9721F">
      <w:pPr>
        <w:pStyle w:val="Definition-Field2"/>
      </w:pPr>
      <w:r>
        <w:t>This note applies to the following products: Office 2010, Office 2010 Server, Office 2010 SP1.</w:t>
      </w:r>
    </w:p>
    <w:p w:rsidR="000A156F" w:rsidRDefault="00A9721F">
      <w:pPr>
        <w:pStyle w:val="Heading3"/>
      </w:pPr>
      <w:bookmarkStart w:id="1190" w:name="section_a251e7c67b8a4e2fb284025f9f09ba3e"/>
      <w:bookmarkStart w:id="1191" w:name="_Toc181683621"/>
      <w:r>
        <w:t>Part 1 Section 18.2.28, workbookPr (Workbook Properties)</w:t>
      </w:r>
      <w:bookmarkEnd w:id="1190"/>
      <w:bookmarkEnd w:id="1191"/>
      <w:r>
        <w:fldChar w:fldCharType="begin"/>
      </w:r>
      <w:r>
        <w:instrText xml:space="preserve"> XE "workbookPr (Workbook Properties)" </w:instrText>
      </w:r>
      <w:r>
        <w:fldChar w:fldCharType="end"/>
      </w:r>
    </w:p>
    <w:p w:rsidR="000A156F" w:rsidRDefault="00A9721F">
      <w:pPr>
        <w:pStyle w:val="Definition-Field"/>
      </w:pPr>
      <w:r>
        <w:t xml:space="preserve">a.   </w:t>
      </w:r>
      <w:r>
        <w:rPr>
          <w:i/>
        </w:rPr>
        <w:t>The standard states that allowRefre</w:t>
      </w:r>
      <w:r>
        <w:rPr>
          <w:i/>
        </w:rPr>
        <w:t>shQuery is a valid attribute on this element.</w:t>
      </w:r>
    </w:p>
    <w:p w:rsidR="000A156F" w:rsidRDefault="00A9721F">
      <w:pPr>
        <w:pStyle w:val="Definition-Field2"/>
      </w:pPr>
      <w:r>
        <w:t>Excel does not support this attribute on this element.</w:t>
      </w:r>
    </w:p>
    <w:p w:rsidR="000A156F" w:rsidRDefault="00A9721F">
      <w:pPr>
        <w:pStyle w:val="Definition-Field"/>
      </w:pPr>
      <w:r>
        <w:t xml:space="preserve">b.   </w:t>
      </w:r>
      <w:r>
        <w:rPr>
          <w:i/>
        </w:rPr>
        <w:t>The standard does not specify a default value for the defaultThemeVersion attribute.</w:t>
      </w:r>
    </w:p>
    <w:p w:rsidR="000A156F" w:rsidRDefault="00A9721F">
      <w:pPr>
        <w:pStyle w:val="Definition-Field2"/>
      </w:pPr>
      <w:r>
        <w:t xml:space="preserve">Excel uses a default value of 0, which indicates that no default </w:t>
      </w:r>
      <w:r>
        <w:t>theme applies in the workbook, for this attribute.</w:t>
      </w:r>
    </w:p>
    <w:p w:rsidR="000A156F" w:rsidRDefault="00A9721F">
      <w:pPr>
        <w:pStyle w:val="Definition-Field"/>
      </w:pPr>
      <w:r>
        <w:t xml:space="preserve">c.   </w:t>
      </w:r>
      <w:r>
        <w:rPr>
          <w:i/>
        </w:rPr>
        <w:t>The standard describes the codeName attribute as specifying the codename of the application that created the workbook.</w:t>
      </w:r>
    </w:p>
    <w:p w:rsidR="000A156F" w:rsidRDefault="00A9721F">
      <w:pPr>
        <w:pStyle w:val="Definition-Field2"/>
      </w:pPr>
      <w:r>
        <w:t xml:space="preserve">Office uses the codeName attribute to specify the name of the Workbook object as </w:t>
      </w:r>
      <w:r>
        <w:t>to be used in a scripting application.</w:t>
      </w:r>
    </w:p>
    <w:p w:rsidR="000A156F" w:rsidRDefault="00A9721F">
      <w:pPr>
        <w:pStyle w:val="Definition-Field"/>
      </w:pPr>
      <w:r>
        <w:t xml:space="preserve">d.   </w:t>
      </w:r>
      <w:r>
        <w:rPr>
          <w:i/>
        </w:rPr>
        <w:t>The standard states that the values of the codeName attribute are defined by the XML Schema string datatype.</w:t>
      </w:r>
    </w:p>
    <w:p w:rsidR="000A156F" w:rsidRDefault="00A9721F">
      <w:pPr>
        <w:pStyle w:val="Definition-Field2"/>
      </w:pPr>
      <w:r>
        <w:t>Excel requires this attribute to be at most 31 characters, with the following pattern restriction: [\p{</w:t>
      </w:r>
      <w:r>
        <w:t>L}\P{IsBasicLatin}][_\d\p{L}\P{IsBasicLatin}]*.</w:t>
      </w:r>
    </w:p>
    <w:p w:rsidR="000A156F" w:rsidRDefault="00A9721F">
      <w:pPr>
        <w:pStyle w:val="Definition-Field"/>
      </w:pPr>
      <w:r>
        <w:t xml:space="preserve">e.   </w:t>
      </w:r>
      <w:r>
        <w:rPr>
          <w:i/>
        </w:rPr>
        <w:t>The standard specifies a value of 1 or true for @hidePivotFieldList indicates the field list is shown.</w:t>
      </w:r>
    </w:p>
    <w:p w:rsidR="000A156F" w:rsidRDefault="00A9721F">
      <w:pPr>
        <w:pStyle w:val="Definition-Field2"/>
      </w:pPr>
      <w:r>
        <w:t>Office treats that a value of 1 or true to indicate the field list is hidden, and a value of 0 or fa</w:t>
      </w:r>
      <w:r>
        <w:t>lse otherwise.</w:t>
      </w:r>
    </w:p>
    <w:p w:rsidR="000A156F" w:rsidRDefault="00A9721F">
      <w:pPr>
        <w:pStyle w:val="Definition-Field"/>
      </w:pPr>
      <w:r>
        <w:t xml:space="preserve">f.   </w:t>
      </w:r>
      <w:r>
        <w:rPr>
          <w:i/>
        </w:rPr>
        <w:t>The standard does not specify the meaning of possible values for the attribute refreshAllConnections.</w:t>
      </w:r>
    </w:p>
    <w:p w:rsidR="000A156F" w:rsidRDefault="00A9721F">
      <w:pPr>
        <w:pStyle w:val="Definition-Field2"/>
      </w:pPr>
      <w:r>
        <w:t>Office treats a value of 1 or true for @refreshAllConnections to indicate all connections shall be refreshed, and 0 or false otherwise</w:t>
      </w:r>
      <w:r>
        <w:t>.</w:t>
      </w:r>
    </w:p>
    <w:p w:rsidR="000A156F" w:rsidRDefault="00A9721F">
      <w:pPr>
        <w:pStyle w:val="Definition-Field"/>
      </w:pPr>
      <w:r>
        <w:t xml:space="preserve">g.   </w:t>
      </w:r>
      <w:r>
        <w:rPr>
          <w:i/>
        </w:rPr>
        <w:t xml:space="preserve">The standard states that the dateCompatibility attribute determines whether the date base should be treated as a compatibility date base or should support the full date range of </w:t>
      </w:r>
      <w:hyperlink r:id="rId124">
        <w:r>
          <w:rPr>
            <w:rStyle w:val="Hyperlink"/>
          </w:rPr>
          <w:t>[ISO-8</w:t>
        </w:r>
        <w:r>
          <w:rPr>
            <w:rStyle w:val="Hyperlink"/>
          </w:rPr>
          <w:t>601]</w:t>
        </w:r>
      </w:hyperlink>
      <w:r>
        <w:rPr>
          <w:i/>
        </w:rPr>
        <w:t>.</w:t>
      </w:r>
    </w:p>
    <w:p w:rsidR="000A156F" w:rsidRDefault="00A9721F">
      <w:pPr>
        <w:pStyle w:val="Definition-Field2"/>
      </w:pPr>
      <w:r>
        <w:t>Office ignores the dateCompatibility attribute, and always uses a compatibility date base.</w:t>
      </w:r>
    </w:p>
    <w:p w:rsidR="000A156F" w:rsidRDefault="00A9721F">
      <w:pPr>
        <w:pStyle w:val="Definition-Field2"/>
      </w:pPr>
      <w:r>
        <w:t>This note applies to the following products: Office 2010, Office 2010 Server, Office 2010 SP1.</w:t>
      </w:r>
    </w:p>
    <w:p w:rsidR="000A156F" w:rsidRDefault="00A9721F">
      <w:pPr>
        <w:pStyle w:val="Definition-Field"/>
      </w:pPr>
      <w:r>
        <w:t xml:space="preserve">h.   </w:t>
      </w:r>
      <w:r>
        <w:rPr>
          <w:i/>
        </w:rPr>
        <w:t>The standard states that the filterPrivacy attribute is use</w:t>
      </w:r>
      <w:r>
        <w:rPr>
          <w:i/>
        </w:rPr>
        <w:t>d to warn the user when PII is added to a document.</w:t>
      </w:r>
    </w:p>
    <w:p w:rsidR="000A156F" w:rsidRDefault="00A9721F">
      <w:pPr>
        <w:pStyle w:val="Definition-Field2"/>
      </w:pPr>
      <w:r>
        <w:t>In Office, the filterPrivacy attribute is used to determine if PII is removed or not removed from the workbook when it is saved.</w:t>
      </w:r>
    </w:p>
    <w:p w:rsidR="000A156F" w:rsidRDefault="00A9721F">
      <w:pPr>
        <w:pStyle w:val="Definition-Field"/>
      </w:pPr>
      <w:r>
        <w:t xml:space="preserve">i.   </w:t>
      </w:r>
      <w:r>
        <w:rPr>
          <w:i/>
        </w:rPr>
        <w:t>The standard implies that the implementing application should draw a b</w:t>
      </w:r>
      <w:r>
        <w:rPr>
          <w:i/>
        </w:rPr>
        <w:t>order around unselected tables if @showBorderUnselectedTables is set to true.</w:t>
      </w:r>
    </w:p>
    <w:p w:rsidR="000A156F" w:rsidRDefault="00A9721F">
      <w:pPr>
        <w:pStyle w:val="Definition-Field2"/>
      </w:pPr>
      <w:r>
        <w:lastRenderedPageBreak/>
        <w:t>Office does not draw the border around tables regardless of the value of showBorderUnselectedTables.</w:t>
      </w:r>
    </w:p>
    <w:p w:rsidR="000A156F" w:rsidRDefault="00A9721F">
      <w:pPr>
        <w:pStyle w:val="Definition-Field"/>
      </w:pPr>
      <w:r>
        <w:t xml:space="preserve">j.   </w:t>
      </w:r>
      <w:r>
        <w:rPr>
          <w:i/>
        </w:rPr>
        <w:t>The standard states that the dateCompatibility attribute determines whet</w:t>
      </w:r>
      <w:r>
        <w:rPr>
          <w:i/>
        </w:rPr>
        <w:t xml:space="preserve">her the date base should be treated as a compatibility date base or should support the full date range of </w:t>
      </w:r>
      <w:r>
        <w:t>[ISO-8601]</w:t>
      </w:r>
      <w:r>
        <w:rPr>
          <w:i/>
        </w:rPr>
        <w:t>.</w:t>
      </w:r>
    </w:p>
    <w:p w:rsidR="000A156F" w:rsidRDefault="00A9721F">
      <w:pPr>
        <w:pStyle w:val="Definition-Field2"/>
      </w:pPr>
      <w:r>
        <w:t xml:space="preserve">Office ignores the dateCompatibility attribute. If workbook@conformance equals "strict", the 1900 date system is used. Otherwise the 1900 </w:t>
      </w:r>
      <w:r>
        <w:t>compatibility date system is used. Excel does not support negative serial numbers.</w:t>
      </w:r>
    </w:p>
    <w:p w:rsidR="000A156F" w:rsidRDefault="00A9721F">
      <w:pPr>
        <w:pStyle w:val="Definition-Field2"/>
      </w:pPr>
      <w:r>
        <w:t>This note applies to the following products: Office 2013 Client (Strict), Office 2013 Server (Strict), Office 2013 Client (Transitional), Office 2013 Server (Transitional).</w:t>
      </w:r>
    </w:p>
    <w:p w:rsidR="000A156F" w:rsidRDefault="00A9721F">
      <w:pPr>
        <w:pStyle w:val="Heading3"/>
      </w:pPr>
      <w:bookmarkStart w:id="1192" w:name="section_601cecceb95644ef9fa6736b2ce3657d"/>
      <w:bookmarkStart w:id="1193" w:name="_Toc181683622"/>
      <w:r>
        <w:t>Part 1 Section 18.2.29, workbookProtection (Workbook Protection)</w:t>
      </w:r>
      <w:bookmarkEnd w:id="1192"/>
      <w:bookmarkEnd w:id="1193"/>
      <w:r>
        <w:fldChar w:fldCharType="begin"/>
      </w:r>
      <w:r>
        <w:instrText xml:space="preserve"> XE "workbookProtection (Workbook Protection)" </w:instrText>
      </w:r>
      <w:r>
        <w:fldChar w:fldCharType="end"/>
      </w:r>
    </w:p>
    <w:p w:rsidR="000A156F" w:rsidRDefault="00A9721F">
      <w:pPr>
        <w:pStyle w:val="Definition-Field"/>
      </w:pPr>
      <w:r>
        <w:t xml:space="preserve">a.   </w:t>
      </w:r>
      <w:r>
        <w:rPr>
          <w:i/>
        </w:rPr>
        <w:t>The standard specifies @lockWindows indicates whether the windows that comprise the workbook are locked.</w:t>
      </w:r>
    </w:p>
    <w:p w:rsidR="000A156F" w:rsidRDefault="00A9721F">
      <w:pPr>
        <w:pStyle w:val="Definition-Field2"/>
      </w:pPr>
      <w:r>
        <w:t xml:space="preserve">In Office if all sheets have a </w:t>
      </w:r>
      <w:r>
        <w:t>sheetView element with the attribute windowProtection set to false, then @lockWindows will also be saved as false.</w:t>
      </w:r>
    </w:p>
    <w:p w:rsidR="000A156F" w:rsidRDefault="00A9721F">
      <w:pPr>
        <w:pStyle w:val="Definition-Field"/>
      </w:pPr>
      <w:r>
        <w:t xml:space="preserve">b.   </w:t>
      </w:r>
      <w:r>
        <w:rPr>
          <w:i/>
        </w:rPr>
        <w:t>The standard specifies @lockRevision indicates whether the workbook is locked for revisions.</w:t>
      </w:r>
    </w:p>
    <w:p w:rsidR="000A156F" w:rsidRDefault="00A9721F">
      <w:pPr>
        <w:pStyle w:val="Definition-Field2"/>
      </w:pPr>
      <w:r>
        <w:t xml:space="preserve">Office uses @lockRevision to specify </w:t>
      </w:r>
      <w:r>
        <w:t>whether the change history in a shared workbook cannot be removed.</w:t>
      </w:r>
    </w:p>
    <w:p w:rsidR="000A156F" w:rsidRDefault="00A9721F">
      <w:pPr>
        <w:pStyle w:val="Definition-Field"/>
      </w:pPr>
      <w:r>
        <w:t xml:space="preserve">c.   </w:t>
      </w:r>
      <w:r>
        <w:rPr>
          <w:i/>
        </w:rPr>
        <w:t>The standard specifies @workbookPassword as the hash of the password required for unlocking revisions in this workbook.</w:t>
      </w:r>
    </w:p>
    <w:p w:rsidR="000A156F" w:rsidRDefault="00A9721F">
      <w:pPr>
        <w:pStyle w:val="Definition-Field2"/>
      </w:pPr>
      <w:r>
        <w:t>Office uses @workbookPassword as the hash of the password requir</w:t>
      </w:r>
      <w:r>
        <w:t>ed for unlocking the structure of the workbook and/or the windows in this workbook.</w:t>
      </w:r>
    </w:p>
    <w:p w:rsidR="000A156F" w:rsidRDefault="00A9721F">
      <w:pPr>
        <w:pStyle w:val="Definition-Field"/>
      </w:pPr>
      <w:r>
        <w:t xml:space="preserve">d.   </w:t>
      </w:r>
      <w:r>
        <w:rPr>
          <w:i/>
        </w:rPr>
        <w:t>The standard states that this setting uses a specific revisionsPassword attribute to store the password hash for unlocking revisions in the workbook.</w:t>
      </w:r>
    </w:p>
    <w:p w:rsidR="000A156F" w:rsidRDefault="00A9721F">
      <w:r>
        <w:t>In Office, when t</w:t>
      </w:r>
      <w:r>
        <w: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algorithm Name</w:t>
            </w:r>
          </w:p>
        </w:tc>
        <w:tc>
          <w:tcPr>
            <w:tcW w:w="0" w:type="auto"/>
            <w:vAlign w:val="center"/>
          </w:tcPr>
          <w:p w:rsidR="000A156F" w:rsidRDefault="00A9721F">
            <w:pPr>
              <w:pStyle w:val="TableBodyText"/>
            </w:pPr>
            <w:r>
              <w:t>The name of the c</w:t>
            </w:r>
            <w:r>
              <w:t>ryptographic hashing algorithm used to generate the hash value. Only those algorithms that are installed in the operating system’s cryptographic subsystem can be utilized by Office.</w:t>
            </w:r>
          </w:p>
          <w:p w:rsidR="000A156F" w:rsidRDefault="000A156F">
            <w:pPr>
              <w:pStyle w:val="TableBodyText"/>
            </w:pPr>
          </w:p>
          <w:p w:rsidR="000A156F" w:rsidRDefault="00A9721F">
            <w:pPr>
              <w:pStyle w:val="TableBodyText"/>
            </w:pPr>
            <w:r>
              <w:t>The hash algorithm names, described in the following table, are reserved.</w:t>
            </w:r>
          </w:p>
          <w:p w:rsidR="000A156F" w:rsidRDefault="000A156F">
            <w:pPr>
              <w:pStyle w:val="TableBodyText"/>
            </w:pPr>
          </w:p>
          <w:p w:rsidR="000A156F" w:rsidRDefault="00A9721F">
            <w:pPr>
              <w:pStyle w:val="TableBodyText"/>
            </w:pPr>
            <w:r>
              <w:rPr>
                <w:b/>
                <w:i/>
              </w:rPr>
              <w:t xml:space="preserve">MD2 </w:t>
            </w:r>
          </w:p>
          <w:p w:rsidR="000A156F" w:rsidRDefault="00A9721F">
            <w:pPr>
              <w:pStyle w:val="TableBodyText"/>
            </w:pPr>
            <w:r>
              <w:rPr>
                <w:i/>
              </w:rPr>
              <w:t>Specifies that the MD2 algorithm, as defined by RFC 1319,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 xml:space="preserve">MD4 </w:t>
            </w:r>
          </w:p>
          <w:p w:rsidR="000A156F" w:rsidRDefault="00A9721F">
            <w:pPr>
              <w:pStyle w:val="TableBodyText"/>
            </w:pPr>
            <w:r>
              <w:rPr>
                <w:i/>
              </w:rPr>
              <w:t xml:space="preserve">Specifies that the MD4 </w:t>
            </w:r>
            <w:r>
              <w:rPr>
                <w:i/>
              </w:rPr>
              <w:t>algorithm, as defined by RFC 1320, shall be used.</w:t>
            </w:r>
          </w:p>
          <w:p w:rsidR="000A156F" w:rsidRDefault="000A156F">
            <w:pPr>
              <w:pStyle w:val="TableBodyText"/>
            </w:pPr>
          </w:p>
          <w:p w:rsidR="000A156F" w:rsidRDefault="00A9721F">
            <w:pPr>
              <w:pStyle w:val="TableBodyText"/>
            </w:pPr>
            <w:r>
              <w:rPr>
                <w:i/>
              </w:rPr>
              <w:t xml:space="preserve">[Note: It is recommended that applications should avoid using this algorithm to store new hash </w:t>
            </w:r>
            <w:r>
              <w:rPr>
                <w:i/>
              </w:rPr>
              <w:lastRenderedPageBreak/>
              <w:t>values, because of publicly known breaks. end note]</w:t>
            </w:r>
          </w:p>
          <w:p w:rsidR="000A156F" w:rsidRDefault="00A9721F">
            <w:pPr>
              <w:pStyle w:val="TableBodyText"/>
            </w:pPr>
            <w:r>
              <w:rPr>
                <w:b/>
                <w:i/>
              </w:rPr>
              <w:t>MD5</w:t>
            </w:r>
          </w:p>
          <w:p w:rsidR="000A156F" w:rsidRDefault="00A9721F">
            <w:pPr>
              <w:pStyle w:val="TableBodyText"/>
            </w:pPr>
            <w:r>
              <w:rPr>
                <w:i/>
              </w:rPr>
              <w:t xml:space="preserve">Specifies that the MD5 algorithm, as defined by RFC </w:t>
            </w:r>
            <w:r>
              <w:rPr>
                <w:i/>
              </w:rPr>
              <w:t>1321,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RIPEMD-128</w:t>
            </w:r>
          </w:p>
          <w:p w:rsidR="000A156F" w:rsidRDefault="00A9721F">
            <w:pPr>
              <w:pStyle w:val="TableBodyText"/>
            </w:pPr>
            <w:r>
              <w:rPr>
                <w:i/>
              </w:rPr>
              <w:t xml:space="preserve">Specifies that the RIPEMD-128 algorithm, as defined by ISO/IEC 10118-3:2004 </w:t>
            </w:r>
            <w:r>
              <w:rPr>
                <w:i/>
              </w:rPr>
              <w:t>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RIPEMD-160</w:t>
            </w:r>
          </w:p>
          <w:p w:rsidR="000A156F" w:rsidRDefault="00A9721F">
            <w:pPr>
              <w:pStyle w:val="TableBodyText"/>
            </w:pPr>
            <w:r>
              <w:rPr>
                <w:i/>
              </w:rPr>
              <w:t>Specifies that the RIPEMD-160 algorithm, as defined by ISO/IEC 10118-3:2004, shall</w:t>
            </w:r>
            <w:r>
              <w:rPr>
                <w:i/>
              </w:rPr>
              <w:t xml:space="preserve"> be used.</w:t>
            </w:r>
          </w:p>
          <w:p w:rsidR="000A156F" w:rsidRDefault="00A9721F">
            <w:pPr>
              <w:pStyle w:val="TableBodyText"/>
            </w:pPr>
            <w:r>
              <w:rPr>
                <w:b/>
                <w:i/>
              </w:rPr>
              <w:t>SHA-1</w:t>
            </w:r>
          </w:p>
          <w:p w:rsidR="000A156F" w:rsidRDefault="00A9721F">
            <w:pPr>
              <w:pStyle w:val="TableBodyText"/>
            </w:pPr>
            <w:r>
              <w:rPr>
                <w:i/>
              </w:rPr>
              <w:t>Specifies that the SHA-1 algorithm, as defined by ISO/IEC 10118-3:2004, shall be used.</w:t>
            </w:r>
          </w:p>
          <w:p w:rsidR="000A156F" w:rsidRDefault="00A9721F">
            <w:pPr>
              <w:pStyle w:val="TableBodyText"/>
            </w:pPr>
            <w:r>
              <w:rPr>
                <w:b/>
                <w:i/>
              </w:rPr>
              <w:t>SHA-256</w:t>
            </w:r>
          </w:p>
          <w:p w:rsidR="000A156F" w:rsidRDefault="00A9721F">
            <w:pPr>
              <w:pStyle w:val="TableBodyText"/>
            </w:pPr>
            <w:r>
              <w:rPr>
                <w:i/>
              </w:rPr>
              <w:t>Specifies that the SHA-256 algorithm, as defined by ISO/IEC 10118-3:2004, shall be used.</w:t>
            </w:r>
          </w:p>
          <w:p w:rsidR="000A156F" w:rsidRDefault="00A9721F">
            <w:pPr>
              <w:pStyle w:val="TableBodyText"/>
            </w:pPr>
            <w:r>
              <w:rPr>
                <w:b/>
                <w:i/>
              </w:rPr>
              <w:t>SHA-384</w:t>
            </w:r>
          </w:p>
          <w:p w:rsidR="000A156F" w:rsidRDefault="00A9721F">
            <w:pPr>
              <w:pStyle w:val="TableBodyText"/>
            </w:pPr>
            <w:r>
              <w:rPr>
                <w:i/>
              </w:rPr>
              <w:t>Specifies that the SHA-384 algorithm, as defined</w:t>
            </w:r>
            <w:r>
              <w:rPr>
                <w:i/>
              </w:rPr>
              <w:t xml:space="preserve"> by ISO/IEC 10118-3:2004, shall be used.</w:t>
            </w:r>
          </w:p>
          <w:p w:rsidR="000A156F" w:rsidRDefault="00A9721F">
            <w:pPr>
              <w:pStyle w:val="TableBodyText"/>
            </w:pPr>
            <w:r>
              <w:rPr>
                <w:b/>
                <w:i/>
              </w:rPr>
              <w:t>SHA-512</w:t>
            </w:r>
          </w:p>
          <w:p w:rsidR="000A156F" w:rsidRDefault="00A9721F">
            <w:pPr>
              <w:pStyle w:val="TableBodyText"/>
            </w:pPr>
            <w:r>
              <w:rPr>
                <w:i/>
              </w:rPr>
              <w:t>Specifies that the SHA-512 algorithm, as defined by ISO/IEC 10118-3:2004, shall be used.</w:t>
            </w:r>
          </w:p>
          <w:p w:rsidR="000A156F" w:rsidRDefault="00A9721F">
            <w:pPr>
              <w:pStyle w:val="TableBodyText"/>
            </w:pPr>
            <w:r>
              <w:rPr>
                <w:b/>
                <w:i/>
              </w:rPr>
              <w:t>WHIRLPOOL</w:t>
            </w:r>
          </w:p>
          <w:p w:rsidR="000A156F" w:rsidRDefault="00A9721F">
            <w:pPr>
              <w:pStyle w:val="TableBodyText"/>
            </w:pPr>
            <w:r>
              <w:rPr>
                <w:i/>
              </w:rPr>
              <w:t>Specifies that the WHIRLPOOL algorithm, as defined by ISO/IEC 10118-3:2004, shall be used.</w:t>
            </w:r>
          </w:p>
          <w:p w:rsidR="000A156F" w:rsidRDefault="000A156F">
            <w:pPr>
              <w:pStyle w:val="TableBodyText"/>
            </w:pP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hash Value</w:t>
            </w:r>
          </w:p>
        </w:tc>
        <w:tc>
          <w:tcPr>
            <w:tcW w:w="0" w:type="auto"/>
            <w:vAlign w:val="center"/>
          </w:tcPr>
          <w:p w:rsidR="000A156F" w:rsidRDefault="00A9721F">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w:t>
            </w:r>
            <w:r>
              <w:t xml:space="preserve"> If the two values match, the protection shall no longer be enforced.</w:t>
            </w:r>
          </w:p>
          <w:p w:rsidR="000A156F" w:rsidRDefault="000A156F">
            <w:pPr>
              <w:pStyle w:val="TableBodyText"/>
            </w:pPr>
          </w:p>
          <w:p w:rsidR="000A156F" w:rsidRDefault="00A9721F">
            <w:pPr>
              <w:pStyle w:val="TableBodyText"/>
            </w:pPr>
            <w:r>
              <w:t>If this value is omitted, then the reservationPassword attribute shall contain the password hash for the workbook.</w:t>
            </w:r>
          </w:p>
          <w:p w:rsidR="000A156F" w:rsidRDefault="000A156F">
            <w:pPr>
              <w:pStyle w:val="TableBodyText"/>
            </w:pPr>
          </w:p>
          <w:p w:rsidR="000A156F" w:rsidRDefault="00A9721F">
            <w:pPr>
              <w:pStyle w:val="TableBodyText"/>
            </w:pPr>
            <w:r>
              <w:t>[</w:t>
            </w:r>
            <w:r>
              <w:rPr>
                <w:i/>
              </w:rPr>
              <w:t>Example</w:t>
            </w:r>
            <w:r>
              <w:t>: Consider an Office Open XML document with the following inf</w:t>
            </w:r>
            <w:r>
              <w:t>ormation stored in one of its protection elements:</w:t>
            </w:r>
          </w:p>
          <w:p w:rsidR="000A156F" w:rsidRDefault="000A156F">
            <w:pPr>
              <w:pStyle w:val="TableBodyText"/>
            </w:pPr>
          </w:p>
          <w:p w:rsidR="000A156F" w:rsidRDefault="00A9721F">
            <w:pPr>
              <w:pStyle w:val="TableBodyText"/>
            </w:pPr>
            <w:r>
              <w:t>&lt;… algorithmName="SHA-1" hashValue="9oN7nWkCAyEZib1RomSJTjmPpCY=" /&gt;</w:t>
            </w:r>
          </w:p>
          <w:p w:rsidR="000A156F" w:rsidRDefault="000A156F">
            <w:pPr>
              <w:pStyle w:val="TableBodyText"/>
            </w:pPr>
          </w:p>
          <w:p w:rsidR="000A156F" w:rsidRDefault="00A9721F">
            <w:pPr>
              <w:pStyle w:val="TableBodyText"/>
            </w:pPr>
            <w:r>
              <w:t>The hashValue attribute value of 9oN7nWkCAyEZib1RomSJTjmPpCY= specifies that the user-supplied password must be hashed using the pre-p</w:t>
            </w:r>
            <w:r>
              <w:t xml:space="preserve">rocessing defined by the parent element (if any) followed by the hashing algorithm (specified via the algorithmName attribute value) and that the resulting hash value must be match for the protection to be disabled. </w:t>
            </w:r>
          </w:p>
          <w:p w:rsidR="000A156F" w:rsidRDefault="00A9721F">
            <w:pPr>
              <w:pStyle w:val="TableBodyText"/>
            </w:pPr>
            <w:r>
              <w:rPr>
                <w:i/>
              </w:rPr>
              <w:t>end example</w:t>
            </w:r>
            <w:r>
              <w:t>]</w:t>
            </w:r>
          </w:p>
          <w:p w:rsidR="000A156F" w:rsidRDefault="000A156F">
            <w:pPr>
              <w:pStyle w:val="TableBodyText"/>
            </w:pPr>
          </w:p>
          <w:p w:rsidR="000A156F" w:rsidRDefault="00A9721F">
            <w:pPr>
              <w:pStyle w:val="TableBodyText"/>
            </w:pPr>
            <w:r>
              <w:t>The possible values for t</w:t>
            </w:r>
            <w:r>
              <w:t>his attribute are defined by the W3C XML Schema base64Binary datatype.</w:t>
            </w:r>
          </w:p>
        </w:tc>
      </w:tr>
      <w:tr w:rsidR="000A156F" w:rsidTr="000A156F">
        <w:tc>
          <w:tcPr>
            <w:tcW w:w="0" w:type="auto"/>
            <w:vAlign w:val="center"/>
          </w:tcPr>
          <w:p w:rsidR="000A156F" w:rsidRDefault="00A9721F">
            <w:pPr>
              <w:pStyle w:val="TableBodyText"/>
            </w:pPr>
            <w:r>
              <w:rPr>
                <w:b/>
              </w:rPr>
              <w:t>saltValue</w:t>
            </w:r>
          </w:p>
        </w:tc>
        <w:tc>
          <w:tcPr>
            <w:tcW w:w="0" w:type="auto"/>
            <w:vAlign w:val="center"/>
          </w:tcPr>
          <w:p w:rsidR="000A156F" w:rsidRDefault="00A9721F">
            <w:pPr>
              <w:pStyle w:val="TableBodyText"/>
            </w:pPr>
            <w:r>
              <w:t>Specifies the random bytes that are pre-pended to the user-supplied password before it was hashed by the hashing algorithm.</w:t>
            </w:r>
          </w:p>
        </w:tc>
      </w:tr>
      <w:tr w:rsidR="000A156F" w:rsidTr="000A156F">
        <w:tc>
          <w:tcPr>
            <w:tcW w:w="0" w:type="auto"/>
            <w:vAlign w:val="center"/>
          </w:tcPr>
          <w:p w:rsidR="000A156F" w:rsidRDefault="00A9721F">
            <w:pPr>
              <w:pStyle w:val="TableBodyText"/>
            </w:pPr>
            <w:r>
              <w:rPr>
                <w:b/>
              </w:rPr>
              <w:t>spinCount</w:t>
            </w:r>
          </w:p>
        </w:tc>
        <w:tc>
          <w:tcPr>
            <w:tcW w:w="0" w:type="auto"/>
            <w:vAlign w:val="center"/>
          </w:tcPr>
          <w:p w:rsidR="000A156F" w:rsidRDefault="00A9721F">
            <w:pPr>
              <w:pStyle w:val="TableBodyText"/>
            </w:pPr>
            <w:r>
              <w:t>Specifies the number of times the hashi</w:t>
            </w:r>
            <w:r>
              <w:t>ng function shall be iteratively run (using each iteration's result as the input for the next iteration).</w:t>
            </w:r>
          </w:p>
        </w:tc>
      </w:tr>
    </w:tbl>
    <w:p w:rsidR="000A156F" w:rsidRDefault="000A156F"/>
    <w:p w:rsidR="000A156F" w:rsidRDefault="00A9721F">
      <w:r>
        <w:t xml:space="preserve">[Example: </w:t>
      </w:r>
    </w:p>
    <w:p w:rsidR="000A156F" w:rsidRDefault="00A9721F">
      <w:r>
        <w:t>Consider an Office Open XML document with the following information stored in one of its protection elements:</w:t>
      </w:r>
    </w:p>
    <w:p w:rsidR="000A156F" w:rsidRDefault="00A9721F">
      <w:r>
        <w:t xml:space="preserve">&lt; … algorithmName="SHA-1" </w:t>
      </w:r>
      <w:r>
        <w:t>hashValue="9oN7nWkCAyEZib1RomSJTjmPpCY=" /&gt;</w:t>
      </w:r>
    </w:p>
    <w:p w:rsidR="000A156F" w:rsidRDefault="00A9721F">
      <w:r>
        <w:t>The algorithmName attribute value of SHA-1 specifies that the SHA-1 hashing algorithm must be used to generate a hash from the user-defined password.</w:t>
      </w:r>
    </w:p>
    <w:p w:rsidR="000A156F" w:rsidRDefault="00A9721F">
      <w:r>
        <w:t>end example]</w:t>
      </w:r>
    </w:p>
    <w:p w:rsidR="000A156F" w:rsidRDefault="00A9721F">
      <w:pPr>
        <w:pStyle w:val="Definition-Field"/>
      </w:pPr>
      <w:r>
        <w:t xml:space="preserve">e.   </w:t>
      </w:r>
      <w:r>
        <w:rPr>
          <w:i/>
        </w:rPr>
        <w:t>The standard states that this setting uses a</w:t>
      </w:r>
      <w:r>
        <w:rPr>
          <w:i/>
        </w:rPr>
        <w:t xml:space="preserve"> specific workbookPassword attribute to store the password hash for unlocking revisions in the workbook.</w:t>
      </w:r>
    </w:p>
    <w:p w:rsidR="000A156F" w:rsidRDefault="00A9721F">
      <w:r>
        <w:t xml:space="preserve">In Office, when the HKCU/Software/Microsoft/Office/&lt;VERSION&gt;/Common/Security/UseIsoPasswordVerifier registry key is set to 1, the XML for file sharing </w:t>
      </w:r>
      <w:r>
        <w:t>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algorithm Name</w:t>
            </w:r>
          </w:p>
        </w:tc>
        <w:tc>
          <w:tcPr>
            <w:tcW w:w="0" w:type="auto"/>
            <w:vAlign w:val="center"/>
          </w:tcPr>
          <w:p w:rsidR="000A156F" w:rsidRDefault="00A9721F">
            <w:pPr>
              <w:pStyle w:val="TableBodyText"/>
            </w:pPr>
            <w:r>
              <w:t>The name of the cryptographic hashing algorithm used to generate the hash value. Only those algorithms that are installed in the operating system’s cry</w:t>
            </w:r>
            <w:r>
              <w:t>ptographic subsystem can be utilized by Office.</w:t>
            </w:r>
          </w:p>
          <w:p w:rsidR="000A156F" w:rsidRDefault="000A156F">
            <w:pPr>
              <w:pStyle w:val="TableBodyText"/>
            </w:pPr>
          </w:p>
          <w:p w:rsidR="000A156F" w:rsidRDefault="00A9721F">
            <w:pPr>
              <w:pStyle w:val="TableBodyText"/>
            </w:pPr>
            <w:r>
              <w:t>The hash algorithm names, described in the following table, are reserved.</w:t>
            </w:r>
          </w:p>
          <w:p w:rsidR="000A156F" w:rsidRDefault="000A156F">
            <w:pPr>
              <w:pStyle w:val="TableBodyText"/>
            </w:pPr>
          </w:p>
          <w:p w:rsidR="000A156F" w:rsidRDefault="00A9721F">
            <w:pPr>
              <w:pStyle w:val="TableBodyText"/>
            </w:pPr>
            <w:r>
              <w:rPr>
                <w:b/>
                <w:i/>
              </w:rPr>
              <w:t xml:space="preserve">MD2 </w:t>
            </w:r>
          </w:p>
          <w:p w:rsidR="000A156F" w:rsidRDefault="00A9721F">
            <w:pPr>
              <w:pStyle w:val="TableBodyText"/>
            </w:pPr>
            <w:r>
              <w:rPr>
                <w:i/>
              </w:rPr>
              <w:t>Specifies that the MD2 algorithm, as defined by RFC 1319, shall be used.</w:t>
            </w:r>
          </w:p>
          <w:p w:rsidR="000A156F" w:rsidRDefault="000A156F">
            <w:pPr>
              <w:pStyle w:val="TableBodyText"/>
            </w:pPr>
          </w:p>
          <w:p w:rsidR="000A156F" w:rsidRDefault="00A9721F">
            <w:pPr>
              <w:pStyle w:val="TableBodyText"/>
            </w:pPr>
            <w:r>
              <w:rPr>
                <w:i/>
              </w:rPr>
              <w:t>[Note: It is recommended that applications should avo</w:t>
            </w:r>
            <w:r>
              <w:rPr>
                <w:i/>
              </w:rPr>
              <w:t>id using this algorithm to store new hash values, because of publicly known breaks. end note]</w:t>
            </w:r>
          </w:p>
          <w:p w:rsidR="000A156F" w:rsidRDefault="00A9721F">
            <w:pPr>
              <w:pStyle w:val="TableBodyText"/>
            </w:pPr>
            <w:r>
              <w:rPr>
                <w:b/>
                <w:i/>
              </w:rPr>
              <w:t xml:space="preserve">MD4 </w:t>
            </w:r>
          </w:p>
          <w:p w:rsidR="000A156F" w:rsidRDefault="00A9721F">
            <w:pPr>
              <w:pStyle w:val="TableBodyText"/>
            </w:pPr>
            <w:r>
              <w:rPr>
                <w:i/>
              </w:rPr>
              <w:t>Specifies that the MD4 algorithm, as defined by RFC 1320, shall be used.</w:t>
            </w:r>
          </w:p>
          <w:p w:rsidR="000A156F" w:rsidRDefault="000A156F">
            <w:pPr>
              <w:pStyle w:val="TableBodyText"/>
            </w:pPr>
          </w:p>
          <w:p w:rsidR="000A156F" w:rsidRDefault="00A9721F">
            <w:pPr>
              <w:pStyle w:val="TableBodyText"/>
            </w:pPr>
            <w:r>
              <w:rPr>
                <w:i/>
              </w:rPr>
              <w:t>[Note: It is recommended that applications should avoid using this algorithm to sto</w:t>
            </w:r>
            <w:r>
              <w:rPr>
                <w:i/>
              </w:rPr>
              <w:t>re new hash values, because of publicly known breaks. end note]</w:t>
            </w:r>
          </w:p>
          <w:p w:rsidR="000A156F" w:rsidRDefault="00A9721F">
            <w:pPr>
              <w:pStyle w:val="TableBodyText"/>
            </w:pPr>
            <w:r>
              <w:rPr>
                <w:b/>
                <w:i/>
              </w:rPr>
              <w:t>MD5</w:t>
            </w:r>
          </w:p>
          <w:p w:rsidR="000A156F" w:rsidRDefault="00A9721F">
            <w:pPr>
              <w:pStyle w:val="TableBodyText"/>
            </w:pPr>
            <w:r>
              <w:rPr>
                <w:i/>
              </w:rPr>
              <w:t>Specifies that the MD5 algorithm, as defined by RFC 1321, shall be used.</w:t>
            </w:r>
          </w:p>
          <w:p w:rsidR="000A156F" w:rsidRDefault="000A156F">
            <w:pPr>
              <w:pStyle w:val="TableBodyText"/>
            </w:pPr>
          </w:p>
          <w:p w:rsidR="000A156F" w:rsidRDefault="00A9721F">
            <w:pPr>
              <w:pStyle w:val="TableBodyText"/>
            </w:pPr>
            <w:r>
              <w:rPr>
                <w:i/>
              </w:rPr>
              <w:t xml:space="preserve">[Note: It is recommended that applications should avoid using this algorithm to store new hash values, because of </w:t>
            </w:r>
            <w:r>
              <w:rPr>
                <w:i/>
              </w:rPr>
              <w:t>publicly known breaks. end note]</w:t>
            </w:r>
          </w:p>
          <w:p w:rsidR="000A156F" w:rsidRDefault="00A9721F">
            <w:pPr>
              <w:pStyle w:val="TableBodyText"/>
            </w:pPr>
            <w:r>
              <w:rPr>
                <w:b/>
                <w:i/>
              </w:rPr>
              <w:t>RIPEMD-128</w:t>
            </w:r>
          </w:p>
          <w:p w:rsidR="000A156F" w:rsidRDefault="00A9721F">
            <w:pPr>
              <w:pStyle w:val="TableBodyText"/>
            </w:pPr>
            <w:r>
              <w:rPr>
                <w:i/>
              </w:rPr>
              <w:t>Specifies that the RIPEMD-128 algorithm, as defined by ISO/IEC 10118-3:2004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w:t>
            </w:r>
            <w:r>
              <w:rPr>
                <w:i/>
              </w:rPr>
              <w:t>ly known breaks. end note]</w:t>
            </w:r>
          </w:p>
          <w:p w:rsidR="000A156F" w:rsidRDefault="00A9721F">
            <w:pPr>
              <w:pStyle w:val="TableBodyText"/>
            </w:pPr>
            <w:r>
              <w:rPr>
                <w:b/>
                <w:i/>
              </w:rPr>
              <w:t>RIPEMD-160</w:t>
            </w:r>
          </w:p>
          <w:p w:rsidR="000A156F" w:rsidRDefault="00A9721F">
            <w:pPr>
              <w:pStyle w:val="TableBodyText"/>
            </w:pPr>
            <w:r>
              <w:rPr>
                <w:i/>
              </w:rPr>
              <w:t>Specifies that the RIPEMD-160 algorithm, as defined by ISO/IEC 10118-3:2004, shall be used.</w:t>
            </w:r>
          </w:p>
          <w:p w:rsidR="000A156F" w:rsidRDefault="00A9721F">
            <w:pPr>
              <w:pStyle w:val="TableBodyText"/>
            </w:pPr>
            <w:r>
              <w:rPr>
                <w:b/>
                <w:i/>
              </w:rPr>
              <w:t>SHA-1</w:t>
            </w:r>
          </w:p>
          <w:p w:rsidR="000A156F" w:rsidRDefault="00A9721F">
            <w:pPr>
              <w:pStyle w:val="TableBodyText"/>
            </w:pPr>
            <w:r>
              <w:rPr>
                <w:i/>
              </w:rPr>
              <w:t>Specifies that the SHA-1 algorithm, as defined by ISO/IEC 10118-3:2004, shall be used.</w:t>
            </w:r>
          </w:p>
          <w:p w:rsidR="000A156F" w:rsidRDefault="00A9721F">
            <w:pPr>
              <w:pStyle w:val="TableBodyText"/>
            </w:pPr>
            <w:r>
              <w:rPr>
                <w:b/>
                <w:i/>
              </w:rPr>
              <w:t>SHA-256</w:t>
            </w:r>
          </w:p>
          <w:p w:rsidR="000A156F" w:rsidRDefault="00A9721F">
            <w:pPr>
              <w:pStyle w:val="TableBodyText"/>
            </w:pPr>
            <w:r>
              <w:rPr>
                <w:i/>
              </w:rPr>
              <w:lastRenderedPageBreak/>
              <w:t>Specifies that the SHA-25</w:t>
            </w:r>
            <w:r>
              <w:rPr>
                <w:i/>
              </w:rPr>
              <w:t>6 algorithm, as defined by ISO/IEC 10118-3:2004, shall be used.</w:t>
            </w:r>
          </w:p>
          <w:p w:rsidR="000A156F" w:rsidRDefault="00A9721F">
            <w:pPr>
              <w:pStyle w:val="TableBodyText"/>
            </w:pPr>
            <w:r>
              <w:rPr>
                <w:b/>
                <w:i/>
              </w:rPr>
              <w:t>SHA-384</w:t>
            </w:r>
          </w:p>
          <w:p w:rsidR="000A156F" w:rsidRDefault="00A9721F">
            <w:pPr>
              <w:pStyle w:val="TableBodyText"/>
            </w:pPr>
            <w:r>
              <w:rPr>
                <w:i/>
              </w:rPr>
              <w:t>Specifies that the SHA-384 algorithm, as defined by ISO/IEC 10118-3:2004, shall be used.</w:t>
            </w:r>
          </w:p>
          <w:p w:rsidR="000A156F" w:rsidRDefault="00A9721F">
            <w:pPr>
              <w:pStyle w:val="TableBodyText"/>
            </w:pPr>
            <w:r>
              <w:rPr>
                <w:b/>
                <w:i/>
              </w:rPr>
              <w:t>SHA-512</w:t>
            </w:r>
          </w:p>
          <w:p w:rsidR="000A156F" w:rsidRDefault="00A9721F">
            <w:pPr>
              <w:pStyle w:val="TableBodyText"/>
            </w:pPr>
            <w:r>
              <w:rPr>
                <w:i/>
              </w:rPr>
              <w:t>Specifies that the SHA-512 algorithm, as defined by ISO/IEC 10118-3:2004, shall be used</w:t>
            </w:r>
            <w:r>
              <w:rPr>
                <w:i/>
              </w:rPr>
              <w:t>.</w:t>
            </w:r>
          </w:p>
          <w:p w:rsidR="000A156F" w:rsidRDefault="00A9721F">
            <w:pPr>
              <w:pStyle w:val="TableBodyText"/>
            </w:pPr>
            <w:r>
              <w:rPr>
                <w:b/>
                <w:i/>
              </w:rPr>
              <w:t>WHIRLPOOL</w:t>
            </w:r>
          </w:p>
          <w:p w:rsidR="000A156F" w:rsidRDefault="00A9721F">
            <w:pPr>
              <w:pStyle w:val="TableBodyText"/>
            </w:pPr>
            <w:r>
              <w:rPr>
                <w:i/>
              </w:rPr>
              <w:t>Specifies that the WHIRLPOOL algorithm, as defined by ISO/IEC 10118-3:2004, shall be used.</w:t>
            </w:r>
          </w:p>
          <w:p w:rsidR="000A156F" w:rsidRDefault="000A156F">
            <w:pPr>
              <w:pStyle w:val="TableBodyText"/>
            </w:pP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hash Value</w:t>
            </w:r>
          </w:p>
        </w:tc>
        <w:tc>
          <w:tcPr>
            <w:tcW w:w="0" w:type="auto"/>
            <w:vAlign w:val="center"/>
          </w:tcPr>
          <w:p w:rsidR="000A156F" w:rsidRDefault="00A9721F">
            <w:pPr>
              <w:pStyle w:val="TableBodyText"/>
            </w:pPr>
            <w:r>
              <w:t>Specifies the hash value for the password required to edit this worksheet. This value shall be compared with the resulting hash value after</w:t>
            </w:r>
            <w:r>
              <w:t xml:space="preserve"> hashing the user-supplied password using the algorithm specified by the preceding attributes and parent XML element. If the two values match, the protection shall no longer be enforced. </w:t>
            </w:r>
          </w:p>
          <w:p w:rsidR="000A156F" w:rsidRDefault="000A156F">
            <w:pPr>
              <w:pStyle w:val="TableBodyText"/>
            </w:pPr>
          </w:p>
          <w:p w:rsidR="000A156F" w:rsidRDefault="00A9721F">
            <w:pPr>
              <w:pStyle w:val="TableBodyText"/>
            </w:pPr>
            <w:r>
              <w:t xml:space="preserve">If this value is omitted, then the reservationPassword attribute shall contain the password hash for the workbook. </w:t>
            </w:r>
          </w:p>
          <w:p w:rsidR="000A156F" w:rsidRDefault="000A156F">
            <w:pPr>
              <w:pStyle w:val="TableBodyText"/>
            </w:pPr>
          </w:p>
          <w:p w:rsidR="000A156F" w:rsidRDefault="00A9721F">
            <w:pPr>
              <w:pStyle w:val="TableBodyText"/>
            </w:pPr>
            <w:r>
              <w:t>[</w:t>
            </w:r>
            <w:r>
              <w:rPr>
                <w:i/>
              </w:rPr>
              <w:t>Example</w:t>
            </w:r>
            <w:r>
              <w:t xml:space="preserve">: </w:t>
            </w:r>
          </w:p>
          <w:p w:rsidR="000A156F" w:rsidRDefault="000A156F">
            <w:pPr>
              <w:pStyle w:val="TableBodyText"/>
            </w:pPr>
          </w:p>
          <w:p w:rsidR="000A156F" w:rsidRDefault="00A9721F">
            <w:pPr>
              <w:pStyle w:val="TableBodyText"/>
            </w:pPr>
            <w:r>
              <w:t>Consider an Office Open XML document with the following information stored in one of its protection elements:</w:t>
            </w:r>
          </w:p>
          <w:p w:rsidR="000A156F" w:rsidRDefault="000A156F">
            <w:pPr>
              <w:pStyle w:val="TableBodyText"/>
            </w:pPr>
          </w:p>
          <w:p w:rsidR="000A156F" w:rsidRDefault="00A9721F">
            <w:pPr>
              <w:pStyle w:val="TableBodyText"/>
            </w:pPr>
            <w:r>
              <w:t>&lt;… algorithmName</w:t>
            </w:r>
            <w:r>
              <w:t>="SHA-1" hashValue="9oN7nWkCAyEZib1RomSJTjmPpCY=" /&gt;</w:t>
            </w:r>
          </w:p>
          <w:p w:rsidR="000A156F" w:rsidRDefault="000A156F">
            <w:pPr>
              <w:pStyle w:val="TableBodyText"/>
            </w:pPr>
          </w:p>
          <w:p w:rsidR="000A156F" w:rsidRDefault="00A9721F">
            <w:pPr>
              <w:pStyle w:val="TableBodyText"/>
            </w:pPr>
            <w:r>
              <w:t>The hashValue attribute value of 9oN7nWkCAyEZib1RomSJTjmPpCY= specifies that the user-supplied password must be hashed using the pre-processing defined by the parent element (if any) followed by the has</w:t>
            </w:r>
            <w:r>
              <w:t xml:space="preserve">hing algorithm (specified via the algorithmName attribute value) and that the resulting hash value must be match for the protection to be disabled. </w:t>
            </w:r>
          </w:p>
          <w:p w:rsidR="000A156F" w:rsidRDefault="00A9721F">
            <w:pPr>
              <w:pStyle w:val="TableBodyText"/>
            </w:pPr>
            <w:r>
              <w:rPr>
                <w:i/>
              </w:rPr>
              <w:t>end example</w:t>
            </w:r>
            <w:r>
              <w:t>]</w:t>
            </w:r>
          </w:p>
          <w:p w:rsidR="000A156F" w:rsidRDefault="000A156F">
            <w:pPr>
              <w:pStyle w:val="TableBodyText"/>
            </w:pPr>
          </w:p>
          <w:p w:rsidR="000A156F" w:rsidRDefault="00A9721F">
            <w:pPr>
              <w:pStyle w:val="TableBodyText"/>
            </w:pPr>
            <w:r>
              <w:t>The possible values for this attribute are defined by the W3C XML Schema base64Binary datatyp</w:t>
            </w:r>
            <w:r>
              <w:t>e.</w:t>
            </w:r>
          </w:p>
        </w:tc>
      </w:tr>
      <w:tr w:rsidR="000A156F" w:rsidTr="000A156F">
        <w:tc>
          <w:tcPr>
            <w:tcW w:w="0" w:type="auto"/>
            <w:vAlign w:val="center"/>
          </w:tcPr>
          <w:p w:rsidR="000A156F" w:rsidRDefault="00A9721F">
            <w:pPr>
              <w:pStyle w:val="TableBodyText"/>
            </w:pPr>
            <w:r>
              <w:rPr>
                <w:b/>
              </w:rPr>
              <w:t>saltValue</w:t>
            </w:r>
          </w:p>
        </w:tc>
        <w:tc>
          <w:tcPr>
            <w:tcW w:w="0" w:type="auto"/>
            <w:vAlign w:val="center"/>
          </w:tcPr>
          <w:p w:rsidR="000A156F" w:rsidRDefault="00A9721F">
            <w:pPr>
              <w:pStyle w:val="TableBodyText"/>
            </w:pPr>
            <w:r>
              <w:t>Specifies the random bytes that are pre-pended to the user-supplied password before it was hashed by the hashing algorithm.</w:t>
            </w:r>
          </w:p>
        </w:tc>
      </w:tr>
      <w:tr w:rsidR="000A156F" w:rsidTr="000A156F">
        <w:tc>
          <w:tcPr>
            <w:tcW w:w="0" w:type="auto"/>
            <w:vAlign w:val="center"/>
          </w:tcPr>
          <w:p w:rsidR="000A156F" w:rsidRDefault="00A9721F">
            <w:pPr>
              <w:pStyle w:val="TableBodyText"/>
            </w:pPr>
            <w:r>
              <w:rPr>
                <w:b/>
              </w:rPr>
              <w:t>spinCount</w:t>
            </w:r>
          </w:p>
        </w:tc>
        <w:tc>
          <w:tcPr>
            <w:tcW w:w="0" w:type="auto"/>
            <w:vAlign w:val="center"/>
          </w:tcPr>
          <w:p w:rsidR="000A156F" w:rsidRDefault="00A9721F">
            <w:pPr>
              <w:pStyle w:val="TableBodyText"/>
            </w:pPr>
            <w:r>
              <w:t xml:space="preserve">Specifies the number of times the hashing function shall be iteratively run (using each iteration's result </w:t>
            </w:r>
            <w:r>
              <w:t>as the input for the next iteration).</w:t>
            </w:r>
          </w:p>
        </w:tc>
      </w:tr>
    </w:tbl>
    <w:p w:rsidR="000A156F" w:rsidRDefault="000A156F"/>
    <w:p w:rsidR="000A156F" w:rsidRDefault="00A9721F">
      <w:r>
        <w:t xml:space="preserve">[Example: </w:t>
      </w:r>
    </w:p>
    <w:p w:rsidR="000A156F" w:rsidRDefault="00A9721F">
      <w:r>
        <w:t>Consider an Office Open XML document with the following information stored in one of its protection elements:</w:t>
      </w:r>
    </w:p>
    <w:p w:rsidR="000A156F" w:rsidRDefault="00A9721F">
      <w:r>
        <w:t>&lt; … algorithmName="SHA-1" hashValue="9oN7nWkCAyEZib1RomSJTjmPpCY=" /&gt;</w:t>
      </w:r>
    </w:p>
    <w:p w:rsidR="000A156F" w:rsidRDefault="00A9721F">
      <w:r>
        <w:t xml:space="preserve">The algorithmName </w:t>
      </w:r>
      <w:r>
        <w:t>attribute value of SHA-1 specifies that the SHA-1 hashing algorithm must be used to generate a hash from the user-defined password.</w:t>
      </w:r>
    </w:p>
    <w:p w:rsidR="000A156F" w:rsidRDefault="00A9721F">
      <w:r>
        <w:t>end example]</w:t>
      </w:r>
    </w:p>
    <w:p w:rsidR="000A156F" w:rsidRDefault="00A9721F">
      <w:pPr>
        <w:pStyle w:val="Heading3"/>
      </w:pPr>
      <w:bookmarkStart w:id="1194" w:name="section_6cdbff1e167a4316bdfe387b87fc6e58"/>
      <w:bookmarkStart w:id="1195" w:name="_Toc181683623"/>
      <w:r>
        <w:lastRenderedPageBreak/>
        <w:t>Part 1 Section 18.2.30, workbookView (Workbook View)</w:t>
      </w:r>
      <w:bookmarkEnd w:id="1194"/>
      <w:bookmarkEnd w:id="1195"/>
      <w:r>
        <w:fldChar w:fldCharType="begin"/>
      </w:r>
      <w:r>
        <w:instrText xml:space="preserve"> XE "workbookView (Workbook View)" </w:instrText>
      </w:r>
      <w:r>
        <w:fldChar w:fldCharType="end"/>
      </w:r>
    </w:p>
    <w:p w:rsidR="000A156F" w:rsidRDefault="00A9721F">
      <w:pPr>
        <w:pStyle w:val="Definition-Field"/>
      </w:pPr>
      <w:r>
        <w:t xml:space="preserve">a.   </w:t>
      </w:r>
      <w:r>
        <w:rPr>
          <w:i/>
        </w:rPr>
        <w:t>The standard doe</w:t>
      </w:r>
      <w:r>
        <w:rPr>
          <w:i/>
        </w:rPr>
        <w:t>s not place any restrictions on the length of the value for @windowHeight and @windowWidth.</w:t>
      </w:r>
    </w:p>
    <w:p w:rsidR="000A156F" w:rsidRDefault="00A9721F">
      <w:pPr>
        <w:pStyle w:val="Definition-Field2"/>
      </w:pPr>
      <w:r>
        <w:t>Office requires that the value of @windowHeight and @windowWidth be less than or equal to 2147483647.</w:t>
      </w:r>
    </w:p>
    <w:p w:rsidR="000A156F" w:rsidRDefault="00A9721F">
      <w:pPr>
        <w:pStyle w:val="Definition-Field"/>
      </w:pPr>
      <w:r>
        <w:t xml:space="preserve">b.   </w:t>
      </w:r>
      <w:r>
        <w:rPr>
          <w:i/>
        </w:rPr>
        <w:t>The standard does not place any restrictions on the value</w:t>
      </w:r>
      <w:r>
        <w:rPr>
          <w:i/>
        </w:rPr>
        <w:t xml:space="preserve"> for @tabRatio.</w:t>
      </w:r>
    </w:p>
    <w:p w:rsidR="000A156F" w:rsidRDefault="00A9721F">
      <w:pPr>
        <w:pStyle w:val="Definition-Field2"/>
      </w:pPr>
      <w:r>
        <w:t>Office requires that @tabRatio be less than or equal to 1000.</w:t>
      </w:r>
    </w:p>
    <w:p w:rsidR="000A156F" w:rsidRDefault="00A9721F">
      <w:pPr>
        <w:pStyle w:val="Definition-Field"/>
      </w:pPr>
      <w:r>
        <w:t xml:space="preserve">c.   </w:t>
      </w:r>
      <w:r>
        <w:rPr>
          <w:i/>
        </w:rPr>
        <w:t>The standard does not place any restrictions on the value for @activeTab.</w:t>
      </w:r>
    </w:p>
    <w:p w:rsidR="000A156F" w:rsidRDefault="00A9721F">
      <w:pPr>
        <w:pStyle w:val="Definition-Field2"/>
      </w:pPr>
      <w:r>
        <w:t>Office requires that @activeTab be between 0 and 32766 inclusive.</w:t>
      </w:r>
    </w:p>
    <w:p w:rsidR="000A156F" w:rsidRDefault="00A9721F">
      <w:pPr>
        <w:pStyle w:val="Definition-Field"/>
      </w:pPr>
      <w:r>
        <w:t xml:space="preserve">d.   </w:t>
      </w:r>
      <w:r>
        <w:rPr>
          <w:i/>
        </w:rPr>
        <w:t>The standard does not restri</w:t>
      </w:r>
      <w:r>
        <w:rPr>
          <w:i/>
        </w:rPr>
        <w:t>ct the value of the firstSheet attribute.</w:t>
      </w:r>
    </w:p>
    <w:p w:rsidR="000A156F" w:rsidRDefault="00A9721F">
      <w:pPr>
        <w:pStyle w:val="Definition-Field2"/>
      </w:pPr>
      <w:r>
        <w:t>Office limits the value of the firstSheet attribute to 0 through 32766 inclusive or to 4294967286.</w:t>
      </w:r>
    </w:p>
    <w:p w:rsidR="000A156F" w:rsidRDefault="00A9721F">
      <w:pPr>
        <w:pStyle w:val="Heading3"/>
      </w:pPr>
      <w:bookmarkStart w:id="1196" w:name="section_2a1eea2d377344f7ab3b51dd9a427f79"/>
      <w:bookmarkStart w:id="1197" w:name="_Toc181683624"/>
      <w:r>
        <w:t>Part 1 Section 18.3.1.1, anchor (Object Cell Anchor)</w:t>
      </w:r>
      <w:bookmarkEnd w:id="1196"/>
      <w:bookmarkEnd w:id="1197"/>
      <w:r>
        <w:fldChar w:fldCharType="begin"/>
      </w:r>
      <w:r>
        <w:instrText xml:space="preserve"> XE "anchor (Object Cell Anchor)" </w:instrText>
      </w:r>
      <w:r>
        <w:fldChar w:fldCharType="end"/>
      </w:r>
    </w:p>
    <w:p w:rsidR="000A156F" w:rsidRDefault="00A9721F">
      <w:pPr>
        <w:pStyle w:val="Definition-Field"/>
      </w:pPr>
      <w:r>
        <w:t xml:space="preserve">a.   </w:t>
      </w:r>
      <w:r>
        <w:rPr>
          <w:i/>
        </w:rPr>
        <w:t>The standard states t</w:t>
      </w:r>
      <w:r>
        <w:rPr>
          <w:i/>
        </w:rPr>
        <w:t>hat any combination of sizeWithCells and moveWithCells is allowed.</w:t>
      </w:r>
    </w:p>
    <w:p w:rsidR="000A156F" w:rsidRDefault="00A9721F">
      <w:pPr>
        <w:pStyle w:val="Definition-Field2"/>
      </w:pPr>
      <w:r>
        <w:t>Office does not implement the combination sizeWithCells with a value of true and moveWithCells with a value of false.</w:t>
      </w:r>
    </w:p>
    <w:p w:rsidR="000A156F" w:rsidRDefault="00A9721F">
      <w:pPr>
        <w:pStyle w:val="Definition-Field"/>
      </w:pPr>
      <w:r>
        <w:t xml:space="preserve">b.   </w:t>
      </w:r>
      <w:r>
        <w:rPr>
          <w:i/>
        </w:rPr>
        <w:t>The standard specifies that the z-order attribute is a valid attri</w:t>
      </w:r>
      <w:r>
        <w:rPr>
          <w:i/>
        </w:rPr>
        <w:t>bute of the anchor element.</w:t>
      </w:r>
    </w:p>
    <w:p w:rsidR="000A156F" w:rsidRDefault="00A9721F">
      <w:pPr>
        <w:pStyle w:val="Definition-Field2"/>
      </w:pPr>
      <w:r>
        <w:t>Excel ignores the z-order attribute.</w:t>
      </w:r>
    </w:p>
    <w:p w:rsidR="000A156F" w:rsidRDefault="00A9721F">
      <w:pPr>
        <w:pStyle w:val="Heading3"/>
      </w:pPr>
      <w:bookmarkStart w:id="1198" w:name="section_77730f137af942e096c70b349853617e"/>
      <w:bookmarkStart w:id="1199" w:name="_Toc181683625"/>
      <w:r>
        <w:t>Part 1 Section 18.3.1.3, brk (Break)</w:t>
      </w:r>
      <w:bookmarkEnd w:id="1198"/>
      <w:bookmarkEnd w:id="1199"/>
      <w:r>
        <w:fldChar w:fldCharType="begin"/>
      </w:r>
      <w:r>
        <w:instrText xml:space="preserve"> XE "brk (Break)" </w:instrText>
      </w:r>
      <w:r>
        <w:fldChar w:fldCharType="end"/>
      </w:r>
    </w:p>
    <w:p w:rsidR="000A156F" w:rsidRDefault="00A9721F">
      <w:pPr>
        <w:pStyle w:val="Definition-Field"/>
      </w:pPr>
      <w:r>
        <w:t xml:space="preserve">a.   </w:t>
      </w:r>
      <w:r>
        <w:rPr>
          <w:i/>
        </w:rPr>
        <w:t>The standard states that the values of the min attribute are defined by the XML Schema unsignedInt datatype.</w:t>
      </w:r>
    </w:p>
    <w:p w:rsidR="000A156F" w:rsidRDefault="00A9721F">
      <w:pPr>
        <w:pStyle w:val="Definition-Field2"/>
      </w:pPr>
      <w:r>
        <w:t xml:space="preserve">Excel restricts the </w:t>
      </w:r>
      <w:r>
        <w:t>value of this attribute to be at most 1048576; it should never exceed the number of rows or columns in the spreadsheetML instance.</w:t>
      </w:r>
    </w:p>
    <w:p w:rsidR="000A156F" w:rsidRDefault="00A9721F">
      <w:pPr>
        <w:pStyle w:val="Definition-Field"/>
      </w:pPr>
      <w:r>
        <w:t xml:space="preserve">b.   </w:t>
      </w:r>
      <w:r>
        <w:rPr>
          <w:i/>
        </w:rPr>
        <w:t>The standard states that Page Breaks can have a start and end point defined by using the min and max attributes.</w:t>
      </w:r>
    </w:p>
    <w:p w:rsidR="000A156F" w:rsidRDefault="00A9721F">
      <w:pPr>
        <w:pStyle w:val="Definition-Field2"/>
      </w:pPr>
      <w:r>
        <w:t xml:space="preserve">Office </w:t>
      </w:r>
      <w:r>
        <w:t>ignores the min and max attribute values and places a page break across the entire range.</w:t>
      </w:r>
    </w:p>
    <w:p w:rsidR="000A156F" w:rsidRDefault="00A9721F">
      <w:pPr>
        <w:pStyle w:val="Definition-Field"/>
      </w:pPr>
      <w:r>
        <w:t xml:space="preserve">c.   </w:t>
      </w:r>
      <w:r>
        <w:rPr>
          <w:i/>
        </w:rPr>
        <w:t>The standard states that the values of the id attribute are defined by the XML Schema unsignedInt datatype.</w:t>
      </w:r>
    </w:p>
    <w:p w:rsidR="000A156F" w:rsidRDefault="00A9721F">
      <w:pPr>
        <w:pStyle w:val="Definition-Field2"/>
      </w:pPr>
      <w:r>
        <w:t xml:space="preserve">Excel restricts the value of this attribute to be at </w:t>
      </w:r>
      <w:r>
        <w:t>least 1 and at most 1048576.</w:t>
      </w:r>
    </w:p>
    <w:p w:rsidR="000A156F" w:rsidRDefault="00A9721F">
      <w:pPr>
        <w:pStyle w:val="Definition-Field"/>
      </w:pPr>
      <w:r>
        <w:t xml:space="preserve">d.   </w:t>
      </w:r>
      <w:r>
        <w:rPr>
          <w:i/>
        </w:rPr>
        <w:t>The standard states that the values of the max attribute are defined by the XML Schema unsignedInt datatype.</w:t>
      </w:r>
    </w:p>
    <w:p w:rsidR="000A156F" w:rsidRDefault="00A9721F">
      <w:pPr>
        <w:pStyle w:val="Definition-Field2"/>
      </w:pPr>
      <w:r>
        <w:t>Excel restricts the value of this attribute to be at least 1 and at most 1048576.</w:t>
      </w:r>
    </w:p>
    <w:p w:rsidR="000A156F" w:rsidRDefault="00A9721F">
      <w:pPr>
        <w:pStyle w:val="Definition-Field"/>
      </w:pPr>
      <w:r>
        <w:t xml:space="preserve">e.   </w:t>
      </w:r>
      <w:r>
        <w:rPr>
          <w:i/>
        </w:rPr>
        <w:t>The standard states that t</w:t>
      </w:r>
      <w:r>
        <w:rPr>
          <w:i/>
        </w:rPr>
        <w:t>he default value of the id attribute is 0.</w:t>
      </w:r>
    </w:p>
    <w:p w:rsidR="000A156F" w:rsidRDefault="00A9721F">
      <w:pPr>
        <w:pStyle w:val="Definition-Field2"/>
      </w:pPr>
      <w:r>
        <w:t>Excel does not use a default value for this attribute.</w:t>
      </w:r>
    </w:p>
    <w:p w:rsidR="000A156F" w:rsidRDefault="00A9721F">
      <w:pPr>
        <w:pStyle w:val="Definition-Field"/>
      </w:pPr>
      <w:r>
        <w:t xml:space="preserve">f.   </w:t>
      </w:r>
      <w:r>
        <w:rPr>
          <w:i/>
        </w:rPr>
        <w:t>The standard states that the default value of the max attribute is 0.</w:t>
      </w:r>
    </w:p>
    <w:p w:rsidR="000A156F" w:rsidRDefault="00A9721F">
      <w:pPr>
        <w:pStyle w:val="Definition-Field2"/>
      </w:pPr>
      <w:r>
        <w:t>Excel does not use a default value for this attribute.</w:t>
      </w:r>
    </w:p>
    <w:p w:rsidR="000A156F" w:rsidRDefault="00A9721F">
      <w:pPr>
        <w:pStyle w:val="Heading3"/>
      </w:pPr>
      <w:bookmarkStart w:id="1200" w:name="section_2fd4e47f09654c6095bdcff980b6c325"/>
      <w:bookmarkStart w:id="1201" w:name="_Toc181683626"/>
      <w:r>
        <w:lastRenderedPageBreak/>
        <w:t>Part 1 Section 18.3.1.4, c (Cell)</w:t>
      </w:r>
      <w:bookmarkEnd w:id="1200"/>
      <w:bookmarkEnd w:id="1201"/>
      <w:r>
        <w:fldChar w:fldCharType="begin"/>
      </w:r>
      <w:r>
        <w:instrText xml:space="preserve"> XE "c (Cell)" </w:instrText>
      </w:r>
      <w:r>
        <w:fldChar w:fldCharType="end"/>
      </w:r>
    </w:p>
    <w:p w:rsidR="000A156F" w:rsidRDefault="00A9721F">
      <w:pPr>
        <w:pStyle w:val="Definition-Field"/>
      </w:pPr>
      <w:r>
        <w:t xml:space="preserve">a.   </w:t>
      </w:r>
      <w:r>
        <w:rPr>
          <w:i/>
        </w:rPr>
        <w:t>The standard states that @cm is zero-based index and does not specify the collection.</w:t>
      </w:r>
    </w:p>
    <w:p w:rsidR="000A156F" w:rsidRDefault="00A9721F">
      <w:pPr>
        <w:pStyle w:val="Definition-Field2"/>
      </w:pPr>
      <w:r>
        <w:t>Office specifies that @cm is a one-based index into the cellMetadata collection in the metadata part.</w:t>
      </w:r>
    </w:p>
    <w:p w:rsidR="000A156F" w:rsidRDefault="00A9721F">
      <w:pPr>
        <w:pStyle w:val="Definition-Field"/>
      </w:pPr>
      <w:r>
        <w:t xml:space="preserve">b.   </w:t>
      </w:r>
      <w:r>
        <w:rPr>
          <w:i/>
        </w:rPr>
        <w:t>The sta</w:t>
      </w:r>
      <w:r>
        <w:rPr>
          <w:i/>
        </w:rPr>
        <w:t>ndard states that @vm is a zero-based index and does not specify the collection.</w:t>
      </w:r>
    </w:p>
    <w:p w:rsidR="000A156F" w:rsidRDefault="00A9721F">
      <w:pPr>
        <w:pStyle w:val="Definition-Field2"/>
      </w:pPr>
      <w:r>
        <w:t>Office specifies that @vm is a one-based index into cellMetadata collection in the metadata part.</w:t>
      </w:r>
    </w:p>
    <w:p w:rsidR="000A156F" w:rsidRDefault="00A9721F">
      <w:pPr>
        <w:pStyle w:val="Definition-Field"/>
      </w:pPr>
      <w:r>
        <w:t xml:space="preserve">c.   </w:t>
      </w:r>
      <w:r>
        <w:rPr>
          <w:i/>
        </w:rPr>
        <w:t xml:space="preserve">The standard makes @r optional in the schema, but the prose does not </w:t>
      </w:r>
      <w:r>
        <w:rPr>
          <w:i/>
        </w:rPr>
        <w:t>explain the meaning of the default behavior.</w:t>
      </w:r>
    </w:p>
    <w:p w:rsidR="000A156F" w:rsidRDefault="00A9721F">
      <w:r>
        <w:t xml:space="preserve">If this attribute is not specified, the cell shall be located in the column with the index that is 1 greater than that of the previous cell in the parent </w:t>
      </w:r>
      <w:r>
        <w:rPr>
          <w:b/>
        </w:rPr>
        <w:t xml:space="preserve">row </w:t>
      </w:r>
      <w:r>
        <w:t>collection. If this attribute is not specified and th</w:t>
      </w:r>
      <w:r>
        <w:t xml:space="preserve">e cell is the first </w:t>
      </w:r>
      <w:r>
        <w:rPr>
          <w:b/>
        </w:rPr>
        <w:t>c</w:t>
      </w:r>
      <w:r>
        <w:t xml:space="preserve"> element in the parent </w:t>
      </w:r>
      <w:r>
        <w:rPr>
          <w:b/>
        </w:rPr>
        <w:t>row</w:t>
      </w:r>
      <w:r>
        <w:t xml:space="preserve"> collection, the cell shall be located in the first column.</w:t>
      </w:r>
    </w:p>
    <w:p w:rsidR="000A156F" w:rsidRDefault="00A9721F">
      <w:pPr>
        <w:pStyle w:val="Definition-Field"/>
      </w:pPr>
      <w:r>
        <w:t xml:space="preserve">d.   </w:t>
      </w:r>
      <w:r>
        <w:rPr>
          <w:i/>
        </w:rPr>
        <w:t>The standard states that the values of the cm attributes are defined by the XML Schema unsignedInt datatype.</w:t>
      </w:r>
    </w:p>
    <w:p w:rsidR="000A156F" w:rsidRDefault="00A9721F">
      <w:pPr>
        <w:pStyle w:val="Definition-Field2"/>
      </w:pPr>
      <w:r>
        <w:t>Office requires that the cm attribu</w:t>
      </w:r>
      <w:r>
        <w:t>te be less than 2147483648.</w:t>
      </w:r>
    </w:p>
    <w:p w:rsidR="000A156F" w:rsidRDefault="00A9721F">
      <w:pPr>
        <w:pStyle w:val="Definition-Field"/>
      </w:pPr>
      <w:r>
        <w:t xml:space="preserve">e.   </w:t>
      </w:r>
      <w:r>
        <w:rPr>
          <w:i/>
        </w:rPr>
        <w:t>The standard specifies that @vm is an unsignedInt.</w:t>
      </w:r>
    </w:p>
    <w:p w:rsidR="000A156F" w:rsidRDefault="00A9721F">
      <w:pPr>
        <w:pStyle w:val="Definition-Field2"/>
      </w:pPr>
      <w:r>
        <w:t>Office specifies that @vm is an unsignedInt and is less than 2147483648.</w:t>
      </w:r>
    </w:p>
    <w:p w:rsidR="000A156F" w:rsidRDefault="00A9721F">
      <w:pPr>
        <w:pStyle w:val="Definition-Field"/>
      </w:pPr>
      <w:r>
        <w:t xml:space="preserve">f.   </w:t>
      </w:r>
      <w:r>
        <w:rPr>
          <w:i/>
        </w:rPr>
        <w:t>The standard specifies that @s is unsignedInt.</w:t>
      </w:r>
    </w:p>
    <w:p w:rsidR="000A156F" w:rsidRDefault="00A9721F">
      <w:pPr>
        <w:pStyle w:val="Definition-Field2"/>
      </w:pPr>
      <w:r>
        <w:t>Office specifies @s is an unsignedInt between 0</w:t>
      </w:r>
      <w:r>
        <w:t xml:space="preserve"> and 65490.</w:t>
      </w:r>
    </w:p>
    <w:p w:rsidR="000A156F" w:rsidRDefault="00A9721F">
      <w:pPr>
        <w:pStyle w:val="Definition-Field"/>
      </w:pPr>
      <w:r>
        <w:t xml:space="preserve">g.   </w:t>
      </w:r>
      <w:r>
        <w:rPr>
          <w:i/>
        </w:rPr>
        <w:t>The standard does not specify which collection @s indexes.</w:t>
      </w:r>
    </w:p>
    <w:p w:rsidR="000A156F" w:rsidRDefault="00A9721F">
      <w:pPr>
        <w:pStyle w:val="Definition-Field2"/>
      </w:pPr>
      <w:r>
        <w:t>Office specifies that @s indexes into the cellXfs collection in the style part.</w:t>
      </w:r>
    </w:p>
    <w:p w:rsidR="000A156F" w:rsidRDefault="00A9721F">
      <w:pPr>
        <w:pStyle w:val="Definition-Field"/>
      </w:pPr>
      <w:r>
        <w:t xml:space="preserve">h.   </w:t>
      </w:r>
      <w:r>
        <w:rPr>
          <w:i/>
        </w:rPr>
        <w:t xml:space="preserve">The standard incorrectly describes the style index in the example as "6", which conflicts with </w:t>
      </w:r>
      <w:r>
        <w:rPr>
          <w:i/>
        </w:rPr>
        <w:t>the XML fragment.</w:t>
      </w:r>
    </w:p>
    <w:p w:rsidR="000A156F" w:rsidRDefault="00A9721F">
      <w:pPr>
        <w:pStyle w:val="Definition-Field2"/>
      </w:pPr>
      <w:r>
        <w:t>In Excel, the style index in the example should read "1" which matches the XML fragment.</w:t>
      </w:r>
    </w:p>
    <w:p w:rsidR="000A156F" w:rsidRDefault="00A9721F">
      <w:pPr>
        <w:pStyle w:val="Heading3"/>
      </w:pPr>
      <w:bookmarkStart w:id="1202" w:name="section_ec10569c1caf4285a98fce0872fe0fc2"/>
      <w:bookmarkStart w:id="1203" w:name="_Toc181683627"/>
      <w:r>
        <w:t>Part 1 Section 18.3.1.5, cellSmartTag (Cell Smart Tag)</w:t>
      </w:r>
      <w:bookmarkEnd w:id="1202"/>
      <w:bookmarkEnd w:id="1203"/>
      <w:r>
        <w:fldChar w:fldCharType="begin"/>
      </w:r>
      <w:r>
        <w:instrText xml:space="preserve"> XE "cellSmartTag (Cell Smart Tag)" </w:instrText>
      </w:r>
      <w:r>
        <w:fldChar w:fldCharType="end"/>
      </w:r>
    </w:p>
    <w:p w:rsidR="000A156F" w:rsidRDefault="00A9721F">
      <w:pPr>
        <w:pStyle w:val="Definition-Field"/>
      </w:pPr>
      <w:r>
        <w:t xml:space="preserve">a.   </w:t>
      </w:r>
      <w:r>
        <w:rPr>
          <w:i/>
        </w:rPr>
        <w:t>The standard states that the values for the type at</w:t>
      </w:r>
      <w:r>
        <w:rPr>
          <w:i/>
        </w:rPr>
        <w:t>tribute are defined by the XML Schema unsignedInt datatype.</w:t>
      </w:r>
    </w:p>
    <w:p w:rsidR="000A156F" w:rsidRDefault="00A9721F">
      <w:pPr>
        <w:pStyle w:val="Definition-Field2"/>
      </w:pPr>
      <w:r>
        <w:t>Office requires that the value be between 0 and 32768 inclusive.</w:t>
      </w:r>
    </w:p>
    <w:p w:rsidR="000A156F" w:rsidRDefault="00A9721F">
      <w:pPr>
        <w:pStyle w:val="Definition-Field"/>
      </w:pPr>
      <w:r>
        <w:t xml:space="preserve">b.   </w:t>
      </w:r>
      <w:r>
        <w:rPr>
          <w:i/>
        </w:rPr>
        <w:t>The standard indicates that there can be more than one cellSmartTag for a cell.</w:t>
      </w:r>
    </w:p>
    <w:p w:rsidR="000A156F" w:rsidRDefault="00A9721F">
      <w:pPr>
        <w:pStyle w:val="Definition-Field2"/>
      </w:pPr>
      <w:r>
        <w:t>Office assumes that each cellSmartTag must hav</w:t>
      </w:r>
      <w:r>
        <w:t>e its corresponding type present in the smartTagType element in the smartTagTypes collection of the workbook.</w:t>
      </w:r>
    </w:p>
    <w:p w:rsidR="000A156F" w:rsidRDefault="00A9721F">
      <w:pPr>
        <w:pStyle w:val="Heading3"/>
      </w:pPr>
      <w:bookmarkStart w:id="1204" w:name="section_f23f28336cf64bef83540b7f3e486b9b"/>
      <w:bookmarkStart w:id="1205" w:name="_Toc181683628"/>
      <w:r>
        <w:t>Part 1 Section 18.3.1.6, cellSmartTagPr (Smart Tag Properties)</w:t>
      </w:r>
      <w:bookmarkEnd w:id="1204"/>
      <w:bookmarkEnd w:id="1205"/>
      <w:r>
        <w:fldChar w:fldCharType="begin"/>
      </w:r>
      <w:r>
        <w:instrText xml:space="preserve"> XE "cellSmartTagPr (Smart Tag Properties)" </w:instrText>
      </w:r>
      <w:r>
        <w:fldChar w:fldCharType="end"/>
      </w:r>
    </w:p>
    <w:p w:rsidR="000A156F" w:rsidRDefault="00A9721F">
      <w:pPr>
        <w:pStyle w:val="Definition-Field"/>
      </w:pPr>
      <w:r>
        <w:t xml:space="preserve">a.   </w:t>
      </w:r>
      <w:r>
        <w:rPr>
          <w:i/>
        </w:rPr>
        <w:t xml:space="preserve">The standard does not place any </w:t>
      </w:r>
      <w:r>
        <w:rPr>
          <w:i/>
        </w:rPr>
        <w:t>restrictions on the length of the value for the key attribute.</w:t>
      </w:r>
    </w:p>
    <w:p w:rsidR="000A156F" w:rsidRDefault="00A9721F">
      <w:pPr>
        <w:pStyle w:val="Definition-Field2"/>
      </w:pPr>
      <w:r>
        <w:t>Office requires that the key attribute be less than or equal to 255 characters in length.</w:t>
      </w:r>
    </w:p>
    <w:p w:rsidR="000A156F" w:rsidRDefault="00A9721F">
      <w:pPr>
        <w:pStyle w:val="Definition-Field"/>
      </w:pPr>
      <w:r>
        <w:t xml:space="preserve">b.   </w:t>
      </w:r>
      <w:r>
        <w:rPr>
          <w:i/>
        </w:rPr>
        <w:t>The standard does not place any restrictions on the length of the value for the val attribute.</w:t>
      </w:r>
    </w:p>
    <w:p w:rsidR="000A156F" w:rsidRDefault="00A9721F">
      <w:pPr>
        <w:pStyle w:val="Definition-Field2"/>
      </w:pPr>
      <w:r>
        <w:t>Office requires that the val attribute be less than or equal to 255 characters in length.</w:t>
      </w:r>
    </w:p>
    <w:p w:rsidR="000A156F" w:rsidRDefault="00A9721F">
      <w:pPr>
        <w:pStyle w:val="Heading3"/>
      </w:pPr>
      <w:bookmarkStart w:id="1206" w:name="section_600a8463ba1f481cb30668cf2e39c541"/>
      <w:bookmarkStart w:id="1207" w:name="_Toc181683629"/>
      <w:r>
        <w:lastRenderedPageBreak/>
        <w:t>Part 1 Section 18.3.1.7, cellSmartTags (Cell Smart Tags)</w:t>
      </w:r>
      <w:bookmarkEnd w:id="1206"/>
      <w:bookmarkEnd w:id="1207"/>
      <w:r>
        <w:fldChar w:fldCharType="begin"/>
      </w:r>
      <w:r>
        <w:instrText xml:space="preserve"> XE "cellSmartTags (Cell Smart Tags)" </w:instrText>
      </w:r>
      <w:r>
        <w:fldChar w:fldCharType="end"/>
      </w:r>
    </w:p>
    <w:p w:rsidR="000A156F" w:rsidRDefault="00A9721F">
      <w:pPr>
        <w:pStyle w:val="Definition-Field"/>
      </w:pPr>
      <w:r>
        <w:t xml:space="preserve">a.   </w:t>
      </w:r>
      <w:r>
        <w:rPr>
          <w:i/>
        </w:rPr>
        <w:t xml:space="preserve">The standard does not limit the number of cellSmartTag elements </w:t>
      </w:r>
      <w:r>
        <w:rPr>
          <w:i/>
        </w:rPr>
        <w:t>that can exist within the parent element.</w:t>
      </w:r>
    </w:p>
    <w:p w:rsidR="000A156F" w:rsidRDefault="00A9721F">
      <w:pPr>
        <w:pStyle w:val="Definition-Field2"/>
      </w:pPr>
      <w:r>
        <w:t>Office allows only a single cellSmartTag element to exist within the parent.</w:t>
      </w:r>
    </w:p>
    <w:p w:rsidR="000A156F" w:rsidRDefault="00A9721F">
      <w:pPr>
        <w:pStyle w:val="Heading3"/>
      </w:pPr>
      <w:bookmarkStart w:id="1208" w:name="section_92990fe314d9435495cf5c413adeecf1"/>
      <w:bookmarkStart w:id="1209" w:name="_Toc181683630"/>
      <w:r>
        <w:t>Part 1 Section 18.3.1.8, cellWatch (Cell Watch Item)</w:t>
      </w:r>
      <w:bookmarkEnd w:id="1208"/>
      <w:bookmarkEnd w:id="1209"/>
      <w:r>
        <w:fldChar w:fldCharType="begin"/>
      </w:r>
      <w:r>
        <w:instrText xml:space="preserve"> XE "cellWatch (Cell Watch Item)" </w:instrText>
      </w:r>
      <w:r>
        <w:fldChar w:fldCharType="end"/>
      </w:r>
    </w:p>
    <w:p w:rsidR="000A156F" w:rsidRDefault="00A9721F">
      <w:pPr>
        <w:pStyle w:val="Definition-Field"/>
      </w:pPr>
      <w:r>
        <w:t xml:space="preserve">a.   </w:t>
      </w:r>
      <w:r>
        <w:rPr>
          <w:i/>
        </w:rPr>
        <w:t>The standard includes the @r defined withou</w:t>
      </w:r>
      <w:r>
        <w:rPr>
          <w:i/>
        </w:rPr>
        <w:t>t any restrictions within the parent element collection.</w:t>
      </w:r>
    </w:p>
    <w:p w:rsidR="000A156F" w:rsidRDefault="00A9721F">
      <w:pPr>
        <w:pStyle w:val="Definition-Field2"/>
      </w:pPr>
      <w:r>
        <w:t>Office requires that @r shall be unique within parent element collection.</w:t>
      </w:r>
    </w:p>
    <w:p w:rsidR="000A156F" w:rsidRDefault="00A9721F">
      <w:pPr>
        <w:pStyle w:val="Heading3"/>
      </w:pPr>
      <w:bookmarkStart w:id="1210" w:name="section_afe8b75e7f524999a2b8ad3255257de5"/>
      <w:bookmarkStart w:id="1211" w:name="_Toc181683631"/>
      <w:r>
        <w:t>Part 1 Section 18.3.1.10, cfRule (Conditional Formatting Rule)</w:t>
      </w:r>
      <w:bookmarkEnd w:id="1210"/>
      <w:bookmarkEnd w:id="1211"/>
      <w:r>
        <w:fldChar w:fldCharType="begin"/>
      </w:r>
      <w:r>
        <w:instrText xml:space="preserve"> XE "cfRule (Conditional Formatting Rule)" </w:instrText>
      </w:r>
      <w:r>
        <w:fldChar w:fldCharType="end"/>
      </w:r>
    </w:p>
    <w:p w:rsidR="000A156F" w:rsidRDefault="00A9721F">
      <w:pPr>
        <w:pStyle w:val="Definition-Field"/>
      </w:pPr>
      <w:r>
        <w:t xml:space="preserve">a.   </w:t>
      </w:r>
      <w:r>
        <w:rPr>
          <w:i/>
        </w:rPr>
        <w:t>The standard</w:t>
      </w:r>
      <w:r>
        <w:rPr>
          <w:i/>
        </w:rPr>
        <w:t xml:space="preserve"> implies that the type attribute is optional.</w:t>
      </w:r>
    </w:p>
    <w:p w:rsidR="000A156F" w:rsidRDefault="00A9721F">
      <w:pPr>
        <w:pStyle w:val="Definition-Field2"/>
      </w:pPr>
      <w:r>
        <w:t>Excel requires this attribute.</w:t>
      </w:r>
    </w:p>
    <w:p w:rsidR="000A156F" w:rsidRDefault="00A9721F">
      <w:pPr>
        <w:pStyle w:val="Definition-Field"/>
      </w:pPr>
      <w:r>
        <w:t xml:space="preserve">b.   </w:t>
      </w:r>
      <w:r>
        <w:rPr>
          <w:i/>
        </w:rPr>
        <w:t>The standard specifies the operator attribute as optional.</w:t>
      </w:r>
    </w:p>
    <w:p w:rsidR="000A156F" w:rsidRDefault="00A9721F">
      <w:pPr>
        <w:pStyle w:val="Definition-Field2"/>
      </w:pPr>
      <w:r>
        <w:t>Office requires the operator attribute to be specified if and only if type attribute value equals cells.</w:t>
      </w:r>
    </w:p>
    <w:p w:rsidR="000A156F" w:rsidRDefault="00A9721F">
      <w:pPr>
        <w:pStyle w:val="Definition-Field"/>
      </w:pPr>
      <w:r>
        <w:t xml:space="preserve">c.   </w:t>
      </w:r>
      <w:r>
        <w:rPr>
          <w:i/>
        </w:rPr>
        <w:t>The s</w:t>
      </w:r>
      <w:r>
        <w:rPr>
          <w:i/>
        </w:rPr>
        <w:t>tandard specifies timePeriod attribute as optional.</w:t>
      </w:r>
    </w:p>
    <w:p w:rsidR="000A156F" w:rsidRDefault="00A9721F">
      <w:pPr>
        <w:pStyle w:val="Definition-Field2"/>
      </w:pPr>
      <w:r>
        <w:t>Office requires timePeriod attribute to be specified if and only if type attribute value equals timePeriod.</w:t>
      </w:r>
    </w:p>
    <w:p w:rsidR="000A156F" w:rsidRDefault="00A9721F">
      <w:pPr>
        <w:pStyle w:val="Definition-Field"/>
      </w:pPr>
      <w:r>
        <w:t xml:space="preserve">d.   </w:t>
      </w:r>
      <w:r>
        <w:rPr>
          <w:i/>
        </w:rPr>
        <w:t>The standard does not specify a default value for the rank attribute.</w:t>
      </w:r>
    </w:p>
    <w:p w:rsidR="000A156F" w:rsidRDefault="00A9721F">
      <w:pPr>
        <w:pStyle w:val="Definition-Field2"/>
      </w:pPr>
      <w:r>
        <w:t xml:space="preserve">Excel uses a default </w:t>
      </w:r>
      <w:r>
        <w:t>value of 0 for this attribute.</w:t>
      </w:r>
    </w:p>
    <w:p w:rsidR="000A156F" w:rsidRDefault="00A9721F">
      <w:pPr>
        <w:pStyle w:val="Definition-Field"/>
      </w:pPr>
      <w:r>
        <w:t xml:space="preserve">e.   </w:t>
      </w:r>
      <w:r>
        <w:rPr>
          <w:i/>
        </w:rPr>
        <w:t>The standard states that the formula ("</w:t>
      </w:r>
      <w:hyperlink r:id="rId125">
        <w:r>
          <w:rPr>
            <w:rStyle w:val="Hyperlink"/>
          </w:rPr>
          <w:t>[ISO/IEC-29500-1]</w:t>
        </w:r>
      </w:hyperlink>
      <w:r>
        <w:rPr>
          <w:i/>
        </w:rPr>
        <w:t xml:space="preserve"> §18.3.1.43; formula") child element is optional.</w:t>
      </w:r>
    </w:p>
    <w:p w:rsidR="000A156F" w:rsidRDefault="00A9721F">
      <w:pPr>
        <w:pStyle w:val="Definition-Field2"/>
      </w:pPr>
      <w:r>
        <w:t xml:space="preserve">Excel requires the formula child element unless </w:t>
      </w:r>
      <w:r>
        <w:t>the type attribute is “colorScale”, “dataBar”, or “iconSet”.</w:t>
      </w:r>
    </w:p>
    <w:p w:rsidR="000A156F" w:rsidRDefault="00A9721F">
      <w:pPr>
        <w:pStyle w:val="Heading3"/>
      </w:pPr>
      <w:bookmarkStart w:id="1212" w:name="section_cce7de7460434b7d87e59b763f19fb81"/>
      <w:bookmarkStart w:id="1213" w:name="_Toc181683632"/>
      <w:r>
        <w:t>Part 1 Section 18.3.1.11, cfvo (Conditional Format Value Object)</w:t>
      </w:r>
      <w:bookmarkEnd w:id="1212"/>
      <w:bookmarkEnd w:id="1213"/>
      <w:r>
        <w:fldChar w:fldCharType="begin"/>
      </w:r>
      <w:r>
        <w:instrText xml:space="preserve"> XE "cfvo (Conditional Format Value Object)" </w:instrText>
      </w:r>
      <w:r>
        <w:fldChar w:fldCharType="end"/>
      </w:r>
    </w:p>
    <w:p w:rsidR="000A156F" w:rsidRDefault="00A9721F">
      <w:pPr>
        <w:pStyle w:val="Definition-Field"/>
      </w:pPr>
      <w:r>
        <w:t xml:space="preserve">a.   </w:t>
      </w:r>
      <w:r>
        <w:rPr>
          <w:i/>
        </w:rPr>
        <w:t>The standard describes @val as type ST_Xstring.</w:t>
      </w:r>
    </w:p>
    <w:p w:rsidR="000A156F" w:rsidRDefault="00A9721F">
      <w:pPr>
        <w:pStyle w:val="Definition-Field2"/>
      </w:pPr>
      <w:r>
        <w:t>Office assumes that @val is re</w:t>
      </w:r>
      <w:r>
        <w:t>stricted by valid Conditional Format Formulas as defined in Formulas ("</w:t>
      </w:r>
      <w:hyperlink r:id="rId126">
        <w:r>
          <w:rPr>
            <w:rStyle w:val="Hyperlink"/>
          </w:rPr>
          <w:t>[ISO/IEC-29500-1]</w:t>
        </w:r>
      </w:hyperlink>
      <w:r>
        <w:t xml:space="preserve"> §18.17").</w:t>
      </w:r>
    </w:p>
    <w:p w:rsidR="000A156F" w:rsidRDefault="00A9721F">
      <w:pPr>
        <w:pStyle w:val="Definition-Field"/>
      </w:pPr>
      <w:r>
        <w:t xml:space="preserve">b.   </w:t>
      </w:r>
      <w:r>
        <w:rPr>
          <w:i/>
        </w:rPr>
        <w:t>The standard does not state any restrictions on the value of the type attribute.</w:t>
      </w:r>
    </w:p>
    <w:p w:rsidR="000A156F" w:rsidRDefault="00A9721F">
      <w:pPr>
        <w:pStyle w:val="Definition-Field2"/>
      </w:pPr>
      <w:r>
        <w:t>In Of</w:t>
      </w:r>
      <w:r>
        <w:t>fice, if the parent element is iconSet, the type attribute cannot have values of min or max.</w:t>
      </w:r>
    </w:p>
    <w:p w:rsidR="000A156F" w:rsidRDefault="00A9721F">
      <w:pPr>
        <w:pStyle w:val="Heading3"/>
      </w:pPr>
      <w:bookmarkStart w:id="1214" w:name="section_8689ba908b1f43409eb3e48fc9c391e2"/>
      <w:bookmarkStart w:id="1215" w:name="_Toc181683633"/>
      <w:r>
        <w:t>Part 1 Section 18.3.1.12, chartsheet (Chart Sheet)</w:t>
      </w:r>
      <w:bookmarkEnd w:id="1214"/>
      <w:bookmarkEnd w:id="1215"/>
      <w:r>
        <w:fldChar w:fldCharType="begin"/>
      </w:r>
      <w:r>
        <w:instrText xml:space="preserve"> XE "chartsheet (Chart Sheet)" </w:instrText>
      </w:r>
      <w:r>
        <w:fldChar w:fldCharType="end"/>
      </w:r>
    </w:p>
    <w:p w:rsidR="000A156F" w:rsidRDefault="00A9721F">
      <w:pPr>
        <w:pStyle w:val="Definition-Field"/>
      </w:pPr>
      <w:r>
        <w:t xml:space="preserve">a.   </w:t>
      </w:r>
      <w:r>
        <w:rPr>
          <w:i/>
        </w:rPr>
        <w:t>The standard specifies that the drawingHF element is a valid child element</w:t>
      </w:r>
      <w:r>
        <w:rPr>
          <w:i/>
        </w:rPr>
        <w:t xml:space="preserve"> of the chartsheet element.</w:t>
      </w:r>
    </w:p>
    <w:p w:rsidR="000A156F" w:rsidRDefault="00A9721F">
      <w:pPr>
        <w:pStyle w:val="Definition-Field2"/>
      </w:pPr>
      <w:r>
        <w:t>Excel ignores the drawingHF element.</w:t>
      </w:r>
    </w:p>
    <w:p w:rsidR="000A156F" w:rsidRDefault="00A9721F">
      <w:pPr>
        <w:pStyle w:val="Heading3"/>
      </w:pPr>
      <w:bookmarkStart w:id="1216" w:name="section_727f47366cba40e3b4d3ce319885780e"/>
      <w:bookmarkStart w:id="1217" w:name="_Toc181683634"/>
      <w:r>
        <w:lastRenderedPageBreak/>
        <w:t>Part 1 Section 18.3.1.13, col (Column Width &amp; Formatting)</w:t>
      </w:r>
      <w:bookmarkEnd w:id="1216"/>
      <w:bookmarkEnd w:id="1217"/>
      <w:r>
        <w:fldChar w:fldCharType="begin"/>
      </w:r>
      <w:r>
        <w:instrText xml:space="preserve"> XE "col (Column Width &amp; Formatting)" </w:instrText>
      </w:r>
      <w:r>
        <w:fldChar w:fldCharType="end"/>
      </w:r>
    </w:p>
    <w:p w:rsidR="000A156F" w:rsidRDefault="00A9721F">
      <w:pPr>
        <w:pStyle w:val="Definition-Field"/>
      </w:pPr>
      <w:r>
        <w:t xml:space="preserve">a.   </w:t>
      </w:r>
      <w:r>
        <w:rPr>
          <w:i/>
        </w:rPr>
        <w:t>The standard describes the min attribute of without any restrictions on its minimum or m</w:t>
      </w:r>
      <w:r>
        <w:rPr>
          <w:i/>
        </w:rPr>
        <w:t>aximum values.</w:t>
      </w:r>
    </w:p>
    <w:p w:rsidR="000A156F" w:rsidRDefault="00A9721F">
      <w:pPr>
        <w:pStyle w:val="Definition-Field2"/>
      </w:pPr>
      <w:r>
        <w:t>Office requires the min attribute to be between 1 and 16384 inclusive.</w:t>
      </w:r>
    </w:p>
    <w:p w:rsidR="000A156F" w:rsidRDefault="00A9721F">
      <w:pPr>
        <w:pStyle w:val="Definition-Field"/>
      </w:pPr>
      <w:r>
        <w:t xml:space="preserve">b.   </w:t>
      </w:r>
      <w:r>
        <w:rPr>
          <w:i/>
        </w:rPr>
        <w:t>The standard defines the values of the max attribute without any restrictions on its length other than what is called for in xs:unsignedInt.</w:t>
      </w:r>
    </w:p>
    <w:p w:rsidR="000A156F" w:rsidRDefault="00A9721F">
      <w:pPr>
        <w:pStyle w:val="Definition-Field2"/>
      </w:pPr>
      <w:r>
        <w:t xml:space="preserve">Office requires the max </w:t>
      </w:r>
      <w:r>
        <w:t>attribute to be between values 1 and 16384 inclusive.</w:t>
      </w:r>
    </w:p>
    <w:p w:rsidR="000A156F" w:rsidRDefault="00A9721F">
      <w:pPr>
        <w:pStyle w:val="Definition-Field"/>
      </w:pPr>
      <w:r>
        <w:t xml:space="preserve">c.   </w:t>
      </w:r>
      <w:r>
        <w:rPr>
          <w:i/>
        </w:rPr>
        <w:t>The standard defines the width attribute without any restrictions on the length.</w:t>
      </w:r>
    </w:p>
    <w:p w:rsidR="000A156F" w:rsidRDefault="00A9721F">
      <w:pPr>
        <w:pStyle w:val="Definition-Field2"/>
      </w:pPr>
      <w:r>
        <w:t>Office requires the width attribute be between 0 and 255 inclusive.</w:t>
      </w:r>
    </w:p>
    <w:p w:rsidR="000A156F" w:rsidRDefault="00A9721F">
      <w:pPr>
        <w:pStyle w:val="Definition-Field"/>
      </w:pPr>
      <w:r>
        <w:t xml:space="preserve">d.   </w:t>
      </w:r>
      <w:r>
        <w:rPr>
          <w:i/>
        </w:rPr>
        <w:t xml:space="preserve">The standard states that the values of the </w:t>
      </w:r>
      <w:r>
        <w:rPr>
          <w:i/>
        </w:rPr>
        <w:t>style attribute are defined by the XML Schema unsignedInt datatype.</w:t>
      </w:r>
    </w:p>
    <w:p w:rsidR="000A156F" w:rsidRDefault="00A9721F">
      <w:pPr>
        <w:pStyle w:val="Definition-Field2"/>
      </w:pPr>
      <w:r>
        <w:t>Office requires that the style attribute be between 0 and 65429 inclusive.</w:t>
      </w:r>
    </w:p>
    <w:p w:rsidR="000A156F" w:rsidRDefault="00A9721F">
      <w:pPr>
        <w:pStyle w:val="Definition-Field"/>
      </w:pPr>
      <w:r>
        <w:t xml:space="preserve">e.   </w:t>
      </w:r>
      <w:r>
        <w:rPr>
          <w:i/>
        </w:rPr>
        <w:t>The standard defines the outlineLevel attribute without specifying its maximum value.</w:t>
      </w:r>
    </w:p>
    <w:p w:rsidR="000A156F" w:rsidRDefault="00A9721F">
      <w:pPr>
        <w:pStyle w:val="Definition-Field2"/>
      </w:pPr>
      <w:r>
        <w:t>Office specifies the o</w:t>
      </w:r>
      <w:r>
        <w:t>utlineLevel attributes maximum value is 7.</w:t>
      </w:r>
    </w:p>
    <w:p w:rsidR="000A156F" w:rsidRDefault="00A9721F">
      <w:pPr>
        <w:pStyle w:val="Definition-Field"/>
      </w:pPr>
      <w:r>
        <w:t xml:space="preserve">f.   </w:t>
      </w:r>
      <w:r>
        <w:rPr>
          <w:i/>
        </w:rPr>
        <w:t>The standard defines the width attribute as the number of characters times the maximum digit width of the numbers 0, 1, …, 9 as rendered in the normal style's font, plus 2 pixels of margin padding on each sid</w:t>
      </w:r>
      <w:r>
        <w:rPr>
          <w:i/>
        </w:rPr>
        <w:t>e, plus 1 pixel padding for the gridlines.</w:t>
      </w:r>
    </w:p>
    <w:p w:rsidR="000A156F" w:rsidRDefault="00A9721F">
      <w:pPr>
        <w:pStyle w:val="Definition-Field2"/>
      </w:pPr>
      <w:r>
        <w:t>Office specifies the formula as width = Truncate( ( ( ( ( ( NoC * MDW + PP ) ) + ( ( NoC * MDW + PP ) MOD 8 ) ) - PP ) / MDW ) * 256 ) / 256.</w:t>
      </w:r>
    </w:p>
    <w:p w:rsidR="000A156F" w:rsidRDefault="00A9721F">
      <w:pPr>
        <w:pStyle w:val="Heading3"/>
      </w:pPr>
      <w:bookmarkStart w:id="1218" w:name="section_3d92605334c84ee091157bc5858ef579"/>
      <w:bookmarkStart w:id="1219" w:name="_Toc181683635"/>
      <w:r>
        <w:t>Part 1 Section 18.3.1.14, colBreaks (Vertical Page Breaks)</w:t>
      </w:r>
      <w:bookmarkEnd w:id="1218"/>
      <w:bookmarkEnd w:id="1219"/>
      <w:r>
        <w:fldChar w:fldCharType="begin"/>
      </w:r>
      <w:r>
        <w:instrText xml:space="preserve"> XE "colBreak</w:instrText>
      </w:r>
      <w:r>
        <w:instrText xml:space="preserve">s (Vertical Page Breaks)"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0A156F" w:rsidRDefault="00A9721F">
      <w:pPr>
        <w:pStyle w:val="Definition-Field"/>
      </w:pPr>
      <w:r>
        <w:t xml:space="preserve">a.   </w:t>
      </w:r>
      <w:r>
        <w:rPr>
          <w:i/>
        </w:rPr>
        <w:t>The standard states that the values of t</w:t>
      </w:r>
      <w:r>
        <w:rPr>
          <w:i/>
        </w:rPr>
        <w:t>he count attribute are defined by the XML Schema unsignedInt datatype.</w:t>
      </w:r>
    </w:p>
    <w:p w:rsidR="000A156F" w:rsidRDefault="00A9721F">
      <w:pPr>
        <w:pStyle w:val="Definition-Field2"/>
      </w:pPr>
      <w:r>
        <w:t>Office requires that the count attribute be an unsignedInt less than or equal to 1023.</w:t>
      </w:r>
    </w:p>
    <w:p w:rsidR="000A156F" w:rsidRDefault="00A9721F">
      <w:pPr>
        <w:pStyle w:val="Definition-Field"/>
      </w:pPr>
      <w:r>
        <w:t xml:space="preserve">b.   </w:t>
      </w:r>
      <w:r>
        <w:rPr>
          <w:i/>
        </w:rPr>
        <w:t xml:space="preserve">The standard states that the values of the manualBreakCount attribute are defined by the XML </w:t>
      </w:r>
      <w:r>
        <w:rPr>
          <w:i/>
        </w:rPr>
        <w:t>Schema unsignedInt datatype.</w:t>
      </w:r>
    </w:p>
    <w:p w:rsidR="000A156F" w:rsidRDefault="00A9721F">
      <w:pPr>
        <w:pStyle w:val="Definition-Field2"/>
      </w:pPr>
      <w:r>
        <w:t>Office requires that the manualBreakCount attribute is an unsignedInt less than or equal to 1023.</w:t>
      </w:r>
    </w:p>
    <w:p w:rsidR="000A156F" w:rsidRDefault="00A9721F">
      <w:pPr>
        <w:pStyle w:val="Heading3"/>
      </w:pPr>
      <w:bookmarkStart w:id="1220" w:name="section_903e02250adb44a3864f59cacf639a76"/>
      <w:bookmarkStart w:id="1221" w:name="_Toc181683636"/>
      <w:r>
        <w:t>Part 1 Section 18.3.1.15, color (Data Bar Color)</w:t>
      </w:r>
      <w:bookmarkEnd w:id="1220"/>
      <w:bookmarkEnd w:id="1221"/>
      <w:r>
        <w:fldChar w:fldCharType="begin"/>
      </w:r>
      <w:r>
        <w:instrText xml:space="preserve"> XE "color (Data Bar Color)"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w:t>
        </w:r>
        <w:r>
          <w:rPr>
            <w:rStyle w:val="Hyperlink"/>
          </w:rPr>
          <w:t>8.3(a)</w:t>
        </w:r>
      </w:hyperlink>
      <w:r>
        <w:rPr>
          <w:i/>
        </w:rPr>
        <w:t>.</w:t>
      </w:r>
    </w:p>
    <w:p w:rsidR="000A156F" w:rsidRDefault="00A9721F">
      <w:pPr>
        <w:pStyle w:val="Definition-Field"/>
      </w:pPr>
      <w:r>
        <w:t xml:space="preserve">a.   </w:t>
      </w:r>
      <w:r>
        <w:rPr>
          <w:i/>
        </w:rPr>
        <w:t>The standard specifies use with only data bar and color scale.</w:t>
      </w:r>
    </w:p>
    <w:p w:rsidR="000A156F" w:rsidRDefault="00A9721F">
      <w:pPr>
        <w:pStyle w:val="Definition-Field2"/>
      </w:pPr>
      <w:r>
        <w:t>In Office, the color element used in various formatting elements as defined in parent sub-clause list.</w:t>
      </w:r>
    </w:p>
    <w:p w:rsidR="000A156F" w:rsidRDefault="00A9721F">
      <w:pPr>
        <w:pStyle w:val="Definition-Field"/>
      </w:pPr>
      <w:r>
        <w:t xml:space="preserve">b.   </w:t>
      </w:r>
      <w:r>
        <w:rPr>
          <w:i/>
        </w:rPr>
        <w:t>The standard states that the values of the indexed attribute are defined</w:t>
      </w:r>
      <w:r>
        <w:rPr>
          <w:i/>
        </w:rPr>
        <w:t xml:space="preserve"> by the XML Schema unsignedInt datatype.</w:t>
      </w:r>
    </w:p>
    <w:p w:rsidR="000A156F" w:rsidRDefault="00A9721F">
      <w:pPr>
        <w:pStyle w:val="Definition-Field2"/>
      </w:pPr>
      <w:r>
        <w:lastRenderedPageBreak/>
        <w:t>Excel restricts the value of this attribute to be at most 255.</w:t>
      </w:r>
    </w:p>
    <w:p w:rsidR="000A156F" w:rsidRDefault="00A9721F">
      <w:pPr>
        <w:pStyle w:val="Definition-Field"/>
      </w:pPr>
      <w:r>
        <w:t xml:space="preserve">c.   </w:t>
      </w:r>
      <w:r>
        <w:rPr>
          <w:i/>
        </w:rPr>
        <w:t>The standard states that the values of the tint attribute are defined by the XML Schema double datatype.</w:t>
      </w:r>
    </w:p>
    <w:p w:rsidR="000A156F" w:rsidRDefault="00A9721F">
      <w:pPr>
        <w:pStyle w:val="Definition-Field2"/>
      </w:pPr>
      <w:r>
        <w:t>Excel restricts the value of this attribut</w:t>
      </w:r>
      <w:r>
        <w:t>e to be at least -1 and at most 1.</w:t>
      </w:r>
    </w:p>
    <w:p w:rsidR="000A156F" w:rsidRDefault="00A9721F">
      <w:pPr>
        <w:pStyle w:val="Definition-Field"/>
      </w:pPr>
      <w:r>
        <w:t xml:space="preserve">d.   </w:t>
      </w:r>
      <w:r>
        <w:rPr>
          <w:i/>
        </w:rPr>
        <w:t>The standard states that the values of the theme attribute are defined by the XML Schema unsignedInt datatype.</w:t>
      </w:r>
    </w:p>
    <w:p w:rsidR="000A156F" w:rsidRDefault="00A9721F">
      <w:pPr>
        <w:pStyle w:val="Definition-Field2"/>
      </w:pPr>
      <w:r>
        <w:t>Excel restricts the value of this attribute, a zero-based index, to be at most 255.</w:t>
      </w:r>
    </w:p>
    <w:p w:rsidR="000A156F" w:rsidRDefault="00A9721F">
      <w:pPr>
        <w:pStyle w:val="Heading3"/>
      </w:pPr>
      <w:bookmarkStart w:id="1222" w:name="section_6f3c3ad9dd02428c9fc960b13ef0da08"/>
      <w:bookmarkStart w:id="1223" w:name="_Toc181683637"/>
      <w:r>
        <w:t>Part 1 Section 18.3.1</w:t>
      </w:r>
      <w:r>
        <w:t>.16, colorScale (Color Scale)</w:t>
      </w:r>
      <w:bookmarkEnd w:id="1222"/>
      <w:bookmarkEnd w:id="1223"/>
      <w:r>
        <w:fldChar w:fldCharType="begin"/>
      </w:r>
      <w:r>
        <w:instrText xml:space="preserve"> XE "colorScale (Color Scale)" </w:instrText>
      </w:r>
      <w:r>
        <w:fldChar w:fldCharType="end"/>
      </w:r>
    </w:p>
    <w:p w:rsidR="000A156F" w:rsidRDefault="00A9721F">
      <w:pPr>
        <w:pStyle w:val="Definition-Field"/>
      </w:pPr>
      <w:r>
        <w:t xml:space="preserve">a.   </w:t>
      </w:r>
      <w:r>
        <w:rPr>
          <w:i/>
        </w:rPr>
        <w:t>The standard states that the maxOccurs value for the cfvo child element is unbounded.</w:t>
      </w:r>
    </w:p>
    <w:p w:rsidR="000A156F" w:rsidRDefault="00A9721F">
      <w:pPr>
        <w:pStyle w:val="Definition-Field2"/>
      </w:pPr>
      <w:r>
        <w:t>Excel limits the occurrences of this element to 3.</w:t>
      </w:r>
    </w:p>
    <w:p w:rsidR="000A156F" w:rsidRDefault="00A9721F">
      <w:pPr>
        <w:pStyle w:val="Definition-Field"/>
      </w:pPr>
      <w:r>
        <w:t xml:space="preserve">b.   </w:t>
      </w:r>
      <w:r>
        <w:rPr>
          <w:i/>
        </w:rPr>
        <w:t xml:space="preserve">The standard states that the maxOccurs value </w:t>
      </w:r>
      <w:r>
        <w:rPr>
          <w:i/>
        </w:rPr>
        <w:t>for the color child element is unbounded.</w:t>
      </w:r>
    </w:p>
    <w:p w:rsidR="000A156F" w:rsidRDefault="00A9721F">
      <w:pPr>
        <w:pStyle w:val="Definition-Field2"/>
      </w:pPr>
      <w:r>
        <w:t>Excel limits the occurrences of this element to 3.</w:t>
      </w:r>
    </w:p>
    <w:p w:rsidR="000A156F" w:rsidRDefault="00A9721F">
      <w:pPr>
        <w:pStyle w:val="Definition-Field"/>
      </w:pPr>
      <w:r>
        <w:t xml:space="preserve">c.   </w:t>
      </w:r>
      <w:r>
        <w:rPr>
          <w:i/>
        </w:rPr>
        <w:t>The standard places no restrictions on the relationship between the count of cfvo child elements and the count of color child elements.</w:t>
      </w:r>
    </w:p>
    <w:p w:rsidR="000A156F" w:rsidRDefault="00A9721F">
      <w:pPr>
        <w:pStyle w:val="Definition-Field2"/>
      </w:pPr>
      <w:r>
        <w:t>Excel requires these t</w:t>
      </w:r>
      <w:r>
        <w:t>wo counts to be the same.</w:t>
      </w:r>
    </w:p>
    <w:p w:rsidR="000A156F" w:rsidRDefault="00A9721F">
      <w:pPr>
        <w:pStyle w:val="Heading3"/>
      </w:pPr>
      <w:bookmarkStart w:id="1224" w:name="section_a876bb76a6c348569232028b4d575aa2"/>
      <w:bookmarkStart w:id="1225" w:name="_Toc181683638"/>
      <w:r>
        <w:t>Part 1 Section 18.3.1.18, conditionalFormatting (Conditional Formatting)</w:t>
      </w:r>
      <w:bookmarkEnd w:id="1224"/>
      <w:bookmarkEnd w:id="1225"/>
      <w:r>
        <w:fldChar w:fldCharType="begin"/>
      </w:r>
      <w:r>
        <w:instrText xml:space="preserve"> XE "conditionalFormatting (Conditional Formatting)" </w:instrText>
      </w:r>
      <w:r>
        <w:fldChar w:fldCharType="end"/>
      </w:r>
    </w:p>
    <w:p w:rsidR="000A156F" w:rsidRDefault="00A9721F">
      <w:pPr>
        <w:pStyle w:val="Definition-Field"/>
      </w:pPr>
      <w:r>
        <w:t xml:space="preserve">a.   </w:t>
      </w:r>
      <w:r>
        <w:rPr>
          <w:i/>
        </w:rPr>
        <w:t>The standard states that the possible values for @sqref are defined by ST_Sqref simple type.</w:t>
      </w:r>
    </w:p>
    <w:p w:rsidR="000A156F" w:rsidRDefault="00A9721F">
      <w:pPr>
        <w:pStyle w:val="Definition-Field2"/>
      </w:pPr>
      <w:r>
        <w:t>Offi</w:t>
      </w:r>
      <w:r>
        <w:t>ce requires that the value of @sqref have a length of at least 1 (be non-empty).</w:t>
      </w:r>
    </w:p>
    <w:p w:rsidR="000A156F" w:rsidRDefault="00A9721F">
      <w:pPr>
        <w:pStyle w:val="Heading3"/>
      </w:pPr>
      <w:bookmarkStart w:id="1226" w:name="section_191c4c0c89ac45619cbf5b27a753beee"/>
      <w:bookmarkStart w:id="1227" w:name="_Toc181683639"/>
      <w:r>
        <w:t>Part 1 Section 18.3.1.19, control (Embedded Control)</w:t>
      </w:r>
      <w:bookmarkEnd w:id="1226"/>
      <w:bookmarkEnd w:id="1227"/>
      <w:r>
        <w:fldChar w:fldCharType="begin"/>
      </w:r>
      <w:r>
        <w:instrText xml:space="preserve"> XE "control (Embedded Control)" </w:instrText>
      </w:r>
      <w:r>
        <w:fldChar w:fldCharType="end"/>
      </w:r>
    </w:p>
    <w:p w:rsidR="000A156F" w:rsidRDefault="00A9721F">
      <w:pPr>
        <w:pStyle w:val="Definition-Field"/>
      </w:pPr>
      <w:r>
        <w:t xml:space="preserve">a.   </w:t>
      </w:r>
      <w:r>
        <w:rPr>
          <w:i/>
        </w:rPr>
        <w:t>The standard does not specify the ObjectType or restriction of valid values for @s</w:t>
      </w:r>
      <w:r>
        <w:rPr>
          <w:i/>
        </w:rPr>
        <w:t>hapeId.</w:t>
      </w:r>
    </w:p>
    <w:p w:rsidR="000A156F" w:rsidRDefault="00A9721F">
      <w:pPr>
        <w:pStyle w:val="Definition-Field2"/>
      </w:pPr>
      <w:r>
        <w:t>Office requires the ObjectType of the drawing shape to be Picture and the value to be between 1 and 67098623 inclusive.</w:t>
      </w:r>
    </w:p>
    <w:p w:rsidR="000A156F" w:rsidRDefault="00A9721F">
      <w:pPr>
        <w:pStyle w:val="Definition-Field"/>
      </w:pPr>
      <w:r>
        <w:t xml:space="preserve">b.   </w:t>
      </w:r>
      <w:r>
        <w:rPr>
          <w:i/>
        </w:rPr>
        <w:t>The standard does not specify restrictions for the name attribute.</w:t>
      </w:r>
    </w:p>
    <w:p w:rsidR="000A156F" w:rsidRDefault="00A9721F">
      <w:pPr>
        <w:pStyle w:val="Definition-Field2"/>
      </w:pPr>
      <w:r>
        <w:t xml:space="preserve">In Excel, the string shall be unique and have a maximum </w:t>
      </w:r>
      <w:r>
        <w:t>of 32 characters.</w:t>
      </w:r>
    </w:p>
    <w:p w:rsidR="000A156F" w:rsidRDefault="00A9721F">
      <w:pPr>
        <w:pStyle w:val="Heading3"/>
      </w:pPr>
      <w:bookmarkStart w:id="1228" w:name="section_ee6983cc1d544770b179a332e5bb8ffa"/>
      <w:bookmarkStart w:id="1229" w:name="_Toc181683640"/>
      <w:r>
        <w:t>Part 1 Section 18.3.1.20, controlPr (Embedded Control Properties)</w:t>
      </w:r>
      <w:bookmarkEnd w:id="1228"/>
      <w:bookmarkEnd w:id="1229"/>
      <w:r>
        <w:fldChar w:fldCharType="begin"/>
      </w:r>
      <w:r>
        <w:instrText xml:space="preserve"> XE "controlPr (Embedded Control Properties)" </w:instrText>
      </w:r>
      <w:r>
        <w:fldChar w:fldCharType="end"/>
      </w:r>
    </w:p>
    <w:p w:rsidR="000A156F" w:rsidRDefault="00A9721F">
      <w:pPr>
        <w:pStyle w:val="Definition-Field"/>
      </w:pPr>
      <w:r>
        <w:t xml:space="preserve">a.   </w:t>
      </w:r>
      <w:r>
        <w:rPr>
          <w:i/>
        </w:rPr>
        <w:t>The standard specifies the recalcAlways attribute.</w:t>
      </w:r>
    </w:p>
    <w:p w:rsidR="000A156F" w:rsidRDefault="00A9721F">
      <w:pPr>
        <w:pStyle w:val="Definition-Field2"/>
      </w:pPr>
      <w:r>
        <w:t>Office does not read or write the recalcAlways attribute and ignores</w:t>
      </w:r>
      <w:r>
        <w:t xml:space="preserve"> this attribute if present.</w:t>
      </w:r>
    </w:p>
    <w:p w:rsidR="000A156F" w:rsidRDefault="00A9721F">
      <w:pPr>
        <w:pStyle w:val="Definition-Field"/>
      </w:pPr>
      <w:r>
        <w:t xml:space="preserve">b.   </w:t>
      </w:r>
      <w:r>
        <w:rPr>
          <w:i/>
        </w:rPr>
        <w:t>The cf attribute in the controlPr element is round tripped.</w:t>
      </w:r>
    </w:p>
    <w:p w:rsidR="000A156F" w:rsidRDefault="00A9721F">
      <w:pPr>
        <w:pStyle w:val="Definition-Field2"/>
      </w:pPr>
      <w:r>
        <w:t>Office does not round trip the cf attribute in the controlPr element.</w:t>
      </w:r>
    </w:p>
    <w:p w:rsidR="000A156F" w:rsidRDefault="00A9721F">
      <w:pPr>
        <w:pStyle w:val="Definition-Field"/>
      </w:pPr>
      <w:r>
        <w:t xml:space="preserve">c.   </w:t>
      </w:r>
      <w:r>
        <w:rPr>
          <w:i/>
        </w:rPr>
        <w:t>The standard specifies that all of the attributes under the controlPr element are valid.</w:t>
      </w:r>
    </w:p>
    <w:p w:rsidR="000A156F" w:rsidRDefault="00A9721F">
      <w:pPr>
        <w:pStyle w:val="Definition-Field2"/>
      </w:pPr>
      <w:r>
        <w:t>Excel ignores the attributes autoFill, autoLine, autoPict, cf, defaultSize, disabled, macro, recalcAlways and uiObject, and does not round trip cf and recalcAlways when controlPr is associated with an ActiveX(R) control.</w:t>
      </w:r>
    </w:p>
    <w:p w:rsidR="000A156F" w:rsidRDefault="00A9721F">
      <w:pPr>
        <w:pStyle w:val="Definition-Field"/>
      </w:pPr>
      <w:r>
        <w:lastRenderedPageBreak/>
        <w:t xml:space="preserve">d.   </w:t>
      </w:r>
      <w:r>
        <w:rPr>
          <w:i/>
        </w:rPr>
        <w:t>The standard specifies that a</w:t>
      </w:r>
      <w:r>
        <w:rPr>
          <w:i/>
        </w:rPr>
        <w:t>ll of the attributes under the controlPr element are valid.</w:t>
      </w:r>
    </w:p>
    <w:p w:rsidR="000A156F" w:rsidRDefault="00A9721F">
      <w:pPr>
        <w:pStyle w:val="Definition-Field2"/>
      </w:pPr>
      <w:r>
        <w:t>Excel ignores autoFill, autoLine, autoPict, cf, defaultSize, disabled, id, linkedCell, listFillRange, recalcAlways and uiObject, and does not round trip autoPict, cf, id, linkedCell, listFillRange</w:t>
      </w:r>
      <w:r>
        <w:t xml:space="preserve"> and recalcAlways when associated with a form control.</w:t>
      </w:r>
    </w:p>
    <w:p w:rsidR="000A156F" w:rsidRDefault="00A9721F">
      <w:pPr>
        <w:pStyle w:val="Heading3"/>
      </w:pPr>
      <w:bookmarkStart w:id="1230" w:name="section_10f45a7e53934ea2b0f7dac31d426fea"/>
      <w:bookmarkStart w:id="1231" w:name="_Toc181683641"/>
      <w:r>
        <w:t>Part 1 Section 18.3.1.21, controls (Embedded Controls)</w:t>
      </w:r>
      <w:bookmarkEnd w:id="1230"/>
      <w:bookmarkEnd w:id="1231"/>
      <w:r>
        <w:fldChar w:fldCharType="begin"/>
      </w:r>
      <w:r>
        <w:instrText xml:space="preserve"> XE "controls (Embedded Controls)" </w:instrText>
      </w:r>
      <w:r>
        <w:fldChar w:fldCharType="end"/>
      </w:r>
    </w:p>
    <w:p w:rsidR="000A156F" w:rsidRDefault="00A9721F">
      <w:pPr>
        <w:pStyle w:val="Definition-Field"/>
      </w:pPr>
      <w:r>
        <w:t xml:space="preserve">a.   </w:t>
      </w:r>
      <w:r>
        <w:rPr>
          <w:i/>
        </w:rPr>
        <w:t>The standard states that the maxOccurs value for the control child element is unbounded.</w:t>
      </w:r>
    </w:p>
    <w:p w:rsidR="000A156F" w:rsidRDefault="00A9721F">
      <w:pPr>
        <w:pStyle w:val="Definition-Field2"/>
      </w:pPr>
      <w:r>
        <w:t>Excel limits th</w:t>
      </w:r>
      <w:r>
        <w:t>e occurrences of this element to 65535.</w:t>
      </w:r>
    </w:p>
    <w:p w:rsidR="000A156F" w:rsidRDefault="00A9721F">
      <w:pPr>
        <w:pStyle w:val="Heading3"/>
      </w:pPr>
      <w:bookmarkStart w:id="1232" w:name="section_8657e06740fd46f987172bab6fea07aa"/>
      <w:bookmarkStart w:id="1233" w:name="_Toc181683642"/>
      <w:r>
        <w:t>Part 1 Section 18.3.1.22, customPr (Custom Property)</w:t>
      </w:r>
      <w:bookmarkEnd w:id="1232"/>
      <w:bookmarkEnd w:id="1233"/>
      <w:r>
        <w:fldChar w:fldCharType="begin"/>
      </w:r>
      <w:r>
        <w:instrText xml:space="preserve"> XE "customPr (Custom Property)" </w:instrText>
      </w:r>
      <w:r>
        <w:fldChar w:fldCharType="end"/>
      </w:r>
    </w:p>
    <w:p w:rsidR="000A156F" w:rsidRDefault="00A9721F">
      <w:pPr>
        <w:pStyle w:val="Definition-Field"/>
      </w:pPr>
      <w:r>
        <w:t xml:space="preserve">a.   </w:t>
      </w:r>
      <w:r>
        <w:rPr>
          <w:i/>
        </w:rPr>
        <w:t>The standard specifies no restriction on the uniqueness of the name attribute.</w:t>
      </w:r>
    </w:p>
    <w:p w:rsidR="000A156F" w:rsidRDefault="00A9721F">
      <w:pPr>
        <w:pStyle w:val="Definition-Field2"/>
      </w:pPr>
      <w:r>
        <w:t>In Office, the name attribute must be case-i</w:t>
      </w:r>
      <w:r>
        <w:t>nsensitive and unique.</w:t>
      </w:r>
    </w:p>
    <w:p w:rsidR="000A156F" w:rsidRDefault="00A9721F">
      <w:pPr>
        <w:pStyle w:val="Heading3"/>
      </w:pPr>
      <w:bookmarkStart w:id="1234" w:name="section_13ee020779e148b5b0ed333a3a7dbb81"/>
      <w:bookmarkStart w:id="1235" w:name="_Toc181683643"/>
      <w:r>
        <w:t>Part 1 Section 18.3.1.24, customSheetView (Custom Chart Sheet View)</w:t>
      </w:r>
      <w:bookmarkEnd w:id="1234"/>
      <w:bookmarkEnd w:id="1235"/>
      <w:r>
        <w:fldChar w:fldCharType="begin"/>
      </w:r>
      <w:r>
        <w:instrText xml:space="preserve"> XE "customSheetView (Custom Chart Sheet View)" </w:instrText>
      </w:r>
      <w:r>
        <w:fldChar w:fldCharType="end"/>
      </w:r>
    </w:p>
    <w:p w:rsidR="000A156F" w:rsidRDefault="00A9721F">
      <w:pPr>
        <w:pStyle w:val="Definition-Field"/>
      </w:pPr>
      <w:r>
        <w:t xml:space="preserve">a.   </w:t>
      </w:r>
      <w:r>
        <w:rPr>
          <w:i/>
        </w:rPr>
        <w:t>The standard states that the attribute scale defines the print scale.</w:t>
      </w:r>
    </w:p>
    <w:p w:rsidR="000A156F" w:rsidRDefault="00A9721F">
      <w:pPr>
        <w:pStyle w:val="Definition-Field2"/>
      </w:pPr>
      <w:r>
        <w:t xml:space="preserve">Office uses the scale attribute to </w:t>
      </w:r>
      <w:r>
        <w:t>define the zoom level.</w:t>
      </w:r>
    </w:p>
    <w:p w:rsidR="000A156F" w:rsidRDefault="00A9721F">
      <w:pPr>
        <w:pStyle w:val="Heading3"/>
      </w:pPr>
      <w:bookmarkStart w:id="1236" w:name="section_2d575d4956e24adf8f4713c09a3a8628"/>
      <w:bookmarkStart w:id="1237" w:name="_Toc181683644"/>
      <w:r>
        <w:t>Part 1 Section 18.3.1.25, customSheetView (Custom Sheet View)</w:t>
      </w:r>
      <w:bookmarkEnd w:id="1236"/>
      <w:bookmarkEnd w:id="1237"/>
      <w:r>
        <w:fldChar w:fldCharType="begin"/>
      </w:r>
      <w:r>
        <w:instrText xml:space="preserve"> XE "customSheetView (Custom Sheet View)" </w:instrText>
      </w:r>
      <w:r>
        <w:fldChar w:fldCharType="end"/>
      </w:r>
    </w:p>
    <w:p w:rsidR="000A156F" w:rsidRDefault="00A9721F">
      <w:pPr>
        <w:pStyle w:val="Definition-Field"/>
      </w:pPr>
      <w:r>
        <w:t xml:space="preserve">a.   </w:t>
      </w:r>
      <w:r>
        <w:rPr>
          <w:i/>
        </w:rPr>
        <w:t>The standard says scale attribute defines the print scale.</w:t>
      </w:r>
    </w:p>
    <w:p w:rsidR="000A156F" w:rsidRDefault="00A9721F">
      <w:pPr>
        <w:pStyle w:val="Definition-Field2"/>
      </w:pPr>
      <w:r>
        <w:t>Office uses the scale attribute to define the zoom level.</w:t>
      </w:r>
    </w:p>
    <w:p w:rsidR="000A156F" w:rsidRDefault="00A9721F">
      <w:pPr>
        <w:pStyle w:val="Definition-Field"/>
      </w:pPr>
      <w:r>
        <w:t xml:space="preserve">b.   </w:t>
      </w:r>
      <w:r>
        <w:rPr>
          <w:i/>
        </w:rPr>
        <w:t>The standard states that the values of the colorId attribute are defined by the XML Schema unsignedInt datatype.</w:t>
      </w:r>
    </w:p>
    <w:p w:rsidR="000A156F" w:rsidRDefault="00A9721F">
      <w:pPr>
        <w:pStyle w:val="Definition-Field2"/>
      </w:pPr>
      <w:r>
        <w:t>Office restricts the colorId attribute value to an unsignedInt less than or equal to 64.</w:t>
      </w:r>
    </w:p>
    <w:p w:rsidR="000A156F" w:rsidRDefault="00A9721F">
      <w:pPr>
        <w:pStyle w:val="Definition-Field"/>
      </w:pPr>
      <w:r>
        <w:t xml:space="preserve">c.   </w:t>
      </w:r>
      <w:r>
        <w:rPr>
          <w:i/>
        </w:rPr>
        <w:t>The standard specifies @scale ranges from 10 to 4</w:t>
      </w:r>
      <w:r>
        <w:rPr>
          <w:i/>
        </w:rPr>
        <w:t>00.</w:t>
      </w:r>
    </w:p>
    <w:p w:rsidR="000A156F" w:rsidRDefault="00A9721F">
      <w:pPr>
        <w:pStyle w:val="Definition-Field2"/>
      </w:pPr>
      <w:r>
        <w:t>Excel also allow for a value of zero, which is interpreted as the automatic setting.</w:t>
      </w:r>
    </w:p>
    <w:p w:rsidR="000A156F" w:rsidRDefault="00A9721F">
      <w:pPr>
        <w:pStyle w:val="Definition-Field"/>
      </w:pPr>
      <w:r>
        <w:t xml:space="preserve">d.   </w:t>
      </w:r>
      <w:r>
        <w:rPr>
          <w:i/>
        </w:rPr>
        <w:t>The standard specifies that colorId attribute defines the color value for text in row or column headings and gridlines the custom view.</w:t>
      </w:r>
    </w:p>
    <w:p w:rsidR="000A156F" w:rsidRDefault="00A9721F">
      <w:pPr>
        <w:pStyle w:val="Definition-Field2"/>
      </w:pPr>
      <w:r>
        <w:t>Office uses colorId attrib</w:t>
      </w:r>
      <w:r>
        <w:t>ute to define the color value for gridlines in the custom view.</w:t>
      </w:r>
    </w:p>
    <w:p w:rsidR="000A156F" w:rsidRDefault="00A9721F">
      <w:pPr>
        <w:pStyle w:val="Definition-Field"/>
      </w:pPr>
      <w:r>
        <w:t xml:space="preserve">e.   </w:t>
      </w:r>
      <w:r>
        <w:rPr>
          <w:i/>
        </w:rPr>
        <w:t>The standard specifies that possible values for the guid attribute are defined by ST_Guid simple type.</w:t>
      </w:r>
    </w:p>
    <w:p w:rsidR="000A156F" w:rsidRDefault="00A9721F">
      <w:pPr>
        <w:pStyle w:val="Definition-Field2"/>
      </w:pPr>
      <w:r>
        <w:t xml:space="preserve">Office requires the guid attribute to be a non-null guid (a null guid is defined as </w:t>
      </w:r>
      <w:r>
        <w:t>00000000-0000-0000-0000-000000000000).</w:t>
      </w:r>
    </w:p>
    <w:p w:rsidR="000A156F" w:rsidRDefault="00A9721F">
      <w:pPr>
        <w:pStyle w:val="Heading3"/>
      </w:pPr>
      <w:bookmarkStart w:id="1238" w:name="section_648369e29fdb434b810c4b1ce737ea8a"/>
      <w:bookmarkStart w:id="1239" w:name="_Toc181683645"/>
      <w:r>
        <w:t>Part 1 Section 18.3.1.26, customSheetViews (Custom Chart Sheet Views)</w:t>
      </w:r>
      <w:bookmarkEnd w:id="1238"/>
      <w:bookmarkEnd w:id="1239"/>
      <w:r>
        <w:fldChar w:fldCharType="begin"/>
      </w:r>
      <w:r>
        <w:instrText xml:space="preserve"> XE "customSheetViews (Custom Chart Sheet Views)" </w:instrText>
      </w:r>
      <w:r>
        <w:fldChar w:fldCharType="end"/>
      </w:r>
    </w:p>
    <w:p w:rsidR="000A156F" w:rsidRDefault="00A9721F">
      <w:pPr>
        <w:pStyle w:val="Definition-Field"/>
      </w:pPr>
      <w:r>
        <w:t xml:space="preserve">a.   </w:t>
      </w:r>
      <w:r>
        <w:rPr>
          <w:i/>
        </w:rPr>
        <w:t>The standard states that the maxOccurs value for the customSheetView child element is unbo</w:t>
      </w:r>
      <w:r>
        <w:rPr>
          <w:i/>
        </w:rPr>
        <w:t>unded.</w:t>
      </w:r>
    </w:p>
    <w:p w:rsidR="000A156F" w:rsidRDefault="00A9721F">
      <w:pPr>
        <w:pStyle w:val="Definition-Field2"/>
      </w:pPr>
      <w:r>
        <w:t>Excel limits the occurrences of this element to 2147483647.</w:t>
      </w:r>
    </w:p>
    <w:p w:rsidR="000A156F" w:rsidRDefault="00A9721F">
      <w:pPr>
        <w:pStyle w:val="Heading3"/>
      </w:pPr>
      <w:bookmarkStart w:id="1240" w:name="section_0c2fcd3d6c2d4e039e64366e977e6d5a"/>
      <w:bookmarkStart w:id="1241" w:name="_Toc181683646"/>
      <w:r>
        <w:lastRenderedPageBreak/>
        <w:t>Part 1 Section 18.3.1.27, customSheetViews (Custom Sheet Views)</w:t>
      </w:r>
      <w:bookmarkEnd w:id="1240"/>
      <w:bookmarkEnd w:id="1241"/>
      <w:r>
        <w:fldChar w:fldCharType="begin"/>
      </w:r>
      <w:r>
        <w:instrText xml:space="preserve"> XE "customSheetViews (Custom Sheet Views)" </w:instrText>
      </w:r>
      <w:r>
        <w:fldChar w:fldCharType="end"/>
      </w:r>
    </w:p>
    <w:p w:rsidR="000A156F" w:rsidRDefault="00A9721F">
      <w:pPr>
        <w:pStyle w:val="Definition-Field"/>
      </w:pPr>
      <w:r>
        <w:t xml:space="preserve">a.   </w:t>
      </w:r>
      <w:r>
        <w:rPr>
          <w:i/>
        </w:rPr>
        <w:t>The standard states that the maxOccurs value for the customSheetView child</w:t>
      </w:r>
      <w:r>
        <w:rPr>
          <w:i/>
        </w:rPr>
        <w:t xml:space="preserve"> element is unbounded.</w:t>
      </w:r>
    </w:p>
    <w:p w:rsidR="000A156F" w:rsidRDefault="00A9721F">
      <w:pPr>
        <w:pStyle w:val="Definition-Field2"/>
      </w:pPr>
      <w:r>
        <w:t>Excel limits the occurrences of this element to 2147483647.</w:t>
      </w:r>
    </w:p>
    <w:p w:rsidR="000A156F" w:rsidRDefault="00A9721F">
      <w:pPr>
        <w:pStyle w:val="Heading3"/>
      </w:pPr>
      <w:bookmarkStart w:id="1242" w:name="section_ba8574f369804425b7e366b533340783"/>
      <w:bookmarkStart w:id="1243" w:name="_Toc181683647"/>
      <w:r>
        <w:t>Part 1 Section 18.3.1.28, dataBar (Data Bar)</w:t>
      </w:r>
      <w:bookmarkEnd w:id="1242"/>
      <w:bookmarkEnd w:id="1243"/>
      <w:r>
        <w:fldChar w:fldCharType="begin"/>
      </w:r>
      <w:r>
        <w:instrText xml:space="preserve"> XE "dataBar (Data Bar)" </w:instrText>
      </w:r>
      <w:r>
        <w:fldChar w:fldCharType="end"/>
      </w:r>
    </w:p>
    <w:p w:rsidR="000A156F" w:rsidRDefault="00A9721F">
      <w:pPr>
        <w:pStyle w:val="Definition-Field"/>
      </w:pPr>
      <w:r>
        <w:t xml:space="preserve">a.   </w:t>
      </w:r>
      <w:r>
        <w:rPr>
          <w:i/>
        </w:rPr>
        <w:t>The standard states that the values of the maxLength attribute are defined by the XML Schema uns</w:t>
      </w:r>
      <w:r>
        <w:rPr>
          <w:i/>
        </w:rPr>
        <w:t>ignedInt datatype.</w:t>
      </w:r>
    </w:p>
    <w:p w:rsidR="000A156F" w:rsidRDefault="00A9721F">
      <w:pPr>
        <w:pStyle w:val="Definition-Field2"/>
      </w:pPr>
      <w:r>
        <w:t>Excel restricts the value of this attribute to be at most 100.</w:t>
      </w:r>
    </w:p>
    <w:p w:rsidR="000A156F" w:rsidRDefault="00A9721F">
      <w:pPr>
        <w:pStyle w:val="Definition-Field"/>
      </w:pPr>
      <w:r>
        <w:t xml:space="preserve">b.   </w:t>
      </w:r>
      <w:r>
        <w:rPr>
          <w:i/>
        </w:rPr>
        <w:t>The standard states that the values of the minLength attribute are defined by the XML Schema unsignedInt datatype.</w:t>
      </w:r>
    </w:p>
    <w:p w:rsidR="000A156F" w:rsidRDefault="00A9721F">
      <w:pPr>
        <w:pStyle w:val="Definition-Field2"/>
      </w:pPr>
      <w:r>
        <w:t>Excel restricts the value of this attribute to be at m</w:t>
      </w:r>
      <w:r>
        <w:t>ost 100.</w:t>
      </w:r>
    </w:p>
    <w:p w:rsidR="000A156F" w:rsidRDefault="00A9721F">
      <w:pPr>
        <w:pStyle w:val="Heading3"/>
      </w:pPr>
      <w:bookmarkStart w:id="1244" w:name="section_387d25855753451ca29b686ce0a01acc"/>
      <w:bookmarkStart w:id="1245" w:name="_Toc181683648"/>
      <w:r>
        <w:t>Part 1 Section 18.3.1.29, dataConsolidate (Data Consolidate)</w:t>
      </w:r>
      <w:bookmarkEnd w:id="1244"/>
      <w:bookmarkEnd w:id="1245"/>
      <w:r>
        <w:fldChar w:fldCharType="begin"/>
      </w:r>
      <w:r>
        <w:instrText xml:space="preserve"> XE "dataConsolidate (Data Consolidate)" </w:instrText>
      </w:r>
      <w:r>
        <w:fldChar w:fldCharType="end"/>
      </w:r>
    </w:p>
    <w:p w:rsidR="000A156F" w:rsidRDefault="00A9721F">
      <w:pPr>
        <w:pStyle w:val="Definition-Field"/>
      </w:pPr>
      <w:r>
        <w:t xml:space="preserve">a.   </w:t>
      </w:r>
      <w:r>
        <w:rPr>
          <w:i/>
        </w:rPr>
        <w:t>The standard states that startLabels is an attribute</w:t>
      </w:r>
    </w:p>
    <w:p w:rsidR="000A156F" w:rsidRDefault="00A9721F">
      <w:pPr>
        <w:pStyle w:val="Definition-Field2"/>
      </w:pPr>
      <w:r>
        <w:t>Excel uses leftLabels instead of startLabels</w:t>
      </w:r>
    </w:p>
    <w:p w:rsidR="000A156F" w:rsidRDefault="00A9721F">
      <w:pPr>
        <w:pStyle w:val="Heading3"/>
      </w:pPr>
      <w:bookmarkStart w:id="1246" w:name="section_0114969a4859443eae3e0c1fdebfcc64"/>
      <w:bookmarkStart w:id="1247" w:name="_Toc181683649"/>
      <w:r>
        <w:t>Part 1 Section 18.3.1.32, dataValidation</w:t>
      </w:r>
      <w:r>
        <w:t xml:space="preserve"> (Data Validation)</w:t>
      </w:r>
      <w:bookmarkEnd w:id="1246"/>
      <w:bookmarkEnd w:id="1247"/>
      <w:r>
        <w:fldChar w:fldCharType="begin"/>
      </w:r>
      <w:r>
        <w:instrText xml:space="preserve"> XE "dataValidation (Data Validation)" </w:instrText>
      </w:r>
      <w:r>
        <w:fldChar w:fldCharType="end"/>
      </w:r>
    </w:p>
    <w:p w:rsidR="000A156F" w:rsidRDefault="00A9721F">
      <w:pPr>
        <w:pStyle w:val="Definition-Field"/>
      </w:pPr>
      <w:r>
        <w:t xml:space="preserve">a.   </w:t>
      </w:r>
      <w:r>
        <w:rPr>
          <w:i/>
        </w:rPr>
        <w:t>The standard does not limit the length of the value of the prompt attribute.</w:t>
      </w:r>
    </w:p>
    <w:p w:rsidR="000A156F" w:rsidRDefault="00A9721F">
      <w:pPr>
        <w:pStyle w:val="Definition-Field2"/>
      </w:pPr>
      <w:r>
        <w:t>Excel restricts the value of this attribute to be at most 255 characters, after decoding.</w:t>
      </w:r>
    </w:p>
    <w:p w:rsidR="000A156F" w:rsidRDefault="00A9721F">
      <w:pPr>
        <w:pStyle w:val="Definition-Field"/>
      </w:pPr>
      <w:r>
        <w:t xml:space="preserve">b.   </w:t>
      </w:r>
      <w:r>
        <w:rPr>
          <w:i/>
        </w:rPr>
        <w:t>The standard states</w:t>
      </w:r>
      <w:r>
        <w:rPr>
          <w:i/>
        </w:rPr>
        <w:t xml:space="preserve"> that the possible values for @sqref are defined by ST_Sqref simple type.</w:t>
      </w:r>
    </w:p>
    <w:p w:rsidR="000A156F" w:rsidRDefault="00A9721F">
      <w:pPr>
        <w:pStyle w:val="Definition-Field2"/>
      </w:pPr>
      <w:r>
        <w:t>Office limits the number of references in @sqref to be between 1 and 32767 inclusive.</w:t>
      </w:r>
    </w:p>
    <w:p w:rsidR="000A156F" w:rsidRDefault="00A9721F">
      <w:pPr>
        <w:pStyle w:val="Definition-Field"/>
      </w:pPr>
      <w:r>
        <w:t xml:space="preserve">c.   </w:t>
      </w:r>
      <w:r>
        <w:rPr>
          <w:i/>
        </w:rPr>
        <w:t>The standard does not restrict the value of the error attribute.</w:t>
      </w:r>
    </w:p>
    <w:p w:rsidR="000A156F" w:rsidRDefault="00A9721F">
      <w:pPr>
        <w:pStyle w:val="Definition-Field2"/>
      </w:pPr>
      <w:r>
        <w:t>Office restricts the lengt</w:t>
      </w:r>
      <w:r>
        <w:t>h of the value of the error attribute to 224 characters.</w:t>
      </w:r>
    </w:p>
    <w:p w:rsidR="000A156F" w:rsidRDefault="00A9721F">
      <w:pPr>
        <w:pStyle w:val="Definition-Field"/>
      </w:pPr>
      <w:r>
        <w:t xml:space="preserve">d.   </w:t>
      </w:r>
      <w:r>
        <w:rPr>
          <w:i/>
        </w:rPr>
        <w:t>The standard does not limit the length of the value of the errorTitle attribute.</w:t>
      </w:r>
    </w:p>
    <w:p w:rsidR="000A156F" w:rsidRDefault="00A9721F">
      <w:pPr>
        <w:pStyle w:val="Definition-Field2"/>
      </w:pPr>
      <w:r>
        <w:t>Office limits the length of the value of the errorTitle attribute to 32 characters.</w:t>
      </w:r>
    </w:p>
    <w:p w:rsidR="000A156F" w:rsidRDefault="00A9721F">
      <w:pPr>
        <w:pStyle w:val="Definition-Field"/>
      </w:pPr>
      <w:r>
        <w:t xml:space="preserve">e.   </w:t>
      </w:r>
      <w:r>
        <w:rPr>
          <w:i/>
        </w:rPr>
        <w:t>The standard states that</w:t>
      </w:r>
      <w:r>
        <w:rPr>
          <w:i/>
        </w:rPr>
        <w:t xml:space="preserve"> there is no limit on length of the promptTitle attribute value.</w:t>
      </w:r>
    </w:p>
    <w:p w:rsidR="000A156F" w:rsidRDefault="00A9721F">
      <w:pPr>
        <w:pStyle w:val="Definition-Field2"/>
      </w:pPr>
      <w:r>
        <w:t>Office limits the length of the promptTitle attribute value to 32 characters.</w:t>
      </w:r>
    </w:p>
    <w:p w:rsidR="000A156F" w:rsidRDefault="00A9721F">
      <w:pPr>
        <w:pStyle w:val="Heading3"/>
      </w:pPr>
      <w:bookmarkStart w:id="1248" w:name="section_0e5b9bebd59d45c5be218c82c275c705"/>
      <w:bookmarkStart w:id="1249" w:name="_Toc181683650"/>
      <w:r>
        <w:t>Part 1 Section 18.3.1.33, dataValidations (Data Validations)</w:t>
      </w:r>
      <w:bookmarkEnd w:id="1248"/>
      <w:bookmarkEnd w:id="1249"/>
      <w:r>
        <w:fldChar w:fldCharType="begin"/>
      </w:r>
      <w:r>
        <w:instrText xml:space="preserve"> XE "dataValidations (Data Validations)" </w:instrText>
      </w:r>
      <w:r>
        <w:fldChar w:fldCharType="end"/>
      </w:r>
    </w:p>
    <w:p w:rsidR="000A156F" w:rsidRDefault="00A9721F">
      <w:pPr>
        <w:pStyle w:val="Definition-Field"/>
      </w:pPr>
      <w:r>
        <w:t xml:space="preserve">a.   </w:t>
      </w:r>
      <w:r>
        <w:rPr>
          <w:i/>
        </w:rPr>
        <w:t xml:space="preserve">The </w:t>
      </w:r>
      <w:r>
        <w:rPr>
          <w:i/>
        </w:rPr>
        <w:t>standard states that the values of the xWindow attribute are defined by the XML Schema unsignedInt datatype.</w:t>
      </w:r>
    </w:p>
    <w:p w:rsidR="000A156F" w:rsidRDefault="00A9721F">
      <w:pPr>
        <w:pStyle w:val="Definition-Field2"/>
      </w:pPr>
      <w:r>
        <w:t>Excel restricts the value of this attribute to be at most 65535.</w:t>
      </w:r>
    </w:p>
    <w:p w:rsidR="000A156F" w:rsidRDefault="00A9721F">
      <w:pPr>
        <w:pStyle w:val="Definition-Field"/>
      </w:pPr>
      <w:r>
        <w:t xml:space="preserve">b.   </w:t>
      </w:r>
      <w:r>
        <w:rPr>
          <w:i/>
        </w:rPr>
        <w:t>The standard states that the values of the count attribute are defined by the</w:t>
      </w:r>
      <w:r>
        <w:rPr>
          <w:i/>
        </w:rPr>
        <w:t xml:space="preserve"> XML Schema unsignedInt datatype.</w:t>
      </w:r>
    </w:p>
    <w:p w:rsidR="000A156F" w:rsidRDefault="00A9721F">
      <w:pPr>
        <w:pStyle w:val="Definition-Field2"/>
      </w:pPr>
      <w:r>
        <w:t>Excel restricts the value of this attribute to be at most 65534.</w:t>
      </w:r>
    </w:p>
    <w:p w:rsidR="000A156F" w:rsidRDefault="00A9721F">
      <w:pPr>
        <w:pStyle w:val="Definition-Field"/>
      </w:pPr>
      <w:r>
        <w:lastRenderedPageBreak/>
        <w:t xml:space="preserve">c.   </w:t>
      </w:r>
      <w:r>
        <w:rPr>
          <w:i/>
        </w:rPr>
        <w:t>The standard states that the values of the yWindow attribute are defined by the XML Schema unsignedInt datatype.</w:t>
      </w:r>
    </w:p>
    <w:p w:rsidR="000A156F" w:rsidRDefault="00A9721F">
      <w:pPr>
        <w:pStyle w:val="Definition-Field2"/>
      </w:pPr>
      <w:r>
        <w:t>Excel restricts the value of this attri</w:t>
      </w:r>
      <w:r>
        <w:t>bute to be at most 65535.</w:t>
      </w:r>
    </w:p>
    <w:p w:rsidR="000A156F" w:rsidRDefault="00A9721F">
      <w:pPr>
        <w:pStyle w:val="Definition-Field"/>
      </w:pPr>
      <w:r>
        <w:t xml:space="preserve">d.   </w:t>
      </w:r>
      <w:r>
        <w:rPr>
          <w:i/>
        </w:rPr>
        <w:t>The standard does not specify a default value for the xWindow attribute.</w:t>
      </w:r>
    </w:p>
    <w:p w:rsidR="000A156F" w:rsidRDefault="00A9721F">
      <w:pPr>
        <w:pStyle w:val="Definition-Field2"/>
      </w:pPr>
      <w:r>
        <w:t>Excel uses a default value of 0 for this attribute.</w:t>
      </w:r>
    </w:p>
    <w:p w:rsidR="000A156F" w:rsidRDefault="00A9721F">
      <w:pPr>
        <w:pStyle w:val="Definition-Field"/>
      </w:pPr>
      <w:r>
        <w:t xml:space="preserve">e.   </w:t>
      </w:r>
      <w:r>
        <w:rPr>
          <w:i/>
        </w:rPr>
        <w:t>The standard does not specify a default value for the yWindow attribute.</w:t>
      </w:r>
    </w:p>
    <w:p w:rsidR="000A156F" w:rsidRDefault="00A9721F">
      <w:pPr>
        <w:pStyle w:val="Definition-Field2"/>
      </w:pPr>
      <w:r>
        <w:t>Excel uses a default v</w:t>
      </w:r>
      <w:r>
        <w:t>alue of 0 for this attribute.</w:t>
      </w:r>
    </w:p>
    <w:p w:rsidR="000A156F" w:rsidRDefault="00A9721F">
      <w:pPr>
        <w:pStyle w:val="Definition-Field"/>
      </w:pPr>
      <w:r>
        <w:t xml:space="preserve">f.   </w:t>
      </w:r>
      <w:r>
        <w:rPr>
          <w:i/>
        </w:rPr>
        <w:t>The standard does not specify a default value for the count attribute.</w:t>
      </w:r>
    </w:p>
    <w:p w:rsidR="000A156F" w:rsidRDefault="00A9721F">
      <w:pPr>
        <w:pStyle w:val="Definition-Field2"/>
      </w:pPr>
      <w:r>
        <w:t>Excel uses a default value of 0 for this attribute.</w:t>
      </w:r>
    </w:p>
    <w:p w:rsidR="000A156F" w:rsidRDefault="00A9721F">
      <w:pPr>
        <w:pStyle w:val="Definition-Field"/>
      </w:pPr>
      <w:r>
        <w:t xml:space="preserve">g.   </w:t>
      </w:r>
      <w:r>
        <w:rPr>
          <w:i/>
        </w:rPr>
        <w:t>The standard states that the maxOccurs value for the dataValidation child element is unbounde</w:t>
      </w:r>
      <w:r>
        <w:rPr>
          <w:i/>
        </w:rPr>
        <w:t>d.</w:t>
      </w:r>
    </w:p>
    <w:p w:rsidR="000A156F" w:rsidRDefault="00A9721F">
      <w:pPr>
        <w:pStyle w:val="Definition-Field2"/>
      </w:pPr>
      <w:r>
        <w:t>Excel limits the occurrences of this element to 65534.</w:t>
      </w:r>
    </w:p>
    <w:p w:rsidR="000A156F" w:rsidRDefault="00A9721F">
      <w:pPr>
        <w:pStyle w:val="Heading3"/>
      </w:pPr>
      <w:bookmarkStart w:id="1250" w:name="section_40af1ca11a054f24aad1190f60d7965e"/>
      <w:bookmarkStart w:id="1251" w:name="_Toc181683651"/>
      <w:r>
        <w:t>Part 1 Section 18.3.1.34, dialogsheet (Dialog Sheet)</w:t>
      </w:r>
      <w:bookmarkEnd w:id="1250"/>
      <w:bookmarkEnd w:id="1251"/>
      <w:r>
        <w:fldChar w:fldCharType="begin"/>
      </w:r>
      <w:r>
        <w:instrText xml:space="preserve"> XE "dialogsheet (Dialog Sheet)" </w:instrText>
      </w:r>
      <w:r>
        <w:fldChar w:fldCharType="end"/>
      </w:r>
    </w:p>
    <w:p w:rsidR="000A156F" w:rsidRDefault="00A9721F">
      <w:pPr>
        <w:pStyle w:val="Definition-Field"/>
      </w:pPr>
      <w:r>
        <w:t xml:space="preserve">a.   </w:t>
      </w:r>
      <w:r>
        <w:rPr>
          <w:i/>
        </w:rPr>
        <w:t>The standard states that the drawing element is specified in CT_Dialogsheet.</w:t>
      </w:r>
    </w:p>
    <w:p w:rsidR="000A156F" w:rsidRDefault="00A9721F">
      <w:pPr>
        <w:pStyle w:val="Definition-Field2"/>
      </w:pPr>
      <w:r>
        <w:t>Office never saves the drawi</w:t>
      </w:r>
      <w:r>
        <w:t>ng element.</w:t>
      </w:r>
    </w:p>
    <w:p w:rsidR="000A156F" w:rsidRDefault="00A9721F">
      <w:pPr>
        <w:pStyle w:val="Definition-Field"/>
      </w:pPr>
      <w:r>
        <w:t xml:space="preserve">b.   </w:t>
      </w:r>
      <w:r>
        <w:rPr>
          <w:i/>
        </w:rPr>
        <w:t>The standard states that the minOccurs value for the legacyDrawing child element is 0.</w:t>
      </w:r>
    </w:p>
    <w:p w:rsidR="000A156F" w:rsidRDefault="00A9721F">
      <w:pPr>
        <w:pStyle w:val="Definition-Field2"/>
      </w:pPr>
      <w:r>
        <w:t>Excel requires an occurrence of this element.</w:t>
      </w:r>
    </w:p>
    <w:p w:rsidR="000A156F" w:rsidRDefault="00A9721F">
      <w:pPr>
        <w:pStyle w:val="Definition-Field"/>
      </w:pPr>
      <w:r>
        <w:t xml:space="preserve">c.   </w:t>
      </w:r>
      <w:r>
        <w:rPr>
          <w:i/>
        </w:rPr>
        <w:t>The standard specifies that the drawingHF element is a valid child element of the dialogsheet element</w:t>
      </w:r>
      <w:r>
        <w:rPr>
          <w:i/>
        </w:rPr>
        <w:t>.</w:t>
      </w:r>
    </w:p>
    <w:p w:rsidR="000A156F" w:rsidRDefault="00A9721F">
      <w:pPr>
        <w:pStyle w:val="Definition-Field2"/>
      </w:pPr>
      <w:r>
        <w:t>Excel ignores the drawingHF element.</w:t>
      </w:r>
    </w:p>
    <w:p w:rsidR="000A156F" w:rsidRDefault="00A9721F">
      <w:pPr>
        <w:pStyle w:val="Heading3"/>
      </w:pPr>
      <w:bookmarkStart w:id="1252" w:name="section_efcc9c90877d48d4947f5194629db949"/>
      <w:bookmarkStart w:id="1253" w:name="_Toc181683652"/>
      <w:r>
        <w:t>Part 1 Section 18.3.1.36, drawing (Drawing)</w:t>
      </w:r>
      <w:bookmarkEnd w:id="1252"/>
      <w:bookmarkEnd w:id="1253"/>
      <w:r>
        <w:fldChar w:fldCharType="begin"/>
      </w:r>
      <w:r>
        <w:instrText xml:space="preserve"> XE "drawing (Drawing)"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0A156F" w:rsidRDefault="00A9721F">
      <w:pPr>
        <w:pStyle w:val="Heading3"/>
      </w:pPr>
      <w:bookmarkStart w:id="1254" w:name="section_654ae6202cb44d9caa31e2ae86f121fc"/>
      <w:bookmarkStart w:id="1255" w:name="_Toc181683653"/>
      <w:r>
        <w:t>Part 1 Section 18.3.1.37, drawingHF (Drawing Reference in Header Footer)</w:t>
      </w:r>
      <w:bookmarkEnd w:id="1254"/>
      <w:bookmarkEnd w:id="1255"/>
      <w:r>
        <w:fldChar w:fldCharType="begin"/>
      </w:r>
      <w:r>
        <w:instrText xml:space="preserve"> XE "drawingHF (Drawing Reference in Header Footer)" </w:instrText>
      </w:r>
      <w:r>
        <w:fldChar w:fldCharType="end"/>
      </w:r>
    </w:p>
    <w:p w:rsidR="000A156F" w:rsidRDefault="00A9721F">
      <w:pPr>
        <w:pStyle w:val="Definition-Field"/>
      </w:pPr>
      <w:r>
        <w:t xml:space="preserve">a.   </w:t>
      </w:r>
      <w:r>
        <w:rPr>
          <w:i/>
        </w:rPr>
        <w:t>The standard specifies the drawing</w:t>
      </w:r>
      <w:r>
        <w:rPr>
          <w:i/>
        </w:rPr>
        <w:t>HF element.</w:t>
      </w:r>
    </w:p>
    <w:p w:rsidR="000A156F" w:rsidRDefault="00A9721F">
      <w:pPr>
        <w:pStyle w:val="Definition-Field2"/>
      </w:pPr>
      <w:r>
        <w:t>Excel will ignore the drawingHF element.</w:t>
      </w:r>
    </w:p>
    <w:p w:rsidR="000A156F" w:rsidRDefault="00A9721F">
      <w:pPr>
        <w:pStyle w:val="Heading3"/>
      </w:pPr>
      <w:bookmarkStart w:id="1256" w:name="section_7843ab18de4c4bf18c84b20a414d6e4f"/>
      <w:bookmarkStart w:id="1257" w:name="_Toc181683654"/>
      <w:r>
        <w:t>Part 1 Section 18.3.1.38, evenFooter (Even Page Footer)</w:t>
      </w:r>
      <w:bookmarkEnd w:id="1256"/>
      <w:bookmarkEnd w:id="1257"/>
      <w:r>
        <w:fldChar w:fldCharType="begin"/>
      </w:r>
      <w:r>
        <w:instrText xml:space="preserve"> XE "evenFooter (Even Page Footer)" </w:instrText>
      </w:r>
      <w:r>
        <w:fldChar w:fldCharType="end"/>
      </w:r>
    </w:p>
    <w:p w:rsidR="000A156F" w:rsidRDefault="00A9721F">
      <w:pPr>
        <w:pStyle w:val="Definition-Field"/>
      </w:pPr>
      <w:r>
        <w:t xml:space="preserve">a.   </w:t>
      </w:r>
      <w:r>
        <w:rPr>
          <w:i/>
        </w:rPr>
        <w:t>The standard states that if no evenFooter is specified, then the oddFooter is used.</w:t>
      </w:r>
    </w:p>
    <w:p w:rsidR="000A156F" w:rsidRDefault="00A9721F">
      <w:pPr>
        <w:pStyle w:val="Definition-Field2"/>
      </w:pPr>
      <w:r>
        <w:t>In Office, oddFooter</w:t>
      </w:r>
      <w:r>
        <w:t xml:space="preserve"> is used only when headerFooter@differentOddEven equals false.</w:t>
      </w:r>
    </w:p>
    <w:p w:rsidR="000A156F" w:rsidRDefault="00A9721F">
      <w:pPr>
        <w:pStyle w:val="Definition-Field"/>
      </w:pPr>
      <w:r>
        <w:t xml:space="preserve">b.   </w:t>
      </w:r>
      <w:r>
        <w:rPr>
          <w:i/>
        </w:rPr>
        <w:t>The standard does not limit the length of the value of this element.</w:t>
      </w:r>
    </w:p>
    <w:p w:rsidR="000A156F" w:rsidRDefault="00A9721F">
      <w:pPr>
        <w:pStyle w:val="Definition-Field2"/>
      </w:pPr>
      <w:r>
        <w:t>Excel restricts the value of this element to be at most 255 characters.</w:t>
      </w:r>
    </w:p>
    <w:p w:rsidR="000A156F" w:rsidRDefault="00A9721F">
      <w:pPr>
        <w:pStyle w:val="Definition-Field"/>
      </w:pPr>
      <w:r>
        <w:t xml:space="preserve">c.   </w:t>
      </w:r>
      <w:r>
        <w:rPr>
          <w:i/>
        </w:rPr>
        <w:t>The standard makes no mention of an xml:sp</w:t>
      </w:r>
      <w:r>
        <w:rPr>
          <w:i/>
        </w:rPr>
        <w:t>ace attribute.</w:t>
      </w:r>
    </w:p>
    <w:p w:rsidR="000A156F" w:rsidRDefault="00A9721F">
      <w:pPr>
        <w:pStyle w:val="Definition-Field2"/>
      </w:pPr>
      <w:r>
        <w:lastRenderedPageBreak/>
        <w:t>Excel uses this attribute to specify, using the W3C space preservation rules, how white space should be handled for the element's contents; its allowed values are defined by the XML 1.0 specification.</w:t>
      </w:r>
    </w:p>
    <w:p w:rsidR="000A156F" w:rsidRDefault="00A9721F">
      <w:pPr>
        <w:pStyle w:val="Heading3"/>
      </w:pPr>
      <w:bookmarkStart w:id="1258" w:name="section_c167a24345ad4def816e7032fb1adf5c"/>
      <w:bookmarkStart w:id="1259" w:name="_Toc181683655"/>
      <w:r>
        <w:t>Part 1 Section 18.3.1.39, evenHeader (Ev</w:t>
      </w:r>
      <w:r>
        <w:t>en Page Header)</w:t>
      </w:r>
      <w:bookmarkEnd w:id="1258"/>
      <w:bookmarkEnd w:id="1259"/>
      <w:r>
        <w:fldChar w:fldCharType="begin"/>
      </w:r>
      <w:r>
        <w:instrText xml:space="preserve"> XE "evenHeader (Even Page Header)" </w:instrText>
      </w:r>
      <w:r>
        <w:fldChar w:fldCharType="end"/>
      </w:r>
    </w:p>
    <w:p w:rsidR="000A156F" w:rsidRDefault="00A9721F">
      <w:pPr>
        <w:pStyle w:val="Definition-Field"/>
      </w:pPr>
      <w:r>
        <w:t xml:space="preserve">a.   </w:t>
      </w:r>
      <w:r>
        <w:rPr>
          <w:i/>
        </w:rPr>
        <w:t>The standard states that if no evenHeader is specified, then the oddHeader is used.</w:t>
      </w:r>
    </w:p>
    <w:p w:rsidR="000A156F" w:rsidRDefault="00A9721F">
      <w:pPr>
        <w:pStyle w:val="Definition-Field2"/>
      </w:pPr>
      <w:r>
        <w:t>In Office, oddHeader is used only when headerFooter@differentOddEven equals false.</w:t>
      </w:r>
    </w:p>
    <w:p w:rsidR="000A156F" w:rsidRDefault="00A9721F">
      <w:pPr>
        <w:pStyle w:val="Definition-Field"/>
      </w:pPr>
      <w:r>
        <w:t xml:space="preserve">b.   </w:t>
      </w:r>
      <w:r>
        <w:rPr>
          <w:i/>
        </w:rPr>
        <w:t>The standard does not spe</w:t>
      </w:r>
      <w:r>
        <w:rPr>
          <w:i/>
        </w:rPr>
        <w:t>cify formatting codes in ABNF format.</w:t>
      </w:r>
    </w:p>
    <w:p w:rsidR="000A156F" w:rsidRDefault="00A9721F">
      <w:r>
        <w:t>Office uses the following ABNF formatting codes to describe header and footer formatting:</w:t>
      </w:r>
    </w:p>
    <w:p w:rsidR="000A156F" w:rsidRDefault="00A9721F">
      <w:r>
        <w:t>headerfooter = *(left / pagenum / pagetotal / fontsize / strikethrough / superscript / subscript / center / date / time / filepa</w:t>
      </w:r>
      <w:r>
        <w:t>th / picture / underline / doubleunderline / right / bookpath / sheetname / fontname / fonttype / font / bold / italic / ampersand / emptytoken / UNICHAR)</w:t>
      </w:r>
    </w:p>
    <w:p w:rsidR="000A156F" w:rsidRDefault="00A9721F">
      <w:r>
        <w:t>UNICHAR = %x0020-FFFF</w:t>
      </w:r>
    </w:p>
    <w:p w:rsidR="000A156F" w:rsidRDefault="00A9721F">
      <w:r>
        <w:t>This code specifies Unicode characters, starting with the space character (%x00</w:t>
      </w:r>
      <w:r>
        <w:t>20).</w:t>
      </w:r>
    </w:p>
    <w:p w:rsidR="000A156F" w:rsidRDefault="00A9721F">
      <w:r>
        <w:t>DIGIT = %x0030-0039</w:t>
      </w:r>
    </w:p>
    <w:p w:rsidR="000A156F" w:rsidRDefault="00A9721F">
      <w:r>
        <w:t>This code specifies a digit between 0 and 9.</w:t>
      </w:r>
    </w:p>
    <w:p w:rsidR="000A156F" w:rsidRDefault="00A9721F">
      <w:r>
        <w:t>HEXALPHA = %x0041-0046 / %x0061-0066</w:t>
      </w:r>
    </w:p>
    <w:p w:rsidR="000A156F" w:rsidRDefault="00A9721F">
      <w:r>
        <w:t>This code specifies a character between A and F or between a and f.</w:t>
      </w:r>
    </w:p>
    <w:p w:rsidR="000A156F" w:rsidRDefault="00A9721F">
      <w:r>
        <w:t>DQUOTE = %x0022</w:t>
      </w:r>
    </w:p>
    <w:p w:rsidR="000A156F" w:rsidRDefault="00A9721F">
      <w:r>
        <w:t>This code specifies a double quotation mark.</w:t>
      </w:r>
    </w:p>
    <w:p w:rsidR="000A156F" w:rsidRDefault="00A9721F">
      <w:r>
        <w:t>left = "&amp;L"</w:t>
      </w:r>
    </w:p>
    <w:p w:rsidR="000A156F" w:rsidRDefault="00A9721F">
      <w:r>
        <w:t xml:space="preserve">This </w:t>
      </w:r>
      <w:r>
        <w:t>code specifies the beginning of the left section. There are three header and footer sections: left, center, and right. When two or more of this section marker exist, the contents from All markers are concatenated, in the order of appearance, and placed int</w:t>
      </w:r>
      <w:r>
        <w:t>o the left section.</w:t>
      </w:r>
    </w:p>
    <w:p w:rsidR="000A156F" w:rsidRDefault="00A9721F">
      <w:r>
        <w:t>pagenum = "&amp;P"</w:t>
      </w:r>
    </w:p>
    <w:p w:rsidR="000A156F" w:rsidRDefault="00A9721F">
      <w:r>
        <w:t>This code specifies the current page number.</w:t>
      </w:r>
    </w:p>
    <w:p w:rsidR="000A156F" w:rsidRDefault="00A9721F">
      <w:r>
        <w:t>pagetotal = "&amp;N" 0*1(("-" / "+") *DIGIT)</w:t>
      </w:r>
    </w:p>
    <w:p w:rsidR="000A156F" w:rsidRDefault="00A9721F">
      <w:r>
        <w:t>This code specifies the total number of pages.</w:t>
      </w:r>
    </w:p>
    <w:p w:rsidR="000A156F" w:rsidRDefault="00A9721F">
      <w:r>
        <w:t>fontsize = "&amp;" 1*3DIGIT</w:t>
      </w:r>
    </w:p>
    <w:p w:rsidR="000A156F" w:rsidRDefault="00A9721F">
      <w:r>
        <w:t>This code specifies the text font size, where font size is measu</w:t>
      </w:r>
      <w:r>
        <w:t>red in points.</w:t>
      </w:r>
    </w:p>
    <w:p w:rsidR="000A156F" w:rsidRDefault="00A9721F">
      <w:r>
        <w:t>strikethrough = "&amp;S"</w:t>
      </w:r>
    </w:p>
    <w:p w:rsidR="000A156F" w:rsidRDefault="00A9721F">
      <w:r>
        <w:t>This code specifies whether the strikethrough text style is on or off. The first occurrence of this code must turn the strikethrough text style on, and the second occurrence must turn it off.</w:t>
      </w:r>
    </w:p>
    <w:p w:rsidR="000A156F" w:rsidRDefault="00A9721F">
      <w:r>
        <w:t>superscript = "&amp;X"</w:t>
      </w:r>
    </w:p>
    <w:p w:rsidR="000A156F" w:rsidRDefault="00A9721F">
      <w:r>
        <w:t>This code</w:t>
      </w:r>
      <w:r>
        <w:t xml:space="preserve"> specifies whether the superscript text style is on or off. The first occurrence of this code must turn the superscript text style on, and the second occurrence must turn it off. The superscript </w:t>
      </w:r>
      <w:r>
        <w:lastRenderedPageBreak/>
        <w:t>and subscript codes must not both be on at same time. If both</w:t>
      </w:r>
      <w:r>
        <w:t xml:space="preserve"> codes occur in the string, the code that occurs first is applied and the other is ignored.</w:t>
      </w:r>
    </w:p>
    <w:p w:rsidR="000A156F" w:rsidRDefault="00A9721F">
      <w:r>
        <w:t>subscript = "&amp;Y"</w:t>
      </w:r>
    </w:p>
    <w:p w:rsidR="000A156F" w:rsidRDefault="00A9721F">
      <w:r>
        <w:t>This code specifies whether the subscript text style is on or off. The first occurrence of this code must turn the subscript text style on, and the</w:t>
      </w:r>
      <w:r>
        <w:t xml:space="preserve"> second occurrence must turn it off. The superscript and subscript codes must not both be on at same time. If both codes occur in the string, the code that occurs first is applied and the other is ignored.</w:t>
      </w:r>
    </w:p>
    <w:p w:rsidR="000A156F" w:rsidRDefault="00A9721F">
      <w:r>
        <w:t>center = "&amp;C"</w:t>
      </w:r>
    </w:p>
    <w:p w:rsidR="000A156F" w:rsidRDefault="00A9721F">
      <w:r>
        <w:t>This code specifies the beginning of</w:t>
      </w:r>
      <w:r>
        <w:t xml:space="preserve"> the center section. When two or more of this section marker exist, the contents from All markers are concatenated, in the order of appearance, and placed into the center section.</w:t>
      </w:r>
    </w:p>
    <w:p w:rsidR="000A156F" w:rsidRDefault="00A9721F">
      <w:r>
        <w:t>date = "&amp;D"</w:t>
      </w:r>
    </w:p>
    <w:p w:rsidR="000A156F" w:rsidRDefault="00A9721F">
      <w:r>
        <w:t>This code specifies a date.</w:t>
      </w:r>
    </w:p>
    <w:p w:rsidR="000A156F" w:rsidRDefault="00A9721F">
      <w:r>
        <w:t>time = "&amp;T"</w:t>
      </w:r>
    </w:p>
    <w:p w:rsidR="000A156F" w:rsidRDefault="00A9721F">
      <w:r>
        <w:t>This code specifies a ti</w:t>
      </w:r>
      <w:r>
        <w:t>me.</w:t>
      </w:r>
    </w:p>
    <w:p w:rsidR="000A156F" w:rsidRDefault="00A9721F">
      <w:r>
        <w:t>picture = "&amp;G"</w:t>
      </w:r>
    </w:p>
    <w:p w:rsidR="000A156F" w:rsidRDefault="00A9721F">
      <w:r>
        <w:t>This code specifies a picture.</w:t>
      </w:r>
    </w:p>
    <w:p w:rsidR="000A156F" w:rsidRDefault="00A9721F">
      <w:r>
        <w:t>underline = "&amp;U"</w:t>
      </w:r>
    </w:p>
    <w:p w:rsidR="000A156F" w:rsidRDefault="00A9721F">
      <w:r>
        <w:t xml:space="preserve">This code specifies whether the single underline text style is on or off. The first occurrence of this code must turn the underline text style on, and the second occurrence must turn it </w:t>
      </w:r>
      <w:r>
        <w:t>off.</w:t>
      </w:r>
    </w:p>
    <w:p w:rsidR="000A156F" w:rsidRDefault="00A9721F">
      <w:r>
        <w:t>doubleunderline = "&amp;E"</w:t>
      </w:r>
    </w:p>
    <w:p w:rsidR="000A156F" w:rsidRDefault="00A9721F">
      <w:r>
        <w:t>This code specifies whether the double underline text style is on or off. The first occurrence of this code must turn the double underline text style on, and the second occurrence must turn it off.</w:t>
      </w:r>
    </w:p>
    <w:p w:rsidR="000A156F" w:rsidRDefault="00A9721F">
      <w:r>
        <w:t>right = "&amp;R"</w:t>
      </w:r>
    </w:p>
    <w:p w:rsidR="000A156F" w:rsidRDefault="00A9721F">
      <w:r>
        <w:t>This code specifi</w:t>
      </w:r>
      <w:r>
        <w:t>es the beginning of the right section. When two or more of this section marker exist, the contents from All markers are concatenated, in the order of appearance, and placed into the right section.</w:t>
      </w:r>
    </w:p>
    <w:p w:rsidR="000A156F" w:rsidRDefault="00A9721F">
      <w:r>
        <w:t>bookpath = "&amp;Z"</w:t>
      </w:r>
    </w:p>
    <w:p w:rsidR="000A156F" w:rsidRDefault="00A9721F">
      <w:r>
        <w:t>This code specifies a workbook file path.</w:t>
      </w:r>
    </w:p>
    <w:p w:rsidR="000A156F" w:rsidRDefault="00A9721F">
      <w:r>
        <w:t>bookname = "&amp;F"</w:t>
      </w:r>
    </w:p>
    <w:p w:rsidR="000A156F" w:rsidRDefault="00A9721F">
      <w:r>
        <w:t>This code specifies a workbook file name.</w:t>
      </w:r>
    </w:p>
    <w:p w:rsidR="000A156F" w:rsidRDefault="00A9721F">
      <w:r>
        <w:t>sheetname = "&amp;A"</w:t>
      </w:r>
    </w:p>
    <w:p w:rsidR="000A156F" w:rsidRDefault="00A9721F">
      <w:r>
        <w:t>This code specifies a worksheet name.</w:t>
      </w:r>
    </w:p>
    <w:p w:rsidR="000A156F" w:rsidRDefault="00A9721F">
      <w:r>
        <w:t>fontname = (1*UNICHAR / "-")</w:t>
      </w:r>
    </w:p>
    <w:p w:rsidR="000A156F" w:rsidRDefault="00A9721F">
      <w:r>
        <w:t>This code specifies the text font name. When the font name is a hyphen, no font is specified. This can be a locali</w:t>
      </w:r>
      <w:r>
        <w:t xml:space="preserve">zed string. </w:t>
      </w:r>
    </w:p>
    <w:p w:rsidR="000A156F" w:rsidRDefault="00A9721F">
      <w:r>
        <w:t>fonttype = ("italic" / "bold" / "regular" / "italic bold" / "bold italic")</w:t>
      </w:r>
    </w:p>
    <w:p w:rsidR="000A156F" w:rsidRDefault="00A9721F">
      <w:r>
        <w:lastRenderedPageBreak/>
        <w:t xml:space="preserve">This code specifies the text font type. This can be a localized string. </w:t>
      </w:r>
    </w:p>
    <w:p w:rsidR="000A156F" w:rsidRDefault="00A9721F">
      <w:r>
        <w:t>font = "&amp;" DQUOTE fontname , fonttype DQUOTE</w:t>
      </w:r>
    </w:p>
    <w:p w:rsidR="000A156F" w:rsidRDefault="00A9721F">
      <w:r>
        <w:t>This code specifies the text font.</w:t>
      </w:r>
    </w:p>
    <w:p w:rsidR="000A156F" w:rsidRDefault="00A9721F">
      <w:r>
        <w:t>bold = "&amp;B"</w:t>
      </w:r>
    </w:p>
    <w:p w:rsidR="000A156F" w:rsidRDefault="00A9721F">
      <w:r>
        <w:t>Thi</w:t>
      </w:r>
      <w:r>
        <w:t>s code specifies whether the bold text style is on or off. The first occurrence of this code must turn the bold text style on, and the second occurrence must turn it off.</w:t>
      </w:r>
    </w:p>
    <w:p w:rsidR="000A156F" w:rsidRDefault="00A9721F">
      <w:r>
        <w:t>italic = "&amp;I"</w:t>
      </w:r>
    </w:p>
    <w:p w:rsidR="000A156F" w:rsidRDefault="00A9721F">
      <w:r>
        <w:t>This code specifies whether the italic text style is on or off. The fir</w:t>
      </w:r>
      <w:r>
        <w:t>st occurrence of this code must turn the italic text style on, and the second occurrence must turn it off.</w:t>
      </w:r>
    </w:p>
    <w:p w:rsidR="000A156F" w:rsidRDefault="00A9721F">
      <w:r>
        <w:t>ampersand = "&amp;&amp;"</w:t>
      </w:r>
    </w:p>
    <w:p w:rsidR="000A156F" w:rsidRDefault="00A9721F">
      <w:r>
        <w:t>This code specifies an ampersand character.</w:t>
      </w:r>
    </w:p>
    <w:p w:rsidR="000A156F" w:rsidRDefault="00A9721F">
      <w:r>
        <w:t>emptytoken = "&amp;" *1UNICHAR</w:t>
      </w:r>
    </w:p>
    <w:p w:rsidR="000A156F" w:rsidRDefault="00A9721F">
      <w:r>
        <w:t>This code specifies an unidentified token. If only "&amp;" appear</w:t>
      </w:r>
      <w:r>
        <w:t>s, or if there is a UNICHAR specified after "&amp;" and it is not one of the UNICHAR characters listed in the preceding rules, then the token is interpreted as empty and nothing is rendered in the header or footer text.</w:t>
      </w:r>
    </w:p>
    <w:p w:rsidR="000A156F" w:rsidRDefault="00A9721F">
      <w:pPr>
        <w:pStyle w:val="Definition-Field"/>
      </w:pPr>
      <w:r>
        <w:t xml:space="preserve">c.   </w:t>
      </w:r>
      <w:r>
        <w:rPr>
          <w:i/>
        </w:rPr>
        <w:t>The standard does not limit the len</w:t>
      </w:r>
      <w:r>
        <w:rPr>
          <w:i/>
        </w:rPr>
        <w:t>gth of the value of this element.</w:t>
      </w:r>
    </w:p>
    <w:p w:rsidR="000A156F" w:rsidRDefault="00A9721F">
      <w:pPr>
        <w:pStyle w:val="Definition-Field2"/>
      </w:pPr>
      <w:r>
        <w:t>Excel restricts the value of this element to be at most 255 characters.</w:t>
      </w:r>
    </w:p>
    <w:p w:rsidR="000A156F" w:rsidRDefault="00A9721F">
      <w:pPr>
        <w:pStyle w:val="Definition-Field"/>
      </w:pPr>
      <w:r>
        <w:t xml:space="preserve">d.   </w:t>
      </w:r>
      <w:r>
        <w:rPr>
          <w:i/>
        </w:rPr>
        <w:t>The standard makes no mention of an xml:space attribute.</w:t>
      </w:r>
    </w:p>
    <w:p w:rsidR="000A156F" w:rsidRDefault="00A9721F">
      <w:pPr>
        <w:pStyle w:val="Definition-Field2"/>
      </w:pPr>
      <w:r>
        <w:t xml:space="preserve">Excel uses this attribute to specify, using the W3C space preservation rules, how white </w:t>
      </w:r>
      <w:r>
        <w:t>space should be handled for the element's contents; its allowed values are defined by the XML 1.0 specification.</w:t>
      </w:r>
    </w:p>
    <w:p w:rsidR="000A156F" w:rsidRDefault="00A9721F">
      <w:pPr>
        <w:pStyle w:val="Heading3"/>
      </w:pPr>
      <w:bookmarkStart w:id="1260" w:name="section_b5d1f58cb1a14fcdaaa0ee7f4e8af9de"/>
      <w:bookmarkStart w:id="1261" w:name="_Toc181683656"/>
      <w:r>
        <w:t>Part 1 Section 18.3.1.40, f (Formula)</w:t>
      </w:r>
      <w:bookmarkEnd w:id="1260"/>
      <w:bookmarkEnd w:id="1261"/>
      <w:r>
        <w:fldChar w:fldCharType="begin"/>
      </w:r>
      <w:r>
        <w:instrText xml:space="preserve"> XE "f (Formula)" </w:instrText>
      </w:r>
      <w:r>
        <w:fldChar w:fldCharType="end"/>
      </w:r>
    </w:p>
    <w:p w:rsidR="000A156F" w:rsidRDefault="00A9721F">
      <w:pPr>
        <w:pStyle w:val="Definition-Field"/>
      </w:pPr>
      <w:r>
        <w:t xml:space="preserve">a.   </w:t>
      </w:r>
      <w:r>
        <w:rPr>
          <w:i/>
        </w:rPr>
        <w:t xml:space="preserve">The standard specifies that any cell in a worksheet may be the input cell for a </w:t>
      </w:r>
      <w:r>
        <w:rPr>
          <w:i/>
        </w:rPr>
        <w:t>data table.</w:t>
      </w:r>
    </w:p>
    <w:p w:rsidR="000A156F" w:rsidRDefault="00A9721F">
      <w:pPr>
        <w:pStyle w:val="Definition-Field2"/>
      </w:pPr>
      <w:r>
        <w:t>Office requires that the input cell not belong to the cell range in the ref attribute, the master row or the master column - unless the cell is deleted as specified in attribute del1.</w:t>
      </w:r>
    </w:p>
    <w:p w:rsidR="000A156F" w:rsidRDefault="00A9721F">
      <w:pPr>
        <w:pStyle w:val="Definition-Field"/>
      </w:pPr>
      <w:r>
        <w:t xml:space="preserve">b.   </w:t>
      </w:r>
      <w:r>
        <w:rPr>
          <w:i/>
        </w:rPr>
        <w:t>The standard specifies a bx attribute value of true cau</w:t>
      </w:r>
      <w:r>
        <w:rPr>
          <w:i/>
        </w:rPr>
        <w:t>ses this formula to assign a value to a name.</w:t>
      </w:r>
    </w:p>
    <w:p w:rsidR="000A156F" w:rsidRDefault="00A9721F">
      <w:pPr>
        <w:pStyle w:val="Definition-Field2"/>
      </w:pPr>
      <w:r>
        <w:t>Office requires the bx attribute to be always set to false.</w:t>
      </w:r>
    </w:p>
    <w:p w:rsidR="000A156F" w:rsidRDefault="00A9721F">
      <w:pPr>
        <w:pStyle w:val="Definition-Field"/>
      </w:pPr>
      <w:r>
        <w:t xml:space="preserve">c.   </w:t>
      </w:r>
      <w:r>
        <w:rPr>
          <w:i/>
        </w:rPr>
        <w:t>The standard specifies that attribute del2 applies to data table formulas only.</w:t>
      </w:r>
    </w:p>
    <w:p w:rsidR="000A156F" w:rsidRDefault="00A9721F">
      <w:pPr>
        <w:pStyle w:val="Definition-Field2"/>
      </w:pPr>
      <w:r>
        <w:t xml:space="preserve">Office uses attribute del2 for two-dimensional data table </w:t>
      </w:r>
      <w:r>
        <w:t>formulas only.</w:t>
      </w:r>
    </w:p>
    <w:p w:rsidR="000A156F" w:rsidRDefault="00A9721F">
      <w:pPr>
        <w:pStyle w:val="Definition-Field"/>
      </w:pPr>
      <w:r>
        <w:t xml:space="preserve">d.   </w:t>
      </w:r>
      <w:r>
        <w:rPr>
          <w:i/>
        </w:rPr>
        <w:t>The standard specifies that the top-left cell in the data table is the master cell.</w:t>
      </w:r>
    </w:p>
    <w:p w:rsidR="000A156F" w:rsidRDefault="00A9721F">
      <w:r>
        <w:t xml:space="preserve">The cell with the smallest row and column in the </w:t>
      </w:r>
      <w:r>
        <w:rPr>
          <w:b/>
        </w:rPr>
        <w:t>ref</w:t>
      </w:r>
      <w:r>
        <w:t xml:space="preserve"> attribute is called the master cell. The single column reference with the column one less than the </w:t>
      </w:r>
      <w:r>
        <w:t xml:space="preserve">smallest column in the </w:t>
      </w:r>
      <w:r>
        <w:rPr>
          <w:b/>
        </w:rPr>
        <w:t>ref</w:t>
      </w:r>
      <w:r>
        <w:t xml:space="preserve"> attribute and spanning the same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w:t>
      </w:r>
      <w:r>
        <w:t xml:space="preserve">he cell range in the </w:t>
      </w:r>
      <w:r>
        <w:rPr>
          <w:b/>
        </w:rPr>
        <w:t>ref</w:t>
      </w:r>
      <w:r>
        <w:t xml:space="preserve"> attribute is called the master row. The cell with the column and row one less than the master cell is called, the corner cell.</w:t>
      </w:r>
    </w:p>
    <w:p w:rsidR="000A156F" w:rsidRDefault="00A9721F">
      <w:r>
        <w:lastRenderedPageBreak/>
        <w:t>[Example:</w:t>
      </w:r>
    </w:p>
    <w:p w:rsidR="000A156F" w:rsidRDefault="00A9721F">
      <w:r>
        <w:t xml:space="preserve">The example shows the master cell, row and column, and the corner cell for the data table specified by the </w:t>
      </w:r>
      <w:r>
        <w:rPr>
          <w:b/>
        </w:rPr>
        <w:t>ref</w:t>
      </w:r>
      <w:r>
        <w:t xml:space="preserve"> attribute equal to </w:t>
      </w:r>
      <w:r>
        <w:rPr>
          <w:i/>
        </w:rPr>
        <w:t>“C4:E10”</w:t>
      </w:r>
      <w:r>
        <w:t>:</w:t>
      </w:r>
    </w:p>
    <w:p w:rsidR="000A156F" w:rsidRDefault="00A9721F">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7"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0A156F" w:rsidRDefault="00A9721F">
      <w:r>
        <w:t>end example]</w:t>
      </w:r>
    </w:p>
    <w:p w:rsidR="000A156F" w:rsidRDefault="00A9721F">
      <w:pPr>
        <w:pStyle w:val="Definition-Field"/>
      </w:pPr>
      <w:r>
        <w:t xml:space="preserve">e.   </w:t>
      </w:r>
      <w:r>
        <w:rPr>
          <w:i/>
        </w:rPr>
        <w:t>The standard specifies that if the aca attribute equals true, then that formula is an array form</w:t>
      </w:r>
      <w:r>
        <w:rPr>
          <w:i/>
        </w:rPr>
        <w:t>ula.</w:t>
      </w:r>
    </w:p>
    <w:p w:rsidR="000A156F" w:rsidRDefault="00A9721F">
      <w:pPr>
        <w:pStyle w:val="Definition-Field2"/>
      </w:pPr>
      <w:r>
        <w:t>Office uses the t attribute value array to indicate an array formula. The aca attribute is ignored if the formula is not an array formula.</w:t>
      </w:r>
    </w:p>
    <w:p w:rsidR="000A156F" w:rsidRDefault="00A9721F">
      <w:pPr>
        <w:pStyle w:val="Definition-Field"/>
      </w:pPr>
      <w:r>
        <w:t xml:space="preserve">f.   </w:t>
      </w:r>
      <w:r>
        <w:rPr>
          <w:i/>
        </w:rPr>
        <w:t>The standard specifies that any cells in a worksheet may be the input cells for a two-dimensional data tabl</w:t>
      </w:r>
      <w:r>
        <w:rPr>
          <w:i/>
        </w:rPr>
        <w:t>e.</w:t>
      </w:r>
    </w:p>
    <w:p w:rsidR="000A156F" w:rsidRDefault="00A9721F">
      <w:pPr>
        <w:pStyle w:val="Definition-Field2"/>
      </w:pPr>
      <w:r>
        <w:t>Office requires that the input cells not belong to the cell range in the ref attribute, the master row, the master column or the corner cell unless the corresponding cells are deleted as specified in attributes del1 and del2.</w:t>
      </w:r>
    </w:p>
    <w:p w:rsidR="000A156F" w:rsidRDefault="00A9721F">
      <w:pPr>
        <w:pStyle w:val="Definition-Field"/>
      </w:pPr>
      <w:r>
        <w:t xml:space="preserve">g.   </w:t>
      </w:r>
      <w:r>
        <w:rPr>
          <w:i/>
        </w:rPr>
        <w:t>The standard specifies</w:t>
      </w:r>
      <w:r>
        <w:rPr>
          <w:i/>
        </w:rPr>
        <w:t xml:space="preserve"> that data tables are recalculated whenever a worksheet is recalculated.</w:t>
      </w:r>
    </w:p>
    <w:p w:rsidR="000A156F" w:rsidRDefault="00A9721F">
      <w:pPr>
        <w:pStyle w:val="Definition-Field2"/>
      </w:pPr>
      <w:r>
        <w:t>Office recalculates data tables as specified by calcPr@calcMode.</w:t>
      </w:r>
    </w:p>
    <w:p w:rsidR="000A156F" w:rsidRDefault="00A9721F">
      <w:pPr>
        <w:pStyle w:val="Definition-Field"/>
      </w:pPr>
      <w:r>
        <w:t xml:space="preserve">h.   </w:t>
      </w:r>
      <w:r>
        <w:rPr>
          <w:i/>
        </w:rPr>
        <w:t>The standard states that the si attribute is optional.</w:t>
      </w:r>
    </w:p>
    <w:p w:rsidR="000A156F" w:rsidRDefault="00A9721F">
      <w:pPr>
        <w:pStyle w:val="Definition-Field2"/>
      </w:pPr>
      <w:r>
        <w:t>Office requires the si attribute to exist when the t attri</w:t>
      </w:r>
      <w:r>
        <w:t>bute equals shared and is ignored otherwise.</w:t>
      </w:r>
    </w:p>
    <w:p w:rsidR="000A156F" w:rsidRDefault="00A9721F">
      <w:pPr>
        <w:pStyle w:val="Definition-Field"/>
      </w:pPr>
      <w:r>
        <w:t xml:space="preserve">i.   </w:t>
      </w:r>
      <w:r>
        <w:rPr>
          <w:i/>
        </w:rPr>
        <w:t>The standard makes no mention of an xml:space attribute.</w:t>
      </w:r>
    </w:p>
    <w:p w:rsidR="000A156F" w:rsidRDefault="00A9721F">
      <w:pPr>
        <w:pStyle w:val="Definition-Field2"/>
      </w:pPr>
      <w:r>
        <w:t>Excel uses this attribute to specify, using the W3C space preservation rules, how white space should be handled for the element's contents; its allow</w:t>
      </w:r>
      <w:r>
        <w:t>ed values are defined by the XML 1.0 specification.</w:t>
      </w:r>
    </w:p>
    <w:p w:rsidR="000A156F" w:rsidRDefault="00A9721F">
      <w:pPr>
        <w:pStyle w:val="Heading3"/>
      </w:pPr>
      <w:bookmarkStart w:id="1262" w:name="section_18f72dee69094641812773fff1ce7be4"/>
      <w:bookmarkStart w:id="1263" w:name="_Toc181683657"/>
      <w:r>
        <w:t>Part 1 Section 18.3.1.41, firstFooter (First Page Footer)</w:t>
      </w:r>
      <w:bookmarkEnd w:id="1262"/>
      <w:bookmarkEnd w:id="1263"/>
      <w:r>
        <w:fldChar w:fldCharType="begin"/>
      </w:r>
      <w:r>
        <w:instrText xml:space="preserve"> XE "firstFooter (First Page Footer)" </w:instrText>
      </w:r>
      <w:r>
        <w:fldChar w:fldCharType="end"/>
      </w:r>
    </w:p>
    <w:p w:rsidR="000A156F" w:rsidRDefault="00A9721F">
      <w:pPr>
        <w:pStyle w:val="Definition-Field"/>
      </w:pPr>
      <w:r>
        <w:t xml:space="preserve">a.   </w:t>
      </w:r>
      <w:r>
        <w:rPr>
          <w:i/>
        </w:rPr>
        <w:t>The standard does not limit the length of the value of this element.</w:t>
      </w:r>
    </w:p>
    <w:p w:rsidR="000A156F" w:rsidRDefault="00A9721F">
      <w:pPr>
        <w:pStyle w:val="Definition-Field2"/>
      </w:pPr>
      <w:r>
        <w:lastRenderedPageBreak/>
        <w:t>Excel restricts the value of thi</w:t>
      </w:r>
      <w:r>
        <w:t>s element to be at most 255 characters after escaped sequences are replaced with characters.</w:t>
      </w:r>
    </w:p>
    <w:p w:rsidR="000A156F" w:rsidRDefault="00A9721F">
      <w:pPr>
        <w:pStyle w:val="Definition-Field"/>
      </w:pPr>
      <w:r>
        <w:t xml:space="preserve">b.   </w:t>
      </w:r>
      <w:r>
        <w:rPr>
          <w:i/>
        </w:rPr>
        <w:t>The standard makes no mention of an xml:space attribute.</w:t>
      </w:r>
    </w:p>
    <w:p w:rsidR="000A156F" w:rsidRDefault="00A9721F">
      <w:pPr>
        <w:pStyle w:val="Definition-Field2"/>
      </w:pPr>
      <w:r>
        <w:t xml:space="preserve">Excel uses this attribute to specify, using the W3C space preservation rules, how white space should </w:t>
      </w:r>
      <w:r>
        <w:t>be handled for the element's contents; its allowed values are defined by the XML 1.0 specification.</w:t>
      </w:r>
    </w:p>
    <w:p w:rsidR="000A156F" w:rsidRDefault="00A9721F">
      <w:pPr>
        <w:pStyle w:val="Heading3"/>
      </w:pPr>
      <w:bookmarkStart w:id="1264" w:name="section_9ec6794e9c71422da396ac2934bb3a35"/>
      <w:bookmarkStart w:id="1265" w:name="_Toc181683658"/>
      <w:r>
        <w:t>Part 1 Section 18.3.1.42, firstHeader (First Page Header)</w:t>
      </w:r>
      <w:bookmarkEnd w:id="1264"/>
      <w:bookmarkEnd w:id="1265"/>
      <w:r>
        <w:fldChar w:fldCharType="begin"/>
      </w:r>
      <w:r>
        <w:instrText xml:space="preserve"> XE "firstHeader (First Page Header)" </w:instrText>
      </w:r>
      <w:r>
        <w:fldChar w:fldCharType="end"/>
      </w:r>
    </w:p>
    <w:p w:rsidR="000A156F" w:rsidRDefault="00A9721F">
      <w:pPr>
        <w:pStyle w:val="Definition-Field"/>
      </w:pPr>
      <w:r>
        <w:t xml:space="preserve">a.   </w:t>
      </w:r>
      <w:r>
        <w:rPr>
          <w:i/>
        </w:rPr>
        <w:t>The standard does not place any restrictions on the l</w:t>
      </w:r>
      <w:r>
        <w:rPr>
          <w:i/>
        </w:rPr>
        <w:t>ength of the value for this element.</w:t>
      </w:r>
    </w:p>
    <w:p w:rsidR="000A156F" w:rsidRDefault="00A9721F">
      <w:pPr>
        <w:pStyle w:val="Definition-Field2"/>
      </w:pPr>
      <w:r>
        <w:t>Office requires that the length of the value for this element be less than or equal to 255.</w:t>
      </w:r>
    </w:p>
    <w:p w:rsidR="000A156F" w:rsidRDefault="00A9721F">
      <w:pPr>
        <w:pStyle w:val="Definition-Field"/>
      </w:pPr>
      <w:r>
        <w:t xml:space="preserve">b.   </w:t>
      </w:r>
      <w:r>
        <w:rPr>
          <w:i/>
        </w:rPr>
        <w:t>The standard makes no mention of an xml:space attribute.</w:t>
      </w:r>
    </w:p>
    <w:p w:rsidR="000A156F" w:rsidRDefault="00A9721F">
      <w:pPr>
        <w:pStyle w:val="Definition-Field2"/>
      </w:pPr>
      <w:r>
        <w:t>Excel uses this attribute to specify, using the W3C space preserv</w:t>
      </w:r>
      <w:r>
        <w:t>ation rules, how white space should be handled for the element's contents; its allowed values are defined by the XML 1.0 specification.</w:t>
      </w:r>
    </w:p>
    <w:p w:rsidR="000A156F" w:rsidRDefault="00A9721F">
      <w:pPr>
        <w:pStyle w:val="Heading3"/>
      </w:pPr>
      <w:bookmarkStart w:id="1266" w:name="section_d0e6b3688e66420c94c4e9f9b23c6fba"/>
      <w:bookmarkStart w:id="1267" w:name="_Toc181683659"/>
      <w:r>
        <w:t>Part 1 Section 18.3.1.43, formula (Formula)</w:t>
      </w:r>
      <w:bookmarkEnd w:id="1266"/>
      <w:bookmarkEnd w:id="1267"/>
      <w:r>
        <w:fldChar w:fldCharType="begin"/>
      </w:r>
      <w:r>
        <w:instrText xml:space="preserve"> XE "formula (Formula)" </w:instrText>
      </w:r>
      <w:r>
        <w:fldChar w:fldCharType="end"/>
      </w:r>
    </w:p>
    <w:p w:rsidR="000A156F" w:rsidRDefault="00A9721F">
      <w:pPr>
        <w:pStyle w:val="Definition-Field"/>
      </w:pPr>
      <w:r>
        <w:t xml:space="preserve">a.   </w:t>
      </w:r>
      <w:r>
        <w:rPr>
          <w:i/>
        </w:rPr>
        <w:t xml:space="preserve">The standard states that the content of this </w:t>
      </w:r>
      <w:r>
        <w:rPr>
          <w:i/>
        </w:rPr>
        <w:t>element is a formula whose calculated value specifies the criteria for the conditional formatting rule.</w:t>
      </w:r>
    </w:p>
    <w:p w:rsidR="000A156F" w:rsidRDefault="00A9721F">
      <w:r>
        <w:t>If the parent element for formula is rdn ("</w:t>
      </w:r>
      <w:hyperlink r:id="rId128">
        <w:r>
          <w:rPr>
            <w:rStyle w:val="Hyperlink"/>
          </w:rPr>
          <w:t>[ISO/IEC-29500-1]</w:t>
        </w:r>
      </w:hyperlink>
      <w:r>
        <w:t xml:space="preserve"> §18.11.1.13; rdn"), then </w:t>
      </w:r>
      <w:r>
        <w:t>the formula element represents a formula for a defined name and is defined by the grammar in Name Formulas (</w:t>
      </w:r>
      <w:hyperlink w:anchor="Section_da7f42ad0083451a98cfb475b578d91d">
        <w:r>
          <w:rPr>
            <w:rStyle w:val="Hyperlink"/>
          </w:rPr>
          <w:t>§3.2.3.1.4, Name Formulas</w:t>
        </w:r>
      </w:hyperlink>
      <w:r>
        <w:t>).</w:t>
      </w:r>
    </w:p>
    <w:p w:rsidR="000A156F" w:rsidRDefault="00A9721F">
      <w:r>
        <w:t>If the parent element for formula is cfRule ("[ISO/IEC-29</w:t>
      </w:r>
      <w:r>
        <w:t>500-1] §18.3.1.10; cfRule"), then the formula element represents a formula for a conditional formatting rule, and is defined by the grammar in Conditional Formatting Formulas (</w:t>
      </w:r>
      <w:hyperlink w:anchor="Section_ed5fc677a2444bfca1488ac15a6a97db">
        <w:r>
          <w:rPr>
            <w:rStyle w:val="Hyperlink"/>
          </w:rPr>
          <w:t>§3.2.3.1.2, Condi</w:t>
        </w:r>
        <w:r>
          <w:rPr>
            <w:rStyle w:val="Hyperlink"/>
          </w:rPr>
          <w:t>tional Formatting Formulas</w:t>
        </w:r>
      </w:hyperlink>
      <w:r>
        <w:t>).</w:t>
      </w:r>
    </w:p>
    <w:p w:rsidR="000A156F" w:rsidRDefault="00A9721F">
      <w:pPr>
        <w:pStyle w:val="Definition-Field"/>
      </w:pPr>
      <w:r>
        <w:t xml:space="preserve">b.   </w:t>
      </w:r>
      <w:r>
        <w:rPr>
          <w:i/>
        </w:rPr>
        <w:t>The standard makes no mention of an xml:space attribute.</w:t>
      </w:r>
    </w:p>
    <w:p w:rsidR="000A156F" w:rsidRDefault="00A9721F">
      <w:pPr>
        <w:pStyle w:val="Definition-Field2"/>
      </w:pPr>
      <w:r>
        <w:t xml:space="preserve">Excel uses this attribute to specify, using the W3C space preservation rules, how white space should be handled for the element's contents; its allowed values are </w:t>
      </w:r>
      <w:r>
        <w:t>defined by the XML 1.0 specification.</w:t>
      </w:r>
    </w:p>
    <w:p w:rsidR="000A156F" w:rsidRDefault="00A9721F">
      <w:pPr>
        <w:pStyle w:val="Heading3"/>
      </w:pPr>
      <w:bookmarkStart w:id="1268" w:name="section_a8f97422b8d24692af51a4dd1750c66e"/>
      <w:bookmarkStart w:id="1269" w:name="_Toc181683660"/>
      <w:r>
        <w:t>Part 1 Section 18.3.1.44, formula1 (Formula 1)</w:t>
      </w:r>
      <w:bookmarkEnd w:id="1268"/>
      <w:bookmarkEnd w:id="1269"/>
      <w:r>
        <w:fldChar w:fldCharType="begin"/>
      </w:r>
      <w:r>
        <w:instrText xml:space="preserve"> XE "formula1 (Formula 1)" </w:instrText>
      </w:r>
      <w:r>
        <w:fldChar w:fldCharType="end"/>
      </w:r>
    </w:p>
    <w:p w:rsidR="000A156F" w:rsidRDefault="00A9721F">
      <w:pPr>
        <w:pStyle w:val="Definition-Field"/>
      </w:pPr>
      <w:r>
        <w:t xml:space="preserve">a.   </w:t>
      </w:r>
      <w:r>
        <w:rPr>
          <w:i/>
        </w:rPr>
        <w:t>The standard states that the contents of this element are an extension on the ST_Formula simple type.</w:t>
      </w:r>
    </w:p>
    <w:p w:rsidR="000A156F" w:rsidRDefault="00A9721F">
      <w:pPr>
        <w:pStyle w:val="Definition-Field2"/>
      </w:pPr>
      <w:r>
        <w:t>Excel requires the contents of this</w:t>
      </w:r>
      <w:r>
        <w:t xml:space="preserve"> element for a data validation formula, as defined in Data Validation Formulas (</w:t>
      </w:r>
      <w:hyperlink w:anchor="Section_26e0ceb25b9342dc838c9e15c1a8cd8b">
        <w:r>
          <w:rPr>
            <w:rStyle w:val="Hyperlink"/>
          </w:rPr>
          <w:t>§3.2.3.1.3, Data Validation Formulas</w:t>
        </w:r>
      </w:hyperlink>
      <w:r>
        <w:t>).</w:t>
      </w:r>
    </w:p>
    <w:p w:rsidR="000A156F" w:rsidRDefault="00A9721F">
      <w:pPr>
        <w:pStyle w:val="Definition-Field"/>
      </w:pPr>
      <w:r>
        <w:t xml:space="preserve">b.   </w:t>
      </w:r>
      <w:r>
        <w:rPr>
          <w:i/>
        </w:rPr>
        <w:t>The standard makes no mention of an xml:space attribute.</w:t>
      </w:r>
    </w:p>
    <w:p w:rsidR="000A156F" w:rsidRDefault="00A9721F">
      <w:pPr>
        <w:pStyle w:val="Definition-Field2"/>
      </w:pPr>
      <w:r>
        <w:t>Excel uses t</w:t>
      </w:r>
      <w:r>
        <w:t>his attribute to specify, using the W3C space preservation rules, how white space should be handled for the element's contents; its allowed values are defined by the XML 1.0 specification.</w:t>
      </w:r>
    </w:p>
    <w:p w:rsidR="000A156F" w:rsidRDefault="00A9721F">
      <w:pPr>
        <w:pStyle w:val="Heading3"/>
      </w:pPr>
      <w:bookmarkStart w:id="1270" w:name="section_8636b952cceb43d6bc9b6b381cba0ea6"/>
      <w:bookmarkStart w:id="1271" w:name="_Toc181683661"/>
      <w:r>
        <w:t>Part 1 Section 18.3.1.45, formula2 (Formula 2)</w:t>
      </w:r>
      <w:bookmarkEnd w:id="1270"/>
      <w:bookmarkEnd w:id="1271"/>
      <w:r>
        <w:fldChar w:fldCharType="begin"/>
      </w:r>
      <w:r>
        <w:instrText xml:space="preserve"> XE "formula2 (Formul</w:instrText>
      </w:r>
      <w:r>
        <w:instrText xml:space="preserve">a 2)" </w:instrText>
      </w:r>
      <w:r>
        <w:fldChar w:fldCharType="end"/>
      </w:r>
    </w:p>
    <w:p w:rsidR="000A156F" w:rsidRDefault="00A9721F">
      <w:pPr>
        <w:pStyle w:val="Definition-Field"/>
      </w:pPr>
      <w:r>
        <w:t xml:space="preserve">a.   </w:t>
      </w:r>
      <w:r>
        <w:rPr>
          <w:i/>
        </w:rPr>
        <w:t>The standard states that the contents of this element are an extension on the ST_Formula simple type.</w:t>
      </w:r>
    </w:p>
    <w:p w:rsidR="000A156F" w:rsidRDefault="00A9721F">
      <w:pPr>
        <w:pStyle w:val="Definition-Field2"/>
      </w:pPr>
      <w:r>
        <w:lastRenderedPageBreak/>
        <w:t>Excel requires the contents of this element to follow the grammar for a data validation formula, as defined in Data Validation Formulas (</w:t>
      </w:r>
      <w:hyperlink w:anchor="Section_26e0ceb25b9342dc838c9e15c1a8cd8b">
        <w:r>
          <w:rPr>
            <w:rStyle w:val="Hyperlink"/>
          </w:rPr>
          <w:t>§3.2.3.1.3, Data Validation Formulas</w:t>
        </w:r>
      </w:hyperlink>
      <w:r>
        <w:t>).</w:t>
      </w:r>
    </w:p>
    <w:p w:rsidR="000A156F" w:rsidRDefault="00A9721F">
      <w:pPr>
        <w:pStyle w:val="Definition-Field"/>
      </w:pPr>
      <w:r>
        <w:t xml:space="preserve">b.   </w:t>
      </w:r>
      <w:r>
        <w:rPr>
          <w:i/>
        </w:rPr>
        <w:t>The standard makes no mention of an xml:space attribute.</w:t>
      </w:r>
    </w:p>
    <w:p w:rsidR="000A156F" w:rsidRDefault="00A9721F">
      <w:pPr>
        <w:pStyle w:val="Definition-Field2"/>
      </w:pPr>
      <w:r>
        <w:t>Excel uses this attribute to specify, using the W3C space preservation rules, how white space s</w:t>
      </w:r>
      <w:r>
        <w:t>hould be handled for the element's contents; its allowed values are defined by the XML 1.0 specification.</w:t>
      </w:r>
    </w:p>
    <w:p w:rsidR="000A156F" w:rsidRDefault="00A9721F">
      <w:pPr>
        <w:pStyle w:val="Heading3"/>
      </w:pPr>
      <w:bookmarkStart w:id="1272" w:name="section_842e6c5ecfaf4d168395a64547b5e22b"/>
      <w:bookmarkStart w:id="1273" w:name="_Toc181683662"/>
      <w:r>
        <w:t>Part 1 Section 18.3.1.47, hyperlink (Hyperlink)</w:t>
      </w:r>
      <w:bookmarkEnd w:id="1272"/>
      <w:bookmarkEnd w:id="1273"/>
      <w:r>
        <w:fldChar w:fldCharType="begin"/>
      </w:r>
      <w:r>
        <w:instrText xml:space="preserve"> XE "hyperlink (Hyperlink)" </w:instrText>
      </w:r>
      <w:r>
        <w:fldChar w:fldCharType="end"/>
      </w:r>
    </w:p>
    <w:p w:rsidR="000A156F" w:rsidRDefault="00A9721F">
      <w:pPr>
        <w:pStyle w:val="Definition-Field"/>
      </w:pPr>
      <w:r>
        <w:t xml:space="preserve">a.   </w:t>
      </w:r>
      <w:r>
        <w:rPr>
          <w:i/>
        </w:rPr>
        <w:t>The standard does not place any restrictions on the length of the v</w:t>
      </w:r>
      <w:r>
        <w:rPr>
          <w:i/>
        </w:rPr>
        <w:t>alue for the location attribute.</w:t>
      </w:r>
    </w:p>
    <w:p w:rsidR="000A156F" w:rsidRDefault="00A9721F">
      <w:pPr>
        <w:pStyle w:val="Definition-Field2"/>
      </w:pPr>
      <w:r>
        <w:t>Office requires that length of the location attribute be between 0 and 2084 inclusive.</w:t>
      </w:r>
    </w:p>
    <w:p w:rsidR="000A156F" w:rsidRDefault="00A9721F">
      <w:pPr>
        <w:pStyle w:val="Definition-Field"/>
      </w:pPr>
      <w:r>
        <w:t xml:space="preserve">b.   </w:t>
      </w:r>
      <w:r>
        <w:rPr>
          <w:i/>
        </w:rPr>
        <w:t>The standard does not place any restrictions on the length of the value for the display attribute.</w:t>
      </w:r>
    </w:p>
    <w:p w:rsidR="000A156F" w:rsidRDefault="00A9721F">
      <w:pPr>
        <w:pStyle w:val="Definition-Field2"/>
      </w:pPr>
      <w:r>
        <w:t xml:space="preserve">Office requires that the length </w:t>
      </w:r>
      <w:r>
        <w:t>of the display attribute be between 0 and 2084 inclusive.</w:t>
      </w:r>
    </w:p>
    <w:p w:rsidR="000A156F" w:rsidRDefault="00A9721F">
      <w:pPr>
        <w:pStyle w:val="Definition-Field"/>
      </w:pPr>
      <w:r>
        <w:t xml:space="preserve">c.   </w:t>
      </w:r>
      <w:r>
        <w:rPr>
          <w:i/>
        </w:rPr>
        <w:t>The standard does not place any restrictions on the length of the value for the tooltip attribute.</w:t>
      </w:r>
    </w:p>
    <w:p w:rsidR="000A156F" w:rsidRDefault="00A9721F">
      <w:pPr>
        <w:pStyle w:val="Definition-Field2"/>
      </w:pPr>
      <w:r>
        <w:t>Office requires that the tooltip attribute be less than or equal to 255 characters in length.</w:t>
      </w:r>
    </w:p>
    <w:p w:rsidR="000A156F" w:rsidRDefault="00A9721F">
      <w:pPr>
        <w:pStyle w:val="Heading3"/>
      </w:pPr>
      <w:bookmarkStart w:id="1274" w:name="section_68d330fe5d134f51a64f8fea06399023"/>
      <w:bookmarkStart w:id="1275" w:name="_Toc181683663"/>
      <w:r>
        <w:t>Part 1 Section 18.3.1.50, ignoredError (Ignored Error)</w:t>
      </w:r>
      <w:bookmarkEnd w:id="1274"/>
      <w:bookmarkEnd w:id="1275"/>
      <w:r>
        <w:fldChar w:fldCharType="begin"/>
      </w:r>
      <w:r>
        <w:instrText xml:space="preserve"> XE "ignoredError (Ignored Error)" </w:instrText>
      </w:r>
      <w:r>
        <w:fldChar w:fldCharType="end"/>
      </w:r>
    </w:p>
    <w:p w:rsidR="000A156F" w:rsidRDefault="00A9721F">
      <w:pPr>
        <w:pStyle w:val="Definition-Field"/>
      </w:pPr>
      <w:r>
        <w:t xml:space="preserve">a.   </w:t>
      </w:r>
      <w:r>
        <w:rPr>
          <w:i/>
        </w:rPr>
        <w:t>The standard does not specify the maximum item number of the sqref attribute.</w:t>
      </w:r>
    </w:p>
    <w:p w:rsidR="000A156F" w:rsidRDefault="00A9721F">
      <w:pPr>
        <w:pStyle w:val="Definition-Field2"/>
      </w:pPr>
      <w:r>
        <w:t>Office defines the maximum item number of the sqref attribute as 2147483647.</w:t>
      </w:r>
    </w:p>
    <w:p w:rsidR="000A156F" w:rsidRDefault="00A9721F">
      <w:pPr>
        <w:pStyle w:val="Heading3"/>
      </w:pPr>
      <w:bookmarkStart w:id="1276" w:name="section_cdd4f652cf064ebcad4ba9d647ff7888"/>
      <w:bookmarkStart w:id="1277" w:name="_Toc181683664"/>
      <w:r>
        <w:t>Part</w:t>
      </w:r>
      <w:r>
        <w:t xml:space="preserve"> 1 Section 18.3.1.51, ignoredErrors (Ignored Errors)</w:t>
      </w:r>
      <w:bookmarkEnd w:id="1276"/>
      <w:bookmarkEnd w:id="1277"/>
      <w:r>
        <w:fldChar w:fldCharType="begin"/>
      </w:r>
      <w:r>
        <w:instrText xml:space="preserve"> XE "ignoredErrors (Ignored Errors)" </w:instrText>
      </w:r>
      <w:r>
        <w:fldChar w:fldCharType="end"/>
      </w:r>
    </w:p>
    <w:p w:rsidR="000A156F" w:rsidRDefault="00A9721F">
      <w:pPr>
        <w:pStyle w:val="Definition-Field"/>
      </w:pPr>
      <w:r>
        <w:t xml:space="preserve">a.   </w:t>
      </w:r>
      <w:r>
        <w:rPr>
          <w:i/>
        </w:rPr>
        <w:t>The standard states that the maxOccurs value for the ignoredError child element is unbounded.</w:t>
      </w:r>
    </w:p>
    <w:p w:rsidR="000A156F" w:rsidRDefault="00A9721F">
      <w:pPr>
        <w:pStyle w:val="Definition-Field2"/>
      </w:pPr>
      <w:r>
        <w:t>Excel limits the occurrences of this element to 9.</w:t>
      </w:r>
    </w:p>
    <w:p w:rsidR="000A156F" w:rsidRDefault="00A9721F">
      <w:pPr>
        <w:pStyle w:val="Heading3"/>
      </w:pPr>
      <w:bookmarkStart w:id="1278" w:name="section_2682468cc87f48c5a82bb5f915749eb0"/>
      <w:bookmarkStart w:id="1279" w:name="_Toc181683665"/>
      <w:r>
        <w:t>Part 1 Section 18.3.1.52, inputCells (Input Cells)</w:t>
      </w:r>
      <w:bookmarkEnd w:id="1278"/>
      <w:bookmarkEnd w:id="1279"/>
      <w:r>
        <w:fldChar w:fldCharType="begin"/>
      </w:r>
      <w:r>
        <w:instrText xml:space="preserve"> XE "inputCells (Input Cells)"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4a549a0150b49d0bb6be02bc5122381">
        <w:r>
          <w:rPr>
            <w:rStyle w:val="Hyperlink"/>
          </w:rPr>
          <w:t>scenario, §18.3.1.7</w:t>
        </w:r>
        <w:r>
          <w:rPr>
            <w:rStyle w:val="Hyperlink"/>
          </w:rPr>
          <w:t>5(c, d)</w:t>
        </w:r>
      </w:hyperlink>
      <w:r>
        <w:rPr>
          <w:i/>
        </w:rPr>
        <w:t>.</w:t>
      </w:r>
    </w:p>
    <w:p w:rsidR="000A156F" w:rsidRDefault="00A9721F">
      <w:pPr>
        <w:pStyle w:val="Definition-Field"/>
      </w:pPr>
      <w:r>
        <w:t xml:space="preserve">a.   </w:t>
      </w:r>
      <w:r>
        <w:rPr>
          <w:i/>
        </w:rPr>
        <w:t>The standard does not limit the length of the value of the val attribute.</w:t>
      </w:r>
    </w:p>
    <w:p w:rsidR="000A156F" w:rsidRDefault="00A9721F">
      <w:pPr>
        <w:pStyle w:val="Definition-Field2"/>
      </w:pPr>
      <w:r>
        <w:t>Excel restricts the value of this attribute to be at most 255 characters, after decoding.</w:t>
      </w:r>
    </w:p>
    <w:p w:rsidR="000A156F" w:rsidRDefault="00A9721F">
      <w:pPr>
        <w:pStyle w:val="Definition-Field"/>
      </w:pPr>
      <w:r>
        <w:t xml:space="preserve">b.   </w:t>
      </w:r>
      <w:r>
        <w:rPr>
          <w:i/>
        </w:rPr>
        <w:t>The standard does not specify a default value for the numFmtId attribute.</w:t>
      </w:r>
    </w:p>
    <w:p w:rsidR="000A156F" w:rsidRDefault="00A9721F">
      <w:pPr>
        <w:pStyle w:val="Definition-Field2"/>
      </w:pPr>
      <w:r>
        <w:t>Excel uses a default value of 0 for this attribute.</w:t>
      </w:r>
    </w:p>
    <w:p w:rsidR="000A156F" w:rsidRDefault="00A9721F">
      <w:pPr>
        <w:pStyle w:val="Definition-Field"/>
      </w:pPr>
      <w:r>
        <w:t xml:space="preserve">c.   </w:t>
      </w:r>
      <w:r>
        <w:rPr>
          <w:i/>
        </w:rPr>
        <w:t>The standard states that @deleted prevents the inputCell from being a part of a scenario when run.</w:t>
      </w:r>
    </w:p>
    <w:p w:rsidR="000A156F" w:rsidRDefault="00A9721F">
      <w:pPr>
        <w:pStyle w:val="Definition-Field2"/>
      </w:pPr>
      <w:r>
        <w:t>Office includes inputCells that have @deleted="true" when running a scenario.</w:t>
      </w:r>
    </w:p>
    <w:p w:rsidR="000A156F" w:rsidRDefault="00A9721F">
      <w:pPr>
        <w:pStyle w:val="Definition-Field"/>
      </w:pPr>
      <w:r>
        <w:t xml:space="preserve">d.   </w:t>
      </w:r>
      <w:r>
        <w:rPr>
          <w:i/>
        </w:rPr>
        <w:t xml:space="preserve">The standard </w:t>
      </w:r>
      <w:r>
        <w:rPr>
          <w:i/>
        </w:rPr>
        <w:t>states a usage for the @numFmtId field.</w:t>
      </w:r>
    </w:p>
    <w:p w:rsidR="000A156F" w:rsidRDefault="00A9721F">
      <w:pPr>
        <w:pStyle w:val="Definition-Field2"/>
      </w:pPr>
      <w:r>
        <w:t>In Office @numFmtId is the number formatting used to display the input values for the scenario when it was created.</w:t>
      </w:r>
    </w:p>
    <w:p w:rsidR="000A156F" w:rsidRDefault="00A9721F">
      <w:pPr>
        <w:pStyle w:val="Heading3"/>
      </w:pPr>
      <w:bookmarkStart w:id="1280" w:name="section_76b69cb6d97e4dd28106a823c4e65d0c"/>
      <w:bookmarkStart w:id="1281" w:name="_Toc181683666"/>
      <w:r>
        <w:lastRenderedPageBreak/>
        <w:t>Part 1 Section 18.3.1.53, is (Rich Text Inline)</w:t>
      </w:r>
      <w:bookmarkEnd w:id="1280"/>
      <w:bookmarkEnd w:id="1281"/>
      <w:r>
        <w:fldChar w:fldCharType="begin"/>
      </w:r>
      <w:r>
        <w:instrText xml:space="preserve"> XE "is (Rich Text Inline)" </w:instrText>
      </w:r>
      <w:r>
        <w:fldChar w:fldCharType="end"/>
      </w:r>
    </w:p>
    <w:p w:rsidR="000A156F" w:rsidRDefault="00A9721F">
      <w:pPr>
        <w:pStyle w:val="Definition-Field"/>
      </w:pPr>
      <w:r>
        <w:t xml:space="preserve">a.   </w:t>
      </w:r>
      <w:r>
        <w:rPr>
          <w:i/>
        </w:rPr>
        <w:t>The standard stat</w:t>
      </w:r>
      <w:r>
        <w:rPr>
          <w:i/>
        </w:rPr>
        <w:t>es that the maxOccurs value for the r child element is unbounded.</w:t>
      </w:r>
    </w:p>
    <w:p w:rsidR="000A156F" w:rsidRDefault="00A9721F">
      <w:pPr>
        <w:pStyle w:val="Definition-Field2"/>
      </w:pPr>
      <w:r>
        <w:t>Excel limits the occurrences of this element to 32767.</w:t>
      </w:r>
    </w:p>
    <w:p w:rsidR="000A156F" w:rsidRDefault="00A9721F">
      <w:pPr>
        <w:pStyle w:val="Definition-Field"/>
      </w:pPr>
      <w:r>
        <w:t xml:space="preserve">b.   </w:t>
      </w:r>
      <w:r>
        <w:rPr>
          <w:i/>
        </w:rPr>
        <w:t>The standard states that the maxOccurs value for the rPh child element is unbounded.</w:t>
      </w:r>
    </w:p>
    <w:p w:rsidR="000A156F" w:rsidRDefault="00A9721F">
      <w:pPr>
        <w:pStyle w:val="Definition-Field2"/>
      </w:pPr>
      <w:r>
        <w:t xml:space="preserve">Excel limits the occurrences of this element </w:t>
      </w:r>
      <w:r>
        <w:t>to 32767.</w:t>
      </w:r>
    </w:p>
    <w:p w:rsidR="000A156F" w:rsidRDefault="00A9721F">
      <w:pPr>
        <w:pStyle w:val="Heading3"/>
      </w:pPr>
      <w:bookmarkStart w:id="1282" w:name="section_8a2a99c9bfc54d448d003046b75af83c"/>
      <w:bookmarkStart w:id="1283" w:name="_Toc181683667"/>
      <w:r>
        <w:t>Part 1 Section 18.3.1.55, mergeCells (Merge Cells)</w:t>
      </w:r>
      <w:bookmarkEnd w:id="1282"/>
      <w:bookmarkEnd w:id="1283"/>
      <w:r>
        <w:fldChar w:fldCharType="begin"/>
      </w:r>
      <w:r>
        <w:instrText xml:space="preserve"> XE "mergeCells (Merge Cells)" </w:instrText>
      </w:r>
      <w:r>
        <w:fldChar w:fldCharType="end"/>
      </w:r>
    </w:p>
    <w:p w:rsidR="000A156F" w:rsidRDefault="00A9721F">
      <w:pPr>
        <w:pStyle w:val="Definition-Field"/>
      </w:pPr>
      <w:r>
        <w:t xml:space="preserve">a.   </w:t>
      </w:r>
      <w:r>
        <w:rPr>
          <w:i/>
        </w:rPr>
        <w:t>The standard states that the maxOccurs value for the mergeCell child element is unbounded.</w:t>
      </w:r>
    </w:p>
    <w:p w:rsidR="000A156F" w:rsidRDefault="00A9721F">
      <w:pPr>
        <w:pStyle w:val="Definition-Field2"/>
      </w:pPr>
      <w:r>
        <w:t>Excel limits the occurrences of this element to 4294967294.</w:t>
      </w:r>
    </w:p>
    <w:p w:rsidR="000A156F" w:rsidRDefault="00A9721F">
      <w:pPr>
        <w:pStyle w:val="Heading3"/>
      </w:pPr>
      <w:bookmarkStart w:id="1284" w:name="section_0c52058fe8c545a5802053ab9fb28d21"/>
      <w:bookmarkStart w:id="1285" w:name="_Toc181683668"/>
      <w:r>
        <w:t>Part 1</w:t>
      </w:r>
      <w:r>
        <w:t xml:space="preserve"> Section 18.3.1.56, objectPr (Embedded Object Properties)</w:t>
      </w:r>
      <w:bookmarkEnd w:id="1284"/>
      <w:bookmarkEnd w:id="1285"/>
      <w:r>
        <w:fldChar w:fldCharType="begin"/>
      </w:r>
      <w:r>
        <w:instrText xml:space="preserve"> XE "objectPr (Embedded Object Properties)" </w:instrText>
      </w:r>
      <w:r>
        <w:fldChar w:fldCharType="end"/>
      </w:r>
    </w:p>
    <w:p w:rsidR="000A156F" w:rsidRDefault="00A9721F">
      <w:pPr>
        <w:pStyle w:val="Definition-Field"/>
      </w:pPr>
      <w:r>
        <w:t xml:space="preserve">a.   </w:t>
      </w:r>
      <w:r>
        <w:rPr>
          <w:i/>
        </w:rPr>
        <w:t>The standard specifies that setting the disabled attribute to true disables the running of the specified macro.</w:t>
      </w:r>
    </w:p>
    <w:p w:rsidR="000A156F" w:rsidRDefault="00A9721F">
      <w:pPr>
        <w:pStyle w:val="Definition-Field2"/>
      </w:pPr>
      <w:r>
        <w:t>Office allows the specified macro t</w:t>
      </w:r>
      <w:r>
        <w:t>o run regardless of the value assigned to disabled.</w:t>
      </w:r>
    </w:p>
    <w:p w:rsidR="000A156F" w:rsidRDefault="00A9721F">
      <w:pPr>
        <w:pStyle w:val="Heading3"/>
      </w:pPr>
      <w:bookmarkStart w:id="1286" w:name="section_18a8d65524df4375aa1133c30b9ee92c"/>
      <w:bookmarkStart w:id="1287" w:name="_Toc181683669"/>
      <w:r>
        <w:t>Part 1 Section 18.3.1.57, oddFooter (Odd Page Footer)</w:t>
      </w:r>
      <w:bookmarkEnd w:id="1286"/>
      <w:bookmarkEnd w:id="1287"/>
      <w:r>
        <w:fldChar w:fldCharType="begin"/>
      </w:r>
      <w:r>
        <w:instrText xml:space="preserve"> XE "oddFooter (Odd Page Footer)" </w:instrText>
      </w:r>
      <w:r>
        <w:fldChar w:fldCharType="end"/>
      </w:r>
    </w:p>
    <w:p w:rsidR="000A156F" w:rsidRDefault="00A9721F">
      <w:pPr>
        <w:pStyle w:val="Definition-Field"/>
      </w:pPr>
      <w:r>
        <w:t xml:space="preserve">a.   </w:t>
      </w:r>
      <w:r>
        <w:rPr>
          <w:i/>
        </w:rPr>
        <w:t>The standard does not limit the length of the value of this element.</w:t>
      </w:r>
    </w:p>
    <w:p w:rsidR="000A156F" w:rsidRDefault="00A9721F">
      <w:pPr>
        <w:pStyle w:val="Definition-Field2"/>
      </w:pPr>
      <w:r>
        <w:t>Excel restricts the value of this elemen</w:t>
      </w:r>
      <w:r>
        <w:t>t to be at most 255 characters.</w:t>
      </w:r>
    </w:p>
    <w:p w:rsidR="000A156F" w:rsidRDefault="00A9721F">
      <w:pPr>
        <w:pStyle w:val="Definition-Field"/>
      </w:pPr>
      <w:r>
        <w:t xml:space="preserve">b.   </w:t>
      </w:r>
      <w:r>
        <w:rPr>
          <w:i/>
        </w:rPr>
        <w:t>The standard makes no mention of an xml:space attribute.</w:t>
      </w:r>
    </w:p>
    <w:p w:rsidR="000A156F" w:rsidRDefault="00A9721F">
      <w:pPr>
        <w:pStyle w:val="Definition-Field2"/>
      </w:pPr>
      <w:r>
        <w:t>Excel uses this attribute to specify, using the W3C space preservation rules, how white space should be handled for the element's contents; its allowed values are</w:t>
      </w:r>
      <w:r>
        <w:t xml:space="preserve"> defined by the XML 1.0 specification.</w:t>
      </w:r>
    </w:p>
    <w:p w:rsidR="000A156F" w:rsidRDefault="00A9721F">
      <w:pPr>
        <w:pStyle w:val="Heading3"/>
      </w:pPr>
      <w:bookmarkStart w:id="1288" w:name="section_f477f387b8614166b8494e35f8cc5a95"/>
      <w:bookmarkStart w:id="1289" w:name="_Toc181683670"/>
      <w:r>
        <w:t>Part 1 Section 18.3.1.58, oddHeader (Odd Header)</w:t>
      </w:r>
      <w:bookmarkEnd w:id="1288"/>
      <w:bookmarkEnd w:id="1289"/>
      <w:r>
        <w:fldChar w:fldCharType="begin"/>
      </w:r>
      <w:r>
        <w:instrText xml:space="preserve"> XE "oddHeader (Odd Header)" </w:instrText>
      </w:r>
      <w:r>
        <w:fldChar w:fldCharType="end"/>
      </w:r>
    </w:p>
    <w:p w:rsidR="000A156F" w:rsidRDefault="00A9721F">
      <w:pPr>
        <w:pStyle w:val="Definition-Field"/>
      </w:pPr>
      <w:r>
        <w:t xml:space="preserve">a.   </w:t>
      </w:r>
      <w:r>
        <w:rPr>
          <w:i/>
        </w:rPr>
        <w:t>The standard does not limit the length of the value of this element.</w:t>
      </w:r>
    </w:p>
    <w:p w:rsidR="000A156F" w:rsidRDefault="00A9721F">
      <w:pPr>
        <w:pStyle w:val="Definition-Field2"/>
      </w:pPr>
      <w:r>
        <w:t>Excel restricts the value of this element to be at most 255 cha</w:t>
      </w:r>
      <w:r>
        <w:t>racters.</w:t>
      </w:r>
    </w:p>
    <w:p w:rsidR="000A156F" w:rsidRDefault="00A9721F">
      <w:pPr>
        <w:pStyle w:val="Definition-Field"/>
      </w:pPr>
      <w:r>
        <w:t xml:space="preserve">b.   </w:t>
      </w:r>
      <w:r>
        <w:rPr>
          <w:i/>
        </w:rPr>
        <w:t>The standard makes no mention of an xml:space attribute.</w:t>
      </w:r>
    </w:p>
    <w:p w:rsidR="000A156F" w:rsidRDefault="00A9721F">
      <w:pPr>
        <w:pStyle w:val="Definition-Field2"/>
      </w:pPr>
      <w:r>
        <w:t>Excel uses this attribute to specify, using the W3C space preservation rules, how white space should be handled for the element's contents; its allowed values are defined by the XML 1.0</w:t>
      </w:r>
      <w:r>
        <w:t xml:space="preserve"> specification.</w:t>
      </w:r>
    </w:p>
    <w:p w:rsidR="000A156F" w:rsidRDefault="00A9721F">
      <w:pPr>
        <w:pStyle w:val="Heading3"/>
      </w:pPr>
      <w:bookmarkStart w:id="1290" w:name="section_19190ae3573448eba919b89d0b3ce114"/>
      <w:bookmarkStart w:id="1291" w:name="_Toc181683671"/>
      <w:r>
        <w:t>Part 1 Section 18.3.1.59, oleObject (Embedded Object)</w:t>
      </w:r>
      <w:bookmarkEnd w:id="1290"/>
      <w:bookmarkEnd w:id="1291"/>
      <w:r>
        <w:fldChar w:fldCharType="begin"/>
      </w:r>
      <w:r>
        <w:instrText xml:space="preserve"> XE "oleObject (Embedded Object)" </w:instrText>
      </w:r>
      <w:r>
        <w:fldChar w:fldCharType="end"/>
      </w:r>
    </w:p>
    <w:p w:rsidR="000A156F" w:rsidRDefault="00A9721F">
      <w:pPr>
        <w:pStyle w:val="Definition-Field"/>
      </w:pPr>
      <w:r>
        <w:t xml:space="preserve">a.   </w:t>
      </w:r>
      <w:r>
        <w:rPr>
          <w:i/>
        </w:rPr>
        <w:t>The standard allows any string for progId attribute.</w:t>
      </w:r>
    </w:p>
    <w:p w:rsidR="000A156F" w:rsidRDefault="00A9721F">
      <w:pPr>
        <w:pStyle w:val="Definition-Field2"/>
      </w:pPr>
      <w:r>
        <w:t>Office requires that the value of @progId be less than 39 characters in length and shall not</w:t>
      </w:r>
      <w:r>
        <w:t xml:space="preserve"> start with a digit, contain any punctuation (including underscores) other than periods.</w:t>
      </w:r>
    </w:p>
    <w:p w:rsidR="000A156F" w:rsidRDefault="00A9721F">
      <w:pPr>
        <w:pStyle w:val="Definition-Field"/>
      </w:pPr>
      <w:r>
        <w:t xml:space="preserve">b.   </w:t>
      </w:r>
      <w:r>
        <w:rPr>
          <w:i/>
        </w:rPr>
        <w:t>The standard allows any Xstring for link attribute.</w:t>
      </w:r>
    </w:p>
    <w:p w:rsidR="000A156F" w:rsidRDefault="00A9721F">
      <w:pPr>
        <w:pStyle w:val="Definition-Field2"/>
      </w:pPr>
      <w:r>
        <w:t>Office requires that the value of @link be a formula as defined in "</w:t>
      </w:r>
      <w:hyperlink r:id="rId129">
        <w:r>
          <w:rPr>
            <w:rStyle w:val="Hyperlink"/>
          </w:rPr>
          <w:t>[ISO/IEC-29500-1]</w:t>
        </w:r>
      </w:hyperlink>
      <w:r>
        <w:t xml:space="preserve"> §18.17". The length of the decoded string shall not exceed 8192 characters.</w:t>
      </w:r>
    </w:p>
    <w:p w:rsidR="000A156F" w:rsidRDefault="00A9721F">
      <w:pPr>
        <w:pStyle w:val="Definition-Field"/>
      </w:pPr>
      <w:r>
        <w:lastRenderedPageBreak/>
        <w:t xml:space="preserve">c.   </w:t>
      </w:r>
      <w:r>
        <w:rPr>
          <w:i/>
        </w:rPr>
        <w:t>The standard does not specify any restriction of valid values for the attribute shapeId.</w:t>
      </w:r>
    </w:p>
    <w:p w:rsidR="000A156F" w:rsidRDefault="00A9721F">
      <w:pPr>
        <w:pStyle w:val="Definition-Field2"/>
      </w:pPr>
      <w:r>
        <w:t>Office requires @min to be between 1 and 670</w:t>
      </w:r>
      <w:r>
        <w:t>98623 inclusive.</w:t>
      </w:r>
    </w:p>
    <w:p w:rsidR="000A156F" w:rsidRDefault="00A9721F">
      <w:pPr>
        <w:pStyle w:val="Definition-Field"/>
      </w:pPr>
      <w:r>
        <w:t xml:space="preserve">d.   </w:t>
      </w:r>
      <w:r>
        <w:rPr>
          <w:i/>
        </w:rPr>
        <w:t>The standard does not call out a type of the shape specified by the shapeId attribute.</w:t>
      </w:r>
    </w:p>
    <w:p w:rsidR="000A156F" w:rsidRDefault="00A9721F">
      <w:pPr>
        <w:pStyle w:val="Definition-Field2"/>
      </w:pPr>
      <w:r>
        <w:t>In Office, only Picture shapes are valid ObjectTypes for the shapeID attribute.</w:t>
      </w:r>
    </w:p>
    <w:p w:rsidR="000A156F" w:rsidRDefault="00A9721F">
      <w:pPr>
        <w:pStyle w:val="Definition-Field"/>
        <w:rPr>
          <w:i/>
        </w:rPr>
      </w:pPr>
      <w:r>
        <w:t xml:space="preserve">e.   </w:t>
      </w:r>
      <w:r>
        <w:rPr>
          <w:i/>
        </w:rPr>
        <w:t>The standard makes no mention of an ObjectID attribute.</w:t>
      </w:r>
    </w:p>
    <w:p w:rsidR="000A156F" w:rsidRDefault="00A9721F">
      <w:pPr>
        <w:pStyle w:val="Definition-Field2"/>
      </w:pPr>
      <w:r>
        <w:t>Office</w:t>
      </w:r>
      <w:r>
        <w:t xml:space="preserve"> uses the ObjectID attribute to specify a unique ID identifying the embedded object, with a value data type of ST_String ("[ISO/IEC-29500-1] §22.9.2.13").</w:t>
      </w:r>
    </w:p>
    <w:p w:rsidR="000A156F" w:rsidRDefault="00A9721F">
      <w:pPr>
        <w:pStyle w:val="Definition-Field"/>
        <w:rPr>
          <w:i/>
        </w:rPr>
      </w:pPr>
      <w:r>
        <w:t xml:space="preserve">f.   </w:t>
      </w:r>
      <w:r>
        <w:rPr>
          <w:i/>
        </w:rPr>
        <w:t>The standard uses the dvAspect attribute.</w:t>
      </w:r>
    </w:p>
    <w:p w:rsidR="000A156F" w:rsidRDefault="00A9721F">
      <w:pPr>
        <w:pStyle w:val="Definition-Field2"/>
      </w:pPr>
      <w:r>
        <w:t xml:space="preserve">Office implements the dvAspect attribute using the </w:t>
      </w:r>
      <w:r>
        <w:t>name DrawAspect. The values for this attribute are defined by the ST_OLEDrawAspect ("</w:t>
      </w:r>
      <w:hyperlink r:id="rId130">
        <w:r>
          <w:rPr>
            <w:rStyle w:val="Hyperlink"/>
          </w:rPr>
          <w:t>[ISO/IEC-29500-4]</w:t>
        </w:r>
      </w:hyperlink>
      <w:r>
        <w:t xml:space="preserve"> §19.2.3.18").</w:t>
      </w:r>
    </w:p>
    <w:p w:rsidR="000A156F" w:rsidRDefault="00A9721F">
      <w:pPr>
        <w:pStyle w:val="Definition-Field"/>
        <w:rPr>
          <w:i/>
        </w:rPr>
      </w:pPr>
      <w:r>
        <w:t xml:space="preserve">g.   </w:t>
      </w:r>
      <w:r>
        <w:rPr>
          <w:i/>
        </w:rPr>
        <w:t>The standard makes no mention of a Type attribute.</w:t>
      </w:r>
    </w:p>
    <w:p w:rsidR="000A156F" w:rsidRDefault="00A9721F">
      <w:pPr>
        <w:pStyle w:val="Definition-Field2"/>
      </w:pPr>
      <w:r>
        <w:t xml:space="preserve">Office uses this </w:t>
      </w:r>
      <w:r>
        <w:t>attribute to define how the embedded OLE object is included in the package or stored externally from the package. The attribute data type is ST_OLEType ("[ISO/IEC-29500-4] §19.2.3.20").</w:t>
      </w:r>
    </w:p>
    <w:p w:rsidR="000A156F" w:rsidRDefault="00A9721F">
      <w:pPr>
        <w:pStyle w:val="Heading3"/>
      </w:pPr>
      <w:bookmarkStart w:id="1292" w:name="section_c2c6f13ea41a49cd88ab3beb4da0b875"/>
      <w:bookmarkStart w:id="1293" w:name="_Toc181683672"/>
      <w:r>
        <w:t>Part 1 Section 18.3.1.60, oleObjects (Embedded Objects)</w:t>
      </w:r>
      <w:bookmarkEnd w:id="1292"/>
      <w:bookmarkEnd w:id="1293"/>
      <w:r>
        <w:fldChar w:fldCharType="begin"/>
      </w:r>
      <w:r>
        <w:instrText xml:space="preserve"> XE "oleObjects</w:instrText>
      </w:r>
      <w:r>
        <w:instrText xml:space="preserve"> (Embedded Objects)" </w:instrText>
      </w:r>
      <w:r>
        <w:fldChar w:fldCharType="end"/>
      </w:r>
    </w:p>
    <w:p w:rsidR="000A156F" w:rsidRDefault="00A9721F">
      <w:pPr>
        <w:pStyle w:val="Definition-Field"/>
      </w:pPr>
      <w:r>
        <w:t xml:space="preserve">a.   </w:t>
      </w:r>
      <w:r>
        <w:rPr>
          <w:i/>
        </w:rPr>
        <w:t>The standard states that the maxOccurs value for the oleObject child element is unbounded.</w:t>
      </w:r>
    </w:p>
    <w:p w:rsidR="000A156F" w:rsidRDefault="00A9721F">
      <w:pPr>
        <w:pStyle w:val="Definition-Field2"/>
      </w:pPr>
      <w:r>
        <w:t>Excel limits the occurrences of this element to 65535.</w:t>
      </w:r>
    </w:p>
    <w:p w:rsidR="000A156F" w:rsidRDefault="00A9721F">
      <w:pPr>
        <w:pStyle w:val="Heading3"/>
      </w:pPr>
      <w:bookmarkStart w:id="1294" w:name="section_261571d7a2234a99a584daab0bb4196c"/>
      <w:bookmarkStart w:id="1295" w:name="_Toc181683673"/>
      <w:r>
        <w:t>Part 1 Section 18.3.1.62, pageMargins (Page Margins)</w:t>
      </w:r>
      <w:bookmarkEnd w:id="1294"/>
      <w:bookmarkEnd w:id="1295"/>
      <w:r>
        <w:fldChar w:fldCharType="begin"/>
      </w:r>
      <w:r>
        <w:instrText xml:space="preserve"> XE "pageMargins (Page Margin</w:instrText>
      </w:r>
      <w:r>
        <w:instrText xml:space="preserve">s)" </w:instrText>
      </w:r>
      <w:r>
        <w:fldChar w:fldCharType="end"/>
      </w:r>
    </w:p>
    <w:p w:rsidR="000A156F" w:rsidRDefault="00A9721F">
      <w:pPr>
        <w:pStyle w:val="Definition-Field"/>
      </w:pPr>
      <w:r>
        <w:t xml:space="preserve">a.   </w:t>
      </w:r>
      <w:r>
        <w:rPr>
          <w:i/>
        </w:rPr>
        <w:t>The standard states that the values of the left attribute are defined by the XML Schema double datatype.</w:t>
      </w:r>
    </w:p>
    <w:p w:rsidR="000A156F" w:rsidRDefault="00A9721F">
      <w:pPr>
        <w:pStyle w:val="Definition-Field2"/>
      </w:pPr>
      <w:r>
        <w:t>In Office, the left attribute is limited to between 0 inclusive and 49 exclusive.</w:t>
      </w:r>
    </w:p>
    <w:p w:rsidR="000A156F" w:rsidRDefault="00A9721F">
      <w:pPr>
        <w:pStyle w:val="Definition-Field"/>
      </w:pPr>
      <w:r>
        <w:t xml:space="preserve">b.   </w:t>
      </w:r>
      <w:r>
        <w:rPr>
          <w:i/>
        </w:rPr>
        <w:t>The standard states that the values of the right att</w:t>
      </w:r>
      <w:r>
        <w:rPr>
          <w:i/>
        </w:rPr>
        <w:t>ribute are defined by the XML Schema double datatype.</w:t>
      </w:r>
    </w:p>
    <w:p w:rsidR="000A156F" w:rsidRDefault="00A9721F">
      <w:pPr>
        <w:pStyle w:val="Definition-Field2"/>
      </w:pPr>
      <w:r>
        <w:t>In Office, the right attribute is limited to between 0 inclusive and 49 exclusive.</w:t>
      </w:r>
    </w:p>
    <w:p w:rsidR="000A156F" w:rsidRDefault="00A9721F">
      <w:pPr>
        <w:pStyle w:val="Definition-Field"/>
      </w:pPr>
      <w:r>
        <w:t xml:space="preserve">c.   </w:t>
      </w:r>
      <w:r>
        <w:rPr>
          <w:i/>
        </w:rPr>
        <w:t>The standard states that the values of the top attribute are defined by the XML Schema double datatype.</w:t>
      </w:r>
    </w:p>
    <w:p w:rsidR="000A156F" w:rsidRDefault="00A9721F">
      <w:pPr>
        <w:pStyle w:val="Definition-Field2"/>
      </w:pPr>
      <w:r>
        <w:t>In Office,</w:t>
      </w:r>
      <w:r>
        <w:t xml:space="preserve"> the top attribute is limited to between 0 inclusive and 49 exclusive.</w:t>
      </w:r>
    </w:p>
    <w:p w:rsidR="000A156F" w:rsidRDefault="00A9721F">
      <w:pPr>
        <w:pStyle w:val="Definition-Field"/>
      </w:pPr>
      <w:r>
        <w:t xml:space="preserve">d.   </w:t>
      </w:r>
      <w:r>
        <w:rPr>
          <w:i/>
        </w:rPr>
        <w:t>The standard states that the values of the bottom attribute are defined by the XML Schema double datatype.</w:t>
      </w:r>
    </w:p>
    <w:p w:rsidR="000A156F" w:rsidRDefault="00A9721F">
      <w:pPr>
        <w:pStyle w:val="Definition-Field2"/>
      </w:pPr>
      <w:r>
        <w:t xml:space="preserve">In Office, the bottom attribute is limited to between 0 inclusive and 49 </w:t>
      </w:r>
      <w:r>
        <w:t>exclusive.</w:t>
      </w:r>
    </w:p>
    <w:p w:rsidR="000A156F" w:rsidRDefault="00A9721F">
      <w:pPr>
        <w:pStyle w:val="Definition-Field"/>
      </w:pPr>
      <w:r>
        <w:t xml:space="preserve">e.   </w:t>
      </w:r>
      <w:r>
        <w:rPr>
          <w:i/>
        </w:rPr>
        <w:t>The standard states that values of the header attribute are defined by the XML Schema double datatype.</w:t>
      </w:r>
    </w:p>
    <w:p w:rsidR="000A156F" w:rsidRDefault="00A9721F">
      <w:pPr>
        <w:pStyle w:val="Definition-Field2"/>
      </w:pPr>
      <w:r>
        <w:t>In Office, the header attribute is limited to between 0 inclusive and 49 exclusive.</w:t>
      </w:r>
    </w:p>
    <w:p w:rsidR="000A156F" w:rsidRDefault="00A9721F">
      <w:pPr>
        <w:pStyle w:val="Definition-Field"/>
      </w:pPr>
      <w:r>
        <w:t xml:space="preserve">f.   </w:t>
      </w:r>
      <w:r>
        <w:rPr>
          <w:i/>
        </w:rPr>
        <w:t xml:space="preserve">The standard states that values of the footer </w:t>
      </w:r>
      <w:r>
        <w:rPr>
          <w:i/>
        </w:rPr>
        <w:t>attribute are defined by the XML Schema double datatype.</w:t>
      </w:r>
    </w:p>
    <w:p w:rsidR="000A156F" w:rsidRDefault="00A9721F">
      <w:pPr>
        <w:pStyle w:val="Definition-Field2"/>
      </w:pPr>
      <w:r>
        <w:t>In Office, the footer attribute is limited to between 0 inclusive and 49 exclusive.</w:t>
      </w:r>
    </w:p>
    <w:p w:rsidR="000A156F" w:rsidRDefault="00A9721F">
      <w:pPr>
        <w:pStyle w:val="Heading3"/>
      </w:pPr>
      <w:bookmarkStart w:id="1296" w:name="section_7d79dcced8fb43daa189f0e46658da62"/>
      <w:bookmarkStart w:id="1297" w:name="_Toc181683674"/>
      <w:r>
        <w:lastRenderedPageBreak/>
        <w:t>Part 1 Section 18.3.1.63, pageSetup (Page Setup Settings)</w:t>
      </w:r>
      <w:bookmarkEnd w:id="1296"/>
      <w:bookmarkEnd w:id="1297"/>
      <w:r>
        <w:fldChar w:fldCharType="begin"/>
      </w:r>
      <w:r>
        <w:instrText xml:space="preserve"> XE "pageSetup (Page Setup Settings)" </w:instrText>
      </w:r>
      <w:r>
        <w:fldChar w:fldCharType="end"/>
      </w:r>
    </w:p>
    <w:p w:rsidR="000A156F" w:rsidRDefault="00A9721F">
      <w:pPr>
        <w:pStyle w:val="Definition-Field2"/>
      </w:pPr>
      <w:r>
        <w:rPr>
          <w:i/>
        </w:rPr>
        <w:t>For additional no</w:t>
      </w:r>
      <w:r>
        <w:rPr>
          <w:i/>
        </w:rPr>
        <w:t xml:space="preserve">tes that apply to this portion of the standard, please see the notes for </w:t>
      </w:r>
      <w:hyperlink w:anchor="Section_8ffbeaeb0d294ab783603f7b61509929">
        <w:r>
          <w:rPr>
            <w:rStyle w:val="Hyperlink"/>
          </w:rPr>
          <w:t>pageSetup, §21.2.2.134(b)</w:t>
        </w:r>
      </w:hyperlink>
      <w:r>
        <w:rPr>
          <w:i/>
        </w:rPr>
        <w:t>.</w:t>
      </w:r>
    </w:p>
    <w:p w:rsidR="000A156F" w:rsidRDefault="00A9721F">
      <w:pPr>
        <w:pStyle w:val="Definition-Field"/>
      </w:pPr>
      <w:r>
        <w:t xml:space="preserve">a.   </w:t>
      </w:r>
      <w:r>
        <w:rPr>
          <w:i/>
        </w:rPr>
        <w:t>The standard specifies that the scale attribute ranges from 10 to 400.</w:t>
      </w:r>
    </w:p>
    <w:p w:rsidR="000A156F" w:rsidRDefault="00A9721F">
      <w:pPr>
        <w:pStyle w:val="Definition-Field2"/>
      </w:pPr>
      <w:r>
        <w:t xml:space="preserve">Excel also allow </w:t>
      </w:r>
      <w:r>
        <w:t>for a value of zero, which is interpreted as the automatic setting.</w:t>
      </w:r>
    </w:p>
    <w:p w:rsidR="000A156F" w:rsidRDefault="00A9721F">
      <w:pPr>
        <w:pStyle w:val="Definition-Field"/>
      </w:pPr>
      <w:r>
        <w:t xml:space="preserve">b.   </w:t>
      </w:r>
      <w:r>
        <w:rPr>
          <w:i/>
        </w:rPr>
        <w:t>The standard states that the values of the horizontalDpi attribute are defined by the XML Schema unsignedInt datatype.</w:t>
      </w:r>
    </w:p>
    <w:p w:rsidR="000A156F" w:rsidRDefault="00A9721F">
      <w:pPr>
        <w:pStyle w:val="Definition-Field2"/>
      </w:pPr>
      <w:r>
        <w:t>Excel restricts the value of this attribute to be at least 1.</w:t>
      </w:r>
    </w:p>
    <w:p w:rsidR="000A156F" w:rsidRDefault="00A9721F">
      <w:pPr>
        <w:pStyle w:val="Definition-Field"/>
      </w:pPr>
      <w:r>
        <w:t>c.</w:t>
      </w:r>
      <w:r>
        <w:t xml:space="preserve">   </w:t>
      </w:r>
      <w:r>
        <w:rPr>
          <w:i/>
        </w:rPr>
        <w:t>The standard states that the values of the verticalDpi attribute are defined by the XML Schema unsignedInt datatype.</w:t>
      </w:r>
    </w:p>
    <w:p w:rsidR="000A156F" w:rsidRDefault="00A9721F">
      <w:pPr>
        <w:pStyle w:val="Definition-Field2"/>
      </w:pPr>
      <w:r>
        <w:t>Excel restricts the value of this attribute to be at least 1.</w:t>
      </w:r>
    </w:p>
    <w:p w:rsidR="000A156F" w:rsidRDefault="00A9721F">
      <w:pPr>
        <w:pStyle w:val="Definition-Field"/>
      </w:pPr>
      <w:r>
        <w:t xml:space="preserve">d.   </w:t>
      </w:r>
      <w:r>
        <w:rPr>
          <w:i/>
        </w:rPr>
        <w:t>The standard states that the values of the copies attribute are defin</w:t>
      </w:r>
      <w:r>
        <w:rPr>
          <w:i/>
        </w:rPr>
        <w:t>ed by the XML Schema unsignedInt datatype.</w:t>
      </w:r>
    </w:p>
    <w:p w:rsidR="000A156F" w:rsidRDefault="00A9721F">
      <w:pPr>
        <w:pStyle w:val="Definition-Field2"/>
      </w:pPr>
      <w:r>
        <w:t>Excel restricts the value of this attribute to be at least 1 and at most 32767.</w:t>
      </w:r>
    </w:p>
    <w:p w:rsidR="000A156F" w:rsidRDefault="00A9721F">
      <w:pPr>
        <w:pStyle w:val="Definition-Field"/>
      </w:pPr>
      <w:r>
        <w:t xml:space="preserve">e.   </w:t>
      </w:r>
      <w:r>
        <w:rPr>
          <w:i/>
        </w:rPr>
        <w:t>The standard states that the values of the firstPageNumber attribute are defined by the XML Schema unsignedInt datatype.</w:t>
      </w:r>
    </w:p>
    <w:p w:rsidR="000A156F" w:rsidRDefault="00A9721F">
      <w:pPr>
        <w:pStyle w:val="Definition-Field2"/>
      </w:pPr>
      <w:r>
        <w:t>Excel r</w:t>
      </w:r>
      <w:r>
        <w:t>estricts the value of this attribute to be at most 32767 for the positive first page range and at least 4294967295 (-1) and at most 4294934531 (-32767) for the negative first page range.</w:t>
      </w:r>
    </w:p>
    <w:p w:rsidR="000A156F" w:rsidRDefault="00A9721F">
      <w:pPr>
        <w:pStyle w:val="Definition-Field"/>
      </w:pPr>
      <w:r>
        <w:t xml:space="preserve">f.   </w:t>
      </w:r>
      <w:r>
        <w:rPr>
          <w:i/>
        </w:rPr>
        <w:t xml:space="preserve">The standard states that the values of the fitToWidth attribute </w:t>
      </w:r>
      <w:r>
        <w:rPr>
          <w:i/>
        </w:rPr>
        <w:t>are defined by the XML Schema unsignedInt datatype.</w:t>
      </w:r>
    </w:p>
    <w:p w:rsidR="000A156F" w:rsidRDefault="00A9721F">
      <w:pPr>
        <w:pStyle w:val="Definition-Field2"/>
      </w:pPr>
      <w:r>
        <w:t>Excel restricts the value of this attribute to be at most 32767.</w:t>
      </w:r>
    </w:p>
    <w:p w:rsidR="000A156F" w:rsidRDefault="00A9721F">
      <w:pPr>
        <w:pStyle w:val="Definition-Field"/>
      </w:pPr>
      <w:r>
        <w:t xml:space="preserve">g.   </w:t>
      </w:r>
      <w:r>
        <w:rPr>
          <w:i/>
        </w:rPr>
        <w:t>The standard states that the values of the fitToHeight attribute are defined by the XML Schema unsignedInt datatype.</w:t>
      </w:r>
    </w:p>
    <w:p w:rsidR="000A156F" w:rsidRDefault="00A9721F">
      <w:pPr>
        <w:pStyle w:val="Definition-Field2"/>
      </w:pPr>
      <w:r>
        <w:t xml:space="preserve">Excel restricts </w:t>
      </w:r>
      <w:r>
        <w:t>the value of this attribute to be at most 32767.</w:t>
      </w:r>
    </w:p>
    <w:p w:rsidR="000A156F" w:rsidRDefault="00A9721F">
      <w:pPr>
        <w:pStyle w:val="Definition-Field"/>
      </w:pPr>
      <w:r>
        <w:t xml:space="preserve">h.   </w:t>
      </w:r>
      <w:r>
        <w:rPr>
          <w:i/>
        </w:rPr>
        <w:t>The standard provides a list of paper sizes supported by the paperSize attribute.</w:t>
      </w:r>
    </w:p>
    <w:p w:rsidR="000A156F" w:rsidRDefault="00A9721F">
      <w:r>
        <w:t>The paperSize attribute specifies the paper size according to the following table. Values larger than or equal to 256 sp</w:t>
      </w:r>
      <w:r>
        <w:t>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Meaning</w:t>
            </w:r>
          </w:p>
        </w:tc>
      </w:tr>
      <w:tr w:rsidR="000A156F" w:rsidTr="000A156F">
        <w:tc>
          <w:tcPr>
            <w:tcW w:w="0" w:type="auto"/>
            <w:vAlign w:val="center"/>
          </w:tcPr>
          <w:p w:rsidR="000A156F" w:rsidRDefault="00A9721F">
            <w:pPr>
              <w:pStyle w:val="TableBodyText"/>
            </w:pPr>
            <w:r>
              <w:t>1</w:t>
            </w:r>
          </w:p>
        </w:tc>
        <w:tc>
          <w:tcPr>
            <w:tcW w:w="0" w:type="auto"/>
            <w:vAlign w:val="center"/>
          </w:tcPr>
          <w:p w:rsidR="000A156F" w:rsidRDefault="00A9721F">
            <w:pPr>
              <w:pStyle w:val="TableBodyText"/>
            </w:pPr>
            <w:r>
              <w:t>US Letter 8 1/2 x 11 in</w:t>
            </w:r>
          </w:p>
        </w:tc>
      </w:tr>
      <w:tr w:rsidR="000A156F" w:rsidTr="000A156F">
        <w:tc>
          <w:tcPr>
            <w:tcW w:w="0" w:type="auto"/>
            <w:vAlign w:val="center"/>
          </w:tcPr>
          <w:p w:rsidR="000A156F" w:rsidRDefault="00A9721F">
            <w:pPr>
              <w:pStyle w:val="TableBodyText"/>
            </w:pPr>
            <w:r>
              <w:t>2</w:t>
            </w:r>
          </w:p>
        </w:tc>
        <w:tc>
          <w:tcPr>
            <w:tcW w:w="0" w:type="auto"/>
            <w:vAlign w:val="center"/>
          </w:tcPr>
          <w:p w:rsidR="000A156F" w:rsidRDefault="00A9721F">
            <w:pPr>
              <w:pStyle w:val="TableBodyText"/>
            </w:pPr>
            <w:r>
              <w:t>US Letter Small 8 1/2 x 11 in</w:t>
            </w:r>
          </w:p>
        </w:tc>
      </w:tr>
      <w:tr w:rsidR="000A156F" w:rsidTr="000A156F">
        <w:tc>
          <w:tcPr>
            <w:tcW w:w="0" w:type="auto"/>
            <w:vAlign w:val="center"/>
          </w:tcPr>
          <w:p w:rsidR="000A156F" w:rsidRDefault="00A9721F">
            <w:pPr>
              <w:pStyle w:val="TableBodyText"/>
            </w:pPr>
            <w:r>
              <w:t>3</w:t>
            </w:r>
          </w:p>
        </w:tc>
        <w:tc>
          <w:tcPr>
            <w:tcW w:w="0" w:type="auto"/>
            <w:vAlign w:val="center"/>
          </w:tcPr>
          <w:p w:rsidR="000A156F" w:rsidRDefault="00A9721F">
            <w:pPr>
              <w:pStyle w:val="TableBodyText"/>
            </w:pPr>
            <w:r>
              <w:t>US Tabloid 11 x 17 in</w:t>
            </w:r>
          </w:p>
        </w:tc>
      </w:tr>
      <w:tr w:rsidR="000A156F" w:rsidTr="000A156F">
        <w:tc>
          <w:tcPr>
            <w:tcW w:w="0" w:type="auto"/>
            <w:vAlign w:val="center"/>
          </w:tcPr>
          <w:p w:rsidR="000A156F" w:rsidRDefault="00A9721F">
            <w:pPr>
              <w:pStyle w:val="TableBodyText"/>
            </w:pPr>
            <w:r>
              <w:t>4</w:t>
            </w:r>
          </w:p>
        </w:tc>
        <w:tc>
          <w:tcPr>
            <w:tcW w:w="0" w:type="auto"/>
            <w:vAlign w:val="center"/>
          </w:tcPr>
          <w:p w:rsidR="000A156F" w:rsidRDefault="00A9721F">
            <w:pPr>
              <w:pStyle w:val="TableBodyText"/>
            </w:pPr>
            <w:r>
              <w:t xml:space="preserve">US Ledger 17 x 11 in </w:t>
            </w:r>
          </w:p>
        </w:tc>
      </w:tr>
      <w:tr w:rsidR="000A156F" w:rsidTr="000A156F">
        <w:tc>
          <w:tcPr>
            <w:tcW w:w="0" w:type="auto"/>
            <w:vAlign w:val="center"/>
          </w:tcPr>
          <w:p w:rsidR="000A156F" w:rsidRDefault="00A9721F">
            <w:pPr>
              <w:pStyle w:val="TableBodyText"/>
            </w:pPr>
            <w:r>
              <w:t>5</w:t>
            </w:r>
          </w:p>
        </w:tc>
        <w:tc>
          <w:tcPr>
            <w:tcW w:w="0" w:type="auto"/>
            <w:vAlign w:val="center"/>
          </w:tcPr>
          <w:p w:rsidR="000A156F" w:rsidRDefault="00A9721F">
            <w:pPr>
              <w:pStyle w:val="TableBodyText"/>
            </w:pPr>
            <w:r>
              <w:t>US Legal 8 1/2 x 14 in</w:t>
            </w:r>
          </w:p>
        </w:tc>
      </w:tr>
      <w:tr w:rsidR="000A156F" w:rsidTr="000A156F">
        <w:tc>
          <w:tcPr>
            <w:tcW w:w="0" w:type="auto"/>
            <w:vAlign w:val="center"/>
          </w:tcPr>
          <w:p w:rsidR="000A156F" w:rsidRDefault="00A9721F">
            <w:pPr>
              <w:pStyle w:val="TableBodyText"/>
            </w:pPr>
            <w:r>
              <w:t>6</w:t>
            </w:r>
          </w:p>
        </w:tc>
        <w:tc>
          <w:tcPr>
            <w:tcW w:w="0" w:type="auto"/>
            <w:vAlign w:val="center"/>
          </w:tcPr>
          <w:p w:rsidR="000A156F" w:rsidRDefault="00A9721F">
            <w:pPr>
              <w:pStyle w:val="TableBodyText"/>
            </w:pPr>
            <w:r>
              <w:t>US Statement 5 1/2 x 8 1/2 in</w:t>
            </w:r>
          </w:p>
        </w:tc>
      </w:tr>
      <w:tr w:rsidR="000A156F" w:rsidTr="000A156F">
        <w:tc>
          <w:tcPr>
            <w:tcW w:w="0" w:type="auto"/>
            <w:vAlign w:val="center"/>
          </w:tcPr>
          <w:p w:rsidR="000A156F" w:rsidRDefault="00A9721F">
            <w:pPr>
              <w:pStyle w:val="TableBodyText"/>
            </w:pPr>
            <w:r>
              <w:t>7</w:t>
            </w:r>
          </w:p>
        </w:tc>
        <w:tc>
          <w:tcPr>
            <w:tcW w:w="0" w:type="auto"/>
            <w:vAlign w:val="center"/>
          </w:tcPr>
          <w:p w:rsidR="000A156F" w:rsidRDefault="00A9721F">
            <w:pPr>
              <w:pStyle w:val="TableBodyText"/>
            </w:pPr>
            <w:r>
              <w:t>US Executive 7 1/4 x 10 1/2 in</w:t>
            </w:r>
          </w:p>
        </w:tc>
      </w:tr>
      <w:tr w:rsidR="000A156F" w:rsidTr="000A156F">
        <w:tc>
          <w:tcPr>
            <w:tcW w:w="0" w:type="auto"/>
            <w:vAlign w:val="center"/>
          </w:tcPr>
          <w:p w:rsidR="000A156F" w:rsidRDefault="00A9721F">
            <w:pPr>
              <w:pStyle w:val="TableBodyText"/>
            </w:pPr>
            <w:r>
              <w:lastRenderedPageBreak/>
              <w:t>8</w:t>
            </w:r>
          </w:p>
        </w:tc>
        <w:tc>
          <w:tcPr>
            <w:tcW w:w="0" w:type="auto"/>
            <w:vAlign w:val="center"/>
          </w:tcPr>
          <w:p w:rsidR="000A156F" w:rsidRDefault="00A9721F">
            <w:pPr>
              <w:pStyle w:val="TableBodyText"/>
            </w:pPr>
            <w:r>
              <w:t>A3 297 x 420 mm</w:t>
            </w:r>
          </w:p>
        </w:tc>
      </w:tr>
      <w:tr w:rsidR="000A156F" w:rsidTr="000A156F">
        <w:tc>
          <w:tcPr>
            <w:tcW w:w="0" w:type="auto"/>
            <w:vAlign w:val="center"/>
          </w:tcPr>
          <w:p w:rsidR="000A156F" w:rsidRDefault="00A9721F">
            <w:pPr>
              <w:pStyle w:val="TableBodyText"/>
            </w:pPr>
            <w:r>
              <w:t>9</w:t>
            </w:r>
          </w:p>
        </w:tc>
        <w:tc>
          <w:tcPr>
            <w:tcW w:w="0" w:type="auto"/>
            <w:vAlign w:val="center"/>
          </w:tcPr>
          <w:p w:rsidR="000A156F" w:rsidRDefault="00A9721F">
            <w:pPr>
              <w:pStyle w:val="TableBodyText"/>
            </w:pPr>
            <w:r>
              <w:t>A4 210 x 297 mm</w:t>
            </w:r>
          </w:p>
        </w:tc>
      </w:tr>
      <w:tr w:rsidR="000A156F" w:rsidTr="000A156F">
        <w:tc>
          <w:tcPr>
            <w:tcW w:w="0" w:type="auto"/>
            <w:vAlign w:val="center"/>
          </w:tcPr>
          <w:p w:rsidR="000A156F" w:rsidRDefault="00A9721F">
            <w:pPr>
              <w:pStyle w:val="TableBodyText"/>
            </w:pPr>
            <w:r>
              <w:t>10</w:t>
            </w:r>
          </w:p>
        </w:tc>
        <w:tc>
          <w:tcPr>
            <w:tcW w:w="0" w:type="auto"/>
            <w:vAlign w:val="center"/>
          </w:tcPr>
          <w:p w:rsidR="000A156F" w:rsidRDefault="00A9721F">
            <w:pPr>
              <w:pStyle w:val="TableBodyText"/>
            </w:pPr>
            <w:r>
              <w:t>A4 Small 210 x 297 mm</w:t>
            </w:r>
          </w:p>
        </w:tc>
      </w:tr>
      <w:tr w:rsidR="000A156F" w:rsidTr="000A156F">
        <w:tc>
          <w:tcPr>
            <w:tcW w:w="0" w:type="auto"/>
            <w:vAlign w:val="center"/>
          </w:tcPr>
          <w:p w:rsidR="000A156F" w:rsidRDefault="00A9721F">
            <w:pPr>
              <w:pStyle w:val="TableBodyText"/>
            </w:pPr>
            <w:r>
              <w:t>11</w:t>
            </w:r>
          </w:p>
        </w:tc>
        <w:tc>
          <w:tcPr>
            <w:tcW w:w="0" w:type="auto"/>
            <w:vAlign w:val="center"/>
          </w:tcPr>
          <w:p w:rsidR="000A156F" w:rsidRDefault="00A9721F">
            <w:pPr>
              <w:pStyle w:val="TableBodyText"/>
            </w:pPr>
            <w:r>
              <w:t>A5 148 x 210 mm</w:t>
            </w:r>
          </w:p>
        </w:tc>
      </w:tr>
      <w:tr w:rsidR="000A156F" w:rsidTr="000A156F">
        <w:tc>
          <w:tcPr>
            <w:tcW w:w="0" w:type="auto"/>
            <w:vAlign w:val="center"/>
          </w:tcPr>
          <w:p w:rsidR="000A156F" w:rsidRDefault="00A9721F">
            <w:pPr>
              <w:pStyle w:val="TableBodyText"/>
            </w:pPr>
            <w:r>
              <w:t>12</w:t>
            </w:r>
          </w:p>
        </w:tc>
        <w:tc>
          <w:tcPr>
            <w:tcW w:w="0" w:type="auto"/>
            <w:vAlign w:val="center"/>
          </w:tcPr>
          <w:p w:rsidR="000A156F" w:rsidRDefault="00A9721F">
            <w:pPr>
              <w:pStyle w:val="TableBodyText"/>
            </w:pPr>
            <w:r>
              <w:t>B4 (JIS) 250 x 354</w:t>
            </w:r>
          </w:p>
        </w:tc>
      </w:tr>
      <w:tr w:rsidR="000A156F" w:rsidTr="000A156F">
        <w:tc>
          <w:tcPr>
            <w:tcW w:w="0" w:type="auto"/>
            <w:vAlign w:val="center"/>
          </w:tcPr>
          <w:p w:rsidR="000A156F" w:rsidRDefault="00A9721F">
            <w:pPr>
              <w:pStyle w:val="TableBodyText"/>
            </w:pPr>
            <w:r>
              <w:t>13</w:t>
            </w:r>
          </w:p>
        </w:tc>
        <w:tc>
          <w:tcPr>
            <w:tcW w:w="0" w:type="auto"/>
            <w:vAlign w:val="center"/>
          </w:tcPr>
          <w:p w:rsidR="000A156F" w:rsidRDefault="00A9721F">
            <w:pPr>
              <w:pStyle w:val="TableBodyText"/>
            </w:pPr>
            <w:r>
              <w:t>B5 (JIS) 182 x 257 mm</w:t>
            </w:r>
          </w:p>
        </w:tc>
      </w:tr>
      <w:tr w:rsidR="000A156F" w:rsidTr="000A156F">
        <w:tc>
          <w:tcPr>
            <w:tcW w:w="0" w:type="auto"/>
            <w:vAlign w:val="center"/>
          </w:tcPr>
          <w:p w:rsidR="000A156F" w:rsidRDefault="00A9721F">
            <w:pPr>
              <w:pStyle w:val="TableBodyText"/>
            </w:pPr>
            <w:r>
              <w:t>14</w:t>
            </w:r>
          </w:p>
        </w:tc>
        <w:tc>
          <w:tcPr>
            <w:tcW w:w="0" w:type="auto"/>
            <w:vAlign w:val="center"/>
          </w:tcPr>
          <w:p w:rsidR="000A156F" w:rsidRDefault="00A9721F">
            <w:pPr>
              <w:pStyle w:val="TableBodyText"/>
            </w:pPr>
            <w:r>
              <w:t>Folio 8 1/2 x 13 in</w:t>
            </w:r>
          </w:p>
        </w:tc>
      </w:tr>
      <w:tr w:rsidR="000A156F" w:rsidTr="000A156F">
        <w:tc>
          <w:tcPr>
            <w:tcW w:w="0" w:type="auto"/>
            <w:vAlign w:val="center"/>
          </w:tcPr>
          <w:p w:rsidR="000A156F" w:rsidRDefault="00A9721F">
            <w:pPr>
              <w:pStyle w:val="TableBodyText"/>
            </w:pPr>
            <w:r>
              <w:t>15</w:t>
            </w:r>
          </w:p>
        </w:tc>
        <w:tc>
          <w:tcPr>
            <w:tcW w:w="0" w:type="auto"/>
            <w:vAlign w:val="center"/>
          </w:tcPr>
          <w:p w:rsidR="000A156F" w:rsidRDefault="00A9721F">
            <w:pPr>
              <w:pStyle w:val="TableBodyText"/>
            </w:pPr>
            <w:r>
              <w:t>Quarto 215 x 275 mm</w:t>
            </w:r>
          </w:p>
        </w:tc>
      </w:tr>
      <w:tr w:rsidR="000A156F" w:rsidTr="000A156F">
        <w:tc>
          <w:tcPr>
            <w:tcW w:w="0" w:type="auto"/>
            <w:vAlign w:val="center"/>
          </w:tcPr>
          <w:p w:rsidR="000A156F" w:rsidRDefault="00A9721F">
            <w:pPr>
              <w:pStyle w:val="TableBodyText"/>
            </w:pPr>
            <w:r>
              <w:t>16</w:t>
            </w:r>
          </w:p>
        </w:tc>
        <w:tc>
          <w:tcPr>
            <w:tcW w:w="0" w:type="auto"/>
            <w:vAlign w:val="center"/>
          </w:tcPr>
          <w:p w:rsidR="000A156F" w:rsidRDefault="00A9721F">
            <w:pPr>
              <w:pStyle w:val="TableBodyText"/>
            </w:pPr>
            <w:r>
              <w:t>10 x 14 in</w:t>
            </w:r>
          </w:p>
        </w:tc>
      </w:tr>
      <w:tr w:rsidR="000A156F" w:rsidTr="000A156F">
        <w:tc>
          <w:tcPr>
            <w:tcW w:w="0" w:type="auto"/>
            <w:vAlign w:val="center"/>
          </w:tcPr>
          <w:p w:rsidR="000A156F" w:rsidRDefault="00A9721F">
            <w:pPr>
              <w:pStyle w:val="TableBodyText"/>
            </w:pPr>
            <w:r>
              <w:t>17</w:t>
            </w:r>
          </w:p>
        </w:tc>
        <w:tc>
          <w:tcPr>
            <w:tcW w:w="0" w:type="auto"/>
            <w:vAlign w:val="center"/>
          </w:tcPr>
          <w:p w:rsidR="000A156F" w:rsidRDefault="00A9721F">
            <w:pPr>
              <w:pStyle w:val="TableBodyText"/>
            </w:pPr>
            <w:r>
              <w:t>11 x 17 in</w:t>
            </w:r>
          </w:p>
        </w:tc>
      </w:tr>
      <w:tr w:rsidR="000A156F" w:rsidTr="000A156F">
        <w:tc>
          <w:tcPr>
            <w:tcW w:w="0" w:type="auto"/>
            <w:vAlign w:val="center"/>
          </w:tcPr>
          <w:p w:rsidR="000A156F" w:rsidRDefault="00A9721F">
            <w:pPr>
              <w:pStyle w:val="TableBodyText"/>
            </w:pPr>
            <w:r>
              <w:t>18</w:t>
            </w:r>
          </w:p>
        </w:tc>
        <w:tc>
          <w:tcPr>
            <w:tcW w:w="0" w:type="auto"/>
            <w:vAlign w:val="center"/>
          </w:tcPr>
          <w:p w:rsidR="000A156F" w:rsidRDefault="00A9721F">
            <w:pPr>
              <w:pStyle w:val="TableBodyText"/>
            </w:pPr>
            <w:r>
              <w:t>US Note 8 1/2 x 11 in</w:t>
            </w:r>
          </w:p>
        </w:tc>
      </w:tr>
      <w:tr w:rsidR="000A156F" w:rsidTr="000A156F">
        <w:tc>
          <w:tcPr>
            <w:tcW w:w="0" w:type="auto"/>
            <w:vAlign w:val="center"/>
          </w:tcPr>
          <w:p w:rsidR="000A156F" w:rsidRDefault="00A9721F">
            <w:pPr>
              <w:pStyle w:val="TableBodyText"/>
            </w:pPr>
            <w:r>
              <w:t>19</w:t>
            </w:r>
          </w:p>
        </w:tc>
        <w:tc>
          <w:tcPr>
            <w:tcW w:w="0" w:type="auto"/>
            <w:vAlign w:val="center"/>
          </w:tcPr>
          <w:p w:rsidR="000A156F" w:rsidRDefault="00A9721F">
            <w:pPr>
              <w:pStyle w:val="TableBodyText"/>
            </w:pPr>
            <w:r>
              <w:t>US Envelope #9 3 7/8 x 8 7/8</w:t>
            </w:r>
          </w:p>
        </w:tc>
      </w:tr>
      <w:tr w:rsidR="000A156F" w:rsidTr="000A156F">
        <w:tc>
          <w:tcPr>
            <w:tcW w:w="0" w:type="auto"/>
            <w:vAlign w:val="center"/>
          </w:tcPr>
          <w:p w:rsidR="000A156F" w:rsidRDefault="00A9721F">
            <w:pPr>
              <w:pStyle w:val="TableBodyText"/>
            </w:pPr>
            <w:r>
              <w:t>20</w:t>
            </w:r>
          </w:p>
        </w:tc>
        <w:tc>
          <w:tcPr>
            <w:tcW w:w="0" w:type="auto"/>
            <w:vAlign w:val="center"/>
          </w:tcPr>
          <w:p w:rsidR="000A156F" w:rsidRDefault="00A9721F">
            <w:pPr>
              <w:pStyle w:val="TableBodyText"/>
            </w:pPr>
            <w:r>
              <w:t>US Envelope #10 4 1/8 x 9 1/2</w:t>
            </w:r>
          </w:p>
        </w:tc>
      </w:tr>
      <w:tr w:rsidR="000A156F" w:rsidTr="000A156F">
        <w:tc>
          <w:tcPr>
            <w:tcW w:w="0" w:type="auto"/>
            <w:vAlign w:val="center"/>
          </w:tcPr>
          <w:p w:rsidR="000A156F" w:rsidRDefault="00A9721F">
            <w:pPr>
              <w:pStyle w:val="TableBodyText"/>
            </w:pPr>
            <w:r>
              <w:t>21</w:t>
            </w:r>
          </w:p>
        </w:tc>
        <w:tc>
          <w:tcPr>
            <w:tcW w:w="0" w:type="auto"/>
            <w:vAlign w:val="center"/>
          </w:tcPr>
          <w:p w:rsidR="000A156F" w:rsidRDefault="00A9721F">
            <w:pPr>
              <w:pStyle w:val="TableBodyText"/>
            </w:pPr>
            <w:r>
              <w:t>US Envelope #11 4 1/2 x 10 3/8</w:t>
            </w:r>
          </w:p>
        </w:tc>
      </w:tr>
      <w:tr w:rsidR="000A156F" w:rsidTr="000A156F">
        <w:tc>
          <w:tcPr>
            <w:tcW w:w="0" w:type="auto"/>
            <w:vAlign w:val="center"/>
          </w:tcPr>
          <w:p w:rsidR="000A156F" w:rsidRDefault="00A9721F">
            <w:pPr>
              <w:pStyle w:val="TableBodyText"/>
            </w:pPr>
            <w:r>
              <w:t>22</w:t>
            </w:r>
          </w:p>
        </w:tc>
        <w:tc>
          <w:tcPr>
            <w:tcW w:w="0" w:type="auto"/>
            <w:vAlign w:val="center"/>
          </w:tcPr>
          <w:p w:rsidR="000A156F" w:rsidRDefault="00A9721F">
            <w:pPr>
              <w:pStyle w:val="TableBodyText"/>
            </w:pPr>
            <w:r>
              <w:t>US Envelope #12 4 \276 x 11</w:t>
            </w:r>
          </w:p>
        </w:tc>
      </w:tr>
      <w:tr w:rsidR="000A156F" w:rsidTr="000A156F">
        <w:tc>
          <w:tcPr>
            <w:tcW w:w="0" w:type="auto"/>
            <w:vAlign w:val="center"/>
          </w:tcPr>
          <w:p w:rsidR="000A156F" w:rsidRDefault="00A9721F">
            <w:pPr>
              <w:pStyle w:val="TableBodyText"/>
            </w:pPr>
            <w:r>
              <w:t>23</w:t>
            </w:r>
          </w:p>
        </w:tc>
        <w:tc>
          <w:tcPr>
            <w:tcW w:w="0" w:type="auto"/>
            <w:vAlign w:val="center"/>
          </w:tcPr>
          <w:p w:rsidR="000A156F" w:rsidRDefault="00A9721F">
            <w:pPr>
              <w:pStyle w:val="TableBodyText"/>
            </w:pPr>
            <w:r>
              <w:t xml:space="preserve">US Envelope #14 5 </w:t>
            </w:r>
            <w:r>
              <w:t>x 11 1/2</w:t>
            </w:r>
          </w:p>
        </w:tc>
      </w:tr>
      <w:tr w:rsidR="000A156F" w:rsidTr="000A156F">
        <w:tc>
          <w:tcPr>
            <w:tcW w:w="0" w:type="auto"/>
            <w:vAlign w:val="center"/>
          </w:tcPr>
          <w:p w:rsidR="000A156F" w:rsidRDefault="00A9721F">
            <w:pPr>
              <w:pStyle w:val="TableBodyText"/>
            </w:pPr>
            <w:r>
              <w:t>24</w:t>
            </w:r>
          </w:p>
        </w:tc>
        <w:tc>
          <w:tcPr>
            <w:tcW w:w="0" w:type="auto"/>
            <w:vAlign w:val="center"/>
          </w:tcPr>
          <w:p w:rsidR="000A156F" w:rsidRDefault="00A9721F">
            <w:pPr>
              <w:pStyle w:val="TableBodyText"/>
            </w:pPr>
            <w:r>
              <w:t>C size sheet</w:t>
            </w:r>
          </w:p>
        </w:tc>
      </w:tr>
      <w:tr w:rsidR="000A156F" w:rsidTr="000A156F">
        <w:tc>
          <w:tcPr>
            <w:tcW w:w="0" w:type="auto"/>
            <w:vAlign w:val="center"/>
          </w:tcPr>
          <w:p w:rsidR="000A156F" w:rsidRDefault="00A9721F">
            <w:pPr>
              <w:pStyle w:val="TableBodyText"/>
            </w:pPr>
            <w:r>
              <w:t>25</w:t>
            </w:r>
          </w:p>
        </w:tc>
        <w:tc>
          <w:tcPr>
            <w:tcW w:w="0" w:type="auto"/>
            <w:vAlign w:val="center"/>
          </w:tcPr>
          <w:p w:rsidR="000A156F" w:rsidRDefault="00A9721F">
            <w:pPr>
              <w:pStyle w:val="TableBodyText"/>
            </w:pPr>
            <w:r>
              <w:t>D size sheet</w:t>
            </w:r>
          </w:p>
        </w:tc>
      </w:tr>
      <w:tr w:rsidR="000A156F" w:rsidTr="000A156F">
        <w:tc>
          <w:tcPr>
            <w:tcW w:w="0" w:type="auto"/>
            <w:vAlign w:val="center"/>
          </w:tcPr>
          <w:p w:rsidR="000A156F" w:rsidRDefault="00A9721F">
            <w:pPr>
              <w:pStyle w:val="TableBodyText"/>
            </w:pPr>
            <w:r>
              <w:t>26</w:t>
            </w:r>
          </w:p>
        </w:tc>
        <w:tc>
          <w:tcPr>
            <w:tcW w:w="0" w:type="auto"/>
            <w:vAlign w:val="center"/>
          </w:tcPr>
          <w:p w:rsidR="000A156F" w:rsidRDefault="00A9721F">
            <w:pPr>
              <w:pStyle w:val="TableBodyText"/>
            </w:pPr>
            <w:r>
              <w:t>E size sheet</w:t>
            </w:r>
          </w:p>
        </w:tc>
      </w:tr>
      <w:tr w:rsidR="000A156F" w:rsidTr="000A156F">
        <w:tc>
          <w:tcPr>
            <w:tcW w:w="0" w:type="auto"/>
            <w:vAlign w:val="center"/>
          </w:tcPr>
          <w:p w:rsidR="000A156F" w:rsidRDefault="00A9721F">
            <w:pPr>
              <w:pStyle w:val="TableBodyText"/>
            </w:pPr>
            <w:r>
              <w:t>27</w:t>
            </w:r>
          </w:p>
        </w:tc>
        <w:tc>
          <w:tcPr>
            <w:tcW w:w="0" w:type="auto"/>
            <w:vAlign w:val="center"/>
          </w:tcPr>
          <w:p w:rsidR="000A156F" w:rsidRDefault="00A9721F">
            <w:pPr>
              <w:pStyle w:val="TableBodyText"/>
            </w:pPr>
            <w:r>
              <w:t>Envelope DL 110 x 220mm</w:t>
            </w:r>
          </w:p>
        </w:tc>
      </w:tr>
      <w:tr w:rsidR="000A156F" w:rsidTr="000A156F">
        <w:tc>
          <w:tcPr>
            <w:tcW w:w="0" w:type="auto"/>
            <w:vAlign w:val="center"/>
          </w:tcPr>
          <w:p w:rsidR="000A156F" w:rsidRDefault="00A9721F">
            <w:pPr>
              <w:pStyle w:val="TableBodyText"/>
            </w:pPr>
            <w:r>
              <w:t>28</w:t>
            </w:r>
          </w:p>
        </w:tc>
        <w:tc>
          <w:tcPr>
            <w:tcW w:w="0" w:type="auto"/>
            <w:vAlign w:val="center"/>
          </w:tcPr>
          <w:p w:rsidR="000A156F" w:rsidRDefault="00A9721F">
            <w:pPr>
              <w:pStyle w:val="TableBodyText"/>
            </w:pPr>
            <w:r>
              <w:t>Envelope C5 162 x 229 mm</w:t>
            </w:r>
          </w:p>
        </w:tc>
      </w:tr>
      <w:tr w:rsidR="000A156F" w:rsidTr="000A156F">
        <w:tc>
          <w:tcPr>
            <w:tcW w:w="0" w:type="auto"/>
            <w:vAlign w:val="center"/>
          </w:tcPr>
          <w:p w:rsidR="000A156F" w:rsidRDefault="00A9721F">
            <w:pPr>
              <w:pStyle w:val="TableBodyText"/>
            </w:pPr>
            <w:r>
              <w:t>29</w:t>
            </w:r>
          </w:p>
        </w:tc>
        <w:tc>
          <w:tcPr>
            <w:tcW w:w="0" w:type="auto"/>
            <w:vAlign w:val="center"/>
          </w:tcPr>
          <w:p w:rsidR="000A156F" w:rsidRDefault="00A9721F">
            <w:pPr>
              <w:pStyle w:val="TableBodyText"/>
            </w:pPr>
            <w:r>
              <w:t>Envelope C3 324 x 458 mm</w:t>
            </w:r>
          </w:p>
        </w:tc>
      </w:tr>
      <w:tr w:rsidR="000A156F" w:rsidTr="000A156F">
        <w:tc>
          <w:tcPr>
            <w:tcW w:w="0" w:type="auto"/>
            <w:vAlign w:val="center"/>
          </w:tcPr>
          <w:p w:rsidR="000A156F" w:rsidRDefault="00A9721F">
            <w:pPr>
              <w:pStyle w:val="TableBodyText"/>
            </w:pPr>
            <w:r>
              <w:t>30</w:t>
            </w:r>
          </w:p>
        </w:tc>
        <w:tc>
          <w:tcPr>
            <w:tcW w:w="0" w:type="auto"/>
            <w:vAlign w:val="center"/>
          </w:tcPr>
          <w:p w:rsidR="000A156F" w:rsidRDefault="00A9721F">
            <w:pPr>
              <w:pStyle w:val="TableBodyText"/>
            </w:pPr>
            <w:r>
              <w:t>Envelope C4 229 x 324 mm</w:t>
            </w:r>
          </w:p>
        </w:tc>
      </w:tr>
      <w:tr w:rsidR="000A156F" w:rsidTr="000A156F">
        <w:tc>
          <w:tcPr>
            <w:tcW w:w="0" w:type="auto"/>
            <w:vAlign w:val="center"/>
          </w:tcPr>
          <w:p w:rsidR="000A156F" w:rsidRDefault="00A9721F">
            <w:pPr>
              <w:pStyle w:val="TableBodyText"/>
            </w:pPr>
            <w:r>
              <w:t>31</w:t>
            </w:r>
          </w:p>
        </w:tc>
        <w:tc>
          <w:tcPr>
            <w:tcW w:w="0" w:type="auto"/>
            <w:vAlign w:val="center"/>
          </w:tcPr>
          <w:p w:rsidR="000A156F" w:rsidRDefault="00A9721F">
            <w:pPr>
              <w:pStyle w:val="TableBodyText"/>
            </w:pPr>
            <w:r>
              <w:t>Envelope C6 114 x 162 mm</w:t>
            </w:r>
          </w:p>
        </w:tc>
      </w:tr>
      <w:tr w:rsidR="000A156F" w:rsidTr="000A156F">
        <w:tc>
          <w:tcPr>
            <w:tcW w:w="0" w:type="auto"/>
            <w:vAlign w:val="center"/>
          </w:tcPr>
          <w:p w:rsidR="000A156F" w:rsidRDefault="00A9721F">
            <w:pPr>
              <w:pStyle w:val="TableBodyText"/>
            </w:pPr>
            <w:r>
              <w:t>32</w:t>
            </w:r>
          </w:p>
        </w:tc>
        <w:tc>
          <w:tcPr>
            <w:tcW w:w="0" w:type="auto"/>
            <w:vAlign w:val="center"/>
          </w:tcPr>
          <w:p w:rsidR="000A156F" w:rsidRDefault="00A9721F">
            <w:pPr>
              <w:pStyle w:val="TableBodyText"/>
            </w:pPr>
            <w:r>
              <w:t>Envelope C65 114 x 229 mm</w:t>
            </w:r>
          </w:p>
        </w:tc>
      </w:tr>
      <w:tr w:rsidR="000A156F" w:rsidTr="000A156F">
        <w:tc>
          <w:tcPr>
            <w:tcW w:w="0" w:type="auto"/>
            <w:vAlign w:val="center"/>
          </w:tcPr>
          <w:p w:rsidR="000A156F" w:rsidRDefault="00A9721F">
            <w:pPr>
              <w:pStyle w:val="TableBodyText"/>
            </w:pPr>
            <w:r>
              <w:t>33</w:t>
            </w:r>
          </w:p>
        </w:tc>
        <w:tc>
          <w:tcPr>
            <w:tcW w:w="0" w:type="auto"/>
            <w:vAlign w:val="center"/>
          </w:tcPr>
          <w:p w:rsidR="000A156F" w:rsidRDefault="00A9721F">
            <w:pPr>
              <w:pStyle w:val="TableBodyText"/>
            </w:pPr>
            <w:r>
              <w:t xml:space="preserve">Envelope B4 250 x </w:t>
            </w:r>
            <w:r>
              <w:t>353 mm</w:t>
            </w:r>
          </w:p>
        </w:tc>
      </w:tr>
      <w:tr w:rsidR="000A156F" w:rsidTr="000A156F">
        <w:tc>
          <w:tcPr>
            <w:tcW w:w="0" w:type="auto"/>
            <w:vAlign w:val="center"/>
          </w:tcPr>
          <w:p w:rsidR="000A156F" w:rsidRDefault="00A9721F">
            <w:pPr>
              <w:pStyle w:val="TableBodyText"/>
            </w:pPr>
            <w:r>
              <w:t>34</w:t>
            </w:r>
          </w:p>
        </w:tc>
        <w:tc>
          <w:tcPr>
            <w:tcW w:w="0" w:type="auto"/>
            <w:vAlign w:val="center"/>
          </w:tcPr>
          <w:p w:rsidR="000A156F" w:rsidRDefault="00A9721F">
            <w:pPr>
              <w:pStyle w:val="TableBodyText"/>
            </w:pPr>
            <w:r>
              <w:t>Envelope B5 176 x 250 mm</w:t>
            </w:r>
          </w:p>
        </w:tc>
      </w:tr>
      <w:tr w:rsidR="000A156F" w:rsidTr="000A156F">
        <w:tc>
          <w:tcPr>
            <w:tcW w:w="0" w:type="auto"/>
            <w:vAlign w:val="center"/>
          </w:tcPr>
          <w:p w:rsidR="000A156F" w:rsidRDefault="00A9721F">
            <w:pPr>
              <w:pStyle w:val="TableBodyText"/>
            </w:pPr>
            <w:r>
              <w:t>35</w:t>
            </w:r>
          </w:p>
        </w:tc>
        <w:tc>
          <w:tcPr>
            <w:tcW w:w="0" w:type="auto"/>
            <w:vAlign w:val="center"/>
          </w:tcPr>
          <w:p w:rsidR="000A156F" w:rsidRDefault="00A9721F">
            <w:pPr>
              <w:pStyle w:val="TableBodyText"/>
            </w:pPr>
            <w:r>
              <w:t>Envelope B6 176 x 125 mm</w:t>
            </w:r>
          </w:p>
        </w:tc>
      </w:tr>
      <w:tr w:rsidR="000A156F" w:rsidTr="000A156F">
        <w:tc>
          <w:tcPr>
            <w:tcW w:w="0" w:type="auto"/>
            <w:vAlign w:val="center"/>
          </w:tcPr>
          <w:p w:rsidR="000A156F" w:rsidRDefault="00A9721F">
            <w:pPr>
              <w:pStyle w:val="TableBodyText"/>
            </w:pPr>
            <w:r>
              <w:t>36</w:t>
            </w:r>
          </w:p>
        </w:tc>
        <w:tc>
          <w:tcPr>
            <w:tcW w:w="0" w:type="auto"/>
            <w:vAlign w:val="center"/>
          </w:tcPr>
          <w:p w:rsidR="000A156F" w:rsidRDefault="00A9721F">
            <w:pPr>
              <w:pStyle w:val="TableBodyText"/>
            </w:pPr>
            <w:r>
              <w:t>Envelope 110 x 230 mm</w:t>
            </w:r>
          </w:p>
        </w:tc>
      </w:tr>
      <w:tr w:rsidR="000A156F" w:rsidTr="000A156F">
        <w:tc>
          <w:tcPr>
            <w:tcW w:w="0" w:type="auto"/>
            <w:vAlign w:val="center"/>
          </w:tcPr>
          <w:p w:rsidR="000A156F" w:rsidRDefault="00A9721F">
            <w:pPr>
              <w:pStyle w:val="TableBodyText"/>
            </w:pPr>
            <w:r>
              <w:t>37</w:t>
            </w:r>
          </w:p>
        </w:tc>
        <w:tc>
          <w:tcPr>
            <w:tcW w:w="0" w:type="auto"/>
            <w:vAlign w:val="center"/>
          </w:tcPr>
          <w:p w:rsidR="000A156F" w:rsidRDefault="00A9721F">
            <w:pPr>
              <w:pStyle w:val="TableBodyText"/>
            </w:pPr>
            <w:r>
              <w:t>US Envelope Monarch 3.875 x 7.5 in</w:t>
            </w:r>
          </w:p>
        </w:tc>
      </w:tr>
      <w:tr w:rsidR="000A156F" w:rsidTr="000A156F">
        <w:tc>
          <w:tcPr>
            <w:tcW w:w="0" w:type="auto"/>
            <w:vAlign w:val="center"/>
          </w:tcPr>
          <w:p w:rsidR="000A156F" w:rsidRDefault="00A9721F">
            <w:pPr>
              <w:pStyle w:val="TableBodyText"/>
            </w:pPr>
            <w:r>
              <w:t>38</w:t>
            </w:r>
          </w:p>
        </w:tc>
        <w:tc>
          <w:tcPr>
            <w:tcW w:w="0" w:type="auto"/>
            <w:vAlign w:val="center"/>
          </w:tcPr>
          <w:p w:rsidR="000A156F" w:rsidRDefault="00A9721F">
            <w:pPr>
              <w:pStyle w:val="TableBodyText"/>
            </w:pPr>
            <w:r>
              <w:t>6 3/4 US Envelope 3 5/8 x 6 1/2 in</w:t>
            </w:r>
          </w:p>
        </w:tc>
      </w:tr>
      <w:tr w:rsidR="000A156F" w:rsidTr="000A156F">
        <w:tc>
          <w:tcPr>
            <w:tcW w:w="0" w:type="auto"/>
            <w:vAlign w:val="center"/>
          </w:tcPr>
          <w:p w:rsidR="000A156F" w:rsidRDefault="00A9721F">
            <w:pPr>
              <w:pStyle w:val="TableBodyText"/>
            </w:pPr>
            <w:r>
              <w:t>39</w:t>
            </w:r>
          </w:p>
        </w:tc>
        <w:tc>
          <w:tcPr>
            <w:tcW w:w="0" w:type="auto"/>
            <w:vAlign w:val="center"/>
          </w:tcPr>
          <w:p w:rsidR="000A156F" w:rsidRDefault="00A9721F">
            <w:pPr>
              <w:pStyle w:val="TableBodyText"/>
            </w:pPr>
            <w:r>
              <w:t>US Std Fanfold 14 7/8 x 11 in</w:t>
            </w:r>
          </w:p>
        </w:tc>
      </w:tr>
      <w:tr w:rsidR="000A156F" w:rsidTr="000A156F">
        <w:tc>
          <w:tcPr>
            <w:tcW w:w="0" w:type="auto"/>
            <w:vAlign w:val="center"/>
          </w:tcPr>
          <w:p w:rsidR="000A156F" w:rsidRDefault="00A9721F">
            <w:pPr>
              <w:pStyle w:val="TableBodyText"/>
            </w:pPr>
            <w:r>
              <w:lastRenderedPageBreak/>
              <w:t>40</w:t>
            </w:r>
          </w:p>
        </w:tc>
        <w:tc>
          <w:tcPr>
            <w:tcW w:w="0" w:type="auto"/>
            <w:vAlign w:val="center"/>
          </w:tcPr>
          <w:p w:rsidR="000A156F" w:rsidRDefault="00A9721F">
            <w:pPr>
              <w:pStyle w:val="TableBodyText"/>
            </w:pPr>
            <w:r>
              <w:t>German Std Fanfold 8 1/2 x 12 in</w:t>
            </w:r>
          </w:p>
        </w:tc>
      </w:tr>
      <w:tr w:rsidR="000A156F" w:rsidTr="000A156F">
        <w:tc>
          <w:tcPr>
            <w:tcW w:w="0" w:type="auto"/>
            <w:vAlign w:val="center"/>
          </w:tcPr>
          <w:p w:rsidR="000A156F" w:rsidRDefault="00A9721F">
            <w:pPr>
              <w:pStyle w:val="TableBodyText"/>
            </w:pPr>
            <w:r>
              <w:t>41</w:t>
            </w:r>
          </w:p>
        </w:tc>
        <w:tc>
          <w:tcPr>
            <w:tcW w:w="0" w:type="auto"/>
            <w:vAlign w:val="center"/>
          </w:tcPr>
          <w:p w:rsidR="000A156F" w:rsidRDefault="00A9721F">
            <w:pPr>
              <w:pStyle w:val="TableBodyText"/>
            </w:pPr>
            <w:r>
              <w:t>German Legal</w:t>
            </w:r>
            <w:r>
              <w:t xml:space="preserve"> Fanfold 8 1/2 x 13 in</w:t>
            </w:r>
          </w:p>
        </w:tc>
      </w:tr>
      <w:tr w:rsidR="000A156F" w:rsidTr="000A156F">
        <w:tc>
          <w:tcPr>
            <w:tcW w:w="0" w:type="auto"/>
            <w:vAlign w:val="center"/>
          </w:tcPr>
          <w:p w:rsidR="000A156F" w:rsidRDefault="00A9721F">
            <w:pPr>
              <w:pStyle w:val="TableBodyText"/>
            </w:pPr>
            <w:r>
              <w:t>42</w:t>
            </w:r>
          </w:p>
        </w:tc>
        <w:tc>
          <w:tcPr>
            <w:tcW w:w="0" w:type="auto"/>
            <w:vAlign w:val="center"/>
          </w:tcPr>
          <w:p w:rsidR="000A156F" w:rsidRDefault="00A9721F">
            <w:pPr>
              <w:pStyle w:val="TableBodyText"/>
            </w:pPr>
            <w:r>
              <w:t>B4 (ISO) 250 x 353 mm</w:t>
            </w:r>
          </w:p>
        </w:tc>
      </w:tr>
      <w:tr w:rsidR="000A156F" w:rsidTr="000A156F">
        <w:tc>
          <w:tcPr>
            <w:tcW w:w="0" w:type="auto"/>
            <w:vAlign w:val="center"/>
          </w:tcPr>
          <w:p w:rsidR="000A156F" w:rsidRDefault="00A9721F">
            <w:pPr>
              <w:pStyle w:val="TableBodyText"/>
            </w:pPr>
            <w:r>
              <w:t>43</w:t>
            </w:r>
          </w:p>
        </w:tc>
        <w:tc>
          <w:tcPr>
            <w:tcW w:w="0" w:type="auto"/>
            <w:vAlign w:val="center"/>
          </w:tcPr>
          <w:p w:rsidR="000A156F" w:rsidRDefault="00A9721F">
            <w:pPr>
              <w:pStyle w:val="TableBodyText"/>
            </w:pPr>
            <w:r>
              <w:t>Japanese Postcard 100 x 148 mm</w:t>
            </w:r>
          </w:p>
        </w:tc>
      </w:tr>
      <w:tr w:rsidR="000A156F" w:rsidTr="000A156F">
        <w:tc>
          <w:tcPr>
            <w:tcW w:w="0" w:type="auto"/>
            <w:vAlign w:val="center"/>
          </w:tcPr>
          <w:p w:rsidR="000A156F" w:rsidRDefault="00A9721F">
            <w:pPr>
              <w:pStyle w:val="TableBodyText"/>
            </w:pPr>
            <w:r>
              <w:t>44</w:t>
            </w:r>
          </w:p>
        </w:tc>
        <w:tc>
          <w:tcPr>
            <w:tcW w:w="0" w:type="auto"/>
            <w:vAlign w:val="center"/>
          </w:tcPr>
          <w:p w:rsidR="000A156F" w:rsidRDefault="00A9721F">
            <w:pPr>
              <w:pStyle w:val="TableBodyText"/>
            </w:pPr>
            <w:r>
              <w:t>9 x 11 in</w:t>
            </w:r>
          </w:p>
        </w:tc>
      </w:tr>
      <w:tr w:rsidR="000A156F" w:rsidTr="000A156F">
        <w:tc>
          <w:tcPr>
            <w:tcW w:w="0" w:type="auto"/>
            <w:vAlign w:val="center"/>
          </w:tcPr>
          <w:p w:rsidR="000A156F" w:rsidRDefault="00A9721F">
            <w:pPr>
              <w:pStyle w:val="TableBodyText"/>
            </w:pPr>
            <w:r>
              <w:t>45</w:t>
            </w:r>
          </w:p>
        </w:tc>
        <w:tc>
          <w:tcPr>
            <w:tcW w:w="0" w:type="auto"/>
            <w:vAlign w:val="center"/>
          </w:tcPr>
          <w:p w:rsidR="000A156F" w:rsidRDefault="00A9721F">
            <w:pPr>
              <w:pStyle w:val="TableBodyText"/>
            </w:pPr>
            <w:r>
              <w:t>10 x 11 in</w:t>
            </w:r>
          </w:p>
        </w:tc>
      </w:tr>
      <w:tr w:rsidR="000A156F" w:rsidTr="000A156F">
        <w:tc>
          <w:tcPr>
            <w:tcW w:w="0" w:type="auto"/>
            <w:vAlign w:val="center"/>
          </w:tcPr>
          <w:p w:rsidR="000A156F" w:rsidRDefault="00A9721F">
            <w:pPr>
              <w:pStyle w:val="TableBodyText"/>
            </w:pPr>
            <w:r>
              <w:t>46</w:t>
            </w:r>
          </w:p>
        </w:tc>
        <w:tc>
          <w:tcPr>
            <w:tcW w:w="0" w:type="auto"/>
            <w:vAlign w:val="center"/>
          </w:tcPr>
          <w:p w:rsidR="000A156F" w:rsidRDefault="00A9721F">
            <w:pPr>
              <w:pStyle w:val="TableBodyText"/>
            </w:pPr>
            <w:r>
              <w:t>15 x 11 in</w:t>
            </w:r>
          </w:p>
        </w:tc>
      </w:tr>
      <w:tr w:rsidR="000A156F" w:rsidTr="000A156F">
        <w:tc>
          <w:tcPr>
            <w:tcW w:w="0" w:type="auto"/>
            <w:vAlign w:val="center"/>
          </w:tcPr>
          <w:p w:rsidR="000A156F" w:rsidRDefault="00A9721F">
            <w:pPr>
              <w:pStyle w:val="TableBodyText"/>
            </w:pPr>
            <w:r>
              <w:t>47</w:t>
            </w:r>
          </w:p>
        </w:tc>
        <w:tc>
          <w:tcPr>
            <w:tcW w:w="0" w:type="auto"/>
            <w:vAlign w:val="center"/>
          </w:tcPr>
          <w:p w:rsidR="000A156F" w:rsidRDefault="00A9721F">
            <w:pPr>
              <w:pStyle w:val="TableBodyText"/>
            </w:pPr>
            <w:r>
              <w:t>Envelope Invite 220 x 220 mm</w:t>
            </w:r>
          </w:p>
        </w:tc>
      </w:tr>
      <w:tr w:rsidR="000A156F" w:rsidTr="000A156F">
        <w:tc>
          <w:tcPr>
            <w:tcW w:w="0" w:type="auto"/>
            <w:vAlign w:val="center"/>
          </w:tcPr>
          <w:p w:rsidR="000A156F" w:rsidRDefault="00A9721F">
            <w:pPr>
              <w:pStyle w:val="TableBodyText"/>
            </w:pPr>
            <w:r>
              <w:t>48</w:t>
            </w:r>
          </w:p>
        </w:tc>
        <w:tc>
          <w:tcPr>
            <w:tcW w:w="0" w:type="auto"/>
            <w:vAlign w:val="center"/>
          </w:tcPr>
          <w:p w:rsidR="000A156F" w:rsidRDefault="00A9721F">
            <w:pPr>
              <w:pStyle w:val="TableBodyText"/>
            </w:pPr>
            <w:r>
              <w:t>RESERVED--DO NOT USE</w:t>
            </w:r>
          </w:p>
        </w:tc>
      </w:tr>
      <w:tr w:rsidR="000A156F" w:rsidTr="000A156F">
        <w:tc>
          <w:tcPr>
            <w:tcW w:w="0" w:type="auto"/>
            <w:vAlign w:val="center"/>
          </w:tcPr>
          <w:p w:rsidR="000A156F" w:rsidRDefault="00A9721F">
            <w:pPr>
              <w:pStyle w:val="TableBodyText"/>
            </w:pPr>
            <w:r>
              <w:t>49</w:t>
            </w:r>
          </w:p>
        </w:tc>
        <w:tc>
          <w:tcPr>
            <w:tcW w:w="0" w:type="auto"/>
            <w:vAlign w:val="center"/>
          </w:tcPr>
          <w:p w:rsidR="000A156F" w:rsidRDefault="00A9721F">
            <w:pPr>
              <w:pStyle w:val="TableBodyText"/>
            </w:pPr>
            <w:r>
              <w:t>RESERVED--DO NOT USE</w:t>
            </w:r>
          </w:p>
        </w:tc>
      </w:tr>
      <w:tr w:rsidR="000A156F" w:rsidTr="000A156F">
        <w:tc>
          <w:tcPr>
            <w:tcW w:w="0" w:type="auto"/>
            <w:vAlign w:val="center"/>
          </w:tcPr>
          <w:p w:rsidR="000A156F" w:rsidRDefault="00A9721F">
            <w:pPr>
              <w:pStyle w:val="TableBodyText"/>
            </w:pPr>
            <w:r>
              <w:t>50</w:t>
            </w:r>
          </w:p>
        </w:tc>
        <w:tc>
          <w:tcPr>
            <w:tcW w:w="0" w:type="auto"/>
            <w:vAlign w:val="center"/>
          </w:tcPr>
          <w:p w:rsidR="000A156F" w:rsidRDefault="00A9721F">
            <w:pPr>
              <w:pStyle w:val="TableBodyText"/>
            </w:pPr>
            <w:r>
              <w:t>US Letter Extra 9 \275 x 12 in</w:t>
            </w:r>
          </w:p>
        </w:tc>
      </w:tr>
      <w:tr w:rsidR="000A156F" w:rsidTr="000A156F">
        <w:tc>
          <w:tcPr>
            <w:tcW w:w="0" w:type="auto"/>
            <w:vAlign w:val="center"/>
          </w:tcPr>
          <w:p w:rsidR="000A156F" w:rsidRDefault="00A9721F">
            <w:pPr>
              <w:pStyle w:val="TableBodyText"/>
            </w:pPr>
            <w:r>
              <w:t>51</w:t>
            </w:r>
          </w:p>
        </w:tc>
        <w:tc>
          <w:tcPr>
            <w:tcW w:w="0" w:type="auto"/>
            <w:vAlign w:val="center"/>
          </w:tcPr>
          <w:p w:rsidR="000A156F" w:rsidRDefault="00A9721F">
            <w:pPr>
              <w:pStyle w:val="TableBodyText"/>
            </w:pPr>
            <w:r>
              <w:t xml:space="preserve">US </w:t>
            </w:r>
            <w:r>
              <w:t>Legal Extra 9 \275 x 15 in</w:t>
            </w:r>
          </w:p>
        </w:tc>
      </w:tr>
      <w:tr w:rsidR="000A156F" w:rsidTr="000A156F">
        <w:tc>
          <w:tcPr>
            <w:tcW w:w="0" w:type="auto"/>
            <w:vAlign w:val="center"/>
          </w:tcPr>
          <w:p w:rsidR="000A156F" w:rsidRDefault="00A9721F">
            <w:pPr>
              <w:pStyle w:val="TableBodyText"/>
            </w:pPr>
            <w:r>
              <w:t>52</w:t>
            </w:r>
          </w:p>
        </w:tc>
        <w:tc>
          <w:tcPr>
            <w:tcW w:w="0" w:type="auto"/>
            <w:vAlign w:val="center"/>
          </w:tcPr>
          <w:p w:rsidR="000A156F" w:rsidRDefault="00A9721F">
            <w:pPr>
              <w:pStyle w:val="TableBodyText"/>
            </w:pPr>
            <w:r>
              <w:t>US Tabloid Extra 11.69 x 18 in</w:t>
            </w:r>
          </w:p>
        </w:tc>
      </w:tr>
      <w:tr w:rsidR="000A156F" w:rsidTr="000A156F">
        <w:tc>
          <w:tcPr>
            <w:tcW w:w="0" w:type="auto"/>
            <w:vAlign w:val="center"/>
          </w:tcPr>
          <w:p w:rsidR="000A156F" w:rsidRDefault="00A9721F">
            <w:pPr>
              <w:pStyle w:val="TableBodyText"/>
            </w:pPr>
            <w:r>
              <w:t>53</w:t>
            </w:r>
          </w:p>
        </w:tc>
        <w:tc>
          <w:tcPr>
            <w:tcW w:w="0" w:type="auto"/>
            <w:vAlign w:val="center"/>
          </w:tcPr>
          <w:p w:rsidR="000A156F" w:rsidRDefault="00A9721F">
            <w:pPr>
              <w:pStyle w:val="TableBodyText"/>
            </w:pPr>
            <w:r>
              <w:t>A4 Extra 9.27 x 12.69 in</w:t>
            </w:r>
          </w:p>
        </w:tc>
      </w:tr>
      <w:tr w:rsidR="000A156F" w:rsidTr="000A156F">
        <w:tc>
          <w:tcPr>
            <w:tcW w:w="0" w:type="auto"/>
            <w:vAlign w:val="center"/>
          </w:tcPr>
          <w:p w:rsidR="000A156F" w:rsidRDefault="00A9721F">
            <w:pPr>
              <w:pStyle w:val="TableBodyText"/>
            </w:pPr>
            <w:r>
              <w:t>54</w:t>
            </w:r>
          </w:p>
        </w:tc>
        <w:tc>
          <w:tcPr>
            <w:tcW w:w="0" w:type="auto"/>
            <w:vAlign w:val="center"/>
          </w:tcPr>
          <w:p w:rsidR="000A156F" w:rsidRDefault="00A9721F">
            <w:pPr>
              <w:pStyle w:val="TableBodyText"/>
            </w:pPr>
            <w:r>
              <w:t xml:space="preserve">Letter Transverse 8 \275 x 11 in </w:t>
            </w:r>
          </w:p>
        </w:tc>
      </w:tr>
      <w:tr w:rsidR="000A156F" w:rsidTr="000A156F">
        <w:tc>
          <w:tcPr>
            <w:tcW w:w="0" w:type="auto"/>
            <w:vAlign w:val="center"/>
          </w:tcPr>
          <w:p w:rsidR="000A156F" w:rsidRDefault="00A9721F">
            <w:pPr>
              <w:pStyle w:val="TableBodyText"/>
            </w:pPr>
            <w:r>
              <w:t>55</w:t>
            </w:r>
          </w:p>
        </w:tc>
        <w:tc>
          <w:tcPr>
            <w:tcW w:w="0" w:type="auto"/>
            <w:vAlign w:val="center"/>
          </w:tcPr>
          <w:p w:rsidR="000A156F" w:rsidRDefault="00A9721F">
            <w:pPr>
              <w:pStyle w:val="TableBodyText"/>
            </w:pPr>
            <w:r>
              <w:t>A4 Transverse 210 x 297 mm</w:t>
            </w:r>
          </w:p>
        </w:tc>
      </w:tr>
      <w:tr w:rsidR="000A156F" w:rsidTr="000A156F">
        <w:tc>
          <w:tcPr>
            <w:tcW w:w="0" w:type="auto"/>
            <w:vAlign w:val="center"/>
          </w:tcPr>
          <w:p w:rsidR="000A156F" w:rsidRDefault="00A9721F">
            <w:pPr>
              <w:pStyle w:val="TableBodyText"/>
            </w:pPr>
            <w:r>
              <w:t>56</w:t>
            </w:r>
          </w:p>
        </w:tc>
        <w:tc>
          <w:tcPr>
            <w:tcW w:w="0" w:type="auto"/>
            <w:vAlign w:val="center"/>
          </w:tcPr>
          <w:p w:rsidR="000A156F" w:rsidRDefault="00A9721F">
            <w:pPr>
              <w:pStyle w:val="TableBodyText"/>
            </w:pPr>
            <w:r>
              <w:t>Letter Extra Transverse 9\275 x 12 in</w:t>
            </w:r>
          </w:p>
        </w:tc>
      </w:tr>
      <w:tr w:rsidR="000A156F" w:rsidTr="000A156F">
        <w:tc>
          <w:tcPr>
            <w:tcW w:w="0" w:type="auto"/>
            <w:vAlign w:val="center"/>
          </w:tcPr>
          <w:p w:rsidR="000A156F" w:rsidRDefault="00A9721F">
            <w:pPr>
              <w:pStyle w:val="TableBodyText"/>
            </w:pPr>
            <w:r>
              <w:t>57</w:t>
            </w:r>
          </w:p>
        </w:tc>
        <w:tc>
          <w:tcPr>
            <w:tcW w:w="0" w:type="auto"/>
            <w:vAlign w:val="center"/>
          </w:tcPr>
          <w:p w:rsidR="000A156F" w:rsidRDefault="00A9721F">
            <w:pPr>
              <w:pStyle w:val="TableBodyText"/>
            </w:pPr>
            <w:r>
              <w:t>SuperA/SuperA/A4 227 x 356 mm</w:t>
            </w:r>
          </w:p>
        </w:tc>
      </w:tr>
      <w:tr w:rsidR="000A156F" w:rsidTr="000A156F">
        <w:tc>
          <w:tcPr>
            <w:tcW w:w="0" w:type="auto"/>
            <w:vAlign w:val="center"/>
          </w:tcPr>
          <w:p w:rsidR="000A156F" w:rsidRDefault="00A9721F">
            <w:pPr>
              <w:pStyle w:val="TableBodyText"/>
            </w:pPr>
            <w:r>
              <w:t>58</w:t>
            </w:r>
          </w:p>
        </w:tc>
        <w:tc>
          <w:tcPr>
            <w:tcW w:w="0" w:type="auto"/>
            <w:vAlign w:val="center"/>
          </w:tcPr>
          <w:p w:rsidR="000A156F" w:rsidRDefault="00A9721F">
            <w:pPr>
              <w:pStyle w:val="TableBodyText"/>
            </w:pPr>
            <w:r>
              <w:t>SuperB/SuperB/A3</w:t>
            </w:r>
            <w:r>
              <w:t xml:space="preserve"> 305 x 487 mm</w:t>
            </w:r>
          </w:p>
        </w:tc>
      </w:tr>
      <w:tr w:rsidR="000A156F" w:rsidTr="000A156F">
        <w:tc>
          <w:tcPr>
            <w:tcW w:w="0" w:type="auto"/>
            <w:vAlign w:val="center"/>
          </w:tcPr>
          <w:p w:rsidR="000A156F" w:rsidRDefault="00A9721F">
            <w:pPr>
              <w:pStyle w:val="TableBodyText"/>
            </w:pPr>
            <w:r>
              <w:t>59</w:t>
            </w:r>
          </w:p>
        </w:tc>
        <w:tc>
          <w:tcPr>
            <w:tcW w:w="0" w:type="auto"/>
            <w:vAlign w:val="center"/>
          </w:tcPr>
          <w:p w:rsidR="000A156F" w:rsidRDefault="00A9721F">
            <w:pPr>
              <w:pStyle w:val="TableBodyText"/>
            </w:pPr>
            <w:r>
              <w:t>US Letter Plus 8.5 x 12.69 in</w:t>
            </w:r>
          </w:p>
        </w:tc>
      </w:tr>
      <w:tr w:rsidR="000A156F" w:rsidTr="000A156F">
        <w:tc>
          <w:tcPr>
            <w:tcW w:w="0" w:type="auto"/>
            <w:vAlign w:val="center"/>
          </w:tcPr>
          <w:p w:rsidR="000A156F" w:rsidRDefault="00A9721F">
            <w:pPr>
              <w:pStyle w:val="TableBodyText"/>
            </w:pPr>
            <w:r>
              <w:t>60</w:t>
            </w:r>
          </w:p>
        </w:tc>
        <w:tc>
          <w:tcPr>
            <w:tcW w:w="0" w:type="auto"/>
            <w:vAlign w:val="center"/>
          </w:tcPr>
          <w:p w:rsidR="000A156F" w:rsidRDefault="00A9721F">
            <w:pPr>
              <w:pStyle w:val="TableBodyText"/>
            </w:pPr>
            <w:r>
              <w:t>A4 Plus 210 x 330 mm</w:t>
            </w:r>
          </w:p>
        </w:tc>
      </w:tr>
      <w:tr w:rsidR="000A156F" w:rsidTr="000A156F">
        <w:tc>
          <w:tcPr>
            <w:tcW w:w="0" w:type="auto"/>
            <w:vAlign w:val="center"/>
          </w:tcPr>
          <w:p w:rsidR="000A156F" w:rsidRDefault="00A9721F">
            <w:pPr>
              <w:pStyle w:val="TableBodyText"/>
            </w:pPr>
            <w:r>
              <w:t>61</w:t>
            </w:r>
          </w:p>
        </w:tc>
        <w:tc>
          <w:tcPr>
            <w:tcW w:w="0" w:type="auto"/>
            <w:vAlign w:val="center"/>
          </w:tcPr>
          <w:p w:rsidR="000A156F" w:rsidRDefault="00A9721F">
            <w:pPr>
              <w:pStyle w:val="TableBodyText"/>
            </w:pPr>
            <w:r>
              <w:t>A5 Transverse 148 x 210 mm</w:t>
            </w:r>
          </w:p>
        </w:tc>
      </w:tr>
      <w:tr w:rsidR="000A156F" w:rsidTr="000A156F">
        <w:tc>
          <w:tcPr>
            <w:tcW w:w="0" w:type="auto"/>
            <w:vAlign w:val="center"/>
          </w:tcPr>
          <w:p w:rsidR="000A156F" w:rsidRDefault="00A9721F">
            <w:pPr>
              <w:pStyle w:val="TableBodyText"/>
            </w:pPr>
            <w:r>
              <w:t>62</w:t>
            </w:r>
          </w:p>
        </w:tc>
        <w:tc>
          <w:tcPr>
            <w:tcW w:w="0" w:type="auto"/>
            <w:vAlign w:val="center"/>
          </w:tcPr>
          <w:p w:rsidR="000A156F" w:rsidRDefault="00A9721F">
            <w:pPr>
              <w:pStyle w:val="TableBodyText"/>
            </w:pPr>
            <w:r>
              <w:t>B5 (JIS) Transverse 182 x 257 mm</w:t>
            </w:r>
          </w:p>
        </w:tc>
      </w:tr>
      <w:tr w:rsidR="000A156F" w:rsidTr="000A156F">
        <w:tc>
          <w:tcPr>
            <w:tcW w:w="0" w:type="auto"/>
            <w:vAlign w:val="center"/>
          </w:tcPr>
          <w:p w:rsidR="000A156F" w:rsidRDefault="00A9721F">
            <w:pPr>
              <w:pStyle w:val="TableBodyText"/>
            </w:pPr>
            <w:r>
              <w:t>63</w:t>
            </w:r>
          </w:p>
        </w:tc>
        <w:tc>
          <w:tcPr>
            <w:tcW w:w="0" w:type="auto"/>
            <w:vAlign w:val="center"/>
          </w:tcPr>
          <w:p w:rsidR="000A156F" w:rsidRDefault="00A9721F">
            <w:pPr>
              <w:pStyle w:val="TableBodyText"/>
            </w:pPr>
            <w:r>
              <w:t>A3 Extra 322 x 445 mm</w:t>
            </w:r>
          </w:p>
        </w:tc>
      </w:tr>
      <w:tr w:rsidR="000A156F" w:rsidTr="000A156F">
        <w:tc>
          <w:tcPr>
            <w:tcW w:w="0" w:type="auto"/>
            <w:vAlign w:val="center"/>
          </w:tcPr>
          <w:p w:rsidR="000A156F" w:rsidRDefault="00A9721F">
            <w:pPr>
              <w:pStyle w:val="TableBodyText"/>
            </w:pPr>
            <w:r>
              <w:t>64</w:t>
            </w:r>
          </w:p>
        </w:tc>
        <w:tc>
          <w:tcPr>
            <w:tcW w:w="0" w:type="auto"/>
            <w:vAlign w:val="center"/>
          </w:tcPr>
          <w:p w:rsidR="000A156F" w:rsidRDefault="00A9721F">
            <w:pPr>
              <w:pStyle w:val="TableBodyText"/>
            </w:pPr>
            <w:r>
              <w:t>A5 Extra 174 x 235 mm</w:t>
            </w:r>
          </w:p>
        </w:tc>
      </w:tr>
      <w:tr w:rsidR="000A156F" w:rsidTr="000A156F">
        <w:tc>
          <w:tcPr>
            <w:tcW w:w="0" w:type="auto"/>
            <w:vAlign w:val="center"/>
          </w:tcPr>
          <w:p w:rsidR="000A156F" w:rsidRDefault="00A9721F">
            <w:pPr>
              <w:pStyle w:val="TableBodyText"/>
            </w:pPr>
            <w:r>
              <w:t>65</w:t>
            </w:r>
          </w:p>
        </w:tc>
        <w:tc>
          <w:tcPr>
            <w:tcW w:w="0" w:type="auto"/>
            <w:vAlign w:val="center"/>
          </w:tcPr>
          <w:p w:rsidR="000A156F" w:rsidRDefault="00A9721F">
            <w:pPr>
              <w:pStyle w:val="TableBodyText"/>
            </w:pPr>
            <w:r>
              <w:t>B5 (ISO) Extra 201 x 276 mm</w:t>
            </w:r>
          </w:p>
        </w:tc>
      </w:tr>
      <w:tr w:rsidR="000A156F" w:rsidTr="000A156F">
        <w:tc>
          <w:tcPr>
            <w:tcW w:w="0" w:type="auto"/>
            <w:vAlign w:val="center"/>
          </w:tcPr>
          <w:p w:rsidR="000A156F" w:rsidRDefault="00A9721F">
            <w:pPr>
              <w:pStyle w:val="TableBodyText"/>
            </w:pPr>
            <w:r>
              <w:t>66</w:t>
            </w:r>
          </w:p>
        </w:tc>
        <w:tc>
          <w:tcPr>
            <w:tcW w:w="0" w:type="auto"/>
            <w:vAlign w:val="center"/>
          </w:tcPr>
          <w:p w:rsidR="000A156F" w:rsidRDefault="00A9721F">
            <w:pPr>
              <w:pStyle w:val="TableBodyText"/>
            </w:pPr>
            <w:r>
              <w:t>A2 420 x 594 mm</w:t>
            </w:r>
          </w:p>
        </w:tc>
      </w:tr>
      <w:tr w:rsidR="000A156F" w:rsidTr="000A156F">
        <w:tc>
          <w:tcPr>
            <w:tcW w:w="0" w:type="auto"/>
            <w:vAlign w:val="center"/>
          </w:tcPr>
          <w:p w:rsidR="000A156F" w:rsidRDefault="00A9721F">
            <w:pPr>
              <w:pStyle w:val="TableBodyText"/>
            </w:pPr>
            <w:r>
              <w:t>67</w:t>
            </w:r>
          </w:p>
        </w:tc>
        <w:tc>
          <w:tcPr>
            <w:tcW w:w="0" w:type="auto"/>
            <w:vAlign w:val="center"/>
          </w:tcPr>
          <w:p w:rsidR="000A156F" w:rsidRDefault="00A9721F">
            <w:pPr>
              <w:pStyle w:val="TableBodyText"/>
            </w:pPr>
            <w:r>
              <w:t xml:space="preserve">A3 </w:t>
            </w:r>
            <w:r>
              <w:t>Transverse 297 x 420 mm</w:t>
            </w:r>
          </w:p>
        </w:tc>
      </w:tr>
      <w:tr w:rsidR="000A156F" w:rsidTr="000A156F">
        <w:tc>
          <w:tcPr>
            <w:tcW w:w="0" w:type="auto"/>
            <w:vAlign w:val="center"/>
          </w:tcPr>
          <w:p w:rsidR="000A156F" w:rsidRDefault="00A9721F">
            <w:pPr>
              <w:pStyle w:val="TableBodyText"/>
            </w:pPr>
            <w:r>
              <w:t>68</w:t>
            </w:r>
          </w:p>
        </w:tc>
        <w:tc>
          <w:tcPr>
            <w:tcW w:w="0" w:type="auto"/>
            <w:vAlign w:val="center"/>
          </w:tcPr>
          <w:p w:rsidR="000A156F" w:rsidRDefault="00A9721F">
            <w:pPr>
              <w:pStyle w:val="TableBodyText"/>
            </w:pPr>
            <w:r>
              <w:t xml:space="preserve">A3 Extra Transverse 322 x 445 mm </w:t>
            </w:r>
          </w:p>
        </w:tc>
      </w:tr>
      <w:tr w:rsidR="000A156F" w:rsidTr="000A156F">
        <w:tc>
          <w:tcPr>
            <w:tcW w:w="0" w:type="auto"/>
            <w:vAlign w:val="center"/>
          </w:tcPr>
          <w:p w:rsidR="000A156F" w:rsidRDefault="00A9721F">
            <w:pPr>
              <w:pStyle w:val="TableBodyText"/>
            </w:pPr>
            <w:r>
              <w:t>69</w:t>
            </w:r>
          </w:p>
        </w:tc>
        <w:tc>
          <w:tcPr>
            <w:tcW w:w="0" w:type="auto"/>
            <w:vAlign w:val="center"/>
          </w:tcPr>
          <w:p w:rsidR="000A156F" w:rsidRDefault="00A9721F">
            <w:pPr>
              <w:pStyle w:val="TableBodyText"/>
            </w:pPr>
            <w:r>
              <w:t>Japanese Double Postcard 200 x 148 mm</w:t>
            </w:r>
          </w:p>
        </w:tc>
      </w:tr>
      <w:tr w:rsidR="000A156F" w:rsidTr="000A156F">
        <w:tc>
          <w:tcPr>
            <w:tcW w:w="0" w:type="auto"/>
            <w:vAlign w:val="center"/>
          </w:tcPr>
          <w:p w:rsidR="000A156F" w:rsidRDefault="00A9721F">
            <w:pPr>
              <w:pStyle w:val="TableBodyText"/>
            </w:pPr>
            <w:r>
              <w:t>70</w:t>
            </w:r>
          </w:p>
        </w:tc>
        <w:tc>
          <w:tcPr>
            <w:tcW w:w="0" w:type="auto"/>
            <w:vAlign w:val="center"/>
          </w:tcPr>
          <w:p w:rsidR="000A156F" w:rsidRDefault="00A9721F">
            <w:pPr>
              <w:pStyle w:val="TableBodyText"/>
            </w:pPr>
            <w:r>
              <w:t>A6 105 x 148 mm</w:t>
            </w:r>
          </w:p>
        </w:tc>
      </w:tr>
      <w:tr w:rsidR="000A156F" w:rsidTr="000A156F">
        <w:tc>
          <w:tcPr>
            <w:tcW w:w="0" w:type="auto"/>
            <w:vAlign w:val="center"/>
          </w:tcPr>
          <w:p w:rsidR="000A156F" w:rsidRDefault="00A9721F">
            <w:pPr>
              <w:pStyle w:val="TableBodyText"/>
            </w:pPr>
            <w:r>
              <w:t>71</w:t>
            </w:r>
          </w:p>
        </w:tc>
        <w:tc>
          <w:tcPr>
            <w:tcW w:w="0" w:type="auto"/>
            <w:vAlign w:val="center"/>
          </w:tcPr>
          <w:p w:rsidR="000A156F" w:rsidRDefault="00A9721F">
            <w:pPr>
              <w:pStyle w:val="TableBodyText"/>
            </w:pPr>
            <w:r>
              <w:t>Japanese Envelope Kaku #2</w:t>
            </w:r>
          </w:p>
        </w:tc>
      </w:tr>
      <w:tr w:rsidR="000A156F" w:rsidTr="000A156F">
        <w:tc>
          <w:tcPr>
            <w:tcW w:w="0" w:type="auto"/>
            <w:vAlign w:val="center"/>
          </w:tcPr>
          <w:p w:rsidR="000A156F" w:rsidRDefault="00A9721F">
            <w:pPr>
              <w:pStyle w:val="TableBodyText"/>
            </w:pPr>
            <w:r>
              <w:lastRenderedPageBreak/>
              <w:t xml:space="preserve">72 </w:t>
            </w:r>
          </w:p>
        </w:tc>
        <w:tc>
          <w:tcPr>
            <w:tcW w:w="0" w:type="auto"/>
            <w:vAlign w:val="center"/>
          </w:tcPr>
          <w:p w:rsidR="000A156F" w:rsidRDefault="00A9721F">
            <w:pPr>
              <w:pStyle w:val="TableBodyText"/>
            </w:pPr>
            <w:r>
              <w:t>Japanese Envelope Kaku #3</w:t>
            </w:r>
          </w:p>
        </w:tc>
      </w:tr>
      <w:tr w:rsidR="000A156F" w:rsidTr="000A156F">
        <w:tc>
          <w:tcPr>
            <w:tcW w:w="0" w:type="auto"/>
            <w:vAlign w:val="center"/>
          </w:tcPr>
          <w:p w:rsidR="000A156F" w:rsidRDefault="00A9721F">
            <w:pPr>
              <w:pStyle w:val="TableBodyText"/>
            </w:pPr>
            <w:r>
              <w:t>73</w:t>
            </w:r>
          </w:p>
        </w:tc>
        <w:tc>
          <w:tcPr>
            <w:tcW w:w="0" w:type="auto"/>
            <w:vAlign w:val="center"/>
          </w:tcPr>
          <w:p w:rsidR="000A156F" w:rsidRDefault="00A9721F">
            <w:pPr>
              <w:pStyle w:val="TableBodyText"/>
            </w:pPr>
            <w:r>
              <w:t>Japanese Envelope Chou #3</w:t>
            </w:r>
          </w:p>
        </w:tc>
      </w:tr>
      <w:tr w:rsidR="000A156F" w:rsidTr="000A156F">
        <w:tc>
          <w:tcPr>
            <w:tcW w:w="0" w:type="auto"/>
            <w:vAlign w:val="center"/>
          </w:tcPr>
          <w:p w:rsidR="000A156F" w:rsidRDefault="00A9721F">
            <w:pPr>
              <w:pStyle w:val="TableBodyText"/>
            </w:pPr>
            <w:r>
              <w:t>74</w:t>
            </w:r>
          </w:p>
        </w:tc>
        <w:tc>
          <w:tcPr>
            <w:tcW w:w="0" w:type="auto"/>
            <w:vAlign w:val="center"/>
          </w:tcPr>
          <w:p w:rsidR="000A156F" w:rsidRDefault="00A9721F">
            <w:pPr>
              <w:pStyle w:val="TableBodyText"/>
            </w:pPr>
            <w:r>
              <w:t>Japanese Envelope Chou #4</w:t>
            </w:r>
          </w:p>
        </w:tc>
      </w:tr>
      <w:tr w:rsidR="000A156F" w:rsidTr="000A156F">
        <w:tc>
          <w:tcPr>
            <w:tcW w:w="0" w:type="auto"/>
            <w:vAlign w:val="center"/>
          </w:tcPr>
          <w:p w:rsidR="000A156F" w:rsidRDefault="00A9721F">
            <w:pPr>
              <w:pStyle w:val="TableBodyText"/>
            </w:pPr>
            <w:r>
              <w:t>75</w:t>
            </w:r>
          </w:p>
        </w:tc>
        <w:tc>
          <w:tcPr>
            <w:tcW w:w="0" w:type="auto"/>
            <w:vAlign w:val="center"/>
          </w:tcPr>
          <w:p w:rsidR="000A156F" w:rsidRDefault="00A9721F">
            <w:pPr>
              <w:pStyle w:val="TableBodyText"/>
            </w:pPr>
            <w:r>
              <w:t xml:space="preserve">Letter </w:t>
            </w:r>
            <w:r>
              <w:t>Rotated 11 x 8 1/2 11 in</w:t>
            </w:r>
          </w:p>
        </w:tc>
      </w:tr>
      <w:tr w:rsidR="000A156F" w:rsidTr="000A156F">
        <w:tc>
          <w:tcPr>
            <w:tcW w:w="0" w:type="auto"/>
            <w:vAlign w:val="center"/>
          </w:tcPr>
          <w:p w:rsidR="000A156F" w:rsidRDefault="00A9721F">
            <w:pPr>
              <w:pStyle w:val="TableBodyText"/>
            </w:pPr>
            <w:r>
              <w:t>76</w:t>
            </w:r>
          </w:p>
        </w:tc>
        <w:tc>
          <w:tcPr>
            <w:tcW w:w="0" w:type="auto"/>
            <w:vAlign w:val="center"/>
          </w:tcPr>
          <w:p w:rsidR="000A156F" w:rsidRDefault="00A9721F">
            <w:pPr>
              <w:pStyle w:val="TableBodyText"/>
            </w:pPr>
            <w:r>
              <w:t>A3 Rotated 420 x 297 mm</w:t>
            </w:r>
          </w:p>
        </w:tc>
      </w:tr>
      <w:tr w:rsidR="000A156F" w:rsidTr="000A156F">
        <w:tc>
          <w:tcPr>
            <w:tcW w:w="0" w:type="auto"/>
            <w:vAlign w:val="center"/>
          </w:tcPr>
          <w:p w:rsidR="000A156F" w:rsidRDefault="00A9721F">
            <w:pPr>
              <w:pStyle w:val="TableBodyText"/>
            </w:pPr>
            <w:r>
              <w:t>77</w:t>
            </w:r>
          </w:p>
        </w:tc>
        <w:tc>
          <w:tcPr>
            <w:tcW w:w="0" w:type="auto"/>
            <w:vAlign w:val="center"/>
          </w:tcPr>
          <w:p w:rsidR="000A156F" w:rsidRDefault="00A9721F">
            <w:pPr>
              <w:pStyle w:val="TableBodyText"/>
            </w:pPr>
            <w:r>
              <w:t>A4 Rotated 297 x 210 mm</w:t>
            </w:r>
          </w:p>
        </w:tc>
      </w:tr>
      <w:tr w:rsidR="000A156F" w:rsidTr="000A156F">
        <w:tc>
          <w:tcPr>
            <w:tcW w:w="0" w:type="auto"/>
            <w:vAlign w:val="center"/>
          </w:tcPr>
          <w:p w:rsidR="000A156F" w:rsidRDefault="00A9721F">
            <w:pPr>
              <w:pStyle w:val="TableBodyText"/>
            </w:pPr>
            <w:r>
              <w:t>78</w:t>
            </w:r>
          </w:p>
        </w:tc>
        <w:tc>
          <w:tcPr>
            <w:tcW w:w="0" w:type="auto"/>
            <w:vAlign w:val="center"/>
          </w:tcPr>
          <w:p w:rsidR="000A156F" w:rsidRDefault="00A9721F">
            <w:pPr>
              <w:pStyle w:val="TableBodyText"/>
            </w:pPr>
            <w:r>
              <w:t>A5 Rotated 210 x 148 mm</w:t>
            </w:r>
          </w:p>
        </w:tc>
      </w:tr>
      <w:tr w:rsidR="000A156F" w:rsidTr="000A156F">
        <w:tc>
          <w:tcPr>
            <w:tcW w:w="0" w:type="auto"/>
            <w:vAlign w:val="center"/>
          </w:tcPr>
          <w:p w:rsidR="000A156F" w:rsidRDefault="00A9721F">
            <w:pPr>
              <w:pStyle w:val="TableBodyText"/>
            </w:pPr>
            <w:r>
              <w:t>79</w:t>
            </w:r>
          </w:p>
        </w:tc>
        <w:tc>
          <w:tcPr>
            <w:tcW w:w="0" w:type="auto"/>
            <w:vAlign w:val="center"/>
          </w:tcPr>
          <w:p w:rsidR="000A156F" w:rsidRDefault="00A9721F">
            <w:pPr>
              <w:pStyle w:val="TableBodyText"/>
            </w:pPr>
            <w:r>
              <w:t>B4 (JIS) Rotated 364 x 257 mm</w:t>
            </w:r>
          </w:p>
        </w:tc>
      </w:tr>
      <w:tr w:rsidR="000A156F" w:rsidTr="000A156F">
        <w:tc>
          <w:tcPr>
            <w:tcW w:w="0" w:type="auto"/>
            <w:vAlign w:val="center"/>
          </w:tcPr>
          <w:p w:rsidR="000A156F" w:rsidRDefault="00A9721F">
            <w:pPr>
              <w:pStyle w:val="TableBodyText"/>
            </w:pPr>
            <w:r>
              <w:t>80</w:t>
            </w:r>
          </w:p>
        </w:tc>
        <w:tc>
          <w:tcPr>
            <w:tcW w:w="0" w:type="auto"/>
            <w:vAlign w:val="center"/>
          </w:tcPr>
          <w:p w:rsidR="000A156F" w:rsidRDefault="00A9721F">
            <w:pPr>
              <w:pStyle w:val="TableBodyText"/>
            </w:pPr>
            <w:r>
              <w:t>B5 (JIS) Rotated 257 x 182 mm</w:t>
            </w:r>
          </w:p>
        </w:tc>
      </w:tr>
      <w:tr w:rsidR="000A156F" w:rsidTr="000A156F">
        <w:tc>
          <w:tcPr>
            <w:tcW w:w="0" w:type="auto"/>
            <w:vAlign w:val="center"/>
          </w:tcPr>
          <w:p w:rsidR="000A156F" w:rsidRDefault="00A9721F">
            <w:pPr>
              <w:pStyle w:val="TableBodyText"/>
            </w:pPr>
            <w:r>
              <w:t>81</w:t>
            </w:r>
          </w:p>
        </w:tc>
        <w:tc>
          <w:tcPr>
            <w:tcW w:w="0" w:type="auto"/>
            <w:vAlign w:val="center"/>
          </w:tcPr>
          <w:p w:rsidR="000A156F" w:rsidRDefault="00A9721F">
            <w:pPr>
              <w:pStyle w:val="TableBodyText"/>
            </w:pPr>
            <w:r>
              <w:t>Japanese Postcard Rotated 148 x 100 mm</w:t>
            </w:r>
          </w:p>
        </w:tc>
      </w:tr>
      <w:tr w:rsidR="000A156F" w:rsidTr="000A156F">
        <w:tc>
          <w:tcPr>
            <w:tcW w:w="0" w:type="auto"/>
            <w:vAlign w:val="center"/>
          </w:tcPr>
          <w:p w:rsidR="000A156F" w:rsidRDefault="00A9721F">
            <w:pPr>
              <w:pStyle w:val="TableBodyText"/>
            </w:pPr>
            <w:r>
              <w:t>82</w:t>
            </w:r>
          </w:p>
        </w:tc>
        <w:tc>
          <w:tcPr>
            <w:tcW w:w="0" w:type="auto"/>
            <w:vAlign w:val="center"/>
          </w:tcPr>
          <w:p w:rsidR="000A156F" w:rsidRDefault="00A9721F">
            <w:pPr>
              <w:pStyle w:val="TableBodyText"/>
            </w:pPr>
            <w:r>
              <w:t>Double Japanese Postcard Rotated</w:t>
            </w:r>
            <w:r>
              <w:t xml:space="preserve"> 148 x 200 mm</w:t>
            </w:r>
          </w:p>
        </w:tc>
      </w:tr>
      <w:tr w:rsidR="000A156F" w:rsidTr="000A156F">
        <w:tc>
          <w:tcPr>
            <w:tcW w:w="0" w:type="auto"/>
            <w:vAlign w:val="center"/>
          </w:tcPr>
          <w:p w:rsidR="000A156F" w:rsidRDefault="00A9721F">
            <w:pPr>
              <w:pStyle w:val="TableBodyText"/>
            </w:pPr>
            <w:r>
              <w:t>83</w:t>
            </w:r>
          </w:p>
        </w:tc>
        <w:tc>
          <w:tcPr>
            <w:tcW w:w="0" w:type="auto"/>
            <w:vAlign w:val="center"/>
          </w:tcPr>
          <w:p w:rsidR="000A156F" w:rsidRDefault="00A9721F">
            <w:pPr>
              <w:pStyle w:val="TableBodyText"/>
            </w:pPr>
            <w:r>
              <w:t>A6 Rotated 148 x 105 mm</w:t>
            </w:r>
          </w:p>
        </w:tc>
      </w:tr>
      <w:tr w:rsidR="000A156F" w:rsidTr="000A156F">
        <w:tc>
          <w:tcPr>
            <w:tcW w:w="0" w:type="auto"/>
            <w:vAlign w:val="center"/>
          </w:tcPr>
          <w:p w:rsidR="000A156F" w:rsidRDefault="00A9721F">
            <w:pPr>
              <w:pStyle w:val="TableBodyText"/>
            </w:pPr>
            <w:r>
              <w:t>84</w:t>
            </w:r>
          </w:p>
        </w:tc>
        <w:tc>
          <w:tcPr>
            <w:tcW w:w="0" w:type="auto"/>
            <w:vAlign w:val="center"/>
          </w:tcPr>
          <w:p w:rsidR="000A156F" w:rsidRDefault="00A9721F">
            <w:pPr>
              <w:pStyle w:val="TableBodyText"/>
            </w:pPr>
            <w:r>
              <w:t>Japanese Envelope Kaku #2 Rotated</w:t>
            </w:r>
          </w:p>
        </w:tc>
      </w:tr>
      <w:tr w:rsidR="000A156F" w:rsidTr="000A156F">
        <w:tc>
          <w:tcPr>
            <w:tcW w:w="0" w:type="auto"/>
            <w:vAlign w:val="center"/>
          </w:tcPr>
          <w:p w:rsidR="000A156F" w:rsidRDefault="00A9721F">
            <w:pPr>
              <w:pStyle w:val="TableBodyText"/>
            </w:pPr>
            <w:r>
              <w:t>85</w:t>
            </w:r>
          </w:p>
        </w:tc>
        <w:tc>
          <w:tcPr>
            <w:tcW w:w="0" w:type="auto"/>
            <w:vAlign w:val="center"/>
          </w:tcPr>
          <w:p w:rsidR="000A156F" w:rsidRDefault="00A9721F">
            <w:pPr>
              <w:pStyle w:val="TableBodyText"/>
            </w:pPr>
            <w:r>
              <w:t>Japanese Envelope Kaku #3 Rotated</w:t>
            </w:r>
          </w:p>
        </w:tc>
      </w:tr>
      <w:tr w:rsidR="000A156F" w:rsidTr="000A156F">
        <w:tc>
          <w:tcPr>
            <w:tcW w:w="0" w:type="auto"/>
            <w:vAlign w:val="center"/>
          </w:tcPr>
          <w:p w:rsidR="000A156F" w:rsidRDefault="00A9721F">
            <w:pPr>
              <w:pStyle w:val="TableBodyText"/>
            </w:pPr>
            <w:r>
              <w:t>86</w:t>
            </w:r>
          </w:p>
        </w:tc>
        <w:tc>
          <w:tcPr>
            <w:tcW w:w="0" w:type="auto"/>
            <w:vAlign w:val="center"/>
          </w:tcPr>
          <w:p w:rsidR="000A156F" w:rsidRDefault="00A9721F">
            <w:pPr>
              <w:pStyle w:val="TableBodyText"/>
            </w:pPr>
            <w:r>
              <w:t>Japanese Envelope Chou #3 Rotated</w:t>
            </w:r>
          </w:p>
        </w:tc>
      </w:tr>
      <w:tr w:rsidR="000A156F" w:rsidTr="000A156F">
        <w:tc>
          <w:tcPr>
            <w:tcW w:w="0" w:type="auto"/>
            <w:vAlign w:val="center"/>
          </w:tcPr>
          <w:p w:rsidR="000A156F" w:rsidRDefault="00A9721F">
            <w:pPr>
              <w:pStyle w:val="TableBodyText"/>
            </w:pPr>
            <w:r>
              <w:t>87</w:t>
            </w:r>
          </w:p>
        </w:tc>
        <w:tc>
          <w:tcPr>
            <w:tcW w:w="0" w:type="auto"/>
            <w:vAlign w:val="center"/>
          </w:tcPr>
          <w:p w:rsidR="000A156F" w:rsidRDefault="00A9721F">
            <w:pPr>
              <w:pStyle w:val="TableBodyText"/>
            </w:pPr>
            <w:r>
              <w:t>Japanese Envelope Chou #4 Rotated</w:t>
            </w:r>
          </w:p>
        </w:tc>
      </w:tr>
      <w:tr w:rsidR="000A156F" w:rsidTr="000A156F">
        <w:tc>
          <w:tcPr>
            <w:tcW w:w="0" w:type="auto"/>
            <w:vAlign w:val="center"/>
          </w:tcPr>
          <w:p w:rsidR="000A156F" w:rsidRDefault="00A9721F">
            <w:pPr>
              <w:pStyle w:val="TableBodyText"/>
            </w:pPr>
            <w:r>
              <w:t>88</w:t>
            </w:r>
          </w:p>
        </w:tc>
        <w:tc>
          <w:tcPr>
            <w:tcW w:w="0" w:type="auto"/>
            <w:vAlign w:val="center"/>
          </w:tcPr>
          <w:p w:rsidR="000A156F" w:rsidRDefault="00A9721F">
            <w:pPr>
              <w:pStyle w:val="TableBodyText"/>
            </w:pPr>
            <w:r>
              <w:t>B6 (JIS) 128 x 182 mm</w:t>
            </w:r>
          </w:p>
        </w:tc>
      </w:tr>
      <w:tr w:rsidR="000A156F" w:rsidTr="000A156F">
        <w:tc>
          <w:tcPr>
            <w:tcW w:w="0" w:type="auto"/>
            <w:vAlign w:val="center"/>
          </w:tcPr>
          <w:p w:rsidR="000A156F" w:rsidRDefault="00A9721F">
            <w:pPr>
              <w:pStyle w:val="TableBodyText"/>
            </w:pPr>
            <w:r>
              <w:t>89</w:t>
            </w:r>
          </w:p>
        </w:tc>
        <w:tc>
          <w:tcPr>
            <w:tcW w:w="0" w:type="auto"/>
            <w:vAlign w:val="center"/>
          </w:tcPr>
          <w:p w:rsidR="000A156F" w:rsidRDefault="00A9721F">
            <w:pPr>
              <w:pStyle w:val="TableBodyText"/>
            </w:pPr>
            <w:r>
              <w:t>B6 (JIS) Rotated 182 x 128 mm</w:t>
            </w:r>
          </w:p>
        </w:tc>
      </w:tr>
      <w:tr w:rsidR="000A156F" w:rsidTr="000A156F">
        <w:tc>
          <w:tcPr>
            <w:tcW w:w="0" w:type="auto"/>
            <w:vAlign w:val="center"/>
          </w:tcPr>
          <w:p w:rsidR="000A156F" w:rsidRDefault="00A9721F">
            <w:pPr>
              <w:pStyle w:val="TableBodyText"/>
            </w:pPr>
            <w:r>
              <w:t>90</w:t>
            </w:r>
          </w:p>
        </w:tc>
        <w:tc>
          <w:tcPr>
            <w:tcW w:w="0" w:type="auto"/>
            <w:vAlign w:val="center"/>
          </w:tcPr>
          <w:p w:rsidR="000A156F" w:rsidRDefault="00A9721F">
            <w:pPr>
              <w:pStyle w:val="TableBodyText"/>
            </w:pPr>
            <w:r>
              <w:t>12 x 11 in</w:t>
            </w:r>
          </w:p>
        </w:tc>
      </w:tr>
      <w:tr w:rsidR="000A156F" w:rsidTr="000A156F">
        <w:tc>
          <w:tcPr>
            <w:tcW w:w="0" w:type="auto"/>
            <w:vAlign w:val="center"/>
          </w:tcPr>
          <w:p w:rsidR="000A156F" w:rsidRDefault="00A9721F">
            <w:pPr>
              <w:pStyle w:val="TableBodyText"/>
            </w:pPr>
            <w:r>
              <w:t>91</w:t>
            </w:r>
          </w:p>
        </w:tc>
        <w:tc>
          <w:tcPr>
            <w:tcW w:w="0" w:type="auto"/>
            <w:vAlign w:val="center"/>
          </w:tcPr>
          <w:p w:rsidR="000A156F" w:rsidRDefault="00A9721F">
            <w:pPr>
              <w:pStyle w:val="TableBodyText"/>
            </w:pPr>
            <w:r>
              <w:t>Japanese Envelope You #4</w:t>
            </w:r>
          </w:p>
        </w:tc>
      </w:tr>
      <w:tr w:rsidR="000A156F" w:rsidTr="000A156F">
        <w:tc>
          <w:tcPr>
            <w:tcW w:w="0" w:type="auto"/>
            <w:vAlign w:val="center"/>
          </w:tcPr>
          <w:p w:rsidR="000A156F" w:rsidRDefault="00A9721F">
            <w:pPr>
              <w:pStyle w:val="TableBodyText"/>
            </w:pPr>
            <w:r>
              <w:t>92</w:t>
            </w:r>
          </w:p>
        </w:tc>
        <w:tc>
          <w:tcPr>
            <w:tcW w:w="0" w:type="auto"/>
            <w:vAlign w:val="center"/>
          </w:tcPr>
          <w:p w:rsidR="000A156F" w:rsidRDefault="00A9721F">
            <w:pPr>
              <w:pStyle w:val="TableBodyText"/>
            </w:pPr>
            <w:r>
              <w:t>Japanese Envelope You #4 Rotated</w:t>
            </w:r>
          </w:p>
        </w:tc>
      </w:tr>
      <w:tr w:rsidR="000A156F" w:rsidTr="000A156F">
        <w:tc>
          <w:tcPr>
            <w:tcW w:w="0" w:type="auto"/>
            <w:vAlign w:val="center"/>
          </w:tcPr>
          <w:p w:rsidR="000A156F" w:rsidRDefault="00A9721F">
            <w:pPr>
              <w:pStyle w:val="TableBodyText"/>
            </w:pPr>
            <w:r>
              <w:t>93</w:t>
            </w:r>
          </w:p>
        </w:tc>
        <w:tc>
          <w:tcPr>
            <w:tcW w:w="0" w:type="auto"/>
            <w:vAlign w:val="center"/>
          </w:tcPr>
          <w:p w:rsidR="000A156F" w:rsidRDefault="00A9721F">
            <w:pPr>
              <w:pStyle w:val="TableBodyText"/>
            </w:pPr>
            <w:r>
              <w:t>PRC 16K 146 x 215 mm</w:t>
            </w:r>
          </w:p>
        </w:tc>
      </w:tr>
      <w:tr w:rsidR="000A156F" w:rsidTr="000A156F">
        <w:tc>
          <w:tcPr>
            <w:tcW w:w="0" w:type="auto"/>
            <w:vAlign w:val="center"/>
          </w:tcPr>
          <w:p w:rsidR="000A156F" w:rsidRDefault="00A9721F">
            <w:pPr>
              <w:pStyle w:val="TableBodyText"/>
            </w:pPr>
            <w:r>
              <w:t>94</w:t>
            </w:r>
          </w:p>
        </w:tc>
        <w:tc>
          <w:tcPr>
            <w:tcW w:w="0" w:type="auto"/>
            <w:vAlign w:val="center"/>
          </w:tcPr>
          <w:p w:rsidR="000A156F" w:rsidRDefault="00A9721F">
            <w:pPr>
              <w:pStyle w:val="TableBodyText"/>
            </w:pPr>
            <w:r>
              <w:t>PRC 32K 97 x 151 mm</w:t>
            </w:r>
          </w:p>
        </w:tc>
      </w:tr>
      <w:tr w:rsidR="000A156F" w:rsidTr="000A156F">
        <w:tc>
          <w:tcPr>
            <w:tcW w:w="0" w:type="auto"/>
            <w:vAlign w:val="center"/>
          </w:tcPr>
          <w:p w:rsidR="000A156F" w:rsidRDefault="00A9721F">
            <w:pPr>
              <w:pStyle w:val="TableBodyText"/>
            </w:pPr>
            <w:r>
              <w:t>95</w:t>
            </w:r>
          </w:p>
        </w:tc>
        <w:tc>
          <w:tcPr>
            <w:tcW w:w="0" w:type="auto"/>
            <w:vAlign w:val="center"/>
          </w:tcPr>
          <w:p w:rsidR="000A156F" w:rsidRDefault="00A9721F">
            <w:pPr>
              <w:pStyle w:val="TableBodyText"/>
            </w:pPr>
            <w:r>
              <w:t>PRC 32K(Big) 97 x 151 mm</w:t>
            </w:r>
          </w:p>
        </w:tc>
      </w:tr>
      <w:tr w:rsidR="000A156F" w:rsidTr="000A156F">
        <w:tc>
          <w:tcPr>
            <w:tcW w:w="0" w:type="auto"/>
            <w:vAlign w:val="center"/>
          </w:tcPr>
          <w:p w:rsidR="000A156F" w:rsidRDefault="00A9721F">
            <w:pPr>
              <w:pStyle w:val="TableBodyText"/>
            </w:pPr>
            <w:r>
              <w:t>96</w:t>
            </w:r>
          </w:p>
        </w:tc>
        <w:tc>
          <w:tcPr>
            <w:tcW w:w="0" w:type="auto"/>
            <w:vAlign w:val="center"/>
          </w:tcPr>
          <w:p w:rsidR="000A156F" w:rsidRDefault="00A9721F">
            <w:pPr>
              <w:pStyle w:val="TableBodyText"/>
            </w:pPr>
            <w:r>
              <w:t>PRC Envelope #1 102 x 165 mm</w:t>
            </w:r>
          </w:p>
        </w:tc>
      </w:tr>
      <w:tr w:rsidR="000A156F" w:rsidTr="000A156F">
        <w:tc>
          <w:tcPr>
            <w:tcW w:w="0" w:type="auto"/>
            <w:vAlign w:val="center"/>
          </w:tcPr>
          <w:p w:rsidR="000A156F" w:rsidRDefault="00A9721F">
            <w:pPr>
              <w:pStyle w:val="TableBodyText"/>
            </w:pPr>
            <w:r>
              <w:t>97</w:t>
            </w:r>
          </w:p>
        </w:tc>
        <w:tc>
          <w:tcPr>
            <w:tcW w:w="0" w:type="auto"/>
            <w:vAlign w:val="center"/>
          </w:tcPr>
          <w:p w:rsidR="000A156F" w:rsidRDefault="00A9721F">
            <w:pPr>
              <w:pStyle w:val="TableBodyText"/>
            </w:pPr>
            <w:r>
              <w:t>PRC Envelope #2 102 x 176 mm</w:t>
            </w:r>
          </w:p>
        </w:tc>
      </w:tr>
      <w:tr w:rsidR="000A156F" w:rsidTr="000A156F">
        <w:tc>
          <w:tcPr>
            <w:tcW w:w="0" w:type="auto"/>
            <w:vAlign w:val="center"/>
          </w:tcPr>
          <w:p w:rsidR="000A156F" w:rsidRDefault="00A9721F">
            <w:pPr>
              <w:pStyle w:val="TableBodyText"/>
            </w:pPr>
            <w:r>
              <w:t>98</w:t>
            </w:r>
          </w:p>
        </w:tc>
        <w:tc>
          <w:tcPr>
            <w:tcW w:w="0" w:type="auto"/>
            <w:vAlign w:val="center"/>
          </w:tcPr>
          <w:p w:rsidR="000A156F" w:rsidRDefault="00A9721F">
            <w:pPr>
              <w:pStyle w:val="TableBodyText"/>
            </w:pPr>
            <w:r>
              <w:t>PRC Envelope #3 125 x 176 mm</w:t>
            </w:r>
          </w:p>
        </w:tc>
      </w:tr>
      <w:tr w:rsidR="000A156F" w:rsidTr="000A156F">
        <w:tc>
          <w:tcPr>
            <w:tcW w:w="0" w:type="auto"/>
            <w:vAlign w:val="center"/>
          </w:tcPr>
          <w:p w:rsidR="000A156F" w:rsidRDefault="00A9721F">
            <w:pPr>
              <w:pStyle w:val="TableBodyText"/>
            </w:pPr>
            <w:r>
              <w:t>99</w:t>
            </w:r>
          </w:p>
        </w:tc>
        <w:tc>
          <w:tcPr>
            <w:tcW w:w="0" w:type="auto"/>
            <w:vAlign w:val="center"/>
          </w:tcPr>
          <w:p w:rsidR="000A156F" w:rsidRDefault="00A9721F">
            <w:pPr>
              <w:pStyle w:val="TableBodyText"/>
            </w:pPr>
            <w:r>
              <w:t>PRC Envelope #4 110 x 208 mm</w:t>
            </w:r>
          </w:p>
        </w:tc>
      </w:tr>
      <w:tr w:rsidR="000A156F" w:rsidTr="000A156F">
        <w:tc>
          <w:tcPr>
            <w:tcW w:w="0" w:type="auto"/>
            <w:vAlign w:val="center"/>
          </w:tcPr>
          <w:p w:rsidR="000A156F" w:rsidRDefault="00A9721F">
            <w:pPr>
              <w:pStyle w:val="TableBodyText"/>
            </w:pPr>
            <w:r>
              <w:t>100</w:t>
            </w:r>
          </w:p>
        </w:tc>
        <w:tc>
          <w:tcPr>
            <w:tcW w:w="0" w:type="auto"/>
            <w:vAlign w:val="center"/>
          </w:tcPr>
          <w:p w:rsidR="000A156F" w:rsidRDefault="00A9721F">
            <w:pPr>
              <w:pStyle w:val="TableBodyText"/>
            </w:pPr>
            <w:r>
              <w:t>PRC Envelope #5 110 x 220 mm</w:t>
            </w:r>
          </w:p>
        </w:tc>
      </w:tr>
      <w:tr w:rsidR="000A156F" w:rsidTr="000A156F">
        <w:tc>
          <w:tcPr>
            <w:tcW w:w="0" w:type="auto"/>
            <w:vAlign w:val="center"/>
          </w:tcPr>
          <w:p w:rsidR="000A156F" w:rsidRDefault="00A9721F">
            <w:pPr>
              <w:pStyle w:val="TableBodyText"/>
            </w:pPr>
            <w:r>
              <w:t>101</w:t>
            </w:r>
          </w:p>
        </w:tc>
        <w:tc>
          <w:tcPr>
            <w:tcW w:w="0" w:type="auto"/>
            <w:vAlign w:val="center"/>
          </w:tcPr>
          <w:p w:rsidR="000A156F" w:rsidRDefault="00A9721F">
            <w:pPr>
              <w:pStyle w:val="TableBodyText"/>
            </w:pPr>
            <w:r>
              <w:t>PRC Envelope #6 120 x 230 mm</w:t>
            </w:r>
          </w:p>
        </w:tc>
      </w:tr>
      <w:tr w:rsidR="000A156F" w:rsidTr="000A156F">
        <w:tc>
          <w:tcPr>
            <w:tcW w:w="0" w:type="auto"/>
            <w:vAlign w:val="center"/>
          </w:tcPr>
          <w:p w:rsidR="000A156F" w:rsidRDefault="00A9721F">
            <w:pPr>
              <w:pStyle w:val="TableBodyText"/>
            </w:pPr>
            <w:r>
              <w:t>102</w:t>
            </w:r>
          </w:p>
        </w:tc>
        <w:tc>
          <w:tcPr>
            <w:tcW w:w="0" w:type="auto"/>
            <w:vAlign w:val="center"/>
          </w:tcPr>
          <w:p w:rsidR="000A156F" w:rsidRDefault="00A9721F">
            <w:pPr>
              <w:pStyle w:val="TableBodyText"/>
            </w:pPr>
            <w:r>
              <w:t>PRC Envelope #7 160 x 230 mm</w:t>
            </w:r>
          </w:p>
        </w:tc>
      </w:tr>
      <w:tr w:rsidR="000A156F" w:rsidTr="000A156F">
        <w:tc>
          <w:tcPr>
            <w:tcW w:w="0" w:type="auto"/>
            <w:vAlign w:val="center"/>
          </w:tcPr>
          <w:p w:rsidR="000A156F" w:rsidRDefault="00A9721F">
            <w:pPr>
              <w:pStyle w:val="TableBodyText"/>
            </w:pPr>
            <w:r>
              <w:t>103</w:t>
            </w:r>
          </w:p>
        </w:tc>
        <w:tc>
          <w:tcPr>
            <w:tcW w:w="0" w:type="auto"/>
            <w:vAlign w:val="center"/>
          </w:tcPr>
          <w:p w:rsidR="000A156F" w:rsidRDefault="00A9721F">
            <w:pPr>
              <w:pStyle w:val="TableBodyText"/>
            </w:pPr>
            <w:r>
              <w:t>PRC Envelope #8 120 x 309 mm</w:t>
            </w:r>
          </w:p>
        </w:tc>
      </w:tr>
      <w:tr w:rsidR="000A156F" w:rsidTr="000A156F">
        <w:tc>
          <w:tcPr>
            <w:tcW w:w="0" w:type="auto"/>
            <w:vAlign w:val="center"/>
          </w:tcPr>
          <w:p w:rsidR="000A156F" w:rsidRDefault="00A9721F">
            <w:pPr>
              <w:pStyle w:val="TableBodyText"/>
            </w:pPr>
            <w:r>
              <w:lastRenderedPageBreak/>
              <w:t>104</w:t>
            </w:r>
          </w:p>
        </w:tc>
        <w:tc>
          <w:tcPr>
            <w:tcW w:w="0" w:type="auto"/>
            <w:vAlign w:val="center"/>
          </w:tcPr>
          <w:p w:rsidR="000A156F" w:rsidRDefault="00A9721F">
            <w:pPr>
              <w:pStyle w:val="TableBodyText"/>
            </w:pPr>
            <w:r>
              <w:t>PRC Envelope #9 229 x 324 mm</w:t>
            </w:r>
          </w:p>
        </w:tc>
      </w:tr>
      <w:tr w:rsidR="000A156F" w:rsidTr="000A156F">
        <w:tc>
          <w:tcPr>
            <w:tcW w:w="0" w:type="auto"/>
            <w:vAlign w:val="center"/>
          </w:tcPr>
          <w:p w:rsidR="000A156F" w:rsidRDefault="00A9721F">
            <w:pPr>
              <w:pStyle w:val="TableBodyText"/>
            </w:pPr>
            <w:r>
              <w:t>105</w:t>
            </w:r>
          </w:p>
        </w:tc>
        <w:tc>
          <w:tcPr>
            <w:tcW w:w="0" w:type="auto"/>
            <w:vAlign w:val="center"/>
          </w:tcPr>
          <w:p w:rsidR="000A156F" w:rsidRDefault="00A9721F">
            <w:pPr>
              <w:pStyle w:val="TableBodyText"/>
            </w:pPr>
            <w:r>
              <w:t>PRC Envelope #10 324 x 458 mm</w:t>
            </w:r>
          </w:p>
        </w:tc>
      </w:tr>
      <w:tr w:rsidR="000A156F" w:rsidTr="000A156F">
        <w:tc>
          <w:tcPr>
            <w:tcW w:w="0" w:type="auto"/>
            <w:vAlign w:val="center"/>
          </w:tcPr>
          <w:p w:rsidR="000A156F" w:rsidRDefault="00A9721F">
            <w:pPr>
              <w:pStyle w:val="TableBodyText"/>
            </w:pPr>
            <w:r>
              <w:t>106</w:t>
            </w:r>
          </w:p>
        </w:tc>
        <w:tc>
          <w:tcPr>
            <w:tcW w:w="0" w:type="auto"/>
            <w:vAlign w:val="center"/>
          </w:tcPr>
          <w:p w:rsidR="000A156F" w:rsidRDefault="00A9721F">
            <w:pPr>
              <w:pStyle w:val="TableBodyText"/>
            </w:pPr>
            <w:r>
              <w:t xml:space="preserve">PRC 16K </w:t>
            </w:r>
            <w:r>
              <w:t>Rotated</w:t>
            </w:r>
          </w:p>
        </w:tc>
      </w:tr>
      <w:tr w:rsidR="000A156F" w:rsidTr="000A156F">
        <w:tc>
          <w:tcPr>
            <w:tcW w:w="0" w:type="auto"/>
            <w:vAlign w:val="center"/>
          </w:tcPr>
          <w:p w:rsidR="000A156F" w:rsidRDefault="00A9721F">
            <w:pPr>
              <w:pStyle w:val="TableBodyText"/>
            </w:pPr>
            <w:r>
              <w:t>107</w:t>
            </w:r>
          </w:p>
        </w:tc>
        <w:tc>
          <w:tcPr>
            <w:tcW w:w="0" w:type="auto"/>
            <w:vAlign w:val="center"/>
          </w:tcPr>
          <w:p w:rsidR="000A156F" w:rsidRDefault="00A9721F">
            <w:pPr>
              <w:pStyle w:val="TableBodyText"/>
            </w:pPr>
            <w:r>
              <w:t>PRC 32K Rotated</w:t>
            </w:r>
          </w:p>
        </w:tc>
      </w:tr>
      <w:tr w:rsidR="000A156F" w:rsidTr="000A156F">
        <w:tc>
          <w:tcPr>
            <w:tcW w:w="0" w:type="auto"/>
            <w:vAlign w:val="center"/>
          </w:tcPr>
          <w:p w:rsidR="000A156F" w:rsidRDefault="00A9721F">
            <w:pPr>
              <w:pStyle w:val="TableBodyText"/>
            </w:pPr>
            <w:r>
              <w:t>108</w:t>
            </w:r>
          </w:p>
        </w:tc>
        <w:tc>
          <w:tcPr>
            <w:tcW w:w="0" w:type="auto"/>
            <w:vAlign w:val="center"/>
          </w:tcPr>
          <w:p w:rsidR="000A156F" w:rsidRDefault="00A9721F">
            <w:pPr>
              <w:pStyle w:val="TableBodyText"/>
            </w:pPr>
            <w:r>
              <w:t>PRC 32K(Big) Rotated</w:t>
            </w:r>
          </w:p>
        </w:tc>
      </w:tr>
      <w:tr w:rsidR="000A156F" w:rsidTr="000A156F">
        <w:tc>
          <w:tcPr>
            <w:tcW w:w="0" w:type="auto"/>
            <w:vAlign w:val="center"/>
          </w:tcPr>
          <w:p w:rsidR="000A156F" w:rsidRDefault="00A9721F">
            <w:pPr>
              <w:pStyle w:val="TableBodyText"/>
            </w:pPr>
            <w:r>
              <w:t>109</w:t>
            </w:r>
          </w:p>
        </w:tc>
        <w:tc>
          <w:tcPr>
            <w:tcW w:w="0" w:type="auto"/>
            <w:vAlign w:val="center"/>
          </w:tcPr>
          <w:p w:rsidR="000A156F" w:rsidRDefault="00A9721F">
            <w:pPr>
              <w:pStyle w:val="TableBodyText"/>
            </w:pPr>
            <w:r>
              <w:t>PRC Envelope #1 Rotated 165 x 102 mm</w:t>
            </w:r>
          </w:p>
        </w:tc>
      </w:tr>
      <w:tr w:rsidR="000A156F" w:rsidTr="000A156F">
        <w:tc>
          <w:tcPr>
            <w:tcW w:w="0" w:type="auto"/>
            <w:vAlign w:val="center"/>
          </w:tcPr>
          <w:p w:rsidR="000A156F" w:rsidRDefault="00A9721F">
            <w:pPr>
              <w:pStyle w:val="TableBodyText"/>
            </w:pPr>
            <w:r>
              <w:t>110</w:t>
            </w:r>
          </w:p>
        </w:tc>
        <w:tc>
          <w:tcPr>
            <w:tcW w:w="0" w:type="auto"/>
            <w:vAlign w:val="center"/>
          </w:tcPr>
          <w:p w:rsidR="000A156F" w:rsidRDefault="00A9721F">
            <w:pPr>
              <w:pStyle w:val="TableBodyText"/>
            </w:pPr>
            <w:r>
              <w:t>PRC Envelope #2 Rotated 176 x 102 mm</w:t>
            </w:r>
          </w:p>
        </w:tc>
      </w:tr>
      <w:tr w:rsidR="000A156F" w:rsidTr="000A156F">
        <w:tc>
          <w:tcPr>
            <w:tcW w:w="0" w:type="auto"/>
            <w:vAlign w:val="center"/>
          </w:tcPr>
          <w:p w:rsidR="000A156F" w:rsidRDefault="00A9721F">
            <w:pPr>
              <w:pStyle w:val="TableBodyText"/>
            </w:pPr>
            <w:r>
              <w:t>111</w:t>
            </w:r>
          </w:p>
        </w:tc>
        <w:tc>
          <w:tcPr>
            <w:tcW w:w="0" w:type="auto"/>
            <w:vAlign w:val="center"/>
          </w:tcPr>
          <w:p w:rsidR="000A156F" w:rsidRDefault="00A9721F">
            <w:pPr>
              <w:pStyle w:val="TableBodyText"/>
            </w:pPr>
            <w:r>
              <w:t>PRC Envelope #3 Rotated 176 x 125 mm</w:t>
            </w:r>
          </w:p>
        </w:tc>
      </w:tr>
      <w:tr w:rsidR="000A156F" w:rsidTr="000A156F">
        <w:tc>
          <w:tcPr>
            <w:tcW w:w="0" w:type="auto"/>
            <w:vAlign w:val="center"/>
          </w:tcPr>
          <w:p w:rsidR="000A156F" w:rsidRDefault="00A9721F">
            <w:pPr>
              <w:pStyle w:val="TableBodyText"/>
            </w:pPr>
            <w:r>
              <w:t>112</w:t>
            </w:r>
          </w:p>
        </w:tc>
        <w:tc>
          <w:tcPr>
            <w:tcW w:w="0" w:type="auto"/>
            <w:vAlign w:val="center"/>
          </w:tcPr>
          <w:p w:rsidR="000A156F" w:rsidRDefault="00A9721F">
            <w:pPr>
              <w:pStyle w:val="TableBodyText"/>
            </w:pPr>
            <w:r>
              <w:t>PRC Envelope #4 Rotated 208 x 110 mm</w:t>
            </w:r>
          </w:p>
        </w:tc>
      </w:tr>
      <w:tr w:rsidR="000A156F" w:rsidTr="000A156F">
        <w:tc>
          <w:tcPr>
            <w:tcW w:w="0" w:type="auto"/>
            <w:vAlign w:val="center"/>
          </w:tcPr>
          <w:p w:rsidR="000A156F" w:rsidRDefault="00A9721F">
            <w:pPr>
              <w:pStyle w:val="TableBodyText"/>
            </w:pPr>
            <w:r>
              <w:t>113</w:t>
            </w:r>
          </w:p>
        </w:tc>
        <w:tc>
          <w:tcPr>
            <w:tcW w:w="0" w:type="auto"/>
            <w:vAlign w:val="center"/>
          </w:tcPr>
          <w:p w:rsidR="000A156F" w:rsidRDefault="00A9721F">
            <w:pPr>
              <w:pStyle w:val="TableBodyText"/>
            </w:pPr>
            <w:r>
              <w:t xml:space="preserve">PRC Envelope #5 Rotated 220 </w:t>
            </w:r>
            <w:r>
              <w:t>x 110 mm</w:t>
            </w:r>
          </w:p>
        </w:tc>
      </w:tr>
      <w:tr w:rsidR="000A156F" w:rsidTr="000A156F">
        <w:tc>
          <w:tcPr>
            <w:tcW w:w="0" w:type="auto"/>
            <w:vAlign w:val="center"/>
          </w:tcPr>
          <w:p w:rsidR="000A156F" w:rsidRDefault="00A9721F">
            <w:pPr>
              <w:pStyle w:val="TableBodyText"/>
            </w:pPr>
            <w:r>
              <w:t>114</w:t>
            </w:r>
          </w:p>
        </w:tc>
        <w:tc>
          <w:tcPr>
            <w:tcW w:w="0" w:type="auto"/>
            <w:vAlign w:val="center"/>
          </w:tcPr>
          <w:p w:rsidR="000A156F" w:rsidRDefault="00A9721F">
            <w:pPr>
              <w:pStyle w:val="TableBodyText"/>
            </w:pPr>
            <w:r>
              <w:t>PRC Envelope #6 Rotated 230 x 120 mm</w:t>
            </w:r>
          </w:p>
        </w:tc>
      </w:tr>
      <w:tr w:rsidR="000A156F" w:rsidTr="000A156F">
        <w:tc>
          <w:tcPr>
            <w:tcW w:w="0" w:type="auto"/>
            <w:vAlign w:val="center"/>
          </w:tcPr>
          <w:p w:rsidR="000A156F" w:rsidRDefault="00A9721F">
            <w:pPr>
              <w:pStyle w:val="TableBodyText"/>
            </w:pPr>
            <w:r>
              <w:t>115</w:t>
            </w:r>
          </w:p>
        </w:tc>
        <w:tc>
          <w:tcPr>
            <w:tcW w:w="0" w:type="auto"/>
            <w:vAlign w:val="center"/>
          </w:tcPr>
          <w:p w:rsidR="000A156F" w:rsidRDefault="00A9721F">
            <w:pPr>
              <w:pStyle w:val="TableBodyText"/>
            </w:pPr>
            <w:r>
              <w:t>PRC Envelope #7 Rotated 230 x 160 mm</w:t>
            </w:r>
          </w:p>
        </w:tc>
      </w:tr>
      <w:tr w:rsidR="000A156F" w:rsidTr="000A156F">
        <w:tc>
          <w:tcPr>
            <w:tcW w:w="0" w:type="auto"/>
            <w:vAlign w:val="center"/>
          </w:tcPr>
          <w:p w:rsidR="000A156F" w:rsidRDefault="00A9721F">
            <w:pPr>
              <w:pStyle w:val="TableBodyText"/>
            </w:pPr>
            <w:r>
              <w:t>116</w:t>
            </w:r>
          </w:p>
        </w:tc>
        <w:tc>
          <w:tcPr>
            <w:tcW w:w="0" w:type="auto"/>
            <w:vAlign w:val="center"/>
          </w:tcPr>
          <w:p w:rsidR="000A156F" w:rsidRDefault="00A9721F">
            <w:pPr>
              <w:pStyle w:val="TableBodyText"/>
            </w:pPr>
            <w:r>
              <w:t>PRC Envelope #8 Rotated 309 x 120 mm</w:t>
            </w:r>
          </w:p>
        </w:tc>
      </w:tr>
      <w:tr w:rsidR="000A156F" w:rsidTr="000A156F">
        <w:tc>
          <w:tcPr>
            <w:tcW w:w="0" w:type="auto"/>
            <w:vAlign w:val="center"/>
          </w:tcPr>
          <w:p w:rsidR="000A156F" w:rsidRDefault="00A9721F">
            <w:pPr>
              <w:pStyle w:val="TableBodyText"/>
            </w:pPr>
            <w:r>
              <w:t>117</w:t>
            </w:r>
          </w:p>
        </w:tc>
        <w:tc>
          <w:tcPr>
            <w:tcW w:w="0" w:type="auto"/>
            <w:vAlign w:val="center"/>
          </w:tcPr>
          <w:p w:rsidR="000A156F" w:rsidRDefault="00A9721F">
            <w:pPr>
              <w:pStyle w:val="TableBodyText"/>
            </w:pPr>
            <w:r>
              <w:t>PRC Envelope #9 Rotated 324 x 229 mm</w:t>
            </w:r>
          </w:p>
        </w:tc>
      </w:tr>
      <w:tr w:rsidR="000A156F" w:rsidTr="000A156F">
        <w:tc>
          <w:tcPr>
            <w:tcW w:w="0" w:type="auto"/>
            <w:vAlign w:val="center"/>
          </w:tcPr>
          <w:p w:rsidR="000A156F" w:rsidRDefault="00A9721F">
            <w:pPr>
              <w:pStyle w:val="TableBodyText"/>
            </w:pPr>
            <w:r>
              <w:t>118</w:t>
            </w:r>
          </w:p>
        </w:tc>
        <w:tc>
          <w:tcPr>
            <w:tcW w:w="0" w:type="auto"/>
            <w:vAlign w:val="center"/>
          </w:tcPr>
          <w:p w:rsidR="000A156F" w:rsidRDefault="00A9721F">
            <w:pPr>
              <w:pStyle w:val="TableBodyText"/>
            </w:pPr>
            <w:r>
              <w:t>PRC Envelope #10 Rotated 458 x 324 mm</w:t>
            </w:r>
          </w:p>
        </w:tc>
      </w:tr>
    </w:tbl>
    <w:p w:rsidR="000A156F" w:rsidRDefault="000A156F"/>
    <w:p w:rsidR="000A156F" w:rsidRDefault="00A9721F">
      <w:pPr>
        <w:pStyle w:val="Definition-Field"/>
      </w:pPr>
      <w:r>
        <w:t xml:space="preserve">i.   </w:t>
      </w:r>
      <w:r>
        <w:rPr>
          <w:i/>
        </w:rPr>
        <w:t xml:space="preserve">The standard states that </w:t>
      </w:r>
      <w:r>
        <w:rPr>
          <w:i/>
        </w:rPr>
        <w:t>paperHeight is a valid attribute, and that when it is present, paperSize shall be ignored.</w:t>
      </w:r>
    </w:p>
    <w:p w:rsidR="000A156F" w:rsidRDefault="00A9721F">
      <w:pPr>
        <w:pStyle w:val="Definition-Field2"/>
      </w:pPr>
      <w:r>
        <w:t>Office ignores the paperHeight attribute if it is present, and does not ignore the paperSize attribute if paperHeight is present.</w:t>
      </w:r>
    </w:p>
    <w:p w:rsidR="000A156F" w:rsidRDefault="00A9721F">
      <w:pPr>
        <w:pStyle w:val="Definition-Field"/>
      </w:pPr>
      <w:r>
        <w:t xml:space="preserve">j.   </w:t>
      </w:r>
      <w:r>
        <w:rPr>
          <w:i/>
        </w:rPr>
        <w:t>The standard states that paper</w:t>
      </w:r>
      <w:r>
        <w:rPr>
          <w:i/>
        </w:rPr>
        <w:t>Width is a valid attribute, and that when it is present, paperSize shall be ignored.</w:t>
      </w:r>
    </w:p>
    <w:p w:rsidR="000A156F" w:rsidRDefault="00A9721F">
      <w:pPr>
        <w:pStyle w:val="Definition-Field2"/>
      </w:pPr>
      <w:r>
        <w:t>Office ignores the paperWidth attribute if it is present, and does not ignore the paperSize attribute if paperWidth is present.</w:t>
      </w:r>
    </w:p>
    <w:p w:rsidR="000A156F" w:rsidRDefault="00A9721F">
      <w:pPr>
        <w:pStyle w:val="Heading3"/>
      </w:pPr>
      <w:bookmarkStart w:id="1298" w:name="section_a3f0dcd307ed4e7bb08374ce6de5f195"/>
      <w:bookmarkStart w:id="1299" w:name="_Toc181683675"/>
      <w:r>
        <w:t>Part 1 Section 18.3.1.64, pageSetup (Chart Sheet Page Setup)</w:t>
      </w:r>
      <w:bookmarkEnd w:id="1298"/>
      <w:bookmarkEnd w:id="1299"/>
      <w:r>
        <w:fldChar w:fldCharType="begin"/>
      </w:r>
      <w:r>
        <w:instrText xml:space="preserve"> XE "pageSetup (Chart Sheet Page Setup)" </w:instrText>
      </w:r>
      <w:r>
        <w:fldChar w:fldCharType="end"/>
      </w:r>
    </w:p>
    <w:p w:rsidR="000A156F" w:rsidRDefault="00A9721F">
      <w:pPr>
        <w:pStyle w:val="Definition-Field"/>
      </w:pPr>
      <w:r>
        <w:t xml:space="preserve">a.   </w:t>
      </w:r>
      <w:r>
        <w:rPr>
          <w:i/>
        </w:rPr>
        <w:t>The standard states that the values of the firstPageNumber attribute are defined by the XML Schema unsignedInt datatype.</w:t>
      </w:r>
    </w:p>
    <w:p w:rsidR="000A156F" w:rsidRDefault="00A9721F">
      <w:pPr>
        <w:pStyle w:val="Definition-Field2"/>
      </w:pPr>
      <w:r>
        <w:t xml:space="preserve">Excel restricts the value </w:t>
      </w:r>
      <w:r>
        <w:t>of this attribute to be at most 65534.</w:t>
      </w:r>
    </w:p>
    <w:p w:rsidR="000A156F" w:rsidRDefault="00A9721F">
      <w:pPr>
        <w:pStyle w:val="Definition-Field"/>
      </w:pPr>
      <w:r>
        <w:t xml:space="preserve">b.   </w:t>
      </w:r>
      <w:r>
        <w:rPr>
          <w:i/>
        </w:rPr>
        <w:t>The standard states that the values of the copies attribute are defined by the XML Schema unsignedInt datatype.</w:t>
      </w:r>
    </w:p>
    <w:p w:rsidR="000A156F" w:rsidRDefault="00A9721F">
      <w:pPr>
        <w:pStyle w:val="Definition-Field2"/>
      </w:pPr>
      <w:r>
        <w:t>Excel restricts the value of this attribute to be at least 1 and at most 32767.</w:t>
      </w:r>
    </w:p>
    <w:p w:rsidR="000A156F" w:rsidRDefault="00A9721F">
      <w:pPr>
        <w:pStyle w:val="Definition-Field"/>
      </w:pPr>
      <w:r>
        <w:t xml:space="preserve">c.   </w:t>
      </w:r>
      <w:r>
        <w:rPr>
          <w:i/>
        </w:rPr>
        <w:t>The standard st</w:t>
      </w:r>
      <w:r>
        <w:rPr>
          <w:i/>
        </w:rPr>
        <w:t>ates that the values of the horizontalDpi attribute are defined by the XML Schema unsignedInt datatype.</w:t>
      </w:r>
    </w:p>
    <w:p w:rsidR="000A156F" w:rsidRDefault="00A9721F">
      <w:pPr>
        <w:pStyle w:val="Definition-Field2"/>
      </w:pPr>
      <w:r>
        <w:t>Excel restricts the value of this attribute to be at least 1.</w:t>
      </w:r>
    </w:p>
    <w:p w:rsidR="000A156F" w:rsidRDefault="00A9721F">
      <w:pPr>
        <w:pStyle w:val="Definition-Field"/>
      </w:pPr>
      <w:r>
        <w:lastRenderedPageBreak/>
        <w:t xml:space="preserve">d.   </w:t>
      </w:r>
      <w:r>
        <w:rPr>
          <w:i/>
        </w:rPr>
        <w:t>The standard states that the values of the verticalDpi attribute are defined by the X</w:t>
      </w:r>
      <w:r>
        <w:rPr>
          <w:i/>
        </w:rPr>
        <w:t>ML Schema unsignedInt datatype.</w:t>
      </w:r>
    </w:p>
    <w:p w:rsidR="000A156F" w:rsidRDefault="00A9721F">
      <w:pPr>
        <w:pStyle w:val="Definition-Field2"/>
      </w:pPr>
      <w:r>
        <w:t>Excel restricts the value of this attribute to be at least 1.</w:t>
      </w:r>
    </w:p>
    <w:p w:rsidR="000A156F" w:rsidRDefault="00A9721F">
      <w:pPr>
        <w:pStyle w:val="Definition-Field"/>
      </w:pPr>
      <w:r>
        <w:t xml:space="preserve">e.   </w:t>
      </w:r>
      <w:r>
        <w:rPr>
          <w:i/>
        </w:rPr>
        <w:t>The standard states that the paperSize attribute allows values as defined in the table.</w:t>
      </w:r>
    </w:p>
    <w:p w:rsidR="000A156F" w:rsidRDefault="00A9721F">
      <w:r>
        <w:t>The paperSize attribute specifies the paper size according to the fol</w:t>
      </w:r>
      <w:r>
        <w:t>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Meaning</w:t>
            </w:r>
          </w:p>
        </w:tc>
      </w:tr>
      <w:tr w:rsidR="000A156F" w:rsidTr="000A156F">
        <w:tc>
          <w:tcPr>
            <w:tcW w:w="0" w:type="auto"/>
            <w:vAlign w:val="center"/>
          </w:tcPr>
          <w:p w:rsidR="000A156F" w:rsidRDefault="00A9721F">
            <w:pPr>
              <w:pStyle w:val="TableBodyText"/>
            </w:pPr>
            <w:r>
              <w:t>1</w:t>
            </w:r>
          </w:p>
        </w:tc>
        <w:tc>
          <w:tcPr>
            <w:tcW w:w="0" w:type="auto"/>
            <w:vAlign w:val="center"/>
          </w:tcPr>
          <w:p w:rsidR="000A156F" w:rsidRDefault="00A9721F">
            <w:pPr>
              <w:pStyle w:val="TableBodyText"/>
            </w:pPr>
            <w:r>
              <w:t>US Letter 8 1/2 x 11 in</w:t>
            </w:r>
          </w:p>
        </w:tc>
      </w:tr>
      <w:tr w:rsidR="000A156F" w:rsidTr="000A156F">
        <w:tc>
          <w:tcPr>
            <w:tcW w:w="0" w:type="auto"/>
            <w:vAlign w:val="center"/>
          </w:tcPr>
          <w:p w:rsidR="000A156F" w:rsidRDefault="00A9721F">
            <w:pPr>
              <w:pStyle w:val="TableBodyText"/>
            </w:pPr>
            <w:r>
              <w:t>2</w:t>
            </w:r>
          </w:p>
        </w:tc>
        <w:tc>
          <w:tcPr>
            <w:tcW w:w="0" w:type="auto"/>
            <w:vAlign w:val="center"/>
          </w:tcPr>
          <w:p w:rsidR="000A156F" w:rsidRDefault="00A9721F">
            <w:pPr>
              <w:pStyle w:val="TableBodyText"/>
            </w:pPr>
            <w:r>
              <w:t>US Letter Small 8 1/2 x 11 in</w:t>
            </w:r>
          </w:p>
        </w:tc>
      </w:tr>
      <w:tr w:rsidR="000A156F" w:rsidTr="000A156F">
        <w:tc>
          <w:tcPr>
            <w:tcW w:w="0" w:type="auto"/>
            <w:vAlign w:val="center"/>
          </w:tcPr>
          <w:p w:rsidR="000A156F" w:rsidRDefault="00A9721F">
            <w:pPr>
              <w:pStyle w:val="TableBodyText"/>
            </w:pPr>
            <w:r>
              <w:t>3</w:t>
            </w:r>
          </w:p>
        </w:tc>
        <w:tc>
          <w:tcPr>
            <w:tcW w:w="0" w:type="auto"/>
            <w:vAlign w:val="center"/>
          </w:tcPr>
          <w:p w:rsidR="000A156F" w:rsidRDefault="00A9721F">
            <w:pPr>
              <w:pStyle w:val="TableBodyText"/>
            </w:pPr>
            <w:r>
              <w:t>US Tabloid 11 x 17 in</w:t>
            </w:r>
          </w:p>
        </w:tc>
      </w:tr>
      <w:tr w:rsidR="000A156F" w:rsidTr="000A156F">
        <w:tc>
          <w:tcPr>
            <w:tcW w:w="0" w:type="auto"/>
            <w:vAlign w:val="center"/>
          </w:tcPr>
          <w:p w:rsidR="000A156F" w:rsidRDefault="00A9721F">
            <w:pPr>
              <w:pStyle w:val="TableBodyText"/>
            </w:pPr>
            <w:r>
              <w:t>4</w:t>
            </w:r>
          </w:p>
        </w:tc>
        <w:tc>
          <w:tcPr>
            <w:tcW w:w="0" w:type="auto"/>
            <w:vAlign w:val="center"/>
          </w:tcPr>
          <w:p w:rsidR="000A156F" w:rsidRDefault="00A9721F">
            <w:pPr>
              <w:pStyle w:val="TableBodyText"/>
            </w:pPr>
            <w:r>
              <w:t xml:space="preserve">US Ledger 17 x 11 in </w:t>
            </w:r>
          </w:p>
        </w:tc>
      </w:tr>
      <w:tr w:rsidR="000A156F" w:rsidTr="000A156F">
        <w:tc>
          <w:tcPr>
            <w:tcW w:w="0" w:type="auto"/>
            <w:vAlign w:val="center"/>
          </w:tcPr>
          <w:p w:rsidR="000A156F" w:rsidRDefault="00A9721F">
            <w:pPr>
              <w:pStyle w:val="TableBodyText"/>
            </w:pPr>
            <w:r>
              <w:t>5</w:t>
            </w:r>
          </w:p>
        </w:tc>
        <w:tc>
          <w:tcPr>
            <w:tcW w:w="0" w:type="auto"/>
            <w:vAlign w:val="center"/>
          </w:tcPr>
          <w:p w:rsidR="000A156F" w:rsidRDefault="00A9721F">
            <w:pPr>
              <w:pStyle w:val="TableBodyText"/>
            </w:pPr>
            <w:r>
              <w:t>US Legal 8 1/2 x 14 in</w:t>
            </w:r>
          </w:p>
        </w:tc>
      </w:tr>
      <w:tr w:rsidR="000A156F" w:rsidTr="000A156F">
        <w:tc>
          <w:tcPr>
            <w:tcW w:w="0" w:type="auto"/>
            <w:vAlign w:val="center"/>
          </w:tcPr>
          <w:p w:rsidR="000A156F" w:rsidRDefault="00A9721F">
            <w:pPr>
              <w:pStyle w:val="TableBodyText"/>
            </w:pPr>
            <w:r>
              <w:t>6</w:t>
            </w:r>
          </w:p>
        </w:tc>
        <w:tc>
          <w:tcPr>
            <w:tcW w:w="0" w:type="auto"/>
            <w:vAlign w:val="center"/>
          </w:tcPr>
          <w:p w:rsidR="000A156F" w:rsidRDefault="00A9721F">
            <w:pPr>
              <w:pStyle w:val="TableBodyText"/>
            </w:pPr>
            <w:r>
              <w:t>US Statement 5 1/2 x 8 1/2 in</w:t>
            </w:r>
          </w:p>
        </w:tc>
      </w:tr>
      <w:tr w:rsidR="000A156F" w:rsidTr="000A156F">
        <w:tc>
          <w:tcPr>
            <w:tcW w:w="0" w:type="auto"/>
            <w:vAlign w:val="center"/>
          </w:tcPr>
          <w:p w:rsidR="000A156F" w:rsidRDefault="00A9721F">
            <w:pPr>
              <w:pStyle w:val="TableBodyText"/>
            </w:pPr>
            <w:r>
              <w:t>7</w:t>
            </w:r>
          </w:p>
        </w:tc>
        <w:tc>
          <w:tcPr>
            <w:tcW w:w="0" w:type="auto"/>
            <w:vAlign w:val="center"/>
          </w:tcPr>
          <w:p w:rsidR="000A156F" w:rsidRDefault="00A9721F">
            <w:pPr>
              <w:pStyle w:val="TableBodyText"/>
            </w:pPr>
            <w:r>
              <w:t>US Executive 7 1/4 x 10 1/2 in</w:t>
            </w:r>
          </w:p>
        </w:tc>
      </w:tr>
      <w:tr w:rsidR="000A156F" w:rsidTr="000A156F">
        <w:tc>
          <w:tcPr>
            <w:tcW w:w="0" w:type="auto"/>
            <w:vAlign w:val="center"/>
          </w:tcPr>
          <w:p w:rsidR="000A156F" w:rsidRDefault="00A9721F">
            <w:pPr>
              <w:pStyle w:val="TableBodyText"/>
            </w:pPr>
            <w:r>
              <w:t>8</w:t>
            </w:r>
          </w:p>
        </w:tc>
        <w:tc>
          <w:tcPr>
            <w:tcW w:w="0" w:type="auto"/>
            <w:vAlign w:val="center"/>
          </w:tcPr>
          <w:p w:rsidR="000A156F" w:rsidRDefault="00A9721F">
            <w:pPr>
              <w:pStyle w:val="TableBodyText"/>
            </w:pPr>
            <w:r>
              <w:t>A3 297 x 420 mm</w:t>
            </w:r>
          </w:p>
        </w:tc>
      </w:tr>
      <w:tr w:rsidR="000A156F" w:rsidTr="000A156F">
        <w:tc>
          <w:tcPr>
            <w:tcW w:w="0" w:type="auto"/>
            <w:vAlign w:val="center"/>
          </w:tcPr>
          <w:p w:rsidR="000A156F" w:rsidRDefault="00A9721F">
            <w:pPr>
              <w:pStyle w:val="TableBodyText"/>
            </w:pPr>
            <w:r>
              <w:t>9</w:t>
            </w:r>
          </w:p>
        </w:tc>
        <w:tc>
          <w:tcPr>
            <w:tcW w:w="0" w:type="auto"/>
            <w:vAlign w:val="center"/>
          </w:tcPr>
          <w:p w:rsidR="000A156F" w:rsidRDefault="00A9721F">
            <w:pPr>
              <w:pStyle w:val="TableBodyText"/>
            </w:pPr>
            <w:r>
              <w:t>A4 210 x 297 mm</w:t>
            </w:r>
          </w:p>
        </w:tc>
      </w:tr>
      <w:tr w:rsidR="000A156F" w:rsidTr="000A156F">
        <w:tc>
          <w:tcPr>
            <w:tcW w:w="0" w:type="auto"/>
            <w:vAlign w:val="center"/>
          </w:tcPr>
          <w:p w:rsidR="000A156F" w:rsidRDefault="00A9721F">
            <w:pPr>
              <w:pStyle w:val="TableBodyText"/>
            </w:pPr>
            <w:r>
              <w:t>10</w:t>
            </w:r>
          </w:p>
        </w:tc>
        <w:tc>
          <w:tcPr>
            <w:tcW w:w="0" w:type="auto"/>
            <w:vAlign w:val="center"/>
          </w:tcPr>
          <w:p w:rsidR="000A156F" w:rsidRDefault="00A9721F">
            <w:pPr>
              <w:pStyle w:val="TableBodyText"/>
            </w:pPr>
            <w:r>
              <w:t>A4 Small 210 x 297 mm</w:t>
            </w:r>
          </w:p>
        </w:tc>
      </w:tr>
      <w:tr w:rsidR="000A156F" w:rsidTr="000A156F">
        <w:tc>
          <w:tcPr>
            <w:tcW w:w="0" w:type="auto"/>
            <w:vAlign w:val="center"/>
          </w:tcPr>
          <w:p w:rsidR="000A156F" w:rsidRDefault="00A9721F">
            <w:pPr>
              <w:pStyle w:val="TableBodyText"/>
            </w:pPr>
            <w:r>
              <w:t>11</w:t>
            </w:r>
          </w:p>
        </w:tc>
        <w:tc>
          <w:tcPr>
            <w:tcW w:w="0" w:type="auto"/>
            <w:vAlign w:val="center"/>
          </w:tcPr>
          <w:p w:rsidR="000A156F" w:rsidRDefault="00A9721F">
            <w:pPr>
              <w:pStyle w:val="TableBodyText"/>
            </w:pPr>
            <w:r>
              <w:t>A5 148 x 210 mm</w:t>
            </w:r>
          </w:p>
        </w:tc>
      </w:tr>
      <w:tr w:rsidR="000A156F" w:rsidTr="000A156F">
        <w:tc>
          <w:tcPr>
            <w:tcW w:w="0" w:type="auto"/>
            <w:vAlign w:val="center"/>
          </w:tcPr>
          <w:p w:rsidR="000A156F" w:rsidRDefault="00A9721F">
            <w:pPr>
              <w:pStyle w:val="TableBodyText"/>
            </w:pPr>
            <w:r>
              <w:t>12</w:t>
            </w:r>
          </w:p>
        </w:tc>
        <w:tc>
          <w:tcPr>
            <w:tcW w:w="0" w:type="auto"/>
            <w:vAlign w:val="center"/>
          </w:tcPr>
          <w:p w:rsidR="000A156F" w:rsidRDefault="00A9721F">
            <w:pPr>
              <w:pStyle w:val="TableBodyText"/>
            </w:pPr>
            <w:r>
              <w:t>B4 (JIS) 250 x 354</w:t>
            </w:r>
          </w:p>
        </w:tc>
      </w:tr>
      <w:tr w:rsidR="000A156F" w:rsidTr="000A156F">
        <w:tc>
          <w:tcPr>
            <w:tcW w:w="0" w:type="auto"/>
            <w:vAlign w:val="center"/>
          </w:tcPr>
          <w:p w:rsidR="000A156F" w:rsidRDefault="00A9721F">
            <w:pPr>
              <w:pStyle w:val="TableBodyText"/>
            </w:pPr>
            <w:r>
              <w:t>13</w:t>
            </w:r>
          </w:p>
        </w:tc>
        <w:tc>
          <w:tcPr>
            <w:tcW w:w="0" w:type="auto"/>
            <w:vAlign w:val="center"/>
          </w:tcPr>
          <w:p w:rsidR="000A156F" w:rsidRDefault="00A9721F">
            <w:pPr>
              <w:pStyle w:val="TableBodyText"/>
            </w:pPr>
            <w:r>
              <w:t>B5 (JIS) 182 x 257 mm</w:t>
            </w:r>
          </w:p>
        </w:tc>
      </w:tr>
      <w:tr w:rsidR="000A156F" w:rsidTr="000A156F">
        <w:tc>
          <w:tcPr>
            <w:tcW w:w="0" w:type="auto"/>
            <w:vAlign w:val="center"/>
          </w:tcPr>
          <w:p w:rsidR="000A156F" w:rsidRDefault="00A9721F">
            <w:pPr>
              <w:pStyle w:val="TableBodyText"/>
            </w:pPr>
            <w:r>
              <w:t>14</w:t>
            </w:r>
          </w:p>
        </w:tc>
        <w:tc>
          <w:tcPr>
            <w:tcW w:w="0" w:type="auto"/>
            <w:vAlign w:val="center"/>
          </w:tcPr>
          <w:p w:rsidR="000A156F" w:rsidRDefault="00A9721F">
            <w:pPr>
              <w:pStyle w:val="TableBodyText"/>
            </w:pPr>
            <w:r>
              <w:t>Folio 8 1/2 x 13 in</w:t>
            </w:r>
          </w:p>
        </w:tc>
      </w:tr>
      <w:tr w:rsidR="000A156F" w:rsidTr="000A156F">
        <w:tc>
          <w:tcPr>
            <w:tcW w:w="0" w:type="auto"/>
            <w:vAlign w:val="center"/>
          </w:tcPr>
          <w:p w:rsidR="000A156F" w:rsidRDefault="00A9721F">
            <w:pPr>
              <w:pStyle w:val="TableBodyText"/>
            </w:pPr>
            <w:r>
              <w:t>15</w:t>
            </w:r>
          </w:p>
        </w:tc>
        <w:tc>
          <w:tcPr>
            <w:tcW w:w="0" w:type="auto"/>
            <w:vAlign w:val="center"/>
          </w:tcPr>
          <w:p w:rsidR="000A156F" w:rsidRDefault="00A9721F">
            <w:pPr>
              <w:pStyle w:val="TableBodyText"/>
            </w:pPr>
            <w:r>
              <w:t>Quarto 215 x 275 mm</w:t>
            </w:r>
          </w:p>
        </w:tc>
      </w:tr>
      <w:tr w:rsidR="000A156F" w:rsidTr="000A156F">
        <w:tc>
          <w:tcPr>
            <w:tcW w:w="0" w:type="auto"/>
            <w:vAlign w:val="center"/>
          </w:tcPr>
          <w:p w:rsidR="000A156F" w:rsidRDefault="00A9721F">
            <w:pPr>
              <w:pStyle w:val="TableBodyText"/>
            </w:pPr>
            <w:r>
              <w:t>16</w:t>
            </w:r>
          </w:p>
        </w:tc>
        <w:tc>
          <w:tcPr>
            <w:tcW w:w="0" w:type="auto"/>
            <w:vAlign w:val="center"/>
          </w:tcPr>
          <w:p w:rsidR="000A156F" w:rsidRDefault="00A9721F">
            <w:pPr>
              <w:pStyle w:val="TableBodyText"/>
            </w:pPr>
            <w:r>
              <w:t>10 x 14 in</w:t>
            </w:r>
          </w:p>
        </w:tc>
      </w:tr>
      <w:tr w:rsidR="000A156F" w:rsidTr="000A156F">
        <w:tc>
          <w:tcPr>
            <w:tcW w:w="0" w:type="auto"/>
            <w:vAlign w:val="center"/>
          </w:tcPr>
          <w:p w:rsidR="000A156F" w:rsidRDefault="00A9721F">
            <w:pPr>
              <w:pStyle w:val="TableBodyText"/>
            </w:pPr>
            <w:r>
              <w:t>17</w:t>
            </w:r>
          </w:p>
        </w:tc>
        <w:tc>
          <w:tcPr>
            <w:tcW w:w="0" w:type="auto"/>
            <w:vAlign w:val="center"/>
          </w:tcPr>
          <w:p w:rsidR="000A156F" w:rsidRDefault="00A9721F">
            <w:pPr>
              <w:pStyle w:val="TableBodyText"/>
            </w:pPr>
            <w:r>
              <w:t>11 x 17 in</w:t>
            </w:r>
          </w:p>
        </w:tc>
      </w:tr>
      <w:tr w:rsidR="000A156F" w:rsidTr="000A156F">
        <w:tc>
          <w:tcPr>
            <w:tcW w:w="0" w:type="auto"/>
            <w:vAlign w:val="center"/>
          </w:tcPr>
          <w:p w:rsidR="000A156F" w:rsidRDefault="00A9721F">
            <w:pPr>
              <w:pStyle w:val="TableBodyText"/>
            </w:pPr>
            <w:r>
              <w:t>18</w:t>
            </w:r>
          </w:p>
        </w:tc>
        <w:tc>
          <w:tcPr>
            <w:tcW w:w="0" w:type="auto"/>
            <w:vAlign w:val="center"/>
          </w:tcPr>
          <w:p w:rsidR="000A156F" w:rsidRDefault="00A9721F">
            <w:pPr>
              <w:pStyle w:val="TableBodyText"/>
            </w:pPr>
            <w:r>
              <w:t>US Note 8 1/2 x 11 in</w:t>
            </w:r>
          </w:p>
        </w:tc>
      </w:tr>
      <w:tr w:rsidR="000A156F" w:rsidTr="000A156F">
        <w:tc>
          <w:tcPr>
            <w:tcW w:w="0" w:type="auto"/>
            <w:vAlign w:val="center"/>
          </w:tcPr>
          <w:p w:rsidR="000A156F" w:rsidRDefault="00A9721F">
            <w:pPr>
              <w:pStyle w:val="TableBodyText"/>
            </w:pPr>
            <w:r>
              <w:t>19</w:t>
            </w:r>
          </w:p>
        </w:tc>
        <w:tc>
          <w:tcPr>
            <w:tcW w:w="0" w:type="auto"/>
            <w:vAlign w:val="center"/>
          </w:tcPr>
          <w:p w:rsidR="000A156F" w:rsidRDefault="00A9721F">
            <w:pPr>
              <w:pStyle w:val="TableBodyText"/>
            </w:pPr>
            <w:r>
              <w:t>US Envelope #9 3 7/8 x 8 7/8</w:t>
            </w:r>
          </w:p>
        </w:tc>
      </w:tr>
      <w:tr w:rsidR="000A156F" w:rsidTr="000A156F">
        <w:tc>
          <w:tcPr>
            <w:tcW w:w="0" w:type="auto"/>
            <w:vAlign w:val="center"/>
          </w:tcPr>
          <w:p w:rsidR="000A156F" w:rsidRDefault="00A9721F">
            <w:pPr>
              <w:pStyle w:val="TableBodyText"/>
            </w:pPr>
            <w:r>
              <w:t>20</w:t>
            </w:r>
          </w:p>
        </w:tc>
        <w:tc>
          <w:tcPr>
            <w:tcW w:w="0" w:type="auto"/>
            <w:vAlign w:val="center"/>
          </w:tcPr>
          <w:p w:rsidR="000A156F" w:rsidRDefault="00A9721F">
            <w:pPr>
              <w:pStyle w:val="TableBodyText"/>
            </w:pPr>
            <w:r>
              <w:t>US Envelope #10 4 1/8 x 9 1/2</w:t>
            </w:r>
          </w:p>
        </w:tc>
      </w:tr>
      <w:tr w:rsidR="000A156F" w:rsidTr="000A156F">
        <w:tc>
          <w:tcPr>
            <w:tcW w:w="0" w:type="auto"/>
            <w:vAlign w:val="center"/>
          </w:tcPr>
          <w:p w:rsidR="000A156F" w:rsidRDefault="00A9721F">
            <w:pPr>
              <w:pStyle w:val="TableBodyText"/>
            </w:pPr>
            <w:r>
              <w:t>21</w:t>
            </w:r>
          </w:p>
        </w:tc>
        <w:tc>
          <w:tcPr>
            <w:tcW w:w="0" w:type="auto"/>
            <w:vAlign w:val="center"/>
          </w:tcPr>
          <w:p w:rsidR="000A156F" w:rsidRDefault="00A9721F">
            <w:pPr>
              <w:pStyle w:val="TableBodyText"/>
            </w:pPr>
            <w:r>
              <w:t>US Envelope #11 4 1/2 x 10 3/8</w:t>
            </w:r>
          </w:p>
        </w:tc>
      </w:tr>
      <w:tr w:rsidR="000A156F" w:rsidTr="000A156F">
        <w:tc>
          <w:tcPr>
            <w:tcW w:w="0" w:type="auto"/>
            <w:vAlign w:val="center"/>
          </w:tcPr>
          <w:p w:rsidR="000A156F" w:rsidRDefault="00A9721F">
            <w:pPr>
              <w:pStyle w:val="TableBodyText"/>
            </w:pPr>
            <w:r>
              <w:t>22</w:t>
            </w:r>
          </w:p>
        </w:tc>
        <w:tc>
          <w:tcPr>
            <w:tcW w:w="0" w:type="auto"/>
            <w:vAlign w:val="center"/>
          </w:tcPr>
          <w:p w:rsidR="000A156F" w:rsidRDefault="00A9721F">
            <w:pPr>
              <w:pStyle w:val="TableBodyText"/>
            </w:pPr>
            <w:r>
              <w:t>US Envelope #12 4 \276 x 11</w:t>
            </w:r>
          </w:p>
        </w:tc>
      </w:tr>
      <w:tr w:rsidR="000A156F" w:rsidTr="000A156F">
        <w:tc>
          <w:tcPr>
            <w:tcW w:w="0" w:type="auto"/>
            <w:vAlign w:val="center"/>
          </w:tcPr>
          <w:p w:rsidR="000A156F" w:rsidRDefault="00A9721F">
            <w:pPr>
              <w:pStyle w:val="TableBodyText"/>
            </w:pPr>
            <w:r>
              <w:t>23</w:t>
            </w:r>
          </w:p>
        </w:tc>
        <w:tc>
          <w:tcPr>
            <w:tcW w:w="0" w:type="auto"/>
            <w:vAlign w:val="center"/>
          </w:tcPr>
          <w:p w:rsidR="000A156F" w:rsidRDefault="00A9721F">
            <w:pPr>
              <w:pStyle w:val="TableBodyText"/>
            </w:pPr>
            <w:r>
              <w:t xml:space="preserve">US Envelope #14 5 </w:t>
            </w:r>
            <w:r>
              <w:t>x 11 1/2</w:t>
            </w:r>
          </w:p>
        </w:tc>
      </w:tr>
      <w:tr w:rsidR="000A156F" w:rsidTr="000A156F">
        <w:tc>
          <w:tcPr>
            <w:tcW w:w="0" w:type="auto"/>
            <w:vAlign w:val="center"/>
          </w:tcPr>
          <w:p w:rsidR="000A156F" w:rsidRDefault="00A9721F">
            <w:pPr>
              <w:pStyle w:val="TableBodyText"/>
            </w:pPr>
            <w:r>
              <w:t>24</w:t>
            </w:r>
          </w:p>
        </w:tc>
        <w:tc>
          <w:tcPr>
            <w:tcW w:w="0" w:type="auto"/>
            <w:vAlign w:val="center"/>
          </w:tcPr>
          <w:p w:rsidR="000A156F" w:rsidRDefault="00A9721F">
            <w:pPr>
              <w:pStyle w:val="TableBodyText"/>
            </w:pPr>
            <w:r>
              <w:t>C size sheet</w:t>
            </w:r>
          </w:p>
        </w:tc>
      </w:tr>
      <w:tr w:rsidR="000A156F" w:rsidTr="000A156F">
        <w:tc>
          <w:tcPr>
            <w:tcW w:w="0" w:type="auto"/>
            <w:vAlign w:val="center"/>
          </w:tcPr>
          <w:p w:rsidR="000A156F" w:rsidRDefault="00A9721F">
            <w:pPr>
              <w:pStyle w:val="TableBodyText"/>
            </w:pPr>
            <w:r>
              <w:t>25</w:t>
            </w:r>
          </w:p>
        </w:tc>
        <w:tc>
          <w:tcPr>
            <w:tcW w:w="0" w:type="auto"/>
            <w:vAlign w:val="center"/>
          </w:tcPr>
          <w:p w:rsidR="000A156F" w:rsidRDefault="00A9721F">
            <w:pPr>
              <w:pStyle w:val="TableBodyText"/>
            </w:pPr>
            <w:r>
              <w:t>D size sheet</w:t>
            </w:r>
          </w:p>
        </w:tc>
      </w:tr>
      <w:tr w:rsidR="000A156F" w:rsidTr="000A156F">
        <w:tc>
          <w:tcPr>
            <w:tcW w:w="0" w:type="auto"/>
            <w:vAlign w:val="center"/>
          </w:tcPr>
          <w:p w:rsidR="000A156F" w:rsidRDefault="00A9721F">
            <w:pPr>
              <w:pStyle w:val="TableBodyText"/>
            </w:pPr>
            <w:r>
              <w:t>26</w:t>
            </w:r>
          </w:p>
        </w:tc>
        <w:tc>
          <w:tcPr>
            <w:tcW w:w="0" w:type="auto"/>
            <w:vAlign w:val="center"/>
          </w:tcPr>
          <w:p w:rsidR="000A156F" w:rsidRDefault="00A9721F">
            <w:pPr>
              <w:pStyle w:val="TableBodyText"/>
            </w:pPr>
            <w:r>
              <w:t>E size sheet</w:t>
            </w:r>
          </w:p>
        </w:tc>
      </w:tr>
      <w:tr w:rsidR="000A156F" w:rsidTr="000A156F">
        <w:tc>
          <w:tcPr>
            <w:tcW w:w="0" w:type="auto"/>
            <w:vAlign w:val="center"/>
          </w:tcPr>
          <w:p w:rsidR="000A156F" w:rsidRDefault="00A9721F">
            <w:pPr>
              <w:pStyle w:val="TableBodyText"/>
            </w:pPr>
            <w:r>
              <w:lastRenderedPageBreak/>
              <w:t>27</w:t>
            </w:r>
          </w:p>
        </w:tc>
        <w:tc>
          <w:tcPr>
            <w:tcW w:w="0" w:type="auto"/>
            <w:vAlign w:val="center"/>
          </w:tcPr>
          <w:p w:rsidR="000A156F" w:rsidRDefault="00A9721F">
            <w:pPr>
              <w:pStyle w:val="TableBodyText"/>
            </w:pPr>
            <w:r>
              <w:t>Envelope DL 110 x 220mm</w:t>
            </w:r>
          </w:p>
        </w:tc>
      </w:tr>
      <w:tr w:rsidR="000A156F" w:rsidTr="000A156F">
        <w:tc>
          <w:tcPr>
            <w:tcW w:w="0" w:type="auto"/>
            <w:vAlign w:val="center"/>
          </w:tcPr>
          <w:p w:rsidR="000A156F" w:rsidRDefault="00A9721F">
            <w:pPr>
              <w:pStyle w:val="TableBodyText"/>
            </w:pPr>
            <w:r>
              <w:t>28</w:t>
            </w:r>
          </w:p>
        </w:tc>
        <w:tc>
          <w:tcPr>
            <w:tcW w:w="0" w:type="auto"/>
            <w:vAlign w:val="center"/>
          </w:tcPr>
          <w:p w:rsidR="000A156F" w:rsidRDefault="00A9721F">
            <w:pPr>
              <w:pStyle w:val="TableBodyText"/>
            </w:pPr>
            <w:r>
              <w:t>Envelope C5 162 x 229 mm</w:t>
            </w:r>
          </w:p>
        </w:tc>
      </w:tr>
      <w:tr w:rsidR="000A156F" w:rsidTr="000A156F">
        <w:tc>
          <w:tcPr>
            <w:tcW w:w="0" w:type="auto"/>
            <w:vAlign w:val="center"/>
          </w:tcPr>
          <w:p w:rsidR="000A156F" w:rsidRDefault="00A9721F">
            <w:pPr>
              <w:pStyle w:val="TableBodyText"/>
            </w:pPr>
            <w:r>
              <w:t>29</w:t>
            </w:r>
          </w:p>
        </w:tc>
        <w:tc>
          <w:tcPr>
            <w:tcW w:w="0" w:type="auto"/>
            <w:vAlign w:val="center"/>
          </w:tcPr>
          <w:p w:rsidR="000A156F" w:rsidRDefault="00A9721F">
            <w:pPr>
              <w:pStyle w:val="TableBodyText"/>
            </w:pPr>
            <w:r>
              <w:t>Envelope C3 324 x 458 mm</w:t>
            </w:r>
          </w:p>
        </w:tc>
      </w:tr>
      <w:tr w:rsidR="000A156F" w:rsidTr="000A156F">
        <w:tc>
          <w:tcPr>
            <w:tcW w:w="0" w:type="auto"/>
            <w:vAlign w:val="center"/>
          </w:tcPr>
          <w:p w:rsidR="000A156F" w:rsidRDefault="00A9721F">
            <w:pPr>
              <w:pStyle w:val="TableBodyText"/>
            </w:pPr>
            <w:r>
              <w:t>30</w:t>
            </w:r>
          </w:p>
        </w:tc>
        <w:tc>
          <w:tcPr>
            <w:tcW w:w="0" w:type="auto"/>
            <w:vAlign w:val="center"/>
          </w:tcPr>
          <w:p w:rsidR="000A156F" w:rsidRDefault="00A9721F">
            <w:pPr>
              <w:pStyle w:val="TableBodyText"/>
            </w:pPr>
            <w:r>
              <w:t>Envelope C4 229 x 324 mm</w:t>
            </w:r>
          </w:p>
        </w:tc>
      </w:tr>
      <w:tr w:rsidR="000A156F" w:rsidTr="000A156F">
        <w:tc>
          <w:tcPr>
            <w:tcW w:w="0" w:type="auto"/>
            <w:vAlign w:val="center"/>
          </w:tcPr>
          <w:p w:rsidR="000A156F" w:rsidRDefault="00A9721F">
            <w:pPr>
              <w:pStyle w:val="TableBodyText"/>
            </w:pPr>
            <w:r>
              <w:t>31</w:t>
            </w:r>
          </w:p>
        </w:tc>
        <w:tc>
          <w:tcPr>
            <w:tcW w:w="0" w:type="auto"/>
            <w:vAlign w:val="center"/>
          </w:tcPr>
          <w:p w:rsidR="000A156F" w:rsidRDefault="00A9721F">
            <w:pPr>
              <w:pStyle w:val="TableBodyText"/>
            </w:pPr>
            <w:r>
              <w:t>Envelope C6 114 x 162 mm</w:t>
            </w:r>
          </w:p>
        </w:tc>
      </w:tr>
      <w:tr w:rsidR="000A156F" w:rsidTr="000A156F">
        <w:tc>
          <w:tcPr>
            <w:tcW w:w="0" w:type="auto"/>
            <w:vAlign w:val="center"/>
          </w:tcPr>
          <w:p w:rsidR="000A156F" w:rsidRDefault="00A9721F">
            <w:pPr>
              <w:pStyle w:val="TableBodyText"/>
            </w:pPr>
            <w:r>
              <w:t>32</w:t>
            </w:r>
          </w:p>
        </w:tc>
        <w:tc>
          <w:tcPr>
            <w:tcW w:w="0" w:type="auto"/>
            <w:vAlign w:val="center"/>
          </w:tcPr>
          <w:p w:rsidR="000A156F" w:rsidRDefault="00A9721F">
            <w:pPr>
              <w:pStyle w:val="TableBodyText"/>
            </w:pPr>
            <w:r>
              <w:t>Envelope C65 114 x 229 mm</w:t>
            </w:r>
          </w:p>
        </w:tc>
      </w:tr>
      <w:tr w:rsidR="000A156F" w:rsidTr="000A156F">
        <w:tc>
          <w:tcPr>
            <w:tcW w:w="0" w:type="auto"/>
            <w:vAlign w:val="center"/>
          </w:tcPr>
          <w:p w:rsidR="000A156F" w:rsidRDefault="00A9721F">
            <w:pPr>
              <w:pStyle w:val="TableBodyText"/>
            </w:pPr>
            <w:r>
              <w:t>33</w:t>
            </w:r>
          </w:p>
        </w:tc>
        <w:tc>
          <w:tcPr>
            <w:tcW w:w="0" w:type="auto"/>
            <w:vAlign w:val="center"/>
          </w:tcPr>
          <w:p w:rsidR="000A156F" w:rsidRDefault="00A9721F">
            <w:pPr>
              <w:pStyle w:val="TableBodyText"/>
            </w:pPr>
            <w:r>
              <w:t xml:space="preserve">Envelope B4 250 x </w:t>
            </w:r>
            <w:r>
              <w:t>353 mm</w:t>
            </w:r>
          </w:p>
        </w:tc>
      </w:tr>
      <w:tr w:rsidR="000A156F" w:rsidTr="000A156F">
        <w:tc>
          <w:tcPr>
            <w:tcW w:w="0" w:type="auto"/>
            <w:vAlign w:val="center"/>
          </w:tcPr>
          <w:p w:rsidR="000A156F" w:rsidRDefault="00A9721F">
            <w:pPr>
              <w:pStyle w:val="TableBodyText"/>
            </w:pPr>
            <w:r>
              <w:t>34</w:t>
            </w:r>
          </w:p>
        </w:tc>
        <w:tc>
          <w:tcPr>
            <w:tcW w:w="0" w:type="auto"/>
            <w:vAlign w:val="center"/>
          </w:tcPr>
          <w:p w:rsidR="000A156F" w:rsidRDefault="00A9721F">
            <w:pPr>
              <w:pStyle w:val="TableBodyText"/>
            </w:pPr>
            <w:r>
              <w:t>Envelope B5 176 x 250 mm</w:t>
            </w:r>
          </w:p>
        </w:tc>
      </w:tr>
      <w:tr w:rsidR="000A156F" w:rsidTr="000A156F">
        <w:tc>
          <w:tcPr>
            <w:tcW w:w="0" w:type="auto"/>
            <w:vAlign w:val="center"/>
          </w:tcPr>
          <w:p w:rsidR="000A156F" w:rsidRDefault="00A9721F">
            <w:pPr>
              <w:pStyle w:val="TableBodyText"/>
            </w:pPr>
            <w:r>
              <w:t>35</w:t>
            </w:r>
          </w:p>
        </w:tc>
        <w:tc>
          <w:tcPr>
            <w:tcW w:w="0" w:type="auto"/>
            <w:vAlign w:val="center"/>
          </w:tcPr>
          <w:p w:rsidR="000A156F" w:rsidRDefault="00A9721F">
            <w:pPr>
              <w:pStyle w:val="TableBodyText"/>
            </w:pPr>
            <w:r>
              <w:t>Envelope B6 176 x 125 mm</w:t>
            </w:r>
          </w:p>
        </w:tc>
      </w:tr>
      <w:tr w:rsidR="000A156F" w:rsidTr="000A156F">
        <w:tc>
          <w:tcPr>
            <w:tcW w:w="0" w:type="auto"/>
            <w:vAlign w:val="center"/>
          </w:tcPr>
          <w:p w:rsidR="000A156F" w:rsidRDefault="00A9721F">
            <w:pPr>
              <w:pStyle w:val="TableBodyText"/>
            </w:pPr>
            <w:r>
              <w:t>36</w:t>
            </w:r>
          </w:p>
        </w:tc>
        <w:tc>
          <w:tcPr>
            <w:tcW w:w="0" w:type="auto"/>
            <w:vAlign w:val="center"/>
          </w:tcPr>
          <w:p w:rsidR="000A156F" w:rsidRDefault="00A9721F">
            <w:pPr>
              <w:pStyle w:val="TableBodyText"/>
            </w:pPr>
            <w:r>
              <w:t>Envelope 110 x 230 mm</w:t>
            </w:r>
          </w:p>
        </w:tc>
      </w:tr>
      <w:tr w:rsidR="000A156F" w:rsidTr="000A156F">
        <w:tc>
          <w:tcPr>
            <w:tcW w:w="0" w:type="auto"/>
            <w:vAlign w:val="center"/>
          </w:tcPr>
          <w:p w:rsidR="000A156F" w:rsidRDefault="00A9721F">
            <w:pPr>
              <w:pStyle w:val="TableBodyText"/>
            </w:pPr>
            <w:r>
              <w:t>37</w:t>
            </w:r>
          </w:p>
        </w:tc>
        <w:tc>
          <w:tcPr>
            <w:tcW w:w="0" w:type="auto"/>
            <w:vAlign w:val="center"/>
          </w:tcPr>
          <w:p w:rsidR="000A156F" w:rsidRDefault="00A9721F">
            <w:pPr>
              <w:pStyle w:val="TableBodyText"/>
            </w:pPr>
            <w:r>
              <w:t>US Envelope Monarch 3.875 x 7.5 in</w:t>
            </w:r>
          </w:p>
        </w:tc>
      </w:tr>
      <w:tr w:rsidR="000A156F" w:rsidTr="000A156F">
        <w:tc>
          <w:tcPr>
            <w:tcW w:w="0" w:type="auto"/>
            <w:vAlign w:val="center"/>
          </w:tcPr>
          <w:p w:rsidR="000A156F" w:rsidRDefault="00A9721F">
            <w:pPr>
              <w:pStyle w:val="TableBodyText"/>
            </w:pPr>
            <w:r>
              <w:t>38</w:t>
            </w:r>
          </w:p>
        </w:tc>
        <w:tc>
          <w:tcPr>
            <w:tcW w:w="0" w:type="auto"/>
            <w:vAlign w:val="center"/>
          </w:tcPr>
          <w:p w:rsidR="000A156F" w:rsidRDefault="00A9721F">
            <w:pPr>
              <w:pStyle w:val="TableBodyText"/>
            </w:pPr>
            <w:r>
              <w:t>6 3/4 US Envelope 3 5/8 x 6 1/2 in</w:t>
            </w:r>
          </w:p>
        </w:tc>
      </w:tr>
      <w:tr w:rsidR="000A156F" w:rsidTr="000A156F">
        <w:tc>
          <w:tcPr>
            <w:tcW w:w="0" w:type="auto"/>
            <w:vAlign w:val="center"/>
          </w:tcPr>
          <w:p w:rsidR="000A156F" w:rsidRDefault="00A9721F">
            <w:pPr>
              <w:pStyle w:val="TableBodyText"/>
            </w:pPr>
            <w:r>
              <w:t>39</w:t>
            </w:r>
          </w:p>
        </w:tc>
        <w:tc>
          <w:tcPr>
            <w:tcW w:w="0" w:type="auto"/>
            <w:vAlign w:val="center"/>
          </w:tcPr>
          <w:p w:rsidR="000A156F" w:rsidRDefault="00A9721F">
            <w:pPr>
              <w:pStyle w:val="TableBodyText"/>
            </w:pPr>
            <w:r>
              <w:t>US Std Fanfold 14 7/8 x 11 in</w:t>
            </w:r>
          </w:p>
        </w:tc>
      </w:tr>
      <w:tr w:rsidR="000A156F" w:rsidTr="000A156F">
        <w:tc>
          <w:tcPr>
            <w:tcW w:w="0" w:type="auto"/>
            <w:vAlign w:val="center"/>
          </w:tcPr>
          <w:p w:rsidR="000A156F" w:rsidRDefault="00A9721F">
            <w:pPr>
              <w:pStyle w:val="TableBodyText"/>
            </w:pPr>
            <w:r>
              <w:t>40</w:t>
            </w:r>
          </w:p>
        </w:tc>
        <w:tc>
          <w:tcPr>
            <w:tcW w:w="0" w:type="auto"/>
            <w:vAlign w:val="center"/>
          </w:tcPr>
          <w:p w:rsidR="000A156F" w:rsidRDefault="00A9721F">
            <w:pPr>
              <w:pStyle w:val="TableBodyText"/>
            </w:pPr>
            <w:r>
              <w:t>German Std Fanfold 8 1/2 x 12 in</w:t>
            </w:r>
          </w:p>
        </w:tc>
      </w:tr>
      <w:tr w:rsidR="000A156F" w:rsidTr="000A156F">
        <w:tc>
          <w:tcPr>
            <w:tcW w:w="0" w:type="auto"/>
            <w:vAlign w:val="center"/>
          </w:tcPr>
          <w:p w:rsidR="000A156F" w:rsidRDefault="00A9721F">
            <w:pPr>
              <w:pStyle w:val="TableBodyText"/>
            </w:pPr>
            <w:r>
              <w:t>41</w:t>
            </w:r>
          </w:p>
        </w:tc>
        <w:tc>
          <w:tcPr>
            <w:tcW w:w="0" w:type="auto"/>
            <w:vAlign w:val="center"/>
          </w:tcPr>
          <w:p w:rsidR="000A156F" w:rsidRDefault="00A9721F">
            <w:pPr>
              <w:pStyle w:val="TableBodyText"/>
            </w:pPr>
            <w:r>
              <w:t>German Legal</w:t>
            </w:r>
            <w:r>
              <w:t xml:space="preserve"> Fanfold 8 1/2 x 13 in</w:t>
            </w:r>
          </w:p>
        </w:tc>
      </w:tr>
      <w:tr w:rsidR="000A156F" w:rsidTr="000A156F">
        <w:tc>
          <w:tcPr>
            <w:tcW w:w="0" w:type="auto"/>
            <w:vAlign w:val="center"/>
          </w:tcPr>
          <w:p w:rsidR="000A156F" w:rsidRDefault="00A9721F">
            <w:pPr>
              <w:pStyle w:val="TableBodyText"/>
            </w:pPr>
            <w:r>
              <w:t>42</w:t>
            </w:r>
          </w:p>
        </w:tc>
        <w:tc>
          <w:tcPr>
            <w:tcW w:w="0" w:type="auto"/>
            <w:vAlign w:val="center"/>
          </w:tcPr>
          <w:p w:rsidR="000A156F" w:rsidRDefault="00A9721F">
            <w:pPr>
              <w:pStyle w:val="TableBodyText"/>
            </w:pPr>
            <w:r>
              <w:t>B4 (ISO) 250 x 353 mm</w:t>
            </w:r>
          </w:p>
        </w:tc>
      </w:tr>
      <w:tr w:rsidR="000A156F" w:rsidTr="000A156F">
        <w:tc>
          <w:tcPr>
            <w:tcW w:w="0" w:type="auto"/>
            <w:vAlign w:val="center"/>
          </w:tcPr>
          <w:p w:rsidR="000A156F" w:rsidRDefault="00A9721F">
            <w:pPr>
              <w:pStyle w:val="TableBodyText"/>
            </w:pPr>
            <w:r>
              <w:t>43</w:t>
            </w:r>
          </w:p>
        </w:tc>
        <w:tc>
          <w:tcPr>
            <w:tcW w:w="0" w:type="auto"/>
            <w:vAlign w:val="center"/>
          </w:tcPr>
          <w:p w:rsidR="000A156F" w:rsidRDefault="00A9721F">
            <w:pPr>
              <w:pStyle w:val="TableBodyText"/>
            </w:pPr>
            <w:r>
              <w:t>Japanese Postcard 100 x 148 mm</w:t>
            </w:r>
          </w:p>
        </w:tc>
      </w:tr>
      <w:tr w:rsidR="000A156F" w:rsidTr="000A156F">
        <w:tc>
          <w:tcPr>
            <w:tcW w:w="0" w:type="auto"/>
            <w:vAlign w:val="center"/>
          </w:tcPr>
          <w:p w:rsidR="000A156F" w:rsidRDefault="00A9721F">
            <w:pPr>
              <w:pStyle w:val="TableBodyText"/>
            </w:pPr>
            <w:r>
              <w:t>44</w:t>
            </w:r>
          </w:p>
        </w:tc>
        <w:tc>
          <w:tcPr>
            <w:tcW w:w="0" w:type="auto"/>
            <w:vAlign w:val="center"/>
          </w:tcPr>
          <w:p w:rsidR="000A156F" w:rsidRDefault="00A9721F">
            <w:pPr>
              <w:pStyle w:val="TableBodyText"/>
            </w:pPr>
            <w:r>
              <w:t>9 x 11 in</w:t>
            </w:r>
          </w:p>
        </w:tc>
      </w:tr>
      <w:tr w:rsidR="000A156F" w:rsidTr="000A156F">
        <w:tc>
          <w:tcPr>
            <w:tcW w:w="0" w:type="auto"/>
            <w:vAlign w:val="center"/>
          </w:tcPr>
          <w:p w:rsidR="000A156F" w:rsidRDefault="00A9721F">
            <w:pPr>
              <w:pStyle w:val="TableBodyText"/>
            </w:pPr>
            <w:r>
              <w:t>45</w:t>
            </w:r>
          </w:p>
        </w:tc>
        <w:tc>
          <w:tcPr>
            <w:tcW w:w="0" w:type="auto"/>
            <w:vAlign w:val="center"/>
          </w:tcPr>
          <w:p w:rsidR="000A156F" w:rsidRDefault="00A9721F">
            <w:pPr>
              <w:pStyle w:val="TableBodyText"/>
            </w:pPr>
            <w:r>
              <w:t>10 x 11 in</w:t>
            </w:r>
          </w:p>
        </w:tc>
      </w:tr>
      <w:tr w:rsidR="000A156F" w:rsidTr="000A156F">
        <w:tc>
          <w:tcPr>
            <w:tcW w:w="0" w:type="auto"/>
            <w:vAlign w:val="center"/>
          </w:tcPr>
          <w:p w:rsidR="000A156F" w:rsidRDefault="00A9721F">
            <w:pPr>
              <w:pStyle w:val="TableBodyText"/>
            </w:pPr>
            <w:r>
              <w:t>46</w:t>
            </w:r>
          </w:p>
        </w:tc>
        <w:tc>
          <w:tcPr>
            <w:tcW w:w="0" w:type="auto"/>
            <w:vAlign w:val="center"/>
          </w:tcPr>
          <w:p w:rsidR="000A156F" w:rsidRDefault="00A9721F">
            <w:pPr>
              <w:pStyle w:val="TableBodyText"/>
            </w:pPr>
            <w:r>
              <w:t>15 x 11 in</w:t>
            </w:r>
          </w:p>
        </w:tc>
      </w:tr>
      <w:tr w:rsidR="000A156F" w:rsidTr="000A156F">
        <w:tc>
          <w:tcPr>
            <w:tcW w:w="0" w:type="auto"/>
            <w:vAlign w:val="center"/>
          </w:tcPr>
          <w:p w:rsidR="000A156F" w:rsidRDefault="00A9721F">
            <w:pPr>
              <w:pStyle w:val="TableBodyText"/>
            </w:pPr>
            <w:r>
              <w:t>47</w:t>
            </w:r>
          </w:p>
        </w:tc>
        <w:tc>
          <w:tcPr>
            <w:tcW w:w="0" w:type="auto"/>
            <w:vAlign w:val="center"/>
          </w:tcPr>
          <w:p w:rsidR="000A156F" w:rsidRDefault="00A9721F">
            <w:pPr>
              <w:pStyle w:val="TableBodyText"/>
            </w:pPr>
            <w:r>
              <w:t>Envelope Invite 220 x 220 mm</w:t>
            </w:r>
          </w:p>
        </w:tc>
      </w:tr>
      <w:tr w:rsidR="000A156F" w:rsidTr="000A156F">
        <w:tc>
          <w:tcPr>
            <w:tcW w:w="0" w:type="auto"/>
            <w:vAlign w:val="center"/>
          </w:tcPr>
          <w:p w:rsidR="000A156F" w:rsidRDefault="00A9721F">
            <w:pPr>
              <w:pStyle w:val="TableBodyText"/>
            </w:pPr>
            <w:r>
              <w:t>48</w:t>
            </w:r>
          </w:p>
        </w:tc>
        <w:tc>
          <w:tcPr>
            <w:tcW w:w="0" w:type="auto"/>
            <w:vAlign w:val="center"/>
          </w:tcPr>
          <w:p w:rsidR="000A156F" w:rsidRDefault="00A9721F">
            <w:pPr>
              <w:pStyle w:val="TableBodyText"/>
            </w:pPr>
            <w:r>
              <w:t>RESERVED--DO NOT USE</w:t>
            </w:r>
          </w:p>
        </w:tc>
      </w:tr>
      <w:tr w:rsidR="000A156F" w:rsidTr="000A156F">
        <w:tc>
          <w:tcPr>
            <w:tcW w:w="0" w:type="auto"/>
            <w:vAlign w:val="center"/>
          </w:tcPr>
          <w:p w:rsidR="000A156F" w:rsidRDefault="00A9721F">
            <w:pPr>
              <w:pStyle w:val="TableBodyText"/>
            </w:pPr>
            <w:r>
              <w:t>49</w:t>
            </w:r>
          </w:p>
        </w:tc>
        <w:tc>
          <w:tcPr>
            <w:tcW w:w="0" w:type="auto"/>
            <w:vAlign w:val="center"/>
          </w:tcPr>
          <w:p w:rsidR="000A156F" w:rsidRDefault="00A9721F">
            <w:pPr>
              <w:pStyle w:val="TableBodyText"/>
            </w:pPr>
            <w:r>
              <w:t>RESERVED--DO NOT USE</w:t>
            </w:r>
          </w:p>
        </w:tc>
      </w:tr>
      <w:tr w:rsidR="000A156F" w:rsidTr="000A156F">
        <w:tc>
          <w:tcPr>
            <w:tcW w:w="0" w:type="auto"/>
            <w:vAlign w:val="center"/>
          </w:tcPr>
          <w:p w:rsidR="000A156F" w:rsidRDefault="00A9721F">
            <w:pPr>
              <w:pStyle w:val="TableBodyText"/>
            </w:pPr>
            <w:r>
              <w:t>50</w:t>
            </w:r>
          </w:p>
        </w:tc>
        <w:tc>
          <w:tcPr>
            <w:tcW w:w="0" w:type="auto"/>
            <w:vAlign w:val="center"/>
          </w:tcPr>
          <w:p w:rsidR="000A156F" w:rsidRDefault="00A9721F">
            <w:pPr>
              <w:pStyle w:val="TableBodyText"/>
            </w:pPr>
            <w:r>
              <w:t>US Letter Extra 9 \275 x 12 in</w:t>
            </w:r>
          </w:p>
        </w:tc>
      </w:tr>
      <w:tr w:rsidR="000A156F" w:rsidTr="000A156F">
        <w:tc>
          <w:tcPr>
            <w:tcW w:w="0" w:type="auto"/>
            <w:vAlign w:val="center"/>
          </w:tcPr>
          <w:p w:rsidR="000A156F" w:rsidRDefault="00A9721F">
            <w:pPr>
              <w:pStyle w:val="TableBodyText"/>
            </w:pPr>
            <w:r>
              <w:t>51</w:t>
            </w:r>
          </w:p>
        </w:tc>
        <w:tc>
          <w:tcPr>
            <w:tcW w:w="0" w:type="auto"/>
            <w:vAlign w:val="center"/>
          </w:tcPr>
          <w:p w:rsidR="000A156F" w:rsidRDefault="00A9721F">
            <w:pPr>
              <w:pStyle w:val="TableBodyText"/>
            </w:pPr>
            <w:r>
              <w:t xml:space="preserve">US </w:t>
            </w:r>
            <w:r>
              <w:t>Legal Extra 9 \275 x 15 in</w:t>
            </w:r>
          </w:p>
        </w:tc>
      </w:tr>
      <w:tr w:rsidR="000A156F" w:rsidTr="000A156F">
        <w:tc>
          <w:tcPr>
            <w:tcW w:w="0" w:type="auto"/>
            <w:vAlign w:val="center"/>
          </w:tcPr>
          <w:p w:rsidR="000A156F" w:rsidRDefault="00A9721F">
            <w:pPr>
              <w:pStyle w:val="TableBodyText"/>
            </w:pPr>
            <w:r>
              <w:t>52</w:t>
            </w:r>
          </w:p>
        </w:tc>
        <w:tc>
          <w:tcPr>
            <w:tcW w:w="0" w:type="auto"/>
            <w:vAlign w:val="center"/>
          </w:tcPr>
          <w:p w:rsidR="000A156F" w:rsidRDefault="00A9721F">
            <w:pPr>
              <w:pStyle w:val="TableBodyText"/>
            </w:pPr>
            <w:r>
              <w:t>US Tabloid Extra 11.69 x 18 in</w:t>
            </w:r>
          </w:p>
        </w:tc>
      </w:tr>
      <w:tr w:rsidR="000A156F" w:rsidTr="000A156F">
        <w:tc>
          <w:tcPr>
            <w:tcW w:w="0" w:type="auto"/>
            <w:vAlign w:val="center"/>
          </w:tcPr>
          <w:p w:rsidR="000A156F" w:rsidRDefault="00A9721F">
            <w:pPr>
              <w:pStyle w:val="TableBodyText"/>
            </w:pPr>
            <w:r>
              <w:t>53</w:t>
            </w:r>
          </w:p>
        </w:tc>
        <w:tc>
          <w:tcPr>
            <w:tcW w:w="0" w:type="auto"/>
            <w:vAlign w:val="center"/>
          </w:tcPr>
          <w:p w:rsidR="000A156F" w:rsidRDefault="00A9721F">
            <w:pPr>
              <w:pStyle w:val="TableBodyText"/>
            </w:pPr>
            <w:r>
              <w:t>A4 Extra 9.27 x 12.69 in</w:t>
            </w:r>
          </w:p>
        </w:tc>
      </w:tr>
      <w:tr w:rsidR="000A156F" w:rsidTr="000A156F">
        <w:tc>
          <w:tcPr>
            <w:tcW w:w="0" w:type="auto"/>
            <w:vAlign w:val="center"/>
          </w:tcPr>
          <w:p w:rsidR="000A156F" w:rsidRDefault="00A9721F">
            <w:pPr>
              <w:pStyle w:val="TableBodyText"/>
            </w:pPr>
            <w:r>
              <w:t>54</w:t>
            </w:r>
          </w:p>
        </w:tc>
        <w:tc>
          <w:tcPr>
            <w:tcW w:w="0" w:type="auto"/>
            <w:vAlign w:val="center"/>
          </w:tcPr>
          <w:p w:rsidR="000A156F" w:rsidRDefault="00A9721F">
            <w:pPr>
              <w:pStyle w:val="TableBodyText"/>
            </w:pPr>
            <w:r>
              <w:t xml:space="preserve">Letter Transverse 8 \275 x 11 in </w:t>
            </w:r>
          </w:p>
        </w:tc>
      </w:tr>
      <w:tr w:rsidR="000A156F" w:rsidTr="000A156F">
        <w:tc>
          <w:tcPr>
            <w:tcW w:w="0" w:type="auto"/>
            <w:vAlign w:val="center"/>
          </w:tcPr>
          <w:p w:rsidR="000A156F" w:rsidRDefault="00A9721F">
            <w:pPr>
              <w:pStyle w:val="TableBodyText"/>
            </w:pPr>
            <w:r>
              <w:t>55</w:t>
            </w:r>
          </w:p>
        </w:tc>
        <w:tc>
          <w:tcPr>
            <w:tcW w:w="0" w:type="auto"/>
            <w:vAlign w:val="center"/>
          </w:tcPr>
          <w:p w:rsidR="000A156F" w:rsidRDefault="00A9721F">
            <w:pPr>
              <w:pStyle w:val="TableBodyText"/>
            </w:pPr>
            <w:r>
              <w:t>A4 Transverse 210 x 297 mm</w:t>
            </w:r>
          </w:p>
        </w:tc>
      </w:tr>
      <w:tr w:rsidR="000A156F" w:rsidTr="000A156F">
        <w:tc>
          <w:tcPr>
            <w:tcW w:w="0" w:type="auto"/>
            <w:vAlign w:val="center"/>
          </w:tcPr>
          <w:p w:rsidR="000A156F" w:rsidRDefault="00A9721F">
            <w:pPr>
              <w:pStyle w:val="TableBodyText"/>
            </w:pPr>
            <w:r>
              <w:t>56</w:t>
            </w:r>
          </w:p>
        </w:tc>
        <w:tc>
          <w:tcPr>
            <w:tcW w:w="0" w:type="auto"/>
            <w:vAlign w:val="center"/>
          </w:tcPr>
          <w:p w:rsidR="000A156F" w:rsidRDefault="00A9721F">
            <w:pPr>
              <w:pStyle w:val="TableBodyText"/>
            </w:pPr>
            <w:r>
              <w:t>Letter Extra Transverse 9\275 x 12 in</w:t>
            </w:r>
          </w:p>
        </w:tc>
      </w:tr>
      <w:tr w:rsidR="000A156F" w:rsidTr="000A156F">
        <w:tc>
          <w:tcPr>
            <w:tcW w:w="0" w:type="auto"/>
            <w:vAlign w:val="center"/>
          </w:tcPr>
          <w:p w:rsidR="000A156F" w:rsidRDefault="00A9721F">
            <w:pPr>
              <w:pStyle w:val="TableBodyText"/>
            </w:pPr>
            <w:r>
              <w:t>57</w:t>
            </w:r>
          </w:p>
        </w:tc>
        <w:tc>
          <w:tcPr>
            <w:tcW w:w="0" w:type="auto"/>
            <w:vAlign w:val="center"/>
          </w:tcPr>
          <w:p w:rsidR="000A156F" w:rsidRDefault="00A9721F">
            <w:pPr>
              <w:pStyle w:val="TableBodyText"/>
            </w:pPr>
            <w:r>
              <w:t>SuperA/SuperA/A4 227 x 356 mm</w:t>
            </w:r>
          </w:p>
        </w:tc>
      </w:tr>
      <w:tr w:rsidR="000A156F" w:rsidTr="000A156F">
        <w:tc>
          <w:tcPr>
            <w:tcW w:w="0" w:type="auto"/>
            <w:vAlign w:val="center"/>
          </w:tcPr>
          <w:p w:rsidR="000A156F" w:rsidRDefault="00A9721F">
            <w:pPr>
              <w:pStyle w:val="TableBodyText"/>
            </w:pPr>
            <w:r>
              <w:t>58</w:t>
            </w:r>
          </w:p>
        </w:tc>
        <w:tc>
          <w:tcPr>
            <w:tcW w:w="0" w:type="auto"/>
            <w:vAlign w:val="center"/>
          </w:tcPr>
          <w:p w:rsidR="000A156F" w:rsidRDefault="00A9721F">
            <w:pPr>
              <w:pStyle w:val="TableBodyText"/>
            </w:pPr>
            <w:r>
              <w:t>SuperB/SuperB/A3</w:t>
            </w:r>
            <w:r>
              <w:t xml:space="preserve"> 305 x 487 mm</w:t>
            </w:r>
          </w:p>
        </w:tc>
      </w:tr>
      <w:tr w:rsidR="000A156F" w:rsidTr="000A156F">
        <w:tc>
          <w:tcPr>
            <w:tcW w:w="0" w:type="auto"/>
            <w:vAlign w:val="center"/>
          </w:tcPr>
          <w:p w:rsidR="000A156F" w:rsidRDefault="00A9721F">
            <w:pPr>
              <w:pStyle w:val="TableBodyText"/>
            </w:pPr>
            <w:r>
              <w:lastRenderedPageBreak/>
              <w:t>59</w:t>
            </w:r>
          </w:p>
        </w:tc>
        <w:tc>
          <w:tcPr>
            <w:tcW w:w="0" w:type="auto"/>
            <w:vAlign w:val="center"/>
          </w:tcPr>
          <w:p w:rsidR="000A156F" w:rsidRDefault="00A9721F">
            <w:pPr>
              <w:pStyle w:val="TableBodyText"/>
            </w:pPr>
            <w:r>
              <w:t>US Letter Plus 8.5 x 12.69 in</w:t>
            </w:r>
          </w:p>
        </w:tc>
      </w:tr>
      <w:tr w:rsidR="000A156F" w:rsidTr="000A156F">
        <w:tc>
          <w:tcPr>
            <w:tcW w:w="0" w:type="auto"/>
            <w:vAlign w:val="center"/>
          </w:tcPr>
          <w:p w:rsidR="000A156F" w:rsidRDefault="00A9721F">
            <w:pPr>
              <w:pStyle w:val="TableBodyText"/>
            </w:pPr>
            <w:r>
              <w:t>60</w:t>
            </w:r>
          </w:p>
        </w:tc>
        <w:tc>
          <w:tcPr>
            <w:tcW w:w="0" w:type="auto"/>
            <w:vAlign w:val="center"/>
          </w:tcPr>
          <w:p w:rsidR="000A156F" w:rsidRDefault="00A9721F">
            <w:pPr>
              <w:pStyle w:val="TableBodyText"/>
            </w:pPr>
            <w:r>
              <w:t>A4 Plus 210 x 330 mm</w:t>
            </w:r>
          </w:p>
        </w:tc>
      </w:tr>
      <w:tr w:rsidR="000A156F" w:rsidTr="000A156F">
        <w:tc>
          <w:tcPr>
            <w:tcW w:w="0" w:type="auto"/>
            <w:vAlign w:val="center"/>
          </w:tcPr>
          <w:p w:rsidR="000A156F" w:rsidRDefault="00A9721F">
            <w:pPr>
              <w:pStyle w:val="TableBodyText"/>
            </w:pPr>
            <w:r>
              <w:t>61</w:t>
            </w:r>
          </w:p>
        </w:tc>
        <w:tc>
          <w:tcPr>
            <w:tcW w:w="0" w:type="auto"/>
            <w:vAlign w:val="center"/>
          </w:tcPr>
          <w:p w:rsidR="000A156F" w:rsidRDefault="00A9721F">
            <w:pPr>
              <w:pStyle w:val="TableBodyText"/>
            </w:pPr>
            <w:r>
              <w:t>A5 Transverse 148 x 210 mm</w:t>
            </w:r>
          </w:p>
        </w:tc>
      </w:tr>
      <w:tr w:rsidR="000A156F" w:rsidTr="000A156F">
        <w:tc>
          <w:tcPr>
            <w:tcW w:w="0" w:type="auto"/>
            <w:vAlign w:val="center"/>
          </w:tcPr>
          <w:p w:rsidR="000A156F" w:rsidRDefault="00A9721F">
            <w:pPr>
              <w:pStyle w:val="TableBodyText"/>
            </w:pPr>
            <w:r>
              <w:t>62</w:t>
            </w:r>
          </w:p>
        </w:tc>
        <w:tc>
          <w:tcPr>
            <w:tcW w:w="0" w:type="auto"/>
            <w:vAlign w:val="center"/>
          </w:tcPr>
          <w:p w:rsidR="000A156F" w:rsidRDefault="00A9721F">
            <w:pPr>
              <w:pStyle w:val="TableBodyText"/>
            </w:pPr>
            <w:r>
              <w:t>B5 (JIS) Transverse 182 x 257 mm</w:t>
            </w:r>
          </w:p>
        </w:tc>
      </w:tr>
      <w:tr w:rsidR="000A156F" w:rsidTr="000A156F">
        <w:tc>
          <w:tcPr>
            <w:tcW w:w="0" w:type="auto"/>
            <w:vAlign w:val="center"/>
          </w:tcPr>
          <w:p w:rsidR="000A156F" w:rsidRDefault="00A9721F">
            <w:pPr>
              <w:pStyle w:val="TableBodyText"/>
            </w:pPr>
            <w:r>
              <w:t>63</w:t>
            </w:r>
          </w:p>
        </w:tc>
        <w:tc>
          <w:tcPr>
            <w:tcW w:w="0" w:type="auto"/>
            <w:vAlign w:val="center"/>
          </w:tcPr>
          <w:p w:rsidR="000A156F" w:rsidRDefault="00A9721F">
            <w:pPr>
              <w:pStyle w:val="TableBodyText"/>
            </w:pPr>
            <w:r>
              <w:t>A3 Extra 322 x 445 mm</w:t>
            </w:r>
          </w:p>
        </w:tc>
      </w:tr>
      <w:tr w:rsidR="000A156F" w:rsidTr="000A156F">
        <w:tc>
          <w:tcPr>
            <w:tcW w:w="0" w:type="auto"/>
            <w:vAlign w:val="center"/>
          </w:tcPr>
          <w:p w:rsidR="000A156F" w:rsidRDefault="00A9721F">
            <w:pPr>
              <w:pStyle w:val="TableBodyText"/>
            </w:pPr>
            <w:r>
              <w:t>64</w:t>
            </w:r>
          </w:p>
        </w:tc>
        <w:tc>
          <w:tcPr>
            <w:tcW w:w="0" w:type="auto"/>
            <w:vAlign w:val="center"/>
          </w:tcPr>
          <w:p w:rsidR="000A156F" w:rsidRDefault="00A9721F">
            <w:pPr>
              <w:pStyle w:val="TableBodyText"/>
            </w:pPr>
            <w:r>
              <w:t>A5 Extra 174 x 235 mm</w:t>
            </w:r>
          </w:p>
        </w:tc>
      </w:tr>
      <w:tr w:rsidR="000A156F" w:rsidTr="000A156F">
        <w:tc>
          <w:tcPr>
            <w:tcW w:w="0" w:type="auto"/>
            <w:vAlign w:val="center"/>
          </w:tcPr>
          <w:p w:rsidR="000A156F" w:rsidRDefault="00A9721F">
            <w:pPr>
              <w:pStyle w:val="TableBodyText"/>
            </w:pPr>
            <w:r>
              <w:t>65</w:t>
            </w:r>
          </w:p>
        </w:tc>
        <w:tc>
          <w:tcPr>
            <w:tcW w:w="0" w:type="auto"/>
            <w:vAlign w:val="center"/>
          </w:tcPr>
          <w:p w:rsidR="000A156F" w:rsidRDefault="00A9721F">
            <w:pPr>
              <w:pStyle w:val="TableBodyText"/>
            </w:pPr>
            <w:r>
              <w:t>B5 (ISO) Extra 201 x 276 mm</w:t>
            </w:r>
          </w:p>
        </w:tc>
      </w:tr>
      <w:tr w:rsidR="000A156F" w:rsidTr="000A156F">
        <w:tc>
          <w:tcPr>
            <w:tcW w:w="0" w:type="auto"/>
            <w:vAlign w:val="center"/>
          </w:tcPr>
          <w:p w:rsidR="000A156F" w:rsidRDefault="00A9721F">
            <w:pPr>
              <w:pStyle w:val="TableBodyText"/>
            </w:pPr>
            <w:r>
              <w:t>66</w:t>
            </w:r>
          </w:p>
        </w:tc>
        <w:tc>
          <w:tcPr>
            <w:tcW w:w="0" w:type="auto"/>
            <w:vAlign w:val="center"/>
          </w:tcPr>
          <w:p w:rsidR="000A156F" w:rsidRDefault="00A9721F">
            <w:pPr>
              <w:pStyle w:val="TableBodyText"/>
            </w:pPr>
            <w:r>
              <w:t>A2 420 x 594 mm</w:t>
            </w:r>
          </w:p>
        </w:tc>
      </w:tr>
      <w:tr w:rsidR="000A156F" w:rsidTr="000A156F">
        <w:tc>
          <w:tcPr>
            <w:tcW w:w="0" w:type="auto"/>
            <w:vAlign w:val="center"/>
          </w:tcPr>
          <w:p w:rsidR="000A156F" w:rsidRDefault="00A9721F">
            <w:pPr>
              <w:pStyle w:val="TableBodyText"/>
            </w:pPr>
            <w:r>
              <w:t>67</w:t>
            </w:r>
          </w:p>
        </w:tc>
        <w:tc>
          <w:tcPr>
            <w:tcW w:w="0" w:type="auto"/>
            <w:vAlign w:val="center"/>
          </w:tcPr>
          <w:p w:rsidR="000A156F" w:rsidRDefault="00A9721F">
            <w:pPr>
              <w:pStyle w:val="TableBodyText"/>
            </w:pPr>
            <w:r>
              <w:t xml:space="preserve">A3 </w:t>
            </w:r>
            <w:r>
              <w:t>Transverse 297 x 420 mm</w:t>
            </w:r>
          </w:p>
        </w:tc>
      </w:tr>
      <w:tr w:rsidR="000A156F" w:rsidTr="000A156F">
        <w:tc>
          <w:tcPr>
            <w:tcW w:w="0" w:type="auto"/>
            <w:vAlign w:val="center"/>
          </w:tcPr>
          <w:p w:rsidR="000A156F" w:rsidRDefault="00A9721F">
            <w:pPr>
              <w:pStyle w:val="TableBodyText"/>
            </w:pPr>
            <w:r>
              <w:t>68</w:t>
            </w:r>
          </w:p>
        </w:tc>
        <w:tc>
          <w:tcPr>
            <w:tcW w:w="0" w:type="auto"/>
            <w:vAlign w:val="center"/>
          </w:tcPr>
          <w:p w:rsidR="000A156F" w:rsidRDefault="00A9721F">
            <w:pPr>
              <w:pStyle w:val="TableBodyText"/>
            </w:pPr>
            <w:r>
              <w:t xml:space="preserve">A3 Extra Transverse 322 x 445 mm </w:t>
            </w:r>
          </w:p>
        </w:tc>
      </w:tr>
      <w:tr w:rsidR="000A156F" w:rsidTr="000A156F">
        <w:tc>
          <w:tcPr>
            <w:tcW w:w="0" w:type="auto"/>
            <w:vAlign w:val="center"/>
          </w:tcPr>
          <w:p w:rsidR="000A156F" w:rsidRDefault="00A9721F">
            <w:pPr>
              <w:pStyle w:val="TableBodyText"/>
            </w:pPr>
            <w:r>
              <w:t>69</w:t>
            </w:r>
          </w:p>
        </w:tc>
        <w:tc>
          <w:tcPr>
            <w:tcW w:w="0" w:type="auto"/>
            <w:vAlign w:val="center"/>
          </w:tcPr>
          <w:p w:rsidR="000A156F" w:rsidRDefault="00A9721F">
            <w:pPr>
              <w:pStyle w:val="TableBodyText"/>
            </w:pPr>
            <w:r>
              <w:t>Japanese Double Postcard 200 x 148 mm</w:t>
            </w:r>
          </w:p>
        </w:tc>
      </w:tr>
      <w:tr w:rsidR="000A156F" w:rsidTr="000A156F">
        <w:tc>
          <w:tcPr>
            <w:tcW w:w="0" w:type="auto"/>
            <w:vAlign w:val="center"/>
          </w:tcPr>
          <w:p w:rsidR="000A156F" w:rsidRDefault="00A9721F">
            <w:pPr>
              <w:pStyle w:val="TableBodyText"/>
            </w:pPr>
            <w:r>
              <w:t>70</w:t>
            </w:r>
          </w:p>
        </w:tc>
        <w:tc>
          <w:tcPr>
            <w:tcW w:w="0" w:type="auto"/>
            <w:vAlign w:val="center"/>
          </w:tcPr>
          <w:p w:rsidR="000A156F" w:rsidRDefault="00A9721F">
            <w:pPr>
              <w:pStyle w:val="TableBodyText"/>
            </w:pPr>
            <w:r>
              <w:t>A6 105 x 148 mm</w:t>
            </w:r>
          </w:p>
        </w:tc>
      </w:tr>
      <w:tr w:rsidR="000A156F" w:rsidTr="000A156F">
        <w:tc>
          <w:tcPr>
            <w:tcW w:w="0" w:type="auto"/>
            <w:vAlign w:val="center"/>
          </w:tcPr>
          <w:p w:rsidR="000A156F" w:rsidRDefault="00A9721F">
            <w:pPr>
              <w:pStyle w:val="TableBodyText"/>
            </w:pPr>
            <w:r>
              <w:t>71</w:t>
            </w:r>
          </w:p>
        </w:tc>
        <w:tc>
          <w:tcPr>
            <w:tcW w:w="0" w:type="auto"/>
            <w:vAlign w:val="center"/>
          </w:tcPr>
          <w:p w:rsidR="000A156F" w:rsidRDefault="00A9721F">
            <w:pPr>
              <w:pStyle w:val="TableBodyText"/>
            </w:pPr>
            <w:r>
              <w:t>Japanese Envelope Kaku #2</w:t>
            </w:r>
          </w:p>
        </w:tc>
      </w:tr>
      <w:tr w:rsidR="000A156F" w:rsidTr="000A156F">
        <w:tc>
          <w:tcPr>
            <w:tcW w:w="0" w:type="auto"/>
            <w:vAlign w:val="center"/>
          </w:tcPr>
          <w:p w:rsidR="000A156F" w:rsidRDefault="00A9721F">
            <w:pPr>
              <w:pStyle w:val="TableBodyText"/>
            </w:pPr>
            <w:r>
              <w:t xml:space="preserve">72 </w:t>
            </w:r>
          </w:p>
        </w:tc>
        <w:tc>
          <w:tcPr>
            <w:tcW w:w="0" w:type="auto"/>
            <w:vAlign w:val="center"/>
          </w:tcPr>
          <w:p w:rsidR="000A156F" w:rsidRDefault="00A9721F">
            <w:pPr>
              <w:pStyle w:val="TableBodyText"/>
            </w:pPr>
            <w:r>
              <w:t>Japanese Envelope Kaku #3</w:t>
            </w:r>
          </w:p>
        </w:tc>
      </w:tr>
      <w:tr w:rsidR="000A156F" w:rsidTr="000A156F">
        <w:tc>
          <w:tcPr>
            <w:tcW w:w="0" w:type="auto"/>
            <w:vAlign w:val="center"/>
          </w:tcPr>
          <w:p w:rsidR="000A156F" w:rsidRDefault="00A9721F">
            <w:pPr>
              <w:pStyle w:val="TableBodyText"/>
            </w:pPr>
            <w:r>
              <w:t>73</w:t>
            </w:r>
          </w:p>
        </w:tc>
        <w:tc>
          <w:tcPr>
            <w:tcW w:w="0" w:type="auto"/>
            <w:vAlign w:val="center"/>
          </w:tcPr>
          <w:p w:rsidR="000A156F" w:rsidRDefault="00A9721F">
            <w:pPr>
              <w:pStyle w:val="TableBodyText"/>
            </w:pPr>
            <w:r>
              <w:t>Japanese Envelope Chou #3</w:t>
            </w:r>
          </w:p>
        </w:tc>
      </w:tr>
      <w:tr w:rsidR="000A156F" w:rsidTr="000A156F">
        <w:tc>
          <w:tcPr>
            <w:tcW w:w="0" w:type="auto"/>
            <w:vAlign w:val="center"/>
          </w:tcPr>
          <w:p w:rsidR="000A156F" w:rsidRDefault="00A9721F">
            <w:pPr>
              <w:pStyle w:val="TableBodyText"/>
            </w:pPr>
            <w:r>
              <w:t>74</w:t>
            </w:r>
          </w:p>
        </w:tc>
        <w:tc>
          <w:tcPr>
            <w:tcW w:w="0" w:type="auto"/>
            <w:vAlign w:val="center"/>
          </w:tcPr>
          <w:p w:rsidR="000A156F" w:rsidRDefault="00A9721F">
            <w:pPr>
              <w:pStyle w:val="TableBodyText"/>
            </w:pPr>
            <w:r>
              <w:t>Japanese Envelope Chou #4</w:t>
            </w:r>
          </w:p>
        </w:tc>
      </w:tr>
      <w:tr w:rsidR="000A156F" w:rsidTr="000A156F">
        <w:tc>
          <w:tcPr>
            <w:tcW w:w="0" w:type="auto"/>
            <w:vAlign w:val="center"/>
          </w:tcPr>
          <w:p w:rsidR="000A156F" w:rsidRDefault="00A9721F">
            <w:pPr>
              <w:pStyle w:val="TableBodyText"/>
            </w:pPr>
            <w:r>
              <w:t>75</w:t>
            </w:r>
          </w:p>
        </w:tc>
        <w:tc>
          <w:tcPr>
            <w:tcW w:w="0" w:type="auto"/>
            <w:vAlign w:val="center"/>
          </w:tcPr>
          <w:p w:rsidR="000A156F" w:rsidRDefault="00A9721F">
            <w:pPr>
              <w:pStyle w:val="TableBodyText"/>
            </w:pPr>
            <w:r>
              <w:t xml:space="preserve">Letter </w:t>
            </w:r>
            <w:r>
              <w:t>Rotated 11 x 8 1/2 11 in</w:t>
            </w:r>
          </w:p>
        </w:tc>
      </w:tr>
      <w:tr w:rsidR="000A156F" w:rsidTr="000A156F">
        <w:tc>
          <w:tcPr>
            <w:tcW w:w="0" w:type="auto"/>
            <w:vAlign w:val="center"/>
          </w:tcPr>
          <w:p w:rsidR="000A156F" w:rsidRDefault="00A9721F">
            <w:pPr>
              <w:pStyle w:val="TableBodyText"/>
            </w:pPr>
            <w:r>
              <w:t>76</w:t>
            </w:r>
          </w:p>
        </w:tc>
        <w:tc>
          <w:tcPr>
            <w:tcW w:w="0" w:type="auto"/>
            <w:vAlign w:val="center"/>
          </w:tcPr>
          <w:p w:rsidR="000A156F" w:rsidRDefault="00A9721F">
            <w:pPr>
              <w:pStyle w:val="TableBodyText"/>
            </w:pPr>
            <w:r>
              <w:t>A3 Rotated 420 x 297 mm</w:t>
            </w:r>
          </w:p>
        </w:tc>
      </w:tr>
      <w:tr w:rsidR="000A156F" w:rsidTr="000A156F">
        <w:tc>
          <w:tcPr>
            <w:tcW w:w="0" w:type="auto"/>
            <w:vAlign w:val="center"/>
          </w:tcPr>
          <w:p w:rsidR="000A156F" w:rsidRDefault="00A9721F">
            <w:pPr>
              <w:pStyle w:val="TableBodyText"/>
            </w:pPr>
            <w:r>
              <w:t>77</w:t>
            </w:r>
          </w:p>
        </w:tc>
        <w:tc>
          <w:tcPr>
            <w:tcW w:w="0" w:type="auto"/>
            <w:vAlign w:val="center"/>
          </w:tcPr>
          <w:p w:rsidR="000A156F" w:rsidRDefault="00A9721F">
            <w:pPr>
              <w:pStyle w:val="TableBodyText"/>
            </w:pPr>
            <w:r>
              <w:t>A4 Rotated 297 x 210 mm</w:t>
            </w:r>
          </w:p>
        </w:tc>
      </w:tr>
      <w:tr w:rsidR="000A156F" w:rsidTr="000A156F">
        <w:tc>
          <w:tcPr>
            <w:tcW w:w="0" w:type="auto"/>
            <w:vAlign w:val="center"/>
          </w:tcPr>
          <w:p w:rsidR="000A156F" w:rsidRDefault="00A9721F">
            <w:pPr>
              <w:pStyle w:val="TableBodyText"/>
            </w:pPr>
            <w:r>
              <w:t>78</w:t>
            </w:r>
          </w:p>
        </w:tc>
        <w:tc>
          <w:tcPr>
            <w:tcW w:w="0" w:type="auto"/>
            <w:vAlign w:val="center"/>
          </w:tcPr>
          <w:p w:rsidR="000A156F" w:rsidRDefault="00A9721F">
            <w:pPr>
              <w:pStyle w:val="TableBodyText"/>
            </w:pPr>
            <w:r>
              <w:t>A5 Rotated 210 x 148 mm</w:t>
            </w:r>
          </w:p>
        </w:tc>
      </w:tr>
      <w:tr w:rsidR="000A156F" w:rsidTr="000A156F">
        <w:tc>
          <w:tcPr>
            <w:tcW w:w="0" w:type="auto"/>
            <w:vAlign w:val="center"/>
          </w:tcPr>
          <w:p w:rsidR="000A156F" w:rsidRDefault="00A9721F">
            <w:pPr>
              <w:pStyle w:val="TableBodyText"/>
            </w:pPr>
            <w:r>
              <w:t>79</w:t>
            </w:r>
          </w:p>
        </w:tc>
        <w:tc>
          <w:tcPr>
            <w:tcW w:w="0" w:type="auto"/>
            <w:vAlign w:val="center"/>
          </w:tcPr>
          <w:p w:rsidR="000A156F" w:rsidRDefault="00A9721F">
            <w:pPr>
              <w:pStyle w:val="TableBodyText"/>
            </w:pPr>
            <w:r>
              <w:t>B4 (JIS) Rotated 364 x 257 mm</w:t>
            </w:r>
          </w:p>
        </w:tc>
      </w:tr>
      <w:tr w:rsidR="000A156F" w:rsidTr="000A156F">
        <w:tc>
          <w:tcPr>
            <w:tcW w:w="0" w:type="auto"/>
            <w:vAlign w:val="center"/>
          </w:tcPr>
          <w:p w:rsidR="000A156F" w:rsidRDefault="00A9721F">
            <w:pPr>
              <w:pStyle w:val="TableBodyText"/>
            </w:pPr>
            <w:r>
              <w:t>80</w:t>
            </w:r>
          </w:p>
        </w:tc>
        <w:tc>
          <w:tcPr>
            <w:tcW w:w="0" w:type="auto"/>
            <w:vAlign w:val="center"/>
          </w:tcPr>
          <w:p w:rsidR="000A156F" w:rsidRDefault="00A9721F">
            <w:pPr>
              <w:pStyle w:val="TableBodyText"/>
            </w:pPr>
            <w:r>
              <w:t>B5 (JIS) Rotated 257 x 182 mm</w:t>
            </w:r>
          </w:p>
        </w:tc>
      </w:tr>
      <w:tr w:rsidR="000A156F" w:rsidTr="000A156F">
        <w:tc>
          <w:tcPr>
            <w:tcW w:w="0" w:type="auto"/>
            <w:vAlign w:val="center"/>
          </w:tcPr>
          <w:p w:rsidR="000A156F" w:rsidRDefault="00A9721F">
            <w:pPr>
              <w:pStyle w:val="TableBodyText"/>
            </w:pPr>
            <w:r>
              <w:t>81</w:t>
            </w:r>
          </w:p>
        </w:tc>
        <w:tc>
          <w:tcPr>
            <w:tcW w:w="0" w:type="auto"/>
            <w:vAlign w:val="center"/>
          </w:tcPr>
          <w:p w:rsidR="000A156F" w:rsidRDefault="00A9721F">
            <w:pPr>
              <w:pStyle w:val="TableBodyText"/>
            </w:pPr>
            <w:r>
              <w:t>Japanese Postcard Rotated 148 x 100 mm</w:t>
            </w:r>
          </w:p>
        </w:tc>
      </w:tr>
      <w:tr w:rsidR="000A156F" w:rsidTr="000A156F">
        <w:tc>
          <w:tcPr>
            <w:tcW w:w="0" w:type="auto"/>
            <w:vAlign w:val="center"/>
          </w:tcPr>
          <w:p w:rsidR="000A156F" w:rsidRDefault="00A9721F">
            <w:pPr>
              <w:pStyle w:val="TableBodyText"/>
            </w:pPr>
            <w:r>
              <w:t>82</w:t>
            </w:r>
          </w:p>
        </w:tc>
        <w:tc>
          <w:tcPr>
            <w:tcW w:w="0" w:type="auto"/>
            <w:vAlign w:val="center"/>
          </w:tcPr>
          <w:p w:rsidR="000A156F" w:rsidRDefault="00A9721F">
            <w:pPr>
              <w:pStyle w:val="TableBodyText"/>
            </w:pPr>
            <w:r>
              <w:t>Double Japanese Postcard Rotated</w:t>
            </w:r>
            <w:r>
              <w:t xml:space="preserve"> 148 x 200 mm</w:t>
            </w:r>
          </w:p>
        </w:tc>
      </w:tr>
      <w:tr w:rsidR="000A156F" w:rsidTr="000A156F">
        <w:tc>
          <w:tcPr>
            <w:tcW w:w="0" w:type="auto"/>
            <w:vAlign w:val="center"/>
          </w:tcPr>
          <w:p w:rsidR="000A156F" w:rsidRDefault="00A9721F">
            <w:pPr>
              <w:pStyle w:val="TableBodyText"/>
            </w:pPr>
            <w:r>
              <w:t>83</w:t>
            </w:r>
          </w:p>
        </w:tc>
        <w:tc>
          <w:tcPr>
            <w:tcW w:w="0" w:type="auto"/>
            <w:vAlign w:val="center"/>
          </w:tcPr>
          <w:p w:rsidR="000A156F" w:rsidRDefault="00A9721F">
            <w:pPr>
              <w:pStyle w:val="TableBodyText"/>
            </w:pPr>
            <w:r>
              <w:t>A6 Rotated 148 x 105 mm</w:t>
            </w:r>
          </w:p>
        </w:tc>
      </w:tr>
      <w:tr w:rsidR="000A156F" w:rsidTr="000A156F">
        <w:tc>
          <w:tcPr>
            <w:tcW w:w="0" w:type="auto"/>
            <w:vAlign w:val="center"/>
          </w:tcPr>
          <w:p w:rsidR="000A156F" w:rsidRDefault="00A9721F">
            <w:pPr>
              <w:pStyle w:val="TableBodyText"/>
            </w:pPr>
            <w:r>
              <w:t>84</w:t>
            </w:r>
          </w:p>
        </w:tc>
        <w:tc>
          <w:tcPr>
            <w:tcW w:w="0" w:type="auto"/>
            <w:vAlign w:val="center"/>
          </w:tcPr>
          <w:p w:rsidR="000A156F" w:rsidRDefault="00A9721F">
            <w:pPr>
              <w:pStyle w:val="TableBodyText"/>
            </w:pPr>
            <w:r>
              <w:t>Japanese Envelope Kaku #2 Rotated</w:t>
            </w:r>
          </w:p>
        </w:tc>
      </w:tr>
      <w:tr w:rsidR="000A156F" w:rsidTr="000A156F">
        <w:tc>
          <w:tcPr>
            <w:tcW w:w="0" w:type="auto"/>
            <w:vAlign w:val="center"/>
          </w:tcPr>
          <w:p w:rsidR="000A156F" w:rsidRDefault="00A9721F">
            <w:pPr>
              <w:pStyle w:val="TableBodyText"/>
            </w:pPr>
            <w:r>
              <w:t>85</w:t>
            </w:r>
          </w:p>
        </w:tc>
        <w:tc>
          <w:tcPr>
            <w:tcW w:w="0" w:type="auto"/>
            <w:vAlign w:val="center"/>
          </w:tcPr>
          <w:p w:rsidR="000A156F" w:rsidRDefault="00A9721F">
            <w:pPr>
              <w:pStyle w:val="TableBodyText"/>
            </w:pPr>
            <w:r>
              <w:t>Japanese Envelope Kaku #3 Rotated</w:t>
            </w:r>
          </w:p>
        </w:tc>
      </w:tr>
      <w:tr w:rsidR="000A156F" w:rsidTr="000A156F">
        <w:tc>
          <w:tcPr>
            <w:tcW w:w="0" w:type="auto"/>
            <w:vAlign w:val="center"/>
          </w:tcPr>
          <w:p w:rsidR="000A156F" w:rsidRDefault="00A9721F">
            <w:pPr>
              <w:pStyle w:val="TableBodyText"/>
            </w:pPr>
            <w:r>
              <w:t>86</w:t>
            </w:r>
          </w:p>
        </w:tc>
        <w:tc>
          <w:tcPr>
            <w:tcW w:w="0" w:type="auto"/>
            <w:vAlign w:val="center"/>
          </w:tcPr>
          <w:p w:rsidR="000A156F" w:rsidRDefault="00A9721F">
            <w:pPr>
              <w:pStyle w:val="TableBodyText"/>
            </w:pPr>
            <w:r>
              <w:t>Japanese Envelope Chou #3 Rotated</w:t>
            </w:r>
          </w:p>
        </w:tc>
      </w:tr>
      <w:tr w:rsidR="000A156F" w:rsidTr="000A156F">
        <w:tc>
          <w:tcPr>
            <w:tcW w:w="0" w:type="auto"/>
            <w:vAlign w:val="center"/>
          </w:tcPr>
          <w:p w:rsidR="000A156F" w:rsidRDefault="00A9721F">
            <w:pPr>
              <w:pStyle w:val="TableBodyText"/>
            </w:pPr>
            <w:r>
              <w:t>87</w:t>
            </w:r>
          </w:p>
        </w:tc>
        <w:tc>
          <w:tcPr>
            <w:tcW w:w="0" w:type="auto"/>
            <w:vAlign w:val="center"/>
          </w:tcPr>
          <w:p w:rsidR="000A156F" w:rsidRDefault="00A9721F">
            <w:pPr>
              <w:pStyle w:val="TableBodyText"/>
            </w:pPr>
            <w:r>
              <w:t>Japanese Envelope Chou #4 Rotated</w:t>
            </w:r>
          </w:p>
        </w:tc>
      </w:tr>
      <w:tr w:rsidR="000A156F" w:rsidTr="000A156F">
        <w:tc>
          <w:tcPr>
            <w:tcW w:w="0" w:type="auto"/>
            <w:vAlign w:val="center"/>
          </w:tcPr>
          <w:p w:rsidR="000A156F" w:rsidRDefault="00A9721F">
            <w:pPr>
              <w:pStyle w:val="TableBodyText"/>
            </w:pPr>
            <w:r>
              <w:t>88</w:t>
            </w:r>
          </w:p>
        </w:tc>
        <w:tc>
          <w:tcPr>
            <w:tcW w:w="0" w:type="auto"/>
            <w:vAlign w:val="center"/>
          </w:tcPr>
          <w:p w:rsidR="000A156F" w:rsidRDefault="00A9721F">
            <w:pPr>
              <w:pStyle w:val="TableBodyText"/>
            </w:pPr>
            <w:r>
              <w:t>B6 (JIS) 128 x 182 mm</w:t>
            </w:r>
          </w:p>
        </w:tc>
      </w:tr>
      <w:tr w:rsidR="000A156F" w:rsidTr="000A156F">
        <w:tc>
          <w:tcPr>
            <w:tcW w:w="0" w:type="auto"/>
            <w:vAlign w:val="center"/>
          </w:tcPr>
          <w:p w:rsidR="000A156F" w:rsidRDefault="00A9721F">
            <w:pPr>
              <w:pStyle w:val="TableBodyText"/>
            </w:pPr>
            <w:r>
              <w:t>89</w:t>
            </w:r>
          </w:p>
        </w:tc>
        <w:tc>
          <w:tcPr>
            <w:tcW w:w="0" w:type="auto"/>
            <w:vAlign w:val="center"/>
          </w:tcPr>
          <w:p w:rsidR="000A156F" w:rsidRDefault="00A9721F">
            <w:pPr>
              <w:pStyle w:val="TableBodyText"/>
            </w:pPr>
            <w:r>
              <w:t>B6 (JIS) Rotated 182 x 128 mm</w:t>
            </w:r>
          </w:p>
        </w:tc>
      </w:tr>
      <w:tr w:rsidR="000A156F" w:rsidTr="000A156F">
        <w:tc>
          <w:tcPr>
            <w:tcW w:w="0" w:type="auto"/>
            <w:vAlign w:val="center"/>
          </w:tcPr>
          <w:p w:rsidR="000A156F" w:rsidRDefault="00A9721F">
            <w:pPr>
              <w:pStyle w:val="TableBodyText"/>
            </w:pPr>
            <w:r>
              <w:t>90</w:t>
            </w:r>
          </w:p>
        </w:tc>
        <w:tc>
          <w:tcPr>
            <w:tcW w:w="0" w:type="auto"/>
            <w:vAlign w:val="center"/>
          </w:tcPr>
          <w:p w:rsidR="000A156F" w:rsidRDefault="00A9721F">
            <w:pPr>
              <w:pStyle w:val="TableBodyText"/>
            </w:pPr>
            <w:r>
              <w:t>12 x 11 in</w:t>
            </w:r>
          </w:p>
        </w:tc>
      </w:tr>
      <w:tr w:rsidR="000A156F" w:rsidTr="000A156F">
        <w:tc>
          <w:tcPr>
            <w:tcW w:w="0" w:type="auto"/>
            <w:vAlign w:val="center"/>
          </w:tcPr>
          <w:p w:rsidR="000A156F" w:rsidRDefault="00A9721F">
            <w:pPr>
              <w:pStyle w:val="TableBodyText"/>
            </w:pPr>
            <w:r>
              <w:lastRenderedPageBreak/>
              <w:t>91</w:t>
            </w:r>
          </w:p>
        </w:tc>
        <w:tc>
          <w:tcPr>
            <w:tcW w:w="0" w:type="auto"/>
            <w:vAlign w:val="center"/>
          </w:tcPr>
          <w:p w:rsidR="000A156F" w:rsidRDefault="00A9721F">
            <w:pPr>
              <w:pStyle w:val="TableBodyText"/>
            </w:pPr>
            <w:r>
              <w:t>Japanese Envelope You #4</w:t>
            </w:r>
          </w:p>
        </w:tc>
      </w:tr>
      <w:tr w:rsidR="000A156F" w:rsidTr="000A156F">
        <w:tc>
          <w:tcPr>
            <w:tcW w:w="0" w:type="auto"/>
            <w:vAlign w:val="center"/>
          </w:tcPr>
          <w:p w:rsidR="000A156F" w:rsidRDefault="00A9721F">
            <w:pPr>
              <w:pStyle w:val="TableBodyText"/>
            </w:pPr>
            <w:r>
              <w:t>92</w:t>
            </w:r>
          </w:p>
        </w:tc>
        <w:tc>
          <w:tcPr>
            <w:tcW w:w="0" w:type="auto"/>
            <w:vAlign w:val="center"/>
          </w:tcPr>
          <w:p w:rsidR="000A156F" w:rsidRDefault="00A9721F">
            <w:pPr>
              <w:pStyle w:val="TableBodyText"/>
            </w:pPr>
            <w:r>
              <w:t>Japanese Envelope You #4 Rotated</w:t>
            </w:r>
          </w:p>
        </w:tc>
      </w:tr>
      <w:tr w:rsidR="000A156F" w:rsidTr="000A156F">
        <w:tc>
          <w:tcPr>
            <w:tcW w:w="0" w:type="auto"/>
            <w:vAlign w:val="center"/>
          </w:tcPr>
          <w:p w:rsidR="000A156F" w:rsidRDefault="00A9721F">
            <w:pPr>
              <w:pStyle w:val="TableBodyText"/>
            </w:pPr>
            <w:r>
              <w:t>93</w:t>
            </w:r>
          </w:p>
        </w:tc>
        <w:tc>
          <w:tcPr>
            <w:tcW w:w="0" w:type="auto"/>
            <w:vAlign w:val="center"/>
          </w:tcPr>
          <w:p w:rsidR="000A156F" w:rsidRDefault="00A9721F">
            <w:pPr>
              <w:pStyle w:val="TableBodyText"/>
            </w:pPr>
            <w:r>
              <w:t>PRC 16K 146 x 215 mm</w:t>
            </w:r>
          </w:p>
        </w:tc>
      </w:tr>
      <w:tr w:rsidR="000A156F" w:rsidTr="000A156F">
        <w:tc>
          <w:tcPr>
            <w:tcW w:w="0" w:type="auto"/>
            <w:vAlign w:val="center"/>
          </w:tcPr>
          <w:p w:rsidR="000A156F" w:rsidRDefault="00A9721F">
            <w:pPr>
              <w:pStyle w:val="TableBodyText"/>
            </w:pPr>
            <w:r>
              <w:t>94</w:t>
            </w:r>
          </w:p>
        </w:tc>
        <w:tc>
          <w:tcPr>
            <w:tcW w:w="0" w:type="auto"/>
            <w:vAlign w:val="center"/>
          </w:tcPr>
          <w:p w:rsidR="000A156F" w:rsidRDefault="00A9721F">
            <w:pPr>
              <w:pStyle w:val="TableBodyText"/>
            </w:pPr>
            <w:r>
              <w:t>PRC 32K 97 x 151 mm</w:t>
            </w:r>
          </w:p>
        </w:tc>
      </w:tr>
      <w:tr w:rsidR="000A156F" w:rsidTr="000A156F">
        <w:tc>
          <w:tcPr>
            <w:tcW w:w="0" w:type="auto"/>
            <w:vAlign w:val="center"/>
          </w:tcPr>
          <w:p w:rsidR="000A156F" w:rsidRDefault="00A9721F">
            <w:pPr>
              <w:pStyle w:val="TableBodyText"/>
            </w:pPr>
            <w:r>
              <w:t>95</w:t>
            </w:r>
          </w:p>
        </w:tc>
        <w:tc>
          <w:tcPr>
            <w:tcW w:w="0" w:type="auto"/>
            <w:vAlign w:val="center"/>
          </w:tcPr>
          <w:p w:rsidR="000A156F" w:rsidRDefault="00A9721F">
            <w:pPr>
              <w:pStyle w:val="TableBodyText"/>
            </w:pPr>
            <w:r>
              <w:t>PRC 32K(Big) 97 x 151 mm</w:t>
            </w:r>
          </w:p>
        </w:tc>
      </w:tr>
      <w:tr w:rsidR="000A156F" w:rsidTr="000A156F">
        <w:tc>
          <w:tcPr>
            <w:tcW w:w="0" w:type="auto"/>
            <w:vAlign w:val="center"/>
          </w:tcPr>
          <w:p w:rsidR="000A156F" w:rsidRDefault="00A9721F">
            <w:pPr>
              <w:pStyle w:val="TableBodyText"/>
            </w:pPr>
            <w:r>
              <w:t>96</w:t>
            </w:r>
          </w:p>
        </w:tc>
        <w:tc>
          <w:tcPr>
            <w:tcW w:w="0" w:type="auto"/>
            <w:vAlign w:val="center"/>
          </w:tcPr>
          <w:p w:rsidR="000A156F" w:rsidRDefault="00A9721F">
            <w:pPr>
              <w:pStyle w:val="TableBodyText"/>
            </w:pPr>
            <w:r>
              <w:t>PRC Envelope #1 102 x 165 mm</w:t>
            </w:r>
          </w:p>
        </w:tc>
      </w:tr>
      <w:tr w:rsidR="000A156F" w:rsidTr="000A156F">
        <w:tc>
          <w:tcPr>
            <w:tcW w:w="0" w:type="auto"/>
            <w:vAlign w:val="center"/>
          </w:tcPr>
          <w:p w:rsidR="000A156F" w:rsidRDefault="00A9721F">
            <w:pPr>
              <w:pStyle w:val="TableBodyText"/>
            </w:pPr>
            <w:r>
              <w:t>97</w:t>
            </w:r>
          </w:p>
        </w:tc>
        <w:tc>
          <w:tcPr>
            <w:tcW w:w="0" w:type="auto"/>
            <w:vAlign w:val="center"/>
          </w:tcPr>
          <w:p w:rsidR="000A156F" w:rsidRDefault="00A9721F">
            <w:pPr>
              <w:pStyle w:val="TableBodyText"/>
            </w:pPr>
            <w:r>
              <w:t>PRC Envelope #2 102 x 176 mm</w:t>
            </w:r>
          </w:p>
        </w:tc>
      </w:tr>
      <w:tr w:rsidR="000A156F" w:rsidTr="000A156F">
        <w:tc>
          <w:tcPr>
            <w:tcW w:w="0" w:type="auto"/>
            <w:vAlign w:val="center"/>
          </w:tcPr>
          <w:p w:rsidR="000A156F" w:rsidRDefault="00A9721F">
            <w:pPr>
              <w:pStyle w:val="TableBodyText"/>
            </w:pPr>
            <w:r>
              <w:t>98</w:t>
            </w:r>
          </w:p>
        </w:tc>
        <w:tc>
          <w:tcPr>
            <w:tcW w:w="0" w:type="auto"/>
            <w:vAlign w:val="center"/>
          </w:tcPr>
          <w:p w:rsidR="000A156F" w:rsidRDefault="00A9721F">
            <w:pPr>
              <w:pStyle w:val="TableBodyText"/>
            </w:pPr>
            <w:r>
              <w:t>PRC Envelope #3 125 x 176 mm</w:t>
            </w:r>
          </w:p>
        </w:tc>
      </w:tr>
      <w:tr w:rsidR="000A156F" w:rsidTr="000A156F">
        <w:tc>
          <w:tcPr>
            <w:tcW w:w="0" w:type="auto"/>
            <w:vAlign w:val="center"/>
          </w:tcPr>
          <w:p w:rsidR="000A156F" w:rsidRDefault="00A9721F">
            <w:pPr>
              <w:pStyle w:val="TableBodyText"/>
            </w:pPr>
            <w:r>
              <w:t>99</w:t>
            </w:r>
          </w:p>
        </w:tc>
        <w:tc>
          <w:tcPr>
            <w:tcW w:w="0" w:type="auto"/>
            <w:vAlign w:val="center"/>
          </w:tcPr>
          <w:p w:rsidR="000A156F" w:rsidRDefault="00A9721F">
            <w:pPr>
              <w:pStyle w:val="TableBodyText"/>
            </w:pPr>
            <w:r>
              <w:t>PRC Envelope #4 110 x 208 mm</w:t>
            </w:r>
          </w:p>
        </w:tc>
      </w:tr>
      <w:tr w:rsidR="000A156F" w:rsidTr="000A156F">
        <w:tc>
          <w:tcPr>
            <w:tcW w:w="0" w:type="auto"/>
            <w:vAlign w:val="center"/>
          </w:tcPr>
          <w:p w:rsidR="000A156F" w:rsidRDefault="00A9721F">
            <w:pPr>
              <w:pStyle w:val="TableBodyText"/>
            </w:pPr>
            <w:r>
              <w:t>100</w:t>
            </w:r>
          </w:p>
        </w:tc>
        <w:tc>
          <w:tcPr>
            <w:tcW w:w="0" w:type="auto"/>
            <w:vAlign w:val="center"/>
          </w:tcPr>
          <w:p w:rsidR="000A156F" w:rsidRDefault="00A9721F">
            <w:pPr>
              <w:pStyle w:val="TableBodyText"/>
            </w:pPr>
            <w:r>
              <w:t>PRC Envelope #5 110 x 220 mm</w:t>
            </w:r>
          </w:p>
        </w:tc>
      </w:tr>
      <w:tr w:rsidR="000A156F" w:rsidTr="000A156F">
        <w:tc>
          <w:tcPr>
            <w:tcW w:w="0" w:type="auto"/>
            <w:vAlign w:val="center"/>
          </w:tcPr>
          <w:p w:rsidR="000A156F" w:rsidRDefault="00A9721F">
            <w:pPr>
              <w:pStyle w:val="TableBodyText"/>
            </w:pPr>
            <w:r>
              <w:t>101</w:t>
            </w:r>
          </w:p>
        </w:tc>
        <w:tc>
          <w:tcPr>
            <w:tcW w:w="0" w:type="auto"/>
            <w:vAlign w:val="center"/>
          </w:tcPr>
          <w:p w:rsidR="000A156F" w:rsidRDefault="00A9721F">
            <w:pPr>
              <w:pStyle w:val="TableBodyText"/>
            </w:pPr>
            <w:r>
              <w:t>PRC Envelope #6 120 x 230 mm</w:t>
            </w:r>
          </w:p>
        </w:tc>
      </w:tr>
      <w:tr w:rsidR="000A156F" w:rsidTr="000A156F">
        <w:tc>
          <w:tcPr>
            <w:tcW w:w="0" w:type="auto"/>
            <w:vAlign w:val="center"/>
          </w:tcPr>
          <w:p w:rsidR="000A156F" w:rsidRDefault="00A9721F">
            <w:pPr>
              <w:pStyle w:val="TableBodyText"/>
            </w:pPr>
            <w:r>
              <w:t>102</w:t>
            </w:r>
          </w:p>
        </w:tc>
        <w:tc>
          <w:tcPr>
            <w:tcW w:w="0" w:type="auto"/>
            <w:vAlign w:val="center"/>
          </w:tcPr>
          <w:p w:rsidR="000A156F" w:rsidRDefault="00A9721F">
            <w:pPr>
              <w:pStyle w:val="TableBodyText"/>
            </w:pPr>
            <w:r>
              <w:t>PRC Envelope #7 160 x 230 mm</w:t>
            </w:r>
          </w:p>
        </w:tc>
      </w:tr>
      <w:tr w:rsidR="000A156F" w:rsidTr="000A156F">
        <w:tc>
          <w:tcPr>
            <w:tcW w:w="0" w:type="auto"/>
            <w:vAlign w:val="center"/>
          </w:tcPr>
          <w:p w:rsidR="000A156F" w:rsidRDefault="00A9721F">
            <w:pPr>
              <w:pStyle w:val="TableBodyText"/>
            </w:pPr>
            <w:r>
              <w:t>103</w:t>
            </w:r>
          </w:p>
        </w:tc>
        <w:tc>
          <w:tcPr>
            <w:tcW w:w="0" w:type="auto"/>
            <w:vAlign w:val="center"/>
          </w:tcPr>
          <w:p w:rsidR="000A156F" w:rsidRDefault="00A9721F">
            <w:pPr>
              <w:pStyle w:val="TableBodyText"/>
            </w:pPr>
            <w:r>
              <w:t>PRC Envelope #8 120 x 309 mm</w:t>
            </w:r>
          </w:p>
        </w:tc>
      </w:tr>
      <w:tr w:rsidR="000A156F" w:rsidTr="000A156F">
        <w:tc>
          <w:tcPr>
            <w:tcW w:w="0" w:type="auto"/>
            <w:vAlign w:val="center"/>
          </w:tcPr>
          <w:p w:rsidR="000A156F" w:rsidRDefault="00A9721F">
            <w:pPr>
              <w:pStyle w:val="TableBodyText"/>
            </w:pPr>
            <w:r>
              <w:t>104</w:t>
            </w:r>
          </w:p>
        </w:tc>
        <w:tc>
          <w:tcPr>
            <w:tcW w:w="0" w:type="auto"/>
            <w:vAlign w:val="center"/>
          </w:tcPr>
          <w:p w:rsidR="000A156F" w:rsidRDefault="00A9721F">
            <w:pPr>
              <w:pStyle w:val="TableBodyText"/>
            </w:pPr>
            <w:r>
              <w:t>PRC Envelope #9 229 x 324 mm</w:t>
            </w:r>
          </w:p>
        </w:tc>
      </w:tr>
      <w:tr w:rsidR="000A156F" w:rsidTr="000A156F">
        <w:tc>
          <w:tcPr>
            <w:tcW w:w="0" w:type="auto"/>
            <w:vAlign w:val="center"/>
          </w:tcPr>
          <w:p w:rsidR="000A156F" w:rsidRDefault="00A9721F">
            <w:pPr>
              <w:pStyle w:val="TableBodyText"/>
            </w:pPr>
            <w:r>
              <w:t>105</w:t>
            </w:r>
          </w:p>
        </w:tc>
        <w:tc>
          <w:tcPr>
            <w:tcW w:w="0" w:type="auto"/>
            <w:vAlign w:val="center"/>
          </w:tcPr>
          <w:p w:rsidR="000A156F" w:rsidRDefault="00A9721F">
            <w:pPr>
              <w:pStyle w:val="TableBodyText"/>
            </w:pPr>
            <w:r>
              <w:t>PRC Envelope #10 324 x 458 mm</w:t>
            </w:r>
          </w:p>
        </w:tc>
      </w:tr>
      <w:tr w:rsidR="000A156F" w:rsidTr="000A156F">
        <w:tc>
          <w:tcPr>
            <w:tcW w:w="0" w:type="auto"/>
            <w:vAlign w:val="center"/>
          </w:tcPr>
          <w:p w:rsidR="000A156F" w:rsidRDefault="00A9721F">
            <w:pPr>
              <w:pStyle w:val="TableBodyText"/>
            </w:pPr>
            <w:r>
              <w:t>106</w:t>
            </w:r>
          </w:p>
        </w:tc>
        <w:tc>
          <w:tcPr>
            <w:tcW w:w="0" w:type="auto"/>
            <w:vAlign w:val="center"/>
          </w:tcPr>
          <w:p w:rsidR="000A156F" w:rsidRDefault="00A9721F">
            <w:pPr>
              <w:pStyle w:val="TableBodyText"/>
            </w:pPr>
            <w:r>
              <w:t xml:space="preserve">PRC 16K </w:t>
            </w:r>
            <w:r>
              <w:t>Rotated</w:t>
            </w:r>
          </w:p>
        </w:tc>
      </w:tr>
      <w:tr w:rsidR="000A156F" w:rsidTr="000A156F">
        <w:tc>
          <w:tcPr>
            <w:tcW w:w="0" w:type="auto"/>
            <w:vAlign w:val="center"/>
          </w:tcPr>
          <w:p w:rsidR="000A156F" w:rsidRDefault="00A9721F">
            <w:pPr>
              <w:pStyle w:val="TableBodyText"/>
            </w:pPr>
            <w:r>
              <w:t>107</w:t>
            </w:r>
          </w:p>
        </w:tc>
        <w:tc>
          <w:tcPr>
            <w:tcW w:w="0" w:type="auto"/>
            <w:vAlign w:val="center"/>
          </w:tcPr>
          <w:p w:rsidR="000A156F" w:rsidRDefault="00A9721F">
            <w:pPr>
              <w:pStyle w:val="TableBodyText"/>
            </w:pPr>
            <w:r>
              <w:t>PRC 32K Rotated</w:t>
            </w:r>
          </w:p>
        </w:tc>
      </w:tr>
      <w:tr w:rsidR="000A156F" w:rsidTr="000A156F">
        <w:tc>
          <w:tcPr>
            <w:tcW w:w="0" w:type="auto"/>
            <w:vAlign w:val="center"/>
          </w:tcPr>
          <w:p w:rsidR="000A156F" w:rsidRDefault="00A9721F">
            <w:pPr>
              <w:pStyle w:val="TableBodyText"/>
            </w:pPr>
            <w:r>
              <w:t>108</w:t>
            </w:r>
          </w:p>
        </w:tc>
        <w:tc>
          <w:tcPr>
            <w:tcW w:w="0" w:type="auto"/>
            <w:vAlign w:val="center"/>
          </w:tcPr>
          <w:p w:rsidR="000A156F" w:rsidRDefault="00A9721F">
            <w:pPr>
              <w:pStyle w:val="TableBodyText"/>
            </w:pPr>
            <w:r>
              <w:t>PRC 32K(Big) Rotated</w:t>
            </w:r>
          </w:p>
        </w:tc>
      </w:tr>
      <w:tr w:rsidR="000A156F" w:rsidTr="000A156F">
        <w:tc>
          <w:tcPr>
            <w:tcW w:w="0" w:type="auto"/>
            <w:vAlign w:val="center"/>
          </w:tcPr>
          <w:p w:rsidR="000A156F" w:rsidRDefault="00A9721F">
            <w:pPr>
              <w:pStyle w:val="TableBodyText"/>
            </w:pPr>
            <w:r>
              <w:t>109</w:t>
            </w:r>
          </w:p>
        </w:tc>
        <w:tc>
          <w:tcPr>
            <w:tcW w:w="0" w:type="auto"/>
            <w:vAlign w:val="center"/>
          </w:tcPr>
          <w:p w:rsidR="000A156F" w:rsidRDefault="00A9721F">
            <w:pPr>
              <w:pStyle w:val="TableBodyText"/>
            </w:pPr>
            <w:r>
              <w:t>PRC Envelope #1 Rotated 165 x 102 mm</w:t>
            </w:r>
          </w:p>
        </w:tc>
      </w:tr>
      <w:tr w:rsidR="000A156F" w:rsidTr="000A156F">
        <w:tc>
          <w:tcPr>
            <w:tcW w:w="0" w:type="auto"/>
            <w:vAlign w:val="center"/>
          </w:tcPr>
          <w:p w:rsidR="000A156F" w:rsidRDefault="00A9721F">
            <w:pPr>
              <w:pStyle w:val="TableBodyText"/>
            </w:pPr>
            <w:r>
              <w:t>110</w:t>
            </w:r>
          </w:p>
        </w:tc>
        <w:tc>
          <w:tcPr>
            <w:tcW w:w="0" w:type="auto"/>
            <w:vAlign w:val="center"/>
          </w:tcPr>
          <w:p w:rsidR="000A156F" w:rsidRDefault="00A9721F">
            <w:pPr>
              <w:pStyle w:val="TableBodyText"/>
            </w:pPr>
            <w:r>
              <w:t>PRC Envelope #2 Rotated 176 x 102 mm</w:t>
            </w:r>
          </w:p>
        </w:tc>
      </w:tr>
      <w:tr w:rsidR="000A156F" w:rsidTr="000A156F">
        <w:tc>
          <w:tcPr>
            <w:tcW w:w="0" w:type="auto"/>
            <w:vAlign w:val="center"/>
          </w:tcPr>
          <w:p w:rsidR="000A156F" w:rsidRDefault="00A9721F">
            <w:pPr>
              <w:pStyle w:val="TableBodyText"/>
            </w:pPr>
            <w:r>
              <w:t>111</w:t>
            </w:r>
          </w:p>
        </w:tc>
        <w:tc>
          <w:tcPr>
            <w:tcW w:w="0" w:type="auto"/>
            <w:vAlign w:val="center"/>
          </w:tcPr>
          <w:p w:rsidR="000A156F" w:rsidRDefault="00A9721F">
            <w:pPr>
              <w:pStyle w:val="TableBodyText"/>
            </w:pPr>
            <w:r>
              <w:t>PRC Envelope #3 Rotated 176 x 125 mm</w:t>
            </w:r>
          </w:p>
        </w:tc>
      </w:tr>
      <w:tr w:rsidR="000A156F" w:rsidTr="000A156F">
        <w:tc>
          <w:tcPr>
            <w:tcW w:w="0" w:type="auto"/>
            <w:vAlign w:val="center"/>
          </w:tcPr>
          <w:p w:rsidR="000A156F" w:rsidRDefault="00A9721F">
            <w:pPr>
              <w:pStyle w:val="TableBodyText"/>
            </w:pPr>
            <w:r>
              <w:t>112</w:t>
            </w:r>
          </w:p>
        </w:tc>
        <w:tc>
          <w:tcPr>
            <w:tcW w:w="0" w:type="auto"/>
            <w:vAlign w:val="center"/>
          </w:tcPr>
          <w:p w:rsidR="000A156F" w:rsidRDefault="00A9721F">
            <w:pPr>
              <w:pStyle w:val="TableBodyText"/>
            </w:pPr>
            <w:r>
              <w:t>PRC Envelope #4 Rotated 208 x 110 mm</w:t>
            </w:r>
          </w:p>
        </w:tc>
      </w:tr>
      <w:tr w:rsidR="000A156F" w:rsidTr="000A156F">
        <w:tc>
          <w:tcPr>
            <w:tcW w:w="0" w:type="auto"/>
            <w:vAlign w:val="center"/>
          </w:tcPr>
          <w:p w:rsidR="000A156F" w:rsidRDefault="00A9721F">
            <w:pPr>
              <w:pStyle w:val="TableBodyText"/>
            </w:pPr>
            <w:r>
              <w:t>113</w:t>
            </w:r>
          </w:p>
        </w:tc>
        <w:tc>
          <w:tcPr>
            <w:tcW w:w="0" w:type="auto"/>
            <w:vAlign w:val="center"/>
          </w:tcPr>
          <w:p w:rsidR="000A156F" w:rsidRDefault="00A9721F">
            <w:pPr>
              <w:pStyle w:val="TableBodyText"/>
            </w:pPr>
            <w:r>
              <w:t xml:space="preserve">PRC Envelope #5 Rotated 220 </w:t>
            </w:r>
            <w:r>
              <w:t>x 110 mm</w:t>
            </w:r>
          </w:p>
        </w:tc>
      </w:tr>
      <w:tr w:rsidR="000A156F" w:rsidTr="000A156F">
        <w:tc>
          <w:tcPr>
            <w:tcW w:w="0" w:type="auto"/>
            <w:vAlign w:val="center"/>
          </w:tcPr>
          <w:p w:rsidR="000A156F" w:rsidRDefault="00A9721F">
            <w:pPr>
              <w:pStyle w:val="TableBodyText"/>
            </w:pPr>
            <w:r>
              <w:t>114</w:t>
            </w:r>
          </w:p>
        </w:tc>
        <w:tc>
          <w:tcPr>
            <w:tcW w:w="0" w:type="auto"/>
            <w:vAlign w:val="center"/>
          </w:tcPr>
          <w:p w:rsidR="000A156F" w:rsidRDefault="00A9721F">
            <w:pPr>
              <w:pStyle w:val="TableBodyText"/>
            </w:pPr>
            <w:r>
              <w:t>PRC Envelope #6 Rotated 230 x 120 mm</w:t>
            </w:r>
          </w:p>
        </w:tc>
      </w:tr>
      <w:tr w:rsidR="000A156F" w:rsidTr="000A156F">
        <w:tc>
          <w:tcPr>
            <w:tcW w:w="0" w:type="auto"/>
            <w:vAlign w:val="center"/>
          </w:tcPr>
          <w:p w:rsidR="000A156F" w:rsidRDefault="00A9721F">
            <w:pPr>
              <w:pStyle w:val="TableBodyText"/>
            </w:pPr>
            <w:r>
              <w:t>115</w:t>
            </w:r>
          </w:p>
        </w:tc>
        <w:tc>
          <w:tcPr>
            <w:tcW w:w="0" w:type="auto"/>
            <w:vAlign w:val="center"/>
          </w:tcPr>
          <w:p w:rsidR="000A156F" w:rsidRDefault="00A9721F">
            <w:pPr>
              <w:pStyle w:val="TableBodyText"/>
            </w:pPr>
            <w:r>
              <w:t>PRC Envelope #7 Rotated 230 x 160 mm</w:t>
            </w:r>
          </w:p>
        </w:tc>
      </w:tr>
      <w:tr w:rsidR="000A156F" w:rsidTr="000A156F">
        <w:tc>
          <w:tcPr>
            <w:tcW w:w="0" w:type="auto"/>
            <w:vAlign w:val="center"/>
          </w:tcPr>
          <w:p w:rsidR="000A156F" w:rsidRDefault="00A9721F">
            <w:pPr>
              <w:pStyle w:val="TableBodyText"/>
            </w:pPr>
            <w:r>
              <w:t>116</w:t>
            </w:r>
          </w:p>
        </w:tc>
        <w:tc>
          <w:tcPr>
            <w:tcW w:w="0" w:type="auto"/>
            <w:vAlign w:val="center"/>
          </w:tcPr>
          <w:p w:rsidR="000A156F" w:rsidRDefault="00A9721F">
            <w:pPr>
              <w:pStyle w:val="TableBodyText"/>
            </w:pPr>
            <w:r>
              <w:t>PRC Envelope #8 Rotated 309 x 120 mm</w:t>
            </w:r>
          </w:p>
        </w:tc>
      </w:tr>
      <w:tr w:rsidR="000A156F" w:rsidTr="000A156F">
        <w:tc>
          <w:tcPr>
            <w:tcW w:w="0" w:type="auto"/>
            <w:vAlign w:val="center"/>
          </w:tcPr>
          <w:p w:rsidR="000A156F" w:rsidRDefault="00A9721F">
            <w:pPr>
              <w:pStyle w:val="TableBodyText"/>
            </w:pPr>
            <w:r>
              <w:t>117</w:t>
            </w:r>
          </w:p>
        </w:tc>
        <w:tc>
          <w:tcPr>
            <w:tcW w:w="0" w:type="auto"/>
            <w:vAlign w:val="center"/>
          </w:tcPr>
          <w:p w:rsidR="000A156F" w:rsidRDefault="00A9721F">
            <w:pPr>
              <w:pStyle w:val="TableBodyText"/>
            </w:pPr>
            <w:r>
              <w:t>PRC Envelope #9 Rotated 324 x 229 mm</w:t>
            </w:r>
          </w:p>
        </w:tc>
      </w:tr>
      <w:tr w:rsidR="000A156F" w:rsidTr="000A156F">
        <w:tc>
          <w:tcPr>
            <w:tcW w:w="0" w:type="auto"/>
            <w:vAlign w:val="center"/>
          </w:tcPr>
          <w:p w:rsidR="000A156F" w:rsidRDefault="00A9721F">
            <w:pPr>
              <w:pStyle w:val="TableBodyText"/>
            </w:pPr>
            <w:r>
              <w:t>118</w:t>
            </w:r>
          </w:p>
        </w:tc>
        <w:tc>
          <w:tcPr>
            <w:tcW w:w="0" w:type="auto"/>
            <w:vAlign w:val="center"/>
          </w:tcPr>
          <w:p w:rsidR="000A156F" w:rsidRDefault="00A9721F">
            <w:pPr>
              <w:pStyle w:val="TableBodyText"/>
            </w:pPr>
            <w:r>
              <w:t>PRC Envelope #10 Rotated 458 x 324 mm</w:t>
            </w:r>
          </w:p>
        </w:tc>
      </w:tr>
    </w:tbl>
    <w:p w:rsidR="000A156F" w:rsidRDefault="000A156F"/>
    <w:p w:rsidR="000A156F" w:rsidRDefault="00A9721F">
      <w:pPr>
        <w:pStyle w:val="Definition-Field"/>
      </w:pPr>
      <w:r>
        <w:t xml:space="preserve">f.   </w:t>
      </w:r>
      <w:r>
        <w:rPr>
          <w:i/>
        </w:rPr>
        <w:t xml:space="preserve">The standard states that the </w:t>
      </w:r>
      <w:r>
        <w:rPr>
          <w:i/>
        </w:rPr>
        <w:t>values of the paperSize attribute are defined by the XML Schema unsignedInt datatype.</w:t>
      </w:r>
    </w:p>
    <w:p w:rsidR="000A156F" w:rsidRDefault="00A9721F">
      <w:pPr>
        <w:pStyle w:val="Definition-Field2"/>
      </w:pPr>
      <w:r>
        <w:t>Excel restricts the value of this attribute to be at most 2147483647.</w:t>
      </w:r>
    </w:p>
    <w:p w:rsidR="000A156F" w:rsidRDefault="00A9721F">
      <w:pPr>
        <w:pStyle w:val="Definition-Field"/>
      </w:pPr>
      <w:r>
        <w:lastRenderedPageBreak/>
        <w:t xml:space="preserve">g.   </w:t>
      </w:r>
      <w:r>
        <w:rPr>
          <w:i/>
        </w:rPr>
        <w:t>The standard states that paperHeight is a valid attribute, and that when it is present, paperSi</w:t>
      </w:r>
      <w:r>
        <w:rPr>
          <w:i/>
        </w:rPr>
        <w:t>ze shall be ignored.</w:t>
      </w:r>
    </w:p>
    <w:p w:rsidR="000A156F" w:rsidRDefault="00A9721F">
      <w:pPr>
        <w:pStyle w:val="Definition-Field2"/>
      </w:pPr>
      <w:r>
        <w:t>Office ignores the paperHeight attribute if it is present, and does not ignore the paperSize attribute if paperHeight is present.</w:t>
      </w:r>
    </w:p>
    <w:p w:rsidR="000A156F" w:rsidRDefault="00A9721F">
      <w:pPr>
        <w:pStyle w:val="Definition-Field"/>
      </w:pPr>
      <w:r>
        <w:t xml:space="preserve">h.   </w:t>
      </w:r>
      <w:r>
        <w:rPr>
          <w:i/>
        </w:rPr>
        <w:t>The standard states that paperWidth is a valid attribute, and that when it is present, paperSize sha</w:t>
      </w:r>
      <w:r>
        <w:rPr>
          <w:i/>
        </w:rPr>
        <w:t>ll be ignored.</w:t>
      </w:r>
    </w:p>
    <w:p w:rsidR="000A156F" w:rsidRDefault="00A9721F">
      <w:pPr>
        <w:pStyle w:val="Definition-Field2"/>
      </w:pPr>
      <w:r>
        <w:t>Office ignores the paperWidth attribute if it is present, and does not ignore the paperSize attribute if paperWidth is present.</w:t>
      </w:r>
    </w:p>
    <w:p w:rsidR="000A156F" w:rsidRDefault="00A9721F">
      <w:pPr>
        <w:pStyle w:val="Heading3"/>
      </w:pPr>
      <w:bookmarkStart w:id="1300" w:name="section_ec58171895fa49388a746b840a7044ec"/>
      <w:bookmarkStart w:id="1301" w:name="_Toc181683676"/>
      <w:r>
        <w:t>Part 1 Section 18.3.1.66, pane (View Pane)</w:t>
      </w:r>
      <w:bookmarkEnd w:id="1300"/>
      <w:bookmarkEnd w:id="1301"/>
      <w:r>
        <w:fldChar w:fldCharType="begin"/>
      </w:r>
      <w:r>
        <w:instrText xml:space="preserve"> XE "pane (View Pane)" </w:instrText>
      </w:r>
      <w:r>
        <w:fldChar w:fldCharType="end"/>
      </w:r>
    </w:p>
    <w:p w:rsidR="000A156F" w:rsidRDefault="00A9721F">
      <w:pPr>
        <w:pStyle w:val="Definition-Field"/>
      </w:pPr>
      <w:r>
        <w:t xml:space="preserve">a.   </w:t>
      </w:r>
      <w:r>
        <w:rPr>
          <w:i/>
        </w:rPr>
        <w:t xml:space="preserve">In the standard the TopLeftCell </w:t>
      </w:r>
      <w:r>
        <w:rPr>
          <w:i/>
        </w:rPr>
        <w:t>attribute currently states use equals optional.</w:t>
      </w:r>
    </w:p>
    <w:p w:rsidR="000A156F" w:rsidRDefault="00A9721F">
      <w:pPr>
        <w:pStyle w:val="Definition-Field2"/>
      </w:pPr>
      <w:r>
        <w:t>Office treats the TopLeftCell attribute as optional if state equals split; otherwise, it is required.</w:t>
      </w:r>
    </w:p>
    <w:p w:rsidR="000A156F" w:rsidRDefault="00A9721F">
      <w:pPr>
        <w:pStyle w:val="Definition-Field"/>
      </w:pPr>
      <w:r>
        <w:t xml:space="preserve">b.   </w:t>
      </w:r>
      <w:r>
        <w:rPr>
          <w:i/>
        </w:rPr>
        <w:t xml:space="preserve">The standard does not define what the value for the xSplit attribute indicates if the parent element </w:t>
      </w:r>
      <w:r>
        <w:rPr>
          <w:i/>
        </w:rPr>
        <w:t>is customSheetView.</w:t>
      </w:r>
    </w:p>
    <w:p w:rsidR="000A156F" w:rsidRDefault="00A9721F">
      <w:pPr>
        <w:pStyle w:val="Definition-Field2"/>
      </w:pPr>
      <w:r>
        <w:t>In Office, when parent is customSheetView, the xSplit attribute is always saved as the number of columns (regardless of frozen or unfrozen state).</w:t>
      </w:r>
    </w:p>
    <w:p w:rsidR="000A156F" w:rsidRDefault="00A9721F">
      <w:pPr>
        <w:pStyle w:val="Definition-Field"/>
      </w:pPr>
      <w:r>
        <w:t xml:space="preserve">c.   </w:t>
      </w:r>
      <w:r>
        <w:rPr>
          <w:i/>
        </w:rPr>
        <w:t>The standard does not define what the value for the ySplit attribute indicates if th</w:t>
      </w:r>
      <w:r>
        <w:rPr>
          <w:i/>
        </w:rPr>
        <w:t>e parent element is customSheetView.</w:t>
      </w:r>
    </w:p>
    <w:p w:rsidR="000A156F" w:rsidRDefault="00A9721F">
      <w:pPr>
        <w:pStyle w:val="Definition-Field2"/>
      </w:pPr>
      <w:r>
        <w:t>In Office, when parent is customSheetView, the ySplit attribute is always saved as the number of rows (regardless of frozen or unfrozen state).</w:t>
      </w:r>
    </w:p>
    <w:p w:rsidR="000A156F" w:rsidRDefault="00A9721F">
      <w:pPr>
        <w:pStyle w:val="Definition-Field"/>
      </w:pPr>
      <w:r>
        <w:t xml:space="preserve">d.   </w:t>
      </w:r>
      <w:r>
        <w:rPr>
          <w:i/>
        </w:rPr>
        <w:t>In the standard the xSplit and ySplit definitions are reversed.</w:t>
      </w:r>
    </w:p>
    <w:p w:rsidR="000A156F" w:rsidRDefault="00A9721F">
      <w:pPr>
        <w:pStyle w:val="Definition-Field2"/>
      </w:pPr>
      <w:r>
        <w:t>In Off</w:t>
      </w:r>
      <w:r>
        <w:t>ice, xSplit is the Vertical split position and columns visible in the left pane, and ySplit is the Horizontal split position and columns visible in the top pane.</w:t>
      </w:r>
    </w:p>
    <w:p w:rsidR="000A156F" w:rsidRDefault="00A9721F">
      <w:pPr>
        <w:pStyle w:val="Definition-Field"/>
      </w:pPr>
      <w:r>
        <w:t xml:space="preserve">e.   </w:t>
      </w:r>
      <w:r>
        <w:rPr>
          <w:i/>
        </w:rPr>
        <w:t>The standard states that the xSplit and ySplit values can be zero indicating none for tha</w:t>
      </w:r>
      <w:r>
        <w:rPr>
          <w:i/>
        </w:rPr>
        <w:t>t setting.</w:t>
      </w:r>
    </w:p>
    <w:p w:rsidR="000A156F" w:rsidRDefault="00A9721F">
      <w:pPr>
        <w:pStyle w:val="Definition-Field2"/>
      </w:pPr>
      <w:r>
        <w:t>Office does not support setting xSplit and ySplit to Zero when the parent element is SheetView.</w:t>
      </w:r>
    </w:p>
    <w:p w:rsidR="000A156F" w:rsidRDefault="00A9721F">
      <w:pPr>
        <w:pStyle w:val="Heading3"/>
      </w:pPr>
      <w:bookmarkStart w:id="1302" w:name="section_0258cf3b6fa44c229af13f8983d3a381"/>
      <w:bookmarkStart w:id="1303" w:name="_Toc181683677"/>
      <w:r>
        <w:t>Part 1 Section 18.3.1.68, pivotArea (Pivot Area)</w:t>
      </w:r>
      <w:bookmarkEnd w:id="1302"/>
      <w:bookmarkEnd w:id="1303"/>
      <w:r>
        <w:fldChar w:fldCharType="begin"/>
      </w:r>
      <w:r>
        <w:instrText xml:space="preserve"> XE "pivotArea (Pivot Area)" </w:instrText>
      </w:r>
      <w:r>
        <w:fldChar w:fldCharType="end"/>
      </w:r>
    </w:p>
    <w:p w:rsidR="000A156F" w:rsidRDefault="00A9721F">
      <w:pPr>
        <w:pStyle w:val="Definition-Field"/>
      </w:pPr>
      <w:r>
        <w:t xml:space="preserve">a.   </w:t>
      </w:r>
      <w:r>
        <w:rPr>
          <w:i/>
        </w:rPr>
        <w:t>The standard does not state that the dataOnly attribute can be t</w:t>
      </w:r>
      <w:r>
        <w:rPr>
          <w:i/>
        </w:rPr>
        <w:t>rue only if the labelOnly attribute is false.</w:t>
      </w:r>
    </w:p>
    <w:p w:rsidR="000A156F" w:rsidRDefault="00A9721F">
      <w:pPr>
        <w:pStyle w:val="Definition-Field2"/>
      </w:pPr>
      <w:r>
        <w:t>Office allows the dataOnly attribute to be true only if the labelOnly attribute is false.</w:t>
      </w:r>
    </w:p>
    <w:p w:rsidR="000A156F" w:rsidRDefault="00A9721F">
      <w:pPr>
        <w:pStyle w:val="Definition-Field"/>
      </w:pPr>
      <w:r>
        <w:t xml:space="preserve">b.   </w:t>
      </w:r>
      <w:r>
        <w:rPr>
          <w:i/>
        </w:rPr>
        <w:t>The standard does not state that the labelOnly attribute can be true only if the dataOnly attribute is false.</w:t>
      </w:r>
    </w:p>
    <w:p w:rsidR="000A156F" w:rsidRDefault="00A9721F">
      <w:pPr>
        <w:pStyle w:val="Definition-Field2"/>
      </w:pPr>
      <w:r>
        <w:t>Offic</w:t>
      </w:r>
      <w:r>
        <w:t>e allows the labelOnly attribute to be true only if the dataOnly attribute is false.</w:t>
      </w:r>
    </w:p>
    <w:p w:rsidR="000A156F" w:rsidRDefault="00A9721F">
      <w:pPr>
        <w:pStyle w:val="Definition-Field"/>
      </w:pPr>
      <w:r>
        <w:t xml:space="preserve">c.   </w:t>
      </w:r>
      <w:r>
        <w:rPr>
          <w:i/>
        </w:rPr>
        <w:t>The standard does not specify a default value for the field attribute.</w:t>
      </w:r>
    </w:p>
    <w:p w:rsidR="000A156F" w:rsidRDefault="00A9721F">
      <w:pPr>
        <w:pStyle w:val="Definition-Field2"/>
      </w:pPr>
      <w:r>
        <w:t>Excel uses a default value of -1 for this attribute.</w:t>
      </w:r>
    </w:p>
    <w:p w:rsidR="000A156F" w:rsidRDefault="00A9721F">
      <w:pPr>
        <w:pStyle w:val="Definition-Field"/>
      </w:pPr>
      <w:r>
        <w:t xml:space="preserve">d.   </w:t>
      </w:r>
      <w:r>
        <w:rPr>
          <w:i/>
        </w:rPr>
        <w:t>The standard does not restrict the va</w:t>
      </w:r>
      <w:r>
        <w:rPr>
          <w:i/>
        </w:rPr>
        <w:t>lue of the fieldPosition attribute.</w:t>
      </w:r>
    </w:p>
    <w:p w:rsidR="000A156F" w:rsidRDefault="00A9721F">
      <w:r>
        <w:t xml:space="preserve">In Office, the fieldPosition attribute represents the position of the field within the axis to which this rule applies. If cacheIndex is true, the value of this field shall be greater than or equal to zero and less than </w:t>
      </w:r>
      <w:r>
        <w:t xml:space="preserve">256. If cacheIndex is false, then if the axis value is axisRow, the value of fieldPosition shall be </w:t>
      </w:r>
      <w:r>
        <w:lastRenderedPageBreak/>
        <w:t>less than the number of elements in the row fields collection ("</w:t>
      </w:r>
      <w:hyperlink r:id="rId131">
        <w:r>
          <w:rPr>
            <w:rStyle w:val="Hyperlink"/>
          </w:rPr>
          <w:t>[ISO/IEC-29500-1]</w:t>
        </w:r>
      </w:hyperlink>
      <w:r>
        <w:t xml:space="preserve"> §18.10.1</w:t>
      </w:r>
      <w:r>
        <w:t>.81; rowFields"). If the axis value is axisCol, the value of fieldPosition shall be less than the number of elements in the column fields collection ("[ISO/IEC-29500-1] §18.10.1.14; colFields"). If the axis value is axisPage, the value of fieldPosition sha</w:t>
      </w:r>
      <w:r>
        <w:t>ll be less than number of elements in page fields collection ("[ISO/IEC-29500-1] §18.10.1.63; pageFields"). If axis value is axisData, the value of fieldPosition shall be less than the number of elements in the data fields collection ("[ISO/IEC-29500-1] §1</w:t>
      </w:r>
      <w:r>
        <w:t>8.10.1.13; chartFormats").</w:t>
      </w:r>
    </w:p>
    <w:p w:rsidR="000A156F" w:rsidRDefault="00A9721F">
      <w:pPr>
        <w:pStyle w:val="Definition-Field"/>
      </w:pPr>
      <w:r>
        <w:t xml:space="preserve">e.   </w:t>
      </w:r>
      <w:r>
        <w:rPr>
          <w:i/>
        </w:rPr>
        <w:t>The standard does not place restrictions on the value of the field attribute.</w:t>
      </w:r>
    </w:p>
    <w:p w:rsidR="000A156F" w:rsidRDefault="00A9721F">
      <w:r>
        <w:t>In Office, the field attribute represents a zero-based index of the field that this selection rule refers to. The value of this field can be -1 (i</w:t>
      </w:r>
      <w:r>
        <w:t>t references nothing) or the value can be -2 (it references data). Otherwise, if cacheIndex is true, it shall be greater than or equal to zero and less than the number of elements in the cacheFields collection in the pivot cache definition ("[ISO/IEC-29500</w:t>
      </w:r>
      <w:r>
        <w:t>-1] §18.10.1.67; pivotCacheDefinition"); if the cacheIndex is false, the value shall be less than the number of elements in the pivot fields (§3.10.1.70 pivotFields (PivotTable Fields)) collection ("[ISO/IEC-29500-1] §18.10.1.70; pivotFields").</w:t>
      </w:r>
    </w:p>
    <w:p w:rsidR="000A156F" w:rsidRDefault="00A9721F">
      <w:pPr>
        <w:pStyle w:val="Heading3"/>
      </w:pPr>
      <w:bookmarkStart w:id="1304" w:name="section_fc90ed3545804a84aba88bdde70ebbf8"/>
      <w:bookmarkStart w:id="1305" w:name="_Toc181683678"/>
      <w:r>
        <w:t>Part 1 Sect</w:t>
      </w:r>
      <w:r>
        <w:t>ion 18.3.1.69, pivotSelection (PivotTable Selection)</w:t>
      </w:r>
      <w:bookmarkEnd w:id="1304"/>
      <w:bookmarkEnd w:id="1305"/>
      <w:r>
        <w:fldChar w:fldCharType="begin"/>
      </w:r>
      <w:r>
        <w:instrText xml:space="preserve"> XE "pivotSelection (PivotTable Selection)" </w:instrText>
      </w:r>
      <w:r>
        <w:fldChar w:fldCharType="end"/>
      </w:r>
    </w:p>
    <w:p w:rsidR="000A156F" w:rsidRDefault="00A9721F">
      <w:pPr>
        <w:pStyle w:val="Definition-Field"/>
      </w:pPr>
      <w:r>
        <w:t xml:space="preserve">a.   </w:t>
      </w:r>
      <w:r>
        <w:rPr>
          <w:i/>
        </w:rPr>
        <w:t>The standard does not specify any relationships for the data attribute.</w:t>
      </w:r>
    </w:p>
    <w:p w:rsidR="000A156F" w:rsidRDefault="00A9721F">
      <w:pPr>
        <w:pStyle w:val="Definition-Field2"/>
      </w:pPr>
      <w:r>
        <w:t>Office requires that the data attribute be false when the label attribute is tru</w:t>
      </w:r>
      <w:r>
        <w:t>e.</w:t>
      </w:r>
    </w:p>
    <w:p w:rsidR="000A156F" w:rsidRDefault="00A9721F">
      <w:pPr>
        <w:pStyle w:val="Definition-Field"/>
      </w:pPr>
      <w:r>
        <w:t xml:space="preserve">b.   </w:t>
      </w:r>
      <w:r>
        <w:rPr>
          <w:i/>
        </w:rPr>
        <w:t>The standard states that the values of the previousRow attribute are defined by the XML Schema unsignedInt datatype.</w:t>
      </w:r>
    </w:p>
    <w:p w:rsidR="000A156F" w:rsidRDefault="00A9721F">
      <w:pPr>
        <w:pStyle w:val="Definition-Field2"/>
      </w:pPr>
      <w:r>
        <w:t>Excel restricts the value of this attribute to be at most 1048575.</w:t>
      </w:r>
    </w:p>
    <w:p w:rsidR="000A156F" w:rsidRDefault="00A9721F">
      <w:pPr>
        <w:pStyle w:val="Definition-Field"/>
      </w:pPr>
      <w:r>
        <w:t xml:space="preserve">c.   </w:t>
      </w:r>
      <w:r>
        <w:rPr>
          <w:i/>
        </w:rPr>
        <w:t xml:space="preserve">The standard states that the values of the previousCol </w:t>
      </w:r>
      <w:r>
        <w:rPr>
          <w:i/>
        </w:rPr>
        <w:t>attribute are defined by the XML Schema unsignedInt datatype.</w:t>
      </w:r>
    </w:p>
    <w:p w:rsidR="000A156F" w:rsidRDefault="00A9721F">
      <w:pPr>
        <w:pStyle w:val="Definition-Field2"/>
      </w:pPr>
      <w:r>
        <w:t>Excel restricts the value of this attribute to be at most 16383.</w:t>
      </w:r>
    </w:p>
    <w:p w:rsidR="000A156F" w:rsidRDefault="00A9721F">
      <w:pPr>
        <w:pStyle w:val="Definition-Field"/>
      </w:pPr>
      <w:r>
        <w:t xml:space="preserve">d.   </w:t>
      </w:r>
      <w:r>
        <w:rPr>
          <w:i/>
        </w:rPr>
        <w:t>The standard states that the values of the dimension attribute are defined by the XML Schema unsignedInt datatype.</w:t>
      </w:r>
    </w:p>
    <w:p w:rsidR="000A156F" w:rsidRDefault="00A9721F">
      <w:r>
        <w:t>In Excel,</w:t>
      </w:r>
      <w:r>
        <w:t xml:space="preserve"> if the axis attribute equals axisRow, then the dimension attribute must be less than number of elements in the rowFields collection. If the axis attribute equals axisCol, then the dimension attribute must be less than number of elements in the columnField</w:t>
      </w:r>
      <w:r>
        <w:t>s collection. If the axis attribute equals axisPage, then the dimension attribute equals 0.</w:t>
      </w:r>
    </w:p>
    <w:p w:rsidR="000A156F" w:rsidRDefault="00A9721F">
      <w:pPr>
        <w:pStyle w:val="Definition-Field"/>
      </w:pPr>
      <w:r>
        <w:t xml:space="preserve">e.   </w:t>
      </w:r>
      <w:r>
        <w:rPr>
          <w:i/>
        </w:rPr>
        <w:t>The standard states that the values for the min attribute are defined by the XML Schema unsignedInt datatype.</w:t>
      </w:r>
    </w:p>
    <w:p w:rsidR="000A156F" w:rsidRDefault="00A9721F">
      <w:r>
        <w:t>In Excel, if the axis attribute equals axisRow, t</w:t>
      </w:r>
      <w:r>
        <w:t>hen the min attribute must be less than the number of elements in the rowItems collection. If the axis attribute equals axisCol, then the min attribute must be less than the number of elements in the colItems collection. When the axis attribute equals axis</w:t>
      </w:r>
      <w:r>
        <w:t>Page, then the min attribute must be 0.</w:t>
      </w:r>
    </w:p>
    <w:p w:rsidR="000A156F" w:rsidRDefault="00A9721F">
      <w:pPr>
        <w:pStyle w:val="Definition-Field"/>
      </w:pPr>
      <w:r>
        <w:t xml:space="preserve">f.   </w:t>
      </w:r>
      <w:r>
        <w:rPr>
          <w:i/>
        </w:rPr>
        <w:t>The standard states that @max is not restricted beyond unsigned int.</w:t>
      </w:r>
    </w:p>
    <w:p w:rsidR="000A156F" w:rsidRDefault="00A9721F">
      <w:pPr>
        <w:pStyle w:val="Definition-Field2"/>
      </w:pPr>
      <w:r>
        <w:t>In Excel, if @axis=axisRow, @max shall be less than the number of elements in rowItems collection. If @axis=axisCol, @max shall be less than t</w:t>
      </w:r>
      <w:r>
        <w:t>he number of elements in colItems. When @axis=axisPage then @max shall be 0.</w:t>
      </w:r>
    </w:p>
    <w:p w:rsidR="000A156F" w:rsidRDefault="00A9721F">
      <w:pPr>
        <w:pStyle w:val="Definition-Field"/>
      </w:pPr>
      <w:r>
        <w:t xml:space="preserve">g.   </w:t>
      </w:r>
      <w:r>
        <w:rPr>
          <w:i/>
        </w:rPr>
        <w:t>The standard does not limit @start beyond unsigned int.</w:t>
      </w:r>
    </w:p>
    <w:p w:rsidR="000A156F" w:rsidRDefault="00A9721F">
      <w:pPr>
        <w:pStyle w:val="Definition-Field2"/>
      </w:pPr>
      <w:r>
        <w:t>Office requires that @min &lt; @start &lt; @max+1.</w:t>
      </w:r>
    </w:p>
    <w:p w:rsidR="000A156F" w:rsidRDefault="00A9721F">
      <w:pPr>
        <w:pStyle w:val="Definition-Field"/>
      </w:pPr>
      <w:r>
        <w:lastRenderedPageBreak/>
        <w:t xml:space="preserve">h.   </w:t>
      </w:r>
      <w:r>
        <w:rPr>
          <w:i/>
        </w:rPr>
        <w:t>The standard does not define the valid set of values for the activeR</w:t>
      </w:r>
      <w:r>
        <w:rPr>
          <w:i/>
        </w:rPr>
        <w:t>ow or the activeCol attributes.</w:t>
      </w:r>
    </w:p>
    <w:p w:rsidR="000A156F" w:rsidRDefault="00A9721F">
      <w:r>
        <w:t>Office requires that the following conditions be true:</w:t>
      </w:r>
    </w:p>
    <w:p w:rsidR="000A156F" w:rsidRDefault="00A9721F">
      <w:pPr>
        <w:pStyle w:val="ListParagraph"/>
        <w:numPr>
          <w:ilvl w:val="0"/>
          <w:numId w:val="66"/>
        </w:numPr>
        <w:contextualSpacing/>
      </w:pPr>
      <w:r>
        <w:t xml:space="preserve">If </w:t>
      </w:r>
      <w:r>
        <w:rPr>
          <w:b/>
        </w:rPr>
        <w:t>axis</w:t>
      </w:r>
      <w:r>
        <w:t xml:space="preserve"> is set to </w:t>
      </w:r>
      <w:r>
        <w:rPr>
          <w:i/>
        </w:rPr>
        <w:t>axisRow</w:t>
      </w:r>
      <w:r>
        <w:t>, then the valid set of values for the activeRow or activeCol attributes should be within the Row axis area.</w:t>
      </w:r>
    </w:p>
    <w:p w:rsidR="000A156F" w:rsidRDefault="00A9721F">
      <w:pPr>
        <w:pStyle w:val="ListParagraph"/>
        <w:numPr>
          <w:ilvl w:val="0"/>
          <w:numId w:val="66"/>
        </w:numPr>
        <w:contextualSpacing/>
      </w:pPr>
      <w:r>
        <w:t xml:space="preserve">If </w:t>
      </w:r>
      <w:r>
        <w:rPr>
          <w:b/>
        </w:rPr>
        <w:t>axis</w:t>
      </w:r>
      <w:r>
        <w:t xml:space="preserve"> is set to </w:t>
      </w:r>
      <w:r>
        <w:rPr>
          <w:i/>
        </w:rPr>
        <w:t>axisCol</w:t>
      </w:r>
      <w:r>
        <w:t>, then the</w:t>
      </w:r>
      <w:r>
        <w:t xml:space="preserve"> valid set of values for the activeRow or activeCol attributes should be within the Column axis area.</w:t>
      </w:r>
    </w:p>
    <w:p w:rsidR="000A156F" w:rsidRDefault="00A9721F">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within the Page/Report Filter axis area.</w:t>
      </w:r>
    </w:p>
    <w:p w:rsidR="000A156F" w:rsidRDefault="00A9721F">
      <w:pPr>
        <w:pStyle w:val="Definition-Field"/>
      </w:pPr>
      <w:r>
        <w:t xml:space="preserve">i.  </w:t>
      </w:r>
      <w:r>
        <w:t xml:space="preserve"> </w:t>
      </w:r>
      <w:r>
        <w:rPr>
          <w:i/>
        </w:rPr>
        <w:t>The standard defines values for the pane attribute.</w:t>
      </w:r>
    </w:p>
    <w:p w:rsidR="000A156F" w:rsidRDefault="00A9721F">
      <w:pPr>
        <w:pStyle w:val="Definition-Field2"/>
      </w:pPr>
      <w:r>
        <w:t>In Office, topLeft is interpreted as bottomRight and vice versa.</w:t>
      </w:r>
    </w:p>
    <w:p w:rsidR="000A156F" w:rsidRDefault="00A9721F">
      <w:pPr>
        <w:pStyle w:val="Definition-Field"/>
      </w:pPr>
      <w:r>
        <w:t xml:space="preserve">j.   </w:t>
      </w:r>
      <w:r>
        <w:rPr>
          <w:i/>
        </w:rPr>
        <w:t>The standard states that the r:id attribute is optional.</w:t>
      </w:r>
    </w:p>
    <w:p w:rsidR="000A156F" w:rsidRDefault="00A9721F">
      <w:pPr>
        <w:pStyle w:val="Definition-Field2"/>
      </w:pPr>
      <w:r>
        <w:t>Excel requires this attribute.</w:t>
      </w:r>
    </w:p>
    <w:p w:rsidR="000A156F" w:rsidRDefault="00A9721F">
      <w:pPr>
        <w:pStyle w:val="Definition-Field"/>
      </w:pPr>
      <w:r>
        <w:t xml:space="preserve">k.   </w:t>
      </w:r>
      <w:r>
        <w:rPr>
          <w:i/>
        </w:rPr>
        <w:t>The standard states that the axis attrib</w:t>
      </w:r>
      <w:r>
        <w:rPr>
          <w:i/>
        </w:rPr>
        <w:t>ute has a valid value of axisPage.</w:t>
      </w:r>
    </w:p>
    <w:p w:rsidR="000A156F" w:rsidRDefault="00A9721F">
      <w:pPr>
        <w:pStyle w:val="Definition-Field2"/>
      </w:pPr>
      <w:r>
        <w:t>Office will report a valid file as corrupt if axis is equal to axisPage.</w:t>
      </w:r>
    </w:p>
    <w:p w:rsidR="000A156F" w:rsidRDefault="00A9721F">
      <w:pPr>
        <w:pStyle w:val="Definition-Field"/>
      </w:pPr>
      <w:r>
        <w:t xml:space="preserve">l.   </w:t>
      </w:r>
      <w:r>
        <w:rPr>
          <w:i/>
        </w:rPr>
        <w:t>The standard states that the valid values for the axis attribute are defined by the ST_Axis simple type.</w:t>
      </w:r>
    </w:p>
    <w:p w:rsidR="000A156F" w:rsidRDefault="00A9721F">
      <w:pPr>
        <w:pStyle w:val="Definition-Field2"/>
      </w:pPr>
      <w:r>
        <w:t>Office does not allow the axis attribu</w:t>
      </w:r>
      <w:r>
        <w:t>te to equal axisValue.</w:t>
      </w:r>
    </w:p>
    <w:p w:rsidR="000A156F" w:rsidRDefault="00A9721F">
      <w:pPr>
        <w:pStyle w:val="Heading3"/>
      </w:pPr>
      <w:bookmarkStart w:id="1306" w:name="section_d162cec20b0d4de48edce1641a455d05"/>
      <w:bookmarkStart w:id="1307" w:name="_Toc181683679"/>
      <w:r>
        <w:t>Part 1 Section 18.3.1.71, protectedRange (Protected Range)</w:t>
      </w:r>
      <w:bookmarkEnd w:id="1306"/>
      <w:bookmarkEnd w:id="1307"/>
      <w:r>
        <w:fldChar w:fldCharType="begin"/>
      </w:r>
      <w:r>
        <w:instrText xml:space="preserve"> XE "protectedRange (Protected Range)" </w:instrText>
      </w:r>
      <w:r>
        <w:fldChar w:fldCharType="end"/>
      </w:r>
    </w:p>
    <w:p w:rsidR="000A156F" w:rsidRDefault="00A9721F">
      <w:pPr>
        <w:pStyle w:val="Definition-Field"/>
      </w:pPr>
      <w:r>
        <w:t xml:space="preserve">a.   </w:t>
      </w:r>
      <w:r>
        <w:rPr>
          <w:i/>
        </w:rPr>
        <w:t>The standard sets no restrictions on the string for the name attribute.</w:t>
      </w:r>
    </w:p>
    <w:p w:rsidR="000A156F" w:rsidRDefault="00A9721F">
      <w:pPr>
        <w:pStyle w:val="Definition-Field2"/>
      </w:pPr>
      <w:r>
        <w:t xml:space="preserve">Office requires that the name attribute shall be unique </w:t>
      </w:r>
      <w:r>
        <w:t>within the parent element collection, start with a letter, only contain letters, numbers, spaces, underscores, periods, backslashes, or question marks.</w:t>
      </w:r>
    </w:p>
    <w:p w:rsidR="000A156F" w:rsidRDefault="00A9721F">
      <w:pPr>
        <w:pStyle w:val="Definition-Field"/>
      </w:pPr>
      <w:r>
        <w:t xml:space="preserve">b.   </w:t>
      </w:r>
      <w:r>
        <w:rPr>
          <w:i/>
        </w:rPr>
        <w:t>The standard does not define the minimum values for the sqref attribute.</w:t>
      </w:r>
    </w:p>
    <w:p w:rsidR="000A156F" w:rsidRDefault="00A9721F">
      <w:pPr>
        <w:pStyle w:val="Definition-Field2"/>
      </w:pPr>
      <w:r>
        <w:t>Office defines the minimum</w:t>
      </w:r>
      <w:r>
        <w:t xml:space="preserve"> value for the sqref attribute to be 1.</w:t>
      </w:r>
    </w:p>
    <w:p w:rsidR="000A156F" w:rsidRDefault="00A9721F">
      <w:pPr>
        <w:pStyle w:val="Definition-Field"/>
      </w:pPr>
      <w:r>
        <w:t xml:space="preserve">c.   </w:t>
      </w:r>
      <w:r>
        <w:rPr>
          <w:i/>
        </w:rPr>
        <w:t>The standard does not limit the length of the value of the name attribute.</w:t>
      </w:r>
    </w:p>
    <w:p w:rsidR="000A156F" w:rsidRDefault="00A9721F">
      <w:pPr>
        <w:pStyle w:val="Definition-Field2"/>
      </w:pPr>
      <w:r>
        <w:t>Word restricts the value of this attribute to be at least 1 and at most 255 characters.</w:t>
      </w:r>
    </w:p>
    <w:p w:rsidR="000A156F" w:rsidRDefault="00A9721F">
      <w:pPr>
        <w:pStyle w:val="Definition-Field"/>
      </w:pPr>
      <w:r>
        <w:t xml:space="preserve">d.   </w:t>
      </w:r>
      <w:r>
        <w:rPr>
          <w:i/>
        </w:rPr>
        <w:t xml:space="preserve">The standard states that this setting uses </w:t>
      </w:r>
      <w:r>
        <w:rPr>
          <w:i/>
        </w:rPr>
        <w:t>a specific Password attribute to store the password hash.</w:t>
      </w:r>
    </w:p>
    <w:p w:rsidR="000A156F" w:rsidRDefault="00A9721F">
      <w:r>
        <w:t>In Office, when the HKCU/Software/Microsoft/Office/&lt;VERSION&gt;/Common/Security/UseIsoPasswordVerifier registry key is set to 1, the XML for file sharing is written by using the XML attribute structure</w:t>
      </w:r>
      <w:r>
        <w:t xml:space="preserve"> in the following table.</w:t>
      </w:r>
    </w:p>
    <w:tbl>
      <w:tblPr>
        <w:tblStyle w:val="Table-ShadedHeader"/>
        <w:tblW w:w="0" w:type="auto"/>
        <w:tblLook w:val="04A0" w:firstRow="1" w:lastRow="0" w:firstColumn="1" w:lastColumn="0" w:noHBand="0" w:noVBand="1"/>
      </w:tblPr>
      <w:tblGrid>
        <w:gridCol w:w="1219"/>
        <w:gridCol w:w="8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algorithm Name</w:t>
            </w:r>
          </w:p>
        </w:tc>
        <w:tc>
          <w:tcPr>
            <w:tcW w:w="0" w:type="auto"/>
            <w:vAlign w:val="center"/>
          </w:tcPr>
          <w:p w:rsidR="000A156F" w:rsidRDefault="00A9721F">
            <w:pPr>
              <w:pStyle w:val="TableBodyText"/>
            </w:pPr>
            <w:r>
              <w:t>The name of the cryptographic hashing algorithm used to generate the hash value. Only those algorithms that are installed in the operating system’s cryptographic subsystem can be utilized by Office.</w:t>
            </w:r>
          </w:p>
          <w:p w:rsidR="000A156F" w:rsidRDefault="000A156F">
            <w:pPr>
              <w:pStyle w:val="TableBodyText"/>
            </w:pPr>
          </w:p>
          <w:p w:rsidR="000A156F" w:rsidRDefault="00A9721F">
            <w:pPr>
              <w:pStyle w:val="TableBodyText"/>
            </w:pPr>
            <w:r>
              <w:t>The hash algorithm names, described in the following table, are reserved.</w:t>
            </w:r>
          </w:p>
          <w:p w:rsidR="000A156F" w:rsidRDefault="000A156F">
            <w:pPr>
              <w:pStyle w:val="TableBodyText"/>
            </w:pPr>
          </w:p>
          <w:p w:rsidR="000A156F" w:rsidRDefault="00A9721F">
            <w:pPr>
              <w:pStyle w:val="TableBodyText"/>
            </w:pPr>
            <w:r>
              <w:rPr>
                <w:b/>
                <w:i/>
              </w:rPr>
              <w:lastRenderedPageBreak/>
              <w:t xml:space="preserve">MD2 </w:t>
            </w:r>
          </w:p>
          <w:p w:rsidR="000A156F" w:rsidRDefault="00A9721F">
            <w:pPr>
              <w:pStyle w:val="TableBodyText"/>
            </w:pPr>
            <w:r>
              <w:rPr>
                <w:i/>
              </w:rPr>
              <w:t>Specifies that the MD2 algorithm, as defined by RFC 1319,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w:t>
            </w:r>
            <w:r>
              <w:rPr>
                <w:i/>
              </w:rPr>
              <w:t>s, because of publicly known breaks. end note]</w:t>
            </w:r>
          </w:p>
          <w:p w:rsidR="000A156F" w:rsidRDefault="00A9721F">
            <w:pPr>
              <w:pStyle w:val="TableBodyText"/>
            </w:pPr>
            <w:r>
              <w:rPr>
                <w:b/>
                <w:i/>
              </w:rPr>
              <w:t xml:space="preserve">MD4 </w:t>
            </w:r>
          </w:p>
          <w:p w:rsidR="000A156F" w:rsidRDefault="00A9721F">
            <w:pPr>
              <w:pStyle w:val="TableBodyText"/>
            </w:pPr>
            <w:r>
              <w:rPr>
                <w:i/>
              </w:rPr>
              <w:t>Specifies that the MD4 algorithm, as defined by RFC 1320,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w:t>
            </w:r>
            <w:r>
              <w:rPr>
                <w:i/>
              </w:rPr>
              <w:t>reaks. end note]</w:t>
            </w:r>
          </w:p>
          <w:p w:rsidR="000A156F" w:rsidRDefault="00A9721F">
            <w:pPr>
              <w:pStyle w:val="TableBodyText"/>
            </w:pPr>
            <w:r>
              <w:rPr>
                <w:b/>
                <w:i/>
              </w:rPr>
              <w:t>MD5</w:t>
            </w:r>
          </w:p>
          <w:p w:rsidR="000A156F" w:rsidRDefault="00A9721F">
            <w:pPr>
              <w:pStyle w:val="TableBodyText"/>
            </w:pPr>
            <w:r>
              <w:rPr>
                <w:i/>
              </w:rPr>
              <w:t>Specifies that the MD5 algorithm, as defined by RFC 1321,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RIPEMD-128</w:t>
            </w:r>
          </w:p>
          <w:p w:rsidR="000A156F" w:rsidRDefault="00A9721F">
            <w:pPr>
              <w:pStyle w:val="TableBodyText"/>
            </w:pPr>
            <w:r>
              <w:rPr>
                <w:i/>
              </w:rPr>
              <w:t>Specifies that the RIPEMD-128 algorithm, as defined by ISO/IEC 10118-3:2004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RIPEMD-160</w:t>
            </w:r>
          </w:p>
          <w:p w:rsidR="000A156F" w:rsidRDefault="00A9721F">
            <w:pPr>
              <w:pStyle w:val="TableBodyText"/>
            </w:pPr>
            <w:r>
              <w:rPr>
                <w:i/>
              </w:rPr>
              <w:t>Specif</w:t>
            </w:r>
            <w:r>
              <w:rPr>
                <w:i/>
              </w:rPr>
              <w:t>ies that the RIPEMD-160 algorithm, as defined by ISO/IEC 10118-3:2004, shall be used.</w:t>
            </w:r>
          </w:p>
          <w:p w:rsidR="000A156F" w:rsidRDefault="00A9721F">
            <w:pPr>
              <w:pStyle w:val="TableBodyText"/>
            </w:pPr>
            <w:r>
              <w:rPr>
                <w:b/>
                <w:i/>
              </w:rPr>
              <w:t>SHA-1</w:t>
            </w:r>
          </w:p>
          <w:p w:rsidR="000A156F" w:rsidRDefault="00A9721F">
            <w:pPr>
              <w:pStyle w:val="TableBodyText"/>
            </w:pPr>
            <w:r>
              <w:rPr>
                <w:i/>
              </w:rPr>
              <w:t>Specifies that the SHA-1 algorithm, as defined by ISO/IEC 10118-3:2004, shall be used.</w:t>
            </w:r>
          </w:p>
          <w:p w:rsidR="000A156F" w:rsidRDefault="00A9721F">
            <w:pPr>
              <w:pStyle w:val="TableBodyText"/>
            </w:pPr>
            <w:r>
              <w:rPr>
                <w:b/>
                <w:i/>
              </w:rPr>
              <w:t>SHA-256</w:t>
            </w:r>
          </w:p>
          <w:p w:rsidR="000A156F" w:rsidRDefault="00A9721F">
            <w:pPr>
              <w:pStyle w:val="TableBodyText"/>
            </w:pPr>
            <w:r>
              <w:rPr>
                <w:i/>
              </w:rPr>
              <w:t>Specifies that the SHA-256 algorithm, as defined by ISO/IEC 10118-3:2</w:t>
            </w:r>
            <w:r>
              <w:rPr>
                <w:i/>
              </w:rPr>
              <w:t>004, shall be used.</w:t>
            </w:r>
          </w:p>
          <w:p w:rsidR="000A156F" w:rsidRDefault="00A9721F">
            <w:pPr>
              <w:pStyle w:val="TableBodyText"/>
            </w:pPr>
            <w:r>
              <w:rPr>
                <w:b/>
                <w:i/>
              </w:rPr>
              <w:t>SHA-384</w:t>
            </w:r>
          </w:p>
          <w:p w:rsidR="000A156F" w:rsidRDefault="00A9721F">
            <w:pPr>
              <w:pStyle w:val="TableBodyText"/>
            </w:pPr>
            <w:r>
              <w:rPr>
                <w:i/>
              </w:rPr>
              <w:t>Specifies that the SHA-384 algorithm, as defined by ISO/IEC 10118-3:2004, shall be used.</w:t>
            </w:r>
          </w:p>
          <w:p w:rsidR="000A156F" w:rsidRDefault="00A9721F">
            <w:pPr>
              <w:pStyle w:val="TableBodyText"/>
            </w:pPr>
            <w:r>
              <w:rPr>
                <w:b/>
                <w:i/>
              </w:rPr>
              <w:t>SHA-512</w:t>
            </w:r>
          </w:p>
          <w:p w:rsidR="000A156F" w:rsidRDefault="00A9721F">
            <w:pPr>
              <w:pStyle w:val="TableBodyText"/>
            </w:pPr>
            <w:r>
              <w:rPr>
                <w:i/>
              </w:rPr>
              <w:t>Specifies that the SHA-512 algorithm, as defined by ISO/IEC 10118-3:2004, shall be used.</w:t>
            </w:r>
          </w:p>
          <w:p w:rsidR="000A156F" w:rsidRDefault="00A9721F">
            <w:pPr>
              <w:pStyle w:val="TableBodyText"/>
            </w:pPr>
            <w:r>
              <w:rPr>
                <w:b/>
                <w:i/>
              </w:rPr>
              <w:t>WHIRLPOOL</w:t>
            </w:r>
          </w:p>
          <w:p w:rsidR="000A156F" w:rsidRDefault="00A9721F">
            <w:pPr>
              <w:pStyle w:val="TableBodyText"/>
            </w:pPr>
            <w:r>
              <w:rPr>
                <w:i/>
              </w:rPr>
              <w:t>Specifies that the WHIRLPOOL alg</w:t>
            </w:r>
            <w:r>
              <w:rPr>
                <w:i/>
              </w:rPr>
              <w:t>orithm, as defined by ISO/IEC 10118-3:2004, shall be used.</w:t>
            </w:r>
          </w:p>
          <w:p w:rsidR="000A156F" w:rsidRDefault="000A156F">
            <w:pPr>
              <w:pStyle w:val="TableBodyText"/>
            </w:pP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hash Value</w:t>
            </w:r>
          </w:p>
        </w:tc>
        <w:tc>
          <w:tcPr>
            <w:tcW w:w="0" w:type="auto"/>
            <w:vAlign w:val="center"/>
          </w:tcPr>
          <w:p w:rsidR="000A156F" w:rsidRDefault="00A9721F">
            <w:pPr>
              <w:pStyle w:val="TableBodyText"/>
            </w:pPr>
            <w:r>
              <w:t>Specifies the hash value for the password required to edit this worksheet. This value shall be compared with the resulting hash value after hashing the user-supplied password using th</w:t>
            </w:r>
            <w:r>
              <w:t>e algorithm specified by the preceding attributes and parent XML element. If the two values match, the protection shall no longer be enforced.</w:t>
            </w:r>
          </w:p>
          <w:p w:rsidR="000A156F" w:rsidRDefault="000A156F">
            <w:pPr>
              <w:pStyle w:val="TableBodyText"/>
            </w:pPr>
          </w:p>
          <w:p w:rsidR="000A156F" w:rsidRDefault="00A9721F">
            <w:pPr>
              <w:pStyle w:val="TableBodyText"/>
            </w:pPr>
            <w:r>
              <w:t xml:space="preserve">If this value is omitted, then the reservationPassword attribute shall contain the password hash for the </w:t>
            </w:r>
            <w:r>
              <w:t>workbook.</w:t>
            </w:r>
          </w:p>
          <w:p w:rsidR="000A156F" w:rsidRDefault="000A156F">
            <w:pPr>
              <w:pStyle w:val="TableBodyText"/>
            </w:pPr>
          </w:p>
          <w:p w:rsidR="000A156F" w:rsidRDefault="00A9721F">
            <w:pPr>
              <w:pStyle w:val="TableBodyText"/>
            </w:pPr>
            <w:r>
              <w:t>[</w:t>
            </w:r>
            <w:r>
              <w:rPr>
                <w:i/>
              </w:rPr>
              <w:t>Example</w:t>
            </w:r>
            <w:r>
              <w:t>: Consider an Office Open XML document with the following information stored in one of its protection elements:</w:t>
            </w:r>
          </w:p>
          <w:p w:rsidR="000A156F" w:rsidRDefault="000A156F">
            <w:pPr>
              <w:pStyle w:val="TableBodyText"/>
            </w:pPr>
          </w:p>
          <w:p w:rsidR="000A156F" w:rsidRDefault="00A9721F">
            <w:pPr>
              <w:pStyle w:val="TableBodyText"/>
            </w:pPr>
            <w:r>
              <w:t>&lt;… algorithmName="SHA-1" hashValue="9oN7nWkCAyEZib1RomSJTjmPpCY=" /&gt;</w:t>
            </w:r>
          </w:p>
          <w:p w:rsidR="000A156F" w:rsidRDefault="000A156F">
            <w:pPr>
              <w:pStyle w:val="TableBodyText"/>
            </w:pPr>
          </w:p>
          <w:p w:rsidR="000A156F" w:rsidRDefault="00A9721F">
            <w:pPr>
              <w:pStyle w:val="TableBodyText"/>
            </w:pPr>
            <w:r>
              <w:t>The hashValue attribute value of 9oN7nWkCAyEZib1RomSJT</w:t>
            </w:r>
            <w:r>
              <w:t xml:space="preserve">jmPpCY= specifies that the user-supplied password must be hashed using the pre-processing defined by the parent element (if any) followed by the hashing algorithm (specified via the algorithmName attribute value) and that the </w:t>
            </w:r>
            <w:r>
              <w:lastRenderedPageBreak/>
              <w:t>resulting hash value must be m</w:t>
            </w:r>
            <w:r>
              <w:t xml:space="preserve">atch for the protection to be disabled. </w:t>
            </w:r>
          </w:p>
          <w:p w:rsidR="000A156F" w:rsidRDefault="00A9721F">
            <w:pPr>
              <w:pStyle w:val="TableBodyText"/>
            </w:pPr>
            <w:r>
              <w:rPr>
                <w:i/>
              </w:rPr>
              <w:t>end example</w:t>
            </w:r>
            <w:r>
              <w:t>]</w:t>
            </w:r>
          </w:p>
          <w:p w:rsidR="000A156F" w:rsidRDefault="000A156F">
            <w:pPr>
              <w:pStyle w:val="TableBodyText"/>
            </w:pPr>
          </w:p>
          <w:p w:rsidR="000A156F" w:rsidRDefault="00A9721F">
            <w:pPr>
              <w:pStyle w:val="TableBodyText"/>
            </w:pPr>
            <w:r>
              <w:t>The possible values for this attribute are defined by the W3C XML Schema base64Binary datatype.</w:t>
            </w:r>
          </w:p>
        </w:tc>
      </w:tr>
      <w:tr w:rsidR="000A156F" w:rsidTr="000A156F">
        <w:tc>
          <w:tcPr>
            <w:tcW w:w="0" w:type="auto"/>
            <w:vAlign w:val="center"/>
          </w:tcPr>
          <w:p w:rsidR="000A156F" w:rsidRDefault="00A9721F">
            <w:pPr>
              <w:pStyle w:val="TableBodyText"/>
            </w:pPr>
            <w:r>
              <w:rPr>
                <w:b/>
              </w:rPr>
              <w:lastRenderedPageBreak/>
              <w:t>saltValue</w:t>
            </w:r>
          </w:p>
        </w:tc>
        <w:tc>
          <w:tcPr>
            <w:tcW w:w="0" w:type="auto"/>
            <w:vAlign w:val="center"/>
          </w:tcPr>
          <w:p w:rsidR="000A156F" w:rsidRDefault="00A9721F">
            <w:pPr>
              <w:pStyle w:val="TableBodyText"/>
            </w:pPr>
            <w:r>
              <w:t>Specifies the random bytes that are pre-pended to the user-supplied password before it was has</w:t>
            </w:r>
            <w:r>
              <w:t>hed by the hashing algorithm.</w:t>
            </w:r>
          </w:p>
        </w:tc>
      </w:tr>
      <w:tr w:rsidR="000A156F" w:rsidTr="000A156F">
        <w:tc>
          <w:tcPr>
            <w:tcW w:w="0" w:type="auto"/>
            <w:vAlign w:val="center"/>
          </w:tcPr>
          <w:p w:rsidR="000A156F" w:rsidRDefault="00A9721F">
            <w:pPr>
              <w:pStyle w:val="TableBodyText"/>
            </w:pPr>
            <w:r>
              <w:rPr>
                <w:b/>
              </w:rPr>
              <w:t>spinCount</w:t>
            </w:r>
          </w:p>
        </w:tc>
        <w:tc>
          <w:tcPr>
            <w:tcW w:w="0" w:type="auto"/>
            <w:vAlign w:val="center"/>
          </w:tcPr>
          <w:p w:rsidR="000A156F" w:rsidRDefault="00A9721F">
            <w:pPr>
              <w:pStyle w:val="TableBodyText"/>
            </w:pPr>
            <w:r>
              <w:t>Specifies the number of times the hashing function shall be iteratively run (using each iteration's result as the input for the next iteration).</w:t>
            </w:r>
          </w:p>
        </w:tc>
      </w:tr>
    </w:tbl>
    <w:p w:rsidR="000A156F" w:rsidRDefault="000A156F"/>
    <w:p w:rsidR="000A156F" w:rsidRDefault="00A9721F">
      <w:r>
        <w:t xml:space="preserve">[Example: </w:t>
      </w:r>
    </w:p>
    <w:p w:rsidR="000A156F" w:rsidRDefault="00A9721F">
      <w:r>
        <w:t>Consider an Office Open XML document with the following i</w:t>
      </w:r>
      <w:r>
        <w:t>nformation stored in one of its protection elements:</w:t>
      </w:r>
    </w:p>
    <w:p w:rsidR="000A156F" w:rsidRDefault="00A9721F">
      <w:r>
        <w:t>&lt; … algorithmName="SHA-1" hashValue="9oN7nWkCAyEZib1RomSJTjmPpCY=" /&gt;</w:t>
      </w:r>
    </w:p>
    <w:p w:rsidR="000A156F" w:rsidRDefault="00A9721F">
      <w:r>
        <w:t>The algorithmName attribute value of SHA-1 specifies that the SHA-1 hashing algorithm must be used to generate a hash from the user-d</w:t>
      </w:r>
      <w:r>
        <w:t>efined password.</w:t>
      </w:r>
    </w:p>
    <w:p w:rsidR="000A156F" w:rsidRDefault="00A9721F">
      <w:r>
        <w:t>end example]</w:t>
      </w:r>
    </w:p>
    <w:p w:rsidR="000A156F" w:rsidRDefault="00A9721F">
      <w:pPr>
        <w:pStyle w:val="Definition-Field"/>
      </w:pPr>
      <w:r>
        <w:t xml:space="preserve">e.   </w:t>
      </w:r>
      <w:r>
        <w:rPr>
          <w:i/>
        </w:rPr>
        <w:t>The standard states that the securityDescriptor element is a valid child element of the CT_ProtectedRange type.</w:t>
      </w:r>
    </w:p>
    <w:p w:rsidR="000A156F" w:rsidRDefault="00A9721F">
      <w:pPr>
        <w:pStyle w:val="Definition-Field2"/>
      </w:pPr>
      <w:r>
        <w:t xml:space="preserve">Office does not support the securityDescriptor element as a child of CT_ProtectedRange, and ignores any </w:t>
      </w:r>
      <w:r>
        <w:t>instances of the securityDescriptor element.</w:t>
      </w:r>
    </w:p>
    <w:p w:rsidR="000A156F" w:rsidRDefault="00A9721F">
      <w:pPr>
        <w:pStyle w:val="Heading3"/>
      </w:pPr>
      <w:bookmarkStart w:id="1308" w:name="section_5cf07e3168684d0cb0e86de69c57569f"/>
      <w:bookmarkStart w:id="1309" w:name="_Toc181683680"/>
      <w:r>
        <w:t>Part 1 Section 18.3.1.73, row (Row)</w:t>
      </w:r>
      <w:bookmarkEnd w:id="1308"/>
      <w:bookmarkEnd w:id="1309"/>
      <w:r>
        <w:fldChar w:fldCharType="begin"/>
      </w:r>
      <w:r>
        <w:instrText xml:space="preserve"> XE "row (Row)" </w:instrText>
      </w:r>
      <w:r>
        <w:fldChar w:fldCharType="end"/>
      </w:r>
    </w:p>
    <w:p w:rsidR="000A156F" w:rsidRDefault="00A9721F">
      <w:pPr>
        <w:pStyle w:val="Definition-Field"/>
      </w:pPr>
      <w:r>
        <w:t xml:space="preserve">a.   </w:t>
      </w:r>
      <w:r>
        <w:rPr>
          <w:i/>
        </w:rPr>
        <w:t>The standard states that the values of the r attribute are defined by the XML Schema unsignedInt datatype.</w:t>
      </w:r>
    </w:p>
    <w:p w:rsidR="000A156F" w:rsidRDefault="00A9721F">
      <w:pPr>
        <w:pStyle w:val="Definition-Field2"/>
      </w:pPr>
      <w:r>
        <w:t>Office requires that the r attribute be betwe</w:t>
      </w:r>
      <w:r>
        <w:t>en 1 and 1048576 inclusive, and shall be in non-decreasing order.</w:t>
      </w:r>
    </w:p>
    <w:p w:rsidR="000A156F" w:rsidRDefault="00A9721F">
      <w:pPr>
        <w:pStyle w:val="Definition-Field"/>
      </w:pPr>
      <w:r>
        <w:t xml:space="preserve">b.   </w:t>
      </w:r>
      <w:r>
        <w:rPr>
          <w:i/>
        </w:rPr>
        <w:t>The standard states that the values of the outlineLevel attribute are defined by the XML Schema unsignedByte datatype.</w:t>
      </w:r>
    </w:p>
    <w:p w:rsidR="000A156F" w:rsidRDefault="00A9721F">
      <w:pPr>
        <w:pStyle w:val="Definition-Field2"/>
      </w:pPr>
      <w:r>
        <w:t>Office requires that the value of the outlineLevel attribute be be</w:t>
      </w:r>
      <w:r>
        <w:t>tween 0 and 7 inclusive.</w:t>
      </w:r>
    </w:p>
    <w:p w:rsidR="000A156F" w:rsidRDefault="00A9721F">
      <w:pPr>
        <w:pStyle w:val="Definition-Field"/>
      </w:pPr>
      <w:r>
        <w:t xml:space="preserve">c.   </w:t>
      </w:r>
      <w:r>
        <w:rPr>
          <w:i/>
        </w:rPr>
        <w:t>The standard states that the values of the s attribute are defined by the XML Schema unsignedInt datatype.</w:t>
      </w:r>
    </w:p>
    <w:p w:rsidR="000A156F" w:rsidRDefault="00A9721F">
      <w:pPr>
        <w:pStyle w:val="Definition-Field2"/>
      </w:pPr>
      <w:r>
        <w:t>Office requires that the value of the s attribute be between 0 and 65490 inclusive.</w:t>
      </w:r>
    </w:p>
    <w:p w:rsidR="000A156F" w:rsidRDefault="00A9721F">
      <w:pPr>
        <w:pStyle w:val="Heading3"/>
      </w:pPr>
      <w:bookmarkStart w:id="1310" w:name="section_09d193ae5f884f098bc2a744a755c881"/>
      <w:bookmarkStart w:id="1311" w:name="_Toc181683681"/>
      <w:r>
        <w:t>Part 1 Section 18.3.1.74, rowBreaks</w:t>
      </w:r>
      <w:r>
        <w:t xml:space="preserve"> (Horizontal Page Breaks (Row))</w:t>
      </w:r>
      <w:bookmarkEnd w:id="1310"/>
      <w:bookmarkEnd w:id="1311"/>
      <w:r>
        <w:fldChar w:fldCharType="begin"/>
      </w:r>
      <w:r>
        <w:instrText xml:space="preserve"> XE "rowBreaks (Horizontal Page Breaks (Row))"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w:t>
        </w:r>
        <w:r>
          <w:rPr>
            <w:rStyle w:val="Hyperlink"/>
          </w:rPr>
          <w:t>a, b)</w:t>
        </w:r>
      </w:hyperlink>
      <w:r>
        <w:rPr>
          <w:i/>
        </w:rPr>
        <w:t>.</w:t>
      </w:r>
    </w:p>
    <w:p w:rsidR="000A156F" w:rsidRDefault="00A9721F">
      <w:pPr>
        <w:pStyle w:val="Definition-Field"/>
      </w:pPr>
      <w:r>
        <w:t xml:space="preserve">a.   </w:t>
      </w:r>
      <w:r>
        <w:rPr>
          <w:i/>
        </w:rPr>
        <w:t>The standard states that the count attribute is defined by unsignedInt.</w:t>
      </w:r>
    </w:p>
    <w:p w:rsidR="000A156F" w:rsidRDefault="00A9721F">
      <w:pPr>
        <w:pStyle w:val="Definition-Field2"/>
      </w:pPr>
      <w:r>
        <w:t>Office defines count to be an xsd:unsignedInt less than 1023.</w:t>
      </w:r>
    </w:p>
    <w:p w:rsidR="000A156F" w:rsidRDefault="00A9721F">
      <w:pPr>
        <w:pStyle w:val="Definition-Field"/>
      </w:pPr>
      <w:r>
        <w:lastRenderedPageBreak/>
        <w:t xml:space="preserve">b.   </w:t>
      </w:r>
      <w:r>
        <w:rPr>
          <w:i/>
        </w:rPr>
        <w:t>The standard states that the manualBreakCount attribute is defined by unsignedInt.</w:t>
      </w:r>
    </w:p>
    <w:p w:rsidR="000A156F" w:rsidRDefault="00A9721F">
      <w:pPr>
        <w:pStyle w:val="Definition-Field2"/>
      </w:pPr>
      <w:r>
        <w:t>Office defines manualB</w:t>
      </w:r>
      <w:r>
        <w:t>reakCount to be an xsd:unsignedInt less than 1023.</w:t>
      </w:r>
    </w:p>
    <w:p w:rsidR="000A156F" w:rsidRDefault="00A9721F">
      <w:pPr>
        <w:pStyle w:val="Heading3"/>
      </w:pPr>
      <w:bookmarkStart w:id="1312" w:name="section_44a549a0150b49d0bb6be02bc5122381"/>
      <w:bookmarkStart w:id="1313" w:name="_Toc181683682"/>
      <w:r>
        <w:t>Part 1 Section 18.3.1.75, scenario (Scenario)</w:t>
      </w:r>
      <w:bookmarkEnd w:id="1312"/>
      <w:bookmarkEnd w:id="1313"/>
      <w:r>
        <w:fldChar w:fldCharType="begin"/>
      </w:r>
      <w:r>
        <w:instrText xml:space="preserve"> XE "scenario (Scenario)" </w:instrText>
      </w:r>
      <w:r>
        <w:fldChar w:fldCharType="end"/>
      </w:r>
    </w:p>
    <w:p w:rsidR="000A156F" w:rsidRDefault="00A9721F">
      <w:pPr>
        <w:pStyle w:val="Definition-Field"/>
      </w:pPr>
      <w:r>
        <w:t xml:space="preserve">a.   </w:t>
      </w:r>
      <w:r>
        <w:rPr>
          <w:i/>
        </w:rPr>
        <w:t>The standard states that the values of the count attribute are defined by the XML Schema unsignedInt datatype.</w:t>
      </w:r>
    </w:p>
    <w:p w:rsidR="000A156F" w:rsidRDefault="00A9721F">
      <w:pPr>
        <w:pStyle w:val="Definition-Field2"/>
      </w:pPr>
      <w:r>
        <w:t>Excel restricts</w:t>
      </w:r>
      <w:r>
        <w:t xml:space="preserve"> the value of this attribute to be at least 1 and at most 32.</w:t>
      </w:r>
    </w:p>
    <w:p w:rsidR="000A156F" w:rsidRDefault="00A9721F">
      <w:pPr>
        <w:pStyle w:val="Definition-Field"/>
      </w:pPr>
      <w:r>
        <w:t xml:space="preserve">b.   </w:t>
      </w:r>
      <w:r>
        <w:rPr>
          <w:i/>
        </w:rPr>
        <w:t>The standard states that the maxOccurs value for the inputCells child element is unbounded.</w:t>
      </w:r>
    </w:p>
    <w:p w:rsidR="000A156F" w:rsidRDefault="00A9721F">
      <w:pPr>
        <w:pStyle w:val="Definition-Field2"/>
      </w:pPr>
      <w:r>
        <w:t>Excel limits the occurrences of this element to 32.</w:t>
      </w:r>
    </w:p>
    <w:p w:rsidR="000A156F" w:rsidRDefault="00A9721F">
      <w:pPr>
        <w:pStyle w:val="Definition-Field"/>
      </w:pPr>
      <w:r>
        <w:t xml:space="preserve">c.   </w:t>
      </w:r>
      <w:r>
        <w:rPr>
          <w:i/>
        </w:rPr>
        <w:t>The standard does not limit the length o</w:t>
      </w:r>
      <w:r>
        <w:rPr>
          <w:i/>
        </w:rPr>
        <w:t>f the value of the name attribute.</w:t>
      </w:r>
    </w:p>
    <w:p w:rsidR="000A156F" w:rsidRDefault="00A9721F">
      <w:pPr>
        <w:pStyle w:val="Definition-Field2"/>
      </w:pPr>
      <w:r>
        <w:t>Excel restricts the value of this attribute to be at most 255 characters, after decoding.</w:t>
      </w:r>
    </w:p>
    <w:p w:rsidR="000A156F" w:rsidRDefault="00A9721F">
      <w:pPr>
        <w:pStyle w:val="Definition-Field"/>
      </w:pPr>
      <w:r>
        <w:t xml:space="preserve">d.   </w:t>
      </w:r>
      <w:r>
        <w:rPr>
          <w:i/>
        </w:rPr>
        <w:t>The standard states that the name attribute must be unique for the workbook.</w:t>
      </w:r>
    </w:p>
    <w:p w:rsidR="000A156F" w:rsidRDefault="00A9721F">
      <w:pPr>
        <w:pStyle w:val="Definition-Field2"/>
      </w:pPr>
      <w:r>
        <w:t>Office only requires that the name attribute be u</w:t>
      </w:r>
      <w:r>
        <w:t>nique for each worksheet (allows duplicates in a workbook).</w:t>
      </w:r>
    </w:p>
    <w:p w:rsidR="000A156F" w:rsidRDefault="00A9721F">
      <w:pPr>
        <w:pStyle w:val="Definition-Field"/>
      </w:pPr>
      <w:r>
        <w:t xml:space="preserve">e.   </w:t>
      </w:r>
      <w:r>
        <w:rPr>
          <w:i/>
        </w:rPr>
        <w:t>The standard does not limit the length of the value of the user attribute.</w:t>
      </w:r>
    </w:p>
    <w:p w:rsidR="000A156F" w:rsidRDefault="00A9721F">
      <w:pPr>
        <w:pStyle w:val="Definition-Field2"/>
      </w:pPr>
      <w:r>
        <w:t>Excel restricts the value of this attribute to be at least 1 and at most 54 characters, after decoding.</w:t>
      </w:r>
    </w:p>
    <w:p w:rsidR="000A156F" w:rsidRDefault="00A9721F">
      <w:pPr>
        <w:pStyle w:val="Definition-Field"/>
      </w:pPr>
      <w:r>
        <w:t xml:space="preserve">f.   </w:t>
      </w:r>
      <w:r>
        <w:rPr>
          <w:i/>
        </w:rPr>
        <w:t>The sta</w:t>
      </w:r>
      <w:r>
        <w:rPr>
          <w:i/>
        </w:rPr>
        <w:t>ndard does not limit the length of the value of the comment attribute.</w:t>
      </w:r>
    </w:p>
    <w:p w:rsidR="000A156F" w:rsidRDefault="00A9721F">
      <w:pPr>
        <w:pStyle w:val="Definition-Field2"/>
      </w:pPr>
      <w:r>
        <w:t>Excel restricts the value of this attribute to be at most 255 characters, after decoding.</w:t>
      </w:r>
    </w:p>
    <w:p w:rsidR="000A156F" w:rsidRDefault="00A9721F">
      <w:pPr>
        <w:pStyle w:val="Heading3"/>
      </w:pPr>
      <w:bookmarkStart w:id="1314" w:name="section_340d24aef870491180380cb886c4aa1c"/>
      <w:bookmarkStart w:id="1315" w:name="_Toc181683683"/>
      <w:r>
        <w:t>Part 1 Section 18.3.1.76, scenarios (Scenarios)</w:t>
      </w:r>
      <w:bookmarkEnd w:id="1314"/>
      <w:bookmarkEnd w:id="1315"/>
      <w:r>
        <w:fldChar w:fldCharType="begin"/>
      </w:r>
      <w:r>
        <w:instrText xml:space="preserve"> XE "scenarios (Scenarios)" </w:instrText>
      </w:r>
      <w:r>
        <w:fldChar w:fldCharType="end"/>
      </w:r>
    </w:p>
    <w:p w:rsidR="000A156F" w:rsidRDefault="00A9721F">
      <w:pPr>
        <w:pStyle w:val="Definition-Field"/>
      </w:pPr>
      <w:r>
        <w:t xml:space="preserve">a.   </w:t>
      </w:r>
      <w:r>
        <w:rPr>
          <w:i/>
        </w:rPr>
        <w:t xml:space="preserve">In the </w:t>
      </w:r>
      <w:r>
        <w:rPr>
          <w:i/>
        </w:rPr>
        <w:t>standard, the current and show attributes do not have upper limits.</w:t>
      </w:r>
    </w:p>
    <w:p w:rsidR="000A156F" w:rsidRDefault="00A9721F">
      <w:pPr>
        <w:pStyle w:val="Definition-Field2"/>
      </w:pPr>
      <w:r>
        <w:t>In Excel, both the current and show attributes must be less than the number of child scenario elements.</w:t>
      </w:r>
    </w:p>
    <w:p w:rsidR="000A156F" w:rsidRDefault="00A9721F">
      <w:pPr>
        <w:pStyle w:val="Heading3"/>
      </w:pPr>
      <w:bookmarkStart w:id="1316" w:name="section_91bb957fbae645d7a45f8dcbf898ad70"/>
      <w:bookmarkStart w:id="1317" w:name="_Toc181683684"/>
      <w:r>
        <w:t>Part 1 Section 18.3.1.77, securityDescriptor (Security Descriptor)</w:t>
      </w:r>
      <w:bookmarkEnd w:id="1316"/>
      <w:bookmarkEnd w:id="1317"/>
      <w:r>
        <w:fldChar w:fldCharType="begin"/>
      </w:r>
      <w:r>
        <w:instrText xml:space="preserve"> XE "securityDescr</w:instrText>
      </w:r>
      <w:r>
        <w:instrText xml:space="preserve">iptor (Security Descriptor)" </w:instrText>
      </w:r>
      <w:r>
        <w:fldChar w:fldCharType="end"/>
      </w:r>
    </w:p>
    <w:p w:rsidR="000A156F" w:rsidRDefault="00A9721F">
      <w:pPr>
        <w:pStyle w:val="Definition-Field"/>
      </w:pPr>
      <w:r>
        <w:t xml:space="preserve">a.   </w:t>
      </w:r>
      <w:r>
        <w:rPr>
          <w:i/>
        </w:rPr>
        <w:t>The standard states that the securityDescriptor element is a valid child element of the CT_ProtectedRange type.</w:t>
      </w:r>
    </w:p>
    <w:p w:rsidR="000A156F" w:rsidRDefault="00A9721F">
      <w:pPr>
        <w:pStyle w:val="Definition-Field2"/>
      </w:pPr>
      <w:r>
        <w:t>Office does not support the securityDescriptor element as a child of CT_ProtectedRange, and ignores any ins</w:t>
      </w:r>
      <w:r>
        <w:t>tances of the securityDescriptor element.</w:t>
      </w:r>
    </w:p>
    <w:p w:rsidR="000A156F" w:rsidRDefault="00A9721F">
      <w:pPr>
        <w:pStyle w:val="Definition-Field2"/>
      </w:pPr>
      <w:r>
        <w:t>This note applies to the following products: Office 2010, Office 2010 Server, Office 2010 SP1.</w:t>
      </w:r>
    </w:p>
    <w:p w:rsidR="000A156F" w:rsidRDefault="00A9721F">
      <w:pPr>
        <w:pStyle w:val="Definition-Field"/>
      </w:pPr>
      <w:r>
        <w:t xml:space="preserve">b.   </w:t>
      </w:r>
      <w:r>
        <w:rPr>
          <w:i/>
        </w:rPr>
        <w:t>The standard states that the securityDescriptor element is a valid child element of the CT_ProtectedRange type.</w:t>
      </w:r>
    </w:p>
    <w:p w:rsidR="000A156F" w:rsidRDefault="00A9721F">
      <w:pPr>
        <w:pStyle w:val="Definition-Field2"/>
      </w:pPr>
      <w:r>
        <w:t>Ex</w:t>
      </w:r>
      <w:r>
        <w:t>cel ignores all but first of securityDescriptor elements with a common parent.</w:t>
      </w:r>
    </w:p>
    <w:p w:rsidR="000A156F" w:rsidRDefault="00A9721F">
      <w:pPr>
        <w:pStyle w:val="Definition-Field2"/>
      </w:pPr>
      <w:r>
        <w:t>This note applies to the following products: Office 2013 Client (Strict), Office 2013 Server (Strict), Office 2013 Client (Transitional), Office 2013 Server (Transitional).</w:t>
      </w:r>
    </w:p>
    <w:p w:rsidR="000A156F" w:rsidRDefault="00A9721F">
      <w:pPr>
        <w:pStyle w:val="Heading3"/>
      </w:pPr>
      <w:bookmarkStart w:id="1318" w:name="section_d958b467c9464f32aecf9f7b27a28fc5"/>
      <w:bookmarkStart w:id="1319" w:name="_Toc181683685"/>
      <w:r>
        <w:lastRenderedPageBreak/>
        <w:t>Part 1 Section 18.3.1.78, selection (Selection)</w:t>
      </w:r>
      <w:bookmarkEnd w:id="1318"/>
      <w:bookmarkEnd w:id="1319"/>
      <w:r>
        <w:fldChar w:fldCharType="begin"/>
      </w:r>
      <w:r>
        <w:instrText xml:space="preserve"> XE "selection (Selection)" </w:instrText>
      </w:r>
      <w:r>
        <w:fldChar w:fldCharType="end"/>
      </w:r>
    </w:p>
    <w:p w:rsidR="000A156F" w:rsidRDefault="00A9721F">
      <w:pPr>
        <w:pStyle w:val="Definition-Field"/>
      </w:pPr>
      <w:r>
        <w:t xml:space="preserve">a.   </w:t>
      </w:r>
      <w:r>
        <w:rPr>
          <w:i/>
        </w:rPr>
        <w:t>The standard does not specify a default value for the activeCell attribute.</w:t>
      </w:r>
    </w:p>
    <w:p w:rsidR="000A156F" w:rsidRDefault="00A9721F">
      <w:pPr>
        <w:pStyle w:val="Definition-Field2"/>
      </w:pPr>
      <w:r>
        <w:t>Excel uses a default value of A1 for this attribute.</w:t>
      </w:r>
    </w:p>
    <w:p w:rsidR="000A156F" w:rsidRDefault="00A9721F">
      <w:pPr>
        <w:pStyle w:val="Definition-Field"/>
      </w:pPr>
      <w:r>
        <w:t xml:space="preserve">b.   </w:t>
      </w:r>
      <w:r>
        <w:rPr>
          <w:i/>
        </w:rPr>
        <w:t xml:space="preserve">The standard states that the values of </w:t>
      </w:r>
      <w:r>
        <w:rPr>
          <w:i/>
        </w:rPr>
        <w:t>the activeCellId attribute are defined by the XML Schema unsignedInt datatype.</w:t>
      </w:r>
    </w:p>
    <w:p w:rsidR="000A156F" w:rsidRDefault="00A9721F">
      <w:pPr>
        <w:pStyle w:val="Definition-Field2"/>
      </w:pPr>
      <w:r>
        <w:t>Excel restricts the value of this attribute to be at most 8191.</w:t>
      </w:r>
    </w:p>
    <w:p w:rsidR="000A156F" w:rsidRDefault="00A9721F">
      <w:pPr>
        <w:pStyle w:val="Heading3"/>
      </w:pPr>
      <w:bookmarkStart w:id="1320" w:name="section_1d47296a5b004fc2b4d7c7efc8fff0fc"/>
      <w:bookmarkStart w:id="1321" w:name="_Toc181683686"/>
      <w:r>
        <w:t>Part 1 Section 18.3.1.81, sheetFormatPr (Sheet Format Properties)</w:t>
      </w:r>
      <w:bookmarkEnd w:id="1320"/>
      <w:bookmarkEnd w:id="1321"/>
      <w:r>
        <w:fldChar w:fldCharType="begin"/>
      </w:r>
      <w:r>
        <w:instrText xml:space="preserve"> XE "sheetFormatPr (Sheet Format Properties)" </w:instrText>
      </w:r>
      <w:r>
        <w:fldChar w:fldCharType="end"/>
      </w:r>
    </w:p>
    <w:p w:rsidR="000A156F" w:rsidRDefault="00A9721F">
      <w:pPr>
        <w:pStyle w:val="Definition-Field"/>
      </w:pPr>
      <w:r>
        <w:t xml:space="preserve">a.   </w:t>
      </w:r>
      <w:r>
        <w:rPr>
          <w:i/>
        </w:rPr>
        <w:t>The standard does not place any restrictions on the value of the outlineLevelRow or outlineLevelCol attributes.</w:t>
      </w:r>
    </w:p>
    <w:p w:rsidR="000A156F" w:rsidRDefault="00A9721F">
      <w:pPr>
        <w:pStyle w:val="Definition-Field2"/>
      </w:pPr>
      <w:r>
        <w:t>Office requires that the outlineLevelRow and outlineLevelCol attributes be between 0 and 7 inclusive.</w:t>
      </w:r>
    </w:p>
    <w:p w:rsidR="000A156F" w:rsidRDefault="00A9721F">
      <w:pPr>
        <w:pStyle w:val="Definition-Field"/>
      </w:pPr>
      <w:r>
        <w:t xml:space="preserve">b.   </w:t>
      </w:r>
      <w:r>
        <w:rPr>
          <w:i/>
        </w:rPr>
        <w:t>The standard does not place any</w:t>
      </w:r>
      <w:r>
        <w:rPr>
          <w:i/>
        </w:rPr>
        <w:t xml:space="preserve"> restrictions on the value of @baseColWidth.</w:t>
      </w:r>
    </w:p>
    <w:p w:rsidR="000A156F" w:rsidRDefault="00A9721F">
      <w:pPr>
        <w:pStyle w:val="Definition-Field2"/>
      </w:pPr>
      <w:r>
        <w:t>Office requires that @baseColWidth have a maximum value of less than or equal to 255.</w:t>
      </w:r>
    </w:p>
    <w:p w:rsidR="000A156F" w:rsidRDefault="00A9721F">
      <w:pPr>
        <w:pStyle w:val="Definition-Field"/>
      </w:pPr>
      <w:r>
        <w:t xml:space="preserve">c.   </w:t>
      </w:r>
      <w:r>
        <w:rPr>
          <w:i/>
        </w:rPr>
        <w:t>The standard does not place restrictions on the value of the defaultColWidth attribute.</w:t>
      </w:r>
    </w:p>
    <w:p w:rsidR="000A156F" w:rsidRDefault="00A9721F">
      <w:pPr>
        <w:pStyle w:val="Definition-Field2"/>
      </w:pPr>
      <w:r>
        <w:t>Office requires that the default</w:t>
      </w:r>
      <w:r>
        <w:t>ColWidth attribute be less than 65536 and greater than or equal to zero.</w:t>
      </w:r>
    </w:p>
    <w:p w:rsidR="000A156F" w:rsidRDefault="00A9721F">
      <w:pPr>
        <w:pStyle w:val="Heading3"/>
      </w:pPr>
      <w:bookmarkStart w:id="1322" w:name="section_e2b7325c912947e1abc73cc75ca1e2d8"/>
      <w:bookmarkStart w:id="1323" w:name="_Toc181683687"/>
      <w:r>
        <w:t>Part 1 Section 18.3.1.82, sheetPr (Sheet Properties)</w:t>
      </w:r>
      <w:bookmarkEnd w:id="1322"/>
      <w:bookmarkEnd w:id="1323"/>
      <w:r>
        <w:fldChar w:fldCharType="begin"/>
      </w:r>
      <w:r>
        <w:instrText xml:space="preserve"> XE "sheetPr (Sheet Properties)" </w:instrText>
      </w:r>
      <w:r>
        <w:fldChar w:fldCharType="end"/>
      </w:r>
    </w:p>
    <w:p w:rsidR="000A156F" w:rsidRDefault="00A9721F">
      <w:pPr>
        <w:pStyle w:val="Definition-Field"/>
      </w:pPr>
      <w:r>
        <w:t xml:space="preserve">a.   </w:t>
      </w:r>
      <w:r>
        <w:rPr>
          <w:i/>
        </w:rPr>
        <w:t>The standard allows any range reference for the syncRef attribute.</w:t>
      </w:r>
    </w:p>
    <w:p w:rsidR="000A156F" w:rsidRDefault="00A9721F">
      <w:pPr>
        <w:pStyle w:val="Definition-Field2"/>
      </w:pPr>
      <w:r>
        <w:t xml:space="preserve">In Office, the syncRef </w:t>
      </w:r>
      <w:r>
        <w:t>attribute specifies a valid cell reference only when either the syncHorizontal or the syncVertical attributes is true.</w:t>
      </w:r>
    </w:p>
    <w:p w:rsidR="000A156F" w:rsidRDefault="00A9721F">
      <w:pPr>
        <w:pStyle w:val="Definition-Field"/>
      </w:pPr>
      <w:r>
        <w:t xml:space="preserve">b.   </w:t>
      </w:r>
      <w:r>
        <w:rPr>
          <w:i/>
        </w:rPr>
        <w:t>The standard states that the values of the codeName attribute are defined by the XML Schema string datatype.</w:t>
      </w:r>
    </w:p>
    <w:p w:rsidR="000A156F" w:rsidRDefault="00A9721F">
      <w:pPr>
        <w:pStyle w:val="Definition-Field2"/>
      </w:pPr>
      <w:r>
        <w:t>Office requires the cod</w:t>
      </w:r>
      <w:r>
        <w:t>eName attribute to be less than 32 characters with the following pattern restriction: [\p{L}\P{IsBasicLatin}][_\d\p{L}\P{IsBasicLatin}]*.</w:t>
      </w:r>
    </w:p>
    <w:p w:rsidR="000A156F" w:rsidRDefault="00A9721F">
      <w:pPr>
        <w:pStyle w:val="Definition-Field"/>
      </w:pPr>
      <w:r>
        <w:t xml:space="preserve">c.   </w:t>
      </w:r>
      <w:r>
        <w:rPr>
          <w:i/>
        </w:rPr>
        <w:t>The standard specifies the codeName attribute is valid for all parents.</w:t>
      </w:r>
    </w:p>
    <w:p w:rsidR="000A156F" w:rsidRDefault="00A9721F">
      <w:pPr>
        <w:pStyle w:val="Definition-Field2"/>
      </w:pPr>
      <w:r>
        <w:t>In Office, the codeName attribute is only</w:t>
      </w:r>
      <w:r>
        <w:t xml:space="preserve"> valid for the worksheet parent.</w:t>
      </w:r>
    </w:p>
    <w:p w:rsidR="000A156F" w:rsidRDefault="00A9721F">
      <w:pPr>
        <w:pStyle w:val="Heading3"/>
      </w:pPr>
      <w:bookmarkStart w:id="1324" w:name="section_6f37d5b810364318a35b22d5899c0a23"/>
      <w:bookmarkStart w:id="1325" w:name="_Toc181683688"/>
      <w:r>
        <w:t>Part 1 Section 18.3.1.83, sheetPr (Chart Sheet Properties)</w:t>
      </w:r>
      <w:bookmarkEnd w:id="1324"/>
      <w:bookmarkEnd w:id="1325"/>
      <w:r>
        <w:fldChar w:fldCharType="begin"/>
      </w:r>
      <w:r>
        <w:instrText xml:space="preserve"> XE "sheetPr (Chart Sheet Properties)" </w:instrText>
      </w:r>
      <w:r>
        <w:fldChar w:fldCharType="end"/>
      </w:r>
    </w:p>
    <w:p w:rsidR="000A156F" w:rsidRDefault="00A9721F">
      <w:pPr>
        <w:pStyle w:val="Definition-Field"/>
      </w:pPr>
      <w:r>
        <w:t xml:space="preserve">a.   </w:t>
      </w:r>
      <w:r>
        <w:rPr>
          <w:i/>
        </w:rPr>
        <w:t>The standard specifies @codeName can be any xsd:string.</w:t>
      </w:r>
    </w:p>
    <w:p w:rsidR="000A156F" w:rsidRDefault="00A9721F">
      <w:pPr>
        <w:pStyle w:val="Definition-Field2"/>
      </w:pPr>
      <w:r>
        <w:t xml:space="preserve">Office requires @codeName to be less than 32 characters with </w:t>
      </w:r>
      <w:r>
        <w:t>the following pattern restriction: [\p{L}\P{IsBasicLatin}][_\d\p{L}\P{IsBasicLatin}]*.</w:t>
      </w:r>
    </w:p>
    <w:p w:rsidR="000A156F" w:rsidRDefault="00A9721F">
      <w:pPr>
        <w:pStyle w:val="Heading3"/>
      </w:pPr>
      <w:bookmarkStart w:id="1326" w:name="section_fcf4108f555a4d3ba9ca85fcfec97d1b"/>
      <w:bookmarkStart w:id="1327" w:name="_Toc181683689"/>
      <w:r>
        <w:t>Part 1 Section 18.3.1.84, sheetProtection (Chart Sheet Protection)</w:t>
      </w:r>
      <w:bookmarkEnd w:id="1326"/>
      <w:bookmarkEnd w:id="1327"/>
      <w:r>
        <w:fldChar w:fldCharType="begin"/>
      </w:r>
      <w:r>
        <w:instrText xml:space="preserve"> XE "sheetProtection (Chart Sheet Protection)" </w:instrText>
      </w:r>
      <w:r>
        <w:fldChar w:fldCharType="end"/>
      </w:r>
    </w:p>
    <w:p w:rsidR="000A156F" w:rsidRDefault="00A9721F">
      <w:pPr>
        <w:pStyle w:val="Definition-Field"/>
      </w:pPr>
      <w:r>
        <w:t xml:space="preserve">a.   </w:t>
      </w:r>
      <w:r>
        <w:rPr>
          <w:i/>
        </w:rPr>
        <w:t>The standard states that when the content attrib</w:t>
      </w:r>
      <w:r>
        <w:rPr>
          <w:i/>
        </w:rPr>
        <w:t>ute equals true, no changes can be made to chart elements.</w:t>
      </w:r>
    </w:p>
    <w:p w:rsidR="000A156F" w:rsidRDefault="00A9721F">
      <w:pPr>
        <w:pStyle w:val="Definition-Field2"/>
      </w:pPr>
      <w:r>
        <w:t>Office allows changes to chart elements, even when the content attribute equals true.</w:t>
      </w:r>
    </w:p>
    <w:p w:rsidR="000A156F" w:rsidRDefault="00A9721F">
      <w:pPr>
        <w:pStyle w:val="Definition-Field"/>
      </w:pPr>
      <w:r>
        <w:lastRenderedPageBreak/>
        <w:t xml:space="preserve">b.   </w:t>
      </w:r>
      <w:r>
        <w:rPr>
          <w:i/>
        </w:rPr>
        <w:t>The standard states that this setting uses a specific Password attribute to store the password hash.</w:t>
      </w:r>
    </w:p>
    <w:p w:rsidR="000A156F" w:rsidRDefault="00A9721F">
      <w:r>
        <w:t>In Of</w:t>
      </w:r>
      <w:r>
        <w:t>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algorithm Name</w:t>
            </w:r>
          </w:p>
        </w:tc>
        <w:tc>
          <w:tcPr>
            <w:tcW w:w="0" w:type="auto"/>
            <w:vAlign w:val="center"/>
          </w:tcPr>
          <w:p w:rsidR="000A156F" w:rsidRDefault="00A9721F">
            <w:pPr>
              <w:pStyle w:val="TableBodyText"/>
            </w:pPr>
            <w:r>
              <w:t>The n</w:t>
            </w:r>
            <w:r>
              <w:t>ame of the cryptographic hashing algorithm used to generate the hash value. Only those algorithms that are installed in the operating system’s cryptographic subsystem can be utilized by Office.</w:t>
            </w:r>
          </w:p>
          <w:p w:rsidR="000A156F" w:rsidRDefault="000A156F">
            <w:pPr>
              <w:pStyle w:val="TableBodyText"/>
            </w:pPr>
          </w:p>
          <w:p w:rsidR="000A156F" w:rsidRDefault="00A9721F">
            <w:pPr>
              <w:pStyle w:val="TableBodyText"/>
            </w:pPr>
            <w:r>
              <w:t>The hash algorithm names, described in the following table, a</w:t>
            </w:r>
            <w:r>
              <w:t>re reserved.</w:t>
            </w:r>
          </w:p>
          <w:p w:rsidR="000A156F" w:rsidRDefault="000A156F">
            <w:pPr>
              <w:pStyle w:val="TableBodyText"/>
            </w:pPr>
          </w:p>
          <w:p w:rsidR="000A156F" w:rsidRDefault="00A9721F">
            <w:pPr>
              <w:pStyle w:val="TableBodyText"/>
            </w:pPr>
            <w:r>
              <w:rPr>
                <w:b/>
                <w:i/>
              </w:rPr>
              <w:t xml:space="preserve">MD2 </w:t>
            </w:r>
          </w:p>
          <w:p w:rsidR="000A156F" w:rsidRDefault="00A9721F">
            <w:pPr>
              <w:pStyle w:val="TableBodyText"/>
            </w:pPr>
            <w:r>
              <w:rPr>
                <w:i/>
              </w:rPr>
              <w:t>Specifies that the MD2 algorithm, as defined by RFC 1319,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 xml:space="preserve">MD4 </w:t>
            </w:r>
          </w:p>
          <w:p w:rsidR="000A156F" w:rsidRDefault="00A9721F">
            <w:pPr>
              <w:pStyle w:val="TableBodyText"/>
            </w:pPr>
            <w:r>
              <w:rPr>
                <w:i/>
              </w:rPr>
              <w:t>Specifies t</w:t>
            </w:r>
            <w:r>
              <w:rPr>
                <w:i/>
              </w:rPr>
              <w:t>hat the MD4 algorithm, as defined by RFC 1320,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MD5</w:t>
            </w:r>
          </w:p>
          <w:p w:rsidR="000A156F" w:rsidRDefault="00A9721F">
            <w:pPr>
              <w:pStyle w:val="TableBodyText"/>
            </w:pPr>
            <w:r>
              <w:rPr>
                <w:i/>
              </w:rPr>
              <w:t xml:space="preserve">Specifies that the MD5 algorithm, as </w:t>
            </w:r>
            <w:r>
              <w:rPr>
                <w:i/>
              </w:rPr>
              <w:t>defined by RFC 1321,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RIPEMD-128</w:t>
            </w:r>
          </w:p>
          <w:p w:rsidR="000A156F" w:rsidRDefault="00A9721F">
            <w:pPr>
              <w:pStyle w:val="TableBodyText"/>
            </w:pPr>
            <w:r>
              <w:rPr>
                <w:i/>
              </w:rPr>
              <w:t>Specifies that the RIPEMD-128 algorithm, as defined by ISO/IE</w:t>
            </w:r>
            <w:r>
              <w:rPr>
                <w:i/>
              </w:rPr>
              <w:t>C 10118-3:2004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RIPEMD-160</w:t>
            </w:r>
          </w:p>
          <w:p w:rsidR="000A156F" w:rsidRDefault="00A9721F">
            <w:pPr>
              <w:pStyle w:val="TableBodyText"/>
            </w:pPr>
            <w:r>
              <w:rPr>
                <w:i/>
              </w:rPr>
              <w:t>Specifies that the RIPEMD-160 algorithm, as defined by ISO/IEC 1011</w:t>
            </w:r>
            <w:r>
              <w:rPr>
                <w:i/>
              </w:rPr>
              <w:t>8-3:2004, shall be used.</w:t>
            </w:r>
          </w:p>
          <w:p w:rsidR="000A156F" w:rsidRDefault="00A9721F">
            <w:pPr>
              <w:pStyle w:val="TableBodyText"/>
            </w:pPr>
            <w:r>
              <w:rPr>
                <w:b/>
                <w:i/>
              </w:rPr>
              <w:t>SHA-1</w:t>
            </w:r>
          </w:p>
          <w:p w:rsidR="000A156F" w:rsidRDefault="00A9721F">
            <w:pPr>
              <w:pStyle w:val="TableBodyText"/>
            </w:pPr>
            <w:r>
              <w:rPr>
                <w:i/>
              </w:rPr>
              <w:t>Specifies that the SHA-1 algorithm, as defined by ISO/IEC 10118-3:2004, shall be used.</w:t>
            </w:r>
          </w:p>
          <w:p w:rsidR="000A156F" w:rsidRDefault="00A9721F">
            <w:pPr>
              <w:pStyle w:val="TableBodyText"/>
            </w:pPr>
            <w:r>
              <w:rPr>
                <w:b/>
                <w:i/>
              </w:rPr>
              <w:t>SHA-256</w:t>
            </w:r>
          </w:p>
          <w:p w:rsidR="000A156F" w:rsidRDefault="00A9721F">
            <w:pPr>
              <w:pStyle w:val="TableBodyText"/>
            </w:pPr>
            <w:r>
              <w:rPr>
                <w:i/>
              </w:rPr>
              <w:t>Specifies that the SHA-256 algorithm, as defined by ISO/IEC 10118-3:2004, shall be used.</w:t>
            </w:r>
          </w:p>
          <w:p w:rsidR="000A156F" w:rsidRDefault="00A9721F">
            <w:pPr>
              <w:pStyle w:val="TableBodyText"/>
            </w:pPr>
            <w:r>
              <w:rPr>
                <w:b/>
                <w:i/>
              </w:rPr>
              <w:t>SHA-384</w:t>
            </w:r>
          </w:p>
          <w:p w:rsidR="000A156F" w:rsidRDefault="00A9721F">
            <w:pPr>
              <w:pStyle w:val="TableBodyText"/>
            </w:pPr>
            <w:r>
              <w:rPr>
                <w:i/>
              </w:rPr>
              <w:t>Specifies that the SHA-384 algori</w:t>
            </w:r>
            <w:r>
              <w:rPr>
                <w:i/>
              </w:rPr>
              <w:t>thm, as defined by ISO/IEC 10118-3:2004, shall be used.</w:t>
            </w:r>
          </w:p>
          <w:p w:rsidR="000A156F" w:rsidRDefault="00A9721F">
            <w:pPr>
              <w:pStyle w:val="TableBodyText"/>
            </w:pPr>
            <w:r>
              <w:rPr>
                <w:b/>
                <w:i/>
              </w:rPr>
              <w:t>SHA-512</w:t>
            </w:r>
          </w:p>
          <w:p w:rsidR="000A156F" w:rsidRDefault="00A9721F">
            <w:pPr>
              <w:pStyle w:val="TableBodyText"/>
            </w:pPr>
            <w:r>
              <w:rPr>
                <w:i/>
              </w:rPr>
              <w:t>Specifies that the SHA-512 algorithm, as defined by ISO/IEC 10118-3:2004, shall be used.</w:t>
            </w:r>
          </w:p>
          <w:p w:rsidR="000A156F" w:rsidRDefault="00A9721F">
            <w:pPr>
              <w:pStyle w:val="TableBodyText"/>
            </w:pPr>
            <w:r>
              <w:rPr>
                <w:b/>
                <w:i/>
              </w:rPr>
              <w:t>WHIRLPOOL</w:t>
            </w:r>
          </w:p>
          <w:p w:rsidR="000A156F" w:rsidRDefault="00A9721F">
            <w:pPr>
              <w:pStyle w:val="TableBodyText"/>
            </w:pPr>
            <w:r>
              <w:rPr>
                <w:i/>
              </w:rPr>
              <w:t>Specifies that the WHIRLPOOL algorithm, as defined by ISO/IEC 10118-3:2004, shall be used.</w:t>
            </w:r>
          </w:p>
          <w:p w:rsidR="000A156F" w:rsidRDefault="000A156F">
            <w:pPr>
              <w:pStyle w:val="TableBodyText"/>
            </w:pPr>
          </w:p>
          <w:p w:rsidR="000A156F" w:rsidRDefault="000A156F">
            <w:pPr>
              <w:pStyle w:val="TableBodyText"/>
            </w:pPr>
          </w:p>
        </w:tc>
      </w:tr>
      <w:tr w:rsidR="000A156F" w:rsidTr="000A156F">
        <w:tc>
          <w:tcPr>
            <w:tcW w:w="0" w:type="auto"/>
            <w:vAlign w:val="center"/>
          </w:tcPr>
          <w:p w:rsidR="000A156F" w:rsidRDefault="00A9721F">
            <w:pPr>
              <w:pStyle w:val="TableBodyText"/>
            </w:pPr>
            <w:r>
              <w:rPr>
                <w:b/>
              </w:rPr>
              <w:t>hash Value</w:t>
            </w:r>
          </w:p>
        </w:tc>
        <w:tc>
          <w:tcPr>
            <w:tcW w:w="0" w:type="auto"/>
            <w:vAlign w:val="center"/>
          </w:tcPr>
          <w:p w:rsidR="000A156F" w:rsidRDefault="00A9721F">
            <w:pPr>
              <w:pStyle w:val="TableBodyText"/>
            </w:pPr>
            <w:r>
              <w:t xml:space="preserve">Specifies the hash value for the password required to edit this worksheet. This value shall be compared with the resulting hash value after hashing the user-supplied password using the algorithm specified by the preceding attributes and parent </w:t>
            </w:r>
            <w:r>
              <w:t xml:space="preserve">XML element. If the two values match, </w:t>
            </w:r>
            <w:r>
              <w:lastRenderedPageBreak/>
              <w:t>the protection shall no longer be enforced.</w:t>
            </w:r>
          </w:p>
          <w:p w:rsidR="000A156F" w:rsidRDefault="000A156F">
            <w:pPr>
              <w:pStyle w:val="TableBodyText"/>
            </w:pPr>
          </w:p>
          <w:p w:rsidR="000A156F" w:rsidRDefault="00A9721F">
            <w:pPr>
              <w:pStyle w:val="TableBodyText"/>
            </w:pPr>
            <w:r>
              <w:t>If this value is omitted, then the reservationPassword attribute shall contain the password hash for the workbook.</w:t>
            </w:r>
          </w:p>
          <w:p w:rsidR="000A156F" w:rsidRDefault="000A156F">
            <w:pPr>
              <w:pStyle w:val="TableBodyText"/>
            </w:pPr>
          </w:p>
          <w:p w:rsidR="000A156F" w:rsidRDefault="00A9721F">
            <w:pPr>
              <w:pStyle w:val="TableBodyText"/>
            </w:pPr>
            <w:r>
              <w:t>[</w:t>
            </w:r>
            <w:r>
              <w:rPr>
                <w:i/>
              </w:rPr>
              <w:t>Example</w:t>
            </w:r>
            <w:r>
              <w:t>: Consider an Office Open XML document with the f</w:t>
            </w:r>
            <w:r>
              <w:t>ollowing information stored in one of its protection elements:</w:t>
            </w:r>
          </w:p>
          <w:p w:rsidR="000A156F" w:rsidRDefault="000A156F">
            <w:pPr>
              <w:pStyle w:val="TableBodyText"/>
            </w:pPr>
          </w:p>
          <w:p w:rsidR="000A156F" w:rsidRDefault="00A9721F">
            <w:pPr>
              <w:pStyle w:val="TableBodyText"/>
            </w:pPr>
            <w:r>
              <w:t>&lt;… algorithmName="SHA-1" hashValue="9oN7nWkCAyEZib1RomSJTjmPpCY=" /&gt;</w:t>
            </w:r>
          </w:p>
          <w:p w:rsidR="000A156F" w:rsidRDefault="000A156F">
            <w:pPr>
              <w:pStyle w:val="TableBodyText"/>
            </w:pPr>
          </w:p>
          <w:p w:rsidR="000A156F" w:rsidRDefault="00A9721F">
            <w:pPr>
              <w:pStyle w:val="TableBodyText"/>
            </w:pPr>
            <w:r>
              <w:t>The hashValue attribute value of 9oN7nWkCAyEZib1RomSJTjmPpCY= specifies that the user-supplied password must be hashed usi</w:t>
            </w:r>
            <w:r>
              <w:t xml:space="preserve">ng the pre-processing defined by the parent element (if any) followed by the hashing algorithm (specified via the algorithmName attribute value) and that the resulting hash value must be match for the protection to be disabled. </w:t>
            </w:r>
          </w:p>
          <w:p w:rsidR="000A156F" w:rsidRDefault="00A9721F">
            <w:pPr>
              <w:pStyle w:val="TableBodyText"/>
            </w:pPr>
            <w:r>
              <w:rPr>
                <w:i/>
              </w:rPr>
              <w:t>end example</w:t>
            </w:r>
            <w:r>
              <w:t>]</w:t>
            </w:r>
          </w:p>
          <w:p w:rsidR="000A156F" w:rsidRDefault="000A156F">
            <w:pPr>
              <w:pStyle w:val="TableBodyText"/>
            </w:pPr>
          </w:p>
          <w:p w:rsidR="000A156F" w:rsidRDefault="00A9721F">
            <w:pPr>
              <w:pStyle w:val="TableBodyText"/>
            </w:pPr>
            <w:r>
              <w:t xml:space="preserve">The possible </w:t>
            </w:r>
            <w:r>
              <w:t>values for this attribute are defined by the W3C XML Schema base64Binary datatype.</w:t>
            </w:r>
          </w:p>
        </w:tc>
      </w:tr>
      <w:tr w:rsidR="000A156F" w:rsidTr="000A156F">
        <w:tc>
          <w:tcPr>
            <w:tcW w:w="0" w:type="auto"/>
            <w:vAlign w:val="center"/>
          </w:tcPr>
          <w:p w:rsidR="000A156F" w:rsidRDefault="00A9721F">
            <w:pPr>
              <w:pStyle w:val="TableBodyText"/>
            </w:pPr>
            <w:r>
              <w:rPr>
                <w:b/>
              </w:rPr>
              <w:lastRenderedPageBreak/>
              <w:t>saltValue</w:t>
            </w:r>
          </w:p>
        </w:tc>
        <w:tc>
          <w:tcPr>
            <w:tcW w:w="0" w:type="auto"/>
            <w:vAlign w:val="center"/>
          </w:tcPr>
          <w:p w:rsidR="000A156F" w:rsidRDefault="00A9721F">
            <w:pPr>
              <w:pStyle w:val="TableBodyText"/>
            </w:pPr>
            <w:r>
              <w:t>Specifies the random bytes that are pre-pended to the user-supplied password before it was hashed by the hashing algorithm.</w:t>
            </w:r>
          </w:p>
        </w:tc>
      </w:tr>
      <w:tr w:rsidR="000A156F" w:rsidTr="000A156F">
        <w:tc>
          <w:tcPr>
            <w:tcW w:w="0" w:type="auto"/>
            <w:vAlign w:val="center"/>
          </w:tcPr>
          <w:p w:rsidR="000A156F" w:rsidRDefault="00A9721F">
            <w:pPr>
              <w:pStyle w:val="TableBodyText"/>
            </w:pPr>
            <w:r>
              <w:rPr>
                <w:b/>
              </w:rPr>
              <w:t>spinCount</w:t>
            </w:r>
          </w:p>
        </w:tc>
        <w:tc>
          <w:tcPr>
            <w:tcW w:w="0" w:type="auto"/>
            <w:vAlign w:val="center"/>
          </w:tcPr>
          <w:p w:rsidR="000A156F" w:rsidRDefault="00A9721F">
            <w:pPr>
              <w:pStyle w:val="TableBodyText"/>
            </w:pPr>
            <w:r>
              <w:t>Specifies the number of tim</w:t>
            </w:r>
            <w:r>
              <w:t>es the hashing function shall be iteratively run (using each iteration's result as the input for the next iteration).</w:t>
            </w:r>
          </w:p>
        </w:tc>
      </w:tr>
    </w:tbl>
    <w:p w:rsidR="000A156F" w:rsidRDefault="000A156F"/>
    <w:p w:rsidR="000A156F" w:rsidRDefault="00A9721F">
      <w:r>
        <w:t xml:space="preserve">[Example: </w:t>
      </w:r>
    </w:p>
    <w:p w:rsidR="000A156F" w:rsidRDefault="00A9721F">
      <w:r>
        <w:t>Consider an Office Open XML document with the following information stored in one of its protection elements:</w:t>
      </w:r>
    </w:p>
    <w:p w:rsidR="000A156F" w:rsidRDefault="00A9721F">
      <w:r>
        <w:t xml:space="preserve">&lt; … </w:t>
      </w:r>
      <w:r>
        <w:t>algorithmName="SHA-1" hashValue="9oN7nWkCAyEZib1RomSJTjmPpCY=" /&gt;</w:t>
      </w:r>
    </w:p>
    <w:p w:rsidR="000A156F" w:rsidRDefault="00A9721F">
      <w:r>
        <w:t>The algorithmName attribute value of SHA-1 specifies that the SHA-1 hashing algorithm must be used to generate a hash from the user-defined password.</w:t>
      </w:r>
    </w:p>
    <w:p w:rsidR="000A156F" w:rsidRDefault="00A9721F">
      <w:r>
        <w:t>end example]</w:t>
      </w:r>
    </w:p>
    <w:p w:rsidR="000A156F" w:rsidRDefault="00A9721F">
      <w:pPr>
        <w:pStyle w:val="Heading3"/>
      </w:pPr>
      <w:bookmarkStart w:id="1328" w:name="section_15197a0226f74a37ab9c7de4d4894ea5"/>
      <w:bookmarkStart w:id="1329" w:name="_Toc181683690"/>
      <w:r>
        <w:t>Part 1 Section 18.3.1.85, s</w:t>
      </w:r>
      <w:r>
        <w:t>heetProtection (Sheet Protection Options)</w:t>
      </w:r>
      <w:bookmarkEnd w:id="1328"/>
      <w:bookmarkEnd w:id="1329"/>
      <w:r>
        <w:fldChar w:fldCharType="begin"/>
      </w:r>
      <w:r>
        <w:instrText xml:space="preserve"> XE "sheetProtection (Sheet Protection Options)" </w:instrText>
      </w:r>
      <w:r>
        <w:fldChar w:fldCharType="end"/>
      </w:r>
    </w:p>
    <w:p w:rsidR="000A156F" w:rsidRDefault="00A9721F">
      <w:pPr>
        <w:pStyle w:val="Definition-Field"/>
      </w:pPr>
      <w:r>
        <w:t xml:space="preserve">a.   </w:t>
      </w:r>
      <w:r>
        <w:rPr>
          <w:i/>
        </w:rPr>
        <w:t>The standard does not specify any restrictions for a dialogsheet parent element.</w:t>
      </w:r>
    </w:p>
    <w:p w:rsidR="000A156F" w:rsidRDefault="00A9721F">
      <w:r>
        <w:t xml:space="preserve">For a </w:t>
      </w:r>
      <w:r>
        <w:rPr>
          <w:b/>
        </w:rPr>
        <w:t>dialogsheet</w:t>
      </w:r>
      <w:r>
        <w:t xml:space="preserve"> parent element, Office requires that the dialog sheet is pr</w:t>
      </w:r>
      <w:r>
        <w:t xml:space="preserve">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rsidR="000A156F" w:rsidRDefault="00A9721F">
      <w:pPr>
        <w:pStyle w:val="Definition-Field"/>
      </w:pPr>
      <w:r>
        <w:t xml:space="preserve">b.   </w:t>
      </w:r>
      <w:r>
        <w:rPr>
          <w:i/>
        </w:rPr>
        <w:t>The standard states that this setting uses a specific Password attribute to store the password hash.</w:t>
      </w:r>
    </w:p>
    <w:p w:rsidR="000A156F" w:rsidRDefault="00A9721F">
      <w:r>
        <w:t>In Office, when the HKCU/Software/Microsoft/Office/&lt;VERSION&gt;/Common/Security/UseIsoPasswordVerifier</w:t>
      </w:r>
      <w:r>
        <w:t xml:space="preserve">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algorithm Name</w:t>
            </w:r>
          </w:p>
        </w:tc>
        <w:tc>
          <w:tcPr>
            <w:tcW w:w="0" w:type="auto"/>
            <w:vAlign w:val="center"/>
          </w:tcPr>
          <w:p w:rsidR="000A156F" w:rsidRDefault="00A9721F">
            <w:pPr>
              <w:pStyle w:val="TableBodyText"/>
            </w:pPr>
            <w:r>
              <w:t>The name of the cryptographic hashing algorithm used to generate the hash value. Only those algorit</w:t>
            </w:r>
            <w:r>
              <w:t>hms that are installed in the operating system’s cryptographic subsystem can be utilized by Office.</w:t>
            </w:r>
          </w:p>
          <w:p w:rsidR="000A156F" w:rsidRDefault="000A156F">
            <w:pPr>
              <w:pStyle w:val="TableBodyText"/>
            </w:pPr>
          </w:p>
          <w:p w:rsidR="000A156F" w:rsidRDefault="00A9721F">
            <w:pPr>
              <w:pStyle w:val="TableBodyText"/>
            </w:pPr>
            <w:r>
              <w:t>The hash algorithm names, described in the following table, are reserved.</w:t>
            </w:r>
          </w:p>
          <w:p w:rsidR="000A156F" w:rsidRDefault="000A156F">
            <w:pPr>
              <w:pStyle w:val="TableBodyText"/>
            </w:pPr>
          </w:p>
          <w:p w:rsidR="000A156F" w:rsidRDefault="00A9721F">
            <w:pPr>
              <w:pStyle w:val="TableBodyText"/>
            </w:pPr>
            <w:r>
              <w:rPr>
                <w:b/>
                <w:i/>
              </w:rPr>
              <w:t xml:space="preserve">MD2 </w:t>
            </w:r>
          </w:p>
          <w:p w:rsidR="000A156F" w:rsidRDefault="00A9721F">
            <w:pPr>
              <w:pStyle w:val="TableBodyText"/>
            </w:pPr>
            <w:r>
              <w:rPr>
                <w:i/>
              </w:rPr>
              <w:t>Specifies that the MD2 algorithm, as defined by RFC 1319, shall be used.</w:t>
            </w:r>
          </w:p>
          <w:p w:rsidR="000A156F" w:rsidRDefault="000A156F">
            <w:pPr>
              <w:pStyle w:val="TableBodyText"/>
            </w:pPr>
          </w:p>
          <w:p w:rsidR="000A156F" w:rsidRDefault="00A9721F">
            <w:pPr>
              <w:pStyle w:val="TableBodyText"/>
            </w:pPr>
            <w:r>
              <w:rPr>
                <w:i/>
              </w:rPr>
              <w:t>[</w:t>
            </w:r>
            <w:r>
              <w:rPr>
                <w:i/>
              </w:rPr>
              <w:t>Note: It is recommended that applications should avoid using this algorithm to store new hash values, because of publicly known breaks. end note]</w:t>
            </w:r>
          </w:p>
          <w:p w:rsidR="000A156F" w:rsidRDefault="00A9721F">
            <w:pPr>
              <w:pStyle w:val="TableBodyText"/>
            </w:pPr>
            <w:r>
              <w:rPr>
                <w:b/>
                <w:i/>
              </w:rPr>
              <w:t xml:space="preserve">MD4 </w:t>
            </w:r>
          </w:p>
          <w:p w:rsidR="000A156F" w:rsidRDefault="00A9721F">
            <w:pPr>
              <w:pStyle w:val="TableBodyText"/>
            </w:pPr>
            <w:r>
              <w:rPr>
                <w:i/>
              </w:rPr>
              <w:t>Specifies that the MD4 algorithm, as defined by RFC 1320, shall be used.</w:t>
            </w:r>
          </w:p>
          <w:p w:rsidR="000A156F" w:rsidRDefault="000A156F">
            <w:pPr>
              <w:pStyle w:val="TableBodyText"/>
            </w:pPr>
          </w:p>
          <w:p w:rsidR="000A156F" w:rsidRDefault="00A9721F">
            <w:pPr>
              <w:pStyle w:val="TableBodyText"/>
            </w:pPr>
            <w:r>
              <w:rPr>
                <w:i/>
              </w:rPr>
              <w:t xml:space="preserve">[Note: It is recommended that </w:t>
            </w:r>
            <w:r>
              <w:rPr>
                <w:i/>
              </w:rPr>
              <w:t>applications should avoid using this algorithm to store new hash values, because of publicly known breaks. end note]</w:t>
            </w:r>
          </w:p>
          <w:p w:rsidR="000A156F" w:rsidRDefault="00A9721F">
            <w:pPr>
              <w:pStyle w:val="TableBodyText"/>
            </w:pPr>
            <w:r>
              <w:rPr>
                <w:b/>
                <w:i/>
              </w:rPr>
              <w:t>MD5</w:t>
            </w:r>
          </w:p>
          <w:p w:rsidR="000A156F" w:rsidRDefault="00A9721F">
            <w:pPr>
              <w:pStyle w:val="TableBodyText"/>
            </w:pPr>
            <w:r>
              <w:rPr>
                <w:i/>
              </w:rPr>
              <w:t>Specifies that the MD5 algorithm, as defined by RFC 1321, shall be used.</w:t>
            </w:r>
          </w:p>
          <w:p w:rsidR="000A156F" w:rsidRDefault="000A156F">
            <w:pPr>
              <w:pStyle w:val="TableBodyText"/>
            </w:pPr>
          </w:p>
          <w:p w:rsidR="000A156F" w:rsidRDefault="00A9721F">
            <w:pPr>
              <w:pStyle w:val="TableBodyText"/>
            </w:pPr>
            <w:r>
              <w:rPr>
                <w:i/>
              </w:rPr>
              <w:t>[Note: It is recommended that applications should avoid using</w:t>
            </w:r>
            <w:r>
              <w:rPr>
                <w:i/>
              </w:rPr>
              <w:t xml:space="preserve"> this algorithm to store new hash values, because of publicly known breaks. end note]</w:t>
            </w:r>
          </w:p>
          <w:p w:rsidR="000A156F" w:rsidRDefault="00A9721F">
            <w:pPr>
              <w:pStyle w:val="TableBodyText"/>
            </w:pPr>
            <w:r>
              <w:rPr>
                <w:b/>
                <w:i/>
              </w:rPr>
              <w:t>RIPEMD-128</w:t>
            </w:r>
          </w:p>
          <w:p w:rsidR="000A156F" w:rsidRDefault="00A9721F">
            <w:pPr>
              <w:pStyle w:val="TableBodyText"/>
            </w:pPr>
            <w:r>
              <w:rPr>
                <w:i/>
              </w:rPr>
              <w:t>Specifies that the RIPEMD-128 algorithm, as defined by ISO/IEC 10118-3:2004 shall be used.</w:t>
            </w:r>
          </w:p>
          <w:p w:rsidR="000A156F" w:rsidRDefault="000A156F">
            <w:pPr>
              <w:pStyle w:val="TableBodyText"/>
            </w:pPr>
          </w:p>
          <w:p w:rsidR="000A156F" w:rsidRDefault="00A9721F">
            <w:pPr>
              <w:pStyle w:val="TableBodyText"/>
            </w:pPr>
            <w:r>
              <w:rPr>
                <w:i/>
              </w:rPr>
              <w:t xml:space="preserve">[Note: It is recommended that applications should avoid using this </w:t>
            </w:r>
            <w:r>
              <w:rPr>
                <w:i/>
              </w:rPr>
              <w:t>algorithm to store new hash values, because of publicly known breaks. end note]</w:t>
            </w:r>
          </w:p>
          <w:p w:rsidR="000A156F" w:rsidRDefault="00A9721F">
            <w:pPr>
              <w:pStyle w:val="TableBodyText"/>
            </w:pPr>
            <w:r>
              <w:rPr>
                <w:b/>
                <w:i/>
              </w:rPr>
              <w:t>RIPEMD-160</w:t>
            </w:r>
          </w:p>
          <w:p w:rsidR="000A156F" w:rsidRDefault="00A9721F">
            <w:pPr>
              <w:pStyle w:val="TableBodyText"/>
            </w:pPr>
            <w:r>
              <w:rPr>
                <w:i/>
              </w:rPr>
              <w:t>Specifies that the RIPEMD-160 algorithm, as defined by ISO/IEC 10118-3:2004, shall be used.</w:t>
            </w:r>
          </w:p>
          <w:p w:rsidR="000A156F" w:rsidRDefault="00A9721F">
            <w:pPr>
              <w:pStyle w:val="TableBodyText"/>
            </w:pPr>
            <w:r>
              <w:rPr>
                <w:b/>
                <w:i/>
              </w:rPr>
              <w:t>SHA-1</w:t>
            </w:r>
          </w:p>
          <w:p w:rsidR="000A156F" w:rsidRDefault="00A9721F">
            <w:pPr>
              <w:pStyle w:val="TableBodyText"/>
            </w:pPr>
            <w:r>
              <w:rPr>
                <w:i/>
              </w:rPr>
              <w:t>Specifies that the SHA-1 algorithm, as defined by ISO/IEC 10118-3:2</w:t>
            </w:r>
            <w:r>
              <w:rPr>
                <w:i/>
              </w:rPr>
              <w:t>004, shall be used.</w:t>
            </w:r>
          </w:p>
          <w:p w:rsidR="000A156F" w:rsidRDefault="00A9721F">
            <w:pPr>
              <w:pStyle w:val="TableBodyText"/>
            </w:pPr>
            <w:r>
              <w:rPr>
                <w:b/>
                <w:i/>
              </w:rPr>
              <w:t>SHA-256</w:t>
            </w:r>
          </w:p>
          <w:p w:rsidR="000A156F" w:rsidRDefault="00A9721F">
            <w:pPr>
              <w:pStyle w:val="TableBodyText"/>
            </w:pPr>
            <w:r>
              <w:rPr>
                <w:i/>
              </w:rPr>
              <w:t>Specifies that the SHA-256 algorithm, as defined by ISO/IEC 10118-3:2004, shall be used.</w:t>
            </w:r>
          </w:p>
          <w:p w:rsidR="000A156F" w:rsidRDefault="00A9721F">
            <w:pPr>
              <w:pStyle w:val="TableBodyText"/>
            </w:pPr>
            <w:r>
              <w:rPr>
                <w:b/>
                <w:i/>
              </w:rPr>
              <w:t>SHA-384</w:t>
            </w:r>
          </w:p>
          <w:p w:rsidR="000A156F" w:rsidRDefault="00A9721F">
            <w:pPr>
              <w:pStyle w:val="TableBodyText"/>
            </w:pPr>
            <w:r>
              <w:rPr>
                <w:i/>
              </w:rPr>
              <w:t>Specifies that the SHA-384 algorithm, as defined by ISO/IEC 10118-3:2004, shall be used.</w:t>
            </w:r>
          </w:p>
          <w:p w:rsidR="000A156F" w:rsidRDefault="00A9721F">
            <w:pPr>
              <w:pStyle w:val="TableBodyText"/>
            </w:pPr>
            <w:r>
              <w:rPr>
                <w:b/>
                <w:i/>
              </w:rPr>
              <w:t>SHA-512</w:t>
            </w:r>
          </w:p>
          <w:p w:rsidR="000A156F" w:rsidRDefault="00A9721F">
            <w:pPr>
              <w:pStyle w:val="TableBodyText"/>
            </w:pPr>
            <w:r>
              <w:rPr>
                <w:i/>
              </w:rPr>
              <w:t>Specifies that the SHA-512 algorit</w:t>
            </w:r>
            <w:r>
              <w:rPr>
                <w:i/>
              </w:rPr>
              <w:t>hm, as defined by ISO/IEC 10118-3:2004, shall be used.</w:t>
            </w:r>
          </w:p>
          <w:p w:rsidR="000A156F" w:rsidRDefault="00A9721F">
            <w:pPr>
              <w:pStyle w:val="TableBodyText"/>
            </w:pPr>
            <w:r>
              <w:rPr>
                <w:b/>
                <w:i/>
              </w:rPr>
              <w:t>WHIRLPOOL</w:t>
            </w:r>
          </w:p>
          <w:p w:rsidR="000A156F" w:rsidRDefault="00A9721F">
            <w:pPr>
              <w:pStyle w:val="TableBodyText"/>
            </w:pPr>
            <w:r>
              <w:rPr>
                <w:i/>
              </w:rPr>
              <w:t>Specifies that the WHIRLPOOL algorithm, as defined by ISO/IEC 10118-3:2004, shall be used.</w:t>
            </w:r>
          </w:p>
          <w:p w:rsidR="000A156F" w:rsidRDefault="000A156F">
            <w:pPr>
              <w:pStyle w:val="TableBodyText"/>
            </w:pPr>
          </w:p>
          <w:p w:rsidR="000A156F" w:rsidRDefault="000A156F">
            <w:pPr>
              <w:pStyle w:val="TableBodyText"/>
            </w:pPr>
          </w:p>
        </w:tc>
      </w:tr>
      <w:tr w:rsidR="000A156F" w:rsidTr="000A156F">
        <w:tc>
          <w:tcPr>
            <w:tcW w:w="0" w:type="auto"/>
            <w:vAlign w:val="center"/>
          </w:tcPr>
          <w:p w:rsidR="000A156F" w:rsidRDefault="00A9721F">
            <w:pPr>
              <w:pStyle w:val="TableBodyText"/>
            </w:pPr>
            <w:r>
              <w:rPr>
                <w:b/>
              </w:rPr>
              <w:t>hash Value</w:t>
            </w:r>
          </w:p>
        </w:tc>
        <w:tc>
          <w:tcPr>
            <w:tcW w:w="0" w:type="auto"/>
            <w:vAlign w:val="center"/>
          </w:tcPr>
          <w:p w:rsidR="000A156F" w:rsidRDefault="00A9721F">
            <w:pPr>
              <w:pStyle w:val="TableBodyText"/>
            </w:pPr>
            <w:r>
              <w:t xml:space="preserve">Specifies the hash value for the password required to edit this worksheet. This value </w:t>
            </w:r>
            <w:r>
              <w:t>shall be compared with the resulting hash value after hashing the user-supplied password using the algorithm specified by the preceding attributes and parent XML element. If the two values match, the protection shall no longer be enforced.</w:t>
            </w:r>
          </w:p>
          <w:p w:rsidR="000A156F" w:rsidRDefault="000A156F">
            <w:pPr>
              <w:pStyle w:val="TableBodyText"/>
            </w:pPr>
          </w:p>
          <w:p w:rsidR="000A156F" w:rsidRDefault="00A9721F">
            <w:pPr>
              <w:pStyle w:val="TableBodyText"/>
            </w:pPr>
            <w:r>
              <w:t>If this value i</w:t>
            </w:r>
            <w:r>
              <w:t>s omitted, then the reservationPassword attribute shall contain the password hash for the workbook.</w:t>
            </w:r>
          </w:p>
          <w:p w:rsidR="000A156F" w:rsidRDefault="000A156F">
            <w:pPr>
              <w:pStyle w:val="TableBodyText"/>
            </w:pPr>
          </w:p>
          <w:p w:rsidR="000A156F" w:rsidRDefault="00A9721F">
            <w:pPr>
              <w:pStyle w:val="TableBodyText"/>
            </w:pPr>
            <w:r>
              <w:t>[</w:t>
            </w:r>
            <w:r>
              <w:rPr>
                <w:i/>
              </w:rPr>
              <w:t>Example</w:t>
            </w:r>
            <w:r>
              <w:t>: Consider an Office Open XML document with the following information stored in one of its protection elements:</w:t>
            </w:r>
          </w:p>
          <w:p w:rsidR="000A156F" w:rsidRDefault="000A156F">
            <w:pPr>
              <w:pStyle w:val="TableBodyText"/>
            </w:pPr>
          </w:p>
          <w:p w:rsidR="000A156F" w:rsidRDefault="00A9721F">
            <w:pPr>
              <w:pStyle w:val="TableBodyText"/>
            </w:pPr>
            <w:r>
              <w:t>&lt;… algorithmName="SHA-1" hashValue</w:t>
            </w:r>
            <w:r>
              <w:t>="9oN7nWkCAyEZib1RomSJTjmPpCY=" /&gt;</w:t>
            </w:r>
          </w:p>
          <w:p w:rsidR="000A156F" w:rsidRDefault="000A156F">
            <w:pPr>
              <w:pStyle w:val="TableBodyText"/>
            </w:pPr>
          </w:p>
          <w:p w:rsidR="000A156F" w:rsidRDefault="00A9721F">
            <w:pPr>
              <w:pStyle w:val="TableBodyText"/>
            </w:pPr>
            <w:r>
              <w:t>The hashValue attribute value of 9oN7nWkCAyEZib1RomSJTjmPpCY= specifies that the user-supplied password must be hashed using the pre-processing defined by the parent element (if any) followed by the hashing algorithm (sp</w:t>
            </w:r>
            <w:r>
              <w:t xml:space="preserve">ecified via the algorithmName attribute value) and that the resulting hash value must be match for the protection to be disabled. </w:t>
            </w:r>
          </w:p>
          <w:p w:rsidR="000A156F" w:rsidRDefault="00A9721F">
            <w:pPr>
              <w:pStyle w:val="TableBodyText"/>
            </w:pPr>
            <w:r>
              <w:rPr>
                <w:i/>
              </w:rPr>
              <w:t>end example</w:t>
            </w:r>
            <w:r>
              <w:t>]</w:t>
            </w:r>
          </w:p>
          <w:p w:rsidR="000A156F" w:rsidRDefault="000A156F">
            <w:pPr>
              <w:pStyle w:val="TableBodyText"/>
            </w:pPr>
          </w:p>
          <w:p w:rsidR="000A156F" w:rsidRDefault="00A9721F">
            <w:pPr>
              <w:pStyle w:val="TableBodyText"/>
            </w:pPr>
            <w:r>
              <w:t>The possible values for this attribute are defined by the W3C XML Schema base64Binary datatype.</w:t>
            </w:r>
          </w:p>
        </w:tc>
      </w:tr>
      <w:tr w:rsidR="000A156F" w:rsidTr="000A156F">
        <w:tc>
          <w:tcPr>
            <w:tcW w:w="0" w:type="auto"/>
            <w:vAlign w:val="center"/>
          </w:tcPr>
          <w:p w:rsidR="000A156F" w:rsidRDefault="00A9721F">
            <w:pPr>
              <w:pStyle w:val="TableBodyText"/>
            </w:pPr>
            <w:r>
              <w:rPr>
                <w:b/>
              </w:rPr>
              <w:lastRenderedPageBreak/>
              <w:t>saltValue</w:t>
            </w:r>
          </w:p>
        </w:tc>
        <w:tc>
          <w:tcPr>
            <w:tcW w:w="0" w:type="auto"/>
            <w:vAlign w:val="center"/>
          </w:tcPr>
          <w:p w:rsidR="000A156F" w:rsidRDefault="00A9721F">
            <w:pPr>
              <w:pStyle w:val="TableBodyText"/>
            </w:pPr>
            <w:r>
              <w:t>Spec</w:t>
            </w:r>
            <w:r>
              <w:t>ifies the random bytes that are pre-pended to the user-supplied password before it was hashed by the hashing algorithm.</w:t>
            </w:r>
          </w:p>
        </w:tc>
      </w:tr>
      <w:tr w:rsidR="000A156F" w:rsidTr="000A156F">
        <w:tc>
          <w:tcPr>
            <w:tcW w:w="0" w:type="auto"/>
            <w:vAlign w:val="center"/>
          </w:tcPr>
          <w:p w:rsidR="000A156F" w:rsidRDefault="00A9721F">
            <w:pPr>
              <w:pStyle w:val="TableBodyText"/>
            </w:pPr>
            <w:r>
              <w:rPr>
                <w:b/>
              </w:rPr>
              <w:t>spinCount</w:t>
            </w:r>
          </w:p>
        </w:tc>
        <w:tc>
          <w:tcPr>
            <w:tcW w:w="0" w:type="auto"/>
            <w:vAlign w:val="center"/>
          </w:tcPr>
          <w:p w:rsidR="000A156F" w:rsidRDefault="00A9721F">
            <w:pPr>
              <w:pStyle w:val="TableBodyText"/>
            </w:pPr>
            <w:r>
              <w:t>Specifies the number of times the hashing function shall be iteratively run (using each iteration's result as the input for t</w:t>
            </w:r>
            <w:r>
              <w:t>he next iteration).</w:t>
            </w:r>
          </w:p>
        </w:tc>
      </w:tr>
    </w:tbl>
    <w:p w:rsidR="000A156F" w:rsidRDefault="000A156F"/>
    <w:p w:rsidR="000A156F" w:rsidRDefault="00A9721F">
      <w:r>
        <w:t xml:space="preserve">[Example: </w:t>
      </w:r>
    </w:p>
    <w:p w:rsidR="000A156F" w:rsidRDefault="00A9721F">
      <w:r>
        <w:t>Consider an Office Open XML document with the following information stored in one of its protection elements:</w:t>
      </w:r>
    </w:p>
    <w:p w:rsidR="000A156F" w:rsidRDefault="00A9721F">
      <w:r>
        <w:t>&lt; … algorithmName="SHA-1" hashValue="9oN7nWkCAyEZib1RomSJTjmPpCY=" /&gt;</w:t>
      </w:r>
    </w:p>
    <w:p w:rsidR="000A156F" w:rsidRDefault="00A9721F">
      <w:r>
        <w:t xml:space="preserve">The algorithmName attribute value of SHA-1 </w:t>
      </w:r>
      <w:r>
        <w:t>specifies that the SHA-1 hashing algorithm must be used to generate a hash from the user-defined password.</w:t>
      </w:r>
    </w:p>
    <w:p w:rsidR="000A156F" w:rsidRDefault="00A9721F">
      <w:r>
        <w:t>end example]</w:t>
      </w:r>
    </w:p>
    <w:p w:rsidR="000A156F" w:rsidRDefault="00A9721F">
      <w:pPr>
        <w:pStyle w:val="Heading3"/>
      </w:pPr>
      <w:bookmarkStart w:id="1330" w:name="section_f68f7a75f8714844974dd2cc226334e8"/>
      <w:bookmarkStart w:id="1331" w:name="_Toc181683691"/>
      <w:r>
        <w:t>Part 1 Section 18.3.1.87, sheetView (Worksheet View)</w:t>
      </w:r>
      <w:bookmarkEnd w:id="1330"/>
      <w:bookmarkEnd w:id="1331"/>
      <w:r>
        <w:fldChar w:fldCharType="begin"/>
      </w:r>
      <w:r>
        <w:instrText xml:space="preserve"> XE "sheetView (Worksheet View)" </w:instrText>
      </w:r>
      <w:r>
        <w:fldChar w:fldCharType="end"/>
      </w:r>
    </w:p>
    <w:p w:rsidR="000A156F" w:rsidRDefault="00A9721F">
      <w:pPr>
        <w:pStyle w:val="Definition-Field"/>
      </w:pPr>
      <w:r>
        <w:t xml:space="preserve">a.   </w:t>
      </w:r>
      <w:r>
        <w:rPr>
          <w:i/>
        </w:rPr>
        <w:t xml:space="preserve">The standard states that the values of the </w:t>
      </w:r>
      <w:r>
        <w:rPr>
          <w:i/>
        </w:rPr>
        <w:t>colorId attribute are defined by the XML Schema unsignedInt datatype.</w:t>
      </w:r>
    </w:p>
    <w:p w:rsidR="000A156F" w:rsidRDefault="00A9721F">
      <w:pPr>
        <w:pStyle w:val="Definition-Field2"/>
      </w:pPr>
      <w:r>
        <w:t>Office restricts the colorId attribute value to an unsignedInt less than or equal to 64.</w:t>
      </w:r>
    </w:p>
    <w:p w:rsidR="000A156F" w:rsidRDefault="00A9721F">
      <w:pPr>
        <w:pStyle w:val="Definition-Field"/>
      </w:pPr>
      <w:r>
        <w:t xml:space="preserve">b.   </w:t>
      </w:r>
      <w:r>
        <w:rPr>
          <w:i/>
        </w:rPr>
        <w:t>The standard specifies that the @colorId defines the color value for text in row/column head</w:t>
      </w:r>
      <w:r>
        <w:rPr>
          <w:i/>
        </w:rPr>
        <w:t>ings and gridlines in the view.</w:t>
      </w:r>
    </w:p>
    <w:p w:rsidR="000A156F" w:rsidRDefault="00A9721F">
      <w:pPr>
        <w:pStyle w:val="Definition-Field2"/>
      </w:pPr>
      <w:r>
        <w:t>Office uses the @colorId to define the color value only for gridlines in the view.</w:t>
      </w:r>
    </w:p>
    <w:p w:rsidR="000A156F" w:rsidRDefault="00A9721F">
      <w:pPr>
        <w:pStyle w:val="Heading3"/>
      </w:pPr>
      <w:bookmarkStart w:id="1332" w:name="section_81d680f217234cffb82b64b52efd2b72"/>
      <w:bookmarkStart w:id="1333" w:name="_Toc181683692"/>
      <w:r>
        <w:t>Part 1 Section 18.3.1.88, sheetViews (Sheet Views)</w:t>
      </w:r>
      <w:bookmarkEnd w:id="1332"/>
      <w:bookmarkEnd w:id="1333"/>
      <w:r>
        <w:fldChar w:fldCharType="begin"/>
      </w:r>
      <w:r>
        <w:instrText xml:space="preserve"> XE "sheetViews (Sheet Views)" </w:instrText>
      </w:r>
      <w:r>
        <w:fldChar w:fldCharType="end"/>
      </w:r>
    </w:p>
    <w:p w:rsidR="000A156F" w:rsidRDefault="00A9721F">
      <w:pPr>
        <w:pStyle w:val="Definition-Field"/>
      </w:pPr>
      <w:r>
        <w:t xml:space="preserve">a.   </w:t>
      </w:r>
      <w:r>
        <w:rPr>
          <w:i/>
        </w:rPr>
        <w:t>The standard states that the maxOccurs value for the</w:t>
      </w:r>
      <w:r>
        <w:rPr>
          <w:i/>
        </w:rPr>
        <w:t xml:space="preserve"> sheetView child element is unbounded.</w:t>
      </w:r>
    </w:p>
    <w:p w:rsidR="000A156F" w:rsidRDefault="00A9721F">
      <w:pPr>
        <w:pStyle w:val="Definition-Field2"/>
      </w:pPr>
      <w:r>
        <w:t>Excel limits the occurrences of this element to 2147483647.</w:t>
      </w:r>
    </w:p>
    <w:p w:rsidR="000A156F" w:rsidRDefault="00A9721F">
      <w:pPr>
        <w:pStyle w:val="Heading3"/>
      </w:pPr>
      <w:bookmarkStart w:id="1334" w:name="section_b60b7e029a9e47a28424e973bc811108"/>
      <w:bookmarkStart w:id="1335" w:name="_Toc181683693"/>
      <w:r>
        <w:t>Part 1 Section 18.3.1.89, sheetViews (Chart Sheet Views)</w:t>
      </w:r>
      <w:bookmarkEnd w:id="1334"/>
      <w:bookmarkEnd w:id="1335"/>
      <w:r>
        <w:fldChar w:fldCharType="begin"/>
      </w:r>
      <w:r>
        <w:instrText xml:space="preserve"> XE "sheetViews (Chart Sheet Views)" </w:instrText>
      </w:r>
      <w:r>
        <w:fldChar w:fldCharType="end"/>
      </w:r>
    </w:p>
    <w:p w:rsidR="000A156F" w:rsidRDefault="00A9721F">
      <w:pPr>
        <w:pStyle w:val="Definition-Field"/>
      </w:pPr>
      <w:r>
        <w:t xml:space="preserve">a.   </w:t>
      </w:r>
      <w:r>
        <w:rPr>
          <w:i/>
        </w:rPr>
        <w:t>The standard states that the maxOccurs value for the she</w:t>
      </w:r>
      <w:r>
        <w:rPr>
          <w:i/>
        </w:rPr>
        <w:t>etView child element is unbounded.</w:t>
      </w:r>
    </w:p>
    <w:p w:rsidR="000A156F" w:rsidRDefault="00A9721F">
      <w:pPr>
        <w:pStyle w:val="Definition-Field2"/>
      </w:pPr>
      <w:r>
        <w:t>Excel limits the occurrences of this element to 2147483647.</w:t>
      </w:r>
    </w:p>
    <w:p w:rsidR="000A156F" w:rsidRDefault="00A9721F">
      <w:pPr>
        <w:pStyle w:val="Heading3"/>
      </w:pPr>
      <w:bookmarkStart w:id="1336" w:name="section_b9ae079aa7a545a9ae7e870aa96b5f84"/>
      <w:bookmarkStart w:id="1337" w:name="_Toc181683694"/>
      <w:r>
        <w:lastRenderedPageBreak/>
        <w:t>Part 1 Section 18.3.1.91, sortCondition (Sort Condition)</w:t>
      </w:r>
      <w:bookmarkEnd w:id="1336"/>
      <w:bookmarkEnd w:id="1337"/>
      <w:r>
        <w:fldChar w:fldCharType="begin"/>
      </w:r>
      <w:r>
        <w:instrText xml:space="preserve"> XE "sortCondition (Sort Condition)" </w:instrText>
      </w:r>
      <w:r>
        <w:fldChar w:fldCharType="end"/>
      </w:r>
    </w:p>
    <w:p w:rsidR="000A156F" w:rsidRDefault="00A9721F">
      <w:pPr>
        <w:pStyle w:val="Definition-Field"/>
      </w:pPr>
      <w:r>
        <w:t xml:space="preserve">a.   </w:t>
      </w:r>
      <w:r>
        <w:rPr>
          <w:i/>
        </w:rPr>
        <w:t>The standard states that the values of the customList attrib</w:t>
      </w:r>
      <w:r>
        <w:rPr>
          <w:i/>
        </w:rPr>
        <w:t>ute are defined by the ST_Xstring simple type.</w:t>
      </w:r>
    </w:p>
    <w:p w:rsidR="000A156F" w:rsidRDefault="00A9721F">
      <w:pPr>
        <w:pStyle w:val="Definition-Field2"/>
      </w:pPr>
      <w:r>
        <w:t>Office requires that the customList attribute value be an escaped string not exceeding 255 UTF-16 code units after escape sequences are replaced with characters.</w:t>
      </w:r>
    </w:p>
    <w:p w:rsidR="000A156F" w:rsidRDefault="00A9721F">
      <w:pPr>
        <w:pStyle w:val="Heading3"/>
      </w:pPr>
      <w:bookmarkStart w:id="1338" w:name="section_57f3992c0f4646afa3c764132f66ebe0"/>
      <w:bookmarkStart w:id="1339" w:name="_Toc181683695"/>
      <w:r>
        <w:t>Part 1 Section 18.3.1.93, tabColor (Sheet Tab C</w:t>
      </w:r>
      <w:r>
        <w:t>olor)</w:t>
      </w:r>
      <w:bookmarkEnd w:id="1338"/>
      <w:bookmarkEnd w:id="1339"/>
      <w:r>
        <w:fldChar w:fldCharType="begin"/>
      </w:r>
      <w:r>
        <w:instrText xml:space="preserve"> XE "tabColor (Sheet Tab Color)"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§18.8.3(a)</w:t>
        </w:r>
      </w:hyperlink>
      <w:r>
        <w:rPr>
          <w:i/>
        </w:rPr>
        <w:t>.</w:t>
      </w:r>
    </w:p>
    <w:p w:rsidR="000A156F" w:rsidRDefault="00A9721F">
      <w:pPr>
        <w:pStyle w:val="Definition-Field"/>
      </w:pPr>
      <w:r>
        <w:t xml:space="preserve">a.   </w:t>
      </w:r>
      <w:r>
        <w:rPr>
          <w:i/>
        </w:rPr>
        <w:t>The standard does not specify a default value for the auto attribute.</w:t>
      </w:r>
    </w:p>
    <w:p w:rsidR="000A156F" w:rsidRDefault="00A9721F">
      <w:pPr>
        <w:pStyle w:val="Definition-Field2"/>
      </w:pPr>
      <w:r>
        <w:t>Excel uses a default value of false for this attribute.</w:t>
      </w:r>
    </w:p>
    <w:p w:rsidR="000A156F" w:rsidRDefault="00A9721F">
      <w:pPr>
        <w:pStyle w:val="Definition-Field"/>
      </w:pPr>
      <w:r>
        <w:t xml:space="preserve">b.   </w:t>
      </w:r>
      <w:r>
        <w:rPr>
          <w:i/>
        </w:rPr>
        <w:t>In the standard, the auto, indexed, rgb, and theme attributes are all opti</w:t>
      </w:r>
      <w:r>
        <w:rPr>
          <w:i/>
        </w:rPr>
        <w:t>onal.</w:t>
      </w:r>
    </w:p>
    <w:p w:rsidR="000A156F" w:rsidRDefault="00A9721F">
      <w:pPr>
        <w:pStyle w:val="Definition-Field2"/>
      </w:pPr>
      <w:r>
        <w:t>Office requires that only one of the auto, indexed, rgb, or theme attributes shall be specified.</w:t>
      </w:r>
    </w:p>
    <w:p w:rsidR="000A156F" w:rsidRDefault="00A9721F">
      <w:pPr>
        <w:pStyle w:val="Definition-Field"/>
      </w:pPr>
      <w:r>
        <w:t xml:space="preserve">c.   </w:t>
      </w:r>
      <w:r>
        <w:rPr>
          <w:i/>
        </w:rPr>
        <w:t>The standard specifies that the theme attribute is an index of an item in the clrScheme collection.</w:t>
      </w:r>
    </w:p>
    <w:p w:rsidR="000A156F" w:rsidRDefault="00A9721F">
      <w:pPr>
        <w:pStyle w:val="Definition-Field2"/>
      </w:pPr>
      <w:r>
        <w:t>Office requires the theme attribute to be a zero</w:t>
      </w:r>
      <w:r>
        <w:t>-based index of an item in the clrScheme collection.</w:t>
      </w:r>
    </w:p>
    <w:p w:rsidR="000A156F" w:rsidRDefault="00A9721F">
      <w:pPr>
        <w:pStyle w:val="Heading3"/>
      </w:pPr>
      <w:bookmarkStart w:id="1340" w:name="section_b9d01770b85b4fb2a387f5811719a1af"/>
      <w:bookmarkStart w:id="1341" w:name="_Toc181683696"/>
      <w:r>
        <w:t>Part 1 Section 18.3.1.96, v (Cell Value)</w:t>
      </w:r>
      <w:bookmarkEnd w:id="1340"/>
      <w:bookmarkEnd w:id="1341"/>
      <w:r>
        <w:fldChar w:fldCharType="begin"/>
      </w:r>
      <w:r>
        <w:instrText xml:space="preserve"> XE "v (Cell Value)" </w:instrText>
      </w:r>
      <w:r>
        <w:fldChar w:fldCharType="end"/>
      </w:r>
    </w:p>
    <w:p w:rsidR="000A156F" w:rsidRDefault="00A9721F">
      <w:pPr>
        <w:pStyle w:val="Definition-Field"/>
      </w:pPr>
      <w:r>
        <w:t xml:space="preserve">a.   </w:t>
      </w:r>
      <w:r>
        <w:rPr>
          <w:i/>
        </w:rPr>
        <w:t>The standard does not limit the length of the value of this element.</w:t>
      </w:r>
    </w:p>
    <w:p w:rsidR="000A156F" w:rsidRDefault="00A9721F">
      <w:pPr>
        <w:pStyle w:val="Definition-Field2"/>
      </w:pPr>
      <w:r>
        <w:t xml:space="preserve">Excel restricts the value of this element to be at most 32767 </w:t>
      </w:r>
      <w:r>
        <w:t>characters.</w:t>
      </w:r>
    </w:p>
    <w:p w:rsidR="000A156F" w:rsidRDefault="00A9721F">
      <w:pPr>
        <w:pStyle w:val="Definition-Field"/>
      </w:pPr>
      <w:r>
        <w:t xml:space="preserve">b.   </w:t>
      </w:r>
      <w:r>
        <w:rPr>
          <w:i/>
        </w:rPr>
        <w:t>The standard does not place content restrictions on values based on the t attribute.</w:t>
      </w:r>
    </w:p>
    <w:p w:rsidR="000A156F" w:rsidRDefault="00A9721F">
      <w:r>
        <w:t>Office places the following value restrictions based on the cell type:</w:t>
      </w:r>
    </w:p>
    <w:p w:rsidR="000A156F" w:rsidRDefault="00A9721F">
      <w:pPr>
        <w:pStyle w:val="ListParagraph"/>
        <w:numPr>
          <w:ilvl w:val="0"/>
          <w:numId w:val="67"/>
        </w:numPr>
        <w:contextualSpacing/>
      </w:pPr>
      <w:r>
        <w:t>If the cell contains a string, the value shall be a zero-based index into the share</w:t>
      </w:r>
      <w:r>
        <w:t>d string table, pointing to the actual string value.</w:t>
      </w:r>
    </w:p>
    <w:p w:rsidR="000A156F" w:rsidRDefault="00A9721F">
      <w:pPr>
        <w:pStyle w:val="ListParagraph"/>
        <w:numPr>
          <w:ilvl w:val="0"/>
          <w:numId w:val="67"/>
        </w:numPr>
        <w:contextualSpacing/>
      </w:pPr>
      <w:r>
        <w:t>If the cell contains a number, the value shall be a textual representation of a double-precision floating point number.</w:t>
      </w:r>
    </w:p>
    <w:p w:rsidR="000A156F" w:rsidRDefault="00A9721F">
      <w:pPr>
        <w:pStyle w:val="ListParagraph"/>
        <w:numPr>
          <w:ilvl w:val="0"/>
          <w:numId w:val="67"/>
        </w:numPr>
        <w:contextualSpacing/>
      </w:pPr>
      <w:r>
        <w:t>If the cell contains a Boolean, the value shall be 1 to specify true and 0 to speci</w:t>
      </w:r>
      <w:r>
        <w:t>fy false.</w:t>
      </w:r>
    </w:p>
    <w:p w:rsidR="000A156F" w:rsidRDefault="00A9721F">
      <w:pPr>
        <w:pStyle w:val="ListParagraph"/>
        <w:numPr>
          <w:ilvl w:val="0"/>
          <w:numId w:val="67"/>
        </w:numPr>
        <w:contextualSpacing/>
      </w:pPr>
      <w:r>
        <w:t>If the cell contains an error, the value shall be one of the following text strings: #NULL!, #DIV/0!, #VALUE!, #REF!, #NAME?, #NUM!, or #N/A.</w:t>
      </w:r>
    </w:p>
    <w:p w:rsidR="000A156F" w:rsidRDefault="00A9721F">
      <w:pPr>
        <w:pStyle w:val="ListParagraph"/>
        <w:numPr>
          <w:ilvl w:val="0"/>
          <w:numId w:val="67"/>
        </w:numPr>
      </w:pPr>
      <w:r>
        <w:t>Cells containing formulas express the last calculated result of the formula in this element.</w:t>
      </w:r>
    </w:p>
    <w:p w:rsidR="000A156F" w:rsidRDefault="00A9721F">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specified in the same way a str</w:t>
      </w:r>
      <w:r>
        <w:t xml:space="preserve">ing would be expressed in the shared string table.  See the </w:t>
      </w:r>
      <w:r>
        <w:rPr>
          <w:b/>
        </w:rPr>
        <w:t>is</w:t>
      </w:r>
      <w:r>
        <w:t xml:space="preserve"> element ("</w:t>
      </w:r>
      <w:hyperlink r:id="rId132">
        <w:r>
          <w:rPr>
            <w:rStyle w:val="Hyperlink"/>
          </w:rPr>
          <w:t>[ISO/IEC-29500-1]</w:t>
        </w:r>
      </w:hyperlink>
      <w:r>
        <w:t xml:space="preserve"> §18.3.1.53; is") for an example.</w:t>
      </w:r>
    </w:p>
    <w:p w:rsidR="000A156F" w:rsidRDefault="00A9721F">
      <w:pPr>
        <w:pStyle w:val="Definition-Field"/>
      </w:pPr>
      <w:r>
        <w:t xml:space="preserve">c.   </w:t>
      </w:r>
      <w:r>
        <w:rPr>
          <w:i/>
        </w:rPr>
        <w:t>The standard makes no mention of an xml:space attribute.</w:t>
      </w:r>
    </w:p>
    <w:p w:rsidR="000A156F" w:rsidRDefault="00A9721F">
      <w:pPr>
        <w:pStyle w:val="Definition-Field2"/>
      </w:pPr>
      <w:r>
        <w:t>Exce</w:t>
      </w:r>
      <w:r>
        <w:t>l uses this attribute to specify, using the W3C space preservation rules, how white space should be handled for the element's contents; its allowed values are defined by the XML 1.0 specification.</w:t>
      </w:r>
    </w:p>
    <w:p w:rsidR="000A156F" w:rsidRDefault="00A9721F">
      <w:pPr>
        <w:pStyle w:val="Definition-Field"/>
      </w:pPr>
      <w:r>
        <w:t xml:space="preserve">d.   </w:t>
      </w:r>
      <w:r>
        <w:rPr>
          <w:i/>
        </w:rPr>
        <w:t>The standard states that when the cell value is a date</w:t>
      </w:r>
      <w:r>
        <w:rPr>
          <w:i/>
        </w:rPr>
        <w:t>, that it is in ISO 8601 format.</w:t>
      </w:r>
    </w:p>
    <w:p w:rsidR="000A156F" w:rsidRDefault="00A9721F">
      <w:pPr>
        <w:pStyle w:val="Definition-Field2"/>
      </w:pPr>
      <w:r>
        <w:t>Office supports only a limited number of date formats possible using ISO 8601, as listed in the Notes field.</w:t>
      </w:r>
    </w:p>
    <w:p w:rsidR="000A156F" w:rsidRDefault="00A9721F">
      <w:pPr>
        <w:pStyle w:val="Heading3"/>
      </w:pPr>
      <w:bookmarkStart w:id="1342" w:name="section_3f30b11eade64949b71423291a3c2c78"/>
      <w:bookmarkStart w:id="1343" w:name="_Toc181683697"/>
      <w:r>
        <w:lastRenderedPageBreak/>
        <w:t>Part 1 Section 18.3.1.97, webPublishItem (Web Publishing Item)</w:t>
      </w:r>
      <w:bookmarkEnd w:id="1342"/>
      <w:bookmarkEnd w:id="1343"/>
      <w:r>
        <w:fldChar w:fldCharType="begin"/>
      </w:r>
      <w:r>
        <w:instrText xml:space="preserve"> XE "webPublishItem (Web Publishing Item)" </w:instrText>
      </w:r>
      <w:r>
        <w:fldChar w:fldCharType="end"/>
      </w:r>
    </w:p>
    <w:p w:rsidR="000A156F" w:rsidRDefault="00A9721F">
      <w:pPr>
        <w:pStyle w:val="Definition-Field"/>
      </w:pPr>
      <w:r>
        <w:t xml:space="preserve">a.   </w:t>
      </w:r>
      <w:r>
        <w:rPr>
          <w:i/>
        </w:rPr>
        <w:t>T</w:t>
      </w:r>
      <w:r>
        <w:rPr>
          <w:i/>
        </w:rPr>
        <w:t>he standard does not place any restrictions on the length of the value for the title attribute.</w:t>
      </w:r>
    </w:p>
    <w:p w:rsidR="000A156F" w:rsidRDefault="00A9721F">
      <w:pPr>
        <w:pStyle w:val="Definition-Field2"/>
      </w:pPr>
      <w:r>
        <w:t>Office requires that the title attribute be less than 255 characters in length.</w:t>
      </w:r>
    </w:p>
    <w:p w:rsidR="000A156F" w:rsidRDefault="00A9721F">
      <w:pPr>
        <w:pStyle w:val="Definition-Field"/>
      </w:pPr>
      <w:r>
        <w:t xml:space="preserve">b.   </w:t>
      </w:r>
      <w:r>
        <w:rPr>
          <w:i/>
        </w:rPr>
        <w:t>The standard does not place any restrictions on the length of the value for</w:t>
      </w:r>
      <w:r>
        <w:rPr>
          <w:i/>
        </w:rPr>
        <w:t xml:space="preserve"> the destinationFile attribute.</w:t>
      </w:r>
    </w:p>
    <w:p w:rsidR="000A156F" w:rsidRDefault="00A9721F">
      <w:pPr>
        <w:pStyle w:val="Definition-Field2"/>
      </w:pPr>
      <w:r>
        <w:t>Office requires that the destinationFile attribute be less than 255 characters in length, and not empty.</w:t>
      </w:r>
    </w:p>
    <w:p w:rsidR="000A156F" w:rsidRDefault="00A9721F">
      <w:pPr>
        <w:pStyle w:val="Definition-Field"/>
      </w:pPr>
      <w:r>
        <w:t xml:space="preserve">c.   </w:t>
      </w:r>
      <w:r>
        <w:rPr>
          <w:i/>
        </w:rPr>
        <w:t>The standard does not place any restrictions on the length of the value for the divId attribute.</w:t>
      </w:r>
    </w:p>
    <w:p w:rsidR="000A156F" w:rsidRDefault="00A9721F">
      <w:pPr>
        <w:pStyle w:val="Definition-Field2"/>
      </w:pPr>
      <w:r>
        <w:t>Office requires t</w:t>
      </w:r>
      <w:r>
        <w:t>hat the divId attribute be less than 255 characters in length, and not empty.</w:t>
      </w:r>
    </w:p>
    <w:p w:rsidR="000A156F" w:rsidRDefault="00A9721F">
      <w:pPr>
        <w:pStyle w:val="Definition-Field"/>
      </w:pPr>
      <w:r>
        <w:t xml:space="preserve">d.   </w:t>
      </w:r>
      <w:r>
        <w:rPr>
          <w:i/>
        </w:rPr>
        <w:t>The standard does not place any restrictions on the length of the value for the sourceObject attribute.</w:t>
      </w:r>
    </w:p>
    <w:p w:rsidR="000A156F" w:rsidRDefault="00A9721F">
      <w:pPr>
        <w:pStyle w:val="Definition-Field2"/>
      </w:pPr>
      <w:r>
        <w:t>Office requires that the sourceObject attribute follow the rules of d</w:t>
      </w:r>
      <w:r>
        <w:t>efined names as specified in Names ("</w:t>
      </w:r>
      <w:hyperlink r:id="rId133">
        <w:r>
          <w:rPr>
            <w:rStyle w:val="Hyperlink"/>
          </w:rPr>
          <w:t>[ISO/IEC-29500-1]</w:t>
        </w:r>
      </w:hyperlink>
      <w:r>
        <w:t xml:space="preserve"> §18.17.2.5").</w:t>
      </w:r>
    </w:p>
    <w:p w:rsidR="000A156F" w:rsidRDefault="00A9721F">
      <w:pPr>
        <w:pStyle w:val="Definition-Field"/>
      </w:pPr>
      <w:r>
        <w:t xml:space="preserve">e.   </w:t>
      </w:r>
      <w:r>
        <w:rPr>
          <w:i/>
        </w:rPr>
        <w:t>The standard does not place any restrictions on the value for the id attribute.</w:t>
      </w:r>
    </w:p>
    <w:p w:rsidR="000A156F" w:rsidRDefault="00A9721F">
      <w:pPr>
        <w:pStyle w:val="Definition-Field2"/>
      </w:pPr>
      <w:r>
        <w:t>Office requires that the value of th</w:t>
      </w:r>
      <w:r>
        <w:t>e id attribute be between 1 and 2147483647 inclusive.</w:t>
      </w:r>
    </w:p>
    <w:p w:rsidR="000A156F" w:rsidRDefault="00A9721F">
      <w:pPr>
        <w:pStyle w:val="Definition-Field"/>
      </w:pPr>
      <w:r>
        <w:t xml:space="preserve">f.   </w:t>
      </w:r>
      <w:r>
        <w:rPr>
          <w:i/>
        </w:rPr>
        <w:t>The standard states that the sourceObject attribute is required for sourceType equal to pivotTable, query, or label.</w:t>
      </w:r>
    </w:p>
    <w:p w:rsidR="000A156F" w:rsidRDefault="00A9721F">
      <w:pPr>
        <w:pStyle w:val="Definition-Field2"/>
      </w:pPr>
      <w:r>
        <w:t>Office requires the sourceObject attribute for sourceType equal to pivotTable, q</w:t>
      </w:r>
      <w:r>
        <w:t>uery, or label. The sourceObject attribute shall not be present otherwise.</w:t>
      </w:r>
    </w:p>
    <w:p w:rsidR="000A156F" w:rsidRDefault="00A9721F">
      <w:pPr>
        <w:pStyle w:val="Definition-Field"/>
      </w:pPr>
      <w:r>
        <w:t xml:space="preserve">g.   </w:t>
      </w:r>
      <w:r>
        <w:rPr>
          <w:i/>
        </w:rPr>
        <w:t>The standard states that the sourceRef attribute is required when the sourceType attribute equals range.</w:t>
      </w:r>
    </w:p>
    <w:p w:rsidR="000A156F" w:rsidRDefault="00A9721F">
      <w:pPr>
        <w:pStyle w:val="Definition-Field2"/>
      </w:pPr>
      <w:r>
        <w:t xml:space="preserve">Office requires the sourceRef attribute shall not be missing if the </w:t>
      </w:r>
      <w:r>
        <w:t>sourceType is a range, otherwise it shall not be present.</w:t>
      </w:r>
    </w:p>
    <w:p w:rsidR="000A156F" w:rsidRDefault="00A9721F">
      <w:pPr>
        <w:pStyle w:val="Heading3"/>
      </w:pPr>
      <w:bookmarkStart w:id="1344" w:name="section_06b74d23c4ad4aea80942c046af21ce5"/>
      <w:bookmarkStart w:id="1345" w:name="_Toc181683698"/>
      <w:r>
        <w:t>Part 1 Section 18.3.1.99, worksheet (Worksheet)</w:t>
      </w:r>
      <w:bookmarkEnd w:id="1344"/>
      <w:bookmarkEnd w:id="1345"/>
      <w:r>
        <w:fldChar w:fldCharType="begin"/>
      </w:r>
      <w:r>
        <w:instrText xml:space="preserve"> XE "worksheet (Worksheet)" </w:instrText>
      </w:r>
      <w:r>
        <w:fldChar w:fldCharType="end"/>
      </w:r>
    </w:p>
    <w:p w:rsidR="000A156F" w:rsidRDefault="00A9721F">
      <w:pPr>
        <w:pStyle w:val="Definition-Field"/>
      </w:pPr>
      <w:r>
        <w:t xml:space="preserve">a.   </w:t>
      </w:r>
      <w:r>
        <w:rPr>
          <w:i/>
        </w:rPr>
        <w:t>The standard states that the maxOccurs value for the conditionalFormatting child element is unbounded.</w:t>
      </w:r>
    </w:p>
    <w:p w:rsidR="000A156F" w:rsidRDefault="00A9721F">
      <w:pPr>
        <w:pStyle w:val="Definition-Field2"/>
      </w:pPr>
      <w:r>
        <w:t>Excel limits</w:t>
      </w:r>
      <w:r>
        <w:t xml:space="preserve"> the occurrences of this element to 2147483647.</w:t>
      </w:r>
    </w:p>
    <w:p w:rsidR="000A156F" w:rsidRDefault="00A9721F">
      <w:pPr>
        <w:pStyle w:val="Definition-Field"/>
      </w:pPr>
      <w:r>
        <w:t xml:space="preserve">b.   </w:t>
      </w:r>
      <w:r>
        <w:rPr>
          <w:i/>
        </w:rPr>
        <w:t>The standard specifies that the drawingHF element is a valid child element of the worksheet element.</w:t>
      </w:r>
    </w:p>
    <w:p w:rsidR="000A156F" w:rsidRDefault="00A9721F">
      <w:pPr>
        <w:pStyle w:val="Definition-Field2"/>
      </w:pPr>
      <w:r>
        <w:t>Excel ignores the drawingHF element.</w:t>
      </w:r>
    </w:p>
    <w:p w:rsidR="000A156F" w:rsidRDefault="00A9721F">
      <w:pPr>
        <w:pStyle w:val="Heading3"/>
      </w:pPr>
      <w:bookmarkStart w:id="1346" w:name="section_00d10ae34a454065822a7472be383126"/>
      <w:bookmarkStart w:id="1347" w:name="_Toc181683699"/>
      <w:r>
        <w:t>Part 1 Section 18.3.2.1, colorFilter (Color Filter Criteria)</w:t>
      </w:r>
      <w:bookmarkEnd w:id="1346"/>
      <w:bookmarkEnd w:id="1347"/>
      <w:r>
        <w:fldChar w:fldCharType="begin"/>
      </w:r>
      <w:r>
        <w:instrText xml:space="preserve"> XE "</w:instrText>
      </w:r>
      <w:r>
        <w:instrText xml:space="preserve">colorFilter (Color Filter Criteria)" </w:instrText>
      </w:r>
      <w:r>
        <w:fldChar w:fldCharType="end"/>
      </w:r>
    </w:p>
    <w:p w:rsidR="000A156F" w:rsidRDefault="00A9721F">
      <w:pPr>
        <w:pStyle w:val="Definition-Field"/>
      </w:pPr>
      <w:r>
        <w:t xml:space="preserve">a.   </w:t>
      </w:r>
      <w:r>
        <w:rPr>
          <w:i/>
        </w:rPr>
        <w:t>The standard states that the dxfId attribute is optional.</w:t>
      </w:r>
    </w:p>
    <w:p w:rsidR="000A156F" w:rsidRDefault="00A9721F">
      <w:pPr>
        <w:pStyle w:val="Definition-Field2"/>
      </w:pPr>
      <w:r>
        <w:t>Excel requires this attribute.</w:t>
      </w:r>
    </w:p>
    <w:p w:rsidR="000A156F" w:rsidRDefault="00A9721F">
      <w:pPr>
        <w:pStyle w:val="Heading3"/>
      </w:pPr>
      <w:bookmarkStart w:id="1348" w:name="section_94154f47b251489fbe160bbf4bd183dd"/>
      <w:bookmarkStart w:id="1349" w:name="_Toc181683700"/>
      <w:r>
        <w:t>Part 1 Section 18.3.2.4, dateGroupItem (Date Grouping)</w:t>
      </w:r>
      <w:bookmarkEnd w:id="1348"/>
      <w:bookmarkEnd w:id="1349"/>
      <w:r>
        <w:fldChar w:fldCharType="begin"/>
      </w:r>
      <w:r>
        <w:instrText xml:space="preserve"> XE "dateGroupItem (Date Grouping)" </w:instrText>
      </w:r>
      <w:r>
        <w:fldChar w:fldCharType="end"/>
      </w:r>
    </w:p>
    <w:p w:rsidR="000A156F" w:rsidRDefault="00A9721F">
      <w:pPr>
        <w:pStyle w:val="Definition-Field"/>
      </w:pPr>
      <w:r>
        <w:t xml:space="preserve">a.   </w:t>
      </w:r>
      <w:r>
        <w:rPr>
          <w:i/>
        </w:rPr>
        <w:t xml:space="preserve">The standard does not </w:t>
      </w:r>
      <w:r>
        <w:rPr>
          <w:i/>
        </w:rPr>
        <w:t>specify a default value for the month attribute.</w:t>
      </w:r>
    </w:p>
    <w:p w:rsidR="000A156F" w:rsidRDefault="00A9721F">
      <w:pPr>
        <w:pStyle w:val="Definition-Field2"/>
      </w:pPr>
      <w:r>
        <w:lastRenderedPageBreak/>
        <w:t>Excel uses a default value of 1 for this attribute.</w:t>
      </w:r>
    </w:p>
    <w:p w:rsidR="000A156F" w:rsidRDefault="00A9721F">
      <w:pPr>
        <w:pStyle w:val="Definition-Field"/>
      </w:pPr>
      <w:r>
        <w:t xml:space="preserve">b.   </w:t>
      </w:r>
      <w:r>
        <w:rPr>
          <w:i/>
        </w:rPr>
        <w:t>The standard does not specify a default value for the day attribute.</w:t>
      </w:r>
    </w:p>
    <w:p w:rsidR="000A156F" w:rsidRDefault="00A9721F">
      <w:pPr>
        <w:pStyle w:val="Definition-Field2"/>
      </w:pPr>
      <w:r>
        <w:t>Excel uses a default value of 1 for this attribute.</w:t>
      </w:r>
    </w:p>
    <w:p w:rsidR="000A156F" w:rsidRDefault="00A9721F">
      <w:pPr>
        <w:pStyle w:val="Definition-Field"/>
      </w:pPr>
      <w:r>
        <w:t xml:space="preserve">c.   </w:t>
      </w:r>
      <w:r>
        <w:rPr>
          <w:i/>
        </w:rPr>
        <w:t>The standard does not sp</w:t>
      </w:r>
      <w:r>
        <w:rPr>
          <w:i/>
        </w:rPr>
        <w:t>ecify a default value for the hour attribute.</w:t>
      </w:r>
    </w:p>
    <w:p w:rsidR="000A156F" w:rsidRDefault="00A9721F">
      <w:pPr>
        <w:pStyle w:val="Definition-Field2"/>
      </w:pPr>
      <w:r>
        <w:t>Excel uses a default value of 0 for this attribute.</w:t>
      </w:r>
    </w:p>
    <w:p w:rsidR="000A156F" w:rsidRDefault="00A9721F">
      <w:pPr>
        <w:pStyle w:val="Definition-Field"/>
      </w:pPr>
      <w:r>
        <w:t xml:space="preserve">d.   </w:t>
      </w:r>
      <w:r>
        <w:rPr>
          <w:i/>
        </w:rPr>
        <w:t>The standard does not specify a default value for the minute attribute.</w:t>
      </w:r>
    </w:p>
    <w:p w:rsidR="000A156F" w:rsidRDefault="00A9721F">
      <w:pPr>
        <w:pStyle w:val="Definition-Field2"/>
      </w:pPr>
      <w:r>
        <w:t>Excel uses a default value of 0 for this attribute.</w:t>
      </w:r>
    </w:p>
    <w:p w:rsidR="000A156F" w:rsidRDefault="00A9721F">
      <w:pPr>
        <w:pStyle w:val="Definition-Field"/>
      </w:pPr>
      <w:r>
        <w:t xml:space="preserve">e.   </w:t>
      </w:r>
      <w:r>
        <w:rPr>
          <w:i/>
        </w:rPr>
        <w:t>The standard does not sp</w:t>
      </w:r>
      <w:r>
        <w:rPr>
          <w:i/>
        </w:rPr>
        <w:t>ecify a default value for the second attribute.</w:t>
      </w:r>
    </w:p>
    <w:p w:rsidR="000A156F" w:rsidRDefault="00A9721F">
      <w:pPr>
        <w:pStyle w:val="Definition-Field2"/>
      </w:pPr>
      <w:r>
        <w:t>Excel uses a default value of 0 for this attribute.</w:t>
      </w:r>
    </w:p>
    <w:p w:rsidR="000A156F" w:rsidRDefault="00A9721F">
      <w:pPr>
        <w:pStyle w:val="Heading3"/>
      </w:pPr>
      <w:bookmarkStart w:id="1350" w:name="section_d118f1d4878c4db69f4a63dba6e56158"/>
      <w:bookmarkStart w:id="1351" w:name="_Toc181683701"/>
      <w:r>
        <w:t>Part 1 Section 18.3.2.5, dynamicFilter (Dynamic Filter)</w:t>
      </w:r>
      <w:bookmarkEnd w:id="1350"/>
      <w:bookmarkEnd w:id="1351"/>
      <w:r>
        <w:fldChar w:fldCharType="begin"/>
      </w:r>
      <w:r>
        <w:instrText xml:space="preserve"> XE "dynamicFilter (Dynamic Filter)" </w:instrText>
      </w:r>
      <w:r>
        <w:fldChar w:fldCharType="end"/>
      </w:r>
    </w:p>
    <w:p w:rsidR="000A156F" w:rsidRDefault="00A9721F">
      <w:pPr>
        <w:pStyle w:val="Definition-Field"/>
      </w:pPr>
      <w:r>
        <w:t xml:space="preserve">a.   </w:t>
      </w:r>
      <w:r>
        <w:rPr>
          <w:i/>
        </w:rPr>
        <w:t>The standard does not place any limitations on the value</w:t>
      </w:r>
      <w:r>
        <w:rPr>
          <w:i/>
        </w:rPr>
        <w:t xml:space="preserve"> of the val attribute.</w:t>
      </w:r>
    </w:p>
    <w:p w:rsidR="000A156F" w:rsidRDefault="00A9721F">
      <w:pPr>
        <w:pStyle w:val="Definition-Field2"/>
      </w:pPr>
      <w:r>
        <w:t>Office requires that the val attribute be less than the maxVal attribute.</w:t>
      </w:r>
    </w:p>
    <w:p w:rsidR="000A156F" w:rsidRDefault="00A9721F">
      <w:pPr>
        <w:pStyle w:val="Definition-Field"/>
      </w:pPr>
      <w:r>
        <w:t xml:space="preserve">b.   </w:t>
      </w:r>
      <w:r>
        <w:rPr>
          <w:i/>
        </w:rPr>
        <w:t>The standard states in the description of the val attribute: "See description of maxVal to understand when val is required." However, the description of t</w:t>
      </w:r>
      <w:r>
        <w:rPr>
          <w:i/>
        </w:rPr>
        <w:t>he maxVal attribute is not clear that both values are required at the same time.</w:t>
      </w:r>
    </w:p>
    <w:p w:rsidR="000A156F" w:rsidRDefault="00A9721F">
      <w:pPr>
        <w:pStyle w:val="Definition-Field2"/>
      </w:pPr>
      <w:r>
        <w:t>Office requires that @val is required whenever @maxVal is required.</w:t>
      </w:r>
    </w:p>
    <w:p w:rsidR="000A156F" w:rsidRDefault="00A9721F">
      <w:pPr>
        <w:pStyle w:val="Definition-Field"/>
      </w:pPr>
      <w:r>
        <w:t xml:space="preserve">c.   </w:t>
      </w:r>
      <w:r>
        <w:rPr>
          <w:i/>
        </w:rPr>
        <w:t>The standard describes @maxVal as optional and correctly describes instances when it is required and w</w:t>
      </w:r>
      <w:r>
        <w:rPr>
          <w:i/>
        </w:rPr>
        <w:t>hat it means then, but does not state what happens when it is not required.</w:t>
      </w:r>
    </w:p>
    <w:p w:rsidR="000A156F" w:rsidRDefault="00A9721F">
      <w:pPr>
        <w:pStyle w:val="Definition-Field2"/>
      </w:pPr>
      <w:r>
        <w:t>Office requires that when @maxVal is not required, it shall not be written out.</w:t>
      </w:r>
    </w:p>
    <w:p w:rsidR="000A156F" w:rsidRDefault="00A9721F">
      <w:pPr>
        <w:pStyle w:val="Heading3"/>
      </w:pPr>
      <w:bookmarkStart w:id="1352" w:name="section_2d4504f3c3044e20b7542e0595c1d917"/>
      <w:bookmarkStart w:id="1353" w:name="_Toc181683702"/>
      <w:r>
        <w:t>Part 1 Section 18.3.2.6, filter (Filter)</w:t>
      </w:r>
      <w:bookmarkEnd w:id="1352"/>
      <w:bookmarkEnd w:id="1353"/>
      <w:r>
        <w:fldChar w:fldCharType="begin"/>
      </w:r>
      <w:r>
        <w:instrText xml:space="preserve"> XE "filter (Filter)" </w:instrText>
      </w:r>
      <w:r>
        <w:fldChar w:fldCharType="end"/>
      </w:r>
    </w:p>
    <w:p w:rsidR="000A156F" w:rsidRDefault="00A9721F">
      <w:pPr>
        <w:pStyle w:val="Definition-Field"/>
      </w:pPr>
      <w:r>
        <w:t xml:space="preserve">a.   </w:t>
      </w:r>
      <w:r>
        <w:rPr>
          <w:i/>
        </w:rPr>
        <w:t xml:space="preserve">The standard implies that the </w:t>
      </w:r>
      <w:r>
        <w:rPr>
          <w:i/>
        </w:rPr>
        <w:t>val attribute is optional.</w:t>
      </w:r>
    </w:p>
    <w:p w:rsidR="000A156F" w:rsidRDefault="00A9721F">
      <w:pPr>
        <w:pStyle w:val="Definition-Field2"/>
      </w:pPr>
      <w:r>
        <w:t>Excel requires this attribute.</w:t>
      </w:r>
    </w:p>
    <w:p w:rsidR="000A156F" w:rsidRDefault="00A9721F">
      <w:pPr>
        <w:pStyle w:val="Heading3"/>
      </w:pPr>
      <w:bookmarkStart w:id="1354" w:name="section_fa72fc954ca54476bce45d0b756e667d"/>
      <w:bookmarkStart w:id="1355" w:name="_Toc181683703"/>
      <w:r>
        <w:t>Part 1 Section 18.3.2.7, filterColumn (AutoFilter Column)</w:t>
      </w:r>
      <w:bookmarkEnd w:id="1354"/>
      <w:bookmarkEnd w:id="1355"/>
      <w:r>
        <w:fldChar w:fldCharType="begin"/>
      </w:r>
      <w:r>
        <w:instrText xml:space="preserve"> XE "filterColumn (AutoFilter Column)" </w:instrText>
      </w:r>
      <w:r>
        <w:fldChar w:fldCharType="end"/>
      </w:r>
    </w:p>
    <w:p w:rsidR="000A156F" w:rsidRDefault="00A9721F">
      <w:pPr>
        <w:pStyle w:val="Definition-Field"/>
      </w:pPr>
      <w:r>
        <w:t xml:space="preserve">a.   </w:t>
      </w:r>
      <w:r>
        <w:rPr>
          <w:i/>
        </w:rPr>
        <w:t>The standard does not place limitations on the value of the colId attribute.</w:t>
      </w:r>
    </w:p>
    <w:p w:rsidR="000A156F" w:rsidRDefault="00A9721F">
      <w:pPr>
        <w:pStyle w:val="Definition-Field2"/>
      </w:pPr>
      <w:r>
        <w:t xml:space="preserve">In Office, the </w:t>
      </w:r>
      <w:r>
        <w:t>colId attribute must be greater than or equal to 0 and less than or equal to the number of columns in the region described by the parent autoFilter element's ref attribute.</w:t>
      </w:r>
    </w:p>
    <w:p w:rsidR="000A156F" w:rsidRDefault="00A9721F">
      <w:pPr>
        <w:pStyle w:val="Heading3"/>
      </w:pPr>
      <w:bookmarkStart w:id="1356" w:name="section_24c0f8b91ce6447dae7cf2d69e0727b0"/>
      <w:bookmarkStart w:id="1357" w:name="_Toc181683704"/>
      <w:r>
        <w:t>Part 1 Section 18.3.2.8, filters (Filter Criteria)</w:t>
      </w:r>
      <w:bookmarkEnd w:id="1356"/>
      <w:bookmarkEnd w:id="1357"/>
      <w:r>
        <w:fldChar w:fldCharType="begin"/>
      </w:r>
      <w:r>
        <w:instrText xml:space="preserve"> XE "filters (Filter Criteria)" </w:instrText>
      </w:r>
      <w:r>
        <w:fldChar w:fldCharType="end"/>
      </w:r>
    </w:p>
    <w:p w:rsidR="000A156F" w:rsidRDefault="00A9721F">
      <w:pPr>
        <w:pStyle w:val="Definition-Field"/>
      </w:pPr>
      <w:r>
        <w:t xml:space="preserve">a.   </w:t>
      </w:r>
      <w:r>
        <w:rPr>
          <w:i/>
        </w:rPr>
        <w:t>The standard states that the filter and dateGroupItem child elements should be sequenced.</w:t>
      </w:r>
    </w:p>
    <w:p w:rsidR="000A156F" w:rsidRDefault="00A9721F">
      <w:pPr>
        <w:pStyle w:val="Definition-Field2"/>
      </w:pPr>
      <w:r>
        <w:t>Excel requires these child elements to be a choice of one or the other.</w:t>
      </w:r>
    </w:p>
    <w:p w:rsidR="000A156F" w:rsidRDefault="00A9721F">
      <w:pPr>
        <w:pStyle w:val="Definition-Field"/>
      </w:pPr>
      <w:r>
        <w:t xml:space="preserve">b.   </w:t>
      </w:r>
      <w:r>
        <w:rPr>
          <w:i/>
        </w:rPr>
        <w:t>The standard defines the calendarType attribute for date grouped items.</w:t>
      </w:r>
    </w:p>
    <w:p w:rsidR="000A156F" w:rsidRDefault="00A9721F">
      <w:pPr>
        <w:pStyle w:val="Definition-Field2"/>
      </w:pPr>
      <w:r>
        <w:t>Office ign</w:t>
      </w:r>
      <w:r>
        <w:t>ores the calendarType attribute.</w:t>
      </w:r>
    </w:p>
    <w:p w:rsidR="000A156F" w:rsidRDefault="00A9721F">
      <w:pPr>
        <w:pStyle w:val="Definition-Field"/>
      </w:pPr>
      <w:r>
        <w:t xml:space="preserve">c.   </w:t>
      </w:r>
      <w:r>
        <w:rPr>
          <w:i/>
        </w:rPr>
        <w:t>The standard states that the calendarType attribute is of type ST_CalendarType, which has a value for "saka".</w:t>
      </w:r>
    </w:p>
    <w:p w:rsidR="000A156F" w:rsidRDefault="00A9721F">
      <w:pPr>
        <w:pStyle w:val="Definition-Field2"/>
      </w:pPr>
      <w:r>
        <w:lastRenderedPageBreak/>
        <w:t>Office does not support the ST_CalendarType value of "saka" and instead treats the "saka" value as equivalen</w:t>
      </w:r>
      <w:r>
        <w:t>t to the "none" value of ST_CalendarType.</w:t>
      </w:r>
    </w:p>
    <w:p w:rsidR="000A156F" w:rsidRDefault="00A9721F">
      <w:pPr>
        <w:pStyle w:val="Heading3"/>
      </w:pPr>
      <w:bookmarkStart w:id="1358" w:name="section_05446a4887db4862bbb94fbf551e51e1"/>
      <w:bookmarkStart w:id="1359" w:name="_Toc181683705"/>
      <w:r>
        <w:t>Part 1 Section 18.3.2.9, iconFilter (Icon Filter)</w:t>
      </w:r>
      <w:bookmarkEnd w:id="1358"/>
      <w:bookmarkEnd w:id="1359"/>
      <w:r>
        <w:fldChar w:fldCharType="begin"/>
      </w:r>
      <w:r>
        <w:instrText xml:space="preserve"> XE "iconFilter (Icon Filter)" </w:instrText>
      </w:r>
      <w:r>
        <w:fldChar w:fldCharType="end"/>
      </w:r>
    </w:p>
    <w:p w:rsidR="000A156F" w:rsidRDefault="00A9721F">
      <w:pPr>
        <w:pStyle w:val="Definition-Field"/>
      </w:pPr>
      <w:r>
        <w:t xml:space="preserve">a.   </w:t>
      </w:r>
      <w:r>
        <w:rPr>
          <w:i/>
        </w:rPr>
        <w:t>The standard does not specify any limitations on the value of the iconId attribute.</w:t>
      </w:r>
    </w:p>
    <w:p w:rsidR="000A156F" w:rsidRDefault="00A9721F">
      <w:pPr>
        <w:pStyle w:val="Definition-Field2"/>
      </w:pPr>
      <w:r>
        <w:t>Office requires that value in the iconId a</w:t>
      </w:r>
      <w:r>
        <w:t>ttribute is less than the total number of icons in the iconSet.</w:t>
      </w:r>
    </w:p>
    <w:p w:rsidR="000A156F" w:rsidRDefault="00A9721F">
      <w:pPr>
        <w:pStyle w:val="Heading3"/>
      </w:pPr>
      <w:bookmarkStart w:id="1360" w:name="section_2961ac370f8e47a889f9981403e619b6"/>
      <w:bookmarkStart w:id="1361" w:name="_Toc181683706"/>
      <w:r>
        <w:t>Part 1 Section 18.3.2.10, top10 (Top 10)</w:t>
      </w:r>
      <w:bookmarkEnd w:id="1360"/>
      <w:bookmarkEnd w:id="1361"/>
      <w:r>
        <w:fldChar w:fldCharType="begin"/>
      </w:r>
      <w:r>
        <w:instrText xml:space="preserve"> XE "top10 (Top 10)" </w:instrText>
      </w:r>
      <w:r>
        <w:fldChar w:fldCharType="end"/>
      </w:r>
    </w:p>
    <w:p w:rsidR="000A156F" w:rsidRDefault="00A9721F">
      <w:pPr>
        <w:pStyle w:val="Definition-Field"/>
      </w:pPr>
      <w:r>
        <w:t xml:space="preserve">a.   </w:t>
      </w:r>
      <w:r>
        <w:rPr>
          <w:i/>
        </w:rPr>
        <w:t>The standard does not mention any limits on the value of @val.</w:t>
      </w:r>
    </w:p>
    <w:p w:rsidR="000A156F" w:rsidRDefault="00A9721F">
      <w:pPr>
        <w:pStyle w:val="Definition-Field2"/>
      </w:pPr>
      <w:r>
        <w:t>In Office, if this element is on a pivottable, the @val must</w:t>
      </w:r>
      <w:r>
        <w:t xml:space="preserve"> be greater than or equal to 0. Otherwise, it must be between 1 and 500 inclusive.</w:t>
      </w:r>
    </w:p>
    <w:p w:rsidR="000A156F" w:rsidRDefault="00A9721F">
      <w:pPr>
        <w:pStyle w:val="Definition-Field"/>
      </w:pPr>
      <w:r>
        <w:t xml:space="preserve">b.   </w:t>
      </w:r>
      <w:r>
        <w:rPr>
          <w:i/>
        </w:rPr>
        <w:t>The standard does not specify a default value for the filterVal attribute.</w:t>
      </w:r>
    </w:p>
    <w:p w:rsidR="000A156F" w:rsidRDefault="00A9721F">
      <w:pPr>
        <w:pStyle w:val="Definition-Field2"/>
      </w:pPr>
      <w:r>
        <w:t>Excel uses a default value of 0 for this attribute.</w:t>
      </w:r>
    </w:p>
    <w:p w:rsidR="000A156F" w:rsidRDefault="00A9721F">
      <w:pPr>
        <w:pStyle w:val="Heading3"/>
      </w:pPr>
      <w:bookmarkStart w:id="1362" w:name="section_90eb53d6da854c0280cf509eeec5124a"/>
      <w:bookmarkStart w:id="1363" w:name="_Toc181683707"/>
      <w:r>
        <w:t>Part 1 Section 18.4.3, phoneticPr (Phonetic Properties)</w:t>
      </w:r>
      <w:bookmarkEnd w:id="1362"/>
      <w:bookmarkEnd w:id="1363"/>
      <w:r>
        <w:fldChar w:fldCharType="begin"/>
      </w:r>
      <w:r>
        <w:instrText xml:space="preserve"> XE "phoneticPr (Phonetic Properties)" </w:instrText>
      </w:r>
      <w:r>
        <w:fldChar w:fldCharType="end"/>
      </w:r>
    </w:p>
    <w:p w:rsidR="000A156F" w:rsidRDefault="00A9721F">
      <w:pPr>
        <w:pStyle w:val="Definition-Field"/>
      </w:pPr>
      <w:r>
        <w:t xml:space="preserve">a.   </w:t>
      </w:r>
      <w:r>
        <w:rPr>
          <w:i/>
        </w:rPr>
        <w:t>The standard states that the type attribute specifies which type of East Asian character set should be used to display the phonetic run.</w:t>
      </w:r>
    </w:p>
    <w:p w:rsidR="000A156F" w:rsidRDefault="00A9721F">
      <w:pPr>
        <w:pStyle w:val="Definition-Field2"/>
      </w:pPr>
      <w:r>
        <w:t>Excel uses this a</w:t>
      </w:r>
      <w:r>
        <w:t>ttribute to specify which Japanese character set should be used to display the phonetic run.</w:t>
      </w:r>
    </w:p>
    <w:p w:rsidR="000A156F" w:rsidRDefault="00A9721F">
      <w:pPr>
        <w:pStyle w:val="Definition-Field"/>
      </w:pPr>
      <w:r>
        <w:t xml:space="preserve">b.   </w:t>
      </w:r>
      <w:r>
        <w:rPr>
          <w:i/>
        </w:rPr>
        <w:t>The standard states that phonetic text is allowed for East Asian languages.</w:t>
      </w:r>
    </w:p>
    <w:p w:rsidR="000A156F" w:rsidRDefault="00A9721F">
      <w:pPr>
        <w:pStyle w:val="Definition-Field2"/>
      </w:pPr>
      <w:r>
        <w:t>Excel restricts phonetic text to the Japanese language.</w:t>
      </w:r>
    </w:p>
    <w:p w:rsidR="000A156F" w:rsidRDefault="00A9721F">
      <w:pPr>
        <w:pStyle w:val="Heading3"/>
      </w:pPr>
      <w:bookmarkStart w:id="1364" w:name="section_00d5905375314caaa1e4be1838a69013"/>
      <w:bookmarkStart w:id="1365" w:name="_Toc181683708"/>
      <w:r>
        <w:t>Part 1 Section 18.4.5, rFo</w:t>
      </w:r>
      <w:r>
        <w:t>nt (Font)</w:t>
      </w:r>
      <w:bookmarkEnd w:id="1364"/>
      <w:bookmarkEnd w:id="1365"/>
      <w:r>
        <w:fldChar w:fldCharType="begin"/>
      </w:r>
      <w:r>
        <w:instrText xml:space="preserve"> XE "rFont (Font)" </w:instrText>
      </w:r>
      <w:r>
        <w:fldChar w:fldCharType="end"/>
      </w:r>
    </w:p>
    <w:p w:rsidR="000A156F" w:rsidRDefault="00A9721F">
      <w:pPr>
        <w:pStyle w:val="Definition-Field"/>
      </w:pPr>
      <w:r>
        <w:t xml:space="preserve">a.   </w:t>
      </w:r>
      <w:r>
        <w:rPr>
          <w:i/>
        </w:rPr>
        <w:t>The standard specifies the string length for the val attribute shall be 0 to 31 characters.</w:t>
      </w:r>
    </w:p>
    <w:p w:rsidR="000A156F" w:rsidRDefault="00A9721F">
      <w:pPr>
        <w:pStyle w:val="Definition-Field2"/>
      </w:pPr>
      <w:r>
        <w:t>Office requires the length to be that of the string before escaping.</w:t>
      </w:r>
    </w:p>
    <w:p w:rsidR="000A156F" w:rsidRDefault="00A9721F">
      <w:pPr>
        <w:pStyle w:val="Heading3"/>
      </w:pPr>
      <w:bookmarkStart w:id="1366" w:name="section_7a3b21a4906947cfbf05b777e6d2078d"/>
      <w:bookmarkStart w:id="1367" w:name="_Toc181683709"/>
      <w:r>
        <w:t>Part 1 Section 18.4.6, rPh (Phonetic Run)</w:t>
      </w:r>
      <w:bookmarkEnd w:id="1366"/>
      <w:bookmarkEnd w:id="1367"/>
      <w:r>
        <w:fldChar w:fldCharType="begin"/>
      </w:r>
      <w:r>
        <w:instrText xml:space="preserve"> XE "rPh (Phonetic</w:instrText>
      </w:r>
      <w:r>
        <w:instrText xml:space="preserve"> Run)" </w:instrText>
      </w:r>
      <w:r>
        <w:fldChar w:fldCharType="end"/>
      </w:r>
    </w:p>
    <w:p w:rsidR="000A156F" w:rsidRDefault="00A9721F">
      <w:pPr>
        <w:pStyle w:val="Definition-Field"/>
      </w:pPr>
      <w:r>
        <w:t xml:space="preserve">a.   </w:t>
      </w:r>
      <w:r>
        <w:rPr>
          <w:i/>
        </w:rPr>
        <w:t>The standard states that phonetic text is allowed for East Asian languages.</w:t>
      </w:r>
    </w:p>
    <w:p w:rsidR="000A156F" w:rsidRDefault="00A9721F">
      <w:pPr>
        <w:pStyle w:val="Definition-Field2"/>
      </w:pPr>
      <w:r>
        <w:t>Excel restricts phonetic text to the Japanese language.</w:t>
      </w:r>
    </w:p>
    <w:p w:rsidR="000A156F" w:rsidRDefault="00A9721F">
      <w:pPr>
        <w:pStyle w:val="Heading3"/>
      </w:pPr>
      <w:bookmarkStart w:id="1368" w:name="section_29f6b8095f1a4b2bb65a0286a0758460"/>
      <w:bookmarkStart w:id="1369" w:name="_Toc181683710"/>
      <w:r>
        <w:t>Part 1 Section 18.4.7, rPr (Run Properties)</w:t>
      </w:r>
      <w:bookmarkEnd w:id="1368"/>
      <w:bookmarkEnd w:id="1369"/>
      <w:r>
        <w:fldChar w:fldCharType="begin"/>
      </w:r>
      <w:r>
        <w:instrText xml:space="preserve"> XE "rPr (Run Properties)" </w:instrText>
      </w:r>
      <w:r>
        <w:fldChar w:fldCharType="end"/>
      </w:r>
    </w:p>
    <w:p w:rsidR="000A156F" w:rsidRDefault="00A9721F">
      <w:pPr>
        <w:pStyle w:val="Definition-Field"/>
      </w:pPr>
      <w:r>
        <w:t xml:space="preserve">a.   </w:t>
      </w:r>
      <w:r>
        <w:rPr>
          <w:i/>
        </w:rPr>
        <w:t xml:space="preserve">The standard defines the child </w:t>
      </w:r>
      <w:r>
        <w:rPr>
          <w:i/>
        </w:rPr>
        <w:t>elements using a choice.</w:t>
      </w:r>
    </w:p>
    <w:p w:rsidR="000A156F" w:rsidRDefault="00A9721F">
      <w:pPr>
        <w:pStyle w:val="Definition-Field2"/>
      </w:pPr>
      <w:r>
        <w:t>Excel requires the child elements to be in the following sequence:  b, i, strike, condense, extend, outline, shadow, u, vertAlign, sz, color, rFont, family, charset, scheme.</w:t>
      </w:r>
    </w:p>
    <w:p w:rsidR="000A156F" w:rsidRDefault="00A9721F">
      <w:pPr>
        <w:pStyle w:val="Heading3"/>
      </w:pPr>
      <w:bookmarkStart w:id="1370" w:name="section_7265d89c907745b5826fffa7a10811ae"/>
      <w:bookmarkStart w:id="1371" w:name="_Toc181683711"/>
      <w:r>
        <w:t>Part 1 Section 18.4.8, si (String Item)</w:t>
      </w:r>
      <w:bookmarkEnd w:id="1370"/>
      <w:bookmarkEnd w:id="1371"/>
      <w:r>
        <w:fldChar w:fldCharType="begin"/>
      </w:r>
      <w:r>
        <w:instrText xml:space="preserve"> XE "si (String It</w:instrText>
      </w:r>
      <w:r>
        <w:instrText xml:space="preserve">em)" </w:instrText>
      </w:r>
      <w:r>
        <w:fldChar w:fldCharType="end"/>
      </w:r>
    </w:p>
    <w:p w:rsidR="000A156F" w:rsidRDefault="00A9721F">
      <w:pPr>
        <w:pStyle w:val="Definition-Field"/>
      </w:pPr>
      <w:r>
        <w:t xml:space="preserve">a.   </w:t>
      </w:r>
      <w:r>
        <w:rPr>
          <w:i/>
        </w:rPr>
        <w:t>The standard states that t can be an unbounded number of characters.</w:t>
      </w:r>
    </w:p>
    <w:p w:rsidR="000A156F" w:rsidRDefault="00A9721F">
      <w:pPr>
        <w:pStyle w:val="Definition-Field2"/>
      </w:pPr>
      <w:r>
        <w:t>Excel restricts t to 32767.</w:t>
      </w:r>
    </w:p>
    <w:p w:rsidR="000A156F" w:rsidRDefault="00A9721F">
      <w:pPr>
        <w:pStyle w:val="Definition-Field"/>
      </w:pPr>
      <w:r>
        <w:lastRenderedPageBreak/>
        <w:t xml:space="preserve">b.   </w:t>
      </w:r>
      <w:r>
        <w:rPr>
          <w:i/>
        </w:rPr>
        <w:t>The standard states that the maxOccurs value for the r child element is unbounded.</w:t>
      </w:r>
    </w:p>
    <w:p w:rsidR="000A156F" w:rsidRDefault="00A9721F">
      <w:pPr>
        <w:pStyle w:val="Definition-Field2"/>
      </w:pPr>
      <w:r>
        <w:t>Excel limits the occurrences of this element to 32767.</w:t>
      </w:r>
    </w:p>
    <w:p w:rsidR="000A156F" w:rsidRDefault="00A9721F">
      <w:pPr>
        <w:pStyle w:val="Definition-Field"/>
      </w:pPr>
      <w:r>
        <w:t xml:space="preserve">c. </w:t>
      </w:r>
      <w:r>
        <w:t xml:space="preserve">  </w:t>
      </w:r>
      <w:r>
        <w:rPr>
          <w:i/>
        </w:rPr>
        <w:t>The standard states that the maxOccurs value for the rPh child element is unbounded.</w:t>
      </w:r>
    </w:p>
    <w:p w:rsidR="000A156F" w:rsidRDefault="00A9721F">
      <w:pPr>
        <w:pStyle w:val="Definition-Field2"/>
      </w:pPr>
      <w:r>
        <w:t>Excel limits the occurrences of this element to 32767.</w:t>
      </w:r>
    </w:p>
    <w:p w:rsidR="000A156F" w:rsidRDefault="00A9721F">
      <w:pPr>
        <w:pStyle w:val="Heading3"/>
      </w:pPr>
      <w:bookmarkStart w:id="1372" w:name="section_4e99ac5e199d4c0cab34198ab8fbbeba"/>
      <w:bookmarkStart w:id="1373" w:name="_Toc181683712"/>
      <w:r>
        <w:t>Part 1 Section 18.4.9, sst (Shared String Table)</w:t>
      </w:r>
      <w:bookmarkEnd w:id="1372"/>
      <w:bookmarkEnd w:id="1373"/>
      <w:r>
        <w:fldChar w:fldCharType="begin"/>
      </w:r>
      <w:r>
        <w:instrText xml:space="preserve"> XE "sst (Shared String Table)" </w:instrText>
      </w:r>
      <w:r>
        <w:fldChar w:fldCharType="end"/>
      </w:r>
    </w:p>
    <w:p w:rsidR="000A156F" w:rsidRDefault="00A9721F">
      <w:pPr>
        <w:pStyle w:val="Definition-Field"/>
      </w:pPr>
      <w:r>
        <w:t xml:space="preserve">a.   </w:t>
      </w:r>
      <w:r>
        <w:rPr>
          <w:i/>
        </w:rPr>
        <w:t>The standard specifies uni</w:t>
      </w:r>
      <w:r>
        <w:rPr>
          <w:i/>
        </w:rPr>
        <w:t>queCount as an unbound unsigned int.</w:t>
      </w:r>
    </w:p>
    <w:p w:rsidR="000A156F" w:rsidRDefault="00A9721F">
      <w:pPr>
        <w:pStyle w:val="Definition-Field2"/>
      </w:pPr>
      <w:r>
        <w:t>Office requires the value be less than or equal to 2147483647.</w:t>
      </w:r>
    </w:p>
    <w:p w:rsidR="000A156F" w:rsidRDefault="00A9721F">
      <w:pPr>
        <w:pStyle w:val="Definition-Field"/>
      </w:pPr>
      <w:r>
        <w:t xml:space="preserve">b.   </w:t>
      </w:r>
      <w:r>
        <w:rPr>
          <w:i/>
        </w:rPr>
        <w:t>The standard specifies count as an unbound unsigned int.</w:t>
      </w:r>
    </w:p>
    <w:p w:rsidR="000A156F" w:rsidRDefault="00A9721F">
      <w:pPr>
        <w:pStyle w:val="Definition-Field2"/>
      </w:pPr>
      <w:r>
        <w:t>Office requires the value be less than or equal to 2147483647.</w:t>
      </w:r>
    </w:p>
    <w:p w:rsidR="000A156F" w:rsidRDefault="00A9721F">
      <w:pPr>
        <w:pStyle w:val="Heading3"/>
      </w:pPr>
      <w:bookmarkStart w:id="1374" w:name="section_347b28bddabc4ef59fe74e57690fbbd4"/>
      <w:bookmarkStart w:id="1375" w:name="_Toc181683713"/>
      <w:r>
        <w:t>Part 1 Section 18.4.11, sz (Fon</w:t>
      </w:r>
      <w:r>
        <w:t>t Size)</w:t>
      </w:r>
      <w:bookmarkEnd w:id="1374"/>
      <w:bookmarkEnd w:id="1375"/>
      <w:r>
        <w:fldChar w:fldCharType="begin"/>
      </w:r>
      <w:r>
        <w:instrText xml:space="preserve"> XE "sz (Font Size)" </w:instrText>
      </w:r>
      <w:r>
        <w:fldChar w:fldCharType="end"/>
      </w:r>
    </w:p>
    <w:p w:rsidR="000A156F" w:rsidRDefault="00A9721F">
      <w:pPr>
        <w:pStyle w:val="Definition-Field"/>
      </w:pPr>
      <w:r>
        <w:t xml:space="preserve">a.   </w:t>
      </w:r>
      <w:r>
        <w:rPr>
          <w:i/>
        </w:rPr>
        <w:t>The standard restricts the definition of the sz element to Latin and East Asian text only.</w:t>
      </w:r>
    </w:p>
    <w:p w:rsidR="000A156F" w:rsidRDefault="00A9721F">
      <w:pPr>
        <w:pStyle w:val="Definition-Field2"/>
      </w:pPr>
      <w:r>
        <w:t>Office does not restrict the applicability of the sz element to only Latin and East Asian text, that is, it applies to all text.</w:t>
      </w:r>
    </w:p>
    <w:p w:rsidR="000A156F" w:rsidRDefault="00A9721F">
      <w:pPr>
        <w:pStyle w:val="Definition-Field"/>
      </w:pPr>
      <w:r>
        <w:t xml:space="preserve">b.   </w:t>
      </w:r>
      <w:r>
        <w:rPr>
          <w:i/>
        </w:rPr>
        <w:t>The standard states that sz is the point size to be used to display text.</w:t>
      </w:r>
    </w:p>
    <w:p w:rsidR="000A156F" w:rsidRDefault="00A9721F">
      <w:pPr>
        <w:pStyle w:val="Definition-Field2"/>
      </w:pPr>
      <w:r>
        <w:t>Office converts the points provided to twips, and rounding may occur when writing sz@val back to SpreadsheetML files.</w:t>
      </w:r>
    </w:p>
    <w:p w:rsidR="000A156F" w:rsidRDefault="00A9721F">
      <w:pPr>
        <w:pStyle w:val="Definition-Field"/>
      </w:pPr>
      <w:r>
        <w:t xml:space="preserve">c.   </w:t>
      </w:r>
      <w:r>
        <w:rPr>
          <w:i/>
        </w:rPr>
        <w:t xml:space="preserve">The standard does not specify restrictions on the val </w:t>
      </w:r>
      <w:r>
        <w:rPr>
          <w:i/>
        </w:rPr>
        <w:t>attribute.</w:t>
      </w:r>
    </w:p>
    <w:p w:rsidR="000A156F" w:rsidRDefault="00A9721F">
      <w:pPr>
        <w:pStyle w:val="Definition-Field2"/>
      </w:pPr>
      <w:r>
        <w:t>Office requires the val attribute to be a double between 1 and 409.55 inclusive.</w:t>
      </w:r>
    </w:p>
    <w:p w:rsidR="000A156F" w:rsidRDefault="00A9721F">
      <w:pPr>
        <w:pStyle w:val="Heading3"/>
      </w:pPr>
      <w:bookmarkStart w:id="1376" w:name="section_82ad64a7401b4f3493193600b16b2791"/>
      <w:bookmarkStart w:id="1377" w:name="_Toc181683714"/>
      <w:r>
        <w:t>Part 1 Section 18.4.12, t (Text)</w:t>
      </w:r>
      <w:bookmarkEnd w:id="1376"/>
      <w:bookmarkEnd w:id="1377"/>
      <w:r>
        <w:fldChar w:fldCharType="begin"/>
      </w:r>
      <w:r>
        <w:instrText xml:space="preserve"> XE "t (Text)" </w:instrText>
      </w:r>
      <w:r>
        <w:fldChar w:fldCharType="end"/>
      </w:r>
    </w:p>
    <w:p w:rsidR="000A156F" w:rsidRDefault="00A9721F">
      <w:pPr>
        <w:pStyle w:val="Definition-Field"/>
      </w:pPr>
      <w:r>
        <w:t xml:space="preserve">a.   </w:t>
      </w:r>
      <w:r>
        <w:rPr>
          <w:i/>
        </w:rPr>
        <w:t>The standard makes no mention of an xml:space attribute.</w:t>
      </w:r>
    </w:p>
    <w:p w:rsidR="000A156F" w:rsidRDefault="00A9721F">
      <w:pPr>
        <w:pStyle w:val="Definition-Field2"/>
      </w:pPr>
      <w:r>
        <w:t xml:space="preserve">Excel uses this attribute to specify, using the W3C </w:t>
      </w:r>
      <w:r>
        <w:t>space preservation rules, how white space should be handled for the element's contents; its allowed values are defined by the XML 1.0 specification.</w:t>
      </w:r>
    </w:p>
    <w:p w:rsidR="000A156F" w:rsidRDefault="00A9721F">
      <w:pPr>
        <w:pStyle w:val="Definition-Field"/>
      </w:pPr>
      <w:r>
        <w:t xml:space="preserve">b.   </w:t>
      </w:r>
      <w:r>
        <w:rPr>
          <w:i/>
        </w:rPr>
        <w:t>The standard places no restrictions on the length of the value of the t element.</w:t>
      </w:r>
    </w:p>
    <w:p w:rsidR="000A156F" w:rsidRDefault="00A9721F">
      <w:pPr>
        <w:pStyle w:val="Definition-Field2"/>
      </w:pPr>
      <w:r>
        <w:t>Excel restricts the v</w:t>
      </w:r>
      <w:r>
        <w:t>alue of this element to 32767 characters.</w:t>
      </w:r>
    </w:p>
    <w:p w:rsidR="000A156F" w:rsidRDefault="00A9721F">
      <w:pPr>
        <w:pStyle w:val="Heading3"/>
      </w:pPr>
      <w:bookmarkStart w:id="1378" w:name="section_128d23b57cee4fdf9d4f94103e1bc48f"/>
      <w:bookmarkStart w:id="1379" w:name="_Toc181683715"/>
      <w:r>
        <w:t>Part 1 Section 18.5.1.1, calculatedColumnFormula (Calculated Column Formula)</w:t>
      </w:r>
      <w:bookmarkEnd w:id="1378"/>
      <w:bookmarkEnd w:id="1379"/>
      <w:r>
        <w:fldChar w:fldCharType="begin"/>
      </w:r>
      <w:r>
        <w:instrText xml:space="preserve"> XE "calculatedColumnFormula (Calculated Column Formula)" </w:instrText>
      </w:r>
      <w:r>
        <w:fldChar w:fldCharType="end"/>
      </w:r>
    </w:p>
    <w:p w:rsidR="000A156F" w:rsidRDefault="00A9721F">
      <w:pPr>
        <w:pStyle w:val="Definition-Field"/>
      </w:pPr>
      <w:r>
        <w:t xml:space="preserve">a.   </w:t>
      </w:r>
      <w:r>
        <w:rPr>
          <w:i/>
        </w:rPr>
        <w:t>The standard makes no mention of an xml:space attribute.</w:t>
      </w:r>
    </w:p>
    <w:p w:rsidR="000A156F" w:rsidRDefault="00A9721F">
      <w:pPr>
        <w:pStyle w:val="Definition-Field2"/>
      </w:pPr>
      <w:r>
        <w:t>Excel uses this</w:t>
      </w:r>
      <w:r>
        <w:t xml:space="preserve"> attribute to specify, using the W3C space preservation rules, how white space should be handled for the element's contents; its allowed values are defined by the XML 1.0 specification.</w:t>
      </w:r>
    </w:p>
    <w:p w:rsidR="000A156F" w:rsidRDefault="00A9721F">
      <w:pPr>
        <w:pStyle w:val="Heading3"/>
      </w:pPr>
      <w:bookmarkStart w:id="1380" w:name="section_bd61087c09d44789acf1b7ee8234a373"/>
      <w:bookmarkStart w:id="1381" w:name="_Toc181683716"/>
      <w:r>
        <w:lastRenderedPageBreak/>
        <w:t>Part 1 Section 18.5.1.2, table (Table)</w:t>
      </w:r>
      <w:bookmarkEnd w:id="1380"/>
      <w:bookmarkEnd w:id="1381"/>
      <w:r>
        <w:fldChar w:fldCharType="begin"/>
      </w:r>
      <w:r>
        <w:instrText xml:space="preserve"> XE "table (Table)" </w:instrText>
      </w:r>
      <w:r>
        <w:fldChar w:fldCharType="end"/>
      </w:r>
    </w:p>
    <w:p w:rsidR="000A156F" w:rsidRDefault="00A9721F">
      <w:pPr>
        <w:pStyle w:val="Definition-Field"/>
      </w:pPr>
      <w:r>
        <w:t xml:space="preserve">a.   </w:t>
      </w:r>
      <w:r>
        <w:rPr>
          <w:i/>
        </w:rPr>
        <w:t xml:space="preserve">The </w:t>
      </w:r>
      <w:r>
        <w:rPr>
          <w:i/>
        </w:rPr>
        <w:t>standard states that the values of the id attribute are defined by the XML Schema unsignedInt datatype.</w:t>
      </w:r>
    </w:p>
    <w:p w:rsidR="000A156F" w:rsidRDefault="00A9721F">
      <w:pPr>
        <w:pStyle w:val="Definition-Field2"/>
      </w:pPr>
      <w:r>
        <w:t>Excel restricts the value of this attribute to be at least 1 and at most 4294967294.</w:t>
      </w:r>
    </w:p>
    <w:p w:rsidR="000A156F" w:rsidRDefault="00A9721F">
      <w:pPr>
        <w:pStyle w:val="Definition-Field"/>
      </w:pPr>
      <w:r>
        <w:t xml:space="preserve">b.   </w:t>
      </w:r>
      <w:r>
        <w:rPr>
          <w:i/>
        </w:rPr>
        <w:t>The standard does not limit the length of the value of the nam</w:t>
      </w:r>
      <w:r>
        <w:rPr>
          <w:i/>
        </w:rPr>
        <w:t>e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c.   </w:t>
      </w:r>
      <w:r>
        <w:rPr>
          <w:i/>
        </w:rPr>
        <w:t>The standard does not describe what happens if the name attribute value is the empty string or the name attribute is not present.</w:t>
      </w:r>
    </w:p>
    <w:p w:rsidR="000A156F" w:rsidRDefault="00A9721F">
      <w:pPr>
        <w:pStyle w:val="Definition-Field2"/>
      </w:pPr>
      <w:r>
        <w:t>Office, if this attribute is not s</w:t>
      </w:r>
      <w:r>
        <w:t>pecified or the value is an empty string, the value will be set to the value specified for the required displayName attribute.</w:t>
      </w:r>
    </w:p>
    <w:p w:rsidR="000A156F" w:rsidRDefault="00A9721F">
      <w:pPr>
        <w:pStyle w:val="Definition-Field"/>
      </w:pPr>
      <w:r>
        <w:t xml:space="preserve">d.   </w:t>
      </w:r>
      <w:r>
        <w:rPr>
          <w:i/>
        </w:rPr>
        <w:t>The standard does not specify a default value for the connectionId attribute.</w:t>
      </w:r>
    </w:p>
    <w:p w:rsidR="000A156F" w:rsidRDefault="00A9721F">
      <w:pPr>
        <w:pStyle w:val="Definition-Field2"/>
      </w:pPr>
      <w:r>
        <w:t>Excel uses a default value of 0 for this attri</w:t>
      </w:r>
      <w:r>
        <w:t>bute.</w:t>
      </w:r>
    </w:p>
    <w:p w:rsidR="000A156F" w:rsidRDefault="00A9721F">
      <w:pPr>
        <w:pStyle w:val="Definition-Field"/>
      </w:pPr>
      <w:r>
        <w:t xml:space="preserve">e.   </w:t>
      </w:r>
      <w:r>
        <w:rPr>
          <w:i/>
        </w:rPr>
        <w:t>In the standard there are no limits on when the connectionId attribute can be present.</w:t>
      </w:r>
    </w:p>
    <w:p w:rsidR="000A156F" w:rsidRDefault="00A9721F">
      <w:pPr>
        <w:pStyle w:val="Definition-Field2"/>
      </w:pPr>
      <w:r>
        <w:t>In Office, this attribute must not be specified or the specified value must be 0 if tableType is not xml.</w:t>
      </w:r>
    </w:p>
    <w:p w:rsidR="000A156F" w:rsidRDefault="00A9721F">
      <w:pPr>
        <w:pStyle w:val="Definition-Field"/>
      </w:pPr>
      <w:r>
        <w:t xml:space="preserve">f.   </w:t>
      </w:r>
      <w:r>
        <w:rPr>
          <w:i/>
        </w:rPr>
        <w:t>In the standard no relationship between @totals</w:t>
      </w:r>
      <w:r>
        <w:rPr>
          <w:i/>
        </w:rPr>
        <w:t>RowCount and @totalRowShown is specified.</w:t>
      </w:r>
    </w:p>
    <w:p w:rsidR="000A156F" w:rsidRDefault="00A9721F">
      <w:pPr>
        <w:pStyle w:val="Definition-Field2"/>
      </w:pPr>
      <w:r>
        <w:t>In Office, if @totalsRowCount equals 1, then totalsRowShown must be true.</w:t>
      </w:r>
    </w:p>
    <w:p w:rsidR="000A156F" w:rsidRDefault="00A9721F">
      <w:pPr>
        <w:pStyle w:val="Definition-Field"/>
      </w:pPr>
      <w:r>
        <w:t xml:space="preserve">g.   </w:t>
      </w:r>
      <w:r>
        <w:rPr>
          <w:i/>
        </w:rPr>
        <w:t>The standard does not limit the length of the value of the comment attribute.</w:t>
      </w:r>
    </w:p>
    <w:p w:rsidR="000A156F" w:rsidRDefault="00A9721F">
      <w:pPr>
        <w:pStyle w:val="Definition-Field2"/>
      </w:pPr>
      <w:r>
        <w:t>Excel restricts the value of this attribute to be at most</w:t>
      </w:r>
      <w:r>
        <w:t xml:space="preserve"> 255 characters.</w:t>
      </w:r>
    </w:p>
    <w:p w:rsidR="000A156F" w:rsidRDefault="00A9721F">
      <w:pPr>
        <w:pStyle w:val="Definition-Field"/>
      </w:pPr>
      <w:r>
        <w:t xml:space="preserve">h.   </w:t>
      </w:r>
      <w:r>
        <w:rPr>
          <w:i/>
        </w:rPr>
        <w:t>The standard only limits the @ref to include the totals row.</w:t>
      </w:r>
    </w:p>
    <w:p w:rsidR="000A156F" w:rsidRDefault="00A9721F">
      <w:pPr>
        <w:pStyle w:val="Definition-Field2"/>
      </w:pPr>
      <w:r>
        <w:t>In Office, the count of rows for @ref shall be equal to or greater than the sum of rows specified by: @headerRowCount, @insertRow, and @totalsRowCount. Additionally, @ref mu</w:t>
      </w:r>
      <w:r>
        <w:t>st not overlap with another Table or auto-filter on the same worksheet.</w:t>
      </w:r>
    </w:p>
    <w:p w:rsidR="000A156F" w:rsidRDefault="00A9721F">
      <w:pPr>
        <w:pStyle w:val="Definition-Field"/>
      </w:pPr>
      <w:r>
        <w:t xml:space="preserve">i.   </w:t>
      </w:r>
      <w:r>
        <w:rPr>
          <w:i/>
        </w:rPr>
        <w:t>The standard does not limit the length of the value of the dataCellStyle attribute.</w:t>
      </w:r>
    </w:p>
    <w:p w:rsidR="000A156F" w:rsidRDefault="00A9721F">
      <w:pPr>
        <w:pStyle w:val="Definition-Field2"/>
      </w:pPr>
      <w:r>
        <w:t>Excel restricts the value of this attribute to be at least 1 and at most 255 characters.</w:t>
      </w:r>
    </w:p>
    <w:p w:rsidR="000A156F" w:rsidRDefault="00A9721F">
      <w:pPr>
        <w:pStyle w:val="Definition-Field"/>
      </w:pPr>
      <w:r>
        <w:t xml:space="preserve">j.   </w:t>
      </w:r>
      <w:r>
        <w:rPr>
          <w:i/>
        </w:rPr>
        <w:t>T</w:t>
      </w:r>
      <w:r>
        <w:rPr>
          <w:i/>
        </w:rPr>
        <w:t>he standard does not limit the length of the value of the headerRowCellStyle attribute.</w:t>
      </w:r>
    </w:p>
    <w:p w:rsidR="000A156F" w:rsidRDefault="00A9721F">
      <w:pPr>
        <w:pStyle w:val="Definition-Field2"/>
      </w:pPr>
      <w:r>
        <w:t>Excel restricts the value of this attribute to be at least 1 and at most 255 characters.</w:t>
      </w:r>
    </w:p>
    <w:p w:rsidR="000A156F" w:rsidRDefault="00A9721F">
      <w:pPr>
        <w:pStyle w:val="Definition-Field"/>
      </w:pPr>
      <w:r>
        <w:t xml:space="preserve">k.   </w:t>
      </w:r>
      <w:r>
        <w:rPr>
          <w:i/>
        </w:rPr>
        <w:t>The standard does not limit the length of the value of the totalsRowCellSt</w:t>
      </w:r>
      <w:r>
        <w:rPr>
          <w:i/>
        </w:rPr>
        <w:t>yle attribute.</w:t>
      </w:r>
    </w:p>
    <w:p w:rsidR="000A156F" w:rsidRDefault="00A9721F">
      <w:pPr>
        <w:pStyle w:val="Definition-Field2"/>
      </w:pPr>
      <w:r>
        <w:t>Excel restricts the value of this attribute to be at least 1 and at most 255 characters.</w:t>
      </w:r>
    </w:p>
    <w:p w:rsidR="000A156F" w:rsidRDefault="00A9721F">
      <w:pPr>
        <w:pStyle w:val="Definition-Field"/>
      </w:pPr>
      <w:r>
        <w:t xml:space="preserve">l.   </w:t>
      </w:r>
      <w:r>
        <w:rPr>
          <w:i/>
        </w:rPr>
        <w:t>The standard states that the values of the connectionId attribute are defined by the XML Schema unsignedInt datatype.</w:t>
      </w:r>
    </w:p>
    <w:p w:rsidR="000A156F" w:rsidRDefault="00A9721F">
      <w:pPr>
        <w:pStyle w:val="Definition-Field2"/>
      </w:pPr>
      <w:r>
        <w:t xml:space="preserve">Excel restricts the value of </w:t>
      </w:r>
      <w:r>
        <w:t>this attribute to be at most 2147483647.</w:t>
      </w:r>
    </w:p>
    <w:p w:rsidR="000A156F" w:rsidRDefault="00A9721F">
      <w:pPr>
        <w:pStyle w:val="Heading3"/>
      </w:pPr>
      <w:bookmarkStart w:id="1382" w:name="section_8f4f8ebca0854cefbec96d6a40066513"/>
      <w:bookmarkStart w:id="1383" w:name="_Toc181683717"/>
      <w:r>
        <w:t>Part 1 Section 18.5.1.3, tableColumn (Table Column)</w:t>
      </w:r>
      <w:bookmarkEnd w:id="1382"/>
      <w:bookmarkEnd w:id="1383"/>
      <w:r>
        <w:fldChar w:fldCharType="begin"/>
      </w:r>
      <w:r>
        <w:instrText xml:space="preserve"> XE "tableColumn (Table Column)" </w:instrText>
      </w:r>
      <w:r>
        <w:fldChar w:fldCharType="end"/>
      </w:r>
    </w:p>
    <w:p w:rsidR="000A156F" w:rsidRDefault="00A9721F">
      <w:pPr>
        <w:pStyle w:val="Definition-Field"/>
      </w:pPr>
      <w:r>
        <w:t xml:space="preserve">a.   </w:t>
      </w:r>
      <w:r>
        <w:rPr>
          <w:i/>
        </w:rPr>
        <w:t>The standard says the maximum string length of the name attribute is unlimited.</w:t>
      </w:r>
    </w:p>
    <w:p w:rsidR="000A156F" w:rsidRDefault="00A9721F">
      <w:pPr>
        <w:pStyle w:val="Definition-Field2"/>
      </w:pPr>
      <w:r>
        <w:t>In Office, the name attribute string length</w:t>
      </w:r>
      <w:r>
        <w:t xml:space="preserve"> must be less than or equal to 255 characters.</w:t>
      </w:r>
    </w:p>
    <w:p w:rsidR="000A156F" w:rsidRDefault="00A9721F">
      <w:pPr>
        <w:pStyle w:val="Definition-Field"/>
      </w:pPr>
      <w:r>
        <w:lastRenderedPageBreak/>
        <w:t xml:space="preserve">b.   </w:t>
      </w:r>
      <w:r>
        <w:rPr>
          <w:i/>
        </w:rPr>
        <w:t>The standard says the maximum string length of the uniqueName attribute is unlimited.</w:t>
      </w:r>
    </w:p>
    <w:p w:rsidR="000A156F" w:rsidRDefault="00A9721F">
      <w:pPr>
        <w:pStyle w:val="Definition-Field2"/>
      </w:pPr>
      <w:r>
        <w:t>In Excel, the string length of the uniqueName attribute must be less than or equal to 255.</w:t>
      </w:r>
    </w:p>
    <w:p w:rsidR="000A156F" w:rsidRDefault="00A9721F">
      <w:pPr>
        <w:pStyle w:val="Definition-Field"/>
      </w:pPr>
      <w:r>
        <w:t xml:space="preserve">c.   </w:t>
      </w:r>
      <w:r>
        <w:rPr>
          <w:i/>
        </w:rPr>
        <w:t>The standard specifies</w:t>
      </w:r>
      <w:r>
        <w:rPr>
          <w:i/>
        </w:rPr>
        <w:t xml:space="preserve"> that the totalsRowLabel attribute shall be ignored unless totalRowFunction is none.</w:t>
      </w:r>
    </w:p>
    <w:p w:rsidR="000A156F" w:rsidRDefault="00A9721F">
      <w:pPr>
        <w:pStyle w:val="Definition-Field2"/>
      </w:pPr>
      <w:r>
        <w:t>In Office, the totalsRowLabel attribute shall be absent if totalsRowFunction has the value custom.</w:t>
      </w:r>
    </w:p>
    <w:p w:rsidR="000A156F" w:rsidRDefault="00A9721F">
      <w:pPr>
        <w:pStyle w:val="Definition-Field"/>
      </w:pPr>
      <w:r>
        <w:t xml:space="preserve">d.   </w:t>
      </w:r>
      <w:r>
        <w:rPr>
          <w:i/>
        </w:rPr>
        <w:t xml:space="preserve">The standard says the @headerRowCellStyle maximum string length is </w:t>
      </w:r>
      <w:r>
        <w:rPr>
          <w:i/>
        </w:rPr>
        <w:t>unlimited.</w:t>
      </w:r>
    </w:p>
    <w:p w:rsidR="000A156F" w:rsidRDefault="00A9721F">
      <w:pPr>
        <w:pStyle w:val="Definition-Field2"/>
      </w:pPr>
      <w:r>
        <w:t>In Office, the headerRowCellStyle length must be between 1 and 255 characters inclusive.</w:t>
      </w:r>
    </w:p>
    <w:p w:rsidR="000A156F" w:rsidRDefault="00A9721F">
      <w:pPr>
        <w:pStyle w:val="Definition-Field"/>
      </w:pPr>
      <w:r>
        <w:t xml:space="preserve">e.   </w:t>
      </w:r>
      <w:r>
        <w:rPr>
          <w:i/>
        </w:rPr>
        <w:t>The standard says the @totalsRowCellStyle maximum string length is unlimited.</w:t>
      </w:r>
    </w:p>
    <w:p w:rsidR="000A156F" w:rsidRDefault="00A9721F">
      <w:pPr>
        <w:pStyle w:val="Definition-Field2"/>
      </w:pPr>
      <w:r>
        <w:t>In Office the length of @totalsRowCellStyle shall be between 1 and 255 in</w:t>
      </w:r>
      <w:r>
        <w:t>clusive.</w:t>
      </w:r>
    </w:p>
    <w:p w:rsidR="000A156F" w:rsidRDefault="00A9721F">
      <w:pPr>
        <w:pStyle w:val="Definition-Field"/>
      </w:pPr>
      <w:r>
        <w:t xml:space="preserve">f.   </w:t>
      </w:r>
      <w:r>
        <w:rPr>
          <w:i/>
        </w:rPr>
        <w:t>The standard does not have requirements about the presence of the headerRowCellStyle attribute.</w:t>
      </w:r>
    </w:p>
    <w:p w:rsidR="000A156F" w:rsidRDefault="00A9721F">
      <w:pPr>
        <w:pStyle w:val="Definition-Field2"/>
      </w:pPr>
      <w:r>
        <w:t>In Office, headerRowCellStyle attribute shall be absent if the enclosing table element's headerRow attribute value is greater than or equal to 1.</w:t>
      </w:r>
    </w:p>
    <w:p w:rsidR="000A156F" w:rsidRDefault="00A9721F">
      <w:pPr>
        <w:pStyle w:val="Definition-Field"/>
      </w:pPr>
      <w:r>
        <w:t xml:space="preserve">g.   </w:t>
      </w:r>
      <w:r>
        <w:rPr>
          <w:i/>
        </w:rPr>
        <w:t>The standard specifies the queryTableFieldId attribute as an unsignedInt datatype.</w:t>
      </w:r>
    </w:p>
    <w:p w:rsidR="000A156F" w:rsidRDefault="00A9721F">
      <w:pPr>
        <w:pStyle w:val="Definition-Field2"/>
      </w:pPr>
      <w:r>
        <w:t>In Office, the queryTableFieldId attribute must be greater than zero.</w:t>
      </w:r>
    </w:p>
    <w:p w:rsidR="000A156F" w:rsidRDefault="00A9721F">
      <w:pPr>
        <w:pStyle w:val="Definition-Field"/>
      </w:pPr>
      <w:r>
        <w:t xml:space="preserve">h.   </w:t>
      </w:r>
      <w:r>
        <w:rPr>
          <w:i/>
        </w:rPr>
        <w:t>The standard says the @id value range is defined as unsigned integer.</w:t>
      </w:r>
    </w:p>
    <w:p w:rsidR="000A156F" w:rsidRDefault="00A9721F">
      <w:pPr>
        <w:pStyle w:val="Definition-Field2"/>
      </w:pPr>
      <w:r>
        <w:t xml:space="preserve">In Office the value of </w:t>
      </w:r>
      <w:r>
        <w:t>@id must be greater than zero.</w:t>
      </w:r>
    </w:p>
    <w:p w:rsidR="000A156F" w:rsidRDefault="00A9721F">
      <w:pPr>
        <w:pStyle w:val="Definition-Field"/>
      </w:pPr>
      <w:r>
        <w:t xml:space="preserve">i.   </w:t>
      </w:r>
      <w:r>
        <w:rPr>
          <w:i/>
        </w:rPr>
        <w:t>The standard does not specify any relationship between the value of the name attribute and cell contents.</w:t>
      </w:r>
    </w:p>
    <w:p w:rsidR="000A156F" w:rsidRDefault="00A9721F">
      <w:pPr>
        <w:pStyle w:val="Definition-Field2"/>
      </w:pPr>
      <w:r>
        <w:t xml:space="preserve">In Office, if the enclosing table element's headerRowCount attribute has a value greater than or equal to 1, then </w:t>
      </w:r>
      <w:r>
        <w:t>this attribute must have the same value as the cell it occupies.</w:t>
      </w:r>
    </w:p>
    <w:p w:rsidR="000A156F" w:rsidRDefault="00A9721F">
      <w:pPr>
        <w:pStyle w:val="Definition-Field"/>
      </w:pPr>
      <w:r>
        <w:t xml:space="preserve">j.   </w:t>
      </w:r>
      <w:r>
        <w:rPr>
          <w:i/>
        </w:rPr>
        <w:t>The standard says the maximum string length of the totalsRowLabel attribute is unlimited.</w:t>
      </w:r>
    </w:p>
    <w:p w:rsidR="000A156F" w:rsidRDefault="00A9721F">
      <w:pPr>
        <w:pStyle w:val="Definition-Field2"/>
      </w:pPr>
      <w:r>
        <w:t xml:space="preserve">In Office, the maximum string length of the totalsRowLabel attribute must be less than or equal </w:t>
      </w:r>
      <w:r>
        <w:t>to 32767.</w:t>
      </w:r>
    </w:p>
    <w:p w:rsidR="000A156F" w:rsidRDefault="00A9721F">
      <w:pPr>
        <w:pStyle w:val="Definition-Field"/>
      </w:pPr>
      <w:r>
        <w:t xml:space="preserve">k.   </w:t>
      </w:r>
      <w:r>
        <w:rPr>
          <w:i/>
        </w:rPr>
        <w:t>The standard does not specify when the headerRowDxfId attribute shall be absent.</w:t>
      </w:r>
    </w:p>
    <w:p w:rsidR="000A156F" w:rsidRDefault="00A9721F">
      <w:pPr>
        <w:pStyle w:val="Definition-Field2"/>
      </w:pPr>
      <w:r>
        <w:t>In Office, the headerRowDxfId attribute shall be absent if the enclosing table element's headerRow attribute value is greater than or equal to 1.</w:t>
      </w:r>
    </w:p>
    <w:p w:rsidR="000A156F" w:rsidRDefault="00A9721F">
      <w:pPr>
        <w:pStyle w:val="Definition-Field"/>
      </w:pPr>
      <w:r>
        <w:t xml:space="preserve">l.   </w:t>
      </w:r>
      <w:r>
        <w:rPr>
          <w:i/>
        </w:rPr>
        <w:t>The stand</w:t>
      </w:r>
      <w:r>
        <w:rPr>
          <w:i/>
        </w:rPr>
        <w:t>ard says the @dataCellStyle maximum string length is unlimited.</w:t>
      </w:r>
    </w:p>
    <w:p w:rsidR="000A156F" w:rsidRDefault="00A9721F">
      <w:pPr>
        <w:pStyle w:val="Definition-Field2"/>
      </w:pPr>
      <w:r>
        <w:t>In Office, the @dataCellStyle length must be between 1 and 255 characters inclusive.</w:t>
      </w:r>
    </w:p>
    <w:p w:rsidR="000A156F" w:rsidRDefault="00A9721F">
      <w:pPr>
        <w:pStyle w:val="Definition-Field"/>
      </w:pPr>
      <w:r>
        <w:t xml:space="preserve">m.   </w:t>
      </w:r>
      <w:r>
        <w:rPr>
          <w:i/>
        </w:rPr>
        <w:t>The standard does not specify a relationship between the queryTableFieldId attribute and @tableType.</w:t>
      </w:r>
    </w:p>
    <w:p w:rsidR="000A156F" w:rsidRDefault="00A9721F">
      <w:pPr>
        <w:pStyle w:val="Definition-Field2"/>
      </w:pPr>
      <w:r>
        <w:t>I</w:t>
      </w:r>
      <w:r>
        <w:t>n Office, the queryTableFieldId attribute shall be absent when the enclosing table element's tableType attribute equals queryTable.</w:t>
      </w:r>
    </w:p>
    <w:p w:rsidR="000A156F" w:rsidRDefault="00A9721F">
      <w:pPr>
        <w:pStyle w:val="Definition-Field"/>
      </w:pPr>
      <w:r>
        <w:t xml:space="preserve">n.   </w:t>
      </w:r>
      <w:r>
        <w:rPr>
          <w:i/>
        </w:rPr>
        <w:t>The standard does not specify the totalsRowFunction attribute relationships.</w:t>
      </w:r>
    </w:p>
    <w:p w:rsidR="000A156F" w:rsidRDefault="00A9721F">
      <w:r>
        <w:t xml:space="preserve">In Office, if the table element attribute </w:t>
      </w:r>
      <w:r>
        <w:t>totalsRowCount is not 0, the totalsRowFunction attribute shall match the formula of the occupied cell and be of the form SUBTOTAL(&lt;function number&gt;,&lt;ref&gt;), unless the value is none or custom.  A value of none implies no formula.</w:t>
      </w:r>
    </w:p>
    <w:p w:rsidR="000A156F" w:rsidRDefault="00A9721F">
      <w:pPr>
        <w:pStyle w:val="Heading3"/>
      </w:pPr>
      <w:bookmarkStart w:id="1384" w:name="section_2390d9fdc06a4a93b5e4b8ccbe237708"/>
      <w:bookmarkStart w:id="1385" w:name="_Toc181683718"/>
      <w:r>
        <w:lastRenderedPageBreak/>
        <w:t>Part 1 Section 18.5.1.5, ta</w:t>
      </w:r>
      <w:r>
        <w:t>bleStyleInfo (Table Style)</w:t>
      </w:r>
      <w:bookmarkEnd w:id="1384"/>
      <w:bookmarkEnd w:id="1385"/>
      <w:r>
        <w:fldChar w:fldCharType="begin"/>
      </w:r>
      <w:r>
        <w:instrText xml:space="preserve"> XE "tableStyleInfo (Table Style)" </w:instrText>
      </w:r>
      <w:r>
        <w:fldChar w:fldCharType="end"/>
      </w:r>
    </w:p>
    <w:p w:rsidR="000A156F" w:rsidRDefault="00A9721F">
      <w:pPr>
        <w:pStyle w:val="Definition-Field"/>
      </w:pPr>
      <w:r>
        <w:t xml:space="preserve">a.   </w:t>
      </w:r>
      <w:r>
        <w:rPr>
          <w:i/>
        </w:rPr>
        <w:t>The standard does not limit the length of the value of the name attribute.</w:t>
      </w:r>
    </w:p>
    <w:p w:rsidR="000A156F" w:rsidRDefault="00A9721F">
      <w:pPr>
        <w:pStyle w:val="Definition-Field2"/>
      </w:pPr>
      <w:r>
        <w:t>Excel restricts the value of this attribute to be at least 1 and at most 255 characters.</w:t>
      </w:r>
    </w:p>
    <w:p w:rsidR="000A156F" w:rsidRDefault="00A9721F">
      <w:pPr>
        <w:pStyle w:val="Definition-Field"/>
      </w:pPr>
      <w:r>
        <w:t xml:space="preserve">b.   </w:t>
      </w:r>
      <w:r>
        <w:rPr>
          <w:i/>
        </w:rPr>
        <w:t xml:space="preserve">The standard does </w:t>
      </w:r>
      <w:r>
        <w:rPr>
          <w:i/>
        </w:rPr>
        <w:t>not specify a default value for the showColumnStripes attribute.</w:t>
      </w:r>
    </w:p>
    <w:p w:rsidR="000A156F" w:rsidRDefault="00A9721F">
      <w:pPr>
        <w:pStyle w:val="Definition-Field2"/>
      </w:pPr>
      <w:r>
        <w:t>Excel uses a default value of false for this attribute.</w:t>
      </w:r>
    </w:p>
    <w:p w:rsidR="000A156F" w:rsidRDefault="00A9721F">
      <w:pPr>
        <w:pStyle w:val="Definition-Field"/>
      </w:pPr>
      <w:r>
        <w:t xml:space="preserve">c.   </w:t>
      </w:r>
      <w:r>
        <w:rPr>
          <w:i/>
        </w:rPr>
        <w:t>The standard does not specify a default value for the showFirstColumn attribute.</w:t>
      </w:r>
    </w:p>
    <w:p w:rsidR="000A156F" w:rsidRDefault="00A9721F">
      <w:pPr>
        <w:pStyle w:val="Definition-Field2"/>
      </w:pPr>
      <w:r>
        <w:t>Excel uses a default value of false for this attr</w:t>
      </w:r>
      <w:r>
        <w:t>ibute.</w:t>
      </w:r>
    </w:p>
    <w:p w:rsidR="000A156F" w:rsidRDefault="00A9721F">
      <w:pPr>
        <w:pStyle w:val="Definition-Field"/>
      </w:pPr>
      <w:r>
        <w:t xml:space="preserve">d.   </w:t>
      </w:r>
      <w:r>
        <w:rPr>
          <w:i/>
        </w:rPr>
        <w:t>The standard does not specify a default value for the showLastColumn attribute.</w:t>
      </w:r>
    </w:p>
    <w:p w:rsidR="000A156F" w:rsidRDefault="00A9721F">
      <w:pPr>
        <w:pStyle w:val="Definition-Field2"/>
      </w:pPr>
      <w:r>
        <w:t>Excel uses a default value of false for this attribute.</w:t>
      </w:r>
    </w:p>
    <w:p w:rsidR="000A156F" w:rsidRDefault="00A9721F">
      <w:pPr>
        <w:pStyle w:val="Definition-Field"/>
      </w:pPr>
      <w:r>
        <w:t xml:space="preserve">e.   </w:t>
      </w:r>
      <w:r>
        <w:rPr>
          <w:i/>
        </w:rPr>
        <w:t>The standard does not specify a default value for the showRowStripes attribute.</w:t>
      </w:r>
    </w:p>
    <w:p w:rsidR="000A156F" w:rsidRDefault="00A9721F">
      <w:pPr>
        <w:pStyle w:val="Definition-Field2"/>
      </w:pPr>
      <w:r>
        <w:t>Excel uses a default va</w:t>
      </w:r>
      <w:r>
        <w:t>lue of false for this attribute.</w:t>
      </w:r>
    </w:p>
    <w:p w:rsidR="000A156F" w:rsidRDefault="00A9721F">
      <w:pPr>
        <w:pStyle w:val="Heading3"/>
      </w:pPr>
      <w:bookmarkStart w:id="1386" w:name="section_0d3053ab7a8b4e3a9e5a59caf6f223c9"/>
      <w:bookmarkStart w:id="1387" w:name="_Toc181683719"/>
      <w:r>
        <w:t>Part 1 Section 18.5.1.6, totalsRowFormula (Totals Row Formula)</w:t>
      </w:r>
      <w:bookmarkEnd w:id="1386"/>
      <w:bookmarkEnd w:id="1387"/>
      <w:r>
        <w:fldChar w:fldCharType="begin"/>
      </w:r>
      <w:r>
        <w:instrText xml:space="preserve"> XE "totalsRowFormula (Totals Row Formula)"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28d23b57cee4fdf9d4f94103e1bc48f">
        <w:r>
          <w:rPr>
            <w:rStyle w:val="Hyperlink"/>
          </w:rPr>
          <w:t>calculatedColumnFormula, §18.5.1.1(a)</w:t>
        </w:r>
      </w:hyperlink>
      <w:r>
        <w:rPr>
          <w:i/>
        </w:rPr>
        <w:t>.</w:t>
      </w:r>
    </w:p>
    <w:p w:rsidR="000A156F" w:rsidRDefault="00A9721F">
      <w:pPr>
        <w:pStyle w:val="Heading3"/>
      </w:pPr>
      <w:bookmarkStart w:id="1388" w:name="section_23b8caabf8874d62a52cd0f1cb904aab"/>
      <w:bookmarkStart w:id="1389" w:name="_Toc181683720"/>
      <w:r>
        <w:t>Part 1 Section 18.5.1.7, xmlColumnPr (XML Column Properties)</w:t>
      </w:r>
      <w:bookmarkEnd w:id="1388"/>
      <w:bookmarkEnd w:id="1389"/>
      <w:r>
        <w:fldChar w:fldCharType="begin"/>
      </w:r>
      <w:r>
        <w:instrText xml:space="preserve"> XE "xmlColumnPr (XML Column Properties)" </w:instrText>
      </w:r>
      <w:r>
        <w:fldChar w:fldCharType="end"/>
      </w:r>
    </w:p>
    <w:p w:rsidR="000A156F" w:rsidRDefault="00A9721F">
      <w:pPr>
        <w:pStyle w:val="Definition-Field"/>
      </w:pPr>
      <w:r>
        <w:t xml:space="preserve">a.   </w:t>
      </w:r>
      <w:r>
        <w:rPr>
          <w:i/>
        </w:rPr>
        <w:t>The standard does not specify a maximum length for @xpath.</w:t>
      </w:r>
    </w:p>
    <w:p w:rsidR="000A156F" w:rsidRDefault="00A9721F">
      <w:pPr>
        <w:pStyle w:val="Definition-Field2"/>
      </w:pPr>
      <w:r>
        <w:t xml:space="preserve">Office </w:t>
      </w:r>
      <w:r>
        <w:t>requires the decoded string length of @xpath to be less than 32000.</w:t>
      </w:r>
    </w:p>
    <w:p w:rsidR="000A156F" w:rsidRDefault="00A9721F">
      <w:pPr>
        <w:pStyle w:val="Definition-Field"/>
      </w:pPr>
      <w:r>
        <w:t xml:space="preserve">b.   </w:t>
      </w:r>
      <w:r>
        <w:rPr>
          <w:i/>
        </w:rPr>
        <w:t>The standard specifies that the mapId attribute has the value range of an xs:unsignedInt datatype.</w:t>
      </w:r>
    </w:p>
    <w:p w:rsidR="000A156F" w:rsidRDefault="00A9721F">
      <w:pPr>
        <w:pStyle w:val="Definition-Field2"/>
      </w:pPr>
      <w:r>
        <w:t>In Excel, the mapId attribute must be greater than 0 and less than 2147483647.</w:t>
      </w:r>
    </w:p>
    <w:p w:rsidR="000A156F" w:rsidRDefault="00A9721F">
      <w:pPr>
        <w:pStyle w:val="Definition-Field"/>
      </w:pPr>
      <w:r>
        <w:t xml:space="preserve">c.   </w:t>
      </w:r>
      <w:r>
        <w:rPr>
          <w:i/>
        </w:rPr>
        <w:t>The standard states that the denormalized attribute is true if it has been filled down (denormalized) and false otherwise.</w:t>
      </w:r>
    </w:p>
    <w:p w:rsidR="000A156F" w:rsidRDefault="00A9721F">
      <w:pPr>
        <w:pStyle w:val="Definition-Field2"/>
      </w:pPr>
      <w:r>
        <w:t>The denormalized attribute does not have any effect on the way Office behaves. Excel always denormalizes non-repeating nodes when map</w:t>
      </w:r>
      <w:r>
        <w:t>ped to a Table's column.</w:t>
      </w:r>
    </w:p>
    <w:p w:rsidR="000A156F" w:rsidRDefault="00A9721F">
      <w:pPr>
        <w:pStyle w:val="Heading3"/>
      </w:pPr>
      <w:bookmarkStart w:id="1390" w:name="section_5da2bd53cc8540b2821cdcb841fe740e"/>
      <w:bookmarkStart w:id="1391" w:name="_Toc181683721"/>
      <w:r>
        <w:t>Part 1 Section 18.5.2.1, singleXmlCell (Table Properties)</w:t>
      </w:r>
      <w:bookmarkEnd w:id="1390"/>
      <w:bookmarkEnd w:id="1391"/>
      <w:r>
        <w:fldChar w:fldCharType="begin"/>
      </w:r>
      <w:r>
        <w:instrText xml:space="preserve"> XE "singleXmlCell (Table Properties)" </w:instrText>
      </w:r>
      <w:r>
        <w:fldChar w:fldCharType="end"/>
      </w:r>
    </w:p>
    <w:p w:rsidR="000A156F" w:rsidRDefault="00A9721F">
      <w:pPr>
        <w:pStyle w:val="Definition-Field"/>
      </w:pPr>
      <w:r>
        <w:t xml:space="preserve">a.   </w:t>
      </w:r>
      <w:r>
        <w:rPr>
          <w:i/>
        </w:rPr>
        <w:t>The standard specifies the value range for attribute id to be xsd:unsignedInt.</w:t>
      </w:r>
    </w:p>
    <w:p w:rsidR="000A156F" w:rsidRDefault="00A9721F">
      <w:pPr>
        <w:pStyle w:val="Definition-Field2"/>
      </w:pPr>
      <w:r>
        <w:t xml:space="preserve">In Office, id shall be between 1 and 4294967294 </w:t>
      </w:r>
      <w:r>
        <w:t>inclusive.</w:t>
      </w:r>
    </w:p>
    <w:p w:rsidR="000A156F" w:rsidRDefault="00A9721F">
      <w:pPr>
        <w:pStyle w:val="Definition-Field"/>
      </w:pPr>
      <w:r>
        <w:t xml:space="preserve">b.   </w:t>
      </w:r>
      <w:r>
        <w:rPr>
          <w:i/>
        </w:rPr>
        <w:t>The standard specifies the value range of attribute connectionId to be xsd:unsignedInt.</w:t>
      </w:r>
    </w:p>
    <w:p w:rsidR="000A156F" w:rsidRDefault="00A9721F">
      <w:pPr>
        <w:pStyle w:val="Definition-Field2"/>
      </w:pPr>
      <w:r>
        <w:t>In Office, attribute connectionId shall be less than or equal to 2147483647.</w:t>
      </w:r>
    </w:p>
    <w:p w:rsidR="000A156F" w:rsidRDefault="00A9721F">
      <w:pPr>
        <w:pStyle w:val="Heading3"/>
      </w:pPr>
      <w:bookmarkStart w:id="1392" w:name="section_c4068cc3c49f4d34bbfc4fe10a1a689d"/>
      <w:bookmarkStart w:id="1393" w:name="_Toc181683722"/>
      <w:r>
        <w:t>Part 1 Section 18.5.2.3, xmlCellPr (Cell Properties)</w:t>
      </w:r>
      <w:bookmarkEnd w:id="1392"/>
      <w:bookmarkEnd w:id="1393"/>
      <w:r>
        <w:fldChar w:fldCharType="begin"/>
      </w:r>
      <w:r>
        <w:instrText xml:space="preserve"> XE "xmlCellPr (Cell Pr</w:instrText>
      </w:r>
      <w:r>
        <w:instrText xml:space="preserve">operties)" </w:instrText>
      </w:r>
      <w:r>
        <w:fldChar w:fldCharType="end"/>
      </w:r>
    </w:p>
    <w:p w:rsidR="000A156F" w:rsidRDefault="00A9721F">
      <w:pPr>
        <w:pStyle w:val="Definition-Field"/>
      </w:pPr>
      <w:r>
        <w:t xml:space="preserve">a.   </w:t>
      </w:r>
      <w:r>
        <w:rPr>
          <w:i/>
        </w:rPr>
        <w:t>The standard does not limit the length of the value of the uniqueName attribute.</w:t>
      </w:r>
    </w:p>
    <w:p w:rsidR="000A156F" w:rsidRDefault="00A9721F">
      <w:pPr>
        <w:pStyle w:val="Definition-Field2"/>
      </w:pPr>
      <w:r>
        <w:t>Excel restricts the value of this attribute to be at least 1 and at most 255 characters.</w:t>
      </w:r>
    </w:p>
    <w:p w:rsidR="000A156F" w:rsidRDefault="00A9721F">
      <w:pPr>
        <w:pStyle w:val="Definition-Field"/>
      </w:pPr>
      <w:r>
        <w:lastRenderedPageBreak/>
        <w:t xml:space="preserve">b.   </w:t>
      </w:r>
      <w:r>
        <w:rPr>
          <w:i/>
        </w:rPr>
        <w:t>The standard states that the uniqueName attribute is optional.</w:t>
      </w:r>
    </w:p>
    <w:p w:rsidR="000A156F" w:rsidRDefault="00A9721F">
      <w:pPr>
        <w:pStyle w:val="Definition-Field2"/>
      </w:pPr>
      <w:r>
        <w:t>Excel requires this attribute.</w:t>
      </w:r>
    </w:p>
    <w:p w:rsidR="000A156F" w:rsidRDefault="00A9721F">
      <w:pPr>
        <w:pStyle w:val="Heading3"/>
      </w:pPr>
      <w:bookmarkStart w:id="1394" w:name="section_cbb4061e04964dd294f5cacadf834a0a"/>
      <w:bookmarkStart w:id="1395" w:name="_Toc181683723"/>
      <w:r>
        <w:t>Part 1 Section 18.5.2.4, xmlPr (Column XML Properties)</w:t>
      </w:r>
      <w:bookmarkEnd w:id="1394"/>
      <w:bookmarkEnd w:id="1395"/>
      <w:r>
        <w:fldChar w:fldCharType="begin"/>
      </w:r>
      <w:r>
        <w:instrText xml:space="preserve"> XE "xmlPr (Column XML Properties)" </w:instrText>
      </w:r>
      <w:r>
        <w:fldChar w:fldCharType="end"/>
      </w:r>
    </w:p>
    <w:p w:rsidR="000A156F" w:rsidRDefault="00A9721F">
      <w:pPr>
        <w:pStyle w:val="Definition-Field"/>
      </w:pPr>
      <w:r>
        <w:t xml:space="preserve">a.   </w:t>
      </w:r>
      <w:r>
        <w:rPr>
          <w:i/>
        </w:rPr>
        <w:t>The standard specifies the value range for @xpath to be ST_Xstring.</w:t>
      </w:r>
    </w:p>
    <w:p w:rsidR="000A156F" w:rsidRDefault="00A9721F">
      <w:pPr>
        <w:pStyle w:val="Definition-Field2"/>
      </w:pPr>
      <w:r>
        <w:t xml:space="preserve">Office requires that the value of attribute xpath be </w:t>
      </w:r>
      <w:r>
        <w:t>greater than 0 and less than 32000 characters.</w:t>
      </w:r>
    </w:p>
    <w:p w:rsidR="000A156F" w:rsidRDefault="00A9721F">
      <w:pPr>
        <w:pStyle w:val="Definition-Field"/>
      </w:pPr>
      <w:r>
        <w:t xml:space="preserve">b.   </w:t>
      </w:r>
      <w:r>
        <w:rPr>
          <w:i/>
        </w:rPr>
        <w:t>The standard specifies that attribute mapId has the value range of xs:unsignedInt.</w:t>
      </w:r>
    </w:p>
    <w:p w:rsidR="000A156F" w:rsidRDefault="00A9721F">
      <w:pPr>
        <w:pStyle w:val="Definition-Field2"/>
      </w:pPr>
      <w:r>
        <w:t>Office requires that the value of attribute mapId be greater than or equal to 1 and less than or equal to 2147483647.</w:t>
      </w:r>
    </w:p>
    <w:p w:rsidR="000A156F" w:rsidRDefault="00A9721F">
      <w:pPr>
        <w:pStyle w:val="Heading3"/>
      </w:pPr>
      <w:bookmarkStart w:id="1396" w:name="section_67a432a81f584198aec477849c1684fd"/>
      <w:bookmarkStart w:id="1397" w:name="_Toc181683724"/>
      <w:r>
        <w:t>Par</w:t>
      </w:r>
      <w:r>
        <w:t>t 1 Section 18.6.1, c (Cell)</w:t>
      </w:r>
      <w:bookmarkEnd w:id="1396"/>
      <w:bookmarkEnd w:id="1397"/>
      <w:r>
        <w:fldChar w:fldCharType="begin"/>
      </w:r>
      <w:r>
        <w:instrText xml:space="preserve"> XE "c (Cell)" </w:instrText>
      </w:r>
      <w:r>
        <w:fldChar w:fldCharType="end"/>
      </w:r>
    </w:p>
    <w:p w:rsidR="000A156F" w:rsidRDefault="00A9721F">
      <w:pPr>
        <w:pStyle w:val="Definition-Field"/>
      </w:pPr>
      <w:r>
        <w:t xml:space="preserve">a.   </w:t>
      </w:r>
      <w:r>
        <w:rPr>
          <w:i/>
        </w:rPr>
        <w:t>The standard refers to "c attribute" and "cell's" .</w:t>
      </w:r>
    </w:p>
    <w:p w:rsidR="000A156F" w:rsidRDefault="00A9721F">
      <w:pPr>
        <w:pStyle w:val="Definition-Field2"/>
      </w:pPr>
      <w:r>
        <w:t>Office interprets these to refer to "c element" and "cells".</w:t>
      </w:r>
    </w:p>
    <w:p w:rsidR="000A156F" w:rsidRDefault="00A9721F">
      <w:pPr>
        <w:pStyle w:val="Definition-Field"/>
      </w:pPr>
      <w:r>
        <w:t xml:space="preserve">b.   </w:t>
      </w:r>
      <w:r>
        <w:rPr>
          <w:i/>
        </w:rPr>
        <w:t>The standard does not specify the context of cell for the i attribute.</w:t>
      </w:r>
    </w:p>
    <w:p w:rsidR="000A156F" w:rsidRDefault="00A9721F">
      <w:pPr>
        <w:pStyle w:val="Definition-Field2"/>
      </w:pPr>
      <w:r>
        <w:t xml:space="preserve">Office uses the </w:t>
      </w:r>
      <w:r>
        <w:t>previous cell in the calcChain collection.</w:t>
      </w:r>
    </w:p>
    <w:p w:rsidR="000A156F" w:rsidRDefault="00A9721F">
      <w:pPr>
        <w:pStyle w:val="Definition-Field"/>
      </w:pPr>
      <w:r>
        <w:t xml:space="preserve">c.   </w:t>
      </w:r>
      <w:r>
        <w:rPr>
          <w:i/>
        </w:rPr>
        <w:t>The standard does not place restrictions between the use of the l attribute and the s attribute.</w:t>
      </w:r>
    </w:p>
    <w:p w:rsidR="000A156F" w:rsidRDefault="00A9721F">
      <w:pPr>
        <w:pStyle w:val="Definition-Field2"/>
      </w:pPr>
      <w:r>
        <w:t>Office requires that the l and s attributes be mutually exclusive.</w:t>
      </w:r>
    </w:p>
    <w:p w:rsidR="000A156F" w:rsidRDefault="00A9721F">
      <w:pPr>
        <w:pStyle w:val="Definition-Field"/>
      </w:pPr>
      <w:r>
        <w:t xml:space="preserve">d.   </w:t>
      </w:r>
      <w:r>
        <w:rPr>
          <w:i/>
        </w:rPr>
        <w:t>The standard does not adequately descri</w:t>
      </w:r>
      <w:r>
        <w:rPr>
          <w:i/>
        </w:rPr>
        <w:t>be dependency levels for the l attribute.</w:t>
      </w:r>
    </w:p>
    <w:p w:rsidR="000A156F" w:rsidRDefault="00A9721F">
      <w:r>
        <w:t xml:space="preserve">A dependency level is the set of formulas that may depend on formulas on the preceding dependency levels. A parent formula, as defined by </w:t>
      </w:r>
      <w:r>
        <w:rPr>
          <w:b/>
        </w:rPr>
        <w:t xml:space="preserve">s </w:t>
      </w:r>
      <w:r>
        <w:t>attribute, shall not depend on other formulas on the same dependency level</w:t>
      </w:r>
      <w:r>
        <w:t xml:space="preserve">. A child formula, as defined by </w:t>
      </w:r>
      <w:r>
        <w:rPr>
          <w:b/>
        </w:rPr>
        <w:t xml:space="preserve">s </w:t>
      </w:r>
      <w:r>
        <w:t>attribute, shall only depend on other formulas on the same dependency level that precede it on the same child chain.</w:t>
      </w:r>
    </w:p>
    <w:p w:rsidR="000A156F" w:rsidRDefault="00A9721F">
      <w:pPr>
        <w:pStyle w:val="Definition-Field"/>
      </w:pPr>
      <w:r>
        <w:t xml:space="preserve">e.   </w:t>
      </w:r>
      <w:r>
        <w:rPr>
          <w:i/>
        </w:rPr>
        <w:t>The standard does not adequately describe child chains for the s attribute.</w:t>
      </w:r>
    </w:p>
    <w:p w:rsidR="000A156F" w:rsidRDefault="00A9721F">
      <w:r>
        <w:t>A child chain is a sequ</w:t>
      </w:r>
      <w:r>
        <w:t xml:space="preserve">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immediately precedes the child chain. The child chain’s formul</w:t>
      </w:r>
      <w:r>
        <w:t>as, within the same dependency level, depend only on the preceding child formulas and on the parent formula.</w:t>
      </w:r>
    </w:p>
    <w:p w:rsidR="000A156F" w:rsidRDefault="00A9721F">
      <w:pPr>
        <w:pStyle w:val="Definition-Field"/>
      </w:pPr>
      <w:r>
        <w:t xml:space="preserve">f.   </w:t>
      </w:r>
      <w:r>
        <w:rPr>
          <w:i/>
        </w:rPr>
        <w:t>The standard states that when the s attribute is omitted its value is inherited from the previous c element.</w:t>
      </w:r>
    </w:p>
    <w:p w:rsidR="000A156F" w:rsidRDefault="00A9721F">
      <w:pPr>
        <w:pStyle w:val="Definition-Field2"/>
      </w:pPr>
      <w:r>
        <w:t>Office defaults to false when the</w:t>
      </w:r>
      <w:r>
        <w:t xml:space="preserve"> s attribute is omitted, indicating that the formula is a parent formula.</w:t>
      </w:r>
    </w:p>
    <w:p w:rsidR="000A156F" w:rsidRDefault="00A9721F">
      <w:pPr>
        <w:pStyle w:val="Definition-Field"/>
      </w:pPr>
      <w:r>
        <w:t xml:space="preserve">g.   </w:t>
      </w:r>
      <w:r>
        <w:rPr>
          <w:i/>
        </w:rPr>
        <w:t>The standard specifies @t starts a new thread.</w:t>
      </w:r>
    </w:p>
    <w:p w:rsidR="000A156F" w:rsidRDefault="00A9721F">
      <w:pPr>
        <w:pStyle w:val="Definition-Field2"/>
      </w:pPr>
      <w:r>
        <w:t>Office treats the attribute as deprecated and is ignored.</w:t>
      </w:r>
    </w:p>
    <w:p w:rsidR="000A156F" w:rsidRDefault="00A9721F">
      <w:pPr>
        <w:pStyle w:val="Definition-Field"/>
      </w:pPr>
      <w:r>
        <w:t xml:space="preserve">h.   </w:t>
      </w:r>
      <w:r>
        <w:rPr>
          <w:i/>
        </w:rPr>
        <w:t xml:space="preserve">The standard states that the values of the i attribute are defined </w:t>
      </w:r>
      <w:r>
        <w:rPr>
          <w:i/>
        </w:rPr>
        <w:t>by the XML int datatype.</w:t>
      </w:r>
    </w:p>
    <w:p w:rsidR="000A156F" w:rsidRDefault="00A9721F">
      <w:pPr>
        <w:pStyle w:val="Definition-Field2"/>
      </w:pPr>
      <w:r>
        <w:t>Excel restricts the value of this attribute to be at least 1 and at most 65534.</w:t>
      </w:r>
    </w:p>
    <w:p w:rsidR="000A156F" w:rsidRDefault="00A9721F">
      <w:pPr>
        <w:pStyle w:val="Definition-Field"/>
      </w:pPr>
      <w:r>
        <w:t xml:space="preserve">i.   </w:t>
      </w:r>
      <w:r>
        <w:rPr>
          <w:i/>
        </w:rPr>
        <w:t>The standard states that the default value of the i attribute is 0.</w:t>
      </w:r>
    </w:p>
    <w:p w:rsidR="000A156F" w:rsidRDefault="00A9721F">
      <w:pPr>
        <w:pStyle w:val="Definition-Field2"/>
      </w:pPr>
      <w:r>
        <w:t>Excel requires this attribute to be specified on the first cell in the calcCha</w:t>
      </w:r>
      <w:r>
        <w:t>in collection; the default value on subsequent cells is taken from the previous record.</w:t>
      </w:r>
    </w:p>
    <w:p w:rsidR="000A156F" w:rsidRDefault="00A9721F">
      <w:pPr>
        <w:pStyle w:val="Heading3"/>
      </w:pPr>
      <w:bookmarkStart w:id="1398" w:name="section_ae3bd10a0ef44b559ee681b26f8229b0"/>
      <w:bookmarkStart w:id="1399" w:name="_Toc181683725"/>
      <w:r>
        <w:lastRenderedPageBreak/>
        <w:t>Part 1 Section 18.7.1, author (Author)</w:t>
      </w:r>
      <w:bookmarkEnd w:id="1398"/>
      <w:bookmarkEnd w:id="1399"/>
      <w:r>
        <w:fldChar w:fldCharType="begin"/>
      </w:r>
      <w:r>
        <w:instrText xml:space="preserve"> XE "author (Author)" </w:instrText>
      </w:r>
      <w:r>
        <w:fldChar w:fldCharType="end"/>
      </w:r>
    </w:p>
    <w:p w:rsidR="000A156F" w:rsidRDefault="00A9721F">
      <w:pPr>
        <w:pStyle w:val="Definition-Field"/>
      </w:pPr>
      <w:r>
        <w:t xml:space="preserve">a.   </w:t>
      </w:r>
      <w:r>
        <w:rPr>
          <w:i/>
        </w:rPr>
        <w:t>The standard does not limit the length of the value of the author element.</w:t>
      </w:r>
    </w:p>
    <w:p w:rsidR="000A156F" w:rsidRDefault="00A9721F">
      <w:pPr>
        <w:pStyle w:val="Definition-Field2"/>
      </w:pPr>
      <w:r>
        <w:t>Excel restricts the value</w:t>
      </w:r>
      <w:r>
        <w:t xml:space="preserve"> of this element to be at most 65535 characters.</w:t>
      </w:r>
    </w:p>
    <w:p w:rsidR="000A156F" w:rsidRDefault="00A9721F">
      <w:pPr>
        <w:pStyle w:val="Definition-Field"/>
      </w:pPr>
      <w:r>
        <w:t xml:space="preserve">b.   </w:t>
      </w:r>
      <w:r>
        <w:rPr>
          <w:i/>
        </w:rPr>
        <w:t>The standard makes no mention of an xml:space attribute.</w:t>
      </w:r>
    </w:p>
    <w:p w:rsidR="000A156F" w:rsidRDefault="00A9721F">
      <w:pPr>
        <w:pStyle w:val="Definition-Field2"/>
      </w:pPr>
      <w:r>
        <w:t xml:space="preserve">Excel uses this attribute to specify, using the W3C space preservation rules, how white space should be handled for the element's contents; its </w:t>
      </w:r>
      <w:r>
        <w:t>allowed values are defined by the XML 1.0 specification.</w:t>
      </w:r>
    </w:p>
    <w:p w:rsidR="000A156F" w:rsidRDefault="00A9721F">
      <w:pPr>
        <w:pStyle w:val="Heading3"/>
      </w:pPr>
      <w:bookmarkStart w:id="1400" w:name="section_894596a2886444408e7e51c339d8e665"/>
      <w:bookmarkStart w:id="1401" w:name="_Toc181683726"/>
      <w:r>
        <w:t>Part 1 Section 18.7.3, comment (Comment)</w:t>
      </w:r>
      <w:bookmarkEnd w:id="1400"/>
      <w:bookmarkEnd w:id="1401"/>
      <w:r>
        <w:fldChar w:fldCharType="begin"/>
      </w:r>
      <w:r>
        <w:instrText xml:space="preserve"> XE "comment (Comment)" </w:instrText>
      </w:r>
      <w:r>
        <w:fldChar w:fldCharType="end"/>
      </w:r>
    </w:p>
    <w:p w:rsidR="000A156F" w:rsidRDefault="00A9721F">
      <w:pPr>
        <w:pStyle w:val="Definition-Field"/>
      </w:pPr>
      <w:r>
        <w:t xml:space="preserve">a.   </w:t>
      </w:r>
      <w:r>
        <w:rPr>
          <w:i/>
        </w:rPr>
        <w:t>The standard specifies @guid is required and unique if the workbook is shared.</w:t>
      </w:r>
    </w:p>
    <w:p w:rsidR="000A156F" w:rsidRDefault="00A9721F">
      <w:pPr>
        <w:pStyle w:val="Definition-Field2"/>
      </w:pPr>
      <w:r>
        <w:t>Excel additionally specifies @guid is optional i</w:t>
      </w:r>
      <w:r>
        <w:t>f the workbook is not shared.</w:t>
      </w:r>
    </w:p>
    <w:p w:rsidR="000A156F" w:rsidRDefault="00A9721F">
      <w:pPr>
        <w:pStyle w:val="Definition-Field"/>
      </w:pPr>
      <w:r>
        <w:t xml:space="preserve">b.   </w:t>
      </w:r>
      <w:r>
        <w:rPr>
          <w:i/>
        </w:rPr>
        <w:t>The standard specifies that the shapeId attribute is a valid attribute of the comment element.</w:t>
      </w:r>
    </w:p>
    <w:p w:rsidR="000A156F" w:rsidRDefault="00A9721F">
      <w:pPr>
        <w:pStyle w:val="Definition-Field2"/>
      </w:pPr>
      <w:r>
        <w:t>Excel ignores the shapeId attribute.</w:t>
      </w:r>
    </w:p>
    <w:p w:rsidR="000A156F" w:rsidRDefault="00A9721F">
      <w:pPr>
        <w:pStyle w:val="Heading3"/>
      </w:pPr>
      <w:bookmarkStart w:id="1402" w:name="section_e9edd17d6abd4eb4809926c53991de54"/>
      <w:bookmarkStart w:id="1403" w:name="_Toc181683727"/>
      <w:r>
        <w:t>Part 1 Section 18.7.5, commentPr (Comment Properties)</w:t>
      </w:r>
      <w:bookmarkEnd w:id="1402"/>
      <w:bookmarkEnd w:id="1403"/>
      <w:r>
        <w:fldChar w:fldCharType="begin"/>
      </w:r>
      <w:r>
        <w:instrText xml:space="preserve"> XE "commentPr (Comment Properties)"</w:instrText>
      </w:r>
      <w:r>
        <w:instrText xml:space="preserve"> </w:instrText>
      </w:r>
      <w:r>
        <w:fldChar w:fldCharType="end"/>
      </w:r>
    </w:p>
    <w:p w:rsidR="000A156F" w:rsidRDefault="00A9721F">
      <w:pPr>
        <w:pStyle w:val="Definition-Field"/>
      </w:pPr>
      <w:r>
        <w:t xml:space="preserve">a.   </w:t>
      </w:r>
      <w:r>
        <w:rPr>
          <w:i/>
        </w:rPr>
        <w:t>The standard specifies the commentPR element.</w:t>
      </w:r>
    </w:p>
    <w:p w:rsidR="000A156F" w:rsidRDefault="00A9721F">
      <w:pPr>
        <w:pStyle w:val="Definition-Field2"/>
      </w:pPr>
      <w:r>
        <w:t>Excel will fail to open a file containing the commentPR element.</w:t>
      </w:r>
    </w:p>
    <w:p w:rsidR="000A156F" w:rsidRDefault="00A9721F">
      <w:pPr>
        <w:pStyle w:val="Heading3"/>
      </w:pPr>
      <w:bookmarkStart w:id="1404" w:name="section_ef31a978e97949ee82693ea9b145bef3"/>
      <w:bookmarkStart w:id="1405" w:name="_Toc181683728"/>
      <w:r>
        <w:t>Part 1 Section 18.7.7, text (Comment Text)</w:t>
      </w:r>
      <w:bookmarkEnd w:id="1404"/>
      <w:bookmarkEnd w:id="1405"/>
      <w:r>
        <w:fldChar w:fldCharType="begin"/>
      </w:r>
      <w:r>
        <w:instrText xml:space="preserve"> XE "text (Comment Text)" </w:instrText>
      </w:r>
      <w:r>
        <w:fldChar w:fldCharType="end"/>
      </w:r>
    </w:p>
    <w:p w:rsidR="000A156F" w:rsidRDefault="00A9721F">
      <w:pPr>
        <w:pStyle w:val="Definition-Field2"/>
      </w:pPr>
      <w:r>
        <w:rPr>
          <w:i/>
        </w:rPr>
        <w:t xml:space="preserve">For additional notes that apply to this portion of the standard, </w:t>
      </w:r>
      <w:r>
        <w:rPr>
          <w:i/>
        </w:rPr>
        <w:t xml:space="preserve">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0A156F" w:rsidRDefault="00A9721F">
      <w:pPr>
        <w:pStyle w:val="Heading3"/>
      </w:pPr>
      <w:bookmarkStart w:id="1406" w:name="section_e4ad6e3e77024dbe8c44f5a4c686c440"/>
      <w:bookmarkStart w:id="1407" w:name="_Toc181683729"/>
      <w:r>
        <w:t>Part 1 Section 18.8.1, alignment (Alignment)</w:t>
      </w:r>
      <w:bookmarkEnd w:id="1406"/>
      <w:bookmarkEnd w:id="1407"/>
      <w:r>
        <w:fldChar w:fldCharType="begin"/>
      </w:r>
      <w:r>
        <w:instrText xml:space="preserve"> XE "alignment (Alignme</w:instrText>
      </w:r>
      <w:r>
        <w:instrText xml:space="preserve">nt)" </w:instrText>
      </w:r>
      <w:r>
        <w:fldChar w:fldCharType="end"/>
      </w:r>
    </w:p>
    <w:p w:rsidR="000A156F" w:rsidRDefault="00A9721F">
      <w:pPr>
        <w:pStyle w:val="Definition-Field"/>
      </w:pPr>
      <w:r>
        <w:t xml:space="preserve">a.   </w:t>
      </w:r>
      <w:r>
        <w:rPr>
          <w:i/>
        </w:rPr>
        <w:t>The standard states that the values of the textRotation attribute are defined by the XML Schema unsignedInt.</w:t>
      </w:r>
    </w:p>
    <w:p w:rsidR="000A156F" w:rsidRDefault="00A9721F">
      <w:pPr>
        <w:pStyle w:val="Definition-Field2"/>
      </w:pPr>
      <w:r>
        <w:t>Excel restricts the value of this attribute to be in the range 0-180 inclusive or 255. The meaning of the values 0-180 is defined in t</w:t>
      </w:r>
      <w:r>
        <w:t>he standard, 255 means Vertical Text.</w:t>
      </w:r>
    </w:p>
    <w:p w:rsidR="000A156F" w:rsidRDefault="00A9721F">
      <w:pPr>
        <w:pStyle w:val="Definition-Field"/>
      </w:pPr>
      <w:r>
        <w:t xml:space="preserve">b.   </w:t>
      </w:r>
      <w:r>
        <w:rPr>
          <w:i/>
        </w:rPr>
        <w:t>The standard states that the values of the indent attribute are defined by the XML Schema unsignedInt datatype.</w:t>
      </w:r>
    </w:p>
    <w:p w:rsidR="000A156F" w:rsidRDefault="00A9721F">
      <w:pPr>
        <w:pStyle w:val="Definition-Field2"/>
      </w:pPr>
      <w:r>
        <w:t>Excel restricts the value of this attribute to be at most 255.</w:t>
      </w:r>
    </w:p>
    <w:p w:rsidR="000A156F" w:rsidRDefault="00A9721F">
      <w:pPr>
        <w:pStyle w:val="Definition-Field"/>
      </w:pPr>
      <w:r>
        <w:t xml:space="preserve">c.   </w:t>
      </w:r>
      <w:r>
        <w:rPr>
          <w:i/>
        </w:rPr>
        <w:t>The standard states that the valu</w:t>
      </w:r>
      <w:r>
        <w:rPr>
          <w:i/>
        </w:rPr>
        <w:t>es of the readingOrder attribute are defined by the XML Schema unsignedInt datatype.</w:t>
      </w:r>
    </w:p>
    <w:p w:rsidR="000A156F" w:rsidRDefault="00A9721F">
      <w:pPr>
        <w:pStyle w:val="Definition-Field2"/>
      </w:pPr>
      <w:r>
        <w:t>Excel restricts the value of this attribute to be 0, 1, or 2.</w:t>
      </w:r>
    </w:p>
    <w:p w:rsidR="000A156F" w:rsidRDefault="00A9721F">
      <w:pPr>
        <w:pStyle w:val="Definition-Field"/>
      </w:pPr>
      <w:r>
        <w:t xml:space="preserve">d.   </w:t>
      </w:r>
      <w:r>
        <w:rPr>
          <w:i/>
        </w:rPr>
        <w:t>The standard does not specify a default value for the horizontal attribute.</w:t>
      </w:r>
    </w:p>
    <w:p w:rsidR="000A156F" w:rsidRDefault="00A9721F">
      <w:pPr>
        <w:pStyle w:val="Definition-Field2"/>
      </w:pPr>
      <w:r>
        <w:t>Excel uses a default value o</w:t>
      </w:r>
      <w:r>
        <w:t>f general for this attribute.</w:t>
      </w:r>
    </w:p>
    <w:p w:rsidR="000A156F" w:rsidRDefault="00A9721F">
      <w:pPr>
        <w:pStyle w:val="Definition-Field"/>
      </w:pPr>
      <w:r>
        <w:t xml:space="preserve">e.   </w:t>
      </w:r>
      <w:r>
        <w:rPr>
          <w:i/>
        </w:rPr>
        <w:t>The standard does not specify a default value for the vertical attribute.</w:t>
      </w:r>
    </w:p>
    <w:p w:rsidR="000A156F" w:rsidRDefault="00A9721F">
      <w:pPr>
        <w:pStyle w:val="Definition-Field2"/>
      </w:pPr>
      <w:r>
        <w:t>Excel uses a default value of bottom for this attribute.</w:t>
      </w:r>
    </w:p>
    <w:p w:rsidR="000A156F" w:rsidRDefault="00A9721F">
      <w:pPr>
        <w:pStyle w:val="Definition-Field"/>
      </w:pPr>
      <w:r>
        <w:lastRenderedPageBreak/>
        <w:t xml:space="preserve">f.   </w:t>
      </w:r>
      <w:r>
        <w:rPr>
          <w:i/>
        </w:rPr>
        <w:t>The standard does not specify a default value for the textRotation attribute.</w:t>
      </w:r>
    </w:p>
    <w:p w:rsidR="000A156F" w:rsidRDefault="00A9721F">
      <w:pPr>
        <w:pStyle w:val="Definition-Field2"/>
      </w:pPr>
      <w:r>
        <w:t xml:space="preserve">Excel </w:t>
      </w:r>
      <w:r>
        <w:t>uses a default value of 0 for this attribute.</w:t>
      </w:r>
    </w:p>
    <w:p w:rsidR="000A156F" w:rsidRDefault="00A9721F">
      <w:pPr>
        <w:pStyle w:val="Definition-Field"/>
      </w:pPr>
      <w:r>
        <w:t xml:space="preserve">g.   </w:t>
      </w:r>
      <w:r>
        <w:rPr>
          <w:i/>
        </w:rPr>
        <w:t>The standard does not specify a default value for the wrapText attribute.</w:t>
      </w:r>
    </w:p>
    <w:p w:rsidR="000A156F" w:rsidRDefault="00A9721F">
      <w:pPr>
        <w:pStyle w:val="Definition-Field2"/>
      </w:pPr>
      <w:r>
        <w:t>Excel uses a default value of false for this attribute.</w:t>
      </w:r>
    </w:p>
    <w:p w:rsidR="000A156F" w:rsidRDefault="00A9721F">
      <w:pPr>
        <w:pStyle w:val="Definition-Field"/>
      </w:pPr>
      <w:r>
        <w:t xml:space="preserve">h.   </w:t>
      </w:r>
      <w:r>
        <w:rPr>
          <w:i/>
        </w:rPr>
        <w:t>The standard does not specify a default value for the indent attribute</w:t>
      </w:r>
      <w:r>
        <w:rPr>
          <w:i/>
        </w:rPr>
        <w:t>.</w:t>
      </w:r>
    </w:p>
    <w:p w:rsidR="000A156F" w:rsidRDefault="00A9721F">
      <w:pPr>
        <w:pStyle w:val="Definition-Field2"/>
      </w:pPr>
      <w:r>
        <w:t>Excel uses a default value of 0 for this attribute.</w:t>
      </w:r>
    </w:p>
    <w:p w:rsidR="000A156F" w:rsidRDefault="00A9721F">
      <w:pPr>
        <w:pStyle w:val="Definition-Field"/>
      </w:pPr>
      <w:r>
        <w:t xml:space="preserve">i.   </w:t>
      </w:r>
      <w:r>
        <w:rPr>
          <w:i/>
        </w:rPr>
        <w:t>The standard does not specify a default value for the relativeIndent attribute.</w:t>
      </w:r>
    </w:p>
    <w:p w:rsidR="000A156F" w:rsidRDefault="00A9721F">
      <w:pPr>
        <w:pStyle w:val="Definition-Field2"/>
      </w:pPr>
      <w:r>
        <w:t>Excel uses a default value of 0 for this attribute.</w:t>
      </w:r>
    </w:p>
    <w:p w:rsidR="000A156F" w:rsidRDefault="00A9721F">
      <w:pPr>
        <w:pStyle w:val="Definition-Field"/>
      </w:pPr>
      <w:r>
        <w:t xml:space="preserve">j.   </w:t>
      </w:r>
      <w:r>
        <w:rPr>
          <w:i/>
        </w:rPr>
        <w:t xml:space="preserve">The standard does not specify a default value for the </w:t>
      </w:r>
      <w:r>
        <w:rPr>
          <w:i/>
        </w:rPr>
        <w:t>justifyLastLine attribute.</w:t>
      </w:r>
    </w:p>
    <w:p w:rsidR="000A156F" w:rsidRDefault="00A9721F">
      <w:pPr>
        <w:pStyle w:val="Definition-Field2"/>
      </w:pPr>
      <w:r>
        <w:t>Excel uses a default value of false for this attribute.</w:t>
      </w:r>
    </w:p>
    <w:p w:rsidR="000A156F" w:rsidRDefault="00A9721F">
      <w:pPr>
        <w:pStyle w:val="Definition-Field"/>
      </w:pPr>
      <w:r>
        <w:t xml:space="preserve">k.   </w:t>
      </w:r>
      <w:r>
        <w:rPr>
          <w:i/>
        </w:rPr>
        <w:t>The standard does not specify a default value for the shrinkToFit attribute.</w:t>
      </w:r>
    </w:p>
    <w:p w:rsidR="000A156F" w:rsidRDefault="00A9721F">
      <w:pPr>
        <w:pStyle w:val="Definition-Field2"/>
      </w:pPr>
      <w:r>
        <w:t>Excel uses a default value of false for this attribute.</w:t>
      </w:r>
    </w:p>
    <w:p w:rsidR="000A156F" w:rsidRDefault="00A9721F">
      <w:pPr>
        <w:pStyle w:val="Definition-Field"/>
      </w:pPr>
      <w:r>
        <w:t xml:space="preserve">l.   </w:t>
      </w:r>
      <w:r>
        <w:rPr>
          <w:i/>
        </w:rPr>
        <w:t xml:space="preserve">The standard does not specify </w:t>
      </w:r>
      <w:r>
        <w:rPr>
          <w:i/>
        </w:rPr>
        <w:t>a default value for the readingOrder attribute.</w:t>
      </w:r>
    </w:p>
    <w:p w:rsidR="000A156F" w:rsidRDefault="00A9721F">
      <w:pPr>
        <w:pStyle w:val="Definition-Field2"/>
      </w:pPr>
      <w:r>
        <w:t>Excel uses a default value of 0 for this attribute.</w:t>
      </w:r>
    </w:p>
    <w:p w:rsidR="000A156F" w:rsidRDefault="00A9721F">
      <w:pPr>
        <w:pStyle w:val="Heading3"/>
      </w:pPr>
      <w:bookmarkStart w:id="1408" w:name="section_2b0a8b9d392f46c1b3c1c5a5f98f8e69"/>
      <w:bookmarkStart w:id="1409" w:name="_Toc181683730"/>
      <w:r>
        <w:t>Part 1 Section 18.8.3, bgColor (Background Color)</w:t>
      </w:r>
      <w:bookmarkEnd w:id="1408"/>
      <w:bookmarkEnd w:id="1409"/>
      <w:r>
        <w:fldChar w:fldCharType="begin"/>
      </w:r>
      <w:r>
        <w:instrText xml:space="preserve"> XE "bgColor (Background Color)" </w:instrText>
      </w:r>
      <w:r>
        <w:fldChar w:fldCharType="end"/>
      </w:r>
    </w:p>
    <w:p w:rsidR="000A156F" w:rsidRDefault="00A9721F">
      <w:pPr>
        <w:pStyle w:val="Definition-Field2"/>
      </w:pPr>
      <w:r>
        <w:rPr>
          <w:i/>
        </w:rPr>
        <w:t>For additional notes that apply to this portion of the standard, please</w:t>
      </w:r>
      <w:r>
        <w:rPr>
          <w:i/>
        </w:rPr>
        <w:t xml:space="preserv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0A156F" w:rsidRDefault="00A9721F">
      <w:pPr>
        <w:pStyle w:val="Definition-Field"/>
      </w:pPr>
      <w:r>
        <w:t xml:space="preserve">a.   </w:t>
      </w:r>
      <w:r>
        <w:rPr>
          <w:i/>
        </w:rPr>
        <w:t>The standard does not specify the priorities of the var</w:t>
      </w:r>
      <w:r>
        <w:rPr>
          <w:i/>
        </w:rPr>
        <w:t>ious color types.</w:t>
      </w:r>
    </w:p>
    <w:p w:rsidR="000A156F" w:rsidRDefault="00A9721F">
      <w:pPr>
        <w:pStyle w:val="Definition-Field2"/>
      </w:pPr>
      <w:r>
        <w:t>Office prioritizes the attributes as auto &lt; indexed &lt; rgb &lt; theme, and only roundtrips the type with the highest priority if two or more are specified.</w:t>
      </w:r>
    </w:p>
    <w:p w:rsidR="000A156F" w:rsidRDefault="00A9721F">
      <w:pPr>
        <w:pStyle w:val="Heading3"/>
      </w:pPr>
      <w:bookmarkStart w:id="1410" w:name="section_e9bf10bfee5749fa9c1baece23e733cb"/>
      <w:bookmarkStart w:id="1411" w:name="_Toc181683731"/>
      <w:r>
        <w:t>Part 1 Section 18.8.4, border (Border)</w:t>
      </w:r>
      <w:bookmarkEnd w:id="1410"/>
      <w:bookmarkEnd w:id="1411"/>
      <w:r>
        <w:fldChar w:fldCharType="begin"/>
      </w:r>
      <w:r>
        <w:instrText xml:space="preserve"> XE "border (Border)" </w:instrText>
      </w:r>
      <w:r>
        <w:fldChar w:fldCharType="end"/>
      </w:r>
    </w:p>
    <w:p w:rsidR="000A156F" w:rsidRDefault="00A9721F">
      <w:pPr>
        <w:pStyle w:val="Definition-Field"/>
      </w:pPr>
      <w:r>
        <w:t xml:space="preserve">a.   </w:t>
      </w:r>
      <w:r>
        <w:rPr>
          <w:i/>
        </w:rPr>
        <w:t xml:space="preserve">The standard does </w:t>
      </w:r>
      <w:r>
        <w:rPr>
          <w:i/>
        </w:rPr>
        <w:t>not specify a default value for the diagonalUp attribute.</w:t>
      </w:r>
    </w:p>
    <w:p w:rsidR="000A156F" w:rsidRDefault="00A9721F">
      <w:pPr>
        <w:pStyle w:val="Definition-Field2"/>
      </w:pPr>
      <w:r>
        <w:t>Excel uses a default value of false for this attribute.</w:t>
      </w:r>
    </w:p>
    <w:p w:rsidR="000A156F" w:rsidRDefault="00A9721F">
      <w:pPr>
        <w:pStyle w:val="Definition-Field"/>
      </w:pPr>
      <w:r>
        <w:t xml:space="preserve">b.   </w:t>
      </w:r>
      <w:r>
        <w:rPr>
          <w:i/>
        </w:rPr>
        <w:t>The standard does not specify a default value for the diagonalDown attribute.</w:t>
      </w:r>
    </w:p>
    <w:p w:rsidR="000A156F" w:rsidRDefault="00A9721F">
      <w:pPr>
        <w:pStyle w:val="Definition-Field2"/>
      </w:pPr>
      <w:r>
        <w:t>Excel uses a default value of false for this attribute.</w:t>
      </w:r>
    </w:p>
    <w:p w:rsidR="000A156F" w:rsidRDefault="00A9721F">
      <w:pPr>
        <w:pStyle w:val="Heading3"/>
      </w:pPr>
      <w:bookmarkStart w:id="1412" w:name="section_c3c609ef965745b98a9f023bf50268df"/>
      <w:bookmarkStart w:id="1413" w:name="_Toc181683732"/>
      <w:r>
        <w:t>Par</w:t>
      </w:r>
      <w:r>
        <w:t>t 1 Section 18.8.5, borders (Borders)</w:t>
      </w:r>
      <w:bookmarkEnd w:id="1412"/>
      <w:bookmarkEnd w:id="1413"/>
      <w:r>
        <w:fldChar w:fldCharType="begin"/>
      </w:r>
      <w:r>
        <w:instrText xml:space="preserve"> XE "borders (Borders)" </w:instrText>
      </w:r>
      <w:r>
        <w:fldChar w:fldCharType="end"/>
      </w:r>
    </w:p>
    <w:p w:rsidR="000A156F" w:rsidRDefault="00A9721F">
      <w:pPr>
        <w:pStyle w:val="Definition-Field"/>
      </w:pPr>
      <w:r>
        <w:t xml:space="preserve">a.   </w:t>
      </w:r>
      <w:r>
        <w:rPr>
          <w:i/>
        </w:rPr>
        <w:t>The standard states that the border child element has a minOccurs value of 0 and a maxOccurs value of unbounded.</w:t>
      </w:r>
    </w:p>
    <w:p w:rsidR="000A156F" w:rsidRDefault="00A9721F">
      <w:pPr>
        <w:pStyle w:val="Definition-Field2"/>
      </w:pPr>
      <w:r>
        <w:t xml:space="preserve">Excel limits the occurrences of this element to be at least 1 and at most </w:t>
      </w:r>
      <w:r>
        <w:t>65430.</w:t>
      </w:r>
    </w:p>
    <w:p w:rsidR="000A156F" w:rsidRDefault="00A9721F">
      <w:pPr>
        <w:pStyle w:val="Heading3"/>
      </w:pPr>
      <w:bookmarkStart w:id="1414" w:name="section_dff6242bddbe4a768d6567496b074576"/>
      <w:bookmarkStart w:id="1415" w:name="_Toc181683733"/>
      <w:r>
        <w:t>Part 1 Section 18.8.7, cellStyle (Cell Style)</w:t>
      </w:r>
      <w:bookmarkEnd w:id="1414"/>
      <w:bookmarkEnd w:id="1415"/>
      <w:r>
        <w:fldChar w:fldCharType="begin"/>
      </w:r>
      <w:r>
        <w:instrText xml:space="preserve"> XE "cellStyle (Cell Style)" </w:instrText>
      </w:r>
      <w:r>
        <w:fldChar w:fldCharType="end"/>
      </w:r>
    </w:p>
    <w:p w:rsidR="000A156F" w:rsidRDefault="00A9721F">
      <w:pPr>
        <w:pStyle w:val="Definition-Field"/>
      </w:pPr>
      <w:r>
        <w:t xml:space="preserve">a.   </w:t>
      </w:r>
      <w:r>
        <w:rPr>
          <w:i/>
        </w:rPr>
        <w:t>The standard does not limit the length of the value for the @name.</w:t>
      </w:r>
    </w:p>
    <w:p w:rsidR="000A156F" w:rsidRDefault="00A9721F">
      <w:pPr>
        <w:pStyle w:val="Definition-Field2"/>
      </w:pPr>
      <w:r>
        <w:t>Office limits the value of @name to 255 characters.</w:t>
      </w:r>
    </w:p>
    <w:p w:rsidR="000A156F" w:rsidRDefault="00A9721F">
      <w:pPr>
        <w:pStyle w:val="Definition-Field"/>
      </w:pPr>
      <w:r>
        <w:lastRenderedPageBreak/>
        <w:t xml:space="preserve">b.   </w:t>
      </w:r>
      <w:r>
        <w:rPr>
          <w:i/>
        </w:rPr>
        <w:t>The standard states that the builtinId attr</w:t>
      </w:r>
      <w:r>
        <w:rPr>
          <w:i/>
        </w:rPr>
        <w:t>ibute is any 32-bit unsigned integer.</w:t>
      </w:r>
    </w:p>
    <w:p w:rsidR="000A156F" w:rsidRDefault="00A9721F">
      <w:pPr>
        <w:pStyle w:val="Definition-Field2"/>
      </w:pPr>
      <w:r>
        <w:t>Office limits the values of the builtinId attribute to greater than or equal to zero and less than or equal to 53.</w:t>
      </w:r>
    </w:p>
    <w:p w:rsidR="000A156F" w:rsidRDefault="00A9721F">
      <w:pPr>
        <w:pStyle w:val="Definition-Field"/>
      </w:pPr>
      <w:r>
        <w:t xml:space="preserve">c.   </w:t>
      </w:r>
      <w:r>
        <w:rPr>
          <w:i/>
        </w:rPr>
        <w:t>The standard states that the iLevel attribute indicates that formatting is for an outline style, r</w:t>
      </w:r>
      <w:r>
        <w:rPr>
          <w:i/>
        </w:rPr>
        <w:t>egardless of the value of the builtIn attribute.</w:t>
      </w:r>
    </w:p>
    <w:p w:rsidR="000A156F" w:rsidRDefault="00A9721F">
      <w:pPr>
        <w:pStyle w:val="Definition-Field2"/>
      </w:pPr>
      <w:r>
        <w:t>Office will ignore the iLevel attribute if the style is not either the RowLevel or ColLevel built-in styles (builtIn=1 or =2).</w:t>
      </w:r>
    </w:p>
    <w:p w:rsidR="000A156F" w:rsidRDefault="00A9721F">
      <w:pPr>
        <w:pStyle w:val="Definition-Field"/>
      </w:pPr>
      <w:r>
        <w:t xml:space="preserve">d.   </w:t>
      </w:r>
      <w:r>
        <w:rPr>
          <w:i/>
        </w:rPr>
        <w:t xml:space="preserve">The standard states that the values of the iLevel attribute are defined by </w:t>
      </w:r>
      <w:r>
        <w:rPr>
          <w:i/>
        </w:rPr>
        <w:t>the XML Schema unsigned int datatype.</w:t>
      </w:r>
    </w:p>
    <w:p w:rsidR="000A156F" w:rsidRDefault="00A9721F">
      <w:pPr>
        <w:pStyle w:val="Definition-Field2"/>
      </w:pPr>
      <w:r>
        <w:t>Office limits the iLevel attribute to the values 0 through 7.</w:t>
      </w:r>
    </w:p>
    <w:p w:rsidR="000A156F" w:rsidRDefault="00A9721F">
      <w:pPr>
        <w:pStyle w:val="Definition-Field"/>
      </w:pPr>
      <w:r>
        <w:t xml:space="preserve">e.   </w:t>
      </w:r>
      <w:r>
        <w:rPr>
          <w:i/>
        </w:rPr>
        <w:t>The standard does not define built-in styles 12, 13, and 14.</w:t>
      </w:r>
    </w:p>
    <w:p w:rsidR="000A156F" w:rsidRDefault="00A9721F">
      <w:pPr>
        <w:pStyle w:val="Definition-Field2"/>
      </w:pPr>
      <w:r>
        <w:t>Office defines built-in styles 12 = "Emphasis 1", 13 = "Emphasis 2", 14 = "Emphasis 3".</w:t>
      </w:r>
    </w:p>
    <w:p w:rsidR="000A156F" w:rsidRDefault="00A9721F">
      <w:pPr>
        <w:pStyle w:val="Definition-Field"/>
      </w:pPr>
      <w:r>
        <w:t xml:space="preserve">f.   </w:t>
      </w:r>
      <w:r>
        <w:rPr>
          <w:i/>
        </w:rPr>
        <w:t>The standard does not place uniqueness restrictions on the xfId attribute.</w:t>
      </w:r>
    </w:p>
    <w:p w:rsidR="000A156F" w:rsidRDefault="00A9721F">
      <w:pPr>
        <w:pStyle w:val="Definition-Field2"/>
      </w:pPr>
      <w:r>
        <w:t>Office requires that the xfId attribute must be unique with respect to the xfId values in all other cellStyle elements.</w:t>
      </w:r>
    </w:p>
    <w:p w:rsidR="000A156F" w:rsidRDefault="00A9721F">
      <w:pPr>
        <w:pStyle w:val="Definition-Field"/>
      </w:pPr>
      <w:r>
        <w:t xml:space="preserve">g.   </w:t>
      </w:r>
      <w:r>
        <w:rPr>
          <w:i/>
        </w:rPr>
        <w:t>The standard does not place uniqueness restrictions</w:t>
      </w:r>
      <w:r>
        <w:rPr>
          <w:i/>
        </w:rPr>
        <w:t xml:space="preserve"> on the name attribute.</w:t>
      </w:r>
    </w:p>
    <w:p w:rsidR="000A156F" w:rsidRDefault="00A9721F">
      <w:pPr>
        <w:pStyle w:val="Definition-Field2"/>
      </w:pPr>
      <w:r>
        <w:t>Office requires that value of the name attribute must be unique with respect to the name values in all other cellStyle elements.</w:t>
      </w:r>
    </w:p>
    <w:p w:rsidR="000A156F" w:rsidRDefault="00A9721F">
      <w:pPr>
        <w:pStyle w:val="Heading3"/>
      </w:pPr>
      <w:bookmarkStart w:id="1416" w:name="section_991dac4a9f954af2af5a8cf088522ec1"/>
      <w:bookmarkStart w:id="1417" w:name="_Toc181683734"/>
      <w:r>
        <w:t>Part 1 Section 18.8.8, cellStyles (Cell Styles)</w:t>
      </w:r>
      <w:bookmarkEnd w:id="1416"/>
      <w:bookmarkEnd w:id="1417"/>
      <w:r>
        <w:fldChar w:fldCharType="begin"/>
      </w:r>
      <w:r>
        <w:instrText xml:space="preserve"> XE "cellStyles (Cell Styles)" </w:instrText>
      </w:r>
      <w:r>
        <w:fldChar w:fldCharType="end"/>
      </w:r>
    </w:p>
    <w:p w:rsidR="000A156F" w:rsidRDefault="00A9721F">
      <w:pPr>
        <w:pStyle w:val="Definition-Field"/>
      </w:pPr>
      <w:r>
        <w:t xml:space="preserve">a.   </w:t>
      </w:r>
      <w:r>
        <w:rPr>
          <w:i/>
        </w:rPr>
        <w:t>The standard stat</w:t>
      </w:r>
      <w:r>
        <w:rPr>
          <w:i/>
        </w:rPr>
        <w:t>es that the maxOccurs value for the cellStyle child element is unbounded.</w:t>
      </w:r>
    </w:p>
    <w:p w:rsidR="000A156F" w:rsidRDefault="00A9721F">
      <w:pPr>
        <w:pStyle w:val="Definition-Field2"/>
      </w:pPr>
      <w:r>
        <w:t>Excel limits the occurrences of this element to 65430.</w:t>
      </w:r>
    </w:p>
    <w:p w:rsidR="000A156F" w:rsidRDefault="00A9721F">
      <w:pPr>
        <w:pStyle w:val="Heading3"/>
      </w:pPr>
      <w:bookmarkStart w:id="1418" w:name="section_5c2f48dfe9034d4692bcf67d2f25ecb0"/>
      <w:bookmarkStart w:id="1419" w:name="_Toc181683735"/>
      <w:r>
        <w:t>Part 1 Section 18.8.9, cellStyleXfs (Formatting Records)</w:t>
      </w:r>
      <w:bookmarkEnd w:id="1418"/>
      <w:bookmarkEnd w:id="1419"/>
      <w:r>
        <w:fldChar w:fldCharType="begin"/>
      </w:r>
      <w:r>
        <w:instrText xml:space="preserve"> XE "cellStyleXfs (Formatting Records)" </w:instrText>
      </w:r>
      <w:r>
        <w:fldChar w:fldCharType="end"/>
      </w:r>
    </w:p>
    <w:p w:rsidR="000A156F" w:rsidRDefault="00A9721F">
      <w:pPr>
        <w:pStyle w:val="Definition-Field"/>
      </w:pPr>
      <w:r>
        <w:t xml:space="preserve">a.   </w:t>
      </w:r>
      <w:r>
        <w:rPr>
          <w:i/>
        </w:rPr>
        <w:t>The standard states tha</w:t>
      </w:r>
      <w:r>
        <w:rPr>
          <w:i/>
        </w:rPr>
        <w:t>t the maxOccurs value for the xf child element is unbounded.</w:t>
      </w:r>
    </w:p>
    <w:p w:rsidR="000A156F" w:rsidRDefault="00A9721F">
      <w:pPr>
        <w:pStyle w:val="Definition-Field2"/>
      </w:pPr>
      <w:r>
        <w:t>Excel limits the occurrences of this element to 65430.</w:t>
      </w:r>
    </w:p>
    <w:p w:rsidR="000A156F" w:rsidRDefault="00A9721F">
      <w:pPr>
        <w:pStyle w:val="Definition-Field"/>
      </w:pPr>
      <w:r>
        <w:t xml:space="preserve">b.   </w:t>
      </w:r>
      <w:r>
        <w:rPr>
          <w:i/>
        </w:rPr>
        <w:t>The standard states that both the cell style xf records and cell xf records must be read to understand the full set of formatting appli</w:t>
      </w:r>
      <w:r>
        <w:rPr>
          <w:i/>
        </w:rPr>
        <w:t>ed to a cell.</w:t>
      </w:r>
    </w:p>
    <w:p w:rsidR="000A156F" w:rsidRDefault="00A9721F">
      <w:pPr>
        <w:pStyle w:val="Definition-Field2"/>
      </w:pPr>
      <w:r>
        <w:t>In Office, only the cell xf record defines the formatting applied to a cell.</w:t>
      </w:r>
    </w:p>
    <w:p w:rsidR="000A156F" w:rsidRDefault="00A9721F">
      <w:pPr>
        <w:pStyle w:val="Definition-Field"/>
      </w:pPr>
      <w:r>
        <w:t xml:space="preserve">c.   </w:t>
      </w:r>
      <w:r>
        <w:rPr>
          <w:i/>
        </w:rPr>
        <w:t>The standard does not limit the number of xf elements inside cellXfs and cellStyleXfs, or note any relationship between them.</w:t>
      </w:r>
    </w:p>
    <w:p w:rsidR="000A156F" w:rsidRDefault="00A9721F">
      <w:pPr>
        <w:pStyle w:val="Definition-Field2"/>
      </w:pPr>
      <w:r>
        <w:t xml:space="preserve">Office requires that the combined </w:t>
      </w:r>
      <w:r>
        <w:t>quantity of xf records inside cellXfs and non-built-in xf records inside CellStyleXfs must not exceed 65430 elements.</w:t>
      </w:r>
    </w:p>
    <w:p w:rsidR="000A156F" w:rsidRDefault="00A9721F">
      <w:pPr>
        <w:pStyle w:val="Heading3"/>
      </w:pPr>
      <w:bookmarkStart w:id="1420" w:name="section_d0f88a45c7c3456b9e212fd5577e9898"/>
      <w:bookmarkStart w:id="1421" w:name="_Toc181683736"/>
      <w:r>
        <w:t>Part 1 Section 18.8.10, cellXfs (Cell Formats)</w:t>
      </w:r>
      <w:bookmarkEnd w:id="1420"/>
      <w:bookmarkEnd w:id="1421"/>
      <w:r>
        <w:fldChar w:fldCharType="begin"/>
      </w:r>
      <w:r>
        <w:instrText xml:space="preserve"> XE "cellXfs (Cell Formats)" </w:instrText>
      </w:r>
      <w:r>
        <w:fldChar w:fldCharType="end"/>
      </w:r>
    </w:p>
    <w:p w:rsidR="000A156F" w:rsidRDefault="00A9721F">
      <w:pPr>
        <w:pStyle w:val="Definition-Field"/>
      </w:pPr>
      <w:r>
        <w:t xml:space="preserve">a.   </w:t>
      </w:r>
      <w:r>
        <w:rPr>
          <w:i/>
        </w:rPr>
        <w:t>The standard states that the maxOccurs value for the xf</w:t>
      </w:r>
      <w:r>
        <w:rPr>
          <w:i/>
        </w:rPr>
        <w:t xml:space="preserve"> child element is unbounded.</w:t>
      </w:r>
    </w:p>
    <w:p w:rsidR="000A156F" w:rsidRDefault="00A9721F">
      <w:pPr>
        <w:pStyle w:val="Definition-Field2"/>
      </w:pPr>
      <w:r>
        <w:t>Excel limits the occurrences of this element to 65430.</w:t>
      </w:r>
    </w:p>
    <w:p w:rsidR="000A156F" w:rsidRDefault="00A9721F">
      <w:pPr>
        <w:pStyle w:val="Definition-Field"/>
      </w:pPr>
      <w:r>
        <w:lastRenderedPageBreak/>
        <w:t xml:space="preserve">b.   </w:t>
      </w:r>
      <w:r>
        <w:rPr>
          <w:i/>
        </w:rPr>
        <w:t>The standard states that both the cell style xf records and cell xf records must be read to understand the full set of formatting applied to a cell.</w:t>
      </w:r>
    </w:p>
    <w:p w:rsidR="000A156F" w:rsidRDefault="00A9721F">
      <w:pPr>
        <w:pStyle w:val="Definition-Field2"/>
      </w:pPr>
      <w:r>
        <w:t>In Office, only th</w:t>
      </w:r>
      <w:r>
        <w:t>e cell xf record defines the formatting applied to a cell.</w:t>
      </w:r>
    </w:p>
    <w:p w:rsidR="000A156F" w:rsidRDefault="00A9721F">
      <w:pPr>
        <w:pStyle w:val="Definition-Field"/>
      </w:pPr>
      <w:r>
        <w:t xml:space="preserve">c.   </w:t>
      </w:r>
      <w:r>
        <w:rPr>
          <w:i/>
        </w:rPr>
        <w:t>The standard does not limit the number of xf elements inside cellXfs and cellStyleXfs, or note any relationship between them.</w:t>
      </w:r>
    </w:p>
    <w:p w:rsidR="000A156F" w:rsidRDefault="00A9721F">
      <w:pPr>
        <w:pStyle w:val="Definition-Field2"/>
      </w:pPr>
      <w:r>
        <w:t>Office requires that the combined quantity of xf records inside ce</w:t>
      </w:r>
      <w:r>
        <w:t>llXfs and non-built-in xf records inside CellStyleXfs must not exceed 65430 elements.</w:t>
      </w:r>
    </w:p>
    <w:p w:rsidR="000A156F" w:rsidRDefault="00A9721F">
      <w:pPr>
        <w:pStyle w:val="Heading3"/>
      </w:pPr>
      <w:bookmarkStart w:id="1422" w:name="section_c9e9313d99ba4a11aeb1d390477d6163"/>
      <w:bookmarkStart w:id="1423" w:name="_Toc181683737"/>
      <w:r>
        <w:t>Part 1 Section 18.8.15, dxfs (Formats)</w:t>
      </w:r>
      <w:bookmarkEnd w:id="1422"/>
      <w:bookmarkEnd w:id="1423"/>
      <w:r>
        <w:fldChar w:fldCharType="begin"/>
      </w:r>
      <w:r>
        <w:instrText xml:space="preserve"> XE "dxfs (Formats)" </w:instrText>
      </w:r>
      <w:r>
        <w:fldChar w:fldCharType="end"/>
      </w:r>
    </w:p>
    <w:p w:rsidR="000A156F" w:rsidRDefault="00A9721F">
      <w:pPr>
        <w:pStyle w:val="Definition-Field"/>
      </w:pPr>
      <w:r>
        <w:t xml:space="preserve">a.   </w:t>
      </w:r>
      <w:r>
        <w:rPr>
          <w:i/>
        </w:rPr>
        <w:t>The standard states that the maxOccurs value for the dxf child element is unbounded.</w:t>
      </w:r>
    </w:p>
    <w:p w:rsidR="000A156F" w:rsidRDefault="00A9721F">
      <w:pPr>
        <w:pStyle w:val="Definition-Field2"/>
      </w:pPr>
      <w:r>
        <w:t>Excel limits the o</w:t>
      </w:r>
      <w:r>
        <w:t>ccurrences of this element to 2147483647.</w:t>
      </w:r>
    </w:p>
    <w:p w:rsidR="000A156F" w:rsidRDefault="00A9721F">
      <w:pPr>
        <w:pStyle w:val="Heading3"/>
      </w:pPr>
      <w:bookmarkStart w:id="1424" w:name="section_adcd81b4377b4c819ebd670b0fab6704"/>
      <w:bookmarkStart w:id="1425" w:name="_Toc181683738"/>
      <w:r>
        <w:t>Part 1 Section 18.8.16, end (Trailing Edge Border)</w:t>
      </w:r>
      <w:bookmarkEnd w:id="1424"/>
      <w:bookmarkEnd w:id="1425"/>
      <w:r>
        <w:fldChar w:fldCharType="begin"/>
      </w:r>
      <w:r>
        <w:instrText xml:space="preserve"> XE "end (Trailing Edge Border)" </w:instrText>
      </w:r>
      <w:r>
        <w:fldChar w:fldCharType="end"/>
      </w:r>
    </w:p>
    <w:p w:rsidR="000A156F" w:rsidRDefault="00A9721F">
      <w:pPr>
        <w:pStyle w:val="Definition-Field"/>
      </w:pPr>
      <w:r>
        <w:t xml:space="preserve">a.   </w:t>
      </w:r>
      <w:r>
        <w:rPr>
          <w:i/>
        </w:rPr>
        <w:t>The standard specifies that an "end" element specify a trailing edge border.</w:t>
      </w:r>
    </w:p>
    <w:p w:rsidR="000A156F" w:rsidRDefault="00A9721F">
      <w:pPr>
        <w:pStyle w:val="Definition-Field2"/>
      </w:pPr>
      <w:r>
        <w:t>Excel writes "right" instead of "end".</w:t>
      </w:r>
    </w:p>
    <w:p w:rsidR="000A156F" w:rsidRDefault="00A9721F">
      <w:pPr>
        <w:pStyle w:val="Heading3"/>
      </w:pPr>
      <w:bookmarkStart w:id="1426" w:name="section_2b2b6126757449f8bbcf6335bb1f7026"/>
      <w:bookmarkStart w:id="1427" w:name="_Toc181683739"/>
      <w:r>
        <w:t xml:space="preserve">Part 1 </w:t>
      </w:r>
      <w:r>
        <w:t>Section 18.8.18, family (Font Family)</w:t>
      </w:r>
      <w:bookmarkEnd w:id="1426"/>
      <w:bookmarkEnd w:id="1427"/>
      <w:r>
        <w:fldChar w:fldCharType="begin"/>
      </w:r>
      <w:r>
        <w:instrText xml:space="preserve"> XE "family (Font Family)" </w:instrText>
      </w:r>
      <w:r>
        <w:fldChar w:fldCharType="end"/>
      </w:r>
    </w:p>
    <w:p w:rsidR="000A156F" w:rsidRDefault="00A9721F">
      <w:pPr>
        <w:pStyle w:val="Definition-Field"/>
      </w:pPr>
      <w:r>
        <w:t xml:space="preserve">a.   </w:t>
      </w:r>
      <w:r>
        <w:rPr>
          <w:i/>
        </w:rPr>
        <w:t>The standard states that the values of the val attribute are defined by the XML Schema int datatype.</w:t>
      </w:r>
    </w:p>
    <w:p w:rsidR="000A156F" w:rsidRDefault="00A9721F">
      <w:pPr>
        <w:pStyle w:val="Definition-Field2"/>
      </w:pPr>
      <w:r>
        <w:t>Excel restricts the value of this attribute to be at least 0 and at most 5.</w:t>
      </w:r>
    </w:p>
    <w:p w:rsidR="000A156F" w:rsidRDefault="00A9721F">
      <w:pPr>
        <w:pStyle w:val="Definition-Field"/>
      </w:pPr>
      <w:r>
        <w:t xml:space="preserve">b.   </w:t>
      </w:r>
      <w:r>
        <w:rPr>
          <w:i/>
        </w:rPr>
        <w:t>The standard implies that the val attribute refers to character set.</w:t>
      </w:r>
    </w:p>
    <w:p w:rsidR="000A156F" w:rsidRDefault="00A9721F">
      <w:pPr>
        <w:pStyle w:val="Definition-Field2"/>
      </w:pPr>
      <w:r>
        <w:t>In Office, the val attribute is interpreted as referring to the font family.</w:t>
      </w:r>
    </w:p>
    <w:p w:rsidR="000A156F" w:rsidRDefault="00A9721F">
      <w:pPr>
        <w:pStyle w:val="Heading3"/>
      </w:pPr>
      <w:bookmarkStart w:id="1428" w:name="section_df550c30b35c42d29914f3011ba1f2e6"/>
      <w:bookmarkStart w:id="1429" w:name="_Toc181683740"/>
      <w:r>
        <w:t>Part 1 Section 18.8.19, fgColor (Foreground Color)</w:t>
      </w:r>
      <w:bookmarkEnd w:id="1428"/>
      <w:bookmarkEnd w:id="1429"/>
      <w:r>
        <w:fldChar w:fldCharType="begin"/>
      </w:r>
      <w:r>
        <w:instrText xml:space="preserve"> XE "fgColor (Foreground Color)" </w:instrText>
      </w:r>
      <w:r>
        <w:fldChar w:fldCharType="end"/>
      </w:r>
    </w:p>
    <w:p w:rsidR="000A156F" w:rsidRDefault="00A9721F">
      <w:pPr>
        <w:pStyle w:val="Definition-Field2"/>
      </w:pPr>
      <w:r>
        <w:rPr>
          <w:i/>
        </w:rPr>
        <w:t>For additional notes tha</w:t>
      </w:r>
      <w:r>
        <w:rPr>
          <w:i/>
        </w:rPr>
        <w:t xml:space="preserve">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0A156F" w:rsidRDefault="00A9721F">
      <w:pPr>
        <w:pStyle w:val="Definition-Field"/>
      </w:pPr>
      <w:r>
        <w:t xml:space="preserve">a.   </w:t>
      </w:r>
      <w:r>
        <w:rPr>
          <w:i/>
        </w:rPr>
        <w:t>The standard does not specify the priorities of the various color types.</w:t>
      </w:r>
    </w:p>
    <w:p w:rsidR="000A156F" w:rsidRDefault="00A9721F">
      <w:pPr>
        <w:pStyle w:val="Definition-Field2"/>
      </w:pPr>
      <w:r>
        <w:t xml:space="preserve">Office prioritizes the attributes as auto &lt; indexed &lt; rgb &lt; theme, and only roundtrips the type </w:t>
      </w:r>
      <w:r>
        <w:t>with the highest priority if two or more are specified.</w:t>
      </w:r>
    </w:p>
    <w:p w:rsidR="000A156F" w:rsidRDefault="00A9721F">
      <w:pPr>
        <w:pStyle w:val="Heading3"/>
      </w:pPr>
      <w:bookmarkStart w:id="1430" w:name="section_79949711feab4cdba73477cad7a95735"/>
      <w:bookmarkStart w:id="1431" w:name="_Toc181683741"/>
      <w:r>
        <w:t>Part 1 Section 18.8.21, fills (Fills)</w:t>
      </w:r>
      <w:bookmarkEnd w:id="1430"/>
      <w:bookmarkEnd w:id="1431"/>
      <w:r>
        <w:fldChar w:fldCharType="begin"/>
      </w:r>
      <w:r>
        <w:instrText xml:space="preserve"> XE "fills (Fills)" </w:instrText>
      </w:r>
      <w:r>
        <w:fldChar w:fldCharType="end"/>
      </w:r>
    </w:p>
    <w:p w:rsidR="000A156F" w:rsidRDefault="00A9721F">
      <w:pPr>
        <w:pStyle w:val="Definition-Field"/>
      </w:pPr>
      <w:r>
        <w:t xml:space="preserve">a.   </w:t>
      </w:r>
      <w:r>
        <w:rPr>
          <w:i/>
        </w:rPr>
        <w:t>The standard states that the fill child element has a minOccurs value of 0 and a maxOccurs value of unbounded.</w:t>
      </w:r>
    </w:p>
    <w:p w:rsidR="000A156F" w:rsidRDefault="00A9721F">
      <w:pPr>
        <w:pStyle w:val="Definition-Field2"/>
      </w:pPr>
      <w:r>
        <w:t>Excel limits the occurre</w:t>
      </w:r>
      <w:r>
        <w:t>nces of this element to be at least 1 and at most 65430.</w:t>
      </w:r>
    </w:p>
    <w:p w:rsidR="000A156F" w:rsidRDefault="00A9721F">
      <w:pPr>
        <w:pStyle w:val="Definition-Field"/>
      </w:pPr>
      <w:r>
        <w:t xml:space="preserve">b.   </w:t>
      </w:r>
      <w:r>
        <w:rPr>
          <w:i/>
        </w:rPr>
        <w:t>The standard allows for arbitrary definitions of these elements</w:t>
      </w:r>
    </w:p>
    <w:p w:rsidR="000A156F" w:rsidRDefault="00A9721F">
      <w:pPr>
        <w:pStyle w:val="Definition-Field2"/>
      </w:pPr>
      <w:r>
        <w:t>In Excel, the first two Fill ("</w:t>
      </w:r>
      <w:hyperlink r:id="rId134">
        <w:r>
          <w:rPr>
            <w:rStyle w:val="Hyperlink"/>
          </w:rPr>
          <w:t>[ISO/IEC-29500-1]</w:t>
        </w:r>
      </w:hyperlink>
      <w:r>
        <w:t xml:space="preserve"> §18.8.20; fill"</w:t>
      </w:r>
      <w:r>
        <w:t>) values are reserved and deviations from their predefined values are not respected</w:t>
      </w:r>
    </w:p>
    <w:p w:rsidR="000A156F" w:rsidRDefault="00A9721F">
      <w:pPr>
        <w:pStyle w:val="Heading3"/>
      </w:pPr>
      <w:bookmarkStart w:id="1432" w:name="section_6bb22ec6338141d69df3a1f4d588b39a"/>
      <w:bookmarkStart w:id="1433" w:name="_Toc181683742"/>
      <w:r>
        <w:lastRenderedPageBreak/>
        <w:t>Part 1 Section 18.8.22, font (Font)</w:t>
      </w:r>
      <w:bookmarkEnd w:id="1432"/>
      <w:bookmarkEnd w:id="1433"/>
      <w:r>
        <w:fldChar w:fldCharType="begin"/>
      </w:r>
      <w:r>
        <w:instrText xml:space="preserve"> XE "font (Font)" </w:instrText>
      </w:r>
      <w:r>
        <w:fldChar w:fldCharType="end"/>
      </w:r>
    </w:p>
    <w:p w:rsidR="000A156F" w:rsidRDefault="00A9721F">
      <w:pPr>
        <w:pStyle w:val="Definition-Field"/>
      </w:pPr>
      <w:r>
        <w:t xml:space="preserve">a.   </w:t>
      </w:r>
      <w:r>
        <w:rPr>
          <w:i/>
        </w:rPr>
        <w:t>The standard defines the child elements using a choice.</w:t>
      </w:r>
    </w:p>
    <w:p w:rsidR="000A156F" w:rsidRDefault="00A9721F">
      <w:pPr>
        <w:pStyle w:val="Definition-Field2"/>
      </w:pPr>
      <w:r>
        <w:t>Excel requires the child elements to be in the followin</w:t>
      </w:r>
      <w:r>
        <w:t>g sequence:  i, strike, condense, extend, outline, shadow, u, vertAlign, sz, color, name, family, charset, scheme.</w:t>
      </w:r>
    </w:p>
    <w:p w:rsidR="000A156F" w:rsidRDefault="00A9721F">
      <w:pPr>
        <w:pStyle w:val="Heading3"/>
      </w:pPr>
      <w:bookmarkStart w:id="1434" w:name="section_5e6b826f1abf496a8c7faf58b5312aaf"/>
      <w:bookmarkStart w:id="1435" w:name="_Toc181683743"/>
      <w:r>
        <w:t>Part 1 Section 18.8.23, fonts (Fonts)</w:t>
      </w:r>
      <w:bookmarkEnd w:id="1434"/>
      <w:bookmarkEnd w:id="1435"/>
      <w:r>
        <w:fldChar w:fldCharType="begin"/>
      </w:r>
      <w:r>
        <w:instrText xml:space="preserve"> XE "fonts (Fonts)" </w:instrText>
      </w:r>
      <w:r>
        <w:fldChar w:fldCharType="end"/>
      </w:r>
    </w:p>
    <w:p w:rsidR="000A156F" w:rsidRDefault="00A9721F">
      <w:pPr>
        <w:pStyle w:val="Definition-Field"/>
      </w:pPr>
      <w:r>
        <w:t xml:space="preserve">a.   </w:t>
      </w:r>
      <w:r>
        <w:rPr>
          <w:i/>
        </w:rPr>
        <w:t>The standard states that the font child element has a minOccurs value of 0 a</w:t>
      </w:r>
      <w:r>
        <w:rPr>
          <w:i/>
        </w:rPr>
        <w:t>nd a maxOccurs value of unbounded.</w:t>
      </w:r>
    </w:p>
    <w:p w:rsidR="000A156F" w:rsidRDefault="00A9721F">
      <w:pPr>
        <w:pStyle w:val="Definition-Field2"/>
      </w:pPr>
      <w:r>
        <w:t>Excel limits the occurrences of this element to be at least 1 and at most 65491.</w:t>
      </w:r>
    </w:p>
    <w:p w:rsidR="000A156F" w:rsidRDefault="00A9721F">
      <w:pPr>
        <w:pStyle w:val="Heading3"/>
      </w:pPr>
      <w:bookmarkStart w:id="1436" w:name="section_93eecc5015504cbe911ca2aad70cbbd5"/>
      <w:bookmarkStart w:id="1437" w:name="_Toc181683744"/>
      <w:r>
        <w:t>Part 1 Section 18.8.24, gradientFill (Gradient)</w:t>
      </w:r>
      <w:bookmarkEnd w:id="1436"/>
      <w:bookmarkEnd w:id="1437"/>
      <w:r>
        <w:fldChar w:fldCharType="begin"/>
      </w:r>
      <w:r>
        <w:instrText xml:space="preserve"> XE "gradientFill (Gradient)" </w:instrText>
      </w:r>
      <w:r>
        <w:fldChar w:fldCharType="end"/>
      </w:r>
    </w:p>
    <w:p w:rsidR="000A156F" w:rsidRDefault="00A9721F">
      <w:pPr>
        <w:pStyle w:val="Definition-Field"/>
      </w:pPr>
      <w:r>
        <w:t xml:space="preserve">a.   </w:t>
      </w:r>
      <w:r>
        <w:rPr>
          <w:i/>
        </w:rPr>
        <w:t>The standard specifies @degree as defined by the XML Sc</w:t>
      </w:r>
      <w:r>
        <w:rPr>
          <w:i/>
        </w:rPr>
        <w:t>hema double datatype.</w:t>
      </w:r>
    </w:p>
    <w:p w:rsidR="000A156F" w:rsidRDefault="00A9721F">
      <w:pPr>
        <w:pStyle w:val="Definition-Field2"/>
      </w:pPr>
      <w:r>
        <w:t>Office requires @degree to be a double between -1.7E308 and 1.7E308 inclusive.</w:t>
      </w:r>
    </w:p>
    <w:p w:rsidR="000A156F" w:rsidRDefault="00A9721F">
      <w:pPr>
        <w:pStyle w:val="Heading3"/>
      </w:pPr>
      <w:bookmarkStart w:id="1438" w:name="section_96467cf3991545d8b9979183e29b29e4"/>
      <w:bookmarkStart w:id="1439" w:name="_Toc181683745"/>
      <w:r>
        <w:t>Part 1 Section 18.8.27, indexedColors (Color Indexes)</w:t>
      </w:r>
      <w:bookmarkEnd w:id="1438"/>
      <w:bookmarkEnd w:id="1439"/>
      <w:r>
        <w:fldChar w:fldCharType="begin"/>
      </w:r>
      <w:r>
        <w:instrText xml:space="preserve"> XE "indexedColors (Color Indexes)" </w:instrText>
      </w:r>
      <w:r>
        <w:fldChar w:fldCharType="end"/>
      </w:r>
    </w:p>
    <w:p w:rsidR="000A156F" w:rsidRDefault="00A9721F">
      <w:pPr>
        <w:pStyle w:val="Definition-Field"/>
      </w:pPr>
      <w:r>
        <w:t xml:space="preserve">a.   </w:t>
      </w:r>
      <w:r>
        <w:rPr>
          <w:i/>
        </w:rPr>
        <w:t>The standard states that the maxOccurs value for the rgbCo</w:t>
      </w:r>
      <w:r>
        <w:rPr>
          <w:i/>
        </w:rPr>
        <w:t>lor child element is unbounded.</w:t>
      </w:r>
    </w:p>
    <w:p w:rsidR="000A156F" w:rsidRDefault="00A9721F">
      <w:pPr>
        <w:pStyle w:val="Definition-Field2"/>
      </w:pPr>
      <w:r>
        <w:t>Excel limits the occurrences of this element to 64.</w:t>
      </w:r>
    </w:p>
    <w:p w:rsidR="000A156F" w:rsidRDefault="00A9721F">
      <w:pPr>
        <w:pStyle w:val="Heading3"/>
      </w:pPr>
      <w:bookmarkStart w:id="1440" w:name="section_236b2ae9ee2841ec9cb9e9085bba3100"/>
      <w:bookmarkStart w:id="1441" w:name="_Toc181683746"/>
      <w:r>
        <w:t>Part 1 Section 18.8.28, mruColors (MRU Colors)</w:t>
      </w:r>
      <w:bookmarkEnd w:id="1440"/>
      <w:bookmarkEnd w:id="1441"/>
      <w:r>
        <w:fldChar w:fldCharType="begin"/>
      </w:r>
      <w:r>
        <w:instrText xml:space="preserve"> XE "mruColors (MRU Colors)" </w:instrText>
      </w:r>
      <w:r>
        <w:fldChar w:fldCharType="end"/>
      </w:r>
    </w:p>
    <w:p w:rsidR="000A156F" w:rsidRDefault="00A9721F">
      <w:pPr>
        <w:pStyle w:val="Definition-Field"/>
      </w:pPr>
      <w:r>
        <w:t xml:space="preserve">a.   </w:t>
      </w:r>
      <w:r>
        <w:rPr>
          <w:i/>
        </w:rPr>
        <w:t>The standard states that the maxOccurs value for the color child element is unbounded.</w:t>
      </w:r>
    </w:p>
    <w:p w:rsidR="000A156F" w:rsidRDefault="00A9721F">
      <w:pPr>
        <w:pStyle w:val="Definition-Field2"/>
      </w:pPr>
      <w:r>
        <w:t>Ex</w:t>
      </w:r>
      <w:r>
        <w:t>cel limits the occurrences of this element to 10.</w:t>
      </w:r>
    </w:p>
    <w:p w:rsidR="000A156F" w:rsidRDefault="00A9721F">
      <w:pPr>
        <w:pStyle w:val="Heading3"/>
      </w:pPr>
      <w:bookmarkStart w:id="1442" w:name="section_0e286ffd189c4df8a44f3879af50a4a2"/>
      <w:bookmarkStart w:id="1443" w:name="_Toc181683747"/>
      <w:r>
        <w:t>Part 1 Section 18.8.29, name (Font Name)</w:t>
      </w:r>
      <w:bookmarkEnd w:id="1442"/>
      <w:bookmarkEnd w:id="1443"/>
      <w:r>
        <w:fldChar w:fldCharType="begin"/>
      </w:r>
      <w:r>
        <w:instrText xml:space="preserve"> XE "name (Font Name)" </w:instrText>
      </w:r>
      <w:r>
        <w:fldChar w:fldCharType="end"/>
      </w:r>
    </w:p>
    <w:p w:rsidR="000A156F" w:rsidRDefault="00A9721F">
      <w:pPr>
        <w:pStyle w:val="Definition-Field"/>
      </w:pPr>
      <w:r>
        <w:t xml:space="preserve">a.   </w:t>
      </w:r>
      <w:r>
        <w:rPr>
          <w:i/>
        </w:rPr>
        <w:t>The standard states that string length for the val attribute can be 0 to 31 characters.</w:t>
      </w:r>
    </w:p>
    <w:p w:rsidR="000A156F" w:rsidRDefault="00A9721F">
      <w:pPr>
        <w:pStyle w:val="Definition-Field2"/>
      </w:pPr>
      <w:r>
        <w:t xml:space="preserve">Excel restricts the value of this attribute to </w:t>
      </w:r>
      <w:r>
        <w:t>be at least 1 and at most 31 characters before escaping.</w:t>
      </w:r>
    </w:p>
    <w:p w:rsidR="000A156F" w:rsidRDefault="00A9721F">
      <w:pPr>
        <w:pStyle w:val="Heading3"/>
      </w:pPr>
      <w:bookmarkStart w:id="1444" w:name="section_17d11129219b4e2c88db45844d21e528"/>
      <w:bookmarkStart w:id="1445" w:name="_Toc181683748"/>
      <w:r>
        <w:t>Part 1 Section 18.8.30, numFmt (Number Format)</w:t>
      </w:r>
      <w:bookmarkEnd w:id="1444"/>
      <w:bookmarkEnd w:id="1445"/>
      <w:r>
        <w:fldChar w:fldCharType="begin"/>
      </w:r>
      <w:r>
        <w:instrText xml:space="preserve"> XE "numFmt (Number Format)" </w:instrText>
      </w:r>
      <w:r>
        <w:fldChar w:fldCharType="end"/>
      </w:r>
    </w:p>
    <w:p w:rsidR="000A156F" w:rsidRDefault="00A9721F">
      <w:pPr>
        <w:pStyle w:val="Definition-Field"/>
      </w:pPr>
      <w:r>
        <w:t xml:space="preserve">a.   </w:t>
      </w:r>
      <w:r>
        <w:rPr>
          <w:i/>
        </w:rPr>
        <w:t>The standard defines built-in format ID 14: "mm-dd-yy"; 22: "m/d/yy h:mm"; 37: "#,##0 ;(#,##0)"; 38: "#,##0 ;[Red](#</w:t>
      </w:r>
      <w:r>
        <w:rPr>
          <w:i/>
        </w:rPr>
        <w:t>,##0)"; 39: "#,##0.00;(#,##0.00)"; 40: "#,##0.00;[Red](#,##0.00)"; 47: "mmss.0"; KOR fmt 55: "yyyy-mm-dd".</w:t>
      </w:r>
    </w:p>
    <w:p w:rsidR="000A156F" w:rsidRDefault="00A9721F">
      <w:pPr>
        <w:pStyle w:val="Definition-Field2"/>
      </w:pPr>
      <w:r>
        <w:t>Excel defines built-in format ID 14: "m/d/yyyy"; 22: "m/d/yyyy h:mm"; 37: "#,##0_);(#,##0)"; 38: "#,##0_);[Red](#,##0)"; 39: "#,##0.00_);(#,##0.00)";</w:t>
      </w:r>
      <w:r>
        <w:t xml:space="preserve"> 40: "#,##0.00_);[Red](#,##0.00)"; 47: "mm:ss.0"; KOR fmt 55: "yyyy/mm/dd".</w:t>
      </w:r>
    </w:p>
    <w:p w:rsidR="000A156F" w:rsidRDefault="00A9721F">
      <w:pPr>
        <w:pStyle w:val="Definition-Field"/>
      </w:pPr>
      <w:r>
        <w:t xml:space="preserve">b.   </w:t>
      </w:r>
      <w:r>
        <w:rPr>
          <w:i/>
        </w:rPr>
        <w:t>The standard does not define a restriction on the size or content of the formatCode attribute.</w:t>
      </w:r>
    </w:p>
    <w:p w:rsidR="000A156F" w:rsidRDefault="00A9721F">
      <w:r>
        <w:t xml:space="preserve">In Office, the formatCode attribute is a string specifying how to format and </w:t>
      </w:r>
      <w:r>
        <w:t>render the numeric value of a cell.  It must be less than 255 characters in length.  For a string to be considered a valid format code, it should be well-formed according to the following ABNF specification.</w:t>
      </w:r>
    </w:p>
    <w:p w:rsidR="000A156F" w:rsidRDefault="00A9721F">
      <w:r>
        <w:lastRenderedPageBreak/>
        <w:t>These definitions are for en-US locale. Internat</w:t>
      </w:r>
      <w:r>
        <w:t>ional consideration as specified in numFmts ("</w:t>
      </w:r>
      <w:hyperlink r:id="rId135">
        <w:r>
          <w:rPr>
            <w:rStyle w:val="Hyperlink"/>
          </w:rPr>
          <w:t>[ISO/IEC-29500-1]</w:t>
        </w:r>
      </w:hyperlink>
      <w:r>
        <w:t xml:space="preserve"> §18.8.31; numFmts") must be accounted for and the ABNF must be modified accordingly for specific international number formats.</w:t>
      </w:r>
    </w:p>
    <w:p w:rsidR="000A156F" w:rsidRDefault="00A9721F">
      <w:r>
        <w:t>In the following ABNF specification, the following set of tokens can occur 0 to unbounded times:</w:t>
      </w:r>
    </w:p>
    <w:p w:rsidR="000A156F" w:rsidRDefault="00A9721F">
      <w:r>
        <w:t>LITERAL-STRING</w:t>
      </w:r>
    </w:p>
    <w:p w:rsidR="000A156F" w:rsidRDefault="00A9721F">
      <w:r>
        <w:t>LITERAL-CHAR-REPEAT</w:t>
      </w:r>
    </w:p>
    <w:p w:rsidR="000A156F" w:rsidRDefault="00A9721F">
      <w:r>
        <w:t>LITERAL-CHAR-SPACE</w:t>
      </w:r>
    </w:p>
    <w:p w:rsidR="000A156F" w:rsidRDefault="00A9721F">
      <w:r>
        <w:t>as long as they don't break apart the following elements:</w:t>
      </w:r>
    </w:p>
    <w:p w:rsidR="000A156F" w:rsidRDefault="00A9721F">
      <w:r>
        <w:t>INTL*</w:t>
      </w:r>
    </w:p>
    <w:p w:rsidR="000A156F" w:rsidRDefault="00A9721F">
      <w:r>
        <w:t>LITERAL*</w:t>
      </w:r>
    </w:p>
    <w:p w:rsidR="000A156F" w:rsidRDefault="00A9721F">
      <w:r>
        <w:t>NFDateTimeToken</w:t>
      </w:r>
    </w:p>
    <w:p w:rsidR="000A156F" w:rsidRDefault="00A9721F">
      <w:r>
        <w:t>NFPartExponenti</w:t>
      </w:r>
      <w:r>
        <w:t>al</w:t>
      </w:r>
    </w:p>
    <w:p w:rsidR="000A156F" w:rsidRDefault="00A9721F">
      <w:r>
        <w:t>NFPartCond</w:t>
      </w:r>
    </w:p>
    <w:p w:rsidR="000A156F" w:rsidRDefault="00A9721F">
      <w:r>
        <w:t>NFPartLocaleID</w:t>
      </w:r>
    </w:p>
    <w:p w:rsidR="000A156F" w:rsidRDefault="00A9721F">
      <w:r>
        <w:t>NFPartColor</w:t>
      </w:r>
    </w:p>
    <w:p w:rsidR="000A156F" w:rsidRDefault="00A9721F">
      <w:r>
        <w:t>NFPartIntNum</w:t>
      </w:r>
    </w:p>
    <w:p w:rsidR="000A156F" w:rsidRDefault="00A9721F">
      <w:r>
        <w:t>NFPartStrColor</w:t>
      </w:r>
    </w:p>
    <w:p w:rsidR="000A156F" w:rsidRDefault="00A9721F">
      <w:r>
        <w:t>The following set of tokens must occur 0 or 1 times in each section as defined in numFmts ("[ISO/IEC-29500-1] §18.8.31; numFmts").</w:t>
      </w:r>
    </w:p>
    <w:p w:rsidR="000A156F" w:rsidRDefault="00A9721F">
      <w:r>
        <w:t>NFPartLocaleID</w:t>
      </w:r>
    </w:p>
    <w:p w:rsidR="000A156F" w:rsidRDefault="00A9721F">
      <w:r>
        <w:t>NFAbsTimeToken must occur 0 or 1 times in</w:t>
      </w:r>
      <w:r>
        <w:t xml:space="preserve"> NFDateTime.  </w:t>
      </w:r>
    </w:p>
    <w:p w:rsidR="000A156F" w:rsidRDefault="00A9721F">
      <w:r>
        <w:t>Also, an absolute time token must not coexist with a non-absolute equivalent token in NFDateTime.</w:t>
      </w:r>
    </w:p>
    <w:p w:rsidR="000A156F" w:rsidRDefault="00A9721F">
      <w:r>
        <w:t>All =</w:t>
      </w:r>
    </w:p>
    <w:p w:rsidR="000A156F" w:rsidRDefault="00A9721F">
      <w:r>
        <w:t xml:space="preserve">    ([NFPartColor] NFPartCond NFGeneral) /</w:t>
      </w:r>
    </w:p>
    <w:p w:rsidR="000A156F" w:rsidRDefault="00A9721F">
      <w:r>
        <w:t xml:space="preserve">    NFAnyNoCond /</w:t>
      </w:r>
    </w:p>
    <w:p w:rsidR="000A156F" w:rsidRDefault="00A9721F">
      <w:r>
        <w:t xml:space="preserve">    (NFAnyNoText ASCII-SEMICOLON NFAny) /</w:t>
      </w:r>
    </w:p>
    <w:p w:rsidR="000A156F" w:rsidRDefault="00A9721F">
      <w:r>
        <w:t xml:space="preserve">    (NFAnyNoText ASCII-SEMICOLON NFAnyNoText ASCII-SEMICOLON NFAnyNoCond) /</w:t>
      </w:r>
    </w:p>
    <w:p w:rsidR="000A156F" w:rsidRDefault="00A9721F">
      <w:r>
        <w:t xml:space="preserve">    (NFAnyNoText ASCII-SEMICOLON NFAnyNoText ASCII-SEMICOLON </w:t>
      </w:r>
    </w:p>
    <w:p w:rsidR="000A156F" w:rsidRDefault="00A9721F">
      <w:r>
        <w:t xml:space="preserve">        NFAnyNoTextNoCond ASCII-SEMICOLON [NFText / NFGeneral])</w:t>
      </w:r>
    </w:p>
    <w:p w:rsidR="000A156F" w:rsidRDefault="00A9721F">
      <w:r>
        <w:t>NFAny =</w:t>
      </w:r>
    </w:p>
    <w:p w:rsidR="000A156F" w:rsidRDefault="00A9721F">
      <w:r>
        <w:t>[NFPartColor]</w:t>
      </w:r>
    </w:p>
    <w:p w:rsidR="000A156F" w:rsidRDefault="00A9721F">
      <w:r>
        <w:t>(</w:t>
      </w:r>
    </w:p>
    <w:p w:rsidR="000A156F" w:rsidRDefault="00A9721F">
      <w:r>
        <w:t xml:space="preserve">    ([NFPartCond] NFNumber) /</w:t>
      </w:r>
    </w:p>
    <w:p w:rsidR="000A156F" w:rsidRDefault="00A9721F">
      <w:r>
        <w:lastRenderedPageBreak/>
        <w:t xml:space="preserve">    NFText /</w:t>
      </w:r>
    </w:p>
    <w:p w:rsidR="000A156F" w:rsidRDefault="00A9721F">
      <w:r>
        <w:t xml:space="preserve">    ([NFPartCond] NFFraction) /</w:t>
      </w:r>
    </w:p>
    <w:p w:rsidR="000A156F" w:rsidRDefault="00A9721F">
      <w:r>
        <w:t xml:space="preserve">    ([NFPartCond] [NFDateTime] [NFGeneral] [NFDateTime])</w:t>
      </w:r>
    </w:p>
    <w:p w:rsidR="000A156F" w:rsidRDefault="00A9721F">
      <w:r>
        <w:t xml:space="preserve">    )</w:t>
      </w:r>
    </w:p>
    <w:p w:rsidR="000A156F" w:rsidRDefault="00A9721F">
      <w:r>
        <w:t>NFAnyNoText =</w:t>
      </w:r>
    </w:p>
    <w:p w:rsidR="000A156F" w:rsidRDefault="00A9721F">
      <w:r>
        <w:t>[NFPartColor] [NFPartCond]</w:t>
      </w:r>
    </w:p>
    <w:p w:rsidR="000A156F" w:rsidRDefault="00A9721F">
      <w:r>
        <w:t>(</w:t>
      </w:r>
    </w:p>
    <w:p w:rsidR="000A156F" w:rsidRDefault="00A9721F">
      <w:r>
        <w:t xml:space="preserve">    NFNumber /</w:t>
      </w:r>
    </w:p>
    <w:p w:rsidR="000A156F" w:rsidRDefault="00A9721F">
      <w:r>
        <w:t xml:space="preserve">    NFFraction /</w:t>
      </w:r>
    </w:p>
    <w:p w:rsidR="000A156F" w:rsidRDefault="00A9721F">
      <w:r>
        <w:t xml:space="preserve">    ([NFDateTime] [NFGeneral] [NFDateTime])</w:t>
      </w:r>
    </w:p>
    <w:p w:rsidR="000A156F" w:rsidRDefault="00A9721F">
      <w:r>
        <w:t xml:space="preserve">    )</w:t>
      </w:r>
    </w:p>
    <w:p w:rsidR="000A156F" w:rsidRDefault="00A9721F">
      <w:r>
        <w:t>NFAnyNoCond =</w:t>
      </w:r>
    </w:p>
    <w:p w:rsidR="000A156F" w:rsidRDefault="00A9721F">
      <w:r>
        <w:t>[NFPartCo</w:t>
      </w:r>
      <w:r>
        <w:t>lor]</w:t>
      </w:r>
    </w:p>
    <w:p w:rsidR="000A156F" w:rsidRDefault="00A9721F">
      <w:r>
        <w:t>(</w:t>
      </w:r>
    </w:p>
    <w:p w:rsidR="000A156F" w:rsidRDefault="00A9721F">
      <w:r>
        <w:t xml:space="preserve">    NFNumber /</w:t>
      </w:r>
    </w:p>
    <w:p w:rsidR="000A156F" w:rsidRDefault="00A9721F">
      <w:r>
        <w:t xml:space="preserve">    NFText /</w:t>
      </w:r>
    </w:p>
    <w:p w:rsidR="000A156F" w:rsidRDefault="00A9721F">
      <w:r>
        <w:t xml:space="preserve">    NFFraction /</w:t>
      </w:r>
    </w:p>
    <w:p w:rsidR="000A156F" w:rsidRDefault="00A9721F">
      <w:r>
        <w:t xml:space="preserve">    ([NFDateTime] [NFGeneral] [NFDateTime])</w:t>
      </w:r>
    </w:p>
    <w:p w:rsidR="000A156F" w:rsidRDefault="00A9721F">
      <w:r>
        <w:t xml:space="preserve">    )</w:t>
      </w:r>
    </w:p>
    <w:p w:rsidR="000A156F" w:rsidRDefault="00A9721F">
      <w:r>
        <w:t>NFAnyNoTextNoCond =</w:t>
      </w:r>
    </w:p>
    <w:p w:rsidR="000A156F" w:rsidRDefault="00A9721F">
      <w:r>
        <w:t>[NFPartColor]</w:t>
      </w:r>
    </w:p>
    <w:p w:rsidR="000A156F" w:rsidRDefault="00A9721F">
      <w:r>
        <w:t>(</w:t>
      </w:r>
    </w:p>
    <w:p w:rsidR="000A156F" w:rsidRDefault="00A9721F">
      <w:r>
        <w:t xml:space="preserve">    NFNumber /</w:t>
      </w:r>
    </w:p>
    <w:p w:rsidR="000A156F" w:rsidRDefault="00A9721F">
      <w:r>
        <w:t xml:space="preserve">    NFFraction /</w:t>
      </w:r>
    </w:p>
    <w:p w:rsidR="000A156F" w:rsidRDefault="00A9721F">
      <w:r>
        <w:t xml:space="preserve">    ([NFDateTime] [NFGeneral] [NFDateTime])</w:t>
      </w:r>
    </w:p>
    <w:p w:rsidR="000A156F" w:rsidRDefault="00A9721F">
      <w:r>
        <w:t xml:space="preserve">    )</w:t>
      </w:r>
    </w:p>
    <w:p w:rsidR="000A156F" w:rsidRDefault="00A9721F">
      <w:r>
        <w:t>NFGeneral = INTL-NUMFMT-GENERAL</w:t>
      </w:r>
    </w:p>
    <w:p w:rsidR="000A156F" w:rsidRDefault="00A9721F">
      <w:r>
        <w:t>NFNumber = NFPartNum [NFPartExponential NFPartNum] *INTL-CHAR-NUMGRP-SEP *INTL-AMPM</w:t>
      </w:r>
    </w:p>
    <w:p w:rsidR="000A156F" w:rsidRDefault="00A9721F">
      <w:r>
        <w:t xml:space="preserve">NFDateTimeToken = NFPartYear / NFPartMonth / NFPartDay / </w:t>
      </w:r>
    </w:p>
    <w:p w:rsidR="000A156F" w:rsidRDefault="00A9721F">
      <w:r>
        <w:t xml:space="preserve">    NFPartHour / NFPartMinute / NFPartSecond / NFAbsTimeToken</w:t>
      </w:r>
    </w:p>
    <w:p w:rsidR="000A156F" w:rsidRDefault="00A9721F">
      <w:r>
        <w:t xml:space="preserve">    </w:t>
      </w:r>
    </w:p>
    <w:p w:rsidR="000A156F" w:rsidRDefault="00A9721F">
      <w:r>
        <w:t>NFAbsTimeToken = NFPartAbsHour / NFPartAbsSecon</w:t>
      </w:r>
      <w:r>
        <w:t>d / NFPartAbsMinute</w:t>
      </w:r>
    </w:p>
    <w:p w:rsidR="000A156F" w:rsidRDefault="00A9721F">
      <w:r>
        <w:lastRenderedPageBreak/>
        <w:t>NFDateTime =</w:t>
      </w:r>
    </w:p>
    <w:p w:rsidR="000A156F" w:rsidRDefault="00A9721F">
      <w:r>
        <w:t xml:space="preserve">    *INTL-AMPM (1*(NFDateTimeToken) *(NFDateTimeToken / NFPartSubSecond / </w:t>
      </w:r>
    </w:p>
    <w:p w:rsidR="000A156F" w:rsidRDefault="00A9721F">
      <w:r>
        <w:t xml:space="preserve">        INTL-CHAR-DATE-SEP / INTL-CHAR-TIME-SEP / INTL-AMPM))</w:t>
      </w:r>
    </w:p>
    <w:p w:rsidR="000A156F" w:rsidRDefault="00A9721F">
      <w:r>
        <w:t>NFText =</w:t>
      </w:r>
    </w:p>
    <w:p w:rsidR="000A156F" w:rsidRDefault="00A9721F">
      <w:r>
        <w:t>(1*ASCII-COMMERCIAL-AT *(ASCII-COMMERCIAL-AT / INTL-AMPM)) /</w:t>
      </w:r>
    </w:p>
    <w:p w:rsidR="000A156F" w:rsidRDefault="00A9721F">
      <w:r>
        <w:t>(*(ASCII-COMMERC</w:t>
      </w:r>
      <w:r>
        <w:t>IAL-AT / INTL-AMPM) 1*ASCII-COMMERCIAL-AT)</w:t>
      </w:r>
    </w:p>
    <w:p w:rsidR="000A156F" w:rsidRDefault="00A9721F">
      <w:r>
        <w:t>NFFraction = NFPartFraction ASCII-SOLIDUS NFPartFraction [NFPartNum] *INTL-AMPM</w:t>
      </w:r>
    </w:p>
    <w:p w:rsidR="000A156F" w:rsidRDefault="00A9721F">
      <w:r>
        <w:t>; Definitions for partial rules used by the preceding rules.</w:t>
      </w:r>
    </w:p>
    <w:p w:rsidR="000A156F" w:rsidRDefault="00A9721F">
      <w:r>
        <w:t xml:space="preserve">NFPartNum = </w:t>
      </w:r>
    </w:p>
    <w:p w:rsidR="000A156F" w:rsidRDefault="00A9721F">
      <w:r>
        <w:t>(1*NFPartNumToken2 *(NFPartNumToken2 / ASCII-PERCENT-SIGN))</w:t>
      </w:r>
      <w:r>
        <w:t xml:space="preserve"> /</w:t>
      </w:r>
    </w:p>
    <w:p w:rsidR="000A156F" w:rsidRDefault="00A9721F">
      <w:r>
        <w:t>(*(NFPartNumToken2 / ASCII-PERCENT-SIGN) 1*NFPartNumToken2)</w:t>
      </w:r>
    </w:p>
    <w:p w:rsidR="000A156F" w:rsidRDefault="00A9721F">
      <w:r>
        <w:t>NFPartExponential = ASCII-CAPITAL-LETTER-E NFPartSign</w:t>
      </w:r>
    </w:p>
    <w:p w:rsidR="000A156F" w:rsidRDefault="00A9721F">
      <w:r>
        <w:t>NFPartYear = 2(ASCII-SMALL-LETTER-Y) / 4(ASCII-SMALL-LETTER-Y)</w:t>
      </w:r>
    </w:p>
    <w:p w:rsidR="000A156F" w:rsidRDefault="00A9721F">
      <w:r>
        <w:t>NFPartMonth = 1*5(ASCII-SMALL-LETTER-M)</w:t>
      </w:r>
    </w:p>
    <w:p w:rsidR="000A156F" w:rsidRDefault="00A9721F">
      <w:r>
        <w:t>NFPartDay = 1*4(ASCII-SMALL-LETTER-D</w:t>
      </w:r>
      <w:r>
        <w:t>)</w:t>
      </w:r>
    </w:p>
    <w:p w:rsidR="000A156F" w:rsidRDefault="00A9721F">
      <w:r>
        <w:t>NFPartHour = 1*2(ASCII-SMALL-LETTER-H)</w:t>
      </w:r>
    </w:p>
    <w:p w:rsidR="000A156F" w:rsidRDefault="00A9721F">
      <w:r>
        <w:t xml:space="preserve">NFPartAbsHour = </w:t>
      </w:r>
    </w:p>
    <w:p w:rsidR="000A156F" w:rsidRDefault="00A9721F">
      <w:r>
        <w:t xml:space="preserve">    ASCII-LEFT-SQUARE-BRACKET 1*ASCII-SMALL-LETTER-H ASCII-RIGHT-SQUARE-BRACKET</w:t>
      </w:r>
    </w:p>
    <w:p w:rsidR="000A156F" w:rsidRDefault="00A9721F">
      <w:r>
        <w:t xml:space="preserve">    </w:t>
      </w:r>
    </w:p>
    <w:p w:rsidR="000A156F" w:rsidRDefault="00A9721F">
      <w:r>
        <w:t>NFPartMinute = 1*2(ASCII-SMALL-LETTER-M)</w:t>
      </w:r>
    </w:p>
    <w:p w:rsidR="000A156F" w:rsidRDefault="00A9721F">
      <w:r>
        <w:t xml:space="preserve">NFPartAbsMinute = </w:t>
      </w:r>
    </w:p>
    <w:p w:rsidR="000A156F" w:rsidRDefault="00A9721F">
      <w:r>
        <w:t xml:space="preserve">    ASCII-LEFT-SQUARE-BRACKET 1*ASCII-SMALL-LETTER-M ASCII-RIGHT-SQUARE-BRACKET</w:t>
      </w:r>
    </w:p>
    <w:p w:rsidR="000A156F" w:rsidRDefault="00A9721F">
      <w:r>
        <w:t xml:space="preserve">    </w:t>
      </w:r>
    </w:p>
    <w:p w:rsidR="000A156F" w:rsidRDefault="00A9721F">
      <w:r>
        <w:t xml:space="preserve">NFPartSecond = </w:t>
      </w:r>
    </w:p>
    <w:p w:rsidR="000A156F" w:rsidRDefault="00A9721F">
      <w:r>
        <w:t xml:space="preserve">    1*2(ASCII-SMALL-LETTER-S)</w:t>
      </w:r>
    </w:p>
    <w:p w:rsidR="000A156F" w:rsidRDefault="00A9721F">
      <w:r>
        <w:t xml:space="preserve">    </w:t>
      </w:r>
    </w:p>
    <w:p w:rsidR="000A156F" w:rsidRDefault="00A9721F">
      <w:r>
        <w:t xml:space="preserve">NFPartAbsSecond = </w:t>
      </w:r>
    </w:p>
    <w:p w:rsidR="000A156F" w:rsidRDefault="00A9721F">
      <w:r>
        <w:t xml:space="preserve">    ASCII-LEFT-SQUARE-BRACKET 1*ASCII-SMALL-LETTER-S ASCII-RIGHT-SQUARE-BRACKET</w:t>
      </w:r>
    </w:p>
    <w:p w:rsidR="000A156F" w:rsidRDefault="00A9721F">
      <w:r>
        <w:t xml:space="preserve">    </w:t>
      </w:r>
    </w:p>
    <w:p w:rsidR="000A156F" w:rsidRDefault="00A9721F">
      <w:r>
        <w:t xml:space="preserve">NFPartSubSecond </w:t>
      </w:r>
      <w:r>
        <w:t>= INTL-CHAR-DECIMAL-SEP 1*3ASCII-DIGIT-ZERO</w:t>
      </w:r>
    </w:p>
    <w:p w:rsidR="000A156F" w:rsidRDefault="00A9721F">
      <w:r>
        <w:t xml:space="preserve">NFPartCond = </w:t>
      </w:r>
    </w:p>
    <w:p w:rsidR="000A156F" w:rsidRDefault="00A9721F">
      <w:r>
        <w:t xml:space="preserve">    ASCII-LEFT-SQUARE-BRACKET NFPartCompOper NFPartCondNum</w:t>
      </w:r>
    </w:p>
    <w:p w:rsidR="000A156F" w:rsidRDefault="00A9721F">
      <w:r>
        <w:lastRenderedPageBreak/>
        <w:t xml:space="preserve">    ASCII-RIGHT-SQUARE-BRACKET</w:t>
      </w:r>
    </w:p>
    <w:p w:rsidR="000A156F" w:rsidRDefault="00A9721F">
      <w:r>
        <w:t xml:space="preserve">NFPartCompOper = </w:t>
      </w:r>
    </w:p>
    <w:p w:rsidR="000A156F" w:rsidRDefault="00A9721F">
      <w:r>
        <w:t xml:space="preserve">    (ASCII-LESS-THAN-SIGN [ASCII-EQUALS-SIGN / ASCII-GREATER-THAN-SIGN]) /</w:t>
      </w:r>
    </w:p>
    <w:p w:rsidR="000A156F" w:rsidRDefault="00A9721F">
      <w:r>
        <w:t xml:space="preserve">    ASCII-EQUALS-SIGN /</w:t>
      </w:r>
    </w:p>
    <w:p w:rsidR="000A156F" w:rsidRDefault="00A9721F">
      <w:r>
        <w:t xml:space="preserve">    (ASCII-GREATER-THAN-SIGN [ASCII-EQUALS-SIGN])</w:t>
      </w:r>
    </w:p>
    <w:p w:rsidR="000A156F" w:rsidRDefault="00A9721F">
      <w:r>
        <w:t xml:space="preserve">NFPartLocaleID = </w:t>
      </w:r>
    </w:p>
    <w:p w:rsidR="000A156F" w:rsidRDefault="00A9721F">
      <w:r>
        <w:t xml:space="preserve">    ASCII-LEFT-SQUARE-BRACKET ASCII-DOLLAR-SIGN 1*UTF16-ANY [ASCII-HYPHEN-MINUS</w:t>
      </w:r>
    </w:p>
    <w:p w:rsidR="000A156F" w:rsidRDefault="00A9721F">
      <w:r>
        <w:t xml:space="preserve">    3*8ASCII-DIGIT-HEXADECIMAL] ASCII-RIGHT-SQUARE-BRACKET</w:t>
      </w:r>
    </w:p>
    <w:p w:rsidR="000A156F" w:rsidRDefault="00A9721F">
      <w:r>
        <w:t xml:space="preserve">NFPartCondNum = </w:t>
      </w:r>
    </w:p>
    <w:p w:rsidR="000A156F" w:rsidRDefault="00A9721F">
      <w:r>
        <w:t xml:space="preserve">    [ASC</w:t>
      </w:r>
      <w:r>
        <w:t xml:space="preserve">II-HYPHEN-MINUS] NFPartIntNum [INTL-CHAR-DECIMAL-SEP NFPartIntNum] </w:t>
      </w:r>
    </w:p>
    <w:p w:rsidR="000A156F" w:rsidRDefault="00A9721F">
      <w:r>
        <w:t xml:space="preserve">        [NFPartExponential NFPartIntNum]</w:t>
      </w:r>
    </w:p>
    <w:p w:rsidR="000A156F" w:rsidRDefault="00A9721F">
      <w:r>
        <w:t>NFPartSign = ASCII-PLUS-SIGN / ASCII-HYPHEN-MINUS</w:t>
      </w:r>
    </w:p>
    <w:p w:rsidR="000A156F" w:rsidRDefault="00A9721F">
      <w:r>
        <w:t xml:space="preserve">NFPartColor = </w:t>
      </w:r>
    </w:p>
    <w:p w:rsidR="000A156F" w:rsidRDefault="00A9721F">
      <w:r>
        <w:t xml:space="preserve">    ASCII-LEFT-SQUARE-BRACKET </w:t>
      </w:r>
    </w:p>
    <w:p w:rsidR="000A156F" w:rsidRDefault="00A9721F">
      <w:r>
        <w:t xml:space="preserve">    INTL-COLOR / (NFPartStrColor NFPart1To56)</w:t>
      </w:r>
    </w:p>
    <w:p w:rsidR="000A156F" w:rsidRDefault="00A9721F">
      <w:r>
        <w:t xml:space="preserve">    ASCII-RIGHT-SQUARE-BRACKET</w:t>
      </w:r>
    </w:p>
    <w:p w:rsidR="000A156F" w:rsidRDefault="00A9721F">
      <w:r>
        <w:t>NFPart1To56 =</w:t>
      </w:r>
    </w:p>
    <w:p w:rsidR="000A156F" w:rsidRDefault="00A9721F">
      <w:r>
        <w:t xml:space="preserve">    NFPartNumber1To9 /</w:t>
      </w:r>
    </w:p>
    <w:p w:rsidR="000A156F" w:rsidRDefault="00A9721F">
      <w:r>
        <w:t xml:space="preserve">    NFPartNumber1To4 ASCII-DIGIT /</w:t>
      </w:r>
    </w:p>
    <w:p w:rsidR="000A156F" w:rsidRDefault="00A9721F">
      <w:r>
        <w:t xml:space="preserve">    ASCII-DIGIT-FIVE (ASCII-DIGIT-ZERO / NFPartNumber1To6)</w:t>
      </w:r>
    </w:p>
    <w:p w:rsidR="000A156F" w:rsidRDefault="00A9721F">
      <w:r>
        <w:t>NFPartIntNum = 1*ASCII-DIGIT</w:t>
      </w:r>
    </w:p>
    <w:p w:rsidR="000A156F" w:rsidRDefault="00A9721F">
      <w:r>
        <w:t xml:space="preserve">NFPartNumToken1 = ASCII-NUMBER-SIGN / ASCII-QUESTION-MARK / </w:t>
      </w:r>
    </w:p>
    <w:p w:rsidR="000A156F" w:rsidRDefault="00A9721F">
      <w:r>
        <w:t xml:space="preserve">    </w:t>
      </w:r>
      <w:r>
        <w:t>ASCII-DIGIT-ZERO</w:t>
      </w:r>
    </w:p>
    <w:p w:rsidR="000A156F" w:rsidRDefault="00A9721F">
      <w:r>
        <w:t>NFPartNumToken2 = NFPartNumToken1 / INTL-CHAR-DECIMAL-SEP / INTL-CHAR-NUMGRP-SEP</w:t>
      </w:r>
    </w:p>
    <w:p w:rsidR="000A156F" w:rsidRDefault="00A9721F">
      <w:r>
        <w:t xml:space="preserve">NFPartFraction = </w:t>
      </w:r>
    </w:p>
    <w:p w:rsidR="000A156F" w:rsidRDefault="00A9721F">
      <w:r>
        <w:t>(1*NFPartIntNum *(NFPartIntNum / ASCII-PERCENT-SIGN)) /</w:t>
      </w:r>
    </w:p>
    <w:p w:rsidR="000A156F" w:rsidRDefault="00A9721F">
      <w:r>
        <w:t>(*(NFPartIntNum / ASCII-PERCENT-SIGN) 1*NFPartIntNum) /</w:t>
      </w:r>
    </w:p>
    <w:p w:rsidR="000A156F" w:rsidRDefault="00A9721F">
      <w:r>
        <w:t>(1*NFPartNumToken1 *(NFPartN</w:t>
      </w:r>
      <w:r>
        <w:t>umToken1 / ASCII-PERCENT-SIGN)) /</w:t>
      </w:r>
    </w:p>
    <w:p w:rsidR="000A156F" w:rsidRDefault="00A9721F">
      <w:r>
        <w:t>(*(NFPartNumToken1 / ASCII-PERCENT-SIGN) 1*NFPartNumToken1)</w:t>
      </w:r>
    </w:p>
    <w:p w:rsidR="000A156F" w:rsidRDefault="00A9721F">
      <w:r>
        <w:t>NFPartNumber1To4 =</w:t>
      </w:r>
    </w:p>
    <w:p w:rsidR="000A156F" w:rsidRDefault="00A9721F">
      <w:r>
        <w:t xml:space="preserve">    ASCII-DIGIT-ONE /</w:t>
      </w:r>
    </w:p>
    <w:p w:rsidR="000A156F" w:rsidRDefault="00A9721F">
      <w:r>
        <w:t xml:space="preserve">    ASCII-DIGIT-TWO /</w:t>
      </w:r>
    </w:p>
    <w:p w:rsidR="000A156F" w:rsidRDefault="00A9721F">
      <w:r>
        <w:lastRenderedPageBreak/>
        <w:t xml:space="preserve">    ASCII-DIGIT-THREE /</w:t>
      </w:r>
    </w:p>
    <w:p w:rsidR="000A156F" w:rsidRDefault="00A9721F">
      <w:r>
        <w:t xml:space="preserve">    ASCII-DIGIT-FOUR</w:t>
      </w:r>
    </w:p>
    <w:p w:rsidR="000A156F" w:rsidRDefault="00A9721F">
      <w:r>
        <w:t>NFPartNumber1To6 =</w:t>
      </w:r>
    </w:p>
    <w:p w:rsidR="000A156F" w:rsidRDefault="00A9721F">
      <w:r>
        <w:t xml:space="preserve">    NFPartNumber1To4 /</w:t>
      </w:r>
    </w:p>
    <w:p w:rsidR="000A156F" w:rsidRDefault="00A9721F">
      <w:r>
        <w:t xml:space="preserve">    ASCII-DI</w:t>
      </w:r>
      <w:r>
        <w:t>GIT-FIVE /</w:t>
      </w:r>
    </w:p>
    <w:p w:rsidR="000A156F" w:rsidRDefault="00A9721F">
      <w:r>
        <w:t xml:space="preserve">    ASCII-DIGIT-SIX</w:t>
      </w:r>
    </w:p>
    <w:p w:rsidR="000A156F" w:rsidRDefault="00A9721F">
      <w:r>
        <w:t>NFPartNumber1To9 =</w:t>
      </w:r>
    </w:p>
    <w:p w:rsidR="000A156F" w:rsidRDefault="00A9721F">
      <w:r>
        <w:t xml:space="preserve">    NFPartNumber1To6 /</w:t>
      </w:r>
    </w:p>
    <w:p w:rsidR="000A156F" w:rsidRDefault="00A9721F">
      <w:r>
        <w:t xml:space="preserve">    ASCII-DIGIT-SEVEN /</w:t>
      </w:r>
    </w:p>
    <w:p w:rsidR="000A156F" w:rsidRDefault="00A9721F">
      <w:r>
        <w:t xml:space="preserve">    ASCII-DIGIT-EIGHT /</w:t>
      </w:r>
    </w:p>
    <w:p w:rsidR="000A156F" w:rsidRDefault="00A9721F">
      <w:r>
        <w:t xml:space="preserve">    ASCII-DIGIT-NINE</w:t>
      </w:r>
    </w:p>
    <w:p w:rsidR="000A156F" w:rsidRDefault="00A9721F">
      <w:r>
        <w:t xml:space="preserve">NFPartStrColor = </w:t>
      </w:r>
    </w:p>
    <w:p w:rsidR="000A156F" w:rsidRDefault="00A9721F">
      <w:r>
        <w:t xml:space="preserve">    ASCII-CAPITAL-LETTER-C ASCII-SMALL-LETTER-O ASCII-SMALL-LETTER-L </w:t>
      </w:r>
    </w:p>
    <w:p w:rsidR="000A156F" w:rsidRDefault="00A9721F">
      <w:r>
        <w:t xml:space="preserve">        ASCII-SMALL-LETTER-O ASCII-SMALL-LETTER-R</w:t>
      </w:r>
    </w:p>
    <w:p w:rsidR="000A156F" w:rsidRDefault="00A9721F">
      <w:r>
        <w:t xml:space="preserve">LITERAL-CHAR = ASCII-REVERSE-SOLIDUS UTF16-ANY </w:t>
      </w:r>
    </w:p>
    <w:p w:rsidR="000A156F" w:rsidRDefault="00A9721F">
      <w:r>
        <w:t>LITERAL-CHAR-REPEAT = ASCII-ASTERISK UTF16-ANY</w:t>
      </w:r>
    </w:p>
    <w:p w:rsidR="000A156F" w:rsidRDefault="00A9721F">
      <w:r>
        <w:t xml:space="preserve">LITERAL-STRING = </w:t>
      </w:r>
    </w:p>
    <w:p w:rsidR="000A156F" w:rsidRDefault="00A9721F">
      <w:r>
        <w:t xml:space="preserve">    (ASCII-QUOTATION-MARK 1*UTF16-ANY-WITHOUT-QUOTE ASCII-QUOTATION-MARK) /</w:t>
      </w:r>
    </w:p>
    <w:p w:rsidR="000A156F" w:rsidRDefault="00A9721F">
      <w:r>
        <w:t xml:space="preserve">    1*LITERAL-CHAR</w:t>
      </w:r>
    </w:p>
    <w:p w:rsidR="000A156F" w:rsidRDefault="00A9721F">
      <w:r>
        <w:t>UTF16-ANY-WITHOUT-QUOTE = %x0000-0021 / %x0023-FFFF</w:t>
      </w:r>
    </w:p>
    <w:p w:rsidR="000A156F" w:rsidRDefault="00A9721F">
      <w:r>
        <w:t>LITERAL-CHAR-SPACE = ASCII-LOW-LINE UTF16-ANY</w:t>
      </w:r>
    </w:p>
    <w:p w:rsidR="000A156F" w:rsidRDefault="00A9721F">
      <w:r>
        <w:t xml:space="preserve">        </w:t>
      </w:r>
    </w:p>
    <w:p w:rsidR="000A156F" w:rsidRDefault="00A9721F">
      <w:r>
        <w:t xml:space="preserve">; INTL* Rules must be validated to suit the </w:t>
      </w:r>
    </w:p>
    <w:p w:rsidR="000A156F" w:rsidRDefault="00A9721F">
      <w:r>
        <w:t>; Locale and/or the UI language as appropriate</w:t>
      </w:r>
    </w:p>
    <w:p w:rsidR="000A156F" w:rsidRDefault="00A9721F">
      <w:r>
        <w:t>; ====================================</w:t>
      </w:r>
      <w:r>
        <w:t>===============================</w:t>
      </w:r>
    </w:p>
    <w:p w:rsidR="000A156F" w:rsidRDefault="00A9721F">
      <w:r>
        <w:t>INTL-CHAR-DECIMAL-SEP = ASCII-FULL-STOP</w:t>
      </w:r>
    </w:p>
    <w:p w:rsidR="000A156F" w:rsidRDefault="00A9721F">
      <w:r>
        <w:t>INTL-CHAR-NUMGRP-SEP = ASCII-COMMA</w:t>
      </w:r>
    </w:p>
    <w:p w:rsidR="000A156F" w:rsidRDefault="00A9721F">
      <w:r>
        <w:t>INTL-CHAR-DATE-SEP = ASCII-SOLIDUS</w:t>
      </w:r>
    </w:p>
    <w:p w:rsidR="000A156F" w:rsidRDefault="00A9721F">
      <w:r>
        <w:t>INTL-CHAR-TIME-SEP = ASCII-COLON</w:t>
      </w:r>
    </w:p>
    <w:p w:rsidR="000A156F" w:rsidRDefault="00A9721F">
      <w:r>
        <w:t xml:space="preserve">INTL-COLOR = </w:t>
      </w:r>
    </w:p>
    <w:p w:rsidR="000A156F" w:rsidRDefault="00A9721F">
      <w:r>
        <w:t xml:space="preserve">    (ASCII-CAPITAL-LETTER-B ASCII-SMALL-LETTER-L ASCII-SMALL-LETTER</w:t>
      </w:r>
      <w:r>
        <w:t xml:space="preserve">-A </w:t>
      </w:r>
    </w:p>
    <w:p w:rsidR="000A156F" w:rsidRDefault="00A9721F">
      <w:r>
        <w:lastRenderedPageBreak/>
        <w:t xml:space="preserve">        ASCII-SMALL-LETTER-C ASCII-SMALL-LETTER-K) / ; Black</w:t>
      </w:r>
    </w:p>
    <w:p w:rsidR="000A156F" w:rsidRDefault="00A9721F">
      <w:r>
        <w:t xml:space="preserve">    (ASCII-CAPITAL-LETTER-B ASCII-SMALL-LETTER-L ASCII-SMALL-LETTER-U </w:t>
      </w:r>
    </w:p>
    <w:p w:rsidR="000A156F" w:rsidRDefault="00A9721F">
      <w:r>
        <w:t xml:space="preserve">        ASCII-SMALL-LETTER-E) / ; Blue</w:t>
      </w:r>
    </w:p>
    <w:p w:rsidR="000A156F" w:rsidRDefault="00A9721F">
      <w:r>
        <w:t xml:space="preserve">    (ASCII-CAPITAL-LETTER-C ASCII-SMALL-LETTER-Y ASCII-SMALL-LETTER-A </w:t>
      </w:r>
    </w:p>
    <w:p w:rsidR="000A156F" w:rsidRDefault="00A9721F">
      <w:r>
        <w:t xml:space="preserve">        AS</w:t>
      </w:r>
      <w:r>
        <w:t>CII-SMALL-LETTER-N) / ;Cyan</w:t>
      </w:r>
    </w:p>
    <w:p w:rsidR="000A156F" w:rsidRDefault="00A9721F">
      <w:r>
        <w:t xml:space="preserve">    (ASCII-CAPITAL-LETTER-G ASCII-SMALL-LETTER-R ASCII-SMALL-LETTER-E </w:t>
      </w:r>
    </w:p>
    <w:p w:rsidR="000A156F" w:rsidRDefault="00A9721F">
      <w:r>
        <w:t xml:space="preserve">        ASCII-SMALL-LETTER-E ASCII-SMALL-LETTER-N) / ; Green</w:t>
      </w:r>
    </w:p>
    <w:p w:rsidR="000A156F" w:rsidRDefault="00A9721F">
      <w:r>
        <w:t xml:space="preserve">    (ASCII-CAPITAL-LETTER-M ASCII-SMALL-LETTER-A ASCII-SMALL-LETTER-G </w:t>
      </w:r>
    </w:p>
    <w:p w:rsidR="000A156F" w:rsidRDefault="00A9721F">
      <w:r>
        <w:t xml:space="preserve">        ASCII-SMALL-LETTE</w:t>
      </w:r>
      <w:r>
        <w:t xml:space="preserve">R-E ASCII-SMALL-LETTER-N </w:t>
      </w:r>
    </w:p>
    <w:p w:rsidR="000A156F" w:rsidRDefault="00A9721F">
      <w:r>
        <w:t xml:space="preserve">        ASCII-SMALL-LETTER-T ASCII-SMALL-LETTER-A) / ; Magenta</w:t>
      </w:r>
    </w:p>
    <w:p w:rsidR="000A156F" w:rsidRDefault="00A9721F">
      <w:r>
        <w:t xml:space="preserve">    (ASCII-CAPITAL-LETTER-R ASCII-SMALL-LETTER-E </w:t>
      </w:r>
    </w:p>
    <w:p w:rsidR="000A156F" w:rsidRDefault="00A9721F">
      <w:r>
        <w:t xml:space="preserve">        ASCII-SMALL-LETTER-D ) / ; Red</w:t>
      </w:r>
    </w:p>
    <w:p w:rsidR="000A156F" w:rsidRDefault="00A9721F">
      <w:r>
        <w:t xml:space="preserve">    (ASCII-CAPITAL-LETTER-W ASCII-SMALL-LETTER-H ASCII-SMALL-LETTER-I </w:t>
      </w:r>
    </w:p>
    <w:p w:rsidR="000A156F" w:rsidRDefault="00A9721F">
      <w:r>
        <w:t xml:space="preserve">        ASCII-SMALL-LETTER-T ASCII-SMALL-LETTER-E) / ; White</w:t>
      </w:r>
    </w:p>
    <w:p w:rsidR="000A156F" w:rsidRDefault="00A9721F">
      <w:r>
        <w:t xml:space="preserve">    (ASCII-CAPITAL-LETTER-Y ASCII-SMALL-LETTER-E ASCII-SMALL-LETTER-L </w:t>
      </w:r>
    </w:p>
    <w:p w:rsidR="000A156F" w:rsidRDefault="00A9721F">
      <w:r>
        <w:t xml:space="preserve">        ASCII-SMALL-LETTER-L ASCII-SMALL-LETTER-O </w:t>
      </w:r>
    </w:p>
    <w:p w:rsidR="000A156F" w:rsidRDefault="00A9721F">
      <w:r>
        <w:t xml:space="preserve">        ASCII-SMALL-LETTER-W) ; Yellow</w:t>
      </w:r>
    </w:p>
    <w:p w:rsidR="000A156F" w:rsidRDefault="00A9721F">
      <w:r>
        <w:t xml:space="preserve">        </w:t>
      </w:r>
    </w:p>
    <w:p w:rsidR="000A156F" w:rsidRDefault="00A9721F">
      <w:r>
        <w:t xml:space="preserve">INTL-NUMFMT-GENERAL = </w:t>
      </w:r>
    </w:p>
    <w:p w:rsidR="000A156F" w:rsidRDefault="00A9721F">
      <w:r>
        <w:t xml:space="preserve">  </w:t>
      </w:r>
      <w:r>
        <w:t xml:space="preserve">  ASCII-CAPITAL-LETTER-G ASCII-SMALL-LETTER-E ASCII-SMALL-LETTER-N </w:t>
      </w:r>
    </w:p>
    <w:p w:rsidR="000A156F" w:rsidRDefault="00A9721F">
      <w:r>
        <w:t xml:space="preserve">    ASCII-SMALL-LETTER-E ASCII-SMALL-LETTER-R ASCII-SMALL-LETTER-A </w:t>
      </w:r>
    </w:p>
    <w:p w:rsidR="000A156F" w:rsidRDefault="00A9721F">
      <w:r>
        <w:t xml:space="preserve">    ASCII-SMALL-LETTER-L</w:t>
      </w:r>
    </w:p>
    <w:p w:rsidR="000A156F" w:rsidRDefault="00A9721F">
      <w:r>
        <w:t xml:space="preserve">INTL-AMPM = </w:t>
      </w:r>
    </w:p>
    <w:p w:rsidR="000A156F" w:rsidRDefault="00A9721F">
      <w:r>
        <w:t xml:space="preserve">    (ASCII-CAPITAL-LETTER-A ASCII-CAPITAL-LETTER-M ASCII-SOLIDUS </w:t>
      </w:r>
    </w:p>
    <w:p w:rsidR="000A156F" w:rsidRDefault="00A9721F">
      <w:r>
        <w:t xml:space="preserve">        ASCII-CA</w:t>
      </w:r>
      <w:r>
        <w:t>PITAL-LETTER-P ASCII-CAPITAL-LETTER-M) /</w:t>
      </w:r>
    </w:p>
    <w:p w:rsidR="000A156F" w:rsidRDefault="00A9721F">
      <w:r>
        <w:t xml:space="preserve">    "A/P"</w:t>
      </w:r>
    </w:p>
    <w:p w:rsidR="000A156F" w:rsidRDefault="00A9721F">
      <w:r>
        <w:t xml:space="preserve">    </w:t>
      </w:r>
    </w:p>
    <w:p w:rsidR="000A156F" w:rsidRDefault="00A9721F">
      <w:r>
        <w:t>UTF16-ANY = %x0000-FFFF</w:t>
      </w:r>
    </w:p>
    <w:p w:rsidR="000A156F" w:rsidRDefault="00A9721F">
      <w:r>
        <w:t>; ===================================================================</w:t>
      </w:r>
    </w:p>
    <w:p w:rsidR="000A156F" w:rsidRDefault="00A9721F">
      <w:r>
        <w:t>; Derived from Unicode names of ASCII characters (%x20-7F)</w:t>
      </w:r>
    </w:p>
    <w:p w:rsidR="000A156F" w:rsidRDefault="00A9721F">
      <w:r>
        <w:lastRenderedPageBreak/>
        <w:t>; =============================================</w:t>
      </w:r>
      <w:r>
        <w:t xml:space="preserve">====================== </w:t>
      </w:r>
    </w:p>
    <w:p w:rsidR="000A156F" w:rsidRDefault="00A9721F">
      <w:r>
        <w:t>ASCII-SPACE = %x20</w:t>
      </w:r>
    </w:p>
    <w:p w:rsidR="000A156F" w:rsidRDefault="00A9721F">
      <w:r>
        <w:t>ASCII-EXCLAMATION-MARK = %x21</w:t>
      </w:r>
    </w:p>
    <w:p w:rsidR="000A156F" w:rsidRDefault="00A9721F">
      <w:r>
        <w:t>ASCII-QUOTATION-MARK = %x22</w:t>
      </w:r>
    </w:p>
    <w:p w:rsidR="000A156F" w:rsidRDefault="00A9721F">
      <w:r>
        <w:t>ASCII-NUMBER-SIGN = %x23</w:t>
      </w:r>
    </w:p>
    <w:p w:rsidR="000A156F" w:rsidRDefault="00A9721F">
      <w:r>
        <w:t>ASCII-DOLLAR-SIGN = %x24</w:t>
      </w:r>
    </w:p>
    <w:p w:rsidR="000A156F" w:rsidRDefault="00A9721F">
      <w:r>
        <w:t>ASCII-PERCENT-SIGN = %x25</w:t>
      </w:r>
    </w:p>
    <w:p w:rsidR="000A156F" w:rsidRDefault="00A9721F">
      <w:r>
        <w:t>ASCII-AMPERSAND = %x26</w:t>
      </w:r>
    </w:p>
    <w:p w:rsidR="000A156F" w:rsidRDefault="00A9721F">
      <w:r>
        <w:t>ASCII-APOSTROPHE = %x27</w:t>
      </w:r>
    </w:p>
    <w:p w:rsidR="000A156F" w:rsidRDefault="00A9721F">
      <w:r>
        <w:t>ASCII-LEFT-PARENTHESIS = %x28</w:t>
      </w:r>
    </w:p>
    <w:p w:rsidR="000A156F" w:rsidRDefault="00A9721F">
      <w:r>
        <w:t>ASCII-RIGHT-PARENTHESIS = %x29</w:t>
      </w:r>
    </w:p>
    <w:p w:rsidR="000A156F" w:rsidRDefault="00A9721F">
      <w:r>
        <w:t>ASCII-ASTERISK = %x2A</w:t>
      </w:r>
    </w:p>
    <w:p w:rsidR="000A156F" w:rsidRDefault="00A9721F">
      <w:r>
        <w:t>ASCII-PLUS-SIGN = %x2B</w:t>
      </w:r>
    </w:p>
    <w:p w:rsidR="000A156F" w:rsidRDefault="00A9721F">
      <w:r>
        <w:t>ASCII-COMMA = %x2C</w:t>
      </w:r>
    </w:p>
    <w:p w:rsidR="000A156F" w:rsidRDefault="00A9721F">
      <w:r>
        <w:t>ASCII-HYPHEN-MINUS = %x2D</w:t>
      </w:r>
    </w:p>
    <w:p w:rsidR="000A156F" w:rsidRDefault="00A9721F">
      <w:r>
        <w:t>ASCII-FULL-STOP = %x2E</w:t>
      </w:r>
    </w:p>
    <w:p w:rsidR="000A156F" w:rsidRDefault="00A9721F">
      <w:r>
        <w:t>ASCII-SOLIDUS = %x2F</w:t>
      </w:r>
    </w:p>
    <w:p w:rsidR="000A156F" w:rsidRDefault="00A9721F">
      <w:r>
        <w:t>ASCII-DIGIT-ZERO = %x30</w:t>
      </w:r>
    </w:p>
    <w:p w:rsidR="000A156F" w:rsidRDefault="00A9721F">
      <w:r>
        <w:t>ASCII-DIGIT-ONE = %x31</w:t>
      </w:r>
    </w:p>
    <w:p w:rsidR="000A156F" w:rsidRDefault="00A9721F">
      <w:r>
        <w:t>ASCII-DIGIT-TWO = %x32</w:t>
      </w:r>
    </w:p>
    <w:p w:rsidR="000A156F" w:rsidRDefault="00A9721F">
      <w:r>
        <w:t>ASCII-DIGIT-THREE = %</w:t>
      </w:r>
      <w:r>
        <w:t>x33</w:t>
      </w:r>
    </w:p>
    <w:p w:rsidR="000A156F" w:rsidRDefault="00A9721F">
      <w:r>
        <w:t>ASCII-DIGIT-FOUR = %x34</w:t>
      </w:r>
    </w:p>
    <w:p w:rsidR="000A156F" w:rsidRDefault="00A9721F">
      <w:r>
        <w:t>ASCII-DIGIT-FIVE = %x35</w:t>
      </w:r>
    </w:p>
    <w:p w:rsidR="000A156F" w:rsidRDefault="00A9721F">
      <w:r>
        <w:t>ASCII-DIGIT-SIX = %x36</w:t>
      </w:r>
    </w:p>
    <w:p w:rsidR="000A156F" w:rsidRDefault="00A9721F">
      <w:r>
        <w:t>ASCII-DIGIT-SEVEN = %x37</w:t>
      </w:r>
    </w:p>
    <w:p w:rsidR="000A156F" w:rsidRDefault="00A9721F">
      <w:r>
        <w:t>ASCII-DIGIT-EIGHT = %x38</w:t>
      </w:r>
    </w:p>
    <w:p w:rsidR="000A156F" w:rsidRDefault="00A9721F">
      <w:r>
        <w:t>ASCII-DIGIT-NINE = %x39</w:t>
      </w:r>
    </w:p>
    <w:p w:rsidR="000A156F" w:rsidRDefault="00A9721F">
      <w:r>
        <w:t>ASCII-COLON = %x3A</w:t>
      </w:r>
    </w:p>
    <w:p w:rsidR="000A156F" w:rsidRDefault="00A9721F">
      <w:r>
        <w:t>ASCII-SEMICOLON = %x3B</w:t>
      </w:r>
    </w:p>
    <w:p w:rsidR="000A156F" w:rsidRDefault="00A9721F">
      <w:r>
        <w:t>ASCII-LESS-THAN-SIGN = %x3C</w:t>
      </w:r>
    </w:p>
    <w:p w:rsidR="000A156F" w:rsidRDefault="00A9721F">
      <w:r>
        <w:t>ASCII-EQUALS-SIGN = %x3D</w:t>
      </w:r>
    </w:p>
    <w:p w:rsidR="000A156F" w:rsidRDefault="00A9721F">
      <w:r>
        <w:lastRenderedPageBreak/>
        <w:t>ASCII-GREATE</w:t>
      </w:r>
      <w:r>
        <w:t>R-THAN-SIGN = %x3E</w:t>
      </w:r>
    </w:p>
    <w:p w:rsidR="000A156F" w:rsidRDefault="00A9721F">
      <w:r>
        <w:t>ASCII-QUESTION-MARK = %x3F</w:t>
      </w:r>
    </w:p>
    <w:p w:rsidR="000A156F" w:rsidRDefault="00A9721F">
      <w:r>
        <w:t>ASCII-COMMERCIAL-AT = %x40</w:t>
      </w:r>
    </w:p>
    <w:p w:rsidR="000A156F" w:rsidRDefault="00A9721F">
      <w:r>
        <w:t>ASCII-CAPITAL-LETTER-A = %x41</w:t>
      </w:r>
    </w:p>
    <w:p w:rsidR="000A156F" w:rsidRDefault="00A9721F">
      <w:r>
        <w:t>ASCII-CAPITAL-LETTER-B = %x42</w:t>
      </w:r>
    </w:p>
    <w:p w:rsidR="000A156F" w:rsidRDefault="00A9721F">
      <w:r>
        <w:t>ASCII-CAPITAL-LETTER-C = %x43</w:t>
      </w:r>
    </w:p>
    <w:p w:rsidR="000A156F" w:rsidRDefault="00A9721F">
      <w:r>
        <w:t>ASCII-CAPITAL-LETTER-D = %x44</w:t>
      </w:r>
    </w:p>
    <w:p w:rsidR="000A156F" w:rsidRDefault="00A9721F">
      <w:r>
        <w:t>ASCII-CAPITAL-LETTER-E = %x45</w:t>
      </w:r>
    </w:p>
    <w:p w:rsidR="000A156F" w:rsidRDefault="00A9721F">
      <w:r>
        <w:t>ASCII-CAPITAL-LETTER-F = %x46</w:t>
      </w:r>
    </w:p>
    <w:p w:rsidR="000A156F" w:rsidRDefault="00A9721F">
      <w:r>
        <w:t>ASCII-CAPITAL-LETTER-G = %x47</w:t>
      </w:r>
    </w:p>
    <w:p w:rsidR="000A156F" w:rsidRDefault="00A9721F">
      <w:r>
        <w:t>ASCII-CAPITAL-LETTER-H = %x48</w:t>
      </w:r>
    </w:p>
    <w:p w:rsidR="000A156F" w:rsidRDefault="00A9721F">
      <w:r>
        <w:t>ASCII-CAPITAL-LETTER-I = %x49</w:t>
      </w:r>
    </w:p>
    <w:p w:rsidR="000A156F" w:rsidRDefault="00A9721F">
      <w:r>
        <w:t>ASCII-CAPITAL-LETTER-J = %x4A</w:t>
      </w:r>
    </w:p>
    <w:p w:rsidR="000A156F" w:rsidRDefault="00A9721F">
      <w:r>
        <w:t>ASCII-CAPITAL-LETTER-K = %x4B</w:t>
      </w:r>
    </w:p>
    <w:p w:rsidR="000A156F" w:rsidRDefault="00A9721F">
      <w:r>
        <w:t>ASCII-CAPITAL-LETTER-L = %x4C</w:t>
      </w:r>
    </w:p>
    <w:p w:rsidR="000A156F" w:rsidRDefault="00A9721F">
      <w:r>
        <w:t>ASCII-CAPITAL-LETTER-M = %x4D</w:t>
      </w:r>
    </w:p>
    <w:p w:rsidR="000A156F" w:rsidRDefault="00A9721F">
      <w:r>
        <w:t>ASCII-CAPITAL-LETTER-N = %x4E</w:t>
      </w:r>
    </w:p>
    <w:p w:rsidR="000A156F" w:rsidRDefault="00A9721F">
      <w:r>
        <w:t>ASCII-CAPITAL-LE</w:t>
      </w:r>
      <w:r>
        <w:t>TTER-O = %x4F</w:t>
      </w:r>
    </w:p>
    <w:p w:rsidR="000A156F" w:rsidRDefault="00A9721F">
      <w:r>
        <w:t>ASCII-CAPITAL-LETTER-P = %x50</w:t>
      </w:r>
    </w:p>
    <w:p w:rsidR="000A156F" w:rsidRDefault="00A9721F">
      <w:r>
        <w:t>ASCII-CAPITAL-LETTER-Q = %x51</w:t>
      </w:r>
    </w:p>
    <w:p w:rsidR="000A156F" w:rsidRDefault="00A9721F">
      <w:r>
        <w:t>ASCII-CAPITAL-LETTER-R = %x52</w:t>
      </w:r>
    </w:p>
    <w:p w:rsidR="000A156F" w:rsidRDefault="00A9721F">
      <w:r>
        <w:t>ASCII-CAPITAL-LETTER-S = %x53</w:t>
      </w:r>
    </w:p>
    <w:p w:rsidR="000A156F" w:rsidRDefault="00A9721F">
      <w:r>
        <w:t>ASCII-CAPITAL-LETTER-T = %x54</w:t>
      </w:r>
    </w:p>
    <w:p w:rsidR="000A156F" w:rsidRDefault="00A9721F">
      <w:r>
        <w:t>ASCII-CAPITAL-LETTER-U = %x55</w:t>
      </w:r>
    </w:p>
    <w:p w:rsidR="000A156F" w:rsidRDefault="00A9721F">
      <w:r>
        <w:t>ASCII-CAPITAL-LETTER-V = %x56</w:t>
      </w:r>
    </w:p>
    <w:p w:rsidR="000A156F" w:rsidRDefault="00A9721F">
      <w:r>
        <w:t>ASCII-CAPITAL-LETTER-W = %x57</w:t>
      </w:r>
    </w:p>
    <w:p w:rsidR="000A156F" w:rsidRDefault="00A9721F">
      <w:r>
        <w:t>ASCII-CAPITAL-LETTER-X = %x58</w:t>
      </w:r>
    </w:p>
    <w:p w:rsidR="000A156F" w:rsidRDefault="00A9721F">
      <w:r>
        <w:t>ASCII-CAPITAL-LETTER-Y = %x59</w:t>
      </w:r>
    </w:p>
    <w:p w:rsidR="000A156F" w:rsidRDefault="00A9721F">
      <w:r>
        <w:t>ASCII-CAPITAL-LETTER-Z = %x5A</w:t>
      </w:r>
    </w:p>
    <w:p w:rsidR="000A156F" w:rsidRDefault="00A9721F">
      <w:r>
        <w:t>ASCII-LEFT-SQUARE-BRACKET = %x5B</w:t>
      </w:r>
    </w:p>
    <w:p w:rsidR="000A156F" w:rsidRDefault="00A9721F">
      <w:r>
        <w:t>ASCII-REVERSE-SOLIDUS = %x5C</w:t>
      </w:r>
    </w:p>
    <w:p w:rsidR="000A156F" w:rsidRDefault="00A9721F">
      <w:r>
        <w:t>ASCII-RIGHT-SQUARE-BRACKET = %x5D</w:t>
      </w:r>
    </w:p>
    <w:p w:rsidR="000A156F" w:rsidRDefault="00A9721F">
      <w:r>
        <w:lastRenderedPageBreak/>
        <w:t>ASCII-CIRCUMFLEX-ACCENT = %x5E</w:t>
      </w:r>
    </w:p>
    <w:p w:rsidR="000A156F" w:rsidRDefault="00A9721F">
      <w:r>
        <w:t>ASCII-LOW-LINE = %x5F</w:t>
      </w:r>
    </w:p>
    <w:p w:rsidR="000A156F" w:rsidRDefault="00A9721F">
      <w:r>
        <w:t>ASCII-GRAVE-ACCEN</w:t>
      </w:r>
      <w:r>
        <w:t>T = %x60</w:t>
      </w:r>
    </w:p>
    <w:p w:rsidR="000A156F" w:rsidRDefault="00A9721F">
      <w:r>
        <w:t>ASCII-SMALL-LETTER-A = %x61</w:t>
      </w:r>
    </w:p>
    <w:p w:rsidR="000A156F" w:rsidRDefault="00A9721F">
      <w:r>
        <w:t>ASCII-SMALL-LETTER-B = %x62</w:t>
      </w:r>
    </w:p>
    <w:p w:rsidR="000A156F" w:rsidRDefault="00A9721F">
      <w:r>
        <w:t>ASCII-SMALL-LETTER-C = %x63</w:t>
      </w:r>
    </w:p>
    <w:p w:rsidR="000A156F" w:rsidRDefault="00A9721F">
      <w:r>
        <w:t>ASCII-SMALL-LETTER-D = %x64</w:t>
      </w:r>
    </w:p>
    <w:p w:rsidR="000A156F" w:rsidRDefault="00A9721F">
      <w:r>
        <w:t>ASCII-SMALL-LETTER-E = %x65</w:t>
      </w:r>
    </w:p>
    <w:p w:rsidR="000A156F" w:rsidRDefault="00A9721F">
      <w:r>
        <w:t>ASCII-SMALL-LETTER-F = %x66</w:t>
      </w:r>
    </w:p>
    <w:p w:rsidR="000A156F" w:rsidRDefault="00A9721F">
      <w:r>
        <w:t>ASCII-SMALL-LETTER-G = %x67</w:t>
      </w:r>
    </w:p>
    <w:p w:rsidR="000A156F" w:rsidRDefault="00A9721F">
      <w:r>
        <w:t>ASCII-SMALL-LETTER-H = %x68</w:t>
      </w:r>
    </w:p>
    <w:p w:rsidR="000A156F" w:rsidRDefault="00A9721F">
      <w:r>
        <w:t xml:space="preserve">ASCII-SMALL-LETTER-I = </w:t>
      </w:r>
      <w:r>
        <w:t>%x69</w:t>
      </w:r>
    </w:p>
    <w:p w:rsidR="000A156F" w:rsidRDefault="00A9721F">
      <w:r>
        <w:t>ASCII-SMALL-LETTER-J = %x6A</w:t>
      </w:r>
    </w:p>
    <w:p w:rsidR="000A156F" w:rsidRDefault="00A9721F">
      <w:r>
        <w:t>ASCII-SMALL-LETTER-K = %x6B</w:t>
      </w:r>
    </w:p>
    <w:p w:rsidR="000A156F" w:rsidRDefault="00A9721F">
      <w:r>
        <w:t>ASCII-SMALL-LETTER-L = %x6C</w:t>
      </w:r>
    </w:p>
    <w:p w:rsidR="000A156F" w:rsidRDefault="00A9721F">
      <w:r>
        <w:t>ASCII-SMALL-LETTER-M = %x6D</w:t>
      </w:r>
    </w:p>
    <w:p w:rsidR="000A156F" w:rsidRDefault="00A9721F">
      <w:r>
        <w:t>ASCII-SMALL-LETTER-N = %x6E</w:t>
      </w:r>
    </w:p>
    <w:p w:rsidR="000A156F" w:rsidRDefault="00A9721F">
      <w:r>
        <w:t>ASCII-SMALL-LETTER-O = %x6F</w:t>
      </w:r>
    </w:p>
    <w:p w:rsidR="000A156F" w:rsidRDefault="00A9721F">
      <w:r>
        <w:t>ASCII-SMALL-LETTER-P = %x70</w:t>
      </w:r>
    </w:p>
    <w:p w:rsidR="000A156F" w:rsidRDefault="00A9721F">
      <w:r>
        <w:t>ASCII-SMALL-LETTER-Q = %x71</w:t>
      </w:r>
    </w:p>
    <w:p w:rsidR="000A156F" w:rsidRDefault="00A9721F">
      <w:r>
        <w:t>ASCII-SMALL-LETTER-R = %x72</w:t>
      </w:r>
    </w:p>
    <w:p w:rsidR="000A156F" w:rsidRDefault="00A9721F">
      <w:r>
        <w:t>ASCII-SMALL-LETTER-S = %x73</w:t>
      </w:r>
    </w:p>
    <w:p w:rsidR="000A156F" w:rsidRDefault="00A9721F">
      <w:r>
        <w:t>ASCII-SMALL-LETTER-T = %x74</w:t>
      </w:r>
    </w:p>
    <w:p w:rsidR="000A156F" w:rsidRDefault="00A9721F">
      <w:r>
        <w:t>ASCII-SMALL-LETTER-U = %x75</w:t>
      </w:r>
    </w:p>
    <w:p w:rsidR="000A156F" w:rsidRDefault="00A9721F">
      <w:r>
        <w:t>ASCII-SMALL-LETTER-V = %x76</w:t>
      </w:r>
    </w:p>
    <w:p w:rsidR="000A156F" w:rsidRDefault="00A9721F">
      <w:r>
        <w:t>ASCII-SMALL-LETTER-W = %x77</w:t>
      </w:r>
    </w:p>
    <w:p w:rsidR="000A156F" w:rsidRDefault="00A9721F">
      <w:r>
        <w:t>ASCII-SMALL-LETTER-X = %x78</w:t>
      </w:r>
    </w:p>
    <w:p w:rsidR="000A156F" w:rsidRDefault="00A9721F">
      <w:r>
        <w:t>ASCII-SMALL-LETTER-Y = %x79</w:t>
      </w:r>
    </w:p>
    <w:p w:rsidR="000A156F" w:rsidRDefault="00A9721F">
      <w:r>
        <w:t>ASCII-SMALL-LETTER-Z = %x7A</w:t>
      </w:r>
    </w:p>
    <w:p w:rsidR="000A156F" w:rsidRDefault="00A9721F">
      <w:r>
        <w:t>ASCII-LEFT-CURLY-BRACKET = %x7B</w:t>
      </w:r>
    </w:p>
    <w:p w:rsidR="000A156F" w:rsidRDefault="00A9721F">
      <w:r>
        <w:t>ASCII-VERTICAL-LINE = %x7C</w:t>
      </w:r>
    </w:p>
    <w:p w:rsidR="000A156F" w:rsidRDefault="00A9721F">
      <w:r>
        <w:t>ASCII-RIGHT-CURLY-BRACKET = %x7D</w:t>
      </w:r>
    </w:p>
    <w:p w:rsidR="000A156F" w:rsidRDefault="00A9721F">
      <w:r>
        <w:lastRenderedPageBreak/>
        <w:t>ASCII-TILDE = %x7E</w:t>
      </w:r>
    </w:p>
    <w:p w:rsidR="000A156F" w:rsidRDefault="00A9721F">
      <w:r>
        <w:t>ASCII-DELETE = %x7F</w:t>
      </w:r>
    </w:p>
    <w:p w:rsidR="000A156F" w:rsidRDefault="00A9721F">
      <w:r>
        <w:t>ASCII-CRLF = %x0d.0a</w:t>
      </w:r>
    </w:p>
    <w:p w:rsidR="000A156F" w:rsidRDefault="00A9721F">
      <w:r>
        <w:t xml:space="preserve">ASCII-DIGIT = </w:t>
      </w:r>
    </w:p>
    <w:p w:rsidR="000A156F" w:rsidRDefault="00A9721F">
      <w:r>
        <w:t xml:space="preserve">    ASCII-DIGIT-ZERO /</w:t>
      </w:r>
    </w:p>
    <w:p w:rsidR="000A156F" w:rsidRDefault="00A9721F">
      <w:r>
        <w:t xml:space="preserve">    ASCII-DIGIT-ONE /</w:t>
      </w:r>
    </w:p>
    <w:p w:rsidR="000A156F" w:rsidRDefault="00A9721F">
      <w:r>
        <w:t xml:space="preserve">    ASCII-DIGIT-TWO /</w:t>
      </w:r>
    </w:p>
    <w:p w:rsidR="000A156F" w:rsidRDefault="00A9721F">
      <w:r>
        <w:t xml:space="preserve">    ASCII-DIGIT-THREE /</w:t>
      </w:r>
    </w:p>
    <w:p w:rsidR="000A156F" w:rsidRDefault="00A9721F">
      <w:r>
        <w:t xml:space="preserve">    ASCII-DIGIT-FOUR /</w:t>
      </w:r>
    </w:p>
    <w:p w:rsidR="000A156F" w:rsidRDefault="00A9721F">
      <w:r>
        <w:t xml:space="preserve">    ASCII-DIGIT-FIVE /</w:t>
      </w:r>
    </w:p>
    <w:p w:rsidR="000A156F" w:rsidRDefault="00A9721F">
      <w:r>
        <w:t xml:space="preserve">    ASCII-DIGIT-SIX /</w:t>
      </w:r>
    </w:p>
    <w:p w:rsidR="000A156F" w:rsidRDefault="00A9721F">
      <w:r>
        <w:t xml:space="preserve">    ASCII-DIGIT-SEVEN /</w:t>
      </w:r>
    </w:p>
    <w:p w:rsidR="000A156F" w:rsidRDefault="00A9721F">
      <w:r>
        <w:t xml:space="preserve">    ASCII-DIGIT-EIGHT /</w:t>
      </w:r>
    </w:p>
    <w:p w:rsidR="000A156F" w:rsidRDefault="00A9721F">
      <w:r>
        <w:t xml:space="preserve">    ASCII-DIGIT-NINE</w:t>
      </w:r>
    </w:p>
    <w:p w:rsidR="000A156F" w:rsidRDefault="00A9721F">
      <w:r>
        <w:t xml:space="preserve">ASCII-DIGIT-HEXADECIMAL = </w:t>
      </w:r>
    </w:p>
    <w:p w:rsidR="000A156F" w:rsidRDefault="00A9721F">
      <w:r>
        <w:t xml:space="preserve">    ASCII-DIGIT / </w:t>
      </w:r>
    </w:p>
    <w:p w:rsidR="000A156F" w:rsidRDefault="00A9721F">
      <w:r>
        <w:t xml:space="preserve">    ASCII-SMALL-LETTER-A /</w:t>
      </w:r>
    </w:p>
    <w:p w:rsidR="000A156F" w:rsidRDefault="00A9721F">
      <w:r>
        <w:t xml:space="preserve">    ASCII-SMALL-LETTER-B /</w:t>
      </w:r>
    </w:p>
    <w:p w:rsidR="000A156F" w:rsidRDefault="00A9721F">
      <w:r>
        <w:t xml:space="preserve">    ASCII-SMALL-LETTER-C /</w:t>
      </w:r>
    </w:p>
    <w:p w:rsidR="000A156F" w:rsidRDefault="00A9721F">
      <w:r>
        <w:t xml:space="preserve">    ASCII-SMALL-LETTER-D /</w:t>
      </w:r>
    </w:p>
    <w:p w:rsidR="000A156F" w:rsidRDefault="00A9721F">
      <w:r>
        <w:t xml:space="preserve">    ASCII-SMALL-LETTER-E /</w:t>
      </w:r>
    </w:p>
    <w:p w:rsidR="000A156F" w:rsidRDefault="00A9721F">
      <w:r>
        <w:t xml:space="preserve">    ASCII-SMALL-LETTER-F /</w:t>
      </w:r>
    </w:p>
    <w:p w:rsidR="000A156F" w:rsidRDefault="00A9721F">
      <w:r>
        <w:t xml:space="preserve">    ASCII-CAPITAL-LETTER-A /</w:t>
      </w:r>
    </w:p>
    <w:p w:rsidR="000A156F" w:rsidRDefault="00A9721F">
      <w:r>
        <w:t xml:space="preserve">    ASCII-CAPITAL-LETTER-B /</w:t>
      </w:r>
    </w:p>
    <w:p w:rsidR="000A156F" w:rsidRDefault="00A9721F">
      <w:r>
        <w:t xml:space="preserve">    ASCII-CAPITAL-LETTER-C /</w:t>
      </w:r>
    </w:p>
    <w:p w:rsidR="000A156F" w:rsidRDefault="00A9721F">
      <w:r>
        <w:t xml:space="preserve">    ASCII-CAPITAL-LETTER-D /</w:t>
      </w:r>
    </w:p>
    <w:p w:rsidR="000A156F" w:rsidRDefault="00A9721F">
      <w:r>
        <w:t xml:space="preserve">    ASCII-CAPITAL-LETTER-E /</w:t>
      </w:r>
    </w:p>
    <w:p w:rsidR="000A156F" w:rsidRDefault="00A9721F">
      <w:r>
        <w:t xml:space="preserve">    ASCII-CAPITAL-LETTER-F</w:t>
      </w:r>
    </w:p>
    <w:p w:rsidR="000A156F" w:rsidRDefault="00A9721F">
      <w:r>
        <w:t>; =</w:t>
      </w:r>
      <w:r>
        <w:t xml:space="preserve">================================================================== </w:t>
      </w:r>
    </w:p>
    <w:p w:rsidR="000A156F" w:rsidRDefault="00A9721F">
      <w:pPr>
        <w:pStyle w:val="Definition-Field"/>
      </w:pPr>
      <w:r>
        <w:t xml:space="preserve">c.   </w:t>
      </w:r>
      <w:r>
        <w:rPr>
          <w:i/>
        </w:rPr>
        <w:t>The standard does not restrict the parent of numFmt, such that the numFmtId attribute specifies the Id used by the master style records (xf's) to reference this number format.</w:t>
      </w:r>
    </w:p>
    <w:p w:rsidR="000A156F" w:rsidRDefault="00A9721F">
      <w:pPr>
        <w:pStyle w:val="Definition-Field2"/>
      </w:pPr>
      <w:r>
        <w:lastRenderedPageBreak/>
        <w:t xml:space="preserve">In </w:t>
      </w:r>
      <w:r>
        <w:t>Office, the numFmtId attribute specifies the Id used by the master style records (xf's) to reference this number format only if the parent element is present within numFmts element. Its value is ignored otherwise.</w:t>
      </w:r>
    </w:p>
    <w:p w:rsidR="000A156F" w:rsidRDefault="00A9721F">
      <w:pPr>
        <w:pStyle w:val="Heading3"/>
      </w:pPr>
      <w:bookmarkStart w:id="1446" w:name="section_c6046ec6f96d460998e40dd549292955"/>
      <w:bookmarkStart w:id="1447" w:name="_Toc181683749"/>
      <w:r>
        <w:t>Part 1 Section 18.8.31, numFmts (Number Fo</w:t>
      </w:r>
      <w:r>
        <w:t>rmats)</w:t>
      </w:r>
      <w:bookmarkEnd w:id="1446"/>
      <w:bookmarkEnd w:id="1447"/>
      <w:r>
        <w:fldChar w:fldCharType="begin"/>
      </w:r>
      <w:r>
        <w:instrText xml:space="preserve"> XE "numFmts (Number Formats)" </w:instrText>
      </w:r>
      <w:r>
        <w:fldChar w:fldCharType="end"/>
      </w:r>
    </w:p>
    <w:p w:rsidR="000A156F" w:rsidRDefault="00A9721F">
      <w:pPr>
        <w:pStyle w:val="Definition-Field"/>
      </w:pPr>
      <w:r>
        <w:t xml:space="preserve">a.   </w:t>
      </w:r>
      <w:r>
        <w:rPr>
          <w:i/>
        </w:rPr>
        <w:t>The standard does not describe how to interpret a number format with only three sections.</w:t>
      </w:r>
    </w:p>
    <w:p w:rsidR="000A156F" w:rsidRDefault="00A9721F">
      <w:pPr>
        <w:pStyle w:val="Definition-Field2"/>
      </w:pPr>
      <w:r>
        <w:t>If only three sections are specified, the first is used for positive numbers, second for negative numbers and the third i</w:t>
      </w:r>
      <w:r>
        <w:t>s used for zero values in Office.</w:t>
      </w:r>
    </w:p>
    <w:p w:rsidR="000A156F" w:rsidRDefault="00A9721F">
      <w:pPr>
        <w:pStyle w:val="Definition-Field"/>
      </w:pPr>
      <w:r>
        <w:t xml:space="preserve">b.   </w:t>
      </w:r>
      <w:r>
        <w:rPr>
          <w:i/>
        </w:rPr>
        <w:t>The standard states that the &amp; (ampersand) text operator is used to join, or concatenate, two values.</w:t>
      </w:r>
    </w:p>
    <w:p w:rsidR="000A156F" w:rsidRDefault="00A9721F">
      <w:pPr>
        <w:pStyle w:val="Definition-Field2"/>
      </w:pPr>
      <w:r>
        <w:t>Excel displays '&amp;' if '&amp;' is present in the format.</w:t>
      </w:r>
    </w:p>
    <w:p w:rsidR="000A156F" w:rsidRDefault="00A9721F">
      <w:pPr>
        <w:pStyle w:val="Definition-Field"/>
      </w:pPr>
      <w:r>
        <w:t xml:space="preserve">c.   </w:t>
      </w:r>
      <w:r>
        <w:rPr>
          <w:i/>
        </w:rPr>
        <w:t>The standard states that if the cell contains a number bet</w:t>
      </w:r>
      <w:r>
        <w:rPr>
          <w:i/>
        </w:rPr>
        <w:t>ween 0 and 1, the application shall multiply the number by 100 and add the percentage symbol in the cell (for Percentage formatting).</w:t>
      </w:r>
    </w:p>
    <w:p w:rsidR="000A156F" w:rsidRDefault="00A9721F">
      <w:pPr>
        <w:pStyle w:val="Definition-Field2"/>
      </w:pPr>
      <w:r>
        <w:t>Office applies percentage formatting to any numeric cell value.</w:t>
      </w:r>
    </w:p>
    <w:p w:rsidR="000A156F" w:rsidRDefault="00A9721F">
      <w:pPr>
        <w:pStyle w:val="Definition-Field"/>
      </w:pPr>
      <w:r>
        <w:t xml:space="preserve">d.   </w:t>
      </w:r>
      <w:r>
        <w:rPr>
          <w:i/>
        </w:rPr>
        <w:t>The standard does not include an entry for '/' in the</w:t>
      </w:r>
      <w:r>
        <w:rPr>
          <w:i/>
        </w:rPr>
        <w:t xml:space="preserve"> table of format characters.</w:t>
      </w:r>
    </w:p>
    <w:p w:rsidR="000A156F" w:rsidRDefault="00A9721F">
      <w:pPr>
        <w:pStyle w:val="Definition-Field2"/>
      </w:pPr>
      <w:r>
        <w:t>In Excel, the fraction format character ('/') displays the number in the format of a fraction. It is interpreted as the fraction format character only when preceded and followed by a number symbol (0, #, and ?).</w:t>
      </w:r>
    </w:p>
    <w:p w:rsidR="000A156F" w:rsidRDefault="00A9721F">
      <w:pPr>
        <w:pStyle w:val="Definition-Field"/>
      </w:pPr>
      <w:r>
        <w:t xml:space="preserve">e.   </w:t>
      </w:r>
      <w:r>
        <w:rPr>
          <w:i/>
        </w:rPr>
        <w:t>The standa</w:t>
      </w:r>
      <w:r>
        <w:rPr>
          <w:i/>
        </w:rPr>
        <w:t>rd lists e+ and e- along with E+ and E- as the format characters for specifying use of scientific notation.</w:t>
      </w:r>
    </w:p>
    <w:p w:rsidR="000A156F" w:rsidRDefault="00A9721F">
      <w:pPr>
        <w:pStyle w:val="Definition-Field2"/>
      </w:pPr>
      <w:r>
        <w:t>In Office, only E+ and E- are the format characters for specifying use of scientific notation.</w:t>
      </w:r>
    </w:p>
    <w:p w:rsidR="000A156F" w:rsidRDefault="00A9721F">
      <w:pPr>
        <w:pStyle w:val="Definition-Field"/>
      </w:pPr>
      <w:r>
        <w:t xml:space="preserve">f.   </w:t>
      </w:r>
      <w:r>
        <w:rPr>
          <w:i/>
        </w:rPr>
        <w:t>The standard states that date format codes e and</w:t>
      </w:r>
      <w:r>
        <w:rPr>
          <w:i/>
        </w:rPr>
        <w:t xml:space="preserve"> ee become yy in all locales other than JPN/CHT.</w:t>
      </w:r>
    </w:p>
    <w:p w:rsidR="000A156F" w:rsidRDefault="00A9721F">
      <w:pPr>
        <w:pStyle w:val="Definition-Field2"/>
      </w:pPr>
      <w:r>
        <w:t>In Office, date format codes e and ee become yyyy in all locales other than JPN/CHT.</w:t>
      </w:r>
    </w:p>
    <w:p w:rsidR="000A156F" w:rsidRDefault="00A9721F">
      <w:pPr>
        <w:pStyle w:val="Definition-Field"/>
      </w:pPr>
      <w:r>
        <w:t xml:space="preserve">g.   </w:t>
      </w:r>
      <w:r>
        <w:rPr>
          <w:i/>
        </w:rPr>
        <w:t>The standard does not limit the number of custom number formats defined in numFmts.</w:t>
      </w:r>
    </w:p>
    <w:p w:rsidR="000A156F" w:rsidRDefault="00A9721F">
      <w:pPr>
        <w:pStyle w:val="Definition-Field2"/>
      </w:pPr>
      <w:r>
        <w:t>Office limits the number of custo</w:t>
      </w:r>
      <w:r>
        <w:t>m number formats to 206 and also persists files that contain more than 206 custom formats (which it cannot load).</w:t>
      </w:r>
    </w:p>
    <w:p w:rsidR="000A156F" w:rsidRDefault="00A9721F">
      <w:pPr>
        <w:pStyle w:val="Heading3"/>
      </w:pPr>
      <w:bookmarkStart w:id="1448" w:name="section_21ce5bfcf7c345cf9b7b6e46a34745c1"/>
      <w:bookmarkStart w:id="1449" w:name="_Toc181683750"/>
      <w:r>
        <w:t>Part 1 Section 18.8.33, protection (Protection Properties)</w:t>
      </w:r>
      <w:bookmarkEnd w:id="1448"/>
      <w:bookmarkEnd w:id="1449"/>
      <w:r>
        <w:fldChar w:fldCharType="begin"/>
      </w:r>
      <w:r>
        <w:instrText xml:space="preserve"> XE "protection (Protection Properties)" </w:instrText>
      </w:r>
      <w:r>
        <w:fldChar w:fldCharType="end"/>
      </w:r>
    </w:p>
    <w:p w:rsidR="000A156F" w:rsidRDefault="00A9721F">
      <w:pPr>
        <w:pStyle w:val="Definition-Field"/>
      </w:pPr>
      <w:r>
        <w:t xml:space="preserve">a.   </w:t>
      </w:r>
      <w:r>
        <w:rPr>
          <w:i/>
        </w:rPr>
        <w:t>The standard does not specify a def</w:t>
      </w:r>
      <w:r>
        <w:rPr>
          <w:i/>
        </w:rPr>
        <w:t>ault value for the locked attribute.</w:t>
      </w:r>
    </w:p>
    <w:p w:rsidR="000A156F" w:rsidRDefault="00A9721F">
      <w:pPr>
        <w:pStyle w:val="Definition-Field2"/>
      </w:pPr>
      <w:r>
        <w:t>Excel uses a default value of true for this attribute.</w:t>
      </w:r>
    </w:p>
    <w:p w:rsidR="000A156F" w:rsidRDefault="00A9721F">
      <w:pPr>
        <w:pStyle w:val="Definition-Field"/>
      </w:pPr>
      <w:r>
        <w:t xml:space="preserve">b.   </w:t>
      </w:r>
      <w:r>
        <w:rPr>
          <w:i/>
        </w:rPr>
        <w:t>The standard does not specify a default value for the hidden attribute.</w:t>
      </w:r>
    </w:p>
    <w:p w:rsidR="000A156F" w:rsidRDefault="00A9721F">
      <w:pPr>
        <w:pStyle w:val="Definition-Field2"/>
      </w:pPr>
      <w:r>
        <w:t>Excel uses a default value of false for this attribute.</w:t>
      </w:r>
    </w:p>
    <w:p w:rsidR="000A156F" w:rsidRDefault="00A9721F">
      <w:pPr>
        <w:pStyle w:val="Heading3"/>
      </w:pPr>
      <w:bookmarkStart w:id="1450" w:name="section_56cfa653d6124212a1a7b3e67b96edc2"/>
      <w:bookmarkStart w:id="1451" w:name="_Toc181683751"/>
      <w:r>
        <w:t>Part 1 Section 18.8.37, start (</w:t>
      </w:r>
      <w:r>
        <w:t>Leading Edge Border)</w:t>
      </w:r>
      <w:bookmarkEnd w:id="1450"/>
      <w:bookmarkEnd w:id="1451"/>
      <w:r>
        <w:fldChar w:fldCharType="begin"/>
      </w:r>
      <w:r>
        <w:instrText xml:space="preserve"> XE "start (Leading Edge Border)" </w:instrText>
      </w:r>
      <w:r>
        <w:fldChar w:fldCharType="end"/>
      </w:r>
    </w:p>
    <w:p w:rsidR="000A156F" w:rsidRDefault="00A9721F">
      <w:pPr>
        <w:pStyle w:val="Definition-Field"/>
      </w:pPr>
      <w:r>
        <w:t xml:space="preserve">a.   </w:t>
      </w:r>
      <w:r>
        <w:rPr>
          <w:i/>
        </w:rPr>
        <w:t>The standard specifies that "start" should be the element to specify a leading edge border.</w:t>
      </w:r>
    </w:p>
    <w:p w:rsidR="000A156F" w:rsidRDefault="00A9721F">
      <w:pPr>
        <w:pStyle w:val="Definition-Field2"/>
      </w:pPr>
      <w:r>
        <w:t>Excel uses "left" to specify a leading edge border.</w:t>
      </w:r>
    </w:p>
    <w:p w:rsidR="000A156F" w:rsidRDefault="00A9721F">
      <w:pPr>
        <w:pStyle w:val="Heading3"/>
      </w:pPr>
      <w:bookmarkStart w:id="1452" w:name="section_62ebad67e8234c9ba37c4ef566da94f0"/>
      <w:bookmarkStart w:id="1453" w:name="_Toc181683752"/>
      <w:r>
        <w:lastRenderedPageBreak/>
        <w:t>Part 1 Section 18.8.38, stop (Gradient Stop)</w:t>
      </w:r>
      <w:bookmarkEnd w:id="1452"/>
      <w:bookmarkEnd w:id="1453"/>
      <w:r>
        <w:fldChar w:fldCharType="begin"/>
      </w:r>
      <w:r>
        <w:instrText xml:space="preserve"> XE "stop (Gradient Stop)" </w:instrText>
      </w:r>
      <w:r>
        <w:fldChar w:fldCharType="end"/>
      </w:r>
    </w:p>
    <w:p w:rsidR="000A156F" w:rsidRDefault="00A9721F">
      <w:pPr>
        <w:pStyle w:val="Definition-Field"/>
      </w:pPr>
      <w:r>
        <w:t xml:space="preserve">a.   </w:t>
      </w:r>
      <w:r>
        <w:rPr>
          <w:i/>
        </w:rPr>
        <w:t>The standard specifies @position as defined by the XML Schema double datatype.</w:t>
      </w:r>
    </w:p>
    <w:p w:rsidR="000A156F" w:rsidRDefault="00A9721F">
      <w:pPr>
        <w:pStyle w:val="Definition-Field2"/>
      </w:pPr>
      <w:r>
        <w:t>Office requires @position to be a double between 0 and 1 inclusive.</w:t>
      </w:r>
    </w:p>
    <w:p w:rsidR="000A156F" w:rsidRDefault="00A9721F">
      <w:pPr>
        <w:pStyle w:val="Heading3"/>
      </w:pPr>
      <w:bookmarkStart w:id="1454" w:name="section_fffd477ceaf2417db86ef964a5f4d419"/>
      <w:bookmarkStart w:id="1455" w:name="_Toc181683753"/>
      <w:r>
        <w:t>Part 1 Section 18.8.39, styleSheet (Style Sheet)</w:t>
      </w:r>
      <w:bookmarkEnd w:id="1454"/>
      <w:bookmarkEnd w:id="1455"/>
      <w:r>
        <w:fldChar w:fldCharType="begin"/>
      </w:r>
      <w:r>
        <w:instrText xml:space="preserve"> XE "styleSheet (Style She</w:instrText>
      </w:r>
      <w:r>
        <w:instrText xml:space="preserve">et)" </w:instrText>
      </w:r>
      <w:r>
        <w:fldChar w:fldCharType="end"/>
      </w:r>
    </w:p>
    <w:p w:rsidR="000A156F" w:rsidRDefault="00A9721F">
      <w:pPr>
        <w:pStyle w:val="Definition-Field"/>
      </w:pPr>
      <w:r>
        <w:t xml:space="preserve">a.   </w:t>
      </w:r>
      <w:r>
        <w:rPr>
          <w:i/>
        </w:rPr>
        <w:t>The standard states that the child elements styleSheet have a minOccurs equal to zero.</w:t>
      </w:r>
    </w:p>
    <w:p w:rsidR="000A156F" w:rsidRDefault="00A9721F">
      <w:pPr>
        <w:pStyle w:val="Definition-Field2"/>
      </w:pPr>
      <w:r>
        <w:t>In Office, styleSheet child elements specify formatting information for the cells in an Excel document.  All child elements that are referenced in the Excel</w:t>
      </w:r>
      <w:r>
        <w:t xml:space="preserve"> document must be present or the document will be considered non-conformant.</w:t>
      </w:r>
    </w:p>
    <w:p w:rsidR="000A156F" w:rsidRDefault="00A9721F">
      <w:pPr>
        <w:pStyle w:val="Heading3"/>
      </w:pPr>
      <w:bookmarkStart w:id="1456" w:name="section_ff6347f03c7043748ceb81fcb2b39331"/>
      <w:bookmarkStart w:id="1457" w:name="_Toc181683754"/>
      <w:r>
        <w:t>Part 1 Section 18.8.40, tableStyle (Table Style)</w:t>
      </w:r>
      <w:bookmarkEnd w:id="1456"/>
      <w:bookmarkEnd w:id="1457"/>
      <w:r>
        <w:fldChar w:fldCharType="begin"/>
      </w:r>
      <w:r>
        <w:instrText xml:space="preserve"> XE "tableStyle (Table Style)" </w:instrText>
      </w:r>
      <w:r>
        <w:fldChar w:fldCharType="end"/>
      </w:r>
    </w:p>
    <w:p w:rsidR="000A156F" w:rsidRDefault="00A9721F">
      <w:pPr>
        <w:pStyle w:val="Definition-Field"/>
      </w:pPr>
      <w:r>
        <w:t xml:space="preserve">a.   </w:t>
      </w:r>
      <w:r>
        <w:rPr>
          <w:i/>
        </w:rPr>
        <w:t>The standard incorrectly states that built-in table styles are written in tableStyle element</w:t>
      </w:r>
      <w:r>
        <w:rPr>
          <w:i/>
        </w:rPr>
        <w:t>s.</w:t>
      </w:r>
    </w:p>
    <w:p w:rsidR="000A156F" w:rsidRDefault="00A9721F">
      <w:pPr>
        <w:pStyle w:val="Definition-Field2"/>
      </w:pPr>
      <w:r>
        <w:t>In Office, only user-defined table styles are written to the tableStyle elements.</w:t>
      </w:r>
    </w:p>
    <w:p w:rsidR="000A156F" w:rsidRDefault="00A9721F">
      <w:pPr>
        <w:pStyle w:val="Definition-Field"/>
      </w:pPr>
      <w:r>
        <w:t xml:space="preserve">b.   </w:t>
      </w:r>
      <w:r>
        <w:rPr>
          <w:i/>
        </w:rPr>
        <w:t>The standard does not limit the length of the value of the name attribute.</w:t>
      </w:r>
    </w:p>
    <w:p w:rsidR="000A156F" w:rsidRDefault="00A9721F">
      <w:pPr>
        <w:pStyle w:val="Definition-Field2"/>
      </w:pPr>
      <w:r>
        <w:t>Excel restricts the value of this attribute to be at least 1 and at most 255 characters.</w:t>
      </w:r>
    </w:p>
    <w:p w:rsidR="000A156F" w:rsidRDefault="00A9721F">
      <w:pPr>
        <w:pStyle w:val="Definition-Field"/>
      </w:pPr>
      <w:r>
        <w:t>c.</w:t>
      </w:r>
      <w:r>
        <w:t xml:space="preserve">   </w:t>
      </w:r>
      <w:r>
        <w:rPr>
          <w:i/>
        </w:rPr>
        <w:t>The standard states that the maxOccurs value for the tableStyleElement child element is unbounded.</w:t>
      </w:r>
    </w:p>
    <w:p w:rsidR="000A156F" w:rsidRDefault="00A9721F">
      <w:pPr>
        <w:pStyle w:val="Definition-Field2"/>
      </w:pPr>
      <w:r>
        <w:t>Excel limits the occurrences of this element to 28.</w:t>
      </w:r>
    </w:p>
    <w:p w:rsidR="000A156F" w:rsidRDefault="00A9721F">
      <w:pPr>
        <w:pStyle w:val="Heading3"/>
      </w:pPr>
      <w:bookmarkStart w:id="1458" w:name="section_d91a5d310bf448019139f6c13a690505"/>
      <w:bookmarkStart w:id="1459" w:name="_Toc181683755"/>
      <w:r>
        <w:t>Part 1 Section 18.8.41, tableStyleElement (Table Style)</w:t>
      </w:r>
      <w:bookmarkEnd w:id="1458"/>
      <w:bookmarkEnd w:id="1459"/>
      <w:r>
        <w:fldChar w:fldCharType="begin"/>
      </w:r>
      <w:r>
        <w:instrText xml:space="preserve"> XE "tableStyleElement (Table Style)" </w:instrText>
      </w:r>
      <w:r>
        <w:fldChar w:fldCharType="end"/>
      </w:r>
    </w:p>
    <w:p w:rsidR="000A156F" w:rsidRDefault="00A9721F">
      <w:pPr>
        <w:pStyle w:val="Definition-Field"/>
      </w:pPr>
      <w:r>
        <w:t xml:space="preserve">a.   </w:t>
      </w:r>
      <w:r>
        <w:rPr>
          <w:i/>
        </w:rPr>
        <w:t>T</w:t>
      </w:r>
      <w:r>
        <w:rPr>
          <w:i/>
        </w:rPr>
        <w:t>he standard specifies that the values of the size attribute are defined by the XML Schema unsignedInt datatype.</w:t>
      </w:r>
    </w:p>
    <w:p w:rsidR="000A156F" w:rsidRDefault="00A9721F">
      <w:pPr>
        <w:pStyle w:val="Definition-Field2"/>
      </w:pPr>
      <w:r>
        <w:t>Office requires the size attribute to be an unsignedInt between 1 to 9 inclusive.</w:t>
      </w:r>
    </w:p>
    <w:p w:rsidR="000A156F" w:rsidRDefault="00A9721F">
      <w:pPr>
        <w:pStyle w:val="Heading3"/>
      </w:pPr>
      <w:bookmarkStart w:id="1460" w:name="section_3e73b8aa77d244a79b9fe92e296915c5"/>
      <w:bookmarkStart w:id="1461" w:name="_Toc181683756"/>
      <w:r>
        <w:t>Part 1 Section 18.8.42, tableStyles (Table Styles)</w:t>
      </w:r>
      <w:bookmarkEnd w:id="1460"/>
      <w:bookmarkEnd w:id="1461"/>
      <w:r>
        <w:fldChar w:fldCharType="begin"/>
      </w:r>
      <w:r>
        <w:instrText xml:space="preserve"> XE "tableSt</w:instrText>
      </w:r>
      <w:r>
        <w:instrText xml:space="preserve">yles (Table Styles)" </w:instrText>
      </w:r>
      <w:r>
        <w:fldChar w:fldCharType="end"/>
      </w:r>
    </w:p>
    <w:p w:rsidR="000A156F" w:rsidRDefault="00A9721F">
      <w:pPr>
        <w:pStyle w:val="Definition-Field"/>
      </w:pPr>
      <w:r>
        <w:t xml:space="preserve">a.   </w:t>
      </w:r>
      <w:r>
        <w:rPr>
          <w:i/>
        </w:rPr>
        <w:t>The standard specifies @defaultTableStyle as xsd:string.</w:t>
      </w:r>
    </w:p>
    <w:p w:rsidR="000A156F" w:rsidRDefault="00A9721F">
      <w:pPr>
        <w:pStyle w:val="Definition-Field2"/>
      </w:pPr>
      <w:r>
        <w:t>Office requires @defaultChanged to be an xsd:string whose length is between 1 and 255 inclusive.</w:t>
      </w:r>
    </w:p>
    <w:p w:rsidR="000A156F" w:rsidRDefault="00A9721F">
      <w:pPr>
        <w:pStyle w:val="Definition-Field"/>
      </w:pPr>
      <w:r>
        <w:t xml:space="preserve">b.   </w:t>
      </w:r>
      <w:r>
        <w:rPr>
          <w:i/>
        </w:rPr>
        <w:t>The standard specifies @defaultPivotStyle as xsd:string.</w:t>
      </w:r>
    </w:p>
    <w:p w:rsidR="000A156F" w:rsidRDefault="00A9721F">
      <w:pPr>
        <w:pStyle w:val="Definition-Field2"/>
      </w:pPr>
      <w:r>
        <w:t>Office requ</w:t>
      </w:r>
      <w:r>
        <w:t>ires @defaultPivotStyle to be an xsd:string whose length is between 1 and 255 inclusive.</w:t>
      </w:r>
    </w:p>
    <w:p w:rsidR="000A156F" w:rsidRDefault="00A9721F">
      <w:pPr>
        <w:pStyle w:val="Heading3"/>
      </w:pPr>
      <w:bookmarkStart w:id="1462" w:name="section_68362a4b55894504b566e8154dce1de3"/>
      <w:bookmarkStart w:id="1463" w:name="_Toc181683757"/>
      <w:r>
        <w:t>Part 1 Section 18.8.45, xf (Format)</w:t>
      </w:r>
      <w:bookmarkEnd w:id="1462"/>
      <w:bookmarkEnd w:id="1463"/>
      <w:r>
        <w:fldChar w:fldCharType="begin"/>
      </w:r>
      <w:r>
        <w:instrText xml:space="preserve"> XE "xf (Format)" </w:instrText>
      </w:r>
      <w:r>
        <w:fldChar w:fldCharType="end"/>
      </w:r>
    </w:p>
    <w:p w:rsidR="000A156F" w:rsidRDefault="00A9721F">
      <w:pPr>
        <w:pStyle w:val="Definition-Field"/>
      </w:pPr>
      <w:r>
        <w:t xml:space="preserve">a.   </w:t>
      </w:r>
      <w:r>
        <w:rPr>
          <w:i/>
        </w:rPr>
        <w:t>The standard does not define different behaviors for @applyAlignment depending on whether the xf is in the</w:t>
      </w:r>
      <w:r>
        <w:rPr>
          <w:i/>
        </w:rPr>
        <w:t xml:space="preserve"> CellXfs element or the CellStyleXfs element.</w:t>
      </w:r>
    </w:p>
    <w:p w:rsidR="000A156F" w:rsidRDefault="00A9721F">
      <w:r>
        <w:t xml:space="preserve">For the </w:t>
      </w:r>
      <w:r>
        <w:rPr>
          <w:b/>
        </w:rPr>
        <w:t>cellStyleXfs</w:t>
      </w:r>
      <w:r>
        <w:t xml:space="preserve"> element, this boolean value indicates whether the alignment formatting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rsidR="000A156F" w:rsidRDefault="00A9721F">
      <w:r>
        <w:t xml:space="preserve">For the </w:t>
      </w:r>
      <w:r>
        <w:rPr>
          <w:b/>
        </w:rPr>
        <w:t>cellXfs</w:t>
      </w:r>
      <w:r>
        <w:t xml:space="preserve"> elemen</w:t>
      </w:r>
      <w:r>
        <w:t xml:space="preserve">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applyAlignment</w:t>
      </w:r>
      <w:r>
        <w:t xml:space="preserve"> is false and the alignment formatting in the </w:t>
      </w:r>
      <w:r>
        <w:rPr>
          <w:b/>
        </w:rPr>
        <w:t>cellStyleXfs</w:t>
      </w:r>
      <w:r>
        <w:t xml:space="preserve"> changes, the new alignment formatting i</w:t>
      </w:r>
      <w:r>
        <w:t xml:space="preserve">s set in the </w:t>
      </w:r>
      <w:r>
        <w:rPr>
          <w:b/>
        </w:rPr>
        <w:t>xf</w:t>
      </w:r>
      <w:r>
        <w:t xml:space="preserve"> as </w:t>
      </w:r>
      <w:r>
        <w:lastRenderedPageBreak/>
        <w:t xml:space="preserve">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cellXfs element is false.</w:t>
      </w:r>
    </w:p>
    <w:p w:rsidR="000A156F" w:rsidRDefault="00A9721F">
      <w:pPr>
        <w:pStyle w:val="Definition-Field"/>
      </w:pPr>
      <w:r>
        <w:t xml:space="preserve">b.   </w:t>
      </w:r>
      <w:r>
        <w:rPr>
          <w:i/>
        </w:rPr>
        <w:t>The standard does not define different behaviors for @applyBorder depending on whether the xf is in the CellXfs element or the CellStyleXfs element.</w:t>
      </w:r>
    </w:p>
    <w:p w:rsidR="000A156F" w:rsidRDefault="00A9721F">
      <w:r>
        <w:t xml:space="preserve">For the </w:t>
      </w:r>
      <w:r>
        <w:rPr>
          <w:b/>
        </w:rPr>
        <w:t>cellStyleXfs</w:t>
      </w:r>
      <w:r>
        <w:t xml:space="preserve"> element, this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0A156F" w:rsidRDefault="00A9721F">
      <w:r>
        <w:t xml:space="preserve">For the </w:t>
      </w:r>
      <w:r>
        <w:rPr>
          <w:b/>
        </w:rPr>
        <w:t>cellXfs</w:t>
      </w:r>
      <w:r>
        <w:t xml:space="preserve"> element, this boolean value indicates whether the border formatting in the xf </w:t>
      </w:r>
      <w:r>
        <w:t xml:space="preserve">is overwritten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is set in the </w:t>
      </w:r>
      <w:r>
        <w:rPr>
          <w:b/>
        </w:rPr>
        <w:t>xf</w:t>
      </w:r>
      <w:r>
        <w:t xml:space="preserve"> as well. If </w:t>
      </w:r>
      <w:r>
        <w:rPr>
          <w:b/>
        </w:rPr>
        <w:t>applyBorder</w:t>
      </w:r>
      <w:r>
        <w:t xml:space="preserve"> is true, then the </w:t>
      </w:r>
      <w:r>
        <w:rPr>
          <w:b/>
        </w:rPr>
        <w:t>xf</w:t>
      </w:r>
      <w:r>
        <w:t xml:space="preserve"> will retain its existin</w:t>
      </w:r>
      <w:r>
        <w:t xml:space="preserve">g border formatting.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 for </w:t>
      </w:r>
      <w:r>
        <w:rPr>
          <w:b/>
        </w:rPr>
        <w:t>applyBorder</w:t>
      </w:r>
      <w:r>
        <w:t xml:space="preserve"> in cellXfs element is false.</w:t>
      </w:r>
    </w:p>
    <w:p w:rsidR="000A156F" w:rsidRDefault="00A9721F">
      <w:pPr>
        <w:pStyle w:val="Definition-Field"/>
      </w:pPr>
      <w:r>
        <w:t xml:space="preserve">c.   </w:t>
      </w:r>
      <w:r>
        <w:rPr>
          <w:i/>
        </w:rPr>
        <w:t>The standard does not define diffe</w:t>
      </w:r>
      <w:r>
        <w:rPr>
          <w:i/>
        </w:rPr>
        <w:t>rent behaviors for @applyFill depending on whether the xf is in the CellXfs element or the CellStyleXfs element.</w:t>
      </w:r>
    </w:p>
    <w:p w:rsidR="000A156F" w:rsidRDefault="00A9721F">
      <w:r>
        <w:t xml:space="preserve">For the </w:t>
      </w:r>
      <w:r>
        <w:rPr>
          <w:b/>
        </w:rPr>
        <w:t>cellStyleXfs</w:t>
      </w:r>
      <w:r>
        <w:t xml:space="preserve"> element, this boolean value indicates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0A156F" w:rsidRDefault="00A9721F">
      <w:r>
        <w:t xml:space="preserve">For the </w:t>
      </w:r>
      <w:r>
        <w:rPr>
          <w:b/>
        </w:rPr>
        <w:t>cellXfs</w:t>
      </w:r>
      <w:r>
        <w:t xml:space="preserve"> element, this boolean value indicates whether the fill formatting in the xf is overwritten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w:t>
      </w:r>
      <w:r>
        <w:rPr>
          <w:b/>
        </w:rPr>
        <w:t>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cellXf</w:t>
      </w:r>
      <w:r>
        <w:t xml:space="preserve"> is different than the fill formatting in the parent </w:t>
      </w:r>
      <w:r>
        <w:rPr>
          <w:b/>
        </w:rPr>
        <w:t>cellStyleXf</w:t>
      </w:r>
      <w:r>
        <w:t xml:space="preserve">, </w:t>
      </w:r>
      <w:r>
        <w:rPr>
          <w:b/>
        </w:rPr>
        <w:t>applyFill</w:t>
      </w:r>
      <w:r>
        <w:t xml:space="preserve"> shall </w:t>
      </w:r>
      <w:r>
        <w:t xml:space="preserve">be true. The default value for </w:t>
      </w:r>
      <w:r>
        <w:rPr>
          <w:b/>
        </w:rPr>
        <w:t>applyFill</w:t>
      </w:r>
      <w:r>
        <w:t xml:space="preserve"> in cellXfs element is false.</w:t>
      </w:r>
    </w:p>
    <w:p w:rsidR="000A156F" w:rsidRDefault="00A9721F">
      <w:pPr>
        <w:pStyle w:val="Definition-Field"/>
      </w:pPr>
      <w:r>
        <w:t xml:space="preserve">d.   </w:t>
      </w:r>
      <w:r>
        <w:rPr>
          <w:i/>
        </w:rPr>
        <w:t>The standard does not define different behaviors for @applyFont depending on whether the xf is in the CellXfs element or the CellStyleXfs element.</w:t>
      </w:r>
    </w:p>
    <w:p w:rsidR="000A156F" w:rsidRDefault="00A9721F">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0A156F" w:rsidRDefault="00A9721F">
      <w:r>
        <w:t xml:space="preserve">For the </w:t>
      </w:r>
      <w:r>
        <w:rPr>
          <w:b/>
        </w:rPr>
        <w:t>cellXfs</w:t>
      </w:r>
      <w:r>
        <w:t xml:space="preserve"> element, this boolean value indicates whether the font formatting in the xf is ove</w:t>
      </w:r>
      <w:r>
        <w:t xml:space="preser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cellXfs element is false.</w:t>
      </w:r>
    </w:p>
    <w:p w:rsidR="000A156F" w:rsidRDefault="00A9721F">
      <w:pPr>
        <w:pStyle w:val="Definition-Field"/>
      </w:pPr>
      <w:r>
        <w:t xml:space="preserve">e.   </w:t>
      </w:r>
      <w:r>
        <w:rPr>
          <w:i/>
        </w:rPr>
        <w:t>The standard does no</w:t>
      </w:r>
      <w:r>
        <w:rPr>
          <w:i/>
        </w:rPr>
        <w:t>t define different behavior for @applyNumberFormat depending on whether the xf is in the CellXfs element or the CellStyleXfs element.</w:t>
      </w:r>
    </w:p>
    <w:p w:rsidR="000A156F" w:rsidRDefault="00A9721F">
      <w:r>
        <w:t xml:space="preserve">For the </w:t>
      </w:r>
      <w:r>
        <w:rPr>
          <w:b/>
        </w:rPr>
        <w:t>cellStyleXfs</w:t>
      </w:r>
      <w:r>
        <w:t xml:space="preserve"> element, this boolean value indicates whether the number formatting specified for this </w:t>
      </w:r>
      <w:r>
        <w:rPr>
          <w:b/>
        </w:rPr>
        <w:t xml:space="preserve">xf </w:t>
      </w:r>
      <w:r>
        <w:t>is applied.</w:t>
      </w:r>
      <w:r>
        <w:t xml:space="preserve"> The default value for </w:t>
      </w:r>
      <w:r>
        <w:rPr>
          <w:b/>
        </w:rPr>
        <w:t>applyNumberFormat</w:t>
      </w:r>
      <w:r>
        <w:t xml:space="preserve"> in </w:t>
      </w:r>
      <w:r>
        <w:rPr>
          <w:b/>
        </w:rPr>
        <w:t>cellStyleXfs</w:t>
      </w:r>
      <w:r>
        <w:t xml:space="preserve"> is true.</w:t>
      </w:r>
    </w:p>
    <w:p w:rsidR="000A156F" w:rsidRDefault="00A9721F">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w:t>
      </w:r>
      <w:r>
        <w:t xml:space="preserve">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w:t>
      </w:r>
      <w:r>
        <w:t xml:space="preserve">mber formatting in the parent </w:t>
      </w:r>
      <w:r>
        <w:rPr>
          <w:b/>
        </w:rPr>
        <w:t>cellStyleXf</w:t>
      </w:r>
      <w:r>
        <w:t xml:space="preserve">, </w:t>
      </w:r>
      <w:r>
        <w:rPr>
          <w:b/>
        </w:rPr>
        <w:t>applyNumberFormat</w:t>
      </w:r>
      <w:r>
        <w:t xml:space="preserve"> shall be true. The default value for </w:t>
      </w:r>
      <w:r>
        <w:rPr>
          <w:b/>
        </w:rPr>
        <w:t>applyNumberFormat</w:t>
      </w:r>
      <w:r>
        <w:t xml:space="preserve"> in cellXfs element is false.</w:t>
      </w:r>
    </w:p>
    <w:p w:rsidR="000A156F" w:rsidRDefault="00A9721F">
      <w:pPr>
        <w:pStyle w:val="Definition-Field"/>
      </w:pPr>
      <w:r>
        <w:t xml:space="preserve">f.   </w:t>
      </w:r>
      <w:r>
        <w:rPr>
          <w:i/>
        </w:rPr>
        <w:t>The standard does not define different behaviors for @applyProtection depending on whether the xf is in th</w:t>
      </w:r>
      <w:r>
        <w:rPr>
          <w:i/>
        </w:rPr>
        <w:t>e CellXfs element or the CellStyleXfs element.</w:t>
      </w:r>
    </w:p>
    <w:p w:rsidR="000A156F" w:rsidRDefault="00A9721F">
      <w:r>
        <w:lastRenderedPageBreak/>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0A156F" w:rsidRDefault="00A9721F">
      <w:r>
        <w:t xml:space="preserve">For the </w:t>
      </w:r>
      <w:r>
        <w:rPr>
          <w:b/>
        </w:rPr>
        <w:t>cellXfs</w:t>
      </w:r>
      <w:r>
        <w:t xml:space="preserve"> ele</w:t>
      </w:r>
      <w:r>
        <w:t xml:space="preserve">ment, this boolean value indicates whether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w:t>
      </w:r>
      <w:r>
        <w:t xml:space="preserve">tting is set in the </w:t>
      </w:r>
      <w:r>
        <w:rPr>
          <w:b/>
        </w:rPr>
        <w:t>xf</w:t>
      </w:r>
      <w:r>
        <w:t xml:space="preserve"> as well. If </w:t>
      </w:r>
      <w:r>
        <w:rPr>
          <w:b/>
        </w:rPr>
        <w:t>applyProtection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w:t>
      </w:r>
      <w:r>
        <w:t xml:space="preserve">be true. The default value for </w:t>
      </w:r>
      <w:r>
        <w:rPr>
          <w:b/>
        </w:rPr>
        <w:t>applyProtection</w:t>
      </w:r>
      <w:r>
        <w:t xml:space="preserve"> in cellXfs element is false.</w:t>
      </w:r>
    </w:p>
    <w:p w:rsidR="000A156F" w:rsidRDefault="00A9721F">
      <w:pPr>
        <w:pStyle w:val="Heading3"/>
      </w:pPr>
      <w:bookmarkStart w:id="1464" w:name="section_46da4c4114864b60a733c76cd8bd821a"/>
      <w:bookmarkStart w:id="1465" w:name="_Toc181683758"/>
      <w:r>
        <w:t>Part 1 Section 18.9.1, bk (Metadata Block)</w:t>
      </w:r>
      <w:bookmarkEnd w:id="1464"/>
      <w:bookmarkEnd w:id="1465"/>
      <w:r>
        <w:fldChar w:fldCharType="begin"/>
      </w:r>
      <w:r>
        <w:instrText xml:space="preserve"> XE "bk (Metadata Block)" </w:instrText>
      </w:r>
      <w:r>
        <w:fldChar w:fldCharType="end"/>
      </w:r>
    </w:p>
    <w:p w:rsidR="000A156F" w:rsidRDefault="00A9721F">
      <w:pPr>
        <w:pStyle w:val="Definition-Field"/>
      </w:pPr>
      <w:r>
        <w:t xml:space="preserve">a.   </w:t>
      </w:r>
      <w:r>
        <w:rPr>
          <w:i/>
        </w:rPr>
        <w:t>The standard does not place any restrictions on the ordering of rc child elements.</w:t>
      </w:r>
    </w:p>
    <w:p w:rsidR="000A156F" w:rsidRDefault="00A9721F">
      <w:pPr>
        <w:pStyle w:val="Definition-Field2"/>
      </w:pPr>
      <w:r>
        <w:t xml:space="preserve">Office requires that </w:t>
      </w:r>
      <w:r>
        <w:t>rc elements must be stored in the strictly increasing order of their metadata record type indexes.</w:t>
      </w:r>
    </w:p>
    <w:p w:rsidR="000A156F" w:rsidRDefault="00A9721F">
      <w:pPr>
        <w:pStyle w:val="Heading3"/>
      </w:pPr>
      <w:bookmarkStart w:id="1466" w:name="section_4b58be005a134a4786a265cfd44f3209"/>
      <w:bookmarkStart w:id="1467" w:name="_Toc181683759"/>
      <w:r>
        <w:t>Part 1 Section 18.9.3, cellMetadata (Cell Metadata)</w:t>
      </w:r>
      <w:bookmarkEnd w:id="1466"/>
      <w:bookmarkEnd w:id="1467"/>
      <w:r>
        <w:fldChar w:fldCharType="begin"/>
      </w:r>
      <w:r>
        <w:instrText xml:space="preserve"> XE "cellMetadata (Cell Metadata)" </w:instrText>
      </w:r>
      <w:r>
        <w:fldChar w:fldCharType="end"/>
      </w:r>
    </w:p>
    <w:p w:rsidR="000A156F" w:rsidRDefault="00A9721F">
      <w:pPr>
        <w:pStyle w:val="Definition-Field2"/>
      </w:pPr>
      <w:r>
        <w:rPr>
          <w:i/>
        </w:rPr>
        <w:t>For additional notes that apply to this portion of the standard, ple</w:t>
      </w:r>
      <w:r>
        <w:rPr>
          <w:i/>
        </w:rPr>
        <w:t xml:space="preserve">ase see the notes for </w:t>
      </w:r>
      <w:hyperlink w:anchor="Section_b041ae678cdb46d28551e922106b987f">
        <w:r>
          <w:rPr>
            <w:rStyle w:val="Hyperlink"/>
          </w:rPr>
          <w:t>valueMetadata, §18.9.17(a)</w:t>
        </w:r>
      </w:hyperlink>
      <w:r>
        <w:rPr>
          <w:i/>
        </w:rPr>
        <w:t>.</w:t>
      </w:r>
    </w:p>
    <w:p w:rsidR="000A156F" w:rsidRDefault="00A9721F">
      <w:pPr>
        <w:pStyle w:val="Definition-Field"/>
      </w:pPr>
      <w:r>
        <w:t xml:space="preserve">a.   </w:t>
      </w:r>
      <w:r>
        <w:rPr>
          <w:i/>
        </w:rPr>
        <w:t>The standard states that the values of the count attribute are defined by the XML Schema unsignedInt datatype.</w:t>
      </w:r>
    </w:p>
    <w:p w:rsidR="000A156F" w:rsidRDefault="00A9721F">
      <w:pPr>
        <w:pStyle w:val="Definition-Field2"/>
      </w:pPr>
      <w:r>
        <w:t>Office requires that the co</w:t>
      </w:r>
      <w:r>
        <w:t>unt attribute has a maximum value of 2147483647.</w:t>
      </w:r>
    </w:p>
    <w:p w:rsidR="000A156F" w:rsidRDefault="00A9721F">
      <w:pPr>
        <w:pStyle w:val="Heading3"/>
      </w:pPr>
      <w:bookmarkStart w:id="1468" w:name="section_345477a385564e6c8ad0895a79f9048b"/>
      <w:bookmarkStart w:id="1469" w:name="_Toc181683760"/>
      <w:r>
        <w:t>Part 1 Section 18.9.4, futureMetadata (Future Metadata)</w:t>
      </w:r>
      <w:bookmarkEnd w:id="1468"/>
      <w:bookmarkEnd w:id="1469"/>
      <w:r>
        <w:fldChar w:fldCharType="begin"/>
      </w:r>
      <w:r>
        <w:instrText xml:space="preserve"> XE "futureMetadata (Future Metadata)" </w:instrText>
      </w:r>
      <w:r>
        <w:fldChar w:fldCharType="end"/>
      </w:r>
    </w:p>
    <w:p w:rsidR="000A156F" w:rsidRDefault="00A9721F">
      <w:pPr>
        <w:pStyle w:val="Definition-Field"/>
      </w:pPr>
      <w:r>
        <w:t xml:space="preserve">a.   </w:t>
      </w:r>
      <w:r>
        <w:rPr>
          <w:i/>
        </w:rPr>
        <w:t>The standard specifies that the values of the count attribute are defined by the XML Schema unsignedInt d</w:t>
      </w:r>
      <w:r>
        <w:rPr>
          <w:i/>
        </w:rPr>
        <w:t>atatype.</w:t>
      </w:r>
    </w:p>
    <w:p w:rsidR="000A156F" w:rsidRDefault="00A9721F">
      <w:pPr>
        <w:pStyle w:val="Definition-Field2"/>
      </w:pPr>
      <w:r>
        <w:t>Office requires that @count has a maximum value of 2147483647.</w:t>
      </w:r>
    </w:p>
    <w:p w:rsidR="000A156F" w:rsidRDefault="00A9721F">
      <w:pPr>
        <w:pStyle w:val="Definition-Field"/>
      </w:pPr>
      <w:r>
        <w:t xml:space="preserve">b.   </w:t>
      </w:r>
      <w:r>
        <w:rPr>
          <w:i/>
        </w:rPr>
        <w:t>The standard states that the name attribute is the metadata type name.</w:t>
      </w:r>
    </w:p>
    <w:p w:rsidR="000A156F" w:rsidRDefault="00A9721F">
      <w:pPr>
        <w:pStyle w:val="Definition-Field2"/>
      </w:pPr>
      <w:r>
        <w:t>Office requires this name must be equal to the name attribute of one of the metadataType records in the meta</w:t>
      </w:r>
      <w:r>
        <w:t xml:space="preserve">dataTypes collection. This name must be unique among all futureMetadata records and MUST NOT equal XLMDX. Excel reserves names that begin with XL. For more information, see </w:t>
      </w:r>
      <w:hyperlink r:id="rId136" w:anchor="Section_2c5dee00eff24b2292b60738acd4475e">
        <w:r>
          <w:rPr>
            <w:rStyle w:val="Hyperlink"/>
          </w:rPr>
          <w:t>[MS-</w:t>
        </w:r>
        <w:r>
          <w:rPr>
            <w:rStyle w:val="Hyperlink"/>
          </w:rPr>
          <w:t>XLSX]</w:t>
        </w:r>
      </w:hyperlink>
      <w:r>
        <w:t xml:space="preserve"> section 2.2.4.4.</w:t>
      </w:r>
    </w:p>
    <w:p w:rsidR="000A156F" w:rsidRDefault="00A9721F">
      <w:pPr>
        <w:pStyle w:val="Definition-Field"/>
      </w:pPr>
      <w:r>
        <w:t xml:space="preserve">c.   </w:t>
      </w:r>
      <w:r>
        <w:rPr>
          <w:i/>
        </w:rPr>
        <w:t>The standard states that the possible values for the name attribute are defined by ST_Xstring simple type.</w:t>
      </w:r>
    </w:p>
    <w:p w:rsidR="000A156F" w:rsidRDefault="00A9721F">
      <w:pPr>
        <w:pStyle w:val="Definition-Field2"/>
      </w:pPr>
      <w:r>
        <w:t>Office requires that the name attribute be non-empty and less than or equal to 65535 characters.</w:t>
      </w:r>
    </w:p>
    <w:p w:rsidR="000A156F" w:rsidRDefault="00A9721F">
      <w:pPr>
        <w:pStyle w:val="Heading3"/>
      </w:pPr>
      <w:bookmarkStart w:id="1470" w:name="section_72e746c537b0480d9e663a179f03e108"/>
      <w:bookmarkStart w:id="1471" w:name="_Toc181683761"/>
      <w:r>
        <w:t>Part 1 Section 18.9.5, k</w:t>
      </w:r>
      <w:r>
        <w:t xml:space="preserve"> (KPI MDX Metadata)</w:t>
      </w:r>
      <w:bookmarkEnd w:id="1470"/>
      <w:bookmarkEnd w:id="1471"/>
      <w:r>
        <w:fldChar w:fldCharType="begin"/>
      </w:r>
      <w:r>
        <w:instrText xml:space="preserve"> XE "k (KPI MDX Metadata)" </w:instrText>
      </w:r>
      <w:r>
        <w:fldChar w:fldCharType="end"/>
      </w:r>
    </w:p>
    <w:p w:rsidR="000A156F" w:rsidRDefault="00A9721F">
      <w:pPr>
        <w:pStyle w:val="Definition-Field"/>
      </w:pPr>
      <w:r>
        <w:t xml:space="preserve">a.   </w:t>
      </w:r>
      <w:r>
        <w:rPr>
          <w:i/>
        </w:rPr>
        <w:t>The standard does not specify the base of @n and @np.</w:t>
      </w:r>
    </w:p>
    <w:p w:rsidR="000A156F" w:rsidRDefault="00A9721F">
      <w:pPr>
        <w:pStyle w:val="Definition-Field2"/>
      </w:pPr>
      <w:r>
        <w:t>Office treats @n and @np as zero-based indexes into the metadataStrings collection.</w:t>
      </w:r>
    </w:p>
    <w:p w:rsidR="000A156F" w:rsidRDefault="00A9721F">
      <w:pPr>
        <w:pStyle w:val="Definition-Field"/>
      </w:pPr>
      <w:r>
        <w:t xml:space="preserve">b.   </w:t>
      </w:r>
      <w:r>
        <w:rPr>
          <w:i/>
        </w:rPr>
        <w:t xml:space="preserve">The standard states that the values of the n attribute are </w:t>
      </w:r>
      <w:r>
        <w:rPr>
          <w:i/>
        </w:rPr>
        <w:t>defined by the XML Schema unsignedInt datatype.</w:t>
      </w:r>
    </w:p>
    <w:p w:rsidR="000A156F" w:rsidRDefault="00A9721F">
      <w:pPr>
        <w:pStyle w:val="Definition-Field2"/>
      </w:pPr>
      <w:r>
        <w:t>Office requires that the n attribute has a maximum value of 2147483647.</w:t>
      </w:r>
    </w:p>
    <w:p w:rsidR="000A156F" w:rsidRDefault="00A9721F">
      <w:pPr>
        <w:pStyle w:val="Definition-Field"/>
      </w:pPr>
      <w:r>
        <w:lastRenderedPageBreak/>
        <w:t xml:space="preserve">c.   </w:t>
      </w:r>
      <w:r>
        <w:rPr>
          <w:i/>
        </w:rPr>
        <w:t>The standard states that the values of the np attribute are defined by the XML Schema unsignedInt datatype.</w:t>
      </w:r>
    </w:p>
    <w:p w:rsidR="000A156F" w:rsidRDefault="00A9721F">
      <w:pPr>
        <w:pStyle w:val="Definition-Field2"/>
      </w:pPr>
      <w:r>
        <w:t xml:space="preserve">Office requires that </w:t>
      </w:r>
      <w:r>
        <w:t>the np attribute has a maximum value of 2147483647.</w:t>
      </w:r>
    </w:p>
    <w:p w:rsidR="000A156F" w:rsidRDefault="00A9721F">
      <w:pPr>
        <w:pStyle w:val="Heading3"/>
      </w:pPr>
      <w:bookmarkStart w:id="1472" w:name="section_81b51cf7164b4891954ecb4e39ee088d"/>
      <w:bookmarkStart w:id="1473" w:name="_Toc181683762"/>
      <w:r>
        <w:t>Part 1 Section 18.9.6, mdx (MDX Metadata Record)</w:t>
      </w:r>
      <w:bookmarkEnd w:id="1472"/>
      <w:bookmarkEnd w:id="1473"/>
      <w:r>
        <w:fldChar w:fldCharType="begin"/>
      </w:r>
      <w:r>
        <w:instrText xml:space="preserve"> XE "mdx (MDX Metadata Record)" </w:instrText>
      </w:r>
      <w:r>
        <w:fldChar w:fldCharType="end"/>
      </w:r>
    </w:p>
    <w:p w:rsidR="000A156F" w:rsidRDefault="00A9721F">
      <w:pPr>
        <w:pStyle w:val="Definition-Field"/>
      </w:pPr>
      <w:r>
        <w:t xml:space="preserve">a.   </w:t>
      </w:r>
      <w:r>
        <w:rPr>
          <w:i/>
        </w:rPr>
        <w:t>The standard states that the values of the n attribute are defined by the XML Schema unsignedInt datatype.</w:t>
      </w:r>
    </w:p>
    <w:p w:rsidR="000A156F" w:rsidRDefault="00A9721F">
      <w:pPr>
        <w:pStyle w:val="Definition-Field2"/>
      </w:pPr>
      <w:r>
        <w:t>Office re</w:t>
      </w:r>
      <w:r>
        <w:t>quires that the n attribute has a maximum value of 2147483647.</w:t>
      </w:r>
    </w:p>
    <w:p w:rsidR="000A156F" w:rsidRDefault="00A9721F">
      <w:pPr>
        <w:pStyle w:val="Heading3"/>
      </w:pPr>
      <w:bookmarkStart w:id="1474" w:name="section_d374e3ff60bd40e1baf558234957b0af"/>
      <w:bookmarkStart w:id="1475" w:name="_Toc181683763"/>
      <w:r>
        <w:t>Part 1 Section 18.9.7, mdxMetadata (MDX Metadata Information)</w:t>
      </w:r>
      <w:bookmarkEnd w:id="1474"/>
      <w:bookmarkEnd w:id="1475"/>
      <w:r>
        <w:fldChar w:fldCharType="begin"/>
      </w:r>
      <w:r>
        <w:instrText xml:space="preserve"> XE "mdxMetadata (MDX Metadata Information)" </w:instrText>
      </w:r>
      <w:r>
        <w:fldChar w:fldCharType="end"/>
      </w:r>
    </w:p>
    <w:p w:rsidR="000A156F" w:rsidRDefault="00A9721F">
      <w:pPr>
        <w:pStyle w:val="Definition-Field"/>
      </w:pPr>
      <w:r>
        <w:t xml:space="preserve">a.   </w:t>
      </w:r>
      <w:r>
        <w:rPr>
          <w:i/>
        </w:rPr>
        <w:t>The standard states that the values of the count attribute are defined by the X</w:t>
      </w:r>
      <w:r>
        <w:rPr>
          <w:i/>
        </w:rPr>
        <w:t>ML Schema unsignedInt datetype.</w:t>
      </w:r>
    </w:p>
    <w:p w:rsidR="000A156F" w:rsidRDefault="00A9721F">
      <w:pPr>
        <w:pStyle w:val="Definition-Field2"/>
      </w:pPr>
      <w:r>
        <w:t>Office requires that @count has a maximum value of 2147483647.</w:t>
      </w:r>
    </w:p>
    <w:p w:rsidR="000A156F" w:rsidRDefault="00A9721F">
      <w:pPr>
        <w:pStyle w:val="Heading3"/>
      </w:pPr>
      <w:bookmarkStart w:id="1476" w:name="section_b8398e62febd49e984731b829a8dae62"/>
      <w:bookmarkStart w:id="1477" w:name="_Toc181683764"/>
      <w:r>
        <w:t>Part 1 Section 18.9.9, metadataStrings (Metadata String Store)</w:t>
      </w:r>
      <w:bookmarkEnd w:id="1476"/>
      <w:bookmarkEnd w:id="1477"/>
      <w:r>
        <w:fldChar w:fldCharType="begin"/>
      </w:r>
      <w:r>
        <w:instrText xml:space="preserve"> XE "metadataStrings (Metadata String Store)" </w:instrText>
      </w:r>
      <w:r>
        <w:fldChar w:fldCharType="end"/>
      </w:r>
    </w:p>
    <w:p w:rsidR="000A156F" w:rsidRDefault="00A9721F">
      <w:pPr>
        <w:pStyle w:val="Definition-Field"/>
      </w:pPr>
      <w:r>
        <w:t xml:space="preserve">a.   </w:t>
      </w:r>
      <w:r>
        <w:rPr>
          <w:i/>
        </w:rPr>
        <w:t>The standard specifies that the values of the</w:t>
      </w:r>
      <w:r>
        <w:rPr>
          <w:i/>
        </w:rPr>
        <w:t xml:space="preserve"> count attribute are defined by the XML Schema unsignedInt datatype.</w:t>
      </w:r>
    </w:p>
    <w:p w:rsidR="000A156F" w:rsidRDefault="00A9721F">
      <w:pPr>
        <w:pStyle w:val="Definition-Field2"/>
      </w:pPr>
      <w:r>
        <w:t>Office requires that @count has a maximum value of 2147483647.</w:t>
      </w:r>
    </w:p>
    <w:p w:rsidR="000A156F" w:rsidRDefault="00A9721F">
      <w:pPr>
        <w:pStyle w:val="Heading3"/>
      </w:pPr>
      <w:bookmarkStart w:id="1478" w:name="section_130fa123a3b942f5adf52f44067facf5"/>
      <w:bookmarkStart w:id="1479" w:name="_Toc181683765"/>
      <w:r>
        <w:t>Part 1 Section 18.9.10, metadataType (Metadata Type Information)</w:t>
      </w:r>
      <w:bookmarkEnd w:id="1478"/>
      <w:bookmarkEnd w:id="1479"/>
      <w:r>
        <w:fldChar w:fldCharType="begin"/>
      </w:r>
      <w:r>
        <w:instrText xml:space="preserve"> XE "metadataType (Metadata Type Information)" </w:instrText>
      </w:r>
      <w:r>
        <w:fldChar w:fldCharType="end"/>
      </w:r>
    </w:p>
    <w:p w:rsidR="000A156F" w:rsidRDefault="00A9721F">
      <w:pPr>
        <w:pStyle w:val="Definition-Field"/>
      </w:pPr>
      <w:r>
        <w:t xml:space="preserve">a.   </w:t>
      </w:r>
      <w:r>
        <w:rPr>
          <w:i/>
        </w:rPr>
        <w:t xml:space="preserve">The </w:t>
      </w:r>
      <w:r>
        <w:rPr>
          <w:i/>
        </w:rPr>
        <w:t>standard specifies that the adjust attribute is true if metadata corresponding to a particular cell needs to be notified when that cell's location is changed, false otherwise.</w:t>
      </w:r>
    </w:p>
    <w:p w:rsidR="000A156F" w:rsidRDefault="00A9721F">
      <w:pPr>
        <w:pStyle w:val="Definition-Field2"/>
      </w:pPr>
      <w:r>
        <w:t>Office does not respect the value of the adjust attribute.</w:t>
      </w:r>
    </w:p>
    <w:p w:rsidR="000A156F" w:rsidRDefault="00A9721F">
      <w:pPr>
        <w:pStyle w:val="Definition-Field"/>
      </w:pPr>
      <w:r>
        <w:t xml:space="preserve">b.   </w:t>
      </w:r>
      <w:r>
        <w:rPr>
          <w:i/>
        </w:rPr>
        <w:t>The standard spe</w:t>
      </w:r>
      <w:r>
        <w:rPr>
          <w:i/>
        </w:rPr>
        <w:t>cifies that the assign attribute is true when metadata should be propagated by assignment, false otherwise.</w:t>
      </w:r>
    </w:p>
    <w:p w:rsidR="000A156F" w:rsidRDefault="00A9721F">
      <w:pPr>
        <w:pStyle w:val="Definition-Field2"/>
      </w:pPr>
      <w:r>
        <w:t>Office does not respect the value of the assign attribute.</w:t>
      </w:r>
    </w:p>
    <w:p w:rsidR="000A156F" w:rsidRDefault="00A9721F">
      <w:pPr>
        <w:pStyle w:val="Definition-Field"/>
      </w:pPr>
      <w:r>
        <w:t xml:space="preserve">c.   </w:t>
      </w:r>
      <w:r>
        <w:rPr>
          <w:i/>
        </w:rPr>
        <w:t xml:space="preserve">The standard specifies that the clearAll attribute is true if the metadata persists </w:t>
      </w:r>
      <w:r>
        <w:rPr>
          <w:i/>
        </w:rPr>
        <w:t>after a clear all, false otherwise.</w:t>
      </w:r>
    </w:p>
    <w:p w:rsidR="000A156F" w:rsidRDefault="00A9721F">
      <w:pPr>
        <w:pStyle w:val="Definition-Field2"/>
      </w:pPr>
      <w:r>
        <w:t>Office does not respect the value of the clearAll attribute.</w:t>
      </w:r>
    </w:p>
    <w:p w:rsidR="000A156F" w:rsidRDefault="00A9721F">
      <w:pPr>
        <w:pStyle w:val="Definition-Field"/>
      </w:pPr>
      <w:r>
        <w:t xml:space="preserve">d.   </w:t>
      </w:r>
      <w:r>
        <w:rPr>
          <w:i/>
        </w:rPr>
        <w:t>The standard specifies that the coerce attribute is true if the value metadata is removed upon coercion, false otherwise.</w:t>
      </w:r>
    </w:p>
    <w:p w:rsidR="000A156F" w:rsidRDefault="00A9721F">
      <w:pPr>
        <w:pStyle w:val="Definition-Field2"/>
      </w:pPr>
      <w:r>
        <w:t>Office does not respect the valu</w:t>
      </w:r>
      <w:r>
        <w:t>e of the coerce attribute.</w:t>
      </w:r>
    </w:p>
    <w:p w:rsidR="000A156F" w:rsidRDefault="00A9721F">
      <w:pPr>
        <w:pStyle w:val="Definition-Field"/>
      </w:pPr>
      <w:r>
        <w:t xml:space="preserve">e.   </w:t>
      </w:r>
      <w:r>
        <w:rPr>
          <w:i/>
        </w:rPr>
        <w:t>The standard specifies that the ghostCol attribute is true when the metadata is copied to or from a ghost column, false otherwise.</w:t>
      </w:r>
    </w:p>
    <w:p w:rsidR="000A156F" w:rsidRDefault="00A9721F">
      <w:pPr>
        <w:pStyle w:val="Definition-Field2"/>
      </w:pPr>
      <w:r>
        <w:t>Office does not respect the value of the ghostCol attribute.</w:t>
      </w:r>
    </w:p>
    <w:p w:rsidR="000A156F" w:rsidRDefault="00A9721F">
      <w:pPr>
        <w:pStyle w:val="Definition-Field"/>
      </w:pPr>
      <w:r>
        <w:t xml:space="preserve">f.   </w:t>
      </w:r>
      <w:r>
        <w:rPr>
          <w:i/>
        </w:rPr>
        <w:t>The standard specifies that</w:t>
      </w:r>
      <w:r>
        <w:rPr>
          <w:i/>
        </w:rPr>
        <w:t xml:space="preserve"> the ghostRow attribute is true when the metadata is copied to or from a ghost row, false otherwise.</w:t>
      </w:r>
    </w:p>
    <w:p w:rsidR="000A156F" w:rsidRDefault="00A9721F">
      <w:pPr>
        <w:pStyle w:val="Definition-Field2"/>
      </w:pPr>
      <w:r>
        <w:t>Office does not respect the value of the ghostRow attribute.</w:t>
      </w:r>
    </w:p>
    <w:p w:rsidR="000A156F" w:rsidRDefault="00A9721F">
      <w:pPr>
        <w:pStyle w:val="Definition-Field"/>
      </w:pPr>
      <w:r>
        <w:lastRenderedPageBreak/>
        <w:t xml:space="preserve">g.   </w:t>
      </w:r>
      <w:r>
        <w:rPr>
          <w:i/>
        </w:rPr>
        <w:t>The standard specifies that merge is true if the metadata persists after a cell merge, fa</w:t>
      </w:r>
      <w:r>
        <w:rPr>
          <w:i/>
        </w:rPr>
        <w:t>lse otherwise.</w:t>
      </w:r>
    </w:p>
    <w:p w:rsidR="000A156F" w:rsidRDefault="00A9721F">
      <w:pPr>
        <w:pStyle w:val="Definition-Field2"/>
      </w:pPr>
      <w:r>
        <w:t>Office does not respect the value of the merge attribute.</w:t>
      </w:r>
    </w:p>
    <w:p w:rsidR="000A156F" w:rsidRDefault="00A9721F">
      <w:pPr>
        <w:pStyle w:val="Definition-Field"/>
      </w:pPr>
      <w:r>
        <w:t xml:space="preserve">h.   </w:t>
      </w:r>
      <w:r>
        <w:rPr>
          <w:i/>
        </w:rPr>
        <w:t>The standard specifies that pasteAll is true when the metadata is populated on a Paste:All, false otherwise.</w:t>
      </w:r>
    </w:p>
    <w:p w:rsidR="000A156F" w:rsidRDefault="00A9721F">
      <w:pPr>
        <w:pStyle w:val="Definition-Field2"/>
      </w:pPr>
      <w:r>
        <w:t>Office does not respect the value of the pasteAll attribute.</w:t>
      </w:r>
    </w:p>
    <w:p w:rsidR="000A156F" w:rsidRDefault="00A9721F">
      <w:pPr>
        <w:pStyle w:val="Definition-Field"/>
      </w:pPr>
      <w:r>
        <w:t xml:space="preserve">i.   </w:t>
      </w:r>
      <w:r>
        <w:rPr>
          <w:i/>
        </w:rPr>
        <w:t>The</w:t>
      </w:r>
      <w:r>
        <w:rPr>
          <w:i/>
        </w:rPr>
        <w:t xml:space="preserve"> standard specifies that pasteBorders is true when the metadata is populated when only borders are pasted, false otherwise.</w:t>
      </w:r>
    </w:p>
    <w:p w:rsidR="000A156F" w:rsidRDefault="00A9721F">
      <w:pPr>
        <w:pStyle w:val="Definition-Field2"/>
      </w:pPr>
      <w:r>
        <w:t>Office does not respect the value of the pasteBorders attribute.</w:t>
      </w:r>
    </w:p>
    <w:p w:rsidR="000A156F" w:rsidRDefault="00A9721F">
      <w:pPr>
        <w:pStyle w:val="Definition-Field"/>
      </w:pPr>
      <w:r>
        <w:t xml:space="preserve">j.   </w:t>
      </w:r>
      <w:r>
        <w:rPr>
          <w:i/>
        </w:rPr>
        <w:t xml:space="preserve">The standard specifies that pasteColWidths is true if the </w:t>
      </w:r>
      <w:r>
        <w:rPr>
          <w:i/>
        </w:rPr>
        <w:t>metadata is populated when only column widths are pasted, false otherwise.</w:t>
      </w:r>
    </w:p>
    <w:p w:rsidR="000A156F" w:rsidRDefault="00A9721F">
      <w:pPr>
        <w:pStyle w:val="Definition-Field2"/>
      </w:pPr>
      <w:r>
        <w:t>Office does not respect the value of the pasteColWidths attribute.</w:t>
      </w:r>
    </w:p>
    <w:p w:rsidR="000A156F" w:rsidRDefault="00A9721F">
      <w:pPr>
        <w:pStyle w:val="Definition-Field"/>
      </w:pPr>
      <w:r>
        <w:t xml:space="preserve">k.   </w:t>
      </w:r>
      <w:r>
        <w:rPr>
          <w:i/>
        </w:rPr>
        <w:t>The standard specifies that the pasteComments attribute is true when metadata is populated when only comments</w:t>
      </w:r>
      <w:r>
        <w:rPr>
          <w:i/>
        </w:rPr>
        <w:t xml:space="preserve"> are pasted, false otherwise.</w:t>
      </w:r>
    </w:p>
    <w:p w:rsidR="000A156F" w:rsidRDefault="00A9721F">
      <w:pPr>
        <w:pStyle w:val="Definition-Field2"/>
      </w:pPr>
      <w:r>
        <w:t>Office does not respect the value of the pasteComments attribute.</w:t>
      </w:r>
    </w:p>
    <w:p w:rsidR="000A156F" w:rsidRDefault="00A9721F">
      <w:pPr>
        <w:pStyle w:val="Definition-Field"/>
      </w:pPr>
      <w:r>
        <w:t xml:space="preserve">l.   </w:t>
      </w:r>
      <w:r>
        <w:rPr>
          <w:i/>
        </w:rPr>
        <w:t>The standard specifies that the pasteDataValidation attribute is true when metadata is populated when only data validation is pasted, false otherwise.</w:t>
      </w:r>
    </w:p>
    <w:p w:rsidR="000A156F" w:rsidRDefault="00A9721F">
      <w:pPr>
        <w:pStyle w:val="Definition-Field2"/>
      </w:pPr>
      <w:r>
        <w:t>Offi</w:t>
      </w:r>
      <w:r>
        <w:t>ce does not respect the value of the pasteDataValidation attribute.</w:t>
      </w:r>
    </w:p>
    <w:p w:rsidR="000A156F" w:rsidRDefault="00A9721F">
      <w:pPr>
        <w:pStyle w:val="Definition-Field"/>
      </w:pPr>
      <w:r>
        <w:t xml:space="preserve">m.   </w:t>
      </w:r>
      <w:r>
        <w:rPr>
          <w:i/>
        </w:rPr>
        <w:t>The standard specifies that the pasteFormats attribute is true when metadata is populated when only formatting is pasted, false otherwise.</w:t>
      </w:r>
    </w:p>
    <w:p w:rsidR="000A156F" w:rsidRDefault="00A9721F">
      <w:pPr>
        <w:pStyle w:val="Definition-Field2"/>
      </w:pPr>
      <w:r>
        <w:t>Office does not respect the value of the pas</w:t>
      </w:r>
      <w:r>
        <w:t>teFormats attribute.</w:t>
      </w:r>
    </w:p>
    <w:p w:rsidR="000A156F" w:rsidRDefault="00A9721F">
      <w:pPr>
        <w:pStyle w:val="Definition-Field"/>
      </w:pPr>
      <w:r>
        <w:t xml:space="preserve">n.   </w:t>
      </w:r>
      <w:r>
        <w:rPr>
          <w:i/>
        </w:rPr>
        <w:t>The standard specifies that the pasteFormulas attribute is true when the metadata is populated when only formulas are pasted, false otherwise.</w:t>
      </w:r>
    </w:p>
    <w:p w:rsidR="000A156F" w:rsidRDefault="00A9721F">
      <w:pPr>
        <w:pStyle w:val="Definition-Field2"/>
      </w:pPr>
      <w:r>
        <w:t>Office does not respect the value of the pasteFormulas attribute.</w:t>
      </w:r>
    </w:p>
    <w:p w:rsidR="000A156F" w:rsidRDefault="00A9721F">
      <w:pPr>
        <w:pStyle w:val="Definition-Field"/>
      </w:pPr>
      <w:r>
        <w:t xml:space="preserve">o.   </w:t>
      </w:r>
      <w:r>
        <w:rPr>
          <w:i/>
        </w:rPr>
        <w:t>The standard spe</w:t>
      </w:r>
      <w:r>
        <w:rPr>
          <w:i/>
        </w:rPr>
        <w:t>cifies that the pasteNumberFormats attribute is true when metadata is populated when only number formatting is pasted, false otherwise.</w:t>
      </w:r>
    </w:p>
    <w:p w:rsidR="000A156F" w:rsidRDefault="00A9721F">
      <w:pPr>
        <w:pStyle w:val="Definition-Field2"/>
      </w:pPr>
      <w:r>
        <w:t>Office does not respect the value of the pasteNumberFormats attribute.</w:t>
      </w:r>
    </w:p>
    <w:p w:rsidR="000A156F" w:rsidRDefault="00A9721F">
      <w:pPr>
        <w:pStyle w:val="Definition-Field"/>
      </w:pPr>
      <w:r>
        <w:t xml:space="preserve">p.   </w:t>
      </w:r>
      <w:r>
        <w:rPr>
          <w:i/>
        </w:rPr>
        <w:t xml:space="preserve">The standard specifies that the rowColShift </w:t>
      </w:r>
      <w:r>
        <w:rPr>
          <w:i/>
        </w:rPr>
        <w:t>attribute is true if the metadata persists after the cell has been shifted, false otherwise.</w:t>
      </w:r>
    </w:p>
    <w:p w:rsidR="000A156F" w:rsidRDefault="00A9721F">
      <w:pPr>
        <w:pStyle w:val="Definition-Field2"/>
      </w:pPr>
      <w:r>
        <w:t>Office does not respect the value of the rowColShift attribute.</w:t>
      </w:r>
    </w:p>
    <w:p w:rsidR="000A156F" w:rsidRDefault="00A9721F">
      <w:pPr>
        <w:pStyle w:val="Definition-Field"/>
      </w:pPr>
      <w:r>
        <w:t xml:space="preserve">q.   </w:t>
      </w:r>
      <w:r>
        <w:rPr>
          <w:i/>
        </w:rPr>
        <w:t>The standard specifies that the splitAll attribute is true if the metadata is copied to all ne</w:t>
      </w:r>
      <w:r>
        <w:rPr>
          <w:i/>
        </w:rPr>
        <w:t>w cells resulting from a split and false otherwise.</w:t>
      </w:r>
    </w:p>
    <w:p w:rsidR="000A156F" w:rsidRDefault="00A9721F">
      <w:pPr>
        <w:pStyle w:val="Definition-Field2"/>
      </w:pPr>
      <w:r>
        <w:t>Office does not respect the value of the splitAll attribute.</w:t>
      </w:r>
    </w:p>
    <w:p w:rsidR="000A156F" w:rsidRDefault="00A9721F">
      <w:pPr>
        <w:pStyle w:val="Definition-Field"/>
      </w:pPr>
      <w:r>
        <w:t xml:space="preserve">r.   </w:t>
      </w:r>
      <w:r>
        <w:rPr>
          <w:i/>
        </w:rPr>
        <w:t>The standard specifies that the splitFirst attribute is true when the metadata from a split cell is only copied to the first resulting cel</w:t>
      </w:r>
      <w:r>
        <w:rPr>
          <w:i/>
        </w:rPr>
        <w:t>l, false otherwise.</w:t>
      </w:r>
    </w:p>
    <w:p w:rsidR="000A156F" w:rsidRDefault="00A9721F">
      <w:pPr>
        <w:pStyle w:val="Definition-Field2"/>
      </w:pPr>
      <w:r>
        <w:t>Office does not respect the value of the splitFirst attribute.</w:t>
      </w:r>
    </w:p>
    <w:p w:rsidR="000A156F" w:rsidRDefault="00A9721F">
      <w:pPr>
        <w:pStyle w:val="Definition-Field"/>
      </w:pPr>
      <w:r>
        <w:t xml:space="preserve">s.   </w:t>
      </w:r>
      <w:r>
        <w:rPr>
          <w:i/>
        </w:rPr>
        <w:t>The standard specifies that the clearComments attribute is true if the metadata persists after Clear:Comments, false otherwise.</w:t>
      </w:r>
    </w:p>
    <w:p w:rsidR="000A156F" w:rsidRDefault="00A9721F">
      <w:pPr>
        <w:pStyle w:val="Definition-Field2"/>
      </w:pPr>
      <w:r>
        <w:lastRenderedPageBreak/>
        <w:t>Office does not respect the value of the</w:t>
      </w:r>
      <w:r>
        <w:t xml:space="preserve"> clearComments attribute.</w:t>
      </w:r>
    </w:p>
    <w:p w:rsidR="000A156F" w:rsidRDefault="00A9721F">
      <w:pPr>
        <w:pStyle w:val="Definition-Field"/>
      </w:pPr>
      <w:r>
        <w:t xml:space="preserve">t.   </w:t>
      </w:r>
      <w:r>
        <w:rPr>
          <w:i/>
        </w:rPr>
        <w:t>The standard specifies that the clearContents attribute is true if metadata persists after a "Clear: Contents" action, false otherwise.</w:t>
      </w:r>
    </w:p>
    <w:p w:rsidR="000A156F" w:rsidRDefault="00A9721F">
      <w:pPr>
        <w:pStyle w:val="Definition-Field2"/>
      </w:pPr>
      <w:r>
        <w:t>Office does not respect the value of the clearContents attribute.</w:t>
      </w:r>
    </w:p>
    <w:p w:rsidR="000A156F" w:rsidRDefault="00A9721F">
      <w:pPr>
        <w:pStyle w:val="Definition-Field"/>
      </w:pPr>
      <w:r>
        <w:t xml:space="preserve">u.   </w:t>
      </w:r>
      <w:r>
        <w:rPr>
          <w:i/>
        </w:rPr>
        <w:t xml:space="preserve">The standard does </w:t>
      </w:r>
      <w:r>
        <w:rPr>
          <w:i/>
        </w:rPr>
        <w:t>not restrict the value of the minSupportedVersion attribute when the name attribute equals XLMDX.</w:t>
      </w:r>
    </w:p>
    <w:p w:rsidR="000A156F" w:rsidRDefault="00A9721F">
      <w:pPr>
        <w:pStyle w:val="Definition-Field2"/>
      </w:pPr>
      <w:r>
        <w:t>Office requires that the value of the minSupportedVersion attribute shall be set to 120000 when the name attribute equals XLMDX.</w:t>
      </w:r>
    </w:p>
    <w:p w:rsidR="000A156F" w:rsidRDefault="00A9721F">
      <w:pPr>
        <w:pStyle w:val="Definition-Field"/>
      </w:pPr>
      <w:r>
        <w:t xml:space="preserve">v.   </w:t>
      </w:r>
      <w:r>
        <w:rPr>
          <w:i/>
        </w:rPr>
        <w:t>The standard does not re</w:t>
      </w:r>
      <w:r>
        <w:rPr>
          <w:i/>
        </w:rPr>
        <w:t>strict the value of the name attribute.</w:t>
      </w:r>
    </w:p>
    <w:p w:rsidR="000A156F" w:rsidRDefault="00A9721F">
      <w:pPr>
        <w:pStyle w:val="Definition-Field2"/>
      </w:pPr>
      <w:r>
        <w:t>Office requires that the value of the name attribute must be XLMDX for MDX metadata type and the name XLMDX cannot be used for future metadata type.</w:t>
      </w:r>
    </w:p>
    <w:p w:rsidR="000A156F" w:rsidRDefault="00A9721F">
      <w:pPr>
        <w:pStyle w:val="Definition-Field"/>
      </w:pPr>
      <w:r>
        <w:t xml:space="preserve">w.   </w:t>
      </w:r>
      <w:r>
        <w:rPr>
          <w:i/>
        </w:rPr>
        <w:t>The standard states that the possible values for the name attr</w:t>
      </w:r>
      <w:r>
        <w:rPr>
          <w:i/>
        </w:rPr>
        <w:t>ibute are defined by ST_Xstring simple type.</w:t>
      </w:r>
    </w:p>
    <w:p w:rsidR="000A156F" w:rsidRDefault="00A9721F">
      <w:pPr>
        <w:pStyle w:val="Definition-Field2"/>
      </w:pPr>
      <w:r>
        <w:t>Office requires that the name attribute be non-empty and less than or equal to 65535 characters.</w:t>
      </w:r>
    </w:p>
    <w:p w:rsidR="000A156F" w:rsidRDefault="00A9721F">
      <w:pPr>
        <w:pStyle w:val="Definition-Field"/>
      </w:pPr>
      <w:r>
        <w:t xml:space="preserve">x.   </w:t>
      </w:r>
      <w:r>
        <w:rPr>
          <w:i/>
        </w:rPr>
        <w:t>The standard does not restrict the value @adjust when @name=XLMDX.</w:t>
      </w:r>
    </w:p>
    <w:p w:rsidR="000A156F" w:rsidRDefault="00A9721F">
      <w:pPr>
        <w:pStyle w:val="Definition-Field2"/>
      </w:pPr>
      <w:r>
        <w:t xml:space="preserve">Office requires that the value @adjust </w:t>
      </w:r>
      <w:r>
        <w:t>shall not be true when @name=XLMDX.</w:t>
      </w:r>
    </w:p>
    <w:p w:rsidR="000A156F" w:rsidRDefault="00A9721F">
      <w:pPr>
        <w:pStyle w:val="Definition-Field"/>
      </w:pPr>
      <w:r>
        <w:t xml:space="preserve">y.   </w:t>
      </w:r>
      <w:r>
        <w:rPr>
          <w:i/>
        </w:rPr>
        <w:t>The standard does not restrict the value @assign when @name=XLMDX.</w:t>
      </w:r>
    </w:p>
    <w:p w:rsidR="000A156F" w:rsidRDefault="00A9721F">
      <w:pPr>
        <w:pStyle w:val="Definition-Field2"/>
      </w:pPr>
      <w:r>
        <w:t>Office requires that the value @assign shall be true when @name=XLMDX.</w:t>
      </w:r>
    </w:p>
    <w:p w:rsidR="000A156F" w:rsidRDefault="00A9721F">
      <w:pPr>
        <w:pStyle w:val="Definition-Field"/>
      </w:pPr>
      <w:r>
        <w:t xml:space="preserve">z.   </w:t>
      </w:r>
      <w:r>
        <w:rPr>
          <w:i/>
        </w:rPr>
        <w:t>The standard does not restrict the value @cellMeta when @name=XLMDX.</w:t>
      </w:r>
    </w:p>
    <w:p w:rsidR="000A156F" w:rsidRDefault="00A9721F">
      <w:pPr>
        <w:pStyle w:val="Definition-Field2"/>
      </w:pPr>
      <w:r>
        <w:t>Off</w:t>
      </w:r>
      <w:r>
        <w:t>ice requires that the value @cellMeta shall not be true when @name=XLMDX.</w:t>
      </w:r>
    </w:p>
    <w:p w:rsidR="000A156F" w:rsidRDefault="00A9721F">
      <w:pPr>
        <w:pStyle w:val="Definition-Field"/>
      </w:pPr>
      <w:r>
        <w:t xml:space="preserve">aa.  </w:t>
      </w:r>
      <w:r>
        <w:rPr>
          <w:i/>
        </w:rPr>
        <w:t>The standard does not restrict the value @clearAll when @name=XLMDX.</w:t>
      </w:r>
    </w:p>
    <w:p w:rsidR="000A156F" w:rsidRDefault="00A9721F">
      <w:pPr>
        <w:pStyle w:val="Definition-Field2"/>
      </w:pPr>
      <w:r>
        <w:t>Office requires that the value @clearAll shall not be true when @name=XLMDX.</w:t>
      </w:r>
    </w:p>
    <w:p w:rsidR="000A156F" w:rsidRDefault="00A9721F">
      <w:pPr>
        <w:pStyle w:val="Definition-Field"/>
      </w:pPr>
      <w:r>
        <w:t xml:space="preserve">bb.  </w:t>
      </w:r>
      <w:r>
        <w:rPr>
          <w:i/>
        </w:rPr>
        <w:t>The standard does not rest</w:t>
      </w:r>
      <w:r>
        <w:rPr>
          <w:i/>
        </w:rPr>
        <w:t>rict the value @clearComments when @name=XLMDX.</w:t>
      </w:r>
    </w:p>
    <w:p w:rsidR="000A156F" w:rsidRDefault="00A9721F">
      <w:pPr>
        <w:pStyle w:val="Definition-Field2"/>
      </w:pPr>
      <w:r>
        <w:t>Office requires that the value @clearComments shall be true when @name=XLMDX.</w:t>
      </w:r>
    </w:p>
    <w:p w:rsidR="000A156F" w:rsidRDefault="00A9721F">
      <w:pPr>
        <w:pStyle w:val="Definition-Field"/>
      </w:pPr>
      <w:r>
        <w:t xml:space="preserve">cc.  </w:t>
      </w:r>
      <w:r>
        <w:rPr>
          <w:i/>
        </w:rPr>
        <w:t>The standard does not restrict the value @clearContents when @name=XLMDX.</w:t>
      </w:r>
    </w:p>
    <w:p w:rsidR="000A156F" w:rsidRDefault="00A9721F">
      <w:pPr>
        <w:pStyle w:val="Definition-Field2"/>
      </w:pPr>
      <w:r>
        <w:t>Office requires that the value @clearContents shall</w:t>
      </w:r>
      <w:r>
        <w:t xml:space="preserve"> not be true when @name=XLMDX.</w:t>
      </w:r>
    </w:p>
    <w:p w:rsidR="000A156F" w:rsidRDefault="00A9721F">
      <w:pPr>
        <w:pStyle w:val="Definition-Field"/>
      </w:pPr>
      <w:r>
        <w:t xml:space="preserve">dd.  </w:t>
      </w:r>
      <w:r>
        <w:rPr>
          <w:i/>
        </w:rPr>
        <w:t>The standard does not restrict the value @clearFormats when @name=XLMDX.</w:t>
      </w:r>
    </w:p>
    <w:p w:rsidR="000A156F" w:rsidRDefault="00A9721F">
      <w:pPr>
        <w:pStyle w:val="Definition-Field2"/>
      </w:pPr>
      <w:r>
        <w:t>Office requires that the value @clearFormats shall be true when @name=XLMDX.</w:t>
      </w:r>
    </w:p>
    <w:p w:rsidR="000A156F" w:rsidRDefault="00A9721F">
      <w:pPr>
        <w:pStyle w:val="Definition-Field"/>
      </w:pPr>
      <w:r>
        <w:t xml:space="preserve">ee.  </w:t>
      </w:r>
      <w:r>
        <w:rPr>
          <w:i/>
        </w:rPr>
        <w:t>The standard does not restrict the value @coerce when @name=XLMDX</w:t>
      </w:r>
      <w:r>
        <w:rPr>
          <w:i/>
        </w:rPr>
        <w:t>.</w:t>
      </w:r>
    </w:p>
    <w:p w:rsidR="000A156F" w:rsidRDefault="00A9721F">
      <w:pPr>
        <w:pStyle w:val="Definition-Field2"/>
      </w:pPr>
      <w:r>
        <w:t>Office requires that the value @coerce shall be true when @name=XLMDX.</w:t>
      </w:r>
    </w:p>
    <w:p w:rsidR="000A156F" w:rsidRDefault="00A9721F">
      <w:pPr>
        <w:pStyle w:val="Definition-Field"/>
      </w:pPr>
      <w:r>
        <w:t xml:space="preserve">ff.  </w:t>
      </w:r>
      <w:r>
        <w:rPr>
          <w:i/>
        </w:rPr>
        <w:t>The standard does not restrict the value @copy when @name=XLMDX.</w:t>
      </w:r>
    </w:p>
    <w:p w:rsidR="000A156F" w:rsidRDefault="00A9721F">
      <w:pPr>
        <w:pStyle w:val="Definition-Field2"/>
      </w:pPr>
      <w:r>
        <w:t>Office requires that the value @copy shall be true when @name=XLMDX.</w:t>
      </w:r>
    </w:p>
    <w:p w:rsidR="000A156F" w:rsidRDefault="00A9721F">
      <w:pPr>
        <w:pStyle w:val="Definition-Field"/>
      </w:pPr>
      <w:r>
        <w:t xml:space="preserve">gg.  </w:t>
      </w:r>
      <w:r>
        <w:rPr>
          <w:i/>
        </w:rPr>
        <w:t>The standard does not restrict the valu</w:t>
      </w:r>
      <w:r>
        <w:rPr>
          <w:i/>
        </w:rPr>
        <w:t>e @delete when @name=XLMDX.</w:t>
      </w:r>
    </w:p>
    <w:p w:rsidR="000A156F" w:rsidRDefault="00A9721F">
      <w:pPr>
        <w:pStyle w:val="Definition-Field2"/>
      </w:pPr>
      <w:r>
        <w:t>Office requires that the value @delete shall not be true when @name=XLMDX.</w:t>
      </w:r>
    </w:p>
    <w:p w:rsidR="000A156F" w:rsidRDefault="00A9721F">
      <w:pPr>
        <w:pStyle w:val="Definition-Field"/>
      </w:pPr>
      <w:r>
        <w:lastRenderedPageBreak/>
        <w:t xml:space="preserve">hh.  </w:t>
      </w:r>
      <w:r>
        <w:rPr>
          <w:i/>
        </w:rPr>
        <w:t>The standard does not restrict the value @edit when @name=XLMDX.</w:t>
      </w:r>
    </w:p>
    <w:p w:rsidR="000A156F" w:rsidRDefault="00A9721F">
      <w:pPr>
        <w:pStyle w:val="Definition-Field2"/>
      </w:pPr>
      <w:r>
        <w:t>Office requires that the value @edit shall not be true when @name=XLMDX.</w:t>
      </w:r>
    </w:p>
    <w:p w:rsidR="000A156F" w:rsidRDefault="00A9721F">
      <w:pPr>
        <w:pStyle w:val="Definition-Field"/>
      </w:pPr>
      <w:r>
        <w:t xml:space="preserve">ii.  </w:t>
      </w:r>
      <w:r>
        <w:rPr>
          <w:i/>
        </w:rPr>
        <w:t>The s</w:t>
      </w:r>
      <w:r>
        <w:rPr>
          <w:i/>
        </w:rPr>
        <w:t>tandard does not restrict the value @ghostCol when @name=XLMDX.</w:t>
      </w:r>
    </w:p>
    <w:p w:rsidR="000A156F" w:rsidRDefault="00A9721F">
      <w:pPr>
        <w:pStyle w:val="Definition-Field2"/>
      </w:pPr>
      <w:r>
        <w:t>Office requires that the value @ghostCol shall not be true when @name=XLMDX.</w:t>
      </w:r>
    </w:p>
    <w:p w:rsidR="000A156F" w:rsidRDefault="00A9721F">
      <w:pPr>
        <w:pStyle w:val="Definition-Field"/>
      </w:pPr>
      <w:r>
        <w:t xml:space="preserve">jj.  </w:t>
      </w:r>
      <w:r>
        <w:rPr>
          <w:i/>
        </w:rPr>
        <w:t>The standard does not restrict the value @ghostRow when @name=XLMDX.</w:t>
      </w:r>
    </w:p>
    <w:p w:rsidR="000A156F" w:rsidRDefault="00A9721F">
      <w:pPr>
        <w:pStyle w:val="Definition-Field2"/>
      </w:pPr>
      <w:r>
        <w:t xml:space="preserve">Office requires that the value @ghostRow </w:t>
      </w:r>
      <w:r>
        <w:t>shall not be true when @name=XLMDX.</w:t>
      </w:r>
    </w:p>
    <w:p w:rsidR="000A156F" w:rsidRDefault="00A9721F">
      <w:pPr>
        <w:pStyle w:val="Definition-Field"/>
      </w:pPr>
      <w:r>
        <w:t xml:space="preserve">kk.  </w:t>
      </w:r>
      <w:r>
        <w:rPr>
          <w:i/>
        </w:rPr>
        <w:t>The standard does not restrict the value @merge when @name=XLMDX.</w:t>
      </w:r>
    </w:p>
    <w:p w:rsidR="000A156F" w:rsidRDefault="00A9721F">
      <w:pPr>
        <w:pStyle w:val="Definition-Field2"/>
      </w:pPr>
      <w:r>
        <w:t>Office requires that the value @merge shall be true when @name=XLMDX.</w:t>
      </w:r>
    </w:p>
    <w:p w:rsidR="000A156F" w:rsidRDefault="00A9721F">
      <w:pPr>
        <w:pStyle w:val="Definition-Field"/>
      </w:pPr>
      <w:r>
        <w:t xml:space="preserve">ll.  </w:t>
      </w:r>
      <w:r>
        <w:rPr>
          <w:i/>
        </w:rPr>
        <w:t>The standard does not restrict the value @pasteAll when @name=XLMDX.</w:t>
      </w:r>
    </w:p>
    <w:p w:rsidR="000A156F" w:rsidRDefault="00A9721F">
      <w:pPr>
        <w:pStyle w:val="Definition-Field2"/>
      </w:pPr>
      <w:r>
        <w:t>Offic</w:t>
      </w:r>
      <w:r>
        <w:t>e requires that the value @pasteAll shall be true when @name=XLMDX.</w:t>
      </w:r>
    </w:p>
    <w:p w:rsidR="000A156F" w:rsidRDefault="00A9721F">
      <w:pPr>
        <w:pStyle w:val="Definition-Field"/>
      </w:pPr>
      <w:r>
        <w:t xml:space="preserve">mm.  </w:t>
      </w:r>
      <w:r>
        <w:rPr>
          <w:i/>
        </w:rPr>
        <w:t>The standard does not restrict the value @pasteBorders when @name=XLMDX.</w:t>
      </w:r>
    </w:p>
    <w:p w:rsidR="000A156F" w:rsidRDefault="00A9721F">
      <w:pPr>
        <w:pStyle w:val="Definition-Field2"/>
      </w:pPr>
      <w:r>
        <w:t>Office requires that the value @pasteBorders shall not be true when @name=XLMDX.</w:t>
      </w:r>
    </w:p>
    <w:p w:rsidR="000A156F" w:rsidRDefault="00A9721F">
      <w:pPr>
        <w:pStyle w:val="Definition-Field"/>
      </w:pPr>
      <w:r>
        <w:t xml:space="preserve">nn.  </w:t>
      </w:r>
      <w:r>
        <w:rPr>
          <w:i/>
        </w:rPr>
        <w:t xml:space="preserve">The standard does not </w:t>
      </w:r>
      <w:r>
        <w:rPr>
          <w:i/>
        </w:rPr>
        <w:t>restrict the value @pasteColWidths when @name=XLMDX.</w:t>
      </w:r>
    </w:p>
    <w:p w:rsidR="000A156F" w:rsidRDefault="00A9721F">
      <w:pPr>
        <w:pStyle w:val="Definition-Field2"/>
      </w:pPr>
      <w:r>
        <w:t>Office requires that the value @pasteColWidths shall not be true when @name=XLMDX.</w:t>
      </w:r>
    </w:p>
    <w:p w:rsidR="000A156F" w:rsidRDefault="00A9721F">
      <w:pPr>
        <w:pStyle w:val="Definition-Field"/>
      </w:pPr>
      <w:r>
        <w:t xml:space="preserve">oo.  </w:t>
      </w:r>
      <w:r>
        <w:rPr>
          <w:i/>
        </w:rPr>
        <w:t>The standard does not restrict the value @pasteComments when @name=XLMDX.</w:t>
      </w:r>
    </w:p>
    <w:p w:rsidR="000A156F" w:rsidRDefault="00A9721F">
      <w:pPr>
        <w:pStyle w:val="Definition-Field2"/>
      </w:pPr>
      <w:r>
        <w:t xml:space="preserve">Office requires that the value </w:t>
      </w:r>
      <w:r>
        <w:t>@pasteComments shall not be true when @name=XLMDX.</w:t>
      </w:r>
    </w:p>
    <w:p w:rsidR="000A156F" w:rsidRDefault="00A9721F">
      <w:pPr>
        <w:pStyle w:val="Definition-Field"/>
      </w:pPr>
      <w:r>
        <w:t xml:space="preserve">pp.  </w:t>
      </w:r>
      <w:r>
        <w:rPr>
          <w:i/>
        </w:rPr>
        <w:t>The standard does not restrict the value @pasteDataValidation when @name=XLMDX.</w:t>
      </w:r>
    </w:p>
    <w:p w:rsidR="000A156F" w:rsidRDefault="00A9721F">
      <w:pPr>
        <w:pStyle w:val="Definition-Field2"/>
      </w:pPr>
      <w:r>
        <w:t>Office requires that the value @pasteDataValidation shall not be true when @name=XLMDX.</w:t>
      </w:r>
    </w:p>
    <w:p w:rsidR="000A156F" w:rsidRDefault="00A9721F">
      <w:pPr>
        <w:pStyle w:val="Definition-Field"/>
      </w:pPr>
      <w:r>
        <w:t xml:space="preserve">qq.  </w:t>
      </w:r>
      <w:r>
        <w:rPr>
          <w:i/>
        </w:rPr>
        <w:t>The standard does not restr</w:t>
      </w:r>
      <w:r>
        <w:rPr>
          <w:i/>
        </w:rPr>
        <w:t>ict the value @pasteFormats when @name=XLMDX.</w:t>
      </w:r>
    </w:p>
    <w:p w:rsidR="000A156F" w:rsidRDefault="00A9721F">
      <w:pPr>
        <w:pStyle w:val="Definition-Field2"/>
      </w:pPr>
      <w:r>
        <w:t>Office requires that the value @pasteFormats shall not be true when @name=XLMDX.</w:t>
      </w:r>
    </w:p>
    <w:p w:rsidR="000A156F" w:rsidRDefault="00A9721F">
      <w:pPr>
        <w:pStyle w:val="Definition-Field"/>
      </w:pPr>
      <w:r>
        <w:t xml:space="preserve">rr.  </w:t>
      </w:r>
      <w:r>
        <w:rPr>
          <w:i/>
        </w:rPr>
        <w:t>The standard does not restrict the value @pasteFormulas when @name=XLMDX.</w:t>
      </w:r>
    </w:p>
    <w:p w:rsidR="000A156F" w:rsidRDefault="00A9721F">
      <w:pPr>
        <w:pStyle w:val="Definition-Field2"/>
      </w:pPr>
      <w:r>
        <w:t>Office requires that the value @pasteFormulas shal</w:t>
      </w:r>
      <w:r>
        <w:t>l not be true when @name=XLMDX.</w:t>
      </w:r>
    </w:p>
    <w:p w:rsidR="000A156F" w:rsidRDefault="00A9721F">
      <w:pPr>
        <w:pStyle w:val="Definition-Field"/>
      </w:pPr>
      <w:r>
        <w:t xml:space="preserve">ss.  </w:t>
      </w:r>
      <w:r>
        <w:rPr>
          <w:i/>
        </w:rPr>
        <w:t>The standard does not restrict the value @pasteValues when @name=XLMDX.</w:t>
      </w:r>
    </w:p>
    <w:p w:rsidR="000A156F" w:rsidRDefault="00A9721F">
      <w:pPr>
        <w:pStyle w:val="Definition-Field2"/>
      </w:pPr>
      <w:r>
        <w:t>Office requires that the value @pasteValues shall be true when @name=XLMDX.</w:t>
      </w:r>
    </w:p>
    <w:p w:rsidR="000A156F" w:rsidRDefault="00A9721F">
      <w:pPr>
        <w:pStyle w:val="Definition-Field"/>
      </w:pPr>
      <w:r>
        <w:t xml:space="preserve">tt.  </w:t>
      </w:r>
      <w:r>
        <w:rPr>
          <w:i/>
        </w:rPr>
        <w:t xml:space="preserve">The standard does not restrict the value @pasteNumberFormats when </w:t>
      </w:r>
      <w:r>
        <w:rPr>
          <w:i/>
        </w:rPr>
        <w:t>@name=XLMDX.</w:t>
      </w:r>
    </w:p>
    <w:p w:rsidR="000A156F" w:rsidRDefault="00A9721F">
      <w:pPr>
        <w:pStyle w:val="Definition-Field2"/>
      </w:pPr>
      <w:r>
        <w:t>Office requires that the value @pasteNumberFormats shall not be true when @name=XLMDX.</w:t>
      </w:r>
    </w:p>
    <w:p w:rsidR="000A156F" w:rsidRDefault="00A9721F">
      <w:pPr>
        <w:pStyle w:val="Definition-Field"/>
      </w:pPr>
      <w:r>
        <w:t xml:space="preserve">uu.  </w:t>
      </w:r>
      <w:r>
        <w:rPr>
          <w:i/>
        </w:rPr>
        <w:t>The standard does not restrict the value @rowColShift when @name=XLMDX.</w:t>
      </w:r>
    </w:p>
    <w:p w:rsidR="000A156F" w:rsidRDefault="00A9721F">
      <w:pPr>
        <w:pStyle w:val="Definition-Field2"/>
      </w:pPr>
      <w:r>
        <w:t>Office requires that the value @rowColShift shall be true when @name=XLMDX.</w:t>
      </w:r>
    </w:p>
    <w:p w:rsidR="000A156F" w:rsidRDefault="00A9721F">
      <w:pPr>
        <w:pStyle w:val="Definition-Field"/>
      </w:pPr>
      <w:r>
        <w:t>vv.</w:t>
      </w:r>
      <w:r>
        <w:t xml:space="preserve">  </w:t>
      </w:r>
      <w:r>
        <w:rPr>
          <w:i/>
        </w:rPr>
        <w:t>The standard does not restrict the value @splitAll when @name=XLMDX.</w:t>
      </w:r>
    </w:p>
    <w:p w:rsidR="000A156F" w:rsidRDefault="00A9721F">
      <w:pPr>
        <w:pStyle w:val="Definition-Field2"/>
      </w:pPr>
      <w:r>
        <w:t>Office requires that the value @splitAll shall not be true when @name=XLMDX.</w:t>
      </w:r>
    </w:p>
    <w:p w:rsidR="000A156F" w:rsidRDefault="00A9721F">
      <w:pPr>
        <w:pStyle w:val="Definition-Field"/>
      </w:pPr>
      <w:r>
        <w:t xml:space="preserve">ww.  </w:t>
      </w:r>
      <w:r>
        <w:rPr>
          <w:i/>
        </w:rPr>
        <w:t>The standard does not restrict the value @splitFirst when @name=XLMDX.</w:t>
      </w:r>
    </w:p>
    <w:p w:rsidR="000A156F" w:rsidRDefault="00A9721F">
      <w:pPr>
        <w:pStyle w:val="Definition-Field2"/>
      </w:pPr>
      <w:r>
        <w:t>Office requires that the value @</w:t>
      </w:r>
      <w:r>
        <w:t>splitFirst shall be true when @name=XLMDX.</w:t>
      </w:r>
    </w:p>
    <w:p w:rsidR="000A156F" w:rsidRDefault="00A9721F">
      <w:pPr>
        <w:pStyle w:val="Heading3"/>
      </w:pPr>
      <w:bookmarkStart w:id="1480" w:name="section_05e9eaad291e4fa1886e5ce683c43048"/>
      <w:bookmarkStart w:id="1481" w:name="_Toc181683766"/>
      <w:r>
        <w:lastRenderedPageBreak/>
        <w:t>Part 1 Section 18.9.11, metadataTypes (Metadata Types Collection)</w:t>
      </w:r>
      <w:bookmarkEnd w:id="1480"/>
      <w:bookmarkEnd w:id="1481"/>
      <w:r>
        <w:fldChar w:fldCharType="begin"/>
      </w:r>
      <w:r>
        <w:instrText xml:space="preserve"> XE "metadataTypes (Metadata Types Collection)" </w:instrText>
      </w:r>
      <w:r>
        <w:fldChar w:fldCharType="end"/>
      </w:r>
    </w:p>
    <w:p w:rsidR="000A156F" w:rsidRDefault="00A9721F">
      <w:pPr>
        <w:pStyle w:val="Definition-Field"/>
      </w:pPr>
      <w:r>
        <w:t xml:space="preserve">a.   </w:t>
      </w:r>
      <w:r>
        <w:rPr>
          <w:i/>
        </w:rPr>
        <w:t>The standard states that the values of the count attribute are defined by the XML Schema uns</w:t>
      </w:r>
      <w:r>
        <w:rPr>
          <w:i/>
        </w:rPr>
        <w:t>ignedInt datatype.</w:t>
      </w:r>
    </w:p>
    <w:p w:rsidR="000A156F" w:rsidRDefault="00A9721F">
      <w:pPr>
        <w:pStyle w:val="Definition-Field2"/>
      </w:pPr>
      <w:r>
        <w:t>Office requires that the count attribute have a maximum value of 2147483647.</w:t>
      </w:r>
    </w:p>
    <w:p w:rsidR="000A156F" w:rsidRDefault="00A9721F">
      <w:pPr>
        <w:pStyle w:val="Heading3"/>
      </w:pPr>
      <w:bookmarkStart w:id="1482" w:name="section_6612d3346b3a463893d847b28879a01f"/>
      <w:bookmarkStart w:id="1483" w:name="_Toc181683767"/>
      <w:r>
        <w:t>Part 1 Section 18.9.12, ms (Set MDX Metadata)</w:t>
      </w:r>
      <w:bookmarkEnd w:id="1482"/>
      <w:bookmarkEnd w:id="1483"/>
      <w:r>
        <w:fldChar w:fldCharType="begin"/>
      </w:r>
      <w:r>
        <w:instrText xml:space="preserve"> XE "ms (Set MDX Metadata)" </w:instrText>
      </w:r>
      <w:r>
        <w:fldChar w:fldCharType="end"/>
      </w:r>
    </w:p>
    <w:p w:rsidR="000A156F" w:rsidRDefault="00A9721F">
      <w:pPr>
        <w:pStyle w:val="Definition-Field"/>
      </w:pPr>
      <w:r>
        <w:t xml:space="preserve">a.   </w:t>
      </w:r>
      <w:r>
        <w:rPr>
          <w:i/>
        </w:rPr>
        <w:t>The standard describes the ns attribute as an unsigned integer with 32 signific</w:t>
      </w:r>
      <w:r>
        <w:rPr>
          <w:i/>
        </w:rPr>
        <w:t>ant bits.</w:t>
      </w:r>
    </w:p>
    <w:p w:rsidR="000A156F" w:rsidRDefault="00A9721F">
      <w:pPr>
        <w:pStyle w:val="Definition-Field2"/>
      </w:pPr>
      <w:r>
        <w:t>Office requires that the value be between 0 and 2147483647 inclusive.</w:t>
      </w:r>
    </w:p>
    <w:p w:rsidR="000A156F" w:rsidRDefault="00A9721F">
      <w:pPr>
        <w:pStyle w:val="Definition-Field"/>
      </w:pPr>
      <w:r>
        <w:t xml:space="preserve">b.   </w:t>
      </w:r>
      <w:r>
        <w:rPr>
          <w:i/>
        </w:rPr>
        <w:t>The standard describes the @c as an unsigned integer with 32 significant bits.</w:t>
      </w:r>
    </w:p>
    <w:p w:rsidR="000A156F" w:rsidRDefault="00A9721F">
      <w:pPr>
        <w:pStyle w:val="Definition-Field2"/>
      </w:pPr>
      <w:r>
        <w:t>Office requires that the value be between 0 and 2147483647 inclusive.</w:t>
      </w:r>
    </w:p>
    <w:p w:rsidR="000A156F" w:rsidRDefault="00A9721F">
      <w:pPr>
        <w:pStyle w:val="Heading3"/>
      </w:pPr>
      <w:bookmarkStart w:id="1484" w:name="section_e15c9df90ad44f7c979ad268c7ac9e3e"/>
      <w:bookmarkStart w:id="1485" w:name="_Toc181683768"/>
      <w:r>
        <w:t>Part 1 Section 18.9.13, n (Member Unique Name Index)</w:t>
      </w:r>
      <w:bookmarkEnd w:id="1484"/>
      <w:bookmarkEnd w:id="1485"/>
      <w:r>
        <w:fldChar w:fldCharType="begin"/>
      </w:r>
      <w:r>
        <w:instrText xml:space="preserve"> XE "n (Member Unique Name Index)" </w:instrText>
      </w:r>
      <w:r>
        <w:fldChar w:fldCharType="end"/>
      </w:r>
    </w:p>
    <w:p w:rsidR="000A156F" w:rsidRDefault="00A9721F">
      <w:pPr>
        <w:pStyle w:val="Definition-Field"/>
      </w:pPr>
      <w:r>
        <w:t xml:space="preserve">a.   </w:t>
      </w:r>
      <w:r>
        <w:rPr>
          <w:i/>
        </w:rPr>
        <w:t>The standard states that the values of the x attribute are defined by the XML Schema unsignedInt datatype.</w:t>
      </w:r>
    </w:p>
    <w:p w:rsidR="000A156F" w:rsidRDefault="00A9721F">
      <w:pPr>
        <w:pStyle w:val="Definition-Field2"/>
      </w:pPr>
      <w:r>
        <w:t>Office requires that the x attribute has a maximum val</w:t>
      </w:r>
      <w:r>
        <w:t>ue of 2147483647.</w:t>
      </w:r>
    </w:p>
    <w:p w:rsidR="000A156F" w:rsidRDefault="00A9721F">
      <w:pPr>
        <w:pStyle w:val="Heading3"/>
      </w:pPr>
      <w:bookmarkStart w:id="1486" w:name="section_920bba5747714fc3a39c9e6307c798e1"/>
      <w:bookmarkStart w:id="1487" w:name="_Toc181683769"/>
      <w:r>
        <w:t>Part 1 Section 18.9.14, p (Member Property MDX Metadata)</w:t>
      </w:r>
      <w:bookmarkEnd w:id="1486"/>
      <w:bookmarkEnd w:id="1487"/>
      <w:r>
        <w:fldChar w:fldCharType="begin"/>
      </w:r>
      <w:r>
        <w:instrText xml:space="preserve"> XE "p (Member Property MDX Metadata)" </w:instrText>
      </w:r>
      <w:r>
        <w:fldChar w:fldCharType="end"/>
      </w:r>
    </w:p>
    <w:p w:rsidR="000A156F" w:rsidRDefault="00A9721F">
      <w:pPr>
        <w:pStyle w:val="Definition-Field"/>
      </w:pPr>
      <w:r>
        <w:t xml:space="preserve">a.   </w:t>
      </w:r>
      <w:r>
        <w:rPr>
          <w:i/>
        </w:rPr>
        <w:t>The standard states that the values of the n attribute are defined by the XML Schema unsignedInt datatype.</w:t>
      </w:r>
    </w:p>
    <w:p w:rsidR="000A156F" w:rsidRDefault="00A9721F">
      <w:pPr>
        <w:pStyle w:val="Definition-Field2"/>
      </w:pPr>
      <w:r>
        <w:t>Office requires that the n a</w:t>
      </w:r>
      <w:r>
        <w:t>ttribute has a maximum value of 2147483647.</w:t>
      </w:r>
    </w:p>
    <w:p w:rsidR="000A156F" w:rsidRDefault="00A9721F">
      <w:pPr>
        <w:pStyle w:val="Definition-Field"/>
      </w:pPr>
      <w:r>
        <w:t xml:space="preserve">b.   </w:t>
      </w:r>
      <w:r>
        <w:rPr>
          <w:i/>
        </w:rPr>
        <w:t>The standard states that the values of the np attribute are defined by the XML Schema unsignedInt datatype.</w:t>
      </w:r>
    </w:p>
    <w:p w:rsidR="000A156F" w:rsidRDefault="00A9721F">
      <w:pPr>
        <w:pStyle w:val="Definition-Field2"/>
      </w:pPr>
      <w:r>
        <w:t>Office requires that the np attribute has a maximum value of 2147483647.</w:t>
      </w:r>
    </w:p>
    <w:p w:rsidR="000A156F" w:rsidRDefault="00A9721F">
      <w:pPr>
        <w:pStyle w:val="Heading3"/>
      </w:pPr>
      <w:bookmarkStart w:id="1488" w:name="section_068a1e33b87d49c3b92406cf6033b8cc"/>
      <w:bookmarkStart w:id="1489" w:name="_Toc181683770"/>
      <w:r>
        <w:t>Part 1 Section 18.9.15, rc</w:t>
      </w:r>
      <w:r>
        <w:t xml:space="preserve"> (Metadata Record)</w:t>
      </w:r>
      <w:bookmarkEnd w:id="1488"/>
      <w:bookmarkEnd w:id="1489"/>
      <w:r>
        <w:fldChar w:fldCharType="begin"/>
      </w:r>
      <w:r>
        <w:instrText xml:space="preserve"> XE "rc (Metadata Record)" </w:instrText>
      </w:r>
      <w:r>
        <w:fldChar w:fldCharType="end"/>
      </w:r>
    </w:p>
    <w:p w:rsidR="000A156F" w:rsidRDefault="00A9721F">
      <w:pPr>
        <w:pStyle w:val="Definition-Field"/>
      </w:pPr>
      <w:r>
        <w:t xml:space="preserve">a.   </w:t>
      </w:r>
      <w:r>
        <w:rPr>
          <w:i/>
        </w:rPr>
        <w:t>The standard states that the values of the t attribute are defined by the XML Schema unsignedInt datatype.</w:t>
      </w:r>
    </w:p>
    <w:p w:rsidR="000A156F" w:rsidRDefault="00A9721F">
      <w:pPr>
        <w:pStyle w:val="Definition-Field2"/>
      </w:pPr>
      <w:r>
        <w:t>Office requires that the t attribute has a maximum value of 2147483647.</w:t>
      </w:r>
    </w:p>
    <w:p w:rsidR="000A156F" w:rsidRDefault="00A9721F">
      <w:pPr>
        <w:pStyle w:val="Heading3"/>
      </w:pPr>
      <w:bookmarkStart w:id="1490" w:name="section_7497a2d02d184fe5a58079bc7ad04497"/>
      <w:bookmarkStart w:id="1491" w:name="_Toc181683771"/>
      <w:r>
        <w:t>Part 1 Section 18.9.16, t (Tuple MDX Metadata)</w:t>
      </w:r>
      <w:bookmarkEnd w:id="1490"/>
      <w:bookmarkEnd w:id="1491"/>
      <w:r>
        <w:fldChar w:fldCharType="begin"/>
      </w:r>
      <w:r>
        <w:instrText xml:space="preserve"> XE "t (Tuple MDX Metadata)" </w:instrText>
      </w:r>
      <w:r>
        <w:fldChar w:fldCharType="end"/>
      </w:r>
    </w:p>
    <w:p w:rsidR="000A156F" w:rsidRDefault="00A9721F">
      <w:pPr>
        <w:pStyle w:val="Definition-Field"/>
      </w:pPr>
      <w:r>
        <w:t xml:space="preserve">a.   </w:t>
      </w:r>
      <w:r>
        <w:rPr>
          <w:i/>
        </w:rPr>
        <w:t>The standard has no restriction on whether ct can be present along with fi and/or si.</w:t>
      </w:r>
    </w:p>
    <w:p w:rsidR="000A156F" w:rsidRDefault="00A9721F">
      <w:pPr>
        <w:pStyle w:val="Definition-Field2"/>
      </w:pPr>
      <w:r>
        <w:t>Office requires that @ct must not be specified if either @si or @fi is specified.</w:t>
      </w:r>
    </w:p>
    <w:p w:rsidR="000A156F" w:rsidRDefault="00A9721F">
      <w:pPr>
        <w:pStyle w:val="Definition-Field"/>
      </w:pPr>
      <w:r>
        <w:t xml:space="preserve">b.   </w:t>
      </w:r>
      <w:r>
        <w:rPr>
          <w:i/>
        </w:rPr>
        <w:t>The standard defines the attribute si as an xsd:unsignedInt.</w:t>
      </w:r>
    </w:p>
    <w:p w:rsidR="000A156F" w:rsidRDefault="00A9721F">
      <w:pPr>
        <w:pStyle w:val="Definition-Field2"/>
      </w:pPr>
      <w:r>
        <w:t>In Office, @si has a maximum value of less than or equal to 2147483647.</w:t>
      </w:r>
    </w:p>
    <w:p w:rsidR="000A156F" w:rsidRDefault="00A9721F">
      <w:pPr>
        <w:pStyle w:val="Definition-Field"/>
      </w:pPr>
      <w:r>
        <w:t xml:space="preserve">c.   </w:t>
      </w:r>
      <w:r>
        <w:rPr>
          <w:i/>
        </w:rPr>
        <w:t>The standard defines the attribute c as an xsd:unsignedInt.</w:t>
      </w:r>
    </w:p>
    <w:p w:rsidR="000A156F" w:rsidRDefault="00A9721F">
      <w:pPr>
        <w:pStyle w:val="Definition-Field2"/>
      </w:pPr>
      <w:r>
        <w:t>In Office, @c has a maximum value of less than or equal to</w:t>
      </w:r>
      <w:r>
        <w:t xml:space="preserve"> 2147483647.</w:t>
      </w:r>
    </w:p>
    <w:p w:rsidR="000A156F" w:rsidRDefault="00A9721F">
      <w:pPr>
        <w:pStyle w:val="Definition-Field"/>
      </w:pPr>
      <w:r>
        <w:t xml:space="preserve">d.   </w:t>
      </w:r>
      <w:r>
        <w:rPr>
          <w:i/>
        </w:rPr>
        <w:t>The standard does not restrict the value of @fi beyond unsigned int.</w:t>
      </w:r>
    </w:p>
    <w:p w:rsidR="000A156F" w:rsidRDefault="00A9721F">
      <w:pPr>
        <w:pStyle w:val="Definition-Field2"/>
      </w:pPr>
      <w:r>
        <w:lastRenderedPageBreak/>
        <w:t>Office requires that @fi have a maximum value of 58.</w:t>
      </w:r>
    </w:p>
    <w:p w:rsidR="000A156F" w:rsidRDefault="00A9721F">
      <w:pPr>
        <w:pStyle w:val="Definition-Field"/>
      </w:pPr>
      <w:r>
        <w:t xml:space="preserve">e.   </w:t>
      </w:r>
      <w:r>
        <w:rPr>
          <w:i/>
        </w:rPr>
        <w:t>The standard does not specify whether @si is a 0-based or 1-based index.</w:t>
      </w:r>
    </w:p>
    <w:p w:rsidR="000A156F" w:rsidRDefault="00A9721F">
      <w:pPr>
        <w:pStyle w:val="Definition-Field2"/>
      </w:pPr>
      <w:r>
        <w:t>Office specifies @si is a 0-based inde</w:t>
      </w:r>
      <w:r>
        <w:t>x to a metadata string.</w:t>
      </w:r>
    </w:p>
    <w:p w:rsidR="000A156F" w:rsidRDefault="00A9721F">
      <w:pPr>
        <w:pStyle w:val="Definition-Field"/>
      </w:pPr>
      <w:r>
        <w:t xml:space="preserve">f.   </w:t>
      </w:r>
      <w:r>
        <w:rPr>
          <w:i/>
        </w:rPr>
        <w:t>The standard does not limit the values of @ct.</w:t>
      </w:r>
    </w:p>
    <w:p w:rsidR="000A156F" w:rsidRDefault="00A9721F">
      <w:r>
        <w:t>Specifies a language used to determine the currency symbol to display for currency values. For example, if the culture is en-US, the values in the application will format the value</w:t>
      </w:r>
      <w:r>
        <w:t>s with a dollar sign. If the culture is fr-FR the application will format the values with a euro sign.</w:t>
      </w:r>
    </w:p>
    <w:p w:rsidR="000A156F" w:rsidRDefault="00A9721F">
      <w:r>
        <w:t>This value conforms to the language tagging conventions of RFC 3066. The pattern &lt;language&gt;-&lt;REGION&gt; is used, for example, en-US or fr-FR.</w:t>
      </w:r>
    </w:p>
    <w:p w:rsidR="000A156F" w:rsidRDefault="00A9721F">
      <w:r>
        <w:t>Office does no</w:t>
      </w:r>
      <w:r>
        <w:t>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Language</w:t>
            </w:r>
          </w:p>
        </w:tc>
        <w:tc>
          <w:tcPr>
            <w:tcW w:w="0" w:type="auto"/>
            <w:vAlign w:val="center"/>
          </w:tcPr>
          <w:p w:rsidR="000A156F" w:rsidRDefault="00A9721F">
            <w:pPr>
              <w:pStyle w:val="TableHeaderText"/>
            </w:pPr>
            <w:r>
              <w:t>Locale</w:t>
            </w:r>
          </w:p>
        </w:tc>
        <w:tc>
          <w:tcPr>
            <w:tcW w:w="0" w:type="auto"/>
            <w:vAlign w:val="center"/>
          </w:tcPr>
          <w:p w:rsidR="000A156F" w:rsidRDefault="00A9721F">
            <w:pPr>
              <w:pStyle w:val="TableHeaderText"/>
            </w:pPr>
            <w:r>
              <w:t>Language Tag</w:t>
            </w:r>
          </w:p>
        </w:tc>
      </w:tr>
      <w:tr w:rsidR="000A156F" w:rsidTr="000A156F">
        <w:tc>
          <w:tcPr>
            <w:tcW w:w="0" w:type="auto"/>
            <w:vAlign w:val="center"/>
          </w:tcPr>
          <w:p w:rsidR="000A156F" w:rsidRDefault="00A9721F">
            <w:pPr>
              <w:pStyle w:val="TableBodyText"/>
            </w:pPr>
            <w:r>
              <w:t>Africaans</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af-ZA</w:t>
            </w:r>
          </w:p>
        </w:tc>
      </w:tr>
      <w:tr w:rsidR="000A156F" w:rsidTr="000A156F">
        <w:tc>
          <w:tcPr>
            <w:tcW w:w="0" w:type="auto"/>
            <w:vAlign w:val="center"/>
          </w:tcPr>
          <w:p w:rsidR="000A156F" w:rsidRDefault="00A9721F">
            <w:pPr>
              <w:pStyle w:val="TableBodyText"/>
            </w:pPr>
            <w:r>
              <w:t>Albanian</w:t>
            </w:r>
          </w:p>
        </w:tc>
        <w:tc>
          <w:tcPr>
            <w:tcW w:w="0" w:type="auto"/>
            <w:vAlign w:val="center"/>
          </w:tcPr>
          <w:p w:rsidR="000A156F" w:rsidRDefault="00A9721F">
            <w:pPr>
              <w:pStyle w:val="TableBodyText"/>
            </w:pPr>
            <w:r>
              <w:t>Albanian</w:t>
            </w:r>
          </w:p>
        </w:tc>
        <w:tc>
          <w:tcPr>
            <w:tcW w:w="0" w:type="auto"/>
            <w:vAlign w:val="center"/>
          </w:tcPr>
          <w:p w:rsidR="000A156F" w:rsidRDefault="00A9721F">
            <w:pPr>
              <w:pStyle w:val="TableBodyText"/>
            </w:pPr>
            <w:r>
              <w:t>sq-AL</w:t>
            </w:r>
          </w:p>
        </w:tc>
      </w:tr>
      <w:tr w:rsidR="000A156F" w:rsidTr="000A156F">
        <w:tc>
          <w:tcPr>
            <w:tcW w:w="0" w:type="auto"/>
            <w:vAlign w:val="center"/>
          </w:tcPr>
          <w:p w:rsidR="000A156F" w:rsidRDefault="00A9721F">
            <w:pPr>
              <w:pStyle w:val="TableBodyText"/>
            </w:pPr>
            <w:r>
              <w:t>Alsatian</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gsw-FR</w:t>
            </w:r>
          </w:p>
        </w:tc>
      </w:tr>
      <w:tr w:rsidR="000A156F" w:rsidTr="000A156F">
        <w:tc>
          <w:tcPr>
            <w:tcW w:w="0" w:type="auto"/>
            <w:vAlign w:val="center"/>
          </w:tcPr>
          <w:p w:rsidR="000A156F" w:rsidRDefault="00A9721F">
            <w:pPr>
              <w:pStyle w:val="TableBodyText"/>
            </w:pPr>
            <w:r>
              <w:t>Amharic</w:t>
            </w:r>
          </w:p>
        </w:tc>
        <w:tc>
          <w:tcPr>
            <w:tcW w:w="0" w:type="auto"/>
            <w:vAlign w:val="center"/>
          </w:tcPr>
          <w:p w:rsidR="000A156F" w:rsidRDefault="00A9721F">
            <w:pPr>
              <w:pStyle w:val="TableBodyText"/>
            </w:pPr>
            <w:r>
              <w:t>Ethiopia</w:t>
            </w:r>
          </w:p>
        </w:tc>
        <w:tc>
          <w:tcPr>
            <w:tcW w:w="0" w:type="auto"/>
            <w:vAlign w:val="center"/>
          </w:tcPr>
          <w:p w:rsidR="000A156F" w:rsidRDefault="00A9721F">
            <w:pPr>
              <w:pStyle w:val="TableBodyText"/>
            </w:pPr>
            <w:r>
              <w:t>am-ET</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Algeria</w:t>
            </w:r>
          </w:p>
        </w:tc>
        <w:tc>
          <w:tcPr>
            <w:tcW w:w="0" w:type="auto"/>
            <w:vAlign w:val="center"/>
          </w:tcPr>
          <w:p w:rsidR="000A156F" w:rsidRDefault="00A9721F">
            <w:pPr>
              <w:pStyle w:val="TableBodyText"/>
            </w:pPr>
            <w:r>
              <w:t>ar-DZ</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Bahrain</w:t>
            </w:r>
          </w:p>
        </w:tc>
        <w:tc>
          <w:tcPr>
            <w:tcW w:w="0" w:type="auto"/>
            <w:vAlign w:val="center"/>
          </w:tcPr>
          <w:p w:rsidR="000A156F" w:rsidRDefault="00A9721F">
            <w:pPr>
              <w:pStyle w:val="TableBodyText"/>
            </w:pPr>
            <w:r>
              <w:t>ar-BH</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Egypt</w:t>
            </w:r>
          </w:p>
        </w:tc>
        <w:tc>
          <w:tcPr>
            <w:tcW w:w="0" w:type="auto"/>
            <w:vAlign w:val="center"/>
          </w:tcPr>
          <w:p w:rsidR="000A156F" w:rsidRDefault="00A9721F">
            <w:pPr>
              <w:pStyle w:val="TableBodyText"/>
            </w:pPr>
            <w:r>
              <w:t>ar-EG</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Iraq</w:t>
            </w:r>
          </w:p>
        </w:tc>
        <w:tc>
          <w:tcPr>
            <w:tcW w:w="0" w:type="auto"/>
            <w:vAlign w:val="center"/>
          </w:tcPr>
          <w:p w:rsidR="000A156F" w:rsidRDefault="00A9721F">
            <w:pPr>
              <w:pStyle w:val="TableBodyText"/>
            </w:pPr>
            <w:r>
              <w:t>ar-IQ</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Jordan</w:t>
            </w:r>
          </w:p>
        </w:tc>
        <w:tc>
          <w:tcPr>
            <w:tcW w:w="0" w:type="auto"/>
            <w:vAlign w:val="center"/>
          </w:tcPr>
          <w:p w:rsidR="000A156F" w:rsidRDefault="00A9721F">
            <w:pPr>
              <w:pStyle w:val="TableBodyText"/>
            </w:pPr>
            <w:r>
              <w:t>ar-JO</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Kuwait</w:t>
            </w:r>
          </w:p>
        </w:tc>
        <w:tc>
          <w:tcPr>
            <w:tcW w:w="0" w:type="auto"/>
            <w:vAlign w:val="center"/>
          </w:tcPr>
          <w:p w:rsidR="000A156F" w:rsidRDefault="00A9721F">
            <w:pPr>
              <w:pStyle w:val="TableBodyText"/>
            </w:pPr>
            <w:r>
              <w:t>ar-KW</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Lebanon</w:t>
            </w:r>
          </w:p>
        </w:tc>
        <w:tc>
          <w:tcPr>
            <w:tcW w:w="0" w:type="auto"/>
            <w:vAlign w:val="center"/>
          </w:tcPr>
          <w:p w:rsidR="000A156F" w:rsidRDefault="00A9721F">
            <w:pPr>
              <w:pStyle w:val="TableBodyText"/>
            </w:pPr>
            <w:r>
              <w:t>ar-LB</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Libya</w:t>
            </w:r>
          </w:p>
        </w:tc>
        <w:tc>
          <w:tcPr>
            <w:tcW w:w="0" w:type="auto"/>
            <w:vAlign w:val="center"/>
          </w:tcPr>
          <w:p w:rsidR="000A156F" w:rsidRDefault="00A9721F">
            <w:pPr>
              <w:pStyle w:val="TableBodyText"/>
            </w:pPr>
            <w:r>
              <w:t>ar-LY</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Morocco</w:t>
            </w:r>
          </w:p>
        </w:tc>
        <w:tc>
          <w:tcPr>
            <w:tcW w:w="0" w:type="auto"/>
            <w:vAlign w:val="center"/>
          </w:tcPr>
          <w:p w:rsidR="000A156F" w:rsidRDefault="00A9721F">
            <w:pPr>
              <w:pStyle w:val="TableBodyText"/>
            </w:pPr>
            <w:r>
              <w:t>ar-MA</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Oman</w:t>
            </w:r>
          </w:p>
        </w:tc>
        <w:tc>
          <w:tcPr>
            <w:tcW w:w="0" w:type="auto"/>
            <w:vAlign w:val="center"/>
          </w:tcPr>
          <w:p w:rsidR="000A156F" w:rsidRDefault="00A9721F">
            <w:pPr>
              <w:pStyle w:val="TableBodyText"/>
            </w:pPr>
            <w:r>
              <w:t>ar-OM</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Qatar</w:t>
            </w:r>
          </w:p>
        </w:tc>
        <w:tc>
          <w:tcPr>
            <w:tcW w:w="0" w:type="auto"/>
            <w:vAlign w:val="center"/>
          </w:tcPr>
          <w:p w:rsidR="000A156F" w:rsidRDefault="00A9721F">
            <w:pPr>
              <w:pStyle w:val="TableBodyText"/>
            </w:pPr>
            <w:r>
              <w:t>ar-QA</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Saudi Arabia</w:t>
            </w:r>
          </w:p>
        </w:tc>
        <w:tc>
          <w:tcPr>
            <w:tcW w:w="0" w:type="auto"/>
            <w:vAlign w:val="center"/>
          </w:tcPr>
          <w:p w:rsidR="000A156F" w:rsidRDefault="00A9721F">
            <w:pPr>
              <w:pStyle w:val="TableBodyText"/>
            </w:pPr>
            <w:r>
              <w:t>ar-SA</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Syria</w:t>
            </w:r>
          </w:p>
        </w:tc>
        <w:tc>
          <w:tcPr>
            <w:tcW w:w="0" w:type="auto"/>
            <w:vAlign w:val="center"/>
          </w:tcPr>
          <w:p w:rsidR="000A156F" w:rsidRDefault="00A9721F">
            <w:pPr>
              <w:pStyle w:val="TableBodyText"/>
            </w:pPr>
            <w:r>
              <w:t>ar-SY</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Tunisia</w:t>
            </w:r>
          </w:p>
        </w:tc>
        <w:tc>
          <w:tcPr>
            <w:tcW w:w="0" w:type="auto"/>
            <w:vAlign w:val="center"/>
          </w:tcPr>
          <w:p w:rsidR="000A156F" w:rsidRDefault="00A9721F">
            <w:pPr>
              <w:pStyle w:val="TableBodyText"/>
            </w:pPr>
            <w:r>
              <w:t>ar-TN</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U.A.E.</w:t>
            </w:r>
          </w:p>
        </w:tc>
        <w:tc>
          <w:tcPr>
            <w:tcW w:w="0" w:type="auto"/>
            <w:vAlign w:val="center"/>
          </w:tcPr>
          <w:p w:rsidR="000A156F" w:rsidRDefault="00A9721F">
            <w:pPr>
              <w:pStyle w:val="TableBodyText"/>
            </w:pPr>
            <w:r>
              <w:t>ar-AE</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Yemen</w:t>
            </w:r>
          </w:p>
        </w:tc>
        <w:tc>
          <w:tcPr>
            <w:tcW w:w="0" w:type="auto"/>
            <w:vAlign w:val="center"/>
          </w:tcPr>
          <w:p w:rsidR="000A156F" w:rsidRDefault="00A9721F">
            <w:pPr>
              <w:pStyle w:val="TableBodyText"/>
            </w:pPr>
            <w:r>
              <w:t>ar-YE</w:t>
            </w:r>
          </w:p>
        </w:tc>
      </w:tr>
      <w:tr w:rsidR="000A156F" w:rsidTr="000A156F">
        <w:tc>
          <w:tcPr>
            <w:tcW w:w="0" w:type="auto"/>
            <w:vAlign w:val="center"/>
          </w:tcPr>
          <w:p w:rsidR="000A156F" w:rsidRDefault="00A9721F">
            <w:pPr>
              <w:pStyle w:val="TableBodyText"/>
            </w:pPr>
            <w:r>
              <w:t>Armenian</w:t>
            </w:r>
          </w:p>
        </w:tc>
        <w:tc>
          <w:tcPr>
            <w:tcW w:w="0" w:type="auto"/>
            <w:vAlign w:val="center"/>
          </w:tcPr>
          <w:p w:rsidR="000A156F" w:rsidRDefault="00A9721F">
            <w:pPr>
              <w:pStyle w:val="TableBodyText"/>
            </w:pPr>
            <w:r>
              <w:t>Armenia</w:t>
            </w:r>
          </w:p>
        </w:tc>
        <w:tc>
          <w:tcPr>
            <w:tcW w:w="0" w:type="auto"/>
            <w:vAlign w:val="center"/>
          </w:tcPr>
          <w:p w:rsidR="000A156F" w:rsidRDefault="00A9721F">
            <w:pPr>
              <w:pStyle w:val="TableBodyText"/>
            </w:pPr>
            <w:r>
              <w:t>hy-AM</w:t>
            </w:r>
          </w:p>
        </w:tc>
      </w:tr>
      <w:tr w:rsidR="000A156F" w:rsidTr="000A156F">
        <w:tc>
          <w:tcPr>
            <w:tcW w:w="0" w:type="auto"/>
            <w:vAlign w:val="center"/>
          </w:tcPr>
          <w:p w:rsidR="000A156F" w:rsidRDefault="00A9721F">
            <w:pPr>
              <w:pStyle w:val="TableBodyText"/>
            </w:pPr>
            <w:r>
              <w:t>Assamese</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as-IN</w:t>
            </w:r>
          </w:p>
        </w:tc>
      </w:tr>
      <w:tr w:rsidR="000A156F" w:rsidTr="000A156F">
        <w:tc>
          <w:tcPr>
            <w:tcW w:w="0" w:type="auto"/>
            <w:vAlign w:val="center"/>
          </w:tcPr>
          <w:p w:rsidR="000A156F" w:rsidRDefault="00A9721F">
            <w:pPr>
              <w:pStyle w:val="TableBodyText"/>
            </w:pPr>
            <w:r>
              <w:lastRenderedPageBreak/>
              <w:t>Azerbaijani (Cyrillic)</w:t>
            </w:r>
          </w:p>
        </w:tc>
        <w:tc>
          <w:tcPr>
            <w:tcW w:w="0" w:type="auto"/>
            <w:vAlign w:val="center"/>
          </w:tcPr>
          <w:p w:rsidR="000A156F" w:rsidRDefault="00A9721F">
            <w:pPr>
              <w:pStyle w:val="TableBodyText"/>
            </w:pPr>
            <w:r>
              <w:t>Azerbaijan</w:t>
            </w:r>
          </w:p>
        </w:tc>
        <w:tc>
          <w:tcPr>
            <w:tcW w:w="0" w:type="auto"/>
            <w:vAlign w:val="center"/>
          </w:tcPr>
          <w:p w:rsidR="000A156F" w:rsidRDefault="00A9721F">
            <w:pPr>
              <w:pStyle w:val="TableBodyText"/>
            </w:pPr>
            <w:r>
              <w:t>az-AZ-Cyrl</w:t>
            </w:r>
          </w:p>
        </w:tc>
      </w:tr>
      <w:tr w:rsidR="000A156F" w:rsidTr="000A156F">
        <w:tc>
          <w:tcPr>
            <w:tcW w:w="0" w:type="auto"/>
            <w:vAlign w:val="center"/>
          </w:tcPr>
          <w:p w:rsidR="000A156F" w:rsidRDefault="00A9721F">
            <w:pPr>
              <w:pStyle w:val="TableBodyText"/>
            </w:pPr>
            <w:r>
              <w:t xml:space="preserve">Azerbaijani </w:t>
            </w:r>
            <w:r>
              <w:t>(Latin)</w:t>
            </w:r>
          </w:p>
        </w:tc>
        <w:tc>
          <w:tcPr>
            <w:tcW w:w="0" w:type="auto"/>
            <w:vAlign w:val="center"/>
          </w:tcPr>
          <w:p w:rsidR="000A156F" w:rsidRDefault="00A9721F">
            <w:pPr>
              <w:pStyle w:val="TableBodyText"/>
            </w:pPr>
            <w:r>
              <w:t>Azerbaijan</w:t>
            </w:r>
          </w:p>
        </w:tc>
        <w:tc>
          <w:tcPr>
            <w:tcW w:w="0" w:type="auto"/>
            <w:vAlign w:val="center"/>
          </w:tcPr>
          <w:p w:rsidR="000A156F" w:rsidRDefault="00A9721F">
            <w:pPr>
              <w:pStyle w:val="TableBodyText"/>
            </w:pPr>
            <w:r>
              <w:t>az-AZ-Latn</w:t>
            </w:r>
          </w:p>
        </w:tc>
      </w:tr>
      <w:tr w:rsidR="000A156F" w:rsidTr="000A156F">
        <w:tc>
          <w:tcPr>
            <w:tcW w:w="0" w:type="auto"/>
            <w:vAlign w:val="center"/>
          </w:tcPr>
          <w:p w:rsidR="000A156F" w:rsidRDefault="00A9721F">
            <w:pPr>
              <w:pStyle w:val="TableBodyText"/>
            </w:pPr>
            <w:r>
              <w:t>Bangla</w:t>
            </w:r>
          </w:p>
        </w:tc>
        <w:tc>
          <w:tcPr>
            <w:tcW w:w="0" w:type="auto"/>
            <w:vAlign w:val="center"/>
          </w:tcPr>
          <w:p w:rsidR="000A156F" w:rsidRDefault="00A9721F">
            <w:pPr>
              <w:pStyle w:val="TableBodyText"/>
            </w:pPr>
            <w:r>
              <w:t>Bangladesh</w:t>
            </w:r>
          </w:p>
        </w:tc>
        <w:tc>
          <w:tcPr>
            <w:tcW w:w="0" w:type="auto"/>
            <w:vAlign w:val="center"/>
          </w:tcPr>
          <w:p w:rsidR="000A156F" w:rsidRDefault="00A9721F">
            <w:pPr>
              <w:pStyle w:val="TableBodyText"/>
            </w:pPr>
            <w:r>
              <w:t xml:space="preserve">bn-BD </w:t>
            </w:r>
          </w:p>
        </w:tc>
      </w:tr>
      <w:tr w:rsidR="000A156F" w:rsidTr="000A156F">
        <w:tc>
          <w:tcPr>
            <w:tcW w:w="0" w:type="auto"/>
            <w:vAlign w:val="center"/>
          </w:tcPr>
          <w:p w:rsidR="000A156F" w:rsidRDefault="00A9721F">
            <w:pPr>
              <w:pStyle w:val="TableBodyText"/>
            </w:pPr>
            <w:r>
              <w:t xml:space="preserve">Bangla (Bangla Script) </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bn-IN</w:t>
            </w:r>
          </w:p>
        </w:tc>
      </w:tr>
      <w:tr w:rsidR="000A156F" w:rsidTr="000A156F">
        <w:tc>
          <w:tcPr>
            <w:tcW w:w="0" w:type="auto"/>
            <w:vAlign w:val="center"/>
          </w:tcPr>
          <w:p w:rsidR="000A156F" w:rsidRDefault="00A9721F">
            <w:pPr>
              <w:pStyle w:val="TableBodyText"/>
            </w:pPr>
            <w:r>
              <w:t>Bashkir</w:t>
            </w:r>
          </w:p>
        </w:tc>
        <w:tc>
          <w:tcPr>
            <w:tcW w:w="0" w:type="auto"/>
            <w:vAlign w:val="center"/>
          </w:tcPr>
          <w:p w:rsidR="000A156F" w:rsidRDefault="00A9721F">
            <w:pPr>
              <w:pStyle w:val="TableBodyText"/>
            </w:pPr>
            <w:r>
              <w:t>Russia</w:t>
            </w:r>
          </w:p>
        </w:tc>
        <w:tc>
          <w:tcPr>
            <w:tcW w:w="0" w:type="auto"/>
            <w:vAlign w:val="center"/>
          </w:tcPr>
          <w:p w:rsidR="000A156F" w:rsidRDefault="00A9721F">
            <w:pPr>
              <w:pStyle w:val="TableBodyText"/>
            </w:pPr>
            <w:r>
              <w:t>ba-RU</w:t>
            </w:r>
          </w:p>
        </w:tc>
      </w:tr>
      <w:tr w:rsidR="000A156F" w:rsidTr="000A156F">
        <w:tc>
          <w:tcPr>
            <w:tcW w:w="0" w:type="auto"/>
            <w:vAlign w:val="center"/>
          </w:tcPr>
          <w:p w:rsidR="000A156F" w:rsidRDefault="00A9721F">
            <w:pPr>
              <w:pStyle w:val="TableBodyText"/>
            </w:pPr>
            <w:r>
              <w:t>Basque</w:t>
            </w:r>
          </w:p>
        </w:tc>
        <w:tc>
          <w:tcPr>
            <w:tcW w:w="0" w:type="auto"/>
            <w:vAlign w:val="center"/>
          </w:tcPr>
          <w:p w:rsidR="000A156F" w:rsidRDefault="00A9721F">
            <w:pPr>
              <w:pStyle w:val="TableBodyText"/>
            </w:pPr>
            <w:r>
              <w:t>Basque</w:t>
            </w:r>
          </w:p>
        </w:tc>
        <w:tc>
          <w:tcPr>
            <w:tcW w:w="0" w:type="auto"/>
            <w:vAlign w:val="center"/>
          </w:tcPr>
          <w:p w:rsidR="000A156F" w:rsidRDefault="00A9721F">
            <w:pPr>
              <w:pStyle w:val="TableBodyText"/>
            </w:pPr>
            <w:r>
              <w:t>eu-ES</w:t>
            </w:r>
          </w:p>
        </w:tc>
      </w:tr>
      <w:tr w:rsidR="000A156F" w:rsidTr="000A156F">
        <w:tc>
          <w:tcPr>
            <w:tcW w:w="0" w:type="auto"/>
            <w:vAlign w:val="center"/>
          </w:tcPr>
          <w:p w:rsidR="000A156F" w:rsidRDefault="00A9721F">
            <w:pPr>
              <w:pStyle w:val="TableBodyText"/>
            </w:pPr>
            <w:r>
              <w:t>Belarusian</w:t>
            </w:r>
          </w:p>
        </w:tc>
        <w:tc>
          <w:tcPr>
            <w:tcW w:w="0" w:type="auto"/>
            <w:vAlign w:val="center"/>
          </w:tcPr>
          <w:p w:rsidR="000A156F" w:rsidRDefault="00A9721F">
            <w:pPr>
              <w:pStyle w:val="TableBodyText"/>
            </w:pPr>
            <w:r>
              <w:t>Belarus</w:t>
            </w:r>
          </w:p>
        </w:tc>
        <w:tc>
          <w:tcPr>
            <w:tcW w:w="0" w:type="auto"/>
            <w:vAlign w:val="center"/>
          </w:tcPr>
          <w:p w:rsidR="000A156F" w:rsidRDefault="00A9721F">
            <w:pPr>
              <w:pStyle w:val="TableBodyText"/>
            </w:pPr>
            <w:r>
              <w:t>be-BY</w:t>
            </w:r>
          </w:p>
        </w:tc>
      </w:tr>
      <w:tr w:rsidR="000A156F" w:rsidTr="000A156F">
        <w:tc>
          <w:tcPr>
            <w:tcW w:w="0" w:type="auto"/>
            <w:vAlign w:val="center"/>
          </w:tcPr>
          <w:p w:rsidR="000A156F" w:rsidRDefault="00A9721F">
            <w:pPr>
              <w:pStyle w:val="TableBodyText"/>
            </w:pPr>
            <w:r>
              <w:t>Bosnian (Cyrillic)</w:t>
            </w:r>
          </w:p>
        </w:tc>
        <w:tc>
          <w:tcPr>
            <w:tcW w:w="0" w:type="auto"/>
            <w:vAlign w:val="center"/>
          </w:tcPr>
          <w:p w:rsidR="000A156F" w:rsidRDefault="00A9721F">
            <w:pPr>
              <w:pStyle w:val="TableBodyText"/>
            </w:pPr>
            <w:r>
              <w:t>Bosnia and Herzegovina</w:t>
            </w:r>
          </w:p>
        </w:tc>
        <w:tc>
          <w:tcPr>
            <w:tcW w:w="0" w:type="auto"/>
            <w:vAlign w:val="center"/>
          </w:tcPr>
          <w:p w:rsidR="000A156F" w:rsidRDefault="00A9721F">
            <w:pPr>
              <w:pStyle w:val="TableBodyText"/>
            </w:pPr>
            <w:r>
              <w:t>bs-BA-Cyrl</w:t>
            </w:r>
          </w:p>
        </w:tc>
      </w:tr>
      <w:tr w:rsidR="000A156F" w:rsidTr="000A156F">
        <w:tc>
          <w:tcPr>
            <w:tcW w:w="0" w:type="auto"/>
            <w:vAlign w:val="center"/>
          </w:tcPr>
          <w:p w:rsidR="000A156F" w:rsidRDefault="00A9721F">
            <w:pPr>
              <w:pStyle w:val="TableBodyText"/>
            </w:pPr>
            <w:r>
              <w:t>Bosnian (Latin)</w:t>
            </w:r>
          </w:p>
        </w:tc>
        <w:tc>
          <w:tcPr>
            <w:tcW w:w="0" w:type="auto"/>
            <w:vAlign w:val="center"/>
          </w:tcPr>
          <w:p w:rsidR="000A156F" w:rsidRDefault="00A9721F">
            <w:pPr>
              <w:pStyle w:val="TableBodyText"/>
            </w:pPr>
            <w:r>
              <w:t>Bosnia and Herzegovina</w:t>
            </w:r>
          </w:p>
        </w:tc>
        <w:tc>
          <w:tcPr>
            <w:tcW w:w="0" w:type="auto"/>
            <w:vAlign w:val="center"/>
          </w:tcPr>
          <w:p w:rsidR="000A156F" w:rsidRDefault="00A9721F">
            <w:pPr>
              <w:pStyle w:val="TableBodyText"/>
            </w:pPr>
            <w:r>
              <w:t>bs-BA-Latn</w:t>
            </w:r>
          </w:p>
        </w:tc>
      </w:tr>
      <w:tr w:rsidR="000A156F" w:rsidTr="000A156F">
        <w:tc>
          <w:tcPr>
            <w:tcW w:w="0" w:type="auto"/>
            <w:vAlign w:val="center"/>
          </w:tcPr>
          <w:p w:rsidR="000A156F" w:rsidRDefault="00A9721F">
            <w:pPr>
              <w:pStyle w:val="TableBodyText"/>
            </w:pPr>
            <w:r>
              <w:t>Breton</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br-FR</w:t>
            </w:r>
          </w:p>
        </w:tc>
      </w:tr>
      <w:tr w:rsidR="000A156F" w:rsidTr="000A156F">
        <w:tc>
          <w:tcPr>
            <w:tcW w:w="0" w:type="auto"/>
            <w:vAlign w:val="center"/>
          </w:tcPr>
          <w:p w:rsidR="000A156F" w:rsidRDefault="00A9721F">
            <w:pPr>
              <w:pStyle w:val="TableBodyText"/>
            </w:pPr>
            <w:r>
              <w:t>Bulgarian</w:t>
            </w:r>
          </w:p>
        </w:tc>
        <w:tc>
          <w:tcPr>
            <w:tcW w:w="0" w:type="auto"/>
            <w:vAlign w:val="center"/>
          </w:tcPr>
          <w:p w:rsidR="000A156F" w:rsidRDefault="00A9721F">
            <w:pPr>
              <w:pStyle w:val="TableBodyText"/>
            </w:pPr>
            <w:r>
              <w:t>Bulgaria</w:t>
            </w:r>
          </w:p>
        </w:tc>
        <w:tc>
          <w:tcPr>
            <w:tcW w:w="0" w:type="auto"/>
            <w:vAlign w:val="center"/>
          </w:tcPr>
          <w:p w:rsidR="000A156F" w:rsidRDefault="00A9721F">
            <w:pPr>
              <w:pStyle w:val="TableBodyText"/>
            </w:pPr>
            <w:r>
              <w:t>bg-BG</w:t>
            </w:r>
          </w:p>
        </w:tc>
      </w:tr>
      <w:tr w:rsidR="000A156F" w:rsidTr="000A156F">
        <w:tc>
          <w:tcPr>
            <w:tcW w:w="0" w:type="auto"/>
            <w:vAlign w:val="center"/>
          </w:tcPr>
          <w:p w:rsidR="000A156F" w:rsidRDefault="00A9721F">
            <w:pPr>
              <w:pStyle w:val="TableBodyText"/>
            </w:pPr>
            <w:r>
              <w:t>Catalan</w:t>
            </w:r>
          </w:p>
        </w:tc>
        <w:tc>
          <w:tcPr>
            <w:tcW w:w="0" w:type="auto"/>
            <w:vAlign w:val="center"/>
          </w:tcPr>
          <w:p w:rsidR="000A156F" w:rsidRDefault="00A9721F">
            <w:pPr>
              <w:pStyle w:val="TableBodyText"/>
            </w:pPr>
            <w:r>
              <w:t>Catalan</w:t>
            </w:r>
          </w:p>
        </w:tc>
        <w:tc>
          <w:tcPr>
            <w:tcW w:w="0" w:type="auto"/>
            <w:vAlign w:val="center"/>
          </w:tcPr>
          <w:p w:rsidR="000A156F" w:rsidRDefault="00A9721F">
            <w:pPr>
              <w:pStyle w:val="TableBodyText"/>
            </w:pPr>
            <w:r>
              <w:t>ca-ES</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Hong Kong SAR</w:t>
            </w:r>
          </w:p>
        </w:tc>
        <w:tc>
          <w:tcPr>
            <w:tcW w:w="0" w:type="auto"/>
            <w:vAlign w:val="center"/>
          </w:tcPr>
          <w:p w:rsidR="000A156F" w:rsidRDefault="00A9721F">
            <w:pPr>
              <w:pStyle w:val="TableBodyText"/>
            </w:pPr>
            <w:r>
              <w:t>zh-HK</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Macao SAR</w:t>
            </w:r>
          </w:p>
        </w:tc>
        <w:tc>
          <w:tcPr>
            <w:tcW w:w="0" w:type="auto"/>
            <w:vAlign w:val="center"/>
          </w:tcPr>
          <w:p w:rsidR="000A156F" w:rsidRDefault="00A9721F">
            <w:pPr>
              <w:pStyle w:val="TableBodyText"/>
            </w:pPr>
            <w:r>
              <w:t>zh-MO</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zh-CN</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Singapore</w:t>
            </w:r>
          </w:p>
        </w:tc>
        <w:tc>
          <w:tcPr>
            <w:tcW w:w="0" w:type="auto"/>
            <w:vAlign w:val="center"/>
          </w:tcPr>
          <w:p w:rsidR="000A156F" w:rsidRDefault="00A9721F">
            <w:pPr>
              <w:pStyle w:val="TableBodyText"/>
            </w:pPr>
            <w:r>
              <w:t>zh-SG</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Taiwan</w:t>
            </w:r>
          </w:p>
        </w:tc>
        <w:tc>
          <w:tcPr>
            <w:tcW w:w="0" w:type="auto"/>
            <w:vAlign w:val="center"/>
          </w:tcPr>
          <w:p w:rsidR="000A156F" w:rsidRDefault="00A9721F">
            <w:pPr>
              <w:pStyle w:val="TableBodyText"/>
            </w:pPr>
            <w:r>
              <w:t>zh-TW</w:t>
            </w:r>
          </w:p>
        </w:tc>
      </w:tr>
      <w:tr w:rsidR="000A156F" w:rsidTr="000A156F">
        <w:tc>
          <w:tcPr>
            <w:tcW w:w="0" w:type="auto"/>
            <w:vAlign w:val="center"/>
          </w:tcPr>
          <w:p w:rsidR="000A156F" w:rsidRDefault="00A9721F">
            <w:pPr>
              <w:pStyle w:val="TableBodyText"/>
            </w:pPr>
            <w:r>
              <w:t>Corsican</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co-FR</w:t>
            </w:r>
          </w:p>
        </w:tc>
      </w:tr>
      <w:tr w:rsidR="000A156F" w:rsidTr="000A156F">
        <w:tc>
          <w:tcPr>
            <w:tcW w:w="0" w:type="auto"/>
            <w:vAlign w:val="center"/>
          </w:tcPr>
          <w:p w:rsidR="000A156F" w:rsidRDefault="00A9721F">
            <w:pPr>
              <w:pStyle w:val="TableBodyText"/>
            </w:pPr>
            <w:r>
              <w:t>Croatian</w:t>
            </w:r>
          </w:p>
        </w:tc>
        <w:tc>
          <w:tcPr>
            <w:tcW w:w="0" w:type="auto"/>
            <w:vAlign w:val="center"/>
          </w:tcPr>
          <w:p w:rsidR="000A156F" w:rsidRDefault="00A9721F">
            <w:pPr>
              <w:pStyle w:val="TableBodyText"/>
            </w:pPr>
            <w:r>
              <w:t>Croatia</w:t>
            </w:r>
          </w:p>
        </w:tc>
        <w:tc>
          <w:tcPr>
            <w:tcW w:w="0" w:type="auto"/>
            <w:vAlign w:val="center"/>
          </w:tcPr>
          <w:p w:rsidR="000A156F" w:rsidRDefault="00A9721F">
            <w:pPr>
              <w:pStyle w:val="TableBodyText"/>
            </w:pPr>
            <w:r>
              <w:t>hr-HR</w:t>
            </w:r>
          </w:p>
        </w:tc>
      </w:tr>
      <w:tr w:rsidR="000A156F" w:rsidTr="000A156F">
        <w:tc>
          <w:tcPr>
            <w:tcW w:w="0" w:type="auto"/>
            <w:vAlign w:val="center"/>
          </w:tcPr>
          <w:p w:rsidR="000A156F" w:rsidRDefault="00A9721F">
            <w:pPr>
              <w:pStyle w:val="TableBodyText"/>
            </w:pPr>
            <w:r>
              <w:t>Croatian (Latin)</w:t>
            </w:r>
          </w:p>
        </w:tc>
        <w:tc>
          <w:tcPr>
            <w:tcW w:w="0" w:type="auto"/>
            <w:vAlign w:val="center"/>
          </w:tcPr>
          <w:p w:rsidR="000A156F" w:rsidRDefault="00A9721F">
            <w:pPr>
              <w:pStyle w:val="TableBodyText"/>
            </w:pPr>
            <w:r>
              <w:t>Bosnia and Herzegovina</w:t>
            </w:r>
          </w:p>
        </w:tc>
        <w:tc>
          <w:tcPr>
            <w:tcW w:w="0" w:type="auto"/>
            <w:vAlign w:val="center"/>
          </w:tcPr>
          <w:p w:rsidR="000A156F" w:rsidRDefault="00A9721F">
            <w:pPr>
              <w:pStyle w:val="TableBodyText"/>
            </w:pPr>
            <w:r>
              <w:t>hr-BA-Latn</w:t>
            </w:r>
          </w:p>
        </w:tc>
      </w:tr>
      <w:tr w:rsidR="000A156F" w:rsidTr="000A156F">
        <w:tc>
          <w:tcPr>
            <w:tcW w:w="0" w:type="auto"/>
            <w:vAlign w:val="center"/>
          </w:tcPr>
          <w:p w:rsidR="000A156F" w:rsidRDefault="00A9721F">
            <w:pPr>
              <w:pStyle w:val="TableBodyText"/>
            </w:pPr>
            <w:r>
              <w:t>Czech</w:t>
            </w:r>
          </w:p>
        </w:tc>
        <w:tc>
          <w:tcPr>
            <w:tcW w:w="0" w:type="auto"/>
            <w:vAlign w:val="center"/>
          </w:tcPr>
          <w:p w:rsidR="000A156F" w:rsidRDefault="00A9721F">
            <w:pPr>
              <w:pStyle w:val="TableBodyText"/>
            </w:pPr>
            <w:r>
              <w:t>Czech Republic</w:t>
            </w:r>
          </w:p>
        </w:tc>
        <w:tc>
          <w:tcPr>
            <w:tcW w:w="0" w:type="auto"/>
            <w:vAlign w:val="center"/>
          </w:tcPr>
          <w:p w:rsidR="000A156F" w:rsidRDefault="00A9721F">
            <w:pPr>
              <w:pStyle w:val="TableBodyText"/>
            </w:pPr>
            <w:r>
              <w:t>cs-CZ</w:t>
            </w:r>
          </w:p>
        </w:tc>
      </w:tr>
      <w:tr w:rsidR="000A156F" w:rsidTr="000A156F">
        <w:tc>
          <w:tcPr>
            <w:tcW w:w="0" w:type="auto"/>
            <w:vAlign w:val="center"/>
          </w:tcPr>
          <w:p w:rsidR="000A156F" w:rsidRDefault="00A9721F">
            <w:pPr>
              <w:pStyle w:val="TableBodyText"/>
            </w:pPr>
            <w:r>
              <w:t>Danish</w:t>
            </w:r>
          </w:p>
        </w:tc>
        <w:tc>
          <w:tcPr>
            <w:tcW w:w="0" w:type="auto"/>
            <w:vAlign w:val="center"/>
          </w:tcPr>
          <w:p w:rsidR="000A156F" w:rsidRDefault="00A9721F">
            <w:pPr>
              <w:pStyle w:val="TableBodyText"/>
            </w:pPr>
            <w:r>
              <w:t>Denmark</w:t>
            </w:r>
          </w:p>
        </w:tc>
        <w:tc>
          <w:tcPr>
            <w:tcW w:w="0" w:type="auto"/>
            <w:vAlign w:val="center"/>
          </w:tcPr>
          <w:p w:rsidR="000A156F" w:rsidRDefault="00A9721F">
            <w:pPr>
              <w:pStyle w:val="TableBodyText"/>
            </w:pPr>
            <w:r>
              <w:t>da-DK</w:t>
            </w:r>
          </w:p>
        </w:tc>
      </w:tr>
      <w:tr w:rsidR="000A156F" w:rsidTr="000A156F">
        <w:tc>
          <w:tcPr>
            <w:tcW w:w="0" w:type="auto"/>
            <w:vAlign w:val="center"/>
          </w:tcPr>
          <w:p w:rsidR="000A156F" w:rsidRDefault="00A9721F">
            <w:pPr>
              <w:pStyle w:val="TableBodyText"/>
            </w:pPr>
            <w:r>
              <w:t>Dari</w:t>
            </w:r>
          </w:p>
        </w:tc>
        <w:tc>
          <w:tcPr>
            <w:tcW w:w="0" w:type="auto"/>
            <w:vAlign w:val="center"/>
          </w:tcPr>
          <w:p w:rsidR="000A156F" w:rsidRDefault="00A9721F">
            <w:pPr>
              <w:pStyle w:val="TableBodyText"/>
            </w:pPr>
            <w:r>
              <w:t>Afghanistan</w:t>
            </w:r>
          </w:p>
        </w:tc>
        <w:tc>
          <w:tcPr>
            <w:tcW w:w="0" w:type="auto"/>
            <w:vAlign w:val="center"/>
          </w:tcPr>
          <w:p w:rsidR="000A156F" w:rsidRDefault="00A9721F">
            <w:pPr>
              <w:pStyle w:val="TableBodyText"/>
            </w:pPr>
            <w:r>
              <w:t>prs-AF</w:t>
            </w:r>
          </w:p>
        </w:tc>
      </w:tr>
      <w:tr w:rsidR="000A156F" w:rsidTr="000A156F">
        <w:tc>
          <w:tcPr>
            <w:tcW w:w="0" w:type="auto"/>
            <w:vAlign w:val="center"/>
          </w:tcPr>
          <w:p w:rsidR="000A156F" w:rsidRDefault="00A9721F">
            <w:pPr>
              <w:pStyle w:val="TableBodyText"/>
            </w:pPr>
            <w:r>
              <w:t>Divehi</w:t>
            </w:r>
          </w:p>
        </w:tc>
        <w:tc>
          <w:tcPr>
            <w:tcW w:w="0" w:type="auto"/>
            <w:vAlign w:val="center"/>
          </w:tcPr>
          <w:p w:rsidR="000A156F" w:rsidRDefault="00A9721F">
            <w:pPr>
              <w:pStyle w:val="TableBodyText"/>
            </w:pPr>
            <w:r>
              <w:t>Maldives</w:t>
            </w:r>
          </w:p>
        </w:tc>
        <w:tc>
          <w:tcPr>
            <w:tcW w:w="0" w:type="auto"/>
            <w:vAlign w:val="center"/>
          </w:tcPr>
          <w:p w:rsidR="000A156F" w:rsidRDefault="00A9721F">
            <w:pPr>
              <w:pStyle w:val="TableBodyText"/>
            </w:pPr>
            <w:r>
              <w:t>div-MV</w:t>
            </w:r>
          </w:p>
        </w:tc>
      </w:tr>
      <w:tr w:rsidR="000A156F" w:rsidTr="000A156F">
        <w:tc>
          <w:tcPr>
            <w:tcW w:w="0" w:type="auto"/>
            <w:vAlign w:val="center"/>
          </w:tcPr>
          <w:p w:rsidR="000A156F" w:rsidRDefault="00A9721F">
            <w:pPr>
              <w:pStyle w:val="TableBodyText"/>
            </w:pPr>
            <w:r>
              <w:t>Dutch</w:t>
            </w:r>
          </w:p>
        </w:tc>
        <w:tc>
          <w:tcPr>
            <w:tcW w:w="0" w:type="auto"/>
            <w:vAlign w:val="center"/>
          </w:tcPr>
          <w:p w:rsidR="000A156F" w:rsidRDefault="00A9721F">
            <w:pPr>
              <w:pStyle w:val="TableBodyText"/>
            </w:pPr>
            <w:r>
              <w:t>Belgium</w:t>
            </w:r>
          </w:p>
        </w:tc>
        <w:tc>
          <w:tcPr>
            <w:tcW w:w="0" w:type="auto"/>
            <w:vAlign w:val="center"/>
          </w:tcPr>
          <w:p w:rsidR="000A156F" w:rsidRDefault="00A9721F">
            <w:pPr>
              <w:pStyle w:val="TableBodyText"/>
            </w:pPr>
            <w:r>
              <w:t>nl-BE</w:t>
            </w:r>
          </w:p>
        </w:tc>
      </w:tr>
      <w:tr w:rsidR="000A156F" w:rsidTr="000A156F">
        <w:tc>
          <w:tcPr>
            <w:tcW w:w="0" w:type="auto"/>
            <w:vAlign w:val="center"/>
          </w:tcPr>
          <w:p w:rsidR="000A156F" w:rsidRDefault="00A9721F">
            <w:pPr>
              <w:pStyle w:val="TableBodyText"/>
            </w:pPr>
            <w:r>
              <w:t>Dutch</w:t>
            </w:r>
          </w:p>
        </w:tc>
        <w:tc>
          <w:tcPr>
            <w:tcW w:w="0" w:type="auto"/>
            <w:vAlign w:val="center"/>
          </w:tcPr>
          <w:p w:rsidR="000A156F" w:rsidRDefault="00A9721F">
            <w:pPr>
              <w:pStyle w:val="TableBodyText"/>
            </w:pPr>
            <w:r>
              <w:t>Netherlands</w:t>
            </w:r>
          </w:p>
        </w:tc>
        <w:tc>
          <w:tcPr>
            <w:tcW w:w="0" w:type="auto"/>
            <w:vAlign w:val="center"/>
          </w:tcPr>
          <w:p w:rsidR="000A156F" w:rsidRDefault="00A9721F">
            <w:pPr>
              <w:pStyle w:val="TableBodyText"/>
            </w:pPr>
            <w:r>
              <w:t>nl-NL</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Australia</w:t>
            </w:r>
          </w:p>
        </w:tc>
        <w:tc>
          <w:tcPr>
            <w:tcW w:w="0" w:type="auto"/>
            <w:vAlign w:val="center"/>
          </w:tcPr>
          <w:p w:rsidR="000A156F" w:rsidRDefault="00A9721F">
            <w:pPr>
              <w:pStyle w:val="TableBodyText"/>
            </w:pPr>
            <w:r>
              <w:t>en-AU</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Belize</w:t>
            </w:r>
          </w:p>
        </w:tc>
        <w:tc>
          <w:tcPr>
            <w:tcW w:w="0" w:type="auto"/>
            <w:vAlign w:val="center"/>
          </w:tcPr>
          <w:p w:rsidR="000A156F" w:rsidRDefault="00A9721F">
            <w:pPr>
              <w:pStyle w:val="TableBodyText"/>
            </w:pPr>
            <w:r>
              <w:t>en-BZ</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Canada</w:t>
            </w:r>
          </w:p>
        </w:tc>
        <w:tc>
          <w:tcPr>
            <w:tcW w:w="0" w:type="auto"/>
            <w:vAlign w:val="center"/>
          </w:tcPr>
          <w:p w:rsidR="000A156F" w:rsidRDefault="00A9721F">
            <w:pPr>
              <w:pStyle w:val="TableBodyText"/>
            </w:pPr>
            <w:r>
              <w:t>en-CA</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Caribbean</w:t>
            </w:r>
          </w:p>
        </w:tc>
        <w:tc>
          <w:tcPr>
            <w:tcW w:w="0" w:type="auto"/>
            <w:vAlign w:val="center"/>
          </w:tcPr>
          <w:p w:rsidR="000A156F" w:rsidRDefault="00A9721F">
            <w:pPr>
              <w:pStyle w:val="TableBodyText"/>
            </w:pPr>
            <w:r>
              <w:t>en-CB</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en-IN</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Ireland</w:t>
            </w:r>
          </w:p>
        </w:tc>
        <w:tc>
          <w:tcPr>
            <w:tcW w:w="0" w:type="auto"/>
            <w:vAlign w:val="center"/>
          </w:tcPr>
          <w:p w:rsidR="000A156F" w:rsidRDefault="00A9721F">
            <w:pPr>
              <w:pStyle w:val="TableBodyText"/>
            </w:pPr>
            <w:r>
              <w:t>en-IE</w:t>
            </w:r>
          </w:p>
        </w:tc>
      </w:tr>
      <w:tr w:rsidR="000A156F" w:rsidTr="000A156F">
        <w:tc>
          <w:tcPr>
            <w:tcW w:w="0" w:type="auto"/>
            <w:vAlign w:val="center"/>
          </w:tcPr>
          <w:p w:rsidR="000A156F" w:rsidRDefault="00A9721F">
            <w:pPr>
              <w:pStyle w:val="TableBodyText"/>
            </w:pPr>
            <w:r>
              <w:lastRenderedPageBreak/>
              <w:t>English</w:t>
            </w:r>
          </w:p>
        </w:tc>
        <w:tc>
          <w:tcPr>
            <w:tcW w:w="0" w:type="auto"/>
            <w:vAlign w:val="center"/>
          </w:tcPr>
          <w:p w:rsidR="000A156F" w:rsidRDefault="00A9721F">
            <w:pPr>
              <w:pStyle w:val="TableBodyText"/>
            </w:pPr>
            <w:r>
              <w:t>Jamaica</w:t>
            </w:r>
          </w:p>
        </w:tc>
        <w:tc>
          <w:tcPr>
            <w:tcW w:w="0" w:type="auto"/>
            <w:vAlign w:val="center"/>
          </w:tcPr>
          <w:p w:rsidR="000A156F" w:rsidRDefault="00A9721F">
            <w:pPr>
              <w:pStyle w:val="TableBodyText"/>
            </w:pPr>
            <w:r>
              <w:t>en-JM</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Malaysia</w:t>
            </w:r>
          </w:p>
        </w:tc>
        <w:tc>
          <w:tcPr>
            <w:tcW w:w="0" w:type="auto"/>
            <w:vAlign w:val="center"/>
          </w:tcPr>
          <w:p w:rsidR="000A156F" w:rsidRDefault="00A9721F">
            <w:pPr>
              <w:pStyle w:val="TableBodyText"/>
            </w:pPr>
            <w:r>
              <w:t>en-MY</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New Zealand</w:t>
            </w:r>
          </w:p>
        </w:tc>
        <w:tc>
          <w:tcPr>
            <w:tcW w:w="0" w:type="auto"/>
            <w:vAlign w:val="center"/>
          </w:tcPr>
          <w:p w:rsidR="000A156F" w:rsidRDefault="00A9721F">
            <w:pPr>
              <w:pStyle w:val="TableBodyText"/>
            </w:pPr>
            <w:r>
              <w:t>en-NZ</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Philippines</w:t>
            </w:r>
          </w:p>
        </w:tc>
        <w:tc>
          <w:tcPr>
            <w:tcW w:w="0" w:type="auto"/>
            <w:vAlign w:val="center"/>
          </w:tcPr>
          <w:p w:rsidR="000A156F" w:rsidRDefault="00A9721F">
            <w:pPr>
              <w:pStyle w:val="TableBodyText"/>
            </w:pPr>
            <w:r>
              <w:t>en-PH</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en-ZA</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Trinidad</w:t>
            </w:r>
          </w:p>
        </w:tc>
        <w:tc>
          <w:tcPr>
            <w:tcW w:w="0" w:type="auto"/>
            <w:vAlign w:val="center"/>
          </w:tcPr>
          <w:p w:rsidR="000A156F" w:rsidRDefault="00A9721F">
            <w:pPr>
              <w:pStyle w:val="TableBodyText"/>
            </w:pPr>
            <w:r>
              <w:t>en-TT</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 xml:space="preserve">United </w:t>
            </w:r>
            <w:r>
              <w:t>Kingdom</w:t>
            </w:r>
          </w:p>
        </w:tc>
        <w:tc>
          <w:tcPr>
            <w:tcW w:w="0" w:type="auto"/>
            <w:vAlign w:val="center"/>
          </w:tcPr>
          <w:p w:rsidR="000A156F" w:rsidRDefault="00A9721F">
            <w:pPr>
              <w:pStyle w:val="TableBodyText"/>
            </w:pPr>
            <w:r>
              <w:t>en-GB</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United States</w:t>
            </w:r>
          </w:p>
        </w:tc>
        <w:tc>
          <w:tcPr>
            <w:tcW w:w="0" w:type="auto"/>
            <w:vAlign w:val="center"/>
          </w:tcPr>
          <w:p w:rsidR="000A156F" w:rsidRDefault="00A9721F">
            <w:pPr>
              <w:pStyle w:val="TableBodyText"/>
            </w:pPr>
            <w:r>
              <w:t>en-US</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Zimbabwe</w:t>
            </w:r>
          </w:p>
        </w:tc>
        <w:tc>
          <w:tcPr>
            <w:tcW w:w="0" w:type="auto"/>
            <w:vAlign w:val="center"/>
          </w:tcPr>
          <w:p w:rsidR="000A156F" w:rsidRDefault="00A9721F">
            <w:pPr>
              <w:pStyle w:val="TableBodyText"/>
            </w:pPr>
            <w:r>
              <w:t>en-ZW</w:t>
            </w:r>
          </w:p>
        </w:tc>
      </w:tr>
      <w:tr w:rsidR="000A156F" w:rsidTr="000A156F">
        <w:tc>
          <w:tcPr>
            <w:tcW w:w="0" w:type="auto"/>
            <w:vAlign w:val="center"/>
          </w:tcPr>
          <w:p w:rsidR="000A156F" w:rsidRDefault="00A9721F">
            <w:pPr>
              <w:pStyle w:val="TableBodyText"/>
            </w:pPr>
            <w:r>
              <w:t xml:space="preserve">Estonian </w:t>
            </w:r>
          </w:p>
        </w:tc>
        <w:tc>
          <w:tcPr>
            <w:tcW w:w="0" w:type="auto"/>
            <w:vAlign w:val="center"/>
          </w:tcPr>
          <w:p w:rsidR="000A156F" w:rsidRDefault="00A9721F">
            <w:pPr>
              <w:pStyle w:val="TableBodyText"/>
            </w:pPr>
            <w:r>
              <w:t>Estonia</w:t>
            </w:r>
          </w:p>
        </w:tc>
        <w:tc>
          <w:tcPr>
            <w:tcW w:w="0" w:type="auto"/>
            <w:vAlign w:val="center"/>
          </w:tcPr>
          <w:p w:rsidR="000A156F" w:rsidRDefault="00A9721F">
            <w:pPr>
              <w:pStyle w:val="TableBodyText"/>
            </w:pPr>
            <w:r>
              <w:t>et-EE</w:t>
            </w:r>
          </w:p>
        </w:tc>
      </w:tr>
      <w:tr w:rsidR="000A156F" w:rsidTr="000A156F">
        <w:tc>
          <w:tcPr>
            <w:tcW w:w="0" w:type="auto"/>
            <w:vAlign w:val="center"/>
          </w:tcPr>
          <w:p w:rsidR="000A156F" w:rsidRDefault="00A9721F">
            <w:pPr>
              <w:pStyle w:val="TableBodyText"/>
            </w:pPr>
            <w:r>
              <w:t>Faroese</w:t>
            </w:r>
          </w:p>
        </w:tc>
        <w:tc>
          <w:tcPr>
            <w:tcW w:w="0" w:type="auto"/>
            <w:vAlign w:val="center"/>
          </w:tcPr>
          <w:p w:rsidR="000A156F" w:rsidRDefault="00A9721F">
            <w:pPr>
              <w:pStyle w:val="TableBodyText"/>
            </w:pPr>
            <w:r>
              <w:t>Faroe Islands</w:t>
            </w:r>
          </w:p>
        </w:tc>
        <w:tc>
          <w:tcPr>
            <w:tcW w:w="0" w:type="auto"/>
            <w:vAlign w:val="center"/>
          </w:tcPr>
          <w:p w:rsidR="000A156F" w:rsidRDefault="00A9721F">
            <w:pPr>
              <w:pStyle w:val="TableBodyText"/>
            </w:pPr>
            <w:r>
              <w:t>fo-FO</w:t>
            </w:r>
          </w:p>
        </w:tc>
      </w:tr>
      <w:tr w:rsidR="000A156F" w:rsidTr="000A156F">
        <w:tc>
          <w:tcPr>
            <w:tcW w:w="0" w:type="auto"/>
            <w:vAlign w:val="center"/>
          </w:tcPr>
          <w:p w:rsidR="000A156F" w:rsidRDefault="00A9721F">
            <w:pPr>
              <w:pStyle w:val="TableBodyText"/>
            </w:pPr>
            <w:r>
              <w:t>Filipino</w:t>
            </w:r>
          </w:p>
        </w:tc>
        <w:tc>
          <w:tcPr>
            <w:tcW w:w="0" w:type="auto"/>
            <w:vAlign w:val="center"/>
          </w:tcPr>
          <w:p w:rsidR="000A156F" w:rsidRDefault="00A9721F">
            <w:pPr>
              <w:pStyle w:val="TableBodyText"/>
            </w:pPr>
            <w:r>
              <w:t>Philippines</w:t>
            </w:r>
          </w:p>
        </w:tc>
        <w:tc>
          <w:tcPr>
            <w:tcW w:w="0" w:type="auto"/>
            <w:vAlign w:val="center"/>
          </w:tcPr>
          <w:p w:rsidR="000A156F" w:rsidRDefault="00A9721F">
            <w:pPr>
              <w:pStyle w:val="TableBodyText"/>
            </w:pPr>
            <w:r>
              <w:t>fil-PH</w:t>
            </w:r>
          </w:p>
        </w:tc>
      </w:tr>
      <w:tr w:rsidR="000A156F" w:rsidTr="000A156F">
        <w:tc>
          <w:tcPr>
            <w:tcW w:w="0" w:type="auto"/>
            <w:vAlign w:val="center"/>
          </w:tcPr>
          <w:p w:rsidR="000A156F" w:rsidRDefault="00A9721F">
            <w:pPr>
              <w:pStyle w:val="TableBodyText"/>
            </w:pPr>
            <w:r>
              <w:t>Finnish</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fi-FI</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Belgium</w:t>
            </w:r>
          </w:p>
        </w:tc>
        <w:tc>
          <w:tcPr>
            <w:tcW w:w="0" w:type="auto"/>
            <w:vAlign w:val="center"/>
          </w:tcPr>
          <w:p w:rsidR="000A156F" w:rsidRDefault="00A9721F">
            <w:pPr>
              <w:pStyle w:val="TableBodyText"/>
            </w:pPr>
            <w:r>
              <w:t>fr-BE</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Canada</w:t>
            </w:r>
          </w:p>
        </w:tc>
        <w:tc>
          <w:tcPr>
            <w:tcW w:w="0" w:type="auto"/>
            <w:vAlign w:val="center"/>
          </w:tcPr>
          <w:p w:rsidR="000A156F" w:rsidRDefault="00A9721F">
            <w:pPr>
              <w:pStyle w:val="TableBodyText"/>
            </w:pPr>
            <w:r>
              <w:t>fr-CA</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fr-FR</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Luxembourg</w:t>
            </w:r>
          </w:p>
        </w:tc>
        <w:tc>
          <w:tcPr>
            <w:tcW w:w="0" w:type="auto"/>
            <w:vAlign w:val="center"/>
          </w:tcPr>
          <w:p w:rsidR="000A156F" w:rsidRDefault="00A9721F">
            <w:pPr>
              <w:pStyle w:val="TableBodyText"/>
            </w:pPr>
            <w:r>
              <w:t>fr-LU</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Monaco</w:t>
            </w:r>
          </w:p>
        </w:tc>
        <w:tc>
          <w:tcPr>
            <w:tcW w:w="0" w:type="auto"/>
            <w:vAlign w:val="center"/>
          </w:tcPr>
          <w:p w:rsidR="000A156F" w:rsidRDefault="00A9721F">
            <w:pPr>
              <w:pStyle w:val="TableBodyText"/>
            </w:pPr>
            <w:r>
              <w:t>fr-MC</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Switzerland</w:t>
            </w:r>
          </w:p>
        </w:tc>
        <w:tc>
          <w:tcPr>
            <w:tcW w:w="0" w:type="auto"/>
            <w:vAlign w:val="center"/>
          </w:tcPr>
          <w:p w:rsidR="000A156F" w:rsidRDefault="00A9721F">
            <w:pPr>
              <w:pStyle w:val="TableBodyText"/>
            </w:pPr>
            <w:r>
              <w:t>fr-CH</w:t>
            </w:r>
          </w:p>
        </w:tc>
      </w:tr>
      <w:tr w:rsidR="000A156F" w:rsidTr="000A156F">
        <w:tc>
          <w:tcPr>
            <w:tcW w:w="0" w:type="auto"/>
            <w:vAlign w:val="center"/>
          </w:tcPr>
          <w:p w:rsidR="000A156F" w:rsidRDefault="00A9721F">
            <w:pPr>
              <w:pStyle w:val="TableBodyText"/>
            </w:pPr>
            <w:r>
              <w:t>Frisian</w:t>
            </w:r>
          </w:p>
        </w:tc>
        <w:tc>
          <w:tcPr>
            <w:tcW w:w="0" w:type="auto"/>
            <w:vAlign w:val="center"/>
          </w:tcPr>
          <w:p w:rsidR="000A156F" w:rsidRDefault="00A9721F">
            <w:pPr>
              <w:pStyle w:val="TableBodyText"/>
            </w:pPr>
            <w:r>
              <w:t>Netherlands</w:t>
            </w:r>
          </w:p>
        </w:tc>
        <w:tc>
          <w:tcPr>
            <w:tcW w:w="0" w:type="auto"/>
            <w:vAlign w:val="center"/>
          </w:tcPr>
          <w:p w:rsidR="000A156F" w:rsidRDefault="00A9721F">
            <w:pPr>
              <w:pStyle w:val="TableBodyText"/>
            </w:pPr>
            <w:r>
              <w:t>fy-NL</w:t>
            </w:r>
          </w:p>
        </w:tc>
      </w:tr>
      <w:tr w:rsidR="000A156F" w:rsidTr="000A156F">
        <w:tc>
          <w:tcPr>
            <w:tcW w:w="0" w:type="auto"/>
            <w:vAlign w:val="center"/>
          </w:tcPr>
          <w:p w:rsidR="000A156F" w:rsidRDefault="00A9721F">
            <w:pPr>
              <w:pStyle w:val="TableBodyText"/>
            </w:pPr>
            <w:r>
              <w:t>Galician</w:t>
            </w:r>
          </w:p>
        </w:tc>
        <w:tc>
          <w:tcPr>
            <w:tcW w:w="0" w:type="auto"/>
            <w:vAlign w:val="center"/>
          </w:tcPr>
          <w:p w:rsidR="000A156F" w:rsidRDefault="00A9721F">
            <w:pPr>
              <w:pStyle w:val="TableBodyText"/>
            </w:pPr>
            <w:r>
              <w:t>Galicia</w:t>
            </w:r>
          </w:p>
        </w:tc>
        <w:tc>
          <w:tcPr>
            <w:tcW w:w="0" w:type="auto"/>
            <w:vAlign w:val="center"/>
          </w:tcPr>
          <w:p w:rsidR="000A156F" w:rsidRDefault="00A9721F">
            <w:pPr>
              <w:pStyle w:val="TableBodyText"/>
            </w:pPr>
            <w:r>
              <w:t>gl-ES</w:t>
            </w:r>
          </w:p>
        </w:tc>
      </w:tr>
      <w:tr w:rsidR="000A156F" w:rsidTr="000A156F">
        <w:tc>
          <w:tcPr>
            <w:tcW w:w="0" w:type="auto"/>
            <w:vAlign w:val="center"/>
          </w:tcPr>
          <w:p w:rsidR="000A156F" w:rsidRDefault="00A9721F">
            <w:pPr>
              <w:pStyle w:val="TableBodyText"/>
            </w:pPr>
            <w:r>
              <w:t>Georgian</w:t>
            </w:r>
          </w:p>
        </w:tc>
        <w:tc>
          <w:tcPr>
            <w:tcW w:w="0" w:type="auto"/>
            <w:vAlign w:val="center"/>
          </w:tcPr>
          <w:p w:rsidR="000A156F" w:rsidRDefault="00A9721F">
            <w:pPr>
              <w:pStyle w:val="TableBodyText"/>
            </w:pPr>
            <w:r>
              <w:t>Georgia</w:t>
            </w:r>
          </w:p>
        </w:tc>
        <w:tc>
          <w:tcPr>
            <w:tcW w:w="0" w:type="auto"/>
            <w:vAlign w:val="center"/>
          </w:tcPr>
          <w:p w:rsidR="000A156F" w:rsidRDefault="00A9721F">
            <w:pPr>
              <w:pStyle w:val="TableBodyText"/>
            </w:pPr>
            <w:r>
              <w:t>ka-GE</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Austria</w:t>
            </w:r>
          </w:p>
        </w:tc>
        <w:tc>
          <w:tcPr>
            <w:tcW w:w="0" w:type="auto"/>
            <w:vAlign w:val="center"/>
          </w:tcPr>
          <w:p w:rsidR="000A156F" w:rsidRDefault="00A9721F">
            <w:pPr>
              <w:pStyle w:val="TableBodyText"/>
            </w:pPr>
            <w:r>
              <w:t>de-AT</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Germany</w:t>
            </w:r>
          </w:p>
        </w:tc>
        <w:tc>
          <w:tcPr>
            <w:tcW w:w="0" w:type="auto"/>
            <w:vAlign w:val="center"/>
          </w:tcPr>
          <w:p w:rsidR="000A156F" w:rsidRDefault="00A9721F">
            <w:pPr>
              <w:pStyle w:val="TableBodyText"/>
            </w:pPr>
            <w:r>
              <w:t>de-DE</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Liechtenstein</w:t>
            </w:r>
          </w:p>
        </w:tc>
        <w:tc>
          <w:tcPr>
            <w:tcW w:w="0" w:type="auto"/>
            <w:vAlign w:val="center"/>
          </w:tcPr>
          <w:p w:rsidR="000A156F" w:rsidRDefault="00A9721F">
            <w:pPr>
              <w:pStyle w:val="TableBodyText"/>
            </w:pPr>
            <w:r>
              <w:t>de-LI</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Luxembourg</w:t>
            </w:r>
          </w:p>
        </w:tc>
        <w:tc>
          <w:tcPr>
            <w:tcW w:w="0" w:type="auto"/>
            <w:vAlign w:val="center"/>
          </w:tcPr>
          <w:p w:rsidR="000A156F" w:rsidRDefault="00A9721F">
            <w:pPr>
              <w:pStyle w:val="TableBodyText"/>
            </w:pPr>
            <w:r>
              <w:t>de-LU</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Switzerland</w:t>
            </w:r>
          </w:p>
        </w:tc>
        <w:tc>
          <w:tcPr>
            <w:tcW w:w="0" w:type="auto"/>
            <w:vAlign w:val="center"/>
          </w:tcPr>
          <w:p w:rsidR="000A156F" w:rsidRDefault="00A9721F">
            <w:pPr>
              <w:pStyle w:val="TableBodyText"/>
            </w:pPr>
            <w:r>
              <w:t>de-CH</w:t>
            </w:r>
          </w:p>
        </w:tc>
      </w:tr>
      <w:tr w:rsidR="000A156F" w:rsidTr="000A156F">
        <w:tc>
          <w:tcPr>
            <w:tcW w:w="0" w:type="auto"/>
            <w:vAlign w:val="center"/>
          </w:tcPr>
          <w:p w:rsidR="000A156F" w:rsidRDefault="00A9721F">
            <w:pPr>
              <w:pStyle w:val="TableBodyText"/>
            </w:pPr>
            <w:r>
              <w:t>Greek</w:t>
            </w:r>
          </w:p>
        </w:tc>
        <w:tc>
          <w:tcPr>
            <w:tcW w:w="0" w:type="auto"/>
            <w:vAlign w:val="center"/>
          </w:tcPr>
          <w:p w:rsidR="000A156F" w:rsidRDefault="00A9721F">
            <w:pPr>
              <w:pStyle w:val="TableBodyText"/>
            </w:pPr>
            <w:r>
              <w:t>Greece</w:t>
            </w:r>
          </w:p>
        </w:tc>
        <w:tc>
          <w:tcPr>
            <w:tcW w:w="0" w:type="auto"/>
            <w:vAlign w:val="center"/>
          </w:tcPr>
          <w:p w:rsidR="000A156F" w:rsidRDefault="00A9721F">
            <w:pPr>
              <w:pStyle w:val="TableBodyText"/>
            </w:pPr>
            <w:r>
              <w:t>el-GR</w:t>
            </w:r>
          </w:p>
        </w:tc>
      </w:tr>
      <w:tr w:rsidR="000A156F" w:rsidTr="000A156F">
        <w:tc>
          <w:tcPr>
            <w:tcW w:w="0" w:type="auto"/>
            <w:vAlign w:val="center"/>
          </w:tcPr>
          <w:p w:rsidR="000A156F" w:rsidRDefault="00A9721F">
            <w:pPr>
              <w:pStyle w:val="TableBodyText"/>
            </w:pPr>
            <w:r>
              <w:t>Greenlandic</w:t>
            </w:r>
          </w:p>
        </w:tc>
        <w:tc>
          <w:tcPr>
            <w:tcW w:w="0" w:type="auto"/>
            <w:vAlign w:val="center"/>
          </w:tcPr>
          <w:p w:rsidR="000A156F" w:rsidRDefault="00A9721F">
            <w:pPr>
              <w:pStyle w:val="TableBodyText"/>
            </w:pPr>
            <w:r>
              <w:t>Greenland</w:t>
            </w:r>
          </w:p>
        </w:tc>
        <w:tc>
          <w:tcPr>
            <w:tcW w:w="0" w:type="auto"/>
            <w:vAlign w:val="center"/>
          </w:tcPr>
          <w:p w:rsidR="000A156F" w:rsidRDefault="00A9721F">
            <w:pPr>
              <w:pStyle w:val="TableBodyText"/>
            </w:pPr>
            <w:r>
              <w:t>kl-GL</w:t>
            </w:r>
          </w:p>
        </w:tc>
      </w:tr>
      <w:tr w:rsidR="000A156F" w:rsidTr="000A156F">
        <w:tc>
          <w:tcPr>
            <w:tcW w:w="0" w:type="auto"/>
            <w:vAlign w:val="center"/>
          </w:tcPr>
          <w:p w:rsidR="000A156F" w:rsidRDefault="00A9721F">
            <w:pPr>
              <w:pStyle w:val="TableBodyText"/>
            </w:pPr>
            <w:r>
              <w:t>Gujarati (Gujarati Script)</w:t>
            </w:r>
          </w:p>
        </w:tc>
        <w:tc>
          <w:tcPr>
            <w:tcW w:w="0" w:type="auto"/>
            <w:vAlign w:val="center"/>
          </w:tcPr>
          <w:p w:rsidR="000A156F" w:rsidRDefault="00A9721F">
            <w:pPr>
              <w:pStyle w:val="TableBodyText"/>
            </w:pPr>
            <w:r>
              <w:t xml:space="preserve">India </w:t>
            </w:r>
          </w:p>
        </w:tc>
        <w:tc>
          <w:tcPr>
            <w:tcW w:w="0" w:type="auto"/>
            <w:vAlign w:val="center"/>
          </w:tcPr>
          <w:p w:rsidR="000A156F" w:rsidRDefault="00A9721F">
            <w:pPr>
              <w:pStyle w:val="TableBodyText"/>
            </w:pPr>
            <w:r>
              <w:t>gu-IN</w:t>
            </w:r>
          </w:p>
        </w:tc>
      </w:tr>
      <w:tr w:rsidR="000A156F" w:rsidTr="000A156F">
        <w:tc>
          <w:tcPr>
            <w:tcW w:w="0" w:type="auto"/>
            <w:vAlign w:val="center"/>
          </w:tcPr>
          <w:p w:rsidR="000A156F" w:rsidRDefault="00A9721F">
            <w:pPr>
              <w:pStyle w:val="TableBodyText"/>
            </w:pPr>
            <w:r>
              <w:t>Hausa (Latin)</w:t>
            </w:r>
          </w:p>
        </w:tc>
        <w:tc>
          <w:tcPr>
            <w:tcW w:w="0" w:type="auto"/>
            <w:vAlign w:val="center"/>
          </w:tcPr>
          <w:p w:rsidR="000A156F" w:rsidRDefault="00A9721F">
            <w:pPr>
              <w:pStyle w:val="TableBodyText"/>
            </w:pPr>
            <w:r>
              <w:t>Nigeria</w:t>
            </w:r>
          </w:p>
        </w:tc>
        <w:tc>
          <w:tcPr>
            <w:tcW w:w="0" w:type="auto"/>
            <w:vAlign w:val="center"/>
          </w:tcPr>
          <w:p w:rsidR="000A156F" w:rsidRDefault="00A9721F">
            <w:pPr>
              <w:pStyle w:val="TableBodyText"/>
            </w:pPr>
            <w:r>
              <w:t xml:space="preserve">ha-NG-Latn </w:t>
            </w:r>
          </w:p>
        </w:tc>
      </w:tr>
      <w:tr w:rsidR="000A156F" w:rsidTr="000A156F">
        <w:tc>
          <w:tcPr>
            <w:tcW w:w="0" w:type="auto"/>
            <w:vAlign w:val="center"/>
          </w:tcPr>
          <w:p w:rsidR="000A156F" w:rsidRDefault="00A9721F">
            <w:pPr>
              <w:pStyle w:val="TableBodyText"/>
            </w:pPr>
            <w:r>
              <w:t>Hebrew</w:t>
            </w:r>
          </w:p>
        </w:tc>
        <w:tc>
          <w:tcPr>
            <w:tcW w:w="0" w:type="auto"/>
            <w:vAlign w:val="center"/>
          </w:tcPr>
          <w:p w:rsidR="000A156F" w:rsidRDefault="00A9721F">
            <w:pPr>
              <w:pStyle w:val="TableBodyText"/>
            </w:pPr>
            <w:r>
              <w:t>Israel</w:t>
            </w:r>
          </w:p>
        </w:tc>
        <w:tc>
          <w:tcPr>
            <w:tcW w:w="0" w:type="auto"/>
            <w:vAlign w:val="center"/>
          </w:tcPr>
          <w:p w:rsidR="000A156F" w:rsidRDefault="00A9721F">
            <w:pPr>
              <w:pStyle w:val="TableBodyText"/>
            </w:pPr>
            <w:r>
              <w:t>he-IL</w:t>
            </w:r>
          </w:p>
        </w:tc>
      </w:tr>
      <w:tr w:rsidR="000A156F" w:rsidTr="000A156F">
        <w:tc>
          <w:tcPr>
            <w:tcW w:w="0" w:type="auto"/>
            <w:vAlign w:val="center"/>
          </w:tcPr>
          <w:p w:rsidR="000A156F" w:rsidRDefault="00A9721F">
            <w:pPr>
              <w:pStyle w:val="TableBodyText"/>
            </w:pPr>
            <w:r>
              <w:lastRenderedPageBreak/>
              <w:t>Hindi</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hi-IN</w:t>
            </w:r>
          </w:p>
        </w:tc>
      </w:tr>
      <w:tr w:rsidR="000A156F" w:rsidTr="000A156F">
        <w:tc>
          <w:tcPr>
            <w:tcW w:w="0" w:type="auto"/>
            <w:vAlign w:val="center"/>
          </w:tcPr>
          <w:p w:rsidR="000A156F" w:rsidRDefault="00A9721F">
            <w:pPr>
              <w:pStyle w:val="TableBodyText"/>
            </w:pPr>
            <w:r>
              <w:t>Hungarian</w:t>
            </w:r>
          </w:p>
        </w:tc>
        <w:tc>
          <w:tcPr>
            <w:tcW w:w="0" w:type="auto"/>
            <w:vAlign w:val="center"/>
          </w:tcPr>
          <w:p w:rsidR="000A156F" w:rsidRDefault="00A9721F">
            <w:pPr>
              <w:pStyle w:val="TableBodyText"/>
            </w:pPr>
            <w:r>
              <w:t>Hungary</w:t>
            </w:r>
          </w:p>
        </w:tc>
        <w:tc>
          <w:tcPr>
            <w:tcW w:w="0" w:type="auto"/>
            <w:vAlign w:val="center"/>
          </w:tcPr>
          <w:p w:rsidR="000A156F" w:rsidRDefault="00A9721F">
            <w:pPr>
              <w:pStyle w:val="TableBodyText"/>
            </w:pPr>
            <w:r>
              <w:t>hu-HU</w:t>
            </w:r>
          </w:p>
        </w:tc>
      </w:tr>
      <w:tr w:rsidR="000A156F" w:rsidTr="000A156F">
        <w:tc>
          <w:tcPr>
            <w:tcW w:w="0" w:type="auto"/>
            <w:vAlign w:val="center"/>
          </w:tcPr>
          <w:p w:rsidR="000A156F" w:rsidRDefault="00A9721F">
            <w:pPr>
              <w:pStyle w:val="TableBodyText"/>
            </w:pPr>
            <w:r>
              <w:t>Icelandic</w:t>
            </w:r>
          </w:p>
        </w:tc>
        <w:tc>
          <w:tcPr>
            <w:tcW w:w="0" w:type="auto"/>
            <w:vAlign w:val="center"/>
          </w:tcPr>
          <w:p w:rsidR="000A156F" w:rsidRDefault="00A9721F">
            <w:pPr>
              <w:pStyle w:val="TableBodyText"/>
            </w:pPr>
            <w:r>
              <w:t>Iceland</w:t>
            </w:r>
          </w:p>
        </w:tc>
        <w:tc>
          <w:tcPr>
            <w:tcW w:w="0" w:type="auto"/>
            <w:vAlign w:val="center"/>
          </w:tcPr>
          <w:p w:rsidR="000A156F" w:rsidRDefault="00A9721F">
            <w:pPr>
              <w:pStyle w:val="TableBodyText"/>
            </w:pPr>
            <w:r>
              <w:t>is-IS</w:t>
            </w:r>
          </w:p>
        </w:tc>
      </w:tr>
      <w:tr w:rsidR="000A156F" w:rsidTr="000A156F">
        <w:tc>
          <w:tcPr>
            <w:tcW w:w="0" w:type="auto"/>
            <w:vAlign w:val="center"/>
          </w:tcPr>
          <w:p w:rsidR="000A156F" w:rsidRDefault="00A9721F">
            <w:pPr>
              <w:pStyle w:val="TableBodyText"/>
            </w:pPr>
            <w:r>
              <w:t xml:space="preserve">Igbo </w:t>
            </w:r>
          </w:p>
        </w:tc>
        <w:tc>
          <w:tcPr>
            <w:tcW w:w="0" w:type="auto"/>
            <w:vAlign w:val="center"/>
          </w:tcPr>
          <w:p w:rsidR="000A156F" w:rsidRDefault="00A9721F">
            <w:pPr>
              <w:pStyle w:val="TableBodyText"/>
            </w:pPr>
            <w:r>
              <w:t>Nigeria</w:t>
            </w:r>
          </w:p>
        </w:tc>
        <w:tc>
          <w:tcPr>
            <w:tcW w:w="0" w:type="auto"/>
            <w:vAlign w:val="center"/>
          </w:tcPr>
          <w:p w:rsidR="000A156F" w:rsidRDefault="00A9721F">
            <w:pPr>
              <w:pStyle w:val="TableBodyText"/>
            </w:pPr>
            <w:r>
              <w:t xml:space="preserve">ig-NG </w:t>
            </w:r>
          </w:p>
        </w:tc>
      </w:tr>
      <w:tr w:rsidR="000A156F" w:rsidTr="000A156F">
        <w:tc>
          <w:tcPr>
            <w:tcW w:w="0" w:type="auto"/>
            <w:vAlign w:val="center"/>
          </w:tcPr>
          <w:p w:rsidR="000A156F" w:rsidRDefault="00A9721F">
            <w:pPr>
              <w:pStyle w:val="TableBodyText"/>
            </w:pPr>
            <w:r>
              <w:t>Inari Sami</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smn-FI</w:t>
            </w:r>
          </w:p>
        </w:tc>
      </w:tr>
      <w:tr w:rsidR="000A156F" w:rsidTr="000A156F">
        <w:tc>
          <w:tcPr>
            <w:tcW w:w="0" w:type="auto"/>
            <w:vAlign w:val="center"/>
          </w:tcPr>
          <w:p w:rsidR="000A156F" w:rsidRDefault="00A9721F">
            <w:pPr>
              <w:pStyle w:val="TableBodyText"/>
            </w:pPr>
            <w:r>
              <w:t>Indonesian</w:t>
            </w:r>
          </w:p>
        </w:tc>
        <w:tc>
          <w:tcPr>
            <w:tcW w:w="0" w:type="auto"/>
            <w:vAlign w:val="center"/>
          </w:tcPr>
          <w:p w:rsidR="000A156F" w:rsidRDefault="00A9721F">
            <w:pPr>
              <w:pStyle w:val="TableBodyText"/>
            </w:pPr>
            <w:r>
              <w:t>Indonesia</w:t>
            </w:r>
          </w:p>
        </w:tc>
        <w:tc>
          <w:tcPr>
            <w:tcW w:w="0" w:type="auto"/>
            <w:vAlign w:val="center"/>
          </w:tcPr>
          <w:p w:rsidR="000A156F" w:rsidRDefault="00A9721F">
            <w:pPr>
              <w:pStyle w:val="TableBodyText"/>
            </w:pPr>
            <w:r>
              <w:t>id-ID</w:t>
            </w:r>
          </w:p>
        </w:tc>
      </w:tr>
      <w:tr w:rsidR="000A156F" w:rsidTr="000A156F">
        <w:tc>
          <w:tcPr>
            <w:tcW w:w="0" w:type="auto"/>
            <w:vAlign w:val="center"/>
          </w:tcPr>
          <w:p w:rsidR="000A156F" w:rsidRDefault="00A9721F">
            <w:pPr>
              <w:pStyle w:val="TableBodyText"/>
            </w:pPr>
            <w:r>
              <w:t>Inuktitut (Latin)</w:t>
            </w:r>
          </w:p>
        </w:tc>
        <w:tc>
          <w:tcPr>
            <w:tcW w:w="0" w:type="auto"/>
            <w:vAlign w:val="center"/>
          </w:tcPr>
          <w:p w:rsidR="000A156F" w:rsidRDefault="00A9721F">
            <w:pPr>
              <w:pStyle w:val="TableBodyText"/>
            </w:pPr>
            <w:r>
              <w:t>Canada</w:t>
            </w:r>
          </w:p>
        </w:tc>
        <w:tc>
          <w:tcPr>
            <w:tcW w:w="0" w:type="auto"/>
            <w:vAlign w:val="center"/>
          </w:tcPr>
          <w:p w:rsidR="000A156F" w:rsidRDefault="00A9721F">
            <w:pPr>
              <w:pStyle w:val="TableBodyText"/>
            </w:pPr>
            <w:r>
              <w:t>iu-CA-Latn</w:t>
            </w:r>
          </w:p>
        </w:tc>
      </w:tr>
      <w:tr w:rsidR="000A156F" w:rsidTr="000A156F">
        <w:tc>
          <w:tcPr>
            <w:tcW w:w="0" w:type="auto"/>
            <w:vAlign w:val="center"/>
          </w:tcPr>
          <w:p w:rsidR="000A156F" w:rsidRDefault="00A9721F">
            <w:pPr>
              <w:pStyle w:val="TableBodyText"/>
            </w:pPr>
            <w:r>
              <w:t>Inuktitut (Syllabics)</w:t>
            </w:r>
          </w:p>
        </w:tc>
        <w:tc>
          <w:tcPr>
            <w:tcW w:w="0" w:type="auto"/>
            <w:vAlign w:val="center"/>
          </w:tcPr>
          <w:p w:rsidR="000A156F" w:rsidRDefault="00A9721F">
            <w:pPr>
              <w:pStyle w:val="TableBodyText"/>
            </w:pPr>
            <w:r>
              <w:t>Canada</w:t>
            </w:r>
          </w:p>
        </w:tc>
        <w:tc>
          <w:tcPr>
            <w:tcW w:w="0" w:type="auto"/>
            <w:vAlign w:val="center"/>
          </w:tcPr>
          <w:p w:rsidR="000A156F" w:rsidRDefault="00A9721F">
            <w:pPr>
              <w:pStyle w:val="TableBodyText"/>
            </w:pPr>
            <w:r>
              <w:t>iu-CA-Cans</w:t>
            </w:r>
          </w:p>
        </w:tc>
      </w:tr>
      <w:tr w:rsidR="000A156F" w:rsidTr="000A156F">
        <w:tc>
          <w:tcPr>
            <w:tcW w:w="0" w:type="auto"/>
            <w:vAlign w:val="center"/>
          </w:tcPr>
          <w:p w:rsidR="000A156F" w:rsidRDefault="00A9721F">
            <w:pPr>
              <w:pStyle w:val="TableBodyText"/>
            </w:pPr>
            <w:r>
              <w:t>Irish</w:t>
            </w:r>
          </w:p>
        </w:tc>
        <w:tc>
          <w:tcPr>
            <w:tcW w:w="0" w:type="auto"/>
            <w:vAlign w:val="center"/>
          </w:tcPr>
          <w:p w:rsidR="000A156F" w:rsidRDefault="00A9721F">
            <w:pPr>
              <w:pStyle w:val="TableBodyText"/>
            </w:pPr>
            <w:r>
              <w:t>Ireland</w:t>
            </w:r>
          </w:p>
        </w:tc>
        <w:tc>
          <w:tcPr>
            <w:tcW w:w="0" w:type="auto"/>
            <w:vAlign w:val="center"/>
          </w:tcPr>
          <w:p w:rsidR="000A156F" w:rsidRDefault="00A9721F">
            <w:pPr>
              <w:pStyle w:val="TableBodyText"/>
            </w:pPr>
            <w:r>
              <w:t>ga-IE</w:t>
            </w:r>
          </w:p>
        </w:tc>
      </w:tr>
      <w:tr w:rsidR="000A156F" w:rsidTr="000A156F">
        <w:tc>
          <w:tcPr>
            <w:tcW w:w="0" w:type="auto"/>
            <w:vAlign w:val="center"/>
          </w:tcPr>
          <w:p w:rsidR="000A156F" w:rsidRDefault="00A9721F">
            <w:pPr>
              <w:pStyle w:val="TableBodyText"/>
            </w:pPr>
            <w:r>
              <w:t>isiXhosa / Xhosa</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xh-ZA</w:t>
            </w:r>
          </w:p>
        </w:tc>
      </w:tr>
      <w:tr w:rsidR="000A156F" w:rsidTr="000A156F">
        <w:tc>
          <w:tcPr>
            <w:tcW w:w="0" w:type="auto"/>
            <w:vAlign w:val="center"/>
          </w:tcPr>
          <w:p w:rsidR="000A156F" w:rsidRDefault="00A9721F">
            <w:pPr>
              <w:pStyle w:val="TableBodyText"/>
            </w:pPr>
            <w:r>
              <w:t>isiZulu / Zulu</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zu-ZA</w:t>
            </w:r>
          </w:p>
        </w:tc>
      </w:tr>
      <w:tr w:rsidR="000A156F" w:rsidTr="000A156F">
        <w:tc>
          <w:tcPr>
            <w:tcW w:w="0" w:type="auto"/>
            <w:vAlign w:val="center"/>
          </w:tcPr>
          <w:p w:rsidR="000A156F" w:rsidRDefault="00A9721F">
            <w:pPr>
              <w:pStyle w:val="TableBodyText"/>
            </w:pPr>
            <w:r>
              <w:t>Italian</w:t>
            </w:r>
          </w:p>
        </w:tc>
        <w:tc>
          <w:tcPr>
            <w:tcW w:w="0" w:type="auto"/>
            <w:vAlign w:val="center"/>
          </w:tcPr>
          <w:p w:rsidR="000A156F" w:rsidRDefault="00A9721F">
            <w:pPr>
              <w:pStyle w:val="TableBodyText"/>
            </w:pPr>
            <w:r>
              <w:t>Italy</w:t>
            </w:r>
          </w:p>
        </w:tc>
        <w:tc>
          <w:tcPr>
            <w:tcW w:w="0" w:type="auto"/>
            <w:vAlign w:val="center"/>
          </w:tcPr>
          <w:p w:rsidR="000A156F" w:rsidRDefault="00A9721F">
            <w:pPr>
              <w:pStyle w:val="TableBodyText"/>
            </w:pPr>
            <w:r>
              <w:t>it-IT</w:t>
            </w:r>
          </w:p>
        </w:tc>
      </w:tr>
      <w:tr w:rsidR="000A156F" w:rsidTr="000A156F">
        <w:tc>
          <w:tcPr>
            <w:tcW w:w="0" w:type="auto"/>
            <w:vAlign w:val="center"/>
          </w:tcPr>
          <w:p w:rsidR="000A156F" w:rsidRDefault="00A9721F">
            <w:pPr>
              <w:pStyle w:val="TableBodyText"/>
            </w:pPr>
            <w:r>
              <w:t>Italian</w:t>
            </w:r>
          </w:p>
        </w:tc>
        <w:tc>
          <w:tcPr>
            <w:tcW w:w="0" w:type="auto"/>
            <w:vAlign w:val="center"/>
          </w:tcPr>
          <w:p w:rsidR="000A156F" w:rsidRDefault="00A9721F">
            <w:pPr>
              <w:pStyle w:val="TableBodyText"/>
            </w:pPr>
            <w:r>
              <w:t>Switzerland</w:t>
            </w:r>
          </w:p>
        </w:tc>
        <w:tc>
          <w:tcPr>
            <w:tcW w:w="0" w:type="auto"/>
            <w:vAlign w:val="center"/>
          </w:tcPr>
          <w:p w:rsidR="000A156F" w:rsidRDefault="00A9721F">
            <w:pPr>
              <w:pStyle w:val="TableBodyText"/>
            </w:pPr>
            <w:r>
              <w:t>it-CH</w:t>
            </w:r>
          </w:p>
        </w:tc>
      </w:tr>
      <w:tr w:rsidR="000A156F" w:rsidTr="000A156F">
        <w:tc>
          <w:tcPr>
            <w:tcW w:w="0" w:type="auto"/>
            <w:vAlign w:val="center"/>
          </w:tcPr>
          <w:p w:rsidR="000A156F" w:rsidRDefault="00A9721F">
            <w:pPr>
              <w:pStyle w:val="TableBodyText"/>
            </w:pPr>
            <w:r>
              <w:t>Japanese</w:t>
            </w:r>
          </w:p>
        </w:tc>
        <w:tc>
          <w:tcPr>
            <w:tcW w:w="0" w:type="auto"/>
            <w:vAlign w:val="center"/>
          </w:tcPr>
          <w:p w:rsidR="000A156F" w:rsidRDefault="00A9721F">
            <w:pPr>
              <w:pStyle w:val="TableBodyText"/>
            </w:pPr>
            <w:r>
              <w:t>Japan</w:t>
            </w:r>
          </w:p>
        </w:tc>
        <w:tc>
          <w:tcPr>
            <w:tcW w:w="0" w:type="auto"/>
            <w:vAlign w:val="center"/>
          </w:tcPr>
          <w:p w:rsidR="000A156F" w:rsidRDefault="00A9721F">
            <w:pPr>
              <w:pStyle w:val="TableBodyText"/>
            </w:pPr>
            <w:r>
              <w:t>ja-JP</w:t>
            </w:r>
          </w:p>
        </w:tc>
      </w:tr>
      <w:tr w:rsidR="000A156F" w:rsidTr="000A156F">
        <w:tc>
          <w:tcPr>
            <w:tcW w:w="0" w:type="auto"/>
            <w:vAlign w:val="center"/>
          </w:tcPr>
          <w:p w:rsidR="000A156F" w:rsidRDefault="00A9721F">
            <w:pPr>
              <w:pStyle w:val="TableBodyText"/>
            </w:pPr>
            <w:r>
              <w:t>Kannada (Kannada Script)</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kn-IN</w:t>
            </w:r>
          </w:p>
        </w:tc>
      </w:tr>
      <w:tr w:rsidR="000A156F" w:rsidTr="000A156F">
        <w:tc>
          <w:tcPr>
            <w:tcW w:w="0" w:type="auto"/>
            <w:vAlign w:val="center"/>
          </w:tcPr>
          <w:p w:rsidR="000A156F" w:rsidRDefault="00A9721F">
            <w:pPr>
              <w:pStyle w:val="TableBodyText"/>
            </w:pPr>
            <w:r>
              <w:t>Kazakh</w:t>
            </w:r>
          </w:p>
        </w:tc>
        <w:tc>
          <w:tcPr>
            <w:tcW w:w="0" w:type="auto"/>
            <w:vAlign w:val="center"/>
          </w:tcPr>
          <w:p w:rsidR="000A156F" w:rsidRDefault="00A9721F">
            <w:pPr>
              <w:pStyle w:val="TableBodyText"/>
            </w:pPr>
            <w:r>
              <w:t>Kazakhstan</w:t>
            </w:r>
          </w:p>
        </w:tc>
        <w:tc>
          <w:tcPr>
            <w:tcW w:w="0" w:type="auto"/>
            <w:vAlign w:val="center"/>
          </w:tcPr>
          <w:p w:rsidR="000A156F" w:rsidRDefault="00A9721F">
            <w:pPr>
              <w:pStyle w:val="TableBodyText"/>
            </w:pPr>
            <w:r>
              <w:t>kk-KZ</w:t>
            </w:r>
          </w:p>
        </w:tc>
      </w:tr>
      <w:tr w:rsidR="000A156F" w:rsidTr="000A156F">
        <w:tc>
          <w:tcPr>
            <w:tcW w:w="0" w:type="auto"/>
            <w:vAlign w:val="center"/>
          </w:tcPr>
          <w:p w:rsidR="000A156F" w:rsidRDefault="00A9721F">
            <w:pPr>
              <w:pStyle w:val="TableBodyText"/>
            </w:pPr>
            <w:r>
              <w:t>Khmer</w:t>
            </w:r>
          </w:p>
        </w:tc>
        <w:tc>
          <w:tcPr>
            <w:tcW w:w="0" w:type="auto"/>
            <w:vAlign w:val="center"/>
          </w:tcPr>
          <w:p w:rsidR="000A156F" w:rsidRDefault="00A9721F">
            <w:pPr>
              <w:pStyle w:val="TableBodyText"/>
            </w:pPr>
            <w:r>
              <w:t>Cambodia</w:t>
            </w:r>
          </w:p>
        </w:tc>
        <w:tc>
          <w:tcPr>
            <w:tcW w:w="0" w:type="auto"/>
            <w:vAlign w:val="center"/>
          </w:tcPr>
          <w:p w:rsidR="000A156F" w:rsidRDefault="00A9721F">
            <w:pPr>
              <w:pStyle w:val="TableBodyText"/>
            </w:pPr>
            <w:r>
              <w:t>kh-KH</w:t>
            </w:r>
          </w:p>
        </w:tc>
      </w:tr>
      <w:tr w:rsidR="000A156F" w:rsidTr="000A156F">
        <w:tc>
          <w:tcPr>
            <w:tcW w:w="0" w:type="auto"/>
            <w:vAlign w:val="center"/>
          </w:tcPr>
          <w:p w:rsidR="000A156F" w:rsidRDefault="00A9721F">
            <w:pPr>
              <w:pStyle w:val="TableBodyText"/>
            </w:pPr>
            <w:r>
              <w:t>K'iche</w:t>
            </w:r>
          </w:p>
        </w:tc>
        <w:tc>
          <w:tcPr>
            <w:tcW w:w="0" w:type="auto"/>
            <w:vAlign w:val="center"/>
          </w:tcPr>
          <w:p w:rsidR="000A156F" w:rsidRDefault="00A9721F">
            <w:pPr>
              <w:pStyle w:val="TableBodyText"/>
            </w:pPr>
            <w:r>
              <w:t>Guatemala</w:t>
            </w:r>
          </w:p>
        </w:tc>
        <w:tc>
          <w:tcPr>
            <w:tcW w:w="0" w:type="auto"/>
            <w:vAlign w:val="center"/>
          </w:tcPr>
          <w:p w:rsidR="000A156F" w:rsidRDefault="00A9721F">
            <w:pPr>
              <w:pStyle w:val="TableBodyText"/>
            </w:pPr>
            <w:r>
              <w:t>qut-GT</w:t>
            </w:r>
          </w:p>
        </w:tc>
      </w:tr>
      <w:tr w:rsidR="000A156F" w:rsidTr="000A156F">
        <w:tc>
          <w:tcPr>
            <w:tcW w:w="0" w:type="auto"/>
            <w:vAlign w:val="center"/>
          </w:tcPr>
          <w:p w:rsidR="000A156F" w:rsidRDefault="00A9721F">
            <w:pPr>
              <w:pStyle w:val="TableBodyText"/>
            </w:pPr>
            <w:r>
              <w:t xml:space="preserve">Kinyarwanda </w:t>
            </w:r>
          </w:p>
        </w:tc>
        <w:tc>
          <w:tcPr>
            <w:tcW w:w="0" w:type="auto"/>
            <w:vAlign w:val="center"/>
          </w:tcPr>
          <w:p w:rsidR="000A156F" w:rsidRDefault="00A9721F">
            <w:pPr>
              <w:pStyle w:val="TableBodyText"/>
            </w:pPr>
            <w:r>
              <w:t>Rwanda</w:t>
            </w:r>
          </w:p>
        </w:tc>
        <w:tc>
          <w:tcPr>
            <w:tcW w:w="0" w:type="auto"/>
            <w:vAlign w:val="center"/>
          </w:tcPr>
          <w:p w:rsidR="000A156F" w:rsidRDefault="00A9721F">
            <w:pPr>
              <w:pStyle w:val="TableBodyText"/>
            </w:pPr>
            <w:r>
              <w:t>rw-RW</w:t>
            </w:r>
          </w:p>
        </w:tc>
      </w:tr>
      <w:tr w:rsidR="000A156F" w:rsidTr="000A156F">
        <w:tc>
          <w:tcPr>
            <w:tcW w:w="0" w:type="auto"/>
            <w:vAlign w:val="center"/>
          </w:tcPr>
          <w:p w:rsidR="000A156F" w:rsidRDefault="00A9721F">
            <w:pPr>
              <w:pStyle w:val="TableBodyText"/>
            </w:pPr>
            <w:r>
              <w:t>Konkani</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kok-IN</w:t>
            </w:r>
          </w:p>
        </w:tc>
      </w:tr>
      <w:tr w:rsidR="000A156F" w:rsidTr="000A156F">
        <w:tc>
          <w:tcPr>
            <w:tcW w:w="0" w:type="auto"/>
            <w:vAlign w:val="center"/>
          </w:tcPr>
          <w:p w:rsidR="000A156F" w:rsidRDefault="00A9721F">
            <w:pPr>
              <w:pStyle w:val="TableBodyText"/>
            </w:pPr>
            <w:r>
              <w:t>Korean</w:t>
            </w:r>
          </w:p>
        </w:tc>
        <w:tc>
          <w:tcPr>
            <w:tcW w:w="0" w:type="auto"/>
            <w:vAlign w:val="center"/>
          </w:tcPr>
          <w:p w:rsidR="000A156F" w:rsidRDefault="00A9721F">
            <w:pPr>
              <w:pStyle w:val="TableBodyText"/>
            </w:pPr>
            <w:r>
              <w:t>Korea</w:t>
            </w:r>
          </w:p>
        </w:tc>
        <w:tc>
          <w:tcPr>
            <w:tcW w:w="0" w:type="auto"/>
            <w:vAlign w:val="center"/>
          </w:tcPr>
          <w:p w:rsidR="000A156F" w:rsidRDefault="00A9721F">
            <w:pPr>
              <w:pStyle w:val="TableBodyText"/>
            </w:pPr>
            <w:r>
              <w:t>ko-KR</w:t>
            </w:r>
          </w:p>
        </w:tc>
      </w:tr>
      <w:tr w:rsidR="000A156F" w:rsidTr="000A156F">
        <w:tc>
          <w:tcPr>
            <w:tcW w:w="0" w:type="auto"/>
            <w:vAlign w:val="center"/>
          </w:tcPr>
          <w:p w:rsidR="000A156F" w:rsidRDefault="00A9721F">
            <w:pPr>
              <w:pStyle w:val="TableBodyText"/>
            </w:pPr>
            <w:r>
              <w:t>Kyrgyz</w:t>
            </w:r>
          </w:p>
        </w:tc>
        <w:tc>
          <w:tcPr>
            <w:tcW w:w="0" w:type="auto"/>
            <w:vAlign w:val="center"/>
          </w:tcPr>
          <w:p w:rsidR="000A156F" w:rsidRDefault="00A9721F">
            <w:pPr>
              <w:pStyle w:val="TableBodyText"/>
            </w:pPr>
            <w:r>
              <w:t>Kyrgyzstan</w:t>
            </w:r>
          </w:p>
        </w:tc>
        <w:tc>
          <w:tcPr>
            <w:tcW w:w="0" w:type="auto"/>
            <w:vAlign w:val="center"/>
          </w:tcPr>
          <w:p w:rsidR="000A156F" w:rsidRDefault="00A9721F">
            <w:pPr>
              <w:pStyle w:val="TableBodyText"/>
            </w:pPr>
            <w:r>
              <w:t>ky-KG</w:t>
            </w:r>
          </w:p>
        </w:tc>
      </w:tr>
      <w:tr w:rsidR="000A156F" w:rsidTr="000A156F">
        <w:tc>
          <w:tcPr>
            <w:tcW w:w="0" w:type="auto"/>
            <w:vAlign w:val="center"/>
          </w:tcPr>
          <w:p w:rsidR="000A156F" w:rsidRDefault="00A9721F">
            <w:pPr>
              <w:pStyle w:val="TableBodyText"/>
            </w:pPr>
            <w:r>
              <w:t>Lao</w:t>
            </w:r>
          </w:p>
        </w:tc>
        <w:tc>
          <w:tcPr>
            <w:tcW w:w="0" w:type="auto"/>
            <w:vAlign w:val="center"/>
          </w:tcPr>
          <w:p w:rsidR="000A156F" w:rsidRDefault="00A9721F">
            <w:pPr>
              <w:pStyle w:val="TableBodyText"/>
            </w:pPr>
            <w:r>
              <w:t>Lao PDR</w:t>
            </w:r>
          </w:p>
        </w:tc>
        <w:tc>
          <w:tcPr>
            <w:tcW w:w="0" w:type="auto"/>
            <w:vAlign w:val="center"/>
          </w:tcPr>
          <w:p w:rsidR="000A156F" w:rsidRDefault="00A9721F">
            <w:pPr>
              <w:pStyle w:val="TableBodyText"/>
            </w:pPr>
            <w:r>
              <w:t>lo-LA</w:t>
            </w:r>
          </w:p>
        </w:tc>
      </w:tr>
      <w:tr w:rsidR="000A156F" w:rsidTr="000A156F">
        <w:tc>
          <w:tcPr>
            <w:tcW w:w="0" w:type="auto"/>
            <w:vAlign w:val="center"/>
          </w:tcPr>
          <w:p w:rsidR="000A156F" w:rsidRDefault="00A9721F">
            <w:pPr>
              <w:pStyle w:val="TableBodyText"/>
            </w:pPr>
            <w:r>
              <w:t>Latvian</w:t>
            </w:r>
          </w:p>
        </w:tc>
        <w:tc>
          <w:tcPr>
            <w:tcW w:w="0" w:type="auto"/>
            <w:vAlign w:val="center"/>
          </w:tcPr>
          <w:p w:rsidR="000A156F" w:rsidRDefault="00A9721F">
            <w:pPr>
              <w:pStyle w:val="TableBodyText"/>
            </w:pPr>
            <w:r>
              <w:t>Latvia</w:t>
            </w:r>
          </w:p>
        </w:tc>
        <w:tc>
          <w:tcPr>
            <w:tcW w:w="0" w:type="auto"/>
            <w:vAlign w:val="center"/>
          </w:tcPr>
          <w:p w:rsidR="000A156F" w:rsidRDefault="00A9721F">
            <w:pPr>
              <w:pStyle w:val="TableBodyText"/>
            </w:pPr>
            <w:r>
              <w:t>lv-LV</w:t>
            </w:r>
          </w:p>
        </w:tc>
      </w:tr>
      <w:tr w:rsidR="000A156F" w:rsidTr="000A156F">
        <w:tc>
          <w:tcPr>
            <w:tcW w:w="0" w:type="auto"/>
            <w:vAlign w:val="center"/>
          </w:tcPr>
          <w:p w:rsidR="000A156F" w:rsidRDefault="00A9721F">
            <w:pPr>
              <w:pStyle w:val="TableBodyText"/>
            </w:pPr>
            <w:r>
              <w:t>Lithuanian</w:t>
            </w:r>
          </w:p>
        </w:tc>
        <w:tc>
          <w:tcPr>
            <w:tcW w:w="0" w:type="auto"/>
            <w:vAlign w:val="center"/>
          </w:tcPr>
          <w:p w:rsidR="000A156F" w:rsidRDefault="00A9721F">
            <w:pPr>
              <w:pStyle w:val="TableBodyText"/>
            </w:pPr>
            <w:r>
              <w:t>Lithuania</w:t>
            </w:r>
          </w:p>
        </w:tc>
        <w:tc>
          <w:tcPr>
            <w:tcW w:w="0" w:type="auto"/>
            <w:vAlign w:val="center"/>
          </w:tcPr>
          <w:p w:rsidR="000A156F" w:rsidRDefault="00A9721F">
            <w:pPr>
              <w:pStyle w:val="TableBodyText"/>
            </w:pPr>
            <w:r>
              <w:t>lt-LT</w:t>
            </w:r>
          </w:p>
        </w:tc>
      </w:tr>
      <w:tr w:rsidR="000A156F" w:rsidTr="000A156F">
        <w:tc>
          <w:tcPr>
            <w:tcW w:w="0" w:type="auto"/>
            <w:vAlign w:val="center"/>
          </w:tcPr>
          <w:p w:rsidR="000A156F" w:rsidRDefault="00A9721F">
            <w:pPr>
              <w:pStyle w:val="TableBodyText"/>
            </w:pPr>
            <w:r>
              <w:t>Lower Sorbian</w:t>
            </w:r>
          </w:p>
        </w:tc>
        <w:tc>
          <w:tcPr>
            <w:tcW w:w="0" w:type="auto"/>
            <w:vAlign w:val="center"/>
          </w:tcPr>
          <w:p w:rsidR="000A156F" w:rsidRDefault="00A9721F">
            <w:pPr>
              <w:pStyle w:val="TableBodyText"/>
            </w:pPr>
            <w:r>
              <w:t>Germany</w:t>
            </w:r>
          </w:p>
        </w:tc>
        <w:tc>
          <w:tcPr>
            <w:tcW w:w="0" w:type="auto"/>
            <w:vAlign w:val="center"/>
          </w:tcPr>
          <w:p w:rsidR="000A156F" w:rsidRDefault="00A9721F">
            <w:pPr>
              <w:pStyle w:val="TableBodyText"/>
            </w:pPr>
            <w:r>
              <w:t>wee-DE</w:t>
            </w:r>
          </w:p>
        </w:tc>
      </w:tr>
      <w:tr w:rsidR="000A156F" w:rsidTr="000A156F">
        <w:tc>
          <w:tcPr>
            <w:tcW w:w="0" w:type="auto"/>
            <w:vAlign w:val="center"/>
          </w:tcPr>
          <w:p w:rsidR="000A156F" w:rsidRDefault="00A9721F">
            <w:pPr>
              <w:pStyle w:val="TableBodyText"/>
            </w:pPr>
            <w:r>
              <w:t>Lule Sami</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smj-NO</w:t>
            </w:r>
          </w:p>
        </w:tc>
      </w:tr>
      <w:tr w:rsidR="000A156F" w:rsidTr="000A156F">
        <w:tc>
          <w:tcPr>
            <w:tcW w:w="0" w:type="auto"/>
            <w:vAlign w:val="center"/>
          </w:tcPr>
          <w:p w:rsidR="000A156F" w:rsidRDefault="00A9721F">
            <w:pPr>
              <w:pStyle w:val="TableBodyText"/>
            </w:pPr>
            <w:r>
              <w:t>Lule Sami</w:t>
            </w:r>
          </w:p>
        </w:tc>
        <w:tc>
          <w:tcPr>
            <w:tcW w:w="0" w:type="auto"/>
            <w:vAlign w:val="center"/>
          </w:tcPr>
          <w:p w:rsidR="000A156F" w:rsidRDefault="00A9721F">
            <w:pPr>
              <w:pStyle w:val="TableBodyText"/>
            </w:pPr>
            <w:r>
              <w:t>Sweden</w:t>
            </w:r>
          </w:p>
        </w:tc>
        <w:tc>
          <w:tcPr>
            <w:tcW w:w="0" w:type="auto"/>
            <w:vAlign w:val="center"/>
          </w:tcPr>
          <w:p w:rsidR="000A156F" w:rsidRDefault="00A9721F">
            <w:pPr>
              <w:pStyle w:val="TableBodyText"/>
            </w:pPr>
            <w:r>
              <w:t>smj-SE</w:t>
            </w:r>
          </w:p>
        </w:tc>
      </w:tr>
      <w:tr w:rsidR="000A156F" w:rsidTr="000A156F">
        <w:tc>
          <w:tcPr>
            <w:tcW w:w="0" w:type="auto"/>
            <w:vAlign w:val="center"/>
          </w:tcPr>
          <w:p w:rsidR="000A156F" w:rsidRDefault="00A9721F">
            <w:pPr>
              <w:pStyle w:val="TableBodyText"/>
            </w:pPr>
            <w:r>
              <w:t>Luxembourgish</w:t>
            </w:r>
          </w:p>
        </w:tc>
        <w:tc>
          <w:tcPr>
            <w:tcW w:w="0" w:type="auto"/>
            <w:vAlign w:val="center"/>
          </w:tcPr>
          <w:p w:rsidR="000A156F" w:rsidRDefault="00A9721F">
            <w:pPr>
              <w:pStyle w:val="TableBodyText"/>
            </w:pPr>
            <w:r>
              <w:t>Luxembourg</w:t>
            </w:r>
          </w:p>
        </w:tc>
        <w:tc>
          <w:tcPr>
            <w:tcW w:w="0" w:type="auto"/>
            <w:vAlign w:val="center"/>
          </w:tcPr>
          <w:p w:rsidR="000A156F" w:rsidRDefault="00A9721F">
            <w:pPr>
              <w:pStyle w:val="TableBodyText"/>
            </w:pPr>
            <w:r>
              <w:t>lb-LU</w:t>
            </w:r>
          </w:p>
        </w:tc>
      </w:tr>
      <w:tr w:rsidR="000A156F" w:rsidTr="000A156F">
        <w:tc>
          <w:tcPr>
            <w:tcW w:w="0" w:type="auto"/>
            <w:vAlign w:val="center"/>
          </w:tcPr>
          <w:p w:rsidR="000A156F" w:rsidRDefault="00A9721F">
            <w:pPr>
              <w:pStyle w:val="TableBodyText"/>
            </w:pPr>
            <w:r>
              <w:t xml:space="preserve">Macedonian </w:t>
            </w:r>
          </w:p>
        </w:tc>
        <w:tc>
          <w:tcPr>
            <w:tcW w:w="0" w:type="auto"/>
            <w:vAlign w:val="center"/>
          </w:tcPr>
          <w:p w:rsidR="000A156F" w:rsidRDefault="00A9721F">
            <w:pPr>
              <w:pStyle w:val="TableBodyText"/>
            </w:pPr>
            <w:r>
              <w:t>Macedonia, FYRO</w:t>
            </w:r>
          </w:p>
        </w:tc>
        <w:tc>
          <w:tcPr>
            <w:tcW w:w="0" w:type="auto"/>
            <w:vAlign w:val="center"/>
          </w:tcPr>
          <w:p w:rsidR="000A156F" w:rsidRDefault="00A9721F">
            <w:pPr>
              <w:pStyle w:val="TableBodyText"/>
            </w:pPr>
            <w:r>
              <w:t>mk-MK</w:t>
            </w:r>
          </w:p>
        </w:tc>
      </w:tr>
      <w:tr w:rsidR="000A156F" w:rsidTr="000A156F">
        <w:tc>
          <w:tcPr>
            <w:tcW w:w="0" w:type="auto"/>
            <w:vAlign w:val="center"/>
          </w:tcPr>
          <w:p w:rsidR="000A156F" w:rsidRDefault="00A9721F">
            <w:pPr>
              <w:pStyle w:val="TableBodyText"/>
            </w:pPr>
            <w:r>
              <w:t>Malay</w:t>
            </w:r>
          </w:p>
        </w:tc>
        <w:tc>
          <w:tcPr>
            <w:tcW w:w="0" w:type="auto"/>
            <w:vAlign w:val="center"/>
          </w:tcPr>
          <w:p w:rsidR="000A156F" w:rsidRDefault="00A9721F">
            <w:pPr>
              <w:pStyle w:val="TableBodyText"/>
            </w:pPr>
            <w:r>
              <w:t>Brunei</w:t>
            </w:r>
          </w:p>
        </w:tc>
        <w:tc>
          <w:tcPr>
            <w:tcW w:w="0" w:type="auto"/>
            <w:vAlign w:val="center"/>
          </w:tcPr>
          <w:p w:rsidR="000A156F" w:rsidRDefault="00A9721F">
            <w:pPr>
              <w:pStyle w:val="TableBodyText"/>
            </w:pPr>
            <w:r>
              <w:t>ms-BN</w:t>
            </w:r>
          </w:p>
        </w:tc>
      </w:tr>
      <w:tr w:rsidR="000A156F" w:rsidTr="000A156F">
        <w:tc>
          <w:tcPr>
            <w:tcW w:w="0" w:type="auto"/>
            <w:vAlign w:val="center"/>
          </w:tcPr>
          <w:p w:rsidR="000A156F" w:rsidRDefault="00A9721F">
            <w:pPr>
              <w:pStyle w:val="TableBodyText"/>
            </w:pPr>
            <w:r>
              <w:t>Malay</w:t>
            </w:r>
          </w:p>
        </w:tc>
        <w:tc>
          <w:tcPr>
            <w:tcW w:w="0" w:type="auto"/>
            <w:vAlign w:val="center"/>
          </w:tcPr>
          <w:p w:rsidR="000A156F" w:rsidRDefault="00A9721F">
            <w:pPr>
              <w:pStyle w:val="TableBodyText"/>
            </w:pPr>
            <w:r>
              <w:t>Malaysia</w:t>
            </w:r>
          </w:p>
        </w:tc>
        <w:tc>
          <w:tcPr>
            <w:tcW w:w="0" w:type="auto"/>
            <w:vAlign w:val="center"/>
          </w:tcPr>
          <w:p w:rsidR="000A156F" w:rsidRDefault="00A9721F">
            <w:pPr>
              <w:pStyle w:val="TableBodyText"/>
            </w:pPr>
            <w:r>
              <w:t>ms-MY</w:t>
            </w:r>
          </w:p>
        </w:tc>
      </w:tr>
      <w:tr w:rsidR="000A156F" w:rsidTr="000A156F">
        <w:tc>
          <w:tcPr>
            <w:tcW w:w="0" w:type="auto"/>
            <w:vAlign w:val="center"/>
          </w:tcPr>
          <w:p w:rsidR="000A156F" w:rsidRDefault="00A9721F">
            <w:pPr>
              <w:pStyle w:val="TableBodyText"/>
            </w:pPr>
            <w:r>
              <w:lastRenderedPageBreak/>
              <w:t xml:space="preserve">Malayalam (Malayalam Script) </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ml-IN</w:t>
            </w:r>
          </w:p>
        </w:tc>
      </w:tr>
      <w:tr w:rsidR="000A156F" w:rsidTr="000A156F">
        <w:tc>
          <w:tcPr>
            <w:tcW w:w="0" w:type="auto"/>
            <w:vAlign w:val="center"/>
          </w:tcPr>
          <w:p w:rsidR="000A156F" w:rsidRDefault="00A9721F">
            <w:pPr>
              <w:pStyle w:val="TableBodyText"/>
            </w:pPr>
            <w:r>
              <w:t>Maltese</w:t>
            </w:r>
          </w:p>
        </w:tc>
        <w:tc>
          <w:tcPr>
            <w:tcW w:w="0" w:type="auto"/>
            <w:vAlign w:val="center"/>
          </w:tcPr>
          <w:p w:rsidR="000A156F" w:rsidRDefault="00A9721F">
            <w:pPr>
              <w:pStyle w:val="TableBodyText"/>
            </w:pPr>
            <w:r>
              <w:t>Malta</w:t>
            </w:r>
          </w:p>
        </w:tc>
        <w:tc>
          <w:tcPr>
            <w:tcW w:w="0" w:type="auto"/>
            <w:vAlign w:val="center"/>
          </w:tcPr>
          <w:p w:rsidR="000A156F" w:rsidRDefault="00A9721F">
            <w:pPr>
              <w:pStyle w:val="TableBodyText"/>
            </w:pPr>
            <w:r>
              <w:t>mt-MT</w:t>
            </w:r>
          </w:p>
        </w:tc>
      </w:tr>
      <w:tr w:rsidR="000A156F" w:rsidTr="000A156F">
        <w:tc>
          <w:tcPr>
            <w:tcW w:w="0" w:type="auto"/>
            <w:vAlign w:val="center"/>
          </w:tcPr>
          <w:p w:rsidR="000A156F" w:rsidRDefault="00A9721F">
            <w:pPr>
              <w:pStyle w:val="TableBodyText"/>
            </w:pPr>
            <w:r>
              <w:t>Maori</w:t>
            </w:r>
          </w:p>
        </w:tc>
        <w:tc>
          <w:tcPr>
            <w:tcW w:w="0" w:type="auto"/>
            <w:vAlign w:val="center"/>
          </w:tcPr>
          <w:p w:rsidR="000A156F" w:rsidRDefault="00A9721F">
            <w:pPr>
              <w:pStyle w:val="TableBodyText"/>
            </w:pPr>
            <w:r>
              <w:t>New Zealand</w:t>
            </w:r>
          </w:p>
        </w:tc>
        <w:tc>
          <w:tcPr>
            <w:tcW w:w="0" w:type="auto"/>
            <w:vAlign w:val="center"/>
          </w:tcPr>
          <w:p w:rsidR="000A156F" w:rsidRDefault="00A9721F">
            <w:pPr>
              <w:pStyle w:val="TableBodyText"/>
            </w:pPr>
            <w:r>
              <w:t>mi-NZ</w:t>
            </w:r>
          </w:p>
        </w:tc>
      </w:tr>
      <w:tr w:rsidR="000A156F" w:rsidTr="000A156F">
        <w:tc>
          <w:tcPr>
            <w:tcW w:w="0" w:type="auto"/>
            <w:vAlign w:val="center"/>
          </w:tcPr>
          <w:p w:rsidR="000A156F" w:rsidRDefault="00A9721F">
            <w:pPr>
              <w:pStyle w:val="TableBodyText"/>
            </w:pPr>
            <w:r>
              <w:t>Mapudungun</w:t>
            </w:r>
          </w:p>
        </w:tc>
        <w:tc>
          <w:tcPr>
            <w:tcW w:w="0" w:type="auto"/>
            <w:vAlign w:val="center"/>
          </w:tcPr>
          <w:p w:rsidR="000A156F" w:rsidRDefault="00A9721F">
            <w:pPr>
              <w:pStyle w:val="TableBodyText"/>
            </w:pPr>
            <w:r>
              <w:t>Chile</w:t>
            </w:r>
          </w:p>
        </w:tc>
        <w:tc>
          <w:tcPr>
            <w:tcW w:w="0" w:type="auto"/>
            <w:vAlign w:val="center"/>
          </w:tcPr>
          <w:p w:rsidR="000A156F" w:rsidRDefault="00A9721F">
            <w:pPr>
              <w:pStyle w:val="TableBodyText"/>
            </w:pPr>
            <w:r>
              <w:t>arn-CL</w:t>
            </w:r>
          </w:p>
        </w:tc>
      </w:tr>
      <w:tr w:rsidR="000A156F" w:rsidTr="000A156F">
        <w:tc>
          <w:tcPr>
            <w:tcW w:w="0" w:type="auto"/>
            <w:vAlign w:val="center"/>
          </w:tcPr>
          <w:p w:rsidR="000A156F" w:rsidRDefault="00A9721F">
            <w:pPr>
              <w:pStyle w:val="TableBodyText"/>
            </w:pPr>
            <w:r>
              <w:t>Marathi</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mr-IN</w:t>
            </w:r>
          </w:p>
        </w:tc>
      </w:tr>
      <w:tr w:rsidR="000A156F" w:rsidTr="000A156F">
        <w:tc>
          <w:tcPr>
            <w:tcW w:w="0" w:type="auto"/>
            <w:vAlign w:val="center"/>
          </w:tcPr>
          <w:p w:rsidR="000A156F" w:rsidRDefault="00A9721F">
            <w:pPr>
              <w:pStyle w:val="TableBodyText"/>
            </w:pPr>
            <w:r>
              <w:t>Mohawk</w:t>
            </w:r>
          </w:p>
        </w:tc>
        <w:tc>
          <w:tcPr>
            <w:tcW w:w="0" w:type="auto"/>
            <w:vAlign w:val="center"/>
          </w:tcPr>
          <w:p w:rsidR="000A156F" w:rsidRDefault="00A9721F">
            <w:pPr>
              <w:pStyle w:val="TableBodyText"/>
            </w:pPr>
            <w:r>
              <w:t>Mohawk</w:t>
            </w:r>
          </w:p>
        </w:tc>
        <w:tc>
          <w:tcPr>
            <w:tcW w:w="0" w:type="auto"/>
            <w:vAlign w:val="center"/>
          </w:tcPr>
          <w:p w:rsidR="000A156F" w:rsidRDefault="00A9721F">
            <w:pPr>
              <w:pStyle w:val="TableBodyText"/>
            </w:pPr>
            <w:r>
              <w:t>moh-CA</w:t>
            </w:r>
          </w:p>
        </w:tc>
      </w:tr>
      <w:tr w:rsidR="000A156F" w:rsidTr="000A156F">
        <w:tc>
          <w:tcPr>
            <w:tcW w:w="0" w:type="auto"/>
            <w:vAlign w:val="center"/>
          </w:tcPr>
          <w:p w:rsidR="000A156F" w:rsidRDefault="00A9721F">
            <w:pPr>
              <w:pStyle w:val="TableBodyText"/>
            </w:pPr>
            <w:r>
              <w:t>Mongolian (Cyrillic)</w:t>
            </w:r>
          </w:p>
        </w:tc>
        <w:tc>
          <w:tcPr>
            <w:tcW w:w="0" w:type="auto"/>
            <w:vAlign w:val="center"/>
          </w:tcPr>
          <w:p w:rsidR="000A156F" w:rsidRDefault="00A9721F">
            <w:pPr>
              <w:pStyle w:val="TableBodyText"/>
            </w:pPr>
            <w:r>
              <w:t>Mongolia</w:t>
            </w:r>
          </w:p>
        </w:tc>
        <w:tc>
          <w:tcPr>
            <w:tcW w:w="0" w:type="auto"/>
            <w:vAlign w:val="center"/>
          </w:tcPr>
          <w:p w:rsidR="000A156F" w:rsidRDefault="00A9721F">
            <w:pPr>
              <w:pStyle w:val="TableBodyText"/>
            </w:pPr>
            <w:r>
              <w:t>mn-MN</w:t>
            </w:r>
          </w:p>
        </w:tc>
      </w:tr>
      <w:tr w:rsidR="000A156F" w:rsidTr="000A156F">
        <w:tc>
          <w:tcPr>
            <w:tcW w:w="0" w:type="auto"/>
            <w:vAlign w:val="center"/>
          </w:tcPr>
          <w:p w:rsidR="000A156F" w:rsidRDefault="00A9721F">
            <w:pPr>
              <w:pStyle w:val="TableBodyText"/>
            </w:pPr>
            <w:r>
              <w:t>Mongolian (Mongolian)</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mn-CN-Mong</w:t>
            </w:r>
          </w:p>
        </w:tc>
      </w:tr>
      <w:tr w:rsidR="000A156F" w:rsidTr="000A156F">
        <w:tc>
          <w:tcPr>
            <w:tcW w:w="0" w:type="auto"/>
            <w:vAlign w:val="center"/>
          </w:tcPr>
          <w:p w:rsidR="000A156F" w:rsidRDefault="00A9721F">
            <w:pPr>
              <w:pStyle w:val="TableBodyText"/>
            </w:pPr>
            <w:r>
              <w:t>Nepali</w:t>
            </w:r>
          </w:p>
        </w:tc>
        <w:tc>
          <w:tcPr>
            <w:tcW w:w="0" w:type="auto"/>
            <w:vAlign w:val="center"/>
          </w:tcPr>
          <w:p w:rsidR="000A156F" w:rsidRDefault="00A9721F">
            <w:pPr>
              <w:pStyle w:val="TableBodyText"/>
            </w:pPr>
            <w:r>
              <w:t>Nepal</w:t>
            </w:r>
          </w:p>
        </w:tc>
        <w:tc>
          <w:tcPr>
            <w:tcW w:w="0" w:type="auto"/>
            <w:vAlign w:val="center"/>
          </w:tcPr>
          <w:p w:rsidR="000A156F" w:rsidRDefault="00A9721F">
            <w:pPr>
              <w:pStyle w:val="TableBodyText"/>
            </w:pPr>
            <w:r>
              <w:t>ne-NP</w:t>
            </w:r>
          </w:p>
        </w:tc>
      </w:tr>
      <w:tr w:rsidR="000A156F" w:rsidTr="000A156F">
        <w:tc>
          <w:tcPr>
            <w:tcW w:w="0" w:type="auto"/>
            <w:vAlign w:val="center"/>
          </w:tcPr>
          <w:p w:rsidR="000A156F" w:rsidRDefault="00A9721F">
            <w:pPr>
              <w:pStyle w:val="TableBodyText"/>
            </w:pPr>
            <w:r>
              <w:t>Northern Sami</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se-FI</w:t>
            </w:r>
          </w:p>
        </w:tc>
      </w:tr>
      <w:tr w:rsidR="000A156F" w:rsidTr="000A156F">
        <w:tc>
          <w:tcPr>
            <w:tcW w:w="0" w:type="auto"/>
            <w:vAlign w:val="center"/>
          </w:tcPr>
          <w:p w:rsidR="000A156F" w:rsidRDefault="00A9721F">
            <w:pPr>
              <w:pStyle w:val="TableBodyText"/>
            </w:pPr>
            <w:r>
              <w:t>Northern Sami</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se-NO</w:t>
            </w:r>
          </w:p>
        </w:tc>
      </w:tr>
      <w:tr w:rsidR="000A156F" w:rsidTr="000A156F">
        <w:tc>
          <w:tcPr>
            <w:tcW w:w="0" w:type="auto"/>
            <w:vAlign w:val="center"/>
          </w:tcPr>
          <w:p w:rsidR="000A156F" w:rsidRDefault="00A9721F">
            <w:pPr>
              <w:pStyle w:val="TableBodyText"/>
            </w:pPr>
            <w:r>
              <w:t>Northern Sami</w:t>
            </w:r>
          </w:p>
        </w:tc>
        <w:tc>
          <w:tcPr>
            <w:tcW w:w="0" w:type="auto"/>
            <w:vAlign w:val="center"/>
          </w:tcPr>
          <w:p w:rsidR="000A156F" w:rsidRDefault="00A9721F">
            <w:pPr>
              <w:pStyle w:val="TableBodyText"/>
            </w:pPr>
            <w:r>
              <w:t>Sweden</w:t>
            </w:r>
          </w:p>
        </w:tc>
        <w:tc>
          <w:tcPr>
            <w:tcW w:w="0" w:type="auto"/>
            <w:vAlign w:val="center"/>
          </w:tcPr>
          <w:p w:rsidR="000A156F" w:rsidRDefault="00A9721F">
            <w:pPr>
              <w:pStyle w:val="TableBodyText"/>
            </w:pPr>
            <w:r>
              <w:t>se-SE</w:t>
            </w:r>
          </w:p>
        </w:tc>
      </w:tr>
      <w:tr w:rsidR="000A156F" w:rsidTr="000A156F">
        <w:tc>
          <w:tcPr>
            <w:tcW w:w="0" w:type="auto"/>
            <w:vAlign w:val="center"/>
          </w:tcPr>
          <w:p w:rsidR="000A156F" w:rsidRDefault="00A9721F">
            <w:pPr>
              <w:pStyle w:val="TableBodyText"/>
            </w:pPr>
            <w:r>
              <w:t>Norwegian (Bokmål)</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nb-NO</w:t>
            </w:r>
          </w:p>
        </w:tc>
      </w:tr>
      <w:tr w:rsidR="000A156F" w:rsidTr="000A156F">
        <w:tc>
          <w:tcPr>
            <w:tcW w:w="0" w:type="auto"/>
            <w:vAlign w:val="center"/>
          </w:tcPr>
          <w:p w:rsidR="000A156F" w:rsidRDefault="00A9721F">
            <w:pPr>
              <w:pStyle w:val="TableBodyText"/>
            </w:pPr>
            <w:r>
              <w:t>Norwegian (Nynorsk)</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nn-NO</w:t>
            </w:r>
          </w:p>
        </w:tc>
      </w:tr>
      <w:tr w:rsidR="000A156F" w:rsidTr="000A156F">
        <w:tc>
          <w:tcPr>
            <w:tcW w:w="0" w:type="auto"/>
            <w:vAlign w:val="center"/>
          </w:tcPr>
          <w:p w:rsidR="000A156F" w:rsidRDefault="00A9721F">
            <w:pPr>
              <w:pStyle w:val="TableBodyText"/>
            </w:pPr>
            <w:r>
              <w:t>Occitan</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oc-FR</w:t>
            </w:r>
          </w:p>
        </w:tc>
      </w:tr>
      <w:tr w:rsidR="000A156F" w:rsidTr="000A156F">
        <w:tc>
          <w:tcPr>
            <w:tcW w:w="0" w:type="auto"/>
            <w:vAlign w:val="center"/>
          </w:tcPr>
          <w:p w:rsidR="000A156F" w:rsidRDefault="00A9721F">
            <w:pPr>
              <w:pStyle w:val="TableBodyText"/>
            </w:pPr>
            <w:r>
              <w:t>Odia (Odia Script)</w:t>
            </w:r>
          </w:p>
        </w:tc>
        <w:tc>
          <w:tcPr>
            <w:tcW w:w="0" w:type="auto"/>
            <w:vAlign w:val="center"/>
          </w:tcPr>
          <w:p w:rsidR="000A156F" w:rsidRDefault="00A9721F">
            <w:pPr>
              <w:pStyle w:val="TableBodyText"/>
            </w:pPr>
            <w:r>
              <w:t xml:space="preserve">India </w:t>
            </w:r>
          </w:p>
        </w:tc>
        <w:tc>
          <w:tcPr>
            <w:tcW w:w="0" w:type="auto"/>
            <w:vAlign w:val="center"/>
          </w:tcPr>
          <w:p w:rsidR="000A156F" w:rsidRDefault="00A9721F">
            <w:pPr>
              <w:pStyle w:val="TableBodyText"/>
            </w:pPr>
            <w:r>
              <w:t>or-IN</w:t>
            </w:r>
          </w:p>
        </w:tc>
      </w:tr>
      <w:tr w:rsidR="000A156F" w:rsidTr="000A156F">
        <w:tc>
          <w:tcPr>
            <w:tcW w:w="0" w:type="auto"/>
            <w:vAlign w:val="center"/>
          </w:tcPr>
          <w:p w:rsidR="000A156F" w:rsidRDefault="00A9721F">
            <w:pPr>
              <w:pStyle w:val="TableBodyText"/>
            </w:pPr>
            <w:r>
              <w:t>Pashto</w:t>
            </w:r>
          </w:p>
        </w:tc>
        <w:tc>
          <w:tcPr>
            <w:tcW w:w="0" w:type="auto"/>
            <w:vAlign w:val="center"/>
          </w:tcPr>
          <w:p w:rsidR="000A156F" w:rsidRDefault="00A9721F">
            <w:pPr>
              <w:pStyle w:val="TableBodyText"/>
            </w:pPr>
            <w:r>
              <w:t>Afghanistan</w:t>
            </w:r>
          </w:p>
        </w:tc>
        <w:tc>
          <w:tcPr>
            <w:tcW w:w="0" w:type="auto"/>
            <w:vAlign w:val="center"/>
          </w:tcPr>
          <w:p w:rsidR="000A156F" w:rsidRDefault="00A9721F">
            <w:pPr>
              <w:pStyle w:val="TableBodyText"/>
            </w:pPr>
            <w:r>
              <w:t>ps-AF</w:t>
            </w:r>
          </w:p>
        </w:tc>
      </w:tr>
      <w:tr w:rsidR="000A156F" w:rsidTr="000A156F">
        <w:tc>
          <w:tcPr>
            <w:tcW w:w="0" w:type="auto"/>
            <w:vAlign w:val="center"/>
          </w:tcPr>
          <w:p w:rsidR="000A156F" w:rsidRDefault="00A9721F">
            <w:pPr>
              <w:pStyle w:val="TableBodyText"/>
            </w:pPr>
            <w:r>
              <w:t>Persian</w:t>
            </w:r>
          </w:p>
        </w:tc>
        <w:tc>
          <w:tcPr>
            <w:tcW w:w="0" w:type="auto"/>
            <w:vAlign w:val="center"/>
          </w:tcPr>
          <w:p w:rsidR="000A156F" w:rsidRDefault="00A9721F">
            <w:pPr>
              <w:pStyle w:val="TableBodyText"/>
            </w:pPr>
            <w:r>
              <w:t>Iran</w:t>
            </w:r>
          </w:p>
        </w:tc>
        <w:tc>
          <w:tcPr>
            <w:tcW w:w="0" w:type="auto"/>
            <w:vAlign w:val="center"/>
          </w:tcPr>
          <w:p w:rsidR="000A156F" w:rsidRDefault="00A9721F">
            <w:pPr>
              <w:pStyle w:val="TableBodyText"/>
            </w:pPr>
            <w:r>
              <w:t>fa-IR</w:t>
            </w:r>
          </w:p>
        </w:tc>
      </w:tr>
      <w:tr w:rsidR="000A156F" w:rsidTr="000A156F">
        <w:tc>
          <w:tcPr>
            <w:tcW w:w="0" w:type="auto"/>
            <w:vAlign w:val="center"/>
          </w:tcPr>
          <w:p w:rsidR="000A156F" w:rsidRDefault="00A9721F">
            <w:pPr>
              <w:pStyle w:val="TableBodyText"/>
            </w:pPr>
            <w:r>
              <w:t>Polish</w:t>
            </w:r>
          </w:p>
        </w:tc>
        <w:tc>
          <w:tcPr>
            <w:tcW w:w="0" w:type="auto"/>
            <w:vAlign w:val="center"/>
          </w:tcPr>
          <w:p w:rsidR="000A156F" w:rsidRDefault="00A9721F">
            <w:pPr>
              <w:pStyle w:val="TableBodyText"/>
            </w:pPr>
            <w:r>
              <w:t>Poland</w:t>
            </w:r>
          </w:p>
        </w:tc>
        <w:tc>
          <w:tcPr>
            <w:tcW w:w="0" w:type="auto"/>
            <w:vAlign w:val="center"/>
          </w:tcPr>
          <w:p w:rsidR="000A156F" w:rsidRDefault="00A9721F">
            <w:pPr>
              <w:pStyle w:val="TableBodyText"/>
            </w:pPr>
            <w:r>
              <w:t>pl-PL</w:t>
            </w:r>
          </w:p>
        </w:tc>
      </w:tr>
      <w:tr w:rsidR="000A156F" w:rsidTr="000A156F">
        <w:tc>
          <w:tcPr>
            <w:tcW w:w="0" w:type="auto"/>
            <w:vAlign w:val="center"/>
          </w:tcPr>
          <w:p w:rsidR="000A156F" w:rsidRDefault="00A9721F">
            <w:pPr>
              <w:pStyle w:val="TableBodyText"/>
            </w:pPr>
            <w:r>
              <w:t>Portuguese</w:t>
            </w:r>
          </w:p>
        </w:tc>
        <w:tc>
          <w:tcPr>
            <w:tcW w:w="0" w:type="auto"/>
            <w:vAlign w:val="center"/>
          </w:tcPr>
          <w:p w:rsidR="000A156F" w:rsidRDefault="00A9721F">
            <w:pPr>
              <w:pStyle w:val="TableBodyText"/>
            </w:pPr>
            <w:r>
              <w:t>Brazil</w:t>
            </w:r>
          </w:p>
        </w:tc>
        <w:tc>
          <w:tcPr>
            <w:tcW w:w="0" w:type="auto"/>
            <w:vAlign w:val="center"/>
          </w:tcPr>
          <w:p w:rsidR="000A156F" w:rsidRDefault="00A9721F">
            <w:pPr>
              <w:pStyle w:val="TableBodyText"/>
            </w:pPr>
            <w:r>
              <w:t>pt-BR</w:t>
            </w:r>
          </w:p>
        </w:tc>
      </w:tr>
      <w:tr w:rsidR="000A156F" w:rsidTr="000A156F">
        <w:tc>
          <w:tcPr>
            <w:tcW w:w="0" w:type="auto"/>
            <w:vAlign w:val="center"/>
          </w:tcPr>
          <w:p w:rsidR="000A156F" w:rsidRDefault="00A9721F">
            <w:pPr>
              <w:pStyle w:val="TableBodyText"/>
            </w:pPr>
            <w:r>
              <w:t>Portuguese</w:t>
            </w:r>
          </w:p>
        </w:tc>
        <w:tc>
          <w:tcPr>
            <w:tcW w:w="0" w:type="auto"/>
            <w:vAlign w:val="center"/>
          </w:tcPr>
          <w:p w:rsidR="000A156F" w:rsidRDefault="00A9721F">
            <w:pPr>
              <w:pStyle w:val="TableBodyText"/>
            </w:pPr>
            <w:r>
              <w:t>Portugal</w:t>
            </w:r>
          </w:p>
        </w:tc>
        <w:tc>
          <w:tcPr>
            <w:tcW w:w="0" w:type="auto"/>
            <w:vAlign w:val="center"/>
          </w:tcPr>
          <w:p w:rsidR="000A156F" w:rsidRDefault="00A9721F">
            <w:pPr>
              <w:pStyle w:val="TableBodyText"/>
            </w:pPr>
            <w:r>
              <w:t>pt-PT</w:t>
            </w:r>
          </w:p>
        </w:tc>
      </w:tr>
      <w:tr w:rsidR="000A156F" w:rsidTr="000A156F">
        <w:tc>
          <w:tcPr>
            <w:tcW w:w="0" w:type="auto"/>
            <w:vAlign w:val="center"/>
          </w:tcPr>
          <w:p w:rsidR="000A156F" w:rsidRDefault="00A9721F">
            <w:pPr>
              <w:pStyle w:val="TableBodyText"/>
            </w:pPr>
            <w:r>
              <w:t>Punjabi (Gurmukhi Script)</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pa-IN</w:t>
            </w:r>
          </w:p>
        </w:tc>
      </w:tr>
      <w:tr w:rsidR="000A156F" w:rsidTr="000A156F">
        <w:tc>
          <w:tcPr>
            <w:tcW w:w="0" w:type="auto"/>
            <w:vAlign w:val="center"/>
          </w:tcPr>
          <w:p w:rsidR="000A156F" w:rsidRDefault="00A9721F">
            <w:pPr>
              <w:pStyle w:val="TableBodyText"/>
            </w:pPr>
            <w:r>
              <w:t>Quechua</w:t>
            </w:r>
          </w:p>
        </w:tc>
        <w:tc>
          <w:tcPr>
            <w:tcW w:w="0" w:type="auto"/>
            <w:vAlign w:val="center"/>
          </w:tcPr>
          <w:p w:rsidR="000A156F" w:rsidRDefault="00A9721F">
            <w:pPr>
              <w:pStyle w:val="TableBodyText"/>
            </w:pPr>
            <w:r>
              <w:t>Bolivia</w:t>
            </w:r>
          </w:p>
        </w:tc>
        <w:tc>
          <w:tcPr>
            <w:tcW w:w="0" w:type="auto"/>
            <w:vAlign w:val="center"/>
          </w:tcPr>
          <w:p w:rsidR="000A156F" w:rsidRDefault="00A9721F">
            <w:pPr>
              <w:pStyle w:val="TableBodyText"/>
            </w:pPr>
            <w:r>
              <w:t>quz-BO</w:t>
            </w:r>
          </w:p>
        </w:tc>
      </w:tr>
      <w:tr w:rsidR="000A156F" w:rsidTr="000A156F">
        <w:tc>
          <w:tcPr>
            <w:tcW w:w="0" w:type="auto"/>
            <w:vAlign w:val="center"/>
          </w:tcPr>
          <w:p w:rsidR="000A156F" w:rsidRDefault="00A9721F">
            <w:pPr>
              <w:pStyle w:val="TableBodyText"/>
            </w:pPr>
            <w:r>
              <w:t>Quechua</w:t>
            </w:r>
          </w:p>
        </w:tc>
        <w:tc>
          <w:tcPr>
            <w:tcW w:w="0" w:type="auto"/>
            <w:vAlign w:val="center"/>
          </w:tcPr>
          <w:p w:rsidR="000A156F" w:rsidRDefault="00A9721F">
            <w:pPr>
              <w:pStyle w:val="TableBodyText"/>
            </w:pPr>
            <w:r>
              <w:t>Ecuador</w:t>
            </w:r>
          </w:p>
        </w:tc>
        <w:tc>
          <w:tcPr>
            <w:tcW w:w="0" w:type="auto"/>
            <w:vAlign w:val="center"/>
          </w:tcPr>
          <w:p w:rsidR="000A156F" w:rsidRDefault="00A9721F">
            <w:pPr>
              <w:pStyle w:val="TableBodyText"/>
            </w:pPr>
            <w:r>
              <w:t>quz-EC</w:t>
            </w:r>
          </w:p>
        </w:tc>
      </w:tr>
      <w:tr w:rsidR="000A156F" w:rsidTr="000A156F">
        <w:tc>
          <w:tcPr>
            <w:tcW w:w="0" w:type="auto"/>
            <w:vAlign w:val="center"/>
          </w:tcPr>
          <w:p w:rsidR="000A156F" w:rsidRDefault="00A9721F">
            <w:pPr>
              <w:pStyle w:val="TableBodyText"/>
            </w:pPr>
            <w:r>
              <w:t>Quechua</w:t>
            </w:r>
          </w:p>
        </w:tc>
        <w:tc>
          <w:tcPr>
            <w:tcW w:w="0" w:type="auto"/>
            <w:vAlign w:val="center"/>
          </w:tcPr>
          <w:p w:rsidR="000A156F" w:rsidRDefault="00A9721F">
            <w:pPr>
              <w:pStyle w:val="TableBodyText"/>
            </w:pPr>
            <w:r>
              <w:t>Peru</w:t>
            </w:r>
          </w:p>
        </w:tc>
        <w:tc>
          <w:tcPr>
            <w:tcW w:w="0" w:type="auto"/>
            <w:vAlign w:val="center"/>
          </w:tcPr>
          <w:p w:rsidR="000A156F" w:rsidRDefault="00A9721F">
            <w:pPr>
              <w:pStyle w:val="TableBodyText"/>
            </w:pPr>
            <w:r>
              <w:t>quz-PE</w:t>
            </w:r>
          </w:p>
        </w:tc>
      </w:tr>
      <w:tr w:rsidR="000A156F" w:rsidTr="000A156F">
        <w:tc>
          <w:tcPr>
            <w:tcW w:w="0" w:type="auto"/>
            <w:vAlign w:val="center"/>
          </w:tcPr>
          <w:p w:rsidR="000A156F" w:rsidRDefault="00A9721F">
            <w:pPr>
              <w:pStyle w:val="TableBodyText"/>
            </w:pPr>
            <w:r>
              <w:t>Romanian</w:t>
            </w:r>
          </w:p>
        </w:tc>
        <w:tc>
          <w:tcPr>
            <w:tcW w:w="0" w:type="auto"/>
            <w:vAlign w:val="center"/>
          </w:tcPr>
          <w:p w:rsidR="000A156F" w:rsidRDefault="00A9721F">
            <w:pPr>
              <w:pStyle w:val="TableBodyText"/>
            </w:pPr>
            <w:r>
              <w:t>Romania</w:t>
            </w:r>
          </w:p>
        </w:tc>
        <w:tc>
          <w:tcPr>
            <w:tcW w:w="0" w:type="auto"/>
            <w:vAlign w:val="center"/>
          </w:tcPr>
          <w:p w:rsidR="000A156F" w:rsidRDefault="00A9721F">
            <w:pPr>
              <w:pStyle w:val="TableBodyText"/>
            </w:pPr>
            <w:r>
              <w:t>ro-RO</w:t>
            </w:r>
          </w:p>
        </w:tc>
      </w:tr>
      <w:tr w:rsidR="000A156F" w:rsidTr="000A156F">
        <w:tc>
          <w:tcPr>
            <w:tcW w:w="0" w:type="auto"/>
            <w:vAlign w:val="center"/>
          </w:tcPr>
          <w:p w:rsidR="000A156F" w:rsidRDefault="00A9721F">
            <w:pPr>
              <w:pStyle w:val="TableBodyText"/>
            </w:pPr>
            <w:r>
              <w:t>Romansh</w:t>
            </w:r>
          </w:p>
        </w:tc>
        <w:tc>
          <w:tcPr>
            <w:tcW w:w="0" w:type="auto"/>
            <w:vAlign w:val="center"/>
          </w:tcPr>
          <w:p w:rsidR="000A156F" w:rsidRDefault="00A9721F">
            <w:pPr>
              <w:pStyle w:val="TableBodyText"/>
            </w:pPr>
            <w:r>
              <w:t>Switzerland</w:t>
            </w:r>
          </w:p>
        </w:tc>
        <w:tc>
          <w:tcPr>
            <w:tcW w:w="0" w:type="auto"/>
            <w:vAlign w:val="center"/>
          </w:tcPr>
          <w:p w:rsidR="000A156F" w:rsidRDefault="00A9721F">
            <w:pPr>
              <w:pStyle w:val="TableBodyText"/>
            </w:pPr>
            <w:r>
              <w:t>rm-CH</w:t>
            </w:r>
          </w:p>
        </w:tc>
      </w:tr>
      <w:tr w:rsidR="000A156F" w:rsidTr="000A156F">
        <w:tc>
          <w:tcPr>
            <w:tcW w:w="0" w:type="auto"/>
            <w:vAlign w:val="center"/>
          </w:tcPr>
          <w:p w:rsidR="000A156F" w:rsidRDefault="00A9721F">
            <w:pPr>
              <w:pStyle w:val="TableBodyText"/>
            </w:pPr>
            <w:r>
              <w:t>Russian</w:t>
            </w:r>
          </w:p>
        </w:tc>
        <w:tc>
          <w:tcPr>
            <w:tcW w:w="0" w:type="auto"/>
            <w:vAlign w:val="center"/>
          </w:tcPr>
          <w:p w:rsidR="000A156F" w:rsidRDefault="00A9721F">
            <w:pPr>
              <w:pStyle w:val="TableBodyText"/>
            </w:pPr>
            <w:r>
              <w:t>Russia</w:t>
            </w:r>
          </w:p>
        </w:tc>
        <w:tc>
          <w:tcPr>
            <w:tcW w:w="0" w:type="auto"/>
            <w:vAlign w:val="center"/>
          </w:tcPr>
          <w:p w:rsidR="000A156F" w:rsidRDefault="00A9721F">
            <w:pPr>
              <w:pStyle w:val="TableBodyText"/>
            </w:pPr>
            <w:r>
              <w:t>ru-RU</w:t>
            </w:r>
          </w:p>
        </w:tc>
      </w:tr>
      <w:tr w:rsidR="000A156F" w:rsidTr="000A156F">
        <w:tc>
          <w:tcPr>
            <w:tcW w:w="0" w:type="auto"/>
            <w:vAlign w:val="center"/>
          </w:tcPr>
          <w:p w:rsidR="000A156F" w:rsidRDefault="00A9721F">
            <w:pPr>
              <w:pStyle w:val="TableBodyText"/>
            </w:pPr>
            <w:r>
              <w:t>Sakha</w:t>
            </w:r>
          </w:p>
        </w:tc>
        <w:tc>
          <w:tcPr>
            <w:tcW w:w="0" w:type="auto"/>
            <w:vAlign w:val="center"/>
          </w:tcPr>
          <w:p w:rsidR="000A156F" w:rsidRDefault="00A9721F">
            <w:pPr>
              <w:pStyle w:val="TableBodyText"/>
            </w:pPr>
            <w:r>
              <w:t>Russia</w:t>
            </w:r>
          </w:p>
        </w:tc>
        <w:tc>
          <w:tcPr>
            <w:tcW w:w="0" w:type="auto"/>
            <w:vAlign w:val="center"/>
          </w:tcPr>
          <w:p w:rsidR="000A156F" w:rsidRDefault="00A9721F">
            <w:pPr>
              <w:pStyle w:val="TableBodyText"/>
            </w:pPr>
            <w:r>
              <w:t>sah-RU</w:t>
            </w:r>
          </w:p>
        </w:tc>
      </w:tr>
      <w:tr w:rsidR="000A156F" w:rsidTr="000A156F">
        <w:tc>
          <w:tcPr>
            <w:tcW w:w="0" w:type="auto"/>
            <w:vAlign w:val="center"/>
          </w:tcPr>
          <w:p w:rsidR="000A156F" w:rsidRDefault="00A9721F">
            <w:pPr>
              <w:pStyle w:val="TableBodyText"/>
            </w:pPr>
            <w:r>
              <w:t>Sanskrit</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sa-IN</w:t>
            </w:r>
          </w:p>
        </w:tc>
      </w:tr>
      <w:tr w:rsidR="000A156F" w:rsidTr="000A156F">
        <w:tc>
          <w:tcPr>
            <w:tcW w:w="0" w:type="auto"/>
            <w:vAlign w:val="center"/>
          </w:tcPr>
          <w:p w:rsidR="000A156F" w:rsidRDefault="00A9721F">
            <w:pPr>
              <w:pStyle w:val="TableBodyText"/>
            </w:pPr>
            <w:r>
              <w:t>Serbian (Cyrillic)</w:t>
            </w:r>
          </w:p>
        </w:tc>
        <w:tc>
          <w:tcPr>
            <w:tcW w:w="0" w:type="auto"/>
            <w:vAlign w:val="center"/>
          </w:tcPr>
          <w:p w:rsidR="000A156F" w:rsidRDefault="00A9721F">
            <w:pPr>
              <w:pStyle w:val="TableBodyText"/>
            </w:pPr>
            <w:r>
              <w:t xml:space="preserve">Bosnia and Herzegovina </w:t>
            </w:r>
          </w:p>
        </w:tc>
        <w:tc>
          <w:tcPr>
            <w:tcW w:w="0" w:type="auto"/>
            <w:vAlign w:val="center"/>
          </w:tcPr>
          <w:p w:rsidR="000A156F" w:rsidRDefault="00A9721F">
            <w:pPr>
              <w:pStyle w:val="TableBodyText"/>
            </w:pPr>
            <w:r>
              <w:t>sr-BA-Cyrl</w:t>
            </w:r>
          </w:p>
        </w:tc>
      </w:tr>
      <w:tr w:rsidR="000A156F" w:rsidTr="000A156F">
        <w:tc>
          <w:tcPr>
            <w:tcW w:w="0" w:type="auto"/>
            <w:vAlign w:val="center"/>
          </w:tcPr>
          <w:p w:rsidR="000A156F" w:rsidRDefault="00A9721F">
            <w:pPr>
              <w:pStyle w:val="TableBodyText"/>
            </w:pPr>
            <w:r>
              <w:t>Serbian (Cyrillic)</w:t>
            </w:r>
          </w:p>
        </w:tc>
        <w:tc>
          <w:tcPr>
            <w:tcW w:w="0" w:type="auto"/>
            <w:vAlign w:val="center"/>
          </w:tcPr>
          <w:p w:rsidR="000A156F" w:rsidRDefault="00A9721F">
            <w:pPr>
              <w:pStyle w:val="TableBodyText"/>
            </w:pPr>
            <w:r>
              <w:t>Serbia and Montenegro (former)</w:t>
            </w:r>
          </w:p>
        </w:tc>
        <w:tc>
          <w:tcPr>
            <w:tcW w:w="0" w:type="auto"/>
            <w:vAlign w:val="center"/>
          </w:tcPr>
          <w:p w:rsidR="000A156F" w:rsidRDefault="00A9721F">
            <w:pPr>
              <w:pStyle w:val="TableBodyText"/>
            </w:pPr>
            <w:r>
              <w:t>sr-SP-Cyrl</w:t>
            </w:r>
          </w:p>
        </w:tc>
      </w:tr>
      <w:tr w:rsidR="000A156F" w:rsidTr="000A156F">
        <w:tc>
          <w:tcPr>
            <w:tcW w:w="0" w:type="auto"/>
            <w:vAlign w:val="center"/>
          </w:tcPr>
          <w:p w:rsidR="000A156F" w:rsidRDefault="00A9721F">
            <w:pPr>
              <w:pStyle w:val="TableBodyText"/>
            </w:pPr>
            <w:r>
              <w:lastRenderedPageBreak/>
              <w:t>Serbian (Latin)</w:t>
            </w:r>
          </w:p>
        </w:tc>
        <w:tc>
          <w:tcPr>
            <w:tcW w:w="0" w:type="auto"/>
            <w:vAlign w:val="center"/>
          </w:tcPr>
          <w:p w:rsidR="000A156F" w:rsidRDefault="00A9721F">
            <w:pPr>
              <w:pStyle w:val="TableBodyText"/>
            </w:pPr>
            <w:r>
              <w:t xml:space="preserve">Bosnia and Herzegovina </w:t>
            </w:r>
          </w:p>
        </w:tc>
        <w:tc>
          <w:tcPr>
            <w:tcW w:w="0" w:type="auto"/>
            <w:vAlign w:val="center"/>
          </w:tcPr>
          <w:p w:rsidR="000A156F" w:rsidRDefault="00A9721F">
            <w:pPr>
              <w:pStyle w:val="TableBodyText"/>
            </w:pPr>
            <w:r>
              <w:t>sr-BA-Latn</w:t>
            </w:r>
          </w:p>
        </w:tc>
      </w:tr>
      <w:tr w:rsidR="000A156F" w:rsidTr="000A156F">
        <w:tc>
          <w:tcPr>
            <w:tcW w:w="0" w:type="auto"/>
            <w:vAlign w:val="center"/>
          </w:tcPr>
          <w:p w:rsidR="000A156F" w:rsidRDefault="00A9721F">
            <w:pPr>
              <w:pStyle w:val="TableBodyText"/>
            </w:pPr>
            <w:r>
              <w:t>Serbian (Latin)</w:t>
            </w:r>
          </w:p>
        </w:tc>
        <w:tc>
          <w:tcPr>
            <w:tcW w:w="0" w:type="auto"/>
            <w:vAlign w:val="center"/>
          </w:tcPr>
          <w:p w:rsidR="000A156F" w:rsidRDefault="00A9721F">
            <w:pPr>
              <w:pStyle w:val="TableBodyText"/>
            </w:pPr>
            <w:r>
              <w:t xml:space="preserve">Serbia and Montenegro </w:t>
            </w:r>
            <w:r>
              <w:t>(former)</w:t>
            </w:r>
          </w:p>
        </w:tc>
        <w:tc>
          <w:tcPr>
            <w:tcW w:w="0" w:type="auto"/>
            <w:vAlign w:val="center"/>
          </w:tcPr>
          <w:p w:rsidR="000A156F" w:rsidRDefault="00A9721F">
            <w:pPr>
              <w:pStyle w:val="TableBodyText"/>
            </w:pPr>
            <w:r>
              <w:t>sr-SP-Latn</w:t>
            </w:r>
          </w:p>
        </w:tc>
      </w:tr>
      <w:tr w:rsidR="000A156F" w:rsidTr="000A156F">
        <w:tc>
          <w:tcPr>
            <w:tcW w:w="0" w:type="auto"/>
            <w:vAlign w:val="center"/>
          </w:tcPr>
          <w:p w:rsidR="000A156F" w:rsidRDefault="00A9721F">
            <w:pPr>
              <w:pStyle w:val="TableBodyText"/>
            </w:pPr>
            <w:r>
              <w:t>Sesotho sa Leboa / Northern Sotho</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ns-ZA</w:t>
            </w:r>
          </w:p>
        </w:tc>
      </w:tr>
      <w:tr w:rsidR="000A156F" w:rsidTr="000A156F">
        <w:tc>
          <w:tcPr>
            <w:tcW w:w="0" w:type="auto"/>
            <w:vAlign w:val="center"/>
          </w:tcPr>
          <w:p w:rsidR="000A156F" w:rsidRDefault="00A9721F">
            <w:pPr>
              <w:pStyle w:val="TableBodyText"/>
            </w:pPr>
            <w:r>
              <w:t>Setswana / Tswana</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tn-ZA</w:t>
            </w:r>
          </w:p>
        </w:tc>
      </w:tr>
      <w:tr w:rsidR="000A156F" w:rsidTr="000A156F">
        <w:tc>
          <w:tcPr>
            <w:tcW w:w="0" w:type="auto"/>
            <w:vAlign w:val="center"/>
          </w:tcPr>
          <w:p w:rsidR="000A156F" w:rsidRDefault="00A9721F">
            <w:pPr>
              <w:pStyle w:val="TableBodyText"/>
            </w:pPr>
            <w:r>
              <w:t>Sinhala</w:t>
            </w:r>
          </w:p>
        </w:tc>
        <w:tc>
          <w:tcPr>
            <w:tcW w:w="0" w:type="auto"/>
            <w:vAlign w:val="center"/>
          </w:tcPr>
          <w:p w:rsidR="000A156F" w:rsidRDefault="00A9721F">
            <w:pPr>
              <w:pStyle w:val="TableBodyText"/>
            </w:pPr>
            <w:r>
              <w:t>Sri Lanka</w:t>
            </w:r>
          </w:p>
        </w:tc>
        <w:tc>
          <w:tcPr>
            <w:tcW w:w="0" w:type="auto"/>
            <w:vAlign w:val="center"/>
          </w:tcPr>
          <w:p w:rsidR="000A156F" w:rsidRDefault="00A9721F">
            <w:pPr>
              <w:pStyle w:val="TableBodyText"/>
            </w:pPr>
            <w:r>
              <w:t>si-LK</w:t>
            </w:r>
          </w:p>
        </w:tc>
      </w:tr>
      <w:tr w:rsidR="000A156F" w:rsidTr="000A156F">
        <w:tc>
          <w:tcPr>
            <w:tcW w:w="0" w:type="auto"/>
            <w:vAlign w:val="center"/>
          </w:tcPr>
          <w:p w:rsidR="000A156F" w:rsidRDefault="00A9721F">
            <w:pPr>
              <w:pStyle w:val="TableBodyText"/>
            </w:pPr>
            <w:r>
              <w:t>Skolt Sami</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sms-FI</w:t>
            </w:r>
          </w:p>
        </w:tc>
      </w:tr>
      <w:tr w:rsidR="000A156F" w:rsidTr="000A156F">
        <w:tc>
          <w:tcPr>
            <w:tcW w:w="0" w:type="auto"/>
            <w:vAlign w:val="center"/>
          </w:tcPr>
          <w:p w:rsidR="000A156F" w:rsidRDefault="00A9721F">
            <w:pPr>
              <w:pStyle w:val="TableBodyText"/>
            </w:pPr>
            <w:r>
              <w:t>Slovak</w:t>
            </w:r>
          </w:p>
        </w:tc>
        <w:tc>
          <w:tcPr>
            <w:tcW w:w="0" w:type="auto"/>
            <w:vAlign w:val="center"/>
          </w:tcPr>
          <w:p w:rsidR="000A156F" w:rsidRDefault="00A9721F">
            <w:pPr>
              <w:pStyle w:val="TableBodyText"/>
            </w:pPr>
            <w:r>
              <w:t>Slovakia</w:t>
            </w:r>
          </w:p>
        </w:tc>
        <w:tc>
          <w:tcPr>
            <w:tcW w:w="0" w:type="auto"/>
            <w:vAlign w:val="center"/>
          </w:tcPr>
          <w:p w:rsidR="000A156F" w:rsidRDefault="00A9721F">
            <w:pPr>
              <w:pStyle w:val="TableBodyText"/>
            </w:pPr>
            <w:r>
              <w:t>sk-SK</w:t>
            </w:r>
          </w:p>
        </w:tc>
      </w:tr>
      <w:tr w:rsidR="000A156F" w:rsidTr="000A156F">
        <w:tc>
          <w:tcPr>
            <w:tcW w:w="0" w:type="auto"/>
            <w:vAlign w:val="center"/>
          </w:tcPr>
          <w:p w:rsidR="000A156F" w:rsidRDefault="00A9721F">
            <w:pPr>
              <w:pStyle w:val="TableBodyText"/>
            </w:pPr>
            <w:r>
              <w:t>Slovenian</w:t>
            </w:r>
          </w:p>
        </w:tc>
        <w:tc>
          <w:tcPr>
            <w:tcW w:w="0" w:type="auto"/>
            <w:vAlign w:val="center"/>
          </w:tcPr>
          <w:p w:rsidR="000A156F" w:rsidRDefault="00A9721F">
            <w:pPr>
              <w:pStyle w:val="TableBodyText"/>
            </w:pPr>
            <w:r>
              <w:t>Slovenia</w:t>
            </w:r>
          </w:p>
        </w:tc>
        <w:tc>
          <w:tcPr>
            <w:tcW w:w="0" w:type="auto"/>
            <w:vAlign w:val="center"/>
          </w:tcPr>
          <w:p w:rsidR="000A156F" w:rsidRDefault="00A9721F">
            <w:pPr>
              <w:pStyle w:val="TableBodyText"/>
            </w:pPr>
            <w:r>
              <w:t>sl-SI</w:t>
            </w:r>
          </w:p>
        </w:tc>
      </w:tr>
      <w:tr w:rsidR="000A156F" w:rsidTr="000A156F">
        <w:tc>
          <w:tcPr>
            <w:tcW w:w="0" w:type="auto"/>
            <w:vAlign w:val="center"/>
          </w:tcPr>
          <w:p w:rsidR="000A156F" w:rsidRDefault="00A9721F">
            <w:pPr>
              <w:pStyle w:val="TableBodyText"/>
            </w:pPr>
            <w:r>
              <w:t>Southern Sami</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sma-NO</w:t>
            </w:r>
          </w:p>
        </w:tc>
      </w:tr>
      <w:tr w:rsidR="000A156F" w:rsidTr="000A156F">
        <w:tc>
          <w:tcPr>
            <w:tcW w:w="0" w:type="auto"/>
            <w:vAlign w:val="center"/>
          </w:tcPr>
          <w:p w:rsidR="000A156F" w:rsidRDefault="00A9721F">
            <w:pPr>
              <w:pStyle w:val="TableBodyText"/>
            </w:pPr>
            <w:r>
              <w:t>Southern Sami</w:t>
            </w:r>
          </w:p>
        </w:tc>
        <w:tc>
          <w:tcPr>
            <w:tcW w:w="0" w:type="auto"/>
            <w:vAlign w:val="center"/>
          </w:tcPr>
          <w:p w:rsidR="000A156F" w:rsidRDefault="00A9721F">
            <w:pPr>
              <w:pStyle w:val="TableBodyText"/>
            </w:pPr>
            <w:r>
              <w:t>Sweden</w:t>
            </w:r>
          </w:p>
        </w:tc>
        <w:tc>
          <w:tcPr>
            <w:tcW w:w="0" w:type="auto"/>
            <w:vAlign w:val="center"/>
          </w:tcPr>
          <w:p w:rsidR="000A156F" w:rsidRDefault="00A9721F">
            <w:pPr>
              <w:pStyle w:val="TableBodyText"/>
            </w:pPr>
            <w:r>
              <w:t>sma-SE</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Argentina</w:t>
            </w:r>
          </w:p>
        </w:tc>
        <w:tc>
          <w:tcPr>
            <w:tcW w:w="0" w:type="auto"/>
            <w:vAlign w:val="center"/>
          </w:tcPr>
          <w:p w:rsidR="000A156F" w:rsidRDefault="00A9721F">
            <w:pPr>
              <w:pStyle w:val="TableBodyText"/>
            </w:pPr>
            <w:r>
              <w:t>es-AR</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Bolivia</w:t>
            </w:r>
          </w:p>
        </w:tc>
        <w:tc>
          <w:tcPr>
            <w:tcW w:w="0" w:type="auto"/>
            <w:vAlign w:val="center"/>
          </w:tcPr>
          <w:p w:rsidR="000A156F" w:rsidRDefault="00A9721F">
            <w:pPr>
              <w:pStyle w:val="TableBodyText"/>
            </w:pPr>
            <w:r>
              <w:t>es-BO</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Chile</w:t>
            </w:r>
          </w:p>
        </w:tc>
        <w:tc>
          <w:tcPr>
            <w:tcW w:w="0" w:type="auto"/>
            <w:vAlign w:val="center"/>
          </w:tcPr>
          <w:p w:rsidR="000A156F" w:rsidRDefault="00A9721F">
            <w:pPr>
              <w:pStyle w:val="TableBodyText"/>
            </w:pPr>
            <w:r>
              <w:t>es-CL</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Columbia</w:t>
            </w:r>
          </w:p>
        </w:tc>
        <w:tc>
          <w:tcPr>
            <w:tcW w:w="0" w:type="auto"/>
            <w:vAlign w:val="center"/>
          </w:tcPr>
          <w:p w:rsidR="000A156F" w:rsidRDefault="00A9721F">
            <w:pPr>
              <w:pStyle w:val="TableBodyText"/>
            </w:pPr>
            <w:r>
              <w:t>es-CO</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Costa Rica</w:t>
            </w:r>
          </w:p>
        </w:tc>
        <w:tc>
          <w:tcPr>
            <w:tcW w:w="0" w:type="auto"/>
            <w:vAlign w:val="center"/>
          </w:tcPr>
          <w:p w:rsidR="000A156F" w:rsidRDefault="00A9721F">
            <w:pPr>
              <w:pStyle w:val="TableBodyText"/>
            </w:pPr>
            <w:r>
              <w:t>es-CR</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Dominican Republic</w:t>
            </w:r>
          </w:p>
        </w:tc>
        <w:tc>
          <w:tcPr>
            <w:tcW w:w="0" w:type="auto"/>
            <w:vAlign w:val="center"/>
          </w:tcPr>
          <w:p w:rsidR="000A156F" w:rsidRDefault="00A9721F">
            <w:pPr>
              <w:pStyle w:val="TableBodyText"/>
            </w:pPr>
            <w:r>
              <w:t>es-DO</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Ecuador</w:t>
            </w:r>
          </w:p>
        </w:tc>
        <w:tc>
          <w:tcPr>
            <w:tcW w:w="0" w:type="auto"/>
            <w:vAlign w:val="center"/>
          </w:tcPr>
          <w:p w:rsidR="000A156F" w:rsidRDefault="00A9721F">
            <w:pPr>
              <w:pStyle w:val="TableBodyText"/>
            </w:pPr>
            <w:r>
              <w:t>es-EC</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El Salvador</w:t>
            </w:r>
          </w:p>
        </w:tc>
        <w:tc>
          <w:tcPr>
            <w:tcW w:w="0" w:type="auto"/>
            <w:vAlign w:val="center"/>
          </w:tcPr>
          <w:p w:rsidR="000A156F" w:rsidRDefault="00A9721F">
            <w:pPr>
              <w:pStyle w:val="TableBodyText"/>
            </w:pPr>
            <w:r>
              <w:t>es-SV</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Guatemala</w:t>
            </w:r>
          </w:p>
        </w:tc>
        <w:tc>
          <w:tcPr>
            <w:tcW w:w="0" w:type="auto"/>
            <w:vAlign w:val="center"/>
          </w:tcPr>
          <w:p w:rsidR="000A156F" w:rsidRDefault="00A9721F">
            <w:pPr>
              <w:pStyle w:val="TableBodyText"/>
            </w:pPr>
            <w:r>
              <w:t>es-GT</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Honduras</w:t>
            </w:r>
          </w:p>
        </w:tc>
        <w:tc>
          <w:tcPr>
            <w:tcW w:w="0" w:type="auto"/>
            <w:vAlign w:val="center"/>
          </w:tcPr>
          <w:p w:rsidR="000A156F" w:rsidRDefault="00A9721F">
            <w:pPr>
              <w:pStyle w:val="TableBodyText"/>
            </w:pPr>
            <w:r>
              <w:t>es-HN</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Mexico</w:t>
            </w:r>
          </w:p>
        </w:tc>
        <w:tc>
          <w:tcPr>
            <w:tcW w:w="0" w:type="auto"/>
            <w:vAlign w:val="center"/>
          </w:tcPr>
          <w:p w:rsidR="000A156F" w:rsidRDefault="00A9721F">
            <w:pPr>
              <w:pStyle w:val="TableBodyText"/>
            </w:pPr>
            <w:r>
              <w:t>es-MX</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Nicaragua</w:t>
            </w:r>
          </w:p>
        </w:tc>
        <w:tc>
          <w:tcPr>
            <w:tcW w:w="0" w:type="auto"/>
            <w:vAlign w:val="center"/>
          </w:tcPr>
          <w:p w:rsidR="000A156F" w:rsidRDefault="00A9721F">
            <w:pPr>
              <w:pStyle w:val="TableBodyText"/>
            </w:pPr>
            <w:r>
              <w:t>es-NI</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Panama</w:t>
            </w:r>
          </w:p>
        </w:tc>
        <w:tc>
          <w:tcPr>
            <w:tcW w:w="0" w:type="auto"/>
            <w:vAlign w:val="center"/>
          </w:tcPr>
          <w:p w:rsidR="000A156F" w:rsidRDefault="00A9721F">
            <w:pPr>
              <w:pStyle w:val="TableBodyText"/>
            </w:pPr>
            <w:r>
              <w:t>es-PA</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Paraguay</w:t>
            </w:r>
          </w:p>
        </w:tc>
        <w:tc>
          <w:tcPr>
            <w:tcW w:w="0" w:type="auto"/>
            <w:vAlign w:val="center"/>
          </w:tcPr>
          <w:p w:rsidR="000A156F" w:rsidRDefault="00A9721F">
            <w:pPr>
              <w:pStyle w:val="TableBodyText"/>
            </w:pPr>
            <w:r>
              <w:t>es-PY</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Peru</w:t>
            </w:r>
          </w:p>
        </w:tc>
        <w:tc>
          <w:tcPr>
            <w:tcW w:w="0" w:type="auto"/>
            <w:vAlign w:val="center"/>
          </w:tcPr>
          <w:p w:rsidR="000A156F" w:rsidRDefault="00A9721F">
            <w:pPr>
              <w:pStyle w:val="TableBodyText"/>
            </w:pPr>
            <w:r>
              <w:t>es-PE</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Puerto Rico</w:t>
            </w:r>
          </w:p>
        </w:tc>
        <w:tc>
          <w:tcPr>
            <w:tcW w:w="0" w:type="auto"/>
            <w:vAlign w:val="center"/>
          </w:tcPr>
          <w:p w:rsidR="000A156F" w:rsidRDefault="00A9721F">
            <w:pPr>
              <w:pStyle w:val="TableBodyText"/>
            </w:pPr>
            <w:r>
              <w:t>es-PR</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Spain</w:t>
            </w:r>
          </w:p>
        </w:tc>
        <w:tc>
          <w:tcPr>
            <w:tcW w:w="0" w:type="auto"/>
            <w:vAlign w:val="center"/>
          </w:tcPr>
          <w:p w:rsidR="000A156F" w:rsidRDefault="00A9721F">
            <w:pPr>
              <w:pStyle w:val="TableBodyText"/>
            </w:pPr>
            <w:r>
              <w:t>es-ES</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United States</w:t>
            </w:r>
          </w:p>
        </w:tc>
        <w:tc>
          <w:tcPr>
            <w:tcW w:w="0" w:type="auto"/>
            <w:vAlign w:val="center"/>
          </w:tcPr>
          <w:p w:rsidR="000A156F" w:rsidRDefault="00A9721F">
            <w:pPr>
              <w:pStyle w:val="TableBodyText"/>
            </w:pPr>
            <w:r>
              <w:t>es-US</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Uruguay</w:t>
            </w:r>
          </w:p>
        </w:tc>
        <w:tc>
          <w:tcPr>
            <w:tcW w:w="0" w:type="auto"/>
            <w:vAlign w:val="center"/>
          </w:tcPr>
          <w:p w:rsidR="000A156F" w:rsidRDefault="00A9721F">
            <w:pPr>
              <w:pStyle w:val="TableBodyText"/>
            </w:pPr>
            <w:r>
              <w:t>es-UY</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Venezuela</w:t>
            </w:r>
          </w:p>
        </w:tc>
        <w:tc>
          <w:tcPr>
            <w:tcW w:w="0" w:type="auto"/>
            <w:vAlign w:val="center"/>
          </w:tcPr>
          <w:p w:rsidR="000A156F" w:rsidRDefault="00A9721F">
            <w:pPr>
              <w:pStyle w:val="TableBodyText"/>
            </w:pPr>
            <w:r>
              <w:t>es-VE</w:t>
            </w:r>
          </w:p>
        </w:tc>
      </w:tr>
      <w:tr w:rsidR="000A156F" w:rsidTr="000A156F">
        <w:tc>
          <w:tcPr>
            <w:tcW w:w="0" w:type="auto"/>
            <w:vAlign w:val="center"/>
          </w:tcPr>
          <w:p w:rsidR="000A156F" w:rsidRDefault="00A9721F">
            <w:pPr>
              <w:pStyle w:val="TableBodyText"/>
            </w:pPr>
            <w:r>
              <w:t>Swahili</w:t>
            </w:r>
          </w:p>
        </w:tc>
        <w:tc>
          <w:tcPr>
            <w:tcW w:w="0" w:type="auto"/>
            <w:vAlign w:val="center"/>
          </w:tcPr>
          <w:p w:rsidR="000A156F" w:rsidRDefault="00A9721F">
            <w:pPr>
              <w:pStyle w:val="TableBodyText"/>
            </w:pPr>
            <w:r>
              <w:t>Kenya</w:t>
            </w:r>
          </w:p>
        </w:tc>
        <w:tc>
          <w:tcPr>
            <w:tcW w:w="0" w:type="auto"/>
            <w:vAlign w:val="center"/>
          </w:tcPr>
          <w:p w:rsidR="000A156F" w:rsidRDefault="00A9721F">
            <w:pPr>
              <w:pStyle w:val="TableBodyText"/>
            </w:pPr>
            <w:r>
              <w:t>sw-KE</w:t>
            </w:r>
          </w:p>
        </w:tc>
      </w:tr>
      <w:tr w:rsidR="000A156F" w:rsidTr="000A156F">
        <w:tc>
          <w:tcPr>
            <w:tcW w:w="0" w:type="auto"/>
            <w:vAlign w:val="center"/>
          </w:tcPr>
          <w:p w:rsidR="000A156F" w:rsidRDefault="00A9721F">
            <w:pPr>
              <w:pStyle w:val="TableBodyText"/>
            </w:pPr>
            <w:r>
              <w:t>Swedish</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sv-FI</w:t>
            </w:r>
          </w:p>
        </w:tc>
      </w:tr>
      <w:tr w:rsidR="000A156F" w:rsidTr="000A156F">
        <w:tc>
          <w:tcPr>
            <w:tcW w:w="0" w:type="auto"/>
            <w:vAlign w:val="center"/>
          </w:tcPr>
          <w:p w:rsidR="000A156F" w:rsidRDefault="00A9721F">
            <w:pPr>
              <w:pStyle w:val="TableBodyText"/>
            </w:pPr>
            <w:r>
              <w:lastRenderedPageBreak/>
              <w:t>Swedish</w:t>
            </w:r>
          </w:p>
        </w:tc>
        <w:tc>
          <w:tcPr>
            <w:tcW w:w="0" w:type="auto"/>
            <w:vAlign w:val="center"/>
          </w:tcPr>
          <w:p w:rsidR="000A156F" w:rsidRDefault="00A9721F">
            <w:pPr>
              <w:pStyle w:val="TableBodyText"/>
            </w:pPr>
            <w:r>
              <w:t>Sweden</w:t>
            </w:r>
          </w:p>
        </w:tc>
        <w:tc>
          <w:tcPr>
            <w:tcW w:w="0" w:type="auto"/>
            <w:vAlign w:val="center"/>
          </w:tcPr>
          <w:p w:rsidR="000A156F" w:rsidRDefault="00A9721F">
            <w:pPr>
              <w:pStyle w:val="TableBodyText"/>
            </w:pPr>
            <w:r>
              <w:t>sv-SE</w:t>
            </w:r>
          </w:p>
        </w:tc>
      </w:tr>
      <w:tr w:rsidR="000A156F" w:rsidTr="000A156F">
        <w:tc>
          <w:tcPr>
            <w:tcW w:w="0" w:type="auto"/>
            <w:vAlign w:val="center"/>
          </w:tcPr>
          <w:p w:rsidR="000A156F" w:rsidRDefault="00A9721F">
            <w:pPr>
              <w:pStyle w:val="TableBodyText"/>
            </w:pPr>
            <w:r>
              <w:t>Syriac</w:t>
            </w:r>
          </w:p>
        </w:tc>
        <w:tc>
          <w:tcPr>
            <w:tcW w:w="0" w:type="auto"/>
            <w:vAlign w:val="center"/>
          </w:tcPr>
          <w:p w:rsidR="000A156F" w:rsidRDefault="00A9721F">
            <w:pPr>
              <w:pStyle w:val="TableBodyText"/>
            </w:pPr>
            <w:r>
              <w:t>Syria</w:t>
            </w:r>
          </w:p>
        </w:tc>
        <w:tc>
          <w:tcPr>
            <w:tcW w:w="0" w:type="auto"/>
            <w:vAlign w:val="center"/>
          </w:tcPr>
          <w:p w:rsidR="000A156F" w:rsidRDefault="00A9721F">
            <w:pPr>
              <w:pStyle w:val="TableBodyText"/>
            </w:pPr>
            <w:r>
              <w:t>syr-SY</w:t>
            </w:r>
          </w:p>
        </w:tc>
      </w:tr>
      <w:tr w:rsidR="000A156F" w:rsidTr="000A156F">
        <w:tc>
          <w:tcPr>
            <w:tcW w:w="0" w:type="auto"/>
            <w:vAlign w:val="center"/>
          </w:tcPr>
          <w:p w:rsidR="000A156F" w:rsidRDefault="00A9721F">
            <w:pPr>
              <w:pStyle w:val="TableBodyText"/>
            </w:pPr>
            <w:r>
              <w:t>Tajik (Cyrillic)</w:t>
            </w:r>
          </w:p>
        </w:tc>
        <w:tc>
          <w:tcPr>
            <w:tcW w:w="0" w:type="auto"/>
            <w:vAlign w:val="center"/>
          </w:tcPr>
          <w:p w:rsidR="000A156F" w:rsidRDefault="00A9721F">
            <w:pPr>
              <w:pStyle w:val="TableBodyText"/>
            </w:pPr>
            <w:r>
              <w:t>Tajikistan</w:t>
            </w:r>
          </w:p>
        </w:tc>
        <w:tc>
          <w:tcPr>
            <w:tcW w:w="0" w:type="auto"/>
            <w:vAlign w:val="center"/>
          </w:tcPr>
          <w:p w:rsidR="000A156F" w:rsidRDefault="00A9721F">
            <w:pPr>
              <w:pStyle w:val="TableBodyText"/>
            </w:pPr>
            <w:r>
              <w:t>tg-TJ-Cyrl</w:t>
            </w:r>
          </w:p>
        </w:tc>
      </w:tr>
      <w:tr w:rsidR="000A156F" w:rsidTr="000A156F">
        <w:tc>
          <w:tcPr>
            <w:tcW w:w="0" w:type="auto"/>
            <w:vAlign w:val="center"/>
          </w:tcPr>
          <w:p w:rsidR="000A156F" w:rsidRDefault="00A9721F">
            <w:pPr>
              <w:pStyle w:val="TableBodyText"/>
            </w:pPr>
            <w:r>
              <w:t>Tamazight (Latin)</w:t>
            </w:r>
          </w:p>
        </w:tc>
        <w:tc>
          <w:tcPr>
            <w:tcW w:w="0" w:type="auto"/>
            <w:vAlign w:val="center"/>
          </w:tcPr>
          <w:p w:rsidR="000A156F" w:rsidRDefault="00A9721F">
            <w:pPr>
              <w:pStyle w:val="TableBodyText"/>
            </w:pPr>
            <w:r>
              <w:t>Algeria</w:t>
            </w:r>
          </w:p>
        </w:tc>
        <w:tc>
          <w:tcPr>
            <w:tcW w:w="0" w:type="auto"/>
            <w:vAlign w:val="center"/>
          </w:tcPr>
          <w:p w:rsidR="000A156F" w:rsidRDefault="00A9721F">
            <w:pPr>
              <w:pStyle w:val="TableBodyText"/>
            </w:pPr>
            <w:r>
              <w:t>tmz-DZ-Latn</w:t>
            </w:r>
          </w:p>
        </w:tc>
      </w:tr>
      <w:tr w:rsidR="000A156F" w:rsidTr="000A156F">
        <w:tc>
          <w:tcPr>
            <w:tcW w:w="0" w:type="auto"/>
            <w:vAlign w:val="center"/>
          </w:tcPr>
          <w:p w:rsidR="000A156F" w:rsidRDefault="00A9721F">
            <w:pPr>
              <w:pStyle w:val="TableBodyText"/>
            </w:pPr>
            <w:r>
              <w:t>Tamil</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ta-IN</w:t>
            </w:r>
          </w:p>
        </w:tc>
      </w:tr>
      <w:tr w:rsidR="000A156F" w:rsidTr="000A156F">
        <w:tc>
          <w:tcPr>
            <w:tcW w:w="0" w:type="auto"/>
            <w:vAlign w:val="center"/>
          </w:tcPr>
          <w:p w:rsidR="000A156F" w:rsidRDefault="00A9721F">
            <w:pPr>
              <w:pStyle w:val="TableBodyText"/>
            </w:pPr>
            <w:r>
              <w:t>Tatar</w:t>
            </w:r>
          </w:p>
        </w:tc>
        <w:tc>
          <w:tcPr>
            <w:tcW w:w="0" w:type="auto"/>
            <w:vAlign w:val="center"/>
          </w:tcPr>
          <w:p w:rsidR="000A156F" w:rsidRDefault="00A9721F">
            <w:pPr>
              <w:pStyle w:val="TableBodyText"/>
            </w:pPr>
            <w:r>
              <w:t>Russia</w:t>
            </w:r>
          </w:p>
        </w:tc>
        <w:tc>
          <w:tcPr>
            <w:tcW w:w="0" w:type="auto"/>
            <w:vAlign w:val="center"/>
          </w:tcPr>
          <w:p w:rsidR="000A156F" w:rsidRDefault="00A9721F">
            <w:pPr>
              <w:pStyle w:val="TableBodyText"/>
            </w:pPr>
            <w:r>
              <w:t>tt-RU</w:t>
            </w:r>
          </w:p>
        </w:tc>
      </w:tr>
      <w:tr w:rsidR="000A156F" w:rsidTr="000A156F">
        <w:tc>
          <w:tcPr>
            <w:tcW w:w="0" w:type="auto"/>
            <w:vAlign w:val="center"/>
          </w:tcPr>
          <w:p w:rsidR="000A156F" w:rsidRDefault="00A9721F">
            <w:pPr>
              <w:pStyle w:val="TableBodyText"/>
            </w:pPr>
            <w:r>
              <w:t>Telugu (Telugu Script)</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te-IN</w:t>
            </w:r>
          </w:p>
        </w:tc>
      </w:tr>
      <w:tr w:rsidR="000A156F" w:rsidTr="000A156F">
        <w:tc>
          <w:tcPr>
            <w:tcW w:w="0" w:type="auto"/>
            <w:vAlign w:val="center"/>
          </w:tcPr>
          <w:p w:rsidR="000A156F" w:rsidRDefault="00A9721F">
            <w:pPr>
              <w:pStyle w:val="TableBodyText"/>
            </w:pPr>
            <w:r>
              <w:t xml:space="preserve">Thai </w:t>
            </w:r>
          </w:p>
        </w:tc>
        <w:tc>
          <w:tcPr>
            <w:tcW w:w="0" w:type="auto"/>
            <w:vAlign w:val="center"/>
          </w:tcPr>
          <w:p w:rsidR="000A156F" w:rsidRDefault="00A9721F">
            <w:pPr>
              <w:pStyle w:val="TableBodyText"/>
            </w:pPr>
            <w:r>
              <w:t>Thailand</w:t>
            </w:r>
          </w:p>
        </w:tc>
        <w:tc>
          <w:tcPr>
            <w:tcW w:w="0" w:type="auto"/>
            <w:vAlign w:val="center"/>
          </w:tcPr>
          <w:p w:rsidR="000A156F" w:rsidRDefault="00A9721F">
            <w:pPr>
              <w:pStyle w:val="TableBodyText"/>
            </w:pPr>
            <w:r>
              <w:t>th-TH</w:t>
            </w:r>
          </w:p>
        </w:tc>
      </w:tr>
      <w:tr w:rsidR="000A156F" w:rsidTr="000A156F">
        <w:tc>
          <w:tcPr>
            <w:tcW w:w="0" w:type="auto"/>
            <w:vAlign w:val="center"/>
          </w:tcPr>
          <w:p w:rsidR="000A156F" w:rsidRDefault="00A9721F">
            <w:pPr>
              <w:pStyle w:val="TableBodyText"/>
            </w:pPr>
            <w:r>
              <w:t>Tibetan</w:t>
            </w:r>
          </w:p>
        </w:tc>
        <w:tc>
          <w:tcPr>
            <w:tcW w:w="0" w:type="auto"/>
            <w:vAlign w:val="center"/>
          </w:tcPr>
          <w:p w:rsidR="000A156F" w:rsidRDefault="00A9721F">
            <w:pPr>
              <w:pStyle w:val="TableBodyText"/>
            </w:pPr>
            <w:r>
              <w:t>Bhutan</w:t>
            </w:r>
          </w:p>
        </w:tc>
        <w:tc>
          <w:tcPr>
            <w:tcW w:w="0" w:type="auto"/>
            <w:vAlign w:val="center"/>
          </w:tcPr>
          <w:p w:rsidR="000A156F" w:rsidRDefault="00A9721F">
            <w:pPr>
              <w:pStyle w:val="TableBodyText"/>
            </w:pPr>
            <w:r>
              <w:t>bo-BT</w:t>
            </w:r>
          </w:p>
        </w:tc>
      </w:tr>
      <w:tr w:rsidR="000A156F" w:rsidTr="000A156F">
        <w:tc>
          <w:tcPr>
            <w:tcW w:w="0" w:type="auto"/>
            <w:vAlign w:val="center"/>
          </w:tcPr>
          <w:p w:rsidR="000A156F" w:rsidRDefault="00A9721F">
            <w:pPr>
              <w:pStyle w:val="TableBodyText"/>
            </w:pPr>
            <w:r>
              <w:t>Tibetan</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bo-CN</w:t>
            </w:r>
          </w:p>
        </w:tc>
      </w:tr>
      <w:tr w:rsidR="000A156F" w:rsidTr="000A156F">
        <w:tc>
          <w:tcPr>
            <w:tcW w:w="0" w:type="auto"/>
            <w:vAlign w:val="center"/>
          </w:tcPr>
          <w:p w:rsidR="000A156F" w:rsidRDefault="00A9721F">
            <w:pPr>
              <w:pStyle w:val="TableBodyText"/>
            </w:pPr>
            <w:r>
              <w:t>Turkish</w:t>
            </w:r>
          </w:p>
        </w:tc>
        <w:tc>
          <w:tcPr>
            <w:tcW w:w="0" w:type="auto"/>
            <w:vAlign w:val="center"/>
          </w:tcPr>
          <w:p w:rsidR="000A156F" w:rsidRDefault="00A9721F">
            <w:pPr>
              <w:pStyle w:val="TableBodyText"/>
            </w:pPr>
            <w:r>
              <w:t>Turkey</w:t>
            </w:r>
          </w:p>
        </w:tc>
        <w:tc>
          <w:tcPr>
            <w:tcW w:w="0" w:type="auto"/>
            <w:vAlign w:val="center"/>
          </w:tcPr>
          <w:p w:rsidR="000A156F" w:rsidRDefault="00A9721F">
            <w:pPr>
              <w:pStyle w:val="TableBodyText"/>
            </w:pPr>
            <w:r>
              <w:t>tr-TR</w:t>
            </w:r>
          </w:p>
        </w:tc>
      </w:tr>
      <w:tr w:rsidR="000A156F" w:rsidTr="000A156F">
        <w:tc>
          <w:tcPr>
            <w:tcW w:w="0" w:type="auto"/>
            <w:vAlign w:val="center"/>
          </w:tcPr>
          <w:p w:rsidR="000A156F" w:rsidRDefault="00A9721F">
            <w:pPr>
              <w:pStyle w:val="TableBodyText"/>
            </w:pPr>
            <w:r>
              <w:t>Turkmen</w:t>
            </w:r>
          </w:p>
        </w:tc>
        <w:tc>
          <w:tcPr>
            <w:tcW w:w="0" w:type="auto"/>
            <w:vAlign w:val="center"/>
          </w:tcPr>
          <w:p w:rsidR="000A156F" w:rsidRDefault="00A9721F">
            <w:pPr>
              <w:pStyle w:val="TableBodyText"/>
            </w:pPr>
            <w:r>
              <w:t>Turkmenistan</w:t>
            </w:r>
          </w:p>
        </w:tc>
        <w:tc>
          <w:tcPr>
            <w:tcW w:w="0" w:type="auto"/>
            <w:vAlign w:val="center"/>
          </w:tcPr>
          <w:p w:rsidR="000A156F" w:rsidRDefault="00A9721F">
            <w:pPr>
              <w:pStyle w:val="TableBodyText"/>
            </w:pPr>
            <w:r>
              <w:t>tk-TM</w:t>
            </w:r>
          </w:p>
        </w:tc>
      </w:tr>
      <w:tr w:rsidR="000A156F" w:rsidTr="000A156F">
        <w:tc>
          <w:tcPr>
            <w:tcW w:w="0" w:type="auto"/>
            <w:vAlign w:val="center"/>
          </w:tcPr>
          <w:p w:rsidR="000A156F" w:rsidRDefault="00A9721F">
            <w:pPr>
              <w:pStyle w:val="TableBodyText"/>
            </w:pPr>
            <w:r>
              <w:t xml:space="preserve">Uighur </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ug-CN</w:t>
            </w:r>
          </w:p>
        </w:tc>
      </w:tr>
      <w:tr w:rsidR="000A156F" w:rsidTr="000A156F">
        <w:tc>
          <w:tcPr>
            <w:tcW w:w="0" w:type="auto"/>
            <w:vAlign w:val="center"/>
          </w:tcPr>
          <w:p w:rsidR="000A156F" w:rsidRDefault="00A9721F">
            <w:pPr>
              <w:pStyle w:val="TableBodyText"/>
            </w:pPr>
            <w:r>
              <w:t>Ukrainian</w:t>
            </w:r>
          </w:p>
        </w:tc>
        <w:tc>
          <w:tcPr>
            <w:tcW w:w="0" w:type="auto"/>
            <w:vAlign w:val="center"/>
          </w:tcPr>
          <w:p w:rsidR="000A156F" w:rsidRDefault="00A9721F">
            <w:pPr>
              <w:pStyle w:val="TableBodyText"/>
            </w:pPr>
            <w:r>
              <w:t>Ukraine</w:t>
            </w:r>
          </w:p>
        </w:tc>
        <w:tc>
          <w:tcPr>
            <w:tcW w:w="0" w:type="auto"/>
            <w:vAlign w:val="center"/>
          </w:tcPr>
          <w:p w:rsidR="000A156F" w:rsidRDefault="00A9721F">
            <w:pPr>
              <w:pStyle w:val="TableBodyText"/>
            </w:pPr>
            <w:r>
              <w:t>uk-UA</w:t>
            </w:r>
          </w:p>
        </w:tc>
      </w:tr>
      <w:tr w:rsidR="000A156F" w:rsidTr="000A156F">
        <w:tc>
          <w:tcPr>
            <w:tcW w:w="0" w:type="auto"/>
            <w:vAlign w:val="center"/>
          </w:tcPr>
          <w:p w:rsidR="000A156F" w:rsidRDefault="00A9721F">
            <w:pPr>
              <w:pStyle w:val="TableBodyText"/>
            </w:pPr>
            <w:r>
              <w:t>Upper Sorbian</w:t>
            </w:r>
          </w:p>
        </w:tc>
        <w:tc>
          <w:tcPr>
            <w:tcW w:w="0" w:type="auto"/>
            <w:vAlign w:val="center"/>
          </w:tcPr>
          <w:p w:rsidR="000A156F" w:rsidRDefault="00A9721F">
            <w:pPr>
              <w:pStyle w:val="TableBodyText"/>
            </w:pPr>
            <w:r>
              <w:t>Germany</w:t>
            </w:r>
          </w:p>
        </w:tc>
        <w:tc>
          <w:tcPr>
            <w:tcW w:w="0" w:type="auto"/>
            <w:vAlign w:val="center"/>
          </w:tcPr>
          <w:p w:rsidR="000A156F" w:rsidRDefault="00A9721F">
            <w:pPr>
              <w:pStyle w:val="TableBodyText"/>
            </w:pPr>
            <w:r>
              <w:t>wen-DE</w:t>
            </w:r>
          </w:p>
        </w:tc>
      </w:tr>
      <w:tr w:rsidR="000A156F" w:rsidTr="000A156F">
        <w:tc>
          <w:tcPr>
            <w:tcW w:w="0" w:type="auto"/>
            <w:vAlign w:val="center"/>
          </w:tcPr>
          <w:p w:rsidR="000A156F" w:rsidRDefault="00A9721F">
            <w:pPr>
              <w:pStyle w:val="TableBodyText"/>
            </w:pPr>
            <w:r>
              <w:t>Urdu</w:t>
            </w:r>
          </w:p>
        </w:tc>
        <w:tc>
          <w:tcPr>
            <w:tcW w:w="0" w:type="auto"/>
            <w:vAlign w:val="center"/>
          </w:tcPr>
          <w:p w:rsidR="000A156F" w:rsidRDefault="00A9721F">
            <w:pPr>
              <w:pStyle w:val="TableBodyText"/>
            </w:pPr>
            <w:r>
              <w:t>Pakistan</w:t>
            </w:r>
          </w:p>
        </w:tc>
        <w:tc>
          <w:tcPr>
            <w:tcW w:w="0" w:type="auto"/>
            <w:vAlign w:val="center"/>
          </w:tcPr>
          <w:p w:rsidR="000A156F" w:rsidRDefault="00A9721F">
            <w:pPr>
              <w:pStyle w:val="TableBodyText"/>
            </w:pPr>
            <w:r>
              <w:t>ur-PK</w:t>
            </w:r>
          </w:p>
        </w:tc>
      </w:tr>
      <w:tr w:rsidR="000A156F" w:rsidTr="000A156F">
        <w:tc>
          <w:tcPr>
            <w:tcW w:w="0" w:type="auto"/>
            <w:vAlign w:val="center"/>
          </w:tcPr>
          <w:p w:rsidR="000A156F" w:rsidRDefault="00A9721F">
            <w:pPr>
              <w:pStyle w:val="TableBodyText"/>
            </w:pPr>
            <w:r>
              <w:t>Uzbek (Cyrillic)</w:t>
            </w:r>
          </w:p>
        </w:tc>
        <w:tc>
          <w:tcPr>
            <w:tcW w:w="0" w:type="auto"/>
            <w:vAlign w:val="center"/>
          </w:tcPr>
          <w:p w:rsidR="000A156F" w:rsidRDefault="00A9721F">
            <w:pPr>
              <w:pStyle w:val="TableBodyText"/>
            </w:pPr>
            <w:r>
              <w:t>Uzbekistan</w:t>
            </w:r>
          </w:p>
        </w:tc>
        <w:tc>
          <w:tcPr>
            <w:tcW w:w="0" w:type="auto"/>
            <w:vAlign w:val="center"/>
          </w:tcPr>
          <w:p w:rsidR="000A156F" w:rsidRDefault="00A9721F">
            <w:pPr>
              <w:pStyle w:val="TableBodyText"/>
            </w:pPr>
            <w:r>
              <w:t>uz-UZ-Cyrl</w:t>
            </w:r>
          </w:p>
        </w:tc>
      </w:tr>
      <w:tr w:rsidR="000A156F" w:rsidTr="000A156F">
        <w:tc>
          <w:tcPr>
            <w:tcW w:w="0" w:type="auto"/>
            <w:vAlign w:val="center"/>
          </w:tcPr>
          <w:p w:rsidR="000A156F" w:rsidRDefault="00A9721F">
            <w:pPr>
              <w:pStyle w:val="TableBodyText"/>
            </w:pPr>
            <w:r>
              <w:t>Uzbek (Latin)</w:t>
            </w:r>
          </w:p>
        </w:tc>
        <w:tc>
          <w:tcPr>
            <w:tcW w:w="0" w:type="auto"/>
            <w:vAlign w:val="center"/>
          </w:tcPr>
          <w:p w:rsidR="000A156F" w:rsidRDefault="00A9721F">
            <w:pPr>
              <w:pStyle w:val="TableBodyText"/>
            </w:pPr>
            <w:r>
              <w:t>Uzbekistan</w:t>
            </w:r>
          </w:p>
        </w:tc>
        <w:tc>
          <w:tcPr>
            <w:tcW w:w="0" w:type="auto"/>
            <w:vAlign w:val="center"/>
          </w:tcPr>
          <w:p w:rsidR="000A156F" w:rsidRDefault="00A9721F">
            <w:pPr>
              <w:pStyle w:val="TableBodyText"/>
            </w:pPr>
            <w:r>
              <w:t>uz-UZ-Latn</w:t>
            </w:r>
          </w:p>
        </w:tc>
      </w:tr>
      <w:tr w:rsidR="000A156F" w:rsidTr="000A156F">
        <w:tc>
          <w:tcPr>
            <w:tcW w:w="0" w:type="auto"/>
            <w:vAlign w:val="center"/>
          </w:tcPr>
          <w:p w:rsidR="000A156F" w:rsidRDefault="00A9721F">
            <w:pPr>
              <w:pStyle w:val="TableBodyText"/>
            </w:pPr>
            <w:r>
              <w:t>Vietnamese</w:t>
            </w:r>
          </w:p>
        </w:tc>
        <w:tc>
          <w:tcPr>
            <w:tcW w:w="0" w:type="auto"/>
            <w:vAlign w:val="center"/>
          </w:tcPr>
          <w:p w:rsidR="000A156F" w:rsidRDefault="00A9721F">
            <w:pPr>
              <w:pStyle w:val="TableBodyText"/>
            </w:pPr>
            <w:r>
              <w:t>Viet Nam</w:t>
            </w:r>
          </w:p>
        </w:tc>
        <w:tc>
          <w:tcPr>
            <w:tcW w:w="0" w:type="auto"/>
            <w:vAlign w:val="center"/>
          </w:tcPr>
          <w:p w:rsidR="000A156F" w:rsidRDefault="00A9721F">
            <w:pPr>
              <w:pStyle w:val="TableBodyText"/>
            </w:pPr>
            <w:r>
              <w:t>vi-VN</w:t>
            </w:r>
          </w:p>
        </w:tc>
      </w:tr>
      <w:tr w:rsidR="000A156F" w:rsidTr="000A156F">
        <w:tc>
          <w:tcPr>
            <w:tcW w:w="0" w:type="auto"/>
            <w:vAlign w:val="center"/>
          </w:tcPr>
          <w:p w:rsidR="000A156F" w:rsidRDefault="00A9721F">
            <w:pPr>
              <w:pStyle w:val="TableBodyText"/>
            </w:pPr>
            <w:r>
              <w:t xml:space="preserve">Welsh </w:t>
            </w:r>
          </w:p>
        </w:tc>
        <w:tc>
          <w:tcPr>
            <w:tcW w:w="0" w:type="auto"/>
            <w:vAlign w:val="center"/>
          </w:tcPr>
          <w:p w:rsidR="000A156F" w:rsidRDefault="00A9721F">
            <w:pPr>
              <w:pStyle w:val="TableBodyText"/>
            </w:pPr>
            <w:r>
              <w:t>United Kingdom</w:t>
            </w:r>
          </w:p>
        </w:tc>
        <w:tc>
          <w:tcPr>
            <w:tcW w:w="0" w:type="auto"/>
            <w:vAlign w:val="center"/>
          </w:tcPr>
          <w:p w:rsidR="000A156F" w:rsidRDefault="00A9721F">
            <w:pPr>
              <w:pStyle w:val="TableBodyText"/>
            </w:pPr>
            <w:r>
              <w:t>cy-GB</w:t>
            </w:r>
          </w:p>
        </w:tc>
      </w:tr>
      <w:tr w:rsidR="000A156F" w:rsidTr="000A156F">
        <w:tc>
          <w:tcPr>
            <w:tcW w:w="0" w:type="auto"/>
            <w:vAlign w:val="center"/>
          </w:tcPr>
          <w:p w:rsidR="000A156F" w:rsidRDefault="00A9721F">
            <w:pPr>
              <w:pStyle w:val="TableBodyText"/>
            </w:pPr>
            <w:r>
              <w:t xml:space="preserve">Wolof </w:t>
            </w:r>
          </w:p>
        </w:tc>
        <w:tc>
          <w:tcPr>
            <w:tcW w:w="0" w:type="auto"/>
            <w:vAlign w:val="center"/>
          </w:tcPr>
          <w:p w:rsidR="000A156F" w:rsidRDefault="00A9721F">
            <w:pPr>
              <w:pStyle w:val="TableBodyText"/>
            </w:pPr>
            <w:r>
              <w:t>Senegal</w:t>
            </w:r>
          </w:p>
        </w:tc>
        <w:tc>
          <w:tcPr>
            <w:tcW w:w="0" w:type="auto"/>
            <w:vAlign w:val="center"/>
          </w:tcPr>
          <w:p w:rsidR="000A156F" w:rsidRDefault="00A9721F">
            <w:pPr>
              <w:pStyle w:val="TableBodyText"/>
            </w:pPr>
            <w:r>
              <w:t>wo-SN</w:t>
            </w:r>
          </w:p>
        </w:tc>
      </w:tr>
      <w:tr w:rsidR="000A156F" w:rsidTr="000A156F">
        <w:tc>
          <w:tcPr>
            <w:tcW w:w="0" w:type="auto"/>
            <w:vAlign w:val="center"/>
          </w:tcPr>
          <w:p w:rsidR="000A156F" w:rsidRDefault="00A9721F">
            <w:pPr>
              <w:pStyle w:val="TableBodyText"/>
            </w:pPr>
            <w:r>
              <w:t>Yi</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ii-CN</w:t>
            </w:r>
          </w:p>
        </w:tc>
      </w:tr>
      <w:tr w:rsidR="000A156F" w:rsidTr="000A156F">
        <w:tc>
          <w:tcPr>
            <w:tcW w:w="0" w:type="auto"/>
            <w:vAlign w:val="center"/>
          </w:tcPr>
          <w:p w:rsidR="000A156F" w:rsidRDefault="00A9721F">
            <w:pPr>
              <w:pStyle w:val="TableBodyText"/>
            </w:pPr>
            <w:r>
              <w:t>Yoruba</w:t>
            </w:r>
          </w:p>
        </w:tc>
        <w:tc>
          <w:tcPr>
            <w:tcW w:w="0" w:type="auto"/>
            <w:vAlign w:val="center"/>
          </w:tcPr>
          <w:p w:rsidR="000A156F" w:rsidRDefault="00A9721F">
            <w:pPr>
              <w:pStyle w:val="TableBodyText"/>
            </w:pPr>
            <w:r>
              <w:t>Nigeria</w:t>
            </w:r>
          </w:p>
        </w:tc>
        <w:tc>
          <w:tcPr>
            <w:tcW w:w="0" w:type="auto"/>
            <w:vAlign w:val="center"/>
          </w:tcPr>
          <w:p w:rsidR="000A156F" w:rsidRDefault="00A9721F">
            <w:pPr>
              <w:pStyle w:val="TableBodyText"/>
            </w:pPr>
            <w:r>
              <w:t>yo-NG</w:t>
            </w:r>
          </w:p>
        </w:tc>
      </w:tr>
    </w:tbl>
    <w:p w:rsidR="000A156F" w:rsidRDefault="000A156F"/>
    <w:p w:rsidR="000A156F" w:rsidRDefault="00A9721F">
      <w:pPr>
        <w:pStyle w:val="Heading3"/>
      </w:pPr>
      <w:bookmarkStart w:id="1492" w:name="section_b041ae678cdb46d28551e922106b987f"/>
      <w:bookmarkStart w:id="1493" w:name="_Toc181683772"/>
      <w:r>
        <w:t>Part 1 Section 18.9.17, valueMetadata (Value Metadata)</w:t>
      </w:r>
      <w:bookmarkEnd w:id="1492"/>
      <w:bookmarkEnd w:id="1493"/>
      <w:r>
        <w:fldChar w:fldCharType="begin"/>
      </w:r>
      <w:r>
        <w:instrText xml:space="preserve"> XE "valueMetadata (Value Metadata)"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0A156F" w:rsidRDefault="00A9721F">
      <w:pPr>
        <w:pStyle w:val="Definition-Field"/>
      </w:pPr>
      <w:r>
        <w:t xml:space="preserve">a.   </w:t>
      </w:r>
      <w:r>
        <w:rPr>
          <w:i/>
        </w:rPr>
        <w:t>The standard states that the values of the count attribute are defined b</w:t>
      </w:r>
      <w:r>
        <w:rPr>
          <w:i/>
        </w:rPr>
        <w:t>y the XML Schema unsignedInt datatype.</w:t>
      </w:r>
    </w:p>
    <w:p w:rsidR="000A156F" w:rsidRDefault="00A9721F">
      <w:pPr>
        <w:pStyle w:val="Definition-Field2"/>
      </w:pPr>
      <w:r>
        <w:t>Office requires that the count attribute have a maximum value of 2147483647.</w:t>
      </w:r>
    </w:p>
    <w:p w:rsidR="000A156F" w:rsidRDefault="00A9721F">
      <w:pPr>
        <w:pStyle w:val="Heading3"/>
      </w:pPr>
      <w:bookmarkStart w:id="1494" w:name="section_b5a44a1cafab4a5dbc8d46ab2edc18fc"/>
      <w:bookmarkStart w:id="1495" w:name="_Toc181683773"/>
      <w:r>
        <w:lastRenderedPageBreak/>
        <w:t>Part 1 Section 18.10.1.1, autoSortScope (AutoSort Scope)</w:t>
      </w:r>
      <w:bookmarkEnd w:id="1494"/>
      <w:bookmarkEnd w:id="1495"/>
      <w:r>
        <w:fldChar w:fldCharType="begin"/>
      </w:r>
      <w:r>
        <w:instrText xml:space="preserve"> XE "autoSortScope (AutoSort Scope)" </w:instrText>
      </w:r>
      <w:r>
        <w:fldChar w:fldCharType="end"/>
      </w:r>
    </w:p>
    <w:p w:rsidR="000A156F" w:rsidRDefault="00A9721F">
      <w:pPr>
        <w:pStyle w:val="Definition-Field"/>
      </w:pPr>
      <w:r>
        <w:t xml:space="preserve">a.   </w:t>
      </w:r>
      <w:r>
        <w:rPr>
          <w:i/>
        </w:rPr>
        <w:t xml:space="preserve">The standard states that autoSortScope </w:t>
      </w:r>
      <w:r>
        <w:rPr>
          <w:i/>
        </w:rPr>
        <w:t>represents the sorting scope for the PivotTable.</w:t>
      </w:r>
    </w:p>
    <w:p w:rsidR="000A156F" w:rsidRDefault="00A9721F">
      <w:pPr>
        <w:pStyle w:val="Definition-Field2"/>
      </w:pPr>
      <w:r>
        <w:t>In Office when autoSortScope is not specified, the sort is based on the items in the pivotField.  When the sortType attribute of the parent pivotField is set to manual, autoSortScope must not be specified.</w:t>
      </w:r>
    </w:p>
    <w:p w:rsidR="000A156F" w:rsidRDefault="00A9721F">
      <w:pPr>
        <w:pStyle w:val="Heading3"/>
      </w:pPr>
      <w:bookmarkStart w:id="1496" w:name="section_514d639a764c4e05bdc894b684557d40"/>
      <w:bookmarkStart w:id="1497" w:name="_Toc181683774"/>
      <w:r>
        <w:t>Part 1 Section 18.10.1.2, b (Boolean)</w:t>
      </w:r>
      <w:bookmarkEnd w:id="1496"/>
      <w:bookmarkEnd w:id="1497"/>
      <w:r>
        <w:fldChar w:fldCharType="begin"/>
      </w:r>
      <w:r>
        <w:instrText xml:space="preserve"> XE "b (Boolean)" </w:instrText>
      </w:r>
      <w:r>
        <w:fldChar w:fldCharType="end"/>
      </w:r>
    </w:p>
    <w:p w:rsidR="000A156F" w:rsidRDefault="00A9721F">
      <w:pPr>
        <w:pStyle w:val="Definition-Field"/>
      </w:pPr>
      <w:r>
        <w:t xml:space="preserve">a.   </w:t>
      </w:r>
      <w:r>
        <w:rPr>
          <w:i/>
        </w:rPr>
        <w:t>The standard does not specify a default value for the u attribute.</w:t>
      </w:r>
    </w:p>
    <w:p w:rsidR="000A156F" w:rsidRDefault="00A9721F">
      <w:pPr>
        <w:pStyle w:val="Definition-Field2"/>
      </w:pPr>
      <w:r>
        <w:t>Excel uses a default value of false for this attribute.</w:t>
      </w:r>
    </w:p>
    <w:p w:rsidR="000A156F" w:rsidRDefault="00A9721F">
      <w:pPr>
        <w:pStyle w:val="Definition-Field"/>
      </w:pPr>
      <w:r>
        <w:t xml:space="preserve">b.   </w:t>
      </w:r>
      <w:r>
        <w:rPr>
          <w:i/>
        </w:rPr>
        <w:t>The standard does not specify a default value for the f attribute</w:t>
      </w:r>
      <w:r>
        <w:rPr>
          <w:i/>
        </w:rPr>
        <w:t>.</w:t>
      </w:r>
    </w:p>
    <w:p w:rsidR="000A156F" w:rsidRDefault="00A9721F">
      <w:pPr>
        <w:pStyle w:val="Definition-Field2"/>
      </w:pPr>
      <w:r>
        <w:t>Excel uses a default value of false for this attribute.</w:t>
      </w:r>
    </w:p>
    <w:p w:rsidR="000A156F" w:rsidRDefault="00A9721F">
      <w:pPr>
        <w:pStyle w:val="Definition-Field"/>
      </w:pPr>
      <w:r>
        <w:t xml:space="preserve">c.   </w:t>
      </w:r>
      <w:r>
        <w:rPr>
          <w:i/>
        </w:rPr>
        <w:t>The standard does not limit the length of the value of the c attribute.</w:t>
      </w:r>
    </w:p>
    <w:p w:rsidR="000A156F" w:rsidRDefault="00A9721F">
      <w:pPr>
        <w:pStyle w:val="Definition-Field2"/>
      </w:pPr>
      <w:r>
        <w:t>Excel restricts the value of this attribute to be at most 65535 characters.</w:t>
      </w:r>
    </w:p>
    <w:p w:rsidR="000A156F" w:rsidRDefault="00A9721F">
      <w:pPr>
        <w:pStyle w:val="Definition-Field"/>
      </w:pPr>
      <w:r>
        <w:t xml:space="preserve">d.   </w:t>
      </w:r>
      <w:r>
        <w:rPr>
          <w:i/>
        </w:rPr>
        <w:t>The standard does not qualify the c attr</w:t>
      </w:r>
      <w:r>
        <w:rPr>
          <w:i/>
        </w:rPr>
        <w:t>ibute as applicable only in certain cases.</w:t>
      </w:r>
    </w:p>
    <w:p w:rsidR="000A156F" w:rsidRDefault="00A9721F">
      <w:pPr>
        <w:pStyle w:val="Definition-Field2"/>
      </w:pPr>
      <w:r>
        <w:t>In Office, the c attribute is only valid for OLAP PivotTables and when createdVersion is 3 or greater.</w:t>
      </w:r>
    </w:p>
    <w:p w:rsidR="000A156F" w:rsidRDefault="00A9721F">
      <w:pPr>
        <w:pStyle w:val="Definition-Field"/>
      </w:pPr>
      <w:r>
        <w:t xml:space="preserve">e.   </w:t>
      </w:r>
      <w:r>
        <w:rPr>
          <w:i/>
        </w:rPr>
        <w:t>The standard does not define the relation between the u attribute and the sharedItems parent.</w:t>
      </w:r>
    </w:p>
    <w:p w:rsidR="000A156F" w:rsidRDefault="00A9721F">
      <w:pPr>
        <w:pStyle w:val="Definition-Field2"/>
      </w:pPr>
      <w:r>
        <w:t xml:space="preserve">In Office, </w:t>
      </w:r>
      <w:r>
        <w:t>the u attribute only applies when the parent is sharedItems.</w:t>
      </w:r>
    </w:p>
    <w:p w:rsidR="000A156F" w:rsidRDefault="00A9721F">
      <w:pPr>
        <w:pStyle w:val="Definition-Field"/>
      </w:pPr>
      <w:r>
        <w:t xml:space="preserve">f.   </w:t>
      </w:r>
      <w:r>
        <w:rPr>
          <w:i/>
        </w:rPr>
        <w:t>The standard does not define restrictions on when the cp attribute should be present.</w:t>
      </w:r>
    </w:p>
    <w:p w:rsidR="000A156F" w:rsidRDefault="00A9721F">
      <w:pPr>
        <w:pStyle w:val="Definition-Field2"/>
      </w:pPr>
      <w:r>
        <w:t>In Office, the cp attribute applies to OLAP-based PivotTables only and the parent is sharedItems.</w:t>
      </w:r>
    </w:p>
    <w:p w:rsidR="000A156F" w:rsidRDefault="00A9721F">
      <w:pPr>
        <w:pStyle w:val="Definition-Field"/>
      </w:pPr>
      <w:r>
        <w:t xml:space="preserve">g.   </w:t>
      </w:r>
      <w:r>
        <w:rPr>
          <w:i/>
        </w:rPr>
        <w:t>The standard does not specify restrictions on value of the cp attribute.</w:t>
      </w:r>
    </w:p>
    <w:p w:rsidR="000A156F" w:rsidRDefault="00A9721F">
      <w:pPr>
        <w:pStyle w:val="Definition-Field2"/>
      </w:pPr>
      <w:r>
        <w:t>In Office, the value of the cp attribute shall be equal to the number of x child elements and less than or equal to the mappingCount attribute of the corresponding cacheField element.</w:t>
      </w:r>
    </w:p>
    <w:p w:rsidR="000A156F" w:rsidRDefault="00A9721F">
      <w:pPr>
        <w:pStyle w:val="Definition-Field"/>
      </w:pPr>
      <w:r>
        <w:t xml:space="preserve">h.   </w:t>
      </w:r>
      <w:r>
        <w:rPr>
          <w:i/>
        </w:rPr>
        <w:t>The standard does not define the relation between the f attribute and the sharedItems parent.</w:t>
      </w:r>
    </w:p>
    <w:p w:rsidR="000A156F" w:rsidRDefault="00A9721F">
      <w:pPr>
        <w:pStyle w:val="Definition-Field2"/>
      </w:pPr>
      <w:r>
        <w:t>In Office, the f attribute only applies when the parent is sharedItems.</w:t>
      </w:r>
    </w:p>
    <w:p w:rsidR="000A156F" w:rsidRDefault="00A9721F">
      <w:pPr>
        <w:pStyle w:val="Heading3"/>
      </w:pPr>
      <w:bookmarkStart w:id="1498" w:name="section_a49a42d4fc784030ae6099400cba9912"/>
      <w:bookmarkStart w:id="1499" w:name="_Toc181683775"/>
      <w:r>
        <w:t>Part 1 Section 18.10.1.3, cacheField (PivotCache Field)</w:t>
      </w:r>
      <w:bookmarkEnd w:id="1498"/>
      <w:bookmarkEnd w:id="1499"/>
      <w:r>
        <w:fldChar w:fldCharType="begin"/>
      </w:r>
      <w:r>
        <w:instrText xml:space="preserve"> XE "cacheField (PivotCache F</w:instrText>
      </w:r>
      <w:r>
        <w:instrText xml:space="preserve">ield)" </w:instrText>
      </w:r>
      <w:r>
        <w:fldChar w:fldCharType="end"/>
      </w:r>
    </w:p>
    <w:p w:rsidR="000A156F" w:rsidRDefault="00A9721F">
      <w:pPr>
        <w:pStyle w:val="Definition-Field"/>
      </w:pPr>
      <w:r>
        <w:t xml:space="preserve">a.   </w:t>
      </w:r>
      <w:r>
        <w:rPr>
          <w:i/>
        </w:rPr>
        <w:t>The standard does not restrict values of the hierarchy attribute.</w:t>
      </w:r>
    </w:p>
    <w:p w:rsidR="000A156F" w:rsidRDefault="00A9721F">
      <w:pPr>
        <w:pStyle w:val="Definition-Field2"/>
      </w:pPr>
      <w:r>
        <w:t>In Office, the hierarchy attribute must be non-negative and less than the count of cacheHierarchy elements in the cacheHierarchies node. This attribute is only used by OLAP Pi</w:t>
      </w:r>
      <w:r>
        <w:t>votCache.</w:t>
      </w:r>
    </w:p>
    <w:p w:rsidR="000A156F" w:rsidRDefault="00A9721F">
      <w:pPr>
        <w:pStyle w:val="Definition-Field"/>
      </w:pPr>
      <w:r>
        <w:t xml:space="preserve">b.   </w:t>
      </w:r>
      <w:r>
        <w:rPr>
          <w:i/>
        </w:rPr>
        <w:t>The standard does not define all the possible values of the level attribute.</w:t>
      </w:r>
    </w:p>
    <w:p w:rsidR="000A156F" w:rsidRDefault="00A9721F">
      <w:pPr>
        <w:pStyle w:val="Definition-Field2"/>
      </w:pPr>
      <w:r>
        <w:t>In Excel, the level attribute is only used by the OLAP PivotCache. If memberPropertyField is 0, this value shall be either 0x7fff (which means all levels) or it sha</w:t>
      </w:r>
      <w:r>
        <w:t>ll be less than the count of fieldUsage elements in fieldsUsage node.</w:t>
      </w:r>
    </w:p>
    <w:p w:rsidR="000A156F" w:rsidRDefault="00A9721F">
      <w:pPr>
        <w:pStyle w:val="Definition-Field"/>
      </w:pPr>
      <w:r>
        <w:t xml:space="preserve">c.   </w:t>
      </w:r>
      <w:r>
        <w:rPr>
          <w:i/>
        </w:rPr>
        <w:t>The standard does not specify restrictions for the name attribute.</w:t>
      </w:r>
    </w:p>
    <w:p w:rsidR="000A156F" w:rsidRDefault="00A9721F">
      <w:pPr>
        <w:pStyle w:val="Definition-Field2"/>
      </w:pPr>
      <w:r>
        <w:lastRenderedPageBreak/>
        <w:t>In Office, the name attribute must be unique. The name is case-insensitive and shall have length between 1 and 327</w:t>
      </w:r>
      <w:r>
        <w:t>67 inclusively. If the value of createdVersion is less than 3, @name shall not be longer than 255 characters.</w:t>
      </w:r>
    </w:p>
    <w:p w:rsidR="000A156F" w:rsidRDefault="00A9721F">
      <w:pPr>
        <w:pStyle w:val="Definition-Field"/>
      </w:pPr>
      <w:r>
        <w:t xml:space="preserve">d.   </w:t>
      </w:r>
      <w:r>
        <w:rPr>
          <w:i/>
        </w:rPr>
        <w:t>The standard does not define maxLength restriction for the caption attribute.</w:t>
      </w:r>
    </w:p>
    <w:p w:rsidR="000A156F" w:rsidRDefault="00A9721F">
      <w:pPr>
        <w:pStyle w:val="Definition-Field2"/>
      </w:pPr>
      <w:r>
        <w:t>In Office, the caption attribute shall not be longer than 32767</w:t>
      </w:r>
      <w:r>
        <w:t>; if createdVersion of pivotCacheDefinition is less than 3, then the caption attribute must not be defined.</w:t>
      </w:r>
    </w:p>
    <w:p w:rsidR="000A156F" w:rsidRDefault="00A9721F">
      <w:pPr>
        <w:pStyle w:val="Definition-Field"/>
      </w:pPr>
      <w:r>
        <w:t xml:space="preserve">e.   </w:t>
      </w:r>
      <w:r>
        <w:rPr>
          <w:i/>
        </w:rPr>
        <w:t>The standard does not define length restriction for the propertyName attribute.</w:t>
      </w:r>
    </w:p>
    <w:p w:rsidR="000A156F" w:rsidRDefault="00A9721F">
      <w:pPr>
        <w:pStyle w:val="Definition-Field2"/>
      </w:pPr>
      <w:r>
        <w:t>In Office, the propertyName attribute shall have length between</w:t>
      </w:r>
      <w:r>
        <w:t xml:space="preserve"> 1 and 32767 inclusively.</w:t>
      </w:r>
    </w:p>
    <w:p w:rsidR="000A156F" w:rsidRDefault="00A9721F">
      <w:pPr>
        <w:pStyle w:val="Definition-Field"/>
      </w:pPr>
      <w:r>
        <w:t xml:space="preserve">f.   </w:t>
      </w:r>
      <w:r>
        <w:rPr>
          <w:i/>
        </w:rPr>
        <w:t>In the standard the databaseField attribute is not restricted by data source type.</w:t>
      </w:r>
    </w:p>
    <w:p w:rsidR="000A156F" w:rsidRDefault="00A9721F">
      <w:pPr>
        <w:pStyle w:val="Definition-Field2"/>
      </w:pPr>
      <w:r>
        <w:t>In Office, the databaseField attribute must be TRUE for OLAP data sources.</w:t>
      </w:r>
    </w:p>
    <w:p w:rsidR="000A156F" w:rsidRDefault="00A9721F">
      <w:pPr>
        <w:pStyle w:val="Definition-Field"/>
      </w:pPr>
      <w:r>
        <w:t xml:space="preserve">g.   </w:t>
      </w:r>
      <w:r>
        <w:rPr>
          <w:i/>
        </w:rPr>
        <w:t>In the standard, the formula attribute is defined as a generic</w:t>
      </w:r>
      <w:r>
        <w:rPr>
          <w:i/>
        </w:rPr>
        <w:t xml:space="preserve"> string.</w:t>
      </w:r>
    </w:p>
    <w:p w:rsidR="000A156F" w:rsidRDefault="00A9721F">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rsidR="000A156F" w:rsidRDefault="00A9721F">
      <w:pPr>
        <w:pStyle w:val="Definition-Field"/>
      </w:pPr>
      <w:r>
        <w:t xml:space="preserve">h.   </w:t>
      </w:r>
      <w:r>
        <w:rPr>
          <w:i/>
        </w:rPr>
        <w:t>In the standard the mappingCount attribute does not have restrictions.</w:t>
      </w:r>
    </w:p>
    <w:p w:rsidR="000A156F" w:rsidRDefault="00A9721F">
      <w:pPr>
        <w:pStyle w:val="Definition-Field2"/>
      </w:pPr>
      <w:r>
        <w:t>In O</w:t>
      </w:r>
      <w:r>
        <w:t>ffice, the mappingCount attribute shall be less than or equal to number of cacheField items in the cacheFields collection.</w:t>
      </w:r>
    </w:p>
    <w:p w:rsidR="000A156F" w:rsidRDefault="00A9721F">
      <w:pPr>
        <w:pStyle w:val="Definition-Field"/>
      </w:pPr>
      <w:r>
        <w:t xml:space="preserve">i.   </w:t>
      </w:r>
      <w:r>
        <w:rPr>
          <w:i/>
        </w:rPr>
        <w:t>The standard does not specify restrictions for the memberPropertyField attribute.</w:t>
      </w:r>
    </w:p>
    <w:p w:rsidR="000A156F" w:rsidRDefault="00A9721F">
      <w:pPr>
        <w:pStyle w:val="Definition-Field2"/>
      </w:pPr>
      <w:r>
        <w:t xml:space="preserve">In Office, the memberPropertyField attribute </w:t>
      </w:r>
      <w:r>
        <w:t>shall be 1 if the propertyName attribute is not empty and it shall be 0 or false for non-OLAP PivotCaches.</w:t>
      </w:r>
    </w:p>
    <w:p w:rsidR="000A156F" w:rsidRDefault="00A9721F">
      <w:pPr>
        <w:pStyle w:val="Definition-Field"/>
      </w:pPr>
      <w:r>
        <w:t xml:space="preserve">j.   </w:t>
      </w:r>
      <w:r>
        <w:rPr>
          <w:i/>
        </w:rPr>
        <w:t>The standard does not restrict the formula attribute usage for different data sources.</w:t>
      </w:r>
    </w:p>
    <w:p w:rsidR="000A156F" w:rsidRDefault="00A9721F">
      <w:pPr>
        <w:pStyle w:val="Definition-Field2"/>
      </w:pPr>
      <w:r>
        <w:t>In Office, the formula attribute shall not be specified f</w:t>
      </w:r>
      <w:r>
        <w:t>or OLAP PivotCaches.</w:t>
      </w:r>
    </w:p>
    <w:p w:rsidR="000A156F" w:rsidRDefault="00A9721F">
      <w:pPr>
        <w:pStyle w:val="Definition-Field"/>
      </w:pPr>
      <w:r>
        <w:t xml:space="preserve">k.   </w:t>
      </w:r>
      <w:r>
        <w:rPr>
          <w:i/>
        </w:rPr>
        <w:t>In the standard, there is no restriction on value of the databaseField attribute for the first cacheField in collection.</w:t>
      </w:r>
    </w:p>
    <w:p w:rsidR="000A156F" w:rsidRDefault="00A9721F">
      <w:pPr>
        <w:pStyle w:val="Definition-Field2"/>
      </w:pPr>
      <w:r>
        <w:t>In Office, the first cacheField shall have a databaseField attribute equal to 1 or true.</w:t>
      </w:r>
    </w:p>
    <w:p w:rsidR="000A156F" w:rsidRDefault="00A9721F">
      <w:pPr>
        <w:pStyle w:val="Heading3"/>
      </w:pPr>
      <w:bookmarkStart w:id="1500" w:name="section_f4b94667953e402280d4ca58568e6e05"/>
      <w:bookmarkStart w:id="1501" w:name="_Toc181683776"/>
      <w:r>
        <w:t>Part 1 Section 18.10</w:t>
      </w:r>
      <w:r>
        <w:t>.1.4, cacheFields (PivotCache Fields)</w:t>
      </w:r>
      <w:bookmarkEnd w:id="1500"/>
      <w:bookmarkEnd w:id="1501"/>
      <w:r>
        <w:fldChar w:fldCharType="begin"/>
      </w:r>
      <w:r>
        <w:instrText xml:space="preserve"> XE "cacheFields (PivotCache Fields)" </w:instrText>
      </w:r>
      <w:r>
        <w:fldChar w:fldCharType="end"/>
      </w:r>
    </w:p>
    <w:p w:rsidR="000A156F" w:rsidRDefault="00A9721F">
      <w:pPr>
        <w:pStyle w:val="Definition-Field"/>
      </w:pPr>
      <w:r>
        <w:t xml:space="preserve">a.   </w:t>
      </w:r>
      <w:r>
        <w:rPr>
          <w:i/>
        </w:rPr>
        <w:t>The standard states that the maxOccurs value for the cacheField child element is unbounded.</w:t>
      </w:r>
    </w:p>
    <w:p w:rsidR="000A156F" w:rsidRDefault="00A9721F">
      <w:pPr>
        <w:pStyle w:val="Definition-Field2"/>
      </w:pPr>
      <w:r>
        <w:t xml:space="preserve">Excel limits the occurrences of this element to 1024 when the value of the </w:t>
      </w:r>
      <w:r>
        <w:t>createdVersion attribute on the pivotCacheDefinition element is less than 3 and 16384 otherwise.</w:t>
      </w:r>
    </w:p>
    <w:p w:rsidR="000A156F" w:rsidRDefault="00A9721F">
      <w:pPr>
        <w:pStyle w:val="Definition-Field"/>
      </w:pPr>
      <w:r>
        <w:t xml:space="preserve">b.   </w:t>
      </w:r>
      <w:r>
        <w:rPr>
          <w:i/>
        </w:rPr>
        <w:t>The standard states that the minOccurs value for the cacheField child element is 0.</w:t>
      </w:r>
    </w:p>
    <w:p w:rsidR="000A156F" w:rsidRDefault="00A9721F">
      <w:pPr>
        <w:pStyle w:val="Definition-Field2"/>
      </w:pPr>
      <w:r>
        <w:t>Excel requires an occurrence of this element for non-OLAP PivotCaches.</w:t>
      </w:r>
    </w:p>
    <w:p w:rsidR="000A156F" w:rsidRDefault="00A9721F">
      <w:pPr>
        <w:pStyle w:val="Heading3"/>
      </w:pPr>
      <w:bookmarkStart w:id="1502" w:name="section_ce3dcffc9d464d52a8817969baf5c473"/>
      <w:bookmarkStart w:id="1503" w:name="_Toc181683777"/>
      <w:r>
        <w:t>Part 1 Section 18.10.1.5, cacheHierarchies (PivotCache Hierarchies)</w:t>
      </w:r>
      <w:bookmarkEnd w:id="1502"/>
      <w:bookmarkEnd w:id="1503"/>
      <w:r>
        <w:fldChar w:fldCharType="begin"/>
      </w:r>
      <w:r>
        <w:instrText xml:space="preserve"> XE "cacheHierarchies (PivotCache Hierarchies)" </w:instrText>
      </w:r>
      <w:r>
        <w:fldChar w:fldCharType="end"/>
      </w:r>
    </w:p>
    <w:p w:rsidR="000A156F" w:rsidRDefault="00A9721F">
      <w:pPr>
        <w:pStyle w:val="Definition-Field"/>
      </w:pPr>
      <w:r>
        <w:t xml:space="preserve">a.   </w:t>
      </w:r>
      <w:r>
        <w:rPr>
          <w:i/>
        </w:rPr>
        <w:t>The standard states that the minOccurs value for the cacheHierarchy child element is 0.</w:t>
      </w:r>
    </w:p>
    <w:p w:rsidR="000A156F" w:rsidRDefault="00A9721F">
      <w:pPr>
        <w:pStyle w:val="Definition-Field2"/>
      </w:pPr>
      <w:r>
        <w:t>Excel requires an occurrence of this element</w:t>
      </w:r>
      <w:r>
        <w:t>.</w:t>
      </w:r>
    </w:p>
    <w:p w:rsidR="000A156F" w:rsidRDefault="00A9721F">
      <w:pPr>
        <w:pStyle w:val="Heading3"/>
      </w:pPr>
      <w:bookmarkStart w:id="1504" w:name="section_f8e3fe8da78d4f5bb970f9f5b0fa6d35"/>
      <w:bookmarkStart w:id="1505" w:name="_Toc181683778"/>
      <w:r>
        <w:lastRenderedPageBreak/>
        <w:t>Part 1 Section 18.10.1.6, cacheHierarchy (PivotCache Hierarchy)</w:t>
      </w:r>
      <w:bookmarkEnd w:id="1504"/>
      <w:bookmarkEnd w:id="1505"/>
      <w:r>
        <w:fldChar w:fldCharType="begin"/>
      </w:r>
      <w:r>
        <w:instrText xml:space="preserve"> XE "cacheHierarchy (PivotCache Hierarchy)" </w:instrText>
      </w:r>
      <w:r>
        <w:fldChar w:fldCharType="end"/>
      </w:r>
    </w:p>
    <w:p w:rsidR="000A156F" w:rsidRDefault="00A9721F">
      <w:pPr>
        <w:pStyle w:val="Definition-Field"/>
      </w:pPr>
      <w:r>
        <w:t xml:space="preserve">a.   </w:t>
      </w:r>
      <w:r>
        <w:rPr>
          <w:i/>
        </w:rPr>
        <w:t>The standard does not limit the length of the value of the uniqueName attribute.</w:t>
      </w:r>
    </w:p>
    <w:p w:rsidR="000A156F" w:rsidRDefault="00A9721F">
      <w:pPr>
        <w:pStyle w:val="Definition-Field2"/>
      </w:pPr>
      <w:r>
        <w:t>Excel restricts the value of this attribute to be at least</w:t>
      </w:r>
      <w:r>
        <w:t xml:space="preserve"> 1 and at most 255 characters when the createdVersion attribute on the pivotCacheDefinition element is less than 3 and 32767 characters otherwise.</w:t>
      </w:r>
    </w:p>
    <w:p w:rsidR="000A156F" w:rsidRDefault="00A9721F">
      <w:pPr>
        <w:pStyle w:val="Definition-Field"/>
      </w:pPr>
      <w:r>
        <w:t xml:space="preserve">b.   </w:t>
      </w:r>
      <w:r>
        <w:rPr>
          <w:i/>
        </w:rPr>
        <w:t>The standard does not limit the length of the value of the caption attribute.</w:t>
      </w:r>
    </w:p>
    <w:p w:rsidR="000A156F" w:rsidRDefault="00A9721F">
      <w:pPr>
        <w:pStyle w:val="Definition-Field2"/>
      </w:pPr>
      <w:r>
        <w:t xml:space="preserve">Excel restricts the value </w:t>
      </w:r>
      <w:r>
        <w:t>of this attribute to be at least 1 and at most 255 characters when the createdVersion attribute on the pivotCacheDefinition element is less than 3 and 32767 characters otherwise.</w:t>
      </w:r>
    </w:p>
    <w:p w:rsidR="000A156F" w:rsidRDefault="00A9721F">
      <w:pPr>
        <w:pStyle w:val="Definition-Field"/>
      </w:pPr>
      <w:r>
        <w:t xml:space="preserve">c.   </w:t>
      </w:r>
      <w:r>
        <w:rPr>
          <w:i/>
        </w:rPr>
        <w:t>The standard states that the caption attribute is optional.</w:t>
      </w:r>
    </w:p>
    <w:p w:rsidR="000A156F" w:rsidRDefault="00A9721F">
      <w:pPr>
        <w:pStyle w:val="Definition-Field2"/>
      </w:pPr>
      <w:r>
        <w:t>Excel requir</w:t>
      </w:r>
      <w:r>
        <w:t>es this attribute.</w:t>
      </w:r>
    </w:p>
    <w:p w:rsidR="000A156F" w:rsidRDefault="00A9721F">
      <w:pPr>
        <w:pStyle w:val="Definition-Field"/>
      </w:pPr>
      <w:r>
        <w:t xml:space="preserve">d.   </w:t>
      </w:r>
      <w:r>
        <w:rPr>
          <w:i/>
        </w:rPr>
        <w:t>The standard does not limit the length of the value of the defaultMemberUniqueName attribute.</w:t>
      </w:r>
    </w:p>
    <w:p w:rsidR="000A156F" w:rsidRDefault="00A9721F">
      <w:pPr>
        <w:pStyle w:val="Definition-Field2"/>
      </w:pPr>
      <w:r>
        <w:t>Excel restricts the value of this attribute to be at most 255 characters when the createdVersion attribute on the pivotCacheDefinition ele</w:t>
      </w:r>
      <w:r>
        <w:t>ment is less than 3 and 32767 characters otherwise.</w:t>
      </w:r>
    </w:p>
    <w:p w:rsidR="000A156F" w:rsidRDefault="00A9721F">
      <w:pPr>
        <w:pStyle w:val="Definition-Field"/>
      </w:pPr>
      <w:r>
        <w:t xml:space="preserve">e.   </w:t>
      </w:r>
      <w:r>
        <w:rPr>
          <w:i/>
        </w:rPr>
        <w:t>The standard does not limit the length of the value of the allUniqueName attribute.</w:t>
      </w:r>
    </w:p>
    <w:p w:rsidR="000A156F" w:rsidRDefault="00A9721F">
      <w:pPr>
        <w:pStyle w:val="Definition-Field2"/>
      </w:pPr>
      <w:r>
        <w:t>Excel restricts the value of this attribute to be at most 255 characters when the createdVersion attribute on the p</w:t>
      </w:r>
      <w:r>
        <w:t>ivotCacheDefinition element is less than 3 and 32767 characters otherwise.</w:t>
      </w:r>
    </w:p>
    <w:p w:rsidR="000A156F" w:rsidRDefault="00A9721F">
      <w:pPr>
        <w:pStyle w:val="Definition-Field"/>
      </w:pPr>
      <w:r>
        <w:t xml:space="preserve">f.   </w:t>
      </w:r>
      <w:r>
        <w:rPr>
          <w:i/>
        </w:rPr>
        <w:t>The standard does not limit the length of the value of the allCaption attribute.</w:t>
      </w:r>
    </w:p>
    <w:p w:rsidR="000A156F" w:rsidRDefault="00A9721F">
      <w:pPr>
        <w:pStyle w:val="Definition-Field2"/>
      </w:pPr>
      <w:r>
        <w:t>Excel restricts the value of this attribute to be at most 255 characters when the createdVersio</w:t>
      </w:r>
      <w:r>
        <w:t>n attribute on the pivotCacheDefinition element is less than 3 and 32767 characters otherwise.</w:t>
      </w:r>
    </w:p>
    <w:p w:rsidR="000A156F" w:rsidRDefault="00A9721F">
      <w:pPr>
        <w:pStyle w:val="Definition-Field"/>
      </w:pPr>
      <w:r>
        <w:t xml:space="preserve">g.   </w:t>
      </w:r>
      <w:r>
        <w:rPr>
          <w:i/>
        </w:rPr>
        <w:t>The standard does not limit the length of the value of the dimensionUniqueName attribute.</w:t>
      </w:r>
    </w:p>
    <w:p w:rsidR="000A156F" w:rsidRDefault="00A9721F">
      <w:pPr>
        <w:pStyle w:val="Definition-Field2"/>
      </w:pPr>
      <w:r>
        <w:t>Excel restricts the value of this attribute to be at least 1 and a</w:t>
      </w:r>
      <w:r>
        <w:t>t most 255 characters when the createdVersion attribute on the pivotCacheDefinition element is less than 3 and 32767 characters otherwise.</w:t>
      </w:r>
    </w:p>
    <w:p w:rsidR="000A156F" w:rsidRDefault="00A9721F">
      <w:pPr>
        <w:pStyle w:val="Definition-Field"/>
      </w:pPr>
      <w:r>
        <w:t xml:space="preserve">h.   </w:t>
      </w:r>
      <w:r>
        <w:rPr>
          <w:i/>
        </w:rPr>
        <w:t>The standard does not limit the length of the value of the displayFolder attribute.</w:t>
      </w:r>
    </w:p>
    <w:p w:rsidR="000A156F" w:rsidRDefault="00A9721F">
      <w:pPr>
        <w:pStyle w:val="Definition-Field2"/>
      </w:pPr>
      <w:r>
        <w:t>Excel restricts the value of</w:t>
      </w:r>
      <w:r>
        <w:t xml:space="preserve"> this attribute to be at most 65535 characters.</w:t>
      </w:r>
    </w:p>
    <w:p w:rsidR="000A156F" w:rsidRDefault="00A9721F">
      <w:pPr>
        <w:pStyle w:val="Definition-Field"/>
      </w:pPr>
      <w:r>
        <w:t xml:space="preserve">i.   </w:t>
      </w:r>
      <w:r>
        <w:rPr>
          <w:i/>
        </w:rPr>
        <w:t>The standard does not limit the length of the value of the measureGroup attribute.</w:t>
      </w:r>
    </w:p>
    <w:p w:rsidR="000A156F" w:rsidRDefault="00A9721F">
      <w:pPr>
        <w:pStyle w:val="Definition-Field2"/>
      </w:pPr>
      <w:r>
        <w:t>Excel restricts the value of this attribute to be at most 65535 characters.</w:t>
      </w:r>
    </w:p>
    <w:p w:rsidR="000A156F" w:rsidRDefault="00A9721F">
      <w:pPr>
        <w:pStyle w:val="Definition-Field"/>
      </w:pPr>
      <w:r>
        <w:t xml:space="preserve">j.   </w:t>
      </w:r>
      <w:r>
        <w:rPr>
          <w:i/>
        </w:rPr>
        <w:t>The standard does not place any restric</w:t>
      </w:r>
      <w:r>
        <w:rPr>
          <w:i/>
        </w:rPr>
        <w:t>tions on the value for the parentSet attribute.</w:t>
      </w:r>
    </w:p>
    <w:p w:rsidR="000A156F" w:rsidRDefault="00A9721F">
      <w:pPr>
        <w:pStyle w:val="Definition-Field2"/>
      </w:pPr>
      <w:r>
        <w:t>In Excel, the value must be less than the number of cacheHierarchy elements in cacheHierarchies collection.</w:t>
      </w:r>
    </w:p>
    <w:p w:rsidR="000A156F" w:rsidRDefault="00A9721F">
      <w:pPr>
        <w:pStyle w:val="Definition-Field"/>
      </w:pPr>
      <w:r>
        <w:t xml:space="preserve">k.   </w:t>
      </w:r>
      <w:r>
        <w:rPr>
          <w:i/>
        </w:rPr>
        <w:t>The standard does not state value restrictions for the iconSet attribute.</w:t>
      </w:r>
    </w:p>
    <w:p w:rsidR="000A156F" w:rsidRDefault="00A9721F">
      <w:pPr>
        <w:pStyle w:val="Definition-Field2"/>
      </w:pPr>
      <w:r>
        <w:t xml:space="preserve">Excel requires that </w:t>
      </w:r>
      <w:r>
        <w:t>the iconSet attribute be between 0 and 11.</w:t>
      </w:r>
    </w:p>
    <w:p w:rsidR="000A156F" w:rsidRDefault="00A9721F">
      <w:pPr>
        <w:pStyle w:val="Definition-Field"/>
      </w:pPr>
      <w:r>
        <w:t xml:space="preserve">l.   </w:t>
      </w:r>
      <w:r>
        <w:rPr>
          <w:i/>
        </w:rPr>
        <w:t>The standard does not place any restrictions on the value for the set attribute.</w:t>
      </w:r>
    </w:p>
    <w:p w:rsidR="000A156F" w:rsidRDefault="00A9721F">
      <w:pPr>
        <w:pStyle w:val="Definition-Field2"/>
      </w:pPr>
      <w:r>
        <w:t>In Excel, the values for the measure attribute and the set attribute cannot both be 1.</w:t>
      </w:r>
    </w:p>
    <w:p w:rsidR="000A156F" w:rsidRDefault="00A9721F">
      <w:pPr>
        <w:pStyle w:val="Definition-Field"/>
      </w:pPr>
      <w:r>
        <w:t xml:space="preserve">m.   </w:t>
      </w:r>
      <w:r>
        <w:rPr>
          <w:i/>
        </w:rPr>
        <w:t xml:space="preserve">The standard does not place any </w:t>
      </w:r>
      <w:r>
        <w:rPr>
          <w:i/>
        </w:rPr>
        <w:t>restrictions on the value for the measure attribute.</w:t>
      </w:r>
    </w:p>
    <w:p w:rsidR="000A156F" w:rsidRDefault="00A9721F">
      <w:pPr>
        <w:pStyle w:val="Definition-Field2"/>
      </w:pPr>
      <w:r>
        <w:lastRenderedPageBreak/>
        <w:t>In Excel, the values for the measure attribute and the set attribute cannot both be 1.</w:t>
      </w:r>
    </w:p>
    <w:p w:rsidR="000A156F" w:rsidRDefault="00A9721F">
      <w:pPr>
        <w:pStyle w:val="Definition-Field"/>
      </w:pPr>
      <w:r>
        <w:t xml:space="preserve">n.   </w:t>
      </w:r>
      <w:r>
        <w:rPr>
          <w:i/>
        </w:rPr>
        <w:t xml:space="preserve">The standard does not specify the relationship between the dimensionUniqueName attribute and dimension item in </w:t>
      </w:r>
      <w:r>
        <w:rPr>
          <w:i/>
        </w:rPr>
        <w:t>the dimensions collection.</w:t>
      </w:r>
    </w:p>
    <w:p w:rsidR="000A156F" w:rsidRDefault="00A9721F">
      <w:pPr>
        <w:pStyle w:val="Definition-Field2"/>
      </w:pPr>
      <w:r>
        <w:t>Excel requires that the dimensionUniqueName attribute match the uniqueName attribute of an item in the dimensions collection and must be present if the set attribute equals 0, measure=0, and hidden=0.</w:t>
      </w:r>
    </w:p>
    <w:p w:rsidR="000A156F" w:rsidRDefault="00A9721F">
      <w:pPr>
        <w:pStyle w:val="Definition-Field"/>
      </w:pPr>
      <w:r>
        <w:t xml:space="preserve">o.   </w:t>
      </w:r>
      <w:r>
        <w:rPr>
          <w:i/>
        </w:rPr>
        <w:t>The standard states tha</w:t>
      </w:r>
      <w:r>
        <w:rPr>
          <w:i/>
        </w:rPr>
        <w:t>t the oneField attribute, when true, indicates this hierarchy is associated with only one field.</w:t>
      </w:r>
    </w:p>
    <w:p w:rsidR="000A156F" w:rsidRDefault="00A9721F">
      <w:pPr>
        <w:pStyle w:val="Definition-Field2"/>
      </w:pPr>
      <w:r>
        <w:t>Excel requires that the oneField attribute be written out when the fieldsUsage collection contains one item.</w:t>
      </w:r>
    </w:p>
    <w:p w:rsidR="000A156F" w:rsidRDefault="00A9721F">
      <w:pPr>
        <w:pStyle w:val="Definition-Field"/>
      </w:pPr>
      <w:r>
        <w:t xml:space="preserve">p.   </w:t>
      </w:r>
      <w:r>
        <w:rPr>
          <w:i/>
        </w:rPr>
        <w:t>The standard does not specify any dependencie</w:t>
      </w:r>
      <w:r>
        <w:rPr>
          <w:i/>
        </w:rPr>
        <w:t>s between the measure attribute value and dimensions collection.</w:t>
      </w:r>
    </w:p>
    <w:p w:rsidR="000A156F" w:rsidRDefault="00A9721F">
      <w:pPr>
        <w:pStyle w:val="Definition-Field2"/>
      </w:pPr>
      <w:r>
        <w:t>In Excel, if the measure attribute equals 0, the matching dimension shall not have measure=1; if the measure attribute equals 1, there shall be at least one dimension with measure=1 if dimens</w:t>
      </w:r>
      <w:r>
        <w:t>ions collection present.</w:t>
      </w:r>
    </w:p>
    <w:p w:rsidR="000A156F" w:rsidRDefault="00A9721F">
      <w:pPr>
        <w:pStyle w:val="Heading3"/>
      </w:pPr>
      <w:bookmarkStart w:id="1506" w:name="section_4aff486b66ff4a1ea8529ea51026f79f"/>
      <w:bookmarkStart w:id="1507" w:name="_Toc181683779"/>
      <w:r>
        <w:t>Part 1 Section 18.10.1.7, cacheSource (PivotCache Source Description)</w:t>
      </w:r>
      <w:bookmarkEnd w:id="1506"/>
      <w:bookmarkEnd w:id="1507"/>
      <w:r>
        <w:fldChar w:fldCharType="begin"/>
      </w:r>
      <w:r>
        <w:instrText xml:space="preserve"> XE "cacheSource (PivotCache Source Description)" </w:instrText>
      </w:r>
      <w:r>
        <w:fldChar w:fldCharType="end"/>
      </w:r>
    </w:p>
    <w:p w:rsidR="000A156F" w:rsidRDefault="00A9721F">
      <w:pPr>
        <w:pStyle w:val="Definition-Field"/>
      </w:pPr>
      <w:r>
        <w:t xml:space="preserve">a.   </w:t>
      </w:r>
      <w:r>
        <w:rPr>
          <w:i/>
        </w:rPr>
        <w:t>The standard says that data source information is retrieved with the connectionId attribute.</w:t>
      </w:r>
    </w:p>
    <w:p w:rsidR="000A156F" w:rsidRDefault="00A9721F">
      <w:pPr>
        <w:pStyle w:val="Definition-Field2"/>
      </w:pPr>
      <w:r>
        <w:t>Office only</w:t>
      </w:r>
      <w:r>
        <w:t xml:space="preserve"> uses the connectionId attribute for external data sources.</w:t>
      </w:r>
    </w:p>
    <w:p w:rsidR="000A156F" w:rsidRDefault="00A9721F">
      <w:pPr>
        <w:pStyle w:val="Definition-Field"/>
      </w:pPr>
      <w:r>
        <w:t xml:space="preserve">b.   </w:t>
      </w:r>
      <w:r>
        <w:rPr>
          <w:i/>
        </w:rPr>
        <w:t>The standard states that the connectionId attribute is the index to the workbook connection.</w:t>
      </w:r>
    </w:p>
    <w:p w:rsidR="000A156F" w:rsidRDefault="00A9721F">
      <w:pPr>
        <w:pStyle w:val="Definition-Field2"/>
      </w:pPr>
      <w:r>
        <w:t>Office requires that the connectionId attribute be the unique ID of the workbook connection.</w:t>
      </w:r>
    </w:p>
    <w:p w:rsidR="000A156F" w:rsidRDefault="00A9721F">
      <w:pPr>
        <w:pStyle w:val="Definition-Field"/>
      </w:pPr>
      <w:r>
        <w:t xml:space="preserve">c.   </w:t>
      </w:r>
      <w:r>
        <w:rPr>
          <w:i/>
        </w:rPr>
        <w:t>The standard does not place any restrictions on the value for the connectionId attribute.</w:t>
      </w:r>
    </w:p>
    <w:p w:rsidR="000A156F" w:rsidRDefault="00A9721F">
      <w:r>
        <w:t xml:space="preserve">In Office, the connectionId attribute specifies the unique identifier of the workbook connection. When the cache type is set to External, this value shall be greater </w:t>
      </w:r>
      <w:r>
        <w:t xml:space="preserve">than 0 and shall be equal to </w:t>
      </w:r>
      <w:r>
        <w:rPr>
          <w:b/>
        </w:rPr>
        <w:t>id</w:t>
      </w:r>
      <w:r>
        <w:t xml:space="preserve"> in one of the </w:t>
      </w:r>
      <w:r>
        <w:rPr>
          <w:b/>
        </w:rPr>
        <w:t>connection</w:t>
      </w:r>
      <w:r>
        <w:t xml:space="preserve"> elements. </w:t>
      </w:r>
    </w:p>
    <w:p w:rsidR="000A156F" w:rsidRDefault="00A9721F">
      <w:pPr>
        <w:pStyle w:val="Definition-Field"/>
      </w:pPr>
      <w:r>
        <w:t xml:space="preserve">d.   </w:t>
      </w:r>
      <w:r>
        <w:rPr>
          <w:i/>
        </w:rPr>
        <w:t>The standard does not define any required schema based on the value of the type attribute.</w:t>
      </w:r>
    </w:p>
    <w:p w:rsidR="000A156F" w:rsidRDefault="00A9721F">
      <w:pPr>
        <w:pStyle w:val="Definition-Field2"/>
      </w:pPr>
      <w:r>
        <w:t>Office requires that if this value is worksheet, a child element worksheetSource shall be pr</w:t>
      </w:r>
      <w:r>
        <w:t>esent. If this value is consolidation, a child element consolidation shall be present.</w:t>
      </w:r>
    </w:p>
    <w:p w:rsidR="000A156F" w:rsidRDefault="00A9721F">
      <w:pPr>
        <w:pStyle w:val="Heading3"/>
      </w:pPr>
      <w:bookmarkStart w:id="1508" w:name="section_25596798a09d4c18a407e55532fb09f9"/>
      <w:bookmarkStart w:id="1509" w:name="_Toc181683780"/>
      <w:r>
        <w:t>Part 1 Section 18.10.1.8, calculatedItem (Calculated Item)</w:t>
      </w:r>
      <w:bookmarkEnd w:id="1508"/>
      <w:bookmarkEnd w:id="1509"/>
      <w:r>
        <w:fldChar w:fldCharType="begin"/>
      </w:r>
      <w:r>
        <w:instrText xml:space="preserve"> XE "calculatedItem (Calculated Item)" </w:instrText>
      </w:r>
      <w:r>
        <w:fldChar w:fldCharType="end"/>
      </w:r>
    </w:p>
    <w:p w:rsidR="000A156F" w:rsidRDefault="00A9721F">
      <w:pPr>
        <w:pStyle w:val="Definition-Field"/>
      </w:pPr>
      <w:r>
        <w:t xml:space="preserve">a.   </w:t>
      </w:r>
      <w:r>
        <w:rPr>
          <w:i/>
        </w:rPr>
        <w:t>The standard does not define restrictions on the value of the fi</w:t>
      </w:r>
      <w:r>
        <w:rPr>
          <w:i/>
        </w:rPr>
        <w:t>eld attribute.</w:t>
      </w:r>
    </w:p>
    <w:p w:rsidR="000A156F" w:rsidRDefault="00A9721F">
      <w:pPr>
        <w:pStyle w:val="Definition-Field2"/>
      </w:pPr>
      <w:r>
        <w:t>Office requires that the max value of the field attribute be less than the count of cacheField elements.</w:t>
      </w:r>
    </w:p>
    <w:p w:rsidR="000A156F" w:rsidRDefault="00A9721F">
      <w:pPr>
        <w:pStyle w:val="Definition-Field"/>
      </w:pPr>
      <w:r>
        <w:t xml:space="preserve">b.   </w:t>
      </w:r>
      <w:r>
        <w:rPr>
          <w:i/>
        </w:rPr>
        <w:t>The standard does not specify usage of child pivotArea element.</w:t>
      </w:r>
    </w:p>
    <w:p w:rsidR="000A156F" w:rsidRDefault="00A9721F">
      <w:pPr>
        <w:pStyle w:val="Definition-Field2"/>
      </w:pPr>
      <w:r>
        <w:t>In Office, pivotArea child element is used to specify cells to whic</w:t>
      </w:r>
      <w:r>
        <w:t>h the formula attributes apply.</w:t>
      </w:r>
    </w:p>
    <w:p w:rsidR="000A156F" w:rsidRDefault="00A9721F">
      <w:pPr>
        <w:pStyle w:val="Definition-Field"/>
      </w:pPr>
      <w:r>
        <w:t xml:space="preserve">c.   </w:t>
      </w:r>
      <w:r>
        <w:rPr>
          <w:i/>
        </w:rPr>
        <w:t>The standard does not place any restrictions on the value for the formula attribute.</w:t>
      </w:r>
    </w:p>
    <w:p w:rsidR="000A156F" w:rsidRDefault="00A9721F">
      <w:pPr>
        <w:pStyle w:val="Definition-Field2"/>
      </w:pPr>
      <w:r>
        <w:t>Office restricts the value of the formula attribute to be a Calculated Item Formula, as defined in Formulas ("</w:t>
      </w:r>
      <w:hyperlink r:id="rId137">
        <w:r>
          <w:rPr>
            <w:rStyle w:val="Hyperlink"/>
          </w:rPr>
          <w:t>[ISO/IEC-29500-1]</w:t>
        </w:r>
      </w:hyperlink>
      <w:r>
        <w:t xml:space="preserve"> §18.17").</w:t>
      </w:r>
    </w:p>
    <w:p w:rsidR="000A156F" w:rsidRDefault="00A9721F">
      <w:pPr>
        <w:pStyle w:val="Definition-Field"/>
      </w:pPr>
      <w:r>
        <w:lastRenderedPageBreak/>
        <w:t xml:space="preserve">d.   </w:t>
      </w:r>
      <w:r>
        <w:rPr>
          <w:i/>
        </w:rPr>
        <w:t>The standard specifies that the field attribute indicates an index of the pivotField with which this calculated item is associated.</w:t>
      </w:r>
    </w:p>
    <w:p w:rsidR="000A156F" w:rsidRDefault="00A9721F">
      <w:pPr>
        <w:pStyle w:val="Definition-Field2"/>
      </w:pPr>
      <w:r>
        <w:t xml:space="preserve">Office interprets the field attribute to specify </w:t>
      </w:r>
      <w:r>
        <w:t>an index of the cacheField with which this calculated item is associated.</w:t>
      </w:r>
    </w:p>
    <w:p w:rsidR="000A156F" w:rsidRDefault="00A9721F">
      <w:pPr>
        <w:pStyle w:val="Heading3"/>
      </w:pPr>
      <w:bookmarkStart w:id="1510" w:name="section_6e081fece42441c1be2e8f97ec01cf18"/>
      <w:bookmarkStart w:id="1511" w:name="_Toc181683781"/>
      <w:r>
        <w:t>Part 1 Section 18.10.1.10, calculatedMember (Calculated Member)</w:t>
      </w:r>
      <w:bookmarkEnd w:id="1510"/>
      <w:bookmarkEnd w:id="1511"/>
      <w:r>
        <w:fldChar w:fldCharType="begin"/>
      </w:r>
      <w:r>
        <w:instrText xml:space="preserve"> XE "calculatedMember (Calculated Member)" </w:instrText>
      </w:r>
      <w:r>
        <w:fldChar w:fldCharType="end"/>
      </w:r>
    </w:p>
    <w:p w:rsidR="000A156F" w:rsidRDefault="00A9721F">
      <w:pPr>
        <w:pStyle w:val="Definition-Field"/>
      </w:pPr>
      <w:r>
        <w:t xml:space="preserve">a.   </w:t>
      </w:r>
      <w:r>
        <w:rPr>
          <w:i/>
        </w:rPr>
        <w:t>The standard discusses calculatedMember in the context of calculated</w:t>
      </w:r>
      <w:r>
        <w:rPr>
          <w:i/>
        </w:rPr>
        <w:t xml:space="preserve"> OLAP hierarchies only.</w:t>
      </w:r>
    </w:p>
    <w:p w:rsidR="000A156F" w:rsidRDefault="00A9721F">
      <w:pPr>
        <w:pStyle w:val="Definition-Field2"/>
      </w:pPr>
      <w:r>
        <w:t>In Office, the calculatedMember element can also be used to represent a named set.</w:t>
      </w:r>
    </w:p>
    <w:p w:rsidR="000A156F" w:rsidRDefault="00A9721F">
      <w:pPr>
        <w:pStyle w:val="Definition-Field"/>
      </w:pPr>
      <w:r>
        <w:t xml:space="preserve">b.   </w:t>
      </w:r>
      <w:r>
        <w:rPr>
          <w:i/>
        </w:rPr>
        <w:t>The standard does not have a length restriction for the name attribute.</w:t>
      </w:r>
    </w:p>
    <w:p w:rsidR="000A156F" w:rsidRDefault="00A9721F">
      <w:pPr>
        <w:pStyle w:val="Definition-Field2"/>
      </w:pPr>
      <w:r>
        <w:t xml:space="preserve">Office limits the name attribute to being non-empty and less than 64000 </w:t>
      </w:r>
      <w:r>
        <w:t>characters.</w:t>
      </w:r>
    </w:p>
    <w:p w:rsidR="000A156F" w:rsidRDefault="00A9721F">
      <w:pPr>
        <w:pStyle w:val="Definition-Field"/>
      </w:pPr>
      <w:r>
        <w:t xml:space="preserve">c.   </w:t>
      </w:r>
      <w:r>
        <w:rPr>
          <w:i/>
        </w:rPr>
        <w:t>The standard does not specify a length restriction for the mdx attribute.</w:t>
      </w:r>
    </w:p>
    <w:p w:rsidR="000A156F" w:rsidRDefault="00A9721F">
      <w:pPr>
        <w:pStyle w:val="Definition-Field2"/>
      </w:pPr>
      <w:r>
        <w:t xml:space="preserve">Office limits the mdx attribute to being non-empty; if the createdVersion attribute of the pivotCacheDefinition is less than 3, the mdx attribute max length is less </w:t>
      </w:r>
      <w:r>
        <w:t>than 2049, otherwise it is 32767.</w:t>
      </w:r>
    </w:p>
    <w:p w:rsidR="000A156F" w:rsidRDefault="00A9721F">
      <w:pPr>
        <w:pStyle w:val="Definition-Field"/>
      </w:pPr>
      <w:r>
        <w:t xml:space="preserve">d.   </w:t>
      </w:r>
      <w:r>
        <w:rPr>
          <w:i/>
        </w:rPr>
        <w:t>The standard states that calculated items cannot be added.</w:t>
      </w:r>
    </w:p>
    <w:p w:rsidR="000A156F" w:rsidRDefault="00A9721F">
      <w:pPr>
        <w:pStyle w:val="Definition-Field2"/>
      </w:pPr>
      <w:r>
        <w:t>Office does allow the addition of calculated items.</w:t>
      </w:r>
    </w:p>
    <w:p w:rsidR="000A156F" w:rsidRDefault="00A9721F">
      <w:pPr>
        <w:pStyle w:val="Definition-Field"/>
      </w:pPr>
      <w:r>
        <w:t xml:space="preserve">e.   </w:t>
      </w:r>
      <w:r>
        <w:rPr>
          <w:i/>
        </w:rPr>
        <w:t>The standard does not limit the length of the value of the memberName attribute.</w:t>
      </w:r>
    </w:p>
    <w:p w:rsidR="000A156F" w:rsidRDefault="00A9721F">
      <w:pPr>
        <w:pStyle w:val="Definition-Field2"/>
      </w:pPr>
      <w:r>
        <w:t xml:space="preserve">Excel restricts the </w:t>
      </w:r>
      <w:r>
        <w:t>value of this attribute to be at least 1 and at most 65535 characters.</w:t>
      </w:r>
    </w:p>
    <w:p w:rsidR="000A156F" w:rsidRDefault="00A9721F">
      <w:pPr>
        <w:pStyle w:val="Definition-Field"/>
      </w:pPr>
      <w:r>
        <w:t xml:space="preserve">f.   </w:t>
      </w:r>
      <w:r>
        <w:rPr>
          <w:i/>
        </w:rPr>
        <w:t>The standard does not limit the length of the value of the hierarchy attribute.</w:t>
      </w:r>
    </w:p>
    <w:p w:rsidR="000A156F" w:rsidRDefault="00A9721F">
      <w:pPr>
        <w:pStyle w:val="Definition-Field2"/>
      </w:pPr>
      <w:r>
        <w:t>Excel restricts the value of this attribute to be at least 1 and at most 65535 characters.</w:t>
      </w:r>
    </w:p>
    <w:p w:rsidR="000A156F" w:rsidRDefault="00A9721F">
      <w:pPr>
        <w:pStyle w:val="Definition-Field"/>
      </w:pPr>
      <w:r>
        <w:t xml:space="preserve">g.   </w:t>
      </w:r>
      <w:r>
        <w:rPr>
          <w:i/>
        </w:rPr>
        <w:t xml:space="preserve">The </w:t>
      </w:r>
      <w:r>
        <w:rPr>
          <w:i/>
        </w:rPr>
        <w:t>standard does not limit the length of the value of the parent attribute.</w:t>
      </w:r>
    </w:p>
    <w:p w:rsidR="000A156F" w:rsidRDefault="00A9721F">
      <w:pPr>
        <w:pStyle w:val="Definition-Field2"/>
      </w:pPr>
      <w:r>
        <w:t>Excel restricts the value of this attribute to be at least 1 and at most 65535 characters.</w:t>
      </w:r>
    </w:p>
    <w:p w:rsidR="000A156F" w:rsidRDefault="00A9721F">
      <w:pPr>
        <w:pStyle w:val="Definition-Field"/>
      </w:pPr>
      <w:r>
        <w:t xml:space="preserve">h.   </w:t>
      </w:r>
      <w:r>
        <w:rPr>
          <w:i/>
        </w:rPr>
        <w:t>The standard does not specify a dependency of the memberName attribute on the set attri</w:t>
      </w:r>
      <w:r>
        <w:rPr>
          <w:i/>
        </w:rPr>
        <w:t>bute.</w:t>
      </w:r>
    </w:p>
    <w:p w:rsidR="000A156F" w:rsidRDefault="00A9721F">
      <w:pPr>
        <w:pStyle w:val="Definition-Field2"/>
      </w:pPr>
      <w:r>
        <w:t>Office requires that the memberName attribute shall be specified if the set attribute equals 0; it shall not be specified if the set attribute equals 1.</w:t>
      </w:r>
    </w:p>
    <w:p w:rsidR="000A156F" w:rsidRDefault="00A9721F">
      <w:pPr>
        <w:pStyle w:val="Definition-Field"/>
      </w:pPr>
      <w:r>
        <w:t xml:space="preserve">i.   </w:t>
      </w:r>
      <w:r>
        <w:rPr>
          <w:i/>
        </w:rPr>
        <w:t>The standard does not specify a dependency of the hierarchy attribute on the set attribute.</w:t>
      </w:r>
    </w:p>
    <w:p w:rsidR="000A156F" w:rsidRDefault="00A9721F">
      <w:pPr>
        <w:pStyle w:val="Definition-Field2"/>
      </w:pPr>
      <w:r>
        <w:t>Office requires that the hierarchy attribute shall be specified if the set attribute equals 0; it shall not be specified if the set attribute equals 1.</w:t>
      </w:r>
    </w:p>
    <w:p w:rsidR="000A156F" w:rsidRDefault="00A9721F">
      <w:pPr>
        <w:pStyle w:val="Definition-Field"/>
      </w:pPr>
      <w:r>
        <w:t xml:space="preserve">j.   </w:t>
      </w:r>
      <w:r>
        <w:rPr>
          <w:i/>
        </w:rPr>
        <w:t>The standard does not specify a dependency between the parent attribute and the set attribute.</w:t>
      </w:r>
    </w:p>
    <w:p w:rsidR="000A156F" w:rsidRDefault="00A9721F">
      <w:pPr>
        <w:pStyle w:val="Definition-Field2"/>
      </w:pPr>
      <w:r>
        <w:t>Offi</w:t>
      </w:r>
      <w:r>
        <w:t>ce requires that the parent attribute shall not be specified if the set attribute equals 1.</w:t>
      </w:r>
    </w:p>
    <w:p w:rsidR="000A156F" w:rsidRDefault="00A9721F">
      <w:pPr>
        <w:pStyle w:val="Heading3"/>
      </w:pPr>
      <w:bookmarkStart w:id="1512" w:name="section_9e183000e99d4de69b77a628dda03422"/>
      <w:bookmarkStart w:id="1513" w:name="_Toc181683782"/>
      <w:r>
        <w:t>Part 1 Section 18.10.1.12, chartFormat (PivotChart Format)</w:t>
      </w:r>
      <w:bookmarkEnd w:id="1512"/>
      <w:bookmarkEnd w:id="1513"/>
      <w:r>
        <w:fldChar w:fldCharType="begin"/>
      </w:r>
      <w:r>
        <w:instrText xml:space="preserve"> XE "chartFormat (PivotChart Format)" </w:instrText>
      </w:r>
      <w:r>
        <w:fldChar w:fldCharType="end"/>
      </w:r>
    </w:p>
    <w:p w:rsidR="000A156F" w:rsidRDefault="00A9721F">
      <w:pPr>
        <w:pStyle w:val="Definition-Field"/>
      </w:pPr>
      <w:r>
        <w:t xml:space="preserve">a.   </w:t>
      </w:r>
      <w:r>
        <w:rPr>
          <w:i/>
        </w:rPr>
        <w:t>The standard states that the format attribute specifies an i</w:t>
      </w:r>
      <w:r>
        <w:rPr>
          <w:i/>
        </w:rPr>
        <w:t>ndex to a dxf element in the Styles part.</w:t>
      </w:r>
    </w:p>
    <w:p w:rsidR="000A156F" w:rsidRDefault="00A9721F">
      <w:pPr>
        <w:pStyle w:val="Definition-Field2"/>
      </w:pPr>
      <w:r>
        <w:t>Office uses the format attribute to specify an index to a pivotFmt element in the Chart part.</w:t>
      </w:r>
    </w:p>
    <w:p w:rsidR="000A156F" w:rsidRDefault="00A9721F">
      <w:pPr>
        <w:pStyle w:val="Heading3"/>
      </w:pPr>
      <w:bookmarkStart w:id="1514" w:name="section_751c37c0b03a4a0ab471094850b9faab"/>
      <w:bookmarkStart w:id="1515" w:name="_Toc181683783"/>
      <w:r>
        <w:lastRenderedPageBreak/>
        <w:t>Part 1 Section 18.10.1.15, colHierarchiesUsage (Column OLAP Hierarchy References)</w:t>
      </w:r>
      <w:bookmarkEnd w:id="1514"/>
      <w:bookmarkEnd w:id="1515"/>
      <w:r>
        <w:fldChar w:fldCharType="begin"/>
      </w:r>
      <w:r>
        <w:instrText xml:space="preserve"> XE "colHierarchiesUsage (Column OLAP H</w:instrText>
      </w:r>
      <w:r>
        <w:instrText xml:space="preserve">ierarchy References)" </w:instrText>
      </w:r>
      <w:r>
        <w:fldChar w:fldCharType="end"/>
      </w:r>
    </w:p>
    <w:p w:rsidR="000A156F" w:rsidRDefault="00A9721F">
      <w:pPr>
        <w:pStyle w:val="Definition-Field"/>
      </w:pPr>
      <w:r>
        <w:t xml:space="preserve">a.   </w:t>
      </w:r>
      <w:r>
        <w:rPr>
          <w:i/>
        </w:rPr>
        <w:t>The standard states that the maxOccurs value for the colHierarchyUsage child element is unbounded.</w:t>
      </w:r>
    </w:p>
    <w:p w:rsidR="000A156F" w:rsidRDefault="00A9721F">
      <w:pPr>
        <w:pStyle w:val="Definition-Field2"/>
      </w:pPr>
      <w:r>
        <w:t>Excel limits the occurrences of this element to 16384.</w:t>
      </w:r>
    </w:p>
    <w:p w:rsidR="000A156F" w:rsidRDefault="00A9721F">
      <w:pPr>
        <w:pStyle w:val="Heading3"/>
      </w:pPr>
      <w:bookmarkStart w:id="1516" w:name="section_af9607e8ee2e46b1b90f57aea205bec7"/>
      <w:bookmarkStart w:id="1517" w:name="_Toc181683784"/>
      <w:r>
        <w:t>Part 1 Section 18.10.1.16, colHierarchyUsage (Column OLAP Hierarchies)</w:t>
      </w:r>
      <w:bookmarkEnd w:id="1516"/>
      <w:bookmarkEnd w:id="1517"/>
      <w:r>
        <w:fldChar w:fldCharType="begin"/>
      </w:r>
      <w:r>
        <w:instrText xml:space="preserve"> X</w:instrText>
      </w:r>
      <w:r>
        <w:instrText xml:space="preserve">E "colHierarchyUsage (Column OLAP Hierarchies)"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rsidR="000A156F" w:rsidRDefault="00A9721F">
      <w:pPr>
        <w:pStyle w:val="Heading3"/>
      </w:pPr>
      <w:bookmarkStart w:id="1518" w:name="section_857d7ed2fdba4c2a9f3c33a6229a342d"/>
      <w:bookmarkStart w:id="1519" w:name="_Toc181683785"/>
      <w:r>
        <w:t>Part 1 Section 18.10.1.17, colItems (Column Items)</w:t>
      </w:r>
      <w:bookmarkEnd w:id="1518"/>
      <w:bookmarkEnd w:id="1519"/>
      <w:r>
        <w:fldChar w:fldCharType="begin"/>
      </w:r>
      <w:r>
        <w:instrText xml:space="preserve"> XE "colItems (Column Items)" </w:instrText>
      </w:r>
      <w:r>
        <w:fldChar w:fldCharType="end"/>
      </w:r>
    </w:p>
    <w:p w:rsidR="000A156F" w:rsidRDefault="00A9721F">
      <w:pPr>
        <w:pStyle w:val="Definition-Field"/>
      </w:pPr>
      <w:r>
        <w:t xml:space="preserve">a.   </w:t>
      </w:r>
      <w:r>
        <w:rPr>
          <w:i/>
        </w:rPr>
        <w:t>The standard states that the maxOccurs value for the i child element is unbounded.</w:t>
      </w:r>
    </w:p>
    <w:p w:rsidR="000A156F" w:rsidRDefault="00A9721F">
      <w:pPr>
        <w:pStyle w:val="Definition-Field2"/>
      </w:pPr>
      <w:r>
        <w:t>Excel limits the occurrences of this element to 1048576.</w:t>
      </w:r>
    </w:p>
    <w:p w:rsidR="000A156F" w:rsidRDefault="00A9721F">
      <w:pPr>
        <w:pStyle w:val="Heading3"/>
      </w:pPr>
      <w:bookmarkStart w:id="1520" w:name="section_70202dcd0bd140e1ab4ef468dd42dc0e"/>
      <w:bookmarkStart w:id="1521" w:name="_Toc181683786"/>
      <w:r>
        <w:t>Part 1 Section 18.10.1.18, c</w:t>
      </w:r>
      <w:r>
        <w:t>onditionalFormat (Conditional Formatting)</w:t>
      </w:r>
      <w:bookmarkEnd w:id="1520"/>
      <w:bookmarkEnd w:id="1521"/>
      <w:r>
        <w:fldChar w:fldCharType="begin"/>
      </w:r>
      <w:r>
        <w:instrText xml:space="preserve"> XE "conditionalFormat (Conditional Formatting)" </w:instrText>
      </w:r>
      <w:r>
        <w:fldChar w:fldCharType="end"/>
      </w:r>
    </w:p>
    <w:p w:rsidR="000A156F" w:rsidRDefault="00A9721F">
      <w:pPr>
        <w:pStyle w:val="Definition-Field"/>
      </w:pPr>
      <w:r>
        <w:t xml:space="preserve">a.   </w:t>
      </w:r>
      <w:r>
        <w:rPr>
          <w:i/>
        </w:rPr>
        <w:t>The standard does not state the relationship of the priority attribute to the worksheet cfRule element.</w:t>
      </w:r>
    </w:p>
    <w:p w:rsidR="000A156F" w:rsidRDefault="00A9721F">
      <w:pPr>
        <w:pStyle w:val="Definition-Field2"/>
      </w:pPr>
      <w:r>
        <w:t>In Office, there shall be a conditionalFormatting elem</w:t>
      </w:r>
      <w:r>
        <w:t>ent, in the worksheet part associated with this PivotTable, with the pivot attribute equal to true and a cfRule element with the priority attribute equal to this priority value.</w:t>
      </w:r>
    </w:p>
    <w:p w:rsidR="000A156F" w:rsidRDefault="00A9721F">
      <w:pPr>
        <w:pStyle w:val="Definition-Field"/>
      </w:pPr>
      <w:r>
        <w:t xml:space="preserve">b.   </w:t>
      </w:r>
      <w:r>
        <w:rPr>
          <w:i/>
        </w:rPr>
        <w:t>The standard does not place any restriction on the relationship between t</w:t>
      </w:r>
      <w:r>
        <w:rPr>
          <w:i/>
        </w:rPr>
        <w:t>he values of the scope attribute and the type attribute.</w:t>
      </w:r>
    </w:p>
    <w:p w:rsidR="000A156F" w:rsidRDefault="00A9721F">
      <w:pPr>
        <w:pStyle w:val="Definition-Field2"/>
      </w:pPr>
      <w:r>
        <w:t>In Office, when the scope attribute equals data or selection, only the values all or none are allowed for the type attribute.</w:t>
      </w:r>
    </w:p>
    <w:p w:rsidR="000A156F" w:rsidRDefault="00A9721F">
      <w:pPr>
        <w:pStyle w:val="Heading3"/>
      </w:pPr>
      <w:bookmarkStart w:id="1522" w:name="section_11e2ac2dcf0a4db3b3f69bfae45fbce6"/>
      <w:bookmarkStart w:id="1523" w:name="_Toc181683787"/>
      <w:r>
        <w:t>Part 1 Section 18.10.1.21, d (Date Time)</w:t>
      </w:r>
      <w:bookmarkEnd w:id="1522"/>
      <w:bookmarkEnd w:id="1523"/>
      <w:r>
        <w:fldChar w:fldCharType="begin"/>
      </w:r>
      <w:r>
        <w:instrText xml:space="preserve"> XE "d (Date Time)" </w:instrText>
      </w:r>
      <w:r>
        <w:fldChar w:fldCharType="end"/>
      </w:r>
    </w:p>
    <w:p w:rsidR="000A156F" w:rsidRDefault="00A9721F">
      <w:pPr>
        <w:pStyle w:val="Definition-Field"/>
      </w:pPr>
      <w:r>
        <w:t xml:space="preserve">a.   </w:t>
      </w:r>
      <w:r>
        <w:rPr>
          <w:i/>
        </w:rPr>
        <w:t>The s</w:t>
      </w:r>
      <w:r>
        <w:rPr>
          <w:i/>
        </w:rPr>
        <w:t>tandard does not specify a default value for the u attribute.</w:t>
      </w:r>
    </w:p>
    <w:p w:rsidR="000A156F" w:rsidRDefault="00A9721F">
      <w:pPr>
        <w:pStyle w:val="Definition-Field2"/>
      </w:pPr>
      <w:r>
        <w:t>Excel uses a default value of false for this attribute.</w:t>
      </w:r>
    </w:p>
    <w:p w:rsidR="000A156F" w:rsidRDefault="00A9721F">
      <w:pPr>
        <w:pStyle w:val="Definition-Field"/>
      </w:pPr>
      <w:r>
        <w:t xml:space="preserve">b.   </w:t>
      </w:r>
      <w:r>
        <w:rPr>
          <w:i/>
        </w:rPr>
        <w:t>The standard does not specify a default value for the f attribute.</w:t>
      </w:r>
    </w:p>
    <w:p w:rsidR="000A156F" w:rsidRDefault="00A9721F">
      <w:pPr>
        <w:pStyle w:val="Definition-Field2"/>
      </w:pPr>
      <w:r>
        <w:t>Excel uses a default value of false for this attribute.</w:t>
      </w:r>
    </w:p>
    <w:p w:rsidR="000A156F" w:rsidRDefault="00A9721F">
      <w:pPr>
        <w:pStyle w:val="Definition-Field"/>
      </w:pPr>
      <w:r>
        <w:t xml:space="preserve">c.   </w:t>
      </w:r>
      <w:r>
        <w:rPr>
          <w:i/>
        </w:rPr>
        <w:t xml:space="preserve">The </w:t>
      </w:r>
      <w:r>
        <w:rPr>
          <w:i/>
        </w:rPr>
        <w:t>standard does not limit the length of the value of the c attribute.</w:t>
      </w:r>
    </w:p>
    <w:p w:rsidR="000A156F" w:rsidRDefault="00A9721F">
      <w:pPr>
        <w:pStyle w:val="Definition-Field2"/>
      </w:pPr>
      <w:r>
        <w:t>Excel restricts the value of this attribute to be at most 65535 characters.</w:t>
      </w:r>
    </w:p>
    <w:p w:rsidR="000A156F" w:rsidRDefault="00A9721F">
      <w:pPr>
        <w:pStyle w:val="Definition-Field"/>
      </w:pPr>
      <w:r>
        <w:t xml:space="preserve">d.   </w:t>
      </w:r>
      <w:r>
        <w:rPr>
          <w:i/>
        </w:rPr>
        <w:t>The standard does not define @c's relation with the datasource type.</w:t>
      </w:r>
    </w:p>
    <w:p w:rsidR="000A156F" w:rsidRDefault="00A9721F">
      <w:pPr>
        <w:pStyle w:val="Definition-Field2"/>
      </w:pPr>
      <w:r>
        <w:t>In Office, @c applies only to OLAP-bas</w:t>
      </w:r>
      <w:r>
        <w:t>ed PivotTables and only when pivotCacheDefinition@createdVersion is 3 or greater.</w:t>
      </w:r>
    </w:p>
    <w:p w:rsidR="000A156F" w:rsidRDefault="00A9721F">
      <w:pPr>
        <w:pStyle w:val="Definition-Field"/>
      </w:pPr>
      <w:r>
        <w:t xml:space="preserve">e.   </w:t>
      </w:r>
      <w:r>
        <w:rPr>
          <w:i/>
        </w:rPr>
        <w:t>The standard does not define the relationship between the cp attribute and the datasource type.</w:t>
      </w:r>
    </w:p>
    <w:p w:rsidR="000A156F" w:rsidRDefault="00A9721F">
      <w:pPr>
        <w:pStyle w:val="Definition-Field2"/>
      </w:pPr>
      <w:r>
        <w:t>In Office, the cp attribute applies to OLAP-based PivotTables only.</w:t>
      </w:r>
    </w:p>
    <w:p w:rsidR="000A156F" w:rsidRDefault="00A9721F">
      <w:pPr>
        <w:pStyle w:val="Definition-Field"/>
      </w:pPr>
      <w:r>
        <w:t xml:space="preserve">f.   </w:t>
      </w:r>
      <w:r>
        <w:rPr>
          <w:i/>
        </w:rPr>
        <w:t>The standard does not define the relation between the cp attribute and the sharedItems parent.</w:t>
      </w:r>
    </w:p>
    <w:p w:rsidR="000A156F" w:rsidRDefault="00A9721F">
      <w:pPr>
        <w:pStyle w:val="Definition-Field2"/>
      </w:pPr>
      <w:r>
        <w:lastRenderedPageBreak/>
        <w:t>In Office, the cp attribute applies when the parent is sharedItems.</w:t>
      </w:r>
    </w:p>
    <w:p w:rsidR="000A156F" w:rsidRDefault="00A9721F">
      <w:pPr>
        <w:pStyle w:val="Definition-Field"/>
      </w:pPr>
      <w:r>
        <w:t xml:space="preserve">g.   </w:t>
      </w:r>
      <w:r>
        <w:rPr>
          <w:i/>
        </w:rPr>
        <w:t>The standard does not define the relation between @f and the sharedItems parent.</w:t>
      </w:r>
    </w:p>
    <w:p w:rsidR="000A156F" w:rsidRDefault="00A9721F">
      <w:pPr>
        <w:pStyle w:val="Definition-Field2"/>
      </w:pPr>
      <w:r>
        <w:t>In Offi</w:t>
      </w:r>
      <w:r>
        <w:t>ce, @f applies when the parent is sharedItems.</w:t>
      </w:r>
    </w:p>
    <w:p w:rsidR="000A156F" w:rsidRDefault="00A9721F">
      <w:pPr>
        <w:pStyle w:val="Definition-Field"/>
      </w:pPr>
      <w:r>
        <w:t xml:space="preserve">h.   </w:t>
      </w:r>
      <w:r>
        <w:rPr>
          <w:i/>
        </w:rPr>
        <w:t>The standard does not define restrictions on the value of @cp.</w:t>
      </w:r>
    </w:p>
    <w:p w:rsidR="000A156F" w:rsidRDefault="00A9721F">
      <w:pPr>
        <w:pStyle w:val="Definition-Field2"/>
      </w:pPr>
      <w:r>
        <w:t xml:space="preserve">In Excel, @cp shall be equal to the count of child x elements and be less than or equal to the @mappingCount of the corresponding cacheField </w:t>
      </w:r>
      <w:r>
        <w:t>element.</w:t>
      </w:r>
    </w:p>
    <w:p w:rsidR="000A156F" w:rsidRDefault="00A9721F">
      <w:pPr>
        <w:pStyle w:val="Definition-Field"/>
      </w:pPr>
      <w:r>
        <w:t xml:space="preserve">i.   </w:t>
      </w:r>
      <w:r>
        <w:rPr>
          <w:i/>
        </w:rPr>
        <w:t>The standard does not define the relation between @u and the sharedItems parent.</w:t>
      </w:r>
    </w:p>
    <w:p w:rsidR="000A156F" w:rsidRDefault="00A9721F">
      <w:pPr>
        <w:pStyle w:val="Definition-Field2"/>
      </w:pPr>
      <w:r>
        <w:t>In Excel, @u applies when the parent is sharedItems.</w:t>
      </w:r>
    </w:p>
    <w:p w:rsidR="000A156F" w:rsidRDefault="00A9721F">
      <w:pPr>
        <w:pStyle w:val="Heading3"/>
      </w:pPr>
      <w:bookmarkStart w:id="1524" w:name="section_0736556bddde42e4ba5940410c5735c2"/>
      <w:bookmarkStart w:id="1525" w:name="_Toc181683788"/>
      <w:r>
        <w:t>Part 1 Section 18.10.1.22, dataField (Data Field Item)</w:t>
      </w:r>
      <w:bookmarkEnd w:id="1524"/>
      <w:bookmarkEnd w:id="1525"/>
      <w:r>
        <w:fldChar w:fldCharType="begin"/>
      </w:r>
      <w:r>
        <w:instrText xml:space="preserve"> XE "dataField (Data Field Item)" </w:instrText>
      </w:r>
      <w:r>
        <w:fldChar w:fldCharType="end"/>
      </w:r>
    </w:p>
    <w:p w:rsidR="000A156F" w:rsidRDefault="00A9721F">
      <w:pPr>
        <w:pStyle w:val="Definition-Field"/>
      </w:pPr>
      <w:r>
        <w:t xml:space="preserve">a.   </w:t>
      </w:r>
      <w:r>
        <w:rPr>
          <w:i/>
        </w:rPr>
        <w:t>The standard</w:t>
      </w:r>
      <w:r>
        <w:rPr>
          <w:i/>
        </w:rPr>
        <w:t xml:space="preserve"> does not specify length restrictions for the name attribute.</w:t>
      </w:r>
    </w:p>
    <w:p w:rsidR="000A156F" w:rsidRDefault="00A9721F">
      <w:pPr>
        <w:pStyle w:val="Definition-Field2"/>
      </w:pPr>
      <w:r>
        <w:t>Office specifies the maximum length of the name attribute shall be 32767, unless pivotTableDefinition@createdVersion is less than 3 in which case the maximum shall be 255.</w:t>
      </w:r>
    </w:p>
    <w:p w:rsidR="000A156F" w:rsidRDefault="00A9721F">
      <w:pPr>
        <w:pStyle w:val="Definition-Field"/>
      </w:pPr>
      <w:r>
        <w:t xml:space="preserve">b.   </w:t>
      </w:r>
      <w:r>
        <w:rPr>
          <w:i/>
        </w:rPr>
        <w:t>The standard stat</w:t>
      </w:r>
      <w:r>
        <w:rPr>
          <w:i/>
        </w:rPr>
        <w:t>es the fld attribute specifies the index to the field in the pivotCacheRecords part that this data item summarizes.</w:t>
      </w:r>
    </w:p>
    <w:p w:rsidR="000A156F" w:rsidRDefault="00A9721F">
      <w:pPr>
        <w:pStyle w:val="Definition-Field2"/>
      </w:pPr>
      <w:r>
        <w:t>In Office, the fld attribute specifies a valid index into the pivotField elements of the pivotFields.</w:t>
      </w:r>
    </w:p>
    <w:p w:rsidR="000A156F" w:rsidRDefault="00A9721F">
      <w:pPr>
        <w:pStyle w:val="Definition-Field"/>
      </w:pPr>
      <w:r>
        <w:t xml:space="preserve">c.   </w:t>
      </w:r>
      <w:r>
        <w:rPr>
          <w:i/>
        </w:rPr>
        <w:t xml:space="preserve">The standard for @showDataAs has </w:t>
      </w:r>
      <w:r>
        <w:rPr>
          <w:i/>
        </w:rPr>
        <w:t>a note about cell formatting.</w:t>
      </w:r>
    </w:p>
    <w:p w:rsidR="000A156F" w:rsidRDefault="00A9721F">
      <w:pPr>
        <w:pStyle w:val="Definition-Field2"/>
      </w:pPr>
      <w:r>
        <w:t>Office for @showDataAs uses the ST_ShowDataAs definition to determine how the dataField should be used rather than the note direction.</w:t>
      </w:r>
    </w:p>
    <w:p w:rsidR="000A156F" w:rsidRDefault="00A9721F">
      <w:pPr>
        <w:pStyle w:val="Definition-Field"/>
      </w:pPr>
      <w:r>
        <w:t xml:space="preserve">d.   </w:t>
      </w:r>
      <w:r>
        <w:rPr>
          <w:i/>
        </w:rPr>
        <w:t>The standard does not define a default behavior for the numFmtId attribute.</w:t>
      </w:r>
    </w:p>
    <w:p w:rsidR="000A156F" w:rsidRDefault="00A9721F">
      <w:pPr>
        <w:pStyle w:val="Definition-Field2"/>
      </w:pPr>
      <w:r>
        <w:t>Office ass</w:t>
      </w:r>
      <w:r>
        <w:t>umes the application uses a default format if the numFmtId attribute is not present.</w:t>
      </w:r>
    </w:p>
    <w:p w:rsidR="000A156F" w:rsidRDefault="00A9721F">
      <w:pPr>
        <w:pStyle w:val="Definition-Field"/>
      </w:pPr>
      <w:r>
        <w:t xml:space="preserve">e.   </w:t>
      </w:r>
      <w:r>
        <w:rPr>
          <w:i/>
        </w:rPr>
        <w:t>The standard does not specify restrictions for the baseField attribute.</w:t>
      </w:r>
    </w:p>
    <w:p w:rsidR="000A156F" w:rsidRDefault="00A9721F">
      <w:pPr>
        <w:pStyle w:val="Definition-Field2"/>
      </w:pPr>
      <w:r>
        <w:t>In Office, if the showDataAs attribute is difference, percent, percentDiff or runTotal, then t</w:t>
      </w:r>
      <w:r>
        <w:t>he baseField attribute value shall be greater or equal to zero and less than the number of pivotField elements in the pivotFields collection.</w:t>
      </w:r>
    </w:p>
    <w:p w:rsidR="000A156F" w:rsidRDefault="00A9721F">
      <w:pPr>
        <w:pStyle w:val="Definition-Field"/>
      </w:pPr>
      <w:r>
        <w:t xml:space="preserve">f.   </w:t>
      </w:r>
      <w:r>
        <w:rPr>
          <w:i/>
        </w:rPr>
        <w:t>The standard does not restrict the value of the baseItem attribute.</w:t>
      </w:r>
    </w:p>
    <w:p w:rsidR="000A156F" w:rsidRDefault="00A9721F">
      <w:r>
        <w:t>In Office, if the showDataAs attribute eq</w:t>
      </w:r>
      <w:r>
        <w:t>uals difference, percent, or percentDiff, then the baseItem attribute shall be 1048828 (the previous item) or 1048829 (the next item). Otherwise, it is less than the number of item elements in the items collection of the field pointed to by the baseField a</w:t>
      </w:r>
      <w:r>
        <w:t>ttribute.</w:t>
      </w:r>
    </w:p>
    <w:p w:rsidR="000A156F" w:rsidRDefault="00A9721F">
      <w:pPr>
        <w:pStyle w:val="Heading3"/>
      </w:pPr>
      <w:bookmarkStart w:id="1526" w:name="section_f0f7a394d036412ca0811bb4aadc00ce"/>
      <w:bookmarkStart w:id="1527" w:name="_Toc181683789"/>
      <w:r>
        <w:t>Part 1 Section 18.10.1.24, dimension (OLAP Dimension)</w:t>
      </w:r>
      <w:bookmarkEnd w:id="1526"/>
      <w:bookmarkEnd w:id="1527"/>
      <w:r>
        <w:fldChar w:fldCharType="begin"/>
      </w:r>
      <w:r>
        <w:instrText xml:space="preserve"> XE "dimension (OLAP Dimension)" </w:instrText>
      </w:r>
      <w:r>
        <w:fldChar w:fldCharType="end"/>
      </w:r>
    </w:p>
    <w:p w:rsidR="000A156F" w:rsidRDefault="00A9721F">
      <w:pPr>
        <w:pStyle w:val="Definition-Field"/>
      </w:pPr>
      <w:r>
        <w:t xml:space="preserve">a.   </w:t>
      </w:r>
      <w:r>
        <w:rPr>
          <w:i/>
        </w:rPr>
        <w:t>The standard does not limit the length of the value of the caption attribute.</w:t>
      </w:r>
    </w:p>
    <w:p w:rsidR="000A156F" w:rsidRDefault="00A9721F">
      <w:pPr>
        <w:pStyle w:val="Definition-Field2"/>
      </w:pPr>
      <w:r>
        <w:t>Excel restricts the value of this attribute to be at least 1 and at most 6</w:t>
      </w:r>
      <w:r>
        <w:t>5535 characters.</w:t>
      </w:r>
    </w:p>
    <w:p w:rsidR="000A156F" w:rsidRDefault="00A9721F">
      <w:pPr>
        <w:pStyle w:val="Definition-Field"/>
      </w:pPr>
      <w:r>
        <w:t xml:space="preserve">b.   </w:t>
      </w:r>
      <w:r>
        <w:rPr>
          <w:i/>
        </w:rPr>
        <w:t>The standard does not limit the length of the value of the name attribute.</w:t>
      </w:r>
    </w:p>
    <w:p w:rsidR="000A156F" w:rsidRDefault="00A9721F">
      <w:pPr>
        <w:pStyle w:val="Definition-Field2"/>
      </w:pPr>
      <w:r>
        <w:t>Excel restricts the value of this attribute to be at least 1 and at most 65535 characters.</w:t>
      </w:r>
    </w:p>
    <w:p w:rsidR="000A156F" w:rsidRDefault="00A9721F">
      <w:pPr>
        <w:pStyle w:val="Definition-Field"/>
      </w:pPr>
      <w:r>
        <w:t xml:space="preserve">c.   </w:t>
      </w:r>
      <w:r>
        <w:rPr>
          <w:i/>
        </w:rPr>
        <w:t>The standard does not limit the length of the value of the uniq</w:t>
      </w:r>
      <w:r>
        <w:rPr>
          <w:i/>
        </w:rPr>
        <w:t>ueName attribute.</w:t>
      </w:r>
    </w:p>
    <w:p w:rsidR="000A156F" w:rsidRDefault="00A9721F">
      <w:pPr>
        <w:pStyle w:val="Definition-Field2"/>
      </w:pPr>
      <w:r>
        <w:t>Excel restricts the value of this attribute to be at least 1 and at most 32767 characters.</w:t>
      </w:r>
    </w:p>
    <w:p w:rsidR="000A156F" w:rsidRDefault="00A9721F">
      <w:pPr>
        <w:pStyle w:val="Heading3"/>
      </w:pPr>
      <w:bookmarkStart w:id="1528" w:name="section_9cd9d70220324faa8243174a28700755"/>
      <w:bookmarkStart w:id="1529" w:name="_Toc181683790"/>
      <w:r>
        <w:lastRenderedPageBreak/>
        <w:t>Part 1 Section 18.10.1.26, discretePr (Discrete Grouping Properties)</w:t>
      </w:r>
      <w:bookmarkEnd w:id="1528"/>
      <w:bookmarkEnd w:id="1529"/>
      <w:r>
        <w:fldChar w:fldCharType="begin"/>
      </w:r>
      <w:r>
        <w:instrText xml:space="preserve"> XE "discretePr (Discrete Grouping Properties)" </w:instrText>
      </w:r>
      <w:r>
        <w:fldChar w:fldCharType="end"/>
      </w:r>
    </w:p>
    <w:p w:rsidR="000A156F" w:rsidRDefault="00A9721F">
      <w:pPr>
        <w:pStyle w:val="Definition-Field"/>
      </w:pPr>
      <w:r>
        <w:t xml:space="preserve">a.   </w:t>
      </w:r>
      <w:r>
        <w:rPr>
          <w:i/>
        </w:rPr>
        <w:t>The standard says discr</w:t>
      </w:r>
      <w:r>
        <w:rPr>
          <w:i/>
        </w:rPr>
        <w:t>etePr represents the collection of discrete grouping properties for a field group.</w:t>
      </w:r>
    </w:p>
    <w:p w:rsidR="000A156F" w:rsidRDefault="00A9721F">
      <w:r>
        <w:t>In Office, each child element specifies a mapping from an element in the sharedItems collection ("</w:t>
      </w:r>
      <w:hyperlink r:id="rId138">
        <w:r>
          <w:rPr>
            <w:rStyle w:val="Hyperlink"/>
          </w:rPr>
          <w:t>[ISO/IEC-</w:t>
        </w:r>
        <w:r>
          <w:rPr>
            <w:rStyle w:val="Hyperlink"/>
          </w:rPr>
          <w:t>29500-1]</w:t>
        </w:r>
      </w:hyperlink>
      <w:r>
        <w:t xml:space="preserve"> §18.10.1.90; sharedItems (Shared Items)") of the base field of this field group to an element in the groupItems collection ("[ISO/IEC-29500-1]</w:t>
      </w:r>
      <w:r>
        <w:t xml:space="preserve"> §18.10.1.38; groupItems") of the field group, using a zero-based index into the groupItems collection. The number of child elements shall match the number of elements in the sharedItems collection ("[ISO/IEC-29500-1] §18.10.1.90; sharedItems (Shared Items</w:t>
      </w:r>
      <w:r>
        <w:t>)") of the base field of this field group.</w:t>
      </w:r>
    </w:p>
    <w:p w:rsidR="000A156F" w:rsidRDefault="00A9721F">
      <w:pPr>
        <w:pStyle w:val="Heading3"/>
      </w:pPr>
      <w:bookmarkStart w:id="1530" w:name="section_7fcc8aec5f1f443399032a30573dfc5d"/>
      <w:bookmarkStart w:id="1531" w:name="_Toc181683791"/>
      <w:r>
        <w:t>Part 1 Section 18.10.1.27, e (Error Value)</w:t>
      </w:r>
      <w:bookmarkEnd w:id="1530"/>
      <w:bookmarkEnd w:id="1531"/>
      <w:r>
        <w:fldChar w:fldCharType="begin"/>
      </w:r>
      <w:r>
        <w:instrText xml:space="preserve"> XE "e (Error Value)" </w:instrText>
      </w:r>
      <w:r>
        <w:fldChar w:fldCharType="end"/>
      </w:r>
    </w:p>
    <w:p w:rsidR="000A156F" w:rsidRDefault="00A9721F">
      <w:pPr>
        <w:pStyle w:val="Definition-Field"/>
      </w:pPr>
      <w:r>
        <w:t xml:space="preserve">a.   </w:t>
      </w:r>
      <w:r>
        <w:rPr>
          <w:i/>
        </w:rPr>
        <w:t>The standard does not limit the length of the value of the c attribute.</w:t>
      </w:r>
    </w:p>
    <w:p w:rsidR="000A156F" w:rsidRDefault="00A9721F">
      <w:pPr>
        <w:pStyle w:val="Definition-Field2"/>
      </w:pPr>
      <w:r>
        <w:t>Excel restricts the value of this attribute to be at most 65535 chara</w:t>
      </w:r>
      <w:r>
        <w:t>cters.</w:t>
      </w:r>
    </w:p>
    <w:p w:rsidR="000A156F" w:rsidRDefault="00A9721F">
      <w:pPr>
        <w:pStyle w:val="Definition-Field"/>
      </w:pPr>
      <w:r>
        <w:t xml:space="preserve">b.   </w:t>
      </w:r>
      <w:r>
        <w:rPr>
          <w:i/>
        </w:rPr>
        <w:t>The standard does not define the relation between the c attribute and the datasource type.</w:t>
      </w:r>
    </w:p>
    <w:p w:rsidR="000A156F" w:rsidRDefault="00A9721F">
      <w:pPr>
        <w:pStyle w:val="Definition-Field2"/>
      </w:pPr>
      <w:r>
        <w:t>In Office, the c attribute applies only to OLAP-based PivotTables when the pivotCacheDefinition element attribute createdVersion is greater than or equal</w:t>
      </w:r>
      <w:r>
        <w:t xml:space="preserve"> to 3.</w:t>
      </w:r>
    </w:p>
    <w:p w:rsidR="000A156F" w:rsidRDefault="00A9721F">
      <w:pPr>
        <w:pStyle w:val="Definition-Field"/>
      </w:pPr>
      <w:r>
        <w:t xml:space="preserve">c.   </w:t>
      </w:r>
      <w:r>
        <w:rPr>
          <w:i/>
        </w:rPr>
        <w:t>The standard does not define the relation between the cp attribute and child elements.</w:t>
      </w:r>
    </w:p>
    <w:p w:rsidR="000A156F" w:rsidRDefault="00A9721F">
      <w:pPr>
        <w:pStyle w:val="Definition-Field2"/>
      </w:pPr>
      <w:r>
        <w:t xml:space="preserve">In Office, the value of the cp attribute shall be equal to the count of child elements and be less than or equal to the @mappingCount of the corresponding </w:t>
      </w:r>
      <w:r>
        <w:t>cacheField element.</w:t>
      </w:r>
    </w:p>
    <w:p w:rsidR="000A156F" w:rsidRDefault="00A9721F">
      <w:pPr>
        <w:pStyle w:val="Definition-Field"/>
      </w:pPr>
      <w:r>
        <w:t xml:space="preserve">d.   </w:t>
      </w:r>
      <w:r>
        <w:rPr>
          <w:i/>
        </w:rPr>
        <w:t>The standard does not define the relation between the cp attribute and the datasource type.</w:t>
      </w:r>
    </w:p>
    <w:p w:rsidR="000A156F" w:rsidRDefault="00A9721F">
      <w:pPr>
        <w:pStyle w:val="Definition-Field2"/>
      </w:pPr>
      <w:r>
        <w:t>In Office, the cp attribute applies only to OLAP-based PivotTables.</w:t>
      </w:r>
    </w:p>
    <w:p w:rsidR="000A156F" w:rsidRDefault="00A9721F">
      <w:pPr>
        <w:pStyle w:val="Definition-Field"/>
      </w:pPr>
      <w:r>
        <w:t xml:space="preserve">e.   </w:t>
      </w:r>
      <w:r>
        <w:rPr>
          <w:i/>
        </w:rPr>
        <w:t>The standard does not define relation between the cp attribute and</w:t>
      </w:r>
      <w:r>
        <w:rPr>
          <w:i/>
        </w:rPr>
        <w:t xml:space="preserve"> sharedItems node.</w:t>
      </w:r>
    </w:p>
    <w:p w:rsidR="000A156F" w:rsidRDefault="00A9721F">
      <w:pPr>
        <w:pStyle w:val="Definition-Field2"/>
      </w:pPr>
      <w:r>
        <w:t>In Office, the cp attribute applies only when the node parent is sharedItems.</w:t>
      </w:r>
    </w:p>
    <w:p w:rsidR="000A156F" w:rsidRDefault="00A9721F">
      <w:pPr>
        <w:pStyle w:val="Definition-Field"/>
      </w:pPr>
      <w:r>
        <w:t xml:space="preserve">f.   </w:t>
      </w:r>
      <w:r>
        <w:rPr>
          <w:i/>
        </w:rPr>
        <w:t>The standard does not specify a default value for the f attribute.</w:t>
      </w:r>
    </w:p>
    <w:p w:rsidR="000A156F" w:rsidRDefault="00A9721F">
      <w:pPr>
        <w:pStyle w:val="Definition-Field2"/>
      </w:pPr>
      <w:r>
        <w:t>Excel uses a default value of false for this attribute.</w:t>
      </w:r>
    </w:p>
    <w:p w:rsidR="000A156F" w:rsidRDefault="00A9721F">
      <w:pPr>
        <w:pStyle w:val="Definition-Field"/>
      </w:pPr>
      <w:r>
        <w:t xml:space="preserve">g.   </w:t>
      </w:r>
      <w:r>
        <w:rPr>
          <w:i/>
        </w:rPr>
        <w:t>The standard does not spec</w:t>
      </w:r>
      <w:r>
        <w:rPr>
          <w:i/>
        </w:rPr>
        <w:t>ify a default value for the u attribute.</w:t>
      </w:r>
    </w:p>
    <w:p w:rsidR="000A156F" w:rsidRDefault="00A9721F">
      <w:pPr>
        <w:pStyle w:val="Definition-Field2"/>
      </w:pPr>
      <w:r>
        <w:t>Excel uses a default value of false for this attribute.</w:t>
      </w:r>
    </w:p>
    <w:p w:rsidR="000A156F" w:rsidRDefault="00A9721F">
      <w:pPr>
        <w:pStyle w:val="Definition-Field"/>
      </w:pPr>
      <w:r>
        <w:t xml:space="preserve">h.   </w:t>
      </w:r>
      <w:r>
        <w:rPr>
          <w:i/>
        </w:rPr>
        <w:t>The standard does not normatively define valid error values for the v attribute.</w:t>
      </w:r>
    </w:p>
    <w:p w:rsidR="000A156F" w:rsidRDefault="00A9721F">
      <w:r>
        <w:t>Office implements the following error values:</w:t>
      </w:r>
    </w:p>
    <w:p w:rsidR="000A156F" w:rsidRDefault="00A9721F">
      <w:pPr>
        <w:pStyle w:val="ListParagraph"/>
        <w:numPr>
          <w:ilvl w:val="0"/>
          <w:numId w:val="68"/>
        </w:numPr>
        <w:contextualSpacing/>
      </w:pPr>
      <w:r>
        <w:t>#DIV/0!</w:t>
      </w:r>
    </w:p>
    <w:p w:rsidR="000A156F" w:rsidRDefault="00A9721F">
      <w:pPr>
        <w:pStyle w:val="ListParagraph"/>
        <w:numPr>
          <w:ilvl w:val="0"/>
          <w:numId w:val="68"/>
        </w:numPr>
        <w:contextualSpacing/>
      </w:pPr>
      <w:r>
        <w:t>#NAME?</w:t>
      </w:r>
    </w:p>
    <w:p w:rsidR="000A156F" w:rsidRDefault="00A9721F">
      <w:pPr>
        <w:pStyle w:val="ListParagraph"/>
        <w:numPr>
          <w:ilvl w:val="0"/>
          <w:numId w:val="68"/>
        </w:numPr>
        <w:contextualSpacing/>
      </w:pPr>
      <w:r>
        <w:t>#VALUE!</w:t>
      </w:r>
    </w:p>
    <w:p w:rsidR="000A156F" w:rsidRDefault="00A9721F">
      <w:pPr>
        <w:pStyle w:val="ListParagraph"/>
        <w:numPr>
          <w:ilvl w:val="0"/>
          <w:numId w:val="68"/>
        </w:numPr>
        <w:contextualSpacing/>
      </w:pPr>
      <w:r>
        <w:t>#NUL</w:t>
      </w:r>
      <w:r>
        <w:t>L!</w:t>
      </w:r>
    </w:p>
    <w:p w:rsidR="000A156F" w:rsidRDefault="00A9721F">
      <w:pPr>
        <w:pStyle w:val="ListParagraph"/>
        <w:numPr>
          <w:ilvl w:val="0"/>
          <w:numId w:val="68"/>
        </w:numPr>
        <w:contextualSpacing/>
      </w:pPr>
      <w:r>
        <w:t>#NUM!</w:t>
      </w:r>
    </w:p>
    <w:p w:rsidR="000A156F" w:rsidRDefault="00A9721F">
      <w:pPr>
        <w:pStyle w:val="ListParagraph"/>
        <w:numPr>
          <w:ilvl w:val="0"/>
          <w:numId w:val="68"/>
        </w:numPr>
        <w:contextualSpacing/>
      </w:pPr>
      <w:r>
        <w:t>#REF!</w:t>
      </w:r>
    </w:p>
    <w:p w:rsidR="000A156F" w:rsidRDefault="00A9721F">
      <w:pPr>
        <w:pStyle w:val="ListParagraph"/>
        <w:numPr>
          <w:ilvl w:val="0"/>
          <w:numId w:val="68"/>
        </w:numPr>
        <w:contextualSpacing/>
      </w:pPr>
      <w:r>
        <w:t>#N/A</w:t>
      </w:r>
    </w:p>
    <w:p w:rsidR="000A156F" w:rsidRDefault="00A9721F">
      <w:pPr>
        <w:pStyle w:val="ListParagraph"/>
        <w:numPr>
          <w:ilvl w:val="0"/>
          <w:numId w:val="68"/>
        </w:numPr>
      </w:pPr>
      <w:r>
        <w:t>#GETTING_DATA</w:t>
      </w:r>
    </w:p>
    <w:p w:rsidR="000A156F" w:rsidRDefault="00A9721F">
      <w:pPr>
        <w:pStyle w:val="Definition-Field"/>
      </w:pPr>
      <w:r>
        <w:t xml:space="preserve">i.   </w:t>
      </w:r>
      <w:r>
        <w:rPr>
          <w:i/>
        </w:rPr>
        <w:t>The standard does not define relation between the f attribute and sharedItems node.</w:t>
      </w:r>
    </w:p>
    <w:p w:rsidR="000A156F" w:rsidRDefault="00A9721F">
      <w:pPr>
        <w:pStyle w:val="Definition-Field2"/>
      </w:pPr>
      <w:r>
        <w:t>In Office, the f attribute applies only when the node parent is sharedItems.</w:t>
      </w:r>
    </w:p>
    <w:p w:rsidR="000A156F" w:rsidRDefault="00A9721F">
      <w:pPr>
        <w:pStyle w:val="Definition-Field"/>
      </w:pPr>
      <w:r>
        <w:lastRenderedPageBreak/>
        <w:t xml:space="preserve">j.   </w:t>
      </w:r>
      <w:r>
        <w:rPr>
          <w:i/>
        </w:rPr>
        <w:t>The standard does not define relation between the u</w:t>
      </w:r>
      <w:r>
        <w:rPr>
          <w:i/>
        </w:rPr>
        <w:t xml:space="preserve"> attribute and sharedItems node.</w:t>
      </w:r>
    </w:p>
    <w:p w:rsidR="000A156F" w:rsidRDefault="00A9721F">
      <w:pPr>
        <w:pStyle w:val="Definition-Field2"/>
      </w:pPr>
      <w:r>
        <w:t>In Office, the u attribute applies only when the node parent is sharedItems.</w:t>
      </w:r>
    </w:p>
    <w:p w:rsidR="000A156F" w:rsidRDefault="00A9721F">
      <w:pPr>
        <w:pStyle w:val="Heading3"/>
      </w:pPr>
      <w:bookmarkStart w:id="1532" w:name="section_d7eb83632269495ca763121660facbbc"/>
      <w:bookmarkStart w:id="1533" w:name="_Toc181683792"/>
      <w:r>
        <w:t>Part 1 Section 18.10.1.29, field (Field)</w:t>
      </w:r>
      <w:bookmarkEnd w:id="1532"/>
      <w:bookmarkEnd w:id="1533"/>
      <w:r>
        <w:fldChar w:fldCharType="begin"/>
      </w:r>
      <w:r>
        <w:instrText xml:space="preserve"> XE "field (Field)" </w:instrText>
      </w:r>
      <w:r>
        <w:fldChar w:fldCharType="end"/>
      </w:r>
    </w:p>
    <w:p w:rsidR="000A156F" w:rsidRDefault="00A9721F">
      <w:pPr>
        <w:pStyle w:val="Definition-Field"/>
      </w:pPr>
      <w:r>
        <w:t xml:space="preserve">a.   </w:t>
      </w:r>
      <w:r>
        <w:rPr>
          <w:i/>
        </w:rPr>
        <w:t xml:space="preserve">In the standard for the element description it says there will be as many &lt;x&gt; </w:t>
      </w:r>
      <w:r>
        <w:rPr>
          <w:i/>
        </w:rPr>
        <w:t>elements as there are item values in any particular column or row.</w:t>
      </w:r>
    </w:p>
    <w:p w:rsidR="000A156F" w:rsidRDefault="00A9721F">
      <w:pPr>
        <w:pStyle w:val="Definition-Field2"/>
      </w:pPr>
      <w:r>
        <w:t>Office says that there will be as many &lt;field&gt; elements as there are fields in the column or row axis.</w:t>
      </w:r>
    </w:p>
    <w:p w:rsidR="000A156F" w:rsidRDefault="00A9721F">
      <w:pPr>
        <w:pStyle w:val="Definition-Field"/>
      </w:pPr>
      <w:r>
        <w:t xml:space="preserve">b.   </w:t>
      </w:r>
      <w:r>
        <w:rPr>
          <w:i/>
        </w:rPr>
        <w:t>The standard notes that elements may not be explicitly written and i elements, @r</w:t>
      </w:r>
      <w:r>
        <w:rPr>
          <w:i/>
        </w:rPr>
        <w:t xml:space="preserve"> and @v used, which do not occur on this element or its parents.</w:t>
      </w:r>
    </w:p>
    <w:p w:rsidR="000A156F" w:rsidRDefault="00A9721F">
      <w:pPr>
        <w:pStyle w:val="Definition-Field2"/>
      </w:pPr>
      <w:r>
        <w:t>Office assumes that field elements are always explicit and the x attribute is required.</w:t>
      </w:r>
    </w:p>
    <w:p w:rsidR="000A156F" w:rsidRDefault="00A9721F">
      <w:pPr>
        <w:pStyle w:val="Definition-Field"/>
      </w:pPr>
      <w:r>
        <w:t xml:space="preserve">c.   </w:t>
      </w:r>
      <w:r>
        <w:rPr>
          <w:i/>
        </w:rPr>
        <w:t>The standard specifies that the x attribute is the index to a pivotField item value and there will</w:t>
      </w:r>
      <w:r>
        <w:rPr>
          <w:i/>
        </w:rPr>
        <w:t xml:space="preserve"> be as many x elements as there are item values in any particular column.</w:t>
      </w:r>
    </w:p>
    <w:p w:rsidR="000A156F" w:rsidRDefault="00A9721F">
      <w:pPr>
        <w:pStyle w:val="Definition-Field2"/>
      </w:pPr>
      <w:r>
        <w:t>Office specifies that the x attribute is a valid zero-based index to a pivotField element in the pivotFields collection with value equal to -2 or greater than or equal to zero and le</w:t>
      </w:r>
      <w:r>
        <w:t>ss than the element count in the pivotFields collection.</w:t>
      </w:r>
    </w:p>
    <w:p w:rsidR="000A156F" w:rsidRDefault="00A9721F">
      <w:pPr>
        <w:pStyle w:val="Definition-Field"/>
      </w:pPr>
      <w:r>
        <w:t xml:space="preserve">d.   </w:t>
      </w:r>
      <w:r>
        <w:rPr>
          <w:i/>
        </w:rPr>
        <w:t>The standard does not restrict the document from having duplicate field indexes (@x).</w:t>
      </w:r>
    </w:p>
    <w:p w:rsidR="000A156F" w:rsidRDefault="00A9721F">
      <w:pPr>
        <w:pStyle w:val="Definition-Field2"/>
      </w:pPr>
      <w:r>
        <w:t>Office requires that the value of @x cannot be duplicated within the parent element.</w:t>
      </w:r>
    </w:p>
    <w:p w:rsidR="000A156F" w:rsidRDefault="00A9721F">
      <w:pPr>
        <w:pStyle w:val="Heading3"/>
      </w:pPr>
      <w:bookmarkStart w:id="1534" w:name="section_98b3cb48ba2d410889aab8ea451e0d93"/>
      <w:bookmarkStart w:id="1535" w:name="_Toc181683793"/>
      <w:r>
        <w:t>Part 1 Section 18.10.1.</w:t>
      </w:r>
      <w:r>
        <w:t>30, fieldGroup (Field Group Properties)</w:t>
      </w:r>
      <w:bookmarkEnd w:id="1534"/>
      <w:bookmarkEnd w:id="1535"/>
      <w:r>
        <w:fldChar w:fldCharType="begin"/>
      </w:r>
      <w:r>
        <w:instrText xml:space="preserve"> XE "fieldGroup (Field Group Properties)" </w:instrText>
      </w:r>
      <w:r>
        <w:fldChar w:fldCharType="end"/>
      </w:r>
    </w:p>
    <w:p w:rsidR="000A156F" w:rsidRDefault="00A9721F">
      <w:pPr>
        <w:pStyle w:val="Definition-Field"/>
      </w:pPr>
      <w:r>
        <w:t xml:space="preserve">a.   </w:t>
      </w:r>
      <w:r>
        <w:rPr>
          <w:i/>
        </w:rPr>
        <w:t>The standard allows fieldGroup to include both rangePr and discretePr in a valid document.</w:t>
      </w:r>
    </w:p>
    <w:p w:rsidR="000A156F" w:rsidRDefault="00A9721F">
      <w:pPr>
        <w:pStyle w:val="Definition-Field2"/>
      </w:pPr>
      <w:r>
        <w:t xml:space="preserve">Office does not allow fieldGroup to include rangePr and discretePr at the </w:t>
      </w:r>
      <w:r>
        <w:t>same time.</w:t>
      </w:r>
    </w:p>
    <w:p w:rsidR="000A156F" w:rsidRDefault="00A9721F">
      <w:pPr>
        <w:pStyle w:val="Definition-Field"/>
      </w:pPr>
      <w:r>
        <w:t xml:space="preserve">b.   </w:t>
      </w:r>
      <w:r>
        <w:rPr>
          <w:i/>
        </w:rPr>
        <w:t>The standard does not require the groupItems collection to exist in any circumstances.</w:t>
      </w:r>
    </w:p>
    <w:p w:rsidR="000A156F" w:rsidRDefault="00A9721F">
      <w:pPr>
        <w:pStyle w:val="Definition-Field2"/>
      </w:pPr>
      <w:r>
        <w:t>In Office, if fieldGroup contains rangePr or discretePr, the groupItems collection must exist and must not be empty.</w:t>
      </w:r>
    </w:p>
    <w:p w:rsidR="000A156F" w:rsidRDefault="00A9721F">
      <w:pPr>
        <w:pStyle w:val="Definition-Field"/>
      </w:pPr>
      <w:r>
        <w:t xml:space="preserve">c.   </w:t>
      </w:r>
      <w:r>
        <w:rPr>
          <w:i/>
        </w:rPr>
        <w:t>The standard does not provide r</w:t>
      </w:r>
      <w:r>
        <w:rPr>
          <w:i/>
        </w:rPr>
        <w:t>estrictions on the base attribute.</w:t>
      </w:r>
    </w:p>
    <w:p w:rsidR="000A156F" w:rsidRDefault="00A9721F">
      <w:pPr>
        <w:pStyle w:val="Definition-Field2"/>
      </w:pPr>
      <w:r>
        <w:t>Office requires that value of the base attribute to be less than number of cacheFields and the cacheField element pointed to by the base value must have a databaseField attribute equal to 1.</w:t>
      </w:r>
    </w:p>
    <w:p w:rsidR="000A156F" w:rsidRDefault="00A9721F">
      <w:pPr>
        <w:pStyle w:val="Definition-Field"/>
      </w:pPr>
      <w:r>
        <w:t xml:space="preserve">d.   </w:t>
      </w:r>
      <w:r>
        <w:rPr>
          <w:i/>
        </w:rPr>
        <w:t>The standard does not pro</w:t>
      </w:r>
      <w:r>
        <w:rPr>
          <w:i/>
        </w:rPr>
        <w:t>vide restrictions on the par attribute.</w:t>
      </w:r>
    </w:p>
    <w:p w:rsidR="000A156F" w:rsidRDefault="00A9721F">
      <w:pPr>
        <w:pStyle w:val="Definition-Field2"/>
      </w:pPr>
      <w:r>
        <w:t>Office requires that if fieldGroup has rangePr child, then cacheField pointed to by @par shall have fieldGroup that contains rangePr; the value of the base attribute in that fieldGroup must equal the value of the bas</w:t>
      </w:r>
      <w:r>
        <w:t>e attribute on this element.</w:t>
      </w:r>
    </w:p>
    <w:p w:rsidR="000A156F" w:rsidRDefault="00A9721F">
      <w:pPr>
        <w:pStyle w:val="Definition-Field"/>
      </w:pPr>
      <w:r>
        <w:t xml:space="preserve">e.   </w:t>
      </w:r>
      <w:r>
        <w:rPr>
          <w:i/>
        </w:rPr>
        <w:t>The standard does not specify a dependency between the value of the rangePr element attribute groupBy and the par attribute value.</w:t>
      </w:r>
    </w:p>
    <w:p w:rsidR="000A156F" w:rsidRDefault="00A9721F">
      <w:pPr>
        <w:pStyle w:val="Definition-Field2"/>
      </w:pPr>
      <w:r>
        <w:t>In Office, if the groupBy attribute of a rangePr child is range, then the par attribute sha</w:t>
      </w:r>
      <w:r>
        <w:t>ll not be specified; otherwise, it shall be less than count of cacheFields elements.</w:t>
      </w:r>
    </w:p>
    <w:p w:rsidR="000A156F" w:rsidRDefault="00A9721F">
      <w:pPr>
        <w:pStyle w:val="Heading3"/>
      </w:pPr>
      <w:bookmarkStart w:id="1536" w:name="section_e3e39bfa42ef489a95f05a5b79682144"/>
      <w:bookmarkStart w:id="1537" w:name="_Toc181683794"/>
      <w:r>
        <w:t>Part 1 Section 18.10.1.31, fieldsUsage (Fields Usage)</w:t>
      </w:r>
      <w:bookmarkEnd w:id="1536"/>
      <w:bookmarkEnd w:id="1537"/>
      <w:r>
        <w:fldChar w:fldCharType="begin"/>
      </w:r>
      <w:r>
        <w:instrText xml:space="preserve"> XE "fieldsUsage (Fields Usage)" </w:instrText>
      </w:r>
      <w:r>
        <w:fldChar w:fldCharType="end"/>
      </w:r>
    </w:p>
    <w:p w:rsidR="000A156F" w:rsidRDefault="00A9721F">
      <w:pPr>
        <w:pStyle w:val="Definition-Field"/>
      </w:pPr>
      <w:r>
        <w:t xml:space="preserve">a.   </w:t>
      </w:r>
      <w:r>
        <w:rPr>
          <w:i/>
        </w:rPr>
        <w:t>The standard does not restrict the number of items in the fieldsUsage collect</w:t>
      </w:r>
      <w:r>
        <w:rPr>
          <w:i/>
        </w:rPr>
        <w:t>ion, in any case.</w:t>
      </w:r>
    </w:p>
    <w:p w:rsidR="000A156F" w:rsidRDefault="00A9721F">
      <w:pPr>
        <w:pStyle w:val="Definition-Field2"/>
      </w:pPr>
      <w:r>
        <w:lastRenderedPageBreak/>
        <w:t>In Office, if the parent cacheHierarchy has @measure equal to 1, this collection shall contain only one item.</w:t>
      </w:r>
    </w:p>
    <w:p w:rsidR="000A156F" w:rsidRDefault="00A9721F">
      <w:pPr>
        <w:pStyle w:val="Heading3"/>
      </w:pPr>
      <w:bookmarkStart w:id="1538" w:name="section_cee4d9c4c5d84b4ba4f6a26f52d0024f"/>
      <w:bookmarkStart w:id="1539" w:name="_Toc181683795"/>
      <w:r>
        <w:t>Part 1 Section 18.10.1.32, fieldUsage (PivotCache Field Id)</w:t>
      </w:r>
      <w:bookmarkEnd w:id="1538"/>
      <w:bookmarkEnd w:id="1539"/>
      <w:r>
        <w:fldChar w:fldCharType="begin"/>
      </w:r>
      <w:r>
        <w:instrText xml:space="preserve"> XE "fieldUsage (PivotCache Field Id)" </w:instrText>
      </w:r>
      <w:r>
        <w:fldChar w:fldCharType="end"/>
      </w:r>
    </w:p>
    <w:p w:rsidR="000A156F" w:rsidRDefault="00A9721F">
      <w:pPr>
        <w:pStyle w:val="Definition-Field"/>
      </w:pPr>
      <w:r>
        <w:t xml:space="preserve">a.   </w:t>
      </w:r>
      <w:r>
        <w:rPr>
          <w:i/>
        </w:rPr>
        <w:t xml:space="preserve">The standard does not </w:t>
      </w:r>
      <w:r>
        <w:rPr>
          <w:i/>
        </w:rPr>
        <w:t>restrict the value of the x attribute in any way.</w:t>
      </w:r>
    </w:p>
    <w:p w:rsidR="000A156F" w:rsidRDefault="00A9721F">
      <w:pPr>
        <w:pStyle w:val="Definition-Field2"/>
      </w:pPr>
      <w:r>
        <w:t>In Office, x is a zero-based index in the parent collection, must be &gt;= -1 and &lt; the total number of cacheField elements. If x points to a cacheField, this cacheField must point back to the same hierarchy t</w:t>
      </w:r>
      <w:r>
        <w:t>he parent fieldsUsage is part of.</w:t>
      </w:r>
    </w:p>
    <w:p w:rsidR="000A156F" w:rsidRDefault="00A9721F">
      <w:pPr>
        <w:pStyle w:val="Definition-Field"/>
      </w:pPr>
      <w:r>
        <w:t xml:space="preserve">b.   </w:t>
      </w:r>
      <w:r>
        <w:rPr>
          <w:i/>
        </w:rPr>
        <w:t>The standard does not state a dependency between fieldUsage index and cacheField@level.</w:t>
      </w:r>
    </w:p>
    <w:p w:rsidR="000A156F" w:rsidRDefault="00A9721F">
      <w:pPr>
        <w:pStyle w:val="Definition-Field2"/>
      </w:pPr>
      <w:r>
        <w:t xml:space="preserve">Office requires that the index of fieldUsage in the fieldsUsage collection determine the mapping between Pivot level and a cache </w:t>
      </w:r>
      <w:r>
        <w:t>field.  The index must match the value of @level in the corresponding cacheField item.</w:t>
      </w:r>
    </w:p>
    <w:p w:rsidR="000A156F" w:rsidRDefault="00A9721F">
      <w:pPr>
        <w:pStyle w:val="Heading3"/>
      </w:pPr>
      <w:bookmarkStart w:id="1540" w:name="section_ac8bc22cf207485897f477b1be34ebfb"/>
      <w:bookmarkStart w:id="1541" w:name="_Toc181683796"/>
      <w:r>
        <w:t>Part 1 Section 18.10.1.33, filter (PivotTable Advanced Filter)</w:t>
      </w:r>
      <w:bookmarkEnd w:id="1540"/>
      <w:bookmarkEnd w:id="1541"/>
      <w:r>
        <w:fldChar w:fldCharType="begin"/>
      </w:r>
      <w:r>
        <w:instrText xml:space="preserve"> XE "filter (PivotTable Advanced Filter)" </w:instrText>
      </w:r>
      <w:r>
        <w:fldChar w:fldCharType="end"/>
      </w:r>
    </w:p>
    <w:p w:rsidR="000A156F" w:rsidRDefault="00A9721F">
      <w:pPr>
        <w:pStyle w:val="Definition-Field"/>
      </w:pPr>
      <w:r>
        <w:t xml:space="preserve">a.   </w:t>
      </w:r>
      <w:r>
        <w:rPr>
          <w:i/>
        </w:rPr>
        <w:t>The standard does not define a maximum value for @fld.</w:t>
      </w:r>
    </w:p>
    <w:p w:rsidR="000A156F" w:rsidRDefault="00A9721F">
      <w:pPr>
        <w:pStyle w:val="Definition-Field2"/>
      </w:pPr>
      <w:r>
        <w:t>Of</w:t>
      </w:r>
      <w:r>
        <w:t>fice requires @fld to be less than the pivotFields count.</w:t>
      </w:r>
    </w:p>
    <w:p w:rsidR="000A156F" w:rsidRDefault="00A9721F">
      <w:pPr>
        <w:pStyle w:val="Definition-Field"/>
      </w:pPr>
      <w:r>
        <w:t xml:space="preserve">b.   </w:t>
      </w:r>
      <w:r>
        <w:rPr>
          <w:i/>
        </w:rPr>
        <w:t>The standard does not define a max value for @iMeasureHier.</w:t>
      </w:r>
    </w:p>
    <w:p w:rsidR="000A156F" w:rsidRDefault="00A9721F">
      <w:pPr>
        <w:pStyle w:val="Definition-Field2"/>
      </w:pPr>
      <w:r>
        <w:t>Office requires that @iMeasureHier be less than the pivotHierarchies count.</w:t>
      </w:r>
    </w:p>
    <w:p w:rsidR="000A156F" w:rsidRDefault="00A9721F">
      <w:pPr>
        <w:pStyle w:val="Definition-Field"/>
      </w:pPr>
      <w:r>
        <w:t xml:space="preserve">c.   </w:t>
      </w:r>
      <w:r>
        <w:rPr>
          <w:i/>
        </w:rPr>
        <w:t>The standard does not define a maximum value for the</w:t>
      </w:r>
      <w:r>
        <w:rPr>
          <w:i/>
        </w:rPr>
        <w:t xml:space="preserve"> mpFld attribute.</w:t>
      </w:r>
    </w:p>
    <w:p w:rsidR="000A156F" w:rsidRDefault="00A9721F">
      <w:pPr>
        <w:pStyle w:val="Definition-Field2"/>
      </w:pPr>
      <w:r>
        <w:t>Office requires that the mpFld attribute be less than the pivotFields count.</w:t>
      </w:r>
    </w:p>
    <w:p w:rsidR="000A156F" w:rsidRDefault="00A9721F">
      <w:pPr>
        <w:pStyle w:val="Definition-Field"/>
      </w:pPr>
      <w:r>
        <w:t xml:space="preserve">d.   </w:t>
      </w:r>
      <w:r>
        <w:rPr>
          <w:i/>
        </w:rPr>
        <w:t>The standard does not specify a default value for the iMeasureFld attribute.</w:t>
      </w:r>
    </w:p>
    <w:p w:rsidR="000A156F" w:rsidRDefault="00A9721F">
      <w:pPr>
        <w:pStyle w:val="Definition-Field2"/>
      </w:pPr>
      <w:r>
        <w:t>Excel uses a default value of 0 for this attribute.</w:t>
      </w:r>
    </w:p>
    <w:p w:rsidR="000A156F" w:rsidRDefault="00A9721F">
      <w:pPr>
        <w:pStyle w:val="Definition-Field"/>
      </w:pPr>
      <w:r>
        <w:t xml:space="preserve">e.   </w:t>
      </w:r>
      <w:r>
        <w:rPr>
          <w:i/>
        </w:rPr>
        <w:t xml:space="preserve">The standard does not </w:t>
      </w:r>
      <w:r>
        <w:rPr>
          <w:i/>
        </w:rPr>
        <w:t>state a maximum limit for the iMeasureFld attribute.</w:t>
      </w:r>
    </w:p>
    <w:p w:rsidR="000A156F" w:rsidRDefault="00A9721F">
      <w:pPr>
        <w:pStyle w:val="Definition-Field2"/>
      </w:pPr>
      <w:r>
        <w:t>Office specifies that @iMeasureFld be less than the data fields count. Office will not load a file that has @iMeasureFld greater or equal to the count of pivotFields.</w:t>
      </w:r>
    </w:p>
    <w:p w:rsidR="000A156F" w:rsidRDefault="00A9721F">
      <w:pPr>
        <w:pStyle w:val="Definition-Field"/>
      </w:pPr>
      <w:r>
        <w:t xml:space="preserve">f.   </w:t>
      </w:r>
      <w:r>
        <w:rPr>
          <w:i/>
        </w:rPr>
        <w:t>The standard does not state any</w:t>
      </w:r>
      <w:r>
        <w:rPr>
          <w:i/>
        </w:rPr>
        <w:t xml:space="preserve"> restrictions on when the mpFld attribute can be used.</w:t>
      </w:r>
    </w:p>
    <w:p w:rsidR="000A156F" w:rsidRDefault="00A9721F">
      <w:pPr>
        <w:pStyle w:val="Definition-Field2"/>
      </w:pPr>
      <w:r>
        <w:t>Office assumes that the mpFld attribute is specific to OLAP PivotTables.</w:t>
      </w:r>
    </w:p>
    <w:p w:rsidR="000A156F" w:rsidRDefault="00A9721F">
      <w:pPr>
        <w:pStyle w:val="Definition-Field"/>
      </w:pPr>
      <w:r>
        <w:t xml:space="preserve">g.   </w:t>
      </w:r>
      <w:r>
        <w:rPr>
          <w:i/>
        </w:rPr>
        <w:t>The standard states that @evalOrder specifies the evaluation order of the pivot filter.</w:t>
      </w:r>
    </w:p>
    <w:p w:rsidR="000A156F" w:rsidRDefault="00A9721F">
      <w:pPr>
        <w:pStyle w:val="Definition-Field2"/>
      </w:pPr>
      <w:r>
        <w:t>In Office, the value of -1 indicate</w:t>
      </w:r>
      <w:r>
        <w:t>s that the order in which filters are applied is not relevant.</w:t>
      </w:r>
    </w:p>
    <w:p w:rsidR="000A156F" w:rsidRDefault="00A9721F">
      <w:pPr>
        <w:pStyle w:val="Heading3"/>
      </w:pPr>
      <w:bookmarkStart w:id="1542" w:name="section_f296125e31a94a82b171bb7c38652aa3"/>
      <w:bookmarkStart w:id="1543" w:name="_Toc181683797"/>
      <w:r>
        <w:t>Part 1 Section 18.10.1.35, format (PivotTable Format)</w:t>
      </w:r>
      <w:bookmarkEnd w:id="1542"/>
      <w:bookmarkEnd w:id="1543"/>
      <w:r>
        <w:fldChar w:fldCharType="begin"/>
      </w:r>
      <w:r>
        <w:instrText xml:space="preserve"> XE "format (PivotTable Format)" </w:instrText>
      </w:r>
      <w:r>
        <w:fldChar w:fldCharType="end"/>
      </w:r>
    </w:p>
    <w:p w:rsidR="000A156F" w:rsidRDefault="00A9721F">
      <w:pPr>
        <w:pStyle w:val="Definition-Field"/>
      </w:pPr>
      <w:r>
        <w:t xml:space="preserve">a.   </w:t>
      </w:r>
      <w:r>
        <w:rPr>
          <w:i/>
        </w:rPr>
        <w:t>The standard defines the action attribute as type ST_FormatAction, which contains Drill and Formula</w:t>
      </w:r>
      <w:r>
        <w:rPr>
          <w:i/>
        </w:rPr>
        <w:t xml:space="preserve"> as values.</w:t>
      </w:r>
    </w:p>
    <w:p w:rsidR="000A156F" w:rsidRDefault="00A9721F">
      <w:pPr>
        <w:pStyle w:val="Definition-Field2"/>
      </w:pPr>
      <w:r>
        <w:t>Excel does not support the Drill and Formula values for the action attribute.</w:t>
      </w:r>
    </w:p>
    <w:p w:rsidR="000A156F" w:rsidRDefault="00A9721F">
      <w:pPr>
        <w:pStyle w:val="Heading3"/>
      </w:pPr>
      <w:bookmarkStart w:id="1544" w:name="section_a7ba5505eafb40878616d3f706eccbb1"/>
      <w:bookmarkStart w:id="1545" w:name="_Toc181683798"/>
      <w:r>
        <w:t>Part 1 Section 18.10.1.37, group (OLAP Group)</w:t>
      </w:r>
      <w:bookmarkEnd w:id="1544"/>
      <w:bookmarkEnd w:id="1545"/>
      <w:r>
        <w:fldChar w:fldCharType="begin"/>
      </w:r>
      <w:r>
        <w:instrText xml:space="preserve"> XE "group (OLAP Group)" </w:instrText>
      </w:r>
      <w:r>
        <w:fldChar w:fldCharType="end"/>
      </w:r>
    </w:p>
    <w:p w:rsidR="000A156F" w:rsidRDefault="00A9721F">
      <w:pPr>
        <w:pStyle w:val="Definition-Field"/>
      </w:pPr>
      <w:r>
        <w:t xml:space="preserve">a.   </w:t>
      </w:r>
      <w:r>
        <w:rPr>
          <w:i/>
        </w:rPr>
        <w:t>The standard does not define limitations on the valid values for the id attribute.</w:t>
      </w:r>
    </w:p>
    <w:p w:rsidR="000A156F" w:rsidRDefault="00A9721F">
      <w:pPr>
        <w:pStyle w:val="Definition-Field2"/>
      </w:pPr>
      <w:r>
        <w:lastRenderedPageBreak/>
        <w:t>Office requires that the value of the id attribute be greater than 0.</w:t>
      </w:r>
    </w:p>
    <w:p w:rsidR="000A156F" w:rsidRDefault="00A9721F">
      <w:pPr>
        <w:pStyle w:val="Definition-Field"/>
      </w:pPr>
      <w:r>
        <w:t xml:space="preserve">b.   </w:t>
      </w:r>
      <w:r>
        <w:rPr>
          <w:i/>
        </w:rPr>
        <w:t>The standard does not define a length limitation to the value of @uniqueParent.</w:t>
      </w:r>
    </w:p>
    <w:p w:rsidR="000A156F" w:rsidRDefault="00A9721F">
      <w:pPr>
        <w:pStyle w:val="Definition-Field2"/>
      </w:pPr>
      <w:r>
        <w:t>Office limits the value of @uniqueParent to 65535 characters.</w:t>
      </w:r>
    </w:p>
    <w:p w:rsidR="000A156F" w:rsidRDefault="00A9721F">
      <w:pPr>
        <w:pStyle w:val="Definition-Field"/>
      </w:pPr>
      <w:r>
        <w:t xml:space="preserve">c.   </w:t>
      </w:r>
      <w:r>
        <w:rPr>
          <w:i/>
        </w:rPr>
        <w:t>The standard does not place limits</w:t>
      </w:r>
      <w:r>
        <w:rPr>
          <w:i/>
        </w:rPr>
        <w:t xml:space="preserve"> on the length of @caption, @name, and @uniqueName.</w:t>
      </w:r>
    </w:p>
    <w:p w:rsidR="000A156F" w:rsidRDefault="00A9721F">
      <w:pPr>
        <w:pStyle w:val="Definition-Field2"/>
      </w:pPr>
      <w:r>
        <w:t>Office assumes that for @caption, @name, and @uniquename, if the value of pivotCacheDefinition@createdVersion is less than 3, the maximum length of these attributes is 255 characters.</w:t>
      </w:r>
    </w:p>
    <w:p w:rsidR="000A156F" w:rsidRDefault="00A9721F">
      <w:pPr>
        <w:pStyle w:val="Heading3"/>
      </w:pPr>
      <w:bookmarkStart w:id="1546" w:name="section_2036ae8e2a23494b89987f8f6400f5a7"/>
      <w:bookmarkStart w:id="1547" w:name="_Toc181683799"/>
      <w:r>
        <w:t>Part 1 Section 18.10</w:t>
      </w:r>
      <w:r>
        <w:t>.1.38, groupItems (OLAP Group Items)</w:t>
      </w:r>
      <w:bookmarkEnd w:id="1546"/>
      <w:bookmarkEnd w:id="1547"/>
      <w:r>
        <w:fldChar w:fldCharType="begin"/>
      </w:r>
      <w:r>
        <w:instrText xml:space="preserve"> XE "groupItems (OLAP Group Items)" </w:instrText>
      </w:r>
      <w:r>
        <w:fldChar w:fldCharType="end"/>
      </w:r>
    </w:p>
    <w:p w:rsidR="000A156F" w:rsidRDefault="00A9721F">
      <w:pPr>
        <w:pStyle w:val="Definition-Field"/>
      </w:pPr>
      <w:r>
        <w:t xml:space="preserve">a.   </w:t>
      </w:r>
      <w:r>
        <w:rPr>
          <w:i/>
        </w:rPr>
        <w:t>The standard states that the groupItems element defines OLAP Group Items.</w:t>
      </w:r>
    </w:p>
    <w:p w:rsidR="000A156F" w:rsidRDefault="00A9721F">
      <w:pPr>
        <w:pStyle w:val="Definition-Field2"/>
      </w:pPr>
      <w:r>
        <w:t>In Office, the groupItems element does not apply to OLAP PivotTables.</w:t>
      </w:r>
    </w:p>
    <w:p w:rsidR="000A156F" w:rsidRDefault="00A9721F">
      <w:pPr>
        <w:pStyle w:val="Heading3"/>
      </w:pPr>
      <w:bookmarkStart w:id="1548" w:name="section_81b11533f75341848ef6d40b5d9fe67a"/>
      <w:bookmarkStart w:id="1549" w:name="_Toc181683800"/>
      <w:r>
        <w:t>Part 1 Section 18.10.1.39, group</w:t>
      </w:r>
      <w:r>
        <w:t>Level (OLAP Grouping Levels)</w:t>
      </w:r>
      <w:bookmarkEnd w:id="1548"/>
      <w:bookmarkEnd w:id="1549"/>
      <w:r>
        <w:fldChar w:fldCharType="begin"/>
      </w:r>
      <w:r>
        <w:instrText xml:space="preserve"> XE "groupLevel (OLAP Grouping Levels)" </w:instrText>
      </w:r>
      <w:r>
        <w:fldChar w:fldCharType="end"/>
      </w:r>
    </w:p>
    <w:p w:rsidR="000A156F" w:rsidRDefault="00A9721F">
      <w:pPr>
        <w:pStyle w:val="Definition-Field"/>
      </w:pPr>
      <w:r>
        <w:t xml:space="preserve">a.   </w:t>
      </w:r>
      <w:r>
        <w:rPr>
          <w:i/>
        </w:rPr>
        <w:t>The standard does not limit the length of the value of the caption attribute.</w:t>
      </w:r>
    </w:p>
    <w:p w:rsidR="000A156F" w:rsidRDefault="00A9721F">
      <w:pPr>
        <w:pStyle w:val="Definition-Field2"/>
      </w:pPr>
      <w:r>
        <w:t>Excel restricts the value of this attribute to be at most 255 characters when the createdVersion attri</w:t>
      </w:r>
      <w:r>
        <w:t>bute on the pivotCacheDefinition element is less than 3 and 32767 characters otherwise.</w:t>
      </w:r>
    </w:p>
    <w:p w:rsidR="000A156F" w:rsidRDefault="00A9721F">
      <w:pPr>
        <w:pStyle w:val="Definition-Field"/>
      </w:pPr>
      <w:r>
        <w:t xml:space="preserve">b.   </w:t>
      </w:r>
      <w:r>
        <w:rPr>
          <w:i/>
        </w:rPr>
        <w:t>The standard does not limit the length of the value of the uniqueName attribute.</w:t>
      </w:r>
    </w:p>
    <w:p w:rsidR="000A156F" w:rsidRDefault="00A9721F">
      <w:pPr>
        <w:pStyle w:val="Definition-Field2"/>
      </w:pPr>
      <w:r>
        <w:t xml:space="preserve">Excel restricts the value of this attribute to be at most 255 characters when the </w:t>
      </w:r>
      <w:r>
        <w:t>createdVersion attribute on the pivotCacheDefinition element is less than 3 and 32767 characters otherwise.</w:t>
      </w:r>
    </w:p>
    <w:p w:rsidR="000A156F" w:rsidRDefault="00A9721F">
      <w:pPr>
        <w:pStyle w:val="Heading3"/>
      </w:pPr>
      <w:bookmarkStart w:id="1550" w:name="section_f03cfcd582bc4feeb7b7b539677a55bf"/>
      <w:bookmarkStart w:id="1551" w:name="_Toc181683801"/>
      <w:r>
        <w:t>Part 1 Section 18.10.1.41, groupMember (OLAP Group Member)</w:t>
      </w:r>
      <w:bookmarkEnd w:id="1550"/>
      <w:bookmarkEnd w:id="1551"/>
      <w:r>
        <w:fldChar w:fldCharType="begin"/>
      </w:r>
      <w:r>
        <w:instrText xml:space="preserve"> XE "groupMember (OLAP Group Member)" </w:instrText>
      </w:r>
      <w:r>
        <w:fldChar w:fldCharType="end"/>
      </w:r>
    </w:p>
    <w:p w:rsidR="000A156F" w:rsidRDefault="00A9721F">
      <w:pPr>
        <w:pStyle w:val="Definition-Field"/>
      </w:pPr>
      <w:r>
        <w:t xml:space="preserve">a.   </w:t>
      </w:r>
      <w:r>
        <w:rPr>
          <w:i/>
        </w:rPr>
        <w:t xml:space="preserve">The standard does not limit the length of </w:t>
      </w:r>
      <w:r>
        <w:rPr>
          <w:i/>
        </w:rPr>
        <w:t>the value of the uniqueName attribute.</w:t>
      </w:r>
    </w:p>
    <w:p w:rsidR="000A156F" w:rsidRDefault="00A9721F">
      <w:pPr>
        <w:pStyle w:val="Definition-Field2"/>
      </w:pPr>
      <w:r>
        <w:t>Excel restricts the value of this attribute to be at least 1 and at most 65535 characters.</w:t>
      </w:r>
    </w:p>
    <w:p w:rsidR="000A156F" w:rsidRDefault="00A9721F">
      <w:pPr>
        <w:pStyle w:val="Heading3"/>
      </w:pPr>
      <w:bookmarkStart w:id="1552" w:name="section_9ddef91206834190bad8456a7ddfca85"/>
      <w:bookmarkStart w:id="1553" w:name="_Toc181683802"/>
      <w:r>
        <w:t>Part 1 Section 18.10.1.44, i (Row Items)</w:t>
      </w:r>
      <w:bookmarkEnd w:id="1552"/>
      <w:bookmarkEnd w:id="1553"/>
      <w:r>
        <w:fldChar w:fldCharType="begin"/>
      </w:r>
      <w:r>
        <w:instrText xml:space="preserve"> XE "i (Row Items)" </w:instrText>
      </w:r>
      <w:r>
        <w:fldChar w:fldCharType="end"/>
      </w:r>
    </w:p>
    <w:p w:rsidR="000A156F" w:rsidRDefault="00A9721F">
      <w:pPr>
        <w:pStyle w:val="Definition-Field"/>
      </w:pPr>
      <w:r>
        <w:t xml:space="preserve">a.   </w:t>
      </w:r>
      <w:r>
        <w:rPr>
          <w:i/>
        </w:rPr>
        <w:t>The standard does not specify restrictions on the i attrib</w:t>
      </w:r>
      <w:r>
        <w:rPr>
          <w:i/>
        </w:rPr>
        <w:t>ute.</w:t>
      </w:r>
    </w:p>
    <w:p w:rsidR="000A156F" w:rsidRDefault="00A9721F">
      <w:pPr>
        <w:pStyle w:val="Definition-Field2"/>
      </w:pPr>
      <w:r>
        <w:t>Office specifies that the i attribute should be 0 if the dataFields collection is empty and should be less than number of elements in that collection otherwise.</w:t>
      </w:r>
    </w:p>
    <w:p w:rsidR="000A156F" w:rsidRDefault="00A9721F">
      <w:pPr>
        <w:pStyle w:val="Definition-Field"/>
      </w:pPr>
      <w:r>
        <w:t xml:space="preserve">b.   </w:t>
      </w:r>
      <w:r>
        <w:rPr>
          <w:i/>
        </w:rPr>
        <w:t>The standard states that a value of default on the t attribute indicates a grand tota</w:t>
      </w:r>
      <w:r>
        <w:rPr>
          <w:i/>
        </w:rPr>
        <w:t>l as the last row item value.</w:t>
      </w:r>
    </w:p>
    <w:p w:rsidR="000A156F" w:rsidRDefault="00A9721F">
      <w:pPr>
        <w:pStyle w:val="Definition-Field2"/>
      </w:pPr>
      <w:r>
        <w:t>Excel uses the definition from the ST_ItemType simple type for the definition of this value.</w:t>
      </w:r>
    </w:p>
    <w:p w:rsidR="000A156F" w:rsidRDefault="00A9721F">
      <w:pPr>
        <w:pStyle w:val="Definition-Field"/>
      </w:pPr>
      <w:r>
        <w:t xml:space="preserve">c.   </w:t>
      </w:r>
      <w:r>
        <w:rPr>
          <w:i/>
        </w:rPr>
        <w:t>The standard does not place restrictions on the value of the r attribute.</w:t>
      </w:r>
    </w:p>
    <w:p w:rsidR="000A156F" w:rsidRDefault="00A9721F">
      <w:r>
        <w:t>In Office, if the r attribute is not 0, then the sum o</w:t>
      </w:r>
      <w:r>
        <w:t>f the r attribute and number of x attribute elements must be less or equal to the number of elements in the rowFields or colFields collections, depending on context. The r attribute shall not exceed the number of items in the previous row item.</w:t>
      </w:r>
    </w:p>
    <w:p w:rsidR="000A156F" w:rsidRDefault="00A9721F">
      <w:pPr>
        <w:pStyle w:val="Definition-Field"/>
      </w:pPr>
      <w:r>
        <w:t xml:space="preserve">d.   </w:t>
      </w:r>
      <w:r>
        <w:rPr>
          <w:i/>
        </w:rPr>
        <w:t>The st</w:t>
      </w:r>
      <w:r>
        <w:rPr>
          <w:i/>
        </w:rPr>
        <w:t>andard does not specify the relationship of x elements to pivotFields.</w:t>
      </w:r>
    </w:p>
    <w:p w:rsidR="000A156F" w:rsidRDefault="00A9721F">
      <w:r>
        <w:t xml:space="preserve">Office defines the relationship between x elements and pivotFields as follows: </w:t>
      </w:r>
    </w:p>
    <w:p w:rsidR="000A156F" w:rsidRDefault="00A9721F">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w:t>
      </w:r>
      <w:r>
        <w:t xml:space="preserve"> valid item index in its pivot field. </w:t>
      </w:r>
    </w:p>
    <w:p w:rsidR="000A156F" w:rsidRDefault="00A9721F">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calculated as given by the</w:t>
      </w:r>
      <w:r>
        <w:rPr>
          <w:b/>
        </w:rPr>
        <w:t xml:space="preserve"> x</w:t>
      </w:r>
      <w:r>
        <w:t xml:space="preserve"> attribute of the</w:t>
      </w:r>
      <w:r>
        <w:rPr>
          <w:b/>
        </w:rPr>
        <w:t xml:space="preserve"> field</w:t>
      </w:r>
      <w:r>
        <w:t xml:space="preserve"> element,</w:t>
      </w:r>
      <w:r>
        <w:t xml:space="preserve"> at the position given by the axis index, in either the </w:t>
      </w:r>
      <w:r>
        <w:rPr>
          <w:b/>
        </w:rPr>
        <w:t>colFields</w:t>
      </w:r>
      <w:r>
        <w:t xml:space="preserve"> element ("</w:t>
      </w:r>
      <w:hyperlink r:id="rId139">
        <w:r>
          <w:rPr>
            <w:rStyle w:val="Hyperlink"/>
          </w:rPr>
          <w:t>[ISO/IEC-29500-1]</w:t>
        </w:r>
      </w:hyperlink>
      <w:r>
        <w:t xml:space="preserve"> §18.10.1.14; colFields"), if the parent of this element is </w:t>
      </w:r>
      <w:r>
        <w:rPr>
          <w:b/>
        </w:rPr>
        <w:t>colItems,</w:t>
      </w:r>
      <w:r>
        <w:t xml:space="preserve"> or the </w:t>
      </w:r>
      <w:r>
        <w:rPr>
          <w:b/>
        </w:rPr>
        <w:t xml:space="preserve">rowFields </w:t>
      </w:r>
      <w:r>
        <w:t>element ("</w:t>
      </w:r>
      <w:r>
        <w:t xml:space="preserve">[ISO/IEC-29500-1] §18.10.1.81; rowFields"), if the parent of this element is </w:t>
      </w:r>
      <w:r>
        <w:rPr>
          <w:b/>
        </w:rPr>
        <w:t>rowItems</w:t>
      </w:r>
      <w:r>
        <w:t xml:space="preserve">. </w:t>
      </w:r>
    </w:p>
    <w:p w:rsidR="000A156F" w:rsidRDefault="00A9721F">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of elements in the </w:t>
      </w:r>
      <w:r>
        <w:rPr>
          <w:b/>
        </w:rPr>
        <w:t>dataFields</w:t>
      </w:r>
      <w:r>
        <w:t xml:space="preserve"> collection ("[ISO/IEC-29500</w:t>
      </w:r>
      <w:r>
        <w:t xml:space="preserve">-1]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collection ("[ISO/IEC-29500-1] §18.10.1.46; items") of the </w:t>
      </w:r>
      <w:r>
        <w:rPr>
          <w:b/>
        </w:rPr>
        <w:t>pivotField,</w:t>
      </w:r>
      <w:r>
        <w:t xml:space="preserve"> at the index given by the field i</w:t>
      </w:r>
      <w:r>
        <w:t>ndex in the pivotFields ("[ISO/IEC-29500-1] §18.10.1.70; pivotFields").</w:t>
      </w:r>
    </w:p>
    <w:p w:rsidR="000A156F" w:rsidRDefault="00A9721F">
      <w:pPr>
        <w:pStyle w:val="Heading3"/>
      </w:pPr>
      <w:bookmarkStart w:id="1554" w:name="section_ff55420d79e34576a52022578daf0e91"/>
      <w:bookmarkStart w:id="1555" w:name="_Toc181683803"/>
      <w:r>
        <w:t>Part 1 Section 18.10.1.45, item (PivotTable Field Item)</w:t>
      </w:r>
      <w:bookmarkEnd w:id="1554"/>
      <w:bookmarkEnd w:id="1555"/>
      <w:r>
        <w:fldChar w:fldCharType="begin"/>
      </w:r>
      <w:r>
        <w:instrText xml:space="preserve"> XE "item (PivotTable Field Item)" </w:instrText>
      </w:r>
      <w:r>
        <w:fldChar w:fldCharType="end"/>
      </w:r>
    </w:p>
    <w:p w:rsidR="000A156F" w:rsidRDefault="00A9721F">
      <w:pPr>
        <w:pStyle w:val="Definition-Field"/>
      </w:pPr>
      <w:r>
        <w:t xml:space="preserve">a.   </w:t>
      </w:r>
      <w:r>
        <w:rPr>
          <w:i/>
        </w:rPr>
        <w:t>The standard states that the s attribute specifies if the item has a character value.</w:t>
      </w:r>
    </w:p>
    <w:p w:rsidR="000A156F" w:rsidRDefault="00A9721F">
      <w:pPr>
        <w:pStyle w:val="Definition-Field2"/>
      </w:pPr>
      <w:r>
        <w:t>Excel uses the s attribute to specify if the item has a manual filter applied.</w:t>
      </w:r>
    </w:p>
    <w:p w:rsidR="000A156F" w:rsidRDefault="00A9721F">
      <w:pPr>
        <w:pStyle w:val="Definition-Field"/>
      </w:pPr>
      <w:r>
        <w:t xml:space="preserve">b.   </w:t>
      </w:r>
      <w:r>
        <w:rPr>
          <w:i/>
        </w:rPr>
        <w:t>The standard does not require any ordering of the child item elements.</w:t>
      </w:r>
    </w:p>
    <w:p w:rsidR="000A156F" w:rsidRDefault="00A9721F">
      <w:pPr>
        <w:pStyle w:val="Definition-Field2"/>
      </w:pPr>
      <w:r>
        <w:t xml:space="preserve">In Office, any item elements that have the t attribute equal to the default value must appear before </w:t>
      </w:r>
      <w:r>
        <w:t>item elements with other values.</w:t>
      </w:r>
    </w:p>
    <w:p w:rsidR="000A156F" w:rsidRDefault="00A9721F">
      <w:pPr>
        <w:pStyle w:val="Definition-Field"/>
      </w:pPr>
      <w:r>
        <w:t xml:space="preserve">c.   </w:t>
      </w:r>
      <w:r>
        <w:rPr>
          <w:i/>
        </w:rPr>
        <w:t>The standard does not restrict the c attribute to OLAP PivotTables.</w:t>
      </w:r>
    </w:p>
    <w:p w:rsidR="000A156F" w:rsidRDefault="00A9721F">
      <w:pPr>
        <w:pStyle w:val="Definition-Field2"/>
      </w:pPr>
      <w:r>
        <w:t>Excel allows the c attribute only for OLAP PivotTables.</w:t>
      </w:r>
    </w:p>
    <w:p w:rsidR="000A156F" w:rsidRDefault="00A9721F">
      <w:pPr>
        <w:pStyle w:val="Definition-Field"/>
      </w:pPr>
      <w:r>
        <w:t xml:space="preserve">d.   </w:t>
      </w:r>
      <w:r>
        <w:rPr>
          <w:i/>
        </w:rPr>
        <w:t>The standard does not restrict the d attribute to OLAP PivotTables.</w:t>
      </w:r>
    </w:p>
    <w:p w:rsidR="000A156F" w:rsidRDefault="00A9721F">
      <w:pPr>
        <w:pStyle w:val="Definition-Field2"/>
      </w:pPr>
      <w:r>
        <w:t>Excel allows the d at</w:t>
      </w:r>
      <w:r>
        <w:t>tribute for OLAP PivotTables only.</w:t>
      </w:r>
    </w:p>
    <w:p w:rsidR="000A156F" w:rsidRDefault="00A9721F">
      <w:pPr>
        <w:pStyle w:val="Definition-Field"/>
      </w:pPr>
      <w:r>
        <w:t xml:space="preserve">e.   </w:t>
      </w:r>
      <w:r>
        <w:rPr>
          <w:i/>
        </w:rPr>
        <w:t>The standard does not restrict the e attribute to OLAP PivotTables only.</w:t>
      </w:r>
    </w:p>
    <w:p w:rsidR="000A156F" w:rsidRDefault="00A9721F">
      <w:pPr>
        <w:pStyle w:val="Definition-Field2"/>
      </w:pPr>
      <w:r>
        <w:t>Excel allows the e attribute for OLAP PivotTables only.</w:t>
      </w:r>
    </w:p>
    <w:p w:rsidR="000A156F" w:rsidRDefault="00A9721F">
      <w:pPr>
        <w:pStyle w:val="Definition-Field"/>
      </w:pPr>
      <w:r>
        <w:t xml:space="preserve">f.   </w:t>
      </w:r>
      <w:r>
        <w:rPr>
          <w:i/>
        </w:rPr>
        <w:t>The standard does not restrict the f attribute to non-OLAP PivotTables.</w:t>
      </w:r>
    </w:p>
    <w:p w:rsidR="000A156F" w:rsidRDefault="00A9721F">
      <w:pPr>
        <w:pStyle w:val="Definition-Field2"/>
      </w:pPr>
      <w:r>
        <w:t>Excel allo</w:t>
      </w:r>
      <w:r>
        <w:t>ws the f attribute in non-OLAP PivotTables only.</w:t>
      </w:r>
    </w:p>
    <w:p w:rsidR="000A156F" w:rsidRDefault="00A9721F">
      <w:pPr>
        <w:pStyle w:val="Definition-Field"/>
      </w:pPr>
      <w:r>
        <w:t xml:space="preserve">g.   </w:t>
      </w:r>
      <w:r>
        <w:rPr>
          <w:i/>
        </w:rPr>
        <w:t>The standard does not restrict the h attribute to non-OLAP PivotTables.</w:t>
      </w:r>
    </w:p>
    <w:p w:rsidR="000A156F" w:rsidRDefault="00A9721F">
      <w:pPr>
        <w:pStyle w:val="Definition-Field2"/>
      </w:pPr>
      <w:r>
        <w:t>Excel allows the h attribute in non-OLAP PivotTables only.</w:t>
      </w:r>
    </w:p>
    <w:p w:rsidR="000A156F" w:rsidRDefault="00A9721F">
      <w:pPr>
        <w:pStyle w:val="Definition-Field"/>
      </w:pPr>
      <w:r>
        <w:t xml:space="preserve">h.   </w:t>
      </w:r>
      <w:r>
        <w:rPr>
          <w:i/>
        </w:rPr>
        <w:t xml:space="preserve">The standard does not restrict the m attribute to non-OLAP </w:t>
      </w:r>
      <w:r>
        <w:rPr>
          <w:i/>
        </w:rPr>
        <w:t>PivotTables.</w:t>
      </w:r>
    </w:p>
    <w:p w:rsidR="000A156F" w:rsidRDefault="00A9721F">
      <w:pPr>
        <w:pStyle w:val="Definition-Field2"/>
      </w:pPr>
      <w:r>
        <w:t>Excel allows the m attribute in non-OLAP PivotTables only.</w:t>
      </w:r>
    </w:p>
    <w:p w:rsidR="000A156F" w:rsidRDefault="00A9721F">
      <w:pPr>
        <w:pStyle w:val="Definition-Field"/>
      </w:pPr>
      <w:r>
        <w:t xml:space="preserve">i.   </w:t>
      </w:r>
      <w:r>
        <w:rPr>
          <w:i/>
        </w:rPr>
        <w:t>The standard does not restrict the s attribute to OLAP PivotTables.</w:t>
      </w:r>
    </w:p>
    <w:p w:rsidR="000A156F" w:rsidRDefault="00A9721F">
      <w:pPr>
        <w:pStyle w:val="Definition-Field2"/>
      </w:pPr>
      <w:r>
        <w:t>Excel allows the s attribute in OLAP PivotTables only.</w:t>
      </w:r>
    </w:p>
    <w:p w:rsidR="000A156F" w:rsidRDefault="00A9721F">
      <w:pPr>
        <w:pStyle w:val="Definition-Field"/>
      </w:pPr>
      <w:r>
        <w:t xml:space="preserve">j.   </w:t>
      </w:r>
      <w:r>
        <w:rPr>
          <w:i/>
        </w:rPr>
        <w:t xml:space="preserve">The standard does not restrict the sd attribute to </w:t>
      </w:r>
      <w:r>
        <w:rPr>
          <w:i/>
        </w:rPr>
        <w:t>non-OLAP PivotTables.</w:t>
      </w:r>
    </w:p>
    <w:p w:rsidR="000A156F" w:rsidRDefault="00A9721F">
      <w:pPr>
        <w:pStyle w:val="Definition-Field2"/>
      </w:pPr>
      <w:r>
        <w:t>Excel allows the sd attribute in non-OLAP PivotTables only.</w:t>
      </w:r>
    </w:p>
    <w:p w:rsidR="000A156F" w:rsidRDefault="00A9721F">
      <w:pPr>
        <w:pStyle w:val="Definition-Field"/>
      </w:pPr>
      <w:r>
        <w:t xml:space="preserve">k.   </w:t>
      </w:r>
      <w:r>
        <w:rPr>
          <w:i/>
        </w:rPr>
        <w:t>The standard restricts the x attribute to non-OLAP PivotTables only.</w:t>
      </w:r>
    </w:p>
    <w:p w:rsidR="000A156F" w:rsidRDefault="00A9721F">
      <w:pPr>
        <w:pStyle w:val="Definition-Field2"/>
      </w:pPr>
      <w:r>
        <w:t>Excel allows the x attribute in both OLAP and non-OLAP PivotTables.</w:t>
      </w:r>
    </w:p>
    <w:p w:rsidR="000A156F" w:rsidRDefault="00A9721F">
      <w:pPr>
        <w:pStyle w:val="Definition-Field"/>
      </w:pPr>
      <w:r>
        <w:lastRenderedPageBreak/>
        <w:t xml:space="preserve">l.   </w:t>
      </w:r>
      <w:r>
        <w:rPr>
          <w:i/>
        </w:rPr>
        <w:t>The standard states that th</w:t>
      </w:r>
      <w:r>
        <w:rPr>
          <w:i/>
        </w:rPr>
        <w:t>e sd attribute indicates whether the details are hidden for an item.</w:t>
      </w:r>
    </w:p>
    <w:p w:rsidR="000A156F" w:rsidRDefault="00A9721F">
      <w:pPr>
        <w:pStyle w:val="Definition-Field2"/>
      </w:pPr>
      <w:r>
        <w:t>Excel uses the sd attribute to indicate whether the item is expanded.  A value of true indicates item details are shown.  A value of false indicates item details are hidden.</w:t>
      </w:r>
    </w:p>
    <w:p w:rsidR="000A156F" w:rsidRDefault="00A9721F">
      <w:pPr>
        <w:pStyle w:val="Definition-Field"/>
      </w:pPr>
      <w:r>
        <w:t xml:space="preserve">m.   </w:t>
      </w:r>
      <w:r>
        <w:rPr>
          <w:i/>
        </w:rPr>
        <w:t>The stan</w:t>
      </w:r>
      <w:r>
        <w:rPr>
          <w:i/>
        </w:rPr>
        <w:t>dard does not specify when the x attribute is required.</w:t>
      </w:r>
    </w:p>
    <w:p w:rsidR="000A156F" w:rsidRDefault="00A9721F">
      <w:pPr>
        <w:pStyle w:val="Definition-Field2"/>
      </w:pPr>
      <w:r>
        <w:t>Excel requires the x attribute when the value of the t attribute is data.</w:t>
      </w:r>
    </w:p>
    <w:p w:rsidR="000A156F" w:rsidRDefault="00A9721F">
      <w:pPr>
        <w:pStyle w:val="Definition-Field"/>
      </w:pPr>
      <w:r>
        <w:t xml:space="preserve">n.   </w:t>
      </w:r>
      <w:r>
        <w:rPr>
          <w:i/>
        </w:rPr>
        <w:t>The standard states that the x attribute specifies an index to an item in the pivotFields collection.</w:t>
      </w:r>
    </w:p>
    <w:p w:rsidR="000A156F" w:rsidRDefault="00A9721F">
      <w:pPr>
        <w:pStyle w:val="Definition-Field2"/>
      </w:pPr>
      <w:r>
        <w:t>Excel uses the x at</w:t>
      </w:r>
      <w:r>
        <w:t>tribute to specify an index to an item in the sharedItems collection for this pivotField.</w:t>
      </w:r>
    </w:p>
    <w:p w:rsidR="000A156F" w:rsidRDefault="00A9721F">
      <w:pPr>
        <w:pStyle w:val="Definition-Field"/>
      </w:pPr>
      <w:r>
        <w:t xml:space="preserve">o.   </w:t>
      </w:r>
      <w:r>
        <w:rPr>
          <w:i/>
        </w:rPr>
        <w:t>The standard does not specify when the x attribute values should be unique for item elements in an items collection.</w:t>
      </w:r>
    </w:p>
    <w:p w:rsidR="000A156F" w:rsidRDefault="00A9721F">
      <w:pPr>
        <w:pStyle w:val="Definition-Field2"/>
      </w:pPr>
      <w:r>
        <w:t xml:space="preserve">Excel requires the x attribute values to be </w:t>
      </w:r>
      <w:r>
        <w:t>unique for item elements in an items collection.</w:t>
      </w:r>
    </w:p>
    <w:p w:rsidR="000A156F" w:rsidRDefault="00A9721F">
      <w:pPr>
        <w:pStyle w:val="Definition-Field"/>
      </w:pPr>
      <w:r>
        <w:t xml:space="preserve">p.   </w:t>
      </w:r>
      <w:r>
        <w:rPr>
          <w:i/>
        </w:rPr>
        <w:t>The standard states that the m attribute indicates whether the item's value is missing.</w:t>
      </w:r>
    </w:p>
    <w:p w:rsidR="000A156F" w:rsidRDefault="00A9721F">
      <w:pPr>
        <w:pStyle w:val="Definition-Field2"/>
      </w:pPr>
      <w:r>
        <w:t>Excel uses the m attribute to indicate whether the item itself is missing from the source data.</w:t>
      </w:r>
    </w:p>
    <w:p w:rsidR="000A156F" w:rsidRDefault="00A9721F">
      <w:pPr>
        <w:pStyle w:val="Definition-Field"/>
      </w:pPr>
      <w:r>
        <w:t xml:space="preserve">q.   </w:t>
      </w:r>
      <w:r>
        <w:rPr>
          <w:i/>
        </w:rPr>
        <w:t xml:space="preserve">The standard </w:t>
      </w:r>
      <w:r>
        <w:rPr>
          <w:i/>
        </w:rPr>
        <w:t>does not restrict the length of the n attribute.</w:t>
      </w:r>
    </w:p>
    <w:p w:rsidR="000A156F" w:rsidRDefault="00A9721F">
      <w:pPr>
        <w:pStyle w:val="Definition-Field2"/>
      </w:pPr>
      <w:r>
        <w:t>Office requires that the n attribute be no longer than 32767 characters, or 255 characters when the PivotTable version is less than 3.</w:t>
      </w:r>
    </w:p>
    <w:p w:rsidR="000A156F" w:rsidRDefault="00A9721F">
      <w:pPr>
        <w:pStyle w:val="Definition-Field"/>
      </w:pPr>
      <w:r>
        <w:t xml:space="preserve">r.   </w:t>
      </w:r>
      <w:r>
        <w:rPr>
          <w:i/>
        </w:rPr>
        <w:t>The standard does not restrict the value of the n attribute.</w:t>
      </w:r>
    </w:p>
    <w:p w:rsidR="000A156F" w:rsidRDefault="00A9721F">
      <w:pPr>
        <w:pStyle w:val="Definition-Field2"/>
      </w:pPr>
      <w:r>
        <w:t>Office</w:t>
      </w:r>
      <w:r>
        <w:t xml:space="preserve"> requires for non-OLAP PivotTables that, if present, the value of the n attribute be unique within the containing pivotField.</w:t>
      </w:r>
    </w:p>
    <w:p w:rsidR="000A156F" w:rsidRDefault="00A9721F">
      <w:pPr>
        <w:pStyle w:val="Definition-Field"/>
      </w:pPr>
      <w:r>
        <w:t xml:space="preserve">s.   </w:t>
      </w:r>
      <w:r>
        <w:rPr>
          <w:i/>
        </w:rPr>
        <w:t>The standard does not restrict the value of the t attribute with respect to other attributes.</w:t>
      </w:r>
    </w:p>
    <w:p w:rsidR="000A156F" w:rsidRDefault="00A9721F">
      <w:pPr>
        <w:pStyle w:val="Definition-Field2"/>
      </w:pPr>
      <w:r>
        <w:t xml:space="preserve">Office requires that the f, h, </w:t>
      </w:r>
      <w:r>
        <w:t>m, and d attributes be the default values if the t attribute has a value other than data.</w:t>
      </w:r>
    </w:p>
    <w:p w:rsidR="000A156F" w:rsidRDefault="00A9721F">
      <w:pPr>
        <w:pStyle w:val="Definition-Field"/>
      </w:pPr>
      <w:r>
        <w:t xml:space="preserve">t.   </w:t>
      </w:r>
      <w:r>
        <w:rPr>
          <w:i/>
        </w:rPr>
        <w:t>The standard does not restrict the possible values for the t attribute within ST_ItemType.</w:t>
      </w:r>
    </w:p>
    <w:p w:rsidR="000A156F" w:rsidRDefault="00A9721F">
      <w:pPr>
        <w:pStyle w:val="Definition-Field2"/>
      </w:pPr>
      <w:r>
        <w:t xml:space="preserve">Office does not allow blank or grand as values for the t attribute in </w:t>
      </w:r>
      <w:r>
        <w:t>the item element.</w:t>
      </w:r>
    </w:p>
    <w:p w:rsidR="000A156F" w:rsidRDefault="00A9721F">
      <w:pPr>
        <w:pStyle w:val="Heading3"/>
      </w:pPr>
      <w:bookmarkStart w:id="1556" w:name="section_8c5ed3f97cb44debb3b968dd78fc4177"/>
      <w:bookmarkStart w:id="1557" w:name="_Toc181683804"/>
      <w:r>
        <w:t>Part 1 Section 18.10.1.46, items (Field Items)</w:t>
      </w:r>
      <w:bookmarkEnd w:id="1556"/>
      <w:bookmarkEnd w:id="1557"/>
      <w:r>
        <w:fldChar w:fldCharType="begin"/>
      </w:r>
      <w:r>
        <w:instrText xml:space="preserve"> XE "items (Field Items)" </w:instrText>
      </w:r>
      <w:r>
        <w:fldChar w:fldCharType="end"/>
      </w:r>
    </w:p>
    <w:p w:rsidR="000A156F" w:rsidRDefault="00A9721F">
      <w:pPr>
        <w:pStyle w:val="Definition-Field"/>
      </w:pPr>
      <w:r>
        <w:t xml:space="preserve">a.   </w:t>
      </w:r>
      <w:r>
        <w:rPr>
          <w:i/>
        </w:rPr>
        <w:t>The standard says that @count specifies the number of fields in the PivotTable.</w:t>
      </w:r>
    </w:p>
    <w:p w:rsidR="000A156F" w:rsidRDefault="00A9721F">
      <w:pPr>
        <w:pStyle w:val="Definition-Field2"/>
      </w:pPr>
      <w:r>
        <w:t>In Office @count specifies the number of items in the pivotField.</w:t>
      </w:r>
    </w:p>
    <w:p w:rsidR="000A156F" w:rsidRDefault="00A9721F">
      <w:pPr>
        <w:pStyle w:val="Heading3"/>
      </w:pPr>
      <w:bookmarkStart w:id="1558" w:name="section_e047f66586f44768a4b69bc5bda62613"/>
      <w:bookmarkStart w:id="1559" w:name="_Toc181683805"/>
      <w:r>
        <w:t>Part 1 Section 18.10.1.47, kpi (OLAP KPI)</w:t>
      </w:r>
      <w:bookmarkEnd w:id="1558"/>
      <w:bookmarkEnd w:id="1559"/>
      <w:r>
        <w:fldChar w:fldCharType="begin"/>
      </w:r>
      <w:r>
        <w:instrText xml:space="preserve"> XE "kpi (OLAP KPI)" </w:instrText>
      </w:r>
      <w:r>
        <w:fldChar w:fldCharType="end"/>
      </w:r>
    </w:p>
    <w:p w:rsidR="000A156F" w:rsidRDefault="00A9721F">
      <w:pPr>
        <w:pStyle w:val="Definition-Field"/>
      </w:pPr>
      <w:r>
        <w:t xml:space="preserve">a.   </w:t>
      </w:r>
      <w:r>
        <w:rPr>
          <w:i/>
        </w:rPr>
        <w:t>The standard implies that the caption attribute is optional.</w:t>
      </w:r>
    </w:p>
    <w:p w:rsidR="000A156F" w:rsidRDefault="00A9721F">
      <w:pPr>
        <w:pStyle w:val="Definition-Field2"/>
      </w:pPr>
      <w:r>
        <w:t>Excel requires this attribute.</w:t>
      </w:r>
    </w:p>
    <w:p w:rsidR="000A156F" w:rsidRDefault="00A9721F">
      <w:pPr>
        <w:pStyle w:val="Definition-Field"/>
      </w:pPr>
      <w:r>
        <w:t xml:space="preserve">b.   </w:t>
      </w:r>
      <w:r>
        <w:rPr>
          <w:i/>
        </w:rPr>
        <w:t>The standard does not limit the length of the value of the uniqueName attribute.</w:t>
      </w:r>
    </w:p>
    <w:p w:rsidR="000A156F" w:rsidRDefault="00A9721F">
      <w:pPr>
        <w:pStyle w:val="Definition-Field2"/>
      </w:pPr>
      <w:r>
        <w:t>Excel re</w:t>
      </w:r>
      <w:r>
        <w:t>stricts the value of this attribute to be at least 1 and at most 255 characters when the createdVersion attribute on the pivotCacheDefinition element is less than 3 and 32767 characters otherwise.</w:t>
      </w:r>
    </w:p>
    <w:p w:rsidR="000A156F" w:rsidRDefault="00A9721F">
      <w:pPr>
        <w:pStyle w:val="Definition-Field"/>
      </w:pPr>
      <w:r>
        <w:t xml:space="preserve">c.   </w:t>
      </w:r>
      <w:r>
        <w:rPr>
          <w:i/>
        </w:rPr>
        <w:t>The standard does not limit the length of the value of</w:t>
      </w:r>
      <w:r>
        <w:rPr>
          <w:i/>
        </w:rPr>
        <w:t xml:space="preserve"> the caption attribute.</w:t>
      </w:r>
    </w:p>
    <w:p w:rsidR="000A156F" w:rsidRDefault="00A9721F">
      <w:pPr>
        <w:pStyle w:val="Definition-Field2"/>
      </w:pPr>
      <w:r>
        <w:lastRenderedPageBreak/>
        <w:t>Excel restricts the value of this attribute to be at least 1 and most 32767 characters.</w:t>
      </w:r>
    </w:p>
    <w:p w:rsidR="000A156F" w:rsidRDefault="00A9721F">
      <w:pPr>
        <w:pStyle w:val="Definition-Field"/>
      </w:pPr>
      <w:r>
        <w:t xml:space="preserve">d.   </w:t>
      </w:r>
      <w:r>
        <w:rPr>
          <w:i/>
        </w:rPr>
        <w:t>The standard does not limit the length of the value of the displayFolder attribute.</w:t>
      </w:r>
    </w:p>
    <w:p w:rsidR="000A156F" w:rsidRDefault="00A9721F">
      <w:pPr>
        <w:pStyle w:val="Definition-Field2"/>
      </w:pPr>
      <w:r>
        <w:t>Excel restricts the value of this attribute to be at mo</w:t>
      </w:r>
      <w:r>
        <w:t>st 65535 characters.</w:t>
      </w:r>
    </w:p>
    <w:p w:rsidR="000A156F" w:rsidRDefault="00A9721F">
      <w:pPr>
        <w:pStyle w:val="Definition-Field"/>
      </w:pPr>
      <w:r>
        <w:t xml:space="preserve">e.   </w:t>
      </w:r>
      <w:r>
        <w:rPr>
          <w:i/>
        </w:rPr>
        <w:t>The standard does not limit the length of the value of the measureGroup attribute.</w:t>
      </w:r>
    </w:p>
    <w:p w:rsidR="000A156F" w:rsidRDefault="00A9721F">
      <w:pPr>
        <w:pStyle w:val="Definition-Field2"/>
      </w:pPr>
      <w:r>
        <w:t>Excel restricts the value of this attribute to be at most 65535 characters.</w:t>
      </w:r>
    </w:p>
    <w:p w:rsidR="000A156F" w:rsidRDefault="00A9721F">
      <w:pPr>
        <w:pStyle w:val="Definition-Field"/>
      </w:pPr>
      <w:r>
        <w:t xml:space="preserve">f.   </w:t>
      </w:r>
      <w:r>
        <w:rPr>
          <w:i/>
        </w:rPr>
        <w:t xml:space="preserve">The standard does not limit the length of the value of the parent </w:t>
      </w:r>
      <w:r>
        <w:rPr>
          <w:i/>
        </w:rPr>
        <w:t>attribute.</w:t>
      </w:r>
    </w:p>
    <w:p w:rsidR="000A156F" w:rsidRDefault="00A9721F">
      <w:pPr>
        <w:pStyle w:val="Definition-Field2"/>
      </w:pPr>
      <w:r>
        <w:t>Excel restricts the value of this attribute to be at most 32767 characters.</w:t>
      </w:r>
    </w:p>
    <w:p w:rsidR="000A156F" w:rsidRDefault="00A9721F">
      <w:pPr>
        <w:pStyle w:val="Definition-Field"/>
      </w:pPr>
      <w:r>
        <w:t xml:space="preserve">g.   </w:t>
      </w:r>
      <w:r>
        <w:rPr>
          <w:i/>
        </w:rPr>
        <w:t>The standard does not limit the length of the value of the value attribute.</w:t>
      </w:r>
    </w:p>
    <w:p w:rsidR="000A156F" w:rsidRDefault="00A9721F">
      <w:pPr>
        <w:pStyle w:val="Definition-Field2"/>
      </w:pPr>
      <w:r>
        <w:t xml:space="preserve">Excel restricts the value of this attribute to be at least 1 and at most 255 characters </w:t>
      </w:r>
      <w:r>
        <w:t>when the createdVersion attribute on the pivotCacheDefinition element is less than 3 and 32767 characters otherwise.</w:t>
      </w:r>
    </w:p>
    <w:p w:rsidR="000A156F" w:rsidRDefault="00A9721F">
      <w:pPr>
        <w:pStyle w:val="Definition-Field"/>
      </w:pPr>
      <w:r>
        <w:t xml:space="preserve">h.   </w:t>
      </w:r>
      <w:r>
        <w:rPr>
          <w:i/>
        </w:rPr>
        <w:t>The standard does not limit the length of the value of the goal attribute.</w:t>
      </w:r>
    </w:p>
    <w:p w:rsidR="000A156F" w:rsidRDefault="00A9721F">
      <w:pPr>
        <w:pStyle w:val="Definition-Field2"/>
      </w:pPr>
      <w:r>
        <w:t>Excel restricts the value of this attribute to be at most 2</w:t>
      </w:r>
      <w:r>
        <w:t>55 characters when the createdVersion attribute on the pivotCacheDefinition element is less than 3 and 32767 characters otherwise.</w:t>
      </w:r>
    </w:p>
    <w:p w:rsidR="000A156F" w:rsidRDefault="00A9721F">
      <w:pPr>
        <w:pStyle w:val="Definition-Field"/>
      </w:pPr>
      <w:r>
        <w:t xml:space="preserve">i.   </w:t>
      </w:r>
      <w:r>
        <w:rPr>
          <w:i/>
        </w:rPr>
        <w:t>The standard does not limit the length of the value of the status attribute.</w:t>
      </w:r>
    </w:p>
    <w:p w:rsidR="000A156F" w:rsidRDefault="00A9721F">
      <w:pPr>
        <w:pStyle w:val="Definition-Field2"/>
      </w:pPr>
      <w:r>
        <w:t>Excel restricts the value of this attribute</w:t>
      </w:r>
      <w:r>
        <w:t xml:space="preserve"> to be at most 255 characters when the createdVersion attribute on the pivotCacheDefinition element is less than 3 and 32767 characters otherwise.</w:t>
      </w:r>
    </w:p>
    <w:p w:rsidR="000A156F" w:rsidRDefault="00A9721F">
      <w:pPr>
        <w:pStyle w:val="Definition-Field"/>
      </w:pPr>
      <w:r>
        <w:t xml:space="preserve">j.   </w:t>
      </w:r>
      <w:r>
        <w:rPr>
          <w:i/>
        </w:rPr>
        <w:t>The standard does not limit the length of the value of the trend attribute.</w:t>
      </w:r>
    </w:p>
    <w:p w:rsidR="000A156F" w:rsidRDefault="00A9721F">
      <w:pPr>
        <w:pStyle w:val="Definition-Field2"/>
      </w:pPr>
      <w:r>
        <w:t>Excel restricts the value of</w:t>
      </w:r>
      <w:r>
        <w:t xml:space="preserve"> this attribute to be at most 255 characters when the createdVersion attribute on the pivotCacheDefinition element is less than 3 and 32767 characters otherwise.</w:t>
      </w:r>
    </w:p>
    <w:p w:rsidR="000A156F" w:rsidRDefault="00A9721F">
      <w:pPr>
        <w:pStyle w:val="Definition-Field"/>
      </w:pPr>
      <w:r>
        <w:t xml:space="preserve">k.   </w:t>
      </w:r>
      <w:r>
        <w:rPr>
          <w:i/>
        </w:rPr>
        <w:t>The standard does not limit the length of the value of the weight attribute.</w:t>
      </w:r>
    </w:p>
    <w:p w:rsidR="000A156F" w:rsidRDefault="00A9721F">
      <w:pPr>
        <w:pStyle w:val="Definition-Field2"/>
      </w:pPr>
      <w:r>
        <w:t>Excel restri</w:t>
      </w:r>
      <w:r>
        <w:t>cts the value of this attribute to be at most 255 characters when the createdVersion attribute on the pivotCacheDefinition element is less than 3 and 32767 characters otherwise.</w:t>
      </w:r>
    </w:p>
    <w:p w:rsidR="000A156F" w:rsidRDefault="00A9721F">
      <w:pPr>
        <w:pStyle w:val="Definition-Field"/>
      </w:pPr>
      <w:r>
        <w:t xml:space="preserve">l.   </w:t>
      </w:r>
      <w:r>
        <w:rPr>
          <w:i/>
        </w:rPr>
        <w:t xml:space="preserve">The standard does not limit the length of the value of the time </w:t>
      </w:r>
      <w:r>
        <w:rPr>
          <w:i/>
        </w:rPr>
        <w:t>attribute.</w:t>
      </w:r>
    </w:p>
    <w:p w:rsidR="000A156F" w:rsidRDefault="00A9721F">
      <w:pPr>
        <w:pStyle w:val="Definition-Field2"/>
      </w:pPr>
      <w:r>
        <w:t>Excel restricts the value of this attribute to be at most 255 characters when the createdVersion attribute on the pivotCacheDefinition element is less than 3 and 32767 characters otherwise.</w:t>
      </w:r>
    </w:p>
    <w:p w:rsidR="000A156F" w:rsidRDefault="00A9721F">
      <w:pPr>
        <w:pStyle w:val="Definition-Field"/>
      </w:pPr>
      <w:r>
        <w:t xml:space="preserve">m.   </w:t>
      </w:r>
      <w:r>
        <w:rPr>
          <w:i/>
        </w:rPr>
        <w:t>The standard states that the time attribute can be</w:t>
      </w:r>
      <w:r>
        <w:rPr>
          <w:i/>
        </w:rPr>
        <w:t xml:space="preserve"> present.</w:t>
      </w:r>
    </w:p>
    <w:p w:rsidR="000A156F" w:rsidRDefault="00A9721F">
      <w:pPr>
        <w:pStyle w:val="Definition-Field2"/>
      </w:pPr>
      <w:r>
        <w:t>Office reports files as corrupt that contain this attribute.</w:t>
      </w:r>
    </w:p>
    <w:p w:rsidR="000A156F" w:rsidRDefault="00A9721F">
      <w:pPr>
        <w:pStyle w:val="Definition-Field"/>
      </w:pPr>
      <w:r>
        <w:t xml:space="preserve">n.   </w:t>
      </w:r>
      <w:r>
        <w:rPr>
          <w:i/>
        </w:rPr>
        <w:t>The standard states the values of the weight attribute are defined by the Xstring simple type.</w:t>
      </w:r>
    </w:p>
    <w:p w:rsidR="000A156F" w:rsidRDefault="00A9721F">
      <w:pPr>
        <w:pStyle w:val="Definition-Field2"/>
      </w:pPr>
      <w:r>
        <w:t>Office will not successfully open files when this attribute is non-empty and contains</w:t>
      </w:r>
      <w:r>
        <w:t xml:space="preserve"> a value that does not match the uniqueName attribute value of a cacheHierarchy with a measure value of 1.</w:t>
      </w:r>
    </w:p>
    <w:p w:rsidR="000A156F" w:rsidRDefault="00A9721F">
      <w:pPr>
        <w:pStyle w:val="Definition-Field"/>
      </w:pPr>
      <w:r>
        <w:t xml:space="preserve">o.   </w:t>
      </w:r>
      <w:r>
        <w:rPr>
          <w:i/>
        </w:rPr>
        <w:t>The standard places no restrictions on the relationship between the parent attribute and the uniqueName attribute on the parent kpi element.</w:t>
      </w:r>
    </w:p>
    <w:p w:rsidR="000A156F" w:rsidRDefault="00A9721F">
      <w:pPr>
        <w:pStyle w:val="Definition-Field2"/>
      </w:pPr>
      <w:r>
        <w:t>Exc</w:t>
      </w:r>
      <w:r>
        <w:t>el requires the value of the parent attribute, when not null, to be equal to the value of the uniqueName attribute on the parent kpi element.</w:t>
      </w:r>
    </w:p>
    <w:p w:rsidR="000A156F" w:rsidRDefault="00A9721F">
      <w:pPr>
        <w:pStyle w:val="Definition-Field"/>
      </w:pPr>
      <w:r>
        <w:t xml:space="preserve">p.   </w:t>
      </w:r>
      <w:r>
        <w:rPr>
          <w:i/>
        </w:rPr>
        <w:t>The standard places no restrictions on the relationship between the value attribute and the uniqueName attrib</w:t>
      </w:r>
      <w:r>
        <w:rPr>
          <w:i/>
        </w:rPr>
        <w:t>ute on the cacheHierarchy element.</w:t>
      </w:r>
    </w:p>
    <w:p w:rsidR="000A156F" w:rsidRDefault="00A9721F">
      <w:pPr>
        <w:pStyle w:val="Definition-Field2"/>
      </w:pPr>
      <w:r>
        <w:lastRenderedPageBreak/>
        <w:t>Excel requires the value of the value attribute to be equal to the value of the uniqueName attribute on a cacheHierarchy element whose measure attribute has a value of 1.</w:t>
      </w:r>
    </w:p>
    <w:p w:rsidR="000A156F" w:rsidRDefault="00A9721F">
      <w:pPr>
        <w:pStyle w:val="Definition-Field"/>
      </w:pPr>
      <w:r>
        <w:t xml:space="preserve">q.   </w:t>
      </w:r>
      <w:r>
        <w:rPr>
          <w:i/>
        </w:rPr>
        <w:t>The standard places no restrictions on the re</w:t>
      </w:r>
      <w:r>
        <w:rPr>
          <w:i/>
        </w:rPr>
        <w:t>lationship between the goal attribute and the uniqueName attribute on the cacheHierarchy element.</w:t>
      </w:r>
    </w:p>
    <w:p w:rsidR="000A156F" w:rsidRDefault="00A9721F">
      <w:pPr>
        <w:pStyle w:val="Definition-Field2"/>
      </w:pPr>
      <w:r>
        <w:t xml:space="preserve">Excel requires the value of the goal attribute to be equal to the value of the uniqueName attribute on a cacheHierarchy element whose measure attribute has a </w:t>
      </w:r>
      <w:r>
        <w:t>value of 1.</w:t>
      </w:r>
    </w:p>
    <w:p w:rsidR="000A156F" w:rsidRDefault="00A9721F">
      <w:pPr>
        <w:pStyle w:val="Definition-Field"/>
      </w:pPr>
      <w:r>
        <w:t xml:space="preserve">r.   </w:t>
      </w:r>
      <w:r>
        <w:rPr>
          <w:i/>
        </w:rPr>
        <w:t>The standard places no restrictions on the relationship between the status attribute and the uniqueName attribute on the cacheHierarchy element.</w:t>
      </w:r>
    </w:p>
    <w:p w:rsidR="000A156F" w:rsidRDefault="00A9721F">
      <w:pPr>
        <w:pStyle w:val="Definition-Field2"/>
      </w:pPr>
      <w:r>
        <w:t>Excel requires the value of the status attribute to be equal to the value of the uniqueName at</w:t>
      </w:r>
      <w:r>
        <w:t>tribute on a cacheHierarchy element whose measure attribute has a value of 1.</w:t>
      </w:r>
    </w:p>
    <w:p w:rsidR="000A156F" w:rsidRDefault="00A9721F">
      <w:pPr>
        <w:pStyle w:val="Definition-Field"/>
      </w:pPr>
      <w:r>
        <w:t xml:space="preserve">s.   </w:t>
      </w:r>
      <w:r>
        <w:rPr>
          <w:i/>
        </w:rPr>
        <w:t>The standard places no restrictions on the relationship between the trend attribute and the uniqueName attribute on the cacheHierarchy element.</w:t>
      </w:r>
    </w:p>
    <w:p w:rsidR="000A156F" w:rsidRDefault="00A9721F">
      <w:pPr>
        <w:pStyle w:val="Definition-Field2"/>
      </w:pPr>
      <w:r>
        <w:t>Excel requires the value of t</w:t>
      </w:r>
      <w:r>
        <w:t>he trend attribute to be equal to the value of the uniqueName attribute on a cacheHierarchy element whose measure attribute has a value of 1.</w:t>
      </w:r>
    </w:p>
    <w:p w:rsidR="000A156F" w:rsidRDefault="00A9721F">
      <w:pPr>
        <w:pStyle w:val="Heading3"/>
      </w:pPr>
      <w:bookmarkStart w:id="1560" w:name="section_fa78de5c80bd45c2b90fc99e77c58627"/>
      <w:bookmarkStart w:id="1561" w:name="_Toc181683806"/>
      <w:r>
        <w:t>Part 1 Section 18.10.1.49, location (PivotTable Location)</w:t>
      </w:r>
      <w:bookmarkEnd w:id="1560"/>
      <w:bookmarkEnd w:id="1561"/>
      <w:r>
        <w:fldChar w:fldCharType="begin"/>
      </w:r>
      <w:r>
        <w:instrText xml:space="preserve"> XE "location (PivotTable Location)" </w:instrText>
      </w:r>
      <w:r>
        <w:fldChar w:fldCharType="end"/>
      </w:r>
    </w:p>
    <w:p w:rsidR="000A156F" w:rsidRDefault="00A9721F">
      <w:pPr>
        <w:pStyle w:val="Definition-Field"/>
      </w:pPr>
      <w:r>
        <w:t xml:space="preserve">a.   </w:t>
      </w:r>
      <w:r>
        <w:rPr>
          <w:i/>
        </w:rPr>
        <w:t>The standard</w:t>
      </w:r>
      <w:r>
        <w:rPr>
          <w:i/>
        </w:rPr>
        <w:t xml:space="preserve"> does not bound the maximum allowed value on the firstHeaderRow attribute.</w:t>
      </w:r>
    </w:p>
    <w:p w:rsidR="000A156F" w:rsidRDefault="00A9721F">
      <w:pPr>
        <w:pStyle w:val="Definition-Field2"/>
      </w:pPr>
      <w:r>
        <w:t>Office bounds the maximum allowed value of firstHeaderRow by the value of firstDataRow.</w:t>
      </w:r>
    </w:p>
    <w:p w:rsidR="000A156F" w:rsidRDefault="00A9721F">
      <w:pPr>
        <w:pStyle w:val="Definition-Field"/>
      </w:pPr>
      <w:r>
        <w:t xml:space="preserve">b.   </w:t>
      </w:r>
      <w:r>
        <w:rPr>
          <w:i/>
        </w:rPr>
        <w:t>The standard says the @ref specifies the first row of the PivotTable.</w:t>
      </w:r>
    </w:p>
    <w:p w:rsidR="000A156F" w:rsidRDefault="00A9721F">
      <w:pPr>
        <w:pStyle w:val="Definition-Field2"/>
      </w:pPr>
      <w:r>
        <w:t>Office assumes tha</w:t>
      </w:r>
      <w:r>
        <w:t>t @ref specifies the range of the PivotTable excluding the page fields.</w:t>
      </w:r>
    </w:p>
    <w:p w:rsidR="000A156F" w:rsidRDefault="00A9721F">
      <w:pPr>
        <w:pStyle w:val="Heading3"/>
      </w:pPr>
      <w:bookmarkStart w:id="1562" w:name="section_148814680d094701a500d97e5d61c8a2"/>
      <w:bookmarkStart w:id="1563" w:name="_Toc181683807"/>
      <w:r>
        <w:t>Part 1 Section 18.10.1.50, m (No Value)</w:t>
      </w:r>
      <w:bookmarkEnd w:id="1562"/>
      <w:bookmarkEnd w:id="1563"/>
      <w:r>
        <w:fldChar w:fldCharType="begin"/>
      </w:r>
      <w:r>
        <w:instrText xml:space="preserve"> XE "m (No Value)" </w:instrText>
      </w:r>
      <w:r>
        <w:fldChar w:fldCharType="end"/>
      </w:r>
    </w:p>
    <w:p w:rsidR="000A156F" w:rsidRDefault="00A9721F">
      <w:pPr>
        <w:pStyle w:val="Definition-Field"/>
      </w:pPr>
      <w:r>
        <w:t xml:space="preserve">a.   </w:t>
      </w:r>
      <w:r>
        <w:rPr>
          <w:i/>
        </w:rPr>
        <w:t>The standard does not limit the length of the value of the c attribute.</w:t>
      </w:r>
    </w:p>
    <w:p w:rsidR="000A156F" w:rsidRDefault="00A9721F">
      <w:pPr>
        <w:pStyle w:val="Definition-Field2"/>
      </w:pPr>
      <w:r>
        <w:t>Excel restricts the value of this attribute to</w:t>
      </w:r>
      <w:r>
        <w:t xml:space="preserve"> be at most 65535 characters.</w:t>
      </w:r>
    </w:p>
    <w:p w:rsidR="000A156F" w:rsidRDefault="00A9721F">
      <w:pPr>
        <w:pStyle w:val="Definition-Field"/>
      </w:pPr>
      <w:r>
        <w:t xml:space="preserve">b.   </w:t>
      </w:r>
      <w:r>
        <w:rPr>
          <w:i/>
        </w:rPr>
        <w:t>The standard does not define the relation between @c and the datasource type.</w:t>
      </w:r>
    </w:p>
    <w:p w:rsidR="000A156F" w:rsidRDefault="00A9721F">
      <w:pPr>
        <w:pStyle w:val="Definition-Field2"/>
      </w:pPr>
      <w:r>
        <w:t>In Office, @c applies only to OLAP-based PivotTables.  If the value of pivotCacheDefinition@createdVersion is less than 3, this value shall not</w:t>
      </w:r>
      <w:r>
        <w:t xml:space="preserve"> be specified.</w:t>
      </w:r>
    </w:p>
    <w:p w:rsidR="000A156F" w:rsidRDefault="00A9721F">
      <w:pPr>
        <w:pStyle w:val="Definition-Field"/>
      </w:pPr>
      <w:r>
        <w:t xml:space="preserve">c.   </w:t>
      </w:r>
      <w:r>
        <w:rPr>
          <w:i/>
        </w:rPr>
        <w:t>The standard does not specify a default value for the f attribute.</w:t>
      </w:r>
    </w:p>
    <w:p w:rsidR="000A156F" w:rsidRDefault="00A9721F">
      <w:pPr>
        <w:pStyle w:val="Definition-Field2"/>
      </w:pPr>
      <w:r>
        <w:t>Excel uses a default value of false for this attribute.</w:t>
      </w:r>
    </w:p>
    <w:p w:rsidR="000A156F" w:rsidRDefault="00A9721F">
      <w:pPr>
        <w:pStyle w:val="Definition-Field"/>
      </w:pPr>
      <w:r>
        <w:t xml:space="preserve">d.   </w:t>
      </w:r>
      <w:r>
        <w:rPr>
          <w:i/>
        </w:rPr>
        <w:t>The standard does not define the relation between @cp and child elements.</w:t>
      </w:r>
    </w:p>
    <w:p w:rsidR="000A156F" w:rsidRDefault="00A9721F">
      <w:pPr>
        <w:pStyle w:val="Definition-Field2"/>
      </w:pPr>
      <w:r>
        <w:t xml:space="preserve">In Office, the value of @cp shall </w:t>
      </w:r>
      <w:r>
        <w:t>be equal to the count of child x elements and be less than or equal to the @mappingCount of the corresponding cacheField element.</w:t>
      </w:r>
    </w:p>
    <w:p w:rsidR="000A156F" w:rsidRDefault="00A9721F">
      <w:pPr>
        <w:pStyle w:val="Definition-Field"/>
      </w:pPr>
      <w:r>
        <w:t xml:space="preserve">e.   </w:t>
      </w:r>
      <w:r>
        <w:rPr>
          <w:i/>
        </w:rPr>
        <w:t>The standard does not define the relation between @cp and the datasource type.</w:t>
      </w:r>
    </w:p>
    <w:p w:rsidR="000A156F" w:rsidRDefault="00A9721F">
      <w:pPr>
        <w:pStyle w:val="Definition-Field2"/>
      </w:pPr>
      <w:r>
        <w:t xml:space="preserve">In Office, @cp applies only to OLAP-based </w:t>
      </w:r>
      <w:r>
        <w:t>PivotTables.</w:t>
      </w:r>
    </w:p>
    <w:p w:rsidR="000A156F" w:rsidRDefault="00A9721F">
      <w:pPr>
        <w:pStyle w:val="Definition-Field"/>
      </w:pPr>
      <w:r>
        <w:t xml:space="preserve">f.   </w:t>
      </w:r>
      <w:r>
        <w:rPr>
          <w:i/>
        </w:rPr>
        <w:t>The standard does not define relation between @cp and sharedItems node.</w:t>
      </w:r>
    </w:p>
    <w:p w:rsidR="000A156F" w:rsidRDefault="00A9721F">
      <w:pPr>
        <w:pStyle w:val="Definition-Field2"/>
      </w:pPr>
      <w:r>
        <w:t>In Office, @cp applies only when the node parent is sharedItems.</w:t>
      </w:r>
    </w:p>
    <w:p w:rsidR="000A156F" w:rsidRDefault="00A9721F">
      <w:pPr>
        <w:pStyle w:val="Definition-Field"/>
      </w:pPr>
      <w:r>
        <w:t xml:space="preserve">g.   </w:t>
      </w:r>
      <w:r>
        <w:rPr>
          <w:i/>
        </w:rPr>
        <w:t>The standard does not specify a default value for the u attribute.</w:t>
      </w:r>
    </w:p>
    <w:p w:rsidR="000A156F" w:rsidRDefault="00A9721F">
      <w:pPr>
        <w:pStyle w:val="Definition-Field2"/>
      </w:pPr>
      <w:r>
        <w:lastRenderedPageBreak/>
        <w:t>Excel uses a default value of</w:t>
      </w:r>
      <w:r>
        <w:t xml:space="preserve"> false for this attribute.</w:t>
      </w:r>
    </w:p>
    <w:p w:rsidR="000A156F" w:rsidRDefault="00A9721F">
      <w:pPr>
        <w:pStyle w:val="Definition-Field"/>
      </w:pPr>
      <w:r>
        <w:t xml:space="preserve">h.   </w:t>
      </w:r>
      <w:r>
        <w:rPr>
          <w:i/>
        </w:rPr>
        <w:t>The standard does not define relation between @f and sharedItems node.</w:t>
      </w:r>
    </w:p>
    <w:p w:rsidR="000A156F" w:rsidRDefault="00A9721F">
      <w:pPr>
        <w:pStyle w:val="Definition-Field2"/>
      </w:pPr>
      <w:r>
        <w:t>In Office, @f applies only when the node parent is sharedItems.</w:t>
      </w:r>
    </w:p>
    <w:p w:rsidR="000A156F" w:rsidRDefault="00A9721F">
      <w:pPr>
        <w:pStyle w:val="Definition-Field"/>
      </w:pPr>
      <w:r>
        <w:t xml:space="preserve">i.   </w:t>
      </w:r>
      <w:r>
        <w:rPr>
          <w:i/>
        </w:rPr>
        <w:t>The standard does not define relation between @u and sharedItems node.</w:t>
      </w:r>
    </w:p>
    <w:p w:rsidR="000A156F" w:rsidRDefault="00A9721F">
      <w:pPr>
        <w:pStyle w:val="Definition-Field2"/>
      </w:pPr>
      <w:r>
        <w:t>In Office, @u</w:t>
      </w:r>
      <w:r>
        <w:t xml:space="preserve"> applies only when the node parent is sharedItems.</w:t>
      </w:r>
    </w:p>
    <w:p w:rsidR="000A156F" w:rsidRDefault="00A9721F">
      <w:pPr>
        <w:pStyle w:val="Definition-Field"/>
      </w:pPr>
      <w:r>
        <w:t xml:space="preserve">j.   </w:t>
      </w:r>
      <w:r>
        <w:rPr>
          <w:i/>
        </w:rPr>
        <w:t>The standard defines that a value of true for the i attribute indicates this value contains underline formatting.</w:t>
      </w:r>
    </w:p>
    <w:p w:rsidR="000A156F" w:rsidRDefault="00A9721F">
      <w:pPr>
        <w:pStyle w:val="Definition-Field2"/>
      </w:pPr>
      <w:r>
        <w:t>In Excel, a value of true for the i attribute indicates this value contains italic for</w:t>
      </w:r>
      <w:r>
        <w:t>matting.</w:t>
      </w:r>
    </w:p>
    <w:p w:rsidR="000A156F" w:rsidRDefault="00A9721F">
      <w:pPr>
        <w:pStyle w:val="Definition-Field"/>
      </w:pPr>
      <w:r>
        <w:t xml:space="preserve">k.   </w:t>
      </w:r>
      <w:r>
        <w:rPr>
          <w:i/>
        </w:rPr>
        <w:t>The standard defines that a value of true for the st attribute indicates this value contains underline formatting.</w:t>
      </w:r>
    </w:p>
    <w:p w:rsidR="000A156F" w:rsidRDefault="00A9721F">
      <w:pPr>
        <w:pStyle w:val="Definition-Field2"/>
      </w:pPr>
      <w:r>
        <w:t>In Excel, a value of true for the st attribute indicates this value contains strikethrough formatting.</w:t>
      </w:r>
    </w:p>
    <w:p w:rsidR="000A156F" w:rsidRDefault="00A9721F">
      <w:pPr>
        <w:pStyle w:val="Heading3"/>
      </w:pPr>
      <w:bookmarkStart w:id="1564" w:name="section_402db8a4378941b1a621df9fe88402ad"/>
      <w:bookmarkStart w:id="1565" w:name="_Toc181683808"/>
      <w:r>
        <w:t>Part 1 Section 18.10.1.5</w:t>
      </w:r>
      <w:r>
        <w:t>1, map (OLAP Measure Group)</w:t>
      </w:r>
      <w:bookmarkEnd w:id="1564"/>
      <w:bookmarkEnd w:id="1565"/>
      <w:r>
        <w:fldChar w:fldCharType="begin"/>
      </w:r>
      <w:r>
        <w:instrText xml:space="preserve"> XE "map (OLAP Measure Group)" </w:instrText>
      </w:r>
      <w:r>
        <w:fldChar w:fldCharType="end"/>
      </w:r>
    </w:p>
    <w:p w:rsidR="000A156F" w:rsidRDefault="00A9721F">
      <w:pPr>
        <w:pStyle w:val="Definition-Field"/>
      </w:pPr>
      <w:r>
        <w:t xml:space="preserve">a.   </w:t>
      </w:r>
      <w:r>
        <w:rPr>
          <w:i/>
        </w:rPr>
        <w:t>The standard does not place any restrictions on the value of the measureGroup attribute.</w:t>
      </w:r>
    </w:p>
    <w:p w:rsidR="000A156F" w:rsidRDefault="00A9721F">
      <w:pPr>
        <w:pStyle w:val="Definition-Field2"/>
      </w:pPr>
      <w:r>
        <w:t>In Office, the value of the measureGroup attribute must be less than the number of items in measureGr</w:t>
      </w:r>
      <w:r>
        <w:t>oups collection.</w:t>
      </w:r>
    </w:p>
    <w:p w:rsidR="000A156F" w:rsidRDefault="00A9721F">
      <w:pPr>
        <w:pStyle w:val="Definition-Field"/>
      </w:pPr>
      <w:r>
        <w:t xml:space="preserve">b.   </w:t>
      </w:r>
      <w:r>
        <w:rPr>
          <w:i/>
        </w:rPr>
        <w:t>The standard does not restrict the value of @dimension.</w:t>
      </w:r>
    </w:p>
    <w:p w:rsidR="000A156F" w:rsidRDefault="00A9721F">
      <w:pPr>
        <w:pStyle w:val="Definition-Field2"/>
      </w:pPr>
      <w:r>
        <w:t>In Office, @dimension must be less than the number of items in the dimensions collection.</w:t>
      </w:r>
    </w:p>
    <w:p w:rsidR="000A156F" w:rsidRDefault="00A9721F">
      <w:pPr>
        <w:pStyle w:val="Definition-Field"/>
      </w:pPr>
      <w:r>
        <w:t xml:space="preserve">c.   </w:t>
      </w:r>
      <w:r>
        <w:rPr>
          <w:i/>
        </w:rPr>
        <w:t>The standard does not specify the base of the dimension attribute index.</w:t>
      </w:r>
    </w:p>
    <w:p w:rsidR="000A156F" w:rsidRDefault="00A9721F">
      <w:pPr>
        <w:pStyle w:val="Definition-Field2"/>
      </w:pPr>
      <w:r>
        <w:t>Office tre</w:t>
      </w:r>
      <w:r>
        <w:t>ats the dimension attribute as a zero-based index.</w:t>
      </w:r>
    </w:p>
    <w:p w:rsidR="000A156F" w:rsidRDefault="00A9721F">
      <w:pPr>
        <w:pStyle w:val="Definition-Field"/>
      </w:pPr>
      <w:r>
        <w:t xml:space="preserve">d.   </w:t>
      </w:r>
      <w:r>
        <w:rPr>
          <w:i/>
        </w:rPr>
        <w:t>The standard does not specify the base of the measureGroup attribute index.</w:t>
      </w:r>
    </w:p>
    <w:p w:rsidR="000A156F" w:rsidRDefault="00A9721F">
      <w:pPr>
        <w:pStyle w:val="Definition-Field2"/>
      </w:pPr>
      <w:r>
        <w:t>Office treats the measureGroup attribute as a zero-based index.</w:t>
      </w:r>
    </w:p>
    <w:p w:rsidR="000A156F" w:rsidRDefault="00A9721F">
      <w:pPr>
        <w:pStyle w:val="Definition-Field"/>
      </w:pPr>
      <w:r>
        <w:t xml:space="preserve">e.   </w:t>
      </w:r>
      <w:r>
        <w:rPr>
          <w:i/>
        </w:rPr>
        <w:t>The standard states that the dimension attribute is opt</w:t>
      </w:r>
      <w:r>
        <w:rPr>
          <w:i/>
        </w:rPr>
        <w:t>ional.</w:t>
      </w:r>
    </w:p>
    <w:p w:rsidR="000A156F" w:rsidRDefault="00A9721F">
      <w:pPr>
        <w:pStyle w:val="Definition-Field2"/>
      </w:pPr>
      <w:r>
        <w:t>Excel requires this attribute.</w:t>
      </w:r>
    </w:p>
    <w:p w:rsidR="000A156F" w:rsidRDefault="00A9721F">
      <w:pPr>
        <w:pStyle w:val="Definition-Field"/>
      </w:pPr>
      <w:r>
        <w:t xml:space="preserve">f.   </w:t>
      </w:r>
      <w:r>
        <w:rPr>
          <w:i/>
        </w:rPr>
        <w:t>The standard implies that the measureGroup attribute is optional.</w:t>
      </w:r>
    </w:p>
    <w:p w:rsidR="000A156F" w:rsidRDefault="00A9721F">
      <w:pPr>
        <w:pStyle w:val="Definition-Field2"/>
      </w:pPr>
      <w:r>
        <w:t>Excel requires this attribute.</w:t>
      </w:r>
    </w:p>
    <w:p w:rsidR="000A156F" w:rsidRDefault="00A9721F">
      <w:pPr>
        <w:pStyle w:val="Heading3"/>
      </w:pPr>
      <w:bookmarkStart w:id="1566" w:name="section_cfecb95860864d0c90767301fa40250e"/>
      <w:bookmarkStart w:id="1567" w:name="_Toc181683809"/>
      <w:r>
        <w:t>Part 1 Section 18.10.1.53, measureGroup (OLAP Measure Group)</w:t>
      </w:r>
      <w:bookmarkEnd w:id="1566"/>
      <w:bookmarkEnd w:id="1567"/>
      <w:r>
        <w:fldChar w:fldCharType="begin"/>
      </w:r>
      <w:r>
        <w:instrText xml:space="preserve"> XE "measureGroup (OLAP Measure Group)" </w:instrText>
      </w:r>
      <w:r>
        <w:fldChar w:fldCharType="end"/>
      </w:r>
    </w:p>
    <w:p w:rsidR="000A156F" w:rsidRDefault="00A9721F">
      <w:pPr>
        <w:pStyle w:val="Definition-Field"/>
      </w:pPr>
      <w:r>
        <w:t xml:space="preserve">a.   </w:t>
      </w:r>
      <w:r>
        <w:rPr>
          <w:i/>
        </w:rPr>
        <w:t>The stan</w:t>
      </w:r>
      <w:r>
        <w:rPr>
          <w:i/>
        </w:rPr>
        <w:t>dard does not limit the length of the value of the caption attribute.</w:t>
      </w:r>
    </w:p>
    <w:p w:rsidR="000A156F" w:rsidRDefault="00A9721F">
      <w:pPr>
        <w:pStyle w:val="Definition-Field2"/>
      </w:pPr>
      <w:r>
        <w:t>Excel restricts the value of this attribute to be at least 1 and at most 65535 characters.</w:t>
      </w:r>
    </w:p>
    <w:p w:rsidR="000A156F" w:rsidRDefault="00A9721F">
      <w:pPr>
        <w:pStyle w:val="Definition-Field"/>
      </w:pPr>
      <w:r>
        <w:t xml:space="preserve">b.   </w:t>
      </w:r>
      <w:r>
        <w:rPr>
          <w:i/>
        </w:rPr>
        <w:t>The standard does not limit the length of the value of the name attribute.</w:t>
      </w:r>
    </w:p>
    <w:p w:rsidR="000A156F" w:rsidRDefault="00A9721F">
      <w:pPr>
        <w:pStyle w:val="Definition-Field2"/>
      </w:pPr>
      <w:r>
        <w:t>Excel restricts</w:t>
      </w:r>
      <w:r>
        <w:t xml:space="preserve"> the value of this attribute to be at least 1 and at most 65535 characters.</w:t>
      </w:r>
    </w:p>
    <w:p w:rsidR="000A156F" w:rsidRDefault="00A9721F">
      <w:pPr>
        <w:pStyle w:val="Heading3"/>
      </w:pPr>
      <w:bookmarkStart w:id="1568" w:name="section_1bef1665e5ea43e6aa806382ef735c9f"/>
      <w:bookmarkStart w:id="1569" w:name="_Toc181683810"/>
      <w:r>
        <w:t>Part 1 Section 18.10.1.55, member (Member)</w:t>
      </w:r>
      <w:bookmarkEnd w:id="1568"/>
      <w:bookmarkEnd w:id="1569"/>
      <w:r>
        <w:fldChar w:fldCharType="begin"/>
      </w:r>
      <w:r>
        <w:instrText xml:space="preserve"> XE "member (Member)" </w:instrText>
      </w:r>
      <w:r>
        <w:fldChar w:fldCharType="end"/>
      </w:r>
    </w:p>
    <w:p w:rsidR="000A156F" w:rsidRDefault="00A9721F">
      <w:pPr>
        <w:pStyle w:val="Definition-Field"/>
      </w:pPr>
      <w:r>
        <w:t xml:space="preserve">a.   </w:t>
      </w:r>
      <w:r>
        <w:rPr>
          <w:i/>
        </w:rPr>
        <w:t>The standard states that the name attribute specifies the name of a hidden item.</w:t>
      </w:r>
    </w:p>
    <w:p w:rsidR="000A156F" w:rsidRDefault="00A9721F">
      <w:pPr>
        <w:pStyle w:val="Definition-Field2"/>
      </w:pPr>
      <w:r>
        <w:lastRenderedPageBreak/>
        <w:t xml:space="preserve">Excel uses this attribute </w:t>
      </w:r>
      <w:r>
        <w:t>to specify the name of an included or excluded item.</w:t>
      </w:r>
    </w:p>
    <w:p w:rsidR="000A156F" w:rsidRDefault="00A9721F">
      <w:pPr>
        <w:pStyle w:val="Heading3"/>
      </w:pPr>
      <w:bookmarkStart w:id="1570" w:name="section_29bfbcf811e64151a3b3abb4825c9160"/>
      <w:bookmarkStart w:id="1571" w:name="_Toc181683811"/>
      <w:r>
        <w:t>Part 1 Section 18.10.1.56, members (Members)</w:t>
      </w:r>
      <w:bookmarkEnd w:id="1570"/>
      <w:bookmarkEnd w:id="1571"/>
      <w:r>
        <w:fldChar w:fldCharType="begin"/>
      </w:r>
      <w:r>
        <w:instrText xml:space="preserve"> XE "members (Members)" </w:instrText>
      </w:r>
      <w:r>
        <w:fldChar w:fldCharType="end"/>
      </w:r>
    </w:p>
    <w:p w:rsidR="000A156F" w:rsidRDefault="00A9721F">
      <w:pPr>
        <w:pStyle w:val="Definition-Field"/>
      </w:pPr>
      <w:r>
        <w:t xml:space="preserve">a.   </w:t>
      </w:r>
      <w:r>
        <w:rPr>
          <w:i/>
        </w:rPr>
        <w:t>The standard does not state how to handle the absence of the level attribute.</w:t>
      </w:r>
    </w:p>
    <w:p w:rsidR="000A156F" w:rsidRDefault="00A9721F">
      <w:pPr>
        <w:pStyle w:val="Definition-Field2"/>
      </w:pPr>
      <w:r>
        <w:t>Excel allows child member elements in this collec</w:t>
      </w:r>
      <w:r>
        <w:t>tion to be from all hierarchy levels under this circumstance.</w:t>
      </w:r>
    </w:p>
    <w:p w:rsidR="000A156F" w:rsidRDefault="00A9721F">
      <w:pPr>
        <w:pStyle w:val="Definition-Field"/>
      </w:pPr>
      <w:r>
        <w:t xml:space="preserve">b.   </w:t>
      </w:r>
      <w:r>
        <w:rPr>
          <w:i/>
        </w:rPr>
        <w:t>The standard states that the values of the level attribute are defined by the XML Schema unsignedInt datatype.</w:t>
      </w:r>
    </w:p>
    <w:p w:rsidR="000A156F" w:rsidRDefault="00A9721F">
      <w:r>
        <w:t>Excel requires the value of this attribute, when present, to be more than 0 an</w:t>
      </w:r>
      <w:r>
        <w:t>d less than the value of the count attribute of the associated PivotCache's cacheHierarchy element with the same index as the parent pivotHierarchy element, if that value is greater than 0.</w:t>
      </w:r>
    </w:p>
    <w:p w:rsidR="000A156F" w:rsidRDefault="00A9721F">
      <w:pPr>
        <w:pStyle w:val="Heading3"/>
      </w:pPr>
      <w:bookmarkStart w:id="1572" w:name="section_71f10955d10148acb9bb4fefc73cdb96"/>
      <w:bookmarkStart w:id="1573" w:name="_Toc181683812"/>
      <w:r>
        <w:t>Part 1 Section 18.10.1.57, mp (OLAP Member Property)</w:t>
      </w:r>
      <w:bookmarkEnd w:id="1572"/>
      <w:bookmarkEnd w:id="1573"/>
      <w:r>
        <w:fldChar w:fldCharType="begin"/>
      </w:r>
      <w:r>
        <w:instrText xml:space="preserve"> XE "mp (OLAP </w:instrText>
      </w:r>
      <w:r>
        <w:instrText xml:space="preserve">Member Property)" </w:instrText>
      </w:r>
      <w:r>
        <w:fldChar w:fldCharType="end"/>
      </w:r>
    </w:p>
    <w:p w:rsidR="000A156F" w:rsidRDefault="00A9721F">
      <w:pPr>
        <w:pStyle w:val="Definition-Field"/>
      </w:pPr>
      <w:r>
        <w:t xml:space="preserve">a.   </w:t>
      </w:r>
      <w:r>
        <w:rPr>
          <w:i/>
        </w:rPr>
        <w:t>The standard does not state the relation between the name attribute and the nameLen attribute.</w:t>
      </w:r>
    </w:p>
    <w:p w:rsidR="000A156F" w:rsidRDefault="00A9721F">
      <w:pPr>
        <w:pStyle w:val="Definition-Field2"/>
      </w:pPr>
      <w:r>
        <w:t xml:space="preserve">In Office, if the name attribute is specified, the nameLen attribute shall also be specified and gives the length of an OLAP hierarchy </w:t>
      </w:r>
      <w:r>
        <w:t>name.</w:t>
      </w:r>
    </w:p>
    <w:p w:rsidR="000A156F" w:rsidRDefault="00A9721F">
      <w:pPr>
        <w:pStyle w:val="Definition-Field"/>
      </w:pPr>
      <w:r>
        <w:t xml:space="preserve">b.   </w:t>
      </w:r>
      <w:r>
        <w:rPr>
          <w:i/>
        </w:rPr>
        <w:t>The standard does not state the relation between the name attribute and the pLen attribute.</w:t>
      </w:r>
    </w:p>
    <w:p w:rsidR="000A156F" w:rsidRDefault="00A9721F">
      <w:pPr>
        <w:pStyle w:val="Definition-Field2"/>
      </w:pPr>
      <w:r>
        <w:t>In Office, if the name attribute is specified then the pLen attribute must also be specified.</w:t>
      </w:r>
    </w:p>
    <w:p w:rsidR="000A156F" w:rsidRDefault="00A9721F">
      <w:pPr>
        <w:pStyle w:val="Definition-Field"/>
      </w:pPr>
      <w:r>
        <w:t xml:space="preserve">c.   </w:t>
      </w:r>
      <w:r>
        <w:rPr>
          <w:i/>
        </w:rPr>
        <w:t>The standard does not state the relation between the n</w:t>
      </w:r>
      <w:r>
        <w:rPr>
          <w:i/>
        </w:rPr>
        <w:t>ame attribute and the pPos attribute.</w:t>
      </w:r>
    </w:p>
    <w:p w:rsidR="000A156F" w:rsidRDefault="00A9721F">
      <w:pPr>
        <w:pStyle w:val="Definition-Field2"/>
      </w:pPr>
      <w:r>
        <w:t>In Office, if the name attribute is specified then the pPos attribute ust also be specified.</w:t>
      </w:r>
    </w:p>
    <w:p w:rsidR="000A156F" w:rsidRDefault="00A9721F">
      <w:pPr>
        <w:pStyle w:val="Definition-Field"/>
      </w:pPr>
      <w:r>
        <w:t xml:space="preserve">d.   </w:t>
      </w:r>
      <w:r>
        <w:rPr>
          <w:i/>
        </w:rPr>
        <w:t>The standard does not state any relationship between the mp element and pivotTableDefinition@createdVersion.</w:t>
      </w:r>
    </w:p>
    <w:p w:rsidR="000A156F" w:rsidRDefault="00A9721F">
      <w:pPr>
        <w:pStyle w:val="Definition-Field2"/>
      </w:pPr>
      <w:r>
        <w:t xml:space="preserve">Office </w:t>
      </w:r>
      <w:r>
        <w:t>assumes that if pivotTableDefinition@createdVersion is less than 3, then the name attribute shall be present.</w:t>
      </w:r>
    </w:p>
    <w:p w:rsidR="000A156F" w:rsidRDefault="00A9721F">
      <w:pPr>
        <w:pStyle w:val="Definition-Field"/>
      </w:pPr>
      <w:r>
        <w:t xml:space="preserve">e.   </w:t>
      </w:r>
      <w:r>
        <w:rPr>
          <w:i/>
        </w:rPr>
        <w:t>The standard says that mp represents an OLAP Member property.</w:t>
      </w:r>
    </w:p>
    <w:p w:rsidR="000A156F" w:rsidRDefault="00A9721F">
      <w:pPr>
        <w:pStyle w:val="Definition-Field2"/>
      </w:pPr>
      <w:r>
        <w:t>Office assumes that if field is not 4294967295, then it specifies a valid index</w:t>
      </w:r>
      <w:r>
        <w:t xml:space="preserve"> to a pivotField, in this PivotTable, which specifies the information for the member property that is not specified in this element.</w:t>
      </w:r>
    </w:p>
    <w:p w:rsidR="000A156F" w:rsidRDefault="00A9721F">
      <w:pPr>
        <w:pStyle w:val="Definition-Field"/>
      </w:pPr>
      <w:r>
        <w:t xml:space="preserve">f.   </w:t>
      </w:r>
      <w:r>
        <w:rPr>
          <w:i/>
        </w:rPr>
        <w:t>The standard limits the possible values for @level to unsignedInt.</w:t>
      </w:r>
    </w:p>
    <w:p w:rsidR="000A156F" w:rsidRDefault="00A9721F">
      <w:pPr>
        <w:pStyle w:val="Definition-Field2"/>
      </w:pPr>
      <w:r>
        <w:t>Office requires that when specified, the value of @</w:t>
      </w:r>
      <w:r>
        <w:t>level be equal to the value of the associated cacheField element @level with the same name attribute as this element, or that the special value of 32767 be used to apply to all levels.</w:t>
      </w:r>
    </w:p>
    <w:p w:rsidR="000A156F" w:rsidRDefault="00A9721F">
      <w:pPr>
        <w:pStyle w:val="Definition-Field"/>
      </w:pPr>
      <w:r>
        <w:t xml:space="preserve">g.   </w:t>
      </w:r>
      <w:r>
        <w:rPr>
          <w:i/>
        </w:rPr>
        <w:t>The standard does not place restrictions on when the showAsCaption</w:t>
      </w:r>
      <w:r>
        <w:rPr>
          <w:i/>
        </w:rPr>
        <w:t xml:space="preserve"> attribute is used.</w:t>
      </w:r>
    </w:p>
    <w:p w:rsidR="000A156F" w:rsidRDefault="00A9721F">
      <w:pPr>
        <w:pStyle w:val="Definition-Field2"/>
      </w:pPr>
      <w:r>
        <w:t>Office ignores the showAsCaption attribute unless the name attribute is present and the uniqueMemberProperty attribute on the PivotField this element applies to is present.</w:t>
      </w:r>
    </w:p>
    <w:p w:rsidR="000A156F" w:rsidRDefault="00A9721F">
      <w:pPr>
        <w:pStyle w:val="Definition-Field"/>
      </w:pPr>
      <w:r>
        <w:t xml:space="preserve">h.   </w:t>
      </w:r>
      <w:r>
        <w:rPr>
          <w:i/>
        </w:rPr>
        <w:t xml:space="preserve">The standard does not place any restrictions on the value </w:t>
      </w:r>
      <w:r>
        <w:rPr>
          <w:i/>
        </w:rPr>
        <w:t>of @field.</w:t>
      </w:r>
    </w:p>
    <w:p w:rsidR="000A156F" w:rsidRDefault="00A9721F">
      <w:pPr>
        <w:pStyle w:val="Definition-Field2"/>
      </w:pPr>
      <w:r>
        <w:t>In Office, the value of @field must refer to a valid pivotField or be equal to 4294967295.</w:t>
      </w:r>
    </w:p>
    <w:p w:rsidR="000A156F" w:rsidRDefault="00A9721F">
      <w:pPr>
        <w:pStyle w:val="Definition-Field"/>
      </w:pPr>
      <w:r>
        <w:t xml:space="preserve">i.   </w:t>
      </w:r>
      <w:r>
        <w:rPr>
          <w:i/>
        </w:rPr>
        <w:t>The standard does not state any relationship between the element and pivotTableDefinition@createdVersion.</w:t>
      </w:r>
    </w:p>
    <w:p w:rsidR="000A156F" w:rsidRDefault="00A9721F">
      <w:pPr>
        <w:pStyle w:val="Definition-Field2"/>
      </w:pPr>
      <w:r>
        <w:lastRenderedPageBreak/>
        <w:t>In Office, if the pivotTableDefinition@crea</w:t>
      </w:r>
      <w:r>
        <w:t>tedVersion is greater than or equal to 3, then the field attribute shall not equal 4294967295 and the other attributes of this element shall not be present.</w:t>
      </w:r>
    </w:p>
    <w:p w:rsidR="000A156F" w:rsidRDefault="00A9721F">
      <w:pPr>
        <w:pStyle w:val="Definition-Field"/>
      </w:pPr>
      <w:r>
        <w:t xml:space="preserve">j.   </w:t>
      </w:r>
      <w:r>
        <w:rPr>
          <w:i/>
        </w:rPr>
        <w:t>The standard says that mp represents an OLAP Member property.</w:t>
      </w:r>
    </w:p>
    <w:p w:rsidR="000A156F" w:rsidRDefault="00A9721F">
      <w:pPr>
        <w:pStyle w:val="Definition-Field2"/>
      </w:pPr>
      <w:r>
        <w:t>Office specifies that if field i</w:t>
      </w:r>
      <w:r>
        <w:t>s not 4294967295, then the cacheField at index field in the associated PivotCache shall have memberPropertyField attribute equal to 1 or true.</w:t>
      </w:r>
    </w:p>
    <w:p w:rsidR="000A156F" w:rsidRDefault="00A9721F">
      <w:pPr>
        <w:pStyle w:val="Definition-Field"/>
      </w:pPr>
      <w:r>
        <w:t xml:space="preserve">k.   </w:t>
      </w:r>
      <w:r>
        <w:rPr>
          <w:i/>
        </w:rPr>
        <w:t>The standard does not state the relation between the name attribute and the associated cacheField.</w:t>
      </w:r>
    </w:p>
    <w:p w:rsidR="000A156F" w:rsidRDefault="00A9721F">
      <w:pPr>
        <w:pStyle w:val="Definition-Field2"/>
      </w:pPr>
      <w:r>
        <w:t xml:space="preserve">In </w:t>
      </w:r>
      <w:r>
        <w:t>Office, if name is specified and if field is not equal to 4294967295, then the associated cacheField shall have with a name attribute that matches this one and shall begin with the unique name of the OLAP hierarchy which this element is attached.</w:t>
      </w:r>
    </w:p>
    <w:p w:rsidR="000A156F" w:rsidRDefault="00A9721F">
      <w:pPr>
        <w:pStyle w:val="Definition-Field"/>
      </w:pPr>
      <w:r>
        <w:t xml:space="preserve">l.   </w:t>
      </w:r>
      <w:r>
        <w:rPr>
          <w:i/>
        </w:rPr>
        <w:t xml:space="preserve">The </w:t>
      </w:r>
      <w:r>
        <w:rPr>
          <w:i/>
        </w:rPr>
        <w:t>standard does not state a default value for the pPos attribute.</w:t>
      </w:r>
    </w:p>
    <w:p w:rsidR="000A156F" w:rsidRDefault="00A9721F">
      <w:pPr>
        <w:pStyle w:val="Definition-Field2"/>
      </w:pPr>
      <w:r>
        <w:t>Excel uses a default value of 0 for this attribute.</w:t>
      </w:r>
    </w:p>
    <w:p w:rsidR="000A156F" w:rsidRDefault="00A9721F">
      <w:pPr>
        <w:pStyle w:val="Definition-Field"/>
      </w:pPr>
      <w:r>
        <w:t xml:space="preserve">m.   </w:t>
      </w:r>
      <w:r>
        <w:rPr>
          <w:i/>
        </w:rPr>
        <w:t>The standard does not state a default value for the pLen attribute.</w:t>
      </w:r>
    </w:p>
    <w:p w:rsidR="000A156F" w:rsidRDefault="00A9721F">
      <w:pPr>
        <w:pStyle w:val="Definition-Field2"/>
      </w:pPr>
      <w:r>
        <w:t>Excel uses a default value of 0 for this attribute.</w:t>
      </w:r>
    </w:p>
    <w:p w:rsidR="000A156F" w:rsidRDefault="00A9721F">
      <w:pPr>
        <w:pStyle w:val="Definition-Field"/>
      </w:pPr>
      <w:r>
        <w:t xml:space="preserve">n.   </w:t>
      </w:r>
      <w:r>
        <w:rPr>
          <w:i/>
        </w:rPr>
        <w:t>The standa</w:t>
      </w:r>
      <w:r>
        <w:rPr>
          <w:i/>
        </w:rPr>
        <w:t>rd does not state a default value for the nameLen attribute.</w:t>
      </w:r>
    </w:p>
    <w:p w:rsidR="000A156F" w:rsidRDefault="00A9721F">
      <w:pPr>
        <w:pStyle w:val="Definition-Field2"/>
      </w:pPr>
      <w:r>
        <w:t>Excel uses a default value of 0 for this attribute.</w:t>
      </w:r>
    </w:p>
    <w:p w:rsidR="000A156F" w:rsidRDefault="00A9721F">
      <w:pPr>
        <w:pStyle w:val="Heading3"/>
      </w:pPr>
      <w:bookmarkStart w:id="1574" w:name="section_b4dc42bf1fd54fac8d83fb17156bdcd2"/>
      <w:bookmarkStart w:id="1575" w:name="_Toc181683813"/>
      <w:r>
        <w:t>Part 1 Section 18.10.1.58, mpMap (Member Properties Map)</w:t>
      </w:r>
      <w:bookmarkEnd w:id="1574"/>
      <w:bookmarkEnd w:id="1575"/>
      <w:r>
        <w:fldChar w:fldCharType="begin"/>
      </w:r>
      <w:r>
        <w:instrText xml:space="preserve"> XE "mpMap (Member Properties Map)" </w:instrText>
      </w:r>
      <w:r>
        <w:fldChar w:fldCharType="end"/>
      </w:r>
    </w:p>
    <w:p w:rsidR="000A156F" w:rsidRDefault="00A9721F">
      <w:pPr>
        <w:pStyle w:val="Definition-Field"/>
      </w:pPr>
      <w:r>
        <w:t xml:space="preserve">a.   </w:t>
      </w:r>
      <w:r>
        <w:rPr>
          <w:i/>
        </w:rPr>
        <w:t>The standard states that @v is an index int</w:t>
      </w:r>
      <w:r>
        <w:rPr>
          <w:i/>
        </w:rPr>
        <w:t>o the shared items table...</w:t>
      </w:r>
    </w:p>
    <w:p w:rsidR="000A156F" w:rsidRDefault="00A9721F">
      <w:pPr>
        <w:pStyle w:val="Definition-Field2"/>
      </w:pPr>
      <w:r>
        <w:t>Office treats @v as an index into the cacheFields collection.</w:t>
      </w:r>
    </w:p>
    <w:p w:rsidR="000A156F" w:rsidRDefault="00A9721F">
      <w:pPr>
        <w:pStyle w:val="Definition-Field"/>
      </w:pPr>
      <w:r>
        <w:t xml:space="preserve">b.   </w:t>
      </w:r>
      <w:r>
        <w:rPr>
          <w:i/>
        </w:rPr>
        <w:t>The standard states that the values of the v attribute are defined by the XML int datatype.</w:t>
      </w:r>
    </w:p>
    <w:p w:rsidR="000A156F" w:rsidRDefault="00A9721F">
      <w:pPr>
        <w:pStyle w:val="Definition-Field2"/>
      </w:pPr>
      <w:r>
        <w:t>Excel restricts the value of this attribute to be at least 0 and at m</w:t>
      </w:r>
      <w:r>
        <w:t>ost equal to the value of the cacheFields count; the value of the memberPropertyField attribute on the cacheField pointed to by this value must be true.</w:t>
      </w:r>
    </w:p>
    <w:p w:rsidR="000A156F" w:rsidRDefault="00A9721F">
      <w:pPr>
        <w:pStyle w:val="Heading3"/>
      </w:pPr>
      <w:bookmarkStart w:id="1576" w:name="section_7dc71bdcc6a048ce87fd58bc9aa6ca0e"/>
      <w:bookmarkStart w:id="1577" w:name="_Toc181683814"/>
      <w:r>
        <w:t>Part 1 Section 18.10.1.60, n (Numeric)</w:t>
      </w:r>
      <w:bookmarkEnd w:id="1576"/>
      <w:bookmarkEnd w:id="1577"/>
      <w:r>
        <w:fldChar w:fldCharType="begin"/>
      </w:r>
      <w:r>
        <w:instrText xml:space="preserve"> XE "n (Numeric)" </w:instrText>
      </w:r>
      <w:r>
        <w:fldChar w:fldCharType="end"/>
      </w:r>
    </w:p>
    <w:p w:rsidR="000A156F" w:rsidRDefault="00A9721F">
      <w:pPr>
        <w:pStyle w:val="Definition-Field"/>
      </w:pPr>
      <w:r>
        <w:t xml:space="preserve">a.   </w:t>
      </w:r>
      <w:r>
        <w:rPr>
          <w:i/>
        </w:rPr>
        <w:t>The standard does not define relation b</w:t>
      </w:r>
      <w:r>
        <w:rPr>
          <w:i/>
        </w:rPr>
        <w:t>etween @cp and the datasource type.</w:t>
      </w:r>
    </w:p>
    <w:p w:rsidR="000A156F" w:rsidRDefault="00A9721F">
      <w:pPr>
        <w:pStyle w:val="Definition-Field2"/>
      </w:pPr>
      <w:r>
        <w:t>Office allows @cp only with OLAP PivotTables.</w:t>
      </w:r>
    </w:p>
    <w:p w:rsidR="000A156F" w:rsidRDefault="00A9721F">
      <w:pPr>
        <w:pStyle w:val="Definition-Field"/>
      </w:pPr>
      <w:r>
        <w:t xml:space="preserve">b.   </w:t>
      </w:r>
      <w:r>
        <w:rPr>
          <w:i/>
        </w:rPr>
        <w:t>The standard does not limit the length of the value of the c attribute.</w:t>
      </w:r>
    </w:p>
    <w:p w:rsidR="000A156F" w:rsidRDefault="00A9721F">
      <w:pPr>
        <w:pStyle w:val="Definition-Field2"/>
      </w:pPr>
      <w:r>
        <w:t>Excel restricts the value of this attribute to be at most 65535 characters.</w:t>
      </w:r>
    </w:p>
    <w:p w:rsidR="000A156F" w:rsidRDefault="00A9721F">
      <w:pPr>
        <w:pStyle w:val="Definition-Field"/>
      </w:pPr>
      <w:r>
        <w:t xml:space="preserve">c.   </w:t>
      </w:r>
      <w:r>
        <w:rPr>
          <w:i/>
        </w:rPr>
        <w:t>The standard doe</w:t>
      </w:r>
      <w:r>
        <w:rPr>
          <w:i/>
        </w:rPr>
        <w:t>s not define relation between @c and the datasource type.</w:t>
      </w:r>
    </w:p>
    <w:p w:rsidR="000A156F" w:rsidRDefault="00A9721F">
      <w:pPr>
        <w:pStyle w:val="Definition-Field2"/>
      </w:pPr>
      <w:r>
        <w:t>Office allows @c only for OLAP-based PivotTables.  If the value of pivotCacheDefinition@createdVersion is less than 3 this value shall not be specified.</w:t>
      </w:r>
    </w:p>
    <w:p w:rsidR="000A156F" w:rsidRDefault="00A9721F">
      <w:pPr>
        <w:pStyle w:val="Definition-Field"/>
      </w:pPr>
      <w:r>
        <w:t xml:space="preserve">d.   </w:t>
      </w:r>
      <w:r>
        <w:rPr>
          <w:i/>
        </w:rPr>
        <w:t xml:space="preserve">The standard does not specify a default </w:t>
      </w:r>
      <w:r>
        <w:rPr>
          <w:i/>
        </w:rPr>
        <w:t>value for the u attribute.</w:t>
      </w:r>
    </w:p>
    <w:p w:rsidR="000A156F" w:rsidRDefault="00A9721F">
      <w:pPr>
        <w:pStyle w:val="Definition-Field2"/>
      </w:pPr>
      <w:r>
        <w:t>Excel uses a default value of false for this attribute.</w:t>
      </w:r>
    </w:p>
    <w:p w:rsidR="000A156F" w:rsidRDefault="00A9721F">
      <w:pPr>
        <w:pStyle w:val="Definition-Field"/>
      </w:pPr>
      <w:r>
        <w:t xml:space="preserve">e.   </w:t>
      </w:r>
      <w:r>
        <w:rPr>
          <w:i/>
        </w:rPr>
        <w:t>The standard does not restrict the value of @cp.</w:t>
      </w:r>
    </w:p>
    <w:p w:rsidR="000A156F" w:rsidRDefault="00A9721F">
      <w:pPr>
        <w:pStyle w:val="Definition-Field2"/>
      </w:pPr>
      <w:r>
        <w:lastRenderedPageBreak/>
        <w:t>Office requires that @cp be equal to the count of child x elements and be less than or equal to the mappingCount of the</w:t>
      </w:r>
      <w:r>
        <w:t xml:space="preserve"> corresponding cacheField element.</w:t>
      </w:r>
    </w:p>
    <w:p w:rsidR="000A156F" w:rsidRDefault="00A9721F">
      <w:pPr>
        <w:pStyle w:val="Definition-Field"/>
      </w:pPr>
      <w:r>
        <w:t xml:space="preserve">f.   </w:t>
      </w:r>
      <w:r>
        <w:rPr>
          <w:i/>
        </w:rPr>
        <w:t>The standard does not specify a default value for the f attribute.</w:t>
      </w:r>
    </w:p>
    <w:p w:rsidR="000A156F" w:rsidRDefault="00A9721F">
      <w:pPr>
        <w:pStyle w:val="Definition-Field2"/>
      </w:pPr>
      <w:r>
        <w:t>Excel uses a default value of false for this attribute.</w:t>
      </w:r>
    </w:p>
    <w:p w:rsidR="000A156F" w:rsidRDefault="00A9721F">
      <w:pPr>
        <w:pStyle w:val="Definition-Field"/>
      </w:pPr>
      <w:r>
        <w:t xml:space="preserve">g.   </w:t>
      </w:r>
      <w:r>
        <w:rPr>
          <w:i/>
        </w:rPr>
        <w:t>The standard states that the values of the v attribute are defined by the XML Schema dou</w:t>
      </w:r>
      <w:r>
        <w:rPr>
          <w:i/>
        </w:rPr>
        <w:t>ble datatype.</w:t>
      </w:r>
    </w:p>
    <w:p w:rsidR="000A156F" w:rsidRDefault="00A9721F">
      <w:pPr>
        <w:pStyle w:val="Definition-Field2"/>
      </w:pPr>
      <w:r>
        <w:t>Excel does not allow the values of INF, -INF, or NaN on this attribute.</w:t>
      </w:r>
    </w:p>
    <w:p w:rsidR="000A156F" w:rsidRDefault="00A9721F">
      <w:pPr>
        <w:pStyle w:val="Definition-Field"/>
      </w:pPr>
      <w:r>
        <w:t xml:space="preserve">h.   </w:t>
      </w:r>
      <w:r>
        <w:rPr>
          <w:i/>
        </w:rPr>
        <w:t>The standard does not state when @f is valid.</w:t>
      </w:r>
    </w:p>
    <w:p w:rsidR="000A156F" w:rsidRDefault="00A9721F">
      <w:pPr>
        <w:pStyle w:val="Definition-Field2"/>
      </w:pPr>
      <w:r>
        <w:t>In Office, @f is valid only when the parent of the n element is of CT_SharedItems type.</w:t>
      </w:r>
    </w:p>
    <w:p w:rsidR="000A156F" w:rsidRDefault="00A9721F">
      <w:pPr>
        <w:pStyle w:val="Definition-Field"/>
      </w:pPr>
      <w:r>
        <w:t xml:space="preserve">i.   </w:t>
      </w:r>
      <w:r>
        <w:rPr>
          <w:i/>
        </w:rPr>
        <w:t xml:space="preserve">The standard does not </w:t>
      </w:r>
      <w:r>
        <w:rPr>
          <w:i/>
        </w:rPr>
        <w:t>define relation of @u with CT_SharedItems node.</w:t>
      </w:r>
    </w:p>
    <w:p w:rsidR="000A156F" w:rsidRDefault="00A9721F">
      <w:pPr>
        <w:pStyle w:val="Definition-Field2"/>
      </w:pPr>
      <w:r>
        <w:t>In Office, @u is used only when the n element's parent is of CT_SharedItems type.</w:t>
      </w:r>
    </w:p>
    <w:p w:rsidR="000A156F" w:rsidRDefault="00A9721F">
      <w:pPr>
        <w:pStyle w:val="Definition-Field"/>
      </w:pPr>
      <w:r>
        <w:t xml:space="preserve">j.   </w:t>
      </w:r>
      <w:r>
        <w:rPr>
          <w:i/>
        </w:rPr>
        <w:t>The standard states that @b applies to italics.</w:t>
      </w:r>
    </w:p>
    <w:p w:rsidR="000A156F" w:rsidRDefault="00A9721F">
      <w:pPr>
        <w:pStyle w:val="Definition-Field2"/>
      </w:pPr>
      <w:r>
        <w:t>Office assumes that @b applies to bold.</w:t>
      </w:r>
    </w:p>
    <w:p w:rsidR="000A156F" w:rsidRDefault="00A9721F">
      <w:pPr>
        <w:pStyle w:val="Definition-Field"/>
      </w:pPr>
      <w:r>
        <w:t xml:space="preserve">k.   </w:t>
      </w:r>
      <w:r>
        <w:rPr>
          <w:i/>
        </w:rPr>
        <w:t xml:space="preserve">The standard does not place </w:t>
      </w:r>
      <w:r>
        <w:rPr>
          <w:i/>
        </w:rPr>
        <w:t>a restriction for on the value of the cp attribute.</w:t>
      </w:r>
    </w:p>
    <w:p w:rsidR="000A156F" w:rsidRDefault="00A9721F">
      <w:pPr>
        <w:pStyle w:val="Definition-Field2"/>
      </w:pPr>
      <w:r>
        <w:t>In Office, the cp  attribute applies only when the node parent is sharedItems.</w:t>
      </w:r>
    </w:p>
    <w:p w:rsidR="000A156F" w:rsidRDefault="00A9721F">
      <w:pPr>
        <w:pStyle w:val="Heading3"/>
      </w:pPr>
      <w:bookmarkStart w:id="1578" w:name="section_87cd92562a8c462c805a1e489575afd0"/>
      <w:bookmarkStart w:id="1579" w:name="_Toc181683815"/>
      <w:r>
        <w:t>Part 1 Section 18.10.1.62, pageField (Page Field)</w:t>
      </w:r>
      <w:bookmarkEnd w:id="1578"/>
      <w:bookmarkEnd w:id="1579"/>
      <w:r>
        <w:fldChar w:fldCharType="begin"/>
      </w:r>
      <w:r>
        <w:instrText xml:space="preserve"> XE "pageField (Page Field)" </w:instrText>
      </w:r>
      <w:r>
        <w:fldChar w:fldCharType="end"/>
      </w:r>
    </w:p>
    <w:p w:rsidR="000A156F" w:rsidRDefault="00A9721F">
      <w:pPr>
        <w:pStyle w:val="Definition-Field"/>
      </w:pPr>
      <w:r>
        <w:t xml:space="preserve">a.   </w:t>
      </w:r>
      <w:r>
        <w:rPr>
          <w:i/>
        </w:rPr>
        <w:t>The standard does not state the default</w:t>
      </w:r>
      <w:r>
        <w:rPr>
          <w:i/>
        </w:rPr>
        <w:t xml:space="preserve"> for the item attribute.</w:t>
      </w:r>
    </w:p>
    <w:p w:rsidR="000A156F" w:rsidRDefault="00A9721F">
      <w:pPr>
        <w:pStyle w:val="Definition-Field2"/>
      </w:pPr>
      <w:r>
        <w:t>In Office, if the item attribute is not specified it means that all items will be used if non-OLAP and pivotField@multipleItemSelectionAllowed is false.</w:t>
      </w:r>
    </w:p>
    <w:p w:rsidR="000A156F" w:rsidRDefault="00A9721F">
      <w:pPr>
        <w:pStyle w:val="Definition-Field"/>
      </w:pPr>
      <w:r>
        <w:t xml:space="preserve">b.   </w:t>
      </w:r>
      <w:r>
        <w:rPr>
          <w:i/>
        </w:rPr>
        <w:t>The standard says @index specifies the index of the item in the PivotCach</w:t>
      </w:r>
      <w:r>
        <w:rPr>
          <w:i/>
        </w:rPr>
        <w:t>e.</w:t>
      </w:r>
    </w:p>
    <w:p w:rsidR="000A156F" w:rsidRDefault="00A9721F">
      <w:pPr>
        <w:pStyle w:val="Definition-Field2"/>
      </w:pPr>
      <w:r>
        <w:t>In Office, @item specifies the index of an item in the pivotField referred to by @fld. If present, @item shall be a valid index of an item element and shall specify how to filter this field in the PivotTable.</w:t>
      </w:r>
    </w:p>
    <w:p w:rsidR="000A156F" w:rsidRDefault="00A9721F">
      <w:pPr>
        <w:pStyle w:val="Definition-Field"/>
      </w:pPr>
      <w:r>
        <w:t xml:space="preserve">c.   </w:t>
      </w:r>
      <w:r>
        <w:rPr>
          <w:i/>
        </w:rPr>
        <w:t>The standard does not mention limitatio</w:t>
      </w:r>
      <w:r>
        <w:rPr>
          <w:i/>
        </w:rPr>
        <w:t>ns on @hier value.</w:t>
      </w:r>
    </w:p>
    <w:p w:rsidR="000A156F" w:rsidRDefault="00A9721F">
      <w:pPr>
        <w:pStyle w:val="Definition-Field2"/>
      </w:pPr>
      <w:r>
        <w:t>In Office, if @hier is present and the PivotTable is an OLAP PivotTable then the number of pivotHierarchies shall be greater than 0, and @hier must be &gt;=0 and &lt; the number of pivotHierarchies. For a non-OLAP PivotTable, @hier must be -1.</w:t>
      </w:r>
    </w:p>
    <w:p w:rsidR="000A156F" w:rsidRDefault="00A9721F">
      <w:pPr>
        <w:pStyle w:val="Definition-Field"/>
      </w:pPr>
      <w:r>
        <w:t xml:space="preserve">d.   </w:t>
      </w:r>
      <w:r>
        <w:rPr>
          <w:i/>
        </w:rPr>
        <w:t>The standard does not specify limits on length of the name attribute.</w:t>
      </w:r>
    </w:p>
    <w:p w:rsidR="000A156F" w:rsidRDefault="00A9721F">
      <w:pPr>
        <w:pStyle w:val="Definition-Field2"/>
      </w:pPr>
      <w:r>
        <w:t>Office requires that the length of the name attribute be less than or equal to 255 if pivotTableDefinition@createdVersion is less than 3, and less than or equal to 32767 if pivotTa</w:t>
      </w:r>
      <w:r>
        <w:t>bleDefinition@createdVersion is greater than or equal to 3.</w:t>
      </w:r>
    </w:p>
    <w:p w:rsidR="000A156F" w:rsidRDefault="00A9721F">
      <w:pPr>
        <w:pStyle w:val="Definition-Field"/>
      </w:pPr>
      <w:r>
        <w:t xml:space="preserve">e.   </w:t>
      </w:r>
      <w:r>
        <w:rPr>
          <w:i/>
        </w:rPr>
        <w:t>The standard does not state limits on string length of @cap.</w:t>
      </w:r>
    </w:p>
    <w:p w:rsidR="000A156F" w:rsidRDefault="00A9721F">
      <w:pPr>
        <w:pStyle w:val="Definition-Field2"/>
      </w:pPr>
      <w:r>
        <w:t>Office specifies that the length of @cap shall be less than or equal to 255 if pivotTableDefinition@createdVersion is less than 3,</w:t>
      </w:r>
      <w:r>
        <w:t xml:space="preserve"> and less than or equal to 32767 if pivotTableDefinition@createdVersion is greater than or equal to 3.</w:t>
      </w:r>
    </w:p>
    <w:p w:rsidR="000A156F" w:rsidRDefault="00A9721F">
      <w:pPr>
        <w:pStyle w:val="Definition-Field"/>
      </w:pPr>
      <w:r>
        <w:t xml:space="preserve">f.   </w:t>
      </w:r>
      <w:r>
        <w:rPr>
          <w:i/>
        </w:rPr>
        <w:t>The standard does not specify restrictions on @fld.</w:t>
      </w:r>
    </w:p>
    <w:p w:rsidR="000A156F" w:rsidRDefault="00A9721F">
      <w:pPr>
        <w:pStyle w:val="Definition-Field2"/>
      </w:pPr>
      <w:r>
        <w:lastRenderedPageBreak/>
        <w:t>In Office, @fld must be greater than or equal to 0 and less than the number of pivotField elemen</w:t>
      </w:r>
      <w:r>
        <w:t>ts on the PivotTable. Additionally, the pivotField referred to must have an axis attribute set to axisPage.</w:t>
      </w:r>
    </w:p>
    <w:p w:rsidR="000A156F" w:rsidRDefault="00A9721F">
      <w:pPr>
        <w:pStyle w:val="Definition-Field"/>
      </w:pPr>
      <w:r>
        <w:t xml:space="preserve">g.   </w:t>
      </w:r>
      <w:r>
        <w:rPr>
          <w:i/>
        </w:rPr>
        <w:t>The standard does not specify limits on when the item attribute shall be present.</w:t>
      </w:r>
    </w:p>
    <w:p w:rsidR="000A156F" w:rsidRDefault="00A9721F">
      <w:pPr>
        <w:pStyle w:val="Definition-Field2"/>
      </w:pPr>
      <w:r>
        <w:t>In Office, the item attribute shall not be present for OLAP P</w:t>
      </w:r>
      <w:r>
        <w:t>ivotTables, or if pivotField@multipleItemSelectionAllowed is true. In those cases the filtering will be determined by the settings on the pivotField and/or pivotHierarchy.</w:t>
      </w:r>
    </w:p>
    <w:p w:rsidR="000A156F" w:rsidRDefault="00A9721F">
      <w:pPr>
        <w:pStyle w:val="Definition-Field"/>
      </w:pPr>
      <w:r>
        <w:t xml:space="preserve">h.   </w:t>
      </w:r>
      <w:r>
        <w:rPr>
          <w:i/>
        </w:rPr>
        <w:t>The standard does not define when the name attribute will be present.</w:t>
      </w:r>
    </w:p>
    <w:p w:rsidR="000A156F" w:rsidRDefault="00A9721F">
      <w:pPr>
        <w:pStyle w:val="Definition-Field2"/>
      </w:pPr>
      <w:r>
        <w:t>Office re</w:t>
      </w:r>
      <w:r>
        <w:t>quires the name attribute for OLAP PivotTables.</w:t>
      </w:r>
    </w:p>
    <w:p w:rsidR="000A156F" w:rsidRDefault="00A9721F">
      <w:pPr>
        <w:pStyle w:val="Definition-Field"/>
      </w:pPr>
      <w:r>
        <w:t xml:space="preserve">i.   </w:t>
      </w:r>
      <w:r>
        <w:rPr>
          <w:i/>
        </w:rPr>
        <w:t>The standard describes page fields as allowing filtering to display data for a single item or all the items.</w:t>
      </w:r>
    </w:p>
    <w:p w:rsidR="000A156F" w:rsidRDefault="00A9721F">
      <w:pPr>
        <w:pStyle w:val="Definition-Field2"/>
      </w:pPr>
      <w:r>
        <w:t>Office additionally assumes that using settings on a pivotField or pivotHierarchy filtering ca</w:t>
      </w:r>
      <w:r>
        <w:t>n be done for multiple items in a field used as a page or report filter.</w:t>
      </w:r>
    </w:p>
    <w:p w:rsidR="000A156F" w:rsidRDefault="00A9721F">
      <w:pPr>
        <w:pStyle w:val="Definition-Field"/>
      </w:pPr>
      <w:r>
        <w:t xml:space="preserve">j.   </w:t>
      </w:r>
      <w:r>
        <w:rPr>
          <w:i/>
        </w:rPr>
        <w:t>The standard does not state that the name attribute is affected by the multipleItemSelectionAllowed attribute.</w:t>
      </w:r>
    </w:p>
    <w:p w:rsidR="000A156F" w:rsidRDefault="00A9721F">
      <w:pPr>
        <w:pStyle w:val="Definition-Field2"/>
      </w:pPr>
      <w:r>
        <w:t>In Office, if pivotHierarchy@multipleItemSelectionAllowed equals 0,</w:t>
      </w:r>
      <w:r>
        <w:t xml:space="preserve"> the name attribute specifies the member used for filtering. Otherwise, it is ignored.</w:t>
      </w:r>
    </w:p>
    <w:p w:rsidR="000A156F" w:rsidRDefault="00A9721F">
      <w:pPr>
        <w:pStyle w:val="Definition-Field"/>
      </w:pPr>
      <w:r>
        <w:t xml:space="preserve">k.   </w:t>
      </w:r>
      <w:r>
        <w:rPr>
          <w:i/>
        </w:rPr>
        <w:t>The standard states that @name specifies the unique name of the hierarchy.</w:t>
      </w:r>
    </w:p>
    <w:p w:rsidR="000A156F" w:rsidRDefault="00A9721F">
      <w:pPr>
        <w:pStyle w:val="Definition-Field2"/>
      </w:pPr>
      <w:r>
        <w:t xml:space="preserve">Office assumes that @name specifies the member unique name of the OLAP member being </w:t>
      </w:r>
      <w:r>
        <w:t>displayed.</w:t>
      </w:r>
    </w:p>
    <w:p w:rsidR="000A156F" w:rsidRDefault="00A9721F">
      <w:pPr>
        <w:pStyle w:val="Heading3"/>
      </w:pPr>
      <w:bookmarkStart w:id="1580" w:name="section_14b39f7e6d054a8a8cbc7fb18850a82a"/>
      <w:bookmarkStart w:id="1581" w:name="_Toc181683816"/>
      <w:r>
        <w:t>Part 1 Section 18.10.1.63, pageFields (Page Field Items)</w:t>
      </w:r>
      <w:bookmarkEnd w:id="1580"/>
      <w:bookmarkEnd w:id="1581"/>
      <w:r>
        <w:fldChar w:fldCharType="begin"/>
      </w:r>
      <w:r>
        <w:instrText xml:space="preserve"> XE "pageFields (Page Field Items)" </w:instrText>
      </w:r>
      <w:r>
        <w:fldChar w:fldCharType="end"/>
      </w:r>
    </w:p>
    <w:p w:rsidR="000A156F" w:rsidRDefault="00A9721F">
      <w:pPr>
        <w:pStyle w:val="Definition-Field"/>
      </w:pPr>
      <w:r>
        <w:t xml:space="preserve">a.   </w:t>
      </w:r>
      <w:r>
        <w:rPr>
          <w:i/>
        </w:rPr>
        <w:t>The standard states that the maxOccurs value for the pageField child element is unbounded.</w:t>
      </w:r>
    </w:p>
    <w:p w:rsidR="000A156F" w:rsidRDefault="00A9721F">
      <w:pPr>
        <w:pStyle w:val="Definition-Field2"/>
      </w:pPr>
      <w:r>
        <w:t>Excel limits the occurrences of this element to 256.</w:t>
      </w:r>
    </w:p>
    <w:p w:rsidR="000A156F" w:rsidRDefault="00A9721F">
      <w:pPr>
        <w:pStyle w:val="Heading3"/>
      </w:pPr>
      <w:bookmarkStart w:id="1582" w:name="section_4027d9f9ded64b99a6141ebec23feece"/>
      <w:bookmarkStart w:id="1583" w:name="_Toc181683817"/>
      <w:r>
        <w:t>Part 1 Section 18.10.1.64, pageItem (Page Item)</w:t>
      </w:r>
      <w:bookmarkEnd w:id="1582"/>
      <w:bookmarkEnd w:id="1583"/>
      <w:r>
        <w:fldChar w:fldCharType="begin"/>
      </w:r>
      <w:r>
        <w:instrText xml:space="preserve"> XE "pageItem (Page Item)" </w:instrText>
      </w:r>
      <w:r>
        <w:fldChar w:fldCharType="end"/>
      </w:r>
    </w:p>
    <w:p w:rsidR="000A156F" w:rsidRDefault="00A9721F">
      <w:pPr>
        <w:pStyle w:val="Definition-Field"/>
      </w:pPr>
      <w:r>
        <w:t xml:space="preserve">a.   </w:t>
      </w:r>
      <w:r>
        <w:rPr>
          <w:i/>
        </w:rPr>
        <w:t>The standard does not define a length restriction on the name attribute.</w:t>
      </w:r>
    </w:p>
    <w:p w:rsidR="000A156F" w:rsidRDefault="00A9721F">
      <w:pPr>
        <w:pStyle w:val="Definition-Field2"/>
      </w:pPr>
      <w:r>
        <w:t xml:space="preserve">Office limits the name attribute to 255 or fewer characters when pivotCacheDefinition@createdVersion </w:t>
      </w:r>
      <w:r>
        <w:t>is less than 3, otherwise to 32767 or fewer characters.</w:t>
      </w:r>
    </w:p>
    <w:p w:rsidR="000A156F" w:rsidRDefault="00A9721F">
      <w:pPr>
        <w:pStyle w:val="Heading3"/>
      </w:pPr>
      <w:bookmarkStart w:id="1584" w:name="section_e51aae59add04998811379ab9f8c9a4d"/>
      <w:bookmarkStart w:id="1585" w:name="_Toc181683818"/>
      <w:r>
        <w:t>Part 1 Section 18.10.1.67, pivotCacheDefinition (PivotCache Definition)</w:t>
      </w:r>
      <w:bookmarkEnd w:id="1584"/>
      <w:bookmarkEnd w:id="1585"/>
      <w:r>
        <w:fldChar w:fldCharType="begin"/>
      </w:r>
      <w:r>
        <w:instrText xml:space="preserve"> XE "pivotCacheDefinition (PivotCache Definition)" </w:instrText>
      </w:r>
      <w:r>
        <w:fldChar w:fldCharType="end"/>
      </w:r>
    </w:p>
    <w:p w:rsidR="000A156F" w:rsidRDefault="00A9721F">
      <w:pPr>
        <w:pStyle w:val="Definition-Field"/>
      </w:pPr>
      <w:r>
        <w:t xml:space="preserve">a.   </w:t>
      </w:r>
      <w:r>
        <w:rPr>
          <w:i/>
        </w:rPr>
        <w:t>The standard doesn't specify maxLength for @refreshedBy.</w:t>
      </w:r>
    </w:p>
    <w:p w:rsidR="000A156F" w:rsidRDefault="00A9721F">
      <w:pPr>
        <w:pStyle w:val="Definition-Field2"/>
      </w:pPr>
      <w:r>
        <w:t>In Office, th</w:t>
      </w:r>
      <w:r>
        <w:t>e maxLength for @refreshedBy is 255.</w:t>
      </w:r>
    </w:p>
    <w:p w:rsidR="000A156F" w:rsidRDefault="00A9721F">
      <w:pPr>
        <w:pStyle w:val="Definition-Field"/>
      </w:pPr>
      <w:r>
        <w:t xml:space="preserve">b.   </w:t>
      </w:r>
      <w:r>
        <w:rPr>
          <w:i/>
        </w:rPr>
        <w:t>The standard doesn't specify any restrictions for @backgroundQuery.</w:t>
      </w:r>
    </w:p>
    <w:p w:rsidR="000A156F" w:rsidRDefault="00A9721F">
      <w:pPr>
        <w:pStyle w:val="Definition-Field2"/>
      </w:pPr>
      <w:r>
        <w:t>In Office, the @backgroundQuery shall be 0 for non-external data sources.</w:t>
      </w:r>
    </w:p>
    <w:p w:rsidR="000A156F" w:rsidRDefault="00A9721F">
      <w:pPr>
        <w:pStyle w:val="Definition-Field"/>
      </w:pPr>
      <w:r>
        <w:t xml:space="preserve">c.   </w:t>
      </w:r>
      <w:r>
        <w:rPr>
          <w:i/>
        </w:rPr>
        <w:t>The standard does not specify any restrictions for the optimizeMemo</w:t>
      </w:r>
      <w:r>
        <w:rPr>
          <w:i/>
        </w:rPr>
        <w:t>ry attribute.</w:t>
      </w:r>
    </w:p>
    <w:p w:rsidR="000A156F" w:rsidRDefault="00A9721F">
      <w:pPr>
        <w:pStyle w:val="Definition-Field2"/>
      </w:pPr>
      <w:r>
        <w:t>In Office, the optimizeMemory attribute must be 0 or false for non-external and non-ODBC data sources.</w:t>
      </w:r>
    </w:p>
    <w:p w:rsidR="000A156F" w:rsidRDefault="00A9721F">
      <w:pPr>
        <w:pStyle w:val="Definition-Field"/>
      </w:pPr>
      <w:r>
        <w:t xml:space="preserve">d.   </w:t>
      </w:r>
      <w:r>
        <w:rPr>
          <w:i/>
        </w:rPr>
        <w:t>The standard does not specify any restrictions for the refreshedVersion attribute.</w:t>
      </w:r>
    </w:p>
    <w:p w:rsidR="000A156F" w:rsidRDefault="00A9721F">
      <w:pPr>
        <w:pStyle w:val="Definition-Field2"/>
      </w:pPr>
      <w:r>
        <w:lastRenderedPageBreak/>
        <w:t>In Office, the refreshedVersion attribute shall not</w:t>
      </w:r>
      <w:r>
        <w:t xml:space="preserve"> be less than the minRefreshableVersion attribute.</w:t>
      </w:r>
    </w:p>
    <w:p w:rsidR="000A156F" w:rsidRDefault="00A9721F">
      <w:pPr>
        <w:pStyle w:val="Definition-Field"/>
      </w:pPr>
      <w:r>
        <w:t xml:space="preserve">e.   </w:t>
      </w:r>
      <w:r>
        <w:rPr>
          <w:i/>
        </w:rPr>
        <w:t>The standard does not specify any restrictions for the id attribute.</w:t>
      </w:r>
    </w:p>
    <w:p w:rsidR="000A156F" w:rsidRDefault="00A9721F">
      <w:pPr>
        <w:pStyle w:val="Definition-Field2"/>
      </w:pPr>
      <w:r>
        <w:t>In Office, the id attribute must not be empty if the saveData attribute is 1 and the invalid attribute is 0.</w:t>
      </w:r>
    </w:p>
    <w:p w:rsidR="000A156F" w:rsidRDefault="00A9721F">
      <w:pPr>
        <w:pStyle w:val="Definition-Field"/>
      </w:pPr>
      <w:r>
        <w:t xml:space="preserve">f.   </w:t>
      </w:r>
      <w:r>
        <w:rPr>
          <w:i/>
        </w:rPr>
        <w:t>The standard does</w:t>
      </w:r>
      <w:r>
        <w:rPr>
          <w:i/>
        </w:rPr>
        <w:t xml:space="preserve"> not define application defined behavior when the missingItemsLimit attribute is not present.</w:t>
      </w:r>
    </w:p>
    <w:p w:rsidR="000A156F" w:rsidRDefault="00A9721F">
      <w:pPr>
        <w:pStyle w:val="Definition-Field2"/>
      </w:pPr>
      <w:r>
        <w:t>If this number is not specified, Office sets the threshold automatically based on the number of items.</w:t>
      </w:r>
    </w:p>
    <w:p w:rsidR="000A156F" w:rsidRDefault="00A9721F">
      <w:pPr>
        <w:pStyle w:val="Definition-Field"/>
      </w:pPr>
      <w:r>
        <w:t xml:space="preserve">g.   </w:t>
      </w:r>
      <w:r>
        <w:rPr>
          <w:i/>
        </w:rPr>
        <w:t>The standard does not define a relation between this @</w:t>
      </w:r>
      <w:r>
        <w:rPr>
          <w:i/>
        </w:rPr>
        <w:t>tupleCache and the tupleCache child element.</w:t>
      </w:r>
    </w:p>
    <w:p w:rsidR="000A156F" w:rsidRDefault="00A9721F">
      <w:pPr>
        <w:pStyle w:val="Definition-Field2"/>
      </w:pPr>
      <w:r>
        <w:t>In Office, if @tupleCache has a value of 0, then pivotCacheDefinition shall not contain tupleCache element.</w:t>
      </w:r>
    </w:p>
    <w:p w:rsidR="000A156F" w:rsidRDefault="00A9721F">
      <w:pPr>
        <w:pStyle w:val="Definition-Field"/>
      </w:pPr>
      <w:r>
        <w:t xml:space="preserve">h.   </w:t>
      </w:r>
      <w:r>
        <w:rPr>
          <w:i/>
        </w:rPr>
        <w:t>The standard does not place any restrictions on the value of the backgroundQuery attribute with re</w:t>
      </w:r>
      <w:r>
        <w:rPr>
          <w:i/>
        </w:rPr>
        <w:t>spect to connection element.</w:t>
      </w:r>
    </w:p>
    <w:p w:rsidR="000A156F" w:rsidRDefault="00A9721F">
      <w:pPr>
        <w:pStyle w:val="Definition-Field2"/>
      </w:pPr>
      <w:r>
        <w:t>Office requires the backgroundQuery attribute match the value of background on the related connection element.</w:t>
      </w:r>
    </w:p>
    <w:p w:rsidR="000A156F" w:rsidRDefault="00A9721F">
      <w:pPr>
        <w:pStyle w:val="Heading3"/>
      </w:pPr>
      <w:bookmarkStart w:id="1586" w:name="section_991b9d727f544454ac7801c6f4e5249b"/>
      <w:bookmarkStart w:id="1587" w:name="_Toc181683819"/>
      <w:r>
        <w:t>Part 1 Section 18.10.1.69, pivotField (PivotTable Field)</w:t>
      </w:r>
      <w:bookmarkEnd w:id="1586"/>
      <w:bookmarkEnd w:id="1587"/>
      <w:r>
        <w:fldChar w:fldCharType="begin"/>
      </w:r>
      <w:r>
        <w:instrText xml:space="preserve"> XE "pivotField (PivotTable Field)" </w:instrText>
      </w:r>
      <w:r>
        <w:fldChar w:fldCharType="end"/>
      </w:r>
    </w:p>
    <w:p w:rsidR="000A156F" w:rsidRDefault="00A9721F">
      <w:pPr>
        <w:pStyle w:val="Definition-Field"/>
      </w:pPr>
      <w:r>
        <w:t xml:space="preserve">a.   </w:t>
      </w:r>
      <w:r>
        <w:rPr>
          <w:i/>
        </w:rPr>
        <w:t>The standard doe</w:t>
      </w:r>
      <w:r>
        <w:rPr>
          <w:i/>
        </w:rPr>
        <w:t>s not specify behavior if @axis is not present.</w:t>
      </w:r>
    </w:p>
    <w:p w:rsidR="000A156F" w:rsidRDefault="00A9721F">
      <w:pPr>
        <w:pStyle w:val="Definition-Field2"/>
      </w:pPr>
      <w:r>
        <w:t>Office specifies if @axis is not present, the field does not appear in the row, column or page regions of the PivotTable.</w:t>
      </w:r>
    </w:p>
    <w:p w:rsidR="000A156F" w:rsidRDefault="00A9721F">
      <w:pPr>
        <w:pStyle w:val="Definition-Field"/>
      </w:pPr>
      <w:r>
        <w:t xml:space="preserve">b.   </w:t>
      </w:r>
      <w:r>
        <w:rPr>
          <w:i/>
        </w:rPr>
        <w:t>The standard does not restrict valid values for the axis attribute.</w:t>
      </w:r>
    </w:p>
    <w:p w:rsidR="000A156F" w:rsidRDefault="00A9721F">
      <w:pPr>
        <w:pStyle w:val="Definition-Field2"/>
      </w:pPr>
      <w:r>
        <w:t>In Office, ax</w:t>
      </w:r>
      <w:r>
        <w:t>isValues shall not be used for the axis attribute.</w:t>
      </w:r>
    </w:p>
    <w:p w:rsidR="000A156F" w:rsidRDefault="00A9721F">
      <w:pPr>
        <w:pStyle w:val="Definition-Field"/>
      </w:pPr>
      <w:r>
        <w:t xml:space="preserve">c.   </w:t>
      </w:r>
      <w:r>
        <w:rPr>
          <w:i/>
        </w:rPr>
        <w:t>The standard does not specify a default value for the numFmtId attribute.</w:t>
      </w:r>
    </w:p>
    <w:p w:rsidR="000A156F" w:rsidRDefault="00A9721F">
      <w:pPr>
        <w:pStyle w:val="Definition-Field2"/>
      </w:pPr>
      <w:r>
        <w:t>Excel uses a default value of 0 for this attribute.</w:t>
      </w:r>
    </w:p>
    <w:p w:rsidR="000A156F" w:rsidRDefault="00A9721F">
      <w:pPr>
        <w:pStyle w:val="Definition-Field"/>
      </w:pPr>
      <w:r>
        <w:t xml:space="preserve">d.   </w:t>
      </w:r>
      <w:r>
        <w:rPr>
          <w:i/>
        </w:rPr>
        <w:t xml:space="preserve">The standard does not specify a default value for the dataSourceSort </w:t>
      </w:r>
      <w:r>
        <w:rPr>
          <w:i/>
        </w:rPr>
        <w:t>attribute.</w:t>
      </w:r>
    </w:p>
    <w:p w:rsidR="000A156F" w:rsidRDefault="00A9721F">
      <w:pPr>
        <w:pStyle w:val="Definition-Field2"/>
      </w:pPr>
      <w:r>
        <w:t>Excel uses a default value of false for this attribute.</w:t>
      </w:r>
    </w:p>
    <w:p w:rsidR="000A156F" w:rsidRDefault="00A9721F">
      <w:pPr>
        <w:pStyle w:val="Definition-Field"/>
      </w:pPr>
      <w:r>
        <w:t xml:space="preserve">e.   </w:t>
      </w:r>
      <w:r>
        <w:rPr>
          <w:i/>
        </w:rPr>
        <w:t>The standard does not define the meaning of the absence of @rankBy.</w:t>
      </w:r>
    </w:p>
    <w:p w:rsidR="000A156F" w:rsidRDefault="00A9721F">
      <w:pPr>
        <w:pStyle w:val="Definition-Field2"/>
      </w:pPr>
      <w:r>
        <w:t>Office assumes if @rankBy is not present, this indicates that no data field will be used by AutoShow for ranking.</w:t>
      </w:r>
    </w:p>
    <w:p w:rsidR="000A156F" w:rsidRDefault="00A9721F">
      <w:pPr>
        <w:pStyle w:val="Definition-Field"/>
      </w:pPr>
      <w:r>
        <w:t>f.</w:t>
      </w:r>
      <w:r>
        <w:t xml:space="preserve">   </w:t>
      </w:r>
      <w:r>
        <w:rPr>
          <w:i/>
        </w:rPr>
        <w:t>The standard does not mention any relationship between the value of the dataField attribute and dataField elements.</w:t>
      </w:r>
    </w:p>
    <w:p w:rsidR="000A156F" w:rsidRDefault="00A9721F">
      <w:r>
        <w:t>Office requires that if the dataField attribute is true and this pivotTable is not an OLAP pivotTable, then there must be at least one ma</w:t>
      </w:r>
      <w:r>
        <w:t>tching dataField element on this pivotTable with an fld attribute equal to this element's index within its parent element.</w:t>
      </w:r>
    </w:p>
    <w:p w:rsidR="000A156F" w:rsidRDefault="00A9721F">
      <w:pPr>
        <w:pStyle w:val="Definition-Field"/>
      </w:pPr>
      <w:r>
        <w:t xml:space="preserve">g.   </w:t>
      </w:r>
      <w:r>
        <w:rPr>
          <w:i/>
        </w:rPr>
        <w:t>The standard says that for @nonAutoSortDefault, a value of 1 or true indicates that an AutoSort operation will be applied to the</w:t>
      </w:r>
      <w:r>
        <w:rPr>
          <w:i/>
        </w:rPr>
        <w:t xml:space="preserve"> field.</w:t>
      </w:r>
    </w:p>
    <w:p w:rsidR="000A156F" w:rsidRDefault="00A9721F">
      <w:pPr>
        <w:pStyle w:val="Definition-Field2"/>
      </w:pPr>
      <w:r>
        <w:t>In Office, a value of 1 or true indicates a simple data sort operation will be applied to the field.</w:t>
      </w:r>
    </w:p>
    <w:p w:rsidR="000A156F" w:rsidRDefault="00A9721F">
      <w:pPr>
        <w:pStyle w:val="Definition-Field"/>
      </w:pPr>
      <w:r>
        <w:lastRenderedPageBreak/>
        <w:t xml:space="preserve">h.   </w:t>
      </w:r>
      <w:r>
        <w:rPr>
          <w:i/>
        </w:rPr>
        <w:t>The standard does not require a relationship between the axis attribute and rowFields.</w:t>
      </w:r>
    </w:p>
    <w:p w:rsidR="000A156F" w:rsidRDefault="00A9721F">
      <w:pPr>
        <w:pStyle w:val="Definition-Field2"/>
      </w:pPr>
      <w:r>
        <w:t>Office requires that if the axis attribute equals axisR</w:t>
      </w:r>
      <w:r>
        <w:t>ow and this pivotTable is not an OLAP pivotTable, then there must be a field element in the rowFields collection with its x attribute set to the index of this pivotField.</w:t>
      </w:r>
    </w:p>
    <w:p w:rsidR="000A156F" w:rsidRDefault="00A9721F">
      <w:pPr>
        <w:pStyle w:val="Definition-Field"/>
      </w:pPr>
      <w:r>
        <w:t xml:space="preserve">i.   </w:t>
      </w:r>
      <w:r>
        <w:rPr>
          <w:i/>
        </w:rPr>
        <w:t xml:space="preserve">The standard does not require a relationship between the axis attribute and </w:t>
      </w:r>
      <w:r>
        <w:rPr>
          <w:i/>
        </w:rPr>
        <w:t>colFields.</w:t>
      </w:r>
    </w:p>
    <w:p w:rsidR="000A156F" w:rsidRDefault="00A9721F">
      <w:pPr>
        <w:pStyle w:val="Definition-Field2"/>
      </w:pPr>
      <w:r>
        <w:t>Office requires that if the axis attribute equals axisCol and this pivotTable is not an OLAP pivotTable, then there must be a field element in the colFields collection with its x attribute set to the index of this pivotField.</w:t>
      </w:r>
    </w:p>
    <w:p w:rsidR="000A156F" w:rsidRDefault="00A9721F">
      <w:pPr>
        <w:pStyle w:val="Definition-Field"/>
      </w:pPr>
      <w:r>
        <w:t xml:space="preserve">j.   </w:t>
      </w:r>
      <w:r>
        <w:rPr>
          <w:i/>
        </w:rPr>
        <w:t>The standard d</w:t>
      </w:r>
      <w:r>
        <w:rPr>
          <w:i/>
        </w:rPr>
        <w:t>oes not require a relationship between the axis attribute and pageFields.</w:t>
      </w:r>
    </w:p>
    <w:p w:rsidR="000A156F" w:rsidRDefault="00A9721F">
      <w:pPr>
        <w:pStyle w:val="Definition-Field2"/>
      </w:pPr>
      <w:r>
        <w:t>Office requires that if the axis attribute equals axisPage and this pivotTable is not an OLAP pivotTable, then there shall be a pageField element on this pivotTable with the fld attr</w:t>
      </w:r>
      <w:r>
        <w:t>ibute set to this pivotField's index.</w:t>
      </w:r>
    </w:p>
    <w:p w:rsidR="000A156F" w:rsidRDefault="00A9721F">
      <w:pPr>
        <w:pStyle w:val="Definition-Field"/>
      </w:pPr>
      <w:r>
        <w:t xml:space="preserve">k.   </w:t>
      </w:r>
      <w:r>
        <w:rPr>
          <w:i/>
        </w:rPr>
        <w:t>The standard does not define a relationship between the dataField attribute and the cacheHierarchy element.</w:t>
      </w:r>
    </w:p>
    <w:p w:rsidR="000A156F" w:rsidRDefault="00A9721F">
      <w:r>
        <w:t>Office requires that if the dataField attribute equals 1 and this is an OLAP pivotTable, then the cacheFi</w:t>
      </w:r>
      <w:r>
        <w:t>eld on the associated pivotCache with the same index as this element shall exist and have a hierarchy attribute which will refer to a cacheHierarchy element with its measure attribute equal to 1.</w:t>
      </w:r>
    </w:p>
    <w:p w:rsidR="000A156F" w:rsidRDefault="00A9721F">
      <w:pPr>
        <w:pStyle w:val="Definition-Field"/>
      </w:pPr>
      <w:r>
        <w:t xml:space="preserve">l.   </w:t>
      </w:r>
      <w:r>
        <w:rPr>
          <w:i/>
        </w:rPr>
        <w:t>The standard does not require a relationship between th</w:t>
      </w:r>
      <w:r>
        <w:rPr>
          <w:i/>
        </w:rPr>
        <w:t>e axis attribute and cacheHierarchy.</w:t>
      </w:r>
    </w:p>
    <w:p w:rsidR="000A156F" w:rsidRDefault="00A9721F">
      <w:r>
        <w:t>Office specifies if the axis attribute is present and this is an OLAP pivotTable, then the cacheField on the associated pivotCache with the same index as this element shall have a hierarchy attribute which will refer to</w:t>
      </w:r>
      <w:r>
        <w:t xml:space="preserve"> a cacheHierarchy element with its measure attribute equal to 0.</w:t>
      </w:r>
    </w:p>
    <w:p w:rsidR="000A156F" w:rsidRDefault="00A9721F">
      <w:pPr>
        <w:pStyle w:val="Definition-Field"/>
      </w:pPr>
      <w:r>
        <w:t xml:space="preserve">m.   </w:t>
      </w:r>
      <w:r>
        <w:rPr>
          <w:i/>
        </w:rPr>
        <w:t>The standard does not limit the length of the value of the name attribute.</w:t>
      </w:r>
    </w:p>
    <w:p w:rsidR="000A156F" w:rsidRDefault="00A9721F">
      <w:pPr>
        <w:pStyle w:val="Definition-Field2"/>
      </w:pPr>
      <w:r>
        <w:t>Excel restricts the value of this attribute to be at most 255 characters when the createdVersion attribute on t</w:t>
      </w:r>
      <w:r>
        <w:t>he pivotCacheDefinition element is less than 3 and 32767 characters otherwise.</w:t>
      </w:r>
    </w:p>
    <w:p w:rsidR="000A156F" w:rsidRDefault="00A9721F">
      <w:pPr>
        <w:pStyle w:val="Definition-Field"/>
      </w:pPr>
      <w:r>
        <w:t xml:space="preserve">n.   </w:t>
      </w:r>
      <w:r>
        <w:rPr>
          <w:i/>
        </w:rPr>
        <w:t>The standard does not limit the length of the value of the subtotalCaption attribute.</w:t>
      </w:r>
    </w:p>
    <w:p w:rsidR="000A156F" w:rsidRDefault="00A9721F">
      <w:pPr>
        <w:pStyle w:val="Definition-Field2"/>
      </w:pPr>
      <w:r>
        <w:t>Excel restricts the value of this attribute to be at most 255 characters when the crea</w:t>
      </w:r>
      <w:r>
        <w:t>tedVersion attribute on the pivotCacheDefinition element is less than 3 and 32767 characters otherwise.</w:t>
      </w:r>
    </w:p>
    <w:p w:rsidR="000A156F" w:rsidRDefault="00A9721F">
      <w:pPr>
        <w:pStyle w:val="Definition-Field"/>
      </w:pPr>
      <w:r>
        <w:t xml:space="preserve">o.   </w:t>
      </w:r>
      <w:r>
        <w:rPr>
          <w:i/>
        </w:rPr>
        <w:t>The standard does not limit the length of the value of the uniqueMemberProperty attribute.</w:t>
      </w:r>
    </w:p>
    <w:p w:rsidR="000A156F" w:rsidRDefault="00A9721F">
      <w:pPr>
        <w:pStyle w:val="Definition-Field2"/>
      </w:pPr>
      <w:r>
        <w:t>Excel restricts the value of this attribute to be at mos</w:t>
      </w:r>
      <w:r>
        <w:t>t 255 characters when the createdVersion attribute on the pivotCacheDefinition element is less than 3 and 32767 characters otherwise.</w:t>
      </w:r>
    </w:p>
    <w:p w:rsidR="000A156F" w:rsidRDefault="00A9721F">
      <w:pPr>
        <w:pStyle w:val="Definition-Field"/>
      </w:pPr>
      <w:r>
        <w:t xml:space="preserve">p.   </w:t>
      </w:r>
      <w:r>
        <w:rPr>
          <w:i/>
        </w:rPr>
        <w:t>The standard does not place a uniqueness restriction on the value of @name.</w:t>
      </w:r>
    </w:p>
    <w:p w:rsidR="000A156F" w:rsidRDefault="00A9721F">
      <w:pPr>
        <w:pStyle w:val="Definition-Field2"/>
      </w:pPr>
      <w:r>
        <w:t>Office requires @name to be unique for no</w:t>
      </w:r>
      <w:r>
        <w:t>n-OLAP PivotTables.</w:t>
      </w:r>
    </w:p>
    <w:p w:rsidR="000A156F" w:rsidRDefault="00A9721F">
      <w:pPr>
        <w:pStyle w:val="Definition-Field"/>
      </w:pPr>
      <w:r>
        <w:t xml:space="preserve">q.   </w:t>
      </w:r>
      <w:r>
        <w:rPr>
          <w:i/>
        </w:rPr>
        <w:t>The standard does not place any restrictions on the relationship between the serverField attribute and the cacheField and pivotCache elements.</w:t>
      </w:r>
    </w:p>
    <w:p w:rsidR="000A156F" w:rsidRDefault="00A9721F">
      <w:pPr>
        <w:pStyle w:val="Definition-Field2"/>
      </w:pPr>
      <w:r>
        <w:t xml:space="preserve">Excel requires that the value of the serverField attribute on the cacheField element be </w:t>
      </w:r>
      <w:r>
        <w:t>1 and the value of the type attribute on the associated pivotCache element be external when the value of the serverField attribute on this element is true.</w:t>
      </w:r>
    </w:p>
    <w:p w:rsidR="000A156F" w:rsidRDefault="00A9721F">
      <w:pPr>
        <w:pStyle w:val="Definition-Field"/>
      </w:pPr>
      <w:r>
        <w:t xml:space="preserve">r.   </w:t>
      </w:r>
      <w:r>
        <w:rPr>
          <w:i/>
        </w:rPr>
        <w:t>The standard does not mention that if autoShow is true, there are range limitations on itemPage</w:t>
      </w:r>
      <w:r>
        <w:rPr>
          <w:i/>
        </w:rPr>
        <w:t>Count.</w:t>
      </w:r>
    </w:p>
    <w:p w:rsidR="000A156F" w:rsidRDefault="00A9721F">
      <w:pPr>
        <w:pStyle w:val="Definition-Field2"/>
      </w:pPr>
      <w:r>
        <w:lastRenderedPageBreak/>
        <w:t>In Excel, the itemPageCount attribute must be between 1 and 255 inclusive or the rankBy attribute must be greater than or equal to 0 and less than the number of dataField elements.</w:t>
      </w:r>
    </w:p>
    <w:p w:rsidR="000A156F" w:rsidRDefault="00A9721F">
      <w:pPr>
        <w:pStyle w:val="Definition-Field"/>
      </w:pPr>
      <w:r>
        <w:t xml:space="preserve">s.   </w:t>
      </w:r>
      <w:r>
        <w:rPr>
          <w:i/>
        </w:rPr>
        <w:t>The standard does not specify restrictions for the hideNewItems</w:t>
      </w:r>
      <w:r>
        <w:rPr>
          <w:i/>
        </w:rPr>
        <w:t xml:space="preserve"> attribute.</w:t>
      </w:r>
    </w:p>
    <w:p w:rsidR="000A156F" w:rsidRDefault="00A9721F">
      <w:pPr>
        <w:pStyle w:val="Definition-Field2"/>
      </w:pPr>
      <w:r>
        <w:t>Office specifies that the hideNewItems attribute shall be false for non-OLAP pivotTables.</w:t>
      </w:r>
    </w:p>
    <w:p w:rsidR="000A156F" w:rsidRDefault="00A9721F">
      <w:pPr>
        <w:pStyle w:val="Definition-Field"/>
      </w:pPr>
      <w:r>
        <w:t xml:space="preserve">t.   </w:t>
      </w:r>
      <w:r>
        <w:rPr>
          <w:i/>
        </w:rPr>
        <w:t>The standard does not specify restrictions for the showPropAsCaption attribute.</w:t>
      </w:r>
    </w:p>
    <w:p w:rsidR="000A156F" w:rsidRDefault="00A9721F">
      <w:pPr>
        <w:pStyle w:val="Definition-Field2"/>
      </w:pPr>
      <w:r>
        <w:t xml:space="preserve">Office specifies that the showPropAsCaption attribute shall be false </w:t>
      </w:r>
      <w:r>
        <w:t>for non-OLAP pivotTables.</w:t>
      </w:r>
    </w:p>
    <w:p w:rsidR="000A156F" w:rsidRDefault="00A9721F">
      <w:pPr>
        <w:pStyle w:val="Definition-Field"/>
      </w:pPr>
      <w:r>
        <w:t xml:space="preserve">u.   </w:t>
      </w:r>
      <w:r>
        <w:rPr>
          <w:i/>
        </w:rPr>
        <w:t>The standard does not specify restrictions for the showPropCell attribute.</w:t>
      </w:r>
    </w:p>
    <w:p w:rsidR="000A156F" w:rsidRDefault="00A9721F">
      <w:pPr>
        <w:pStyle w:val="Definition-Field2"/>
      </w:pPr>
      <w:r>
        <w:t>Office specifies that the showPropCell attribute shall be false for non-OLAP tables.</w:t>
      </w:r>
    </w:p>
    <w:p w:rsidR="000A156F" w:rsidRDefault="00A9721F">
      <w:pPr>
        <w:pStyle w:val="Definition-Field"/>
      </w:pPr>
      <w:r>
        <w:t xml:space="preserve">v.   </w:t>
      </w:r>
      <w:r>
        <w:rPr>
          <w:i/>
        </w:rPr>
        <w:t>The standard does not specify restrictions for the showPropT</w:t>
      </w:r>
      <w:r>
        <w:rPr>
          <w:i/>
        </w:rPr>
        <w:t>ip attribute.</w:t>
      </w:r>
    </w:p>
    <w:p w:rsidR="000A156F" w:rsidRDefault="00A9721F">
      <w:pPr>
        <w:pStyle w:val="Definition-Field2"/>
      </w:pPr>
      <w:r>
        <w:t>Office specifies that the showPropTip attribute shall be false for non-OLAP pivotTables.</w:t>
      </w:r>
    </w:p>
    <w:p w:rsidR="000A156F" w:rsidRDefault="00A9721F">
      <w:pPr>
        <w:pStyle w:val="Definition-Field"/>
      </w:pPr>
      <w:r>
        <w:t xml:space="preserve">w.   </w:t>
      </w:r>
      <w:r>
        <w:rPr>
          <w:i/>
        </w:rPr>
        <w:t>The standard does not specify restrictions for the showAll attribute.</w:t>
      </w:r>
    </w:p>
    <w:p w:rsidR="000A156F" w:rsidRDefault="00A9721F">
      <w:pPr>
        <w:pStyle w:val="Definition-Field2"/>
      </w:pPr>
      <w:r>
        <w:t>Office specifies that the showAll attribute shall be false for OLAP pivotTable</w:t>
      </w:r>
      <w:r>
        <w:t>s.</w:t>
      </w:r>
    </w:p>
    <w:p w:rsidR="000A156F" w:rsidRDefault="00A9721F">
      <w:pPr>
        <w:pStyle w:val="Definition-Field"/>
      </w:pPr>
      <w:r>
        <w:t xml:space="preserve">x.   </w:t>
      </w:r>
      <w:r>
        <w:rPr>
          <w:i/>
        </w:rPr>
        <w:t>The standard does not specify restrictions on @dataSourceSort.</w:t>
      </w:r>
    </w:p>
    <w:p w:rsidR="000A156F" w:rsidRDefault="00A9721F">
      <w:pPr>
        <w:pStyle w:val="Definition-Field2"/>
      </w:pPr>
      <w:r>
        <w:t>Office specifies that @dataSourceSort shall not be 1 on a non-OLAP PivotTable.</w:t>
      </w:r>
    </w:p>
    <w:p w:rsidR="000A156F" w:rsidRDefault="00A9721F">
      <w:pPr>
        <w:pStyle w:val="Definition-Field"/>
      </w:pPr>
      <w:r>
        <w:t xml:space="preserve">y.   </w:t>
      </w:r>
      <w:r>
        <w:rPr>
          <w:i/>
        </w:rPr>
        <w:t>The standard describes @hiddenLevel as a PivotTable wide attribute.</w:t>
      </w:r>
    </w:p>
    <w:p w:rsidR="000A156F" w:rsidRDefault="00A9721F">
      <w:pPr>
        <w:pStyle w:val="Definition-Field2"/>
      </w:pPr>
      <w:r>
        <w:t>Office assumes @hiddenLevel refer</w:t>
      </w:r>
      <w:r>
        <w:t>s to the particular level of this PivotField.</w:t>
      </w:r>
    </w:p>
    <w:p w:rsidR="000A156F" w:rsidRDefault="00A9721F">
      <w:pPr>
        <w:pStyle w:val="Definition-Field"/>
      </w:pPr>
      <w:r>
        <w:t xml:space="preserve">z.   </w:t>
      </w:r>
      <w:r>
        <w:rPr>
          <w:i/>
        </w:rPr>
        <w:t>The standard specifies that a @dataField value of 0 or false indicates this field appears in another region of the PivotTable.</w:t>
      </w:r>
    </w:p>
    <w:p w:rsidR="000A156F" w:rsidRDefault="00A9721F">
      <w:pPr>
        <w:pStyle w:val="Definition-Field2"/>
      </w:pPr>
      <w:r>
        <w:t xml:space="preserve">Office assumes a @dataField value of 0 or false indicates this field does not </w:t>
      </w:r>
      <w:r>
        <w:t>appear in the data region of the PivotTable.</w:t>
      </w:r>
    </w:p>
    <w:p w:rsidR="000A156F" w:rsidRDefault="00A9721F">
      <w:pPr>
        <w:pStyle w:val="Definition-Field"/>
      </w:pPr>
      <w:r>
        <w:t xml:space="preserve">aa.  </w:t>
      </w:r>
      <w:r>
        <w:rPr>
          <w:i/>
        </w:rPr>
        <w:t>The standard states that @itemPageCount is the number of items showed per page in the PivotTable.</w:t>
      </w:r>
    </w:p>
    <w:p w:rsidR="000A156F" w:rsidRDefault="00A9721F">
      <w:pPr>
        <w:pStyle w:val="Definition-Field2"/>
      </w:pPr>
      <w:r>
        <w:t>In Office, specifies @itemPageCount is the number of items to show when the PivotTable’s Autoshow feature is</w:t>
      </w:r>
      <w:r>
        <w:t xml:space="preserve"> enabled.</w:t>
      </w:r>
    </w:p>
    <w:p w:rsidR="000A156F" w:rsidRDefault="00A9721F">
      <w:pPr>
        <w:pStyle w:val="Definition-Field"/>
      </w:pPr>
      <w:r>
        <w:t xml:space="preserve">bb.  </w:t>
      </w:r>
      <w:r>
        <w:rPr>
          <w:i/>
        </w:rPr>
        <w:t>The standard specifies the subtotalCaption attribute as text.</w:t>
      </w:r>
    </w:p>
    <w:p w:rsidR="000A156F" w:rsidRDefault="00A9721F">
      <w:pPr>
        <w:pStyle w:val="Definition-Field2"/>
      </w:pPr>
      <w:r>
        <w:t>Office will replace the ? character in this attribute with the field name when displayed in the UI.</w:t>
      </w:r>
    </w:p>
    <w:p w:rsidR="000A156F" w:rsidRDefault="00A9721F">
      <w:pPr>
        <w:pStyle w:val="Definition-Field"/>
      </w:pPr>
      <w:r>
        <w:t xml:space="preserve">cc.  </w:t>
      </w:r>
      <w:r>
        <w:rPr>
          <w:i/>
        </w:rPr>
        <w:t xml:space="preserve">The standard states that a value of 0 or false for @serverField indicates </w:t>
      </w:r>
      <w:r>
        <w:rPr>
          <w:i/>
        </w:rPr>
        <w:t>that this is a local page field.</w:t>
      </w:r>
    </w:p>
    <w:p w:rsidR="000A156F" w:rsidRDefault="00A9721F">
      <w:pPr>
        <w:pStyle w:val="Definition-Field2"/>
      </w:pPr>
      <w:r>
        <w:t>In Office, assumes value of 0 or false indicates that this is not a server-based page field and the @axis can be any valid value.</w:t>
      </w:r>
    </w:p>
    <w:p w:rsidR="000A156F" w:rsidRDefault="00A9721F">
      <w:pPr>
        <w:pStyle w:val="Definition-Field"/>
      </w:pPr>
      <w:r>
        <w:t xml:space="preserve">dd.  </w:t>
      </w:r>
      <w:r>
        <w:rPr>
          <w:i/>
        </w:rPr>
        <w:t>The standard does not state when @dragToData is used.</w:t>
      </w:r>
    </w:p>
    <w:p w:rsidR="000A156F" w:rsidRDefault="00A9721F">
      <w:pPr>
        <w:pStyle w:val="Definition-Field2"/>
      </w:pPr>
      <w:r>
        <w:t>Office ignores @dragToData for OLA</w:t>
      </w:r>
      <w:r>
        <w:t>P PivotTables.</w:t>
      </w:r>
    </w:p>
    <w:p w:rsidR="000A156F" w:rsidRDefault="00A9721F">
      <w:pPr>
        <w:pStyle w:val="Definition-Field"/>
      </w:pPr>
      <w:r>
        <w:t xml:space="preserve">ee.  </w:t>
      </w:r>
      <w:r>
        <w:rPr>
          <w:i/>
        </w:rPr>
        <w:t>The standard does not state when @dragToRow is used.</w:t>
      </w:r>
    </w:p>
    <w:p w:rsidR="000A156F" w:rsidRDefault="00A9721F">
      <w:pPr>
        <w:pStyle w:val="Definition-Field2"/>
      </w:pPr>
      <w:r>
        <w:t>Office ignores @dragToRow for OLAP PivotTables.</w:t>
      </w:r>
    </w:p>
    <w:p w:rsidR="000A156F" w:rsidRDefault="00A9721F">
      <w:pPr>
        <w:pStyle w:val="Definition-Field"/>
      </w:pPr>
      <w:r>
        <w:t xml:space="preserve">ff.  </w:t>
      </w:r>
      <w:r>
        <w:rPr>
          <w:i/>
        </w:rPr>
        <w:t>The standard does not state when @dragToCol is used.</w:t>
      </w:r>
    </w:p>
    <w:p w:rsidR="000A156F" w:rsidRDefault="00A9721F">
      <w:pPr>
        <w:pStyle w:val="Definition-Field2"/>
      </w:pPr>
      <w:r>
        <w:lastRenderedPageBreak/>
        <w:t>Office ignores @dragToCol for OLAP PivotTables.</w:t>
      </w:r>
    </w:p>
    <w:p w:rsidR="000A156F" w:rsidRDefault="00A9721F">
      <w:pPr>
        <w:pStyle w:val="Definition-Field"/>
      </w:pPr>
      <w:r>
        <w:t xml:space="preserve">gg.  </w:t>
      </w:r>
      <w:r>
        <w:rPr>
          <w:i/>
        </w:rPr>
        <w:t xml:space="preserve">The standard does state </w:t>
      </w:r>
      <w:r>
        <w:rPr>
          <w:i/>
        </w:rPr>
        <w:t>when @dragToPage will be used.</w:t>
      </w:r>
    </w:p>
    <w:p w:rsidR="000A156F" w:rsidRDefault="00A9721F">
      <w:pPr>
        <w:pStyle w:val="Definition-Field2"/>
      </w:pPr>
      <w:r>
        <w:t>In Office, @dragToPage is ignored for OLAP PivotTables.</w:t>
      </w:r>
    </w:p>
    <w:p w:rsidR="000A156F" w:rsidRDefault="00A9721F">
      <w:pPr>
        <w:pStyle w:val="Definition-Field"/>
      </w:pPr>
      <w:r>
        <w:t xml:space="preserve">hh.  </w:t>
      </w:r>
      <w:r>
        <w:rPr>
          <w:i/>
        </w:rPr>
        <w:t>The standard does not require a corresponding item element when the avgSubtotal is true.</w:t>
      </w:r>
    </w:p>
    <w:p w:rsidR="000A156F" w:rsidRDefault="00A9721F">
      <w:pPr>
        <w:pStyle w:val="Definition-Field2"/>
      </w:pPr>
      <w:r>
        <w:t>In Office, if avgSubtotal is true, then this element's items collection mus</w:t>
      </w:r>
      <w:r>
        <w:t>t contain an item element with t="avg".</w:t>
      </w:r>
    </w:p>
    <w:p w:rsidR="000A156F" w:rsidRDefault="00A9721F">
      <w:pPr>
        <w:pStyle w:val="Definition-Field"/>
      </w:pPr>
      <w:r>
        <w:t xml:space="preserve">ii.  </w:t>
      </w:r>
      <w:r>
        <w:rPr>
          <w:i/>
        </w:rPr>
        <w:t>The standard does not require a corresponding item element when the countASubtotal is true.</w:t>
      </w:r>
    </w:p>
    <w:p w:rsidR="000A156F" w:rsidRDefault="00A9721F">
      <w:pPr>
        <w:pStyle w:val="Definition-Field2"/>
      </w:pPr>
      <w:r>
        <w:t>In Office, if countASubtotal is true, then this element's items collection must contain an item element with t="countA"</w:t>
      </w:r>
      <w:r>
        <w:t>.</w:t>
      </w:r>
    </w:p>
    <w:p w:rsidR="000A156F" w:rsidRDefault="00A9721F">
      <w:pPr>
        <w:pStyle w:val="Definition-Field"/>
      </w:pPr>
      <w:r>
        <w:t xml:space="preserve">jj.  </w:t>
      </w:r>
      <w:r>
        <w:rPr>
          <w:i/>
        </w:rPr>
        <w:t>The standard does not require a corresponding item element when @countSubtotal is true.</w:t>
      </w:r>
    </w:p>
    <w:p w:rsidR="000A156F" w:rsidRDefault="00A9721F">
      <w:pPr>
        <w:pStyle w:val="Definition-Field2"/>
      </w:pPr>
      <w:r>
        <w:t>In Office if @countSubtotal is true, then this element's items collection must contain an item element with t="count".</w:t>
      </w:r>
    </w:p>
    <w:p w:rsidR="000A156F" w:rsidRDefault="00A9721F">
      <w:pPr>
        <w:pStyle w:val="Definition-Field"/>
      </w:pPr>
      <w:r>
        <w:t xml:space="preserve">kk.  </w:t>
      </w:r>
      <w:r>
        <w:rPr>
          <w:i/>
        </w:rPr>
        <w:t>The standard does not require a corre</w:t>
      </w:r>
      <w:r>
        <w:rPr>
          <w:i/>
        </w:rPr>
        <w:t>sponding item element when the maxSubtotal is true.</w:t>
      </w:r>
    </w:p>
    <w:p w:rsidR="000A156F" w:rsidRDefault="00A9721F">
      <w:pPr>
        <w:pStyle w:val="Definition-Field2"/>
      </w:pPr>
      <w:r>
        <w:t>In Office, if maxSubtotal is true, then this element's items collection must contain an item element with t="max".</w:t>
      </w:r>
    </w:p>
    <w:p w:rsidR="000A156F" w:rsidRDefault="00A9721F">
      <w:pPr>
        <w:pStyle w:val="Definition-Field"/>
      </w:pPr>
      <w:r>
        <w:t xml:space="preserve">ll.  </w:t>
      </w:r>
      <w:r>
        <w:rPr>
          <w:i/>
        </w:rPr>
        <w:t>The standard does not require a corresponding item element when the minSubtotal is t</w:t>
      </w:r>
      <w:r>
        <w:rPr>
          <w:i/>
        </w:rPr>
        <w:t>rue.</w:t>
      </w:r>
    </w:p>
    <w:p w:rsidR="000A156F" w:rsidRDefault="00A9721F">
      <w:pPr>
        <w:pStyle w:val="Definition-Field2"/>
      </w:pPr>
      <w:r>
        <w:t>In Office, if minSubtotal is true, then this element's items collection must contain an item element with t="min".</w:t>
      </w:r>
    </w:p>
    <w:p w:rsidR="000A156F" w:rsidRDefault="00A9721F">
      <w:pPr>
        <w:pStyle w:val="Definition-Field"/>
      </w:pPr>
      <w:r>
        <w:t xml:space="preserve">mm.  </w:t>
      </w:r>
      <w:r>
        <w:rPr>
          <w:i/>
        </w:rPr>
        <w:t>The standard does not require a corresponding item element when the productSubtotal is true.</w:t>
      </w:r>
    </w:p>
    <w:p w:rsidR="000A156F" w:rsidRDefault="00A9721F">
      <w:pPr>
        <w:pStyle w:val="Definition-Field2"/>
      </w:pPr>
      <w:r>
        <w:t>In Office, if productSubtotal is true,</w:t>
      </w:r>
      <w:r>
        <w:t xml:space="preserve"> then this element's items collection must contain an item element with t="product".</w:t>
      </w:r>
    </w:p>
    <w:p w:rsidR="000A156F" w:rsidRDefault="00A9721F">
      <w:pPr>
        <w:pStyle w:val="Definition-Field"/>
      </w:pPr>
      <w:r>
        <w:t xml:space="preserve">nn.  </w:t>
      </w:r>
      <w:r>
        <w:rPr>
          <w:i/>
        </w:rPr>
        <w:t>The standard does not require a corresponding item element when the stdDevPSubtotal is true.</w:t>
      </w:r>
    </w:p>
    <w:p w:rsidR="000A156F" w:rsidRDefault="00A9721F">
      <w:pPr>
        <w:pStyle w:val="Definition-Field2"/>
      </w:pPr>
      <w:r>
        <w:t>In Office, if stdDevPSubtotal is true, then this element's items collecti</w:t>
      </w:r>
      <w:r>
        <w:t>on must contain an item element with t="stdDevP".</w:t>
      </w:r>
    </w:p>
    <w:p w:rsidR="000A156F" w:rsidRDefault="00A9721F">
      <w:pPr>
        <w:pStyle w:val="Definition-Field"/>
      </w:pPr>
      <w:r>
        <w:t xml:space="preserve">oo.  </w:t>
      </w:r>
      <w:r>
        <w:rPr>
          <w:i/>
        </w:rPr>
        <w:t>The standard does not require a corresponding item element when the stdDevSubtotal is true.</w:t>
      </w:r>
    </w:p>
    <w:p w:rsidR="000A156F" w:rsidRDefault="00A9721F">
      <w:pPr>
        <w:pStyle w:val="Definition-Field2"/>
      </w:pPr>
      <w:r>
        <w:t xml:space="preserve">In Office, if stdDevSubtotal is true, then this element's items collection must contain an item element with </w:t>
      </w:r>
      <w:r>
        <w:t>t="stdDev".</w:t>
      </w:r>
    </w:p>
    <w:p w:rsidR="000A156F" w:rsidRDefault="00A9721F">
      <w:pPr>
        <w:pStyle w:val="Definition-Field"/>
      </w:pPr>
      <w:r>
        <w:t xml:space="preserve">pp.  </w:t>
      </w:r>
      <w:r>
        <w:rPr>
          <w:i/>
        </w:rPr>
        <w:t>The standard does not require a corresponding item element when the sumSubtotal is true.</w:t>
      </w:r>
    </w:p>
    <w:p w:rsidR="000A156F" w:rsidRDefault="00A9721F">
      <w:pPr>
        <w:pStyle w:val="Definition-Field2"/>
      </w:pPr>
      <w:r>
        <w:t>In Office, if sumSubtotal is true, then this element's items collection must contain an item element with t="sum".</w:t>
      </w:r>
    </w:p>
    <w:p w:rsidR="000A156F" w:rsidRDefault="00A9721F">
      <w:pPr>
        <w:pStyle w:val="Definition-Field"/>
      </w:pPr>
      <w:r>
        <w:t xml:space="preserve">qq.  </w:t>
      </w:r>
      <w:r>
        <w:rPr>
          <w:i/>
        </w:rPr>
        <w:t xml:space="preserve">The standard does not require </w:t>
      </w:r>
      <w:r>
        <w:rPr>
          <w:i/>
        </w:rPr>
        <w:t>a corresponding item element when the varPSubtotal is true.</w:t>
      </w:r>
    </w:p>
    <w:p w:rsidR="000A156F" w:rsidRDefault="00A9721F">
      <w:pPr>
        <w:pStyle w:val="Definition-Field2"/>
      </w:pPr>
      <w:r>
        <w:t>In Office, if varPSubtotal is true, then this element's items collection must contain an item element with t="varP".</w:t>
      </w:r>
    </w:p>
    <w:p w:rsidR="000A156F" w:rsidRDefault="00A9721F">
      <w:pPr>
        <w:pStyle w:val="Definition-Field"/>
      </w:pPr>
      <w:r>
        <w:t xml:space="preserve">rr.  </w:t>
      </w:r>
      <w:r>
        <w:rPr>
          <w:i/>
        </w:rPr>
        <w:t>The standard does not require a corresponding item element when the varSub</w:t>
      </w:r>
      <w:r>
        <w:rPr>
          <w:i/>
        </w:rPr>
        <w:t>total is true.</w:t>
      </w:r>
    </w:p>
    <w:p w:rsidR="000A156F" w:rsidRDefault="00A9721F">
      <w:pPr>
        <w:pStyle w:val="Definition-Field2"/>
      </w:pPr>
      <w:r>
        <w:t>In Office, if varSubtotal is true, then this element's items collection must contain an item element with t="var".</w:t>
      </w:r>
    </w:p>
    <w:p w:rsidR="000A156F" w:rsidRDefault="00A9721F">
      <w:pPr>
        <w:pStyle w:val="Definition-Field"/>
      </w:pPr>
      <w:r>
        <w:t xml:space="preserve">ss.  </w:t>
      </w:r>
      <w:r>
        <w:rPr>
          <w:i/>
        </w:rPr>
        <w:t>The standard does not require a corresponding item element when the defaultSubtotal is false.</w:t>
      </w:r>
    </w:p>
    <w:p w:rsidR="000A156F" w:rsidRDefault="00A9721F">
      <w:pPr>
        <w:pStyle w:val="Definition-Field2"/>
      </w:pPr>
      <w:r>
        <w:lastRenderedPageBreak/>
        <w:t>In Office, if defaultSubtot</w:t>
      </w:r>
      <w:r>
        <w:t>al is true or not written, then this element's items collection must contain an item element with t="default".</w:t>
      </w:r>
    </w:p>
    <w:p w:rsidR="000A156F" w:rsidRDefault="00A9721F">
      <w:pPr>
        <w:pStyle w:val="Definition-Field"/>
      </w:pPr>
      <w:r>
        <w:t xml:space="preserve">tt.  </w:t>
      </w:r>
      <w:r>
        <w:rPr>
          <w:i/>
        </w:rPr>
        <w:t>The standard does not state any requirements on the type of PivotTable for which @uniqueMemberProperty is valid.</w:t>
      </w:r>
    </w:p>
    <w:p w:rsidR="000A156F" w:rsidRDefault="00A9721F">
      <w:pPr>
        <w:pStyle w:val="Definition-Field2"/>
      </w:pPr>
      <w:r>
        <w:t xml:space="preserve">Office requires that this </w:t>
      </w:r>
      <w:r>
        <w:t>attribute is only set on OLAP PivotTables.</w:t>
      </w:r>
    </w:p>
    <w:p w:rsidR="000A156F" w:rsidRDefault="00A9721F">
      <w:pPr>
        <w:pStyle w:val="Definition-Field"/>
      </w:pPr>
      <w:r>
        <w:t xml:space="preserve">uu.  </w:t>
      </w:r>
      <w:r>
        <w:rPr>
          <w:i/>
        </w:rPr>
        <w:t>The standard does not restrict the usage of the includeNewItemsInFilter attribute.</w:t>
      </w:r>
    </w:p>
    <w:p w:rsidR="000A156F" w:rsidRDefault="00A9721F">
      <w:pPr>
        <w:pStyle w:val="Definition-Field2"/>
      </w:pPr>
      <w:r>
        <w:t>Office assumes the includeNewItemsInFilter attribute shall be ignored for OLAP PivotTables.</w:t>
      </w:r>
    </w:p>
    <w:p w:rsidR="000A156F" w:rsidRDefault="00A9721F">
      <w:pPr>
        <w:pStyle w:val="Definition-Field"/>
      </w:pPr>
      <w:r>
        <w:t xml:space="preserve">vv.  </w:t>
      </w:r>
      <w:r>
        <w:rPr>
          <w:i/>
        </w:rPr>
        <w:t>The standard states that @sh</w:t>
      </w:r>
      <w:r>
        <w:rPr>
          <w:i/>
        </w:rPr>
        <w:t>owPropTip determines if a tooltip is shown for a PivotTable cell.</w:t>
      </w:r>
    </w:p>
    <w:p w:rsidR="000A156F" w:rsidRDefault="00A9721F">
      <w:pPr>
        <w:pStyle w:val="Definition-Field2"/>
      </w:pPr>
      <w:r>
        <w:t>In Office the value of mp@showTip, if present, takes precedence over @showPropTip.</w:t>
      </w:r>
    </w:p>
    <w:p w:rsidR="000A156F" w:rsidRDefault="00A9721F">
      <w:pPr>
        <w:pStyle w:val="Definition-Field"/>
      </w:pPr>
      <w:r>
        <w:t xml:space="preserve">ww.  </w:t>
      </w:r>
      <w:r>
        <w:rPr>
          <w:i/>
        </w:rPr>
        <w:t>The standard states that @showPropCell determines if a tooltip is shown for a PivotTable cell.</w:t>
      </w:r>
    </w:p>
    <w:p w:rsidR="000A156F" w:rsidRDefault="00A9721F">
      <w:pPr>
        <w:pStyle w:val="Definition-Field2"/>
      </w:pPr>
      <w:r>
        <w:t xml:space="preserve">In </w:t>
      </w:r>
      <w:r>
        <w:t>Office the value of mp@showCell, if present, takes precedence over @showPropCell.</w:t>
      </w:r>
    </w:p>
    <w:p w:rsidR="000A156F" w:rsidRDefault="00A9721F">
      <w:pPr>
        <w:pStyle w:val="Heading3"/>
      </w:pPr>
      <w:bookmarkStart w:id="1588" w:name="section_5f2cb624bb19425584b50ccc3694063f"/>
      <w:bookmarkStart w:id="1589" w:name="_Toc181683820"/>
      <w:r>
        <w:t>Part 1 Section 18.10.1.70, pivotFields (PivotTable Fields)</w:t>
      </w:r>
      <w:bookmarkEnd w:id="1588"/>
      <w:bookmarkEnd w:id="1589"/>
      <w:r>
        <w:fldChar w:fldCharType="begin"/>
      </w:r>
      <w:r>
        <w:instrText xml:space="preserve"> XE "pivotFields (PivotTable Fields)" </w:instrText>
      </w:r>
      <w:r>
        <w:fldChar w:fldCharType="end"/>
      </w:r>
    </w:p>
    <w:p w:rsidR="000A156F" w:rsidRDefault="00A9721F">
      <w:pPr>
        <w:pStyle w:val="Definition-Field"/>
      </w:pPr>
      <w:r>
        <w:t xml:space="preserve">a.   </w:t>
      </w:r>
      <w:r>
        <w:rPr>
          <w:i/>
        </w:rPr>
        <w:t>The standard does not specify a limit on the number of pivotField chil</w:t>
      </w:r>
      <w:r>
        <w:rPr>
          <w:i/>
        </w:rPr>
        <w:t>d elements.</w:t>
      </w:r>
    </w:p>
    <w:p w:rsidR="000A156F" w:rsidRDefault="00A9721F">
      <w:pPr>
        <w:pStyle w:val="Definition-Field2"/>
      </w:pPr>
      <w:r>
        <w:t>In Office, if this PivotTable is an OLAP PivotTable, then the number of pivotField elements must be less than or equal to the number of cacheField elements on the associated cache. Otherwise they must be equal.</w:t>
      </w:r>
    </w:p>
    <w:p w:rsidR="000A156F" w:rsidRDefault="00A9721F">
      <w:pPr>
        <w:pStyle w:val="Heading3"/>
      </w:pPr>
      <w:bookmarkStart w:id="1590" w:name="section_7deb007e8c6e420a8c1f12c46f901bad"/>
      <w:bookmarkStart w:id="1591" w:name="_Toc181683821"/>
      <w:r>
        <w:t>Part 1 Section 18.10.1.71, pivotH</w:t>
      </w:r>
      <w:r>
        <w:t>ierarchies (PivotTable OLAP Hierarchies)</w:t>
      </w:r>
      <w:bookmarkEnd w:id="1590"/>
      <w:bookmarkEnd w:id="1591"/>
      <w:r>
        <w:fldChar w:fldCharType="begin"/>
      </w:r>
      <w:r>
        <w:instrText xml:space="preserve"> XE "pivotHierarchies (PivotTable OLAP Hierarchies)" </w:instrText>
      </w:r>
      <w:r>
        <w:fldChar w:fldCharType="end"/>
      </w:r>
    </w:p>
    <w:p w:rsidR="000A156F" w:rsidRDefault="00A9721F">
      <w:pPr>
        <w:pStyle w:val="Definition-Field"/>
      </w:pPr>
      <w:r>
        <w:t xml:space="preserve">a.   </w:t>
      </w:r>
      <w:r>
        <w:rPr>
          <w:i/>
        </w:rPr>
        <w:t>The standard does not mention limitations on the number of child elements.</w:t>
      </w:r>
    </w:p>
    <w:p w:rsidR="000A156F" w:rsidRDefault="00A9721F">
      <w:pPr>
        <w:pStyle w:val="Definition-Field2"/>
      </w:pPr>
      <w:r>
        <w:t>Office requires that the number of child elements must be the same as the number</w:t>
      </w:r>
      <w:r>
        <w:t xml:space="preserve"> of cacheHierarchy elements plus the number of kpi elements in the PivotCacheDefinition associated with this PivotTable.</w:t>
      </w:r>
    </w:p>
    <w:p w:rsidR="000A156F" w:rsidRDefault="00A9721F">
      <w:pPr>
        <w:pStyle w:val="Heading3"/>
      </w:pPr>
      <w:bookmarkStart w:id="1592" w:name="section_70f0f8e6ea974c19a60c296040c6245b"/>
      <w:bookmarkStart w:id="1593" w:name="_Toc181683822"/>
      <w:r>
        <w:t>Part 1 Section 18.10.1.72, pivotHierarchy (OLAP Hierarchy)</w:t>
      </w:r>
      <w:bookmarkEnd w:id="1592"/>
      <w:bookmarkEnd w:id="1593"/>
      <w:r>
        <w:fldChar w:fldCharType="begin"/>
      </w:r>
      <w:r>
        <w:instrText xml:space="preserve"> XE "pivotHierarchy (OLAP Hierarchy)" </w:instrText>
      </w:r>
      <w:r>
        <w:fldChar w:fldCharType="end"/>
      </w:r>
    </w:p>
    <w:p w:rsidR="000A156F" w:rsidRDefault="00A9721F">
      <w:pPr>
        <w:pStyle w:val="Definition-Field"/>
      </w:pPr>
      <w:r>
        <w:t xml:space="preserve">a.   </w:t>
      </w:r>
      <w:r>
        <w:rPr>
          <w:i/>
        </w:rPr>
        <w:t>The standard specifies @include</w:t>
      </w:r>
      <w:r>
        <w:rPr>
          <w:i/>
        </w:rPr>
        <w:t>NewItemsInFilter value of 1 indicates the application will show only items the user has selected; all other items will be hidden.</w:t>
      </w:r>
    </w:p>
    <w:p w:rsidR="000A156F" w:rsidRDefault="00A9721F">
      <w:r>
        <w:t xml:space="preserve">Specification of the includeNewItemsInFilter attribute applies to </w:t>
      </w:r>
      <w:r>
        <w:rPr>
          <w:b/>
        </w:rPr>
        <w:t xml:space="preserve">member </w:t>
      </w:r>
      <w:r>
        <w:t xml:space="preserve">elements in the </w:t>
      </w:r>
      <w:r>
        <w:rPr>
          <w:b/>
        </w:rPr>
        <w:t xml:space="preserve">members </w:t>
      </w:r>
      <w:r>
        <w:t>children (there can be more t</w:t>
      </w:r>
      <w:r>
        <w:t xml:space="preserve">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0A156F" w:rsidRDefault="00A9721F">
      <w:r>
        <w:t>A value of 1, or true, indica</w:t>
      </w:r>
      <w:r>
        <w:t xml:space="preserve">tes the specified </w:t>
      </w:r>
      <w:r>
        <w:rPr>
          <w:b/>
        </w:rPr>
        <w:t>members</w:t>
      </w:r>
      <w:r>
        <w:t xml:space="preserve"> and </w:t>
      </w:r>
      <w:r>
        <w:rPr>
          <w:b/>
        </w:rPr>
        <w:t>items</w:t>
      </w:r>
      <w:r>
        <w:t xml:space="preserve"> represent items that are excluded from the PivotTable, along with their descendants. </w:t>
      </w:r>
    </w:p>
    <w:p w:rsidR="000A156F" w:rsidRDefault="00A9721F">
      <w:r>
        <w:t xml:space="preserve">A value of 0, or false, indicates the specified </w:t>
      </w:r>
      <w:r>
        <w:rPr>
          <w:b/>
        </w:rPr>
        <w:t>members</w:t>
      </w:r>
      <w:r>
        <w:t xml:space="preserve"> and </w:t>
      </w:r>
      <w:r>
        <w:rPr>
          <w:b/>
        </w:rPr>
        <w:t>items</w:t>
      </w:r>
      <w:r>
        <w:t xml:space="preserve"> represent items that are included in the PivotTable, along with thei</w:t>
      </w:r>
      <w:r>
        <w:t>r ascendants and descendants.</w:t>
      </w:r>
    </w:p>
    <w:p w:rsidR="000A156F" w:rsidRDefault="00A9721F">
      <w:pPr>
        <w:pStyle w:val="Definition-Field"/>
      </w:pPr>
      <w:r>
        <w:t xml:space="preserve">b.   </w:t>
      </w:r>
      <w:r>
        <w:rPr>
          <w:i/>
        </w:rPr>
        <w:t>The standard specifies @dragToData indicates whether the user is allowed to put this hierarchy into the data area of the view.</w:t>
      </w:r>
    </w:p>
    <w:p w:rsidR="000A156F" w:rsidRDefault="00A9721F">
      <w:pPr>
        <w:pStyle w:val="Definition-Field2"/>
      </w:pPr>
      <w:r>
        <w:t xml:space="preserve">Office specifies @dragToData value of indicates the user can put this hierarchy into the data </w:t>
      </w:r>
      <w:r>
        <w:t>area of the PivotTable, subject to other constraints that may apply.</w:t>
      </w:r>
    </w:p>
    <w:p w:rsidR="000A156F" w:rsidRDefault="00A9721F">
      <w:pPr>
        <w:pStyle w:val="Definition-Field"/>
      </w:pPr>
      <w:r>
        <w:lastRenderedPageBreak/>
        <w:t xml:space="preserve">c.   </w:t>
      </w:r>
      <w:r>
        <w:rPr>
          <w:i/>
        </w:rPr>
        <w:t>The standard specifies @dragToRow indicates whether the user is allowed to put this hierarchy into the row area of the PivotTable.</w:t>
      </w:r>
    </w:p>
    <w:p w:rsidR="000A156F" w:rsidRDefault="00A9721F">
      <w:pPr>
        <w:pStyle w:val="Definition-Field2"/>
      </w:pPr>
      <w:r>
        <w:t>Office specifies @dragToRow value of 1 true indicat</w:t>
      </w:r>
      <w:r>
        <w:t>es the user can put this hierarchy into the row area of the PivotTable, subject to other constraints that may apply.</w:t>
      </w:r>
    </w:p>
    <w:p w:rsidR="000A156F" w:rsidRDefault="00A9721F">
      <w:pPr>
        <w:pStyle w:val="Definition-Field"/>
      </w:pPr>
      <w:r>
        <w:t xml:space="preserve">d.   </w:t>
      </w:r>
      <w:r>
        <w:rPr>
          <w:i/>
        </w:rPr>
        <w:t>The standard does not specify a length limit for the caption attribute.</w:t>
      </w:r>
    </w:p>
    <w:p w:rsidR="000A156F" w:rsidRDefault="00A9721F">
      <w:pPr>
        <w:pStyle w:val="Definition-Field2"/>
      </w:pPr>
      <w:r>
        <w:t>Office specifies a limit of less than or equal to 65535 charac</w:t>
      </w:r>
      <w:r>
        <w:t>ters for the caption attribute.</w:t>
      </w:r>
    </w:p>
    <w:p w:rsidR="000A156F" w:rsidRDefault="00A9721F">
      <w:pPr>
        <w:pStyle w:val="Definition-Field"/>
      </w:pPr>
      <w:r>
        <w:t xml:space="preserve">e.   </w:t>
      </w:r>
      <w:r>
        <w:rPr>
          <w:i/>
        </w:rPr>
        <w:t>The standard specifies @dragToPage indicates whether the user is allowed to put this hierarchy into the page area of the PivotTable.</w:t>
      </w:r>
    </w:p>
    <w:p w:rsidR="000A156F" w:rsidRDefault="00A9721F">
      <w:pPr>
        <w:pStyle w:val="Definition-Field2"/>
      </w:pPr>
      <w:r>
        <w:t>Office specifies @dragToPage value of 1 indicates the user can put this hierarchy into</w:t>
      </w:r>
      <w:r>
        <w:t xml:space="preserve"> the page area of the PivotTable, subject to other constraints that may apply.</w:t>
      </w:r>
    </w:p>
    <w:p w:rsidR="000A156F" w:rsidRDefault="00A9721F">
      <w:pPr>
        <w:pStyle w:val="Definition-Field"/>
      </w:pPr>
      <w:r>
        <w:t xml:space="preserve">f.   </w:t>
      </w:r>
      <w:r>
        <w:rPr>
          <w:i/>
        </w:rPr>
        <w:t>In the standard when @dragToCol is 0, this hierarchy cannot be removed.</w:t>
      </w:r>
    </w:p>
    <w:p w:rsidR="000A156F" w:rsidRDefault="00A9721F">
      <w:pPr>
        <w:pStyle w:val="Definition-Field2"/>
      </w:pPr>
      <w:r>
        <w:t>Office specifies when @dragToCol is 0 the user cannot put this hierarchy into the column area of the</w:t>
      </w:r>
      <w:r>
        <w:t xml:space="preserve"> PivotTable. When the value is 1 the user can put this hierarchy into the column area of the PivotTable, subject to other constraints that may apply.</w:t>
      </w:r>
    </w:p>
    <w:p w:rsidR="000A156F" w:rsidRDefault="00A9721F">
      <w:pPr>
        <w:pStyle w:val="Heading3"/>
      </w:pPr>
      <w:bookmarkStart w:id="1594" w:name="section_7b6c9fe631584a228a8abbf584ecf45f"/>
      <w:bookmarkStart w:id="1595" w:name="_Toc181683823"/>
      <w:r>
        <w:t>Part 1 Section 18.10.1.73, pivotTableDefinition (PivotTable Definition)</w:t>
      </w:r>
      <w:bookmarkEnd w:id="1594"/>
      <w:bookmarkEnd w:id="1595"/>
      <w:r>
        <w:fldChar w:fldCharType="begin"/>
      </w:r>
      <w:r>
        <w:instrText xml:space="preserve"> XE "pivotTableDefinition (PivotTable Definition)"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204cff307be4db39524f802d03fa17c">
        <w:r>
          <w:rPr>
            <w:rStyle w:val="Hyperlink"/>
          </w:rPr>
          <w:t>raf, §18.11.1.8(b)</w:t>
        </w:r>
      </w:hyperlink>
      <w:r>
        <w:rPr>
          <w:i/>
        </w:rPr>
        <w:t>.</w:t>
      </w:r>
    </w:p>
    <w:p w:rsidR="000A156F" w:rsidRDefault="00A9721F">
      <w:pPr>
        <w:pStyle w:val="Definition-Field"/>
      </w:pPr>
      <w:r>
        <w:t xml:space="preserve">a.   </w:t>
      </w:r>
      <w:r>
        <w:rPr>
          <w:i/>
        </w:rPr>
        <w:t xml:space="preserve">The standard does not </w:t>
      </w:r>
      <w:r>
        <w:rPr>
          <w:i/>
        </w:rPr>
        <w:t>specify a default value for the dataPosition attribute.</w:t>
      </w:r>
    </w:p>
    <w:p w:rsidR="000A156F" w:rsidRDefault="00A9721F">
      <w:pPr>
        <w:pStyle w:val="Definition-Field2"/>
      </w:pPr>
      <w:r>
        <w:t>Excel uses a default value of 0 for this attribute.</w:t>
      </w:r>
    </w:p>
    <w:p w:rsidR="000A156F" w:rsidRDefault="00A9721F">
      <w:pPr>
        <w:pStyle w:val="Definition-Field"/>
      </w:pPr>
      <w:r>
        <w:t xml:space="preserve">b.   </w:t>
      </w:r>
      <w:r>
        <w:rPr>
          <w:i/>
        </w:rPr>
        <w:t>The standard does not define a default value for @autoFormatId.</w:t>
      </w:r>
    </w:p>
    <w:p w:rsidR="000A156F" w:rsidRDefault="00A9721F">
      <w:pPr>
        <w:pStyle w:val="Definition-Field2"/>
      </w:pPr>
      <w:r>
        <w:t>Office defines a default value for @autoFormatId of 1.</w:t>
      </w:r>
    </w:p>
    <w:p w:rsidR="000A156F" w:rsidRDefault="00A9721F">
      <w:pPr>
        <w:pStyle w:val="Definition-Field"/>
      </w:pPr>
      <w:r>
        <w:t xml:space="preserve">c.   </w:t>
      </w:r>
      <w:r>
        <w:rPr>
          <w:i/>
        </w:rPr>
        <w:t>The standard descri</w:t>
      </w:r>
      <w:r>
        <w:rPr>
          <w:i/>
        </w:rPr>
        <w:t>bes the mdxSubqueries attribute.</w:t>
      </w:r>
    </w:p>
    <w:p w:rsidR="000A156F" w:rsidRDefault="00A9721F">
      <w:pPr>
        <w:pStyle w:val="Definition-Field2"/>
      </w:pPr>
      <w:r>
        <w:t>Office does not use the mdxSubqueries attribute.</w:t>
      </w:r>
    </w:p>
    <w:p w:rsidR="000A156F" w:rsidRDefault="00A9721F">
      <w:pPr>
        <w:pStyle w:val="Definition-Field"/>
      </w:pPr>
      <w:r>
        <w:t xml:space="preserve">d.   </w:t>
      </w:r>
      <w:r>
        <w:rPr>
          <w:i/>
        </w:rPr>
        <w:t>The standard states for @asteriskTotals that 1 or true means that asterisks will be displayed.</w:t>
      </w:r>
    </w:p>
    <w:p w:rsidR="000A156F" w:rsidRDefault="00A9721F">
      <w:pPr>
        <w:pStyle w:val="Definition-Field2"/>
      </w:pPr>
      <w:r>
        <w:t>In Office, a value for @asteriskTotals of 1 or true means that asterisks w</w:t>
      </w:r>
      <w:r>
        <w:t>ill not be displayed.</w:t>
      </w:r>
    </w:p>
    <w:p w:rsidR="000A156F" w:rsidRDefault="00A9721F">
      <w:pPr>
        <w:pStyle w:val="Definition-Field"/>
      </w:pPr>
      <w:r>
        <w:t xml:space="preserve">e.   </w:t>
      </w:r>
      <w:r>
        <w:rPr>
          <w:i/>
        </w:rPr>
        <w:t>The standard does not limit the length of the value of the dataCaption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f.   </w:t>
      </w:r>
      <w:r>
        <w:rPr>
          <w:i/>
        </w:rPr>
        <w:t>The standard does not limit the length of the value of the grandTota</w:t>
      </w:r>
      <w:r>
        <w:rPr>
          <w:i/>
        </w:rPr>
        <w:t>lCaption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g.   </w:t>
      </w:r>
      <w:r>
        <w:rPr>
          <w:i/>
        </w:rPr>
        <w:t>The standard does not limit the length of the value of the errorCaption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h.   </w:t>
      </w:r>
      <w:r>
        <w:rPr>
          <w:i/>
        </w:rPr>
        <w:t>The standard does not limit the length of the value of the missingCaption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i.   </w:t>
      </w:r>
      <w:r>
        <w:rPr>
          <w:i/>
        </w:rPr>
        <w:t>The standard does not limit the length of the value of the pageStyle attribute.</w:t>
      </w:r>
    </w:p>
    <w:p w:rsidR="000A156F" w:rsidRDefault="00A9721F">
      <w:pPr>
        <w:pStyle w:val="Definition-Field2"/>
      </w:pPr>
      <w:r>
        <w:t>Excel r</w:t>
      </w:r>
      <w:r>
        <w:t>estricts the value of this attribute to be at most 255 characters.</w:t>
      </w:r>
    </w:p>
    <w:p w:rsidR="000A156F" w:rsidRDefault="00A9721F">
      <w:pPr>
        <w:pStyle w:val="Definition-Field"/>
      </w:pPr>
      <w:r>
        <w:lastRenderedPageBreak/>
        <w:t xml:space="preserve">j.   </w:t>
      </w:r>
      <w:r>
        <w:rPr>
          <w:i/>
        </w:rPr>
        <w:t>The standard does not limit the length of the value of the pivotTableStyle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k.   </w:t>
      </w:r>
      <w:r>
        <w:rPr>
          <w:i/>
        </w:rPr>
        <w:t>The standard does n</w:t>
      </w:r>
      <w:r>
        <w:rPr>
          <w:i/>
        </w:rPr>
        <w:t>ot limit the length of the value of the vacatedStyle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l.   </w:t>
      </w:r>
      <w:r>
        <w:rPr>
          <w:i/>
        </w:rPr>
        <w:t>The standard does not limit the length of the value of the tag attribute.</w:t>
      </w:r>
    </w:p>
    <w:p w:rsidR="000A156F" w:rsidRDefault="00A9721F">
      <w:pPr>
        <w:pStyle w:val="Definition-Field2"/>
      </w:pPr>
      <w:r>
        <w:t>Excel restricts the value of this attri</w:t>
      </w:r>
      <w:r>
        <w:t>bute to be at most 255 characters.</w:t>
      </w:r>
    </w:p>
    <w:p w:rsidR="000A156F" w:rsidRDefault="00A9721F">
      <w:pPr>
        <w:pStyle w:val="Definition-Field"/>
      </w:pPr>
      <w:r>
        <w:t xml:space="preserve">m.   </w:t>
      </w:r>
      <w:r>
        <w:rPr>
          <w:i/>
        </w:rPr>
        <w:t>The standard does not limit the length of the value of the rowHeaderCaption attribute.</w:t>
      </w:r>
    </w:p>
    <w:p w:rsidR="000A156F" w:rsidRDefault="00A9721F">
      <w:pPr>
        <w:pStyle w:val="Definition-Field2"/>
      </w:pPr>
      <w:r>
        <w:t>Excel restricts the value of this attribute to be at most 255 characters when the createdVersion attribute on the pivotTable elem</w:t>
      </w:r>
      <w:r>
        <w:t>ent is less than 3 and 32767 characters otherwise.</w:t>
      </w:r>
    </w:p>
    <w:p w:rsidR="000A156F" w:rsidRDefault="00A9721F">
      <w:pPr>
        <w:pStyle w:val="Definition-Field"/>
      </w:pPr>
      <w:r>
        <w:t xml:space="preserve">n.   </w:t>
      </w:r>
      <w:r>
        <w:rPr>
          <w:i/>
        </w:rPr>
        <w:t>The standard does not limit the length of the value of the name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o.   </w:t>
      </w:r>
      <w:r>
        <w:rPr>
          <w:i/>
        </w:rPr>
        <w:t xml:space="preserve">The standard says that, for </w:t>
      </w:r>
      <w:r>
        <w:rPr>
          <w:i/>
        </w:rPr>
        <w:t>@preserveFormatting, 1 or true specifies to discard formatting on refresh.</w:t>
      </w:r>
    </w:p>
    <w:p w:rsidR="000A156F" w:rsidRDefault="00A9721F">
      <w:pPr>
        <w:pStyle w:val="Definition-Field2"/>
      </w:pPr>
      <w:r>
        <w:t>Office interprets a value of 1 or true for @preserveFormatting to indicate the formatting will be preserved and 0 or false to indicate the formatting will be discarded.</w:t>
      </w:r>
    </w:p>
    <w:p w:rsidR="000A156F" w:rsidRDefault="00A9721F">
      <w:pPr>
        <w:pStyle w:val="Definition-Field"/>
      </w:pPr>
      <w:r>
        <w:t xml:space="preserve">p.   </w:t>
      </w:r>
      <w:r>
        <w:rPr>
          <w:i/>
        </w:rPr>
        <w:t>The sta</w:t>
      </w:r>
      <w:r>
        <w:rPr>
          <w:i/>
        </w:rPr>
        <w:t>ndard's @subtotalHiddenItems definition refers to the data area of the pivotTable.</w:t>
      </w:r>
    </w:p>
    <w:p w:rsidR="000A156F" w:rsidRDefault="00A9721F">
      <w:pPr>
        <w:pStyle w:val="Definition-Field2"/>
      </w:pPr>
      <w:r>
        <w:t>Office defines @subtotalHiddenItems to indicate whether hidden items in the page area of the pivotTable are used for subtotal calculation.</w:t>
      </w:r>
    </w:p>
    <w:p w:rsidR="000A156F" w:rsidRDefault="00A9721F">
      <w:pPr>
        <w:pStyle w:val="Definition-Field"/>
      </w:pPr>
      <w:r>
        <w:t xml:space="preserve">q.   </w:t>
      </w:r>
      <w:r>
        <w:rPr>
          <w:i/>
        </w:rPr>
        <w:t>The standard says that a valu</w:t>
      </w:r>
      <w:r>
        <w:rPr>
          <w:i/>
        </w:rPr>
        <w:t>e of 1 for @immersive means immersive is off, and that 0 means it is on.</w:t>
      </w:r>
    </w:p>
    <w:p w:rsidR="000A156F" w:rsidRDefault="00A9721F">
      <w:pPr>
        <w:pStyle w:val="Definition-Field2"/>
      </w:pPr>
      <w:r>
        <w:t>Office specifies a value of 1 for @immersive means that the immersive experience is left on, and a value of 0 means it is turned off.</w:t>
      </w:r>
    </w:p>
    <w:p w:rsidR="000A156F" w:rsidRDefault="00A9721F">
      <w:pPr>
        <w:pStyle w:val="Definition-Field"/>
      </w:pPr>
      <w:r>
        <w:t xml:space="preserve">r.   </w:t>
      </w:r>
      <w:r>
        <w:rPr>
          <w:i/>
        </w:rPr>
        <w:t>The standard does not explain what the publi</w:t>
      </w:r>
      <w:r>
        <w:rPr>
          <w:i/>
        </w:rPr>
        <w:t>shed attribute is used for.</w:t>
      </w:r>
    </w:p>
    <w:p w:rsidR="000A156F" w:rsidRDefault="00A9721F">
      <w:pPr>
        <w:pStyle w:val="Definition-Field2"/>
      </w:pPr>
      <w:r>
        <w:t>Office uses the published attribute to indicate that the PivotTable is published for display in a Web browser.</w:t>
      </w:r>
    </w:p>
    <w:p w:rsidR="000A156F" w:rsidRDefault="00A9721F">
      <w:pPr>
        <w:pStyle w:val="Definition-Field"/>
      </w:pPr>
      <w:r>
        <w:t xml:space="preserve">s.   </w:t>
      </w:r>
      <w:r>
        <w:rPr>
          <w:i/>
        </w:rPr>
        <w:t>The standard does not list valid values for the autoFormatId attribute.</w:t>
      </w:r>
    </w:p>
    <w:p w:rsidR="000A156F" w:rsidRDefault="00A9721F">
      <w:pPr>
        <w:pStyle w:val="Definition-Field2"/>
      </w:pPr>
      <w:r>
        <w:t xml:space="preserve">Office, in the context of </w:t>
      </w:r>
      <w:r>
        <w:t>pivotTableDefinition, requires that the value of the autoFormatId attribute be less than 21 or greater than 4096 and less than or equal to 4117.</w:t>
      </w:r>
    </w:p>
    <w:p w:rsidR="000A156F" w:rsidRDefault="00A9721F">
      <w:pPr>
        <w:pStyle w:val="Definition-Field"/>
      </w:pPr>
      <w:r>
        <w:t xml:space="preserve">t.   </w:t>
      </w:r>
      <w:r>
        <w:rPr>
          <w:i/>
        </w:rPr>
        <w:t>The standard does not state a default value for the applyNumberFormats attribute.</w:t>
      </w:r>
    </w:p>
    <w:p w:rsidR="000A156F" w:rsidRDefault="00A9721F">
      <w:pPr>
        <w:pStyle w:val="Definition-Field2"/>
      </w:pPr>
      <w:r>
        <w:t>Excel uses a default val</w:t>
      </w:r>
      <w:r>
        <w:t>ue of 0 for this attribute.</w:t>
      </w:r>
    </w:p>
    <w:p w:rsidR="000A156F" w:rsidRDefault="00A9721F">
      <w:pPr>
        <w:pStyle w:val="Definition-Field"/>
      </w:pPr>
      <w:r>
        <w:t xml:space="preserve">u.   </w:t>
      </w:r>
      <w:r>
        <w:rPr>
          <w:i/>
        </w:rPr>
        <w:t>The standard does not state a default value for the applyBorderFormats attribute.</w:t>
      </w:r>
    </w:p>
    <w:p w:rsidR="000A156F" w:rsidRDefault="00A9721F">
      <w:pPr>
        <w:pStyle w:val="Definition-Field2"/>
      </w:pPr>
      <w:r>
        <w:t>Excel uses a default value of 0 for this attribute.</w:t>
      </w:r>
    </w:p>
    <w:p w:rsidR="000A156F" w:rsidRDefault="00A9721F">
      <w:pPr>
        <w:pStyle w:val="Definition-Field"/>
      </w:pPr>
      <w:r>
        <w:t xml:space="preserve">v.   </w:t>
      </w:r>
      <w:r>
        <w:rPr>
          <w:i/>
        </w:rPr>
        <w:t>The standard does not state a default value for the applyFontFormats attribute.</w:t>
      </w:r>
    </w:p>
    <w:p w:rsidR="000A156F" w:rsidRDefault="00A9721F">
      <w:pPr>
        <w:pStyle w:val="Definition-Field2"/>
      </w:pPr>
      <w:r>
        <w:t>Exce</w:t>
      </w:r>
      <w:r>
        <w:t>l uses a default value of 0 for this attribute.</w:t>
      </w:r>
    </w:p>
    <w:p w:rsidR="000A156F" w:rsidRDefault="00A9721F">
      <w:pPr>
        <w:pStyle w:val="Definition-Field"/>
      </w:pPr>
      <w:r>
        <w:t xml:space="preserve">w.   </w:t>
      </w:r>
      <w:r>
        <w:rPr>
          <w:i/>
        </w:rPr>
        <w:t>The standard does not state a default value for the applyPatternFormats attribute.</w:t>
      </w:r>
    </w:p>
    <w:p w:rsidR="000A156F" w:rsidRDefault="00A9721F">
      <w:pPr>
        <w:pStyle w:val="Definition-Field2"/>
      </w:pPr>
      <w:r>
        <w:t>Excel uses a default value of 0 for this attribute.</w:t>
      </w:r>
    </w:p>
    <w:p w:rsidR="000A156F" w:rsidRDefault="00A9721F">
      <w:pPr>
        <w:pStyle w:val="Definition-Field"/>
      </w:pPr>
      <w:r>
        <w:lastRenderedPageBreak/>
        <w:t xml:space="preserve">x.   </w:t>
      </w:r>
      <w:r>
        <w:rPr>
          <w:i/>
        </w:rPr>
        <w:t>The standard does not state a default value for the applyAlignm</w:t>
      </w:r>
      <w:r>
        <w:rPr>
          <w:i/>
        </w:rPr>
        <w:t>entFormats attribute.</w:t>
      </w:r>
    </w:p>
    <w:p w:rsidR="000A156F" w:rsidRDefault="00A9721F">
      <w:pPr>
        <w:pStyle w:val="Definition-Field2"/>
      </w:pPr>
      <w:r>
        <w:t>Excel uses a default value of 0 for this attribute.</w:t>
      </w:r>
    </w:p>
    <w:p w:rsidR="000A156F" w:rsidRDefault="00A9721F">
      <w:pPr>
        <w:pStyle w:val="Definition-Field"/>
      </w:pPr>
      <w:r>
        <w:t xml:space="preserve">y.   </w:t>
      </w:r>
      <w:r>
        <w:rPr>
          <w:i/>
        </w:rPr>
        <w:t>The standard does not state a default value for the applyWidthHeightFormats attribute.</w:t>
      </w:r>
    </w:p>
    <w:p w:rsidR="000A156F" w:rsidRDefault="00A9721F">
      <w:pPr>
        <w:pStyle w:val="Definition-Field2"/>
      </w:pPr>
      <w:r>
        <w:t>Excel uses a default value of 0 for this attribute.</w:t>
      </w:r>
    </w:p>
    <w:p w:rsidR="000A156F" w:rsidRDefault="00A9721F">
      <w:pPr>
        <w:pStyle w:val="Definition-Field"/>
      </w:pPr>
      <w:r>
        <w:t xml:space="preserve">z.   </w:t>
      </w:r>
      <w:r>
        <w:rPr>
          <w:i/>
        </w:rPr>
        <w:t>The standard does not limit the l</w:t>
      </w:r>
      <w:r>
        <w:rPr>
          <w:i/>
        </w:rPr>
        <w:t>ength of the value of the colHeaderCaption attribute.</w:t>
      </w:r>
    </w:p>
    <w:p w:rsidR="000A156F" w:rsidRDefault="00A9721F">
      <w:pPr>
        <w:pStyle w:val="Definition-Field2"/>
      </w:pPr>
      <w:r>
        <w:t>Excel restricts the value of this attribute to be at most 255 characters when the createdVersion attribute on the pivotTable element is less than 3 and 32767 characters otherwise.</w:t>
      </w:r>
    </w:p>
    <w:p w:rsidR="000A156F" w:rsidRDefault="00A9721F">
      <w:pPr>
        <w:pStyle w:val="Definition-Field"/>
      </w:pPr>
      <w:r>
        <w:t xml:space="preserve">aa.  </w:t>
      </w:r>
      <w:r>
        <w:rPr>
          <w:i/>
        </w:rPr>
        <w:t>The standard does</w:t>
      </w:r>
      <w:r>
        <w:rPr>
          <w:i/>
        </w:rPr>
        <w:t xml:space="preserve"> not state a maximum value for @indent.</w:t>
      </w:r>
    </w:p>
    <w:p w:rsidR="000A156F" w:rsidRDefault="00A9721F">
      <w:pPr>
        <w:pStyle w:val="Definition-Field2"/>
      </w:pPr>
      <w:r>
        <w:t>Office has a maximum value of 127 for @indent.</w:t>
      </w:r>
    </w:p>
    <w:p w:rsidR="000A156F" w:rsidRDefault="00A9721F">
      <w:pPr>
        <w:pStyle w:val="Definition-Field"/>
      </w:pPr>
      <w:r>
        <w:t xml:space="preserve">bb.  </w:t>
      </w:r>
      <w:r>
        <w:rPr>
          <w:i/>
        </w:rPr>
        <w:t>The standard does not state how to interpret the values for @indent, or the value for no indent.</w:t>
      </w:r>
    </w:p>
    <w:p w:rsidR="000A156F" w:rsidRDefault="00A9721F">
      <w:pPr>
        <w:pStyle w:val="Definition-Field2"/>
      </w:pPr>
      <w:r>
        <w:t>Office assumes that @indent contains a number that is one less than</w:t>
      </w:r>
      <w:r>
        <w:t xml:space="preserve"> the number of indent increments to apply; greater than or equal to zero and less than or equal to 127. A value of 127 indicates no indent will be used.</w:t>
      </w:r>
    </w:p>
    <w:p w:rsidR="000A156F" w:rsidRDefault="00A9721F">
      <w:pPr>
        <w:pStyle w:val="Definition-Field"/>
      </w:pPr>
      <w:r>
        <w:t xml:space="preserve">cc.  </w:t>
      </w:r>
      <w:r>
        <w:rPr>
          <w:i/>
        </w:rPr>
        <w:t>The standard does not specify a maximum value for @pageWrap.</w:t>
      </w:r>
    </w:p>
    <w:p w:rsidR="000A156F" w:rsidRDefault="00A9721F">
      <w:pPr>
        <w:pStyle w:val="Definition-Field2"/>
      </w:pPr>
      <w:r>
        <w:t xml:space="preserve">Office allows a max value of 255 for </w:t>
      </w:r>
      <w:r>
        <w:t>@pageWrap.</w:t>
      </w:r>
    </w:p>
    <w:p w:rsidR="000A156F" w:rsidRDefault="00A9721F">
      <w:pPr>
        <w:pStyle w:val="Definition-Field"/>
      </w:pPr>
      <w:r>
        <w:t xml:space="preserve">dd.  </w:t>
      </w:r>
      <w:r>
        <w:rPr>
          <w:i/>
        </w:rPr>
        <w:t>The standard does not define a default value for @rowHeaderCaption.</w:t>
      </w:r>
    </w:p>
    <w:p w:rsidR="000A156F" w:rsidRDefault="00A9721F">
      <w:pPr>
        <w:pStyle w:val="Definition-Field2"/>
      </w:pPr>
      <w:r>
        <w:t>Office assumes that if @rowHeaderCaption is not present an application specific string can be used.</w:t>
      </w:r>
    </w:p>
    <w:p w:rsidR="000A156F" w:rsidRDefault="00A9721F">
      <w:pPr>
        <w:pStyle w:val="Definition-Field"/>
      </w:pPr>
      <w:r>
        <w:t xml:space="preserve">ee.  </w:t>
      </w:r>
      <w:r>
        <w:rPr>
          <w:i/>
        </w:rPr>
        <w:t>The standard specifies the showEmptyCol attribute as indicating whe</w:t>
      </w:r>
      <w:r>
        <w:rPr>
          <w:i/>
        </w:rPr>
        <w:t>ther to include empty columns in the table.</w:t>
      </w:r>
    </w:p>
    <w:p w:rsidR="000A156F" w:rsidRDefault="00A9721F">
      <w:pPr>
        <w:pStyle w:val="Definition-Field2"/>
      </w:pPr>
      <w:r>
        <w:t>Office only uses the showEmptyCol attribute for OLAP PivotTables.</w:t>
      </w:r>
    </w:p>
    <w:p w:rsidR="000A156F" w:rsidRDefault="00A9721F">
      <w:pPr>
        <w:pStyle w:val="Definition-Field"/>
      </w:pPr>
      <w:r>
        <w:t xml:space="preserve">ff.  </w:t>
      </w:r>
      <w:r>
        <w:rPr>
          <w:i/>
        </w:rPr>
        <w:t>The standard specifies @showEmptyRow as indicating whether to include empty rows in the table.</w:t>
      </w:r>
    </w:p>
    <w:p w:rsidR="000A156F" w:rsidRDefault="00A9721F">
      <w:pPr>
        <w:pStyle w:val="Definition-Field2"/>
      </w:pPr>
      <w:r>
        <w:t>Office only uses @showEmptyRow for OLAP PivotT</w:t>
      </w:r>
      <w:r>
        <w:t>ables.</w:t>
      </w:r>
    </w:p>
    <w:p w:rsidR="000A156F" w:rsidRDefault="00A9721F">
      <w:pPr>
        <w:pStyle w:val="Definition-Field"/>
      </w:pPr>
      <w:r>
        <w:t xml:space="preserve">gg.  </w:t>
      </w:r>
      <w:r>
        <w:rPr>
          <w:i/>
        </w:rPr>
        <w:t>The standard does not define when @subtotalHiddenItems should be used by an application.</w:t>
      </w:r>
    </w:p>
    <w:p w:rsidR="000A156F" w:rsidRDefault="00A9721F">
      <w:pPr>
        <w:pStyle w:val="Definition-Field2"/>
      </w:pPr>
      <w:r>
        <w:t>Office only uses the value of @subtotalHiddenItems for non-OLAP PivotTables.</w:t>
      </w:r>
    </w:p>
    <w:p w:rsidR="000A156F" w:rsidRDefault="00A9721F">
      <w:pPr>
        <w:pStyle w:val="Definition-Field"/>
      </w:pPr>
      <w:r>
        <w:t xml:space="preserve">hh.  </w:t>
      </w:r>
      <w:r>
        <w:rPr>
          <w:i/>
        </w:rPr>
        <w:t>The standard states that page fields allow filtering of the entire PivotT</w:t>
      </w:r>
      <w:r>
        <w:rPr>
          <w:i/>
        </w:rPr>
        <w:t>able report to display data for a single item or all of the items.</w:t>
      </w:r>
    </w:p>
    <w:p w:rsidR="000A156F" w:rsidRDefault="00A9721F">
      <w:pPr>
        <w:pStyle w:val="Definition-Field2"/>
      </w:pPr>
      <w:r>
        <w:t>In Office, page fields allow filtering to display data for multiple items.</w:t>
      </w:r>
    </w:p>
    <w:p w:rsidR="000A156F" w:rsidRDefault="00A9721F">
      <w:pPr>
        <w:pStyle w:val="Heading3"/>
      </w:pPr>
      <w:bookmarkStart w:id="1596" w:name="section_320febb51cfe47b3ae76f2eaad735193"/>
      <w:bookmarkStart w:id="1597" w:name="_Toc181683824"/>
      <w:r>
        <w:t>Part 1 Section 18.10.1.74, pivotTableStyleInfo (PivotTable Style)</w:t>
      </w:r>
      <w:bookmarkEnd w:id="1596"/>
      <w:bookmarkEnd w:id="1597"/>
      <w:r>
        <w:fldChar w:fldCharType="begin"/>
      </w:r>
      <w:r>
        <w:instrText xml:space="preserve"> XE "pivotTableStyleInfo (PivotTable Style)" </w:instrText>
      </w:r>
      <w:r>
        <w:fldChar w:fldCharType="end"/>
      </w:r>
    </w:p>
    <w:p w:rsidR="000A156F" w:rsidRDefault="00A9721F">
      <w:pPr>
        <w:pStyle w:val="Definition-Field"/>
      </w:pPr>
      <w:r>
        <w:t>a</w:t>
      </w:r>
      <w:r>
        <w:t xml:space="preserve">.   </w:t>
      </w:r>
      <w:r>
        <w:rPr>
          <w:i/>
        </w:rPr>
        <w:t>The standard defines the @showLastColumn to determine if the last column of formatting is shown.</w:t>
      </w:r>
    </w:p>
    <w:p w:rsidR="000A156F" w:rsidRDefault="00A9721F">
      <w:pPr>
        <w:pStyle w:val="Definition-Field2"/>
      </w:pPr>
      <w:r>
        <w:t>Office ignores this attribute.</w:t>
      </w:r>
    </w:p>
    <w:p w:rsidR="000A156F" w:rsidRDefault="00A9721F">
      <w:pPr>
        <w:pStyle w:val="Definition-Field"/>
      </w:pPr>
      <w:r>
        <w:t xml:space="preserve">b.   </w:t>
      </w:r>
      <w:r>
        <w:rPr>
          <w:i/>
        </w:rPr>
        <w:t>The standard does not specify a default value for the showRowHeaders attribute.</w:t>
      </w:r>
    </w:p>
    <w:p w:rsidR="000A156F" w:rsidRDefault="00A9721F">
      <w:pPr>
        <w:pStyle w:val="Definition-Field2"/>
      </w:pPr>
      <w:r>
        <w:t>Excel uses a default value of 0 for thi</w:t>
      </w:r>
      <w:r>
        <w:t>s attribute.</w:t>
      </w:r>
    </w:p>
    <w:p w:rsidR="000A156F" w:rsidRDefault="00A9721F">
      <w:pPr>
        <w:pStyle w:val="Definition-Field"/>
      </w:pPr>
      <w:r>
        <w:t xml:space="preserve">c.   </w:t>
      </w:r>
      <w:r>
        <w:rPr>
          <w:i/>
        </w:rPr>
        <w:t>The standard does not specify a default value for the showRowStripes attribute.</w:t>
      </w:r>
    </w:p>
    <w:p w:rsidR="000A156F" w:rsidRDefault="00A9721F">
      <w:pPr>
        <w:pStyle w:val="Definition-Field2"/>
      </w:pPr>
      <w:r>
        <w:lastRenderedPageBreak/>
        <w:t>Excel uses a default value of 0 for this attribute.</w:t>
      </w:r>
    </w:p>
    <w:p w:rsidR="000A156F" w:rsidRDefault="00A9721F">
      <w:pPr>
        <w:pStyle w:val="Definition-Field"/>
      </w:pPr>
      <w:r>
        <w:t xml:space="preserve">d.   </w:t>
      </w:r>
      <w:r>
        <w:rPr>
          <w:i/>
        </w:rPr>
        <w:t>The standard does not specify a default value for the showColStripes attribute.</w:t>
      </w:r>
    </w:p>
    <w:p w:rsidR="000A156F" w:rsidRDefault="00A9721F">
      <w:pPr>
        <w:pStyle w:val="Definition-Field2"/>
      </w:pPr>
      <w:r>
        <w:t xml:space="preserve">Excel uses a default </w:t>
      </w:r>
      <w:r>
        <w:t>value of 0 for this attribute.</w:t>
      </w:r>
    </w:p>
    <w:p w:rsidR="000A156F" w:rsidRDefault="00A9721F">
      <w:pPr>
        <w:pStyle w:val="Definition-Field"/>
      </w:pPr>
      <w:r>
        <w:t xml:space="preserve">e.   </w:t>
      </w:r>
      <w:r>
        <w:rPr>
          <w:i/>
        </w:rPr>
        <w:t>The standard does not specify a default value for the showColHeaders attribute.</w:t>
      </w:r>
    </w:p>
    <w:p w:rsidR="000A156F" w:rsidRDefault="00A9721F">
      <w:pPr>
        <w:pStyle w:val="Definition-Field2"/>
      </w:pPr>
      <w:r>
        <w:t>Excel uses a default value of 0 for this attribute.</w:t>
      </w:r>
    </w:p>
    <w:p w:rsidR="000A156F" w:rsidRDefault="00A9721F">
      <w:pPr>
        <w:pStyle w:val="Definition-Field"/>
      </w:pPr>
      <w:r>
        <w:t xml:space="preserve">f.   </w:t>
      </w:r>
      <w:r>
        <w:rPr>
          <w:i/>
        </w:rPr>
        <w:t>The standard does not limit the length of the value of the name attribute.</w:t>
      </w:r>
    </w:p>
    <w:p w:rsidR="000A156F" w:rsidRDefault="00A9721F">
      <w:pPr>
        <w:pStyle w:val="Definition-Field2"/>
      </w:pPr>
      <w:r>
        <w:t>Excel re</w:t>
      </w:r>
      <w:r>
        <w:t>stricts the value of this attribute to be at most 255 characters.</w:t>
      </w:r>
    </w:p>
    <w:p w:rsidR="000A156F" w:rsidRDefault="00A9721F">
      <w:pPr>
        <w:pStyle w:val="Heading3"/>
      </w:pPr>
      <w:bookmarkStart w:id="1598" w:name="section_17df2d7dd5bd4329906b1d4b4adc0c02"/>
      <w:bookmarkStart w:id="1599" w:name="_Toc181683825"/>
      <w:r>
        <w:t>Part 1 Section 18.10.1.75, query (Query)</w:t>
      </w:r>
      <w:bookmarkEnd w:id="1598"/>
      <w:bookmarkEnd w:id="1599"/>
      <w:r>
        <w:fldChar w:fldCharType="begin"/>
      </w:r>
      <w:r>
        <w:instrText xml:space="preserve"> XE "query (Query)" </w:instrText>
      </w:r>
      <w:r>
        <w:fldChar w:fldCharType="end"/>
      </w:r>
    </w:p>
    <w:p w:rsidR="000A156F" w:rsidRDefault="00A9721F">
      <w:pPr>
        <w:pStyle w:val="Definition-Field"/>
      </w:pPr>
      <w:r>
        <w:t xml:space="preserve">a.   </w:t>
      </w:r>
      <w:r>
        <w:rPr>
          <w:i/>
        </w:rPr>
        <w:t>The standard allows the mdx attribute to be any ST_Xstring.</w:t>
      </w:r>
    </w:p>
    <w:p w:rsidR="000A156F" w:rsidRDefault="00A9721F">
      <w:pPr>
        <w:pStyle w:val="Definition-Field2"/>
      </w:pPr>
      <w:r>
        <w:t>Office requires that the mdx attribute be less than 65535 char</w:t>
      </w:r>
      <w:r>
        <w:t>acters in length.</w:t>
      </w:r>
    </w:p>
    <w:p w:rsidR="000A156F" w:rsidRDefault="00A9721F">
      <w:pPr>
        <w:pStyle w:val="Heading3"/>
      </w:pPr>
      <w:bookmarkStart w:id="1600" w:name="section_f1a0020af88a4f86b0d6cc59f8332454"/>
      <w:bookmarkStart w:id="1601" w:name="_Toc181683826"/>
      <w:r>
        <w:t>Part 1 Section 18.10.1.77, r (PivotCache Record)</w:t>
      </w:r>
      <w:bookmarkEnd w:id="1600"/>
      <w:bookmarkEnd w:id="1601"/>
      <w:r>
        <w:fldChar w:fldCharType="begin"/>
      </w:r>
      <w:r>
        <w:instrText xml:space="preserve"> XE "r (PivotCache Record)" </w:instrText>
      </w:r>
      <w:r>
        <w:fldChar w:fldCharType="end"/>
      </w:r>
    </w:p>
    <w:p w:rsidR="000A156F" w:rsidRDefault="00A9721F">
      <w:pPr>
        <w:pStyle w:val="Definition-Field"/>
      </w:pPr>
      <w:r>
        <w:t xml:space="preserve">a.   </w:t>
      </w:r>
      <w:r>
        <w:rPr>
          <w:i/>
        </w:rPr>
        <w:t>The standard does not specify restriction on the number of child elements.</w:t>
      </w:r>
    </w:p>
    <w:p w:rsidR="000A156F" w:rsidRDefault="00A9721F">
      <w:pPr>
        <w:pStyle w:val="Definition-Field2"/>
      </w:pPr>
      <w:r>
        <w:t xml:space="preserve">In Office, the number of child elements shall be equal to the number of </w:t>
      </w:r>
      <w:r>
        <w:t>cacheField elements with the databaseField attribute equal to 1 or true.</w:t>
      </w:r>
    </w:p>
    <w:p w:rsidR="000A156F" w:rsidRDefault="00A9721F">
      <w:pPr>
        <w:pStyle w:val="Heading3"/>
      </w:pPr>
      <w:bookmarkStart w:id="1602" w:name="section_26ccde017f1e47eb997380dad81e6e0e"/>
      <w:bookmarkStart w:id="1603" w:name="_Toc181683827"/>
      <w:r>
        <w:t>Part 1 Section 18.10.1.78, rangePr (Range Grouping Properties)</w:t>
      </w:r>
      <w:bookmarkEnd w:id="1602"/>
      <w:bookmarkEnd w:id="1603"/>
      <w:r>
        <w:fldChar w:fldCharType="begin"/>
      </w:r>
      <w:r>
        <w:instrText xml:space="preserve"> XE "rangePr (Range Grouping Properties)" </w:instrText>
      </w:r>
      <w:r>
        <w:fldChar w:fldCharType="end"/>
      </w:r>
    </w:p>
    <w:p w:rsidR="000A156F" w:rsidRDefault="00A9721F">
      <w:pPr>
        <w:pStyle w:val="Definition-Field"/>
      </w:pPr>
      <w:r>
        <w:t xml:space="preserve">a.   </w:t>
      </w:r>
      <w:r>
        <w:rPr>
          <w:i/>
        </w:rPr>
        <w:t>The standard does not specify restrictions for @groupBy in case of pare</w:t>
      </w:r>
      <w:r>
        <w:rPr>
          <w:i/>
        </w:rPr>
        <w:t>nt/child relationship.</w:t>
      </w:r>
    </w:p>
    <w:p w:rsidR="000A156F" w:rsidRDefault="00A9721F">
      <w:pPr>
        <w:pStyle w:val="Definition-Field2"/>
      </w:pPr>
      <w:r>
        <w:t>In Office, if this rangePr is a part of a fieldGroup with a parent field, the groupBy in the rangePr of the parent must have a value that is greater than the groupBy in this rangePr.</w:t>
      </w:r>
    </w:p>
    <w:p w:rsidR="000A156F" w:rsidRDefault="00A9721F">
      <w:pPr>
        <w:pStyle w:val="Definition-Field"/>
      </w:pPr>
      <w:r>
        <w:t xml:space="preserve">b.   </w:t>
      </w:r>
      <w:r>
        <w:rPr>
          <w:i/>
        </w:rPr>
        <w:t>The standard does not specify restrictions fo</w:t>
      </w:r>
      <w:r>
        <w:rPr>
          <w:i/>
        </w:rPr>
        <w:t>r @groupInterval.</w:t>
      </w:r>
    </w:p>
    <w:p w:rsidR="000A156F" w:rsidRDefault="00A9721F">
      <w:pPr>
        <w:pStyle w:val="Definition-Field2"/>
      </w:pPr>
      <w:r>
        <w:t>In Office, @groupInterval must be greater than zero; if @groupBy does not equal range, the value must be an integer less than 32768.</w:t>
      </w:r>
    </w:p>
    <w:p w:rsidR="000A156F" w:rsidRDefault="00A9721F">
      <w:pPr>
        <w:pStyle w:val="Definition-Field"/>
      </w:pPr>
      <w:r>
        <w:t xml:space="preserve">c.   </w:t>
      </w:r>
      <w:r>
        <w:rPr>
          <w:i/>
        </w:rPr>
        <w:t>The standard does not specify restrictions for the @startNum and @endNum relationship.</w:t>
      </w:r>
    </w:p>
    <w:p w:rsidR="000A156F" w:rsidRDefault="00A9721F">
      <w:pPr>
        <w:pStyle w:val="Definition-Field2"/>
      </w:pPr>
      <w:r>
        <w:t>In Office, @s</w:t>
      </w:r>
      <w:r>
        <w:t>tartNum shall be less than @endNum.</w:t>
      </w:r>
    </w:p>
    <w:p w:rsidR="000A156F" w:rsidRDefault="00A9721F">
      <w:pPr>
        <w:pStyle w:val="Definition-Field"/>
      </w:pPr>
      <w:r>
        <w:t xml:space="preserve">d.   </w:t>
      </w:r>
      <w:r>
        <w:rPr>
          <w:i/>
        </w:rPr>
        <w:t>The standard does not specify restrictions for the @startDate and @endDate relationship.</w:t>
      </w:r>
    </w:p>
    <w:p w:rsidR="000A156F" w:rsidRDefault="00A9721F">
      <w:pPr>
        <w:pStyle w:val="Definition-Field2"/>
      </w:pPr>
      <w:r>
        <w:t>In Office, @startDate shall be less than @endDate.</w:t>
      </w:r>
    </w:p>
    <w:p w:rsidR="000A156F" w:rsidRDefault="00A9721F">
      <w:pPr>
        <w:pStyle w:val="Definition-Field"/>
      </w:pPr>
      <w:r>
        <w:t xml:space="preserve">e.   </w:t>
      </w:r>
      <w:r>
        <w:rPr>
          <w:i/>
        </w:rPr>
        <w:t>The standard does not specify restrictions for the startDate attribute</w:t>
      </w:r>
      <w:r>
        <w:rPr>
          <w:i/>
        </w:rPr>
        <w:t xml:space="preserve"> and startNum or endNum attribute relationships.</w:t>
      </w:r>
    </w:p>
    <w:p w:rsidR="000A156F" w:rsidRDefault="00A9721F">
      <w:pPr>
        <w:pStyle w:val="Definition-Field2"/>
      </w:pPr>
      <w:r>
        <w:t>In Office, the startDate attribute shall not be specified if the startNum or endNum attributes are specified.</w:t>
      </w:r>
    </w:p>
    <w:p w:rsidR="000A156F" w:rsidRDefault="00A9721F">
      <w:pPr>
        <w:pStyle w:val="Definition-Field"/>
      </w:pPr>
      <w:r>
        <w:t xml:space="preserve">f.   </w:t>
      </w:r>
      <w:r>
        <w:rPr>
          <w:i/>
        </w:rPr>
        <w:t xml:space="preserve">The standard does not specify restrictions for the endDate attribute and startNum or endNum </w:t>
      </w:r>
      <w:r>
        <w:rPr>
          <w:i/>
        </w:rPr>
        <w:t>attribute relationships.</w:t>
      </w:r>
    </w:p>
    <w:p w:rsidR="000A156F" w:rsidRDefault="00A9721F">
      <w:pPr>
        <w:pStyle w:val="Definition-Field2"/>
      </w:pPr>
      <w:r>
        <w:t>Office requires that the endDate attribute shall not be specified if the startNum or endNum attributes are specified.</w:t>
      </w:r>
    </w:p>
    <w:p w:rsidR="000A156F" w:rsidRDefault="00A9721F">
      <w:pPr>
        <w:pStyle w:val="Definition-Field"/>
      </w:pPr>
      <w:r>
        <w:lastRenderedPageBreak/>
        <w:t xml:space="preserve">g.   </w:t>
      </w:r>
      <w:r>
        <w:rPr>
          <w:i/>
        </w:rPr>
        <w:t>The standard does not specify the relationship between the groupBy attribute and the startDate and endDate a</w:t>
      </w:r>
      <w:r>
        <w:rPr>
          <w:i/>
        </w:rPr>
        <w:t>ttributes.</w:t>
      </w:r>
    </w:p>
    <w:p w:rsidR="000A156F" w:rsidRDefault="00A9721F">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40">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rsidR="000A156F" w:rsidRDefault="00A9721F">
      <w:pPr>
        <w:pStyle w:val="Definition-Field"/>
      </w:pPr>
      <w:r>
        <w:t xml:space="preserve">h.   </w:t>
      </w:r>
      <w:r>
        <w:rPr>
          <w:i/>
        </w:rPr>
        <w:t>In the standard no default behavior is specified for @endDate.</w:t>
      </w:r>
    </w:p>
    <w:p w:rsidR="000A156F" w:rsidRDefault="00A9721F">
      <w:pPr>
        <w:pStyle w:val="Definition-Field2"/>
      </w:pPr>
      <w:r>
        <w:t>If @endDate is not specified, Office uses values in the sharedItems collection of the enclo</w:t>
      </w:r>
      <w:r>
        <w:t>sing cacheField to calculate the ending value.</w:t>
      </w:r>
    </w:p>
    <w:p w:rsidR="000A156F" w:rsidRDefault="00A9721F">
      <w:pPr>
        <w:pStyle w:val="Definition-Field"/>
      </w:pPr>
      <w:r>
        <w:t xml:space="preserve">i.   </w:t>
      </w:r>
      <w:r>
        <w:rPr>
          <w:i/>
        </w:rPr>
        <w:t>In the standard no default behavior is specified for @startDate.</w:t>
      </w:r>
    </w:p>
    <w:p w:rsidR="000A156F" w:rsidRDefault="00A9721F">
      <w:pPr>
        <w:pStyle w:val="Definition-Field2"/>
      </w:pPr>
      <w:r>
        <w:t>If @startDate is not specified, Office uses values in the sharedItems collection of the enclosing cacheField to calculate the starting valu</w:t>
      </w:r>
      <w:r>
        <w:t>e.</w:t>
      </w:r>
    </w:p>
    <w:p w:rsidR="000A156F" w:rsidRDefault="00A9721F">
      <w:pPr>
        <w:pStyle w:val="Definition-Field"/>
      </w:pPr>
      <w:r>
        <w:t xml:space="preserve">j.   </w:t>
      </w:r>
      <w:r>
        <w:rPr>
          <w:i/>
        </w:rPr>
        <w:t>In the standard, no default behavior is specified for the endNum attribute.</w:t>
      </w:r>
    </w:p>
    <w:p w:rsidR="000A156F" w:rsidRDefault="00A9721F">
      <w:pPr>
        <w:pStyle w:val="Definition-Field2"/>
      </w:pPr>
      <w:r>
        <w:t>If the endNum attribute is not specified, Office uses values in the sharedItems collection of the enclosing cacheField to calculate the ending value.</w:t>
      </w:r>
    </w:p>
    <w:p w:rsidR="000A156F" w:rsidRDefault="00A9721F">
      <w:pPr>
        <w:pStyle w:val="Definition-Field"/>
      </w:pPr>
      <w:r>
        <w:t xml:space="preserve">k.   </w:t>
      </w:r>
      <w:r>
        <w:rPr>
          <w:i/>
        </w:rPr>
        <w:t xml:space="preserve">In the standard, </w:t>
      </w:r>
      <w:r>
        <w:rPr>
          <w:i/>
        </w:rPr>
        <w:t>no default behavior is specified for the startNum attribute.</w:t>
      </w:r>
    </w:p>
    <w:p w:rsidR="000A156F" w:rsidRDefault="00A9721F">
      <w:pPr>
        <w:pStyle w:val="Definition-Field2"/>
      </w:pPr>
      <w:r>
        <w:t>If the startNum attribute is not specified, Office uses values in the sharedItems collection of the enclosing cacheField to calculate the starting value.</w:t>
      </w:r>
    </w:p>
    <w:p w:rsidR="000A156F" w:rsidRDefault="00A9721F">
      <w:pPr>
        <w:pStyle w:val="Definition-Field"/>
      </w:pPr>
      <w:r>
        <w:t xml:space="preserve">l.   </w:t>
      </w:r>
      <w:r>
        <w:rPr>
          <w:i/>
        </w:rPr>
        <w:t>The standard does not specify restri</w:t>
      </w:r>
      <w:r>
        <w:rPr>
          <w:i/>
        </w:rPr>
        <w:t>ctions on data types for items of fields when the groupBy attribute equals range.</w:t>
      </w:r>
    </w:p>
    <w:p w:rsidR="000A156F" w:rsidRDefault="00A9721F">
      <w:pPr>
        <w:pStyle w:val="Definition-Field2"/>
      </w:pPr>
      <w:r>
        <w:t>Office requires that the sharedItems element of the enclosing cacheField have a containsString attribute equal to 0 and a containsMixedTypes attribute equal to 0 when the val</w:t>
      </w:r>
      <w:r>
        <w:t>ue of the groupBy attribute equals range.</w:t>
      </w:r>
    </w:p>
    <w:p w:rsidR="000A156F" w:rsidRDefault="00A9721F">
      <w:pPr>
        <w:pStyle w:val="Definition-Field"/>
      </w:pPr>
      <w:r>
        <w:t xml:space="preserve">m.   </w:t>
      </w:r>
      <w:r>
        <w:rPr>
          <w:i/>
        </w:rPr>
        <w:t>The standard does not place any restrictions on the value of the groupBy attribute when the value of the containsMixedType attribute on the sharedItems element of the enclosing cacheField is 1.</w:t>
      </w:r>
    </w:p>
    <w:p w:rsidR="000A156F" w:rsidRDefault="00A9721F">
      <w:pPr>
        <w:pStyle w:val="Definition-Field2"/>
      </w:pPr>
      <w:r>
        <w:t xml:space="preserve">Excel requires </w:t>
      </w:r>
      <w:r>
        <w:t>the value of the groupBy attribute to be range under this circumstance.</w:t>
      </w:r>
    </w:p>
    <w:p w:rsidR="000A156F" w:rsidRDefault="00A9721F">
      <w:pPr>
        <w:pStyle w:val="Heading3"/>
      </w:pPr>
      <w:bookmarkStart w:id="1604" w:name="section_a9b7cdf864e547c9950debe253c5c82e"/>
      <w:bookmarkStart w:id="1605" w:name="_Toc181683828"/>
      <w:r>
        <w:t>Part 1 Section 18.10.1.79, rangeSet (Range Set)</w:t>
      </w:r>
      <w:bookmarkEnd w:id="1604"/>
      <w:bookmarkEnd w:id="1605"/>
      <w:r>
        <w:fldChar w:fldCharType="begin"/>
      </w:r>
      <w:r>
        <w:instrText xml:space="preserve"> XE "rangeSet (Range Set)" </w:instrText>
      </w:r>
      <w:r>
        <w:fldChar w:fldCharType="end"/>
      </w:r>
    </w:p>
    <w:p w:rsidR="000A156F" w:rsidRDefault="00A9721F">
      <w:pPr>
        <w:pStyle w:val="Definition-Field"/>
      </w:pPr>
      <w:r>
        <w:t xml:space="preserve">a.   </w:t>
      </w:r>
      <w:r>
        <w:rPr>
          <w:i/>
        </w:rPr>
        <w:t xml:space="preserve">The standard does not describe a relationship between the i1 attribute and the count attribute of the </w:t>
      </w:r>
      <w:r>
        <w:rPr>
          <w:i/>
        </w:rPr>
        <w:t>pages element.</w:t>
      </w:r>
    </w:p>
    <w:p w:rsidR="000A156F" w:rsidRDefault="00A9721F">
      <w:pPr>
        <w:pStyle w:val="Definition-Field2"/>
      </w:pPr>
      <w:r>
        <w:t>Office expects that the i1 attribute is not present when the count attribute of the pages element is less than 1; otherwise, the presence of the i1 attribute is optional.</w:t>
      </w:r>
    </w:p>
    <w:p w:rsidR="000A156F" w:rsidRDefault="00A9721F">
      <w:pPr>
        <w:pStyle w:val="Definition-Field"/>
      </w:pPr>
      <w:r>
        <w:t xml:space="preserve">b.   </w:t>
      </w:r>
      <w:r>
        <w:rPr>
          <w:i/>
        </w:rPr>
        <w:t>In the standard, no relationship is described between @i1 and pag</w:t>
      </w:r>
      <w:r>
        <w:rPr>
          <w:i/>
        </w:rPr>
        <w:t>e@count.</w:t>
      </w:r>
    </w:p>
    <w:p w:rsidR="000A156F" w:rsidRDefault="00A9721F">
      <w:pPr>
        <w:pStyle w:val="Definition-Field2"/>
      </w:pPr>
      <w:r>
        <w:t>Office expects @i1 to be less than page@count.</w:t>
      </w:r>
    </w:p>
    <w:p w:rsidR="000A156F" w:rsidRDefault="00A9721F">
      <w:pPr>
        <w:pStyle w:val="Definition-Field"/>
      </w:pPr>
      <w:r>
        <w:t xml:space="preserve">c.   </w:t>
      </w:r>
      <w:r>
        <w:rPr>
          <w:i/>
        </w:rPr>
        <w:t>The standard does not describe a relationship between the i2 attribute and the count attribute of the pages element.</w:t>
      </w:r>
    </w:p>
    <w:p w:rsidR="000A156F" w:rsidRDefault="00A9721F">
      <w:pPr>
        <w:pStyle w:val="Definition-Field2"/>
      </w:pPr>
      <w:r>
        <w:t>Office expects that the i2 attribute is not present when the count attribute o</w:t>
      </w:r>
      <w:r>
        <w:t>f the pages element is less than 2; otherwise, the presence of the i2 attribute is optional.</w:t>
      </w:r>
    </w:p>
    <w:p w:rsidR="000A156F" w:rsidRDefault="00A9721F">
      <w:pPr>
        <w:pStyle w:val="Definition-Field"/>
      </w:pPr>
      <w:r>
        <w:lastRenderedPageBreak/>
        <w:t xml:space="preserve">d.   </w:t>
      </w:r>
      <w:r>
        <w:rPr>
          <w:i/>
        </w:rPr>
        <w:t>The standard does not describe a relationship between the i3 attribute and the count attribute of the pages element.</w:t>
      </w:r>
    </w:p>
    <w:p w:rsidR="000A156F" w:rsidRDefault="00A9721F">
      <w:pPr>
        <w:pStyle w:val="Definition-Field2"/>
      </w:pPr>
      <w:r>
        <w:t>Office expects that the i3 attribute is n</w:t>
      </w:r>
      <w:r>
        <w:t>ot present when the count attribute of the pages element is less than 3; otherwise, the presence of the i3 attribute is optional.</w:t>
      </w:r>
    </w:p>
    <w:p w:rsidR="000A156F" w:rsidRDefault="00A9721F">
      <w:pPr>
        <w:pStyle w:val="Definition-Field"/>
      </w:pPr>
      <w:r>
        <w:t xml:space="preserve">e.   </w:t>
      </w:r>
      <w:r>
        <w:rPr>
          <w:i/>
        </w:rPr>
        <w:t>The standard does not describe a relationship between the i4 attribute and the count attribute of the pages element.</w:t>
      </w:r>
    </w:p>
    <w:p w:rsidR="000A156F" w:rsidRDefault="00A9721F">
      <w:pPr>
        <w:pStyle w:val="Definition-Field2"/>
      </w:pPr>
      <w:r>
        <w:t>Offi</w:t>
      </w:r>
      <w:r>
        <w:t>ce expects that the i4 attribute is not present when the count attribute of the pages element is less than 4; otherwise, the presence of the i4 attribute is optional.</w:t>
      </w:r>
    </w:p>
    <w:p w:rsidR="000A156F" w:rsidRDefault="00A9721F">
      <w:pPr>
        <w:pStyle w:val="Definition-Field"/>
      </w:pPr>
      <w:r>
        <w:t xml:space="preserve">f.   </w:t>
      </w:r>
      <w:r>
        <w:rPr>
          <w:i/>
        </w:rPr>
        <w:t>In the standard, no relationship is described between @i2 and page@count.</w:t>
      </w:r>
    </w:p>
    <w:p w:rsidR="000A156F" w:rsidRDefault="00A9721F">
      <w:pPr>
        <w:pStyle w:val="Definition-Field2"/>
      </w:pPr>
      <w:r>
        <w:t>Office exp</w:t>
      </w:r>
      <w:r>
        <w:t>ects @i2 to be less than page@count for the second page.</w:t>
      </w:r>
    </w:p>
    <w:p w:rsidR="000A156F" w:rsidRDefault="00A9721F">
      <w:pPr>
        <w:pStyle w:val="Definition-Field"/>
      </w:pPr>
      <w:r>
        <w:t xml:space="preserve">g.   </w:t>
      </w:r>
      <w:r>
        <w:rPr>
          <w:i/>
        </w:rPr>
        <w:t>In the standard, no relationship is described between @i3 and page@count.</w:t>
      </w:r>
    </w:p>
    <w:p w:rsidR="000A156F" w:rsidRDefault="00A9721F">
      <w:pPr>
        <w:pStyle w:val="Definition-Field2"/>
      </w:pPr>
      <w:r>
        <w:t>Office expects @i3 to be less than page@count for the third page.</w:t>
      </w:r>
    </w:p>
    <w:p w:rsidR="000A156F" w:rsidRDefault="00A9721F">
      <w:pPr>
        <w:pStyle w:val="Definition-Field"/>
      </w:pPr>
      <w:r>
        <w:t xml:space="preserve">h.   </w:t>
      </w:r>
      <w:r>
        <w:rPr>
          <w:i/>
        </w:rPr>
        <w:t>In the standard, no relationship is described bet</w:t>
      </w:r>
      <w:r>
        <w:rPr>
          <w:i/>
        </w:rPr>
        <w:t>ween @i4 and page@count.</w:t>
      </w:r>
    </w:p>
    <w:p w:rsidR="000A156F" w:rsidRDefault="00A9721F">
      <w:pPr>
        <w:pStyle w:val="Definition-Field2"/>
      </w:pPr>
      <w:r>
        <w:t>Office expects @i4 to be less than page@count for the fourth page.</w:t>
      </w:r>
    </w:p>
    <w:p w:rsidR="000A156F" w:rsidRDefault="00A9721F">
      <w:pPr>
        <w:pStyle w:val="Definition-Field"/>
      </w:pPr>
      <w:r>
        <w:t xml:space="preserve">i.   </w:t>
      </w:r>
      <w:r>
        <w:rPr>
          <w:i/>
        </w:rPr>
        <w:t>The standard does not specify a relationship between @name and @ref.</w:t>
      </w:r>
    </w:p>
    <w:p w:rsidR="000A156F" w:rsidRDefault="00A9721F">
      <w:pPr>
        <w:pStyle w:val="Definition-Field2"/>
      </w:pPr>
      <w:r>
        <w:t>Office requires that @name and @ref not both be present.</w:t>
      </w:r>
    </w:p>
    <w:p w:rsidR="000A156F" w:rsidRDefault="00A9721F">
      <w:pPr>
        <w:pStyle w:val="Definition-Field"/>
      </w:pPr>
      <w:r>
        <w:t xml:space="preserve">j.   </w:t>
      </w:r>
      <w:r>
        <w:rPr>
          <w:i/>
        </w:rPr>
        <w:t>The standard states that the</w:t>
      </w:r>
      <w:r>
        <w:rPr>
          <w:i/>
        </w:rPr>
        <w:t xml:space="preserve"> values of the sheet attribute are defined by the XML Schema string datatype.</w:t>
      </w:r>
    </w:p>
    <w:p w:rsidR="000A156F" w:rsidRDefault="00A9721F">
      <w:r>
        <w:t>Office places additional restrictions on the value of the sheet attribute.  This string shall not be empty and its length shall not exceed 31 characters. This string shall not be</w:t>
      </w:r>
      <w:r>
        <w:t>gin or end with the apostrophe (0x0027) character. This string shall not contain the following characters:</w:t>
      </w:r>
    </w:p>
    <w:p w:rsidR="000A156F" w:rsidRDefault="00A9721F">
      <w:pPr>
        <w:pStyle w:val="ListParagraph"/>
        <w:numPr>
          <w:ilvl w:val="0"/>
          <w:numId w:val="69"/>
        </w:numPr>
        <w:contextualSpacing/>
      </w:pPr>
      <w:r>
        <w:t>Null (0x0000)</w:t>
      </w:r>
    </w:p>
    <w:p w:rsidR="000A156F" w:rsidRDefault="00A9721F">
      <w:pPr>
        <w:pStyle w:val="ListParagraph"/>
        <w:numPr>
          <w:ilvl w:val="0"/>
          <w:numId w:val="69"/>
        </w:numPr>
        <w:contextualSpacing/>
      </w:pPr>
      <w:r>
        <w:t>End Of Text (0x0003)</w:t>
      </w:r>
    </w:p>
    <w:p w:rsidR="000A156F" w:rsidRDefault="00A9721F">
      <w:pPr>
        <w:pStyle w:val="ListParagraph"/>
        <w:numPr>
          <w:ilvl w:val="0"/>
          <w:numId w:val="69"/>
        </w:numPr>
        <w:contextualSpacing/>
      </w:pPr>
      <w:r>
        <w:t>Asterisk (0x002A)</w:t>
      </w:r>
    </w:p>
    <w:p w:rsidR="000A156F" w:rsidRDefault="00A9721F">
      <w:pPr>
        <w:pStyle w:val="ListParagraph"/>
        <w:numPr>
          <w:ilvl w:val="0"/>
          <w:numId w:val="69"/>
        </w:numPr>
        <w:contextualSpacing/>
      </w:pPr>
      <w:r>
        <w:t>Solidus (0x002F)</w:t>
      </w:r>
    </w:p>
    <w:p w:rsidR="000A156F" w:rsidRDefault="00A9721F">
      <w:pPr>
        <w:pStyle w:val="ListParagraph"/>
        <w:numPr>
          <w:ilvl w:val="0"/>
          <w:numId w:val="69"/>
        </w:numPr>
        <w:contextualSpacing/>
      </w:pPr>
      <w:r>
        <w:t>Colon (0x003A)</w:t>
      </w:r>
    </w:p>
    <w:p w:rsidR="000A156F" w:rsidRDefault="00A9721F">
      <w:pPr>
        <w:pStyle w:val="ListParagraph"/>
        <w:numPr>
          <w:ilvl w:val="0"/>
          <w:numId w:val="69"/>
        </w:numPr>
        <w:contextualSpacing/>
      </w:pPr>
      <w:r>
        <w:t>Question Mark (0x003F)</w:t>
      </w:r>
    </w:p>
    <w:p w:rsidR="000A156F" w:rsidRDefault="00A9721F">
      <w:pPr>
        <w:pStyle w:val="ListParagraph"/>
        <w:numPr>
          <w:ilvl w:val="0"/>
          <w:numId w:val="69"/>
        </w:numPr>
        <w:contextualSpacing/>
      </w:pPr>
      <w:r>
        <w:t>Left Square Bracket (0x005B)</w:t>
      </w:r>
    </w:p>
    <w:p w:rsidR="000A156F" w:rsidRDefault="00A9721F">
      <w:pPr>
        <w:pStyle w:val="ListParagraph"/>
        <w:numPr>
          <w:ilvl w:val="0"/>
          <w:numId w:val="69"/>
        </w:numPr>
        <w:contextualSpacing/>
      </w:pPr>
      <w:r>
        <w:t xml:space="preserve">Reverse </w:t>
      </w:r>
      <w:r>
        <w:t>Solidus (0x005C)</w:t>
      </w:r>
    </w:p>
    <w:p w:rsidR="000A156F" w:rsidRDefault="00A9721F">
      <w:pPr>
        <w:pStyle w:val="ListParagraph"/>
        <w:numPr>
          <w:ilvl w:val="0"/>
          <w:numId w:val="69"/>
        </w:numPr>
      </w:pPr>
      <w:r>
        <w:t>Right Square Bracket (0x005D)802</w:t>
      </w:r>
    </w:p>
    <w:p w:rsidR="000A156F" w:rsidRDefault="00A9721F">
      <w:pPr>
        <w:pStyle w:val="Heading3"/>
      </w:pPr>
      <w:bookmarkStart w:id="1606" w:name="section_506e2fc983ba464099f6ef157679b97d"/>
      <w:bookmarkStart w:id="1607" w:name="_Toc181683829"/>
      <w:r>
        <w:t>Part 1 Section 18.10.1.83, rowHierarchyUsage (Row OLAP Hierarchies)</w:t>
      </w:r>
      <w:bookmarkEnd w:id="1606"/>
      <w:bookmarkEnd w:id="1607"/>
      <w:r>
        <w:fldChar w:fldCharType="begin"/>
      </w:r>
      <w:r>
        <w:instrText xml:space="preserve"> XE "rowHierarchyUsage (Row OLAP Hierarchies)" </w:instrText>
      </w:r>
      <w:r>
        <w:fldChar w:fldCharType="end"/>
      </w:r>
    </w:p>
    <w:p w:rsidR="000A156F" w:rsidRDefault="00A9721F">
      <w:pPr>
        <w:pStyle w:val="Definition-Field"/>
      </w:pPr>
      <w:r>
        <w:t xml:space="preserve">a.   </w:t>
      </w:r>
      <w:r>
        <w:rPr>
          <w:i/>
        </w:rPr>
        <w:t>The standard does not specify that @hierarchyUsage values cannot be duplicated.</w:t>
      </w:r>
    </w:p>
    <w:p w:rsidR="000A156F" w:rsidRDefault="00A9721F">
      <w:pPr>
        <w:pStyle w:val="Definition-Field2"/>
      </w:pPr>
      <w:r>
        <w:t>In O</w:t>
      </w:r>
      <w:r>
        <w:t>ffice, @hierarchyUsage values may not be duplicated within a rowHierarchiesUsage.</w:t>
      </w:r>
    </w:p>
    <w:p w:rsidR="000A156F" w:rsidRDefault="00A9721F">
      <w:pPr>
        <w:pStyle w:val="Definition-Field"/>
      </w:pPr>
      <w:r>
        <w:t xml:space="preserve">b.   </w:t>
      </w:r>
      <w:r>
        <w:rPr>
          <w:i/>
        </w:rPr>
        <w:t>The standard says hierarchyUsage specifies the reference to an OLAP hierarchy in a PivotTable.</w:t>
      </w:r>
    </w:p>
    <w:p w:rsidR="000A156F" w:rsidRDefault="00A9721F">
      <w:pPr>
        <w:pStyle w:val="Definition-Field2"/>
      </w:pPr>
      <w:r>
        <w:t>In Office, @hierarchyUsage must be -2 (specifying the data hierarchy) or g</w:t>
      </w:r>
      <w:r>
        <w:t>reater than or equal to 0 and less than the number of pivotHierarchy elements.</w:t>
      </w:r>
    </w:p>
    <w:p w:rsidR="000A156F" w:rsidRDefault="00A9721F">
      <w:pPr>
        <w:pStyle w:val="Heading3"/>
      </w:pPr>
      <w:bookmarkStart w:id="1608" w:name="section_666f1692575a4f56a5dd705e766fdf96"/>
      <w:bookmarkStart w:id="1609" w:name="_Toc181683830"/>
      <w:r>
        <w:t>Part 1 Section 18.10.1.85, s (Character Value)</w:t>
      </w:r>
      <w:bookmarkEnd w:id="1608"/>
      <w:bookmarkEnd w:id="1609"/>
      <w:r>
        <w:fldChar w:fldCharType="begin"/>
      </w:r>
      <w:r>
        <w:instrText xml:space="preserve"> XE "s (Character Value)" </w:instrText>
      </w:r>
      <w:r>
        <w:fldChar w:fldCharType="end"/>
      </w:r>
    </w:p>
    <w:p w:rsidR="000A156F" w:rsidRDefault="00A9721F">
      <w:pPr>
        <w:pStyle w:val="Definition-Field"/>
      </w:pPr>
      <w:r>
        <w:t xml:space="preserve">a.   </w:t>
      </w:r>
      <w:r>
        <w:rPr>
          <w:i/>
        </w:rPr>
        <w:t>The standard does not specify a default value for the u attribute.</w:t>
      </w:r>
    </w:p>
    <w:p w:rsidR="000A156F" w:rsidRDefault="00A9721F">
      <w:pPr>
        <w:pStyle w:val="Definition-Field2"/>
      </w:pPr>
      <w:r>
        <w:lastRenderedPageBreak/>
        <w:t xml:space="preserve">Excel uses a default value of </w:t>
      </w:r>
      <w:r>
        <w:t>false for this attribute.</w:t>
      </w:r>
    </w:p>
    <w:p w:rsidR="000A156F" w:rsidRDefault="00A9721F">
      <w:pPr>
        <w:pStyle w:val="Definition-Field"/>
      </w:pPr>
      <w:r>
        <w:t xml:space="preserve">b.   </w:t>
      </w:r>
      <w:r>
        <w:rPr>
          <w:i/>
        </w:rPr>
        <w:t>The standard does not specify a default value for the f attribute.</w:t>
      </w:r>
    </w:p>
    <w:p w:rsidR="000A156F" w:rsidRDefault="00A9721F">
      <w:pPr>
        <w:pStyle w:val="Definition-Field2"/>
      </w:pPr>
      <w:r>
        <w:t>Excel uses a default value of false for this attribute.</w:t>
      </w:r>
    </w:p>
    <w:p w:rsidR="000A156F" w:rsidRDefault="00A9721F">
      <w:pPr>
        <w:pStyle w:val="Definition-Field"/>
      </w:pPr>
      <w:r>
        <w:t xml:space="preserve">c.   </w:t>
      </w:r>
      <w:r>
        <w:rPr>
          <w:i/>
        </w:rPr>
        <w:t>The standard does not limit the length of the value of the c attribute.</w:t>
      </w:r>
    </w:p>
    <w:p w:rsidR="000A156F" w:rsidRDefault="00A9721F">
      <w:pPr>
        <w:pStyle w:val="Definition-Field2"/>
      </w:pPr>
      <w:r>
        <w:t>Excel restricts the value</w:t>
      </w:r>
      <w:r>
        <w:t xml:space="preserve"> of this attribute to be at most 65535 characters.</w:t>
      </w:r>
    </w:p>
    <w:p w:rsidR="000A156F" w:rsidRDefault="00A9721F">
      <w:pPr>
        <w:pStyle w:val="Definition-Field"/>
      </w:pPr>
      <w:r>
        <w:t xml:space="preserve">d.   </w:t>
      </w:r>
      <w:r>
        <w:rPr>
          <w:i/>
        </w:rPr>
        <w:t>The standard does not define a relationship between the c attribute and the datasource type.</w:t>
      </w:r>
    </w:p>
    <w:p w:rsidR="000A156F" w:rsidRDefault="00A9721F">
      <w:pPr>
        <w:pStyle w:val="Definition-Field2"/>
      </w:pPr>
      <w:r>
        <w:t>In Office, the c attribute is only used with OLAP-based PivotTables. If the value of pivotCacheDefinition@c</w:t>
      </w:r>
      <w:r>
        <w:t>reatedVersion is less than 3, this value shall not be specified.</w:t>
      </w:r>
    </w:p>
    <w:p w:rsidR="000A156F" w:rsidRDefault="00A9721F">
      <w:pPr>
        <w:pStyle w:val="Definition-Field"/>
      </w:pPr>
      <w:r>
        <w:t xml:space="preserve">e.   </w:t>
      </w:r>
      <w:r>
        <w:rPr>
          <w:i/>
        </w:rPr>
        <w:t>The standard does not state that @cp is required in certain cases.</w:t>
      </w:r>
    </w:p>
    <w:p w:rsidR="000A156F" w:rsidRDefault="00A9721F">
      <w:pPr>
        <w:pStyle w:val="Definition-Field2"/>
      </w:pPr>
      <w:r>
        <w:t>Office requires that @cp shall be equal to the count of child x elements and be less than or equal to the @mappingCount</w:t>
      </w:r>
      <w:r>
        <w:t xml:space="preserve"> of the corresponding cacheField element.</w:t>
      </w:r>
    </w:p>
    <w:p w:rsidR="000A156F" w:rsidRDefault="00A9721F">
      <w:pPr>
        <w:pStyle w:val="Definition-Field"/>
      </w:pPr>
      <w:r>
        <w:t xml:space="preserve">f.   </w:t>
      </w:r>
      <w:r>
        <w:rPr>
          <w:i/>
        </w:rPr>
        <w:t>The standard does not state that the presence of @cp is related to the datasource type.</w:t>
      </w:r>
    </w:p>
    <w:p w:rsidR="000A156F" w:rsidRDefault="00A9721F">
      <w:pPr>
        <w:pStyle w:val="Definition-Field2"/>
      </w:pPr>
      <w:r>
        <w:t>In Office, @cp is specific to OLAP-based PivotTables.</w:t>
      </w:r>
    </w:p>
    <w:p w:rsidR="000A156F" w:rsidRDefault="00A9721F">
      <w:pPr>
        <w:pStyle w:val="Definition-Field"/>
      </w:pPr>
      <w:r>
        <w:t xml:space="preserve">g.   </w:t>
      </w:r>
      <w:r>
        <w:rPr>
          <w:i/>
        </w:rPr>
        <w:t>The standard does not define a relationship between @cp and th</w:t>
      </w:r>
      <w:r>
        <w:rPr>
          <w:i/>
        </w:rPr>
        <w:t>e parent element of s.</w:t>
      </w:r>
    </w:p>
    <w:p w:rsidR="000A156F" w:rsidRDefault="00A9721F">
      <w:pPr>
        <w:pStyle w:val="Definition-Field2"/>
      </w:pPr>
      <w:r>
        <w:t>In Office, @cp applies only when the parent of the s element is of type CT_SharedItems.</w:t>
      </w:r>
    </w:p>
    <w:p w:rsidR="000A156F" w:rsidRDefault="00A9721F">
      <w:pPr>
        <w:pStyle w:val="Definition-Field"/>
      </w:pPr>
      <w:r>
        <w:t xml:space="preserve">h.   </w:t>
      </w:r>
      <w:r>
        <w:rPr>
          <w:i/>
        </w:rPr>
        <w:t>The standard does not define a relationship between @f and the parent element of s.</w:t>
      </w:r>
    </w:p>
    <w:p w:rsidR="000A156F" w:rsidRDefault="00A9721F">
      <w:pPr>
        <w:pStyle w:val="Definition-Field2"/>
      </w:pPr>
      <w:r>
        <w:t>In Office, @f applies only when the parent of the s elem</w:t>
      </w:r>
      <w:r>
        <w:t>ent is of type CT_SharedItems.</w:t>
      </w:r>
    </w:p>
    <w:p w:rsidR="000A156F" w:rsidRDefault="00A9721F">
      <w:pPr>
        <w:pStyle w:val="Definition-Field"/>
      </w:pPr>
      <w:r>
        <w:t xml:space="preserve">i.   </w:t>
      </w:r>
      <w:r>
        <w:rPr>
          <w:i/>
        </w:rPr>
        <w:t>The standard does not define a relationship between @u and the parent element of s.</w:t>
      </w:r>
    </w:p>
    <w:p w:rsidR="000A156F" w:rsidRDefault="00A9721F">
      <w:pPr>
        <w:pStyle w:val="Definition-Field2"/>
      </w:pPr>
      <w:r>
        <w:t>In Office, @u applies only when the parent of the s element is of type CT_SharedItems.</w:t>
      </w:r>
    </w:p>
    <w:p w:rsidR="000A156F" w:rsidRDefault="00A9721F">
      <w:pPr>
        <w:pStyle w:val="Definition-Field"/>
      </w:pPr>
      <w:r>
        <w:t xml:space="preserve">j.   </w:t>
      </w:r>
      <w:r>
        <w:rPr>
          <w:i/>
        </w:rPr>
        <w:t xml:space="preserve">The standard does not limit the length of </w:t>
      </w:r>
      <w:r>
        <w:rPr>
          <w:i/>
        </w:rPr>
        <w:t>the value of the v attribute.</w:t>
      </w:r>
    </w:p>
    <w:p w:rsidR="000A156F" w:rsidRDefault="00A9721F">
      <w:pPr>
        <w:pStyle w:val="Definition-Field2"/>
      </w:pPr>
      <w:r>
        <w:t>Excel restricts the value of this attribute to be at most 255 characters when the createdVersion attribute on the pivotCacheDefinition element is less than 3 and 32767 characters otherwise.</w:t>
      </w:r>
    </w:p>
    <w:p w:rsidR="000A156F" w:rsidRDefault="00A9721F">
      <w:pPr>
        <w:pStyle w:val="Heading3"/>
      </w:pPr>
      <w:bookmarkStart w:id="1610" w:name="section_19b9ace7dba048ac9112554150c1563a"/>
      <w:bookmarkStart w:id="1611" w:name="_Toc181683831"/>
      <w:r>
        <w:t>Part 1 Section 18.10.1.86, serverFor</w:t>
      </w:r>
      <w:r>
        <w:t>mat (Server Format)</w:t>
      </w:r>
      <w:bookmarkEnd w:id="1610"/>
      <w:bookmarkEnd w:id="1611"/>
      <w:r>
        <w:fldChar w:fldCharType="begin"/>
      </w:r>
      <w:r>
        <w:instrText xml:space="preserve"> XE "serverFormat (Server Format)" </w:instrText>
      </w:r>
      <w:r>
        <w:fldChar w:fldCharType="end"/>
      </w:r>
    </w:p>
    <w:p w:rsidR="000A156F" w:rsidRDefault="00A9721F">
      <w:pPr>
        <w:pStyle w:val="Definition-Field"/>
      </w:pPr>
      <w:r>
        <w:t xml:space="preserve">a.   </w:t>
      </w:r>
      <w:r>
        <w:rPr>
          <w:i/>
        </w:rPr>
        <w:t>The standard allows for both culture and format attributes.</w:t>
      </w:r>
    </w:p>
    <w:p w:rsidR="000A156F" w:rsidRDefault="00A9721F">
      <w:pPr>
        <w:pStyle w:val="Definition-Field2"/>
      </w:pPr>
      <w:r>
        <w:t>Office allows only one of culture or format attributes.</w:t>
      </w:r>
    </w:p>
    <w:p w:rsidR="000A156F" w:rsidRDefault="00A9721F">
      <w:pPr>
        <w:pStyle w:val="Definition-Field"/>
      </w:pPr>
      <w:r>
        <w:t xml:space="preserve">b.   </w:t>
      </w:r>
      <w:r>
        <w:rPr>
          <w:i/>
        </w:rPr>
        <w:t>The standard does not specify a maximum length for the culture attribute.</w:t>
      </w:r>
    </w:p>
    <w:p w:rsidR="000A156F" w:rsidRDefault="00A9721F">
      <w:pPr>
        <w:pStyle w:val="Definition-Field2"/>
      </w:pPr>
      <w:r>
        <w:t>Office has a maximum length of 31 for the culture attribute.</w:t>
      </w:r>
    </w:p>
    <w:p w:rsidR="000A156F" w:rsidRDefault="00A9721F">
      <w:pPr>
        <w:pStyle w:val="Definition-Field"/>
      </w:pPr>
      <w:r>
        <w:t xml:space="preserve">c.   </w:t>
      </w:r>
      <w:r>
        <w:rPr>
          <w:i/>
        </w:rPr>
        <w:t>The standard defines the format attribute to be an ST_Xstring, with no length limitations.</w:t>
      </w:r>
    </w:p>
    <w:p w:rsidR="000A156F" w:rsidRDefault="00A9721F">
      <w:pPr>
        <w:pStyle w:val="Definition-Field2"/>
      </w:pPr>
      <w:r>
        <w:t>Office limits the format attribute to 65535 characters.</w:t>
      </w:r>
    </w:p>
    <w:p w:rsidR="000A156F" w:rsidRDefault="00A9721F">
      <w:pPr>
        <w:pStyle w:val="Definition-Field"/>
      </w:pPr>
      <w:r>
        <w:t xml:space="preserve">d.   </w:t>
      </w:r>
      <w:r>
        <w:rPr>
          <w:i/>
        </w:rPr>
        <w:t xml:space="preserve">The standard does not restrict valid </w:t>
      </w:r>
      <w:r>
        <w:rPr>
          <w:i/>
        </w:rPr>
        <w:t>files to those with known language tags.</w:t>
      </w:r>
    </w:p>
    <w:p w:rsidR="000A156F" w:rsidRDefault="00A9721F">
      <w:r>
        <w:t>Office does not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Language</w:t>
            </w:r>
          </w:p>
        </w:tc>
        <w:tc>
          <w:tcPr>
            <w:tcW w:w="0" w:type="auto"/>
            <w:vAlign w:val="center"/>
          </w:tcPr>
          <w:p w:rsidR="000A156F" w:rsidRDefault="00A9721F">
            <w:pPr>
              <w:pStyle w:val="TableHeaderText"/>
            </w:pPr>
            <w:r>
              <w:t>Locale</w:t>
            </w:r>
          </w:p>
        </w:tc>
        <w:tc>
          <w:tcPr>
            <w:tcW w:w="0" w:type="auto"/>
            <w:vAlign w:val="center"/>
          </w:tcPr>
          <w:p w:rsidR="000A156F" w:rsidRDefault="00A9721F">
            <w:pPr>
              <w:pStyle w:val="TableHeaderText"/>
            </w:pPr>
            <w:r>
              <w:t>Langu</w:t>
            </w:r>
            <w:r>
              <w:t>age Tag</w:t>
            </w:r>
          </w:p>
        </w:tc>
      </w:tr>
      <w:tr w:rsidR="000A156F" w:rsidTr="000A156F">
        <w:tc>
          <w:tcPr>
            <w:tcW w:w="0" w:type="auto"/>
            <w:vAlign w:val="center"/>
          </w:tcPr>
          <w:p w:rsidR="000A156F" w:rsidRDefault="00A9721F">
            <w:pPr>
              <w:pStyle w:val="TableBodyText"/>
            </w:pPr>
            <w:r>
              <w:t>Africaans</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af-ZA</w:t>
            </w:r>
          </w:p>
        </w:tc>
      </w:tr>
      <w:tr w:rsidR="000A156F" w:rsidTr="000A156F">
        <w:tc>
          <w:tcPr>
            <w:tcW w:w="0" w:type="auto"/>
            <w:vAlign w:val="center"/>
          </w:tcPr>
          <w:p w:rsidR="000A156F" w:rsidRDefault="00A9721F">
            <w:pPr>
              <w:pStyle w:val="TableBodyText"/>
            </w:pPr>
            <w:r>
              <w:t>Albanian</w:t>
            </w:r>
          </w:p>
        </w:tc>
        <w:tc>
          <w:tcPr>
            <w:tcW w:w="0" w:type="auto"/>
            <w:vAlign w:val="center"/>
          </w:tcPr>
          <w:p w:rsidR="000A156F" w:rsidRDefault="00A9721F">
            <w:pPr>
              <w:pStyle w:val="TableBodyText"/>
            </w:pPr>
            <w:r>
              <w:t>Albanian</w:t>
            </w:r>
          </w:p>
        </w:tc>
        <w:tc>
          <w:tcPr>
            <w:tcW w:w="0" w:type="auto"/>
            <w:vAlign w:val="center"/>
          </w:tcPr>
          <w:p w:rsidR="000A156F" w:rsidRDefault="00A9721F">
            <w:pPr>
              <w:pStyle w:val="TableBodyText"/>
            </w:pPr>
            <w:r>
              <w:t>sq-AL</w:t>
            </w:r>
          </w:p>
        </w:tc>
      </w:tr>
      <w:tr w:rsidR="000A156F" w:rsidTr="000A156F">
        <w:tc>
          <w:tcPr>
            <w:tcW w:w="0" w:type="auto"/>
            <w:vAlign w:val="center"/>
          </w:tcPr>
          <w:p w:rsidR="000A156F" w:rsidRDefault="00A9721F">
            <w:pPr>
              <w:pStyle w:val="TableBodyText"/>
            </w:pPr>
            <w:r>
              <w:t>Alsatian</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gsw-FR</w:t>
            </w:r>
          </w:p>
        </w:tc>
      </w:tr>
      <w:tr w:rsidR="000A156F" w:rsidTr="000A156F">
        <w:tc>
          <w:tcPr>
            <w:tcW w:w="0" w:type="auto"/>
            <w:vAlign w:val="center"/>
          </w:tcPr>
          <w:p w:rsidR="000A156F" w:rsidRDefault="00A9721F">
            <w:pPr>
              <w:pStyle w:val="TableBodyText"/>
            </w:pPr>
            <w:r>
              <w:t>Amharic</w:t>
            </w:r>
          </w:p>
        </w:tc>
        <w:tc>
          <w:tcPr>
            <w:tcW w:w="0" w:type="auto"/>
            <w:vAlign w:val="center"/>
          </w:tcPr>
          <w:p w:rsidR="000A156F" w:rsidRDefault="00A9721F">
            <w:pPr>
              <w:pStyle w:val="TableBodyText"/>
            </w:pPr>
            <w:r>
              <w:t>Ethiopia</w:t>
            </w:r>
          </w:p>
        </w:tc>
        <w:tc>
          <w:tcPr>
            <w:tcW w:w="0" w:type="auto"/>
            <w:vAlign w:val="center"/>
          </w:tcPr>
          <w:p w:rsidR="000A156F" w:rsidRDefault="00A9721F">
            <w:pPr>
              <w:pStyle w:val="TableBodyText"/>
            </w:pPr>
            <w:r>
              <w:t>am-ET</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Algeria</w:t>
            </w:r>
          </w:p>
        </w:tc>
        <w:tc>
          <w:tcPr>
            <w:tcW w:w="0" w:type="auto"/>
            <w:vAlign w:val="center"/>
          </w:tcPr>
          <w:p w:rsidR="000A156F" w:rsidRDefault="00A9721F">
            <w:pPr>
              <w:pStyle w:val="TableBodyText"/>
            </w:pPr>
            <w:r>
              <w:t>ar-DZ</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Bahrain</w:t>
            </w:r>
          </w:p>
        </w:tc>
        <w:tc>
          <w:tcPr>
            <w:tcW w:w="0" w:type="auto"/>
            <w:vAlign w:val="center"/>
          </w:tcPr>
          <w:p w:rsidR="000A156F" w:rsidRDefault="00A9721F">
            <w:pPr>
              <w:pStyle w:val="TableBodyText"/>
            </w:pPr>
            <w:r>
              <w:t>ar-BH</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Egypt</w:t>
            </w:r>
          </w:p>
        </w:tc>
        <w:tc>
          <w:tcPr>
            <w:tcW w:w="0" w:type="auto"/>
            <w:vAlign w:val="center"/>
          </w:tcPr>
          <w:p w:rsidR="000A156F" w:rsidRDefault="00A9721F">
            <w:pPr>
              <w:pStyle w:val="TableBodyText"/>
            </w:pPr>
            <w:r>
              <w:t>ar-EG</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Iraq</w:t>
            </w:r>
          </w:p>
        </w:tc>
        <w:tc>
          <w:tcPr>
            <w:tcW w:w="0" w:type="auto"/>
            <w:vAlign w:val="center"/>
          </w:tcPr>
          <w:p w:rsidR="000A156F" w:rsidRDefault="00A9721F">
            <w:pPr>
              <w:pStyle w:val="TableBodyText"/>
            </w:pPr>
            <w:r>
              <w:t>ar-IQ</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Jordan</w:t>
            </w:r>
          </w:p>
        </w:tc>
        <w:tc>
          <w:tcPr>
            <w:tcW w:w="0" w:type="auto"/>
            <w:vAlign w:val="center"/>
          </w:tcPr>
          <w:p w:rsidR="000A156F" w:rsidRDefault="00A9721F">
            <w:pPr>
              <w:pStyle w:val="TableBodyText"/>
            </w:pPr>
            <w:r>
              <w:t>ar-JO</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Kuwait</w:t>
            </w:r>
          </w:p>
        </w:tc>
        <w:tc>
          <w:tcPr>
            <w:tcW w:w="0" w:type="auto"/>
            <w:vAlign w:val="center"/>
          </w:tcPr>
          <w:p w:rsidR="000A156F" w:rsidRDefault="00A9721F">
            <w:pPr>
              <w:pStyle w:val="TableBodyText"/>
            </w:pPr>
            <w:r>
              <w:t>ar-KW</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Lebanon</w:t>
            </w:r>
          </w:p>
        </w:tc>
        <w:tc>
          <w:tcPr>
            <w:tcW w:w="0" w:type="auto"/>
            <w:vAlign w:val="center"/>
          </w:tcPr>
          <w:p w:rsidR="000A156F" w:rsidRDefault="00A9721F">
            <w:pPr>
              <w:pStyle w:val="TableBodyText"/>
            </w:pPr>
            <w:r>
              <w:t>ar-LB</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Libya</w:t>
            </w:r>
          </w:p>
        </w:tc>
        <w:tc>
          <w:tcPr>
            <w:tcW w:w="0" w:type="auto"/>
            <w:vAlign w:val="center"/>
          </w:tcPr>
          <w:p w:rsidR="000A156F" w:rsidRDefault="00A9721F">
            <w:pPr>
              <w:pStyle w:val="TableBodyText"/>
            </w:pPr>
            <w:r>
              <w:t>ar-LY</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Morocco</w:t>
            </w:r>
          </w:p>
        </w:tc>
        <w:tc>
          <w:tcPr>
            <w:tcW w:w="0" w:type="auto"/>
            <w:vAlign w:val="center"/>
          </w:tcPr>
          <w:p w:rsidR="000A156F" w:rsidRDefault="00A9721F">
            <w:pPr>
              <w:pStyle w:val="TableBodyText"/>
            </w:pPr>
            <w:r>
              <w:t>ar-MA</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Oman</w:t>
            </w:r>
          </w:p>
        </w:tc>
        <w:tc>
          <w:tcPr>
            <w:tcW w:w="0" w:type="auto"/>
            <w:vAlign w:val="center"/>
          </w:tcPr>
          <w:p w:rsidR="000A156F" w:rsidRDefault="00A9721F">
            <w:pPr>
              <w:pStyle w:val="TableBodyText"/>
            </w:pPr>
            <w:r>
              <w:t>ar-OM</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Qatar</w:t>
            </w:r>
          </w:p>
        </w:tc>
        <w:tc>
          <w:tcPr>
            <w:tcW w:w="0" w:type="auto"/>
            <w:vAlign w:val="center"/>
          </w:tcPr>
          <w:p w:rsidR="000A156F" w:rsidRDefault="00A9721F">
            <w:pPr>
              <w:pStyle w:val="TableBodyText"/>
            </w:pPr>
            <w:r>
              <w:t>ar-QA</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Saudi Arabia</w:t>
            </w:r>
          </w:p>
        </w:tc>
        <w:tc>
          <w:tcPr>
            <w:tcW w:w="0" w:type="auto"/>
            <w:vAlign w:val="center"/>
          </w:tcPr>
          <w:p w:rsidR="000A156F" w:rsidRDefault="00A9721F">
            <w:pPr>
              <w:pStyle w:val="TableBodyText"/>
            </w:pPr>
            <w:r>
              <w:t>ar-SA</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Syria</w:t>
            </w:r>
          </w:p>
        </w:tc>
        <w:tc>
          <w:tcPr>
            <w:tcW w:w="0" w:type="auto"/>
            <w:vAlign w:val="center"/>
          </w:tcPr>
          <w:p w:rsidR="000A156F" w:rsidRDefault="00A9721F">
            <w:pPr>
              <w:pStyle w:val="TableBodyText"/>
            </w:pPr>
            <w:r>
              <w:t>ar-SY</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Tunisia</w:t>
            </w:r>
          </w:p>
        </w:tc>
        <w:tc>
          <w:tcPr>
            <w:tcW w:w="0" w:type="auto"/>
            <w:vAlign w:val="center"/>
          </w:tcPr>
          <w:p w:rsidR="000A156F" w:rsidRDefault="00A9721F">
            <w:pPr>
              <w:pStyle w:val="TableBodyText"/>
            </w:pPr>
            <w:r>
              <w:t>ar-TN</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U.A.E.</w:t>
            </w:r>
          </w:p>
        </w:tc>
        <w:tc>
          <w:tcPr>
            <w:tcW w:w="0" w:type="auto"/>
            <w:vAlign w:val="center"/>
          </w:tcPr>
          <w:p w:rsidR="000A156F" w:rsidRDefault="00A9721F">
            <w:pPr>
              <w:pStyle w:val="TableBodyText"/>
            </w:pPr>
            <w:r>
              <w:t>ar-AE</w:t>
            </w:r>
          </w:p>
        </w:tc>
      </w:tr>
      <w:tr w:rsidR="000A156F" w:rsidTr="000A156F">
        <w:tc>
          <w:tcPr>
            <w:tcW w:w="0" w:type="auto"/>
            <w:vAlign w:val="center"/>
          </w:tcPr>
          <w:p w:rsidR="000A156F" w:rsidRDefault="00A9721F">
            <w:pPr>
              <w:pStyle w:val="TableBodyText"/>
            </w:pPr>
            <w:r>
              <w:t>Arabic</w:t>
            </w:r>
          </w:p>
        </w:tc>
        <w:tc>
          <w:tcPr>
            <w:tcW w:w="0" w:type="auto"/>
            <w:vAlign w:val="center"/>
          </w:tcPr>
          <w:p w:rsidR="000A156F" w:rsidRDefault="00A9721F">
            <w:pPr>
              <w:pStyle w:val="TableBodyText"/>
            </w:pPr>
            <w:r>
              <w:t>Yemen</w:t>
            </w:r>
          </w:p>
        </w:tc>
        <w:tc>
          <w:tcPr>
            <w:tcW w:w="0" w:type="auto"/>
            <w:vAlign w:val="center"/>
          </w:tcPr>
          <w:p w:rsidR="000A156F" w:rsidRDefault="00A9721F">
            <w:pPr>
              <w:pStyle w:val="TableBodyText"/>
            </w:pPr>
            <w:r>
              <w:t>ar-YE</w:t>
            </w:r>
          </w:p>
        </w:tc>
      </w:tr>
      <w:tr w:rsidR="000A156F" w:rsidTr="000A156F">
        <w:tc>
          <w:tcPr>
            <w:tcW w:w="0" w:type="auto"/>
            <w:vAlign w:val="center"/>
          </w:tcPr>
          <w:p w:rsidR="000A156F" w:rsidRDefault="00A9721F">
            <w:pPr>
              <w:pStyle w:val="TableBodyText"/>
            </w:pPr>
            <w:r>
              <w:t>Armenian</w:t>
            </w:r>
          </w:p>
        </w:tc>
        <w:tc>
          <w:tcPr>
            <w:tcW w:w="0" w:type="auto"/>
            <w:vAlign w:val="center"/>
          </w:tcPr>
          <w:p w:rsidR="000A156F" w:rsidRDefault="00A9721F">
            <w:pPr>
              <w:pStyle w:val="TableBodyText"/>
            </w:pPr>
            <w:r>
              <w:t>Armenia</w:t>
            </w:r>
          </w:p>
        </w:tc>
        <w:tc>
          <w:tcPr>
            <w:tcW w:w="0" w:type="auto"/>
            <w:vAlign w:val="center"/>
          </w:tcPr>
          <w:p w:rsidR="000A156F" w:rsidRDefault="00A9721F">
            <w:pPr>
              <w:pStyle w:val="TableBodyText"/>
            </w:pPr>
            <w:r>
              <w:t>hy-AM</w:t>
            </w:r>
          </w:p>
        </w:tc>
      </w:tr>
      <w:tr w:rsidR="000A156F" w:rsidTr="000A156F">
        <w:tc>
          <w:tcPr>
            <w:tcW w:w="0" w:type="auto"/>
            <w:vAlign w:val="center"/>
          </w:tcPr>
          <w:p w:rsidR="000A156F" w:rsidRDefault="00A9721F">
            <w:pPr>
              <w:pStyle w:val="TableBodyText"/>
            </w:pPr>
            <w:r>
              <w:t>Assamese</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as-IN</w:t>
            </w:r>
          </w:p>
        </w:tc>
      </w:tr>
      <w:tr w:rsidR="000A156F" w:rsidTr="000A156F">
        <w:tc>
          <w:tcPr>
            <w:tcW w:w="0" w:type="auto"/>
            <w:vAlign w:val="center"/>
          </w:tcPr>
          <w:p w:rsidR="000A156F" w:rsidRDefault="00A9721F">
            <w:pPr>
              <w:pStyle w:val="TableBodyText"/>
            </w:pPr>
            <w:r>
              <w:t xml:space="preserve">Azerbaijani </w:t>
            </w:r>
            <w:r>
              <w:t>(Cyrillic)</w:t>
            </w:r>
          </w:p>
        </w:tc>
        <w:tc>
          <w:tcPr>
            <w:tcW w:w="0" w:type="auto"/>
            <w:vAlign w:val="center"/>
          </w:tcPr>
          <w:p w:rsidR="000A156F" w:rsidRDefault="00A9721F">
            <w:pPr>
              <w:pStyle w:val="TableBodyText"/>
            </w:pPr>
            <w:r>
              <w:t>Azerbaijan</w:t>
            </w:r>
          </w:p>
        </w:tc>
        <w:tc>
          <w:tcPr>
            <w:tcW w:w="0" w:type="auto"/>
            <w:vAlign w:val="center"/>
          </w:tcPr>
          <w:p w:rsidR="000A156F" w:rsidRDefault="00A9721F">
            <w:pPr>
              <w:pStyle w:val="TableBodyText"/>
            </w:pPr>
            <w:r>
              <w:t>az-AZ-Cyrl</w:t>
            </w:r>
          </w:p>
        </w:tc>
      </w:tr>
      <w:tr w:rsidR="000A156F" w:rsidTr="000A156F">
        <w:tc>
          <w:tcPr>
            <w:tcW w:w="0" w:type="auto"/>
            <w:vAlign w:val="center"/>
          </w:tcPr>
          <w:p w:rsidR="000A156F" w:rsidRDefault="00A9721F">
            <w:pPr>
              <w:pStyle w:val="TableBodyText"/>
            </w:pPr>
            <w:r>
              <w:t>Azerbaijani (Latin)</w:t>
            </w:r>
          </w:p>
        </w:tc>
        <w:tc>
          <w:tcPr>
            <w:tcW w:w="0" w:type="auto"/>
            <w:vAlign w:val="center"/>
          </w:tcPr>
          <w:p w:rsidR="000A156F" w:rsidRDefault="00A9721F">
            <w:pPr>
              <w:pStyle w:val="TableBodyText"/>
            </w:pPr>
            <w:r>
              <w:t>Azerbaijan</w:t>
            </w:r>
          </w:p>
        </w:tc>
        <w:tc>
          <w:tcPr>
            <w:tcW w:w="0" w:type="auto"/>
            <w:vAlign w:val="center"/>
          </w:tcPr>
          <w:p w:rsidR="000A156F" w:rsidRDefault="00A9721F">
            <w:pPr>
              <w:pStyle w:val="TableBodyText"/>
            </w:pPr>
            <w:r>
              <w:t>az-AZ-Latn</w:t>
            </w:r>
          </w:p>
        </w:tc>
      </w:tr>
      <w:tr w:rsidR="000A156F" w:rsidTr="000A156F">
        <w:tc>
          <w:tcPr>
            <w:tcW w:w="0" w:type="auto"/>
            <w:vAlign w:val="center"/>
          </w:tcPr>
          <w:p w:rsidR="000A156F" w:rsidRDefault="00A9721F">
            <w:pPr>
              <w:pStyle w:val="TableBodyText"/>
            </w:pPr>
            <w:r>
              <w:t>Bangla</w:t>
            </w:r>
          </w:p>
        </w:tc>
        <w:tc>
          <w:tcPr>
            <w:tcW w:w="0" w:type="auto"/>
            <w:vAlign w:val="center"/>
          </w:tcPr>
          <w:p w:rsidR="000A156F" w:rsidRDefault="00A9721F">
            <w:pPr>
              <w:pStyle w:val="TableBodyText"/>
            </w:pPr>
            <w:r>
              <w:t>Bangladesh</w:t>
            </w:r>
          </w:p>
        </w:tc>
        <w:tc>
          <w:tcPr>
            <w:tcW w:w="0" w:type="auto"/>
            <w:vAlign w:val="center"/>
          </w:tcPr>
          <w:p w:rsidR="000A156F" w:rsidRDefault="00A9721F">
            <w:pPr>
              <w:pStyle w:val="TableBodyText"/>
            </w:pPr>
            <w:r>
              <w:t xml:space="preserve">bn-BD </w:t>
            </w:r>
          </w:p>
        </w:tc>
      </w:tr>
      <w:tr w:rsidR="000A156F" w:rsidTr="000A156F">
        <w:tc>
          <w:tcPr>
            <w:tcW w:w="0" w:type="auto"/>
            <w:vAlign w:val="center"/>
          </w:tcPr>
          <w:p w:rsidR="000A156F" w:rsidRDefault="00A9721F">
            <w:pPr>
              <w:pStyle w:val="TableBodyText"/>
            </w:pPr>
            <w:r>
              <w:t xml:space="preserve">Bangla (Bangla Script) </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bn-IN</w:t>
            </w:r>
          </w:p>
        </w:tc>
      </w:tr>
      <w:tr w:rsidR="000A156F" w:rsidTr="000A156F">
        <w:tc>
          <w:tcPr>
            <w:tcW w:w="0" w:type="auto"/>
            <w:vAlign w:val="center"/>
          </w:tcPr>
          <w:p w:rsidR="000A156F" w:rsidRDefault="00A9721F">
            <w:pPr>
              <w:pStyle w:val="TableBodyText"/>
            </w:pPr>
            <w:r>
              <w:t>Bashkir</w:t>
            </w:r>
          </w:p>
        </w:tc>
        <w:tc>
          <w:tcPr>
            <w:tcW w:w="0" w:type="auto"/>
            <w:vAlign w:val="center"/>
          </w:tcPr>
          <w:p w:rsidR="000A156F" w:rsidRDefault="00A9721F">
            <w:pPr>
              <w:pStyle w:val="TableBodyText"/>
            </w:pPr>
            <w:r>
              <w:t>Russia</w:t>
            </w:r>
          </w:p>
        </w:tc>
        <w:tc>
          <w:tcPr>
            <w:tcW w:w="0" w:type="auto"/>
            <w:vAlign w:val="center"/>
          </w:tcPr>
          <w:p w:rsidR="000A156F" w:rsidRDefault="00A9721F">
            <w:pPr>
              <w:pStyle w:val="TableBodyText"/>
            </w:pPr>
            <w:r>
              <w:t>ba-RU</w:t>
            </w:r>
          </w:p>
        </w:tc>
      </w:tr>
      <w:tr w:rsidR="000A156F" w:rsidTr="000A156F">
        <w:tc>
          <w:tcPr>
            <w:tcW w:w="0" w:type="auto"/>
            <w:vAlign w:val="center"/>
          </w:tcPr>
          <w:p w:rsidR="000A156F" w:rsidRDefault="00A9721F">
            <w:pPr>
              <w:pStyle w:val="TableBodyText"/>
            </w:pPr>
            <w:r>
              <w:t>Basque</w:t>
            </w:r>
          </w:p>
        </w:tc>
        <w:tc>
          <w:tcPr>
            <w:tcW w:w="0" w:type="auto"/>
            <w:vAlign w:val="center"/>
          </w:tcPr>
          <w:p w:rsidR="000A156F" w:rsidRDefault="00A9721F">
            <w:pPr>
              <w:pStyle w:val="TableBodyText"/>
            </w:pPr>
            <w:r>
              <w:t>Basque</w:t>
            </w:r>
          </w:p>
        </w:tc>
        <w:tc>
          <w:tcPr>
            <w:tcW w:w="0" w:type="auto"/>
            <w:vAlign w:val="center"/>
          </w:tcPr>
          <w:p w:rsidR="000A156F" w:rsidRDefault="00A9721F">
            <w:pPr>
              <w:pStyle w:val="TableBodyText"/>
            </w:pPr>
            <w:r>
              <w:t>eu-ES</w:t>
            </w:r>
          </w:p>
        </w:tc>
      </w:tr>
      <w:tr w:rsidR="000A156F" w:rsidTr="000A156F">
        <w:tc>
          <w:tcPr>
            <w:tcW w:w="0" w:type="auto"/>
            <w:vAlign w:val="center"/>
          </w:tcPr>
          <w:p w:rsidR="000A156F" w:rsidRDefault="00A9721F">
            <w:pPr>
              <w:pStyle w:val="TableBodyText"/>
            </w:pPr>
            <w:r>
              <w:t>Belarusian</w:t>
            </w:r>
          </w:p>
        </w:tc>
        <w:tc>
          <w:tcPr>
            <w:tcW w:w="0" w:type="auto"/>
            <w:vAlign w:val="center"/>
          </w:tcPr>
          <w:p w:rsidR="000A156F" w:rsidRDefault="00A9721F">
            <w:pPr>
              <w:pStyle w:val="TableBodyText"/>
            </w:pPr>
            <w:r>
              <w:t>Belarus</w:t>
            </w:r>
          </w:p>
        </w:tc>
        <w:tc>
          <w:tcPr>
            <w:tcW w:w="0" w:type="auto"/>
            <w:vAlign w:val="center"/>
          </w:tcPr>
          <w:p w:rsidR="000A156F" w:rsidRDefault="00A9721F">
            <w:pPr>
              <w:pStyle w:val="TableBodyText"/>
            </w:pPr>
            <w:r>
              <w:t>be-BY</w:t>
            </w:r>
          </w:p>
        </w:tc>
      </w:tr>
      <w:tr w:rsidR="000A156F" w:rsidTr="000A156F">
        <w:tc>
          <w:tcPr>
            <w:tcW w:w="0" w:type="auto"/>
            <w:vAlign w:val="center"/>
          </w:tcPr>
          <w:p w:rsidR="000A156F" w:rsidRDefault="00A9721F">
            <w:pPr>
              <w:pStyle w:val="TableBodyText"/>
            </w:pPr>
            <w:r>
              <w:t>Bosnian (Cyrillic)</w:t>
            </w:r>
          </w:p>
        </w:tc>
        <w:tc>
          <w:tcPr>
            <w:tcW w:w="0" w:type="auto"/>
            <w:vAlign w:val="center"/>
          </w:tcPr>
          <w:p w:rsidR="000A156F" w:rsidRDefault="00A9721F">
            <w:pPr>
              <w:pStyle w:val="TableBodyText"/>
            </w:pPr>
            <w:r>
              <w:t>Bosnia and Herzegovina</w:t>
            </w:r>
          </w:p>
        </w:tc>
        <w:tc>
          <w:tcPr>
            <w:tcW w:w="0" w:type="auto"/>
            <w:vAlign w:val="center"/>
          </w:tcPr>
          <w:p w:rsidR="000A156F" w:rsidRDefault="00A9721F">
            <w:pPr>
              <w:pStyle w:val="TableBodyText"/>
            </w:pPr>
            <w:r>
              <w:t>bs-BA-Cyrl</w:t>
            </w:r>
          </w:p>
        </w:tc>
      </w:tr>
      <w:tr w:rsidR="000A156F" w:rsidTr="000A156F">
        <w:tc>
          <w:tcPr>
            <w:tcW w:w="0" w:type="auto"/>
            <w:vAlign w:val="center"/>
          </w:tcPr>
          <w:p w:rsidR="000A156F" w:rsidRDefault="00A9721F">
            <w:pPr>
              <w:pStyle w:val="TableBodyText"/>
            </w:pPr>
            <w:r>
              <w:t>Bosnian (Latin)</w:t>
            </w:r>
          </w:p>
        </w:tc>
        <w:tc>
          <w:tcPr>
            <w:tcW w:w="0" w:type="auto"/>
            <w:vAlign w:val="center"/>
          </w:tcPr>
          <w:p w:rsidR="000A156F" w:rsidRDefault="00A9721F">
            <w:pPr>
              <w:pStyle w:val="TableBodyText"/>
            </w:pPr>
            <w:r>
              <w:t>Bosnia and Herzegovina</w:t>
            </w:r>
          </w:p>
        </w:tc>
        <w:tc>
          <w:tcPr>
            <w:tcW w:w="0" w:type="auto"/>
            <w:vAlign w:val="center"/>
          </w:tcPr>
          <w:p w:rsidR="000A156F" w:rsidRDefault="00A9721F">
            <w:pPr>
              <w:pStyle w:val="TableBodyText"/>
            </w:pPr>
            <w:r>
              <w:t>bs-BA-Latn</w:t>
            </w:r>
          </w:p>
        </w:tc>
      </w:tr>
      <w:tr w:rsidR="000A156F" w:rsidTr="000A156F">
        <w:tc>
          <w:tcPr>
            <w:tcW w:w="0" w:type="auto"/>
            <w:vAlign w:val="center"/>
          </w:tcPr>
          <w:p w:rsidR="000A156F" w:rsidRDefault="00A9721F">
            <w:pPr>
              <w:pStyle w:val="TableBodyText"/>
            </w:pPr>
            <w:r>
              <w:t>Breton</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br-FR</w:t>
            </w:r>
          </w:p>
        </w:tc>
      </w:tr>
      <w:tr w:rsidR="000A156F" w:rsidTr="000A156F">
        <w:tc>
          <w:tcPr>
            <w:tcW w:w="0" w:type="auto"/>
            <w:vAlign w:val="center"/>
          </w:tcPr>
          <w:p w:rsidR="000A156F" w:rsidRDefault="00A9721F">
            <w:pPr>
              <w:pStyle w:val="TableBodyText"/>
            </w:pPr>
            <w:r>
              <w:lastRenderedPageBreak/>
              <w:t>Bulgarian</w:t>
            </w:r>
          </w:p>
        </w:tc>
        <w:tc>
          <w:tcPr>
            <w:tcW w:w="0" w:type="auto"/>
            <w:vAlign w:val="center"/>
          </w:tcPr>
          <w:p w:rsidR="000A156F" w:rsidRDefault="00A9721F">
            <w:pPr>
              <w:pStyle w:val="TableBodyText"/>
            </w:pPr>
            <w:r>
              <w:t>Bulgaria</w:t>
            </w:r>
          </w:p>
        </w:tc>
        <w:tc>
          <w:tcPr>
            <w:tcW w:w="0" w:type="auto"/>
            <w:vAlign w:val="center"/>
          </w:tcPr>
          <w:p w:rsidR="000A156F" w:rsidRDefault="00A9721F">
            <w:pPr>
              <w:pStyle w:val="TableBodyText"/>
            </w:pPr>
            <w:r>
              <w:t>bg-BG</w:t>
            </w:r>
          </w:p>
        </w:tc>
      </w:tr>
      <w:tr w:rsidR="000A156F" w:rsidTr="000A156F">
        <w:tc>
          <w:tcPr>
            <w:tcW w:w="0" w:type="auto"/>
            <w:vAlign w:val="center"/>
          </w:tcPr>
          <w:p w:rsidR="000A156F" w:rsidRDefault="00A9721F">
            <w:pPr>
              <w:pStyle w:val="TableBodyText"/>
            </w:pPr>
            <w:r>
              <w:t>Catalan</w:t>
            </w:r>
          </w:p>
        </w:tc>
        <w:tc>
          <w:tcPr>
            <w:tcW w:w="0" w:type="auto"/>
            <w:vAlign w:val="center"/>
          </w:tcPr>
          <w:p w:rsidR="000A156F" w:rsidRDefault="00A9721F">
            <w:pPr>
              <w:pStyle w:val="TableBodyText"/>
            </w:pPr>
            <w:r>
              <w:t>Catalan</w:t>
            </w:r>
          </w:p>
        </w:tc>
        <w:tc>
          <w:tcPr>
            <w:tcW w:w="0" w:type="auto"/>
            <w:vAlign w:val="center"/>
          </w:tcPr>
          <w:p w:rsidR="000A156F" w:rsidRDefault="00A9721F">
            <w:pPr>
              <w:pStyle w:val="TableBodyText"/>
            </w:pPr>
            <w:r>
              <w:t>ca-ES</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Hong Kong SAR</w:t>
            </w:r>
          </w:p>
        </w:tc>
        <w:tc>
          <w:tcPr>
            <w:tcW w:w="0" w:type="auto"/>
            <w:vAlign w:val="center"/>
          </w:tcPr>
          <w:p w:rsidR="000A156F" w:rsidRDefault="00A9721F">
            <w:pPr>
              <w:pStyle w:val="TableBodyText"/>
            </w:pPr>
            <w:r>
              <w:t>zh-HK</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Macao SAR</w:t>
            </w:r>
          </w:p>
        </w:tc>
        <w:tc>
          <w:tcPr>
            <w:tcW w:w="0" w:type="auto"/>
            <w:vAlign w:val="center"/>
          </w:tcPr>
          <w:p w:rsidR="000A156F" w:rsidRDefault="00A9721F">
            <w:pPr>
              <w:pStyle w:val="TableBodyText"/>
            </w:pPr>
            <w:r>
              <w:t>zh-MO</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zh-CN</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Singapore</w:t>
            </w:r>
          </w:p>
        </w:tc>
        <w:tc>
          <w:tcPr>
            <w:tcW w:w="0" w:type="auto"/>
            <w:vAlign w:val="center"/>
          </w:tcPr>
          <w:p w:rsidR="000A156F" w:rsidRDefault="00A9721F">
            <w:pPr>
              <w:pStyle w:val="TableBodyText"/>
            </w:pPr>
            <w:r>
              <w:t>zh-SG</w:t>
            </w:r>
          </w:p>
        </w:tc>
      </w:tr>
      <w:tr w:rsidR="000A156F" w:rsidTr="000A156F">
        <w:tc>
          <w:tcPr>
            <w:tcW w:w="0" w:type="auto"/>
            <w:vAlign w:val="center"/>
          </w:tcPr>
          <w:p w:rsidR="000A156F" w:rsidRDefault="00A9721F">
            <w:pPr>
              <w:pStyle w:val="TableBodyText"/>
            </w:pPr>
            <w:r>
              <w:t>Chinese</w:t>
            </w:r>
          </w:p>
        </w:tc>
        <w:tc>
          <w:tcPr>
            <w:tcW w:w="0" w:type="auto"/>
            <w:vAlign w:val="center"/>
          </w:tcPr>
          <w:p w:rsidR="000A156F" w:rsidRDefault="00A9721F">
            <w:pPr>
              <w:pStyle w:val="TableBodyText"/>
            </w:pPr>
            <w:r>
              <w:t>Taiwan</w:t>
            </w:r>
          </w:p>
        </w:tc>
        <w:tc>
          <w:tcPr>
            <w:tcW w:w="0" w:type="auto"/>
            <w:vAlign w:val="center"/>
          </w:tcPr>
          <w:p w:rsidR="000A156F" w:rsidRDefault="00A9721F">
            <w:pPr>
              <w:pStyle w:val="TableBodyText"/>
            </w:pPr>
            <w:r>
              <w:t>zh-TW</w:t>
            </w:r>
          </w:p>
        </w:tc>
      </w:tr>
      <w:tr w:rsidR="000A156F" w:rsidTr="000A156F">
        <w:tc>
          <w:tcPr>
            <w:tcW w:w="0" w:type="auto"/>
            <w:vAlign w:val="center"/>
          </w:tcPr>
          <w:p w:rsidR="000A156F" w:rsidRDefault="00A9721F">
            <w:pPr>
              <w:pStyle w:val="TableBodyText"/>
            </w:pPr>
            <w:r>
              <w:t>Corsican</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co-FR</w:t>
            </w:r>
          </w:p>
        </w:tc>
      </w:tr>
      <w:tr w:rsidR="000A156F" w:rsidTr="000A156F">
        <w:tc>
          <w:tcPr>
            <w:tcW w:w="0" w:type="auto"/>
            <w:vAlign w:val="center"/>
          </w:tcPr>
          <w:p w:rsidR="000A156F" w:rsidRDefault="00A9721F">
            <w:pPr>
              <w:pStyle w:val="TableBodyText"/>
            </w:pPr>
            <w:r>
              <w:t>Croatian</w:t>
            </w:r>
          </w:p>
        </w:tc>
        <w:tc>
          <w:tcPr>
            <w:tcW w:w="0" w:type="auto"/>
            <w:vAlign w:val="center"/>
          </w:tcPr>
          <w:p w:rsidR="000A156F" w:rsidRDefault="00A9721F">
            <w:pPr>
              <w:pStyle w:val="TableBodyText"/>
            </w:pPr>
            <w:r>
              <w:t>Croatia</w:t>
            </w:r>
          </w:p>
        </w:tc>
        <w:tc>
          <w:tcPr>
            <w:tcW w:w="0" w:type="auto"/>
            <w:vAlign w:val="center"/>
          </w:tcPr>
          <w:p w:rsidR="000A156F" w:rsidRDefault="00A9721F">
            <w:pPr>
              <w:pStyle w:val="TableBodyText"/>
            </w:pPr>
            <w:r>
              <w:t>hr-HR</w:t>
            </w:r>
          </w:p>
        </w:tc>
      </w:tr>
      <w:tr w:rsidR="000A156F" w:rsidTr="000A156F">
        <w:tc>
          <w:tcPr>
            <w:tcW w:w="0" w:type="auto"/>
            <w:vAlign w:val="center"/>
          </w:tcPr>
          <w:p w:rsidR="000A156F" w:rsidRDefault="00A9721F">
            <w:pPr>
              <w:pStyle w:val="TableBodyText"/>
            </w:pPr>
            <w:r>
              <w:t>Croatian (Latin)</w:t>
            </w:r>
          </w:p>
        </w:tc>
        <w:tc>
          <w:tcPr>
            <w:tcW w:w="0" w:type="auto"/>
            <w:vAlign w:val="center"/>
          </w:tcPr>
          <w:p w:rsidR="000A156F" w:rsidRDefault="00A9721F">
            <w:pPr>
              <w:pStyle w:val="TableBodyText"/>
            </w:pPr>
            <w:r>
              <w:t>Bosnia and Herzegovina</w:t>
            </w:r>
          </w:p>
        </w:tc>
        <w:tc>
          <w:tcPr>
            <w:tcW w:w="0" w:type="auto"/>
            <w:vAlign w:val="center"/>
          </w:tcPr>
          <w:p w:rsidR="000A156F" w:rsidRDefault="00A9721F">
            <w:pPr>
              <w:pStyle w:val="TableBodyText"/>
            </w:pPr>
            <w:r>
              <w:t>hr-BA-Latn</w:t>
            </w:r>
          </w:p>
        </w:tc>
      </w:tr>
      <w:tr w:rsidR="000A156F" w:rsidTr="000A156F">
        <w:tc>
          <w:tcPr>
            <w:tcW w:w="0" w:type="auto"/>
            <w:vAlign w:val="center"/>
          </w:tcPr>
          <w:p w:rsidR="000A156F" w:rsidRDefault="00A9721F">
            <w:pPr>
              <w:pStyle w:val="TableBodyText"/>
            </w:pPr>
            <w:r>
              <w:t>Czech</w:t>
            </w:r>
          </w:p>
        </w:tc>
        <w:tc>
          <w:tcPr>
            <w:tcW w:w="0" w:type="auto"/>
            <w:vAlign w:val="center"/>
          </w:tcPr>
          <w:p w:rsidR="000A156F" w:rsidRDefault="00A9721F">
            <w:pPr>
              <w:pStyle w:val="TableBodyText"/>
            </w:pPr>
            <w:r>
              <w:t>Czech Republic</w:t>
            </w:r>
          </w:p>
        </w:tc>
        <w:tc>
          <w:tcPr>
            <w:tcW w:w="0" w:type="auto"/>
            <w:vAlign w:val="center"/>
          </w:tcPr>
          <w:p w:rsidR="000A156F" w:rsidRDefault="00A9721F">
            <w:pPr>
              <w:pStyle w:val="TableBodyText"/>
            </w:pPr>
            <w:r>
              <w:t>cs-CZ</w:t>
            </w:r>
          </w:p>
        </w:tc>
      </w:tr>
      <w:tr w:rsidR="000A156F" w:rsidTr="000A156F">
        <w:tc>
          <w:tcPr>
            <w:tcW w:w="0" w:type="auto"/>
            <w:vAlign w:val="center"/>
          </w:tcPr>
          <w:p w:rsidR="000A156F" w:rsidRDefault="00A9721F">
            <w:pPr>
              <w:pStyle w:val="TableBodyText"/>
            </w:pPr>
            <w:r>
              <w:t>Danish</w:t>
            </w:r>
          </w:p>
        </w:tc>
        <w:tc>
          <w:tcPr>
            <w:tcW w:w="0" w:type="auto"/>
            <w:vAlign w:val="center"/>
          </w:tcPr>
          <w:p w:rsidR="000A156F" w:rsidRDefault="00A9721F">
            <w:pPr>
              <w:pStyle w:val="TableBodyText"/>
            </w:pPr>
            <w:r>
              <w:t>Denmark</w:t>
            </w:r>
          </w:p>
        </w:tc>
        <w:tc>
          <w:tcPr>
            <w:tcW w:w="0" w:type="auto"/>
            <w:vAlign w:val="center"/>
          </w:tcPr>
          <w:p w:rsidR="000A156F" w:rsidRDefault="00A9721F">
            <w:pPr>
              <w:pStyle w:val="TableBodyText"/>
            </w:pPr>
            <w:r>
              <w:t>da-DK</w:t>
            </w:r>
          </w:p>
        </w:tc>
      </w:tr>
      <w:tr w:rsidR="000A156F" w:rsidTr="000A156F">
        <w:tc>
          <w:tcPr>
            <w:tcW w:w="0" w:type="auto"/>
            <w:vAlign w:val="center"/>
          </w:tcPr>
          <w:p w:rsidR="000A156F" w:rsidRDefault="00A9721F">
            <w:pPr>
              <w:pStyle w:val="TableBodyText"/>
            </w:pPr>
            <w:r>
              <w:t>Dari</w:t>
            </w:r>
          </w:p>
        </w:tc>
        <w:tc>
          <w:tcPr>
            <w:tcW w:w="0" w:type="auto"/>
            <w:vAlign w:val="center"/>
          </w:tcPr>
          <w:p w:rsidR="000A156F" w:rsidRDefault="00A9721F">
            <w:pPr>
              <w:pStyle w:val="TableBodyText"/>
            </w:pPr>
            <w:r>
              <w:t>Afghanistan</w:t>
            </w:r>
          </w:p>
        </w:tc>
        <w:tc>
          <w:tcPr>
            <w:tcW w:w="0" w:type="auto"/>
            <w:vAlign w:val="center"/>
          </w:tcPr>
          <w:p w:rsidR="000A156F" w:rsidRDefault="00A9721F">
            <w:pPr>
              <w:pStyle w:val="TableBodyText"/>
            </w:pPr>
            <w:r>
              <w:t>prs-AF</w:t>
            </w:r>
          </w:p>
        </w:tc>
      </w:tr>
      <w:tr w:rsidR="000A156F" w:rsidTr="000A156F">
        <w:tc>
          <w:tcPr>
            <w:tcW w:w="0" w:type="auto"/>
            <w:vAlign w:val="center"/>
          </w:tcPr>
          <w:p w:rsidR="000A156F" w:rsidRDefault="00A9721F">
            <w:pPr>
              <w:pStyle w:val="TableBodyText"/>
            </w:pPr>
            <w:r>
              <w:t>Divehi</w:t>
            </w:r>
          </w:p>
        </w:tc>
        <w:tc>
          <w:tcPr>
            <w:tcW w:w="0" w:type="auto"/>
            <w:vAlign w:val="center"/>
          </w:tcPr>
          <w:p w:rsidR="000A156F" w:rsidRDefault="00A9721F">
            <w:pPr>
              <w:pStyle w:val="TableBodyText"/>
            </w:pPr>
            <w:r>
              <w:t>Maldives</w:t>
            </w:r>
          </w:p>
        </w:tc>
        <w:tc>
          <w:tcPr>
            <w:tcW w:w="0" w:type="auto"/>
            <w:vAlign w:val="center"/>
          </w:tcPr>
          <w:p w:rsidR="000A156F" w:rsidRDefault="00A9721F">
            <w:pPr>
              <w:pStyle w:val="TableBodyText"/>
            </w:pPr>
            <w:r>
              <w:t>div-MV</w:t>
            </w:r>
          </w:p>
        </w:tc>
      </w:tr>
      <w:tr w:rsidR="000A156F" w:rsidTr="000A156F">
        <w:tc>
          <w:tcPr>
            <w:tcW w:w="0" w:type="auto"/>
            <w:vAlign w:val="center"/>
          </w:tcPr>
          <w:p w:rsidR="000A156F" w:rsidRDefault="00A9721F">
            <w:pPr>
              <w:pStyle w:val="TableBodyText"/>
            </w:pPr>
            <w:r>
              <w:t>Dutch</w:t>
            </w:r>
          </w:p>
        </w:tc>
        <w:tc>
          <w:tcPr>
            <w:tcW w:w="0" w:type="auto"/>
            <w:vAlign w:val="center"/>
          </w:tcPr>
          <w:p w:rsidR="000A156F" w:rsidRDefault="00A9721F">
            <w:pPr>
              <w:pStyle w:val="TableBodyText"/>
            </w:pPr>
            <w:r>
              <w:t>Belgium</w:t>
            </w:r>
          </w:p>
        </w:tc>
        <w:tc>
          <w:tcPr>
            <w:tcW w:w="0" w:type="auto"/>
            <w:vAlign w:val="center"/>
          </w:tcPr>
          <w:p w:rsidR="000A156F" w:rsidRDefault="00A9721F">
            <w:pPr>
              <w:pStyle w:val="TableBodyText"/>
            </w:pPr>
            <w:r>
              <w:t>nl-BE</w:t>
            </w:r>
          </w:p>
        </w:tc>
      </w:tr>
      <w:tr w:rsidR="000A156F" w:rsidTr="000A156F">
        <w:tc>
          <w:tcPr>
            <w:tcW w:w="0" w:type="auto"/>
            <w:vAlign w:val="center"/>
          </w:tcPr>
          <w:p w:rsidR="000A156F" w:rsidRDefault="00A9721F">
            <w:pPr>
              <w:pStyle w:val="TableBodyText"/>
            </w:pPr>
            <w:r>
              <w:t>Dutch</w:t>
            </w:r>
          </w:p>
        </w:tc>
        <w:tc>
          <w:tcPr>
            <w:tcW w:w="0" w:type="auto"/>
            <w:vAlign w:val="center"/>
          </w:tcPr>
          <w:p w:rsidR="000A156F" w:rsidRDefault="00A9721F">
            <w:pPr>
              <w:pStyle w:val="TableBodyText"/>
            </w:pPr>
            <w:r>
              <w:t>Netherlands</w:t>
            </w:r>
          </w:p>
        </w:tc>
        <w:tc>
          <w:tcPr>
            <w:tcW w:w="0" w:type="auto"/>
            <w:vAlign w:val="center"/>
          </w:tcPr>
          <w:p w:rsidR="000A156F" w:rsidRDefault="00A9721F">
            <w:pPr>
              <w:pStyle w:val="TableBodyText"/>
            </w:pPr>
            <w:r>
              <w:t>nl-NL</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Australia</w:t>
            </w:r>
          </w:p>
        </w:tc>
        <w:tc>
          <w:tcPr>
            <w:tcW w:w="0" w:type="auto"/>
            <w:vAlign w:val="center"/>
          </w:tcPr>
          <w:p w:rsidR="000A156F" w:rsidRDefault="00A9721F">
            <w:pPr>
              <w:pStyle w:val="TableBodyText"/>
            </w:pPr>
            <w:r>
              <w:t>en-AU</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Belize</w:t>
            </w:r>
          </w:p>
        </w:tc>
        <w:tc>
          <w:tcPr>
            <w:tcW w:w="0" w:type="auto"/>
            <w:vAlign w:val="center"/>
          </w:tcPr>
          <w:p w:rsidR="000A156F" w:rsidRDefault="00A9721F">
            <w:pPr>
              <w:pStyle w:val="TableBodyText"/>
            </w:pPr>
            <w:r>
              <w:t>en-BZ</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Canada</w:t>
            </w:r>
          </w:p>
        </w:tc>
        <w:tc>
          <w:tcPr>
            <w:tcW w:w="0" w:type="auto"/>
            <w:vAlign w:val="center"/>
          </w:tcPr>
          <w:p w:rsidR="000A156F" w:rsidRDefault="00A9721F">
            <w:pPr>
              <w:pStyle w:val="TableBodyText"/>
            </w:pPr>
            <w:r>
              <w:t>en-CA</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Caribbean</w:t>
            </w:r>
          </w:p>
        </w:tc>
        <w:tc>
          <w:tcPr>
            <w:tcW w:w="0" w:type="auto"/>
            <w:vAlign w:val="center"/>
          </w:tcPr>
          <w:p w:rsidR="000A156F" w:rsidRDefault="00A9721F">
            <w:pPr>
              <w:pStyle w:val="TableBodyText"/>
            </w:pPr>
            <w:r>
              <w:t>en-CB</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en-IN</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Ireland</w:t>
            </w:r>
          </w:p>
        </w:tc>
        <w:tc>
          <w:tcPr>
            <w:tcW w:w="0" w:type="auto"/>
            <w:vAlign w:val="center"/>
          </w:tcPr>
          <w:p w:rsidR="000A156F" w:rsidRDefault="00A9721F">
            <w:pPr>
              <w:pStyle w:val="TableBodyText"/>
            </w:pPr>
            <w:r>
              <w:t>en-IE</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Jamaica</w:t>
            </w:r>
          </w:p>
        </w:tc>
        <w:tc>
          <w:tcPr>
            <w:tcW w:w="0" w:type="auto"/>
            <w:vAlign w:val="center"/>
          </w:tcPr>
          <w:p w:rsidR="000A156F" w:rsidRDefault="00A9721F">
            <w:pPr>
              <w:pStyle w:val="TableBodyText"/>
            </w:pPr>
            <w:r>
              <w:t>en-JM</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Malaysia</w:t>
            </w:r>
          </w:p>
        </w:tc>
        <w:tc>
          <w:tcPr>
            <w:tcW w:w="0" w:type="auto"/>
            <w:vAlign w:val="center"/>
          </w:tcPr>
          <w:p w:rsidR="000A156F" w:rsidRDefault="00A9721F">
            <w:pPr>
              <w:pStyle w:val="TableBodyText"/>
            </w:pPr>
            <w:r>
              <w:t>en-MY</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New Zealand</w:t>
            </w:r>
          </w:p>
        </w:tc>
        <w:tc>
          <w:tcPr>
            <w:tcW w:w="0" w:type="auto"/>
            <w:vAlign w:val="center"/>
          </w:tcPr>
          <w:p w:rsidR="000A156F" w:rsidRDefault="00A9721F">
            <w:pPr>
              <w:pStyle w:val="TableBodyText"/>
            </w:pPr>
            <w:r>
              <w:t>en-NZ</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Philippines</w:t>
            </w:r>
          </w:p>
        </w:tc>
        <w:tc>
          <w:tcPr>
            <w:tcW w:w="0" w:type="auto"/>
            <w:vAlign w:val="center"/>
          </w:tcPr>
          <w:p w:rsidR="000A156F" w:rsidRDefault="00A9721F">
            <w:pPr>
              <w:pStyle w:val="TableBodyText"/>
            </w:pPr>
            <w:r>
              <w:t>en-PH</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en-ZA</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Trinidad</w:t>
            </w:r>
          </w:p>
        </w:tc>
        <w:tc>
          <w:tcPr>
            <w:tcW w:w="0" w:type="auto"/>
            <w:vAlign w:val="center"/>
          </w:tcPr>
          <w:p w:rsidR="000A156F" w:rsidRDefault="00A9721F">
            <w:pPr>
              <w:pStyle w:val="TableBodyText"/>
            </w:pPr>
            <w:r>
              <w:t>en-TT</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United Kingdom</w:t>
            </w:r>
          </w:p>
        </w:tc>
        <w:tc>
          <w:tcPr>
            <w:tcW w:w="0" w:type="auto"/>
            <w:vAlign w:val="center"/>
          </w:tcPr>
          <w:p w:rsidR="000A156F" w:rsidRDefault="00A9721F">
            <w:pPr>
              <w:pStyle w:val="TableBodyText"/>
            </w:pPr>
            <w:r>
              <w:t>en-GB</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United States</w:t>
            </w:r>
          </w:p>
        </w:tc>
        <w:tc>
          <w:tcPr>
            <w:tcW w:w="0" w:type="auto"/>
            <w:vAlign w:val="center"/>
          </w:tcPr>
          <w:p w:rsidR="000A156F" w:rsidRDefault="00A9721F">
            <w:pPr>
              <w:pStyle w:val="TableBodyText"/>
            </w:pPr>
            <w:r>
              <w:t>en-US</w:t>
            </w:r>
          </w:p>
        </w:tc>
      </w:tr>
      <w:tr w:rsidR="000A156F" w:rsidTr="000A156F">
        <w:tc>
          <w:tcPr>
            <w:tcW w:w="0" w:type="auto"/>
            <w:vAlign w:val="center"/>
          </w:tcPr>
          <w:p w:rsidR="000A156F" w:rsidRDefault="00A9721F">
            <w:pPr>
              <w:pStyle w:val="TableBodyText"/>
            </w:pPr>
            <w:r>
              <w:t>English</w:t>
            </w:r>
          </w:p>
        </w:tc>
        <w:tc>
          <w:tcPr>
            <w:tcW w:w="0" w:type="auto"/>
            <w:vAlign w:val="center"/>
          </w:tcPr>
          <w:p w:rsidR="000A156F" w:rsidRDefault="00A9721F">
            <w:pPr>
              <w:pStyle w:val="TableBodyText"/>
            </w:pPr>
            <w:r>
              <w:t>Zimbabwe</w:t>
            </w:r>
          </w:p>
        </w:tc>
        <w:tc>
          <w:tcPr>
            <w:tcW w:w="0" w:type="auto"/>
            <w:vAlign w:val="center"/>
          </w:tcPr>
          <w:p w:rsidR="000A156F" w:rsidRDefault="00A9721F">
            <w:pPr>
              <w:pStyle w:val="TableBodyText"/>
            </w:pPr>
            <w:r>
              <w:t>en-ZW</w:t>
            </w:r>
          </w:p>
        </w:tc>
      </w:tr>
      <w:tr w:rsidR="000A156F" w:rsidTr="000A156F">
        <w:tc>
          <w:tcPr>
            <w:tcW w:w="0" w:type="auto"/>
            <w:vAlign w:val="center"/>
          </w:tcPr>
          <w:p w:rsidR="000A156F" w:rsidRDefault="00A9721F">
            <w:pPr>
              <w:pStyle w:val="TableBodyText"/>
            </w:pPr>
            <w:r>
              <w:t xml:space="preserve">Estonian </w:t>
            </w:r>
          </w:p>
        </w:tc>
        <w:tc>
          <w:tcPr>
            <w:tcW w:w="0" w:type="auto"/>
            <w:vAlign w:val="center"/>
          </w:tcPr>
          <w:p w:rsidR="000A156F" w:rsidRDefault="00A9721F">
            <w:pPr>
              <w:pStyle w:val="TableBodyText"/>
            </w:pPr>
            <w:r>
              <w:t>Estonia</w:t>
            </w:r>
          </w:p>
        </w:tc>
        <w:tc>
          <w:tcPr>
            <w:tcW w:w="0" w:type="auto"/>
            <w:vAlign w:val="center"/>
          </w:tcPr>
          <w:p w:rsidR="000A156F" w:rsidRDefault="00A9721F">
            <w:pPr>
              <w:pStyle w:val="TableBodyText"/>
            </w:pPr>
            <w:r>
              <w:t>et-EE</w:t>
            </w:r>
          </w:p>
        </w:tc>
      </w:tr>
      <w:tr w:rsidR="000A156F" w:rsidTr="000A156F">
        <w:tc>
          <w:tcPr>
            <w:tcW w:w="0" w:type="auto"/>
            <w:vAlign w:val="center"/>
          </w:tcPr>
          <w:p w:rsidR="000A156F" w:rsidRDefault="00A9721F">
            <w:pPr>
              <w:pStyle w:val="TableBodyText"/>
            </w:pPr>
            <w:r>
              <w:lastRenderedPageBreak/>
              <w:t>Faroese</w:t>
            </w:r>
          </w:p>
        </w:tc>
        <w:tc>
          <w:tcPr>
            <w:tcW w:w="0" w:type="auto"/>
            <w:vAlign w:val="center"/>
          </w:tcPr>
          <w:p w:rsidR="000A156F" w:rsidRDefault="00A9721F">
            <w:pPr>
              <w:pStyle w:val="TableBodyText"/>
            </w:pPr>
            <w:r>
              <w:t>Faroe Islands</w:t>
            </w:r>
          </w:p>
        </w:tc>
        <w:tc>
          <w:tcPr>
            <w:tcW w:w="0" w:type="auto"/>
            <w:vAlign w:val="center"/>
          </w:tcPr>
          <w:p w:rsidR="000A156F" w:rsidRDefault="00A9721F">
            <w:pPr>
              <w:pStyle w:val="TableBodyText"/>
            </w:pPr>
            <w:r>
              <w:t>fo-FO</w:t>
            </w:r>
          </w:p>
        </w:tc>
      </w:tr>
      <w:tr w:rsidR="000A156F" w:rsidTr="000A156F">
        <w:tc>
          <w:tcPr>
            <w:tcW w:w="0" w:type="auto"/>
            <w:vAlign w:val="center"/>
          </w:tcPr>
          <w:p w:rsidR="000A156F" w:rsidRDefault="00A9721F">
            <w:pPr>
              <w:pStyle w:val="TableBodyText"/>
            </w:pPr>
            <w:r>
              <w:t>Filipino</w:t>
            </w:r>
          </w:p>
        </w:tc>
        <w:tc>
          <w:tcPr>
            <w:tcW w:w="0" w:type="auto"/>
            <w:vAlign w:val="center"/>
          </w:tcPr>
          <w:p w:rsidR="000A156F" w:rsidRDefault="00A9721F">
            <w:pPr>
              <w:pStyle w:val="TableBodyText"/>
            </w:pPr>
            <w:r>
              <w:t>Philippines</w:t>
            </w:r>
          </w:p>
        </w:tc>
        <w:tc>
          <w:tcPr>
            <w:tcW w:w="0" w:type="auto"/>
            <w:vAlign w:val="center"/>
          </w:tcPr>
          <w:p w:rsidR="000A156F" w:rsidRDefault="00A9721F">
            <w:pPr>
              <w:pStyle w:val="TableBodyText"/>
            </w:pPr>
            <w:r>
              <w:t>fil-PH</w:t>
            </w:r>
          </w:p>
        </w:tc>
      </w:tr>
      <w:tr w:rsidR="000A156F" w:rsidTr="000A156F">
        <w:tc>
          <w:tcPr>
            <w:tcW w:w="0" w:type="auto"/>
            <w:vAlign w:val="center"/>
          </w:tcPr>
          <w:p w:rsidR="000A156F" w:rsidRDefault="00A9721F">
            <w:pPr>
              <w:pStyle w:val="TableBodyText"/>
            </w:pPr>
            <w:r>
              <w:t>Finnish</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fi-FI</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Belgium</w:t>
            </w:r>
          </w:p>
        </w:tc>
        <w:tc>
          <w:tcPr>
            <w:tcW w:w="0" w:type="auto"/>
            <w:vAlign w:val="center"/>
          </w:tcPr>
          <w:p w:rsidR="000A156F" w:rsidRDefault="00A9721F">
            <w:pPr>
              <w:pStyle w:val="TableBodyText"/>
            </w:pPr>
            <w:r>
              <w:t>fr-BE</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Canada</w:t>
            </w:r>
          </w:p>
        </w:tc>
        <w:tc>
          <w:tcPr>
            <w:tcW w:w="0" w:type="auto"/>
            <w:vAlign w:val="center"/>
          </w:tcPr>
          <w:p w:rsidR="000A156F" w:rsidRDefault="00A9721F">
            <w:pPr>
              <w:pStyle w:val="TableBodyText"/>
            </w:pPr>
            <w:r>
              <w:t>fr-CA</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fr-FR</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Luxembourg</w:t>
            </w:r>
          </w:p>
        </w:tc>
        <w:tc>
          <w:tcPr>
            <w:tcW w:w="0" w:type="auto"/>
            <w:vAlign w:val="center"/>
          </w:tcPr>
          <w:p w:rsidR="000A156F" w:rsidRDefault="00A9721F">
            <w:pPr>
              <w:pStyle w:val="TableBodyText"/>
            </w:pPr>
            <w:r>
              <w:t>fr-LU</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Monaco</w:t>
            </w:r>
          </w:p>
        </w:tc>
        <w:tc>
          <w:tcPr>
            <w:tcW w:w="0" w:type="auto"/>
            <w:vAlign w:val="center"/>
          </w:tcPr>
          <w:p w:rsidR="000A156F" w:rsidRDefault="00A9721F">
            <w:pPr>
              <w:pStyle w:val="TableBodyText"/>
            </w:pPr>
            <w:r>
              <w:t>fr-MC</w:t>
            </w:r>
          </w:p>
        </w:tc>
      </w:tr>
      <w:tr w:rsidR="000A156F" w:rsidTr="000A156F">
        <w:tc>
          <w:tcPr>
            <w:tcW w:w="0" w:type="auto"/>
            <w:vAlign w:val="center"/>
          </w:tcPr>
          <w:p w:rsidR="000A156F" w:rsidRDefault="00A9721F">
            <w:pPr>
              <w:pStyle w:val="TableBodyText"/>
            </w:pPr>
            <w:r>
              <w:t>French</w:t>
            </w:r>
          </w:p>
        </w:tc>
        <w:tc>
          <w:tcPr>
            <w:tcW w:w="0" w:type="auto"/>
            <w:vAlign w:val="center"/>
          </w:tcPr>
          <w:p w:rsidR="000A156F" w:rsidRDefault="00A9721F">
            <w:pPr>
              <w:pStyle w:val="TableBodyText"/>
            </w:pPr>
            <w:r>
              <w:t>Switzerland</w:t>
            </w:r>
          </w:p>
        </w:tc>
        <w:tc>
          <w:tcPr>
            <w:tcW w:w="0" w:type="auto"/>
            <w:vAlign w:val="center"/>
          </w:tcPr>
          <w:p w:rsidR="000A156F" w:rsidRDefault="00A9721F">
            <w:pPr>
              <w:pStyle w:val="TableBodyText"/>
            </w:pPr>
            <w:r>
              <w:t>fr-CH</w:t>
            </w:r>
          </w:p>
        </w:tc>
      </w:tr>
      <w:tr w:rsidR="000A156F" w:rsidTr="000A156F">
        <w:tc>
          <w:tcPr>
            <w:tcW w:w="0" w:type="auto"/>
            <w:vAlign w:val="center"/>
          </w:tcPr>
          <w:p w:rsidR="000A156F" w:rsidRDefault="00A9721F">
            <w:pPr>
              <w:pStyle w:val="TableBodyText"/>
            </w:pPr>
            <w:r>
              <w:t>Frisian</w:t>
            </w:r>
          </w:p>
        </w:tc>
        <w:tc>
          <w:tcPr>
            <w:tcW w:w="0" w:type="auto"/>
            <w:vAlign w:val="center"/>
          </w:tcPr>
          <w:p w:rsidR="000A156F" w:rsidRDefault="00A9721F">
            <w:pPr>
              <w:pStyle w:val="TableBodyText"/>
            </w:pPr>
            <w:r>
              <w:t>Netherlands</w:t>
            </w:r>
          </w:p>
        </w:tc>
        <w:tc>
          <w:tcPr>
            <w:tcW w:w="0" w:type="auto"/>
            <w:vAlign w:val="center"/>
          </w:tcPr>
          <w:p w:rsidR="000A156F" w:rsidRDefault="00A9721F">
            <w:pPr>
              <w:pStyle w:val="TableBodyText"/>
            </w:pPr>
            <w:r>
              <w:t>fy-NL</w:t>
            </w:r>
          </w:p>
        </w:tc>
      </w:tr>
      <w:tr w:rsidR="000A156F" w:rsidTr="000A156F">
        <w:tc>
          <w:tcPr>
            <w:tcW w:w="0" w:type="auto"/>
            <w:vAlign w:val="center"/>
          </w:tcPr>
          <w:p w:rsidR="000A156F" w:rsidRDefault="00A9721F">
            <w:pPr>
              <w:pStyle w:val="TableBodyText"/>
            </w:pPr>
            <w:r>
              <w:t>Galician</w:t>
            </w:r>
          </w:p>
        </w:tc>
        <w:tc>
          <w:tcPr>
            <w:tcW w:w="0" w:type="auto"/>
            <w:vAlign w:val="center"/>
          </w:tcPr>
          <w:p w:rsidR="000A156F" w:rsidRDefault="00A9721F">
            <w:pPr>
              <w:pStyle w:val="TableBodyText"/>
            </w:pPr>
            <w:r>
              <w:t>Galicia</w:t>
            </w:r>
          </w:p>
        </w:tc>
        <w:tc>
          <w:tcPr>
            <w:tcW w:w="0" w:type="auto"/>
            <w:vAlign w:val="center"/>
          </w:tcPr>
          <w:p w:rsidR="000A156F" w:rsidRDefault="00A9721F">
            <w:pPr>
              <w:pStyle w:val="TableBodyText"/>
            </w:pPr>
            <w:r>
              <w:t>gl-ES</w:t>
            </w:r>
          </w:p>
        </w:tc>
      </w:tr>
      <w:tr w:rsidR="000A156F" w:rsidTr="000A156F">
        <w:tc>
          <w:tcPr>
            <w:tcW w:w="0" w:type="auto"/>
            <w:vAlign w:val="center"/>
          </w:tcPr>
          <w:p w:rsidR="000A156F" w:rsidRDefault="00A9721F">
            <w:pPr>
              <w:pStyle w:val="TableBodyText"/>
            </w:pPr>
            <w:r>
              <w:t>Georgian</w:t>
            </w:r>
          </w:p>
        </w:tc>
        <w:tc>
          <w:tcPr>
            <w:tcW w:w="0" w:type="auto"/>
            <w:vAlign w:val="center"/>
          </w:tcPr>
          <w:p w:rsidR="000A156F" w:rsidRDefault="00A9721F">
            <w:pPr>
              <w:pStyle w:val="TableBodyText"/>
            </w:pPr>
            <w:r>
              <w:t>Georgia</w:t>
            </w:r>
          </w:p>
        </w:tc>
        <w:tc>
          <w:tcPr>
            <w:tcW w:w="0" w:type="auto"/>
            <w:vAlign w:val="center"/>
          </w:tcPr>
          <w:p w:rsidR="000A156F" w:rsidRDefault="00A9721F">
            <w:pPr>
              <w:pStyle w:val="TableBodyText"/>
            </w:pPr>
            <w:r>
              <w:t>ka-GE</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Austria</w:t>
            </w:r>
          </w:p>
        </w:tc>
        <w:tc>
          <w:tcPr>
            <w:tcW w:w="0" w:type="auto"/>
            <w:vAlign w:val="center"/>
          </w:tcPr>
          <w:p w:rsidR="000A156F" w:rsidRDefault="00A9721F">
            <w:pPr>
              <w:pStyle w:val="TableBodyText"/>
            </w:pPr>
            <w:r>
              <w:t>de-AT</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Germany</w:t>
            </w:r>
          </w:p>
        </w:tc>
        <w:tc>
          <w:tcPr>
            <w:tcW w:w="0" w:type="auto"/>
            <w:vAlign w:val="center"/>
          </w:tcPr>
          <w:p w:rsidR="000A156F" w:rsidRDefault="00A9721F">
            <w:pPr>
              <w:pStyle w:val="TableBodyText"/>
            </w:pPr>
            <w:r>
              <w:t>de-DE</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Liechtenstein</w:t>
            </w:r>
          </w:p>
        </w:tc>
        <w:tc>
          <w:tcPr>
            <w:tcW w:w="0" w:type="auto"/>
            <w:vAlign w:val="center"/>
          </w:tcPr>
          <w:p w:rsidR="000A156F" w:rsidRDefault="00A9721F">
            <w:pPr>
              <w:pStyle w:val="TableBodyText"/>
            </w:pPr>
            <w:r>
              <w:t>de-LI</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Luxembourg</w:t>
            </w:r>
          </w:p>
        </w:tc>
        <w:tc>
          <w:tcPr>
            <w:tcW w:w="0" w:type="auto"/>
            <w:vAlign w:val="center"/>
          </w:tcPr>
          <w:p w:rsidR="000A156F" w:rsidRDefault="00A9721F">
            <w:pPr>
              <w:pStyle w:val="TableBodyText"/>
            </w:pPr>
            <w:r>
              <w:t>de-LU</w:t>
            </w:r>
          </w:p>
        </w:tc>
      </w:tr>
      <w:tr w:rsidR="000A156F" w:rsidTr="000A156F">
        <w:tc>
          <w:tcPr>
            <w:tcW w:w="0" w:type="auto"/>
            <w:vAlign w:val="center"/>
          </w:tcPr>
          <w:p w:rsidR="000A156F" w:rsidRDefault="00A9721F">
            <w:pPr>
              <w:pStyle w:val="TableBodyText"/>
            </w:pPr>
            <w:r>
              <w:t>German</w:t>
            </w:r>
          </w:p>
        </w:tc>
        <w:tc>
          <w:tcPr>
            <w:tcW w:w="0" w:type="auto"/>
            <w:vAlign w:val="center"/>
          </w:tcPr>
          <w:p w:rsidR="000A156F" w:rsidRDefault="00A9721F">
            <w:pPr>
              <w:pStyle w:val="TableBodyText"/>
            </w:pPr>
            <w:r>
              <w:t>Switzerland</w:t>
            </w:r>
          </w:p>
        </w:tc>
        <w:tc>
          <w:tcPr>
            <w:tcW w:w="0" w:type="auto"/>
            <w:vAlign w:val="center"/>
          </w:tcPr>
          <w:p w:rsidR="000A156F" w:rsidRDefault="00A9721F">
            <w:pPr>
              <w:pStyle w:val="TableBodyText"/>
            </w:pPr>
            <w:r>
              <w:t>de-CH</w:t>
            </w:r>
          </w:p>
        </w:tc>
      </w:tr>
      <w:tr w:rsidR="000A156F" w:rsidTr="000A156F">
        <w:tc>
          <w:tcPr>
            <w:tcW w:w="0" w:type="auto"/>
            <w:vAlign w:val="center"/>
          </w:tcPr>
          <w:p w:rsidR="000A156F" w:rsidRDefault="00A9721F">
            <w:pPr>
              <w:pStyle w:val="TableBodyText"/>
            </w:pPr>
            <w:r>
              <w:t>Greek</w:t>
            </w:r>
          </w:p>
        </w:tc>
        <w:tc>
          <w:tcPr>
            <w:tcW w:w="0" w:type="auto"/>
            <w:vAlign w:val="center"/>
          </w:tcPr>
          <w:p w:rsidR="000A156F" w:rsidRDefault="00A9721F">
            <w:pPr>
              <w:pStyle w:val="TableBodyText"/>
            </w:pPr>
            <w:r>
              <w:t>Greece</w:t>
            </w:r>
          </w:p>
        </w:tc>
        <w:tc>
          <w:tcPr>
            <w:tcW w:w="0" w:type="auto"/>
            <w:vAlign w:val="center"/>
          </w:tcPr>
          <w:p w:rsidR="000A156F" w:rsidRDefault="00A9721F">
            <w:pPr>
              <w:pStyle w:val="TableBodyText"/>
            </w:pPr>
            <w:r>
              <w:t>el-GR</w:t>
            </w:r>
          </w:p>
        </w:tc>
      </w:tr>
      <w:tr w:rsidR="000A156F" w:rsidTr="000A156F">
        <w:tc>
          <w:tcPr>
            <w:tcW w:w="0" w:type="auto"/>
            <w:vAlign w:val="center"/>
          </w:tcPr>
          <w:p w:rsidR="000A156F" w:rsidRDefault="00A9721F">
            <w:pPr>
              <w:pStyle w:val="TableBodyText"/>
            </w:pPr>
            <w:r>
              <w:t>Greenlandic</w:t>
            </w:r>
          </w:p>
        </w:tc>
        <w:tc>
          <w:tcPr>
            <w:tcW w:w="0" w:type="auto"/>
            <w:vAlign w:val="center"/>
          </w:tcPr>
          <w:p w:rsidR="000A156F" w:rsidRDefault="00A9721F">
            <w:pPr>
              <w:pStyle w:val="TableBodyText"/>
            </w:pPr>
            <w:r>
              <w:t>Greenland</w:t>
            </w:r>
          </w:p>
        </w:tc>
        <w:tc>
          <w:tcPr>
            <w:tcW w:w="0" w:type="auto"/>
            <w:vAlign w:val="center"/>
          </w:tcPr>
          <w:p w:rsidR="000A156F" w:rsidRDefault="00A9721F">
            <w:pPr>
              <w:pStyle w:val="TableBodyText"/>
            </w:pPr>
            <w:r>
              <w:t>kl-GL</w:t>
            </w:r>
          </w:p>
        </w:tc>
      </w:tr>
      <w:tr w:rsidR="000A156F" w:rsidTr="000A156F">
        <w:tc>
          <w:tcPr>
            <w:tcW w:w="0" w:type="auto"/>
            <w:vAlign w:val="center"/>
          </w:tcPr>
          <w:p w:rsidR="000A156F" w:rsidRDefault="00A9721F">
            <w:pPr>
              <w:pStyle w:val="TableBodyText"/>
            </w:pPr>
            <w:r>
              <w:t>Gujarati (Gujarati Script)</w:t>
            </w:r>
          </w:p>
        </w:tc>
        <w:tc>
          <w:tcPr>
            <w:tcW w:w="0" w:type="auto"/>
            <w:vAlign w:val="center"/>
          </w:tcPr>
          <w:p w:rsidR="000A156F" w:rsidRDefault="00A9721F">
            <w:pPr>
              <w:pStyle w:val="TableBodyText"/>
            </w:pPr>
            <w:r>
              <w:t xml:space="preserve">India </w:t>
            </w:r>
          </w:p>
        </w:tc>
        <w:tc>
          <w:tcPr>
            <w:tcW w:w="0" w:type="auto"/>
            <w:vAlign w:val="center"/>
          </w:tcPr>
          <w:p w:rsidR="000A156F" w:rsidRDefault="00A9721F">
            <w:pPr>
              <w:pStyle w:val="TableBodyText"/>
            </w:pPr>
            <w:r>
              <w:t>gu-IN</w:t>
            </w:r>
          </w:p>
        </w:tc>
      </w:tr>
      <w:tr w:rsidR="000A156F" w:rsidTr="000A156F">
        <w:tc>
          <w:tcPr>
            <w:tcW w:w="0" w:type="auto"/>
            <w:vAlign w:val="center"/>
          </w:tcPr>
          <w:p w:rsidR="000A156F" w:rsidRDefault="00A9721F">
            <w:pPr>
              <w:pStyle w:val="TableBodyText"/>
            </w:pPr>
            <w:r>
              <w:t>Hausa (Latin)</w:t>
            </w:r>
          </w:p>
        </w:tc>
        <w:tc>
          <w:tcPr>
            <w:tcW w:w="0" w:type="auto"/>
            <w:vAlign w:val="center"/>
          </w:tcPr>
          <w:p w:rsidR="000A156F" w:rsidRDefault="00A9721F">
            <w:pPr>
              <w:pStyle w:val="TableBodyText"/>
            </w:pPr>
            <w:r>
              <w:t>Nigeria</w:t>
            </w:r>
          </w:p>
        </w:tc>
        <w:tc>
          <w:tcPr>
            <w:tcW w:w="0" w:type="auto"/>
            <w:vAlign w:val="center"/>
          </w:tcPr>
          <w:p w:rsidR="000A156F" w:rsidRDefault="00A9721F">
            <w:pPr>
              <w:pStyle w:val="TableBodyText"/>
            </w:pPr>
            <w:r>
              <w:t xml:space="preserve">ha-NG-Latn </w:t>
            </w:r>
          </w:p>
        </w:tc>
      </w:tr>
      <w:tr w:rsidR="000A156F" w:rsidTr="000A156F">
        <w:tc>
          <w:tcPr>
            <w:tcW w:w="0" w:type="auto"/>
            <w:vAlign w:val="center"/>
          </w:tcPr>
          <w:p w:rsidR="000A156F" w:rsidRDefault="00A9721F">
            <w:pPr>
              <w:pStyle w:val="TableBodyText"/>
            </w:pPr>
            <w:r>
              <w:t>Hebrew</w:t>
            </w:r>
          </w:p>
        </w:tc>
        <w:tc>
          <w:tcPr>
            <w:tcW w:w="0" w:type="auto"/>
            <w:vAlign w:val="center"/>
          </w:tcPr>
          <w:p w:rsidR="000A156F" w:rsidRDefault="00A9721F">
            <w:pPr>
              <w:pStyle w:val="TableBodyText"/>
            </w:pPr>
            <w:r>
              <w:t>Israel</w:t>
            </w:r>
          </w:p>
        </w:tc>
        <w:tc>
          <w:tcPr>
            <w:tcW w:w="0" w:type="auto"/>
            <w:vAlign w:val="center"/>
          </w:tcPr>
          <w:p w:rsidR="000A156F" w:rsidRDefault="00A9721F">
            <w:pPr>
              <w:pStyle w:val="TableBodyText"/>
            </w:pPr>
            <w:r>
              <w:t>he-IL</w:t>
            </w:r>
          </w:p>
        </w:tc>
      </w:tr>
      <w:tr w:rsidR="000A156F" w:rsidTr="000A156F">
        <w:tc>
          <w:tcPr>
            <w:tcW w:w="0" w:type="auto"/>
            <w:vAlign w:val="center"/>
          </w:tcPr>
          <w:p w:rsidR="000A156F" w:rsidRDefault="00A9721F">
            <w:pPr>
              <w:pStyle w:val="TableBodyText"/>
            </w:pPr>
            <w:r>
              <w:t>Hindi</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hi-IN</w:t>
            </w:r>
          </w:p>
        </w:tc>
      </w:tr>
      <w:tr w:rsidR="000A156F" w:rsidTr="000A156F">
        <w:tc>
          <w:tcPr>
            <w:tcW w:w="0" w:type="auto"/>
            <w:vAlign w:val="center"/>
          </w:tcPr>
          <w:p w:rsidR="000A156F" w:rsidRDefault="00A9721F">
            <w:pPr>
              <w:pStyle w:val="TableBodyText"/>
            </w:pPr>
            <w:r>
              <w:t>Hungarian</w:t>
            </w:r>
          </w:p>
        </w:tc>
        <w:tc>
          <w:tcPr>
            <w:tcW w:w="0" w:type="auto"/>
            <w:vAlign w:val="center"/>
          </w:tcPr>
          <w:p w:rsidR="000A156F" w:rsidRDefault="00A9721F">
            <w:pPr>
              <w:pStyle w:val="TableBodyText"/>
            </w:pPr>
            <w:r>
              <w:t>Hungary</w:t>
            </w:r>
          </w:p>
        </w:tc>
        <w:tc>
          <w:tcPr>
            <w:tcW w:w="0" w:type="auto"/>
            <w:vAlign w:val="center"/>
          </w:tcPr>
          <w:p w:rsidR="000A156F" w:rsidRDefault="00A9721F">
            <w:pPr>
              <w:pStyle w:val="TableBodyText"/>
            </w:pPr>
            <w:r>
              <w:t>hu-HU</w:t>
            </w:r>
          </w:p>
        </w:tc>
      </w:tr>
      <w:tr w:rsidR="000A156F" w:rsidTr="000A156F">
        <w:tc>
          <w:tcPr>
            <w:tcW w:w="0" w:type="auto"/>
            <w:vAlign w:val="center"/>
          </w:tcPr>
          <w:p w:rsidR="000A156F" w:rsidRDefault="00A9721F">
            <w:pPr>
              <w:pStyle w:val="TableBodyText"/>
            </w:pPr>
            <w:r>
              <w:t>Icelandic</w:t>
            </w:r>
          </w:p>
        </w:tc>
        <w:tc>
          <w:tcPr>
            <w:tcW w:w="0" w:type="auto"/>
            <w:vAlign w:val="center"/>
          </w:tcPr>
          <w:p w:rsidR="000A156F" w:rsidRDefault="00A9721F">
            <w:pPr>
              <w:pStyle w:val="TableBodyText"/>
            </w:pPr>
            <w:r>
              <w:t>Iceland</w:t>
            </w:r>
          </w:p>
        </w:tc>
        <w:tc>
          <w:tcPr>
            <w:tcW w:w="0" w:type="auto"/>
            <w:vAlign w:val="center"/>
          </w:tcPr>
          <w:p w:rsidR="000A156F" w:rsidRDefault="00A9721F">
            <w:pPr>
              <w:pStyle w:val="TableBodyText"/>
            </w:pPr>
            <w:r>
              <w:t>is-IS</w:t>
            </w:r>
          </w:p>
        </w:tc>
      </w:tr>
      <w:tr w:rsidR="000A156F" w:rsidTr="000A156F">
        <w:tc>
          <w:tcPr>
            <w:tcW w:w="0" w:type="auto"/>
            <w:vAlign w:val="center"/>
          </w:tcPr>
          <w:p w:rsidR="000A156F" w:rsidRDefault="00A9721F">
            <w:pPr>
              <w:pStyle w:val="TableBodyText"/>
            </w:pPr>
            <w:r>
              <w:t xml:space="preserve">Igbo </w:t>
            </w:r>
          </w:p>
        </w:tc>
        <w:tc>
          <w:tcPr>
            <w:tcW w:w="0" w:type="auto"/>
            <w:vAlign w:val="center"/>
          </w:tcPr>
          <w:p w:rsidR="000A156F" w:rsidRDefault="00A9721F">
            <w:pPr>
              <w:pStyle w:val="TableBodyText"/>
            </w:pPr>
            <w:r>
              <w:t>Nigeria</w:t>
            </w:r>
          </w:p>
        </w:tc>
        <w:tc>
          <w:tcPr>
            <w:tcW w:w="0" w:type="auto"/>
            <w:vAlign w:val="center"/>
          </w:tcPr>
          <w:p w:rsidR="000A156F" w:rsidRDefault="00A9721F">
            <w:pPr>
              <w:pStyle w:val="TableBodyText"/>
            </w:pPr>
            <w:r>
              <w:t xml:space="preserve">ig-NG </w:t>
            </w:r>
          </w:p>
        </w:tc>
      </w:tr>
      <w:tr w:rsidR="000A156F" w:rsidTr="000A156F">
        <w:tc>
          <w:tcPr>
            <w:tcW w:w="0" w:type="auto"/>
            <w:vAlign w:val="center"/>
          </w:tcPr>
          <w:p w:rsidR="000A156F" w:rsidRDefault="00A9721F">
            <w:pPr>
              <w:pStyle w:val="TableBodyText"/>
            </w:pPr>
            <w:r>
              <w:t>Inari Sami</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smn-FI</w:t>
            </w:r>
          </w:p>
        </w:tc>
      </w:tr>
      <w:tr w:rsidR="000A156F" w:rsidTr="000A156F">
        <w:tc>
          <w:tcPr>
            <w:tcW w:w="0" w:type="auto"/>
            <w:vAlign w:val="center"/>
          </w:tcPr>
          <w:p w:rsidR="000A156F" w:rsidRDefault="00A9721F">
            <w:pPr>
              <w:pStyle w:val="TableBodyText"/>
            </w:pPr>
            <w:r>
              <w:t>Indonesian</w:t>
            </w:r>
          </w:p>
        </w:tc>
        <w:tc>
          <w:tcPr>
            <w:tcW w:w="0" w:type="auto"/>
            <w:vAlign w:val="center"/>
          </w:tcPr>
          <w:p w:rsidR="000A156F" w:rsidRDefault="00A9721F">
            <w:pPr>
              <w:pStyle w:val="TableBodyText"/>
            </w:pPr>
            <w:r>
              <w:t>Indonesia</w:t>
            </w:r>
          </w:p>
        </w:tc>
        <w:tc>
          <w:tcPr>
            <w:tcW w:w="0" w:type="auto"/>
            <w:vAlign w:val="center"/>
          </w:tcPr>
          <w:p w:rsidR="000A156F" w:rsidRDefault="00A9721F">
            <w:pPr>
              <w:pStyle w:val="TableBodyText"/>
            </w:pPr>
            <w:r>
              <w:t>id-ID</w:t>
            </w:r>
          </w:p>
        </w:tc>
      </w:tr>
      <w:tr w:rsidR="000A156F" w:rsidTr="000A156F">
        <w:tc>
          <w:tcPr>
            <w:tcW w:w="0" w:type="auto"/>
            <w:vAlign w:val="center"/>
          </w:tcPr>
          <w:p w:rsidR="000A156F" w:rsidRDefault="00A9721F">
            <w:pPr>
              <w:pStyle w:val="TableBodyText"/>
            </w:pPr>
            <w:r>
              <w:t>Inuktitut (Latin)</w:t>
            </w:r>
          </w:p>
        </w:tc>
        <w:tc>
          <w:tcPr>
            <w:tcW w:w="0" w:type="auto"/>
            <w:vAlign w:val="center"/>
          </w:tcPr>
          <w:p w:rsidR="000A156F" w:rsidRDefault="00A9721F">
            <w:pPr>
              <w:pStyle w:val="TableBodyText"/>
            </w:pPr>
            <w:r>
              <w:t>Canada</w:t>
            </w:r>
          </w:p>
        </w:tc>
        <w:tc>
          <w:tcPr>
            <w:tcW w:w="0" w:type="auto"/>
            <w:vAlign w:val="center"/>
          </w:tcPr>
          <w:p w:rsidR="000A156F" w:rsidRDefault="00A9721F">
            <w:pPr>
              <w:pStyle w:val="TableBodyText"/>
            </w:pPr>
            <w:r>
              <w:t>iu-CA-Latn</w:t>
            </w:r>
          </w:p>
        </w:tc>
      </w:tr>
      <w:tr w:rsidR="000A156F" w:rsidTr="000A156F">
        <w:tc>
          <w:tcPr>
            <w:tcW w:w="0" w:type="auto"/>
            <w:vAlign w:val="center"/>
          </w:tcPr>
          <w:p w:rsidR="000A156F" w:rsidRDefault="00A9721F">
            <w:pPr>
              <w:pStyle w:val="TableBodyText"/>
            </w:pPr>
            <w:r>
              <w:t>Inuktitut (Syllabics)</w:t>
            </w:r>
          </w:p>
        </w:tc>
        <w:tc>
          <w:tcPr>
            <w:tcW w:w="0" w:type="auto"/>
            <w:vAlign w:val="center"/>
          </w:tcPr>
          <w:p w:rsidR="000A156F" w:rsidRDefault="00A9721F">
            <w:pPr>
              <w:pStyle w:val="TableBodyText"/>
            </w:pPr>
            <w:r>
              <w:t>Canada</w:t>
            </w:r>
          </w:p>
        </w:tc>
        <w:tc>
          <w:tcPr>
            <w:tcW w:w="0" w:type="auto"/>
            <w:vAlign w:val="center"/>
          </w:tcPr>
          <w:p w:rsidR="000A156F" w:rsidRDefault="00A9721F">
            <w:pPr>
              <w:pStyle w:val="TableBodyText"/>
            </w:pPr>
            <w:r>
              <w:t>iu-CA-Cans</w:t>
            </w:r>
          </w:p>
        </w:tc>
      </w:tr>
      <w:tr w:rsidR="000A156F" w:rsidTr="000A156F">
        <w:tc>
          <w:tcPr>
            <w:tcW w:w="0" w:type="auto"/>
            <w:vAlign w:val="center"/>
          </w:tcPr>
          <w:p w:rsidR="000A156F" w:rsidRDefault="00A9721F">
            <w:pPr>
              <w:pStyle w:val="TableBodyText"/>
            </w:pPr>
            <w:r>
              <w:t>Irish</w:t>
            </w:r>
          </w:p>
        </w:tc>
        <w:tc>
          <w:tcPr>
            <w:tcW w:w="0" w:type="auto"/>
            <w:vAlign w:val="center"/>
          </w:tcPr>
          <w:p w:rsidR="000A156F" w:rsidRDefault="00A9721F">
            <w:pPr>
              <w:pStyle w:val="TableBodyText"/>
            </w:pPr>
            <w:r>
              <w:t>Ireland</w:t>
            </w:r>
          </w:p>
        </w:tc>
        <w:tc>
          <w:tcPr>
            <w:tcW w:w="0" w:type="auto"/>
            <w:vAlign w:val="center"/>
          </w:tcPr>
          <w:p w:rsidR="000A156F" w:rsidRDefault="00A9721F">
            <w:pPr>
              <w:pStyle w:val="TableBodyText"/>
            </w:pPr>
            <w:r>
              <w:t>ga-IE</w:t>
            </w:r>
          </w:p>
        </w:tc>
      </w:tr>
      <w:tr w:rsidR="000A156F" w:rsidTr="000A156F">
        <w:tc>
          <w:tcPr>
            <w:tcW w:w="0" w:type="auto"/>
            <w:vAlign w:val="center"/>
          </w:tcPr>
          <w:p w:rsidR="000A156F" w:rsidRDefault="00A9721F">
            <w:pPr>
              <w:pStyle w:val="TableBodyText"/>
            </w:pPr>
            <w:r>
              <w:t>isiXhosa / Xhosa</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xh-ZA</w:t>
            </w:r>
          </w:p>
        </w:tc>
      </w:tr>
      <w:tr w:rsidR="000A156F" w:rsidTr="000A156F">
        <w:tc>
          <w:tcPr>
            <w:tcW w:w="0" w:type="auto"/>
            <w:vAlign w:val="center"/>
          </w:tcPr>
          <w:p w:rsidR="000A156F" w:rsidRDefault="00A9721F">
            <w:pPr>
              <w:pStyle w:val="TableBodyText"/>
            </w:pPr>
            <w:r>
              <w:lastRenderedPageBreak/>
              <w:t>isiZulu / Zulu</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zu-ZA</w:t>
            </w:r>
          </w:p>
        </w:tc>
      </w:tr>
      <w:tr w:rsidR="000A156F" w:rsidTr="000A156F">
        <w:tc>
          <w:tcPr>
            <w:tcW w:w="0" w:type="auto"/>
            <w:vAlign w:val="center"/>
          </w:tcPr>
          <w:p w:rsidR="000A156F" w:rsidRDefault="00A9721F">
            <w:pPr>
              <w:pStyle w:val="TableBodyText"/>
            </w:pPr>
            <w:r>
              <w:t>Italian</w:t>
            </w:r>
          </w:p>
        </w:tc>
        <w:tc>
          <w:tcPr>
            <w:tcW w:w="0" w:type="auto"/>
            <w:vAlign w:val="center"/>
          </w:tcPr>
          <w:p w:rsidR="000A156F" w:rsidRDefault="00A9721F">
            <w:pPr>
              <w:pStyle w:val="TableBodyText"/>
            </w:pPr>
            <w:r>
              <w:t>Italy</w:t>
            </w:r>
          </w:p>
        </w:tc>
        <w:tc>
          <w:tcPr>
            <w:tcW w:w="0" w:type="auto"/>
            <w:vAlign w:val="center"/>
          </w:tcPr>
          <w:p w:rsidR="000A156F" w:rsidRDefault="00A9721F">
            <w:pPr>
              <w:pStyle w:val="TableBodyText"/>
            </w:pPr>
            <w:r>
              <w:t>it-IT</w:t>
            </w:r>
          </w:p>
        </w:tc>
      </w:tr>
      <w:tr w:rsidR="000A156F" w:rsidTr="000A156F">
        <w:tc>
          <w:tcPr>
            <w:tcW w:w="0" w:type="auto"/>
            <w:vAlign w:val="center"/>
          </w:tcPr>
          <w:p w:rsidR="000A156F" w:rsidRDefault="00A9721F">
            <w:pPr>
              <w:pStyle w:val="TableBodyText"/>
            </w:pPr>
            <w:r>
              <w:t>Italian</w:t>
            </w:r>
          </w:p>
        </w:tc>
        <w:tc>
          <w:tcPr>
            <w:tcW w:w="0" w:type="auto"/>
            <w:vAlign w:val="center"/>
          </w:tcPr>
          <w:p w:rsidR="000A156F" w:rsidRDefault="00A9721F">
            <w:pPr>
              <w:pStyle w:val="TableBodyText"/>
            </w:pPr>
            <w:r>
              <w:t>Switzerland</w:t>
            </w:r>
          </w:p>
        </w:tc>
        <w:tc>
          <w:tcPr>
            <w:tcW w:w="0" w:type="auto"/>
            <w:vAlign w:val="center"/>
          </w:tcPr>
          <w:p w:rsidR="000A156F" w:rsidRDefault="00A9721F">
            <w:pPr>
              <w:pStyle w:val="TableBodyText"/>
            </w:pPr>
            <w:r>
              <w:t>it-CH</w:t>
            </w:r>
          </w:p>
        </w:tc>
      </w:tr>
      <w:tr w:rsidR="000A156F" w:rsidTr="000A156F">
        <w:tc>
          <w:tcPr>
            <w:tcW w:w="0" w:type="auto"/>
            <w:vAlign w:val="center"/>
          </w:tcPr>
          <w:p w:rsidR="000A156F" w:rsidRDefault="00A9721F">
            <w:pPr>
              <w:pStyle w:val="TableBodyText"/>
            </w:pPr>
            <w:r>
              <w:t>Japanese</w:t>
            </w:r>
          </w:p>
        </w:tc>
        <w:tc>
          <w:tcPr>
            <w:tcW w:w="0" w:type="auto"/>
            <w:vAlign w:val="center"/>
          </w:tcPr>
          <w:p w:rsidR="000A156F" w:rsidRDefault="00A9721F">
            <w:pPr>
              <w:pStyle w:val="TableBodyText"/>
            </w:pPr>
            <w:r>
              <w:t>Japan</w:t>
            </w:r>
          </w:p>
        </w:tc>
        <w:tc>
          <w:tcPr>
            <w:tcW w:w="0" w:type="auto"/>
            <w:vAlign w:val="center"/>
          </w:tcPr>
          <w:p w:rsidR="000A156F" w:rsidRDefault="00A9721F">
            <w:pPr>
              <w:pStyle w:val="TableBodyText"/>
            </w:pPr>
            <w:r>
              <w:t>ja-JP</w:t>
            </w:r>
          </w:p>
        </w:tc>
      </w:tr>
      <w:tr w:rsidR="000A156F" w:rsidTr="000A156F">
        <w:tc>
          <w:tcPr>
            <w:tcW w:w="0" w:type="auto"/>
            <w:vAlign w:val="center"/>
          </w:tcPr>
          <w:p w:rsidR="000A156F" w:rsidRDefault="00A9721F">
            <w:pPr>
              <w:pStyle w:val="TableBodyText"/>
            </w:pPr>
            <w:r>
              <w:t>Kannada (Kannada Script)</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kn-IN</w:t>
            </w:r>
          </w:p>
        </w:tc>
      </w:tr>
      <w:tr w:rsidR="000A156F" w:rsidTr="000A156F">
        <w:tc>
          <w:tcPr>
            <w:tcW w:w="0" w:type="auto"/>
            <w:vAlign w:val="center"/>
          </w:tcPr>
          <w:p w:rsidR="000A156F" w:rsidRDefault="00A9721F">
            <w:pPr>
              <w:pStyle w:val="TableBodyText"/>
            </w:pPr>
            <w:r>
              <w:t>Kazakh</w:t>
            </w:r>
          </w:p>
        </w:tc>
        <w:tc>
          <w:tcPr>
            <w:tcW w:w="0" w:type="auto"/>
            <w:vAlign w:val="center"/>
          </w:tcPr>
          <w:p w:rsidR="000A156F" w:rsidRDefault="00A9721F">
            <w:pPr>
              <w:pStyle w:val="TableBodyText"/>
            </w:pPr>
            <w:r>
              <w:t>Kazakhstan</w:t>
            </w:r>
          </w:p>
        </w:tc>
        <w:tc>
          <w:tcPr>
            <w:tcW w:w="0" w:type="auto"/>
            <w:vAlign w:val="center"/>
          </w:tcPr>
          <w:p w:rsidR="000A156F" w:rsidRDefault="00A9721F">
            <w:pPr>
              <w:pStyle w:val="TableBodyText"/>
            </w:pPr>
            <w:r>
              <w:t>kk-KZ</w:t>
            </w:r>
          </w:p>
        </w:tc>
      </w:tr>
      <w:tr w:rsidR="000A156F" w:rsidTr="000A156F">
        <w:tc>
          <w:tcPr>
            <w:tcW w:w="0" w:type="auto"/>
            <w:vAlign w:val="center"/>
          </w:tcPr>
          <w:p w:rsidR="000A156F" w:rsidRDefault="00A9721F">
            <w:pPr>
              <w:pStyle w:val="TableBodyText"/>
            </w:pPr>
            <w:r>
              <w:t>Khmer</w:t>
            </w:r>
          </w:p>
        </w:tc>
        <w:tc>
          <w:tcPr>
            <w:tcW w:w="0" w:type="auto"/>
            <w:vAlign w:val="center"/>
          </w:tcPr>
          <w:p w:rsidR="000A156F" w:rsidRDefault="00A9721F">
            <w:pPr>
              <w:pStyle w:val="TableBodyText"/>
            </w:pPr>
            <w:r>
              <w:t>Cambodia</w:t>
            </w:r>
          </w:p>
        </w:tc>
        <w:tc>
          <w:tcPr>
            <w:tcW w:w="0" w:type="auto"/>
            <w:vAlign w:val="center"/>
          </w:tcPr>
          <w:p w:rsidR="000A156F" w:rsidRDefault="00A9721F">
            <w:pPr>
              <w:pStyle w:val="TableBodyText"/>
            </w:pPr>
            <w:r>
              <w:t>kh-KH</w:t>
            </w:r>
          </w:p>
        </w:tc>
      </w:tr>
      <w:tr w:rsidR="000A156F" w:rsidTr="000A156F">
        <w:tc>
          <w:tcPr>
            <w:tcW w:w="0" w:type="auto"/>
            <w:vAlign w:val="center"/>
          </w:tcPr>
          <w:p w:rsidR="000A156F" w:rsidRDefault="00A9721F">
            <w:pPr>
              <w:pStyle w:val="TableBodyText"/>
            </w:pPr>
            <w:r>
              <w:t>K'iche</w:t>
            </w:r>
          </w:p>
        </w:tc>
        <w:tc>
          <w:tcPr>
            <w:tcW w:w="0" w:type="auto"/>
            <w:vAlign w:val="center"/>
          </w:tcPr>
          <w:p w:rsidR="000A156F" w:rsidRDefault="00A9721F">
            <w:pPr>
              <w:pStyle w:val="TableBodyText"/>
            </w:pPr>
            <w:r>
              <w:t>Guatemala</w:t>
            </w:r>
          </w:p>
        </w:tc>
        <w:tc>
          <w:tcPr>
            <w:tcW w:w="0" w:type="auto"/>
            <w:vAlign w:val="center"/>
          </w:tcPr>
          <w:p w:rsidR="000A156F" w:rsidRDefault="00A9721F">
            <w:pPr>
              <w:pStyle w:val="TableBodyText"/>
            </w:pPr>
            <w:r>
              <w:t>qut-GT</w:t>
            </w:r>
          </w:p>
        </w:tc>
      </w:tr>
      <w:tr w:rsidR="000A156F" w:rsidTr="000A156F">
        <w:tc>
          <w:tcPr>
            <w:tcW w:w="0" w:type="auto"/>
            <w:vAlign w:val="center"/>
          </w:tcPr>
          <w:p w:rsidR="000A156F" w:rsidRDefault="00A9721F">
            <w:pPr>
              <w:pStyle w:val="TableBodyText"/>
            </w:pPr>
            <w:r>
              <w:t xml:space="preserve">Kinyarwanda </w:t>
            </w:r>
          </w:p>
        </w:tc>
        <w:tc>
          <w:tcPr>
            <w:tcW w:w="0" w:type="auto"/>
            <w:vAlign w:val="center"/>
          </w:tcPr>
          <w:p w:rsidR="000A156F" w:rsidRDefault="00A9721F">
            <w:pPr>
              <w:pStyle w:val="TableBodyText"/>
            </w:pPr>
            <w:r>
              <w:t>Rwanda</w:t>
            </w:r>
          </w:p>
        </w:tc>
        <w:tc>
          <w:tcPr>
            <w:tcW w:w="0" w:type="auto"/>
            <w:vAlign w:val="center"/>
          </w:tcPr>
          <w:p w:rsidR="000A156F" w:rsidRDefault="00A9721F">
            <w:pPr>
              <w:pStyle w:val="TableBodyText"/>
            </w:pPr>
            <w:r>
              <w:t>rw-RW</w:t>
            </w:r>
          </w:p>
        </w:tc>
      </w:tr>
      <w:tr w:rsidR="000A156F" w:rsidTr="000A156F">
        <w:tc>
          <w:tcPr>
            <w:tcW w:w="0" w:type="auto"/>
            <w:vAlign w:val="center"/>
          </w:tcPr>
          <w:p w:rsidR="000A156F" w:rsidRDefault="00A9721F">
            <w:pPr>
              <w:pStyle w:val="TableBodyText"/>
            </w:pPr>
            <w:r>
              <w:t>Konkani</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kok-IN</w:t>
            </w:r>
          </w:p>
        </w:tc>
      </w:tr>
      <w:tr w:rsidR="000A156F" w:rsidTr="000A156F">
        <w:tc>
          <w:tcPr>
            <w:tcW w:w="0" w:type="auto"/>
            <w:vAlign w:val="center"/>
          </w:tcPr>
          <w:p w:rsidR="000A156F" w:rsidRDefault="00A9721F">
            <w:pPr>
              <w:pStyle w:val="TableBodyText"/>
            </w:pPr>
            <w:r>
              <w:t>Korean</w:t>
            </w:r>
          </w:p>
        </w:tc>
        <w:tc>
          <w:tcPr>
            <w:tcW w:w="0" w:type="auto"/>
            <w:vAlign w:val="center"/>
          </w:tcPr>
          <w:p w:rsidR="000A156F" w:rsidRDefault="00A9721F">
            <w:pPr>
              <w:pStyle w:val="TableBodyText"/>
            </w:pPr>
            <w:r>
              <w:t>Korea</w:t>
            </w:r>
          </w:p>
        </w:tc>
        <w:tc>
          <w:tcPr>
            <w:tcW w:w="0" w:type="auto"/>
            <w:vAlign w:val="center"/>
          </w:tcPr>
          <w:p w:rsidR="000A156F" w:rsidRDefault="00A9721F">
            <w:pPr>
              <w:pStyle w:val="TableBodyText"/>
            </w:pPr>
            <w:r>
              <w:t>ko-KR</w:t>
            </w:r>
          </w:p>
        </w:tc>
      </w:tr>
      <w:tr w:rsidR="000A156F" w:rsidTr="000A156F">
        <w:tc>
          <w:tcPr>
            <w:tcW w:w="0" w:type="auto"/>
            <w:vAlign w:val="center"/>
          </w:tcPr>
          <w:p w:rsidR="000A156F" w:rsidRDefault="00A9721F">
            <w:pPr>
              <w:pStyle w:val="TableBodyText"/>
            </w:pPr>
            <w:r>
              <w:t>Kyrgyz</w:t>
            </w:r>
          </w:p>
        </w:tc>
        <w:tc>
          <w:tcPr>
            <w:tcW w:w="0" w:type="auto"/>
            <w:vAlign w:val="center"/>
          </w:tcPr>
          <w:p w:rsidR="000A156F" w:rsidRDefault="00A9721F">
            <w:pPr>
              <w:pStyle w:val="TableBodyText"/>
            </w:pPr>
            <w:r>
              <w:t>Kyrgyzstan</w:t>
            </w:r>
          </w:p>
        </w:tc>
        <w:tc>
          <w:tcPr>
            <w:tcW w:w="0" w:type="auto"/>
            <w:vAlign w:val="center"/>
          </w:tcPr>
          <w:p w:rsidR="000A156F" w:rsidRDefault="00A9721F">
            <w:pPr>
              <w:pStyle w:val="TableBodyText"/>
            </w:pPr>
            <w:r>
              <w:t>ky-KG</w:t>
            </w:r>
          </w:p>
        </w:tc>
      </w:tr>
      <w:tr w:rsidR="000A156F" w:rsidTr="000A156F">
        <w:tc>
          <w:tcPr>
            <w:tcW w:w="0" w:type="auto"/>
            <w:vAlign w:val="center"/>
          </w:tcPr>
          <w:p w:rsidR="000A156F" w:rsidRDefault="00A9721F">
            <w:pPr>
              <w:pStyle w:val="TableBodyText"/>
            </w:pPr>
            <w:r>
              <w:t>Lao</w:t>
            </w:r>
          </w:p>
        </w:tc>
        <w:tc>
          <w:tcPr>
            <w:tcW w:w="0" w:type="auto"/>
            <w:vAlign w:val="center"/>
          </w:tcPr>
          <w:p w:rsidR="000A156F" w:rsidRDefault="00A9721F">
            <w:pPr>
              <w:pStyle w:val="TableBodyText"/>
            </w:pPr>
            <w:r>
              <w:t>Lao PDR</w:t>
            </w:r>
          </w:p>
        </w:tc>
        <w:tc>
          <w:tcPr>
            <w:tcW w:w="0" w:type="auto"/>
            <w:vAlign w:val="center"/>
          </w:tcPr>
          <w:p w:rsidR="000A156F" w:rsidRDefault="00A9721F">
            <w:pPr>
              <w:pStyle w:val="TableBodyText"/>
            </w:pPr>
            <w:r>
              <w:t>lo-LA</w:t>
            </w:r>
          </w:p>
        </w:tc>
      </w:tr>
      <w:tr w:rsidR="000A156F" w:rsidTr="000A156F">
        <w:tc>
          <w:tcPr>
            <w:tcW w:w="0" w:type="auto"/>
            <w:vAlign w:val="center"/>
          </w:tcPr>
          <w:p w:rsidR="000A156F" w:rsidRDefault="00A9721F">
            <w:pPr>
              <w:pStyle w:val="TableBodyText"/>
            </w:pPr>
            <w:r>
              <w:t>Latvian</w:t>
            </w:r>
          </w:p>
        </w:tc>
        <w:tc>
          <w:tcPr>
            <w:tcW w:w="0" w:type="auto"/>
            <w:vAlign w:val="center"/>
          </w:tcPr>
          <w:p w:rsidR="000A156F" w:rsidRDefault="00A9721F">
            <w:pPr>
              <w:pStyle w:val="TableBodyText"/>
            </w:pPr>
            <w:r>
              <w:t>Latvia</w:t>
            </w:r>
          </w:p>
        </w:tc>
        <w:tc>
          <w:tcPr>
            <w:tcW w:w="0" w:type="auto"/>
            <w:vAlign w:val="center"/>
          </w:tcPr>
          <w:p w:rsidR="000A156F" w:rsidRDefault="00A9721F">
            <w:pPr>
              <w:pStyle w:val="TableBodyText"/>
            </w:pPr>
            <w:r>
              <w:t>lv-LV</w:t>
            </w:r>
          </w:p>
        </w:tc>
      </w:tr>
      <w:tr w:rsidR="000A156F" w:rsidTr="000A156F">
        <w:tc>
          <w:tcPr>
            <w:tcW w:w="0" w:type="auto"/>
            <w:vAlign w:val="center"/>
          </w:tcPr>
          <w:p w:rsidR="000A156F" w:rsidRDefault="00A9721F">
            <w:pPr>
              <w:pStyle w:val="TableBodyText"/>
            </w:pPr>
            <w:r>
              <w:t>Lithuanian</w:t>
            </w:r>
          </w:p>
        </w:tc>
        <w:tc>
          <w:tcPr>
            <w:tcW w:w="0" w:type="auto"/>
            <w:vAlign w:val="center"/>
          </w:tcPr>
          <w:p w:rsidR="000A156F" w:rsidRDefault="00A9721F">
            <w:pPr>
              <w:pStyle w:val="TableBodyText"/>
            </w:pPr>
            <w:r>
              <w:t>Lithuania</w:t>
            </w:r>
          </w:p>
        </w:tc>
        <w:tc>
          <w:tcPr>
            <w:tcW w:w="0" w:type="auto"/>
            <w:vAlign w:val="center"/>
          </w:tcPr>
          <w:p w:rsidR="000A156F" w:rsidRDefault="00A9721F">
            <w:pPr>
              <w:pStyle w:val="TableBodyText"/>
            </w:pPr>
            <w:r>
              <w:t>lt-LT</w:t>
            </w:r>
          </w:p>
        </w:tc>
      </w:tr>
      <w:tr w:rsidR="000A156F" w:rsidTr="000A156F">
        <w:tc>
          <w:tcPr>
            <w:tcW w:w="0" w:type="auto"/>
            <w:vAlign w:val="center"/>
          </w:tcPr>
          <w:p w:rsidR="000A156F" w:rsidRDefault="00A9721F">
            <w:pPr>
              <w:pStyle w:val="TableBodyText"/>
            </w:pPr>
            <w:r>
              <w:t>Lower Sorbian</w:t>
            </w:r>
          </w:p>
        </w:tc>
        <w:tc>
          <w:tcPr>
            <w:tcW w:w="0" w:type="auto"/>
            <w:vAlign w:val="center"/>
          </w:tcPr>
          <w:p w:rsidR="000A156F" w:rsidRDefault="00A9721F">
            <w:pPr>
              <w:pStyle w:val="TableBodyText"/>
            </w:pPr>
            <w:r>
              <w:t>Germany</w:t>
            </w:r>
          </w:p>
        </w:tc>
        <w:tc>
          <w:tcPr>
            <w:tcW w:w="0" w:type="auto"/>
            <w:vAlign w:val="center"/>
          </w:tcPr>
          <w:p w:rsidR="000A156F" w:rsidRDefault="00A9721F">
            <w:pPr>
              <w:pStyle w:val="TableBodyText"/>
            </w:pPr>
            <w:r>
              <w:t>wee-DE</w:t>
            </w:r>
          </w:p>
        </w:tc>
      </w:tr>
      <w:tr w:rsidR="000A156F" w:rsidTr="000A156F">
        <w:tc>
          <w:tcPr>
            <w:tcW w:w="0" w:type="auto"/>
            <w:vAlign w:val="center"/>
          </w:tcPr>
          <w:p w:rsidR="000A156F" w:rsidRDefault="00A9721F">
            <w:pPr>
              <w:pStyle w:val="TableBodyText"/>
            </w:pPr>
            <w:r>
              <w:t>Lule Sami</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smj-NO</w:t>
            </w:r>
          </w:p>
        </w:tc>
      </w:tr>
      <w:tr w:rsidR="000A156F" w:rsidTr="000A156F">
        <w:tc>
          <w:tcPr>
            <w:tcW w:w="0" w:type="auto"/>
            <w:vAlign w:val="center"/>
          </w:tcPr>
          <w:p w:rsidR="000A156F" w:rsidRDefault="00A9721F">
            <w:pPr>
              <w:pStyle w:val="TableBodyText"/>
            </w:pPr>
            <w:r>
              <w:t>Lule Sami</w:t>
            </w:r>
          </w:p>
        </w:tc>
        <w:tc>
          <w:tcPr>
            <w:tcW w:w="0" w:type="auto"/>
            <w:vAlign w:val="center"/>
          </w:tcPr>
          <w:p w:rsidR="000A156F" w:rsidRDefault="00A9721F">
            <w:pPr>
              <w:pStyle w:val="TableBodyText"/>
            </w:pPr>
            <w:r>
              <w:t>Sweden</w:t>
            </w:r>
          </w:p>
        </w:tc>
        <w:tc>
          <w:tcPr>
            <w:tcW w:w="0" w:type="auto"/>
            <w:vAlign w:val="center"/>
          </w:tcPr>
          <w:p w:rsidR="000A156F" w:rsidRDefault="00A9721F">
            <w:pPr>
              <w:pStyle w:val="TableBodyText"/>
            </w:pPr>
            <w:r>
              <w:t>smj-SE</w:t>
            </w:r>
          </w:p>
        </w:tc>
      </w:tr>
      <w:tr w:rsidR="000A156F" w:rsidTr="000A156F">
        <w:tc>
          <w:tcPr>
            <w:tcW w:w="0" w:type="auto"/>
            <w:vAlign w:val="center"/>
          </w:tcPr>
          <w:p w:rsidR="000A156F" w:rsidRDefault="00A9721F">
            <w:pPr>
              <w:pStyle w:val="TableBodyText"/>
            </w:pPr>
            <w:r>
              <w:t>Luxembourgish</w:t>
            </w:r>
          </w:p>
        </w:tc>
        <w:tc>
          <w:tcPr>
            <w:tcW w:w="0" w:type="auto"/>
            <w:vAlign w:val="center"/>
          </w:tcPr>
          <w:p w:rsidR="000A156F" w:rsidRDefault="00A9721F">
            <w:pPr>
              <w:pStyle w:val="TableBodyText"/>
            </w:pPr>
            <w:r>
              <w:t>Luxembourg</w:t>
            </w:r>
          </w:p>
        </w:tc>
        <w:tc>
          <w:tcPr>
            <w:tcW w:w="0" w:type="auto"/>
            <w:vAlign w:val="center"/>
          </w:tcPr>
          <w:p w:rsidR="000A156F" w:rsidRDefault="00A9721F">
            <w:pPr>
              <w:pStyle w:val="TableBodyText"/>
            </w:pPr>
            <w:r>
              <w:t>lb-LU</w:t>
            </w:r>
          </w:p>
        </w:tc>
      </w:tr>
      <w:tr w:rsidR="000A156F" w:rsidTr="000A156F">
        <w:tc>
          <w:tcPr>
            <w:tcW w:w="0" w:type="auto"/>
            <w:vAlign w:val="center"/>
          </w:tcPr>
          <w:p w:rsidR="000A156F" w:rsidRDefault="00A9721F">
            <w:pPr>
              <w:pStyle w:val="TableBodyText"/>
            </w:pPr>
            <w:r>
              <w:t xml:space="preserve">Macedonian </w:t>
            </w:r>
          </w:p>
        </w:tc>
        <w:tc>
          <w:tcPr>
            <w:tcW w:w="0" w:type="auto"/>
            <w:vAlign w:val="center"/>
          </w:tcPr>
          <w:p w:rsidR="000A156F" w:rsidRDefault="00A9721F">
            <w:pPr>
              <w:pStyle w:val="TableBodyText"/>
            </w:pPr>
            <w:r>
              <w:t>Macedonia, FYRO</w:t>
            </w:r>
          </w:p>
        </w:tc>
        <w:tc>
          <w:tcPr>
            <w:tcW w:w="0" w:type="auto"/>
            <w:vAlign w:val="center"/>
          </w:tcPr>
          <w:p w:rsidR="000A156F" w:rsidRDefault="00A9721F">
            <w:pPr>
              <w:pStyle w:val="TableBodyText"/>
            </w:pPr>
            <w:r>
              <w:t>mk-MK</w:t>
            </w:r>
          </w:p>
        </w:tc>
      </w:tr>
      <w:tr w:rsidR="000A156F" w:rsidTr="000A156F">
        <w:tc>
          <w:tcPr>
            <w:tcW w:w="0" w:type="auto"/>
            <w:vAlign w:val="center"/>
          </w:tcPr>
          <w:p w:rsidR="000A156F" w:rsidRDefault="00A9721F">
            <w:pPr>
              <w:pStyle w:val="TableBodyText"/>
            </w:pPr>
            <w:r>
              <w:t>Malay</w:t>
            </w:r>
          </w:p>
        </w:tc>
        <w:tc>
          <w:tcPr>
            <w:tcW w:w="0" w:type="auto"/>
            <w:vAlign w:val="center"/>
          </w:tcPr>
          <w:p w:rsidR="000A156F" w:rsidRDefault="00A9721F">
            <w:pPr>
              <w:pStyle w:val="TableBodyText"/>
            </w:pPr>
            <w:r>
              <w:t>Brunei</w:t>
            </w:r>
          </w:p>
        </w:tc>
        <w:tc>
          <w:tcPr>
            <w:tcW w:w="0" w:type="auto"/>
            <w:vAlign w:val="center"/>
          </w:tcPr>
          <w:p w:rsidR="000A156F" w:rsidRDefault="00A9721F">
            <w:pPr>
              <w:pStyle w:val="TableBodyText"/>
            </w:pPr>
            <w:r>
              <w:t>ms-BN</w:t>
            </w:r>
          </w:p>
        </w:tc>
      </w:tr>
      <w:tr w:rsidR="000A156F" w:rsidTr="000A156F">
        <w:tc>
          <w:tcPr>
            <w:tcW w:w="0" w:type="auto"/>
            <w:vAlign w:val="center"/>
          </w:tcPr>
          <w:p w:rsidR="000A156F" w:rsidRDefault="00A9721F">
            <w:pPr>
              <w:pStyle w:val="TableBodyText"/>
            </w:pPr>
            <w:r>
              <w:t>Malay</w:t>
            </w:r>
          </w:p>
        </w:tc>
        <w:tc>
          <w:tcPr>
            <w:tcW w:w="0" w:type="auto"/>
            <w:vAlign w:val="center"/>
          </w:tcPr>
          <w:p w:rsidR="000A156F" w:rsidRDefault="00A9721F">
            <w:pPr>
              <w:pStyle w:val="TableBodyText"/>
            </w:pPr>
            <w:r>
              <w:t>Malaysia</w:t>
            </w:r>
          </w:p>
        </w:tc>
        <w:tc>
          <w:tcPr>
            <w:tcW w:w="0" w:type="auto"/>
            <w:vAlign w:val="center"/>
          </w:tcPr>
          <w:p w:rsidR="000A156F" w:rsidRDefault="00A9721F">
            <w:pPr>
              <w:pStyle w:val="TableBodyText"/>
            </w:pPr>
            <w:r>
              <w:t>ms-MY</w:t>
            </w:r>
          </w:p>
        </w:tc>
      </w:tr>
      <w:tr w:rsidR="000A156F" w:rsidTr="000A156F">
        <w:tc>
          <w:tcPr>
            <w:tcW w:w="0" w:type="auto"/>
            <w:vAlign w:val="center"/>
          </w:tcPr>
          <w:p w:rsidR="000A156F" w:rsidRDefault="00A9721F">
            <w:pPr>
              <w:pStyle w:val="TableBodyText"/>
            </w:pPr>
            <w:r>
              <w:t xml:space="preserve">Malayalam (Malayalam Script) </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ml-IN</w:t>
            </w:r>
          </w:p>
        </w:tc>
      </w:tr>
      <w:tr w:rsidR="000A156F" w:rsidTr="000A156F">
        <w:tc>
          <w:tcPr>
            <w:tcW w:w="0" w:type="auto"/>
            <w:vAlign w:val="center"/>
          </w:tcPr>
          <w:p w:rsidR="000A156F" w:rsidRDefault="00A9721F">
            <w:pPr>
              <w:pStyle w:val="TableBodyText"/>
            </w:pPr>
            <w:r>
              <w:t>Maltese</w:t>
            </w:r>
          </w:p>
        </w:tc>
        <w:tc>
          <w:tcPr>
            <w:tcW w:w="0" w:type="auto"/>
            <w:vAlign w:val="center"/>
          </w:tcPr>
          <w:p w:rsidR="000A156F" w:rsidRDefault="00A9721F">
            <w:pPr>
              <w:pStyle w:val="TableBodyText"/>
            </w:pPr>
            <w:r>
              <w:t>Malta</w:t>
            </w:r>
          </w:p>
        </w:tc>
        <w:tc>
          <w:tcPr>
            <w:tcW w:w="0" w:type="auto"/>
            <w:vAlign w:val="center"/>
          </w:tcPr>
          <w:p w:rsidR="000A156F" w:rsidRDefault="00A9721F">
            <w:pPr>
              <w:pStyle w:val="TableBodyText"/>
            </w:pPr>
            <w:r>
              <w:t>mt-MT</w:t>
            </w:r>
          </w:p>
        </w:tc>
      </w:tr>
      <w:tr w:rsidR="000A156F" w:rsidTr="000A156F">
        <w:tc>
          <w:tcPr>
            <w:tcW w:w="0" w:type="auto"/>
            <w:vAlign w:val="center"/>
          </w:tcPr>
          <w:p w:rsidR="000A156F" w:rsidRDefault="00A9721F">
            <w:pPr>
              <w:pStyle w:val="TableBodyText"/>
            </w:pPr>
            <w:r>
              <w:t>Maori</w:t>
            </w:r>
          </w:p>
        </w:tc>
        <w:tc>
          <w:tcPr>
            <w:tcW w:w="0" w:type="auto"/>
            <w:vAlign w:val="center"/>
          </w:tcPr>
          <w:p w:rsidR="000A156F" w:rsidRDefault="00A9721F">
            <w:pPr>
              <w:pStyle w:val="TableBodyText"/>
            </w:pPr>
            <w:r>
              <w:t>New Zealand</w:t>
            </w:r>
          </w:p>
        </w:tc>
        <w:tc>
          <w:tcPr>
            <w:tcW w:w="0" w:type="auto"/>
            <w:vAlign w:val="center"/>
          </w:tcPr>
          <w:p w:rsidR="000A156F" w:rsidRDefault="00A9721F">
            <w:pPr>
              <w:pStyle w:val="TableBodyText"/>
            </w:pPr>
            <w:r>
              <w:t>mi-NZ</w:t>
            </w:r>
          </w:p>
        </w:tc>
      </w:tr>
      <w:tr w:rsidR="000A156F" w:rsidTr="000A156F">
        <w:tc>
          <w:tcPr>
            <w:tcW w:w="0" w:type="auto"/>
            <w:vAlign w:val="center"/>
          </w:tcPr>
          <w:p w:rsidR="000A156F" w:rsidRDefault="00A9721F">
            <w:pPr>
              <w:pStyle w:val="TableBodyText"/>
            </w:pPr>
            <w:r>
              <w:t>Mapudungun</w:t>
            </w:r>
          </w:p>
        </w:tc>
        <w:tc>
          <w:tcPr>
            <w:tcW w:w="0" w:type="auto"/>
            <w:vAlign w:val="center"/>
          </w:tcPr>
          <w:p w:rsidR="000A156F" w:rsidRDefault="00A9721F">
            <w:pPr>
              <w:pStyle w:val="TableBodyText"/>
            </w:pPr>
            <w:r>
              <w:t>Chile</w:t>
            </w:r>
          </w:p>
        </w:tc>
        <w:tc>
          <w:tcPr>
            <w:tcW w:w="0" w:type="auto"/>
            <w:vAlign w:val="center"/>
          </w:tcPr>
          <w:p w:rsidR="000A156F" w:rsidRDefault="00A9721F">
            <w:pPr>
              <w:pStyle w:val="TableBodyText"/>
            </w:pPr>
            <w:r>
              <w:t>arn-CL</w:t>
            </w:r>
          </w:p>
        </w:tc>
      </w:tr>
      <w:tr w:rsidR="000A156F" w:rsidTr="000A156F">
        <w:tc>
          <w:tcPr>
            <w:tcW w:w="0" w:type="auto"/>
            <w:vAlign w:val="center"/>
          </w:tcPr>
          <w:p w:rsidR="000A156F" w:rsidRDefault="00A9721F">
            <w:pPr>
              <w:pStyle w:val="TableBodyText"/>
            </w:pPr>
            <w:r>
              <w:t>Marathi</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mr-IN</w:t>
            </w:r>
          </w:p>
        </w:tc>
      </w:tr>
      <w:tr w:rsidR="000A156F" w:rsidTr="000A156F">
        <w:tc>
          <w:tcPr>
            <w:tcW w:w="0" w:type="auto"/>
            <w:vAlign w:val="center"/>
          </w:tcPr>
          <w:p w:rsidR="000A156F" w:rsidRDefault="00A9721F">
            <w:pPr>
              <w:pStyle w:val="TableBodyText"/>
            </w:pPr>
            <w:r>
              <w:t>Mohawk</w:t>
            </w:r>
          </w:p>
        </w:tc>
        <w:tc>
          <w:tcPr>
            <w:tcW w:w="0" w:type="auto"/>
            <w:vAlign w:val="center"/>
          </w:tcPr>
          <w:p w:rsidR="000A156F" w:rsidRDefault="00A9721F">
            <w:pPr>
              <w:pStyle w:val="TableBodyText"/>
            </w:pPr>
            <w:r>
              <w:t>Mohawk</w:t>
            </w:r>
          </w:p>
        </w:tc>
        <w:tc>
          <w:tcPr>
            <w:tcW w:w="0" w:type="auto"/>
            <w:vAlign w:val="center"/>
          </w:tcPr>
          <w:p w:rsidR="000A156F" w:rsidRDefault="00A9721F">
            <w:pPr>
              <w:pStyle w:val="TableBodyText"/>
            </w:pPr>
            <w:r>
              <w:t>moh-CA</w:t>
            </w:r>
          </w:p>
        </w:tc>
      </w:tr>
      <w:tr w:rsidR="000A156F" w:rsidTr="000A156F">
        <w:tc>
          <w:tcPr>
            <w:tcW w:w="0" w:type="auto"/>
            <w:vAlign w:val="center"/>
          </w:tcPr>
          <w:p w:rsidR="000A156F" w:rsidRDefault="00A9721F">
            <w:pPr>
              <w:pStyle w:val="TableBodyText"/>
            </w:pPr>
            <w:r>
              <w:t>Mongolian (Cyrillic)</w:t>
            </w:r>
          </w:p>
        </w:tc>
        <w:tc>
          <w:tcPr>
            <w:tcW w:w="0" w:type="auto"/>
            <w:vAlign w:val="center"/>
          </w:tcPr>
          <w:p w:rsidR="000A156F" w:rsidRDefault="00A9721F">
            <w:pPr>
              <w:pStyle w:val="TableBodyText"/>
            </w:pPr>
            <w:r>
              <w:t>Mongolia</w:t>
            </w:r>
          </w:p>
        </w:tc>
        <w:tc>
          <w:tcPr>
            <w:tcW w:w="0" w:type="auto"/>
            <w:vAlign w:val="center"/>
          </w:tcPr>
          <w:p w:rsidR="000A156F" w:rsidRDefault="00A9721F">
            <w:pPr>
              <w:pStyle w:val="TableBodyText"/>
            </w:pPr>
            <w:r>
              <w:t>mn-MN</w:t>
            </w:r>
          </w:p>
        </w:tc>
      </w:tr>
      <w:tr w:rsidR="000A156F" w:rsidTr="000A156F">
        <w:tc>
          <w:tcPr>
            <w:tcW w:w="0" w:type="auto"/>
            <w:vAlign w:val="center"/>
          </w:tcPr>
          <w:p w:rsidR="000A156F" w:rsidRDefault="00A9721F">
            <w:pPr>
              <w:pStyle w:val="TableBodyText"/>
            </w:pPr>
            <w:r>
              <w:t>Mongolian (Mongolian)</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mn-CN-Mong</w:t>
            </w:r>
          </w:p>
        </w:tc>
      </w:tr>
      <w:tr w:rsidR="000A156F" w:rsidTr="000A156F">
        <w:tc>
          <w:tcPr>
            <w:tcW w:w="0" w:type="auto"/>
            <w:vAlign w:val="center"/>
          </w:tcPr>
          <w:p w:rsidR="000A156F" w:rsidRDefault="00A9721F">
            <w:pPr>
              <w:pStyle w:val="TableBodyText"/>
            </w:pPr>
            <w:r>
              <w:t>Nepali</w:t>
            </w:r>
          </w:p>
        </w:tc>
        <w:tc>
          <w:tcPr>
            <w:tcW w:w="0" w:type="auto"/>
            <w:vAlign w:val="center"/>
          </w:tcPr>
          <w:p w:rsidR="000A156F" w:rsidRDefault="00A9721F">
            <w:pPr>
              <w:pStyle w:val="TableBodyText"/>
            </w:pPr>
            <w:r>
              <w:t>Nepal</w:t>
            </w:r>
          </w:p>
        </w:tc>
        <w:tc>
          <w:tcPr>
            <w:tcW w:w="0" w:type="auto"/>
            <w:vAlign w:val="center"/>
          </w:tcPr>
          <w:p w:rsidR="000A156F" w:rsidRDefault="00A9721F">
            <w:pPr>
              <w:pStyle w:val="TableBodyText"/>
            </w:pPr>
            <w:r>
              <w:t>ne-NP</w:t>
            </w:r>
          </w:p>
        </w:tc>
      </w:tr>
      <w:tr w:rsidR="000A156F" w:rsidTr="000A156F">
        <w:tc>
          <w:tcPr>
            <w:tcW w:w="0" w:type="auto"/>
            <w:vAlign w:val="center"/>
          </w:tcPr>
          <w:p w:rsidR="000A156F" w:rsidRDefault="00A9721F">
            <w:pPr>
              <w:pStyle w:val="TableBodyText"/>
            </w:pPr>
            <w:r>
              <w:t>Northern Sami</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se-FI</w:t>
            </w:r>
          </w:p>
        </w:tc>
      </w:tr>
      <w:tr w:rsidR="000A156F" w:rsidTr="000A156F">
        <w:tc>
          <w:tcPr>
            <w:tcW w:w="0" w:type="auto"/>
            <w:vAlign w:val="center"/>
          </w:tcPr>
          <w:p w:rsidR="000A156F" w:rsidRDefault="00A9721F">
            <w:pPr>
              <w:pStyle w:val="TableBodyText"/>
            </w:pPr>
            <w:r>
              <w:lastRenderedPageBreak/>
              <w:t>Northern Sami</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se-NO</w:t>
            </w:r>
          </w:p>
        </w:tc>
      </w:tr>
      <w:tr w:rsidR="000A156F" w:rsidTr="000A156F">
        <w:tc>
          <w:tcPr>
            <w:tcW w:w="0" w:type="auto"/>
            <w:vAlign w:val="center"/>
          </w:tcPr>
          <w:p w:rsidR="000A156F" w:rsidRDefault="00A9721F">
            <w:pPr>
              <w:pStyle w:val="TableBodyText"/>
            </w:pPr>
            <w:r>
              <w:t>Northern Sami</w:t>
            </w:r>
          </w:p>
        </w:tc>
        <w:tc>
          <w:tcPr>
            <w:tcW w:w="0" w:type="auto"/>
            <w:vAlign w:val="center"/>
          </w:tcPr>
          <w:p w:rsidR="000A156F" w:rsidRDefault="00A9721F">
            <w:pPr>
              <w:pStyle w:val="TableBodyText"/>
            </w:pPr>
            <w:r>
              <w:t>Sweden</w:t>
            </w:r>
          </w:p>
        </w:tc>
        <w:tc>
          <w:tcPr>
            <w:tcW w:w="0" w:type="auto"/>
            <w:vAlign w:val="center"/>
          </w:tcPr>
          <w:p w:rsidR="000A156F" w:rsidRDefault="00A9721F">
            <w:pPr>
              <w:pStyle w:val="TableBodyText"/>
            </w:pPr>
            <w:r>
              <w:t>se-SE</w:t>
            </w:r>
          </w:p>
        </w:tc>
      </w:tr>
      <w:tr w:rsidR="000A156F" w:rsidTr="000A156F">
        <w:tc>
          <w:tcPr>
            <w:tcW w:w="0" w:type="auto"/>
            <w:vAlign w:val="center"/>
          </w:tcPr>
          <w:p w:rsidR="000A156F" w:rsidRDefault="00A9721F">
            <w:pPr>
              <w:pStyle w:val="TableBodyText"/>
            </w:pPr>
            <w:r>
              <w:t>Norwegian (Bokmål)</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nb-NO</w:t>
            </w:r>
          </w:p>
        </w:tc>
      </w:tr>
      <w:tr w:rsidR="000A156F" w:rsidTr="000A156F">
        <w:tc>
          <w:tcPr>
            <w:tcW w:w="0" w:type="auto"/>
            <w:vAlign w:val="center"/>
          </w:tcPr>
          <w:p w:rsidR="000A156F" w:rsidRDefault="00A9721F">
            <w:pPr>
              <w:pStyle w:val="TableBodyText"/>
            </w:pPr>
            <w:r>
              <w:t>Norwegian (Nynorsk)</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nn-NO</w:t>
            </w:r>
          </w:p>
        </w:tc>
      </w:tr>
      <w:tr w:rsidR="000A156F" w:rsidTr="000A156F">
        <w:tc>
          <w:tcPr>
            <w:tcW w:w="0" w:type="auto"/>
            <w:vAlign w:val="center"/>
          </w:tcPr>
          <w:p w:rsidR="000A156F" w:rsidRDefault="00A9721F">
            <w:pPr>
              <w:pStyle w:val="TableBodyText"/>
            </w:pPr>
            <w:r>
              <w:t>Occitan</w:t>
            </w:r>
          </w:p>
        </w:tc>
        <w:tc>
          <w:tcPr>
            <w:tcW w:w="0" w:type="auto"/>
            <w:vAlign w:val="center"/>
          </w:tcPr>
          <w:p w:rsidR="000A156F" w:rsidRDefault="00A9721F">
            <w:pPr>
              <w:pStyle w:val="TableBodyText"/>
            </w:pPr>
            <w:r>
              <w:t>France</w:t>
            </w:r>
          </w:p>
        </w:tc>
        <w:tc>
          <w:tcPr>
            <w:tcW w:w="0" w:type="auto"/>
            <w:vAlign w:val="center"/>
          </w:tcPr>
          <w:p w:rsidR="000A156F" w:rsidRDefault="00A9721F">
            <w:pPr>
              <w:pStyle w:val="TableBodyText"/>
            </w:pPr>
            <w:r>
              <w:t>oc-FR</w:t>
            </w:r>
          </w:p>
        </w:tc>
      </w:tr>
      <w:tr w:rsidR="000A156F" w:rsidTr="000A156F">
        <w:tc>
          <w:tcPr>
            <w:tcW w:w="0" w:type="auto"/>
            <w:vAlign w:val="center"/>
          </w:tcPr>
          <w:p w:rsidR="000A156F" w:rsidRDefault="00A9721F">
            <w:pPr>
              <w:pStyle w:val="TableBodyText"/>
            </w:pPr>
            <w:r>
              <w:t>Odia (Odia Script)</w:t>
            </w:r>
          </w:p>
        </w:tc>
        <w:tc>
          <w:tcPr>
            <w:tcW w:w="0" w:type="auto"/>
            <w:vAlign w:val="center"/>
          </w:tcPr>
          <w:p w:rsidR="000A156F" w:rsidRDefault="00A9721F">
            <w:pPr>
              <w:pStyle w:val="TableBodyText"/>
            </w:pPr>
            <w:r>
              <w:t xml:space="preserve">India </w:t>
            </w:r>
          </w:p>
        </w:tc>
        <w:tc>
          <w:tcPr>
            <w:tcW w:w="0" w:type="auto"/>
            <w:vAlign w:val="center"/>
          </w:tcPr>
          <w:p w:rsidR="000A156F" w:rsidRDefault="00A9721F">
            <w:pPr>
              <w:pStyle w:val="TableBodyText"/>
            </w:pPr>
            <w:r>
              <w:t>or-IN</w:t>
            </w:r>
          </w:p>
        </w:tc>
      </w:tr>
      <w:tr w:rsidR="000A156F" w:rsidTr="000A156F">
        <w:tc>
          <w:tcPr>
            <w:tcW w:w="0" w:type="auto"/>
            <w:vAlign w:val="center"/>
          </w:tcPr>
          <w:p w:rsidR="000A156F" w:rsidRDefault="00A9721F">
            <w:pPr>
              <w:pStyle w:val="TableBodyText"/>
            </w:pPr>
            <w:r>
              <w:t>Pashto</w:t>
            </w:r>
          </w:p>
        </w:tc>
        <w:tc>
          <w:tcPr>
            <w:tcW w:w="0" w:type="auto"/>
            <w:vAlign w:val="center"/>
          </w:tcPr>
          <w:p w:rsidR="000A156F" w:rsidRDefault="00A9721F">
            <w:pPr>
              <w:pStyle w:val="TableBodyText"/>
            </w:pPr>
            <w:r>
              <w:t>Afghanistan</w:t>
            </w:r>
          </w:p>
        </w:tc>
        <w:tc>
          <w:tcPr>
            <w:tcW w:w="0" w:type="auto"/>
            <w:vAlign w:val="center"/>
          </w:tcPr>
          <w:p w:rsidR="000A156F" w:rsidRDefault="00A9721F">
            <w:pPr>
              <w:pStyle w:val="TableBodyText"/>
            </w:pPr>
            <w:r>
              <w:t>ps-AF</w:t>
            </w:r>
          </w:p>
        </w:tc>
      </w:tr>
      <w:tr w:rsidR="000A156F" w:rsidTr="000A156F">
        <w:tc>
          <w:tcPr>
            <w:tcW w:w="0" w:type="auto"/>
            <w:vAlign w:val="center"/>
          </w:tcPr>
          <w:p w:rsidR="000A156F" w:rsidRDefault="00A9721F">
            <w:pPr>
              <w:pStyle w:val="TableBodyText"/>
            </w:pPr>
            <w:r>
              <w:t>Persian</w:t>
            </w:r>
          </w:p>
        </w:tc>
        <w:tc>
          <w:tcPr>
            <w:tcW w:w="0" w:type="auto"/>
            <w:vAlign w:val="center"/>
          </w:tcPr>
          <w:p w:rsidR="000A156F" w:rsidRDefault="00A9721F">
            <w:pPr>
              <w:pStyle w:val="TableBodyText"/>
            </w:pPr>
            <w:r>
              <w:t>Iran</w:t>
            </w:r>
          </w:p>
        </w:tc>
        <w:tc>
          <w:tcPr>
            <w:tcW w:w="0" w:type="auto"/>
            <w:vAlign w:val="center"/>
          </w:tcPr>
          <w:p w:rsidR="000A156F" w:rsidRDefault="00A9721F">
            <w:pPr>
              <w:pStyle w:val="TableBodyText"/>
            </w:pPr>
            <w:r>
              <w:t>fa-IR</w:t>
            </w:r>
          </w:p>
        </w:tc>
      </w:tr>
      <w:tr w:rsidR="000A156F" w:rsidTr="000A156F">
        <w:tc>
          <w:tcPr>
            <w:tcW w:w="0" w:type="auto"/>
            <w:vAlign w:val="center"/>
          </w:tcPr>
          <w:p w:rsidR="000A156F" w:rsidRDefault="00A9721F">
            <w:pPr>
              <w:pStyle w:val="TableBodyText"/>
            </w:pPr>
            <w:r>
              <w:t>Polish</w:t>
            </w:r>
          </w:p>
        </w:tc>
        <w:tc>
          <w:tcPr>
            <w:tcW w:w="0" w:type="auto"/>
            <w:vAlign w:val="center"/>
          </w:tcPr>
          <w:p w:rsidR="000A156F" w:rsidRDefault="00A9721F">
            <w:pPr>
              <w:pStyle w:val="TableBodyText"/>
            </w:pPr>
            <w:r>
              <w:t>Poland</w:t>
            </w:r>
          </w:p>
        </w:tc>
        <w:tc>
          <w:tcPr>
            <w:tcW w:w="0" w:type="auto"/>
            <w:vAlign w:val="center"/>
          </w:tcPr>
          <w:p w:rsidR="000A156F" w:rsidRDefault="00A9721F">
            <w:pPr>
              <w:pStyle w:val="TableBodyText"/>
            </w:pPr>
            <w:r>
              <w:t>pl-PL</w:t>
            </w:r>
          </w:p>
        </w:tc>
      </w:tr>
      <w:tr w:rsidR="000A156F" w:rsidTr="000A156F">
        <w:tc>
          <w:tcPr>
            <w:tcW w:w="0" w:type="auto"/>
            <w:vAlign w:val="center"/>
          </w:tcPr>
          <w:p w:rsidR="000A156F" w:rsidRDefault="00A9721F">
            <w:pPr>
              <w:pStyle w:val="TableBodyText"/>
            </w:pPr>
            <w:r>
              <w:t>Portuguese</w:t>
            </w:r>
          </w:p>
        </w:tc>
        <w:tc>
          <w:tcPr>
            <w:tcW w:w="0" w:type="auto"/>
            <w:vAlign w:val="center"/>
          </w:tcPr>
          <w:p w:rsidR="000A156F" w:rsidRDefault="00A9721F">
            <w:pPr>
              <w:pStyle w:val="TableBodyText"/>
            </w:pPr>
            <w:r>
              <w:t>Brazil</w:t>
            </w:r>
          </w:p>
        </w:tc>
        <w:tc>
          <w:tcPr>
            <w:tcW w:w="0" w:type="auto"/>
            <w:vAlign w:val="center"/>
          </w:tcPr>
          <w:p w:rsidR="000A156F" w:rsidRDefault="00A9721F">
            <w:pPr>
              <w:pStyle w:val="TableBodyText"/>
            </w:pPr>
            <w:r>
              <w:t>pt-BR</w:t>
            </w:r>
          </w:p>
        </w:tc>
      </w:tr>
      <w:tr w:rsidR="000A156F" w:rsidTr="000A156F">
        <w:tc>
          <w:tcPr>
            <w:tcW w:w="0" w:type="auto"/>
            <w:vAlign w:val="center"/>
          </w:tcPr>
          <w:p w:rsidR="000A156F" w:rsidRDefault="00A9721F">
            <w:pPr>
              <w:pStyle w:val="TableBodyText"/>
            </w:pPr>
            <w:r>
              <w:t>Portuguese</w:t>
            </w:r>
          </w:p>
        </w:tc>
        <w:tc>
          <w:tcPr>
            <w:tcW w:w="0" w:type="auto"/>
            <w:vAlign w:val="center"/>
          </w:tcPr>
          <w:p w:rsidR="000A156F" w:rsidRDefault="00A9721F">
            <w:pPr>
              <w:pStyle w:val="TableBodyText"/>
            </w:pPr>
            <w:r>
              <w:t>Portugal</w:t>
            </w:r>
          </w:p>
        </w:tc>
        <w:tc>
          <w:tcPr>
            <w:tcW w:w="0" w:type="auto"/>
            <w:vAlign w:val="center"/>
          </w:tcPr>
          <w:p w:rsidR="000A156F" w:rsidRDefault="00A9721F">
            <w:pPr>
              <w:pStyle w:val="TableBodyText"/>
            </w:pPr>
            <w:r>
              <w:t>pt-PT</w:t>
            </w:r>
          </w:p>
        </w:tc>
      </w:tr>
      <w:tr w:rsidR="000A156F" w:rsidTr="000A156F">
        <w:tc>
          <w:tcPr>
            <w:tcW w:w="0" w:type="auto"/>
            <w:vAlign w:val="center"/>
          </w:tcPr>
          <w:p w:rsidR="000A156F" w:rsidRDefault="00A9721F">
            <w:pPr>
              <w:pStyle w:val="TableBodyText"/>
            </w:pPr>
            <w:r>
              <w:t>Punjabi (Gurmukhi Script)</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pa-IN</w:t>
            </w:r>
          </w:p>
        </w:tc>
      </w:tr>
      <w:tr w:rsidR="000A156F" w:rsidTr="000A156F">
        <w:tc>
          <w:tcPr>
            <w:tcW w:w="0" w:type="auto"/>
            <w:vAlign w:val="center"/>
          </w:tcPr>
          <w:p w:rsidR="000A156F" w:rsidRDefault="00A9721F">
            <w:pPr>
              <w:pStyle w:val="TableBodyText"/>
            </w:pPr>
            <w:r>
              <w:t>Quechua</w:t>
            </w:r>
          </w:p>
        </w:tc>
        <w:tc>
          <w:tcPr>
            <w:tcW w:w="0" w:type="auto"/>
            <w:vAlign w:val="center"/>
          </w:tcPr>
          <w:p w:rsidR="000A156F" w:rsidRDefault="00A9721F">
            <w:pPr>
              <w:pStyle w:val="TableBodyText"/>
            </w:pPr>
            <w:r>
              <w:t>Bolivia</w:t>
            </w:r>
          </w:p>
        </w:tc>
        <w:tc>
          <w:tcPr>
            <w:tcW w:w="0" w:type="auto"/>
            <w:vAlign w:val="center"/>
          </w:tcPr>
          <w:p w:rsidR="000A156F" w:rsidRDefault="00A9721F">
            <w:pPr>
              <w:pStyle w:val="TableBodyText"/>
            </w:pPr>
            <w:r>
              <w:t>quz-BO</w:t>
            </w:r>
          </w:p>
        </w:tc>
      </w:tr>
      <w:tr w:rsidR="000A156F" w:rsidTr="000A156F">
        <w:tc>
          <w:tcPr>
            <w:tcW w:w="0" w:type="auto"/>
            <w:vAlign w:val="center"/>
          </w:tcPr>
          <w:p w:rsidR="000A156F" w:rsidRDefault="00A9721F">
            <w:pPr>
              <w:pStyle w:val="TableBodyText"/>
            </w:pPr>
            <w:r>
              <w:t>Quechua</w:t>
            </w:r>
          </w:p>
        </w:tc>
        <w:tc>
          <w:tcPr>
            <w:tcW w:w="0" w:type="auto"/>
            <w:vAlign w:val="center"/>
          </w:tcPr>
          <w:p w:rsidR="000A156F" w:rsidRDefault="00A9721F">
            <w:pPr>
              <w:pStyle w:val="TableBodyText"/>
            </w:pPr>
            <w:r>
              <w:t>Ecuador</w:t>
            </w:r>
          </w:p>
        </w:tc>
        <w:tc>
          <w:tcPr>
            <w:tcW w:w="0" w:type="auto"/>
            <w:vAlign w:val="center"/>
          </w:tcPr>
          <w:p w:rsidR="000A156F" w:rsidRDefault="00A9721F">
            <w:pPr>
              <w:pStyle w:val="TableBodyText"/>
            </w:pPr>
            <w:r>
              <w:t>quz-EC</w:t>
            </w:r>
          </w:p>
        </w:tc>
      </w:tr>
      <w:tr w:rsidR="000A156F" w:rsidTr="000A156F">
        <w:tc>
          <w:tcPr>
            <w:tcW w:w="0" w:type="auto"/>
            <w:vAlign w:val="center"/>
          </w:tcPr>
          <w:p w:rsidR="000A156F" w:rsidRDefault="00A9721F">
            <w:pPr>
              <w:pStyle w:val="TableBodyText"/>
            </w:pPr>
            <w:r>
              <w:t>Quechua</w:t>
            </w:r>
          </w:p>
        </w:tc>
        <w:tc>
          <w:tcPr>
            <w:tcW w:w="0" w:type="auto"/>
            <w:vAlign w:val="center"/>
          </w:tcPr>
          <w:p w:rsidR="000A156F" w:rsidRDefault="00A9721F">
            <w:pPr>
              <w:pStyle w:val="TableBodyText"/>
            </w:pPr>
            <w:r>
              <w:t>Peru</w:t>
            </w:r>
          </w:p>
        </w:tc>
        <w:tc>
          <w:tcPr>
            <w:tcW w:w="0" w:type="auto"/>
            <w:vAlign w:val="center"/>
          </w:tcPr>
          <w:p w:rsidR="000A156F" w:rsidRDefault="00A9721F">
            <w:pPr>
              <w:pStyle w:val="TableBodyText"/>
            </w:pPr>
            <w:r>
              <w:t>quz-PE</w:t>
            </w:r>
          </w:p>
        </w:tc>
      </w:tr>
      <w:tr w:rsidR="000A156F" w:rsidTr="000A156F">
        <w:tc>
          <w:tcPr>
            <w:tcW w:w="0" w:type="auto"/>
            <w:vAlign w:val="center"/>
          </w:tcPr>
          <w:p w:rsidR="000A156F" w:rsidRDefault="00A9721F">
            <w:pPr>
              <w:pStyle w:val="TableBodyText"/>
            </w:pPr>
            <w:r>
              <w:t>Romanian</w:t>
            </w:r>
          </w:p>
        </w:tc>
        <w:tc>
          <w:tcPr>
            <w:tcW w:w="0" w:type="auto"/>
            <w:vAlign w:val="center"/>
          </w:tcPr>
          <w:p w:rsidR="000A156F" w:rsidRDefault="00A9721F">
            <w:pPr>
              <w:pStyle w:val="TableBodyText"/>
            </w:pPr>
            <w:r>
              <w:t>Romania</w:t>
            </w:r>
          </w:p>
        </w:tc>
        <w:tc>
          <w:tcPr>
            <w:tcW w:w="0" w:type="auto"/>
            <w:vAlign w:val="center"/>
          </w:tcPr>
          <w:p w:rsidR="000A156F" w:rsidRDefault="00A9721F">
            <w:pPr>
              <w:pStyle w:val="TableBodyText"/>
            </w:pPr>
            <w:r>
              <w:t>ro-RO</w:t>
            </w:r>
          </w:p>
        </w:tc>
      </w:tr>
      <w:tr w:rsidR="000A156F" w:rsidTr="000A156F">
        <w:tc>
          <w:tcPr>
            <w:tcW w:w="0" w:type="auto"/>
            <w:vAlign w:val="center"/>
          </w:tcPr>
          <w:p w:rsidR="000A156F" w:rsidRDefault="00A9721F">
            <w:pPr>
              <w:pStyle w:val="TableBodyText"/>
            </w:pPr>
            <w:r>
              <w:t>Romansh</w:t>
            </w:r>
          </w:p>
        </w:tc>
        <w:tc>
          <w:tcPr>
            <w:tcW w:w="0" w:type="auto"/>
            <w:vAlign w:val="center"/>
          </w:tcPr>
          <w:p w:rsidR="000A156F" w:rsidRDefault="00A9721F">
            <w:pPr>
              <w:pStyle w:val="TableBodyText"/>
            </w:pPr>
            <w:r>
              <w:t>Switzerland</w:t>
            </w:r>
          </w:p>
        </w:tc>
        <w:tc>
          <w:tcPr>
            <w:tcW w:w="0" w:type="auto"/>
            <w:vAlign w:val="center"/>
          </w:tcPr>
          <w:p w:rsidR="000A156F" w:rsidRDefault="00A9721F">
            <w:pPr>
              <w:pStyle w:val="TableBodyText"/>
            </w:pPr>
            <w:r>
              <w:t>rm-CH</w:t>
            </w:r>
          </w:p>
        </w:tc>
      </w:tr>
      <w:tr w:rsidR="000A156F" w:rsidTr="000A156F">
        <w:tc>
          <w:tcPr>
            <w:tcW w:w="0" w:type="auto"/>
            <w:vAlign w:val="center"/>
          </w:tcPr>
          <w:p w:rsidR="000A156F" w:rsidRDefault="00A9721F">
            <w:pPr>
              <w:pStyle w:val="TableBodyText"/>
            </w:pPr>
            <w:r>
              <w:t>Russian</w:t>
            </w:r>
          </w:p>
        </w:tc>
        <w:tc>
          <w:tcPr>
            <w:tcW w:w="0" w:type="auto"/>
            <w:vAlign w:val="center"/>
          </w:tcPr>
          <w:p w:rsidR="000A156F" w:rsidRDefault="00A9721F">
            <w:pPr>
              <w:pStyle w:val="TableBodyText"/>
            </w:pPr>
            <w:r>
              <w:t>Russia</w:t>
            </w:r>
          </w:p>
        </w:tc>
        <w:tc>
          <w:tcPr>
            <w:tcW w:w="0" w:type="auto"/>
            <w:vAlign w:val="center"/>
          </w:tcPr>
          <w:p w:rsidR="000A156F" w:rsidRDefault="00A9721F">
            <w:pPr>
              <w:pStyle w:val="TableBodyText"/>
            </w:pPr>
            <w:r>
              <w:t>ru-RU</w:t>
            </w:r>
          </w:p>
        </w:tc>
      </w:tr>
      <w:tr w:rsidR="000A156F" w:rsidTr="000A156F">
        <w:tc>
          <w:tcPr>
            <w:tcW w:w="0" w:type="auto"/>
            <w:vAlign w:val="center"/>
          </w:tcPr>
          <w:p w:rsidR="000A156F" w:rsidRDefault="00A9721F">
            <w:pPr>
              <w:pStyle w:val="TableBodyText"/>
            </w:pPr>
            <w:r>
              <w:t xml:space="preserve">Sakha </w:t>
            </w:r>
          </w:p>
        </w:tc>
        <w:tc>
          <w:tcPr>
            <w:tcW w:w="0" w:type="auto"/>
            <w:vAlign w:val="center"/>
          </w:tcPr>
          <w:p w:rsidR="000A156F" w:rsidRDefault="00A9721F">
            <w:pPr>
              <w:pStyle w:val="TableBodyText"/>
            </w:pPr>
            <w:r>
              <w:t>Russia</w:t>
            </w:r>
          </w:p>
        </w:tc>
        <w:tc>
          <w:tcPr>
            <w:tcW w:w="0" w:type="auto"/>
            <w:vAlign w:val="center"/>
          </w:tcPr>
          <w:p w:rsidR="000A156F" w:rsidRDefault="00A9721F">
            <w:pPr>
              <w:pStyle w:val="TableBodyText"/>
            </w:pPr>
            <w:r>
              <w:t>sah-RU</w:t>
            </w:r>
          </w:p>
        </w:tc>
      </w:tr>
      <w:tr w:rsidR="000A156F" w:rsidTr="000A156F">
        <w:tc>
          <w:tcPr>
            <w:tcW w:w="0" w:type="auto"/>
            <w:vAlign w:val="center"/>
          </w:tcPr>
          <w:p w:rsidR="000A156F" w:rsidRDefault="00A9721F">
            <w:pPr>
              <w:pStyle w:val="TableBodyText"/>
            </w:pPr>
            <w:r>
              <w:t>Sanskrit</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sa-IN</w:t>
            </w:r>
          </w:p>
        </w:tc>
      </w:tr>
      <w:tr w:rsidR="000A156F" w:rsidTr="000A156F">
        <w:tc>
          <w:tcPr>
            <w:tcW w:w="0" w:type="auto"/>
            <w:vAlign w:val="center"/>
          </w:tcPr>
          <w:p w:rsidR="000A156F" w:rsidRDefault="00A9721F">
            <w:pPr>
              <w:pStyle w:val="TableBodyText"/>
            </w:pPr>
            <w:r>
              <w:t>Serbian (Cyrillic)</w:t>
            </w:r>
          </w:p>
        </w:tc>
        <w:tc>
          <w:tcPr>
            <w:tcW w:w="0" w:type="auto"/>
            <w:vAlign w:val="center"/>
          </w:tcPr>
          <w:p w:rsidR="000A156F" w:rsidRDefault="00A9721F">
            <w:pPr>
              <w:pStyle w:val="TableBodyText"/>
            </w:pPr>
            <w:r>
              <w:t xml:space="preserve">Bosnia and Herzegovina </w:t>
            </w:r>
          </w:p>
        </w:tc>
        <w:tc>
          <w:tcPr>
            <w:tcW w:w="0" w:type="auto"/>
            <w:vAlign w:val="center"/>
          </w:tcPr>
          <w:p w:rsidR="000A156F" w:rsidRDefault="00A9721F">
            <w:pPr>
              <w:pStyle w:val="TableBodyText"/>
            </w:pPr>
            <w:r>
              <w:t>sr-BA-Cyrl</w:t>
            </w:r>
          </w:p>
        </w:tc>
      </w:tr>
      <w:tr w:rsidR="000A156F" w:rsidTr="000A156F">
        <w:tc>
          <w:tcPr>
            <w:tcW w:w="0" w:type="auto"/>
            <w:vAlign w:val="center"/>
          </w:tcPr>
          <w:p w:rsidR="000A156F" w:rsidRDefault="00A9721F">
            <w:pPr>
              <w:pStyle w:val="TableBodyText"/>
            </w:pPr>
            <w:r>
              <w:t>Serbian (Cyrillic)</w:t>
            </w:r>
          </w:p>
        </w:tc>
        <w:tc>
          <w:tcPr>
            <w:tcW w:w="0" w:type="auto"/>
            <w:vAlign w:val="center"/>
          </w:tcPr>
          <w:p w:rsidR="000A156F" w:rsidRDefault="00A9721F">
            <w:pPr>
              <w:pStyle w:val="TableBodyText"/>
            </w:pPr>
            <w:r>
              <w:t>Serbia and Montenegro (former)</w:t>
            </w:r>
          </w:p>
        </w:tc>
        <w:tc>
          <w:tcPr>
            <w:tcW w:w="0" w:type="auto"/>
            <w:vAlign w:val="center"/>
          </w:tcPr>
          <w:p w:rsidR="000A156F" w:rsidRDefault="00A9721F">
            <w:pPr>
              <w:pStyle w:val="TableBodyText"/>
            </w:pPr>
            <w:r>
              <w:t>sr-SP-Cyrl</w:t>
            </w:r>
          </w:p>
        </w:tc>
      </w:tr>
      <w:tr w:rsidR="000A156F" w:rsidTr="000A156F">
        <w:tc>
          <w:tcPr>
            <w:tcW w:w="0" w:type="auto"/>
            <w:vAlign w:val="center"/>
          </w:tcPr>
          <w:p w:rsidR="000A156F" w:rsidRDefault="00A9721F">
            <w:pPr>
              <w:pStyle w:val="TableBodyText"/>
            </w:pPr>
            <w:r>
              <w:t>Serbian (Latin)</w:t>
            </w:r>
          </w:p>
        </w:tc>
        <w:tc>
          <w:tcPr>
            <w:tcW w:w="0" w:type="auto"/>
            <w:vAlign w:val="center"/>
          </w:tcPr>
          <w:p w:rsidR="000A156F" w:rsidRDefault="00A9721F">
            <w:pPr>
              <w:pStyle w:val="TableBodyText"/>
            </w:pPr>
            <w:r>
              <w:t xml:space="preserve">Bosnia and Herzegovina </w:t>
            </w:r>
          </w:p>
        </w:tc>
        <w:tc>
          <w:tcPr>
            <w:tcW w:w="0" w:type="auto"/>
            <w:vAlign w:val="center"/>
          </w:tcPr>
          <w:p w:rsidR="000A156F" w:rsidRDefault="00A9721F">
            <w:pPr>
              <w:pStyle w:val="TableBodyText"/>
            </w:pPr>
            <w:r>
              <w:t>sr-BA-Latn</w:t>
            </w:r>
          </w:p>
        </w:tc>
      </w:tr>
      <w:tr w:rsidR="000A156F" w:rsidTr="000A156F">
        <w:tc>
          <w:tcPr>
            <w:tcW w:w="0" w:type="auto"/>
            <w:vAlign w:val="center"/>
          </w:tcPr>
          <w:p w:rsidR="000A156F" w:rsidRDefault="00A9721F">
            <w:pPr>
              <w:pStyle w:val="TableBodyText"/>
            </w:pPr>
            <w:r>
              <w:t>Serbian (Latin)</w:t>
            </w:r>
          </w:p>
        </w:tc>
        <w:tc>
          <w:tcPr>
            <w:tcW w:w="0" w:type="auto"/>
            <w:vAlign w:val="center"/>
          </w:tcPr>
          <w:p w:rsidR="000A156F" w:rsidRDefault="00A9721F">
            <w:pPr>
              <w:pStyle w:val="TableBodyText"/>
            </w:pPr>
            <w:r>
              <w:t>Serbia and Montenegro (former)</w:t>
            </w:r>
          </w:p>
        </w:tc>
        <w:tc>
          <w:tcPr>
            <w:tcW w:w="0" w:type="auto"/>
            <w:vAlign w:val="center"/>
          </w:tcPr>
          <w:p w:rsidR="000A156F" w:rsidRDefault="00A9721F">
            <w:pPr>
              <w:pStyle w:val="TableBodyText"/>
            </w:pPr>
            <w:r>
              <w:t>sr-SP-Latn</w:t>
            </w:r>
          </w:p>
        </w:tc>
      </w:tr>
      <w:tr w:rsidR="000A156F" w:rsidTr="000A156F">
        <w:tc>
          <w:tcPr>
            <w:tcW w:w="0" w:type="auto"/>
            <w:vAlign w:val="center"/>
          </w:tcPr>
          <w:p w:rsidR="000A156F" w:rsidRDefault="00A9721F">
            <w:pPr>
              <w:pStyle w:val="TableBodyText"/>
            </w:pPr>
            <w:r>
              <w:t>Sesotho sa Leboa / Northern Sotho</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ns-ZA</w:t>
            </w:r>
          </w:p>
        </w:tc>
      </w:tr>
      <w:tr w:rsidR="000A156F" w:rsidTr="000A156F">
        <w:tc>
          <w:tcPr>
            <w:tcW w:w="0" w:type="auto"/>
            <w:vAlign w:val="center"/>
          </w:tcPr>
          <w:p w:rsidR="000A156F" w:rsidRDefault="00A9721F">
            <w:pPr>
              <w:pStyle w:val="TableBodyText"/>
            </w:pPr>
            <w:r>
              <w:t>Setswana / Tswana</w:t>
            </w:r>
          </w:p>
        </w:tc>
        <w:tc>
          <w:tcPr>
            <w:tcW w:w="0" w:type="auto"/>
            <w:vAlign w:val="center"/>
          </w:tcPr>
          <w:p w:rsidR="000A156F" w:rsidRDefault="00A9721F">
            <w:pPr>
              <w:pStyle w:val="TableBodyText"/>
            </w:pPr>
            <w:r>
              <w:t>South Africa</w:t>
            </w:r>
          </w:p>
        </w:tc>
        <w:tc>
          <w:tcPr>
            <w:tcW w:w="0" w:type="auto"/>
            <w:vAlign w:val="center"/>
          </w:tcPr>
          <w:p w:rsidR="000A156F" w:rsidRDefault="00A9721F">
            <w:pPr>
              <w:pStyle w:val="TableBodyText"/>
            </w:pPr>
            <w:r>
              <w:t>tn-ZA</w:t>
            </w:r>
          </w:p>
        </w:tc>
      </w:tr>
      <w:tr w:rsidR="000A156F" w:rsidTr="000A156F">
        <w:tc>
          <w:tcPr>
            <w:tcW w:w="0" w:type="auto"/>
            <w:vAlign w:val="center"/>
          </w:tcPr>
          <w:p w:rsidR="000A156F" w:rsidRDefault="00A9721F">
            <w:pPr>
              <w:pStyle w:val="TableBodyText"/>
            </w:pPr>
            <w:r>
              <w:t>Sinhala</w:t>
            </w:r>
          </w:p>
        </w:tc>
        <w:tc>
          <w:tcPr>
            <w:tcW w:w="0" w:type="auto"/>
            <w:vAlign w:val="center"/>
          </w:tcPr>
          <w:p w:rsidR="000A156F" w:rsidRDefault="00A9721F">
            <w:pPr>
              <w:pStyle w:val="TableBodyText"/>
            </w:pPr>
            <w:r>
              <w:t>Sri Lanka</w:t>
            </w:r>
          </w:p>
        </w:tc>
        <w:tc>
          <w:tcPr>
            <w:tcW w:w="0" w:type="auto"/>
            <w:vAlign w:val="center"/>
          </w:tcPr>
          <w:p w:rsidR="000A156F" w:rsidRDefault="00A9721F">
            <w:pPr>
              <w:pStyle w:val="TableBodyText"/>
            </w:pPr>
            <w:r>
              <w:t>si-LK</w:t>
            </w:r>
          </w:p>
        </w:tc>
      </w:tr>
      <w:tr w:rsidR="000A156F" w:rsidTr="000A156F">
        <w:tc>
          <w:tcPr>
            <w:tcW w:w="0" w:type="auto"/>
            <w:vAlign w:val="center"/>
          </w:tcPr>
          <w:p w:rsidR="000A156F" w:rsidRDefault="00A9721F">
            <w:pPr>
              <w:pStyle w:val="TableBodyText"/>
            </w:pPr>
            <w:r>
              <w:t>Skolt Sami</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sms-FI</w:t>
            </w:r>
          </w:p>
        </w:tc>
      </w:tr>
      <w:tr w:rsidR="000A156F" w:rsidTr="000A156F">
        <w:tc>
          <w:tcPr>
            <w:tcW w:w="0" w:type="auto"/>
            <w:vAlign w:val="center"/>
          </w:tcPr>
          <w:p w:rsidR="000A156F" w:rsidRDefault="00A9721F">
            <w:pPr>
              <w:pStyle w:val="TableBodyText"/>
            </w:pPr>
            <w:r>
              <w:t>Slovak</w:t>
            </w:r>
          </w:p>
        </w:tc>
        <w:tc>
          <w:tcPr>
            <w:tcW w:w="0" w:type="auto"/>
            <w:vAlign w:val="center"/>
          </w:tcPr>
          <w:p w:rsidR="000A156F" w:rsidRDefault="00A9721F">
            <w:pPr>
              <w:pStyle w:val="TableBodyText"/>
            </w:pPr>
            <w:r>
              <w:t>Slovakia</w:t>
            </w:r>
          </w:p>
        </w:tc>
        <w:tc>
          <w:tcPr>
            <w:tcW w:w="0" w:type="auto"/>
            <w:vAlign w:val="center"/>
          </w:tcPr>
          <w:p w:rsidR="000A156F" w:rsidRDefault="00A9721F">
            <w:pPr>
              <w:pStyle w:val="TableBodyText"/>
            </w:pPr>
            <w:r>
              <w:t>sk-SK</w:t>
            </w:r>
          </w:p>
        </w:tc>
      </w:tr>
      <w:tr w:rsidR="000A156F" w:rsidTr="000A156F">
        <w:tc>
          <w:tcPr>
            <w:tcW w:w="0" w:type="auto"/>
            <w:vAlign w:val="center"/>
          </w:tcPr>
          <w:p w:rsidR="000A156F" w:rsidRDefault="00A9721F">
            <w:pPr>
              <w:pStyle w:val="TableBodyText"/>
            </w:pPr>
            <w:r>
              <w:t>Slovenian</w:t>
            </w:r>
          </w:p>
        </w:tc>
        <w:tc>
          <w:tcPr>
            <w:tcW w:w="0" w:type="auto"/>
            <w:vAlign w:val="center"/>
          </w:tcPr>
          <w:p w:rsidR="000A156F" w:rsidRDefault="00A9721F">
            <w:pPr>
              <w:pStyle w:val="TableBodyText"/>
            </w:pPr>
            <w:r>
              <w:t>Slovenia</w:t>
            </w:r>
          </w:p>
        </w:tc>
        <w:tc>
          <w:tcPr>
            <w:tcW w:w="0" w:type="auto"/>
            <w:vAlign w:val="center"/>
          </w:tcPr>
          <w:p w:rsidR="000A156F" w:rsidRDefault="00A9721F">
            <w:pPr>
              <w:pStyle w:val="TableBodyText"/>
            </w:pPr>
            <w:r>
              <w:t>sl-SI</w:t>
            </w:r>
          </w:p>
        </w:tc>
      </w:tr>
      <w:tr w:rsidR="000A156F" w:rsidTr="000A156F">
        <w:tc>
          <w:tcPr>
            <w:tcW w:w="0" w:type="auto"/>
            <w:vAlign w:val="center"/>
          </w:tcPr>
          <w:p w:rsidR="000A156F" w:rsidRDefault="00A9721F">
            <w:pPr>
              <w:pStyle w:val="TableBodyText"/>
            </w:pPr>
            <w:r>
              <w:t>Southern Sami</w:t>
            </w:r>
          </w:p>
        </w:tc>
        <w:tc>
          <w:tcPr>
            <w:tcW w:w="0" w:type="auto"/>
            <w:vAlign w:val="center"/>
          </w:tcPr>
          <w:p w:rsidR="000A156F" w:rsidRDefault="00A9721F">
            <w:pPr>
              <w:pStyle w:val="TableBodyText"/>
            </w:pPr>
            <w:r>
              <w:t>Norway</w:t>
            </w:r>
          </w:p>
        </w:tc>
        <w:tc>
          <w:tcPr>
            <w:tcW w:w="0" w:type="auto"/>
            <w:vAlign w:val="center"/>
          </w:tcPr>
          <w:p w:rsidR="000A156F" w:rsidRDefault="00A9721F">
            <w:pPr>
              <w:pStyle w:val="TableBodyText"/>
            </w:pPr>
            <w:r>
              <w:t>sma-NO</w:t>
            </w:r>
          </w:p>
        </w:tc>
      </w:tr>
      <w:tr w:rsidR="000A156F" w:rsidTr="000A156F">
        <w:tc>
          <w:tcPr>
            <w:tcW w:w="0" w:type="auto"/>
            <w:vAlign w:val="center"/>
          </w:tcPr>
          <w:p w:rsidR="000A156F" w:rsidRDefault="00A9721F">
            <w:pPr>
              <w:pStyle w:val="TableBodyText"/>
            </w:pPr>
            <w:r>
              <w:t>Southern Sami</w:t>
            </w:r>
          </w:p>
        </w:tc>
        <w:tc>
          <w:tcPr>
            <w:tcW w:w="0" w:type="auto"/>
            <w:vAlign w:val="center"/>
          </w:tcPr>
          <w:p w:rsidR="000A156F" w:rsidRDefault="00A9721F">
            <w:pPr>
              <w:pStyle w:val="TableBodyText"/>
            </w:pPr>
            <w:r>
              <w:t>Sweden</w:t>
            </w:r>
          </w:p>
        </w:tc>
        <w:tc>
          <w:tcPr>
            <w:tcW w:w="0" w:type="auto"/>
            <w:vAlign w:val="center"/>
          </w:tcPr>
          <w:p w:rsidR="000A156F" w:rsidRDefault="00A9721F">
            <w:pPr>
              <w:pStyle w:val="TableBodyText"/>
            </w:pPr>
            <w:r>
              <w:t>sma-SE</w:t>
            </w:r>
          </w:p>
        </w:tc>
      </w:tr>
      <w:tr w:rsidR="000A156F" w:rsidTr="000A156F">
        <w:tc>
          <w:tcPr>
            <w:tcW w:w="0" w:type="auto"/>
            <w:vAlign w:val="center"/>
          </w:tcPr>
          <w:p w:rsidR="000A156F" w:rsidRDefault="00A9721F">
            <w:pPr>
              <w:pStyle w:val="TableBodyText"/>
            </w:pPr>
            <w:r>
              <w:lastRenderedPageBreak/>
              <w:t>Spanish</w:t>
            </w:r>
          </w:p>
        </w:tc>
        <w:tc>
          <w:tcPr>
            <w:tcW w:w="0" w:type="auto"/>
            <w:vAlign w:val="center"/>
          </w:tcPr>
          <w:p w:rsidR="000A156F" w:rsidRDefault="00A9721F">
            <w:pPr>
              <w:pStyle w:val="TableBodyText"/>
            </w:pPr>
            <w:r>
              <w:t>Argentina</w:t>
            </w:r>
          </w:p>
        </w:tc>
        <w:tc>
          <w:tcPr>
            <w:tcW w:w="0" w:type="auto"/>
            <w:vAlign w:val="center"/>
          </w:tcPr>
          <w:p w:rsidR="000A156F" w:rsidRDefault="00A9721F">
            <w:pPr>
              <w:pStyle w:val="TableBodyText"/>
            </w:pPr>
            <w:r>
              <w:t>es-AR</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Bolivia</w:t>
            </w:r>
          </w:p>
        </w:tc>
        <w:tc>
          <w:tcPr>
            <w:tcW w:w="0" w:type="auto"/>
            <w:vAlign w:val="center"/>
          </w:tcPr>
          <w:p w:rsidR="000A156F" w:rsidRDefault="00A9721F">
            <w:pPr>
              <w:pStyle w:val="TableBodyText"/>
            </w:pPr>
            <w:r>
              <w:t>es-BO</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Chile</w:t>
            </w:r>
          </w:p>
        </w:tc>
        <w:tc>
          <w:tcPr>
            <w:tcW w:w="0" w:type="auto"/>
            <w:vAlign w:val="center"/>
          </w:tcPr>
          <w:p w:rsidR="000A156F" w:rsidRDefault="00A9721F">
            <w:pPr>
              <w:pStyle w:val="TableBodyText"/>
            </w:pPr>
            <w:r>
              <w:t>es-CL</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Columbia</w:t>
            </w:r>
          </w:p>
        </w:tc>
        <w:tc>
          <w:tcPr>
            <w:tcW w:w="0" w:type="auto"/>
            <w:vAlign w:val="center"/>
          </w:tcPr>
          <w:p w:rsidR="000A156F" w:rsidRDefault="00A9721F">
            <w:pPr>
              <w:pStyle w:val="TableBodyText"/>
            </w:pPr>
            <w:r>
              <w:t>es-CO</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Costa Rica</w:t>
            </w:r>
          </w:p>
        </w:tc>
        <w:tc>
          <w:tcPr>
            <w:tcW w:w="0" w:type="auto"/>
            <w:vAlign w:val="center"/>
          </w:tcPr>
          <w:p w:rsidR="000A156F" w:rsidRDefault="00A9721F">
            <w:pPr>
              <w:pStyle w:val="TableBodyText"/>
            </w:pPr>
            <w:r>
              <w:t>es-CR</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Dominican Republic</w:t>
            </w:r>
          </w:p>
        </w:tc>
        <w:tc>
          <w:tcPr>
            <w:tcW w:w="0" w:type="auto"/>
            <w:vAlign w:val="center"/>
          </w:tcPr>
          <w:p w:rsidR="000A156F" w:rsidRDefault="00A9721F">
            <w:pPr>
              <w:pStyle w:val="TableBodyText"/>
            </w:pPr>
            <w:r>
              <w:t>es-DO</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Ecuador</w:t>
            </w:r>
          </w:p>
        </w:tc>
        <w:tc>
          <w:tcPr>
            <w:tcW w:w="0" w:type="auto"/>
            <w:vAlign w:val="center"/>
          </w:tcPr>
          <w:p w:rsidR="000A156F" w:rsidRDefault="00A9721F">
            <w:pPr>
              <w:pStyle w:val="TableBodyText"/>
            </w:pPr>
            <w:r>
              <w:t>es-EC</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El Salvador</w:t>
            </w:r>
          </w:p>
        </w:tc>
        <w:tc>
          <w:tcPr>
            <w:tcW w:w="0" w:type="auto"/>
            <w:vAlign w:val="center"/>
          </w:tcPr>
          <w:p w:rsidR="000A156F" w:rsidRDefault="00A9721F">
            <w:pPr>
              <w:pStyle w:val="TableBodyText"/>
            </w:pPr>
            <w:r>
              <w:t>es-SV</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Guatemala</w:t>
            </w:r>
          </w:p>
        </w:tc>
        <w:tc>
          <w:tcPr>
            <w:tcW w:w="0" w:type="auto"/>
            <w:vAlign w:val="center"/>
          </w:tcPr>
          <w:p w:rsidR="000A156F" w:rsidRDefault="00A9721F">
            <w:pPr>
              <w:pStyle w:val="TableBodyText"/>
            </w:pPr>
            <w:r>
              <w:t>es-GT</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Honduras</w:t>
            </w:r>
          </w:p>
        </w:tc>
        <w:tc>
          <w:tcPr>
            <w:tcW w:w="0" w:type="auto"/>
            <w:vAlign w:val="center"/>
          </w:tcPr>
          <w:p w:rsidR="000A156F" w:rsidRDefault="00A9721F">
            <w:pPr>
              <w:pStyle w:val="TableBodyText"/>
            </w:pPr>
            <w:r>
              <w:t>es-HN</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Mexico</w:t>
            </w:r>
          </w:p>
        </w:tc>
        <w:tc>
          <w:tcPr>
            <w:tcW w:w="0" w:type="auto"/>
            <w:vAlign w:val="center"/>
          </w:tcPr>
          <w:p w:rsidR="000A156F" w:rsidRDefault="00A9721F">
            <w:pPr>
              <w:pStyle w:val="TableBodyText"/>
            </w:pPr>
            <w:r>
              <w:t>es-MX</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Nicaragua</w:t>
            </w:r>
          </w:p>
        </w:tc>
        <w:tc>
          <w:tcPr>
            <w:tcW w:w="0" w:type="auto"/>
            <w:vAlign w:val="center"/>
          </w:tcPr>
          <w:p w:rsidR="000A156F" w:rsidRDefault="00A9721F">
            <w:pPr>
              <w:pStyle w:val="TableBodyText"/>
            </w:pPr>
            <w:r>
              <w:t>es-NI</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Panama</w:t>
            </w:r>
          </w:p>
        </w:tc>
        <w:tc>
          <w:tcPr>
            <w:tcW w:w="0" w:type="auto"/>
            <w:vAlign w:val="center"/>
          </w:tcPr>
          <w:p w:rsidR="000A156F" w:rsidRDefault="00A9721F">
            <w:pPr>
              <w:pStyle w:val="TableBodyText"/>
            </w:pPr>
            <w:r>
              <w:t>es-PA</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Paraguay</w:t>
            </w:r>
          </w:p>
        </w:tc>
        <w:tc>
          <w:tcPr>
            <w:tcW w:w="0" w:type="auto"/>
            <w:vAlign w:val="center"/>
          </w:tcPr>
          <w:p w:rsidR="000A156F" w:rsidRDefault="00A9721F">
            <w:pPr>
              <w:pStyle w:val="TableBodyText"/>
            </w:pPr>
            <w:r>
              <w:t>es-PY</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Peru</w:t>
            </w:r>
          </w:p>
        </w:tc>
        <w:tc>
          <w:tcPr>
            <w:tcW w:w="0" w:type="auto"/>
            <w:vAlign w:val="center"/>
          </w:tcPr>
          <w:p w:rsidR="000A156F" w:rsidRDefault="00A9721F">
            <w:pPr>
              <w:pStyle w:val="TableBodyText"/>
            </w:pPr>
            <w:r>
              <w:t>es-PE</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Puerto Rico</w:t>
            </w:r>
          </w:p>
        </w:tc>
        <w:tc>
          <w:tcPr>
            <w:tcW w:w="0" w:type="auto"/>
            <w:vAlign w:val="center"/>
          </w:tcPr>
          <w:p w:rsidR="000A156F" w:rsidRDefault="00A9721F">
            <w:pPr>
              <w:pStyle w:val="TableBodyText"/>
            </w:pPr>
            <w:r>
              <w:t>es-PR</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Spain</w:t>
            </w:r>
          </w:p>
        </w:tc>
        <w:tc>
          <w:tcPr>
            <w:tcW w:w="0" w:type="auto"/>
            <w:vAlign w:val="center"/>
          </w:tcPr>
          <w:p w:rsidR="000A156F" w:rsidRDefault="00A9721F">
            <w:pPr>
              <w:pStyle w:val="TableBodyText"/>
            </w:pPr>
            <w:r>
              <w:t>es-ES</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United States</w:t>
            </w:r>
          </w:p>
        </w:tc>
        <w:tc>
          <w:tcPr>
            <w:tcW w:w="0" w:type="auto"/>
            <w:vAlign w:val="center"/>
          </w:tcPr>
          <w:p w:rsidR="000A156F" w:rsidRDefault="00A9721F">
            <w:pPr>
              <w:pStyle w:val="TableBodyText"/>
            </w:pPr>
            <w:r>
              <w:t>es-US</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Uruguay</w:t>
            </w:r>
          </w:p>
        </w:tc>
        <w:tc>
          <w:tcPr>
            <w:tcW w:w="0" w:type="auto"/>
            <w:vAlign w:val="center"/>
          </w:tcPr>
          <w:p w:rsidR="000A156F" w:rsidRDefault="00A9721F">
            <w:pPr>
              <w:pStyle w:val="TableBodyText"/>
            </w:pPr>
            <w:r>
              <w:t>es-UY</w:t>
            </w:r>
          </w:p>
        </w:tc>
      </w:tr>
      <w:tr w:rsidR="000A156F" w:rsidTr="000A156F">
        <w:tc>
          <w:tcPr>
            <w:tcW w:w="0" w:type="auto"/>
            <w:vAlign w:val="center"/>
          </w:tcPr>
          <w:p w:rsidR="000A156F" w:rsidRDefault="00A9721F">
            <w:pPr>
              <w:pStyle w:val="TableBodyText"/>
            </w:pPr>
            <w:r>
              <w:t>Spanish</w:t>
            </w:r>
          </w:p>
        </w:tc>
        <w:tc>
          <w:tcPr>
            <w:tcW w:w="0" w:type="auto"/>
            <w:vAlign w:val="center"/>
          </w:tcPr>
          <w:p w:rsidR="000A156F" w:rsidRDefault="00A9721F">
            <w:pPr>
              <w:pStyle w:val="TableBodyText"/>
            </w:pPr>
            <w:r>
              <w:t>Venezuela</w:t>
            </w:r>
          </w:p>
        </w:tc>
        <w:tc>
          <w:tcPr>
            <w:tcW w:w="0" w:type="auto"/>
            <w:vAlign w:val="center"/>
          </w:tcPr>
          <w:p w:rsidR="000A156F" w:rsidRDefault="00A9721F">
            <w:pPr>
              <w:pStyle w:val="TableBodyText"/>
            </w:pPr>
            <w:r>
              <w:t>es-VE</w:t>
            </w:r>
          </w:p>
        </w:tc>
      </w:tr>
      <w:tr w:rsidR="000A156F" w:rsidTr="000A156F">
        <w:tc>
          <w:tcPr>
            <w:tcW w:w="0" w:type="auto"/>
            <w:vAlign w:val="center"/>
          </w:tcPr>
          <w:p w:rsidR="000A156F" w:rsidRDefault="00A9721F">
            <w:pPr>
              <w:pStyle w:val="TableBodyText"/>
            </w:pPr>
            <w:r>
              <w:t>Swahili</w:t>
            </w:r>
          </w:p>
        </w:tc>
        <w:tc>
          <w:tcPr>
            <w:tcW w:w="0" w:type="auto"/>
            <w:vAlign w:val="center"/>
          </w:tcPr>
          <w:p w:rsidR="000A156F" w:rsidRDefault="00A9721F">
            <w:pPr>
              <w:pStyle w:val="TableBodyText"/>
            </w:pPr>
            <w:r>
              <w:t>Kenya</w:t>
            </w:r>
          </w:p>
        </w:tc>
        <w:tc>
          <w:tcPr>
            <w:tcW w:w="0" w:type="auto"/>
            <w:vAlign w:val="center"/>
          </w:tcPr>
          <w:p w:rsidR="000A156F" w:rsidRDefault="00A9721F">
            <w:pPr>
              <w:pStyle w:val="TableBodyText"/>
            </w:pPr>
            <w:r>
              <w:t>sw-KE</w:t>
            </w:r>
          </w:p>
        </w:tc>
      </w:tr>
      <w:tr w:rsidR="000A156F" w:rsidTr="000A156F">
        <w:tc>
          <w:tcPr>
            <w:tcW w:w="0" w:type="auto"/>
            <w:vAlign w:val="center"/>
          </w:tcPr>
          <w:p w:rsidR="000A156F" w:rsidRDefault="00A9721F">
            <w:pPr>
              <w:pStyle w:val="TableBodyText"/>
            </w:pPr>
            <w:r>
              <w:t>Swedish</w:t>
            </w:r>
          </w:p>
        </w:tc>
        <w:tc>
          <w:tcPr>
            <w:tcW w:w="0" w:type="auto"/>
            <w:vAlign w:val="center"/>
          </w:tcPr>
          <w:p w:rsidR="000A156F" w:rsidRDefault="00A9721F">
            <w:pPr>
              <w:pStyle w:val="TableBodyText"/>
            </w:pPr>
            <w:r>
              <w:t>Finland</w:t>
            </w:r>
          </w:p>
        </w:tc>
        <w:tc>
          <w:tcPr>
            <w:tcW w:w="0" w:type="auto"/>
            <w:vAlign w:val="center"/>
          </w:tcPr>
          <w:p w:rsidR="000A156F" w:rsidRDefault="00A9721F">
            <w:pPr>
              <w:pStyle w:val="TableBodyText"/>
            </w:pPr>
            <w:r>
              <w:t>sv-FI</w:t>
            </w:r>
          </w:p>
        </w:tc>
      </w:tr>
      <w:tr w:rsidR="000A156F" w:rsidTr="000A156F">
        <w:tc>
          <w:tcPr>
            <w:tcW w:w="0" w:type="auto"/>
            <w:vAlign w:val="center"/>
          </w:tcPr>
          <w:p w:rsidR="000A156F" w:rsidRDefault="00A9721F">
            <w:pPr>
              <w:pStyle w:val="TableBodyText"/>
            </w:pPr>
            <w:r>
              <w:t>Swedish</w:t>
            </w:r>
          </w:p>
        </w:tc>
        <w:tc>
          <w:tcPr>
            <w:tcW w:w="0" w:type="auto"/>
            <w:vAlign w:val="center"/>
          </w:tcPr>
          <w:p w:rsidR="000A156F" w:rsidRDefault="00A9721F">
            <w:pPr>
              <w:pStyle w:val="TableBodyText"/>
            </w:pPr>
            <w:r>
              <w:t>Sweden</w:t>
            </w:r>
          </w:p>
        </w:tc>
        <w:tc>
          <w:tcPr>
            <w:tcW w:w="0" w:type="auto"/>
            <w:vAlign w:val="center"/>
          </w:tcPr>
          <w:p w:rsidR="000A156F" w:rsidRDefault="00A9721F">
            <w:pPr>
              <w:pStyle w:val="TableBodyText"/>
            </w:pPr>
            <w:r>
              <w:t>sv-SE</w:t>
            </w:r>
          </w:p>
        </w:tc>
      </w:tr>
      <w:tr w:rsidR="000A156F" w:rsidTr="000A156F">
        <w:tc>
          <w:tcPr>
            <w:tcW w:w="0" w:type="auto"/>
            <w:vAlign w:val="center"/>
          </w:tcPr>
          <w:p w:rsidR="000A156F" w:rsidRDefault="00A9721F">
            <w:pPr>
              <w:pStyle w:val="TableBodyText"/>
            </w:pPr>
            <w:r>
              <w:t>Syriac</w:t>
            </w:r>
          </w:p>
        </w:tc>
        <w:tc>
          <w:tcPr>
            <w:tcW w:w="0" w:type="auto"/>
            <w:vAlign w:val="center"/>
          </w:tcPr>
          <w:p w:rsidR="000A156F" w:rsidRDefault="00A9721F">
            <w:pPr>
              <w:pStyle w:val="TableBodyText"/>
            </w:pPr>
            <w:r>
              <w:t>Syria</w:t>
            </w:r>
          </w:p>
        </w:tc>
        <w:tc>
          <w:tcPr>
            <w:tcW w:w="0" w:type="auto"/>
            <w:vAlign w:val="center"/>
          </w:tcPr>
          <w:p w:rsidR="000A156F" w:rsidRDefault="00A9721F">
            <w:pPr>
              <w:pStyle w:val="TableBodyText"/>
            </w:pPr>
            <w:r>
              <w:t>syr-SY</w:t>
            </w:r>
          </w:p>
        </w:tc>
      </w:tr>
      <w:tr w:rsidR="000A156F" w:rsidTr="000A156F">
        <w:tc>
          <w:tcPr>
            <w:tcW w:w="0" w:type="auto"/>
            <w:vAlign w:val="center"/>
          </w:tcPr>
          <w:p w:rsidR="000A156F" w:rsidRDefault="00A9721F">
            <w:pPr>
              <w:pStyle w:val="TableBodyText"/>
            </w:pPr>
            <w:r>
              <w:t>Tajik (Cyrillic)</w:t>
            </w:r>
          </w:p>
        </w:tc>
        <w:tc>
          <w:tcPr>
            <w:tcW w:w="0" w:type="auto"/>
            <w:vAlign w:val="center"/>
          </w:tcPr>
          <w:p w:rsidR="000A156F" w:rsidRDefault="00A9721F">
            <w:pPr>
              <w:pStyle w:val="TableBodyText"/>
            </w:pPr>
            <w:r>
              <w:t>Tajikistan</w:t>
            </w:r>
          </w:p>
        </w:tc>
        <w:tc>
          <w:tcPr>
            <w:tcW w:w="0" w:type="auto"/>
            <w:vAlign w:val="center"/>
          </w:tcPr>
          <w:p w:rsidR="000A156F" w:rsidRDefault="00A9721F">
            <w:pPr>
              <w:pStyle w:val="TableBodyText"/>
            </w:pPr>
            <w:r>
              <w:t>tg-TJ-Cyrl</w:t>
            </w:r>
          </w:p>
        </w:tc>
      </w:tr>
      <w:tr w:rsidR="000A156F" w:rsidTr="000A156F">
        <w:tc>
          <w:tcPr>
            <w:tcW w:w="0" w:type="auto"/>
            <w:vAlign w:val="center"/>
          </w:tcPr>
          <w:p w:rsidR="000A156F" w:rsidRDefault="00A9721F">
            <w:pPr>
              <w:pStyle w:val="TableBodyText"/>
            </w:pPr>
            <w:r>
              <w:t>Tamazight (Latin)</w:t>
            </w:r>
          </w:p>
        </w:tc>
        <w:tc>
          <w:tcPr>
            <w:tcW w:w="0" w:type="auto"/>
            <w:vAlign w:val="center"/>
          </w:tcPr>
          <w:p w:rsidR="000A156F" w:rsidRDefault="00A9721F">
            <w:pPr>
              <w:pStyle w:val="TableBodyText"/>
            </w:pPr>
            <w:r>
              <w:t>Algeria</w:t>
            </w:r>
          </w:p>
        </w:tc>
        <w:tc>
          <w:tcPr>
            <w:tcW w:w="0" w:type="auto"/>
            <w:vAlign w:val="center"/>
          </w:tcPr>
          <w:p w:rsidR="000A156F" w:rsidRDefault="00A9721F">
            <w:pPr>
              <w:pStyle w:val="TableBodyText"/>
            </w:pPr>
            <w:r>
              <w:t>tmz-DZ-Latn</w:t>
            </w:r>
          </w:p>
        </w:tc>
      </w:tr>
      <w:tr w:rsidR="000A156F" w:rsidTr="000A156F">
        <w:tc>
          <w:tcPr>
            <w:tcW w:w="0" w:type="auto"/>
            <w:vAlign w:val="center"/>
          </w:tcPr>
          <w:p w:rsidR="000A156F" w:rsidRDefault="00A9721F">
            <w:pPr>
              <w:pStyle w:val="TableBodyText"/>
            </w:pPr>
            <w:r>
              <w:t>Tamil</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ta-IN</w:t>
            </w:r>
          </w:p>
        </w:tc>
      </w:tr>
      <w:tr w:rsidR="000A156F" w:rsidTr="000A156F">
        <w:tc>
          <w:tcPr>
            <w:tcW w:w="0" w:type="auto"/>
            <w:vAlign w:val="center"/>
          </w:tcPr>
          <w:p w:rsidR="000A156F" w:rsidRDefault="00A9721F">
            <w:pPr>
              <w:pStyle w:val="TableBodyText"/>
            </w:pPr>
            <w:r>
              <w:t>Tatar</w:t>
            </w:r>
          </w:p>
        </w:tc>
        <w:tc>
          <w:tcPr>
            <w:tcW w:w="0" w:type="auto"/>
            <w:vAlign w:val="center"/>
          </w:tcPr>
          <w:p w:rsidR="000A156F" w:rsidRDefault="00A9721F">
            <w:pPr>
              <w:pStyle w:val="TableBodyText"/>
            </w:pPr>
            <w:r>
              <w:t>Russia</w:t>
            </w:r>
          </w:p>
        </w:tc>
        <w:tc>
          <w:tcPr>
            <w:tcW w:w="0" w:type="auto"/>
            <w:vAlign w:val="center"/>
          </w:tcPr>
          <w:p w:rsidR="000A156F" w:rsidRDefault="00A9721F">
            <w:pPr>
              <w:pStyle w:val="TableBodyText"/>
            </w:pPr>
            <w:r>
              <w:t>tt-RU</w:t>
            </w:r>
          </w:p>
        </w:tc>
      </w:tr>
      <w:tr w:rsidR="000A156F" w:rsidTr="000A156F">
        <w:tc>
          <w:tcPr>
            <w:tcW w:w="0" w:type="auto"/>
            <w:vAlign w:val="center"/>
          </w:tcPr>
          <w:p w:rsidR="000A156F" w:rsidRDefault="00A9721F">
            <w:pPr>
              <w:pStyle w:val="TableBodyText"/>
            </w:pPr>
            <w:r>
              <w:t>Telugu (Telugu Script)</w:t>
            </w:r>
          </w:p>
        </w:tc>
        <w:tc>
          <w:tcPr>
            <w:tcW w:w="0" w:type="auto"/>
            <w:vAlign w:val="center"/>
          </w:tcPr>
          <w:p w:rsidR="000A156F" w:rsidRDefault="00A9721F">
            <w:pPr>
              <w:pStyle w:val="TableBodyText"/>
            </w:pPr>
            <w:r>
              <w:t>India</w:t>
            </w:r>
          </w:p>
        </w:tc>
        <w:tc>
          <w:tcPr>
            <w:tcW w:w="0" w:type="auto"/>
            <w:vAlign w:val="center"/>
          </w:tcPr>
          <w:p w:rsidR="000A156F" w:rsidRDefault="00A9721F">
            <w:pPr>
              <w:pStyle w:val="TableBodyText"/>
            </w:pPr>
            <w:r>
              <w:t>te-IN</w:t>
            </w:r>
          </w:p>
        </w:tc>
      </w:tr>
      <w:tr w:rsidR="000A156F" w:rsidTr="000A156F">
        <w:tc>
          <w:tcPr>
            <w:tcW w:w="0" w:type="auto"/>
            <w:vAlign w:val="center"/>
          </w:tcPr>
          <w:p w:rsidR="000A156F" w:rsidRDefault="00A9721F">
            <w:pPr>
              <w:pStyle w:val="TableBodyText"/>
            </w:pPr>
            <w:r>
              <w:t xml:space="preserve">Thai </w:t>
            </w:r>
          </w:p>
        </w:tc>
        <w:tc>
          <w:tcPr>
            <w:tcW w:w="0" w:type="auto"/>
            <w:vAlign w:val="center"/>
          </w:tcPr>
          <w:p w:rsidR="000A156F" w:rsidRDefault="00A9721F">
            <w:pPr>
              <w:pStyle w:val="TableBodyText"/>
            </w:pPr>
            <w:r>
              <w:t>Thailand</w:t>
            </w:r>
          </w:p>
        </w:tc>
        <w:tc>
          <w:tcPr>
            <w:tcW w:w="0" w:type="auto"/>
            <w:vAlign w:val="center"/>
          </w:tcPr>
          <w:p w:rsidR="000A156F" w:rsidRDefault="00A9721F">
            <w:pPr>
              <w:pStyle w:val="TableBodyText"/>
            </w:pPr>
            <w:r>
              <w:t>th-TH</w:t>
            </w:r>
          </w:p>
        </w:tc>
      </w:tr>
      <w:tr w:rsidR="000A156F" w:rsidTr="000A156F">
        <w:tc>
          <w:tcPr>
            <w:tcW w:w="0" w:type="auto"/>
            <w:vAlign w:val="center"/>
          </w:tcPr>
          <w:p w:rsidR="000A156F" w:rsidRDefault="00A9721F">
            <w:pPr>
              <w:pStyle w:val="TableBodyText"/>
            </w:pPr>
            <w:r>
              <w:t>Tibetan</w:t>
            </w:r>
          </w:p>
        </w:tc>
        <w:tc>
          <w:tcPr>
            <w:tcW w:w="0" w:type="auto"/>
            <w:vAlign w:val="center"/>
          </w:tcPr>
          <w:p w:rsidR="000A156F" w:rsidRDefault="00A9721F">
            <w:pPr>
              <w:pStyle w:val="TableBodyText"/>
            </w:pPr>
            <w:r>
              <w:t>Bhutan</w:t>
            </w:r>
          </w:p>
        </w:tc>
        <w:tc>
          <w:tcPr>
            <w:tcW w:w="0" w:type="auto"/>
            <w:vAlign w:val="center"/>
          </w:tcPr>
          <w:p w:rsidR="000A156F" w:rsidRDefault="00A9721F">
            <w:pPr>
              <w:pStyle w:val="TableBodyText"/>
            </w:pPr>
            <w:r>
              <w:t>bo-BT</w:t>
            </w:r>
          </w:p>
        </w:tc>
      </w:tr>
      <w:tr w:rsidR="000A156F" w:rsidTr="000A156F">
        <w:tc>
          <w:tcPr>
            <w:tcW w:w="0" w:type="auto"/>
            <w:vAlign w:val="center"/>
          </w:tcPr>
          <w:p w:rsidR="000A156F" w:rsidRDefault="00A9721F">
            <w:pPr>
              <w:pStyle w:val="TableBodyText"/>
            </w:pPr>
            <w:r>
              <w:t>Tibetan</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bo-CN</w:t>
            </w:r>
          </w:p>
        </w:tc>
      </w:tr>
      <w:tr w:rsidR="000A156F" w:rsidTr="000A156F">
        <w:tc>
          <w:tcPr>
            <w:tcW w:w="0" w:type="auto"/>
            <w:vAlign w:val="center"/>
          </w:tcPr>
          <w:p w:rsidR="000A156F" w:rsidRDefault="00A9721F">
            <w:pPr>
              <w:pStyle w:val="TableBodyText"/>
            </w:pPr>
            <w:r>
              <w:lastRenderedPageBreak/>
              <w:t>Turkish</w:t>
            </w:r>
          </w:p>
        </w:tc>
        <w:tc>
          <w:tcPr>
            <w:tcW w:w="0" w:type="auto"/>
            <w:vAlign w:val="center"/>
          </w:tcPr>
          <w:p w:rsidR="000A156F" w:rsidRDefault="00A9721F">
            <w:pPr>
              <w:pStyle w:val="TableBodyText"/>
            </w:pPr>
            <w:r>
              <w:t>Turkey</w:t>
            </w:r>
          </w:p>
        </w:tc>
        <w:tc>
          <w:tcPr>
            <w:tcW w:w="0" w:type="auto"/>
            <w:vAlign w:val="center"/>
          </w:tcPr>
          <w:p w:rsidR="000A156F" w:rsidRDefault="00A9721F">
            <w:pPr>
              <w:pStyle w:val="TableBodyText"/>
            </w:pPr>
            <w:r>
              <w:t>tr-TR</w:t>
            </w:r>
          </w:p>
        </w:tc>
      </w:tr>
      <w:tr w:rsidR="000A156F" w:rsidTr="000A156F">
        <w:tc>
          <w:tcPr>
            <w:tcW w:w="0" w:type="auto"/>
            <w:vAlign w:val="center"/>
          </w:tcPr>
          <w:p w:rsidR="000A156F" w:rsidRDefault="00A9721F">
            <w:pPr>
              <w:pStyle w:val="TableBodyText"/>
            </w:pPr>
            <w:r>
              <w:t>Turkmen</w:t>
            </w:r>
          </w:p>
        </w:tc>
        <w:tc>
          <w:tcPr>
            <w:tcW w:w="0" w:type="auto"/>
            <w:vAlign w:val="center"/>
          </w:tcPr>
          <w:p w:rsidR="000A156F" w:rsidRDefault="00A9721F">
            <w:pPr>
              <w:pStyle w:val="TableBodyText"/>
            </w:pPr>
            <w:r>
              <w:t>Turkmenistan</w:t>
            </w:r>
          </w:p>
        </w:tc>
        <w:tc>
          <w:tcPr>
            <w:tcW w:w="0" w:type="auto"/>
            <w:vAlign w:val="center"/>
          </w:tcPr>
          <w:p w:rsidR="000A156F" w:rsidRDefault="00A9721F">
            <w:pPr>
              <w:pStyle w:val="TableBodyText"/>
            </w:pPr>
            <w:r>
              <w:t>tk-TM</w:t>
            </w:r>
          </w:p>
        </w:tc>
      </w:tr>
      <w:tr w:rsidR="000A156F" w:rsidTr="000A156F">
        <w:tc>
          <w:tcPr>
            <w:tcW w:w="0" w:type="auto"/>
            <w:vAlign w:val="center"/>
          </w:tcPr>
          <w:p w:rsidR="000A156F" w:rsidRDefault="00A9721F">
            <w:pPr>
              <w:pStyle w:val="TableBodyText"/>
            </w:pPr>
            <w:r>
              <w:t xml:space="preserve">Uighur </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ug-CN</w:t>
            </w:r>
          </w:p>
        </w:tc>
      </w:tr>
      <w:tr w:rsidR="000A156F" w:rsidTr="000A156F">
        <w:tc>
          <w:tcPr>
            <w:tcW w:w="0" w:type="auto"/>
            <w:vAlign w:val="center"/>
          </w:tcPr>
          <w:p w:rsidR="000A156F" w:rsidRDefault="00A9721F">
            <w:pPr>
              <w:pStyle w:val="TableBodyText"/>
            </w:pPr>
            <w:r>
              <w:t>Ukrainian</w:t>
            </w:r>
          </w:p>
        </w:tc>
        <w:tc>
          <w:tcPr>
            <w:tcW w:w="0" w:type="auto"/>
            <w:vAlign w:val="center"/>
          </w:tcPr>
          <w:p w:rsidR="000A156F" w:rsidRDefault="00A9721F">
            <w:pPr>
              <w:pStyle w:val="TableBodyText"/>
            </w:pPr>
            <w:r>
              <w:t>Ukraine</w:t>
            </w:r>
          </w:p>
        </w:tc>
        <w:tc>
          <w:tcPr>
            <w:tcW w:w="0" w:type="auto"/>
            <w:vAlign w:val="center"/>
          </w:tcPr>
          <w:p w:rsidR="000A156F" w:rsidRDefault="00A9721F">
            <w:pPr>
              <w:pStyle w:val="TableBodyText"/>
            </w:pPr>
            <w:r>
              <w:t>uk-UA</w:t>
            </w:r>
          </w:p>
        </w:tc>
      </w:tr>
      <w:tr w:rsidR="000A156F" w:rsidTr="000A156F">
        <w:tc>
          <w:tcPr>
            <w:tcW w:w="0" w:type="auto"/>
            <w:vAlign w:val="center"/>
          </w:tcPr>
          <w:p w:rsidR="000A156F" w:rsidRDefault="00A9721F">
            <w:pPr>
              <w:pStyle w:val="TableBodyText"/>
            </w:pPr>
            <w:r>
              <w:t>Upper Sorbian</w:t>
            </w:r>
          </w:p>
        </w:tc>
        <w:tc>
          <w:tcPr>
            <w:tcW w:w="0" w:type="auto"/>
            <w:vAlign w:val="center"/>
          </w:tcPr>
          <w:p w:rsidR="000A156F" w:rsidRDefault="00A9721F">
            <w:pPr>
              <w:pStyle w:val="TableBodyText"/>
            </w:pPr>
            <w:r>
              <w:t>Germany</w:t>
            </w:r>
          </w:p>
        </w:tc>
        <w:tc>
          <w:tcPr>
            <w:tcW w:w="0" w:type="auto"/>
            <w:vAlign w:val="center"/>
          </w:tcPr>
          <w:p w:rsidR="000A156F" w:rsidRDefault="00A9721F">
            <w:pPr>
              <w:pStyle w:val="TableBodyText"/>
            </w:pPr>
            <w:r>
              <w:t>wen-DE</w:t>
            </w:r>
          </w:p>
        </w:tc>
      </w:tr>
      <w:tr w:rsidR="000A156F" w:rsidTr="000A156F">
        <w:tc>
          <w:tcPr>
            <w:tcW w:w="0" w:type="auto"/>
            <w:vAlign w:val="center"/>
          </w:tcPr>
          <w:p w:rsidR="000A156F" w:rsidRDefault="00A9721F">
            <w:pPr>
              <w:pStyle w:val="TableBodyText"/>
            </w:pPr>
            <w:r>
              <w:t>Urdu</w:t>
            </w:r>
          </w:p>
        </w:tc>
        <w:tc>
          <w:tcPr>
            <w:tcW w:w="0" w:type="auto"/>
            <w:vAlign w:val="center"/>
          </w:tcPr>
          <w:p w:rsidR="000A156F" w:rsidRDefault="00A9721F">
            <w:pPr>
              <w:pStyle w:val="TableBodyText"/>
            </w:pPr>
            <w:r>
              <w:t>Pakistan</w:t>
            </w:r>
          </w:p>
        </w:tc>
        <w:tc>
          <w:tcPr>
            <w:tcW w:w="0" w:type="auto"/>
            <w:vAlign w:val="center"/>
          </w:tcPr>
          <w:p w:rsidR="000A156F" w:rsidRDefault="00A9721F">
            <w:pPr>
              <w:pStyle w:val="TableBodyText"/>
            </w:pPr>
            <w:r>
              <w:t>ur-PK</w:t>
            </w:r>
          </w:p>
        </w:tc>
      </w:tr>
      <w:tr w:rsidR="000A156F" w:rsidTr="000A156F">
        <w:tc>
          <w:tcPr>
            <w:tcW w:w="0" w:type="auto"/>
            <w:vAlign w:val="center"/>
          </w:tcPr>
          <w:p w:rsidR="000A156F" w:rsidRDefault="00A9721F">
            <w:pPr>
              <w:pStyle w:val="TableBodyText"/>
            </w:pPr>
            <w:r>
              <w:t>Uzbek (Cyrillic)</w:t>
            </w:r>
          </w:p>
        </w:tc>
        <w:tc>
          <w:tcPr>
            <w:tcW w:w="0" w:type="auto"/>
            <w:vAlign w:val="center"/>
          </w:tcPr>
          <w:p w:rsidR="000A156F" w:rsidRDefault="00A9721F">
            <w:pPr>
              <w:pStyle w:val="TableBodyText"/>
            </w:pPr>
            <w:r>
              <w:t>Uzbekistan</w:t>
            </w:r>
          </w:p>
        </w:tc>
        <w:tc>
          <w:tcPr>
            <w:tcW w:w="0" w:type="auto"/>
            <w:vAlign w:val="center"/>
          </w:tcPr>
          <w:p w:rsidR="000A156F" w:rsidRDefault="00A9721F">
            <w:pPr>
              <w:pStyle w:val="TableBodyText"/>
            </w:pPr>
            <w:r>
              <w:t>uz-UZ-Cyrl</w:t>
            </w:r>
          </w:p>
        </w:tc>
      </w:tr>
      <w:tr w:rsidR="000A156F" w:rsidTr="000A156F">
        <w:tc>
          <w:tcPr>
            <w:tcW w:w="0" w:type="auto"/>
            <w:vAlign w:val="center"/>
          </w:tcPr>
          <w:p w:rsidR="000A156F" w:rsidRDefault="00A9721F">
            <w:pPr>
              <w:pStyle w:val="TableBodyText"/>
            </w:pPr>
            <w:r>
              <w:t>Uzbek (Latin)</w:t>
            </w:r>
          </w:p>
        </w:tc>
        <w:tc>
          <w:tcPr>
            <w:tcW w:w="0" w:type="auto"/>
            <w:vAlign w:val="center"/>
          </w:tcPr>
          <w:p w:rsidR="000A156F" w:rsidRDefault="00A9721F">
            <w:pPr>
              <w:pStyle w:val="TableBodyText"/>
            </w:pPr>
            <w:r>
              <w:t>Uzbekistan</w:t>
            </w:r>
          </w:p>
        </w:tc>
        <w:tc>
          <w:tcPr>
            <w:tcW w:w="0" w:type="auto"/>
            <w:vAlign w:val="center"/>
          </w:tcPr>
          <w:p w:rsidR="000A156F" w:rsidRDefault="00A9721F">
            <w:pPr>
              <w:pStyle w:val="TableBodyText"/>
            </w:pPr>
            <w:r>
              <w:t>uz-UZ-Latn</w:t>
            </w:r>
          </w:p>
        </w:tc>
      </w:tr>
      <w:tr w:rsidR="000A156F" w:rsidTr="000A156F">
        <w:tc>
          <w:tcPr>
            <w:tcW w:w="0" w:type="auto"/>
            <w:vAlign w:val="center"/>
          </w:tcPr>
          <w:p w:rsidR="000A156F" w:rsidRDefault="00A9721F">
            <w:pPr>
              <w:pStyle w:val="TableBodyText"/>
            </w:pPr>
            <w:r>
              <w:t>Vietnamese</w:t>
            </w:r>
          </w:p>
        </w:tc>
        <w:tc>
          <w:tcPr>
            <w:tcW w:w="0" w:type="auto"/>
            <w:vAlign w:val="center"/>
          </w:tcPr>
          <w:p w:rsidR="000A156F" w:rsidRDefault="00A9721F">
            <w:pPr>
              <w:pStyle w:val="TableBodyText"/>
            </w:pPr>
            <w:r>
              <w:t>Viet Nam</w:t>
            </w:r>
          </w:p>
        </w:tc>
        <w:tc>
          <w:tcPr>
            <w:tcW w:w="0" w:type="auto"/>
            <w:vAlign w:val="center"/>
          </w:tcPr>
          <w:p w:rsidR="000A156F" w:rsidRDefault="00A9721F">
            <w:pPr>
              <w:pStyle w:val="TableBodyText"/>
            </w:pPr>
            <w:r>
              <w:t>vi-VN</w:t>
            </w:r>
          </w:p>
        </w:tc>
      </w:tr>
      <w:tr w:rsidR="000A156F" w:rsidTr="000A156F">
        <w:tc>
          <w:tcPr>
            <w:tcW w:w="0" w:type="auto"/>
            <w:vAlign w:val="center"/>
          </w:tcPr>
          <w:p w:rsidR="000A156F" w:rsidRDefault="00A9721F">
            <w:pPr>
              <w:pStyle w:val="TableBodyText"/>
            </w:pPr>
            <w:r>
              <w:t xml:space="preserve">Welsh </w:t>
            </w:r>
          </w:p>
        </w:tc>
        <w:tc>
          <w:tcPr>
            <w:tcW w:w="0" w:type="auto"/>
            <w:vAlign w:val="center"/>
          </w:tcPr>
          <w:p w:rsidR="000A156F" w:rsidRDefault="00A9721F">
            <w:pPr>
              <w:pStyle w:val="TableBodyText"/>
            </w:pPr>
            <w:r>
              <w:t>United Kingdom</w:t>
            </w:r>
          </w:p>
        </w:tc>
        <w:tc>
          <w:tcPr>
            <w:tcW w:w="0" w:type="auto"/>
            <w:vAlign w:val="center"/>
          </w:tcPr>
          <w:p w:rsidR="000A156F" w:rsidRDefault="00A9721F">
            <w:pPr>
              <w:pStyle w:val="TableBodyText"/>
            </w:pPr>
            <w:r>
              <w:t>cy-GB</w:t>
            </w:r>
          </w:p>
        </w:tc>
      </w:tr>
      <w:tr w:rsidR="000A156F" w:rsidTr="000A156F">
        <w:tc>
          <w:tcPr>
            <w:tcW w:w="0" w:type="auto"/>
            <w:vAlign w:val="center"/>
          </w:tcPr>
          <w:p w:rsidR="000A156F" w:rsidRDefault="00A9721F">
            <w:pPr>
              <w:pStyle w:val="TableBodyText"/>
            </w:pPr>
            <w:r>
              <w:t xml:space="preserve">Wolof </w:t>
            </w:r>
          </w:p>
        </w:tc>
        <w:tc>
          <w:tcPr>
            <w:tcW w:w="0" w:type="auto"/>
            <w:vAlign w:val="center"/>
          </w:tcPr>
          <w:p w:rsidR="000A156F" w:rsidRDefault="00A9721F">
            <w:pPr>
              <w:pStyle w:val="TableBodyText"/>
            </w:pPr>
            <w:r>
              <w:t>Senegal</w:t>
            </w:r>
          </w:p>
        </w:tc>
        <w:tc>
          <w:tcPr>
            <w:tcW w:w="0" w:type="auto"/>
            <w:vAlign w:val="center"/>
          </w:tcPr>
          <w:p w:rsidR="000A156F" w:rsidRDefault="00A9721F">
            <w:pPr>
              <w:pStyle w:val="TableBodyText"/>
            </w:pPr>
            <w:r>
              <w:t>wo-SN</w:t>
            </w:r>
          </w:p>
        </w:tc>
      </w:tr>
      <w:tr w:rsidR="000A156F" w:rsidTr="000A156F">
        <w:tc>
          <w:tcPr>
            <w:tcW w:w="0" w:type="auto"/>
            <w:vAlign w:val="center"/>
          </w:tcPr>
          <w:p w:rsidR="000A156F" w:rsidRDefault="00A9721F">
            <w:pPr>
              <w:pStyle w:val="TableBodyText"/>
            </w:pPr>
            <w:r>
              <w:t>Yi</w:t>
            </w:r>
          </w:p>
        </w:tc>
        <w:tc>
          <w:tcPr>
            <w:tcW w:w="0" w:type="auto"/>
            <w:vAlign w:val="center"/>
          </w:tcPr>
          <w:p w:rsidR="000A156F" w:rsidRDefault="00A9721F">
            <w:pPr>
              <w:pStyle w:val="TableBodyText"/>
            </w:pPr>
            <w:r>
              <w:t>PRC</w:t>
            </w:r>
          </w:p>
        </w:tc>
        <w:tc>
          <w:tcPr>
            <w:tcW w:w="0" w:type="auto"/>
            <w:vAlign w:val="center"/>
          </w:tcPr>
          <w:p w:rsidR="000A156F" w:rsidRDefault="00A9721F">
            <w:pPr>
              <w:pStyle w:val="TableBodyText"/>
            </w:pPr>
            <w:r>
              <w:t>ii-CN</w:t>
            </w:r>
          </w:p>
        </w:tc>
      </w:tr>
      <w:tr w:rsidR="000A156F" w:rsidTr="000A156F">
        <w:tc>
          <w:tcPr>
            <w:tcW w:w="0" w:type="auto"/>
            <w:vAlign w:val="center"/>
          </w:tcPr>
          <w:p w:rsidR="000A156F" w:rsidRDefault="00A9721F">
            <w:pPr>
              <w:pStyle w:val="TableBodyText"/>
            </w:pPr>
            <w:r>
              <w:t>Yoruba</w:t>
            </w:r>
          </w:p>
        </w:tc>
        <w:tc>
          <w:tcPr>
            <w:tcW w:w="0" w:type="auto"/>
            <w:vAlign w:val="center"/>
          </w:tcPr>
          <w:p w:rsidR="000A156F" w:rsidRDefault="00A9721F">
            <w:pPr>
              <w:pStyle w:val="TableBodyText"/>
            </w:pPr>
            <w:r>
              <w:t>Nigeria</w:t>
            </w:r>
          </w:p>
        </w:tc>
        <w:tc>
          <w:tcPr>
            <w:tcW w:w="0" w:type="auto"/>
            <w:vAlign w:val="center"/>
          </w:tcPr>
          <w:p w:rsidR="000A156F" w:rsidRDefault="00A9721F">
            <w:pPr>
              <w:pStyle w:val="TableBodyText"/>
            </w:pPr>
            <w:r>
              <w:t>yo-NG</w:t>
            </w:r>
          </w:p>
        </w:tc>
      </w:tr>
    </w:tbl>
    <w:p w:rsidR="000A156F" w:rsidRDefault="000A156F"/>
    <w:p w:rsidR="000A156F" w:rsidRDefault="00A9721F">
      <w:pPr>
        <w:pStyle w:val="Heading3"/>
      </w:pPr>
      <w:bookmarkStart w:id="1612" w:name="section_3590372544d74cb08faf96d3d3dc0463"/>
      <w:bookmarkStart w:id="1613" w:name="_Toc181683832"/>
      <w:r>
        <w:t>Part 1 Section 18.10.1.88, set (OLAP Set)</w:t>
      </w:r>
      <w:bookmarkEnd w:id="1612"/>
      <w:bookmarkEnd w:id="1613"/>
      <w:r>
        <w:fldChar w:fldCharType="begin"/>
      </w:r>
      <w:r>
        <w:instrText xml:space="preserve"> XE "set (OLAP Set)" </w:instrText>
      </w:r>
      <w:r>
        <w:fldChar w:fldCharType="end"/>
      </w:r>
    </w:p>
    <w:p w:rsidR="000A156F" w:rsidRDefault="00A9721F">
      <w:pPr>
        <w:pStyle w:val="Definition-Field"/>
      </w:pPr>
      <w:r>
        <w:t xml:space="preserve">a.   </w:t>
      </w:r>
      <w:r>
        <w:rPr>
          <w:i/>
        </w:rPr>
        <w:t xml:space="preserve">The standard states </w:t>
      </w:r>
      <w:r>
        <w:rPr>
          <w:i/>
        </w:rPr>
        <w:t>that the values of the count attribute are defined by the XML Schema unsignedInt datatype.</w:t>
      </w:r>
    </w:p>
    <w:p w:rsidR="000A156F" w:rsidRDefault="00A9721F">
      <w:pPr>
        <w:pStyle w:val="Definition-Field2"/>
      </w:pPr>
      <w:r>
        <w:t>Office requires that the count attribute be less than 2147483648 or 4294967295 when number of items in the set is unknown.</w:t>
      </w:r>
    </w:p>
    <w:p w:rsidR="000A156F" w:rsidRDefault="00A9721F">
      <w:pPr>
        <w:pStyle w:val="Definition-Field"/>
      </w:pPr>
      <w:r>
        <w:t xml:space="preserve">b.   </w:t>
      </w:r>
      <w:r>
        <w:rPr>
          <w:i/>
        </w:rPr>
        <w:t>The standard does not limit the lengt</w:t>
      </w:r>
      <w:r>
        <w:rPr>
          <w:i/>
        </w:rPr>
        <w:t>h of the value of the setDefinition attribute.</w:t>
      </w:r>
    </w:p>
    <w:p w:rsidR="000A156F" w:rsidRDefault="00A9721F">
      <w:pPr>
        <w:pStyle w:val="Definition-Field2"/>
      </w:pPr>
      <w:r>
        <w:t>Excel restricts the value of this attribute to be at most 65535 characters.</w:t>
      </w:r>
    </w:p>
    <w:p w:rsidR="000A156F" w:rsidRDefault="00A9721F">
      <w:pPr>
        <w:pStyle w:val="Definition-Field"/>
      </w:pPr>
      <w:r>
        <w:t xml:space="preserve">c.   </w:t>
      </w:r>
      <w:r>
        <w:rPr>
          <w:i/>
        </w:rPr>
        <w:t>The standard states that the values of the maxRank attribute are defined by the XML Schema int datatype.</w:t>
      </w:r>
    </w:p>
    <w:p w:rsidR="000A156F" w:rsidRDefault="00A9721F">
      <w:pPr>
        <w:pStyle w:val="Definition-Field2"/>
      </w:pPr>
      <w:r>
        <w:t>Excel restricts the val</w:t>
      </w:r>
      <w:r>
        <w:t>ue of this attribute to be at least 0 and at most 1048576.</w:t>
      </w:r>
    </w:p>
    <w:p w:rsidR="000A156F" w:rsidRDefault="00A9721F">
      <w:pPr>
        <w:pStyle w:val="Definition-Field"/>
      </w:pPr>
      <w:r>
        <w:t xml:space="preserve">d.   </w:t>
      </w:r>
      <w:r>
        <w:rPr>
          <w:i/>
        </w:rPr>
        <w:t>The standard does not specify a default value for the count attribute.</w:t>
      </w:r>
    </w:p>
    <w:p w:rsidR="000A156F" w:rsidRDefault="00A9721F">
      <w:pPr>
        <w:pStyle w:val="Definition-Field2"/>
      </w:pPr>
      <w:r>
        <w:t>Excel uses a default value of 4294967295 for this attribute.</w:t>
      </w:r>
    </w:p>
    <w:p w:rsidR="000A156F" w:rsidRDefault="00A9721F">
      <w:pPr>
        <w:pStyle w:val="Definition-Field"/>
      </w:pPr>
      <w:r>
        <w:t xml:space="preserve">e.   </w:t>
      </w:r>
      <w:r>
        <w:rPr>
          <w:i/>
        </w:rPr>
        <w:t xml:space="preserve">The standard says that the count attribute specifies </w:t>
      </w:r>
      <w:r>
        <w:rPr>
          <w:i/>
        </w:rPr>
        <w:t>the number of tuples in the set.</w:t>
      </w:r>
    </w:p>
    <w:p w:rsidR="000A156F" w:rsidRDefault="00A9721F">
      <w:pPr>
        <w:pStyle w:val="Definition-Field2"/>
      </w:pPr>
      <w:r>
        <w:t>Office assumes that this indicates the number of tuples in the resulting set rather than the tpls element.</w:t>
      </w:r>
    </w:p>
    <w:p w:rsidR="000A156F" w:rsidRDefault="00A9721F">
      <w:pPr>
        <w:pStyle w:val="Heading3"/>
      </w:pPr>
      <w:bookmarkStart w:id="1614" w:name="section_e6bf5eddaa4c40b58f43b3da6b664823"/>
      <w:bookmarkStart w:id="1615" w:name="_Toc181683833"/>
      <w:r>
        <w:t>Part 1 Section 18.10.1.90, sharedItems (Shared Items)</w:t>
      </w:r>
      <w:bookmarkEnd w:id="1614"/>
      <w:bookmarkEnd w:id="1615"/>
      <w:r>
        <w:fldChar w:fldCharType="begin"/>
      </w:r>
      <w:r>
        <w:instrText xml:space="preserve"> XE "sharedItems (Shared Items)" </w:instrText>
      </w:r>
      <w:r>
        <w:fldChar w:fldCharType="end"/>
      </w:r>
    </w:p>
    <w:p w:rsidR="000A156F" w:rsidRDefault="00A9721F">
      <w:pPr>
        <w:pStyle w:val="Definition-Field"/>
      </w:pPr>
      <w:r>
        <w:t xml:space="preserve">a.   </w:t>
      </w:r>
      <w:r>
        <w:rPr>
          <w:i/>
        </w:rPr>
        <w:t>In the standard @maxVa</w:t>
      </w:r>
      <w:r>
        <w:rPr>
          <w:i/>
        </w:rPr>
        <w:t>lue is a double.</w:t>
      </w:r>
    </w:p>
    <w:p w:rsidR="000A156F" w:rsidRDefault="00A9721F">
      <w:pPr>
        <w:pStyle w:val="Definition-Field2"/>
      </w:pPr>
      <w:r>
        <w:t>Office does not support the use of NaN, INF, or -INF for @maxValue.</w:t>
      </w:r>
    </w:p>
    <w:p w:rsidR="000A156F" w:rsidRDefault="00A9721F">
      <w:pPr>
        <w:pStyle w:val="Definition-Field"/>
      </w:pPr>
      <w:r>
        <w:lastRenderedPageBreak/>
        <w:t xml:space="preserve">b.   </w:t>
      </w:r>
      <w:r>
        <w:rPr>
          <w:i/>
        </w:rPr>
        <w:t>The standard states that the values of the minValue attribute are defined by the XML Schema double datatype.</w:t>
      </w:r>
    </w:p>
    <w:p w:rsidR="000A156F" w:rsidRDefault="00A9721F">
      <w:pPr>
        <w:pStyle w:val="Definition-Field2"/>
      </w:pPr>
      <w:r>
        <w:t xml:space="preserve">Office does not support the use of NaN, INF, or -INF for </w:t>
      </w:r>
      <w:r>
        <w:t>the minValue attribute.</w:t>
      </w:r>
    </w:p>
    <w:p w:rsidR="000A156F" w:rsidRDefault="00A9721F">
      <w:pPr>
        <w:pStyle w:val="Definition-Field"/>
      </w:pPr>
      <w:r>
        <w:t xml:space="preserve">c.   </w:t>
      </w:r>
      <w:r>
        <w:rPr>
          <w:i/>
        </w:rPr>
        <w:t>In the standard it states that a longText attribute value of false indicates when text is less than 255 characters.</w:t>
      </w:r>
    </w:p>
    <w:p w:rsidR="000A156F" w:rsidRDefault="00A9721F">
      <w:pPr>
        <w:pStyle w:val="Definition-Field2"/>
      </w:pPr>
      <w:r>
        <w:t>Office interprets a longText attribute value of false to indicate when text is less than or equal to 255 charac</w:t>
      </w:r>
      <w:r>
        <w:t>ters.</w:t>
      </w:r>
    </w:p>
    <w:p w:rsidR="000A156F" w:rsidRDefault="00A9721F">
      <w:pPr>
        <w:pStyle w:val="Definition-Field"/>
      </w:pPr>
      <w:r>
        <w:t xml:space="preserve">d.   </w:t>
      </w:r>
      <w:r>
        <w:rPr>
          <w:i/>
        </w:rPr>
        <w:t>The standard describes when the attributes are not used in the load process.</w:t>
      </w:r>
    </w:p>
    <w:p w:rsidR="000A156F" w:rsidRDefault="00A9721F">
      <w:pPr>
        <w:pStyle w:val="Definition-Field2"/>
      </w:pPr>
      <w:r>
        <w:t>Office checks these restrictions for individual attributes, not on the element as a whole. Restrictions are described in detail per attribute.</w:t>
      </w:r>
    </w:p>
    <w:p w:rsidR="000A156F" w:rsidRDefault="00A9721F">
      <w:pPr>
        <w:pStyle w:val="Definition-Field"/>
      </w:pPr>
      <w:r>
        <w:t xml:space="preserve">e.   </w:t>
      </w:r>
      <w:r>
        <w:rPr>
          <w:i/>
        </w:rPr>
        <w:t>In the standard rela</w:t>
      </w:r>
      <w:r>
        <w:rPr>
          <w:i/>
        </w:rPr>
        <w:t>tionships of @containsNumber with other attributes is not explicit.</w:t>
      </w:r>
    </w:p>
    <w:p w:rsidR="000A156F" w:rsidRDefault="00A9721F">
      <w:pPr>
        <w:pStyle w:val="Definition-Field2"/>
      </w:pPr>
      <w:r>
        <w:t>In Office, @containsNumber shall be 1 or true when @containsInteger is specified. This value shall also be 1 or true when @minValue or @maxValue is specified.</w:t>
      </w:r>
    </w:p>
    <w:p w:rsidR="000A156F" w:rsidRDefault="00A9721F">
      <w:pPr>
        <w:pStyle w:val="Definition-Field"/>
      </w:pPr>
      <w:r>
        <w:t xml:space="preserve">f.   </w:t>
      </w:r>
      <w:r>
        <w:rPr>
          <w:i/>
        </w:rPr>
        <w:t>In the standard there is</w:t>
      </w:r>
      <w:r>
        <w:rPr>
          <w:i/>
        </w:rPr>
        <w:t xml:space="preserve"> not an explicit order between @minValue and @maxValue.</w:t>
      </w:r>
    </w:p>
    <w:p w:rsidR="000A156F" w:rsidRDefault="00A9721F">
      <w:pPr>
        <w:pStyle w:val="Definition-Field2"/>
      </w:pPr>
      <w:r>
        <w:t>In Office the value of @minValue shall be less than or equal to the value of @maxValue.</w:t>
      </w:r>
    </w:p>
    <w:p w:rsidR="000A156F" w:rsidRDefault="00A9721F">
      <w:pPr>
        <w:pStyle w:val="Definition-Field"/>
      </w:pPr>
      <w:r>
        <w:t xml:space="preserve">g.   </w:t>
      </w:r>
      <w:r>
        <w:rPr>
          <w:i/>
        </w:rPr>
        <w:t>The standard does not defined what mixed types are for the containsMixedTypes attribute.</w:t>
      </w:r>
    </w:p>
    <w:p w:rsidR="000A156F" w:rsidRDefault="00A9721F">
      <w:pPr>
        <w:pStyle w:val="Definition-Field2"/>
      </w:pPr>
      <w:r>
        <w:t>In Office, the con</w:t>
      </w:r>
      <w:r>
        <w:t>tainsMixedTypes attribute assumes that boolean and error shall be considered part of the string type.</w:t>
      </w:r>
    </w:p>
    <w:p w:rsidR="000A156F" w:rsidRDefault="00A9721F">
      <w:pPr>
        <w:pStyle w:val="Definition-Field"/>
      </w:pPr>
      <w:r>
        <w:t xml:space="preserve">h.   </w:t>
      </w:r>
      <w:r>
        <w:rPr>
          <w:i/>
        </w:rPr>
        <w:t>The standard does not define what other values are for the containsSemiMixedTypes attribute.</w:t>
      </w:r>
    </w:p>
    <w:p w:rsidR="000A156F" w:rsidRDefault="00A9721F">
      <w:pPr>
        <w:pStyle w:val="Definition-Field2"/>
      </w:pPr>
      <w:r>
        <w:t>Office expects that the containsSemiMixedTypes attribute</w:t>
      </w:r>
      <w:r>
        <w:t xml:space="preserve"> is true when the field contains text, blank, boolean or error values.</w:t>
      </w:r>
    </w:p>
    <w:p w:rsidR="000A156F" w:rsidRDefault="00A9721F">
      <w:pPr>
        <w:pStyle w:val="Definition-Field"/>
      </w:pPr>
      <w:r>
        <w:t xml:space="preserve">i.   </w:t>
      </w:r>
      <w:r>
        <w:rPr>
          <w:i/>
        </w:rPr>
        <w:t>The standard states that when the containsString attribute equals 1, this field contains a text value.</w:t>
      </w:r>
    </w:p>
    <w:p w:rsidR="000A156F" w:rsidRDefault="00A9721F">
      <w:pPr>
        <w:pStyle w:val="Definition-Field2"/>
      </w:pPr>
      <w:r>
        <w:t>In Office, boolean and error are considered strings in the context of the con</w:t>
      </w:r>
      <w:r>
        <w:t>tainsString attribute.</w:t>
      </w:r>
    </w:p>
    <w:p w:rsidR="000A156F" w:rsidRDefault="00A9721F">
      <w:pPr>
        <w:pStyle w:val="Definition-Field"/>
      </w:pPr>
      <w:r>
        <w:t xml:space="preserve">j.   </w:t>
      </w:r>
      <w:r>
        <w:rPr>
          <w:i/>
        </w:rPr>
        <w:t>In the standard, a value of 1 or true for the containsInteger attribute indicates this field contains integer values.</w:t>
      </w:r>
    </w:p>
    <w:p w:rsidR="000A156F" w:rsidRDefault="00A9721F">
      <w:pPr>
        <w:pStyle w:val="Definition-Field2"/>
      </w:pPr>
      <w:r>
        <w:t>In Office, a value of 1 or true for the containsInteger attribute indicates this field contains only integer v</w:t>
      </w:r>
      <w:r>
        <w:t>alues and does not contain non-integer numeric values.</w:t>
      </w:r>
    </w:p>
    <w:p w:rsidR="000A156F" w:rsidRDefault="00A9721F">
      <w:pPr>
        <w:pStyle w:val="Definition-Field"/>
      </w:pPr>
      <w:r>
        <w:t xml:space="preserve">k.   </w:t>
      </w:r>
      <w:r>
        <w:rPr>
          <w:i/>
        </w:rPr>
        <w:t>The standard does not explicitly specify relationships for the minValue attribute.</w:t>
      </w:r>
    </w:p>
    <w:p w:rsidR="000A156F" w:rsidRDefault="00A9721F">
      <w:pPr>
        <w:pStyle w:val="Definition-Field2"/>
      </w:pPr>
      <w:r>
        <w:t>In Office, the minValue attribute shall be present when the maxValue attribute is specified. The minValue attribu</w:t>
      </w:r>
      <w:r>
        <w:t>te shall not be specified when the minDate or maxDate attributes are specified. If present, at least one child must be a n element.</w:t>
      </w:r>
    </w:p>
    <w:p w:rsidR="000A156F" w:rsidRDefault="00A9721F">
      <w:pPr>
        <w:pStyle w:val="Definition-Field"/>
      </w:pPr>
      <w:r>
        <w:t xml:space="preserve">l.   </w:t>
      </w:r>
      <w:r>
        <w:rPr>
          <w:i/>
        </w:rPr>
        <w:t>The standard does not explicitly specify relationships for @maxValue.</w:t>
      </w:r>
    </w:p>
    <w:p w:rsidR="000A156F" w:rsidRDefault="00A9721F">
      <w:pPr>
        <w:pStyle w:val="Definition-Field2"/>
      </w:pPr>
      <w:r>
        <w:t>In Office, @maxValue shall be present when @minVa</w:t>
      </w:r>
      <w:r>
        <w:t>lue is specified.  @maxValue shall not be specified when @minDate or @maxDate are specified. If present, at least one child must be a n element.</w:t>
      </w:r>
    </w:p>
    <w:p w:rsidR="000A156F" w:rsidRDefault="00A9721F">
      <w:pPr>
        <w:pStyle w:val="Definition-Field"/>
      </w:pPr>
      <w:r>
        <w:t xml:space="preserve">m.   </w:t>
      </w:r>
      <w:r>
        <w:rPr>
          <w:i/>
        </w:rPr>
        <w:t>The standard does not explicitly specify relationships for @minDate.</w:t>
      </w:r>
    </w:p>
    <w:p w:rsidR="000A156F" w:rsidRDefault="00A9721F">
      <w:pPr>
        <w:pStyle w:val="Definition-Field2"/>
      </w:pPr>
      <w:r>
        <w:t>In Office @minDate shall be present w</w:t>
      </w:r>
      <w:r>
        <w:t>hen @maxDate is specified. @minDate shall not be present when @minValue or maxValue are present. If present, at least one child must be a d element.</w:t>
      </w:r>
    </w:p>
    <w:p w:rsidR="000A156F" w:rsidRDefault="00A9721F">
      <w:pPr>
        <w:pStyle w:val="Definition-Field"/>
      </w:pPr>
      <w:r>
        <w:lastRenderedPageBreak/>
        <w:t xml:space="preserve">n.   </w:t>
      </w:r>
      <w:r>
        <w:rPr>
          <w:i/>
        </w:rPr>
        <w:t>The standard does not explicitly specify relationships for @maxDate.</w:t>
      </w:r>
    </w:p>
    <w:p w:rsidR="000A156F" w:rsidRDefault="00A9721F">
      <w:pPr>
        <w:pStyle w:val="Definition-Field2"/>
      </w:pPr>
      <w:r>
        <w:t xml:space="preserve">In Office @maxDate must be </w:t>
      </w:r>
      <w:r>
        <w:t>present when @minDate is specified. @maxDate shall not be present when @minValue or @maxValue are present. If present, at least one child must be a d element.</w:t>
      </w:r>
    </w:p>
    <w:p w:rsidR="000A156F" w:rsidRDefault="00A9721F">
      <w:pPr>
        <w:pStyle w:val="Definition-Field"/>
      </w:pPr>
      <w:r>
        <w:t xml:space="preserve">o.   </w:t>
      </w:r>
      <w:r>
        <w:rPr>
          <w:i/>
        </w:rPr>
        <w:t>The standard states that the maxOccurs value for the choice statement including the m, n, b,</w:t>
      </w:r>
      <w:r>
        <w:rPr>
          <w:i/>
        </w:rPr>
        <w:t xml:space="preserve"> e, s, and d elements is unbounded.</w:t>
      </w:r>
    </w:p>
    <w:p w:rsidR="000A156F" w:rsidRDefault="00A9721F">
      <w:pPr>
        <w:pStyle w:val="Definition-Field2"/>
      </w:pPr>
      <w:r>
        <w:t>Excel limits the occurrences of this choice to 32500 when the createdVersion attribute on the pivotCacheDefinition element is less than 3 and 1048576 otherwise.</w:t>
      </w:r>
    </w:p>
    <w:p w:rsidR="000A156F" w:rsidRDefault="00A9721F">
      <w:pPr>
        <w:pStyle w:val="Heading3"/>
      </w:pPr>
      <w:bookmarkStart w:id="1616" w:name="section_d6773131ba494bed82b8d8cdb7fe0ea3"/>
      <w:bookmarkStart w:id="1617" w:name="_Toc181683834"/>
      <w:r>
        <w:t>Part 1 Section 18.10.1.91, sortByTuple (Sort By Tuple)</w:t>
      </w:r>
      <w:bookmarkEnd w:id="1616"/>
      <w:bookmarkEnd w:id="1617"/>
      <w:r>
        <w:fldChar w:fldCharType="begin"/>
      </w:r>
      <w:r>
        <w:instrText xml:space="preserve"> XE "</w:instrText>
      </w:r>
      <w:r>
        <w:instrText xml:space="preserve">sortByTuple (Sort By Tuple)" </w:instrText>
      </w:r>
      <w:r>
        <w:fldChar w:fldCharType="end"/>
      </w:r>
    </w:p>
    <w:p w:rsidR="000A156F" w:rsidRDefault="00A9721F">
      <w:pPr>
        <w:pStyle w:val="Definition-Field"/>
      </w:pPr>
      <w:r>
        <w:t xml:space="preserve">a.   </w:t>
      </w:r>
      <w:r>
        <w:rPr>
          <w:i/>
        </w:rPr>
        <w:t>The standard does not place any restrictions the relationship between this element and the parent set.</w:t>
      </w:r>
    </w:p>
    <w:p w:rsidR="000A156F" w:rsidRDefault="00A9721F">
      <w:pPr>
        <w:pStyle w:val="Definition-Field2"/>
      </w:pPr>
      <w:r>
        <w:t>Excel specifies that any sort done on the parent set will consider this tuple when determining sort values.</w:t>
      </w:r>
    </w:p>
    <w:p w:rsidR="000A156F" w:rsidRDefault="00A9721F">
      <w:pPr>
        <w:pStyle w:val="Heading3"/>
      </w:pPr>
      <w:bookmarkStart w:id="1618" w:name="section_9af15714a00f4a5290aae4fe8a4be470"/>
      <w:bookmarkStart w:id="1619" w:name="_Toc181683835"/>
      <w:r>
        <w:t>Part 1 S</w:t>
      </w:r>
      <w:r>
        <w:t>ection 18.10.1.92, tpl (Tuple)</w:t>
      </w:r>
      <w:bookmarkEnd w:id="1618"/>
      <w:bookmarkEnd w:id="1619"/>
      <w:r>
        <w:fldChar w:fldCharType="begin"/>
      </w:r>
      <w:r>
        <w:instrText xml:space="preserve"> XE "tpl (Tuple)" </w:instrText>
      </w:r>
      <w:r>
        <w:fldChar w:fldCharType="end"/>
      </w:r>
    </w:p>
    <w:p w:rsidR="000A156F" w:rsidRDefault="00A9721F">
      <w:pPr>
        <w:pStyle w:val="Definition-Field"/>
      </w:pPr>
      <w:r>
        <w:t xml:space="preserve">a.   </w:t>
      </w:r>
      <w:r>
        <w:rPr>
          <w:i/>
        </w:rPr>
        <w:t>The standard does not require that @fld is mutually exclusive with @hier in a SpreadsheetML document.</w:t>
      </w:r>
    </w:p>
    <w:p w:rsidR="000A156F" w:rsidRDefault="00A9721F">
      <w:pPr>
        <w:pStyle w:val="Definition-Field2"/>
      </w:pPr>
      <w:r>
        <w:t>Office requires that @fld and @heir be mutually exclusive in SpreadsheetML documents.</w:t>
      </w:r>
    </w:p>
    <w:p w:rsidR="000A156F" w:rsidRDefault="00A9721F">
      <w:pPr>
        <w:pStyle w:val="Definition-Field"/>
      </w:pPr>
      <w:r>
        <w:t xml:space="preserve">b.   </w:t>
      </w:r>
      <w:r>
        <w:rPr>
          <w:i/>
        </w:rPr>
        <w:t>The sta</w:t>
      </w:r>
      <w:r>
        <w:rPr>
          <w:i/>
        </w:rPr>
        <w:t>ndard does not state that @fld has restrictions beyond unsignedInt.</w:t>
      </w:r>
    </w:p>
    <w:p w:rsidR="000A156F" w:rsidRDefault="00A9721F">
      <w:pPr>
        <w:pStyle w:val="Definition-Field2"/>
      </w:pPr>
      <w:r>
        <w:t>Office expects that @fld is a zero-based index and shall be less than the number of items in the cacheFields collection.</w:t>
      </w:r>
    </w:p>
    <w:p w:rsidR="000A156F" w:rsidRDefault="00A9721F">
      <w:pPr>
        <w:pStyle w:val="Definition-Field"/>
      </w:pPr>
      <w:r>
        <w:t xml:space="preserve">c.   </w:t>
      </w:r>
      <w:r>
        <w:rPr>
          <w:i/>
        </w:rPr>
        <w:t>The standard does not place any restrictions on the value of t</w:t>
      </w:r>
      <w:r>
        <w:rPr>
          <w:i/>
        </w:rPr>
        <w:t>he hier attribute.</w:t>
      </w:r>
    </w:p>
    <w:p w:rsidR="000A156F" w:rsidRDefault="00A9721F">
      <w:pPr>
        <w:pStyle w:val="Definition-Field2"/>
      </w:pPr>
      <w:r>
        <w:t>Office expects that the hier attribute is a zero-based index and shall be less than the number of items in the cacheHierarchies collection.</w:t>
      </w:r>
    </w:p>
    <w:p w:rsidR="000A156F" w:rsidRDefault="00A9721F">
      <w:pPr>
        <w:pStyle w:val="Definition-Field"/>
      </w:pPr>
      <w:r>
        <w:t xml:space="preserve">d.   </w:t>
      </w:r>
      <w:r>
        <w:rPr>
          <w:i/>
        </w:rPr>
        <w:t>The standard does not specify restrictions for the item attribute.</w:t>
      </w:r>
    </w:p>
    <w:p w:rsidR="000A156F" w:rsidRDefault="00A9721F">
      <w:r>
        <w:t xml:space="preserve">If the value for the fld </w:t>
      </w:r>
      <w:r>
        <w:t>attribute is specified, then the value for this attribute shall be less than the number of items in the sharedItems collection, defined in sharedItems ("</w:t>
      </w:r>
      <w:hyperlink r:id="rId141">
        <w:r>
          <w:rPr>
            <w:rStyle w:val="Hyperlink"/>
          </w:rPr>
          <w:t>[ISO/IEC-29500-1]</w:t>
        </w:r>
      </w:hyperlink>
      <w:r>
        <w:t xml:space="preserve"> §18.10.1.90; shared</w:t>
      </w:r>
      <w:r>
        <w:t>Items (Shared Items)").</w:t>
      </w:r>
    </w:p>
    <w:p w:rsidR="000A156F" w:rsidRDefault="00A9721F">
      <w:r>
        <w:t xml:space="preserve">If the value for the hier attribute is specified, then the value for this attribute shall either be equal to one of the special values 4294967294/4294967295 or it shall be less than number of items in the sets collection defined in </w:t>
      </w:r>
      <w:r>
        <w:t>sets ("[ISO/IEC-29500-1] §18.10.1.89; sets (Sets)").</w:t>
      </w:r>
    </w:p>
    <w:p w:rsidR="000A156F" w:rsidRDefault="00A9721F">
      <w:r>
        <w:t>The special value of 4294967294 implies that this is the all member of the hierarchy.</w:t>
      </w:r>
    </w:p>
    <w:p w:rsidR="000A156F" w:rsidRDefault="00A9721F">
      <w:r>
        <w:t>The special value of 4294967295 implies that this is the default member of the hierarchy.</w:t>
      </w:r>
    </w:p>
    <w:p w:rsidR="000A156F" w:rsidRDefault="00A9721F">
      <w:pPr>
        <w:pStyle w:val="Heading3"/>
      </w:pPr>
      <w:bookmarkStart w:id="1620" w:name="section_282914a2b1a44811aaaaa0fcd5cd486c"/>
      <w:bookmarkStart w:id="1621" w:name="_Toc181683836"/>
      <w:r>
        <w:t xml:space="preserve">Part 1 Section 18.10.1.95, </w:t>
      </w:r>
      <w:r>
        <w:t>worksheetSource (Worksheet PivotCache Source)</w:t>
      </w:r>
      <w:bookmarkEnd w:id="1620"/>
      <w:bookmarkEnd w:id="1621"/>
      <w:r>
        <w:fldChar w:fldCharType="begin"/>
      </w:r>
      <w:r>
        <w:instrText xml:space="preserve"> XE "worksheetSource (Worksheet PivotCache Source)" </w:instrText>
      </w:r>
      <w:r>
        <w:fldChar w:fldCharType="end"/>
      </w:r>
    </w:p>
    <w:p w:rsidR="000A156F" w:rsidRDefault="00A9721F">
      <w:pPr>
        <w:pStyle w:val="Definition-Field"/>
      </w:pPr>
      <w:r>
        <w:t xml:space="preserve">a.   </w:t>
      </w:r>
      <w:r>
        <w:rPr>
          <w:i/>
        </w:rPr>
        <w:t>The standard allows both ref and name attributes.</w:t>
      </w:r>
    </w:p>
    <w:p w:rsidR="000A156F" w:rsidRDefault="00A9721F">
      <w:pPr>
        <w:pStyle w:val="Definition-Field2"/>
      </w:pPr>
      <w:r>
        <w:t>Office requires one and only one of these attributes.</w:t>
      </w:r>
    </w:p>
    <w:p w:rsidR="000A156F" w:rsidRDefault="00A9721F">
      <w:pPr>
        <w:pStyle w:val="Definition-Field"/>
      </w:pPr>
      <w:r>
        <w:t xml:space="preserve">b.   </w:t>
      </w:r>
      <w:r>
        <w:rPr>
          <w:i/>
        </w:rPr>
        <w:t xml:space="preserve">The standard states that the id attribute </w:t>
      </w:r>
      <w:r>
        <w:rPr>
          <w:i/>
        </w:rPr>
        <w:t>contains a relationship to a sheet part.</w:t>
      </w:r>
    </w:p>
    <w:p w:rsidR="000A156F" w:rsidRDefault="00A9721F">
      <w:pPr>
        <w:pStyle w:val="Definition-Field2"/>
      </w:pPr>
      <w:r>
        <w:lastRenderedPageBreak/>
        <w:t>Office uses the id attribute to specify a relationship to an external workbook.</w:t>
      </w:r>
    </w:p>
    <w:p w:rsidR="000A156F" w:rsidRDefault="00A9721F">
      <w:pPr>
        <w:pStyle w:val="Definition-Field"/>
      </w:pPr>
      <w:r>
        <w:t xml:space="preserve">c.   </w:t>
      </w:r>
      <w:r>
        <w:rPr>
          <w:i/>
        </w:rPr>
        <w:t>The standard limits @name to any length string.</w:t>
      </w:r>
    </w:p>
    <w:p w:rsidR="000A156F" w:rsidRDefault="00A9721F">
      <w:pPr>
        <w:pStyle w:val="Definition-Field2"/>
      </w:pPr>
      <w:r>
        <w:t>In Office, @name has a limit of 255 characters, and cannot be empty.</w:t>
      </w:r>
    </w:p>
    <w:p w:rsidR="000A156F" w:rsidRDefault="00A9721F">
      <w:pPr>
        <w:pStyle w:val="Definition-Field"/>
      </w:pPr>
      <w:r>
        <w:t xml:space="preserve">d.   </w:t>
      </w:r>
      <w:r>
        <w:rPr>
          <w:i/>
        </w:rPr>
        <w:t>The stan</w:t>
      </w:r>
      <w:r>
        <w:rPr>
          <w:i/>
        </w:rPr>
        <w:t>dard limits @sheet to any length string.</w:t>
      </w:r>
    </w:p>
    <w:p w:rsidR="000A156F" w:rsidRDefault="00A9721F">
      <w:pPr>
        <w:pStyle w:val="Definition-Field2"/>
      </w:pPr>
      <w:r>
        <w:t>In Office, @sheet has a limit of 31 characters.</w:t>
      </w:r>
    </w:p>
    <w:p w:rsidR="000A156F" w:rsidRDefault="00A9721F">
      <w:pPr>
        <w:pStyle w:val="Heading3"/>
      </w:pPr>
      <w:bookmarkStart w:id="1622" w:name="section_6218162291ef44eea9498c9232d7780b"/>
      <w:bookmarkStart w:id="1623" w:name="_Toc181683837"/>
      <w:r>
        <w:t>Part 1 Section 18.10.1.96, x (Member Property Index)</w:t>
      </w:r>
      <w:bookmarkEnd w:id="1622"/>
      <w:bookmarkEnd w:id="1623"/>
      <w:r>
        <w:fldChar w:fldCharType="begin"/>
      </w:r>
      <w:r>
        <w:instrText xml:space="preserve"> XE "x (Member Property Index)" </w:instrText>
      </w:r>
      <w:r>
        <w:fldChar w:fldCharType="end"/>
      </w:r>
    </w:p>
    <w:p w:rsidR="000A156F" w:rsidRDefault="00A9721F">
      <w:pPr>
        <w:pStyle w:val="Definition-Field"/>
      </w:pPr>
      <w:r>
        <w:t xml:space="preserve">a.   </w:t>
      </w:r>
      <w:r>
        <w:rPr>
          <w:i/>
        </w:rPr>
        <w:t xml:space="preserve">The standard states the values for the v attribute are defined by the XML </w:t>
      </w:r>
      <w:r>
        <w:rPr>
          <w:i/>
        </w:rPr>
        <w:t>Schema int datatype.</w:t>
      </w:r>
    </w:p>
    <w:p w:rsidR="000A156F" w:rsidRDefault="00A9721F">
      <w:pPr>
        <w:pStyle w:val="Definition-Field2"/>
      </w:pPr>
      <w:r>
        <w:t>Office requires that the v attribute be greater than or equal to -1 and less than the corresponding sharedItems count. A value of -1 specifies that there is no value for this member property.</w:t>
      </w:r>
    </w:p>
    <w:p w:rsidR="000A156F" w:rsidRDefault="00A9721F">
      <w:pPr>
        <w:pStyle w:val="Definition-Field"/>
      </w:pPr>
      <w:r>
        <w:t xml:space="preserve">b.   </w:t>
      </w:r>
      <w:r>
        <w:rPr>
          <w:i/>
        </w:rPr>
        <w:t>The standard describes x as an array o</w:t>
      </w:r>
      <w:r>
        <w:rPr>
          <w:i/>
        </w:rPr>
        <w:t>f indexes.</w:t>
      </w:r>
    </w:p>
    <w:p w:rsidR="000A156F" w:rsidRDefault="00A9721F">
      <w:pPr>
        <w:pStyle w:val="Definition-Field2"/>
      </w:pPr>
      <w:r>
        <w:t>Office expects that x represents an index to the cached member property value.</w:t>
      </w:r>
    </w:p>
    <w:p w:rsidR="000A156F" w:rsidRDefault="00A9721F">
      <w:pPr>
        <w:pStyle w:val="Definition-Field"/>
      </w:pPr>
      <w:r>
        <w:t xml:space="preserve">c.   </w:t>
      </w:r>
      <w:r>
        <w:rPr>
          <w:i/>
        </w:rPr>
        <w:t>The standard does not provide complete information on which cacheField's shared item table is indexed by @v.</w:t>
      </w:r>
    </w:p>
    <w:p w:rsidR="000A156F" w:rsidRDefault="00A9721F">
      <w:pPr>
        <w:pStyle w:val="Definition-Field2"/>
      </w:pPr>
      <w:r>
        <w:t>Office assumes that @v is the 0-based index into the</w:t>
      </w:r>
      <w:r>
        <w:t xml:space="preserve"> shared items table of the member property pointed by @mpMap. The Nth @mpMap used for Nth x element (the parent of @v).</w:t>
      </w:r>
    </w:p>
    <w:p w:rsidR="000A156F" w:rsidRDefault="00A9721F">
      <w:pPr>
        <w:pStyle w:val="Definition-Field"/>
      </w:pPr>
      <w:r>
        <w:t xml:space="preserve">d.   </w:t>
      </w:r>
      <w:r>
        <w:rPr>
          <w:i/>
        </w:rPr>
        <w:t>The standard says @v represents an index to shared items table.</w:t>
      </w:r>
    </w:p>
    <w:p w:rsidR="000A156F" w:rsidRDefault="00A9721F">
      <w:pPr>
        <w:pStyle w:val="Definition-Field2"/>
      </w:pPr>
      <w:r>
        <w:t>Office specifies that if the parent of this element is i, then v sh</w:t>
      </w:r>
      <w:r>
        <w:t>all be specified by the specification for i ("</w:t>
      </w:r>
      <w:hyperlink r:id="rId142">
        <w:r>
          <w:rPr>
            <w:rStyle w:val="Hyperlink"/>
          </w:rPr>
          <w:t>[ISO/IEC-29500-1]</w:t>
        </w:r>
      </w:hyperlink>
      <w:r>
        <w:t xml:space="preserve"> §18.10.1.44; i").</w:t>
      </w:r>
    </w:p>
    <w:p w:rsidR="000A156F" w:rsidRDefault="00A9721F">
      <w:pPr>
        <w:pStyle w:val="Heading3"/>
      </w:pPr>
      <w:bookmarkStart w:id="1624" w:name="section_a74ed3e7cea5463ba1ca57c2d1428a00"/>
      <w:bookmarkStart w:id="1625" w:name="_Toc181683838"/>
      <w:r>
        <w:t>Part 1 Section 18.10.1.97, x (Shared Items Index)</w:t>
      </w:r>
      <w:bookmarkEnd w:id="1624"/>
      <w:bookmarkEnd w:id="1625"/>
      <w:r>
        <w:fldChar w:fldCharType="begin"/>
      </w:r>
      <w:r>
        <w:instrText xml:space="preserve"> XE "x (Shared Items Index)" </w:instrText>
      </w:r>
      <w:r>
        <w:fldChar w:fldCharType="end"/>
      </w:r>
    </w:p>
    <w:p w:rsidR="000A156F" w:rsidRDefault="00A9721F">
      <w:pPr>
        <w:pStyle w:val="Definition-Field"/>
      </w:pPr>
      <w:r>
        <w:t xml:space="preserve">a.   </w:t>
      </w:r>
      <w:r>
        <w:rPr>
          <w:i/>
        </w:rPr>
        <w:t>The standard specifies</w:t>
      </w:r>
      <w:r>
        <w:rPr>
          <w:i/>
        </w:rPr>
        <w:t xml:space="preserve"> that the x element is an array of indexes.</w:t>
      </w:r>
    </w:p>
    <w:p w:rsidR="000A156F" w:rsidRDefault="00A9721F">
      <w:pPr>
        <w:pStyle w:val="Definition-Field2"/>
      </w:pPr>
      <w:r>
        <w:t>Office assumes that the value of x@v is an index into the shared items collection.</w:t>
      </w:r>
    </w:p>
    <w:p w:rsidR="000A156F" w:rsidRDefault="00A9721F">
      <w:pPr>
        <w:pStyle w:val="Definition-Field"/>
      </w:pPr>
      <w:r>
        <w:t xml:space="preserve">b.   </w:t>
      </w:r>
      <w:r>
        <w:rPr>
          <w:i/>
        </w:rPr>
        <w:t>The standard does not place a limit on the value of @v.</w:t>
      </w:r>
    </w:p>
    <w:p w:rsidR="000A156F" w:rsidRDefault="00A9721F">
      <w:pPr>
        <w:pStyle w:val="Definition-Field2"/>
      </w:pPr>
      <w:r>
        <w:t>Office requires that @v shall be less than sharedItems count.</w:t>
      </w:r>
    </w:p>
    <w:p w:rsidR="000A156F" w:rsidRDefault="00A9721F">
      <w:pPr>
        <w:pStyle w:val="Definition-Field"/>
      </w:pPr>
      <w:r>
        <w:t xml:space="preserve">c.   </w:t>
      </w:r>
      <w:r>
        <w:rPr>
          <w:i/>
        </w:rPr>
        <w:t>T</w:t>
      </w:r>
      <w:r>
        <w:rPr>
          <w:i/>
        </w:rPr>
        <w:t>he standard does not specify different restrictions for @v based on the parent element of x.</w:t>
      </w:r>
    </w:p>
    <w:p w:rsidR="000A156F" w:rsidRDefault="00A9721F">
      <w:pPr>
        <w:pStyle w:val="Definition-Field2"/>
      </w:pPr>
      <w:r>
        <w:t>In Office if the parent is the reference element, then restrictions of this value are defined by reference@field. If the parent is the tables element, then this va</w:t>
      </w:r>
      <w:r>
        <w:t>lue specifies the index into the table tag position in @url.</w:t>
      </w:r>
    </w:p>
    <w:p w:rsidR="000A156F" w:rsidRDefault="00A9721F">
      <w:pPr>
        <w:pStyle w:val="Heading3"/>
      </w:pPr>
      <w:bookmarkStart w:id="1626" w:name="section_8e92a8162bb449389f1c1a9800714ede"/>
      <w:bookmarkStart w:id="1627" w:name="_Toc181683839"/>
      <w:r>
        <w:t>Part 1 Section 18.10.2.1, reference (Reference)</w:t>
      </w:r>
      <w:bookmarkEnd w:id="1626"/>
      <w:bookmarkEnd w:id="1627"/>
      <w:r>
        <w:fldChar w:fldCharType="begin"/>
      </w:r>
      <w:r>
        <w:instrText xml:space="preserve"> XE "reference (Reference)" </w:instrText>
      </w:r>
      <w:r>
        <w:fldChar w:fldCharType="end"/>
      </w:r>
    </w:p>
    <w:p w:rsidR="000A156F" w:rsidRDefault="00A9721F">
      <w:pPr>
        <w:pStyle w:val="Definition-Field"/>
      </w:pPr>
      <w:r>
        <w:t xml:space="preserve">a.   </w:t>
      </w:r>
      <w:r>
        <w:rPr>
          <w:i/>
        </w:rPr>
        <w:t xml:space="preserve">The standard defines @field (Field Index) values range as unsignedInt and says a value of -2 indicates the data </w:t>
      </w:r>
      <w:r>
        <w:rPr>
          <w:i/>
        </w:rPr>
        <w:t>field.</w:t>
      </w:r>
    </w:p>
    <w:p w:rsidR="000A156F" w:rsidRDefault="00A9721F">
      <w:pPr>
        <w:pStyle w:val="Definition-Field2"/>
      </w:pPr>
      <w:r>
        <w:t>Office uses the value 4294967294 (a valid unsignedInt) to specify the data field and the @v in the x elements represent indices into the dataFields collection.</w:t>
      </w:r>
    </w:p>
    <w:p w:rsidR="000A156F" w:rsidRDefault="00A9721F">
      <w:pPr>
        <w:pStyle w:val="Definition-Field"/>
      </w:pPr>
      <w:r>
        <w:t xml:space="preserve">b.   </w:t>
      </w:r>
      <w:r>
        <w:rPr>
          <w:i/>
        </w:rPr>
        <w:t>The standard defines @field values range as unsignedInt.</w:t>
      </w:r>
    </w:p>
    <w:p w:rsidR="000A156F" w:rsidRDefault="00A9721F">
      <w:pPr>
        <w:pStyle w:val="Definition-Field2"/>
      </w:pPr>
      <w:r>
        <w:lastRenderedPageBreak/>
        <w:t>Office requires that if the</w:t>
      </w:r>
      <w:r>
        <w:t xml:space="preserve"> pivotArea@cacheIndex is 0, then the value shall be a valid index in the pivotFields in the pivotTable, and, unless byPosition is 1, @v in the x elements represent indices into items collection of the pivotField.</w:t>
      </w:r>
    </w:p>
    <w:p w:rsidR="000A156F" w:rsidRDefault="00A9721F">
      <w:pPr>
        <w:pStyle w:val="Definition-Field"/>
      </w:pPr>
      <w:r>
        <w:t xml:space="preserve">c.   </w:t>
      </w:r>
      <w:r>
        <w:rPr>
          <w:i/>
        </w:rPr>
        <w:t>The standard states that the values fo</w:t>
      </w:r>
      <w:r>
        <w:rPr>
          <w:i/>
        </w:rPr>
        <w:t>r the field attribute are defined by the XML Schema unsignedInt datatype.</w:t>
      </w:r>
    </w:p>
    <w:p w:rsidR="000A156F" w:rsidRDefault="00A9721F">
      <w:pPr>
        <w:pStyle w:val="Definition-Field2"/>
      </w:pPr>
      <w:r>
        <w:t xml:space="preserve">Office requires that if the pivotArea@chacheIndex is 1 the value shall be a valid index in the cacheFields in the pivot cache and the v attribute in the x elements represent indices </w:t>
      </w:r>
      <w:r>
        <w:t>into sharedItems collection of the cacheField.</w:t>
      </w:r>
    </w:p>
    <w:p w:rsidR="000A156F" w:rsidRDefault="00A9721F">
      <w:pPr>
        <w:pStyle w:val="Heading3"/>
      </w:pPr>
      <w:bookmarkStart w:id="1628" w:name="section_854db427e1714e5996a93cdd08117c36"/>
      <w:bookmarkStart w:id="1629" w:name="_Toc181683840"/>
      <w:r>
        <w:t>Part 1 Section 18.11.1.1, header (Header)</w:t>
      </w:r>
      <w:bookmarkEnd w:id="1628"/>
      <w:bookmarkEnd w:id="1629"/>
      <w:r>
        <w:fldChar w:fldCharType="begin"/>
      </w:r>
      <w:r>
        <w:instrText xml:space="preserve"> XE "header (Header)" </w:instrText>
      </w:r>
      <w:r>
        <w:fldChar w:fldCharType="end"/>
      </w:r>
    </w:p>
    <w:p w:rsidR="000A156F" w:rsidRDefault="00A9721F">
      <w:pPr>
        <w:pStyle w:val="Definition-Field"/>
      </w:pPr>
      <w:r>
        <w:t xml:space="preserve">a.   </w:t>
      </w:r>
      <w:r>
        <w:rPr>
          <w:i/>
        </w:rPr>
        <w:t>The standard states that the values of the maxSheetId attribute are defined by the XML Schema unsignedInt datatype.</w:t>
      </w:r>
    </w:p>
    <w:p w:rsidR="000A156F" w:rsidRDefault="00A9721F">
      <w:pPr>
        <w:pStyle w:val="Definition-Field2"/>
      </w:pPr>
      <w:r>
        <w:t>Excel restricts the va</w:t>
      </w:r>
      <w:r>
        <w:t>lue of this attribute to be at most 32767.</w:t>
      </w:r>
    </w:p>
    <w:p w:rsidR="000A156F" w:rsidRDefault="00A9721F">
      <w:pPr>
        <w:pStyle w:val="Definition-Field"/>
      </w:pPr>
      <w:r>
        <w:t xml:space="preserve">b.   </w:t>
      </w:r>
      <w:r>
        <w:rPr>
          <w:i/>
        </w:rPr>
        <w:t>The standard does not limit the length of the value of the userName attribute.</w:t>
      </w:r>
    </w:p>
    <w:p w:rsidR="000A156F" w:rsidRDefault="00A9721F">
      <w:pPr>
        <w:pStyle w:val="Definition-Field2"/>
      </w:pPr>
      <w:r>
        <w:t>Excel restricts the value of this attribute to be at least 1 and at most 54 characters.</w:t>
      </w:r>
    </w:p>
    <w:p w:rsidR="000A156F" w:rsidRDefault="00A9721F">
      <w:pPr>
        <w:pStyle w:val="Definition-Field"/>
      </w:pPr>
      <w:r>
        <w:t xml:space="preserve">c.   </w:t>
      </w:r>
      <w:r>
        <w:rPr>
          <w:i/>
        </w:rPr>
        <w:t xml:space="preserve">The standard does not specify a </w:t>
      </w:r>
      <w:r>
        <w:rPr>
          <w:i/>
        </w:rPr>
        <w:t>default value for the minRId attribute.</w:t>
      </w:r>
    </w:p>
    <w:p w:rsidR="000A156F" w:rsidRDefault="00A9721F">
      <w:pPr>
        <w:pStyle w:val="Definition-Field2"/>
      </w:pPr>
      <w:r>
        <w:t>Excel uses a default value of 0 for this attribute.</w:t>
      </w:r>
    </w:p>
    <w:p w:rsidR="000A156F" w:rsidRDefault="00A9721F">
      <w:pPr>
        <w:pStyle w:val="Definition-Field"/>
      </w:pPr>
      <w:r>
        <w:t xml:space="preserve">d.   </w:t>
      </w:r>
      <w:r>
        <w:rPr>
          <w:i/>
        </w:rPr>
        <w:t>The standard does not specify a default value for the maxRId attribute.</w:t>
      </w:r>
    </w:p>
    <w:p w:rsidR="000A156F" w:rsidRDefault="00A9721F">
      <w:pPr>
        <w:pStyle w:val="Definition-Field2"/>
      </w:pPr>
      <w:r>
        <w:t>Excel uses the value of the minRId attribute as the default value for this attribute.</w:t>
      </w:r>
    </w:p>
    <w:p w:rsidR="000A156F" w:rsidRDefault="00A9721F">
      <w:pPr>
        <w:pStyle w:val="Definition-Field"/>
      </w:pPr>
      <w:r>
        <w:t xml:space="preserve">e.   </w:t>
      </w:r>
      <w:r>
        <w:rPr>
          <w:i/>
        </w:rPr>
        <w:t>The standard states that the values of the maxRId attribute are defined by the XML Schema unsignedInt datatype.</w:t>
      </w:r>
    </w:p>
    <w:p w:rsidR="000A156F" w:rsidRDefault="00A9721F">
      <w:pPr>
        <w:pStyle w:val="Definition-Field2"/>
      </w:pPr>
      <w:r>
        <w:t>Excel restricts the value of this attribute to be at least the value of the minRId attribute and at most 2147483647.</w:t>
      </w:r>
    </w:p>
    <w:p w:rsidR="000A156F" w:rsidRDefault="00A9721F">
      <w:pPr>
        <w:pStyle w:val="Definition-Field"/>
      </w:pPr>
      <w:r>
        <w:t xml:space="preserve">f.   </w:t>
      </w:r>
      <w:r>
        <w:rPr>
          <w:i/>
        </w:rPr>
        <w:t>The standard stat</w:t>
      </w:r>
      <w:r>
        <w:rPr>
          <w:i/>
        </w:rPr>
        <w:t>es that the values of the minRId attribute are defined by the XML Schema unsignedInt datatype.</w:t>
      </w:r>
    </w:p>
    <w:p w:rsidR="000A156F" w:rsidRDefault="00A9721F">
      <w:pPr>
        <w:pStyle w:val="Definition-Field2"/>
      </w:pPr>
      <w:r>
        <w:t>Excel restricts the value of this attribute to be at most 2147483647.</w:t>
      </w:r>
    </w:p>
    <w:p w:rsidR="000A156F" w:rsidRDefault="00A9721F">
      <w:pPr>
        <w:pStyle w:val="Heading3"/>
      </w:pPr>
      <w:bookmarkStart w:id="1630" w:name="section_dfc65cb606c74ce3922b2d3cecde9852"/>
      <w:bookmarkStart w:id="1631" w:name="_Toc181683841"/>
      <w:r>
        <w:t>Part 1 Section 18.11.1.2, headers (Revision Headers)</w:t>
      </w:r>
      <w:bookmarkEnd w:id="1630"/>
      <w:bookmarkEnd w:id="1631"/>
      <w:r>
        <w:fldChar w:fldCharType="begin"/>
      </w:r>
      <w:r>
        <w:instrText xml:space="preserve"> XE "headers (Revision Headers)" </w:instrText>
      </w:r>
      <w:r>
        <w:fldChar w:fldCharType="end"/>
      </w:r>
    </w:p>
    <w:p w:rsidR="000A156F" w:rsidRDefault="00A9721F">
      <w:pPr>
        <w:pStyle w:val="Definition-Field"/>
      </w:pPr>
      <w:r>
        <w:t xml:space="preserve">a. </w:t>
      </w:r>
      <w:r>
        <w:t xml:space="preserve">  </w:t>
      </w:r>
      <w:r>
        <w:rPr>
          <w:i/>
        </w:rPr>
        <w:t>The standard does not specify a default value for the lastGuid attribute.</w:t>
      </w:r>
    </w:p>
    <w:p w:rsidR="000A156F" w:rsidRDefault="00A9721F">
      <w:pPr>
        <w:pStyle w:val="Definition-Field2"/>
      </w:pPr>
      <w:r>
        <w:t>Excel uses the value of the guid attribute as the default value of the lastGuid attribute.</w:t>
      </w:r>
    </w:p>
    <w:p w:rsidR="000A156F" w:rsidRDefault="00A9721F">
      <w:pPr>
        <w:pStyle w:val="Definition-Field"/>
      </w:pPr>
      <w:r>
        <w:t xml:space="preserve">b.   </w:t>
      </w:r>
      <w:r>
        <w:rPr>
          <w:i/>
        </w:rPr>
        <w:t>The standard does not place any restrictions on the value for @preserveHistory.</w:t>
      </w:r>
    </w:p>
    <w:p w:rsidR="000A156F" w:rsidRDefault="00A9721F">
      <w:pPr>
        <w:pStyle w:val="Definition-Field2"/>
      </w:pPr>
      <w:r>
        <w:t>Offi</w:t>
      </w:r>
      <w:r>
        <w:t>ce requires that the value of @preserveHistory shall be greater than or equal to 0 and less than or equal to 32K.</w:t>
      </w:r>
    </w:p>
    <w:p w:rsidR="000A156F" w:rsidRDefault="00A9721F">
      <w:pPr>
        <w:pStyle w:val="Definition-Field"/>
      </w:pPr>
      <w:r>
        <w:t xml:space="preserve">c.   </w:t>
      </w:r>
      <w:r>
        <w:rPr>
          <w:i/>
        </w:rPr>
        <w:t>The standard specifies @protected is false if the tracking should not be removed, true otherwise.</w:t>
      </w:r>
    </w:p>
    <w:p w:rsidR="000A156F" w:rsidRDefault="00A9721F">
      <w:pPr>
        <w:pStyle w:val="Definition-Field2"/>
      </w:pPr>
      <w:r>
        <w:t xml:space="preserve">Office specifies @protected is true if </w:t>
      </w:r>
      <w:r>
        <w:t>the tracking should not be removed, false if it can be removed.</w:t>
      </w:r>
    </w:p>
    <w:p w:rsidR="000A156F" w:rsidRDefault="00A9721F">
      <w:pPr>
        <w:pStyle w:val="Definition-Field"/>
      </w:pPr>
      <w:r>
        <w:t xml:space="preserve">d.   </w:t>
      </w:r>
      <w:r>
        <w:rPr>
          <w:i/>
        </w:rPr>
        <w:t>The standard does not place any restrictions on the value for @revisionId.</w:t>
      </w:r>
    </w:p>
    <w:p w:rsidR="000A156F" w:rsidRDefault="00A9721F">
      <w:pPr>
        <w:pStyle w:val="Definition-Field2"/>
      </w:pPr>
      <w:r>
        <w:t>Office allows a maximum value of 2147483647.</w:t>
      </w:r>
    </w:p>
    <w:p w:rsidR="000A156F" w:rsidRDefault="00A9721F">
      <w:pPr>
        <w:pStyle w:val="Definition-Field"/>
      </w:pPr>
      <w:r>
        <w:lastRenderedPageBreak/>
        <w:t xml:space="preserve">e.   </w:t>
      </w:r>
      <w:r>
        <w:rPr>
          <w:i/>
        </w:rPr>
        <w:t xml:space="preserve">The standard does not place any restrictions on the value for </w:t>
      </w:r>
      <w:r>
        <w:rPr>
          <w:i/>
        </w:rPr>
        <w:t>the version attribute.</w:t>
      </w:r>
    </w:p>
    <w:p w:rsidR="000A156F" w:rsidRDefault="00A9721F">
      <w:pPr>
        <w:pStyle w:val="Definition-Field2"/>
      </w:pPr>
      <w:r>
        <w:t>Office requires that the version attribute be between 1 and 2147483647 inclusive.</w:t>
      </w:r>
    </w:p>
    <w:p w:rsidR="000A156F" w:rsidRDefault="00A9721F">
      <w:pPr>
        <w:pStyle w:val="Definition-Field"/>
      </w:pPr>
      <w:r>
        <w:t xml:space="preserve">f.   </w:t>
      </w:r>
      <w:r>
        <w:rPr>
          <w:i/>
        </w:rPr>
        <w:t>The standard specifies @guid to be of type ST_Guid.</w:t>
      </w:r>
    </w:p>
    <w:p w:rsidR="000A156F" w:rsidRDefault="00A9721F">
      <w:pPr>
        <w:pStyle w:val="Definition-Field2"/>
      </w:pPr>
      <w:r>
        <w:t>Office requires @guid to not be a null Guid ({00000000-0000-0000-0000-000000000000}).</w:t>
      </w:r>
    </w:p>
    <w:p w:rsidR="000A156F" w:rsidRDefault="00A9721F">
      <w:pPr>
        <w:pStyle w:val="Heading3"/>
      </w:pPr>
      <w:bookmarkStart w:id="1632" w:name="section_c9d4ffcff09b48b4b65e844f2281d2e0"/>
      <w:bookmarkStart w:id="1633" w:name="_Toc181683842"/>
      <w:r>
        <w:t>Part 1 S</w:t>
      </w:r>
      <w:r>
        <w:t>ection 18.11.1.3, nc (New Cell Data)</w:t>
      </w:r>
      <w:bookmarkEnd w:id="1632"/>
      <w:bookmarkEnd w:id="1633"/>
      <w:r>
        <w:fldChar w:fldCharType="begin"/>
      </w:r>
      <w:r>
        <w:instrText xml:space="preserve"> XE "nc (New Cell Data)" </w:instrText>
      </w:r>
      <w:r>
        <w:fldChar w:fldCharType="end"/>
      </w:r>
    </w:p>
    <w:p w:rsidR="000A156F" w:rsidRDefault="00A9721F">
      <w:pPr>
        <w:pStyle w:val="Definition-Field"/>
      </w:pPr>
      <w:r>
        <w:t xml:space="preserve">a.   </w:t>
      </w:r>
      <w:r>
        <w:rPr>
          <w:i/>
        </w:rPr>
        <w:t>The standard states that the values of the cm attribute are defined by the XML Schema unsignedInt datatype.</w:t>
      </w:r>
    </w:p>
    <w:p w:rsidR="000A156F" w:rsidRDefault="00A9721F">
      <w:pPr>
        <w:pStyle w:val="Definition-Field2"/>
      </w:pPr>
      <w:r>
        <w:t>Excel requires the value of this attribute to be 0.</w:t>
      </w:r>
    </w:p>
    <w:p w:rsidR="000A156F" w:rsidRDefault="00A9721F">
      <w:pPr>
        <w:pStyle w:val="Definition-Field"/>
      </w:pPr>
      <w:r>
        <w:t xml:space="preserve">b.   </w:t>
      </w:r>
      <w:r>
        <w:rPr>
          <w:i/>
        </w:rPr>
        <w:t>The standard states th</w:t>
      </w:r>
      <w:r>
        <w:rPr>
          <w:i/>
        </w:rPr>
        <w:t>at the values of the s attribute are defined by the XML Schema unsignedInt datatype.</w:t>
      </w:r>
    </w:p>
    <w:p w:rsidR="000A156F" w:rsidRDefault="00A9721F">
      <w:pPr>
        <w:pStyle w:val="Definition-Field2"/>
      </w:pPr>
      <w:r>
        <w:t>Excel requires the value of this attribute to be 0.</w:t>
      </w:r>
    </w:p>
    <w:p w:rsidR="000A156F" w:rsidRDefault="00A9721F">
      <w:pPr>
        <w:pStyle w:val="Definition-Field"/>
      </w:pPr>
      <w:r>
        <w:t xml:space="preserve">c.   </w:t>
      </w:r>
      <w:r>
        <w:rPr>
          <w:i/>
        </w:rPr>
        <w:t>The standard states that the values of the ph attribute are defined by the XML Schema boolean datatype.</w:t>
      </w:r>
    </w:p>
    <w:p w:rsidR="000A156F" w:rsidRDefault="00A9721F">
      <w:pPr>
        <w:pStyle w:val="Definition-Field2"/>
      </w:pPr>
      <w:r>
        <w:t>Excel requ</w:t>
      </w:r>
      <w:r>
        <w:t>ires the value of this attribute to be 0 or false.</w:t>
      </w:r>
    </w:p>
    <w:p w:rsidR="000A156F" w:rsidRDefault="00A9721F">
      <w:pPr>
        <w:pStyle w:val="Definition-Field"/>
      </w:pPr>
      <w:r>
        <w:t xml:space="preserve">d.   </w:t>
      </w:r>
      <w:r>
        <w:rPr>
          <w:i/>
        </w:rPr>
        <w:t>The standard states that the values of the vm attribute are defined by the XML Schema unsignedInt datatype.</w:t>
      </w:r>
    </w:p>
    <w:p w:rsidR="000A156F" w:rsidRDefault="00A9721F">
      <w:pPr>
        <w:pStyle w:val="Definition-Field2"/>
      </w:pPr>
      <w:r>
        <w:t>Excel requires the value of this attribute to be 0.</w:t>
      </w:r>
    </w:p>
    <w:p w:rsidR="000A156F" w:rsidRDefault="00A9721F">
      <w:pPr>
        <w:pStyle w:val="Definition-Field"/>
      </w:pPr>
      <w:r>
        <w:t xml:space="preserve">e.   </w:t>
      </w:r>
      <w:r>
        <w:rPr>
          <w:i/>
        </w:rPr>
        <w:t>The standard states that the values</w:t>
      </w:r>
      <w:r>
        <w:rPr>
          <w:i/>
        </w:rPr>
        <w:t xml:space="preserve"> of the t attribute are defined y the ST_CellType simple type.</w:t>
      </w:r>
    </w:p>
    <w:p w:rsidR="000A156F" w:rsidRDefault="00A9721F">
      <w:pPr>
        <w:pStyle w:val="Definition-Field2"/>
      </w:pPr>
      <w:r>
        <w:t>Excel limits the values of this attribute to be b, e, inlineStr, or n.</w:t>
      </w:r>
    </w:p>
    <w:p w:rsidR="000A156F" w:rsidRDefault="00A9721F">
      <w:pPr>
        <w:pStyle w:val="Definition-Field"/>
      </w:pPr>
      <w:r>
        <w:t xml:space="preserve">f.   </w:t>
      </w:r>
      <w:r>
        <w:rPr>
          <w:i/>
        </w:rPr>
        <w:t>The standard states that the r attribute is optional.</w:t>
      </w:r>
    </w:p>
    <w:p w:rsidR="000A156F" w:rsidRDefault="00A9721F">
      <w:pPr>
        <w:pStyle w:val="Definition-Field2"/>
      </w:pPr>
      <w:r>
        <w:t>Excel requires this attribute.</w:t>
      </w:r>
    </w:p>
    <w:p w:rsidR="000A156F" w:rsidRDefault="00A9721F">
      <w:pPr>
        <w:pStyle w:val="Definition-Field"/>
      </w:pPr>
      <w:r>
        <w:t xml:space="preserve">g.   </w:t>
      </w:r>
      <w:r>
        <w:rPr>
          <w:i/>
        </w:rPr>
        <w:t>The standard does not limit</w:t>
      </w:r>
      <w:r>
        <w:rPr>
          <w:i/>
        </w:rPr>
        <w:t xml:space="preserve"> the length of the value of the child v element.</w:t>
      </w:r>
    </w:p>
    <w:p w:rsidR="000A156F" w:rsidRDefault="00A9721F">
      <w:pPr>
        <w:pStyle w:val="Definition-Field2"/>
      </w:pPr>
      <w:r>
        <w:t>Excel restricts the value of this child element to be at most 32767 characters.</w:t>
      </w:r>
    </w:p>
    <w:p w:rsidR="000A156F" w:rsidRDefault="00A9721F">
      <w:pPr>
        <w:pStyle w:val="Definition-Field"/>
      </w:pPr>
      <w:r>
        <w:t xml:space="preserve">h.   </w:t>
      </w:r>
      <w:r>
        <w:rPr>
          <w:i/>
        </w:rPr>
        <w:t>The standard places no restrictions on the relationship between the values of the r attributes on the oc and nc elements.</w:t>
      </w:r>
    </w:p>
    <w:p w:rsidR="000A156F" w:rsidRDefault="00A9721F">
      <w:pPr>
        <w:pStyle w:val="Definition-Field2"/>
      </w:pPr>
      <w:r>
        <w:t>Excel requires that the value of the r attribute on the oc element match the value of the r attribute on the nc element.</w:t>
      </w:r>
    </w:p>
    <w:p w:rsidR="000A156F" w:rsidRDefault="00A9721F">
      <w:pPr>
        <w:pStyle w:val="Heading3"/>
      </w:pPr>
      <w:bookmarkStart w:id="1634" w:name="section_e054c87cccdf456191b158928b880f73"/>
      <w:bookmarkStart w:id="1635" w:name="_Toc181683843"/>
      <w:r>
        <w:t>Part 1 Section 18.11.1.5, oc (Old Cell Data)</w:t>
      </w:r>
      <w:bookmarkEnd w:id="1634"/>
      <w:bookmarkEnd w:id="1635"/>
      <w:r>
        <w:fldChar w:fldCharType="begin"/>
      </w:r>
      <w:r>
        <w:instrText xml:space="preserve"> XE "oc (Old Cell Data)" </w:instrText>
      </w:r>
      <w:r>
        <w:fldChar w:fldCharType="end"/>
      </w:r>
    </w:p>
    <w:p w:rsidR="000A156F" w:rsidRDefault="00A9721F">
      <w:pPr>
        <w:pStyle w:val="Definition-Field2"/>
      </w:pPr>
      <w:r>
        <w:rPr>
          <w:i/>
        </w:rPr>
        <w:t>For additional notes that apply to this portion of the standard</w:t>
      </w:r>
      <w:r>
        <w:rPr>
          <w:i/>
        </w:rPr>
        <w:t xml:space="preserve">, please see the notes for </w:t>
      </w:r>
      <w:hyperlink w:anchor="Section_c9d4ffcff09b48b4b65e844f2281d2e0">
        <w:r>
          <w:rPr>
            <w:rStyle w:val="Hyperlink"/>
          </w:rPr>
          <w:t>nc, §18.11.1.3(a-g)</w:t>
        </w:r>
      </w:hyperlink>
      <w:r>
        <w:rPr>
          <w:i/>
        </w:rPr>
        <w:t>.</w:t>
      </w:r>
    </w:p>
    <w:p w:rsidR="000A156F" w:rsidRDefault="00A9721F">
      <w:pPr>
        <w:pStyle w:val="Heading3"/>
      </w:pPr>
      <w:bookmarkStart w:id="1636" w:name="section_4a386293993e42ffae8f541aed32c43e"/>
      <w:bookmarkStart w:id="1637" w:name="_Toc181683844"/>
      <w:r>
        <w:t>Part 1 Section 18.11.1.7, oldFormula (Old Formula)</w:t>
      </w:r>
      <w:bookmarkEnd w:id="1636"/>
      <w:bookmarkEnd w:id="1637"/>
      <w:r>
        <w:fldChar w:fldCharType="begin"/>
      </w:r>
      <w:r>
        <w:instrText xml:space="preserve"> XE "oldFormula (Old Formula)" </w:instrText>
      </w:r>
      <w:r>
        <w:fldChar w:fldCharType="end"/>
      </w:r>
    </w:p>
    <w:p w:rsidR="000A156F" w:rsidRDefault="00A9721F">
      <w:pPr>
        <w:pStyle w:val="Definition-Field"/>
      </w:pPr>
      <w:r>
        <w:t xml:space="preserve">a.   </w:t>
      </w:r>
      <w:r>
        <w:rPr>
          <w:i/>
        </w:rPr>
        <w:t>The standard states that the contents of this element ar</w:t>
      </w:r>
      <w:r>
        <w:rPr>
          <w:i/>
        </w:rPr>
        <w:t>e an extension on the ST_Formula simple type.</w:t>
      </w:r>
    </w:p>
    <w:p w:rsidR="000A156F" w:rsidRDefault="00A9721F">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0A156F" w:rsidRDefault="00A9721F">
      <w:pPr>
        <w:pStyle w:val="Definition-Field"/>
      </w:pPr>
      <w:r>
        <w:lastRenderedPageBreak/>
        <w:t xml:space="preserve">b.  </w:t>
      </w:r>
      <w:r>
        <w:t xml:space="preserve"> </w:t>
      </w:r>
      <w:r>
        <w:rPr>
          <w:i/>
        </w:rPr>
        <w:t>The standard makes no mention of an xml:space attribute.</w:t>
      </w:r>
    </w:p>
    <w:p w:rsidR="000A156F" w:rsidRDefault="00A9721F">
      <w:pPr>
        <w:pStyle w:val="Definition-Field2"/>
      </w:pPr>
      <w:r>
        <w:t>Excel uses this attribute to specify, using the W3C space preservation rules, how white space should be handled for the element's contents; its allowed values are defined by the XML 1.0 specificatio</w:t>
      </w:r>
      <w:r>
        <w:t>n.</w:t>
      </w:r>
    </w:p>
    <w:p w:rsidR="000A156F" w:rsidRDefault="00A9721F">
      <w:pPr>
        <w:pStyle w:val="Heading3"/>
      </w:pPr>
      <w:bookmarkStart w:id="1638" w:name="section_c204cff307be4db39524f802d03fa17c"/>
      <w:bookmarkStart w:id="1639" w:name="_Toc181683845"/>
      <w:r>
        <w:t>Part 1 Section 18.11.1.8, raf (Revision AutoFormat)</w:t>
      </w:r>
      <w:bookmarkEnd w:id="1638"/>
      <w:bookmarkEnd w:id="1639"/>
      <w:r>
        <w:fldChar w:fldCharType="begin"/>
      </w:r>
      <w:r>
        <w:instrText xml:space="preserve"> XE "raf (Revision AutoFormat)"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w:t>
        </w:r>
        <w:r>
          <w:rPr>
            <w:rStyle w:val="Hyperlink"/>
          </w:rPr>
          <w:t>nition, §18.10.1.79(s-y)</w:t>
        </w:r>
      </w:hyperlink>
      <w:r>
        <w:rPr>
          <w:i/>
        </w:rPr>
        <w:t>.</w:t>
      </w:r>
    </w:p>
    <w:p w:rsidR="000A156F" w:rsidRDefault="00A9721F">
      <w:pPr>
        <w:pStyle w:val="Definition-Field"/>
      </w:pPr>
      <w:r>
        <w:t xml:space="preserve">a.   </w:t>
      </w:r>
      <w:r>
        <w:rPr>
          <w:i/>
        </w:rPr>
        <w:t>The standard states that the values of the sheetId attribute are defined by the XML Schema unsignedInt datatype.</w:t>
      </w:r>
    </w:p>
    <w:p w:rsidR="000A156F" w:rsidRDefault="00A9721F">
      <w:pPr>
        <w:pStyle w:val="Definition-Field2"/>
      </w:pPr>
      <w:r>
        <w:t>Excel restricts the value of this attribute to be at most 32767.</w:t>
      </w:r>
    </w:p>
    <w:p w:rsidR="000A156F" w:rsidRDefault="00A9721F">
      <w:pPr>
        <w:pStyle w:val="Definition-Field"/>
      </w:pPr>
      <w:r>
        <w:t xml:space="preserve">b.   </w:t>
      </w:r>
      <w:r>
        <w:rPr>
          <w:i/>
        </w:rPr>
        <w:t xml:space="preserve">In the standard, @autoformatid is defined </w:t>
      </w:r>
      <w:r>
        <w:rPr>
          <w:i/>
        </w:rPr>
        <w:t>to be of type unsignedInt with no restrictions.</w:t>
      </w:r>
    </w:p>
    <w:p w:rsidR="000A156F" w:rsidRDefault="00A9721F">
      <w:pPr>
        <w:pStyle w:val="Definition-Field2"/>
      </w:pPr>
      <w:r>
        <w:t>Office specifies that when in the context of raf and queryTable elements, the value shall be less than 21. In the context of the pivotTableDefinition element, the value shall be less than 21 or greater than 4</w:t>
      </w:r>
      <w:r>
        <w:t>096 and less than or equal to 4117.</w:t>
      </w:r>
    </w:p>
    <w:p w:rsidR="000A156F" w:rsidRDefault="00A9721F">
      <w:pPr>
        <w:pStyle w:val="Heading3"/>
      </w:pPr>
      <w:bookmarkStart w:id="1640" w:name="section_93a010b3df434cd4833aebacc1a80517"/>
      <w:bookmarkStart w:id="1641" w:name="_Toc181683846"/>
      <w:r>
        <w:t>Part 1 Section 18.11.1.9, rcc (Revision Cell Change)</w:t>
      </w:r>
      <w:bookmarkEnd w:id="1640"/>
      <w:bookmarkEnd w:id="1641"/>
      <w:r>
        <w:fldChar w:fldCharType="begin"/>
      </w:r>
      <w:r>
        <w:instrText xml:space="preserve"> XE "rcc (Revision Cell Change)"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A156F" w:rsidRDefault="00A9721F">
      <w:pPr>
        <w:pStyle w:val="Definition-Field"/>
      </w:pPr>
      <w:r>
        <w:t xml:space="preserve">a.   </w:t>
      </w:r>
      <w:r>
        <w:rPr>
          <w:i/>
        </w:rPr>
        <w:t>The standard states that the values of the sId attribute are defined by the XML Schema unsignedInt datatype.</w:t>
      </w:r>
    </w:p>
    <w:p w:rsidR="000A156F" w:rsidRDefault="00A9721F">
      <w:pPr>
        <w:pStyle w:val="Definition-Field2"/>
      </w:pPr>
      <w:r>
        <w:t>Excel restricts the value of this attribute to be at most 32767.</w:t>
      </w:r>
    </w:p>
    <w:p w:rsidR="000A156F" w:rsidRDefault="00A9721F">
      <w:pPr>
        <w:pStyle w:val="Definition-Field"/>
      </w:pPr>
      <w:r>
        <w:t xml:space="preserve">b.   </w:t>
      </w:r>
      <w:r>
        <w:rPr>
          <w:i/>
        </w:rPr>
        <w:t>The standard does not specif</w:t>
      </w:r>
      <w:r>
        <w:rPr>
          <w:i/>
        </w:rPr>
        <w:t>y a default value for the numFmtId attribute.</w:t>
      </w:r>
    </w:p>
    <w:p w:rsidR="000A156F" w:rsidRDefault="00A9721F">
      <w:pPr>
        <w:pStyle w:val="Definition-Field2"/>
      </w:pPr>
      <w:r>
        <w:t>Excel uses a default value of 0 for this attribute.</w:t>
      </w:r>
    </w:p>
    <w:p w:rsidR="000A156F" w:rsidRDefault="00A9721F">
      <w:pPr>
        <w:pStyle w:val="Definition-Field"/>
      </w:pPr>
      <w:r>
        <w:t xml:space="preserve">c.   </w:t>
      </w:r>
      <w:r>
        <w:rPr>
          <w:i/>
        </w:rPr>
        <w:t>The standard states that the s attribute is only applicable to undo operations.</w:t>
      </w:r>
    </w:p>
    <w:p w:rsidR="000A156F" w:rsidRDefault="00A9721F">
      <w:pPr>
        <w:pStyle w:val="Definition-Field2"/>
      </w:pPr>
      <w:r>
        <w:t>Excel allows this attribute to be applicable to operations other than und</w:t>
      </w:r>
      <w:r>
        <w:t>o.</w:t>
      </w:r>
    </w:p>
    <w:p w:rsidR="000A156F" w:rsidRDefault="00A9721F">
      <w:pPr>
        <w:pStyle w:val="Heading3"/>
      </w:pPr>
      <w:bookmarkStart w:id="1642" w:name="section_b551f264a701421c9a934fd7b5202aaf"/>
      <w:bookmarkStart w:id="1643" w:name="_Toc181683847"/>
      <w:r>
        <w:t>Part 1 Section 18.11.1.10, rcft (Revision Merge Conflict)</w:t>
      </w:r>
      <w:bookmarkEnd w:id="1642"/>
      <w:bookmarkEnd w:id="1643"/>
      <w:r>
        <w:fldChar w:fldCharType="begin"/>
      </w:r>
      <w:r>
        <w:instrText xml:space="preserve"> XE "rcft (Revision Merge Conflict)"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A156F" w:rsidRDefault="00A9721F">
      <w:pPr>
        <w:pStyle w:val="Definition-Field"/>
      </w:pPr>
      <w:r>
        <w:t xml:space="preserve">a.   </w:t>
      </w:r>
      <w:r>
        <w:rPr>
          <w:i/>
        </w:rPr>
        <w:t>The standard defines the @sheetId without including its maximum or minimum values.</w:t>
      </w:r>
    </w:p>
    <w:p w:rsidR="000A156F" w:rsidRDefault="00A9721F">
      <w:pPr>
        <w:pStyle w:val="Definition-Field2"/>
      </w:pPr>
      <w:r>
        <w:t>Office specifies that @sheetId is in the range from 0 to 32767.</w:t>
      </w:r>
    </w:p>
    <w:p w:rsidR="000A156F" w:rsidRDefault="00A9721F">
      <w:pPr>
        <w:pStyle w:val="Heading3"/>
      </w:pPr>
      <w:bookmarkStart w:id="1644" w:name="section_71c2defd91e4428192ce402908c9a57d"/>
      <w:bookmarkStart w:id="1645" w:name="_Toc181683848"/>
      <w:r>
        <w:t>Part 1 Section 18.11.1.11, rcmt (Revision Cell Comment)</w:t>
      </w:r>
      <w:bookmarkEnd w:id="1644"/>
      <w:bookmarkEnd w:id="1645"/>
      <w:r>
        <w:fldChar w:fldCharType="begin"/>
      </w:r>
      <w:r>
        <w:instrText xml:space="preserve"> XE "rcmt (Revision Cell C</w:instrText>
      </w:r>
      <w:r>
        <w:instrText xml:space="preserve">omment)" </w:instrText>
      </w:r>
      <w:r>
        <w:fldChar w:fldCharType="end"/>
      </w:r>
    </w:p>
    <w:p w:rsidR="000A156F" w:rsidRDefault="00A9721F">
      <w:pPr>
        <w:pStyle w:val="Definition-Field"/>
      </w:pPr>
      <w:r>
        <w:t xml:space="preserve">a.   </w:t>
      </w:r>
      <w:r>
        <w:rPr>
          <w:i/>
        </w:rPr>
        <w:t>The standard specifies that @author is restricted to be of type ST_Xstring.</w:t>
      </w:r>
    </w:p>
    <w:p w:rsidR="000A156F" w:rsidRDefault="00A9721F">
      <w:pPr>
        <w:pStyle w:val="Definition-Field2"/>
      </w:pPr>
      <w:r>
        <w:t>Office defines that the length of @author should be between 1 and 52 inclusive.</w:t>
      </w:r>
    </w:p>
    <w:p w:rsidR="000A156F" w:rsidRDefault="00A9721F">
      <w:pPr>
        <w:pStyle w:val="Definition-Field"/>
      </w:pPr>
      <w:r>
        <w:t xml:space="preserve">b.   </w:t>
      </w:r>
      <w:r>
        <w:rPr>
          <w:i/>
        </w:rPr>
        <w:t xml:space="preserve">The standard places no restrictions on the relationship between the guid </w:t>
      </w:r>
      <w:r>
        <w:rPr>
          <w:i/>
        </w:rPr>
        <w:t>attribute and a revision record.</w:t>
      </w:r>
    </w:p>
    <w:p w:rsidR="000A156F" w:rsidRDefault="00A9721F">
      <w:pPr>
        <w:pStyle w:val="Definition-Field2"/>
      </w:pPr>
      <w:r>
        <w:t>Office uses the guid attribute to associate a revision record with a comment in a worksheet.</w:t>
      </w:r>
    </w:p>
    <w:p w:rsidR="000A156F" w:rsidRDefault="00A9721F">
      <w:pPr>
        <w:pStyle w:val="Heading3"/>
      </w:pPr>
      <w:bookmarkStart w:id="1646" w:name="section_3c60e3058f99460abca886e39ebb0e49"/>
      <w:bookmarkStart w:id="1647" w:name="_Toc181683849"/>
      <w:r>
        <w:lastRenderedPageBreak/>
        <w:t>Part 1 Section 18.11.1.13, rdn (Revision Defined Name)</w:t>
      </w:r>
      <w:bookmarkEnd w:id="1646"/>
      <w:bookmarkEnd w:id="1647"/>
      <w:r>
        <w:fldChar w:fldCharType="begin"/>
      </w:r>
      <w:r>
        <w:instrText xml:space="preserve"> XE "rdn (Revision Defined Name)" </w:instrText>
      </w:r>
      <w:r>
        <w:fldChar w:fldCharType="end"/>
      </w:r>
    </w:p>
    <w:p w:rsidR="000A156F" w:rsidRDefault="00A9721F">
      <w:pPr>
        <w:pStyle w:val="Definition-Field"/>
      </w:pPr>
      <w:r>
        <w:t xml:space="preserve">a.   </w:t>
      </w:r>
      <w:r>
        <w:rPr>
          <w:i/>
        </w:rPr>
        <w:t>The standard defines the @localShe</w:t>
      </w:r>
      <w:r>
        <w:rPr>
          <w:i/>
        </w:rPr>
        <w:t>etId without specifying a maximum value.</w:t>
      </w:r>
    </w:p>
    <w:p w:rsidR="000A156F" w:rsidRDefault="00A9721F">
      <w:pPr>
        <w:pStyle w:val="Definition-Field2"/>
      </w:pPr>
      <w:r>
        <w:t>Office specifies the maximum value of @localSheetId to be 32767.</w:t>
      </w:r>
    </w:p>
    <w:p w:rsidR="000A156F" w:rsidRDefault="00A9721F">
      <w:pPr>
        <w:pStyle w:val="Definition-Field"/>
      </w:pPr>
      <w:r>
        <w:t xml:space="preserve">b.   </w:t>
      </w:r>
      <w:r>
        <w:rPr>
          <w:i/>
        </w:rPr>
        <w:t>The standard does not limit the length of the attribute customMenu.</w:t>
      </w:r>
    </w:p>
    <w:p w:rsidR="000A156F" w:rsidRDefault="00A9721F">
      <w:pPr>
        <w:pStyle w:val="Definition-Field2"/>
      </w:pPr>
      <w:r>
        <w:t>Office specifies the maximum length of @customMenu shall be 32767.</w:t>
      </w:r>
    </w:p>
    <w:p w:rsidR="000A156F" w:rsidRDefault="00A9721F">
      <w:pPr>
        <w:pStyle w:val="Definition-Field"/>
      </w:pPr>
      <w:r>
        <w:t xml:space="preserve">c.   </w:t>
      </w:r>
      <w:r>
        <w:rPr>
          <w:i/>
        </w:rPr>
        <w:t>The s</w:t>
      </w:r>
      <w:r>
        <w:rPr>
          <w:i/>
        </w:rPr>
        <w:t>tandard does not limit the length of the oldCustomMenu attribute.</w:t>
      </w:r>
    </w:p>
    <w:p w:rsidR="000A156F" w:rsidRDefault="00A9721F">
      <w:pPr>
        <w:pStyle w:val="Definition-Field2"/>
      </w:pPr>
      <w:r>
        <w:t>Office specifies the maximum length of @oldCustomMenu shall be 32767.</w:t>
      </w:r>
    </w:p>
    <w:p w:rsidR="000A156F" w:rsidRDefault="00A9721F">
      <w:pPr>
        <w:pStyle w:val="Definition-Field"/>
      </w:pPr>
      <w:r>
        <w:t xml:space="preserve">d.   </w:t>
      </w:r>
      <w:r>
        <w:rPr>
          <w:i/>
        </w:rPr>
        <w:t>The standard does not limit the length of the attribute description.</w:t>
      </w:r>
    </w:p>
    <w:p w:rsidR="000A156F" w:rsidRDefault="00A9721F">
      <w:pPr>
        <w:pStyle w:val="Definition-Field2"/>
      </w:pPr>
      <w:r>
        <w:t>Office specifies the maximum length of @descri</w:t>
      </w:r>
      <w:r>
        <w:t>ption to be 32767.</w:t>
      </w:r>
    </w:p>
    <w:p w:rsidR="000A156F" w:rsidRDefault="00A9721F">
      <w:pPr>
        <w:pStyle w:val="Definition-Field"/>
      </w:pPr>
      <w:r>
        <w:t xml:space="preserve">e.   </w:t>
      </w:r>
      <w:r>
        <w:rPr>
          <w:i/>
        </w:rPr>
        <w:t>The standard does not limit the length of the @oldDescription.</w:t>
      </w:r>
    </w:p>
    <w:p w:rsidR="000A156F" w:rsidRDefault="00A9721F">
      <w:pPr>
        <w:pStyle w:val="Definition-Field2"/>
      </w:pPr>
      <w:r>
        <w:t>Office specifies a maximum length for @oldDescription is 32767.</w:t>
      </w:r>
    </w:p>
    <w:p w:rsidR="000A156F" w:rsidRDefault="00A9721F">
      <w:pPr>
        <w:pStyle w:val="Definition-Field"/>
      </w:pPr>
      <w:r>
        <w:t xml:space="preserve">f.   </w:t>
      </w:r>
      <w:r>
        <w:rPr>
          <w:i/>
        </w:rPr>
        <w:t>The standard does not limit the length of @help.</w:t>
      </w:r>
    </w:p>
    <w:p w:rsidR="000A156F" w:rsidRDefault="00A9721F">
      <w:pPr>
        <w:pStyle w:val="Definition-Field2"/>
      </w:pPr>
      <w:r>
        <w:t xml:space="preserve">Office specifies the maximum length of @help shall </w:t>
      </w:r>
      <w:r>
        <w:t>be 32767.</w:t>
      </w:r>
    </w:p>
    <w:p w:rsidR="000A156F" w:rsidRDefault="00A9721F">
      <w:pPr>
        <w:pStyle w:val="Definition-Field"/>
      </w:pPr>
      <w:r>
        <w:t xml:space="preserve">g.   </w:t>
      </w:r>
      <w:r>
        <w:rPr>
          <w:i/>
        </w:rPr>
        <w:t>The standard does not limit the length of the oldHelp attribute.</w:t>
      </w:r>
    </w:p>
    <w:p w:rsidR="000A156F" w:rsidRDefault="00A9721F">
      <w:pPr>
        <w:pStyle w:val="Definition-Field2"/>
      </w:pPr>
      <w:r>
        <w:t>Office specifies the maximum length of @oldHelp to be 32767.</w:t>
      </w:r>
    </w:p>
    <w:p w:rsidR="000A156F" w:rsidRDefault="00A9721F">
      <w:pPr>
        <w:pStyle w:val="Definition-Field"/>
      </w:pPr>
      <w:r>
        <w:t xml:space="preserve">h.   </w:t>
      </w:r>
      <w:r>
        <w:rPr>
          <w:i/>
        </w:rPr>
        <w:t>The standard does not limit the length of the statusBar attribute.</w:t>
      </w:r>
    </w:p>
    <w:p w:rsidR="000A156F" w:rsidRDefault="00A9721F">
      <w:pPr>
        <w:pStyle w:val="Definition-Field2"/>
      </w:pPr>
      <w:r>
        <w:t>Office specifies the maximum length of @sta</w:t>
      </w:r>
      <w:r>
        <w:t>tusBar to be 32767.</w:t>
      </w:r>
    </w:p>
    <w:p w:rsidR="000A156F" w:rsidRDefault="00A9721F">
      <w:pPr>
        <w:pStyle w:val="Definition-Field"/>
      </w:pPr>
      <w:r>
        <w:t xml:space="preserve">i.   </w:t>
      </w:r>
      <w:r>
        <w:rPr>
          <w:i/>
        </w:rPr>
        <w:t>The standard does not limit the length of @oldStatusBar.</w:t>
      </w:r>
    </w:p>
    <w:p w:rsidR="000A156F" w:rsidRDefault="00A9721F">
      <w:pPr>
        <w:pStyle w:val="Definition-Field2"/>
      </w:pPr>
      <w:r>
        <w:t>Office specifies the maximum length of @oldStatusBar to be 32767.</w:t>
      </w:r>
    </w:p>
    <w:p w:rsidR="000A156F" w:rsidRDefault="00A9721F">
      <w:pPr>
        <w:pStyle w:val="Definition-Field"/>
      </w:pPr>
      <w:r>
        <w:t xml:space="preserve">j.   </w:t>
      </w:r>
      <w:r>
        <w:rPr>
          <w:i/>
        </w:rPr>
        <w:t>The standard does not specify any restrictions on the formula in the formula element.</w:t>
      </w:r>
    </w:p>
    <w:p w:rsidR="000A156F" w:rsidRDefault="00A9721F">
      <w:pPr>
        <w:pStyle w:val="Definition-Field2"/>
      </w:pPr>
      <w:r>
        <w:t xml:space="preserve">Excel specifies </w:t>
      </w:r>
      <w:r>
        <w:t>the formula element to be a Name formula, as defined in Formulas ("</w:t>
      </w:r>
      <w:hyperlink r:id="rId143">
        <w:r>
          <w:rPr>
            <w:rStyle w:val="Hyperlink"/>
          </w:rPr>
          <w:t>[ISO/IEC-29500-1]</w:t>
        </w:r>
      </w:hyperlink>
      <w:r>
        <w:t xml:space="preserve"> §18.17").</w:t>
      </w:r>
    </w:p>
    <w:p w:rsidR="000A156F" w:rsidRDefault="00A9721F">
      <w:pPr>
        <w:pStyle w:val="Definition-Field"/>
      </w:pPr>
      <w:r>
        <w:t xml:space="preserve">k.   </w:t>
      </w:r>
      <w:r>
        <w:rPr>
          <w:i/>
        </w:rPr>
        <w:t>The standard does not limit the length of the value of the comment attribute.</w:t>
      </w:r>
    </w:p>
    <w:p w:rsidR="000A156F" w:rsidRDefault="00A9721F">
      <w:pPr>
        <w:pStyle w:val="Definition-Field2"/>
      </w:pPr>
      <w:r>
        <w:t>Excel restri</w:t>
      </w:r>
      <w:r>
        <w:t>cts the value of this attribute to be at most 255 characters.</w:t>
      </w:r>
    </w:p>
    <w:p w:rsidR="000A156F" w:rsidRDefault="00A9721F">
      <w:pPr>
        <w:pStyle w:val="Definition-Field"/>
      </w:pPr>
      <w:r>
        <w:t xml:space="preserve">l.   </w:t>
      </w:r>
      <w:r>
        <w:rPr>
          <w:i/>
        </w:rPr>
        <w:t>The standard states that the values of the name attribute are defined by the ST_Xstring simple type.</w:t>
      </w:r>
    </w:p>
    <w:p w:rsidR="000A156F" w:rsidRDefault="00A9721F">
      <w:pPr>
        <w:pStyle w:val="Definition-Field2"/>
      </w:pPr>
      <w:r>
        <w:t>In Office, the value of the name attribute shall be unique within the parent element col</w:t>
      </w:r>
      <w:r>
        <w:t>lection and must match the definition of Defined Name in Formulas ("[ISO/IEC-29500-1] §18.17").</w:t>
      </w:r>
    </w:p>
    <w:p w:rsidR="000A156F" w:rsidRDefault="00A9721F">
      <w:pPr>
        <w:pStyle w:val="Definition-Field"/>
      </w:pPr>
      <w:r>
        <w:t xml:space="preserve">m.   </w:t>
      </w:r>
      <w:r>
        <w:rPr>
          <w:i/>
        </w:rPr>
        <w:t>The standard does not limit the length of the value of the oldComment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n.   </w:t>
      </w:r>
      <w:r>
        <w:rPr>
          <w:i/>
        </w:rPr>
        <w:t>The standard states that the values of the rId attribute are defined by the XML Schema unsignedInt datatype.</w:t>
      </w:r>
    </w:p>
    <w:p w:rsidR="000A156F" w:rsidRDefault="00A9721F">
      <w:pPr>
        <w:pStyle w:val="Definition-Field2"/>
      </w:pPr>
      <w:r>
        <w:t>Excel restricts the value of this attribute to be at most 2147483647.</w:t>
      </w:r>
    </w:p>
    <w:p w:rsidR="000A156F" w:rsidRDefault="00A9721F">
      <w:pPr>
        <w:pStyle w:val="Heading3"/>
      </w:pPr>
      <w:bookmarkStart w:id="1648" w:name="section_91b38086b27c4d3fb6aee7d37845d2cd"/>
      <w:bookmarkStart w:id="1649" w:name="_Toc181683850"/>
      <w:r>
        <w:lastRenderedPageBreak/>
        <w:t>Part 1 Section 18.11.1.14, reviewed (Reviewed)</w:t>
      </w:r>
      <w:bookmarkEnd w:id="1648"/>
      <w:bookmarkEnd w:id="1649"/>
      <w:r>
        <w:fldChar w:fldCharType="begin"/>
      </w:r>
      <w:r>
        <w:instrText xml:space="preserve"> XE "reviewed (Reviewed)" </w:instrText>
      </w:r>
      <w:r>
        <w:fldChar w:fldCharType="end"/>
      </w:r>
    </w:p>
    <w:p w:rsidR="000A156F" w:rsidRDefault="00A9721F">
      <w:pPr>
        <w:pStyle w:val="Definition-Field"/>
      </w:pPr>
      <w:r>
        <w:t xml:space="preserve">a.   </w:t>
      </w:r>
      <w:r>
        <w:rPr>
          <w:i/>
        </w:rPr>
        <w:t>The standard does not place any restrictions on the value for the rId attribute.</w:t>
      </w:r>
    </w:p>
    <w:p w:rsidR="000A156F" w:rsidRDefault="00A9721F">
      <w:pPr>
        <w:pStyle w:val="Definition-Field2"/>
      </w:pPr>
      <w:r>
        <w:t xml:space="preserve">Office allows the rId attribute to have a maximum value of 2147483647. Revision records shall always appear in increasing order of revision record Ids within a shared </w:t>
      </w:r>
      <w:r>
        <w:t>workbooks part</w:t>
      </w:r>
    </w:p>
    <w:p w:rsidR="000A156F" w:rsidRDefault="00A9721F">
      <w:pPr>
        <w:pStyle w:val="Heading3"/>
      </w:pPr>
      <w:bookmarkStart w:id="1650" w:name="section_d814f876102941be95e9eb6997794b91"/>
      <w:bookmarkStart w:id="1651" w:name="_Toc181683851"/>
      <w:r>
        <w:t>Part 1 Section 18.11.1.17, rfmt (Revision Format)</w:t>
      </w:r>
      <w:bookmarkEnd w:id="1650"/>
      <w:bookmarkEnd w:id="1651"/>
      <w:r>
        <w:fldChar w:fldCharType="begin"/>
      </w:r>
      <w:r>
        <w:instrText xml:space="preserve"> XE "rfmt (Revision Format)" </w:instrText>
      </w:r>
      <w:r>
        <w:fldChar w:fldCharType="end"/>
      </w:r>
    </w:p>
    <w:p w:rsidR="000A156F" w:rsidRDefault="00A9721F">
      <w:pPr>
        <w:pStyle w:val="Definition-Field"/>
      </w:pPr>
      <w:r>
        <w:t xml:space="preserve">a.   </w:t>
      </w:r>
      <w:r>
        <w:rPr>
          <w:i/>
        </w:rPr>
        <w:t>The standard defines the length attribute without including its maximum values.</w:t>
      </w:r>
    </w:p>
    <w:p w:rsidR="000A156F" w:rsidRDefault="00A9721F">
      <w:pPr>
        <w:pStyle w:val="Definition-Field2"/>
      </w:pPr>
      <w:r>
        <w:t xml:space="preserve">Office requires that the length attribute shall be less than 32767 when a </w:t>
      </w:r>
      <w:r>
        <w:t>part of string is affected by the change or shall be 2147483647 when all the characters of the string are affected by the change.</w:t>
      </w:r>
    </w:p>
    <w:p w:rsidR="000A156F" w:rsidRDefault="00A9721F">
      <w:pPr>
        <w:pStyle w:val="Definition-Field"/>
      </w:pPr>
      <w:r>
        <w:t xml:space="preserve">b.   </w:t>
      </w:r>
      <w:r>
        <w:rPr>
          <w:i/>
        </w:rPr>
        <w:t>The standard defines the @sheetId without including its maximum or minimum values.</w:t>
      </w:r>
    </w:p>
    <w:p w:rsidR="000A156F" w:rsidRDefault="00A9721F">
      <w:pPr>
        <w:pStyle w:val="Definition-Field2"/>
      </w:pPr>
      <w:r>
        <w:t>Office specifies that @sheetId is in t</w:t>
      </w:r>
      <w:r>
        <w:t>he range from 0 to 32767.</w:t>
      </w:r>
    </w:p>
    <w:p w:rsidR="000A156F" w:rsidRDefault="00A9721F">
      <w:pPr>
        <w:pStyle w:val="Definition-Field"/>
      </w:pPr>
      <w:r>
        <w:t xml:space="preserve">c.   </w:t>
      </w:r>
      <w:r>
        <w:rPr>
          <w:i/>
        </w:rPr>
        <w:t>The standard does not describe the limits and relationships of @start.</w:t>
      </w:r>
    </w:p>
    <w:p w:rsidR="000A156F" w:rsidRDefault="00A9721F">
      <w:pPr>
        <w:pStyle w:val="Definition-Field2"/>
      </w:pPr>
      <w:r>
        <w:t>Office requires that either @length is 2147483647 and @start is 0 or the sum of @start and @length shall be less than 32767.</w:t>
      </w:r>
    </w:p>
    <w:p w:rsidR="000A156F" w:rsidRDefault="00A9721F">
      <w:pPr>
        <w:pStyle w:val="Definition-Field"/>
      </w:pPr>
      <w:r>
        <w:t xml:space="preserve">d.   </w:t>
      </w:r>
      <w:r>
        <w:rPr>
          <w:i/>
        </w:rPr>
        <w:t>The standard does not sp</w:t>
      </w:r>
      <w:r>
        <w:rPr>
          <w:i/>
        </w:rPr>
        <w:t>ecify when @start shall be omitted.</w:t>
      </w:r>
    </w:p>
    <w:p w:rsidR="000A156F" w:rsidRDefault="00A9721F">
      <w:pPr>
        <w:pStyle w:val="Definition-Field2"/>
      </w:pPr>
      <w:r>
        <w:t>Office specifies @start such that start shall be omitted when a built-in or custom format is applied to the references specified by @sqref.</w:t>
      </w:r>
    </w:p>
    <w:p w:rsidR="000A156F" w:rsidRDefault="00A9721F">
      <w:pPr>
        <w:pStyle w:val="Definition-Field"/>
      </w:pPr>
      <w:r>
        <w:t xml:space="preserve">e.   </w:t>
      </w:r>
      <w:r>
        <w:rPr>
          <w:i/>
        </w:rPr>
        <w:t>The standard does not specify when @length is omitted.</w:t>
      </w:r>
    </w:p>
    <w:p w:rsidR="000A156F" w:rsidRDefault="00A9721F">
      <w:pPr>
        <w:pStyle w:val="Definition-Field2"/>
      </w:pPr>
      <w:r>
        <w:t>Office specifies tha</w:t>
      </w:r>
      <w:r>
        <w:t>t @length shall be omitted when a built-in or custom format is applied to the references specified by @sqref.</w:t>
      </w:r>
    </w:p>
    <w:p w:rsidR="000A156F" w:rsidRDefault="00A9721F">
      <w:pPr>
        <w:pStyle w:val="Heading3"/>
      </w:pPr>
      <w:bookmarkStart w:id="1652" w:name="section_7b5212ccf081484f85d66b5129ee8d61"/>
      <w:bookmarkStart w:id="1653" w:name="_Toc181683852"/>
      <w:r>
        <w:t>Part 1 Section 18.11.1.18, ris (Revision Insert Sheet)</w:t>
      </w:r>
      <w:bookmarkEnd w:id="1652"/>
      <w:bookmarkEnd w:id="1653"/>
      <w:r>
        <w:fldChar w:fldCharType="begin"/>
      </w:r>
      <w:r>
        <w:instrText xml:space="preserve"> XE "ris (Revision Insert Sheet)" </w:instrText>
      </w:r>
      <w:r>
        <w:fldChar w:fldCharType="end"/>
      </w:r>
    </w:p>
    <w:p w:rsidR="000A156F" w:rsidRDefault="00A9721F">
      <w:pPr>
        <w:pStyle w:val="Definition-Field2"/>
      </w:pPr>
      <w:r>
        <w:rPr>
          <w:i/>
        </w:rPr>
        <w:t xml:space="preserve">For additional notes that apply to this portion of the </w:t>
      </w:r>
      <w:r>
        <w:rPr>
          <w:i/>
        </w:rPr>
        <w:t xml:space="preserve">standard, please see the notes for </w:t>
      </w:r>
      <w:hyperlink w:anchor="Section_3c60e3058f99460abca886e39ebb0e49">
        <w:r>
          <w:rPr>
            <w:rStyle w:val="Hyperlink"/>
          </w:rPr>
          <w:t>rdn, §18.11.1.13(j,n)</w:t>
        </w:r>
      </w:hyperlink>
      <w:r>
        <w:rPr>
          <w:i/>
        </w:rPr>
        <w:t>.</w:t>
      </w:r>
    </w:p>
    <w:p w:rsidR="000A156F" w:rsidRDefault="00A9721F">
      <w:pPr>
        <w:pStyle w:val="Definition-Field"/>
      </w:pPr>
      <w:r>
        <w:t xml:space="preserve">a.   </w:t>
      </w:r>
      <w:r>
        <w:rPr>
          <w:i/>
        </w:rPr>
        <w:t>The standard states that the values of the sheetId attribute are defined by the XML Schema unsignedInt datatype.</w:t>
      </w:r>
    </w:p>
    <w:p w:rsidR="000A156F" w:rsidRDefault="00A9721F">
      <w:pPr>
        <w:pStyle w:val="Definition-Field2"/>
      </w:pPr>
      <w:r>
        <w:t>Excel restricts t</w:t>
      </w:r>
      <w:r>
        <w:t>he value of this attribute to be at most 32767.</w:t>
      </w:r>
    </w:p>
    <w:p w:rsidR="000A156F" w:rsidRDefault="00A9721F">
      <w:pPr>
        <w:pStyle w:val="Definition-Field"/>
      </w:pPr>
      <w:r>
        <w:t xml:space="preserve">b.   </w:t>
      </w:r>
      <w:r>
        <w:rPr>
          <w:i/>
        </w:rPr>
        <w:t>The standard states that the values of the sheetPosition attribute are defined by the XML Schema unsignedInt datatype.</w:t>
      </w:r>
    </w:p>
    <w:p w:rsidR="000A156F" w:rsidRDefault="00A9721F">
      <w:pPr>
        <w:pStyle w:val="Definition-Field2"/>
      </w:pPr>
      <w:r>
        <w:t>Excel restricts the value of this attribute to be at most 65533.</w:t>
      </w:r>
    </w:p>
    <w:p w:rsidR="000A156F" w:rsidRDefault="00A9721F">
      <w:pPr>
        <w:pStyle w:val="Definition-Field"/>
      </w:pPr>
      <w:r>
        <w:t xml:space="preserve">c.   </w:t>
      </w:r>
      <w:r>
        <w:rPr>
          <w:i/>
        </w:rPr>
        <w:t xml:space="preserve">The standard </w:t>
      </w:r>
      <w:r>
        <w:rPr>
          <w:i/>
        </w:rPr>
        <w:t>defines the possible values for the @name without specifying the format of the value.</w:t>
      </w:r>
    </w:p>
    <w:p w:rsidR="000A156F" w:rsidRDefault="00A9721F">
      <w:pPr>
        <w:pStyle w:val="Definition-Field2"/>
      </w:pPr>
      <w:r>
        <w:t>Office requires that @name follows the form [Book]SheetName, where SheetName follows valid syntax for a sheet name.</w:t>
      </w:r>
    </w:p>
    <w:p w:rsidR="000A156F" w:rsidRDefault="00A9721F">
      <w:pPr>
        <w:pStyle w:val="Heading3"/>
      </w:pPr>
      <w:bookmarkStart w:id="1654" w:name="section_3759ca9c7212429dbd9f58df2db63036"/>
      <w:bookmarkStart w:id="1655" w:name="_Toc181683853"/>
      <w:r>
        <w:t>Part 1 Section 18.11.1.19, rm (Revision Cell Move)</w:t>
      </w:r>
      <w:bookmarkEnd w:id="1654"/>
      <w:bookmarkEnd w:id="1655"/>
      <w:r>
        <w:fldChar w:fldCharType="begin"/>
      </w:r>
      <w:r>
        <w:instrText xml:space="preserve"> XE </w:instrText>
      </w:r>
      <w:r>
        <w:instrText xml:space="preserve">"rm (Revision Cell Move)"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A156F" w:rsidRDefault="00A9721F">
      <w:pPr>
        <w:pStyle w:val="Definition-Field"/>
      </w:pPr>
      <w:r>
        <w:lastRenderedPageBreak/>
        <w:t xml:space="preserve">a.   </w:t>
      </w:r>
      <w:r>
        <w:rPr>
          <w:i/>
        </w:rPr>
        <w:t>The standard includes the attribute sheetId de</w:t>
      </w:r>
      <w:r>
        <w:rPr>
          <w:i/>
        </w:rPr>
        <w:t>fined as an unsignedInt.</w:t>
      </w:r>
    </w:p>
    <w:p w:rsidR="000A156F" w:rsidRDefault="00A9721F">
      <w:pPr>
        <w:pStyle w:val="Definition-Field2"/>
      </w:pPr>
      <w:r>
        <w:t>Office specifies that the maximum value of the sheetId attribute is 32767.</w:t>
      </w:r>
    </w:p>
    <w:p w:rsidR="000A156F" w:rsidRDefault="00A9721F">
      <w:pPr>
        <w:pStyle w:val="Definition-Field"/>
      </w:pPr>
      <w:r>
        <w:t xml:space="preserve">b.   </w:t>
      </w:r>
      <w:r>
        <w:rPr>
          <w:i/>
        </w:rPr>
        <w:t>The standard includes the attribute sourceSheetId defined as an unsignedInt.</w:t>
      </w:r>
    </w:p>
    <w:p w:rsidR="000A156F" w:rsidRDefault="00A9721F">
      <w:pPr>
        <w:pStyle w:val="Definition-Field2"/>
      </w:pPr>
      <w:r>
        <w:t xml:space="preserve">Office specifies that the maximum value of the sourceSheetId attribute is </w:t>
      </w:r>
      <w:r>
        <w:t>32767.</w:t>
      </w:r>
    </w:p>
    <w:p w:rsidR="000A156F" w:rsidRDefault="00A9721F">
      <w:pPr>
        <w:pStyle w:val="Definition-Field"/>
      </w:pPr>
      <w:r>
        <w:t xml:space="preserve">c.   </w:t>
      </w:r>
      <w:r>
        <w:rPr>
          <w:i/>
        </w:rPr>
        <w:t>The standard does not limit the restrictions between the size of the attributes source and destination.</w:t>
      </w:r>
    </w:p>
    <w:p w:rsidR="000A156F" w:rsidRDefault="00A9721F">
      <w:pPr>
        <w:pStyle w:val="Definition-Field2"/>
      </w:pPr>
      <w:r>
        <w:t>Office requires that @source and @destination should be equal in width and height.</w:t>
      </w:r>
    </w:p>
    <w:p w:rsidR="000A156F" w:rsidRDefault="00A9721F">
      <w:pPr>
        <w:pStyle w:val="Heading3"/>
      </w:pPr>
      <w:bookmarkStart w:id="1656" w:name="section_47f7f4b3b75e4e2c8a17a5b2508a76f3"/>
      <w:bookmarkStart w:id="1657" w:name="_Toc181683854"/>
      <w:r>
        <w:t>Part 1 Section 18.11.1.20, rqt (Revision Query Table)</w:t>
      </w:r>
      <w:bookmarkEnd w:id="1656"/>
      <w:bookmarkEnd w:id="1657"/>
      <w:r>
        <w:fldChar w:fldCharType="begin"/>
      </w:r>
      <w:r>
        <w:instrText xml:space="preserve"> XE </w:instrText>
      </w:r>
      <w:r>
        <w:instrText xml:space="preserve">"rqt (Revision Query Table)" </w:instrText>
      </w:r>
      <w:r>
        <w:fldChar w:fldCharType="end"/>
      </w:r>
    </w:p>
    <w:p w:rsidR="000A156F" w:rsidRDefault="00A9721F">
      <w:pPr>
        <w:pStyle w:val="Definition-Field"/>
      </w:pPr>
      <w:r>
        <w:t xml:space="preserve">a.   </w:t>
      </w:r>
      <w:r>
        <w:rPr>
          <w:i/>
        </w:rPr>
        <w:t>The standard does not place any restrictions on the value for @sheetId.</w:t>
      </w:r>
    </w:p>
    <w:p w:rsidR="000A156F" w:rsidRDefault="00A9721F">
      <w:pPr>
        <w:pStyle w:val="Definition-Field2"/>
      </w:pPr>
      <w:r>
        <w:t>Office requires that @version be less than or equal to 32767.</w:t>
      </w:r>
    </w:p>
    <w:p w:rsidR="000A156F" w:rsidRDefault="00A9721F">
      <w:pPr>
        <w:pStyle w:val="Heading3"/>
      </w:pPr>
      <w:bookmarkStart w:id="1658" w:name="section_8aa1a35f152949af865abb4ba51645b5"/>
      <w:bookmarkStart w:id="1659" w:name="_Toc181683855"/>
      <w:r>
        <w:t>Part 1 Section 18.11.1.21, rrc (Revision Row Column Insert Delete)</w:t>
      </w:r>
      <w:bookmarkEnd w:id="1658"/>
      <w:bookmarkEnd w:id="1659"/>
      <w:r>
        <w:fldChar w:fldCharType="begin"/>
      </w:r>
      <w:r>
        <w:instrText xml:space="preserve"> XE "rrc (Revision </w:instrText>
      </w:r>
      <w:r>
        <w:instrText xml:space="preserve">Row Column Insert Delete)"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A156F" w:rsidRDefault="00A9721F">
      <w:pPr>
        <w:pStyle w:val="Definition-Field"/>
      </w:pPr>
      <w:r>
        <w:t xml:space="preserve">a.   </w:t>
      </w:r>
      <w:r>
        <w:rPr>
          <w:i/>
        </w:rPr>
        <w:t xml:space="preserve">The standard includes the @sId defined as an </w:t>
      </w:r>
      <w:r>
        <w:rPr>
          <w:i/>
        </w:rPr>
        <w:t>unsignedInt.</w:t>
      </w:r>
    </w:p>
    <w:p w:rsidR="000A156F" w:rsidRDefault="00A9721F">
      <w:pPr>
        <w:pStyle w:val="Definition-Field2"/>
      </w:pPr>
      <w:r>
        <w:t>Office specifies that the maximum length of @sId is 32767.</w:t>
      </w:r>
    </w:p>
    <w:p w:rsidR="000A156F" w:rsidRDefault="00A9721F">
      <w:pPr>
        <w:pStyle w:val="Heading3"/>
      </w:pPr>
      <w:bookmarkStart w:id="1660" w:name="section_ca21574c0dfb4e9ba0e39cf9c855e9bb"/>
      <w:bookmarkStart w:id="1661" w:name="_Toc181683856"/>
      <w:r>
        <w:t>Part 1 Section 18.11.1.22, rsnm (Revision Sheet Name)</w:t>
      </w:r>
      <w:bookmarkEnd w:id="1660"/>
      <w:bookmarkEnd w:id="1661"/>
      <w:r>
        <w:fldChar w:fldCharType="begin"/>
      </w:r>
      <w:r>
        <w:instrText xml:space="preserve"> XE "rsnm (Revision Sheet Name)"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0A156F" w:rsidRDefault="00A9721F">
      <w:pPr>
        <w:pStyle w:val="Definition-Field"/>
      </w:pPr>
      <w:r>
        <w:t xml:space="preserve">a.   </w:t>
      </w:r>
      <w:r>
        <w:rPr>
          <w:i/>
        </w:rPr>
        <w:t>The standard defines the sheetId attribute without restrictions on its maximum value.</w:t>
      </w:r>
    </w:p>
    <w:p w:rsidR="000A156F" w:rsidRDefault="00A9721F">
      <w:pPr>
        <w:pStyle w:val="Definition-Field2"/>
      </w:pPr>
      <w:r>
        <w:t>Office specifies the maximum length of the sheetId attribute to be 32767.</w:t>
      </w:r>
    </w:p>
    <w:p w:rsidR="000A156F" w:rsidRDefault="00A9721F">
      <w:pPr>
        <w:pStyle w:val="Definition-Field"/>
      </w:pPr>
      <w:r>
        <w:t xml:space="preserve">b.   </w:t>
      </w:r>
      <w:r>
        <w:rPr>
          <w:i/>
        </w:rPr>
        <w:t>The s</w:t>
      </w:r>
      <w:r>
        <w:rPr>
          <w:i/>
        </w:rPr>
        <w:t>tandard defines @newName without any restrictions on its the form of the value.</w:t>
      </w:r>
    </w:p>
    <w:p w:rsidR="000A156F" w:rsidRDefault="00A9721F">
      <w:pPr>
        <w:pStyle w:val="Definition-Field2"/>
      </w:pPr>
      <w:r>
        <w:t>Office requires @newName follows the form [Book]SheetName where SheetName follows valid sheet name syntax.</w:t>
      </w:r>
    </w:p>
    <w:p w:rsidR="000A156F" w:rsidRDefault="00A9721F">
      <w:pPr>
        <w:pStyle w:val="Definition-Field"/>
      </w:pPr>
      <w:r>
        <w:t xml:space="preserve">c.   </w:t>
      </w:r>
      <w:r>
        <w:rPr>
          <w:i/>
        </w:rPr>
        <w:t>The standard defines @oldname without any limitations on the for</w:t>
      </w:r>
      <w:r>
        <w:rPr>
          <w:i/>
        </w:rPr>
        <w:t>m of the value.</w:t>
      </w:r>
    </w:p>
    <w:p w:rsidR="000A156F" w:rsidRDefault="00A9721F">
      <w:pPr>
        <w:pStyle w:val="Definition-Field2"/>
      </w:pPr>
      <w:r>
        <w:t>Office requires that @oldName follow the form [Book]SheetName, where SheetName follows valid sheet name syntax.</w:t>
      </w:r>
    </w:p>
    <w:p w:rsidR="000A156F" w:rsidRDefault="00A9721F">
      <w:pPr>
        <w:pStyle w:val="Heading3"/>
      </w:pPr>
      <w:bookmarkStart w:id="1662" w:name="section_98e3f568bac74abfbdc04eed2cd91ae8"/>
      <w:bookmarkStart w:id="1663" w:name="_Toc181683857"/>
      <w:r>
        <w:t>Part 1 Section 18.11.1.23, sheetId (Sheet Id)</w:t>
      </w:r>
      <w:bookmarkEnd w:id="1662"/>
      <w:bookmarkEnd w:id="1663"/>
      <w:r>
        <w:fldChar w:fldCharType="begin"/>
      </w:r>
      <w:r>
        <w:instrText xml:space="preserve"> XE "sheetId (Sheet Id)" </w:instrText>
      </w:r>
      <w:r>
        <w:fldChar w:fldCharType="end"/>
      </w:r>
    </w:p>
    <w:p w:rsidR="000A156F" w:rsidRDefault="00A9721F">
      <w:pPr>
        <w:pStyle w:val="Definition-Field"/>
      </w:pPr>
      <w:r>
        <w:t xml:space="preserve">a.   </w:t>
      </w:r>
      <w:r>
        <w:rPr>
          <w:i/>
        </w:rPr>
        <w:t xml:space="preserve">The standard defines @val without restrictions on </w:t>
      </w:r>
      <w:r>
        <w:rPr>
          <w:i/>
        </w:rPr>
        <w:t>its maximum value.</w:t>
      </w:r>
    </w:p>
    <w:p w:rsidR="000A156F" w:rsidRDefault="00A9721F">
      <w:pPr>
        <w:pStyle w:val="Definition-Field2"/>
      </w:pPr>
      <w:r>
        <w:t>Office specifies @val has a maximum value of 65535.</w:t>
      </w:r>
    </w:p>
    <w:p w:rsidR="000A156F" w:rsidRDefault="00A9721F">
      <w:pPr>
        <w:pStyle w:val="Heading3"/>
      </w:pPr>
      <w:bookmarkStart w:id="1664" w:name="section_b76122d4802144cbadad1bb478e483e2"/>
      <w:bookmarkStart w:id="1665" w:name="_Toc181683858"/>
      <w:r>
        <w:t>Part 1 Section 18.11.1.24, sheetIdMap (Sheet Id Map)</w:t>
      </w:r>
      <w:bookmarkEnd w:id="1664"/>
      <w:bookmarkEnd w:id="1665"/>
      <w:r>
        <w:fldChar w:fldCharType="begin"/>
      </w:r>
      <w:r>
        <w:instrText xml:space="preserve"> XE "sheetIdMap (Sheet Id Map)" </w:instrText>
      </w:r>
      <w:r>
        <w:fldChar w:fldCharType="end"/>
      </w:r>
    </w:p>
    <w:p w:rsidR="000A156F" w:rsidRDefault="00A9721F">
      <w:pPr>
        <w:pStyle w:val="Definition-Field"/>
      </w:pPr>
      <w:r>
        <w:t xml:space="preserve">a.   </w:t>
      </w:r>
      <w:r>
        <w:rPr>
          <w:i/>
        </w:rPr>
        <w:t>The standard states that the maxOccurs value for the sheetId child element is unbounded.</w:t>
      </w:r>
    </w:p>
    <w:p w:rsidR="000A156F" w:rsidRDefault="00A9721F">
      <w:pPr>
        <w:pStyle w:val="Definition-Field2"/>
      </w:pPr>
      <w:r>
        <w:t>Excel limits the occurrences of this element to 65535.</w:t>
      </w:r>
    </w:p>
    <w:p w:rsidR="000A156F" w:rsidRDefault="00A9721F">
      <w:pPr>
        <w:pStyle w:val="Heading3"/>
      </w:pPr>
      <w:bookmarkStart w:id="1666" w:name="section_69cadf75de6b4dbfac34b8261e44afc3"/>
      <w:bookmarkStart w:id="1667" w:name="_Toc181683859"/>
      <w:r>
        <w:lastRenderedPageBreak/>
        <w:t>Part 1 Section 18.11.1.25, undo (Undo)</w:t>
      </w:r>
      <w:bookmarkEnd w:id="1666"/>
      <w:bookmarkEnd w:id="1667"/>
      <w:r>
        <w:fldChar w:fldCharType="begin"/>
      </w:r>
      <w:r>
        <w:instrText xml:space="preserve"> XE "undo (Undo)" </w:instrText>
      </w:r>
      <w:r>
        <w:fldChar w:fldCharType="end"/>
      </w:r>
    </w:p>
    <w:p w:rsidR="000A156F" w:rsidRDefault="00A9721F">
      <w:pPr>
        <w:pStyle w:val="Definition-Field"/>
      </w:pPr>
      <w:r>
        <w:t xml:space="preserve">a.   </w:t>
      </w:r>
      <w:r>
        <w:rPr>
          <w:i/>
        </w:rPr>
        <w:t>The standard does not place any restrictions on the value for the sId attribute.</w:t>
      </w:r>
    </w:p>
    <w:p w:rsidR="000A156F" w:rsidRDefault="00A9721F">
      <w:pPr>
        <w:pStyle w:val="Definition-Field2"/>
      </w:pPr>
      <w:r>
        <w:t xml:space="preserve">Office only allows a maximum value of 32767 for the sId </w:t>
      </w:r>
      <w:r>
        <w:t>attribute.</w:t>
      </w:r>
    </w:p>
    <w:p w:rsidR="000A156F" w:rsidRDefault="00A9721F">
      <w:pPr>
        <w:pStyle w:val="Definition-Field"/>
      </w:pPr>
      <w:r>
        <w:t xml:space="preserve">b.   </w:t>
      </w:r>
      <w:r>
        <w:rPr>
          <w:i/>
        </w:rPr>
        <w:t>The standard does not place any restrictions on the existence of the array and v attributes.</w:t>
      </w:r>
    </w:p>
    <w:p w:rsidR="000A156F" w:rsidRDefault="00A9721F">
      <w:pPr>
        <w:pStyle w:val="Definition-Field2"/>
      </w:pPr>
      <w:r>
        <w:t>In Office, the array attribute and the v attribute are mutually exclusive. Both cannot be true at the same time.</w:t>
      </w:r>
    </w:p>
    <w:p w:rsidR="000A156F" w:rsidRDefault="00A9721F">
      <w:pPr>
        <w:pStyle w:val="Definition-Field"/>
      </w:pPr>
      <w:r>
        <w:t xml:space="preserve">c.   </w:t>
      </w:r>
      <w:r>
        <w:rPr>
          <w:i/>
        </w:rPr>
        <w:t>The standard defines @exp wit</w:t>
      </w:r>
      <w:r>
        <w:rPr>
          <w:i/>
        </w:rPr>
        <w:t>hout specifying the relationships it has with other attributes.</w:t>
      </w:r>
    </w:p>
    <w:p w:rsidR="000A156F" w:rsidRDefault="00A9721F">
      <w:pPr>
        <w:pStyle w:val="Definition-Field2"/>
      </w:pPr>
      <w:r>
        <w:t>Office requires that when @exp equals ref or refError, then @dr should define a single cell reference.</w:t>
      </w:r>
    </w:p>
    <w:p w:rsidR="000A156F" w:rsidRDefault="00A9721F">
      <w:pPr>
        <w:pStyle w:val="Definition-Field"/>
      </w:pPr>
      <w:r>
        <w:t xml:space="preserve">d.   </w:t>
      </w:r>
      <w:r>
        <w:rPr>
          <w:i/>
        </w:rPr>
        <w:t>The standard does not define a relationship between the value of the nf attribute an</w:t>
      </w:r>
      <w:r>
        <w:rPr>
          <w:i/>
        </w:rPr>
        <w:t>d the value of the ref3D and exp attributes.</w:t>
      </w:r>
    </w:p>
    <w:p w:rsidR="000A156F" w:rsidRDefault="00A9721F">
      <w:pPr>
        <w:pStyle w:val="Definition-Field2"/>
      </w:pPr>
      <w:r>
        <w:t>In Office, if the nf attribute is true, then the ref3D attribute should be false and the exp attribute should not be refError or areaError.</w:t>
      </w:r>
    </w:p>
    <w:p w:rsidR="000A156F" w:rsidRDefault="00A9721F">
      <w:pPr>
        <w:pStyle w:val="Definition-Field"/>
      </w:pPr>
      <w:r>
        <w:t xml:space="preserve">e.   </w:t>
      </w:r>
      <w:r>
        <w:rPr>
          <w:i/>
        </w:rPr>
        <w:t>The standard does not define a relationship between the value of t</w:t>
      </w:r>
      <w:r>
        <w:rPr>
          <w:i/>
        </w:rPr>
        <w:t>he ref3D attribute and the value of the exp attribute.</w:t>
      </w:r>
    </w:p>
    <w:p w:rsidR="000A156F" w:rsidRDefault="00A9721F">
      <w:pPr>
        <w:pStyle w:val="Definition-Field2"/>
      </w:pPr>
      <w:r>
        <w:t>In Office, if the ref3D attribute is true, then the exp attribute should not be computedArea.</w:t>
      </w:r>
    </w:p>
    <w:p w:rsidR="000A156F" w:rsidRDefault="00A9721F">
      <w:pPr>
        <w:pStyle w:val="Definition-Field"/>
      </w:pPr>
      <w:r>
        <w:t xml:space="preserve">f.   </w:t>
      </w:r>
      <w:r>
        <w:rPr>
          <w:i/>
        </w:rPr>
        <w:t>The standard states that this element represents undo information for row and column deletion.</w:t>
      </w:r>
    </w:p>
    <w:p w:rsidR="000A156F" w:rsidRDefault="00A9721F">
      <w:pPr>
        <w:pStyle w:val="Definition-Field2"/>
      </w:pPr>
      <w:r>
        <w:t xml:space="preserve">Office </w:t>
      </w:r>
      <w:r>
        <w:t>uses this element to represent undo information for row and column deletion and also move operations of rows and columns.</w:t>
      </w:r>
    </w:p>
    <w:p w:rsidR="000A156F" w:rsidRDefault="00A9721F">
      <w:pPr>
        <w:pStyle w:val="Definition-Field"/>
      </w:pPr>
      <w:r>
        <w:t xml:space="preserve">g.   </w:t>
      </w:r>
      <w:r>
        <w:rPr>
          <w:i/>
        </w:rPr>
        <w:t>The standard states that the dn attribute is mutually exclusive with the r attribute.</w:t>
      </w:r>
    </w:p>
    <w:p w:rsidR="000A156F" w:rsidRDefault="00A9721F">
      <w:pPr>
        <w:pStyle w:val="Definition-Field2"/>
      </w:pPr>
      <w:r>
        <w:t>In Office, the dn attribute is mutually exc</w:t>
      </w:r>
      <w:r>
        <w:t>lusive with the r and sId attributes.</w:t>
      </w:r>
    </w:p>
    <w:p w:rsidR="000A156F" w:rsidRDefault="00A9721F">
      <w:pPr>
        <w:pStyle w:val="Definition-Field"/>
      </w:pPr>
      <w:r>
        <w:t xml:space="preserve">h.   </w:t>
      </w:r>
      <w:r>
        <w:rPr>
          <w:i/>
        </w:rPr>
        <w:t>The standard places no restrictions on the index attribute.</w:t>
      </w:r>
    </w:p>
    <w:p w:rsidR="000A156F" w:rsidRDefault="00A9721F">
      <w:pPr>
        <w:pStyle w:val="Definition-Field2"/>
      </w:pPr>
      <w:r>
        <w:t>Office requires that the index attribute be less than the total number of expressions in the formula.</w:t>
      </w:r>
    </w:p>
    <w:p w:rsidR="000A156F" w:rsidRDefault="00A9721F">
      <w:pPr>
        <w:pStyle w:val="Heading3"/>
      </w:pPr>
      <w:bookmarkStart w:id="1668" w:name="section_98a171fb28a2412fb7e945d21335b00c"/>
      <w:bookmarkStart w:id="1669" w:name="_Toc181683860"/>
      <w:r>
        <w:t>Part 1 Section 18.11.2.2, users (User List)</w:t>
      </w:r>
      <w:bookmarkEnd w:id="1668"/>
      <w:bookmarkEnd w:id="1669"/>
      <w:r>
        <w:fldChar w:fldCharType="begin"/>
      </w:r>
      <w:r>
        <w:instrText xml:space="preserve"> XE "use</w:instrText>
      </w:r>
      <w:r>
        <w:instrText xml:space="preserve">rs (User List)" </w:instrText>
      </w:r>
      <w:r>
        <w:fldChar w:fldCharType="end"/>
      </w:r>
    </w:p>
    <w:p w:rsidR="000A156F" w:rsidRDefault="00A9721F">
      <w:pPr>
        <w:pStyle w:val="Definition-Field"/>
      </w:pPr>
      <w:r>
        <w:t xml:space="preserve">a.   </w:t>
      </w:r>
      <w:r>
        <w:rPr>
          <w:i/>
        </w:rPr>
        <w:t>The standard states that the values of the count attribute are defined by the XML Schema unsignedInt datatype.</w:t>
      </w:r>
    </w:p>
    <w:p w:rsidR="000A156F" w:rsidRDefault="00A9721F">
      <w:pPr>
        <w:pStyle w:val="Definition-Field2"/>
      </w:pPr>
      <w:r>
        <w:t>Excel restricts the value of this attribute to be at most 256.</w:t>
      </w:r>
    </w:p>
    <w:p w:rsidR="000A156F" w:rsidRDefault="00A9721F">
      <w:pPr>
        <w:pStyle w:val="Heading3"/>
      </w:pPr>
      <w:bookmarkStart w:id="1670" w:name="section_77da14e2b4ea44a8af58622a93fa3abf"/>
      <w:bookmarkStart w:id="1671" w:name="_Toc181683861"/>
      <w:r>
        <w:t>Part 1 Section 18.12.1, deletedField (Deleted Field)</w:t>
      </w:r>
      <w:bookmarkEnd w:id="1670"/>
      <w:bookmarkEnd w:id="1671"/>
      <w:r>
        <w:fldChar w:fldCharType="begin"/>
      </w:r>
      <w:r>
        <w:instrText xml:space="preserve"> XE "deletedField (Deleted Field)" </w:instrText>
      </w:r>
      <w:r>
        <w:fldChar w:fldCharType="end"/>
      </w:r>
    </w:p>
    <w:p w:rsidR="000A156F" w:rsidRDefault="00A9721F">
      <w:pPr>
        <w:pStyle w:val="Definition-Field"/>
      </w:pPr>
      <w:r>
        <w:t xml:space="preserve">a.   </w:t>
      </w:r>
      <w:r>
        <w:rPr>
          <w:i/>
        </w:rPr>
        <w:t>The standard does not limit the length of the value of the name attribute.</w:t>
      </w:r>
    </w:p>
    <w:p w:rsidR="000A156F" w:rsidRDefault="00A9721F">
      <w:pPr>
        <w:pStyle w:val="Definition-Field2"/>
      </w:pPr>
      <w:r>
        <w:t>Excel restricts the value of this attribute to be at least 1 and at most 255 characters.</w:t>
      </w:r>
    </w:p>
    <w:p w:rsidR="000A156F" w:rsidRDefault="00A9721F">
      <w:pPr>
        <w:pStyle w:val="Heading3"/>
      </w:pPr>
      <w:bookmarkStart w:id="1672" w:name="section_ad7e94cbf93d40629e7059f03c10f5cb"/>
      <w:bookmarkStart w:id="1673" w:name="_Toc181683862"/>
      <w:r>
        <w:t>Part 1 Section 18.12.2, queryTable (Query Table)</w:t>
      </w:r>
      <w:bookmarkEnd w:id="1672"/>
      <w:bookmarkEnd w:id="1673"/>
      <w:r>
        <w:fldChar w:fldCharType="begin"/>
      </w:r>
      <w:r>
        <w:instrText xml:space="preserve"> </w:instrText>
      </w:r>
      <w:r>
        <w:instrText xml:space="preserve">XE "queryTable (Query Table)"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0A156F" w:rsidRDefault="00A9721F">
      <w:pPr>
        <w:pStyle w:val="Definition-Field"/>
      </w:pPr>
      <w:r>
        <w:t xml:space="preserve">a.   </w:t>
      </w:r>
      <w:r>
        <w:rPr>
          <w:i/>
        </w:rPr>
        <w:t>The standard does not state any limitations on the value of @firstBackgroundRefresh.</w:t>
      </w:r>
    </w:p>
    <w:p w:rsidR="000A156F" w:rsidRDefault="00A9721F">
      <w:pPr>
        <w:pStyle w:val="Definition-Field2"/>
      </w:pPr>
      <w:r>
        <w:lastRenderedPageBreak/>
        <w:t>Office requires that if @firstBackgroundRefresh is true, then @backgroundRefresh shall also be true.</w:t>
      </w:r>
    </w:p>
    <w:p w:rsidR="000A156F" w:rsidRDefault="00A9721F">
      <w:pPr>
        <w:pStyle w:val="Definition-Field"/>
      </w:pPr>
      <w:r>
        <w:t xml:space="preserve">b.   </w:t>
      </w:r>
      <w:r>
        <w:rPr>
          <w:i/>
        </w:rPr>
        <w:t xml:space="preserve">The </w:t>
      </w:r>
      <w:r>
        <w:rPr>
          <w:i/>
        </w:rPr>
        <w:t>standard does not state that @name must be unique.</w:t>
      </w:r>
    </w:p>
    <w:p w:rsidR="000A156F" w:rsidRDefault="00A9721F">
      <w:pPr>
        <w:pStyle w:val="Definition-Field2"/>
      </w:pPr>
      <w:r>
        <w:t>Office requires that @name be unique.</w:t>
      </w:r>
    </w:p>
    <w:p w:rsidR="000A156F" w:rsidRDefault="00A9721F">
      <w:pPr>
        <w:pStyle w:val="Definition-Field"/>
      </w:pPr>
      <w:r>
        <w:t xml:space="preserve">c.   </w:t>
      </w:r>
      <w:r>
        <w:rPr>
          <w:i/>
        </w:rPr>
        <w:t>The standard does not state any limitations for @connectionId.</w:t>
      </w:r>
    </w:p>
    <w:p w:rsidR="000A156F" w:rsidRDefault="00A9721F">
      <w:pPr>
        <w:pStyle w:val="Definition-Field2"/>
      </w:pPr>
      <w:r>
        <w:t>Office requires @connectionId to be greater than 0 and must refer to a valid external data connecti</w:t>
      </w:r>
      <w:r>
        <w:t>on.</w:t>
      </w:r>
    </w:p>
    <w:p w:rsidR="000A156F" w:rsidRDefault="00A9721F">
      <w:pPr>
        <w:pStyle w:val="Definition-Field"/>
      </w:pPr>
      <w:r>
        <w:t xml:space="preserve">d.   </w:t>
      </w:r>
      <w:r>
        <w:rPr>
          <w:i/>
        </w:rPr>
        <w:t>The standard does not define any relationship between @name and defined names.</w:t>
      </w:r>
    </w:p>
    <w:p w:rsidR="000A156F" w:rsidRDefault="00A9721F">
      <w:pPr>
        <w:pStyle w:val="Definition-Field2"/>
      </w:pPr>
      <w:r>
        <w:t xml:space="preserve">In Office, if there is a definedName that matches this value, with any spaces within this name converted to underscores (“_”) for the purposes of this comparison, then </w:t>
      </w:r>
      <w:r>
        <w:t>that definedName indicates the range of this query table.</w:t>
      </w:r>
    </w:p>
    <w:p w:rsidR="000A156F" w:rsidRDefault="00A9721F">
      <w:pPr>
        <w:pStyle w:val="Definition-Field"/>
      </w:pPr>
      <w:r>
        <w:t xml:space="preserve">e.   </w:t>
      </w:r>
      <w:r>
        <w:rPr>
          <w:i/>
        </w:rPr>
        <w:t>The standard does not state any limitations on the value of @removeDataOnSave.</w:t>
      </w:r>
    </w:p>
    <w:p w:rsidR="000A156F" w:rsidRDefault="00A9721F">
      <w:pPr>
        <w:pStyle w:val="Definition-Field2"/>
      </w:pPr>
      <w:r>
        <w:t>Office ignores @removeDataOnSave if @refreshOnLoad is false.</w:t>
      </w:r>
    </w:p>
    <w:p w:rsidR="000A156F" w:rsidRDefault="00A9721F">
      <w:pPr>
        <w:pStyle w:val="Definition-Field"/>
      </w:pPr>
      <w:r>
        <w:t xml:space="preserve">f.   </w:t>
      </w:r>
      <w:r>
        <w:rPr>
          <w:i/>
        </w:rPr>
        <w:t xml:space="preserve">The standard does not place restrictions on the </w:t>
      </w:r>
      <w:r>
        <w:rPr>
          <w:i/>
        </w:rPr>
        <w:t>length of @name.</w:t>
      </w:r>
    </w:p>
    <w:p w:rsidR="000A156F" w:rsidRDefault="00A9721F">
      <w:pPr>
        <w:pStyle w:val="Definition-Field2"/>
      </w:pPr>
      <w:r>
        <w:t>Office requires that @name be less than 256 characters in length, and non-empty.</w:t>
      </w:r>
    </w:p>
    <w:p w:rsidR="000A156F" w:rsidRDefault="00A9721F">
      <w:pPr>
        <w:pStyle w:val="Definition-Field"/>
      </w:pPr>
      <w:r>
        <w:t xml:space="preserve">g.   </w:t>
      </w:r>
      <w:r>
        <w:rPr>
          <w:i/>
        </w:rPr>
        <w:t>The standard does not define any relationship between @name and tables.</w:t>
      </w:r>
    </w:p>
    <w:p w:rsidR="000A156F" w:rsidRDefault="00A9721F">
      <w:pPr>
        <w:pStyle w:val="Definition-Field2"/>
      </w:pPr>
      <w:r>
        <w:t>In Office, if this query table is related to a Table, then a definedName associat</w:t>
      </w:r>
      <w:r>
        <w:t>ed with this @name shall exist and shall refer to the same range the Table refers to.</w:t>
      </w:r>
    </w:p>
    <w:p w:rsidR="000A156F" w:rsidRDefault="00A9721F">
      <w:pPr>
        <w:pStyle w:val="Heading3"/>
      </w:pPr>
      <w:bookmarkStart w:id="1674" w:name="section_fef88e81fa6046b09fd98578a18088b2"/>
      <w:bookmarkStart w:id="1675" w:name="_Toc181683863"/>
      <w:r>
        <w:t>Part 1 Section 18.12.4, queryTableField (QueryTable Field)</w:t>
      </w:r>
      <w:bookmarkEnd w:id="1674"/>
      <w:bookmarkEnd w:id="1675"/>
      <w:r>
        <w:fldChar w:fldCharType="begin"/>
      </w:r>
      <w:r>
        <w:instrText xml:space="preserve"> XE "queryTableField (QueryTable Field)" </w:instrText>
      </w:r>
      <w:r>
        <w:fldChar w:fldCharType="end"/>
      </w:r>
    </w:p>
    <w:p w:rsidR="000A156F" w:rsidRDefault="00A9721F">
      <w:pPr>
        <w:pStyle w:val="Definition-Field"/>
      </w:pPr>
      <w:r>
        <w:t xml:space="preserve">a.   </w:t>
      </w:r>
      <w:r>
        <w:rPr>
          <w:i/>
        </w:rPr>
        <w:t xml:space="preserve">The standard states that the tableColumnId attribute specifies </w:t>
      </w:r>
      <w:r>
        <w:rPr>
          <w:i/>
        </w:rPr>
        <w:t>the unique identifier for the table column if the query table is attached to a table object rather than just a range in the sheet.</w:t>
      </w:r>
    </w:p>
    <w:p w:rsidR="000A156F" w:rsidRDefault="00A9721F">
      <w:pPr>
        <w:pStyle w:val="Definition-Field2"/>
      </w:pPr>
      <w:r>
        <w:t>In Office, the tableColumnId attribute shall be 0 if the query table is attached to a range in the sheet.</w:t>
      </w:r>
    </w:p>
    <w:p w:rsidR="000A156F" w:rsidRDefault="00A9721F">
      <w:pPr>
        <w:pStyle w:val="Definition-Field"/>
      </w:pPr>
      <w:r>
        <w:t xml:space="preserve">b.   </w:t>
      </w:r>
      <w:r>
        <w:rPr>
          <w:i/>
        </w:rPr>
        <w:t>The standard s</w:t>
      </w:r>
      <w:r>
        <w:rPr>
          <w:i/>
        </w:rPr>
        <w:t>tates the possible values for the name attribute are defined by ST_Xstring simple type.</w:t>
      </w:r>
    </w:p>
    <w:p w:rsidR="000A156F" w:rsidRDefault="00A9721F">
      <w:pPr>
        <w:pStyle w:val="Definition-Field2"/>
      </w:pPr>
      <w:r>
        <w:t>Office requires that the name attribute is a string 0-255 characters in length.</w:t>
      </w:r>
    </w:p>
    <w:p w:rsidR="000A156F" w:rsidRDefault="00A9721F">
      <w:pPr>
        <w:pStyle w:val="Definition-Field"/>
      </w:pPr>
      <w:r>
        <w:t xml:space="preserve">c.   </w:t>
      </w:r>
      <w:r>
        <w:rPr>
          <w:i/>
        </w:rPr>
        <w:t>The standard states no restrictions on value of the clipped attribute are stated.</w:t>
      </w:r>
    </w:p>
    <w:p w:rsidR="000A156F" w:rsidRDefault="00A9721F">
      <w:pPr>
        <w:pStyle w:val="Definition-Field2"/>
      </w:pPr>
      <w:r>
        <w:t>O</w:t>
      </w:r>
      <w:r>
        <w:t>ffice requires that if the clipped attribute is true, the dataBound attribute shall also be true.</w:t>
      </w:r>
    </w:p>
    <w:p w:rsidR="000A156F" w:rsidRDefault="00A9721F">
      <w:pPr>
        <w:pStyle w:val="Definition-Field"/>
      </w:pPr>
      <w:r>
        <w:t xml:space="preserve">d.   </w:t>
      </w:r>
      <w:r>
        <w:rPr>
          <w:i/>
        </w:rPr>
        <w:t>The standard states no limitations on @fillFormulas.</w:t>
      </w:r>
    </w:p>
    <w:p w:rsidR="000A156F" w:rsidRDefault="00A9721F">
      <w:pPr>
        <w:pStyle w:val="Definition-Field2"/>
      </w:pPr>
      <w:r>
        <w:t>Office requires that is @fillFormulas is true, @dataBound shall also be false.</w:t>
      </w:r>
    </w:p>
    <w:p w:rsidR="000A156F" w:rsidRDefault="00A9721F">
      <w:pPr>
        <w:pStyle w:val="Definition-Field"/>
      </w:pPr>
      <w:r>
        <w:t xml:space="preserve">e.   </w:t>
      </w:r>
      <w:r>
        <w:rPr>
          <w:i/>
        </w:rPr>
        <w:t>The standard sta</w:t>
      </w:r>
      <w:r>
        <w:rPr>
          <w:i/>
        </w:rPr>
        <w:t>tes no limitations on @rowNumbers.</w:t>
      </w:r>
    </w:p>
    <w:p w:rsidR="000A156F" w:rsidRDefault="00A9721F">
      <w:pPr>
        <w:pStyle w:val="Definition-Field2"/>
      </w:pPr>
      <w:r>
        <w:t>Office requires that if @rowNumbers is true, @dataBound shall also be true.</w:t>
      </w:r>
    </w:p>
    <w:p w:rsidR="000A156F" w:rsidRDefault="00A9721F">
      <w:pPr>
        <w:pStyle w:val="Heading3"/>
      </w:pPr>
      <w:bookmarkStart w:id="1676" w:name="section_cd1089f6b04b458f8077489b116b61ba"/>
      <w:bookmarkStart w:id="1677" w:name="_Toc181683864"/>
      <w:r>
        <w:t>Part 1 Section 18.12.6, queryTableRefresh (QueryTable Refresh Information)</w:t>
      </w:r>
      <w:bookmarkEnd w:id="1676"/>
      <w:bookmarkEnd w:id="1677"/>
      <w:r>
        <w:fldChar w:fldCharType="begin"/>
      </w:r>
      <w:r>
        <w:instrText xml:space="preserve"> XE "queryTableRefresh (QueryTable Refresh Information)" </w:instrText>
      </w:r>
      <w:r>
        <w:fldChar w:fldCharType="end"/>
      </w:r>
    </w:p>
    <w:p w:rsidR="000A156F" w:rsidRDefault="00A9721F">
      <w:pPr>
        <w:pStyle w:val="Definition-Field"/>
      </w:pPr>
      <w:r>
        <w:t xml:space="preserve">a.   </w:t>
      </w:r>
      <w:r>
        <w:rPr>
          <w:i/>
        </w:rPr>
        <w:t>The st</w:t>
      </w:r>
      <w:r>
        <w:rPr>
          <w:i/>
        </w:rPr>
        <w:t>andard does not restrict @unboundColumnsLeft.</w:t>
      </w:r>
    </w:p>
    <w:p w:rsidR="000A156F" w:rsidRDefault="00A9721F">
      <w:pPr>
        <w:pStyle w:val="Definition-Field2"/>
      </w:pPr>
      <w:r>
        <w:lastRenderedPageBreak/>
        <w:t>Office requires that @unboundColumnsLeft shall be less than 16384.</w:t>
      </w:r>
    </w:p>
    <w:p w:rsidR="000A156F" w:rsidRDefault="00A9721F">
      <w:pPr>
        <w:pStyle w:val="Definition-Field"/>
      </w:pPr>
      <w:r>
        <w:t xml:space="preserve">b.   </w:t>
      </w:r>
      <w:r>
        <w:rPr>
          <w:i/>
        </w:rPr>
        <w:t>The standard does not restrict @unboundColumnsRight.</w:t>
      </w:r>
    </w:p>
    <w:p w:rsidR="000A156F" w:rsidRDefault="00A9721F">
      <w:pPr>
        <w:pStyle w:val="Definition-Field2"/>
      </w:pPr>
      <w:r>
        <w:t>Office requires that @unboundColumnsRight shall be less than 16384.</w:t>
      </w:r>
    </w:p>
    <w:p w:rsidR="000A156F" w:rsidRDefault="00A9721F">
      <w:pPr>
        <w:pStyle w:val="Definition-Field"/>
      </w:pPr>
      <w:r>
        <w:t xml:space="preserve">c.   </w:t>
      </w:r>
      <w:r>
        <w:rPr>
          <w:i/>
        </w:rPr>
        <w:t>The standard</w:t>
      </w:r>
      <w:r>
        <w:rPr>
          <w:i/>
        </w:rPr>
        <w:t xml:space="preserve"> states that the possible values for @nextId are defined by the XML Schema unsignedInt datatype.</w:t>
      </w:r>
    </w:p>
    <w:p w:rsidR="000A156F" w:rsidRDefault="00A9721F">
      <w:pPr>
        <w:pStyle w:val="Definition-Field2"/>
      </w:pPr>
      <w:r>
        <w:t>Office has an additional restriction on @nextId requiring that the maximum value cannot be larger than 65535.</w:t>
      </w:r>
    </w:p>
    <w:p w:rsidR="000A156F" w:rsidRDefault="00A9721F">
      <w:pPr>
        <w:pStyle w:val="Definition-Field"/>
      </w:pPr>
      <w:r>
        <w:t xml:space="preserve">d.   </w:t>
      </w:r>
      <w:r>
        <w:rPr>
          <w:i/>
        </w:rPr>
        <w:t xml:space="preserve">The standard states that @fieldWrappedId </w:t>
      </w:r>
      <w:r>
        <w:rPr>
          <w:i/>
        </w:rPr>
        <w:t>indicates whether @nextId wrapped around.</w:t>
      </w:r>
    </w:p>
    <w:p w:rsidR="000A156F" w:rsidRDefault="00A9721F">
      <w:pPr>
        <w:pStyle w:val="Definition-Field2"/>
      </w:pPr>
      <w:r>
        <w:t>Office requires that if @fieldWrappedId is false, then all id values on the queryTableField elements within the queryTableFields collection will be less than @nextId.</w:t>
      </w:r>
    </w:p>
    <w:p w:rsidR="000A156F" w:rsidRDefault="00A9721F">
      <w:pPr>
        <w:pStyle w:val="Definition-Field"/>
      </w:pPr>
      <w:r>
        <w:t xml:space="preserve">e.   </w:t>
      </w:r>
      <w:r>
        <w:rPr>
          <w:i/>
        </w:rPr>
        <w:t>The standard does not state any restrictio</w:t>
      </w:r>
      <w:r>
        <w:rPr>
          <w:i/>
        </w:rPr>
        <w:t>ns on the value of @minimumVersion.</w:t>
      </w:r>
    </w:p>
    <w:p w:rsidR="000A156F" w:rsidRDefault="00A9721F">
      <w:pPr>
        <w:pStyle w:val="Definition-Field2"/>
      </w:pPr>
      <w:r>
        <w:t>Office requires @minimumVersion be 0-31 inclusive.</w:t>
      </w:r>
    </w:p>
    <w:p w:rsidR="000A156F" w:rsidRDefault="00A9721F">
      <w:pPr>
        <w:pStyle w:val="Heading3"/>
      </w:pPr>
      <w:bookmarkStart w:id="1678" w:name="section_248127ad505d4b14839ca425b8821352"/>
      <w:bookmarkStart w:id="1679" w:name="_Toc181683865"/>
      <w:r>
        <w:t>Part 1 Section 18.13.1, connection (Connection)</w:t>
      </w:r>
      <w:bookmarkEnd w:id="1678"/>
      <w:bookmarkEnd w:id="1679"/>
      <w:r>
        <w:fldChar w:fldCharType="begin"/>
      </w:r>
      <w:r>
        <w:instrText xml:space="preserve"> XE "connection (Connection)" </w:instrText>
      </w:r>
      <w:r>
        <w:fldChar w:fldCharType="end"/>
      </w:r>
    </w:p>
    <w:p w:rsidR="000A156F" w:rsidRDefault="00A9721F">
      <w:pPr>
        <w:pStyle w:val="Definition-Field"/>
      </w:pPr>
      <w:r>
        <w:t xml:space="preserve">a.   </w:t>
      </w:r>
      <w:r>
        <w:rPr>
          <w:i/>
        </w:rPr>
        <w:t>The standard states that when @interval is not present, the connection is not automa</w:t>
      </w:r>
      <w:r>
        <w:rPr>
          <w:i/>
        </w:rPr>
        <w:t>tically refreshed.</w:t>
      </w:r>
    </w:p>
    <w:p w:rsidR="000A156F" w:rsidRDefault="00A9721F">
      <w:pPr>
        <w:pStyle w:val="Definition-Field2"/>
      </w:pPr>
      <w:r>
        <w:t>In Office, @interval = 0 also indicates the connection is not automatically refreshed.</w:t>
      </w:r>
    </w:p>
    <w:p w:rsidR="000A156F" w:rsidRDefault="00A9721F">
      <w:pPr>
        <w:pStyle w:val="Definition-Field"/>
      </w:pPr>
      <w:r>
        <w:t xml:space="preserve">b.   </w:t>
      </w:r>
      <w:r>
        <w:rPr>
          <w:i/>
        </w:rPr>
        <w:t>The standard states that the values of the interval attribute are defined by the XML Schema unsignedInt datatype.</w:t>
      </w:r>
    </w:p>
    <w:p w:rsidR="000A156F" w:rsidRDefault="00A9721F">
      <w:pPr>
        <w:pStyle w:val="Definition-Field2"/>
      </w:pPr>
      <w:r>
        <w:t>Excel restricts the value of th</w:t>
      </w:r>
      <w:r>
        <w:t>is attribute to be at most 32767.</w:t>
      </w:r>
    </w:p>
    <w:p w:rsidR="000A156F" w:rsidRDefault="00A9721F">
      <w:pPr>
        <w:pStyle w:val="Definition-Field"/>
      </w:pPr>
      <w:r>
        <w:t xml:space="preserve">c.   </w:t>
      </w:r>
      <w:r>
        <w:rPr>
          <w:i/>
        </w:rPr>
        <w:t>The standard does not limit the length of the value of the name attribute.</w:t>
      </w:r>
    </w:p>
    <w:p w:rsidR="000A156F" w:rsidRDefault="00A9721F">
      <w:pPr>
        <w:pStyle w:val="Definition-Field2"/>
      </w:pPr>
      <w:r>
        <w:t>Excel restricts the value of this attribute to be at least 1 and at most 255 characters.</w:t>
      </w:r>
    </w:p>
    <w:p w:rsidR="000A156F" w:rsidRDefault="00A9721F">
      <w:pPr>
        <w:pStyle w:val="Definition-Field"/>
      </w:pPr>
      <w:r>
        <w:t xml:space="preserve">d.   </w:t>
      </w:r>
      <w:r>
        <w:rPr>
          <w:i/>
        </w:rPr>
        <w:t>The standard states that the name attribute is o</w:t>
      </w:r>
      <w:r>
        <w:rPr>
          <w:i/>
        </w:rPr>
        <w:t>ptional.</w:t>
      </w:r>
    </w:p>
    <w:p w:rsidR="000A156F" w:rsidRDefault="00A9721F">
      <w:pPr>
        <w:pStyle w:val="Definition-Field2"/>
      </w:pPr>
      <w:r>
        <w:t>Excel requires this attribute.</w:t>
      </w:r>
    </w:p>
    <w:p w:rsidR="000A156F" w:rsidRDefault="00A9721F">
      <w:pPr>
        <w:pStyle w:val="Definition-Field"/>
      </w:pPr>
      <w:r>
        <w:t xml:space="preserve">e.   </w:t>
      </w:r>
      <w:r>
        <w:rPr>
          <w:i/>
        </w:rPr>
        <w:t>The standard defines values for @type through 8, with 8 being DSP.</w:t>
      </w:r>
    </w:p>
    <w:p w:rsidR="000A156F" w:rsidRDefault="00A9721F">
      <w:pPr>
        <w:pStyle w:val="Definition-Field2"/>
      </w:pPr>
      <w:r>
        <w:t>Office assumes that there are 9 possible values, and that values 8 and 9 are unused/reserved.</w:t>
      </w:r>
    </w:p>
    <w:p w:rsidR="000A156F" w:rsidRDefault="00A9721F">
      <w:pPr>
        <w:pStyle w:val="Definition-Field"/>
      </w:pPr>
      <w:r>
        <w:t xml:space="preserve">f.   </w:t>
      </w:r>
      <w:r>
        <w:rPr>
          <w:i/>
        </w:rPr>
        <w:t>The standard does not limit the length of the</w:t>
      </w:r>
      <w:r>
        <w:rPr>
          <w:i/>
        </w:rPr>
        <w:t xml:space="preserve"> value of the description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g.   </w:t>
      </w:r>
      <w:r>
        <w:rPr>
          <w:i/>
        </w:rPr>
        <w:t>The standard does not limit the length of the value of the singleSignOnId attribute.</w:t>
      </w:r>
    </w:p>
    <w:p w:rsidR="000A156F" w:rsidRDefault="00A9721F">
      <w:pPr>
        <w:pStyle w:val="Definition-Field2"/>
      </w:pPr>
      <w:r>
        <w:t>Excel restricts the value of this attribute to be at mo</w:t>
      </w:r>
      <w:r>
        <w:t>st 255 characters.</w:t>
      </w:r>
    </w:p>
    <w:p w:rsidR="000A156F" w:rsidRDefault="00A9721F">
      <w:pPr>
        <w:pStyle w:val="Definition-Field"/>
      </w:pPr>
      <w:r>
        <w:t xml:space="preserve">h.   </w:t>
      </w:r>
      <w:r>
        <w:rPr>
          <w:i/>
        </w:rPr>
        <w:t>The standard does not limit the length of the value of the odcFile attribute.</w:t>
      </w:r>
    </w:p>
    <w:p w:rsidR="000A156F" w:rsidRDefault="00A9721F">
      <w:pPr>
        <w:pStyle w:val="Definition-Field2"/>
      </w:pPr>
      <w:r>
        <w:t>Excel restricts the value of this attribute to be at most 255 characters.</w:t>
      </w:r>
    </w:p>
    <w:p w:rsidR="000A156F" w:rsidRDefault="00A9721F">
      <w:pPr>
        <w:pStyle w:val="Definition-Field"/>
      </w:pPr>
      <w:r>
        <w:t xml:space="preserve">i.   </w:t>
      </w:r>
      <w:r>
        <w:rPr>
          <w:i/>
        </w:rPr>
        <w:t>The standard does not limit the length of the value of the sourceFile attri</w:t>
      </w:r>
      <w:r>
        <w:rPr>
          <w:i/>
        </w:rPr>
        <w:t>bute.</w:t>
      </w:r>
    </w:p>
    <w:p w:rsidR="000A156F" w:rsidRDefault="00A9721F">
      <w:pPr>
        <w:pStyle w:val="Definition-Field2"/>
      </w:pPr>
      <w:r>
        <w:t>Excel restricts the value of this attribute to be at most 255 characters.</w:t>
      </w:r>
    </w:p>
    <w:p w:rsidR="000A156F" w:rsidRDefault="00A9721F">
      <w:pPr>
        <w:pStyle w:val="Definition-Field"/>
      </w:pPr>
      <w:r>
        <w:t xml:space="preserve">j.   </w:t>
      </w:r>
      <w:r>
        <w:rPr>
          <w:i/>
        </w:rPr>
        <w:t>The standard states that the type attribute is optional.</w:t>
      </w:r>
    </w:p>
    <w:p w:rsidR="000A156F" w:rsidRDefault="00A9721F">
      <w:pPr>
        <w:pStyle w:val="Definition-Field2"/>
      </w:pPr>
      <w:r>
        <w:lastRenderedPageBreak/>
        <w:t>Excel requires this attribute.</w:t>
      </w:r>
    </w:p>
    <w:p w:rsidR="000A156F" w:rsidRDefault="00A9721F">
      <w:pPr>
        <w:pStyle w:val="Definition-Field"/>
      </w:pPr>
      <w:r>
        <w:t xml:space="preserve">k.   </w:t>
      </w:r>
      <w:r>
        <w:rPr>
          <w:i/>
        </w:rPr>
        <w:t>The standard states that @reconnectionMethod specifies what the spreadsheet ap</w:t>
      </w:r>
      <w:r>
        <w:rPr>
          <w:i/>
        </w:rPr>
        <w:t>plication should do when a connection fails.</w:t>
      </w:r>
    </w:p>
    <w:p w:rsidR="000A156F" w:rsidRDefault="00A9721F">
      <w:pPr>
        <w:pStyle w:val="Definition-Field2"/>
      </w:pPr>
      <w:r>
        <w:t>In Office, @reconnectionMethod is ignored if @onlyUseConnectionFile is set to true.</w:t>
      </w:r>
    </w:p>
    <w:p w:rsidR="000A156F" w:rsidRDefault="00A9721F">
      <w:pPr>
        <w:pStyle w:val="Definition-Field"/>
      </w:pPr>
      <w:r>
        <w:t xml:space="preserve">l.   </w:t>
      </w:r>
      <w:r>
        <w:rPr>
          <w:i/>
        </w:rPr>
        <w:t>The standard states that @refreshedVersion applies to connections that are used by a query table.</w:t>
      </w:r>
    </w:p>
    <w:p w:rsidR="000A156F" w:rsidRDefault="00A9721F">
      <w:pPr>
        <w:pStyle w:val="Definition-Field2"/>
      </w:pPr>
      <w:r>
        <w:t xml:space="preserve">In Office, </w:t>
      </w:r>
      <w:r>
        <w:t>@refreshedVersion is used by both pivot caches and query tables.</w:t>
      </w:r>
    </w:p>
    <w:p w:rsidR="000A156F" w:rsidRDefault="00A9721F">
      <w:pPr>
        <w:pStyle w:val="Definition-Field"/>
      </w:pPr>
      <w:r>
        <w:t xml:space="preserve">m.   </w:t>
      </w:r>
      <w:r>
        <w:rPr>
          <w:i/>
        </w:rPr>
        <w:t>The standard states that @minRefreshableVersion applies to connections that are used by a QueryTable.</w:t>
      </w:r>
    </w:p>
    <w:p w:rsidR="000A156F" w:rsidRDefault="00A9721F">
      <w:pPr>
        <w:pStyle w:val="Definition-Field2"/>
      </w:pPr>
      <w:r>
        <w:t>In Office, @minRefreshableVersion applies to both pivot caches and query tables.</w:t>
      </w:r>
    </w:p>
    <w:p w:rsidR="000A156F" w:rsidRDefault="00A9721F">
      <w:pPr>
        <w:pStyle w:val="Definition-Field"/>
      </w:pPr>
      <w:r>
        <w:t xml:space="preserve">n. </w:t>
      </w:r>
      <w:r>
        <w:t xml:space="preserve">  </w:t>
      </w:r>
      <w:r>
        <w:rPr>
          <w:i/>
        </w:rPr>
        <w:t>The standard does not place restrictions on when the saveData attribute is used.</w:t>
      </w:r>
    </w:p>
    <w:p w:rsidR="000A156F" w:rsidRDefault="00A9721F">
      <w:pPr>
        <w:pStyle w:val="Definition-Field2"/>
      </w:pPr>
      <w:r>
        <w:t>Office only uses the saveData attribute for query tables. It is ignored for PivotTables. When the saveData attribute is false, the refreshFileOnLoad attribute must be true.</w:t>
      </w:r>
    </w:p>
    <w:p w:rsidR="000A156F" w:rsidRDefault="00A9721F">
      <w:pPr>
        <w:pStyle w:val="Definition-Field"/>
      </w:pPr>
      <w:r>
        <w:t xml:space="preserve">o.   </w:t>
      </w:r>
      <w:r>
        <w:rPr>
          <w:i/>
        </w:rPr>
        <w:t>The standard states that @type=3 denotes a file based database source.</w:t>
      </w:r>
    </w:p>
    <w:p w:rsidR="000A156F" w:rsidRDefault="00A9721F">
      <w:pPr>
        <w:pStyle w:val="Definition-Field2"/>
      </w:pPr>
      <w:r>
        <w:t>Office does not use the value 3 for @type.</w:t>
      </w:r>
    </w:p>
    <w:p w:rsidR="000A156F" w:rsidRDefault="00A9721F">
      <w:pPr>
        <w:pStyle w:val="Heading3"/>
      </w:pPr>
      <w:bookmarkStart w:id="1680" w:name="section_200d01b9e9474e61a6551aae98327daa"/>
      <w:bookmarkStart w:id="1681" w:name="_Toc181683866"/>
      <w:r>
        <w:t>Part 1 Section 18.13.3, dbPr (Database Properties)</w:t>
      </w:r>
      <w:bookmarkEnd w:id="1680"/>
      <w:bookmarkEnd w:id="1681"/>
      <w:r>
        <w:fldChar w:fldCharType="begin"/>
      </w:r>
      <w:r>
        <w:instrText xml:space="preserve"> XE "dbPr (Database Properties)" </w:instrText>
      </w:r>
      <w:r>
        <w:fldChar w:fldCharType="end"/>
      </w:r>
    </w:p>
    <w:p w:rsidR="000A156F" w:rsidRDefault="00A9721F">
      <w:pPr>
        <w:pStyle w:val="Definition-Field"/>
      </w:pPr>
      <w:r>
        <w:t xml:space="preserve">a.   </w:t>
      </w:r>
      <w:r>
        <w:rPr>
          <w:i/>
        </w:rPr>
        <w:t xml:space="preserve">The standard does not limit the length of the </w:t>
      </w:r>
      <w:r>
        <w:rPr>
          <w:i/>
        </w:rPr>
        <w:t>value of the connection attribute.</w:t>
      </w:r>
    </w:p>
    <w:p w:rsidR="000A156F" w:rsidRDefault="00A9721F">
      <w:pPr>
        <w:pStyle w:val="Definition-Field2"/>
      </w:pPr>
      <w:r>
        <w:t>Excel restricts the value of this attribute to be at most 65535 characters.</w:t>
      </w:r>
    </w:p>
    <w:p w:rsidR="000A156F" w:rsidRDefault="00A9721F">
      <w:pPr>
        <w:pStyle w:val="Heading3"/>
      </w:pPr>
      <w:bookmarkStart w:id="1682" w:name="section_8ad37bc593b249a6bfdc6dd280f6ace9"/>
      <w:bookmarkStart w:id="1683" w:name="_Toc181683867"/>
      <w:r>
        <w:t>Part 1 Section 18.13.5, olapPr (OLAP Properties)</w:t>
      </w:r>
      <w:bookmarkEnd w:id="1682"/>
      <w:bookmarkEnd w:id="1683"/>
      <w:r>
        <w:fldChar w:fldCharType="begin"/>
      </w:r>
      <w:r>
        <w:instrText xml:space="preserve"> XE "olapPr (OLAP Properties)" </w:instrText>
      </w:r>
      <w:r>
        <w:fldChar w:fldCharType="end"/>
      </w:r>
    </w:p>
    <w:p w:rsidR="000A156F" w:rsidRDefault="00A9721F">
      <w:pPr>
        <w:pStyle w:val="Definition-Field"/>
      </w:pPr>
      <w:r>
        <w:t xml:space="preserve">a.   </w:t>
      </w:r>
      <w:r>
        <w:rPr>
          <w:i/>
        </w:rPr>
        <w:t xml:space="preserve">The standard states that the localConnection attribute is </w:t>
      </w:r>
      <w:r>
        <w:rPr>
          <w:i/>
        </w:rPr>
        <w:t>used when the local attribute is set to true.</w:t>
      </w:r>
    </w:p>
    <w:p w:rsidR="000A156F" w:rsidRDefault="00A9721F">
      <w:pPr>
        <w:pStyle w:val="Definition-Field2"/>
      </w:pPr>
      <w:r>
        <w:t>Office requires the localConnection attribute if the local attribute equals true.</w:t>
      </w:r>
    </w:p>
    <w:p w:rsidR="000A156F" w:rsidRDefault="00A9721F">
      <w:pPr>
        <w:pStyle w:val="Definition-Field"/>
      </w:pPr>
      <w:r>
        <w:t xml:space="preserve">b.   </w:t>
      </w:r>
      <w:r>
        <w:rPr>
          <w:i/>
        </w:rPr>
        <w:t>The standard does not place restrictions on the value of @rowDrillCount.</w:t>
      </w:r>
    </w:p>
    <w:p w:rsidR="000A156F" w:rsidRDefault="00A9721F">
      <w:pPr>
        <w:pStyle w:val="Definition-Field2"/>
      </w:pPr>
      <w:r>
        <w:t>Office limits the value of @rowDrillCount to 1 thr</w:t>
      </w:r>
      <w:r>
        <w:t>ough 1048576 inclusive.</w:t>
      </w:r>
    </w:p>
    <w:p w:rsidR="000A156F" w:rsidRDefault="00A9721F">
      <w:pPr>
        <w:pStyle w:val="Heading3"/>
      </w:pPr>
      <w:bookmarkStart w:id="1684" w:name="section_26f1dd202d7b429fa0694235248a851a"/>
      <w:bookmarkStart w:id="1685" w:name="_Toc181683868"/>
      <w:r>
        <w:t>Part 1 Section 18.13.6, parameter (Parameter Properties)</w:t>
      </w:r>
      <w:bookmarkEnd w:id="1684"/>
      <w:bookmarkEnd w:id="1685"/>
      <w:r>
        <w:fldChar w:fldCharType="begin"/>
      </w:r>
      <w:r>
        <w:instrText xml:space="preserve"> XE "parameter (Parameter Properties)" </w:instrText>
      </w:r>
      <w:r>
        <w:fldChar w:fldCharType="end"/>
      </w:r>
    </w:p>
    <w:p w:rsidR="000A156F" w:rsidRDefault="00A9721F">
      <w:pPr>
        <w:pStyle w:val="Definition-Field"/>
      </w:pPr>
      <w:r>
        <w:t xml:space="preserve">a.   </w:t>
      </w:r>
      <w:r>
        <w:rPr>
          <w:i/>
        </w:rPr>
        <w:t>The standard states that @cell is restricted to be of type ST_Xstring.</w:t>
      </w:r>
    </w:p>
    <w:p w:rsidR="000A156F" w:rsidRDefault="00A9721F">
      <w:pPr>
        <w:pStyle w:val="Definition-Field2"/>
      </w:pPr>
      <w:r>
        <w:t>Office requires that @cell be restricted to be of type ST_</w:t>
      </w:r>
      <w:r>
        <w:t>Formula and not be empty.</w:t>
      </w:r>
    </w:p>
    <w:p w:rsidR="000A156F" w:rsidRDefault="00A9721F">
      <w:pPr>
        <w:pStyle w:val="Definition-Field"/>
      </w:pPr>
      <w:r>
        <w:t xml:space="preserve">b.   </w:t>
      </w:r>
      <w:r>
        <w:rPr>
          <w:i/>
        </w:rPr>
        <w:t>The standard does not place any restrictions on the length of the value for @name.</w:t>
      </w:r>
    </w:p>
    <w:p w:rsidR="000A156F" w:rsidRDefault="00A9721F">
      <w:pPr>
        <w:pStyle w:val="Definition-Field2"/>
      </w:pPr>
      <w:r>
        <w:t>Office requires that @name be less or equal to 255 characters in length.</w:t>
      </w:r>
    </w:p>
    <w:p w:rsidR="000A156F" w:rsidRDefault="00A9721F">
      <w:pPr>
        <w:pStyle w:val="Definition-Field"/>
      </w:pPr>
      <w:r>
        <w:t xml:space="preserve">c.   </w:t>
      </w:r>
      <w:r>
        <w:rPr>
          <w:i/>
        </w:rPr>
        <w:t>The standard does not place any length restrictions on @string.</w:t>
      </w:r>
    </w:p>
    <w:p w:rsidR="000A156F" w:rsidRDefault="00A9721F">
      <w:pPr>
        <w:pStyle w:val="Definition-Field2"/>
      </w:pPr>
      <w:r>
        <w:t>Office limits @string length to 255 characters.</w:t>
      </w:r>
    </w:p>
    <w:p w:rsidR="000A156F" w:rsidRDefault="00A9721F">
      <w:pPr>
        <w:pStyle w:val="Definition-Field"/>
      </w:pPr>
      <w:r>
        <w:t xml:space="preserve">d.   </w:t>
      </w:r>
      <w:r>
        <w:rPr>
          <w:i/>
        </w:rPr>
        <w:t>In the standard, there is no relation between the cell attribute and the parameterType attribute .</w:t>
      </w:r>
    </w:p>
    <w:p w:rsidR="000A156F" w:rsidRDefault="00A9721F">
      <w:pPr>
        <w:pStyle w:val="Definition-Field2"/>
      </w:pPr>
      <w:r>
        <w:t>Office requires that the cell attribute be specified when the parameterType attribute equals cell.</w:t>
      </w:r>
    </w:p>
    <w:p w:rsidR="000A156F" w:rsidRDefault="00A9721F">
      <w:pPr>
        <w:pStyle w:val="Definition-Field"/>
      </w:pPr>
      <w:r>
        <w:lastRenderedPageBreak/>
        <w:t xml:space="preserve">e.   </w:t>
      </w:r>
      <w:r>
        <w:rPr>
          <w:i/>
        </w:rPr>
        <w:t>The standard does not place any restrictions on the length of the value for @prompt.</w:t>
      </w:r>
    </w:p>
    <w:p w:rsidR="000A156F" w:rsidRDefault="00A9721F">
      <w:pPr>
        <w:pStyle w:val="Definition-Field2"/>
      </w:pPr>
      <w:r>
        <w:t>Office specifies @prompt length limit to be 65535.</w:t>
      </w:r>
    </w:p>
    <w:p w:rsidR="000A156F" w:rsidRDefault="00A9721F">
      <w:pPr>
        <w:pStyle w:val="Heading3"/>
      </w:pPr>
      <w:bookmarkStart w:id="1686" w:name="section_a88f22503afe4d50bec546158f10b928"/>
      <w:bookmarkStart w:id="1687" w:name="_Toc181683869"/>
      <w:r>
        <w:t>Part 1 Section 18.13.8, s (Character Value)</w:t>
      </w:r>
      <w:bookmarkEnd w:id="1686"/>
      <w:bookmarkEnd w:id="1687"/>
      <w:r>
        <w:fldChar w:fldCharType="begin"/>
      </w:r>
      <w:r>
        <w:instrText xml:space="preserve"> XE "s (Character Value)" </w:instrText>
      </w:r>
      <w:r>
        <w:fldChar w:fldCharType="end"/>
      </w:r>
    </w:p>
    <w:p w:rsidR="000A156F" w:rsidRDefault="00A9721F">
      <w:pPr>
        <w:pStyle w:val="Definition-Field"/>
      </w:pPr>
      <w:r>
        <w:t xml:space="preserve">a.   </w:t>
      </w:r>
      <w:r>
        <w:rPr>
          <w:i/>
        </w:rPr>
        <w:t>The standard says this element is used to s</w:t>
      </w:r>
      <w:r>
        <w:rPr>
          <w:i/>
        </w:rPr>
        <w:t>pecify an HTML table to import by name.</w:t>
      </w:r>
    </w:p>
    <w:p w:rsidR="000A156F" w:rsidRDefault="00A9721F">
      <w:pPr>
        <w:pStyle w:val="Definition-Field2"/>
      </w:pPr>
      <w:r>
        <w:t>In Office, the element is used to specify an HTML table to import when it is a child of tables.</w:t>
      </w:r>
    </w:p>
    <w:p w:rsidR="000A156F" w:rsidRDefault="00A9721F">
      <w:pPr>
        <w:pStyle w:val="Definition-Field"/>
      </w:pPr>
      <w:r>
        <w:t xml:space="preserve">b.   </w:t>
      </w:r>
      <w:r>
        <w:rPr>
          <w:i/>
        </w:rPr>
        <w:t>The standard says @v is used as the name of the HTML table.</w:t>
      </w:r>
    </w:p>
    <w:p w:rsidR="000A156F" w:rsidRDefault="00A9721F">
      <w:pPr>
        <w:pStyle w:val="Definition-Field2"/>
      </w:pPr>
      <w:r>
        <w:t>In Office, when the element is a child of tables, @v is</w:t>
      </w:r>
      <w:r>
        <w:t xml:space="preserve"> used as the name of the HTML table. When the element is a child of metadataStrings, @v is used to hold an element in the metadata string store.</w:t>
      </w:r>
    </w:p>
    <w:p w:rsidR="000A156F" w:rsidRDefault="00A9721F">
      <w:pPr>
        <w:pStyle w:val="Definition-Field"/>
      </w:pPr>
      <w:r>
        <w:t xml:space="preserve">c.   </w:t>
      </w:r>
      <w:r>
        <w:rPr>
          <w:i/>
        </w:rPr>
        <w:t>In the standard, @v does not have a size restriction.</w:t>
      </w:r>
    </w:p>
    <w:p w:rsidR="000A156F" w:rsidRDefault="00A9721F">
      <w:pPr>
        <w:pStyle w:val="Definition-Field2"/>
      </w:pPr>
      <w:r>
        <w:t>In Office, when the element is a child of tables, @v</w:t>
      </w:r>
      <w:r>
        <w:t xml:space="preserve"> has a maximum length of 255 characters. When the element is a child of metadataStrings, @v has a maximum length of 65535 characters.</w:t>
      </w:r>
    </w:p>
    <w:p w:rsidR="000A156F" w:rsidRDefault="00A9721F">
      <w:pPr>
        <w:pStyle w:val="Heading3"/>
      </w:pPr>
      <w:bookmarkStart w:id="1688" w:name="section_6c31d0d2456342268409009fc4f47a84"/>
      <w:bookmarkStart w:id="1689" w:name="_Toc181683870"/>
      <w:r>
        <w:t>Part 1 Section 18.13.10, textField (Text Import Field Settings)</w:t>
      </w:r>
      <w:bookmarkEnd w:id="1688"/>
      <w:bookmarkEnd w:id="1689"/>
      <w:r>
        <w:fldChar w:fldCharType="begin"/>
      </w:r>
      <w:r>
        <w:instrText xml:space="preserve"> XE "textField (Text Import Field Settings)" </w:instrText>
      </w:r>
      <w:r>
        <w:fldChar w:fldCharType="end"/>
      </w:r>
    </w:p>
    <w:p w:rsidR="000A156F" w:rsidRDefault="00A9721F">
      <w:pPr>
        <w:pStyle w:val="Definition-Field"/>
      </w:pPr>
      <w:r>
        <w:t xml:space="preserve">a.   </w:t>
      </w:r>
      <w:r>
        <w:rPr>
          <w:i/>
        </w:rPr>
        <w:t>The st</w:t>
      </w:r>
      <w:r>
        <w:rPr>
          <w:i/>
        </w:rPr>
        <w:t>andard does not indicate relationships between the position attributes of textField elements of the collection.</w:t>
      </w:r>
    </w:p>
    <w:p w:rsidR="000A156F" w:rsidRDefault="00A9721F">
      <w:pPr>
        <w:pStyle w:val="Definition-Field2"/>
      </w:pPr>
      <w:r>
        <w:t>In Office, subsequent textField elements shall have position values greater than or equal to the preceding elements.</w:t>
      </w:r>
    </w:p>
    <w:p w:rsidR="000A156F" w:rsidRDefault="00A9721F">
      <w:pPr>
        <w:pStyle w:val="Definition-Field"/>
      </w:pPr>
      <w:r>
        <w:t xml:space="preserve">b.   </w:t>
      </w:r>
      <w:r>
        <w:rPr>
          <w:i/>
        </w:rPr>
        <w:t>The standard states th</w:t>
      </w:r>
      <w:r>
        <w:rPr>
          <w:i/>
        </w:rPr>
        <w:t>at the values of the position attribute are defined by the XML Schema unsignedInt datatype.</w:t>
      </w:r>
    </w:p>
    <w:p w:rsidR="000A156F" w:rsidRDefault="00A9721F">
      <w:pPr>
        <w:pStyle w:val="Definition-Field2"/>
      </w:pPr>
      <w:r>
        <w:t>In Office, the range for the position attribute is between 0 and 2147483647 inclusive.</w:t>
      </w:r>
    </w:p>
    <w:p w:rsidR="000A156F" w:rsidRDefault="00A9721F">
      <w:pPr>
        <w:pStyle w:val="Heading3"/>
      </w:pPr>
      <w:bookmarkStart w:id="1690" w:name="section_0606ff4c53254d04ab6f44bad775a1b7"/>
      <w:bookmarkStart w:id="1691" w:name="_Toc181683871"/>
      <w:r>
        <w:t>Part 1 Section 18.13.11, textFields (Fields)</w:t>
      </w:r>
      <w:bookmarkEnd w:id="1690"/>
      <w:bookmarkEnd w:id="1691"/>
      <w:r>
        <w:fldChar w:fldCharType="begin"/>
      </w:r>
      <w:r>
        <w:instrText xml:space="preserve"> XE "textFields (Fields)" </w:instrText>
      </w:r>
      <w:r>
        <w:fldChar w:fldCharType="end"/>
      </w:r>
    </w:p>
    <w:p w:rsidR="000A156F" w:rsidRDefault="00A9721F">
      <w:pPr>
        <w:pStyle w:val="Definition-Field"/>
      </w:pPr>
      <w:r>
        <w:t xml:space="preserve">a.  </w:t>
      </w:r>
      <w:r>
        <w:t xml:space="preserve"> </w:t>
      </w:r>
      <w:r>
        <w:rPr>
          <w:i/>
        </w:rPr>
        <w:t>The standard states that the maxOccurs value for the textField child element is unbounded.</w:t>
      </w:r>
    </w:p>
    <w:p w:rsidR="000A156F" w:rsidRDefault="00A9721F">
      <w:pPr>
        <w:pStyle w:val="Definition-Field2"/>
      </w:pPr>
      <w:r>
        <w:t>Office limits the occurrences of this element to 2001.</w:t>
      </w:r>
    </w:p>
    <w:p w:rsidR="000A156F" w:rsidRDefault="00A9721F">
      <w:pPr>
        <w:pStyle w:val="Heading3"/>
      </w:pPr>
      <w:bookmarkStart w:id="1692" w:name="section_338ef3303d804c38888dbd770a0659f6"/>
      <w:bookmarkStart w:id="1693" w:name="_Toc181683872"/>
      <w:r>
        <w:t>Part 1 Section 18.13.12, textPr (Text Import Settings)</w:t>
      </w:r>
      <w:bookmarkEnd w:id="1692"/>
      <w:bookmarkEnd w:id="1693"/>
      <w:r>
        <w:fldChar w:fldCharType="begin"/>
      </w:r>
      <w:r>
        <w:instrText xml:space="preserve"> XE "textPr (Text Import Settings)" </w:instrText>
      </w:r>
      <w:r>
        <w:fldChar w:fldCharType="end"/>
      </w:r>
    </w:p>
    <w:p w:rsidR="000A156F" w:rsidRDefault="00A9721F">
      <w:pPr>
        <w:pStyle w:val="Definition-Field"/>
      </w:pPr>
      <w:r>
        <w:t xml:space="preserve">a.   </w:t>
      </w:r>
      <w:r>
        <w:rPr>
          <w:i/>
        </w:rPr>
        <w:t>The standar</w:t>
      </w:r>
      <w:r>
        <w:rPr>
          <w:i/>
        </w:rPr>
        <w:t>d places no restrictions on the relationship between the delimited attribute and the comma, delimiter, semicolon, space, and tab attributes.</w:t>
      </w:r>
    </w:p>
    <w:p w:rsidR="000A156F" w:rsidRDefault="00A9721F">
      <w:pPr>
        <w:pStyle w:val="Definition-Field2"/>
      </w:pPr>
      <w:r>
        <w:t>Excel will ignore the comma, delimiter, semicolon, space, and tab attributes when the value of the delimited attrib</w:t>
      </w:r>
      <w:r>
        <w:t>ute is false.</w:t>
      </w:r>
    </w:p>
    <w:p w:rsidR="000A156F" w:rsidRDefault="00A9721F">
      <w:pPr>
        <w:pStyle w:val="Definition-Field"/>
      </w:pPr>
      <w:r>
        <w:t xml:space="preserve">b.   </w:t>
      </w:r>
      <w:r>
        <w:rPr>
          <w:i/>
        </w:rPr>
        <w:t>The standard states that the values of the firstRow attribute are defined by the XML Schema unsignedInt datatype.</w:t>
      </w:r>
    </w:p>
    <w:p w:rsidR="000A156F" w:rsidRDefault="00A9721F">
      <w:pPr>
        <w:pStyle w:val="Definition-Field2"/>
      </w:pPr>
      <w:r>
        <w:t>Excel restricts the value of this attribute to be at most 2147483647.</w:t>
      </w:r>
    </w:p>
    <w:p w:rsidR="000A156F" w:rsidRDefault="00A9721F">
      <w:pPr>
        <w:pStyle w:val="Definition-Field"/>
      </w:pPr>
      <w:r>
        <w:t xml:space="preserve">c.   </w:t>
      </w:r>
      <w:r>
        <w:rPr>
          <w:i/>
        </w:rPr>
        <w:t xml:space="preserve">The standard states that string values of the </w:t>
      </w:r>
      <w:r>
        <w:rPr>
          <w:i/>
        </w:rPr>
        <w:t>decimal attribute are expected to be one character in length.</w:t>
      </w:r>
    </w:p>
    <w:p w:rsidR="000A156F" w:rsidRDefault="00A9721F">
      <w:pPr>
        <w:pStyle w:val="Definition-Field2"/>
      </w:pPr>
      <w:r>
        <w:t>Office expects string values of the decimal attribute to be one character with an ANSI value up to 255.</w:t>
      </w:r>
    </w:p>
    <w:p w:rsidR="000A156F" w:rsidRDefault="00A9721F">
      <w:pPr>
        <w:pStyle w:val="Definition-Field"/>
      </w:pPr>
      <w:r>
        <w:lastRenderedPageBreak/>
        <w:t xml:space="preserve">d.   </w:t>
      </w:r>
      <w:r>
        <w:rPr>
          <w:i/>
        </w:rPr>
        <w:t>The standard states that strings values of the thousands attribute are expected to be</w:t>
      </w:r>
      <w:r>
        <w:rPr>
          <w:i/>
        </w:rPr>
        <w:t xml:space="preserve"> one character in length.</w:t>
      </w:r>
    </w:p>
    <w:p w:rsidR="000A156F" w:rsidRDefault="00A9721F">
      <w:pPr>
        <w:pStyle w:val="Definition-Field2"/>
      </w:pPr>
      <w:r>
        <w:t>Office expects string values of the thousands attribute to be one character with an ANSI value up to 255.</w:t>
      </w:r>
    </w:p>
    <w:p w:rsidR="000A156F" w:rsidRDefault="00A9721F">
      <w:pPr>
        <w:pStyle w:val="Definition-Field"/>
      </w:pPr>
      <w:r>
        <w:t xml:space="preserve">e.   </w:t>
      </w:r>
      <w:r>
        <w:rPr>
          <w:i/>
        </w:rPr>
        <w:t>The standard states that the minOccurs value for the textFields child element is 0.</w:t>
      </w:r>
    </w:p>
    <w:p w:rsidR="000A156F" w:rsidRDefault="00A9721F">
      <w:pPr>
        <w:pStyle w:val="Definition-Field2"/>
      </w:pPr>
      <w:r>
        <w:t>Excel requires an occurrence of thi</w:t>
      </w:r>
      <w:r>
        <w:t>s element.</w:t>
      </w:r>
    </w:p>
    <w:p w:rsidR="000A156F" w:rsidRDefault="00A9721F">
      <w:pPr>
        <w:pStyle w:val="Definition-Field"/>
      </w:pPr>
      <w:r>
        <w:t xml:space="preserve">f.   </w:t>
      </w:r>
      <w:r>
        <w:rPr>
          <w:i/>
        </w:rPr>
        <w:t>The standard does not limit the length of the value of the sourceFile attribute.</w:t>
      </w:r>
    </w:p>
    <w:p w:rsidR="000A156F" w:rsidRDefault="00A9721F">
      <w:pPr>
        <w:pStyle w:val="Definition-Field2"/>
      </w:pPr>
      <w:r>
        <w:t>Excel restricts the value of this attribute to be at least 1 and at most 218 characters.</w:t>
      </w:r>
    </w:p>
    <w:p w:rsidR="000A156F" w:rsidRDefault="00A9721F">
      <w:pPr>
        <w:pStyle w:val="Definition-Field"/>
      </w:pPr>
      <w:r>
        <w:t xml:space="preserve">g.   </w:t>
      </w:r>
      <w:r>
        <w:rPr>
          <w:i/>
        </w:rPr>
        <w:t>The standard places no restrictions on the relationship between t</w:t>
      </w:r>
      <w:r>
        <w:rPr>
          <w:i/>
        </w:rPr>
        <w:t>he prompt attribute and the sourceFile attribute.</w:t>
      </w:r>
    </w:p>
    <w:p w:rsidR="000A156F" w:rsidRDefault="00A9721F">
      <w:pPr>
        <w:pStyle w:val="Definition-Field2"/>
      </w:pPr>
      <w:r>
        <w:t>Excel requires the sourceFile attribute when the value of the prompt attribute is false.</w:t>
      </w:r>
    </w:p>
    <w:p w:rsidR="000A156F" w:rsidRDefault="00A9721F">
      <w:pPr>
        <w:pStyle w:val="Definition-Field"/>
      </w:pPr>
      <w:r>
        <w:t xml:space="preserve">h.   </w:t>
      </w:r>
      <w:r>
        <w:rPr>
          <w:i/>
        </w:rPr>
        <w:t xml:space="preserve">The standard states that when both system and text file decimal separator is set to "," and thousands separator </w:t>
      </w:r>
      <w:r>
        <w:rPr>
          <w:i/>
        </w:rPr>
        <w:t>to period, 123,123.45 is imported as 123,123.45 (numeric).</w:t>
      </w:r>
    </w:p>
    <w:p w:rsidR="000A156F" w:rsidRDefault="00A9721F">
      <w:pPr>
        <w:pStyle w:val="Definition-Field2"/>
      </w:pPr>
      <w:r>
        <w:t>Office imports the value as text in this case.</w:t>
      </w:r>
    </w:p>
    <w:p w:rsidR="000A156F" w:rsidRDefault="00A9721F">
      <w:pPr>
        <w:pStyle w:val="Definition-Field"/>
      </w:pPr>
      <w:r>
        <w:t xml:space="preserve">i.   </w:t>
      </w:r>
      <w:r>
        <w:rPr>
          <w:i/>
        </w:rPr>
        <w:t>The standard states that the default value of the sourceFile attribute is the empty string.</w:t>
      </w:r>
    </w:p>
    <w:p w:rsidR="000A156F" w:rsidRDefault="00A9721F">
      <w:pPr>
        <w:pStyle w:val="Definition-Field2"/>
      </w:pPr>
      <w:r>
        <w:t xml:space="preserve">Excel does not use a default value for this </w:t>
      </w:r>
      <w:r>
        <w:t>attribute.</w:t>
      </w:r>
    </w:p>
    <w:p w:rsidR="000A156F" w:rsidRDefault="00A9721F">
      <w:pPr>
        <w:pStyle w:val="Definition-Field"/>
      </w:pPr>
      <w:r>
        <w:t xml:space="preserve">j.   </w:t>
      </w:r>
      <w:r>
        <w:rPr>
          <w:i/>
        </w:rPr>
        <w:t>The standard states that characterSet is a valid attribute, and that when it is present, codePage should be ignored.</w:t>
      </w:r>
    </w:p>
    <w:p w:rsidR="000A156F" w:rsidRDefault="00A9721F">
      <w:pPr>
        <w:pStyle w:val="Definition-Field2"/>
      </w:pPr>
      <w:r>
        <w:t>Office ignores the characterSet attribute if it is present, and does not ignore the codePage attribute if characterSet is p</w:t>
      </w:r>
      <w:r>
        <w:t>resent.</w:t>
      </w:r>
    </w:p>
    <w:p w:rsidR="000A156F" w:rsidRDefault="00A9721F">
      <w:pPr>
        <w:pStyle w:val="Definition-Field2"/>
      </w:pPr>
      <w:r>
        <w:t>This note applies to the following products: Office 2010, Office 2010 Server, Office 2010 SP1.</w:t>
      </w:r>
    </w:p>
    <w:p w:rsidR="000A156F" w:rsidRDefault="00A9721F">
      <w:pPr>
        <w:pStyle w:val="Heading3"/>
      </w:pPr>
      <w:bookmarkStart w:id="1694" w:name="section_80e7f5389522414bbb21b06f6fa50e8c"/>
      <w:bookmarkStart w:id="1695" w:name="_Toc181683873"/>
      <w:r>
        <w:t>Part 1 Section 18.13.13, webPr (Web Query Properties)</w:t>
      </w:r>
      <w:bookmarkEnd w:id="1694"/>
      <w:bookmarkEnd w:id="1695"/>
      <w:r>
        <w:fldChar w:fldCharType="begin"/>
      </w:r>
      <w:r>
        <w:instrText xml:space="preserve"> XE "webPr (Web Query Properties)" </w:instrText>
      </w:r>
      <w:r>
        <w:fldChar w:fldCharType="end"/>
      </w:r>
    </w:p>
    <w:p w:rsidR="000A156F" w:rsidRDefault="00A9721F">
      <w:pPr>
        <w:pStyle w:val="Definition-Field"/>
      </w:pPr>
      <w:r>
        <w:t xml:space="preserve">a.   </w:t>
      </w:r>
      <w:r>
        <w:rPr>
          <w:i/>
        </w:rPr>
        <w:t>The standard describes @sourceData as a flag indicating i</w:t>
      </w:r>
      <w:r>
        <w:rPr>
          <w:i/>
        </w:rPr>
        <w:t>f XML source data should be imported instead of HTML.</w:t>
      </w:r>
    </w:p>
    <w:p w:rsidR="000A156F" w:rsidRDefault="00A9721F">
      <w:pPr>
        <w:pStyle w:val="Definition-Field2"/>
      </w:pPr>
      <w:r>
        <w:t>Office specifies that the XML source shall be from the URL specified by WebQuerySourceHRef in the HTML.</w:t>
      </w:r>
    </w:p>
    <w:p w:rsidR="000A156F" w:rsidRDefault="00A9721F">
      <w:pPr>
        <w:pStyle w:val="Definition-Field"/>
      </w:pPr>
      <w:r>
        <w:t xml:space="preserve">b.   </w:t>
      </w:r>
      <w:r>
        <w:rPr>
          <w:i/>
        </w:rPr>
        <w:t>The standard states that @url may be an empty string.</w:t>
      </w:r>
    </w:p>
    <w:p w:rsidR="000A156F" w:rsidRDefault="00A9721F">
      <w:pPr>
        <w:pStyle w:val="Definition-Field2"/>
      </w:pPr>
      <w:r>
        <w:t>In Office @url cannot be an empty strin</w:t>
      </w:r>
      <w:r>
        <w:t>g, and must have a length less than or equal to 230 characters.</w:t>
      </w:r>
    </w:p>
    <w:p w:rsidR="000A156F" w:rsidRDefault="00A9721F">
      <w:pPr>
        <w:pStyle w:val="Definition-Field"/>
      </w:pPr>
      <w:r>
        <w:t xml:space="preserve">c.   </w:t>
      </w:r>
      <w:r>
        <w:rPr>
          <w:i/>
        </w:rPr>
        <w:t>The standard does not state the relationship between the url, xml, and connection@deleted elements.</w:t>
      </w:r>
    </w:p>
    <w:p w:rsidR="000A156F" w:rsidRDefault="00A9721F">
      <w:pPr>
        <w:pStyle w:val="Definition-Field2"/>
      </w:pPr>
      <w:r>
        <w:t xml:space="preserve">In Office, if @xml= true and the @deleted of the parent connection element is false, a </w:t>
      </w:r>
      <w:r>
        <w:t>non-empty @url shall be specified. If @xml is false, @url shall be specified if the @deleted of the parent connection element is false and not specified otherwise.</w:t>
      </w:r>
    </w:p>
    <w:p w:rsidR="000A156F" w:rsidRDefault="00A9721F">
      <w:pPr>
        <w:pStyle w:val="Heading3"/>
      </w:pPr>
      <w:bookmarkStart w:id="1696" w:name="section_8c8d962a5d154229a28f2ebf88bdd6fc"/>
      <w:bookmarkStart w:id="1697" w:name="_Toc181683874"/>
      <w:r>
        <w:t>Part 1 Section 18.14.1, cell (External Cell Data)</w:t>
      </w:r>
      <w:bookmarkEnd w:id="1696"/>
      <w:bookmarkEnd w:id="1697"/>
      <w:r>
        <w:fldChar w:fldCharType="begin"/>
      </w:r>
      <w:r>
        <w:instrText xml:space="preserve"> XE "cell (External Cell Data)" </w:instrText>
      </w:r>
      <w:r>
        <w:fldChar w:fldCharType="end"/>
      </w:r>
    </w:p>
    <w:p w:rsidR="000A156F" w:rsidRDefault="00A9721F">
      <w:pPr>
        <w:pStyle w:val="Definition-Field"/>
      </w:pPr>
      <w:r>
        <w:t xml:space="preserve">a.   </w:t>
      </w:r>
      <w:r>
        <w:rPr>
          <w:i/>
        </w:rPr>
        <w:t>The</w:t>
      </w:r>
      <w:r>
        <w:rPr>
          <w:i/>
        </w:rPr>
        <w:t xml:space="preserve"> standard does not restrict @t having value s, which implies v contains a reference to a shared string table.</w:t>
      </w:r>
    </w:p>
    <w:p w:rsidR="000A156F" w:rsidRDefault="00A9721F">
      <w:pPr>
        <w:pStyle w:val="Definition-Field2"/>
      </w:pPr>
      <w:r>
        <w:lastRenderedPageBreak/>
        <w:t>In Office, @t shall not equal s.</w:t>
      </w:r>
    </w:p>
    <w:p w:rsidR="000A156F" w:rsidRDefault="00A9721F">
      <w:pPr>
        <w:pStyle w:val="Definition-Field"/>
      </w:pPr>
      <w:r>
        <w:t xml:space="preserve">b.   </w:t>
      </w:r>
      <w:r>
        <w:rPr>
          <w:i/>
        </w:rPr>
        <w:t>The standard does not specify how the index for the vm attribute is used.</w:t>
      </w:r>
    </w:p>
    <w:p w:rsidR="000A156F" w:rsidRDefault="00A9721F">
      <w:pPr>
        <w:pStyle w:val="Definition-Field2"/>
      </w:pPr>
      <w:r>
        <w:t xml:space="preserve">In Office, the vm attribute shall </w:t>
      </w:r>
      <w:r>
        <w:t>be a one-based index into the valueMetadata collection in the metadata part that specifies this cell’s value metadata.</w:t>
      </w:r>
    </w:p>
    <w:p w:rsidR="000A156F" w:rsidRDefault="00A9721F">
      <w:pPr>
        <w:pStyle w:val="Definition-Field"/>
      </w:pPr>
      <w:r>
        <w:t xml:space="preserve">c.   </w:t>
      </w:r>
      <w:r>
        <w:rPr>
          <w:i/>
        </w:rPr>
        <w:t>For @r, the standard does not restrict cell reference to be within the row of the parent row element.</w:t>
      </w:r>
    </w:p>
    <w:p w:rsidR="000A156F" w:rsidRDefault="00A9721F">
      <w:pPr>
        <w:pStyle w:val="Definition-Field2"/>
      </w:pPr>
      <w:r>
        <w:t>For @r, Office requires that c</w:t>
      </w:r>
      <w:r>
        <w:t>ell reference be within the row of the parent row element.</w:t>
      </w:r>
    </w:p>
    <w:p w:rsidR="000A156F" w:rsidRDefault="00A9721F">
      <w:pPr>
        <w:pStyle w:val="Definition-Field"/>
      </w:pPr>
      <w:r>
        <w:t xml:space="preserve">d.   </w:t>
      </w:r>
      <w:r>
        <w:rPr>
          <w:i/>
        </w:rPr>
        <w:t>The standard implies that the r attribute is optional.</w:t>
      </w:r>
    </w:p>
    <w:p w:rsidR="000A156F" w:rsidRDefault="00A9721F">
      <w:pPr>
        <w:pStyle w:val="Definition-Field2"/>
      </w:pPr>
      <w:r>
        <w:t>Excel requires this attribute.</w:t>
      </w:r>
    </w:p>
    <w:p w:rsidR="000A156F" w:rsidRDefault="00A9721F">
      <w:pPr>
        <w:pStyle w:val="Heading3"/>
      </w:pPr>
      <w:bookmarkStart w:id="1698" w:name="section_3de0d6c7878a401d996a9620685ac333"/>
      <w:bookmarkStart w:id="1699" w:name="_Toc181683875"/>
      <w:r>
        <w:t>Part 1 Section 18.14.2, ddeItem (DDE Item definition)</w:t>
      </w:r>
      <w:bookmarkEnd w:id="1698"/>
      <w:bookmarkEnd w:id="1699"/>
      <w:r>
        <w:fldChar w:fldCharType="begin"/>
      </w:r>
      <w:r>
        <w:instrText xml:space="preserve"> XE "ddeItem (DDE Item definition)" </w:instrText>
      </w:r>
      <w:r>
        <w:fldChar w:fldCharType="end"/>
      </w:r>
    </w:p>
    <w:p w:rsidR="000A156F" w:rsidRDefault="00A9721F">
      <w:pPr>
        <w:pStyle w:val="Definition-Field"/>
      </w:pPr>
      <w:r>
        <w:t xml:space="preserve">a.   </w:t>
      </w:r>
      <w:r>
        <w:rPr>
          <w:i/>
        </w:rPr>
        <w:t>The stand</w:t>
      </w:r>
      <w:r>
        <w:rPr>
          <w:i/>
        </w:rPr>
        <w:t>ard does not specify length restrictions on @name.</w:t>
      </w:r>
    </w:p>
    <w:p w:rsidR="000A156F" w:rsidRDefault="00A9721F">
      <w:pPr>
        <w:pStyle w:val="Definition-Field2"/>
      </w:pPr>
      <w:r>
        <w:t>Office restricts @name to not be empty and have a length less than or equal to 255 characters.</w:t>
      </w:r>
    </w:p>
    <w:p w:rsidR="000A156F" w:rsidRDefault="00A9721F">
      <w:pPr>
        <w:pStyle w:val="Definition-Field"/>
      </w:pPr>
      <w:r>
        <w:t xml:space="preserve">b.   </w:t>
      </w:r>
      <w:r>
        <w:rPr>
          <w:i/>
        </w:rPr>
        <w:t>The standard states that the ole attribute indicates that the DDE item uses OLE.</w:t>
      </w:r>
    </w:p>
    <w:p w:rsidR="000A156F" w:rsidRDefault="00A9721F">
      <w:pPr>
        <w:pStyle w:val="Definition-Field2"/>
      </w:pPr>
      <w:r>
        <w:t xml:space="preserve">In Office, the ole </w:t>
      </w:r>
      <w:r>
        <w:t>attribute specifies that DDE Item is used to provide the name of the data source topic. If set to true, the value of name should be StdDocumentName.</w:t>
      </w:r>
    </w:p>
    <w:p w:rsidR="000A156F" w:rsidRDefault="00A9721F">
      <w:pPr>
        <w:pStyle w:val="Heading3"/>
      </w:pPr>
      <w:bookmarkStart w:id="1700" w:name="section_9d35fcee49904fa78953e6a3ea450dd8"/>
      <w:bookmarkStart w:id="1701" w:name="_Toc181683876"/>
      <w:r>
        <w:t>Part 1 Section 18.14.4, ddeLink (DDE Connection)</w:t>
      </w:r>
      <w:bookmarkEnd w:id="1700"/>
      <w:bookmarkEnd w:id="1701"/>
      <w:r>
        <w:fldChar w:fldCharType="begin"/>
      </w:r>
      <w:r>
        <w:instrText xml:space="preserve"> XE "ddeLink (DDE Connection)" </w:instrText>
      </w:r>
      <w:r>
        <w:fldChar w:fldCharType="end"/>
      </w:r>
    </w:p>
    <w:p w:rsidR="000A156F" w:rsidRDefault="00A9721F">
      <w:pPr>
        <w:pStyle w:val="Definition-Field"/>
      </w:pPr>
      <w:r>
        <w:t xml:space="preserve">a.   </w:t>
      </w:r>
      <w:r>
        <w:rPr>
          <w:i/>
        </w:rPr>
        <w:t>The standard does no</w:t>
      </w:r>
      <w:r>
        <w:rPr>
          <w:i/>
        </w:rPr>
        <w:t>t specify length limits on @ddeService.</w:t>
      </w:r>
    </w:p>
    <w:p w:rsidR="000A156F" w:rsidRDefault="00A9721F">
      <w:pPr>
        <w:pStyle w:val="Definition-Field2"/>
      </w:pPr>
      <w:r>
        <w:t>Office enforces a minimum of 1 character and a maximum of 255 characters for @ddeService.</w:t>
      </w:r>
    </w:p>
    <w:p w:rsidR="000A156F" w:rsidRDefault="00A9721F">
      <w:pPr>
        <w:pStyle w:val="Definition-Field"/>
      </w:pPr>
      <w:r>
        <w:t xml:space="preserve">b.   </w:t>
      </w:r>
      <w:r>
        <w:rPr>
          <w:i/>
        </w:rPr>
        <w:t>The standard does not specify length limits on the ddeTopic attribute.</w:t>
      </w:r>
    </w:p>
    <w:p w:rsidR="000A156F" w:rsidRDefault="00A9721F">
      <w:pPr>
        <w:pStyle w:val="Definition-Field2"/>
      </w:pPr>
      <w:r>
        <w:t xml:space="preserve">Office restricts the ddeTopic attribute to 255 </w:t>
      </w:r>
      <w:r>
        <w:t>characters.</w:t>
      </w:r>
    </w:p>
    <w:p w:rsidR="000A156F" w:rsidRDefault="00A9721F">
      <w:pPr>
        <w:pStyle w:val="Definition-Field"/>
      </w:pPr>
      <w:r>
        <w:t xml:space="preserve">c.   </w:t>
      </w:r>
      <w:r>
        <w:rPr>
          <w:i/>
        </w:rPr>
        <w:t>The standard does not place a restriction on the maximum length of the ddeService attribute concatenated with the ddeTopic attribute.</w:t>
      </w:r>
    </w:p>
    <w:p w:rsidR="000A156F" w:rsidRDefault="00A9721F">
      <w:pPr>
        <w:pStyle w:val="Definition-Field2"/>
      </w:pPr>
      <w:r>
        <w:t>Office requires that the combined length of the ddeService and ddeTopic attributes be less than 255.</w:t>
      </w:r>
    </w:p>
    <w:p w:rsidR="000A156F" w:rsidRDefault="00A9721F">
      <w:pPr>
        <w:pStyle w:val="Definition-Field"/>
      </w:pPr>
      <w:r>
        <w:t xml:space="preserve">d.  </w:t>
      </w:r>
      <w:r>
        <w:t xml:space="preserve"> </w:t>
      </w:r>
      <w:r>
        <w:rPr>
          <w:i/>
        </w:rPr>
        <w:t>The standard does not place restrictions on the inclusion of '[' or ']' in the ddeService and ddeTopic attributes.</w:t>
      </w:r>
    </w:p>
    <w:p w:rsidR="000A156F" w:rsidRDefault="00A9721F">
      <w:pPr>
        <w:pStyle w:val="Definition-Field2"/>
      </w:pPr>
      <w:r>
        <w:t>Office requires that the concatenation of the ddeService attribute followed by the ddeTopic attribute contain at most one pair of square bra</w:t>
      </w:r>
      <w:r>
        <w:t>ckets ('[' and ']'), and that the opening bracket precede the closing bracket.</w:t>
      </w:r>
    </w:p>
    <w:p w:rsidR="000A156F" w:rsidRDefault="00A9721F">
      <w:pPr>
        <w:pStyle w:val="Heading3"/>
      </w:pPr>
      <w:bookmarkStart w:id="1702" w:name="section_74770f15dc8b4cc0bf1a4fbcefdee941"/>
      <w:bookmarkStart w:id="1703" w:name="_Toc181683877"/>
      <w:r>
        <w:t>Part 1 Section 18.14.5, definedName (Defined Name)</w:t>
      </w:r>
      <w:bookmarkEnd w:id="1702"/>
      <w:bookmarkEnd w:id="1703"/>
      <w:r>
        <w:fldChar w:fldCharType="begin"/>
      </w:r>
      <w:r>
        <w:instrText xml:space="preserve"> XE "definedName (Defined Name)" </w:instrText>
      </w:r>
      <w:r>
        <w:fldChar w:fldCharType="end"/>
      </w:r>
    </w:p>
    <w:p w:rsidR="000A156F" w:rsidRDefault="00A9721F">
      <w:pPr>
        <w:pStyle w:val="Definition-Field"/>
      </w:pPr>
      <w:r>
        <w:t xml:space="preserve">a.   </w:t>
      </w:r>
      <w:r>
        <w:rPr>
          <w:i/>
        </w:rPr>
        <w:t>The standard does not specify the maximum length for @name.</w:t>
      </w:r>
    </w:p>
    <w:p w:rsidR="000A156F" w:rsidRDefault="00A9721F">
      <w:pPr>
        <w:pStyle w:val="Definition-Field2"/>
      </w:pPr>
      <w:r>
        <w:t>Office limits the possible</w:t>
      </w:r>
      <w:r>
        <w:t xml:space="preserve"> values of @name to be defined names as defined in Names ("</w:t>
      </w:r>
      <w:hyperlink r:id="rId144">
        <w:r>
          <w:rPr>
            <w:rStyle w:val="Hyperlink"/>
          </w:rPr>
          <w:t>[ISO/IEC-29500-1]</w:t>
        </w:r>
      </w:hyperlink>
      <w:r>
        <w:t xml:space="preserve"> §18.17.2.5").</w:t>
      </w:r>
    </w:p>
    <w:p w:rsidR="000A156F" w:rsidRDefault="00A9721F">
      <w:pPr>
        <w:pStyle w:val="Definition-Field"/>
      </w:pPr>
      <w:r>
        <w:t xml:space="preserve">b.   </w:t>
      </w:r>
      <w:r>
        <w:rPr>
          <w:i/>
        </w:rPr>
        <w:t>In the standard the refersTo attribute uses the ST_Xstring type.</w:t>
      </w:r>
    </w:p>
    <w:p w:rsidR="000A156F" w:rsidRDefault="00A9721F">
      <w:pPr>
        <w:pStyle w:val="Definition-Field2"/>
      </w:pPr>
      <w:r>
        <w:lastRenderedPageBreak/>
        <w:t>Office requires @referTo to b</w:t>
      </w:r>
      <w:r>
        <w:t>e a valid formula that is restricted to cell references within the same external book.</w:t>
      </w:r>
    </w:p>
    <w:p w:rsidR="000A156F" w:rsidRDefault="00A9721F">
      <w:pPr>
        <w:pStyle w:val="Definition-Field"/>
      </w:pPr>
      <w:r>
        <w:t xml:space="preserve">c.   </w:t>
      </w:r>
      <w:r>
        <w:rPr>
          <w:i/>
        </w:rPr>
        <w:t>The standard does not specify the range of the sheetId attribute.</w:t>
      </w:r>
    </w:p>
    <w:p w:rsidR="000A156F" w:rsidRDefault="00A9721F">
      <w:pPr>
        <w:pStyle w:val="Definition-Field2"/>
      </w:pPr>
      <w:r>
        <w:t>Office restricts the sheetID attribute to a minimum value of greater than or equal to 0 and less t</w:t>
      </w:r>
      <w:r>
        <w:t>han or equal to 65533.</w:t>
      </w:r>
    </w:p>
    <w:p w:rsidR="000A156F" w:rsidRDefault="00A9721F">
      <w:pPr>
        <w:pStyle w:val="Heading3"/>
      </w:pPr>
      <w:bookmarkStart w:id="1704" w:name="section_f529ffb15f1f4b838626d53767553c27"/>
      <w:bookmarkStart w:id="1705" w:name="_Toc181683878"/>
      <w:r>
        <w:t>Part 1 Section 18.14.8, externalLink (External Reference)</w:t>
      </w:r>
      <w:bookmarkEnd w:id="1704"/>
      <w:bookmarkEnd w:id="1705"/>
      <w:r>
        <w:fldChar w:fldCharType="begin"/>
      </w:r>
      <w:r>
        <w:instrText xml:space="preserve"> XE "externalLink (External Reference)" </w:instrText>
      </w:r>
      <w:r>
        <w:fldChar w:fldCharType="end"/>
      </w:r>
    </w:p>
    <w:p w:rsidR="000A156F" w:rsidRDefault="00A9721F">
      <w:pPr>
        <w:pStyle w:val="Definition-Field"/>
      </w:pPr>
      <w:r>
        <w:t xml:space="preserve">a.   </w:t>
      </w:r>
      <w:r>
        <w:rPr>
          <w:i/>
        </w:rPr>
        <w:t>The standard states that the extLst child element is mutually exclusive with the externalBook, ddeLink, and oleLink child elemen</w:t>
      </w:r>
      <w:r>
        <w:rPr>
          <w:i/>
        </w:rPr>
        <w:t>ts.</w:t>
      </w:r>
    </w:p>
    <w:p w:rsidR="000A156F" w:rsidRDefault="00A9721F">
      <w:pPr>
        <w:pStyle w:val="Definition-Field2"/>
      </w:pPr>
      <w:r>
        <w:t>Excel allows an extLst child element to follow an externalBook, ddeLink, or oleLink child element.</w:t>
      </w:r>
    </w:p>
    <w:p w:rsidR="000A156F" w:rsidRDefault="00A9721F">
      <w:pPr>
        <w:pStyle w:val="Definition-Field"/>
      </w:pPr>
      <w:r>
        <w:t xml:space="preserve">b.   </w:t>
      </w:r>
      <w:r>
        <w:rPr>
          <w:i/>
        </w:rPr>
        <w:t>The standard states that externalList element can be empty.</w:t>
      </w:r>
    </w:p>
    <w:p w:rsidR="000A156F" w:rsidRDefault="00A9721F">
      <w:pPr>
        <w:pStyle w:val="Definition-Field2"/>
      </w:pPr>
      <w:r>
        <w:t>Excel requires that an externalList element must contain one of externalBook, ddeLink, o</w:t>
      </w:r>
      <w:r>
        <w:t>r oleLink.</w:t>
      </w:r>
    </w:p>
    <w:p w:rsidR="000A156F" w:rsidRDefault="00A9721F">
      <w:pPr>
        <w:pStyle w:val="Heading3"/>
      </w:pPr>
      <w:bookmarkStart w:id="1706" w:name="section_e7c6f0e39e194cb3ba0e483ef7d89728"/>
      <w:bookmarkStart w:id="1707" w:name="_Toc181683879"/>
      <w:r>
        <w:t>Part 1 Section 18.14.9, oleItem (Object Link Item)</w:t>
      </w:r>
      <w:bookmarkEnd w:id="1706"/>
      <w:bookmarkEnd w:id="1707"/>
      <w:r>
        <w:fldChar w:fldCharType="begin"/>
      </w:r>
      <w:r>
        <w:instrText xml:space="preserve"> XE "oleItem (Object Link Item)" </w:instrText>
      </w:r>
      <w:r>
        <w:fldChar w:fldCharType="end"/>
      </w:r>
    </w:p>
    <w:p w:rsidR="000A156F" w:rsidRDefault="00A9721F">
      <w:pPr>
        <w:pStyle w:val="Definition-Field"/>
      </w:pPr>
      <w:r>
        <w:t xml:space="preserve">a.   </w:t>
      </w:r>
      <w:r>
        <w:rPr>
          <w:i/>
        </w:rPr>
        <w:t>The standard does not specify the length limit of the name attribute.</w:t>
      </w:r>
    </w:p>
    <w:p w:rsidR="000A156F" w:rsidRDefault="00A9721F">
      <w:pPr>
        <w:pStyle w:val="Definition-Field2"/>
      </w:pPr>
      <w:r>
        <w:t>Office limits the name attribute length to between 0 and 255 characters inclusive.</w:t>
      </w:r>
    </w:p>
    <w:p w:rsidR="000A156F" w:rsidRDefault="00A9721F">
      <w:pPr>
        <w:pStyle w:val="Definition-Field"/>
      </w:pPr>
      <w:r>
        <w:t>b</w:t>
      </w:r>
      <w:r>
        <w:t xml:space="preserve">.   </w:t>
      </w:r>
      <w:r>
        <w:rPr>
          <w:i/>
        </w:rPr>
        <w:t>The standard specifies that the value of the name attribute is ST_XString.</w:t>
      </w:r>
    </w:p>
    <w:p w:rsidR="000A156F" w:rsidRDefault="00A9721F">
      <w:pPr>
        <w:pStyle w:val="Definition-Field2"/>
      </w:pPr>
      <w:r>
        <w:t>Office will not open files with the name attribute length equal to zero.</w:t>
      </w:r>
    </w:p>
    <w:p w:rsidR="000A156F" w:rsidRDefault="00A9721F">
      <w:pPr>
        <w:pStyle w:val="Heading3"/>
      </w:pPr>
      <w:bookmarkStart w:id="1708" w:name="section_83cecf06377145969e2c9b70cdd07db9"/>
      <w:bookmarkStart w:id="1709" w:name="_Toc181683880"/>
      <w:r>
        <w:t>Part 1 Section 18.14.11, oleLink (Generic Object Link Connection)</w:t>
      </w:r>
      <w:bookmarkEnd w:id="1708"/>
      <w:bookmarkEnd w:id="1709"/>
      <w:r>
        <w:fldChar w:fldCharType="begin"/>
      </w:r>
      <w:r>
        <w:instrText xml:space="preserve"> XE "oleLink (Generic Object Link Conne</w:instrText>
      </w:r>
      <w:r>
        <w:instrText xml:space="preserve">ction)" </w:instrText>
      </w:r>
      <w:r>
        <w:fldChar w:fldCharType="end"/>
      </w:r>
    </w:p>
    <w:p w:rsidR="000A156F" w:rsidRDefault="00A9721F">
      <w:pPr>
        <w:pStyle w:val="Definition-Field"/>
      </w:pPr>
      <w:r>
        <w:t xml:space="preserve">a.   </w:t>
      </w:r>
      <w:r>
        <w:rPr>
          <w:i/>
        </w:rPr>
        <w:t>The standard does not specify a limit for the @progId string.</w:t>
      </w:r>
    </w:p>
    <w:p w:rsidR="000A156F" w:rsidRDefault="00A9721F">
      <w:pPr>
        <w:pStyle w:val="Definition-Field2"/>
      </w:pPr>
      <w:r>
        <w:t>Office limits the @progId string to a minimum of 1 and a maximum of 255.</w:t>
      </w:r>
    </w:p>
    <w:p w:rsidR="000A156F" w:rsidRDefault="00A9721F">
      <w:pPr>
        <w:pStyle w:val="Definition-Field"/>
      </w:pPr>
      <w:r>
        <w:t xml:space="preserve">b.   </w:t>
      </w:r>
      <w:r>
        <w:rPr>
          <w:i/>
        </w:rPr>
        <w:t>The standard indicates that @progId has a maximum length of 255 according to ST_Xstring255.</w:t>
      </w:r>
    </w:p>
    <w:p w:rsidR="000A156F" w:rsidRDefault="00A9721F">
      <w:pPr>
        <w:pStyle w:val="Definition-Field2"/>
      </w:pPr>
      <w:r>
        <w:t>In Offic</w:t>
      </w:r>
      <w:r>
        <w:t>e, @progId and the referenced target in the corresponding relationships part have a maximum combined length of 254.</w:t>
      </w:r>
    </w:p>
    <w:p w:rsidR="000A156F" w:rsidRDefault="00A9721F">
      <w:pPr>
        <w:pStyle w:val="Heading3"/>
      </w:pPr>
      <w:bookmarkStart w:id="1710" w:name="section_29d2ff1c1057491992a959229862218c"/>
      <w:bookmarkStart w:id="1711" w:name="_Toc181683881"/>
      <w:r>
        <w:t>Part 1 Section 18.14.12, row (Row)</w:t>
      </w:r>
      <w:bookmarkEnd w:id="1710"/>
      <w:bookmarkEnd w:id="1711"/>
      <w:r>
        <w:fldChar w:fldCharType="begin"/>
      </w:r>
      <w:r>
        <w:instrText xml:space="preserve"> XE "row (Row)" </w:instrText>
      </w:r>
      <w:r>
        <w:fldChar w:fldCharType="end"/>
      </w:r>
    </w:p>
    <w:p w:rsidR="000A156F" w:rsidRDefault="00A9721F">
      <w:pPr>
        <w:pStyle w:val="Definition-Field"/>
      </w:pPr>
      <w:r>
        <w:t xml:space="preserve">a.   </w:t>
      </w:r>
      <w:r>
        <w:rPr>
          <w:i/>
        </w:rPr>
        <w:t>The standard does not place any restrictions on the value for @row.</w:t>
      </w:r>
    </w:p>
    <w:p w:rsidR="000A156F" w:rsidRDefault="00A9721F">
      <w:pPr>
        <w:pStyle w:val="Definition-Field2"/>
      </w:pPr>
      <w:r>
        <w:t xml:space="preserve">Office </w:t>
      </w:r>
      <w:r>
        <w:t>requires that the value of @row be less than or equal to 1048576.</w:t>
      </w:r>
    </w:p>
    <w:p w:rsidR="000A156F" w:rsidRDefault="00A9721F">
      <w:pPr>
        <w:pStyle w:val="Heading3"/>
      </w:pPr>
      <w:bookmarkStart w:id="1712" w:name="section_ea6eca83ef44428c8d91968009edc496"/>
      <w:bookmarkStart w:id="1713" w:name="_Toc181683882"/>
      <w:r>
        <w:t>Part 1 Section 18.14.13, sheetData (External Sheet Data Set)</w:t>
      </w:r>
      <w:bookmarkEnd w:id="1712"/>
      <w:bookmarkEnd w:id="1713"/>
      <w:r>
        <w:fldChar w:fldCharType="begin"/>
      </w:r>
      <w:r>
        <w:instrText xml:space="preserve"> XE "sheetData (External Sheet Data Set)" </w:instrText>
      </w:r>
      <w:r>
        <w:fldChar w:fldCharType="end"/>
      </w:r>
    </w:p>
    <w:p w:rsidR="000A156F" w:rsidRDefault="00A9721F">
      <w:pPr>
        <w:pStyle w:val="Definition-Field"/>
      </w:pPr>
      <w:r>
        <w:t xml:space="preserve">a.   </w:t>
      </w:r>
      <w:r>
        <w:rPr>
          <w:i/>
        </w:rPr>
        <w:t>The standard states that @sheetId index is an unsigned integer, with no addition</w:t>
      </w:r>
      <w:r>
        <w:rPr>
          <w:i/>
        </w:rPr>
        <w:t>al restrictions on value, and that it is 1-based.</w:t>
      </w:r>
    </w:p>
    <w:p w:rsidR="000A156F" w:rsidRDefault="00A9721F">
      <w:pPr>
        <w:pStyle w:val="Definition-Field2"/>
      </w:pPr>
      <w:r>
        <w:t>Office requires that @sheetId range from 0 through 65533 inclusive.</w:t>
      </w:r>
    </w:p>
    <w:p w:rsidR="000A156F" w:rsidRDefault="00A9721F">
      <w:pPr>
        <w:pStyle w:val="Definition-Field"/>
      </w:pPr>
      <w:r>
        <w:t xml:space="preserve">b.   </w:t>
      </w:r>
      <w:r>
        <w:rPr>
          <w:i/>
        </w:rPr>
        <w:t>The standard does not define any order requirements for rows.</w:t>
      </w:r>
    </w:p>
    <w:p w:rsidR="000A156F" w:rsidRDefault="00A9721F">
      <w:pPr>
        <w:pStyle w:val="Definition-Field2"/>
      </w:pPr>
      <w:r>
        <w:t>In Office, rows must appear in ascending order.</w:t>
      </w:r>
    </w:p>
    <w:p w:rsidR="000A156F" w:rsidRDefault="00A9721F">
      <w:pPr>
        <w:pStyle w:val="Heading3"/>
      </w:pPr>
      <w:bookmarkStart w:id="1714" w:name="section_2f06c253c63240b3b2cc4c7b0fe2bad4"/>
      <w:bookmarkStart w:id="1715" w:name="_Toc181683883"/>
      <w:r>
        <w:lastRenderedPageBreak/>
        <w:t>Part 1 Section 18.14.15</w:t>
      </w:r>
      <w:r>
        <w:t>, sheetName (Sheet Name)</w:t>
      </w:r>
      <w:bookmarkEnd w:id="1714"/>
      <w:bookmarkEnd w:id="1715"/>
      <w:r>
        <w:fldChar w:fldCharType="begin"/>
      </w:r>
      <w:r>
        <w:instrText xml:space="preserve"> XE "sheetName (Sheet Name)" </w:instrText>
      </w:r>
      <w:r>
        <w:fldChar w:fldCharType="end"/>
      </w:r>
    </w:p>
    <w:p w:rsidR="000A156F" w:rsidRDefault="00A9721F">
      <w:pPr>
        <w:pStyle w:val="Definition-Field"/>
      </w:pPr>
      <w:r>
        <w:t xml:space="preserve">a.   </w:t>
      </w:r>
      <w:r>
        <w:rPr>
          <w:i/>
        </w:rPr>
        <w:t>The standard indicates that @val is a string of unbounded length.</w:t>
      </w:r>
    </w:p>
    <w:p w:rsidR="000A156F" w:rsidRDefault="00A9721F">
      <w:pPr>
        <w:pStyle w:val="Definition-Field2"/>
      </w:pPr>
      <w:r>
        <w:t>Office generally expects that @val has a maximum length of 31 characters and enforces this limit on load. On save, in some circum</w:t>
      </w:r>
      <w:r>
        <w:t>stances, up to 252 characters can be saved for @val.</w:t>
      </w:r>
    </w:p>
    <w:p w:rsidR="000A156F" w:rsidRDefault="00A9721F">
      <w:pPr>
        <w:pStyle w:val="Heading3"/>
      </w:pPr>
      <w:bookmarkStart w:id="1716" w:name="section_43554bcee58a45b5aa0770029f56dc91"/>
      <w:bookmarkStart w:id="1717" w:name="_Toc181683884"/>
      <w:r>
        <w:t>Part 1 Section 18.14.16, sheetNames (Supporting Workbook Sheet Names)</w:t>
      </w:r>
      <w:bookmarkEnd w:id="1716"/>
      <w:bookmarkEnd w:id="1717"/>
      <w:r>
        <w:fldChar w:fldCharType="begin"/>
      </w:r>
      <w:r>
        <w:instrText xml:space="preserve"> XE "sheetNames (Supporting Workbook Sheet Names)" </w:instrText>
      </w:r>
      <w:r>
        <w:fldChar w:fldCharType="end"/>
      </w:r>
    </w:p>
    <w:p w:rsidR="000A156F" w:rsidRDefault="00A9721F">
      <w:pPr>
        <w:pStyle w:val="Definition-Field"/>
      </w:pPr>
      <w:r>
        <w:t xml:space="preserve">a.   </w:t>
      </w:r>
      <w:r>
        <w:rPr>
          <w:i/>
        </w:rPr>
        <w:t>The standard states that the maxOccurs value for the sheetName child elemen</w:t>
      </w:r>
      <w:r>
        <w:rPr>
          <w:i/>
        </w:rPr>
        <w:t>t is unbounded.</w:t>
      </w:r>
    </w:p>
    <w:p w:rsidR="000A156F" w:rsidRDefault="00A9721F">
      <w:pPr>
        <w:pStyle w:val="Definition-Field2"/>
      </w:pPr>
      <w:r>
        <w:t>Excel limits the occurrences of this element to 65534.</w:t>
      </w:r>
    </w:p>
    <w:p w:rsidR="000A156F" w:rsidRDefault="00A9721F">
      <w:pPr>
        <w:pStyle w:val="Heading3"/>
      </w:pPr>
      <w:bookmarkStart w:id="1718" w:name="section_9d1e79f6ab69441d8397ec6144a6afee"/>
      <w:bookmarkStart w:id="1719" w:name="_Toc181683885"/>
      <w:r>
        <w:t>Part 1 Section 18.14.17, val (DDE Link Value)</w:t>
      </w:r>
      <w:bookmarkEnd w:id="1718"/>
      <w:bookmarkEnd w:id="1719"/>
      <w:r>
        <w:fldChar w:fldCharType="begin"/>
      </w:r>
      <w:r>
        <w:instrText xml:space="preserve"> XE "val (DDE Link Value)" </w:instrText>
      </w:r>
      <w:r>
        <w:fldChar w:fldCharType="end"/>
      </w:r>
    </w:p>
    <w:p w:rsidR="000A156F" w:rsidRDefault="00A9721F">
      <w:pPr>
        <w:pStyle w:val="Definition-Field"/>
      </w:pPr>
      <w:r>
        <w:t xml:space="preserve">a.   </w:t>
      </w:r>
      <w:r>
        <w:rPr>
          <w:i/>
        </w:rPr>
        <w:t>The standard does not limit the length of the value of this element.</w:t>
      </w:r>
    </w:p>
    <w:p w:rsidR="000A156F" w:rsidRDefault="00A9721F">
      <w:pPr>
        <w:pStyle w:val="Definition-Field2"/>
      </w:pPr>
      <w:r>
        <w:t>Excel restricts the value of this el</w:t>
      </w:r>
      <w:r>
        <w:t>ement to be at most 32767 characters.</w:t>
      </w:r>
    </w:p>
    <w:p w:rsidR="000A156F" w:rsidRDefault="00A9721F">
      <w:pPr>
        <w:pStyle w:val="Definition-Field"/>
      </w:pPr>
      <w:r>
        <w:t xml:space="preserve">b.   </w:t>
      </w:r>
      <w:r>
        <w:rPr>
          <w:i/>
        </w:rPr>
        <w:t>The standard makes no mention of an xml:space attribute.</w:t>
      </w:r>
    </w:p>
    <w:p w:rsidR="000A156F" w:rsidRDefault="00A9721F">
      <w:pPr>
        <w:pStyle w:val="Definition-Field2"/>
      </w:pPr>
      <w:r>
        <w:t>Excel uses this attribute to specify, using the W3C space preservation rules, how white space should be handled for the element's contents; its allowed valu</w:t>
      </w:r>
      <w:r>
        <w:t>es are defined by the XML 1.0 specification.</w:t>
      </w:r>
    </w:p>
    <w:p w:rsidR="000A156F" w:rsidRDefault="00A9721F">
      <w:pPr>
        <w:pStyle w:val="Heading3"/>
      </w:pPr>
      <w:bookmarkStart w:id="1720" w:name="section_1d927b7d707f410ba9a95ee9d5289132"/>
      <w:bookmarkStart w:id="1721" w:name="_Toc181683886"/>
      <w:r>
        <w:t>Part 1 Section 18.14.18, value (Value)</w:t>
      </w:r>
      <w:bookmarkEnd w:id="1720"/>
      <w:bookmarkEnd w:id="1721"/>
      <w:r>
        <w:fldChar w:fldCharType="begin"/>
      </w:r>
      <w:r>
        <w:instrText xml:space="preserve"> XE "value (Value)" </w:instrText>
      </w:r>
      <w:r>
        <w:fldChar w:fldCharType="end"/>
      </w:r>
    </w:p>
    <w:p w:rsidR="000A156F" w:rsidRDefault="00A9721F">
      <w:pPr>
        <w:pStyle w:val="Definition-Field"/>
      </w:pPr>
      <w:r>
        <w:t xml:space="preserve">a.   </w:t>
      </w:r>
      <w:r>
        <w:rPr>
          <w:i/>
        </w:rPr>
        <w:t>The standard does not give length restriction for the val element.</w:t>
      </w:r>
    </w:p>
    <w:p w:rsidR="000A156F" w:rsidRDefault="00A9721F">
      <w:pPr>
        <w:pStyle w:val="Definition-Field2"/>
      </w:pPr>
      <w:r>
        <w:t>In Office, the val element has a maximum length of 32767 characters.</w:t>
      </w:r>
    </w:p>
    <w:p w:rsidR="000A156F" w:rsidRDefault="00A9721F">
      <w:pPr>
        <w:pStyle w:val="Heading3"/>
      </w:pPr>
      <w:bookmarkStart w:id="1722" w:name="section_4869f11e196c409caeb928d64ae3902e"/>
      <w:bookmarkStart w:id="1723" w:name="_Toc181683887"/>
      <w:r>
        <w:t>Part 1 Se</w:t>
      </w:r>
      <w:r>
        <w:t>ction 18.14.19, values (DDE Name Values)</w:t>
      </w:r>
      <w:bookmarkEnd w:id="1722"/>
      <w:bookmarkEnd w:id="1723"/>
      <w:r>
        <w:fldChar w:fldCharType="begin"/>
      </w:r>
      <w:r>
        <w:instrText xml:space="preserve"> XE "values (DDE Name Values)" </w:instrText>
      </w:r>
      <w:r>
        <w:fldChar w:fldCharType="end"/>
      </w:r>
    </w:p>
    <w:p w:rsidR="000A156F" w:rsidRDefault="00A9721F">
      <w:pPr>
        <w:pStyle w:val="Definition-Field"/>
      </w:pPr>
      <w:r>
        <w:t xml:space="preserve">a.   </w:t>
      </w:r>
      <w:r>
        <w:rPr>
          <w:i/>
        </w:rPr>
        <w:t>The standard allows the cols attribute to be unbounded.</w:t>
      </w:r>
    </w:p>
    <w:p w:rsidR="000A156F" w:rsidRDefault="00A9721F">
      <w:pPr>
        <w:pStyle w:val="Definition-Field2"/>
      </w:pPr>
      <w:r>
        <w:t>Excel limits the value to be in the range 1 to 16384 inclusive.</w:t>
      </w:r>
    </w:p>
    <w:p w:rsidR="000A156F" w:rsidRDefault="00A9721F">
      <w:pPr>
        <w:pStyle w:val="Definition-Field"/>
      </w:pPr>
      <w:r>
        <w:t xml:space="preserve">b.   </w:t>
      </w:r>
      <w:r>
        <w:rPr>
          <w:i/>
        </w:rPr>
        <w:t>The standard allows the rows attribute to be unbound</w:t>
      </w:r>
      <w:r>
        <w:rPr>
          <w:i/>
        </w:rPr>
        <w:t>ed.</w:t>
      </w:r>
    </w:p>
    <w:p w:rsidR="000A156F" w:rsidRDefault="00A9721F">
      <w:pPr>
        <w:pStyle w:val="Definition-Field2"/>
      </w:pPr>
      <w:r>
        <w:t>Excel limits the value to be in the range 1 to 1048576, inclusive.</w:t>
      </w:r>
    </w:p>
    <w:p w:rsidR="000A156F" w:rsidRDefault="00A9721F">
      <w:pPr>
        <w:pStyle w:val="Definition-Field"/>
      </w:pPr>
      <w:r>
        <w:t xml:space="preserve">c.   </w:t>
      </w:r>
      <w:r>
        <w:rPr>
          <w:i/>
        </w:rPr>
        <w:t>The standard does not specify the relationship of the value elements to the cols and rows attributes.</w:t>
      </w:r>
    </w:p>
    <w:p w:rsidR="000A156F" w:rsidRDefault="00A9721F">
      <w:pPr>
        <w:pStyle w:val="Definition-Field2"/>
      </w:pPr>
      <w:r>
        <w:t>Excel requires that the number of value elements must be equal to rows times c</w:t>
      </w:r>
      <w:r>
        <w:t>ols and that value elements appear in row-major order.</w:t>
      </w:r>
    </w:p>
    <w:p w:rsidR="000A156F" w:rsidRDefault="00A9721F">
      <w:pPr>
        <w:pStyle w:val="Heading3"/>
      </w:pPr>
      <w:bookmarkStart w:id="1724" w:name="section_e57228cfd6724d27a0b2305886693f3c"/>
      <w:bookmarkStart w:id="1725" w:name="_Toc181683888"/>
      <w:r>
        <w:t>Part 1 Section 18.15.1, main (Main)</w:t>
      </w:r>
      <w:bookmarkEnd w:id="1724"/>
      <w:bookmarkEnd w:id="1725"/>
      <w:r>
        <w:fldChar w:fldCharType="begin"/>
      </w:r>
      <w:r>
        <w:instrText xml:space="preserve"> XE "main (Main)" </w:instrText>
      </w:r>
      <w:r>
        <w:fldChar w:fldCharType="end"/>
      </w:r>
    </w:p>
    <w:p w:rsidR="000A156F" w:rsidRDefault="00A9721F">
      <w:pPr>
        <w:pStyle w:val="Definition-Field"/>
      </w:pPr>
      <w:r>
        <w:t xml:space="preserve">a.   </w:t>
      </w:r>
      <w:r>
        <w:rPr>
          <w:i/>
        </w:rPr>
        <w:t>The standard does not limit the length of the value of the first attribute.</w:t>
      </w:r>
    </w:p>
    <w:p w:rsidR="000A156F" w:rsidRDefault="00A9721F">
      <w:pPr>
        <w:pStyle w:val="Definition-Field2"/>
      </w:pPr>
      <w:r>
        <w:t>Excel restricts the value of this attribute to be at least 1 and</w:t>
      </w:r>
      <w:r>
        <w:t xml:space="preserve"> at most 255 characters.</w:t>
      </w:r>
    </w:p>
    <w:p w:rsidR="000A156F" w:rsidRDefault="00A9721F">
      <w:pPr>
        <w:pStyle w:val="Heading3"/>
      </w:pPr>
      <w:bookmarkStart w:id="1726" w:name="section_765c41d0db7e4335ab387f38a71277cc"/>
      <w:bookmarkStart w:id="1727" w:name="_Toc181683889"/>
      <w:r>
        <w:t>Part 1 Section 18.15.2, stp (Strings in Subtopic)</w:t>
      </w:r>
      <w:bookmarkEnd w:id="1726"/>
      <w:bookmarkEnd w:id="1727"/>
      <w:r>
        <w:fldChar w:fldCharType="begin"/>
      </w:r>
      <w:r>
        <w:instrText xml:space="preserve"> XE "stp (Strings in Subtopic)" </w:instrText>
      </w:r>
      <w:r>
        <w:fldChar w:fldCharType="end"/>
      </w:r>
    </w:p>
    <w:p w:rsidR="000A156F" w:rsidRDefault="00A9721F">
      <w:pPr>
        <w:pStyle w:val="Definition-Field"/>
      </w:pPr>
      <w:r>
        <w:t xml:space="preserve">a.   </w:t>
      </w:r>
      <w:r>
        <w:rPr>
          <w:i/>
        </w:rPr>
        <w:t>The standard does not limit the length of the value of this element.</w:t>
      </w:r>
    </w:p>
    <w:p w:rsidR="000A156F" w:rsidRDefault="00A9721F">
      <w:pPr>
        <w:pStyle w:val="Definition-Field2"/>
      </w:pPr>
      <w:r>
        <w:lastRenderedPageBreak/>
        <w:t>Excel restricts the value of this element to be at most 255 characters.</w:t>
      </w:r>
    </w:p>
    <w:p w:rsidR="000A156F" w:rsidRDefault="00A9721F">
      <w:pPr>
        <w:pStyle w:val="Definition-Field"/>
      </w:pPr>
      <w:r>
        <w:t>b</w:t>
      </w:r>
      <w:r>
        <w:t xml:space="preserve">.   </w:t>
      </w:r>
      <w:r>
        <w:rPr>
          <w:i/>
        </w:rPr>
        <w:t>The standard describes 1 for stp for cube functions only.</w:t>
      </w:r>
    </w:p>
    <w:p w:rsidR="000A156F" w:rsidRDefault="00A9721F">
      <w:pPr>
        <w:pStyle w:val="Definition-Field2"/>
      </w:pPr>
      <w:r>
        <w:t>In Office, a value of 0 for the first stp indicates that not all of the related cells with calling cube functions have been refreshed. For each Cube function, there shall be exactly one stp.</w:t>
      </w:r>
    </w:p>
    <w:p w:rsidR="000A156F" w:rsidRDefault="00A9721F">
      <w:pPr>
        <w:pStyle w:val="Definition-Field"/>
      </w:pPr>
      <w:r>
        <w:t xml:space="preserve">c. </w:t>
      </w:r>
      <w:r>
        <w:t xml:space="preserve">  </w:t>
      </w:r>
      <w:r>
        <w:rPr>
          <w:i/>
        </w:rPr>
        <w:t>The standard makes no mention of an xml:space attribute.</w:t>
      </w:r>
    </w:p>
    <w:p w:rsidR="000A156F" w:rsidRDefault="00A9721F">
      <w:pPr>
        <w:pStyle w:val="Definition-Field2"/>
      </w:pPr>
      <w:r>
        <w:t>Excel uses this attribute to specify, using the W3C space preservation rules, how white space should be handled for the element's contents; its allowed values are defined by the XML 1.0 specificati</w:t>
      </w:r>
      <w:r>
        <w:t>on.</w:t>
      </w:r>
    </w:p>
    <w:p w:rsidR="000A156F" w:rsidRDefault="00A9721F">
      <w:pPr>
        <w:pStyle w:val="Definition-Field"/>
      </w:pPr>
      <w:r>
        <w:t xml:space="preserve">d.   </w:t>
      </w:r>
      <w:r>
        <w:rPr>
          <w:i/>
        </w:rPr>
        <w:t>The standard does not describe how stp relates to the RTD function.</w:t>
      </w:r>
    </w:p>
    <w:p w:rsidR="000A156F" w:rsidRDefault="00A9721F">
      <w:pPr>
        <w:pStyle w:val="Definition-Field2"/>
      </w:pPr>
      <w:r>
        <w:t xml:space="preserve">In Office, for the RTD function, the first stp having a value of "" indicates that the RTP add-in is run on the local machine. Any other value for the stp indicates the server </w:t>
      </w:r>
      <w:r>
        <w:t>name. All subsequent stps indicate the topics of the RTD function.</w:t>
      </w:r>
    </w:p>
    <w:p w:rsidR="000A156F" w:rsidRDefault="00A9721F">
      <w:pPr>
        <w:pStyle w:val="Heading3"/>
      </w:pPr>
      <w:bookmarkStart w:id="1728" w:name="section_35eccf3dab5a4f67ae97655fe026c1aa"/>
      <w:bookmarkStart w:id="1729" w:name="_Toc181683890"/>
      <w:r>
        <w:t>Part 1 Section 18.15.3, tp (Topic)</w:t>
      </w:r>
      <w:bookmarkEnd w:id="1728"/>
      <w:bookmarkEnd w:id="1729"/>
      <w:r>
        <w:fldChar w:fldCharType="begin"/>
      </w:r>
      <w:r>
        <w:instrText xml:space="preserve"> XE "tp (Topic)"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0A156F" w:rsidRDefault="00A9721F">
      <w:pPr>
        <w:pStyle w:val="Definition-Field"/>
      </w:pPr>
      <w:r>
        <w:t xml:space="preserve">a.   </w:t>
      </w:r>
      <w:r>
        <w:rPr>
          <w:i/>
        </w:rPr>
        <w:t>The standard does not specify a length restriction for the v element.</w:t>
      </w:r>
    </w:p>
    <w:p w:rsidR="000A156F" w:rsidRDefault="00A9721F">
      <w:pPr>
        <w:pStyle w:val="Definition-Field2"/>
      </w:pPr>
      <w:r>
        <w:t>In Excel, the v element must not be more than 32767 characters long.</w:t>
      </w:r>
    </w:p>
    <w:p w:rsidR="000A156F" w:rsidRDefault="00A9721F">
      <w:pPr>
        <w:pStyle w:val="Heading3"/>
      </w:pPr>
      <w:bookmarkStart w:id="1730" w:name="section_5253fec85698422f9346288d9f67dbd2"/>
      <w:bookmarkStart w:id="1731" w:name="_Toc181683891"/>
      <w:r>
        <w:t>Part 1 Section 18.15.4, tr (References)</w:t>
      </w:r>
      <w:bookmarkEnd w:id="1730"/>
      <w:bookmarkEnd w:id="1731"/>
      <w:r>
        <w:fldChar w:fldCharType="begin"/>
      </w:r>
      <w:r>
        <w:instrText xml:space="preserve"> XE "tr (References)" </w:instrText>
      </w:r>
      <w:r>
        <w:fldChar w:fldCharType="end"/>
      </w:r>
    </w:p>
    <w:p w:rsidR="000A156F" w:rsidRDefault="00A9721F">
      <w:pPr>
        <w:pStyle w:val="Definition-Field"/>
      </w:pPr>
      <w:r>
        <w:t xml:space="preserve">a.   </w:t>
      </w:r>
      <w:r>
        <w:rPr>
          <w:i/>
        </w:rPr>
        <w:t>The sta</w:t>
      </w:r>
      <w:r>
        <w:rPr>
          <w:i/>
        </w:rPr>
        <w:t>ndard states that the values of the s attribute are defined by the XML Schema unsignedInt datatype.</w:t>
      </w:r>
    </w:p>
    <w:p w:rsidR="000A156F" w:rsidRDefault="00A9721F">
      <w:pPr>
        <w:pStyle w:val="Definition-Field2"/>
      </w:pPr>
      <w:r>
        <w:t>Excel restricts the value of this attribute to be at least 1 and at most 65534.</w:t>
      </w:r>
    </w:p>
    <w:p w:rsidR="000A156F" w:rsidRDefault="00A9721F">
      <w:pPr>
        <w:pStyle w:val="Heading3"/>
      </w:pPr>
      <w:bookmarkStart w:id="1732" w:name="section_e46452807ae048c0b82ef72096eaca48"/>
      <w:bookmarkStart w:id="1733" w:name="_Toc181683892"/>
      <w:r>
        <w:t>Part 1 Section 18.16.1, DataBinding (XML Mapping)</w:t>
      </w:r>
      <w:bookmarkEnd w:id="1732"/>
      <w:bookmarkEnd w:id="1733"/>
      <w:r>
        <w:fldChar w:fldCharType="begin"/>
      </w:r>
      <w:r>
        <w:instrText xml:space="preserve"> XE "DataBinding (XML Mappi</w:instrText>
      </w:r>
      <w:r>
        <w:instrText xml:space="preserve">ng)" </w:instrText>
      </w:r>
      <w:r>
        <w:fldChar w:fldCharType="end"/>
      </w:r>
    </w:p>
    <w:p w:rsidR="000A156F" w:rsidRDefault="00A9721F">
      <w:pPr>
        <w:pStyle w:val="Definition-Field"/>
      </w:pPr>
      <w:r>
        <w:t xml:space="preserve">a.   </w:t>
      </w:r>
      <w:r>
        <w:rPr>
          <w:i/>
        </w:rPr>
        <w:t>The standard does not specify a default value for the FileBinding attribute.</w:t>
      </w:r>
    </w:p>
    <w:p w:rsidR="000A156F" w:rsidRDefault="00A9721F">
      <w:pPr>
        <w:pStyle w:val="Definition-Field2"/>
      </w:pPr>
      <w:r>
        <w:t>Excel uses a default value of false for this attribute.</w:t>
      </w:r>
    </w:p>
    <w:p w:rsidR="000A156F" w:rsidRDefault="00A9721F">
      <w:pPr>
        <w:pStyle w:val="Definition-Field"/>
      </w:pPr>
      <w:r>
        <w:t xml:space="preserve">b.   </w:t>
      </w:r>
      <w:r>
        <w:rPr>
          <w:i/>
        </w:rPr>
        <w:t>The standard does not say that @ConnectionID is equal to @id in one of collection elements.</w:t>
      </w:r>
    </w:p>
    <w:p w:rsidR="000A156F" w:rsidRDefault="00A9721F">
      <w:pPr>
        <w:pStyle w:val="Definition-Field2"/>
      </w:pPr>
      <w:r>
        <w:t>In Office, @C</w:t>
      </w:r>
      <w:r>
        <w:t>onnectionID must be equal to @id in one of collection elements.</w:t>
      </w:r>
    </w:p>
    <w:p w:rsidR="000A156F" w:rsidRDefault="00A9721F">
      <w:pPr>
        <w:pStyle w:val="Definition-Field"/>
      </w:pPr>
      <w:r>
        <w:t xml:space="preserve">c.   </w:t>
      </w:r>
      <w:r>
        <w:rPr>
          <w:i/>
        </w:rPr>
        <w:t>The standard does not indicate any restrictions for the attribute @ConnectionID.</w:t>
      </w:r>
    </w:p>
    <w:p w:rsidR="000A156F" w:rsidRDefault="00A9721F">
      <w:pPr>
        <w:pStyle w:val="Definition-Field2"/>
      </w:pPr>
      <w:r>
        <w:t>In Office, @ConnectionID shall be specified if @FileBinding is true, it shall not be specified if @FileBin</w:t>
      </w:r>
      <w:r>
        <w:t>ding is false.</w:t>
      </w:r>
    </w:p>
    <w:p w:rsidR="000A156F" w:rsidRDefault="00A9721F">
      <w:pPr>
        <w:pStyle w:val="Definition-Field"/>
      </w:pPr>
      <w:r>
        <w:t xml:space="preserve">d.   </w:t>
      </w:r>
      <w:r>
        <w:rPr>
          <w:i/>
        </w:rPr>
        <w:t>The standard does not limit the length of the value of the DataBindingName attribute.</w:t>
      </w:r>
    </w:p>
    <w:p w:rsidR="000A156F" w:rsidRDefault="00A9721F">
      <w:pPr>
        <w:pStyle w:val="Definition-Field2"/>
      </w:pPr>
      <w:r>
        <w:t>Excel restricts the value of this attribute to be at most 65535 characters.</w:t>
      </w:r>
    </w:p>
    <w:p w:rsidR="000A156F" w:rsidRDefault="00A9721F">
      <w:pPr>
        <w:pStyle w:val="Definition-Field"/>
      </w:pPr>
      <w:r>
        <w:t xml:space="preserve">e.   </w:t>
      </w:r>
      <w:r>
        <w:rPr>
          <w:i/>
        </w:rPr>
        <w:t>The standard does not limit the length of the value of the FileBindin</w:t>
      </w:r>
      <w:r>
        <w:rPr>
          <w:i/>
        </w:rPr>
        <w:t>gName attribute.</w:t>
      </w:r>
    </w:p>
    <w:p w:rsidR="000A156F" w:rsidRDefault="00A9721F">
      <w:pPr>
        <w:pStyle w:val="Definition-Field2"/>
      </w:pPr>
      <w:r>
        <w:t>Excel restricts the value of this attribute to be at most 65535 characters.</w:t>
      </w:r>
    </w:p>
    <w:p w:rsidR="000A156F" w:rsidRDefault="00A9721F">
      <w:pPr>
        <w:pStyle w:val="Definition-Field"/>
      </w:pPr>
      <w:r>
        <w:t xml:space="preserve">f.   </w:t>
      </w:r>
      <w:r>
        <w:rPr>
          <w:i/>
        </w:rPr>
        <w:t>The standard states that the values of the FileBinding attribute are defined by the XML Schema boolean datatype.</w:t>
      </w:r>
    </w:p>
    <w:p w:rsidR="000A156F" w:rsidRDefault="00A9721F">
      <w:pPr>
        <w:pStyle w:val="Definition-Field2"/>
      </w:pPr>
      <w:r>
        <w:lastRenderedPageBreak/>
        <w:t xml:space="preserve">Excel restricts the value of this attribute </w:t>
      </w:r>
      <w:r>
        <w:t>to be true or false.</w:t>
      </w:r>
    </w:p>
    <w:p w:rsidR="000A156F" w:rsidRDefault="00A9721F">
      <w:pPr>
        <w:pStyle w:val="Definition-Field"/>
      </w:pPr>
      <w:r>
        <w:t xml:space="preserve">g.   </w:t>
      </w:r>
      <w:r>
        <w:rPr>
          <w:i/>
        </w:rPr>
        <w:t>The standard states that the values of the ConnectionID attribute are defined by the XML Schema unsignedInt datatype.</w:t>
      </w:r>
    </w:p>
    <w:p w:rsidR="000A156F" w:rsidRDefault="00A9721F">
      <w:pPr>
        <w:pStyle w:val="Definition-Field2"/>
      </w:pPr>
      <w:r>
        <w:t>Excel restricts the value of this attribute to be at most 2147483647.</w:t>
      </w:r>
    </w:p>
    <w:p w:rsidR="000A156F" w:rsidRDefault="00A9721F">
      <w:pPr>
        <w:pStyle w:val="Definition-Field"/>
      </w:pPr>
      <w:r>
        <w:t xml:space="preserve">h.   </w:t>
      </w:r>
      <w:r>
        <w:rPr>
          <w:i/>
        </w:rPr>
        <w:t>The standard does not specify a minOc</w:t>
      </w:r>
      <w:r>
        <w:rPr>
          <w:i/>
        </w:rPr>
        <w:t>curs value for the any element.</w:t>
      </w:r>
    </w:p>
    <w:p w:rsidR="000A156F" w:rsidRDefault="00A9721F">
      <w:pPr>
        <w:pStyle w:val="Definition-Field2"/>
      </w:pPr>
      <w:r>
        <w:t>Excel sets this value to be 0.</w:t>
      </w:r>
    </w:p>
    <w:p w:rsidR="000A156F" w:rsidRDefault="00A9721F">
      <w:pPr>
        <w:pStyle w:val="Definition-Field"/>
      </w:pPr>
      <w:r>
        <w:t xml:space="preserve">i.   </w:t>
      </w:r>
      <w:r>
        <w:rPr>
          <w:i/>
        </w:rPr>
        <w:t>The standard places no restrictions on the relationship between the FileBindingName attribute and the FileBinding attribute.</w:t>
      </w:r>
    </w:p>
    <w:p w:rsidR="000A156F" w:rsidRDefault="00A9721F">
      <w:pPr>
        <w:pStyle w:val="Definition-Field2"/>
      </w:pPr>
      <w:r>
        <w:t xml:space="preserve">Excel requires that the value of the FileBindingName attribute </w:t>
      </w:r>
      <w:r>
        <w:t>not be specified if the FileBinding attribute is false.</w:t>
      </w:r>
    </w:p>
    <w:p w:rsidR="000A156F" w:rsidRDefault="00A9721F">
      <w:pPr>
        <w:pStyle w:val="Heading3"/>
      </w:pPr>
      <w:bookmarkStart w:id="1734" w:name="section_b99c81f1268a460a96cc4bbbe2ddf7c5"/>
      <w:bookmarkStart w:id="1735" w:name="_Toc181683893"/>
      <w:r>
        <w:t>Part 1 Section 18.16.2, Map (XML Mapping Properties)</w:t>
      </w:r>
      <w:bookmarkEnd w:id="1734"/>
      <w:bookmarkEnd w:id="1735"/>
      <w:r>
        <w:fldChar w:fldCharType="begin"/>
      </w:r>
      <w:r>
        <w:instrText xml:space="preserve"> XE "Map (XML Mapping Properties)" </w:instrText>
      </w:r>
      <w:r>
        <w:fldChar w:fldCharType="end"/>
      </w:r>
    </w:p>
    <w:p w:rsidR="000A156F" w:rsidRDefault="00A9721F">
      <w:pPr>
        <w:pStyle w:val="Definition-Field"/>
      </w:pPr>
      <w:r>
        <w:t xml:space="preserve">a.   </w:t>
      </w:r>
      <w:r>
        <w:rPr>
          <w:i/>
        </w:rPr>
        <w:t>The standard indicates that @Append type is xsd:boolean.</w:t>
      </w:r>
    </w:p>
    <w:p w:rsidR="000A156F" w:rsidRDefault="00A9721F">
      <w:pPr>
        <w:pStyle w:val="Definition-Field2"/>
      </w:pPr>
      <w:r>
        <w:t>Office requires @Append to be true or false (not</w:t>
      </w:r>
      <w:r>
        <w:t xml:space="preserve"> 1/0).</w:t>
      </w:r>
    </w:p>
    <w:p w:rsidR="000A156F" w:rsidRDefault="00A9721F">
      <w:pPr>
        <w:pStyle w:val="Definition-Field"/>
      </w:pPr>
      <w:r>
        <w:t xml:space="preserve">b.   </w:t>
      </w:r>
      <w:r>
        <w:rPr>
          <w:i/>
        </w:rPr>
        <w:t>The standard indicates that @ShowImportExportValidationErrors type is xsd:boolean.</w:t>
      </w:r>
    </w:p>
    <w:p w:rsidR="000A156F" w:rsidRDefault="00A9721F">
      <w:pPr>
        <w:pStyle w:val="Definition-Field2"/>
      </w:pPr>
      <w:r>
        <w:t>Office requires @ShowImportExportValidationErrors to be true or false (not 1/0).</w:t>
      </w:r>
    </w:p>
    <w:p w:rsidR="000A156F" w:rsidRDefault="00A9721F">
      <w:pPr>
        <w:pStyle w:val="Definition-Field"/>
      </w:pPr>
      <w:r>
        <w:t xml:space="preserve">c.   </w:t>
      </w:r>
      <w:r>
        <w:rPr>
          <w:i/>
        </w:rPr>
        <w:t>The standard states that the values of the AutoFit attribute are defined by</w:t>
      </w:r>
      <w:r>
        <w:rPr>
          <w:i/>
        </w:rPr>
        <w:t xml:space="preserve"> the XML Schema boolean datatype.</w:t>
      </w:r>
    </w:p>
    <w:p w:rsidR="000A156F" w:rsidRDefault="00A9721F">
      <w:pPr>
        <w:pStyle w:val="Definition-Field2"/>
      </w:pPr>
      <w:r>
        <w:t>Excel restricts the value of this attribute to be true or false.</w:t>
      </w:r>
    </w:p>
    <w:p w:rsidR="000A156F" w:rsidRDefault="00A9721F">
      <w:pPr>
        <w:pStyle w:val="Definition-Field"/>
      </w:pPr>
      <w:r>
        <w:t xml:space="preserve">d.   </w:t>
      </w:r>
      <w:r>
        <w:rPr>
          <w:i/>
        </w:rPr>
        <w:t>The standard indicates that @PreserveSortAFLayout type is xsd:boolean.</w:t>
      </w:r>
    </w:p>
    <w:p w:rsidR="000A156F" w:rsidRDefault="00A9721F">
      <w:pPr>
        <w:pStyle w:val="Definition-Field2"/>
      </w:pPr>
      <w:r>
        <w:t>Office requires @PreserveSortAFLayout to be true or false (not 1/0).</w:t>
      </w:r>
    </w:p>
    <w:p w:rsidR="000A156F" w:rsidRDefault="00A9721F">
      <w:pPr>
        <w:pStyle w:val="Definition-Field"/>
      </w:pPr>
      <w:r>
        <w:t xml:space="preserve">e.   </w:t>
      </w:r>
      <w:r>
        <w:rPr>
          <w:i/>
        </w:rPr>
        <w:t xml:space="preserve">The </w:t>
      </w:r>
      <w:r>
        <w:rPr>
          <w:i/>
        </w:rPr>
        <w:t>standard indicates that @PreserveFormat type is xsd:boolean.</w:t>
      </w:r>
    </w:p>
    <w:p w:rsidR="000A156F" w:rsidRDefault="00A9721F">
      <w:pPr>
        <w:pStyle w:val="Definition-Field2"/>
      </w:pPr>
      <w:r>
        <w:t>Office requires @PreserveFormat to be true or false (not 1/0).</w:t>
      </w:r>
    </w:p>
    <w:p w:rsidR="000A156F" w:rsidRDefault="00A9721F">
      <w:pPr>
        <w:pStyle w:val="Definition-Field"/>
      </w:pPr>
      <w:r>
        <w:t xml:space="preserve">f.   </w:t>
      </w:r>
      <w:r>
        <w:rPr>
          <w:i/>
        </w:rPr>
        <w:t>The standard does not specify a maximum length restriction for the name attribute.</w:t>
      </w:r>
    </w:p>
    <w:p w:rsidR="000A156F" w:rsidRDefault="00A9721F">
      <w:pPr>
        <w:pStyle w:val="Definition-Field2"/>
      </w:pPr>
      <w:r>
        <w:t>Office limits the name attribute length to l</w:t>
      </w:r>
      <w:r>
        <w:t>ess than 65536 characters.</w:t>
      </w:r>
    </w:p>
    <w:p w:rsidR="000A156F" w:rsidRDefault="00A9721F">
      <w:pPr>
        <w:pStyle w:val="Definition-Field"/>
      </w:pPr>
      <w:r>
        <w:t xml:space="preserve">g.   </w:t>
      </w:r>
      <w:r>
        <w:rPr>
          <w:i/>
        </w:rPr>
        <w:t>The standard does not specify a maximum length restriction for @RootElement.</w:t>
      </w:r>
    </w:p>
    <w:p w:rsidR="000A156F" w:rsidRDefault="00A9721F">
      <w:pPr>
        <w:pStyle w:val="Definition-Field2"/>
      </w:pPr>
      <w:r>
        <w:t>Office limits @RootElement to less than 65536 characters.</w:t>
      </w:r>
    </w:p>
    <w:p w:rsidR="000A156F" w:rsidRDefault="00A9721F">
      <w:pPr>
        <w:pStyle w:val="Definition-Field"/>
      </w:pPr>
      <w:r>
        <w:t xml:space="preserve">h.   </w:t>
      </w:r>
      <w:r>
        <w:rPr>
          <w:i/>
        </w:rPr>
        <w:t>The standard does not specify a maximum for @ID.</w:t>
      </w:r>
    </w:p>
    <w:p w:rsidR="000A156F" w:rsidRDefault="00A9721F">
      <w:pPr>
        <w:pStyle w:val="Definition-Field2"/>
      </w:pPr>
      <w:r>
        <w:t>Office limits @ID to be less than 2</w:t>
      </w:r>
      <w:r>
        <w:t>147483648 and greater than 0.</w:t>
      </w:r>
    </w:p>
    <w:p w:rsidR="000A156F" w:rsidRDefault="00A9721F">
      <w:pPr>
        <w:pStyle w:val="Heading3"/>
      </w:pPr>
      <w:bookmarkStart w:id="1736" w:name="section_472cffc122ad47cdba49f24a14e565fe"/>
      <w:bookmarkStart w:id="1737" w:name="_Toc181683894"/>
      <w:r>
        <w:t>Part 1 Section 18.16.4, Schema (XML Schema)</w:t>
      </w:r>
      <w:bookmarkEnd w:id="1736"/>
      <w:bookmarkEnd w:id="1737"/>
      <w:r>
        <w:fldChar w:fldCharType="begin"/>
      </w:r>
      <w:r>
        <w:instrText xml:space="preserve"> XE "Schema (XML Schema)" </w:instrText>
      </w:r>
      <w:r>
        <w:fldChar w:fldCharType="end"/>
      </w:r>
    </w:p>
    <w:p w:rsidR="000A156F" w:rsidRDefault="00A9721F">
      <w:pPr>
        <w:pStyle w:val="Definition-Field"/>
      </w:pPr>
      <w:r>
        <w:t xml:space="preserve">a.   </w:t>
      </w:r>
      <w:r>
        <w:rPr>
          <w:i/>
        </w:rPr>
        <w:t>The standard does not limit the length of the value of the ID attribute.</w:t>
      </w:r>
    </w:p>
    <w:p w:rsidR="000A156F" w:rsidRDefault="00A9721F">
      <w:pPr>
        <w:pStyle w:val="Definition-Field2"/>
      </w:pPr>
      <w:r>
        <w:t>Excel restricts the value of this attribute to be at most 65535 characters.</w:t>
      </w:r>
    </w:p>
    <w:p w:rsidR="000A156F" w:rsidRDefault="00A9721F">
      <w:pPr>
        <w:pStyle w:val="Definition-Field"/>
      </w:pPr>
      <w:r>
        <w:t xml:space="preserve">b.   </w:t>
      </w:r>
      <w:r>
        <w:rPr>
          <w:i/>
        </w:rPr>
        <w:t>The standard does not limit the length of the value of the SchemaRef attribute.</w:t>
      </w:r>
    </w:p>
    <w:p w:rsidR="000A156F" w:rsidRDefault="00A9721F">
      <w:pPr>
        <w:pStyle w:val="Definition-Field2"/>
      </w:pPr>
      <w:r>
        <w:t>Excel restricts the value of this attribute to be at most 65535 characters.</w:t>
      </w:r>
    </w:p>
    <w:p w:rsidR="000A156F" w:rsidRDefault="00A9721F">
      <w:pPr>
        <w:pStyle w:val="Definition-Field"/>
      </w:pPr>
      <w:r>
        <w:lastRenderedPageBreak/>
        <w:t xml:space="preserve">c.   </w:t>
      </w:r>
      <w:r>
        <w:rPr>
          <w:i/>
        </w:rPr>
        <w:t>The standard does not limit the length of the value of the Namespace attribute.</w:t>
      </w:r>
    </w:p>
    <w:p w:rsidR="000A156F" w:rsidRDefault="00A9721F">
      <w:pPr>
        <w:pStyle w:val="Definition-Field2"/>
      </w:pPr>
      <w:r>
        <w:t xml:space="preserve">Excel </w:t>
      </w:r>
      <w:r>
        <w:t>restricts the value of this attribute to be at most 65535 characters.</w:t>
      </w:r>
    </w:p>
    <w:p w:rsidR="000A156F" w:rsidRDefault="00A9721F">
      <w:pPr>
        <w:pStyle w:val="Definition-Field"/>
      </w:pPr>
      <w:r>
        <w:t xml:space="preserve">d.   </w:t>
      </w:r>
      <w:r>
        <w:rPr>
          <w:i/>
        </w:rPr>
        <w:t>The standard does not specify a minOccurs value for the any element.</w:t>
      </w:r>
    </w:p>
    <w:p w:rsidR="000A156F" w:rsidRDefault="00A9721F">
      <w:pPr>
        <w:pStyle w:val="Definition-Field2"/>
      </w:pPr>
      <w:r>
        <w:t>Excel sets this value to be 0.</w:t>
      </w:r>
    </w:p>
    <w:p w:rsidR="000A156F" w:rsidRDefault="00A9721F">
      <w:pPr>
        <w:pStyle w:val="Definition-Field"/>
      </w:pPr>
      <w:r>
        <w:t xml:space="preserve">e.   </w:t>
      </w:r>
      <w:r>
        <w:rPr>
          <w:i/>
        </w:rPr>
        <w:t xml:space="preserve">The standard states that the SchemaLanguage attribute is a valid attribute, </w:t>
      </w:r>
      <w:r>
        <w:rPr>
          <w:i/>
        </w:rPr>
        <w:t>and that it specifies the media type of the schema language.</w:t>
      </w:r>
    </w:p>
    <w:p w:rsidR="000A156F" w:rsidRDefault="00A9721F">
      <w:pPr>
        <w:pStyle w:val="Definition-Field2"/>
      </w:pPr>
      <w:r>
        <w:t>Office ignores the SchemaLanguage attribute, and assumes that any Custom XML Mappings (as specified in Section 18.16) use XML Schema (media type application/xml).</w:t>
      </w:r>
    </w:p>
    <w:p w:rsidR="000A156F" w:rsidRDefault="00A9721F">
      <w:pPr>
        <w:pStyle w:val="Definition-Field"/>
      </w:pPr>
      <w:r>
        <w:t xml:space="preserve">f.   </w:t>
      </w:r>
      <w:r>
        <w:rPr>
          <w:i/>
        </w:rPr>
        <w:t>The standard states that th</w:t>
      </w:r>
      <w:r>
        <w:rPr>
          <w:i/>
        </w:rPr>
        <w:t>e complex type for the schema element defines its mixed attribute as true.</w:t>
      </w:r>
    </w:p>
    <w:p w:rsidR="000A156F" w:rsidRDefault="00A9721F">
      <w:pPr>
        <w:pStyle w:val="Definition-Field2"/>
      </w:pPr>
      <w:r>
        <w:t>Excel ignores the mixed attribute on the schema element.</w:t>
      </w:r>
    </w:p>
    <w:p w:rsidR="000A156F" w:rsidRDefault="00A9721F">
      <w:pPr>
        <w:pStyle w:val="Heading3"/>
      </w:pPr>
      <w:bookmarkStart w:id="1738" w:name="section_8a3a109cd76943aca4498526a2ea40dc"/>
      <w:bookmarkStart w:id="1739" w:name="_Toc181683895"/>
      <w:r>
        <w:t>Part 1 Section 18.17, Formulas</w:t>
      </w:r>
      <w:bookmarkEnd w:id="1738"/>
      <w:bookmarkEnd w:id="1739"/>
      <w:r>
        <w:fldChar w:fldCharType="begin"/>
      </w:r>
      <w:r>
        <w:instrText xml:space="preserve"> XE "Formulas" </w:instrText>
      </w:r>
      <w:r>
        <w:fldChar w:fldCharType="end"/>
      </w:r>
    </w:p>
    <w:p w:rsidR="000A156F" w:rsidRDefault="00A9721F">
      <w:pPr>
        <w:pStyle w:val="Definition-Field"/>
      </w:pPr>
      <w:r>
        <w:t xml:space="preserve">a.   </w:t>
      </w:r>
      <w:r>
        <w:rPr>
          <w:i/>
        </w:rPr>
        <w:t>The standard does not specify structure references.</w:t>
      </w:r>
    </w:p>
    <w:p w:rsidR="000A156F" w:rsidRDefault="00A9721F">
      <w:pPr>
        <w:pStyle w:val="Definition-Field2"/>
      </w:pPr>
      <w:r>
        <w:t xml:space="preserve">Office has special </w:t>
      </w:r>
      <w:r>
        <w:t>restrictions on structure references as defined in Structure References (</w:t>
      </w:r>
      <w:hyperlink w:anchor="Section_089fbdefed494a149509794c95651b17">
        <w:r>
          <w:rPr>
            <w:rStyle w:val="Hyperlink"/>
          </w:rPr>
          <w:t>§3.2.3.1.1, Structure References</w:t>
        </w:r>
      </w:hyperlink>
      <w:r>
        <w:t>).</w:t>
      </w:r>
    </w:p>
    <w:p w:rsidR="000A156F" w:rsidRDefault="00A9721F">
      <w:pPr>
        <w:pStyle w:val="Definition-Field"/>
      </w:pPr>
      <w:r>
        <w:t xml:space="preserve">b.   </w:t>
      </w:r>
      <w:r>
        <w:rPr>
          <w:i/>
        </w:rPr>
        <w:t>The standard does not specify conditional formatting formulas.</w:t>
      </w:r>
    </w:p>
    <w:p w:rsidR="000A156F" w:rsidRDefault="00A9721F">
      <w:pPr>
        <w:pStyle w:val="Definition-Field2"/>
      </w:pPr>
      <w:r>
        <w:t>Office has specia</w:t>
      </w:r>
      <w:r>
        <w:t>l restrictions on conditional formatting formulas as defined in Conditional Formatting Formulas (</w:t>
      </w:r>
      <w:hyperlink w:anchor="Section_ed5fc677a2444bfca1488ac15a6a97db">
        <w:r>
          <w:rPr>
            <w:rStyle w:val="Hyperlink"/>
          </w:rPr>
          <w:t>§3.2.3.1.2, Conditional Formatting Formulas</w:t>
        </w:r>
      </w:hyperlink>
      <w:r>
        <w:t>).</w:t>
      </w:r>
    </w:p>
    <w:p w:rsidR="000A156F" w:rsidRDefault="00A9721F">
      <w:pPr>
        <w:pStyle w:val="Definition-Field"/>
      </w:pPr>
      <w:r>
        <w:t xml:space="preserve">c.   </w:t>
      </w:r>
      <w:r>
        <w:rPr>
          <w:i/>
        </w:rPr>
        <w:t>The standard does not specify data validation</w:t>
      </w:r>
      <w:r>
        <w:rPr>
          <w:i/>
        </w:rPr>
        <w:t xml:space="preserve"> formulas.</w:t>
      </w:r>
    </w:p>
    <w:p w:rsidR="000A156F" w:rsidRDefault="00A9721F">
      <w:pPr>
        <w:pStyle w:val="Definition-Field2"/>
      </w:pPr>
      <w:r>
        <w:t>Office has special restrictions on data validation formulas as defined in Data Validation Formulas (</w:t>
      </w:r>
      <w:hyperlink w:anchor="Section_26e0ceb25b9342dc838c9e15c1a8cd8b">
        <w:r>
          <w:rPr>
            <w:rStyle w:val="Hyperlink"/>
          </w:rPr>
          <w:t>§3.2.3.1.3, Data Validation Formulas</w:t>
        </w:r>
      </w:hyperlink>
      <w:r>
        <w:t>).</w:t>
      </w:r>
    </w:p>
    <w:p w:rsidR="000A156F" w:rsidRDefault="00A9721F">
      <w:pPr>
        <w:pStyle w:val="Definition-Field"/>
      </w:pPr>
      <w:r>
        <w:t xml:space="preserve">d.   </w:t>
      </w:r>
      <w:r>
        <w:rPr>
          <w:i/>
        </w:rPr>
        <w:t>The standard does not specify name for</w:t>
      </w:r>
      <w:r>
        <w:rPr>
          <w:i/>
        </w:rPr>
        <w:t>mulas.</w:t>
      </w:r>
    </w:p>
    <w:p w:rsidR="000A156F" w:rsidRDefault="00A9721F">
      <w:pPr>
        <w:pStyle w:val="Definition-Field2"/>
      </w:pPr>
      <w:r>
        <w:t>Office has special restrictions on name formulas as defined in Name Formulas (</w:t>
      </w:r>
      <w:hyperlink w:anchor="Section_da7f42ad0083451a98cfb475b578d91d">
        <w:r>
          <w:rPr>
            <w:rStyle w:val="Hyperlink"/>
          </w:rPr>
          <w:t>§3.2.3.1.4, Name Formulas</w:t>
        </w:r>
      </w:hyperlink>
      <w:r>
        <w:t>).</w:t>
      </w:r>
    </w:p>
    <w:p w:rsidR="000A156F" w:rsidRDefault="00A9721F">
      <w:pPr>
        <w:pStyle w:val="Definition-Field"/>
      </w:pPr>
      <w:r>
        <w:t xml:space="preserve">e.   </w:t>
      </w:r>
      <w:r>
        <w:rPr>
          <w:i/>
        </w:rPr>
        <w:t>The standard does not specify pivot formulas.</w:t>
      </w:r>
    </w:p>
    <w:p w:rsidR="000A156F" w:rsidRDefault="00A9721F">
      <w:pPr>
        <w:pStyle w:val="Definition-Field2"/>
      </w:pPr>
      <w:r>
        <w:t xml:space="preserve">Office has special </w:t>
      </w:r>
      <w:r>
        <w:t>restrictions on pivot formulas as defined in Pivot Formulas (</w:t>
      </w:r>
      <w:hyperlink w:anchor="Section_b23ed080d4e143a58259332e1bf85d08">
        <w:r>
          <w:rPr>
            <w:rStyle w:val="Hyperlink"/>
          </w:rPr>
          <w:t>§3.2.3.1.8, Pivot Formulas</w:t>
        </w:r>
      </w:hyperlink>
      <w:r>
        <w:t>).</w:t>
      </w:r>
    </w:p>
    <w:p w:rsidR="000A156F" w:rsidRDefault="00A9721F">
      <w:pPr>
        <w:pStyle w:val="Definition-Field"/>
      </w:pPr>
      <w:r>
        <w:t xml:space="preserve">f.   </w:t>
      </w:r>
      <w:r>
        <w:rPr>
          <w:i/>
        </w:rPr>
        <w:t>The standard does not specify chart formulas.</w:t>
      </w:r>
    </w:p>
    <w:p w:rsidR="000A156F" w:rsidRDefault="00A9721F">
      <w:pPr>
        <w:pStyle w:val="Definition-Field2"/>
      </w:pPr>
      <w:r>
        <w:t>Office has special restrictions on chart formulas as</w:t>
      </w:r>
      <w:r>
        <w:t xml:space="preserve"> defined in Chart Formulas (</w:t>
      </w:r>
      <w:hyperlink w:anchor="Section_a7f5e690608d4293affbcbe334eb4b62">
        <w:r>
          <w:rPr>
            <w:rStyle w:val="Hyperlink"/>
          </w:rPr>
          <w:t>§3.2.3.1.6, Chart formulas</w:t>
        </w:r>
      </w:hyperlink>
      <w:r>
        <w:t>).</w:t>
      </w:r>
    </w:p>
    <w:p w:rsidR="000A156F" w:rsidRDefault="00A9721F">
      <w:pPr>
        <w:pStyle w:val="Definition-Field"/>
      </w:pPr>
      <w:r>
        <w:t xml:space="preserve">g.   </w:t>
      </w:r>
      <w:r>
        <w:rPr>
          <w:i/>
        </w:rPr>
        <w:t>The standard does not specify R1C1 formulas.</w:t>
      </w:r>
    </w:p>
    <w:p w:rsidR="000A156F" w:rsidRDefault="00A9721F">
      <w:pPr>
        <w:pStyle w:val="Definition-Field2"/>
      </w:pPr>
      <w:r>
        <w:t>Office has special restrictions on R1C1 formulas as defined in R1C1 Formulas (</w:t>
      </w:r>
      <w:hyperlink w:anchor="Section_85f4d41ff3d649c987c1d570f55b03cb">
        <w:r>
          <w:rPr>
            <w:rStyle w:val="Hyperlink"/>
          </w:rPr>
          <w:t>§3.2.3.1.7, R1C1 formulas</w:t>
        </w:r>
      </w:hyperlink>
      <w:r>
        <w:t>).</w:t>
      </w:r>
    </w:p>
    <w:p w:rsidR="000A156F" w:rsidRDefault="00A9721F">
      <w:pPr>
        <w:pStyle w:val="Definition-Field"/>
      </w:pPr>
      <w:r>
        <w:t xml:space="preserve">h.   </w:t>
      </w:r>
      <w:r>
        <w:rPr>
          <w:i/>
        </w:rPr>
        <w:t>The standard does not specify external name formulas.</w:t>
      </w:r>
    </w:p>
    <w:p w:rsidR="000A156F" w:rsidRDefault="00A9721F">
      <w:pPr>
        <w:pStyle w:val="Definition-Field2"/>
      </w:pPr>
      <w:r>
        <w:t>Office has special restrictions on external name formulas as defined in External Name Formulas (</w:t>
      </w:r>
      <w:hyperlink w:anchor="Section_8a1616b2936d416fa5dee155de223008">
        <w:r>
          <w:rPr>
            <w:rStyle w:val="Hyperlink"/>
          </w:rPr>
          <w:t>§3.2.3.1.5, External Name Formulas</w:t>
        </w:r>
      </w:hyperlink>
      <w:r>
        <w:t>).</w:t>
      </w:r>
    </w:p>
    <w:p w:rsidR="000A156F" w:rsidRDefault="00A9721F">
      <w:pPr>
        <w:pStyle w:val="Definition-Field"/>
      </w:pPr>
      <w:r>
        <w:lastRenderedPageBreak/>
        <w:t xml:space="preserve">i.   </w:t>
      </w:r>
      <w:r>
        <w:rPr>
          <w:i/>
        </w:rPr>
        <w:t>The standard does not specify OLE Link formulas.</w:t>
      </w:r>
    </w:p>
    <w:p w:rsidR="000A156F" w:rsidRDefault="00A9721F">
      <w:pPr>
        <w:pStyle w:val="Definition-Field2"/>
      </w:pPr>
      <w:r>
        <w:t>Office has special restrictions on OLE Link formulas as defined in OLE Link Formulas (</w:t>
      </w:r>
      <w:hyperlink w:anchor="Section_9892ca2173c94655b488f146c6dd5a94">
        <w:r>
          <w:rPr>
            <w:rStyle w:val="Hyperlink"/>
          </w:rPr>
          <w:t>§3.2.3.1.9, OLE Link Formulas</w:t>
        </w:r>
      </w:hyperlink>
      <w:r>
        <w:t>).</w:t>
      </w:r>
    </w:p>
    <w:p w:rsidR="000A156F" w:rsidRDefault="00A9721F">
      <w:pPr>
        <w:pStyle w:val="Heading3"/>
      </w:pPr>
      <w:bookmarkStart w:id="1740" w:name="section_c45b0396bc384fd6abf79782b7d6f926"/>
      <w:bookmarkStart w:id="1741" w:name="_Toc181683896"/>
      <w:r>
        <w:t>Part 1 Section 18.17.2, Syntax</w:t>
      </w:r>
      <w:bookmarkEnd w:id="1740"/>
      <w:bookmarkEnd w:id="1741"/>
      <w:r>
        <w:fldChar w:fldCharType="begin"/>
      </w:r>
      <w:r>
        <w:instrText xml:space="preserve"> XE "Syntax" </w:instrText>
      </w:r>
      <w:r>
        <w:fldChar w:fldCharType="end"/>
      </w:r>
    </w:p>
    <w:p w:rsidR="000A156F" w:rsidRDefault="00A9721F">
      <w:pPr>
        <w:pStyle w:val="Definition-Field"/>
      </w:pPr>
      <w:r>
        <w:t xml:space="preserve">a.   </w:t>
      </w:r>
      <w:r>
        <w:rPr>
          <w:i/>
        </w:rPr>
        <w:t>The standard does not specify the EBNF standard used to describe formula.</w:t>
      </w:r>
    </w:p>
    <w:p w:rsidR="000A156F" w:rsidRDefault="00A9721F">
      <w:r>
        <w:t xml:space="preserve">Office defines the syntax rules in this subclause follow the system </w:t>
      </w:r>
      <w:r>
        <w:t>shown in ISO/IEC 14977: literal text is surrounded by double-quotes (or by apostrophes); the left-square-bracket and right-square-bracket designate the start and end of an option; the left-curly-bracket and right-curly-bracket designate the start and end o</w:t>
      </w:r>
      <w:r>
        <w:t>f an sequence of zero-or-more items; the vertical-line indicates an alternative; and each rule ends with a semicolon. Whenever hyphen is used as the exception-symbol (as per ISO/IEC 14977), it is surrounded by white space, and further clarified by a commen</w:t>
      </w:r>
      <w:r>
        <w:t>t.</w:t>
      </w:r>
    </w:p>
    <w:p w:rsidR="000A156F" w:rsidRDefault="00A9721F">
      <w:pPr>
        <w:pStyle w:val="Definition-Field"/>
      </w:pPr>
      <w:r>
        <w:t xml:space="preserve">b.   </w:t>
      </w:r>
      <w:r>
        <w:rPr>
          <w:i/>
        </w:rPr>
        <w:t>The standard does not specify the set of productions for formula using EBNF.</w:t>
      </w:r>
    </w:p>
    <w:p w:rsidR="000A156F" w:rsidRDefault="00A9721F">
      <w:r>
        <w:t>Office writes the productions for formula using the following EBNF:</w:t>
      </w:r>
    </w:p>
    <w:p w:rsidR="000A156F" w:rsidRDefault="00A9721F">
      <w:pPr>
        <w:pStyle w:val="Code"/>
      </w:pPr>
      <w:r>
        <w:t>formula=</w:t>
      </w:r>
    </w:p>
    <w:p w:rsidR="000A156F" w:rsidRDefault="00A9721F">
      <w:pPr>
        <w:pStyle w:val="Code"/>
      </w:pPr>
      <w:r>
        <w:t xml:space="preserve">  expression  ;</w:t>
      </w:r>
    </w:p>
    <w:p w:rsidR="000A156F" w:rsidRDefault="00A9721F">
      <w:pPr>
        <w:pStyle w:val="Code"/>
      </w:pPr>
      <w:r>
        <w:t>expression= {space}, nospace-expression, {space};</w:t>
      </w:r>
    </w:p>
    <w:p w:rsidR="000A156F" w:rsidRDefault="00A9721F">
      <w:pPr>
        <w:pStyle w:val="Code"/>
      </w:pPr>
      <w:r>
        <w:t>nospace-expression=</w:t>
      </w:r>
    </w:p>
    <w:p w:rsidR="000A156F" w:rsidRDefault="00A9721F">
      <w:pPr>
        <w:pStyle w:val="Code"/>
      </w:pPr>
      <w:r>
        <w:t xml:space="preserve">  "(",  </w:t>
      </w:r>
      <w:r>
        <w:t xml:space="preserve">expression,  ")"  | </w:t>
      </w:r>
    </w:p>
    <w:p w:rsidR="000A156F" w:rsidRDefault="00A9721F">
      <w:pPr>
        <w:pStyle w:val="Code"/>
      </w:pPr>
      <w:r>
        <w:t xml:space="preserve">  constant  | </w:t>
      </w:r>
    </w:p>
    <w:p w:rsidR="000A156F" w:rsidRDefault="00A9721F">
      <w:pPr>
        <w:pStyle w:val="Code"/>
      </w:pPr>
      <w:r>
        <w:t xml:space="preserve">  prefix-operator,  expression  | </w:t>
      </w:r>
    </w:p>
    <w:p w:rsidR="000A156F" w:rsidRDefault="00A9721F">
      <w:pPr>
        <w:pStyle w:val="Code"/>
      </w:pPr>
      <w:r>
        <w:t xml:space="preserve">  expression,  infix-operator,  expression  | </w:t>
      </w:r>
    </w:p>
    <w:p w:rsidR="000A156F" w:rsidRDefault="00A9721F">
      <w:pPr>
        <w:pStyle w:val="Code"/>
      </w:pPr>
      <w:r>
        <w:t xml:space="preserve">  expression,  postfix-operator  | </w:t>
      </w:r>
    </w:p>
    <w:p w:rsidR="000A156F" w:rsidRDefault="00A9721F">
      <w:pPr>
        <w:pStyle w:val="Code"/>
      </w:pPr>
      <w:r>
        <w:t xml:space="preserve">  cell-reference  |</w:t>
      </w:r>
    </w:p>
    <w:p w:rsidR="000A156F" w:rsidRDefault="00A9721F">
      <w:pPr>
        <w:pStyle w:val="Code"/>
      </w:pPr>
      <w:r>
        <w:t xml:space="preserve">  function-call  | </w:t>
      </w:r>
    </w:p>
    <w:p w:rsidR="000A156F" w:rsidRDefault="00A9721F">
      <w:pPr>
        <w:pStyle w:val="Code"/>
      </w:pPr>
      <w:r>
        <w:t xml:space="preserve">  name-reference  |</w:t>
      </w:r>
    </w:p>
    <w:p w:rsidR="000A156F" w:rsidRDefault="00A9721F">
      <w:pPr>
        <w:pStyle w:val="Code"/>
      </w:pPr>
      <w:r>
        <w:t>structure-reference ;</w:t>
      </w:r>
    </w:p>
    <w:p w:rsidR="000A156F" w:rsidRDefault="00A9721F">
      <w:pPr>
        <w:pStyle w:val="Definition-Field"/>
      </w:pPr>
      <w:r>
        <w:t xml:space="preserve">c.   </w:t>
      </w:r>
      <w:r>
        <w:rPr>
          <w:i/>
        </w:rPr>
        <w:t>The standard do</w:t>
      </w:r>
      <w:r>
        <w:rPr>
          <w:i/>
        </w:rPr>
        <w:t>es not state that structured referencing in formulas is allowed.</w:t>
      </w:r>
    </w:p>
    <w:p w:rsidR="000A156F" w:rsidRDefault="00A9721F">
      <w:pPr>
        <w:pStyle w:val="Definition-Field2"/>
      </w:pPr>
      <w:r>
        <w:t>Office allows structured referencing in formulas.</w:t>
      </w:r>
    </w:p>
    <w:p w:rsidR="000A156F" w:rsidRDefault="00A9721F">
      <w:pPr>
        <w:pStyle w:val="Definition-Field"/>
      </w:pPr>
      <w:r>
        <w:t xml:space="preserve">d.   </w:t>
      </w:r>
      <w:r>
        <w:rPr>
          <w:i/>
        </w:rPr>
        <w:t>The standard provides a rather loose definition of value space for arithmetic terms in an expression.</w:t>
      </w:r>
    </w:p>
    <w:p w:rsidR="000A156F" w:rsidRDefault="00A9721F">
      <w:pPr>
        <w:pStyle w:val="Definition-Field2"/>
      </w:pPr>
      <w:r>
        <w:t xml:space="preserve">Excel uses IEC 60559's double </w:t>
      </w:r>
      <w:r>
        <w:t>precision, excluding denormalized numbers.</w:t>
      </w:r>
    </w:p>
    <w:p w:rsidR="000A156F" w:rsidRDefault="00A9721F">
      <w:pPr>
        <w:pStyle w:val="Definition-Field"/>
      </w:pPr>
      <w:r>
        <w:t xml:space="preserve">e.   </w:t>
      </w:r>
      <w:r>
        <w:rPr>
          <w:i/>
        </w:rPr>
        <w:t>The standard does not define how behavior of range values differ between array formulas and normal formulas.</w:t>
      </w:r>
    </w:p>
    <w:p w:rsidR="000A156F" w:rsidRDefault="00A9721F">
      <w:r>
        <w:t>In Office, the way in which input ranges are interpreted and output values are understood to relate</w:t>
      </w:r>
      <w:r>
        <w:t xml:space="preserve"> to cells sharing the formula may mean one of two things based on whether the formula was an array formula or not.</w:t>
      </w:r>
    </w:p>
    <w:p w:rsidR="000A156F" w:rsidRDefault="00A9721F">
      <w:r>
        <w:t>For an array-entered formula: All range arguments are interpreted to be their full range. If the result of the formula is an array, the value</w:t>
      </w:r>
      <w:r>
        <w:t>s of the array are meant to be returned across all of the cells in the sheet sharing the formula. (When the size of the range for an array formula exceeds in either dimension the size of the returned array, the excess cells take on a value of </w:t>
      </w:r>
      <w:r>
        <w:rPr>
          <w:rStyle w:val="InlineCode"/>
        </w:rPr>
        <w:t>#N/A.</w:t>
      </w:r>
      <w:r>
        <w:t>)</w:t>
      </w:r>
    </w:p>
    <w:p w:rsidR="000A156F" w:rsidRDefault="00A9721F">
      <w:r>
        <w:t xml:space="preserve">For a </w:t>
      </w:r>
      <w:r>
        <w:t>normal (non-array) formula:</w:t>
      </w:r>
    </w:p>
    <w:p w:rsidR="000A156F" w:rsidRDefault="00A9721F">
      <w:pPr>
        <w:pStyle w:val="ListParagraph"/>
        <w:numPr>
          <w:ilvl w:val="0"/>
          <w:numId w:val="70"/>
        </w:numPr>
        <w:contextualSpacing/>
      </w:pPr>
      <w:r>
        <w:t>Implicit intersection is performed on all arguments to functions except for those that allow a range.</w:t>
      </w:r>
    </w:p>
    <w:p w:rsidR="000A156F" w:rsidRDefault="00A9721F">
      <w:pPr>
        <w:pStyle w:val="ListParagraph"/>
        <w:numPr>
          <w:ilvl w:val="0"/>
          <w:numId w:val="70"/>
        </w:numPr>
        <w:contextualSpacing/>
      </w:pPr>
      <w:r>
        <w:t>If the formula results in an array, only the first value from the array is returned to the cell.</w:t>
      </w:r>
    </w:p>
    <w:p w:rsidR="000A156F" w:rsidRDefault="00A9721F">
      <w:pPr>
        <w:pStyle w:val="ListParagraph"/>
        <w:numPr>
          <w:ilvl w:val="0"/>
          <w:numId w:val="70"/>
        </w:numPr>
      </w:pPr>
      <w:r>
        <w:lastRenderedPageBreak/>
        <w:t xml:space="preserve">In Office, if implicit </w:t>
      </w:r>
      <w:r>
        <w:t>intersection cannot be performed, #VALUE! is returned to the cell.</w:t>
      </w:r>
    </w:p>
    <w:p w:rsidR="000A156F" w:rsidRDefault="00A9721F">
      <w:r>
        <w:t>Implicit intersection is determined as follows: When a range is passed to a function which expects only a single cell, a test is made to discover whether the calling cell intersects that ra</w:t>
      </w:r>
      <w:r>
        <w:t>nge at any point horizontally or vertically. If it does, the cell at the point of intersection is passed to the function. [Example: The formula ABS(B1:B3) is entered into A2. Because the ABS function does not expect a range, implicit intersection is perfor</w:t>
      </w:r>
      <w:r>
        <w:t>med. A2 intersects B1:B3 horizontally on row 2, and so the value in B2 is passed into the function. end example]</w:t>
      </w:r>
    </w:p>
    <w:p w:rsidR="000A156F" w:rsidRDefault="00A9721F">
      <w:pPr>
        <w:pStyle w:val="Definition-Field"/>
      </w:pPr>
      <w:r>
        <w:t xml:space="preserve">f.   </w:t>
      </w:r>
      <w:r>
        <w:rPr>
          <w:i/>
        </w:rPr>
        <w:t>The standard does specify which function's arguments can be a range.</w:t>
      </w:r>
    </w:p>
    <w:p w:rsidR="000A156F" w:rsidRDefault="00A9721F">
      <w:r>
        <w:t>Office defines the list of function arguments that allow a range is a</w:t>
      </w:r>
      <w:r>
        <w:t>s follows:</w:t>
      </w:r>
    </w:p>
    <w:p w:rsidR="000A156F" w:rsidRDefault="00A9721F">
      <w:pPr>
        <w:pStyle w:val="ListParagraph"/>
        <w:numPr>
          <w:ilvl w:val="0"/>
          <w:numId w:val="71"/>
        </w:numPr>
        <w:contextualSpacing/>
      </w:pPr>
      <w:r>
        <w:t>ACCRINT - all arguments</w:t>
      </w:r>
    </w:p>
    <w:p w:rsidR="000A156F" w:rsidRDefault="00A9721F">
      <w:pPr>
        <w:pStyle w:val="ListParagraph"/>
        <w:numPr>
          <w:ilvl w:val="0"/>
          <w:numId w:val="71"/>
        </w:numPr>
        <w:contextualSpacing/>
      </w:pPr>
      <w:r>
        <w:t>ACCRINTM - all arguments</w:t>
      </w:r>
    </w:p>
    <w:p w:rsidR="000A156F" w:rsidRDefault="00A9721F">
      <w:pPr>
        <w:pStyle w:val="ListParagraph"/>
        <w:numPr>
          <w:ilvl w:val="0"/>
          <w:numId w:val="71"/>
        </w:numPr>
        <w:contextualSpacing/>
      </w:pPr>
      <w:r>
        <w:t>AMORDEGRC - all arguments</w:t>
      </w:r>
    </w:p>
    <w:p w:rsidR="000A156F" w:rsidRDefault="00A9721F">
      <w:pPr>
        <w:pStyle w:val="ListParagraph"/>
        <w:numPr>
          <w:ilvl w:val="0"/>
          <w:numId w:val="71"/>
        </w:numPr>
        <w:contextualSpacing/>
      </w:pPr>
      <w:r>
        <w:t>AMORLINC - all arguments</w:t>
      </w:r>
    </w:p>
    <w:p w:rsidR="000A156F" w:rsidRDefault="00A9721F">
      <w:pPr>
        <w:pStyle w:val="ListParagraph"/>
        <w:numPr>
          <w:ilvl w:val="0"/>
          <w:numId w:val="71"/>
        </w:numPr>
        <w:contextualSpacing/>
      </w:pPr>
      <w:r>
        <w:t>AND - all arguments</w:t>
      </w:r>
    </w:p>
    <w:p w:rsidR="000A156F" w:rsidRDefault="00A9721F">
      <w:pPr>
        <w:pStyle w:val="ListParagraph"/>
        <w:numPr>
          <w:ilvl w:val="0"/>
          <w:numId w:val="71"/>
        </w:numPr>
        <w:contextualSpacing/>
      </w:pPr>
      <w:r>
        <w:t>AREAS – reference argument</w:t>
      </w:r>
    </w:p>
    <w:p w:rsidR="000A156F" w:rsidRDefault="00A9721F">
      <w:pPr>
        <w:pStyle w:val="ListParagraph"/>
        <w:numPr>
          <w:ilvl w:val="0"/>
          <w:numId w:val="71"/>
        </w:numPr>
        <w:contextualSpacing/>
      </w:pPr>
      <w:r>
        <w:t>AVEDEV - all arguments</w:t>
      </w:r>
    </w:p>
    <w:p w:rsidR="000A156F" w:rsidRDefault="00A9721F">
      <w:pPr>
        <w:pStyle w:val="ListParagraph"/>
        <w:numPr>
          <w:ilvl w:val="0"/>
          <w:numId w:val="71"/>
        </w:numPr>
        <w:contextualSpacing/>
      </w:pPr>
      <w:r>
        <w:t>AVERAGE - all arguments</w:t>
      </w:r>
    </w:p>
    <w:p w:rsidR="000A156F" w:rsidRDefault="00A9721F">
      <w:pPr>
        <w:pStyle w:val="ListParagraph"/>
        <w:numPr>
          <w:ilvl w:val="0"/>
          <w:numId w:val="71"/>
        </w:numPr>
        <w:contextualSpacing/>
      </w:pPr>
      <w:r>
        <w:t>AVERAGEA - all arguments</w:t>
      </w:r>
    </w:p>
    <w:p w:rsidR="000A156F" w:rsidRDefault="00A9721F">
      <w:pPr>
        <w:pStyle w:val="ListParagraph"/>
        <w:numPr>
          <w:ilvl w:val="0"/>
          <w:numId w:val="71"/>
        </w:numPr>
        <w:contextualSpacing/>
      </w:pPr>
      <w:r>
        <w:t xml:space="preserve">AVERAGEIF - all arguments </w:t>
      </w:r>
      <w:r>
        <w:t>except for criteria</w:t>
      </w:r>
    </w:p>
    <w:p w:rsidR="000A156F" w:rsidRDefault="00A9721F">
      <w:pPr>
        <w:pStyle w:val="ListParagraph"/>
        <w:numPr>
          <w:ilvl w:val="0"/>
          <w:numId w:val="71"/>
        </w:numPr>
        <w:contextualSpacing/>
      </w:pPr>
      <w:r>
        <w:t>AVERAGEIFS - all arguments except for criteria1, criteria2, and so on.</w:t>
      </w:r>
    </w:p>
    <w:p w:rsidR="000A156F" w:rsidRDefault="00A9721F">
      <w:pPr>
        <w:pStyle w:val="ListParagraph"/>
        <w:numPr>
          <w:ilvl w:val="0"/>
          <w:numId w:val="71"/>
        </w:numPr>
        <w:contextualSpacing/>
      </w:pPr>
      <w:r>
        <w:t>BESSELI - all arguments</w:t>
      </w:r>
    </w:p>
    <w:p w:rsidR="000A156F" w:rsidRDefault="00A9721F">
      <w:pPr>
        <w:pStyle w:val="ListParagraph"/>
        <w:numPr>
          <w:ilvl w:val="0"/>
          <w:numId w:val="71"/>
        </w:numPr>
        <w:contextualSpacing/>
      </w:pPr>
      <w:r>
        <w:t>BESSELJ - all arguments</w:t>
      </w:r>
    </w:p>
    <w:p w:rsidR="000A156F" w:rsidRDefault="00A9721F">
      <w:pPr>
        <w:pStyle w:val="ListParagraph"/>
        <w:numPr>
          <w:ilvl w:val="0"/>
          <w:numId w:val="71"/>
        </w:numPr>
        <w:contextualSpacing/>
      </w:pPr>
      <w:r>
        <w:t>BESSELK - all arguments</w:t>
      </w:r>
    </w:p>
    <w:p w:rsidR="000A156F" w:rsidRDefault="00A9721F">
      <w:pPr>
        <w:pStyle w:val="ListParagraph"/>
        <w:numPr>
          <w:ilvl w:val="0"/>
          <w:numId w:val="71"/>
        </w:numPr>
        <w:contextualSpacing/>
      </w:pPr>
      <w:r>
        <w:t>BESSELY - all arguments</w:t>
      </w:r>
    </w:p>
    <w:p w:rsidR="000A156F" w:rsidRDefault="00A9721F">
      <w:pPr>
        <w:pStyle w:val="ListParagraph"/>
        <w:numPr>
          <w:ilvl w:val="0"/>
          <w:numId w:val="71"/>
        </w:numPr>
        <w:contextualSpacing/>
      </w:pPr>
      <w:r>
        <w:t>BIN2DEC - all arguments</w:t>
      </w:r>
    </w:p>
    <w:p w:rsidR="000A156F" w:rsidRDefault="00A9721F">
      <w:pPr>
        <w:pStyle w:val="ListParagraph"/>
        <w:numPr>
          <w:ilvl w:val="0"/>
          <w:numId w:val="71"/>
        </w:numPr>
        <w:contextualSpacing/>
      </w:pPr>
      <w:r>
        <w:t>BIN2HEX - all arguments</w:t>
      </w:r>
    </w:p>
    <w:p w:rsidR="000A156F" w:rsidRDefault="00A9721F">
      <w:pPr>
        <w:pStyle w:val="ListParagraph"/>
        <w:numPr>
          <w:ilvl w:val="0"/>
          <w:numId w:val="71"/>
        </w:numPr>
        <w:contextualSpacing/>
      </w:pPr>
      <w:r>
        <w:t>BIN2OCT - all argumen</w:t>
      </w:r>
      <w:r>
        <w:t>ts</w:t>
      </w:r>
    </w:p>
    <w:p w:rsidR="000A156F" w:rsidRDefault="00A9721F">
      <w:pPr>
        <w:pStyle w:val="ListParagraph"/>
        <w:numPr>
          <w:ilvl w:val="0"/>
          <w:numId w:val="71"/>
        </w:numPr>
        <w:contextualSpacing/>
      </w:pPr>
      <w:r>
        <w:t>CHOOSE - all arguments except index</w:t>
      </w:r>
    </w:p>
    <w:p w:rsidR="000A156F" w:rsidRDefault="00A9721F">
      <w:pPr>
        <w:pStyle w:val="ListParagraph"/>
        <w:numPr>
          <w:ilvl w:val="0"/>
          <w:numId w:val="71"/>
        </w:numPr>
        <w:contextualSpacing/>
      </w:pPr>
      <w:r>
        <w:t>COLUMN - all arguments</w:t>
      </w:r>
    </w:p>
    <w:p w:rsidR="000A156F" w:rsidRDefault="00A9721F">
      <w:pPr>
        <w:pStyle w:val="ListParagraph"/>
        <w:numPr>
          <w:ilvl w:val="0"/>
          <w:numId w:val="71"/>
        </w:numPr>
        <w:contextualSpacing/>
      </w:pPr>
      <w:r>
        <w:t>COLUMNS - all arguments</w:t>
      </w:r>
    </w:p>
    <w:p w:rsidR="000A156F" w:rsidRDefault="00A9721F">
      <w:pPr>
        <w:pStyle w:val="ListParagraph"/>
        <w:numPr>
          <w:ilvl w:val="0"/>
          <w:numId w:val="71"/>
        </w:numPr>
        <w:contextualSpacing/>
      </w:pPr>
      <w:r>
        <w:t>COMPLEX - all arguments</w:t>
      </w:r>
    </w:p>
    <w:p w:rsidR="000A156F" w:rsidRDefault="00A9721F">
      <w:pPr>
        <w:pStyle w:val="ListParagraph"/>
        <w:numPr>
          <w:ilvl w:val="0"/>
          <w:numId w:val="71"/>
        </w:numPr>
        <w:contextualSpacing/>
      </w:pPr>
      <w:r>
        <w:t>CONVERT - all arguments</w:t>
      </w:r>
    </w:p>
    <w:p w:rsidR="000A156F" w:rsidRDefault="00A9721F">
      <w:pPr>
        <w:pStyle w:val="ListParagraph"/>
        <w:numPr>
          <w:ilvl w:val="0"/>
          <w:numId w:val="71"/>
        </w:numPr>
        <w:contextualSpacing/>
      </w:pPr>
      <w:r>
        <w:t>COUNT - all arguments</w:t>
      </w:r>
    </w:p>
    <w:p w:rsidR="000A156F" w:rsidRDefault="00A9721F">
      <w:pPr>
        <w:pStyle w:val="ListParagraph"/>
        <w:numPr>
          <w:ilvl w:val="0"/>
          <w:numId w:val="71"/>
        </w:numPr>
        <w:contextualSpacing/>
      </w:pPr>
      <w:r>
        <w:t>COUNTA - all arguments</w:t>
      </w:r>
    </w:p>
    <w:p w:rsidR="000A156F" w:rsidRDefault="00A9721F">
      <w:pPr>
        <w:pStyle w:val="ListParagraph"/>
        <w:numPr>
          <w:ilvl w:val="0"/>
          <w:numId w:val="71"/>
        </w:numPr>
        <w:contextualSpacing/>
      </w:pPr>
      <w:r>
        <w:t>COUNTBLANK - all arguments</w:t>
      </w:r>
    </w:p>
    <w:p w:rsidR="000A156F" w:rsidRDefault="00A9721F">
      <w:pPr>
        <w:pStyle w:val="ListParagraph"/>
        <w:numPr>
          <w:ilvl w:val="0"/>
          <w:numId w:val="71"/>
        </w:numPr>
        <w:contextualSpacing/>
      </w:pPr>
      <w:r>
        <w:t>COUNTIF - all arguments except criteria</w:t>
      </w:r>
    </w:p>
    <w:p w:rsidR="000A156F" w:rsidRDefault="00A9721F">
      <w:pPr>
        <w:pStyle w:val="ListParagraph"/>
        <w:numPr>
          <w:ilvl w:val="0"/>
          <w:numId w:val="71"/>
        </w:numPr>
        <w:contextualSpacing/>
      </w:pPr>
      <w:r>
        <w:t>COUNTIFS -</w:t>
      </w:r>
      <w:r>
        <w:t xml:space="preserve"> all arguments except for criteria1, criteria2, and so on.</w:t>
      </w:r>
    </w:p>
    <w:p w:rsidR="000A156F" w:rsidRDefault="00A9721F">
      <w:pPr>
        <w:pStyle w:val="ListParagraph"/>
        <w:numPr>
          <w:ilvl w:val="0"/>
          <w:numId w:val="71"/>
        </w:numPr>
        <w:contextualSpacing/>
      </w:pPr>
      <w:r>
        <w:t>COUPDAYBS- all arguments</w:t>
      </w:r>
    </w:p>
    <w:p w:rsidR="000A156F" w:rsidRDefault="00A9721F">
      <w:pPr>
        <w:pStyle w:val="ListParagraph"/>
        <w:numPr>
          <w:ilvl w:val="0"/>
          <w:numId w:val="71"/>
        </w:numPr>
        <w:contextualSpacing/>
      </w:pPr>
      <w:r>
        <w:t>COUPDAYS - all arguments</w:t>
      </w:r>
    </w:p>
    <w:p w:rsidR="000A156F" w:rsidRDefault="00A9721F">
      <w:pPr>
        <w:pStyle w:val="ListParagraph"/>
        <w:numPr>
          <w:ilvl w:val="0"/>
          <w:numId w:val="71"/>
        </w:numPr>
        <w:contextualSpacing/>
      </w:pPr>
      <w:r>
        <w:t>COUPDAYSNC - all arguments</w:t>
      </w:r>
    </w:p>
    <w:p w:rsidR="000A156F" w:rsidRDefault="00A9721F">
      <w:pPr>
        <w:pStyle w:val="ListParagraph"/>
        <w:numPr>
          <w:ilvl w:val="0"/>
          <w:numId w:val="71"/>
        </w:numPr>
        <w:contextualSpacing/>
      </w:pPr>
      <w:r>
        <w:t>COUPNCD - all arguments</w:t>
      </w:r>
    </w:p>
    <w:p w:rsidR="000A156F" w:rsidRDefault="00A9721F">
      <w:pPr>
        <w:pStyle w:val="ListParagraph"/>
        <w:numPr>
          <w:ilvl w:val="0"/>
          <w:numId w:val="71"/>
        </w:numPr>
        <w:contextualSpacing/>
      </w:pPr>
      <w:r>
        <w:t>COUPNUM - all arguments</w:t>
      </w:r>
    </w:p>
    <w:p w:rsidR="000A156F" w:rsidRDefault="00A9721F">
      <w:pPr>
        <w:pStyle w:val="ListParagraph"/>
        <w:numPr>
          <w:ilvl w:val="0"/>
          <w:numId w:val="71"/>
        </w:numPr>
        <w:contextualSpacing/>
      </w:pPr>
      <w:r>
        <w:t>COUPPCD - all arguments</w:t>
      </w:r>
    </w:p>
    <w:p w:rsidR="000A156F" w:rsidRDefault="00A9721F">
      <w:pPr>
        <w:pStyle w:val="ListParagraph"/>
        <w:numPr>
          <w:ilvl w:val="0"/>
          <w:numId w:val="71"/>
        </w:numPr>
        <w:contextualSpacing/>
      </w:pPr>
      <w:r>
        <w:t>CUBEMEMBER - member-expression</w:t>
      </w:r>
    </w:p>
    <w:p w:rsidR="000A156F" w:rsidRDefault="00A9721F">
      <w:pPr>
        <w:pStyle w:val="ListParagraph"/>
        <w:numPr>
          <w:ilvl w:val="0"/>
          <w:numId w:val="71"/>
        </w:numPr>
        <w:contextualSpacing/>
      </w:pPr>
      <w:r>
        <w:t xml:space="preserve">CUBESET - </w:t>
      </w:r>
      <w:r>
        <w:t>set-expression</w:t>
      </w:r>
    </w:p>
    <w:p w:rsidR="000A156F" w:rsidRDefault="00A9721F">
      <w:pPr>
        <w:pStyle w:val="ListParagraph"/>
        <w:numPr>
          <w:ilvl w:val="0"/>
          <w:numId w:val="71"/>
        </w:numPr>
        <w:contextualSpacing/>
      </w:pPr>
      <w:r>
        <w:t>CUBEVALUE - all except connection</w:t>
      </w:r>
    </w:p>
    <w:p w:rsidR="000A156F" w:rsidRDefault="00A9721F">
      <w:pPr>
        <w:pStyle w:val="ListParagraph"/>
        <w:numPr>
          <w:ilvl w:val="0"/>
          <w:numId w:val="71"/>
        </w:numPr>
        <w:contextualSpacing/>
      </w:pPr>
      <w:r>
        <w:t>CUMIPMT - all arguments</w:t>
      </w:r>
    </w:p>
    <w:p w:rsidR="000A156F" w:rsidRDefault="00A9721F">
      <w:pPr>
        <w:pStyle w:val="ListParagraph"/>
        <w:numPr>
          <w:ilvl w:val="0"/>
          <w:numId w:val="71"/>
        </w:numPr>
        <w:contextualSpacing/>
      </w:pPr>
      <w:r>
        <w:t>CUMPRINC - all arguments</w:t>
      </w:r>
    </w:p>
    <w:p w:rsidR="000A156F" w:rsidRDefault="00A9721F">
      <w:pPr>
        <w:pStyle w:val="ListParagraph"/>
        <w:numPr>
          <w:ilvl w:val="0"/>
          <w:numId w:val="71"/>
        </w:numPr>
        <w:contextualSpacing/>
      </w:pPr>
      <w:r>
        <w:t>DAVERAGE - all arguments</w:t>
      </w:r>
    </w:p>
    <w:p w:rsidR="000A156F" w:rsidRDefault="00A9721F">
      <w:pPr>
        <w:pStyle w:val="ListParagraph"/>
        <w:numPr>
          <w:ilvl w:val="0"/>
          <w:numId w:val="71"/>
        </w:numPr>
        <w:contextualSpacing/>
      </w:pPr>
      <w:r>
        <w:t>DCOUNT - all arguments</w:t>
      </w:r>
    </w:p>
    <w:p w:rsidR="000A156F" w:rsidRDefault="00A9721F">
      <w:pPr>
        <w:pStyle w:val="ListParagraph"/>
        <w:numPr>
          <w:ilvl w:val="0"/>
          <w:numId w:val="71"/>
        </w:numPr>
        <w:contextualSpacing/>
      </w:pPr>
      <w:r>
        <w:t>DCOUNTA - all arguments</w:t>
      </w:r>
    </w:p>
    <w:p w:rsidR="000A156F" w:rsidRDefault="00A9721F">
      <w:pPr>
        <w:pStyle w:val="ListParagraph"/>
        <w:numPr>
          <w:ilvl w:val="0"/>
          <w:numId w:val="71"/>
        </w:numPr>
        <w:contextualSpacing/>
      </w:pPr>
      <w:r>
        <w:t>DEC2BIN - all arguments</w:t>
      </w:r>
    </w:p>
    <w:p w:rsidR="000A156F" w:rsidRDefault="00A9721F">
      <w:pPr>
        <w:pStyle w:val="ListParagraph"/>
        <w:numPr>
          <w:ilvl w:val="0"/>
          <w:numId w:val="71"/>
        </w:numPr>
        <w:contextualSpacing/>
      </w:pPr>
      <w:r>
        <w:t>DEC2HEX - all arguments</w:t>
      </w:r>
    </w:p>
    <w:p w:rsidR="000A156F" w:rsidRDefault="00A9721F">
      <w:pPr>
        <w:pStyle w:val="ListParagraph"/>
        <w:numPr>
          <w:ilvl w:val="0"/>
          <w:numId w:val="71"/>
        </w:numPr>
        <w:contextualSpacing/>
      </w:pPr>
      <w:r>
        <w:t>DEC2OCT - all arguments</w:t>
      </w:r>
    </w:p>
    <w:p w:rsidR="000A156F" w:rsidRDefault="00A9721F">
      <w:pPr>
        <w:pStyle w:val="ListParagraph"/>
        <w:numPr>
          <w:ilvl w:val="0"/>
          <w:numId w:val="71"/>
        </w:numPr>
        <w:contextualSpacing/>
      </w:pPr>
      <w:r>
        <w:lastRenderedPageBreak/>
        <w:t>DELTA - all ar</w:t>
      </w:r>
      <w:r>
        <w:t>guments</w:t>
      </w:r>
    </w:p>
    <w:p w:rsidR="000A156F" w:rsidRDefault="00A9721F">
      <w:pPr>
        <w:pStyle w:val="ListParagraph"/>
        <w:numPr>
          <w:ilvl w:val="0"/>
          <w:numId w:val="71"/>
        </w:numPr>
        <w:contextualSpacing/>
      </w:pPr>
      <w:r>
        <w:t>DEVSQ - all arguments</w:t>
      </w:r>
    </w:p>
    <w:p w:rsidR="000A156F" w:rsidRDefault="00A9721F">
      <w:pPr>
        <w:pStyle w:val="ListParagraph"/>
        <w:numPr>
          <w:ilvl w:val="0"/>
          <w:numId w:val="71"/>
        </w:numPr>
        <w:contextualSpacing/>
      </w:pPr>
      <w:r>
        <w:t>DGET - all arguments</w:t>
      </w:r>
    </w:p>
    <w:p w:rsidR="000A156F" w:rsidRDefault="00A9721F">
      <w:pPr>
        <w:pStyle w:val="ListParagraph"/>
        <w:numPr>
          <w:ilvl w:val="0"/>
          <w:numId w:val="71"/>
        </w:numPr>
        <w:contextualSpacing/>
      </w:pPr>
      <w:r>
        <w:t>DISC - all arguments</w:t>
      </w:r>
    </w:p>
    <w:p w:rsidR="000A156F" w:rsidRDefault="00A9721F">
      <w:pPr>
        <w:pStyle w:val="ListParagraph"/>
        <w:numPr>
          <w:ilvl w:val="0"/>
          <w:numId w:val="71"/>
        </w:numPr>
        <w:contextualSpacing/>
      </w:pPr>
      <w:r>
        <w:t>DMAX - all arguments</w:t>
      </w:r>
    </w:p>
    <w:p w:rsidR="000A156F" w:rsidRDefault="00A9721F">
      <w:pPr>
        <w:pStyle w:val="ListParagraph"/>
        <w:numPr>
          <w:ilvl w:val="0"/>
          <w:numId w:val="71"/>
        </w:numPr>
        <w:contextualSpacing/>
      </w:pPr>
      <w:r>
        <w:t>DMIN - all arguments</w:t>
      </w:r>
    </w:p>
    <w:p w:rsidR="000A156F" w:rsidRDefault="00A9721F">
      <w:pPr>
        <w:pStyle w:val="ListParagraph"/>
        <w:numPr>
          <w:ilvl w:val="0"/>
          <w:numId w:val="71"/>
        </w:numPr>
        <w:contextualSpacing/>
      </w:pPr>
      <w:r>
        <w:t>DOLLARDE - all arguments</w:t>
      </w:r>
    </w:p>
    <w:p w:rsidR="000A156F" w:rsidRDefault="00A9721F">
      <w:pPr>
        <w:pStyle w:val="ListParagraph"/>
        <w:numPr>
          <w:ilvl w:val="0"/>
          <w:numId w:val="71"/>
        </w:numPr>
        <w:contextualSpacing/>
      </w:pPr>
      <w:r>
        <w:t>DOLLARFR - all arguments</w:t>
      </w:r>
    </w:p>
    <w:p w:rsidR="000A156F" w:rsidRDefault="00A9721F">
      <w:pPr>
        <w:pStyle w:val="ListParagraph"/>
        <w:numPr>
          <w:ilvl w:val="0"/>
          <w:numId w:val="71"/>
        </w:numPr>
        <w:contextualSpacing/>
      </w:pPr>
      <w:r>
        <w:t>DPRODUCT - all arguments</w:t>
      </w:r>
    </w:p>
    <w:p w:rsidR="000A156F" w:rsidRDefault="00A9721F">
      <w:pPr>
        <w:pStyle w:val="ListParagraph"/>
        <w:numPr>
          <w:ilvl w:val="0"/>
          <w:numId w:val="71"/>
        </w:numPr>
        <w:contextualSpacing/>
      </w:pPr>
      <w:r>
        <w:t>DSTDEV - all arguments</w:t>
      </w:r>
    </w:p>
    <w:p w:rsidR="000A156F" w:rsidRDefault="00A9721F">
      <w:pPr>
        <w:pStyle w:val="ListParagraph"/>
        <w:numPr>
          <w:ilvl w:val="0"/>
          <w:numId w:val="71"/>
        </w:numPr>
        <w:contextualSpacing/>
      </w:pPr>
      <w:r>
        <w:t>DSTDEVP - all arguments</w:t>
      </w:r>
    </w:p>
    <w:p w:rsidR="000A156F" w:rsidRDefault="00A9721F">
      <w:pPr>
        <w:pStyle w:val="ListParagraph"/>
        <w:numPr>
          <w:ilvl w:val="0"/>
          <w:numId w:val="71"/>
        </w:numPr>
        <w:contextualSpacing/>
      </w:pPr>
      <w:r>
        <w:t>DSUM - all arguments</w:t>
      </w:r>
    </w:p>
    <w:p w:rsidR="000A156F" w:rsidRDefault="00A9721F">
      <w:pPr>
        <w:pStyle w:val="ListParagraph"/>
        <w:numPr>
          <w:ilvl w:val="0"/>
          <w:numId w:val="71"/>
        </w:numPr>
        <w:contextualSpacing/>
      </w:pPr>
      <w:r>
        <w:t>DURATION - all arguments</w:t>
      </w:r>
    </w:p>
    <w:p w:rsidR="000A156F" w:rsidRDefault="00A9721F">
      <w:pPr>
        <w:pStyle w:val="ListParagraph"/>
        <w:numPr>
          <w:ilvl w:val="0"/>
          <w:numId w:val="71"/>
        </w:numPr>
        <w:contextualSpacing/>
      </w:pPr>
      <w:r>
        <w:t>DVAR - all arguments</w:t>
      </w:r>
    </w:p>
    <w:p w:rsidR="000A156F" w:rsidRDefault="00A9721F">
      <w:pPr>
        <w:pStyle w:val="ListParagraph"/>
        <w:numPr>
          <w:ilvl w:val="0"/>
          <w:numId w:val="71"/>
        </w:numPr>
        <w:contextualSpacing/>
      </w:pPr>
      <w:r>
        <w:t>DVARP - all arguments</w:t>
      </w:r>
    </w:p>
    <w:p w:rsidR="000A156F" w:rsidRDefault="00A9721F">
      <w:pPr>
        <w:pStyle w:val="ListParagraph"/>
        <w:numPr>
          <w:ilvl w:val="0"/>
          <w:numId w:val="71"/>
        </w:numPr>
        <w:contextualSpacing/>
      </w:pPr>
      <w:r>
        <w:t>EDATE - all arguments</w:t>
      </w:r>
    </w:p>
    <w:p w:rsidR="000A156F" w:rsidRDefault="00A9721F">
      <w:pPr>
        <w:pStyle w:val="ListParagraph"/>
        <w:numPr>
          <w:ilvl w:val="0"/>
          <w:numId w:val="71"/>
        </w:numPr>
        <w:contextualSpacing/>
      </w:pPr>
      <w:r>
        <w:t>EFFECT - all arguments</w:t>
      </w:r>
    </w:p>
    <w:p w:rsidR="000A156F" w:rsidRDefault="00A9721F">
      <w:pPr>
        <w:pStyle w:val="ListParagraph"/>
        <w:numPr>
          <w:ilvl w:val="0"/>
          <w:numId w:val="71"/>
        </w:numPr>
        <w:contextualSpacing/>
      </w:pPr>
      <w:r>
        <w:t>EOMONTH - all arguments</w:t>
      </w:r>
    </w:p>
    <w:p w:rsidR="000A156F" w:rsidRDefault="00A9721F">
      <w:pPr>
        <w:pStyle w:val="ListParagraph"/>
        <w:numPr>
          <w:ilvl w:val="0"/>
          <w:numId w:val="71"/>
        </w:numPr>
        <w:contextualSpacing/>
      </w:pPr>
      <w:r>
        <w:t>ERF - all arguments</w:t>
      </w:r>
    </w:p>
    <w:p w:rsidR="000A156F" w:rsidRDefault="00A9721F">
      <w:pPr>
        <w:pStyle w:val="ListParagraph"/>
        <w:numPr>
          <w:ilvl w:val="0"/>
          <w:numId w:val="71"/>
        </w:numPr>
        <w:contextualSpacing/>
      </w:pPr>
      <w:r>
        <w:t>ERFC - all arguments</w:t>
      </w:r>
    </w:p>
    <w:p w:rsidR="000A156F" w:rsidRDefault="00A9721F">
      <w:pPr>
        <w:pStyle w:val="ListParagraph"/>
        <w:numPr>
          <w:ilvl w:val="0"/>
          <w:numId w:val="71"/>
        </w:numPr>
        <w:contextualSpacing/>
      </w:pPr>
      <w:r>
        <w:t>FACTDOUBLE - all arguments</w:t>
      </w:r>
    </w:p>
    <w:p w:rsidR="000A156F" w:rsidRDefault="00A9721F">
      <w:pPr>
        <w:pStyle w:val="ListParagraph"/>
        <w:numPr>
          <w:ilvl w:val="0"/>
          <w:numId w:val="71"/>
        </w:numPr>
        <w:contextualSpacing/>
      </w:pPr>
      <w:r>
        <w:t>FREQUENCY - all arguments</w:t>
      </w:r>
    </w:p>
    <w:p w:rsidR="000A156F" w:rsidRDefault="00A9721F">
      <w:pPr>
        <w:pStyle w:val="ListParagraph"/>
        <w:numPr>
          <w:ilvl w:val="0"/>
          <w:numId w:val="71"/>
        </w:numPr>
        <w:contextualSpacing/>
      </w:pPr>
      <w:r>
        <w:t>FVSCHEDULE - schedule ar</w:t>
      </w:r>
      <w:r>
        <w:t>gument</w:t>
      </w:r>
    </w:p>
    <w:p w:rsidR="000A156F" w:rsidRDefault="00A9721F">
      <w:pPr>
        <w:pStyle w:val="ListParagraph"/>
        <w:numPr>
          <w:ilvl w:val="0"/>
          <w:numId w:val="71"/>
        </w:numPr>
        <w:contextualSpacing/>
      </w:pPr>
      <w:r>
        <w:t>GCD - all arguments</w:t>
      </w:r>
    </w:p>
    <w:p w:rsidR="000A156F" w:rsidRDefault="00A9721F">
      <w:pPr>
        <w:pStyle w:val="ListParagraph"/>
        <w:numPr>
          <w:ilvl w:val="0"/>
          <w:numId w:val="71"/>
        </w:numPr>
        <w:contextualSpacing/>
      </w:pPr>
      <w:r>
        <w:t>GEOMEAN - all arguments</w:t>
      </w:r>
    </w:p>
    <w:p w:rsidR="000A156F" w:rsidRDefault="00A9721F">
      <w:pPr>
        <w:pStyle w:val="ListParagraph"/>
        <w:numPr>
          <w:ilvl w:val="0"/>
          <w:numId w:val="71"/>
        </w:numPr>
        <w:contextualSpacing/>
      </w:pPr>
      <w:r>
        <w:t>GESTEP - all arguments</w:t>
      </w:r>
    </w:p>
    <w:p w:rsidR="000A156F" w:rsidRDefault="00A9721F">
      <w:pPr>
        <w:pStyle w:val="ListParagraph"/>
        <w:numPr>
          <w:ilvl w:val="0"/>
          <w:numId w:val="71"/>
        </w:numPr>
        <w:contextualSpacing/>
      </w:pPr>
      <w:r>
        <w:t>GETPIVOTDATA - data-field, pivot-table, field-1, and item-1 arguments</w:t>
      </w:r>
    </w:p>
    <w:p w:rsidR="000A156F" w:rsidRDefault="00A9721F">
      <w:pPr>
        <w:pStyle w:val="ListParagraph"/>
        <w:numPr>
          <w:ilvl w:val="0"/>
          <w:numId w:val="71"/>
        </w:numPr>
        <w:contextualSpacing/>
      </w:pPr>
      <w:r>
        <w:t>GROWTH - all arguments</w:t>
      </w:r>
    </w:p>
    <w:p w:rsidR="000A156F" w:rsidRDefault="00A9721F">
      <w:pPr>
        <w:pStyle w:val="ListParagraph"/>
        <w:numPr>
          <w:ilvl w:val="0"/>
          <w:numId w:val="71"/>
        </w:numPr>
        <w:contextualSpacing/>
      </w:pPr>
      <w:r>
        <w:t>HARMEAN - all arguments</w:t>
      </w:r>
    </w:p>
    <w:p w:rsidR="000A156F" w:rsidRDefault="00A9721F">
      <w:pPr>
        <w:pStyle w:val="ListParagraph"/>
        <w:numPr>
          <w:ilvl w:val="0"/>
          <w:numId w:val="71"/>
        </w:numPr>
        <w:contextualSpacing/>
      </w:pPr>
      <w:r>
        <w:t>HEX2BIN - all arguments</w:t>
      </w:r>
    </w:p>
    <w:p w:rsidR="000A156F" w:rsidRDefault="00A9721F">
      <w:pPr>
        <w:pStyle w:val="ListParagraph"/>
        <w:numPr>
          <w:ilvl w:val="0"/>
          <w:numId w:val="71"/>
        </w:numPr>
        <w:contextualSpacing/>
      </w:pPr>
      <w:r>
        <w:t>HEX2DEC - all arguments</w:t>
      </w:r>
    </w:p>
    <w:p w:rsidR="000A156F" w:rsidRDefault="00A9721F">
      <w:pPr>
        <w:pStyle w:val="ListParagraph"/>
        <w:numPr>
          <w:ilvl w:val="0"/>
          <w:numId w:val="71"/>
        </w:numPr>
        <w:contextualSpacing/>
      </w:pPr>
      <w:r>
        <w:t>HEX2OCT - all arg</w:t>
      </w:r>
      <w:r>
        <w:t>uments</w:t>
      </w:r>
    </w:p>
    <w:p w:rsidR="000A156F" w:rsidRDefault="00A9721F">
      <w:pPr>
        <w:pStyle w:val="ListParagraph"/>
        <w:numPr>
          <w:ilvl w:val="0"/>
          <w:numId w:val="71"/>
        </w:numPr>
        <w:contextualSpacing/>
      </w:pPr>
      <w:r>
        <w:t>HLOOKUP - all arguments</w:t>
      </w:r>
    </w:p>
    <w:p w:rsidR="000A156F" w:rsidRDefault="00A9721F">
      <w:pPr>
        <w:pStyle w:val="ListParagraph"/>
        <w:numPr>
          <w:ilvl w:val="0"/>
          <w:numId w:val="71"/>
        </w:numPr>
        <w:contextualSpacing/>
      </w:pPr>
      <w:r>
        <w:t>IFERROR - value-if-error argument</w:t>
      </w:r>
    </w:p>
    <w:p w:rsidR="000A156F" w:rsidRDefault="00A9721F">
      <w:pPr>
        <w:pStyle w:val="ListParagraph"/>
        <w:numPr>
          <w:ilvl w:val="0"/>
          <w:numId w:val="71"/>
        </w:numPr>
        <w:contextualSpacing/>
      </w:pPr>
      <w:r>
        <w:t>IMABS - all arguments</w:t>
      </w:r>
    </w:p>
    <w:p w:rsidR="000A156F" w:rsidRDefault="00A9721F">
      <w:pPr>
        <w:pStyle w:val="ListParagraph"/>
        <w:numPr>
          <w:ilvl w:val="0"/>
          <w:numId w:val="71"/>
        </w:numPr>
        <w:contextualSpacing/>
      </w:pPr>
      <w:r>
        <w:t>IMAGINARY - all arguments</w:t>
      </w:r>
    </w:p>
    <w:p w:rsidR="000A156F" w:rsidRDefault="00A9721F">
      <w:pPr>
        <w:pStyle w:val="ListParagraph"/>
        <w:numPr>
          <w:ilvl w:val="0"/>
          <w:numId w:val="71"/>
        </w:numPr>
        <w:contextualSpacing/>
      </w:pPr>
      <w:r>
        <w:t>IMARGUMENT - all arguments</w:t>
      </w:r>
    </w:p>
    <w:p w:rsidR="000A156F" w:rsidRDefault="00A9721F">
      <w:pPr>
        <w:pStyle w:val="ListParagraph"/>
        <w:numPr>
          <w:ilvl w:val="0"/>
          <w:numId w:val="71"/>
        </w:numPr>
        <w:contextualSpacing/>
      </w:pPr>
      <w:r>
        <w:t>IMCONJUGATE - all arguments</w:t>
      </w:r>
    </w:p>
    <w:p w:rsidR="000A156F" w:rsidRDefault="00A9721F">
      <w:pPr>
        <w:pStyle w:val="ListParagraph"/>
        <w:numPr>
          <w:ilvl w:val="0"/>
          <w:numId w:val="71"/>
        </w:numPr>
        <w:contextualSpacing/>
      </w:pPr>
      <w:r>
        <w:t>IMCOS - all arguments</w:t>
      </w:r>
    </w:p>
    <w:p w:rsidR="000A156F" w:rsidRDefault="00A9721F">
      <w:pPr>
        <w:pStyle w:val="ListParagraph"/>
        <w:numPr>
          <w:ilvl w:val="0"/>
          <w:numId w:val="71"/>
        </w:numPr>
        <w:contextualSpacing/>
      </w:pPr>
      <w:r>
        <w:t>IMDIV - all arguments</w:t>
      </w:r>
    </w:p>
    <w:p w:rsidR="000A156F" w:rsidRDefault="00A9721F">
      <w:pPr>
        <w:pStyle w:val="ListParagraph"/>
        <w:numPr>
          <w:ilvl w:val="0"/>
          <w:numId w:val="71"/>
        </w:numPr>
        <w:contextualSpacing/>
      </w:pPr>
      <w:r>
        <w:t>IMEXP - all arguments</w:t>
      </w:r>
    </w:p>
    <w:p w:rsidR="000A156F" w:rsidRDefault="00A9721F">
      <w:pPr>
        <w:pStyle w:val="ListParagraph"/>
        <w:numPr>
          <w:ilvl w:val="0"/>
          <w:numId w:val="71"/>
        </w:numPr>
        <w:contextualSpacing/>
      </w:pPr>
      <w:r>
        <w:t>IMLN - all arguments</w:t>
      </w:r>
    </w:p>
    <w:p w:rsidR="000A156F" w:rsidRDefault="00A9721F">
      <w:pPr>
        <w:pStyle w:val="ListParagraph"/>
        <w:numPr>
          <w:ilvl w:val="0"/>
          <w:numId w:val="71"/>
        </w:numPr>
        <w:contextualSpacing/>
      </w:pPr>
      <w:r>
        <w:t>IMLOG10 - all arguments</w:t>
      </w:r>
    </w:p>
    <w:p w:rsidR="000A156F" w:rsidRDefault="00A9721F">
      <w:pPr>
        <w:pStyle w:val="ListParagraph"/>
        <w:numPr>
          <w:ilvl w:val="0"/>
          <w:numId w:val="71"/>
        </w:numPr>
        <w:contextualSpacing/>
      </w:pPr>
      <w:r>
        <w:t>IMLOG2 - all arguments</w:t>
      </w:r>
    </w:p>
    <w:p w:rsidR="000A156F" w:rsidRDefault="00A9721F">
      <w:pPr>
        <w:pStyle w:val="ListParagraph"/>
        <w:numPr>
          <w:ilvl w:val="0"/>
          <w:numId w:val="71"/>
        </w:numPr>
        <w:contextualSpacing/>
      </w:pPr>
      <w:r>
        <w:t>IMPOWER - all arguments</w:t>
      </w:r>
    </w:p>
    <w:p w:rsidR="000A156F" w:rsidRDefault="00A9721F">
      <w:pPr>
        <w:pStyle w:val="ListParagraph"/>
        <w:numPr>
          <w:ilvl w:val="0"/>
          <w:numId w:val="71"/>
        </w:numPr>
        <w:contextualSpacing/>
      </w:pPr>
      <w:r>
        <w:t>IMPRODUCT - all arguments</w:t>
      </w:r>
    </w:p>
    <w:p w:rsidR="000A156F" w:rsidRDefault="00A9721F">
      <w:pPr>
        <w:pStyle w:val="ListParagraph"/>
        <w:numPr>
          <w:ilvl w:val="0"/>
          <w:numId w:val="71"/>
        </w:numPr>
        <w:contextualSpacing/>
      </w:pPr>
      <w:r>
        <w:t>IMREAL - all arguments</w:t>
      </w:r>
    </w:p>
    <w:p w:rsidR="000A156F" w:rsidRDefault="00A9721F">
      <w:pPr>
        <w:pStyle w:val="ListParagraph"/>
        <w:numPr>
          <w:ilvl w:val="0"/>
          <w:numId w:val="71"/>
        </w:numPr>
        <w:contextualSpacing/>
      </w:pPr>
      <w:r>
        <w:t>IMSIN - all arguments</w:t>
      </w:r>
    </w:p>
    <w:p w:rsidR="000A156F" w:rsidRDefault="00A9721F">
      <w:pPr>
        <w:pStyle w:val="ListParagraph"/>
        <w:numPr>
          <w:ilvl w:val="0"/>
          <w:numId w:val="71"/>
        </w:numPr>
        <w:contextualSpacing/>
      </w:pPr>
      <w:r>
        <w:t>IMSQRT - all arguments</w:t>
      </w:r>
    </w:p>
    <w:p w:rsidR="000A156F" w:rsidRDefault="00A9721F">
      <w:pPr>
        <w:pStyle w:val="ListParagraph"/>
        <w:numPr>
          <w:ilvl w:val="0"/>
          <w:numId w:val="71"/>
        </w:numPr>
        <w:contextualSpacing/>
      </w:pPr>
      <w:r>
        <w:t>IMSUB - all arguments</w:t>
      </w:r>
    </w:p>
    <w:p w:rsidR="000A156F" w:rsidRDefault="00A9721F">
      <w:pPr>
        <w:pStyle w:val="ListParagraph"/>
        <w:numPr>
          <w:ilvl w:val="0"/>
          <w:numId w:val="71"/>
        </w:numPr>
        <w:contextualSpacing/>
      </w:pPr>
      <w:r>
        <w:t>IMSUM - all arguments</w:t>
      </w:r>
    </w:p>
    <w:p w:rsidR="000A156F" w:rsidRDefault="00A9721F">
      <w:pPr>
        <w:pStyle w:val="ListParagraph"/>
        <w:numPr>
          <w:ilvl w:val="0"/>
          <w:numId w:val="71"/>
        </w:numPr>
        <w:contextualSpacing/>
      </w:pPr>
      <w:r>
        <w:t>INDEX - array or reference argument</w:t>
      </w:r>
    </w:p>
    <w:p w:rsidR="000A156F" w:rsidRDefault="00A9721F">
      <w:pPr>
        <w:pStyle w:val="ListParagraph"/>
        <w:numPr>
          <w:ilvl w:val="0"/>
          <w:numId w:val="71"/>
        </w:numPr>
        <w:contextualSpacing/>
      </w:pPr>
      <w:r>
        <w:t>INTRATE - a</w:t>
      </w:r>
      <w:r>
        <w:t>ll arguments</w:t>
      </w:r>
    </w:p>
    <w:p w:rsidR="000A156F" w:rsidRDefault="00A9721F">
      <w:pPr>
        <w:pStyle w:val="ListParagraph"/>
        <w:numPr>
          <w:ilvl w:val="0"/>
          <w:numId w:val="71"/>
        </w:numPr>
        <w:contextualSpacing/>
      </w:pPr>
      <w:r>
        <w:t>IRR - values argument</w:t>
      </w:r>
    </w:p>
    <w:p w:rsidR="000A156F" w:rsidRDefault="00A9721F">
      <w:pPr>
        <w:pStyle w:val="ListParagraph"/>
        <w:numPr>
          <w:ilvl w:val="0"/>
          <w:numId w:val="71"/>
        </w:numPr>
        <w:contextualSpacing/>
      </w:pPr>
      <w:r>
        <w:t>ISEVEN - all arguments</w:t>
      </w:r>
    </w:p>
    <w:p w:rsidR="000A156F" w:rsidRDefault="00A9721F">
      <w:pPr>
        <w:pStyle w:val="ListParagraph"/>
        <w:numPr>
          <w:ilvl w:val="0"/>
          <w:numId w:val="71"/>
        </w:numPr>
        <w:contextualSpacing/>
      </w:pPr>
      <w:r>
        <w:t>ISODD - all arguments</w:t>
      </w:r>
    </w:p>
    <w:p w:rsidR="000A156F" w:rsidRDefault="00A9721F">
      <w:pPr>
        <w:pStyle w:val="ListParagraph"/>
        <w:numPr>
          <w:ilvl w:val="0"/>
          <w:numId w:val="71"/>
        </w:numPr>
        <w:contextualSpacing/>
      </w:pPr>
      <w:r>
        <w:t>ISREF - all arguments</w:t>
      </w:r>
    </w:p>
    <w:p w:rsidR="000A156F" w:rsidRDefault="00A9721F">
      <w:pPr>
        <w:pStyle w:val="ListParagraph"/>
        <w:numPr>
          <w:ilvl w:val="0"/>
          <w:numId w:val="71"/>
        </w:numPr>
        <w:contextualSpacing/>
      </w:pPr>
      <w:r>
        <w:t>KURT - all arguments</w:t>
      </w:r>
    </w:p>
    <w:p w:rsidR="000A156F" w:rsidRDefault="00A9721F">
      <w:pPr>
        <w:pStyle w:val="ListParagraph"/>
        <w:numPr>
          <w:ilvl w:val="0"/>
          <w:numId w:val="71"/>
        </w:numPr>
        <w:contextualSpacing/>
      </w:pPr>
      <w:r>
        <w:lastRenderedPageBreak/>
        <w:t>LARGE - array argument</w:t>
      </w:r>
    </w:p>
    <w:p w:rsidR="000A156F" w:rsidRDefault="00A9721F">
      <w:pPr>
        <w:pStyle w:val="ListParagraph"/>
        <w:numPr>
          <w:ilvl w:val="0"/>
          <w:numId w:val="71"/>
        </w:numPr>
        <w:contextualSpacing/>
      </w:pPr>
      <w:r>
        <w:t>LCM - all arguments</w:t>
      </w:r>
    </w:p>
    <w:p w:rsidR="000A156F" w:rsidRDefault="00A9721F">
      <w:pPr>
        <w:pStyle w:val="ListParagraph"/>
        <w:numPr>
          <w:ilvl w:val="0"/>
          <w:numId w:val="71"/>
        </w:numPr>
        <w:contextualSpacing/>
      </w:pPr>
      <w:r>
        <w:t>LINEST - known-xs and known-ys arguments</w:t>
      </w:r>
    </w:p>
    <w:p w:rsidR="000A156F" w:rsidRDefault="00A9721F">
      <w:pPr>
        <w:pStyle w:val="ListParagraph"/>
        <w:numPr>
          <w:ilvl w:val="0"/>
          <w:numId w:val="71"/>
        </w:numPr>
        <w:contextualSpacing/>
      </w:pPr>
      <w:r>
        <w:t>LOGEST - known-xs and known-ys arguments</w:t>
      </w:r>
    </w:p>
    <w:p w:rsidR="000A156F" w:rsidRDefault="00A9721F">
      <w:pPr>
        <w:pStyle w:val="ListParagraph"/>
        <w:numPr>
          <w:ilvl w:val="0"/>
          <w:numId w:val="71"/>
        </w:numPr>
        <w:contextualSpacing/>
      </w:pPr>
      <w:r>
        <w:t>LOOKUP -</w:t>
      </w:r>
      <w:r>
        <w:t xml:space="preserve"> all arguments except lookup_value</w:t>
      </w:r>
    </w:p>
    <w:p w:rsidR="000A156F" w:rsidRDefault="00A9721F">
      <w:pPr>
        <w:pStyle w:val="ListParagraph"/>
        <w:numPr>
          <w:ilvl w:val="0"/>
          <w:numId w:val="71"/>
        </w:numPr>
        <w:contextualSpacing/>
      </w:pPr>
      <w:r>
        <w:t>MATCH - lookup_array argument</w:t>
      </w:r>
    </w:p>
    <w:p w:rsidR="000A156F" w:rsidRDefault="00A9721F">
      <w:pPr>
        <w:pStyle w:val="ListParagraph"/>
        <w:numPr>
          <w:ilvl w:val="0"/>
          <w:numId w:val="71"/>
        </w:numPr>
        <w:contextualSpacing/>
      </w:pPr>
      <w:r>
        <w:t>MAX - all arguments</w:t>
      </w:r>
    </w:p>
    <w:p w:rsidR="000A156F" w:rsidRDefault="00A9721F">
      <w:pPr>
        <w:pStyle w:val="ListParagraph"/>
        <w:numPr>
          <w:ilvl w:val="0"/>
          <w:numId w:val="71"/>
        </w:numPr>
        <w:contextualSpacing/>
      </w:pPr>
      <w:r>
        <w:t>MAXA - all arguments</w:t>
      </w:r>
    </w:p>
    <w:p w:rsidR="000A156F" w:rsidRDefault="00A9721F">
      <w:pPr>
        <w:pStyle w:val="ListParagraph"/>
        <w:numPr>
          <w:ilvl w:val="0"/>
          <w:numId w:val="71"/>
        </w:numPr>
        <w:contextualSpacing/>
      </w:pPr>
      <w:r>
        <w:t>MDURATION - all arguments</w:t>
      </w:r>
    </w:p>
    <w:p w:rsidR="000A156F" w:rsidRDefault="00A9721F">
      <w:pPr>
        <w:pStyle w:val="ListParagraph"/>
        <w:numPr>
          <w:ilvl w:val="0"/>
          <w:numId w:val="71"/>
        </w:numPr>
        <w:contextualSpacing/>
      </w:pPr>
      <w:r>
        <w:t>MEDIAN - all arguments</w:t>
      </w:r>
    </w:p>
    <w:p w:rsidR="000A156F" w:rsidRDefault="00A9721F">
      <w:pPr>
        <w:pStyle w:val="ListParagraph"/>
        <w:numPr>
          <w:ilvl w:val="0"/>
          <w:numId w:val="71"/>
        </w:numPr>
        <w:contextualSpacing/>
      </w:pPr>
      <w:r>
        <w:t>MIN - all arguments</w:t>
      </w:r>
    </w:p>
    <w:p w:rsidR="000A156F" w:rsidRDefault="00A9721F">
      <w:pPr>
        <w:pStyle w:val="ListParagraph"/>
        <w:numPr>
          <w:ilvl w:val="0"/>
          <w:numId w:val="71"/>
        </w:numPr>
        <w:contextualSpacing/>
      </w:pPr>
      <w:r>
        <w:t>MINA - all arguments</w:t>
      </w:r>
    </w:p>
    <w:p w:rsidR="000A156F" w:rsidRDefault="00A9721F">
      <w:pPr>
        <w:pStyle w:val="ListParagraph"/>
        <w:numPr>
          <w:ilvl w:val="0"/>
          <w:numId w:val="71"/>
        </w:numPr>
        <w:contextualSpacing/>
      </w:pPr>
      <w:r>
        <w:t>MIRR - values argument</w:t>
      </w:r>
    </w:p>
    <w:p w:rsidR="000A156F" w:rsidRDefault="00A9721F">
      <w:pPr>
        <w:pStyle w:val="ListParagraph"/>
        <w:numPr>
          <w:ilvl w:val="0"/>
          <w:numId w:val="71"/>
        </w:numPr>
        <w:contextualSpacing/>
      </w:pPr>
      <w:r>
        <w:t>MROUND - all arguments</w:t>
      </w:r>
    </w:p>
    <w:p w:rsidR="000A156F" w:rsidRDefault="00A9721F">
      <w:pPr>
        <w:pStyle w:val="ListParagraph"/>
        <w:numPr>
          <w:ilvl w:val="0"/>
          <w:numId w:val="71"/>
        </w:numPr>
        <w:contextualSpacing/>
      </w:pPr>
      <w:r>
        <w:t xml:space="preserve">MULTINOMIAL - </w:t>
      </w:r>
      <w:r>
        <w:t>all arguments</w:t>
      </w:r>
    </w:p>
    <w:p w:rsidR="000A156F" w:rsidRDefault="00A9721F">
      <w:pPr>
        <w:pStyle w:val="ListParagraph"/>
        <w:numPr>
          <w:ilvl w:val="0"/>
          <w:numId w:val="71"/>
        </w:numPr>
        <w:contextualSpacing/>
      </w:pPr>
      <w:r>
        <w:t>N - all arguments</w:t>
      </w:r>
    </w:p>
    <w:p w:rsidR="000A156F" w:rsidRDefault="00A9721F">
      <w:pPr>
        <w:pStyle w:val="ListParagraph"/>
        <w:numPr>
          <w:ilvl w:val="0"/>
          <w:numId w:val="71"/>
        </w:numPr>
        <w:contextualSpacing/>
      </w:pPr>
      <w:r>
        <w:t>NETWORKDAYS - holidays argument</w:t>
      </w:r>
    </w:p>
    <w:p w:rsidR="000A156F" w:rsidRDefault="00A9721F">
      <w:pPr>
        <w:pStyle w:val="ListParagraph"/>
        <w:numPr>
          <w:ilvl w:val="0"/>
          <w:numId w:val="71"/>
        </w:numPr>
        <w:contextualSpacing/>
      </w:pPr>
      <w:r>
        <w:t>NOMINAL - all arguments</w:t>
      </w:r>
    </w:p>
    <w:p w:rsidR="000A156F" w:rsidRDefault="00A9721F">
      <w:pPr>
        <w:pStyle w:val="ListParagraph"/>
        <w:numPr>
          <w:ilvl w:val="0"/>
          <w:numId w:val="71"/>
        </w:numPr>
        <w:contextualSpacing/>
      </w:pPr>
      <w:r>
        <w:t>NPV - all arguments except rate</w:t>
      </w:r>
    </w:p>
    <w:p w:rsidR="000A156F" w:rsidRDefault="00A9721F">
      <w:pPr>
        <w:pStyle w:val="ListParagraph"/>
        <w:numPr>
          <w:ilvl w:val="0"/>
          <w:numId w:val="71"/>
        </w:numPr>
        <w:contextualSpacing/>
      </w:pPr>
      <w:r>
        <w:t>OCT2BIN - all arguments</w:t>
      </w:r>
    </w:p>
    <w:p w:rsidR="000A156F" w:rsidRDefault="00A9721F">
      <w:pPr>
        <w:pStyle w:val="ListParagraph"/>
        <w:numPr>
          <w:ilvl w:val="0"/>
          <w:numId w:val="71"/>
        </w:numPr>
        <w:contextualSpacing/>
      </w:pPr>
      <w:r>
        <w:t>OCT2DEC - all arguments</w:t>
      </w:r>
    </w:p>
    <w:p w:rsidR="000A156F" w:rsidRDefault="00A9721F">
      <w:pPr>
        <w:pStyle w:val="ListParagraph"/>
        <w:numPr>
          <w:ilvl w:val="0"/>
          <w:numId w:val="71"/>
        </w:numPr>
        <w:contextualSpacing/>
      </w:pPr>
      <w:r>
        <w:t>OCT2HEX - all arguments</w:t>
      </w:r>
    </w:p>
    <w:p w:rsidR="000A156F" w:rsidRDefault="00A9721F">
      <w:pPr>
        <w:pStyle w:val="ListParagraph"/>
        <w:numPr>
          <w:ilvl w:val="0"/>
          <w:numId w:val="71"/>
        </w:numPr>
        <w:contextualSpacing/>
      </w:pPr>
      <w:r>
        <w:t>ODDFPRICE - all arguments</w:t>
      </w:r>
    </w:p>
    <w:p w:rsidR="000A156F" w:rsidRDefault="00A9721F">
      <w:pPr>
        <w:pStyle w:val="ListParagraph"/>
        <w:numPr>
          <w:ilvl w:val="0"/>
          <w:numId w:val="71"/>
        </w:numPr>
        <w:contextualSpacing/>
      </w:pPr>
      <w:r>
        <w:t>ODDFYIELD - all arguments</w:t>
      </w:r>
    </w:p>
    <w:p w:rsidR="000A156F" w:rsidRDefault="00A9721F">
      <w:pPr>
        <w:pStyle w:val="ListParagraph"/>
        <w:numPr>
          <w:ilvl w:val="0"/>
          <w:numId w:val="71"/>
        </w:numPr>
        <w:contextualSpacing/>
      </w:pPr>
      <w:r>
        <w:t xml:space="preserve">ODDLPRICE - </w:t>
      </w:r>
      <w:r>
        <w:t>all arguments</w:t>
      </w:r>
    </w:p>
    <w:p w:rsidR="000A156F" w:rsidRDefault="00A9721F">
      <w:pPr>
        <w:pStyle w:val="ListParagraph"/>
        <w:numPr>
          <w:ilvl w:val="0"/>
          <w:numId w:val="71"/>
        </w:numPr>
        <w:contextualSpacing/>
      </w:pPr>
      <w:r>
        <w:t>ODDLYIELD - all arguments</w:t>
      </w:r>
    </w:p>
    <w:p w:rsidR="000A156F" w:rsidRDefault="00A9721F">
      <w:pPr>
        <w:pStyle w:val="ListParagraph"/>
        <w:numPr>
          <w:ilvl w:val="0"/>
          <w:numId w:val="71"/>
        </w:numPr>
        <w:contextualSpacing/>
      </w:pPr>
      <w:r>
        <w:t>OFFSET - reference argument</w:t>
      </w:r>
    </w:p>
    <w:p w:rsidR="000A156F" w:rsidRDefault="00A9721F">
      <w:pPr>
        <w:pStyle w:val="ListParagraph"/>
        <w:numPr>
          <w:ilvl w:val="0"/>
          <w:numId w:val="71"/>
        </w:numPr>
        <w:contextualSpacing/>
      </w:pPr>
      <w:r>
        <w:t>OR - all arguments</w:t>
      </w:r>
    </w:p>
    <w:p w:rsidR="000A156F" w:rsidRDefault="00A9721F">
      <w:pPr>
        <w:pStyle w:val="ListParagraph"/>
        <w:numPr>
          <w:ilvl w:val="0"/>
          <w:numId w:val="71"/>
        </w:numPr>
        <w:contextualSpacing/>
      </w:pPr>
      <w:r>
        <w:t>PERCENTILE - array argument</w:t>
      </w:r>
    </w:p>
    <w:p w:rsidR="000A156F" w:rsidRDefault="00A9721F">
      <w:pPr>
        <w:pStyle w:val="ListParagraph"/>
        <w:numPr>
          <w:ilvl w:val="0"/>
          <w:numId w:val="71"/>
        </w:numPr>
        <w:contextualSpacing/>
      </w:pPr>
      <w:r>
        <w:t>PERCENTRANK - array argument</w:t>
      </w:r>
    </w:p>
    <w:p w:rsidR="000A156F" w:rsidRDefault="00A9721F">
      <w:pPr>
        <w:pStyle w:val="ListParagraph"/>
        <w:numPr>
          <w:ilvl w:val="0"/>
          <w:numId w:val="71"/>
        </w:numPr>
        <w:contextualSpacing/>
      </w:pPr>
      <w:r>
        <w:t>PHONETIC - all arguments</w:t>
      </w:r>
    </w:p>
    <w:p w:rsidR="000A156F" w:rsidRDefault="00A9721F">
      <w:pPr>
        <w:pStyle w:val="ListParagraph"/>
        <w:numPr>
          <w:ilvl w:val="0"/>
          <w:numId w:val="71"/>
        </w:numPr>
        <w:contextualSpacing/>
      </w:pPr>
      <w:r>
        <w:t>PRICE - all arguments</w:t>
      </w:r>
    </w:p>
    <w:p w:rsidR="000A156F" w:rsidRDefault="00A9721F">
      <w:pPr>
        <w:pStyle w:val="ListParagraph"/>
        <w:numPr>
          <w:ilvl w:val="0"/>
          <w:numId w:val="71"/>
        </w:numPr>
        <w:contextualSpacing/>
      </w:pPr>
      <w:r>
        <w:t>PRICEDISC - all arguments</w:t>
      </w:r>
    </w:p>
    <w:p w:rsidR="000A156F" w:rsidRDefault="00A9721F">
      <w:pPr>
        <w:pStyle w:val="ListParagraph"/>
        <w:numPr>
          <w:ilvl w:val="0"/>
          <w:numId w:val="71"/>
        </w:numPr>
        <w:contextualSpacing/>
      </w:pPr>
      <w:r>
        <w:t>PRICEMAT - all arguments</w:t>
      </w:r>
    </w:p>
    <w:p w:rsidR="000A156F" w:rsidRDefault="00A9721F">
      <w:pPr>
        <w:pStyle w:val="ListParagraph"/>
        <w:numPr>
          <w:ilvl w:val="0"/>
          <w:numId w:val="71"/>
        </w:numPr>
        <w:contextualSpacing/>
      </w:pPr>
      <w:r>
        <w:t xml:space="preserve">PRODUCT - all </w:t>
      </w:r>
      <w:r>
        <w:t>arguments</w:t>
      </w:r>
    </w:p>
    <w:p w:rsidR="000A156F" w:rsidRDefault="00A9721F">
      <w:pPr>
        <w:pStyle w:val="ListParagraph"/>
        <w:numPr>
          <w:ilvl w:val="0"/>
          <w:numId w:val="71"/>
        </w:numPr>
        <w:contextualSpacing/>
      </w:pPr>
      <w:r>
        <w:t>QUARTILE – array argument</w:t>
      </w:r>
    </w:p>
    <w:p w:rsidR="000A156F" w:rsidRDefault="00A9721F">
      <w:pPr>
        <w:pStyle w:val="ListParagraph"/>
        <w:numPr>
          <w:ilvl w:val="0"/>
          <w:numId w:val="71"/>
        </w:numPr>
        <w:contextualSpacing/>
      </w:pPr>
      <w:r>
        <w:t>QUOTIENT - all arguments</w:t>
      </w:r>
    </w:p>
    <w:p w:rsidR="000A156F" w:rsidRDefault="00A9721F">
      <w:pPr>
        <w:pStyle w:val="ListParagraph"/>
        <w:numPr>
          <w:ilvl w:val="0"/>
          <w:numId w:val="71"/>
        </w:numPr>
        <w:contextualSpacing/>
      </w:pPr>
      <w:r>
        <w:t>RANDBETWEEN - all arguments</w:t>
      </w:r>
    </w:p>
    <w:p w:rsidR="000A156F" w:rsidRDefault="00A9721F">
      <w:pPr>
        <w:pStyle w:val="ListParagraph"/>
        <w:numPr>
          <w:ilvl w:val="0"/>
          <w:numId w:val="71"/>
        </w:numPr>
        <w:contextualSpacing/>
      </w:pPr>
      <w:r>
        <w:t>RANK - ref argument</w:t>
      </w:r>
    </w:p>
    <w:p w:rsidR="000A156F" w:rsidRDefault="00A9721F">
      <w:pPr>
        <w:pStyle w:val="ListParagraph"/>
        <w:numPr>
          <w:ilvl w:val="0"/>
          <w:numId w:val="71"/>
        </w:numPr>
        <w:contextualSpacing/>
      </w:pPr>
      <w:r>
        <w:t>RECEIVED - all arguments</w:t>
      </w:r>
    </w:p>
    <w:p w:rsidR="000A156F" w:rsidRDefault="00A9721F">
      <w:pPr>
        <w:pStyle w:val="ListParagraph"/>
        <w:numPr>
          <w:ilvl w:val="0"/>
          <w:numId w:val="71"/>
        </w:numPr>
        <w:contextualSpacing/>
      </w:pPr>
      <w:r>
        <w:t>ROW – reference argument</w:t>
      </w:r>
    </w:p>
    <w:p w:rsidR="000A156F" w:rsidRDefault="00A9721F">
      <w:pPr>
        <w:pStyle w:val="ListParagraph"/>
        <w:numPr>
          <w:ilvl w:val="0"/>
          <w:numId w:val="71"/>
        </w:numPr>
        <w:contextualSpacing/>
      </w:pPr>
      <w:r>
        <w:t>ROWS – array argument</w:t>
      </w:r>
    </w:p>
    <w:p w:rsidR="000A156F" w:rsidRDefault="00A9721F">
      <w:pPr>
        <w:pStyle w:val="ListParagraph"/>
        <w:numPr>
          <w:ilvl w:val="0"/>
          <w:numId w:val="71"/>
        </w:numPr>
        <w:contextualSpacing/>
      </w:pPr>
      <w:r>
        <w:t>SERIESSUM - all arguments</w:t>
      </w:r>
    </w:p>
    <w:p w:rsidR="000A156F" w:rsidRDefault="00A9721F">
      <w:pPr>
        <w:pStyle w:val="ListParagraph"/>
        <w:numPr>
          <w:ilvl w:val="0"/>
          <w:numId w:val="71"/>
        </w:numPr>
        <w:contextualSpacing/>
      </w:pPr>
      <w:r>
        <w:t>SKEW - all arguments</w:t>
      </w:r>
    </w:p>
    <w:p w:rsidR="000A156F" w:rsidRDefault="00A9721F">
      <w:pPr>
        <w:pStyle w:val="ListParagraph"/>
        <w:numPr>
          <w:ilvl w:val="0"/>
          <w:numId w:val="71"/>
        </w:numPr>
        <w:contextualSpacing/>
      </w:pPr>
      <w:r>
        <w:t>SMALL - array argument</w:t>
      </w:r>
    </w:p>
    <w:p w:rsidR="000A156F" w:rsidRDefault="00A9721F">
      <w:pPr>
        <w:pStyle w:val="ListParagraph"/>
        <w:numPr>
          <w:ilvl w:val="0"/>
          <w:numId w:val="71"/>
        </w:numPr>
        <w:contextualSpacing/>
      </w:pPr>
      <w:r>
        <w:t>SQRTP</w:t>
      </w:r>
      <w:r>
        <w:t>I - all arguments</w:t>
      </w:r>
    </w:p>
    <w:p w:rsidR="000A156F" w:rsidRDefault="00A9721F">
      <w:pPr>
        <w:pStyle w:val="ListParagraph"/>
        <w:numPr>
          <w:ilvl w:val="0"/>
          <w:numId w:val="71"/>
        </w:numPr>
        <w:contextualSpacing/>
      </w:pPr>
      <w:r>
        <w:t>STDEV - all arguments</w:t>
      </w:r>
    </w:p>
    <w:p w:rsidR="000A156F" w:rsidRDefault="00A9721F">
      <w:pPr>
        <w:pStyle w:val="ListParagraph"/>
        <w:numPr>
          <w:ilvl w:val="0"/>
          <w:numId w:val="71"/>
        </w:numPr>
        <w:contextualSpacing/>
      </w:pPr>
      <w:r>
        <w:t>STDEVA - all arguments</w:t>
      </w:r>
    </w:p>
    <w:p w:rsidR="000A156F" w:rsidRDefault="00A9721F">
      <w:pPr>
        <w:pStyle w:val="ListParagraph"/>
        <w:numPr>
          <w:ilvl w:val="0"/>
          <w:numId w:val="71"/>
        </w:numPr>
        <w:contextualSpacing/>
      </w:pPr>
      <w:r>
        <w:t>STDEVP - all arguments</w:t>
      </w:r>
    </w:p>
    <w:p w:rsidR="000A156F" w:rsidRDefault="00A9721F">
      <w:pPr>
        <w:pStyle w:val="ListParagraph"/>
        <w:numPr>
          <w:ilvl w:val="0"/>
          <w:numId w:val="71"/>
        </w:numPr>
        <w:contextualSpacing/>
      </w:pPr>
      <w:r>
        <w:t>STDEVPA - all arguments</w:t>
      </w:r>
    </w:p>
    <w:p w:rsidR="000A156F" w:rsidRDefault="00A9721F">
      <w:pPr>
        <w:pStyle w:val="ListParagraph"/>
        <w:numPr>
          <w:ilvl w:val="0"/>
          <w:numId w:val="71"/>
        </w:numPr>
        <w:contextualSpacing/>
      </w:pPr>
      <w:r>
        <w:t>SUBTOTAL - all arguments except function_num</w:t>
      </w:r>
    </w:p>
    <w:p w:rsidR="000A156F" w:rsidRDefault="00A9721F">
      <w:pPr>
        <w:pStyle w:val="ListParagraph"/>
        <w:numPr>
          <w:ilvl w:val="0"/>
          <w:numId w:val="71"/>
        </w:numPr>
        <w:contextualSpacing/>
      </w:pPr>
      <w:r>
        <w:t>SUM - all arguments</w:t>
      </w:r>
    </w:p>
    <w:p w:rsidR="000A156F" w:rsidRDefault="00A9721F">
      <w:pPr>
        <w:pStyle w:val="ListParagraph"/>
        <w:numPr>
          <w:ilvl w:val="0"/>
          <w:numId w:val="71"/>
        </w:numPr>
        <w:contextualSpacing/>
      </w:pPr>
      <w:r>
        <w:t>SUMIF - all arguments except criteria</w:t>
      </w:r>
    </w:p>
    <w:p w:rsidR="000A156F" w:rsidRDefault="00A9721F">
      <w:pPr>
        <w:pStyle w:val="ListParagraph"/>
        <w:numPr>
          <w:ilvl w:val="0"/>
          <w:numId w:val="71"/>
        </w:numPr>
        <w:contextualSpacing/>
      </w:pPr>
      <w:r>
        <w:t>SUMIFS - all arguments except criteria1, cr</w:t>
      </w:r>
      <w:r>
        <w:t>iteria2, and so on.</w:t>
      </w:r>
    </w:p>
    <w:p w:rsidR="000A156F" w:rsidRDefault="00A9721F">
      <w:pPr>
        <w:pStyle w:val="ListParagraph"/>
        <w:numPr>
          <w:ilvl w:val="0"/>
          <w:numId w:val="71"/>
        </w:numPr>
        <w:contextualSpacing/>
      </w:pPr>
      <w:r>
        <w:t>SUMSQ - all arguments</w:t>
      </w:r>
    </w:p>
    <w:p w:rsidR="000A156F" w:rsidRDefault="00A9721F">
      <w:pPr>
        <w:pStyle w:val="ListParagraph"/>
        <w:numPr>
          <w:ilvl w:val="0"/>
          <w:numId w:val="71"/>
        </w:numPr>
        <w:contextualSpacing/>
      </w:pPr>
      <w:r>
        <w:t>T - all arguments</w:t>
      </w:r>
    </w:p>
    <w:p w:rsidR="000A156F" w:rsidRDefault="00A9721F">
      <w:pPr>
        <w:pStyle w:val="ListParagraph"/>
        <w:numPr>
          <w:ilvl w:val="0"/>
          <w:numId w:val="71"/>
        </w:numPr>
        <w:contextualSpacing/>
      </w:pPr>
      <w:r>
        <w:t>TBILLEQ - all arguments</w:t>
      </w:r>
    </w:p>
    <w:p w:rsidR="000A156F" w:rsidRDefault="00A9721F">
      <w:pPr>
        <w:pStyle w:val="ListParagraph"/>
        <w:numPr>
          <w:ilvl w:val="0"/>
          <w:numId w:val="71"/>
        </w:numPr>
        <w:contextualSpacing/>
      </w:pPr>
      <w:r>
        <w:t>TBILLPRICE - all arguments</w:t>
      </w:r>
    </w:p>
    <w:p w:rsidR="000A156F" w:rsidRDefault="00A9721F">
      <w:pPr>
        <w:pStyle w:val="ListParagraph"/>
        <w:numPr>
          <w:ilvl w:val="0"/>
          <w:numId w:val="71"/>
        </w:numPr>
        <w:contextualSpacing/>
      </w:pPr>
      <w:r>
        <w:lastRenderedPageBreak/>
        <w:t>TBILLYIELD - all arguments</w:t>
      </w:r>
    </w:p>
    <w:p w:rsidR="000A156F" w:rsidRDefault="00A9721F">
      <w:pPr>
        <w:pStyle w:val="ListParagraph"/>
        <w:numPr>
          <w:ilvl w:val="0"/>
          <w:numId w:val="71"/>
        </w:numPr>
        <w:contextualSpacing/>
      </w:pPr>
      <w:r>
        <w:t>TREND – all arguments except const-flag</w:t>
      </w:r>
    </w:p>
    <w:p w:rsidR="000A156F" w:rsidRDefault="00A9721F">
      <w:pPr>
        <w:pStyle w:val="ListParagraph"/>
        <w:numPr>
          <w:ilvl w:val="0"/>
          <w:numId w:val="71"/>
        </w:numPr>
        <w:contextualSpacing/>
      </w:pPr>
      <w:r>
        <w:t>TRIMMEAN – array argument</w:t>
      </w:r>
    </w:p>
    <w:p w:rsidR="000A156F" w:rsidRDefault="00A9721F">
      <w:pPr>
        <w:pStyle w:val="ListParagraph"/>
        <w:numPr>
          <w:ilvl w:val="0"/>
          <w:numId w:val="71"/>
        </w:numPr>
        <w:contextualSpacing/>
      </w:pPr>
      <w:r>
        <w:t>VAR – all arguments</w:t>
      </w:r>
    </w:p>
    <w:p w:rsidR="000A156F" w:rsidRDefault="00A9721F">
      <w:pPr>
        <w:pStyle w:val="ListParagraph"/>
        <w:numPr>
          <w:ilvl w:val="0"/>
          <w:numId w:val="71"/>
        </w:numPr>
        <w:contextualSpacing/>
      </w:pPr>
      <w:r>
        <w:t>VARA – all arguments</w:t>
      </w:r>
    </w:p>
    <w:p w:rsidR="000A156F" w:rsidRDefault="00A9721F">
      <w:pPr>
        <w:pStyle w:val="ListParagraph"/>
        <w:numPr>
          <w:ilvl w:val="0"/>
          <w:numId w:val="71"/>
        </w:numPr>
        <w:contextualSpacing/>
      </w:pPr>
      <w:r>
        <w:t xml:space="preserve">VARP – all </w:t>
      </w:r>
      <w:r>
        <w:t>arguments</w:t>
      </w:r>
    </w:p>
    <w:p w:rsidR="000A156F" w:rsidRDefault="00A9721F">
      <w:pPr>
        <w:pStyle w:val="ListParagraph"/>
        <w:numPr>
          <w:ilvl w:val="0"/>
          <w:numId w:val="71"/>
        </w:numPr>
        <w:contextualSpacing/>
      </w:pPr>
      <w:r>
        <w:t>VARPA – all arguments</w:t>
      </w:r>
    </w:p>
    <w:p w:rsidR="000A156F" w:rsidRDefault="00A9721F">
      <w:pPr>
        <w:pStyle w:val="ListParagraph"/>
        <w:numPr>
          <w:ilvl w:val="0"/>
          <w:numId w:val="71"/>
        </w:numPr>
        <w:contextualSpacing/>
      </w:pPr>
      <w:r>
        <w:t>VLOOKUP – table-array argument</w:t>
      </w:r>
    </w:p>
    <w:p w:rsidR="000A156F" w:rsidRDefault="00A9721F">
      <w:pPr>
        <w:pStyle w:val="ListParagraph"/>
        <w:numPr>
          <w:ilvl w:val="0"/>
          <w:numId w:val="71"/>
        </w:numPr>
        <w:contextualSpacing/>
      </w:pPr>
      <w:r>
        <w:t>WEEKNUM - all arguments</w:t>
      </w:r>
    </w:p>
    <w:p w:rsidR="000A156F" w:rsidRDefault="00A9721F">
      <w:pPr>
        <w:pStyle w:val="ListParagraph"/>
        <w:numPr>
          <w:ilvl w:val="0"/>
          <w:numId w:val="71"/>
        </w:numPr>
        <w:contextualSpacing/>
      </w:pPr>
      <w:r>
        <w:t>WORKDAY – holidays argument</w:t>
      </w:r>
    </w:p>
    <w:p w:rsidR="000A156F" w:rsidRDefault="00A9721F">
      <w:pPr>
        <w:pStyle w:val="ListParagraph"/>
        <w:numPr>
          <w:ilvl w:val="0"/>
          <w:numId w:val="71"/>
        </w:numPr>
        <w:contextualSpacing/>
      </w:pPr>
      <w:r>
        <w:t>XIRR – all arguments except guess</w:t>
      </w:r>
    </w:p>
    <w:p w:rsidR="000A156F" w:rsidRDefault="00A9721F">
      <w:pPr>
        <w:pStyle w:val="ListParagraph"/>
        <w:numPr>
          <w:ilvl w:val="0"/>
          <w:numId w:val="71"/>
        </w:numPr>
        <w:contextualSpacing/>
      </w:pPr>
      <w:r>
        <w:t>XNPV – all arguments except rate</w:t>
      </w:r>
    </w:p>
    <w:p w:rsidR="000A156F" w:rsidRDefault="00A9721F">
      <w:pPr>
        <w:pStyle w:val="ListParagraph"/>
        <w:numPr>
          <w:ilvl w:val="0"/>
          <w:numId w:val="71"/>
        </w:numPr>
        <w:contextualSpacing/>
      </w:pPr>
      <w:r>
        <w:t>YEARFRAC - all arguments</w:t>
      </w:r>
    </w:p>
    <w:p w:rsidR="000A156F" w:rsidRDefault="00A9721F">
      <w:pPr>
        <w:pStyle w:val="ListParagraph"/>
        <w:numPr>
          <w:ilvl w:val="0"/>
          <w:numId w:val="71"/>
        </w:numPr>
        <w:contextualSpacing/>
      </w:pPr>
      <w:r>
        <w:t>YIELD - all arguments</w:t>
      </w:r>
    </w:p>
    <w:p w:rsidR="000A156F" w:rsidRDefault="00A9721F">
      <w:pPr>
        <w:pStyle w:val="ListParagraph"/>
        <w:numPr>
          <w:ilvl w:val="0"/>
          <w:numId w:val="71"/>
        </w:numPr>
        <w:contextualSpacing/>
      </w:pPr>
      <w:r>
        <w:t>YIELDDISC - all arguments</w:t>
      </w:r>
    </w:p>
    <w:p w:rsidR="000A156F" w:rsidRDefault="00A9721F">
      <w:pPr>
        <w:pStyle w:val="ListParagraph"/>
        <w:numPr>
          <w:ilvl w:val="0"/>
          <w:numId w:val="71"/>
        </w:numPr>
        <w:contextualSpacing/>
      </w:pPr>
      <w:r>
        <w:t>Y</w:t>
      </w:r>
      <w:r>
        <w:t>IELDMAT - all arguments</w:t>
      </w:r>
    </w:p>
    <w:p w:rsidR="000A156F" w:rsidRDefault="00A9721F">
      <w:pPr>
        <w:pStyle w:val="ListParagraph"/>
        <w:numPr>
          <w:ilvl w:val="0"/>
          <w:numId w:val="71"/>
        </w:numPr>
      </w:pPr>
      <w:r>
        <w:t>ZTEST – array argument</w:t>
      </w:r>
    </w:p>
    <w:p w:rsidR="000A156F" w:rsidRDefault="00A9721F">
      <w:pPr>
        <w:pStyle w:val="Definition-Field"/>
      </w:pPr>
      <w:r>
        <w:t xml:space="preserve">g.   </w:t>
      </w:r>
      <w:r>
        <w:rPr>
          <w:i/>
        </w:rPr>
        <w:t>The standard does not specify what happens when implicit intersection cannot be performed.</w:t>
      </w:r>
    </w:p>
    <w:p w:rsidR="000A156F" w:rsidRDefault="00A9721F">
      <w:pPr>
        <w:pStyle w:val="Definition-Field2"/>
      </w:pPr>
      <w:r>
        <w:t>Office returns #VALUE! when implicit intersection cannot be performed.</w:t>
      </w:r>
    </w:p>
    <w:p w:rsidR="000A156F" w:rsidRDefault="00A9721F">
      <w:pPr>
        <w:pStyle w:val="Heading3"/>
      </w:pPr>
      <w:bookmarkStart w:id="1742" w:name="section_e7502ecf232e44a084eb1d391ff386b5"/>
      <w:bookmarkStart w:id="1743" w:name="_Toc181683897"/>
      <w:r>
        <w:t>Part 1 Section 18.17.2.1, Constants</w:t>
      </w:r>
      <w:bookmarkEnd w:id="1742"/>
      <w:bookmarkEnd w:id="1743"/>
      <w:r>
        <w:fldChar w:fldCharType="begin"/>
      </w:r>
      <w:r>
        <w:instrText xml:space="preserve"> XE "Co</w:instrText>
      </w:r>
      <w:r>
        <w:instrText xml:space="preserve">nstants" </w:instrText>
      </w:r>
      <w:r>
        <w:fldChar w:fldCharType="end"/>
      </w:r>
    </w:p>
    <w:p w:rsidR="000A156F" w:rsidRDefault="00A9721F">
      <w:pPr>
        <w:pStyle w:val="Definition-Field"/>
      </w:pPr>
      <w:r>
        <w:t xml:space="preserve">a.   </w:t>
      </w:r>
      <w:r>
        <w:rPr>
          <w:i/>
        </w:rPr>
        <w:t>The standard does not specify the set of productions for constant using EBNF.</w:t>
      </w:r>
    </w:p>
    <w:p w:rsidR="000A156F" w:rsidRDefault="00A9721F">
      <w:r>
        <w:t>Office writes the productions for constant using the following EBNF:</w:t>
      </w:r>
    </w:p>
    <w:p w:rsidR="000A156F" w:rsidRDefault="00A9721F">
      <w:pPr>
        <w:pStyle w:val="Code"/>
      </w:pPr>
      <w:r>
        <w:t>constant=</w:t>
      </w:r>
    </w:p>
    <w:p w:rsidR="000A156F" w:rsidRDefault="00A9721F">
      <w:pPr>
        <w:pStyle w:val="Code"/>
      </w:pPr>
      <w:r>
        <w:t xml:space="preserve">  error-constant  |</w:t>
      </w:r>
    </w:p>
    <w:p w:rsidR="000A156F" w:rsidRDefault="00A9721F">
      <w:pPr>
        <w:pStyle w:val="Code"/>
      </w:pPr>
      <w:r>
        <w:t xml:space="preserve">  logical-constant  |</w:t>
      </w:r>
    </w:p>
    <w:p w:rsidR="000A156F" w:rsidRDefault="00A9721F">
      <w:pPr>
        <w:pStyle w:val="Code"/>
      </w:pPr>
      <w:r>
        <w:t xml:space="preserve">  numerical-constant  |</w:t>
      </w:r>
    </w:p>
    <w:p w:rsidR="000A156F" w:rsidRDefault="00A9721F">
      <w:pPr>
        <w:pStyle w:val="Code"/>
      </w:pPr>
      <w:r>
        <w:t xml:space="preserve">  string-constant  |</w:t>
      </w:r>
    </w:p>
    <w:p w:rsidR="000A156F" w:rsidRDefault="00A9721F">
      <w:pPr>
        <w:pStyle w:val="Code"/>
      </w:pPr>
      <w:r>
        <w:t xml:space="preserve">  array-constant  ;</w:t>
      </w:r>
    </w:p>
    <w:p w:rsidR="000A156F" w:rsidRDefault="00A9721F">
      <w:pPr>
        <w:pStyle w:val="Code"/>
      </w:pPr>
      <w:r>
        <w:t>error-constant=</w:t>
      </w:r>
    </w:p>
    <w:p w:rsidR="000A156F" w:rsidRDefault="00A9721F">
      <w:pPr>
        <w:pStyle w:val="Code"/>
      </w:pPr>
      <w:r>
        <w:t xml:space="preserve">  "#DIV/0!"  |  "#N/A"  |  "#NAME?"  |  "#NULL!"  |  </w:t>
      </w:r>
    </w:p>
    <w:p w:rsidR="000A156F" w:rsidRDefault="00A9721F">
      <w:pPr>
        <w:pStyle w:val="Code"/>
      </w:pPr>
      <w:r>
        <w:t xml:space="preserve">  "#NUM!"  |  "#REF!"  | "#VALUE!" | "#GETTING_DATA"; </w:t>
      </w:r>
    </w:p>
    <w:p w:rsidR="000A156F" w:rsidRDefault="00A9721F">
      <w:pPr>
        <w:pStyle w:val="Code"/>
      </w:pPr>
      <w:r>
        <w:t>logical-constant=</w:t>
      </w:r>
    </w:p>
    <w:p w:rsidR="000A156F" w:rsidRDefault="00A9721F">
      <w:pPr>
        <w:pStyle w:val="Code"/>
      </w:pPr>
      <w:r>
        <w:t xml:space="preserve">  "FALSE"  |  "TRUE"  ;</w:t>
      </w:r>
    </w:p>
    <w:p w:rsidR="000A156F" w:rsidRDefault="00A9721F">
      <w:pPr>
        <w:pStyle w:val="Code"/>
      </w:pPr>
      <w:r>
        <w:t>numerical-constant=</w:t>
      </w:r>
    </w:p>
    <w:p w:rsidR="000A156F" w:rsidRDefault="00A9721F">
      <w:pPr>
        <w:pStyle w:val="Code"/>
      </w:pPr>
      <w:r>
        <w:t xml:space="preserve">  [neg-sign],  significand-part, [exponent-part] ;</w:t>
      </w:r>
    </w:p>
    <w:p w:rsidR="000A156F" w:rsidRDefault="00A9721F">
      <w:pPr>
        <w:pStyle w:val="Code"/>
      </w:pPr>
      <w:r>
        <w:t>significand-part=</w:t>
      </w:r>
    </w:p>
    <w:p w:rsidR="000A156F" w:rsidRDefault="00A9721F">
      <w:pPr>
        <w:pStyle w:val="Code"/>
      </w:pPr>
      <w:r>
        <w:t xml:space="preserve">  whole-number-part, [fractional-part] |</w:t>
      </w:r>
    </w:p>
    <w:p w:rsidR="000A156F" w:rsidRDefault="00A9721F">
      <w:pPr>
        <w:pStyle w:val="Code"/>
      </w:pPr>
      <w:r>
        <w:t xml:space="preserve">  fractional-part ;</w:t>
      </w:r>
    </w:p>
    <w:p w:rsidR="000A156F" w:rsidRDefault="00A9721F">
      <w:pPr>
        <w:pStyle w:val="Code"/>
      </w:pPr>
      <w:r>
        <w:t>whole-number-part=</w:t>
      </w:r>
    </w:p>
    <w:p w:rsidR="000A156F" w:rsidRDefault="00A9721F">
      <w:pPr>
        <w:pStyle w:val="Code"/>
      </w:pPr>
      <w:r>
        <w:t xml:space="preserve">  digit-sequence;</w:t>
      </w:r>
    </w:p>
    <w:p w:rsidR="000A156F" w:rsidRDefault="00A9721F">
      <w:pPr>
        <w:pStyle w:val="Code"/>
      </w:pPr>
      <w:r>
        <w:t>fractional-part=</w:t>
      </w:r>
    </w:p>
    <w:p w:rsidR="000A156F" w:rsidRDefault="00A9721F">
      <w:pPr>
        <w:pStyle w:val="Code"/>
      </w:pPr>
      <w:r>
        <w:t xml:space="preserve">  full-stop, digit-sequence  ;</w:t>
      </w:r>
    </w:p>
    <w:p w:rsidR="000A156F" w:rsidRDefault="00A9721F">
      <w:pPr>
        <w:pStyle w:val="Code"/>
      </w:pPr>
      <w:r>
        <w:t>exponent-part=</w:t>
      </w:r>
    </w:p>
    <w:p w:rsidR="000A156F" w:rsidRDefault="00A9721F">
      <w:pPr>
        <w:pStyle w:val="Code"/>
      </w:pPr>
      <w:r>
        <w:t xml:space="preserve">  exponent-character, [ si</w:t>
      </w:r>
      <w:r>
        <w:t>gn ], digit-sequence  ;</w:t>
      </w:r>
    </w:p>
    <w:p w:rsidR="000A156F" w:rsidRDefault="00A9721F">
      <w:pPr>
        <w:pStyle w:val="Code"/>
      </w:pPr>
      <w:r>
        <w:t>full-stop=</w:t>
      </w:r>
    </w:p>
    <w:p w:rsidR="000A156F" w:rsidRDefault="00A9721F">
      <w:pPr>
        <w:pStyle w:val="Code"/>
      </w:pPr>
      <w:r>
        <w:t xml:space="preserve">  "."    ;  (* also known as “period” *)</w:t>
      </w:r>
    </w:p>
    <w:p w:rsidR="000A156F" w:rsidRDefault="00A9721F">
      <w:pPr>
        <w:pStyle w:val="Code"/>
      </w:pPr>
      <w:r>
        <w:t>sign=</w:t>
      </w:r>
    </w:p>
    <w:p w:rsidR="000A156F" w:rsidRDefault="00A9721F">
      <w:pPr>
        <w:pStyle w:val="Code"/>
      </w:pPr>
      <w:r>
        <w:t xml:space="preserve">  "+"  |</w:t>
      </w:r>
    </w:p>
    <w:p w:rsidR="000A156F" w:rsidRDefault="00A9721F">
      <w:pPr>
        <w:pStyle w:val="Code"/>
      </w:pPr>
      <w:r>
        <w:t xml:space="preserve">  neg-sign  ;</w:t>
      </w:r>
    </w:p>
    <w:p w:rsidR="000A156F" w:rsidRDefault="00A9721F">
      <w:pPr>
        <w:pStyle w:val="Code"/>
      </w:pPr>
      <w:r>
        <w:t>neg-sign=</w:t>
      </w:r>
    </w:p>
    <w:p w:rsidR="000A156F" w:rsidRDefault="00A9721F">
      <w:pPr>
        <w:pStyle w:val="Code"/>
      </w:pPr>
      <w:r>
        <w:t xml:space="preserve">  "-" ;</w:t>
      </w:r>
    </w:p>
    <w:p w:rsidR="000A156F" w:rsidRDefault="00A9721F">
      <w:pPr>
        <w:pStyle w:val="Code"/>
      </w:pPr>
      <w:r>
        <w:t>exponent-character=</w:t>
      </w:r>
    </w:p>
    <w:p w:rsidR="000A156F" w:rsidRDefault="00A9721F">
      <w:pPr>
        <w:pStyle w:val="Code"/>
      </w:pPr>
      <w:r>
        <w:t xml:space="preserve">  "E" | "e" ;</w:t>
      </w:r>
    </w:p>
    <w:p w:rsidR="000A156F" w:rsidRDefault="000A156F">
      <w:pPr>
        <w:pStyle w:val="Code"/>
      </w:pPr>
    </w:p>
    <w:p w:rsidR="000A156F" w:rsidRDefault="00A9721F">
      <w:pPr>
        <w:pStyle w:val="Code"/>
      </w:pPr>
      <w:r>
        <w:t>digit-sequence=</w:t>
      </w:r>
    </w:p>
    <w:p w:rsidR="000A156F" w:rsidRDefault="00A9721F">
      <w:pPr>
        <w:pStyle w:val="Code"/>
      </w:pPr>
      <w:r>
        <w:t xml:space="preserve">  decimal-digit,  {decimal-digit}  ;</w:t>
      </w:r>
    </w:p>
    <w:p w:rsidR="000A156F" w:rsidRDefault="00A9721F">
      <w:pPr>
        <w:pStyle w:val="Code"/>
      </w:pPr>
      <w:r>
        <w:t>nonzero-digit-sequence=</w:t>
      </w:r>
    </w:p>
    <w:p w:rsidR="000A156F" w:rsidRDefault="00A9721F">
      <w:pPr>
        <w:pStyle w:val="Code"/>
      </w:pPr>
      <w:r>
        <w:t>nonzero-decimal-digit</w:t>
      </w:r>
      <w:r>
        <w:t>,  {decimal-digit}  ;</w:t>
      </w:r>
    </w:p>
    <w:p w:rsidR="000A156F" w:rsidRDefault="00A9721F">
      <w:pPr>
        <w:pStyle w:val="Code"/>
      </w:pPr>
      <w:r>
        <w:lastRenderedPageBreak/>
        <w:t xml:space="preserve">decimal-digit=               </w:t>
      </w:r>
    </w:p>
    <w:p w:rsidR="000A156F" w:rsidRDefault="00A9721F">
      <w:pPr>
        <w:pStyle w:val="Code"/>
      </w:pPr>
      <w:r>
        <w:t xml:space="preserve">  "0"  |  nonzero-decimal-digit  ;</w:t>
      </w:r>
    </w:p>
    <w:p w:rsidR="000A156F" w:rsidRDefault="00A9721F">
      <w:pPr>
        <w:pStyle w:val="Code"/>
      </w:pPr>
      <w:r>
        <w:t>nonzero-decimal-digit=</w:t>
      </w:r>
    </w:p>
    <w:p w:rsidR="000A156F" w:rsidRDefault="00A9721F">
      <w:pPr>
        <w:pStyle w:val="Code"/>
      </w:pPr>
      <w:r>
        <w:t xml:space="preserve">  "1"  |  "2"  |  "3"  |  "4"  |  </w:t>
      </w:r>
    </w:p>
    <w:p w:rsidR="000A156F" w:rsidRDefault="00A9721F">
      <w:pPr>
        <w:pStyle w:val="Code"/>
      </w:pPr>
      <w:r>
        <w:t xml:space="preserve">  "5"  |  "6"  |  "7"  |  "8"  |  "9"  ;</w:t>
      </w:r>
    </w:p>
    <w:p w:rsidR="000A156F" w:rsidRDefault="000A156F">
      <w:pPr>
        <w:pStyle w:val="Code"/>
      </w:pPr>
    </w:p>
    <w:p w:rsidR="000A156F" w:rsidRDefault="00A9721F">
      <w:pPr>
        <w:pStyle w:val="Code"/>
      </w:pPr>
      <w:r>
        <w:t>string-constant=</w:t>
      </w:r>
    </w:p>
    <w:p w:rsidR="000A156F" w:rsidRDefault="00A9721F">
      <w:pPr>
        <w:pStyle w:val="Code"/>
      </w:pPr>
      <w:r>
        <w:t xml:space="preserve">  double-quote, [string-chars], double-quote  ;</w:t>
      </w:r>
    </w:p>
    <w:p w:rsidR="000A156F" w:rsidRDefault="00A9721F">
      <w:pPr>
        <w:pStyle w:val="Code"/>
      </w:pPr>
      <w:r>
        <w:t>string-chars=</w:t>
      </w:r>
    </w:p>
    <w:p w:rsidR="000A156F" w:rsidRDefault="00A9721F">
      <w:pPr>
        <w:pStyle w:val="Code"/>
      </w:pPr>
      <w:r>
        <w:t xml:space="preserve">  string-char,  {string-char}  ;</w:t>
      </w:r>
    </w:p>
    <w:p w:rsidR="000A156F" w:rsidRDefault="00A9721F">
      <w:pPr>
        <w:pStyle w:val="Code"/>
      </w:pPr>
      <w:r>
        <w:t>string-char=</w:t>
      </w:r>
    </w:p>
    <w:p w:rsidR="000A156F" w:rsidRDefault="00A9721F">
      <w:pPr>
        <w:pStyle w:val="Code"/>
      </w:pPr>
      <w:r>
        <w:t xml:space="preserve">  escaped-double-quote  |</w:t>
      </w:r>
    </w:p>
    <w:p w:rsidR="000A156F" w:rsidRDefault="00A9721F">
      <w:pPr>
        <w:pStyle w:val="Code"/>
      </w:pPr>
      <w:r>
        <w:t xml:space="preserve">  character  -  double-quote  ;   (* any character except double-quote *)</w:t>
      </w:r>
    </w:p>
    <w:p w:rsidR="000A156F" w:rsidRDefault="00A9721F">
      <w:pPr>
        <w:pStyle w:val="Code"/>
      </w:pPr>
      <w:r>
        <w:t>escaped-double-quote=</w:t>
      </w:r>
    </w:p>
    <w:p w:rsidR="000A156F" w:rsidRDefault="00A9721F">
      <w:pPr>
        <w:pStyle w:val="Code"/>
      </w:pPr>
      <w:r>
        <w:t xml:space="preserve">  ' "" '  ;   (* consecutive double-quotes, with no space between them *)</w:t>
      </w:r>
    </w:p>
    <w:p w:rsidR="000A156F" w:rsidRDefault="00A9721F">
      <w:pPr>
        <w:pStyle w:val="Code"/>
      </w:pPr>
      <w:r>
        <w:t>double-quote=</w:t>
      </w:r>
    </w:p>
    <w:p w:rsidR="000A156F" w:rsidRDefault="00A9721F">
      <w:pPr>
        <w:pStyle w:val="Code"/>
      </w:pPr>
      <w:r>
        <w:t xml:space="preserve">  ' " '  ; (* one double-quote character*)</w:t>
      </w:r>
    </w:p>
    <w:p w:rsidR="000A156F" w:rsidRDefault="00A9721F">
      <w:pPr>
        <w:pStyle w:val="Code"/>
      </w:pPr>
      <w:r>
        <w:t>character=</w:t>
      </w:r>
    </w:p>
    <w:p w:rsidR="000A156F" w:rsidRDefault="00A9721F">
      <w:pPr>
        <w:pStyle w:val="Code"/>
      </w:pPr>
      <w:r>
        <w:t xml:space="preserve">  as defined by the production Char in the XML 1.0 specification, §2.2.</w:t>
      </w:r>
    </w:p>
    <w:p w:rsidR="000A156F" w:rsidRDefault="00A9721F">
      <w:pPr>
        <w:pStyle w:val="Definition-Field"/>
      </w:pPr>
      <w:r>
        <w:t xml:space="preserve">b.   </w:t>
      </w:r>
      <w:r>
        <w:rPr>
          <w:i/>
        </w:rPr>
        <w:t>The standard does not specify the set of productions for array-constant using EBNF.</w:t>
      </w:r>
    </w:p>
    <w:p w:rsidR="000A156F" w:rsidRDefault="00A9721F">
      <w:r>
        <w:t>Office writes the productio</w:t>
      </w:r>
      <w:r>
        <w:t>ns for array-constant using the following EBNF:</w:t>
      </w:r>
    </w:p>
    <w:p w:rsidR="000A156F" w:rsidRDefault="00A9721F">
      <w:pPr>
        <w:pStyle w:val="Code"/>
      </w:pPr>
      <w:r>
        <w:t>array-constant=</w:t>
      </w:r>
    </w:p>
    <w:p w:rsidR="000A156F" w:rsidRDefault="00A9721F">
      <w:pPr>
        <w:pStyle w:val="Code"/>
      </w:pPr>
      <w:r>
        <w:t xml:space="preserve">  "{",  constant-list-rows,  "}"  ;</w:t>
      </w:r>
    </w:p>
    <w:p w:rsidR="000A156F" w:rsidRDefault="00A9721F">
      <w:pPr>
        <w:pStyle w:val="Code"/>
      </w:pPr>
      <w:r>
        <w:t>constant-list-rows=</w:t>
      </w:r>
    </w:p>
    <w:p w:rsidR="000A156F" w:rsidRDefault="00A9721F">
      <w:pPr>
        <w:pStyle w:val="Code"/>
      </w:pPr>
      <w:r>
        <w:t xml:space="preserve">  constant-list-row,  {  semicolon,  constant-list-row  }  ;</w:t>
      </w:r>
    </w:p>
    <w:p w:rsidR="000A156F" w:rsidRDefault="00A9721F">
      <w:pPr>
        <w:pStyle w:val="Code"/>
      </w:pPr>
      <w:r>
        <w:t>semicolon=</w:t>
      </w:r>
    </w:p>
    <w:p w:rsidR="000A156F" w:rsidRDefault="00A9721F">
      <w:pPr>
        <w:pStyle w:val="Code"/>
      </w:pPr>
      <w:r>
        <w:t xml:space="preserve">  ";"    ;</w:t>
      </w:r>
    </w:p>
    <w:p w:rsidR="000A156F" w:rsidRDefault="00A9721F">
      <w:pPr>
        <w:pStyle w:val="Code"/>
      </w:pPr>
      <w:r>
        <w:t xml:space="preserve">constant-list-row=                     </w:t>
      </w:r>
    </w:p>
    <w:p w:rsidR="000A156F" w:rsidRDefault="00A9721F">
      <w:pPr>
        <w:pStyle w:val="Code"/>
      </w:pPr>
      <w:r>
        <w:t xml:space="preserve">  constant,  </w:t>
      </w:r>
      <w:r>
        <w:t>{  comma,  constant  }  ;</w:t>
      </w:r>
    </w:p>
    <w:p w:rsidR="000A156F" w:rsidRDefault="00A9721F">
      <w:pPr>
        <w:pStyle w:val="Definition-Field"/>
      </w:pPr>
      <w:r>
        <w:t xml:space="preserve">c.   </w:t>
      </w:r>
      <w:r>
        <w:rPr>
          <w:i/>
        </w:rPr>
        <w:t>The standard does not list #GETTING_DATA as being saved in any formulas.</w:t>
      </w:r>
    </w:p>
    <w:p w:rsidR="000A156F" w:rsidRDefault="00A9721F">
      <w:pPr>
        <w:pStyle w:val="Definition-Field2"/>
      </w:pPr>
      <w:r>
        <w:t>Office saves #GETTING_DATA in formulas.</w:t>
      </w:r>
    </w:p>
    <w:p w:rsidR="000A156F" w:rsidRDefault="00A9721F">
      <w:pPr>
        <w:pStyle w:val="Heading3"/>
      </w:pPr>
      <w:bookmarkStart w:id="1744" w:name="section_caae6c6efc424f27ad8f91002f4e56ac"/>
      <w:bookmarkStart w:id="1745" w:name="_Toc181683898"/>
      <w:r>
        <w:t>Part 1 Section 18.17.2.2, Operators</w:t>
      </w:r>
      <w:bookmarkEnd w:id="1744"/>
      <w:bookmarkEnd w:id="1745"/>
      <w:r>
        <w:fldChar w:fldCharType="begin"/>
      </w:r>
      <w:r>
        <w:instrText xml:space="preserve"> XE "Operators" </w:instrText>
      </w:r>
      <w:r>
        <w:fldChar w:fldCharType="end"/>
      </w:r>
    </w:p>
    <w:p w:rsidR="000A156F" w:rsidRDefault="00A9721F">
      <w:pPr>
        <w:pStyle w:val="Definition-Field"/>
      </w:pPr>
      <w:r>
        <w:t xml:space="preserve">a.   </w:t>
      </w:r>
      <w:r>
        <w:rPr>
          <w:i/>
        </w:rPr>
        <w:t xml:space="preserve">The standard does not specify the productions for </w:t>
      </w:r>
      <w:r>
        <w:rPr>
          <w:i/>
        </w:rPr>
        <w:t>operator using EBNF.</w:t>
      </w:r>
    </w:p>
    <w:p w:rsidR="000A156F" w:rsidRDefault="00A9721F">
      <w:r>
        <w:t>Office writes the productions for operator using the following EBNF:</w:t>
      </w:r>
    </w:p>
    <w:p w:rsidR="000A156F" w:rsidRDefault="00A9721F">
      <w:pPr>
        <w:pStyle w:val="Code"/>
      </w:pPr>
      <w:r>
        <w:t>operator=</w:t>
      </w:r>
    </w:p>
    <w:p w:rsidR="000A156F" w:rsidRDefault="00A9721F">
      <w:pPr>
        <w:pStyle w:val="Code"/>
      </w:pPr>
      <w:r>
        <w:t xml:space="preserve">  ":"  |  comma  |  space  |  "^"  |  "*"  |  "/"  |  "+"  |  "-"</w:t>
      </w:r>
    </w:p>
    <w:p w:rsidR="000A156F" w:rsidRDefault="00A9721F">
      <w:pPr>
        <w:pStyle w:val="Code"/>
      </w:pPr>
      <w:r>
        <w:t xml:space="preserve">  |  "&amp;"  |  "="  |  "&lt;&gt;"  |  "&lt;"  |  "&lt;="  |  "&gt;"  |  "&gt;="  |  "%"  ;</w:t>
      </w:r>
    </w:p>
    <w:p w:rsidR="000A156F" w:rsidRDefault="00A9721F">
      <w:pPr>
        <w:pStyle w:val="Code"/>
      </w:pPr>
      <w:r>
        <w:t>infix-operator=</w:t>
      </w:r>
    </w:p>
    <w:p w:rsidR="000A156F" w:rsidRDefault="00A9721F">
      <w:pPr>
        <w:pStyle w:val="Code"/>
      </w:pPr>
      <w:r>
        <w:t xml:space="preserve">  "</w:t>
      </w:r>
      <w:r>
        <w:t>:"  |  comma  |  space  |  "^"  |  "*"  |  "/"  |  "+"  |  "-"  |  "&amp;"</w:t>
      </w:r>
    </w:p>
    <w:p w:rsidR="000A156F" w:rsidRDefault="00A9721F">
      <w:pPr>
        <w:pStyle w:val="Code"/>
      </w:pPr>
      <w:r>
        <w:t xml:space="preserve">  |  "="  |  "&lt;&gt;"  |  "&lt;"  |  "&lt;="  |  "&gt;"  |  "&gt;="  ;</w:t>
      </w:r>
    </w:p>
    <w:p w:rsidR="000A156F" w:rsidRDefault="00A9721F">
      <w:pPr>
        <w:pStyle w:val="Code"/>
      </w:pPr>
      <w:r>
        <w:t>postfix-operator=</w:t>
      </w:r>
    </w:p>
    <w:p w:rsidR="000A156F" w:rsidRDefault="00A9721F">
      <w:pPr>
        <w:pStyle w:val="Code"/>
      </w:pPr>
      <w:r>
        <w:t xml:space="preserve">  "%"  ;</w:t>
      </w:r>
    </w:p>
    <w:p w:rsidR="000A156F" w:rsidRDefault="00A9721F">
      <w:pPr>
        <w:pStyle w:val="Code"/>
      </w:pPr>
      <w:r>
        <w:t>prefix-operator=</w:t>
      </w:r>
    </w:p>
    <w:p w:rsidR="000A156F" w:rsidRDefault="00A9721F">
      <w:pPr>
        <w:pStyle w:val="Code"/>
      </w:pPr>
      <w:r>
        <w:t xml:space="preserve">  "+"  |  "-";</w:t>
      </w:r>
    </w:p>
    <w:p w:rsidR="000A156F" w:rsidRDefault="00A9721F">
      <w:pPr>
        <w:pStyle w:val="Definition-Field"/>
      </w:pPr>
      <w:r>
        <w:t xml:space="preserve">b.   </w:t>
      </w:r>
      <w:r>
        <w:rPr>
          <w:i/>
        </w:rPr>
        <w:t>The standard states that an expression with value 0 tests logicall</w:t>
      </w:r>
      <w:r>
        <w:rPr>
          <w:i/>
        </w:rPr>
        <w:t>y false while one with any nonzero value tests true.</w:t>
      </w:r>
    </w:p>
    <w:p w:rsidR="000A156F" w:rsidRDefault="00A9721F">
      <w:pPr>
        <w:pStyle w:val="Definition-Field2"/>
      </w:pPr>
      <w:r>
        <w:t>In Office, an expression with value 0 tests logically false while one with any nonzero numeric value tests true.</w:t>
      </w:r>
    </w:p>
    <w:p w:rsidR="000A156F" w:rsidRDefault="00A9721F">
      <w:pPr>
        <w:pStyle w:val="Heading3"/>
      </w:pPr>
      <w:bookmarkStart w:id="1746" w:name="section_3c420ebb6ef14b0d959d76e88c841c3e"/>
      <w:bookmarkStart w:id="1747" w:name="_Toc181683899"/>
      <w:r>
        <w:lastRenderedPageBreak/>
        <w:t>Part 1 Section 18.17.2.3, Cell References</w:t>
      </w:r>
      <w:bookmarkEnd w:id="1746"/>
      <w:bookmarkEnd w:id="1747"/>
      <w:r>
        <w:fldChar w:fldCharType="begin"/>
      </w:r>
      <w:r>
        <w:instrText xml:space="preserve"> XE "Cell References" </w:instrText>
      </w:r>
      <w:r>
        <w:fldChar w:fldCharType="end"/>
      </w:r>
    </w:p>
    <w:p w:rsidR="000A156F" w:rsidRDefault="00A9721F">
      <w:pPr>
        <w:pStyle w:val="Definition-Field"/>
      </w:pPr>
      <w:r>
        <w:t xml:space="preserve">a.   </w:t>
      </w:r>
      <w:r>
        <w:rPr>
          <w:i/>
        </w:rPr>
        <w:t>The standard does n</w:t>
      </w:r>
      <w:r>
        <w:rPr>
          <w:i/>
        </w:rPr>
        <w:t>ot specify the productions for cell-reference using EBNF.</w:t>
      </w:r>
    </w:p>
    <w:p w:rsidR="000A156F" w:rsidRDefault="00A9721F">
      <w:r>
        <w:t>Office writes the productions for cell-reference using the following EBNF:</w:t>
      </w:r>
    </w:p>
    <w:p w:rsidR="000A156F" w:rsidRDefault="00A9721F">
      <w:pPr>
        <w:pStyle w:val="Code"/>
      </w:pPr>
      <w:r>
        <w:t>cell-reference= external-cell-reference | A1-reference ;</w:t>
      </w:r>
    </w:p>
    <w:p w:rsidR="000A156F" w:rsidRDefault="00A9721F">
      <w:pPr>
        <w:pStyle w:val="Code"/>
      </w:pPr>
      <w:r>
        <w:t>external-cell-reference= sheets-prefix, A1-reference ;</w:t>
      </w:r>
    </w:p>
    <w:p w:rsidR="000A156F" w:rsidRDefault="00A9721F">
      <w:pPr>
        <w:pStyle w:val="Code"/>
      </w:pPr>
      <w:r>
        <w:t>book-prefix</w:t>
      </w:r>
      <w:r>
        <w:t xml:space="preserve">= workbook-index, "!" ; </w:t>
      </w:r>
    </w:p>
    <w:p w:rsidR="000A156F" w:rsidRDefault="00A9721F">
      <w:pPr>
        <w:pStyle w:val="Code"/>
      </w:pPr>
      <w:r>
        <w:t>sheets-prefix = single-sheet-prefix |</w:t>
      </w:r>
    </w:p>
    <w:p w:rsidR="000A156F" w:rsidRDefault="00A9721F">
      <w:pPr>
        <w:pStyle w:val="Code"/>
      </w:pPr>
      <w:r>
        <w:t xml:space="preserve">  sheet-range, "!" ; </w:t>
      </w:r>
    </w:p>
    <w:p w:rsidR="000A156F" w:rsidRDefault="00A9721F">
      <w:pPr>
        <w:pStyle w:val="Code"/>
      </w:pPr>
      <w:r>
        <w:t>single-sheet-prefix = single-sheet, "!" ;</w:t>
      </w:r>
    </w:p>
    <w:p w:rsidR="000A156F" w:rsidRDefault="00A9721F">
      <w:pPr>
        <w:pStyle w:val="Code"/>
      </w:pPr>
      <w:r>
        <w:t>single-sheet= [workbook-index] sheet-name |</w:t>
      </w:r>
    </w:p>
    <w:p w:rsidR="000A156F" w:rsidRDefault="00A9721F">
      <w:pPr>
        <w:pStyle w:val="Code"/>
      </w:pPr>
      <w:r>
        <w:t xml:space="preserve">  apostrophe,  [workbook-index] sheet-name-special,  apostrophe ;</w:t>
      </w:r>
    </w:p>
    <w:p w:rsidR="000A156F" w:rsidRDefault="00A9721F">
      <w:pPr>
        <w:pStyle w:val="Code"/>
      </w:pPr>
      <w:r>
        <w:t xml:space="preserve">sheet-range= </w:t>
      </w:r>
      <w:r>
        <w:t>[workbook-index], sheet-name, ":", sheet-name |</w:t>
      </w:r>
    </w:p>
    <w:p w:rsidR="000A156F" w:rsidRDefault="00A9721F">
      <w:pPr>
        <w:pStyle w:val="Code"/>
      </w:pPr>
      <w:r>
        <w:t xml:space="preserve">apostrophe,  [workbook-index] sheet-name-special, ":", sheet-name-special,  apostrophe ; </w:t>
      </w:r>
    </w:p>
    <w:p w:rsidR="000A156F" w:rsidRDefault="00A9721F">
      <w:pPr>
        <w:pStyle w:val="Code"/>
      </w:pPr>
      <w:r>
        <w:t>workbook-index =</w:t>
      </w:r>
    </w:p>
    <w:p w:rsidR="000A156F" w:rsidRDefault="00A9721F">
      <w:pPr>
        <w:pStyle w:val="Code"/>
      </w:pPr>
      <w:r>
        <w:t xml:space="preserve">  "[",  whole-number-part,  "]" ;</w:t>
      </w:r>
    </w:p>
    <w:p w:rsidR="000A156F" w:rsidRDefault="00A9721F">
      <w:pPr>
        <w:pStyle w:val="Code"/>
      </w:pPr>
      <w:r>
        <w:t>sheet-name=</w:t>
      </w:r>
    </w:p>
    <w:p w:rsidR="000A156F" w:rsidRDefault="00A9721F">
      <w:pPr>
        <w:pStyle w:val="Code"/>
      </w:pPr>
      <w:r>
        <w:t xml:space="preserve">  sheet-name-characters ;</w:t>
      </w:r>
    </w:p>
    <w:p w:rsidR="000A156F" w:rsidRDefault="00A9721F">
      <w:pPr>
        <w:pStyle w:val="Code"/>
      </w:pPr>
      <w:r>
        <w:t>sheet-name-characters=</w:t>
      </w:r>
    </w:p>
    <w:p w:rsidR="000A156F" w:rsidRDefault="00A9721F">
      <w:pPr>
        <w:pStyle w:val="Code"/>
      </w:pPr>
      <w:r>
        <w:t xml:space="preserve">  shee</w:t>
      </w:r>
      <w:r>
        <w:t>t-name-character,  {sheet-name-character} ;</w:t>
      </w:r>
    </w:p>
    <w:p w:rsidR="000A156F" w:rsidRDefault="00A9721F">
      <w:pPr>
        <w:pStyle w:val="Code"/>
      </w:pPr>
      <w:r>
        <w:t>sheet-name-character=</w:t>
      </w:r>
    </w:p>
    <w:p w:rsidR="000A156F" w:rsidRDefault="00A9721F">
      <w:pPr>
        <w:pStyle w:val="Code"/>
      </w:pPr>
      <w:r>
        <w:t xml:space="preserve">  character – (operator  |  apostrophe  |  "["  |  "]"  |  "\"  |  "?") ;</w:t>
      </w:r>
    </w:p>
    <w:p w:rsidR="000A156F" w:rsidRDefault="00A9721F">
      <w:pPr>
        <w:pStyle w:val="Code"/>
      </w:pPr>
      <w:r>
        <w:t xml:space="preserve">             (* any character except operator or ', [, ], \, or ? *)</w:t>
      </w:r>
    </w:p>
    <w:p w:rsidR="000A156F" w:rsidRDefault="00A9721F">
      <w:pPr>
        <w:pStyle w:val="Code"/>
      </w:pPr>
      <w:r>
        <w:t>apostrophe= "'"   ;</w:t>
      </w:r>
    </w:p>
    <w:p w:rsidR="000A156F" w:rsidRDefault="00A9721F">
      <w:pPr>
        <w:pStyle w:val="Code"/>
      </w:pPr>
      <w:r>
        <w:t>space = " "   ;</w:t>
      </w:r>
    </w:p>
    <w:p w:rsidR="000A156F" w:rsidRDefault="00A9721F">
      <w:pPr>
        <w:pStyle w:val="Code"/>
      </w:pPr>
      <w:r>
        <w:t>sheet-name-</w:t>
      </w:r>
      <w:r>
        <w:t>special=</w:t>
      </w:r>
    </w:p>
    <w:p w:rsidR="000A156F" w:rsidRDefault="00A9721F">
      <w:pPr>
        <w:pStyle w:val="Code"/>
      </w:pPr>
      <w:r>
        <w:t xml:space="preserve">  sheet-name-start-character-special,  </w:t>
      </w:r>
    </w:p>
    <w:p w:rsidR="000A156F" w:rsidRDefault="00A9721F">
      <w:pPr>
        <w:pStyle w:val="Code"/>
      </w:pPr>
      <w:r>
        <w:t xml:space="preserve">    [ [sheet-name-characters-special], sheet-name-end-character-special] ;</w:t>
      </w:r>
    </w:p>
    <w:p w:rsidR="000A156F" w:rsidRDefault="00A9721F">
      <w:pPr>
        <w:pStyle w:val="Code"/>
      </w:pPr>
      <w:r>
        <w:t>sheet-name-start-character-special=</w:t>
      </w:r>
    </w:p>
    <w:p w:rsidR="000A156F" w:rsidRDefault="00A9721F">
      <w:pPr>
        <w:pStyle w:val="Code"/>
      </w:pPr>
      <w:r>
        <w:t xml:space="preserve">  character  –  (apostrophe  |  "*"  |  "["  |  "]"  |  "\"  |  ":"  |  "/"</w:t>
      </w:r>
    </w:p>
    <w:p w:rsidR="000A156F" w:rsidRDefault="00A9721F">
      <w:pPr>
        <w:pStyle w:val="Code"/>
      </w:pPr>
      <w:r>
        <w:t>|  "?" | ? Unicode c</w:t>
      </w:r>
      <w:r>
        <w:t>haracter END OF TEXT ? )  ;</w:t>
      </w:r>
    </w:p>
    <w:p w:rsidR="000A156F" w:rsidRDefault="00A9721F">
      <w:pPr>
        <w:pStyle w:val="Code"/>
      </w:pPr>
      <w:r>
        <w:t>(* any character, including operator, except ', *, [, ], \, :, /, ?, or END OF TEXT *)</w:t>
      </w:r>
    </w:p>
    <w:p w:rsidR="000A156F" w:rsidRDefault="00A9721F">
      <w:pPr>
        <w:pStyle w:val="Code"/>
      </w:pPr>
      <w:r>
        <w:t>sheet-name-end-character-special=</w:t>
      </w:r>
    </w:p>
    <w:p w:rsidR="000A156F" w:rsidRDefault="00A9721F">
      <w:pPr>
        <w:pStyle w:val="Code"/>
      </w:pPr>
      <w:r>
        <w:t xml:space="preserve">  sheet-name-start-character-special  ;</w:t>
      </w:r>
    </w:p>
    <w:p w:rsidR="000A156F" w:rsidRDefault="00A9721F">
      <w:pPr>
        <w:pStyle w:val="Code"/>
      </w:pPr>
      <w:r>
        <w:t>sheet-name-characters-special=</w:t>
      </w:r>
    </w:p>
    <w:p w:rsidR="000A156F" w:rsidRDefault="00A9721F">
      <w:pPr>
        <w:pStyle w:val="Code"/>
      </w:pPr>
      <w:r>
        <w:t xml:space="preserve">  sheet-name-character-special,  {sh</w:t>
      </w:r>
      <w:r>
        <w:t>eet-name-character-special}  ;</w:t>
      </w:r>
    </w:p>
    <w:p w:rsidR="000A156F" w:rsidRDefault="00A9721F">
      <w:pPr>
        <w:pStyle w:val="Code"/>
      </w:pPr>
      <w:r>
        <w:t>sheet-name-character-special=</w:t>
      </w:r>
    </w:p>
    <w:p w:rsidR="000A156F" w:rsidRDefault="00A9721F">
      <w:pPr>
        <w:pStyle w:val="Code"/>
      </w:pPr>
      <w:r>
        <w:t xml:space="preserve">  apostrophe, apostrophe  |</w:t>
      </w:r>
    </w:p>
    <w:p w:rsidR="000A156F" w:rsidRDefault="00A9721F">
      <w:pPr>
        <w:pStyle w:val="Code"/>
      </w:pPr>
      <w:r>
        <w:t xml:space="preserve">  character  –  (apostrophe  |  "*"  |  "["  |  "]"  |  "\"  |  ":"  |  "/"</w:t>
      </w:r>
    </w:p>
    <w:p w:rsidR="000A156F" w:rsidRDefault="00A9721F">
      <w:pPr>
        <w:pStyle w:val="Code"/>
      </w:pPr>
      <w:r>
        <w:t xml:space="preserve">  |  "?" | ? Unicode character END OF TEXT ? )  ;</w:t>
      </w:r>
    </w:p>
    <w:p w:rsidR="000A156F" w:rsidRDefault="00A9721F">
      <w:pPr>
        <w:pStyle w:val="Code"/>
      </w:pPr>
      <w:r>
        <w:t>(* any character, including operator, exc</w:t>
      </w:r>
      <w:r>
        <w:t>ept ', *, [, ], \, :, /, ?, or END OF TEXT *)</w:t>
      </w:r>
    </w:p>
    <w:p w:rsidR="000A156F" w:rsidRDefault="00A9721F">
      <w:pPr>
        <w:pStyle w:val="Definition-Field"/>
      </w:pPr>
      <w:r>
        <w:t xml:space="preserve">b.   </w:t>
      </w:r>
      <w:r>
        <w:rPr>
          <w:i/>
        </w:rPr>
        <w:t>The standard does not specify how external book index can be used to access a cell in external workbook.</w:t>
      </w:r>
    </w:p>
    <w:p w:rsidR="000A156F" w:rsidRDefault="00A9721F">
      <w:pPr>
        <w:pStyle w:val="Definition-Field2"/>
      </w:pPr>
      <w:r>
        <w:t xml:space="preserve">In Office, a nonzero index represents a reference to an external book in an external link </w:t>
      </w:r>
      <w:r>
        <w:t>collection.</w:t>
      </w:r>
    </w:p>
    <w:p w:rsidR="000A156F" w:rsidRDefault="00A9721F">
      <w:pPr>
        <w:pStyle w:val="Definition-Field"/>
      </w:pPr>
      <w:r>
        <w:t xml:space="preserve">c.   </w:t>
      </w:r>
      <w:r>
        <w:rPr>
          <w:i/>
        </w:rPr>
        <w:t>The standard refers to absolute cell reference behavior when the position of the cell containing the formula changes.</w:t>
      </w:r>
    </w:p>
    <w:p w:rsidR="000A156F" w:rsidRDefault="00A9721F">
      <w:pPr>
        <w:pStyle w:val="Definition-Field2"/>
      </w:pPr>
      <w:r>
        <w:t>Excel does not relate the behavior of cells during move operations to relative or absolute references.</w:t>
      </w:r>
    </w:p>
    <w:p w:rsidR="000A156F" w:rsidRDefault="00A9721F">
      <w:pPr>
        <w:pStyle w:val="Definition-Field"/>
      </w:pPr>
      <w:r>
        <w:t xml:space="preserve">d.   </w:t>
      </w:r>
      <w:r>
        <w:rPr>
          <w:i/>
        </w:rPr>
        <w:t xml:space="preserve">The standard </w:t>
      </w:r>
      <w:r>
        <w:rPr>
          <w:i/>
        </w:rPr>
        <w:t>states that functions which take 3D references are AVERAGE, AVERAGEA, COUNT, COUNTA, MAX, MAXA, MIN, MINA, PRODUCT, STDEV, STDEVA, STDEVP, STDEVPA, SUM, VAR, VARA, VARP, and VARPA.</w:t>
      </w:r>
    </w:p>
    <w:p w:rsidR="000A156F" w:rsidRDefault="00A9721F">
      <w:pPr>
        <w:pStyle w:val="Definition-Field2"/>
      </w:pPr>
      <w:r>
        <w:t>In Office, the following functions also take 3D references: AND, AVEDEV, DE</w:t>
      </w:r>
      <w:r>
        <w:t>VSQ, GEOMEAN, HARMEAN, KURT, MEDIAN, NPV, OR, SKEW, SUMSQ, TRIMMEAN, and ZTEST.</w:t>
      </w:r>
    </w:p>
    <w:p w:rsidR="000A156F" w:rsidRDefault="00A9721F">
      <w:pPr>
        <w:pStyle w:val="Definition-Field"/>
      </w:pPr>
      <w:r>
        <w:t xml:space="preserve">e.   </w:t>
      </w:r>
      <w:r>
        <w:rPr>
          <w:i/>
        </w:rPr>
        <w:t>The standard states 3-D references shall not be used in multi-cell formulas.</w:t>
      </w:r>
    </w:p>
    <w:p w:rsidR="000A156F" w:rsidRDefault="00A9721F">
      <w:pPr>
        <w:pStyle w:val="Definition-Field2"/>
      </w:pPr>
      <w:r>
        <w:lastRenderedPageBreak/>
        <w:t>In Office, 3-D references can be used in array or multi-cell formulas within the same limits a</w:t>
      </w:r>
      <w:r>
        <w:t>s in a single-cell formula.</w:t>
      </w:r>
    </w:p>
    <w:p w:rsidR="000A156F" w:rsidRDefault="00A9721F">
      <w:pPr>
        <w:pStyle w:val="Heading3"/>
      </w:pPr>
      <w:bookmarkStart w:id="1748" w:name="section_3b539277da4f49d094d484d9256afb36"/>
      <w:bookmarkStart w:id="1749" w:name="_Toc181683900"/>
      <w:r>
        <w:t>Part 1 Section 18.17.2.3.1, A1-Style Cell References</w:t>
      </w:r>
      <w:bookmarkEnd w:id="1748"/>
      <w:bookmarkEnd w:id="1749"/>
      <w:r>
        <w:fldChar w:fldCharType="begin"/>
      </w:r>
      <w:r>
        <w:instrText xml:space="preserve"> XE "A1-Style Cell References" </w:instrText>
      </w:r>
      <w:r>
        <w:fldChar w:fldCharType="end"/>
      </w:r>
    </w:p>
    <w:p w:rsidR="000A156F" w:rsidRDefault="00A9721F">
      <w:pPr>
        <w:pStyle w:val="Definition-Field"/>
      </w:pPr>
      <w:r>
        <w:t xml:space="preserve">a.   </w:t>
      </w:r>
      <w:r>
        <w:rPr>
          <w:i/>
        </w:rPr>
        <w:t>The standard does not specify the productions for A1-reference using EBNF.</w:t>
      </w:r>
    </w:p>
    <w:p w:rsidR="000A156F" w:rsidRDefault="00A9721F">
      <w:r>
        <w:t>Office writes the productions for A1-reference using the follo</w:t>
      </w:r>
      <w:r>
        <w:t>wing EBNF:</w:t>
      </w:r>
    </w:p>
    <w:p w:rsidR="000A156F" w:rsidRDefault="00A9721F">
      <w:pPr>
        <w:pStyle w:val="Code"/>
      </w:pPr>
      <w:r>
        <w:t>A1-reference=</w:t>
      </w:r>
    </w:p>
    <w:p w:rsidR="000A156F" w:rsidRDefault="00A9721F">
      <w:pPr>
        <w:pStyle w:val="Code"/>
      </w:pPr>
      <w:r>
        <w:t xml:space="preserve">  A1-column,  ":",  A1-column    |  </w:t>
      </w:r>
    </w:p>
    <w:p w:rsidR="000A156F" w:rsidRDefault="00A9721F">
      <w:pPr>
        <w:pStyle w:val="Code"/>
      </w:pPr>
      <w:r>
        <w:t xml:space="preserve">  A1-row,  ":", A1-row    |  </w:t>
      </w:r>
    </w:p>
    <w:p w:rsidR="000A156F" w:rsidRDefault="00A9721F">
      <w:pPr>
        <w:pStyle w:val="Code"/>
      </w:pPr>
      <w:r>
        <w:t xml:space="preserve">  A1-cell, ":", A1-cell |</w:t>
      </w:r>
    </w:p>
    <w:p w:rsidR="000A156F" w:rsidRDefault="00A9721F">
      <w:pPr>
        <w:pStyle w:val="Code"/>
      </w:pPr>
      <w:r>
        <w:t xml:space="preserve">  A1-cell ;</w:t>
      </w:r>
    </w:p>
    <w:p w:rsidR="000A156F" w:rsidRDefault="00A9721F">
      <w:pPr>
        <w:pStyle w:val="Code"/>
      </w:pPr>
      <w:r>
        <w:t>A1-cell=</w:t>
      </w:r>
    </w:p>
    <w:p w:rsidR="000A156F" w:rsidRDefault="00A9721F">
      <w:pPr>
        <w:pStyle w:val="Code"/>
      </w:pPr>
      <w:r>
        <w:t xml:space="preserve">  A1-column,  A1-row;</w:t>
      </w:r>
    </w:p>
    <w:p w:rsidR="000A156F" w:rsidRDefault="00A9721F">
      <w:pPr>
        <w:pStyle w:val="Code"/>
      </w:pPr>
      <w:r>
        <w:t>A1-column=</w:t>
      </w:r>
    </w:p>
    <w:p w:rsidR="000A156F" w:rsidRDefault="00A9721F">
      <w:pPr>
        <w:pStyle w:val="Code"/>
      </w:pPr>
      <w:r>
        <w:t xml:space="preserve">  A1-relative-column  |  </w:t>
      </w:r>
    </w:p>
    <w:p w:rsidR="000A156F" w:rsidRDefault="00A9721F">
      <w:pPr>
        <w:pStyle w:val="Code"/>
      </w:pPr>
      <w:r>
        <w:t xml:space="preserve">  A1-absolute-column  ;</w:t>
      </w:r>
    </w:p>
    <w:p w:rsidR="000A156F" w:rsidRDefault="00A9721F">
      <w:pPr>
        <w:pStyle w:val="Code"/>
      </w:pPr>
      <w:r>
        <w:t>A1-relative-column=</w:t>
      </w:r>
    </w:p>
    <w:p w:rsidR="000A156F" w:rsidRDefault="00A9721F">
      <w:pPr>
        <w:pStyle w:val="Code"/>
      </w:pPr>
      <w:r>
        <w:t xml:space="preserve">  letter, {letter}  ;  (* see semantic rules for A1-Style Cell References  ("</w:t>
      </w:r>
      <w:hyperlink r:id="rId145">
        <w:r>
          <w:rPr>
            <w:rStyle w:val="Hyperlink"/>
          </w:rPr>
          <w:t>[ISO/IEC-29500-1]</w:t>
        </w:r>
      </w:hyperlink>
      <w:r>
        <w:t xml:space="preserve"> §18.17.2.3.1") *)</w:t>
      </w:r>
    </w:p>
    <w:p w:rsidR="000A156F" w:rsidRDefault="00A9721F">
      <w:pPr>
        <w:pStyle w:val="Code"/>
      </w:pPr>
      <w:r>
        <w:t>letter=</w:t>
      </w:r>
    </w:p>
    <w:p w:rsidR="000A156F" w:rsidRDefault="00A9721F">
      <w:pPr>
        <w:pStyle w:val="Code"/>
      </w:pPr>
      <w:r>
        <w:t xml:space="preserve">  "A"|"B"|"C"|"D"|"E"|"F"|"G"|"H"|"I"|"J"|"K"|"L"|"M"|</w:t>
      </w:r>
    </w:p>
    <w:p w:rsidR="000A156F" w:rsidRDefault="00A9721F">
      <w:pPr>
        <w:pStyle w:val="Code"/>
      </w:pPr>
      <w:r>
        <w:t xml:space="preserve">  "N"|"O"|"P"|</w:t>
      </w:r>
      <w:r>
        <w:t>"Q"|"R"|"S"|"T"|"U"|"V"|"W"|"X"|"Y"|"Z"|</w:t>
      </w:r>
    </w:p>
    <w:p w:rsidR="000A156F" w:rsidRDefault="00A9721F">
      <w:pPr>
        <w:pStyle w:val="Code"/>
      </w:pPr>
      <w:r>
        <w:t xml:space="preserve">  "a"|"b"|"c"|"d"|"e"|"f"|"g"|"h"|"i"|"j"|"k"|"l"|"m"|</w:t>
      </w:r>
    </w:p>
    <w:p w:rsidR="000A156F" w:rsidRDefault="00A9721F">
      <w:pPr>
        <w:pStyle w:val="Code"/>
      </w:pPr>
      <w:r>
        <w:t xml:space="preserve">  "n"|"o"|"p"|"q"|"r"|"s"|"t"|"u"|"v"|"w"|"x"|"y"|"z"  ;</w:t>
      </w:r>
    </w:p>
    <w:p w:rsidR="000A156F" w:rsidRDefault="00A9721F">
      <w:pPr>
        <w:pStyle w:val="Code"/>
      </w:pPr>
      <w:r>
        <w:t>A1-absolute-column=</w:t>
      </w:r>
    </w:p>
    <w:p w:rsidR="000A156F" w:rsidRDefault="00A9721F">
      <w:pPr>
        <w:pStyle w:val="Code"/>
      </w:pPr>
      <w:r>
        <w:t xml:space="preserve">  "$", A1-relative-column  ; </w:t>
      </w:r>
    </w:p>
    <w:p w:rsidR="000A156F" w:rsidRDefault="00A9721F">
      <w:pPr>
        <w:pStyle w:val="Code"/>
      </w:pPr>
      <w:r>
        <w:t>A1-row=</w:t>
      </w:r>
    </w:p>
    <w:p w:rsidR="000A156F" w:rsidRDefault="00A9721F">
      <w:pPr>
        <w:pStyle w:val="Code"/>
      </w:pPr>
      <w:r>
        <w:t xml:space="preserve">  A1-relative-row  |  </w:t>
      </w:r>
    </w:p>
    <w:p w:rsidR="000A156F" w:rsidRDefault="00A9721F">
      <w:pPr>
        <w:pStyle w:val="Code"/>
      </w:pPr>
      <w:r>
        <w:t xml:space="preserve">  A1-absolute-row  ;</w:t>
      </w:r>
    </w:p>
    <w:p w:rsidR="000A156F" w:rsidRDefault="00A9721F">
      <w:pPr>
        <w:pStyle w:val="Code"/>
      </w:pPr>
      <w:r>
        <w:t>A1-relative-row=</w:t>
      </w:r>
    </w:p>
    <w:p w:rsidR="000A156F" w:rsidRDefault="00A9721F">
      <w:pPr>
        <w:pStyle w:val="Code"/>
      </w:pPr>
      <w:r>
        <w:t xml:space="preserve">  digit-sequence  ;  (* must be nonzero; see A1-Style Cell References  ("[ISO/IEC-29500-1] §18.17.2.3.1") *)</w:t>
      </w:r>
    </w:p>
    <w:p w:rsidR="000A156F" w:rsidRDefault="00A9721F">
      <w:pPr>
        <w:pStyle w:val="Code"/>
      </w:pPr>
      <w:r>
        <w:t>A1-absolute-row=</w:t>
      </w:r>
    </w:p>
    <w:p w:rsidR="000A156F" w:rsidRDefault="00A9721F">
      <w:pPr>
        <w:pStyle w:val="Code"/>
      </w:pPr>
      <w:r>
        <w:t xml:space="preserve">  “$”, A1-relative-row  ; </w:t>
      </w:r>
    </w:p>
    <w:p w:rsidR="000A156F" w:rsidRDefault="00A9721F">
      <w:pPr>
        <w:pStyle w:val="Heading3"/>
      </w:pPr>
      <w:bookmarkStart w:id="1750" w:name="section_8d68c790057144f68583f837e72635ed"/>
      <w:bookmarkStart w:id="1751" w:name="_Toc181683901"/>
      <w:r>
        <w:t>Part 1 Section 18.17.2.3.2, R1C1-Style Cell Reference</w:t>
      </w:r>
      <w:bookmarkEnd w:id="1750"/>
      <w:bookmarkEnd w:id="1751"/>
      <w:r>
        <w:fldChar w:fldCharType="begin"/>
      </w:r>
      <w:r>
        <w:instrText xml:space="preserve"> XE "R1C1-Style Cell Reference" </w:instrText>
      </w:r>
      <w:r>
        <w:fldChar w:fldCharType="end"/>
      </w:r>
    </w:p>
    <w:p w:rsidR="000A156F" w:rsidRDefault="00A9721F">
      <w:pPr>
        <w:pStyle w:val="Definition-Field"/>
      </w:pPr>
      <w:r>
        <w:t xml:space="preserve">a.   </w:t>
      </w:r>
      <w:r>
        <w:rPr>
          <w:i/>
        </w:rPr>
        <w:t>The standard does not use EBNF to specify the productions for R1C1-reference.</w:t>
      </w:r>
    </w:p>
    <w:p w:rsidR="000A156F" w:rsidRDefault="00A9721F">
      <w:r>
        <w:t>Office writes the productions for R1C1-reference using the following EBNF:</w:t>
      </w:r>
    </w:p>
    <w:p w:rsidR="000A156F" w:rsidRDefault="00A9721F">
      <w:pPr>
        <w:pStyle w:val="Code"/>
      </w:pPr>
      <w:r>
        <w:t>R1C1-reference=</w:t>
      </w:r>
    </w:p>
    <w:p w:rsidR="000A156F" w:rsidRDefault="00A9721F">
      <w:pPr>
        <w:pStyle w:val="Code"/>
      </w:pPr>
      <w:r>
        <w:t xml:space="preserve">  R1C1-row-only    |  </w:t>
      </w:r>
    </w:p>
    <w:p w:rsidR="000A156F" w:rsidRDefault="00A9721F">
      <w:pPr>
        <w:pStyle w:val="Code"/>
      </w:pPr>
      <w:r>
        <w:t xml:space="preserve">  R1C1-column-only    |  </w:t>
      </w:r>
    </w:p>
    <w:p w:rsidR="000A156F" w:rsidRDefault="00A9721F">
      <w:pPr>
        <w:pStyle w:val="Code"/>
      </w:pPr>
      <w:r>
        <w:t xml:space="preserve">  R1C1-cell, ":", R1C1-cell |</w:t>
      </w:r>
    </w:p>
    <w:p w:rsidR="000A156F" w:rsidRDefault="00A9721F">
      <w:pPr>
        <w:pStyle w:val="Code"/>
      </w:pPr>
      <w:r>
        <w:t xml:space="preserve"> </w:t>
      </w:r>
      <w:r>
        <w:t xml:space="preserve"> R1C1-cell ;</w:t>
      </w:r>
    </w:p>
    <w:p w:rsidR="000A156F" w:rsidRDefault="00A9721F">
      <w:pPr>
        <w:pStyle w:val="Code"/>
      </w:pPr>
      <w:r>
        <w:t>R1C1-cell=</w:t>
      </w:r>
    </w:p>
    <w:p w:rsidR="000A156F" w:rsidRDefault="00A9721F">
      <w:pPr>
        <w:pStyle w:val="Code"/>
      </w:pPr>
      <w:r>
        <w:t xml:space="preserve">  R1C1-row,  R1C1-column  ;</w:t>
      </w:r>
    </w:p>
    <w:p w:rsidR="000A156F" w:rsidRDefault="00A9721F">
      <w:pPr>
        <w:pStyle w:val="Code"/>
      </w:pPr>
      <w:r>
        <w:t>R1C1-row-only=</w:t>
      </w:r>
    </w:p>
    <w:p w:rsidR="000A156F" w:rsidRDefault="00A9721F">
      <w:pPr>
        <w:pStyle w:val="Code"/>
      </w:pPr>
      <w:r>
        <w:t xml:space="preserve">  "R",  R1C1-absolute-number,   |  </w:t>
      </w:r>
    </w:p>
    <w:p w:rsidR="000A156F" w:rsidRDefault="00A9721F">
      <w:pPr>
        <w:pStyle w:val="Code"/>
      </w:pPr>
      <w:r>
        <w:t xml:space="preserve">  "R[",  R1C1-relative-number, "]"  ;</w:t>
      </w:r>
    </w:p>
    <w:p w:rsidR="000A156F" w:rsidRDefault="00A9721F">
      <w:pPr>
        <w:pStyle w:val="Code"/>
      </w:pPr>
      <w:r>
        <w:t>R1C1-row=</w:t>
      </w:r>
    </w:p>
    <w:p w:rsidR="000A156F" w:rsidRDefault="00A9721F">
      <w:pPr>
        <w:pStyle w:val="Code"/>
      </w:pPr>
      <w:r>
        <w:t xml:space="preserve">  R1C1-relative-row  |  </w:t>
      </w:r>
    </w:p>
    <w:p w:rsidR="000A156F" w:rsidRDefault="00A9721F">
      <w:pPr>
        <w:pStyle w:val="Code"/>
      </w:pPr>
      <w:r>
        <w:t xml:space="preserve">  R1C1-absolute-row  ;</w:t>
      </w:r>
    </w:p>
    <w:p w:rsidR="000A156F" w:rsidRDefault="00A9721F">
      <w:pPr>
        <w:pStyle w:val="Code"/>
      </w:pPr>
      <w:r>
        <w:t>R1C1-relative-row= "R"    |</w:t>
      </w:r>
    </w:p>
    <w:p w:rsidR="000A156F" w:rsidRDefault="00A9721F">
      <w:pPr>
        <w:pStyle w:val="Code"/>
      </w:pPr>
      <w:r>
        <w:t xml:space="preserve">  "R[",  R1C1-relative-number</w:t>
      </w:r>
      <w:r>
        <w:t xml:space="preserve">, "]"  ;  </w:t>
      </w:r>
    </w:p>
    <w:p w:rsidR="000A156F" w:rsidRDefault="00A9721F">
      <w:pPr>
        <w:pStyle w:val="Code"/>
      </w:pPr>
      <w:r>
        <w:t>R1C1-absolute-row=</w:t>
      </w:r>
    </w:p>
    <w:p w:rsidR="000A156F" w:rsidRDefault="00A9721F">
      <w:pPr>
        <w:pStyle w:val="Code"/>
      </w:pPr>
      <w:r>
        <w:t xml:space="preserve">  "R", R1C1-absolute-number  ; </w:t>
      </w:r>
    </w:p>
    <w:p w:rsidR="000A156F" w:rsidRDefault="00A9721F">
      <w:pPr>
        <w:pStyle w:val="Code"/>
      </w:pPr>
      <w:r>
        <w:t>R1C1-column-only=</w:t>
      </w:r>
    </w:p>
    <w:p w:rsidR="000A156F" w:rsidRDefault="00A9721F">
      <w:pPr>
        <w:pStyle w:val="Code"/>
      </w:pPr>
      <w:r>
        <w:t xml:space="preserve">  "C",  R1C1-absolute-number  |  </w:t>
      </w:r>
    </w:p>
    <w:p w:rsidR="000A156F" w:rsidRDefault="00A9721F">
      <w:pPr>
        <w:pStyle w:val="Code"/>
      </w:pPr>
      <w:r>
        <w:t xml:space="preserve">  "C[",  R1C1-relative-number,  "]"  ;</w:t>
      </w:r>
    </w:p>
    <w:p w:rsidR="000A156F" w:rsidRDefault="00A9721F">
      <w:pPr>
        <w:pStyle w:val="Code"/>
      </w:pPr>
      <w:r>
        <w:lastRenderedPageBreak/>
        <w:t>R1C1-column=</w:t>
      </w:r>
    </w:p>
    <w:p w:rsidR="000A156F" w:rsidRDefault="00A9721F">
      <w:pPr>
        <w:pStyle w:val="Code"/>
      </w:pPr>
      <w:r>
        <w:t xml:space="preserve">  R1C1-relative-column  |  </w:t>
      </w:r>
    </w:p>
    <w:p w:rsidR="000A156F" w:rsidRDefault="00A9721F">
      <w:pPr>
        <w:pStyle w:val="Code"/>
      </w:pPr>
      <w:r>
        <w:t xml:space="preserve">  R1C1-absolute-column  ;</w:t>
      </w:r>
    </w:p>
    <w:p w:rsidR="000A156F" w:rsidRDefault="00A9721F">
      <w:pPr>
        <w:pStyle w:val="Code"/>
      </w:pPr>
      <w:r>
        <w:t>R1C1-relative-column= "C"    |</w:t>
      </w:r>
    </w:p>
    <w:p w:rsidR="000A156F" w:rsidRDefault="00A9721F">
      <w:pPr>
        <w:pStyle w:val="Code"/>
      </w:pPr>
      <w:r>
        <w:t xml:space="preserve">  "C[",  R1C1-relative-number,  "]"  ;</w:t>
      </w:r>
    </w:p>
    <w:p w:rsidR="000A156F" w:rsidRDefault="00A9721F">
      <w:pPr>
        <w:pStyle w:val="Code"/>
      </w:pPr>
      <w:r>
        <w:t>R1C1-absolute-column= "C", R1C1-absolute-number  ;</w:t>
      </w:r>
    </w:p>
    <w:p w:rsidR="000A156F" w:rsidRDefault="00A9721F">
      <w:pPr>
        <w:pStyle w:val="Code"/>
      </w:pPr>
      <w:r>
        <w:t>R1C1-relative-number=</w:t>
      </w:r>
    </w:p>
    <w:p w:rsidR="000A156F" w:rsidRDefault="00A9721F">
      <w:pPr>
        <w:pStyle w:val="Code"/>
      </w:pPr>
      <w:r>
        <w:t xml:space="preserve">  ["-"], digit-sequence   ;</w:t>
      </w:r>
    </w:p>
    <w:p w:rsidR="000A156F" w:rsidRDefault="00A9721F">
      <w:pPr>
        <w:pStyle w:val="Code"/>
      </w:pPr>
      <w:r>
        <w:t xml:space="preserve">R1C1-absolute-number=                                  </w:t>
      </w:r>
    </w:p>
    <w:p w:rsidR="000A156F" w:rsidRDefault="00A9721F">
      <w:pPr>
        <w:pStyle w:val="Code"/>
      </w:pPr>
      <w:r>
        <w:t xml:space="preserve">  digit-sequence  ;  (* must be nonzero; see A1-Style Cell R</w:t>
      </w:r>
      <w:r>
        <w:t>eferences  ("</w:t>
      </w:r>
      <w:hyperlink r:id="rId146">
        <w:r>
          <w:rPr>
            <w:rStyle w:val="Hyperlink"/>
          </w:rPr>
          <w:t>[ISO/IEC-29500-1]</w:t>
        </w:r>
      </w:hyperlink>
      <w:r>
        <w:t xml:space="preserve"> §18.17.2.3.1") *)</w:t>
      </w:r>
    </w:p>
    <w:p w:rsidR="000A156F" w:rsidRDefault="00A9721F">
      <w:pPr>
        <w:pStyle w:val="Definition-Field"/>
      </w:pPr>
      <w:r>
        <w:t xml:space="preserve">b.   </w:t>
      </w:r>
      <w:r>
        <w:rPr>
          <w:i/>
        </w:rPr>
        <w:t>The standard states that a negative offset indicates a row to the left or a column above, and a positive offset indicates a row to the r</w:t>
      </w:r>
      <w:r>
        <w:rPr>
          <w:i/>
        </w:rPr>
        <w:t>ight or a column below.</w:t>
      </w:r>
    </w:p>
    <w:p w:rsidR="000A156F" w:rsidRDefault="00A9721F">
      <w:pPr>
        <w:pStyle w:val="Definition-Field2"/>
      </w:pPr>
      <w:r>
        <w:t>In Office, a negative offset indicates a column to the left or a row above, and a positive offset indicates a column to the right or a row below.</w:t>
      </w:r>
    </w:p>
    <w:p w:rsidR="000A156F" w:rsidRDefault="00A9721F">
      <w:pPr>
        <w:pStyle w:val="Heading3"/>
      </w:pPr>
      <w:bookmarkStart w:id="1752" w:name="section_364a891349b546aa9cd5bc8180948a2a"/>
      <w:bookmarkStart w:id="1753" w:name="_Toc181683902"/>
      <w:r>
        <w:t>Part 1 Section 18.17.2.4, Functions</w:t>
      </w:r>
      <w:bookmarkEnd w:id="1752"/>
      <w:bookmarkEnd w:id="1753"/>
      <w:r>
        <w:fldChar w:fldCharType="begin"/>
      </w:r>
      <w:r>
        <w:instrText xml:space="preserve"> XE "Functions" </w:instrText>
      </w:r>
      <w:r>
        <w:fldChar w:fldCharType="end"/>
      </w:r>
    </w:p>
    <w:p w:rsidR="000A156F" w:rsidRDefault="00A9721F">
      <w:pPr>
        <w:pStyle w:val="Definition-Field"/>
      </w:pPr>
      <w:r>
        <w:t xml:space="preserve">a.   </w:t>
      </w:r>
      <w:r>
        <w:rPr>
          <w:i/>
        </w:rPr>
        <w:t>The standard does not use E</w:t>
      </w:r>
      <w:r>
        <w:rPr>
          <w:i/>
        </w:rPr>
        <w:t>BNF to write the productions for function-call.</w:t>
      </w:r>
    </w:p>
    <w:p w:rsidR="000A156F" w:rsidRDefault="00A9721F">
      <w:r>
        <w:t>Office writes the productions for function-call using the following EBNF:</w:t>
      </w:r>
    </w:p>
    <w:p w:rsidR="000A156F" w:rsidRDefault="00A9721F">
      <w:pPr>
        <w:pStyle w:val="Code"/>
      </w:pPr>
      <w:r>
        <w:t>function-call=</w:t>
      </w:r>
    </w:p>
    <w:p w:rsidR="000A156F" w:rsidRDefault="00A9721F">
      <w:pPr>
        <w:pStyle w:val="Code"/>
      </w:pPr>
      <w:r>
        <w:t xml:space="preserve">  function-name,  "(",  argument-list,  ")"    ;</w:t>
      </w:r>
    </w:p>
    <w:p w:rsidR="000A156F" w:rsidRDefault="00A9721F">
      <w:pPr>
        <w:pStyle w:val="Code"/>
      </w:pPr>
      <w:r>
        <w:t>function-name=</w:t>
      </w:r>
    </w:p>
    <w:p w:rsidR="000A156F" w:rsidRDefault="00A9721F">
      <w:pPr>
        <w:pStyle w:val="Code"/>
      </w:pPr>
      <w:r>
        <w:t xml:space="preserve">  predefined-function-name |</w:t>
      </w:r>
    </w:p>
    <w:p w:rsidR="000A156F" w:rsidRDefault="00A9721F">
      <w:pPr>
        <w:pStyle w:val="Code"/>
      </w:pPr>
      <w:r>
        <w:t xml:space="preserve">  user-defined-function-na</w:t>
      </w:r>
      <w:r>
        <w:t>me ;</w:t>
      </w:r>
    </w:p>
    <w:p w:rsidR="000A156F" w:rsidRDefault="00A9721F">
      <w:pPr>
        <w:pStyle w:val="Code"/>
      </w:pPr>
      <w:r>
        <w:t>predefined-function-name=</w:t>
      </w:r>
    </w:p>
    <w:p w:rsidR="000A156F" w:rsidRDefault="00A9721F">
      <w:pPr>
        <w:pStyle w:val="Code"/>
      </w:pPr>
      <w:r>
        <w:t xml:space="preserve">  "ABS"  |  "ACOS"  |  "ACOSH"</w:t>
      </w:r>
    </w:p>
    <w:p w:rsidR="000A156F" w:rsidRDefault="00A9721F">
      <w:pPr>
        <w:pStyle w:val="Code"/>
      </w:pPr>
      <w:r>
        <w:t xml:space="preserve">  |  ( any of the other functions defined in Predefined Function Definitions ("</w:t>
      </w:r>
      <w:hyperlink r:id="rId147">
        <w:r>
          <w:rPr>
            <w:rStyle w:val="Hyperlink"/>
          </w:rPr>
          <w:t>[ISO/IEC-29500-1]</w:t>
        </w:r>
      </w:hyperlink>
      <w:r>
        <w:t xml:space="preserve"> §18.17.7"))  ;</w:t>
      </w:r>
    </w:p>
    <w:p w:rsidR="000A156F" w:rsidRDefault="00A9721F">
      <w:pPr>
        <w:pStyle w:val="Code"/>
      </w:pPr>
      <w:r>
        <w:t>user-defined-fun</w:t>
      </w:r>
      <w:r>
        <w:t>ction-name=</w:t>
      </w:r>
    </w:p>
    <w:p w:rsidR="000A156F" w:rsidRDefault="00A9721F">
      <w:pPr>
        <w:pStyle w:val="Code"/>
      </w:pPr>
      <w:r>
        <w:t xml:space="preserve">  name-reference ;</w:t>
      </w:r>
    </w:p>
    <w:p w:rsidR="000A156F" w:rsidRDefault="00A9721F">
      <w:pPr>
        <w:pStyle w:val="Code"/>
      </w:pPr>
      <w:r>
        <w:t>argument-list=</w:t>
      </w:r>
    </w:p>
    <w:p w:rsidR="000A156F" w:rsidRDefault="00A9721F">
      <w:pPr>
        <w:pStyle w:val="Code"/>
      </w:pPr>
      <w:r>
        <w:t xml:space="preserve">  argument,  {  comma,  argument  }  ;</w:t>
      </w:r>
    </w:p>
    <w:p w:rsidR="000A156F" w:rsidRDefault="00A9721F">
      <w:pPr>
        <w:pStyle w:val="Code"/>
      </w:pPr>
      <w:r>
        <w:t>comma=</w:t>
      </w:r>
    </w:p>
    <w:p w:rsidR="000A156F" w:rsidRDefault="00A9721F">
      <w:pPr>
        <w:pStyle w:val="Code"/>
      </w:pPr>
      <w:r>
        <w:t xml:space="preserve">  ","  ;</w:t>
      </w:r>
    </w:p>
    <w:p w:rsidR="000A156F" w:rsidRDefault="00A9721F">
      <w:pPr>
        <w:pStyle w:val="Code"/>
      </w:pPr>
      <w:r>
        <w:t xml:space="preserve">argument=                   </w:t>
      </w:r>
    </w:p>
    <w:p w:rsidR="000A156F" w:rsidRDefault="00A9721F">
      <w:pPr>
        <w:pStyle w:val="Code"/>
      </w:pPr>
      <w:r>
        <w:t xml:space="preserve">  [expression]  ;</w:t>
      </w:r>
    </w:p>
    <w:p w:rsidR="000A156F" w:rsidRDefault="00A9721F">
      <w:pPr>
        <w:pStyle w:val="Definition-Field"/>
      </w:pPr>
      <w:r>
        <w:t xml:space="preserve">b.   </w:t>
      </w:r>
      <w:r>
        <w:rPr>
          <w:i/>
        </w:rPr>
        <w:t xml:space="preserve">The standard states that a function is a named formula that takes zero or more arguments, performs an </w:t>
      </w:r>
      <w:r>
        <w:rPr>
          <w:i/>
        </w:rPr>
        <w:t>operation, and, optionally, returns a result.</w:t>
      </w:r>
    </w:p>
    <w:p w:rsidR="000A156F" w:rsidRDefault="00A9721F">
      <w:pPr>
        <w:pStyle w:val="Definition-Field2"/>
      </w:pPr>
      <w:r>
        <w:t>In Office, a function always returns a result.</w:t>
      </w:r>
    </w:p>
    <w:p w:rsidR="000A156F" w:rsidRDefault="00A9721F">
      <w:pPr>
        <w:pStyle w:val="Heading3"/>
      </w:pPr>
      <w:bookmarkStart w:id="1754" w:name="section_1399f3cb927c461196ee666143a8be35"/>
      <w:bookmarkStart w:id="1755" w:name="_Toc181683903"/>
      <w:r>
        <w:t>Part 1 Section 18.17.2.5, Names</w:t>
      </w:r>
      <w:bookmarkEnd w:id="1754"/>
      <w:bookmarkEnd w:id="1755"/>
      <w:r>
        <w:fldChar w:fldCharType="begin"/>
      </w:r>
      <w:r>
        <w:instrText xml:space="preserve"> XE "Names" </w:instrText>
      </w:r>
      <w:r>
        <w:fldChar w:fldCharType="end"/>
      </w:r>
    </w:p>
    <w:p w:rsidR="000A156F" w:rsidRDefault="00A9721F">
      <w:pPr>
        <w:pStyle w:val="Definition-Field"/>
      </w:pPr>
      <w:r>
        <w:t xml:space="preserve">a.   </w:t>
      </w:r>
      <w:r>
        <w:rPr>
          <w:i/>
        </w:rPr>
        <w:t>The standard does not use EBNF to write the syntax for name.</w:t>
      </w:r>
    </w:p>
    <w:p w:rsidR="000A156F" w:rsidRDefault="00A9721F">
      <w:r>
        <w:t>Office writes the productions for name using the fo</w:t>
      </w:r>
      <w:r>
        <w:t>llowing EBNF:</w:t>
      </w:r>
    </w:p>
    <w:p w:rsidR="000A156F" w:rsidRDefault="00A9721F">
      <w:pPr>
        <w:pStyle w:val="Code"/>
      </w:pPr>
      <w:r>
        <w:t>name-reference= name |</w:t>
      </w:r>
    </w:p>
    <w:p w:rsidR="000A156F" w:rsidRDefault="00A9721F">
      <w:pPr>
        <w:pStyle w:val="Code"/>
      </w:pPr>
      <w:r>
        <w:t xml:space="preserve">  external-name;</w:t>
      </w:r>
    </w:p>
    <w:p w:rsidR="000A156F" w:rsidRDefault="00A9721F">
      <w:pPr>
        <w:pStyle w:val="Code"/>
      </w:pPr>
      <w:r>
        <w:t>external-name= single-sheet-prefix, name;</w:t>
      </w:r>
    </w:p>
    <w:p w:rsidR="000A156F" w:rsidRDefault="00A9721F">
      <w:pPr>
        <w:pStyle w:val="Code"/>
      </w:pPr>
      <w:r>
        <w:t>name=</w:t>
      </w:r>
    </w:p>
    <w:p w:rsidR="000A156F" w:rsidRDefault="00A9721F">
      <w:pPr>
        <w:pStyle w:val="Code"/>
      </w:pPr>
      <w:r>
        <w:t xml:space="preserve">  name-start-character, [ name-characters ]  ;</w:t>
      </w:r>
    </w:p>
    <w:p w:rsidR="000A156F" w:rsidRDefault="00A9721F">
      <w:pPr>
        <w:pStyle w:val="Code"/>
      </w:pPr>
      <w:r>
        <w:t>name-start-character=</w:t>
      </w:r>
    </w:p>
    <w:p w:rsidR="000A156F" w:rsidRDefault="00A9721F">
      <w:pPr>
        <w:pStyle w:val="Code"/>
      </w:pPr>
      <w:r>
        <w:t xml:space="preserve">  underscore  |  backslash  |  ? any code points which are characters as defined by the Unicode character properties, chapter four of the Unicode Standard ?;</w:t>
      </w:r>
    </w:p>
    <w:p w:rsidR="000A156F" w:rsidRDefault="00A9721F">
      <w:pPr>
        <w:pStyle w:val="Code"/>
      </w:pPr>
      <w:r>
        <w:lastRenderedPageBreak/>
        <w:t>underscore=</w:t>
      </w:r>
    </w:p>
    <w:p w:rsidR="000A156F" w:rsidRDefault="00A9721F">
      <w:pPr>
        <w:pStyle w:val="Code"/>
      </w:pPr>
      <w:r>
        <w:t xml:space="preserve">  "_"  ;</w:t>
      </w:r>
    </w:p>
    <w:p w:rsidR="000A156F" w:rsidRDefault="00A9721F">
      <w:pPr>
        <w:pStyle w:val="Code"/>
      </w:pPr>
      <w:r>
        <w:t>backslash=</w:t>
      </w:r>
    </w:p>
    <w:p w:rsidR="000A156F" w:rsidRDefault="00A9721F">
      <w:pPr>
        <w:pStyle w:val="Code"/>
      </w:pPr>
      <w:r>
        <w:t xml:space="preserve">  "\"  ;</w:t>
      </w:r>
    </w:p>
    <w:p w:rsidR="000A156F" w:rsidRDefault="00A9721F">
      <w:pPr>
        <w:pStyle w:val="Code"/>
      </w:pPr>
      <w:r>
        <w:t>name-characters=</w:t>
      </w:r>
    </w:p>
    <w:p w:rsidR="000A156F" w:rsidRDefault="00A9721F">
      <w:pPr>
        <w:pStyle w:val="Code"/>
      </w:pPr>
      <w:r>
        <w:t xml:space="preserve">  name-character,  {name-character}  ;</w:t>
      </w:r>
    </w:p>
    <w:p w:rsidR="000A156F" w:rsidRDefault="00A9721F">
      <w:pPr>
        <w:pStyle w:val="Code"/>
      </w:pPr>
      <w:r>
        <w:t>n</w:t>
      </w:r>
      <w:r>
        <w:t>ame-character=</w:t>
      </w:r>
    </w:p>
    <w:p w:rsidR="000A156F" w:rsidRDefault="00A9721F">
      <w:pPr>
        <w:pStyle w:val="Code"/>
      </w:pPr>
      <w:r>
        <w:t xml:space="preserve">  name-start-character  |  decimal-digit  |  full-stop  |  ? any code points which are digits as defined by the Unicode character properties, chapter four of the Unicode standard ?;</w:t>
      </w:r>
    </w:p>
    <w:p w:rsidR="000A156F" w:rsidRDefault="00A9721F">
      <w:pPr>
        <w:pStyle w:val="Definition-Field"/>
      </w:pPr>
      <w:r>
        <w:t xml:space="preserve">b.   </w:t>
      </w:r>
      <w:r>
        <w:rPr>
          <w:i/>
        </w:rPr>
        <w:t>The standard specifies that two names that are the sam</w:t>
      </w:r>
      <w:r>
        <w:rPr>
          <w:i/>
        </w:rPr>
        <w:t>e in different workbooks can be disambiguated by prepending the workbook name.</w:t>
      </w:r>
    </w:p>
    <w:p w:rsidR="000A156F" w:rsidRDefault="00A9721F">
      <w:pPr>
        <w:pStyle w:val="Definition-Field2"/>
      </w:pPr>
      <w:r>
        <w:t xml:space="preserve">Office prefixes names used in the same context with the index of the relationship ID associated with the workbook name and an exclamation mark. A relationship ID index of 0 </w:t>
      </w:r>
      <w:r>
        <w:t>indicates the current workbook.</w:t>
      </w:r>
    </w:p>
    <w:p w:rsidR="000A156F" w:rsidRDefault="00A9721F">
      <w:pPr>
        <w:pStyle w:val="Definition-Field"/>
      </w:pPr>
      <w:r>
        <w:t xml:space="preserve">c.   </w:t>
      </w:r>
      <w:r>
        <w:rPr>
          <w:i/>
        </w:rPr>
        <w:t>The standard does not specify that \name-character is an invalid name.</w:t>
      </w:r>
    </w:p>
    <w:p w:rsidR="000A156F" w:rsidRDefault="00A9721F">
      <w:pPr>
        <w:pStyle w:val="Definition-Field2"/>
      </w:pPr>
      <w:r>
        <w:t>Office will not create or load names of the form \name-character.</w:t>
      </w:r>
    </w:p>
    <w:p w:rsidR="000A156F" w:rsidRDefault="00A9721F">
      <w:pPr>
        <w:pStyle w:val="Heading3"/>
      </w:pPr>
      <w:bookmarkStart w:id="1756" w:name="section_65b46619bfd94e1fb803596ec36fd891"/>
      <w:bookmarkStart w:id="1757" w:name="_Toc181683904"/>
      <w:r>
        <w:t>Part 1 Section 18.17.2.6, Types and Values</w:t>
      </w:r>
      <w:bookmarkEnd w:id="1756"/>
      <w:bookmarkEnd w:id="1757"/>
      <w:r>
        <w:fldChar w:fldCharType="begin"/>
      </w:r>
      <w:r>
        <w:instrText xml:space="preserve"> XE "Types and Values" </w:instrText>
      </w:r>
      <w:r>
        <w:fldChar w:fldCharType="end"/>
      </w:r>
    </w:p>
    <w:p w:rsidR="000A156F" w:rsidRDefault="00A9721F">
      <w:pPr>
        <w:pStyle w:val="Definition-Field"/>
      </w:pPr>
      <w:r>
        <w:t xml:space="preserve">a.   </w:t>
      </w:r>
      <w:r>
        <w:rPr>
          <w:i/>
        </w:rPr>
        <w:t>The stand</w:t>
      </w:r>
      <w:r>
        <w:rPr>
          <w:i/>
        </w:rPr>
        <w:t>ard does not specify a limit on the expression.</w:t>
      </w:r>
    </w:p>
    <w:p w:rsidR="000A156F" w:rsidRDefault="00A9721F">
      <w:pPr>
        <w:pStyle w:val="Definition-Field2"/>
      </w:pPr>
      <w:r>
        <w:t>In Office, if the expression is text and is greater than 32767 characters, then a consuming application shall treat this as equivalent to the error value #VALUE!.</w:t>
      </w:r>
    </w:p>
    <w:p w:rsidR="000A156F" w:rsidRDefault="00A9721F">
      <w:pPr>
        <w:pStyle w:val="Heading3"/>
      </w:pPr>
      <w:bookmarkStart w:id="1758" w:name="section_965edd08dd794418946b83294ec25770"/>
      <w:bookmarkStart w:id="1759" w:name="_Toc181683905"/>
      <w:r>
        <w:t>Part 1 Section 18.17.3, Error values</w:t>
      </w:r>
      <w:bookmarkEnd w:id="1758"/>
      <w:bookmarkEnd w:id="1759"/>
      <w:r>
        <w:fldChar w:fldCharType="begin"/>
      </w:r>
      <w:r>
        <w:instrText xml:space="preserve"> XE "Erro</w:instrText>
      </w:r>
      <w:r>
        <w:instrText xml:space="preserve">r values" </w:instrText>
      </w:r>
      <w:r>
        <w:fldChar w:fldCharType="end"/>
      </w:r>
    </w:p>
    <w:p w:rsidR="000A156F" w:rsidRDefault="00A9721F">
      <w:pPr>
        <w:pStyle w:val="Definition-Field"/>
      </w:pPr>
      <w:r>
        <w:t xml:space="preserve">a.   </w:t>
      </w:r>
      <w:r>
        <w:rPr>
          <w:i/>
        </w:rPr>
        <w:t>The standard does not specify #GETTING_DATA as an error value.</w:t>
      </w:r>
    </w:p>
    <w:p w:rsidR="000A156F" w:rsidRDefault="00A9721F">
      <w:pPr>
        <w:pStyle w:val="Definition-Field2"/>
      </w:pPr>
      <w:r>
        <w:t>Office allows #GETTING_DATA as an error value. Reason for occurrence: Intended to indicate when value is waiting on data from an asynchronous function.</w:t>
      </w:r>
    </w:p>
    <w:p w:rsidR="000A156F" w:rsidRDefault="00A9721F">
      <w:pPr>
        <w:pStyle w:val="Heading3"/>
      </w:pPr>
      <w:bookmarkStart w:id="1760" w:name="section_286bceb73e02476c8ee91e06dd3f9636"/>
      <w:bookmarkStart w:id="1761" w:name="_Toc181683906"/>
      <w:r>
        <w:t>Part 1 Section 18.17.5.</w:t>
      </w:r>
      <w:r>
        <w:t>2, Precision</w:t>
      </w:r>
      <w:bookmarkEnd w:id="1760"/>
      <w:bookmarkEnd w:id="1761"/>
      <w:r>
        <w:fldChar w:fldCharType="begin"/>
      </w:r>
      <w:r>
        <w:instrText xml:space="preserve"> XE "Precision" </w:instrText>
      </w:r>
      <w:r>
        <w:fldChar w:fldCharType="end"/>
      </w:r>
    </w:p>
    <w:p w:rsidR="000A156F" w:rsidRDefault="00A9721F">
      <w:pPr>
        <w:pStyle w:val="Definition-Field"/>
      </w:pPr>
      <w:r>
        <w:t xml:space="preserve">a.   </w:t>
      </w:r>
      <w:r>
        <w:rPr>
          <w:i/>
        </w:rPr>
        <w:t>The standard states that m is an integer whose absolute value is less than 2^53, and n is an integer between -1075 and 970, inclusive.</w:t>
      </w:r>
    </w:p>
    <w:p w:rsidR="000A156F" w:rsidRDefault="00A9721F">
      <w:pPr>
        <w:pStyle w:val="Definition-Field2"/>
      </w:pPr>
      <w:r>
        <w:t>Office treats m as an integer whose absolute value is greater than or equal to 2^52 a</w:t>
      </w:r>
      <w:r>
        <w:t>nd less than 2^53, and n is an integer between -1074 and 971, inclusive.</w:t>
      </w:r>
    </w:p>
    <w:p w:rsidR="000A156F" w:rsidRDefault="00A9721F">
      <w:pPr>
        <w:pStyle w:val="Definition-Field"/>
      </w:pPr>
      <w:r>
        <w:t xml:space="preserve">b.   </w:t>
      </w:r>
      <w:r>
        <w:rPr>
          <w:i/>
        </w:rPr>
        <w:t>The standard states in a note that the default precision is patterned after the IEEE double-precision 64-bit floating-point type.</w:t>
      </w:r>
    </w:p>
    <w:p w:rsidR="000A156F" w:rsidRDefault="00A9721F">
      <w:pPr>
        <w:pStyle w:val="Definition-Field2"/>
      </w:pPr>
      <w:r>
        <w:t>In Office, the default precision is patterned af</w:t>
      </w:r>
      <w:r>
        <w:t>ter the IEEE double-precision 64-bit floating-point type, with denormalized numbers excluded.</w:t>
      </w:r>
    </w:p>
    <w:p w:rsidR="000A156F" w:rsidRDefault="00A9721F">
      <w:pPr>
        <w:pStyle w:val="Heading3"/>
      </w:pPr>
      <w:bookmarkStart w:id="1762" w:name="section_d5e9192c66724b44892ca05686abc4b0"/>
      <w:bookmarkStart w:id="1763" w:name="_Toc181683907"/>
      <w:r>
        <w:t>Part 1 Section 18.17.5.4, Interpretation</w:t>
      </w:r>
      <w:bookmarkEnd w:id="1762"/>
      <w:bookmarkEnd w:id="1763"/>
      <w:r>
        <w:fldChar w:fldCharType="begin"/>
      </w:r>
      <w:r>
        <w:instrText xml:space="preserve"> XE "Interpretation" </w:instrText>
      </w:r>
      <w:r>
        <w:fldChar w:fldCharType="end"/>
      </w:r>
    </w:p>
    <w:p w:rsidR="000A156F" w:rsidRDefault="00A9721F">
      <w:pPr>
        <w:pStyle w:val="Definition-Field"/>
      </w:pPr>
      <w:r>
        <w:t xml:space="preserve">a.   </w:t>
      </w:r>
      <w:r>
        <w:rPr>
          <w:i/>
        </w:rPr>
        <w:t>The standard gives maximum value as 2^1023 - 1, minimum as - 2^1023 + 1.</w:t>
      </w:r>
    </w:p>
    <w:p w:rsidR="000A156F" w:rsidRDefault="00A9721F">
      <w:pPr>
        <w:pStyle w:val="Definition-Field2"/>
      </w:pPr>
      <w:r>
        <w:t xml:space="preserve">Office uses maximum </w:t>
      </w:r>
      <w:r>
        <w:t>2^1024 – 2^971, minimum - 2^1024 + 2^971 and has smallest positive value of 2^-1022.</w:t>
      </w:r>
    </w:p>
    <w:p w:rsidR="000A156F" w:rsidRDefault="00A9721F">
      <w:pPr>
        <w:pStyle w:val="Definition-Field"/>
      </w:pPr>
      <w:r>
        <w:t xml:space="preserve">b.   </w:t>
      </w:r>
      <w:r>
        <w:rPr>
          <w:i/>
        </w:rPr>
        <w:t>The standard does not specify behavior if the absolute value of the raw value is smaller than the smallest positive value in the value space.</w:t>
      </w:r>
    </w:p>
    <w:p w:rsidR="000A156F" w:rsidRDefault="00A9721F">
      <w:pPr>
        <w:pStyle w:val="Definition-Field2"/>
      </w:pPr>
      <w:r>
        <w:lastRenderedPageBreak/>
        <w:t>In Office, if the absolu</w:t>
      </w:r>
      <w:r>
        <w:t>te value of the raw value is smaller than the smallest positive value in the value space, then a consuming application shall treat this as equivalent to 0.</w:t>
      </w:r>
    </w:p>
    <w:p w:rsidR="000A156F" w:rsidRDefault="00A9721F">
      <w:pPr>
        <w:pStyle w:val="Heading3"/>
      </w:pPr>
      <w:bookmarkStart w:id="1764" w:name="section_b2400668ba0d40b38365416d843e5aa4"/>
      <w:bookmarkStart w:id="1765" w:name="_Toc181683908"/>
      <w:r>
        <w:t>Part 1 Section 18.17.6.3, Array Formulas</w:t>
      </w:r>
      <w:bookmarkEnd w:id="1764"/>
      <w:bookmarkEnd w:id="1765"/>
      <w:r>
        <w:fldChar w:fldCharType="begin"/>
      </w:r>
      <w:r>
        <w:instrText xml:space="preserve"> XE "Array Formulas" </w:instrText>
      </w:r>
      <w:r>
        <w:fldChar w:fldCharType="end"/>
      </w:r>
    </w:p>
    <w:p w:rsidR="000A156F" w:rsidRDefault="00A9721F">
      <w:pPr>
        <w:pStyle w:val="Definition-Field"/>
      </w:pPr>
      <w:r>
        <w:t xml:space="preserve">a.   </w:t>
      </w:r>
      <w:r>
        <w:rPr>
          <w:i/>
        </w:rPr>
        <w:t>The standard refers to the r at</w:t>
      </w:r>
      <w:r>
        <w:rPr>
          <w:i/>
        </w:rPr>
        <w:t>tribute in multiple places to denote the reference to which the formula applies.</w:t>
      </w:r>
    </w:p>
    <w:p w:rsidR="000A156F" w:rsidRDefault="00A9721F">
      <w:pPr>
        <w:pStyle w:val="Definition-Field2"/>
      </w:pPr>
      <w:r>
        <w:t>Office uses the ref attribute in formulas to denote the reference to which the formula applies.</w:t>
      </w:r>
    </w:p>
    <w:p w:rsidR="000A156F" w:rsidRDefault="00A9721F">
      <w:pPr>
        <w:pStyle w:val="Heading3"/>
      </w:pPr>
      <w:bookmarkStart w:id="1766" w:name="section_3b91dece249a4d57953d8068dbdaeb62"/>
      <w:bookmarkStart w:id="1767" w:name="_Toc181683909"/>
      <w:r>
        <w:t>Part 1 Section 18.17.6.5, Name Representation</w:t>
      </w:r>
      <w:bookmarkEnd w:id="1766"/>
      <w:bookmarkEnd w:id="1767"/>
      <w:r>
        <w:fldChar w:fldCharType="begin"/>
      </w:r>
      <w:r>
        <w:instrText xml:space="preserve"> XE "Name Representation" </w:instrText>
      </w:r>
      <w:r>
        <w:fldChar w:fldCharType="end"/>
      </w:r>
    </w:p>
    <w:p w:rsidR="000A156F" w:rsidRDefault="00A9721F">
      <w:pPr>
        <w:pStyle w:val="Definition-Field"/>
      </w:pPr>
      <w:r>
        <w:t xml:space="preserve">a.   </w:t>
      </w:r>
      <w:r>
        <w:rPr>
          <w:i/>
        </w:rPr>
        <w:t>The standard states that the names shall be defined in the Worksheet part's XML with each being the subject of a definedName element, inside a definedNames element.</w:t>
      </w:r>
    </w:p>
    <w:p w:rsidR="000A156F" w:rsidRDefault="00A9721F">
      <w:pPr>
        <w:pStyle w:val="Definition-Field2"/>
      </w:pPr>
      <w:r>
        <w:t>In Office, these names shall be defined in the Workbook part's XML with each being the subj</w:t>
      </w:r>
      <w:r>
        <w:t>ect of a definedName element, inside a definedNames element.</w:t>
      </w:r>
    </w:p>
    <w:p w:rsidR="000A156F" w:rsidRDefault="00A9721F">
      <w:pPr>
        <w:pStyle w:val="Heading3"/>
      </w:pPr>
      <w:bookmarkStart w:id="1768" w:name="section_e32cd66ea03543389e6ea75929aaa73f"/>
      <w:bookmarkStart w:id="1769" w:name="_Toc181683910"/>
      <w:r>
        <w:t>Part 1 Section 18.17.7.2, ACCRINT</w:t>
      </w:r>
      <w:bookmarkEnd w:id="1768"/>
      <w:bookmarkEnd w:id="1769"/>
      <w:r>
        <w:fldChar w:fldCharType="begin"/>
      </w:r>
      <w:r>
        <w:instrText xml:space="preserve"> XE "ACCRINT" </w:instrText>
      </w:r>
      <w:r>
        <w:fldChar w:fldCharType="end"/>
      </w:r>
    </w:p>
    <w:p w:rsidR="000A156F" w:rsidRDefault="00A9721F">
      <w:pPr>
        <w:pStyle w:val="Definition-Field"/>
      </w:pPr>
      <w:r>
        <w:t xml:space="preserve">a.   </w:t>
      </w:r>
      <w:r>
        <w:rPr>
          <w:i/>
        </w:rPr>
        <w:t>The standard does not specify an optional argument calc-method.</w:t>
      </w:r>
    </w:p>
    <w:p w:rsidR="000A156F" w:rsidRDefault="00A9721F">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Type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calc-method</w:t>
            </w:r>
          </w:p>
        </w:tc>
        <w:tc>
          <w:tcPr>
            <w:tcW w:w="0" w:type="auto"/>
            <w:vAlign w:val="center"/>
          </w:tcPr>
          <w:p w:rsidR="000A156F" w:rsidRDefault="00A9721F">
            <w:pPr>
              <w:pStyle w:val="TableBodyText"/>
            </w:pPr>
            <w:r>
              <w:t>logical</w:t>
            </w:r>
          </w:p>
        </w:tc>
        <w:tc>
          <w:tcPr>
            <w:tcW w:w="0" w:type="auto"/>
            <w:vAlign w:val="center"/>
          </w:tcPr>
          <w:p w:rsidR="000A156F" w:rsidRDefault="00A9721F">
            <w:pPr>
              <w:pStyle w:val="TableBodyText"/>
            </w:pPr>
            <w:r>
              <w:t>Specifies the way to calculate the total accrued interest when the date of settlement is later than the date of first-interest. A value of TRUE (1) returns the total accrued interest from issue to settlement. A va</w:t>
            </w:r>
            <w:r>
              <w:t>lue of FALSE (0) returns the accrued interest from first-interest to settlement. If no argument is specified, it defaults to TRUE.</w:t>
            </w:r>
          </w:p>
        </w:tc>
      </w:tr>
    </w:tbl>
    <w:p w:rsidR="000A156F" w:rsidRDefault="000A156F"/>
    <w:p w:rsidR="000A156F" w:rsidRDefault="00A9721F">
      <w:pPr>
        <w:pStyle w:val="Definition-Field"/>
      </w:pPr>
      <w:r>
        <w:t xml:space="preserve">b.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w:t>
      </w:r>
      <w:r>
        <w:t xml:space="preserve">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 xml:space="preserve">US (NASD) 30/360. If the dates are equal, the difference of days is 0. Assumes that each month has 30 days and the total number of days in the year is </w:t>
            </w:r>
            <w:r>
              <w:t>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w:t>
            </w:r>
            <w:r>
              <w:t>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day of February, its day-of-mon</w:t>
            </w:r>
            <w:r>
              <w:t>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w:t>
            </w:r>
            <w:r>
              <w:t xml:space="preserve">rs between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w:t>
            </w:r>
            <w:r>
              <w:t>is February 29.</w:t>
            </w:r>
          </w:p>
          <w:p w:rsidR="000A156F" w:rsidRDefault="000A156F">
            <w:pPr>
              <w:pStyle w:val="TableBodyText"/>
            </w:pPr>
          </w:p>
          <w:p w:rsidR="000A156F" w:rsidRDefault="00A9721F">
            <w:pPr>
              <w:pStyle w:val="TableBodyText"/>
            </w:pPr>
            <w:r>
              <w:t>To determine if date1 and date2 are “less than or equal to a year apart” for purposes of this algorithm, one of these conditions must be true:</w:t>
            </w:r>
          </w:p>
          <w:p w:rsidR="000A156F" w:rsidRDefault="00A9721F">
            <w:pPr>
              <w:pStyle w:val="ListParagraph"/>
              <w:numPr>
                <w:ilvl w:val="0"/>
                <w:numId w:val="72"/>
              </w:numPr>
            </w:pPr>
            <w:r>
              <w:lastRenderedPageBreak/>
              <w:t>The two dates have the same year</w:t>
            </w:r>
          </w:p>
          <w:p w:rsidR="000A156F" w:rsidRDefault="00A9721F">
            <w:pPr>
              <w:pStyle w:val="ListParagraph"/>
              <w:numPr>
                <w:ilvl w:val="0"/>
                <w:numId w:val="73"/>
              </w:numPr>
            </w:pPr>
            <w:r>
              <w:t>Date2’s year is exactly one more than date1’s year, and ((date1</w:t>
            </w:r>
            <w:r>
              <w:t>.month &gt; date2.month) or ((date1.month == date2.month) and (date1.day &gt;= date2.day)))</w:t>
            </w:r>
          </w:p>
        </w:tc>
      </w:tr>
      <w:tr w:rsidR="000A156F" w:rsidTr="000A156F">
        <w:tc>
          <w:tcPr>
            <w:tcW w:w="0" w:type="auto"/>
            <w:vAlign w:val="center"/>
          </w:tcPr>
          <w:p w:rsidR="000A156F" w:rsidRDefault="00A9721F">
            <w:pPr>
              <w:pStyle w:val="TableBodyText"/>
            </w:pPr>
            <w:r>
              <w:rPr>
                <w:rStyle w:val="InlineCode"/>
              </w:rPr>
              <w:lastRenderedPageBreak/>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difference in days, and </w:t>
            </w:r>
            <w:r>
              <w:t>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w:t>
            </w:r>
            <w:r>
              <w:t xml:space="preserve">-of-month (in date1, date2, or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c.   </w:t>
      </w:r>
      <w:r>
        <w:rPr>
          <w:i/>
        </w:rPr>
        <w:t>The standard states that the par argument has a default value of 1000.</w:t>
      </w:r>
    </w:p>
    <w:p w:rsidR="000A156F" w:rsidRDefault="00A9721F">
      <w:pPr>
        <w:pStyle w:val="Definition-Field2"/>
      </w:pPr>
      <w:r>
        <w:t>Office uses 0.001 as the de</w:t>
      </w:r>
      <w:r>
        <w:t>fault value for the par argument.</w:t>
      </w:r>
    </w:p>
    <w:p w:rsidR="000A156F" w:rsidRDefault="00A9721F">
      <w:pPr>
        <w:pStyle w:val="Heading3"/>
      </w:pPr>
      <w:bookmarkStart w:id="1770" w:name="section_5c30913f91804772969fed116b8166ce"/>
      <w:bookmarkStart w:id="1771" w:name="_Toc181683911"/>
      <w:r>
        <w:t>Part 1 Section 18.17.7.3, ACCRINTM</w:t>
      </w:r>
      <w:bookmarkEnd w:id="1770"/>
      <w:bookmarkEnd w:id="1771"/>
      <w:r>
        <w:fldChar w:fldCharType="begin"/>
      </w:r>
      <w:r>
        <w:instrText xml:space="preserve"> XE "ACCRINTM"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 xml:space="preserve">argument specifies the truncated integer type of day count basis </w:t>
      </w:r>
      <w:r>
        <w:t>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 days in the year is 360 by making the following adjustments:</w:t>
            </w:r>
          </w:p>
          <w:p w:rsidR="000A156F" w:rsidRDefault="00A9721F">
            <w:pPr>
              <w:pStyle w:val="TableBodyText"/>
            </w:pPr>
            <w:r>
              <w:t xml:space="preserve">If both </w:t>
            </w:r>
            <w:r>
              <w:t>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day-of-month will s</w:t>
            </w:r>
            <w:r>
              <w:t>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w:t>
            </w:r>
            <w:r>
              <w:t>s are equal, the difference in days is 0. If date1 and date2 not “less than or equal to a year apart” (as defined below), then the days in the years between the dates is the average number of days in the years between date1 and date2, inclusive. Otherwise,</w:t>
            </w:r>
            <w:r>
              <w:t xml:space="preserv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 xml:space="preserve">To determine if date1 and date2 </w:t>
            </w:r>
            <w:r>
              <w:t>are “less than or equal to a year apart” for purposes of this algorithm, one of these conditions must be true:</w:t>
            </w:r>
          </w:p>
          <w:p w:rsidR="000A156F" w:rsidRDefault="00A9721F">
            <w:pPr>
              <w:pStyle w:val="ListParagraph"/>
              <w:numPr>
                <w:ilvl w:val="0"/>
                <w:numId w:val="74"/>
              </w:numPr>
            </w:pPr>
            <w:r>
              <w:t>The two dates have the same year</w:t>
            </w:r>
          </w:p>
          <w:p w:rsidR="000A156F" w:rsidRDefault="00A9721F">
            <w:pPr>
              <w:pStyle w:val="ListParagraph"/>
              <w:numPr>
                <w:ilvl w:val="0"/>
                <w:numId w:val="75"/>
              </w:numPr>
            </w:pPr>
            <w:r>
              <w:t>Date2’s year is exactly one more than date1’s year, and ((date1.month &gt; date2.month) or ((date1.month == date2.m</w:t>
            </w:r>
            <w:r>
              <w:t>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lastRenderedPageBreak/>
              <w:t>3</w:t>
            </w:r>
          </w:p>
        </w:tc>
        <w:tc>
          <w:tcPr>
            <w:tcW w:w="0" w:type="auto"/>
            <w:vAlign w:val="center"/>
          </w:tcPr>
          <w:p w:rsidR="000A156F" w:rsidRDefault="00A9721F">
            <w:pPr>
              <w:pStyle w:val="TableBodyText"/>
            </w:pPr>
            <w:r>
              <w:t>Actual/365. Computes the actual 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states that the par argument has a default value of 1000.</w:t>
      </w:r>
    </w:p>
    <w:p w:rsidR="000A156F" w:rsidRDefault="00A9721F">
      <w:pPr>
        <w:pStyle w:val="Definition-Field2"/>
      </w:pPr>
      <w:r>
        <w:t>Office uses a 0.001 as the default value for the par argument.</w:t>
      </w:r>
    </w:p>
    <w:p w:rsidR="000A156F" w:rsidRDefault="00A9721F">
      <w:pPr>
        <w:pStyle w:val="Definition-Field"/>
      </w:pPr>
      <w:r>
        <w:t xml:space="preserve">c.   </w:t>
      </w:r>
      <w:r>
        <w:rPr>
          <w:i/>
        </w:rPr>
        <w:t>The sta</w:t>
      </w:r>
      <w:r>
        <w:rPr>
          <w:i/>
        </w:rPr>
        <w:t>ndard states A is the number of days from the issue date to the maturity date.</w:t>
      </w:r>
    </w:p>
    <w:p w:rsidR="000A156F" w:rsidRDefault="00A9721F">
      <w:pPr>
        <w:pStyle w:val="Definition-Field2"/>
      </w:pPr>
      <w:r>
        <w:t>Office treats A as the number of days from the issue date to the settlement date.</w:t>
      </w:r>
    </w:p>
    <w:p w:rsidR="000A156F" w:rsidRDefault="00A9721F">
      <w:pPr>
        <w:pStyle w:val="Heading3"/>
      </w:pPr>
      <w:bookmarkStart w:id="1772" w:name="section_dc05ff6aa42f42b8b07434cc2c0d28c3"/>
      <w:bookmarkStart w:id="1773" w:name="_Toc181683912"/>
      <w:r>
        <w:t>Part 1 Section 18.17.7.4, ACOS</w:t>
      </w:r>
      <w:bookmarkEnd w:id="1772"/>
      <w:bookmarkEnd w:id="1773"/>
      <w:r>
        <w:fldChar w:fldCharType="begin"/>
      </w:r>
      <w:r>
        <w:instrText xml:space="preserve"> XE "ACOS" </w:instrText>
      </w:r>
      <w:r>
        <w:fldChar w:fldCharType="end"/>
      </w:r>
    </w:p>
    <w:p w:rsidR="000A156F" w:rsidRDefault="00A9721F">
      <w:pPr>
        <w:pStyle w:val="Definition-Field"/>
      </w:pPr>
      <w:r>
        <w:t xml:space="preserve">a.   </w:t>
      </w:r>
      <w:r>
        <w:rPr>
          <w:i/>
        </w:rPr>
        <w:t>The standard does not specify unit of return v</w:t>
      </w:r>
      <w:r>
        <w:rPr>
          <w:i/>
        </w:rPr>
        <w:t>alue.</w:t>
      </w:r>
    </w:p>
    <w:p w:rsidR="000A156F" w:rsidRDefault="00A9721F">
      <w:pPr>
        <w:pStyle w:val="Definition-Field2"/>
      </w:pPr>
      <w:r>
        <w:t>Office calculates arc cosine of x, in radians.</w:t>
      </w:r>
    </w:p>
    <w:p w:rsidR="000A156F" w:rsidRDefault="00A9721F">
      <w:pPr>
        <w:pStyle w:val="Heading3"/>
      </w:pPr>
      <w:bookmarkStart w:id="1774" w:name="section_c18d21bc2f664b928717db472acd27c7"/>
      <w:bookmarkStart w:id="1775" w:name="_Toc181683913"/>
      <w:r>
        <w:t>Part 1 Section 18.17.7.6, ADDRESS</w:t>
      </w:r>
      <w:bookmarkEnd w:id="1774"/>
      <w:bookmarkEnd w:id="1775"/>
      <w:r>
        <w:fldChar w:fldCharType="begin"/>
      </w:r>
      <w:r>
        <w:instrText xml:space="preserve"> XE "ADDRESS" </w:instrText>
      </w:r>
      <w:r>
        <w:fldChar w:fldCharType="end"/>
      </w:r>
    </w:p>
    <w:p w:rsidR="000A156F" w:rsidRDefault="00A9721F">
      <w:pPr>
        <w:pStyle w:val="Definition-Field"/>
      </w:pPr>
      <w:r>
        <w:t xml:space="preserve">a.   </w:t>
      </w:r>
      <w:r>
        <w:rPr>
          <w:i/>
        </w:rPr>
        <w:t>The standard states if row-number or col-number &lt; 1, #NUM! is returned and if ref-type is outside the range 1–4, #NUM! is returned.</w:t>
      </w:r>
    </w:p>
    <w:p w:rsidR="000A156F" w:rsidRDefault="00A9721F">
      <w:pPr>
        <w:pStyle w:val="Definition-Field2"/>
      </w:pPr>
      <w:r>
        <w:t>Office returns #</w:t>
      </w:r>
      <w:r>
        <w:t>VALUE! in such cases for the function.</w:t>
      </w:r>
    </w:p>
    <w:p w:rsidR="000A156F" w:rsidRDefault="00A9721F">
      <w:pPr>
        <w:pStyle w:val="Heading3"/>
      </w:pPr>
      <w:bookmarkStart w:id="1776" w:name="section_de52a81e371a46f5a1041dec10fc3df2"/>
      <w:bookmarkStart w:id="1777" w:name="_Toc181683914"/>
      <w:r>
        <w:t>Part 1 Section 18.17.7.7, AMORDEGRC</w:t>
      </w:r>
      <w:bookmarkEnd w:id="1776"/>
      <w:bookmarkEnd w:id="1777"/>
      <w:r>
        <w:fldChar w:fldCharType="begin"/>
      </w:r>
      <w:r>
        <w:instrText xml:space="preserve"> XE "AMORDEGRC"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w:t>
      </w:r>
      <w:r>
        <w:t xml:space="preserve">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w:t>
            </w:r>
            <w:r>
              <w: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w:t>
            </w:r>
            <w:r>
              <w:t xml:space="preserve">ermine if date1 and date2 are “less than or equal to a year apart” for purposes of this </w:t>
            </w:r>
            <w:r>
              <w:lastRenderedPageBreak/>
              <w:t>algorithm, one of these conditions must be true:</w:t>
            </w:r>
          </w:p>
          <w:p w:rsidR="000A156F" w:rsidRDefault="00A9721F">
            <w:pPr>
              <w:pStyle w:val="ListParagraph"/>
              <w:numPr>
                <w:ilvl w:val="0"/>
                <w:numId w:val="76"/>
              </w:numPr>
            </w:pPr>
            <w:r>
              <w:t>The two dates have the same year</w:t>
            </w:r>
          </w:p>
          <w:p w:rsidR="000A156F" w:rsidRDefault="00A9721F">
            <w:pPr>
              <w:pStyle w:val="ListParagraph"/>
              <w:numPr>
                <w:ilvl w:val="0"/>
                <w:numId w:val="77"/>
              </w:numPr>
            </w:pPr>
            <w:r>
              <w:t xml:space="preserve">Date2’s year is exactly one more than date1’s year, and ((date1.month &gt; date2.month) </w:t>
            </w:r>
            <w:r>
              <w:t>or ((date1.month == date2.month) and (date1.day &gt;= date2.day)))</w:t>
            </w:r>
          </w:p>
        </w:tc>
      </w:tr>
      <w:tr w:rsidR="000A156F" w:rsidTr="000A156F">
        <w:tc>
          <w:tcPr>
            <w:tcW w:w="0" w:type="auto"/>
            <w:vAlign w:val="center"/>
          </w:tcPr>
          <w:p w:rsidR="000A156F" w:rsidRDefault="00A9721F">
            <w:pPr>
              <w:pStyle w:val="TableBodyText"/>
            </w:pPr>
            <w:r>
              <w:rPr>
                <w:rStyle w:val="InlineCode"/>
              </w:rPr>
              <w:lastRenderedPageBreak/>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 and presumes there are always 365</w:t>
            </w:r>
            <w:r>
              <w:t xml:space="preserve">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describes day basis value of 2 (actual/360).</w:t>
      </w:r>
    </w:p>
    <w:p w:rsidR="000A156F" w:rsidRDefault="00A9721F">
      <w:pPr>
        <w:pStyle w:val="Definition-Field2"/>
      </w:pPr>
      <w:r>
        <w:t>Office only uses day basis values of 0, 1, 3 or 4.</w:t>
      </w:r>
    </w:p>
    <w:p w:rsidR="000A156F" w:rsidRDefault="00A9721F">
      <w:pPr>
        <w:pStyle w:val="Heading3"/>
      </w:pPr>
      <w:bookmarkStart w:id="1778" w:name="section_98cfb234d00a4cfc899757d8f282dd28"/>
      <w:bookmarkStart w:id="1779" w:name="_Toc181683915"/>
      <w:r>
        <w:t>Part 1 Section 18.</w:t>
      </w:r>
      <w:r>
        <w:t>17.7.8, AMORLINC</w:t>
      </w:r>
      <w:bookmarkEnd w:id="1778"/>
      <w:bookmarkEnd w:id="1779"/>
      <w:r>
        <w:fldChar w:fldCharType="begin"/>
      </w:r>
      <w:r>
        <w:instrText xml:space="preserve"> XE "AMORLINC"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day-of-month will stay 31 if date1’s day &lt; 30)</w:t>
            </w:r>
          </w:p>
          <w:p w:rsidR="000A156F" w:rsidRDefault="00A9721F">
            <w:pPr>
              <w:pStyle w:val="TableBodyText"/>
            </w:pPr>
            <w:r>
              <w:t>Otherwise, if bo</w:t>
            </w:r>
            <w:r>
              <w:t>th dates are the last day of February in their respective years,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determine if date1 and date2 are “less than or equal to a year apart” for</w:t>
            </w:r>
            <w:r>
              <w:t xml:space="preserve"> purposes of this algorithm, one of these conditions must be true:</w:t>
            </w:r>
          </w:p>
          <w:p w:rsidR="000A156F" w:rsidRDefault="00A9721F">
            <w:pPr>
              <w:pStyle w:val="ListParagraph"/>
              <w:numPr>
                <w:ilvl w:val="0"/>
                <w:numId w:val="78"/>
              </w:numPr>
            </w:pPr>
            <w:r>
              <w:t>The two dates have the same year</w:t>
            </w:r>
          </w:p>
          <w:p w:rsidR="000A156F" w:rsidRDefault="00A9721F">
            <w:pPr>
              <w:pStyle w:val="ListParagraph"/>
              <w:numPr>
                <w:ilvl w:val="0"/>
                <w:numId w:val="79"/>
              </w:numPr>
            </w:pPr>
            <w:r>
              <w:t>Date2’s year is exactly one more than date1’s year, and ((date1.month &gt; date2.month) or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 xml:space="preserve">Actual/360. Computes the actual difference in days, and presumes there are always 360 days per </w:t>
            </w:r>
            <w:r>
              <w:lastRenderedPageBreak/>
              <w:t>year.</w:t>
            </w:r>
          </w:p>
        </w:tc>
      </w:tr>
      <w:tr w:rsidR="000A156F" w:rsidTr="000A156F">
        <w:tc>
          <w:tcPr>
            <w:tcW w:w="0" w:type="auto"/>
            <w:vAlign w:val="center"/>
          </w:tcPr>
          <w:p w:rsidR="000A156F" w:rsidRDefault="00A9721F">
            <w:pPr>
              <w:pStyle w:val="TableBodyText"/>
            </w:pPr>
            <w:r>
              <w:rPr>
                <w:rStyle w:val="InlineCode"/>
              </w:rPr>
              <w:lastRenderedPageBreak/>
              <w:t>3</w:t>
            </w:r>
          </w:p>
        </w:tc>
        <w:tc>
          <w:tcPr>
            <w:tcW w:w="0" w:type="auto"/>
            <w:vAlign w:val="center"/>
          </w:tcPr>
          <w:p w:rsidR="000A156F" w:rsidRDefault="00A9721F">
            <w:pPr>
              <w:pStyle w:val="TableBodyText"/>
            </w:pPr>
            <w:r>
              <w:t>Actual/365. Computes the actual 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describes day basis value of 2 (actual/360).</w:t>
      </w:r>
    </w:p>
    <w:p w:rsidR="000A156F" w:rsidRDefault="00A9721F">
      <w:pPr>
        <w:pStyle w:val="Definition-Field2"/>
      </w:pPr>
      <w:r>
        <w:t>Office only uses day basis values of 0, 1, 3 or 4.</w:t>
      </w:r>
    </w:p>
    <w:p w:rsidR="000A156F" w:rsidRDefault="00A9721F">
      <w:pPr>
        <w:pStyle w:val="Heading3"/>
      </w:pPr>
      <w:bookmarkStart w:id="1780" w:name="section_336b8f05a2344e46bd4e1f94b673f6f5"/>
      <w:bookmarkStart w:id="1781" w:name="_Toc181683916"/>
      <w:r>
        <w:t>Part 1 Section 18.17.7.10, AREAS</w:t>
      </w:r>
      <w:bookmarkEnd w:id="1780"/>
      <w:bookmarkEnd w:id="1781"/>
      <w:r>
        <w:fldChar w:fldCharType="begin"/>
      </w:r>
      <w:r>
        <w:instrText xml:space="preserve"> XE "AREAS" </w:instrText>
      </w:r>
      <w:r>
        <w:fldChar w:fldCharType="end"/>
      </w:r>
    </w:p>
    <w:p w:rsidR="000A156F" w:rsidRDefault="00A9721F">
      <w:pPr>
        <w:pStyle w:val="Definition-Field"/>
      </w:pPr>
      <w:r>
        <w:t xml:space="preserve">a.   </w:t>
      </w:r>
      <w:r>
        <w:rPr>
          <w:i/>
        </w:rPr>
        <w:t xml:space="preserve">The standard states if the </w:t>
      </w:r>
      <w:r>
        <w:rPr>
          <w:i/>
        </w:rPr>
        <w:t>reference designates no areas, #NUM! is returned.</w:t>
      </w:r>
    </w:p>
    <w:p w:rsidR="000A156F" w:rsidRDefault="00A9721F">
      <w:pPr>
        <w:pStyle w:val="Definition-Field2"/>
      </w:pPr>
      <w:r>
        <w:t>Office returns #NULL! if the reference designates no areas.</w:t>
      </w:r>
    </w:p>
    <w:p w:rsidR="000A156F" w:rsidRDefault="00A9721F">
      <w:pPr>
        <w:pStyle w:val="Heading3"/>
      </w:pPr>
      <w:bookmarkStart w:id="1782" w:name="section_55c9ba7b44644f9a99cc7fbeda431238"/>
      <w:bookmarkStart w:id="1783" w:name="_Toc181683917"/>
      <w:r>
        <w:t>Part 1 Section 18.17.7.12, ASIN</w:t>
      </w:r>
      <w:bookmarkEnd w:id="1782"/>
      <w:bookmarkEnd w:id="1783"/>
      <w:r>
        <w:fldChar w:fldCharType="begin"/>
      </w:r>
      <w:r>
        <w:instrText xml:space="preserve"> XE "ASIN" </w:instrText>
      </w:r>
      <w:r>
        <w:fldChar w:fldCharType="end"/>
      </w:r>
    </w:p>
    <w:p w:rsidR="000A156F" w:rsidRDefault="00A9721F">
      <w:pPr>
        <w:pStyle w:val="Definition-Field"/>
      </w:pPr>
      <w:r>
        <w:t xml:space="preserve">a.   </w:t>
      </w:r>
      <w:r>
        <w:rPr>
          <w:i/>
        </w:rPr>
        <w:t>The standard does not specify the unit of the return value.</w:t>
      </w:r>
    </w:p>
    <w:p w:rsidR="000A156F" w:rsidRDefault="00A9721F">
      <w:pPr>
        <w:pStyle w:val="Definition-Field2"/>
      </w:pPr>
      <w:r>
        <w:t xml:space="preserve">Office calculates arc sine of x, in </w:t>
      </w:r>
      <w:r>
        <w:t>radians.</w:t>
      </w:r>
    </w:p>
    <w:p w:rsidR="000A156F" w:rsidRDefault="00A9721F">
      <w:pPr>
        <w:pStyle w:val="Heading3"/>
      </w:pPr>
      <w:bookmarkStart w:id="1784" w:name="section_d07bdd52dae64d1c829af210f455c857"/>
      <w:bookmarkStart w:id="1785" w:name="_Toc181683918"/>
      <w:r>
        <w:t>Part 1 Section 18.17.7.13, ASINH</w:t>
      </w:r>
      <w:bookmarkEnd w:id="1784"/>
      <w:bookmarkEnd w:id="1785"/>
      <w:r>
        <w:fldChar w:fldCharType="begin"/>
      </w:r>
      <w:r>
        <w:instrText xml:space="preserve"> XE "ASINH" </w:instrText>
      </w:r>
      <w:r>
        <w:fldChar w:fldCharType="end"/>
      </w:r>
    </w:p>
    <w:p w:rsidR="000A156F" w:rsidRDefault="00A9721F">
      <w:pPr>
        <w:pStyle w:val="Definition-Field"/>
      </w:pPr>
      <w:r>
        <w:t xml:space="preserve">a.   </w:t>
      </w:r>
      <w:r>
        <w:rPr>
          <w:i/>
        </w:rPr>
        <w:t>The standard states that ASINH computes the inverse hyperbolic cosine of x.</w:t>
      </w:r>
    </w:p>
    <w:p w:rsidR="000A156F" w:rsidRDefault="00A9721F">
      <w:pPr>
        <w:pStyle w:val="Definition-Field2"/>
      </w:pPr>
      <w:r>
        <w:t>Office computes ASINH as the inverse hyperbolic sine of x.</w:t>
      </w:r>
    </w:p>
    <w:p w:rsidR="000A156F" w:rsidRDefault="00A9721F">
      <w:pPr>
        <w:pStyle w:val="Heading3"/>
      </w:pPr>
      <w:bookmarkStart w:id="1786" w:name="section_170ad2311e1048408355f52ca577c938"/>
      <w:bookmarkStart w:id="1787" w:name="_Toc181683919"/>
      <w:r>
        <w:t>Part 1 Section 18.17.7.14, ATAN</w:t>
      </w:r>
      <w:bookmarkEnd w:id="1786"/>
      <w:bookmarkEnd w:id="1787"/>
      <w:r>
        <w:fldChar w:fldCharType="begin"/>
      </w:r>
      <w:r>
        <w:instrText xml:space="preserve"> XE "ATAN" </w:instrText>
      </w:r>
      <w:r>
        <w:fldChar w:fldCharType="end"/>
      </w:r>
    </w:p>
    <w:p w:rsidR="000A156F" w:rsidRDefault="00A9721F">
      <w:pPr>
        <w:pStyle w:val="Definition-Field"/>
      </w:pPr>
      <w:r>
        <w:t xml:space="preserve">a.   </w:t>
      </w:r>
      <w:r>
        <w:rPr>
          <w:i/>
        </w:rPr>
        <w:t>The standa</w:t>
      </w:r>
      <w:r>
        <w:rPr>
          <w:i/>
        </w:rPr>
        <w:t>rd does not specify the unit of the return value.</w:t>
      </w:r>
    </w:p>
    <w:p w:rsidR="000A156F" w:rsidRDefault="00A9721F">
      <w:pPr>
        <w:pStyle w:val="Definition-Field2"/>
      </w:pPr>
      <w:r>
        <w:t>Office calculates arc tangent of x, in radians.</w:t>
      </w:r>
    </w:p>
    <w:p w:rsidR="000A156F" w:rsidRDefault="00A9721F">
      <w:pPr>
        <w:pStyle w:val="Heading3"/>
      </w:pPr>
      <w:bookmarkStart w:id="1788" w:name="section_ddf1af4005c3432881aa629658ddfbde"/>
      <w:bookmarkStart w:id="1789" w:name="_Toc181683920"/>
      <w:r>
        <w:t>Part 1 Section 18.17.7.15, ATAN2</w:t>
      </w:r>
      <w:bookmarkEnd w:id="1788"/>
      <w:bookmarkEnd w:id="1789"/>
      <w:r>
        <w:fldChar w:fldCharType="begin"/>
      </w:r>
      <w:r>
        <w:instrText xml:space="preserve"> XE "ATAN2" </w:instrText>
      </w:r>
      <w:r>
        <w:fldChar w:fldCharType="end"/>
      </w:r>
    </w:p>
    <w:p w:rsidR="000A156F" w:rsidRDefault="00A9721F">
      <w:pPr>
        <w:pStyle w:val="Definition-Field"/>
      </w:pPr>
      <w:r>
        <w:t xml:space="preserve">a.   </w:t>
      </w:r>
      <w:r>
        <w:rPr>
          <w:i/>
        </w:rPr>
        <w:t>The standard states that the return value of the function is the arc tangent of x.</w:t>
      </w:r>
    </w:p>
    <w:p w:rsidR="000A156F" w:rsidRDefault="00A9721F">
      <w:r>
        <w:t xml:space="preserve">In Office, the return </w:t>
      </w:r>
      <w:r>
        <w:t>value of the function is the arc tangent of two arguments determined by the point (x, y); that is, the angle in the Cartesian plane formed by the positive x-axis and the vector from (0,0) to the point (x, y); the result is constrained to be in the half-ope</w:t>
      </w:r>
      <w:r>
        <w:t>n interval (-π,π].   This function is useful in converting from rectangular coordinates (x, y) to polar coordinates (r,θ), with the angle θ being returned by this function, in radians.</w:t>
      </w:r>
    </w:p>
    <w:p w:rsidR="000A156F" w:rsidRDefault="00A9721F">
      <w:r>
        <w:t>Mathematical Formula:</w:t>
      </w:r>
    </w:p>
    <w:p w:rsidR="000A156F" w:rsidRDefault="00A9721F">
      <w:r>
        <w:t>If x&gt; 0 (in the 1st or 4th quadrant or on the pos</w:t>
      </w:r>
      <w:r>
        <w:t>itive x -axis), then ATAN2(x,y) =arctan(y/x);</w:t>
      </w:r>
    </w:p>
    <w:p w:rsidR="000A156F" w:rsidRDefault="00A9721F">
      <w:r>
        <w:t>If x&lt; 0 and y≥ 0 (in the 2nd quadrant or on the negative x -axis), then ATAN2(x,y) =arctan(y/x) + π;</w:t>
      </w:r>
    </w:p>
    <w:p w:rsidR="000A156F" w:rsidRDefault="00A9721F">
      <w:r>
        <w:t>If x&lt; 0 and y&lt; 0 (in the 3rd quadrant), then ATAN2(x,y) =arctan(y/x) - π;</w:t>
      </w:r>
    </w:p>
    <w:p w:rsidR="000A156F" w:rsidRDefault="00A9721F">
      <w:r>
        <w:lastRenderedPageBreak/>
        <w:t>If x = 0 and y≠ 0 (on the y -axis e</w:t>
      </w:r>
      <w:r>
        <w:t xml:space="preserve">xcluding the origin), then ATAN2(x,y) =(π/2)*sgn(y), </w:t>
      </w:r>
    </w:p>
    <w:p w:rsidR="000A156F" w:rsidRDefault="00A9721F">
      <w:r>
        <w:t>In the preceding formulas, arctan is the principal value of inverse tangent function, whose range is the interval (-π/2,π/2), and sgn(y) returns one of the values -1, 0, or +1 according as y is negative</w:t>
      </w:r>
      <w:r>
        <w:t>, zero, or positive.</w:t>
      </w:r>
    </w:p>
    <w:p w:rsidR="000A156F" w:rsidRDefault="00A9721F">
      <w:pPr>
        <w:pStyle w:val="Heading3"/>
      </w:pPr>
      <w:bookmarkStart w:id="1790" w:name="section_87e066baf82f46a8b339df874e598d8b"/>
      <w:bookmarkStart w:id="1791" w:name="_Toc181683921"/>
      <w:r>
        <w:t>Part 1 Section 18.17.7.17, AVEDEV</w:t>
      </w:r>
      <w:bookmarkEnd w:id="1790"/>
      <w:bookmarkEnd w:id="1791"/>
      <w:r>
        <w:fldChar w:fldCharType="begin"/>
      </w:r>
      <w:r>
        <w:instrText xml:space="preserve"> XE "AVEDEV" </w:instrText>
      </w:r>
      <w:r>
        <w:fldChar w:fldCharType="end"/>
      </w:r>
    </w:p>
    <w:p w:rsidR="000A156F" w:rsidRDefault="00A9721F">
      <w:pPr>
        <w:pStyle w:val="Definition-Field"/>
      </w:pPr>
      <w:r>
        <w:t xml:space="preserve">a.   </w:t>
      </w:r>
      <w:r>
        <w:rPr>
          <w:i/>
        </w:rPr>
        <w:t>The standard specifies the mathematical formula for AVEDEV to be C(n,k) = P(k,n)/k!=n!/(k!(n-k)!).</w:t>
      </w:r>
    </w:p>
    <w:p w:rsidR="000A156F" w:rsidRDefault="00A9721F">
      <w:pPr>
        <w:pStyle w:val="Definition-Field2"/>
      </w:pPr>
      <w:r>
        <w:t>Office uses the mathematical formula: (1/n) ∑|x - x-bar| and maps n to the size of</w:t>
      </w:r>
      <w:r>
        <w:t xml:space="preserve"> the data set, x to a value from the data set, and x-bar as the AVERAGE(argument-list).</w:t>
      </w:r>
    </w:p>
    <w:p w:rsidR="000A156F" w:rsidRDefault="00A9721F">
      <w:pPr>
        <w:pStyle w:val="Heading3"/>
      </w:pPr>
      <w:bookmarkStart w:id="1792" w:name="section_5a181518d30945439a4ab4b2742e7e3e"/>
      <w:bookmarkStart w:id="1793" w:name="_Toc181683922"/>
      <w:r>
        <w:t>Part 1 Section 18.17.7.19, AVERAGEA</w:t>
      </w:r>
      <w:bookmarkEnd w:id="1792"/>
      <w:bookmarkEnd w:id="1793"/>
      <w:r>
        <w:fldChar w:fldCharType="begin"/>
      </w:r>
      <w:r>
        <w:instrText xml:space="preserve"> XE "AVERAGEA" </w:instrText>
      </w:r>
      <w:r>
        <w:fldChar w:fldCharType="end"/>
      </w:r>
    </w:p>
    <w:p w:rsidR="000A156F" w:rsidRDefault="00A9721F">
      <w:pPr>
        <w:pStyle w:val="Definition-Field"/>
      </w:pPr>
      <w:r>
        <w:t xml:space="preserve">a.   </w:t>
      </w:r>
      <w:r>
        <w:rPr>
          <w:i/>
        </w:rPr>
        <w:t>The standard states if an argument in argument-list is an array or reference, only values in that array or ref</w:t>
      </w:r>
      <w:r>
        <w:rPr>
          <w:i/>
        </w:rPr>
        <w:t>erence are used.</w:t>
      </w:r>
    </w:p>
    <w:p w:rsidR="000A156F" w:rsidRDefault="00A9721F">
      <w:pPr>
        <w:pStyle w:val="Definition-Field2"/>
      </w:pPr>
      <w:r>
        <w:t>In Office, if an argument in argument-list is an array or reference, numeric values in that array or reference are included, and text values are included but treated as 0.</w:t>
      </w:r>
    </w:p>
    <w:p w:rsidR="000A156F" w:rsidRDefault="00A9721F">
      <w:pPr>
        <w:pStyle w:val="Heading3"/>
      </w:pPr>
      <w:bookmarkStart w:id="1794" w:name="section_f1017281c95349629dde313dfc64d4c9"/>
      <w:bookmarkStart w:id="1795" w:name="_Toc181683923"/>
      <w:r>
        <w:t>Part 1 Section 18.17.7.20, AVERAGEIF</w:t>
      </w:r>
      <w:bookmarkEnd w:id="1794"/>
      <w:bookmarkEnd w:id="1795"/>
      <w:r>
        <w:fldChar w:fldCharType="begin"/>
      </w:r>
      <w:r>
        <w:instrText xml:space="preserve"> XE "AVERAGEIF" </w:instrText>
      </w:r>
      <w:r>
        <w:fldChar w:fldCharType="end"/>
      </w:r>
    </w:p>
    <w:p w:rsidR="000A156F" w:rsidRDefault="00A9721F">
      <w:pPr>
        <w:pStyle w:val="Definition-Field"/>
      </w:pPr>
      <w:r>
        <w:t xml:space="preserve">a.   </w:t>
      </w:r>
      <w:r>
        <w:rPr>
          <w:i/>
        </w:rPr>
        <w:t>The sta</w:t>
      </w:r>
      <w:r>
        <w:rPr>
          <w:i/>
        </w:rPr>
        <w:t>ndard does not describe error case when all the cells being averaged in average-range (or in cell-range if average-range is omitted) are empty or contain non-numeric data.</w:t>
      </w:r>
    </w:p>
    <w:p w:rsidR="000A156F" w:rsidRDefault="00A9721F">
      <w:pPr>
        <w:pStyle w:val="Definition-Field2"/>
      </w:pPr>
      <w:r>
        <w:t>Office returns #DIV/0! in this case.</w:t>
      </w:r>
    </w:p>
    <w:p w:rsidR="000A156F" w:rsidRDefault="00A9721F">
      <w:pPr>
        <w:pStyle w:val="Heading3"/>
      </w:pPr>
      <w:bookmarkStart w:id="1796" w:name="section_fa2b6805c3cd4386866483d1635cd18e"/>
      <w:bookmarkStart w:id="1797" w:name="_Toc181683924"/>
      <w:r>
        <w:t>Part 1 Section 18.17.7.21, AVERAGEIFS</w:t>
      </w:r>
      <w:bookmarkEnd w:id="1796"/>
      <w:bookmarkEnd w:id="1797"/>
      <w:r>
        <w:fldChar w:fldCharType="begin"/>
      </w:r>
      <w:r>
        <w:instrText xml:space="preserve"> XE "AVERA</w:instrText>
      </w:r>
      <w:r>
        <w:instrText xml:space="preserve">GEIFS" </w:instrText>
      </w:r>
      <w:r>
        <w:fldChar w:fldCharType="end"/>
      </w:r>
    </w:p>
    <w:p w:rsidR="000A156F" w:rsidRDefault="00A9721F">
      <w:pPr>
        <w:pStyle w:val="Definition-Field"/>
      </w:pPr>
      <w:r>
        <w:t xml:space="preserve">a.   </w:t>
      </w:r>
      <w:r>
        <w:rPr>
          <w:i/>
        </w:rPr>
        <w:t>The standard indicates the Average-range need not have the same size and shape as cell-range-1 through cell-range-n.</w:t>
      </w:r>
    </w:p>
    <w:p w:rsidR="000A156F" w:rsidRDefault="00A9721F">
      <w:pPr>
        <w:pStyle w:val="Definition-Field2"/>
      </w:pPr>
      <w:r>
        <w:t>Office requires each cell-range-1 through cell-range-n to have the same size and shape as the average-range.</w:t>
      </w:r>
    </w:p>
    <w:p w:rsidR="000A156F" w:rsidRDefault="00A9721F">
      <w:pPr>
        <w:pStyle w:val="Definition-Field"/>
      </w:pPr>
      <w:r>
        <w:t xml:space="preserve">b.   </w:t>
      </w:r>
      <w:r>
        <w:rPr>
          <w:i/>
        </w:rPr>
        <w:t>The standa</w:t>
      </w:r>
      <w:r>
        <w:rPr>
          <w:i/>
        </w:rPr>
        <w:t>rd states that argument cell-range-n is of type number, expression, reference, or text; while argument selection-criteria-n is of type reference or text.</w:t>
      </w:r>
    </w:p>
    <w:p w:rsidR="000A156F" w:rsidRDefault="00A9721F">
      <w:pPr>
        <w:pStyle w:val="Definition-Field2"/>
      </w:pPr>
      <w:r>
        <w:t xml:space="preserve">In Office, argument cell-range-n can be of type reference and argument selection-criteria-n can be of </w:t>
      </w:r>
      <w:r>
        <w:t>type number, expression, reference, or text.</w:t>
      </w:r>
    </w:p>
    <w:p w:rsidR="000A156F" w:rsidRDefault="00A9721F">
      <w:pPr>
        <w:pStyle w:val="Heading3"/>
      </w:pPr>
      <w:bookmarkStart w:id="1798" w:name="section_70f9e4b103cb4ed981b041d3f00b784a"/>
      <w:bookmarkStart w:id="1799" w:name="_Toc181683925"/>
      <w:r>
        <w:t>Part 1 Section 18.17.7.23, BESSELI</w:t>
      </w:r>
      <w:bookmarkEnd w:id="1798"/>
      <w:bookmarkEnd w:id="1799"/>
      <w:r>
        <w:fldChar w:fldCharType="begin"/>
      </w:r>
      <w:r>
        <w:instrText xml:space="preserve"> XE "BESSELI" </w:instrText>
      </w:r>
      <w:r>
        <w:fldChar w:fldCharType="end"/>
      </w:r>
    </w:p>
    <w:p w:rsidR="000A156F" w:rsidRDefault="00A9721F">
      <w:pPr>
        <w:pStyle w:val="Definition-Field"/>
      </w:pPr>
      <w:r>
        <w:t xml:space="preserve">a.   </w:t>
      </w:r>
      <w:r>
        <w:rPr>
          <w:i/>
        </w:rPr>
        <w:t>The standard does not specify how function arguments map to formula variables.</w:t>
      </w:r>
    </w:p>
    <w:p w:rsidR="000A156F" w:rsidRDefault="00A9721F">
      <w:pPr>
        <w:pStyle w:val="Definition-Field2"/>
      </w:pPr>
      <w:r>
        <w:t>Office maps x to argument x and n to argument n.</w:t>
      </w:r>
    </w:p>
    <w:p w:rsidR="000A156F" w:rsidRDefault="00A9721F">
      <w:pPr>
        <w:pStyle w:val="Heading3"/>
      </w:pPr>
      <w:bookmarkStart w:id="1800" w:name="section_cba98ecda06642cd986df3c9e3fd1065"/>
      <w:bookmarkStart w:id="1801" w:name="_Toc181683926"/>
      <w:r>
        <w:t xml:space="preserve">Part 1 Section 18.17.7.24, </w:t>
      </w:r>
      <w:r>
        <w:t>BESSELJ</w:t>
      </w:r>
      <w:bookmarkEnd w:id="1800"/>
      <w:bookmarkEnd w:id="1801"/>
      <w:r>
        <w:fldChar w:fldCharType="begin"/>
      </w:r>
      <w:r>
        <w:instrText xml:space="preserve"> XE "BESSELJ" </w:instrText>
      </w:r>
      <w:r>
        <w:fldChar w:fldCharType="end"/>
      </w:r>
    </w:p>
    <w:p w:rsidR="000A156F" w:rsidRDefault="00A9721F">
      <w:pPr>
        <w:pStyle w:val="Definition-Field"/>
      </w:pPr>
      <w:r>
        <w:t xml:space="preserve">a.   </w:t>
      </w:r>
      <w:r>
        <w:rPr>
          <w:i/>
        </w:rPr>
        <w:t>The standard does not specify how function arguments map to formula variables.</w:t>
      </w:r>
    </w:p>
    <w:p w:rsidR="000A156F" w:rsidRDefault="00A9721F">
      <w:pPr>
        <w:pStyle w:val="Definition-Field2"/>
      </w:pPr>
      <w:r>
        <w:t>Office maps x to argument x and n to argument n.</w:t>
      </w:r>
    </w:p>
    <w:p w:rsidR="000A156F" w:rsidRDefault="00A9721F">
      <w:pPr>
        <w:pStyle w:val="Heading3"/>
      </w:pPr>
      <w:bookmarkStart w:id="1802" w:name="section_509516a4b37541f59aee9361ecba272e"/>
      <w:bookmarkStart w:id="1803" w:name="_Toc181683927"/>
      <w:r>
        <w:lastRenderedPageBreak/>
        <w:t>Part 1 Section 18.17.7.25, BESSELK</w:t>
      </w:r>
      <w:bookmarkEnd w:id="1802"/>
      <w:bookmarkEnd w:id="1803"/>
      <w:r>
        <w:fldChar w:fldCharType="begin"/>
      </w:r>
      <w:r>
        <w:instrText xml:space="preserve"> XE "BESSELK" </w:instrText>
      </w:r>
      <w:r>
        <w:fldChar w:fldCharType="end"/>
      </w:r>
    </w:p>
    <w:p w:rsidR="000A156F" w:rsidRDefault="00A9721F">
      <w:pPr>
        <w:pStyle w:val="Definition-Field"/>
      </w:pPr>
      <w:r>
        <w:t xml:space="preserve">a.   </w:t>
      </w:r>
      <w:r>
        <w:rPr>
          <w:i/>
        </w:rPr>
        <w:t>The standard uses the mathematical formula:</w:t>
      </w:r>
      <w:r>
        <w:rPr>
          <w:i/>
        </w:rPr>
        <w:t xml:space="preserve"> K_n (x)= (p/2) i^(n+1) [ J_n (ix)+iY_n (ix) ], and does not say how function arguments map to formula variables.</w:t>
      </w:r>
    </w:p>
    <w:p w:rsidR="000A156F" w:rsidRDefault="00A9721F">
      <w:pPr>
        <w:pStyle w:val="Definition-Field2"/>
      </w:pPr>
      <w:r>
        <w:t>Office uses the mathematical formula K_n (x)= (π/2) i^(n+1) [ J_n (ix)+iY_n (ix) ] and maps Jn to the J Bessel function, Yn to the Y Bessel fu</w:t>
      </w:r>
      <w:r>
        <w:t>nction, n to argument n, and x to argument x.</w:t>
      </w:r>
    </w:p>
    <w:p w:rsidR="000A156F" w:rsidRDefault="00A9721F">
      <w:pPr>
        <w:pStyle w:val="Heading3"/>
      </w:pPr>
      <w:bookmarkStart w:id="1804" w:name="section_29abcd8bb4a4493eb205654196e8be98"/>
      <w:bookmarkStart w:id="1805" w:name="_Toc181683928"/>
      <w:r>
        <w:t>Part 1 Section 18.17.7.26, BESSELY</w:t>
      </w:r>
      <w:bookmarkEnd w:id="1804"/>
      <w:bookmarkEnd w:id="1805"/>
      <w:r>
        <w:fldChar w:fldCharType="begin"/>
      </w:r>
      <w:r>
        <w:instrText xml:space="preserve"> XE "BESSELY" </w:instrText>
      </w:r>
      <w:r>
        <w:fldChar w:fldCharType="end"/>
      </w:r>
    </w:p>
    <w:p w:rsidR="000A156F" w:rsidRDefault="00A9721F">
      <w:pPr>
        <w:pStyle w:val="Definition-Field"/>
      </w:pPr>
      <w:r>
        <w:t xml:space="preserve">a.   </w:t>
      </w:r>
      <w:r>
        <w:rPr>
          <w:i/>
        </w:rPr>
        <w:t>The standard does not specify how function arguments map to formula variables.</w:t>
      </w:r>
    </w:p>
    <w:p w:rsidR="000A156F" w:rsidRDefault="00A9721F">
      <w:pPr>
        <w:pStyle w:val="Definition-Field2"/>
      </w:pPr>
      <w:r>
        <w:t>Office maps n to argument n and x to argument x.</w:t>
      </w:r>
    </w:p>
    <w:p w:rsidR="000A156F" w:rsidRDefault="00A9721F">
      <w:pPr>
        <w:pStyle w:val="Heading3"/>
      </w:pPr>
      <w:bookmarkStart w:id="1806" w:name="section_bd7ec0e8c2c84ca7a9d3866ff5d30380"/>
      <w:bookmarkStart w:id="1807" w:name="_Toc181683929"/>
      <w:r>
        <w:t>Part 1 Section 18.17.7.28,</w:t>
      </w:r>
      <w:r>
        <w:t xml:space="preserve"> BETAINV</w:t>
      </w:r>
      <w:bookmarkEnd w:id="1806"/>
      <w:bookmarkEnd w:id="1807"/>
      <w:r>
        <w:fldChar w:fldCharType="begin"/>
      </w:r>
      <w:r>
        <w:instrText xml:space="preserve"> XE "BETAINV" </w:instrText>
      </w:r>
      <w:r>
        <w:fldChar w:fldCharType="end"/>
      </w:r>
    </w:p>
    <w:p w:rsidR="000A156F" w:rsidRDefault="00A9721F">
      <w:pPr>
        <w:pStyle w:val="Definition-Field"/>
      </w:pPr>
      <w:r>
        <w:t xml:space="preserve">a.   </w:t>
      </w:r>
      <w:r>
        <w:rPr>
          <w:i/>
        </w:rPr>
        <w:t>The standard states that if probability &lt; 0 or probability &gt; 1, #NUM! is returned.</w:t>
      </w:r>
    </w:p>
    <w:p w:rsidR="000A156F" w:rsidRDefault="00A9721F">
      <w:pPr>
        <w:pStyle w:val="Definition-Field2"/>
      </w:pPr>
      <w:r>
        <w:t>Office returns #NUM! if probability &lt;= 0 or probability &gt;= 1.</w:t>
      </w:r>
    </w:p>
    <w:p w:rsidR="000A156F" w:rsidRDefault="00A9721F">
      <w:pPr>
        <w:pStyle w:val="Definition-Field"/>
      </w:pPr>
      <w:r>
        <w:t xml:space="preserve">b.   </w:t>
      </w:r>
      <w:r>
        <w:rPr>
          <w:i/>
        </w:rPr>
        <w:t>The standard does not place a restriction on the relationship between argume</w:t>
      </w:r>
      <w:r>
        <w:rPr>
          <w:i/>
        </w:rPr>
        <w:t>nt A and argument B.</w:t>
      </w:r>
    </w:p>
    <w:p w:rsidR="000A156F" w:rsidRDefault="00A9721F">
      <w:pPr>
        <w:pStyle w:val="Definition-Field2"/>
      </w:pPr>
      <w:r>
        <w:t>Office returns #NUM! if argument A is greater than or equal to argument B.</w:t>
      </w:r>
    </w:p>
    <w:p w:rsidR="000A156F" w:rsidRDefault="00A9721F">
      <w:pPr>
        <w:pStyle w:val="Definition-Field"/>
      </w:pPr>
      <w:r>
        <w:t xml:space="preserve">c.   </w:t>
      </w:r>
      <w:r>
        <w:rPr>
          <w:i/>
        </w:rPr>
        <w:t>The standard specifies that BETAINV uses an iterative search technique.</w:t>
      </w:r>
    </w:p>
    <w:p w:rsidR="000A156F" w:rsidRDefault="00A9721F">
      <w:pPr>
        <w:pStyle w:val="Definition-Field2"/>
      </w:pPr>
      <w:r>
        <w:t>Office does not require an iterative search technique to be used.</w:t>
      </w:r>
    </w:p>
    <w:p w:rsidR="000A156F" w:rsidRDefault="00A9721F">
      <w:pPr>
        <w:pStyle w:val="Heading3"/>
      </w:pPr>
      <w:bookmarkStart w:id="1808" w:name="section_10bf48e80594494d914363d48d91036b"/>
      <w:bookmarkStart w:id="1809" w:name="_Toc181683930"/>
      <w:r>
        <w:t>Part 1 Section 18</w:t>
      </w:r>
      <w:r>
        <w:t>.17.7.29, BIN2DEC</w:t>
      </w:r>
      <w:bookmarkEnd w:id="1808"/>
      <w:bookmarkEnd w:id="1809"/>
      <w:r>
        <w:fldChar w:fldCharType="begin"/>
      </w:r>
      <w:r>
        <w:instrText xml:space="preserve"> XE "BIN2DEC" </w:instrText>
      </w:r>
      <w:r>
        <w:fldChar w:fldCharType="end"/>
      </w:r>
    </w:p>
    <w:p w:rsidR="000A156F" w:rsidRDefault="00A9721F">
      <w:pPr>
        <w:pStyle w:val="Definition-Field"/>
      </w:pPr>
      <w:r>
        <w:t xml:space="preserve">a.   </w:t>
      </w:r>
      <w:r>
        <w:rPr>
          <w:i/>
        </w:rPr>
        <w:t>The standard states that the number argument is a 10-digit binary number that is to be converted to a decimal string.</w:t>
      </w:r>
    </w:p>
    <w:p w:rsidR="000A156F" w:rsidRDefault="00A9721F">
      <w:pPr>
        <w:pStyle w:val="Definition-Field2"/>
      </w:pPr>
      <w:r>
        <w:t xml:space="preserve">Office treats the number argument as a 10-digit binary number that is to be converted to a decimal </w:t>
      </w:r>
      <w:r>
        <w:t>number.</w:t>
      </w:r>
    </w:p>
    <w:p w:rsidR="000A156F" w:rsidRDefault="00A9721F">
      <w:pPr>
        <w:pStyle w:val="Heading3"/>
      </w:pPr>
      <w:bookmarkStart w:id="1810" w:name="section_7e24f68ff81d4fa3852f9c7fe2152ea9"/>
      <w:bookmarkStart w:id="1811" w:name="_Toc181683931"/>
      <w:r>
        <w:t>Part 1 Section 18.17.7.33, CEILING</w:t>
      </w:r>
      <w:bookmarkEnd w:id="1810"/>
      <w:bookmarkEnd w:id="1811"/>
      <w:r>
        <w:fldChar w:fldCharType="begin"/>
      </w:r>
      <w:r>
        <w:instrText xml:space="preserve"> XE "CEILING" </w:instrText>
      </w:r>
      <w:r>
        <w:fldChar w:fldCharType="end"/>
      </w:r>
    </w:p>
    <w:p w:rsidR="000A156F" w:rsidRDefault="00A9721F">
      <w:pPr>
        <w:pStyle w:val="Definition-Field"/>
      </w:pPr>
      <w:r>
        <w:t xml:space="preserve">a.   </w:t>
      </w:r>
      <w:r>
        <w:rPr>
          <w:i/>
        </w:rPr>
        <w:t>The standard states that If x is negative, and significance is positive, then the value is rounded up toward zero.</w:t>
      </w:r>
    </w:p>
    <w:p w:rsidR="000A156F" w:rsidRDefault="00A9721F">
      <w:pPr>
        <w:pStyle w:val="Definition-Field2"/>
      </w:pPr>
      <w:r>
        <w:t>Office returns #NUM! if x and significance have different signs.</w:t>
      </w:r>
    </w:p>
    <w:p w:rsidR="000A156F" w:rsidRDefault="00A9721F">
      <w:pPr>
        <w:pStyle w:val="Heading3"/>
      </w:pPr>
      <w:bookmarkStart w:id="1812" w:name="section_286f442f1e6b427da03b5aefc05bd879"/>
      <w:bookmarkStart w:id="1813" w:name="_Toc181683932"/>
      <w:r>
        <w:t>Part 1 Secti</w:t>
      </w:r>
      <w:r>
        <w:t>on 18.17.7.34, CELL</w:t>
      </w:r>
      <w:bookmarkEnd w:id="1812"/>
      <w:bookmarkEnd w:id="1813"/>
      <w:r>
        <w:fldChar w:fldCharType="begin"/>
      </w:r>
      <w:r>
        <w:instrText xml:space="preserve"> XE "CELL" </w:instrText>
      </w:r>
      <w:r>
        <w:fldChar w:fldCharType="end"/>
      </w:r>
    </w:p>
    <w:p w:rsidR="000A156F" w:rsidRDefault="00A9721F">
      <w:pPr>
        <w:pStyle w:val="Definition-Field"/>
      </w:pPr>
      <w:r>
        <w:t xml:space="preserve">a.   </w:t>
      </w:r>
      <w:r>
        <w:rPr>
          <w:i/>
        </w:rPr>
        <w:t>The standard does not specify locale specific strings for argument category.</w:t>
      </w:r>
    </w:p>
    <w:p w:rsidR="000A156F" w:rsidRDefault="00A9721F">
      <w:r>
        <w:t>In Excel, if the SpreadsheetML is intended to be used in certain non-English locales, the category string can be the English value shown in t</w:t>
      </w:r>
      <w:r>
        <w:t>he standard, or the translation shown in the following tables. Locales not specified in the following tables shall only use the English versions of the category string.</w:t>
      </w:r>
    </w:p>
    <w:p w:rsidR="000A156F" w:rsidRDefault="00A9721F">
      <w:r>
        <w:t>[Note: Using translated versions of the category string is strongly discouraged, as spr</w:t>
      </w:r>
      <w:r>
        <w:t>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Locale</w:t>
            </w:r>
          </w:p>
        </w:tc>
        <w:tc>
          <w:tcPr>
            <w:tcW w:w="0" w:type="auto"/>
            <w:vAlign w:val="center"/>
          </w:tcPr>
          <w:p w:rsidR="000A156F" w:rsidRDefault="00A9721F">
            <w:pPr>
              <w:pStyle w:val="TableHeaderText"/>
            </w:pPr>
            <w:r>
              <w:t>address</w:t>
            </w:r>
          </w:p>
        </w:tc>
        <w:tc>
          <w:tcPr>
            <w:tcW w:w="0" w:type="auto"/>
            <w:vAlign w:val="center"/>
          </w:tcPr>
          <w:p w:rsidR="000A156F" w:rsidRDefault="00A9721F">
            <w:pPr>
              <w:pStyle w:val="TableHeaderText"/>
            </w:pPr>
            <w:r>
              <w:t>col</w:t>
            </w:r>
          </w:p>
        </w:tc>
        <w:tc>
          <w:tcPr>
            <w:tcW w:w="0" w:type="auto"/>
            <w:vAlign w:val="center"/>
          </w:tcPr>
          <w:p w:rsidR="000A156F" w:rsidRDefault="00A9721F">
            <w:pPr>
              <w:pStyle w:val="TableHeaderText"/>
            </w:pPr>
            <w:r>
              <w:t>color</w:t>
            </w:r>
          </w:p>
        </w:tc>
        <w:tc>
          <w:tcPr>
            <w:tcW w:w="0" w:type="auto"/>
            <w:vAlign w:val="center"/>
          </w:tcPr>
          <w:p w:rsidR="000A156F" w:rsidRDefault="00A9721F">
            <w:pPr>
              <w:pStyle w:val="TableHeaderText"/>
            </w:pPr>
            <w:r>
              <w:t>contents</w:t>
            </w:r>
          </w:p>
        </w:tc>
        <w:tc>
          <w:tcPr>
            <w:tcW w:w="0" w:type="auto"/>
            <w:vAlign w:val="center"/>
          </w:tcPr>
          <w:p w:rsidR="000A156F" w:rsidRDefault="00A9721F">
            <w:pPr>
              <w:pStyle w:val="TableHeaderText"/>
            </w:pPr>
            <w:r>
              <w:t>coord</w:t>
            </w:r>
          </w:p>
        </w:tc>
        <w:tc>
          <w:tcPr>
            <w:tcW w:w="0" w:type="auto"/>
            <w:vAlign w:val="center"/>
          </w:tcPr>
          <w:p w:rsidR="000A156F" w:rsidRDefault="00A9721F">
            <w:pPr>
              <w:pStyle w:val="TableHeaderText"/>
            </w:pPr>
            <w:r>
              <w:t>filename</w:t>
            </w:r>
          </w:p>
        </w:tc>
        <w:tc>
          <w:tcPr>
            <w:tcW w:w="0" w:type="auto"/>
            <w:vAlign w:val="center"/>
          </w:tcPr>
          <w:p w:rsidR="000A156F" w:rsidRDefault="00A9721F">
            <w:pPr>
              <w:pStyle w:val="TableHeaderText"/>
            </w:pPr>
            <w:r>
              <w:t>format</w:t>
            </w:r>
          </w:p>
        </w:tc>
      </w:tr>
      <w:tr w:rsidR="000A156F" w:rsidTr="000A156F">
        <w:tc>
          <w:tcPr>
            <w:tcW w:w="0" w:type="auto"/>
            <w:vAlign w:val="center"/>
          </w:tcPr>
          <w:p w:rsidR="000A156F" w:rsidRDefault="00A9721F">
            <w:pPr>
              <w:pStyle w:val="TableBodyText"/>
            </w:pPr>
            <w:r>
              <w:t>az-latn-az</w:t>
            </w:r>
          </w:p>
        </w:tc>
        <w:tc>
          <w:tcPr>
            <w:tcW w:w="0" w:type="auto"/>
            <w:vAlign w:val="center"/>
          </w:tcPr>
          <w:p w:rsidR="000A156F" w:rsidRDefault="00A9721F">
            <w:pPr>
              <w:pStyle w:val="TableBodyText"/>
            </w:pPr>
            <w:r>
              <w:t>ünvan</w:t>
            </w:r>
          </w:p>
        </w:tc>
        <w:tc>
          <w:tcPr>
            <w:tcW w:w="0" w:type="auto"/>
            <w:vAlign w:val="center"/>
          </w:tcPr>
          <w:p w:rsidR="000A156F" w:rsidRDefault="00A9721F">
            <w:pPr>
              <w:pStyle w:val="TableBodyText"/>
            </w:pPr>
            <w:r>
              <w:t>col</w:t>
            </w:r>
          </w:p>
        </w:tc>
        <w:tc>
          <w:tcPr>
            <w:tcW w:w="0" w:type="auto"/>
            <w:vAlign w:val="center"/>
          </w:tcPr>
          <w:p w:rsidR="000A156F" w:rsidRDefault="00A9721F">
            <w:pPr>
              <w:pStyle w:val="TableBodyText"/>
            </w:pPr>
            <w:r>
              <w:t>rəng</w:t>
            </w:r>
          </w:p>
        </w:tc>
        <w:tc>
          <w:tcPr>
            <w:tcW w:w="0" w:type="auto"/>
            <w:vAlign w:val="center"/>
          </w:tcPr>
          <w:p w:rsidR="000A156F" w:rsidRDefault="00A9721F">
            <w:pPr>
              <w:pStyle w:val="TableBodyText"/>
            </w:pPr>
            <w:r>
              <w:t>mündəricat</w:t>
            </w:r>
          </w:p>
        </w:tc>
        <w:tc>
          <w:tcPr>
            <w:tcW w:w="0" w:type="auto"/>
            <w:vAlign w:val="center"/>
          </w:tcPr>
          <w:p w:rsidR="000A156F" w:rsidRDefault="00A9721F">
            <w:pPr>
              <w:pStyle w:val="TableBodyText"/>
            </w:pPr>
            <w:r>
              <w:t>coord</w:t>
            </w:r>
          </w:p>
        </w:tc>
        <w:tc>
          <w:tcPr>
            <w:tcW w:w="0" w:type="auto"/>
            <w:vAlign w:val="center"/>
          </w:tcPr>
          <w:p w:rsidR="000A156F" w:rsidRDefault="00A9721F">
            <w:pPr>
              <w:pStyle w:val="TableBodyText"/>
            </w:pPr>
            <w:r>
              <w:t>fayladi</w:t>
            </w:r>
          </w:p>
        </w:tc>
        <w:tc>
          <w:tcPr>
            <w:tcW w:w="0" w:type="auto"/>
            <w:vAlign w:val="center"/>
          </w:tcPr>
          <w:p w:rsidR="000A156F" w:rsidRDefault="00A9721F">
            <w:pPr>
              <w:pStyle w:val="TableBodyText"/>
            </w:pPr>
            <w:r>
              <w:t>format</w:t>
            </w:r>
          </w:p>
        </w:tc>
      </w:tr>
      <w:tr w:rsidR="000A156F" w:rsidTr="000A156F">
        <w:tc>
          <w:tcPr>
            <w:tcW w:w="0" w:type="auto"/>
            <w:vAlign w:val="center"/>
          </w:tcPr>
          <w:p w:rsidR="000A156F" w:rsidRDefault="00A9721F">
            <w:pPr>
              <w:pStyle w:val="TableBodyText"/>
            </w:pPr>
            <w:r>
              <w:t>ca-es</w:t>
            </w:r>
          </w:p>
        </w:tc>
        <w:tc>
          <w:tcPr>
            <w:tcW w:w="0" w:type="auto"/>
            <w:vAlign w:val="center"/>
          </w:tcPr>
          <w:p w:rsidR="000A156F" w:rsidRDefault="00A9721F">
            <w:pPr>
              <w:pStyle w:val="TableBodyText"/>
            </w:pPr>
            <w:r>
              <w:t>dirección</w:t>
            </w:r>
          </w:p>
        </w:tc>
        <w:tc>
          <w:tcPr>
            <w:tcW w:w="0" w:type="auto"/>
            <w:vAlign w:val="center"/>
          </w:tcPr>
          <w:p w:rsidR="000A156F" w:rsidRDefault="00A9721F">
            <w:pPr>
              <w:pStyle w:val="TableBodyText"/>
            </w:pPr>
            <w:r>
              <w:t>columna</w:t>
            </w:r>
          </w:p>
        </w:tc>
        <w:tc>
          <w:tcPr>
            <w:tcW w:w="0" w:type="auto"/>
            <w:vAlign w:val="center"/>
          </w:tcPr>
          <w:p w:rsidR="000A156F" w:rsidRDefault="00A9721F">
            <w:pPr>
              <w:pStyle w:val="TableBodyText"/>
            </w:pPr>
            <w:r>
              <w:t>color</w:t>
            </w:r>
          </w:p>
        </w:tc>
        <w:tc>
          <w:tcPr>
            <w:tcW w:w="0" w:type="auto"/>
            <w:vAlign w:val="center"/>
          </w:tcPr>
          <w:p w:rsidR="000A156F" w:rsidRDefault="00A9721F">
            <w:pPr>
              <w:pStyle w:val="TableBodyText"/>
            </w:pPr>
            <w:r>
              <w:t>contenido</w:t>
            </w:r>
          </w:p>
        </w:tc>
        <w:tc>
          <w:tcPr>
            <w:tcW w:w="0" w:type="auto"/>
            <w:vAlign w:val="center"/>
          </w:tcPr>
          <w:p w:rsidR="000A156F" w:rsidRDefault="00A9721F">
            <w:pPr>
              <w:pStyle w:val="TableBodyText"/>
            </w:pPr>
            <w:r>
              <w:t>coord</w:t>
            </w:r>
          </w:p>
        </w:tc>
        <w:tc>
          <w:tcPr>
            <w:tcW w:w="0" w:type="auto"/>
            <w:vAlign w:val="center"/>
          </w:tcPr>
          <w:p w:rsidR="000A156F" w:rsidRDefault="00A9721F">
            <w:pPr>
              <w:pStyle w:val="TableBodyText"/>
            </w:pPr>
            <w:r>
              <w:t>nombrearchivo</w:t>
            </w:r>
          </w:p>
        </w:tc>
        <w:tc>
          <w:tcPr>
            <w:tcW w:w="0" w:type="auto"/>
            <w:vAlign w:val="center"/>
          </w:tcPr>
          <w:p w:rsidR="000A156F" w:rsidRDefault="00A9721F">
            <w:pPr>
              <w:pStyle w:val="TableBodyText"/>
            </w:pPr>
            <w:r>
              <w:t>formato</w:t>
            </w:r>
          </w:p>
        </w:tc>
      </w:tr>
      <w:tr w:rsidR="000A156F" w:rsidTr="000A156F">
        <w:tc>
          <w:tcPr>
            <w:tcW w:w="0" w:type="auto"/>
            <w:vAlign w:val="center"/>
          </w:tcPr>
          <w:p w:rsidR="000A156F" w:rsidRDefault="00A9721F">
            <w:pPr>
              <w:pStyle w:val="TableBodyText"/>
            </w:pPr>
            <w:r>
              <w:t>cs-cz</w:t>
            </w:r>
          </w:p>
        </w:tc>
        <w:tc>
          <w:tcPr>
            <w:tcW w:w="0" w:type="auto"/>
            <w:vAlign w:val="center"/>
          </w:tcPr>
          <w:p w:rsidR="000A156F" w:rsidRDefault="00A9721F">
            <w:pPr>
              <w:pStyle w:val="TableBodyText"/>
            </w:pPr>
            <w:r>
              <w:t>adresa</w:t>
            </w:r>
          </w:p>
        </w:tc>
        <w:tc>
          <w:tcPr>
            <w:tcW w:w="0" w:type="auto"/>
            <w:vAlign w:val="center"/>
          </w:tcPr>
          <w:p w:rsidR="000A156F" w:rsidRDefault="00A9721F">
            <w:pPr>
              <w:pStyle w:val="TableBodyText"/>
            </w:pPr>
            <w:r>
              <w:t>sloupec</w:t>
            </w:r>
          </w:p>
        </w:tc>
        <w:tc>
          <w:tcPr>
            <w:tcW w:w="0" w:type="auto"/>
            <w:vAlign w:val="center"/>
          </w:tcPr>
          <w:p w:rsidR="000A156F" w:rsidRDefault="00A9721F">
            <w:pPr>
              <w:pStyle w:val="TableBodyText"/>
            </w:pPr>
            <w:r>
              <w:t>barva</w:t>
            </w:r>
          </w:p>
        </w:tc>
        <w:tc>
          <w:tcPr>
            <w:tcW w:w="0" w:type="auto"/>
            <w:vAlign w:val="center"/>
          </w:tcPr>
          <w:p w:rsidR="000A156F" w:rsidRDefault="00A9721F">
            <w:pPr>
              <w:pStyle w:val="TableBodyText"/>
            </w:pPr>
            <w:r>
              <w:t>obsah</w:t>
            </w:r>
          </w:p>
        </w:tc>
        <w:tc>
          <w:tcPr>
            <w:tcW w:w="0" w:type="auto"/>
            <w:vAlign w:val="center"/>
          </w:tcPr>
          <w:p w:rsidR="000A156F" w:rsidRDefault="00A9721F">
            <w:pPr>
              <w:pStyle w:val="TableBodyText"/>
            </w:pPr>
            <w:r>
              <w:t>souřadnice</w:t>
            </w:r>
          </w:p>
        </w:tc>
        <w:tc>
          <w:tcPr>
            <w:tcW w:w="0" w:type="auto"/>
            <w:vAlign w:val="center"/>
          </w:tcPr>
          <w:p w:rsidR="000A156F" w:rsidRDefault="00A9721F">
            <w:pPr>
              <w:pStyle w:val="TableBodyText"/>
            </w:pPr>
            <w:r>
              <w:t>názevsouboru</w:t>
            </w:r>
          </w:p>
        </w:tc>
        <w:tc>
          <w:tcPr>
            <w:tcW w:w="0" w:type="auto"/>
            <w:vAlign w:val="center"/>
          </w:tcPr>
          <w:p w:rsidR="000A156F" w:rsidRDefault="00A9721F">
            <w:pPr>
              <w:pStyle w:val="TableBodyText"/>
            </w:pPr>
            <w:r>
              <w:t>formát</w:t>
            </w:r>
          </w:p>
        </w:tc>
      </w:tr>
      <w:tr w:rsidR="000A156F" w:rsidTr="000A156F">
        <w:tc>
          <w:tcPr>
            <w:tcW w:w="0" w:type="auto"/>
            <w:vAlign w:val="center"/>
          </w:tcPr>
          <w:p w:rsidR="000A156F" w:rsidRDefault="00A9721F">
            <w:pPr>
              <w:pStyle w:val="TableBodyText"/>
            </w:pPr>
            <w:r>
              <w:t>da-dk</w:t>
            </w:r>
          </w:p>
        </w:tc>
        <w:tc>
          <w:tcPr>
            <w:tcW w:w="0" w:type="auto"/>
            <w:vAlign w:val="center"/>
          </w:tcPr>
          <w:p w:rsidR="000A156F" w:rsidRDefault="00A9721F">
            <w:pPr>
              <w:pStyle w:val="TableBodyText"/>
            </w:pPr>
            <w:r>
              <w:t>adresse</w:t>
            </w:r>
          </w:p>
        </w:tc>
        <w:tc>
          <w:tcPr>
            <w:tcW w:w="0" w:type="auto"/>
            <w:vAlign w:val="center"/>
          </w:tcPr>
          <w:p w:rsidR="000A156F" w:rsidRDefault="00A9721F">
            <w:pPr>
              <w:pStyle w:val="TableBodyText"/>
            </w:pPr>
            <w:r>
              <w:t>kolonne</w:t>
            </w:r>
          </w:p>
        </w:tc>
        <w:tc>
          <w:tcPr>
            <w:tcW w:w="0" w:type="auto"/>
            <w:vAlign w:val="center"/>
          </w:tcPr>
          <w:p w:rsidR="000A156F" w:rsidRDefault="00A9721F">
            <w:pPr>
              <w:pStyle w:val="TableBodyText"/>
            </w:pPr>
            <w:r>
              <w:t>farve</w:t>
            </w:r>
          </w:p>
        </w:tc>
        <w:tc>
          <w:tcPr>
            <w:tcW w:w="0" w:type="auto"/>
            <w:vAlign w:val="center"/>
          </w:tcPr>
          <w:p w:rsidR="000A156F" w:rsidRDefault="00A9721F">
            <w:pPr>
              <w:pStyle w:val="TableBodyText"/>
            </w:pPr>
            <w:r>
              <w:t>indhold</w:t>
            </w:r>
          </w:p>
        </w:tc>
        <w:tc>
          <w:tcPr>
            <w:tcW w:w="0" w:type="auto"/>
            <w:vAlign w:val="center"/>
          </w:tcPr>
          <w:p w:rsidR="000A156F" w:rsidRDefault="00A9721F">
            <w:pPr>
              <w:pStyle w:val="TableBodyText"/>
            </w:pPr>
            <w:r>
              <w:t>koord</w:t>
            </w:r>
          </w:p>
        </w:tc>
        <w:tc>
          <w:tcPr>
            <w:tcW w:w="0" w:type="auto"/>
            <w:vAlign w:val="center"/>
          </w:tcPr>
          <w:p w:rsidR="000A156F" w:rsidRDefault="00A9721F">
            <w:pPr>
              <w:pStyle w:val="TableBodyText"/>
            </w:pPr>
            <w:r>
              <w:t>filnavn</w:t>
            </w:r>
          </w:p>
        </w:tc>
        <w:tc>
          <w:tcPr>
            <w:tcW w:w="0" w:type="auto"/>
            <w:vAlign w:val="center"/>
          </w:tcPr>
          <w:p w:rsidR="000A156F" w:rsidRDefault="00A9721F">
            <w:pPr>
              <w:pStyle w:val="TableBodyText"/>
            </w:pPr>
            <w:r>
              <w:t>format</w:t>
            </w:r>
          </w:p>
        </w:tc>
      </w:tr>
      <w:tr w:rsidR="000A156F" w:rsidTr="000A156F">
        <w:tc>
          <w:tcPr>
            <w:tcW w:w="0" w:type="auto"/>
            <w:vAlign w:val="center"/>
          </w:tcPr>
          <w:p w:rsidR="000A156F" w:rsidRDefault="00A9721F">
            <w:pPr>
              <w:pStyle w:val="TableBodyText"/>
            </w:pPr>
            <w:r>
              <w:t>de-de</w:t>
            </w:r>
          </w:p>
        </w:tc>
        <w:tc>
          <w:tcPr>
            <w:tcW w:w="0" w:type="auto"/>
            <w:vAlign w:val="center"/>
          </w:tcPr>
          <w:p w:rsidR="000A156F" w:rsidRDefault="00A9721F">
            <w:pPr>
              <w:pStyle w:val="TableBodyText"/>
            </w:pPr>
            <w:r>
              <w:t>adresse</w:t>
            </w:r>
          </w:p>
        </w:tc>
        <w:tc>
          <w:tcPr>
            <w:tcW w:w="0" w:type="auto"/>
            <w:vAlign w:val="center"/>
          </w:tcPr>
          <w:p w:rsidR="000A156F" w:rsidRDefault="00A9721F">
            <w:pPr>
              <w:pStyle w:val="TableBodyText"/>
            </w:pPr>
            <w:r>
              <w:t>spalte</w:t>
            </w:r>
          </w:p>
        </w:tc>
        <w:tc>
          <w:tcPr>
            <w:tcW w:w="0" w:type="auto"/>
            <w:vAlign w:val="center"/>
          </w:tcPr>
          <w:p w:rsidR="000A156F" w:rsidRDefault="00A9721F">
            <w:pPr>
              <w:pStyle w:val="TableBodyText"/>
            </w:pPr>
            <w:r>
              <w:t>farbe</w:t>
            </w:r>
          </w:p>
        </w:tc>
        <w:tc>
          <w:tcPr>
            <w:tcW w:w="0" w:type="auto"/>
            <w:vAlign w:val="center"/>
          </w:tcPr>
          <w:p w:rsidR="000A156F" w:rsidRDefault="00A9721F">
            <w:pPr>
              <w:pStyle w:val="TableBodyText"/>
            </w:pPr>
            <w:r>
              <w:t>inhalt</w:t>
            </w:r>
          </w:p>
        </w:tc>
        <w:tc>
          <w:tcPr>
            <w:tcW w:w="0" w:type="auto"/>
            <w:vAlign w:val="center"/>
          </w:tcPr>
          <w:p w:rsidR="000A156F" w:rsidRDefault="00A9721F">
            <w:pPr>
              <w:pStyle w:val="TableBodyText"/>
            </w:pPr>
            <w:r>
              <w:t>koord</w:t>
            </w:r>
          </w:p>
        </w:tc>
        <w:tc>
          <w:tcPr>
            <w:tcW w:w="0" w:type="auto"/>
            <w:vAlign w:val="center"/>
          </w:tcPr>
          <w:p w:rsidR="000A156F" w:rsidRDefault="00A9721F">
            <w:pPr>
              <w:pStyle w:val="TableBodyText"/>
            </w:pPr>
            <w:r>
              <w:t>dateiname</w:t>
            </w:r>
          </w:p>
        </w:tc>
        <w:tc>
          <w:tcPr>
            <w:tcW w:w="0" w:type="auto"/>
            <w:vAlign w:val="center"/>
          </w:tcPr>
          <w:p w:rsidR="000A156F" w:rsidRDefault="00A9721F">
            <w:pPr>
              <w:pStyle w:val="TableBodyText"/>
            </w:pPr>
            <w:r>
              <w:t>format</w:t>
            </w:r>
          </w:p>
        </w:tc>
      </w:tr>
      <w:tr w:rsidR="000A156F" w:rsidTr="000A156F">
        <w:tc>
          <w:tcPr>
            <w:tcW w:w="0" w:type="auto"/>
            <w:vAlign w:val="center"/>
          </w:tcPr>
          <w:p w:rsidR="000A156F" w:rsidRDefault="00A9721F">
            <w:pPr>
              <w:pStyle w:val="TableBodyText"/>
            </w:pPr>
            <w:r>
              <w:t>es-es</w:t>
            </w:r>
          </w:p>
        </w:tc>
        <w:tc>
          <w:tcPr>
            <w:tcW w:w="0" w:type="auto"/>
            <w:vAlign w:val="center"/>
          </w:tcPr>
          <w:p w:rsidR="000A156F" w:rsidRDefault="00A9721F">
            <w:pPr>
              <w:pStyle w:val="TableBodyText"/>
            </w:pPr>
            <w:r>
              <w:t>direccion</w:t>
            </w:r>
          </w:p>
        </w:tc>
        <w:tc>
          <w:tcPr>
            <w:tcW w:w="0" w:type="auto"/>
            <w:vAlign w:val="center"/>
          </w:tcPr>
          <w:p w:rsidR="000A156F" w:rsidRDefault="00A9721F">
            <w:pPr>
              <w:pStyle w:val="TableBodyText"/>
            </w:pPr>
            <w:r>
              <w:t>columna</w:t>
            </w:r>
          </w:p>
        </w:tc>
        <w:tc>
          <w:tcPr>
            <w:tcW w:w="0" w:type="auto"/>
            <w:vAlign w:val="center"/>
          </w:tcPr>
          <w:p w:rsidR="000A156F" w:rsidRDefault="00A9721F">
            <w:pPr>
              <w:pStyle w:val="TableBodyText"/>
            </w:pPr>
            <w:r>
              <w:t>color</w:t>
            </w:r>
          </w:p>
        </w:tc>
        <w:tc>
          <w:tcPr>
            <w:tcW w:w="0" w:type="auto"/>
            <w:vAlign w:val="center"/>
          </w:tcPr>
          <w:p w:rsidR="000A156F" w:rsidRDefault="00A9721F">
            <w:pPr>
              <w:pStyle w:val="TableBodyText"/>
            </w:pPr>
            <w:r>
              <w:t>contenido</w:t>
            </w:r>
          </w:p>
        </w:tc>
        <w:tc>
          <w:tcPr>
            <w:tcW w:w="0" w:type="auto"/>
            <w:vAlign w:val="center"/>
          </w:tcPr>
          <w:p w:rsidR="000A156F" w:rsidRDefault="00A9721F">
            <w:pPr>
              <w:pStyle w:val="TableBodyText"/>
            </w:pPr>
            <w:r>
              <w:t>coord</w:t>
            </w:r>
          </w:p>
        </w:tc>
        <w:tc>
          <w:tcPr>
            <w:tcW w:w="0" w:type="auto"/>
            <w:vAlign w:val="center"/>
          </w:tcPr>
          <w:p w:rsidR="000A156F" w:rsidRDefault="00A9721F">
            <w:pPr>
              <w:pStyle w:val="TableBodyText"/>
            </w:pPr>
            <w:r>
              <w:t>nombrearchivo</w:t>
            </w:r>
          </w:p>
        </w:tc>
        <w:tc>
          <w:tcPr>
            <w:tcW w:w="0" w:type="auto"/>
            <w:vAlign w:val="center"/>
          </w:tcPr>
          <w:p w:rsidR="000A156F" w:rsidRDefault="00A9721F">
            <w:pPr>
              <w:pStyle w:val="TableBodyText"/>
            </w:pPr>
            <w:r>
              <w:t>formato</w:t>
            </w:r>
          </w:p>
        </w:tc>
      </w:tr>
      <w:tr w:rsidR="000A156F" w:rsidTr="000A156F">
        <w:tc>
          <w:tcPr>
            <w:tcW w:w="0" w:type="auto"/>
            <w:vAlign w:val="center"/>
          </w:tcPr>
          <w:p w:rsidR="000A156F" w:rsidRDefault="00A9721F">
            <w:pPr>
              <w:pStyle w:val="TableBodyText"/>
            </w:pPr>
            <w:r>
              <w:t>et-ee</w:t>
            </w:r>
          </w:p>
        </w:tc>
        <w:tc>
          <w:tcPr>
            <w:tcW w:w="0" w:type="auto"/>
            <w:vAlign w:val="center"/>
          </w:tcPr>
          <w:p w:rsidR="000A156F" w:rsidRDefault="00A9721F">
            <w:pPr>
              <w:pStyle w:val="TableBodyText"/>
            </w:pPr>
            <w:r>
              <w:t>aadress</w:t>
            </w:r>
          </w:p>
        </w:tc>
        <w:tc>
          <w:tcPr>
            <w:tcW w:w="0" w:type="auto"/>
            <w:vAlign w:val="center"/>
          </w:tcPr>
          <w:p w:rsidR="000A156F" w:rsidRDefault="00A9721F">
            <w:pPr>
              <w:pStyle w:val="TableBodyText"/>
            </w:pPr>
            <w:r>
              <w:t>veerg</w:t>
            </w:r>
          </w:p>
        </w:tc>
        <w:tc>
          <w:tcPr>
            <w:tcW w:w="0" w:type="auto"/>
            <w:vAlign w:val="center"/>
          </w:tcPr>
          <w:p w:rsidR="000A156F" w:rsidRDefault="00A9721F">
            <w:pPr>
              <w:pStyle w:val="TableBodyText"/>
            </w:pPr>
            <w:r>
              <w:t>värv</w:t>
            </w:r>
          </w:p>
        </w:tc>
        <w:tc>
          <w:tcPr>
            <w:tcW w:w="0" w:type="auto"/>
            <w:vAlign w:val="center"/>
          </w:tcPr>
          <w:p w:rsidR="000A156F" w:rsidRDefault="00A9721F">
            <w:pPr>
              <w:pStyle w:val="TableBodyText"/>
            </w:pPr>
            <w:r>
              <w:t>sisukord</w:t>
            </w:r>
          </w:p>
        </w:tc>
        <w:tc>
          <w:tcPr>
            <w:tcW w:w="0" w:type="auto"/>
            <w:vAlign w:val="center"/>
          </w:tcPr>
          <w:p w:rsidR="000A156F" w:rsidRDefault="00A9721F">
            <w:pPr>
              <w:pStyle w:val="TableBodyText"/>
            </w:pPr>
            <w:r>
              <w:t>Koordinatt</w:t>
            </w:r>
          </w:p>
        </w:tc>
        <w:tc>
          <w:tcPr>
            <w:tcW w:w="0" w:type="auto"/>
            <w:vAlign w:val="center"/>
          </w:tcPr>
          <w:p w:rsidR="000A156F" w:rsidRDefault="00A9721F">
            <w:pPr>
              <w:pStyle w:val="TableBodyText"/>
            </w:pPr>
            <w:r>
              <w:t>failinimi</w:t>
            </w:r>
          </w:p>
        </w:tc>
        <w:tc>
          <w:tcPr>
            <w:tcW w:w="0" w:type="auto"/>
            <w:vAlign w:val="center"/>
          </w:tcPr>
          <w:p w:rsidR="000A156F" w:rsidRDefault="00A9721F">
            <w:pPr>
              <w:pStyle w:val="TableBodyText"/>
            </w:pPr>
            <w:r>
              <w:t>vorming</w:t>
            </w:r>
          </w:p>
        </w:tc>
      </w:tr>
      <w:tr w:rsidR="000A156F" w:rsidTr="000A156F">
        <w:tc>
          <w:tcPr>
            <w:tcW w:w="0" w:type="auto"/>
            <w:vAlign w:val="center"/>
          </w:tcPr>
          <w:p w:rsidR="000A156F" w:rsidRDefault="00A9721F">
            <w:pPr>
              <w:pStyle w:val="TableBodyText"/>
            </w:pPr>
            <w:r>
              <w:t>fi-fi</w:t>
            </w:r>
          </w:p>
        </w:tc>
        <w:tc>
          <w:tcPr>
            <w:tcW w:w="0" w:type="auto"/>
            <w:vAlign w:val="center"/>
          </w:tcPr>
          <w:p w:rsidR="000A156F" w:rsidRDefault="00A9721F">
            <w:pPr>
              <w:pStyle w:val="TableBodyText"/>
            </w:pPr>
            <w:r>
              <w:t>osoite</w:t>
            </w:r>
          </w:p>
        </w:tc>
        <w:tc>
          <w:tcPr>
            <w:tcW w:w="0" w:type="auto"/>
            <w:vAlign w:val="center"/>
          </w:tcPr>
          <w:p w:rsidR="000A156F" w:rsidRDefault="00A9721F">
            <w:pPr>
              <w:pStyle w:val="TableBodyText"/>
            </w:pPr>
            <w:r>
              <w:t>sarake</w:t>
            </w:r>
          </w:p>
        </w:tc>
        <w:tc>
          <w:tcPr>
            <w:tcW w:w="0" w:type="auto"/>
            <w:vAlign w:val="center"/>
          </w:tcPr>
          <w:p w:rsidR="000A156F" w:rsidRDefault="00A9721F">
            <w:pPr>
              <w:pStyle w:val="TableBodyText"/>
            </w:pPr>
            <w:r>
              <w:t>väri</w:t>
            </w:r>
          </w:p>
        </w:tc>
        <w:tc>
          <w:tcPr>
            <w:tcW w:w="0" w:type="auto"/>
            <w:vAlign w:val="center"/>
          </w:tcPr>
          <w:p w:rsidR="000A156F" w:rsidRDefault="00A9721F">
            <w:pPr>
              <w:pStyle w:val="TableBodyText"/>
            </w:pPr>
            <w:r>
              <w:t>sisältö</w:t>
            </w:r>
          </w:p>
        </w:tc>
        <w:tc>
          <w:tcPr>
            <w:tcW w:w="0" w:type="auto"/>
            <w:vAlign w:val="center"/>
          </w:tcPr>
          <w:p w:rsidR="000A156F" w:rsidRDefault="00A9721F">
            <w:pPr>
              <w:pStyle w:val="TableBodyText"/>
            </w:pPr>
            <w:r>
              <w:t>koord</w:t>
            </w:r>
          </w:p>
        </w:tc>
        <w:tc>
          <w:tcPr>
            <w:tcW w:w="0" w:type="auto"/>
            <w:vAlign w:val="center"/>
          </w:tcPr>
          <w:p w:rsidR="000A156F" w:rsidRDefault="00A9721F">
            <w:pPr>
              <w:pStyle w:val="TableBodyText"/>
            </w:pPr>
            <w:r>
              <w:t>tiedostonnimi</w:t>
            </w:r>
          </w:p>
        </w:tc>
        <w:tc>
          <w:tcPr>
            <w:tcW w:w="0" w:type="auto"/>
            <w:vAlign w:val="center"/>
          </w:tcPr>
          <w:p w:rsidR="000A156F" w:rsidRDefault="00A9721F">
            <w:pPr>
              <w:pStyle w:val="TableBodyText"/>
            </w:pPr>
            <w:r>
              <w:t>muoto</w:t>
            </w:r>
          </w:p>
        </w:tc>
      </w:tr>
      <w:tr w:rsidR="000A156F" w:rsidTr="000A156F">
        <w:tc>
          <w:tcPr>
            <w:tcW w:w="0" w:type="auto"/>
            <w:vAlign w:val="center"/>
          </w:tcPr>
          <w:p w:rsidR="000A156F" w:rsidRDefault="00A9721F">
            <w:pPr>
              <w:pStyle w:val="TableBodyText"/>
            </w:pPr>
            <w:r>
              <w:t>fr-fr</w:t>
            </w:r>
          </w:p>
        </w:tc>
        <w:tc>
          <w:tcPr>
            <w:tcW w:w="0" w:type="auto"/>
            <w:vAlign w:val="center"/>
          </w:tcPr>
          <w:p w:rsidR="000A156F" w:rsidRDefault="00A9721F">
            <w:pPr>
              <w:pStyle w:val="TableBodyText"/>
            </w:pPr>
            <w:r>
              <w:t>adresse</w:t>
            </w:r>
          </w:p>
        </w:tc>
        <w:tc>
          <w:tcPr>
            <w:tcW w:w="0" w:type="auto"/>
            <w:vAlign w:val="center"/>
          </w:tcPr>
          <w:p w:rsidR="000A156F" w:rsidRDefault="00A9721F">
            <w:pPr>
              <w:pStyle w:val="TableBodyText"/>
            </w:pPr>
            <w:r>
              <w:t>colonne</w:t>
            </w:r>
          </w:p>
        </w:tc>
        <w:tc>
          <w:tcPr>
            <w:tcW w:w="0" w:type="auto"/>
            <w:vAlign w:val="center"/>
          </w:tcPr>
          <w:p w:rsidR="000A156F" w:rsidRDefault="00A9721F">
            <w:pPr>
              <w:pStyle w:val="TableBodyText"/>
            </w:pPr>
            <w:r>
              <w:t>couleur</w:t>
            </w:r>
          </w:p>
        </w:tc>
        <w:tc>
          <w:tcPr>
            <w:tcW w:w="0" w:type="auto"/>
            <w:vAlign w:val="center"/>
          </w:tcPr>
          <w:p w:rsidR="000A156F" w:rsidRDefault="00A9721F">
            <w:pPr>
              <w:pStyle w:val="TableBodyText"/>
            </w:pPr>
            <w:r>
              <w:t>contenu</w:t>
            </w:r>
          </w:p>
        </w:tc>
        <w:tc>
          <w:tcPr>
            <w:tcW w:w="0" w:type="auto"/>
            <w:vAlign w:val="center"/>
          </w:tcPr>
          <w:p w:rsidR="000A156F" w:rsidRDefault="00A9721F">
            <w:pPr>
              <w:pStyle w:val="TableBodyText"/>
            </w:pPr>
            <w:r>
              <w:t>coordonnees</w:t>
            </w:r>
          </w:p>
        </w:tc>
        <w:tc>
          <w:tcPr>
            <w:tcW w:w="0" w:type="auto"/>
            <w:vAlign w:val="center"/>
          </w:tcPr>
          <w:p w:rsidR="000A156F" w:rsidRDefault="00A9721F">
            <w:pPr>
              <w:pStyle w:val="TableBodyText"/>
            </w:pPr>
            <w:r>
              <w:t>nomfichier</w:t>
            </w:r>
          </w:p>
        </w:tc>
        <w:tc>
          <w:tcPr>
            <w:tcW w:w="0" w:type="auto"/>
            <w:vAlign w:val="center"/>
          </w:tcPr>
          <w:p w:rsidR="000A156F" w:rsidRDefault="00A9721F">
            <w:pPr>
              <w:pStyle w:val="TableBodyText"/>
            </w:pPr>
            <w:r>
              <w:t>format</w:t>
            </w:r>
          </w:p>
        </w:tc>
      </w:tr>
      <w:tr w:rsidR="000A156F" w:rsidTr="000A156F">
        <w:tc>
          <w:tcPr>
            <w:tcW w:w="0" w:type="auto"/>
            <w:vAlign w:val="center"/>
          </w:tcPr>
          <w:p w:rsidR="000A156F" w:rsidRDefault="00A9721F">
            <w:pPr>
              <w:pStyle w:val="TableBodyText"/>
            </w:pPr>
            <w:r>
              <w:t>hu-hu</w:t>
            </w:r>
          </w:p>
        </w:tc>
        <w:tc>
          <w:tcPr>
            <w:tcW w:w="0" w:type="auto"/>
            <w:vAlign w:val="center"/>
          </w:tcPr>
          <w:p w:rsidR="000A156F" w:rsidRDefault="00A9721F">
            <w:pPr>
              <w:pStyle w:val="TableBodyText"/>
            </w:pPr>
            <w:r>
              <w:t>cím</w:t>
            </w:r>
          </w:p>
        </w:tc>
        <w:tc>
          <w:tcPr>
            <w:tcW w:w="0" w:type="auto"/>
            <w:vAlign w:val="center"/>
          </w:tcPr>
          <w:p w:rsidR="000A156F" w:rsidRDefault="00A9721F">
            <w:pPr>
              <w:pStyle w:val="TableBodyText"/>
            </w:pPr>
            <w:r>
              <w:t>oszlop</w:t>
            </w:r>
          </w:p>
        </w:tc>
        <w:tc>
          <w:tcPr>
            <w:tcW w:w="0" w:type="auto"/>
            <w:vAlign w:val="center"/>
          </w:tcPr>
          <w:p w:rsidR="000A156F" w:rsidRDefault="00A9721F">
            <w:pPr>
              <w:pStyle w:val="TableBodyText"/>
            </w:pPr>
            <w:r>
              <w:t>szín</w:t>
            </w:r>
          </w:p>
        </w:tc>
        <w:tc>
          <w:tcPr>
            <w:tcW w:w="0" w:type="auto"/>
            <w:vAlign w:val="center"/>
          </w:tcPr>
          <w:p w:rsidR="000A156F" w:rsidRDefault="00A9721F">
            <w:pPr>
              <w:pStyle w:val="TableBodyText"/>
            </w:pPr>
            <w:r>
              <w:t>tartalom</w:t>
            </w:r>
          </w:p>
        </w:tc>
        <w:tc>
          <w:tcPr>
            <w:tcW w:w="0" w:type="auto"/>
            <w:vAlign w:val="center"/>
          </w:tcPr>
          <w:p w:rsidR="000A156F" w:rsidRDefault="00A9721F">
            <w:pPr>
              <w:pStyle w:val="TableBodyText"/>
            </w:pPr>
            <w:r>
              <w:t>koord</w:t>
            </w:r>
          </w:p>
        </w:tc>
        <w:tc>
          <w:tcPr>
            <w:tcW w:w="0" w:type="auto"/>
            <w:vAlign w:val="center"/>
          </w:tcPr>
          <w:p w:rsidR="000A156F" w:rsidRDefault="00A9721F">
            <w:pPr>
              <w:pStyle w:val="TableBodyText"/>
            </w:pPr>
            <w:r>
              <w:t>filenév</w:t>
            </w:r>
          </w:p>
        </w:tc>
        <w:tc>
          <w:tcPr>
            <w:tcW w:w="0" w:type="auto"/>
            <w:vAlign w:val="center"/>
          </w:tcPr>
          <w:p w:rsidR="000A156F" w:rsidRDefault="00A9721F">
            <w:pPr>
              <w:pStyle w:val="TableBodyText"/>
            </w:pPr>
            <w:r>
              <w:t>forma</w:t>
            </w:r>
          </w:p>
        </w:tc>
      </w:tr>
      <w:tr w:rsidR="000A156F" w:rsidTr="000A156F">
        <w:tc>
          <w:tcPr>
            <w:tcW w:w="0" w:type="auto"/>
            <w:vAlign w:val="center"/>
          </w:tcPr>
          <w:p w:rsidR="000A156F" w:rsidRDefault="00A9721F">
            <w:pPr>
              <w:pStyle w:val="TableBodyText"/>
            </w:pPr>
            <w:r>
              <w:t>it-it</w:t>
            </w:r>
          </w:p>
        </w:tc>
        <w:tc>
          <w:tcPr>
            <w:tcW w:w="0" w:type="auto"/>
            <w:vAlign w:val="center"/>
          </w:tcPr>
          <w:p w:rsidR="000A156F" w:rsidRDefault="00A9721F">
            <w:pPr>
              <w:pStyle w:val="TableBodyText"/>
            </w:pPr>
            <w:r>
              <w:t>indirizzo</w:t>
            </w:r>
          </w:p>
        </w:tc>
        <w:tc>
          <w:tcPr>
            <w:tcW w:w="0" w:type="auto"/>
            <w:vAlign w:val="center"/>
          </w:tcPr>
          <w:p w:rsidR="000A156F" w:rsidRDefault="00A9721F">
            <w:pPr>
              <w:pStyle w:val="TableBodyText"/>
            </w:pPr>
            <w:r>
              <w:t>col</w:t>
            </w:r>
          </w:p>
        </w:tc>
        <w:tc>
          <w:tcPr>
            <w:tcW w:w="0" w:type="auto"/>
            <w:vAlign w:val="center"/>
          </w:tcPr>
          <w:p w:rsidR="000A156F" w:rsidRDefault="00A9721F">
            <w:pPr>
              <w:pStyle w:val="TableBodyText"/>
            </w:pPr>
            <w:r>
              <w:t>colore</w:t>
            </w:r>
          </w:p>
        </w:tc>
        <w:tc>
          <w:tcPr>
            <w:tcW w:w="0" w:type="auto"/>
            <w:vAlign w:val="center"/>
          </w:tcPr>
          <w:p w:rsidR="000A156F" w:rsidRDefault="00A9721F">
            <w:pPr>
              <w:pStyle w:val="TableBodyText"/>
            </w:pPr>
            <w:r>
              <w:t>contenuto</w:t>
            </w:r>
          </w:p>
        </w:tc>
        <w:tc>
          <w:tcPr>
            <w:tcW w:w="0" w:type="auto"/>
            <w:vAlign w:val="center"/>
          </w:tcPr>
          <w:p w:rsidR="000A156F" w:rsidRDefault="00A9721F">
            <w:pPr>
              <w:pStyle w:val="TableBodyText"/>
            </w:pPr>
            <w:r>
              <w:t>coordinate</w:t>
            </w:r>
          </w:p>
        </w:tc>
        <w:tc>
          <w:tcPr>
            <w:tcW w:w="0" w:type="auto"/>
            <w:vAlign w:val="center"/>
          </w:tcPr>
          <w:p w:rsidR="000A156F" w:rsidRDefault="00A9721F">
            <w:pPr>
              <w:pStyle w:val="TableBodyText"/>
            </w:pPr>
            <w:r>
              <w:t>nomefile</w:t>
            </w:r>
          </w:p>
        </w:tc>
        <w:tc>
          <w:tcPr>
            <w:tcW w:w="0" w:type="auto"/>
            <w:vAlign w:val="center"/>
          </w:tcPr>
          <w:p w:rsidR="000A156F" w:rsidRDefault="00A9721F">
            <w:pPr>
              <w:pStyle w:val="TableBodyText"/>
            </w:pPr>
            <w:r>
              <w:t>formato</w:t>
            </w:r>
          </w:p>
        </w:tc>
      </w:tr>
      <w:tr w:rsidR="000A156F" w:rsidTr="000A156F">
        <w:tc>
          <w:tcPr>
            <w:tcW w:w="0" w:type="auto"/>
            <w:vAlign w:val="center"/>
          </w:tcPr>
          <w:p w:rsidR="000A156F" w:rsidRDefault="00A9721F">
            <w:pPr>
              <w:pStyle w:val="TableBodyText"/>
            </w:pPr>
            <w:r>
              <w:t>kk-kz</w:t>
            </w:r>
          </w:p>
        </w:tc>
        <w:tc>
          <w:tcPr>
            <w:tcW w:w="0" w:type="auto"/>
            <w:vAlign w:val="center"/>
          </w:tcPr>
          <w:p w:rsidR="000A156F" w:rsidRDefault="00A9721F">
            <w:pPr>
              <w:pStyle w:val="TableBodyText"/>
            </w:pPr>
            <w:r>
              <w:t>мекенжай</w:t>
            </w:r>
          </w:p>
        </w:tc>
        <w:tc>
          <w:tcPr>
            <w:tcW w:w="0" w:type="auto"/>
            <w:vAlign w:val="center"/>
          </w:tcPr>
          <w:p w:rsidR="000A156F" w:rsidRDefault="00A9721F">
            <w:pPr>
              <w:pStyle w:val="TableBodyText"/>
            </w:pPr>
            <w:r>
              <w:t>баған</w:t>
            </w:r>
          </w:p>
        </w:tc>
        <w:tc>
          <w:tcPr>
            <w:tcW w:w="0" w:type="auto"/>
            <w:vAlign w:val="center"/>
          </w:tcPr>
          <w:p w:rsidR="000A156F" w:rsidRDefault="00A9721F">
            <w:pPr>
              <w:pStyle w:val="TableBodyText"/>
            </w:pPr>
            <w:r>
              <w:t>түс</w:t>
            </w:r>
          </w:p>
        </w:tc>
        <w:tc>
          <w:tcPr>
            <w:tcW w:w="0" w:type="auto"/>
            <w:vAlign w:val="center"/>
          </w:tcPr>
          <w:p w:rsidR="000A156F" w:rsidRDefault="00A9721F">
            <w:pPr>
              <w:pStyle w:val="TableBodyText"/>
            </w:pPr>
            <w:r>
              <w:t>мазмұны</w:t>
            </w:r>
          </w:p>
        </w:tc>
        <w:tc>
          <w:tcPr>
            <w:tcW w:w="0" w:type="auto"/>
            <w:vAlign w:val="center"/>
          </w:tcPr>
          <w:p w:rsidR="000A156F" w:rsidRDefault="00A9721F">
            <w:pPr>
              <w:pStyle w:val="TableBodyText"/>
            </w:pPr>
            <w:r>
              <w:t>ТҰРАҒИАТ</w:t>
            </w:r>
          </w:p>
        </w:tc>
        <w:tc>
          <w:tcPr>
            <w:tcW w:w="0" w:type="auto"/>
            <w:vAlign w:val="center"/>
          </w:tcPr>
          <w:p w:rsidR="000A156F" w:rsidRDefault="00A9721F">
            <w:pPr>
              <w:pStyle w:val="TableBodyText"/>
            </w:pPr>
            <w:r>
              <w:t>файлатауы</w:t>
            </w:r>
          </w:p>
        </w:tc>
        <w:tc>
          <w:tcPr>
            <w:tcW w:w="0" w:type="auto"/>
            <w:vAlign w:val="center"/>
          </w:tcPr>
          <w:p w:rsidR="000A156F" w:rsidRDefault="00A9721F">
            <w:pPr>
              <w:pStyle w:val="TableBodyText"/>
            </w:pPr>
            <w:r>
              <w:t>пішім</w:t>
            </w:r>
          </w:p>
        </w:tc>
      </w:tr>
      <w:tr w:rsidR="000A156F" w:rsidTr="000A156F">
        <w:tc>
          <w:tcPr>
            <w:tcW w:w="0" w:type="auto"/>
            <w:vAlign w:val="center"/>
          </w:tcPr>
          <w:p w:rsidR="000A156F" w:rsidRDefault="00A9721F">
            <w:pPr>
              <w:pStyle w:val="TableBodyText"/>
            </w:pPr>
            <w:r>
              <w:t>lv-lv</w:t>
            </w:r>
          </w:p>
        </w:tc>
        <w:tc>
          <w:tcPr>
            <w:tcW w:w="0" w:type="auto"/>
            <w:vAlign w:val="center"/>
          </w:tcPr>
          <w:p w:rsidR="000A156F" w:rsidRDefault="00A9721F">
            <w:pPr>
              <w:pStyle w:val="TableBodyText"/>
            </w:pPr>
            <w:r>
              <w:t>adrese</w:t>
            </w:r>
          </w:p>
        </w:tc>
        <w:tc>
          <w:tcPr>
            <w:tcW w:w="0" w:type="auto"/>
            <w:vAlign w:val="center"/>
          </w:tcPr>
          <w:p w:rsidR="000A156F" w:rsidRDefault="00A9721F">
            <w:pPr>
              <w:pStyle w:val="TableBodyText"/>
            </w:pPr>
            <w:r>
              <w:t>kolonna</w:t>
            </w:r>
          </w:p>
        </w:tc>
        <w:tc>
          <w:tcPr>
            <w:tcW w:w="0" w:type="auto"/>
            <w:vAlign w:val="center"/>
          </w:tcPr>
          <w:p w:rsidR="000A156F" w:rsidRDefault="00A9721F">
            <w:pPr>
              <w:pStyle w:val="TableBodyText"/>
            </w:pPr>
            <w:r>
              <w:t>krāsa</w:t>
            </w:r>
          </w:p>
        </w:tc>
        <w:tc>
          <w:tcPr>
            <w:tcW w:w="0" w:type="auto"/>
            <w:vAlign w:val="center"/>
          </w:tcPr>
          <w:p w:rsidR="000A156F" w:rsidRDefault="00A9721F">
            <w:pPr>
              <w:pStyle w:val="TableBodyText"/>
            </w:pPr>
            <w:r>
              <w:t>saturs</w:t>
            </w:r>
          </w:p>
        </w:tc>
        <w:tc>
          <w:tcPr>
            <w:tcW w:w="0" w:type="auto"/>
            <w:vAlign w:val="center"/>
          </w:tcPr>
          <w:p w:rsidR="000A156F" w:rsidRDefault="00A9721F">
            <w:pPr>
              <w:pStyle w:val="TableBodyText"/>
            </w:pPr>
            <w:r>
              <w:t>koordinātas</w:t>
            </w:r>
          </w:p>
        </w:tc>
        <w:tc>
          <w:tcPr>
            <w:tcW w:w="0" w:type="auto"/>
            <w:vAlign w:val="center"/>
          </w:tcPr>
          <w:p w:rsidR="000A156F" w:rsidRDefault="00A9721F">
            <w:pPr>
              <w:pStyle w:val="TableBodyText"/>
            </w:pPr>
            <w:r>
              <w:t>faila_nosaukums</w:t>
            </w:r>
          </w:p>
        </w:tc>
        <w:tc>
          <w:tcPr>
            <w:tcW w:w="0" w:type="auto"/>
            <w:vAlign w:val="center"/>
          </w:tcPr>
          <w:p w:rsidR="000A156F" w:rsidRDefault="00A9721F">
            <w:pPr>
              <w:pStyle w:val="TableBodyText"/>
            </w:pPr>
            <w:r>
              <w:t>formāts</w:t>
            </w:r>
          </w:p>
        </w:tc>
      </w:tr>
      <w:tr w:rsidR="000A156F" w:rsidTr="000A156F">
        <w:tc>
          <w:tcPr>
            <w:tcW w:w="0" w:type="auto"/>
            <w:vAlign w:val="center"/>
          </w:tcPr>
          <w:p w:rsidR="000A156F" w:rsidRDefault="00A9721F">
            <w:pPr>
              <w:pStyle w:val="TableBodyText"/>
            </w:pPr>
            <w:r>
              <w:t>nb-no</w:t>
            </w:r>
          </w:p>
        </w:tc>
        <w:tc>
          <w:tcPr>
            <w:tcW w:w="0" w:type="auto"/>
            <w:vAlign w:val="center"/>
          </w:tcPr>
          <w:p w:rsidR="000A156F" w:rsidRDefault="00A9721F">
            <w:pPr>
              <w:pStyle w:val="TableBodyText"/>
            </w:pPr>
            <w:r>
              <w:t>adresse</w:t>
            </w:r>
          </w:p>
        </w:tc>
        <w:tc>
          <w:tcPr>
            <w:tcW w:w="0" w:type="auto"/>
            <w:vAlign w:val="center"/>
          </w:tcPr>
          <w:p w:rsidR="000A156F" w:rsidRDefault="00A9721F">
            <w:pPr>
              <w:pStyle w:val="TableBodyText"/>
            </w:pPr>
            <w:r>
              <w:t>kol</w:t>
            </w:r>
          </w:p>
        </w:tc>
        <w:tc>
          <w:tcPr>
            <w:tcW w:w="0" w:type="auto"/>
            <w:vAlign w:val="center"/>
          </w:tcPr>
          <w:p w:rsidR="000A156F" w:rsidRDefault="00A9721F">
            <w:pPr>
              <w:pStyle w:val="TableBodyText"/>
            </w:pPr>
            <w:r>
              <w:t>farge</w:t>
            </w:r>
          </w:p>
        </w:tc>
        <w:tc>
          <w:tcPr>
            <w:tcW w:w="0" w:type="auto"/>
            <w:vAlign w:val="center"/>
          </w:tcPr>
          <w:p w:rsidR="000A156F" w:rsidRDefault="00A9721F">
            <w:pPr>
              <w:pStyle w:val="TableBodyText"/>
            </w:pPr>
            <w:r>
              <w:t>innhold</w:t>
            </w:r>
          </w:p>
        </w:tc>
        <w:tc>
          <w:tcPr>
            <w:tcW w:w="0" w:type="auto"/>
            <w:vAlign w:val="center"/>
          </w:tcPr>
          <w:p w:rsidR="000A156F" w:rsidRDefault="00A9721F">
            <w:pPr>
              <w:pStyle w:val="TableBodyText"/>
            </w:pPr>
            <w:r>
              <w:t>koord</w:t>
            </w:r>
          </w:p>
        </w:tc>
        <w:tc>
          <w:tcPr>
            <w:tcW w:w="0" w:type="auto"/>
            <w:vAlign w:val="center"/>
          </w:tcPr>
          <w:p w:rsidR="000A156F" w:rsidRDefault="00A9721F">
            <w:pPr>
              <w:pStyle w:val="TableBodyText"/>
            </w:pPr>
            <w:r>
              <w:t>filnavn</w:t>
            </w:r>
          </w:p>
        </w:tc>
        <w:tc>
          <w:tcPr>
            <w:tcW w:w="0" w:type="auto"/>
            <w:vAlign w:val="center"/>
          </w:tcPr>
          <w:p w:rsidR="000A156F" w:rsidRDefault="00A9721F">
            <w:pPr>
              <w:pStyle w:val="TableBodyText"/>
            </w:pPr>
            <w:r>
              <w:t>format</w:t>
            </w:r>
          </w:p>
        </w:tc>
      </w:tr>
      <w:tr w:rsidR="000A156F" w:rsidTr="000A156F">
        <w:tc>
          <w:tcPr>
            <w:tcW w:w="0" w:type="auto"/>
            <w:vAlign w:val="center"/>
          </w:tcPr>
          <w:p w:rsidR="000A156F" w:rsidRDefault="00A9721F">
            <w:pPr>
              <w:pStyle w:val="TableBodyText"/>
            </w:pPr>
            <w:r>
              <w:t>nl-nl</w:t>
            </w:r>
          </w:p>
        </w:tc>
        <w:tc>
          <w:tcPr>
            <w:tcW w:w="0" w:type="auto"/>
            <w:vAlign w:val="center"/>
          </w:tcPr>
          <w:p w:rsidR="000A156F" w:rsidRDefault="00A9721F">
            <w:pPr>
              <w:pStyle w:val="TableBodyText"/>
            </w:pPr>
            <w:r>
              <w:t>adres</w:t>
            </w:r>
          </w:p>
        </w:tc>
        <w:tc>
          <w:tcPr>
            <w:tcW w:w="0" w:type="auto"/>
            <w:vAlign w:val="center"/>
          </w:tcPr>
          <w:p w:rsidR="000A156F" w:rsidRDefault="00A9721F">
            <w:pPr>
              <w:pStyle w:val="TableBodyText"/>
            </w:pPr>
            <w:r>
              <w:t>kolom</w:t>
            </w:r>
          </w:p>
        </w:tc>
        <w:tc>
          <w:tcPr>
            <w:tcW w:w="0" w:type="auto"/>
            <w:vAlign w:val="center"/>
          </w:tcPr>
          <w:p w:rsidR="000A156F" w:rsidRDefault="00A9721F">
            <w:pPr>
              <w:pStyle w:val="TableBodyText"/>
            </w:pPr>
            <w:r>
              <w:t>kleur</w:t>
            </w:r>
          </w:p>
        </w:tc>
        <w:tc>
          <w:tcPr>
            <w:tcW w:w="0" w:type="auto"/>
            <w:vAlign w:val="center"/>
          </w:tcPr>
          <w:p w:rsidR="000A156F" w:rsidRDefault="00A9721F">
            <w:pPr>
              <w:pStyle w:val="TableBodyText"/>
            </w:pPr>
            <w:r>
              <w:t>inhoud</w:t>
            </w:r>
          </w:p>
        </w:tc>
        <w:tc>
          <w:tcPr>
            <w:tcW w:w="0" w:type="auto"/>
            <w:vAlign w:val="center"/>
          </w:tcPr>
          <w:p w:rsidR="000A156F" w:rsidRDefault="00A9721F">
            <w:pPr>
              <w:pStyle w:val="TableBodyText"/>
            </w:pPr>
            <w:r>
              <w:t>coord</w:t>
            </w:r>
          </w:p>
        </w:tc>
        <w:tc>
          <w:tcPr>
            <w:tcW w:w="0" w:type="auto"/>
            <w:vAlign w:val="center"/>
          </w:tcPr>
          <w:p w:rsidR="000A156F" w:rsidRDefault="00A9721F">
            <w:pPr>
              <w:pStyle w:val="TableBodyText"/>
            </w:pPr>
            <w:r>
              <w:t>bestandsnaam</w:t>
            </w:r>
          </w:p>
        </w:tc>
        <w:tc>
          <w:tcPr>
            <w:tcW w:w="0" w:type="auto"/>
            <w:vAlign w:val="center"/>
          </w:tcPr>
          <w:p w:rsidR="000A156F" w:rsidRDefault="00A9721F">
            <w:pPr>
              <w:pStyle w:val="TableBodyText"/>
            </w:pPr>
            <w:r>
              <w:t>notatie</w:t>
            </w:r>
          </w:p>
        </w:tc>
      </w:tr>
      <w:tr w:rsidR="000A156F" w:rsidTr="000A156F">
        <w:tc>
          <w:tcPr>
            <w:tcW w:w="0" w:type="auto"/>
            <w:vAlign w:val="center"/>
          </w:tcPr>
          <w:p w:rsidR="000A156F" w:rsidRDefault="00A9721F">
            <w:pPr>
              <w:pStyle w:val="TableBodyText"/>
            </w:pPr>
            <w:r>
              <w:t>pl-pl</w:t>
            </w:r>
          </w:p>
        </w:tc>
        <w:tc>
          <w:tcPr>
            <w:tcW w:w="0" w:type="auto"/>
            <w:vAlign w:val="center"/>
          </w:tcPr>
          <w:p w:rsidR="000A156F" w:rsidRDefault="00A9721F">
            <w:pPr>
              <w:pStyle w:val="TableBodyText"/>
            </w:pPr>
            <w:r>
              <w:t>adres</w:t>
            </w:r>
          </w:p>
        </w:tc>
        <w:tc>
          <w:tcPr>
            <w:tcW w:w="0" w:type="auto"/>
            <w:vAlign w:val="center"/>
          </w:tcPr>
          <w:p w:rsidR="000A156F" w:rsidRDefault="00A9721F">
            <w:pPr>
              <w:pStyle w:val="TableBodyText"/>
            </w:pPr>
            <w:r>
              <w:t>kolumna</w:t>
            </w:r>
          </w:p>
        </w:tc>
        <w:tc>
          <w:tcPr>
            <w:tcW w:w="0" w:type="auto"/>
            <w:vAlign w:val="center"/>
          </w:tcPr>
          <w:p w:rsidR="000A156F" w:rsidRDefault="00A9721F">
            <w:pPr>
              <w:pStyle w:val="TableBodyText"/>
            </w:pPr>
            <w:r>
              <w:t>kolor</w:t>
            </w:r>
          </w:p>
        </w:tc>
        <w:tc>
          <w:tcPr>
            <w:tcW w:w="0" w:type="auto"/>
            <w:vAlign w:val="center"/>
          </w:tcPr>
          <w:p w:rsidR="000A156F" w:rsidRDefault="00A9721F">
            <w:pPr>
              <w:pStyle w:val="TableBodyText"/>
            </w:pPr>
            <w:r>
              <w:t>zawartość</w:t>
            </w:r>
          </w:p>
        </w:tc>
        <w:tc>
          <w:tcPr>
            <w:tcW w:w="0" w:type="auto"/>
            <w:vAlign w:val="center"/>
          </w:tcPr>
          <w:p w:rsidR="000A156F" w:rsidRDefault="00A9721F">
            <w:pPr>
              <w:pStyle w:val="TableBodyText"/>
            </w:pPr>
            <w:r>
              <w:t>WSPÓŁRZ</w:t>
            </w:r>
          </w:p>
        </w:tc>
        <w:tc>
          <w:tcPr>
            <w:tcW w:w="0" w:type="auto"/>
            <w:vAlign w:val="center"/>
          </w:tcPr>
          <w:p w:rsidR="000A156F" w:rsidRDefault="00A9721F">
            <w:pPr>
              <w:pStyle w:val="TableBodyText"/>
            </w:pPr>
            <w:r>
              <w:t>nazwa_pliku</w:t>
            </w:r>
          </w:p>
        </w:tc>
        <w:tc>
          <w:tcPr>
            <w:tcW w:w="0" w:type="auto"/>
            <w:vAlign w:val="center"/>
          </w:tcPr>
          <w:p w:rsidR="000A156F" w:rsidRDefault="00A9721F">
            <w:pPr>
              <w:pStyle w:val="TableBodyText"/>
            </w:pPr>
            <w:r>
              <w:t>format</w:t>
            </w:r>
          </w:p>
        </w:tc>
      </w:tr>
      <w:tr w:rsidR="000A156F" w:rsidTr="000A156F">
        <w:tc>
          <w:tcPr>
            <w:tcW w:w="0" w:type="auto"/>
            <w:vAlign w:val="center"/>
          </w:tcPr>
          <w:p w:rsidR="000A156F" w:rsidRDefault="00A9721F">
            <w:pPr>
              <w:pStyle w:val="TableBodyText"/>
            </w:pPr>
            <w:r>
              <w:t>pt-br</w:t>
            </w:r>
          </w:p>
        </w:tc>
        <w:tc>
          <w:tcPr>
            <w:tcW w:w="0" w:type="auto"/>
            <w:vAlign w:val="center"/>
          </w:tcPr>
          <w:p w:rsidR="000A156F" w:rsidRDefault="00A9721F">
            <w:pPr>
              <w:pStyle w:val="TableBodyText"/>
            </w:pPr>
            <w:r>
              <w:t>endereço</w:t>
            </w:r>
          </w:p>
        </w:tc>
        <w:tc>
          <w:tcPr>
            <w:tcW w:w="0" w:type="auto"/>
            <w:vAlign w:val="center"/>
          </w:tcPr>
          <w:p w:rsidR="000A156F" w:rsidRDefault="00A9721F">
            <w:pPr>
              <w:pStyle w:val="TableBodyText"/>
            </w:pPr>
            <w:r>
              <w:t>col</w:t>
            </w:r>
          </w:p>
        </w:tc>
        <w:tc>
          <w:tcPr>
            <w:tcW w:w="0" w:type="auto"/>
            <w:vAlign w:val="center"/>
          </w:tcPr>
          <w:p w:rsidR="000A156F" w:rsidRDefault="00A9721F">
            <w:pPr>
              <w:pStyle w:val="TableBodyText"/>
            </w:pPr>
            <w:r>
              <w:t>cor</w:t>
            </w:r>
          </w:p>
        </w:tc>
        <w:tc>
          <w:tcPr>
            <w:tcW w:w="0" w:type="auto"/>
            <w:vAlign w:val="center"/>
          </w:tcPr>
          <w:p w:rsidR="000A156F" w:rsidRDefault="00A9721F">
            <w:pPr>
              <w:pStyle w:val="TableBodyText"/>
            </w:pPr>
            <w:r>
              <w:t>conteúdo</w:t>
            </w:r>
          </w:p>
        </w:tc>
        <w:tc>
          <w:tcPr>
            <w:tcW w:w="0" w:type="auto"/>
            <w:vAlign w:val="center"/>
          </w:tcPr>
          <w:p w:rsidR="000A156F" w:rsidRDefault="00A9721F">
            <w:pPr>
              <w:pStyle w:val="TableBodyText"/>
            </w:pPr>
            <w:r>
              <w:t>coord</w:t>
            </w:r>
          </w:p>
        </w:tc>
        <w:tc>
          <w:tcPr>
            <w:tcW w:w="0" w:type="auto"/>
            <w:vAlign w:val="center"/>
          </w:tcPr>
          <w:p w:rsidR="000A156F" w:rsidRDefault="00A9721F">
            <w:pPr>
              <w:pStyle w:val="TableBodyText"/>
            </w:pPr>
            <w:r>
              <w:t>nome.arquivo</w:t>
            </w:r>
          </w:p>
        </w:tc>
        <w:tc>
          <w:tcPr>
            <w:tcW w:w="0" w:type="auto"/>
            <w:vAlign w:val="center"/>
          </w:tcPr>
          <w:p w:rsidR="000A156F" w:rsidRDefault="00A9721F">
            <w:pPr>
              <w:pStyle w:val="TableBodyText"/>
            </w:pPr>
            <w:r>
              <w:t>formato</w:t>
            </w:r>
          </w:p>
        </w:tc>
      </w:tr>
      <w:tr w:rsidR="000A156F" w:rsidTr="000A156F">
        <w:tc>
          <w:tcPr>
            <w:tcW w:w="0" w:type="auto"/>
            <w:vAlign w:val="center"/>
          </w:tcPr>
          <w:p w:rsidR="000A156F" w:rsidRDefault="00A9721F">
            <w:pPr>
              <w:pStyle w:val="TableBodyText"/>
            </w:pPr>
            <w:r>
              <w:t>pt-pt</w:t>
            </w:r>
          </w:p>
        </w:tc>
        <w:tc>
          <w:tcPr>
            <w:tcW w:w="0" w:type="auto"/>
            <w:vAlign w:val="center"/>
          </w:tcPr>
          <w:p w:rsidR="000A156F" w:rsidRDefault="00A9721F">
            <w:pPr>
              <w:pStyle w:val="TableBodyText"/>
            </w:pPr>
            <w:r>
              <w:t>endereço</w:t>
            </w:r>
          </w:p>
        </w:tc>
        <w:tc>
          <w:tcPr>
            <w:tcW w:w="0" w:type="auto"/>
            <w:vAlign w:val="center"/>
          </w:tcPr>
          <w:p w:rsidR="000A156F" w:rsidRDefault="00A9721F">
            <w:pPr>
              <w:pStyle w:val="TableBodyText"/>
            </w:pPr>
            <w:r>
              <w:t>col</w:t>
            </w:r>
          </w:p>
        </w:tc>
        <w:tc>
          <w:tcPr>
            <w:tcW w:w="0" w:type="auto"/>
            <w:vAlign w:val="center"/>
          </w:tcPr>
          <w:p w:rsidR="000A156F" w:rsidRDefault="00A9721F">
            <w:pPr>
              <w:pStyle w:val="TableBodyText"/>
            </w:pPr>
            <w:r>
              <w:t>cor</w:t>
            </w:r>
          </w:p>
        </w:tc>
        <w:tc>
          <w:tcPr>
            <w:tcW w:w="0" w:type="auto"/>
            <w:vAlign w:val="center"/>
          </w:tcPr>
          <w:p w:rsidR="000A156F" w:rsidRDefault="00A9721F">
            <w:pPr>
              <w:pStyle w:val="TableBodyText"/>
            </w:pPr>
            <w:r>
              <w:t>conteúdo</w:t>
            </w:r>
          </w:p>
        </w:tc>
        <w:tc>
          <w:tcPr>
            <w:tcW w:w="0" w:type="auto"/>
            <w:vAlign w:val="center"/>
          </w:tcPr>
          <w:p w:rsidR="000A156F" w:rsidRDefault="00A9721F">
            <w:pPr>
              <w:pStyle w:val="TableBodyText"/>
            </w:pPr>
            <w:r>
              <w:t>coord</w:t>
            </w:r>
          </w:p>
        </w:tc>
        <w:tc>
          <w:tcPr>
            <w:tcW w:w="0" w:type="auto"/>
            <w:vAlign w:val="center"/>
          </w:tcPr>
          <w:p w:rsidR="000A156F" w:rsidRDefault="00A9721F">
            <w:pPr>
              <w:pStyle w:val="TableBodyText"/>
            </w:pPr>
            <w:r>
              <w:t>nome.ficheiro</w:t>
            </w:r>
          </w:p>
        </w:tc>
        <w:tc>
          <w:tcPr>
            <w:tcW w:w="0" w:type="auto"/>
            <w:vAlign w:val="center"/>
          </w:tcPr>
          <w:p w:rsidR="000A156F" w:rsidRDefault="00A9721F">
            <w:pPr>
              <w:pStyle w:val="TableBodyText"/>
            </w:pPr>
            <w:r>
              <w:t>formato</w:t>
            </w:r>
          </w:p>
        </w:tc>
      </w:tr>
      <w:tr w:rsidR="000A156F" w:rsidTr="000A156F">
        <w:tc>
          <w:tcPr>
            <w:tcW w:w="0" w:type="auto"/>
            <w:vAlign w:val="center"/>
          </w:tcPr>
          <w:p w:rsidR="000A156F" w:rsidRDefault="00A9721F">
            <w:pPr>
              <w:pStyle w:val="TableBodyText"/>
            </w:pPr>
            <w:r>
              <w:t>ru-ru</w:t>
            </w:r>
          </w:p>
        </w:tc>
        <w:tc>
          <w:tcPr>
            <w:tcW w:w="0" w:type="auto"/>
            <w:vAlign w:val="center"/>
          </w:tcPr>
          <w:p w:rsidR="000A156F" w:rsidRDefault="00A9721F">
            <w:pPr>
              <w:pStyle w:val="TableBodyText"/>
            </w:pPr>
            <w:r>
              <w:t>адрес</w:t>
            </w:r>
          </w:p>
        </w:tc>
        <w:tc>
          <w:tcPr>
            <w:tcW w:w="0" w:type="auto"/>
            <w:vAlign w:val="center"/>
          </w:tcPr>
          <w:p w:rsidR="000A156F" w:rsidRDefault="00A9721F">
            <w:pPr>
              <w:pStyle w:val="TableBodyText"/>
            </w:pPr>
            <w:r>
              <w:t>столбец</w:t>
            </w:r>
          </w:p>
        </w:tc>
        <w:tc>
          <w:tcPr>
            <w:tcW w:w="0" w:type="auto"/>
            <w:vAlign w:val="center"/>
          </w:tcPr>
          <w:p w:rsidR="000A156F" w:rsidRDefault="00A9721F">
            <w:pPr>
              <w:pStyle w:val="TableBodyText"/>
            </w:pPr>
            <w:r>
              <w:t>цвет</w:t>
            </w:r>
          </w:p>
        </w:tc>
        <w:tc>
          <w:tcPr>
            <w:tcW w:w="0" w:type="auto"/>
            <w:vAlign w:val="center"/>
          </w:tcPr>
          <w:p w:rsidR="000A156F" w:rsidRDefault="00A9721F">
            <w:pPr>
              <w:pStyle w:val="TableBodyText"/>
            </w:pPr>
            <w:r>
              <w:t>содержимое</w:t>
            </w:r>
          </w:p>
        </w:tc>
        <w:tc>
          <w:tcPr>
            <w:tcW w:w="0" w:type="auto"/>
            <w:vAlign w:val="center"/>
          </w:tcPr>
          <w:p w:rsidR="000A156F" w:rsidRDefault="00A9721F">
            <w:pPr>
              <w:pStyle w:val="TableBodyText"/>
            </w:pPr>
            <w:r>
              <w:t>КООРД</w:t>
            </w:r>
          </w:p>
        </w:tc>
        <w:tc>
          <w:tcPr>
            <w:tcW w:w="0" w:type="auto"/>
            <w:vAlign w:val="center"/>
          </w:tcPr>
          <w:p w:rsidR="000A156F" w:rsidRDefault="00A9721F">
            <w:pPr>
              <w:pStyle w:val="TableBodyText"/>
            </w:pPr>
            <w:r>
              <w:t>имяфайла</w:t>
            </w:r>
          </w:p>
        </w:tc>
        <w:tc>
          <w:tcPr>
            <w:tcW w:w="0" w:type="auto"/>
            <w:vAlign w:val="center"/>
          </w:tcPr>
          <w:p w:rsidR="000A156F" w:rsidRDefault="00A9721F">
            <w:pPr>
              <w:pStyle w:val="TableBodyText"/>
            </w:pPr>
            <w:r>
              <w:t>формат</w:t>
            </w:r>
          </w:p>
        </w:tc>
      </w:tr>
      <w:tr w:rsidR="000A156F" w:rsidTr="000A156F">
        <w:tc>
          <w:tcPr>
            <w:tcW w:w="0" w:type="auto"/>
            <w:vAlign w:val="center"/>
          </w:tcPr>
          <w:p w:rsidR="000A156F" w:rsidRDefault="00A9721F">
            <w:pPr>
              <w:pStyle w:val="TableBodyText"/>
            </w:pPr>
            <w:r>
              <w:t>sk-sk</w:t>
            </w:r>
          </w:p>
        </w:tc>
        <w:tc>
          <w:tcPr>
            <w:tcW w:w="0" w:type="auto"/>
            <w:vAlign w:val="center"/>
          </w:tcPr>
          <w:p w:rsidR="000A156F" w:rsidRDefault="00A9721F">
            <w:pPr>
              <w:pStyle w:val="TableBodyText"/>
            </w:pPr>
            <w:r>
              <w:t>adresa</w:t>
            </w:r>
          </w:p>
        </w:tc>
        <w:tc>
          <w:tcPr>
            <w:tcW w:w="0" w:type="auto"/>
            <w:vAlign w:val="center"/>
          </w:tcPr>
          <w:p w:rsidR="000A156F" w:rsidRDefault="00A9721F">
            <w:pPr>
              <w:pStyle w:val="TableBodyText"/>
            </w:pPr>
            <w:r>
              <w:t>stĺpec</w:t>
            </w:r>
          </w:p>
        </w:tc>
        <w:tc>
          <w:tcPr>
            <w:tcW w:w="0" w:type="auto"/>
            <w:vAlign w:val="center"/>
          </w:tcPr>
          <w:p w:rsidR="000A156F" w:rsidRDefault="00A9721F">
            <w:pPr>
              <w:pStyle w:val="TableBodyText"/>
            </w:pPr>
            <w:r>
              <w:t>farba</w:t>
            </w:r>
          </w:p>
        </w:tc>
        <w:tc>
          <w:tcPr>
            <w:tcW w:w="0" w:type="auto"/>
            <w:vAlign w:val="center"/>
          </w:tcPr>
          <w:p w:rsidR="000A156F" w:rsidRDefault="00A9721F">
            <w:pPr>
              <w:pStyle w:val="TableBodyText"/>
            </w:pPr>
            <w:r>
              <w:t>obsah</w:t>
            </w:r>
          </w:p>
        </w:tc>
        <w:tc>
          <w:tcPr>
            <w:tcW w:w="0" w:type="auto"/>
            <w:vAlign w:val="center"/>
          </w:tcPr>
          <w:p w:rsidR="000A156F" w:rsidRDefault="00A9721F">
            <w:pPr>
              <w:pStyle w:val="TableBodyText"/>
            </w:pPr>
            <w:r>
              <w:t>koordinovať</w:t>
            </w:r>
          </w:p>
        </w:tc>
        <w:tc>
          <w:tcPr>
            <w:tcW w:w="0" w:type="auto"/>
            <w:vAlign w:val="center"/>
          </w:tcPr>
          <w:p w:rsidR="000A156F" w:rsidRDefault="00A9721F">
            <w:pPr>
              <w:pStyle w:val="TableBodyText"/>
            </w:pPr>
            <w:r>
              <w:t>názovsúboru</w:t>
            </w:r>
          </w:p>
        </w:tc>
        <w:tc>
          <w:tcPr>
            <w:tcW w:w="0" w:type="auto"/>
            <w:vAlign w:val="center"/>
          </w:tcPr>
          <w:p w:rsidR="000A156F" w:rsidRDefault="00A9721F">
            <w:pPr>
              <w:pStyle w:val="TableBodyText"/>
            </w:pPr>
            <w:r>
              <w:t>formát</w:t>
            </w:r>
          </w:p>
        </w:tc>
      </w:tr>
      <w:tr w:rsidR="000A156F" w:rsidTr="000A156F">
        <w:tc>
          <w:tcPr>
            <w:tcW w:w="0" w:type="auto"/>
            <w:vAlign w:val="center"/>
          </w:tcPr>
          <w:p w:rsidR="000A156F" w:rsidRDefault="00A9721F">
            <w:pPr>
              <w:pStyle w:val="TableBodyText"/>
            </w:pPr>
            <w:r>
              <w:t>sl-si</w:t>
            </w:r>
          </w:p>
        </w:tc>
        <w:tc>
          <w:tcPr>
            <w:tcW w:w="0" w:type="auto"/>
            <w:vAlign w:val="center"/>
          </w:tcPr>
          <w:p w:rsidR="000A156F" w:rsidRDefault="00A9721F">
            <w:pPr>
              <w:pStyle w:val="TableBodyText"/>
            </w:pPr>
            <w:r>
              <w:t>address</w:t>
            </w:r>
          </w:p>
        </w:tc>
        <w:tc>
          <w:tcPr>
            <w:tcW w:w="0" w:type="auto"/>
            <w:vAlign w:val="center"/>
          </w:tcPr>
          <w:p w:rsidR="000A156F" w:rsidRDefault="00A9721F">
            <w:pPr>
              <w:pStyle w:val="TableBodyText"/>
            </w:pPr>
            <w:r>
              <w:t>sto</w:t>
            </w:r>
          </w:p>
        </w:tc>
        <w:tc>
          <w:tcPr>
            <w:tcW w:w="0" w:type="auto"/>
            <w:vAlign w:val="center"/>
          </w:tcPr>
          <w:p w:rsidR="000A156F" w:rsidRDefault="00A9721F">
            <w:pPr>
              <w:pStyle w:val="TableBodyText"/>
            </w:pPr>
            <w:r>
              <w:t>color</w:t>
            </w:r>
          </w:p>
        </w:tc>
        <w:tc>
          <w:tcPr>
            <w:tcW w:w="0" w:type="auto"/>
            <w:vAlign w:val="center"/>
          </w:tcPr>
          <w:p w:rsidR="000A156F" w:rsidRDefault="00A9721F">
            <w:pPr>
              <w:pStyle w:val="TableBodyText"/>
            </w:pPr>
            <w:r>
              <w:t>contents</w:t>
            </w:r>
          </w:p>
        </w:tc>
        <w:tc>
          <w:tcPr>
            <w:tcW w:w="0" w:type="auto"/>
            <w:vAlign w:val="center"/>
          </w:tcPr>
          <w:p w:rsidR="000A156F" w:rsidRDefault="00A9721F">
            <w:pPr>
              <w:pStyle w:val="TableBodyText"/>
            </w:pPr>
            <w:r>
              <w:t>coord</w:t>
            </w:r>
          </w:p>
        </w:tc>
        <w:tc>
          <w:tcPr>
            <w:tcW w:w="0" w:type="auto"/>
            <w:vAlign w:val="center"/>
          </w:tcPr>
          <w:p w:rsidR="000A156F" w:rsidRDefault="00A9721F">
            <w:pPr>
              <w:pStyle w:val="TableBodyText"/>
            </w:pPr>
            <w:r>
              <w:t>filename</w:t>
            </w:r>
          </w:p>
        </w:tc>
        <w:tc>
          <w:tcPr>
            <w:tcW w:w="0" w:type="auto"/>
            <w:vAlign w:val="center"/>
          </w:tcPr>
          <w:p w:rsidR="000A156F" w:rsidRDefault="00A9721F">
            <w:pPr>
              <w:pStyle w:val="TableBodyText"/>
            </w:pPr>
            <w:r>
              <w:t>format</w:t>
            </w:r>
          </w:p>
        </w:tc>
      </w:tr>
      <w:tr w:rsidR="000A156F" w:rsidTr="000A156F">
        <w:tc>
          <w:tcPr>
            <w:tcW w:w="0" w:type="auto"/>
            <w:vAlign w:val="center"/>
          </w:tcPr>
          <w:p w:rsidR="000A156F" w:rsidRDefault="00A9721F">
            <w:pPr>
              <w:pStyle w:val="TableBodyText"/>
            </w:pPr>
            <w:r>
              <w:t>sv-se</w:t>
            </w:r>
          </w:p>
        </w:tc>
        <w:tc>
          <w:tcPr>
            <w:tcW w:w="0" w:type="auto"/>
            <w:vAlign w:val="center"/>
          </w:tcPr>
          <w:p w:rsidR="000A156F" w:rsidRDefault="00A9721F">
            <w:pPr>
              <w:pStyle w:val="TableBodyText"/>
            </w:pPr>
            <w:r>
              <w:t>adress</w:t>
            </w:r>
          </w:p>
        </w:tc>
        <w:tc>
          <w:tcPr>
            <w:tcW w:w="0" w:type="auto"/>
            <w:vAlign w:val="center"/>
          </w:tcPr>
          <w:p w:rsidR="000A156F" w:rsidRDefault="00A9721F">
            <w:pPr>
              <w:pStyle w:val="TableBodyText"/>
            </w:pPr>
            <w:r>
              <w:t>kol</w:t>
            </w:r>
          </w:p>
        </w:tc>
        <w:tc>
          <w:tcPr>
            <w:tcW w:w="0" w:type="auto"/>
            <w:vAlign w:val="center"/>
          </w:tcPr>
          <w:p w:rsidR="000A156F" w:rsidRDefault="00A9721F">
            <w:pPr>
              <w:pStyle w:val="TableBodyText"/>
            </w:pPr>
            <w:r>
              <w:t>färg</w:t>
            </w:r>
          </w:p>
        </w:tc>
        <w:tc>
          <w:tcPr>
            <w:tcW w:w="0" w:type="auto"/>
            <w:vAlign w:val="center"/>
          </w:tcPr>
          <w:p w:rsidR="000A156F" w:rsidRDefault="00A9721F">
            <w:pPr>
              <w:pStyle w:val="TableBodyText"/>
            </w:pPr>
            <w:r>
              <w:t>innehåll</w:t>
            </w:r>
          </w:p>
        </w:tc>
        <w:tc>
          <w:tcPr>
            <w:tcW w:w="0" w:type="auto"/>
            <w:vAlign w:val="center"/>
          </w:tcPr>
          <w:p w:rsidR="000A156F" w:rsidRDefault="00A9721F">
            <w:pPr>
              <w:pStyle w:val="TableBodyText"/>
            </w:pPr>
            <w:r>
              <w:t>koord</w:t>
            </w:r>
          </w:p>
        </w:tc>
        <w:tc>
          <w:tcPr>
            <w:tcW w:w="0" w:type="auto"/>
            <w:vAlign w:val="center"/>
          </w:tcPr>
          <w:p w:rsidR="000A156F" w:rsidRDefault="00A9721F">
            <w:pPr>
              <w:pStyle w:val="TableBodyText"/>
            </w:pPr>
            <w:r>
              <w:t>filnamn</w:t>
            </w:r>
          </w:p>
        </w:tc>
        <w:tc>
          <w:tcPr>
            <w:tcW w:w="0" w:type="auto"/>
            <w:vAlign w:val="center"/>
          </w:tcPr>
          <w:p w:rsidR="000A156F" w:rsidRDefault="00A9721F">
            <w:pPr>
              <w:pStyle w:val="TableBodyText"/>
            </w:pPr>
            <w:r>
              <w:t>format</w:t>
            </w:r>
          </w:p>
        </w:tc>
      </w:tr>
      <w:tr w:rsidR="000A156F" w:rsidTr="000A156F">
        <w:tc>
          <w:tcPr>
            <w:tcW w:w="0" w:type="auto"/>
            <w:vAlign w:val="center"/>
          </w:tcPr>
          <w:p w:rsidR="000A156F" w:rsidRDefault="00A9721F">
            <w:pPr>
              <w:pStyle w:val="TableBodyText"/>
            </w:pPr>
            <w:r>
              <w:t>tr-tr</w:t>
            </w:r>
          </w:p>
        </w:tc>
        <w:tc>
          <w:tcPr>
            <w:tcW w:w="0" w:type="auto"/>
            <w:vAlign w:val="center"/>
          </w:tcPr>
          <w:p w:rsidR="000A156F" w:rsidRDefault="00A9721F">
            <w:pPr>
              <w:pStyle w:val="TableBodyText"/>
            </w:pPr>
            <w:r>
              <w:t>adres</w:t>
            </w:r>
          </w:p>
        </w:tc>
        <w:tc>
          <w:tcPr>
            <w:tcW w:w="0" w:type="auto"/>
            <w:vAlign w:val="center"/>
          </w:tcPr>
          <w:p w:rsidR="000A156F" w:rsidRDefault="00A9721F">
            <w:pPr>
              <w:pStyle w:val="TableBodyText"/>
            </w:pPr>
            <w:r>
              <w:t>süt</w:t>
            </w:r>
          </w:p>
        </w:tc>
        <w:tc>
          <w:tcPr>
            <w:tcW w:w="0" w:type="auto"/>
            <w:vAlign w:val="center"/>
          </w:tcPr>
          <w:p w:rsidR="000A156F" w:rsidRDefault="00A9721F">
            <w:pPr>
              <w:pStyle w:val="TableBodyText"/>
            </w:pPr>
            <w:r>
              <w:t>renk</w:t>
            </w:r>
          </w:p>
        </w:tc>
        <w:tc>
          <w:tcPr>
            <w:tcW w:w="0" w:type="auto"/>
            <w:vAlign w:val="center"/>
          </w:tcPr>
          <w:p w:rsidR="000A156F" w:rsidRDefault="00A9721F">
            <w:pPr>
              <w:pStyle w:val="TableBodyText"/>
            </w:pPr>
            <w:r>
              <w:t>içerik</w:t>
            </w:r>
          </w:p>
        </w:tc>
        <w:tc>
          <w:tcPr>
            <w:tcW w:w="0" w:type="auto"/>
            <w:vAlign w:val="center"/>
          </w:tcPr>
          <w:p w:rsidR="000A156F" w:rsidRDefault="00A9721F">
            <w:pPr>
              <w:pStyle w:val="TableBodyText"/>
            </w:pPr>
            <w:r>
              <w:t>koord</w:t>
            </w:r>
          </w:p>
        </w:tc>
        <w:tc>
          <w:tcPr>
            <w:tcW w:w="0" w:type="auto"/>
            <w:vAlign w:val="center"/>
          </w:tcPr>
          <w:p w:rsidR="000A156F" w:rsidRDefault="00A9721F">
            <w:pPr>
              <w:pStyle w:val="TableBodyText"/>
            </w:pPr>
            <w:r>
              <w:t>dosyaadi</w:t>
            </w:r>
          </w:p>
        </w:tc>
        <w:tc>
          <w:tcPr>
            <w:tcW w:w="0" w:type="auto"/>
            <w:vAlign w:val="center"/>
          </w:tcPr>
          <w:p w:rsidR="000A156F" w:rsidRDefault="00A9721F">
            <w:pPr>
              <w:pStyle w:val="TableBodyText"/>
            </w:pPr>
            <w:r>
              <w:t>biçim</w:t>
            </w:r>
          </w:p>
        </w:tc>
      </w:tr>
      <w:tr w:rsidR="000A156F" w:rsidTr="000A156F">
        <w:tc>
          <w:tcPr>
            <w:tcW w:w="0" w:type="auto"/>
            <w:vAlign w:val="center"/>
          </w:tcPr>
          <w:p w:rsidR="000A156F" w:rsidRDefault="00A9721F">
            <w:pPr>
              <w:pStyle w:val="TableBodyText"/>
            </w:pPr>
            <w:r>
              <w:t>uk-ua</w:t>
            </w:r>
          </w:p>
        </w:tc>
        <w:tc>
          <w:tcPr>
            <w:tcW w:w="0" w:type="auto"/>
            <w:vAlign w:val="center"/>
          </w:tcPr>
          <w:p w:rsidR="000A156F" w:rsidRDefault="00A9721F">
            <w:pPr>
              <w:pStyle w:val="TableBodyText"/>
            </w:pPr>
            <w:r>
              <w:t>адреса</w:t>
            </w:r>
          </w:p>
        </w:tc>
        <w:tc>
          <w:tcPr>
            <w:tcW w:w="0" w:type="auto"/>
            <w:vAlign w:val="center"/>
          </w:tcPr>
          <w:p w:rsidR="000A156F" w:rsidRDefault="00A9721F">
            <w:pPr>
              <w:pStyle w:val="TableBodyText"/>
            </w:pPr>
            <w:r>
              <w:t>стовпець</w:t>
            </w:r>
          </w:p>
        </w:tc>
        <w:tc>
          <w:tcPr>
            <w:tcW w:w="0" w:type="auto"/>
            <w:vAlign w:val="center"/>
          </w:tcPr>
          <w:p w:rsidR="000A156F" w:rsidRDefault="00A9721F">
            <w:pPr>
              <w:pStyle w:val="TableBodyText"/>
            </w:pPr>
            <w:r>
              <w:t>колір</w:t>
            </w:r>
          </w:p>
        </w:tc>
        <w:tc>
          <w:tcPr>
            <w:tcW w:w="0" w:type="auto"/>
            <w:vAlign w:val="center"/>
          </w:tcPr>
          <w:p w:rsidR="000A156F" w:rsidRDefault="00A9721F">
            <w:pPr>
              <w:pStyle w:val="TableBodyText"/>
            </w:pPr>
            <w:r>
              <w:t>вміст</w:t>
            </w:r>
          </w:p>
        </w:tc>
        <w:tc>
          <w:tcPr>
            <w:tcW w:w="0" w:type="auto"/>
            <w:vAlign w:val="center"/>
          </w:tcPr>
          <w:p w:rsidR="000A156F" w:rsidRDefault="00A9721F">
            <w:pPr>
              <w:pStyle w:val="TableBodyText"/>
            </w:pPr>
            <w:r>
              <w:t>КООРД</w:t>
            </w:r>
          </w:p>
        </w:tc>
        <w:tc>
          <w:tcPr>
            <w:tcW w:w="0" w:type="auto"/>
            <w:vAlign w:val="center"/>
          </w:tcPr>
          <w:p w:rsidR="000A156F" w:rsidRDefault="00A9721F">
            <w:pPr>
              <w:pStyle w:val="TableBodyText"/>
            </w:pPr>
            <w:r>
              <w:t>ім`я_файлу</w:t>
            </w:r>
          </w:p>
        </w:tc>
        <w:tc>
          <w:tcPr>
            <w:tcW w:w="0" w:type="auto"/>
            <w:vAlign w:val="center"/>
          </w:tcPr>
          <w:p w:rsidR="000A156F" w:rsidRDefault="00A9721F">
            <w:pPr>
              <w:pStyle w:val="TableBodyText"/>
            </w:pPr>
            <w:r>
              <w:t>формат</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Locale</w:t>
            </w:r>
          </w:p>
        </w:tc>
        <w:tc>
          <w:tcPr>
            <w:tcW w:w="0" w:type="auto"/>
            <w:vAlign w:val="center"/>
          </w:tcPr>
          <w:p w:rsidR="000A156F" w:rsidRDefault="00A9721F">
            <w:pPr>
              <w:pStyle w:val="TableHeaderText"/>
            </w:pPr>
            <w:r>
              <w:t>parentheses</w:t>
            </w:r>
          </w:p>
        </w:tc>
        <w:tc>
          <w:tcPr>
            <w:tcW w:w="0" w:type="auto"/>
            <w:vAlign w:val="center"/>
          </w:tcPr>
          <w:p w:rsidR="000A156F" w:rsidRDefault="00A9721F">
            <w:pPr>
              <w:pStyle w:val="TableHeaderText"/>
            </w:pPr>
            <w:r>
              <w:t>prefix</w:t>
            </w:r>
          </w:p>
        </w:tc>
        <w:tc>
          <w:tcPr>
            <w:tcW w:w="0" w:type="auto"/>
            <w:vAlign w:val="center"/>
          </w:tcPr>
          <w:p w:rsidR="000A156F" w:rsidRDefault="00A9721F">
            <w:pPr>
              <w:pStyle w:val="TableHeaderText"/>
            </w:pPr>
            <w:r>
              <w:t>protect</w:t>
            </w:r>
          </w:p>
        </w:tc>
        <w:tc>
          <w:tcPr>
            <w:tcW w:w="0" w:type="auto"/>
            <w:vAlign w:val="center"/>
          </w:tcPr>
          <w:p w:rsidR="000A156F" w:rsidRDefault="00A9721F">
            <w:pPr>
              <w:pStyle w:val="TableHeaderText"/>
            </w:pPr>
            <w:r>
              <w:t>row</w:t>
            </w:r>
          </w:p>
        </w:tc>
        <w:tc>
          <w:tcPr>
            <w:tcW w:w="0" w:type="auto"/>
            <w:vAlign w:val="center"/>
          </w:tcPr>
          <w:p w:rsidR="000A156F" w:rsidRDefault="00A9721F">
            <w:pPr>
              <w:pStyle w:val="TableHeaderText"/>
            </w:pPr>
            <w:r>
              <w:t>Sheet</w:t>
            </w:r>
          </w:p>
        </w:tc>
        <w:tc>
          <w:tcPr>
            <w:tcW w:w="0" w:type="auto"/>
            <w:vAlign w:val="center"/>
          </w:tcPr>
          <w:p w:rsidR="000A156F" w:rsidRDefault="00A9721F">
            <w:pPr>
              <w:pStyle w:val="TableHeaderText"/>
            </w:pPr>
            <w:r>
              <w:t>type</w:t>
            </w:r>
          </w:p>
        </w:tc>
        <w:tc>
          <w:tcPr>
            <w:tcW w:w="0" w:type="auto"/>
            <w:vAlign w:val="center"/>
          </w:tcPr>
          <w:p w:rsidR="000A156F" w:rsidRDefault="00A9721F">
            <w:pPr>
              <w:pStyle w:val="TableHeaderText"/>
            </w:pPr>
            <w:r>
              <w:t>width</w:t>
            </w:r>
          </w:p>
        </w:tc>
      </w:tr>
      <w:tr w:rsidR="000A156F" w:rsidTr="000A156F">
        <w:tc>
          <w:tcPr>
            <w:tcW w:w="0" w:type="auto"/>
            <w:vAlign w:val="center"/>
          </w:tcPr>
          <w:p w:rsidR="000A156F" w:rsidRDefault="00A9721F">
            <w:pPr>
              <w:pStyle w:val="TableBodyText"/>
            </w:pPr>
            <w:r>
              <w:t>az-latn-az</w:t>
            </w:r>
          </w:p>
        </w:tc>
        <w:tc>
          <w:tcPr>
            <w:tcW w:w="0" w:type="auto"/>
            <w:vAlign w:val="center"/>
          </w:tcPr>
          <w:p w:rsidR="000A156F" w:rsidRDefault="00A9721F">
            <w:pPr>
              <w:pStyle w:val="TableBodyText"/>
            </w:pPr>
            <w:r>
              <w:t>parentheses</w:t>
            </w:r>
          </w:p>
        </w:tc>
        <w:tc>
          <w:tcPr>
            <w:tcW w:w="0" w:type="auto"/>
            <w:vAlign w:val="center"/>
          </w:tcPr>
          <w:p w:rsidR="000A156F" w:rsidRDefault="00A9721F">
            <w:pPr>
              <w:pStyle w:val="TableBodyText"/>
            </w:pPr>
            <w:r>
              <w:t>prefix</w:t>
            </w:r>
          </w:p>
        </w:tc>
        <w:tc>
          <w:tcPr>
            <w:tcW w:w="0" w:type="auto"/>
            <w:vAlign w:val="center"/>
          </w:tcPr>
          <w:p w:rsidR="000A156F" w:rsidRDefault="00A9721F">
            <w:pPr>
              <w:pStyle w:val="TableBodyText"/>
            </w:pPr>
            <w:r>
              <w:t>protect</w:t>
            </w:r>
          </w:p>
        </w:tc>
        <w:tc>
          <w:tcPr>
            <w:tcW w:w="0" w:type="auto"/>
            <w:vAlign w:val="center"/>
          </w:tcPr>
          <w:p w:rsidR="000A156F" w:rsidRDefault="00A9721F">
            <w:pPr>
              <w:pStyle w:val="TableBodyText"/>
            </w:pPr>
            <w:r>
              <w:t>sətir</w:t>
            </w:r>
          </w:p>
        </w:tc>
        <w:tc>
          <w:tcPr>
            <w:tcW w:w="0" w:type="auto"/>
            <w:vAlign w:val="center"/>
          </w:tcPr>
          <w:p w:rsidR="000A156F" w:rsidRDefault="00A9721F">
            <w:pPr>
              <w:pStyle w:val="TableBodyText"/>
            </w:pPr>
            <w:r>
              <w:t>Vərəq</w:t>
            </w:r>
          </w:p>
        </w:tc>
        <w:tc>
          <w:tcPr>
            <w:tcW w:w="0" w:type="auto"/>
            <w:vAlign w:val="center"/>
          </w:tcPr>
          <w:p w:rsidR="000A156F" w:rsidRDefault="00A9721F">
            <w:pPr>
              <w:pStyle w:val="TableBodyText"/>
            </w:pPr>
            <w:r>
              <w:t>tip</w:t>
            </w:r>
          </w:p>
        </w:tc>
        <w:tc>
          <w:tcPr>
            <w:tcW w:w="0" w:type="auto"/>
            <w:vAlign w:val="center"/>
          </w:tcPr>
          <w:p w:rsidR="000A156F" w:rsidRDefault="00A9721F">
            <w:pPr>
              <w:pStyle w:val="TableBodyText"/>
            </w:pPr>
            <w:r>
              <w:t>en</w:t>
            </w:r>
          </w:p>
        </w:tc>
      </w:tr>
      <w:tr w:rsidR="000A156F" w:rsidTr="000A156F">
        <w:tc>
          <w:tcPr>
            <w:tcW w:w="0" w:type="auto"/>
            <w:vAlign w:val="center"/>
          </w:tcPr>
          <w:p w:rsidR="000A156F" w:rsidRDefault="00A9721F">
            <w:pPr>
              <w:pStyle w:val="TableBodyText"/>
            </w:pPr>
            <w:r>
              <w:t>ca-es</w:t>
            </w:r>
          </w:p>
        </w:tc>
        <w:tc>
          <w:tcPr>
            <w:tcW w:w="0" w:type="auto"/>
            <w:vAlign w:val="center"/>
          </w:tcPr>
          <w:p w:rsidR="000A156F" w:rsidRDefault="00A9721F">
            <w:pPr>
              <w:pStyle w:val="TableBodyText"/>
            </w:pPr>
            <w:r>
              <w:t>parentesis</w:t>
            </w:r>
          </w:p>
        </w:tc>
        <w:tc>
          <w:tcPr>
            <w:tcW w:w="0" w:type="auto"/>
            <w:vAlign w:val="center"/>
          </w:tcPr>
          <w:p w:rsidR="000A156F" w:rsidRDefault="00A9721F">
            <w:pPr>
              <w:pStyle w:val="TableBodyText"/>
            </w:pPr>
            <w:r>
              <w:t>prefijo</w:t>
            </w:r>
          </w:p>
        </w:tc>
        <w:tc>
          <w:tcPr>
            <w:tcW w:w="0" w:type="auto"/>
            <w:vAlign w:val="center"/>
          </w:tcPr>
          <w:p w:rsidR="000A156F" w:rsidRDefault="00A9721F">
            <w:pPr>
              <w:pStyle w:val="TableBodyText"/>
            </w:pPr>
            <w:r>
              <w:t>proteger</w:t>
            </w:r>
          </w:p>
        </w:tc>
        <w:tc>
          <w:tcPr>
            <w:tcW w:w="0" w:type="auto"/>
            <w:vAlign w:val="center"/>
          </w:tcPr>
          <w:p w:rsidR="000A156F" w:rsidRDefault="00A9721F">
            <w:pPr>
              <w:pStyle w:val="TableBodyText"/>
            </w:pPr>
            <w:r>
              <w:t>fila</w:t>
            </w:r>
          </w:p>
        </w:tc>
        <w:tc>
          <w:tcPr>
            <w:tcW w:w="0" w:type="auto"/>
            <w:vAlign w:val="center"/>
          </w:tcPr>
          <w:p w:rsidR="000A156F" w:rsidRDefault="00A9721F">
            <w:pPr>
              <w:pStyle w:val="TableBodyText"/>
            </w:pPr>
            <w:r>
              <w:t>hoja</w:t>
            </w:r>
          </w:p>
        </w:tc>
        <w:tc>
          <w:tcPr>
            <w:tcW w:w="0" w:type="auto"/>
            <w:vAlign w:val="center"/>
          </w:tcPr>
          <w:p w:rsidR="000A156F" w:rsidRDefault="00A9721F">
            <w:pPr>
              <w:pStyle w:val="TableBodyText"/>
            </w:pPr>
            <w:r>
              <w:t>tipo</w:t>
            </w:r>
          </w:p>
        </w:tc>
        <w:tc>
          <w:tcPr>
            <w:tcW w:w="0" w:type="auto"/>
            <w:vAlign w:val="center"/>
          </w:tcPr>
          <w:p w:rsidR="000A156F" w:rsidRDefault="00A9721F">
            <w:pPr>
              <w:pStyle w:val="TableBodyText"/>
            </w:pPr>
            <w:r>
              <w:t>ancho</w:t>
            </w:r>
          </w:p>
        </w:tc>
      </w:tr>
      <w:tr w:rsidR="000A156F" w:rsidTr="000A156F">
        <w:tc>
          <w:tcPr>
            <w:tcW w:w="0" w:type="auto"/>
            <w:vAlign w:val="center"/>
          </w:tcPr>
          <w:p w:rsidR="000A156F" w:rsidRDefault="00A9721F">
            <w:pPr>
              <w:pStyle w:val="TableBodyText"/>
            </w:pPr>
            <w:r>
              <w:t>cs-cz</w:t>
            </w:r>
          </w:p>
        </w:tc>
        <w:tc>
          <w:tcPr>
            <w:tcW w:w="0" w:type="auto"/>
            <w:vAlign w:val="center"/>
          </w:tcPr>
          <w:p w:rsidR="000A156F" w:rsidRDefault="00A9721F">
            <w:pPr>
              <w:pStyle w:val="TableBodyText"/>
            </w:pPr>
            <w:r>
              <w:t>závorky</w:t>
            </w:r>
          </w:p>
        </w:tc>
        <w:tc>
          <w:tcPr>
            <w:tcW w:w="0" w:type="auto"/>
            <w:vAlign w:val="center"/>
          </w:tcPr>
          <w:p w:rsidR="000A156F" w:rsidRDefault="00A9721F">
            <w:pPr>
              <w:pStyle w:val="TableBodyText"/>
            </w:pPr>
            <w:r>
              <w:t>prefix</w:t>
            </w:r>
          </w:p>
        </w:tc>
        <w:tc>
          <w:tcPr>
            <w:tcW w:w="0" w:type="auto"/>
            <w:vAlign w:val="center"/>
          </w:tcPr>
          <w:p w:rsidR="000A156F" w:rsidRDefault="00A9721F">
            <w:pPr>
              <w:pStyle w:val="TableBodyText"/>
            </w:pPr>
            <w:r>
              <w:t>zámek</w:t>
            </w:r>
          </w:p>
        </w:tc>
        <w:tc>
          <w:tcPr>
            <w:tcW w:w="0" w:type="auto"/>
            <w:vAlign w:val="center"/>
          </w:tcPr>
          <w:p w:rsidR="000A156F" w:rsidRDefault="00A9721F">
            <w:pPr>
              <w:pStyle w:val="TableBodyText"/>
            </w:pPr>
            <w:r>
              <w:t>řádek</w:t>
            </w:r>
          </w:p>
        </w:tc>
        <w:tc>
          <w:tcPr>
            <w:tcW w:w="0" w:type="auto"/>
            <w:vAlign w:val="center"/>
          </w:tcPr>
          <w:p w:rsidR="000A156F" w:rsidRDefault="00A9721F">
            <w:pPr>
              <w:pStyle w:val="TableBodyText"/>
            </w:pPr>
            <w:r>
              <w:t>list</w:t>
            </w:r>
          </w:p>
        </w:tc>
        <w:tc>
          <w:tcPr>
            <w:tcW w:w="0" w:type="auto"/>
            <w:vAlign w:val="center"/>
          </w:tcPr>
          <w:p w:rsidR="000A156F" w:rsidRDefault="00A9721F">
            <w:pPr>
              <w:pStyle w:val="TableBodyText"/>
            </w:pPr>
            <w:r>
              <w:t>typ</w:t>
            </w:r>
          </w:p>
        </w:tc>
        <w:tc>
          <w:tcPr>
            <w:tcW w:w="0" w:type="auto"/>
            <w:vAlign w:val="center"/>
          </w:tcPr>
          <w:p w:rsidR="000A156F" w:rsidRDefault="00A9721F">
            <w:pPr>
              <w:pStyle w:val="TableBodyText"/>
            </w:pPr>
            <w:r>
              <w:t>šířka</w:t>
            </w:r>
          </w:p>
        </w:tc>
      </w:tr>
      <w:tr w:rsidR="000A156F" w:rsidTr="000A156F">
        <w:tc>
          <w:tcPr>
            <w:tcW w:w="0" w:type="auto"/>
            <w:vAlign w:val="center"/>
          </w:tcPr>
          <w:p w:rsidR="000A156F" w:rsidRDefault="00A9721F">
            <w:pPr>
              <w:pStyle w:val="TableBodyText"/>
            </w:pPr>
            <w:r>
              <w:t>da-dk</w:t>
            </w:r>
          </w:p>
        </w:tc>
        <w:tc>
          <w:tcPr>
            <w:tcW w:w="0" w:type="auto"/>
            <w:vAlign w:val="center"/>
          </w:tcPr>
          <w:p w:rsidR="000A156F" w:rsidRDefault="00A9721F">
            <w:pPr>
              <w:pStyle w:val="TableBodyText"/>
            </w:pPr>
            <w:r>
              <w:t>parenteser</w:t>
            </w:r>
          </w:p>
        </w:tc>
        <w:tc>
          <w:tcPr>
            <w:tcW w:w="0" w:type="auto"/>
            <w:vAlign w:val="center"/>
          </w:tcPr>
          <w:p w:rsidR="000A156F" w:rsidRDefault="00A9721F">
            <w:pPr>
              <w:pStyle w:val="TableBodyText"/>
            </w:pPr>
            <w:r>
              <w:t>foranstillet</w:t>
            </w:r>
          </w:p>
        </w:tc>
        <w:tc>
          <w:tcPr>
            <w:tcW w:w="0" w:type="auto"/>
            <w:vAlign w:val="center"/>
          </w:tcPr>
          <w:p w:rsidR="000A156F" w:rsidRDefault="00A9721F">
            <w:pPr>
              <w:pStyle w:val="TableBodyText"/>
            </w:pPr>
            <w:r>
              <w:t>beskyt</w:t>
            </w:r>
          </w:p>
        </w:tc>
        <w:tc>
          <w:tcPr>
            <w:tcW w:w="0" w:type="auto"/>
            <w:vAlign w:val="center"/>
          </w:tcPr>
          <w:p w:rsidR="000A156F" w:rsidRDefault="00A9721F">
            <w:pPr>
              <w:pStyle w:val="TableBodyText"/>
            </w:pPr>
            <w:r>
              <w:t>række</w:t>
            </w:r>
          </w:p>
        </w:tc>
        <w:tc>
          <w:tcPr>
            <w:tcW w:w="0" w:type="auto"/>
            <w:vAlign w:val="center"/>
          </w:tcPr>
          <w:p w:rsidR="000A156F" w:rsidRDefault="00A9721F">
            <w:pPr>
              <w:pStyle w:val="TableBodyText"/>
            </w:pPr>
            <w:r>
              <w:t>ark</w:t>
            </w:r>
          </w:p>
        </w:tc>
        <w:tc>
          <w:tcPr>
            <w:tcW w:w="0" w:type="auto"/>
            <w:vAlign w:val="center"/>
          </w:tcPr>
          <w:p w:rsidR="000A156F" w:rsidRDefault="00A9721F">
            <w:pPr>
              <w:pStyle w:val="TableBodyText"/>
            </w:pPr>
            <w:r>
              <w:t>værditype</w:t>
            </w:r>
          </w:p>
        </w:tc>
        <w:tc>
          <w:tcPr>
            <w:tcW w:w="0" w:type="auto"/>
            <w:vAlign w:val="center"/>
          </w:tcPr>
          <w:p w:rsidR="000A156F" w:rsidRDefault="00A9721F">
            <w:pPr>
              <w:pStyle w:val="TableBodyText"/>
            </w:pPr>
            <w:r>
              <w:t>bredde</w:t>
            </w:r>
          </w:p>
        </w:tc>
      </w:tr>
      <w:tr w:rsidR="000A156F" w:rsidTr="000A156F">
        <w:tc>
          <w:tcPr>
            <w:tcW w:w="0" w:type="auto"/>
            <w:vAlign w:val="center"/>
          </w:tcPr>
          <w:p w:rsidR="000A156F" w:rsidRDefault="00A9721F">
            <w:pPr>
              <w:pStyle w:val="TableBodyText"/>
            </w:pPr>
            <w:r>
              <w:lastRenderedPageBreak/>
              <w:t>de-de</w:t>
            </w:r>
          </w:p>
        </w:tc>
        <w:tc>
          <w:tcPr>
            <w:tcW w:w="0" w:type="auto"/>
            <w:vAlign w:val="center"/>
          </w:tcPr>
          <w:p w:rsidR="000A156F" w:rsidRDefault="00A9721F">
            <w:pPr>
              <w:pStyle w:val="TableBodyText"/>
            </w:pPr>
            <w:r>
              <w:t>klammern</w:t>
            </w:r>
          </w:p>
        </w:tc>
        <w:tc>
          <w:tcPr>
            <w:tcW w:w="0" w:type="auto"/>
            <w:vAlign w:val="center"/>
          </w:tcPr>
          <w:p w:rsidR="000A156F" w:rsidRDefault="00A9721F">
            <w:pPr>
              <w:pStyle w:val="TableBodyText"/>
            </w:pPr>
            <w:r>
              <w:t>präfix</w:t>
            </w:r>
          </w:p>
        </w:tc>
        <w:tc>
          <w:tcPr>
            <w:tcW w:w="0" w:type="auto"/>
            <w:vAlign w:val="center"/>
          </w:tcPr>
          <w:p w:rsidR="000A156F" w:rsidRDefault="00A9721F">
            <w:pPr>
              <w:pStyle w:val="TableBodyText"/>
            </w:pPr>
            <w:r>
              <w:t>schutz</w:t>
            </w:r>
          </w:p>
        </w:tc>
        <w:tc>
          <w:tcPr>
            <w:tcW w:w="0" w:type="auto"/>
            <w:vAlign w:val="center"/>
          </w:tcPr>
          <w:p w:rsidR="000A156F" w:rsidRDefault="00A9721F">
            <w:pPr>
              <w:pStyle w:val="TableBodyText"/>
            </w:pPr>
            <w:r>
              <w:t>zeile</w:t>
            </w:r>
          </w:p>
        </w:tc>
        <w:tc>
          <w:tcPr>
            <w:tcW w:w="0" w:type="auto"/>
            <w:vAlign w:val="center"/>
          </w:tcPr>
          <w:p w:rsidR="000A156F" w:rsidRDefault="00A9721F">
            <w:pPr>
              <w:pStyle w:val="TableBodyText"/>
            </w:pPr>
            <w:r>
              <w:t>blatt</w:t>
            </w:r>
          </w:p>
        </w:tc>
        <w:tc>
          <w:tcPr>
            <w:tcW w:w="0" w:type="auto"/>
            <w:vAlign w:val="center"/>
          </w:tcPr>
          <w:p w:rsidR="000A156F" w:rsidRDefault="00A9721F">
            <w:pPr>
              <w:pStyle w:val="TableBodyText"/>
            </w:pPr>
            <w:r>
              <w:t>typ</w:t>
            </w:r>
          </w:p>
        </w:tc>
        <w:tc>
          <w:tcPr>
            <w:tcW w:w="0" w:type="auto"/>
            <w:vAlign w:val="center"/>
          </w:tcPr>
          <w:p w:rsidR="000A156F" w:rsidRDefault="00A9721F">
            <w:pPr>
              <w:pStyle w:val="TableBodyText"/>
            </w:pPr>
            <w:r>
              <w:t>breite</w:t>
            </w:r>
          </w:p>
        </w:tc>
      </w:tr>
      <w:tr w:rsidR="000A156F" w:rsidTr="000A156F">
        <w:tc>
          <w:tcPr>
            <w:tcW w:w="0" w:type="auto"/>
            <w:vAlign w:val="center"/>
          </w:tcPr>
          <w:p w:rsidR="000A156F" w:rsidRDefault="00A9721F">
            <w:pPr>
              <w:pStyle w:val="TableBodyText"/>
            </w:pPr>
            <w:r>
              <w:t>es-es</w:t>
            </w:r>
          </w:p>
        </w:tc>
        <w:tc>
          <w:tcPr>
            <w:tcW w:w="0" w:type="auto"/>
            <w:vAlign w:val="center"/>
          </w:tcPr>
          <w:p w:rsidR="000A156F" w:rsidRDefault="00A9721F">
            <w:pPr>
              <w:pStyle w:val="TableBodyText"/>
            </w:pPr>
            <w:r>
              <w:t>parentesis</w:t>
            </w:r>
          </w:p>
        </w:tc>
        <w:tc>
          <w:tcPr>
            <w:tcW w:w="0" w:type="auto"/>
            <w:vAlign w:val="center"/>
          </w:tcPr>
          <w:p w:rsidR="000A156F" w:rsidRDefault="00A9721F">
            <w:pPr>
              <w:pStyle w:val="TableBodyText"/>
            </w:pPr>
            <w:r>
              <w:t>prefijo</w:t>
            </w:r>
          </w:p>
        </w:tc>
        <w:tc>
          <w:tcPr>
            <w:tcW w:w="0" w:type="auto"/>
            <w:vAlign w:val="center"/>
          </w:tcPr>
          <w:p w:rsidR="000A156F" w:rsidRDefault="00A9721F">
            <w:pPr>
              <w:pStyle w:val="TableBodyText"/>
            </w:pPr>
            <w:r>
              <w:t>proteger</w:t>
            </w:r>
          </w:p>
        </w:tc>
        <w:tc>
          <w:tcPr>
            <w:tcW w:w="0" w:type="auto"/>
            <w:vAlign w:val="center"/>
          </w:tcPr>
          <w:p w:rsidR="000A156F" w:rsidRDefault="00A9721F">
            <w:pPr>
              <w:pStyle w:val="TableBodyText"/>
            </w:pPr>
            <w:r>
              <w:t>fila</w:t>
            </w:r>
          </w:p>
        </w:tc>
        <w:tc>
          <w:tcPr>
            <w:tcW w:w="0" w:type="auto"/>
            <w:vAlign w:val="center"/>
          </w:tcPr>
          <w:p w:rsidR="000A156F" w:rsidRDefault="00A9721F">
            <w:pPr>
              <w:pStyle w:val="TableBodyText"/>
            </w:pPr>
            <w:r>
              <w:t>hoja</w:t>
            </w:r>
          </w:p>
        </w:tc>
        <w:tc>
          <w:tcPr>
            <w:tcW w:w="0" w:type="auto"/>
            <w:vAlign w:val="center"/>
          </w:tcPr>
          <w:p w:rsidR="000A156F" w:rsidRDefault="00A9721F">
            <w:pPr>
              <w:pStyle w:val="TableBodyText"/>
            </w:pPr>
            <w:r>
              <w:t>tipo</w:t>
            </w:r>
          </w:p>
        </w:tc>
        <w:tc>
          <w:tcPr>
            <w:tcW w:w="0" w:type="auto"/>
            <w:vAlign w:val="center"/>
          </w:tcPr>
          <w:p w:rsidR="000A156F" w:rsidRDefault="00A9721F">
            <w:pPr>
              <w:pStyle w:val="TableBodyText"/>
            </w:pPr>
            <w:r>
              <w:t>ancho</w:t>
            </w:r>
          </w:p>
        </w:tc>
      </w:tr>
      <w:tr w:rsidR="000A156F" w:rsidTr="000A156F">
        <w:tc>
          <w:tcPr>
            <w:tcW w:w="0" w:type="auto"/>
            <w:vAlign w:val="center"/>
          </w:tcPr>
          <w:p w:rsidR="000A156F" w:rsidRDefault="00A9721F">
            <w:pPr>
              <w:pStyle w:val="TableBodyText"/>
            </w:pPr>
            <w:r>
              <w:t>et-ee</w:t>
            </w:r>
          </w:p>
        </w:tc>
        <w:tc>
          <w:tcPr>
            <w:tcW w:w="0" w:type="auto"/>
            <w:vAlign w:val="center"/>
          </w:tcPr>
          <w:p w:rsidR="000A156F" w:rsidRDefault="00A9721F">
            <w:pPr>
              <w:pStyle w:val="TableBodyText"/>
            </w:pPr>
            <w:r>
              <w:t>sulud</w:t>
            </w:r>
          </w:p>
        </w:tc>
        <w:tc>
          <w:tcPr>
            <w:tcW w:w="0" w:type="auto"/>
            <w:vAlign w:val="center"/>
          </w:tcPr>
          <w:p w:rsidR="000A156F" w:rsidRDefault="00A9721F">
            <w:pPr>
              <w:pStyle w:val="TableBodyText"/>
            </w:pPr>
            <w:r>
              <w:t>eesliide</w:t>
            </w:r>
          </w:p>
        </w:tc>
        <w:tc>
          <w:tcPr>
            <w:tcW w:w="0" w:type="auto"/>
            <w:vAlign w:val="center"/>
          </w:tcPr>
          <w:p w:rsidR="000A156F" w:rsidRDefault="00A9721F">
            <w:pPr>
              <w:pStyle w:val="TableBodyText"/>
            </w:pPr>
            <w:r>
              <w:t>kaitse</w:t>
            </w:r>
          </w:p>
        </w:tc>
        <w:tc>
          <w:tcPr>
            <w:tcW w:w="0" w:type="auto"/>
            <w:vAlign w:val="center"/>
          </w:tcPr>
          <w:p w:rsidR="000A156F" w:rsidRDefault="00A9721F">
            <w:pPr>
              <w:pStyle w:val="TableBodyText"/>
            </w:pPr>
            <w:r>
              <w:t>rida</w:t>
            </w:r>
          </w:p>
        </w:tc>
        <w:tc>
          <w:tcPr>
            <w:tcW w:w="0" w:type="auto"/>
            <w:vAlign w:val="center"/>
          </w:tcPr>
          <w:p w:rsidR="000A156F" w:rsidRDefault="00A9721F">
            <w:pPr>
              <w:pStyle w:val="TableBodyText"/>
            </w:pPr>
            <w:r>
              <w:t>leht</w:t>
            </w:r>
          </w:p>
        </w:tc>
        <w:tc>
          <w:tcPr>
            <w:tcW w:w="0" w:type="auto"/>
            <w:vAlign w:val="center"/>
          </w:tcPr>
          <w:p w:rsidR="000A156F" w:rsidRDefault="00A9721F">
            <w:pPr>
              <w:pStyle w:val="TableBodyText"/>
            </w:pPr>
            <w:r>
              <w:t>tüüp</w:t>
            </w:r>
          </w:p>
        </w:tc>
        <w:tc>
          <w:tcPr>
            <w:tcW w:w="0" w:type="auto"/>
            <w:vAlign w:val="center"/>
          </w:tcPr>
          <w:p w:rsidR="000A156F" w:rsidRDefault="00A9721F">
            <w:pPr>
              <w:pStyle w:val="TableBodyText"/>
            </w:pPr>
            <w:r>
              <w:t>laius</w:t>
            </w:r>
          </w:p>
        </w:tc>
      </w:tr>
      <w:tr w:rsidR="000A156F" w:rsidTr="000A156F">
        <w:tc>
          <w:tcPr>
            <w:tcW w:w="0" w:type="auto"/>
            <w:vAlign w:val="center"/>
          </w:tcPr>
          <w:p w:rsidR="000A156F" w:rsidRDefault="00A9721F">
            <w:pPr>
              <w:pStyle w:val="TableBodyText"/>
            </w:pPr>
            <w:r>
              <w:t>fi-fi</w:t>
            </w:r>
          </w:p>
        </w:tc>
        <w:tc>
          <w:tcPr>
            <w:tcW w:w="0" w:type="auto"/>
            <w:vAlign w:val="center"/>
          </w:tcPr>
          <w:p w:rsidR="000A156F" w:rsidRDefault="00A9721F">
            <w:pPr>
              <w:pStyle w:val="TableBodyText"/>
            </w:pPr>
            <w:r>
              <w:t>sulkeet</w:t>
            </w:r>
          </w:p>
        </w:tc>
        <w:tc>
          <w:tcPr>
            <w:tcW w:w="0" w:type="auto"/>
            <w:vAlign w:val="center"/>
          </w:tcPr>
          <w:p w:rsidR="000A156F" w:rsidRDefault="00A9721F">
            <w:pPr>
              <w:pStyle w:val="TableBodyText"/>
            </w:pPr>
            <w:r>
              <w:t>etuliite</w:t>
            </w:r>
          </w:p>
        </w:tc>
        <w:tc>
          <w:tcPr>
            <w:tcW w:w="0" w:type="auto"/>
            <w:vAlign w:val="center"/>
          </w:tcPr>
          <w:p w:rsidR="000A156F" w:rsidRDefault="00A9721F">
            <w:pPr>
              <w:pStyle w:val="TableBodyText"/>
            </w:pPr>
            <w:r>
              <w:t>suojaus</w:t>
            </w:r>
          </w:p>
        </w:tc>
        <w:tc>
          <w:tcPr>
            <w:tcW w:w="0" w:type="auto"/>
            <w:vAlign w:val="center"/>
          </w:tcPr>
          <w:p w:rsidR="000A156F" w:rsidRDefault="00A9721F">
            <w:pPr>
              <w:pStyle w:val="TableBodyText"/>
            </w:pPr>
            <w:r>
              <w:t>rivi</w:t>
            </w:r>
          </w:p>
        </w:tc>
        <w:tc>
          <w:tcPr>
            <w:tcW w:w="0" w:type="auto"/>
            <w:vAlign w:val="center"/>
          </w:tcPr>
          <w:p w:rsidR="000A156F" w:rsidRDefault="00A9721F">
            <w:pPr>
              <w:pStyle w:val="TableBodyText"/>
            </w:pPr>
            <w:r>
              <w:t>taulukko</w:t>
            </w:r>
          </w:p>
        </w:tc>
        <w:tc>
          <w:tcPr>
            <w:tcW w:w="0" w:type="auto"/>
            <w:vAlign w:val="center"/>
          </w:tcPr>
          <w:p w:rsidR="000A156F" w:rsidRDefault="00A9721F">
            <w:pPr>
              <w:pStyle w:val="TableBodyText"/>
            </w:pPr>
            <w:r>
              <w:t>tyyppi</w:t>
            </w:r>
          </w:p>
        </w:tc>
        <w:tc>
          <w:tcPr>
            <w:tcW w:w="0" w:type="auto"/>
            <w:vAlign w:val="center"/>
          </w:tcPr>
          <w:p w:rsidR="000A156F" w:rsidRDefault="00A9721F">
            <w:pPr>
              <w:pStyle w:val="TableBodyText"/>
            </w:pPr>
            <w:r>
              <w:t>leveys</w:t>
            </w:r>
          </w:p>
        </w:tc>
      </w:tr>
      <w:tr w:rsidR="000A156F" w:rsidTr="000A156F">
        <w:tc>
          <w:tcPr>
            <w:tcW w:w="0" w:type="auto"/>
            <w:vAlign w:val="center"/>
          </w:tcPr>
          <w:p w:rsidR="000A156F" w:rsidRDefault="00A9721F">
            <w:pPr>
              <w:pStyle w:val="TableBodyText"/>
            </w:pPr>
            <w:r>
              <w:t>fr-fr</w:t>
            </w:r>
          </w:p>
        </w:tc>
        <w:tc>
          <w:tcPr>
            <w:tcW w:w="0" w:type="auto"/>
            <w:vAlign w:val="center"/>
          </w:tcPr>
          <w:p w:rsidR="000A156F" w:rsidRDefault="00A9721F">
            <w:pPr>
              <w:pStyle w:val="TableBodyText"/>
            </w:pPr>
            <w:r>
              <w:t>parentheses</w:t>
            </w:r>
          </w:p>
        </w:tc>
        <w:tc>
          <w:tcPr>
            <w:tcW w:w="0" w:type="auto"/>
            <w:vAlign w:val="center"/>
          </w:tcPr>
          <w:p w:rsidR="000A156F" w:rsidRDefault="00A9721F">
            <w:pPr>
              <w:pStyle w:val="TableBodyText"/>
            </w:pPr>
            <w:r>
              <w:t>prefixe</w:t>
            </w:r>
          </w:p>
        </w:tc>
        <w:tc>
          <w:tcPr>
            <w:tcW w:w="0" w:type="auto"/>
            <w:vAlign w:val="center"/>
          </w:tcPr>
          <w:p w:rsidR="000A156F" w:rsidRDefault="00A9721F">
            <w:pPr>
              <w:pStyle w:val="TableBodyText"/>
            </w:pPr>
            <w:r>
              <w:t>protege</w:t>
            </w:r>
          </w:p>
        </w:tc>
        <w:tc>
          <w:tcPr>
            <w:tcW w:w="0" w:type="auto"/>
            <w:vAlign w:val="center"/>
          </w:tcPr>
          <w:p w:rsidR="000A156F" w:rsidRDefault="00A9721F">
            <w:pPr>
              <w:pStyle w:val="TableBodyText"/>
            </w:pPr>
            <w:r>
              <w:t>ligne</w:t>
            </w:r>
          </w:p>
        </w:tc>
        <w:tc>
          <w:tcPr>
            <w:tcW w:w="0" w:type="auto"/>
            <w:vAlign w:val="center"/>
          </w:tcPr>
          <w:p w:rsidR="000A156F" w:rsidRDefault="00A9721F">
            <w:pPr>
              <w:pStyle w:val="TableBodyText"/>
            </w:pPr>
            <w:r>
              <w:t>feuille</w:t>
            </w:r>
          </w:p>
        </w:tc>
        <w:tc>
          <w:tcPr>
            <w:tcW w:w="0" w:type="auto"/>
            <w:vAlign w:val="center"/>
          </w:tcPr>
          <w:p w:rsidR="000A156F" w:rsidRDefault="00A9721F">
            <w:pPr>
              <w:pStyle w:val="TableBodyText"/>
            </w:pPr>
            <w:r>
              <w:t>type</w:t>
            </w:r>
          </w:p>
        </w:tc>
        <w:tc>
          <w:tcPr>
            <w:tcW w:w="0" w:type="auto"/>
            <w:vAlign w:val="center"/>
          </w:tcPr>
          <w:p w:rsidR="000A156F" w:rsidRDefault="00A9721F">
            <w:pPr>
              <w:pStyle w:val="TableBodyText"/>
            </w:pPr>
            <w:r>
              <w:t>largeur</w:t>
            </w:r>
          </w:p>
        </w:tc>
      </w:tr>
      <w:tr w:rsidR="000A156F" w:rsidTr="000A156F">
        <w:tc>
          <w:tcPr>
            <w:tcW w:w="0" w:type="auto"/>
            <w:vAlign w:val="center"/>
          </w:tcPr>
          <w:p w:rsidR="000A156F" w:rsidRDefault="00A9721F">
            <w:pPr>
              <w:pStyle w:val="TableBodyText"/>
            </w:pPr>
            <w:r>
              <w:t>hu-hu</w:t>
            </w:r>
          </w:p>
        </w:tc>
        <w:tc>
          <w:tcPr>
            <w:tcW w:w="0" w:type="auto"/>
            <w:vAlign w:val="center"/>
          </w:tcPr>
          <w:p w:rsidR="000A156F" w:rsidRDefault="00A9721F">
            <w:pPr>
              <w:pStyle w:val="TableBodyText"/>
            </w:pPr>
            <w:r>
              <w:t>zárójelek</w:t>
            </w:r>
          </w:p>
        </w:tc>
        <w:tc>
          <w:tcPr>
            <w:tcW w:w="0" w:type="auto"/>
            <w:vAlign w:val="center"/>
          </w:tcPr>
          <w:p w:rsidR="000A156F" w:rsidRDefault="00A9721F">
            <w:pPr>
              <w:pStyle w:val="TableBodyText"/>
            </w:pPr>
            <w:r>
              <w:t>előtag</w:t>
            </w:r>
          </w:p>
        </w:tc>
        <w:tc>
          <w:tcPr>
            <w:tcW w:w="0" w:type="auto"/>
            <w:vAlign w:val="center"/>
          </w:tcPr>
          <w:p w:rsidR="000A156F" w:rsidRDefault="00A9721F">
            <w:pPr>
              <w:pStyle w:val="TableBodyText"/>
            </w:pPr>
            <w:r>
              <w:t>védett</w:t>
            </w:r>
          </w:p>
        </w:tc>
        <w:tc>
          <w:tcPr>
            <w:tcW w:w="0" w:type="auto"/>
            <w:vAlign w:val="center"/>
          </w:tcPr>
          <w:p w:rsidR="000A156F" w:rsidRDefault="00A9721F">
            <w:pPr>
              <w:pStyle w:val="TableBodyText"/>
            </w:pPr>
            <w:r>
              <w:t>sor</w:t>
            </w:r>
          </w:p>
        </w:tc>
        <w:tc>
          <w:tcPr>
            <w:tcW w:w="0" w:type="auto"/>
            <w:vAlign w:val="center"/>
          </w:tcPr>
          <w:p w:rsidR="000A156F" w:rsidRDefault="00A9721F">
            <w:pPr>
              <w:pStyle w:val="TableBodyText"/>
            </w:pPr>
            <w:r>
              <w:t>lap</w:t>
            </w:r>
          </w:p>
        </w:tc>
        <w:tc>
          <w:tcPr>
            <w:tcW w:w="0" w:type="auto"/>
            <w:vAlign w:val="center"/>
          </w:tcPr>
          <w:p w:rsidR="000A156F" w:rsidRDefault="00A9721F">
            <w:pPr>
              <w:pStyle w:val="TableBodyText"/>
            </w:pPr>
            <w:r>
              <w:t>típus</w:t>
            </w:r>
          </w:p>
        </w:tc>
        <w:tc>
          <w:tcPr>
            <w:tcW w:w="0" w:type="auto"/>
            <w:vAlign w:val="center"/>
          </w:tcPr>
          <w:p w:rsidR="000A156F" w:rsidRDefault="00A9721F">
            <w:pPr>
              <w:pStyle w:val="TableBodyText"/>
            </w:pPr>
            <w:r>
              <w:t>széles</w:t>
            </w:r>
          </w:p>
        </w:tc>
      </w:tr>
      <w:tr w:rsidR="000A156F" w:rsidTr="000A156F">
        <w:tc>
          <w:tcPr>
            <w:tcW w:w="0" w:type="auto"/>
            <w:vAlign w:val="center"/>
          </w:tcPr>
          <w:p w:rsidR="000A156F" w:rsidRDefault="00A9721F">
            <w:pPr>
              <w:pStyle w:val="TableBodyText"/>
            </w:pPr>
            <w:r>
              <w:t>it-it</w:t>
            </w:r>
          </w:p>
        </w:tc>
        <w:tc>
          <w:tcPr>
            <w:tcW w:w="0" w:type="auto"/>
            <w:vAlign w:val="center"/>
          </w:tcPr>
          <w:p w:rsidR="000A156F" w:rsidRDefault="00A9721F">
            <w:pPr>
              <w:pStyle w:val="TableBodyText"/>
            </w:pPr>
            <w:r>
              <w:t>parentesi</w:t>
            </w:r>
          </w:p>
        </w:tc>
        <w:tc>
          <w:tcPr>
            <w:tcW w:w="0" w:type="auto"/>
            <w:vAlign w:val="center"/>
          </w:tcPr>
          <w:p w:rsidR="000A156F" w:rsidRDefault="00A9721F">
            <w:pPr>
              <w:pStyle w:val="TableBodyText"/>
            </w:pPr>
            <w:r>
              <w:t>prefisso</w:t>
            </w:r>
          </w:p>
        </w:tc>
        <w:tc>
          <w:tcPr>
            <w:tcW w:w="0" w:type="auto"/>
            <w:vAlign w:val="center"/>
          </w:tcPr>
          <w:p w:rsidR="000A156F" w:rsidRDefault="00A9721F">
            <w:pPr>
              <w:pStyle w:val="TableBodyText"/>
            </w:pPr>
            <w:r>
              <w:t>proteggi</w:t>
            </w:r>
          </w:p>
        </w:tc>
        <w:tc>
          <w:tcPr>
            <w:tcW w:w="0" w:type="auto"/>
            <w:vAlign w:val="center"/>
          </w:tcPr>
          <w:p w:rsidR="000A156F" w:rsidRDefault="00A9721F">
            <w:pPr>
              <w:pStyle w:val="TableBodyText"/>
            </w:pPr>
            <w:r>
              <w:t>riga</w:t>
            </w:r>
          </w:p>
        </w:tc>
        <w:tc>
          <w:tcPr>
            <w:tcW w:w="0" w:type="auto"/>
            <w:vAlign w:val="center"/>
          </w:tcPr>
          <w:p w:rsidR="000A156F" w:rsidRDefault="00A9721F">
            <w:pPr>
              <w:pStyle w:val="TableBodyText"/>
            </w:pPr>
            <w:r>
              <w:t>foglio</w:t>
            </w:r>
          </w:p>
        </w:tc>
        <w:tc>
          <w:tcPr>
            <w:tcW w:w="0" w:type="auto"/>
            <w:vAlign w:val="center"/>
          </w:tcPr>
          <w:p w:rsidR="000A156F" w:rsidRDefault="00A9721F">
            <w:pPr>
              <w:pStyle w:val="TableBodyText"/>
            </w:pPr>
            <w:r>
              <w:t>tipo</w:t>
            </w:r>
          </w:p>
        </w:tc>
        <w:tc>
          <w:tcPr>
            <w:tcW w:w="0" w:type="auto"/>
            <w:vAlign w:val="center"/>
          </w:tcPr>
          <w:p w:rsidR="000A156F" w:rsidRDefault="00A9721F">
            <w:pPr>
              <w:pStyle w:val="TableBodyText"/>
            </w:pPr>
            <w:r>
              <w:t>larghezza</w:t>
            </w:r>
          </w:p>
        </w:tc>
      </w:tr>
      <w:tr w:rsidR="000A156F" w:rsidTr="000A156F">
        <w:tc>
          <w:tcPr>
            <w:tcW w:w="0" w:type="auto"/>
            <w:vAlign w:val="center"/>
          </w:tcPr>
          <w:p w:rsidR="000A156F" w:rsidRDefault="00A9721F">
            <w:pPr>
              <w:pStyle w:val="TableBodyText"/>
            </w:pPr>
            <w:r>
              <w:t>kk-kz</w:t>
            </w:r>
          </w:p>
        </w:tc>
        <w:tc>
          <w:tcPr>
            <w:tcW w:w="0" w:type="auto"/>
            <w:vAlign w:val="center"/>
          </w:tcPr>
          <w:p w:rsidR="000A156F" w:rsidRDefault="00A9721F">
            <w:pPr>
              <w:pStyle w:val="TableBodyText"/>
            </w:pPr>
            <w:r>
              <w:t>жақшалар</w:t>
            </w:r>
          </w:p>
        </w:tc>
        <w:tc>
          <w:tcPr>
            <w:tcW w:w="0" w:type="auto"/>
            <w:vAlign w:val="center"/>
          </w:tcPr>
          <w:p w:rsidR="000A156F" w:rsidRDefault="00A9721F">
            <w:pPr>
              <w:pStyle w:val="TableBodyText"/>
            </w:pPr>
            <w:r>
              <w:t>префикс</w:t>
            </w:r>
          </w:p>
        </w:tc>
        <w:tc>
          <w:tcPr>
            <w:tcW w:w="0" w:type="auto"/>
            <w:vAlign w:val="center"/>
          </w:tcPr>
          <w:p w:rsidR="000A156F" w:rsidRDefault="00A9721F">
            <w:pPr>
              <w:pStyle w:val="TableBodyText"/>
            </w:pPr>
            <w:r>
              <w:t>қорғаныс</w:t>
            </w:r>
          </w:p>
        </w:tc>
        <w:tc>
          <w:tcPr>
            <w:tcW w:w="0" w:type="auto"/>
            <w:vAlign w:val="center"/>
          </w:tcPr>
          <w:p w:rsidR="000A156F" w:rsidRDefault="00A9721F">
            <w:pPr>
              <w:pStyle w:val="TableBodyText"/>
            </w:pPr>
            <w:r>
              <w:t>жол</w:t>
            </w:r>
          </w:p>
        </w:tc>
        <w:tc>
          <w:tcPr>
            <w:tcW w:w="0" w:type="auto"/>
            <w:vAlign w:val="center"/>
          </w:tcPr>
          <w:p w:rsidR="000A156F" w:rsidRDefault="00A9721F">
            <w:pPr>
              <w:pStyle w:val="TableBodyText"/>
            </w:pPr>
            <w:r>
              <w:t>ПАРАҚ</w:t>
            </w:r>
          </w:p>
          <w:p w:rsidR="000A156F" w:rsidRDefault="000A156F">
            <w:pPr>
              <w:pStyle w:val="TableBodyText"/>
            </w:pPr>
          </w:p>
        </w:tc>
        <w:tc>
          <w:tcPr>
            <w:tcW w:w="0" w:type="auto"/>
            <w:vAlign w:val="center"/>
          </w:tcPr>
          <w:p w:rsidR="000A156F" w:rsidRDefault="00A9721F">
            <w:pPr>
              <w:pStyle w:val="TableBodyText"/>
            </w:pPr>
            <w:r>
              <w:t>түр</w:t>
            </w:r>
          </w:p>
        </w:tc>
        <w:tc>
          <w:tcPr>
            <w:tcW w:w="0" w:type="auto"/>
            <w:vAlign w:val="center"/>
          </w:tcPr>
          <w:p w:rsidR="000A156F" w:rsidRDefault="00A9721F">
            <w:pPr>
              <w:pStyle w:val="TableBodyText"/>
            </w:pPr>
            <w:r>
              <w:t>ені</w:t>
            </w:r>
          </w:p>
        </w:tc>
      </w:tr>
      <w:tr w:rsidR="000A156F" w:rsidTr="000A156F">
        <w:tc>
          <w:tcPr>
            <w:tcW w:w="0" w:type="auto"/>
            <w:vAlign w:val="center"/>
          </w:tcPr>
          <w:p w:rsidR="000A156F" w:rsidRDefault="00A9721F">
            <w:pPr>
              <w:pStyle w:val="TableBodyText"/>
            </w:pPr>
            <w:r>
              <w:t>lv-lv</w:t>
            </w:r>
          </w:p>
        </w:tc>
        <w:tc>
          <w:tcPr>
            <w:tcW w:w="0" w:type="auto"/>
            <w:vAlign w:val="center"/>
          </w:tcPr>
          <w:p w:rsidR="000A156F" w:rsidRDefault="00A9721F">
            <w:pPr>
              <w:pStyle w:val="TableBodyText"/>
            </w:pPr>
            <w:r>
              <w:t>iekavas</w:t>
            </w:r>
          </w:p>
        </w:tc>
        <w:tc>
          <w:tcPr>
            <w:tcW w:w="0" w:type="auto"/>
            <w:vAlign w:val="center"/>
          </w:tcPr>
          <w:p w:rsidR="000A156F" w:rsidRDefault="00A9721F">
            <w:pPr>
              <w:pStyle w:val="TableBodyText"/>
            </w:pPr>
            <w:r>
              <w:t>prefikss</w:t>
            </w:r>
          </w:p>
        </w:tc>
        <w:tc>
          <w:tcPr>
            <w:tcW w:w="0" w:type="auto"/>
            <w:vAlign w:val="center"/>
          </w:tcPr>
          <w:p w:rsidR="000A156F" w:rsidRDefault="00A9721F">
            <w:pPr>
              <w:pStyle w:val="TableBodyText"/>
            </w:pPr>
            <w:r>
              <w:t>aizsargāt</w:t>
            </w:r>
          </w:p>
        </w:tc>
        <w:tc>
          <w:tcPr>
            <w:tcW w:w="0" w:type="auto"/>
            <w:vAlign w:val="center"/>
          </w:tcPr>
          <w:p w:rsidR="000A156F" w:rsidRDefault="00A9721F">
            <w:pPr>
              <w:pStyle w:val="TableBodyText"/>
            </w:pPr>
            <w:r>
              <w:t>rinda</w:t>
            </w:r>
          </w:p>
        </w:tc>
        <w:tc>
          <w:tcPr>
            <w:tcW w:w="0" w:type="auto"/>
            <w:vAlign w:val="center"/>
          </w:tcPr>
          <w:p w:rsidR="000A156F" w:rsidRDefault="00A9721F">
            <w:pPr>
              <w:pStyle w:val="TableBodyText"/>
            </w:pPr>
            <w:r>
              <w:t>lapa</w:t>
            </w:r>
          </w:p>
        </w:tc>
        <w:tc>
          <w:tcPr>
            <w:tcW w:w="0" w:type="auto"/>
            <w:vAlign w:val="center"/>
          </w:tcPr>
          <w:p w:rsidR="000A156F" w:rsidRDefault="00A9721F">
            <w:pPr>
              <w:pStyle w:val="TableBodyText"/>
            </w:pPr>
            <w:r>
              <w:t>tips</w:t>
            </w:r>
          </w:p>
        </w:tc>
        <w:tc>
          <w:tcPr>
            <w:tcW w:w="0" w:type="auto"/>
            <w:vAlign w:val="center"/>
          </w:tcPr>
          <w:p w:rsidR="000A156F" w:rsidRDefault="00A9721F">
            <w:pPr>
              <w:pStyle w:val="TableBodyText"/>
            </w:pPr>
            <w:r>
              <w:t>platums</w:t>
            </w:r>
          </w:p>
        </w:tc>
      </w:tr>
      <w:tr w:rsidR="000A156F" w:rsidTr="000A156F">
        <w:tc>
          <w:tcPr>
            <w:tcW w:w="0" w:type="auto"/>
            <w:vAlign w:val="center"/>
          </w:tcPr>
          <w:p w:rsidR="000A156F" w:rsidRDefault="00A9721F">
            <w:pPr>
              <w:pStyle w:val="TableBodyText"/>
            </w:pPr>
            <w:r>
              <w:t>nb-no</w:t>
            </w:r>
          </w:p>
        </w:tc>
        <w:tc>
          <w:tcPr>
            <w:tcW w:w="0" w:type="auto"/>
            <w:vAlign w:val="center"/>
          </w:tcPr>
          <w:p w:rsidR="000A156F" w:rsidRDefault="00A9721F">
            <w:pPr>
              <w:pStyle w:val="TableBodyText"/>
            </w:pPr>
            <w:r>
              <w:t>parenteser</w:t>
            </w:r>
          </w:p>
        </w:tc>
        <w:tc>
          <w:tcPr>
            <w:tcW w:w="0" w:type="auto"/>
            <w:vAlign w:val="center"/>
          </w:tcPr>
          <w:p w:rsidR="000A156F" w:rsidRDefault="00A9721F">
            <w:pPr>
              <w:pStyle w:val="TableBodyText"/>
            </w:pPr>
            <w:r>
              <w:t>prefiks</w:t>
            </w:r>
          </w:p>
        </w:tc>
        <w:tc>
          <w:tcPr>
            <w:tcW w:w="0" w:type="auto"/>
            <w:vAlign w:val="center"/>
          </w:tcPr>
          <w:p w:rsidR="000A156F" w:rsidRDefault="00A9721F">
            <w:pPr>
              <w:pStyle w:val="TableBodyText"/>
            </w:pPr>
            <w:r>
              <w:t>beskytt</w:t>
            </w:r>
          </w:p>
        </w:tc>
        <w:tc>
          <w:tcPr>
            <w:tcW w:w="0" w:type="auto"/>
            <w:vAlign w:val="center"/>
          </w:tcPr>
          <w:p w:rsidR="000A156F" w:rsidRDefault="00A9721F">
            <w:pPr>
              <w:pStyle w:val="TableBodyText"/>
            </w:pPr>
            <w:r>
              <w:t>rad</w:t>
            </w:r>
          </w:p>
        </w:tc>
        <w:tc>
          <w:tcPr>
            <w:tcW w:w="0" w:type="auto"/>
            <w:vAlign w:val="center"/>
          </w:tcPr>
          <w:p w:rsidR="000A156F" w:rsidRDefault="00A9721F">
            <w:pPr>
              <w:pStyle w:val="TableBodyText"/>
            </w:pPr>
            <w:r>
              <w:t>ark</w:t>
            </w:r>
          </w:p>
        </w:tc>
        <w:tc>
          <w:tcPr>
            <w:tcW w:w="0" w:type="auto"/>
            <w:vAlign w:val="center"/>
          </w:tcPr>
          <w:p w:rsidR="000A156F" w:rsidRDefault="00A9721F">
            <w:pPr>
              <w:pStyle w:val="TableBodyText"/>
            </w:pPr>
            <w:r>
              <w:t>verditype</w:t>
            </w:r>
          </w:p>
        </w:tc>
        <w:tc>
          <w:tcPr>
            <w:tcW w:w="0" w:type="auto"/>
            <w:vAlign w:val="center"/>
          </w:tcPr>
          <w:p w:rsidR="000A156F" w:rsidRDefault="00A9721F">
            <w:pPr>
              <w:pStyle w:val="TableBodyText"/>
            </w:pPr>
            <w:r>
              <w:t>bredde</w:t>
            </w:r>
          </w:p>
        </w:tc>
      </w:tr>
      <w:tr w:rsidR="000A156F" w:rsidTr="000A156F">
        <w:tc>
          <w:tcPr>
            <w:tcW w:w="0" w:type="auto"/>
            <w:vAlign w:val="center"/>
          </w:tcPr>
          <w:p w:rsidR="000A156F" w:rsidRDefault="00A9721F">
            <w:pPr>
              <w:pStyle w:val="TableBodyText"/>
            </w:pPr>
            <w:r>
              <w:t>nl-nl</w:t>
            </w:r>
          </w:p>
        </w:tc>
        <w:tc>
          <w:tcPr>
            <w:tcW w:w="0" w:type="auto"/>
            <w:vAlign w:val="center"/>
          </w:tcPr>
          <w:p w:rsidR="000A156F" w:rsidRDefault="00A9721F">
            <w:pPr>
              <w:pStyle w:val="TableBodyText"/>
            </w:pPr>
            <w:r>
              <w:t>haakjes</w:t>
            </w:r>
          </w:p>
        </w:tc>
        <w:tc>
          <w:tcPr>
            <w:tcW w:w="0" w:type="auto"/>
            <w:vAlign w:val="center"/>
          </w:tcPr>
          <w:p w:rsidR="000A156F" w:rsidRDefault="00A9721F">
            <w:pPr>
              <w:pStyle w:val="TableBodyText"/>
            </w:pPr>
            <w:r>
              <w:t>voorvoegsel</w:t>
            </w:r>
          </w:p>
        </w:tc>
        <w:tc>
          <w:tcPr>
            <w:tcW w:w="0" w:type="auto"/>
            <w:vAlign w:val="center"/>
          </w:tcPr>
          <w:p w:rsidR="000A156F" w:rsidRDefault="00A9721F">
            <w:pPr>
              <w:pStyle w:val="TableBodyText"/>
            </w:pPr>
            <w:r>
              <w:t>bescherming</w:t>
            </w:r>
          </w:p>
        </w:tc>
        <w:tc>
          <w:tcPr>
            <w:tcW w:w="0" w:type="auto"/>
            <w:vAlign w:val="center"/>
          </w:tcPr>
          <w:p w:rsidR="000A156F" w:rsidRDefault="00A9721F">
            <w:pPr>
              <w:pStyle w:val="TableBodyText"/>
            </w:pPr>
            <w:r>
              <w:t>rij</w:t>
            </w:r>
          </w:p>
        </w:tc>
        <w:tc>
          <w:tcPr>
            <w:tcW w:w="0" w:type="auto"/>
            <w:vAlign w:val="center"/>
          </w:tcPr>
          <w:p w:rsidR="000A156F" w:rsidRDefault="00A9721F">
            <w:pPr>
              <w:pStyle w:val="TableBodyText"/>
            </w:pPr>
            <w:r>
              <w:t>blad</w:t>
            </w:r>
          </w:p>
        </w:tc>
        <w:tc>
          <w:tcPr>
            <w:tcW w:w="0" w:type="auto"/>
            <w:vAlign w:val="center"/>
          </w:tcPr>
          <w:p w:rsidR="000A156F" w:rsidRDefault="00A9721F">
            <w:pPr>
              <w:pStyle w:val="TableBodyText"/>
            </w:pPr>
            <w:r>
              <w:t>type</w:t>
            </w:r>
          </w:p>
        </w:tc>
        <w:tc>
          <w:tcPr>
            <w:tcW w:w="0" w:type="auto"/>
            <w:vAlign w:val="center"/>
          </w:tcPr>
          <w:p w:rsidR="000A156F" w:rsidRDefault="00A9721F">
            <w:pPr>
              <w:pStyle w:val="TableBodyText"/>
            </w:pPr>
            <w:r>
              <w:t>breedte</w:t>
            </w:r>
          </w:p>
        </w:tc>
      </w:tr>
      <w:tr w:rsidR="000A156F" w:rsidTr="000A156F">
        <w:tc>
          <w:tcPr>
            <w:tcW w:w="0" w:type="auto"/>
            <w:vAlign w:val="center"/>
          </w:tcPr>
          <w:p w:rsidR="000A156F" w:rsidRDefault="00A9721F">
            <w:pPr>
              <w:pStyle w:val="TableBodyText"/>
            </w:pPr>
            <w:r>
              <w:t>pl-pl</w:t>
            </w:r>
          </w:p>
        </w:tc>
        <w:tc>
          <w:tcPr>
            <w:tcW w:w="0" w:type="auto"/>
            <w:vAlign w:val="center"/>
          </w:tcPr>
          <w:p w:rsidR="000A156F" w:rsidRDefault="00A9721F">
            <w:pPr>
              <w:pStyle w:val="TableBodyText"/>
            </w:pPr>
            <w:r>
              <w:t>nawiasy</w:t>
            </w:r>
          </w:p>
        </w:tc>
        <w:tc>
          <w:tcPr>
            <w:tcW w:w="0" w:type="auto"/>
            <w:vAlign w:val="center"/>
          </w:tcPr>
          <w:p w:rsidR="000A156F" w:rsidRDefault="00A9721F">
            <w:pPr>
              <w:pStyle w:val="TableBodyText"/>
            </w:pPr>
            <w:r>
              <w:t>prefiks</w:t>
            </w:r>
          </w:p>
        </w:tc>
        <w:tc>
          <w:tcPr>
            <w:tcW w:w="0" w:type="auto"/>
            <w:vAlign w:val="center"/>
          </w:tcPr>
          <w:p w:rsidR="000A156F" w:rsidRDefault="00A9721F">
            <w:pPr>
              <w:pStyle w:val="TableBodyText"/>
            </w:pPr>
            <w:r>
              <w:t>ochrona</w:t>
            </w:r>
          </w:p>
        </w:tc>
        <w:tc>
          <w:tcPr>
            <w:tcW w:w="0" w:type="auto"/>
            <w:vAlign w:val="center"/>
          </w:tcPr>
          <w:p w:rsidR="000A156F" w:rsidRDefault="00A9721F">
            <w:pPr>
              <w:pStyle w:val="TableBodyText"/>
            </w:pPr>
            <w:r>
              <w:t>wiersz</w:t>
            </w:r>
          </w:p>
        </w:tc>
        <w:tc>
          <w:tcPr>
            <w:tcW w:w="0" w:type="auto"/>
            <w:vAlign w:val="center"/>
          </w:tcPr>
          <w:p w:rsidR="000A156F" w:rsidRDefault="00A9721F">
            <w:pPr>
              <w:pStyle w:val="TableBodyText"/>
            </w:pPr>
            <w:r>
              <w:t>arkusz</w:t>
            </w:r>
          </w:p>
        </w:tc>
        <w:tc>
          <w:tcPr>
            <w:tcW w:w="0" w:type="auto"/>
            <w:vAlign w:val="center"/>
          </w:tcPr>
          <w:p w:rsidR="000A156F" w:rsidRDefault="00A9721F">
            <w:pPr>
              <w:pStyle w:val="TableBodyText"/>
            </w:pPr>
            <w:r>
              <w:t>typ</w:t>
            </w:r>
          </w:p>
        </w:tc>
        <w:tc>
          <w:tcPr>
            <w:tcW w:w="0" w:type="auto"/>
            <w:vAlign w:val="center"/>
          </w:tcPr>
          <w:p w:rsidR="000A156F" w:rsidRDefault="00A9721F">
            <w:pPr>
              <w:pStyle w:val="TableBodyText"/>
            </w:pPr>
            <w:r>
              <w:t>szerokość</w:t>
            </w:r>
          </w:p>
        </w:tc>
      </w:tr>
      <w:tr w:rsidR="000A156F" w:rsidTr="000A156F">
        <w:tc>
          <w:tcPr>
            <w:tcW w:w="0" w:type="auto"/>
            <w:vAlign w:val="center"/>
          </w:tcPr>
          <w:p w:rsidR="000A156F" w:rsidRDefault="00A9721F">
            <w:pPr>
              <w:pStyle w:val="TableBodyText"/>
            </w:pPr>
            <w:r>
              <w:t>pt-br</w:t>
            </w:r>
          </w:p>
        </w:tc>
        <w:tc>
          <w:tcPr>
            <w:tcW w:w="0" w:type="auto"/>
            <w:vAlign w:val="center"/>
          </w:tcPr>
          <w:p w:rsidR="000A156F" w:rsidRDefault="00A9721F">
            <w:pPr>
              <w:pStyle w:val="TableBodyText"/>
            </w:pPr>
            <w:r>
              <w:t>parênteses</w:t>
            </w:r>
          </w:p>
        </w:tc>
        <w:tc>
          <w:tcPr>
            <w:tcW w:w="0" w:type="auto"/>
            <w:vAlign w:val="center"/>
          </w:tcPr>
          <w:p w:rsidR="000A156F" w:rsidRDefault="00A9721F">
            <w:pPr>
              <w:pStyle w:val="TableBodyText"/>
            </w:pPr>
            <w:r>
              <w:t>prefixo</w:t>
            </w:r>
          </w:p>
        </w:tc>
        <w:tc>
          <w:tcPr>
            <w:tcW w:w="0" w:type="auto"/>
            <w:vAlign w:val="center"/>
          </w:tcPr>
          <w:p w:rsidR="000A156F" w:rsidRDefault="00A9721F">
            <w:pPr>
              <w:pStyle w:val="TableBodyText"/>
            </w:pPr>
            <w:r>
              <w:t>proteger</w:t>
            </w:r>
          </w:p>
        </w:tc>
        <w:tc>
          <w:tcPr>
            <w:tcW w:w="0" w:type="auto"/>
            <w:vAlign w:val="center"/>
          </w:tcPr>
          <w:p w:rsidR="000A156F" w:rsidRDefault="00A9721F">
            <w:pPr>
              <w:pStyle w:val="TableBodyText"/>
            </w:pPr>
            <w:r>
              <w:t>lin</w:t>
            </w:r>
          </w:p>
        </w:tc>
        <w:tc>
          <w:tcPr>
            <w:tcW w:w="0" w:type="auto"/>
            <w:vAlign w:val="center"/>
          </w:tcPr>
          <w:p w:rsidR="000A156F" w:rsidRDefault="00A9721F">
            <w:pPr>
              <w:pStyle w:val="TableBodyText"/>
            </w:pPr>
            <w:r>
              <w:t>planilha</w:t>
            </w:r>
          </w:p>
        </w:tc>
        <w:tc>
          <w:tcPr>
            <w:tcW w:w="0" w:type="auto"/>
            <w:vAlign w:val="center"/>
          </w:tcPr>
          <w:p w:rsidR="000A156F" w:rsidRDefault="00A9721F">
            <w:pPr>
              <w:pStyle w:val="TableBodyText"/>
            </w:pPr>
            <w:r>
              <w:t>tipo</w:t>
            </w:r>
          </w:p>
        </w:tc>
        <w:tc>
          <w:tcPr>
            <w:tcW w:w="0" w:type="auto"/>
            <w:vAlign w:val="center"/>
          </w:tcPr>
          <w:p w:rsidR="000A156F" w:rsidRDefault="00A9721F">
            <w:pPr>
              <w:pStyle w:val="TableBodyText"/>
            </w:pPr>
            <w:r>
              <w:t>largura</w:t>
            </w:r>
          </w:p>
        </w:tc>
      </w:tr>
      <w:tr w:rsidR="000A156F" w:rsidTr="000A156F">
        <w:tc>
          <w:tcPr>
            <w:tcW w:w="0" w:type="auto"/>
            <w:vAlign w:val="center"/>
          </w:tcPr>
          <w:p w:rsidR="000A156F" w:rsidRDefault="00A9721F">
            <w:pPr>
              <w:pStyle w:val="TableBodyText"/>
            </w:pPr>
            <w:r>
              <w:t>pt-pt</w:t>
            </w:r>
          </w:p>
        </w:tc>
        <w:tc>
          <w:tcPr>
            <w:tcW w:w="0" w:type="auto"/>
            <w:vAlign w:val="center"/>
          </w:tcPr>
          <w:p w:rsidR="000A156F" w:rsidRDefault="00A9721F">
            <w:pPr>
              <w:pStyle w:val="TableBodyText"/>
            </w:pPr>
            <w:r>
              <w:t>parênteses</w:t>
            </w:r>
          </w:p>
        </w:tc>
        <w:tc>
          <w:tcPr>
            <w:tcW w:w="0" w:type="auto"/>
            <w:vAlign w:val="center"/>
          </w:tcPr>
          <w:p w:rsidR="000A156F" w:rsidRDefault="00A9721F">
            <w:pPr>
              <w:pStyle w:val="TableBodyText"/>
            </w:pPr>
            <w:r>
              <w:t>prefixo</w:t>
            </w:r>
          </w:p>
        </w:tc>
        <w:tc>
          <w:tcPr>
            <w:tcW w:w="0" w:type="auto"/>
            <w:vAlign w:val="center"/>
          </w:tcPr>
          <w:p w:rsidR="000A156F" w:rsidRDefault="00A9721F">
            <w:pPr>
              <w:pStyle w:val="TableBodyText"/>
            </w:pPr>
            <w:r>
              <w:t>proteger</w:t>
            </w:r>
          </w:p>
        </w:tc>
        <w:tc>
          <w:tcPr>
            <w:tcW w:w="0" w:type="auto"/>
            <w:vAlign w:val="center"/>
          </w:tcPr>
          <w:p w:rsidR="000A156F" w:rsidRDefault="00A9721F">
            <w:pPr>
              <w:pStyle w:val="TableBodyText"/>
            </w:pPr>
            <w:r>
              <w:t>lin</w:t>
            </w:r>
          </w:p>
        </w:tc>
        <w:tc>
          <w:tcPr>
            <w:tcW w:w="0" w:type="auto"/>
            <w:vAlign w:val="center"/>
          </w:tcPr>
          <w:p w:rsidR="000A156F" w:rsidRDefault="00A9721F">
            <w:pPr>
              <w:pStyle w:val="TableBodyText"/>
            </w:pPr>
            <w:r>
              <w:t>folha</w:t>
            </w:r>
          </w:p>
        </w:tc>
        <w:tc>
          <w:tcPr>
            <w:tcW w:w="0" w:type="auto"/>
            <w:vAlign w:val="center"/>
          </w:tcPr>
          <w:p w:rsidR="000A156F" w:rsidRDefault="00A9721F">
            <w:pPr>
              <w:pStyle w:val="TableBodyText"/>
            </w:pPr>
            <w:r>
              <w:t>tipo</w:t>
            </w:r>
          </w:p>
        </w:tc>
        <w:tc>
          <w:tcPr>
            <w:tcW w:w="0" w:type="auto"/>
            <w:vAlign w:val="center"/>
          </w:tcPr>
          <w:p w:rsidR="000A156F" w:rsidRDefault="00A9721F">
            <w:pPr>
              <w:pStyle w:val="TableBodyText"/>
            </w:pPr>
            <w:r>
              <w:t>largura</w:t>
            </w:r>
          </w:p>
        </w:tc>
      </w:tr>
      <w:tr w:rsidR="000A156F" w:rsidTr="000A156F">
        <w:tc>
          <w:tcPr>
            <w:tcW w:w="0" w:type="auto"/>
            <w:vAlign w:val="center"/>
          </w:tcPr>
          <w:p w:rsidR="000A156F" w:rsidRDefault="00A9721F">
            <w:pPr>
              <w:pStyle w:val="TableBodyText"/>
            </w:pPr>
            <w:r>
              <w:t>ru-ru</w:t>
            </w:r>
          </w:p>
        </w:tc>
        <w:tc>
          <w:tcPr>
            <w:tcW w:w="0" w:type="auto"/>
            <w:vAlign w:val="center"/>
          </w:tcPr>
          <w:p w:rsidR="000A156F" w:rsidRDefault="00A9721F">
            <w:pPr>
              <w:pStyle w:val="TableBodyText"/>
            </w:pPr>
            <w:r>
              <w:t>скобки</w:t>
            </w:r>
          </w:p>
        </w:tc>
        <w:tc>
          <w:tcPr>
            <w:tcW w:w="0" w:type="auto"/>
            <w:vAlign w:val="center"/>
          </w:tcPr>
          <w:p w:rsidR="000A156F" w:rsidRDefault="00A9721F">
            <w:pPr>
              <w:pStyle w:val="TableBodyText"/>
            </w:pPr>
            <w:r>
              <w:t>префикс</w:t>
            </w:r>
          </w:p>
        </w:tc>
        <w:tc>
          <w:tcPr>
            <w:tcW w:w="0" w:type="auto"/>
            <w:vAlign w:val="center"/>
          </w:tcPr>
          <w:p w:rsidR="000A156F" w:rsidRDefault="00A9721F">
            <w:pPr>
              <w:pStyle w:val="TableBodyText"/>
            </w:pPr>
            <w:r>
              <w:t>защита</w:t>
            </w:r>
          </w:p>
        </w:tc>
        <w:tc>
          <w:tcPr>
            <w:tcW w:w="0" w:type="auto"/>
            <w:vAlign w:val="center"/>
          </w:tcPr>
          <w:p w:rsidR="000A156F" w:rsidRDefault="00A9721F">
            <w:pPr>
              <w:pStyle w:val="TableBodyText"/>
            </w:pPr>
            <w:r>
              <w:t>строка</w:t>
            </w:r>
          </w:p>
        </w:tc>
        <w:tc>
          <w:tcPr>
            <w:tcW w:w="0" w:type="auto"/>
            <w:vAlign w:val="center"/>
          </w:tcPr>
          <w:p w:rsidR="000A156F" w:rsidRDefault="00A9721F">
            <w:pPr>
              <w:pStyle w:val="TableBodyText"/>
            </w:pPr>
            <w:r>
              <w:t>ТАБЛИЦА</w:t>
            </w:r>
          </w:p>
          <w:p w:rsidR="000A156F" w:rsidRDefault="000A156F">
            <w:pPr>
              <w:pStyle w:val="TableBodyText"/>
            </w:pPr>
          </w:p>
        </w:tc>
        <w:tc>
          <w:tcPr>
            <w:tcW w:w="0" w:type="auto"/>
            <w:vAlign w:val="center"/>
          </w:tcPr>
          <w:p w:rsidR="000A156F" w:rsidRDefault="00A9721F">
            <w:pPr>
              <w:pStyle w:val="TableBodyText"/>
            </w:pPr>
            <w:r>
              <w:t>тип</w:t>
            </w:r>
          </w:p>
        </w:tc>
        <w:tc>
          <w:tcPr>
            <w:tcW w:w="0" w:type="auto"/>
            <w:vAlign w:val="center"/>
          </w:tcPr>
          <w:p w:rsidR="000A156F" w:rsidRDefault="00A9721F">
            <w:pPr>
              <w:pStyle w:val="TableBodyText"/>
            </w:pPr>
            <w:r>
              <w:t>ширина</w:t>
            </w:r>
          </w:p>
        </w:tc>
      </w:tr>
      <w:tr w:rsidR="000A156F" w:rsidTr="000A156F">
        <w:tc>
          <w:tcPr>
            <w:tcW w:w="0" w:type="auto"/>
            <w:vAlign w:val="center"/>
          </w:tcPr>
          <w:p w:rsidR="000A156F" w:rsidRDefault="00A9721F">
            <w:pPr>
              <w:pStyle w:val="TableBodyText"/>
            </w:pPr>
            <w:r>
              <w:t>sk-sk</w:t>
            </w:r>
          </w:p>
        </w:tc>
        <w:tc>
          <w:tcPr>
            <w:tcW w:w="0" w:type="auto"/>
            <w:vAlign w:val="center"/>
          </w:tcPr>
          <w:p w:rsidR="000A156F" w:rsidRDefault="00A9721F">
            <w:pPr>
              <w:pStyle w:val="TableBodyText"/>
            </w:pPr>
            <w:r>
              <w:t>zátvorky</w:t>
            </w:r>
          </w:p>
        </w:tc>
        <w:tc>
          <w:tcPr>
            <w:tcW w:w="0" w:type="auto"/>
            <w:vAlign w:val="center"/>
          </w:tcPr>
          <w:p w:rsidR="000A156F" w:rsidRDefault="00A9721F">
            <w:pPr>
              <w:pStyle w:val="TableBodyText"/>
            </w:pPr>
            <w:r>
              <w:t>vloženýznak</w:t>
            </w:r>
          </w:p>
        </w:tc>
        <w:tc>
          <w:tcPr>
            <w:tcW w:w="0" w:type="auto"/>
            <w:vAlign w:val="center"/>
          </w:tcPr>
          <w:p w:rsidR="000A156F" w:rsidRDefault="00A9721F">
            <w:pPr>
              <w:pStyle w:val="TableBodyText"/>
            </w:pPr>
            <w:r>
              <w:t>chrániť</w:t>
            </w:r>
          </w:p>
        </w:tc>
        <w:tc>
          <w:tcPr>
            <w:tcW w:w="0" w:type="auto"/>
            <w:vAlign w:val="center"/>
          </w:tcPr>
          <w:p w:rsidR="000A156F" w:rsidRDefault="00A9721F">
            <w:pPr>
              <w:pStyle w:val="TableBodyText"/>
            </w:pPr>
            <w:r>
              <w:t>riadok</w:t>
            </w:r>
          </w:p>
        </w:tc>
        <w:tc>
          <w:tcPr>
            <w:tcW w:w="0" w:type="auto"/>
            <w:vAlign w:val="center"/>
          </w:tcPr>
          <w:p w:rsidR="000A156F" w:rsidRDefault="00A9721F">
            <w:pPr>
              <w:pStyle w:val="TableBodyText"/>
            </w:pPr>
            <w:r>
              <w:t>hárok</w:t>
            </w:r>
          </w:p>
        </w:tc>
        <w:tc>
          <w:tcPr>
            <w:tcW w:w="0" w:type="auto"/>
            <w:vAlign w:val="center"/>
          </w:tcPr>
          <w:p w:rsidR="000A156F" w:rsidRDefault="00A9721F">
            <w:pPr>
              <w:pStyle w:val="TableBodyText"/>
            </w:pPr>
            <w:r>
              <w:t>typ</w:t>
            </w:r>
          </w:p>
        </w:tc>
        <w:tc>
          <w:tcPr>
            <w:tcW w:w="0" w:type="auto"/>
            <w:vAlign w:val="center"/>
          </w:tcPr>
          <w:p w:rsidR="000A156F" w:rsidRDefault="00A9721F">
            <w:pPr>
              <w:pStyle w:val="TableBodyText"/>
            </w:pPr>
            <w:r>
              <w:t>šírka</w:t>
            </w:r>
          </w:p>
        </w:tc>
      </w:tr>
      <w:tr w:rsidR="000A156F" w:rsidTr="000A156F">
        <w:tc>
          <w:tcPr>
            <w:tcW w:w="0" w:type="auto"/>
            <w:vAlign w:val="center"/>
          </w:tcPr>
          <w:p w:rsidR="000A156F" w:rsidRDefault="00A9721F">
            <w:pPr>
              <w:pStyle w:val="TableBodyText"/>
            </w:pPr>
            <w:r>
              <w:t>sl-si</w:t>
            </w:r>
          </w:p>
        </w:tc>
        <w:tc>
          <w:tcPr>
            <w:tcW w:w="0" w:type="auto"/>
            <w:vAlign w:val="center"/>
          </w:tcPr>
          <w:p w:rsidR="000A156F" w:rsidRDefault="00A9721F">
            <w:pPr>
              <w:pStyle w:val="TableBodyText"/>
            </w:pPr>
            <w:r>
              <w:t>parentheses</w:t>
            </w:r>
          </w:p>
        </w:tc>
        <w:tc>
          <w:tcPr>
            <w:tcW w:w="0" w:type="auto"/>
            <w:vAlign w:val="center"/>
          </w:tcPr>
          <w:p w:rsidR="000A156F" w:rsidRDefault="00A9721F">
            <w:pPr>
              <w:pStyle w:val="TableBodyText"/>
            </w:pPr>
            <w:r>
              <w:t>prefix</w:t>
            </w:r>
          </w:p>
        </w:tc>
        <w:tc>
          <w:tcPr>
            <w:tcW w:w="0" w:type="auto"/>
            <w:vAlign w:val="center"/>
          </w:tcPr>
          <w:p w:rsidR="000A156F" w:rsidRDefault="00A9721F">
            <w:pPr>
              <w:pStyle w:val="TableBodyText"/>
            </w:pPr>
            <w:r>
              <w:t>protect</w:t>
            </w:r>
          </w:p>
        </w:tc>
        <w:tc>
          <w:tcPr>
            <w:tcW w:w="0" w:type="auto"/>
            <w:vAlign w:val="center"/>
          </w:tcPr>
          <w:p w:rsidR="000A156F" w:rsidRDefault="00A9721F">
            <w:pPr>
              <w:pStyle w:val="TableBodyText"/>
            </w:pPr>
            <w:r>
              <w:t>vrstica</w:t>
            </w:r>
          </w:p>
        </w:tc>
        <w:tc>
          <w:tcPr>
            <w:tcW w:w="0" w:type="auto"/>
            <w:vAlign w:val="center"/>
          </w:tcPr>
          <w:p w:rsidR="000A156F" w:rsidRDefault="00A9721F">
            <w:pPr>
              <w:pStyle w:val="TableBodyText"/>
            </w:pPr>
            <w:r>
              <w:t>sheet</w:t>
            </w:r>
          </w:p>
        </w:tc>
        <w:tc>
          <w:tcPr>
            <w:tcW w:w="0" w:type="auto"/>
            <w:vAlign w:val="center"/>
          </w:tcPr>
          <w:p w:rsidR="000A156F" w:rsidRDefault="00A9721F">
            <w:pPr>
              <w:pStyle w:val="TableBodyText"/>
            </w:pPr>
            <w:r>
              <w:t>type</w:t>
            </w:r>
          </w:p>
        </w:tc>
        <w:tc>
          <w:tcPr>
            <w:tcW w:w="0" w:type="auto"/>
            <w:vAlign w:val="center"/>
          </w:tcPr>
          <w:p w:rsidR="000A156F" w:rsidRDefault="00A9721F">
            <w:pPr>
              <w:pStyle w:val="TableBodyText"/>
            </w:pPr>
            <w:r>
              <w:t>širina</w:t>
            </w:r>
          </w:p>
        </w:tc>
      </w:tr>
      <w:tr w:rsidR="000A156F" w:rsidTr="000A156F">
        <w:tc>
          <w:tcPr>
            <w:tcW w:w="0" w:type="auto"/>
            <w:vAlign w:val="center"/>
          </w:tcPr>
          <w:p w:rsidR="000A156F" w:rsidRDefault="00A9721F">
            <w:pPr>
              <w:pStyle w:val="TableBodyText"/>
            </w:pPr>
            <w:r>
              <w:t>sv-se</w:t>
            </w:r>
          </w:p>
        </w:tc>
        <w:tc>
          <w:tcPr>
            <w:tcW w:w="0" w:type="auto"/>
            <w:vAlign w:val="center"/>
          </w:tcPr>
          <w:p w:rsidR="000A156F" w:rsidRDefault="00A9721F">
            <w:pPr>
              <w:pStyle w:val="TableBodyText"/>
            </w:pPr>
            <w:r>
              <w:t>parenteser</w:t>
            </w:r>
          </w:p>
        </w:tc>
        <w:tc>
          <w:tcPr>
            <w:tcW w:w="0" w:type="auto"/>
            <w:vAlign w:val="center"/>
          </w:tcPr>
          <w:p w:rsidR="000A156F" w:rsidRDefault="00A9721F">
            <w:pPr>
              <w:pStyle w:val="TableBodyText"/>
            </w:pPr>
            <w:r>
              <w:t>prefix</w:t>
            </w:r>
          </w:p>
        </w:tc>
        <w:tc>
          <w:tcPr>
            <w:tcW w:w="0" w:type="auto"/>
            <w:vAlign w:val="center"/>
          </w:tcPr>
          <w:p w:rsidR="000A156F" w:rsidRDefault="00A9721F">
            <w:pPr>
              <w:pStyle w:val="TableBodyText"/>
            </w:pPr>
            <w:r>
              <w:t>skydd</w:t>
            </w:r>
          </w:p>
        </w:tc>
        <w:tc>
          <w:tcPr>
            <w:tcW w:w="0" w:type="auto"/>
            <w:vAlign w:val="center"/>
          </w:tcPr>
          <w:p w:rsidR="000A156F" w:rsidRDefault="00A9721F">
            <w:pPr>
              <w:pStyle w:val="TableBodyText"/>
            </w:pPr>
            <w:r>
              <w:t>rad</w:t>
            </w:r>
          </w:p>
        </w:tc>
        <w:tc>
          <w:tcPr>
            <w:tcW w:w="0" w:type="auto"/>
            <w:vAlign w:val="center"/>
          </w:tcPr>
          <w:p w:rsidR="000A156F" w:rsidRDefault="00A9721F">
            <w:pPr>
              <w:pStyle w:val="TableBodyText"/>
            </w:pPr>
            <w:r>
              <w:t>blad</w:t>
            </w:r>
          </w:p>
        </w:tc>
        <w:tc>
          <w:tcPr>
            <w:tcW w:w="0" w:type="auto"/>
            <w:vAlign w:val="center"/>
          </w:tcPr>
          <w:p w:rsidR="000A156F" w:rsidRDefault="00A9721F">
            <w:pPr>
              <w:pStyle w:val="TableBodyText"/>
            </w:pPr>
            <w:r>
              <w:t>typ</w:t>
            </w:r>
          </w:p>
        </w:tc>
        <w:tc>
          <w:tcPr>
            <w:tcW w:w="0" w:type="auto"/>
            <w:vAlign w:val="center"/>
          </w:tcPr>
          <w:p w:rsidR="000A156F" w:rsidRDefault="00A9721F">
            <w:pPr>
              <w:pStyle w:val="TableBodyText"/>
            </w:pPr>
            <w:r>
              <w:t>bredd</w:t>
            </w:r>
          </w:p>
        </w:tc>
      </w:tr>
      <w:tr w:rsidR="000A156F" w:rsidTr="000A156F">
        <w:tc>
          <w:tcPr>
            <w:tcW w:w="0" w:type="auto"/>
            <w:vAlign w:val="center"/>
          </w:tcPr>
          <w:p w:rsidR="000A156F" w:rsidRDefault="00A9721F">
            <w:pPr>
              <w:pStyle w:val="TableBodyText"/>
            </w:pPr>
            <w:r>
              <w:t>tr-tr</w:t>
            </w:r>
          </w:p>
        </w:tc>
        <w:tc>
          <w:tcPr>
            <w:tcW w:w="0" w:type="auto"/>
            <w:vAlign w:val="center"/>
          </w:tcPr>
          <w:p w:rsidR="000A156F" w:rsidRDefault="00A9721F">
            <w:pPr>
              <w:pStyle w:val="TableBodyText"/>
            </w:pPr>
            <w:r>
              <w:t>ayraç</w:t>
            </w:r>
          </w:p>
        </w:tc>
        <w:tc>
          <w:tcPr>
            <w:tcW w:w="0" w:type="auto"/>
            <w:vAlign w:val="center"/>
          </w:tcPr>
          <w:p w:rsidR="000A156F" w:rsidRDefault="00A9721F">
            <w:pPr>
              <w:pStyle w:val="TableBodyText"/>
            </w:pPr>
            <w:r>
              <w:t>önek</w:t>
            </w:r>
          </w:p>
        </w:tc>
        <w:tc>
          <w:tcPr>
            <w:tcW w:w="0" w:type="auto"/>
            <w:vAlign w:val="center"/>
          </w:tcPr>
          <w:p w:rsidR="000A156F" w:rsidRDefault="00A9721F">
            <w:pPr>
              <w:pStyle w:val="TableBodyText"/>
            </w:pPr>
            <w:r>
              <w:t>koruma</w:t>
            </w:r>
          </w:p>
        </w:tc>
        <w:tc>
          <w:tcPr>
            <w:tcW w:w="0" w:type="auto"/>
            <w:vAlign w:val="center"/>
          </w:tcPr>
          <w:p w:rsidR="000A156F" w:rsidRDefault="00A9721F">
            <w:pPr>
              <w:pStyle w:val="TableBodyText"/>
            </w:pPr>
            <w:r>
              <w:t>sat</w:t>
            </w:r>
          </w:p>
        </w:tc>
        <w:tc>
          <w:tcPr>
            <w:tcW w:w="0" w:type="auto"/>
            <w:vAlign w:val="center"/>
          </w:tcPr>
          <w:p w:rsidR="000A156F" w:rsidRDefault="00A9721F">
            <w:pPr>
              <w:pStyle w:val="TableBodyText"/>
            </w:pPr>
            <w:r>
              <w:t>tablo</w:t>
            </w:r>
          </w:p>
        </w:tc>
        <w:tc>
          <w:tcPr>
            <w:tcW w:w="0" w:type="auto"/>
            <w:vAlign w:val="center"/>
          </w:tcPr>
          <w:p w:rsidR="000A156F" w:rsidRDefault="00A9721F">
            <w:pPr>
              <w:pStyle w:val="TableBodyText"/>
            </w:pPr>
            <w:r>
              <w:t>tür</w:t>
            </w:r>
          </w:p>
        </w:tc>
        <w:tc>
          <w:tcPr>
            <w:tcW w:w="0" w:type="auto"/>
            <w:vAlign w:val="center"/>
          </w:tcPr>
          <w:p w:rsidR="000A156F" w:rsidRDefault="00A9721F">
            <w:pPr>
              <w:pStyle w:val="TableBodyText"/>
            </w:pPr>
            <w:r>
              <w:t>genişlik</w:t>
            </w:r>
          </w:p>
        </w:tc>
      </w:tr>
      <w:tr w:rsidR="000A156F" w:rsidTr="000A156F">
        <w:tc>
          <w:tcPr>
            <w:tcW w:w="0" w:type="auto"/>
            <w:vAlign w:val="center"/>
          </w:tcPr>
          <w:p w:rsidR="000A156F" w:rsidRDefault="00A9721F">
            <w:pPr>
              <w:pStyle w:val="TableBodyText"/>
            </w:pPr>
            <w:r>
              <w:t>uk-ua</w:t>
            </w:r>
          </w:p>
        </w:tc>
        <w:tc>
          <w:tcPr>
            <w:tcW w:w="0" w:type="auto"/>
            <w:vAlign w:val="center"/>
          </w:tcPr>
          <w:p w:rsidR="000A156F" w:rsidRDefault="00A9721F">
            <w:pPr>
              <w:pStyle w:val="TableBodyText"/>
            </w:pPr>
            <w:r>
              <w:t>дужки</w:t>
            </w:r>
          </w:p>
        </w:tc>
        <w:tc>
          <w:tcPr>
            <w:tcW w:w="0" w:type="auto"/>
            <w:vAlign w:val="center"/>
          </w:tcPr>
          <w:p w:rsidR="000A156F" w:rsidRDefault="00A9721F">
            <w:pPr>
              <w:pStyle w:val="TableBodyText"/>
            </w:pPr>
            <w:r>
              <w:t>префікс</w:t>
            </w:r>
          </w:p>
        </w:tc>
        <w:tc>
          <w:tcPr>
            <w:tcW w:w="0" w:type="auto"/>
            <w:vAlign w:val="center"/>
          </w:tcPr>
          <w:p w:rsidR="000A156F" w:rsidRDefault="00A9721F">
            <w:pPr>
              <w:pStyle w:val="TableBodyText"/>
            </w:pPr>
            <w:r>
              <w:t>захист</w:t>
            </w:r>
          </w:p>
        </w:tc>
        <w:tc>
          <w:tcPr>
            <w:tcW w:w="0" w:type="auto"/>
            <w:vAlign w:val="center"/>
          </w:tcPr>
          <w:p w:rsidR="000A156F" w:rsidRDefault="00A9721F">
            <w:pPr>
              <w:pStyle w:val="TableBodyText"/>
            </w:pPr>
            <w:r>
              <w:t>рядок</w:t>
            </w:r>
          </w:p>
        </w:tc>
        <w:tc>
          <w:tcPr>
            <w:tcW w:w="0" w:type="auto"/>
            <w:vAlign w:val="center"/>
          </w:tcPr>
          <w:p w:rsidR="000A156F" w:rsidRDefault="00A9721F">
            <w:pPr>
              <w:pStyle w:val="TableBodyText"/>
            </w:pPr>
            <w:r>
              <w:t>АРКУШ</w:t>
            </w:r>
          </w:p>
          <w:p w:rsidR="000A156F" w:rsidRDefault="000A156F">
            <w:pPr>
              <w:pStyle w:val="TableBodyText"/>
            </w:pPr>
          </w:p>
        </w:tc>
        <w:tc>
          <w:tcPr>
            <w:tcW w:w="0" w:type="auto"/>
            <w:vAlign w:val="center"/>
          </w:tcPr>
          <w:p w:rsidR="000A156F" w:rsidRDefault="00A9721F">
            <w:pPr>
              <w:pStyle w:val="TableBodyText"/>
            </w:pPr>
            <w:r>
              <w:t>тип</w:t>
            </w:r>
          </w:p>
        </w:tc>
        <w:tc>
          <w:tcPr>
            <w:tcW w:w="0" w:type="auto"/>
            <w:vAlign w:val="center"/>
          </w:tcPr>
          <w:p w:rsidR="000A156F" w:rsidRDefault="00A9721F">
            <w:pPr>
              <w:pStyle w:val="TableBodyText"/>
            </w:pPr>
            <w:r>
              <w:t>довжина</w:t>
            </w:r>
          </w:p>
        </w:tc>
      </w:tr>
    </w:tbl>
    <w:p w:rsidR="000A156F" w:rsidRDefault="000A156F"/>
    <w:p w:rsidR="000A156F" w:rsidRDefault="00A9721F">
      <w:pPr>
        <w:pStyle w:val="Definition-Field"/>
      </w:pPr>
      <w:r>
        <w:t xml:space="preserve">b.   </w:t>
      </w:r>
      <w:r>
        <w:rPr>
          <w:i/>
        </w:rPr>
        <w:t xml:space="preserve">The standard does not fully specify </w:t>
      </w:r>
      <w:r>
        <w:rPr>
          <w:i/>
        </w:rPr>
        <w:t>details when argument category is format.</w:t>
      </w:r>
    </w:p>
    <w:p w:rsidR="000A156F" w:rsidRDefault="00A9721F">
      <w:r>
        <w:t>In Excel, when the category parameter is format then the value returned depends upon the number format of the upper-left cell of reference, and more specifically upon the number format code of the upper-left cell o</w:t>
      </w:r>
      <w:r>
        <w:t>f reference.  Depending upon the number format code of the appropriate cell, the result value of CELL when the category is format is based upon the following rules.</w:t>
      </w:r>
    </w:p>
    <w:p w:rsidR="000A156F" w:rsidRDefault="00A9721F">
      <w:r>
        <w:t>First, some observations regarding the rules are in order:</w:t>
      </w:r>
    </w:p>
    <w:p w:rsidR="000A156F" w:rsidRDefault="00A9721F">
      <w:r>
        <w:t>The various sections of the numb</w:t>
      </w:r>
      <w:r>
        <w:t>er format code are referred to within the rules. For more information on sections in the number format code, see numFmts ("</w:t>
      </w:r>
      <w:hyperlink r:id="rId148">
        <w:r>
          <w:rPr>
            <w:rStyle w:val="Hyperlink"/>
          </w:rPr>
          <w:t>[ISO/IEC-29500-1]</w:t>
        </w:r>
      </w:hyperlink>
      <w:r>
        <w:t xml:space="preserve"> §18.8.31; numFmts"). There are cases where it is </w:t>
      </w:r>
      <w:r>
        <w:t>useful to discuss the characters from the number format code which are dependent upon the value in the cell. These characters, instead of representing text or spacing in the cell’s display text, interpret, in some fashion, the value to be displayed. In the</w:t>
      </w:r>
      <w:r>
        <w:t xml:space="preserv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Interpreted Characters</w:t>
            </w:r>
          </w:p>
        </w:tc>
      </w:tr>
      <w:tr w:rsidR="000A156F" w:rsidTr="000A156F">
        <w:tc>
          <w:tcPr>
            <w:tcW w:w="0" w:type="auto"/>
            <w:vAlign w:val="center"/>
          </w:tcPr>
          <w:p w:rsidR="000A156F" w:rsidRDefault="00A9721F">
            <w:pPr>
              <w:pStyle w:val="TableBodyText"/>
            </w:pPr>
            <w:r>
              <w:t>0</w:t>
            </w:r>
          </w:p>
        </w:tc>
      </w:tr>
      <w:tr w:rsidR="000A156F" w:rsidTr="000A156F">
        <w:tc>
          <w:tcPr>
            <w:tcW w:w="0" w:type="auto"/>
            <w:vAlign w:val="center"/>
          </w:tcPr>
          <w:p w:rsidR="000A156F" w:rsidRDefault="00A9721F">
            <w:pPr>
              <w:pStyle w:val="TableBodyText"/>
            </w:pPr>
            <w:r>
              <w:t>#</w:t>
            </w:r>
          </w:p>
        </w:tc>
      </w:tr>
      <w:tr w:rsidR="000A156F" w:rsidTr="000A156F">
        <w:tc>
          <w:tcPr>
            <w:tcW w:w="0" w:type="auto"/>
            <w:vAlign w:val="center"/>
          </w:tcPr>
          <w:p w:rsidR="000A156F" w:rsidRDefault="00A9721F">
            <w:pPr>
              <w:pStyle w:val="TableBodyText"/>
            </w:pPr>
            <w:r>
              <w:t>@</w:t>
            </w:r>
          </w:p>
        </w:tc>
      </w:tr>
      <w:tr w:rsidR="000A156F" w:rsidTr="000A156F">
        <w:tc>
          <w:tcPr>
            <w:tcW w:w="0" w:type="auto"/>
            <w:vAlign w:val="center"/>
          </w:tcPr>
          <w:p w:rsidR="000A156F" w:rsidRDefault="00A9721F">
            <w:pPr>
              <w:pStyle w:val="TableBodyText"/>
            </w:pPr>
            <w:r>
              <w:t>D</w:t>
            </w:r>
          </w:p>
        </w:tc>
      </w:tr>
      <w:tr w:rsidR="000A156F" w:rsidTr="000A156F">
        <w:tc>
          <w:tcPr>
            <w:tcW w:w="0" w:type="auto"/>
            <w:vAlign w:val="center"/>
          </w:tcPr>
          <w:p w:rsidR="000A156F" w:rsidRDefault="00A9721F">
            <w:pPr>
              <w:pStyle w:val="TableBodyText"/>
            </w:pPr>
            <w:r>
              <w:t>M</w:t>
            </w:r>
          </w:p>
        </w:tc>
      </w:tr>
      <w:tr w:rsidR="000A156F" w:rsidTr="000A156F">
        <w:tc>
          <w:tcPr>
            <w:tcW w:w="0" w:type="auto"/>
            <w:vAlign w:val="center"/>
          </w:tcPr>
          <w:p w:rsidR="000A156F" w:rsidRDefault="00A9721F">
            <w:pPr>
              <w:pStyle w:val="TableBodyText"/>
            </w:pPr>
            <w:r>
              <w:t>Y</w:t>
            </w:r>
          </w:p>
        </w:tc>
      </w:tr>
      <w:tr w:rsidR="000A156F" w:rsidTr="000A156F">
        <w:tc>
          <w:tcPr>
            <w:tcW w:w="0" w:type="auto"/>
            <w:vAlign w:val="center"/>
          </w:tcPr>
          <w:p w:rsidR="000A156F" w:rsidRDefault="00A9721F">
            <w:pPr>
              <w:pStyle w:val="TableBodyText"/>
            </w:pPr>
            <w:r>
              <w:t>H</w:t>
            </w:r>
          </w:p>
        </w:tc>
      </w:tr>
      <w:tr w:rsidR="000A156F" w:rsidTr="000A156F">
        <w:tc>
          <w:tcPr>
            <w:tcW w:w="0" w:type="auto"/>
            <w:vAlign w:val="center"/>
          </w:tcPr>
          <w:p w:rsidR="000A156F" w:rsidRDefault="00A9721F">
            <w:pPr>
              <w:pStyle w:val="TableBodyText"/>
            </w:pPr>
            <w:r>
              <w:t>S</w:t>
            </w:r>
          </w:p>
        </w:tc>
      </w:tr>
      <w:tr w:rsidR="000A156F" w:rsidTr="000A156F">
        <w:tc>
          <w:tcPr>
            <w:tcW w:w="0" w:type="auto"/>
            <w:vAlign w:val="center"/>
          </w:tcPr>
          <w:p w:rsidR="000A156F" w:rsidRDefault="00A9721F">
            <w:pPr>
              <w:pStyle w:val="TableBodyText"/>
            </w:pPr>
            <w:r>
              <w:t>?</w:t>
            </w:r>
          </w:p>
        </w:tc>
      </w:tr>
      <w:tr w:rsidR="000A156F" w:rsidTr="000A156F">
        <w:tc>
          <w:tcPr>
            <w:tcW w:w="0" w:type="auto"/>
            <w:vAlign w:val="center"/>
          </w:tcPr>
          <w:p w:rsidR="000A156F" w:rsidRDefault="00A9721F">
            <w:pPr>
              <w:pStyle w:val="TableBodyText"/>
            </w:pPr>
            <w:r>
              <w:t>AM/PM</w:t>
            </w:r>
          </w:p>
        </w:tc>
      </w:tr>
      <w:tr w:rsidR="000A156F" w:rsidTr="000A156F">
        <w:tc>
          <w:tcPr>
            <w:tcW w:w="0" w:type="auto"/>
            <w:vAlign w:val="center"/>
          </w:tcPr>
          <w:p w:rsidR="000A156F" w:rsidRDefault="00A9721F">
            <w:pPr>
              <w:pStyle w:val="TableBodyText"/>
            </w:pPr>
            <w:r>
              <w:t>A/P</w:t>
            </w:r>
          </w:p>
        </w:tc>
      </w:tr>
      <w:tr w:rsidR="000A156F" w:rsidTr="000A156F">
        <w:tc>
          <w:tcPr>
            <w:tcW w:w="0" w:type="auto"/>
            <w:vAlign w:val="center"/>
          </w:tcPr>
          <w:p w:rsidR="000A156F" w:rsidRDefault="00A9721F">
            <w:pPr>
              <w:pStyle w:val="TableBodyText"/>
            </w:pPr>
            <w:r>
              <w:t>G</w:t>
            </w:r>
          </w:p>
        </w:tc>
      </w:tr>
      <w:tr w:rsidR="000A156F" w:rsidTr="000A156F">
        <w:tc>
          <w:tcPr>
            <w:tcW w:w="0" w:type="auto"/>
            <w:vAlign w:val="center"/>
          </w:tcPr>
          <w:p w:rsidR="000A156F" w:rsidRDefault="00A9721F">
            <w:pPr>
              <w:pStyle w:val="TableBodyText"/>
            </w:pPr>
            <w:r>
              <w:t>E</w:t>
            </w:r>
          </w:p>
        </w:tc>
      </w:tr>
      <w:tr w:rsidR="000A156F" w:rsidTr="000A156F">
        <w:tc>
          <w:tcPr>
            <w:tcW w:w="0" w:type="auto"/>
            <w:vAlign w:val="center"/>
          </w:tcPr>
          <w:p w:rsidR="000A156F" w:rsidRDefault="00A9721F">
            <w:pPr>
              <w:pStyle w:val="TableBodyText"/>
            </w:pPr>
            <w:r>
              <w:t>R</w:t>
            </w:r>
          </w:p>
        </w:tc>
      </w:tr>
    </w:tbl>
    <w:p w:rsidR="000A156F" w:rsidRDefault="000A156F"/>
    <w:p w:rsidR="000A156F" w:rsidRDefault="00A9721F">
      <w:r>
        <w:t xml:space="preserve">There are cases where it is </w:t>
      </w:r>
      <w:r>
        <w:t>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w:t>
      </w:r>
      <w:r>
        <w:t xml:space="preserve">representation of the day of the date that is two digits in length. </w:t>
      </w:r>
      <w:r>
        <w:rPr>
          <w:i/>
        </w:rPr>
        <w:t>end example</w:t>
      </w:r>
      <w:r>
        <w:t>]. These runs of similar characters are referred to as interpreted symbols because multiple characters are used, but the result is a single symbolic representation of at least p</w:t>
      </w:r>
      <w:r>
        <w:t>art of the value.</w:t>
      </w:r>
    </w:p>
    <w:p w:rsidR="000A156F" w:rsidRDefault="00A9721F">
      <w:r>
        <w:t>Because there are multiple different symbols for days, months, years, hours, minutes, seconds, and AM/PM, it is sometimes useful to discuss all of the representations of each of these. When any of Day, Month, Year, Hour, Minute, and so on</w:t>
      </w:r>
      <w:r>
        <w:t>, is referred to within a rule, what is meant is any of the possible representations for that date/time portion.  For example, a Day symbol would be any of d, dd, ddd, or dddd.</w:t>
      </w:r>
    </w:p>
    <w:p w:rsidR="000A156F" w:rsidRDefault="00A9721F">
      <w:r>
        <w:t>The use of characters such as 0, E, and % as a symbol within a number format co</w:t>
      </w:r>
      <w:r>
        <w:t>de does not include usages of these same characters either escaped (by preceding them with a backslash character “\”) or as a part of a quoted string.</w:t>
      </w:r>
    </w:p>
    <w:p w:rsidR="000A156F" w:rsidRDefault="00A9721F">
      <w:r>
        <w:t>Here are the rules to determine the result value:</w:t>
      </w:r>
    </w:p>
    <w:p w:rsidR="000A156F" w:rsidRDefault="00A9721F">
      <w:r>
        <w:t>If the first interpreted symbols within the first secti</w:t>
      </w:r>
      <w:r>
        <w:t>on are any of the date or time characters (any of y, m, d, h, m, s), then the first one or two characters of the return value are determined by the order of interpreted symbols (including any interpreted symbols, not just date/time symbols) according to th</w:t>
      </w:r>
      <w:r>
        <w:t>e following table ("anything" can mean "no additional symbols". If the 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Interpreted Symbols in Order</w:t>
            </w:r>
          </w:p>
        </w:tc>
        <w:tc>
          <w:tcPr>
            <w:tcW w:w="0" w:type="auto"/>
            <w:vAlign w:val="center"/>
          </w:tcPr>
          <w:p w:rsidR="000A156F" w:rsidRDefault="00A9721F">
            <w:pPr>
              <w:pStyle w:val="TableHeaderText"/>
            </w:pPr>
            <w:r>
              <w:t>Return Value Characters</w:t>
            </w:r>
          </w:p>
        </w:tc>
      </w:tr>
      <w:tr w:rsidR="000A156F" w:rsidTr="000A156F">
        <w:tc>
          <w:tcPr>
            <w:tcW w:w="0" w:type="auto"/>
            <w:vAlign w:val="center"/>
          </w:tcPr>
          <w:p w:rsidR="000A156F" w:rsidRDefault="00A9721F">
            <w:pPr>
              <w:pStyle w:val="TableBodyText"/>
            </w:pPr>
            <w:r>
              <w:t>Day, month, year, a</w:t>
            </w:r>
            <w:r>
              <w:t>nything</w:t>
            </w:r>
          </w:p>
        </w:tc>
        <w:tc>
          <w:tcPr>
            <w:tcW w:w="0" w:type="auto"/>
            <w:vAlign w:val="center"/>
          </w:tcPr>
          <w:p w:rsidR="000A156F" w:rsidRDefault="00A9721F">
            <w:pPr>
              <w:pStyle w:val="TableBodyText"/>
            </w:pPr>
            <w:r>
              <w:t>"D1"</w:t>
            </w:r>
          </w:p>
        </w:tc>
      </w:tr>
      <w:tr w:rsidR="000A156F" w:rsidTr="000A156F">
        <w:tc>
          <w:tcPr>
            <w:tcW w:w="0" w:type="auto"/>
            <w:vAlign w:val="center"/>
          </w:tcPr>
          <w:p w:rsidR="000A156F" w:rsidRDefault="00A9721F">
            <w:pPr>
              <w:pStyle w:val="TableBodyText"/>
            </w:pPr>
            <w:r>
              <w:t>Day, month, anything besides year, anything</w:t>
            </w:r>
          </w:p>
        </w:tc>
        <w:tc>
          <w:tcPr>
            <w:tcW w:w="0" w:type="auto"/>
            <w:vAlign w:val="center"/>
          </w:tcPr>
          <w:p w:rsidR="000A156F" w:rsidRDefault="00A9721F">
            <w:pPr>
              <w:pStyle w:val="TableBodyText"/>
            </w:pPr>
            <w:r>
              <w:t>"D2"</w:t>
            </w:r>
          </w:p>
        </w:tc>
      </w:tr>
      <w:tr w:rsidR="000A156F" w:rsidTr="000A156F">
        <w:tc>
          <w:tcPr>
            <w:tcW w:w="0" w:type="auto"/>
            <w:vAlign w:val="center"/>
          </w:tcPr>
          <w:p w:rsidR="000A156F" w:rsidRDefault="00A9721F">
            <w:pPr>
              <w:pStyle w:val="TableBodyText"/>
            </w:pPr>
            <w:r>
              <w:t>Month, year, anything</w:t>
            </w:r>
          </w:p>
        </w:tc>
        <w:tc>
          <w:tcPr>
            <w:tcW w:w="0" w:type="auto"/>
            <w:vAlign w:val="center"/>
          </w:tcPr>
          <w:p w:rsidR="000A156F" w:rsidRDefault="00A9721F">
            <w:pPr>
              <w:pStyle w:val="TableBodyText"/>
            </w:pPr>
            <w:r>
              <w:t>"D3"</w:t>
            </w:r>
          </w:p>
        </w:tc>
      </w:tr>
      <w:tr w:rsidR="000A156F" w:rsidTr="000A156F">
        <w:tc>
          <w:tcPr>
            <w:tcW w:w="0" w:type="auto"/>
            <w:vAlign w:val="center"/>
          </w:tcPr>
          <w:p w:rsidR="000A156F" w:rsidRDefault="00A9721F">
            <w:pPr>
              <w:pStyle w:val="TableBodyText"/>
            </w:pPr>
            <w:r>
              <w:t>Month, day, year, anything</w:t>
            </w:r>
          </w:p>
        </w:tc>
        <w:tc>
          <w:tcPr>
            <w:tcW w:w="0" w:type="auto"/>
            <w:vAlign w:val="center"/>
          </w:tcPr>
          <w:p w:rsidR="000A156F" w:rsidRDefault="00A9721F">
            <w:pPr>
              <w:pStyle w:val="TableBodyText"/>
            </w:pPr>
            <w:r>
              <w:t>"D4"</w:t>
            </w:r>
          </w:p>
        </w:tc>
      </w:tr>
      <w:tr w:rsidR="000A156F" w:rsidTr="000A156F">
        <w:tc>
          <w:tcPr>
            <w:tcW w:w="0" w:type="auto"/>
            <w:vAlign w:val="center"/>
          </w:tcPr>
          <w:p w:rsidR="000A156F" w:rsidRDefault="00A9721F">
            <w:pPr>
              <w:pStyle w:val="TableBodyText"/>
            </w:pPr>
            <w:r>
              <w:t>Month, day, anything besides year, anything</w:t>
            </w:r>
          </w:p>
        </w:tc>
        <w:tc>
          <w:tcPr>
            <w:tcW w:w="0" w:type="auto"/>
            <w:vAlign w:val="center"/>
          </w:tcPr>
          <w:p w:rsidR="000A156F" w:rsidRDefault="00A9721F">
            <w:pPr>
              <w:pStyle w:val="TableBodyText"/>
            </w:pPr>
            <w:r>
              <w:t>"D5"</w:t>
            </w:r>
          </w:p>
        </w:tc>
      </w:tr>
      <w:tr w:rsidR="000A156F" w:rsidTr="000A156F">
        <w:tc>
          <w:tcPr>
            <w:tcW w:w="0" w:type="auto"/>
            <w:vAlign w:val="center"/>
          </w:tcPr>
          <w:p w:rsidR="000A156F" w:rsidRDefault="00A9721F">
            <w:pPr>
              <w:pStyle w:val="TableBodyText"/>
            </w:pPr>
            <w:r>
              <w:t>Hours, minutes, seconds, AM/PM, anything</w:t>
            </w:r>
          </w:p>
        </w:tc>
        <w:tc>
          <w:tcPr>
            <w:tcW w:w="0" w:type="auto"/>
            <w:vAlign w:val="center"/>
          </w:tcPr>
          <w:p w:rsidR="000A156F" w:rsidRDefault="00A9721F">
            <w:pPr>
              <w:pStyle w:val="TableBodyText"/>
            </w:pPr>
            <w:r>
              <w:t>"D6"</w:t>
            </w:r>
          </w:p>
        </w:tc>
      </w:tr>
      <w:tr w:rsidR="000A156F" w:rsidTr="000A156F">
        <w:tc>
          <w:tcPr>
            <w:tcW w:w="0" w:type="auto"/>
            <w:vAlign w:val="center"/>
          </w:tcPr>
          <w:p w:rsidR="000A156F" w:rsidRDefault="00A9721F">
            <w:pPr>
              <w:pStyle w:val="TableBodyText"/>
            </w:pPr>
            <w:r>
              <w:t>Hours, minutes, AM/PM, anything</w:t>
            </w:r>
          </w:p>
        </w:tc>
        <w:tc>
          <w:tcPr>
            <w:tcW w:w="0" w:type="auto"/>
            <w:vAlign w:val="center"/>
          </w:tcPr>
          <w:p w:rsidR="000A156F" w:rsidRDefault="00A9721F">
            <w:pPr>
              <w:pStyle w:val="TableBodyText"/>
            </w:pPr>
            <w:r>
              <w:t>"D7"</w:t>
            </w:r>
          </w:p>
        </w:tc>
      </w:tr>
      <w:tr w:rsidR="000A156F" w:rsidTr="000A156F">
        <w:tc>
          <w:tcPr>
            <w:tcW w:w="0" w:type="auto"/>
            <w:vAlign w:val="center"/>
          </w:tcPr>
          <w:p w:rsidR="000A156F" w:rsidRDefault="00A9721F">
            <w:pPr>
              <w:pStyle w:val="TableBodyText"/>
            </w:pPr>
            <w:r>
              <w:t>Hours, minutes, seconds, anything besides AM/PM, anything</w:t>
            </w:r>
          </w:p>
        </w:tc>
        <w:tc>
          <w:tcPr>
            <w:tcW w:w="0" w:type="auto"/>
            <w:vAlign w:val="center"/>
          </w:tcPr>
          <w:p w:rsidR="000A156F" w:rsidRDefault="00A9721F">
            <w:pPr>
              <w:pStyle w:val="TableBodyText"/>
            </w:pPr>
            <w:r>
              <w:t>"D8"</w:t>
            </w:r>
          </w:p>
        </w:tc>
      </w:tr>
      <w:tr w:rsidR="000A156F" w:rsidTr="000A156F">
        <w:tc>
          <w:tcPr>
            <w:tcW w:w="0" w:type="auto"/>
            <w:vAlign w:val="center"/>
          </w:tcPr>
          <w:p w:rsidR="000A156F" w:rsidRDefault="00A9721F">
            <w:pPr>
              <w:pStyle w:val="TableBodyText"/>
            </w:pPr>
            <w:r>
              <w:t>Hours, minutes, anything besides seconds or AM/PM, anything</w:t>
            </w:r>
          </w:p>
        </w:tc>
        <w:tc>
          <w:tcPr>
            <w:tcW w:w="0" w:type="auto"/>
            <w:vAlign w:val="center"/>
          </w:tcPr>
          <w:p w:rsidR="000A156F" w:rsidRDefault="00A9721F">
            <w:pPr>
              <w:pStyle w:val="TableBodyText"/>
            </w:pPr>
            <w:r>
              <w:t>"D9"</w:t>
            </w:r>
          </w:p>
        </w:tc>
      </w:tr>
      <w:tr w:rsidR="000A156F" w:rsidTr="000A156F">
        <w:tc>
          <w:tcPr>
            <w:tcW w:w="0" w:type="auto"/>
            <w:vAlign w:val="center"/>
          </w:tcPr>
          <w:p w:rsidR="000A156F" w:rsidRDefault="00A9721F">
            <w:pPr>
              <w:pStyle w:val="TableBodyText"/>
            </w:pPr>
            <w:r>
              <w:t>Any other combination of symbols</w:t>
            </w:r>
          </w:p>
        </w:tc>
        <w:tc>
          <w:tcPr>
            <w:tcW w:w="0" w:type="auto"/>
            <w:vAlign w:val="center"/>
          </w:tcPr>
          <w:p w:rsidR="000A156F" w:rsidRDefault="00A9721F">
            <w:pPr>
              <w:pStyle w:val="TableBodyText"/>
            </w:pPr>
            <w:r>
              <w:t>"G" or "C" depending on whether there is a $ in the first condition</w:t>
            </w:r>
          </w:p>
        </w:tc>
      </w:tr>
    </w:tbl>
    <w:p w:rsidR="000A156F" w:rsidRDefault="000A156F"/>
    <w:p w:rsidR="000A156F" w:rsidRDefault="00A9721F">
      <w:r>
        <w:t xml:space="preserve">Otherwise, the </w:t>
      </w:r>
      <w:r>
        <w:t>first character of the return value is determined based upon the referenced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A156F" w:rsidRDefault="00A9721F">
            <w:pPr>
              <w:pStyle w:val="TableHeaderText"/>
            </w:pPr>
            <w:r>
              <w:t>First Section of the Number Format Code</w:t>
            </w:r>
          </w:p>
        </w:tc>
        <w:tc>
          <w:tcPr>
            <w:tcW w:w="0" w:type="auto"/>
            <w:vAlign w:val="center"/>
          </w:tcPr>
          <w:p w:rsidR="000A156F" w:rsidRDefault="00A9721F">
            <w:pPr>
              <w:pStyle w:val="TableHeaderText"/>
            </w:pPr>
            <w:r>
              <w:t>First Return Value Character</w:t>
            </w:r>
          </w:p>
        </w:tc>
      </w:tr>
      <w:tr w:rsidR="000A156F" w:rsidTr="000A156F">
        <w:tc>
          <w:tcPr>
            <w:tcW w:w="0" w:type="auto"/>
            <w:vAlign w:val="center"/>
          </w:tcPr>
          <w:p w:rsidR="000A156F" w:rsidRDefault="00A9721F">
            <w:pPr>
              <w:pStyle w:val="TableBodyText"/>
            </w:pPr>
            <w:r>
              <w:t>Absent Characters</w:t>
            </w:r>
          </w:p>
          <w:p w:rsidR="000A156F" w:rsidRDefault="00A9721F">
            <w:pPr>
              <w:pStyle w:val="TableBodyText"/>
            </w:pPr>
            <w:r>
              <w:t>(as Symbols)</w:t>
            </w:r>
          </w:p>
        </w:tc>
        <w:tc>
          <w:tcPr>
            <w:tcW w:w="0" w:type="auto"/>
            <w:vAlign w:val="center"/>
          </w:tcPr>
          <w:p w:rsidR="000A156F" w:rsidRDefault="00A9721F">
            <w:pPr>
              <w:pStyle w:val="TableBodyText"/>
            </w:pPr>
            <w:r>
              <w:t>Presen</w:t>
            </w:r>
            <w:r>
              <w:t>t Characters</w:t>
            </w:r>
          </w:p>
          <w:p w:rsidR="000A156F" w:rsidRDefault="00A9721F">
            <w:pPr>
              <w:pStyle w:val="TableBodyText"/>
            </w:pPr>
            <w:r>
              <w:t>(as Symbols)</w:t>
            </w:r>
          </w:p>
        </w:tc>
        <w:tc>
          <w:tcPr>
            <w:tcW w:w="0" w:type="auto"/>
            <w:vAlign w:val="center"/>
          </w:tcPr>
          <w:p w:rsidR="000A156F" w:rsidRDefault="000A156F">
            <w:pPr>
              <w:pStyle w:val="TableBodyText"/>
            </w:pPr>
          </w:p>
        </w:tc>
      </w:tr>
      <w:tr w:rsidR="000A156F" w:rsidTr="000A156F">
        <w:tc>
          <w:tcPr>
            <w:tcW w:w="0" w:type="auto"/>
            <w:vAlign w:val="center"/>
          </w:tcPr>
          <w:p w:rsidR="000A156F" w:rsidRDefault="000A156F">
            <w:pPr>
              <w:pStyle w:val="TableBodyText"/>
            </w:pPr>
          </w:p>
        </w:tc>
        <w:tc>
          <w:tcPr>
            <w:tcW w:w="0" w:type="auto"/>
            <w:vAlign w:val="center"/>
          </w:tcPr>
          <w:p w:rsidR="000A156F" w:rsidRDefault="00A9721F">
            <w:pPr>
              <w:pStyle w:val="TableBodyText"/>
            </w:pPr>
            <w:r>
              <w:t>@</w:t>
            </w:r>
          </w:p>
        </w:tc>
        <w:tc>
          <w:tcPr>
            <w:tcW w:w="0" w:type="auto"/>
            <w:vAlign w:val="center"/>
          </w:tcPr>
          <w:p w:rsidR="000A156F" w:rsidRDefault="00A9721F">
            <w:pPr>
              <w:pStyle w:val="TableBodyText"/>
            </w:pPr>
            <w:r>
              <w:t>"G"</w:t>
            </w:r>
          </w:p>
        </w:tc>
      </w:tr>
      <w:tr w:rsidR="000A156F" w:rsidTr="000A156F">
        <w:tc>
          <w:tcPr>
            <w:tcW w:w="0" w:type="auto"/>
            <w:vAlign w:val="center"/>
          </w:tcPr>
          <w:p w:rsidR="000A156F" w:rsidRDefault="00A9721F">
            <w:pPr>
              <w:pStyle w:val="TableBodyText"/>
            </w:pPr>
            <w:r>
              <w:t>@</w:t>
            </w:r>
          </w:p>
        </w:tc>
        <w:tc>
          <w:tcPr>
            <w:tcW w:w="0" w:type="auto"/>
            <w:vAlign w:val="center"/>
          </w:tcPr>
          <w:p w:rsidR="000A156F" w:rsidRDefault="00A9721F">
            <w:pPr>
              <w:pStyle w:val="TableBodyText"/>
            </w:pPr>
            <w:r>
              <w:t>$</w:t>
            </w:r>
          </w:p>
        </w:tc>
        <w:tc>
          <w:tcPr>
            <w:tcW w:w="0" w:type="auto"/>
            <w:vAlign w:val="center"/>
          </w:tcPr>
          <w:p w:rsidR="000A156F" w:rsidRDefault="00A9721F">
            <w:pPr>
              <w:pStyle w:val="TableBodyText"/>
            </w:pPr>
            <w:r>
              <w:t>"C"</w:t>
            </w:r>
          </w:p>
        </w:tc>
      </w:tr>
      <w:tr w:rsidR="000A156F" w:rsidTr="000A156F">
        <w:tc>
          <w:tcPr>
            <w:tcW w:w="0" w:type="auto"/>
            <w:vAlign w:val="center"/>
          </w:tcPr>
          <w:p w:rsidR="000A156F" w:rsidRDefault="00A9721F">
            <w:pPr>
              <w:pStyle w:val="TableBodyText"/>
            </w:pPr>
            <w:r>
              <w:t>@, $</w:t>
            </w:r>
          </w:p>
        </w:tc>
        <w:tc>
          <w:tcPr>
            <w:tcW w:w="0" w:type="auto"/>
            <w:vAlign w:val="center"/>
          </w:tcPr>
          <w:p w:rsidR="000A156F" w:rsidRDefault="00A9721F">
            <w:pPr>
              <w:pStyle w:val="TableBodyText"/>
            </w:pPr>
            <w:r>
              <w:t>%</w:t>
            </w:r>
          </w:p>
        </w:tc>
        <w:tc>
          <w:tcPr>
            <w:tcW w:w="0" w:type="auto"/>
            <w:vAlign w:val="center"/>
          </w:tcPr>
          <w:p w:rsidR="000A156F" w:rsidRDefault="00A9721F">
            <w:pPr>
              <w:pStyle w:val="TableBodyText"/>
            </w:pPr>
            <w:r>
              <w:t>"P"</w:t>
            </w:r>
          </w:p>
        </w:tc>
      </w:tr>
      <w:tr w:rsidR="000A156F" w:rsidTr="000A156F">
        <w:tc>
          <w:tcPr>
            <w:tcW w:w="0" w:type="auto"/>
            <w:vAlign w:val="center"/>
          </w:tcPr>
          <w:p w:rsidR="000A156F" w:rsidRDefault="00A9721F">
            <w:pPr>
              <w:pStyle w:val="TableBodyText"/>
            </w:pPr>
            <w:r>
              <w:t>@, $, %</w:t>
            </w:r>
          </w:p>
        </w:tc>
        <w:tc>
          <w:tcPr>
            <w:tcW w:w="0" w:type="auto"/>
            <w:vAlign w:val="center"/>
          </w:tcPr>
          <w:p w:rsidR="000A156F" w:rsidRDefault="00A9721F">
            <w:pPr>
              <w:pStyle w:val="TableBodyText"/>
            </w:pPr>
            <w:r>
              <w:t>E</w:t>
            </w:r>
          </w:p>
        </w:tc>
        <w:tc>
          <w:tcPr>
            <w:tcW w:w="0" w:type="auto"/>
            <w:vAlign w:val="center"/>
          </w:tcPr>
          <w:p w:rsidR="000A156F" w:rsidRDefault="00A9721F">
            <w:pPr>
              <w:pStyle w:val="TableBodyText"/>
            </w:pPr>
            <w:r>
              <w:t>"S"</w:t>
            </w:r>
          </w:p>
        </w:tc>
      </w:tr>
      <w:tr w:rsidR="000A156F" w:rsidTr="000A156F">
        <w:tc>
          <w:tcPr>
            <w:tcW w:w="0" w:type="auto"/>
            <w:vAlign w:val="center"/>
          </w:tcPr>
          <w:p w:rsidR="000A156F" w:rsidRDefault="00A9721F">
            <w:pPr>
              <w:pStyle w:val="TableBodyText"/>
            </w:pPr>
            <w:r>
              <w:t>@, $, %, E</w:t>
            </w:r>
          </w:p>
        </w:tc>
        <w:tc>
          <w:tcPr>
            <w:tcW w:w="0" w:type="auto"/>
            <w:vAlign w:val="center"/>
          </w:tcPr>
          <w:p w:rsidR="000A156F" w:rsidRDefault="00A9721F">
            <w:pPr>
              <w:pStyle w:val="TableBodyText"/>
            </w:pPr>
            <w:r>
              <w:t>A run of any combination of one or more "0", "#", and "?" characters, followed by a comma, followed by a run of any combination of one or more "0", "#", and "?" characters.</w:t>
            </w:r>
          </w:p>
          <w:p w:rsidR="000A156F" w:rsidRDefault="000A156F">
            <w:pPr>
              <w:pStyle w:val="TableBodyText"/>
            </w:pPr>
          </w:p>
          <w:p w:rsidR="000A156F" w:rsidRDefault="00A9721F">
            <w:pPr>
              <w:pStyle w:val="TableBodyText"/>
            </w:pPr>
            <w:r>
              <w:t>This run cannot be preceded by a period (".") or by any interpreted characters.</w:t>
            </w:r>
          </w:p>
        </w:tc>
        <w:tc>
          <w:tcPr>
            <w:tcW w:w="0" w:type="auto"/>
            <w:vAlign w:val="center"/>
          </w:tcPr>
          <w:p w:rsidR="000A156F" w:rsidRDefault="00A9721F">
            <w:pPr>
              <w:pStyle w:val="TableBodyText"/>
            </w:pPr>
            <w:r>
              <w:t>","</w:t>
            </w:r>
          </w:p>
        </w:tc>
      </w:tr>
      <w:tr w:rsidR="000A156F" w:rsidTr="000A156F">
        <w:tc>
          <w:tcPr>
            <w:tcW w:w="0" w:type="auto"/>
            <w:vAlign w:val="center"/>
          </w:tcPr>
          <w:p w:rsidR="000A156F" w:rsidRDefault="00A9721F">
            <w:pPr>
              <w:pStyle w:val="TableBodyText"/>
            </w:pPr>
            <w:r>
              <w:t xml:space="preserve">@, $, %, E, or a run of characters containing a comma as described in the preceding row </w:t>
            </w:r>
          </w:p>
        </w:tc>
        <w:tc>
          <w:tcPr>
            <w:tcW w:w="0" w:type="auto"/>
            <w:vAlign w:val="center"/>
          </w:tcPr>
          <w:p w:rsidR="000A156F" w:rsidRDefault="00A9721F">
            <w:pPr>
              <w:pStyle w:val="TableBodyText"/>
            </w:pPr>
            <w:r>
              <w:t>At least one of "0", "?", or "#"</w:t>
            </w:r>
          </w:p>
        </w:tc>
        <w:tc>
          <w:tcPr>
            <w:tcW w:w="0" w:type="auto"/>
            <w:vAlign w:val="center"/>
          </w:tcPr>
          <w:p w:rsidR="000A156F" w:rsidRDefault="00A9721F">
            <w:pPr>
              <w:pStyle w:val="TableBodyText"/>
            </w:pPr>
            <w:r>
              <w:t>"F"</w:t>
            </w:r>
          </w:p>
        </w:tc>
      </w:tr>
      <w:tr w:rsidR="000A156F" w:rsidTr="000A156F">
        <w:tc>
          <w:tcPr>
            <w:tcW w:w="0" w:type="auto"/>
            <w:vAlign w:val="center"/>
          </w:tcPr>
          <w:p w:rsidR="000A156F" w:rsidRDefault="00A9721F">
            <w:pPr>
              <w:pStyle w:val="TableBodyText"/>
            </w:pPr>
            <w:r>
              <w:t xml:space="preserve">Any of the conditions described in the </w:t>
            </w:r>
            <w:r>
              <w:t>preceding rows</w:t>
            </w:r>
          </w:p>
        </w:tc>
        <w:tc>
          <w:tcPr>
            <w:tcW w:w="0" w:type="auto"/>
            <w:vAlign w:val="center"/>
          </w:tcPr>
          <w:p w:rsidR="000A156F" w:rsidRDefault="00A9721F">
            <w:pPr>
              <w:pStyle w:val="TableBodyText"/>
            </w:pPr>
            <w:r>
              <w:t>Anything</w:t>
            </w:r>
          </w:p>
        </w:tc>
        <w:tc>
          <w:tcPr>
            <w:tcW w:w="0" w:type="auto"/>
            <w:vAlign w:val="center"/>
          </w:tcPr>
          <w:p w:rsidR="000A156F" w:rsidRDefault="00A9721F">
            <w:pPr>
              <w:pStyle w:val="TableBodyText"/>
            </w:pPr>
            <w:r>
              <w:t>"G"</w:t>
            </w:r>
          </w:p>
        </w:tc>
      </w:tr>
    </w:tbl>
    <w:p w:rsidR="000A156F" w:rsidRDefault="000A156F"/>
    <w:p w:rsidR="000A156F" w:rsidRDefault="00A9721F">
      <w:r>
        <w:lastRenderedPageBreak/>
        <w:t>The final value is determined by appending any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Case</w:t>
            </w:r>
          </w:p>
        </w:tc>
        <w:tc>
          <w:tcPr>
            <w:tcW w:w="0" w:type="auto"/>
            <w:vAlign w:val="center"/>
          </w:tcPr>
          <w:p w:rsidR="000A156F" w:rsidRDefault="00A9721F">
            <w:pPr>
              <w:pStyle w:val="TableHeaderText"/>
            </w:pPr>
            <w:r>
              <w:t>Characters to Append</w:t>
            </w:r>
          </w:p>
        </w:tc>
      </w:tr>
      <w:tr w:rsidR="000A156F" w:rsidTr="000A156F">
        <w:tc>
          <w:tcPr>
            <w:tcW w:w="0" w:type="auto"/>
            <w:vAlign w:val="center"/>
          </w:tcPr>
          <w:p w:rsidR="000A156F" w:rsidRDefault="00A9721F">
            <w:pPr>
              <w:pStyle w:val="TableBodyText"/>
            </w:pPr>
            <w:r>
              <w:t>The first character of the r</w:t>
            </w:r>
            <w:r>
              <w:t>eturn value is C, F, S, P, or "," and the number format code contains any of "?", "0", or "#" as a symbol.</w:t>
            </w:r>
          </w:p>
        </w:tc>
        <w:tc>
          <w:tcPr>
            <w:tcW w:w="0" w:type="auto"/>
            <w:vAlign w:val="center"/>
          </w:tcPr>
          <w:p w:rsidR="000A156F" w:rsidRDefault="00A9721F">
            <w:pPr>
              <w:pStyle w:val="TableBodyText"/>
            </w:pPr>
            <w:r>
              <w:t>The decimal number equal to the total number of "#", "?", and "0" characters to the right of the first "." within the first section.</w:t>
            </w:r>
          </w:p>
        </w:tc>
      </w:tr>
      <w:tr w:rsidR="000A156F" w:rsidTr="000A156F">
        <w:tc>
          <w:tcPr>
            <w:tcW w:w="0" w:type="auto"/>
            <w:vAlign w:val="center"/>
          </w:tcPr>
          <w:p w:rsidR="000A156F" w:rsidRDefault="00A9721F">
            <w:pPr>
              <w:pStyle w:val="TableBodyText"/>
            </w:pPr>
            <w:r>
              <w:t xml:space="preserve">The first </w:t>
            </w:r>
            <w:r>
              <w:t>character of the return value was C, and the number format code does not contains any of "?", "0", or "#" as a symbol.</w:t>
            </w:r>
          </w:p>
        </w:tc>
        <w:tc>
          <w:tcPr>
            <w:tcW w:w="0" w:type="auto"/>
            <w:vAlign w:val="center"/>
          </w:tcPr>
          <w:p w:rsidR="000A156F" w:rsidRDefault="00A9721F">
            <w:pPr>
              <w:pStyle w:val="TableBodyText"/>
            </w:pPr>
            <w:r>
              <w:t>15 or the length of the string immediately following the first "$" sign in the number format code that is a symbol.</w:t>
            </w:r>
          </w:p>
        </w:tc>
      </w:tr>
      <w:tr w:rsidR="000A156F" w:rsidTr="000A156F">
        <w:tc>
          <w:tcPr>
            <w:tcW w:w="0" w:type="auto"/>
            <w:vAlign w:val="center"/>
          </w:tcPr>
          <w:p w:rsidR="000A156F" w:rsidRDefault="00A9721F">
            <w:pPr>
              <w:pStyle w:val="TableBodyText"/>
            </w:pPr>
            <w:r>
              <w:t>The first section of</w:t>
            </w:r>
            <w:r>
              <w:t xml:space="preserve"> the number format code contains an open parenthesis ("(") as a symbol.</w:t>
            </w:r>
          </w:p>
        </w:tc>
        <w:tc>
          <w:tcPr>
            <w:tcW w:w="0" w:type="auto"/>
            <w:vAlign w:val="center"/>
          </w:tcPr>
          <w:p w:rsidR="000A156F" w:rsidRDefault="00A9721F">
            <w:pPr>
              <w:pStyle w:val="TableBodyText"/>
            </w:pPr>
            <w:r>
              <w:t>"()"</w:t>
            </w:r>
          </w:p>
        </w:tc>
      </w:tr>
      <w:tr w:rsidR="000A156F" w:rsidTr="000A156F">
        <w:tc>
          <w:tcPr>
            <w:tcW w:w="0" w:type="auto"/>
            <w:vAlign w:val="center"/>
          </w:tcPr>
          <w:p w:rsidR="000A156F" w:rsidRDefault="00A9721F">
            <w:pPr>
              <w:pStyle w:val="TableBodyText"/>
            </w:pPr>
            <w:r>
              <w:t>The second section of the number format code contains [Red], [Black], [Green], [White], [Blue], [Magenta], [Yellow], or [Cyan] as a symbol.</w:t>
            </w:r>
          </w:p>
        </w:tc>
        <w:tc>
          <w:tcPr>
            <w:tcW w:w="0" w:type="auto"/>
            <w:vAlign w:val="center"/>
          </w:tcPr>
          <w:p w:rsidR="000A156F" w:rsidRDefault="00A9721F">
            <w:pPr>
              <w:pStyle w:val="TableBodyText"/>
            </w:pPr>
            <w:r>
              <w:t>"-"</w:t>
            </w:r>
          </w:p>
        </w:tc>
      </w:tr>
    </w:tbl>
    <w:p w:rsidR="000A156F" w:rsidRDefault="000A156F"/>
    <w:p w:rsidR="000A156F" w:rsidRDefault="00A9721F">
      <w:pPr>
        <w:pStyle w:val="Definition-Field"/>
      </w:pPr>
      <w:r>
        <w:t xml:space="preserve">c.   </w:t>
      </w:r>
      <w:r>
        <w:rPr>
          <w:i/>
        </w:rPr>
        <w:t>The standard does not speci</w:t>
      </w:r>
      <w:r>
        <w:rPr>
          <w:i/>
        </w:rPr>
        <w:t>fy coord and sheet as values for argument category.</w:t>
      </w:r>
    </w:p>
    <w:p w:rsidR="000A156F" w:rsidRDefault="00A9721F">
      <w:r>
        <w:t xml:space="preserve">Excel allows the following additional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category</w:t>
            </w:r>
          </w:p>
        </w:tc>
        <w:tc>
          <w:tcPr>
            <w:tcW w:w="0" w:type="auto"/>
            <w:vAlign w:val="center"/>
          </w:tcPr>
          <w:p w:rsidR="000A156F" w:rsidRDefault="00A9721F">
            <w:pPr>
              <w:pStyle w:val="TableHeaderText"/>
            </w:pPr>
            <w:r>
              <w:t>Meaning</w:t>
            </w:r>
          </w:p>
        </w:tc>
        <w:tc>
          <w:tcPr>
            <w:tcW w:w="0" w:type="auto"/>
            <w:vAlign w:val="center"/>
          </w:tcPr>
          <w:p w:rsidR="000A156F" w:rsidRDefault="00A9721F">
            <w:pPr>
              <w:pStyle w:val="TableHeaderText"/>
            </w:pPr>
            <w:r>
              <w:t>Result Type</w:t>
            </w:r>
          </w:p>
        </w:tc>
      </w:tr>
      <w:tr w:rsidR="000A156F" w:rsidTr="000A156F">
        <w:tc>
          <w:tcPr>
            <w:tcW w:w="0" w:type="auto"/>
            <w:vAlign w:val="center"/>
          </w:tcPr>
          <w:p w:rsidR="000A156F" w:rsidRDefault="00A9721F">
            <w:pPr>
              <w:pStyle w:val="TableBodyText"/>
            </w:pPr>
            <w:r>
              <w:rPr>
                <w:rStyle w:val="InlineCode"/>
              </w:rPr>
              <w:t>“coord”</w:t>
            </w:r>
          </w:p>
        </w:tc>
        <w:tc>
          <w:tcPr>
            <w:tcW w:w="0" w:type="auto"/>
            <w:vAlign w:val="center"/>
          </w:tcPr>
          <w:p w:rsidR="000A156F" w:rsidRDefault="00A9721F">
            <w:pPr>
              <w:pStyle w:val="TableBodyText"/>
            </w:pPr>
            <w:r>
              <w:t>Returns the referenced cell in the format $A:$&lt;referenced column&gt;$&lt;referenced row&gt;.</w:t>
            </w:r>
          </w:p>
        </w:tc>
        <w:tc>
          <w:tcPr>
            <w:tcW w:w="0" w:type="auto"/>
            <w:vAlign w:val="center"/>
          </w:tcPr>
          <w:p w:rsidR="000A156F" w:rsidRDefault="00A9721F">
            <w:pPr>
              <w:pStyle w:val="TableBodyText"/>
            </w:pPr>
            <w:r>
              <w:t>text</w:t>
            </w:r>
          </w:p>
        </w:tc>
      </w:tr>
      <w:tr w:rsidR="000A156F" w:rsidTr="000A156F">
        <w:tc>
          <w:tcPr>
            <w:tcW w:w="0" w:type="auto"/>
            <w:vAlign w:val="center"/>
          </w:tcPr>
          <w:p w:rsidR="000A156F" w:rsidRDefault="00A9721F">
            <w:pPr>
              <w:pStyle w:val="TableBodyText"/>
            </w:pPr>
            <w:r>
              <w:rPr>
                <w:rStyle w:val="InlineCode"/>
              </w:rPr>
              <w:t>“sheet”</w:t>
            </w:r>
          </w:p>
        </w:tc>
        <w:tc>
          <w:tcPr>
            <w:tcW w:w="0" w:type="auto"/>
            <w:vAlign w:val="center"/>
          </w:tcPr>
          <w:p w:rsidR="000A156F" w:rsidRDefault="00A9721F">
            <w:pPr>
              <w:pStyle w:val="TableBodyText"/>
            </w:pPr>
            <w:r>
              <w:t>Returns 1.</w:t>
            </w:r>
          </w:p>
        </w:tc>
        <w:tc>
          <w:tcPr>
            <w:tcW w:w="0" w:type="auto"/>
            <w:vAlign w:val="center"/>
          </w:tcPr>
          <w:p w:rsidR="000A156F" w:rsidRDefault="00A9721F">
            <w:pPr>
              <w:pStyle w:val="TableBodyText"/>
            </w:pPr>
            <w:r>
              <w:t>number</w:t>
            </w:r>
          </w:p>
        </w:tc>
      </w:tr>
    </w:tbl>
    <w:p w:rsidR="000A156F" w:rsidRDefault="000A156F"/>
    <w:p w:rsidR="000A156F" w:rsidRDefault="00A9721F">
      <w:pPr>
        <w:pStyle w:val="Heading3"/>
      </w:pPr>
      <w:bookmarkStart w:id="1814" w:name="section_ea535fffeba54b7eb9d5875c916ad0a9"/>
      <w:bookmarkStart w:id="1815" w:name="_Toc181683933"/>
      <w:r>
        <w:t>Part 1 Section 18.17.7.37, CHIINV</w:t>
      </w:r>
      <w:bookmarkEnd w:id="1814"/>
      <w:bookmarkEnd w:id="1815"/>
      <w:r>
        <w:fldChar w:fldCharType="begin"/>
      </w:r>
      <w:r>
        <w:instrText xml:space="preserve"> XE "CHIINV" </w:instrText>
      </w:r>
      <w:r>
        <w:fldChar w:fldCharType="end"/>
      </w:r>
    </w:p>
    <w:p w:rsidR="000A156F" w:rsidRDefault="00A9721F">
      <w:pPr>
        <w:pStyle w:val="Definition-Field"/>
      </w:pPr>
      <w:r>
        <w:t xml:space="preserve">a.   </w:t>
      </w:r>
      <w:r>
        <w:rPr>
          <w:i/>
        </w:rPr>
        <w:t>The standard specifies that an iterative search technique is used for the implementation of the CHIINV function.</w:t>
      </w:r>
    </w:p>
    <w:p w:rsidR="000A156F" w:rsidRDefault="00A9721F">
      <w:pPr>
        <w:pStyle w:val="Definition-Field2"/>
      </w:pPr>
      <w:r>
        <w:t>Office does not require an iterative search technique to be u</w:t>
      </w:r>
      <w:r>
        <w:t>sed.</w:t>
      </w:r>
    </w:p>
    <w:p w:rsidR="000A156F" w:rsidRDefault="00A9721F">
      <w:pPr>
        <w:pStyle w:val="Definition-Field"/>
      </w:pPr>
      <w:r>
        <w:t xml:space="preserve">b.   </w:t>
      </w:r>
      <w:r>
        <w:rPr>
          <w:i/>
        </w:rPr>
        <w:t>The standard lists #N/A as the return value in case the search has not converged after some number of iterations.</w:t>
      </w:r>
    </w:p>
    <w:p w:rsidR="000A156F" w:rsidRDefault="00A9721F">
      <w:pPr>
        <w:pStyle w:val="Definition-Field2"/>
      </w:pPr>
      <w:r>
        <w:t>Office does not require an iterative search technique to be used.</w:t>
      </w:r>
    </w:p>
    <w:p w:rsidR="000A156F" w:rsidRDefault="00A9721F">
      <w:pPr>
        <w:pStyle w:val="Heading3"/>
      </w:pPr>
      <w:bookmarkStart w:id="1816" w:name="section_6b555c7bc86744e48241299daf41f91f"/>
      <w:bookmarkStart w:id="1817" w:name="_Toc181683934"/>
      <w:r>
        <w:t>Part 1 Section 18.17.7.40, CLEAN</w:t>
      </w:r>
      <w:bookmarkEnd w:id="1816"/>
      <w:bookmarkEnd w:id="1817"/>
      <w:r>
        <w:fldChar w:fldCharType="begin"/>
      </w:r>
      <w:r>
        <w:instrText xml:space="preserve"> XE "CLEAN" </w:instrText>
      </w:r>
      <w:r>
        <w:fldChar w:fldCharType="end"/>
      </w:r>
    </w:p>
    <w:p w:rsidR="000A156F" w:rsidRDefault="00A9721F">
      <w:pPr>
        <w:pStyle w:val="Definition-Field"/>
      </w:pPr>
      <w:r>
        <w:t xml:space="preserve">a.   </w:t>
      </w:r>
      <w:r>
        <w:rPr>
          <w:i/>
        </w:rPr>
        <w:t xml:space="preserve">The standard </w:t>
      </w:r>
      <w:r>
        <w:rPr>
          <w:i/>
        </w:rPr>
        <w:t>states that the function makes a string that is a copy of string with all so-called non-printable characters—those with internal values in the range U+0000–001F—removed.</w:t>
      </w:r>
    </w:p>
    <w:p w:rsidR="000A156F" w:rsidRDefault="00A9721F">
      <w:pPr>
        <w:pStyle w:val="Definition-Field2"/>
      </w:pPr>
      <w:r>
        <w:t>In Office, the function makes a string that is a copy of string with all so-called non</w:t>
      </w:r>
      <w:r>
        <w:t>-printable characters removed; specifically, those characters with internal values in the Unicode ranges U+0000 – U+001F and U+0080 – U+009F are removed.</w:t>
      </w:r>
    </w:p>
    <w:p w:rsidR="000A156F" w:rsidRDefault="00A9721F">
      <w:pPr>
        <w:pStyle w:val="Heading3"/>
      </w:pPr>
      <w:bookmarkStart w:id="1818" w:name="section_fde89d007c2b42478077d9d923e7c804"/>
      <w:bookmarkStart w:id="1819" w:name="_Toc181683935"/>
      <w:r>
        <w:lastRenderedPageBreak/>
        <w:t>Part 1 Section 18.17.7.45, COMPLEX</w:t>
      </w:r>
      <w:bookmarkEnd w:id="1818"/>
      <w:bookmarkEnd w:id="1819"/>
      <w:r>
        <w:fldChar w:fldCharType="begin"/>
      </w:r>
      <w:r>
        <w:instrText xml:space="preserve"> XE "COMPLEX" </w:instrText>
      </w:r>
      <w:r>
        <w:fldChar w:fldCharType="end"/>
      </w:r>
    </w:p>
    <w:p w:rsidR="000A156F" w:rsidRDefault="00A9721F">
      <w:pPr>
        <w:pStyle w:val="Definition-Field"/>
      </w:pPr>
      <w:r>
        <w:t xml:space="preserve">a.   </w:t>
      </w:r>
      <w:r>
        <w:rPr>
          <w:i/>
        </w:rPr>
        <w:t>The standard states that if real-number has th</w:t>
      </w:r>
      <w:r>
        <w:rPr>
          <w:i/>
        </w:rPr>
        <w:t>e value 0 and imaginary-number has a non-zero value, the resulting string contains just the real number.</w:t>
      </w:r>
    </w:p>
    <w:p w:rsidR="000A156F" w:rsidRDefault="00A9721F">
      <w:pPr>
        <w:pStyle w:val="Definition-Field2"/>
      </w:pPr>
      <w:r>
        <w:t>In Office, if real-number has the value 0 and imaginary-number has a non-zero value, the resulting string contains just the imaginary-number and suffix</w:t>
      </w:r>
      <w:r>
        <w:t>.</w:t>
      </w:r>
    </w:p>
    <w:p w:rsidR="000A156F" w:rsidRDefault="00A9721F">
      <w:pPr>
        <w:pStyle w:val="Heading3"/>
      </w:pPr>
      <w:bookmarkStart w:id="1820" w:name="section_aa6808c815784fff8c5fd2005b48dbda"/>
      <w:bookmarkStart w:id="1821" w:name="_Toc181683936"/>
      <w:r>
        <w:t>Part 1 Section 18.17.7.47, CONFIDENCE</w:t>
      </w:r>
      <w:bookmarkEnd w:id="1820"/>
      <w:bookmarkEnd w:id="1821"/>
      <w:r>
        <w:fldChar w:fldCharType="begin"/>
      </w:r>
      <w:r>
        <w:instrText xml:space="preserve"> XE "CONFIDENCE" </w:instrText>
      </w:r>
      <w:r>
        <w:fldChar w:fldCharType="end"/>
      </w:r>
    </w:p>
    <w:p w:rsidR="000A156F" w:rsidRDefault="00A9721F">
      <w:pPr>
        <w:pStyle w:val="Definition-Field"/>
      </w:pPr>
      <w:r>
        <w:t xml:space="preserve">a.   </w:t>
      </w:r>
      <w:r>
        <w:rPr>
          <w:i/>
        </w:rPr>
        <w:t>The standard does not specify on which probability distribution the CONFIDENCE function is based.</w:t>
      </w:r>
    </w:p>
    <w:p w:rsidR="000A156F" w:rsidRDefault="00A9721F">
      <w:pPr>
        <w:pStyle w:val="Definition-Field2"/>
      </w:pPr>
      <w:r>
        <w:t>In Office, the CONFIDENCE function is based on a normal distribution.</w:t>
      </w:r>
    </w:p>
    <w:p w:rsidR="000A156F" w:rsidRDefault="00A9721F">
      <w:pPr>
        <w:pStyle w:val="Heading3"/>
      </w:pPr>
      <w:bookmarkStart w:id="1822" w:name="section_fd31bfcbc9464f1a88e258d40cde169e"/>
      <w:bookmarkStart w:id="1823" w:name="_Toc181683937"/>
      <w:r>
        <w:t>Part 1 Section 18.17.7.48, CONVERT</w:t>
      </w:r>
      <w:bookmarkEnd w:id="1822"/>
      <w:bookmarkEnd w:id="1823"/>
      <w:r>
        <w:fldChar w:fldCharType="begin"/>
      </w:r>
      <w:r>
        <w:instrText xml:space="preserve"> XE "CONVERT" </w:instrText>
      </w:r>
      <w:r>
        <w:fldChar w:fldCharType="end"/>
      </w:r>
    </w:p>
    <w:p w:rsidR="000A156F" w:rsidRDefault="00A9721F">
      <w:pPr>
        <w:pStyle w:val="Definition-Field"/>
      </w:pPr>
      <w:r>
        <w:t xml:space="preserve">a.   </w:t>
      </w:r>
      <w:r>
        <w:rPr>
          <w:i/>
        </w:rPr>
        <w:t>The standard specifies P or p as the unit string for Pascal.</w:t>
      </w:r>
    </w:p>
    <w:p w:rsidR="000A156F" w:rsidRDefault="00A9721F">
      <w:pPr>
        <w:pStyle w:val="Definition-Field2"/>
      </w:pPr>
      <w:r>
        <w:t>Office requires Pa or p to be the unit string for Pascal.</w:t>
      </w:r>
    </w:p>
    <w:p w:rsidR="000A156F" w:rsidRDefault="00A9721F">
      <w:pPr>
        <w:pStyle w:val="Definition-Field"/>
      </w:pPr>
      <w:r>
        <w:t xml:space="preserve">b.   </w:t>
      </w:r>
      <w:r>
        <w:rPr>
          <w:i/>
        </w:rPr>
        <w:t>The standard specifies H or hp as the unit string for Horsepower.</w:t>
      </w:r>
    </w:p>
    <w:p w:rsidR="000A156F" w:rsidRDefault="00A9721F">
      <w:pPr>
        <w:pStyle w:val="Definition-Field2"/>
      </w:pPr>
      <w:r>
        <w:t>Office req</w:t>
      </w:r>
      <w:r>
        <w:t>uires h or HP as the unit string for Horsepower.</w:t>
      </w:r>
    </w:p>
    <w:p w:rsidR="000A156F" w:rsidRDefault="00A9721F">
      <w:pPr>
        <w:pStyle w:val="Definition-Field"/>
      </w:pPr>
      <w:r>
        <w:t xml:space="preserve">c.   </w:t>
      </w:r>
      <w:r>
        <w:rPr>
          <w:i/>
        </w:rPr>
        <w:t>The standard does not specify the detailed unity type for cup, oz, tbs, and tsp.</w:t>
      </w:r>
    </w:p>
    <w:p w:rsidR="000A156F" w:rsidRDefault="00A9721F">
      <w:pPr>
        <w:pStyle w:val="Definition-Field2"/>
      </w:pPr>
      <w:r>
        <w:t>Office treats cup as traditional U.S cup, oz as U.S. fluid ounce, tbs as traditional U.S. tablespoon, and tsp as traditio</w:t>
      </w:r>
      <w:r>
        <w:t>nal U.S. teaspoon.</w:t>
      </w:r>
    </w:p>
    <w:p w:rsidR="000A156F" w:rsidRDefault="00A9721F">
      <w:pPr>
        <w:pStyle w:val="Definition-Field"/>
      </w:pPr>
      <w:r>
        <w:t xml:space="preserve">d.   </w:t>
      </w:r>
      <w:r>
        <w:rPr>
          <w:i/>
        </w:rPr>
        <w:t>The standard specifies ptorus_pt as the unit string for U.S. pint.</w:t>
      </w:r>
    </w:p>
    <w:p w:rsidR="000A156F" w:rsidRDefault="00A9721F">
      <w:pPr>
        <w:pStyle w:val="Definition-Field2"/>
      </w:pPr>
      <w:r>
        <w:t>Office requires pt or us_pt as the unit string for U.S. pint.</w:t>
      </w:r>
    </w:p>
    <w:p w:rsidR="000A156F" w:rsidRDefault="00A9721F">
      <w:pPr>
        <w:pStyle w:val="Definition-Field"/>
      </w:pPr>
      <w:r>
        <w:t xml:space="preserve">e.   </w:t>
      </w:r>
      <w:r>
        <w:rPr>
          <w:i/>
        </w:rPr>
        <w:t>The standard specifies a list of liquid measure conversions.</w:t>
      </w:r>
    </w:p>
    <w:p w:rsidR="000A156F" w:rsidRDefault="00A9721F">
      <w:r>
        <w:t>Office does not support the following</w:t>
      </w:r>
      <w:r>
        <w:t xml:space="preserve"> liquid measure conversions: AU_tbs, CZ_mass, CZ_mug, GB_tbs, CA_tbs, JP_tbs, imperial_gal, AU_gal, CA_gal, GB_gal, imperial_oz, AU_oz, CA_oz, GB_oz, imperial_pt, AU_pt, CA_pt, GB_pt, imperial_qt, AU_qt, CA_qt, GB_qt, JP_cup, metric_cup, AU_cup, CA_cup, NZ</w:t>
      </w:r>
      <w:r>
        <w:t>_cup, metric_tsp, AU_tsp, CA_tsp, JP_tsp, GB_tsp.</w:t>
      </w:r>
    </w:p>
    <w:p w:rsidR="000A156F" w:rsidRDefault="00A9721F">
      <w:pPr>
        <w:pStyle w:val="Heading3"/>
      </w:pPr>
      <w:bookmarkStart w:id="1824" w:name="section_7864edd9d4b74cf0bc4f6c50985e22ce"/>
      <w:bookmarkStart w:id="1825" w:name="_Toc181683938"/>
      <w:r>
        <w:t>Part 1 Section 18.17.7.49, CORREL</w:t>
      </w:r>
      <w:bookmarkEnd w:id="1824"/>
      <w:bookmarkEnd w:id="1825"/>
      <w:r>
        <w:fldChar w:fldCharType="begin"/>
      </w:r>
      <w:r>
        <w:instrText xml:space="preserve"> XE "CORREL" </w:instrText>
      </w:r>
      <w:r>
        <w:fldChar w:fldCharType="end"/>
      </w:r>
    </w:p>
    <w:p w:rsidR="000A156F" w:rsidRDefault="00A9721F">
      <w:pPr>
        <w:pStyle w:val="Definition-Field"/>
      </w:pPr>
      <w:r>
        <w:t xml:space="preserve">a.   </w:t>
      </w:r>
      <w:r>
        <w:rPr>
          <w:i/>
        </w:rPr>
        <w:t>The standard does not specify how function arguments map to formula variables.</w:t>
      </w:r>
    </w:p>
    <w:p w:rsidR="000A156F" w:rsidRDefault="00A9721F">
      <w:pPr>
        <w:pStyle w:val="Definition-Field2"/>
      </w:pPr>
      <w:r>
        <w:t>Office maps x to value from array-1, x-bar to AVERAGE(array-1), y to valu</w:t>
      </w:r>
      <w:r>
        <w:t>e from array-2, y-bar to AVERAGE(array-2).</w:t>
      </w:r>
    </w:p>
    <w:p w:rsidR="000A156F" w:rsidRDefault="00A9721F">
      <w:pPr>
        <w:pStyle w:val="Heading3"/>
      </w:pPr>
      <w:bookmarkStart w:id="1826" w:name="section_fe40154b9eac4223a8660a77432aa3e5"/>
      <w:bookmarkStart w:id="1827" w:name="_Toc181683939"/>
      <w:r>
        <w:t>Part 1 Section 18.17.7.50, COS</w:t>
      </w:r>
      <w:bookmarkEnd w:id="1826"/>
      <w:bookmarkEnd w:id="1827"/>
      <w:r>
        <w:fldChar w:fldCharType="begin"/>
      </w:r>
      <w:r>
        <w:instrText xml:space="preserve"> XE "COS" </w:instrText>
      </w:r>
      <w:r>
        <w:fldChar w:fldCharType="end"/>
      </w:r>
    </w:p>
    <w:p w:rsidR="000A156F" w:rsidRDefault="00A9721F">
      <w:pPr>
        <w:pStyle w:val="Definition-Field"/>
      </w:pPr>
      <w:r>
        <w:t xml:space="preserve">a.   </w:t>
      </w:r>
      <w:r>
        <w:rPr>
          <w:i/>
        </w:rPr>
        <w:t>The standard does not specify the unit for x.</w:t>
      </w:r>
    </w:p>
    <w:p w:rsidR="000A156F" w:rsidRDefault="00A9721F">
      <w:pPr>
        <w:pStyle w:val="Definition-Field2"/>
      </w:pPr>
      <w:r>
        <w:t>Office uses x in radians.</w:t>
      </w:r>
    </w:p>
    <w:p w:rsidR="000A156F" w:rsidRDefault="00A9721F">
      <w:pPr>
        <w:pStyle w:val="Heading3"/>
      </w:pPr>
      <w:bookmarkStart w:id="1828" w:name="section_130b7fae1db946df83cfd6d3174fe06d"/>
      <w:bookmarkStart w:id="1829" w:name="_Toc181683940"/>
      <w:r>
        <w:t>Part 1 Section 18.17.7.52, COUNT</w:t>
      </w:r>
      <w:bookmarkEnd w:id="1828"/>
      <w:bookmarkEnd w:id="1829"/>
      <w:r>
        <w:fldChar w:fldCharType="begin"/>
      </w:r>
      <w:r>
        <w:instrText xml:space="preserve"> XE "COUNT" </w:instrText>
      </w:r>
      <w:r>
        <w:fldChar w:fldCharType="end"/>
      </w:r>
    </w:p>
    <w:p w:rsidR="000A156F" w:rsidRDefault="00A9721F">
      <w:pPr>
        <w:pStyle w:val="Definition-Field"/>
      </w:pPr>
      <w:r>
        <w:t xml:space="preserve">a.   </w:t>
      </w:r>
      <w:r>
        <w:rPr>
          <w:i/>
        </w:rPr>
        <w:t>The standard states that argument-list is</w:t>
      </w:r>
      <w:r>
        <w:rPr>
          <w:i/>
        </w:rPr>
        <w:t xml:space="preserve"> of type text.</w:t>
      </w:r>
    </w:p>
    <w:p w:rsidR="000A156F" w:rsidRDefault="00A9721F">
      <w:pPr>
        <w:pStyle w:val="Definition-Field2"/>
      </w:pPr>
      <w:r>
        <w:lastRenderedPageBreak/>
        <w:t>Office requires that each argument in argument-list be of type logical, number, name, text, array, or reference.</w:t>
      </w:r>
    </w:p>
    <w:p w:rsidR="000A156F" w:rsidRDefault="00A9721F">
      <w:pPr>
        <w:pStyle w:val="Heading3"/>
      </w:pPr>
      <w:bookmarkStart w:id="1830" w:name="section_3f3a26fbc07a43f1bea6d6c0e00c54d5"/>
      <w:bookmarkStart w:id="1831" w:name="_Toc181683941"/>
      <w:r>
        <w:t>Part 1 Section 18.17.7.53, COUNTA</w:t>
      </w:r>
      <w:bookmarkEnd w:id="1830"/>
      <w:bookmarkEnd w:id="1831"/>
      <w:r>
        <w:fldChar w:fldCharType="begin"/>
      </w:r>
      <w:r>
        <w:instrText xml:space="preserve"> XE "COUNTA" </w:instrText>
      </w:r>
      <w:r>
        <w:fldChar w:fldCharType="end"/>
      </w:r>
    </w:p>
    <w:p w:rsidR="000A156F" w:rsidRDefault="00A9721F">
      <w:pPr>
        <w:pStyle w:val="Definition-Field"/>
      </w:pPr>
      <w:r>
        <w:t xml:space="preserve">a.   </w:t>
      </w:r>
      <w:r>
        <w:rPr>
          <w:i/>
        </w:rPr>
        <w:t>The standard states that argument-list is of type text.</w:t>
      </w:r>
    </w:p>
    <w:p w:rsidR="000A156F" w:rsidRDefault="00A9721F">
      <w:pPr>
        <w:pStyle w:val="Definition-Field2"/>
      </w:pPr>
      <w:r>
        <w:t>Office requires ar</w:t>
      </w:r>
      <w:r>
        <w:t>gument-list to be of type logical, number, name, text, array, or reference.</w:t>
      </w:r>
    </w:p>
    <w:p w:rsidR="000A156F" w:rsidRDefault="00A9721F">
      <w:pPr>
        <w:pStyle w:val="Heading3"/>
      </w:pPr>
      <w:bookmarkStart w:id="1832" w:name="section_e5e3e0c53ee54c0da41d171441efc56d"/>
      <w:bookmarkStart w:id="1833" w:name="_Toc181683942"/>
      <w:r>
        <w:t>Part 1 Section 18.17.7.56, COUNTIFS</w:t>
      </w:r>
      <w:bookmarkEnd w:id="1832"/>
      <w:bookmarkEnd w:id="1833"/>
      <w:r>
        <w:fldChar w:fldCharType="begin"/>
      </w:r>
      <w:r>
        <w:instrText xml:space="preserve"> XE "COUNTIFS" </w:instrText>
      </w:r>
      <w:r>
        <w:fldChar w:fldCharType="end"/>
      </w:r>
    </w:p>
    <w:p w:rsidR="000A156F" w:rsidRDefault="00A9721F">
      <w:pPr>
        <w:pStyle w:val="Definition-Field"/>
      </w:pPr>
      <w:r>
        <w:t xml:space="preserve">a.   </w:t>
      </w:r>
      <w:r>
        <w:rPr>
          <w:i/>
        </w:rPr>
        <w:t>The standard specifies a count-range argument.</w:t>
      </w:r>
    </w:p>
    <w:p w:rsidR="000A156F" w:rsidRDefault="00A9721F">
      <w:pPr>
        <w:pStyle w:val="Definition-Field2"/>
      </w:pPr>
      <w:r>
        <w:t>Office does not accept a count-range argument.</w:t>
      </w:r>
    </w:p>
    <w:p w:rsidR="000A156F" w:rsidRDefault="00A9721F">
      <w:pPr>
        <w:pStyle w:val="Definition-Field"/>
      </w:pPr>
      <w:r>
        <w:t xml:space="preserve">b.   </w:t>
      </w:r>
      <w:r>
        <w:rPr>
          <w:i/>
        </w:rPr>
        <w:t xml:space="preserve">The standard specifies </w:t>
      </w:r>
      <w:r>
        <w:rPr>
          <w:i/>
        </w:rPr>
        <w:t>that selection-criteria-1 is the first range of cells to be counted.</w:t>
      </w:r>
    </w:p>
    <w:p w:rsidR="000A156F" w:rsidRDefault="00A9721F">
      <w:pPr>
        <w:pStyle w:val="Definition-Field2"/>
      </w:pPr>
      <w:r>
        <w:t>Office specifies that selection-criteria-1 is in the form of a number, expression, cell reference, or text that define which cells will be counted.</w:t>
      </w:r>
    </w:p>
    <w:p w:rsidR="000A156F" w:rsidRDefault="00A9721F">
      <w:pPr>
        <w:pStyle w:val="Heading3"/>
      </w:pPr>
      <w:bookmarkStart w:id="1834" w:name="section_0dd5776bedf5474082fbf4bd600a803c"/>
      <w:bookmarkStart w:id="1835" w:name="_Toc181683943"/>
      <w:r>
        <w:t>Part 1 Section 18.17.7.57, COUPDAYBS</w:t>
      </w:r>
      <w:bookmarkEnd w:id="1834"/>
      <w:bookmarkEnd w:id="1835"/>
      <w:r>
        <w:fldChar w:fldCharType="begin"/>
      </w:r>
      <w:r>
        <w:instrText xml:space="preserve"> XE "COUPDAYBS"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 xml:space="preserve">US (NASD) </w:t>
            </w:r>
            <w:r>
              <w:t>30/360. If the dates are equal, the difference of days is 0. Assumes that each month has 30 days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w:t>
            </w:r>
            <w:r>
              <w:t xml:space="preserve"> day-of-month is 31, it is changed to 30</w:t>
            </w:r>
          </w:p>
          <w:p w:rsidR="000A156F" w:rsidRDefault="00A9721F">
            <w:pPr>
              <w:pStyle w:val="TableBodyText"/>
            </w:pPr>
            <w:r>
              <w:t>Otherwise, if date1’s day-of-month is 30 and date2’s day-of-month is 31, date2’s day-of-month is changed to 30 (note that date2’s day-of-month will stay 31 if date1’s day &lt; 30)</w:t>
            </w:r>
          </w:p>
          <w:p w:rsidR="000A156F" w:rsidRDefault="00A9721F">
            <w:pPr>
              <w:pStyle w:val="TableBodyText"/>
            </w:pPr>
            <w:r>
              <w:t xml:space="preserve">Otherwise, if both dates are the last </w:t>
            </w:r>
            <w:r>
              <w:t>day of February in their respective years,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w:t>
            </w:r>
            <w:r>
              <w:t xml:space="preserve">less than or equal to a year apart” (as defined below), then the days in the years between the dates is the average number of days in the years between date1 and date2, inclusive. Otherwise, the days in the years between the dates is 365, except for these </w:t>
            </w:r>
            <w:r>
              <w:t xml:space="preserve">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 xml:space="preserve">To determine if date1 and date2 are “less than or equal to a year apart” for purposes of this </w:t>
            </w:r>
            <w:r>
              <w:t>algorithm, one of these conditions must be true:</w:t>
            </w:r>
          </w:p>
          <w:p w:rsidR="000A156F" w:rsidRDefault="00A9721F">
            <w:pPr>
              <w:pStyle w:val="ListParagraph"/>
              <w:numPr>
                <w:ilvl w:val="0"/>
                <w:numId w:val="80"/>
              </w:numPr>
            </w:pPr>
            <w:r>
              <w:t>The two dates have the same year</w:t>
            </w:r>
          </w:p>
          <w:p w:rsidR="000A156F" w:rsidRDefault="00A9721F">
            <w:pPr>
              <w:pStyle w:val="ListParagraph"/>
              <w:numPr>
                <w:ilvl w:val="0"/>
                <w:numId w:val="81"/>
              </w:numPr>
            </w:pPr>
            <w:r>
              <w:t>Date2’s year is exactly one more than date1’s year, and ((date1.month &gt; date2.month) or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w:t>
            </w:r>
            <w:r>
              <w: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lastRenderedPageBreak/>
              <w:t>4</w:t>
            </w:r>
          </w:p>
        </w:tc>
        <w:tc>
          <w:tcPr>
            <w:tcW w:w="0" w:type="auto"/>
            <w:vAlign w:val="center"/>
          </w:tcPr>
          <w:p w:rsidR="000A156F" w:rsidRDefault="00A9721F">
            <w:pPr>
              <w:pStyle w:val="TableBodyText"/>
            </w:pPr>
            <w:r>
              <w:t xml:space="preserve">European 30/360. The European method for adjusting day counts. If the </w:t>
            </w:r>
            <w:r>
              <w:t xml:space="preserve">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w:t>
            </w:r>
            <w:r>
              <w:t>because there is no February 31.</w:t>
            </w:r>
          </w:p>
        </w:tc>
      </w:tr>
    </w:tbl>
    <w:p w:rsidR="000A156F" w:rsidRDefault="000A156F"/>
    <w:p w:rsidR="000A156F" w:rsidRDefault="00A9721F">
      <w:pPr>
        <w:pStyle w:val="Heading3"/>
      </w:pPr>
      <w:bookmarkStart w:id="1836" w:name="section_220caf3eaaf3483f844a454abcf07bd2"/>
      <w:bookmarkStart w:id="1837" w:name="_Toc181683944"/>
      <w:r>
        <w:t>Part 1 Section 18.17.7.58, COUPDAYS</w:t>
      </w:r>
      <w:bookmarkEnd w:id="1836"/>
      <w:bookmarkEnd w:id="1837"/>
      <w:r>
        <w:fldChar w:fldCharType="begin"/>
      </w:r>
      <w:r>
        <w:instrText xml:space="preserve"> XE "COUPDAYS"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w:t>
      </w:r>
      <w:r>
        <w:t>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 days in the year is 360 by making the following adjustments:</w:t>
            </w:r>
          </w:p>
          <w:p w:rsidR="000A156F" w:rsidRDefault="00A9721F">
            <w:pPr>
              <w:pStyle w:val="TableBodyText"/>
            </w:pPr>
            <w:r>
              <w:t xml:space="preserve">If </w:t>
            </w:r>
            <w:r>
              <w:t>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day-of-month w</w:t>
            </w:r>
            <w:r>
              <w:t>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w:t>
            </w:r>
            <w:r>
              <w:t xml:space="preserve"> dates are equal, the difference in days is 0. If date1 and date2 not “less than or equal to a year apart” (as defined below), then the days in the years between the dates is the average number of days in the years between date1 and date2, inclusive. Other</w:t>
            </w:r>
            <w:r>
              <w:t xml:space="preserve">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determine if date1 and d</w:t>
            </w:r>
            <w:r>
              <w:t>ate2 are “less than or equal to a year apart” for purposes of this algorithm, one of these conditions must be true:</w:t>
            </w:r>
          </w:p>
          <w:p w:rsidR="000A156F" w:rsidRDefault="00A9721F">
            <w:pPr>
              <w:pStyle w:val="ListParagraph"/>
              <w:numPr>
                <w:ilvl w:val="0"/>
                <w:numId w:val="82"/>
              </w:numPr>
            </w:pPr>
            <w:r>
              <w:t>The two dates have the same year</w:t>
            </w:r>
          </w:p>
          <w:p w:rsidR="000A156F" w:rsidRDefault="00A9721F">
            <w:pPr>
              <w:pStyle w:val="ListParagraph"/>
              <w:numPr>
                <w:ilvl w:val="0"/>
                <w:numId w:val="83"/>
              </w:numPr>
            </w:pPr>
            <w:r>
              <w:t xml:space="preserve">Date2’s year is exactly one more than date1’s year, and ((date1.month &gt; date2.month) or ((date1.month == </w:t>
            </w:r>
            <w:r>
              <w:t>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w:t>
            </w:r>
            <w:r>
              <w:t>uropean 30/360. The European method for adjusting day counts. If the dates are equal, the difference of days is 0. Assumes that each month has 30 days and the total number of days in the year is 360; any day-of-month (in date1, date2, or both) with a value</w:t>
            </w:r>
            <w:r>
              <w:t xml:space="preserve"> of 31 is changed to 30. Note that February dates are </w:t>
            </w:r>
            <w:r>
              <w:rPr>
                <w:i/>
              </w:rPr>
              <w:t xml:space="preserve">never </w:t>
            </w:r>
            <w:r>
              <w:t>changed, because there is no February 31.</w:t>
            </w:r>
          </w:p>
        </w:tc>
      </w:tr>
    </w:tbl>
    <w:p w:rsidR="000A156F" w:rsidRDefault="000A156F"/>
    <w:p w:rsidR="000A156F" w:rsidRDefault="00A9721F">
      <w:pPr>
        <w:pStyle w:val="Heading3"/>
      </w:pPr>
      <w:bookmarkStart w:id="1838" w:name="section_03a8b66dce9d43d8a75117c0b018f0c3"/>
      <w:bookmarkStart w:id="1839" w:name="_Toc181683945"/>
      <w:r>
        <w:t>Part 1 Section 18.17.7.59, COUPDAYSNC</w:t>
      </w:r>
      <w:bookmarkEnd w:id="1838"/>
      <w:bookmarkEnd w:id="1839"/>
      <w:r>
        <w:fldChar w:fldCharType="begin"/>
      </w:r>
      <w:r>
        <w:instrText xml:space="preserve"> XE "COUPDAYSNC"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w:t>
      </w:r>
      <w:r>
        <w:t xml:space="preserve">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 xml:space="preserve">US (NASD) 30/360. If the dates are equal, the difference of days is 0. Assumes that each month has 30 days and the total </w:t>
            </w:r>
            <w:r>
              <w:t>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w:t>
            </w:r>
            <w:r>
              <w:t>1, date2’s day-of-month is changed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w:t>
            </w:r>
            <w:r>
              <w:t>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w:t>
            </w:r>
            <w:r>
              <w:t>rage number of days in the years between date1 and date2, inclusive. Otherwise, the days in the years between the dates is 365, except for these cases (where it is 366): the dates are in the same year and it is a leap-year, a February 29 occurs between the</w:t>
            </w:r>
            <w:r>
              <w:t xml:space="preserve"> two dates, or </w:t>
            </w:r>
            <w:r>
              <w:rPr>
                <w:b/>
              </w:rPr>
              <w:t>date1 or</w:t>
            </w:r>
            <w:r>
              <w:t xml:space="preserve"> date2 is February 29.</w:t>
            </w:r>
          </w:p>
          <w:p w:rsidR="000A156F" w:rsidRDefault="000A156F">
            <w:pPr>
              <w:pStyle w:val="TableBodyText"/>
            </w:pPr>
          </w:p>
          <w:p w:rsidR="000A156F" w:rsidRDefault="00A9721F">
            <w:pPr>
              <w:pStyle w:val="TableBodyText"/>
            </w:pPr>
            <w:r>
              <w:t>To determine if date1 and date2 are “less than or equal to a year apart” for purposes of this algorithm, one of these conditions must be true:</w:t>
            </w:r>
          </w:p>
          <w:p w:rsidR="000A156F" w:rsidRDefault="00A9721F">
            <w:pPr>
              <w:pStyle w:val="ListParagraph"/>
              <w:numPr>
                <w:ilvl w:val="0"/>
                <w:numId w:val="84"/>
              </w:numPr>
            </w:pPr>
            <w:r>
              <w:t>The two dates have the same year</w:t>
            </w:r>
          </w:p>
          <w:p w:rsidR="000A156F" w:rsidRDefault="00A9721F">
            <w:pPr>
              <w:pStyle w:val="ListParagraph"/>
              <w:numPr>
                <w:ilvl w:val="0"/>
                <w:numId w:val="85"/>
              </w:numPr>
            </w:pPr>
            <w:r>
              <w:t xml:space="preserve">Date2’s year is exactly one more </w:t>
            </w:r>
            <w:r>
              <w:t>than date1’s year, and ((date1.month &gt; date2.month) or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w:t>
            </w:r>
            <w:r>
              <w:t>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 xml:space="preserve">European 30/360. The European method for adjusting day counts. If the dates are equal, the difference of days is 0. Assumes that each month has 30 days and the total number of days in </w:t>
            </w:r>
            <w:r>
              <w:t xml:space="preserve">the year is 360; any day-of-month (in date1, date2, or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Heading3"/>
      </w:pPr>
      <w:bookmarkStart w:id="1840" w:name="section_b48d56a6c03446c2acbb0ea61547b4b8"/>
      <w:bookmarkStart w:id="1841" w:name="_Toc181683946"/>
      <w:r>
        <w:t>Part 1 Section 18.17.7.60, COUPNCD</w:t>
      </w:r>
      <w:bookmarkEnd w:id="1840"/>
      <w:bookmarkEnd w:id="1841"/>
      <w:r>
        <w:fldChar w:fldCharType="begin"/>
      </w:r>
      <w:r>
        <w:instrText xml:space="preserve"> XE "COUPNCD" </w:instrText>
      </w:r>
      <w:r>
        <w:fldChar w:fldCharType="end"/>
      </w:r>
    </w:p>
    <w:p w:rsidR="000A156F" w:rsidRDefault="00A9721F">
      <w:pPr>
        <w:pStyle w:val="Definition-Field"/>
      </w:pPr>
      <w:r>
        <w:t xml:space="preserve">a.   </w:t>
      </w:r>
      <w:r>
        <w:rPr>
          <w:i/>
        </w:rPr>
        <w:t>The standard does not s</w:t>
      </w:r>
      <w:r>
        <w:rPr>
          <w:i/>
        </w:rPr>
        <w:t>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 xml:space="preserve">US (NASD) 30/360. If the dates are equal, the difference </w:t>
            </w:r>
            <w:r>
              <w:t>of days is 0. Assumes that each month has 30 days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day-of-month will stay 31 if date1’s day &lt; 30)</w:t>
            </w:r>
          </w:p>
          <w:p w:rsidR="000A156F" w:rsidRDefault="00A9721F">
            <w:pPr>
              <w:pStyle w:val="TableBodyText"/>
            </w:pPr>
            <w:r>
              <w:t>Otherwise, if both dates are the last day of February in their respective years</w:t>
            </w:r>
            <w:r>
              <w:t>,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 xml:space="preserve">Actual/actual. If the dates are equal, the difference in days is 0. If date1 and date2 not “less than or </w:t>
            </w:r>
            <w:r>
              <w:lastRenderedPageBreak/>
              <w:t>equal to a year apart” (as d</w:t>
            </w:r>
            <w:r>
              <w:t>efined below), then the days in the years between the dates is the average number of days in the years between date1 and date2, inclusive. Otherwise, the days in the years between the dates is 365, except for these cases (where it is 366): the dates are in</w:t>
            </w:r>
            <w:r>
              <w:t xml:space="preserve">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determine if date1 and date2 are “less than or equal to a year apart” for purposes of this algorithm, one of these conditions must be tr</w:t>
            </w:r>
            <w:r>
              <w:t>ue:</w:t>
            </w:r>
          </w:p>
          <w:p w:rsidR="000A156F" w:rsidRDefault="00A9721F">
            <w:pPr>
              <w:pStyle w:val="ListParagraph"/>
              <w:numPr>
                <w:ilvl w:val="0"/>
                <w:numId w:val="86"/>
              </w:numPr>
            </w:pPr>
            <w:r>
              <w:t>The two dates have the same year</w:t>
            </w:r>
          </w:p>
          <w:p w:rsidR="000A156F" w:rsidRDefault="00A9721F">
            <w:pPr>
              <w:pStyle w:val="ListParagraph"/>
              <w:numPr>
                <w:ilvl w:val="0"/>
                <w:numId w:val="87"/>
              </w:numPr>
            </w:pPr>
            <w:r>
              <w:t>Date2’s year is exactly one more than date1’s year, and ((date1.month &gt; date2.month) or ((date1.month == date2.month) and (date1.day &gt;= date2.day)))</w:t>
            </w:r>
          </w:p>
        </w:tc>
      </w:tr>
      <w:tr w:rsidR="000A156F" w:rsidTr="000A156F">
        <w:tc>
          <w:tcPr>
            <w:tcW w:w="0" w:type="auto"/>
            <w:vAlign w:val="center"/>
          </w:tcPr>
          <w:p w:rsidR="000A156F" w:rsidRDefault="00A9721F">
            <w:pPr>
              <w:pStyle w:val="TableBodyText"/>
            </w:pPr>
            <w:r>
              <w:rPr>
                <w:rStyle w:val="InlineCode"/>
              </w:rPr>
              <w:lastRenderedPageBreak/>
              <w:t>2</w:t>
            </w:r>
          </w:p>
        </w:tc>
        <w:tc>
          <w:tcPr>
            <w:tcW w:w="0" w:type="auto"/>
            <w:vAlign w:val="center"/>
          </w:tcPr>
          <w:p w:rsidR="000A156F" w:rsidRDefault="00A9721F">
            <w:pPr>
              <w:pStyle w:val="TableBodyText"/>
            </w:pPr>
            <w:r>
              <w:t>Actual/360. Computes the actual difference in days, and presumes th</w:t>
            </w:r>
            <w:r>
              <w:t>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A156F" w:rsidRDefault="000A156F"/>
    <w:p w:rsidR="000A156F" w:rsidRDefault="00A9721F">
      <w:pPr>
        <w:pStyle w:val="Heading3"/>
      </w:pPr>
      <w:bookmarkStart w:id="1842" w:name="section_cb1a2b1ece6241f0aa54baf09de7379c"/>
      <w:bookmarkStart w:id="1843" w:name="_Toc181683947"/>
      <w:r>
        <w:t>Part 1 Section 18.17.7.61, COUPNUM</w:t>
      </w:r>
      <w:bookmarkEnd w:id="1842"/>
      <w:bookmarkEnd w:id="1843"/>
      <w:r>
        <w:fldChar w:fldCharType="begin"/>
      </w:r>
      <w:r>
        <w:instrText xml:space="preserve"> XE "COUPNUM"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w:t>
            </w:r>
            <w:r>
              <w:t xml:space="preserve">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w:t>
            </w:r>
            <w:r>
              <w:t>s day-of-month is changed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day of Feb</w:t>
            </w:r>
            <w:r>
              <w:t>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w:t>
            </w:r>
            <w:r>
              <w:t>ermine if date1 and date2 are “less than or equal to a year apart” for purposes of this algorithm, one of these conditions must be true:</w:t>
            </w:r>
          </w:p>
          <w:p w:rsidR="000A156F" w:rsidRDefault="00A9721F">
            <w:pPr>
              <w:pStyle w:val="ListParagraph"/>
              <w:numPr>
                <w:ilvl w:val="0"/>
                <w:numId w:val="88"/>
              </w:numPr>
            </w:pPr>
            <w:r>
              <w:t>The two dates have the same year</w:t>
            </w:r>
          </w:p>
          <w:p w:rsidR="000A156F" w:rsidRDefault="00A9721F">
            <w:pPr>
              <w:pStyle w:val="ListParagraph"/>
              <w:numPr>
                <w:ilvl w:val="0"/>
                <w:numId w:val="89"/>
              </w:numPr>
            </w:pPr>
            <w:r>
              <w:t>Date2’s year is exactly one more than date1’s year, and ((date1.month &gt; date2.month) o</w:t>
            </w:r>
            <w:r>
              <w:t>r ((date1.month == date2.month) and (date1.day &gt;= date2.day)))</w:t>
            </w:r>
          </w:p>
        </w:tc>
      </w:tr>
      <w:tr w:rsidR="000A156F" w:rsidTr="000A156F">
        <w:tc>
          <w:tcPr>
            <w:tcW w:w="0" w:type="auto"/>
            <w:vAlign w:val="center"/>
          </w:tcPr>
          <w:p w:rsidR="000A156F" w:rsidRDefault="00A9721F">
            <w:pPr>
              <w:pStyle w:val="TableBodyText"/>
            </w:pPr>
            <w:r>
              <w:rPr>
                <w:rStyle w:val="InlineCode"/>
              </w:rPr>
              <w:lastRenderedPageBreak/>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difference in days, and presumes there are always 365 </w:t>
            </w:r>
            <w:r>
              <w:t>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does not specify that arguments settlement and maturity are truncated to integers.</w:t>
      </w:r>
    </w:p>
    <w:p w:rsidR="000A156F" w:rsidRDefault="00A9721F">
      <w:pPr>
        <w:pStyle w:val="Definition-Field2"/>
      </w:pPr>
      <w:r>
        <w:t xml:space="preserve">In Office, arguments settlement </w:t>
      </w:r>
      <w:r>
        <w:t>and maturity are truncated to integers.</w:t>
      </w:r>
    </w:p>
    <w:p w:rsidR="000A156F" w:rsidRDefault="00A9721F">
      <w:pPr>
        <w:pStyle w:val="Definition-Field"/>
      </w:pPr>
      <w:r>
        <w:t xml:space="preserve">c.   </w:t>
      </w:r>
      <w:r>
        <w:rPr>
          <w:i/>
        </w:rPr>
        <w:t>The standard states that the return values is the number of coupons payable between the settlement date and maturity date, rounded up to the nearest whole coupon.</w:t>
      </w:r>
    </w:p>
    <w:p w:rsidR="000A156F" w:rsidRDefault="00A9721F">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0A156F" w:rsidRDefault="00A9721F">
      <w:pPr>
        <w:pStyle w:val="Heading3"/>
      </w:pPr>
      <w:bookmarkStart w:id="1844" w:name="section_c1984310e77840939b4d90e00b44ce89"/>
      <w:bookmarkStart w:id="1845" w:name="_Toc181683948"/>
      <w:r>
        <w:t>Part 1 Section 18.17.7.62, COUPPCD</w:t>
      </w:r>
      <w:bookmarkEnd w:id="1844"/>
      <w:bookmarkEnd w:id="1845"/>
      <w:r>
        <w:fldChar w:fldCharType="begin"/>
      </w:r>
      <w:r>
        <w:instrText xml:space="preserve"> XE "COUPPCD" </w:instrText>
      </w:r>
      <w:r>
        <w:fldChar w:fldCharType="end"/>
      </w:r>
    </w:p>
    <w:p w:rsidR="000A156F" w:rsidRDefault="00A9721F">
      <w:pPr>
        <w:pStyle w:val="Definition-Field"/>
      </w:pPr>
      <w:r>
        <w:t xml:space="preserve">a.   </w:t>
      </w:r>
      <w:r>
        <w:rPr>
          <w:i/>
        </w:rPr>
        <w:t>The standard doe</w:t>
      </w:r>
      <w:r>
        <w:rPr>
          <w:i/>
        </w:rPr>
        <w:t>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w:t>
            </w:r>
            <w:r>
              <w:t>rence of days is 0. Assumes that each month has 30 days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day-of-month will stay 31 if date1’s day &lt; 30)</w:t>
            </w:r>
          </w:p>
          <w:p w:rsidR="000A156F" w:rsidRDefault="00A9721F">
            <w:pPr>
              <w:pStyle w:val="TableBodyText"/>
            </w:pPr>
            <w:r>
              <w:t>Otherwise, if both dates are the last day of February in their respective years</w:t>
            </w:r>
            <w:r>
              <w:t>,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w:t>
            </w:r>
            <w:r>
              <w:t>ermine if date1 and date2 are “less than or equal to a year apart” for purposes of this algorithm, one of these conditions must be true:</w:t>
            </w:r>
          </w:p>
          <w:p w:rsidR="000A156F" w:rsidRDefault="00A9721F">
            <w:pPr>
              <w:pStyle w:val="ListParagraph"/>
              <w:numPr>
                <w:ilvl w:val="0"/>
                <w:numId w:val="90"/>
              </w:numPr>
            </w:pPr>
            <w:r>
              <w:t>The two dates have the same year</w:t>
            </w:r>
          </w:p>
          <w:p w:rsidR="000A156F" w:rsidRDefault="00A9721F">
            <w:pPr>
              <w:pStyle w:val="ListParagraph"/>
              <w:numPr>
                <w:ilvl w:val="0"/>
                <w:numId w:val="91"/>
              </w:numPr>
            </w:pPr>
            <w:r>
              <w:t>Date2’s year is exactly one more than date1’s year, and ((date1.month &gt; date2.month) o</w:t>
            </w:r>
            <w:r>
              <w:t>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 xml:space="preserve">Actual/360. Computes the actual difference in days, and presumes there are always 360 days per </w:t>
            </w:r>
            <w:r>
              <w:lastRenderedPageBreak/>
              <w:t>year.</w:t>
            </w:r>
          </w:p>
        </w:tc>
      </w:tr>
      <w:tr w:rsidR="000A156F" w:rsidTr="000A156F">
        <w:tc>
          <w:tcPr>
            <w:tcW w:w="0" w:type="auto"/>
            <w:vAlign w:val="center"/>
          </w:tcPr>
          <w:p w:rsidR="000A156F" w:rsidRDefault="00A9721F">
            <w:pPr>
              <w:pStyle w:val="TableBodyText"/>
            </w:pPr>
            <w:r>
              <w:rPr>
                <w:rStyle w:val="InlineCode"/>
              </w:rPr>
              <w:lastRenderedPageBreak/>
              <w:t>3</w:t>
            </w:r>
          </w:p>
        </w:tc>
        <w:tc>
          <w:tcPr>
            <w:tcW w:w="0" w:type="auto"/>
            <w:vAlign w:val="center"/>
          </w:tcPr>
          <w:p w:rsidR="000A156F" w:rsidRDefault="00A9721F">
            <w:pPr>
              <w:pStyle w:val="TableBodyText"/>
            </w:pPr>
            <w:r>
              <w:t xml:space="preserve">Actual/365. Computes the actual difference in days, and presumes there are always 365 </w:t>
            </w:r>
            <w:r>
              <w:t>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Heading3"/>
      </w:pPr>
      <w:bookmarkStart w:id="1846" w:name="section_253c6fac2aa2405bb389f8b813d20428"/>
      <w:bookmarkStart w:id="1847" w:name="_Toc181683949"/>
      <w:r>
        <w:t>Part 1 Section 18.17.7.64, CRITBINOM</w:t>
      </w:r>
      <w:bookmarkEnd w:id="1846"/>
      <w:bookmarkEnd w:id="1847"/>
      <w:r>
        <w:fldChar w:fldCharType="begin"/>
      </w:r>
      <w:r>
        <w:instrText xml:space="preserve"> XE "CRITBINOM" </w:instrText>
      </w:r>
      <w:r>
        <w:fldChar w:fldCharType="end"/>
      </w:r>
    </w:p>
    <w:p w:rsidR="000A156F" w:rsidRDefault="00A9721F">
      <w:pPr>
        <w:pStyle w:val="Definition-Field"/>
      </w:pPr>
      <w:r>
        <w:t xml:space="preserve">a.   </w:t>
      </w:r>
      <w:r>
        <w:rPr>
          <w:i/>
        </w:rPr>
        <w:t>The standard specifies the number-trials argument as a number.</w:t>
      </w:r>
    </w:p>
    <w:p w:rsidR="000A156F" w:rsidRDefault="00A9721F">
      <w:pPr>
        <w:pStyle w:val="Definition-Field2"/>
      </w:pPr>
      <w:r>
        <w:t xml:space="preserve">In Excel, </w:t>
      </w:r>
      <w:r>
        <w:t>the number-trials argument is truncated to an integer.</w:t>
      </w:r>
    </w:p>
    <w:p w:rsidR="000A156F" w:rsidRDefault="00A9721F">
      <w:pPr>
        <w:pStyle w:val="Heading3"/>
      </w:pPr>
      <w:bookmarkStart w:id="1848" w:name="section_340546969f524105914397bccd1e9366"/>
      <w:bookmarkStart w:id="1849" w:name="_Toc181683950"/>
      <w:r>
        <w:t>Part 1 Section 18.17.7.65, CUBEKPIMEMBER</w:t>
      </w:r>
      <w:bookmarkEnd w:id="1848"/>
      <w:bookmarkEnd w:id="1849"/>
      <w:r>
        <w:fldChar w:fldCharType="begin"/>
      </w:r>
      <w:r>
        <w:instrText xml:space="preserve"> XE "CUBEKPIMEMBER" </w:instrText>
      </w:r>
      <w:r>
        <w:fldChar w:fldCharType="end"/>
      </w:r>
    </w:p>
    <w:p w:rsidR="000A156F" w:rsidRDefault="00A9721F">
      <w:pPr>
        <w:pStyle w:val="Definition-Field"/>
      </w:pPr>
      <w:r>
        <w:t xml:space="preserve">a.   </w:t>
      </w:r>
      <w:r>
        <w:rPr>
          <w:i/>
        </w:rPr>
        <w:t>The standard does not specify how the relative importance of the KPI can be used on the server when argument kpi-property is 5.</w:t>
      </w:r>
    </w:p>
    <w:p w:rsidR="000A156F" w:rsidRDefault="00A9721F">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0A156F" w:rsidRDefault="00A9721F">
      <w:pPr>
        <w:pStyle w:val="Definition-Field"/>
      </w:pPr>
      <w:r>
        <w:t xml:space="preserve">b.   </w:t>
      </w:r>
      <w:r>
        <w:rPr>
          <w:i/>
        </w:rPr>
        <w:t>The standard states argument kpi-property equal to 6 returns a temporal conte</w:t>
      </w:r>
      <w:r>
        <w:rPr>
          <w:i/>
        </w:rPr>
        <w:t>xt of the KPI.</w:t>
      </w:r>
    </w:p>
    <w:p w:rsidR="000A156F" w:rsidRDefault="00A9721F">
      <w:pPr>
        <w:pStyle w:val="Definition-Field2"/>
      </w:pPr>
      <w:r>
        <w:t>Office returns the unique name of the member in the time dimension that defines the timeframe of the KPI if kpi-property equals 6.</w:t>
      </w:r>
    </w:p>
    <w:p w:rsidR="000A156F" w:rsidRDefault="00A9721F">
      <w:pPr>
        <w:pStyle w:val="Heading3"/>
      </w:pPr>
      <w:bookmarkStart w:id="1850" w:name="section_22a502a9d3384459bd878a18d9037bc3"/>
      <w:bookmarkStart w:id="1851" w:name="_Toc181683951"/>
      <w:r>
        <w:t>Part 1 Section 18.17.7.69, CUBESET</w:t>
      </w:r>
      <w:bookmarkEnd w:id="1850"/>
      <w:bookmarkEnd w:id="1851"/>
      <w:r>
        <w:fldChar w:fldCharType="begin"/>
      </w:r>
      <w:r>
        <w:instrText xml:space="preserve"> XE "CUBESET" </w:instrText>
      </w:r>
      <w:r>
        <w:fldChar w:fldCharType="end"/>
      </w:r>
    </w:p>
    <w:p w:rsidR="000A156F" w:rsidRDefault="00A9721F">
      <w:pPr>
        <w:pStyle w:val="Definition-Field"/>
      </w:pPr>
      <w:r>
        <w:t xml:space="preserve">a.   </w:t>
      </w:r>
      <w:r>
        <w:rPr>
          <w:i/>
        </w:rPr>
        <w:t>The standard does not define the return value when sor</w:t>
      </w:r>
      <w:r>
        <w:rPr>
          <w:i/>
        </w:rPr>
        <w:t>t-order requires sort-by but sort-by value is not in the cube.</w:t>
      </w:r>
    </w:p>
    <w:p w:rsidR="000A156F" w:rsidRDefault="00A9721F">
      <w:pPr>
        <w:pStyle w:val="Definition-Field2"/>
      </w:pPr>
      <w:r>
        <w:t>In Office, #N/A is returned in this case.</w:t>
      </w:r>
    </w:p>
    <w:p w:rsidR="000A156F" w:rsidRDefault="00A9721F">
      <w:pPr>
        <w:pStyle w:val="Heading3"/>
      </w:pPr>
      <w:bookmarkStart w:id="1852" w:name="section_7b300f59520b4394976ae6e747a90f79"/>
      <w:bookmarkStart w:id="1853" w:name="_Toc181683952"/>
      <w:r>
        <w:t>Part 1 Section 18.17.7.70, CUBESETCOUNT</w:t>
      </w:r>
      <w:bookmarkEnd w:id="1852"/>
      <w:bookmarkEnd w:id="1853"/>
      <w:r>
        <w:fldChar w:fldCharType="begin"/>
      </w:r>
      <w:r>
        <w:instrText xml:space="preserve"> XE "CUBESETCOUNT" </w:instrText>
      </w:r>
      <w:r>
        <w:fldChar w:fldCharType="end"/>
      </w:r>
    </w:p>
    <w:p w:rsidR="000A156F" w:rsidRDefault="00A9721F">
      <w:pPr>
        <w:pStyle w:val="Definition-Field"/>
      </w:pPr>
      <w:r>
        <w:t xml:space="preserve">a.   </w:t>
      </w:r>
      <w:r>
        <w:rPr>
          <w:i/>
        </w:rPr>
        <w:t xml:space="preserve">The standard does not define the return value if set argument does not evaluate to a </w:t>
      </w:r>
      <w:r>
        <w:rPr>
          <w:i/>
        </w:rPr>
        <w:t>set.</w:t>
      </w:r>
    </w:p>
    <w:p w:rsidR="000A156F" w:rsidRDefault="00A9721F">
      <w:pPr>
        <w:pStyle w:val="Definition-Field2"/>
      </w:pPr>
      <w:r>
        <w:t>In Office, #N/A is returned in this case.</w:t>
      </w:r>
    </w:p>
    <w:p w:rsidR="000A156F" w:rsidRDefault="00A9721F">
      <w:pPr>
        <w:pStyle w:val="Heading3"/>
      </w:pPr>
      <w:bookmarkStart w:id="1854" w:name="section_66332a3d99bf4eea80038f4bad1f8752"/>
      <w:bookmarkStart w:id="1855" w:name="_Toc181683953"/>
      <w:r>
        <w:t>Part 1 Section 18.17.7.72, CUMIPMT</w:t>
      </w:r>
      <w:bookmarkEnd w:id="1854"/>
      <w:bookmarkEnd w:id="1855"/>
      <w:r>
        <w:fldChar w:fldCharType="begin"/>
      </w:r>
      <w:r>
        <w:instrText xml:space="preserve"> XE "CUMIPMT" </w:instrText>
      </w:r>
      <w:r>
        <w:fldChar w:fldCharType="end"/>
      </w:r>
    </w:p>
    <w:p w:rsidR="000A156F" w:rsidRDefault="00A9721F">
      <w:pPr>
        <w:pStyle w:val="Definition-Field"/>
      </w:pPr>
      <w:r>
        <w:t xml:space="preserve">a.   </w:t>
      </w:r>
      <w:r>
        <w:rPr>
          <w:i/>
        </w:rPr>
        <w:t>The standard does not define the return value of the CUMIPMT formula when end_period is greater than nper.</w:t>
      </w:r>
    </w:p>
    <w:p w:rsidR="000A156F" w:rsidRDefault="00A9721F">
      <w:pPr>
        <w:pStyle w:val="Definition-Field2"/>
      </w:pPr>
      <w:r>
        <w:t>Excel returns a value of #NUM! when end_period</w:t>
      </w:r>
      <w:r>
        <w:t xml:space="preserve"> is greater than nper.</w:t>
      </w:r>
    </w:p>
    <w:p w:rsidR="000A156F" w:rsidRDefault="00A9721F">
      <w:pPr>
        <w:pStyle w:val="Definition-Field"/>
      </w:pPr>
      <w:r>
        <w:t xml:space="preserve">b.   </w:t>
      </w:r>
      <w:r>
        <w:rPr>
          <w:i/>
        </w:rPr>
        <w:t>The standard states that start-period and end-period are numbers.</w:t>
      </w:r>
    </w:p>
    <w:p w:rsidR="000A156F" w:rsidRDefault="00A9721F">
      <w:pPr>
        <w:pStyle w:val="Definition-Field2"/>
      </w:pPr>
      <w:r>
        <w:lastRenderedPageBreak/>
        <w:t>Excel truncates start-period and end-period to integers.</w:t>
      </w:r>
    </w:p>
    <w:p w:rsidR="000A156F" w:rsidRDefault="00A9721F">
      <w:pPr>
        <w:pStyle w:val="Heading3"/>
      </w:pPr>
      <w:bookmarkStart w:id="1856" w:name="section_3449459a0e834a19b4029642a5ea36ff"/>
      <w:bookmarkStart w:id="1857" w:name="_Toc181683954"/>
      <w:r>
        <w:t>Part 1 Section 18.17.7.73, CUMPRINC</w:t>
      </w:r>
      <w:bookmarkEnd w:id="1856"/>
      <w:bookmarkEnd w:id="1857"/>
      <w:r>
        <w:fldChar w:fldCharType="begin"/>
      </w:r>
      <w:r>
        <w:instrText xml:space="preserve"> XE "CUMPRINC" </w:instrText>
      </w:r>
      <w:r>
        <w:fldChar w:fldCharType="end"/>
      </w:r>
    </w:p>
    <w:p w:rsidR="000A156F" w:rsidRDefault="00A9721F">
      <w:pPr>
        <w:pStyle w:val="Definition-Field"/>
      </w:pPr>
      <w:r>
        <w:t xml:space="preserve">a.   </w:t>
      </w:r>
      <w:r>
        <w:rPr>
          <w:i/>
        </w:rPr>
        <w:t xml:space="preserve">The standard does not specify the return value </w:t>
      </w:r>
      <w:r>
        <w:rPr>
          <w:i/>
        </w:rPr>
        <w:t>if the end_period argument is greater than the nper argument.</w:t>
      </w:r>
    </w:p>
    <w:p w:rsidR="000A156F" w:rsidRDefault="00A9721F">
      <w:pPr>
        <w:pStyle w:val="Definition-Field2"/>
      </w:pPr>
      <w:r>
        <w:t>Office returns #NUM! if the end_period argument is greater than the nper argument.</w:t>
      </w:r>
    </w:p>
    <w:p w:rsidR="000A156F" w:rsidRDefault="00A9721F">
      <w:pPr>
        <w:pStyle w:val="Definition-Field"/>
      </w:pPr>
      <w:r>
        <w:t xml:space="preserve">b.   </w:t>
      </w:r>
      <w:r>
        <w:rPr>
          <w:i/>
        </w:rPr>
        <w:t>The standard states that start-period and end-period are numbers.</w:t>
      </w:r>
    </w:p>
    <w:p w:rsidR="000A156F" w:rsidRDefault="00A9721F">
      <w:pPr>
        <w:pStyle w:val="Definition-Field2"/>
      </w:pPr>
      <w:r>
        <w:t>Excel truncates start-period and end-per</w:t>
      </w:r>
      <w:r>
        <w:t>iod to integers.</w:t>
      </w:r>
    </w:p>
    <w:p w:rsidR="000A156F" w:rsidRDefault="00A9721F">
      <w:pPr>
        <w:pStyle w:val="Heading3"/>
      </w:pPr>
      <w:bookmarkStart w:id="1858" w:name="section_4bbbb410cf9c45ecb96d8aa62d0d8cfa"/>
      <w:bookmarkStart w:id="1859" w:name="_Toc181683955"/>
      <w:r>
        <w:t>Part 1 Section 18.17.7.74, DATE</w:t>
      </w:r>
      <w:bookmarkEnd w:id="1858"/>
      <w:bookmarkEnd w:id="1859"/>
      <w:r>
        <w:fldChar w:fldCharType="begin"/>
      </w:r>
      <w:r>
        <w:instrText xml:space="preserve"> XE "DATE" </w:instrText>
      </w:r>
      <w:r>
        <w:fldChar w:fldCharType="end"/>
      </w:r>
    </w:p>
    <w:p w:rsidR="000A156F" w:rsidRDefault="00A9721F">
      <w:pPr>
        <w:pStyle w:val="Definition-Field"/>
      </w:pPr>
      <w:r>
        <w:t xml:space="preserve">a.   </w:t>
      </w:r>
      <w:r>
        <w:rPr>
          <w:i/>
        </w:rPr>
        <w:t>The standard does not specify that the year argument must be positive.</w:t>
      </w:r>
    </w:p>
    <w:p w:rsidR="000A156F" w:rsidRDefault="00A9721F">
      <w:pPr>
        <w:pStyle w:val="Definition-Field2"/>
      </w:pPr>
      <w:r>
        <w:t>Office requires the year argument to be a positive number.</w:t>
      </w:r>
    </w:p>
    <w:p w:rsidR="000A156F" w:rsidRDefault="00A9721F">
      <w:pPr>
        <w:pStyle w:val="Definition-Field"/>
      </w:pPr>
      <w:r>
        <w:t xml:space="preserve">b.   </w:t>
      </w:r>
      <w:r>
        <w:rPr>
          <w:i/>
        </w:rPr>
        <w:t>The standard defines a normalization process for month</w:t>
      </w:r>
      <w:r>
        <w:rPr>
          <w:i/>
        </w:rPr>
        <w:t xml:space="preserve"> and day arguments.</w:t>
      </w:r>
    </w:p>
    <w:p w:rsidR="000A156F" w:rsidRDefault="00A9721F">
      <w:r>
        <w:t xml:space="preserve">Office applies additional rules to the value of month or day in a year-month-day argument triplet when those values are out of range. </w:t>
      </w:r>
    </w:p>
    <w:p w:rsidR="000A156F" w:rsidRDefault="00A9721F">
      <w:r>
        <w:t>month is simply an instance of counting a given number of months, minus one, relative to January of t</w:t>
      </w:r>
      <w:r>
        <w:t xml:space="preserve">he year specified, using the Gregorian calendar </w:t>
      </w:r>
      <w:hyperlink r:id="rId149">
        <w:r>
          <w:rPr>
            <w:rStyle w:val="Hyperlink"/>
          </w:rPr>
          <w:t>[ISO-8601]</w:t>
        </w:r>
      </w:hyperlink>
      <w:r>
        <w:t xml:space="preserve">. This calendar defines that there are 12 months in a year, and that when counting forward, the month following December of one year </w:t>
      </w:r>
      <w:r>
        <w:t>is January of the following year, and when counting backward, the month preceding January of one year is December of the previous year. Likewise, day is simply an instance of counting a given number of days, minus one, relative to the first day of the adju</w:t>
      </w:r>
      <w:r>
        <w:t>sted month, using the Gregorian calendar. This calendar defines the number of days in each month, and that when counting forward, the day following the final day of one month is the first day of the following month, and when counting backward, the day prec</w:t>
      </w:r>
      <w:r>
        <w:t xml:space="preserve">eding the first day of one month is the final day of the previous month. </w:t>
      </w:r>
    </w:p>
    <w:p w:rsidR="000A156F" w:rsidRDefault="00A9721F">
      <w:r>
        <w:t>[</w:t>
      </w:r>
      <w:r>
        <w:rPr>
          <w:i/>
        </w:rPr>
        <w:t>Example</w:t>
      </w:r>
      <w:r>
        <w:t xml:space="preserve">: The year-month-day argument triplets (2007, 12,32), (2007,13,1), and (2008,1,1) all result in the same serial date. </w:t>
      </w:r>
      <w:r>
        <w:rPr>
          <w:i/>
        </w:rPr>
        <w:t>end example</w:t>
      </w:r>
      <w:r>
        <w:t>]</w:t>
      </w:r>
    </w:p>
    <w:p w:rsidR="000A156F" w:rsidRDefault="00A9721F">
      <w:r>
        <w:t>[</w:t>
      </w:r>
      <w:r>
        <w:rPr>
          <w:i/>
        </w:rPr>
        <w:t>Note</w:t>
      </w:r>
      <w:r>
        <w:t xml:space="preserve">: One way to handle out-of-range values for month or day is as follows:  </w:t>
      </w:r>
    </w:p>
    <w:p w:rsidR="000A156F" w:rsidRDefault="00A9721F">
      <w:r>
        <w:t>Compute yearAdjust  = INT((month - 1)/12)</w:t>
      </w:r>
    </w:p>
    <w:p w:rsidR="000A156F" w:rsidRDefault="00A9721F">
      <w:r>
        <w:t>Compute adjustedMonth = month - (yearAdjust * 12)</w:t>
      </w:r>
    </w:p>
    <w:p w:rsidR="000A156F" w:rsidRDefault="00A9721F">
      <w:r>
        <w:t>Compute adjustedYear = year + yearAdjust.</w:t>
      </w:r>
    </w:p>
    <w:p w:rsidR="000A156F" w:rsidRDefault="00A9721F">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0A156F" w:rsidRDefault="00A9721F">
      <w:pPr>
        <w:pStyle w:val="Definition-Field"/>
      </w:pPr>
      <w:r>
        <w:t xml:space="preserve">c.   </w:t>
      </w:r>
      <w:r>
        <w:rPr>
          <w:i/>
        </w:rPr>
        <w:t>The standard indicates various range of values for the year that cause #NUM! to be returned.</w:t>
      </w:r>
    </w:p>
    <w:p w:rsidR="000A156F" w:rsidRDefault="00A9721F">
      <w:pPr>
        <w:pStyle w:val="Definition-Field2"/>
      </w:pPr>
      <w:r>
        <w:t>Offic</w:t>
      </w:r>
      <w:r>
        <w:t>e returns #NUM! if the year is outside the acceptable range for the date base currently in use.</w:t>
      </w:r>
    </w:p>
    <w:p w:rsidR="000A156F" w:rsidRDefault="00A9721F">
      <w:pPr>
        <w:pStyle w:val="Heading3"/>
      </w:pPr>
      <w:bookmarkStart w:id="1860" w:name="section_d7d842ece9424a95933c7f514858422e"/>
      <w:bookmarkStart w:id="1861" w:name="_Toc181683956"/>
      <w:r>
        <w:t>Part 1 Section 18.17.7.76, DATEVALUE</w:t>
      </w:r>
      <w:bookmarkEnd w:id="1860"/>
      <w:bookmarkEnd w:id="1861"/>
      <w:r>
        <w:fldChar w:fldCharType="begin"/>
      </w:r>
      <w:r>
        <w:instrText xml:space="preserve"> XE "DATEVALUE" </w:instrText>
      </w:r>
      <w:r>
        <w:fldChar w:fldCharType="end"/>
      </w:r>
    </w:p>
    <w:p w:rsidR="000A156F" w:rsidRDefault="00A9721F">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0A156F" w:rsidRDefault="00A9721F">
      <w:pPr>
        <w:pStyle w:val="Definition-Field2"/>
      </w:pPr>
      <w:r>
        <w:t>In Office, the function computes the serial value of the date represented by the string date-time-string, taking into account the current date base value.</w:t>
      </w:r>
    </w:p>
    <w:p w:rsidR="000A156F" w:rsidRDefault="00A9721F">
      <w:pPr>
        <w:pStyle w:val="Definition-Field"/>
      </w:pPr>
      <w:r>
        <w:lastRenderedPageBreak/>
        <w:t xml:space="preserve">b.   </w:t>
      </w:r>
      <w:r>
        <w:rPr>
          <w:i/>
        </w:rPr>
        <w:t>The standard does no</w:t>
      </w:r>
      <w:r>
        <w:rPr>
          <w:i/>
        </w:rPr>
        <w:t>t specify what happens when the date-time-string argument contains both a date and time part.</w:t>
      </w:r>
    </w:p>
    <w:p w:rsidR="000A156F" w:rsidRDefault="00A9721F">
      <w:pPr>
        <w:pStyle w:val="Definition-Field2"/>
      </w:pPr>
      <w:r>
        <w:t>Office truncates the time portion of the date-time-string argument, or returns 0 for time only values of date-time-string argument.</w:t>
      </w:r>
    </w:p>
    <w:p w:rsidR="000A156F" w:rsidRDefault="00A9721F">
      <w:pPr>
        <w:pStyle w:val="Heading3"/>
      </w:pPr>
      <w:bookmarkStart w:id="1862" w:name="section_772b35329d4d4cc999f47fc8e6f7cbee"/>
      <w:bookmarkStart w:id="1863" w:name="_Toc181683957"/>
      <w:r>
        <w:t>Part 1 Section 18.17.7.77, DAV</w:t>
      </w:r>
      <w:r>
        <w:t>ERAGE</w:t>
      </w:r>
      <w:bookmarkEnd w:id="1862"/>
      <w:bookmarkEnd w:id="1863"/>
      <w:r>
        <w:fldChar w:fldCharType="begin"/>
      </w:r>
      <w:r>
        <w:instrText xml:space="preserve"> XE "DAVERAGE" </w:instrText>
      </w:r>
      <w:r>
        <w:fldChar w:fldCharType="end"/>
      </w:r>
    </w:p>
    <w:p w:rsidR="000A156F" w:rsidRDefault="00A9721F">
      <w:pPr>
        <w:pStyle w:val="Definition-Field"/>
      </w:pPr>
      <w:r>
        <w:t xml:space="preserve">a.   </w:t>
      </w:r>
      <w:r>
        <w:rPr>
          <w:i/>
        </w:rPr>
        <w:t>The standard states that the field argument is the column to which criteria shall be applied.</w:t>
      </w:r>
    </w:p>
    <w:p w:rsidR="000A156F" w:rsidRDefault="00A9721F">
      <w:pPr>
        <w:pStyle w:val="Definition-Field2"/>
      </w:pPr>
      <w:r>
        <w:t>Office treats the field argument as the column to use to compute the average.</w:t>
      </w:r>
    </w:p>
    <w:p w:rsidR="000A156F" w:rsidRDefault="00A9721F">
      <w:pPr>
        <w:pStyle w:val="Heading3"/>
      </w:pPr>
      <w:bookmarkStart w:id="1864" w:name="section_0a57025c61144f1fab1e82504edb7859"/>
      <w:bookmarkStart w:id="1865" w:name="_Toc181683958"/>
      <w:r>
        <w:t>Part 1 Section 18.17.7.78, DAY</w:t>
      </w:r>
      <w:bookmarkEnd w:id="1864"/>
      <w:bookmarkEnd w:id="1865"/>
      <w:r>
        <w:fldChar w:fldCharType="begin"/>
      </w:r>
      <w:r>
        <w:instrText xml:space="preserve"> XE "DAY" </w:instrText>
      </w:r>
      <w:r>
        <w:fldChar w:fldCharType="end"/>
      </w:r>
    </w:p>
    <w:p w:rsidR="000A156F" w:rsidRDefault="00A9721F">
      <w:pPr>
        <w:pStyle w:val="Definition-Field"/>
      </w:pPr>
      <w:r>
        <w:t xml:space="preserve">a.   </w:t>
      </w:r>
      <w:r>
        <w:rPr>
          <w:i/>
        </w:rPr>
        <w:t xml:space="preserve">The </w:t>
      </w:r>
      <w:r>
        <w:rPr>
          <w:i/>
        </w:rPr>
        <w:t>standard includes the example “DAY(DATE(2006,0,2)) results in 31”, which is inconsistent with the defined behaviors for the DAY ("</w:t>
      </w:r>
      <w:hyperlink r:id="rId150">
        <w:r>
          <w:rPr>
            <w:rStyle w:val="Hyperlink"/>
          </w:rPr>
          <w:t>[ISO/IEC-29500-1]</w:t>
        </w:r>
      </w:hyperlink>
      <w:r>
        <w:rPr>
          <w:i/>
        </w:rPr>
        <w:t xml:space="preserve"> §18.17.7.78; DAY") and DATE ("</w:t>
      </w:r>
      <w:r>
        <w:t>[ISO/IEC-295</w:t>
      </w:r>
      <w:r>
        <w:t>00-1]</w:t>
      </w:r>
      <w:r>
        <w:rPr>
          <w:i/>
        </w:rPr>
        <w:t xml:space="preserve"> §18.17.7.74; DATE") functions.</w:t>
      </w:r>
    </w:p>
    <w:p w:rsidR="000A156F" w:rsidRDefault="00A9721F">
      <w:pPr>
        <w:pStyle w:val="Definition-Field2"/>
      </w:pPr>
      <w:r>
        <w:t>Excel implements the standard as written, and returns 2.</w:t>
      </w:r>
    </w:p>
    <w:p w:rsidR="000A156F" w:rsidRDefault="00A9721F">
      <w:pPr>
        <w:pStyle w:val="Heading3"/>
      </w:pPr>
      <w:bookmarkStart w:id="1866" w:name="section_1eeeff014a644d04909fa65156b0a515"/>
      <w:bookmarkStart w:id="1867" w:name="_Toc181683959"/>
      <w:r>
        <w:t>Part 1 Section 18.17.7.79, DAYS360</w:t>
      </w:r>
      <w:bookmarkEnd w:id="1866"/>
      <w:bookmarkEnd w:id="1867"/>
      <w:r>
        <w:fldChar w:fldCharType="begin"/>
      </w:r>
      <w:r>
        <w:instrText xml:space="preserve"> XE "DAYS360" </w:instrText>
      </w:r>
      <w:r>
        <w:fldChar w:fldCharType="end"/>
      </w:r>
    </w:p>
    <w:p w:rsidR="000A156F" w:rsidRDefault="00A9721F">
      <w:pPr>
        <w:pStyle w:val="Definition-Field"/>
      </w:pPr>
      <w:r>
        <w:t xml:space="preserve">a.   </w:t>
      </w:r>
      <w:r>
        <w:rPr>
          <w:i/>
        </w:rPr>
        <w:t>The standard does not describe the adjustments made when start-date is the 28th day of the 2nd month (or 2</w:t>
      </w:r>
      <w:r>
        <w:rPr>
          <w:i/>
        </w:rPr>
        <w:t>9th day of the second month for leap-years) for when argument method-flag is FALSE or omitted.</w:t>
      </w:r>
    </w:p>
    <w:p w:rsidR="000A156F" w:rsidRDefault="00A9721F">
      <w:pPr>
        <w:pStyle w:val="Definition-Field2"/>
      </w:pPr>
      <w:r>
        <w:t>In Office, if the start-date is the 28th day of the 2nd month (29th day of the 2nd month for leap-years) it is also changed to the 30th day of that same month.</w:t>
      </w:r>
    </w:p>
    <w:p w:rsidR="000A156F" w:rsidRDefault="00A9721F">
      <w:pPr>
        <w:pStyle w:val="Heading3"/>
      </w:pPr>
      <w:bookmarkStart w:id="1868" w:name="section_7600adb286b144e9afc75ff91d70a281"/>
      <w:bookmarkStart w:id="1869" w:name="_Toc181683960"/>
      <w:r>
        <w:t>P</w:t>
      </w:r>
      <w:r>
        <w:t>art 1 Section 18.17.7.80, DB</w:t>
      </w:r>
      <w:bookmarkEnd w:id="1868"/>
      <w:bookmarkEnd w:id="1869"/>
      <w:r>
        <w:fldChar w:fldCharType="begin"/>
      </w:r>
      <w:r>
        <w:instrText xml:space="preserve"> XE "DB" </w:instrText>
      </w:r>
      <w:r>
        <w:fldChar w:fldCharType="end"/>
      </w:r>
    </w:p>
    <w:p w:rsidR="000A156F" w:rsidRDefault="00A9721F">
      <w:pPr>
        <w:pStyle w:val="Definition-Field"/>
      </w:pPr>
      <w:r>
        <w:t xml:space="preserve">a.   </w:t>
      </w:r>
      <w:r>
        <w:rPr>
          <w:i/>
        </w:rPr>
        <w:t>The standard does not specify the return value if period &gt; life and month argument is omitted or month is 12, or if period &gt; (life + 1).</w:t>
      </w:r>
    </w:p>
    <w:p w:rsidR="000A156F" w:rsidRDefault="00A9721F">
      <w:pPr>
        <w:pStyle w:val="Definition-Field2"/>
      </w:pPr>
      <w:r>
        <w:t>Office returns #NUM! in this case.</w:t>
      </w:r>
    </w:p>
    <w:p w:rsidR="000A156F" w:rsidRDefault="00A9721F">
      <w:pPr>
        <w:pStyle w:val="Definition-Field"/>
      </w:pPr>
      <w:r>
        <w:t xml:space="preserve">b.   </w:t>
      </w:r>
      <w:r>
        <w:rPr>
          <w:i/>
        </w:rPr>
        <w:t>The standard states that the synta</w:t>
      </w:r>
      <w:r>
        <w:rPr>
          <w:i/>
        </w:rPr>
        <w:t>x is: DB  (  cost  ,  salvage  ,  life  ,  period  [  , [  month  ] ]  ).</w:t>
      </w:r>
    </w:p>
    <w:p w:rsidR="000A156F" w:rsidRDefault="00A9721F">
      <w:pPr>
        <w:pStyle w:val="Definition-Field2"/>
      </w:pPr>
      <w:r>
        <w:t>Office uses the following syntax: DB  (  cost  ,  salvage  ,  life  ,  period  [  ,  month   ]  ).</w:t>
      </w:r>
    </w:p>
    <w:p w:rsidR="000A156F" w:rsidRDefault="00A9721F">
      <w:pPr>
        <w:pStyle w:val="Heading3"/>
      </w:pPr>
      <w:bookmarkStart w:id="1870" w:name="section_49ad2a8386a24125a4b94c7feef6a0ba"/>
      <w:bookmarkStart w:id="1871" w:name="_Toc181683961"/>
      <w:r>
        <w:t>Part 1 Section 18.17.7.81, DCOUNT</w:t>
      </w:r>
      <w:bookmarkEnd w:id="1870"/>
      <w:bookmarkEnd w:id="1871"/>
      <w:r>
        <w:fldChar w:fldCharType="begin"/>
      </w:r>
      <w:r>
        <w:instrText xml:space="preserve"> XE "DCOUNT" </w:instrText>
      </w:r>
      <w:r>
        <w:fldChar w:fldCharType="end"/>
      </w:r>
    </w:p>
    <w:p w:rsidR="000A156F" w:rsidRDefault="00A9721F">
      <w:pPr>
        <w:pStyle w:val="Definition-Field"/>
      </w:pPr>
      <w:r>
        <w:t xml:space="preserve">a.   </w:t>
      </w:r>
      <w:r>
        <w:rPr>
          <w:i/>
        </w:rPr>
        <w:t xml:space="preserve">The standard states that the </w:t>
      </w:r>
      <w:r>
        <w:rPr>
          <w:i/>
        </w:rPr>
        <w:t>field argument is the column to which criteria shall be applied.</w:t>
      </w:r>
    </w:p>
    <w:p w:rsidR="000A156F" w:rsidRDefault="00A9721F">
      <w:pPr>
        <w:pStyle w:val="Definition-Field2"/>
      </w:pPr>
      <w:r>
        <w:t>Office treats the field argument as the column with values to count.</w:t>
      </w:r>
    </w:p>
    <w:p w:rsidR="000A156F" w:rsidRDefault="00A9721F">
      <w:pPr>
        <w:pStyle w:val="Heading3"/>
      </w:pPr>
      <w:bookmarkStart w:id="1872" w:name="section_9d863f40e03744bf958bdc158baf3397"/>
      <w:bookmarkStart w:id="1873" w:name="_Toc181683962"/>
      <w:r>
        <w:t>Part 1 Section 18.17.7.82, DCOUNTA</w:t>
      </w:r>
      <w:bookmarkEnd w:id="1872"/>
      <w:bookmarkEnd w:id="1873"/>
      <w:r>
        <w:fldChar w:fldCharType="begin"/>
      </w:r>
      <w:r>
        <w:instrText xml:space="preserve"> XE "DCOUNTA" </w:instrText>
      </w:r>
      <w:r>
        <w:fldChar w:fldCharType="end"/>
      </w:r>
    </w:p>
    <w:p w:rsidR="000A156F" w:rsidRDefault="00A9721F">
      <w:pPr>
        <w:pStyle w:val="Definition-Field"/>
      </w:pPr>
      <w:r>
        <w:t xml:space="preserve">a.   </w:t>
      </w:r>
      <w:r>
        <w:rPr>
          <w:i/>
        </w:rPr>
        <w:t>The standard states that the field argument is the column to which</w:t>
      </w:r>
      <w:r>
        <w:rPr>
          <w:i/>
        </w:rPr>
        <w:t xml:space="preserve"> criteria shall be applied.</w:t>
      </w:r>
    </w:p>
    <w:p w:rsidR="000A156F" w:rsidRDefault="00A9721F">
      <w:pPr>
        <w:pStyle w:val="Definition-Field2"/>
      </w:pPr>
      <w:r>
        <w:t>Office treats the field argument as the column with values to count.</w:t>
      </w:r>
    </w:p>
    <w:p w:rsidR="000A156F" w:rsidRDefault="00A9721F">
      <w:pPr>
        <w:pStyle w:val="Heading3"/>
      </w:pPr>
      <w:bookmarkStart w:id="1874" w:name="section_23d8e559f4544723822a8e219ab9992e"/>
      <w:bookmarkStart w:id="1875" w:name="_Toc181683963"/>
      <w:r>
        <w:t>Part 1 Section 18.17.7.83, DDB</w:t>
      </w:r>
      <w:bookmarkEnd w:id="1874"/>
      <w:bookmarkEnd w:id="1875"/>
      <w:r>
        <w:fldChar w:fldCharType="begin"/>
      </w:r>
      <w:r>
        <w:instrText xml:space="preserve"> XE "DDB" </w:instrText>
      </w:r>
      <w:r>
        <w:fldChar w:fldCharType="end"/>
      </w:r>
    </w:p>
    <w:p w:rsidR="000A156F" w:rsidRDefault="00A9721F">
      <w:pPr>
        <w:pStyle w:val="Definition-Field"/>
      </w:pPr>
      <w:r>
        <w:t xml:space="preserve">a.   </w:t>
      </w:r>
      <w:r>
        <w:rPr>
          <w:i/>
        </w:rPr>
        <w:t>The standard states that if the cost life argument is less than or equal to 0, then #NUM! is returned.</w:t>
      </w:r>
    </w:p>
    <w:p w:rsidR="000A156F" w:rsidRDefault="00A9721F">
      <w:pPr>
        <w:pStyle w:val="Definition-Field2"/>
      </w:pPr>
      <w:r>
        <w:lastRenderedPageBreak/>
        <w:t>Office r</w:t>
      </w:r>
      <w:r>
        <w:t>eturns #NUM! if the cost argument is less than 0.</w:t>
      </w:r>
    </w:p>
    <w:p w:rsidR="000A156F" w:rsidRDefault="00A9721F">
      <w:pPr>
        <w:pStyle w:val="Definition-Field"/>
      </w:pPr>
      <w:r>
        <w:t xml:space="preserve">b.   </w:t>
      </w:r>
      <w:r>
        <w:rPr>
          <w:i/>
        </w:rPr>
        <w:t>The standard does not specify the return value if period &gt; life.</w:t>
      </w:r>
    </w:p>
    <w:p w:rsidR="000A156F" w:rsidRDefault="00A9721F">
      <w:pPr>
        <w:pStyle w:val="Definition-Field2"/>
      </w:pPr>
      <w:r>
        <w:t>Office returns #NUM! if period &gt; life.</w:t>
      </w:r>
    </w:p>
    <w:p w:rsidR="000A156F" w:rsidRDefault="00A9721F">
      <w:pPr>
        <w:pStyle w:val="Definition-Field"/>
      </w:pPr>
      <w:r>
        <w:t xml:space="preserve">c.   </w:t>
      </w:r>
      <w:r>
        <w:rPr>
          <w:i/>
        </w:rPr>
        <w:t xml:space="preserve">The standard states that the syntax is: DDB  (  cost  ,  salvage  ,  life  ,  period  [  ,  </w:t>
      </w:r>
      <w:r>
        <w:rPr>
          <w:i/>
        </w:rPr>
        <w:t>factor  ] ]  ).</w:t>
      </w:r>
    </w:p>
    <w:p w:rsidR="000A156F" w:rsidRDefault="00A9721F">
      <w:pPr>
        <w:pStyle w:val="Definition-Field2"/>
      </w:pPr>
      <w:r>
        <w:t>Office uses the following syntax: DDB  (  cost  ,  salvage  ,  life  ,  period  [  ,  factor  ]  ).</w:t>
      </w:r>
    </w:p>
    <w:p w:rsidR="000A156F" w:rsidRDefault="00A9721F">
      <w:pPr>
        <w:pStyle w:val="Heading3"/>
      </w:pPr>
      <w:bookmarkStart w:id="1876" w:name="section_7cfe0e73dd0844b981fdc615f73ce6af"/>
      <w:bookmarkStart w:id="1877" w:name="_Toc181683964"/>
      <w:r>
        <w:t>Part 1 Section 18.17.7.84, DEC2BIN</w:t>
      </w:r>
      <w:bookmarkEnd w:id="1876"/>
      <w:bookmarkEnd w:id="1877"/>
      <w:r>
        <w:fldChar w:fldCharType="begin"/>
      </w:r>
      <w:r>
        <w:instrText xml:space="preserve"> XE "DEC2BIN" </w:instrText>
      </w:r>
      <w:r>
        <w:fldChar w:fldCharType="end"/>
      </w:r>
    </w:p>
    <w:p w:rsidR="000A156F" w:rsidRDefault="00A9721F">
      <w:pPr>
        <w:pStyle w:val="Definition-Field"/>
      </w:pPr>
      <w:r>
        <w:t xml:space="preserve">a.   </w:t>
      </w:r>
      <w:r>
        <w:rPr>
          <w:i/>
        </w:rPr>
        <w:t>The standard defines the number argument as a decimal number.</w:t>
      </w:r>
    </w:p>
    <w:p w:rsidR="000A156F" w:rsidRDefault="00A9721F">
      <w:pPr>
        <w:pStyle w:val="Definition-Field2"/>
      </w:pPr>
      <w:r>
        <w:t>Office truncates the n</w:t>
      </w:r>
      <w:r>
        <w:t>umber argument to a decimal integer.</w:t>
      </w:r>
    </w:p>
    <w:p w:rsidR="000A156F" w:rsidRDefault="00A9721F">
      <w:pPr>
        <w:pStyle w:val="Heading3"/>
      </w:pPr>
      <w:bookmarkStart w:id="1878" w:name="section_bc120263421b490faae7da0c6026ca7a"/>
      <w:bookmarkStart w:id="1879" w:name="_Toc181683965"/>
      <w:r>
        <w:t>Part 1 Section 18.17.7.85, DEC2HEX</w:t>
      </w:r>
      <w:bookmarkEnd w:id="1878"/>
      <w:bookmarkEnd w:id="1879"/>
      <w:r>
        <w:fldChar w:fldCharType="begin"/>
      </w:r>
      <w:r>
        <w:instrText xml:space="preserve"> XE "DEC2HEX" </w:instrText>
      </w:r>
      <w:r>
        <w:fldChar w:fldCharType="end"/>
      </w:r>
    </w:p>
    <w:p w:rsidR="000A156F" w:rsidRDefault="00A9721F">
      <w:pPr>
        <w:pStyle w:val="Definition-Field"/>
      </w:pPr>
      <w:r>
        <w:t xml:space="preserve">a.   </w:t>
      </w:r>
      <w:r>
        <w:rPr>
          <w:i/>
        </w:rPr>
        <w:t>The standard defines the number argument as a decimal number.</w:t>
      </w:r>
    </w:p>
    <w:p w:rsidR="000A156F" w:rsidRDefault="00A9721F">
      <w:pPr>
        <w:pStyle w:val="Definition-Field2"/>
      </w:pPr>
      <w:r>
        <w:t>Office truncates the number argument to a decimal integer.</w:t>
      </w:r>
    </w:p>
    <w:p w:rsidR="000A156F" w:rsidRDefault="00A9721F">
      <w:pPr>
        <w:pStyle w:val="Heading3"/>
      </w:pPr>
      <w:bookmarkStart w:id="1880" w:name="section_7556f95cd5e84ceca3354ace0aa5ef09"/>
      <w:bookmarkStart w:id="1881" w:name="_Toc181683966"/>
      <w:r>
        <w:t>Part 1 Section 18.17.7.86, DEC2OCT</w:t>
      </w:r>
      <w:bookmarkEnd w:id="1880"/>
      <w:bookmarkEnd w:id="1881"/>
      <w:r>
        <w:fldChar w:fldCharType="begin"/>
      </w:r>
      <w:r>
        <w:instrText xml:space="preserve"> XE "DEC</w:instrText>
      </w:r>
      <w:r>
        <w:instrText xml:space="preserve">2OCT" </w:instrText>
      </w:r>
      <w:r>
        <w:fldChar w:fldCharType="end"/>
      </w:r>
    </w:p>
    <w:p w:rsidR="000A156F" w:rsidRDefault="00A9721F">
      <w:pPr>
        <w:pStyle w:val="Definition-Field"/>
      </w:pPr>
      <w:r>
        <w:t xml:space="preserve">a.   </w:t>
      </w:r>
      <w:r>
        <w:rPr>
          <w:i/>
        </w:rPr>
        <w:t>The standard defines the number argument as a decimal number.</w:t>
      </w:r>
    </w:p>
    <w:p w:rsidR="000A156F" w:rsidRDefault="00A9721F">
      <w:pPr>
        <w:pStyle w:val="Definition-Field2"/>
      </w:pPr>
      <w:r>
        <w:t>Office truncates the number argument to a decimal integer.</w:t>
      </w:r>
    </w:p>
    <w:p w:rsidR="000A156F" w:rsidRDefault="00A9721F">
      <w:pPr>
        <w:pStyle w:val="Heading3"/>
      </w:pPr>
      <w:bookmarkStart w:id="1882" w:name="section_380b2e0778094280a39e0eec38e2e71d"/>
      <w:bookmarkStart w:id="1883" w:name="_Toc181683967"/>
      <w:r>
        <w:t>Part 1 Section 18.17.7.89, DEVSQ</w:t>
      </w:r>
      <w:bookmarkEnd w:id="1882"/>
      <w:bookmarkEnd w:id="1883"/>
      <w:r>
        <w:fldChar w:fldCharType="begin"/>
      </w:r>
      <w:r>
        <w:instrText xml:space="preserve"> XE "DEVSQ" </w:instrText>
      </w:r>
      <w:r>
        <w:fldChar w:fldCharType="end"/>
      </w:r>
    </w:p>
    <w:p w:rsidR="000A156F" w:rsidRDefault="00A9721F">
      <w:pPr>
        <w:pStyle w:val="Definition-Field"/>
      </w:pPr>
      <w:r>
        <w:t xml:space="preserve">a.   </w:t>
      </w:r>
      <w:r>
        <w:rPr>
          <w:i/>
        </w:rPr>
        <w:t xml:space="preserve">The standard does not specify the return value when the argument is </w:t>
      </w:r>
      <w:r>
        <w:rPr>
          <w:i/>
        </w:rPr>
        <w:t>an array or a reference that contains only text, logical values, or empty cells.</w:t>
      </w:r>
    </w:p>
    <w:p w:rsidR="000A156F" w:rsidRDefault="00A9721F">
      <w:pPr>
        <w:pStyle w:val="Definition-Field2"/>
      </w:pPr>
      <w:r>
        <w:t>Office returns #NUM! when argument is an array or a reference that contains only text, logical values, or empty cells.</w:t>
      </w:r>
    </w:p>
    <w:p w:rsidR="000A156F" w:rsidRDefault="00A9721F">
      <w:pPr>
        <w:pStyle w:val="Heading3"/>
      </w:pPr>
      <w:bookmarkStart w:id="1884" w:name="section_53cd50963b4d41f8bb3566dd020960bb"/>
      <w:bookmarkStart w:id="1885" w:name="_Toc181683968"/>
      <w:r>
        <w:t>Part 1 Section 18.17.7.90, DGET</w:t>
      </w:r>
      <w:bookmarkEnd w:id="1884"/>
      <w:bookmarkEnd w:id="1885"/>
      <w:r>
        <w:fldChar w:fldCharType="begin"/>
      </w:r>
      <w:r>
        <w:instrText xml:space="preserve"> XE "DGET" </w:instrText>
      </w:r>
      <w:r>
        <w:fldChar w:fldCharType="end"/>
      </w:r>
    </w:p>
    <w:p w:rsidR="000A156F" w:rsidRDefault="00A9721F">
      <w:pPr>
        <w:pStyle w:val="Definition-Field"/>
      </w:pPr>
      <w:r>
        <w:t xml:space="preserve">a.   </w:t>
      </w:r>
      <w:r>
        <w:rPr>
          <w:i/>
        </w:rPr>
        <w:t>The st</w:t>
      </w:r>
      <w:r>
        <w:rPr>
          <w:i/>
        </w:rPr>
        <w:t>andard states that argument field is the column to which criteria shall be applied.</w:t>
      </w:r>
    </w:p>
    <w:p w:rsidR="000A156F" w:rsidRDefault="00A9721F">
      <w:pPr>
        <w:pStyle w:val="Definition-Field2"/>
      </w:pPr>
      <w:r>
        <w:t>Office treats argument field as the column containing the value to get.</w:t>
      </w:r>
    </w:p>
    <w:p w:rsidR="000A156F" w:rsidRDefault="00A9721F">
      <w:pPr>
        <w:pStyle w:val="Heading3"/>
      </w:pPr>
      <w:bookmarkStart w:id="1886" w:name="section_e0c10da50878451da411270f6f96ef6e"/>
      <w:bookmarkStart w:id="1887" w:name="_Toc181683969"/>
      <w:r>
        <w:t>Part 1 Section 18.17.7.91, DISC</w:t>
      </w:r>
      <w:bookmarkEnd w:id="1886"/>
      <w:bookmarkEnd w:id="1887"/>
      <w:r>
        <w:fldChar w:fldCharType="begin"/>
      </w:r>
      <w:r>
        <w:instrText xml:space="preserve"> XE "DISC" </w:instrText>
      </w:r>
      <w:r>
        <w:fldChar w:fldCharType="end"/>
      </w:r>
    </w:p>
    <w:p w:rsidR="000A156F" w:rsidRDefault="00A9721F">
      <w:pPr>
        <w:pStyle w:val="Definition-Field"/>
      </w:pPr>
      <w:r>
        <w:t xml:space="preserve">a.   </w:t>
      </w:r>
      <w:r>
        <w:rPr>
          <w:i/>
        </w:rPr>
        <w:t>The standard states the pr argument is the securit</w:t>
      </w:r>
      <w:r>
        <w:rPr>
          <w:i/>
        </w:rPr>
        <w:t>y's price per $100 face value.</w:t>
      </w:r>
    </w:p>
    <w:p w:rsidR="000A156F" w:rsidRDefault="00A9721F">
      <w:pPr>
        <w:pStyle w:val="Definition-Field2"/>
      </w:pPr>
      <w:r>
        <w:t>Office treats the pr argument as the price per 100 currency units face value.</w:t>
      </w:r>
    </w:p>
    <w:p w:rsidR="000A156F" w:rsidRDefault="00A9721F">
      <w:pPr>
        <w:pStyle w:val="Definition-Field"/>
      </w:pPr>
      <w:r>
        <w:t xml:space="preserve">b.   </w:t>
      </w:r>
      <w:r>
        <w:rPr>
          <w:i/>
        </w:rPr>
        <w:t>The standard states the redemption argument is the security's redemption value per $100 face value.</w:t>
      </w:r>
    </w:p>
    <w:p w:rsidR="000A156F" w:rsidRDefault="00A9721F">
      <w:pPr>
        <w:pStyle w:val="Definition-Field2"/>
      </w:pPr>
      <w:r>
        <w:t xml:space="preserve">Office treats the redemption argument as </w:t>
      </w:r>
      <w:r>
        <w:t>the security's redemption value per 100 currency units face value.</w:t>
      </w:r>
    </w:p>
    <w:p w:rsidR="000A156F" w:rsidRDefault="00A9721F">
      <w:pPr>
        <w:pStyle w:val="Definition-Field"/>
      </w:pPr>
      <w:r>
        <w:t xml:space="preserve">c.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 days in the year is 360 by making the following adjustments:</w:t>
            </w:r>
          </w:p>
          <w:p w:rsidR="000A156F" w:rsidRDefault="00A9721F">
            <w:pPr>
              <w:pStyle w:val="TableBodyText"/>
            </w:pPr>
            <w:r>
              <w:t>If both day-of-months are 3</w:t>
            </w:r>
            <w:r>
              <w:t>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day-of-month will stay 31 if date1’s d</w:t>
            </w:r>
            <w:r>
              <w:t>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w:t>
            </w:r>
            <w:r>
              <w:t>ermine if date1 and date2 are “less than or equal to a year apart” for purposes of this algorithm, one of these conditions must be true:</w:t>
            </w:r>
          </w:p>
          <w:p w:rsidR="000A156F" w:rsidRDefault="00A9721F">
            <w:pPr>
              <w:pStyle w:val="ListParagraph"/>
              <w:numPr>
                <w:ilvl w:val="0"/>
                <w:numId w:val="92"/>
              </w:numPr>
            </w:pPr>
            <w:r>
              <w:t>The two dates have the same year</w:t>
            </w:r>
          </w:p>
          <w:p w:rsidR="000A156F" w:rsidRDefault="00A9721F">
            <w:pPr>
              <w:pStyle w:val="ListParagraph"/>
              <w:numPr>
                <w:ilvl w:val="0"/>
                <w:numId w:val="93"/>
              </w:numPr>
            </w:pPr>
            <w:r>
              <w:t>Date2’s year is exactly one more than date1’s year, and ((date1.month &gt; date2.month) o</w:t>
            </w:r>
            <w:r>
              <w:t>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difference in days, and presumes there are always 365 </w:t>
            </w:r>
            <w:r>
              <w:t>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d.   </w:t>
      </w:r>
      <w:r>
        <w:rPr>
          <w:i/>
        </w:rPr>
        <w:t>The standard states that the formula for DISC has par as the denominator.</w:t>
      </w:r>
    </w:p>
    <w:p w:rsidR="000A156F" w:rsidRDefault="00A9721F">
      <w:pPr>
        <w:pStyle w:val="Definition-Field2"/>
      </w:pPr>
      <w:r>
        <w:t xml:space="preserve">Office requires the formula to have redemption in the </w:t>
      </w:r>
      <w:r>
        <w:t>denominator instead of par.</w:t>
      </w:r>
    </w:p>
    <w:p w:rsidR="000A156F" w:rsidRDefault="00A9721F">
      <w:pPr>
        <w:pStyle w:val="Heading3"/>
      </w:pPr>
      <w:bookmarkStart w:id="1888" w:name="section_aa3e1f3eb51c4330af60fdcf8e8f943c"/>
      <w:bookmarkStart w:id="1889" w:name="_Toc181683970"/>
      <w:r>
        <w:t>Part 1 Section 18.17.7.92, DMAX</w:t>
      </w:r>
      <w:bookmarkEnd w:id="1888"/>
      <w:bookmarkEnd w:id="1889"/>
      <w:r>
        <w:fldChar w:fldCharType="begin"/>
      </w:r>
      <w:r>
        <w:instrText xml:space="preserve"> XE "DMAX" </w:instrText>
      </w:r>
      <w:r>
        <w:fldChar w:fldCharType="end"/>
      </w:r>
    </w:p>
    <w:p w:rsidR="000A156F" w:rsidRDefault="00A9721F">
      <w:pPr>
        <w:pStyle w:val="Definition-Field"/>
      </w:pPr>
      <w:r>
        <w:t xml:space="preserve">a.   </w:t>
      </w:r>
      <w:r>
        <w:rPr>
          <w:i/>
        </w:rPr>
        <w:t>The standard states that the field argument is the column to which criteria shall be applied.</w:t>
      </w:r>
    </w:p>
    <w:p w:rsidR="000A156F" w:rsidRDefault="00A9721F">
      <w:pPr>
        <w:pStyle w:val="Definition-Field2"/>
      </w:pPr>
      <w:r>
        <w:t>Office treats the field argument as the column for which to find the maximum.</w:t>
      </w:r>
    </w:p>
    <w:p w:rsidR="000A156F" w:rsidRDefault="00A9721F">
      <w:pPr>
        <w:pStyle w:val="Heading3"/>
      </w:pPr>
      <w:bookmarkStart w:id="1890" w:name="section_24c5d4171ace4d9fafce3baa0a6bde27"/>
      <w:bookmarkStart w:id="1891" w:name="_Toc181683971"/>
      <w:r>
        <w:t>Part 1 Section 18.17.7.93, DMIN</w:t>
      </w:r>
      <w:bookmarkEnd w:id="1890"/>
      <w:bookmarkEnd w:id="1891"/>
      <w:r>
        <w:fldChar w:fldCharType="begin"/>
      </w:r>
      <w:r>
        <w:instrText xml:space="preserve"> XE "DMIN" </w:instrText>
      </w:r>
      <w:r>
        <w:fldChar w:fldCharType="end"/>
      </w:r>
    </w:p>
    <w:p w:rsidR="000A156F" w:rsidRDefault="00A9721F">
      <w:pPr>
        <w:pStyle w:val="Definition-Field"/>
      </w:pPr>
      <w:r>
        <w:t xml:space="preserve">a.   </w:t>
      </w:r>
      <w:r>
        <w:rPr>
          <w:i/>
        </w:rPr>
        <w:t>The standard states that the field argument is the column to which criteria shall be applied.</w:t>
      </w:r>
    </w:p>
    <w:p w:rsidR="000A156F" w:rsidRDefault="00A9721F">
      <w:pPr>
        <w:pStyle w:val="Definition-Field2"/>
      </w:pPr>
      <w:r>
        <w:t>Office treats the field argument as the column for which to find the minimum.</w:t>
      </w:r>
    </w:p>
    <w:p w:rsidR="000A156F" w:rsidRDefault="00A9721F">
      <w:pPr>
        <w:pStyle w:val="Heading3"/>
      </w:pPr>
      <w:bookmarkStart w:id="1892" w:name="section_8c4980c3abb244b887910b5b00c8546a"/>
      <w:bookmarkStart w:id="1893" w:name="_Toc181683972"/>
      <w:r>
        <w:lastRenderedPageBreak/>
        <w:t>Part 1 Section 18.17.7.94, DOLLAR</w:t>
      </w:r>
      <w:bookmarkEnd w:id="1892"/>
      <w:bookmarkEnd w:id="1893"/>
      <w:r>
        <w:fldChar w:fldCharType="begin"/>
      </w:r>
      <w:r>
        <w:instrText xml:space="preserve"> </w:instrText>
      </w:r>
      <w:r>
        <w:instrText xml:space="preserve">XE "DOLLAR" </w:instrText>
      </w:r>
      <w:r>
        <w:fldChar w:fldCharType="end"/>
      </w:r>
    </w:p>
    <w:p w:rsidR="000A156F" w:rsidRDefault="00A9721F">
      <w:pPr>
        <w:pStyle w:val="Definition-Field"/>
      </w:pPr>
      <w:r>
        <w:t xml:space="preserve">a.   </w:t>
      </w:r>
      <w:r>
        <w:rPr>
          <w:i/>
        </w:rPr>
        <w:t>The standard states that the thousands separator, radix point, and currency symbol are locale-specific. The format used is $#,##0.00;$(#,##0.00).</w:t>
      </w:r>
    </w:p>
    <w:p w:rsidR="000A156F" w:rsidRDefault="00A9721F">
      <w:pPr>
        <w:pStyle w:val="Definition-Field2"/>
      </w:pPr>
      <w:r>
        <w:t>Office treats the thousands separator, radix point, and currency symbol to be implementati</w:t>
      </w:r>
      <w:r>
        <w:t>on-specific.</w:t>
      </w:r>
    </w:p>
    <w:p w:rsidR="000A156F" w:rsidRDefault="00A9721F">
      <w:pPr>
        <w:pStyle w:val="Definition-Field"/>
      </w:pPr>
      <w:r>
        <w:t xml:space="preserve">b.   </w:t>
      </w:r>
      <w:r>
        <w:rPr>
          <w:i/>
        </w:rPr>
        <w:t>The standard does not specify the return value if the num-decimal argument is greater than 127.</w:t>
      </w:r>
    </w:p>
    <w:p w:rsidR="000A156F" w:rsidRDefault="00A9721F">
      <w:pPr>
        <w:pStyle w:val="Definition-Field2"/>
      </w:pPr>
      <w:r>
        <w:t>Office returns #VALUE! if the num-decimal argument is greater than 127.</w:t>
      </w:r>
    </w:p>
    <w:p w:rsidR="000A156F" w:rsidRDefault="00A9721F">
      <w:pPr>
        <w:pStyle w:val="Heading3"/>
      </w:pPr>
      <w:bookmarkStart w:id="1894" w:name="section_9db144490d4049699ce7de5c45e6f786"/>
      <w:bookmarkStart w:id="1895" w:name="_Toc181683973"/>
      <w:r>
        <w:t>Part 1 Section 18.17.7.95, DOLLARDE</w:t>
      </w:r>
      <w:bookmarkEnd w:id="1894"/>
      <w:bookmarkEnd w:id="1895"/>
      <w:r>
        <w:fldChar w:fldCharType="begin"/>
      </w:r>
      <w:r>
        <w:instrText xml:space="preserve"> XE "DOLLARDE" </w:instrText>
      </w:r>
      <w:r>
        <w:fldChar w:fldCharType="end"/>
      </w:r>
    </w:p>
    <w:p w:rsidR="000A156F" w:rsidRDefault="00A9721F">
      <w:pPr>
        <w:pStyle w:val="Definition-Field"/>
      </w:pPr>
      <w:r>
        <w:t xml:space="preserve">a.   </w:t>
      </w:r>
      <w:r>
        <w:rPr>
          <w:i/>
        </w:rPr>
        <w:t>The standard</w:t>
      </w:r>
      <w:r>
        <w:rPr>
          <w:i/>
        </w:rPr>
        <w:t xml:space="preserve"> does not specify how the return value is calculated.</w:t>
      </w:r>
    </w:p>
    <w:p w:rsidR="000A156F" w:rsidRDefault="00A9721F">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0A156F" w:rsidRDefault="00A9721F">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0A156F" w:rsidRDefault="00A9721F">
      <w:pPr>
        <w:pStyle w:val="Definition-Field"/>
      </w:pPr>
      <w:r>
        <w:t xml:space="preserve">b.   </w:t>
      </w:r>
      <w:r>
        <w:rPr>
          <w:i/>
        </w:rPr>
        <w:t>The standard states th</w:t>
      </w:r>
      <w:r>
        <w:rPr>
          <w:i/>
        </w:rPr>
        <w:t>at argument fractional-dollar is the number expressed as a fraction.</w:t>
      </w:r>
    </w:p>
    <w:p w:rsidR="000A156F" w:rsidRDefault="00A9721F">
      <w:pPr>
        <w:pStyle w:val="Definition-Field2"/>
      </w:pPr>
      <w:r>
        <w:t>Office treats argument fractional-dollar as the number to be interpreted as a fractional dollar price.</w:t>
      </w:r>
    </w:p>
    <w:p w:rsidR="000A156F" w:rsidRDefault="00A9721F">
      <w:pPr>
        <w:pStyle w:val="Heading3"/>
      </w:pPr>
      <w:bookmarkStart w:id="1896" w:name="section_ecddd7b509c9434a845ef520c6384747"/>
      <w:bookmarkStart w:id="1897" w:name="_Toc181683974"/>
      <w:r>
        <w:t>Part 1 Section 18.17.7.96, DOLLARFR</w:t>
      </w:r>
      <w:bookmarkEnd w:id="1896"/>
      <w:bookmarkEnd w:id="1897"/>
      <w:r>
        <w:fldChar w:fldCharType="begin"/>
      </w:r>
      <w:r>
        <w:instrText xml:space="preserve"> XE "DOLLARFR" </w:instrText>
      </w:r>
      <w:r>
        <w:fldChar w:fldCharType="end"/>
      </w:r>
    </w:p>
    <w:p w:rsidR="000A156F" w:rsidRDefault="00A9721F">
      <w:pPr>
        <w:pStyle w:val="Definition-Field"/>
      </w:pPr>
      <w:r>
        <w:t xml:space="preserve">a.   </w:t>
      </w:r>
      <w:r>
        <w:rPr>
          <w:i/>
        </w:rPr>
        <w:t>The standard does not spec</w:t>
      </w:r>
      <w:r>
        <w:rPr>
          <w:i/>
        </w:rPr>
        <w:t>ify how the return value is calculated.</w:t>
      </w:r>
    </w:p>
    <w:p w:rsidR="000A156F" w:rsidRDefault="00A9721F">
      <w:r>
        <w:t>In Excel, the fractional part of the return value is scaled to have the same number of digits after the decimal point, as there are digits in fraction. [Example: DOLLARFR(1.125, 16) has a two-digit fraction value and</w:t>
      </w:r>
      <w:r>
        <w:t xml:space="preserve"> so returns the two-digit fractional number 1.02 end example] If an exact numerator cannot be found, the function returns the lowest numerator that could be used with fraction, multiplied by a power of ten. [Example: DOLLARFR(1.5,3) returns 1.15, as there </w:t>
      </w:r>
      <w:r>
        <w:t>is no exact fraction which satisfies n/3 = 0.5, and 15/30 represents the lowest power of ten fraction can be multiplied by to obtain an exact value. end example]</w:t>
      </w:r>
    </w:p>
    <w:p w:rsidR="000A156F" w:rsidRDefault="00A9721F">
      <w:pPr>
        <w:pStyle w:val="Heading3"/>
      </w:pPr>
      <w:bookmarkStart w:id="1898" w:name="section_10229973494b4cf4bcdbe6e1d4f7dff4"/>
      <w:bookmarkStart w:id="1899" w:name="_Toc181683975"/>
      <w:r>
        <w:t>Part 1 Section 18.17.7.97, DPRODUCT</w:t>
      </w:r>
      <w:bookmarkEnd w:id="1898"/>
      <w:bookmarkEnd w:id="1899"/>
      <w:r>
        <w:fldChar w:fldCharType="begin"/>
      </w:r>
      <w:r>
        <w:instrText xml:space="preserve"> XE "DPRODUCT" </w:instrText>
      </w:r>
      <w:r>
        <w:fldChar w:fldCharType="end"/>
      </w:r>
    </w:p>
    <w:p w:rsidR="000A156F" w:rsidRDefault="00A9721F">
      <w:pPr>
        <w:pStyle w:val="Definition-Field"/>
      </w:pPr>
      <w:r>
        <w:t xml:space="preserve">a.   </w:t>
      </w:r>
      <w:r>
        <w:rPr>
          <w:i/>
        </w:rPr>
        <w:t>The standard states that the field a</w:t>
      </w:r>
      <w:r>
        <w:rPr>
          <w:i/>
        </w:rPr>
        <w:t>rgument is the column to which criteria shall be applied.</w:t>
      </w:r>
    </w:p>
    <w:p w:rsidR="000A156F" w:rsidRDefault="00A9721F">
      <w:pPr>
        <w:pStyle w:val="Definition-Field2"/>
      </w:pPr>
      <w:r>
        <w:t>Office treats the field argument as the column containing the values to be multiplied.</w:t>
      </w:r>
    </w:p>
    <w:p w:rsidR="000A156F" w:rsidRDefault="00A9721F">
      <w:pPr>
        <w:pStyle w:val="Heading3"/>
      </w:pPr>
      <w:bookmarkStart w:id="1900" w:name="section_f4583c0d8f87480793ccf7144bb4901e"/>
      <w:bookmarkStart w:id="1901" w:name="_Toc181683976"/>
      <w:r>
        <w:t>Part 1 Section 18.17.7.98, DSTDEV</w:t>
      </w:r>
      <w:bookmarkEnd w:id="1900"/>
      <w:bookmarkEnd w:id="1901"/>
      <w:r>
        <w:fldChar w:fldCharType="begin"/>
      </w:r>
      <w:r>
        <w:instrText xml:space="preserve"> XE "DSTDEV" </w:instrText>
      </w:r>
      <w:r>
        <w:fldChar w:fldCharType="end"/>
      </w:r>
    </w:p>
    <w:p w:rsidR="000A156F" w:rsidRDefault="00A9721F">
      <w:pPr>
        <w:pStyle w:val="Definition-Field"/>
      </w:pPr>
      <w:r>
        <w:t xml:space="preserve">a.   </w:t>
      </w:r>
      <w:r>
        <w:rPr>
          <w:i/>
        </w:rPr>
        <w:t>The standard states that the field argument is the column</w:t>
      </w:r>
      <w:r>
        <w:rPr>
          <w:i/>
        </w:rPr>
        <w:t xml:space="preserve"> to which criteria shall be applied.</w:t>
      </w:r>
    </w:p>
    <w:p w:rsidR="000A156F" w:rsidRDefault="00A9721F">
      <w:pPr>
        <w:pStyle w:val="Definition-Field2"/>
      </w:pPr>
      <w:r>
        <w:t>Office treats the field argument as the column for which the standard deviation is to be computed.</w:t>
      </w:r>
    </w:p>
    <w:p w:rsidR="000A156F" w:rsidRDefault="00A9721F">
      <w:pPr>
        <w:pStyle w:val="Heading3"/>
      </w:pPr>
      <w:bookmarkStart w:id="1902" w:name="section_c516d215cc2a472f98e9a3e4d454084a"/>
      <w:bookmarkStart w:id="1903" w:name="_Toc181683977"/>
      <w:r>
        <w:t>Part 1 Section 18.17.7.99, DSTDEVP</w:t>
      </w:r>
      <w:bookmarkEnd w:id="1902"/>
      <w:bookmarkEnd w:id="1903"/>
      <w:r>
        <w:fldChar w:fldCharType="begin"/>
      </w:r>
      <w:r>
        <w:instrText xml:space="preserve"> XE "DSTDEVP" </w:instrText>
      </w:r>
      <w:r>
        <w:fldChar w:fldCharType="end"/>
      </w:r>
    </w:p>
    <w:p w:rsidR="000A156F" w:rsidRDefault="00A9721F">
      <w:pPr>
        <w:pStyle w:val="Definition-Field"/>
      </w:pPr>
      <w:r>
        <w:t xml:space="preserve">a.   </w:t>
      </w:r>
      <w:r>
        <w:rPr>
          <w:i/>
        </w:rPr>
        <w:t>The standard states that the field argument is the column to whi</w:t>
      </w:r>
      <w:r>
        <w:rPr>
          <w:i/>
        </w:rPr>
        <w:t>ch criteria shall be applied.</w:t>
      </w:r>
    </w:p>
    <w:p w:rsidR="000A156F" w:rsidRDefault="00A9721F">
      <w:pPr>
        <w:pStyle w:val="Definition-Field2"/>
      </w:pPr>
      <w:r>
        <w:lastRenderedPageBreak/>
        <w:t>Office treats the field argument as the column for which the standard deviation is to be computed.</w:t>
      </w:r>
    </w:p>
    <w:p w:rsidR="000A156F" w:rsidRDefault="00A9721F">
      <w:pPr>
        <w:pStyle w:val="Heading3"/>
      </w:pPr>
      <w:bookmarkStart w:id="1904" w:name="section_b9002f2fcbd749a7b93fef03eb167d0c"/>
      <w:bookmarkStart w:id="1905" w:name="_Toc181683978"/>
      <w:r>
        <w:t>Part 1 Section 18.17.7.100, DSUM</w:t>
      </w:r>
      <w:bookmarkEnd w:id="1904"/>
      <w:bookmarkEnd w:id="1905"/>
      <w:r>
        <w:fldChar w:fldCharType="begin"/>
      </w:r>
      <w:r>
        <w:instrText xml:space="preserve"> XE "DSUM" </w:instrText>
      </w:r>
      <w:r>
        <w:fldChar w:fldCharType="end"/>
      </w:r>
    </w:p>
    <w:p w:rsidR="000A156F" w:rsidRDefault="00A9721F">
      <w:pPr>
        <w:pStyle w:val="Definition-Field"/>
      </w:pPr>
      <w:r>
        <w:t xml:space="preserve">a.   </w:t>
      </w:r>
      <w:r>
        <w:rPr>
          <w:i/>
        </w:rPr>
        <w:t xml:space="preserve">The standard states that the field argument is the column to which criteria </w:t>
      </w:r>
      <w:r>
        <w:rPr>
          <w:i/>
        </w:rPr>
        <w:t>shall be applied.</w:t>
      </w:r>
    </w:p>
    <w:p w:rsidR="000A156F" w:rsidRDefault="00A9721F">
      <w:pPr>
        <w:pStyle w:val="Definition-Field2"/>
      </w:pPr>
      <w:r>
        <w:t>Office treats the field argument as the column for which the sum is to be computed.</w:t>
      </w:r>
    </w:p>
    <w:p w:rsidR="000A156F" w:rsidRDefault="00A9721F">
      <w:pPr>
        <w:pStyle w:val="Heading3"/>
      </w:pPr>
      <w:bookmarkStart w:id="1906" w:name="section_68f1329a6d8f49d6ad141af208658265"/>
      <w:bookmarkStart w:id="1907" w:name="_Toc181683979"/>
      <w:r>
        <w:t>Part 1 Section 18.17.7.101, DURATION</w:t>
      </w:r>
      <w:bookmarkEnd w:id="1906"/>
      <w:bookmarkEnd w:id="1907"/>
      <w:r>
        <w:fldChar w:fldCharType="begin"/>
      </w:r>
      <w:r>
        <w:instrText xml:space="preserve"> XE "DURATION" </w:instrText>
      </w:r>
      <w:r>
        <w:fldChar w:fldCharType="end"/>
      </w:r>
    </w:p>
    <w:p w:rsidR="000A156F" w:rsidRDefault="00A9721F">
      <w:pPr>
        <w:pStyle w:val="Definition-Field"/>
      </w:pPr>
      <w:r>
        <w:t xml:space="preserve">a.   </w:t>
      </w:r>
      <w:r>
        <w:rPr>
          <w:i/>
        </w:rPr>
        <w:t xml:space="preserve">The standard says that duration is defined as the weighted average of the present value of the </w:t>
      </w:r>
      <w:r>
        <w:rPr>
          <w:i/>
        </w:rPr>
        <w:t>cash flows and is used as a measure of a bond price's response to changes in yield.</w:t>
      </w:r>
    </w:p>
    <w:p w:rsidR="000A156F" w:rsidRDefault="00A9721F">
      <w:pPr>
        <w:pStyle w:val="Definition-Field2"/>
      </w:pPr>
      <w:r>
        <w:t>Office treats duration as the weighted average term to maturity of the cash flows from a bond. The weight of each cash flow is determined by dividing the present value of t</w:t>
      </w:r>
      <w:r>
        <w:t>he cash flow by the price.</w:t>
      </w:r>
    </w:p>
    <w:p w:rsidR="000A156F" w:rsidRDefault="00A9721F">
      <w:pPr>
        <w:pStyle w:val="Definition-Field"/>
      </w:pPr>
      <w:r>
        <w:t xml:space="preserve">b.   </w:t>
      </w:r>
      <w:r>
        <w:rPr>
          <w:i/>
        </w:rPr>
        <w:t>The standard indicates that the function is specific to U.S. currency.</w:t>
      </w:r>
    </w:p>
    <w:p w:rsidR="000A156F" w:rsidRDefault="00A9721F">
      <w:pPr>
        <w:pStyle w:val="Definition-Field2"/>
      </w:pPr>
      <w:r>
        <w:t>Office does not require the function to be specific to any currency.</w:t>
      </w:r>
    </w:p>
    <w:p w:rsidR="000A156F" w:rsidRDefault="00A9721F">
      <w:pPr>
        <w:pStyle w:val="Definition-Field"/>
      </w:pPr>
      <w:r>
        <w:t xml:space="preserve">c.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w:t>
            </w:r>
            <w:r>
              <w:t xml:space="preserv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w:t>
            </w:r>
            <w:r>
              <w:t>th is 31, date2’s day-of-month is changed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w:t>
            </w:r>
            <w:r>
              <w:t xml:space="preserv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w:t>
            </w:r>
            <w:r>
              <w:t>ermine if date1 and date2 are “less than or equal to a year apart” for purposes of this algorithm, one of these conditions must be true:</w:t>
            </w:r>
          </w:p>
          <w:p w:rsidR="000A156F" w:rsidRDefault="00A9721F">
            <w:pPr>
              <w:pStyle w:val="ListParagraph"/>
              <w:numPr>
                <w:ilvl w:val="0"/>
                <w:numId w:val="94"/>
              </w:numPr>
            </w:pPr>
            <w:r>
              <w:t>The two dates have the same year</w:t>
            </w:r>
          </w:p>
          <w:p w:rsidR="000A156F" w:rsidRDefault="00A9721F">
            <w:pPr>
              <w:pStyle w:val="ListParagraph"/>
              <w:numPr>
                <w:ilvl w:val="0"/>
                <w:numId w:val="95"/>
              </w:numPr>
            </w:pPr>
            <w:r>
              <w:t>Date2’s year is exactly one more than date1’s year, and ((date1.month &gt; date2.month) o</w:t>
            </w:r>
            <w:r>
              <w:t>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difference in days, and presumes there are always 365 </w:t>
            </w:r>
            <w:r>
              <w:t>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or</w:t>
            </w:r>
            <w:r>
              <w:t xml:space="preserve">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Heading3"/>
      </w:pPr>
      <w:bookmarkStart w:id="1908" w:name="section_4c431026aee849dcb59333e886fa11a5"/>
      <w:bookmarkStart w:id="1909" w:name="_Toc181683980"/>
      <w:r>
        <w:t>Part 1 Section 18.17.7.102, DVAR</w:t>
      </w:r>
      <w:bookmarkEnd w:id="1908"/>
      <w:bookmarkEnd w:id="1909"/>
      <w:r>
        <w:fldChar w:fldCharType="begin"/>
      </w:r>
      <w:r>
        <w:instrText xml:space="preserve"> XE "DVAR" </w:instrText>
      </w:r>
      <w:r>
        <w:fldChar w:fldCharType="end"/>
      </w:r>
    </w:p>
    <w:p w:rsidR="000A156F" w:rsidRDefault="00A9721F">
      <w:pPr>
        <w:pStyle w:val="Definition-Field"/>
      </w:pPr>
      <w:r>
        <w:t xml:space="preserve">a.   </w:t>
      </w:r>
      <w:r>
        <w:rPr>
          <w:i/>
        </w:rPr>
        <w:t xml:space="preserve">The standard states that the field argument is the column to which criteria shall </w:t>
      </w:r>
      <w:r>
        <w:rPr>
          <w:i/>
        </w:rPr>
        <w:t>be applied.</w:t>
      </w:r>
    </w:p>
    <w:p w:rsidR="000A156F" w:rsidRDefault="00A9721F">
      <w:pPr>
        <w:pStyle w:val="Definition-Field2"/>
      </w:pPr>
      <w:r>
        <w:t>Office treats the field argument as the column for which the variance is to be computed.</w:t>
      </w:r>
    </w:p>
    <w:p w:rsidR="000A156F" w:rsidRDefault="00A9721F">
      <w:pPr>
        <w:pStyle w:val="Heading3"/>
      </w:pPr>
      <w:bookmarkStart w:id="1910" w:name="section_4ff3283999cf4feab83bf5b2e4a6f0f4"/>
      <w:bookmarkStart w:id="1911" w:name="_Toc181683981"/>
      <w:r>
        <w:t>Part 1 Section 18.17.7.103, DVARP</w:t>
      </w:r>
      <w:bookmarkEnd w:id="1910"/>
      <w:bookmarkEnd w:id="1911"/>
      <w:r>
        <w:fldChar w:fldCharType="begin"/>
      </w:r>
      <w:r>
        <w:instrText xml:space="preserve"> XE "DVARP" </w:instrText>
      </w:r>
      <w:r>
        <w:fldChar w:fldCharType="end"/>
      </w:r>
    </w:p>
    <w:p w:rsidR="000A156F" w:rsidRDefault="00A9721F">
      <w:pPr>
        <w:pStyle w:val="Definition-Field"/>
      </w:pPr>
      <w:r>
        <w:t xml:space="preserve">a.   </w:t>
      </w:r>
      <w:r>
        <w:rPr>
          <w:i/>
        </w:rPr>
        <w:t>The standard states that the field argument is the column to which criteria shall be applied.</w:t>
      </w:r>
    </w:p>
    <w:p w:rsidR="000A156F" w:rsidRDefault="00A9721F">
      <w:pPr>
        <w:pStyle w:val="Definition-Field2"/>
      </w:pPr>
      <w:r>
        <w:t>Office t</w:t>
      </w:r>
      <w:r>
        <w:t>reats the field argument as the column for which the variance is to be computed.</w:t>
      </w:r>
    </w:p>
    <w:p w:rsidR="000A156F" w:rsidRDefault="00A9721F">
      <w:pPr>
        <w:pStyle w:val="Heading3"/>
      </w:pPr>
      <w:bookmarkStart w:id="1912" w:name="section_0e6c5c298bbf496d9494aaed1fcd59d7"/>
      <w:bookmarkStart w:id="1913" w:name="_Toc181683982"/>
      <w:r>
        <w:t>Part 1 Section 18.17.7.105, EDATE</w:t>
      </w:r>
      <w:bookmarkEnd w:id="1912"/>
      <w:bookmarkEnd w:id="1913"/>
      <w:r>
        <w:fldChar w:fldCharType="begin"/>
      </w:r>
      <w:r>
        <w:instrText xml:space="preserve"> XE "EDATE" </w:instrText>
      </w:r>
      <w:r>
        <w:fldChar w:fldCharType="end"/>
      </w:r>
    </w:p>
    <w:p w:rsidR="000A156F" w:rsidRDefault="00A9721F">
      <w:pPr>
        <w:pStyle w:val="Definition-Field"/>
      </w:pPr>
      <w:r>
        <w:t xml:space="preserve">a.   </w:t>
      </w:r>
      <w:r>
        <w:rPr>
          <w:i/>
        </w:rPr>
        <w:t>The standard does not specify the case where the day of the month in argument start-date is greater than the last day of t</w:t>
      </w:r>
      <w:r>
        <w:rPr>
          <w:i/>
        </w:rPr>
        <w:t>he result month.</w:t>
      </w:r>
    </w:p>
    <w:p w:rsidR="000A156F" w:rsidRDefault="00A9721F">
      <w:pPr>
        <w:pStyle w:val="Definition-Field2"/>
      </w:pPr>
      <w:r>
        <w:t>In this case, Office will round day to the last day of the result month.</w:t>
      </w:r>
    </w:p>
    <w:p w:rsidR="000A156F" w:rsidRDefault="00A9721F">
      <w:pPr>
        <w:pStyle w:val="Heading3"/>
      </w:pPr>
      <w:bookmarkStart w:id="1914" w:name="section_31ffd3e4140e44dca59bf5545b511558"/>
      <w:bookmarkStart w:id="1915" w:name="_Toc181683983"/>
      <w:r>
        <w:t>Part 1 Section 18.17.7.108, ERF</w:t>
      </w:r>
      <w:bookmarkEnd w:id="1914"/>
      <w:bookmarkEnd w:id="1915"/>
      <w:r>
        <w:fldChar w:fldCharType="begin"/>
      </w:r>
      <w:r>
        <w:instrText xml:space="preserve"> XE "ERF" </w:instrText>
      </w:r>
      <w:r>
        <w:fldChar w:fldCharType="end"/>
      </w:r>
    </w:p>
    <w:p w:rsidR="000A156F" w:rsidRDefault="00A9721F">
      <w:pPr>
        <w:pStyle w:val="Definition-Field"/>
      </w:pPr>
      <w:r>
        <w:t xml:space="preserve">a.   </w:t>
      </w:r>
      <w:r>
        <w:rPr>
          <w:i/>
        </w:rPr>
        <w:t>The standard does not specify how function arguments map to formula variables.</w:t>
      </w:r>
    </w:p>
    <w:p w:rsidR="000A156F" w:rsidRDefault="00A9721F">
      <w:pPr>
        <w:pStyle w:val="Definition-Field2"/>
      </w:pPr>
      <w:r>
        <w:t>Office maps z to lower-bound argument,</w:t>
      </w:r>
      <w:r>
        <w:t xml:space="preserve"> a to lower-bound argument, b to upper-bound argument.</w:t>
      </w:r>
    </w:p>
    <w:p w:rsidR="000A156F" w:rsidRDefault="00A9721F">
      <w:pPr>
        <w:pStyle w:val="Heading3"/>
      </w:pPr>
      <w:bookmarkStart w:id="1916" w:name="section_b90dd1d8dd354137b8a059312734a7e2"/>
      <w:bookmarkStart w:id="1917" w:name="_Toc181683984"/>
      <w:r>
        <w:t>Part 1 Section 18.17.7.109, ERFC</w:t>
      </w:r>
      <w:bookmarkEnd w:id="1916"/>
      <w:bookmarkEnd w:id="1917"/>
      <w:r>
        <w:fldChar w:fldCharType="begin"/>
      </w:r>
      <w:r>
        <w:instrText xml:space="preserve"> XE "ERFC" </w:instrText>
      </w:r>
      <w:r>
        <w:fldChar w:fldCharType="end"/>
      </w:r>
    </w:p>
    <w:p w:rsidR="000A156F" w:rsidRDefault="00A9721F">
      <w:pPr>
        <w:pStyle w:val="Definition-Field"/>
      </w:pPr>
      <w:r>
        <w:t xml:space="preserve">a.   </w:t>
      </w:r>
      <w:r>
        <w:rPr>
          <w:i/>
        </w:rPr>
        <w:t>The standard does not specify how function arguments map to formula variables.</w:t>
      </w:r>
    </w:p>
    <w:p w:rsidR="000A156F" w:rsidRDefault="00A9721F">
      <w:pPr>
        <w:pStyle w:val="Definition-Field2"/>
      </w:pPr>
      <w:r>
        <w:t>Office maps x to lower-bound argument.</w:t>
      </w:r>
    </w:p>
    <w:p w:rsidR="000A156F" w:rsidRDefault="00A9721F">
      <w:pPr>
        <w:pStyle w:val="Heading3"/>
      </w:pPr>
      <w:bookmarkStart w:id="1918" w:name="section_f3689539eb2b4392b05c936b871c4557"/>
      <w:bookmarkStart w:id="1919" w:name="_Toc181683985"/>
      <w:r>
        <w:t>Part 1 Section 18.17.7.110, ERROR.TYPE</w:t>
      </w:r>
      <w:bookmarkEnd w:id="1918"/>
      <w:bookmarkEnd w:id="1919"/>
      <w:r>
        <w:fldChar w:fldCharType="begin"/>
      </w:r>
      <w:r>
        <w:instrText xml:space="preserve"> XE "ERROR.TYPE" </w:instrText>
      </w:r>
      <w:r>
        <w:fldChar w:fldCharType="end"/>
      </w:r>
    </w:p>
    <w:p w:rsidR="000A156F" w:rsidRDefault="00A9721F">
      <w:pPr>
        <w:pStyle w:val="Definition-Field"/>
      </w:pPr>
      <w:r>
        <w:t xml:space="preserve">a.   </w:t>
      </w:r>
      <w:r>
        <w:rPr>
          <w:i/>
        </w:rPr>
        <w:t>The standard states that return values are 1-7 or #N/A.</w:t>
      </w:r>
    </w:p>
    <w:p w:rsidR="000A156F" w:rsidRDefault="00A9721F">
      <w:pPr>
        <w:pStyle w:val="Definition-Field2"/>
      </w:pPr>
      <w:r>
        <w:t>Office can also return a value of 8, corresponding to value #GETTING_DATA.</w:t>
      </w:r>
    </w:p>
    <w:p w:rsidR="000A156F" w:rsidRDefault="00A9721F">
      <w:pPr>
        <w:pStyle w:val="Heading3"/>
      </w:pPr>
      <w:bookmarkStart w:id="1920" w:name="section_43520b959fff46bb88a6b7b1e177de47"/>
      <w:bookmarkStart w:id="1921" w:name="_Toc181683986"/>
      <w:r>
        <w:t>Part 1 Section 18.17.7.119, FIND</w:t>
      </w:r>
      <w:bookmarkEnd w:id="1920"/>
      <w:bookmarkEnd w:id="1921"/>
      <w:r>
        <w:fldChar w:fldCharType="begin"/>
      </w:r>
      <w:r>
        <w:instrText xml:space="preserve"> XE "FIND" </w:instrText>
      </w:r>
      <w:r>
        <w:fldChar w:fldCharType="end"/>
      </w:r>
    </w:p>
    <w:p w:rsidR="000A156F" w:rsidRDefault="00A9721F">
      <w:pPr>
        <w:pStyle w:val="Definition-Field"/>
      </w:pPr>
      <w:r>
        <w:t xml:space="preserve">a.   </w:t>
      </w:r>
      <w:r>
        <w:rPr>
          <w:i/>
        </w:rPr>
        <w:t>The standar</w:t>
      </w:r>
      <w:r>
        <w:rPr>
          <w:i/>
        </w:rPr>
        <w:t>d specifies that the start-pos argument shall be at least 0.</w:t>
      </w:r>
    </w:p>
    <w:p w:rsidR="000A156F" w:rsidRDefault="00A9721F">
      <w:pPr>
        <w:pStyle w:val="Definition-Field2"/>
      </w:pPr>
      <w:r>
        <w:t>Office requires start-pos argument to be at least 1.</w:t>
      </w:r>
    </w:p>
    <w:p w:rsidR="000A156F" w:rsidRDefault="00A9721F">
      <w:pPr>
        <w:pStyle w:val="Definition-Field"/>
      </w:pPr>
      <w:r>
        <w:t xml:space="preserve">b.   </w:t>
      </w:r>
      <w:r>
        <w:rPr>
          <w:i/>
        </w:rPr>
        <w:t>The standard states that FIND is intended for use with languages that use the single-byte character set (SBCS), whereas FINDB is intended</w:t>
      </w:r>
      <w:r>
        <w:rPr>
          <w:i/>
        </w:rPr>
        <w:t xml:space="preserve"> for use with languages that use the double-byte character set (DBCS).</w:t>
      </w:r>
    </w:p>
    <w:p w:rsidR="000A156F" w:rsidRDefault="00A9721F">
      <w:pPr>
        <w:pStyle w:val="Definition-Field2"/>
      </w:pPr>
      <w:r>
        <w:t>In Office, FIND is intended for use with any language, whereas FINDB is intended for use with languages that use the double-byte character set (DBCS).</w:t>
      </w:r>
    </w:p>
    <w:p w:rsidR="000A156F" w:rsidRDefault="00A9721F">
      <w:pPr>
        <w:pStyle w:val="Heading3"/>
      </w:pPr>
      <w:bookmarkStart w:id="1922" w:name="section_dca5abf4bf0a4de4aaa87057c9962f5f"/>
      <w:bookmarkStart w:id="1923" w:name="_Toc181683987"/>
      <w:r>
        <w:lastRenderedPageBreak/>
        <w:t>Part 1 Section 18.17.7.120, FINDB</w:t>
      </w:r>
      <w:bookmarkEnd w:id="1922"/>
      <w:bookmarkEnd w:id="1923"/>
      <w:r>
        <w:fldChar w:fldCharType="begin"/>
      </w:r>
      <w:r>
        <w:instrText xml:space="preserve"> </w:instrText>
      </w:r>
      <w:r>
        <w:instrText xml:space="preserve">XE "FINDB" </w:instrText>
      </w:r>
      <w:r>
        <w:fldChar w:fldCharType="end"/>
      </w:r>
    </w:p>
    <w:p w:rsidR="000A156F" w:rsidRDefault="00A9721F">
      <w:pPr>
        <w:pStyle w:val="Definition-Field"/>
      </w:pPr>
      <w:r>
        <w:t xml:space="preserve">a.   </w:t>
      </w:r>
      <w:r>
        <w:rPr>
          <w:i/>
        </w:rPr>
        <w:t>The standard states argument start-pos shall be at least 0.</w:t>
      </w:r>
    </w:p>
    <w:p w:rsidR="000A156F" w:rsidRDefault="00A9721F">
      <w:pPr>
        <w:pStyle w:val="Definition-Field2"/>
      </w:pPr>
      <w:r>
        <w:t>Office requires argument stat-pos to be at least 1.</w:t>
      </w:r>
    </w:p>
    <w:p w:rsidR="000A156F" w:rsidRDefault="00A9721F">
      <w:pPr>
        <w:pStyle w:val="Definition-Field"/>
      </w:pPr>
      <w:r>
        <w:t xml:space="preserve">b.   </w:t>
      </w:r>
      <w:r>
        <w:rPr>
          <w:i/>
        </w:rPr>
        <w:t>The standard does not specify that argument start-pos and the return value are measured in bytes.</w:t>
      </w:r>
    </w:p>
    <w:p w:rsidR="000A156F" w:rsidRDefault="00A9721F">
      <w:pPr>
        <w:pStyle w:val="Definition-Field2"/>
      </w:pPr>
      <w:r>
        <w:t>In Office, argument st</w:t>
      </w:r>
      <w:r>
        <w:t>art-pos and return value are measured in bytes.</w:t>
      </w:r>
    </w:p>
    <w:p w:rsidR="000A156F" w:rsidRDefault="00A9721F">
      <w:pPr>
        <w:pStyle w:val="Definition-Field"/>
      </w:pPr>
      <w:r>
        <w:t xml:space="preserve">c.   </w:t>
      </w:r>
      <w:r>
        <w:rPr>
          <w:i/>
        </w:rPr>
        <w:t>The standard does not specify behavior of FINDB when default language supports DBCS and when it does not support DBCS.</w:t>
      </w:r>
    </w:p>
    <w:p w:rsidR="000A156F" w:rsidRDefault="00A9721F">
      <w:pPr>
        <w:pStyle w:val="Definition-Field2"/>
      </w:pPr>
      <w:r>
        <w:t>In Office, when the default language supports DBCS, FINDB counts each double-byte ch</w:t>
      </w:r>
      <w:r>
        <w:t>aracter as 2 bytes, and each single-byte character as 1. When the default language does not support DBCS, FINDB counts each character as 1 byte.</w:t>
      </w:r>
    </w:p>
    <w:p w:rsidR="000A156F" w:rsidRDefault="00A9721F">
      <w:pPr>
        <w:pStyle w:val="Definition-Field"/>
      </w:pPr>
      <w:r>
        <w:t xml:space="preserve">d.   </w:t>
      </w:r>
      <w:r>
        <w:rPr>
          <w:i/>
        </w:rPr>
        <w:t>The standard does not specify which languages support DBCS.</w:t>
      </w:r>
    </w:p>
    <w:p w:rsidR="000A156F" w:rsidRDefault="00A9721F">
      <w:pPr>
        <w:pStyle w:val="Definition-Field2"/>
      </w:pPr>
      <w:r>
        <w:t xml:space="preserve">In Office, the languages that support DBCS </w:t>
      </w:r>
      <w:r>
        <w:t>include Japanese, Chinese (Simplified), Chinese (Traditional), and Korean.</w:t>
      </w:r>
    </w:p>
    <w:p w:rsidR="000A156F" w:rsidRDefault="00A9721F">
      <w:pPr>
        <w:pStyle w:val="Heading3"/>
      </w:pPr>
      <w:bookmarkStart w:id="1924" w:name="section_19702fccfd174d3dbe7cfb98aab067a1"/>
      <w:bookmarkStart w:id="1925" w:name="_Toc181683988"/>
      <w:r>
        <w:t>Part 1 Section 18.17.7.121, FINV</w:t>
      </w:r>
      <w:bookmarkEnd w:id="1924"/>
      <w:bookmarkEnd w:id="1925"/>
      <w:r>
        <w:fldChar w:fldCharType="begin"/>
      </w:r>
      <w:r>
        <w:instrText xml:space="preserve"> XE "FINV" </w:instrText>
      </w:r>
      <w:r>
        <w:fldChar w:fldCharType="end"/>
      </w:r>
    </w:p>
    <w:p w:rsidR="000A156F" w:rsidRDefault="00A9721F">
      <w:pPr>
        <w:pStyle w:val="Definition-Field"/>
      </w:pPr>
      <w:r>
        <w:t xml:space="preserve">a.   </w:t>
      </w:r>
      <w:r>
        <w:rPr>
          <w:i/>
        </w:rPr>
        <w:t>The standard specifies that an iterative search technique is used for the implementation of this function.</w:t>
      </w:r>
    </w:p>
    <w:p w:rsidR="000A156F" w:rsidRDefault="00A9721F">
      <w:pPr>
        <w:pStyle w:val="Definition-Field2"/>
      </w:pPr>
      <w:r>
        <w:t>Office does not require</w:t>
      </w:r>
      <w:r>
        <w:t xml:space="preserve"> an iterative search technique to be used.</w:t>
      </w:r>
    </w:p>
    <w:p w:rsidR="000A156F" w:rsidRDefault="00A9721F">
      <w:pPr>
        <w:pStyle w:val="Heading3"/>
      </w:pPr>
      <w:bookmarkStart w:id="1926" w:name="section_a27a9affa6634ea586c8c21105f12564"/>
      <w:bookmarkStart w:id="1927" w:name="_Toc181683989"/>
      <w:r>
        <w:t>Part 1 Section 18.17.7.124, FIXED</w:t>
      </w:r>
      <w:bookmarkEnd w:id="1926"/>
      <w:bookmarkEnd w:id="1927"/>
      <w:r>
        <w:fldChar w:fldCharType="begin"/>
      </w:r>
      <w:r>
        <w:instrText xml:space="preserve"> XE "FIXED" </w:instrText>
      </w:r>
      <w:r>
        <w:fldChar w:fldCharType="end"/>
      </w:r>
    </w:p>
    <w:p w:rsidR="000A156F" w:rsidRDefault="00A9721F">
      <w:pPr>
        <w:pStyle w:val="Definition-Field"/>
      </w:pPr>
      <w:r>
        <w:t xml:space="preserve">a.   </w:t>
      </w:r>
      <w:r>
        <w:rPr>
          <w:i/>
        </w:rPr>
        <w:t>The standard states that the number parameter is truncated to integer.</w:t>
      </w:r>
    </w:p>
    <w:p w:rsidR="000A156F" w:rsidRDefault="00A9721F">
      <w:pPr>
        <w:pStyle w:val="Definition-Field2"/>
      </w:pPr>
      <w:r>
        <w:t>Office does not truncate the number parameter to an integer.</w:t>
      </w:r>
    </w:p>
    <w:p w:rsidR="000A156F" w:rsidRDefault="00A9721F">
      <w:pPr>
        <w:pStyle w:val="Definition-Field"/>
      </w:pPr>
      <w:r>
        <w:t xml:space="preserve">b.   </w:t>
      </w:r>
      <w:r>
        <w:rPr>
          <w:i/>
        </w:rPr>
        <w:t>The standard does not s</w:t>
      </w:r>
      <w:r>
        <w:rPr>
          <w:i/>
        </w:rPr>
        <w:t>tate that num-decimal is truncated to an integer.</w:t>
      </w:r>
    </w:p>
    <w:p w:rsidR="000A156F" w:rsidRDefault="00A9721F">
      <w:pPr>
        <w:pStyle w:val="Definition-Field2"/>
      </w:pPr>
      <w:r>
        <w:t>Office truncates num-decimal to an integer.</w:t>
      </w:r>
    </w:p>
    <w:p w:rsidR="000A156F" w:rsidRDefault="00A9721F">
      <w:pPr>
        <w:pStyle w:val="Definition-Field"/>
      </w:pPr>
      <w:r>
        <w:t xml:space="preserve">c.   </w:t>
      </w:r>
      <w:r>
        <w:rPr>
          <w:i/>
        </w:rPr>
        <w:t>For argument suppress-commas-flag, the standard states that if it is TRUE, commas are not included; if FALSE or omitted, commas are included.</w:t>
      </w:r>
    </w:p>
    <w:p w:rsidR="000A156F" w:rsidRDefault="00A9721F">
      <w:pPr>
        <w:pStyle w:val="Definition-Field2"/>
      </w:pPr>
      <w:r>
        <w:t>In Office, if a</w:t>
      </w:r>
      <w:r>
        <w:t>rgument suppress-commas-flag is TRUE, digit grouping symbols are not included; if FALSE or omitted, they are included.</w:t>
      </w:r>
    </w:p>
    <w:p w:rsidR="000A156F" w:rsidRDefault="00A9721F">
      <w:pPr>
        <w:pStyle w:val="Heading3"/>
      </w:pPr>
      <w:bookmarkStart w:id="1928" w:name="section_534f018290984b228583bd0f8c2cc5f8"/>
      <w:bookmarkStart w:id="1929" w:name="_Toc181683990"/>
      <w:r>
        <w:t>Part 1 Section 18.17.7.125, FLOOR</w:t>
      </w:r>
      <w:bookmarkEnd w:id="1928"/>
      <w:bookmarkEnd w:id="1929"/>
      <w:r>
        <w:fldChar w:fldCharType="begin"/>
      </w:r>
      <w:r>
        <w:instrText xml:space="preserve"> XE "FLOOR" </w:instrText>
      </w:r>
      <w:r>
        <w:fldChar w:fldCharType="end"/>
      </w:r>
    </w:p>
    <w:p w:rsidR="000A156F" w:rsidRDefault="00A9721F">
      <w:pPr>
        <w:pStyle w:val="Definition-Field"/>
      </w:pPr>
      <w:r>
        <w:t xml:space="preserve">a.   </w:t>
      </w:r>
      <w:r>
        <w:rPr>
          <w:i/>
        </w:rPr>
        <w:t>The standard states that regardless of the sign of x, a value is rounded down when a</w:t>
      </w:r>
      <w:r>
        <w:rPr>
          <w:i/>
        </w:rPr>
        <w:t>djusted toward zero.</w:t>
      </w:r>
    </w:p>
    <w:p w:rsidR="000A156F" w:rsidRDefault="00A9721F">
      <w:pPr>
        <w:pStyle w:val="Definition-Field2"/>
      </w:pPr>
      <w:r>
        <w:t>In Office, a value is rounded toward zero when adjusted.</w:t>
      </w:r>
    </w:p>
    <w:p w:rsidR="000A156F" w:rsidRDefault="00A9721F">
      <w:pPr>
        <w:pStyle w:val="Heading3"/>
      </w:pPr>
      <w:bookmarkStart w:id="1930" w:name="section_b5664c5839084645bb1ad88250c33aa2"/>
      <w:bookmarkStart w:id="1931" w:name="_Toc181683991"/>
      <w:r>
        <w:t>Part 1 Section 18.17.7.126, FORECAST</w:t>
      </w:r>
      <w:bookmarkEnd w:id="1930"/>
      <w:bookmarkEnd w:id="1931"/>
      <w:r>
        <w:fldChar w:fldCharType="begin"/>
      </w:r>
      <w:r>
        <w:instrText xml:space="preserve"> XE "FORECAST" </w:instrText>
      </w:r>
      <w:r>
        <w:fldChar w:fldCharType="end"/>
      </w:r>
    </w:p>
    <w:p w:rsidR="000A156F" w:rsidRDefault="00A9721F">
      <w:pPr>
        <w:pStyle w:val="Definition-Field"/>
      </w:pPr>
      <w:r>
        <w:t xml:space="preserve">a.   </w:t>
      </w:r>
      <w:r>
        <w:rPr>
          <w:i/>
        </w:rPr>
        <w:t>The standard states that x and y are the sample means.</w:t>
      </w:r>
    </w:p>
    <w:p w:rsidR="000A156F" w:rsidRDefault="00A9721F">
      <w:pPr>
        <w:pStyle w:val="Definition-Field2"/>
      </w:pPr>
      <w:r>
        <w:t>Office treats x and y as the sample values while x-bar and y-bar</w:t>
      </w:r>
      <w:r>
        <w:t xml:space="preserve"> as the sample means.</w:t>
      </w:r>
    </w:p>
    <w:p w:rsidR="000A156F" w:rsidRDefault="00A9721F">
      <w:pPr>
        <w:pStyle w:val="Heading3"/>
      </w:pPr>
      <w:bookmarkStart w:id="1932" w:name="section_7eb63416dfd44087b2076372769e91d0"/>
      <w:bookmarkStart w:id="1933" w:name="_Toc181683992"/>
      <w:r>
        <w:lastRenderedPageBreak/>
        <w:t>Part 1 Section 18.17.7.129, FV</w:t>
      </w:r>
      <w:bookmarkEnd w:id="1932"/>
      <w:bookmarkEnd w:id="1933"/>
      <w:r>
        <w:fldChar w:fldCharType="begin"/>
      </w:r>
      <w:r>
        <w:instrText xml:space="preserve"> XE "FV" </w:instrText>
      </w:r>
      <w:r>
        <w:fldChar w:fldCharType="end"/>
      </w:r>
    </w:p>
    <w:p w:rsidR="000A156F" w:rsidRDefault="00A9721F">
      <w:pPr>
        <w:pStyle w:val="Definition-Field"/>
      </w:pPr>
      <w:r>
        <w:t xml:space="preserve">a.   </w:t>
      </w:r>
      <w:r>
        <w:rPr>
          <w:i/>
        </w:rPr>
        <w:t>The standard states that the type argument is truncated to an integer.</w:t>
      </w:r>
    </w:p>
    <w:p w:rsidR="000A156F" w:rsidRDefault="00A9721F">
      <w:pPr>
        <w:pStyle w:val="Definition-Field2"/>
      </w:pPr>
      <w:r>
        <w:t>Office does not truncate the type argument to an integer.</w:t>
      </w:r>
    </w:p>
    <w:p w:rsidR="000A156F" w:rsidRDefault="00A9721F">
      <w:pPr>
        <w:pStyle w:val="Definition-Field"/>
      </w:pPr>
      <w:r>
        <w:t xml:space="preserve">b.   </w:t>
      </w:r>
      <w:r>
        <w:rPr>
          <w:i/>
        </w:rPr>
        <w:t>The standard states that argument type is either 0 or</w:t>
      </w:r>
      <w:r>
        <w:rPr>
          <w:i/>
        </w:rPr>
        <w:t xml:space="preserve"> 1.</w:t>
      </w:r>
    </w:p>
    <w:p w:rsidR="000A156F" w:rsidRDefault="00A9721F">
      <w:pPr>
        <w:pStyle w:val="Definition-Field2"/>
      </w:pPr>
      <w:r>
        <w:t>In Office, any nonzero value of argument type is equivalent to 1.</w:t>
      </w:r>
    </w:p>
    <w:p w:rsidR="000A156F" w:rsidRDefault="00A9721F">
      <w:pPr>
        <w:pStyle w:val="Definition-Field"/>
      </w:pPr>
      <w:r>
        <w:t xml:space="preserve">c.   </w:t>
      </w:r>
      <w:r>
        <w:rPr>
          <w:i/>
        </w:rPr>
        <w:t>The standard states that if type is any number other than 0 or 1, #NUM! is returned.</w:t>
      </w:r>
    </w:p>
    <w:p w:rsidR="000A156F" w:rsidRDefault="00A9721F">
      <w:pPr>
        <w:pStyle w:val="Definition-Field2"/>
      </w:pPr>
      <w:r>
        <w:t>In Office, any nonzero value of argument type is equivalent to 1.</w:t>
      </w:r>
    </w:p>
    <w:p w:rsidR="000A156F" w:rsidRDefault="00A9721F">
      <w:pPr>
        <w:pStyle w:val="Definition-Field"/>
      </w:pPr>
      <w:r>
        <w:t xml:space="preserve">d.   </w:t>
      </w:r>
      <w:r>
        <w:rPr>
          <w:i/>
        </w:rPr>
        <w:t xml:space="preserve">The standard states that </w:t>
      </w:r>
      <w:r>
        <w:rPr>
          <w:i/>
        </w:rPr>
        <w:t>argument nper is truncated to integer.</w:t>
      </w:r>
    </w:p>
    <w:p w:rsidR="000A156F" w:rsidRDefault="00A9721F">
      <w:pPr>
        <w:pStyle w:val="Definition-Field2"/>
      </w:pPr>
      <w:r>
        <w:t>Office does not truncate argument nper to integer.</w:t>
      </w:r>
    </w:p>
    <w:p w:rsidR="000A156F" w:rsidRDefault="00A9721F">
      <w:pPr>
        <w:pStyle w:val="Definition-Field"/>
      </w:pPr>
      <w:r>
        <w:t xml:space="preserve">e.   </w:t>
      </w:r>
      <w:r>
        <w:rPr>
          <w:i/>
        </w:rPr>
        <w:t>The standard states that either the pmt argument or the pv argument must be supplied.</w:t>
      </w:r>
    </w:p>
    <w:p w:rsidR="000A156F" w:rsidRDefault="00A9721F">
      <w:pPr>
        <w:pStyle w:val="Definition-Field2"/>
      </w:pPr>
      <w:r>
        <w:t>Office allows both to be omitted (and returns a future value of zero).</w:t>
      </w:r>
    </w:p>
    <w:p w:rsidR="000A156F" w:rsidRDefault="00A9721F">
      <w:pPr>
        <w:pStyle w:val="Heading3"/>
      </w:pPr>
      <w:bookmarkStart w:id="1934" w:name="section_82dbbad19eb54458b41d462e746c465e"/>
      <w:bookmarkStart w:id="1935" w:name="_Toc181683993"/>
      <w:r>
        <w:t>Part 1 Section 18.17.7.132, GAMMAINV</w:t>
      </w:r>
      <w:bookmarkEnd w:id="1934"/>
      <w:bookmarkEnd w:id="1935"/>
      <w:r>
        <w:fldChar w:fldCharType="begin"/>
      </w:r>
      <w:r>
        <w:instrText xml:space="preserve"> XE "GAMMAINV" </w:instrText>
      </w:r>
      <w:r>
        <w:fldChar w:fldCharType="end"/>
      </w:r>
    </w:p>
    <w:p w:rsidR="000A156F" w:rsidRDefault="00A9721F">
      <w:pPr>
        <w:pStyle w:val="Definition-Field"/>
      </w:pPr>
      <w:r>
        <w:t xml:space="preserve">a.   </w:t>
      </w:r>
      <w:r>
        <w:rPr>
          <w:i/>
        </w:rPr>
        <w:t>The standard specifies that an iterative search technique is used for the implementation of this function.</w:t>
      </w:r>
    </w:p>
    <w:p w:rsidR="000A156F" w:rsidRDefault="00A9721F">
      <w:pPr>
        <w:pStyle w:val="Definition-Field2"/>
      </w:pPr>
      <w:r>
        <w:t>Office does not require an iterative search technique to be used.</w:t>
      </w:r>
    </w:p>
    <w:p w:rsidR="000A156F" w:rsidRDefault="00A9721F">
      <w:pPr>
        <w:pStyle w:val="Heading3"/>
      </w:pPr>
      <w:bookmarkStart w:id="1936" w:name="section_82f90d9017f9441d82eb47b5167e9757"/>
      <w:bookmarkStart w:id="1937" w:name="_Toc181683994"/>
      <w:r>
        <w:t>Part 1 Section 18.17.7.1</w:t>
      </w:r>
      <w:r>
        <w:t>35, GEOMEAN</w:t>
      </w:r>
      <w:bookmarkEnd w:id="1936"/>
      <w:bookmarkEnd w:id="1937"/>
      <w:r>
        <w:fldChar w:fldCharType="begin"/>
      </w:r>
      <w:r>
        <w:instrText xml:space="preserve"> XE "GEOMEAN" </w:instrText>
      </w:r>
      <w:r>
        <w:fldChar w:fldCharType="end"/>
      </w:r>
    </w:p>
    <w:p w:rsidR="000A156F" w:rsidRDefault="00A9721F">
      <w:pPr>
        <w:pStyle w:val="Definition-Field"/>
      </w:pPr>
      <w:r>
        <w:t xml:space="preserve">a.   </w:t>
      </w:r>
      <w:r>
        <w:rPr>
          <w:i/>
        </w:rPr>
        <w:t>The standard states that cells with a value equal to 0 are included in the calculation.</w:t>
      </w:r>
    </w:p>
    <w:p w:rsidR="000A156F" w:rsidRDefault="00A9721F">
      <w:pPr>
        <w:pStyle w:val="Definition-Field2"/>
      </w:pPr>
      <w:r>
        <w:t>Office returns #NUM! if the value of any data point is less than or equal to 0.</w:t>
      </w:r>
    </w:p>
    <w:p w:rsidR="000A156F" w:rsidRDefault="00A9721F">
      <w:pPr>
        <w:pStyle w:val="Heading3"/>
      </w:pPr>
      <w:bookmarkStart w:id="1938" w:name="section_dad1aeafe2be4fbca86419ac8dba4ac9"/>
      <w:bookmarkStart w:id="1939" w:name="_Toc181683995"/>
      <w:r>
        <w:t>Part 1 Section 18.17.7.137, GETPIVOTDATA</w:t>
      </w:r>
      <w:bookmarkEnd w:id="1938"/>
      <w:bookmarkEnd w:id="1939"/>
      <w:r>
        <w:fldChar w:fldCharType="begin"/>
      </w:r>
      <w:r>
        <w:instrText xml:space="preserve"> XE "GETPIVOTDA</w:instrText>
      </w:r>
      <w:r>
        <w:instrText xml:space="preserve">TA" </w:instrText>
      </w:r>
      <w:r>
        <w:fldChar w:fldCharType="end"/>
      </w:r>
    </w:p>
    <w:p w:rsidR="000A156F" w:rsidRDefault="00A9721F">
      <w:pPr>
        <w:pStyle w:val="Definition-Field"/>
      </w:pPr>
      <w:r>
        <w:t xml:space="preserve">a.   </w:t>
      </w:r>
      <w:r>
        <w:rPr>
          <w:i/>
        </w:rPr>
        <w:t>The standard states that arguments field-1 and item-1 are mandatory arguments.</w:t>
      </w:r>
    </w:p>
    <w:p w:rsidR="000A156F" w:rsidRDefault="00A9721F">
      <w:pPr>
        <w:pStyle w:val="Definition-Field2"/>
      </w:pPr>
      <w:r>
        <w:t>Office treats arguments field-1 and item-1 as optional arguments.</w:t>
      </w:r>
    </w:p>
    <w:p w:rsidR="000A156F" w:rsidRDefault="00A9721F">
      <w:pPr>
        <w:pStyle w:val="Heading3"/>
      </w:pPr>
      <w:bookmarkStart w:id="1940" w:name="section_0de78b6e776c4f608c4c92eeb6a8ca56"/>
      <w:bookmarkStart w:id="1941" w:name="_Toc181683996"/>
      <w:r>
        <w:t>Part 1 Section 18.17.7.139, HARMEAN</w:t>
      </w:r>
      <w:bookmarkEnd w:id="1940"/>
      <w:bookmarkEnd w:id="1941"/>
      <w:r>
        <w:fldChar w:fldCharType="begin"/>
      </w:r>
      <w:r>
        <w:instrText xml:space="preserve"> XE "HARMEAN" </w:instrText>
      </w:r>
      <w:r>
        <w:fldChar w:fldCharType="end"/>
      </w:r>
    </w:p>
    <w:p w:rsidR="000A156F" w:rsidRDefault="00A9721F">
      <w:pPr>
        <w:pStyle w:val="Definition-Field"/>
      </w:pPr>
      <w:r>
        <w:t xml:space="preserve">a.   </w:t>
      </w:r>
      <w:r>
        <w:rPr>
          <w:i/>
        </w:rPr>
        <w:t>The standard states that cells with the va</w:t>
      </w:r>
      <w:r>
        <w:rPr>
          <w:i/>
        </w:rPr>
        <w:t>lue 0 are included in calculations.</w:t>
      </w:r>
    </w:p>
    <w:p w:rsidR="000A156F" w:rsidRDefault="00A9721F">
      <w:pPr>
        <w:pStyle w:val="Definition-Field2"/>
      </w:pPr>
      <w:r>
        <w:t>Office returns #NUM! if the value of any data point is less than or equal to 0.</w:t>
      </w:r>
    </w:p>
    <w:p w:rsidR="000A156F" w:rsidRDefault="00A9721F">
      <w:pPr>
        <w:pStyle w:val="Heading3"/>
      </w:pPr>
      <w:bookmarkStart w:id="1942" w:name="section_a29a20868a8c4281ab65217dc7d563a4"/>
      <w:bookmarkStart w:id="1943" w:name="_Toc181683997"/>
      <w:r>
        <w:t>Part 1 Section 18.17.7.143, HLOOKUP</w:t>
      </w:r>
      <w:bookmarkEnd w:id="1942"/>
      <w:bookmarkEnd w:id="1943"/>
      <w:r>
        <w:fldChar w:fldCharType="begin"/>
      </w:r>
      <w:r>
        <w:instrText xml:space="preserve"> XE "HLOOKUP" </w:instrText>
      </w:r>
      <w:r>
        <w:fldChar w:fldCharType="end"/>
      </w:r>
    </w:p>
    <w:p w:rsidR="000A156F" w:rsidRDefault="00A9721F">
      <w:pPr>
        <w:pStyle w:val="Definition-Field"/>
      </w:pPr>
      <w:r>
        <w:t xml:space="preserve">a.   </w:t>
      </w:r>
      <w:r>
        <w:rPr>
          <w:i/>
        </w:rPr>
        <w:t>The standard states that argument row-index-num is the row number in argument table</w:t>
      </w:r>
      <w:r>
        <w:rPr>
          <w:i/>
        </w:rPr>
        <w:t>-array from which the matching value is to be returned.</w:t>
      </w:r>
    </w:p>
    <w:p w:rsidR="000A156F" w:rsidRDefault="00A9721F">
      <w:pPr>
        <w:pStyle w:val="Definition-Field2"/>
      </w:pPr>
      <w:r>
        <w:t>In Office, argument row-index-num is the row number, truncated to integer, in argument table-array from which the matching value is to be returned.</w:t>
      </w:r>
    </w:p>
    <w:p w:rsidR="000A156F" w:rsidRDefault="00A9721F">
      <w:pPr>
        <w:pStyle w:val="Heading3"/>
      </w:pPr>
      <w:bookmarkStart w:id="1944" w:name="section_dec36d7c644e4622821ef9e00c33e4ee"/>
      <w:bookmarkStart w:id="1945" w:name="_Toc181683998"/>
      <w:r>
        <w:t>Part 1 Section 18.17.7.144, HOUR</w:t>
      </w:r>
      <w:bookmarkEnd w:id="1944"/>
      <w:bookmarkEnd w:id="1945"/>
      <w:r>
        <w:fldChar w:fldCharType="begin"/>
      </w:r>
      <w:r>
        <w:instrText xml:space="preserve"> XE "HOUR" </w:instrText>
      </w:r>
      <w:r>
        <w:fldChar w:fldCharType="end"/>
      </w:r>
    </w:p>
    <w:p w:rsidR="000A156F" w:rsidRDefault="00A9721F">
      <w:pPr>
        <w:pStyle w:val="Definition-Field"/>
      </w:pPr>
      <w:r>
        <w:t xml:space="preserve">a.   </w:t>
      </w:r>
      <w:r>
        <w:rPr>
          <w:i/>
        </w:rPr>
        <w:t>T</w:t>
      </w:r>
      <w:r>
        <w:rPr>
          <w:i/>
        </w:rPr>
        <w:t>he standard states that the returned value shall be in the range 0 - 59.</w:t>
      </w:r>
    </w:p>
    <w:p w:rsidR="000A156F" w:rsidRDefault="00A9721F">
      <w:pPr>
        <w:pStyle w:val="Definition-Field2"/>
      </w:pPr>
      <w:r>
        <w:lastRenderedPageBreak/>
        <w:t>Office requires that the returned value shall be in the range 0 - 23.</w:t>
      </w:r>
    </w:p>
    <w:p w:rsidR="000A156F" w:rsidRDefault="00A9721F">
      <w:pPr>
        <w:pStyle w:val="Heading3"/>
      </w:pPr>
      <w:bookmarkStart w:id="1946" w:name="section_10cbd87900d34a2e9f3234b7ecab1d49"/>
      <w:bookmarkStart w:id="1947" w:name="_Toc181683999"/>
      <w:r>
        <w:t>Part 1 Section 18.17.7.147, IF</w:t>
      </w:r>
      <w:bookmarkEnd w:id="1946"/>
      <w:bookmarkEnd w:id="1947"/>
      <w:r>
        <w:fldChar w:fldCharType="begin"/>
      </w:r>
      <w:r>
        <w:instrText xml:space="preserve"> XE "IF" </w:instrText>
      </w:r>
      <w:r>
        <w:fldChar w:fldCharType="end"/>
      </w:r>
    </w:p>
    <w:p w:rsidR="000A156F" w:rsidRDefault="00A9721F">
      <w:pPr>
        <w:pStyle w:val="Definition-Field"/>
      </w:pPr>
      <w:r>
        <w:t xml:space="preserve">a.   </w:t>
      </w:r>
      <w:r>
        <w:rPr>
          <w:i/>
        </w:rPr>
        <w:t>The standard states that arguments value-if-true and value-if-fals</w:t>
      </w:r>
      <w:r>
        <w:rPr>
          <w:i/>
        </w:rPr>
        <w:t>e can contain up to seven levels of nested IF function calls.</w:t>
      </w:r>
    </w:p>
    <w:p w:rsidR="000A156F" w:rsidRDefault="00A9721F">
      <w:pPr>
        <w:pStyle w:val="Definition-Field2"/>
      </w:pPr>
      <w:r>
        <w:t>In Office, these arguments can contain as many levels of nesting as the application allows.</w:t>
      </w:r>
    </w:p>
    <w:p w:rsidR="000A156F" w:rsidRDefault="00A9721F">
      <w:pPr>
        <w:pStyle w:val="Heading3"/>
      </w:pPr>
      <w:bookmarkStart w:id="1948" w:name="section_7311ea9061a4418aa67ac5a29a456273"/>
      <w:bookmarkStart w:id="1949" w:name="_Toc181684000"/>
      <w:r>
        <w:t>Part 1 Section 18.17.7.148, IFERROR</w:t>
      </w:r>
      <w:bookmarkEnd w:id="1948"/>
      <w:bookmarkEnd w:id="1949"/>
      <w:r>
        <w:fldChar w:fldCharType="begin"/>
      </w:r>
      <w:r>
        <w:instrText xml:space="preserve"> XE "IFERROR" </w:instrText>
      </w:r>
      <w:r>
        <w:fldChar w:fldCharType="end"/>
      </w:r>
    </w:p>
    <w:p w:rsidR="000A156F" w:rsidRDefault="00A9721F">
      <w:pPr>
        <w:pStyle w:val="Definition-Field"/>
      </w:pPr>
      <w:r>
        <w:t xml:space="preserve">a.   </w:t>
      </w:r>
      <w:r>
        <w:rPr>
          <w:i/>
        </w:rPr>
        <w:t>The standard states that the value argument i</w:t>
      </w:r>
      <w:r>
        <w:rPr>
          <w:i/>
        </w:rPr>
        <w:t>s checked for the following error values: #N/A, #VALUE!, #REF!, #DIV/0!, #NUM!, #NAME?, or #NULL!.</w:t>
      </w:r>
    </w:p>
    <w:p w:rsidR="000A156F" w:rsidRDefault="00A9721F">
      <w:pPr>
        <w:pStyle w:val="Definition-Field2"/>
      </w:pPr>
      <w:r>
        <w:t>In Office, the value argument is checked for the following error values: #N/A, #VALUE!, #REF!, #DIV/0!, #NUM!, #NAME?, #NULL!, or #GETTING_DATA.</w:t>
      </w:r>
    </w:p>
    <w:p w:rsidR="000A156F" w:rsidRDefault="00A9721F">
      <w:pPr>
        <w:pStyle w:val="Heading3"/>
      </w:pPr>
      <w:bookmarkStart w:id="1950" w:name="section_2367967f202d49569278f2ba1e5afe7f"/>
      <w:bookmarkStart w:id="1951" w:name="_Toc181684001"/>
      <w:r>
        <w:t>Part 1 Secti</w:t>
      </w:r>
      <w:r>
        <w:t>on 18.17.7.151, IMARGUMENT</w:t>
      </w:r>
      <w:bookmarkEnd w:id="1950"/>
      <w:bookmarkEnd w:id="1951"/>
      <w:r>
        <w:fldChar w:fldCharType="begin"/>
      </w:r>
      <w:r>
        <w:instrText xml:space="preserve"> XE "IMARGUMENT" </w:instrText>
      </w:r>
      <w:r>
        <w:fldChar w:fldCharType="end"/>
      </w:r>
    </w:p>
    <w:p w:rsidR="000A156F" w:rsidRDefault="00A9721F">
      <w:pPr>
        <w:pStyle w:val="Definition-Field"/>
      </w:pPr>
      <w:r>
        <w:t xml:space="preserve">a.   </w:t>
      </w:r>
      <w:r>
        <w:rPr>
          <w:i/>
        </w:rPr>
        <w:t>The standard does not fully specify how the angle θ is calculated.</w:t>
      </w:r>
    </w:p>
    <w:p w:rsidR="000A156F" w:rsidRDefault="00A9721F">
      <w:pPr>
        <w:pStyle w:val="Definition-Field2"/>
      </w:pPr>
      <w:r>
        <w:t>Office calculates angle θ as ATAN2(x,y).</w:t>
      </w:r>
    </w:p>
    <w:p w:rsidR="000A156F" w:rsidRDefault="00A9721F">
      <w:pPr>
        <w:pStyle w:val="Definition-Field"/>
      </w:pPr>
      <w:r>
        <w:t xml:space="preserve">b.   </w:t>
      </w:r>
      <w:r>
        <w:rPr>
          <w:i/>
        </w:rPr>
        <w:t>The standard does not specify how function arguments map to formula variables.</w:t>
      </w:r>
    </w:p>
    <w:p w:rsidR="000A156F" w:rsidRDefault="00A9721F">
      <w:pPr>
        <w:pStyle w:val="Definition-Field2"/>
      </w:pPr>
      <w:r>
        <w:t>Office maps x</w:t>
      </w:r>
      <w:r>
        <w:t xml:space="preserve"> + yi to argument complex number, and theta to ATAN2(x,y).</w:t>
      </w:r>
    </w:p>
    <w:p w:rsidR="000A156F" w:rsidRDefault="00A9721F">
      <w:pPr>
        <w:pStyle w:val="Definition-Field"/>
      </w:pPr>
      <w:r>
        <w:t xml:space="preserve">c.   </w:t>
      </w:r>
      <w:r>
        <w:rPr>
          <w:i/>
        </w:rPr>
        <w:t>The standard states that the complex number can be in the form x+yi.</w:t>
      </w:r>
    </w:p>
    <w:p w:rsidR="000A156F" w:rsidRDefault="00A9721F">
      <w:pPr>
        <w:pStyle w:val="Definition-Field2"/>
      </w:pPr>
      <w:r>
        <w:t>Office accepts complex numbers in the form x+yi and x+yj.</w:t>
      </w:r>
    </w:p>
    <w:p w:rsidR="000A156F" w:rsidRDefault="00A9721F">
      <w:pPr>
        <w:pStyle w:val="Heading3"/>
      </w:pPr>
      <w:bookmarkStart w:id="1952" w:name="section_bd714073b3d34e4da8ab9ae68871d9d6"/>
      <w:bookmarkStart w:id="1953" w:name="_Toc181684002"/>
      <w:r>
        <w:t>Part 1 Section 18.17.7.154, IMDIV</w:t>
      </w:r>
      <w:bookmarkEnd w:id="1952"/>
      <w:bookmarkEnd w:id="1953"/>
      <w:r>
        <w:fldChar w:fldCharType="begin"/>
      </w:r>
      <w:r>
        <w:instrText xml:space="preserve"> XE "IMDIV" </w:instrText>
      </w:r>
      <w:r>
        <w:fldChar w:fldCharType="end"/>
      </w:r>
    </w:p>
    <w:p w:rsidR="000A156F" w:rsidRDefault="00A9721F">
      <w:pPr>
        <w:pStyle w:val="Definition-Field"/>
      </w:pPr>
      <w:r>
        <w:t xml:space="preserve">a.   </w:t>
      </w:r>
      <w:r>
        <w:rPr>
          <w:i/>
        </w:rPr>
        <w:t>The standard</w:t>
      </w:r>
      <w:r>
        <w:rPr>
          <w:i/>
        </w:rPr>
        <w:t xml:space="preserve"> does not specify what happens in the case of complex division by zero.</w:t>
      </w:r>
    </w:p>
    <w:p w:rsidR="000A156F" w:rsidRDefault="00A9721F">
      <w:pPr>
        <w:pStyle w:val="Definition-Field2"/>
      </w:pPr>
      <w:r>
        <w:t>Office returns #NUM! if complex-number-2 is zero.</w:t>
      </w:r>
    </w:p>
    <w:p w:rsidR="000A156F" w:rsidRDefault="00A9721F">
      <w:pPr>
        <w:pStyle w:val="Heading3"/>
      </w:pPr>
      <w:bookmarkStart w:id="1954" w:name="section_b1fb964ee5ea4e10ad72e10986208e92"/>
      <w:bookmarkStart w:id="1955" w:name="_Toc181684003"/>
      <w:r>
        <w:t>Part 1 Section 18.17.7.156, IMLN</w:t>
      </w:r>
      <w:bookmarkEnd w:id="1954"/>
      <w:bookmarkEnd w:id="1955"/>
      <w:r>
        <w:fldChar w:fldCharType="begin"/>
      </w:r>
      <w:r>
        <w:instrText xml:space="preserve"> XE "IMLN" </w:instrText>
      </w:r>
      <w:r>
        <w:fldChar w:fldCharType="end"/>
      </w:r>
    </w:p>
    <w:p w:rsidR="000A156F" w:rsidRDefault="00A9721F">
      <w:pPr>
        <w:pStyle w:val="Definition-Field"/>
      </w:pPr>
      <w:r>
        <w:t xml:space="preserve">a.   </w:t>
      </w:r>
      <w:r>
        <w:rPr>
          <w:i/>
        </w:rPr>
        <w:t>The standard does not specify what happens if complex-number is zero.</w:t>
      </w:r>
    </w:p>
    <w:p w:rsidR="000A156F" w:rsidRDefault="00A9721F">
      <w:pPr>
        <w:pStyle w:val="Definition-Field2"/>
      </w:pPr>
      <w:r>
        <w:t>Office return</w:t>
      </w:r>
      <w:r>
        <w:t>s #NUM! if complex-number is zero.</w:t>
      </w:r>
    </w:p>
    <w:p w:rsidR="000A156F" w:rsidRDefault="00A9721F">
      <w:pPr>
        <w:pStyle w:val="Definition-Field"/>
      </w:pPr>
      <w:r>
        <w:t xml:space="preserve">b.   </w:t>
      </w:r>
      <w:r>
        <w:rPr>
          <w:i/>
        </w:rPr>
        <w:t>The standard does not fully specify how the angle θ is calculated.</w:t>
      </w:r>
    </w:p>
    <w:p w:rsidR="000A156F" w:rsidRDefault="00A9721F">
      <w:r>
        <w:t>Excel calculates imln using the following mathematical formula:</w:t>
      </w:r>
    </w:p>
    <w:p w:rsidR="000A156F" w:rsidRDefault="00A9721F">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51"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0A156F" w:rsidRDefault="00A9721F">
      <w:r>
        <w:t>where:</w:t>
      </w:r>
    </w:p>
    <w:p w:rsidR="000A156F" w:rsidRDefault="00A9721F">
      <w:r>
        <w:t>θ = ATAN2(x,y) calculated according to the formula in ATAN2 ("</w:t>
      </w:r>
      <w:hyperlink r:id="rId152">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53"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0A156F" w:rsidRDefault="00A9721F">
      <w:pPr>
        <w:pStyle w:val="Heading3"/>
      </w:pPr>
      <w:bookmarkStart w:id="1956" w:name="section_2395740104484810972b2832c8918aaa"/>
      <w:bookmarkStart w:id="1957" w:name="_Toc181684004"/>
      <w:r>
        <w:t>Part 1 Section 18.17.7.157, IMLOG10</w:t>
      </w:r>
      <w:bookmarkEnd w:id="1956"/>
      <w:bookmarkEnd w:id="1957"/>
      <w:r>
        <w:fldChar w:fldCharType="begin"/>
      </w:r>
      <w:r>
        <w:instrText xml:space="preserve"> XE "IMLOG10" </w:instrText>
      </w:r>
      <w:r>
        <w:fldChar w:fldCharType="end"/>
      </w:r>
    </w:p>
    <w:p w:rsidR="000A156F" w:rsidRDefault="00A9721F">
      <w:pPr>
        <w:pStyle w:val="Definition-Field"/>
      </w:pPr>
      <w:r>
        <w:t xml:space="preserve">a.   </w:t>
      </w:r>
      <w:r>
        <w:rPr>
          <w:i/>
        </w:rPr>
        <w:t>The standard does not specify what happens if complex-number is zero.</w:t>
      </w:r>
    </w:p>
    <w:p w:rsidR="000A156F" w:rsidRDefault="00A9721F">
      <w:pPr>
        <w:pStyle w:val="Definition-Field2"/>
      </w:pPr>
      <w:r>
        <w:lastRenderedPageBreak/>
        <w:t>Office returns #NUM! if complex-numbe</w:t>
      </w:r>
      <w:r>
        <w:t>r is zero.</w:t>
      </w:r>
    </w:p>
    <w:p w:rsidR="000A156F" w:rsidRDefault="00A9721F">
      <w:pPr>
        <w:pStyle w:val="Heading3"/>
      </w:pPr>
      <w:bookmarkStart w:id="1958" w:name="section_53a80498b5bf4e9391ce44621001750c"/>
      <w:bookmarkStart w:id="1959" w:name="_Toc181684005"/>
      <w:r>
        <w:t>Part 1 Section 18.17.7.158, IMLOG2</w:t>
      </w:r>
      <w:bookmarkEnd w:id="1958"/>
      <w:bookmarkEnd w:id="1959"/>
      <w:r>
        <w:fldChar w:fldCharType="begin"/>
      </w:r>
      <w:r>
        <w:instrText xml:space="preserve"> XE "IMLOG2" </w:instrText>
      </w:r>
      <w:r>
        <w:fldChar w:fldCharType="end"/>
      </w:r>
    </w:p>
    <w:p w:rsidR="000A156F" w:rsidRDefault="00A9721F">
      <w:pPr>
        <w:pStyle w:val="Definition-Field"/>
      </w:pPr>
      <w:r>
        <w:t xml:space="preserve">a.   </w:t>
      </w:r>
      <w:r>
        <w:rPr>
          <w:i/>
        </w:rPr>
        <w:t>The standard does not specify what happens if complex-number is zero.</w:t>
      </w:r>
    </w:p>
    <w:p w:rsidR="000A156F" w:rsidRDefault="00A9721F">
      <w:pPr>
        <w:pStyle w:val="Definition-Field2"/>
      </w:pPr>
      <w:r>
        <w:t>Office returns #NUM! if complex-number is zero.</w:t>
      </w:r>
    </w:p>
    <w:p w:rsidR="000A156F" w:rsidRDefault="00A9721F">
      <w:pPr>
        <w:pStyle w:val="Heading3"/>
      </w:pPr>
      <w:bookmarkStart w:id="1960" w:name="section_316e6d911f1645cd9ef2b7b817e30f9f"/>
      <w:bookmarkStart w:id="1961" w:name="_Toc181684006"/>
      <w:r>
        <w:t>Part 1 Section 18.17.7.159, IMPOWER</w:t>
      </w:r>
      <w:bookmarkEnd w:id="1960"/>
      <w:bookmarkEnd w:id="1961"/>
      <w:r>
        <w:fldChar w:fldCharType="begin"/>
      </w:r>
      <w:r>
        <w:instrText xml:space="preserve"> XE "IMPOWER" </w:instrText>
      </w:r>
      <w:r>
        <w:fldChar w:fldCharType="end"/>
      </w:r>
    </w:p>
    <w:p w:rsidR="000A156F" w:rsidRDefault="00A9721F">
      <w:pPr>
        <w:pStyle w:val="Definition-Field"/>
      </w:pPr>
      <w:r>
        <w:t xml:space="preserve">a.   </w:t>
      </w:r>
      <w:r>
        <w:rPr>
          <w:i/>
        </w:rPr>
        <w:t>The standard do</w:t>
      </w:r>
      <w:r>
        <w:rPr>
          <w:i/>
        </w:rPr>
        <w:t>es not mention error case of argument complex-number equal to zero and argument n is not a positive number.</w:t>
      </w:r>
    </w:p>
    <w:p w:rsidR="000A156F" w:rsidRDefault="00A9721F">
      <w:pPr>
        <w:pStyle w:val="Definition-Field2"/>
      </w:pPr>
      <w:r>
        <w:t>Office returns #NUM! if complex-number is zero, and the exponent n is not a positive number.</w:t>
      </w:r>
    </w:p>
    <w:p w:rsidR="000A156F" w:rsidRDefault="00A9721F">
      <w:pPr>
        <w:pStyle w:val="Definition-Field"/>
      </w:pPr>
      <w:r>
        <w:t xml:space="preserve">b.   </w:t>
      </w:r>
      <w:r>
        <w:rPr>
          <w:i/>
        </w:rPr>
        <w:t>The standard specifies that y is the exponent to w</w:t>
      </w:r>
      <w:r>
        <w:rPr>
          <w:i/>
        </w:rPr>
        <w:t>hich complex-number is to be raised as well as a coefficient of the argument complex-number.</w:t>
      </w:r>
    </w:p>
    <w:p w:rsidR="000A156F" w:rsidRDefault="00A9721F">
      <w:pPr>
        <w:pStyle w:val="Definition-Field2"/>
      </w:pPr>
      <w:r>
        <w:t>Office treats n as the exponent to which argument complex-number is to be raised.</w:t>
      </w:r>
    </w:p>
    <w:p w:rsidR="000A156F" w:rsidRDefault="00A9721F">
      <w:pPr>
        <w:pStyle w:val="Definition-Field"/>
      </w:pPr>
      <w:r>
        <w:t xml:space="preserve">c.   </w:t>
      </w:r>
      <w:r>
        <w:rPr>
          <w:i/>
        </w:rPr>
        <w:t>The standard does not fully specify how the angle θ is calculated.</w:t>
      </w:r>
    </w:p>
    <w:p w:rsidR="000A156F" w:rsidRDefault="00A9721F">
      <w:pPr>
        <w:pStyle w:val="Definition-Field2"/>
      </w:pPr>
      <w:r>
        <w:t>Office ca</w:t>
      </w:r>
      <w:r>
        <w:t>lculates angle θ as ATAN2(x,y).</w:t>
      </w:r>
    </w:p>
    <w:p w:rsidR="000A156F" w:rsidRDefault="00A9721F">
      <w:pPr>
        <w:pStyle w:val="Heading3"/>
      </w:pPr>
      <w:bookmarkStart w:id="1962" w:name="section_d62977af731d4533a681028c97121b2b"/>
      <w:bookmarkStart w:id="1963" w:name="_Toc181684007"/>
      <w:r>
        <w:t>Part 1 Section 18.17.7.162, IMSIN</w:t>
      </w:r>
      <w:bookmarkEnd w:id="1962"/>
      <w:bookmarkEnd w:id="1963"/>
      <w:r>
        <w:fldChar w:fldCharType="begin"/>
      </w:r>
      <w:r>
        <w:instrText xml:space="preserve"> XE "IMSIN" </w:instrText>
      </w:r>
      <w:r>
        <w:fldChar w:fldCharType="end"/>
      </w:r>
    </w:p>
    <w:p w:rsidR="000A156F" w:rsidRDefault="00A9721F">
      <w:pPr>
        <w:pStyle w:val="Definition-Field"/>
      </w:pPr>
      <w:r>
        <w:t xml:space="preserve">a.   </w:t>
      </w:r>
      <w:r>
        <w:rPr>
          <w:i/>
        </w:rPr>
        <w:t>The standard states the mathematical formula is sin(x+yi) = sin(x)cosh(y) - cos(x)sinh(y)i.</w:t>
      </w:r>
    </w:p>
    <w:p w:rsidR="000A156F" w:rsidRDefault="00A9721F">
      <w:pPr>
        <w:pStyle w:val="Definition-Field2"/>
      </w:pPr>
      <w:r>
        <w:t xml:space="preserve">Office uses the mathematical formula sin(x+yi) = sin(x)cosh(y) + </w:t>
      </w:r>
      <w:r>
        <w:t>cos(x)sinh(y)i.</w:t>
      </w:r>
    </w:p>
    <w:p w:rsidR="000A156F" w:rsidRDefault="00A9721F">
      <w:pPr>
        <w:pStyle w:val="Heading3"/>
      </w:pPr>
      <w:bookmarkStart w:id="1964" w:name="section_eef4f9053db747d085bdf4e3634e9cee"/>
      <w:bookmarkStart w:id="1965" w:name="_Toc181684008"/>
      <w:r>
        <w:t>Part 1 Section 18.17.7.163, IMSQRT</w:t>
      </w:r>
      <w:bookmarkEnd w:id="1964"/>
      <w:bookmarkEnd w:id="1965"/>
      <w:r>
        <w:fldChar w:fldCharType="begin"/>
      </w:r>
      <w:r>
        <w:instrText xml:space="preserve"> XE "IMSQRT" </w:instrText>
      </w:r>
      <w:r>
        <w:fldChar w:fldCharType="end"/>
      </w:r>
    </w:p>
    <w:p w:rsidR="000A156F" w:rsidRDefault="00A9721F">
      <w:pPr>
        <w:pStyle w:val="Definition-Field"/>
      </w:pPr>
      <w:r>
        <w:t xml:space="preserve">a.   </w:t>
      </w:r>
      <w:r>
        <w:rPr>
          <w:i/>
        </w:rPr>
        <w:t>The standard does not fully specify how the angle θ is calculated.</w:t>
      </w:r>
    </w:p>
    <w:p w:rsidR="000A156F" w:rsidRDefault="00A9721F">
      <w:pPr>
        <w:pStyle w:val="Definition-Field2"/>
      </w:pPr>
      <w:r>
        <w:t>Office calculates angle θ as ATAN2(x,y).</w:t>
      </w:r>
    </w:p>
    <w:p w:rsidR="000A156F" w:rsidRDefault="00A9721F">
      <w:pPr>
        <w:pStyle w:val="Heading3"/>
      </w:pPr>
      <w:bookmarkStart w:id="1966" w:name="section_8a9e8a05d0934fe185658f8f6671995b"/>
      <w:bookmarkStart w:id="1967" w:name="_Toc181684009"/>
      <w:r>
        <w:t>Part 1 Section 18.17.7.166, INDEX</w:t>
      </w:r>
      <w:bookmarkEnd w:id="1966"/>
      <w:bookmarkEnd w:id="1967"/>
      <w:r>
        <w:fldChar w:fldCharType="begin"/>
      </w:r>
      <w:r>
        <w:instrText xml:space="preserve"> XE "INDEX" </w:instrText>
      </w:r>
      <w:r>
        <w:fldChar w:fldCharType="end"/>
      </w:r>
    </w:p>
    <w:p w:rsidR="000A156F" w:rsidRDefault="00A9721F">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0A156F" w:rsidRDefault="00A9721F">
      <w:pPr>
        <w:pStyle w:val="Definition-Field2"/>
      </w:pPr>
      <w:r>
        <w:t>Office treats argument row-number as the column number if there is only one row in the array.</w:t>
      </w:r>
    </w:p>
    <w:p w:rsidR="000A156F" w:rsidRDefault="00A9721F">
      <w:pPr>
        <w:pStyle w:val="Heading3"/>
      </w:pPr>
      <w:bookmarkStart w:id="1968" w:name="section_dcedecc22b68492e8802a5885866703b"/>
      <w:bookmarkStart w:id="1969" w:name="_Toc181684010"/>
      <w:r>
        <w:t>Part 1 Section 18.17.7.167, INDIRECT</w:t>
      </w:r>
      <w:bookmarkEnd w:id="1968"/>
      <w:bookmarkEnd w:id="1969"/>
      <w:r>
        <w:fldChar w:fldCharType="begin"/>
      </w:r>
      <w:r>
        <w:instrText xml:space="preserve"> XE "INDIRECT" </w:instrText>
      </w:r>
      <w:r>
        <w:fldChar w:fldCharType="end"/>
      </w:r>
    </w:p>
    <w:p w:rsidR="000A156F" w:rsidRDefault="00A9721F">
      <w:pPr>
        <w:pStyle w:val="Definition-Field"/>
      </w:pPr>
      <w:r>
        <w:t xml:space="preserve">a.   </w:t>
      </w:r>
      <w:r>
        <w:rPr>
          <w:i/>
        </w:rPr>
        <w:t>The standard does not place any length restrictions on argument ref-text.</w:t>
      </w:r>
    </w:p>
    <w:p w:rsidR="000A156F" w:rsidRDefault="00A9721F">
      <w:pPr>
        <w:pStyle w:val="Definition-Field2"/>
      </w:pPr>
      <w:r>
        <w:t>Office returns #VALUE! if argument ref-text is more than 255 characters.</w:t>
      </w:r>
    </w:p>
    <w:p w:rsidR="000A156F" w:rsidRDefault="00A9721F">
      <w:pPr>
        <w:pStyle w:val="Definition-Field"/>
      </w:pPr>
      <w:r>
        <w:t xml:space="preserve">b.   </w:t>
      </w:r>
      <w:r>
        <w:rPr>
          <w:i/>
        </w:rPr>
        <w:t>The standard states the argument ref-text is of type A1-style reference, an R1C1-</w:t>
      </w:r>
      <w:r>
        <w:rPr>
          <w:i/>
        </w:rPr>
        <w:t>style reference, a name defined as a reference, or a reference to a cell as a string.</w:t>
      </w:r>
    </w:p>
    <w:p w:rsidR="000A156F" w:rsidRDefault="00A9721F">
      <w:pPr>
        <w:pStyle w:val="Definition-Field2"/>
      </w:pPr>
      <w:r>
        <w:t xml:space="preserve">Office allows argument ref-text to be type A1-style reference, an R1C1-style reference, a name defined as a reference, a structure reference, or a reference to a cell as </w:t>
      </w:r>
      <w:r>
        <w:t>a string.</w:t>
      </w:r>
    </w:p>
    <w:p w:rsidR="000A156F" w:rsidRDefault="00A9721F">
      <w:pPr>
        <w:pStyle w:val="Heading3"/>
      </w:pPr>
      <w:bookmarkStart w:id="1970" w:name="section_ed33866d5a02492e87a6a1aca55d9d16"/>
      <w:bookmarkStart w:id="1971" w:name="_Toc181684011"/>
      <w:r>
        <w:lastRenderedPageBreak/>
        <w:t>Part 1 Section 18.17.7.168, INFO</w:t>
      </w:r>
      <w:bookmarkEnd w:id="1970"/>
      <w:bookmarkEnd w:id="1971"/>
      <w:r>
        <w:fldChar w:fldCharType="begin"/>
      </w:r>
      <w:r>
        <w:instrText xml:space="preserve"> XE "INFO" </w:instrText>
      </w:r>
      <w:r>
        <w:fldChar w:fldCharType="end"/>
      </w:r>
    </w:p>
    <w:p w:rsidR="000A156F" w:rsidRDefault="00A9721F">
      <w:pPr>
        <w:pStyle w:val="Definition-Field"/>
      </w:pPr>
      <w:r>
        <w:t xml:space="preserve">a.   </w:t>
      </w:r>
      <w:r>
        <w:rPr>
          <w:i/>
        </w:rPr>
        <w:t>The standard lists "memavail" as "Amount of memory available, in bytes."</w:t>
      </w:r>
    </w:p>
    <w:p w:rsidR="000A156F" w:rsidRDefault="00A9721F">
      <w:pPr>
        <w:pStyle w:val="Definition-Field2"/>
      </w:pPr>
      <w:r>
        <w:t>Office always returns #N/A for "memavail".</w:t>
      </w:r>
    </w:p>
    <w:p w:rsidR="000A156F" w:rsidRDefault="00A9721F">
      <w:pPr>
        <w:pStyle w:val="Definition-Field"/>
      </w:pPr>
      <w:r>
        <w:t xml:space="preserve">b.   </w:t>
      </w:r>
      <w:r>
        <w:rPr>
          <w:i/>
        </w:rPr>
        <w:t>The standard lists "memused" as "Amount of memory being used for data."</w:t>
      </w:r>
    </w:p>
    <w:p w:rsidR="000A156F" w:rsidRDefault="00A9721F">
      <w:pPr>
        <w:pStyle w:val="Definition-Field2"/>
      </w:pPr>
      <w:r>
        <w:t>Of</w:t>
      </w:r>
      <w:r>
        <w:t>fice always returns #N/A for "memused".</w:t>
      </w:r>
    </w:p>
    <w:p w:rsidR="000A156F" w:rsidRDefault="00A9721F">
      <w:pPr>
        <w:pStyle w:val="Definition-Field"/>
      </w:pPr>
      <w:r>
        <w:t xml:space="preserve">c.   </w:t>
      </w:r>
      <w:r>
        <w:rPr>
          <w:i/>
        </w:rPr>
        <w:t>The standard lists "totmem" as "Total memory available, including memory already in use, in bytes."</w:t>
      </w:r>
    </w:p>
    <w:p w:rsidR="000A156F" w:rsidRDefault="00A9721F">
      <w:pPr>
        <w:pStyle w:val="Definition-Field2"/>
      </w:pPr>
      <w:r>
        <w:t>Office always returns #N/A for "totmem".</w:t>
      </w:r>
    </w:p>
    <w:p w:rsidR="000A156F" w:rsidRDefault="00A9721F">
      <w:pPr>
        <w:pStyle w:val="Definition-Field"/>
      </w:pPr>
      <w:r>
        <w:t xml:space="preserve">d.   </w:t>
      </w:r>
      <w:r>
        <w:rPr>
          <w:i/>
        </w:rPr>
        <w:t xml:space="preserve">The standard does not specify mode as a valid value for argument </w:t>
      </w:r>
      <w:r>
        <w:rPr>
          <w:i/>
        </w:rPr>
        <w:t>category.</w:t>
      </w:r>
    </w:p>
    <w:p w:rsidR="000A156F" w:rsidRDefault="00A9721F">
      <w:pPr>
        <w:pStyle w:val="Definition-Field2"/>
      </w:pPr>
      <w:r>
        <w:t>Office permits mode as a valid value for argument category and it returns 1.</w:t>
      </w:r>
    </w:p>
    <w:p w:rsidR="000A156F" w:rsidRDefault="00A9721F">
      <w:pPr>
        <w:pStyle w:val="Definition-Field"/>
      </w:pPr>
      <w:r>
        <w:t xml:space="preserve">e.   </w:t>
      </w:r>
      <w:r>
        <w:rPr>
          <w:i/>
        </w:rPr>
        <w:t>The standard does not specify the valid value osreturncode for argument category.</w:t>
      </w:r>
    </w:p>
    <w:p w:rsidR="000A156F" w:rsidRDefault="00A9721F">
      <w:pPr>
        <w:pStyle w:val="Definition-Field2"/>
      </w:pPr>
      <w:r>
        <w:t>Office permits ostreturncode as a valid value for argument category and it returns</w:t>
      </w:r>
      <w:r>
        <w:t xml:space="preserve"> 0.</w:t>
      </w:r>
    </w:p>
    <w:p w:rsidR="000A156F" w:rsidRDefault="00A9721F">
      <w:pPr>
        <w:pStyle w:val="Definition-Field"/>
      </w:pPr>
      <w:r>
        <w:t xml:space="preserve">f.   </w:t>
      </w:r>
      <w:r>
        <w:rPr>
          <w:i/>
        </w:rPr>
        <w:t>The standard does not specify setlang as a valid value for argument category.</w:t>
      </w:r>
    </w:p>
    <w:p w:rsidR="000A156F" w:rsidRDefault="00A9721F">
      <w:pPr>
        <w:pStyle w:val="Definition-Field2"/>
      </w:pPr>
      <w:r>
        <w:t>Office permits setlang as a valid value for argument category and it returns locale information.</w:t>
      </w:r>
    </w:p>
    <w:p w:rsidR="000A156F" w:rsidRDefault="00A9721F">
      <w:pPr>
        <w:pStyle w:val="Definition-Field"/>
      </w:pPr>
      <w:r>
        <w:t xml:space="preserve">g.   </w:t>
      </w:r>
      <w:r>
        <w:rPr>
          <w:i/>
        </w:rPr>
        <w:t>The standard states that the return type is text.</w:t>
      </w:r>
    </w:p>
    <w:p w:rsidR="000A156F" w:rsidRDefault="00A9721F">
      <w:pPr>
        <w:pStyle w:val="Definition-Field2"/>
      </w:pPr>
      <w:r>
        <w:t>Office allows the</w:t>
      </w:r>
      <w:r>
        <w:t xml:space="preserve"> return type to be text or number.</w:t>
      </w:r>
    </w:p>
    <w:p w:rsidR="000A156F" w:rsidRDefault="00A9721F">
      <w:pPr>
        <w:pStyle w:val="Heading3"/>
      </w:pPr>
      <w:bookmarkStart w:id="1972" w:name="section_fbe8422bbec94cfa872a1f0b66b534ca"/>
      <w:bookmarkStart w:id="1973" w:name="_Toc181684012"/>
      <w:r>
        <w:t>Part 1 Section 18.17.7.170, INTERCEPT</w:t>
      </w:r>
      <w:bookmarkEnd w:id="1972"/>
      <w:bookmarkEnd w:id="1973"/>
      <w:r>
        <w:fldChar w:fldCharType="begin"/>
      </w:r>
      <w:r>
        <w:instrText xml:space="preserve"> XE "INTERCEPT" </w:instrText>
      </w:r>
      <w:r>
        <w:fldChar w:fldCharType="end"/>
      </w:r>
    </w:p>
    <w:p w:rsidR="000A156F" w:rsidRDefault="00A9721F">
      <w:pPr>
        <w:pStyle w:val="Definition-Field"/>
      </w:pPr>
      <w:r>
        <w:t xml:space="preserve">a.   </w:t>
      </w:r>
      <w:r>
        <w:rPr>
          <w:i/>
        </w:rPr>
        <w:t>The standard states that x and y are the sample means.</w:t>
      </w:r>
    </w:p>
    <w:p w:rsidR="000A156F" w:rsidRDefault="00A9721F">
      <w:pPr>
        <w:pStyle w:val="Definition-Field2"/>
      </w:pPr>
      <w:r>
        <w:t>Office treats x and y as the sample values; x-bar and y-bar are the sample means.</w:t>
      </w:r>
    </w:p>
    <w:p w:rsidR="000A156F" w:rsidRDefault="00A9721F">
      <w:pPr>
        <w:pStyle w:val="Definition-Field"/>
      </w:pPr>
      <w:r>
        <w:t xml:space="preserve">b.   </w:t>
      </w:r>
      <w:r>
        <w:rPr>
          <w:i/>
        </w:rPr>
        <w:t>The standard makes</w:t>
      </w:r>
      <w:r>
        <w:rPr>
          <w:i/>
        </w:rPr>
        <w:t xml:space="preserve"> no mention of the case for non-intercepting lines.</w:t>
      </w:r>
    </w:p>
    <w:p w:rsidR="000A156F" w:rsidRDefault="00A9721F">
      <w:pPr>
        <w:pStyle w:val="Definition-Field2"/>
      </w:pPr>
      <w:r>
        <w:t>Office returns #DIV/0, if the regression line does not intercept the y-axis,.</w:t>
      </w:r>
    </w:p>
    <w:p w:rsidR="000A156F" w:rsidRDefault="00A9721F">
      <w:pPr>
        <w:pStyle w:val="Heading3"/>
      </w:pPr>
      <w:bookmarkStart w:id="1974" w:name="section_d8b43e5eef264b6582cb73f006020a2e"/>
      <w:bookmarkStart w:id="1975" w:name="_Toc181684013"/>
      <w:r>
        <w:t>Part 1 Section 18.17.7.171, INTRATE</w:t>
      </w:r>
      <w:bookmarkEnd w:id="1974"/>
      <w:bookmarkEnd w:id="1975"/>
      <w:r>
        <w:fldChar w:fldCharType="begin"/>
      </w:r>
      <w:r>
        <w:instrText xml:space="preserve"> XE "INTRATE" </w:instrText>
      </w:r>
      <w:r>
        <w:fldChar w:fldCharType="end"/>
      </w:r>
    </w:p>
    <w:p w:rsidR="000A156F" w:rsidRDefault="00A9721F">
      <w:pPr>
        <w:pStyle w:val="Definition-Field"/>
      </w:pPr>
      <w:r>
        <w:t xml:space="preserve">a.   </w:t>
      </w:r>
      <w:r>
        <w:rPr>
          <w:i/>
        </w:rPr>
        <w:t>The standard does not specify day and month adjustments for the basis</w:t>
      </w:r>
      <w:r>
        <w:rPr>
          <w:i/>
        </w:rPr>
        <w:t xml:space="preserve">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w:t>
            </w:r>
            <w:r>
              <w:t>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 xml:space="preserve">Otherwise, if date1’s day-of-month is 30 and date2’s </w:t>
            </w:r>
            <w:r>
              <w:t>day-of-month is 31, date2’s day-of-month is changed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 xml:space="preserve">Otherwise, if </w:t>
            </w:r>
            <w:r>
              <w:t>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lastRenderedPageBreak/>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w:t>
            </w:r>
            <w:r>
              <w:t>ermine if date1 and date2 are “less than or equal to a year apart” for purposes of this algorithm, one of these conditions must be true:</w:t>
            </w:r>
          </w:p>
          <w:p w:rsidR="000A156F" w:rsidRDefault="00A9721F">
            <w:pPr>
              <w:pStyle w:val="ListParagraph"/>
              <w:numPr>
                <w:ilvl w:val="0"/>
                <w:numId w:val="96"/>
              </w:numPr>
            </w:pPr>
            <w:r>
              <w:t>The two dates have the same year</w:t>
            </w:r>
          </w:p>
          <w:p w:rsidR="000A156F" w:rsidRDefault="00A9721F">
            <w:pPr>
              <w:pStyle w:val="ListParagraph"/>
              <w:numPr>
                <w:ilvl w:val="0"/>
                <w:numId w:val="97"/>
              </w:numPr>
            </w:pPr>
            <w:r>
              <w:t>Date2’s year is exactly one more than date1’s year, and ((date1.month &gt; date2.month) o</w:t>
            </w:r>
            <w:r>
              <w:t>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difference in days, and presumes there are always 365 </w:t>
            </w:r>
            <w:r>
              <w:t>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states argument redemption is the amount to be received at maturity, the security's annual yield.</w:t>
      </w:r>
    </w:p>
    <w:p w:rsidR="000A156F" w:rsidRDefault="00A9721F">
      <w:pPr>
        <w:pStyle w:val="Definition-Field2"/>
      </w:pPr>
      <w:r>
        <w:t>Office defines th</w:t>
      </w:r>
      <w:r>
        <w:t>e argument redemption as the amount to be received at maturity.</w:t>
      </w:r>
    </w:p>
    <w:p w:rsidR="000A156F" w:rsidRDefault="00A9721F">
      <w:pPr>
        <w:pStyle w:val="Heading3"/>
      </w:pPr>
      <w:bookmarkStart w:id="1976" w:name="section_5c0583c254594b569657c94fb48dc600"/>
      <w:bookmarkStart w:id="1977" w:name="_Toc181684014"/>
      <w:r>
        <w:t>Part 1 Section 18.17.7.172, IPMT</w:t>
      </w:r>
      <w:bookmarkEnd w:id="1976"/>
      <w:bookmarkEnd w:id="1977"/>
      <w:r>
        <w:fldChar w:fldCharType="begin"/>
      </w:r>
      <w:r>
        <w:instrText xml:space="preserve"> XE "IPMT" </w:instrText>
      </w:r>
      <w:r>
        <w:fldChar w:fldCharType="end"/>
      </w:r>
    </w:p>
    <w:p w:rsidR="000A156F" w:rsidRDefault="00A9721F">
      <w:pPr>
        <w:pStyle w:val="Definition-Field"/>
      </w:pPr>
      <w:r>
        <w:t xml:space="preserve">a.   </w:t>
      </w:r>
      <w:r>
        <w:rPr>
          <w:i/>
        </w:rPr>
        <w:t>The standard states that payment type is truncated to integer.</w:t>
      </w:r>
    </w:p>
    <w:p w:rsidR="000A156F" w:rsidRDefault="00A9721F">
      <w:pPr>
        <w:pStyle w:val="Definition-Field2"/>
      </w:pPr>
      <w:r>
        <w:t>Office does not truncate payment type to integer.</w:t>
      </w:r>
    </w:p>
    <w:p w:rsidR="000A156F" w:rsidRDefault="00A9721F">
      <w:pPr>
        <w:pStyle w:val="Definition-Field"/>
      </w:pPr>
      <w:r>
        <w:t xml:space="preserve">b.   </w:t>
      </w:r>
      <w:r>
        <w:rPr>
          <w:i/>
        </w:rPr>
        <w:t xml:space="preserve">The standard states </w:t>
      </w:r>
      <w:r>
        <w:rPr>
          <w:i/>
        </w:rPr>
        <w:t>that argument type is either 0 or 1.</w:t>
      </w:r>
    </w:p>
    <w:p w:rsidR="000A156F" w:rsidRDefault="00A9721F">
      <w:pPr>
        <w:pStyle w:val="Definition-Field2"/>
      </w:pPr>
      <w:r>
        <w:t>In Office, any nonzero value of argument type is equivalent to 1.</w:t>
      </w:r>
    </w:p>
    <w:p w:rsidR="000A156F" w:rsidRDefault="00A9721F">
      <w:pPr>
        <w:pStyle w:val="Definition-Field"/>
      </w:pPr>
      <w:r>
        <w:t xml:space="preserve">c.   </w:t>
      </w:r>
      <w:r>
        <w:rPr>
          <w:i/>
        </w:rPr>
        <w:t>The standard states that if argument type is not 0 or 1, #NUM! is returned.</w:t>
      </w:r>
    </w:p>
    <w:p w:rsidR="000A156F" w:rsidRDefault="00A9721F">
      <w:pPr>
        <w:pStyle w:val="Definition-Field2"/>
      </w:pPr>
      <w:r>
        <w:t>In Office argument type is a value of any number.</w:t>
      </w:r>
    </w:p>
    <w:p w:rsidR="000A156F" w:rsidRDefault="00A9721F">
      <w:pPr>
        <w:pStyle w:val="Definition-Field"/>
      </w:pPr>
      <w:r>
        <w:t xml:space="preserve">d.   </w:t>
      </w:r>
      <w:r>
        <w:rPr>
          <w:i/>
        </w:rPr>
        <w:t>The standard stat</w:t>
      </w:r>
      <w:r>
        <w:rPr>
          <w:i/>
        </w:rPr>
        <w:t>es that argument per shall be in the range 1-nper.</w:t>
      </w:r>
    </w:p>
    <w:p w:rsidR="000A156F" w:rsidRDefault="00A9721F">
      <w:pPr>
        <w:pStyle w:val="Definition-Field2"/>
      </w:pPr>
      <w:r>
        <w:t>In Office argument per shall be in the range 1 ≤ per &lt; nper+1.</w:t>
      </w:r>
    </w:p>
    <w:p w:rsidR="000A156F" w:rsidRDefault="00A9721F">
      <w:pPr>
        <w:pStyle w:val="Definition-Field"/>
      </w:pPr>
      <w:r>
        <w:t xml:space="preserve">e.   </w:t>
      </w:r>
      <w:r>
        <w:rPr>
          <w:i/>
        </w:rPr>
        <w:t>The standard does not define the error case if argument per is not in the range 1 ≤ per &lt; nper+1.</w:t>
      </w:r>
    </w:p>
    <w:p w:rsidR="000A156F" w:rsidRDefault="00A9721F">
      <w:pPr>
        <w:pStyle w:val="Definition-Field2"/>
      </w:pPr>
      <w:r>
        <w:t>In Office if argument per is not in the</w:t>
      </w:r>
      <w:r>
        <w:t xml:space="preserve"> range 1 ≤ per &lt; nper+1, then #NUM! is returned.</w:t>
      </w:r>
    </w:p>
    <w:p w:rsidR="000A156F" w:rsidRDefault="00A9721F">
      <w:pPr>
        <w:pStyle w:val="Definition-Field"/>
      </w:pPr>
      <w:r>
        <w:t xml:space="preserve">f.   </w:t>
      </w:r>
      <w:r>
        <w:rPr>
          <w:i/>
        </w:rPr>
        <w:t>The standard does not specify the value of argument type if omitted.</w:t>
      </w:r>
    </w:p>
    <w:p w:rsidR="000A156F" w:rsidRDefault="00A9721F">
      <w:pPr>
        <w:pStyle w:val="Definition-Field2"/>
      </w:pPr>
      <w:r>
        <w:t>In Office if the argument type is omitted the argument type has a value of 0.</w:t>
      </w:r>
    </w:p>
    <w:p w:rsidR="000A156F" w:rsidRDefault="00A9721F">
      <w:pPr>
        <w:pStyle w:val="Heading3"/>
      </w:pPr>
      <w:bookmarkStart w:id="1978" w:name="section_992887335f9f42e68e61ab6cea01a0d3"/>
      <w:bookmarkStart w:id="1979" w:name="_Toc181684015"/>
      <w:r>
        <w:lastRenderedPageBreak/>
        <w:t>Part 1 Section 18.17.7.173, IRR</w:t>
      </w:r>
      <w:bookmarkEnd w:id="1978"/>
      <w:bookmarkEnd w:id="1979"/>
      <w:r>
        <w:fldChar w:fldCharType="begin"/>
      </w:r>
      <w:r>
        <w:instrText xml:space="preserve"> XE "IRR" </w:instrText>
      </w:r>
      <w:r>
        <w:fldChar w:fldCharType="end"/>
      </w:r>
    </w:p>
    <w:p w:rsidR="000A156F" w:rsidRDefault="00A9721F">
      <w:pPr>
        <w:pStyle w:val="Definition-Field"/>
      </w:pPr>
      <w:r>
        <w:t xml:space="preserve">a.   </w:t>
      </w:r>
      <w:r>
        <w:rPr>
          <w:i/>
        </w:rPr>
        <w:t>The st</w:t>
      </w:r>
      <w:r>
        <w:rPr>
          <w:i/>
        </w:rPr>
        <w:t>andard states that IRR uses an iterative calculation technique.</w:t>
      </w:r>
    </w:p>
    <w:p w:rsidR="000A156F" w:rsidRDefault="00A9721F">
      <w:pPr>
        <w:pStyle w:val="Definition-Field2"/>
      </w:pPr>
      <w:r>
        <w:t>Office does not require an iterative calculation technique to be used for this function.</w:t>
      </w:r>
    </w:p>
    <w:p w:rsidR="000A156F" w:rsidRDefault="00A9721F">
      <w:pPr>
        <w:pStyle w:val="Heading3"/>
      </w:pPr>
      <w:bookmarkStart w:id="1980" w:name="section_6edcb9784bd74a0f9e33b455b813dfa7"/>
      <w:bookmarkStart w:id="1981" w:name="_Toc181684016"/>
      <w:r>
        <w:t>Part 1 Section 18.17.7.184, ISPMT</w:t>
      </w:r>
      <w:bookmarkEnd w:id="1980"/>
      <w:bookmarkEnd w:id="1981"/>
      <w:r>
        <w:fldChar w:fldCharType="begin"/>
      </w:r>
      <w:r>
        <w:instrText xml:space="preserve"> XE "ISPMT" </w:instrText>
      </w:r>
      <w:r>
        <w:fldChar w:fldCharType="end"/>
      </w:r>
    </w:p>
    <w:p w:rsidR="000A156F" w:rsidRDefault="00A9721F">
      <w:pPr>
        <w:pStyle w:val="Definition-Field"/>
      </w:pPr>
      <w:r>
        <w:t xml:space="preserve">a.   </w:t>
      </w:r>
      <w:r>
        <w:rPr>
          <w:i/>
        </w:rPr>
        <w:t>The standard states that the range for argument pe</w:t>
      </w:r>
      <w:r>
        <w:rPr>
          <w:i/>
        </w:rPr>
        <w:t>r is 1 - nper.</w:t>
      </w:r>
    </w:p>
    <w:p w:rsidR="000A156F" w:rsidRDefault="00A9721F">
      <w:pPr>
        <w:pStyle w:val="Definition-Field2"/>
      </w:pPr>
      <w:r>
        <w:t>In Office the argument per has no range restriction.</w:t>
      </w:r>
    </w:p>
    <w:p w:rsidR="000A156F" w:rsidRDefault="00A9721F">
      <w:pPr>
        <w:pStyle w:val="Definition-Field"/>
      </w:pPr>
      <w:r>
        <w:t xml:space="preserve">b.   </w:t>
      </w:r>
      <w:r>
        <w:rPr>
          <w:i/>
        </w:rPr>
        <w:t>The standard does not state the returned error case if argument nper is 0.</w:t>
      </w:r>
    </w:p>
    <w:p w:rsidR="000A156F" w:rsidRDefault="00A9721F">
      <w:pPr>
        <w:pStyle w:val="Definition-Field2"/>
      </w:pPr>
      <w:r>
        <w:t>In Office when the argument nper is 0, #DIV/0! is returned.</w:t>
      </w:r>
    </w:p>
    <w:p w:rsidR="000A156F" w:rsidRDefault="00A9721F">
      <w:pPr>
        <w:pStyle w:val="Heading3"/>
      </w:pPr>
      <w:bookmarkStart w:id="1982" w:name="section_e695b5596b384df9927a6077fff4f888"/>
      <w:bookmarkStart w:id="1983" w:name="_Toc181684017"/>
      <w:r>
        <w:t>Part 1 Section 18.17.7.191, LEFT</w:t>
      </w:r>
      <w:bookmarkEnd w:id="1982"/>
      <w:bookmarkEnd w:id="1983"/>
      <w:r>
        <w:fldChar w:fldCharType="begin"/>
      </w:r>
      <w:r>
        <w:instrText xml:space="preserve"> XE "LEFT" </w:instrText>
      </w:r>
      <w:r>
        <w:fldChar w:fldCharType="end"/>
      </w:r>
    </w:p>
    <w:p w:rsidR="000A156F" w:rsidRDefault="00A9721F">
      <w:pPr>
        <w:pStyle w:val="Definition-Field"/>
      </w:pPr>
      <w:r>
        <w:t>a.</w:t>
      </w:r>
      <w:r>
        <w:t xml:space="preserve">   </w:t>
      </w:r>
      <w:r>
        <w:rPr>
          <w:i/>
        </w:rPr>
        <w:t>The standard states that LEFT is intended for use with languages that use the single-byte character set (SBCS), whereas LEFTB is intended for use with languages that use the double-byte character set (DBCS).</w:t>
      </w:r>
    </w:p>
    <w:p w:rsidR="000A156F" w:rsidRDefault="00A9721F">
      <w:pPr>
        <w:pStyle w:val="Definition-Field2"/>
      </w:pPr>
      <w:r>
        <w:t xml:space="preserve">In Office, LEFT is intended for use with any </w:t>
      </w:r>
      <w:r>
        <w:t>language, whereas LEFTB is intended for use with languages that use the double-byte character set (DBCS).</w:t>
      </w:r>
    </w:p>
    <w:p w:rsidR="000A156F" w:rsidRDefault="00A9721F">
      <w:pPr>
        <w:pStyle w:val="Heading3"/>
      </w:pPr>
      <w:bookmarkStart w:id="1984" w:name="section_1ff4777a2b164eedaea6bca9ee46e38f"/>
      <w:bookmarkStart w:id="1985" w:name="_Toc181684018"/>
      <w:r>
        <w:t>Part 1 Section 18.17.7.192, LEFTB</w:t>
      </w:r>
      <w:bookmarkEnd w:id="1984"/>
      <w:bookmarkEnd w:id="1985"/>
      <w:r>
        <w:fldChar w:fldCharType="begin"/>
      </w:r>
      <w:r>
        <w:instrText xml:space="preserve"> XE "LEFTB" </w:instrText>
      </w:r>
      <w:r>
        <w:fldChar w:fldCharType="end"/>
      </w:r>
    </w:p>
    <w:p w:rsidR="000A156F" w:rsidRDefault="00A9721F">
      <w:pPr>
        <w:pStyle w:val="Definition-Field"/>
      </w:pPr>
      <w:r>
        <w:t xml:space="preserve">a.   </w:t>
      </w:r>
      <w:r>
        <w:rPr>
          <w:i/>
        </w:rPr>
        <w:t xml:space="preserve">The standard states that LEFT is intended for use with languages that use the single-byte </w:t>
      </w:r>
      <w:r>
        <w:rPr>
          <w:i/>
        </w:rPr>
        <w:t>character set (SBCS), whereas LEFTB is intended for use with languages that use the double-byte character set (DBCS).</w:t>
      </w:r>
    </w:p>
    <w:p w:rsidR="000A156F" w:rsidRDefault="00A9721F">
      <w:pPr>
        <w:pStyle w:val="Definition-Field2"/>
      </w:pPr>
      <w:r>
        <w:t>In Office, LEFT is intended for use with any language, whereas LEFTB is intended for use with languages that use the double-byte character</w:t>
      </w:r>
      <w:r>
        <w:t xml:space="preserve"> set (DBCS).</w:t>
      </w:r>
    </w:p>
    <w:p w:rsidR="000A156F" w:rsidRDefault="00A9721F">
      <w:pPr>
        <w:pStyle w:val="Definition-Field"/>
      </w:pPr>
      <w:r>
        <w:t xml:space="preserve">b.   </w:t>
      </w:r>
      <w:r>
        <w:rPr>
          <w:i/>
        </w:rPr>
        <w:t>The standard does not specify behavior of LEFTB when default language supports DBCS and when it does not support DBCS.</w:t>
      </w:r>
    </w:p>
    <w:p w:rsidR="000A156F" w:rsidRDefault="00A9721F">
      <w:pPr>
        <w:pStyle w:val="Definition-Field2"/>
      </w:pPr>
      <w:r>
        <w:t>In Office, when the default language supports DBCS, LEFTB counts each double-byte character as 2 bytes, and each single</w:t>
      </w:r>
      <w:r>
        <w:t>-byte character as 1. When the default language does not support DBCS, LEFTB counts each character as 1 byte.</w:t>
      </w:r>
    </w:p>
    <w:p w:rsidR="000A156F" w:rsidRDefault="00A9721F">
      <w:pPr>
        <w:pStyle w:val="Definition-Field"/>
      </w:pPr>
      <w:r>
        <w:t xml:space="preserve">c.   </w:t>
      </w:r>
      <w:r>
        <w:rPr>
          <w:i/>
        </w:rPr>
        <w:t>The standard does not specify which languages support DBCS.</w:t>
      </w:r>
    </w:p>
    <w:p w:rsidR="000A156F" w:rsidRDefault="00A9721F">
      <w:pPr>
        <w:pStyle w:val="Definition-Field2"/>
      </w:pPr>
      <w:r>
        <w:t xml:space="preserve">In Office, the languages that support DBCS include Japanese, Chinese </w:t>
      </w:r>
      <w:r>
        <w:t>(Simplified), Chinese (Traditional), and Korean.</w:t>
      </w:r>
    </w:p>
    <w:p w:rsidR="000A156F" w:rsidRDefault="00A9721F">
      <w:pPr>
        <w:pStyle w:val="Heading3"/>
      </w:pPr>
      <w:bookmarkStart w:id="1986" w:name="section_d6a74eba0eff4bb6bfc68d69fc7c6aac"/>
      <w:bookmarkStart w:id="1987" w:name="_Toc181684019"/>
      <w:r>
        <w:t>Part 1 Section 18.17.7.193, LEN</w:t>
      </w:r>
      <w:bookmarkEnd w:id="1986"/>
      <w:bookmarkEnd w:id="1987"/>
      <w:r>
        <w:fldChar w:fldCharType="begin"/>
      </w:r>
      <w:r>
        <w:instrText xml:space="preserve"> XE "LEN" </w:instrText>
      </w:r>
      <w:r>
        <w:fldChar w:fldCharType="end"/>
      </w:r>
    </w:p>
    <w:p w:rsidR="000A156F" w:rsidRDefault="00A9721F">
      <w:pPr>
        <w:pStyle w:val="Definition-Field"/>
      </w:pPr>
      <w:r>
        <w:t xml:space="preserve">a.   </w:t>
      </w:r>
      <w:r>
        <w:rPr>
          <w:i/>
        </w:rPr>
        <w:t>The standard specifies that LEN is intended for use with languages that use the single-byte (SBCS), whereas LENB is intended for use with languages that use t</w:t>
      </w:r>
      <w:r>
        <w:rPr>
          <w:i/>
        </w:rPr>
        <w:t>he double-byte character set (DBCS).</w:t>
      </w:r>
    </w:p>
    <w:p w:rsidR="000A156F" w:rsidRDefault="00A9721F">
      <w:pPr>
        <w:pStyle w:val="Definition-Field2"/>
      </w:pPr>
      <w:r>
        <w:t>In Office, LEN is intended for use with any language, whereas LENB is intended for use with languages that use the double-byte character set (DBCS).</w:t>
      </w:r>
    </w:p>
    <w:p w:rsidR="000A156F" w:rsidRDefault="00A9721F">
      <w:pPr>
        <w:pStyle w:val="Heading3"/>
      </w:pPr>
      <w:bookmarkStart w:id="1988" w:name="section_3603d0a308ca4280ab15d97c69cb47b6"/>
      <w:bookmarkStart w:id="1989" w:name="_Toc181684020"/>
      <w:r>
        <w:lastRenderedPageBreak/>
        <w:t>Part 1 Section 18.17.7.194, LENB</w:t>
      </w:r>
      <w:bookmarkEnd w:id="1988"/>
      <w:bookmarkEnd w:id="1989"/>
      <w:r>
        <w:fldChar w:fldCharType="begin"/>
      </w:r>
      <w:r>
        <w:instrText xml:space="preserve"> XE "LENB" </w:instrText>
      </w:r>
      <w:r>
        <w:fldChar w:fldCharType="end"/>
      </w:r>
    </w:p>
    <w:p w:rsidR="000A156F" w:rsidRDefault="00A9721F">
      <w:pPr>
        <w:pStyle w:val="Definition-Field"/>
      </w:pPr>
      <w:r>
        <w:t xml:space="preserve">a.   </w:t>
      </w:r>
      <w:r>
        <w:rPr>
          <w:i/>
        </w:rPr>
        <w:t>The standard states</w:t>
      </w:r>
      <w:r>
        <w:rPr>
          <w:i/>
        </w:rPr>
        <w:t xml:space="preserve"> that LENB is intended for use with languages that use the double-byte character set (DBCS), whereas LEN is intended for use with languages that use the single-byte character set (SBCS).</w:t>
      </w:r>
    </w:p>
    <w:p w:rsidR="000A156F" w:rsidRDefault="00A9721F">
      <w:pPr>
        <w:pStyle w:val="Definition-Field2"/>
      </w:pPr>
      <w:r>
        <w:t>In Office, LENB is intended for use with languages that use the doubl</w:t>
      </w:r>
      <w:r>
        <w:t>e-byte character set (DBCS), whereas LEN is intended for use with any language.</w:t>
      </w:r>
    </w:p>
    <w:p w:rsidR="000A156F" w:rsidRDefault="00A9721F">
      <w:pPr>
        <w:pStyle w:val="Definition-Field"/>
      </w:pPr>
      <w:r>
        <w:t xml:space="preserve">b.   </w:t>
      </w:r>
      <w:r>
        <w:rPr>
          <w:i/>
        </w:rPr>
        <w:t>The standard does not specify behavior of LENB when default language supports DBCS and when it does not support DBCS.</w:t>
      </w:r>
    </w:p>
    <w:p w:rsidR="000A156F" w:rsidRDefault="00A9721F">
      <w:pPr>
        <w:pStyle w:val="Definition-Field2"/>
      </w:pPr>
      <w:r>
        <w:t>In Office, when the default language supports DBCS, L</w:t>
      </w:r>
      <w:r>
        <w:t>ENB counts each double-byte character as 2 bytes, and each single-byte character as 1. When the default language does not support DBCS, LENB counts each character as 1 byte.</w:t>
      </w:r>
    </w:p>
    <w:p w:rsidR="000A156F" w:rsidRDefault="00A9721F">
      <w:pPr>
        <w:pStyle w:val="Definition-Field"/>
      </w:pPr>
      <w:r>
        <w:t xml:space="preserve">c.   </w:t>
      </w:r>
      <w:r>
        <w:rPr>
          <w:i/>
        </w:rPr>
        <w:t>The standard does not specify which languages support DBCS.</w:t>
      </w:r>
    </w:p>
    <w:p w:rsidR="000A156F" w:rsidRDefault="00A9721F">
      <w:pPr>
        <w:pStyle w:val="Definition-Field2"/>
      </w:pPr>
      <w:r>
        <w:t>In Office, the la</w:t>
      </w:r>
      <w:r>
        <w:t>nguages that support DBCS include Japanese, Chinese (Simplified), Chinese (Traditional), and Korean.</w:t>
      </w:r>
    </w:p>
    <w:p w:rsidR="000A156F" w:rsidRDefault="00A9721F">
      <w:pPr>
        <w:pStyle w:val="Heading3"/>
      </w:pPr>
      <w:bookmarkStart w:id="1990" w:name="section_85a7e2ec196140b4ad596f91de000cf7"/>
      <w:bookmarkStart w:id="1991" w:name="_Toc181684021"/>
      <w:r>
        <w:t>Part 1 Section 18.17.7.195, LINEST</w:t>
      </w:r>
      <w:bookmarkEnd w:id="1990"/>
      <w:bookmarkEnd w:id="1991"/>
      <w:r>
        <w:fldChar w:fldCharType="begin"/>
      </w:r>
      <w:r>
        <w:instrText xml:space="preserve"> XE "LINEST" </w:instrText>
      </w:r>
      <w:r>
        <w:fldChar w:fldCharType="end"/>
      </w:r>
    </w:p>
    <w:p w:rsidR="000A156F" w:rsidRDefault="00A9721F">
      <w:pPr>
        <w:pStyle w:val="Definition-Field"/>
      </w:pPr>
      <w:r>
        <w:t xml:space="preserve">a.   </w:t>
      </w:r>
      <w:r>
        <w:rPr>
          <w:i/>
        </w:rPr>
        <w:t>The standard states that x and y are sample means.</w:t>
      </w:r>
    </w:p>
    <w:p w:rsidR="000A156F" w:rsidRDefault="00A9721F">
      <w:pPr>
        <w:pStyle w:val="Definition-Field2"/>
      </w:pPr>
      <w:r>
        <w:t>Office treats x and y as the sample values, and x</w:t>
      </w:r>
      <w:r>
        <w:t>-bar and y-bar as the sample means of known-xs and known-ys, respectively.</w:t>
      </w:r>
    </w:p>
    <w:p w:rsidR="000A156F" w:rsidRDefault="00A9721F">
      <w:pPr>
        <w:pStyle w:val="Definition-Field"/>
      </w:pPr>
      <w:r>
        <w:t xml:space="preserve">b.   </w:t>
      </w:r>
      <w:r>
        <w:rPr>
          <w:i/>
        </w:rPr>
        <w:t>The standard does not place any restrictions on dimensions of known-ys or known-xs.</w:t>
      </w:r>
    </w:p>
    <w:p w:rsidR="000A156F" w:rsidRDefault="00A9721F">
      <w:pPr>
        <w:pStyle w:val="Definition-Field2"/>
      </w:pPr>
      <w:r>
        <w:t>In Office, if known-ys and known-xs are both specified but don't match in size (or number of</w:t>
      </w:r>
      <w:r>
        <w:t xml:space="preserve"> variables for the multivariate case), #REF! is returned.</w:t>
      </w:r>
    </w:p>
    <w:p w:rsidR="000A156F" w:rsidRDefault="00A9721F">
      <w:pPr>
        <w:pStyle w:val="Definition-Field"/>
      </w:pPr>
      <w:r>
        <w:t xml:space="preserve">c.   </w:t>
      </w:r>
      <w:r>
        <w:rPr>
          <w:i/>
        </w:rPr>
        <w:t>The standard describes statistic seb as the standard error value for the constant b.</w:t>
      </w:r>
    </w:p>
    <w:p w:rsidR="000A156F" w:rsidRDefault="00A9721F">
      <w:pPr>
        <w:pStyle w:val="Definition-Field2"/>
      </w:pPr>
      <w:r>
        <w:t>In Office, if b is forced to be zero (const-flag=FALSE), then it has no standard error and #N/A is returned.</w:t>
      </w:r>
    </w:p>
    <w:p w:rsidR="000A156F" w:rsidRDefault="00A9721F">
      <w:pPr>
        <w:pStyle w:val="Definition-Field"/>
      </w:pPr>
      <w:r>
        <w:t xml:space="preserve">d.   </w:t>
      </w:r>
      <w:r>
        <w:rPr>
          <w:i/>
        </w:rPr>
        <w:t>The standard does not mention collinearity cases for this function.</w:t>
      </w:r>
    </w:p>
    <w:p w:rsidR="000A156F" w:rsidRDefault="00A9721F">
      <w:r>
        <w:t>In Excel, vectors in known-xs that are collinear (have no additional predictive value because they can be expressed as sum of multiples of existing vectors) are omitted from the regr</w:t>
      </w:r>
      <w:r>
        <w:t>ession calculations. The vectors are given a coefficient of 0 and a standard error of 0 (m = 0; se=0).  If vectors are omitted, df is affected because df depends on the number of values used for predictive purposes.</w:t>
      </w:r>
    </w:p>
    <w:p w:rsidR="000A156F" w:rsidRDefault="00A9721F">
      <w:pPr>
        <w:pStyle w:val="Definition-Field"/>
      </w:pPr>
      <w:r>
        <w:t xml:space="preserve">e.   </w:t>
      </w:r>
      <w:r>
        <w:rPr>
          <w:i/>
        </w:rPr>
        <w:t xml:space="preserve">The standard states the syntax is: </w:t>
      </w:r>
      <w:r>
        <w:rPr>
          <w:i/>
        </w:rPr>
        <w:t>LINEST  (  known-ys  [  ,  [  known-xs  ]  [  ,  [  const-flag  ] [  ,  stats-flag  ] ]  ).</w:t>
      </w:r>
    </w:p>
    <w:p w:rsidR="000A156F" w:rsidRDefault="00A9721F">
      <w:pPr>
        <w:pStyle w:val="Definition-Field2"/>
      </w:pPr>
      <w:r>
        <w:t>Office uses the following syntax: LINEST  (  known-ys  [  ,  [  known-xs  ] [  ,  [  const-flag  ] [  , [  stats-flag  ] ] ] ] ).</w:t>
      </w:r>
    </w:p>
    <w:p w:rsidR="000A156F" w:rsidRDefault="00A9721F">
      <w:pPr>
        <w:pStyle w:val="Heading3"/>
      </w:pPr>
      <w:bookmarkStart w:id="1992" w:name="section_9e06359058a34e4c8a15b9cfb1bc1b88"/>
      <w:bookmarkStart w:id="1993" w:name="_Toc181684022"/>
      <w:r>
        <w:t>Part 1 Section 18.17.7.197, LOG</w:t>
      </w:r>
      <w:bookmarkEnd w:id="1992"/>
      <w:bookmarkEnd w:id="1993"/>
      <w:r>
        <w:fldChar w:fldCharType="begin"/>
      </w:r>
      <w:r>
        <w:instrText xml:space="preserve"> XE</w:instrText>
      </w:r>
      <w:r>
        <w:instrText xml:space="preserve"> "LOG" </w:instrText>
      </w:r>
      <w:r>
        <w:fldChar w:fldCharType="end"/>
      </w:r>
    </w:p>
    <w:p w:rsidR="000A156F" w:rsidRDefault="00A9721F">
      <w:pPr>
        <w:pStyle w:val="Definition-Field"/>
      </w:pPr>
      <w:r>
        <w:t xml:space="preserve">a.   </w:t>
      </w:r>
      <w:r>
        <w:rPr>
          <w:i/>
        </w:rPr>
        <w:t>The standard does not specify what happens if base is equal to 1.</w:t>
      </w:r>
    </w:p>
    <w:p w:rsidR="000A156F" w:rsidRDefault="00A9721F">
      <w:pPr>
        <w:pStyle w:val="Definition-Field2"/>
      </w:pPr>
      <w:r>
        <w:t>Office returns #DIV/0! if base is equal to 1.</w:t>
      </w:r>
    </w:p>
    <w:p w:rsidR="000A156F" w:rsidRDefault="00A9721F">
      <w:pPr>
        <w:pStyle w:val="Heading3"/>
      </w:pPr>
      <w:bookmarkStart w:id="1994" w:name="section_bd605e24aefa4f038aaefb389ffea52c"/>
      <w:bookmarkStart w:id="1995" w:name="_Toc181684023"/>
      <w:r>
        <w:lastRenderedPageBreak/>
        <w:t>Part 1 Section 18.17.7.199, LOGEST</w:t>
      </w:r>
      <w:bookmarkEnd w:id="1994"/>
      <w:bookmarkEnd w:id="1995"/>
      <w:r>
        <w:fldChar w:fldCharType="begin"/>
      </w:r>
      <w:r>
        <w:instrText xml:space="preserve"> XE "LOGEST" </w:instrText>
      </w:r>
      <w:r>
        <w:fldChar w:fldCharType="end"/>
      </w:r>
    </w:p>
    <w:p w:rsidR="000A156F" w:rsidRDefault="00A9721F">
      <w:pPr>
        <w:pStyle w:val="Definition-Field"/>
      </w:pPr>
      <w:r>
        <w:t xml:space="preserve">a.   </w:t>
      </w:r>
      <w:r>
        <w:rPr>
          <w:i/>
        </w:rPr>
        <w:t>The standard specifies the equation for the curve is y = b * mx or y=b*(m1</w:t>
      </w:r>
      <w:r>
        <w:rPr>
          <w:i/>
        </w:rPr>
        <w:t>*x1)*(m2*x2)*...) if there are multiple values</w:t>
      </w:r>
    </w:p>
    <w:p w:rsidR="000A156F" w:rsidRDefault="00A9721F">
      <w:pPr>
        <w:pStyle w:val="Definition-Field2"/>
      </w:pPr>
      <w:r>
        <w:t>Office uses the following equation for the curve: y = b * (m^x) or y=b*(m1^x1)*(m2^x2)...(mn^xn) if there are multiple values</w:t>
      </w:r>
    </w:p>
    <w:p w:rsidR="000A156F" w:rsidRDefault="00A9721F">
      <w:pPr>
        <w:pStyle w:val="Definition-Field"/>
      </w:pPr>
      <w:r>
        <w:t xml:space="preserve">b.   </w:t>
      </w:r>
      <w:r>
        <w:rPr>
          <w:i/>
        </w:rPr>
        <w:t xml:space="preserve">The standard does not place any restrictions on dimensions of known-ys or </w:t>
      </w:r>
      <w:r>
        <w:rPr>
          <w:i/>
        </w:rPr>
        <w:t>known-xs.</w:t>
      </w:r>
    </w:p>
    <w:p w:rsidR="000A156F" w:rsidRDefault="00A9721F">
      <w:pPr>
        <w:pStyle w:val="Definition-Field2"/>
      </w:pPr>
      <w:r>
        <w:t>In Office, if known-ys and known-xs are not the same size, or known-ys does not contain exactly one value for each row or column of known-xs, #REF! is returned.</w:t>
      </w:r>
    </w:p>
    <w:p w:rsidR="000A156F" w:rsidRDefault="00A9721F">
      <w:pPr>
        <w:pStyle w:val="Definition-Field"/>
      </w:pPr>
      <w:r>
        <w:t xml:space="preserve">c.   </w:t>
      </w:r>
      <w:r>
        <w:rPr>
          <w:i/>
        </w:rPr>
        <w:t>The standard specifies the following syntax: LOGEST  (  known-ys  [  ,  [  known</w:t>
      </w:r>
      <w:r>
        <w:rPr>
          <w:i/>
        </w:rPr>
        <w:t>-xs  ]  [  ,  [  const-flag  ] [  ,  stats-flag  ] ]  ).</w:t>
      </w:r>
    </w:p>
    <w:p w:rsidR="000A156F" w:rsidRDefault="00A9721F">
      <w:pPr>
        <w:pStyle w:val="Definition-Field2"/>
      </w:pPr>
      <w:r>
        <w:t>Office uses the following syntax: LOGEST  (  known-ys  [  ,  [  known-xs  ]  [  ,  [  const-flag  ] [  ,  [  stats-flag  ] ] ] ]  ).</w:t>
      </w:r>
    </w:p>
    <w:p w:rsidR="000A156F" w:rsidRDefault="00A9721F">
      <w:pPr>
        <w:pStyle w:val="Heading3"/>
      </w:pPr>
      <w:bookmarkStart w:id="1996" w:name="section_30e516d248dd4052be896aae823b298e"/>
      <w:bookmarkStart w:id="1997" w:name="_Toc181684024"/>
      <w:r>
        <w:t>Part 1 Section 18.17.7.200, LOGINV</w:t>
      </w:r>
      <w:bookmarkEnd w:id="1996"/>
      <w:bookmarkEnd w:id="1997"/>
      <w:r>
        <w:fldChar w:fldCharType="begin"/>
      </w:r>
      <w:r>
        <w:instrText xml:space="preserve"> XE "LOGINV" </w:instrText>
      </w:r>
      <w:r>
        <w:fldChar w:fldCharType="end"/>
      </w:r>
    </w:p>
    <w:p w:rsidR="000A156F" w:rsidRDefault="00A9721F">
      <w:pPr>
        <w:pStyle w:val="Definition-Field"/>
      </w:pPr>
      <w:r>
        <w:t xml:space="preserve">a.   </w:t>
      </w:r>
      <w:r>
        <w:rPr>
          <w:i/>
        </w:rPr>
        <w:t xml:space="preserve">The </w:t>
      </w:r>
      <w:r>
        <w:rPr>
          <w:i/>
        </w:rPr>
        <w:t>standard states that if probability is less than 0, or if probability is greater than 1, #NUM! is returned.</w:t>
      </w:r>
    </w:p>
    <w:p w:rsidR="000A156F" w:rsidRDefault="00A9721F">
      <w:pPr>
        <w:pStyle w:val="Definition-Field2"/>
      </w:pPr>
      <w:r>
        <w:t>Office returns #NUM! if probability is less than or equal to 0, or if probability is greater than or equal to 1.</w:t>
      </w:r>
    </w:p>
    <w:p w:rsidR="000A156F" w:rsidRDefault="00A9721F">
      <w:pPr>
        <w:pStyle w:val="Heading3"/>
      </w:pPr>
      <w:bookmarkStart w:id="1998" w:name="section_572fe441c59643d68a9f2a5baeae54a4"/>
      <w:bookmarkStart w:id="1999" w:name="_Toc181684025"/>
      <w:r>
        <w:t>Part 1 Section 18.17.7.201, LOGNORM</w:t>
      </w:r>
      <w:r>
        <w:t>DIST</w:t>
      </w:r>
      <w:bookmarkEnd w:id="1998"/>
      <w:bookmarkEnd w:id="1999"/>
      <w:r>
        <w:fldChar w:fldCharType="begin"/>
      </w:r>
      <w:r>
        <w:instrText xml:space="preserve"> XE "LOGNORMDIST" </w:instrText>
      </w:r>
      <w:r>
        <w:fldChar w:fldCharType="end"/>
      </w:r>
    </w:p>
    <w:p w:rsidR="000A156F" w:rsidRDefault="00A9721F">
      <w:pPr>
        <w:pStyle w:val="Definition-Field"/>
      </w:pPr>
      <w:r>
        <w:t xml:space="preserve">a.   </w:t>
      </w:r>
      <w:r>
        <w:rPr>
          <w:i/>
        </w:rPr>
        <w:t>The standard states that the function returns the inverse of the lognormal cumulative distribution function of x.</w:t>
      </w:r>
    </w:p>
    <w:p w:rsidR="000A156F" w:rsidRDefault="00A9721F">
      <w:pPr>
        <w:pStyle w:val="Definition-Field2"/>
      </w:pPr>
      <w:r>
        <w:t>In Office, the function returns the lognormal cumulative distribution of x.</w:t>
      </w:r>
    </w:p>
    <w:p w:rsidR="000A156F" w:rsidRDefault="00A9721F">
      <w:pPr>
        <w:pStyle w:val="Heading3"/>
      </w:pPr>
      <w:bookmarkStart w:id="2000" w:name="section_19f20aeb5ca84a59acd8b01ba6e8ed07"/>
      <w:bookmarkStart w:id="2001" w:name="_Toc181684026"/>
      <w:r>
        <w:t>Part 1 Section 18.17.7.204, MATCH</w:t>
      </w:r>
      <w:bookmarkEnd w:id="2000"/>
      <w:bookmarkEnd w:id="2001"/>
      <w:r>
        <w:fldChar w:fldCharType="begin"/>
      </w:r>
      <w:r>
        <w:instrText xml:space="preserve"> XE</w:instrText>
      </w:r>
      <w:r>
        <w:instrText xml:space="preserve"> "MATCH" </w:instrText>
      </w:r>
      <w:r>
        <w:fldChar w:fldCharType="end"/>
      </w:r>
    </w:p>
    <w:p w:rsidR="000A156F" w:rsidRDefault="00A9721F">
      <w:pPr>
        <w:pStyle w:val="Definition-Field"/>
      </w:pPr>
      <w:r>
        <w:t xml:space="preserve">a.   </w:t>
      </w:r>
      <w:r>
        <w:rPr>
          <w:i/>
        </w:rPr>
        <w:t>The standard states that if no match is found, #NUM! is returned.</w:t>
      </w:r>
    </w:p>
    <w:p w:rsidR="000A156F" w:rsidRDefault="00A9721F">
      <w:pPr>
        <w:pStyle w:val="Definition-Field2"/>
      </w:pPr>
      <w:r>
        <w:t>In Office, #N/A is returned if no match is found.</w:t>
      </w:r>
    </w:p>
    <w:p w:rsidR="000A156F" w:rsidRDefault="00A9721F">
      <w:pPr>
        <w:pStyle w:val="Definition-Field"/>
      </w:pPr>
      <w:r>
        <w:t xml:space="preserve">b.   </w:t>
      </w:r>
      <w:r>
        <w:rPr>
          <w:i/>
        </w:rPr>
        <w:t>The standard does not place any restrictions on the dimensions of argument lookup-array.</w:t>
      </w:r>
    </w:p>
    <w:p w:rsidR="000A156F" w:rsidRDefault="00A9721F">
      <w:pPr>
        <w:pStyle w:val="Definition-Field2"/>
      </w:pPr>
      <w:r>
        <w:t>In Office, argument lookup-ar</w:t>
      </w:r>
      <w:r>
        <w:t>ray must be an array or range with only one row or only one column, else #N/A is returned.</w:t>
      </w:r>
    </w:p>
    <w:p w:rsidR="000A156F" w:rsidRDefault="00A9721F">
      <w:pPr>
        <w:pStyle w:val="Heading3"/>
      </w:pPr>
      <w:bookmarkStart w:id="2002" w:name="section_785ab22f8b1f4137a3c10f7627cb4be2"/>
      <w:bookmarkStart w:id="2003" w:name="_Toc181684027"/>
      <w:r>
        <w:t>Part 1 Section 18.17.7.208, MDURATION</w:t>
      </w:r>
      <w:bookmarkEnd w:id="2002"/>
      <w:bookmarkEnd w:id="2003"/>
      <w:r>
        <w:fldChar w:fldCharType="begin"/>
      </w:r>
      <w:r>
        <w:instrText xml:space="preserve"> XE "MDURATION"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argu</w:t>
      </w:r>
      <w:r>
        <w:t>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 xml:space="preserve">US (NASD) 30/360. If the dates are equal, the difference of days is 0. Assumes that each month has 30 days and the total number of days in </w:t>
            </w:r>
            <w:r>
              <w:t>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w:t>
            </w:r>
            <w:r>
              <w:t xml:space="preserve">month is </w:t>
            </w:r>
            <w:r>
              <w:lastRenderedPageBreak/>
              <w:t>changed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day of February, it</w:t>
            </w:r>
            <w:r>
              <w:t>s day-of-month is changed to 30</w:t>
            </w:r>
          </w:p>
        </w:tc>
      </w:tr>
      <w:tr w:rsidR="000A156F" w:rsidTr="000A156F">
        <w:tc>
          <w:tcPr>
            <w:tcW w:w="0" w:type="auto"/>
            <w:vAlign w:val="center"/>
          </w:tcPr>
          <w:p w:rsidR="000A156F" w:rsidRDefault="00A9721F">
            <w:pPr>
              <w:pStyle w:val="TableBodyText"/>
            </w:pPr>
            <w:r>
              <w:rPr>
                <w:rStyle w:val="InlineCode"/>
              </w:rPr>
              <w:lastRenderedPageBreak/>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w:t>
            </w:r>
            <w:r>
              <w:t xml:space="preserve">s in the years between date1 and date2, inclusive. Otherwise, the days in the years between the dates is 365, except for these cases (where it is 366): the dates are in the same year and it is a leap-year, a February 29 occurs between the two dates, or </w:t>
            </w:r>
            <w:r>
              <w:rPr>
                <w:b/>
              </w:rPr>
              <w:t>dat</w:t>
            </w:r>
            <w:r>
              <w:rPr>
                <w:b/>
              </w:rPr>
              <w:t>e1 or</w:t>
            </w:r>
            <w:r>
              <w:t xml:space="preserve"> date2 is February 29.</w:t>
            </w:r>
          </w:p>
          <w:p w:rsidR="000A156F" w:rsidRDefault="000A156F">
            <w:pPr>
              <w:pStyle w:val="TableBodyText"/>
            </w:pPr>
          </w:p>
          <w:p w:rsidR="000A156F" w:rsidRDefault="00A9721F">
            <w:pPr>
              <w:pStyle w:val="TableBodyText"/>
            </w:pPr>
            <w:r>
              <w:t>To determine if date1 and date2 are “less than or equal to a year apart” for purposes of this algorithm, one of these conditions must be true:</w:t>
            </w:r>
          </w:p>
          <w:p w:rsidR="000A156F" w:rsidRDefault="00A9721F">
            <w:pPr>
              <w:pStyle w:val="ListParagraph"/>
              <w:numPr>
                <w:ilvl w:val="0"/>
                <w:numId w:val="98"/>
              </w:numPr>
            </w:pPr>
            <w:r>
              <w:t>The two dates have the same year</w:t>
            </w:r>
          </w:p>
          <w:p w:rsidR="000A156F" w:rsidRDefault="00A9721F">
            <w:pPr>
              <w:pStyle w:val="ListParagraph"/>
              <w:numPr>
                <w:ilvl w:val="0"/>
                <w:numId w:val="99"/>
              </w:numPr>
            </w:pPr>
            <w:r>
              <w:t>Date2’s year is exactly one more than date1’s year,</w:t>
            </w:r>
            <w:r>
              <w:t xml:space="preserve"> and ((date1.month &gt; date2.month) or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w:t>
            </w:r>
            <w:r>
              <w:t xml:space="preserve">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does not specify how function arguments map to formula variables.</w:t>
      </w:r>
    </w:p>
    <w:p w:rsidR="000A156F" w:rsidRDefault="00A9721F">
      <w:pPr>
        <w:pStyle w:val="Definition-Field2"/>
      </w:pPr>
      <w:r>
        <w:t>Office maps coupon payments per year to argument frequency, DURATIO</w:t>
      </w:r>
      <w:r>
        <w:t>N to DURATION(settlement, maturity, coupon, yld, frequency, [basis]), and market yield to argument yld.</w:t>
      </w:r>
    </w:p>
    <w:p w:rsidR="000A156F" w:rsidRDefault="00A9721F">
      <w:pPr>
        <w:pStyle w:val="Heading3"/>
      </w:pPr>
      <w:bookmarkStart w:id="2004" w:name="section_612ff32d2b6b45d58904f41a2bd7fcd6"/>
      <w:bookmarkStart w:id="2005" w:name="_Toc181684028"/>
      <w:r>
        <w:t>Part 1 Section 18.17.7.210, MID</w:t>
      </w:r>
      <w:bookmarkEnd w:id="2004"/>
      <w:bookmarkEnd w:id="2005"/>
      <w:r>
        <w:fldChar w:fldCharType="begin"/>
      </w:r>
      <w:r>
        <w:instrText xml:space="preserve"> XE "MID" </w:instrText>
      </w:r>
      <w:r>
        <w:fldChar w:fldCharType="end"/>
      </w:r>
    </w:p>
    <w:p w:rsidR="000A156F" w:rsidRDefault="00A9721F">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0A156F" w:rsidRDefault="00A9721F">
      <w:pPr>
        <w:pStyle w:val="Definition-Field2"/>
      </w:pPr>
      <w:r>
        <w:t>In Office, MID is intended for use with any language, whereas MIDB is intended for use with languages that use the double-byte character set (DBCS).</w:t>
      </w:r>
    </w:p>
    <w:p w:rsidR="000A156F" w:rsidRDefault="00A9721F">
      <w:pPr>
        <w:pStyle w:val="Definition-Field"/>
      </w:pPr>
      <w:r>
        <w:t xml:space="preserve">b.  </w:t>
      </w:r>
      <w:r>
        <w:t xml:space="preserve"> </w:t>
      </w:r>
      <w:r>
        <w:rPr>
          <w:i/>
        </w:rPr>
        <w:t>The standard states if start-pos &lt; 0, #VALUE! is returned.</w:t>
      </w:r>
    </w:p>
    <w:p w:rsidR="000A156F" w:rsidRDefault="00A9721F">
      <w:pPr>
        <w:pStyle w:val="Definition-Field2"/>
      </w:pPr>
      <w:r>
        <w:t>Office returns #VALUE! if start-pos &lt; 1.</w:t>
      </w:r>
    </w:p>
    <w:p w:rsidR="000A156F" w:rsidRDefault="00A9721F">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0A156F" w:rsidRDefault="00A9721F">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0A156F" w:rsidRDefault="00A9721F">
      <w:pPr>
        <w:pStyle w:val="Heading3"/>
      </w:pPr>
      <w:bookmarkStart w:id="2006" w:name="section_b4f02a916d4b4713aba9c99ba6abdb52"/>
      <w:bookmarkStart w:id="2007" w:name="_Toc181684029"/>
      <w:r>
        <w:lastRenderedPageBreak/>
        <w:t>Part 1 Section 18.17.7.211, MIDB</w:t>
      </w:r>
      <w:bookmarkEnd w:id="2006"/>
      <w:bookmarkEnd w:id="2007"/>
      <w:r>
        <w:fldChar w:fldCharType="begin"/>
      </w:r>
      <w:r>
        <w:instrText xml:space="preserve"> XE "MIDB" </w:instrText>
      </w:r>
      <w:r>
        <w:fldChar w:fldCharType="end"/>
      </w:r>
    </w:p>
    <w:p w:rsidR="000A156F" w:rsidRDefault="00A9721F">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0A156F" w:rsidRDefault="00A9721F">
      <w:pPr>
        <w:pStyle w:val="Definition-Field2"/>
      </w:pPr>
      <w:r>
        <w:t>In Office, MIDB is intended for use with languages that use the double-byte character set (DBCS), whereas MID is intended for use with any language.</w:t>
      </w:r>
    </w:p>
    <w:p w:rsidR="000A156F" w:rsidRDefault="00A9721F">
      <w:pPr>
        <w:pStyle w:val="Definition-Field"/>
      </w:pPr>
      <w:r>
        <w:t xml:space="preserve">b.   </w:t>
      </w:r>
      <w:r>
        <w:rPr>
          <w:i/>
        </w:rPr>
        <w:t xml:space="preserve">The standard states if start-pos &lt; 0, #VALUE! </w:t>
      </w:r>
      <w:r>
        <w:rPr>
          <w:i/>
        </w:rPr>
        <w:t>is returned.</w:t>
      </w:r>
    </w:p>
    <w:p w:rsidR="000A156F" w:rsidRDefault="00A9721F">
      <w:pPr>
        <w:pStyle w:val="Definition-Field2"/>
      </w:pPr>
      <w:r>
        <w:t>Office returns #VALUE! if start-pos &lt; 1.</w:t>
      </w:r>
    </w:p>
    <w:p w:rsidR="000A156F" w:rsidRDefault="00A9721F">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0A156F" w:rsidRDefault="00A9721F">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0A156F" w:rsidRDefault="00A9721F">
      <w:pPr>
        <w:pStyle w:val="Definition-Field"/>
      </w:pPr>
      <w:r>
        <w:t xml:space="preserve">d.   </w:t>
      </w:r>
      <w:r>
        <w:rPr>
          <w:i/>
        </w:rPr>
        <w:t>The standard specifies the return value as a string containing number-bytes-worth of characters from string, starting at character position start-pos.</w:t>
      </w:r>
    </w:p>
    <w:p w:rsidR="000A156F" w:rsidRDefault="00A9721F">
      <w:pPr>
        <w:pStyle w:val="Definition-Field2"/>
      </w:pPr>
      <w:r>
        <w:t>Office returns a string containing number-bytes-worth of characters</w:t>
      </w:r>
      <w:r>
        <w:t xml:space="preserve"> from string, starting at byte position start-pos.</w:t>
      </w:r>
    </w:p>
    <w:p w:rsidR="000A156F" w:rsidRDefault="00A9721F">
      <w:pPr>
        <w:pStyle w:val="Definition-Field"/>
      </w:pPr>
      <w:r>
        <w:t xml:space="preserve">e.   </w:t>
      </w:r>
      <w:r>
        <w:rPr>
          <w:i/>
        </w:rPr>
        <w:t>The standard does not specify behavior of MIDB when default language supports DBCS and when it does not support DBCS.</w:t>
      </w:r>
    </w:p>
    <w:p w:rsidR="000A156F" w:rsidRDefault="00A9721F">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0A156F" w:rsidRDefault="00A9721F">
      <w:pPr>
        <w:pStyle w:val="Definition-Field"/>
      </w:pPr>
      <w:r>
        <w:t xml:space="preserve">f.   </w:t>
      </w:r>
      <w:r>
        <w:rPr>
          <w:i/>
        </w:rPr>
        <w:t>The standard does not specify which languages support DBCS.</w:t>
      </w:r>
    </w:p>
    <w:p w:rsidR="000A156F" w:rsidRDefault="00A9721F">
      <w:pPr>
        <w:pStyle w:val="Definition-Field2"/>
      </w:pPr>
      <w:r>
        <w:t>In Office, the languages that support DBCS in</w:t>
      </w:r>
      <w:r>
        <w:t>clude Japanese, Chinese (Simplified), Chinese (Traditional), and Korean.</w:t>
      </w:r>
    </w:p>
    <w:p w:rsidR="000A156F" w:rsidRDefault="00A9721F">
      <w:pPr>
        <w:pStyle w:val="Heading3"/>
      </w:pPr>
      <w:bookmarkStart w:id="2008" w:name="section_04d93d19a68d4a4e82d7d61afbf4dea1"/>
      <w:bookmarkStart w:id="2009" w:name="_Toc181684030"/>
      <w:r>
        <w:t>Part 1 Section 18.17.7.212, MIN</w:t>
      </w:r>
      <w:bookmarkEnd w:id="2008"/>
      <w:bookmarkEnd w:id="2009"/>
      <w:r>
        <w:fldChar w:fldCharType="begin"/>
      </w:r>
      <w:r>
        <w:instrText xml:space="preserve"> XE "MIN" </w:instrText>
      </w:r>
      <w:r>
        <w:fldChar w:fldCharType="end"/>
      </w:r>
    </w:p>
    <w:p w:rsidR="000A156F" w:rsidRDefault="00A9721F">
      <w:pPr>
        <w:pStyle w:val="Definition-Field"/>
      </w:pPr>
      <w:r>
        <w:t xml:space="preserve">a.   </w:t>
      </w:r>
      <w:r>
        <w:rPr>
          <w:i/>
        </w:rPr>
        <w:t>The standard states that the arguments in argument-list designate the values for which the largest value is to be computed.</w:t>
      </w:r>
    </w:p>
    <w:p w:rsidR="000A156F" w:rsidRDefault="00A9721F">
      <w:pPr>
        <w:pStyle w:val="Definition-Field2"/>
      </w:pPr>
      <w:r>
        <w:t>Office tre</w:t>
      </w:r>
      <w:r>
        <w:t>ats the arguments in argument-list to be the values for which the smallest value is to be computed.</w:t>
      </w:r>
    </w:p>
    <w:p w:rsidR="000A156F" w:rsidRDefault="00A9721F">
      <w:pPr>
        <w:pStyle w:val="Heading3"/>
      </w:pPr>
      <w:bookmarkStart w:id="2010" w:name="section_cea49501521c41829539fb0d19c8c732"/>
      <w:bookmarkStart w:id="2011" w:name="_Toc181684031"/>
      <w:r>
        <w:t>Part 1 Section 18.17.7.213, MINA</w:t>
      </w:r>
      <w:bookmarkEnd w:id="2010"/>
      <w:bookmarkEnd w:id="2011"/>
      <w:r>
        <w:fldChar w:fldCharType="begin"/>
      </w:r>
      <w:r>
        <w:instrText xml:space="preserve"> XE "MINA" </w:instrText>
      </w:r>
      <w:r>
        <w:fldChar w:fldCharType="end"/>
      </w:r>
    </w:p>
    <w:p w:rsidR="000A156F" w:rsidRDefault="00A9721F">
      <w:pPr>
        <w:pStyle w:val="Definition-Field"/>
      </w:pPr>
      <w:r>
        <w:t xml:space="preserve">a.   </w:t>
      </w:r>
      <w:r>
        <w:rPr>
          <w:i/>
        </w:rPr>
        <w:t xml:space="preserve">The standard states that the arguments in argument-list designate the values for which the largest value </w:t>
      </w:r>
      <w:r>
        <w:rPr>
          <w:i/>
        </w:rPr>
        <w:t>is to be computed.</w:t>
      </w:r>
    </w:p>
    <w:p w:rsidR="000A156F" w:rsidRDefault="00A9721F">
      <w:pPr>
        <w:pStyle w:val="Definition-Field2"/>
      </w:pPr>
      <w:r>
        <w:t>Office treats the arguments in argument-list to be the values for which the smallest value is to be computed.</w:t>
      </w:r>
    </w:p>
    <w:p w:rsidR="000A156F" w:rsidRDefault="00A9721F">
      <w:pPr>
        <w:pStyle w:val="Heading3"/>
      </w:pPr>
      <w:bookmarkStart w:id="2012" w:name="section_3ce4055731a94b8a8f0f38f73c07c844"/>
      <w:bookmarkStart w:id="2013" w:name="_Toc181684032"/>
      <w:r>
        <w:t>Part 1 Section 18.17.7.215, MINVERSE</w:t>
      </w:r>
      <w:bookmarkEnd w:id="2012"/>
      <w:bookmarkEnd w:id="2013"/>
      <w:r>
        <w:fldChar w:fldCharType="begin"/>
      </w:r>
      <w:r>
        <w:instrText xml:space="preserve"> XE "MINVERSE" </w:instrText>
      </w:r>
      <w:r>
        <w:fldChar w:fldCharType="end"/>
      </w:r>
    </w:p>
    <w:p w:rsidR="000A156F" w:rsidRDefault="00A9721F">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0A156F" w:rsidRDefault="00A9721F">
      <w:pPr>
        <w:pStyle w:val="Definition-Field2"/>
      </w:pPr>
      <w:r>
        <w:lastRenderedPageBreak/>
        <w:t>In Office, the inverse matrix is calculated with an accuracy of at least 15 digits, which can lead to a small numeric error.</w:t>
      </w:r>
    </w:p>
    <w:p w:rsidR="000A156F" w:rsidRDefault="00A9721F">
      <w:pPr>
        <w:pStyle w:val="Heading3"/>
      </w:pPr>
      <w:bookmarkStart w:id="2014" w:name="section_2cd7e0b4d9d1491c92c6c271203af29a"/>
      <w:bookmarkStart w:id="2015" w:name="_Toc181684033"/>
      <w:r>
        <w:t>Part 1 Section 18.17.7.222,</w:t>
      </w:r>
      <w:r>
        <w:t xml:space="preserve"> MULTINOMIAL</w:t>
      </w:r>
      <w:bookmarkEnd w:id="2014"/>
      <w:bookmarkEnd w:id="2015"/>
      <w:r>
        <w:fldChar w:fldCharType="begin"/>
      </w:r>
      <w:r>
        <w:instrText xml:space="preserve"> XE "MULTINOMIAL" </w:instrText>
      </w:r>
      <w:r>
        <w:fldChar w:fldCharType="end"/>
      </w:r>
    </w:p>
    <w:p w:rsidR="000A156F" w:rsidRDefault="00A9721F">
      <w:pPr>
        <w:pStyle w:val="Definition-Field"/>
      </w:pPr>
      <w:r>
        <w:t xml:space="preserve">a.   </w:t>
      </w:r>
      <w:r>
        <w:rPr>
          <w:i/>
        </w:rPr>
        <w:t>The standard defines MULTINOMIAL as a function of a,b,c.</w:t>
      </w:r>
    </w:p>
    <w:p w:rsidR="000A156F" w:rsidRDefault="00A9721F">
      <w:pPr>
        <w:pStyle w:val="Definition-Field2"/>
      </w:pPr>
      <w:r>
        <w:t>Office treats MULTINOMIAL as a function of a1, a2,...,an, where a1 maps to arg-1, a2 to arg-2,...,an to arg-n.</w:t>
      </w:r>
    </w:p>
    <w:p w:rsidR="000A156F" w:rsidRDefault="00A9721F">
      <w:pPr>
        <w:pStyle w:val="Heading3"/>
      </w:pPr>
      <w:bookmarkStart w:id="2016" w:name="section_9fe99a43b15e40eea2cc9318cb945451"/>
      <w:bookmarkStart w:id="2017" w:name="_Toc181684034"/>
      <w:r>
        <w:t>Part 1 Section 18.17.7.223, N</w:t>
      </w:r>
      <w:bookmarkEnd w:id="2016"/>
      <w:bookmarkEnd w:id="2017"/>
      <w:r>
        <w:fldChar w:fldCharType="begin"/>
      </w:r>
      <w:r>
        <w:instrText xml:space="preserve"> XE "N" </w:instrText>
      </w:r>
      <w:r>
        <w:fldChar w:fldCharType="end"/>
      </w:r>
    </w:p>
    <w:p w:rsidR="000A156F" w:rsidRDefault="00A9721F">
      <w:pPr>
        <w:pStyle w:val="Definition-Field"/>
      </w:pPr>
      <w:r>
        <w:t xml:space="preserve">a.   </w:t>
      </w:r>
      <w:r>
        <w:rPr>
          <w:i/>
        </w:rPr>
        <w:t>The s</w:t>
      </w:r>
      <w:r>
        <w:rPr>
          <w:i/>
        </w:rPr>
        <w:t>tandard states that if argument value is anything else (including array and text), the function will return 0.</w:t>
      </w:r>
    </w:p>
    <w:p w:rsidR="000A156F" w:rsidRDefault="00A9721F">
      <w:pPr>
        <w:pStyle w:val="Definition-Field2"/>
      </w:pPr>
      <w:r>
        <w:t>Office does not treat array as a special case: the function will return 0 if argument value is anything else (including text).</w:t>
      </w:r>
    </w:p>
    <w:p w:rsidR="000A156F" w:rsidRDefault="00A9721F">
      <w:pPr>
        <w:pStyle w:val="Heading3"/>
      </w:pPr>
      <w:bookmarkStart w:id="2018" w:name="section_7302498fd72c4dbe9bc66a0bac98cca4"/>
      <w:bookmarkStart w:id="2019" w:name="_Toc181684035"/>
      <w:r>
        <w:t>Part 1 Section 18.</w:t>
      </w:r>
      <w:r>
        <w:t>17.7.225, NEGBINOMDIST</w:t>
      </w:r>
      <w:bookmarkEnd w:id="2018"/>
      <w:bookmarkEnd w:id="2019"/>
      <w:r>
        <w:fldChar w:fldCharType="begin"/>
      </w:r>
      <w:r>
        <w:instrText xml:space="preserve"> XE "NEGBINOMDIST" </w:instrText>
      </w:r>
      <w:r>
        <w:fldChar w:fldCharType="end"/>
      </w:r>
    </w:p>
    <w:p w:rsidR="000A156F" w:rsidRDefault="00A9721F">
      <w:pPr>
        <w:pStyle w:val="Definition-Field"/>
      </w:pPr>
      <w:r>
        <w:t xml:space="preserve">a.   </w:t>
      </w:r>
      <w:r>
        <w:rPr>
          <w:i/>
        </w:rPr>
        <w:t>The standard states if success-probability is &lt; 0 or &gt; 1, #NUM! is returned.</w:t>
      </w:r>
    </w:p>
    <w:p w:rsidR="000A156F" w:rsidRDefault="00A9721F">
      <w:pPr>
        <w:pStyle w:val="Definition-Field2"/>
      </w:pPr>
      <w:r>
        <w:t>Office returns #NUM!, if success-probability is &lt;= 0 or &gt;=1.</w:t>
      </w:r>
    </w:p>
    <w:p w:rsidR="000A156F" w:rsidRDefault="00A9721F">
      <w:pPr>
        <w:pStyle w:val="Heading3"/>
      </w:pPr>
      <w:bookmarkStart w:id="2020" w:name="section_214494b323134c20bbcba4bc9768aaf7"/>
      <w:bookmarkStart w:id="2021" w:name="_Toc181684036"/>
      <w:r>
        <w:t>Part 1 Section 18.17.7.226, NETWORKDAYS</w:t>
      </w:r>
      <w:bookmarkEnd w:id="2020"/>
      <w:bookmarkEnd w:id="2021"/>
      <w:r>
        <w:fldChar w:fldCharType="begin"/>
      </w:r>
      <w:r>
        <w:instrText xml:space="preserve"> XE "NETWORKDAYS" </w:instrText>
      </w:r>
      <w:r>
        <w:fldChar w:fldCharType="end"/>
      </w:r>
    </w:p>
    <w:p w:rsidR="000A156F" w:rsidRDefault="00A9721F">
      <w:pPr>
        <w:pStyle w:val="Definition-Field"/>
      </w:pPr>
      <w:r>
        <w:t xml:space="preserve">a.   </w:t>
      </w:r>
      <w:r>
        <w:rPr>
          <w:i/>
        </w:rPr>
        <w:t xml:space="preserve">The </w:t>
      </w:r>
      <w:r>
        <w:rPr>
          <w:i/>
        </w:rPr>
        <w:t>standard states that the function computes the number of whole working days between start-date and end-date.</w:t>
      </w:r>
    </w:p>
    <w:p w:rsidR="000A156F" w:rsidRDefault="00A9721F">
      <w:pPr>
        <w:pStyle w:val="Definition-Field2"/>
      </w:pPr>
      <w:r>
        <w:t>Office computes the number of whole working days between start-date and end-date, inclusive.</w:t>
      </w:r>
    </w:p>
    <w:p w:rsidR="000A156F" w:rsidRDefault="00A9721F">
      <w:pPr>
        <w:pStyle w:val="Definition-Field"/>
      </w:pPr>
      <w:r>
        <w:t xml:space="preserve">b.   </w:t>
      </w:r>
      <w:r>
        <w:rPr>
          <w:i/>
        </w:rPr>
        <w:t>The standard states that the function returns the</w:t>
      </w:r>
      <w:r>
        <w:rPr>
          <w:i/>
        </w:rPr>
        <w:t xml:space="preserve"> number of whole working days between start-date and end-date.</w:t>
      </w:r>
    </w:p>
    <w:p w:rsidR="000A156F" w:rsidRDefault="00A9721F">
      <w:pPr>
        <w:pStyle w:val="Definition-Field2"/>
      </w:pPr>
      <w:r>
        <w:t>In Office, time information in the date arguments is ignored when computing the number of whole working days between start-date and end-date.</w:t>
      </w:r>
    </w:p>
    <w:p w:rsidR="000A156F" w:rsidRDefault="00A9721F">
      <w:pPr>
        <w:pStyle w:val="Definition-Field"/>
      </w:pPr>
      <w:r>
        <w:t xml:space="preserve">c.   </w:t>
      </w:r>
      <w:r>
        <w:rPr>
          <w:i/>
        </w:rPr>
        <w:t xml:space="preserve">The standard states that weekend days are not </w:t>
      </w:r>
      <w:r>
        <w:rPr>
          <w:i/>
        </w:rPr>
        <w:t>considered as working days.</w:t>
      </w:r>
    </w:p>
    <w:p w:rsidR="000A156F" w:rsidRDefault="00A9721F">
      <w:pPr>
        <w:pStyle w:val="Definition-Field2"/>
      </w:pPr>
      <w:r>
        <w:t>Office treats Saturday and Sunday as weekend days.</w:t>
      </w:r>
    </w:p>
    <w:p w:rsidR="000A156F" w:rsidRDefault="00A9721F">
      <w:pPr>
        <w:pStyle w:val="Heading3"/>
      </w:pPr>
      <w:bookmarkStart w:id="2022" w:name="section_0b65cfbebb2849b898f831a78913406f"/>
      <w:bookmarkStart w:id="2023" w:name="_Toc181684037"/>
      <w:r>
        <w:t>Part 1 Section 18.17.7.230, NORMINV</w:t>
      </w:r>
      <w:bookmarkEnd w:id="2022"/>
      <w:bookmarkEnd w:id="2023"/>
      <w:r>
        <w:fldChar w:fldCharType="begin"/>
      </w:r>
      <w:r>
        <w:instrText xml:space="preserve"> XE "NORMINV" </w:instrText>
      </w:r>
      <w:r>
        <w:fldChar w:fldCharType="end"/>
      </w:r>
    </w:p>
    <w:p w:rsidR="000A156F" w:rsidRDefault="00A9721F">
      <w:pPr>
        <w:pStyle w:val="Definition-Field"/>
      </w:pPr>
      <w:r>
        <w:t xml:space="preserve">a.   </w:t>
      </w:r>
      <w:r>
        <w:rPr>
          <w:i/>
        </w:rPr>
        <w:t>The standard states that the function uses an iterative search technique.</w:t>
      </w:r>
    </w:p>
    <w:p w:rsidR="000A156F" w:rsidRDefault="00A9721F">
      <w:pPr>
        <w:pStyle w:val="Definition-Field2"/>
      </w:pPr>
      <w:r>
        <w:t xml:space="preserve">Office does not require an iterative search </w:t>
      </w:r>
      <w:r>
        <w:t>technique to be used.</w:t>
      </w:r>
    </w:p>
    <w:p w:rsidR="000A156F" w:rsidRDefault="00A9721F">
      <w:pPr>
        <w:pStyle w:val="Definition-Field"/>
      </w:pPr>
      <w:r>
        <w:t xml:space="preserve">b.   </w:t>
      </w:r>
      <w:r>
        <w:rPr>
          <w:i/>
        </w:rPr>
        <w:t>The standard states if probability &lt; 0 or probability &gt; 1, #NUM! is returned.</w:t>
      </w:r>
    </w:p>
    <w:p w:rsidR="000A156F" w:rsidRDefault="00A9721F">
      <w:pPr>
        <w:pStyle w:val="Definition-Field2"/>
      </w:pPr>
      <w:r>
        <w:t>Office returns #NUM! if probability is &lt;= 0 or if probability is &gt;= 1.</w:t>
      </w:r>
    </w:p>
    <w:p w:rsidR="000A156F" w:rsidRDefault="00A9721F">
      <w:pPr>
        <w:pStyle w:val="Heading3"/>
      </w:pPr>
      <w:bookmarkStart w:id="2024" w:name="section_7af45ac4859542ccb71393fe1446217d"/>
      <w:bookmarkStart w:id="2025" w:name="_Toc181684038"/>
      <w:r>
        <w:t>Part 1 Section 18.17.7.231, NORMSDIST</w:t>
      </w:r>
      <w:bookmarkEnd w:id="2024"/>
      <w:bookmarkEnd w:id="2025"/>
      <w:r>
        <w:fldChar w:fldCharType="begin"/>
      </w:r>
      <w:r>
        <w:instrText xml:space="preserve"> XE "NORMSDIST" </w:instrText>
      </w:r>
      <w:r>
        <w:fldChar w:fldCharType="end"/>
      </w:r>
    </w:p>
    <w:p w:rsidR="000A156F" w:rsidRDefault="00A9721F">
      <w:pPr>
        <w:pStyle w:val="Definition-Field"/>
      </w:pPr>
      <w:r>
        <w:t xml:space="preserve">a.   </w:t>
      </w:r>
      <w:r>
        <w:rPr>
          <w:i/>
        </w:rPr>
        <w:t>The standard states</w:t>
      </w:r>
      <w:r>
        <w:rPr>
          <w:i/>
        </w:rPr>
        <w:t xml:space="preserve"> that the function returns the standard normal distribution for the specified mean and standard deviation.</w:t>
      </w:r>
    </w:p>
    <w:p w:rsidR="000A156F" w:rsidRDefault="00A9721F">
      <w:pPr>
        <w:pStyle w:val="Definition-Field2"/>
      </w:pPr>
      <w:r>
        <w:t>Office returns the cumulative standard normal distribution for the specified value.</w:t>
      </w:r>
    </w:p>
    <w:p w:rsidR="000A156F" w:rsidRDefault="00A9721F">
      <w:pPr>
        <w:pStyle w:val="Definition-Field"/>
      </w:pPr>
      <w:r>
        <w:lastRenderedPageBreak/>
        <w:t xml:space="preserve">b.   </w:t>
      </w:r>
      <w:r>
        <w:rPr>
          <w:i/>
        </w:rPr>
        <w:t>The standard states that the mathematical formula for the fu</w:t>
      </w:r>
      <w:r>
        <w:rPr>
          <w:i/>
        </w:rPr>
        <w:t>nction is: f(z)= (1/√2π) e^(-z^2/2).</w:t>
      </w:r>
    </w:p>
    <w:p w:rsidR="000A156F" w:rsidRDefault="00A9721F">
      <w:r>
        <w:t>In Excel, the NORMSDIST function is described by the following mathematical formula:</w:t>
      </w:r>
    </w:p>
    <w:p w:rsidR="000A156F" w:rsidRDefault="00A9721F">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54"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0A156F" w:rsidRDefault="00A9721F">
      <w:pPr>
        <w:pStyle w:val="Definition-Field"/>
      </w:pPr>
      <w:r>
        <w:t xml:space="preserve">c.   </w:t>
      </w:r>
      <w:r>
        <w:rPr>
          <w:i/>
        </w:rPr>
        <w:t>The standard states that the return value is the standard normal distribution for the specified mean and standard deviation.</w:t>
      </w:r>
    </w:p>
    <w:p w:rsidR="000A156F" w:rsidRDefault="00A9721F">
      <w:pPr>
        <w:pStyle w:val="Definition-Field2"/>
      </w:pPr>
      <w:r>
        <w:t>Of</w:t>
      </w:r>
      <w:r>
        <w:t>fice returns the cumulative standard normal distribution.</w:t>
      </w:r>
    </w:p>
    <w:p w:rsidR="000A156F" w:rsidRDefault="00A9721F">
      <w:pPr>
        <w:pStyle w:val="Heading3"/>
      </w:pPr>
      <w:bookmarkStart w:id="2026" w:name="section_22c8b401b1dc4d3d936df76298dd2c0d"/>
      <w:bookmarkStart w:id="2027" w:name="_Toc181684039"/>
      <w:r>
        <w:t>Part 1 Section 18.17.7.232, NORMSINV</w:t>
      </w:r>
      <w:bookmarkEnd w:id="2026"/>
      <w:bookmarkEnd w:id="2027"/>
      <w:r>
        <w:fldChar w:fldCharType="begin"/>
      </w:r>
      <w:r>
        <w:instrText xml:space="preserve"> XE "NORMSINV" </w:instrText>
      </w:r>
      <w:r>
        <w:fldChar w:fldCharType="end"/>
      </w:r>
    </w:p>
    <w:p w:rsidR="000A156F" w:rsidRDefault="00A9721F">
      <w:pPr>
        <w:pStyle w:val="Definition-Field"/>
      </w:pPr>
      <w:r>
        <w:t xml:space="preserve">a.   </w:t>
      </w:r>
      <w:r>
        <w:rPr>
          <w:i/>
        </w:rPr>
        <w:t>The standard states that the function uses an iterative search technique.</w:t>
      </w:r>
    </w:p>
    <w:p w:rsidR="000A156F" w:rsidRDefault="00A9721F">
      <w:pPr>
        <w:pStyle w:val="Definition-Field2"/>
      </w:pPr>
      <w:r>
        <w:t>Office does not require an iterative search technique to be used.</w:t>
      </w:r>
    </w:p>
    <w:p w:rsidR="000A156F" w:rsidRDefault="00A9721F">
      <w:pPr>
        <w:pStyle w:val="Definition-Field"/>
      </w:pPr>
      <w:r>
        <w:t xml:space="preserve">b.   </w:t>
      </w:r>
      <w:r>
        <w:rPr>
          <w:i/>
        </w:rPr>
        <w:t>The standard states that the function returns the inverse of the standard normal distribution.</w:t>
      </w:r>
    </w:p>
    <w:p w:rsidR="000A156F" w:rsidRDefault="00A9721F">
      <w:pPr>
        <w:pStyle w:val="Definition-Field2"/>
      </w:pPr>
      <w:r>
        <w:t>In Office, the function returns the inverse of the standard normal cumulative distribution.</w:t>
      </w:r>
    </w:p>
    <w:p w:rsidR="000A156F" w:rsidRDefault="00A9721F">
      <w:pPr>
        <w:pStyle w:val="Definition-Field"/>
      </w:pPr>
      <w:r>
        <w:t xml:space="preserve">c.   </w:t>
      </w:r>
      <w:r>
        <w:rPr>
          <w:i/>
        </w:rPr>
        <w:t>The standard states that if probability &lt; 0 or if probabil</w:t>
      </w:r>
      <w:r>
        <w:rPr>
          <w:i/>
        </w:rPr>
        <w:t>ity &gt; 1, #NUM! is returned.</w:t>
      </w:r>
    </w:p>
    <w:p w:rsidR="000A156F" w:rsidRDefault="00A9721F">
      <w:pPr>
        <w:pStyle w:val="Definition-Field2"/>
      </w:pPr>
      <w:r>
        <w:t>Office returns #NUM! if probability ≤ 0 or if probability ≥ 1.</w:t>
      </w:r>
    </w:p>
    <w:p w:rsidR="000A156F" w:rsidRDefault="00A9721F">
      <w:pPr>
        <w:pStyle w:val="Heading3"/>
      </w:pPr>
      <w:bookmarkStart w:id="2028" w:name="section_822f4b9fbb6749abb48bdf59acf1a21f"/>
      <w:bookmarkStart w:id="2029" w:name="_Toc181684040"/>
      <w:r>
        <w:t>Part 1 Section 18.17.7.235, NPER</w:t>
      </w:r>
      <w:bookmarkEnd w:id="2028"/>
      <w:bookmarkEnd w:id="2029"/>
      <w:r>
        <w:fldChar w:fldCharType="begin"/>
      </w:r>
      <w:r>
        <w:instrText xml:space="preserve"> XE "NPER" </w:instrText>
      </w:r>
      <w:r>
        <w:fldChar w:fldCharType="end"/>
      </w:r>
    </w:p>
    <w:p w:rsidR="000A156F" w:rsidRDefault="00A9721F">
      <w:pPr>
        <w:pStyle w:val="Definition-Field"/>
      </w:pPr>
      <w:r>
        <w:t xml:space="preserve">a.   </w:t>
      </w:r>
      <w:r>
        <w:rPr>
          <w:i/>
        </w:rPr>
        <w:t>The standard states if type is any number other than 0 or 1, #NUM! is returned.</w:t>
      </w:r>
    </w:p>
    <w:p w:rsidR="000A156F" w:rsidRDefault="00A9721F">
      <w:pPr>
        <w:pStyle w:val="Definition-Field2"/>
      </w:pPr>
      <w:r>
        <w:t>Office treats nonzero values of ty</w:t>
      </w:r>
      <w:r>
        <w:t>pe to indicate payment is at the beginning of the period.</w:t>
      </w:r>
    </w:p>
    <w:p w:rsidR="000A156F" w:rsidRDefault="00A9721F">
      <w:pPr>
        <w:pStyle w:val="Definition-Field"/>
      </w:pPr>
      <w:r>
        <w:t xml:space="preserve">b.   </w:t>
      </w:r>
      <w:r>
        <w:rPr>
          <w:i/>
        </w:rPr>
        <w:t>The standard does not specify a default for the optional argument type.</w:t>
      </w:r>
    </w:p>
    <w:p w:rsidR="000A156F" w:rsidRDefault="00A9721F">
      <w:pPr>
        <w:pStyle w:val="Definition-Field2"/>
      </w:pPr>
      <w:r>
        <w:t>In Office, if the value for type is omitted it defaults to value of 0.</w:t>
      </w:r>
    </w:p>
    <w:p w:rsidR="000A156F" w:rsidRDefault="00A9721F">
      <w:pPr>
        <w:pStyle w:val="Definition-Field"/>
      </w:pPr>
      <w:r>
        <w:t xml:space="preserve">c.   </w:t>
      </w:r>
      <w:r>
        <w:rPr>
          <w:i/>
        </w:rPr>
        <w:t>The standard states that the argument type is</w:t>
      </w:r>
      <w:r>
        <w:rPr>
          <w:i/>
        </w:rPr>
        <w:t xml:space="preserve"> truncated to an integer.</w:t>
      </w:r>
    </w:p>
    <w:p w:rsidR="000A156F" w:rsidRDefault="00A9721F">
      <w:pPr>
        <w:pStyle w:val="Definition-Field2"/>
      </w:pPr>
      <w:r>
        <w:t>Office does not truncate the argument type to an integer.</w:t>
      </w:r>
    </w:p>
    <w:p w:rsidR="000A156F" w:rsidRDefault="00A9721F">
      <w:pPr>
        <w:pStyle w:val="Heading3"/>
      </w:pPr>
      <w:bookmarkStart w:id="2030" w:name="section_989b9d25033d4717b74760218531c618"/>
      <w:bookmarkStart w:id="2031" w:name="_Toc181684041"/>
      <w:r>
        <w:t>Part 1 Section 18.17.7.236, NPV</w:t>
      </w:r>
      <w:bookmarkEnd w:id="2030"/>
      <w:bookmarkEnd w:id="2031"/>
      <w:r>
        <w:fldChar w:fldCharType="begin"/>
      </w:r>
      <w:r>
        <w:instrText xml:space="preserve"> XE "NPV" </w:instrText>
      </w:r>
      <w:r>
        <w:fldChar w:fldCharType="end"/>
      </w:r>
    </w:p>
    <w:p w:rsidR="000A156F" w:rsidRDefault="00A9721F">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0A156F" w:rsidRDefault="00A9721F">
      <w:pPr>
        <w:pStyle w:val="Definition-Field2"/>
      </w:pPr>
      <w:r>
        <w:t>In Office, arguments that are numbers or text that can be translated into numbers are included. arguments that are empty cells, logical values, or text th</w:t>
      </w:r>
      <w:r>
        <w:t>at cannot be translated into numbers are ignored.</w:t>
      </w:r>
    </w:p>
    <w:p w:rsidR="000A156F" w:rsidRDefault="00A9721F">
      <w:pPr>
        <w:pStyle w:val="Heading3"/>
      </w:pPr>
      <w:bookmarkStart w:id="2032" w:name="section_9c8802df529e465d8a0faa139394890e"/>
      <w:bookmarkStart w:id="2033" w:name="_Toc181684042"/>
      <w:r>
        <w:t>Part 1 Section 18.17.7.237, OCT2BIN</w:t>
      </w:r>
      <w:bookmarkEnd w:id="2032"/>
      <w:bookmarkEnd w:id="2033"/>
      <w:r>
        <w:fldChar w:fldCharType="begin"/>
      </w:r>
      <w:r>
        <w:instrText xml:space="preserve"> XE "OCT2BIN" </w:instrText>
      </w:r>
      <w:r>
        <w:fldChar w:fldCharType="end"/>
      </w:r>
    </w:p>
    <w:p w:rsidR="000A156F" w:rsidRDefault="00A9721F">
      <w:pPr>
        <w:pStyle w:val="Definition-Field"/>
      </w:pPr>
      <w:r>
        <w:t xml:space="preserve">a.   </w:t>
      </w:r>
      <w:r>
        <w:rPr>
          <w:i/>
        </w:rPr>
        <w:t>The standard states that if number is negative, num-bin-digits is ignored and the result has 10 digits.</w:t>
      </w:r>
    </w:p>
    <w:p w:rsidR="000A156F" w:rsidRDefault="00A9721F">
      <w:pPr>
        <w:pStyle w:val="Definition-Field2"/>
      </w:pPr>
      <w:r>
        <w:t>Office does not ignore num-bin-digits when th</w:t>
      </w:r>
      <w:r>
        <w:t>e number is negative.</w:t>
      </w:r>
    </w:p>
    <w:p w:rsidR="000A156F" w:rsidRDefault="00A9721F">
      <w:pPr>
        <w:pStyle w:val="Heading3"/>
      </w:pPr>
      <w:bookmarkStart w:id="2034" w:name="section_567697347d764b0fbaf497c735d5d7df"/>
      <w:bookmarkStart w:id="2035" w:name="_Toc181684043"/>
      <w:r>
        <w:lastRenderedPageBreak/>
        <w:t>Part 1 Section 18.17.7.238, OCT2DEC</w:t>
      </w:r>
      <w:bookmarkEnd w:id="2034"/>
      <w:bookmarkEnd w:id="2035"/>
      <w:r>
        <w:fldChar w:fldCharType="begin"/>
      </w:r>
      <w:r>
        <w:instrText xml:space="preserve"> XE "OCT2DEC" </w:instrText>
      </w:r>
      <w:r>
        <w:fldChar w:fldCharType="end"/>
      </w:r>
    </w:p>
    <w:p w:rsidR="000A156F" w:rsidRDefault="00A9721F">
      <w:pPr>
        <w:pStyle w:val="Definition-Field"/>
      </w:pPr>
      <w:r>
        <w:t xml:space="preserve">a.   </w:t>
      </w:r>
      <w:r>
        <w:rPr>
          <w:i/>
        </w:rPr>
        <w:t>The standard states that argument number is of type number.</w:t>
      </w:r>
    </w:p>
    <w:p w:rsidR="000A156F" w:rsidRDefault="00A9721F">
      <w:pPr>
        <w:pStyle w:val="Definition-Field2"/>
      </w:pPr>
      <w:r>
        <w:t>Office treats argument number as type text.</w:t>
      </w:r>
    </w:p>
    <w:p w:rsidR="000A156F" w:rsidRDefault="00A9721F">
      <w:pPr>
        <w:pStyle w:val="Heading3"/>
      </w:pPr>
      <w:bookmarkStart w:id="2036" w:name="section_30c159a8b7a04a6080f800e0bef2d1db"/>
      <w:bookmarkStart w:id="2037" w:name="_Toc181684044"/>
      <w:r>
        <w:t>Part 1 Section 18.17.7.241, ODDFPRICE</w:t>
      </w:r>
      <w:bookmarkEnd w:id="2036"/>
      <w:bookmarkEnd w:id="2037"/>
      <w:r>
        <w:fldChar w:fldCharType="begin"/>
      </w:r>
      <w:r>
        <w:instrText xml:space="preserve"> XE "ODDFPRICE" </w:instrText>
      </w:r>
      <w:r>
        <w:fldChar w:fldCharType="end"/>
      </w:r>
    </w:p>
    <w:p w:rsidR="000A156F" w:rsidRDefault="00A9721F">
      <w:pPr>
        <w:pStyle w:val="Definition-Field"/>
      </w:pPr>
      <w:r>
        <w:t xml:space="preserve">a.   </w:t>
      </w:r>
      <w:r>
        <w:rPr>
          <w:i/>
        </w:rPr>
        <w:t>The standard</w:t>
      </w:r>
      <w:r>
        <w:rPr>
          <w:i/>
        </w:rPr>
        <w:t xml:space="preserve">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w:t>
            </w:r>
            <w:r>
              <w:t>ifference of days is 0. Assumes that each month has 30 days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w:t>
            </w:r>
            <w:r>
              <w:t xml:space="preserve"> 30</w:t>
            </w:r>
          </w:p>
          <w:p w:rsidR="000A156F" w:rsidRDefault="00A9721F">
            <w:pPr>
              <w:pStyle w:val="TableBodyText"/>
            </w:pPr>
            <w:r>
              <w:t>Otherwise, if date1’s day-of-month is 30 and date2’s day-of-month is 31, date2’s day-of-month is changed to 30 (note that date2’s day-of-month will stay 31 if date1’s day &lt; 30)</w:t>
            </w:r>
          </w:p>
          <w:p w:rsidR="000A156F" w:rsidRDefault="00A9721F">
            <w:pPr>
              <w:pStyle w:val="TableBodyText"/>
            </w:pPr>
            <w:r>
              <w:t>Otherwise, if both dates are the last day of February in their respective y</w:t>
            </w:r>
            <w:r>
              <w:t>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w:t>
            </w:r>
            <w:r>
              <w:t>ermine if date1 and date2 are “less than or equal to a year apart” for purposes of this algorithm, one of these conditions must be true:</w:t>
            </w:r>
          </w:p>
          <w:p w:rsidR="000A156F" w:rsidRDefault="00A9721F">
            <w:pPr>
              <w:pStyle w:val="ListParagraph"/>
              <w:numPr>
                <w:ilvl w:val="0"/>
                <w:numId w:val="100"/>
              </w:numPr>
            </w:pPr>
            <w:r>
              <w:t>The two dates have the same year</w:t>
            </w:r>
          </w:p>
          <w:p w:rsidR="000A156F" w:rsidRDefault="00A9721F">
            <w:pPr>
              <w:pStyle w:val="ListParagraph"/>
              <w:numPr>
                <w:ilvl w:val="0"/>
                <w:numId w:val="101"/>
              </w:numPr>
            </w:pPr>
            <w:r>
              <w:t>Date2’s year is exactly one more than date1’s year, and ((date1.month &gt; date2.month) o</w:t>
            </w:r>
            <w:r>
              <w:t>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difference in days, and presumes there are always 365 </w:t>
            </w:r>
            <w:r>
              <w:t>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states that the function is specific to U.S. currency.</w:t>
      </w:r>
    </w:p>
    <w:p w:rsidR="000A156F" w:rsidRDefault="00A9721F">
      <w:pPr>
        <w:pStyle w:val="Definition-Field2"/>
      </w:pPr>
      <w:r>
        <w:t xml:space="preserve">Office does not require the function to be specific to any </w:t>
      </w:r>
      <w:r>
        <w:t>currency.</w:t>
      </w:r>
    </w:p>
    <w:p w:rsidR="000A156F" w:rsidRDefault="00A9721F">
      <w:pPr>
        <w:pStyle w:val="Definition-Field"/>
      </w:pPr>
      <w:r>
        <w:t xml:space="preserve">c.   </w:t>
      </w:r>
      <w:r>
        <w:rPr>
          <w:i/>
        </w:rPr>
        <w:t>The standard indicates no restriction on the argument redemption.</w:t>
      </w:r>
    </w:p>
    <w:p w:rsidR="000A156F" w:rsidRDefault="00A9721F">
      <w:pPr>
        <w:pStyle w:val="Definition-Field2"/>
      </w:pPr>
      <w:r>
        <w:t>Office returns #NUM! if argument redemption &lt;= 0.</w:t>
      </w:r>
    </w:p>
    <w:p w:rsidR="000A156F" w:rsidRDefault="00A9721F">
      <w:pPr>
        <w:pStyle w:val="Heading3"/>
      </w:pPr>
      <w:bookmarkStart w:id="2038" w:name="section_61a69b8c4bdc4a5db748206b84c5013b"/>
      <w:bookmarkStart w:id="2039" w:name="_Toc181684045"/>
      <w:r>
        <w:lastRenderedPageBreak/>
        <w:t>Part 1 Section 18.17.7.242, ODDFYIELD</w:t>
      </w:r>
      <w:bookmarkEnd w:id="2038"/>
      <w:bookmarkEnd w:id="2039"/>
      <w:r>
        <w:fldChar w:fldCharType="begin"/>
      </w:r>
      <w:r>
        <w:instrText xml:space="preserve"> XE "ODDFYIELD" </w:instrText>
      </w:r>
      <w:r>
        <w:fldChar w:fldCharType="end"/>
      </w:r>
    </w:p>
    <w:p w:rsidR="000A156F" w:rsidRDefault="00A9721F">
      <w:pPr>
        <w:pStyle w:val="Definition-Field"/>
      </w:pPr>
      <w:r>
        <w:t xml:space="preserve">a.   </w:t>
      </w:r>
      <w:r>
        <w:rPr>
          <w:i/>
        </w:rPr>
        <w:t xml:space="preserve">The standard does not specify day and month adjustments for the </w:t>
      </w:r>
      <w:r>
        <w:rPr>
          <w:i/>
        </w:rPr>
        <w:t>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 xml:space="preserve">US (NASD) 30/360. If the dates are equal, the difference of days is 0. Assumes that each month has </w:t>
            </w:r>
            <w:r>
              <w:t>30 days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w:t>
            </w:r>
            <w:r>
              <w:t>e2’s day-of-month is 31, date2’s day-of-month is changed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 xml:space="preserve">Otherwise, </w:t>
            </w:r>
            <w:r>
              <w:t>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w:t>
            </w:r>
            <w:r>
              <w:t>ermine if date1 and date2 are “less than or equal to a year apart” for purposes of this algorithm, one of these conditions must be true:</w:t>
            </w:r>
          </w:p>
          <w:p w:rsidR="000A156F" w:rsidRDefault="00A9721F">
            <w:pPr>
              <w:pStyle w:val="ListParagraph"/>
              <w:numPr>
                <w:ilvl w:val="0"/>
                <w:numId w:val="102"/>
              </w:numPr>
            </w:pPr>
            <w:r>
              <w:t>The two dates have the same year</w:t>
            </w:r>
          </w:p>
          <w:p w:rsidR="000A156F" w:rsidRDefault="00A9721F">
            <w:pPr>
              <w:pStyle w:val="ListParagraph"/>
              <w:numPr>
                <w:ilvl w:val="0"/>
                <w:numId w:val="103"/>
              </w:numPr>
            </w:pPr>
            <w:r>
              <w:t>Date2’s year is exactly one more than date1’s year, and ((date1.month &gt; date2.month) o</w:t>
            </w:r>
            <w:r>
              <w:t>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difference in days, and presumes there are always 365 </w:t>
            </w:r>
            <w:r>
              <w:t>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states the function is specific to U.S. currency.</w:t>
      </w:r>
    </w:p>
    <w:p w:rsidR="000A156F" w:rsidRDefault="00A9721F">
      <w:pPr>
        <w:pStyle w:val="Definition-Field2"/>
      </w:pPr>
      <w:r>
        <w:t>In Excel, the function is not specific to any currency.</w:t>
      </w:r>
    </w:p>
    <w:p w:rsidR="000A156F" w:rsidRDefault="00A9721F">
      <w:pPr>
        <w:pStyle w:val="Definition-Field"/>
      </w:pPr>
      <w:r>
        <w:t xml:space="preserve">c.   </w:t>
      </w:r>
      <w:r>
        <w:rPr>
          <w:i/>
        </w:rPr>
        <w:t xml:space="preserve">The </w:t>
      </w:r>
      <w:r>
        <w:rPr>
          <w:i/>
        </w:rPr>
        <w:t>standard states that if rate or pr &lt; 0, #NUM! is returned.</w:t>
      </w:r>
    </w:p>
    <w:p w:rsidR="000A156F" w:rsidRDefault="00A9721F">
      <w:pPr>
        <w:pStyle w:val="Definition-Field2"/>
      </w:pPr>
      <w:r>
        <w:t>Office returns #NUM! if rate &lt; 0 or pr &lt;= 0.</w:t>
      </w:r>
    </w:p>
    <w:p w:rsidR="000A156F" w:rsidRDefault="00A9721F">
      <w:pPr>
        <w:pStyle w:val="Heading3"/>
      </w:pPr>
      <w:bookmarkStart w:id="2040" w:name="section_d8ac59055dd14c3a8b540cc16b6f8c14"/>
      <w:bookmarkStart w:id="2041" w:name="_Toc181684046"/>
      <w:r>
        <w:t>Part 1 Section 18.17.7.243, ODDLPRICE</w:t>
      </w:r>
      <w:bookmarkEnd w:id="2040"/>
      <w:bookmarkEnd w:id="2041"/>
      <w:r>
        <w:fldChar w:fldCharType="begin"/>
      </w:r>
      <w:r>
        <w:instrText xml:space="preserve"> XE "ODDLPRICE"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In Excel, t</w:t>
      </w:r>
      <w:r>
        <w:t xml:space="preserve">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w:t>
            </w:r>
            <w:r>
              <w:t>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w:t>
            </w:r>
            <w:r>
              <w:t>te2’s day-of-month is changed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day of</w:t>
            </w:r>
            <w:r>
              <w:t xml:space="preserve">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 xml:space="preserve">To </w:t>
            </w:r>
            <w:r>
              <w:t>determine if date1 and date2 are “less than or equal to a year apart” for purposes of this algorithm, one of these conditions must be true:</w:t>
            </w:r>
          </w:p>
          <w:p w:rsidR="000A156F" w:rsidRDefault="00A9721F">
            <w:pPr>
              <w:pStyle w:val="ListParagraph"/>
              <w:numPr>
                <w:ilvl w:val="0"/>
                <w:numId w:val="104"/>
              </w:numPr>
            </w:pPr>
            <w:r>
              <w:t>The two dates have the same year</w:t>
            </w:r>
          </w:p>
          <w:p w:rsidR="000A156F" w:rsidRDefault="00A9721F">
            <w:pPr>
              <w:pStyle w:val="ListParagraph"/>
              <w:numPr>
                <w:ilvl w:val="0"/>
                <w:numId w:val="105"/>
              </w:numPr>
            </w:pPr>
            <w:r>
              <w:t>Date2’s year is exactly one more than date1’s year, and ((date1.month &gt; date2.month</w:t>
            </w:r>
            <w:r>
              <w:t>) or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 and presumes there are always 3</w:t>
            </w:r>
            <w:r>
              <w:t>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w:t>
            </w:r>
            <w:r>
              <w:t xml:space="preserve"> or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indicates that the function is specific to U.S. currency.</w:t>
      </w:r>
    </w:p>
    <w:p w:rsidR="000A156F" w:rsidRDefault="00A9721F">
      <w:pPr>
        <w:pStyle w:val="Definition-Field2"/>
      </w:pPr>
      <w:r>
        <w:t>Office does not require the function to be specific to</w:t>
      </w:r>
      <w:r>
        <w:t xml:space="preserve"> any currency.</w:t>
      </w:r>
    </w:p>
    <w:p w:rsidR="000A156F" w:rsidRDefault="00A9721F">
      <w:pPr>
        <w:pStyle w:val="Definition-Field"/>
      </w:pPr>
      <w:r>
        <w:t xml:space="preserve">c.   </w:t>
      </w:r>
      <w:r>
        <w:rPr>
          <w:i/>
        </w:rPr>
        <w:t>The standard indicates no restriction on the argument redemption.</w:t>
      </w:r>
    </w:p>
    <w:p w:rsidR="000A156F" w:rsidRDefault="00A9721F">
      <w:pPr>
        <w:pStyle w:val="Definition-Field2"/>
      </w:pPr>
      <w:r>
        <w:t>Office returns #NUM! ff the argument redemption &lt;= 0.</w:t>
      </w:r>
    </w:p>
    <w:p w:rsidR="000A156F" w:rsidRDefault="00A9721F">
      <w:pPr>
        <w:pStyle w:val="Heading3"/>
      </w:pPr>
      <w:bookmarkStart w:id="2042" w:name="section_3f0b46b39db74c8f9648c98178acff40"/>
      <w:bookmarkStart w:id="2043" w:name="_Toc181684047"/>
      <w:r>
        <w:t>Part 1 Section 18.17.7.244, ODDLYIELD</w:t>
      </w:r>
      <w:bookmarkEnd w:id="2042"/>
      <w:bookmarkEnd w:id="2043"/>
      <w:r>
        <w:fldChar w:fldCharType="begin"/>
      </w:r>
      <w:r>
        <w:instrText xml:space="preserve"> XE "ODDLYIELD" </w:instrText>
      </w:r>
      <w:r>
        <w:fldChar w:fldCharType="end"/>
      </w:r>
    </w:p>
    <w:p w:rsidR="000A156F" w:rsidRDefault="00A9721F">
      <w:pPr>
        <w:pStyle w:val="Definition-Field"/>
      </w:pPr>
      <w:r>
        <w:t xml:space="preserve">a.   </w:t>
      </w:r>
      <w:r>
        <w:rPr>
          <w:i/>
        </w:rPr>
        <w:t>The standard does not specify day and month adjustments</w:t>
      </w:r>
      <w:r>
        <w:rPr>
          <w:i/>
        </w:rPr>
        <w:t xml:space="preserve">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w:t>
            </w:r>
            <w:r>
              <w:t>onth has 30 days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lastRenderedPageBreak/>
              <w:t>Otherwise, if date1’s day-of-month is 3</w:t>
            </w:r>
            <w:r>
              <w:t>0 and date2’s day-of-month is 31, date2’s day-of-month is changed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w:t>
            </w:r>
            <w:r>
              <w: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lastRenderedPageBreak/>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w:t>
            </w:r>
            <w:r>
              <w:t>rs between the dates is the average number of days in the years between date1 and date2, inclusive. Otherwise, the days in the years between the dates is 365, except for these cases (where it is 366): the dates are in the same year and it is a leap-year, a</w:t>
            </w:r>
            <w:r>
              <w:t xml:space="preserve">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determine if date1 and date2 are “less than or equal to a year apart” for purposes of this algorithm, one of these conditions must be true:</w:t>
            </w:r>
          </w:p>
          <w:p w:rsidR="000A156F" w:rsidRDefault="00A9721F">
            <w:pPr>
              <w:pStyle w:val="ListParagraph"/>
              <w:numPr>
                <w:ilvl w:val="0"/>
                <w:numId w:val="106"/>
              </w:numPr>
            </w:pPr>
            <w:r>
              <w:t>The two dates have the same year</w:t>
            </w:r>
          </w:p>
          <w:p w:rsidR="000A156F" w:rsidRDefault="00A9721F">
            <w:pPr>
              <w:pStyle w:val="ListParagraph"/>
              <w:numPr>
                <w:ilvl w:val="0"/>
                <w:numId w:val="107"/>
              </w:numPr>
            </w:pPr>
            <w:r>
              <w:t>Date2’s year is exactly one more than date1’s year, and ((date1.month &gt; date2.month) or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indicates that the function i</w:t>
      </w:r>
      <w:r>
        <w:rPr>
          <w:i/>
        </w:rPr>
        <w:t>s specific to U.S. currency.</w:t>
      </w:r>
    </w:p>
    <w:p w:rsidR="000A156F" w:rsidRDefault="00A9721F">
      <w:pPr>
        <w:pStyle w:val="Definition-Field2"/>
      </w:pPr>
      <w:r>
        <w:t>Office does not require the function to be specific to any currency.</w:t>
      </w:r>
    </w:p>
    <w:p w:rsidR="000A156F" w:rsidRDefault="00A9721F">
      <w:pPr>
        <w:pStyle w:val="Definition-Field"/>
      </w:pPr>
      <w:r>
        <w:t xml:space="preserve">c.   </w:t>
      </w:r>
      <w:r>
        <w:rPr>
          <w:i/>
        </w:rPr>
        <w:t>The standard states that if rate or pr &lt; 0, #NUM! is returned.</w:t>
      </w:r>
    </w:p>
    <w:p w:rsidR="000A156F" w:rsidRDefault="00A9721F">
      <w:pPr>
        <w:pStyle w:val="Definition-Field2"/>
      </w:pPr>
      <w:r>
        <w:t>Office returns #NUM! if rate &lt; 0 or pr &lt;= 0.</w:t>
      </w:r>
    </w:p>
    <w:p w:rsidR="000A156F" w:rsidRDefault="00A9721F">
      <w:pPr>
        <w:pStyle w:val="Heading3"/>
      </w:pPr>
      <w:bookmarkStart w:id="2044" w:name="section_0ff7e6c2c09e403781452c21b7e55f9b"/>
      <w:bookmarkStart w:id="2045" w:name="_Toc181684048"/>
      <w:r>
        <w:t>Part 1 Section 18.17.7.245, OFFSET</w:t>
      </w:r>
      <w:bookmarkEnd w:id="2044"/>
      <w:bookmarkEnd w:id="2045"/>
      <w:r>
        <w:fldChar w:fldCharType="begin"/>
      </w:r>
      <w:r>
        <w:instrText xml:space="preserve"> XE "OFFSET" </w:instrText>
      </w:r>
      <w:r>
        <w:fldChar w:fldCharType="end"/>
      </w:r>
    </w:p>
    <w:p w:rsidR="000A156F" w:rsidRDefault="00A9721F">
      <w:pPr>
        <w:pStyle w:val="Definition-Field"/>
      </w:pPr>
      <w:r>
        <w:t xml:space="preserve">a.   </w:t>
      </w:r>
      <w:r>
        <w:rPr>
          <w:i/>
        </w:rPr>
        <w:t>The standard specifies that the height and width arguments shall be positive.</w:t>
      </w:r>
    </w:p>
    <w:p w:rsidR="000A156F" w:rsidRDefault="00A9721F">
      <w:pPr>
        <w:pStyle w:val="Definition-Field2"/>
      </w:pPr>
      <w:r>
        <w:t>Office allows the height and width arguments to be negative.</w:t>
      </w:r>
    </w:p>
    <w:p w:rsidR="000A156F" w:rsidRDefault="00A9721F">
      <w:pPr>
        <w:pStyle w:val="Heading3"/>
      </w:pPr>
      <w:bookmarkStart w:id="2046" w:name="section_1bef1e6aca8a4f4c9d452a4d84daf079"/>
      <w:bookmarkStart w:id="2047" w:name="_Toc181684049"/>
      <w:r>
        <w:t>Part 1 Section 18.17.7.247, PEARSON</w:t>
      </w:r>
      <w:bookmarkEnd w:id="2046"/>
      <w:bookmarkEnd w:id="2047"/>
      <w:r>
        <w:fldChar w:fldCharType="begin"/>
      </w:r>
      <w:r>
        <w:instrText xml:space="preserve"> XE "PEARSON" </w:instrText>
      </w:r>
      <w:r>
        <w:fldChar w:fldCharType="end"/>
      </w:r>
    </w:p>
    <w:p w:rsidR="000A156F" w:rsidRDefault="00A9721F">
      <w:pPr>
        <w:pStyle w:val="Definition-Field"/>
      </w:pPr>
      <w:r>
        <w:t xml:space="preserve">a.   </w:t>
      </w:r>
      <w:r>
        <w:rPr>
          <w:i/>
        </w:rPr>
        <w:t>The standard maps x and y to AVERAGE(ar</w:t>
      </w:r>
      <w:r>
        <w:rPr>
          <w:i/>
        </w:rPr>
        <w:t>ray-1) and AVERAGE(array-2), respectively.</w:t>
      </w:r>
    </w:p>
    <w:p w:rsidR="000A156F" w:rsidRDefault="00A9721F">
      <w:pPr>
        <w:pStyle w:val="Definition-Field2"/>
      </w:pPr>
      <w:r>
        <w:t>Office maps x to an individual value from array-1, x-bar to AVERAGE(array-1), y to an individual value from array-2, y-bar to AVERAGE(array-2).</w:t>
      </w:r>
    </w:p>
    <w:p w:rsidR="000A156F" w:rsidRDefault="00A9721F">
      <w:pPr>
        <w:pStyle w:val="Heading3"/>
      </w:pPr>
      <w:bookmarkStart w:id="2048" w:name="section_c7d5519620ea494ebc189f54df3eaca6"/>
      <w:bookmarkStart w:id="2049" w:name="_Toc181684050"/>
      <w:r>
        <w:t>Part 1 Section 18.17.7.248, PERCENTILE</w:t>
      </w:r>
      <w:bookmarkEnd w:id="2048"/>
      <w:bookmarkEnd w:id="2049"/>
      <w:r>
        <w:fldChar w:fldCharType="begin"/>
      </w:r>
      <w:r>
        <w:instrText xml:space="preserve"> XE "PERCENTILE" </w:instrText>
      </w:r>
      <w:r>
        <w:fldChar w:fldCharType="end"/>
      </w:r>
    </w:p>
    <w:p w:rsidR="000A156F" w:rsidRDefault="00A9721F">
      <w:pPr>
        <w:pStyle w:val="Definition-Field"/>
      </w:pPr>
      <w:r>
        <w:t xml:space="preserve">a.   </w:t>
      </w:r>
      <w:r>
        <w:rPr>
          <w:i/>
        </w:rPr>
        <w:t>The st</w:t>
      </w:r>
      <w:r>
        <w:rPr>
          <w:i/>
        </w:rPr>
        <w:t>andard indicated the return value is undefined if the array is empty.</w:t>
      </w:r>
    </w:p>
    <w:p w:rsidR="000A156F" w:rsidRDefault="00A9721F">
      <w:pPr>
        <w:pStyle w:val="Definition-Field2"/>
      </w:pPr>
      <w:r>
        <w:lastRenderedPageBreak/>
        <w:t>Office returns 0 if the array is empty.</w:t>
      </w:r>
    </w:p>
    <w:p w:rsidR="000A156F" w:rsidRDefault="00A9721F">
      <w:pPr>
        <w:pStyle w:val="Heading3"/>
      </w:pPr>
      <w:bookmarkStart w:id="2050" w:name="section_ee517e537e4049ca8431f184ad2cd716"/>
      <w:bookmarkStart w:id="2051" w:name="_Toc181684051"/>
      <w:r>
        <w:t>Part 1 Section 18.17.7.249, PERCENTRANK</w:t>
      </w:r>
      <w:bookmarkEnd w:id="2050"/>
      <w:bookmarkEnd w:id="2051"/>
      <w:r>
        <w:fldChar w:fldCharType="begin"/>
      </w:r>
      <w:r>
        <w:instrText xml:space="preserve"> XE "PERCENTRANK" </w:instrText>
      </w:r>
      <w:r>
        <w:fldChar w:fldCharType="end"/>
      </w:r>
    </w:p>
    <w:p w:rsidR="000A156F" w:rsidRDefault="00A9721F">
      <w:pPr>
        <w:pStyle w:val="Definition-Field"/>
      </w:pPr>
      <w:r>
        <w:t xml:space="preserve">a.   </w:t>
      </w:r>
      <w:r>
        <w:rPr>
          <w:i/>
        </w:rPr>
        <w:t>The standard defines significance argument as a number.</w:t>
      </w:r>
    </w:p>
    <w:p w:rsidR="000A156F" w:rsidRDefault="00A9721F">
      <w:pPr>
        <w:pStyle w:val="Definition-Field2"/>
      </w:pPr>
      <w:r>
        <w:t>Office truncates signific</w:t>
      </w:r>
      <w:r>
        <w:t>ance argument to an integer.</w:t>
      </w:r>
    </w:p>
    <w:p w:rsidR="000A156F" w:rsidRDefault="00A9721F">
      <w:pPr>
        <w:pStyle w:val="Definition-Field"/>
      </w:pPr>
      <w:r>
        <w:t xml:space="preserve">b.   </w:t>
      </w:r>
      <w:r>
        <w:rPr>
          <w:i/>
        </w:rPr>
        <w:t>The standard does not specify an upper limit on significance argument.</w:t>
      </w:r>
    </w:p>
    <w:p w:rsidR="000A156F" w:rsidRDefault="00A9721F">
      <w:pPr>
        <w:pStyle w:val="Definition-Field2"/>
      </w:pPr>
      <w:r>
        <w:t>Office returns #DIV/0! when the significance argument is greater than 308.</w:t>
      </w:r>
    </w:p>
    <w:p w:rsidR="000A156F" w:rsidRDefault="00A9721F">
      <w:pPr>
        <w:pStyle w:val="Heading3"/>
      </w:pPr>
      <w:bookmarkStart w:id="2052" w:name="section_77902b0ad44f4b40bf1fd73167a47f39"/>
      <w:bookmarkStart w:id="2053" w:name="_Toc181684052"/>
      <w:r>
        <w:t>Part 1 Section 18.17.7.253, PMT</w:t>
      </w:r>
      <w:bookmarkEnd w:id="2052"/>
      <w:bookmarkEnd w:id="2053"/>
      <w:r>
        <w:fldChar w:fldCharType="begin"/>
      </w:r>
      <w:r>
        <w:instrText xml:space="preserve"> XE "PMT" </w:instrText>
      </w:r>
      <w:r>
        <w:fldChar w:fldCharType="end"/>
      </w:r>
    </w:p>
    <w:p w:rsidR="000A156F" w:rsidRDefault="00A9721F">
      <w:pPr>
        <w:pStyle w:val="Definition-Field"/>
      </w:pPr>
      <w:r>
        <w:t xml:space="preserve">a.   </w:t>
      </w:r>
      <w:r>
        <w:rPr>
          <w:i/>
        </w:rPr>
        <w:t>The standard places no rest</w:t>
      </w:r>
      <w:r>
        <w:rPr>
          <w:i/>
        </w:rPr>
        <w:t>rictions on nper.</w:t>
      </w:r>
    </w:p>
    <w:p w:rsidR="000A156F" w:rsidRDefault="00A9721F">
      <w:pPr>
        <w:pStyle w:val="Definition-Field2"/>
      </w:pPr>
      <w:r>
        <w:t>In Excel, if nper is 0, then #DIV/0! is returned.</w:t>
      </w:r>
    </w:p>
    <w:p w:rsidR="000A156F" w:rsidRDefault="00A9721F">
      <w:pPr>
        <w:pStyle w:val="Definition-Field"/>
      </w:pPr>
      <w:r>
        <w:t xml:space="preserve">b.   </w:t>
      </w:r>
      <w:r>
        <w:rPr>
          <w:i/>
        </w:rPr>
        <w:t>The standard states that the argument type can only be 0 or 1.</w:t>
      </w:r>
    </w:p>
    <w:p w:rsidR="000A156F" w:rsidRDefault="00A9721F">
      <w:pPr>
        <w:pStyle w:val="Definition-Field2"/>
      </w:pPr>
      <w:r>
        <w:t>Office allows the value for argument type to be omitted or nonzero.</w:t>
      </w:r>
    </w:p>
    <w:p w:rsidR="000A156F" w:rsidRDefault="00A9721F">
      <w:pPr>
        <w:pStyle w:val="Definition-Field"/>
      </w:pPr>
      <w:r>
        <w:t xml:space="preserve">c.   </w:t>
      </w:r>
      <w:r>
        <w:rPr>
          <w:i/>
        </w:rPr>
        <w:t>The standard states that the argument type is t</w:t>
      </w:r>
      <w:r>
        <w:rPr>
          <w:i/>
        </w:rPr>
        <w:t>runcated to an integer.</w:t>
      </w:r>
    </w:p>
    <w:p w:rsidR="000A156F" w:rsidRDefault="00A9721F">
      <w:pPr>
        <w:pStyle w:val="Definition-Field2"/>
      </w:pPr>
      <w:r>
        <w:t>Office does not truncate the argument type to an integer.</w:t>
      </w:r>
    </w:p>
    <w:p w:rsidR="000A156F" w:rsidRDefault="00A9721F">
      <w:pPr>
        <w:pStyle w:val="Definition-Field"/>
      </w:pPr>
      <w:r>
        <w:t xml:space="preserve">d.   </w:t>
      </w:r>
      <w:r>
        <w:rPr>
          <w:i/>
        </w:rPr>
        <w:t>The standard does not specify a default for the optional argument type.</w:t>
      </w:r>
    </w:p>
    <w:p w:rsidR="000A156F" w:rsidRDefault="00A9721F">
      <w:pPr>
        <w:pStyle w:val="Definition-Field2"/>
      </w:pPr>
      <w:r>
        <w:t>In Office, if the value for type is omitted it defaults to value of 0.</w:t>
      </w:r>
    </w:p>
    <w:p w:rsidR="000A156F" w:rsidRDefault="00A9721F">
      <w:pPr>
        <w:pStyle w:val="Heading3"/>
      </w:pPr>
      <w:bookmarkStart w:id="2054" w:name="section_0001645b75344016ae4bf913658dd855"/>
      <w:bookmarkStart w:id="2055" w:name="_Toc181684053"/>
      <w:r>
        <w:t>Part 1 Section 18.17.7.254</w:t>
      </w:r>
      <w:r>
        <w:t>, POISSON</w:t>
      </w:r>
      <w:bookmarkEnd w:id="2054"/>
      <w:bookmarkEnd w:id="2055"/>
      <w:r>
        <w:fldChar w:fldCharType="begin"/>
      </w:r>
      <w:r>
        <w:instrText xml:space="preserve"> XE "POISSON" </w:instrText>
      </w:r>
      <w:r>
        <w:fldChar w:fldCharType="end"/>
      </w:r>
    </w:p>
    <w:p w:rsidR="000A156F" w:rsidRDefault="00A9721F">
      <w:pPr>
        <w:pStyle w:val="Definition-Field"/>
      </w:pPr>
      <w:r>
        <w:t xml:space="preserve">a.   </w:t>
      </w:r>
      <w:r>
        <w:rPr>
          <w:i/>
        </w:rPr>
        <w:t>The standard stated that if argument mean ≤ 0, #NUM! is returned.</w:t>
      </w:r>
    </w:p>
    <w:p w:rsidR="000A156F" w:rsidRDefault="00A9721F">
      <w:pPr>
        <w:pStyle w:val="Definition-Field2"/>
      </w:pPr>
      <w:r>
        <w:t>Office returns #NUM! if argument mean is &lt; 0.</w:t>
      </w:r>
    </w:p>
    <w:p w:rsidR="000A156F" w:rsidRDefault="00A9721F">
      <w:pPr>
        <w:pStyle w:val="Definition-Field"/>
      </w:pPr>
      <w:r>
        <w:t xml:space="preserve">b.   </w:t>
      </w:r>
      <w:r>
        <w:rPr>
          <w:i/>
        </w:rPr>
        <w:t>The standard states the formula for CUMPOISSON =  ∑_(k=0)^x((e^(-λ) λ^x)/k!).</w:t>
      </w:r>
    </w:p>
    <w:p w:rsidR="000A156F" w:rsidRDefault="00A9721F">
      <w:pPr>
        <w:pStyle w:val="Definition-Field2"/>
      </w:pPr>
      <w:r>
        <w:t>Office requires CUMPOISSON = ∑</w:t>
      </w:r>
      <w:r>
        <w:t>_(k=0)^x((e^(-λ) λ^k)/k!).</w:t>
      </w:r>
    </w:p>
    <w:p w:rsidR="000A156F" w:rsidRDefault="00A9721F">
      <w:pPr>
        <w:pStyle w:val="Heading3"/>
      </w:pPr>
      <w:bookmarkStart w:id="2056" w:name="section_a2ea85f8876e4587958008fc856b67ab"/>
      <w:bookmarkStart w:id="2057" w:name="_Toc181684054"/>
      <w:r>
        <w:t>Part 1 Section 18.17.7.255, POWER</w:t>
      </w:r>
      <w:bookmarkEnd w:id="2056"/>
      <w:bookmarkEnd w:id="2057"/>
      <w:r>
        <w:fldChar w:fldCharType="begin"/>
      </w:r>
      <w:r>
        <w:instrText xml:space="preserve"> XE "POWER" </w:instrText>
      </w:r>
      <w:r>
        <w:fldChar w:fldCharType="end"/>
      </w:r>
    </w:p>
    <w:p w:rsidR="000A156F" w:rsidRDefault="00A9721F">
      <w:pPr>
        <w:pStyle w:val="Definition-Field"/>
      </w:pPr>
      <w:r>
        <w:t xml:space="preserve">a.   </w:t>
      </w:r>
      <w:r>
        <w:rPr>
          <w:i/>
        </w:rPr>
        <w:t>The standard states that POWER(0,0) will return #DIV/0!.</w:t>
      </w:r>
    </w:p>
    <w:p w:rsidR="000A156F" w:rsidRDefault="00A9721F">
      <w:pPr>
        <w:pStyle w:val="Definition-Field2"/>
      </w:pPr>
      <w:r>
        <w:t>Office returns #NUM! for POWER(0,0).</w:t>
      </w:r>
    </w:p>
    <w:p w:rsidR="000A156F" w:rsidRDefault="00A9721F">
      <w:pPr>
        <w:pStyle w:val="Heading3"/>
      </w:pPr>
      <w:bookmarkStart w:id="2058" w:name="section_e6f17fb3cf2542c5817dd67f8c6241e3"/>
      <w:bookmarkStart w:id="2059" w:name="_Toc181684055"/>
      <w:r>
        <w:t>Part 1 Section 18.17.7.256, PPMT</w:t>
      </w:r>
      <w:bookmarkEnd w:id="2058"/>
      <w:bookmarkEnd w:id="2059"/>
      <w:r>
        <w:fldChar w:fldCharType="begin"/>
      </w:r>
      <w:r>
        <w:instrText xml:space="preserve"> XE "PPMT" </w:instrText>
      </w:r>
      <w:r>
        <w:fldChar w:fldCharType="end"/>
      </w:r>
    </w:p>
    <w:p w:rsidR="000A156F" w:rsidRDefault="00A9721F">
      <w:pPr>
        <w:pStyle w:val="Definition-Field"/>
      </w:pPr>
      <w:r>
        <w:t xml:space="preserve">a.   </w:t>
      </w:r>
      <w:r>
        <w:rPr>
          <w:i/>
        </w:rPr>
        <w:t xml:space="preserve">The standard states that the </w:t>
      </w:r>
      <w:r>
        <w:rPr>
          <w:i/>
        </w:rPr>
        <w:t>type argument is truncated to an integer.</w:t>
      </w:r>
    </w:p>
    <w:p w:rsidR="000A156F" w:rsidRDefault="00A9721F">
      <w:pPr>
        <w:pStyle w:val="Definition-Field2"/>
      </w:pPr>
      <w:r>
        <w:t>Office does not truncate the type argument to an integer.</w:t>
      </w:r>
    </w:p>
    <w:p w:rsidR="000A156F" w:rsidRDefault="00A9721F">
      <w:pPr>
        <w:pStyle w:val="Definition-Field"/>
      </w:pPr>
      <w:r>
        <w:t xml:space="preserve">b.   </w:t>
      </w:r>
      <w:r>
        <w:rPr>
          <w:i/>
        </w:rPr>
        <w:t>The standard does not specify a default for the optional argument type.</w:t>
      </w:r>
    </w:p>
    <w:p w:rsidR="000A156F" w:rsidRDefault="00A9721F">
      <w:pPr>
        <w:pStyle w:val="Definition-Field2"/>
      </w:pPr>
      <w:r>
        <w:t>In Office, if the value for type is omitted it defaults to value of 0.</w:t>
      </w:r>
    </w:p>
    <w:p w:rsidR="000A156F" w:rsidRDefault="00A9721F">
      <w:pPr>
        <w:pStyle w:val="Definition-Field"/>
      </w:pPr>
      <w:r>
        <w:t xml:space="preserve">c.   </w:t>
      </w:r>
      <w:r>
        <w:rPr>
          <w:i/>
        </w:rPr>
        <w:t>The</w:t>
      </w:r>
      <w:r>
        <w:rPr>
          <w:i/>
        </w:rPr>
        <w:t xml:space="preserve"> standard states that the argument type can only be 0 or 1.</w:t>
      </w:r>
    </w:p>
    <w:p w:rsidR="000A156F" w:rsidRDefault="00A9721F">
      <w:pPr>
        <w:pStyle w:val="Definition-Field2"/>
      </w:pPr>
      <w:r>
        <w:t>Office allows the value for argument type to be omitted or nonzero.</w:t>
      </w:r>
    </w:p>
    <w:p w:rsidR="000A156F" w:rsidRDefault="00A9721F">
      <w:pPr>
        <w:pStyle w:val="Definition-Field"/>
      </w:pPr>
      <w:r>
        <w:lastRenderedPageBreak/>
        <w:t xml:space="preserve">d.   </w:t>
      </w:r>
      <w:r>
        <w:rPr>
          <w:i/>
        </w:rPr>
        <w:t>The standard does not place any restrictions on the per argument.</w:t>
      </w:r>
    </w:p>
    <w:p w:rsidR="000A156F" w:rsidRDefault="00A9721F">
      <w:pPr>
        <w:pStyle w:val="Definition-Field2"/>
      </w:pPr>
      <w:r>
        <w:t>In Excel, if the per argument is less than 1 or greater t</w:t>
      </w:r>
      <w:r>
        <w:t>han the nper argument, #NUM! is returned.</w:t>
      </w:r>
    </w:p>
    <w:p w:rsidR="000A156F" w:rsidRDefault="00A9721F">
      <w:pPr>
        <w:pStyle w:val="Heading3"/>
      </w:pPr>
      <w:bookmarkStart w:id="2060" w:name="section_43bbf55ba3b7457da526450e4bd8f136"/>
      <w:bookmarkStart w:id="2061" w:name="_Toc181684056"/>
      <w:r>
        <w:t>Part 1 Section 18.17.7.257, PRICE</w:t>
      </w:r>
      <w:bookmarkEnd w:id="2060"/>
      <w:bookmarkEnd w:id="2061"/>
      <w:r>
        <w:fldChar w:fldCharType="begin"/>
      </w:r>
      <w:r>
        <w:instrText xml:space="preserve"> XE "PRICE"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w:t>
      </w:r>
      <w:r>
        <w:t>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 days in the year is 360 by making the following adjustments:</w:t>
            </w:r>
          </w:p>
          <w:p w:rsidR="000A156F" w:rsidRDefault="00A9721F">
            <w:pPr>
              <w:pStyle w:val="TableBodyText"/>
            </w:pPr>
            <w:r>
              <w:t>If b</w:t>
            </w:r>
            <w:r>
              <w:t>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 xml:space="preserve">Otherwise, if date1’s day-of-month is 30 and date2’s day-of-month is 31, date2’s day-of-month is changed to 30 (note that date2’s day-of-month </w:t>
            </w:r>
            <w:r>
              <w:t>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w:t>
            </w:r>
            <w:r>
              <w:t>e dates are equal, the difference in days is 0. If date1 and date2 not “less than or equal to a year apart” (as defined below), then the days in the years between the dates is the average number of days in the years between date1 and date2, inclusive. Othe</w:t>
            </w:r>
            <w:r>
              <w:t xml:space="preserv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 xml:space="preserve">To determine if date1 and </w:t>
            </w:r>
            <w:r>
              <w:t>date2 are “less than or equal to a year apart” for purposes of this algorithm, one of these conditions must be true:</w:t>
            </w:r>
          </w:p>
          <w:p w:rsidR="000A156F" w:rsidRDefault="00A9721F">
            <w:pPr>
              <w:pStyle w:val="ListParagraph"/>
              <w:numPr>
                <w:ilvl w:val="0"/>
                <w:numId w:val="108"/>
              </w:numPr>
            </w:pPr>
            <w:r>
              <w:t>The two dates have the same year</w:t>
            </w:r>
          </w:p>
          <w:p w:rsidR="000A156F" w:rsidRDefault="00A9721F">
            <w:pPr>
              <w:pStyle w:val="ListParagraph"/>
              <w:numPr>
                <w:ilvl w:val="0"/>
                <w:numId w:val="109"/>
              </w:numPr>
            </w:pPr>
            <w:r>
              <w:t>Date2’s year is exactly one more than date1’s year, and ((date1.month &gt; date2.month) or ((date1.month == d</w:t>
            </w:r>
            <w:r>
              <w:t>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w:t>
            </w:r>
            <w:r>
              <w:t xml:space="preserve">ropean 30/360. The European method for adjusting day counts. If the dates are equal, the difference of days is 0. Assumes that each month has 30 days and the total number of days in the year is 360; any day-of-month (in date1, date2, or both) with a value </w:t>
            </w:r>
            <w:r>
              <w:t xml:space="preserve">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indicates that the function is specific to U.S. currency.</w:t>
      </w:r>
    </w:p>
    <w:p w:rsidR="000A156F" w:rsidRDefault="00A9721F">
      <w:pPr>
        <w:pStyle w:val="Definition-Field2"/>
      </w:pPr>
      <w:r>
        <w:t>Office does not require the function to be specific to any currency.</w:t>
      </w:r>
    </w:p>
    <w:p w:rsidR="000A156F" w:rsidRDefault="00A9721F">
      <w:pPr>
        <w:pStyle w:val="Heading3"/>
      </w:pPr>
      <w:bookmarkStart w:id="2062" w:name="section_cef504a96c0343388a35811de77e59b2"/>
      <w:bookmarkStart w:id="2063" w:name="_Toc181684057"/>
      <w:r>
        <w:t>Part 1 Section 18.17.7.258, PRICEDISC</w:t>
      </w:r>
      <w:bookmarkEnd w:id="2062"/>
      <w:bookmarkEnd w:id="2063"/>
      <w:r>
        <w:fldChar w:fldCharType="begin"/>
      </w:r>
      <w:r>
        <w:instrText xml:space="preserve"> XE "PRICEDISC"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Value</w:t>
            </w:r>
          </w:p>
        </w:tc>
        <w:tc>
          <w:tcPr>
            <w:tcW w:w="0" w:type="auto"/>
            <w:vAlign w:val="center"/>
          </w:tcPr>
          <w:p w:rsidR="000A156F" w:rsidRDefault="00A9721F">
            <w:pPr>
              <w:pStyle w:val="TableHeaderText"/>
            </w:pPr>
            <w:r>
              <w:t xml:space="preserve">Day </w:t>
            </w:r>
            <w:r>
              <w:t>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 days in the year is 360 by making the following adjustments:</w:t>
            </w:r>
          </w:p>
          <w:p w:rsidR="000A156F" w:rsidRDefault="00A9721F">
            <w:pPr>
              <w:pStyle w:val="TableBodyText"/>
            </w:pPr>
            <w:r>
              <w:t>If both day-of-months are 31, they are</w:t>
            </w:r>
            <w:r>
              <w:t xml:space="preserv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day-of-month will stay 31 if date1’s day &lt; 30)</w:t>
            </w:r>
          </w:p>
          <w:p w:rsidR="000A156F" w:rsidRDefault="00A9721F">
            <w:pPr>
              <w:pStyle w:val="TableBodyText"/>
            </w:pPr>
            <w:r>
              <w:t>Ot</w:t>
            </w:r>
            <w:r>
              <w:t>herwise, if both dates are the last day of February in their respective years,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w:t>
            </w:r>
            <w:r>
              <w:t>ermine if date1 and date2 are “less than or equal to a year apart” for purposes of this algorithm, one of these conditions must be true:</w:t>
            </w:r>
          </w:p>
          <w:p w:rsidR="000A156F" w:rsidRDefault="00A9721F">
            <w:pPr>
              <w:pStyle w:val="ListParagraph"/>
              <w:numPr>
                <w:ilvl w:val="0"/>
                <w:numId w:val="110"/>
              </w:numPr>
            </w:pPr>
            <w:r>
              <w:t>The two dates have the same year</w:t>
            </w:r>
          </w:p>
          <w:p w:rsidR="000A156F" w:rsidRDefault="00A9721F">
            <w:pPr>
              <w:pStyle w:val="ListParagraph"/>
              <w:numPr>
                <w:ilvl w:val="0"/>
                <w:numId w:val="111"/>
              </w:numPr>
            </w:pPr>
            <w:r>
              <w:t>Date2’s year is exactly one more than date1’s year, and ((date1.month &gt; date2.month) o</w:t>
            </w:r>
            <w:r>
              <w:t>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difference in days, and presumes there are always 365 </w:t>
            </w:r>
            <w:r>
              <w:t>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indicates that the function is specific to U.S. currency.</w:t>
      </w:r>
    </w:p>
    <w:p w:rsidR="000A156F" w:rsidRDefault="00A9721F">
      <w:pPr>
        <w:pStyle w:val="Definition-Field2"/>
      </w:pPr>
      <w:r>
        <w:t>Office does not require the function to be specific to an</w:t>
      </w:r>
      <w:r>
        <w:t>y currency.</w:t>
      </w:r>
    </w:p>
    <w:p w:rsidR="000A156F" w:rsidRDefault="00A9721F">
      <w:pPr>
        <w:pStyle w:val="Heading3"/>
      </w:pPr>
      <w:bookmarkStart w:id="2064" w:name="section_acdfd09dc4814c74a1cd90697c9d987e"/>
      <w:bookmarkStart w:id="2065" w:name="_Toc181684058"/>
      <w:r>
        <w:t>Part 1 Section 18.17.7.259, PRICEMAT</w:t>
      </w:r>
      <w:bookmarkEnd w:id="2064"/>
      <w:bookmarkEnd w:id="2065"/>
      <w:r>
        <w:fldChar w:fldCharType="begin"/>
      </w:r>
      <w:r>
        <w:instrText xml:space="preserve"> XE "PRICEMAT"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 days in the year is 360 by making the following adjustments:</w:t>
            </w:r>
          </w:p>
          <w:p w:rsidR="000A156F" w:rsidRDefault="00A9721F">
            <w:pPr>
              <w:pStyle w:val="TableBodyText"/>
            </w:pPr>
            <w:r>
              <w:t>If both day-of-months are 31</w:t>
            </w:r>
            <w:r>
              <w:t>, they are changed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day-of-month will stay 31 if date1’s da</w:t>
            </w:r>
            <w:r>
              <w:t>y &lt; 30)</w:t>
            </w:r>
          </w:p>
          <w:p w:rsidR="000A156F" w:rsidRDefault="00A9721F">
            <w:pPr>
              <w:pStyle w:val="TableBodyText"/>
            </w:pPr>
            <w:r>
              <w:t xml:space="preserve">Otherwise, if both dates are the last day of February in their respective years, both day-of-month is </w:t>
            </w:r>
            <w:r>
              <w:lastRenderedPageBreak/>
              <w:t>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lastRenderedPageBreak/>
              <w:t>1</w:t>
            </w:r>
          </w:p>
        </w:tc>
        <w:tc>
          <w:tcPr>
            <w:tcW w:w="0" w:type="auto"/>
            <w:vAlign w:val="center"/>
          </w:tcPr>
          <w:p w:rsidR="000A156F" w:rsidRDefault="00A9721F">
            <w:pPr>
              <w:pStyle w:val="TableBodyText"/>
            </w:pPr>
            <w:r>
              <w:t>Actual/actual. If the dates are equal, the dif</w:t>
            </w:r>
            <w:r>
              <w:t>ference in days is 0. If date1 and date2 not “less than or equal to a year apart” (as defined below), then the days in the years between the dates is the average number of days in the years between date1 and date2, inclusive. Otherwise, the days in the yea</w:t>
            </w:r>
            <w:r>
              <w:t xml:space="preserve">rs between the dates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 xml:space="preserve">To determine if date1 and date2 are “less than or </w:t>
            </w:r>
            <w:r>
              <w:t>equal to a year apart” for purposes of this algorithm, one of these conditions must be true:</w:t>
            </w:r>
          </w:p>
          <w:p w:rsidR="000A156F" w:rsidRDefault="00A9721F">
            <w:pPr>
              <w:pStyle w:val="ListParagraph"/>
              <w:numPr>
                <w:ilvl w:val="0"/>
                <w:numId w:val="112"/>
              </w:numPr>
            </w:pPr>
            <w:r>
              <w:t>The two dates have the same year</w:t>
            </w:r>
          </w:p>
          <w:p w:rsidR="000A156F" w:rsidRDefault="00A9721F">
            <w:pPr>
              <w:pStyle w:val="ListParagraph"/>
              <w:numPr>
                <w:ilvl w:val="0"/>
                <w:numId w:val="113"/>
              </w:numPr>
            </w:pPr>
            <w:r>
              <w:t>Date2’s year is exactly one more than date1’s year, and ((date1.month &gt; date2.month) or ((date1.month == date2.month) and (date1.d</w:t>
            </w:r>
            <w:r>
              <w:t>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The standard indicates that the function is specific to U.S. currency.</w:t>
      </w:r>
    </w:p>
    <w:p w:rsidR="000A156F" w:rsidRDefault="00A9721F">
      <w:pPr>
        <w:pStyle w:val="Definition-Field2"/>
      </w:pPr>
      <w:r>
        <w:t>Office does not require the function to be specific to any currency.</w:t>
      </w:r>
    </w:p>
    <w:p w:rsidR="000A156F" w:rsidRDefault="00A9721F">
      <w:pPr>
        <w:pStyle w:val="Heading3"/>
      </w:pPr>
      <w:bookmarkStart w:id="2066" w:name="section_6ab73e31403a4d83a90a2e0eb900f906"/>
      <w:bookmarkStart w:id="2067" w:name="_Toc181684059"/>
      <w:r>
        <w:t>Part 1</w:t>
      </w:r>
      <w:r>
        <w:t xml:space="preserve"> Section 18.17.7.260, PROB</w:t>
      </w:r>
      <w:bookmarkEnd w:id="2066"/>
      <w:bookmarkEnd w:id="2067"/>
      <w:r>
        <w:fldChar w:fldCharType="begin"/>
      </w:r>
      <w:r>
        <w:instrText xml:space="preserve"> XE "PROB" </w:instrText>
      </w:r>
      <w:r>
        <w:fldChar w:fldCharType="end"/>
      </w:r>
    </w:p>
    <w:p w:rsidR="000A156F" w:rsidRDefault="00A9721F">
      <w:pPr>
        <w:pStyle w:val="Definition-Field"/>
      </w:pPr>
      <w:r>
        <w:t xml:space="preserve">a.   </w:t>
      </w:r>
      <w:r>
        <w:rPr>
          <w:i/>
        </w:rPr>
        <w:t>The standard states that if the sum of the values in probability-range &lt; 1, #NUM! is returned.</w:t>
      </w:r>
    </w:p>
    <w:p w:rsidR="000A156F" w:rsidRDefault="00A9721F">
      <w:pPr>
        <w:pStyle w:val="Definition-Field2"/>
      </w:pPr>
      <w:r>
        <w:t>Office returns #NUM! if the sum of the values in probability-range is not equal to 1.</w:t>
      </w:r>
    </w:p>
    <w:p w:rsidR="000A156F" w:rsidRDefault="00A9721F">
      <w:pPr>
        <w:pStyle w:val="Definition-Field"/>
      </w:pPr>
      <w:r>
        <w:t xml:space="preserve">b.   </w:t>
      </w:r>
      <w:r>
        <w:rPr>
          <w:i/>
        </w:rPr>
        <w:t xml:space="preserve">The standard states that </w:t>
      </w:r>
      <w:r>
        <w:rPr>
          <w:i/>
        </w:rPr>
        <w:t>if any value in argument probability-range ≤ 0 or any value in probability-range &gt; 1, #NUM! is returned.</w:t>
      </w:r>
    </w:p>
    <w:p w:rsidR="000A156F" w:rsidRDefault="00A9721F">
      <w:pPr>
        <w:pStyle w:val="Definition-Field2"/>
      </w:pPr>
      <w:r>
        <w:t>In Office, values in argument probability-range may be ≤ 0 or &gt; 1.</w:t>
      </w:r>
    </w:p>
    <w:p w:rsidR="000A156F" w:rsidRDefault="00A9721F">
      <w:pPr>
        <w:pStyle w:val="Heading3"/>
      </w:pPr>
      <w:bookmarkStart w:id="2068" w:name="section_2198fc993b4945a2bbb8f68a85adb7fe"/>
      <w:bookmarkStart w:id="2069" w:name="_Toc181684060"/>
      <w:r>
        <w:t>Part 1 Section 18.17.7.261, PRODUCT</w:t>
      </w:r>
      <w:bookmarkEnd w:id="2068"/>
      <w:bookmarkEnd w:id="2069"/>
      <w:r>
        <w:fldChar w:fldCharType="begin"/>
      </w:r>
      <w:r>
        <w:instrText xml:space="preserve"> XE "PRODUCT" </w:instrText>
      </w:r>
      <w:r>
        <w:fldChar w:fldCharType="end"/>
      </w:r>
    </w:p>
    <w:p w:rsidR="000A156F" w:rsidRDefault="00A9721F">
      <w:pPr>
        <w:pStyle w:val="Definition-Field"/>
      </w:pPr>
      <w:r>
        <w:t xml:space="preserve">a.   </w:t>
      </w:r>
      <w:r>
        <w:rPr>
          <w:i/>
        </w:rPr>
        <w:t>The standard states that va</w:t>
      </w:r>
      <w:r>
        <w:rPr>
          <w:i/>
        </w:rPr>
        <w:t>lid arguments in argument-list shall be counted.</w:t>
      </w:r>
    </w:p>
    <w:p w:rsidR="000A156F" w:rsidRDefault="00A9721F">
      <w:pPr>
        <w:pStyle w:val="Definition-Field2"/>
      </w:pPr>
      <w:r>
        <w:t>In Office, valid arguments in argument-list shall be multiplied.</w:t>
      </w:r>
    </w:p>
    <w:p w:rsidR="000A156F" w:rsidRDefault="00A9721F">
      <w:pPr>
        <w:pStyle w:val="Heading3"/>
      </w:pPr>
      <w:bookmarkStart w:id="2070" w:name="section_dec0bdefb97a4de69df1c5ed7f74e150"/>
      <w:bookmarkStart w:id="2071" w:name="_Toc181684061"/>
      <w:r>
        <w:t>Part 1 Section 18.17.7.263, PV</w:t>
      </w:r>
      <w:bookmarkEnd w:id="2070"/>
      <w:bookmarkEnd w:id="2071"/>
      <w:r>
        <w:fldChar w:fldCharType="begin"/>
      </w:r>
      <w:r>
        <w:instrText xml:space="preserve"> XE "PV" </w:instrText>
      </w:r>
      <w:r>
        <w:fldChar w:fldCharType="end"/>
      </w:r>
    </w:p>
    <w:p w:rsidR="000A156F" w:rsidRDefault="00A9721F">
      <w:pPr>
        <w:pStyle w:val="Definition-Field"/>
      </w:pPr>
      <w:r>
        <w:t xml:space="preserve">a.   </w:t>
      </w:r>
      <w:r>
        <w:rPr>
          <w:i/>
        </w:rPr>
        <w:t>The standard does not specify a default for the optional argument type.</w:t>
      </w:r>
    </w:p>
    <w:p w:rsidR="000A156F" w:rsidRDefault="00A9721F">
      <w:pPr>
        <w:pStyle w:val="Definition-Field2"/>
      </w:pPr>
      <w:r>
        <w:t>In Office, if the value</w:t>
      </w:r>
      <w:r>
        <w:t xml:space="preserve"> for type is omitted it defaults to value of 0.</w:t>
      </w:r>
    </w:p>
    <w:p w:rsidR="000A156F" w:rsidRDefault="00A9721F">
      <w:pPr>
        <w:pStyle w:val="Definition-Field"/>
      </w:pPr>
      <w:r>
        <w:t xml:space="preserve">b.   </w:t>
      </w:r>
      <w:r>
        <w:rPr>
          <w:i/>
        </w:rPr>
        <w:t>The standard states that the argument type is truncated to an integer.</w:t>
      </w:r>
    </w:p>
    <w:p w:rsidR="000A156F" w:rsidRDefault="00A9721F">
      <w:pPr>
        <w:pStyle w:val="Definition-Field2"/>
      </w:pPr>
      <w:r>
        <w:lastRenderedPageBreak/>
        <w:t>Office does not truncate the argument type to an integer.</w:t>
      </w:r>
    </w:p>
    <w:p w:rsidR="000A156F" w:rsidRDefault="00A9721F">
      <w:pPr>
        <w:pStyle w:val="Definition-Field"/>
      </w:pPr>
      <w:r>
        <w:t xml:space="preserve">c.   </w:t>
      </w:r>
      <w:r>
        <w:rPr>
          <w:i/>
        </w:rPr>
        <w:t>The standard states that if the argument type is any number other tha</w:t>
      </w:r>
      <w:r>
        <w:rPr>
          <w:i/>
        </w:rPr>
        <w:t>n 0 or 1, #NUM! is returned.</w:t>
      </w:r>
    </w:p>
    <w:p w:rsidR="000A156F" w:rsidRDefault="00A9721F">
      <w:pPr>
        <w:pStyle w:val="Definition-Field2"/>
      </w:pPr>
      <w:r>
        <w:t>Office allows the value for argument type to be omitted or nonzero.</w:t>
      </w:r>
    </w:p>
    <w:p w:rsidR="000A156F" w:rsidRDefault="00A9721F">
      <w:pPr>
        <w:pStyle w:val="Heading3"/>
      </w:pPr>
      <w:bookmarkStart w:id="2072" w:name="section_cdea6da968434689976deed0f25b764f"/>
      <w:bookmarkStart w:id="2073" w:name="_Toc181684062"/>
      <w:r>
        <w:t>Part 1 Section 18.17.7.269, RANK</w:t>
      </w:r>
      <w:bookmarkEnd w:id="2072"/>
      <w:bookmarkEnd w:id="2073"/>
      <w:r>
        <w:fldChar w:fldCharType="begin"/>
      </w:r>
      <w:r>
        <w:instrText xml:space="preserve"> XE "RANK" </w:instrText>
      </w:r>
      <w:r>
        <w:fldChar w:fldCharType="end"/>
      </w:r>
    </w:p>
    <w:p w:rsidR="000A156F" w:rsidRDefault="00A9721F">
      <w:pPr>
        <w:pStyle w:val="Definition-Field"/>
      </w:pPr>
      <w:r>
        <w:t xml:space="preserve">a.   </w:t>
      </w:r>
      <w:r>
        <w:rPr>
          <w:i/>
        </w:rPr>
        <w:t>The standard does not indicate restrictions on the value of attribute number.</w:t>
      </w:r>
    </w:p>
    <w:p w:rsidR="000A156F" w:rsidRDefault="00A9721F">
      <w:pPr>
        <w:pStyle w:val="Definition-Field2"/>
      </w:pPr>
      <w:r>
        <w:t xml:space="preserve">Office returns #N/A if number </w:t>
      </w:r>
      <w:r>
        <w:t>does not exist in number-list.</w:t>
      </w:r>
    </w:p>
    <w:p w:rsidR="000A156F" w:rsidRDefault="00A9721F">
      <w:pPr>
        <w:pStyle w:val="Heading3"/>
      </w:pPr>
      <w:bookmarkStart w:id="2074" w:name="section_6bf7d39525104a2cb31878717aecd437"/>
      <w:bookmarkStart w:id="2075" w:name="_Toc181684063"/>
      <w:r>
        <w:t>Part 1 Section 18.17.7.270, RATE</w:t>
      </w:r>
      <w:bookmarkEnd w:id="2074"/>
      <w:bookmarkEnd w:id="2075"/>
      <w:r>
        <w:fldChar w:fldCharType="begin"/>
      </w:r>
      <w:r>
        <w:instrText xml:space="preserve"> XE "RATE" </w:instrText>
      </w:r>
      <w:r>
        <w:fldChar w:fldCharType="end"/>
      </w:r>
    </w:p>
    <w:p w:rsidR="000A156F" w:rsidRDefault="00A9721F">
      <w:pPr>
        <w:pStyle w:val="Definition-Field"/>
      </w:pPr>
      <w:r>
        <w:t xml:space="preserve">a.   </w:t>
      </w:r>
      <w:r>
        <w:rPr>
          <w:i/>
        </w:rPr>
        <w:t>The standard does not define a default for the argument type.</w:t>
      </w:r>
    </w:p>
    <w:p w:rsidR="000A156F" w:rsidRDefault="00A9721F">
      <w:pPr>
        <w:pStyle w:val="Definition-Field2"/>
      </w:pPr>
      <w:r>
        <w:t>Office specifies that the argument type defaults to 0.</w:t>
      </w:r>
    </w:p>
    <w:p w:rsidR="000A156F" w:rsidRDefault="00A9721F">
      <w:pPr>
        <w:pStyle w:val="Definition-Field"/>
      </w:pPr>
      <w:r>
        <w:t xml:space="preserve">b.   </w:t>
      </w:r>
      <w:r>
        <w:rPr>
          <w:i/>
        </w:rPr>
        <w:t xml:space="preserve">The standard states that the argument type may only </w:t>
      </w:r>
      <w:r>
        <w:rPr>
          <w:i/>
        </w:rPr>
        <w:t>be 0 or 1.</w:t>
      </w:r>
    </w:p>
    <w:p w:rsidR="000A156F" w:rsidRDefault="00A9721F">
      <w:pPr>
        <w:pStyle w:val="Definition-Field2"/>
      </w:pPr>
      <w:r>
        <w:t>In Office, if the argument type is nonzero the payment is at the beginning of the period.</w:t>
      </w:r>
    </w:p>
    <w:p w:rsidR="000A156F" w:rsidRDefault="00A9721F">
      <w:pPr>
        <w:pStyle w:val="Definition-Field"/>
      </w:pPr>
      <w:r>
        <w:t xml:space="preserve">c.   </w:t>
      </w:r>
      <w:r>
        <w:rPr>
          <w:i/>
        </w:rPr>
        <w:t>The standard specifies that an iterative technique is used for the implementation of this function.</w:t>
      </w:r>
    </w:p>
    <w:p w:rsidR="000A156F" w:rsidRDefault="00A9721F">
      <w:pPr>
        <w:pStyle w:val="Definition-Field2"/>
      </w:pPr>
      <w:r>
        <w:t>Office does not use an iterative technique.</w:t>
      </w:r>
    </w:p>
    <w:p w:rsidR="000A156F" w:rsidRDefault="00A9721F">
      <w:pPr>
        <w:pStyle w:val="Heading3"/>
      </w:pPr>
      <w:bookmarkStart w:id="2076" w:name="section_f087c56b2adf4e548719047179937cb5"/>
      <w:bookmarkStart w:id="2077" w:name="_Toc181684064"/>
      <w:r>
        <w:t>Part 1</w:t>
      </w:r>
      <w:r>
        <w:t xml:space="preserve"> Section 18.17.7.271, RECEIVED</w:t>
      </w:r>
      <w:bookmarkEnd w:id="2076"/>
      <w:bookmarkEnd w:id="2077"/>
      <w:r>
        <w:fldChar w:fldCharType="begin"/>
      </w:r>
      <w:r>
        <w:instrText xml:space="preserve"> XE "RECEIVED" </w:instrText>
      </w:r>
      <w:r>
        <w:fldChar w:fldCharType="end"/>
      </w:r>
    </w:p>
    <w:p w:rsidR="000A156F" w:rsidRDefault="00A9721F">
      <w:pPr>
        <w:pStyle w:val="Definition-Field"/>
      </w:pPr>
      <w:r>
        <w:t xml:space="preserve">a.   </w:t>
      </w:r>
      <w:r>
        <w:rPr>
          <w:i/>
        </w:rPr>
        <w:t>The standard does not specify day and month adjustments 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w:t>
            </w:r>
            <w:r>
              <w:t>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 If the dates are equal, the difference of days is 0. Assumes that each month has 30 days and the total number of days in the year is 360 by making the following adjustments:</w:t>
            </w:r>
          </w:p>
          <w:p w:rsidR="000A156F" w:rsidRDefault="00A9721F">
            <w:pPr>
              <w:pStyle w:val="TableBodyText"/>
            </w:pPr>
            <w:r>
              <w:t>If both day-of-months are 31, they are changed</w:t>
            </w:r>
            <w:r>
              <w:t xml:space="preserve"> to 30</w:t>
            </w:r>
          </w:p>
          <w:p w:rsidR="000A156F" w:rsidRDefault="00A9721F">
            <w:pPr>
              <w:pStyle w:val="TableBodyText"/>
            </w:pPr>
            <w:r>
              <w:t>Otherwise, if date1’s day-of-month is 31, it is changed to 30</w:t>
            </w:r>
          </w:p>
          <w:p w:rsidR="000A156F" w:rsidRDefault="00A9721F">
            <w:pPr>
              <w:pStyle w:val="TableBodyText"/>
            </w:pPr>
            <w:r>
              <w:t>Otherwise, if date1’s day-of-month is 30 and date2’s day-of-month is 31, date2’s day-of-month is changed to 30 (note that date2’s day-of-month will stay 31 if date1’s day &lt; 30)</w:t>
            </w:r>
          </w:p>
          <w:p w:rsidR="000A156F" w:rsidRDefault="00A9721F">
            <w:pPr>
              <w:pStyle w:val="TableBodyText"/>
            </w:pPr>
            <w:r>
              <w:t>Otherwise,</w:t>
            </w:r>
            <w:r>
              <w:t xml:space="preserve"> if both dates are the last day of February in their respective years, both day-of-month is changed to 30</w:t>
            </w:r>
          </w:p>
          <w:p w:rsidR="000A156F" w:rsidRDefault="00A9721F">
            <w:pPr>
              <w:pStyle w:val="TableBodyText"/>
            </w:pPr>
            <w:r>
              <w:t>Otherwise,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w:t>
            </w:r>
            <w:r>
              <w:t xml:space="preserve"> 0. If date1 and date2 not “less than or equal to a year apart” (as defined below), then the days in the years between the dates is the average number of days in the years between date1 and date2, inclusive. Otherwise, the days in the years between the dat</w:t>
            </w:r>
            <w:r>
              <w:t xml:space="preserve">es is 365, except for these cases (where it is 366): the dates are in the same year and it is a leap-year, 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determine if date1 and date2 are “less than or equal to a year apar</w:t>
            </w:r>
            <w:r>
              <w:t>t” for purposes of this algorithm, one of these conditions must be true:</w:t>
            </w:r>
          </w:p>
          <w:p w:rsidR="000A156F" w:rsidRDefault="00A9721F">
            <w:pPr>
              <w:pStyle w:val="ListParagraph"/>
              <w:numPr>
                <w:ilvl w:val="0"/>
                <w:numId w:val="114"/>
              </w:numPr>
            </w:pPr>
            <w:r>
              <w:t>The two dates have the same year</w:t>
            </w:r>
          </w:p>
          <w:p w:rsidR="000A156F" w:rsidRDefault="00A9721F">
            <w:pPr>
              <w:pStyle w:val="ListParagraph"/>
              <w:numPr>
                <w:ilvl w:val="0"/>
                <w:numId w:val="115"/>
              </w:numPr>
            </w:pPr>
            <w:r>
              <w:t>Date2’s year is exactly one more than date1’s year, and ((date1.month &gt; date2.month) or ((date1.month == date2.month) and (date1.day &gt;= date2.day)))</w:t>
            </w:r>
          </w:p>
        </w:tc>
      </w:tr>
      <w:tr w:rsidR="000A156F" w:rsidTr="000A156F">
        <w:tc>
          <w:tcPr>
            <w:tcW w:w="0" w:type="auto"/>
            <w:vAlign w:val="center"/>
          </w:tcPr>
          <w:p w:rsidR="000A156F" w:rsidRDefault="00A9721F">
            <w:pPr>
              <w:pStyle w:val="TableBodyText"/>
            </w:pPr>
            <w:r>
              <w:rPr>
                <w:rStyle w:val="InlineCode"/>
              </w:rPr>
              <w:lastRenderedPageBreak/>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Computes the actual difference in days, and presumes there are always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w:t>
            </w:r>
            <w:r>
              <w:t>ting day counts. If the dates are equal, the difference of days is 0. Assumes that each month has 30 days and the total number of days in the year is 360; any day-of-month (in date1, date2, or both) with a value of 31 is changed to 30. Note that February d</w:t>
            </w:r>
            <w:r>
              <w:t xml:space="preserve">ates are </w:t>
            </w:r>
            <w:r>
              <w:rPr>
                <w:i/>
              </w:rPr>
              <w:t xml:space="preserve">never </w:t>
            </w:r>
            <w:r>
              <w:t>changed, because there is no February 31.</w:t>
            </w:r>
          </w:p>
        </w:tc>
      </w:tr>
    </w:tbl>
    <w:p w:rsidR="000A156F" w:rsidRDefault="000A156F"/>
    <w:p w:rsidR="000A156F" w:rsidRDefault="00A9721F">
      <w:pPr>
        <w:pStyle w:val="Heading3"/>
      </w:pPr>
      <w:bookmarkStart w:id="2078" w:name="section_d1d151f6ea8249cea3714df6ff22cd9d"/>
      <w:bookmarkStart w:id="2079" w:name="_Toc181684065"/>
      <w:r>
        <w:t>Part 1 Section 18.17.7.272, REPLACE</w:t>
      </w:r>
      <w:bookmarkEnd w:id="2078"/>
      <w:bookmarkEnd w:id="2079"/>
      <w:r>
        <w:fldChar w:fldCharType="begin"/>
      </w:r>
      <w:r>
        <w:instrText xml:space="preserve"> XE "REPLACE" </w:instrText>
      </w:r>
      <w:r>
        <w:fldChar w:fldCharType="end"/>
      </w:r>
    </w:p>
    <w:p w:rsidR="000A156F" w:rsidRDefault="00A9721F">
      <w:pPr>
        <w:pStyle w:val="Definition-Field"/>
      </w:pPr>
      <w:r>
        <w:t xml:space="preserve">a.   </w:t>
      </w:r>
      <w:r>
        <w:rPr>
          <w:i/>
        </w:rPr>
        <w:t>The standard states that REPLACE is intended for use with languages that use the single-byte character set (SBCS), whereas REPLACEB is inten</w:t>
      </w:r>
      <w:r>
        <w:rPr>
          <w:i/>
        </w:rPr>
        <w:t>ded for use with languages that use the double-byte character set (DBCS).</w:t>
      </w:r>
    </w:p>
    <w:p w:rsidR="000A156F" w:rsidRDefault="00A9721F">
      <w:pPr>
        <w:pStyle w:val="Definition-Field2"/>
      </w:pPr>
      <w:r>
        <w:t>In Office, REPLACE is intended for use with any language, whereas REPLACEB is intended for use with languages that use the double-byte character set (DBCS).</w:t>
      </w:r>
    </w:p>
    <w:p w:rsidR="000A156F" w:rsidRDefault="00A9721F">
      <w:pPr>
        <w:pStyle w:val="Definition-Field"/>
      </w:pPr>
      <w:r>
        <w:t xml:space="preserve">b.   </w:t>
      </w:r>
      <w:r>
        <w:rPr>
          <w:i/>
        </w:rPr>
        <w:t>The standard specifi</w:t>
      </w:r>
      <w:r>
        <w:rPr>
          <w:i/>
        </w:rPr>
        <w:t>es start-pos shall be greater than or equal to 0.</w:t>
      </w:r>
    </w:p>
    <w:p w:rsidR="000A156F" w:rsidRDefault="00A9721F">
      <w:pPr>
        <w:pStyle w:val="Definition-Field2"/>
      </w:pPr>
      <w:r>
        <w:t>In Office, start-pos shall be greater than or equal to 1.</w:t>
      </w:r>
    </w:p>
    <w:p w:rsidR="000A156F" w:rsidRDefault="00A9721F">
      <w:pPr>
        <w:pStyle w:val="Heading3"/>
      </w:pPr>
      <w:bookmarkStart w:id="2080" w:name="section_96ce77b13cab4619a54e1d57cea2592f"/>
      <w:bookmarkStart w:id="2081" w:name="_Toc181684066"/>
      <w:r>
        <w:t>Part 1 Section 18.17.7.273, REPLACEB</w:t>
      </w:r>
      <w:bookmarkEnd w:id="2080"/>
      <w:bookmarkEnd w:id="2081"/>
      <w:r>
        <w:fldChar w:fldCharType="begin"/>
      </w:r>
      <w:r>
        <w:instrText xml:space="preserve"> XE "REPLACEB" </w:instrText>
      </w:r>
      <w:r>
        <w:fldChar w:fldCharType="end"/>
      </w:r>
    </w:p>
    <w:p w:rsidR="000A156F" w:rsidRDefault="00A9721F">
      <w:pPr>
        <w:pStyle w:val="Definition-Field"/>
      </w:pPr>
      <w:r>
        <w:t xml:space="preserve">a.   </w:t>
      </w:r>
      <w:r>
        <w:rPr>
          <w:i/>
        </w:rPr>
        <w:t>The standard does not specify that argument start-pos and number-bytes are measured in by</w:t>
      </w:r>
      <w:r>
        <w:rPr>
          <w:i/>
        </w:rPr>
        <w:t>tes.</w:t>
      </w:r>
    </w:p>
    <w:p w:rsidR="000A156F" w:rsidRDefault="00A9721F">
      <w:pPr>
        <w:pStyle w:val="Definition-Field2"/>
      </w:pPr>
      <w:r>
        <w:t>Office measures argument start-pos and number-bytes in bytes.</w:t>
      </w:r>
    </w:p>
    <w:p w:rsidR="000A156F" w:rsidRDefault="00A9721F">
      <w:pPr>
        <w:pStyle w:val="Definition-Field"/>
      </w:pPr>
      <w:r>
        <w:t xml:space="preserve">b.   </w:t>
      </w:r>
      <w:r>
        <w:rPr>
          <w:i/>
        </w:rPr>
        <w:t>The standard states that REPLACEB is intended for use with languages that use the double-byte character set (DBCS) and REPLACE is intended for use with languages that use the single-by</w:t>
      </w:r>
      <w:r>
        <w:rPr>
          <w:i/>
        </w:rPr>
        <w:t>te character set (SBCS).</w:t>
      </w:r>
    </w:p>
    <w:p w:rsidR="000A156F" w:rsidRDefault="00A9721F">
      <w:pPr>
        <w:pStyle w:val="Definition-Field2"/>
      </w:pPr>
      <w:r>
        <w:t>In Office, REPLACEB is intended for use with languages that use the double-byte character set (DBCS) and REPLACE is intended for use with any language.</w:t>
      </w:r>
    </w:p>
    <w:p w:rsidR="000A156F" w:rsidRDefault="00A9721F">
      <w:pPr>
        <w:pStyle w:val="Definition-Field"/>
      </w:pPr>
      <w:r>
        <w:t xml:space="preserve">c.   </w:t>
      </w:r>
      <w:r>
        <w:rPr>
          <w:i/>
        </w:rPr>
        <w:t>The standard specifies that start-pos shall be greater than or equal to 0.</w:t>
      </w:r>
    </w:p>
    <w:p w:rsidR="000A156F" w:rsidRDefault="00A9721F">
      <w:pPr>
        <w:pStyle w:val="Definition-Field2"/>
      </w:pPr>
      <w:r>
        <w:t>In Office, start-pos shall be greater than or equal to1.</w:t>
      </w:r>
    </w:p>
    <w:p w:rsidR="000A156F" w:rsidRDefault="00A9721F">
      <w:pPr>
        <w:pStyle w:val="Definition-Field"/>
      </w:pPr>
      <w:r>
        <w:t xml:space="preserve">d.   </w:t>
      </w:r>
      <w:r>
        <w:rPr>
          <w:i/>
        </w:rPr>
        <w:t>The standard does not specify which languages support DBCS.</w:t>
      </w:r>
    </w:p>
    <w:p w:rsidR="000A156F" w:rsidRDefault="00A9721F">
      <w:pPr>
        <w:pStyle w:val="Definition-Field2"/>
      </w:pPr>
      <w:r>
        <w:t>In Office, the languages that support DBCS include Japanese, Chinese (Simplified), Chinese (Traditional), and Korean.</w:t>
      </w:r>
    </w:p>
    <w:p w:rsidR="000A156F" w:rsidRDefault="00A9721F">
      <w:pPr>
        <w:pStyle w:val="Definition-Field"/>
      </w:pPr>
      <w:r>
        <w:t xml:space="preserve">e.   </w:t>
      </w:r>
      <w:r>
        <w:rPr>
          <w:i/>
        </w:rPr>
        <w:t xml:space="preserve">The </w:t>
      </w:r>
      <w:r>
        <w:rPr>
          <w:i/>
        </w:rPr>
        <w:t>standard does not specify behavior of REPLACEB when default language supports DBCS and when it does not support DBCS.</w:t>
      </w:r>
    </w:p>
    <w:p w:rsidR="000A156F" w:rsidRDefault="00A9721F">
      <w:pPr>
        <w:pStyle w:val="Definition-Field2"/>
      </w:pPr>
      <w:r>
        <w:t xml:space="preserve">In Office, when the default language supports DBCS, REPLACEB counts each double-byte character as 2 bytes, and each single-byte character </w:t>
      </w:r>
      <w:r>
        <w:t>as 1. When the default language does not support DBCS, REPLACEB counts each character as 1 byte.</w:t>
      </w:r>
    </w:p>
    <w:p w:rsidR="000A156F" w:rsidRDefault="00A9721F">
      <w:pPr>
        <w:pStyle w:val="Heading3"/>
      </w:pPr>
      <w:bookmarkStart w:id="2082" w:name="section_a6a6184fcd8d481facbd8d3c4accd982"/>
      <w:bookmarkStart w:id="2083" w:name="_Toc181684067"/>
      <w:r>
        <w:lastRenderedPageBreak/>
        <w:t>Part 1 Section 18.17.7.275, RIGHT</w:t>
      </w:r>
      <w:bookmarkEnd w:id="2082"/>
      <w:bookmarkEnd w:id="2083"/>
      <w:r>
        <w:fldChar w:fldCharType="begin"/>
      </w:r>
      <w:r>
        <w:instrText xml:space="preserve"> XE "RIGHT" </w:instrText>
      </w:r>
      <w:r>
        <w:fldChar w:fldCharType="end"/>
      </w:r>
    </w:p>
    <w:p w:rsidR="000A156F" w:rsidRDefault="00A9721F">
      <w:pPr>
        <w:pStyle w:val="Definition-Field"/>
      </w:pPr>
      <w:r>
        <w:t xml:space="preserve">a.   </w:t>
      </w:r>
      <w:r>
        <w:rPr>
          <w:i/>
        </w:rPr>
        <w:t>The standard specifies that RIGHT is intended for use with languages that use the single-byte character se</w:t>
      </w:r>
      <w:r>
        <w:rPr>
          <w:i/>
        </w:rPr>
        <w:t>t (SBCS), whereas RIGHTB is intended for use with languages that use the double-byte character set (DBCS).</w:t>
      </w:r>
    </w:p>
    <w:p w:rsidR="000A156F" w:rsidRDefault="00A9721F">
      <w:pPr>
        <w:pStyle w:val="Definition-Field2"/>
      </w:pPr>
      <w:r>
        <w:t>In Office, RIGHT is intended for use with any language, whereas RIGHTB is intended for use with languages that use the double-byte character set (DBC</w:t>
      </w:r>
      <w:r>
        <w:t>S).</w:t>
      </w:r>
    </w:p>
    <w:p w:rsidR="000A156F" w:rsidRDefault="00A9721F">
      <w:pPr>
        <w:pStyle w:val="Heading3"/>
      </w:pPr>
      <w:bookmarkStart w:id="2084" w:name="section_eb12d10c702b4d9d938d34d55b9099a4"/>
      <w:bookmarkStart w:id="2085" w:name="_Toc181684068"/>
      <w:r>
        <w:t>Part 1 Section 18.17.7.276, RIGHTB</w:t>
      </w:r>
      <w:bookmarkEnd w:id="2084"/>
      <w:bookmarkEnd w:id="2085"/>
      <w:r>
        <w:fldChar w:fldCharType="begin"/>
      </w:r>
      <w:r>
        <w:instrText xml:space="preserve"> XE "RIGHTB" </w:instrText>
      </w:r>
      <w:r>
        <w:fldChar w:fldCharType="end"/>
      </w:r>
    </w:p>
    <w:p w:rsidR="000A156F" w:rsidRDefault="00A9721F">
      <w:pPr>
        <w:pStyle w:val="Definition-Field"/>
      </w:pPr>
      <w:r>
        <w:t xml:space="preserve">a.   </w:t>
      </w:r>
      <w:r>
        <w:rPr>
          <w:i/>
        </w:rPr>
        <w:t>The standard does not specify which languages support DBCS.</w:t>
      </w:r>
    </w:p>
    <w:p w:rsidR="000A156F" w:rsidRDefault="00A9721F">
      <w:pPr>
        <w:pStyle w:val="Definition-Field2"/>
      </w:pPr>
      <w:r>
        <w:t>In Office, the languages that support DBCS include Japanese, Chinese (Simplified), Chinese (Traditional), and Korean.</w:t>
      </w:r>
    </w:p>
    <w:p w:rsidR="000A156F" w:rsidRDefault="00A9721F">
      <w:pPr>
        <w:pStyle w:val="Definition-Field"/>
      </w:pPr>
      <w:r>
        <w:t xml:space="preserve">b.   </w:t>
      </w:r>
      <w:r>
        <w:rPr>
          <w:i/>
        </w:rPr>
        <w:t>The standard d</w:t>
      </w:r>
      <w:r>
        <w:rPr>
          <w:i/>
        </w:rPr>
        <w:t>oes not specify behavior of RIGHTB when default language supports DBCS and when it does not support DBCS.</w:t>
      </w:r>
    </w:p>
    <w:p w:rsidR="000A156F" w:rsidRDefault="00A9721F">
      <w:pPr>
        <w:pStyle w:val="Definition-Field2"/>
      </w:pPr>
      <w:r>
        <w:t>In Office, when the default language supports DBCS, RIGHTB counts each double-byte character as 2 bytes, and each single-byte character as 1. When the</w:t>
      </w:r>
      <w:r>
        <w:t xml:space="preserve"> default language does not support DBCS, RIGHTB counts each character as 1 byte.</w:t>
      </w:r>
    </w:p>
    <w:p w:rsidR="000A156F" w:rsidRDefault="00A9721F">
      <w:pPr>
        <w:pStyle w:val="Heading3"/>
      </w:pPr>
      <w:bookmarkStart w:id="2086" w:name="section_58cc2461256744ea87c39358c542b0c8"/>
      <w:bookmarkStart w:id="2087" w:name="_Toc181684069"/>
      <w:r>
        <w:t>Part 1 Section 18.17.7.277, ROMAN</w:t>
      </w:r>
      <w:bookmarkEnd w:id="2086"/>
      <w:bookmarkEnd w:id="2087"/>
      <w:r>
        <w:fldChar w:fldCharType="begin"/>
      </w:r>
      <w:r>
        <w:instrText xml:space="preserve"> XE "ROMAN" </w:instrText>
      </w:r>
      <w:r>
        <w:fldChar w:fldCharType="end"/>
      </w:r>
    </w:p>
    <w:p w:rsidR="000A156F" w:rsidRDefault="00A9721F">
      <w:pPr>
        <w:pStyle w:val="Definition-Field"/>
      </w:pPr>
      <w:r>
        <w:t xml:space="preserve">a.   </w:t>
      </w:r>
      <w:r>
        <w:rPr>
          <w:i/>
        </w:rPr>
        <w:t>The standard does not specify what happens if number argument is equal to 0.</w:t>
      </w:r>
    </w:p>
    <w:p w:rsidR="000A156F" w:rsidRDefault="00A9721F">
      <w:pPr>
        <w:pStyle w:val="Definition-Field2"/>
      </w:pPr>
      <w:r>
        <w:t>Office returns the empty string if number arg</w:t>
      </w:r>
      <w:r>
        <w:t>ument is equal to 0.</w:t>
      </w:r>
    </w:p>
    <w:p w:rsidR="000A156F" w:rsidRDefault="00A9721F">
      <w:pPr>
        <w:pStyle w:val="Heading3"/>
      </w:pPr>
      <w:bookmarkStart w:id="2088" w:name="section_e702ec419f9f41fcb62c24c38274e331"/>
      <w:bookmarkStart w:id="2089" w:name="_Toc181684070"/>
      <w:r>
        <w:t>Part 1 Section 18.17.7.278, ROUND</w:t>
      </w:r>
      <w:bookmarkEnd w:id="2088"/>
      <w:bookmarkEnd w:id="2089"/>
      <w:r>
        <w:fldChar w:fldCharType="begin"/>
      </w:r>
      <w:r>
        <w:instrText xml:space="preserve"> XE "ROUND" </w:instrText>
      </w:r>
      <w:r>
        <w:fldChar w:fldCharType="end"/>
      </w:r>
    </w:p>
    <w:p w:rsidR="000A156F" w:rsidRDefault="00A9721F">
      <w:pPr>
        <w:pStyle w:val="Definition-Field"/>
      </w:pPr>
      <w:r>
        <w:t xml:space="preserve">a.   </w:t>
      </w:r>
      <w:r>
        <w:rPr>
          <w:i/>
        </w:rPr>
        <w:t>The standard states that a return value is the rounded down value of x.</w:t>
      </w:r>
    </w:p>
    <w:p w:rsidR="000A156F" w:rsidRDefault="00A9721F">
      <w:pPr>
        <w:pStyle w:val="Definition-Field2"/>
      </w:pPr>
      <w:r>
        <w:t>Office treats x as the rounded value of x.</w:t>
      </w:r>
    </w:p>
    <w:p w:rsidR="000A156F" w:rsidRDefault="00A9721F">
      <w:pPr>
        <w:pStyle w:val="Heading3"/>
      </w:pPr>
      <w:bookmarkStart w:id="2090" w:name="section_3cd2aea4797d42fc80de1a4ed0e01932"/>
      <w:bookmarkStart w:id="2091" w:name="_Toc181684071"/>
      <w:r>
        <w:t>Part 1 Section 18.17.7.282, ROWS</w:t>
      </w:r>
      <w:bookmarkEnd w:id="2090"/>
      <w:bookmarkEnd w:id="2091"/>
      <w:r>
        <w:fldChar w:fldCharType="begin"/>
      </w:r>
      <w:r>
        <w:instrText xml:space="preserve"> XE "ROWS" </w:instrText>
      </w:r>
      <w:r>
        <w:fldChar w:fldCharType="end"/>
      </w:r>
    </w:p>
    <w:p w:rsidR="000A156F" w:rsidRDefault="00A9721F">
      <w:pPr>
        <w:pStyle w:val="Definition-Field"/>
      </w:pPr>
      <w:r>
        <w:t xml:space="preserve">a.   </w:t>
      </w:r>
      <w:r>
        <w:rPr>
          <w:i/>
        </w:rPr>
        <w:t>The standard sta</w:t>
      </w:r>
      <w:r>
        <w:rPr>
          <w:i/>
        </w:rPr>
        <w:t>tes that if the range of cells referred to by array is not contiguous, #NULL! is returned.</w:t>
      </w:r>
    </w:p>
    <w:p w:rsidR="000A156F" w:rsidRDefault="00A9721F">
      <w:pPr>
        <w:pStyle w:val="Definition-Field2"/>
      </w:pPr>
      <w:r>
        <w:t>Office returns #REF!, if array refers to the union of discontiguous ranges.</w:t>
      </w:r>
    </w:p>
    <w:p w:rsidR="000A156F" w:rsidRDefault="00A9721F">
      <w:pPr>
        <w:pStyle w:val="Heading3"/>
      </w:pPr>
      <w:bookmarkStart w:id="2092" w:name="section_70a4382f51c64640851dd8612b038217"/>
      <w:bookmarkStart w:id="2093" w:name="_Toc181684072"/>
      <w:r>
        <w:t>Part 1 Section 18.17.7.284, RTD</w:t>
      </w:r>
      <w:bookmarkEnd w:id="2092"/>
      <w:bookmarkEnd w:id="2093"/>
      <w:r>
        <w:fldChar w:fldCharType="begin"/>
      </w:r>
      <w:r>
        <w:instrText xml:space="preserve"> XE "RTD" </w:instrText>
      </w:r>
      <w:r>
        <w:fldChar w:fldCharType="end"/>
      </w:r>
    </w:p>
    <w:p w:rsidR="000A156F" w:rsidRDefault="00A9721F">
      <w:pPr>
        <w:pStyle w:val="Definition-Field"/>
      </w:pPr>
      <w:r>
        <w:t xml:space="preserve">a.   </w:t>
      </w:r>
      <w:r>
        <w:rPr>
          <w:i/>
        </w:rPr>
        <w:t>The standard does not describe restricti</w:t>
      </w:r>
      <w:r>
        <w:rPr>
          <w:i/>
        </w:rPr>
        <w:t>ons on progID.</w:t>
      </w:r>
    </w:p>
    <w:p w:rsidR="000A156F" w:rsidRDefault="00A9721F">
      <w:pPr>
        <w:pStyle w:val="Definition-Field2"/>
      </w:pPr>
      <w:r>
        <w:t>In Office, if progID does not reference an application that is registered and that implements IRTDServer, then #N/A is returned.</w:t>
      </w:r>
    </w:p>
    <w:p w:rsidR="000A156F" w:rsidRDefault="00A9721F">
      <w:pPr>
        <w:pStyle w:val="Definition-Field"/>
      </w:pPr>
      <w:r>
        <w:t xml:space="preserve">b.   </w:t>
      </w:r>
      <w:r>
        <w:rPr>
          <w:i/>
        </w:rPr>
        <w:t>The standard does not describe how the application communicates with Excel.</w:t>
      </w:r>
    </w:p>
    <w:p w:rsidR="000A156F" w:rsidRDefault="00A9721F">
      <w:pPr>
        <w:pStyle w:val="Definition-Field2"/>
      </w:pPr>
      <w:r>
        <w:t>In Office, the application must</w:t>
      </w:r>
      <w:r>
        <w:t xml:space="preserve"> implement the IRTDServer interface.</w:t>
      </w:r>
    </w:p>
    <w:p w:rsidR="000A156F" w:rsidRDefault="00A9721F">
      <w:pPr>
        <w:pStyle w:val="Definition-Field"/>
      </w:pPr>
      <w:r>
        <w:t xml:space="preserve">c.   </w:t>
      </w:r>
      <w:r>
        <w:rPr>
          <w:i/>
        </w:rPr>
        <w:t>The standard does not specify that argument-list may be left blank.</w:t>
      </w:r>
    </w:p>
    <w:p w:rsidR="000A156F" w:rsidRDefault="00A9721F">
      <w:pPr>
        <w:pStyle w:val="Definition-Field2"/>
      </w:pPr>
      <w:r>
        <w:t>In Office, argument-list is required, but may be left blank.</w:t>
      </w:r>
    </w:p>
    <w:p w:rsidR="000A156F" w:rsidRDefault="00A9721F">
      <w:pPr>
        <w:pStyle w:val="Definition-Field"/>
      </w:pPr>
      <w:r>
        <w:t xml:space="preserve">d.   </w:t>
      </w:r>
      <w:r>
        <w:rPr>
          <w:i/>
        </w:rPr>
        <w:t>The standard uses the following syntax: RTD(progID, [rtd-server], argument-list)</w:t>
      </w:r>
      <w:r>
        <w:rPr>
          <w:i/>
        </w:rPr>
        <w:t>.</w:t>
      </w:r>
    </w:p>
    <w:p w:rsidR="000A156F" w:rsidRDefault="00A9721F">
      <w:pPr>
        <w:pStyle w:val="Definition-Field2"/>
      </w:pPr>
      <w:r>
        <w:lastRenderedPageBreak/>
        <w:t>Office uses the following syntax: RTD(progID, rtd-server, argument-list).</w:t>
      </w:r>
    </w:p>
    <w:p w:rsidR="000A156F" w:rsidRDefault="00A9721F">
      <w:pPr>
        <w:pStyle w:val="Definition-Field"/>
      </w:pPr>
      <w:r>
        <w:t xml:space="preserve">e.   </w:t>
      </w:r>
      <w:r>
        <w:rPr>
          <w:i/>
        </w:rPr>
        <w:t>In the standard, argument-list does not specify the maximum number of arguments.</w:t>
      </w:r>
    </w:p>
    <w:p w:rsidR="000A156F" w:rsidRDefault="00A9721F">
      <w:pPr>
        <w:pStyle w:val="Definition-Field2"/>
      </w:pPr>
      <w:r>
        <w:t>In Office, argument-list may contain at most 253 arguments.</w:t>
      </w:r>
    </w:p>
    <w:p w:rsidR="000A156F" w:rsidRDefault="00A9721F">
      <w:pPr>
        <w:pStyle w:val="Definition-Field"/>
      </w:pPr>
      <w:r>
        <w:t xml:space="preserve">f.   </w:t>
      </w:r>
      <w:r>
        <w:rPr>
          <w:i/>
        </w:rPr>
        <w:t xml:space="preserve">The standard describes the </w:t>
      </w:r>
      <w:r>
        <w:rPr>
          <w:i/>
        </w:rPr>
        <w:t>rtd-server argument as a string that is specific to the application with which RTD is communicating.</w:t>
      </w:r>
    </w:p>
    <w:p w:rsidR="000A156F" w:rsidRDefault="00A9721F">
      <w:pPr>
        <w:pStyle w:val="Definition-Field2"/>
      </w:pPr>
      <w:r>
        <w:t xml:space="preserve">In Office, the rtd-server argument is used to perform a DCOM call to a remote RTD server. It is not specific to the RTD server.  If there is no server and </w:t>
      </w:r>
      <w:r>
        <w:t>the application is run locally, the argument is left blank.</w:t>
      </w:r>
    </w:p>
    <w:p w:rsidR="000A156F" w:rsidRDefault="00A9721F">
      <w:pPr>
        <w:pStyle w:val="Heading3"/>
      </w:pPr>
      <w:bookmarkStart w:id="2094" w:name="section_18d08c10e8554b85bcdd66dc1cd44673"/>
      <w:bookmarkStart w:id="2095" w:name="_Toc181684073"/>
      <w:r>
        <w:t>Part 1 Section 18.17.7.285, SEARCH</w:t>
      </w:r>
      <w:bookmarkEnd w:id="2094"/>
      <w:bookmarkEnd w:id="2095"/>
      <w:r>
        <w:fldChar w:fldCharType="begin"/>
      </w:r>
      <w:r>
        <w:instrText xml:space="preserve"> XE "SEARCH" </w:instrText>
      </w:r>
      <w:r>
        <w:fldChar w:fldCharType="end"/>
      </w:r>
    </w:p>
    <w:p w:rsidR="000A156F" w:rsidRDefault="00A9721F">
      <w:pPr>
        <w:pStyle w:val="Definition-Field"/>
      </w:pPr>
      <w:r>
        <w:t xml:space="preserve">a.   </w:t>
      </w:r>
      <w:r>
        <w:rPr>
          <w:i/>
        </w:rPr>
        <w:t>The standard states that start-pos shall be at least 0.</w:t>
      </w:r>
    </w:p>
    <w:p w:rsidR="000A156F" w:rsidRDefault="00A9721F">
      <w:pPr>
        <w:pStyle w:val="Definition-Field2"/>
      </w:pPr>
      <w:r>
        <w:t>In Office, start-pos shall be at least 1.</w:t>
      </w:r>
    </w:p>
    <w:p w:rsidR="000A156F" w:rsidRDefault="00A9721F">
      <w:pPr>
        <w:pStyle w:val="Definition-Field"/>
      </w:pPr>
      <w:r>
        <w:t xml:space="preserve">b.   </w:t>
      </w:r>
      <w:r>
        <w:rPr>
          <w:i/>
        </w:rPr>
        <w:t>The standard states that SEARCH is int</w:t>
      </w:r>
      <w:r>
        <w:rPr>
          <w:i/>
        </w:rPr>
        <w:t>ended for use with languages that use the single-byte character set (SBCS), whereas SEARCHB is intended for use with languages that use the double-byte character set (DBCS).</w:t>
      </w:r>
    </w:p>
    <w:p w:rsidR="000A156F" w:rsidRDefault="00A9721F">
      <w:pPr>
        <w:pStyle w:val="Definition-Field2"/>
      </w:pPr>
      <w:r>
        <w:t>In Office, SEARCH is intended for use with any language, whereas SEARCHB is intend</w:t>
      </w:r>
      <w:r>
        <w:t>ed for use with languages that use the double-byte character set (DBCS).</w:t>
      </w:r>
    </w:p>
    <w:p w:rsidR="000A156F" w:rsidRDefault="00A9721F">
      <w:pPr>
        <w:pStyle w:val="Heading3"/>
      </w:pPr>
      <w:bookmarkStart w:id="2096" w:name="section_62b11e5620d741298c09837a45147585"/>
      <w:bookmarkStart w:id="2097" w:name="_Toc181684074"/>
      <w:r>
        <w:t>Part 1 Section 18.17.7.286, SEARCHB</w:t>
      </w:r>
      <w:bookmarkEnd w:id="2096"/>
      <w:bookmarkEnd w:id="2097"/>
      <w:r>
        <w:fldChar w:fldCharType="begin"/>
      </w:r>
      <w:r>
        <w:instrText xml:space="preserve"> XE "SEARCHB" </w:instrText>
      </w:r>
      <w:r>
        <w:fldChar w:fldCharType="end"/>
      </w:r>
    </w:p>
    <w:p w:rsidR="000A156F" w:rsidRDefault="00A9721F">
      <w:pPr>
        <w:pStyle w:val="Definition-Field"/>
      </w:pPr>
      <w:r>
        <w:t xml:space="preserve">a.   </w:t>
      </w:r>
      <w:r>
        <w:rPr>
          <w:i/>
        </w:rPr>
        <w:t>The standard states that in the description of argument start-pos, start-pos shall be at least 0.</w:t>
      </w:r>
    </w:p>
    <w:p w:rsidR="000A156F" w:rsidRDefault="00A9721F">
      <w:pPr>
        <w:pStyle w:val="Definition-Field2"/>
      </w:pPr>
      <w:r>
        <w:t>In Office, start-pos shall b</w:t>
      </w:r>
      <w:r>
        <w:t>e at least 1, measured in bytes.</w:t>
      </w:r>
    </w:p>
    <w:p w:rsidR="000A156F" w:rsidRDefault="00A9721F">
      <w:pPr>
        <w:pStyle w:val="Definition-Field"/>
      </w:pPr>
      <w:r>
        <w:t xml:space="preserve">b.   </w:t>
      </w:r>
      <w:r>
        <w:rPr>
          <w:i/>
        </w:rPr>
        <w:t>The standard does not specify that the start position is measured in bytes.</w:t>
      </w:r>
    </w:p>
    <w:p w:rsidR="000A156F" w:rsidRDefault="00A9721F">
      <w:pPr>
        <w:pStyle w:val="Definition-Field2"/>
      </w:pPr>
      <w:r>
        <w:t>Office measures the start position in bytes.</w:t>
      </w:r>
    </w:p>
    <w:p w:rsidR="000A156F" w:rsidRDefault="00A9721F">
      <w:pPr>
        <w:pStyle w:val="Definition-Field"/>
      </w:pPr>
      <w:r>
        <w:t xml:space="preserve">c.   </w:t>
      </w:r>
      <w:r>
        <w:rPr>
          <w:i/>
        </w:rPr>
        <w:t>The standard does not specify behavior of SEARCHB when default language supports DBCS and wh</w:t>
      </w:r>
      <w:r>
        <w:rPr>
          <w:i/>
        </w:rPr>
        <w:t>en it does not support DBCS.</w:t>
      </w:r>
    </w:p>
    <w:p w:rsidR="000A156F" w:rsidRDefault="00A9721F">
      <w:pPr>
        <w:pStyle w:val="Definition-Field2"/>
      </w:pPr>
      <w:r>
        <w:t xml:space="preserve">In Office, when the default language supports DBCS, SEARCHB counts each double-byte character as 2 bytes, and each single-byte character as 1. When the default language does not support DBCS, SEARCHB counts each character as 1 </w:t>
      </w:r>
      <w:r>
        <w:t>byte.</w:t>
      </w:r>
    </w:p>
    <w:p w:rsidR="000A156F" w:rsidRDefault="00A9721F">
      <w:pPr>
        <w:pStyle w:val="Definition-Field"/>
      </w:pPr>
      <w:r>
        <w:t xml:space="preserve">d.   </w:t>
      </w:r>
      <w:r>
        <w:rPr>
          <w:i/>
        </w:rPr>
        <w:t>The standard does not specify which languages support DBCS.</w:t>
      </w:r>
    </w:p>
    <w:p w:rsidR="000A156F" w:rsidRDefault="00A9721F">
      <w:pPr>
        <w:pStyle w:val="Definition-Field2"/>
      </w:pPr>
      <w:r>
        <w:t>In Office, the languages that support DBCS include Japanese, Chinese (Simplified), Chinese (Traditional), and Korean.</w:t>
      </w:r>
    </w:p>
    <w:p w:rsidR="000A156F" w:rsidRDefault="00A9721F">
      <w:pPr>
        <w:pStyle w:val="Heading3"/>
      </w:pPr>
      <w:bookmarkStart w:id="2098" w:name="section_990788fe5bd443d6813b1bf3c7644848"/>
      <w:bookmarkStart w:id="2099" w:name="_Toc181684075"/>
      <w:r>
        <w:t>Part 1 Section 18.17.7.288, SERIESSUM</w:t>
      </w:r>
      <w:bookmarkEnd w:id="2098"/>
      <w:bookmarkEnd w:id="2099"/>
      <w:r>
        <w:fldChar w:fldCharType="begin"/>
      </w:r>
      <w:r>
        <w:instrText xml:space="preserve"> XE "SERIESSUM" </w:instrText>
      </w:r>
      <w:r>
        <w:fldChar w:fldCharType="end"/>
      </w:r>
    </w:p>
    <w:p w:rsidR="000A156F" w:rsidRDefault="00A9721F">
      <w:pPr>
        <w:pStyle w:val="Definition-Field"/>
      </w:pPr>
      <w:r>
        <w:t xml:space="preserve">a.   </w:t>
      </w:r>
      <w:r>
        <w:rPr>
          <w:i/>
        </w:rPr>
        <w:t xml:space="preserve">The </w:t>
      </w:r>
      <w:r>
        <w:rPr>
          <w:i/>
        </w:rPr>
        <w:t>standard states that the argument coefficients must be of type reference.</w:t>
      </w:r>
    </w:p>
    <w:p w:rsidR="000A156F" w:rsidRDefault="00A9721F">
      <w:pPr>
        <w:pStyle w:val="Definition-Field2"/>
      </w:pPr>
      <w:r>
        <w:t>Office allows the coefficients argument to be of types array or reference.</w:t>
      </w:r>
    </w:p>
    <w:p w:rsidR="000A156F" w:rsidRDefault="00A9721F">
      <w:pPr>
        <w:pStyle w:val="Heading3"/>
      </w:pPr>
      <w:bookmarkStart w:id="2100" w:name="section_75fa1301c60a407b953d83f5eb3abbb9"/>
      <w:bookmarkStart w:id="2101" w:name="_Toc181684076"/>
      <w:r>
        <w:t>Part 1 Section 18.17.7.290, SIN</w:t>
      </w:r>
      <w:bookmarkEnd w:id="2100"/>
      <w:bookmarkEnd w:id="2101"/>
      <w:r>
        <w:fldChar w:fldCharType="begin"/>
      </w:r>
      <w:r>
        <w:instrText xml:space="preserve"> XE "SIN" </w:instrText>
      </w:r>
      <w:r>
        <w:fldChar w:fldCharType="end"/>
      </w:r>
    </w:p>
    <w:p w:rsidR="000A156F" w:rsidRDefault="00A9721F">
      <w:pPr>
        <w:pStyle w:val="Definition-Field"/>
      </w:pPr>
      <w:r>
        <w:t xml:space="preserve">a.   </w:t>
      </w:r>
      <w:r>
        <w:rPr>
          <w:i/>
        </w:rPr>
        <w:t>The standard does not specify the unit for x.</w:t>
      </w:r>
    </w:p>
    <w:p w:rsidR="000A156F" w:rsidRDefault="00A9721F">
      <w:pPr>
        <w:pStyle w:val="Definition-Field2"/>
      </w:pPr>
      <w:r>
        <w:t xml:space="preserve">Office uses </w:t>
      </w:r>
      <w:r>
        <w:t>x in radians.</w:t>
      </w:r>
    </w:p>
    <w:p w:rsidR="000A156F" w:rsidRDefault="00A9721F">
      <w:pPr>
        <w:pStyle w:val="Heading3"/>
      </w:pPr>
      <w:bookmarkStart w:id="2102" w:name="section_fe5372708bd24348885bc6d159cfccc1"/>
      <w:bookmarkStart w:id="2103" w:name="_Toc181684077"/>
      <w:r>
        <w:lastRenderedPageBreak/>
        <w:t>Part 1 Section 18.17.7.294, SLOPE</w:t>
      </w:r>
      <w:bookmarkEnd w:id="2102"/>
      <w:bookmarkEnd w:id="2103"/>
      <w:r>
        <w:fldChar w:fldCharType="begin"/>
      </w:r>
      <w:r>
        <w:instrText xml:space="preserve"> XE "SLOPE" </w:instrText>
      </w:r>
      <w:r>
        <w:fldChar w:fldCharType="end"/>
      </w:r>
    </w:p>
    <w:p w:rsidR="000A156F" w:rsidRDefault="00A9721F">
      <w:pPr>
        <w:pStyle w:val="Definition-Field"/>
      </w:pPr>
      <w:r>
        <w:t xml:space="preserve">a.   </w:t>
      </w:r>
      <w:r>
        <w:rPr>
          <w:i/>
        </w:rPr>
        <w:t>The standard does not specify how function arguments map to formula variables.</w:t>
      </w:r>
    </w:p>
    <w:p w:rsidR="000A156F" w:rsidRDefault="00A9721F">
      <w:pPr>
        <w:pStyle w:val="Definition-Field2"/>
      </w:pPr>
      <w:r>
        <w:t>Office maps x-bar  to the sample mean AVERAGE (known-xs) argument and y-bar to the sample mean AVERAGE (known-</w:t>
      </w:r>
      <w:r>
        <w:t>ys) argument.</w:t>
      </w:r>
    </w:p>
    <w:p w:rsidR="000A156F" w:rsidRDefault="00A9721F">
      <w:pPr>
        <w:pStyle w:val="Heading3"/>
      </w:pPr>
      <w:bookmarkStart w:id="2104" w:name="section_1df6af0af8044a189683ef5e9dcf9624"/>
      <w:bookmarkStart w:id="2105" w:name="_Toc181684078"/>
      <w:r>
        <w:t>Part 1 Section 18.17.7.299, STDEV</w:t>
      </w:r>
      <w:bookmarkEnd w:id="2104"/>
      <w:bookmarkEnd w:id="2105"/>
      <w:r>
        <w:fldChar w:fldCharType="begin"/>
      </w:r>
      <w:r>
        <w:instrText xml:space="preserve"> XE "STDEV" </w:instrText>
      </w:r>
      <w:r>
        <w:fldChar w:fldCharType="end"/>
      </w:r>
    </w:p>
    <w:p w:rsidR="000A156F" w:rsidRDefault="00A9721F">
      <w:pPr>
        <w:pStyle w:val="Definition-Field"/>
      </w:pPr>
      <w:r>
        <w:t xml:space="preserve">a.   </w:t>
      </w:r>
      <w:r>
        <w:rPr>
          <w:i/>
        </w:rPr>
        <w:t>The standard maps x to the sample mean and n to the sample size.</w:t>
      </w:r>
    </w:p>
    <w:p w:rsidR="000A156F" w:rsidRDefault="00A9721F">
      <w:pPr>
        <w:pStyle w:val="Definition-Field2"/>
      </w:pPr>
      <w:r>
        <w:t>Office maps x-bar to the sample mean, n to the sample size and x to a sample value.</w:t>
      </w:r>
    </w:p>
    <w:p w:rsidR="000A156F" w:rsidRDefault="00A9721F">
      <w:pPr>
        <w:pStyle w:val="Definition-Field"/>
      </w:pPr>
      <w:r>
        <w:t xml:space="preserve">b.   </w:t>
      </w:r>
      <w:r>
        <w:rPr>
          <w:i/>
        </w:rPr>
        <w:t xml:space="preserve">The standard does not specify what </w:t>
      </w:r>
      <w:r>
        <w:rPr>
          <w:i/>
        </w:rPr>
        <w:t>happens if sample size is less than or equal to 1.</w:t>
      </w:r>
    </w:p>
    <w:p w:rsidR="000A156F" w:rsidRDefault="00A9721F">
      <w:pPr>
        <w:pStyle w:val="Definition-Field2"/>
      </w:pPr>
      <w:r>
        <w:t>Office returns #DIV/0! if sample size is less than or equal to 1.</w:t>
      </w:r>
    </w:p>
    <w:p w:rsidR="000A156F" w:rsidRDefault="00A9721F">
      <w:pPr>
        <w:pStyle w:val="Heading3"/>
      </w:pPr>
      <w:bookmarkStart w:id="2106" w:name="section_7cd80ce62f494e28a7fc75bab7b14571"/>
      <w:bookmarkStart w:id="2107" w:name="_Toc181684079"/>
      <w:r>
        <w:t>Part 1 Section 18.17.7.300, STDEVA</w:t>
      </w:r>
      <w:bookmarkEnd w:id="2106"/>
      <w:bookmarkEnd w:id="2107"/>
      <w:r>
        <w:fldChar w:fldCharType="begin"/>
      </w:r>
      <w:r>
        <w:instrText xml:space="preserve"> XE "STDEVA" </w:instrText>
      </w:r>
      <w:r>
        <w:fldChar w:fldCharType="end"/>
      </w:r>
    </w:p>
    <w:p w:rsidR="000A156F" w:rsidRDefault="00A9721F">
      <w:pPr>
        <w:pStyle w:val="Definition-Field"/>
      </w:pPr>
      <w:r>
        <w:t xml:space="preserve">a.   </w:t>
      </w:r>
      <w:r>
        <w:rPr>
          <w:i/>
        </w:rPr>
        <w:t>The standard maps x to the sample mean and n to the sample size.</w:t>
      </w:r>
    </w:p>
    <w:p w:rsidR="000A156F" w:rsidRDefault="00A9721F">
      <w:pPr>
        <w:pStyle w:val="Definition-Field2"/>
      </w:pPr>
      <w:r>
        <w:t>Office maps x-bar t</w:t>
      </w:r>
      <w:r>
        <w:t>o the sample mean, n to the sample size and x to a sample value.</w:t>
      </w:r>
    </w:p>
    <w:p w:rsidR="000A156F" w:rsidRDefault="00A9721F">
      <w:pPr>
        <w:pStyle w:val="Definition-Field"/>
      </w:pPr>
      <w:r>
        <w:t xml:space="preserve">b.   </w:t>
      </w:r>
      <w:r>
        <w:rPr>
          <w:i/>
        </w:rPr>
        <w:t>The standard does not specify what happens if size is less than or equal to one.</w:t>
      </w:r>
    </w:p>
    <w:p w:rsidR="000A156F" w:rsidRDefault="00A9721F">
      <w:pPr>
        <w:pStyle w:val="Definition-Field2"/>
      </w:pPr>
      <w:r>
        <w:t>Office returns #DIV/0! if sample size is less than or equal to one.</w:t>
      </w:r>
    </w:p>
    <w:p w:rsidR="000A156F" w:rsidRDefault="00A9721F">
      <w:pPr>
        <w:pStyle w:val="Heading3"/>
      </w:pPr>
      <w:bookmarkStart w:id="2108" w:name="section_a17fe1342b274cc7a117baf9dc444b52"/>
      <w:bookmarkStart w:id="2109" w:name="_Toc181684080"/>
      <w:r>
        <w:t>Part 1 Section 18.17.7.301, STDEVP</w:t>
      </w:r>
      <w:bookmarkEnd w:id="2108"/>
      <w:bookmarkEnd w:id="2109"/>
      <w:r>
        <w:fldChar w:fldCharType="begin"/>
      </w:r>
      <w:r>
        <w:instrText xml:space="preserve"> XE</w:instrText>
      </w:r>
      <w:r>
        <w:instrText xml:space="preserve"> "STDEVP" </w:instrText>
      </w:r>
      <w:r>
        <w:fldChar w:fldCharType="end"/>
      </w:r>
    </w:p>
    <w:p w:rsidR="000A156F" w:rsidRDefault="00A9721F">
      <w:pPr>
        <w:pStyle w:val="Definition-Field"/>
      </w:pPr>
      <w:r>
        <w:t xml:space="preserve">a.   </w:t>
      </w:r>
      <w:r>
        <w:rPr>
          <w:i/>
        </w:rPr>
        <w:t>The standard maps x to sample value, x-bar to sample mean, and n to the sample size.</w:t>
      </w:r>
    </w:p>
    <w:p w:rsidR="000A156F" w:rsidRDefault="00A9721F">
      <w:pPr>
        <w:pStyle w:val="Definition-Field2"/>
      </w:pPr>
      <w:r>
        <w:t>Office maps x to a population value, x-bar to the population mean, and n to the population size.</w:t>
      </w:r>
    </w:p>
    <w:p w:rsidR="000A156F" w:rsidRDefault="00A9721F">
      <w:pPr>
        <w:pStyle w:val="Definition-Field"/>
      </w:pPr>
      <w:r>
        <w:t xml:space="preserve">b.   </w:t>
      </w:r>
      <w:r>
        <w:rPr>
          <w:i/>
        </w:rPr>
        <w:t>The standard states that if data represents a popul</w:t>
      </w:r>
      <w:r>
        <w:rPr>
          <w:i/>
        </w:rPr>
        <w:t>ation sample only, STDEVA should be used.</w:t>
      </w:r>
    </w:p>
    <w:p w:rsidR="000A156F" w:rsidRDefault="00A9721F">
      <w:pPr>
        <w:pStyle w:val="Definition-Field2"/>
      </w:pPr>
      <w:r>
        <w:t>In Office, STDEV should be used in this case.</w:t>
      </w:r>
    </w:p>
    <w:p w:rsidR="000A156F" w:rsidRDefault="00A9721F">
      <w:pPr>
        <w:pStyle w:val="Definition-Field"/>
      </w:pPr>
      <w:r>
        <w:t xml:space="preserve">c.   </w:t>
      </w:r>
      <w:r>
        <w:rPr>
          <w:i/>
        </w:rPr>
        <w:t>The standard does not specify what happens if population size is 0.</w:t>
      </w:r>
    </w:p>
    <w:p w:rsidR="000A156F" w:rsidRDefault="00A9721F">
      <w:pPr>
        <w:pStyle w:val="Definition-Field2"/>
      </w:pPr>
      <w:r>
        <w:t>Office returns #DIV/0! if population size is 0.</w:t>
      </w:r>
    </w:p>
    <w:p w:rsidR="000A156F" w:rsidRDefault="00A9721F">
      <w:pPr>
        <w:pStyle w:val="Heading3"/>
      </w:pPr>
      <w:bookmarkStart w:id="2110" w:name="section_f3fa4168d6cb4974b749023650d7066e"/>
      <w:bookmarkStart w:id="2111" w:name="_Toc181684081"/>
      <w:r>
        <w:t>Part 1 Section 18.17.7.302, STDEVPA</w:t>
      </w:r>
      <w:bookmarkEnd w:id="2110"/>
      <w:bookmarkEnd w:id="2111"/>
      <w:r>
        <w:fldChar w:fldCharType="begin"/>
      </w:r>
      <w:r>
        <w:instrText xml:space="preserve"> XE "STDEVPA</w:instrText>
      </w:r>
      <w:r>
        <w:instrText xml:space="preserve">" </w:instrText>
      </w:r>
      <w:r>
        <w:fldChar w:fldCharType="end"/>
      </w:r>
    </w:p>
    <w:p w:rsidR="000A156F" w:rsidRDefault="00A9721F">
      <w:pPr>
        <w:pStyle w:val="Definition-Field"/>
      </w:pPr>
      <w:r>
        <w:t xml:space="preserve">a.   </w:t>
      </w:r>
      <w:r>
        <w:rPr>
          <w:i/>
        </w:rPr>
        <w:t>The standard maps x to sample value, x-bar to sample mean, and n to the sample size.</w:t>
      </w:r>
    </w:p>
    <w:p w:rsidR="000A156F" w:rsidRDefault="00A9721F">
      <w:pPr>
        <w:pStyle w:val="Definition-Field2"/>
      </w:pPr>
      <w:r>
        <w:t>Office maps x to a population value, x-bar to the population mean, and n to the population size.</w:t>
      </w:r>
    </w:p>
    <w:p w:rsidR="000A156F" w:rsidRDefault="00A9721F">
      <w:pPr>
        <w:pStyle w:val="Definition-Field"/>
      </w:pPr>
      <w:r>
        <w:t xml:space="preserve">b.   </w:t>
      </w:r>
      <w:r>
        <w:rPr>
          <w:i/>
        </w:rPr>
        <w:t>The standard does not specify what happens if population si</w:t>
      </w:r>
      <w:r>
        <w:rPr>
          <w:i/>
        </w:rPr>
        <w:t>ze is 0.</w:t>
      </w:r>
    </w:p>
    <w:p w:rsidR="000A156F" w:rsidRDefault="00A9721F">
      <w:pPr>
        <w:pStyle w:val="Definition-Field2"/>
      </w:pPr>
      <w:r>
        <w:t>Office returns #DIV/0! if population size is 0.</w:t>
      </w:r>
    </w:p>
    <w:p w:rsidR="000A156F" w:rsidRDefault="00A9721F">
      <w:pPr>
        <w:pStyle w:val="Heading3"/>
      </w:pPr>
      <w:bookmarkStart w:id="2112" w:name="section_f469d851d5c043e99f7fded5c6d64a6f"/>
      <w:bookmarkStart w:id="2113" w:name="_Toc181684082"/>
      <w:r>
        <w:t>Part 1 Section 18.17.7.304, SUBSTITUTE</w:t>
      </w:r>
      <w:bookmarkEnd w:id="2112"/>
      <w:bookmarkEnd w:id="2113"/>
      <w:r>
        <w:fldChar w:fldCharType="begin"/>
      </w:r>
      <w:r>
        <w:instrText xml:space="preserve"> XE "SUBSTITUTE" </w:instrText>
      </w:r>
      <w:r>
        <w:fldChar w:fldCharType="end"/>
      </w:r>
    </w:p>
    <w:p w:rsidR="000A156F" w:rsidRDefault="00A9721F">
      <w:pPr>
        <w:pStyle w:val="Definition-Field"/>
      </w:pPr>
      <w:r>
        <w:t xml:space="preserve">a.   </w:t>
      </w:r>
      <w:r>
        <w:rPr>
          <w:i/>
        </w:rPr>
        <w:t>The standard states if occurence is less than 0, #VALUE! is returned.</w:t>
      </w:r>
    </w:p>
    <w:p w:rsidR="000A156F" w:rsidRDefault="00A9721F">
      <w:pPr>
        <w:pStyle w:val="Definition-Field2"/>
      </w:pPr>
      <w:r>
        <w:t>Office returns #VALUE! if occurence is less than or equal to 0.</w:t>
      </w:r>
    </w:p>
    <w:p w:rsidR="000A156F" w:rsidRDefault="00A9721F">
      <w:pPr>
        <w:pStyle w:val="Heading3"/>
      </w:pPr>
      <w:bookmarkStart w:id="2114" w:name="section_7ae08e5fee2843e8bdf3e9e358a7c4fe"/>
      <w:bookmarkStart w:id="2115" w:name="_Toc181684083"/>
      <w:r>
        <w:lastRenderedPageBreak/>
        <w:t>Pa</w:t>
      </w:r>
      <w:r>
        <w:t>rt 1 Section 18.17.7.306, SUM</w:t>
      </w:r>
      <w:bookmarkEnd w:id="2114"/>
      <w:bookmarkEnd w:id="2115"/>
      <w:r>
        <w:fldChar w:fldCharType="begin"/>
      </w:r>
      <w:r>
        <w:instrText xml:space="preserve"> XE "SUM" </w:instrText>
      </w:r>
      <w:r>
        <w:fldChar w:fldCharType="end"/>
      </w:r>
    </w:p>
    <w:p w:rsidR="000A156F" w:rsidRDefault="00A9721F">
      <w:pPr>
        <w:pStyle w:val="Definition-Field"/>
      </w:pPr>
      <w:r>
        <w:t xml:space="preserve">a.   </w:t>
      </w:r>
      <w:r>
        <w:rPr>
          <w:i/>
        </w:rPr>
        <w:t>The standard states that valid arguments in argument-list shall be counted.</w:t>
      </w:r>
    </w:p>
    <w:p w:rsidR="000A156F" w:rsidRDefault="00A9721F">
      <w:pPr>
        <w:pStyle w:val="Definition-Field2"/>
      </w:pPr>
      <w:r>
        <w:t>In Office, valid arguments in argument-list shall be added.</w:t>
      </w:r>
    </w:p>
    <w:p w:rsidR="000A156F" w:rsidRDefault="00A9721F">
      <w:pPr>
        <w:pStyle w:val="Heading3"/>
      </w:pPr>
      <w:bookmarkStart w:id="2116" w:name="section_d669f66b65ed441e8c198845b572cd13"/>
      <w:bookmarkStart w:id="2117" w:name="_Toc181684084"/>
      <w:r>
        <w:t>Part 1 Section 18.17.7.308, SUMIFS</w:t>
      </w:r>
      <w:bookmarkEnd w:id="2116"/>
      <w:bookmarkEnd w:id="2117"/>
      <w:r>
        <w:fldChar w:fldCharType="begin"/>
      </w:r>
      <w:r>
        <w:instrText xml:space="preserve"> XE "SUMIFS" </w:instrText>
      </w:r>
      <w:r>
        <w:fldChar w:fldCharType="end"/>
      </w:r>
    </w:p>
    <w:p w:rsidR="000A156F" w:rsidRDefault="00A9721F">
      <w:pPr>
        <w:pStyle w:val="Definition-Field"/>
      </w:pPr>
      <w:r>
        <w:t xml:space="preserve">a.   </w:t>
      </w:r>
      <w:r>
        <w:rPr>
          <w:i/>
        </w:rPr>
        <w:t xml:space="preserve">The standard </w:t>
      </w:r>
      <w:r>
        <w:rPr>
          <w:i/>
        </w:rPr>
        <w:t>states that sum-range need not have the same size and shape as cell-range-1 through cell-range-n.</w:t>
      </w:r>
    </w:p>
    <w:p w:rsidR="000A156F" w:rsidRDefault="00A9721F">
      <w:pPr>
        <w:pStyle w:val="Definition-Field2"/>
      </w:pPr>
      <w:r>
        <w:t>In Office, each cell-range-1...cell-range-n shall have the same size and shape as sum-range.</w:t>
      </w:r>
    </w:p>
    <w:p w:rsidR="000A156F" w:rsidRDefault="00A9721F">
      <w:pPr>
        <w:pStyle w:val="Definition-Field"/>
      </w:pPr>
      <w:r>
        <w:t xml:space="preserve">b.   </w:t>
      </w:r>
      <w:r>
        <w:rPr>
          <w:i/>
        </w:rPr>
        <w:t xml:space="preserve">The standard states that cells in sum-range that contain </w:t>
      </w:r>
      <w:r>
        <w:rPr>
          <w:i/>
        </w:rPr>
        <w:t>TRUE evaluate to 1; cells in sum-range that contain FALSE evaluate to 0.</w:t>
      </w:r>
    </w:p>
    <w:p w:rsidR="000A156F" w:rsidRDefault="00A9721F">
      <w:pPr>
        <w:pStyle w:val="Definition-Field2"/>
      </w:pPr>
      <w:r>
        <w:t>In Office, cells in sum-range that do not contain numeric values evaluate to 0.</w:t>
      </w:r>
    </w:p>
    <w:p w:rsidR="000A156F" w:rsidRDefault="00A9721F">
      <w:pPr>
        <w:pStyle w:val="Heading3"/>
      </w:pPr>
      <w:bookmarkStart w:id="2118" w:name="section_d5d00d6f26194707a91cbd48fb7109d8"/>
      <w:bookmarkStart w:id="2119" w:name="_Toc181684085"/>
      <w:r>
        <w:t>Part 1 Section 18.17.7.309, SUMPRODUCT</w:t>
      </w:r>
      <w:bookmarkEnd w:id="2118"/>
      <w:bookmarkEnd w:id="2119"/>
      <w:r>
        <w:fldChar w:fldCharType="begin"/>
      </w:r>
      <w:r>
        <w:instrText xml:space="preserve"> XE "SUMPRODUCT" </w:instrText>
      </w:r>
      <w:r>
        <w:fldChar w:fldCharType="end"/>
      </w:r>
    </w:p>
    <w:p w:rsidR="000A156F" w:rsidRDefault="00A9721F">
      <w:pPr>
        <w:pStyle w:val="Definition-Field"/>
      </w:pPr>
      <w:r>
        <w:t xml:space="preserve">a.   </w:t>
      </w:r>
      <w:r>
        <w:rPr>
          <w:i/>
        </w:rPr>
        <w:t>The standard states if the array argumen</w:t>
      </w:r>
      <w:r>
        <w:rPr>
          <w:i/>
        </w:rPr>
        <w:t>ts do not have the same dimensions, #NUM! is returned.</w:t>
      </w:r>
    </w:p>
    <w:p w:rsidR="000A156F" w:rsidRDefault="00A9721F">
      <w:pPr>
        <w:pStyle w:val="Definition-Field2"/>
      </w:pPr>
      <w:r>
        <w:t>In Office, if the array arguments do not have the same dimensions, #VALUE! is returned.</w:t>
      </w:r>
    </w:p>
    <w:p w:rsidR="000A156F" w:rsidRDefault="00A9721F">
      <w:pPr>
        <w:pStyle w:val="Heading3"/>
      </w:pPr>
      <w:bookmarkStart w:id="2120" w:name="section_4353b2ada7bb412bbad44c1749f76897"/>
      <w:bookmarkStart w:id="2121" w:name="_Toc181684086"/>
      <w:r>
        <w:t>Part 1 Section 18.17.7.310, SUMSQ</w:t>
      </w:r>
      <w:bookmarkEnd w:id="2120"/>
      <w:bookmarkEnd w:id="2121"/>
      <w:r>
        <w:fldChar w:fldCharType="begin"/>
      </w:r>
      <w:r>
        <w:instrText xml:space="preserve"> XE "SUMSQ" </w:instrText>
      </w:r>
      <w:r>
        <w:fldChar w:fldCharType="end"/>
      </w:r>
    </w:p>
    <w:p w:rsidR="000A156F" w:rsidRDefault="00A9721F">
      <w:pPr>
        <w:pStyle w:val="Definition-Field"/>
      </w:pPr>
      <w:r>
        <w:t xml:space="preserve">a.   </w:t>
      </w:r>
      <w:r>
        <w:rPr>
          <w:i/>
        </w:rPr>
        <w:t>The standard states that valid arguments in argument-list sh</w:t>
      </w:r>
      <w:r>
        <w:rPr>
          <w:i/>
        </w:rPr>
        <w:t>all be counted.</w:t>
      </w:r>
    </w:p>
    <w:p w:rsidR="000A156F" w:rsidRDefault="00A9721F">
      <w:pPr>
        <w:pStyle w:val="Definition-Field2"/>
      </w:pPr>
      <w:r>
        <w:t>In Office, valid arguments in argument-list shall have their squares summed.</w:t>
      </w:r>
    </w:p>
    <w:p w:rsidR="000A156F" w:rsidRDefault="00A9721F">
      <w:pPr>
        <w:pStyle w:val="Heading3"/>
      </w:pPr>
      <w:bookmarkStart w:id="2122" w:name="section_b24fde3123534d2bac61724078e1213f"/>
      <w:bookmarkStart w:id="2123" w:name="_Toc181684087"/>
      <w:r>
        <w:t>Part 1 Section 18.17.7.316, TAN</w:t>
      </w:r>
      <w:bookmarkEnd w:id="2122"/>
      <w:bookmarkEnd w:id="2123"/>
      <w:r>
        <w:fldChar w:fldCharType="begin"/>
      </w:r>
      <w:r>
        <w:instrText xml:space="preserve"> XE "TAN" </w:instrText>
      </w:r>
      <w:r>
        <w:fldChar w:fldCharType="end"/>
      </w:r>
    </w:p>
    <w:p w:rsidR="000A156F" w:rsidRDefault="00A9721F">
      <w:pPr>
        <w:pStyle w:val="Definition-Field"/>
      </w:pPr>
      <w:r>
        <w:t xml:space="preserve">a.   </w:t>
      </w:r>
      <w:r>
        <w:rPr>
          <w:i/>
        </w:rPr>
        <w:t>The standard does not specify the unit for x.</w:t>
      </w:r>
    </w:p>
    <w:p w:rsidR="000A156F" w:rsidRDefault="00A9721F">
      <w:pPr>
        <w:pStyle w:val="Definition-Field2"/>
      </w:pPr>
      <w:r>
        <w:t>Office uses x in radians.</w:t>
      </w:r>
    </w:p>
    <w:p w:rsidR="000A156F" w:rsidRDefault="00A9721F">
      <w:pPr>
        <w:pStyle w:val="Heading3"/>
      </w:pPr>
      <w:bookmarkStart w:id="2124" w:name="section_314e45ecb2d842379103a0ed722130a8"/>
      <w:bookmarkStart w:id="2125" w:name="_Toc181684088"/>
      <w:r>
        <w:t>Part 1 Section 18.17.7.319, TBILLPRICE</w:t>
      </w:r>
      <w:bookmarkEnd w:id="2124"/>
      <w:bookmarkEnd w:id="2125"/>
      <w:r>
        <w:fldChar w:fldCharType="begin"/>
      </w:r>
      <w:r>
        <w:instrText xml:space="preserve"> XE </w:instrText>
      </w:r>
      <w:r>
        <w:instrText xml:space="preserve">"TBILLPRICE" </w:instrText>
      </w:r>
      <w:r>
        <w:fldChar w:fldCharType="end"/>
      </w:r>
    </w:p>
    <w:p w:rsidR="000A156F" w:rsidRDefault="00A9721F">
      <w:pPr>
        <w:pStyle w:val="Definition-Field"/>
      </w:pPr>
      <w:r>
        <w:t xml:space="preserve">a.   </w:t>
      </w:r>
      <w:r>
        <w:rPr>
          <w:i/>
        </w:rPr>
        <w:t>The standard states that the function computes the price per $100 face value for a U.S. Treasury bill.</w:t>
      </w:r>
    </w:p>
    <w:p w:rsidR="000A156F" w:rsidRDefault="00A9721F">
      <w:pPr>
        <w:pStyle w:val="Definition-Field2"/>
      </w:pPr>
      <w:r>
        <w:t>In Office, the function is not specific to any currency or treasury bill.</w:t>
      </w:r>
    </w:p>
    <w:p w:rsidR="000A156F" w:rsidRDefault="00A9721F">
      <w:pPr>
        <w:pStyle w:val="Definition-Field"/>
      </w:pPr>
      <w:r>
        <w:t xml:space="preserve">b.   </w:t>
      </w:r>
      <w:r>
        <w:rPr>
          <w:i/>
        </w:rPr>
        <w:t>The standard states that if the settlement arguent is</w:t>
      </w:r>
      <w:r>
        <w:rPr>
          <w:i/>
        </w:rPr>
        <w:t xml:space="preserve"> greater than the maturity argument, then #NUM! is returned.</w:t>
      </w:r>
    </w:p>
    <w:p w:rsidR="000A156F" w:rsidRDefault="00A9721F">
      <w:pPr>
        <w:pStyle w:val="Definition-Field2"/>
      </w:pPr>
      <w:r>
        <w:t>Office returns #NUM! if the settlement argument is greater than or equal to the maturity argument.</w:t>
      </w:r>
    </w:p>
    <w:p w:rsidR="000A156F" w:rsidRDefault="00A9721F">
      <w:pPr>
        <w:pStyle w:val="Heading3"/>
      </w:pPr>
      <w:bookmarkStart w:id="2126" w:name="section_ae3240448a1a4e0daea87546318811b7"/>
      <w:bookmarkStart w:id="2127" w:name="_Toc181684089"/>
      <w:r>
        <w:t>Part 1 Section 18.17.7.320, TBILLYIELD</w:t>
      </w:r>
      <w:bookmarkEnd w:id="2126"/>
      <w:bookmarkEnd w:id="2127"/>
      <w:r>
        <w:fldChar w:fldCharType="begin"/>
      </w:r>
      <w:r>
        <w:instrText xml:space="preserve"> XE "TBILLYIELD" </w:instrText>
      </w:r>
      <w:r>
        <w:fldChar w:fldCharType="end"/>
      </w:r>
    </w:p>
    <w:p w:rsidR="000A156F" w:rsidRDefault="00A9721F">
      <w:pPr>
        <w:pStyle w:val="Definition-Field"/>
      </w:pPr>
      <w:r>
        <w:t xml:space="preserve">a.   </w:t>
      </w:r>
      <w:r>
        <w:rPr>
          <w:i/>
        </w:rPr>
        <w:t>The standard states that the argu</w:t>
      </w:r>
      <w:r>
        <w:rPr>
          <w:i/>
        </w:rPr>
        <w:t>ment pr is the Treasury bill's price per $100 face value.</w:t>
      </w:r>
    </w:p>
    <w:p w:rsidR="000A156F" w:rsidRDefault="00A9721F">
      <w:pPr>
        <w:pStyle w:val="Definition-Field2"/>
      </w:pPr>
      <w:r>
        <w:t>In Office, the argument pr is not specific to any currency or Treasury bill.</w:t>
      </w:r>
    </w:p>
    <w:p w:rsidR="000A156F" w:rsidRDefault="00A9721F">
      <w:pPr>
        <w:pStyle w:val="Definition-Field"/>
      </w:pPr>
      <w:r>
        <w:t xml:space="preserve">b.   </w:t>
      </w:r>
      <w:r>
        <w:rPr>
          <w:i/>
        </w:rPr>
        <w:t>The standard states that If settlement &gt; maturity, #NUM! is returned.</w:t>
      </w:r>
    </w:p>
    <w:p w:rsidR="000A156F" w:rsidRDefault="00A9721F">
      <w:pPr>
        <w:pStyle w:val="Definition-Field2"/>
      </w:pPr>
      <w:r>
        <w:t>Office returns #NUM! if settlement ≥ maturity.</w:t>
      </w:r>
    </w:p>
    <w:p w:rsidR="000A156F" w:rsidRDefault="00A9721F">
      <w:pPr>
        <w:pStyle w:val="Heading3"/>
      </w:pPr>
      <w:bookmarkStart w:id="2128" w:name="section_8c6629cf956745578c6223d7467173a8"/>
      <w:bookmarkStart w:id="2129" w:name="_Toc181684090"/>
      <w:r>
        <w:lastRenderedPageBreak/>
        <w:t>Part 1 Section 18.17.7.323, TIME</w:t>
      </w:r>
      <w:bookmarkEnd w:id="2128"/>
      <w:bookmarkEnd w:id="2129"/>
      <w:r>
        <w:fldChar w:fldCharType="begin"/>
      </w:r>
      <w:r>
        <w:instrText xml:space="preserve"> XE "TIME" </w:instrText>
      </w:r>
      <w:r>
        <w:fldChar w:fldCharType="end"/>
      </w:r>
    </w:p>
    <w:p w:rsidR="000A156F" w:rsidRDefault="00A9721F">
      <w:pPr>
        <w:pStyle w:val="Definition-Field"/>
      </w:pPr>
      <w:r>
        <w:t xml:space="preserve">a.   </w:t>
      </w:r>
      <w:r>
        <w:rPr>
          <w:i/>
        </w:rPr>
        <w:t>The standard specifies that the serial value for the given time, as a value greater than or equal to 0 and less than or equal to 1.</w:t>
      </w:r>
    </w:p>
    <w:p w:rsidR="000A156F" w:rsidRDefault="00A9721F">
      <w:pPr>
        <w:pStyle w:val="Definition-Field2"/>
      </w:pPr>
      <w:r>
        <w:t>Office treats the serial value for the given time, as a value greater th</w:t>
      </w:r>
      <w:r>
        <w:t>an or equal to 0 and less than 1.</w:t>
      </w:r>
    </w:p>
    <w:p w:rsidR="000A156F" w:rsidRDefault="00A9721F">
      <w:pPr>
        <w:pStyle w:val="Heading3"/>
      </w:pPr>
      <w:bookmarkStart w:id="2130" w:name="section_cf0b5eb22dd54c109d0c4a3810cc90fd"/>
      <w:bookmarkStart w:id="2131" w:name="_Toc181684091"/>
      <w:r>
        <w:t>Part 1 Section 18.17.7.324, TIMEVALUE</w:t>
      </w:r>
      <w:bookmarkEnd w:id="2130"/>
      <w:bookmarkEnd w:id="2131"/>
      <w:r>
        <w:fldChar w:fldCharType="begin"/>
      </w:r>
      <w:r>
        <w:instrText xml:space="preserve"> XE "TIMEVALUE" </w:instrText>
      </w:r>
      <w:r>
        <w:fldChar w:fldCharType="end"/>
      </w:r>
    </w:p>
    <w:p w:rsidR="000A156F" w:rsidRDefault="00A9721F">
      <w:pPr>
        <w:pStyle w:val="Definition-Field"/>
      </w:pPr>
      <w:r>
        <w:t xml:space="preserve">a.   </w:t>
      </w:r>
      <w:r>
        <w:rPr>
          <w:i/>
        </w:rPr>
        <w:t>The standard does not state the range for the result of the function.</w:t>
      </w:r>
    </w:p>
    <w:p w:rsidR="000A156F" w:rsidRDefault="00A9721F">
      <w:pPr>
        <w:pStyle w:val="Definition-Field2"/>
      </w:pPr>
      <w:r>
        <w:t>Office returns a value greater than or equal to zero and less than 1.</w:t>
      </w:r>
    </w:p>
    <w:p w:rsidR="000A156F" w:rsidRDefault="00A9721F">
      <w:pPr>
        <w:pStyle w:val="Heading3"/>
      </w:pPr>
      <w:bookmarkStart w:id="2132" w:name="section_2cbdb9beb9b2410daf3b3b09d6872ad6"/>
      <w:bookmarkStart w:id="2133" w:name="_Toc181684092"/>
      <w:r>
        <w:t>Part 1 Section 18.17.</w:t>
      </w:r>
      <w:r>
        <w:t>7.330, TRIMMEAN</w:t>
      </w:r>
      <w:bookmarkEnd w:id="2132"/>
      <w:bookmarkEnd w:id="2133"/>
      <w:r>
        <w:fldChar w:fldCharType="begin"/>
      </w:r>
      <w:r>
        <w:instrText xml:space="preserve"> XE "TRIMMEAN" </w:instrText>
      </w:r>
      <w:r>
        <w:fldChar w:fldCharType="end"/>
      </w:r>
    </w:p>
    <w:p w:rsidR="000A156F" w:rsidRDefault="00A9721F">
      <w:pPr>
        <w:pStyle w:val="Definition-Field"/>
      </w:pPr>
      <w:r>
        <w:t xml:space="preserve">a.   </w:t>
      </w:r>
      <w:r>
        <w:rPr>
          <w:i/>
        </w:rPr>
        <w:t>The standard states that #NUM! is returned if the percent argument is less than zero or greater than 1.</w:t>
      </w:r>
    </w:p>
    <w:p w:rsidR="000A156F" w:rsidRDefault="00A9721F">
      <w:pPr>
        <w:pStyle w:val="Definition-Field2"/>
      </w:pPr>
      <w:r>
        <w:t>In Office, #NUM! is returned if the percent argument is less than zero or greater than or equal to 1.</w:t>
      </w:r>
    </w:p>
    <w:p w:rsidR="000A156F" w:rsidRDefault="00A9721F">
      <w:pPr>
        <w:pStyle w:val="Heading3"/>
      </w:pPr>
      <w:bookmarkStart w:id="2134" w:name="section_5987610d70aa4818afcbd2769417c6fa"/>
      <w:bookmarkStart w:id="2135" w:name="_Toc181684093"/>
      <w:r>
        <w:t>Part 1 Section 18.17.7.332, TRUNC</w:t>
      </w:r>
      <w:bookmarkEnd w:id="2134"/>
      <w:bookmarkEnd w:id="2135"/>
      <w:r>
        <w:fldChar w:fldCharType="begin"/>
      </w:r>
      <w:r>
        <w:instrText xml:space="preserve"> XE "TRUNC" </w:instrText>
      </w:r>
      <w:r>
        <w:fldChar w:fldCharType="end"/>
      </w:r>
    </w:p>
    <w:p w:rsidR="000A156F" w:rsidRDefault="00A9721F">
      <w:pPr>
        <w:pStyle w:val="Definition-Field"/>
      </w:pPr>
      <w:r>
        <w:t xml:space="preserve">a.   </w:t>
      </w:r>
      <w:r>
        <w:rPr>
          <w:i/>
        </w:rPr>
        <w:t>The standard states that the argument x is of type array or reference.</w:t>
      </w:r>
    </w:p>
    <w:p w:rsidR="000A156F" w:rsidRDefault="00A9721F">
      <w:pPr>
        <w:pStyle w:val="Definition-Field2"/>
      </w:pPr>
      <w:r>
        <w:t>Office requires argument x to be of type number.</w:t>
      </w:r>
    </w:p>
    <w:p w:rsidR="000A156F" w:rsidRDefault="00A9721F">
      <w:pPr>
        <w:pStyle w:val="Heading3"/>
      </w:pPr>
      <w:bookmarkStart w:id="2136" w:name="section_2cdcacbb510645f0bf6a22a240164164"/>
      <w:bookmarkStart w:id="2137" w:name="_Toc181684094"/>
      <w:r>
        <w:t>Part 1 Section 18.17.7.333, TTEST</w:t>
      </w:r>
      <w:bookmarkEnd w:id="2136"/>
      <w:bookmarkEnd w:id="2137"/>
      <w:r>
        <w:fldChar w:fldCharType="begin"/>
      </w:r>
      <w:r>
        <w:instrText xml:space="preserve"> XE "TTEST" </w:instrText>
      </w:r>
      <w:r>
        <w:fldChar w:fldCharType="end"/>
      </w:r>
    </w:p>
    <w:p w:rsidR="000A156F" w:rsidRDefault="00A9721F">
      <w:pPr>
        <w:pStyle w:val="Definition-Field"/>
      </w:pPr>
      <w:r>
        <w:t xml:space="preserve">a.   </w:t>
      </w:r>
      <w:r>
        <w:rPr>
          <w:i/>
        </w:rPr>
        <w:t xml:space="preserve">The standard does not specify </w:t>
      </w:r>
      <w:r>
        <w:rPr>
          <w:i/>
        </w:rPr>
        <w:t>any restriction on argument test-type.</w:t>
      </w:r>
    </w:p>
    <w:p w:rsidR="000A156F" w:rsidRDefault="00A9721F">
      <w:pPr>
        <w:pStyle w:val="Definition-Field2"/>
      </w:pPr>
      <w:r>
        <w:t>In Office, #NUM! is returned if argument test-type is any value other than 1, 2, or 3.</w:t>
      </w:r>
    </w:p>
    <w:p w:rsidR="000A156F" w:rsidRDefault="00A9721F">
      <w:pPr>
        <w:pStyle w:val="Heading3"/>
      </w:pPr>
      <w:bookmarkStart w:id="2138" w:name="section_ab045545aaa841f5945ead37902440a0"/>
      <w:bookmarkStart w:id="2139" w:name="_Toc181684095"/>
      <w:r>
        <w:t>Part 1 Section 18.17.7.334, TYPE</w:t>
      </w:r>
      <w:bookmarkEnd w:id="2138"/>
      <w:bookmarkEnd w:id="2139"/>
      <w:r>
        <w:fldChar w:fldCharType="begin"/>
      </w:r>
      <w:r>
        <w:instrText xml:space="preserve"> XE "TYPE" </w:instrText>
      </w:r>
      <w:r>
        <w:fldChar w:fldCharType="end"/>
      </w:r>
    </w:p>
    <w:p w:rsidR="000A156F" w:rsidRDefault="00A9721F">
      <w:pPr>
        <w:pStyle w:val="Definition-Field"/>
      </w:pPr>
      <w:r>
        <w:t xml:space="preserve">a.   </w:t>
      </w:r>
      <w:r>
        <w:rPr>
          <w:i/>
        </w:rPr>
        <w:t>The standard states that the argument can be of any type.</w:t>
      </w:r>
    </w:p>
    <w:p w:rsidR="000A156F" w:rsidRDefault="00A9721F">
      <w:pPr>
        <w:pStyle w:val="Definition-Field2"/>
      </w:pPr>
      <w:r>
        <w:t>Office allows the arg</w:t>
      </w:r>
      <w:r>
        <w:t>ument value to be of any type except for reference.</w:t>
      </w:r>
    </w:p>
    <w:p w:rsidR="000A156F" w:rsidRDefault="00A9721F">
      <w:pPr>
        <w:pStyle w:val="Heading3"/>
      </w:pPr>
      <w:bookmarkStart w:id="2140" w:name="section_dc6ad719d7db4b06a8f17375c2d61522"/>
      <w:bookmarkStart w:id="2141" w:name="_Toc181684096"/>
      <w:r>
        <w:t>Part 1 Section 18.17.7.336, USDOLLAR</w:t>
      </w:r>
      <w:bookmarkEnd w:id="2140"/>
      <w:bookmarkEnd w:id="2141"/>
      <w:r>
        <w:fldChar w:fldCharType="begin"/>
      </w:r>
      <w:r>
        <w:instrText xml:space="preserve"> XE "USDOLLAR" </w:instrText>
      </w:r>
      <w:r>
        <w:fldChar w:fldCharType="end"/>
      </w:r>
    </w:p>
    <w:p w:rsidR="000A156F" w:rsidRDefault="00A9721F">
      <w:pPr>
        <w:pStyle w:val="Definition-Field"/>
      </w:pPr>
      <w:r>
        <w:t xml:space="preserve">a.   </w:t>
      </w:r>
      <w:r>
        <w:rPr>
          <w:i/>
        </w:rPr>
        <w:t>The standard does not specify any restriction on argument num-decimal.</w:t>
      </w:r>
    </w:p>
    <w:p w:rsidR="000A156F" w:rsidRDefault="00A9721F">
      <w:pPr>
        <w:pStyle w:val="Definition-Field2"/>
      </w:pPr>
      <w:r>
        <w:t>Office returns #VALUE! if argument num-decimal is greater than 127.</w:t>
      </w:r>
    </w:p>
    <w:p w:rsidR="000A156F" w:rsidRDefault="00A9721F">
      <w:pPr>
        <w:pStyle w:val="Definition-Field"/>
      </w:pPr>
      <w:r>
        <w:t xml:space="preserve">b.   </w:t>
      </w:r>
      <w:r>
        <w:rPr>
          <w:i/>
        </w:rPr>
        <w:t>T</w:t>
      </w:r>
      <w:r>
        <w:rPr>
          <w:i/>
        </w:rPr>
        <w:t>he standard states that the thousands separator is the comma, the radix point is the period, and the currency symbol is $ and the format used is $#,##0.00;($#,##0.00).</w:t>
      </w:r>
    </w:p>
    <w:p w:rsidR="000A156F" w:rsidRDefault="00A9721F">
      <w:pPr>
        <w:pStyle w:val="Definition-Field2"/>
      </w:pPr>
      <w:r>
        <w:t>In Office, the formatting applied to the string for the thousands separator, radix point</w:t>
      </w:r>
      <w:r>
        <w:t>, and currency symbol are implementation-specific.</w:t>
      </w:r>
    </w:p>
    <w:p w:rsidR="000A156F" w:rsidRDefault="00A9721F">
      <w:pPr>
        <w:pStyle w:val="Heading3"/>
      </w:pPr>
      <w:bookmarkStart w:id="2142" w:name="section_4d0498fcd6fd48449c3e82fb61cff764"/>
      <w:bookmarkStart w:id="2143" w:name="_Toc181684097"/>
      <w:r>
        <w:t>Part 1 Section 18.17.7.337, VALUE</w:t>
      </w:r>
      <w:bookmarkEnd w:id="2142"/>
      <w:bookmarkEnd w:id="2143"/>
      <w:r>
        <w:fldChar w:fldCharType="begin"/>
      </w:r>
      <w:r>
        <w:instrText xml:space="preserve"> XE "VALUE" </w:instrText>
      </w:r>
      <w:r>
        <w:fldChar w:fldCharType="end"/>
      </w:r>
    </w:p>
    <w:p w:rsidR="000A156F" w:rsidRDefault="00A9721F">
      <w:pPr>
        <w:pStyle w:val="Definition-Field"/>
      </w:pPr>
      <w:r>
        <w:t xml:space="preserve">a.   </w:t>
      </w:r>
      <w:r>
        <w:rPr>
          <w:i/>
        </w:rPr>
        <w:t>The standard does not specify what happens if string argument is not formatted as number, currency, date or time.</w:t>
      </w:r>
    </w:p>
    <w:p w:rsidR="000A156F" w:rsidRDefault="00A9721F">
      <w:pPr>
        <w:pStyle w:val="Definition-Field2"/>
      </w:pPr>
      <w:r>
        <w:lastRenderedPageBreak/>
        <w:t xml:space="preserve">In Office, if string is not formatted </w:t>
      </w:r>
      <w:r>
        <w:t>using a number, currency, date, or time format, #VALUE! Is returned.</w:t>
      </w:r>
    </w:p>
    <w:p w:rsidR="000A156F" w:rsidRDefault="00A9721F">
      <w:pPr>
        <w:pStyle w:val="Heading3"/>
      </w:pPr>
      <w:bookmarkStart w:id="2144" w:name="section_17cbd3caed7e49d781c4937496be200e"/>
      <w:bookmarkStart w:id="2145" w:name="_Toc181684098"/>
      <w:r>
        <w:t>Part 1 Section 18.17.7.338, VAR</w:t>
      </w:r>
      <w:bookmarkEnd w:id="2144"/>
      <w:bookmarkEnd w:id="2145"/>
      <w:r>
        <w:fldChar w:fldCharType="begin"/>
      </w:r>
      <w:r>
        <w:instrText xml:space="preserve"> XE "VAR" </w:instrText>
      </w:r>
      <w:r>
        <w:fldChar w:fldCharType="end"/>
      </w:r>
    </w:p>
    <w:p w:rsidR="000A156F" w:rsidRDefault="00A9721F">
      <w:pPr>
        <w:pStyle w:val="Definition-Field"/>
      </w:pPr>
      <w:r>
        <w:t xml:space="preserve">a.   </w:t>
      </w:r>
      <w:r>
        <w:rPr>
          <w:i/>
        </w:rPr>
        <w:t>The standard does not specify what happens if sample size is less than or equal to 1.</w:t>
      </w:r>
    </w:p>
    <w:p w:rsidR="000A156F" w:rsidRDefault="00A9721F">
      <w:pPr>
        <w:pStyle w:val="Definition-Field2"/>
      </w:pPr>
      <w:r>
        <w:t>Office returns #DIV/0! if sample size less than or e</w:t>
      </w:r>
      <w:r>
        <w:t>qual to 1.</w:t>
      </w:r>
    </w:p>
    <w:p w:rsidR="000A156F" w:rsidRDefault="00A9721F">
      <w:pPr>
        <w:pStyle w:val="Definition-Field"/>
      </w:pPr>
      <w:r>
        <w:t xml:space="preserve">b.   </w:t>
      </w:r>
      <w:r>
        <w:rPr>
          <w:i/>
        </w:rPr>
        <w:t>The standard does not specify how function arguments map to formula variables.</w:t>
      </w:r>
    </w:p>
    <w:p w:rsidR="000A156F" w:rsidRDefault="00A9721F">
      <w:pPr>
        <w:pStyle w:val="Definition-Field2"/>
      </w:pPr>
      <w:r>
        <w:t>Office maps x to a sample value, x-bar to AVERAGE(argument-1, argument-2,...,argument-n) and n to sample size.</w:t>
      </w:r>
    </w:p>
    <w:p w:rsidR="000A156F" w:rsidRDefault="00A9721F">
      <w:pPr>
        <w:pStyle w:val="Heading3"/>
      </w:pPr>
      <w:bookmarkStart w:id="2146" w:name="section_679b42b683744f1d98b2948061f3b26a"/>
      <w:bookmarkStart w:id="2147" w:name="_Toc181684099"/>
      <w:r>
        <w:t>Part 1 Section 18.17.7.339, VARA</w:t>
      </w:r>
      <w:bookmarkEnd w:id="2146"/>
      <w:bookmarkEnd w:id="2147"/>
      <w:r>
        <w:fldChar w:fldCharType="begin"/>
      </w:r>
      <w:r>
        <w:instrText xml:space="preserve"> XE "VARA" </w:instrText>
      </w:r>
      <w:r>
        <w:fldChar w:fldCharType="end"/>
      </w:r>
    </w:p>
    <w:p w:rsidR="000A156F" w:rsidRDefault="00A9721F">
      <w:pPr>
        <w:pStyle w:val="Definition-Field"/>
      </w:pPr>
      <w:r>
        <w:t xml:space="preserve">a.  </w:t>
      </w:r>
      <w:r>
        <w:t xml:space="preserve"> </w:t>
      </w:r>
      <w:r>
        <w:rPr>
          <w:i/>
        </w:rPr>
        <w:t>The standard does not specify what happens if sample size is less than or equal to 1.</w:t>
      </w:r>
    </w:p>
    <w:p w:rsidR="000A156F" w:rsidRDefault="00A9721F">
      <w:pPr>
        <w:pStyle w:val="Definition-Field2"/>
      </w:pPr>
      <w:r>
        <w:t>Office returns #DIV/0! if sample size is less than or equal to 1.</w:t>
      </w:r>
    </w:p>
    <w:p w:rsidR="000A156F" w:rsidRDefault="00A9721F">
      <w:pPr>
        <w:pStyle w:val="Definition-Field"/>
      </w:pPr>
      <w:r>
        <w:t xml:space="preserve">b.   </w:t>
      </w:r>
      <w:r>
        <w:rPr>
          <w:i/>
        </w:rPr>
        <w:t>The standard does not specify how function arguments map to formula variables.</w:t>
      </w:r>
    </w:p>
    <w:p w:rsidR="000A156F" w:rsidRDefault="00A9721F">
      <w:pPr>
        <w:pStyle w:val="Definition-Field2"/>
      </w:pPr>
      <w:r>
        <w:t xml:space="preserve">Office maps x to a </w:t>
      </w:r>
      <w:r>
        <w:t>sample value, x-bar to AVERAGE(argument-1, argument-2,...,argument-n) and n to sample size.</w:t>
      </w:r>
    </w:p>
    <w:p w:rsidR="000A156F" w:rsidRDefault="00A9721F">
      <w:pPr>
        <w:pStyle w:val="Heading3"/>
      </w:pPr>
      <w:bookmarkStart w:id="2148" w:name="section_cbed238b9f4444d6941aeec4f9e4dd4d"/>
      <w:bookmarkStart w:id="2149" w:name="_Toc181684100"/>
      <w:r>
        <w:t>Part 1 Section 18.17.7.340, VARP</w:t>
      </w:r>
      <w:bookmarkEnd w:id="2148"/>
      <w:bookmarkEnd w:id="2149"/>
      <w:r>
        <w:fldChar w:fldCharType="begin"/>
      </w:r>
      <w:r>
        <w:instrText xml:space="preserve"> XE "VARP" </w:instrText>
      </w:r>
      <w:r>
        <w:fldChar w:fldCharType="end"/>
      </w:r>
    </w:p>
    <w:p w:rsidR="000A156F" w:rsidRDefault="00A9721F">
      <w:pPr>
        <w:pStyle w:val="Definition-Field"/>
      </w:pPr>
      <w:r>
        <w:t xml:space="preserve">a.   </w:t>
      </w:r>
      <w:r>
        <w:rPr>
          <w:i/>
        </w:rPr>
        <w:t>The standard does not specify what happens if population size is 0.</w:t>
      </w:r>
    </w:p>
    <w:p w:rsidR="000A156F" w:rsidRDefault="00A9721F">
      <w:pPr>
        <w:pStyle w:val="Definition-Field2"/>
      </w:pPr>
      <w:r>
        <w:t xml:space="preserve">Office returns #DIV/0! if population size is </w:t>
      </w:r>
      <w:r>
        <w:t>0.</w:t>
      </w:r>
    </w:p>
    <w:p w:rsidR="000A156F" w:rsidRDefault="00A9721F">
      <w:pPr>
        <w:pStyle w:val="Definition-Field"/>
      </w:pPr>
      <w:r>
        <w:t xml:space="preserve">b.   </w:t>
      </w:r>
      <w:r>
        <w:rPr>
          <w:i/>
        </w:rPr>
        <w:t>The standard does not specify how function arguments map to formula variables.</w:t>
      </w:r>
    </w:p>
    <w:p w:rsidR="000A156F" w:rsidRDefault="00A9721F">
      <w:pPr>
        <w:pStyle w:val="Definition-Field2"/>
      </w:pPr>
      <w:r>
        <w:t>Office maps x to a population value, x-bar to AVERAGE(argument-1, argument-2,...,argument-n) and n to population size.</w:t>
      </w:r>
    </w:p>
    <w:p w:rsidR="000A156F" w:rsidRDefault="00A9721F">
      <w:pPr>
        <w:pStyle w:val="Heading3"/>
      </w:pPr>
      <w:bookmarkStart w:id="2150" w:name="section_9fcbeb9f84674d9381ab8ce9c5270da0"/>
      <w:bookmarkStart w:id="2151" w:name="_Toc181684101"/>
      <w:r>
        <w:t>Part 1 Section 18.17.7.341, VARPA</w:t>
      </w:r>
      <w:bookmarkEnd w:id="2150"/>
      <w:bookmarkEnd w:id="2151"/>
      <w:r>
        <w:fldChar w:fldCharType="begin"/>
      </w:r>
      <w:r>
        <w:instrText xml:space="preserve"> XE "VARPA" </w:instrText>
      </w:r>
      <w:r>
        <w:fldChar w:fldCharType="end"/>
      </w:r>
    </w:p>
    <w:p w:rsidR="000A156F" w:rsidRDefault="00A9721F">
      <w:pPr>
        <w:pStyle w:val="Definition-Field"/>
      </w:pPr>
      <w:r>
        <w:t>a.</w:t>
      </w:r>
      <w:r>
        <w:t xml:space="preserve">   </w:t>
      </w:r>
      <w:r>
        <w:rPr>
          <w:i/>
        </w:rPr>
        <w:t>The standard does not specify what happens if population size is 0.</w:t>
      </w:r>
    </w:p>
    <w:p w:rsidR="000A156F" w:rsidRDefault="00A9721F">
      <w:pPr>
        <w:pStyle w:val="Definition-Field2"/>
      </w:pPr>
      <w:r>
        <w:t>Office returns #DIV/0! if population size is 0.</w:t>
      </w:r>
    </w:p>
    <w:p w:rsidR="000A156F" w:rsidRDefault="00A9721F">
      <w:pPr>
        <w:pStyle w:val="Definition-Field"/>
      </w:pPr>
      <w:r>
        <w:t xml:space="preserve">b.   </w:t>
      </w:r>
      <w:r>
        <w:rPr>
          <w:i/>
        </w:rPr>
        <w:t>The standard does not specify how function arguments map to formula variables.</w:t>
      </w:r>
    </w:p>
    <w:p w:rsidR="000A156F" w:rsidRDefault="00A9721F">
      <w:pPr>
        <w:pStyle w:val="Definition-Field2"/>
      </w:pPr>
      <w:r>
        <w:t>Office maps x to a population value, x-bar to AVERAGE</w:t>
      </w:r>
      <w:r>
        <w:t>(argument-1, argument-2,...,argument-n) and n to population size.</w:t>
      </w:r>
    </w:p>
    <w:p w:rsidR="000A156F" w:rsidRDefault="00A9721F">
      <w:pPr>
        <w:pStyle w:val="Heading3"/>
      </w:pPr>
      <w:bookmarkStart w:id="2152" w:name="section_ffd66ea9f4964af2a3bb9bb2bbfde505"/>
      <w:bookmarkStart w:id="2153" w:name="_Toc181684102"/>
      <w:r>
        <w:t>Part 1 Section 18.17.7.342, VDB</w:t>
      </w:r>
      <w:bookmarkEnd w:id="2152"/>
      <w:bookmarkEnd w:id="2153"/>
      <w:r>
        <w:fldChar w:fldCharType="begin"/>
      </w:r>
      <w:r>
        <w:instrText xml:space="preserve"> XE "VDB" </w:instrText>
      </w:r>
      <w:r>
        <w:fldChar w:fldCharType="end"/>
      </w:r>
    </w:p>
    <w:p w:rsidR="000A156F" w:rsidRDefault="00A9721F">
      <w:pPr>
        <w:pStyle w:val="Definition-Field"/>
      </w:pPr>
      <w:r>
        <w:t xml:space="preserve">a.   </w:t>
      </w:r>
      <w:r>
        <w:rPr>
          <w:i/>
        </w:rPr>
        <w:t>The standard does not define any restriction on the relationship between the arguments start-period and end-period.</w:t>
      </w:r>
    </w:p>
    <w:p w:rsidR="000A156F" w:rsidRDefault="00A9721F">
      <w:pPr>
        <w:pStyle w:val="Definition-Field2"/>
      </w:pPr>
      <w:r>
        <w:t>In Office, if argument st</w:t>
      </w:r>
      <w:r>
        <w:t>art-period &gt; argument end-period, #NUM! is returned.</w:t>
      </w:r>
    </w:p>
    <w:p w:rsidR="000A156F" w:rsidRDefault="00A9721F">
      <w:pPr>
        <w:pStyle w:val="Definition-Field"/>
      </w:pPr>
      <w:r>
        <w:t xml:space="preserve">b.   </w:t>
      </w:r>
      <w:r>
        <w:rPr>
          <w:i/>
        </w:rPr>
        <w:t>The standard does not define any restriction on the relationship between the arguments end-period and life.</w:t>
      </w:r>
    </w:p>
    <w:p w:rsidR="000A156F" w:rsidRDefault="00A9721F">
      <w:pPr>
        <w:pStyle w:val="Definition-Field2"/>
      </w:pPr>
      <w:r>
        <w:t>In Office, if argument end-period &gt; argument life, then #NUM! is returned.</w:t>
      </w:r>
    </w:p>
    <w:p w:rsidR="000A156F" w:rsidRDefault="00A9721F">
      <w:pPr>
        <w:pStyle w:val="Definition-Field"/>
      </w:pPr>
      <w:r>
        <w:lastRenderedPageBreak/>
        <w:t xml:space="preserve">c.   </w:t>
      </w:r>
      <w:r>
        <w:rPr>
          <w:i/>
        </w:rPr>
        <w:t xml:space="preserve">The </w:t>
      </w:r>
      <w:r>
        <w:rPr>
          <w:i/>
        </w:rPr>
        <w:t>standard does not define any restriction on the relationship between the arguments cost and salvage.</w:t>
      </w:r>
    </w:p>
    <w:p w:rsidR="000A156F" w:rsidRDefault="00A9721F">
      <w:pPr>
        <w:pStyle w:val="Definition-Field2"/>
      </w:pPr>
      <w:r>
        <w:t>In Office, if argument cost is less than argument salvage, then 0 is returned.</w:t>
      </w:r>
    </w:p>
    <w:p w:rsidR="000A156F" w:rsidRDefault="00A9721F">
      <w:pPr>
        <w:pStyle w:val="Heading3"/>
      </w:pPr>
      <w:bookmarkStart w:id="2154" w:name="section_f4941e4bd1ca43978593cf9367743447"/>
      <w:bookmarkStart w:id="2155" w:name="_Toc181684103"/>
      <w:r>
        <w:t>Part 1 Section 18.17.7.343, VLOOKUP</w:t>
      </w:r>
      <w:bookmarkEnd w:id="2154"/>
      <w:bookmarkEnd w:id="2155"/>
      <w:r>
        <w:fldChar w:fldCharType="begin"/>
      </w:r>
      <w:r>
        <w:instrText xml:space="preserve"> XE "VLOOKUP" </w:instrText>
      </w:r>
      <w:r>
        <w:fldChar w:fldCharType="end"/>
      </w:r>
    </w:p>
    <w:p w:rsidR="000A156F" w:rsidRDefault="00A9721F">
      <w:pPr>
        <w:pStyle w:val="Definition-Field"/>
      </w:pPr>
      <w:r>
        <w:t xml:space="preserve">a.   </w:t>
      </w:r>
      <w:r>
        <w:rPr>
          <w:i/>
        </w:rPr>
        <w:t>The standard states</w:t>
      </w:r>
      <w:r>
        <w:rPr>
          <w:i/>
        </w:rPr>
        <w:t xml:space="preserve"> the values in the left-most column of table-array shall be placed in ascending order.</w:t>
      </w:r>
    </w:p>
    <w:p w:rsidR="000A156F" w:rsidRDefault="00A9721F">
      <w:pPr>
        <w:pStyle w:val="Definition-Field2"/>
      </w:pPr>
      <w:r>
        <w:t>In Office, if range-lookup-flag is TRUE or omitted the values in the left-most column of table-array shall be placed in ascending order.</w:t>
      </w:r>
    </w:p>
    <w:p w:rsidR="000A156F" w:rsidRDefault="00A9721F">
      <w:pPr>
        <w:pStyle w:val="Heading3"/>
      </w:pPr>
      <w:bookmarkStart w:id="2156" w:name="section_1ee2ed46bf004ca099e61c1af79d871d"/>
      <w:bookmarkStart w:id="2157" w:name="_Toc181684104"/>
      <w:r>
        <w:t>Part 1 Section 18.17.7.346, WEIB</w:t>
      </w:r>
      <w:r>
        <w:t>ULL</w:t>
      </w:r>
      <w:bookmarkEnd w:id="2156"/>
      <w:bookmarkEnd w:id="2157"/>
      <w:r>
        <w:fldChar w:fldCharType="begin"/>
      </w:r>
      <w:r>
        <w:instrText xml:space="preserve"> XE "WEIBULL" </w:instrText>
      </w:r>
      <w:r>
        <w:fldChar w:fldCharType="end"/>
      </w:r>
    </w:p>
    <w:p w:rsidR="000A156F" w:rsidRDefault="00A9721F">
      <w:pPr>
        <w:pStyle w:val="Definition-Field"/>
      </w:pPr>
      <w:r>
        <w:t xml:space="preserve">a.   </w:t>
      </w:r>
      <w:r>
        <w:rPr>
          <w:i/>
        </w:rPr>
        <w:t>The standard states that if argument cumulative-flag is TRUE, GAMMADIST returns the cumulative distribution function; if FALSE, it returns the probability density function.</w:t>
      </w:r>
    </w:p>
    <w:p w:rsidR="000A156F" w:rsidRDefault="00A9721F">
      <w:pPr>
        <w:pStyle w:val="Definition-Field2"/>
      </w:pPr>
      <w:r>
        <w:t>In Office, if argument cumulative-flag is TRUE, WEIBULL re</w:t>
      </w:r>
      <w:r>
        <w:t>turns the cumulative distribution function; if FALSE, it returns the probability density function.</w:t>
      </w:r>
    </w:p>
    <w:p w:rsidR="000A156F" w:rsidRDefault="00A9721F">
      <w:pPr>
        <w:pStyle w:val="Heading3"/>
      </w:pPr>
      <w:bookmarkStart w:id="2158" w:name="section_98b8f687fb534181bca576f0d5fb0980"/>
      <w:bookmarkStart w:id="2159" w:name="_Toc181684105"/>
      <w:r>
        <w:t>Part 1 Section 18.17.7.347, WORKDAY</w:t>
      </w:r>
      <w:bookmarkEnd w:id="2158"/>
      <w:bookmarkEnd w:id="2159"/>
      <w:r>
        <w:fldChar w:fldCharType="begin"/>
      </w:r>
      <w:r>
        <w:instrText xml:space="preserve"> XE "WORKDAY" </w:instrText>
      </w:r>
      <w:r>
        <w:fldChar w:fldCharType="end"/>
      </w:r>
    </w:p>
    <w:p w:rsidR="000A156F" w:rsidRDefault="00A9721F">
      <w:pPr>
        <w:pStyle w:val="Definition-Field"/>
      </w:pPr>
      <w:r>
        <w:t xml:space="preserve">a.   </w:t>
      </w:r>
      <w:r>
        <w:rPr>
          <w:i/>
        </w:rPr>
        <w:t xml:space="preserve">The standard states that #NUM! is returned if any date in argument holidays is out of range for the </w:t>
      </w:r>
      <w:r>
        <w:rPr>
          <w:i/>
        </w:rPr>
        <w:t>current date base value.</w:t>
      </w:r>
    </w:p>
    <w:p w:rsidR="000A156F" w:rsidRDefault="00A9721F">
      <w:pPr>
        <w:pStyle w:val="Definition-Field2"/>
      </w:pPr>
      <w:r>
        <w:t>Office returns #VALUE! if any date in argument holidays is out of range for the current date base value.</w:t>
      </w:r>
    </w:p>
    <w:p w:rsidR="000A156F" w:rsidRDefault="00A9721F">
      <w:pPr>
        <w:pStyle w:val="Definition-Field"/>
      </w:pPr>
      <w:r>
        <w:t xml:space="preserve">b.   </w:t>
      </w:r>
      <w:r>
        <w:rPr>
          <w:i/>
        </w:rPr>
        <w:t>The standard does not declare which days are weekend days.</w:t>
      </w:r>
    </w:p>
    <w:p w:rsidR="000A156F" w:rsidRDefault="00A9721F">
      <w:pPr>
        <w:pStyle w:val="Definition-Field2"/>
      </w:pPr>
      <w:r>
        <w:t>In Office the function considers Saturday and Sunday to be the</w:t>
      </w:r>
      <w:r>
        <w:t xml:space="preserve"> weekend days.</w:t>
      </w:r>
    </w:p>
    <w:p w:rsidR="000A156F" w:rsidRDefault="00A9721F">
      <w:pPr>
        <w:pStyle w:val="Heading3"/>
      </w:pPr>
      <w:bookmarkStart w:id="2160" w:name="section_a003023ad1664c12821a703ac0870f7d"/>
      <w:bookmarkStart w:id="2161" w:name="_Toc181684106"/>
      <w:r>
        <w:t>Part 1 Section 18.17.7.349, XIRR</w:t>
      </w:r>
      <w:bookmarkEnd w:id="2160"/>
      <w:bookmarkEnd w:id="2161"/>
      <w:r>
        <w:fldChar w:fldCharType="begin"/>
      </w:r>
      <w:r>
        <w:instrText xml:space="preserve"> XE "XIRR" </w:instrText>
      </w:r>
      <w:r>
        <w:fldChar w:fldCharType="end"/>
      </w:r>
    </w:p>
    <w:p w:rsidR="000A156F" w:rsidRDefault="00A9721F">
      <w:pPr>
        <w:pStyle w:val="Definition-Field"/>
      </w:pPr>
      <w:r>
        <w:t xml:space="preserve">a.   </w:t>
      </w:r>
      <w:r>
        <w:rPr>
          <w:i/>
        </w:rPr>
        <w:t>The standard specifies that an iterative technique is used for the implementation of this function.</w:t>
      </w:r>
    </w:p>
    <w:p w:rsidR="000A156F" w:rsidRDefault="00A9721F">
      <w:pPr>
        <w:pStyle w:val="Definition-Field2"/>
      </w:pPr>
      <w:r>
        <w:t>Office does not require an iterative technique to be used.</w:t>
      </w:r>
    </w:p>
    <w:p w:rsidR="000A156F" w:rsidRDefault="00A9721F">
      <w:pPr>
        <w:pStyle w:val="Definition-Field"/>
      </w:pPr>
      <w:r>
        <w:t xml:space="preserve">b.   </w:t>
      </w:r>
      <w:r>
        <w:rPr>
          <w:i/>
        </w:rPr>
        <w:t xml:space="preserve">The standard states that </w:t>
      </w:r>
      <w:r>
        <w:rPr>
          <w:i/>
        </w:rPr>
        <w:t>if any date in argument dates is out of range for the current date base value, #NUM! is returned.</w:t>
      </w:r>
    </w:p>
    <w:p w:rsidR="000A156F" w:rsidRDefault="00A9721F">
      <w:pPr>
        <w:pStyle w:val="Definition-Field2"/>
      </w:pPr>
      <w:r>
        <w:t>In Office, if any date in argument dates is out of range for the current date base value, #VALUE! is returned.</w:t>
      </w:r>
    </w:p>
    <w:p w:rsidR="000A156F" w:rsidRDefault="00A9721F">
      <w:pPr>
        <w:pStyle w:val="Definition-Field"/>
      </w:pPr>
      <w:r>
        <w:t xml:space="preserve">c.   </w:t>
      </w:r>
      <w:r>
        <w:rPr>
          <w:i/>
        </w:rPr>
        <w:t>The standard does not define any restricti</w:t>
      </w:r>
      <w:r>
        <w:rPr>
          <w:i/>
        </w:rPr>
        <w:t>on that argument values must contain one positive and one negative value.</w:t>
      </w:r>
    </w:p>
    <w:p w:rsidR="000A156F" w:rsidRDefault="00A9721F">
      <w:pPr>
        <w:pStyle w:val="Definition-Field2"/>
      </w:pPr>
      <w:r>
        <w:t>In Office, if argument values do not contain at least one positive and one negative value, #NUM! is returned.</w:t>
      </w:r>
    </w:p>
    <w:p w:rsidR="000A156F" w:rsidRDefault="00A9721F">
      <w:pPr>
        <w:pStyle w:val="Definition-Field"/>
      </w:pPr>
      <w:r>
        <w:t xml:space="preserve">d.   </w:t>
      </w:r>
      <w:r>
        <w:rPr>
          <w:i/>
        </w:rPr>
        <w:t>The standard states that if any date in argument dates precedes the</w:t>
      </w:r>
      <w:r>
        <w:rPr>
          <w:i/>
        </w:rPr>
        <w:t xml:space="preserve"> start date, #NUM! is returned.</w:t>
      </w:r>
    </w:p>
    <w:p w:rsidR="000A156F" w:rsidRDefault="00A9721F">
      <w:pPr>
        <w:pStyle w:val="Definition-Field2"/>
      </w:pPr>
      <w:r>
        <w:t>In Office, dates in the argument dates can precede the start date.</w:t>
      </w:r>
    </w:p>
    <w:p w:rsidR="000A156F" w:rsidRDefault="00A9721F">
      <w:pPr>
        <w:pStyle w:val="Heading3"/>
      </w:pPr>
      <w:bookmarkStart w:id="2162" w:name="section_9878cf828dc64790998a3f7e7763f58f"/>
      <w:bookmarkStart w:id="2163" w:name="_Toc181684107"/>
      <w:r>
        <w:lastRenderedPageBreak/>
        <w:t>Part 1 Section 18.17.7.350, XNPV</w:t>
      </w:r>
      <w:bookmarkEnd w:id="2162"/>
      <w:bookmarkEnd w:id="2163"/>
      <w:r>
        <w:fldChar w:fldCharType="begin"/>
      </w:r>
      <w:r>
        <w:instrText xml:space="preserve"> XE "XNPV" </w:instrText>
      </w:r>
      <w:r>
        <w:fldChar w:fldCharType="end"/>
      </w:r>
    </w:p>
    <w:p w:rsidR="000A156F" w:rsidRDefault="00A9721F">
      <w:pPr>
        <w:pStyle w:val="Definition-Field"/>
      </w:pPr>
      <w:r>
        <w:t xml:space="preserve">a.   </w:t>
      </w:r>
      <w:r>
        <w:rPr>
          <w:i/>
        </w:rPr>
        <w:t>The standard does not define any restriction on the argument rate.</w:t>
      </w:r>
    </w:p>
    <w:p w:rsidR="000A156F" w:rsidRDefault="00A9721F">
      <w:pPr>
        <w:pStyle w:val="Definition-Field2"/>
      </w:pPr>
      <w:r>
        <w:t>In Office, if rate ≤ 0, #NUM! is return</w:t>
      </w:r>
      <w:r>
        <w:t>ed.</w:t>
      </w:r>
    </w:p>
    <w:p w:rsidR="000A156F" w:rsidRDefault="00A9721F">
      <w:pPr>
        <w:pStyle w:val="Heading3"/>
      </w:pPr>
      <w:bookmarkStart w:id="2164" w:name="section_603d48e1ab4648c395e0f9ce750d9623"/>
      <w:bookmarkStart w:id="2165" w:name="_Toc181684108"/>
      <w:r>
        <w:t>Part 1 Section 18.17.7.352, YEARFRAC</w:t>
      </w:r>
      <w:bookmarkEnd w:id="2164"/>
      <w:bookmarkEnd w:id="2165"/>
      <w:r>
        <w:fldChar w:fldCharType="begin"/>
      </w:r>
      <w:r>
        <w:instrText xml:space="preserve"> XE "YEARFRAC" </w:instrText>
      </w:r>
      <w:r>
        <w:fldChar w:fldCharType="end"/>
      </w:r>
    </w:p>
    <w:p w:rsidR="000A156F" w:rsidRDefault="00A9721F">
      <w:pPr>
        <w:pStyle w:val="Definition-Field"/>
      </w:pPr>
      <w:r>
        <w:t xml:space="preserve">a.   </w:t>
      </w:r>
      <w:r>
        <w:rPr>
          <w:i/>
        </w:rPr>
        <w:t>The standard does not describe day and month adjustments for the argument basis.</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w:t>
            </w:r>
            <w:r>
              <w:t>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30/360.Assumes that each month has 30 days and the total number of days in the year is 360 by making the following adjustments:</w:t>
            </w:r>
          </w:p>
          <w:p w:rsidR="000A156F" w:rsidRDefault="00A9721F">
            <w:pPr>
              <w:pStyle w:val="ListParagraph"/>
              <w:numPr>
                <w:ilvl w:val="0"/>
                <w:numId w:val="116"/>
              </w:numPr>
            </w:pPr>
            <w:r>
              <w:t>If the date is 28 or 29 February, it is adjusted to 30 February.</w:t>
            </w:r>
          </w:p>
          <w:p w:rsidR="000A156F" w:rsidRDefault="00A9721F">
            <w:pPr>
              <w:pStyle w:val="ListParagraph"/>
              <w:numPr>
                <w:ilvl w:val="0"/>
                <w:numId w:val="117"/>
              </w:numPr>
            </w:pPr>
            <w:r>
              <w:t>For months with 31 days,</w:t>
            </w:r>
            <w:r>
              <w:t xml:space="preserve"> all dates with a day value of 31 are changed to day 30, including situations where the first date is 28 or 29 February.</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 xml:space="preserve">Actual/actual. The actual number of days between the two dates are counted. If the date range includes the date 29 February, the </w:t>
            </w:r>
            <w:r>
              <w:t>year is 366 days; otherwise it is 365 days.</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Similar to Basis 1, but only has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Similar to Basis 1, but always has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Assumes th</w:t>
            </w:r>
            <w:r>
              <w:t>at each month has 30 days and the total number of days in the year is 360 by making the following adjustments:</w:t>
            </w:r>
          </w:p>
          <w:p w:rsidR="000A156F" w:rsidRDefault="00A9721F">
            <w:pPr>
              <w:pStyle w:val="TableBodyText"/>
            </w:pPr>
            <w:r>
              <w:t>If the date is 28 or 29 February, it is adjusted to 30 February.</w:t>
            </w:r>
          </w:p>
          <w:p w:rsidR="000A156F" w:rsidRDefault="00A9721F">
            <w:pPr>
              <w:pStyle w:val="TableBodyText"/>
            </w:pPr>
            <w:r>
              <w:t>For months with 31 days, all dates with a day value of 31 are changed to day 30,</w:t>
            </w:r>
            <w:r>
              <w:t xml:space="preserve"> including situations where the first date is 28 or 29 February.</w:t>
            </w:r>
          </w:p>
        </w:tc>
      </w:tr>
    </w:tbl>
    <w:p w:rsidR="000A156F" w:rsidRDefault="000A156F"/>
    <w:p w:rsidR="000A156F" w:rsidRDefault="00A9721F">
      <w:pPr>
        <w:pStyle w:val="Definition-Field"/>
      </w:pPr>
      <w:r>
        <w:t xml:space="preserve">b.   </w:t>
      </w:r>
      <w:r>
        <w:rPr>
          <w:i/>
        </w:rPr>
        <w:t>The standard lists day-count-basis as one of the function's arguments.</w:t>
      </w:r>
    </w:p>
    <w:p w:rsidR="000A156F" w:rsidRDefault="00A9721F">
      <w:pPr>
        <w:pStyle w:val="Definition-Field2"/>
      </w:pPr>
      <w:r>
        <w:t>In Excel, the function does not take a day-count-basis argument.</w:t>
      </w:r>
    </w:p>
    <w:p w:rsidR="000A156F" w:rsidRDefault="00A9721F">
      <w:pPr>
        <w:pStyle w:val="Definition-Field"/>
      </w:pPr>
      <w:r>
        <w:t xml:space="preserve">c.   </w:t>
      </w:r>
      <w:r>
        <w:rPr>
          <w:i/>
        </w:rPr>
        <w:t>The standard does not specify any restricti</w:t>
      </w:r>
      <w:r>
        <w:rPr>
          <w:i/>
        </w:rPr>
        <w:t>ons on arguments start-date or end-date.</w:t>
      </w:r>
    </w:p>
    <w:p w:rsidR="000A156F" w:rsidRDefault="00A9721F">
      <w:pPr>
        <w:pStyle w:val="Definition-Field2"/>
      </w:pPr>
      <w:r>
        <w:t>Office returns #NUM! if arguments start-date or end-date is out of range for the current date base value.</w:t>
      </w:r>
    </w:p>
    <w:p w:rsidR="000A156F" w:rsidRDefault="00A9721F">
      <w:pPr>
        <w:pStyle w:val="Definition-Field"/>
      </w:pPr>
      <w:r>
        <w:t xml:space="preserve">d.   </w:t>
      </w:r>
      <w:r>
        <w:rPr>
          <w:i/>
        </w:rPr>
        <w:t>The standard does not describe year length adjustments when argument basis is Actual/actual.</w:t>
      </w:r>
    </w:p>
    <w:p w:rsidR="000A156F" w:rsidRDefault="00A9721F">
      <w:pPr>
        <w:pStyle w:val="Definition-Field2"/>
      </w:pPr>
      <w:r>
        <w:t xml:space="preserve">In Office, </w:t>
      </w:r>
      <w:r>
        <w:t>if the argument basis is Actual/actual, the year length used is the average length of the years that the range crosses, regardless of where arguments start-date and end-date fall in their respective years.</w:t>
      </w:r>
    </w:p>
    <w:p w:rsidR="000A156F" w:rsidRDefault="00A9721F">
      <w:pPr>
        <w:pStyle w:val="Heading3"/>
      </w:pPr>
      <w:bookmarkStart w:id="2166" w:name="section_1f5b7d6fe6514fc1b89a6fc80241afa5"/>
      <w:bookmarkStart w:id="2167" w:name="_Toc181684109"/>
      <w:r>
        <w:t>Part 1 Section 18.17.7.353, YIELD</w:t>
      </w:r>
      <w:bookmarkEnd w:id="2166"/>
      <w:bookmarkEnd w:id="2167"/>
      <w:r>
        <w:fldChar w:fldCharType="begin"/>
      </w:r>
      <w:r>
        <w:instrText xml:space="preserve"> XE "YIELD" </w:instrText>
      </w:r>
      <w:r>
        <w:fldChar w:fldCharType="end"/>
      </w:r>
    </w:p>
    <w:p w:rsidR="000A156F" w:rsidRDefault="00A9721F">
      <w:pPr>
        <w:pStyle w:val="Definition-Field"/>
      </w:pPr>
      <w:r>
        <w:t>a.</w:t>
      </w:r>
      <w:r>
        <w:t xml:space="preserve">   </w:t>
      </w:r>
      <w:r>
        <w:rPr>
          <w:i/>
        </w:rPr>
        <w:t>The standard does not describe day and month adjustments.</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 30/360.Assumes that each month has 30 days a</w:t>
            </w:r>
            <w:r>
              <w:t>nd the total number of days in the year is 360 by making the following adjustments:</w:t>
            </w:r>
          </w:p>
          <w:p w:rsidR="000A156F" w:rsidRDefault="00A9721F">
            <w:pPr>
              <w:pStyle w:val="ListParagraph"/>
              <w:numPr>
                <w:ilvl w:val="0"/>
                <w:numId w:val="118"/>
              </w:numPr>
            </w:pPr>
            <w:r>
              <w:t>If the date is 28 or 29 February, it is adjusted to 30 February.</w:t>
            </w:r>
          </w:p>
          <w:p w:rsidR="000A156F" w:rsidRDefault="00A9721F">
            <w:pPr>
              <w:pStyle w:val="ListParagraph"/>
              <w:numPr>
                <w:ilvl w:val="0"/>
                <w:numId w:val="119"/>
              </w:numPr>
            </w:pPr>
            <w:r>
              <w:t>For months with 31 days, all dates with a day value of 31 are changed to day 30, including situations where</w:t>
            </w:r>
            <w:r>
              <w:t xml:space="preserve"> the first date is 28 or 29 February.</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The actual number of days between the two dates are counted. If the date range includes the date 29 February, the year is 366 days; otherwise it is 365 days.</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 xml:space="preserve">Actual/360. Similar to Basis 1, but </w:t>
            </w:r>
            <w:r>
              <w:t>only has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Actual/365. Similar to Basis 1, but always has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European 30/360. The European method for adjusting day counts. Assumes that each month has 30 days and the total number of days in the year is 360 by making</w:t>
            </w:r>
            <w:r>
              <w:t xml:space="preserve"> the following adjustments:</w:t>
            </w:r>
          </w:p>
          <w:p w:rsidR="000A156F" w:rsidRDefault="00A9721F">
            <w:pPr>
              <w:pStyle w:val="TableBodyText"/>
            </w:pPr>
            <w:r>
              <w:t>If the date is 28 or 29 February, it is adjusted to 30 February.</w:t>
            </w:r>
          </w:p>
          <w:p w:rsidR="000A156F" w:rsidRDefault="00A9721F">
            <w:pPr>
              <w:pStyle w:val="TableBodyText"/>
            </w:pPr>
            <w:r>
              <w:t>For months with 31 days, all dates with a day value of 31 are changed to day 30, including situations where the first date is 28 or 29 February.</w:t>
            </w:r>
          </w:p>
        </w:tc>
      </w:tr>
    </w:tbl>
    <w:p w:rsidR="000A156F" w:rsidRDefault="000A156F"/>
    <w:p w:rsidR="000A156F" w:rsidRDefault="00A9721F">
      <w:pPr>
        <w:pStyle w:val="Definition-Field"/>
      </w:pPr>
      <w:r>
        <w:t xml:space="preserve">b.   </w:t>
      </w:r>
      <w:r>
        <w:rPr>
          <w:i/>
        </w:rPr>
        <w:t>The standar</w:t>
      </w:r>
      <w:r>
        <w:rPr>
          <w:i/>
        </w:rPr>
        <w:t>d states that the redemption argument is the security's redemption value per $100 face value.</w:t>
      </w:r>
    </w:p>
    <w:p w:rsidR="000A156F" w:rsidRDefault="00A9721F">
      <w:pPr>
        <w:pStyle w:val="Definition-Field2"/>
      </w:pPr>
      <w:r>
        <w:t>In Office the redemption argument is the security's redemption value per 100 currency units face value.</w:t>
      </w:r>
    </w:p>
    <w:p w:rsidR="000A156F" w:rsidRDefault="00A9721F">
      <w:pPr>
        <w:pStyle w:val="Definition-Field"/>
      </w:pPr>
      <w:r>
        <w:t xml:space="preserve">c.   </w:t>
      </w:r>
      <w:r>
        <w:rPr>
          <w:i/>
        </w:rPr>
        <w:t>The standard describes the argument pr as the securit</w:t>
      </w:r>
      <w:r>
        <w:rPr>
          <w:i/>
        </w:rPr>
        <w:t>y's price.</w:t>
      </w:r>
    </w:p>
    <w:p w:rsidR="000A156F" w:rsidRDefault="00A9721F">
      <w:pPr>
        <w:pStyle w:val="Definition-Field2"/>
      </w:pPr>
      <w:r>
        <w:t>In Office, the argument pr is the security's price per 100 currency units face value.</w:t>
      </w:r>
    </w:p>
    <w:p w:rsidR="000A156F" w:rsidRDefault="00A9721F">
      <w:pPr>
        <w:pStyle w:val="Definition-Field"/>
      </w:pPr>
      <w:r>
        <w:t xml:space="preserve">d.   </w:t>
      </w:r>
      <w:r>
        <w:rPr>
          <w:i/>
        </w:rPr>
        <w:t>The standard describes the argument rate as the security's interest rate.</w:t>
      </w:r>
    </w:p>
    <w:p w:rsidR="000A156F" w:rsidRDefault="00A9721F">
      <w:pPr>
        <w:pStyle w:val="Definition-Field2"/>
      </w:pPr>
      <w:r>
        <w:t>In Office, the argument rate is the security's annual coupon rate.</w:t>
      </w:r>
    </w:p>
    <w:p w:rsidR="000A156F" w:rsidRDefault="00A9721F">
      <w:pPr>
        <w:pStyle w:val="Heading3"/>
      </w:pPr>
      <w:bookmarkStart w:id="2168" w:name="section_652fb537a84b47869554d8624ce0d4a5"/>
      <w:bookmarkStart w:id="2169" w:name="_Toc181684110"/>
      <w:r>
        <w:t>Part 1 Sectio</w:t>
      </w:r>
      <w:r>
        <w:t>n 18.17.7.354, YIELDDISC</w:t>
      </w:r>
      <w:bookmarkEnd w:id="2168"/>
      <w:bookmarkEnd w:id="2169"/>
      <w:r>
        <w:fldChar w:fldCharType="begin"/>
      </w:r>
      <w:r>
        <w:instrText xml:space="preserve"> XE "YIELDDISC" </w:instrText>
      </w:r>
      <w:r>
        <w:fldChar w:fldCharType="end"/>
      </w:r>
    </w:p>
    <w:p w:rsidR="000A156F" w:rsidRDefault="00A9721F">
      <w:pPr>
        <w:pStyle w:val="Definition-Field"/>
      </w:pPr>
      <w:r>
        <w:t xml:space="preserve">a.   </w:t>
      </w:r>
      <w:r>
        <w:rPr>
          <w:i/>
        </w:rPr>
        <w:t>The standard does not describe day and month adjustments.</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US (NASD)</w:t>
            </w:r>
            <w:r>
              <w:t xml:space="preserve"> 30/360.Assumes that each month has 30 days and the total number of days in the year is 360 by making the following adjustments:</w:t>
            </w:r>
          </w:p>
          <w:p w:rsidR="000A156F" w:rsidRDefault="00A9721F">
            <w:pPr>
              <w:pStyle w:val="ListParagraph"/>
              <w:numPr>
                <w:ilvl w:val="0"/>
                <w:numId w:val="120"/>
              </w:numPr>
            </w:pPr>
            <w:r>
              <w:t>If the date is 28 or 29 February, it is adjusted to 30 February.</w:t>
            </w:r>
          </w:p>
          <w:p w:rsidR="000A156F" w:rsidRDefault="00A9721F">
            <w:pPr>
              <w:pStyle w:val="ListParagraph"/>
              <w:numPr>
                <w:ilvl w:val="0"/>
                <w:numId w:val="121"/>
              </w:numPr>
            </w:pPr>
            <w:r>
              <w:t xml:space="preserve">For months with 31 days, all dates with a day value of 31 are </w:t>
            </w:r>
            <w:r>
              <w:t>changed to day 30, including situations where the first date is 28 or 29 February.</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The actual number of days between the two dates are counted. If the date range includes the date 29 February, the year is 366 days; otherwise it is 365 day</w:t>
            </w:r>
            <w:r>
              <w:t>s.</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Similar to Basis 1, but only has 360 days per year.</w:t>
            </w:r>
          </w:p>
        </w:tc>
      </w:tr>
      <w:tr w:rsidR="000A156F" w:rsidTr="000A156F">
        <w:tc>
          <w:tcPr>
            <w:tcW w:w="0" w:type="auto"/>
            <w:vAlign w:val="center"/>
          </w:tcPr>
          <w:p w:rsidR="000A156F" w:rsidRDefault="00A9721F">
            <w:pPr>
              <w:pStyle w:val="TableBodyText"/>
            </w:pPr>
            <w:r>
              <w:rPr>
                <w:rStyle w:val="InlineCode"/>
              </w:rPr>
              <w:lastRenderedPageBreak/>
              <w:t>3</w:t>
            </w:r>
          </w:p>
        </w:tc>
        <w:tc>
          <w:tcPr>
            <w:tcW w:w="0" w:type="auto"/>
            <w:vAlign w:val="center"/>
          </w:tcPr>
          <w:p w:rsidR="000A156F" w:rsidRDefault="00A9721F">
            <w:pPr>
              <w:pStyle w:val="TableBodyText"/>
            </w:pPr>
            <w:r>
              <w:t>Actual/365. Similar to Basis 1, but always has 365 days per year.</w:t>
            </w:r>
          </w:p>
        </w:tc>
      </w:tr>
      <w:tr w:rsidR="000A156F" w:rsidTr="000A156F">
        <w:tc>
          <w:tcPr>
            <w:tcW w:w="0" w:type="auto"/>
            <w:vAlign w:val="center"/>
          </w:tcPr>
          <w:p w:rsidR="000A156F" w:rsidRDefault="00A9721F">
            <w:pPr>
              <w:pStyle w:val="TableBodyText"/>
            </w:pPr>
            <w:r>
              <w:rPr>
                <w:rStyle w:val="InlineCode"/>
              </w:rPr>
              <w:t>4</w:t>
            </w:r>
          </w:p>
        </w:tc>
        <w:tc>
          <w:tcPr>
            <w:tcW w:w="0" w:type="auto"/>
            <w:vAlign w:val="center"/>
          </w:tcPr>
          <w:p w:rsidR="000A156F" w:rsidRDefault="00A9721F">
            <w:pPr>
              <w:pStyle w:val="TableBodyText"/>
            </w:pPr>
            <w:r>
              <w:t xml:space="preserve">European 30/360. The European method for adjusting day counts. Assumes that each month has 30 days and the total </w:t>
            </w:r>
            <w:r>
              <w:t>number of days in the year is 360 by making the following adjustments:</w:t>
            </w:r>
          </w:p>
          <w:p w:rsidR="000A156F" w:rsidRDefault="00A9721F">
            <w:pPr>
              <w:pStyle w:val="TableBodyText"/>
            </w:pPr>
            <w:r>
              <w:t>If the date is 28 or 29 February, it is adjusted to 30 February.</w:t>
            </w:r>
          </w:p>
          <w:p w:rsidR="000A156F" w:rsidRDefault="00A9721F">
            <w:pPr>
              <w:pStyle w:val="TableBodyText"/>
            </w:pPr>
            <w:r>
              <w:t>For months with 31 days, all dates with a day value of 31 are changed to day 30, including situations where the first da</w:t>
            </w:r>
            <w:r>
              <w:t>te is 28 or 29 February.</w:t>
            </w:r>
          </w:p>
        </w:tc>
      </w:tr>
    </w:tbl>
    <w:p w:rsidR="000A156F" w:rsidRDefault="000A156F"/>
    <w:p w:rsidR="000A156F" w:rsidRDefault="00A9721F">
      <w:pPr>
        <w:pStyle w:val="Definition-Field"/>
      </w:pPr>
      <w:r>
        <w:t xml:space="preserve">b.   </w:t>
      </w:r>
      <w:r>
        <w:rPr>
          <w:i/>
        </w:rPr>
        <w:t>The standard states that the redemption argument is the security's redemption value per $100 face value.</w:t>
      </w:r>
    </w:p>
    <w:p w:rsidR="000A156F" w:rsidRDefault="00A9721F">
      <w:pPr>
        <w:pStyle w:val="Definition-Field2"/>
      </w:pPr>
      <w:r>
        <w:t>In Office, the redemption argument is the security's redemption value per 100 currency units face value.</w:t>
      </w:r>
    </w:p>
    <w:p w:rsidR="000A156F" w:rsidRDefault="00A9721F">
      <w:pPr>
        <w:pStyle w:val="Definition-Field"/>
      </w:pPr>
      <w:r>
        <w:t xml:space="preserve">c.   </w:t>
      </w:r>
      <w:r>
        <w:rPr>
          <w:i/>
        </w:rPr>
        <w:t>The stand</w:t>
      </w:r>
      <w:r>
        <w:rPr>
          <w:i/>
        </w:rPr>
        <w:t>ard describes the argument pr as the security's price.</w:t>
      </w:r>
    </w:p>
    <w:p w:rsidR="000A156F" w:rsidRDefault="00A9721F">
      <w:pPr>
        <w:pStyle w:val="Definition-Field2"/>
      </w:pPr>
      <w:r>
        <w:t>In Office, the argument pr is the security's price per 100 currency units face value.</w:t>
      </w:r>
    </w:p>
    <w:p w:rsidR="000A156F" w:rsidRDefault="00A9721F">
      <w:pPr>
        <w:pStyle w:val="Heading3"/>
      </w:pPr>
      <w:bookmarkStart w:id="2170" w:name="section_eba3b8ce07c64244a95524ab4b61a0fb"/>
      <w:bookmarkStart w:id="2171" w:name="_Toc181684111"/>
      <w:r>
        <w:t>Part 1 Section 18.17.7.355, YIELDMAT</w:t>
      </w:r>
      <w:bookmarkEnd w:id="2170"/>
      <w:bookmarkEnd w:id="2171"/>
      <w:r>
        <w:fldChar w:fldCharType="begin"/>
      </w:r>
      <w:r>
        <w:instrText xml:space="preserve"> XE "YIELDMAT" </w:instrText>
      </w:r>
      <w:r>
        <w:fldChar w:fldCharType="end"/>
      </w:r>
    </w:p>
    <w:p w:rsidR="000A156F" w:rsidRDefault="00A9721F">
      <w:pPr>
        <w:pStyle w:val="Definition-Field"/>
      </w:pPr>
      <w:r>
        <w:t xml:space="preserve">a.   </w:t>
      </w:r>
      <w:r>
        <w:rPr>
          <w:i/>
        </w:rPr>
        <w:t xml:space="preserve">The standard does not specify day and month adjustments </w:t>
      </w:r>
      <w:r>
        <w:rPr>
          <w:i/>
        </w:rPr>
        <w:t>for the basis argument.</w:t>
      </w:r>
    </w:p>
    <w:p w:rsidR="000A156F" w:rsidRDefault="00A9721F">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Day Count Basis</w:t>
            </w:r>
          </w:p>
        </w:tc>
      </w:tr>
      <w:tr w:rsidR="000A156F" w:rsidTr="000A156F">
        <w:tc>
          <w:tcPr>
            <w:tcW w:w="0" w:type="auto"/>
            <w:vAlign w:val="center"/>
          </w:tcPr>
          <w:p w:rsidR="000A156F" w:rsidRDefault="00A9721F">
            <w:pPr>
              <w:pStyle w:val="TableBodyText"/>
            </w:pPr>
            <w:r>
              <w:rPr>
                <w:rStyle w:val="InlineCode"/>
              </w:rPr>
              <w:t>0</w:t>
            </w:r>
            <w:r>
              <w:t xml:space="preserve"> or omitted</w:t>
            </w:r>
          </w:p>
        </w:tc>
        <w:tc>
          <w:tcPr>
            <w:tcW w:w="0" w:type="auto"/>
            <w:vAlign w:val="center"/>
          </w:tcPr>
          <w:p w:rsidR="000A156F" w:rsidRDefault="00A9721F">
            <w:pPr>
              <w:pStyle w:val="TableBodyText"/>
            </w:pPr>
            <w:r>
              <w:t xml:space="preserve">US (NASD) 30/360. If the dates are equal, the difference of days is 0. Assumes that each </w:t>
            </w:r>
            <w:r>
              <w:t>month has 30 days and the total number of days in the year is 360 by making the following adjustments:</w:t>
            </w:r>
          </w:p>
          <w:p w:rsidR="000A156F" w:rsidRDefault="00A9721F">
            <w:pPr>
              <w:pStyle w:val="TableBodyText"/>
            </w:pPr>
            <w:r>
              <w:t>If both day-of-months are 31, they are changed to 30</w:t>
            </w:r>
          </w:p>
          <w:p w:rsidR="000A156F" w:rsidRDefault="00A9721F">
            <w:pPr>
              <w:pStyle w:val="TableBodyText"/>
            </w:pPr>
            <w:r>
              <w:t>Otherwise, if date1’s day-of-month is 31, it is changed to 30</w:t>
            </w:r>
          </w:p>
          <w:p w:rsidR="000A156F" w:rsidRDefault="00A9721F">
            <w:pPr>
              <w:pStyle w:val="TableBodyText"/>
            </w:pPr>
            <w:r>
              <w:t xml:space="preserve">Otherwise, if date1’s day-of-month is </w:t>
            </w:r>
            <w:r>
              <w:t>30 and date2’s day-of-month is 31, date2’s day-of-month is changed to 30 (note that date2’s day-of-month will stay 31 if date1’s day &lt; 30)</w:t>
            </w:r>
          </w:p>
          <w:p w:rsidR="000A156F" w:rsidRDefault="00A9721F">
            <w:pPr>
              <w:pStyle w:val="TableBodyText"/>
            </w:pPr>
            <w:r>
              <w:t>Otherwise, if both dates are the last day of February in their respective years, both day-of-month is changed to 30</w:t>
            </w:r>
          </w:p>
          <w:p w:rsidR="000A156F" w:rsidRDefault="00A9721F">
            <w:pPr>
              <w:pStyle w:val="TableBodyText"/>
            </w:pPr>
            <w:r>
              <w:t>O</w:t>
            </w:r>
            <w:r>
              <w:t>therwise, if date1 is the last day of February, its day-of-month is changed to 30</w:t>
            </w:r>
          </w:p>
        </w:tc>
      </w:tr>
      <w:tr w:rsidR="000A156F" w:rsidTr="000A156F">
        <w:tc>
          <w:tcPr>
            <w:tcW w:w="0" w:type="auto"/>
            <w:vAlign w:val="center"/>
          </w:tcPr>
          <w:p w:rsidR="000A156F" w:rsidRDefault="00A9721F">
            <w:pPr>
              <w:pStyle w:val="TableBodyText"/>
            </w:pPr>
            <w:r>
              <w:rPr>
                <w:rStyle w:val="InlineCode"/>
              </w:rPr>
              <w:t>1</w:t>
            </w:r>
          </w:p>
        </w:tc>
        <w:tc>
          <w:tcPr>
            <w:tcW w:w="0" w:type="auto"/>
            <w:vAlign w:val="center"/>
          </w:tcPr>
          <w:p w:rsidR="000A156F" w:rsidRDefault="00A9721F">
            <w:pPr>
              <w:pStyle w:val="TableBodyText"/>
            </w:pPr>
            <w:r>
              <w:t>Actual/actual. If the dates are equal, the difference in days is 0. If date1 and date2 not “less than or equal to a year apart” (as defined below), then the days in the ye</w:t>
            </w:r>
            <w:r>
              <w:t xml:space="preserve">ars between the dates is the average number of days in the years between date1 and date2, inclusive. Otherwise, the days in the years between the dates is 365, except for these cases (where it is 366): the dates are in the same year and it is a leap-year, </w:t>
            </w:r>
            <w:r>
              <w:t xml:space="preserve">a February 29 occurs between the two dates, or </w:t>
            </w:r>
            <w:r>
              <w:rPr>
                <w:b/>
              </w:rPr>
              <w:t>date1 or</w:t>
            </w:r>
            <w:r>
              <w:t xml:space="preserve"> date2 is February 29.</w:t>
            </w:r>
          </w:p>
          <w:p w:rsidR="000A156F" w:rsidRDefault="000A156F">
            <w:pPr>
              <w:pStyle w:val="TableBodyText"/>
            </w:pPr>
          </w:p>
          <w:p w:rsidR="000A156F" w:rsidRDefault="00A9721F">
            <w:pPr>
              <w:pStyle w:val="TableBodyText"/>
            </w:pPr>
            <w:r>
              <w:t>To determine if date1 and date2 are “less than or equal to a year apart” for purposes of this algorithm, one of these conditions must be true:</w:t>
            </w:r>
          </w:p>
          <w:p w:rsidR="000A156F" w:rsidRDefault="00A9721F">
            <w:pPr>
              <w:pStyle w:val="ListParagraph"/>
              <w:numPr>
                <w:ilvl w:val="0"/>
                <w:numId w:val="122"/>
              </w:numPr>
            </w:pPr>
            <w:r>
              <w:t>The two dates have the same year</w:t>
            </w:r>
          </w:p>
          <w:p w:rsidR="000A156F" w:rsidRDefault="00A9721F">
            <w:pPr>
              <w:pStyle w:val="ListParagraph"/>
              <w:numPr>
                <w:ilvl w:val="0"/>
                <w:numId w:val="123"/>
              </w:numPr>
            </w:pPr>
            <w:r>
              <w:t>Date2’s year is exactly one more than date1’s year, and ((date1.month &gt; date2.month) or ((date1.month == date2.month) and (date1.day &gt;= date2.day)))</w:t>
            </w:r>
          </w:p>
        </w:tc>
      </w:tr>
      <w:tr w:rsidR="000A156F" w:rsidTr="000A156F">
        <w:tc>
          <w:tcPr>
            <w:tcW w:w="0" w:type="auto"/>
            <w:vAlign w:val="center"/>
          </w:tcPr>
          <w:p w:rsidR="000A156F" w:rsidRDefault="00A9721F">
            <w:pPr>
              <w:pStyle w:val="TableBodyText"/>
            </w:pPr>
            <w:r>
              <w:rPr>
                <w:rStyle w:val="InlineCode"/>
              </w:rPr>
              <w:t>2</w:t>
            </w:r>
          </w:p>
        </w:tc>
        <w:tc>
          <w:tcPr>
            <w:tcW w:w="0" w:type="auto"/>
            <w:vAlign w:val="center"/>
          </w:tcPr>
          <w:p w:rsidR="000A156F" w:rsidRDefault="00A9721F">
            <w:pPr>
              <w:pStyle w:val="TableBodyText"/>
            </w:pPr>
            <w:r>
              <w:t>Actual/360. Computes the actual difference in days, and presumes there are always 360 days per year.</w:t>
            </w:r>
          </w:p>
        </w:tc>
      </w:tr>
      <w:tr w:rsidR="000A156F" w:rsidTr="000A156F">
        <w:tc>
          <w:tcPr>
            <w:tcW w:w="0" w:type="auto"/>
            <w:vAlign w:val="center"/>
          </w:tcPr>
          <w:p w:rsidR="000A156F" w:rsidRDefault="00A9721F">
            <w:pPr>
              <w:pStyle w:val="TableBodyText"/>
            </w:pPr>
            <w:r>
              <w:rPr>
                <w:rStyle w:val="InlineCode"/>
              </w:rPr>
              <w:t>3</w:t>
            </w:r>
          </w:p>
        </w:tc>
        <w:tc>
          <w:tcPr>
            <w:tcW w:w="0" w:type="auto"/>
            <w:vAlign w:val="center"/>
          </w:tcPr>
          <w:p w:rsidR="000A156F" w:rsidRDefault="00A9721F">
            <w:pPr>
              <w:pStyle w:val="TableBodyText"/>
            </w:pPr>
            <w:r>
              <w:t xml:space="preserve">Actual/365. Computes the actual difference in days, and presumes there are always 365 days per </w:t>
            </w:r>
            <w:r>
              <w:lastRenderedPageBreak/>
              <w:t>year.</w:t>
            </w:r>
          </w:p>
        </w:tc>
      </w:tr>
      <w:tr w:rsidR="000A156F" w:rsidTr="000A156F">
        <w:tc>
          <w:tcPr>
            <w:tcW w:w="0" w:type="auto"/>
            <w:vAlign w:val="center"/>
          </w:tcPr>
          <w:p w:rsidR="000A156F" w:rsidRDefault="00A9721F">
            <w:pPr>
              <w:pStyle w:val="TableBodyText"/>
            </w:pPr>
            <w:r>
              <w:rPr>
                <w:rStyle w:val="InlineCode"/>
              </w:rPr>
              <w:lastRenderedPageBreak/>
              <w:t>4</w:t>
            </w:r>
          </w:p>
        </w:tc>
        <w:tc>
          <w:tcPr>
            <w:tcW w:w="0" w:type="auto"/>
            <w:vAlign w:val="center"/>
          </w:tcPr>
          <w:p w:rsidR="000A156F" w:rsidRDefault="00A9721F">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0A156F" w:rsidRDefault="000A156F"/>
    <w:p w:rsidR="000A156F" w:rsidRDefault="00A9721F">
      <w:pPr>
        <w:pStyle w:val="Definition-Field"/>
      </w:pPr>
      <w:r>
        <w:t xml:space="preserve">b.   </w:t>
      </w:r>
      <w:r>
        <w:rPr>
          <w:i/>
        </w:rPr>
        <w:t xml:space="preserve">The standard specifies pr argument as the </w:t>
      </w:r>
      <w:r>
        <w:rPr>
          <w:i/>
        </w:rPr>
        <w:t>security's price.</w:t>
      </w:r>
    </w:p>
    <w:p w:rsidR="000A156F" w:rsidRDefault="00A9721F">
      <w:pPr>
        <w:pStyle w:val="Definition-Field2"/>
      </w:pPr>
      <w:r>
        <w:t>Office treats pr argument as the security's price per 100 currency units face value.</w:t>
      </w:r>
    </w:p>
    <w:p w:rsidR="000A156F" w:rsidRDefault="00A9721F">
      <w:pPr>
        <w:pStyle w:val="Definition-Field"/>
      </w:pPr>
      <w:r>
        <w:t xml:space="preserve">c.   </w:t>
      </w:r>
      <w:r>
        <w:rPr>
          <w:i/>
        </w:rPr>
        <w:t>The standard states if rate or pr ≤ 0, #NUM! is returned.</w:t>
      </w:r>
    </w:p>
    <w:p w:rsidR="000A156F" w:rsidRDefault="00A9721F">
      <w:pPr>
        <w:pStyle w:val="Definition-Field2"/>
      </w:pPr>
      <w:r>
        <w:t>Office returns #NUM! if pr is less than or equal to 0, or if rate is less than 0.</w:t>
      </w:r>
    </w:p>
    <w:p w:rsidR="000A156F" w:rsidRDefault="00A9721F">
      <w:pPr>
        <w:pStyle w:val="Definition-Field"/>
      </w:pPr>
      <w:r>
        <w:t xml:space="preserve">d.   </w:t>
      </w:r>
      <w:r>
        <w:rPr>
          <w:i/>
        </w:rPr>
        <w:t>The</w:t>
      </w:r>
      <w:r>
        <w:rPr>
          <w:i/>
        </w:rPr>
        <w:t xml:space="preserve"> standard does not describe a restriction on the relative values of issue and settlement.</w:t>
      </w:r>
    </w:p>
    <w:p w:rsidR="000A156F" w:rsidRDefault="00A9721F">
      <w:pPr>
        <w:pStyle w:val="Definition-Field2"/>
      </w:pPr>
      <w:r>
        <w:t>Office returns #NUM! if issue ≥ settlement.</w:t>
      </w:r>
    </w:p>
    <w:p w:rsidR="000A156F" w:rsidRDefault="00A9721F">
      <w:pPr>
        <w:pStyle w:val="Heading3"/>
      </w:pPr>
      <w:bookmarkStart w:id="2172" w:name="section_c494196a44ad4042b21bb60c3f93c792"/>
      <w:bookmarkStart w:id="2173" w:name="_Toc181684112"/>
      <w:r>
        <w:t>Part 1 Section 18.17.7.356, ZTEST</w:t>
      </w:r>
      <w:bookmarkEnd w:id="2172"/>
      <w:bookmarkEnd w:id="2173"/>
      <w:r>
        <w:fldChar w:fldCharType="begin"/>
      </w:r>
      <w:r>
        <w:instrText xml:space="preserve"> XE "ZTEST" </w:instrText>
      </w:r>
      <w:r>
        <w:fldChar w:fldCharType="end"/>
      </w:r>
    </w:p>
    <w:p w:rsidR="000A156F" w:rsidRDefault="00A9721F">
      <w:pPr>
        <w:pStyle w:val="Definition-Field"/>
      </w:pPr>
      <w:r>
        <w:t xml:space="preserve">a.   </w:t>
      </w:r>
      <w:r>
        <w:rPr>
          <w:i/>
        </w:rPr>
        <w:t>The standard does not specify how function arguments map to formula v</w:t>
      </w:r>
      <w:r>
        <w:rPr>
          <w:i/>
        </w:rPr>
        <w:t>ariables.</w:t>
      </w:r>
    </w:p>
    <w:p w:rsidR="000A156F" w:rsidRDefault="00A9721F">
      <w:pPr>
        <w:pStyle w:val="Definition-Field2"/>
      </w:pPr>
      <w:r>
        <w:t>Office maps x-bar to sample mean and µ_0 to argument test-value.</w:t>
      </w:r>
    </w:p>
    <w:p w:rsidR="000A156F" w:rsidRDefault="00A9721F">
      <w:pPr>
        <w:pStyle w:val="Definition-Field"/>
      </w:pPr>
      <w:r>
        <w:t xml:space="preserve">b.   </w:t>
      </w:r>
      <w:r>
        <w:rPr>
          <w:i/>
        </w:rPr>
        <w:t>In the standard, there is no restriction on the value of sigma.</w:t>
      </w:r>
    </w:p>
    <w:p w:rsidR="000A156F" w:rsidRDefault="00A9721F">
      <w:pPr>
        <w:pStyle w:val="Definition-Field2"/>
      </w:pPr>
      <w:r>
        <w:t>In Office, if sigma is less than or equal to 0, then #NUM! is returned.</w:t>
      </w:r>
    </w:p>
    <w:p w:rsidR="000A156F" w:rsidRDefault="00A9721F">
      <w:pPr>
        <w:pStyle w:val="Heading3"/>
      </w:pPr>
      <w:bookmarkStart w:id="2174" w:name="section_53249af3c6b1442193665720617c9e53"/>
      <w:bookmarkStart w:id="2175" w:name="_Toc181684113"/>
      <w:r>
        <w:t>Part 1 Section 18.18.2, ST_BorderId (Bor</w:t>
      </w:r>
      <w:r>
        <w:t>der Id)</w:t>
      </w:r>
      <w:bookmarkEnd w:id="2174"/>
      <w:bookmarkEnd w:id="2175"/>
      <w:r>
        <w:fldChar w:fldCharType="begin"/>
      </w:r>
      <w:r>
        <w:instrText xml:space="preserve"> XE "ST_BorderId (Border Id)" </w:instrText>
      </w:r>
      <w:r>
        <w:fldChar w:fldCharType="end"/>
      </w:r>
    </w:p>
    <w:p w:rsidR="000A156F" w:rsidRDefault="00A9721F">
      <w:pPr>
        <w:pStyle w:val="Definition-Field"/>
      </w:pPr>
      <w:r>
        <w:t xml:space="preserve">a.   </w:t>
      </w:r>
      <w:r>
        <w:rPr>
          <w:i/>
        </w:rPr>
        <w:t>The standard allows this type to be any unsignedInt.</w:t>
      </w:r>
    </w:p>
    <w:p w:rsidR="000A156F" w:rsidRDefault="00A9721F">
      <w:pPr>
        <w:pStyle w:val="Definition-Field2"/>
      </w:pPr>
      <w:r>
        <w:t>In Office, the valid values for attributes that use this type are restricted by the count of border elements in the borders collection.</w:t>
      </w:r>
    </w:p>
    <w:p w:rsidR="000A156F" w:rsidRDefault="00A9721F">
      <w:pPr>
        <w:pStyle w:val="Heading3"/>
      </w:pPr>
      <w:bookmarkStart w:id="2176" w:name="section_0adc381aa21a457c8a5a88dc96fa2688"/>
      <w:bookmarkStart w:id="2177" w:name="_Toc181684114"/>
      <w:r>
        <w:t>Part 1 Section 18.18.6, ST_CellFormulaType (Formula Type)</w:t>
      </w:r>
      <w:bookmarkEnd w:id="2176"/>
      <w:bookmarkEnd w:id="2177"/>
      <w:r>
        <w:fldChar w:fldCharType="begin"/>
      </w:r>
      <w:r>
        <w:instrText xml:space="preserve"> XE "ST_CellFormulaType (Formula Type)" </w:instrText>
      </w:r>
      <w:r>
        <w:fldChar w:fldCharType="end"/>
      </w:r>
    </w:p>
    <w:p w:rsidR="000A156F" w:rsidRDefault="00A9721F">
      <w:pPr>
        <w:pStyle w:val="Definition-Field"/>
      </w:pPr>
      <w:r>
        <w:t xml:space="preserve">a.   </w:t>
      </w:r>
      <w:r>
        <w:rPr>
          <w:i/>
        </w:rPr>
        <w:t>The standard is missing attributes referencing this type.</w:t>
      </w:r>
    </w:p>
    <w:p w:rsidR="000A156F" w:rsidRDefault="00A9721F">
      <w:pPr>
        <w:pStyle w:val="Definition-Field2"/>
      </w:pPr>
      <w:r>
        <w:t>Office allows f@t to reference this type.</w:t>
      </w:r>
    </w:p>
    <w:p w:rsidR="000A156F" w:rsidRDefault="00A9721F">
      <w:pPr>
        <w:pStyle w:val="Heading3"/>
      </w:pPr>
      <w:bookmarkStart w:id="2178" w:name="section_044c2ba4098b4b15b9603f7f972665df"/>
      <w:bookmarkStart w:id="2179" w:name="_Toc181684115"/>
      <w:r>
        <w:t>Part 1 Section 18.18.7, ST_CellRef (Cell Reference)</w:t>
      </w:r>
      <w:bookmarkEnd w:id="2178"/>
      <w:bookmarkEnd w:id="2179"/>
      <w:r>
        <w:fldChar w:fldCharType="begin"/>
      </w:r>
      <w:r>
        <w:instrText xml:space="preserve"> XE "ST_CellRef (Cell Reference)" </w:instrText>
      </w:r>
      <w:r>
        <w:fldChar w:fldCharType="end"/>
      </w:r>
    </w:p>
    <w:p w:rsidR="000A156F" w:rsidRDefault="00A9721F">
      <w:pPr>
        <w:pStyle w:val="Definition-Field"/>
      </w:pPr>
      <w:r>
        <w:t xml:space="preserve">a.   </w:t>
      </w:r>
      <w:r>
        <w:rPr>
          <w:i/>
        </w:rPr>
        <w:t>The standard defines a cell reference to be any string.</w:t>
      </w:r>
    </w:p>
    <w:p w:rsidR="000A156F" w:rsidRDefault="00A9721F">
      <w:r>
        <w:t>A single cell reference consists of a column name immediately followed by a row number. The column name is encoded using one, two, or three capital letters in</w:t>
      </w:r>
      <w:r>
        <w:t xml:space="preserve"> US English locale:</w:t>
      </w:r>
    </w:p>
    <w:p w:rsidR="000A156F" w:rsidRDefault="00A9721F">
      <w:r>
        <w:t>&lt;letter&gt; ::= “A” | “B” | “C” | “D” | “E” | “F” | “G” | “H” | “I” | “J” | “K” | “L” | “M” | “N” | “O” | “P” | “Q” | “R” | “S” | “T” | “U” | “V” | “W” | “X” | “Y” | “Z”</w:t>
      </w:r>
    </w:p>
    <w:p w:rsidR="000A156F" w:rsidRDefault="00A9721F">
      <w:r>
        <w:t>&lt;column name&gt; ::= &lt;letter&gt; | &lt;letter&gt; &lt;letter&gt; | &lt;letter&gt; &lt;letter&gt; &lt;l</w:t>
      </w:r>
      <w:r>
        <w:t>etter&gt;</w:t>
      </w:r>
    </w:p>
    <w:p w:rsidR="000A156F" w:rsidRDefault="00A9721F">
      <w:r>
        <w:t>&lt;cell reference&gt; ::= &lt;column name&gt; &lt;row number&gt;</w:t>
      </w:r>
    </w:p>
    <w:p w:rsidR="000A156F" w:rsidRDefault="00A9721F">
      <w:r>
        <w:lastRenderedPageBreak/>
        <w:t>The row number is an integer in the range from 1 to 1048576.</w:t>
      </w:r>
    </w:p>
    <w:p w:rsidR="000A156F" w:rsidRDefault="00A9721F">
      <w:r>
        <w:t>Assume that the letter “A” corresponds to the numeric value 1, the letter “B” – to the numeric value 2, and so on, and the letter “Z” corres</w:t>
      </w:r>
      <w:r>
        <w:t>ponding to the numeric value 26. Further assume that &lt;letter N&gt; designates the letter in position N of the column name, counting from the right, with a missing letter corresponding to the numeric value 0. The column number then can be expressed as follows:</w:t>
      </w:r>
    </w:p>
    <w:p w:rsidR="000A156F" w:rsidRDefault="00A9721F">
      <w:r>
        <w:t>&lt;column number&gt; = 676*&lt;letter 3&gt; + 26*&lt;letter 2&gt; + &lt;letter 1&gt;</w:t>
      </w:r>
    </w:p>
    <w:p w:rsidR="000A156F" w:rsidRDefault="00A9721F">
      <w:r>
        <w:t>[Example:</w:t>
      </w:r>
    </w:p>
    <w:p w:rsidR="000A156F" w:rsidRDefault="00A9721F">
      <w:r>
        <w:t>Column name “A” corresponds to the column number 1: 676*0 + 26*0 + 1 = 1.</w:t>
      </w:r>
    </w:p>
    <w:p w:rsidR="000A156F" w:rsidRDefault="00A9721F">
      <w:r>
        <w:t>Column name “AD” corresponds to the column number 30: 676*0 + 26*1 + 4 = 30.</w:t>
      </w:r>
    </w:p>
    <w:p w:rsidR="000A156F" w:rsidRDefault="00A9721F">
      <w:r>
        <w:t>Column name “XFD” corresponds to</w:t>
      </w:r>
      <w:r>
        <w:t xml:space="preserve"> the column number 16384: 676*24 + 26*6 + 4 = 16384.</w:t>
      </w:r>
    </w:p>
    <w:p w:rsidR="000A156F" w:rsidRDefault="00A9721F">
      <w:r>
        <w:t>end example]</w:t>
      </w:r>
    </w:p>
    <w:p w:rsidR="000A156F" w:rsidRDefault="00A9721F">
      <w:r>
        <w:t>The first column in a sheet is number 1 and it has the name “A”. The last column in the sheet is number 16384 and it has the name “XFD”.</w:t>
      </w:r>
    </w:p>
    <w:p w:rsidR="000A156F" w:rsidRDefault="00A9721F">
      <w:r>
        <w:t>[Example:</w:t>
      </w:r>
    </w:p>
    <w:p w:rsidR="000A156F" w:rsidRDefault="00A9721F">
      <w:r>
        <w:t>A1 – a reference to the cell at column 1, r</w:t>
      </w:r>
      <w:r>
        <w:t>ow 1.</w:t>
      </w:r>
    </w:p>
    <w:p w:rsidR="000A156F" w:rsidRDefault="00A9721F">
      <w:r>
        <w:t>XFD1048576 – a reference to the cell in the bottom right corner of the sheet, that is, at column 16384, row 1048576.</w:t>
      </w:r>
    </w:p>
    <w:p w:rsidR="000A156F" w:rsidRDefault="00A9721F">
      <w:r>
        <w:t>end example]</w:t>
      </w:r>
    </w:p>
    <w:p w:rsidR="000A156F" w:rsidRDefault="00A9721F">
      <w:pPr>
        <w:pStyle w:val="Heading3"/>
      </w:pPr>
      <w:bookmarkStart w:id="2180" w:name="section_dbd6f7062cb8443d992c603bddbcc95c"/>
      <w:bookmarkStart w:id="2181" w:name="_Toc181684116"/>
      <w:r>
        <w:t>Part 1 Section 18.18.8, ST_CellSpan (Cell Span Type)</w:t>
      </w:r>
      <w:bookmarkEnd w:id="2180"/>
      <w:bookmarkEnd w:id="2181"/>
      <w:r>
        <w:fldChar w:fldCharType="begin"/>
      </w:r>
      <w:r>
        <w:instrText xml:space="preserve"> XE "ST_CellSpan (Cell Span Type)" </w:instrText>
      </w:r>
      <w:r>
        <w:fldChar w:fldCharType="end"/>
      </w:r>
    </w:p>
    <w:p w:rsidR="000A156F" w:rsidRDefault="00A9721F">
      <w:pPr>
        <w:pStyle w:val="Definition-Field"/>
      </w:pPr>
      <w:r>
        <w:t xml:space="preserve">a.   </w:t>
      </w:r>
      <w:r>
        <w:rPr>
          <w:i/>
        </w:rPr>
        <w:t xml:space="preserve">The standard states that </w:t>
      </w:r>
      <w:r>
        <w:rPr>
          <w:i/>
        </w:rPr>
        <w:t>the ST_CellSpan simple type is referenced by the ST_CellSpan simple type.</w:t>
      </w:r>
    </w:p>
    <w:p w:rsidR="000A156F" w:rsidRDefault="00A9721F">
      <w:pPr>
        <w:pStyle w:val="Definition-Field2"/>
      </w:pPr>
      <w:r>
        <w:t>Office defines this simple type to be referenced by the ST_CellSpans simple type.</w:t>
      </w:r>
    </w:p>
    <w:p w:rsidR="000A156F" w:rsidRDefault="00A9721F">
      <w:pPr>
        <w:pStyle w:val="Definition-Field"/>
      </w:pPr>
      <w:r>
        <w:t xml:space="preserve">b.   </w:t>
      </w:r>
      <w:r>
        <w:rPr>
          <w:i/>
        </w:rPr>
        <w:t>The standard allows any string to be a valid CellSpan.</w:t>
      </w:r>
    </w:p>
    <w:p w:rsidR="000A156F" w:rsidRDefault="00A9721F">
      <w:r>
        <w:t>In Office, the numerical values separate</w:t>
      </w:r>
      <w:r>
        <w:t>d by the colon specify the first and last columns of the span using one-based column indices. The values shall be positive and never exceed the maximum number of columns within the spreadsheet document. The value to the left of the colon shall be less than</w:t>
      </w:r>
      <w:r>
        <w:t xml:space="preserve"> or equal to the value to the right of the colon.  </w:t>
      </w:r>
    </w:p>
    <w:p w:rsidR="000A156F" w:rsidRDefault="00A9721F">
      <w:r>
        <w:t xml:space="preserve">This restriction matches the following regular expression pattern: \d+:\d+. </w:t>
      </w:r>
    </w:p>
    <w:p w:rsidR="000A156F" w:rsidRDefault="00A9721F">
      <w:pPr>
        <w:pStyle w:val="Heading3"/>
      </w:pPr>
      <w:bookmarkStart w:id="2182" w:name="section_8f64b974a9a944129ccb91382135586b"/>
      <w:bookmarkStart w:id="2183" w:name="_Toc181684117"/>
      <w:r>
        <w:t>Part 1 Section 18.18.16, ST_CredMethod (Credentials Method)</w:t>
      </w:r>
      <w:bookmarkEnd w:id="2182"/>
      <w:bookmarkEnd w:id="2183"/>
      <w:r>
        <w:fldChar w:fldCharType="begin"/>
      </w:r>
      <w:r>
        <w:instrText xml:space="preserve"> XE "ST_CredMethod (Credentials Method)" </w:instrText>
      </w:r>
      <w:r>
        <w:fldChar w:fldCharType="end"/>
      </w:r>
    </w:p>
    <w:p w:rsidR="000A156F" w:rsidRDefault="00A9721F">
      <w:pPr>
        <w:pStyle w:val="Definition-Field"/>
      </w:pPr>
      <w:r>
        <w:t xml:space="preserve">a.   </w:t>
      </w:r>
      <w:r>
        <w:rPr>
          <w:i/>
        </w:rPr>
        <w:t>The standard states</w:t>
      </w:r>
      <w:r>
        <w:rPr>
          <w:i/>
        </w:rPr>
        <w:t xml:space="preserve"> that prompt is a valid value of the ST_CredMethod simple type.</w:t>
      </w:r>
    </w:p>
    <w:p w:rsidR="000A156F" w:rsidRDefault="00A9721F">
      <w:pPr>
        <w:pStyle w:val="Definition-Field2"/>
      </w:pPr>
      <w:r>
        <w:t>Excel does not allow this value on this simple type.</w:t>
      </w:r>
    </w:p>
    <w:p w:rsidR="000A156F" w:rsidRDefault="00A9721F">
      <w:pPr>
        <w:pStyle w:val="Heading3"/>
      </w:pPr>
      <w:bookmarkStart w:id="2184" w:name="section_cf92e21e16414d069a73f5ecb57e368f"/>
      <w:bookmarkStart w:id="2185" w:name="_Toc181684118"/>
      <w:r>
        <w:t>Part 1 Section 18.18.25, ST_DxfId (Format Id)</w:t>
      </w:r>
      <w:bookmarkEnd w:id="2184"/>
      <w:bookmarkEnd w:id="2185"/>
      <w:r>
        <w:fldChar w:fldCharType="begin"/>
      </w:r>
      <w:r>
        <w:instrText xml:space="preserve"> XE "ST_DxfId (Format Id)" </w:instrText>
      </w:r>
      <w:r>
        <w:fldChar w:fldCharType="end"/>
      </w:r>
    </w:p>
    <w:p w:rsidR="000A156F" w:rsidRDefault="00A9721F">
      <w:pPr>
        <w:pStyle w:val="Definition-Field"/>
      </w:pPr>
      <w:r>
        <w:t xml:space="preserve">a.   </w:t>
      </w:r>
      <w:r>
        <w:rPr>
          <w:i/>
        </w:rPr>
        <w:t>The standard specifies that the values for the ST_Dxfld sim</w:t>
      </w:r>
      <w:r>
        <w:rPr>
          <w:i/>
        </w:rPr>
        <w:t>ple type are defined by the XML Schema unsignedInt datatype.</w:t>
      </w:r>
    </w:p>
    <w:p w:rsidR="000A156F" w:rsidRDefault="00A9721F">
      <w:pPr>
        <w:pStyle w:val="Definition-Field2"/>
      </w:pPr>
      <w:r>
        <w:t>In Office, the valid values for attributes that use this simple type must be less than or equal to 4294967294.</w:t>
      </w:r>
    </w:p>
    <w:p w:rsidR="000A156F" w:rsidRDefault="00A9721F">
      <w:pPr>
        <w:pStyle w:val="Heading3"/>
      </w:pPr>
      <w:bookmarkStart w:id="2186" w:name="section_6ba27075db5b4f3dab0ae7347a2d56c5"/>
      <w:bookmarkStart w:id="2187" w:name="_Toc181684119"/>
      <w:r>
        <w:lastRenderedPageBreak/>
        <w:t>Part 1 Section 18.18.29, ST_FileType (File Type)</w:t>
      </w:r>
      <w:bookmarkEnd w:id="2186"/>
      <w:bookmarkEnd w:id="2187"/>
      <w:r>
        <w:fldChar w:fldCharType="begin"/>
      </w:r>
      <w:r>
        <w:instrText xml:space="preserve"> XE "ST_FileType (File Type)" </w:instrText>
      </w:r>
      <w:r>
        <w:fldChar w:fldCharType="end"/>
      </w:r>
    </w:p>
    <w:p w:rsidR="000A156F" w:rsidRDefault="00A9721F">
      <w:pPr>
        <w:pStyle w:val="Definition-Field"/>
      </w:pPr>
      <w:r>
        <w:t xml:space="preserve">a. </w:t>
      </w:r>
      <w:r>
        <w:t xml:space="preserve">  </w:t>
      </w:r>
      <w:r>
        <w:rPr>
          <w:i/>
        </w:rPr>
        <w:t>The standard does not state that this setting can be overridden.</w:t>
      </w:r>
    </w:p>
    <w:p w:rsidR="000A156F" w:rsidRDefault="00A9721F">
      <w:pPr>
        <w:pStyle w:val="Definition-Field2"/>
      </w:pPr>
      <w:r>
        <w:t>In Office, this simple type is used in the absence of the byte-order mark (BOM), whose value shall override this setting.</w:t>
      </w:r>
    </w:p>
    <w:p w:rsidR="000A156F" w:rsidRDefault="00A9721F">
      <w:pPr>
        <w:pStyle w:val="Definition-Field"/>
      </w:pPr>
      <w:r>
        <w:t xml:space="preserve">b.   </w:t>
      </w:r>
      <w:r>
        <w:rPr>
          <w:i/>
        </w:rPr>
        <w:t>The standard states that "lin" and "other" are valid values fo</w:t>
      </w:r>
      <w:r>
        <w:rPr>
          <w:i/>
        </w:rPr>
        <w:t>r ST_FileType.</w:t>
      </w:r>
    </w:p>
    <w:p w:rsidR="000A156F" w:rsidRDefault="00A9721F">
      <w:pPr>
        <w:pStyle w:val="Definition-Field2"/>
      </w:pPr>
      <w:r>
        <w:t>Office does not support the values "lin" and "other", and instead uses the value "win".</w:t>
      </w:r>
    </w:p>
    <w:p w:rsidR="000A156F" w:rsidRDefault="00A9721F">
      <w:pPr>
        <w:pStyle w:val="Heading3"/>
      </w:pPr>
      <w:bookmarkStart w:id="2188" w:name="section_1053b25753e44ce5a8cbd5525d9a6100"/>
      <w:bookmarkStart w:id="2189" w:name="_Toc181684120"/>
      <w:r>
        <w:t>Part 1 Section 18.18.30, ST_FillId (Fill Id)</w:t>
      </w:r>
      <w:bookmarkEnd w:id="2188"/>
      <w:bookmarkEnd w:id="2189"/>
      <w:r>
        <w:fldChar w:fldCharType="begin"/>
      </w:r>
      <w:r>
        <w:instrText xml:space="preserve"> XE "ST_FillId (Fill Id)" </w:instrText>
      </w:r>
      <w:r>
        <w:fldChar w:fldCharType="end"/>
      </w:r>
    </w:p>
    <w:p w:rsidR="000A156F" w:rsidRDefault="00A9721F">
      <w:pPr>
        <w:pStyle w:val="Definition-Field"/>
      </w:pPr>
      <w:r>
        <w:t xml:space="preserve">a.   </w:t>
      </w:r>
      <w:r>
        <w:rPr>
          <w:i/>
        </w:rPr>
        <w:t>The standard allows this type to be any unsignedInt.</w:t>
      </w:r>
    </w:p>
    <w:p w:rsidR="000A156F" w:rsidRDefault="00A9721F">
      <w:r>
        <w:t>In Office, the valid v</w:t>
      </w:r>
      <w:r>
        <w:t>alues for attributes that use this type are restricted by the count of fill elements in the fills collection ("</w:t>
      </w:r>
      <w:hyperlink r:id="rId155">
        <w:r>
          <w:rPr>
            <w:rStyle w:val="Hyperlink"/>
          </w:rPr>
          <w:t>[ISO/IEC-29500-1]</w:t>
        </w:r>
      </w:hyperlink>
      <w:r>
        <w:t xml:space="preserve"> §18.8.21; fills").</w:t>
      </w:r>
    </w:p>
    <w:p w:rsidR="000A156F" w:rsidRDefault="00A9721F">
      <w:r>
        <w:t>Excel reserves FIllId index values 0 and 1</w:t>
      </w:r>
      <w:r>
        <w:t xml:space="preserve"> for internal use. If these are overwritten in the styles.xml file, Excel will ignore the fill definitions and use its internally defined styles instead.</w:t>
      </w:r>
    </w:p>
    <w:p w:rsidR="000A156F" w:rsidRDefault="00A9721F">
      <w:pPr>
        <w:pStyle w:val="Heading3"/>
      </w:pPr>
      <w:bookmarkStart w:id="2190" w:name="section_8ebf82e44fa443a69ecdd2d793a6f4bf"/>
      <w:bookmarkStart w:id="2191" w:name="_Toc181684121"/>
      <w:r>
        <w:t>Part 1 Section 18.18.35, ST_Formula (Formula)</w:t>
      </w:r>
      <w:bookmarkEnd w:id="2190"/>
      <w:bookmarkEnd w:id="2191"/>
      <w:r>
        <w:fldChar w:fldCharType="begin"/>
      </w:r>
      <w:r>
        <w:instrText xml:space="preserve"> XE "ST_Formula (Formula)" </w:instrText>
      </w:r>
      <w:r>
        <w:fldChar w:fldCharType="end"/>
      </w:r>
    </w:p>
    <w:p w:rsidR="000A156F" w:rsidRDefault="00A9721F">
      <w:pPr>
        <w:pStyle w:val="Definition-Field"/>
      </w:pPr>
      <w:r>
        <w:t xml:space="preserve">a.   </w:t>
      </w:r>
      <w:r>
        <w:rPr>
          <w:i/>
        </w:rPr>
        <w:t xml:space="preserve">The standard does not </w:t>
      </w:r>
      <w:r>
        <w:rPr>
          <w:i/>
        </w:rPr>
        <w:t>limit the length of the contents of the ST_Formula simple type.</w:t>
      </w:r>
    </w:p>
    <w:p w:rsidR="000A156F" w:rsidRDefault="00A9721F">
      <w:pPr>
        <w:pStyle w:val="Definition-Field2"/>
      </w:pPr>
      <w:r>
        <w:t>Excel restricts the contents of this simple type to be at most 8192 characters.</w:t>
      </w:r>
    </w:p>
    <w:p w:rsidR="000A156F" w:rsidRDefault="00A9721F">
      <w:pPr>
        <w:pStyle w:val="Definition-Field"/>
      </w:pPr>
      <w:r>
        <w:t xml:space="preserve">b.   </w:t>
      </w:r>
      <w:r>
        <w:rPr>
          <w:i/>
        </w:rPr>
        <w:t>The standard is missing reference to general formulas syntax and prose.</w:t>
      </w:r>
    </w:p>
    <w:p w:rsidR="000A156F" w:rsidRDefault="00A9721F">
      <w:pPr>
        <w:pStyle w:val="Definition-Field2"/>
      </w:pPr>
      <w:r>
        <w:t>In Excel, the ST_Formula simple typ</w:t>
      </w:r>
      <w:r>
        <w:t>e should have a reference to general formulas syntax and prose as defined in Formulas ("</w:t>
      </w:r>
      <w:hyperlink r:id="rId156">
        <w:r>
          <w:rPr>
            <w:rStyle w:val="Hyperlink"/>
          </w:rPr>
          <w:t>[ISO/IEC-29500-1]</w:t>
        </w:r>
      </w:hyperlink>
      <w:r>
        <w:t xml:space="preserve"> §18.17").</w:t>
      </w:r>
    </w:p>
    <w:p w:rsidR="000A156F" w:rsidRDefault="00A9721F">
      <w:pPr>
        <w:pStyle w:val="Heading3"/>
      </w:pPr>
      <w:bookmarkStart w:id="2192" w:name="section_c4cfb1aae45d4ae0bc786ec437e9c444"/>
      <w:bookmarkStart w:id="2193" w:name="_Toc181684122"/>
      <w:r>
        <w:t>Part 1 Section 18.18.42, ST_IconSetType (Icon Set Type)</w:t>
      </w:r>
      <w:bookmarkEnd w:id="2192"/>
      <w:bookmarkEnd w:id="2193"/>
      <w:r>
        <w:fldChar w:fldCharType="begin"/>
      </w:r>
      <w:r>
        <w:instrText xml:space="preserve"> XE "ST_IconSetType</w:instrText>
      </w:r>
      <w:r>
        <w:instrText xml:space="preserve"> (Icon Set Type)" </w:instrText>
      </w:r>
      <w:r>
        <w:fldChar w:fldCharType="end"/>
      </w:r>
    </w:p>
    <w:p w:rsidR="000A156F" w:rsidRDefault="00A9721F">
      <w:pPr>
        <w:pStyle w:val="Definition-Field"/>
      </w:pPr>
      <w:r>
        <w:t xml:space="preserve">a.   </w:t>
      </w:r>
      <w:r>
        <w:rPr>
          <w:i/>
        </w:rPr>
        <w:t>The standard states that the 5Rating set contains smiley-face icons for conditional formatting.</w:t>
      </w:r>
    </w:p>
    <w:p w:rsidR="000A156F" w:rsidRDefault="00A9721F">
      <w:pPr>
        <w:pStyle w:val="Definition-Field2"/>
      </w:pPr>
      <w:r>
        <w:t>Office implements the 5Rating icon set is a set of 5 cell phone-like bars (see icons for '4 ratings icon set').</w:t>
      </w:r>
    </w:p>
    <w:p w:rsidR="000A156F" w:rsidRDefault="00A9721F">
      <w:pPr>
        <w:pStyle w:val="Heading3"/>
      </w:pPr>
      <w:bookmarkStart w:id="2194" w:name="section_693a4c2462a847d187514405629f6f50"/>
      <w:bookmarkStart w:id="2195" w:name="_Toc181684123"/>
      <w:r>
        <w:t>Part 1 Section 18.18.4</w:t>
      </w:r>
      <w:r>
        <w:t>7, ST_NumFmtId (Number Format Id)</w:t>
      </w:r>
      <w:bookmarkEnd w:id="2194"/>
      <w:bookmarkEnd w:id="2195"/>
      <w:r>
        <w:fldChar w:fldCharType="begin"/>
      </w:r>
      <w:r>
        <w:instrText xml:space="preserve"> XE "ST_NumFmtId (Number Format Id)" </w:instrText>
      </w:r>
      <w:r>
        <w:fldChar w:fldCharType="end"/>
      </w:r>
    </w:p>
    <w:p w:rsidR="000A156F" w:rsidRDefault="00A9721F">
      <w:pPr>
        <w:pStyle w:val="Definition-Field"/>
      </w:pPr>
      <w:r>
        <w:t xml:space="preserve">a.   </w:t>
      </w:r>
      <w:r>
        <w:rPr>
          <w:i/>
        </w:rPr>
        <w:t>The standard states that the values of the ST_NumFmtId simple type are defined by the XML Schema unsignedInt datatype.</w:t>
      </w:r>
    </w:p>
    <w:p w:rsidR="000A156F" w:rsidRDefault="00A9721F">
      <w:pPr>
        <w:pStyle w:val="Definition-Field2"/>
      </w:pPr>
      <w:r>
        <w:t>Office restricts the values of this attribute to be at most</w:t>
      </w:r>
      <w:r>
        <w:t xml:space="preserve"> 65535.</w:t>
      </w:r>
    </w:p>
    <w:p w:rsidR="000A156F" w:rsidRDefault="00A9721F">
      <w:pPr>
        <w:pStyle w:val="Definition-Field"/>
      </w:pPr>
      <w:r>
        <w:t xml:space="preserve">b.   </w:t>
      </w:r>
      <w:r>
        <w:rPr>
          <w:i/>
        </w:rPr>
        <w:t>The standard does not restrict the values of instances of the ST_NumFmtId simple type.</w:t>
      </w:r>
    </w:p>
    <w:p w:rsidR="000A156F" w:rsidRDefault="00A9721F">
      <w:pPr>
        <w:pStyle w:val="Definition-Field2"/>
      </w:pPr>
      <w:r>
        <w:t>Office requires the first instance of this type in any sequence to be equal to zero. This instance specifies the default style.</w:t>
      </w:r>
    </w:p>
    <w:p w:rsidR="000A156F" w:rsidRDefault="00A9721F">
      <w:pPr>
        <w:pStyle w:val="Heading3"/>
      </w:pPr>
      <w:bookmarkStart w:id="2196" w:name="section_f7289bd3806145098c2cb5fc2252c195"/>
      <w:bookmarkStart w:id="2197" w:name="_Toc181684124"/>
      <w:r>
        <w:t>Part 1 Section 18.18.57, ST_PhoneticType (Phonetic Type)</w:t>
      </w:r>
      <w:bookmarkEnd w:id="2196"/>
      <w:bookmarkEnd w:id="2197"/>
      <w:r>
        <w:fldChar w:fldCharType="begin"/>
      </w:r>
      <w:r>
        <w:instrText xml:space="preserve"> XE "ST_PhoneticType (Phonetic Type)" </w:instrText>
      </w:r>
      <w:r>
        <w:fldChar w:fldCharType="end"/>
      </w:r>
    </w:p>
    <w:p w:rsidR="000A156F" w:rsidRDefault="00A9721F">
      <w:pPr>
        <w:pStyle w:val="Definition-Field"/>
      </w:pPr>
      <w:r>
        <w:t xml:space="preserve">a.   </w:t>
      </w:r>
      <w:r>
        <w:rPr>
          <w:i/>
        </w:rPr>
        <w:t>The standard defines the character set that will be defined for displaying phonetic hints.</w:t>
      </w:r>
    </w:p>
    <w:p w:rsidR="000A156F" w:rsidRDefault="00A9721F">
      <w:pPr>
        <w:pStyle w:val="Definition-Field2"/>
      </w:pPr>
      <w:r>
        <w:t>Office uses the value as a hint as to what character set is pre</w:t>
      </w:r>
      <w:r>
        <w:t>ferred for editing phonetic hints.</w:t>
      </w:r>
    </w:p>
    <w:p w:rsidR="000A156F" w:rsidRDefault="00A9721F">
      <w:pPr>
        <w:pStyle w:val="Heading3"/>
      </w:pPr>
      <w:bookmarkStart w:id="2198" w:name="section_e3e3238f97ce40c0ae596b71a8f69a96"/>
      <w:bookmarkStart w:id="2199" w:name="_Toc181684125"/>
      <w:r>
        <w:lastRenderedPageBreak/>
        <w:t>Part 1 Section 18.18.59, ST_PivotFilterType (Pivot Filter Types)</w:t>
      </w:r>
      <w:bookmarkEnd w:id="2198"/>
      <w:bookmarkEnd w:id="2199"/>
      <w:r>
        <w:fldChar w:fldCharType="begin"/>
      </w:r>
      <w:r>
        <w:instrText xml:space="preserve"> XE "ST_PivotFilterType (Pivot Filter Types)" </w:instrText>
      </w:r>
      <w:r>
        <w:fldChar w:fldCharType="end"/>
      </w:r>
    </w:p>
    <w:p w:rsidR="000A156F" w:rsidRDefault="00A9721F">
      <w:pPr>
        <w:pStyle w:val="Definition-Field"/>
      </w:pPr>
      <w:r>
        <w:t xml:space="preserve">a.   </w:t>
      </w:r>
      <w:r>
        <w:rPr>
          <w:i/>
        </w:rPr>
        <w:t>The standard has descriptions for caption enumeration values stating they apply to field captions.</w:t>
      </w:r>
    </w:p>
    <w:p w:rsidR="000A156F" w:rsidRDefault="00A9721F">
      <w:pPr>
        <w:pStyle w:val="Definition-Field2"/>
      </w:pPr>
      <w:r>
        <w:t>In O</w:t>
      </w:r>
      <w:r>
        <w:t>ffice, these enumeration values apply to item captions.</w:t>
      </w:r>
    </w:p>
    <w:p w:rsidR="000A156F" w:rsidRDefault="00A9721F">
      <w:pPr>
        <w:pStyle w:val="Heading3"/>
      </w:pPr>
      <w:bookmarkStart w:id="2200" w:name="section_fe7f7a7d5ec741f886313ac7884f0883"/>
      <w:bookmarkStart w:id="2201" w:name="_Toc181684126"/>
      <w:r>
        <w:t>Part 1 Section 18.18.62, ST_Ref (Cell References)</w:t>
      </w:r>
      <w:bookmarkEnd w:id="2200"/>
      <w:bookmarkEnd w:id="2201"/>
      <w:r>
        <w:fldChar w:fldCharType="begin"/>
      </w:r>
      <w:r>
        <w:instrText xml:space="preserve"> XE "ST_Ref (Cell References)" </w:instrText>
      </w:r>
      <w:r>
        <w:fldChar w:fldCharType="end"/>
      </w:r>
    </w:p>
    <w:p w:rsidR="000A156F" w:rsidRDefault="00A9721F">
      <w:pPr>
        <w:pStyle w:val="Definition-Field"/>
      </w:pPr>
      <w:r>
        <w:t xml:space="preserve">a.   </w:t>
      </w:r>
      <w:r>
        <w:rPr>
          <w:i/>
        </w:rPr>
        <w:t>The standard does not clearly define what constitutes a valid a cell range reference.</w:t>
      </w:r>
    </w:p>
    <w:p w:rsidR="000A156F" w:rsidRDefault="00A9721F">
      <w:r>
        <w:t>In Office, a cell range re</w:t>
      </w:r>
      <w:r>
        <w:t>ference consists of two single cell references separated by “:” character. The first single cell reference corresponds to the cell with the smallest row and column numbers, and the second single cell reference corresponds to the cell with the largest row a</w:t>
      </w:r>
      <w:r>
        <w:t>nd column numbers within the range. If both references correspond to the same cell, only the first reference might be recorded, and both “:” and the second reference might be omitted:</w:t>
      </w:r>
    </w:p>
    <w:p w:rsidR="000A156F" w:rsidRDefault="00A9721F">
      <w:r>
        <w:t>&lt;cell range reference&gt; ::= &lt;cell reference&gt; “:” &lt;cell reference&gt; | &lt;cell</w:t>
      </w:r>
      <w:r>
        <w:t xml:space="preserve"> reference&gt;</w:t>
      </w:r>
    </w:p>
    <w:p w:rsidR="000A156F" w:rsidRDefault="00A9721F">
      <w:r>
        <w:t>The cell reference, the encoding of column names and their mapping to column numbers are described in ST_CellRef simple type ("</w:t>
      </w:r>
      <w:hyperlink r:id="rId157">
        <w:r>
          <w:rPr>
            <w:rStyle w:val="Hyperlink"/>
          </w:rPr>
          <w:t>[ISO/IEC-29500-1]</w:t>
        </w:r>
      </w:hyperlink>
      <w:r>
        <w:t xml:space="preserve"> §18.18.8; ST_CellSpan").</w:t>
      </w:r>
    </w:p>
    <w:p w:rsidR="000A156F" w:rsidRDefault="00A9721F">
      <w:r>
        <w:t>The widt</w:t>
      </w:r>
      <w:r>
        <w:t>h of the cell range reference is equal to the difference between the largest column number and the smallest column number of the cell range reference, plus 1.</w:t>
      </w:r>
    </w:p>
    <w:p w:rsidR="000A156F" w:rsidRDefault="00A9721F">
      <w:r>
        <w:t xml:space="preserve">The height of the cell range reference is equal to the difference between the largest row number </w:t>
      </w:r>
      <w:r>
        <w:t>and the smallest row number of the cell range reference, plus 1.</w:t>
      </w:r>
    </w:p>
    <w:p w:rsidR="000A156F" w:rsidRDefault="00A9721F">
      <w:r>
        <w:t>[Examples</w:t>
      </w:r>
    </w:p>
    <w:p w:rsidR="000A156F" w:rsidRDefault="00A9721F">
      <w:r>
        <w:t>A1:AD5 – a reference to the cell range of 150 cells, with top left corner in the cell at column , row 1, and the bottom right corner in the cell at column 30, row 5. The width of th</w:t>
      </w:r>
      <w:r>
        <w:t>is range is 30 columns, and the height of this range is 5 rows.</w:t>
      </w:r>
    </w:p>
    <w:p w:rsidR="000A156F" w:rsidRDefault="00A9721F">
      <w:r>
        <w:t>XFD1048576 – a reference to the cell in the bottom right corner of the sheet.</w:t>
      </w:r>
    </w:p>
    <w:p w:rsidR="000A156F" w:rsidRDefault="00A9721F">
      <w:r>
        <w:t>end examples]</w:t>
      </w:r>
    </w:p>
    <w:p w:rsidR="000A156F" w:rsidRDefault="00A9721F">
      <w:pPr>
        <w:pStyle w:val="Heading3"/>
      </w:pPr>
      <w:bookmarkStart w:id="2202" w:name="section_bfae8b6f1af14788b99a0a544efa2a81"/>
      <w:bookmarkStart w:id="2203" w:name="_Toc181684127"/>
      <w:r>
        <w:t>Part 1 Section 18.18.63, ST_RefA (Single Cell Reference)</w:t>
      </w:r>
      <w:bookmarkEnd w:id="2202"/>
      <w:bookmarkEnd w:id="2203"/>
      <w:r>
        <w:fldChar w:fldCharType="begin"/>
      </w:r>
      <w:r>
        <w:instrText xml:space="preserve"> XE "ST_RefA (Single Cell Reference)" </w:instrText>
      </w:r>
      <w:r>
        <w:fldChar w:fldCharType="end"/>
      </w:r>
    </w:p>
    <w:p w:rsidR="000A156F" w:rsidRDefault="00A9721F">
      <w:pPr>
        <w:pStyle w:val="Definition-Field"/>
      </w:pPr>
      <w:r>
        <w:t xml:space="preserve">a. </w:t>
      </w:r>
      <w:r>
        <w:t xml:space="preserve">  </w:t>
      </w:r>
      <w:r>
        <w:rPr>
          <w:i/>
        </w:rPr>
        <w:t>The standard defines this subclause to be a reference to single cell.</w:t>
      </w:r>
    </w:p>
    <w:p w:rsidR="000A156F" w:rsidRDefault="00A9721F">
      <w:pPr>
        <w:pStyle w:val="Definition-Field2"/>
      </w:pPr>
      <w:r>
        <w:t>Office allows elements or attributes of this type to be either a single cell reference or an area reference.</w:t>
      </w:r>
    </w:p>
    <w:p w:rsidR="000A156F" w:rsidRDefault="00A9721F">
      <w:pPr>
        <w:pStyle w:val="Definition-Field"/>
      </w:pPr>
      <w:r>
        <w:t xml:space="preserve">b.   </w:t>
      </w:r>
      <w:r>
        <w:rPr>
          <w:i/>
        </w:rPr>
        <w:t>The standard does not describe the type of cell references that are al</w:t>
      </w:r>
      <w:r>
        <w:rPr>
          <w:i/>
        </w:rPr>
        <w:t>lowed.</w:t>
      </w:r>
    </w:p>
    <w:p w:rsidR="000A156F" w:rsidRDefault="00A9721F">
      <w:pPr>
        <w:pStyle w:val="Definition-Field2"/>
      </w:pPr>
      <w:r>
        <w:t>Office specifies the appropriate format of the cell references and the parsing format to be the same as ST_Ref.</w:t>
      </w:r>
    </w:p>
    <w:p w:rsidR="000A156F" w:rsidRDefault="00A9721F">
      <w:pPr>
        <w:pStyle w:val="Heading3"/>
      </w:pPr>
      <w:bookmarkStart w:id="2204" w:name="section_124de93f54d64d61ad5ae8548f7680b2"/>
      <w:bookmarkStart w:id="2205" w:name="_Toc181684128"/>
      <w:r>
        <w:t>Part 1 Section 18.18.76, ST_Sqref (Reference Sequence)</w:t>
      </w:r>
      <w:bookmarkEnd w:id="2204"/>
      <w:bookmarkEnd w:id="2205"/>
      <w:r>
        <w:fldChar w:fldCharType="begin"/>
      </w:r>
      <w:r>
        <w:instrText xml:space="preserve"> XE "ST_Sqref (Reference Sequence)" </w:instrText>
      </w:r>
      <w:r>
        <w:fldChar w:fldCharType="end"/>
      </w:r>
    </w:p>
    <w:p w:rsidR="000A156F" w:rsidRDefault="00A9721F">
      <w:pPr>
        <w:pStyle w:val="Definition-Field"/>
      </w:pPr>
      <w:r>
        <w:t xml:space="preserve">a.   </w:t>
      </w:r>
      <w:r>
        <w:rPr>
          <w:i/>
        </w:rPr>
        <w:t xml:space="preserve">The standard states that the number of </w:t>
      </w:r>
      <w:r>
        <w:rPr>
          <w:i/>
        </w:rPr>
        <w:t>ST_Refs in the list is not limited.</w:t>
      </w:r>
    </w:p>
    <w:p w:rsidR="000A156F" w:rsidRDefault="00A9721F">
      <w:pPr>
        <w:pStyle w:val="Definition-Field2"/>
      </w:pPr>
      <w:r>
        <w:t>Office limits the number of refs in the list to 8192, unless explicitly noted in the respective usage text.</w:t>
      </w:r>
    </w:p>
    <w:p w:rsidR="000A156F" w:rsidRDefault="00A9721F">
      <w:pPr>
        <w:pStyle w:val="Heading3"/>
      </w:pPr>
      <w:bookmarkStart w:id="2206" w:name="section_af86bfea020b45aa8faa4ad272fe6617"/>
      <w:bookmarkStart w:id="2207" w:name="_Toc181684129"/>
      <w:r>
        <w:lastRenderedPageBreak/>
        <w:t>Part 1 Section 18.18.77, ST_TableStyleType (Table Style Type)</w:t>
      </w:r>
      <w:bookmarkEnd w:id="2206"/>
      <w:bookmarkEnd w:id="2207"/>
      <w:r>
        <w:fldChar w:fldCharType="begin"/>
      </w:r>
      <w:r>
        <w:instrText xml:space="preserve"> XE "ST_TableStyleType (Table Style Type)" </w:instrText>
      </w:r>
      <w:r>
        <w:fldChar w:fldCharType="end"/>
      </w:r>
    </w:p>
    <w:p w:rsidR="000A156F" w:rsidRDefault="00A9721F">
      <w:pPr>
        <w:pStyle w:val="Definition-Field"/>
      </w:pPr>
      <w:r>
        <w:t xml:space="preserve">a.   </w:t>
      </w:r>
      <w:r>
        <w:rPr>
          <w:i/>
        </w:rPr>
        <w:t>The standard specifies enumeration values using the generic term "table", so that each value can be applied to either ordinary tables or PivotTables.</w:t>
      </w:r>
    </w:p>
    <w:p w:rsidR="000A156F" w:rsidRDefault="00A9721F">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0A156F" w:rsidRDefault="00A9721F">
      <w:pPr>
        <w:pStyle w:val="Heading3"/>
      </w:pPr>
      <w:bookmarkStart w:id="2208" w:name="section_99e8f4cc2f6c46638cf5b044dddc7e1c"/>
      <w:bookmarkStart w:id="2209" w:name="_Toc181684130"/>
      <w:r>
        <w:t>Part 1 Section 18.18.83, ST_TotalsRowFunction (Totals Row Function Types)</w:t>
      </w:r>
      <w:bookmarkEnd w:id="2208"/>
      <w:bookmarkEnd w:id="2209"/>
      <w:r>
        <w:fldChar w:fldCharType="begin"/>
      </w:r>
      <w:r>
        <w:instrText xml:space="preserve"> XE "ST_TotalsRowFunction (Totals Row Function Types)" </w:instrText>
      </w:r>
      <w:r>
        <w:fldChar w:fldCharType="end"/>
      </w:r>
    </w:p>
    <w:p w:rsidR="000A156F" w:rsidRDefault="00A9721F">
      <w:pPr>
        <w:pStyle w:val="Definition-Field"/>
      </w:pPr>
      <w:r>
        <w:t xml:space="preserve">a.   </w:t>
      </w:r>
      <w:r>
        <w:rPr>
          <w:i/>
        </w:rPr>
        <w:t>T</w:t>
      </w:r>
      <w:r>
        <w:rPr>
          <w:i/>
        </w:rPr>
        <w:t>he standard does not specify the formula specified by the enumeration value.</w:t>
      </w:r>
    </w:p>
    <w:p w:rsidR="000A156F" w:rsidRDefault="00A9721F">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8">
        <w:r>
          <w:rPr>
            <w:rStyle w:val="Hyperlink"/>
          </w:rPr>
          <w:t>[ISO/IEC-29500-1]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w:t>
      </w:r>
      <w:r>
        <w:t>es the cells of the table column’s data region.</w:t>
      </w:r>
    </w:p>
    <w:p w:rsidR="000A156F" w:rsidRDefault="00A9721F">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average</w:t>
            </w:r>
            <w:r>
              <w:t xml:space="preserve"> (Average)</w:t>
            </w:r>
          </w:p>
        </w:tc>
        <w:tc>
          <w:tcPr>
            <w:tcW w:w="0" w:type="auto"/>
            <w:vAlign w:val="center"/>
          </w:tcPr>
          <w:p w:rsidR="000A156F" w:rsidRDefault="00A9721F">
            <w:pPr>
              <w:pStyle w:val="TableBodyText"/>
            </w:pPr>
            <w:r>
              <w:t xml:space="preserve">Represents the arithmetic mean. The SUBTOTAL </w:t>
            </w:r>
            <w:r>
              <w:rPr>
                <w:i/>
              </w:rPr>
              <w:t>function-number</w:t>
            </w:r>
            <w:r>
              <w:t xml:space="preserve"> is 101.</w:t>
            </w:r>
          </w:p>
        </w:tc>
      </w:tr>
      <w:tr w:rsidR="000A156F" w:rsidTr="000A156F">
        <w:tc>
          <w:tcPr>
            <w:tcW w:w="0" w:type="auto"/>
            <w:vAlign w:val="center"/>
          </w:tcPr>
          <w:p w:rsidR="000A156F" w:rsidRDefault="00A9721F">
            <w:pPr>
              <w:pStyle w:val="TableBodyText"/>
            </w:pPr>
            <w:r>
              <w:rPr>
                <w:b/>
              </w:rPr>
              <w:t>count</w:t>
            </w:r>
            <w:r>
              <w:t xml:space="preserve"> (Non Empty Cell Count)</w:t>
            </w:r>
          </w:p>
        </w:tc>
        <w:tc>
          <w:tcPr>
            <w:tcW w:w="0" w:type="auto"/>
            <w:vAlign w:val="center"/>
          </w:tcPr>
          <w:p w:rsidR="000A156F" w:rsidRDefault="00A9721F">
            <w:pPr>
              <w:pStyle w:val="TableBodyText"/>
            </w:pPr>
            <w:r>
              <w:t xml:space="preserve">Represents a count of the number of non-empty cells. The SUBTOTAL </w:t>
            </w:r>
            <w:r>
              <w:rPr>
                <w:i/>
              </w:rPr>
              <w:t>function-number</w:t>
            </w:r>
            <w:r>
              <w:t xml:space="preserve"> is 103.</w:t>
            </w:r>
          </w:p>
        </w:tc>
      </w:tr>
      <w:tr w:rsidR="000A156F" w:rsidTr="000A156F">
        <w:tc>
          <w:tcPr>
            <w:tcW w:w="0" w:type="auto"/>
            <w:vAlign w:val="center"/>
          </w:tcPr>
          <w:p w:rsidR="000A156F" w:rsidRDefault="00A9721F">
            <w:pPr>
              <w:pStyle w:val="TableBodyText"/>
            </w:pPr>
            <w:r>
              <w:rPr>
                <w:b/>
              </w:rPr>
              <w:t>countNums</w:t>
            </w:r>
            <w:r>
              <w:t xml:space="preserve"> (Count Numbers)</w:t>
            </w:r>
          </w:p>
        </w:tc>
        <w:tc>
          <w:tcPr>
            <w:tcW w:w="0" w:type="auto"/>
            <w:vAlign w:val="center"/>
          </w:tcPr>
          <w:p w:rsidR="000A156F" w:rsidRDefault="00A9721F">
            <w:pPr>
              <w:pStyle w:val="TableBodyText"/>
            </w:pPr>
            <w:r>
              <w:t xml:space="preserve">Represents the number of cells that contain numbers. The SUBTOTAL </w:t>
            </w:r>
            <w:r>
              <w:rPr>
                <w:i/>
              </w:rPr>
              <w:t>function-number</w:t>
            </w:r>
            <w:r>
              <w:t xml:space="preserve"> is 102.</w:t>
            </w:r>
          </w:p>
        </w:tc>
      </w:tr>
      <w:tr w:rsidR="000A156F" w:rsidTr="000A156F">
        <w:tc>
          <w:tcPr>
            <w:tcW w:w="0" w:type="auto"/>
            <w:vAlign w:val="center"/>
          </w:tcPr>
          <w:p w:rsidR="000A156F" w:rsidRDefault="00A9721F">
            <w:pPr>
              <w:pStyle w:val="TableBodyText"/>
            </w:pPr>
            <w:r>
              <w:rPr>
                <w:b/>
              </w:rPr>
              <w:t>custom</w:t>
            </w:r>
            <w:r>
              <w:t xml:space="preserve"> (Custom Formula)</w:t>
            </w:r>
          </w:p>
        </w:tc>
        <w:tc>
          <w:tcPr>
            <w:tcW w:w="0" w:type="auto"/>
            <w:vAlign w:val="center"/>
          </w:tcPr>
          <w:p w:rsidR="000A156F" w:rsidRDefault="00A9721F">
            <w:pPr>
              <w:pStyle w:val="TableBodyText"/>
            </w:pPr>
            <w:r>
              <w:t xml:space="preserve">Represents the formula provided in </w:t>
            </w:r>
            <w:r>
              <w:rPr>
                <w:i/>
              </w:rPr>
              <w:t>totalsRowFormula.</w:t>
            </w:r>
          </w:p>
        </w:tc>
      </w:tr>
      <w:tr w:rsidR="000A156F" w:rsidTr="000A156F">
        <w:tc>
          <w:tcPr>
            <w:tcW w:w="0" w:type="auto"/>
            <w:vAlign w:val="center"/>
          </w:tcPr>
          <w:p w:rsidR="000A156F" w:rsidRDefault="00A9721F">
            <w:pPr>
              <w:pStyle w:val="TableBodyText"/>
            </w:pPr>
            <w:r>
              <w:rPr>
                <w:b/>
              </w:rPr>
              <w:t>max</w:t>
            </w:r>
            <w:r>
              <w:t xml:space="preserve"> (Maximum)</w:t>
            </w:r>
          </w:p>
        </w:tc>
        <w:tc>
          <w:tcPr>
            <w:tcW w:w="0" w:type="auto"/>
            <w:vAlign w:val="center"/>
          </w:tcPr>
          <w:p w:rsidR="000A156F" w:rsidRDefault="00A9721F">
            <w:pPr>
              <w:pStyle w:val="TableBodyText"/>
            </w:pPr>
            <w:r>
              <w:t xml:space="preserve">Represents the largest value. The SUBTOTAL </w:t>
            </w:r>
            <w:r>
              <w:rPr>
                <w:i/>
              </w:rPr>
              <w:t>function-number</w:t>
            </w:r>
            <w:r>
              <w:t xml:space="preserve"> is 104.</w:t>
            </w:r>
          </w:p>
        </w:tc>
      </w:tr>
      <w:tr w:rsidR="000A156F" w:rsidTr="000A156F">
        <w:tc>
          <w:tcPr>
            <w:tcW w:w="0" w:type="auto"/>
            <w:vAlign w:val="center"/>
          </w:tcPr>
          <w:p w:rsidR="000A156F" w:rsidRDefault="00A9721F">
            <w:pPr>
              <w:pStyle w:val="TableBodyText"/>
            </w:pPr>
            <w:r>
              <w:rPr>
                <w:b/>
              </w:rPr>
              <w:t>min</w:t>
            </w:r>
            <w:r>
              <w:t xml:space="preserve"> (Minimum)</w:t>
            </w:r>
          </w:p>
        </w:tc>
        <w:tc>
          <w:tcPr>
            <w:tcW w:w="0" w:type="auto"/>
            <w:vAlign w:val="center"/>
          </w:tcPr>
          <w:p w:rsidR="000A156F" w:rsidRDefault="00A9721F">
            <w:pPr>
              <w:pStyle w:val="TableBodyText"/>
            </w:pPr>
            <w:r>
              <w:t xml:space="preserve">Represents the smallest value. The SUBTOTAL </w:t>
            </w:r>
            <w:r>
              <w:rPr>
                <w:i/>
              </w:rPr>
              <w:t>function-number</w:t>
            </w:r>
            <w:r>
              <w:t xml:space="preserve"> is 105.</w:t>
            </w:r>
          </w:p>
        </w:tc>
      </w:tr>
      <w:tr w:rsidR="000A156F" w:rsidTr="000A156F">
        <w:tc>
          <w:tcPr>
            <w:tcW w:w="0" w:type="auto"/>
            <w:vAlign w:val="center"/>
          </w:tcPr>
          <w:p w:rsidR="000A156F" w:rsidRDefault="00A9721F">
            <w:pPr>
              <w:pStyle w:val="TableBodyText"/>
            </w:pPr>
            <w:r>
              <w:rPr>
                <w:b/>
              </w:rPr>
              <w:t>none</w:t>
            </w:r>
            <w:r>
              <w:t xml:space="preserve"> (None)</w:t>
            </w:r>
          </w:p>
        </w:tc>
        <w:tc>
          <w:tcPr>
            <w:tcW w:w="0" w:type="auto"/>
            <w:vAlign w:val="center"/>
          </w:tcPr>
          <w:p w:rsidR="000A156F" w:rsidRDefault="00A9721F">
            <w:pPr>
              <w:pStyle w:val="TableBodyText"/>
            </w:pPr>
            <w:r>
              <w:t>No total row.</w:t>
            </w:r>
          </w:p>
        </w:tc>
      </w:tr>
      <w:tr w:rsidR="000A156F" w:rsidTr="000A156F">
        <w:tc>
          <w:tcPr>
            <w:tcW w:w="0" w:type="auto"/>
            <w:vAlign w:val="center"/>
          </w:tcPr>
          <w:p w:rsidR="000A156F" w:rsidRDefault="00A9721F">
            <w:pPr>
              <w:pStyle w:val="TableBodyText"/>
            </w:pPr>
            <w:r>
              <w:rPr>
                <w:b/>
              </w:rPr>
              <w:t>stdDev</w:t>
            </w:r>
            <w:r>
              <w:t xml:space="preserve"> (St</w:t>
            </w:r>
            <w:r>
              <w:t>dDev)</w:t>
            </w:r>
          </w:p>
        </w:tc>
        <w:tc>
          <w:tcPr>
            <w:tcW w:w="0" w:type="auto"/>
            <w:vAlign w:val="center"/>
          </w:tcPr>
          <w:p w:rsidR="000A156F" w:rsidRDefault="00A9721F">
            <w:pPr>
              <w:pStyle w:val="TableBodyText"/>
            </w:pPr>
            <w:r>
              <w:t xml:space="preserve">Represents the estimated standard deviation. The SUBTOTAL </w:t>
            </w:r>
            <w:r>
              <w:rPr>
                <w:i/>
              </w:rPr>
              <w:t>function-number</w:t>
            </w:r>
            <w:r>
              <w:t xml:space="preserve"> is 107.</w:t>
            </w:r>
          </w:p>
        </w:tc>
      </w:tr>
      <w:tr w:rsidR="000A156F" w:rsidTr="000A156F">
        <w:tc>
          <w:tcPr>
            <w:tcW w:w="0" w:type="auto"/>
            <w:vAlign w:val="center"/>
          </w:tcPr>
          <w:p w:rsidR="000A156F" w:rsidRDefault="00A9721F">
            <w:pPr>
              <w:pStyle w:val="TableBodyText"/>
            </w:pPr>
            <w:r>
              <w:rPr>
                <w:b/>
              </w:rPr>
              <w:t>sum</w:t>
            </w:r>
            <w:r>
              <w:t xml:space="preserve"> (Sum)</w:t>
            </w:r>
          </w:p>
        </w:tc>
        <w:tc>
          <w:tcPr>
            <w:tcW w:w="0" w:type="auto"/>
            <w:vAlign w:val="center"/>
          </w:tcPr>
          <w:p w:rsidR="000A156F" w:rsidRDefault="00A9721F">
            <w:pPr>
              <w:pStyle w:val="TableBodyText"/>
            </w:pPr>
            <w:r>
              <w:t xml:space="preserve">Represents the arithmetic sum. The SUBTOTAL </w:t>
            </w:r>
            <w:r>
              <w:rPr>
                <w:i/>
              </w:rPr>
              <w:t>function-number</w:t>
            </w:r>
            <w:r>
              <w:t xml:space="preserve"> is 109.</w:t>
            </w:r>
          </w:p>
        </w:tc>
      </w:tr>
      <w:tr w:rsidR="000A156F" w:rsidTr="000A156F">
        <w:tc>
          <w:tcPr>
            <w:tcW w:w="0" w:type="auto"/>
            <w:vAlign w:val="center"/>
          </w:tcPr>
          <w:p w:rsidR="000A156F" w:rsidRDefault="00A9721F">
            <w:pPr>
              <w:pStyle w:val="TableBodyText"/>
            </w:pPr>
            <w:r>
              <w:rPr>
                <w:b/>
              </w:rPr>
              <w:t>var</w:t>
            </w:r>
            <w:r>
              <w:t xml:space="preserve"> (Var)</w:t>
            </w:r>
          </w:p>
        </w:tc>
        <w:tc>
          <w:tcPr>
            <w:tcW w:w="0" w:type="auto"/>
            <w:vAlign w:val="center"/>
          </w:tcPr>
          <w:p w:rsidR="000A156F" w:rsidRDefault="00A9721F">
            <w:pPr>
              <w:pStyle w:val="TableBodyText"/>
            </w:pPr>
            <w:r>
              <w:t xml:space="preserve">Represents the estimated variance. The SUBTOTAL </w:t>
            </w:r>
            <w:r>
              <w:rPr>
                <w:i/>
              </w:rPr>
              <w:t>function-number</w:t>
            </w:r>
            <w:r>
              <w:t xml:space="preserve"> is 110.</w:t>
            </w:r>
          </w:p>
        </w:tc>
      </w:tr>
    </w:tbl>
    <w:p w:rsidR="000A156F" w:rsidRDefault="000A156F"/>
    <w:p w:rsidR="000A156F" w:rsidRDefault="00A9721F">
      <w:pPr>
        <w:pStyle w:val="Heading3"/>
      </w:pPr>
      <w:bookmarkStart w:id="2210" w:name="section_49537dee2826428a984e70e8d44af015"/>
      <w:bookmarkStart w:id="2211" w:name="_Toc181684131"/>
      <w:r>
        <w:t>Part</w:t>
      </w:r>
      <w:r>
        <w:t xml:space="preserve"> 1 Section 18.18.87, ST_UpdateLinks (Update Links Behavior Types)</w:t>
      </w:r>
      <w:bookmarkEnd w:id="2210"/>
      <w:bookmarkEnd w:id="2211"/>
      <w:r>
        <w:fldChar w:fldCharType="begin"/>
      </w:r>
      <w:r>
        <w:instrText xml:space="preserve"> XE "ST_UpdateLinks (Update Links Behavior Types)" </w:instrText>
      </w:r>
      <w:r>
        <w:fldChar w:fldCharType="end"/>
      </w:r>
    </w:p>
    <w:p w:rsidR="000A156F" w:rsidRDefault="00A9721F">
      <w:pPr>
        <w:pStyle w:val="Definition-Field"/>
      </w:pPr>
      <w:r>
        <w:t xml:space="preserve">a.   </w:t>
      </w:r>
      <w:r>
        <w:rPr>
          <w:i/>
        </w:rPr>
        <w:t>The standard requires that for the value of always the links are always updated without displaying an alert.</w:t>
      </w:r>
    </w:p>
    <w:p w:rsidR="000A156F" w:rsidRDefault="00A9721F">
      <w:pPr>
        <w:pStyle w:val="Definition-Field2"/>
      </w:pPr>
      <w:r>
        <w:t xml:space="preserve">Excel always displays </w:t>
      </w:r>
      <w:r>
        <w:t>an alert before updating the links.</w:t>
      </w:r>
    </w:p>
    <w:p w:rsidR="000A156F" w:rsidRDefault="00A9721F">
      <w:pPr>
        <w:pStyle w:val="Heading3"/>
      </w:pPr>
      <w:bookmarkStart w:id="2212" w:name="section_049a4e676f4c4025a8696fe7dec8f7e5"/>
      <w:bookmarkStart w:id="2213" w:name="_Toc181684132"/>
      <w:r>
        <w:t>Part 1 Section 18.18.89, ST_Visibility (Visibility Types)</w:t>
      </w:r>
      <w:bookmarkEnd w:id="2212"/>
      <w:bookmarkEnd w:id="2213"/>
      <w:r>
        <w:fldChar w:fldCharType="begin"/>
      </w:r>
      <w:r>
        <w:instrText xml:space="preserve"> XE "ST_Visibility (Visibility Types)" </w:instrText>
      </w:r>
      <w:r>
        <w:fldChar w:fldCharType="end"/>
      </w:r>
    </w:p>
    <w:p w:rsidR="000A156F" w:rsidRDefault="00A9721F">
      <w:pPr>
        <w:pStyle w:val="Definition-Field"/>
      </w:pPr>
      <w:r>
        <w:t xml:space="preserve">a.   </w:t>
      </w:r>
      <w:r>
        <w:rPr>
          <w:i/>
        </w:rPr>
        <w:t>The standard states this is about sheet visibility.</w:t>
      </w:r>
    </w:p>
    <w:p w:rsidR="000A156F" w:rsidRDefault="00A9721F">
      <w:pPr>
        <w:pStyle w:val="Definition-Field2"/>
      </w:pPr>
      <w:r>
        <w:lastRenderedPageBreak/>
        <w:t>Office uses this for workbook window visibility.</w:t>
      </w:r>
    </w:p>
    <w:p w:rsidR="000A156F" w:rsidRDefault="00A9721F">
      <w:pPr>
        <w:pStyle w:val="Heading3"/>
      </w:pPr>
      <w:bookmarkStart w:id="2214" w:name="section_a0b95db945994a7dae014cff87aa21f9"/>
      <w:bookmarkStart w:id="2215" w:name="_Toc181684133"/>
      <w:r>
        <w:t xml:space="preserve">Part 1 Section </w:t>
      </w:r>
      <w:r>
        <w:t>18.18.92, ST_WebSourceType (Web Source Type)</w:t>
      </w:r>
      <w:bookmarkEnd w:id="2214"/>
      <w:bookmarkEnd w:id="2215"/>
      <w:r>
        <w:fldChar w:fldCharType="begin"/>
      </w:r>
      <w:r>
        <w:instrText xml:space="preserve"> XE "ST_WebSourceType (Web Source Type)" </w:instrText>
      </w:r>
      <w:r>
        <w:fldChar w:fldCharType="end"/>
      </w:r>
    </w:p>
    <w:p w:rsidR="000A156F" w:rsidRDefault="00A9721F">
      <w:pPr>
        <w:pStyle w:val="Definition-Field"/>
      </w:pPr>
      <w:r>
        <w:t xml:space="preserve">a.   </w:t>
      </w:r>
      <w:r>
        <w:rPr>
          <w:i/>
        </w:rPr>
        <w:t>The standard states that the label value defines a label.</w:t>
      </w:r>
    </w:p>
    <w:p w:rsidR="000A156F" w:rsidRDefault="00A9721F">
      <w:pPr>
        <w:pStyle w:val="Definition-Field2"/>
      </w:pPr>
      <w:r>
        <w:t>Excel uses this value to define a named range of cells.</w:t>
      </w:r>
    </w:p>
    <w:p w:rsidR="000A156F" w:rsidRDefault="00A9721F">
      <w:pPr>
        <w:pStyle w:val="Definition-Field"/>
      </w:pPr>
      <w:r>
        <w:t xml:space="preserve">b.   </w:t>
      </w:r>
      <w:r>
        <w:rPr>
          <w:i/>
        </w:rPr>
        <w:t>The standard states that charts can be publi</w:t>
      </w:r>
      <w:r>
        <w:rPr>
          <w:i/>
        </w:rPr>
        <w:t>shed.</w:t>
      </w:r>
    </w:p>
    <w:p w:rsidR="000A156F" w:rsidRDefault="00A9721F">
      <w:pPr>
        <w:pStyle w:val="Definition-Field2"/>
      </w:pPr>
      <w:r>
        <w:t>Office does not allow charts to be published.</w:t>
      </w:r>
    </w:p>
    <w:p w:rsidR="000A156F" w:rsidRDefault="00A9721F">
      <w:pPr>
        <w:pStyle w:val="Heading3"/>
      </w:pPr>
      <w:bookmarkStart w:id="2216" w:name="section_054574864bf84e099d276f74fcf68562"/>
      <w:bookmarkStart w:id="2217" w:name="_Toc181684134"/>
      <w:r>
        <w:t>Part 1 Section 19.2.1.5, custShow (Custom Show)</w:t>
      </w:r>
      <w:bookmarkEnd w:id="2216"/>
      <w:bookmarkEnd w:id="2217"/>
      <w:r>
        <w:fldChar w:fldCharType="begin"/>
      </w:r>
      <w:r>
        <w:instrText xml:space="preserve"> XE "custShow (Custom Show)" </w:instrText>
      </w:r>
      <w:r>
        <w:fldChar w:fldCharType="end"/>
      </w:r>
    </w:p>
    <w:p w:rsidR="000A156F" w:rsidRDefault="00A9721F">
      <w:pPr>
        <w:pStyle w:val="Definition-Field"/>
      </w:pPr>
      <w:r>
        <w:t xml:space="preserve">a.   </w:t>
      </w:r>
      <w:r>
        <w:rPr>
          <w:i/>
        </w:rPr>
        <w:t>The standard states that the id attribute is a number that should be unique within the presentation.</w:t>
      </w:r>
    </w:p>
    <w:p w:rsidR="000A156F" w:rsidRDefault="00A9721F">
      <w:pPr>
        <w:pStyle w:val="Definition-Field2"/>
      </w:pPr>
      <w:r>
        <w:t>PowerPoint requires</w:t>
      </w:r>
      <w:r>
        <w:t xml:space="preserve"> that the id attribute shall be linked to one of the custom shows defined in the presentation's custShowLst element.</w:t>
      </w:r>
    </w:p>
    <w:p w:rsidR="000A156F" w:rsidRDefault="00A9721F">
      <w:pPr>
        <w:pStyle w:val="Heading3"/>
      </w:pPr>
      <w:bookmarkStart w:id="2218" w:name="section_41eb94ad9a8e4f7fb17eed9cc54b5fd7"/>
      <w:bookmarkStart w:id="2219" w:name="_Toc181684135"/>
      <w:r>
        <w:t>Part 1 Section 19.2.1.6, custShow (Custom Show)</w:t>
      </w:r>
      <w:bookmarkEnd w:id="2218"/>
      <w:bookmarkEnd w:id="2219"/>
      <w:r>
        <w:fldChar w:fldCharType="begin"/>
      </w:r>
      <w:r>
        <w:instrText xml:space="preserve"> XE "custShow (Custom Show)" </w:instrText>
      </w:r>
      <w:r>
        <w:fldChar w:fldCharType="end"/>
      </w:r>
    </w:p>
    <w:p w:rsidR="000A156F" w:rsidRDefault="00A9721F">
      <w:pPr>
        <w:pStyle w:val="Definition-Field"/>
      </w:pPr>
      <w:r>
        <w:t xml:space="preserve">a.   </w:t>
      </w:r>
      <w:r>
        <w:rPr>
          <w:i/>
        </w:rPr>
        <w:t>The standard states that the id attribute should be uni</w:t>
      </w:r>
      <w:r>
        <w:rPr>
          <w:i/>
        </w:rPr>
        <w:t>que among all the custom shows within the corresponding presentation.</w:t>
      </w:r>
    </w:p>
    <w:p w:rsidR="000A156F" w:rsidRDefault="00A9721F">
      <w:pPr>
        <w:pStyle w:val="Definition-Field2"/>
      </w:pPr>
      <w:r>
        <w:t>PowerPoint further uses consecutive values when writing out the id values.</w:t>
      </w:r>
    </w:p>
    <w:p w:rsidR="000A156F" w:rsidRDefault="00A9721F">
      <w:pPr>
        <w:pStyle w:val="Heading3"/>
      </w:pPr>
      <w:bookmarkStart w:id="2220" w:name="section_fb2ecab117a14552bac38df949321ba8"/>
      <w:bookmarkStart w:id="2221" w:name="_Toc181684136"/>
      <w:r>
        <w:t>Part 1 Section 19.2.1.10, embeddedFontLst (Embedded Font List)</w:t>
      </w:r>
      <w:bookmarkEnd w:id="2220"/>
      <w:bookmarkEnd w:id="2221"/>
      <w:r>
        <w:fldChar w:fldCharType="begin"/>
      </w:r>
      <w:r>
        <w:instrText xml:space="preserve"> XE "embeddedFontLst (Embedded Font List)" </w:instrText>
      </w:r>
      <w:r>
        <w:fldChar w:fldCharType="end"/>
      </w:r>
    </w:p>
    <w:p w:rsidR="000A156F" w:rsidRDefault="00A9721F">
      <w:pPr>
        <w:pStyle w:val="Definition-Field"/>
      </w:pPr>
      <w:r>
        <w:t xml:space="preserve">a. </w:t>
      </w:r>
      <w:r>
        <w:t xml:space="preserve">  </w:t>
      </w:r>
      <w:r>
        <w:rPr>
          <w:i/>
        </w:rPr>
        <w:t>The standard states that the font data is referenced within the embeddedFont element.</w:t>
      </w:r>
    </w:p>
    <w:p w:rsidR="000A156F" w:rsidRDefault="00A9721F">
      <w:pPr>
        <w:pStyle w:val="Definition-Field2"/>
      </w:pPr>
      <w:r>
        <w:t>PowerPoint further requires that the typeface of each embeddedFont element shall be unique.</w:t>
      </w:r>
    </w:p>
    <w:p w:rsidR="000A156F" w:rsidRDefault="00A9721F">
      <w:pPr>
        <w:pStyle w:val="Definition-Field"/>
      </w:pPr>
      <w:r>
        <w:t xml:space="preserve">b.   </w:t>
      </w:r>
      <w:r>
        <w:rPr>
          <w:i/>
        </w:rPr>
        <w:t>The standard states that the embeddedFontLst element specifies a list o</w:t>
      </w:r>
      <w:r>
        <w:rPr>
          <w:i/>
        </w:rPr>
        <w:t>f fonts that are embedded within the corresponding presentation.</w:t>
      </w:r>
    </w:p>
    <w:p w:rsidR="000A156F" w:rsidRDefault="00A9721F">
      <w:pPr>
        <w:pStyle w:val="Definition-Field2"/>
      </w:pPr>
      <w:r>
        <w:t>PowerPoint further requires that all of the fonts specified in this list shall be used in this presentation.</w:t>
      </w:r>
    </w:p>
    <w:p w:rsidR="000A156F" w:rsidRDefault="00A9721F">
      <w:pPr>
        <w:pStyle w:val="Heading3"/>
      </w:pPr>
      <w:bookmarkStart w:id="2222" w:name="section_5d37fa53ccfe40c2b255c6aecc584a0f"/>
      <w:bookmarkStart w:id="2223" w:name="_Toc181684137"/>
      <w:r>
        <w:t>Part 1 Section 19.2.1.11, ext (Extension)</w:t>
      </w:r>
      <w:bookmarkEnd w:id="2222"/>
      <w:bookmarkEnd w:id="2223"/>
      <w:r>
        <w:fldChar w:fldCharType="begin"/>
      </w:r>
      <w:r>
        <w:instrText xml:space="preserve"> XE "ext (Extension)" </w:instrText>
      </w:r>
      <w:r>
        <w:fldChar w:fldCharType="end"/>
      </w:r>
    </w:p>
    <w:p w:rsidR="000A156F" w:rsidRDefault="00A9721F">
      <w:pPr>
        <w:pStyle w:val="Definition-Field"/>
      </w:pPr>
      <w:r>
        <w:t xml:space="preserve">a.   </w:t>
      </w:r>
      <w:r>
        <w:rPr>
          <w:i/>
        </w:rPr>
        <w:t>The standar</w:t>
      </w:r>
      <w:r>
        <w:rPr>
          <w:i/>
        </w:rPr>
        <w:t>d implies that the uri attribute is optional.</w:t>
      </w:r>
    </w:p>
    <w:p w:rsidR="000A156F" w:rsidRDefault="00A9721F">
      <w:pPr>
        <w:pStyle w:val="Definition-Field2"/>
      </w:pPr>
      <w:r>
        <w:t>PowerPoint requires the uri attribute.</w:t>
      </w:r>
    </w:p>
    <w:p w:rsidR="000A156F" w:rsidRDefault="00A9721F">
      <w:pPr>
        <w:pStyle w:val="Heading3"/>
      </w:pPr>
      <w:bookmarkStart w:id="2224" w:name="section_2799f9b3d0b84e5f949480ecda8934e7"/>
      <w:bookmarkStart w:id="2225" w:name="_Toc181684138"/>
      <w:r>
        <w:t>Part 1 Section 19.2.1.13, font (Embedded Font Name)</w:t>
      </w:r>
      <w:bookmarkEnd w:id="2224"/>
      <w:bookmarkEnd w:id="2225"/>
      <w:r>
        <w:fldChar w:fldCharType="begin"/>
      </w:r>
      <w:r>
        <w:instrText xml:space="preserve"> XE "font (Embedded Font Name)" </w:instrText>
      </w:r>
      <w:r>
        <w:fldChar w:fldCharType="end"/>
      </w:r>
    </w:p>
    <w:p w:rsidR="000A156F" w:rsidRDefault="00A9721F">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0A156F" w:rsidRDefault="00A9721F">
      <w:pPr>
        <w:pStyle w:val="Heading3"/>
      </w:pPr>
      <w:bookmarkStart w:id="2226" w:name="section_c02a5399b3584f4e8e42ad4fbb0e5261"/>
      <w:bookmarkStart w:id="2227" w:name="_Toc181684139"/>
      <w:r>
        <w:t>Part 1 Section 19.2.1.17, kinsoku (Kinsoku Settings)</w:t>
      </w:r>
      <w:bookmarkEnd w:id="2226"/>
      <w:bookmarkEnd w:id="2227"/>
      <w:r>
        <w:fldChar w:fldCharType="begin"/>
      </w:r>
      <w:r>
        <w:instrText xml:space="preserve"> XE "kinsoku (Kinsoku Settings)" </w:instrText>
      </w:r>
      <w:r>
        <w:fldChar w:fldCharType="end"/>
      </w:r>
    </w:p>
    <w:p w:rsidR="000A156F" w:rsidRDefault="00A9721F">
      <w:pPr>
        <w:pStyle w:val="Definition-Field"/>
      </w:pPr>
      <w:r>
        <w:t xml:space="preserve">a.   </w:t>
      </w:r>
      <w:r>
        <w:rPr>
          <w:i/>
        </w:rPr>
        <w:t>The standard does not specify which values of the lang attribute repre</w:t>
      </w:r>
      <w:r>
        <w:rPr>
          <w:i/>
        </w:rPr>
        <w:t>sent valid East Asian languages.</w:t>
      </w:r>
    </w:p>
    <w:p w:rsidR="000A156F" w:rsidRDefault="00A9721F">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ja-jp</w:t>
            </w:r>
          </w:p>
        </w:tc>
        <w:tc>
          <w:tcPr>
            <w:tcW w:w="0" w:type="auto"/>
            <w:vAlign w:val="center"/>
          </w:tcPr>
          <w:p w:rsidR="000A156F" w:rsidRDefault="00A9721F">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9">
              <w:r>
                <w:rPr>
                  <w:rStyle w:val="Hyperlink"/>
                </w:rPr>
                <w:t>[ISO/IEC-29500-1]</w:t>
              </w:r>
            </w:hyperlink>
            <w:r>
              <w:t xml:space="preserve"> §21.1.2.3.9; rPr") equal to ja-jp (Japanese).</w:t>
            </w:r>
          </w:p>
        </w:tc>
      </w:tr>
      <w:tr w:rsidR="000A156F" w:rsidTr="000A156F">
        <w:tc>
          <w:tcPr>
            <w:tcW w:w="0" w:type="auto"/>
            <w:vAlign w:val="center"/>
          </w:tcPr>
          <w:p w:rsidR="000A156F" w:rsidRDefault="00A9721F">
            <w:pPr>
              <w:pStyle w:val="TableBodyText"/>
            </w:pPr>
            <w:r>
              <w:t>ko-kr</w:t>
            </w:r>
          </w:p>
        </w:tc>
        <w:tc>
          <w:tcPr>
            <w:tcW w:w="0" w:type="auto"/>
            <w:vAlign w:val="center"/>
          </w:tcPr>
          <w:p w:rsidR="000A156F" w:rsidRDefault="00A9721F">
            <w:pPr>
              <w:pStyle w:val="TableBodyText"/>
            </w:pPr>
            <w:r>
              <w:t xml:space="preserve">Korean.  Specifies that the settings apply to runs of text with the </w:t>
            </w:r>
            <w:r>
              <w:rPr>
                <w:b/>
              </w:rPr>
              <w:t>langId</w:t>
            </w:r>
            <w:r>
              <w:t xml:space="preserve"> attribute of the </w:t>
            </w:r>
            <w:r>
              <w:rPr>
                <w:b/>
              </w:rPr>
              <w:t>rPr</w:t>
            </w:r>
            <w:r>
              <w:t xml:space="preserve"> element ("</w:t>
            </w:r>
            <w:r>
              <w:t>[ISO/IEC-29500-1] §21.1.2.3.9; rPr") equal to ko-kr (Korean).</w:t>
            </w:r>
          </w:p>
        </w:tc>
      </w:tr>
      <w:tr w:rsidR="000A156F" w:rsidTr="000A156F">
        <w:tc>
          <w:tcPr>
            <w:tcW w:w="0" w:type="auto"/>
            <w:vAlign w:val="center"/>
          </w:tcPr>
          <w:p w:rsidR="000A156F" w:rsidRDefault="00A9721F">
            <w:pPr>
              <w:pStyle w:val="TableBodyText"/>
            </w:pPr>
            <w:r>
              <w:t>zh-cn</w:t>
            </w:r>
          </w:p>
        </w:tc>
        <w:tc>
          <w:tcPr>
            <w:tcW w:w="0" w:type="auto"/>
            <w:vAlign w:val="center"/>
          </w:tcPr>
          <w:p w:rsidR="000A156F" w:rsidRDefault="00A9721F">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0A156F" w:rsidRDefault="00A9721F">
            <w:pPr>
              <w:pStyle w:val="TableBodyText"/>
            </w:pPr>
            <w:r>
              <w:t>zh-cn (Chinese - People's Republic of China)</w:t>
            </w:r>
          </w:p>
          <w:p w:rsidR="000A156F" w:rsidRDefault="00A9721F">
            <w:pPr>
              <w:pStyle w:val="TableBodyText"/>
            </w:pPr>
            <w:r>
              <w:t>zh-sg (Chinese - Singapore)</w:t>
            </w:r>
          </w:p>
          <w:p w:rsidR="000A156F" w:rsidRDefault="00A9721F">
            <w:pPr>
              <w:pStyle w:val="TableBodyText"/>
            </w:pPr>
            <w:r>
              <w:t>ii-cn (Yi)</w:t>
            </w:r>
          </w:p>
        </w:tc>
      </w:tr>
      <w:tr w:rsidR="000A156F" w:rsidTr="000A156F">
        <w:tc>
          <w:tcPr>
            <w:tcW w:w="0" w:type="auto"/>
            <w:vAlign w:val="center"/>
          </w:tcPr>
          <w:p w:rsidR="000A156F" w:rsidRDefault="00A9721F">
            <w:pPr>
              <w:pStyle w:val="TableBodyText"/>
            </w:pPr>
            <w:r>
              <w:t>zh-tw</w:t>
            </w:r>
          </w:p>
        </w:tc>
        <w:tc>
          <w:tcPr>
            <w:tcW w:w="0" w:type="auto"/>
            <w:vAlign w:val="center"/>
          </w:tcPr>
          <w:p w:rsidR="000A156F" w:rsidRDefault="00A9721F">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 §21.1.2.3.9; rPr") equal </w:t>
            </w:r>
            <w:r>
              <w:t>to one of the following:</w:t>
            </w:r>
          </w:p>
          <w:p w:rsidR="000A156F" w:rsidRDefault="00A9721F">
            <w:pPr>
              <w:pStyle w:val="TableBodyText"/>
            </w:pPr>
            <w:r>
              <w:t>zh-tw (Chinese - Taiwan)</w:t>
            </w:r>
          </w:p>
          <w:p w:rsidR="000A156F" w:rsidRDefault="00A9721F">
            <w:pPr>
              <w:pStyle w:val="TableBodyText"/>
            </w:pPr>
            <w:r>
              <w:t>zh-hk (Chinese - Hong Kong SAR)</w:t>
            </w:r>
          </w:p>
          <w:p w:rsidR="000A156F" w:rsidRDefault="00A9721F">
            <w:pPr>
              <w:pStyle w:val="TableBodyText"/>
            </w:pPr>
            <w:r>
              <w:t>zh-mo (Chinese - Macao SAR)</w:t>
            </w:r>
          </w:p>
        </w:tc>
      </w:tr>
    </w:tbl>
    <w:p w:rsidR="000A156F" w:rsidRDefault="000A156F"/>
    <w:p w:rsidR="000A156F" w:rsidRDefault="00A9721F">
      <w:r>
        <w:t>The value is case insensitive.</w:t>
      </w:r>
    </w:p>
    <w:p w:rsidR="000A156F" w:rsidRDefault="00A9721F">
      <w:pPr>
        <w:pStyle w:val="Heading3"/>
      </w:pPr>
      <w:bookmarkStart w:id="2228" w:name="section_236b7423470948f98b928617074bb197"/>
      <w:bookmarkStart w:id="2229" w:name="_Toc181684140"/>
      <w:r>
        <w:t>Part 1 Section 19.2.1.19, modifyVerifier (Modification Verifier)</w:t>
      </w:r>
      <w:bookmarkEnd w:id="2228"/>
      <w:bookmarkEnd w:id="2229"/>
      <w:r>
        <w:fldChar w:fldCharType="begin"/>
      </w:r>
      <w:r>
        <w:instrText xml:space="preserve"> XE "modifyVerifier (Modification Verifier)" </w:instrText>
      </w:r>
      <w:r>
        <w:fldChar w:fldCharType="end"/>
      </w:r>
    </w:p>
    <w:p w:rsidR="000A156F" w:rsidRDefault="00A9721F">
      <w:pPr>
        <w:pStyle w:val="Definition-Field"/>
      </w:pPr>
      <w:r>
        <w:t xml:space="preserve">a.   </w:t>
      </w:r>
      <w:r>
        <w:rPr>
          <w:i/>
        </w:rPr>
        <w:t>The standard states that the algIdExt attribute specifies that a cryptographic algorithm not defined in the standard has been used to generate the hash value stored with the document.</w:t>
      </w:r>
    </w:p>
    <w:p w:rsidR="000A156F" w:rsidRDefault="00A9721F">
      <w:pPr>
        <w:pStyle w:val="Definition-Field2"/>
      </w:pPr>
      <w:r>
        <w:t>PowerPoint further requires that the algIdExt attribute specifies a</w:t>
      </w:r>
      <w:r>
        <w:t xml:space="preserve"> hashing algorithm which is implemented by a CryptoAPI provider, and if the algIdExt attribute is used, the cryptProviderTypeExt attribute shall specify the provider.</w:t>
      </w:r>
    </w:p>
    <w:p w:rsidR="000A156F" w:rsidRDefault="00A9721F">
      <w:pPr>
        <w:pStyle w:val="Definition-Field"/>
      </w:pPr>
      <w:r>
        <w:t xml:space="preserve">b.   </w:t>
      </w:r>
      <w:r>
        <w:rPr>
          <w:i/>
        </w:rPr>
        <w:t>The standard describes the hashData attribute as the hash value for the password sto</w:t>
      </w:r>
      <w:r>
        <w:rPr>
          <w:i/>
        </w:rPr>
        <w:t>red within the document.</w:t>
      </w:r>
    </w:p>
    <w:p w:rsidR="000A156F" w:rsidRDefault="00A9721F">
      <w:r>
        <w:t>In Office, the hashData value is the Base64 encoded representation of the binary hashing algorithm output, which is calculated as follows:</w:t>
      </w:r>
    </w:p>
    <w:p w:rsidR="000A156F" w:rsidRDefault="00A9721F">
      <w:r>
        <w:t>H[init] = H(password, salt)</w:t>
      </w:r>
    </w:p>
    <w:p w:rsidR="000A156F" w:rsidRDefault="00A9721F">
      <w:r>
        <w:t>Followed by spinCount cycles where:</w:t>
      </w:r>
    </w:p>
    <w:p w:rsidR="000A156F" w:rsidRDefault="00A9721F">
      <w:r>
        <w:t>H[n] = H(H[n-1], count)</w:t>
      </w:r>
    </w:p>
    <w:p w:rsidR="000A156F" w:rsidRDefault="00A9721F">
      <w:r>
        <w:t>Coun</w:t>
      </w:r>
      <w:r>
        <w:t>t shall begin with 0x0 and is expressed as a little-endian 32-bit integer. The initial hashing operation shall not be included in count.</w:t>
      </w:r>
    </w:p>
    <w:p w:rsidR="000A156F" w:rsidRDefault="00A9721F">
      <w:pPr>
        <w:pStyle w:val="Definition-Field"/>
      </w:pPr>
      <w:r>
        <w:t xml:space="preserve">c.   </w:t>
      </w:r>
      <w:r>
        <w:rPr>
          <w:i/>
        </w:rPr>
        <w:t>The standard states that the saltData attribute is a random string.</w:t>
      </w:r>
    </w:p>
    <w:p w:rsidR="000A156F" w:rsidRDefault="00A9721F">
      <w:pPr>
        <w:pStyle w:val="Definition-Field2"/>
      </w:pPr>
      <w:r>
        <w:t>PowerPoint defines the saltData attribute as r</w:t>
      </w:r>
      <w:r>
        <w:t>andom base 64-encoded data (typically 16 bytes), and the binary form of this attribute (not the base 64-encoded version) is used by the hashing algorithm.</w:t>
      </w:r>
    </w:p>
    <w:p w:rsidR="000A156F" w:rsidRDefault="00A9721F">
      <w:pPr>
        <w:pStyle w:val="Definition-Field"/>
      </w:pPr>
      <w:r>
        <w:t xml:space="preserve">d.   </w:t>
      </w:r>
      <w:r>
        <w:rPr>
          <w:i/>
        </w:rPr>
        <w:t>The standard specifies that the spinCount attribute specifies the number of times the hashing fu</w:t>
      </w:r>
      <w:r>
        <w:rPr>
          <w:i/>
        </w:rPr>
        <w:t>nction shall be iteratively run when attempting to compare a user-supplied password with the value stored in the hashData attribute.</w:t>
      </w:r>
    </w:p>
    <w:p w:rsidR="000A156F" w:rsidRDefault="00A9721F">
      <w:pPr>
        <w:pStyle w:val="Definition-Field2"/>
      </w:pPr>
      <w:r>
        <w:t>PowerPoint does not include the initial hash of the password with the salt in this count.</w:t>
      </w:r>
    </w:p>
    <w:p w:rsidR="000A156F" w:rsidRDefault="00A9721F">
      <w:pPr>
        <w:pStyle w:val="Definition-Field"/>
      </w:pPr>
      <w:r>
        <w:lastRenderedPageBreak/>
        <w:t xml:space="preserve">e.   </w:t>
      </w:r>
      <w:r>
        <w:rPr>
          <w:i/>
        </w:rPr>
        <w:t>The standard lists several p</w:t>
      </w:r>
      <w:r>
        <w:rPr>
          <w:i/>
        </w:rPr>
        <w:t>ossible values for the cryptAlgorithmSid attribute.</w:t>
      </w:r>
    </w:p>
    <w:p w:rsidR="000A156F" w:rsidRDefault="00A9721F">
      <w:pPr>
        <w:pStyle w:val="Definition-Field2"/>
      </w:pPr>
      <w:r>
        <w:t>PowerPoint only uses values 1, 2, 3, 4, 12, 13, and 14.</w:t>
      </w:r>
    </w:p>
    <w:p w:rsidR="000A156F" w:rsidRDefault="00A9721F">
      <w:pPr>
        <w:pStyle w:val="Definition-Field"/>
      </w:pPr>
      <w:r>
        <w:t xml:space="preserve">f.   </w:t>
      </w:r>
      <w:r>
        <w:rPr>
          <w:i/>
        </w:rPr>
        <w:t>The standard states that this setting uses a specific set of attributes to store the password hash.</w:t>
      </w:r>
    </w:p>
    <w:p w:rsidR="000A156F" w:rsidRDefault="00A9721F">
      <w:r>
        <w:t>In Office, when the HKCU/Software/Microsoft</w:t>
      </w:r>
      <w:r>
        <w: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algorithm Name</w:t>
            </w:r>
          </w:p>
        </w:tc>
        <w:tc>
          <w:tcPr>
            <w:tcW w:w="0" w:type="auto"/>
            <w:vAlign w:val="center"/>
          </w:tcPr>
          <w:p w:rsidR="000A156F" w:rsidRDefault="00A9721F">
            <w:pPr>
              <w:pStyle w:val="TableBodyText"/>
            </w:pPr>
            <w:r>
              <w:t xml:space="preserve">The name of the cryptographic hashing </w:t>
            </w:r>
            <w:r>
              <w:t>algorithm used to generate the hash value. Only those algorithms that are installed in the operating system’s cryptographic subsystem can be utilized by Office.</w:t>
            </w:r>
          </w:p>
          <w:p w:rsidR="000A156F" w:rsidRDefault="000A156F">
            <w:pPr>
              <w:pStyle w:val="TableBodyText"/>
            </w:pPr>
          </w:p>
          <w:p w:rsidR="000A156F" w:rsidRDefault="00A9721F">
            <w:pPr>
              <w:pStyle w:val="TableBodyText"/>
            </w:pPr>
            <w:r>
              <w:t>The following hash algorithm names are reserved:</w:t>
            </w:r>
          </w:p>
          <w:p w:rsidR="000A156F" w:rsidRDefault="000A156F">
            <w:pPr>
              <w:pStyle w:val="TableBodyText"/>
            </w:pPr>
          </w:p>
          <w:p w:rsidR="000A156F" w:rsidRDefault="00A9721F">
            <w:pPr>
              <w:pStyle w:val="TableBodyText"/>
            </w:pPr>
            <w:r>
              <w:rPr>
                <w:b/>
                <w:i/>
              </w:rPr>
              <w:t>MD2</w:t>
            </w:r>
          </w:p>
          <w:p w:rsidR="000A156F" w:rsidRDefault="00A9721F">
            <w:pPr>
              <w:pStyle w:val="TableBodyText"/>
            </w:pPr>
            <w:r>
              <w:rPr>
                <w:i/>
              </w:rPr>
              <w:t xml:space="preserve">Specifies that the MD2 algorithm, as </w:t>
            </w:r>
            <w:r>
              <w:rPr>
                <w:i/>
              </w:rPr>
              <w:t>defined by RFC 1319, shall be 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 xml:space="preserve">MD4 </w:t>
            </w:r>
          </w:p>
          <w:p w:rsidR="000A156F" w:rsidRDefault="00A9721F">
            <w:pPr>
              <w:pStyle w:val="TableBodyText"/>
            </w:pPr>
            <w:r>
              <w:rPr>
                <w:i/>
              </w:rPr>
              <w:t xml:space="preserve">Specifies that the MD4 algorithm, as defined by RFC 1320, shall be </w:t>
            </w:r>
            <w:r>
              <w:rPr>
                <w:i/>
              </w:rPr>
              <w:t>used.</w:t>
            </w:r>
          </w:p>
          <w:p w:rsidR="000A156F" w:rsidRDefault="000A156F">
            <w:pPr>
              <w:pStyle w:val="TableBodyText"/>
            </w:pPr>
          </w:p>
          <w:p w:rsidR="000A156F" w:rsidRDefault="00A9721F">
            <w:pPr>
              <w:pStyle w:val="TableBodyText"/>
            </w:pPr>
            <w:r>
              <w:rPr>
                <w:i/>
              </w:rPr>
              <w:t>[Note: It is recommended that applications should avoid using this algorithm to store new hash values, because of publicly known breaks. end note]</w:t>
            </w:r>
          </w:p>
          <w:p w:rsidR="000A156F" w:rsidRDefault="00A9721F">
            <w:pPr>
              <w:pStyle w:val="TableBodyText"/>
            </w:pPr>
            <w:r>
              <w:rPr>
                <w:b/>
                <w:i/>
              </w:rPr>
              <w:t>MD5</w:t>
            </w:r>
          </w:p>
          <w:p w:rsidR="000A156F" w:rsidRDefault="00A9721F">
            <w:pPr>
              <w:pStyle w:val="TableBodyText"/>
            </w:pPr>
            <w:r>
              <w:rPr>
                <w:i/>
              </w:rPr>
              <w:t>Specifies that the MD5 algorithm, as defined by RFC 1321, shall be used.</w:t>
            </w:r>
          </w:p>
          <w:p w:rsidR="000A156F" w:rsidRDefault="000A156F">
            <w:pPr>
              <w:pStyle w:val="TableBodyText"/>
            </w:pPr>
          </w:p>
          <w:p w:rsidR="000A156F" w:rsidRDefault="00A9721F">
            <w:pPr>
              <w:pStyle w:val="TableBodyText"/>
            </w:pPr>
            <w:r>
              <w:rPr>
                <w:i/>
              </w:rPr>
              <w:t>[Note: It is recommended</w:t>
            </w:r>
            <w:r>
              <w:rPr>
                <w:i/>
              </w:rPr>
              <w:t xml:space="preserve"> that applications should avoid using this algorithm to store new hash values, because of publicly known breaks. end note]</w:t>
            </w:r>
          </w:p>
          <w:p w:rsidR="000A156F" w:rsidRDefault="00A9721F">
            <w:pPr>
              <w:pStyle w:val="TableBodyText"/>
            </w:pPr>
            <w:r>
              <w:rPr>
                <w:b/>
                <w:i/>
              </w:rPr>
              <w:t>RIPEMD-128</w:t>
            </w:r>
          </w:p>
          <w:p w:rsidR="000A156F" w:rsidRDefault="00A9721F">
            <w:pPr>
              <w:pStyle w:val="TableBodyText"/>
            </w:pPr>
            <w:r>
              <w:rPr>
                <w:i/>
              </w:rPr>
              <w:t>Specifies that the RIPEMD-128 algorithm, as defined by ISO/IEC 10118-3:2004 shall be used.</w:t>
            </w:r>
          </w:p>
          <w:p w:rsidR="000A156F" w:rsidRDefault="000A156F">
            <w:pPr>
              <w:pStyle w:val="TableBodyText"/>
            </w:pPr>
          </w:p>
          <w:p w:rsidR="000A156F" w:rsidRDefault="00A9721F">
            <w:pPr>
              <w:pStyle w:val="TableBodyText"/>
            </w:pPr>
            <w:r>
              <w:rPr>
                <w:i/>
              </w:rPr>
              <w:t xml:space="preserve">[Note: It is recommended that </w:t>
            </w:r>
            <w:r>
              <w:rPr>
                <w:i/>
              </w:rPr>
              <w:t>applications should avoid using this algorithm to store new hash values, because of publicly known breaks. end note]</w:t>
            </w:r>
          </w:p>
          <w:p w:rsidR="000A156F" w:rsidRDefault="00A9721F">
            <w:pPr>
              <w:pStyle w:val="TableBodyText"/>
            </w:pPr>
            <w:r>
              <w:rPr>
                <w:b/>
                <w:i/>
              </w:rPr>
              <w:t>RIPEMD-160</w:t>
            </w:r>
          </w:p>
          <w:p w:rsidR="000A156F" w:rsidRDefault="00A9721F">
            <w:pPr>
              <w:pStyle w:val="TableBodyText"/>
            </w:pPr>
            <w:r>
              <w:rPr>
                <w:i/>
              </w:rPr>
              <w:t>Specifies that the RIPEMD-160 algorithm, as defined by ISO/IEC 10118-3:2004, shall be used.</w:t>
            </w:r>
          </w:p>
          <w:p w:rsidR="000A156F" w:rsidRDefault="00A9721F">
            <w:pPr>
              <w:pStyle w:val="TableBodyText"/>
            </w:pPr>
            <w:r>
              <w:rPr>
                <w:b/>
                <w:i/>
              </w:rPr>
              <w:t>SHA-1</w:t>
            </w:r>
          </w:p>
          <w:p w:rsidR="000A156F" w:rsidRDefault="00A9721F">
            <w:pPr>
              <w:pStyle w:val="TableBodyText"/>
            </w:pPr>
            <w:r>
              <w:rPr>
                <w:i/>
              </w:rPr>
              <w:t>Specifies that the SHA-1 algor</w:t>
            </w:r>
            <w:r>
              <w:rPr>
                <w:i/>
              </w:rPr>
              <w:t>ithm, as defined by ISO/IEC 10118-3:2004, shall be used.</w:t>
            </w:r>
          </w:p>
          <w:p w:rsidR="000A156F" w:rsidRDefault="00A9721F">
            <w:pPr>
              <w:pStyle w:val="TableBodyText"/>
            </w:pPr>
            <w:r>
              <w:rPr>
                <w:b/>
                <w:i/>
              </w:rPr>
              <w:t>SHA-256</w:t>
            </w:r>
          </w:p>
          <w:p w:rsidR="000A156F" w:rsidRDefault="00A9721F">
            <w:pPr>
              <w:pStyle w:val="TableBodyText"/>
            </w:pPr>
            <w:r>
              <w:rPr>
                <w:i/>
              </w:rPr>
              <w:t>Specifies that the SHA-256 algorithm, as defined by ISO/IEC 10118-3:2004, shall be used.</w:t>
            </w:r>
          </w:p>
          <w:p w:rsidR="000A156F" w:rsidRDefault="00A9721F">
            <w:pPr>
              <w:pStyle w:val="TableBodyText"/>
            </w:pPr>
            <w:r>
              <w:rPr>
                <w:b/>
                <w:i/>
              </w:rPr>
              <w:t>SHA-384</w:t>
            </w:r>
          </w:p>
          <w:p w:rsidR="000A156F" w:rsidRDefault="00A9721F">
            <w:pPr>
              <w:pStyle w:val="TableBodyText"/>
            </w:pPr>
            <w:r>
              <w:rPr>
                <w:i/>
              </w:rPr>
              <w:t>Specifies that the SHA-384 algorithm, as defined by ISO/IEC 10118-3:2004, shall be used.</w:t>
            </w:r>
          </w:p>
          <w:p w:rsidR="000A156F" w:rsidRDefault="00A9721F">
            <w:pPr>
              <w:pStyle w:val="TableBodyText"/>
            </w:pPr>
            <w:r>
              <w:rPr>
                <w:b/>
                <w:i/>
              </w:rPr>
              <w:t>SHA-5</w:t>
            </w:r>
            <w:r>
              <w:rPr>
                <w:b/>
                <w:i/>
              </w:rPr>
              <w:t>12</w:t>
            </w:r>
          </w:p>
          <w:p w:rsidR="000A156F" w:rsidRDefault="00A9721F">
            <w:pPr>
              <w:pStyle w:val="TableBodyText"/>
            </w:pPr>
            <w:r>
              <w:rPr>
                <w:i/>
              </w:rPr>
              <w:t>Specifies that the SHA-512 algorithm, as defined by ISO/IEC 10118-3:2004, shall be used.</w:t>
            </w:r>
          </w:p>
          <w:p w:rsidR="000A156F" w:rsidRDefault="00A9721F">
            <w:pPr>
              <w:pStyle w:val="TableBodyText"/>
            </w:pPr>
            <w:r>
              <w:rPr>
                <w:b/>
                <w:i/>
              </w:rPr>
              <w:t>WHIRLPOOL</w:t>
            </w:r>
          </w:p>
          <w:p w:rsidR="000A156F" w:rsidRDefault="00A9721F">
            <w:pPr>
              <w:pStyle w:val="TableBodyText"/>
            </w:pPr>
            <w:r>
              <w:rPr>
                <w:i/>
              </w:rPr>
              <w:t>Specifies that the WHIRLPOOL algorithm, as defined by ISO/IEC 10118-3:2004, shall be used.</w:t>
            </w:r>
          </w:p>
          <w:p w:rsidR="000A156F" w:rsidRDefault="000A156F">
            <w:pPr>
              <w:pStyle w:val="TableBodyText"/>
            </w:pP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hash Value</w:t>
            </w:r>
          </w:p>
        </w:tc>
        <w:tc>
          <w:tcPr>
            <w:tcW w:w="0" w:type="auto"/>
            <w:vAlign w:val="center"/>
          </w:tcPr>
          <w:p w:rsidR="000A156F" w:rsidRDefault="00A9721F">
            <w:pPr>
              <w:pStyle w:val="TableBodyText"/>
            </w:pPr>
            <w:r>
              <w:t>Specifies the hash value for the password require</w:t>
            </w:r>
            <w:r>
              <w:t>d to edit this presentation. This value shall be compared with the resulting hash value after hashing the user-supplied password using the algorithm specified by the preceding attributes and parent XML element. If the two values match, the protection shall</w:t>
            </w:r>
            <w:r>
              <w:t xml:space="preserve"> no longer be enforced.</w:t>
            </w:r>
          </w:p>
          <w:p w:rsidR="000A156F" w:rsidRDefault="000A156F">
            <w:pPr>
              <w:pStyle w:val="TableBodyText"/>
            </w:pPr>
          </w:p>
          <w:p w:rsidR="000A156F" w:rsidRDefault="00A9721F">
            <w:pPr>
              <w:pStyle w:val="TableBodyText"/>
            </w:pPr>
            <w:r>
              <w:t>[</w:t>
            </w:r>
            <w:r>
              <w:rPr>
                <w:i/>
              </w:rPr>
              <w:t>Example</w:t>
            </w:r>
            <w:r>
              <w:t>: Consider an Office Open XML document with the following information stored in one of its protection elements:</w:t>
            </w:r>
          </w:p>
          <w:p w:rsidR="000A156F" w:rsidRDefault="000A156F">
            <w:pPr>
              <w:pStyle w:val="TableBodyText"/>
            </w:pPr>
          </w:p>
          <w:p w:rsidR="000A156F" w:rsidRDefault="00A9721F">
            <w:pPr>
              <w:pStyle w:val="TableBodyText"/>
            </w:pPr>
            <w:r>
              <w:t>&lt;… algorithmName="SHA-1" hashValue="9oN7nWkCAyEZib1RomSJTjmPpCY=" /&gt;</w:t>
            </w:r>
          </w:p>
          <w:p w:rsidR="000A156F" w:rsidRDefault="000A156F">
            <w:pPr>
              <w:pStyle w:val="TableBodyText"/>
            </w:pPr>
          </w:p>
          <w:p w:rsidR="000A156F" w:rsidRDefault="00A9721F">
            <w:pPr>
              <w:pStyle w:val="TableBodyText"/>
            </w:pPr>
            <w:r>
              <w:t>The hashValue attribute value of 9oN7nWk</w:t>
            </w:r>
            <w:r>
              <w:t>CAyEZib1RomSJTjmPpCY= specifies that the user-supplied password must be hashed using the pre-processing defined by the parent element (if any) followed by the hashing algorithm (specified via the algorithmName attribute value) and that the resulting hash v</w:t>
            </w:r>
            <w:r>
              <w:t xml:space="preserve">alue must be match for the protection to be disabled. </w:t>
            </w:r>
          </w:p>
          <w:p w:rsidR="000A156F" w:rsidRDefault="00A9721F">
            <w:pPr>
              <w:pStyle w:val="TableBodyText"/>
            </w:pPr>
            <w:r>
              <w:rPr>
                <w:i/>
              </w:rPr>
              <w:t>end example</w:t>
            </w:r>
            <w:r>
              <w:t>]</w:t>
            </w:r>
          </w:p>
          <w:p w:rsidR="000A156F" w:rsidRDefault="000A156F">
            <w:pPr>
              <w:pStyle w:val="TableBodyText"/>
            </w:pPr>
          </w:p>
          <w:p w:rsidR="000A156F" w:rsidRDefault="00A9721F">
            <w:pPr>
              <w:pStyle w:val="TableBodyText"/>
            </w:pPr>
            <w:r>
              <w:t>The possible values for this attribute are defined by the W3C XML Schema base64Binary datatype.</w:t>
            </w:r>
          </w:p>
        </w:tc>
      </w:tr>
      <w:tr w:rsidR="000A156F" w:rsidTr="000A156F">
        <w:tc>
          <w:tcPr>
            <w:tcW w:w="0" w:type="auto"/>
            <w:vAlign w:val="center"/>
          </w:tcPr>
          <w:p w:rsidR="000A156F" w:rsidRDefault="00A9721F">
            <w:pPr>
              <w:pStyle w:val="TableBodyText"/>
            </w:pPr>
            <w:r>
              <w:rPr>
                <w:b/>
              </w:rPr>
              <w:t>saltValue</w:t>
            </w:r>
          </w:p>
        </w:tc>
        <w:tc>
          <w:tcPr>
            <w:tcW w:w="0" w:type="auto"/>
            <w:vAlign w:val="center"/>
          </w:tcPr>
          <w:p w:rsidR="000A156F" w:rsidRDefault="00A9721F">
            <w:pPr>
              <w:pStyle w:val="TableBodyText"/>
            </w:pPr>
            <w:r>
              <w:t xml:space="preserve">Specifies the random bytes that are pre-pended to the user-supplied password </w:t>
            </w:r>
            <w:r>
              <w:t>before it was hashed by the hashing algorithm.</w:t>
            </w:r>
          </w:p>
        </w:tc>
      </w:tr>
      <w:tr w:rsidR="000A156F" w:rsidTr="000A156F">
        <w:tc>
          <w:tcPr>
            <w:tcW w:w="0" w:type="auto"/>
            <w:vAlign w:val="center"/>
          </w:tcPr>
          <w:p w:rsidR="000A156F" w:rsidRDefault="00A9721F">
            <w:pPr>
              <w:pStyle w:val="TableBodyText"/>
            </w:pPr>
            <w:r>
              <w:rPr>
                <w:b/>
              </w:rPr>
              <w:t>spinCount</w:t>
            </w:r>
          </w:p>
        </w:tc>
        <w:tc>
          <w:tcPr>
            <w:tcW w:w="0" w:type="auto"/>
            <w:vAlign w:val="center"/>
          </w:tcPr>
          <w:p w:rsidR="000A156F" w:rsidRDefault="00A9721F">
            <w:pPr>
              <w:pStyle w:val="TableBodyText"/>
            </w:pPr>
            <w:r>
              <w:t>Specifies the number of times the hashing function shall be iteratively run (using each iteration's result as the input for the next iteration).</w:t>
            </w:r>
          </w:p>
        </w:tc>
      </w:tr>
    </w:tbl>
    <w:p w:rsidR="000A156F" w:rsidRDefault="000A156F"/>
    <w:p w:rsidR="000A156F" w:rsidRDefault="00A9721F">
      <w:r>
        <w:t>[</w:t>
      </w:r>
      <w:r>
        <w:rPr>
          <w:i/>
        </w:rPr>
        <w:t>Example</w:t>
      </w:r>
      <w:r>
        <w:t xml:space="preserve">: </w:t>
      </w:r>
    </w:p>
    <w:p w:rsidR="000A156F" w:rsidRDefault="00A9721F">
      <w:r>
        <w:t>Consider an Office Open XML document wit</w:t>
      </w:r>
      <w:r>
        <w:t>h the following information stored in one of its protection elements:</w:t>
      </w:r>
    </w:p>
    <w:p w:rsidR="000A156F" w:rsidRDefault="00A9721F">
      <w:r>
        <w:t>&lt; … algorithmName="SHA-1" hashValue="9oN7nWkCAyEZib1RomSJTjmPpCY=" /&gt;</w:t>
      </w:r>
    </w:p>
    <w:p w:rsidR="000A156F" w:rsidRDefault="00A9721F">
      <w:r>
        <w:t>The algorithmName attribute value of SHA-1 specifies that the SHA-1 hashing algorithm must be used to generate a has</w:t>
      </w:r>
      <w:r>
        <w:t>h from the user-defined password.</w:t>
      </w:r>
    </w:p>
    <w:p w:rsidR="000A156F" w:rsidRDefault="00A9721F">
      <w:r>
        <w:rPr>
          <w:i/>
        </w:rPr>
        <w:t>end example</w:t>
      </w:r>
      <w:r>
        <w:t>]</w:t>
      </w:r>
    </w:p>
    <w:p w:rsidR="000A156F" w:rsidRDefault="00A9721F">
      <w:pPr>
        <w:pStyle w:val="Heading3"/>
      </w:pPr>
      <w:bookmarkStart w:id="2230" w:name="section_9fa0cdca54df40ccb4b49952bca09eb5"/>
      <w:bookmarkStart w:id="2231" w:name="_Toc181684141"/>
      <w:r>
        <w:t>Part 1 Section 19.2.1.22, notesSz (Notes Slide Size)</w:t>
      </w:r>
      <w:bookmarkEnd w:id="2230"/>
      <w:bookmarkEnd w:id="2231"/>
      <w:r>
        <w:fldChar w:fldCharType="begin"/>
      </w:r>
      <w:r>
        <w:instrText xml:space="preserve"> XE "notesSz (Notes Slide Size)" </w:instrText>
      </w:r>
      <w:r>
        <w:fldChar w:fldCharType="end"/>
      </w:r>
    </w:p>
    <w:p w:rsidR="000A156F" w:rsidRDefault="00A9721F">
      <w:pPr>
        <w:pStyle w:val="Definition-Field"/>
      </w:pPr>
      <w:r>
        <w:t xml:space="preserve">a.   </w:t>
      </w:r>
      <w:r>
        <w:rPr>
          <w:i/>
        </w:rPr>
        <w:t>The standard states that the values of the cx attribute are defined by the ST_PositiveCoordinate simple type.</w:t>
      </w:r>
    </w:p>
    <w:p w:rsidR="000A156F" w:rsidRDefault="00A9721F">
      <w:pPr>
        <w:pStyle w:val="Definition-Field2"/>
      </w:pPr>
      <w:r>
        <w:t>PowerP</w:t>
      </w:r>
      <w:r>
        <w:t>oint defines the values of the cx attribute with the ST_SlideSizeCoordinate simple type.</w:t>
      </w:r>
    </w:p>
    <w:p w:rsidR="000A156F" w:rsidRDefault="00A9721F">
      <w:pPr>
        <w:pStyle w:val="Definition-Field"/>
      </w:pPr>
      <w:r>
        <w:t xml:space="preserve">b.   </w:t>
      </w:r>
      <w:r>
        <w:rPr>
          <w:i/>
        </w:rPr>
        <w:t>The standard states that the values of the cy attribute are defined by the ST_PositiveCoordinate simple type.</w:t>
      </w:r>
    </w:p>
    <w:p w:rsidR="000A156F" w:rsidRDefault="00A9721F">
      <w:pPr>
        <w:pStyle w:val="Definition-Field2"/>
      </w:pPr>
      <w:r>
        <w:t xml:space="preserve">PowerPoint defines the values of the cy attribute </w:t>
      </w:r>
      <w:r>
        <w:t>with the ST_SlideSizeCoordinate simple type.</w:t>
      </w:r>
    </w:p>
    <w:p w:rsidR="000A156F" w:rsidRDefault="00A9721F">
      <w:pPr>
        <w:pStyle w:val="Definition-Field"/>
      </w:pPr>
      <w:r>
        <w:t xml:space="preserve">c.   </w:t>
      </w:r>
      <w:r>
        <w:rPr>
          <w:i/>
        </w:rPr>
        <w:t>The standard states that the cx attribute specifies the length of the extents rectangle in EMUs.</w:t>
      </w:r>
    </w:p>
    <w:p w:rsidR="000A156F" w:rsidRDefault="00A9721F">
      <w:pPr>
        <w:pStyle w:val="Definition-Field2"/>
      </w:pPr>
      <w:r>
        <w:t>PowerPoint uses the cx attribute to specify the width of the rectangle.</w:t>
      </w:r>
    </w:p>
    <w:p w:rsidR="000A156F" w:rsidRDefault="00A9721F">
      <w:pPr>
        <w:pStyle w:val="Definition-Field"/>
      </w:pPr>
      <w:r>
        <w:t xml:space="preserve">d.   </w:t>
      </w:r>
      <w:r>
        <w:rPr>
          <w:i/>
        </w:rPr>
        <w:t xml:space="preserve">The standard states that the cy </w:t>
      </w:r>
      <w:r>
        <w:rPr>
          <w:i/>
        </w:rPr>
        <w:t>attribute specifies the width of the extents rectangle in EMUs.</w:t>
      </w:r>
    </w:p>
    <w:p w:rsidR="000A156F" w:rsidRDefault="00A9721F">
      <w:pPr>
        <w:pStyle w:val="Definition-Field2"/>
      </w:pPr>
      <w:r>
        <w:t>PowerPoint uses the cy attribute to specify the height of the rectangle.</w:t>
      </w:r>
    </w:p>
    <w:p w:rsidR="000A156F" w:rsidRDefault="00A9721F">
      <w:pPr>
        <w:pStyle w:val="Heading3"/>
      </w:pPr>
      <w:bookmarkStart w:id="2232" w:name="section_e80b4fafba5943169c8e0bb6dddcf9f9"/>
      <w:bookmarkStart w:id="2233" w:name="_Toc181684142"/>
      <w:r>
        <w:lastRenderedPageBreak/>
        <w:t>Part 1 Section 19.2.1.24, photoAlbum (Photo Album Information)</w:t>
      </w:r>
      <w:bookmarkEnd w:id="2232"/>
      <w:bookmarkEnd w:id="2233"/>
      <w:r>
        <w:fldChar w:fldCharType="begin"/>
      </w:r>
      <w:r>
        <w:instrText xml:space="preserve"> XE "photoAlbum (Photo Album Information)" </w:instrText>
      </w:r>
      <w:r>
        <w:fldChar w:fldCharType="end"/>
      </w:r>
    </w:p>
    <w:p w:rsidR="000A156F" w:rsidRDefault="00A9721F">
      <w:pPr>
        <w:pStyle w:val="Definition-Field"/>
      </w:pPr>
      <w:r>
        <w:t xml:space="preserve">a.   </w:t>
      </w:r>
      <w:r>
        <w:rPr>
          <w:i/>
        </w:rPr>
        <w:t>The st</w:t>
      </w:r>
      <w:r>
        <w:rPr>
          <w:i/>
        </w:rPr>
        <w:t>andard states that images that are part of the photo album are identified by the presence of the isPhoto element in the definition of the picture.</w:t>
      </w:r>
    </w:p>
    <w:p w:rsidR="000A156F" w:rsidRDefault="00A9721F">
      <w:pPr>
        <w:pStyle w:val="Definition-Field2"/>
      </w:pPr>
      <w:r>
        <w:t>PowerPoint identifies photo album images as those with the isPhoto attribute of the nvPr element set to a val</w:t>
      </w:r>
      <w:r>
        <w:t>ue of true.</w:t>
      </w:r>
    </w:p>
    <w:p w:rsidR="000A156F" w:rsidRDefault="00A9721F">
      <w:pPr>
        <w:pStyle w:val="Definition-Field"/>
      </w:pPr>
      <w:r>
        <w:t xml:space="preserve">b.   </w:t>
      </w:r>
      <w:r>
        <w:rPr>
          <w:i/>
        </w:rPr>
        <w:t>The standard states that the bw attribute specifies whether all pictures in the photo album are to be displayed as black and white.</w:t>
      </w:r>
    </w:p>
    <w:p w:rsidR="000A156F" w:rsidRDefault="00A9721F">
      <w:pPr>
        <w:pStyle w:val="Definition-Field2"/>
      </w:pPr>
      <w:r>
        <w:t>PowerPoint uses the bw attribute to specify the last state of a user interface setting that indicates wheth</w:t>
      </w:r>
      <w:r>
        <w:t>er all pictures in the photo album are to be displayed as black and white.</w:t>
      </w:r>
    </w:p>
    <w:p w:rsidR="000A156F" w:rsidRDefault="00A9721F">
      <w:pPr>
        <w:pStyle w:val="Definition-Field"/>
      </w:pPr>
      <w:r>
        <w:t xml:space="preserve">c.   </w:t>
      </w:r>
      <w:r>
        <w:rPr>
          <w:i/>
        </w:rPr>
        <w:t>The standard states that the frame attribute specifies the frame type that is to be used on all the pictures in the photo album.</w:t>
      </w:r>
    </w:p>
    <w:p w:rsidR="000A156F" w:rsidRDefault="00A9721F">
      <w:pPr>
        <w:pStyle w:val="Definition-Field2"/>
      </w:pPr>
      <w:r>
        <w:t xml:space="preserve">PowerPoint uses the frame attribute to specify </w:t>
      </w:r>
      <w:r>
        <w:t>the last state of a user interface setting for the frame type that is to be used on all the pictures in the photo album.</w:t>
      </w:r>
    </w:p>
    <w:p w:rsidR="000A156F" w:rsidRDefault="00A9721F">
      <w:pPr>
        <w:pStyle w:val="Definition-Field"/>
      </w:pPr>
      <w:r>
        <w:t xml:space="preserve">d.   </w:t>
      </w:r>
      <w:r>
        <w:rPr>
          <w:i/>
        </w:rPr>
        <w:t>The standard states that the layout attribute specifies the layout that is to be used to arrange the pictures in the photo album o</w:t>
      </w:r>
      <w:r>
        <w:rPr>
          <w:i/>
        </w:rPr>
        <w:t>n individual slides.</w:t>
      </w:r>
    </w:p>
    <w:p w:rsidR="000A156F" w:rsidRDefault="00A9721F">
      <w:pPr>
        <w:pStyle w:val="Definition-Field2"/>
      </w:pPr>
      <w:r>
        <w:t>PowerPoint uses the layout attribute to specify the last state of a user interface setting for the layout that is to be used to arrange the pictures in the photo album on individual slides.</w:t>
      </w:r>
    </w:p>
    <w:p w:rsidR="000A156F" w:rsidRDefault="00A9721F">
      <w:pPr>
        <w:pStyle w:val="Definition-Field"/>
      </w:pPr>
      <w:r>
        <w:t xml:space="preserve">e.   </w:t>
      </w:r>
      <w:r>
        <w:rPr>
          <w:i/>
        </w:rPr>
        <w:t>The standard states that the showCaption</w:t>
      </w:r>
      <w:r>
        <w:rPr>
          <w:i/>
        </w:rPr>
        <w:t>s attribute specifies whether to show captions for pictures in the photo album.</w:t>
      </w:r>
    </w:p>
    <w:p w:rsidR="000A156F" w:rsidRDefault="00A9721F">
      <w:pPr>
        <w:pStyle w:val="Definition-Field2"/>
      </w:pPr>
      <w:r>
        <w:t>PowerPoint uses the showCaptions attribute to specify the last state of a user interface setting that indicates whether to show captions for pictures in the photo album.</w:t>
      </w:r>
    </w:p>
    <w:p w:rsidR="000A156F" w:rsidRDefault="00A9721F">
      <w:pPr>
        <w:pStyle w:val="Heading3"/>
      </w:pPr>
      <w:bookmarkStart w:id="2234" w:name="section_cce7a3040e914fa490bdf3a0f4f58f95"/>
      <w:bookmarkStart w:id="2235" w:name="_Toc181684143"/>
      <w:r>
        <w:t>Part 1</w:t>
      </w:r>
      <w:r>
        <w:t xml:space="preserve"> Section 19.2.1.25, present (Presenter Slide Show Mode)</w:t>
      </w:r>
      <w:bookmarkEnd w:id="2234"/>
      <w:bookmarkEnd w:id="2235"/>
      <w:r>
        <w:fldChar w:fldCharType="begin"/>
      </w:r>
      <w:r>
        <w:instrText xml:space="preserve"> XE "present (Presenter Slide Show Mode)" </w:instrText>
      </w:r>
      <w:r>
        <w:fldChar w:fldCharType="end"/>
      </w:r>
    </w:p>
    <w:p w:rsidR="000A156F" w:rsidRDefault="00A9721F">
      <w:pPr>
        <w:pStyle w:val="Definition-Field"/>
      </w:pPr>
      <w:r>
        <w:t xml:space="preserve">a.   </w:t>
      </w:r>
      <w:r>
        <w:rPr>
          <w:i/>
        </w:rPr>
        <w:t xml:space="preserve">The standard states that when in full-screen presenter mode, the presentation is displayed on one monitor while a different monitor displays notes and </w:t>
      </w:r>
      <w:r>
        <w:rPr>
          <w:i/>
        </w:rPr>
        <w:t>provides navigation controls.</w:t>
      </w:r>
    </w:p>
    <w:p w:rsidR="000A156F" w:rsidRDefault="00A9721F">
      <w:pPr>
        <w:pStyle w:val="Definition-Field2"/>
      </w:pPr>
      <w:r>
        <w:t>PowerPoint does not display the presentation and the notes and navigation controls on separate monitors in this mode.</w:t>
      </w:r>
    </w:p>
    <w:p w:rsidR="000A156F" w:rsidRDefault="00A9721F">
      <w:pPr>
        <w:pStyle w:val="Heading3"/>
      </w:pPr>
      <w:bookmarkStart w:id="2236" w:name="section_5cc61456aa4e4c48a1153efed3e57d95"/>
      <w:bookmarkStart w:id="2237" w:name="_Toc181684144"/>
      <w:r>
        <w:t>Part 1 Section 19.2.1.26, presentation (Presentation)</w:t>
      </w:r>
      <w:bookmarkEnd w:id="2236"/>
      <w:bookmarkEnd w:id="2237"/>
      <w:r>
        <w:fldChar w:fldCharType="begin"/>
      </w:r>
      <w:r>
        <w:instrText xml:space="preserve"> XE "presentation (Presentation)" </w:instrText>
      </w:r>
      <w:r>
        <w:fldChar w:fldCharType="end"/>
      </w:r>
    </w:p>
    <w:p w:rsidR="000A156F" w:rsidRDefault="00A9721F">
      <w:pPr>
        <w:pStyle w:val="Definition-Field"/>
      </w:pPr>
      <w:r>
        <w:t xml:space="preserve">a.   </w:t>
      </w:r>
      <w:r>
        <w:rPr>
          <w:i/>
        </w:rPr>
        <w:t xml:space="preserve">The standard </w:t>
      </w:r>
      <w:r>
        <w:rPr>
          <w:i/>
        </w:rPr>
        <w:t>states that possible values for the firstSlideNum attribute are defined by the XML Schema int datatype.</w:t>
      </w:r>
    </w:p>
    <w:p w:rsidR="000A156F" w:rsidRDefault="00A9721F">
      <w:pPr>
        <w:pStyle w:val="Definition-Field2"/>
      </w:pPr>
      <w:r>
        <w:t>PowerPoint restricts the value of the firstSlideNum attribute to be greater than or equal to 0 and less than or equal to 9999.</w:t>
      </w:r>
    </w:p>
    <w:p w:rsidR="000A156F" w:rsidRDefault="00A9721F">
      <w:pPr>
        <w:pStyle w:val="Definition-Field"/>
      </w:pPr>
      <w:r>
        <w:t xml:space="preserve">b.   </w:t>
      </w:r>
      <w:r>
        <w:rPr>
          <w:i/>
        </w:rPr>
        <w:t xml:space="preserve">The standard states </w:t>
      </w:r>
      <w:r>
        <w:rPr>
          <w:i/>
        </w:rPr>
        <w:t>that the values of the serverZoom attribute are defined by the ST_Percentage simple type.</w:t>
      </w:r>
    </w:p>
    <w:p w:rsidR="000A156F" w:rsidRDefault="00A9721F">
      <w:pPr>
        <w:pStyle w:val="Definition-Field2"/>
      </w:pPr>
      <w:r>
        <w:t>PowerPoint defines the values of the serverZoom attribute with the ST_PositivePercentage simple type.</w:t>
      </w:r>
    </w:p>
    <w:p w:rsidR="000A156F" w:rsidRDefault="00A9721F">
      <w:pPr>
        <w:pStyle w:val="Definition-Field"/>
      </w:pPr>
      <w:r>
        <w:t xml:space="preserve">c.   </w:t>
      </w:r>
      <w:r>
        <w:rPr>
          <w:i/>
        </w:rPr>
        <w:t>The standard states that the showSpecialPlsOnTitleSld attri</w:t>
      </w:r>
      <w:r>
        <w:rPr>
          <w:i/>
        </w:rPr>
        <w:t>bute specifies whether to show the header and footer placeholders on the title slides.</w:t>
      </w:r>
    </w:p>
    <w:p w:rsidR="000A156F" w:rsidRDefault="00A9721F">
      <w:pPr>
        <w:pStyle w:val="Definition-Field2"/>
      </w:pPr>
      <w:r>
        <w:t>PowerPoint uses the showSpecialPlsOnTitleSld attribute to specify the last state of the user interface setting which indicates whether to show the header and footer plac</w:t>
      </w:r>
      <w:r>
        <w:t>eholders on the title slides.</w:t>
      </w:r>
    </w:p>
    <w:p w:rsidR="000A156F" w:rsidRDefault="00A9721F">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0A156F" w:rsidRDefault="00A9721F">
      <w:pPr>
        <w:pStyle w:val="Definition-Field2"/>
      </w:pPr>
      <w:r>
        <w:t>PowerPoint ignores the strictFirstAndLastChars attribute when the l</w:t>
      </w:r>
      <w:r>
        <w:t>ang attribute on the kinsoku element has a value of ja-jp.</w:t>
      </w:r>
    </w:p>
    <w:p w:rsidR="000A156F" w:rsidRDefault="00A9721F">
      <w:pPr>
        <w:pStyle w:val="Definition-Field"/>
      </w:pPr>
      <w:r>
        <w:t xml:space="preserve">e.   </w:t>
      </w:r>
      <w:r>
        <w:rPr>
          <w:i/>
        </w:rPr>
        <w:t>The standard states that the conformance attribute specifies the schema to use to validate the document.</w:t>
      </w:r>
    </w:p>
    <w:p w:rsidR="000A156F" w:rsidRDefault="00A9721F">
      <w:pPr>
        <w:pStyle w:val="Definition-Field2"/>
      </w:pPr>
      <w:r>
        <w:t>PowerPoint ignores the conformance attribute.</w:t>
      </w:r>
    </w:p>
    <w:p w:rsidR="000A156F" w:rsidRDefault="00A9721F">
      <w:pPr>
        <w:pStyle w:val="Heading3"/>
      </w:pPr>
      <w:bookmarkStart w:id="2238" w:name="section_e1331a7584dc46d29e5551afd9f38af8"/>
      <w:bookmarkStart w:id="2239" w:name="_Toc181684145"/>
      <w:r>
        <w:t>Part 1 Section 19.2.1.38, sldRg (Slide Ra</w:t>
      </w:r>
      <w:r>
        <w:t>nge)</w:t>
      </w:r>
      <w:bookmarkEnd w:id="2238"/>
      <w:bookmarkEnd w:id="2239"/>
      <w:r>
        <w:fldChar w:fldCharType="begin"/>
      </w:r>
      <w:r>
        <w:instrText xml:space="preserve"> XE "sldRg (Slide Range)"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0A156F" w:rsidRDefault="00A9721F">
      <w:pPr>
        <w:pStyle w:val="Heading3"/>
      </w:pPr>
      <w:bookmarkStart w:id="2240" w:name="section_de4053e1e1ca4cc2a810aa2da4cc43a0"/>
      <w:bookmarkStart w:id="2241" w:name="_Toc181684146"/>
      <w:r>
        <w:t>Part 1 Section 19.2.1.39, sldSz (Presentation Slide Size)</w:t>
      </w:r>
      <w:bookmarkEnd w:id="2240"/>
      <w:bookmarkEnd w:id="2241"/>
      <w:r>
        <w:fldChar w:fldCharType="begin"/>
      </w:r>
      <w:r>
        <w:instrText xml:space="preserve"> XE "sldSz (Presentation Slide Size)" </w:instrText>
      </w:r>
      <w:r>
        <w:fldChar w:fldCharType="end"/>
      </w:r>
    </w:p>
    <w:p w:rsidR="000A156F" w:rsidRDefault="00A9721F">
      <w:pPr>
        <w:pStyle w:val="Definition-Field"/>
      </w:pPr>
      <w:r>
        <w:t xml:space="preserve">a.   </w:t>
      </w:r>
      <w:r>
        <w:rPr>
          <w:i/>
        </w:rPr>
        <w:t>The standard states that the type attribute specifies the type of slide size that should be used.</w:t>
      </w:r>
    </w:p>
    <w:p w:rsidR="000A156F" w:rsidRDefault="00A9721F">
      <w:pPr>
        <w:pStyle w:val="Definition-Field2"/>
      </w:pPr>
      <w:r>
        <w:t>PowerPoint only uses the type attribute when the cx att</w:t>
      </w:r>
      <w:r>
        <w:t>ribute and the cy attribute map to more than one type.</w:t>
      </w:r>
    </w:p>
    <w:p w:rsidR="000A156F" w:rsidRDefault="00A9721F">
      <w:pPr>
        <w:pStyle w:val="Definition-Field"/>
      </w:pPr>
      <w:r>
        <w:t xml:space="preserve">b.   </w:t>
      </w:r>
      <w:r>
        <w:rPr>
          <w:i/>
        </w:rPr>
        <w:t>The standard states that the cy attribute specifies the width of the extents rectangle in EMUs.</w:t>
      </w:r>
    </w:p>
    <w:p w:rsidR="000A156F" w:rsidRDefault="00A9721F">
      <w:pPr>
        <w:pStyle w:val="Definition-Field2"/>
      </w:pPr>
      <w:r>
        <w:t>PowerPoint uses the cy attribute to specify the height of the rectangle.</w:t>
      </w:r>
    </w:p>
    <w:p w:rsidR="000A156F" w:rsidRDefault="00A9721F">
      <w:pPr>
        <w:pStyle w:val="Definition-Field"/>
      </w:pPr>
      <w:r>
        <w:t xml:space="preserve">c.   </w:t>
      </w:r>
      <w:r>
        <w:rPr>
          <w:i/>
        </w:rPr>
        <w:t xml:space="preserve">The standard states </w:t>
      </w:r>
      <w:r>
        <w:rPr>
          <w:i/>
        </w:rPr>
        <w:t>that the cx attribute specifies the length of the extents rectangle in EMUs.</w:t>
      </w:r>
    </w:p>
    <w:p w:rsidR="000A156F" w:rsidRDefault="00A9721F">
      <w:pPr>
        <w:pStyle w:val="Definition-Field2"/>
      </w:pPr>
      <w:r>
        <w:t>PowerPoint uses the cx attribute to specify the width of the rectangle.</w:t>
      </w:r>
    </w:p>
    <w:p w:rsidR="000A156F" w:rsidRDefault="00A9721F">
      <w:pPr>
        <w:pStyle w:val="Definition-Field"/>
      </w:pPr>
      <w:r>
        <w:t xml:space="preserve">d.   </w:t>
      </w:r>
      <w:r>
        <w:rPr>
          <w:i/>
        </w:rPr>
        <w:t>The standard states that the sldSz element specifies the size of the presentation slide surface.</w:t>
      </w:r>
    </w:p>
    <w:p w:rsidR="000A156F" w:rsidRDefault="00A9721F">
      <w:pPr>
        <w:pStyle w:val="Definition-Field2"/>
      </w:pPr>
      <w:r>
        <w:t>Power</w:t>
      </w:r>
      <w:r>
        <w:t>Point assumes a default of &lt;p:sldSz cx=”9144000” cy=”6858000” /&gt; if the sldSz element is not present.</w:t>
      </w:r>
    </w:p>
    <w:p w:rsidR="000A156F" w:rsidRDefault="00A9721F">
      <w:pPr>
        <w:pStyle w:val="Heading3"/>
      </w:pPr>
      <w:bookmarkStart w:id="2242" w:name="section_5d1dbc83b5204c20b60b219211294901"/>
      <w:bookmarkStart w:id="2243" w:name="_Toc181684147"/>
      <w:r>
        <w:t>Part 1 Section 19.2.1.40, smartTags (Smart Tags)</w:t>
      </w:r>
      <w:bookmarkEnd w:id="2242"/>
      <w:bookmarkEnd w:id="2243"/>
      <w:r>
        <w:fldChar w:fldCharType="begin"/>
      </w:r>
      <w:r>
        <w:instrText xml:space="preserve"> XE "smartTags (Smart Tags)" </w:instrText>
      </w:r>
      <w:r>
        <w:fldChar w:fldCharType="end"/>
      </w:r>
    </w:p>
    <w:p w:rsidR="000A156F" w:rsidRDefault="00A9721F">
      <w:pPr>
        <w:pStyle w:val="Definition-Field"/>
      </w:pPr>
      <w:r>
        <w:t xml:space="preserve">a.   </w:t>
      </w:r>
      <w:r>
        <w:rPr>
          <w:i/>
        </w:rPr>
        <w:t xml:space="preserve">The standard states that the id attribute specifies the relationship </w:t>
      </w:r>
      <w:r>
        <w:rPr>
          <w:i/>
        </w:rPr>
        <w:t>identifier that is used in conjunction with a corresponding relationship file to resolve the location of the smart tag.</w:t>
      </w:r>
    </w:p>
    <w:p w:rsidR="000A156F" w:rsidRDefault="00A9721F">
      <w:r>
        <w:t>The id attribute of the smartTags element defines a relationship to a part within the presentation package whose contents are defined by</w:t>
      </w:r>
      <w:r>
        <w:t xml:space="preserve"> the PowerPoint 97-2003 Binary File Format (.ppt) Structure Specification (“</w:t>
      </w:r>
      <w:hyperlink r:id="rId160" w:anchor="Section_6be79dde33c14c1b8ccc4b2301c08662">
        <w:r>
          <w:rPr>
            <w:rStyle w:val="Hyperlink"/>
          </w:rPr>
          <w:t>[MS-PPT]</w:t>
        </w:r>
      </w:hyperlink>
      <w:r>
        <w:t xml:space="preserve"> section 2.11.28; SmartTagStore11Container”). This binary part contains no RecordHeader struct</w:t>
      </w:r>
      <w:r>
        <w:t>ure.</w:t>
      </w:r>
    </w:p>
    <w:p w:rsidR="000A156F" w:rsidRDefault="00A9721F">
      <w:pPr>
        <w:pStyle w:val="Heading3"/>
      </w:pPr>
      <w:bookmarkStart w:id="2244" w:name="section_dfb28ce5885d4193957c8ae93866b92e"/>
      <w:bookmarkStart w:id="2245" w:name="_Toc181684148"/>
      <w:r>
        <w:t>Part 1 Section 19.2.2.4, guide (A Guide)</w:t>
      </w:r>
      <w:bookmarkEnd w:id="2244"/>
      <w:bookmarkEnd w:id="2245"/>
      <w:r>
        <w:fldChar w:fldCharType="begin"/>
      </w:r>
      <w:r>
        <w:instrText xml:space="preserve"> XE "guide (A Guide)" </w:instrText>
      </w:r>
      <w:r>
        <w:fldChar w:fldCharType="end"/>
      </w:r>
    </w:p>
    <w:p w:rsidR="000A156F" w:rsidRDefault="00A9721F">
      <w:pPr>
        <w:pStyle w:val="Definition-Field"/>
      </w:pPr>
      <w:r>
        <w:t xml:space="preserve">a.   </w:t>
      </w:r>
      <w:r>
        <w:rPr>
          <w:i/>
        </w:rPr>
        <w:t>The standard does not state how to interpret the position information of the pos attribute.</w:t>
      </w:r>
    </w:p>
    <w:p w:rsidR="000A156F" w:rsidRDefault="00A9721F">
      <w:pPr>
        <w:pStyle w:val="Definition-Field2"/>
      </w:pPr>
      <w:r>
        <w:t xml:space="preserve">PowerPoint interprets the position information to be relative to the top, left corner of </w:t>
      </w:r>
      <w:r>
        <w:t>the slide.</w:t>
      </w:r>
    </w:p>
    <w:p w:rsidR="000A156F" w:rsidRDefault="00A9721F">
      <w:pPr>
        <w:pStyle w:val="Heading3"/>
      </w:pPr>
      <w:bookmarkStart w:id="2246" w:name="section_9163cc39baea4093980bafc28546324d"/>
      <w:bookmarkStart w:id="2247" w:name="_Toc181684149"/>
      <w:r>
        <w:t>Part 1 Section 19.2.2.6, normalViewPr (Normal View Properties)</w:t>
      </w:r>
      <w:bookmarkEnd w:id="2246"/>
      <w:bookmarkEnd w:id="2247"/>
      <w:r>
        <w:fldChar w:fldCharType="begin"/>
      </w:r>
      <w:r>
        <w:instrText xml:space="preserve"> XE "normalViewPr (Normal View Properties)" </w:instrText>
      </w:r>
      <w:r>
        <w:fldChar w:fldCharType="end"/>
      </w:r>
    </w:p>
    <w:p w:rsidR="000A156F" w:rsidRDefault="00A9721F">
      <w:pPr>
        <w:pStyle w:val="Definition-Field"/>
      </w:pPr>
      <w:r>
        <w:t xml:space="preserve">a.   </w:t>
      </w:r>
      <w:r>
        <w:rPr>
          <w:i/>
        </w:rPr>
        <w:t>The standard states that the vertBarState attribute affects the state of the slide region.</w:t>
      </w:r>
    </w:p>
    <w:p w:rsidR="000A156F" w:rsidRDefault="00A9721F">
      <w:pPr>
        <w:pStyle w:val="Definition-Field2"/>
      </w:pPr>
      <w:r>
        <w:t>PowerPoint uses the vertBarState attribu</w:t>
      </w:r>
      <w:r>
        <w:t>te to affect the state of the side content region.</w:t>
      </w:r>
    </w:p>
    <w:p w:rsidR="000A156F" w:rsidRDefault="00A9721F">
      <w:pPr>
        <w:pStyle w:val="Definition-Field"/>
      </w:pPr>
      <w:r>
        <w:lastRenderedPageBreak/>
        <w:t xml:space="preserve">b.   </w:t>
      </w:r>
      <w:r>
        <w:rPr>
          <w:i/>
        </w:rPr>
        <w:t>The standard states that the horzBarState attribute affects the state of the side content region.</w:t>
      </w:r>
    </w:p>
    <w:p w:rsidR="000A156F" w:rsidRDefault="00A9721F">
      <w:pPr>
        <w:pStyle w:val="Definition-Field2"/>
      </w:pPr>
      <w:r>
        <w:t>PowerPoint uses the horzBarState attribute to affect the state of the slide region.</w:t>
      </w:r>
    </w:p>
    <w:p w:rsidR="000A156F" w:rsidRDefault="00A9721F">
      <w:pPr>
        <w:pStyle w:val="Definition-Field"/>
      </w:pPr>
      <w:r>
        <w:t xml:space="preserve">c.   </w:t>
      </w:r>
      <w:r>
        <w:rPr>
          <w:i/>
        </w:rPr>
        <w:t xml:space="preserve">The standard </w:t>
      </w:r>
      <w:r>
        <w:rPr>
          <w:i/>
        </w:rPr>
        <w:t>places no restrictions on the relationship between the horzBarState attribute and the restoredTop child element.</w:t>
      </w:r>
    </w:p>
    <w:p w:rsidR="000A156F" w:rsidRDefault="00A9721F">
      <w:pPr>
        <w:pStyle w:val="Definition-Field2"/>
      </w:pPr>
      <w:r>
        <w:t>PowerPoint ignores the restoredTop child element when the value of the horzBarState attribute is minimized or maximized.</w:t>
      </w:r>
    </w:p>
    <w:p w:rsidR="000A156F" w:rsidRDefault="00A9721F">
      <w:pPr>
        <w:pStyle w:val="Definition-Field"/>
      </w:pPr>
      <w:r>
        <w:t xml:space="preserve">d.   </w:t>
      </w:r>
      <w:r>
        <w:rPr>
          <w:i/>
        </w:rPr>
        <w:t>The standard plac</w:t>
      </w:r>
      <w:r>
        <w:rPr>
          <w:i/>
        </w:rPr>
        <w:t>es no restrictions on the relationship between the vertBarState attribute and the restoredLeft child element.</w:t>
      </w:r>
    </w:p>
    <w:p w:rsidR="000A156F" w:rsidRDefault="00A9721F">
      <w:pPr>
        <w:pStyle w:val="Definition-Field2"/>
      </w:pPr>
      <w:r>
        <w:t>PowerPoint ignores the restoredLeft child element when the value of the vertBarState attribute is minimized or maximized.</w:t>
      </w:r>
    </w:p>
    <w:p w:rsidR="000A156F" w:rsidRDefault="00A9721F">
      <w:pPr>
        <w:pStyle w:val="Heading3"/>
      </w:pPr>
      <w:bookmarkStart w:id="2248" w:name="section_b0d10d875aa74b37b2caea9cc2705984"/>
      <w:bookmarkStart w:id="2249" w:name="_Toc181684150"/>
      <w:r>
        <w:t>Part 1 Section 19.2.2.9,</w:t>
      </w:r>
      <w:r>
        <w:t xml:space="preserve"> origin (View Origin)</w:t>
      </w:r>
      <w:bookmarkEnd w:id="2248"/>
      <w:bookmarkEnd w:id="2249"/>
      <w:r>
        <w:fldChar w:fldCharType="begin"/>
      </w:r>
      <w:r>
        <w:instrText xml:space="preserve"> XE "origin (View Origin)"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A156F" w:rsidRDefault="00A9721F">
      <w:pPr>
        <w:pStyle w:val="Heading3"/>
      </w:pPr>
      <w:bookmarkStart w:id="2250" w:name="section_6551673052ab49638c4ccfb2127809ab"/>
      <w:bookmarkStart w:id="2251" w:name="_Toc181684151"/>
      <w:r>
        <w:t>Part 1 Section 19.2.2.11, resto</w:t>
      </w:r>
      <w:r>
        <w:t>redLeft (Normal View Restored Left Properties)</w:t>
      </w:r>
      <w:bookmarkEnd w:id="2250"/>
      <w:bookmarkEnd w:id="2251"/>
      <w:r>
        <w:fldChar w:fldCharType="begin"/>
      </w:r>
      <w:r>
        <w:instrText xml:space="preserve"> XE "restoredLeft (Normal View Restored Left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0A156F" w:rsidRDefault="00A9721F">
      <w:pPr>
        <w:pStyle w:val="Definition-Field"/>
      </w:pPr>
      <w:r>
        <w:t xml:space="preserve">a.   </w:t>
      </w:r>
      <w:r>
        <w:rPr>
          <w:i/>
        </w:rPr>
        <w:t>The standard states that the sz attribute specifies the size of the slide region.</w:t>
      </w:r>
    </w:p>
    <w:p w:rsidR="000A156F" w:rsidRDefault="00A9721F">
      <w:pPr>
        <w:pStyle w:val="Definition-Field2"/>
      </w:pPr>
      <w:r>
        <w:t xml:space="preserve">PowerPoint uses the sz attribute to specify the height of the slide region when the sz attribute is a child of the restoredTop element </w:t>
      </w:r>
      <w:r>
        <w:t>and width of the slide region when @sz is a child of the restoredLeft element.</w:t>
      </w:r>
    </w:p>
    <w:p w:rsidR="000A156F" w:rsidRDefault="00A9721F">
      <w:pPr>
        <w:pStyle w:val="Heading3"/>
      </w:pPr>
      <w:bookmarkStart w:id="2252" w:name="section_53ceb85bfb0c40f4af1d9feecfb64502"/>
      <w:bookmarkStart w:id="2253" w:name="_Toc181684152"/>
      <w:r>
        <w:t>Part 1 Section 19.2.2.12, restoredTop (Normal View Restored Top Properties)</w:t>
      </w:r>
      <w:bookmarkEnd w:id="2252"/>
      <w:bookmarkEnd w:id="2253"/>
      <w:r>
        <w:fldChar w:fldCharType="begin"/>
      </w:r>
      <w:r>
        <w:instrText xml:space="preserve"> XE "restoredTop (Normal View Restored Top Properties)" </w:instrText>
      </w:r>
      <w:r>
        <w:fldChar w:fldCharType="end"/>
      </w:r>
    </w:p>
    <w:p w:rsidR="000A156F" w:rsidRDefault="00A9721F">
      <w:pPr>
        <w:pStyle w:val="Definition-Field2"/>
      </w:pPr>
      <w:r>
        <w:rPr>
          <w:i/>
        </w:rPr>
        <w:t>For additional notes that apply to this por</w:t>
      </w:r>
      <w:r>
        <w:rPr>
          <w:i/>
        </w:rPr>
        <w:t xml:space="preserve">tion of the standard, please see the notes for </w:t>
      </w:r>
      <w:hyperlink w:anchor="Section_6551673052ab49638c4ccfb2127809ab">
        <w:r>
          <w:rPr>
            <w:rStyle w:val="Hyperlink"/>
          </w:rPr>
          <w:t>restoredLeft, §19.2.2.11(a)</w:t>
        </w:r>
      </w:hyperlink>
      <w:r>
        <w:rPr>
          <w:i/>
        </w:rPr>
        <w:t>.</w:t>
      </w:r>
    </w:p>
    <w:p w:rsidR="000A156F" w:rsidRDefault="00A9721F">
      <w:pPr>
        <w:pStyle w:val="Definition-Field"/>
      </w:pPr>
      <w:r>
        <w:t xml:space="preserve">a.   </w:t>
      </w:r>
      <w:r>
        <w:rPr>
          <w:i/>
        </w:rPr>
        <w:t>The standard states that the autoAdjust attribute specifies the size of the side content region.</w:t>
      </w:r>
    </w:p>
    <w:p w:rsidR="000A156F" w:rsidRDefault="00A9721F">
      <w:pPr>
        <w:pStyle w:val="Definition-Field2"/>
      </w:pPr>
      <w:r>
        <w:t xml:space="preserve">PowerPoint </w:t>
      </w:r>
      <w:r>
        <w:t>interprets the autoAdjust attribute to specify the size of the slide region, not the side content region.</w:t>
      </w:r>
    </w:p>
    <w:p w:rsidR="000A156F" w:rsidRDefault="00A9721F">
      <w:pPr>
        <w:pStyle w:val="Heading3"/>
      </w:pPr>
      <w:bookmarkStart w:id="2254" w:name="section_467128baa9144fe8a022184922a47c21"/>
      <w:bookmarkStart w:id="2255" w:name="_Toc181684153"/>
      <w:r>
        <w:t>Part 1 Section 19.2.2.13, scale (View Scale)</w:t>
      </w:r>
      <w:bookmarkEnd w:id="2254"/>
      <w:bookmarkEnd w:id="2255"/>
      <w:r>
        <w:fldChar w:fldCharType="begin"/>
      </w:r>
      <w:r>
        <w:instrText xml:space="preserve"> XE "scale (View Scale)" </w:instrText>
      </w:r>
      <w:r>
        <w:fldChar w:fldCharType="end"/>
      </w:r>
    </w:p>
    <w:p w:rsidR="000A156F" w:rsidRDefault="00A9721F">
      <w:pPr>
        <w:pStyle w:val="Definition-Field"/>
      </w:pPr>
      <w:r>
        <w:t xml:space="preserve">a.   </w:t>
      </w:r>
      <w:r>
        <w:rPr>
          <w:i/>
        </w:rPr>
        <w:t>The standard states that the scale element specifies the view scaling fac</w:t>
      </w:r>
      <w:r>
        <w:rPr>
          <w:i/>
        </w:rPr>
        <w:t>tors that the presentation was last viewed with.</w:t>
      </w:r>
    </w:p>
    <w:p w:rsidR="000A156F" w:rsidRDefault="00A9721F">
      <w:pPr>
        <w:pStyle w:val="Definition-Field2"/>
      </w:pPr>
      <w:r>
        <w:t>PowerPoint requires that the ratio value of child element sx and child element sy shall not be less than 0.03 or greater than 5.</w:t>
      </w:r>
    </w:p>
    <w:p w:rsidR="000A156F" w:rsidRDefault="00A9721F">
      <w:pPr>
        <w:pStyle w:val="Definition-Field"/>
      </w:pPr>
      <w:r>
        <w:t xml:space="preserve">b.   </w:t>
      </w:r>
      <w:r>
        <w:rPr>
          <w:i/>
        </w:rPr>
        <w:t>The standard states that the values of the n attribute on the sx and sy c</w:t>
      </w:r>
      <w:r>
        <w:rPr>
          <w:i/>
        </w:rPr>
        <w:t>hild elements are defined by the XML Schema long datatype.</w:t>
      </w:r>
    </w:p>
    <w:p w:rsidR="000A156F" w:rsidRDefault="00A9721F">
      <w:pPr>
        <w:pStyle w:val="Definition-Field2"/>
      </w:pPr>
      <w:r>
        <w:t>PowerPoint defines the values of the n attribute with the XML Schema int datatype.</w:t>
      </w:r>
    </w:p>
    <w:p w:rsidR="000A156F" w:rsidRDefault="00A9721F">
      <w:pPr>
        <w:pStyle w:val="Definition-Field"/>
      </w:pPr>
      <w:r>
        <w:lastRenderedPageBreak/>
        <w:t xml:space="preserve">c.   </w:t>
      </w:r>
      <w:r>
        <w:rPr>
          <w:i/>
        </w:rPr>
        <w:t>The standard states that the values of the d attribute on the sx and sy child elements are defined by the XML</w:t>
      </w:r>
      <w:r>
        <w:rPr>
          <w:i/>
        </w:rPr>
        <w:t xml:space="preserve"> Schema long datatype.</w:t>
      </w:r>
    </w:p>
    <w:p w:rsidR="000A156F" w:rsidRDefault="00A9721F">
      <w:pPr>
        <w:pStyle w:val="Definition-Field2"/>
      </w:pPr>
      <w:r>
        <w:t>PowerPoint defines the values of the d attribute with the XML Schema int datatype.</w:t>
      </w:r>
    </w:p>
    <w:p w:rsidR="000A156F" w:rsidRDefault="00A9721F">
      <w:pPr>
        <w:pStyle w:val="Heading3"/>
      </w:pPr>
      <w:bookmarkStart w:id="2256" w:name="section_71e8b4e0e70d416aa249c870d41e6d5e"/>
      <w:bookmarkStart w:id="2257" w:name="_Toc181684154"/>
      <w:r>
        <w:t>Part 1 Section 19.3.1.1, bg (Slide Background)</w:t>
      </w:r>
      <w:bookmarkEnd w:id="2256"/>
      <w:bookmarkEnd w:id="2257"/>
      <w:r>
        <w:fldChar w:fldCharType="begin"/>
      </w:r>
      <w:r>
        <w:instrText xml:space="preserve"> XE "bg (Slide Background)" </w:instrText>
      </w:r>
      <w:r>
        <w:fldChar w:fldCharType="end"/>
      </w:r>
    </w:p>
    <w:p w:rsidR="000A156F" w:rsidRDefault="00A9721F">
      <w:pPr>
        <w:pStyle w:val="Definition-Field"/>
      </w:pPr>
      <w:r>
        <w:t xml:space="preserve">a.   </w:t>
      </w:r>
      <w:r>
        <w:rPr>
          <w:i/>
        </w:rPr>
        <w:t>The standard states that the bwMode attribute specifies that the bac</w:t>
      </w:r>
      <w:r>
        <w:rPr>
          <w:i/>
        </w:rPr>
        <w:t>kground should be rendered using only black and white coloring.</w:t>
      </w:r>
    </w:p>
    <w:p w:rsidR="000A156F" w:rsidRDefault="00A9721F">
      <w:pPr>
        <w:pStyle w:val="Definition-Field2"/>
      </w:pPr>
      <w:r>
        <w:t>PowerPoint uses the bwMode attribute to specify how the background should be rendered when in black and white mode.</w:t>
      </w:r>
    </w:p>
    <w:p w:rsidR="000A156F" w:rsidRDefault="00A9721F">
      <w:pPr>
        <w:pStyle w:val="Heading3"/>
      </w:pPr>
      <w:bookmarkStart w:id="2258" w:name="section_c1fadbc6d06348b9b57ea043969cf6c5"/>
      <w:bookmarkStart w:id="2259" w:name="_Toc181684155"/>
      <w:r>
        <w:t>Part 1 Section 19.3.1.2, bgPr (Background Properties)</w:t>
      </w:r>
      <w:bookmarkEnd w:id="2258"/>
      <w:bookmarkEnd w:id="2259"/>
      <w:r>
        <w:fldChar w:fldCharType="begin"/>
      </w:r>
      <w:r>
        <w:instrText xml:space="preserve"> XE "bgPr (Background P</w:instrText>
      </w:r>
      <w:r>
        <w:instrText xml:space="preserve">roperties)" </w:instrText>
      </w:r>
      <w:r>
        <w:fldChar w:fldCharType="end"/>
      </w:r>
    </w:p>
    <w:p w:rsidR="000A156F" w:rsidRDefault="00A9721F">
      <w:pPr>
        <w:pStyle w:val="Definition-Field"/>
      </w:pPr>
      <w:r>
        <w:t xml:space="preserve">a.   </w:t>
      </w:r>
      <w:r>
        <w:rPr>
          <w:i/>
        </w:rPr>
        <w:t>The standard states the grpFill element is a valid child of the bgPr element.</w:t>
      </w:r>
    </w:p>
    <w:p w:rsidR="000A156F" w:rsidRDefault="00A9721F">
      <w:pPr>
        <w:pStyle w:val="Definition-Field2"/>
      </w:pPr>
      <w:r>
        <w:t>PowerPoint does not allow the grpFill element to be a child of the bgPr element.</w:t>
      </w:r>
    </w:p>
    <w:p w:rsidR="000A156F" w:rsidRDefault="00A9721F">
      <w:pPr>
        <w:pStyle w:val="Heading3"/>
      </w:pPr>
      <w:bookmarkStart w:id="2260" w:name="section_17c4667a47c248f69f112565d029009c"/>
      <w:bookmarkStart w:id="2261" w:name="_Toc181684156"/>
      <w:r>
        <w:t>Part 1 Section 19.3.1.4, blipFill (Picture Fill)</w:t>
      </w:r>
      <w:bookmarkEnd w:id="2260"/>
      <w:bookmarkEnd w:id="2261"/>
      <w:r>
        <w:fldChar w:fldCharType="begin"/>
      </w:r>
      <w:r>
        <w:instrText xml:space="preserve"> XE "blipFill (Picture Fill)"</w:instrText>
      </w:r>
      <w:r>
        <w:instrText xml:space="preserv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0A156F" w:rsidRDefault="00A9721F">
      <w:pPr>
        <w:pStyle w:val="Heading3"/>
      </w:pPr>
      <w:bookmarkStart w:id="2262" w:name="section_27570db3ce3e4a0693da4c8f1b7552ed"/>
      <w:bookmarkStart w:id="2263" w:name="_Toc181684157"/>
      <w:r>
        <w:t>Part 1 Section 19.3.1.16, cSld (Common Slide Data)</w:t>
      </w:r>
      <w:bookmarkEnd w:id="2262"/>
      <w:bookmarkEnd w:id="2263"/>
      <w:r>
        <w:fldChar w:fldCharType="begin"/>
      </w:r>
      <w:r>
        <w:instrText xml:space="preserve"> XE "cSld (Common Slide D</w:instrText>
      </w:r>
      <w:r>
        <w:instrText xml:space="preserve">ata)" </w:instrText>
      </w:r>
      <w:r>
        <w:fldChar w:fldCharType="end"/>
      </w:r>
    </w:p>
    <w:p w:rsidR="000A156F" w:rsidRDefault="00A9721F">
      <w:pPr>
        <w:pStyle w:val="Definition-Field"/>
      </w:pPr>
      <w:r>
        <w:t xml:space="preserve">a.   </w:t>
      </w:r>
      <w:r>
        <w:rPr>
          <w:i/>
        </w:rPr>
        <w:t>The standard states that the controls element is a valid child of the cSld element.</w:t>
      </w:r>
    </w:p>
    <w:p w:rsidR="000A156F" w:rsidRDefault="00A9721F">
      <w:pPr>
        <w:pStyle w:val="Definition-Field2"/>
      </w:pPr>
      <w:r>
        <w:t>PowerPoint does not allow the controls element to be a child of the cSld element when the cSld's parent element is the handoutMaster element, the notes elemen</w:t>
      </w:r>
      <w:r>
        <w:t>t, or the notesMaster element.</w:t>
      </w:r>
    </w:p>
    <w:p w:rsidR="000A156F" w:rsidRDefault="00A9721F">
      <w:pPr>
        <w:pStyle w:val="Heading3"/>
      </w:pPr>
      <w:bookmarkStart w:id="2264" w:name="section_ded574023d5740a88662fa25bfffe329"/>
      <w:bookmarkStart w:id="2265" w:name="_Toc181684158"/>
      <w:r>
        <w:t>Part 1 Section 19.3.1.17, custData (Customer Data)</w:t>
      </w:r>
      <w:bookmarkEnd w:id="2264"/>
      <w:bookmarkEnd w:id="2265"/>
      <w:r>
        <w:fldChar w:fldCharType="begin"/>
      </w:r>
      <w:r>
        <w:instrText xml:space="preserve"> XE "custData (Customer Data)" </w:instrText>
      </w:r>
      <w:r>
        <w:fldChar w:fldCharType="end"/>
      </w:r>
    </w:p>
    <w:p w:rsidR="000A156F" w:rsidRDefault="00A9721F">
      <w:pPr>
        <w:pStyle w:val="Definition-Field"/>
      </w:pPr>
      <w:r>
        <w:t xml:space="preserve">a.   </w:t>
      </w:r>
      <w:r>
        <w:rPr>
          <w:i/>
        </w:rPr>
        <w:t>The standard does not specify what type of resource the id attribute should refer to.</w:t>
      </w:r>
    </w:p>
    <w:p w:rsidR="000A156F" w:rsidRDefault="00A9721F">
      <w:pPr>
        <w:pStyle w:val="Definition-Field2"/>
      </w:pPr>
      <w:r>
        <w:t xml:space="preserve">PowerPoint requires that the id attribute specify </w:t>
      </w:r>
      <w:r>
        <w:t>a valid data store item.</w:t>
      </w:r>
    </w:p>
    <w:p w:rsidR="000A156F" w:rsidRDefault="00A9721F">
      <w:pPr>
        <w:pStyle w:val="Heading3"/>
      </w:pPr>
      <w:bookmarkStart w:id="2266" w:name="section_9ddba7fd39a643d3b232fb6d0de0047b"/>
      <w:bookmarkStart w:id="2267" w:name="_Toc181684159"/>
      <w:r>
        <w:t>Part 1 Section 19.3.1.23, grpSpPr (Group Shape Properties)</w:t>
      </w:r>
      <w:bookmarkEnd w:id="2266"/>
      <w:bookmarkEnd w:id="2267"/>
      <w:r>
        <w:fldChar w:fldCharType="begin"/>
      </w:r>
      <w:r>
        <w:instrText xml:space="preserve"> XE "grpSpPr (Group Shape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0A156F" w:rsidRDefault="00A9721F">
      <w:pPr>
        <w:pStyle w:val="Heading3"/>
      </w:pPr>
      <w:bookmarkStart w:id="2268" w:name="section_8951fadae9e043209013222984368104"/>
      <w:bookmarkStart w:id="2269" w:name="_Toc181684160"/>
      <w:r>
        <w:t>Part 1 Section 19.3.1.27, notesMaster (Notes Master)</w:t>
      </w:r>
      <w:bookmarkEnd w:id="2268"/>
      <w:bookmarkEnd w:id="2269"/>
      <w:r>
        <w:fldChar w:fldCharType="begin"/>
      </w:r>
      <w:r>
        <w:instrText xml:space="preserve"> XE "notesMaster (Notes Master)" </w:instrText>
      </w:r>
      <w:r>
        <w:fldChar w:fldCharType="end"/>
      </w:r>
    </w:p>
    <w:p w:rsidR="000A156F" w:rsidRDefault="00A9721F">
      <w:pPr>
        <w:pStyle w:val="Definition-Field"/>
      </w:pPr>
      <w:r>
        <w:t xml:space="preserve">a.   </w:t>
      </w:r>
      <w:r>
        <w:rPr>
          <w:i/>
        </w:rPr>
        <w:t>The standard states that the notesMaster element specifies an instance of a handout master slide.</w:t>
      </w:r>
    </w:p>
    <w:p w:rsidR="000A156F" w:rsidRDefault="00A9721F">
      <w:pPr>
        <w:pStyle w:val="Definition-Field2"/>
      </w:pPr>
      <w:r>
        <w:t xml:space="preserve">PowerPoint uses </w:t>
      </w:r>
      <w:r>
        <w:t>the notesMaster element to specify an instance of a notes master slide.</w:t>
      </w:r>
    </w:p>
    <w:p w:rsidR="000A156F" w:rsidRDefault="00A9721F">
      <w:pPr>
        <w:pStyle w:val="Definition-Field"/>
      </w:pPr>
      <w:r>
        <w:t xml:space="preserve">b.   </w:t>
      </w:r>
      <w:r>
        <w:rPr>
          <w:i/>
        </w:rPr>
        <w:t>The standard does not specify the z-order of shapes in a notes master slide.</w:t>
      </w:r>
    </w:p>
    <w:p w:rsidR="000A156F" w:rsidRDefault="00A9721F">
      <w:pPr>
        <w:pStyle w:val="Definition-Field2"/>
      </w:pPr>
      <w:r>
        <w:t>PowerPoint renders the shape elements contained in a notesMaster element in the order they are written</w:t>
      </w:r>
      <w:r>
        <w:t>.  The note text is always rendered in the foreground.</w:t>
      </w:r>
    </w:p>
    <w:p w:rsidR="000A156F" w:rsidRDefault="00A9721F">
      <w:pPr>
        <w:pStyle w:val="Heading3"/>
      </w:pPr>
      <w:bookmarkStart w:id="2270" w:name="section_714b0f8f82e346b0a46d91c29471c19e"/>
      <w:bookmarkStart w:id="2271" w:name="_Toc181684161"/>
      <w:r>
        <w:lastRenderedPageBreak/>
        <w:t>Part 1 Section 19.3.1.28, notesStyle (Notes Text Style)</w:t>
      </w:r>
      <w:bookmarkEnd w:id="2270"/>
      <w:bookmarkEnd w:id="2271"/>
      <w:r>
        <w:fldChar w:fldCharType="begin"/>
      </w:r>
      <w:r>
        <w:instrText xml:space="preserve"> XE "notesStyle (Notes Text Style)" </w:instrText>
      </w:r>
      <w:r>
        <w:fldChar w:fldCharType="end"/>
      </w:r>
    </w:p>
    <w:p w:rsidR="000A156F" w:rsidRDefault="00A9721F">
      <w:pPr>
        <w:pStyle w:val="Definition-Field"/>
      </w:pPr>
      <w:r>
        <w:t xml:space="preserve">a.   </w:t>
      </w:r>
      <w:r>
        <w:rPr>
          <w:i/>
        </w:rPr>
        <w:t>The standard states that the notesStyle element specifies the text formatting style for all text withi</w:t>
      </w:r>
      <w:r>
        <w:rPr>
          <w:i/>
        </w:rPr>
        <w:t>n a notes slide.</w:t>
      </w:r>
    </w:p>
    <w:p w:rsidR="000A156F" w:rsidRDefault="00A9721F">
      <w:pPr>
        <w:pStyle w:val="Definition-Field2"/>
      </w:pPr>
      <w:r>
        <w:t>PowerPoint uses the notesStyle element to specify the text in the notes section of the notes page view and the notes master view.</w:t>
      </w:r>
    </w:p>
    <w:p w:rsidR="000A156F" w:rsidRDefault="00A9721F">
      <w:pPr>
        <w:pStyle w:val="Heading3"/>
      </w:pPr>
      <w:bookmarkStart w:id="2272" w:name="section_df435a6d5e4b4d95b0e273276d70cc5b"/>
      <w:bookmarkStart w:id="2273" w:name="_Toc181684162"/>
      <w:r>
        <w:t>Part 1 Section 19.3.1.33, nvPr (Non-Visual Properties)</w:t>
      </w:r>
      <w:bookmarkEnd w:id="2272"/>
      <w:bookmarkEnd w:id="2273"/>
      <w:r>
        <w:fldChar w:fldCharType="begin"/>
      </w:r>
      <w:r>
        <w:instrText xml:space="preserve"> XE "nvPr (Non-Visual Properties)" </w:instrText>
      </w:r>
      <w:r>
        <w:fldChar w:fldCharType="end"/>
      </w:r>
    </w:p>
    <w:p w:rsidR="000A156F" w:rsidRDefault="00A9721F">
      <w:pPr>
        <w:pStyle w:val="Definition-Field"/>
      </w:pPr>
      <w:r>
        <w:t xml:space="preserve">a.   </w:t>
      </w:r>
      <w:r>
        <w:rPr>
          <w:i/>
        </w:rPr>
        <w:t>The standard</w:t>
      </w:r>
      <w:r>
        <w:rPr>
          <w:i/>
        </w:rPr>
        <w:t xml:space="preserve"> states that the isPhoto attribute specifies whether the picture belongs to a photo album.</w:t>
      </w:r>
    </w:p>
    <w:p w:rsidR="000A156F" w:rsidRDefault="00A9721F">
      <w:pPr>
        <w:pStyle w:val="Definition-Field2"/>
      </w:pPr>
      <w:r>
        <w:t>PowerPoint does not support the isPhoto attribute when nvPr's parent element is the nvGrpSpPr element.</w:t>
      </w:r>
    </w:p>
    <w:p w:rsidR="000A156F" w:rsidRDefault="00A9721F">
      <w:pPr>
        <w:pStyle w:val="Definition-Field"/>
      </w:pPr>
      <w:r>
        <w:t xml:space="preserve">b.   </w:t>
      </w:r>
      <w:r>
        <w:rPr>
          <w:i/>
        </w:rPr>
        <w:t xml:space="preserve">The standard states that the ph element is a valid child </w:t>
      </w:r>
      <w:r>
        <w:rPr>
          <w:i/>
        </w:rPr>
        <w:t>of the nvPr element.</w:t>
      </w:r>
    </w:p>
    <w:p w:rsidR="000A156F" w:rsidRDefault="00A9721F">
      <w:pPr>
        <w:pStyle w:val="Definition-Field2"/>
      </w:pPr>
      <w:r>
        <w:t>PowerPoint does not allow the ph element to be a child of the nvPr element when the nvPr's parent element is the nvCxnSpPr element or the nvGrpSpPr element.</w:t>
      </w:r>
    </w:p>
    <w:p w:rsidR="000A156F" w:rsidRDefault="00A9721F">
      <w:pPr>
        <w:pStyle w:val="Heading3"/>
      </w:pPr>
      <w:bookmarkStart w:id="2274" w:name="section_3ec954b237a641da897304a592c91fb2"/>
      <w:bookmarkStart w:id="2275" w:name="_Toc181684163"/>
      <w:r>
        <w:t>Part 1 Section 19.3.1.36, ph (Placeholder Shape)</w:t>
      </w:r>
      <w:bookmarkEnd w:id="2274"/>
      <w:bookmarkEnd w:id="2275"/>
      <w:r>
        <w:fldChar w:fldCharType="begin"/>
      </w:r>
      <w:r>
        <w:instrText xml:space="preserve"> XE "ph (Placeholder Shape)" </w:instrText>
      </w:r>
      <w:r>
        <w:fldChar w:fldCharType="end"/>
      </w:r>
    </w:p>
    <w:p w:rsidR="000A156F" w:rsidRDefault="00A9721F">
      <w:pPr>
        <w:pStyle w:val="Definition-Field"/>
      </w:pPr>
      <w:r>
        <w:t xml:space="preserve">a.   </w:t>
      </w:r>
      <w:r>
        <w:rPr>
          <w:i/>
        </w:rPr>
        <w:t>The standard states that the placeholder idx attribute specifies the placeholder index.</w:t>
      </w:r>
    </w:p>
    <w:p w:rsidR="000A156F" w:rsidRDefault="00A9721F">
      <w:r>
        <w:t>The following additional restrictions apply to values on the idx attribute:</w:t>
      </w:r>
    </w:p>
    <w:p w:rsidR="000A156F" w:rsidRDefault="00A9721F">
      <w:pPr>
        <w:pStyle w:val="ListParagraph"/>
        <w:numPr>
          <w:ilvl w:val="0"/>
          <w:numId w:val="124"/>
        </w:numPr>
        <w:contextualSpacing/>
      </w:pPr>
      <w:r>
        <w:t>For a placeholder on a Master, Notes Master, Handout Master, Slide Layout or Notes Sl</w:t>
      </w:r>
      <w:r>
        <w:t>ide the value shall not be equal to 0xffffffff.</w:t>
      </w:r>
    </w:p>
    <w:p w:rsidR="000A156F" w:rsidRDefault="00A9721F">
      <w:pPr>
        <w:pStyle w:val="ListParagraph"/>
        <w:numPr>
          <w:ilvl w:val="0"/>
          <w:numId w:val="124"/>
        </w:numPr>
        <w:contextualSpacing/>
      </w:pPr>
      <w:r>
        <w:t>For any two placeholders on a Master, Notes Master, Handout Master, Slide Layout or Notes Slide the values must not be the same.</w:t>
      </w:r>
    </w:p>
    <w:p w:rsidR="000A156F" w:rsidRDefault="00A9721F">
      <w:pPr>
        <w:pStyle w:val="ListParagraph"/>
        <w:numPr>
          <w:ilvl w:val="0"/>
          <w:numId w:val="124"/>
        </w:numPr>
        <w:contextualSpacing/>
      </w:pPr>
      <w:r>
        <w:t>For any two placeholders on a Slide with values not equal to 0xffffffff the val</w:t>
      </w:r>
      <w:r>
        <w:t>ues shall not be the same.</w:t>
      </w:r>
    </w:p>
    <w:p w:rsidR="000A156F" w:rsidRDefault="00A9721F">
      <w:pPr>
        <w:pStyle w:val="ListParagraph"/>
        <w:numPr>
          <w:ilvl w:val="0"/>
          <w:numId w:val="124"/>
        </w:numPr>
      </w:pPr>
      <w:r>
        <w:t>For a placeholder on a Slide with a value not equal to 0xffffffff there shall be a placeholder on the Slide Layout with the same attribute values.</w:t>
      </w:r>
    </w:p>
    <w:p w:rsidR="000A156F" w:rsidRDefault="00A9721F">
      <w:pPr>
        <w:pStyle w:val="Definition-Field"/>
      </w:pPr>
      <w:r>
        <w:t xml:space="preserve">b.   </w:t>
      </w:r>
      <w:r>
        <w:rPr>
          <w:i/>
        </w:rPr>
        <w:t>The standard does not specify the inheritance model of a placeholder shape.</w:t>
      </w:r>
    </w:p>
    <w:p w:rsidR="000A156F" w:rsidRDefault="00A9721F">
      <w:pPr>
        <w:pStyle w:val="Definition-Field2"/>
      </w:pPr>
      <w:r>
        <w:t>P</w:t>
      </w:r>
      <w:r>
        <w:t>owerPoint defines a placeholder shape on a slide to inherit from the slide layout placeholder with the same idx value, and a placeholder shape on a notes slide to inherit from the notes master placeholder with the same type value.</w:t>
      </w:r>
    </w:p>
    <w:p w:rsidR="000A156F" w:rsidRDefault="00A9721F">
      <w:pPr>
        <w:pStyle w:val="Heading3"/>
      </w:pPr>
      <w:bookmarkStart w:id="2276" w:name="section_ba458354c051419ea68e0027cbac03bc"/>
      <w:bookmarkStart w:id="2277" w:name="_Toc181684164"/>
      <w:r>
        <w:t>Part 1 Section 19.3.1.38,</w:t>
      </w:r>
      <w:r>
        <w:t xml:space="preserve"> sld (Presentation Slide)</w:t>
      </w:r>
      <w:bookmarkEnd w:id="2276"/>
      <w:bookmarkEnd w:id="2277"/>
      <w:r>
        <w:fldChar w:fldCharType="begin"/>
      </w:r>
      <w:r>
        <w:instrText xml:space="preserve"> XE "sld (Presentation Slide)" </w:instrText>
      </w:r>
      <w:r>
        <w:fldChar w:fldCharType="end"/>
      </w:r>
    </w:p>
    <w:p w:rsidR="000A156F" w:rsidRDefault="00A9721F">
      <w:pPr>
        <w:pStyle w:val="Definition-Field"/>
      </w:pPr>
      <w:r>
        <w:t xml:space="preserve">a.   </w:t>
      </w:r>
      <w:r>
        <w:rPr>
          <w:i/>
        </w:rPr>
        <w:t>The standard states that the sld element specifies a slide within a slide list, where the slide list is used to specify an ordering of slides.</w:t>
      </w:r>
    </w:p>
    <w:p w:rsidR="000A156F" w:rsidRDefault="00A9721F">
      <w:pPr>
        <w:pStyle w:val="Definition-Field2"/>
      </w:pPr>
      <w:r>
        <w:t xml:space="preserve">PowerPoint uses this element to specify the root </w:t>
      </w:r>
      <w:r>
        <w:t>element of a slide part.</w:t>
      </w:r>
    </w:p>
    <w:p w:rsidR="000A156F" w:rsidRDefault="00A9721F">
      <w:pPr>
        <w:pStyle w:val="Heading3"/>
      </w:pPr>
      <w:bookmarkStart w:id="2278" w:name="section_72be4c606c0f4d7f9876c9aef5af30a5"/>
      <w:bookmarkStart w:id="2279" w:name="_Toc181684165"/>
      <w:r>
        <w:t>Part 1 Section 19.3.1.44, spPr (Shape Properties)</w:t>
      </w:r>
      <w:bookmarkEnd w:id="2278"/>
      <w:bookmarkEnd w:id="2279"/>
      <w:r>
        <w:fldChar w:fldCharType="begin"/>
      </w:r>
      <w:r>
        <w:instrText xml:space="preserve"> XE "spPr (Shape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A156F" w:rsidRDefault="00A9721F">
      <w:pPr>
        <w:pStyle w:val="Heading3"/>
      </w:pPr>
      <w:bookmarkStart w:id="2280" w:name="section_48a966ea81ee44d28ed033607dc865e5"/>
      <w:bookmarkStart w:id="2281" w:name="_Toc181684166"/>
      <w:r>
        <w:lastRenderedPageBreak/>
        <w:t>Part 1 Section 19.3.1.53, xfrm (2D Transform for Graphic Frame)</w:t>
      </w:r>
      <w:bookmarkEnd w:id="2280"/>
      <w:bookmarkEnd w:id="2281"/>
      <w:r>
        <w:fldChar w:fldCharType="begin"/>
      </w:r>
      <w:r>
        <w:instrText xml:space="preserve"> XE "xfrm (2D Transform for Graphic Frame)"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0A156F" w:rsidRDefault="00A9721F">
      <w:pPr>
        <w:pStyle w:val="Heading3"/>
      </w:pPr>
      <w:bookmarkStart w:id="2282" w:name="section_4a7566a1d53e40df8b001876715deeec"/>
      <w:bookmarkStart w:id="2283" w:name="_Toc181684167"/>
      <w:r>
        <w:t>Part 1 Section 19.3.2.1, control (Embedded Control)</w:t>
      </w:r>
      <w:bookmarkEnd w:id="2282"/>
      <w:bookmarkEnd w:id="2283"/>
      <w:r>
        <w:fldChar w:fldCharType="begin"/>
      </w:r>
      <w:r>
        <w:instrText xml:space="preserve"> XE "control (Embedded Control)" </w:instrText>
      </w:r>
      <w:r>
        <w:fldChar w:fldCharType="end"/>
      </w:r>
    </w:p>
    <w:p w:rsidR="000A156F" w:rsidRDefault="00A9721F">
      <w:pPr>
        <w:pStyle w:val="Definition-Field2"/>
      </w:pPr>
      <w:r>
        <w:rPr>
          <w:i/>
        </w:rPr>
        <w:t>For additional notes that apply to this portion of the standard, please see the notes fo</w:t>
      </w:r>
      <w:r>
        <w:rPr>
          <w:i/>
        </w:rPr>
        <w:t xml:space="preserve">r </w:t>
      </w:r>
      <w:hyperlink w:anchor="Section_3301d159111e4ccf9211af5d1f4a0a03">
        <w:r>
          <w:rPr>
            <w:rStyle w:val="Hyperlink"/>
          </w:rPr>
          <w:t>oleObj, §19.3.2.4(b, c)</w:t>
        </w:r>
      </w:hyperlink>
      <w:r>
        <w:rPr>
          <w:i/>
        </w:rPr>
        <w:t>.</w:t>
      </w:r>
    </w:p>
    <w:p w:rsidR="000A156F" w:rsidRDefault="00A9721F">
      <w:pPr>
        <w:pStyle w:val="Definition-Field"/>
      </w:pPr>
      <w:r>
        <w:t xml:space="preserve">a.   </w:t>
      </w:r>
      <w:r>
        <w:rPr>
          <w:i/>
        </w:rPr>
        <w:t>The standard states that the showAsIcon attribute specifies whether the Embedded object will be shown as an icon or using its native representation.</w:t>
      </w:r>
    </w:p>
    <w:p w:rsidR="000A156F" w:rsidRDefault="00A9721F">
      <w:pPr>
        <w:pStyle w:val="Definition-Field2"/>
      </w:pPr>
      <w:r>
        <w:t>PowerPoint u</w:t>
      </w:r>
      <w:r>
        <w:t>ses the showAsIcon attribute to specify the user preference to show the Embedded object as an icon rather than using its native representation.</w:t>
      </w:r>
    </w:p>
    <w:p w:rsidR="000A156F" w:rsidRDefault="00A9721F">
      <w:pPr>
        <w:pStyle w:val="Definition-Field"/>
      </w:pPr>
      <w:r>
        <w:t xml:space="preserve">b.   </w:t>
      </w:r>
      <w:r>
        <w:rPr>
          <w:i/>
        </w:rPr>
        <w:t>The standard states that the imgW attribute specifies the width of the embedded control.</w:t>
      </w:r>
    </w:p>
    <w:p w:rsidR="000A156F" w:rsidRDefault="00A9721F">
      <w:pPr>
        <w:pStyle w:val="Definition-Field2"/>
      </w:pPr>
      <w:r>
        <w:t>PowerPoint uses th</w:t>
      </w:r>
      <w:r>
        <w:t>e imgW attribute to specify the width of the thumbnail image.</w:t>
      </w:r>
    </w:p>
    <w:p w:rsidR="000A156F" w:rsidRDefault="00A9721F">
      <w:pPr>
        <w:pStyle w:val="Definition-Field"/>
      </w:pPr>
      <w:r>
        <w:t xml:space="preserve">c.   </w:t>
      </w:r>
      <w:r>
        <w:rPr>
          <w:i/>
        </w:rPr>
        <w:t>The standard states that the imgH attribute specifies the height of the embedded control.</w:t>
      </w:r>
    </w:p>
    <w:p w:rsidR="000A156F" w:rsidRDefault="00A9721F">
      <w:pPr>
        <w:pStyle w:val="Definition-Field2"/>
      </w:pPr>
      <w:r>
        <w:t>PowerPoint uses the imgH attribute to specify the height of the thumbnail image.</w:t>
      </w:r>
    </w:p>
    <w:p w:rsidR="000A156F" w:rsidRDefault="00A9721F">
      <w:pPr>
        <w:pStyle w:val="Heading3"/>
      </w:pPr>
      <w:bookmarkStart w:id="2284" w:name="section_31c096fd0b5c4a08baf1480296df51b3"/>
      <w:bookmarkStart w:id="2285" w:name="_Toc181684168"/>
      <w:r>
        <w:t>Part 1 Section 19.</w:t>
      </w:r>
      <w:r>
        <w:t>3.2.2, embed (Embedded Object or Control)</w:t>
      </w:r>
      <w:bookmarkEnd w:id="2284"/>
      <w:bookmarkEnd w:id="2285"/>
      <w:r>
        <w:fldChar w:fldCharType="begin"/>
      </w:r>
      <w:r>
        <w:instrText xml:space="preserve"> XE "embed (Embedded Object or Control)" </w:instrText>
      </w:r>
      <w:r>
        <w:fldChar w:fldCharType="end"/>
      </w:r>
    </w:p>
    <w:p w:rsidR="000A156F" w:rsidRDefault="00A9721F">
      <w:pPr>
        <w:pStyle w:val="Definition-Field"/>
      </w:pPr>
      <w:r>
        <w:t xml:space="preserve">a.   </w:t>
      </w:r>
      <w:r>
        <w:rPr>
          <w:i/>
        </w:rPr>
        <w:t>The standard states that the embed element specifies an Embedded object or Control that is embedded within the presentation.</w:t>
      </w:r>
    </w:p>
    <w:p w:rsidR="000A156F" w:rsidRDefault="00A9721F">
      <w:pPr>
        <w:pStyle w:val="Definition-Field2"/>
      </w:pPr>
      <w:r>
        <w:t>PowerPoint uses the embed element to spec</w:t>
      </w:r>
      <w:r>
        <w:t>ify an OLE object that is embedded within the presentation.</w:t>
      </w:r>
    </w:p>
    <w:p w:rsidR="000A156F" w:rsidRDefault="00A9721F">
      <w:pPr>
        <w:pStyle w:val="Heading3"/>
      </w:pPr>
      <w:bookmarkStart w:id="2286" w:name="section_7abe11b8b25046bc877dd4490aa3d1ff"/>
      <w:bookmarkStart w:id="2287" w:name="_Toc181684169"/>
      <w:r>
        <w:t>Part 1 Section 19.3.2.3, link (Linked Object or Control)</w:t>
      </w:r>
      <w:bookmarkEnd w:id="2286"/>
      <w:bookmarkEnd w:id="2287"/>
      <w:r>
        <w:fldChar w:fldCharType="begin"/>
      </w:r>
      <w:r>
        <w:instrText xml:space="preserve"> XE "link (Linked Object or Control)" </w:instrText>
      </w:r>
      <w:r>
        <w:fldChar w:fldCharType="end"/>
      </w:r>
    </w:p>
    <w:p w:rsidR="000A156F" w:rsidRDefault="00A9721F">
      <w:pPr>
        <w:pStyle w:val="Definition-Field"/>
      </w:pPr>
      <w:r>
        <w:t xml:space="preserve">a.   </w:t>
      </w:r>
      <w:r>
        <w:rPr>
          <w:i/>
        </w:rPr>
        <w:t xml:space="preserve">The standard states that the link element specifies a link to an external Embedded object or </w:t>
      </w:r>
      <w:r>
        <w:rPr>
          <w:i/>
        </w:rPr>
        <w:t>Control.</w:t>
      </w:r>
    </w:p>
    <w:p w:rsidR="000A156F" w:rsidRDefault="00A9721F">
      <w:pPr>
        <w:pStyle w:val="Definition-Field2"/>
      </w:pPr>
      <w:r>
        <w:t>PowerPoint the link this element to specify a link to an external OLE object.</w:t>
      </w:r>
    </w:p>
    <w:p w:rsidR="000A156F" w:rsidRDefault="00A9721F">
      <w:pPr>
        <w:pStyle w:val="Heading3"/>
      </w:pPr>
      <w:bookmarkStart w:id="2288" w:name="section_3301d159111e4ccf9211af5d1f4a0a03"/>
      <w:bookmarkStart w:id="2289" w:name="_Toc181684170"/>
      <w:r>
        <w:t>Part 1 Section 19.3.2.4, oleObj (Global Element for Embedded objects and Controls)</w:t>
      </w:r>
      <w:bookmarkEnd w:id="2288"/>
      <w:bookmarkEnd w:id="2289"/>
      <w:r>
        <w:fldChar w:fldCharType="begin"/>
      </w:r>
      <w:r>
        <w:instrText xml:space="preserve"> XE "oleObj (Global Element for Embedded objects and Controls)" </w:instrText>
      </w:r>
      <w:r>
        <w:fldChar w:fldCharType="end"/>
      </w:r>
    </w:p>
    <w:p w:rsidR="000A156F" w:rsidRDefault="00A9721F">
      <w:pPr>
        <w:pStyle w:val="Definition-Field2"/>
      </w:pPr>
      <w:r>
        <w:rPr>
          <w:i/>
        </w:rPr>
        <w:t>For additional notes</w:t>
      </w:r>
      <w:r>
        <w:rPr>
          <w:i/>
        </w:rPr>
        <w:t xml:space="preserve"> that apply to this portion of the standard, please see the notes for </w:t>
      </w:r>
      <w:hyperlink w:anchor="Section_4a7566a1d53e40df8b001876715deeec">
        <w:r>
          <w:rPr>
            <w:rStyle w:val="Hyperlink"/>
          </w:rPr>
          <w:t>control, §19.3.2.1(a-c)</w:t>
        </w:r>
      </w:hyperlink>
      <w:r>
        <w:rPr>
          <w:i/>
        </w:rPr>
        <w:t>.</w:t>
      </w:r>
    </w:p>
    <w:p w:rsidR="000A156F" w:rsidRDefault="00A9721F">
      <w:pPr>
        <w:pStyle w:val="Definition-Field"/>
      </w:pPr>
      <w:r>
        <w:t xml:space="preserve">a.   </w:t>
      </w:r>
      <w:r>
        <w:rPr>
          <w:i/>
        </w:rPr>
        <w:t>The standard states that the oleObj element specifies a global element to be used for an Embe</w:t>
      </w:r>
      <w:r>
        <w:rPr>
          <w:i/>
        </w:rPr>
        <w:t>dded object and Control.</w:t>
      </w:r>
    </w:p>
    <w:p w:rsidR="000A156F" w:rsidRDefault="00A9721F">
      <w:pPr>
        <w:pStyle w:val="Definition-Field2"/>
      </w:pPr>
      <w:r>
        <w:t>PowerPoint uses the oleObj element to specify a global element to be used for an OLE object.</w:t>
      </w:r>
    </w:p>
    <w:p w:rsidR="000A156F" w:rsidRDefault="00A9721F">
      <w:pPr>
        <w:pStyle w:val="Definition-Field"/>
      </w:pPr>
      <w:r>
        <w:t xml:space="preserve">b.   </w:t>
      </w:r>
      <w:r>
        <w:rPr>
          <w:i/>
        </w:rPr>
        <w:t>The standard states that the imgW attribute specifies the width of the embedded control.</w:t>
      </w:r>
    </w:p>
    <w:p w:rsidR="000A156F" w:rsidRDefault="00A9721F">
      <w:pPr>
        <w:pStyle w:val="Definition-Field2"/>
      </w:pPr>
      <w:r>
        <w:t>PowerPoint uses the imgW attribute to specif</w:t>
      </w:r>
      <w:r>
        <w:t>y the width of the thumbnail image.</w:t>
      </w:r>
    </w:p>
    <w:p w:rsidR="000A156F" w:rsidRDefault="00A9721F">
      <w:pPr>
        <w:pStyle w:val="Definition-Field"/>
      </w:pPr>
      <w:r>
        <w:t xml:space="preserve">c.   </w:t>
      </w:r>
      <w:r>
        <w:rPr>
          <w:i/>
        </w:rPr>
        <w:t>The standard states that the imgH attribute specifies the height of the embedded control.</w:t>
      </w:r>
    </w:p>
    <w:p w:rsidR="000A156F" w:rsidRDefault="00A9721F">
      <w:pPr>
        <w:pStyle w:val="Definition-Field2"/>
      </w:pPr>
      <w:r>
        <w:t>PowerPoint uses the imgH attribute to specify the height of the thumbnail image.</w:t>
      </w:r>
    </w:p>
    <w:p w:rsidR="000A156F" w:rsidRDefault="00A9721F">
      <w:pPr>
        <w:pStyle w:val="Definition-Field"/>
      </w:pPr>
      <w:r>
        <w:lastRenderedPageBreak/>
        <w:t xml:space="preserve">d.   </w:t>
      </w:r>
      <w:r>
        <w:rPr>
          <w:i/>
        </w:rPr>
        <w:t>The standard states that the showAsIcon</w:t>
      </w:r>
      <w:r>
        <w:rPr>
          <w:i/>
        </w:rPr>
        <w:t xml:space="preserve"> attribute specifies whether the Embedded object will be shown as an icon or using its native representation.</w:t>
      </w:r>
    </w:p>
    <w:p w:rsidR="000A156F" w:rsidRDefault="00A9721F">
      <w:pPr>
        <w:pStyle w:val="Definition-Field2"/>
      </w:pPr>
      <w:r>
        <w:t>PowerPoint uses the showAsIcon attribute to specify the user preference to show the Embedded object as an icon rather than using its native repres</w:t>
      </w:r>
      <w:r>
        <w:t>entation.</w:t>
      </w:r>
    </w:p>
    <w:p w:rsidR="000A156F" w:rsidRDefault="00A9721F">
      <w:pPr>
        <w:pStyle w:val="Heading3"/>
      </w:pPr>
      <w:bookmarkStart w:id="2290" w:name="section_b46caa4c8bed427cb3fe54b98941ab76"/>
      <w:bookmarkStart w:id="2291" w:name="_Toc181684171"/>
      <w:r>
        <w:t>Part 1 Section 19.3.3.1, tag (Programmable Extensibility Tag)</w:t>
      </w:r>
      <w:bookmarkEnd w:id="2290"/>
      <w:bookmarkEnd w:id="2291"/>
      <w:r>
        <w:fldChar w:fldCharType="begin"/>
      </w:r>
      <w:r>
        <w:instrText xml:space="preserve"> XE "tag (Programmable Extensibility Tag)" </w:instrText>
      </w:r>
      <w:r>
        <w:fldChar w:fldCharType="end"/>
      </w:r>
    </w:p>
    <w:p w:rsidR="000A156F" w:rsidRDefault="00A9721F">
      <w:pPr>
        <w:pStyle w:val="Definition-Field"/>
      </w:pPr>
      <w:r>
        <w:t xml:space="preserve">a.   </w:t>
      </w:r>
      <w:r>
        <w:rPr>
          <w:i/>
        </w:rPr>
        <w:t>The standard implies that the name attribute is optional.</w:t>
      </w:r>
    </w:p>
    <w:p w:rsidR="000A156F" w:rsidRDefault="00A9721F">
      <w:pPr>
        <w:pStyle w:val="Definition-Field2"/>
      </w:pPr>
      <w:r>
        <w:t>PowerPoint requires the name attribute.</w:t>
      </w:r>
    </w:p>
    <w:p w:rsidR="000A156F" w:rsidRDefault="00A9721F">
      <w:pPr>
        <w:pStyle w:val="Definition-Field"/>
      </w:pPr>
      <w:r>
        <w:t xml:space="preserve">b.   </w:t>
      </w:r>
      <w:r>
        <w:rPr>
          <w:i/>
        </w:rPr>
        <w:t xml:space="preserve">The standard implies that the </w:t>
      </w:r>
      <w:r>
        <w:rPr>
          <w:i/>
        </w:rPr>
        <w:t>val attribute is optional.</w:t>
      </w:r>
    </w:p>
    <w:p w:rsidR="000A156F" w:rsidRDefault="00A9721F">
      <w:pPr>
        <w:pStyle w:val="Definition-Field2"/>
      </w:pPr>
      <w:r>
        <w:t>PowerPoint requires the val attribute.</w:t>
      </w:r>
    </w:p>
    <w:p w:rsidR="000A156F" w:rsidRDefault="00A9721F">
      <w:pPr>
        <w:pStyle w:val="Definition-Field"/>
      </w:pPr>
      <w:r>
        <w:t xml:space="preserve">c.   </w:t>
      </w:r>
      <w:r>
        <w:rPr>
          <w:i/>
        </w:rPr>
        <w:t>The standard places no restrictions on the string value of the name attribute.</w:t>
      </w:r>
    </w:p>
    <w:p w:rsidR="000A156F" w:rsidRDefault="00A9721F">
      <w:pPr>
        <w:pStyle w:val="Definition-Field2"/>
      </w:pPr>
      <w:r>
        <w:t xml:space="preserve">PowerPoint requires that, within the scope of the tagLst parent element, the value for the name attribute </w:t>
      </w:r>
      <w:r>
        <w:t>must be case-insensitively unique.</w:t>
      </w:r>
    </w:p>
    <w:p w:rsidR="000A156F" w:rsidRDefault="00A9721F">
      <w:pPr>
        <w:pStyle w:val="Definition-Field"/>
      </w:pPr>
      <w:r>
        <w:t xml:space="preserve">d.   </w:t>
      </w:r>
      <w:r>
        <w:rPr>
          <w:i/>
        </w:rPr>
        <w:t>The standard does not specify where recorded slide animation timings are stored.</w:t>
      </w:r>
    </w:p>
    <w:p w:rsidR="000A156F" w:rsidRDefault="00A9721F">
      <w:r>
        <w:t>PowerPoint uses a special tag to store slide auto advance timings for the presentation slide that contains this tag. The name attribute</w:t>
      </w:r>
      <w:r>
        <w:t xml:space="preserve"> has a value of "TIMING", and the value attribute has a value that is a valid Time_string, as specified in the following grammar:</w:t>
      </w:r>
    </w:p>
    <w:p w:rsidR="000A156F" w:rsidRDefault="00A9721F">
      <w:r>
        <w:t>Time_string  =  *Time_element          ; time string can have zero or more elements</w:t>
      </w:r>
    </w:p>
    <w:p w:rsidR="000A156F" w:rsidRDefault="00A9721F">
      <w:r>
        <w:t>Time_element = "|" Time_value          ; e</w:t>
      </w:r>
      <w:r>
        <w:t>ach element is preceded by character "|"</w:t>
      </w:r>
    </w:p>
    <w:p w:rsidR="000A156F" w:rsidRDefault="00A9721F">
      <w:r>
        <w:t>Time_value   = 1*DIGIT "." 1*1 DIGIT   ; seconds with rounding to 1/10th of a second</w:t>
      </w:r>
    </w:p>
    <w:p w:rsidR="000A156F" w:rsidRDefault="00A9721F">
      <w:r>
        <w:t>Each time value specifies the animation build advance time of the slide. Time zero is the time that this slide displays during a s</w:t>
      </w:r>
      <w:r>
        <w:t xml:space="preserve">lide show. The time unit is in seconds, rounded to 1/10th of a second. If there is no animation on a presentation slide, the value attribute contains an empty string. </w:t>
      </w:r>
    </w:p>
    <w:p w:rsidR="000A156F" w:rsidRDefault="00A9721F">
      <w:r>
        <w:t xml:space="preserve"> [</w:t>
      </w:r>
      <w:r>
        <w:rPr>
          <w:i/>
        </w:rPr>
        <w:t>Example:</w:t>
      </w:r>
    </w:p>
    <w:p w:rsidR="000A156F" w:rsidRDefault="00A9721F">
      <w:r>
        <w:t>&lt;p:tag name="TIMING" val="|2.9|3.5|4.6"/&gt;</w:t>
      </w:r>
    </w:p>
    <w:p w:rsidR="000A156F" w:rsidRDefault="00A9721F">
      <w:r>
        <w:rPr>
          <w:i/>
        </w:rPr>
        <w:t>end example</w:t>
      </w:r>
      <w:r>
        <w:t>]</w:t>
      </w:r>
    </w:p>
    <w:p w:rsidR="000A156F" w:rsidRDefault="00A9721F">
      <w:pPr>
        <w:pStyle w:val="Heading3"/>
      </w:pPr>
      <w:bookmarkStart w:id="2292" w:name="section_c171db8d5e194fbbb38d379bca4fa451"/>
      <w:bookmarkStart w:id="2293" w:name="_Toc181684172"/>
      <w:r>
        <w:t>Part 1 Section 19.4.1,</w:t>
      </w:r>
      <w:r>
        <w:t xml:space="preserve"> cm (Comment)</w:t>
      </w:r>
      <w:bookmarkEnd w:id="2292"/>
      <w:bookmarkEnd w:id="2293"/>
      <w:r>
        <w:fldChar w:fldCharType="begin"/>
      </w:r>
      <w:r>
        <w:instrText xml:space="preserve"> XE "cm (Comment)" </w:instrText>
      </w:r>
      <w:r>
        <w:fldChar w:fldCharType="end"/>
      </w:r>
    </w:p>
    <w:p w:rsidR="000A156F" w:rsidRDefault="00A9721F">
      <w:pPr>
        <w:pStyle w:val="Definition-Field"/>
      </w:pPr>
      <w:r>
        <w:t xml:space="preserve">a.   </w:t>
      </w:r>
      <w:r>
        <w:rPr>
          <w:i/>
        </w:rPr>
        <w:t>The standard does not state how to interpret the position information of the pos child element.</w:t>
      </w:r>
    </w:p>
    <w:p w:rsidR="000A156F" w:rsidRDefault="00A9721F">
      <w:pPr>
        <w:pStyle w:val="Definition-Field2"/>
      </w:pPr>
      <w:r>
        <w:t>PowerPoint interprets the position information to be relative to the top, left corner of the slide.</w:t>
      </w:r>
    </w:p>
    <w:p w:rsidR="000A156F" w:rsidRDefault="00A9721F">
      <w:pPr>
        <w:pStyle w:val="Heading3"/>
      </w:pPr>
      <w:bookmarkStart w:id="2294" w:name="section_34ada90e9cb84efbb20e027eed8c75e3"/>
      <w:bookmarkStart w:id="2295" w:name="_Toc181684173"/>
      <w:r>
        <w:t>Part 1 Section 19.4.</w:t>
      </w:r>
      <w:r>
        <w:t>5, pos (Comment Position)</w:t>
      </w:r>
      <w:bookmarkEnd w:id="2294"/>
      <w:bookmarkEnd w:id="2295"/>
      <w:r>
        <w:fldChar w:fldCharType="begin"/>
      </w:r>
      <w:r>
        <w:instrText xml:space="preserve"> XE "pos (Comment Position)"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A156F" w:rsidRDefault="00A9721F">
      <w:pPr>
        <w:pStyle w:val="Definition-Field"/>
      </w:pPr>
      <w:r>
        <w:t xml:space="preserve">a.   </w:t>
      </w:r>
      <w:r>
        <w:rPr>
          <w:i/>
        </w:rPr>
        <w:t xml:space="preserve">The standard states </w:t>
      </w:r>
      <w:r>
        <w:rPr>
          <w:i/>
        </w:rPr>
        <w:t>that the y attribute specifies a coordinate on the x-axis.</w:t>
      </w:r>
    </w:p>
    <w:p w:rsidR="000A156F" w:rsidRDefault="00A9721F">
      <w:pPr>
        <w:pStyle w:val="Definition-Field2"/>
      </w:pPr>
      <w:r>
        <w:t>PowerPoint uses this attribute to specify a coordinate on the y-axis.</w:t>
      </w:r>
    </w:p>
    <w:p w:rsidR="000A156F" w:rsidRDefault="00A9721F">
      <w:pPr>
        <w:pStyle w:val="Definition-Field"/>
      </w:pPr>
      <w:r>
        <w:t xml:space="preserve">b.   </w:t>
      </w:r>
      <w:r>
        <w:rPr>
          <w:i/>
        </w:rPr>
        <w:t>The standard states that the possible values of the x and y attributes are defined by the ST_Coordinate simple type ("</w:t>
      </w:r>
      <w:hyperlink r:id="rId161">
        <w:r>
          <w:rPr>
            <w:rStyle w:val="Hyperlink"/>
          </w:rPr>
          <w:t>[ISO/IEC-29500-1]</w:t>
        </w:r>
      </w:hyperlink>
      <w:r>
        <w:rPr>
          <w:i/>
        </w:rPr>
        <w:t xml:space="preserve"> §20.1.10.16; ST_Coordinate (Coordinate)").</w:t>
      </w:r>
    </w:p>
    <w:p w:rsidR="000A156F" w:rsidRDefault="00A9721F">
      <w:pPr>
        <w:pStyle w:val="Definition-Field2"/>
      </w:pPr>
      <w:r>
        <w:lastRenderedPageBreak/>
        <w:t>PowerPoint treats the possible values of the x and y attributes as they were defined by the ST_ EighthPointMeasure simple type ("[ISO</w:t>
      </w:r>
      <w:r>
        <w:t>/IEC-29500-1] §17.18.23; ST_EighthPointMeasure").</w:t>
      </w:r>
    </w:p>
    <w:p w:rsidR="000A156F" w:rsidRDefault="00A9721F">
      <w:pPr>
        <w:pStyle w:val="Heading3"/>
      </w:pPr>
      <w:bookmarkStart w:id="2296" w:name="section_e9355b9351844ffe842863a08858da2f"/>
      <w:bookmarkStart w:id="2297" w:name="_Toc181684174"/>
      <w:r>
        <w:t>Part 1 Section 19.5.1, anim (Animate)</w:t>
      </w:r>
      <w:bookmarkEnd w:id="2296"/>
      <w:bookmarkEnd w:id="2297"/>
      <w:r>
        <w:fldChar w:fldCharType="begin"/>
      </w:r>
      <w:r>
        <w:instrText xml:space="preserve"> XE "anim (Animate)"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Definition-Field"/>
      </w:pPr>
      <w:r>
        <w:t xml:space="preserve">a.   </w:t>
      </w:r>
      <w:r>
        <w:rPr>
          <w:i/>
        </w:rPr>
        <w:t>The standard states that the to attribute specifies the ending value for the animation as a percentage.</w:t>
      </w:r>
    </w:p>
    <w:p w:rsidR="000A156F" w:rsidRDefault="00A9721F">
      <w:pPr>
        <w:pStyle w:val="Definition-Field2"/>
      </w:pPr>
      <w:r>
        <w:t>PowerPoint does not specify the ending value as a percentage.</w:t>
      </w:r>
    </w:p>
    <w:p w:rsidR="000A156F" w:rsidRDefault="00A9721F">
      <w:pPr>
        <w:pStyle w:val="Definition-Field"/>
      </w:pPr>
      <w:r>
        <w:t xml:space="preserve">b.   </w:t>
      </w:r>
      <w:r>
        <w:rPr>
          <w:i/>
        </w:rPr>
        <w:t xml:space="preserve">The standard does not state a default value for the </w:t>
      </w:r>
      <w:r>
        <w:rPr>
          <w:i/>
        </w:rPr>
        <w:t>calcmode attribute.</w:t>
      </w:r>
    </w:p>
    <w:p w:rsidR="000A156F" w:rsidRDefault="00A9721F">
      <w:pPr>
        <w:pStyle w:val="Definition-Field2"/>
      </w:pPr>
      <w:r>
        <w:t>PowerPoint uses a default value of lin for the calcmode attribute.</w:t>
      </w:r>
    </w:p>
    <w:p w:rsidR="000A156F" w:rsidRDefault="00A9721F">
      <w:pPr>
        <w:pStyle w:val="Definition-Field"/>
      </w:pPr>
      <w:r>
        <w:t xml:space="preserve">c.   </w:t>
      </w:r>
      <w:r>
        <w:rPr>
          <w:i/>
        </w:rPr>
        <w:t>The standard does not state a default value for the valueType attribute.</w:t>
      </w:r>
    </w:p>
    <w:p w:rsidR="000A156F" w:rsidRDefault="00A9721F">
      <w:pPr>
        <w:pStyle w:val="Definition-Field2"/>
      </w:pPr>
      <w:r>
        <w:t>PowerPoint uses a default value of num for the valueType attribute.</w:t>
      </w:r>
    </w:p>
    <w:p w:rsidR="000A156F" w:rsidRDefault="00A9721F">
      <w:pPr>
        <w:pStyle w:val="Definition-Field"/>
      </w:pPr>
      <w:r>
        <w:t xml:space="preserve">d.   </w:t>
      </w:r>
      <w:r>
        <w:rPr>
          <w:i/>
        </w:rPr>
        <w:t xml:space="preserve">The standard </w:t>
      </w:r>
      <w:r>
        <w:rPr>
          <w:i/>
        </w:rPr>
        <w:t>states that the values of the from attribute are defined by the XML Schema string datatype.</w:t>
      </w:r>
    </w:p>
    <w:p w:rsidR="000A156F" w:rsidRDefault="00A9721F">
      <w:pPr>
        <w:pStyle w:val="Definition-Field2"/>
      </w:pPr>
      <w:r>
        <w:t xml:space="preserve">PowerPoint requires that the value of the from attribute be specified as a preset string value, as specified in the to element; as a string that represents a color </w:t>
      </w:r>
      <w:r>
        <w:t>value and a real number, as specified in the to element; or as an arbitrary string.</w:t>
      </w:r>
    </w:p>
    <w:p w:rsidR="000A156F" w:rsidRDefault="00A9721F">
      <w:pPr>
        <w:pStyle w:val="Definition-Field"/>
      </w:pPr>
      <w:r>
        <w:t xml:space="preserve">e.   </w:t>
      </w:r>
      <w:r>
        <w:rPr>
          <w:i/>
        </w:rPr>
        <w:t>The standard states that the values of the by attribute are defined by the XML Schema string datatype.</w:t>
      </w:r>
    </w:p>
    <w:p w:rsidR="000A156F" w:rsidRDefault="00A9721F">
      <w:pPr>
        <w:pStyle w:val="Definition-Field2"/>
      </w:pPr>
      <w:r>
        <w:t>PowerPoint requires that the value of the by attribute be specif</w:t>
      </w:r>
      <w:r>
        <w:t>ied as a preset string value, as specified in the to element; as a string that represents a color value and a real number, as specified in the to element; or as an arbitrary string.</w:t>
      </w:r>
    </w:p>
    <w:p w:rsidR="000A156F" w:rsidRDefault="00A9721F">
      <w:pPr>
        <w:pStyle w:val="Definition-Field"/>
      </w:pPr>
      <w:r>
        <w:t xml:space="preserve">f.   </w:t>
      </w:r>
      <w:r>
        <w:rPr>
          <w:i/>
        </w:rPr>
        <w:t>The standard states that the values of the to attribute are defined b</w:t>
      </w:r>
      <w:r>
        <w:rPr>
          <w:i/>
        </w:rPr>
        <w:t>y the XML Schema string datatype.</w:t>
      </w:r>
    </w:p>
    <w:p w:rsidR="000A156F" w:rsidRDefault="00A9721F">
      <w:pPr>
        <w:pStyle w:val="Definition-Field2"/>
      </w:pPr>
      <w:r>
        <w:t xml:space="preserve">PowerPoint requires that the value of the to attribute be specified as a preset string value, as specified in the to element; as a string that represents a color value and a real number, as specified in the to element; or </w:t>
      </w:r>
      <w:r>
        <w:t>as an arbitrary string.</w:t>
      </w:r>
    </w:p>
    <w:p w:rsidR="000A156F" w:rsidRDefault="00A9721F">
      <w:pPr>
        <w:pStyle w:val="Definition-Field"/>
      </w:pPr>
      <w:r>
        <w:t xml:space="preserve">g.   </w:t>
      </w:r>
      <w:r>
        <w:rPr>
          <w:i/>
        </w:rPr>
        <w:t>The standard places no restrictions on the number of attrName child elements parented by the attrNameLst element when inside the anim element.</w:t>
      </w:r>
    </w:p>
    <w:p w:rsidR="000A156F" w:rsidRDefault="00A9721F">
      <w:pPr>
        <w:pStyle w:val="Definition-Field2"/>
      </w:pPr>
      <w:r>
        <w:t>PowerPoint requires that there be at least one attrName child element of the attrNam</w:t>
      </w:r>
      <w:r>
        <w:t>eLst element when inside an anim element; if more than one attrName child element exists, only the first will be used.</w:t>
      </w:r>
    </w:p>
    <w:p w:rsidR="000A156F" w:rsidRDefault="00A9721F">
      <w:pPr>
        <w:pStyle w:val="Definition-Field"/>
      </w:pPr>
      <w:r>
        <w:t xml:space="preserve">h.   </w:t>
      </w:r>
      <w:r>
        <w:rPr>
          <w:i/>
        </w:rPr>
        <w:t>The standard places no restrictions on the relationship between the by, from, and to attributes.</w:t>
      </w:r>
    </w:p>
    <w:p w:rsidR="000A156F" w:rsidRDefault="00A9721F">
      <w:r>
        <w:t>The attributes from, to, and by mus</w:t>
      </w:r>
      <w:r>
        <w:t>t be used in one of the following combinations:</w:t>
      </w:r>
    </w:p>
    <w:p w:rsidR="000A156F" w:rsidRDefault="00A9721F">
      <w:pPr>
        <w:pStyle w:val="ListParagraph"/>
        <w:numPr>
          <w:ilvl w:val="0"/>
          <w:numId w:val="125"/>
        </w:numPr>
        <w:contextualSpacing/>
      </w:pPr>
      <w:r>
        <w:t>from_to: when the from and to attributes have values of the same type;</w:t>
      </w:r>
    </w:p>
    <w:p w:rsidR="000A156F" w:rsidRDefault="00A9721F">
      <w:pPr>
        <w:pStyle w:val="ListParagraph"/>
        <w:numPr>
          <w:ilvl w:val="0"/>
          <w:numId w:val="125"/>
        </w:numPr>
        <w:contextualSpacing/>
      </w:pPr>
      <w:r>
        <w:t>from_by: when the from and by attributes have values of the same type but the to attribute is undefined;</w:t>
      </w:r>
    </w:p>
    <w:p w:rsidR="000A156F" w:rsidRDefault="00A9721F">
      <w:pPr>
        <w:pStyle w:val="ListParagraph"/>
        <w:numPr>
          <w:ilvl w:val="0"/>
          <w:numId w:val="125"/>
        </w:numPr>
        <w:contextualSpacing/>
      </w:pPr>
      <w:r>
        <w:t>to_only: when the to attribute i</w:t>
      </w:r>
      <w:r>
        <w:t>s defined but the from attribute is undefined;</w:t>
      </w:r>
    </w:p>
    <w:p w:rsidR="000A156F" w:rsidRDefault="00A9721F">
      <w:pPr>
        <w:pStyle w:val="ListParagraph"/>
        <w:numPr>
          <w:ilvl w:val="0"/>
          <w:numId w:val="125"/>
        </w:numPr>
      </w:pPr>
      <w:r>
        <w:t>by_only: when the by attribute is defined but the from and to attributes are undefined.</w:t>
      </w:r>
    </w:p>
    <w:p w:rsidR="000A156F" w:rsidRDefault="00A9721F">
      <w:r>
        <w:t>All other combinations are invalid.</w:t>
      </w:r>
    </w:p>
    <w:p w:rsidR="000A156F" w:rsidRDefault="00A9721F">
      <w:r>
        <w:lastRenderedPageBreak/>
        <w:t>When the attributes are used with a to_only combination or a by-only combination, the</w:t>
      </w:r>
      <w:r>
        <w:t xml:space="preserve"> following criteria determine the starting value of the animation:</w:t>
      </w:r>
    </w:p>
    <w:p w:rsidR="000A156F" w:rsidRDefault="00A9721F">
      <w:pPr>
        <w:pStyle w:val="ListParagraph"/>
        <w:numPr>
          <w:ilvl w:val="0"/>
          <w:numId w:val="126"/>
        </w:numPr>
        <w:contextualSpacing/>
      </w:pPr>
      <w:r>
        <w:t>when the attribute valueType is num, the starting value is 0.0;</w:t>
      </w:r>
    </w:p>
    <w:p w:rsidR="000A156F" w:rsidRDefault="00A9721F">
      <w:pPr>
        <w:pStyle w:val="ListParagraph"/>
        <w:numPr>
          <w:ilvl w:val="0"/>
          <w:numId w:val="126"/>
        </w:numPr>
        <w:contextualSpacing/>
      </w:pPr>
      <w:r>
        <w:t>when the attribute valueType is clr, the starting value is an HSL color in which all spectrum is 0;</w:t>
      </w:r>
    </w:p>
    <w:p w:rsidR="000A156F" w:rsidRDefault="00A9721F">
      <w:pPr>
        <w:pStyle w:val="ListParagraph"/>
        <w:numPr>
          <w:ilvl w:val="0"/>
          <w:numId w:val="126"/>
        </w:numPr>
      </w:pPr>
      <w:r>
        <w:t>when the attribute valueT</w:t>
      </w:r>
      <w:r>
        <w:t xml:space="preserve">ype is str, the starting value is an empty string. </w:t>
      </w:r>
    </w:p>
    <w:p w:rsidR="000A156F" w:rsidRDefault="00A9721F">
      <w:r>
        <w:t>The attribute by is not used in from_to and to_only combinations.</w:t>
      </w:r>
    </w:p>
    <w:p w:rsidR="000A156F" w:rsidRDefault="00A9721F">
      <w:pPr>
        <w:pStyle w:val="Definition-Field"/>
      </w:pPr>
      <w:r>
        <w:t xml:space="preserve">i.   </w:t>
      </w:r>
      <w:r>
        <w:rPr>
          <w:i/>
        </w:rPr>
        <w:t>The standard places no restrictions on what the grpId attribute refers to.</w:t>
      </w:r>
    </w:p>
    <w:p w:rsidR="000A156F" w:rsidRDefault="00A9721F">
      <w:pPr>
        <w:pStyle w:val="Definition-Field2"/>
      </w:pPr>
      <w:r>
        <w:t>PowerPoint requires that the grpId attribute reference a g</w:t>
      </w:r>
      <w:r>
        <w:t>roup that is present in the timing tree.</w:t>
      </w:r>
    </w:p>
    <w:p w:rsidR="000A156F" w:rsidRDefault="00A9721F">
      <w:pPr>
        <w:pStyle w:val="Heading3"/>
      </w:pPr>
      <w:bookmarkStart w:id="2298" w:name="section_9636f7f358e3408d9880d0799fb26b0f"/>
      <w:bookmarkStart w:id="2299" w:name="_Toc181684175"/>
      <w:r>
        <w:t>Part 1 Section 19.5.2, animClr (Animate Color Behavior)</w:t>
      </w:r>
      <w:bookmarkEnd w:id="2298"/>
      <w:bookmarkEnd w:id="2299"/>
      <w:r>
        <w:fldChar w:fldCharType="begin"/>
      </w:r>
      <w:r>
        <w:instrText xml:space="preserve"> XE "animClr (Animate Color Behavior)"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Definition-Field"/>
      </w:pPr>
      <w:r>
        <w:t xml:space="preserve">a.   </w:t>
      </w:r>
      <w:r>
        <w:rPr>
          <w:i/>
        </w:rPr>
        <w:t>The standard does not state a default value for the clrSpc attribute.</w:t>
      </w:r>
    </w:p>
    <w:p w:rsidR="000A156F" w:rsidRDefault="00A9721F">
      <w:pPr>
        <w:pStyle w:val="Definition-Field2"/>
      </w:pPr>
      <w:r>
        <w:t>PowerPoint uses a default value of rgb for the clrSpc attribute.</w:t>
      </w:r>
    </w:p>
    <w:p w:rsidR="000A156F" w:rsidRDefault="00A9721F">
      <w:pPr>
        <w:pStyle w:val="Definition-Field"/>
      </w:pPr>
      <w:r>
        <w:t xml:space="preserve">b.   </w:t>
      </w:r>
      <w:r>
        <w:rPr>
          <w:i/>
        </w:rPr>
        <w:t xml:space="preserve">The standard places no restrictions on the value of the </w:t>
      </w:r>
      <w:r>
        <w:rPr>
          <w:i/>
        </w:rPr>
        <w:t>attrNameLst element when inside the animClr element.</w:t>
      </w:r>
    </w:p>
    <w:p w:rsidR="000A156F" w:rsidRDefault="00A9721F">
      <w:pPr>
        <w:pStyle w:val="Definition-Field2"/>
      </w:pPr>
      <w:r>
        <w:t>PowerPoint requires that the valid values of the attrNameLst element are: style.color, fillcolor, and stroke.color. The attrNameLst element must have at least one of these values and only the first one i</w:t>
      </w:r>
      <w:r>
        <w:t>s effective (additional are ignored).</w:t>
      </w:r>
    </w:p>
    <w:p w:rsidR="000A156F" w:rsidRDefault="00A9721F">
      <w:pPr>
        <w:pStyle w:val="Definition-Field"/>
      </w:pPr>
      <w:r>
        <w:t xml:space="preserve">c.   </w:t>
      </w:r>
      <w:r>
        <w:rPr>
          <w:i/>
        </w:rPr>
        <w:t>The standard does not specify how to interpret the from child element, the to child element, or the by child element of the animClr element.</w:t>
      </w:r>
    </w:p>
    <w:p w:rsidR="000A156F" w:rsidRDefault="00A9721F">
      <w:r>
        <w:t xml:space="preserve">In Office, the child element from defines the animation starting color, </w:t>
      </w:r>
      <w:r>
        <w:t>child element to defines the animation ending color, and child element by defines a color value that shall be added to the starting color to reach the ending color.</w:t>
      </w:r>
    </w:p>
    <w:p w:rsidR="000A156F" w:rsidRDefault="00A9721F">
      <w:r>
        <w:t>If the child element from is not specified, color black is used as the starting color. Eith</w:t>
      </w:r>
      <w:r>
        <w:t>er the child element by or the child element to shall be specified. If both the by and the to elements are specified, the by element is ignored.</w:t>
      </w:r>
    </w:p>
    <w:p w:rsidR="000A156F" w:rsidRDefault="00A9721F">
      <w:pPr>
        <w:pStyle w:val="Heading3"/>
      </w:pPr>
      <w:bookmarkStart w:id="2300" w:name="section_33e6ed593ef1404fb137ad2c503f16ac"/>
      <w:bookmarkStart w:id="2301" w:name="_Toc181684176"/>
      <w:r>
        <w:t>Part 1 Section 19.5.3, animEffect (Animate Effect)</w:t>
      </w:r>
      <w:bookmarkEnd w:id="2300"/>
      <w:bookmarkEnd w:id="2301"/>
      <w:r>
        <w:fldChar w:fldCharType="begin"/>
      </w:r>
      <w:r>
        <w:instrText xml:space="preserve"> XE "animEffect (Animate Effect)" </w:instrText>
      </w:r>
      <w:r>
        <w:fldChar w:fldCharType="end"/>
      </w:r>
    </w:p>
    <w:p w:rsidR="000A156F" w:rsidRDefault="00A9721F">
      <w:pPr>
        <w:pStyle w:val="Definition-Field2"/>
      </w:pPr>
      <w:r>
        <w:rPr>
          <w:i/>
        </w:rPr>
        <w:t>For additional notes tha</w:t>
      </w:r>
      <w:r>
        <w:rPr>
          <w:i/>
        </w:rPr>
        <w:t xml:space="preserve">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Heading3"/>
      </w:pPr>
      <w:bookmarkStart w:id="2302" w:name="section_498c3cfa652c49b3a82c33fd94468af8"/>
      <w:bookmarkStart w:id="2303" w:name="_Toc181684177"/>
      <w:r>
        <w:t>Part 1 Section 19.5.4, animMotion (Animate Motion)</w:t>
      </w:r>
      <w:bookmarkEnd w:id="2302"/>
      <w:bookmarkEnd w:id="2303"/>
      <w:r>
        <w:fldChar w:fldCharType="begin"/>
      </w:r>
      <w:r>
        <w:instrText xml:space="preserve"> XE "animMotion (Animate Motion)" </w:instrText>
      </w:r>
      <w:r>
        <w:fldChar w:fldCharType="end"/>
      </w:r>
    </w:p>
    <w:p w:rsidR="000A156F" w:rsidRDefault="00A9721F">
      <w:pPr>
        <w:pStyle w:val="Definition-Field2"/>
      </w:pPr>
      <w:r>
        <w:rPr>
          <w:i/>
        </w:rPr>
        <w:t>For additional notes</w:t>
      </w:r>
      <w:r>
        <w:rPr>
          <w:i/>
        </w:rPr>
        <w:t xml:space="preserve"> that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Definition-Field"/>
      </w:pPr>
      <w:r>
        <w:t xml:space="preserve">a.   </w:t>
      </w:r>
      <w:r>
        <w:rPr>
          <w:i/>
        </w:rPr>
        <w:t>The standard does not state a default value for the origin attribute.</w:t>
      </w:r>
    </w:p>
    <w:p w:rsidR="000A156F" w:rsidRDefault="00A9721F">
      <w:pPr>
        <w:pStyle w:val="Definition-Field2"/>
      </w:pPr>
      <w:r>
        <w:t>PowerPoint uses a default va</w:t>
      </w:r>
      <w:r>
        <w:t>lue of parent for the origin attribute.</w:t>
      </w:r>
    </w:p>
    <w:p w:rsidR="000A156F" w:rsidRDefault="00A9721F">
      <w:pPr>
        <w:pStyle w:val="Definition-Field"/>
      </w:pPr>
      <w:r>
        <w:t xml:space="preserve">b.   </w:t>
      </w:r>
      <w:r>
        <w:rPr>
          <w:i/>
        </w:rPr>
        <w:t>The standard states that the path attribute of the animMotion element specifies a path primitive for the animation motion.</w:t>
      </w:r>
    </w:p>
    <w:p w:rsidR="000A156F" w:rsidRDefault="00A9721F">
      <w:r>
        <w:t>In Office, the path is specified by defining an action, and typically some coordinates t</w:t>
      </w:r>
      <w:r>
        <w:t>hat go along with the action.</w:t>
      </w:r>
    </w:p>
    <w:p w:rsidR="000A156F" w:rsidRDefault="00A9721F">
      <w:r>
        <w:lastRenderedPageBreak/>
        <w:t>The allowed action types that are understood within a path are listed in the following table. If the action is expressed in UPPERCASE, the following point(s) are to be interpreted as absolute coordinates, or a point on the sli</w:t>
      </w:r>
      <w:r>
        <w:t xml:space="preserve">de. If in lowercase, the point(s) are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A156F" w:rsidRDefault="00A9721F">
            <w:pPr>
              <w:pStyle w:val="TableHeaderText"/>
            </w:pPr>
            <w:r>
              <w:t>Action Types</w:t>
            </w:r>
          </w:p>
        </w:tc>
      </w:tr>
      <w:tr w:rsidR="000A156F" w:rsidTr="000A156F">
        <w:tc>
          <w:tcPr>
            <w:tcW w:w="0" w:type="auto"/>
            <w:vAlign w:val="center"/>
          </w:tcPr>
          <w:p w:rsidR="000A156F" w:rsidRDefault="00A9721F">
            <w:pPr>
              <w:pStyle w:val="TableBodyText"/>
            </w:pPr>
            <w:r>
              <w:rPr>
                <w:b/>
              </w:rPr>
              <w:t>M</w:t>
            </w:r>
            <w:r>
              <w:t xml:space="preserve"> = move to </w:t>
            </w:r>
          </w:p>
        </w:tc>
        <w:tc>
          <w:tcPr>
            <w:tcW w:w="0" w:type="auto"/>
            <w:vAlign w:val="center"/>
          </w:tcPr>
          <w:p w:rsidR="000A156F" w:rsidRDefault="00A9721F">
            <w:pPr>
              <w:pStyle w:val="TableBodyText"/>
            </w:pPr>
            <w:r>
              <w:t>This action requires a point (two coordinates).</w:t>
            </w:r>
          </w:p>
          <w:p w:rsidR="000A156F" w:rsidRDefault="00A9721F">
            <w:pPr>
              <w:pStyle w:val="TableBodyText"/>
            </w:pPr>
            <w:r>
              <w:t>Move to will move the object to the specified point. It doe</w:t>
            </w:r>
            <w:r>
              <w:t>s not animate the object to that point; rather, the object will snap to the given point.</w:t>
            </w:r>
          </w:p>
        </w:tc>
      </w:tr>
      <w:tr w:rsidR="000A156F" w:rsidTr="000A156F">
        <w:tc>
          <w:tcPr>
            <w:tcW w:w="0" w:type="auto"/>
            <w:vAlign w:val="center"/>
          </w:tcPr>
          <w:p w:rsidR="000A156F" w:rsidRDefault="00A9721F">
            <w:pPr>
              <w:pStyle w:val="TableBodyText"/>
            </w:pPr>
            <w:r>
              <w:rPr>
                <w:b/>
              </w:rPr>
              <w:t>L</w:t>
            </w:r>
            <w:r>
              <w:t xml:space="preserve"> = line to</w:t>
            </w:r>
          </w:p>
        </w:tc>
        <w:tc>
          <w:tcPr>
            <w:tcW w:w="0" w:type="auto"/>
            <w:vAlign w:val="center"/>
          </w:tcPr>
          <w:p w:rsidR="000A156F" w:rsidRDefault="00A9721F">
            <w:pPr>
              <w:pStyle w:val="TableBodyText"/>
            </w:pPr>
            <w:r>
              <w:t>This action requires a point (two coordinates).</w:t>
            </w:r>
          </w:p>
          <w:p w:rsidR="000A156F" w:rsidRDefault="00A9721F">
            <w:pPr>
              <w:pStyle w:val="TableBodyText"/>
            </w:pPr>
            <w:r>
              <w:t xml:space="preserve">Line to will move the object to the specified point along the shortest line between the current point and </w:t>
            </w:r>
            <w:r>
              <w:t>the specified point.</w:t>
            </w:r>
          </w:p>
        </w:tc>
      </w:tr>
      <w:tr w:rsidR="000A156F" w:rsidTr="000A156F">
        <w:tc>
          <w:tcPr>
            <w:tcW w:w="0" w:type="auto"/>
            <w:vAlign w:val="center"/>
          </w:tcPr>
          <w:p w:rsidR="000A156F" w:rsidRDefault="00A9721F">
            <w:pPr>
              <w:pStyle w:val="TableBodyText"/>
            </w:pPr>
            <w:r>
              <w:rPr>
                <w:b/>
              </w:rPr>
              <w:t>C</w:t>
            </w:r>
            <w:r>
              <w:t xml:space="preserve"> = curve to</w:t>
            </w:r>
          </w:p>
        </w:tc>
        <w:tc>
          <w:tcPr>
            <w:tcW w:w="0" w:type="auto"/>
            <w:vAlign w:val="center"/>
          </w:tcPr>
          <w:p w:rsidR="000A156F" w:rsidRDefault="00A9721F">
            <w:pPr>
              <w:pStyle w:val="TableBodyText"/>
            </w:pPr>
            <w:r>
              <w:t>This action requires three points (six coordinates).</w:t>
            </w:r>
          </w:p>
          <w:p w:rsidR="000A156F" w:rsidRDefault="00A9721F">
            <w:pPr>
              <w:pStyle w:val="TableBodyText"/>
            </w:pPr>
            <w:r>
              <w:t>Curve to will move the object along a cubic Bezier curve specified by the current point and the three provided points.</w:t>
            </w:r>
          </w:p>
        </w:tc>
      </w:tr>
      <w:tr w:rsidR="000A156F" w:rsidTr="000A156F">
        <w:tc>
          <w:tcPr>
            <w:tcW w:w="0" w:type="auto"/>
            <w:vAlign w:val="center"/>
          </w:tcPr>
          <w:p w:rsidR="000A156F" w:rsidRDefault="00A9721F">
            <w:pPr>
              <w:pStyle w:val="TableBodyText"/>
            </w:pPr>
            <w:r>
              <w:rPr>
                <w:b/>
              </w:rPr>
              <w:t>Z</w:t>
            </w:r>
            <w:r>
              <w:t>=close loop</w:t>
            </w:r>
          </w:p>
        </w:tc>
        <w:tc>
          <w:tcPr>
            <w:tcW w:w="0" w:type="auto"/>
            <w:vAlign w:val="center"/>
          </w:tcPr>
          <w:p w:rsidR="000A156F" w:rsidRDefault="00A9721F">
            <w:pPr>
              <w:pStyle w:val="TableBodyText"/>
            </w:pPr>
            <w:r>
              <w:t>This action requires no points.</w:t>
            </w:r>
          </w:p>
          <w:p w:rsidR="000A156F" w:rsidRDefault="00A9721F">
            <w:pPr>
              <w:pStyle w:val="TableBodyText"/>
            </w:pPr>
            <w:r>
              <w:t>Clo</w:t>
            </w:r>
            <w:r>
              <w:t>se loop will move the object back to where it was before the path began along the shortest line between the current point and the starting point.</w:t>
            </w:r>
          </w:p>
          <w:p w:rsidR="000A156F" w:rsidRDefault="00A9721F">
            <w:pPr>
              <w:pStyle w:val="TableBodyText"/>
            </w:pPr>
            <w:r>
              <w:t>The relative (lowercase) and absolute (uppercase) versions of this action are identical.</w:t>
            </w:r>
          </w:p>
        </w:tc>
      </w:tr>
      <w:tr w:rsidR="000A156F" w:rsidTr="000A156F">
        <w:tc>
          <w:tcPr>
            <w:tcW w:w="0" w:type="auto"/>
            <w:vAlign w:val="center"/>
          </w:tcPr>
          <w:p w:rsidR="000A156F" w:rsidRDefault="00A9721F">
            <w:pPr>
              <w:pStyle w:val="TableBodyText"/>
            </w:pPr>
            <w:r>
              <w:rPr>
                <w:b/>
              </w:rPr>
              <w:t>E</w:t>
            </w:r>
            <w:r>
              <w:t>=end</w:t>
            </w:r>
          </w:p>
        </w:tc>
        <w:tc>
          <w:tcPr>
            <w:tcW w:w="0" w:type="auto"/>
            <w:vAlign w:val="center"/>
          </w:tcPr>
          <w:p w:rsidR="000A156F" w:rsidRDefault="00A9721F">
            <w:pPr>
              <w:pStyle w:val="TableBodyText"/>
            </w:pPr>
            <w:r>
              <w:t>This action re</w:t>
            </w:r>
            <w:r>
              <w:t>quires no points.</w:t>
            </w:r>
          </w:p>
          <w:p w:rsidR="000A156F" w:rsidRDefault="00A9721F">
            <w:pPr>
              <w:pStyle w:val="TableBodyText"/>
            </w:pPr>
            <w:r>
              <w:t>End will terminate the motion path. Any action specified in the string after the End action is ignored. The specification of this action is not required. If this action is not present at the end of a string and the string ends, this actio</w:t>
            </w:r>
            <w:r>
              <w:t>n will be implied.</w:t>
            </w:r>
          </w:p>
          <w:p w:rsidR="000A156F" w:rsidRDefault="00A9721F">
            <w:pPr>
              <w:pStyle w:val="TableBodyText"/>
            </w:pPr>
            <w:r>
              <w:t>The relative and absolute versions of this action are identical.</w:t>
            </w:r>
          </w:p>
        </w:tc>
      </w:tr>
    </w:tbl>
    <w:p w:rsidR="000A156F" w:rsidRDefault="000A156F"/>
    <w:p w:rsidR="000A156F" w:rsidRDefault="00A9721F">
      <w:r>
        <w:t xml:space="preserve">Points are expressed as percentages of the slide size; 1,1 means the lower-right corner of the slide in absolute coordinates, or the slide width &amp; height in relative </w:t>
      </w:r>
      <w:r>
        <w:t>coordinates. Expressing a coordinate less than 1 but greater than 0 must be prefixed with 0 before the decimal point. If the leading zero is left off, the decimal is thrown away and the coordinate is read without it.</w:t>
      </w:r>
    </w:p>
    <w:p w:rsidR="000A156F" w:rsidRDefault="00A9721F">
      <w:r>
        <w:t xml:space="preserve">Formulas can also be used here. To use </w:t>
      </w:r>
      <w:r>
        <w:t>a formula, the entire formula must be inside parentheses. Parentheses can be used inside the formula, but no greater than a depth of 255. Formula syntax is further detailed in the entry for tav (Time Animate Value) ("</w:t>
      </w:r>
      <w:hyperlink r:id="rId162">
        <w:r>
          <w:rPr>
            <w:rStyle w:val="Hyperlink"/>
          </w:rPr>
          <w:t>[ISO/IEC-29500-1]</w:t>
        </w:r>
      </w:hyperlink>
      <w:r>
        <w:t xml:space="preserve"> §19.5.79; tav").</w:t>
      </w:r>
    </w:p>
    <w:p w:rsidR="000A156F" w:rsidRDefault="00A9721F">
      <w:r>
        <w:t>If the requirements for an action are not met (that is, too many or too few points are specified,) the entire path shall be thrown away.</w:t>
      </w:r>
    </w:p>
    <w:p w:rsidR="000A156F" w:rsidRDefault="00A9721F">
      <w:r>
        <w:t>If the path string is left empty or not specified, the an</w:t>
      </w:r>
      <w:r>
        <w:t>imation will do nothing, but shall take up the required amount of time as specified by the behavior.</w:t>
      </w:r>
    </w:p>
    <w:p w:rsidR="000A156F" w:rsidRDefault="00A9721F">
      <w:pPr>
        <w:pStyle w:val="Definition-Field"/>
      </w:pPr>
      <w:r>
        <w:t xml:space="preserve">c.   </w:t>
      </w:r>
      <w:r>
        <w:rPr>
          <w:i/>
        </w:rPr>
        <w:t>The standard does not state a default value for the pathEditMode attribute.</w:t>
      </w:r>
    </w:p>
    <w:p w:rsidR="000A156F" w:rsidRDefault="00A9721F">
      <w:pPr>
        <w:pStyle w:val="Definition-Field2"/>
      </w:pPr>
      <w:r>
        <w:t xml:space="preserve">PowerPoint uses a default value of relative for the pathEditMode </w:t>
      </w:r>
      <w:r>
        <w:t>attribute.</w:t>
      </w:r>
    </w:p>
    <w:p w:rsidR="000A156F" w:rsidRDefault="00A9721F">
      <w:pPr>
        <w:pStyle w:val="Definition-Field"/>
      </w:pPr>
      <w:r>
        <w:t xml:space="preserve">d.   </w:t>
      </w:r>
      <w:r>
        <w:rPr>
          <w:i/>
        </w:rPr>
        <w:t>The standard states that the ptsTypes attribute specifies the types of points in the path attribute.</w:t>
      </w:r>
    </w:p>
    <w:p w:rsidR="000A156F" w:rsidRDefault="00A9721F">
      <w:r>
        <w:t>In Office, the ptsTypes attribute additionally describes what the motion path should look like around the current point. This attribute has</w:t>
      </w:r>
      <w:r>
        <w:t xml:space="preserve"> no effect on the playing of the animation. It is only used when the motion path is edited in Office.</w:t>
      </w:r>
    </w:p>
    <w:p w:rsidR="000A156F" w:rsidRDefault="00A9721F">
      <w:r>
        <w:t>Each character in this string sequentially maps to a point defined in the path string.  If there are more entries than points, the extra entries are ignor</w:t>
      </w:r>
      <w:r>
        <w:t xml:space="preserve">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curve).</w:t>
      </w:r>
    </w:p>
    <w:p w:rsidR="000A156F" w:rsidRDefault="00A9721F">
      <w:pPr>
        <w:pStyle w:val="Definition-Field"/>
      </w:pPr>
      <w:r>
        <w:t xml:space="preserve">e.   </w:t>
      </w:r>
      <w:r>
        <w:rPr>
          <w:i/>
        </w:rPr>
        <w:t>T</w:t>
      </w:r>
      <w:r>
        <w:rPr>
          <w:i/>
        </w:rPr>
        <w:t>he standard does not state a default value for the rAng attribute.</w:t>
      </w:r>
    </w:p>
    <w:p w:rsidR="000A156F" w:rsidRDefault="00A9721F">
      <w:pPr>
        <w:pStyle w:val="Definition-Field2"/>
      </w:pPr>
      <w:r>
        <w:t>PowerPoint uses a default value of 0 for the rAng attribute.</w:t>
      </w:r>
    </w:p>
    <w:p w:rsidR="000A156F" w:rsidRDefault="00A9721F">
      <w:pPr>
        <w:pStyle w:val="Definition-Field"/>
      </w:pPr>
      <w:r>
        <w:t xml:space="preserve">f.   </w:t>
      </w:r>
      <w:r>
        <w:rPr>
          <w:i/>
        </w:rPr>
        <w:t>The standard states that the animMotion element provides an abstract way to move positioned elements via a set of attribute</w:t>
      </w:r>
      <w:r>
        <w:rPr>
          <w:i/>
        </w:rPr>
        <w:t>s and child elements.</w:t>
      </w:r>
    </w:p>
    <w:p w:rsidR="000A156F" w:rsidRDefault="00A9721F">
      <w:r>
        <w:t>The attrNameLst element in the cBhvr child is permitted to contain up to two attributes to be animated. If the first attribute is not specified, the ppt_x attribute will be used. If the second attribute is not specified, the ppt_y att</w:t>
      </w:r>
      <w:r>
        <w:t>ribute will be used. If more than two attributes are specified, only the first two shall be used.  The attributes used must be one of the following: ppt_x, ppt_y, ppt_w, ppt_h, ppt_r, style.fontSize, xskew, yskew, xshear, yshear, scaleX, or scaleY.</w:t>
      </w:r>
    </w:p>
    <w:p w:rsidR="000A156F" w:rsidRDefault="00A9721F">
      <w:pPr>
        <w:pStyle w:val="Heading3"/>
      </w:pPr>
      <w:bookmarkStart w:id="2304" w:name="section_39903f1afcb44aee81e266f4fc7493fd"/>
      <w:bookmarkStart w:id="2305" w:name="_Toc181684178"/>
      <w:r>
        <w:t xml:space="preserve">Part 1 </w:t>
      </w:r>
      <w:r>
        <w:t>Section 19.5.5, animRot (Animate Rotation)</w:t>
      </w:r>
      <w:bookmarkEnd w:id="2304"/>
      <w:bookmarkEnd w:id="2305"/>
      <w:r>
        <w:fldChar w:fldCharType="begin"/>
      </w:r>
      <w:r>
        <w:instrText xml:space="preserve"> XE "animRot (Animate Rotation)"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Definition-Field"/>
      </w:pPr>
      <w:r>
        <w:t xml:space="preserve">a.   </w:t>
      </w:r>
      <w:r>
        <w:rPr>
          <w:i/>
        </w:rPr>
        <w:t>The standard places no restrictions on the value of the attrName element when inside the animRot element.</w:t>
      </w:r>
    </w:p>
    <w:p w:rsidR="000A156F" w:rsidRDefault="00A9721F">
      <w:pPr>
        <w:pStyle w:val="Definition-Field2"/>
      </w:pPr>
      <w:r>
        <w:t>PowerPoint requires that the value of the attrName element be ppt_r, r, or style.rotation when inside an animRot element.</w:t>
      </w:r>
    </w:p>
    <w:p w:rsidR="000A156F" w:rsidRDefault="00A9721F">
      <w:pPr>
        <w:pStyle w:val="Definition-Field"/>
      </w:pPr>
      <w:r>
        <w:t xml:space="preserve">b.   </w:t>
      </w:r>
      <w:r>
        <w:rPr>
          <w:i/>
        </w:rPr>
        <w:t>The standard states tha</w:t>
      </w:r>
      <w:r>
        <w:rPr>
          <w:i/>
        </w:rPr>
        <w:t>t the animRot element specifies the rotation animation on an element with a combination of from, to and by attributes.</w:t>
      </w:r>
    </w:p>
    <w:p w:rsidR="000A156F" w:rsidRDefault="00A9721F">
      <w:r>
        <w:t>In Office, the three attributes, from(From), to(To), and by(By), shall be used in one of the following combinations:</w:t>
      </w:r>
    </w:p>
    <w:p w:rsidR="000A156F" w:rsidRDefault="00A9721F">
      <w:r>
        <w:t>from_to: when from(F</w:t>
      </w:r>
      <w:r>
        <w:t>rom) and to(To) are defined;</w:t>
      </w:r>
    </w:p>
    <w:p w:rsidR="000A156F" w:rsidRDefault="00A9721F">
      <w:r>
        <w:t>from_by: when from(From) and by(By) are defined but to(To) is undefined;</w:t>
      </w:r>
    </w:p>
    <w:p w:rsidR="000A156F" w:rsidRDefault="00A9721F">
      <w:r>
        <w:t>to_only: when to(To) is defined but from(From) is undefined;</w:t>
      </w:r>
    </w:p>
    <w:p w:rsidR="000A156F" w:rsidRDefault="00A9721F">
      <w:r>
        <w:t>by_only: when by(By) is defined but from(From) and to(To) are undefined.</w:t>
      </w:r>
    </w:p>
    <w:p w:rsidR="000A156F" w:rsidRDefault="00A9721F">
      <w:r>
        <w:t>All other combinatio</w:t>
      </w:r>
      <w:r>
        <w:t>ns are invalid.</w:t>
      </w:r>
    </w:p>
    <w:p w:rsidR="000A156F" w:rsidRDefault="00A9721F">
      <w:r>
        <w:t>For to_only and by_only combinations, the starting value of the animation shall be 0. The attribute by(By) is not used in from_to and to_only combinations.</w:t>
      </w:r>
    </w:p>
    <w:p w:rsidR="000A156F" w:rsidRDefault="00A9721F">
      <w:pPr>
        <w:pStyle w:val="Definition-Field"/>
      </w:pPr>
      <w:r>
        <w:t xml:space="preserve">c.   </w:t>
      </w:r>
      <w:r>
        <w:rPr>
          <w:i/>
        </w:rPr>
        <w:t>The standard places no restrictions on the number of attrName child elements pa</w:t>
      </w:r>
      <w:r>
        <w:rPr>
          <w:i/>
        </w:rPr>
        <w:t>rented by the attrNameLst element when inside the animRot element.</w:t>
      </w:r>
    </w:p>
    <w:p w:rsidR="000A156F" w:rsidRDefault="00A9721F">
      <w:pPr>
        <w:pStyle w:val="Definition-Field2"/>
      </w:pPr>
      <w:r>
        <w:t>PowerPoint requires that there be at least one attrName child element of the attrNameLst element when inside an animRot element; if more than one attrName child element exists, only the fir</w:t>
      </w:r>
      <w:r>
        <w:t>st will be used.</w:t>
      </w:r>
    </w:p>
    <w:p w:rsidR="000A156F" w:rsidRDefault="00A9721F">
      <w:pPr>
        <w:pStyle w:val="Heading3"/>
      </w:pPr>
      <w:bookmarkStart w:id="2306" w:name="section_358c6de32cd7459b8eb9b90f3721fd12"/>
      <w:bookmarkStart w:id="2307" w:name="_Toc181684179"/>
      <w:r>
        <w:t>Part 1 Section 19.5.6, animScale (Animate Scale)</w:t>
      </w:r>
      <w:bookmarkEnd w:id="2306"/>
      <w:bookmarkEnd w:id="2307"/>
      <w:r>
        <w:fldChar w:fldCharType="begin"/>
      </w:r>
      <w:r>
        <w:instrText xml:space="preserve"> XE "animScale (Animate Scale)"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16734500ff4d39b4a86ca61d86227a">
        <w:r>
          <w:rPr>
            <w:rStyle w:val="Hyperlink"/>
          </w:rPr>
          <w:t>tnL</w:t>
        </w:r>
        <w:r>
          <w:rPr>
            <w:rStyle w:val="Hyperlink"/>
          </w:rPr>
          <w:t>st, §19.5.87(b)</w:t>
        </w:r>
      </w:hyperlink>
      <w:r>
        <w:rPr>
          <w:i/>
        </w:rPr>
        <w:t>.</w:t>
      </w:r>
    </w:p>
    <w:p w:rsidR="000A156F" w:rsidRDefault="00A9721F">
      <w:pPr>
        <w:pStyle w:val="Definition-Field"/>
      </w:pPr>
      <w:r>
        <w:lastRenderedPageBreak/>
        <w:t xml:space="preserve">a.   </w:t>
      </w:r>
      <w:r>
        <w:rPr>
          <w:i/>
        </w:rPr>
        <w:t>The standard places no restrictions on the number of attrName child elements parented by the attrNameLst element when inside the animScale element, nor what the values of those attrName elements should be.</w:t>
      </w:r>
    </w:p>
    <w:p w:rsidR="000A156F" w:rsidRDefault="00A9721F">
      <w:pPr>
        <w:pStyle w:val="Definition-Field2"/>
      </w:pPr>
      <w:r>
        <w:t>PowerPoint requires that the</w:t>
      </w:r>
      <w:r>
        <w:t>re be at least two attrName child elements of the attrNameLst element when inside an animScale element; their values should be ScaleX and ScaleY.</w:t>
      </w:r>
    </w:p>
    <w:p w:rsidR="000A156F" w:rsidRDefault="00A9721F">
      <w:pPr>
        <w:pStyle w:val="Definition-Field"/>
      </w:pPr>
      <w:r>
        <w:t xml:space="preserve">b.   </w:t>
      </w:r>
      <w:r>
        <w:rPr>
          <w:i/>
        </w:rPr>
        <w:t>The standard states that the zoomContents attribute specifies whether to zoom the contents of an object w</w:t>
      </w:r>
      <w:r>
        <w:rPr>
          <w:i/>
        </w:rPr>
        <w:t>hen doing a scaling animation.</w:t>
      </w:r>
    </w:p>
    <w:p w:rsidR="000A156F" w:rsidRDefault="00A9721F">
      <w:pPr>
        <w:pStyle w:val="Definition-Field2"/>
      </w:pPr>
      <w:r>
        <w:t>PowerPoint does not support the zoomContents attribute.</w:t>
      </w:r>
    </w:p>
    <w:p w:rsidR="000A156F" w:rsidRDefault="00A9721F">
      <w:pPr>
        <w:pStyle w:val="Definition-Field"/>
      </w:pPr>
      <w:r>
        <w:t xml:space="preserve">c.   </w:t>
      </w:r>
      <w:r>
        <w:rPr>
          <w:i/>
        </w:rPr>
        <w:t>The standard states that the animScale element specifies the scale animation of an object.</w:t>
      </w:r>
    </w:p>
    <w:p w:rsidR="000A156F" w:rsidRDefault="00A9721F">
      <w:r>
        <w:t xml:space="preserve">In Office, the three attributes from(From), to(To), and by(By) must be </w:t>
      </w:r>
      <w:r>
        <w:t>used in one of the following combinations:</w:t>
      </w:r>
    </w:p>
    <w:p w:rsidR="000A156F" w:rsidRDefault="00A9721F">
      <w:r>
        <w:t>from_to: when from(From) and to(To) are defined;</w:t>
      </w:r>
    </w:p>
    <w:p w:rsidR="000A156F" w:rsidRDefault="00A9721F">
      <w:r>
        <w:t>from_by: when from(From) and by(By) are defined but to(To) is undefined;</w:t>
      </w:r>
    </w:p>
    <w:p w:rsidR="000A156F" w:rsidRDefault="00A9721F">
      <w:r>
        <w:t>to_only: when to(To) is defined but from(From) is undefined;</w:t>
      </w:r>
    </w:p>
    <w:p w:rsidR="000A156F" w:rsidRDefault="00A9721F">
      <w:r>
        <w:t>by_only: when by(By) is define</w:t>
      </w:r>
      <w:r>
        <w:t>d but from(From) and to(To) are undefined.</w:t>
      </w:r>
    </w:p>
    <w:p w:rsidR="000A156F" w:rsidRDefault="00A9721F">
      <w:r>
        <w:t>All other combinations are invalid.</w:t>
      </w:r>
    </w:p>
    <w:p w:rsidR="000A156F" w:rsidRDefault="00A9721F">
      <w:r>
        <w:t>For to_only, the starting value of animation is (0, 0) for “ScaleX” and “ScaleY”. For by_only, the starting value of animation is (1, 1) for “ScaleX” and “ScaleY”. The attribute</w:t>
      </w:r>
      <w:r>
        <w:t xml:space="preserve"> by(By) is ignored in from_to and to_only combinations.</w:t>
      </w:r>
    </w:p>
    <w:p w:rsidR="000A156F" w:rsidRDefault="00A9721F">
      <w:pPr>
        <w:pStyle w:val="Heading3"/>
      </w:pPr>
      <w:bookmarkStart w:id="2308" w:name="section_05a36e72bcdd46a6874e2eb1fa7573b4"/>
      <w:bookmarkStart w:id="2309" w:name="_Toc181684180"/>
      <w:r>
        <w:t>Part 1 Section 19.5.7, attrName (Attribute Name)</w:t>
      </w:r>
      <w:bookmarkEnd w:id="2308"/>
      <w:bookmarkEnd w:id="2309"/>
      <w:r>
        <w:fldChar w:fldCharType="begin"/>
      </w:r>
      <w:r>
        <w:instrText xml:space="preserve"> XE "attrName (Attribute Name)" </w:instrText>
      </w:r>
      <w:r>
        <w:fldChar w:fldCharType="end"/>
      </w:r>
    </w:p>
    <w:p w:rsidR="000A156F" w:rsidRDefault="00A9721F">
      <w:pPr>
        <w:pStyle w:val="Definition-Field"/>
      </w:pPr>
      <w:r>
        <w:t xml:space="preserve">a.   </w:t>
      </w:r>
      <w:r>
        <w:rPr>
          <w:i/>
        </w:rPr>
        <w:t>The standard specifies a list of allowed property values for the attrName element.</w:t>
      </w:r>
    </w:p>
    <w:p w:rsidR="000A156F" w:rsidRDefault="00A9721F">
      <w:pPr>
        <w:pStyle w:val="Definition-Field2"/>
      </w:pPr>
      <w:r>
        <w:t>PowerPoint also allows the fo</w:t>
      </w:r>
      <w:r>
        <w:t>llowing values for this element.</w:t>
      </w:r>
    </w:p>
    <w:p w:rsidR="000A156F" w:rsidRDefault="00A9721F">
      <w:pPr>
        <w:pStyle w:val="Definition-Field2"/>
        <w:numPr>
          <w:ilvl w:val="0"/>
          <w:numId w:val="127"/>
        </w:numPr>
      </w:pPr>
      <w:r>
        <w:t>ppt_x</w:t>
      </w:r>
    </w:p>
    <w:p w:rsidR="000A156F" w:rsidRDefault="00A9721F">
      <w:pPr>
        <w:pStyle w:val="Definition-Field2"/>
        <w:numPr>
          <w:ilvl w:val="0"/>
          <w:numId w:val="127"/>
        </w:numPr>
      </w:pPr>
      <w:r>
        <w:t>ppt_y</w:t>
      </w:r>
    </w:p>
    <w:p w:rsidR="000A156F" w:rsidRDefault="00A9721F">
      <w:pPr>
        <w:pStyle w:val="Definition-Field2"/>
        <w:numPr>
          <w:ilvl w:val="0"/>
          <w:numId w:val="127"/>
        </w:numPr>
      </w:pPr>
      <w:r>
        <w:t>ppt_w</w:t>
      </w:r>
    </w:p>
    <w:p w:rsidR="000A156F" w:rsidRDefault="00A9721F">
      <w:pPr>
        <w:pStyle w:val="Definition-Field2"/>
        <w:numPr>
          <w:ilvl w:val="0"/>
          <w:numId w:val="127"/>
        </w:numPr>
      </w:pPr>
      <w:r>
        <w:t>ppt_h</w:t>
      </w:r>
    </w:p>
    <w:p w:rsidR="000A156F" w:rsidRDefault="00A9721F">
      <w:pPr>
        <w:pStyle w:val="Definition-Field2"/>
        <w:numPr>
          <w:ilvl w:val="0"/>
          <w:numId w:val="127"/>
        </w:numPr>
      </w:pPr>
      <w:r>
        <w:t xml:space="preserve">ppt_c </w:t>
      </w:r>
    </w:p>
    <w:p w:rsidR="000A156F" w:rsidRDefault="00A9721F">
      <w:pPr>
        <w:pStyle w:val="Definition-Field2"/>
        <w:numPr>
          <w:ilvl w:val="0"/>
          <w:numId w:val="127"/>
        </w:numPr>
      </w:pPr>
      <w:r>
        <w:t>ppt_r</w:t>
      </w:r>
    </w:p>
    <w:p w:rsidR="000A156F" w:rsidRDefault="00A9721F">
      <w:pPr>
        <w:pStyle w:val="Definition-Field2"/>
        <w:numPr>
          <w:ilvl w:val="0"/>
          <w:numId w:val="127"/>
        </w:numPr>
      </w:pPr>
      <w:r>
        <w:t>xshear</w:t>
      </w:r>
    </w:p>
    <w:p w:rsidR="000A156F" w:rsidRDefault="00A9721F">
      <w:pPr>
        <w:pStyle w:val="Definition-Field2"/>
        <w:numPr>
          <w:ilvl w:val="0"/>
          <w:numId w:val="127"/>
        </w:numPr>
      </w:pPr>
      <w:r>
        <w:t>yshear</w:t>
      </w:r>
    </w:p>
    <w:p w:rsidR="000A156F" w:rsidRDefault="00A9721F">
      <w:pPr>
        <w:pStyle w:val="Definition-Field2"/>
        <w:numPr>
          <w:ilvl w:val="0"/>
          <w:numId w:val="127"/>
        </w:numPr>
      </w:pPr>
      <w:r>
        <w:t>image</w:t>
      </w:r>
    </w:p>
    <w:p w:rsidR="000A156F" w:rsidRDefault="00A9721F">
      <w:pPr>
        <w:pStyle w:val="Definition-Field2"/>
        <w:numPr>
          <w:ilvl w:val="0"/>
          <w:numId w:val="127"/>
        </w:numPr>
      </w:pPr>
      <w:r>
        <w:t>ScaleX</w:t>
      </w:r>
    </w:p>
    <w:p w:rsidR="000A156F" w:rsidRDefault="00A9721F">
      <w:pPr>
        <w:pStyle w:val="Definition-Field2"/>
        <w:numPr>
          <w:ilvl w:val="0"/>
          <w:numId w:val="127"/>
        </w:numPr>
      </w:pPr>
      <w:r>
        <w:t>ScaleY</w:t>
      </w:r>
    </w:p>
    <w:p w:rsidR="000A156F" w:rsidRDefault="00A9721F">
      <w:pPr>
        <w:pStyle w:val="Definition-Field2"/>
        <w:numPr>
          <w:ilvl w:val="0"/>
          <w:numId w:val="127"/>
        </w:numPr>
      </w:pPr>
      <w:r>
        <w:t>r</w:t>
      </w:r>
    </w:p>
    <w:p w:rsidR="000A156F" w:rsidRDefault="00A9721F">
      <w:pPr>
        <w:pStyle w:val="Definition-Field2"/>
        <w:numPr>
          <w:ilvl w:val="0"/>
          <w:numId w:val="127"/>
        </w:numPr>
      </w:pPr>
      <w:r>
        <w:t>fillcolor</w:t>
      </w:r>
    </w:p>
    <w:p w:rsidR="000A156F" w:rsidRDefault="00A9721F">
      <w:pPr>
        <w:pStyle w:val="Definition-Field2"/>
        <w:numPr>
          <w:ilvl w:val="0"/>
          <w:numId w:val="127"/>
        </w:numPr>
      </w:pPr>
      <w:r>
        <w:lastRenderedPageBreak/>
        <w:t>3d.object.rotation.x</w:t>
      </w:r>
    </w:p>
    <w:p w:rsidR="000A156F" w:rsidRDefault="00A9721F">
      <w:pPr>
        <w:pStyle w:val="Definition-Field2"/>
        <w:numPr>
          <w:ilvl w:val="0"/>
          <w:numId w:val="127"/>
        </w:numPr>
      </w:pPr>
      <w:r>
        <w:t>3d.object.rotation.y</w:t>
      </w:r>
    </w:p>
    <w:p w:rsidR="000A156F" w:rsidRDefault="00A9721F">
      <w:pPr>
        <w:pStyle w:val="Definition-Field2"/>
        <w:numPr>
          <w:ilvl w:val="0"/>
          <w:numId w:val="127"/>
        </w:numPr>
      </w:pPr>
      <w:r>
        <w:t>3d.object.rotation.z</w:t>
      </w:r>
    </w:p>
    <w:p w:rsidR="000A156F" w:rsidRDefault="00A9721F">
      <w:pPr>
        <w:pStyle w:val="Definition-Field2"/>
        <w:numPr>
          <w:ilvl w:val="0"/>
          <w:numId w:val="127"/>
        </w:numPr>
      </w:pPr>
      <w:r>
        <w:t>3d.view.rotation.x</w:t>
      </w:r>
    </w:p>
    <w:p w:rsidR="000A156F" w:rsidRDefault="00A9721F">
      <w:pPr>
        <w:pStyle w:val="Definition-Field2"/>
        <w:numPr>
          <w:ilvl w:val="0"/>
          <w:numId w:val="127"/>
        </w:numPr>
      </w:pPr>
      <w:r>
        <w:t>3d.view.rotation.y</w:t>
      </w:r>
    </w:p>
    <w:p w:rsidR="000A156F" w:rsidRDefault="00A9721F">
      <w:pPr>
        <w:pStyle w:val="Definition-Field2"/>
        <w:numPr>
          <w:ilvl w:val="0"/>
          <w:numId w:val="127"/>
        </w:numPr>
      </w:pPr>
      <w:r>
        <w:t>3d.view.rotation.z</w:t>
      </w:r>
    </w:p>
    <w:p w:rsidR="000A156F" w:rsidRDefault="00A9721F">
      <w:pPr>
        <w:pStyle w:val="Definition-Field2"/>
        <w:numPr>
          <w:ilvl w:val="0"/>
          <w:numId w:val="127"/>
        </w:numPr>
      </w:pPr>
      <w:r>
        <w:t>3d.object.scale.x</w:t>
      </w:r>
    </w:p>
    <w:p w:rsidR="000A156F" w:rsidRDefault="00A9721F">
      <w:pPr>
        <w:pStyle w:val="Definition-Field2"/>
        <w:numPr>
          <w:ilvl w:val="0"/>
          <w:numId w:val="127"/>
        </w:numPr>
      </w:pPr>
      <w:r>
        <w:t>3d.object.scale.y</w:t>
      </w:r>
    </w:p>
    <w:p w:rsidR="000A156F" w:rsidRDefault="00A9721F">
      <w:pPr>
        <w:pStyle w:val="Definition-Field2"/>
        <w:numPr>
          <w:ilvl w:val="0"/>
          <w:numId w:val="127"/>
        </w:numPr>
      </w:pPr>
      <w:r>
        <w:t>3d.object.scale.z</w:t>
      </w:r>
    </w:p>
    <w:p w:rsidR="000A156F" w:rsidRDefault="00A9721F">
      <w:pPr>
        <w:pStyle w:val="Definition-Field2"/>
        <w:numPr>
          <w:ilvl w:val="0"/>
          <w:numId w:val="127"/>
        </w:numPr>
      </w:pPr>
      <w:r>
        <w:t>3d.view.scale.x</w:t>
      </w:r>
    </w:p>
    <w:p w:rsidR="000A156F" w:rsidRDefault="00A9721F">
      <w:pPr>
        <w:pStyle w:val="Definition-Field2"/>
        <w:numPr>
          <w:ilvl w:val="0"/>
          <w:numId w:val="127"/>
        </w:numPr>
      </w:pPr>
      <w:r>
        <w:t>3d.view.scale.y</w:t>
      </w:r>
    </w:p>
    <w:p w:rsidR="000A156F" w:rsidRDefault="00A9721F">
      <w:pPr>
        <w:pStyle w:val="Definition-Field2"/>
        <w:numPr>
          <w:ilvl w:val="0"/>
          <w:numId w:val="127"/>
        </w:numPr>
      </w:pPr>
      <w:r>
        <w:t>3d.view.scale.z</w:t>
      </w:r>
    </w:p>
    <w:p w:rsidR="000A156F" w:rsidRDefault="00A9721F">
      <w:pPr>
        <w:pStyle w:val="Definition-Field2"/>
        <w:numPr>
          <w:ilvl w:val="0"/>
          <w:numId w:val="127"/>
        </w:numPr>
      </w:pPr>
      <w:r>
        <w:t>3d.object.translation.x</w:t>
      </w:r>
    </w:p>
    <w:p w:rsidR="000A156F" w:rsidRDefault="00A9721F">
      <w:pPr>
        <w:pStyle w:val="Definition-Field2"/>
        <w:numPr>
          <w:ilvl w:val="0"/>
          <w:numId w:val="127"/>
        </w:numPr>
      </w:pPr>
      <w:r>
        <w:t>3d.object.translation.y</w:t>
      </w:r>
    </w:p>
    <w:p w:rsidR="000A156F" w:rsidRDefault="00A9721F">
      <w:pPr>
        <w:pStyle w:val="Definition-Field2"/>
        <w:numPr>
          <w:ilvl w:val="0"/>
          <w:numId w:val="127"/>
        </w:numPr>
      </w:pPr>
      <w:r>
        <w:t>3d.object.translation.z</w:t>
      </w:r>
    </w:p>
    <w:p w:rsidR="000A156F" w:rsidRDefault="00A9721F">
      <w:pPr>
        <w:pStyle w:val="Definition-Field2"/>
        <w:numPr>
          <w:ilvl w:val="0"/>
          <w:numId w:val="127"/>
        </w:numPr>
      </w:pPr>
      <w:r>
        <w:t>3d.view.translation.x</w:t>
      </w:r>
    </w:p>
    <w:p w:rsidR="000A156F" w:rsidRDefault="00A9721F">
      <w:pPr>
        <w:pStyle w:val="Definition-Field2"/>
        <w:numPr>
          <w:ilvl w:val="0"/>
          <w:numId w:val="127"/>
        </w:numPr>
      </w:pPr>
      <w:r>
        <w:t>3d.view.translation.y</w:t>
      </w:r>
    </w:p>
    <w:p w:rsidR="000A156F" w:rsidRDefault="00A9721F">
      <w:pPr>
        <w:pStyle w:val="Definition-Field2"/>
        <w:numPr>
          <w:ilvl w:val="0"/>
          <w:numId w:val="127"/>
        </w:numPr>
      </w:pPr>
      <w:r>
        <w:t>3d.view.translation.z</w:t>
      </w:r>
    </w:p>
    <w:p w:rsidR="000A156F" w:rsidRDefault="00A9721F">
      <w:pPr>
        <w:pStyle w:val="Definition-Field2"/>
        <w:numPr>
          <w:ilvl w:val="0"/>
          <w:numId w:val="127"/>
        </w:numPr>
      </w:pPr>
      <w:r>
        <w:t>drawProgress</w:t>
      </w:r>
    </w:p>
    <w:p w:rsidR="000A156F" w:rsidRDefault="00A9721F">
      <w:pPr>
        <w:pStyle w:val="Definition-Field2"/>
        <w:numPr>
          <w:ilvl w:val="0"/>
          <w:numId w:val="127"/>
        </w:numPr>
      </w:pPr>
      <w:r>
        <w:t>drawProgressAllAtOnce</w:t>
      </w:r>
    </w:p>
    <w:p w:rsidR="000A156F" w:rsidRDefault="00A9721F">
      <w:pPr>
        <w:pStyle w:val="Definition-Field"/>
      </w:pPr>
      <w:r>
        <w:t xml:space="preserve">b.   </w:t>
      </w:r>
      <w:r>
        <w:rPr>
          <w:i/>
        </w:rPr>
        <w:t>The standard does not specify whether the attrName values are case-sensitive.</w:t>
      </w:r>
    </w:p>
    <w:p w:rsidR="000A156F" w:rsidRDefault="00A9721F">
      <w:pPr>
        <w:pStyle w:val="Definition-Field2"/>
      </w:pPr>
      <w:r>
        <w:t>PowerPoint treats these values as case-insensitive.</w:t>
      </w:r>
    </w:p>
    <w:p w:rsidR="000A156F" w:rsidRDefault="00A9721F">
      <w:pPr>
        <w:pStyle w:val="Heading3"/>
      </w:pPr>
      <w:bookmarkStart w:id="2310" w:name="section_4a1209e295d54d5ba857218466d24576"/>
      <w:bookmarkStart w:id="2311" w:name="_Toc181684181"/>
      <w:r>
        <w:t>Part 1 Section 19.5.9, audio (Audio)</w:t>
      </w:r>
      <w:bookmarkEnd w:id="2310"/>
      <w:bookmarkEnd w:id="2311"/>
      <w:r>
        <w:fldChar w:fldCharType="begin"/>
      </w:r>
      <w:r>
        <w:instrText xml:space="preserve"> XE "audio (Audio)"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Definition-Field"/>
      </w:pPr>
      <w:r>
        <w:t xml:space="preserve">a.   </w:t>
      </w:r>
      <w:r>
        <w:rPr>
          <w:i/>
        </w:rPr>
        <w:t>The standard allows the isNarration attribute to be set to true on any audio e</w:t>
      </w:r>
      <w:r>
        <w:rPr>
          <w:i/>
        </w:rPr>
        <w:t>lement.</w:t>
      </w:r>
    </w:p>
    <w:p w:rsidR="000A156F" w:rsidRDefault="00A9721F">
      <w:r>
        <w:t xml:space="preserve">The isNarration attribute can only be true if the </w:t>
      </w:r>
      <w:r>
        <w:rPr>
          <w:b/>
        </w:rPr>
        <w:t>&lt;audio&gt;</w:t>
      </w:r>
      <w:r>
        <w:t xml:space="preserve"> element contains a child </w:t>
      </w:r>
      <w:r>
        <w:rPr>
          <w:b/>
        </w:rPr>
        <w:t>&lt;cMediaNode&gt;</w:t>
      </w:r>
      <w:r>
        <w:t xml:space="preserve"> ("</w:t>
      </w:r>
      <w:hyperlink r:id="rId163">
        <w:r>
          <w:rPr>
            <w:rStyle w:val="Hyperlink"/>
          </w:rPr>
          <w:t>[ISO/IEC-29500-1]</w:t>
        </w:r>
      </w:hyperlink>
      <w:r>
        <w:t xml:space="preserve"> §19.5.29; cMediaNode") with a child </w:t>
      </w:r>
      <w:r>
        <w:rPr>
          <w:b/>
        </w:rPr>
        <w:t>&lt;tgtEl&gt;</w:t>
      </w:r>
      <w:r>
        <w:t xml:space="preserve"> ("[ISO/IEC-29500-1] §1</w:t>
      </w:r>
      <w:r>
        <w:t xml:space="preserve">9.5.81; tgtEl") that contains a </w:t>
      </w:r>
      <w:r>
        <w:rPr>
          <w:b/>
        </w:rPr>
        <w:t>&lt;spTgt&gt;</w:t>
      </w:r>
      <w:r>
        <w:t xml:space="preserve"> element ("[ISO/IEC-29500-1] §19.5.72; spTgt") that points to a valid sound shape. A valid sound shape is a shape that includes as a child of the </w:t>
      </w:r>
      <w:r>
        <w:rPr>
          <w:b/>
        </w:rPr>
        <w:t>&lt;nvPr&gt;</w:t>
      </w:r>
      <w:r>
        <w:t xml:space="preserve"> element ("[ISO/IEC-29500-1] §19.3.1.33; nvPr") one of the follow</w:t>
      </w:r>
      <w:r>
        <w:t xml:space="preserve">ing elements: </w:t>
      </w:r>
      <w:r>
        <w:rPr>
          <w:b/>
        </w:rPr>
        <w:t>&lt;wavAudioFile&gt;</w:t>
      </w:r>
      <w:r>
        <w:t xml:space="preserve"> ("[ISO/IEC-29500-1] §20.1.3.7; wavAudioFile") or </w:t>
      </w:r>
      <w:r>
        <w:rPr>
          <w:b/>
        </w:rPr>
        <w:t xml:space="preserve">&lt;audioFile&gt; </w:t>
      </w:r>
      <w:r>
        <w:t>("[ISO/IEC-29500-1] §20.1.3.2; audioFile").</w:t>
      </w:r>
    </w:p>
    <w:p w:rsidR="000A156F" w:rsidRDefault="00A9721F">
      <w:pPr>
        <w:pStyle w:val="Heading3"/>
      </w:pPr>
      <w:bookmarkStart w:id="2312" w:name="section_da3302a59997444fbb688ed15c696eba"/>
      <w:bookmarkStart w:id="2313" w:name="_Toc181684182"/>
      <w:r>
        <w:lastRenderedPageBreak/>
        <w:t>Part 1 Section 19.5.12, bldDgm (Build Diagram)</w:t>
      </w:r>
      <w:bookmarkEnd w:id="2312"/>
      <w:bookmarkEnd w:id="2313"/>
      <w:r>
        <w:fldChar w:fldCharType="begin"/>
      </w:r>
      <w:r>
        <w:instrText xml:space="preserve"> XE "bldDgm (Build Diagram)" </w:instrText>
      </w:r>
      <w:r>
        <w:fldChar w:fldCharType="end"/>
      </w:r>
    </w:p>
    <w:p w:rsidR="000A156F" w:rsidRDefault="00A9721F">
      <w:pPr>
        <w:pStyle w:val="Definition-Field"/>
      </w:pPr>
      <w:r>
        <w:t xml:space="preserve">a.   </w:t>
      </w:r>
      <w:r>
        <w:rPr>
          <w:i/>
        </w:rPr>
        <w:t>The standard implies that the bldDgm el</w:t>
      </w:r>
      <w:r>
        <w:rPr>
          <w:i/>
        </w:rPr>
        <w:t>ement specifies how to build animation for any diagram.</w:t>
      </w:r>
    </w:p>
    <w:p w:rsidR="000A156F" w:rsidRDefault="00A9721F">
      <w:pPr>
        <w:pStyle w:val="Definition-Field2"/>
      </w:pPr>
      <w:r>
        <w:t>PowerPoint only uses this element for OLE diagrams.</w:t>
      </w:r>
    </w:p>
    <w:p w:rsidR="000A156F" w:rsidRDefault="00A9721F">
      <w:pPr>
        <w:pStyle w:val="Definition-Field"/>
      </w:pPr>
      <w:r>
        <w:t xml:space="preserve">b.   </w:t>
      </w:r>
      <w:r>
        <w:rPr>
          <w:i/>
        </w:rPr>
        <w:t>The standard places no restrictions on what the spid attribute refers to.</w:t>
      </w:r>
    </w:p>
    <w:p w:rsidR="000A156F" w:rsidRDefault="00A9721F">
      <w:pPr>
        <w:pStyle w:val="Definition-Field2"/>
      </w:pPr>
      <w:r>
        <w:t>PowerPoint requires that the spid attribute reference a valid OLE dia</w:t>
      </w:r>
      <w:r>
        <w:t>gram that is present on the slide.</w:t>
      </w:r>
    </w:p>
    <w:p w:rsidR="000A156F" w:rsidRDefault="00A9721F">
      <w:pPr>
        <w:pStyle w:val="Definition-Field"/>
      </w:pPr>
      <w:r>
        <w:t xml:space="preserve">c.   </w:t>
      </w:r>
      <w:r>
        <w:rPr>
          <w:i/>
        </w:rPr>
        <w:t>The standard places no restrictions on the relationship between the spid attribute, the grpId attribute, and the parent bldLst element.</w:t>
      </w:r>
    </w:p>
    <w:p w:rsidR="000A156F" w:rsidRDefault="00A9721F">
      <w:pPr>
        <w:pStyle w:val="Definition-Field2"/>
      </w:pPr>
      <w:r>
        <w:t xml:space="preserve">PowerPoint requires that the combination of the spid attribute and the grpId </w:t>
      </w:r>
      <w:r>
        <w:t>attribute on a given bldDgm element form a unique pair within the parent bldLst element.</w:t>
      </w:r>
    </w:p>
    <w:p w:rsidR="000A156F" w:rsidRDefault="00A9721F">
      <w:pPr>
        <w:pStyle w:val="Definition-Field"/>
      </w:pPr>
      <w:r>
        <w:t xml:space="preserve">d.   </w:t>
      </w:r>
      <w:r>
        <w:rPr>
          <w:i/>
        </w:rPr>
        <w:t>The standard places no restrictions on what the grpId attribute refers to.</w:t>
      </w:r>
    </w:p>
    <w:p w:rsidR="000A156F" w:rsidRDefault="00A9721F">
      <w:pPr>
        <w:pStyle w:val="Definition-Field2"/>
      </w:pPr>
      <w:r>
        <w:t>PowerPoint requires that the grpId attribute reference a group that is present in the t</w:t>
      </w:r>
      <w:r>
        <w:t>iming tree.</w:t>
      </w:r>
    </w:p>
    <w:p w:rsidR="000A156F" w:rsidRDefault="00A9721F">
      <w:pPr>
        <w:pStyle w:val="Heading3"/>
      </w:pPr>
      <w:bookmarkStart w:id="2314" w:name="section_ec82ed17db494761afc3d8e7d2930646"/>
      <w:bookmarkStart w:id="2315" w:name="_Toc181684183"/>
      <w:r>
        <w:t>Part 1 Section 19.5.13, bldGraphic (Build Graphics)</w:t>
      </w:r>
      <w:bookmarkEnd w:id="2314"/>
      <w:bookmarkEnd w:id="2315"/>
      <w:r>
        <w:fldChar w:fldCharType="begin"/>
      </w:r>
      <w:r>
        <w:instrText xml:space="preserve"> XE "bldGraphic (Build Graphics)" </w:instrText>
      </w:r>
      <w:r>
        <w:fldChar w:fldCharType="end"/>
      </w:r>
    </w:p>
    <w:p w:rsidR="000A156F" w:rsidRDefault="00A9721F">
      <w:pPr>
        <w:pStyle w:val="Definition-Field"/>
      </w:pPr>
      <w:r>
        <w:t xml:space="preserve">a.   </w:t>
      </w:r>
      <w:r>
        <w:rPr>
          <w:i/>
        </w:rPr>
        <w:t>The standard places no restrictions on what the spid attribute refers to.</w:t>
      </w:r>
    </w:p>
    <w:p w:rsidR="000A156F" w:rsidRDefault="00A9721F">
      <w:pPr>
        <w:pStyle w:val="Definition-Field2"/>
      </w:pPr>
      <w:r>
        <w:t>PowerPoint requires that the spid attribute reference a chart or diagram that</w:t>
      </w:r>
      <w:r>
        <w:t xml:space="preserve"> is present on the slide.</w:t>
      </w:r>
    </w:p>
    <w:p w:rsidR="000A156F" w:rsidRDefault="00A9721F">
      <w:pPr>
        <w:pStyle w:val="Definition-Field"/>
      </w:pPr>
      <w:r>
        <w:t xml:space="preserve">b.   </w:t>
      </w:r>
      <w:r>
        <w:rPr>
          <w:i/>
        </w:rPr>
        <w:t>The standard places no restrictions on what the grpId attribute refers to.</w:t>
      </w:r>
    </w:p>
    <w:p w:rsidR="000A156F" w:rsidRDefault="00A9721F">
      <w:pPr>
        <w:pStyle w:val="Definition-Field2"/>
      </w:pPr>
      <w:r>
        <w:t>PowerPoint requires that the grpID attribute reference a group that is present in the timing tree.</w:t>
      </w:r>
    </w:p>
    <w:p w:rsidR="000A156F" w:rsidRDefault="00A9721F">
      <w:pPr>
        <w:pStyle w:val="Definition-Field"/>
      </w:pPr>
      <w:r>
        <w:t xml:space="preserve">c.   </w:t>
      </w:r>
      <w:r>
        <w:rPr>
          <w:i/>
        </w:rPr>
        <w:t>The standard places no restrictions on the rel</w:t>
      </w:r>
      <w:r>
        <w:rPr>
          <w:i/>
        </w:rPr>
        <w:t>ationship between the spid attribute, the grpId attribute, and the parent bldLst element.</w:t>
      </w:r>
    </w:p>
    <w:p w:rsidR="000A156F" w:rsidRDefault="00A9721F">
      <w:pPr>
        <w:pStyle w:val="Definition-Field2"/>
      </w:pPr>
      <w:r>
        <w:t>PowerPoint requires that the combination of the spid attribute and the grpId attribute on a given bldGraphic element form a unique pair within the parent bldLst eleme</w:t>
      </w:r>
      <w:r>
        <w:t>nt.</w:t>
      </w:r>
    </w:p>
    <w:p w:rsidR="000A156F" w:rsidRDefault="00A9721F">
      <w:pPr>
        <w:pStyle w:val="Heading3"/>
      </w:pPr>
      <w:bookmarkStart w:id="2316" w:name="section_5c0177b6c316482abf5923cb56a51534"/>
      <w:bookmarkStart w:id="2317" w:name="_Toc181684184"/>
      <w:r>
        <w:t>Part 1 Section 19.5.15, bldOleChart (Build Embedded Chart)</w:t>
      </w:r>
      <w:bookmarkEnd w:id="2316"/>
      <w:bookmarkEnd w:id="2317"/>
      <w:r>
        <w:fldChar w:fldCharType="begin"/>
      </w:r>
      <w:r>
        <w:instrText xml:space="preserve"> XE "bldOleChart (Build Embedded Chart)" </w:instrText>
      </w:r>
      <w:r>
        <w:fldChar w:fldCharType="end"/>
      </w:r>
    </w:p>
    <w:p w:rsidR="000A156F" w:rsidRDefault="00A9721F">
      <w:pPr>
        <w:pStyle w:val="Definition-Field"/>
      </w:pPr>
      <w:r>
        <w:t xml:space="preserve">a.   </w:t>
      </w:r>
      <w:r>
        <w:rPr>
          <w:i/>
        </w:rPr>
        <w:t>The standard places no restrictions on what the spid attribute refers to.</w:t>
      </w:r>
    </w:p>
    <w:p w:rsidR="000A156F" w:rsidRDefault="00A9721F">
      <w:pPr>
        <w:pStyle w:val="Definition-Field2"/>
      </w:pPr>
      <w:r>
        <w:t>PowerPoint requires that the spid attribute reference a shape that is p</w:t>
      </w:r>
      <w:r>
        <w:t>resent on the slide.</w:t>
      </w:r>
    </w:p>
    <w:p w:rsidR="000A156F" w:rsidRDefault="00A9721F">
      <w:pPr>
        <w:pStyle w:val="Definition-Field"/>
      </w:pPr>
      <w:r>
        <w:t xml:space="preserve">b.   </w:t>
      </w:r>
      <w:r>
        <w:rPr>
          <w:i/>
        </w:rPr>
        <w:t>The standard places no restrictions on the relationship between the spid attribute, the grpId attribute, and the parent bldLst element.</w:t>
      </w:r>
    </w:p>
    <w:p w:rsidR="000A156F" w:rsidRDefault="00A9721F">
      <w:pPr>
        <w:pStyle w:val="Definition-Field2"/>
      </w:pPr>
      <w:r>
        <w:t>PowerPoint requires that the combination of the spid attribute and the grpId attribute on a gi</w:t>
      </w:r>
      <w:r>
        <w:t>ven bldOleChart element form a unique pair within the parent bldLst element.</w:t>
      </w:r>
    </w:p>
    <w:p w:rsidR="000A156F" w:rsidRDefault="00A9721F">
      <w:pPr>
        <w:pStyle w:val="Definition-Field"/>
      </w:pPr>
      <w:r>
        <w:t xml:space="preserve">c.   </w:t>
      </w:r>
      <w:r>
        <w:rPr>
          <w:i/>
        </w:rPr>
        <w:t>The standard places no restrictions on what the grpId attribute refers to.</w:t>
      </w:r>
    </w:p>
    <w:p w:rsidR="000A156F" w:rsidRDefault="00A9721F">
      <w:pPr>
        <w:pStyle w:val="Definition-Field2"/>
      </w:pPr>
      <w:r>
        <w:t>PowerPoint requires that the grpId attribute reference a group that is present in the timing tree.</w:t>
      </w:r>
    </w:p>
    <w:p w:rsidR="000A156F" w:rsidRDefault="00A9721F">
      <w:pPr>
        <w:pStyle w:val="Heading3"/>
      </w:pPr>
      <w:bookmarkStart w:id="2318" w:name="section_2936b07f699e42a7a89870122183e0a2"/>
      <w:bookmarkStart w:id="2319" w:name="_Toc181684185"/>
      <w:r>
        <w:t>Part 1 Section 19.5.16, bldP (Build Paragraph)</w:t>
      </w:r>
      <w:bookmarkEnd w:id="2318"/>
      <w:bookmarkEnd w:id="2319"/>
      <w:r>
        <w:fldChar w:fldCharType="begin"/>
      </w:r>
      <w:r>
        <w:instrText xml:space="preserve"> XE "bldP (Build Paragraph)" </w:instrText>
      </w:r>
      <w:r>
        <w:fldChar w:fldCharType="end"/>
      </w:r>
    </w:p>
    <w:p w:rsidR="000A156F" w:rsidRDefault="00A9721F">
      <w:pPr>
        <w:pStyle w:val="Definition-Field"/>
      </w:pPr>
      <w:r>
        <w:t xml:space="preserve">a.   </w:t>
      </w:r>
      <w:r>
        <w:rPr>
          <w:i/>
        </w:rPr>
        <w:t>The standard places no restrictions on what the spid attribute refers to.</w:t>
      </w:r>
    </w:p>
    <w:p w:rsidR="000A156F" w:rsidRDefault="00A9721F">
      <w:pPr>
        <w:pStyle w:val="Definition-Field2"/>
      </w:pPr>
      <w:r>
        <w:t>PowerPoint requires that the spid attribute reference a shape that is present on the slide.</w:t>
      </w:r>
    </w:p>
    <w:p w:rsidR="000A156F" w:rsidRDefault="00A9721F">
      <w:pPr>
        <w:pStyle w:val="Definition-Field"/>
      </w:pPr>
      <w:r>
        <w:lastRenderedPageBreak/>
        <w:t xml:space="preserve">b.   </w:t>
      </w:r>
      <w:r>
        <w:rPr>
          <w:i/>
        </w:rPr>
        <w:t>The standard places no restrictions on the relationship between the spid attribute, the grpId attribute, and the parent bldLst element.</w:t>
      </w:r>
    </w:p>
    <w:p w:rsidR="000A156F" w:rsidRDefault="00A9721F">
      <w:pPr>
        <w:pStyle w:val="Definition-Field2"/>
      </w:pPr>
      <w:r>
        <w:t>PowerPoint requires that the combination of the spid attribute and the grpId attribute on a given bldP element form a un</w:t>
      </w:r>
      <w:r>
        <w:t>ique pair within the parent bldLst element.</w:t>
      </w:r>
    </w:p>
    <w:p w:rsidR="000A156F" w:rsidRDefault="00A9721F">
      <w:pPr>
        <w:pStyle w:val="Definition-Field"/>
      </w:pPr>
      <w:r>
        <w:t xml:space="preserve">c.   </w:t>
      </w:r>
      <w:r>
        <w:rPr>
          <w:i/>
        </w:rPr>
        <w:t>The standard places no restrictions on the shape to which the spid attribute refers.</w:t>
      </w:r>
    </w:p>
    <w:p w:rsidR="000A156F" w:rsidRDefault="00A9721F">
      <w:pPr>
        <w:pStyle w:val="Definition-Field2"/>
      </w:pPr>
      <w:r>
        <w:t>PowerPoint requires that the spid attribute refer to an sp element that contains a t element with valid textual data.</w:t>
      </w:r>
    </w:p>
    <w:p w:rsidR="000A156F" w:rsidRDefault="00A9721F">
      <w:pPr>
        <w:pStyle w:val="Definition-Field"/>
      </w:pPr>
      <w:r>
        <w:t xml:space="preserve">d.  </w:t>
      </w:r>
      <w:r>
        <w:t xml:space="preserve"> </w:t>
      </w:r>
      <w:r>
        <w:rPr>
          <w:i/>
        </w:rPr>
        <w:t>The standard does not specify how to interpret an advAuto attribute value of indefinite.</w:t>
      </w:r>
    </w:p>
    <w:p w:rsidR="000A156F" w:rsidRDefault="00A9721F">
      <w:pPr>
        <w:pStyle w:val="Definition-Field2"/>
      </w:pPr>
      <w:r>
        <w:t>PowerPoint interprets a value of indefinite on the advAuto attribute as being equal to 0.</w:t>
      </w:r>
    </w:p>
    <w:p w:rsidR="000A156F" w:rsidRDefault="00A9721F">
      <w:pPr>
        <w:pStyle w:val="Definition-Field"/>
      </w:pPr>
      <w:r>
        <w:t xml:space="preserve">e.   </w:t>
      </w:r>
      <w:r>
        <w:rPr>
          <w:i/>
        </w:rPr>
        <w:t>The standard states that the autoUpdateAnimBg attribute indicates wheth</w:t>
      </w:r>
      <w:r>
        <w:rPr>
          <w:i/>
        </w:rPr>
        <w:t>er to automatically update the animateBg setting to true when the shape associated with the text has a fill or line.</w:t>
      </w:r>
    </w:p>
    <w:p w:rsidR="000A156F" w:rsidRDefault="00A9721F">
      <w:pPr>
        <w:pStyle w:val="Definition-Field2"/>
      </w:pPr>
      <w:r>
        <w:t>PowerPoint does not support the autoUpdateAnimBg attribute.</w:t>
      </w:r>
    </w:p>
    <w:p w:rsidR="000A156F" w:rsidRDefault="00A9721F">
      <w:pPr>
        <w:pStyle w:val="Definition-Field"/>
      </w:pPr>
      <w:r>
        <w:t xml:space="preserve">f.   </w:t>
      </w:r>
      <w:r>
        <w:rPr>
          <w:i/>
        </w:rPr>
        <w:t xml:space="preserve">The standard places no restrictions on the tgtEl target element when the </w:t>
      </w:r>
      <w:r>
        <w:rPr>
          <w:i/>
        </w:rPr>
        <w:t>value of the animBg attribute is false.</w:t>
      </w:r>
    </w:p>
    <w:p w:rsidR="000A156F" w:rsidRDefault="00A9721F">
      <w:pPr>
        <w:pStyle w:val="Definition-Field2"/>
      </w:pPr>
      <w:r>
        <w:t>PowerPoint requires that the charRg child element inside the tgtEl target element be zero-length if the animBg attribute is set to false.</w:t>
      </w:r>
    </w:p>
    <w:p w:rsidR="000A156F" w:rsidRDefault="00A9721F">
      <w:pPr>
        <w:pStyle w:val="Definition-Field"/>
      </w:pPr>
      <w:r>
        <w:t xml:space="preserve">g.   </w:t>
      </w:r>
      <w:r>
        <w:rPr>
          <w:i/>
        </w:rPr>
        <w:t xml:space="preserve">The standard states that the bldLvl attribute is only supported when the </w:t>
      </w:r>
      <w:r>
        <w:rPr>
          <w:i/>
        </w:rPr>
        <w:t>build attribute is set to byParagraph.</w:t>
      </w:r>
    </w:p>
    <w:p w:rsidR="000A156F" w:rsidRDefault="00A9721F">
      <w:pPr>
        <w:pStyle w:val="Definition-Field2"/>
      </w:pPr>
      <w:r>
        <w:t>PowerPoint only supports the bldLvl attribute when the build attribute is set to p.</w:t>
      </w:r>
    </w:p>
    <w:p w:rsidR="000A156F" w:rsidRDefault="00A9721F">
      <w:pPr>
        <w:pStyle w:val="Heading3"/>
      </w:pPr>
      <w:bookmarkStart w:id="2320" w:name="section_cfa661aede3a4d16b06d06e35e721b89"/>
      <w:bookmarkStart w:id="2321" w:name="_Toc181684186"/>
      <w:r>
        <w:t>Part 1 Section 19.5.17, bldSub (Build Sub Elements)</w:t>
      </w:r>
      <w:bookmarkEnd w:id="2320"/>
      <w:bookmarkEnd w:id="2321"/>
      <w:r>
        <w:fldChar w:fldCharType="begin"/>
      </w:r>
      <w:r>
        <w:instrText xml:space="preserve"> XE "bldSub (Build Sub Elements)" </w:instrText>
      </w:r>
      <w:r>
        <w:fldChar w:fldCharType="end"/>
      </w:r>
    </w:p>
    <w:p w:rsidR="000A156F" w:rsidRDefault="00A9721F">
      <w:pPr>
        <w:pStyle w:val="Definition-Field"/>
      </w:pPr>
      <w:r>
        <w:t xml:space="preserve">a.   </w:t>
      </w:r>
      <w:r>
        <w:rPr>
          <w:i/>
        </w:rPr>
        <w:t>The standard places no restrictions on t</w:t>
      </w:r>
      <w:r>
        <w:rPr>
          <w:i/>
        </w:rPr>
        <w:t>he relationship between the bldSub's parent and child elements.</w:t>
      </w:r>
    </w:p>
    <w:p w:rsidR="000A156F" w:rsidRDefault="00A9721F">
      <w:pPr>
        <w:pStyle w:val="Definition-Field2"/>
      </w:pPr>
      <w:r>
        <w:t>PowerPoint requires that the spid attribute of the bldGraphic parent element must match the type of the bldSub child element.</w:t>
      </w:r>
    </w:p>
    <w:p w:rsidR="000A156F" w:rsidRDefault="00A9721F">
      <w:pPr>
        <w:pStyle w:val="Heading3"/>
      </w:pPr>
      <w:bookmarkStart w:id="2322" w:name="section_f8515cce689b42c6aaa1816d25c1fd7b"/>
      <w:bookmarkStart w:id="2323" w:name="_Toc181684187"/>
      <w:r>
        <w:t>Part 1 Section 19.5.21, by (By)</w:t>
      </w:r>
      <w:bookmarkEnd w:id="2322"/>
      <w:bookmarkEnd w:id="2323"/>
      <w:r>
        <w:fldChar w:fldCharType="begin"/>
      </w:r>
      <w:r>
        <w:instrText xml:space="preserve"> XE "by (By)" </w:instrText>
      </w:r>
      <w:r>
        <w:fldChar w:fldCharType="end"/>
      </w:r>
    </w:p>
    <w:p w:rsidR="000A156F" w:rsidRDefault="00A9721F">
      <w:pPr>
        <w:pStyle w:val="Definition-Field2"/>
      </w:pPr>
      <w:r>
        <w:rPr>
          <w:i/>
        </w:rPr>
        <w:t>For additional not</w:t>
      </w:r>
      <w:r>
        <w:rPr>
          <w:i/>
        </w:rPr>
        <w:t xml:space="preserve">es that apply to this portion of the standard, please see the notes for </w:t>
      </w:r>
      <w:hyperlink w:anchor="Section_376276c2d99a446084d99a1a45b2bd14">
        <w:r>
          <w:rPr>
            <w:rStyle w:val="Hyperlink"/>
          </w:rPr>
          <w:t>rCtr, §19.5.62(a)</w:t>
        </w:r>
      </w:hyperlink>
      <w:r>
        <w:rPr>
          <w:i/>
        </w:rPr>
        <w:t>.</w:t>
      </w:r>
    </w:p>
    <w:p w:rsidR="000A156F" w:rsidRDefault="00A9721F">
      <w:pPr>
        <w:pStyle w:val="Definition-Field"/>
      </w:pPr>
      <w:r>
        <w:t xml:space="preserve">a.   </w:t>
      </w:r>
      <w:r>
        <w:rPr>
          <w:i/>
        </w:rPr>
        <w:t>The standard states that the x attribute describes the X coordinate.</w:t>
      </w:r>
    </w:p>
    <w:p w:rsidR="000A156F" w:rsidRDefault="00A9721F">
      <w:pPr>
        <w:pStyle w:val="Definition-Field2"/>
      </w:pPr>
      <w:r>
        <w:t>PowerPoint uses the x attrib</w:t>
      </w:r>
      <w:r>
        <w:t>ute to specify the slide width percentage change when the by element is parented by the animMotion element, and the animated object width percentage change when the by element is parented by the animScale element.</w:t>
      </w:r>
    </w:p>
    <w:p w:rsidR="000A156F" w:rsidRDefault="00A9721F">
      <w:pPr>
        <w:pStyle w:val="Definition-Field"/>
      </w:pPr>
      <w:r>
        <w:t xml:space="preserve">b.   </w:t>
      </w:r>
      <w:r>
        <w:rPr>
          <w:i/>
        </w:rPr>
        <w:t>The standard states that the y attrib</w:t>
      </w:r>
      <w:r>
        <w:rPr>
          <w:i/>
        </w:rPr>
        <w:t>ute describes the Y coordinate.</w:t>
      </w:r>
    </w:p>
    <w:p w:rsidR="000A156F" w:rsidRDefault="00A9721F">
      <w:pPr>
        <w:pStyle w:val="Definition-Field2"/>
      </w:pPr>
      <w:r>
        <w:t>PowerPoint uses the y attribute to specify the slide height percentage change when the by element is parented by the animMotion element, and the animated object height percentage change when the by element is parented by the</w:t>
      </w:r>
      <w:r>
        <w:t xml:space="preserve"> animScale element.</w:t>
      </w:r>
    </w:p>
    <w:p w:rsidR="000A156F" w:rsidRDefault="00A9721F">
      <w:pPr>
        <w:pStyle w:val="Heading3"/>
      </w:pPr>
      <w:bookmarkStart w:id="2324" w:name="section_b9a20a7864014a8b8ca9b31ead409132"/>
      <w:bookmarkStart w:id="2325" w:name="_Toc181684188"/>
      <w:r>
        <w:t>Part 1 Section 19.5.22, cBhvr (Common Behavior)</w:t>
      </w:r>
      <w:bookmarkEnd w:id="2324"/>
      <w:bookmarkEnd w:id="2325"/>
      <w:r>
        <w:fldChar w:fldCharType="begin"/>
      </w:r>
      <w:r>
        <w:instrText xml:space="preserve"> XE "cBhvr (Common Behavior)" </w:instrText>
      </w:r>
      <w:r>
        <w:fldChar w:fldCharType="end"/>
      </w:r>
    </w:p>
    <w:p w:rsidR="000A156F" w:rsidRDefault="00A9721F">
      <w:pPr>
        <w:pStyle w:val="Definition-Field"/>
      </w:pPr>
      <w:r>
        <w:t xml:space="preserve">a.   </w:t>
      </w:r>
      <w:r>
        <w:rPr>
          <w:i/>
        </w:rPr>
        <w:t>The standard states that the by attribute specifies a relative offset value for the animation.</w:t>
      </w:r>
    </w:p>
    <w:p w:rsidR="000A156F" w:rsidRDefault="00A9721F">
      <w:r>
        <w:lastRenderedPageBreak/>
        <w:t>The string value represents a 2D point, for example "0.5</w:t>
      </w:r>
      <w:r>
        <w:t xml:space="preserve"> 0.5" or "(#ppt_x-0.1, #ppt_w)". The two elements can be real numbers, or formula. They are separated either by space or by comma. When using a formula, it must be enclosed in parentheses. The format is specified as follows:</w:t>
      </w:r>
    </w:p>
    <w:p w:rsidR="000A156F" w:rsidRDefault="00A9721F">
      <w:r>
        <w:t>2d_point = 2d_point_number | 2d</w:t>
      </w:r>
      <w:r>
        <w:t>_point_formula ;</w:t>
      </w:r>
    </w:p>
    <w:p w:rsidR="000A156F" w:rsidRDefault="00A9721F">
      <w:r>
        <w:t>2d_point_number = real_number , ( ‘ ‘ | ’,’ ) , real_number ;</w:t>
      </w:r>
    </w:p>
    <w:p w:rsidR="000A156F" w:rsidRDefault="00A9721F">
      <w:r>
        <w:t>2d_point_formula = ‘(‘ , formula , ( ‘ ‘ | ‘,‘ ) , formula , ‘)’ ;</w:t>
      </w:r>
    </w:p>
    <w:p w:rsidR="000A156F" w:rsidRDefault="00A9721F">
      <w:r>
        <w:t>real_number is further specified in "</w:t>
      </w:r>
      <w:hyperlink r:id="rId164">
        <w:r>
          <w:rPr>
            <w:rStyle w:val="Hyperlink"/>
          </w:rPr>
          <w:t>[ISO/IE</w:t>
        </w:r>
        <w:r>
          <w:rPr>
            <w:rStyle w:val="Hyperlink"/>
          </w:rPr>
          <w:t>C-29500-1]</w:t>
        </w:r>
      </w:hyperlink>
      <w:r>
        <w:t xml:space="preserve"> §19.5.89; to"</w:t>
      </w:r>
    </w:p>
    <w:p w:rsidR="000A156F" w:rsidRDefault="00A9721F">
      <w:r>
        <w:t>formula is further specified in "[ISO/IEC-29500-1] §19.5.79; tav"</w:t>
      </w:r>
    </w:p>
    <w:p w:rsidR="000A156F" w:rsidRDefault="00A9721F">
      <w:pPr>
        <w:pStyle w:val="Definition-Field"/>
      </w:pPr>
      <w:r>
        <w:t xml:space="preserve">b.   </w:t>
      </w:r>
      <w:r>
        <w:rPr>
          <w:i/>
        </w:rPr>
        <w:t>The standard states that the from attribute specifies a relative offset value for the animation.</w:t>
      </w:r>
    </w:p>
    <w:p w:rsidR="000A156F" w:rsidRDefault="00A9721F">
      <w:r>
        <w:t>The string value represents a 2D point, for example "0.5 0.5" o</w:t>
      </w:r>
      <w:r>
        <w:t>r "(#ppt_x-0.1, #ppt_w)". The two elements can be real numbers, or formula. They are separated either by space or by comma. When using a formula, it must be enclosed within parentheses. The format is specified as follows:</w:t>
      </w:r>
    </w:p>
    <w:p w:rsidR="000A156F" w:rsidRDefault="00A9721F">
      <w:r>
        <w:t>2d_point = 2d_point_number | 2d_po</w:t>
      </w:r>
      <w:r>
        <w:t>int_formula ;</w:t>
      </w:r>
    </w:p>
    <w:p w:rsidR="000A156F" w:rsidRDefault="00A9721F">
      <w:r>
        <w:t>2d_point_number = real_number , ( ‘ ‘ | ’,’ ) , real_number ;</w:t>
      </w:r>
    </w:p>
    <w:p w:rsidR="000A156F" w:rsidRDefault="00A9721F">
      <w:r>
        <w:t>2d_point_formula = ‘(‘ , formula , ( ‘ ‘ | ‘,‘ ) , formula , ‘)’ ;</w:t>
      </w:r>
    </w:p>
    <w:p w:rsidR="000A156F" w:rsidRDefault="00A9721F">
      <w:r>
        <w:t>real_number is further specified in "[ISO/IEC-29500-1] §19.5.89; to"</w:t>
      </w:r>
    </w:p>
    <w:p w:rsidR="000A156F" w:rsidRDefault="00A9721F">
      <w:r>
        <w:t>formula is further specified in "</w:t>
      </w:r>
      <w:r>
        <w:t>[ISO/IEC-29500-1] §19.5.79; tav"</w:t>
      </w:r>
    </w:p>
    <w:p w:rsidR="000A156F" w:rsidRDefault="00A9721F">
      <w:pPr>
        <w:pStyle w:val="Definition-Field"/>
      </w:pPr>
      <w:r>
        <w:t xml:space="preserve">c.   </w:t>
      </w:r>
      <w:r>
        <w:rPr>
          <w:i/>
        </w:rPr>
        <w:t>The standard states that the to attribute specifies a relative offset value for the animation.</w:t>
      </w:r>
    </w:p>
    <w:p w:rsidR="000A156F" w:rsidRDefault="00A9721F">
      <w:r>
        <w:t xml:space="preserve">The string value represents a 2D point, for example "0.5 0.5" or "(#ppt_x-0.1, #ppt_w)". The two elements can be real </w:t>
      </w:r>
      <w:r>
        <w:t>numbers, or formula. They are separated either by space or by comma. When a using formula, it must be enclosed within parentheses. The format is specified as follows:</w:t>
      </w:r>
    </w:p>
    <w:p w:rsidR="000A156F" w:rsidRDefault="00A9721F">
      <w:r>
        <w:t>2d_point = 2d_point_number | 2d_point_formula ;</w:t>
      </w:r>
    </w:p>
    <w:p w:rsidR="000A156F" w:rsidRDefault="00A9721F">
      <w:r>
        <w:t>2d_point_number = real_number , ( ‘ ‘ | ’</w:t>
      </w:r>
      <w:r>
        <w:t>,’ ) , real_number ;</w:t>
      </w:r>
    </w:p>
    <w:p w:rsidR="000A156F" w:rsidRDefault="00A9721F">
      <w:r>
        <w:t>2d_point_formula = ‘(‘ , formula , ( ‘ ‘ | ‘,‘ ) , formula , ‘)’ ;</w:t>
      </w:r>
    </w:p>
    <w:p w:rsidR="000A156F" w:rsidRDefault="00A9721F">
      <w:r>
        <w:t>real_number is further specified in "[ISO/IEC-29500-1] §19.5.89; to"</w:t>
      </w:r>
    </w:p>
    <w:p w:rsidR="000A156F" w:rsidRDefault="00A9721F">
      <w:r>
        <w:t>formula is further specified in "[ISO/IEC-29500-1] §19.5.79; tav"</w:t>
      </w:r>
    </w:p>
    <w:p w:rsidR="000A156F" w:rsidRDefault="00A9721F">
      <w:pPr>
        <w:pStyle w:val="Definition-Field"/>
      </w:pPr>
      <w:r>
        <w:t xml:space="preserve">d.   </w:t>
      </w:r>
      <w:r>
        <w:rPr>
          <w:i/>
        </w:rPr>
        <w:t xml:space="preserve">The standard does not state </w:t>
      </w:r>
      <w:r>
        <w:rPr>
          <w:i/>
        </w:rPr>
        <w:t>a default value for the additive attribute.</w:t>
      </w:r>
    </w:p>
    <w:p w:rsidR="000A156F" w:rsidRDefault="00A9721F">
      <w:pPr>
        <w:pStyle w:val="Definition-Field2"/>
      </w:pPr>
      <w:r>
        <w:t>PowerPoint uses a default value of base for the additive attribute.</w:t>
      </w:r>
    </w:p>
    <w:p w:rsidR="000A156F" w:rsidRDefault="00A9721F">
      <w:pPr>
        <w:pStyle w:val="Definition-Field"/>
      </w:pPr>
      <w:r>
        <w:t xml:space="preserve">e.   </w:t>
      </w:r>
      <w:r>
        <w:rPr>
          <w:i/>
        </w:rPr>
        <w:t>The standard does not state a default value for the accumulate attribute.</w:t>
      </w:r>
    </w:p>
    <w:p w:rsidR="000A156F" w:rsidRDefault="00A9721F">
      <w:pPr>
        <w:pStyle w:val="Definition-Field2"/>
      </w:pPr>
      <w:r>
        <w:t>PowerPoint uses a default value of none for the accumulate attrib</w:t>
      </w:r>
      <w:r>
        <w:t>ute.</w:t>
      </w:r>
    </w:p>
    <w:p w:rsidR="000A156F" w:rsidRDefault="00A9721F">
      <w:pPr>
        <w:pStyle w:val="Definition-Field"/>
      </w:pPr>
      <w:r>
        <w:t xml:space="preserve">f.   </w:t>
      </w:r>
      <w:r>
        <w:rPr>
          <w:i/>
        </w:rPr>
        <w:t>The standard does not state a default value for the xfrmType attribute.</w:t>
      </w:r>
    </w:p>
    <w:p w:rsidR="000A156F" w:rsidRDefault="00A9721F">
      <w:pPr>
        <w:pStyle w:val="Definition-Field2"/>
      </w:pPr>
      <w:r>
        <w:t>PowerPoint uses a default value of pt for the xfrmType attribute.</w:t>
      </w:r>
    </w:p>
    <w:p w:rsidR="000A156F" w:rsidRDefault="00A9721F">
      <w:pPr>
        <w:pStyle w:val="Definition-Field"/>
      </w:pPr>
      <w:r>
        <w:t xml:space="preserve">g.   </w:t>
      </w:r>
      <w:r>
        <w:rPr>
          <w:i/>
        </w:rPr>
        <w:t>The standard states that the rctx attribute describes the runtime context of the animation and that the</w:t>
      </w:r>
      <w:r>
        <w:rPr>
          <w:i/>
        </w:rPr>
        <w:t xml:space="preserve"> understood values are PPT and IE.</w:t>
      </w:r>
    </w:p>
    <w:p w:rsidR="000A156F" w:rsidRDefault="00A9721F">
      <w:r>
        <w:t>Office places additional restrictions on the format for the value of the rctx attribute as follows:</w:t>
      </w:r>
    </w:p>
    <w:p w:rsidR="000A156F" w:rsidRDefault="00A9721F">
      <w:r>
        <w:lastRenderedPageBreak/>
        <w:t>runtime_context = context_atom, { ‘;’, context_atom } [ ‘;’ ];</w:t>
      </w:r>
    </w:p>
    <w:p w:rsidR="000A156F" w:rsidRDefault="00A9721F">
      <w:r>
        <w:t xml:space="preserve">context_atom = [ relation_operator, Space ],  app_abbrev, </w:t>
      </w:r>
      <w:r>
        <w:t>[ Space , version ];</w:t>
      </w:r>
    </w:p>
    <w:p w:rsidR="000A156F" w:rsidRDefault="00A9721F">
      <w:r>
        <w:t>relation_operator = gte | gt | lte | lt | not;</w:t>
      </w:r>
    </w:p>
    <w:p w:rsidR="000A156F" w:rsidRDefault="00A9721F">
      <w:r>
        <w:t>app_abbrev = PPT_abbrev | IE_abbrev;</w:t>
      </w:r>
    </w:p>
    <w:p w:rsidR="000A156F" w:rsidRDefault="00A9721F">
      <w:r>
        <w:t>PPT_abbrev =  ( ‘p’ | ‘P’ ), ( ‘p’ | ‘P’ ), ( ‘t’ | ‘T’ );</w:t>
      </w:r>
    </w:p>
    <w:p w:rsidR="000A156F" w:rsidRDefault="00A9721F">
      <w:r>
        <w:t>IE_abbrev = ( ‘i’ | ‘I’ ), ( ‘e’ | ‘E’ );</w:t>
      </w:r>
    </w:p>
    <w:p w:rsidR="000A156F" w:rsidRDefault="00A9721F">
      <w:r>
        <w:t>version = dec_number, [ ‘.’ ], [ dec_number ];</w:t>
      </w:r>
    </w:p>
    <w:p w:rsidR="000A156F" w:rsidRDefault="00A9721F">
      <w:r>
        <w:t>dec</w:t>
      </w:r>
      <w:r>
        <w:t>_number = Digit, { Digit };</w:t>
      </w:r>
    </w:p>
    <w:p w:rsidR="000A156F" w:rsidRDefault="00A9721F">
      <w:r>
        <w:t>gte = ‘g’, ‘t’, ‘e’;</w:t>
      </w:r>
    </w:p>
    <w:p w:rsidR="000A156F" w:rsidRDefault="00A9721F">
      <w:r>
        <w:t>gt = ‘g’, ‘t’;</w:t>
      </w:r>
    </w:p>
    <w:p w:rsidR="000A156F" w:rsidRDefault="00A9721F">
      <w:r>
        <w:t>lte = ‘l’, ‘t’, ‘e’;</w:t>
      </w:r>
    </w:p>
    <w:p w:rsidR="000A156F" w:rsidRDefault="00A9721F">
      <w:r>
        <w:t>lt = ‘l’, ‘t’;</w:t>
      </w:r>
    </w:p>
    <w:p w:rsidR="000A156F" w:rsidRDefault="00A9721F">
      <w:r>
        <w:t>not = ‘!’;</w:t>
      </w:r>
    </w:p>
    <w:p w:rsidR="000A156F" w:rsidRDefault="00A9721F">
      <w:r>
        <w:t>Space = ‘ ‘, { ‘ ‘ };</w:t>
      </w:r>
    </w:p>
    <w:p w:rsidR="000A156F" w:rsidRDefault="00A9721F">
      <w:r>
        <w:t>Digit = ‘0’ | ‘1’ | ‘2’ | ‘3’ | ‘4’ | ‘5’ | ‘6’ | ‘7’ | ‘8’ | ‘9’;</w:t>
      </w:r>
    </w:p>
    <w:p w:rsidR="000A156F" w:rsidRDefault="00A9721F">
      <w:pPr>
        <w:pStyle w:val="Heading3"/>
      </w:pPr>
      <w:bookmarkStart w:id="2326" w:name="section_d0b4598cf4e147ff91b08fb5abb708f3"/>
      <w:bookmarkStart w:id="2327" w:name="_Toc181684189"/>
      <w:r>
        <w:t>Part 1 Section 19.5.23, charRg (Character Range)</w:t>
      </w:r>
      <w:bookmarkEnd w:id="2326"/>
      <w:bookmarkEnd w:id="2327"/>
      <w:r>
        <w:fldChar w:fldCharType="begin"/>
      </w:r>
      <w:r>
        <w:instrText xml:space="preserve"> XE "charRg (Character Range)"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0A156F" w:rsidRDefault="00A9721F">
      <w:pPr>
        <w:pStyle w:val="Definition-Field"/>
      </w:pPr>
      <w:r>
        <w:t xml:space="preserve">a.   </w:t>
      </w:r>
      <w:r>
        <w:rPr>
          <w:i/>
        </w:rPr>
        <w:t>The standard places no restrictions on the val</w:t>
      </w:r>
      <w:r>
        <w:rPr>
          <w:i/>
        </w:rPr>
        <w:t>ues of the st and end attributes.</w:t>
      </w:r>
    </w:p>
    <w:p w:rsidR="000A156F" w:rsidRDefault="00A9721F">
      <w:pPr>
        <w:pStyle w:val="Definition-Field2"/>
      </w:pPr>
      <w:r>
        <w:t>PowerPoint requires the end attribute to be greater than the value of the st attribute and less than or equal to the length of the animated text.</w:t>
      </w:r>
    </w:p>
    <w:p w:rsidR="000A156F" w:rsidRDefault="00A9721F">
      <w:pPr>
        <w:pStyle w:val="Heading3"/>
      </w:pPr>
      <w:bookmarkStart w:id="2328" w:name="section_df47e7534a9149aab3417f3c92cb9878"/>
      <w:bookmarkStart w:id="2329" w:name="_Toc181684190"/>
      <w:r>
        <w:t>Part 1 Section 19.5.28, cmd (Command)</w:t>
      </w:r>
      <w:bookmarkEnd w:id="2328"/>
      <w:bookmarkEnd w:id="2329"/>
      <w:r>
        <w:fldChar w:fldCharType="begin"/>
      </w:r>
      <w:r>
        <w:instrText xml:space="preserve"> XE "cmd (Command)" </w:instrText>
      </w:r>
      <w:r>
        <w:fldChar w:fldCharType="end"/>
      </w:r>
    </w:p>
    <w:p w:rsidR="000A156F" w:rsidRDefault="00A9721F">
      <w:pPr>
        <w:pStyle w:val="Definition-Field2"/>
      </w:pPr>
      <w:r>
        <w:rPr>
          <w:i/>
        </w:rPr>
        <w:t>For additional n</w:t>
      </w:r>
      <w:r>
        <w:rPr>
          <w:i/>
        </w:rPr>
        <w:t xml:space="preserve">otes that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Definition-Field"/>
      </w:pPr>
      <w:r>
        <w:t xml:space="preserve">a.   </w:t>
      </w:r>
      <w:r>
        <w:rPr>
          <w:i/>
        </w:rPr>
        <w:t>The standard does not state a default value for the type attribute.</w:t>
      </w:r>
    </w:p>
    <w:p w:rsidR="000A156F" w:rsidRDefault="00A9721F">
      <w:pPr>
        <w:pStyle w:val="Definition-Field2"/>
      </w:pPr>
      <w:r>
        <w:t xml:space="preserve">PowerPoint uses a default </w:t>
      </w:r>
      <w:r>
        <w:t>value of call for the type attribute.</w:t>
      </w:r>
    </w:p>
    <w:p w:rsidR="000A156F" w:rsidRDefault="00A9721F">
      <w:pPr>
        <w:pStyle w:val="Heading3"/>
      </w:pPr>
      <w:bookmarkStart w:id="2330" w:name="section_9fb1b81dd5a14aae911fd0be67f559f3"/>
      <w:bookmarkStart w:id="2331" w:name="_Toc181684191"/>
      <w:r>
        <w:t>Part 1 Section 19.5.29, cMediaNode (Common Media Node Properties)</w:t>
      </w:r>
      <w:bookmarkEnd w:id="2330"/>
      <w:bookmarkEnd w:id="2331"/>
      <w:r>
        <w:fldChar w:fldCharType="begin"/>
      </w:r>
      <w:r>
        <w:instrText xml:space="preserve"> XE "cMediaNode (Common Media Node Properties)" </w:instrText>
      </w:r>
      <w:r>
        <w:fldChar w:fldCharType="end"/>
      </w:r>
    </w:p>
    <w:p w:rsidR="000A156F" w:rsidRDefault="00A9721F">
      <w:pPr>
        <w:pStyle w:val="Definition-Field"/>
      </w:pPr>
      <w:r>
        <w:t xml:space="preserve">a.   </w:t>
      </w:r>
      <w:r>
        <w:rPr>
          <w:i/>
        </w:rPr>
        <w:t>The standard states that the cMediaNode describes the behavior of media elements within an animat</w:t>
      </w:r>
      <w:r>
        <w:rPr>
          <w:i/>
        </w:rPr>
        <w:t>ion.</w:t>
      </w:r>
    </w:p>
    <w:p w:rsidR="000A156F" w:rsidRDefault="00A9721F">
      <w:r>
        <w:t xml:space="preserve">The child </w:t>
      </w:r>
      <w:r>
        <w:rPr>
          <w:b/>
        </w:rPr>
        <w:t>tgtEl</w:t>
      </w:r>
      <w:r>
        <w:t xml:space="preserve"> element ("</w:t>
      </w:r>
      <w:hyperlink r:id="rId165">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sndTgt e</w:t>
      </w:r>
      <w:r>
        <w:rPr>
          <w:b/>
        </w:rPr>
        <w:t xml:space="preserve">lement </w:t>
      </w:r>
      <w:r>
        <w:t xml:space="preserve">("[ISO/IEC-29500-1] §19.5.70; sndTgt").  A valid media shape is a shape that includes as a child of the </w:t>
      </w:r>
      <w:r>
        <w:rPr>
          <w:b/>
        </w:rPr>
        <w:t>nvPr</w:t>
      </w:r>
      <w:r>
        <w:t xml:space="preserve"> element ("[ISO/IEC-29500-1] §19.3.1.33; nvPr") one of the following elements:</w:t>
      </w:r>
    </w:p>
    <w:p w:rsidR="000A156F" w:rsidRDefault="00A9721F">
      <w:pPr>
        <w:pStyle w:val="ListParagraph"/>
        <w:numPr>
          <w:ilvl w:val="0"/>
          <w:numId w:val="128"/>
        </w:numPr>
        <w:contextualSpacing/>
      </w:pPr>
      <w:r>
        <w:rPr>
          <w:b/>
        </w:rPr>
        <w:t>videoFile</w:t>
      </w:r>
      <w:r>
        <w:t xml:space="preserve"> ("[ISO/IEC-29500-1] §20.1.3.6; videoFile")</w:t>
      </w:r>
    </w:p>
    <w:p w:rsidR="000A156F" w:rsidRDefault="00A9721F">
      <w:pPr>
        <w:pStyle w:val="ListParagraph"/>
        <w:numPr>
          <w:ilvl w:val="0"/>
          <w:numId w:val="128"/>
        </w:numPr>
        <w:contextualSpacing/>
      </w:pPr>
      <w:r>
        <w:rPr>
          <w:b/>
        </w:rPr>
        <w:lastRenderedPageBreak/>
        <w:t>wavAudioF</w:t>
      </w:r>
      <w:r>
        <w:rPr>
          <w:b/>
        </w:rPr>
        <w:t xml:space="preserve">ile </w:t>
      </w:r>
      <w:r>
        <w:t xml:space="preserve">("[ISO/IEC-29500-1] §20.1.3.7; wavAudioFile") </w:t>
      </w:r>
    </w:p>
    <w:p w:rsidR="000A156F" w:rsidRDefault="00A9721F">
      <w:pPr>
        <w:pStyle w:val="ListParagraph"/>
        <w:numPr>
          <w:ilvl w:val="0"/>
          <w:numId w:val="128"/>
        </w:numPr>
        <w:contextualSpacing/>
      </w:pPr>
      <w:r>
        <w:rPr>
          <w:b/>
        </w:rPr>
        <w:t xml:space="preserve">audioFile </w:t>
      </w:r>
      <w:r>
        <w:t xml:space="preserve">("[ISO/IEC-29500-1] §20.1.3.2; audioFile") </w:t>
      </w:r>
    </w:p>
    <w:p w:rsidR="000A156F" w:rsidRDefault="00A9721F">
      <w:pPr>
        <w:pStyle w:val="ListParagraph"/>
        <w:numPr>
          <w:ilvl w:val="0"/>
          <w:numId w:val="128"/>
        </w:numPr>
        <w:contextualSpacing/>
      </w:pPr>
      <w:r>
        <w:rPr>
          <w:b/>
        </w:rPr>
        <w:t xml:space="preserve">audioCd </w:t>
      </w:r>
      <w:r>
        <w:t>("[ISO/IEC-29500-1] §20.1.3.1; audioCd")</w:t>
      </w:r>
    </w:p>
    <w:p w:rsidR="000A156F" w:rsidRDefault="00A9721F">
      <w:pPr>
        <w:pStyle w:val="ListParagraph"/>
        <w:numPr>
          <w:ilvl w:val="0"/>
          <w:numId w:val="128"/>
        </w:numPr>
      </w:pPr>
      <w:r>
        <w:rPr>
          <w:b/>
        </w:rPr>
        <w:t xml:space="preserve">quickTimeFile </w:t>
      </w:r>
      <w:r>
        <w:t xml:space="preserve">("[ISO/IEC-29500-1] §20.1.3.4; quickTimeFile") </w:t>
      </w:r>
    </w:p>
    <w:p w:rsidR="000A156F" w:rsidRDefault="00A9721F">
      <w:pPr>
        <w:pStyle w:val="Heading3"/>
      </w:pPr>
      <w:bookmarkStart w:id="2332" w:name="section_4e694ff4c1d6437e9c0f99bdd419c427"/>
      <w:bookmarkStart w:id="2333" w:name="_Toc181684192"/>
      <w:r>
        <w:t>Part 1 Section 19.5.31, cond (Condition)</w:t>
      </w:r>
      <w:bookmarkEnd w:id="2332"/>
      <w:bookmarkEnd w:id="2333"/>
      <w:r>
        <w:fldChar w:fldCharType="begin"/>
      </w:r>
      <w:r>
        <w:instrText xml:space="preserve"> XE "cond (Condition)" </w:instrText>
      </w:r>
      <w:r>
        <w:fldChar w:fldCharType="end"/>
      </w:r>
    </w:p>
    <w:p w:rsidR="000A156F" w:rsidRDefault="00A9721F">
      <w:pPr>
        <w:pStyle w:val="Definition-Field"/>
      </w:pPr>
      <w:r>
        <w:t xml:space="preserve">a.   </w:t>
      </w:r>
      <w:r>
        <w:rPr>
          <w:i/>
        </w:rPr>
        <w:t>The standard does not state a default value for the delay attribute.</w:t>
      </w:r>
    </w:p>
    <w:p w:rsidR="000A156F" w:rsidRDefault="00A9721F">
      <w:pPr>
        <w:pStyle w:val="Definition-Field2"/>
      </w:pPr>
      <w:r>
        <w:t>PowerPoint uses a default value of 0 for the delay attribute.</w:t>
      </w:r>
    </w:p>
    <w:p w:rsidR="000A156F" w:rsidRDefault="00A9721F">
      <w:pPr>
        <w:pStyle w:val="Definition-Field"/>
      </w:pPr>
      <w:r>
        <w:t xml:space="preserve">b.   </w:t>
      </w:r>
      <w:r>
        <w:rPr>
          <w:i/>
        </w:rPr>
        <w:t>The standard places no restrictions on the relationship between the value of the evt attr</w:t>
      </w:r>
      <w:r>
        <w:rPr>
          <w:i/>
        </w:rPr>
        <w:t>ibute and the child elements of the cond element.</w:t>
      </w:r>
    </w:p>
    <w:p w:rsidR="000A156F" w:rsidRDefault="00A9721F">
      <w:pPr>
        <w:pStyle w:val="Definition-Field2"/>
      </w:pPr>
      <w:r>
        <w:t>PowerPoint does not support the rtn, tgtEl, or tn child elements when the value of the evt attribute is none; if the evt attribute has any other value, the child element specifies the target of the event.</w:t>
      </w:r>
    </w:p>
    <w:p w:rsidR="000A156F" w:rsidRDefault="00A9721F">
      <w:pPr>
        <w:pStyle w:val="Heading3"/>
      </w:pPr>
      <w:bookmarkStart w:id="2334" w:name="section_02b2312e970042e08a19b2af1ba83a20"/>
      <w:bookmarkStart w:id="2335" w:name="_Toc181684193"/>
      <w:r>
        <w:t>P</w:t>
      </w:r>
      <w:r>
        <w:t>art 1 Section 19.5.33, cTn (Common Time Node Properties)</w:t>
      </w:r>
      <w:bookmarkEnd w:id="2334"/>
      <w:bookmarkEnd w:id="2335"/>
      <w:r>
        <w:fldChar w:fldCharType="begin"/>
      </w:r>
      <w:r>
        <w:instrText xml:space="preserve"> XE "cTn (Common Time Node Properties)" </w:instrText>
      </w:r>
      <w:r>
        <w:fldChar w:fldCharType="end"/>
      </w:r>
    </w:p>
    <w:p w:rsidR="000A156F" w:rsidRDefault="00A9721F">
      <w:pPr>
        <w:pStyle w:val="Definition-Field"/>
      </w:pPr>
      <w:r>
        <w:t xml:space="preserve">a.   </w:t>
      </w:r>
      <w:r>
        <w:rPr>
          <w:i/>
        </w:rPr>
        <w:t>The standard does not specify how to interpret a presetID attribute value of 0.</w:t>
      </w:r>
    </w:p>
    <w:p w:rsidR="000A156F" w:rsidRDefault="00A9721F">
      <w:pPr>
        <w:pStyle w:val="Definition-Field2"/>
      </w:pPr>
      <w:r>
        <w:t xml:space="preserve">PowerPoint interprets the value of 0 on the presetID attribute as being </w:t>
      </w:r>
      <w:r>
        <w:t>equivalent to the custom setting.</w:t>
      </w:r>
    </w:p>
    <w:p w:rsidR="000A156F" w:rsidRDefault="00A9721F">
      <w:pPr>
        <w:pStyle w:val="Definition-Field"/>
      </w:pPr>
      <w:r>
        <w:t xml:space="preserve">b.   </w:t>
      </w:r>
      <w:r>
        <w:rPr>
          <w:i/>
        </w:rPr>
        <w:t>The standard does not state a default value for the dur attribute.</w:t>
      </w:r>
    </w:p>
    <w:p w:rsidR="000A156F" w:rsidRDefault="00A9721F">
      <w:pPr>
        <w:pStyle w:val="Definition-Field2"/>
      </w:pPr>
      <w:r>
        <w:t>PowerPoint uses a default value of 0 for the dur attribute.</w:t>
      </w:r>
    </w:p>
    <w:p w:rsidR="000A156F" w:rsidRDefault="00A9721F">
      <w:pPr>
        <w:pStyle w:val="Definition-Field"/>
      </w:pPr>
      <w:r>
        <w:t xml:space="preserve">c.   </w:t>
      </w:r>
      <w:r>
        <w:rPr>
          <w:i/>
        </w:rPr>
        <w:t xml:space="preserve">The standard states that the values of the repeatCount attribute are defined by the </w:t>
      </w:r>
      <w:r>
        <w:rPr>
          <w:i/>
        </w:rPr>
        <w:t>ST_TLTime simple type.</w:t>
      </w:r>
    </w:p>
    <w:p w:rsidR="000A156F" w:rsidRDefault="00A9721F">
      <w:pPr>
        <w:pStyle w:val="Definition-Field2"/>
      </w:pPr>
      <w:r>
        <w:t>PowerPoint will not run the time node to completion if the value of the repeatCount attribute is less than 1000.</w:t>
      </w:r>
    </w:p>
    <w:p w:rsidR="000A156F" w:rsidRDefault="00A9721F">
      <w:pPr>
        <w:pStyle w:val="Definition-Field"/>
      </w:pPr>
      <w:r>
        <w:t xml:space="preserve">d.   </w:t>
      </w:r>
      <w:r>
        <w:rPr>
          <w:i/>
        </w:rPr>
        <w:t>The standard does not state a default value for the restart attribute.</w:t>
      </w:r>
    </w:p>
    <w:p w:rsidR="000A156F" w:rsidRDefault="00A9721F">
      <w:pPr>
        <w:pStyle w:val="Definition-Field2"/>
      </w:pPr>
      <w:r>
        <w:t>PowerPoint uses a default value of always fo</w:t>
      </w:r>
      <w:r>
        <w:t>r the restart attribute.</w:t>
      </w:r>
    </w:p>
    <w:p w:rsidR="000A156F" w:rsidRDefault="00A9721F">
      <w:pPr>
        <w:pStyle w:val="Definition-Field"/>
      </w:pPr>
      <w:r>
        <w:t xml:space="preserve">e.   </w:t>
      </w:r>
      <w:r>
        <w:rPr>
          <w:i/>
        </w:rPr>
        <w:t>The standard states that the restart attribute specifies if a node is to restart when it completes its action.</w:t>
      </w:r>
    </w:p>
    <w:p w:rsidR="000A156F" w:rsidRDefault="00A9721F">
      <w:pPr>
        <w:pStyle w:val="Definition-Field2"/>
      </w:pPr>
      <w:r>
        <w:t>PowerPoint uses the restart attribute to specify whether a node is able to restart when it completes its action.</w:t>
      </w:r>
    </w:p>
    <w:p w:rsidR="000A156F" w:rsidRDefault="00A9721F">
      <w:pPr>
        <w:pStyle w:val="Definition-Field"/>
      </w:pPr>
      <w:r>
        <w:t>f.</w:t>
      </w:r>
      <w:r>
        <w:t xml:space="preserve">   </w:t>
      </w:r>
      <w:r>
        <w:rPr>
          <w:i/>
        </w:rPr>
        <w:t>The standard does not state a default value for the display attribute.</w:t>
      </w:r>
    </w:p>
    <w:p w:rsidR="000A156F" w:rsidRDefault="00A9721F">
      <w:pPr>
        <w:pStyle w:val="Definition-Field2"/>
      </w:pPr>
      <w:r>
        <w:t>PowerPoint uses a default value of true for the display attribute.</w:t>
      </w:r>
    </w:p>
    <w:p w:rsidR="000A156F" w:rsidRDefault="00A9721F">
      <w:pPr>
        <w:pStyle w:val="Definition-Field"/>
      </w:pPr>
      <w:r>
        <w:t xml:space="preserve">g.   </w:t>
      </w:r>
      <w:r>
        <w:rPr>
          <w:i/>
        </w:rPr>
        <w:t>The standard states that the display attribute describes whether the state of the time node is visible or hidd</w:t>
      </w:r>
      <w:r>
        <w:rPr>
          <w:i/>
        </w:rPr>
        <w:t>en.</w:t>
      </w:r>
    </w:p>
    <w:p w:rsidR="000A156F" w:rsidRDefault="00A9721F">
      <w:pPr>
        <w:pStyle w:val="Definition-Field2"/>
      </w:pPr>
      <w:r>
        <w:t>PowerPoint uses the display attribute to specify whether the time node is visible in the user interface.</w:t>
      </w:r>
    </w:p>
    <w:p w:rsidR="000A156F" w:rsidRDefault="00A9721F">
      <w:pPr>
        <w:pStyle w:val="Definition-Field"/>
      </w:pPr>
      <w:r>
        <w:t xml:space="preserve">h.   </w:t>
      </w:r>
      <w:r>
        <w:rPr>
          <w:i/>
        </w:rPr>
        <w:t>The standard places no restrictions on the value of the grpId attribute.</w:t>
      </w:r>
    </w:p>
    <w:p w:rsidR="000A156F" w:rsidRDefault="00A9721F">
      <w:pPr>
        <w:pStyle w:val="Definition-Field2"/>
      </w:pPr>
      <w:r>
        <w:t>PowerPoint requires that value of the grpId attribute match the grpId</w:t>
      </w:r>
      <w:r>
        <w:t xml:space="preserve"> attribute of a child element contained within the bldLst element.</w:t>
      </w:r>
    </w:p>
    <w:p w:rsidR="000A156F" w:rsidRDefault="00A9721F">
      <w:pPr>
        <w:pStyle w:val="Definition-Field"/>
      </w:pPr>
      <w:r>
        <w:lastRenderedPageBreak/>
        <w:t xml:space="preserve">i.   </w:t>
      </w:r>
      <w:r>
        <w:rPr>
          <w:i/>
        </w:rPr>
        <w:t>The standard does not state a default value for the afterEffect attribute.</w:t>
      </w:r>
    </w:p>
    <w:p w:rsidR="000A156F" w:rsidRDefault="00A9721F">
      <w:pPr>
        <w:pStyle w:val="Definition-Field2"/>
      </w:pPr>
      <w:r>
        <w:t>PowerPoint uses a default value of false for the afterEffect attribute.</w:t>
      </w:r>
    </w:p>
    <w:p w:rsidR="000A156F" w:rsidRDefault="00A9721F">
      <w:pPr>
        <w:pStyle w:val="Definition-Field"/>
      </w:pPr>
      <w:r>
        <w:t xml:space="preserve">j.   </w:t>
      </w:r>
      <w:r>
        <w:rPr>
          <w:i/>
        </w:rPr>
        <w:t>The standard states that the aft</w:t>
      </w:r>
      <w:r>
        <w:rPr>
          <w:i/>
        </w:rPr>
        <w:t>erEffect attribute specifies whether there is an after effect applied to the time node.</w:t>
      </w:r>
    </w:p>
    <w:p w:rsidR="000A156F" w:rsidRDefault="00A9721F">
      <w:pPr>
        <w:pStyle w:val="Definition-Field2"/>
      </w:pPr>
      <w:r>
        <w:t>PowerPoint uses the afterEffect attribute to specify whether this time node is an after-effect.</w:t>
      </w:r>
    </w:p>
    <w:p w:rsidR="000A156F" w:rsidRDefault="00A9721F">
      <w:pPr>
        <w:pStyle w:val="Definition-Field"/>
      </w:pPr>
      <w:r>
        <w:t xml:space="preserve">k.   </w:t>
      </w:r>
      <w:r>
        <w:rPr>
          <w:i/>
        </w:rPr>
        <w:t>The standard does not state a default value for the nodePh attribut</w:t>
      </w:r>
      <w:r>
        <w:rPr>
          <w:i/>
        </w:rPr>
        <w:t>e.</w:t>
      </w:r>
    </w:p>
    <w:p w:rsidR="000A156F" w:rsidRDefault="00A9721F">
      <w:pPr>
        <w:pStyle w:val="Definition-Field2"/>
      </w:pPr>
      <w:r>
        <w:t>PowerPoint uses a default value of false for the nodePh attribute.</w:t>
      </w:r>
    </w:p>
    <w:p w:rsidR="000A156F" w:rsidRDefault="00A9721F">
      <w:pPr>
        <w:pStyle w:val="Definition-Field"/>
      </w:pPr>
      <w:r>
        <w:t xml:space="preserve">l.   </w:t>
      </w:r>
      <w:r>
        <w:rPr>
          <w:i/>
        </w:rPr>
        <w:t>The standard states that the tmFilter attribute can be of type string.</w:t>
      </w:r>
    </w:p>
    <w:p w:rsidR="000A156F" w:rsidRDefault="00A9721F">
      <w:r>
        <w:t>In PowerPoint, the string value is expected to be a list of semicolon separated time value pairs, such as “t1,</w:t>
      </w:r>
      <w:r>
        <w:t xml:space="preserve"> t1’;t2,t2’;…”.  In this example, each t is the normalized local time for the element (values range from 0.0 – 1.0), and t’ is the warped time to be used for the element’s local time.</w:t>
      </w:r>
    </w:p>
    <w:p w:rsidR="000A156F" w:rsidRDefault="00A9721F">
      <w:pPr>
        <w:pStyle w:val="Definition-Field"/>
      </w:pPr>
      <w:r>
        <w:t xml:space="preserve">m.   </w:t>
      </w:r>
      <w:r>
        <w:rPr>
          <w:i/>
        </w:rPr>
        <w:t>The standard places no restrictions on the value of the evtFilter a</w:t>
      </w:r>
      <w:r>
        <w:rPr>
          <w:i/>
        </w:rPr>
        <w:t>ttribute.</w:t>
      </w:r>
    </w:p>
    <w:p w:rsidR="000A156F" w:rsidRDefault="00A9721F">
      <w:pPr>
        <w:pStyle w:val="Definition-Field2"/>
      </w:pPr>
      <w:r>
        <w:t>PowerPoint requires that the value of the evtFilter attribute be cancelBubble for triggered sequences.</w:t>
      </w:r>
    </w:p>
    <w:p w:rsidR="000A156F" w:rsidRDefault="00A9721F">
      <w:pPr>
        <w:pStyle w:val="Definition-Field"/>
      </w:pPr>
      <w:r>
        <w:t xml:space="preserve">n.   </w:t>
      </w:r>
      <w:r>
        <w:rPr>
          <w:i/>
        </w:rPr>
        <w:t>The standard states that the syncBehavior attribute specifies how the time node synchronizes to its group.</w:t>
      </w:r>
    </w:p>
    <w:p w:rsidR="000A156F" w:rsidRDefault="00A9721F">
      <w:pPr>
        <w:pStyle w:val="Definition-Field2"/>
      </w:pPr>
      <w:r>
        <w:t>PowerPoint does not support the</w:t>
      </w:r>
      <w:r>
        <w:t xml:space="preserve"> syncBehavior attribute.</w:t>
      </w:r>
    </w:p>
    <w:p w:rsidR="000A156F" w:rsidRDefault="00A9721F">
      <w:pPr>
        <w:pStyle w:val="Heading3"/>
      </w:pPr>
      <w:bookmarkStart w:id="2336" w:name="section_7f6da715ef45439db125c955433cf354"/>
      <w:bookmarkStart w:id="2337" w:name="_Toc181684194"/>
      <w:r>
        <w:t>Part 1 Section 19.5.39, endSync (EndSync)</w:t>
      </w:r>
      <w:bookmarkEnd w:id="2336"/>
      <w:bookmarkEnd w:id="2337"/>
      <w:r>
        <w:fldChar w:fldCharType="begin"/>
      </w:r>
      <w:r>
        <w:instrText xml:space="preserve"> XE "endSync (EndSync)"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e694ff4c1d6437e9c0f99bdd419c427">
        <w:r>
          <w:rPr>
            <w:rStyle w:val="Hyperlink"/>
          </w:rPr>
          <w:t>cond, §19.</w:t>
        </w:r>
        <w:r>
          <w:rPr>
            <w:rStyle w:val="Hyperlink"/>
          </w:rPr>
          <w:t>5.31(a, b)</w:t>
        </w:r>
      </w:hyperlink>
      <w:r>
        <w:rPr>
          <w:i/>
        </w:rPr>
        <w:t>.</w:t>
      </w:r>
    </w:p>
    <w:p w:rsidR="000A156F" w:rsidRDefault="00A9721F">
      <w:pPr>
        <w:pStyle w:val="Heading3"/>
      </w:pPr>
      <w:bookmarkStart w:id="2338" w:name="section_f9503e589cfb47889dccc494550faea9"/>
      <w:bookmarkStart w:id="2339" w:name="_Toc181684195"/>
      <w:r>
        <w:t>Part 1 Section 19.5.40, excl (Exclusive)</w:t>
      </w:r>
      <w:bookmarkEnd w:id="2338"/>
      <w:bookmarkEnd w:id="2339"/>
      <w:r>
        <w:fldChar w:fldCharType="begin"/>
      </w:r>
      <w:r>
        <w:instrText xml:space="preserve"> XE "excl (Exclusive)"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Heading3"/>
      </w:pPr>
      <w:bookmarkStart w:id="2340" w:name="section_9223eaea7e2540e7ba8af68d1796d48e"/>
      <w:bookmarkStart w:id="2341" w:name="_Toc181684196"/>
      <w:r>
        <w:t>Part 1 Section 19.5.43, from (From)</w:t>
      </w:r>
      <w:bookmarkEnd w:id="2340"/>
      <w:bookmarkEnd w:id="2341"/>
      <w:r>
        <w:fldChar w:fldCharType="begin"/>
      </w:r>
      <w:r>
        <w:instrText xml:space="preserve"> XE "from (From)" </w:instrText>
      </w:r>
      <w:r>
        <w:fldChar w:fldCharType="end"/>
      </w:r>
    </w:p>
    <w:p w:rsidR="000A156F" w:rsidRDefault="00A9721F">
      <w:pPr>
        <w:pStyle w:val="Definition-Field"/>
      </w:pPr>
      <w:r>
        <w:t xml:space="preserve">a.   </w:t>
      </w:r>
      <w:r>
        <w:rPr>
          <w:i/>
        </w:rPr>
        <w:t>The standard does not place any restrictions on the color values used when the schemeClr element is a child of the from element.</w:t>
      </w:r>
    </w:p>
    <w:p w:rsidR="000A156F" w:rsidRDefault="00A9721F">
      <w:pPr>
        <w:pStyle w:val="Definition-Field2"/>
      </w:pPr>
      <w:r>
        <w:t>PowerPoint requires that the color values dk1, lt1, dk2, lt2, acce</w:t>
      </w:r>
      <w:r>
        <w:t>nt3, accent4, accent5, accent6 and phClr not be used when the schemeClr element is a child of the from element.</w:t>
      </w:r>
    </w:p>
    <w:p w:rsidR="000A156F" w:rsidRDefault="00A9721F">
      <w:pPr>
        <w:pStyle w:val="Heading3"/>
      </w:pPr>
      <w:bookmarkStart w:id="2342" w:name="section_0ce2da92a86343f5be088a600f8ba222"/>
      <w:bookmarkStart w:id="2343" w:name="_Toc181684197"/>
      <w:r>
        <w:t>Part 1 Section 19.5.44, from (From)</w:t>
      </w:r>
      <w:bookmarkEnd w:id="2342"/>
      <w:bookmarkEnd w:id="2343"/>
      <w:r>
        <w:fldChar w:fldCharType="begin"/>
      </w:r>
      <w:r>
        <w:instrText xml:space="preserve"> XE "from (From)" </w:instrText>
      </w:r>
      <w:r>
        <w:fldChar w:fldCharType="end"/>
      </w:r>
    </w:p>
    <w:p w:rsidR="000A156F" w:rsidRDefault="00A9721F">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0A156F" w:rsidRDefault="00A9721F">
      <w:pPr>
        <w:pStyle w:val="Definition-Field"/>
      </w:pPr>
      <w:r>
        <w:t xml:space="preserve">a.   </w:t>
      </w:r>
      <w:r>
        <w:rPr>
          <w:i/>
        </w:rPr>
        <w:t>The standard states that the x attribute describes the X coordinate.</w:t>
      </w:r>
    </w:p>
    <w:p w:rsidR="000A156F" w:rsidRDefault="00A9721F">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0A156F" w:rsidRDefault="00A9721F">
      <w:pPr>
        <w:pStyle w:val="Definition-Field"/>
      </w:pPr>
      <w:r>
        <w:t xml:space="preserve">b.   </w:t>
      </w:r>
      <w:r>
        <w:rPr>
          <w:i/>
        </w:rPr>
        <w:t>The standard states that the y attribute describes the Y coordinate.</w:t>
      </w:r>
    </w:p>
    <w:p w:rsidR="000A156F" w:rsidRDefault="00A9721F">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0A156F" w:rsidRDefault="00A9721F">
      <w:pPr>
        <w:pStyle w:val="Definition-Field"/>
      </w:pPr>
      <w:r>
        <w:t xml:space="preserve">c.   </w:t>
      </w:r>
      <w:r>
        <w:rPr>
          <w:i/>
        </w:rPr>
        <w:t>The standard states that the from ele</w:t>
      </w:r>
      <w:r>
        <w:rPr>
          <w:i/>
        </w:rPr>
        <w:t>ment specifies an x/y co-ordinate to start the animation from.</w:t>
      </w:r>
    </w:p>
    <w:p w:rsidR="000A156F" w:rsidRDefault="00A9721F">
      <w:r>
        <w:t>When this element is contained within animMotion ("</w:t>
      </w:r>
      <w:hyperlink r:id="rId166">
        <w:r>
          <w:rPr>
            <w:rStyle w:val="Hyperlink"/>
          </w:rPr>
          <w:t>[ISO/IEC-29500-1]</w:t>
        </w:r>
      </w:hyperlink>
      <w:r>
        <w:t xml:space="preserve"> §19.5.4; animMotion"), the attributes x and y are interpre</w:t>
      </w:r>
      <w:r>
        <w:t>ted as slide percentage and shall be greater than or equal to -2147483625 and less than or equal to 2147483625. When this element is contained within animScale ("[ISO/IEC-29500-1] §19.5.6; animScale"), the attributes x and y are interpreted as size percent</w:t>
      </w:r>
      <w:r>
        <w:t>age and shall be greater than or equal to 0 and less than or equal to 2147483625.</w:t>
      </w:r>
    </w:p>
    <w:p w:rsidR="000A156F" w:rsidRDefault="00A9721F">
      <w:r>
        <w:t>If the value of either the x or y attribute is greater than 16384000 or less than -16384000 there will be loss of precision due to internal calculations.</w:t>
      </w:r>
    </w:p>
    <w:p w:rsidR="000A156F" w:rsidRDefault="00A9721F">
      <w:pPr>
        <w:pStyle w:val="Heading3"/>
      </w:pPr>
      <w:bookmarkStart w:id="2344" w:name="section_34777b76de124a3381f75a9e2605d34f"/>
      <w:bookmarkStart w:id="2345" w:name="_Toc181684198"/>
      <w:r>
        <w:t>Part 1 Section 19.5.</w:t>
      </w:r>
      <w:r>
        <w:t>45, graphicEl (Graphic Element)</w:t>
      </w:r>
      <w:bookmarkEnd w:id="2344"/>
      <w:bookmarkEnd w:id="2345"/>
      <w:r>
        <w:fldChar w:fldCharType="begin"/>
      </w:r>
      <w:r>
        <w:instrText xml:space="preserve"> XE "graphicEl (Graphic Element)" </w:instrText>
      </w:r>
      <w:r>
        <w:fldChar w:fldCharType="end"/>
      </w:r>
    </w:p>
    <w:p w:rsidR="000A156F" w:rsidRDefault="00A9721F">
      <w:pPr>
        <w:pStyle w:val="Definition-Field"/>
      </w:pPr>
      <w:r>
        <w:t xml:space="preserve">a.   </w:t>
      </w:r>
      <w:r>
        <w:rPr>
          <w:i/>
        </w:rPr>
        <w:t>The standard places no restrictions on the element referred to by the graphicEl element.</w:t>
      </w:r>
    </w:p>
    <w:p w:rsidR="000A156F" w:rsidRDefault="00A9721F">
      <w:pPr>
        <w:pStyle w:val="Definition-Field2"/>
      </w:pPr>
      <w:r>
        <w:t>PowerPoint requires that the referred element be on the same slide and of the same type (chart</w:t>
      </w:r>
      <w:r>
        <w:t xml:space="preserve"> vs. dgm) as the graphicEl's child element.</w:t>
      </w:r>
    </w:p>
    <w:p w:rsidR="000A156F" w:rsidRDefault="00A9721F">
      <w:pPr>
        <w:pStyle w:val="Heading3"/>
      </w:pPr>
      <w:bookmarkStart w:id="2346" w:name="section_83fd63d248604f1dbaa1a56f47841220"/>
      <w:bookmarkStart w:id="2347" w:name="_Toc181684199"/>
      <w:r>
        <w:t>Part 1 Section 19.5.46, hsl (HSL)</w:t>
      </w:r>
      <w:bookmarkEnd w:id="2346"/>
      <w:bookmarkEnd w:id="2347"/>
      <w:r>
        <w:fldChar w:fldCharType="begin"/>
      </w:r>
      <w:r>
        <w:instrText xml:space="preserve"> XE "hsl (HSL)" </w:instrText>
      </w:r>
      <w:r>
        <w:fldChar w:fldCharType="end"/>
      </w:r>
    </w:p>
    <w:p w:rsidR="000A156F" w:rsidRDefault="00A9721F">
      <w:pPr>
        <w:pStyle w:val="Definition-Field"/>
      </w:pPr>
      <w:r>
        <w:t xml:space="preserve">a.   </w:t>
      </w:r>
      <w:r>
        <w:rPr>
          <w:i/>
        </w:rPr>
        <w:t>The standard does not state how to interpret a negative s attribute value.</w:t>
      </w:r>
    </w:p>
    <w:p w:rsidR="000A156F" w:rsidRDefault="00A9721F">
      <w:pPr>
        <w:pStyle w:val="Definition-Field2"/>
      </w:pPr>
      <w:r>
        <w:t>PowerPoint reverses the direction of the color interpolation when the s attribut</w:t>
      </w:r>
      <w:r>
        <w:t>e's value is negative.</w:t>
      </w:r>
    </w:p>
    <w:p w:rsidR="000A156F" w:rsidRDefault="00A9721F">
      <w:pPr>
        <w:pStyle w:val="Definition-Field"/>
      </w:pPr>
      <w:r>
        <w:t xml:space="preserve">b.   </w:t>
      </w:r>
      <w:r>
        <w:rPr>
          <w:i/>
        </w:rPr>
        <w:t>The standard does not state how to interpret a negative l attribute value.</w:t>
      </w:r>
    </w:p>
    <w:p w:rsidR="000A156F" w:rsidRDefault="00A9721F">
      <w:pPr>
        <w:pStyle w:val="Definition-Field2"/>
      </w:pPr>
      <w:r>
        <w:t>PowerPoint reverses the direction of the color interpolation when the l attribute's value is negative.</w:t>
      </w:r>
    </w:p>
    <w:p w:rsidR="000A156F" w:rsidRDefault="00A9721F">
      <w:pPr>
        <w:pStyle w:val="Heading3"/>
      </w:pPr>
      <w:bookmarkStart w:id="2348" w:name="section_06a5cea1078b41cd8c26ef1db3ed3733"/>
      <w:bookmarkStart w:id="2349" w:name="_Toc181684200"/>
      <w:r>
        <w:t>Part 1 Section 19.5.47, inkTgt (Ink Target)</w:t>
      </w:r>
      <w:bookmarkEnd w:id="2348"/>
      <w:bookmarkEnd w:id="2349"/>
      <w:r>
        <w:fldChar w:fldCharType="begin"/>
      </w:r>
      <w:r>
        <w:instrText xml:space="preserve"> XE "in</w:instrText>
      </w:r>
      <w:r>
        <w:instrText xml:space="preserve">kTgt (Ink Target)" </w:instrText>
      </w:r>
      <w:r>
        <w:fldChar w:fldCharType="end"/>
      </w:r>
    </w:p>
    <w:p w:rsidR="000A156F" w:rsidRDefault="00A9721F">
      <w:pPr>
        <w:pStyle w:val="Definition-Field"/>
      </w:pPr>
      <w:r>
        <w:t xml:space="preserve">a.   </w:t>
      </w:r>
      <w:r>
        <w:rPr>
          <w:i/>
        </w:rPr>
        <w:t>The standard places no restrictions on what type of shape the spid attribute references.</w:t>
      </w:r>
    </w:p>
    <w:p w:rsidR="000A156F" w:rsidRDefault="00A9721F">
      <w:pPr>
        <w:pStyle w:val="Definition-Field2"/>
      </w:pPr>
      <w:r>
        <w:t>PowerPoint requires the spid attribute to reference a valid ink shape.  PowerPoint will read inkTgt elements, but on read the ink shape will</w:t>
      </w:r>
      <w:r>
        <w:t xml:space="preserve"> be converted to a contentPart and its corresponding inkTgt will be written out as a spTgt.</w:t>
      </w:r>
    </w:p>
    <w:p w:rsidR="000A156F" w:rsidRDefault="00A9721F">
      <w:pPr>
        <w:pStyle w:val="Heading3"/>
      </w:pPr>
      <w:bookmarkStart w:id="2350" w:name="section_b0d3dac175dd42128c7daf9f432b5c24"/>
      <w:bookmarkStart w:id="2351" w:name="_Toc181684201"/>
      <w:r>
        <w:t>Part 1 Section 19.5.49, iterate (Iterate)</w:t>
      </w:r>
      <w:bookmarkEnd w:id="2350"/>
      <w:bookmarkEnd w:id="2351"/>
      <w:r>
        <w:fldChar w:fldCharType="begin"/>
      </w:r>
      <w:r>
        <w:instrText xml:space="preserve"> XE "iterate (Iterate)" </w:instrText>
      </w:r>
      <w:r>
        <w:fldChar w:fldCharType="end"/>
      </w:r>
    </w:p>
    <w:p w:rsidR="000A156F" w:rsidRDefault="00A9721F">
      <w:pPr>
        <w:pStyle w:val="Definition-Field"/>
      </w:pPr>
      <w:r>
        <w:t xml:space="preserve">a.   </w:t>
      </w:r>
      <w:r>
        <w:rPr>
          <w:i/>
        </w:rPr>
        <w:t>The standard states that the backwards attribute specifies whether to go backwards in the t</w:t>
      </w:r>
      <w:r>
        <w:rPr>
          <w:i/>
        </w:rPr>
        <w:t>imeline to the previous node.</w:t>
      </w:r>
    </w:p>
    <w:p w:rsidR="000A156F" w:rsidRDefault="00A9721F">
      <w:pPr>
        <w:pStyle w:val="Definition-Field2"/>
      </w:pPr>
      <w:r>
        <w:t>PowerPoint uses the backwards attribute to specify whether to iterate from the beginning or the end of the target element.</w:t>
      </w:r>
    </w:p>
    <w:p w:rsidR="000A156F" w:rsidRDefault="00A9721F">
      <w:pPr>
        <w:pStyle w:val="Heading3"/>
      </w:pPr>
      <w:bookmarkStart w:id="2352" w:name="section_a5b47f269eb64d45acd6e7183453307a"/>
      <w:bookmarkStart w:id="2353" w:name="_Toc181684202"/>
      <w:r>
        <w:t>Part 1 Section 19.5.51, nextCondLst (Next Conditions List)</w:t>
      </w:r>
      <w:bookmarkEnd w:id="2352"/>
      <w:bookmarkEnd w:id="2353"/>
      <w:r>
        <w:fldChar w:fldCharType="begin"/>
      </w:r>
      <w:r>
        <w:instrText xml:space="preserve"> XE "nextCondLst (Next Conditions List)" </w:instrText>
      </w:r>
      <w:r>
        <w:fldChar w:fldCharType="end"/>
      </w:r>
    </w:p>
    <w:p w:rsidR="000A156F" w:rsidRDefault="00A9721F">
      <w:pPr>
        <w:pStyle w:val="Definition-Field"/>
      </w:pPr>
      <w:r>
        <w:t>a</w:t>
      </w:r>
      <w:r>
        <w:t xml:space="preserve">.   </w:t>
      </w:r>
      <w:r>
        <w:rPr>
          <w:i/>
        </w:rPr>
        <w:t>The standard states that the nextCondLst element describes a list of conditions that must be met to advance to the next animation sequence.</w:t>
      </w:r>
    </w:p>
    <w:p w:rsidR="000A156F" w:rsidRDefault="00A9721F">
      <w:pPr>
        <w:pStyle w:val="Definition-Field2"/>
      </w:pPr>
      <w:r>
        <w:t>PowerPoint will advance to the next animation sequence if any of the conditions in the list are met.</w:t>
      </w:r>
    </w:p>
    <w:p w:rsidR="000A156F" w:rsidRDefault="00A9721F">
      <w:pPr>
        <w:pStyle w:val="Heading3"/>
      </w:pPr>
      <w:bookmarkStart w:id="2354" w:name="section_7bb53b9eb4f54c85b5aed814279ecbc3"/>
      <w:bookmarkStart w:id="2355" w:name="_Toc181684203"/>
      <w:r>
        <w:lastRenderedPageBreak/>
        <w:t>Part 1 Section 19.5.52, oleChartEl (Embedded Chart Element)</w:t>
      </w:r>
      <w:bookmarkEnd w:id="2354"/>
      <w:bookmarkEnd w:id="2355"/>
      <w:r>
        <w:fldChar w:fldCharType="begin"/>
      </w:r>
      <w:r>
        <w:instrText xml:space="preserve"> XE "oleChartEl (Embedded Chart Element)" </w:instrText>
      </w:r>
      <w:r>
        <w:fldChar w:fldCharType="end"/>
      </w:r>
    </w:p>
    <w:p w:rsidR="000A156F" w:rsidRDefault="00A9721F">
      <w:pPr>
        <w:pStyle w:val="Definition-Field"/>
      </w:pPr>
      <w:r>
        <w:t xml:space="preserve">a.   </w:t>
      </w:r>
      <w:r>
        <w:rPr>
          <w:i/>
        </w:rPr>
        <w:t>The standard places no restrictions on the relationship between the lvl attribute and the type attribute.</w:t>
      </w:r>
    </w:p>
    <w:p w:rsidR="000A156F" w:rsidRDefault="00A9721F">
      <w:pPr>
        <w:pStyle w:val="Definition-Field2"/>
      </w:pPr>
      <w:r>
        <w:t xml:space="preserve">PowerPoint requires the lvl attribute be </w:t>
      </w:r>
      <w:r>
        <w:t>0 if the type attribute is gridLegend.</w:t>
      </w:r>
    </w:p>
    <w:p w:rsidR="000A156F" w:rsidRDefault="00A9721F">
      <w:pPr>
        <w:pStyle w:val="Definition-Field"/>
      </w:pPr>
      <w:r>
        <w:t xml:space="preserve">b.   </w:t>
      </w:r>
      <w:r>
        <w:rPr>
          <w:i/>
        </w:rPr>
        <w:t>The standard places no restrictions on the ordering and relationship of oleChartEl elements with respect to one another.</w:t>
      </w:r>
    </w:p>
    <w:p w:rsidR="000A156F" w:rsidRDefault="00A9721F">
      <w:pPr>
        <w:pStyle w:val="Definition-Field2"/>
      </w:pPr>
      <w:r>
        <w:t>PowerPoint requires that all oleChartEl elements be stored in incremental ascending order (</w:t>
      </w:r>
      <w:r>
        <w:t>with no omissions) under one common par element for the animation to play properly.</w:t>
      </w:r>
    </w:p>
    <w:p w:rsidR="000A156F" w:rsidRDefault="00A9721F">
      <w:pPr>
        <w:pStyle w:val="Heading3"/>
      </w:pPr>
      <w:bookmarkStart w:id="2356" w:name="section_31d28bcdcca242ea95afeb32b797e869"/>
      <w:bookmarkStart w:id="2357" w:name="_Toc181684204"/>
      <w:r>
        <w:t>Part 1 Section 19.5.55, prevCondLst (Previous Conditions List)</w:t>
      </w:r>
      <w:bookmarkEnd w:id="2356"/>
      <w:bookmarkEnd w:id="2357"/>
      <w:r>
        <w:fldChar w:fldCharType="begin"/>
      </w:r>
      <w:r>
        <w:instrText xml:space="preserve"> XE "prevCondLst (Previous Conditions List)" </w:instrText>
      </w:r>
      <w:r>
        <w:fldChar w:fldCharType="end"/>
      </w:r>
    </w:p>
    <w:p w:rsidR="000A156F" w:rsidRDefault="00A9721F">
      <w:pPr>
        <w:pStyle w:val="Definition-Field"/>
      </w:pPr>
      <w:r>
        <w:t xml:space="preserve">a.   </w:t>
      </w:r>
      <w:r>
        <w:rPr>
          <w:i/>
        </w:rPr>
        <w:t>The standard states that the prevCondLst element describe</w:t>
      </w:r>
      <w:r>
        <w:rPr>
          <w:i/>
        </w:rPr>
        <w:t>s a list of conditions that must be met in order to go backwards in an animation sequence.</w:t>
      </w:r>
    </w:p>
    <w:p w:rsidR="000A156F" w:rsidRDefault="00A9721F">
      <w:pPr>
        <w:pStyle w:val="Definition-Field2"/>
      </w:pPr>
      <w:r>
        <w:t>PowerPoint will advance to the previous animation sequence if any of the conditions in the list are met.</w:t>
      </w:r>
    </w:p>
    <w:p w:rsidR="000A156F" w:rsidRDefault="00A9721F">
      <w:pPr>
        <w:pStyle w:val="Heading3"/>
      </w:pPr>
      <w:bookmarkStart w:id="2358" w:name="section_05f6a62df7db400e9ae497a6d422ac5b"/>
      <w:bookmarkStart w:id="2359" w:name="_Toc181684205"/>
      <w:r>
        <w:t>Part 1 Section 19.5.56, pRg (Paragraph Text Range)</w:t>
      </w:r>
      <w:bookmarkEnd w:id="2358"/>
      <w:bookmarkEnd w:id="2359"/>
      <w:r>
        <w:fldChar w:fldCharType="begin"/>
      </w:r>
      <w:r>
        <w:instrText xml:space="preserve"> XE "pRg (</w:instrText>
      </w:r>
      <w:r>
        <w:instrText xml:space="preserve">Paragraph Text Range)" </w:instrText>
      </w:r>
      <w:r>
        <w:fldChar w:fldCharType="end"/>
      </w:r>
    </w:p>
    <w:p w:rsidR="000A156F" w:rsidRDefault="00A9721F">
      <w:pPr>
        <w:pStyle w:val="Definition-Field"/>
      </w:pPr>
      <w:r>
        <w:t xml:space="preserve">a.   </w:t>
      </w:r>
      <w:r>
        <w:rPr>
          <w:i/>
        </w:rPr>
        <w:t>The standard places no restrictions on the values of the st attribute and the end attribute with relation to one another.</w:t>
      </w:r>
    </w:p>
    <w:p w:rsidR="000A156F" w:rsidRDefault="00A9721F">
      <w:pPr>
        <w:pStyle w:val="Definition-Field2"/>
      </w:pPr>
      <w:r>
        <w:t>PowerPoint requires the values of the st attribute and the end attribute be equal to each other.</w:t>
      </w:r>
    </w:p>
    <w:p w:rsidR="000A156F" w:rsidRDefault="00A9721F">
      <w:pPr>
        <w:pStyle w:val="Definition-Field"/>
      </w:pPr>
      <w:r>
        <w:t xml:space="preserve">b.   </w:t>
      </w:r>
      <w:r>
        <w:rPr>
          <w:i/>
        </w:rPr>
        <w:t>T</w:t>
      </w:r>
      <w:r>
        <w:rPr>
          <w:i/>
        </w:rPr>
        <w:t>he standard places no restrictions on the values of the st attribute and the end attribute with relation to the paragraphs.</w:t>
      </w:r>
    </w:p>
    <w:p w:rsidR="000A156F" w:rsidRDefault="00A9721F">
      <w:pPr>
        <w:pStyle w:val="Definition-Field2"/>
      </w:pPr>
      <w:r>
        <w:t>PowerPoint requires that the st attribute and the end attribute be less than the number of paragraphs.</w:t>
      </w:r>
    </w:p>
    <w:p w:rsidR="000A156F" w:rsidRDefault="00A9721F">
      <w:pPr>
        <w:pStyle w:val="Heading3"/>
      </w:pPr>
      <w:bookmarkStart w:id="2360" w:name="section_c6c5c46f909640e595f4cf70e7265ad9"/>
      <w:bookmarkStart w:id="2361" w:name="_Toc181684206"/>
      <w:r>
        <w:t>Part 1 Section 19.5.57, progr</w:t>
      </w:r>
      <w:r>
        <w:t>ess (Progress)</w:t>
      </w:r>
      <w:bookmarkEnd w:id="2360"/>
      <w:bookmarkEnd w:id="2361"/>
      <w:r>
        <w:fldChar w:fldCharType="begin"/>
      </w:r>
      <w:r>
        <w:instrText xml:space="preserve"> XE "progress (Progress)" </w:instrText>
      </w:r>
      <w:r>
        <w:fldChar w:fldCharType="end"/>
      </w:r>
    </w:p>
    <w:p w:rsidR="000A156F" w:rsidRDefault="00A9721F">
      <w:pPr>
        <w:pStyle w:val="Definition-Field"/>
      </w:pPr>
      <w:r>
        <w:t xml:space="preserve">a.   </w:t>
      </w:r>
      <w:r>
        <w:rPr>
          <w:i/>
        </w:rPr>
        <w:t>The standard states that the boolVal, clrVal, intVal, and strVal elements are all valid child elements of the progress element.</w:t>
      </w:r>
    </w:p>
    <w:p w:rsidR="000A156F" w:rsidRDefault="00A9721F">
      <w:pPr>
        <w:pStyle w:val="Definition-Field2"/>
      </w:pPr>
      <w:r>
        <w:t>PowerPoint does not allow these elements as child elements of the progress eleme</w:t>
      </w:r>
      <w:r>
        <w:t>nt.</w:t>
      </w:r>
    </w:p>
    <w:p w:rsidR="000A156F" w:rsidRDefault="00A9721F">
      <w:pPr>
        <w:pStyle w:val="Definition-Field"/>
      </w:pPr>
      <w:r>
        <w:t xml:space="preserve">b.   </w:t>
      </w:r>
      <w:r>
        <w:rPr>
          <w:i/>
        </w:rPr>
        <w:t>The standard places no restrictions on the val attribute of the fltVal element when parented by the progress element.</w:t>
      </w:r>
    </w:p>
    <w:p w:rsidR="000A156F" w:rsidRDefault="00A9721F">
      <w:pPr>
        <w:pStyle w:val="Definition-Field2"/>
      </w:pPr>
      <w:r>
        <w:t>PowerPoint requires that the val attribute of the fltVal element be greater than or equal to 0 and less than or equal to 1 when p</w:t>
      </w:r>
      <w:r>
        <w:t>arented by the progress element.</w:t>
      </w:r>
    </w:p>
    <w:p w:rsidR="000A156F" w:rsidRDefault="00A9721F">
      <w:pPr>
        <w:pStyle w:val="Heading3"/>
      </w:pPr>
      <w:bookmarkStart w:id="2362" w:name="section_376276c2d99a446084d99a1a45b2bd14"/>
      <w:bookmarkStart w:id="2363" w:name="_Toc181684207"/>
      <w:r>
        <w:t>Part 1 Section 19.5.62, rCtr (Rotation Center)</w:t>
      </w:r>
      <w:bookmarkEnd w:id="2362"/>
      <w:bookmarkEnd w:id="2363"/>
      <w:r>
        <w:fldChar w:fldCharType="begin"/>
      </w:r>
      <w:r>
        <w:instrText xml:space="preserve"> XE "rCtr (Rotation Center)" </w:instrText>
      </w:r>
      <w:r>
        <w:fldChar w:fldCharType="end"/>
      </w:r>
    </w:p>
    <w:p w:rsidR="000A156F" w:rsidRDefault="00A9721F">
      <w:pPr>
        <w:pStyle w:val="Definition-Field"/>
      </w:pPr>
      <w:r>
        <w:t xml:space="preserve">a.   </w:t>
      </w:r>
      <w:r>
        <w:rPr>
          <w:i/>
        </w:rPr>
        <w:t>The standard states that the x attribute and the y attribute describe coordinates.</w:t>
      </w:r>
    </w:p>
    <w:p w:rsidR="000A156F" w:rsidRDefault="00A9721F">
      <w:pPr>
        <w:pStyle w:val="Definition-Field2"/>
      </w:pPr>
      <w:r>
        <w:t>PowerPoint uses these attributes to specify slide percent</w:t>
      </w:r>
      <w:r>
        <w:t>ages.</w:t>
      </w:r>
    </w:p>
    <w:p w:rsidR="000A156F" w:rsidRDefault="00A9721F">
      <w:pPr>
        <w:pStyle w:val="Heading3"/>
      </w:pPr>
      <w:bookmarkStart w:id="2364" w:name="section_1ab29481720e44548836b5dc27669415"/>
      <w:bookmarkStart w:id="2365" w:name="_Toc181684208"/>
      <w:r>
        <w:t>Part 1 Section 19.5.63, rgb (RGB)</w:t>
      </w:r>
      <w:bookmarkEnd w:id="2364"/>
      <w:bookmarkEnd w:id="2365"/>
      <w:r>
        <w:fldChar w:fldCharType="begin"/>
      </w:r>
      <w:r>
        <w:instrText xml:space="preserve"> XE "rgb (RGB)" </w:instrText>
      </w:r>
      <w:r>
        <w:fldChar w:fldCharType="end"/>
      </w:r>
    </w:p>
    <w:p w:rsidR="000A156F" w:rsidRDefault="00A9721F">
      <w:pPr>
        <w:pStyle w:val="Definition-Field"/>
      </w:pPr>
      <w:r>
        <w:t xml:space="preserve">a.   </w:t>
      </w:r>
      <w:r>
        <w:rPr>
          <w:i/>
        </w:rPr>
        <w:t>The standard does not state how to interpret a negative r attribute value.</w:t>
      </w:r>
    </w:p>
    <w:p w:rsidR="000A156F" w:rsidRDefault="00A9721F">
      <w:pPr>
        <w:pStyle w:val="Definition-Field2"/>
      </w:pPr>
      <w:r>
        <w:t>PowerPoint decreases the red color value when the r attribute's value is negative.</w:t>
      </w:r>
    </w:p>
    <w:p w:rsidR="000A156F" w:rsidRDefault="00A9721F">
      <w:pPr>
        <w:pStyle w:val="Definition-Field"/>
      </w:pPr>
      <w:r>
        <w:lastRenderedPageBreak/>
        <w:t xml:space="preserve">b.   </w:t>
      </w:r>
      <w:r>
        <w:rPr>
          <w:i/>
        </w:rPr>
        <w:t xml:space="preserve">The standard does not state </w:t>
      </w:r>
      <w:r>
        <w:rPr>
          <w:i/>
        </w:rPr>
        <w:t>how to interpret a negative g attribute value.</w:t>
      </w:r>
    </w:p>
    <w:p w:rsidR="000A156F" w:rsidRDefault="00A9721F">
      <w:pPr>
        <w:pStyle w:val="Definition-Field2"/>
      </w:pPr>
      <w:r>
        <w:t>PowerPoint decreases the green color value when the g attribute's value is negative.</w:t>
      </w:r>
    </w:p>
    <w:p w:rsidR="000A156F" w:rsidRDefault="00A9721F">
      <w:pPr>
        <w:pStyle w:val="Definition-Field"/>
      </w:pPr>
      <w:r>
        <w:t xml:space="preserve">c.   </w:t>
      </w:r>
      <w:r>
        <w:rPr>
          <w:i/>
        </w:rPr>
        <w:t>The standard does not state how to interpret a negative b attribute value.</w:t>
      </w:r>
    </w:p>
    <w:p w:rsidR="000A156F" w:rsidRDefault="00A9721F">
      <w:pPr>
        <w:pStyle w:val="Definition-Field2"/>
      </w:pPr>
      <w:r>
        <w:t>PowerPoint decreases the blue color value wh</w:t>
      </w:r>
      <w:r>
        <w:t>en the b attribute's value is negative.</w:t>
      </w:r>
    </w:p>
    <w:p w:rsidR="000A156F" w:rsidRDefault="00A9721F">
      <w:pPr>
        <w:pStyle w:val="Heading3"/>
      </w:pPr>
      <w:bookmarkStart w:id="2366" w:name="section_3247e7a595254e6b9ec29b598a8b2f4a"/>
      <w:bookmarkStart w:id="2367" w:name="_Toc181684209"/>
      <w:r>
        <w:t>Part 1 Section 19.5.65, seq (Sequence Time Node)</w:t>
      </w:r>
      <w:bookmarkEnd w:id="2366"/>
      <w:bookmarkEnd w:id="2367"/>
      <w:r>
        <w:fldChar w:fldCharType="begin"/>
      </w:r>
      <w:r>
        <w:instrText xml:space="preserve"> XE "seq (Sequence Time Node)"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Heading3"/>
      </w:pPr>
      <w:bookmarkStart w:id="2368" w:name="section_10aa6fad89594041bd8c5e4fd918008f"/>
      <w:bookmarkStart w:id="2369" w:name="_Toc181684210"/>
      <w:r>
        <w:t>Part 1 Section 19.5.66, set (Set Time Node Behavior)</w:t>
      </w:r>
      <w:bookmarkEnd w:id="2368"/>
      <w:bookmarkEnd w:id="2369"/>
      <w:r>
        <w:fldChar w:fldCharType="begin"/>
      </w:r>
      <w:r>
        <w:instrText xml:space="preserve"> XE "set (Set Time Node Behavior)" </w:instrText>
      </w:r>
      <w:r>
        <w:fldChar w:fldCharType="end"/>
      </w:r>
    </w:p>
    <w:p w:rsidR="000A156F" w:rsidRDefault="00A9721F">
      <w:pPr>
        <w:pStyle w:val="Definition-Field2"/>
      </w:pPr>
      <w:r>
        <w:rPr>
          <w:i/>
        </w:rPr>
        <w:t>For additional notes that apply to this portion of the standard, please see the notes</w:t>
      </w:r>
      <w:r>
        <w:rPr>
          <w:i/>
        </w:rPr>
        <w:t xml:space="preserve"> for </w:t>
      </w:r>
      <w:hyperlink w:anchor="Section_5516734500ff4d39b4a86ca61d86227a">
        <w:r>
          <w:rPr>
            <w:rStyle w:val="Hyperlink"/>
          </w:rPr>
          <w:t>tnLst, §19.5.87(b)</w:t>
        </w:r>
      </w:hyperlink>
      <w:r>
        <w:rPr>
          <w:i/>
        </w:rPr>
        <w:t>.</w:t>
      </w:r>
    </w:p>
    <w:p w:rsidR="000A156F" w:rsidRDefault="00A9721F">
      <w:pPr>
        <w:pStyle w:val="Definition-Field"/>
      </w:pPr>
      <w:r>
        <w:t xml:space="preserve">a.   </w:t>
      </w:r>
      <w:r>
        <w:rPr>
          <w:i/>
        </w:rPr>
        <w:t>The standard places no restrictions on the number of attrName child elements parented by the attrNameLst element when inside the set element.</w:t>
      </w:r>
    </w:p>
    <w:p w:rsidR="000A156F" w:rsidRDefault="00A9721F">
      <w:pPr>
        <w:pStyle w:val="Definition-Field2"/>
      </w:pPr>
      <w:r>
        <w:t>PowerPoint requires t</w:t>
      </w:r>
      <w:r>
        <w:t>hat there be at least one attrName child element of the attrNameLst element when inside a set element; if more than one attrName child element exists, only the first will be used.</w:t>
      </w:r>
    </w:p>
    <w:p w:rsidR="000A156F" w:rsidRDefault="00A9721F">
      <w:pPr>
        <w:pStyle w:val="Heading3"/>
      </w:pPr>
      <w:bookmarkStart w:id="2370" w:name="section_97031c34d08441cabd6bd861582b1ba4"/>
      <w:bookmarkStart w:id="2371" w:name="_Toc181684211"/>
      <w:r>
        <w:t>Part 1 Section 19.5.67, sldTgt (Slide Target)</w:t>
      </w:r>
      <w:bookmarkEnd w:id="2370"/>
      <w:bookmarkEnd w:id="2371"/>
      <w:r>
        <w:fldChar w:fldCharType="begin"/>
      </w:r>
      <w:r>
        <w:instrText xml:space="preserve"> XE "sldTgt (Slide Target)" </w:instrText>
      </w:r>
      <w:r>
        <w:fldChar w:fldCharType="end"/>
      </w:r>
    </w:p>
    <w:p w:rsidR="000A156F" w:rsidRDefault="00A9721F">
      <w:pPr>
        <w:pStyle w:val="Definition-Field"/>
      </w:pPr>
      <w:r>
        <w:t xml:space="preserve">a.   </w:t>
      </w:r>
      <w:r>
        <w:rPr>
          <w:i/>
        </w:rPr>
        <w:t>The standard places no restrictions on when the sldTgt element is to be used.</w:t>
      </w:r>
    </w:p>
    <w:p w:rsidR="000A156F" w:rsidRDefault="00A9721F">
      <w:pPr>
        <w:pStyle w:val="Definition-Field2"/>
      </w:pPr>
      <w:r>
        <w:t>PowerPoint will only use this element when it is grandparented by a cond element with its evt attribute set to onPrev, onNext, or onStopAudio.</w:t>
      </w:r>
    </w:p>
    <w:p w:rsidR="000A156F" w:rsidRDefault="00A9721F">
      <w:pPr>
        <w:pStyle w:val="Heading3"/>
      </w:pPr>
      <w:bookmarkStart w:id="2372" w:name="section_894705b6965549e3a6c654600f99f7f4"/>
      <w:bookmarkStart w:id="2373" w:name="_Toc181684212"/>
      <w:r>
        <w:t xml:space="preserve">Part 1 Section 19.5.72, spTgt </w:t>
      </w:r>
      <w:r>
        <w:t>(Shape Target)</w:t>
      </w:r>
      <w:bookmarkEnd w:id="2372"/>
      <w:bookmarkEnd w:id="2373"/>
      <w:r>
        <w:fldChar w:fldCharType="begin"/>
      </w:r>
      <w:r>
        <w:instrText xml:space="preserve"> XE "spTgt (Shape Target)" </w:instrText>
      </w:r>
      <w:r>
        <w:fldChar w:fldCharType="end"/>
      </w:r>
    </w:p>
    <w:p w:rsidR="000A156F" w:rsidRDefault="00A9721F">
      <w:pPr>
        <w:pStyle w:val="Definition-Field"/>
      </w:pPr>
      <w:r>
        <w:t xml:space="preserve">a.   </w:t>
      </w:r>
      <w:r>
        <w:rPr>
          <w:i/>
        </w:rPr>
        <w:t>The standard places no restrictions on what the spid attribute refers to.</w:t>
      </w:r>
    </w:p>
    <w:p w:rsidR="000A156F" w:rsidRDefault="00A9721F">
      <w:pPr>
        <w:pStyle w:val="Definition-Field2"/>
      </w:pPr>
      <w:r>
        <w:t>PowerPoint requires that the spid attribute refer to a cxnSp element, a graphicFrame element, a grpSp element, a pic element, or an s</w:t>
      </w:r>
      <w:r>
        <w:t>p element on the current slide.</w:t>
      </w:r>
    </w:p>
    <w:p w:rsidR="000A156F" w:rsidRDefault="00A9721F">
      <w:pPr>
        <w:pStyle w:val="Definition-Field"/>
      </w:pPr>
      <w:r>
        <w:t xml:space="preserve">b.   </w:t>
      </w:r>
      <w:r>
        <w:rPr>
          <w:i/>
        </w:rPr>
        <w:t>The standard does not specify how the graphicEl, oleChartEl, subSp, and txtEl child elements are to be used.</w:t>
      </w:r>
    </w:p>
    <w:p w:rsidR="000A156F" w:rsidRDefault="00A9721F">
      <w:pPr>
        <w:pStyle w:val="Definition-Field2"/>
      </w:pPr>
      <w:r>
        <w:t>PowerPoint uses the graphicEl, oleChartEl, and subSp child elements to specify graphical elements to animate w</w:t>
      </w:r>
      <w:r>
        <w:t>ithin a graphicFrame element; it uses the txtEl child element to specify the text elements to animate within an sp element.</w:t>
      </w:r>
    </w:p>
    <w:p w:rsidR="000A156F" w:rsidRDefault="00A9721F">
      <w:pPr>
        <w:pStyle w:val="Heading3"/>
      </w:pPr>
      <w:bookmarkStart w:id="2374" w:name="section_d83ab468be034be6a1063de1614ea5df"/>
      <w:bookmarkStart w:id="2375" w:name="_Toc181684213"/>
      <w:r>
        <w:t>Part 1 Section 19.5.77, subSp (Subshape)</w:t>
      </w:r>
      <w:bookmarkEnd w:id="2374"/>
      <w:bookmarkEnd w:id="2375"/>
      <w:r>
        <w:fldChar w:fldCharType="begin"/>
      </w:r>
      <w:r>
        <w:instrText xml:space="preserve"> XE "subSp (Subshape)" </w:instrText>
      </w:r>
      <w:r>
        <w:fldChar w:fldCharType="end"/>
      </w:r>
    </w:p>
    <w:p w:rsidR="000A156F" w:rsidRDefault="00A9721F">
      <w:pPr>
        <w:pStyle w:val="Definition-Field2"/>
      </w:pPr>
      <w:r>
        <w:rPr>
          <w:i/>
        </w:rPr>
        <w:t>For additional notes that apply to this portion of the standard, p</w:t>
      </w:r>
      <w:r>
        <w:rPr>
          <w:i/>
        </w:rPr>
        <w:t xml:space="preserve">lease see the notes for </w:t>
      </w:r>
      <w:hyperlink w:anchor="Section_06a5cea1078b41cd8c26ef1db3ed3733">
        <w:r>
          <w:rPr>
            <w:rStyle w:val="Hyperlink"/>
          </w:rPr>
          <w:t>inkTgt, §19.5.47(a)</w:t>
        </w:r>
      </w:hyperlink>
      <w:r>
        <w:rPr>
          <w:i/>
        </w:rPr>
        <w:t>.</w:t>
      </w:r>
    </w:p>
    <w:p w:rsidR="000A156F" w:rsidRDefault="00A9721F">
      <w:pPr>
        <w:pStyle w:val="Definition-Field"/>
      </w:pPr>
      <w:r>
        <w:t xml:space="preserve">a.   </w:t>
      </w:r>
      <w:r>
        <w:rPr>
          <w:i/>
        </w:rPr>
        <w:t>The standard places no restrictions on what the spid attribute refers to.</w:t>
      </w:r>
    </w:p>
    <w:p w:rsidR="000A156F" w:rsidRDefault="00A9721F">
      <w:pPr>
        <w:pStyle w:val="Definition-Field2"/>
      </w:pPr>
      <w:r>
        <w:t>PowerPoint requires that the spid attribute reference a valid shape t</w:t>
      </w:r>
      <w:r>
        <w:t>hat is present both on the current slide and on the diagram referred to by the spid attribute of the parent spTgt element.</w:t>
      </w:r>
    </w:p>
    <w:p w:rsidR="000A156F" w:rsidRDefault="00A9721F">
      <w:pPr>
        <w:pStyle w:val="Definition-Field"/>
      </w:pPr>
      <w:r>
        <w:t xml:space="preserve">b.   </w:t>
      </w:r>
      <w:r>
        <w:rPr>
          <w:i/>
        </w:rPr>
        <w:t>The standard places no restrictions on the parent spTgt element of the subSp element.</w:t>
      </w:r>
    </w:p>
    <w:p w:rsidR="000A156F" w:rsidRDefault="00A9721F">
      <w:pPr>
        <w:pStyle w:val="Definition-Field2"/>
      </w:pPr>
      <w:r>
        <w:lastRenderedPageBreak/>
        <w:t>PowerPoint requires that the parent elemen</w:t>
      </w:r>
      <w:r>
        <w:t>t target a legacy diagram.</w:t>
      </w:r>
    </w:p>
    <w:p w:rsidR="000A156F" w:rsidRDefault="00A9721F">
      <w:pPr>
        <w:pStyle w:val="Heading3"/>
      </w:pPr>
      <w:bookmarkStart w:id="2376" w:name="section_f11e90f5055843bd895071da5f115bb5"/>
      <w:bookmarkStart w:id="2377" w:name="_Toc181684214"/>
      <w:r>
        <w:t>Part 1 Section 19.5.78, subTnLst (Sub-TimeNodes List)</w:t>
      </w:r>
      <w:bookmarkEnd w:id="2376"/>
      <w:bookmarkEnd w:id="2377"/>
      <w:r>
        <w:fldChar w:fldCharType="begin"/>
      </w:r>
      <w:r>
        <w:instrText xml:space="preserve"> XE "subTnLst (Sub-TimeNodes List)" </w:instrText>
      </w:r>
      <w:r>
        <w:fldChar w:fldCharType="end"/>
      </w:r>
    </w:p>
    <w:p w:rsidR="000A156F" w:rsidRDefault="00A9721F">
      <w:pPr>
        <w:pStyle w:val="Definition-Field"/>
      </w:pPr>
      <w:r>
        <w:t xml:space="preserve">a.   </w:t>
      </w:r>
      <w:r>
        <w:rPr>
          <w:i/>
        </w:rPr>
        <w:t>The standard states that the subTnLst element describes time nodes that have a start time which is not based on the containing timen</w:t>
      </w:r>
      <w:r>
        <w:rPr>
          <w:i/>
        </w:rPr>
        <w:t>ode.</w:t>
      </w:r>
    </w:p>
    <w:p w:rsidR="000A156F" w:rsidRDefault="00A9721F">
      <w:r>
        <w:t>In PowerPoint, this element is only used when applied to nodes of depth 5 within the Slide Timing tree ("</w:t>
      </w:r>
      <w:hyperlink r:id="rId167">
        <w:r>
          <w:rPr>
            <w:rStyle w:val="Hyperlink"/>
          </w:rPr>
          <w:t>[ISO/IEC-29500-1]</w:t>
        </w:r>
      </w:hyperlink>
      <w:r>
        <w:t xml:space="preserve"> §19.3.1.48; timing").  The root element within the Time Node L</w:t>
      </w:r>
      <w:r>
        <w:t xml:space="preserve">ist ("[ISO/IEC-29500-1] §19.5.87; tnLst") shall be a par element and this subTnLst element shall only be used when contained within seq child element of this root element.  </w:t>
      </w:r>
    </w:p>
    <w:p w:rsidR="000A156F" w:rsidRDefault="00A9721F">
      <w:r>
        <w:t>The Target Element ("[ISO/IEC-29500-1]</w:t>
      </w:r>
      <w:r>
        <w:t xml:space="preserve"> §19.5.81; tgtEl") contained within any anim, animClr, animEffect, animMotion, animRot, animScale, or set child element of subTnLst shall have either a Sound Target ("[ISO/IEC-29500-1] §19.5.70; sndTgt") or a Shape Target ("[ISO/IEC-29500-1] §19.5.72; spTg</w:t>
      </w:r>
      <w:r>
        <w:t>t") child element.</w:t>
      </w:r>
    </w:p>
    <w:p w:rsidR="000A156F" w:rsidRDefault="00A9721F">
      <w:r>
        <w:t>The Target Element ("[ISO/IEC-29500-1] §19.5.81; tgtEl") contained within an audio or video child element shall have either a Shape Target ("[ISO/IEC-29500-1] §19.5.72; spTgt") child element that references a valid media shape or a Sound</w:t>
      </w:r>
      <w:r>
        <w:t xml:space="preserve"> Target ("[ISO/IEC-29500-1] §19.5.70; sndTgt") that references a valid sound target.</w:t>
      </w:r>
    </w:p>
    <w:p w:rsidR="000A156F" w:rsidRDefault="00A9721F">
      <w:r>
        <w:t>Any excl, par or seq child element shall have at least one cmd, anim, animClr, animEffect, animMotion, animRot, animScale, set, audio, or video child element. The first of</w:t>
      </w:r>
      <w:r>
        <w:t xml:space="preserve"> these child elements shall have either a Sound Target ("[ISO/IEC-29500-1] §19.5.70; sndTgt") or a Shape Target ("[ISO/IEC-29500-1] §19.5.72; spTgt") child element.</w:t>
      </w:r>
    </w:p>
    <w:p w:rsidR="000A156F" w:rsidRDefault="00A9721F">
      <w:pPr>
        <w:pStyle w:val="Heading3"/>
      </w:pPr>
      <w:bookmarkStart w:id="2378" w:name="section_255410110cf2436b8e417dfd8fba6faf"/>
      <w:bookmarkStart w:id="2379" w:name="_Toc181684215"/>
      <w:r>
        <w:t>Part 1 Section 19.5.84, tmpl (Template Effects)</w:t>
      </w:r>
      <w:bookmarkEnd w:id="2378"/>
      <w:bookmarkEnd w:id="2379"/>
      <w:r>
        <w:fldChar w:fldCharType="begin"/>
      </w:r>
      <w:r>
        <w:instrText xml:space="preserve"> XE "tmpl (Template Effects)" </w:instrText>
      </w:r>
      <w:r>
        <w:fldChar w:fldCharType="end"/>
      </w:r>
    </w:p>
    <w:p w:rsidR="000A156F" w:rsidRDefault="00A9721F">
      <w:pPr>
        <w:pStyle w:val="Definition-Field"/>
      </w:pPr>
      <w:r>
        <w:t xml:space="preserve">a.   </w:t>
      </w:r>
      <w:r>
        <w:rPr>
          <w:i/>
        </w:rPr>
        <w:t>The st</w:t>
      </w:r>
      <w:r>
        <w:rPr>
          <w:i/>
        </w:rPr>
        <w:t>andard places no restrictions on the relationship between tmpl elements parented by the same tmplLst element.</w:t>
      </w:r>
    </w:p>
    <w:p w:rsidR="000A156F" w:rsidRDefault="00A9721F">
      <w:pPr>
        <w:pStyle w:val="Definition-Field2"/>
      </w:pPr>
      <w:r>
        <w:t>PowerPoint requires that each tmpl element within the same parent tmplLst element have a unique lvl attribute value.</w:t>
      </w:r>
    </w:p>
    <w:p w:rsidR="000A156F" w:rsidRDefault="00A9721F">
      <w:pPr>
        <w:pStyle w:val="Heading3"/>
      </w:pPr>
      <w:bookmarkStart w:id="2380" w:name="section_3da02aff9dc64878be81118938641c43"/>
      <w:bookmarkStart w:id="2381" w:name="_Toc181684216"/>
      <w:r>
        <w:t>Part 1 Section 19.5.85, tmplLst (Template effects)</w:t>
      </w:r>
      <w:bookmarkEnd w:id="2380"/>
      <w:bookmarkEnd w:id="2381"/>
      <w:r>
        <w:fldChar w:fldCharType="begin"/>
      </w:r>
      <w:r>
        <w:instrText xml:space="preserve"> XE "tmplLst (Template effects)" </w:instrText>
      </w:r>
      <w:r>
        <w:fldChar w:fldCharType="end"/>
      </w:r>
    </w:p>
    <w:p w:rsidR="000A156F" w:rsidRDefault="00A9721F">
      <w:pPr>
        <w:pStyle w:val="Definition-Field"/>
      </w:pPr>
      <w:r>
        <w:t xml:space="preserve">a.   </w:t>
      </w:r>
      <w:r>
        <w:rPr>
          <w:i/>
        </w:rPr>
        <w:t>The standard places no restrictions on when the tmpLst element is to be used.</w:t>
      </w:r>
    </w:p>
    <w:p w:rsidR="000A156F" w:rsidRDefault="00A9721F">
      <w:pPr>
        <w:pStyle w:val="Definition-Field2"/>
      </w:pPr>
      <w:r>
        <w:t>PowerPoint will only use this element when it refers to a ph element inside a sldLayout</w:t>
      </w:r>
      <w:r>
        <w:t xml:space="preserve"> element or a sldMaster element.</w:t>
      </w:r>
    </w:p>
    <w:p w:rsidR="000A156F" w:rsidRDefault="00A9721F">
      <w:pPr>
        <w:pStyle w:val="Heading3"/>
      </w:pPr>
      <w:bookmarkStart w:id="2382" w:name="section_5516734500ff4d39b4a86ca61d86227a"/>
      <w:bookmarkStart w:id="2383" w:name="_Toc181684217"/>
      <w:r>
        <w:t>Part 1 Section 19.5.87, tnLst (Time Node List)</w:t>
      </w:r>
      <w:bookmarkEnd w:id="2382"/>
      <w:bookmarkEnd w:id="2383"/>
      <w:r>
        <w:fldChar w:fldCharType="begin"/>
      </w:r>
      <w:r>
        <w:instrText xml:space="preserve"> XE "tnLst (Time Node List)" </w:instrText>
      </w:r>
      <w:r>
        <w:fldChar w:fldCharType="end"/>
      </w:r>
    </w:p>
    <w:p w:rsidR="000A156F" w:rsidRDefault="00A9721F">
      <w:pPr>
        <w:pStyle w:val="Definition-Field"/>
      </w:pPr>
      <w:r>
        <w:t xml:space="preserve">a.   </w:t>
      </w:r>
      <w:r>
        <w:rPr>
          <w:i/>
        </w:rPr>
        <w:t>The standard states that the child list of the tnLst element is unbounded.</w:t>
      </w:r>
    </w:p>
    <w:p w:rsidR="000A156F" w:rsidRDefault="00A9721F">
      <w:pPr>
        <w:pStyle w:val="Definition-Field2"/>
      </w:pPr>
      <w:r>
        <w:t>PowerPoint does not support more than one child element in the tn</w:t>
      </w:r>
      <w:r>
        <w:t>Lst.</w:t>
      </w:r>
    </w:p>
    <w:p w:rsidR="000A156F" w:rsidRDefault="00A9721F">
      <w:pPr>
        <w:pStyle w:val="Definition-Field"/>
      </w:pPr>
      <w:r>
        <w:t xml:space="preserve">b.   </w:t>
      </w:r>
      <w:r>
        <w:rPr>
          <w:i/>
        </w:rPr>
        <w:t>The standard states that the anim, animClr, animEffect, animMotion, animRot, animScale, audio, cmd, excl, seq, set, and video elements are valid child elements of the tnLst element.</w:t>
      </w:r>
    </w:p>
    <w:p w:rsidR="000A156F" w:rsidRDefault="00A9721F">
      <w:pPr>
        <w:pStyle w:val="Definition-Field2"/>
      </w:pPr>
      <w:r>
        <w:t>PowerPoint does not allow these elements to be child elements of</w:t>
      </w:r>
      <w:r>
        <w:t xml:space="preserve"> the tnLst element.</w:t>
      </w:r>
    </w:p>
    <w:p w:rsidR="000A156F" w:rsidRDefault="00A9721F">
      <w:pPr>
        <w:pStyle w:val="Definition-Field"/>
      </w:pPr>
      <w:r>
        <w:t xml:space="preserve">c.   </w:t>
      </w:r>
      <w:r>
        <w:rPr>
          <w:i/>
        </w:rPr>
        <w:t>The standard places no restrictions on the time nodes at a depth of five in the timing tree defined by the child element of the tnLst element.</w:t>
      </w:r>
    </w:p>
    <w:p w:rsidR="000A156F" w:rsidRDefault="00A9721F">
      <w:r>
        <w:t>The child of this element is the root time node in the timing tree.  A node at depth 5 i</w:t>
      </w:r>
      <w:r>
        <w:t>n the timing tree shall meet at least one of the following criteria:</w:t>
      </w:r>
    </w:p>
    <w:p w:rsidR="000A156F" w:rsidRDefault="00A9721F">
      <w:pPr>
        <w:pStyle w:val="ListParagraph"/>
        <w:numPr>
          <w:ilvl w:val="0"/>
          <w:numId w:val="129"/>
        </w:numPr>
        <w:contextualSpacing/>
      </w:pPr>
      <w:r>
        <w:lastRenderedPageBreak/>
        <w:t>Be a behavior node (a node with cBhvr ("</w:t>
      </w:r>
      <w:hyperlink r:id="rId168">
        <w:r>
          <w:rPr>
            <w:rStyle w:val="Hyperlink"/>
          </w:rPr>
          <w:t>[ISO/IEC-29500-1]</w:t>
        </w:r>
      </w:hyperlink>
      <w:r>
        <w:t xml:space="preserve"> §19.5.22; cBhvr")  as a child element) and contain a valid refe</w:t>
      </w:r>
      <w:r>
        <w:t>rence to a &lt;tgtEl&gt;.</w:t>
      </w:r>
    </w:p>
    <w:p w:rsidR="000A156F" w:rsidRDefault="00A9721F">
      <w:pPr>
        <w:pStyle w:val="ListParagraph"/>
        <w:numPr>
          <w:ilvl w:val="0"/>
          <w:numId w:val="129"/>
        </w:numPr>
      </w:pPr>
      <w:r>
        <w:t>Have at least one child element that is a behavior node, the first of which shall contain a valid reference to a &lt;tgtEl&gt;.</w:t>
      </w:r>
    </w:p>
    <w:p w:rsidR="000A156F" w:rsidRDefault="00A9721F">
      <w:pPr>
        <w:pStyle w:val="Heading3"/>
      </w:pPr>
      <w:bookmarkStart w:id="2384" w:name="section_9d0fa0e7b3734de0be8e85b0922d7204"/>
      <w:bookmarkStart w:id="2385" w:name="_Toc181684218"/>
      <w:r>
        <w:t>Part 1 Section 19.5.88, to (To)</w:t>
      </w:r>
      <w:bookmarkEnd w:id="2384"/>
      <w:bookmarkEnd w:id="2385"/>
      <w:r>
        <w:fldChar w:fldCharType="begin"/>
      </w:r>
      <w:r>
        <w:instrText xml:space="preserve"> XE "to (To)" </w:instrText>
      </w:r>
      <w:r>
        <w:fldChar w:fldCharType="end"/>
      </w:r>
    </w:p>
    <w:p w:rsidR="000A156F" w:rsidRDefault="00A9721F">
      <w:pPr>
        <w:pStyle w:val="Definition-Field2"/>
      </w:pPr>
      <w:r>
        <w:rPr>
          <w:i/>
        </w:rPr>
        <w:t>For additional notes that apply to this portion of the standard, p</w:t>
      </w:r>
      <w:r>
        <w:rPr>
          <w:i/>
        </w:rPr>
        <w:t xml:space="preserve">lease see the notes for </w:t>
      </w:r>
      <w:hyperlink w:anchor="Section_376276c2d99a446084d99a1a45b2bd14">
        <w:r>
          <w:rPr>
            <w:rStyle w:val="Hyperlink"/>
          </w:rPr>
          <w:t>rCtr, §19.5.62(a)</w:t>
        </w:r>
      </w:hyperlink>
      <w:r>
        <w:rPr>
          <w:i/>
        </w:rPr>
        <w:t>.</w:t>
      </w:r>
    </w:p>
    <w:p w:rsidR="000A156F" w:rsidRDefault="00A9721F">
      <w:pPr>
        <w:pStyle w:val="Definition-Field"/>
      </w:pPr>
      <w:r>
        <w:t xml:space="preserve">a.   </w:t>
      </w:r>
      <w:r>
        <w:rPr>
          <w:i/>
        </w:rPr>
        <w:t>The standard states that the x attribute and the y attribute describe coordinates.</w:t>
      </w:r>
    </w:p>
    <w:p w:rsidR="000A156F" w:rsidRDefault="00A9721F">
      <w:pPr>
        <w:pStyle w:val="Definition-Field2"/>
      </w:pPr>
      <w:r>
        <w:t>PowerPoint uses these attributes to specify the slide size per</w:t>
      </w:r>
      <w:r>
        <w:t>centage change when the to element is parented by the animMotion element, and the animated object size percentage change when the to element is parented by the animScale element.</w:t>
      </w:r>
    </w:p>
    <w:p w:rsidR="000A156F" w:rsidRDefault="00A9721F">
      <w:pPr>
        <w:pStyle w:val="Definition-Field"/>
      </w:pPr>
      <w:r>
        <w:t xml:space="preserve">b.   </w:t>
      </w:r>
      <w:r>
        <w:rPr>
          <w:i/>
        </w:rPr>
        <w:t>The standard states that the x and y attribute values are defined as sim</w:t>
      </w:r>
      <w:r>
        <w:rPr>
          <w:i/>
        </w:rPr>
        <w:t>ple type ST_Percentage.</w:t>
      </w:r>
    </w:p>
    <w:p w:rsidR="000A156F" w:rsidRDefault="00A9721F">
      <w:r>
        <w:t>When used in animMotion, the attributes, x and y, are values of slide percentage and the valid range is between -2147483625 and 2147483625. When used in animScale, the attributes, x and y, are values of size percentage and the valid</w:t>
      </w:r>
      <w:r>
        <w:t xml:space="preserve"> range is between 0 and 2147483625.</w:t>
      </w:r>
    </w:p>
    <w:p w:rsidR="000A156F" w:rsidRDefault="00A9721F">
      <w:r>
        <w:t>If the x or y values are less than -16384000 or greater than 16384000 there will be some loss of precision due to internal calculations.</w:t>
      </w:r>
    </w:p>
    <w:p w:rsidR="000A156F" w:rsidRDefault="00A9721F">
      <w:pPr>
        <w:pStyle w:val="Heading3"/>
      </w:pPr>
      <w:bookmarkStart w:id="2386" w:name="section_0b35ab0b202941808a768d784dac1d2b"/>
      <w:bookmarkStart w:id="2387" w:name="_Toc181684219"/>
      <w:r>
        <w:t>Part 1 Section 19.5.89, to (To)</w:t>
      </w:r>
      <w:bookmarkEnd w:id="2386"/>
      <w:bookmarkEnd w:id="2387"/>
      <w:r>
        <w:fldChar w:fldCharType="begin"/>
      </w:r>
      <w:r>
        <w:instrText xml:space="preserve"> XE "to (To)" </w:instrText>
      </w:r>
      <w:r>
        <w:fldChar w:fldCharType="end"/>
      </w:r>
    </w:p>
    <w:p w:rsidR="000A156F" w:rsidRDefault="00A9721F">
      <w:pPr>
        <w:pStyle w:val="Definition-Field"/>
      </w:pPr>
      <w:r>
        <w:t xml:space="preserve">a.   </w:t>
      </w:r>
      <w:r>
        <w:rPr>
          <w:i/>
        </w:rPr>
        <w:t>The standard states that the t</w:t>
      </w:r>
      <w:r>
        <w:rPr>
          <w:i/>
        </w:rPr>
        <w:t>o element specifies the attribute of the time node after the animation.</w:t>
      </w:r>
    </w:p>
    <w:p w:rsidR="000A156F" w:rsidRDefault="00A9721F">
      <w:r>
        <w:t>For PowerPoint, the following table specifies the strVal value presets that must be used when the corresponding attribute names are used. The supported attribute names are listed in th</w:t>
      </w:r>
      <w:r>
        <w:t>e attrName element ("</w:t>
      </w:r>
      <w:hyperlink r:id="rId169">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attrName(Attribute Name)</w:t>
            </w:r>
          </w:p>
        </w:tc>
        <w:tc>
          <w:tcPr>
            <w:tcW w:w="0" w:type="auto"/>
            <w:vAlign w:val="center"/>
          </w:tcPr>
          <w:p w:rsidR="000A156F" w:rsidRDefault="00A9721F">
            <w:pPr>
              <w:pStyle w:val="TableHeaderText"/>
            </w:pPr>
            <w:r>
              <w:t>strVal Value Preset</w:t>
            </w:r>
          </w:p>
        </w:tc>
      </w:tr>
      <w:tr w:rsidR="000A156F" w:rsidTr="000A156F">
        <w:tc>
          <w:tcPr>
            <w:tcW w:w="0" w:type="auto"/>
            <w:vAlign w:val="center"/>
          </w:tcPr>
          <w:p w:rsidR="000A156F" w:rsidRDefault="00A9721F">
            <w:pPr>
              <w:pStyle w:val="TableBodyText"/>
            </w:pPr>
            <w:r>
              <w:t>style.visibility</w:t>
            </w:r>
          </w:p>
        </w:tc>
        <w:tc>
          <w:tcPr>
            <w:tcW w:w="0" w:type="auto"/>
            <w:vAlign w:val="center"/>
          </w:tcPr>
          <w:p w:rsidR="000A156F" w:rsidRDefault="00A9721F">
            <w:pPr>
              <w:pStyle w:val="TableBodyText"/>
            </w:pPr>
            <w:r>
              <w:t>“hidden”, “visible”</w:t>
            </w:r>
          </w:p>
        </w:tc>
      </w:tr>
      <w:tr w:rsidR="000A156F" w:rsidTr="000A156F">
        <w:tc>
          <w:tcPr>
            <w:tcW w:w="0" w:type="auto"/>
            <w:vAlign w:val="center"/>
          </w:tcPr>
          <w:p w:rsidR="000A156F" w:rsidRDefault="00A9721F">
            <w:pPr>
              <w:pStyle w:val="TableBodyText"/>
            </w:pPr>
            <w:r>
              <w:t>style.fontWeight</w:t>
            </w:r>
          </w:p>
        </w:tc>
        <w:tc>
          <w:tcPr>
            <w:tcW w:w="0" w:type="auto"/>
            <w:vAlign w:val="center"/>
          </w:tcPr>
          <w:p w:rsidR="000A156F" w:rsidRDefault="00A9721F">
            <w:pPr>
              <w:pStyle w:val="TableBodyText"/>
            </w:pPr>
            <w:r>
              <w:t>“none”, “normal”, “bold”</w:t>
            </w:r>
          </w:p>
        </w:tc>
      </w:tr>
      <w:tr w:rsidR="000A156F" w:rsidTr="000A156F">
        <w:tc>
          <w:tcPr>
            <w:tcW w:w="0" w:type="auto"/>
            <w:vAlign w:val="center"/>
          </w:tcPr>
          <w:p w:rsidR="000A156F" w:rsidRDefault="00A9721F">
            <w:pPr>
              <w:pStyle w:val="TableBodyText"/>
            </w:pPr>
            <w:r>
              <w:t>style.fontStyle</w:t>
            </w:r>
          </w:p>
        </w:tc>
        <w:tc>
          <w:tcPr>
            <w:tcW w:w="0" w:type="auto"/>
            <w:vAlign w:val="center"/>
          </w:tcPr>
          <w:p w:rsidR="000A156F" w:rsidRDefault="00A9721F">
            <w:pPr>
              <w:pStyle w:val="TableBodyText"/>
            </w:pPr>
            <w:r>
              <w:t>“none”, “normal”, “italic”</w:t>
            </w:r>
          </w:p>
        </w:tc>
      </w:tr>
      <w:tr w:rsidR="000A156F" w:rsidTr="000A156F">
        <w:tc>
          <w:tcPr>
            <w:tcW w:w="0" w:type="auto"/>
            <w:vAlign w:val="center"/>
          </w:tcPr>
          <w:p w:rsidR="000A156F" w:rsidRDefault="00A9721F">
            <w:pPr>
              <w:pStyle w:val="TableBodyText"/>
            </w:pPr>
            <w:r>
              <w:t>style.textEffectEmboss</w:t>
            </w:r>
          </w:p>
        </w:tc>
        <w:tc>
          <w:tcPr>
            <w:tcW w:w="0" w:type="auto"/>
            <w:vAlign w:val="center"/>
          </w:tcPr>
          <w:p w:rsidR="000A156F" w:rsidRDefault="00A9721F">
            <w:pPr>
              <w:pStyle w:val="TableBodyText"/>
            </w:pPr>
            <w:r>
              <w:t>“none”, “normal”, “emboss”</w:t>
            </w:r>
          </w:p>
        </w:tc>
      </w:tr>
      <w:tr w:rsidR="000A156F" w:rsidTr="000A156F">
        <w:tc>
          <w:tcPr>
            <w:tcW w:w="0" w:type="auto"/>
            <w:vAlign w:val="center"/>
          </w:tcPr>
          <w:p w:rsidR="000A156F" w:rsidRDefault="00A9721F">
            <w:pPr>
              <w:pStyle w:val="TableBodyText"/>
            </w:pPr>
            <w:r>
              <w:t>style.textShadow</w:t>
            </w:r>
          </w:p>
        </w:tc>
        <w:tc>
          <w:tcPr>
            <w:tcW w:w="0" w:type="auto"/>
            <w:vAlign w:val="center"/>
          </w:tcPr>
          <w:p w:rsidR="000A156F" w:rsidRDefault="00A9721F">
            <w:pPr>
              <w:pStyle w:val="TableBodyText"/>
            </w:pPr>
            <w:r>
              <w:t>“none”, “normal”, “auto”</w:t>
            </w:r>
          </w:p>
        </w:tc>
      </w:tr>
      <w:tr w:rsidR="000A156F" w:rsidTr="000A156F">
        <w:tc>
          <w:tcPr>
            <w:tcW w:w="0" w:type="auto"/>
            <w:vAlign w:val="center"/>
          </w:tcPr>
          <w:p w:rsidR="000A156F" w:rsidRDefault="00A9721F">
            <w:pPr>
              <w:pStyle w:val="TableBodyText"/>
            </w:pPr>
            <w:r>
              <w:t>style.textTransform</w:t>
            </w:r>
          </w:p>
        </w:tc>
        <w:tc>
          <w:tcPr>
            <w:tcW w:w="0" w:type="auto"/>
            <w:vAlign w:val="center"/>
          </w:tcPr>
          <w:p w:rsidR="000A156F" w:rsidRDefault="00A9721F">
            <w:pPr>
              <w:pStyle w:val="TableBodyText"/>
            </w:pPr>
            <w:r>
              <w:t>“none”, “normal”, “sub”, “super”</w:t>
            </w:r>
          </w:p>
        </w:tc>
      </w:tr>
      <w:tr w:rsidR="000A156F" w:rsidTr="000A156F">
        <w:tc>
          <w:tcPr>
            <w:tcW w:w="0" w:type="auto"/>
            <w:vAlign w:val="center"/>
          </w:tcPr>
          <w:p w:rsidR="000A156F" w:rsidRDefault="00A9721F">
            <w:pPr>
              <w:pStyle w:val="TableBodyText"/>
            </w:pPr>
            <w:r>
              <w:t>style.textDecorationUnderline</w:t>
            </w:r>
          </w:p>
        </w:tc>
        <w:tc>
          <w:tcPr>
            <w:tcW w:w="0" w:type="auto"/>
            <w:vAlign w:val="center"/>
          </w:tcPr>
          <w:p w:rsidR="000A156F" w:rsidRDefault="00A9721F">
            <w:pPr>
              <w:pStyle w:val="TableBodyText"/>
            </w:pPr>
            <w:r>
              <w:t>“false”, “true”</w:t>
            </w:r>
          </w:p>
        </w:tc>
      </w:tr>
      <w:tr w:rsidR="000A156F" w:rsidTr="000A156F">
        <w:tc>
          <w:tcPr>
            <w:tcW w:w="0" w:type="auto"/>
            <w:vAlign w:val="center"/>
          </w:tcPr>
          <w:p w:rsidR="000A156F" w:rsidRDefault="00A9721F">
            <w:pPr>
              <w:pStyle w:val="TableBodyText"/>
            </w:pPr>
            <w:r>
              <w:t>style.textEffectOutline</w:t>
            </w:r>
          </w:p>
        </w:tc>
        <w:tc>
          <w:tcPr>
            <w:tcW w:w="0" w:type="auto"/>
            <w:vAlign w:val="center"/>
          </w:tcPr>
          <w:p w:rsidR="000A156F" w:rsidRDefault="00A9721F">
            <w:pPr>
              <w:pStyle w:val="TableBodyText"/>
            </w:pPr>
            <w:r>
              <w:t>“false”, “true”</w:t>
            </w:r>
          </w:p>
        </w:tc>
      </w:tr>
      <w:tr w:rsidR="000A156F" w:rsidTr="000A156F">
        <w:tc>
          <w:tcPr>
            <w:tcW w:w="0" w:type="auto"/>
            <w:vAlign w:val="center"/>
          </w:tcPr>
          <w:p w:rsidR="000A156F" w:rsidRDefault="00A9721F">
            <w:pPr>
              <w:pStyle w:val="TableBodyText"/>
            </w:pPr>
            <w:r>
              <w:t>style.textDecorationLineThrough</w:t>
            </w:r>
          </w:p>
        </w:tc>
        <w:tc>
          <w:tcPr>
            <w:tcW w:w="0" w:type="auto"/>
            <w:vAlign w:val="center"/>
          </w:tcPr>
          <w:p w:rsidR="000A156F" w:rsidRDefault="00A9721F">
            <w:pPr>
              <w:pStyle w:val="TableBodyText"/>
            </w:pPr>
            <w:r>
              <w:t>“false”, “true”</w:t>
            </w:r>
          </w:p>
        </w:tc>
      </w:tr>
      <w:tr w:rsidR="000A156F" w:rsidTr="000A156F">
        <w:tc>
          <w:tcPr>
            <w:tcW w:w="0" w:type="auto"/>
            <w:vAlign w:val="center"/>
          </w:tcPr>
          <w:p w:rsidR="000A156F" w:rsidRDefault="00A9721F">
            <w:pPr>
              <w:pStyle w:val="TableBodyText"/>
            </w:pPr>
            <w:r>
              <w:t>imageData.grayscale</w:t>
            </w:r>
          </w:p>
        </w:tc>
        <w:tc>
          <w:tcPr>
            <w:tcW w:w="0" w:type="auto"/>
            <w:vAlign w:val="center"/>
          </w:tcPr>
          <w:p w:rsidR="000A156F" w:rsidRDefault="00A9721F">
            <w:pPr>
              <w:pStyle w:val="TableBodyText"/>
            </w:pPr>
            <w:r>
              <w:t>“false”, “true”</w:t>
            </w:r>
          </w:p>
        </w:tc>
      </w:tr>
      <w:tr w:rsidR="000A156F" w:rsidTr="000A156F">
        <w:tc>
          <w:tcPr>
            <w:tcW w:w="0" w:type="auto"/>
            <w:vAlign w:val="center"/>
          </w:tcPr>
          <w:p w:rsidR="000A156F" w:rsidRDefault="00A9721F">
            <w:pPr>
              <w:pStyle w:val="TableBodyText"/>
            </w:pPr>
            <w:r>
              <w:t>fill.on</w:t>
            </w:r>
          </w:p>
        </w:tc>
        <w:tc>
          <w:tcPr>
            <w:tcW w:w="0" w:type="auto"/>
            <w:vAlign w:val="center"/>
          </w:tcPr>
          <w:p w:rsidR="000A156F" w:rsidRDefault="00A9721F">
            <w:pPr>
              <w:pStyle w:val="TableBodyText"/>
            </w:pPr>
            <w:r>
              <w:t>“false”, “f”, “t”, “true”</w:t>
            </w:r>
          </w:p>
        </w:tc>
      </w:tr>
      <w:tr w:rsidR="000A156F" w:rsidTr="000A156F">
        <w:tc>
          <w:tcPr>
            <w:tcW w:w="0" w:type="auto"/>
            <w:vAlign w:val="center"/>
          </w:tcPr>
          <w:p w:rsidR="000A156F" w:rsidRDefault="00A9721F">
            <w:pPr>
              <w:pStyle w:val="TableBodyText"/>
            </w:pPr>
            <w:r>
              <w:t>fill.type</w:t>
            </w:r>
          </w:p>
        </w:tc>
        <w:tc>
          <w:tcPr>
            <w:tcW w:w="0" w:type="auto"/>
            <w:vAlign w:val="center"/>
          </w:tcPr>
          <w:p w:rsidR="000A156F" w:rsidRDefault="00A9721F">
            <w:pPr>
              <w:pStyle w:val="TableBodyText"/>
            </w:pPr>
            <w:r>
              <w:t>“solid”, “pattern”, “tile”, “frame”, “gradientUnscaled”, “gradient”, “gradientCenter</w:t>
            </w:r>
            <w:r>
              <w:t>”, “gradientRadial”, “gradientTile”, “background”</w:t>
            </w:r>
          </w:p>
        </w:tc>
      </w:tr>
      <w:tr w:rsidR="000A156F" w:rsidTr="000A156F">
        <w:tc>
          <w:tcPr>
            <w:tcW w:w="0" w:type="auto"/>
            <w:vAlign w:val="center"/>
          </w:tcPr>
          <w:p w:rsidR="000A156F" w:rsidRDefault="00A9721F">
            <w:pPr>
              <w:pStyle w:val="TableBodyText"/>
            </w:pPr>
            <w:r>
              <w:lastRenderedPageBreak/>
              <w:t>fill.method</w:t>
            </w:r>
          </w:p>
        </w:tc>
        <w:tc>
          <w:tcPr>
            <w:tcW w:w="0" w:type="auto"/>
            <w:vAlign w:val="center"/>
          </w:tcPr>
          <w:p w:rsidR="000A156F" w:rsidRDefault="00A9721F">
            <w:pPr>
              <w:pStyle w:val="TableBodyText"/>
            </w:pPr>
            <w:r>
              <w:t>“none”, “linear”, “sigma”, “any”</w:t>
            </w:r>
          </w:p>
        </w:tc>
      </w:tr>
      <w:tr w:rsidR="000A156F" w:rsidTr="000A156F">
        <w:tc>
          <w:tcPr>
            <w:tcW w:w="0" w:type="auto"/>
            <w:vAlign w:val="center"/>
          </w:tcPr>
          <w:p w:rsidR="000A156F" w:rsidRDefault="00A9721F">
            <w:pPr>
              <w:pStyle w:val="TableBodyText"/>
            </w:pPr>
            <w:r>
              <w:t>stroke.on</w:t>
            </w:r>
          </w:p>
        </w:tc>
        <w:tc>
          <w:tcPr>
            <w:tcW w:w="0" w:type="auto"/>
            <w:vAlign w:val="center"/>
          </w:tcPr>
          <w:p w:rsidR="000A156F" w:rsidRDefault="00A9721F">
            <w:pPr>
              <w:pStyle w:val="TableBodyText"/>
            </w:pPr>
            <w:r>
              <w:t>“false”, “f”, “t”, “true”</w:t>
            </w:r>
          </w:p>
        </w:tc>
      </w:tr>
      <w:tr w:rsidR="000A156F" w:rsidTr="000A156F">
        <w:tc>
          <w:tcPr>
            <w:tcW w:w="0" w:type="auto"/>
            <w:vAlign w:val="center"/>
          </w:tcPr>
          <w:p w:rsidR="000A156F" w:rsidRDefault="00A9721F">
            <w:pPr>
              <w:pStyle w:val="TableBodyText"/>
            </w:pPr>
            <w:r>
              <w:t>stroke.linestyle</w:t>
            </w:r>
          </w:p>
        </w:tc>
        <w:tc>
          <w:tcPr>
            <w:tcW w:w="0" w:type="auto"/>
            <w:vAlign w:val="center"/>
          </w:tcPr>
          <w:p w:rsidR="000A156F" w:rsidRDefault="00A9721F">
            <w:pPr>
              <w:pStyle w:val="TableBodyText"/>
            </w:pPr>
            <w:r>
              <w:t>“single”, “thinThin”, “thinThick”, “thickThin”, “thickBetweenThin”</w:t>
            </w:r>
          </w:p>
        </w:tc>
      </w:tr>
      <w:tr w:rsidR="000A156F" w:rsidTr="000A156F">
        <w:tc>
          <w:tcPr>
            <w:tcW w:w="0" w:type="auto"/>
            <w:vAlign w:val="center"/>
          </w:tcPr>
          <w:p w:rsidR="000A156F" w:rsidRDefault="00A9721F">
            <w:pPr>
              <w:pStyle w:val="TableBodyText"/>
            </w:pPr>
            <w:r>
              <w:t>stroke.dashstyle</w:t>
            </w:r>
          </w:p>
        </w:tc>
        <w:tc>
          <w:tcPr>
            <w:tcW w:w="0" w:type="auto"/>
            <w:vAlign w:val="center"/>
          </w:tcPr>
          <w:p w:rsidR="000A156F" w:rsidRDefault="00A9721F">
            <w:pPr>
              <w:pStyle w:val="TableBodyText"/>
            </w:pPr>
            <w:r>
              <w:t xml:space="preserve">“solid”, “dot”, </w:t>
            </w:r>
            <w:r>
              <w:t>“dash”, “dashDot”, “longDash”, “longDashDot”, “longDashDotDot”</w:t>
            </w:r>
          </w:p>
        </w:tc>
      </w:tr>
      <w:tr w:rsidR="000A156F" w:rsidTr="000A156F">
        <w:tc>
          <w:tcPr>
            <w:tcW w:w="0" w:type="auto"/>
            <w:vAlign w:val="center"/>
          </w:tcPr>
          <w:p w:rsidR="000A156F" w:rsidRDefault="00A9721F">
            <w:pPr>
              <w:pStyle w:val="TableBodyText"/>
            </w:pPr>
            <w:r>
              <w:t>stroke.filltype</w:t>
            </w:r>
          </w:p>
        </w:tc>
        <w:tc>
          <w:tcPr>
            <w:tcW w:w="0" w:type="auto"/>
            <w:vAlign w:val="center"/>
          </w:tcPr>
          <w:p w:rsidR="000A156F" w:rsidRDefault="00A9721F">
            <w:pPr>
              <w:pStyle w:val="TableBodyText"/>
            </w:pPr>
            <w:r>
              <w:t>“solid”, “tile”, “pattern”, “frame”</w:t>
            </w:r>
          </w:p>
        </w:tc>
      </w:tr>
      <w:tr w:rsidR="000A156F" w:rsidTr="000A156F">
        <w:tc>
          <w:tcPr>
            <w:tcW w:w="0" w:type="auto"/>
            <w:vAlign w:val="center"/>
          </w:tcPr>
          <w:p w:rsidR="000A156F" w:rsidRDefault="00A9721F">
            <w:pPr>
              <w:pStyle w:val="TableBodyText"/>
            </w:pPr>
            <w:r>
              <w:t>stroke.startArrow</w:t>
            </w:r>
          </w:p>
        </w:tc>
        <w:tc>
          <w:tcPr>
            <w:tcW w:w="0" w:type="auto"/>
            <w:vAlign w:val="center"/>
          </w:tcPr>
          <w:p w:rsidR="000A156F" w:rsidRDefault="00A9721F">
            <w:pPr>
              <w:pStyle w:val="TableBodyText"/>
            </w:pPr>
            <w:r>
              <w:t>“none”, “block”, “classic”, “diamond”, “oval”, “open”, “chevron”, “doublechevron”</w:t>
            </w:r>
          </w:p>
        </w:tc>
      </w:tr>
      <w:tr w:rsidR="000A156F" w:rsidTr="000A156F">
        <w:tc>
          <w:tcPr>
            <w:tcW w:w="0" w:type="auto"/>
            <w:vAlign w:val="center"/>
          </w:tcPr>
          <w:p w:rsidR="000A156F" w:rsidRDefault="00A9721F">
            <w:pPr>
              <w:pStyle w:val="TableBodyText"/>
            </w:pPr>
            <w:r>
              <w:t>stroke.endArrow</w:t>
            </w:r>
          </w:p>
        </w:tc>
        <w:tc>
          <w:tcPr>
            <w:tcW w:w="0" w:type="auto"/>
            <w:vAlign w:val="center"/>
          </w:tcPr>
          <w:p w:rsidR="000A156F" w:rsidRDefault="00A9721F">
            <w:pPr>
              <w:pStyle w:val="TableBodyText"/>
            </w:pPr>
            <w:r>
              <w:t>“none”, “block”, “clas</w:t>
            </w:r>
            <w:r>
              <w:t>sic”, “diamond”, “oval”, “open”, “chevron”, “doublechevron”</w:t>
            </w:r>
          </w:p>
        </w:tc>
      </w:tr>
      <w:tr w:rsidR="000A156F" w:rsidTr="000A156F">
        <w:tc>
          <w:tcPr>
            <w:tcW w:w="0" w:type="auto"/>
            <w:vAlign w:val="center"/>
          </w:tcPr>
          <w:p w:rsidR="000A156F" w:rsidRDefault="00A9721F">
            <w:pPr>
              <w:pStyle w:val="TableBodyText"/>
            </w:pPr>
            <w:r>
              <w:t>stroke.startArrowWidth</w:t>
            </w:r>
          </w:p>
        </w:tc>
        <w:tc>
          <w:tcPr>
            <w:tcW w:w="0" w:type="auto"/>
            <w:vAlign w:val="center"/>
          </w:tcPr>
          <w:p w:rsidR="000A156F" w:rsidRDefault="00A9721F">
            <w:pPr>
              <w:pStyle w:val="TableBodyText"/>
            </w:pPr>
            <w:r>
              <w:t>“narrow”, “medium”, “wide”</w:t>
            </w:r>
          </w:p>
        </w:tc>
      </w:tr>
      <w:tr w:rsidR="000A156F" w:rsidTr="000A156F">
        <w:tc>
          <w:tcPr>
            <w:tcW w:w="0" w:type="auto"/>
            <w:vAlign w:val="center"/>
          </w:tcPr>
          <w:p w:rsidR="000A156F" w:rsidRDefault="00A9721F">
            <w:pPr>
              <w:pStyle w:val="TableBodyText"/>
            </w:pPr>
            <w:r>
              <w:t>stroke.startArrowLength</w:t>
            </w:r>
          </w:p>
        </w:tc>
        <w:tc>
          <w:tcPr>
            <w:tcW w:w="0" w:type="auto"/>
            <w:vAlign w:val="center"/>
          </w:tcPr>
          <w:p w:rsidR="000A156F" w:rsidRDefault="00A9721F">
            <w:pPr>
              <w:pStyle w:val="TableBodyText"/>
            </w:pPr>
            <w:r>
              <w:t>“short”, “medium”, “long”</w:t>
            </w:r>
          </w:p>
        </w:tc>
      </w:tr>
      <w:tr w:rsidR="000A156F" w:rsidTr="000A156F">
        <w:tc>
          <w:tcPr>
            <w:tcW w:w="0" w:type="auto"/>
            <w:vAlign w:val="center"/>
          </w:tcPr>
          <w:p w:rsidR="000A156F" w:rsidRDefault="00A9721F">
            <w:pPr>
              <w:pStyle w:val="TableBodyText"/>
            </w:pPr>
            <w:r>
              <w:t>stroke.endArrowWidth</w:t>
            </w:r>
          </w:p>
        </w:tc>
        <w:tc>
          <w:tcPr>
            <w:tcW w:w="0" w:type="auto"/>
            <w:vAlign w:val="center"/>
          </w:tcPr>
          <w:p w:rsidR="000A156F" w:rsidRDefault="00A9721F">
            <w:pPr>
              <w:pStyle w:val="TableBodyText"/>
            </w:pPr>
            <w:r>
              <w:t>“narrow”, “medium”, “wide”</w:t>
            </w:r>
          </w:p>
        </w:tc>
      </w:tr>
      <w:tr w:rsidR="000A156F" w:rsidTr="000A156F">
        <w:tc>
          <w:tcPr>
            <w:tcW w:w="0" w:type="auto"/>
            <w:vAlign w:val="center"/>
          </w:tcPr>
          <w:p w:rsidR="000A156F" w:rsidRDefault="00A9721F">
            <w:pPr>
              <w:pStyle w:val="TableBodyText"/>
            </w:pPr>
            <w:r>
              <w:t>stroke.endArrowLength</w:t>
            </w:r>
          </w:p>
        </w:tc>
        <w:tc>
          <w:tcPr>
            <w:tcW w:w="0" w:type="auto"/>
            <w:vAlign w:val="center"/>
          </w:tcPr>
          <w:p w:rsidR="000A156F" w:rsidRDefault="00A9721F">
            <w:pPr>
              <w:pStyle w:val="TableBodyText"/>
            </w:pPr>
            <w:r>
              <w:t xml:space="preserve">“short”, “medium”, </w:t>
            </w:r>
            <w:r>
              <w:t>“long”</w:t>
            </w:r>
          </w:p>
        </w:tc>
      </w:tr>
      <w:tr w:rsidR="000A156F" w:rsidTr="000A156F">
        <w:tc>
          <w:tcPr>
            <w:tcW w:w="0" w:type="auto"/>
            <w:vAlign w:val="center"/>
          </w:tcPr>
          <w:p w:rsidR="000A156F" w:rsidRDefault="00A9721F">
            <w:pPr>
              <w:pStyle w:val="TableBodyText"/>
            </w:pPr>
            <w:r>
              <w:t>shadow.on</w:t>
            </w:r>
          </w:p>
        </w:tc>
        <w:tc>
          <w:tcPr>
            <w:tcW w:w="0" w:type="auto"/>
            <w:vAlign w:val="center"/>
          </w:tcPr>
          <w:p w:rsidR="000A156F" w:rsidRDefault="00A9721F">
            <w:pPr>
              <w:pStyle w:val="TableBodyText"/>
            </w:pPr>
            <w:r>
              <w:t>“false”, “f”, “t”, “true”</w:t>
            </w:r>
          </w:p>
        </w:tc>
      </w:tr>
      <w:tr w:rsidR="000A156F" w:rsidTr="000A156F">
        <w:tc>
          <w:tcPr>
            <w:tcW w:w="0" w:type="auto"/>
            <w:vAlign w:val="center"/>
          </w:tcPr>
          <w:p w:rsidR="000A156F" w:rsidRDefault="00A9721F">
            <w:pPr>
              <w:pStyle w:val="TableBodyText"/>
            </w:pPr>
            <w:r>
              <w:t>shadow.type</w:t>
            </w:r>
          </w:p>
        </w:tc>
        <w:tc>
          <w:tcPr>
            <w:tcW w:w="0" w:type="auto"/>
            <w:vAlign w:val="center"/>
          </w:tcPr>
          <w:p w:rsidR="000A156F" w:rsidRDefault="00A9721F">
            <w:pPr>
              <w:pStyle w:val="TableBodyText"/>
            </w:pPr>
            <w:r>
              <w:t>“single”, “double”, “emboss”, “perspective”</w:t>
            </w:r>
          </w:p>
        </w:tc>
      </w:tr>
      <w:tr w:rsidR="000A156F" w:rsidTr="000A156F">
        <w:tc>
          <w:tcPr>
            <w:tcW w:w="0" w:type="auto"/>
            <w:vAlign w:val="center"/>
          </w:tcPr>
          <w:p w:rsidR="000A156F" w:rsidRDefault="00A9721F">
            <w:pPr>
              <w:pStyle w:val="TableBodyText"/>
            </w:pPr>
            <w:r>
              <w:t>skew.on</w:t>
            </w:r>
          </w:p>
        </w:tc>
        <w:tc>
          <w:tcPr>
            <w:tcW w:w="0" w:type="auto"/>
            <w:vAlign w:val="center"/>
          </w:tcPr>
          <w:p w:rsidR="000A156F" w:rsidRDefault="00A9721F">
            <w:pPr>
              <w:pStyle w:val="TableBodyText"/>
            </w:pPr>
            <w:r>
              <w:t>“false”, “f”, “t”, “true”</w:t>
            </w:r>
          </w:p>
        </w:tc>
      </w:tr>
      <w:tr w:rsidR="000A156F" w:rsidTr="000A156F">
        <w:tc>
          <w:tcPr>
            <w:tcW w:w="0" w:type="auto"/>
            <w:vAlign w:val="center"/>
          </w:tcPr>
          <w:p w:rsidR="000A156F" w:rsidRDefault="00A9721F">
            <w:pPr>
              <w:pStyle w:val="TableBodyText"/>
            </w:pPr>
            <w:r>
              <w:t>extrusion.on</w:t>
            </w:r>
          </w:p>
        </w:tc>
        <w:tc>
          <w:tcPr>
            <w:tcW w:w="0" w:type="auto"/>
            <w:vAlign w:val="center"/>
          </w:tcPr>
          <w:p w:rsidR="000A156F" w:rsidRDefault="00A9721F">
            <w:pPr>
              <w:pStyle w:val="TableBodyText"/>
            </w:pPr>
            <w:r>
              <w:t>“false”, “f”, “t”, “true”</w:t>
            </w:r>
          </w:p>
        </w:tc>
      </w:tr>
      <w:tr w:rsidR="000A156F" w:rsidTr="000A156F">
        <w:tc>
          <w:tcPr>
            <w:tcW w:w="0" w:type="auto"/>
            <w:vAlign w:val="center"/>
          </w:tcPr>
          <w:p w:rsidR="000A156F" w:rsidRDefault="00A9721F">
            <w:pPr>
              <w:pStyle w:val="TableBodyText"/>
            </w:pPr>
            <w:r>
              <w:t>extrusion.type</w:t>
            </w:r>
          </w:p>
        </w:tc>
        <w:tc>
          <w:tcPr>
            <w:tcW w:w="0" w:type="auto"/>
            <w:vAlign w:val="center"/>
          </w:tcPr>
          <w:p w:rsidR="000A156F" w:rsidRDefault="00A9721F">
            <w:pPr>
              <w:pStyle w:val="TableBodyText"/>
            </w:pPr>
            <w:r>
              <w:t>“parallel”, “perspective”</w:t>
            </w:r>
          </w:p>
        </w:tc>
      </w:tr>
      <w:tr w:rsidR="000A156F" w:rsidTr="000A156F">
        <w:tc>
          <w:tcPr>
            <w:tcW w:w="0" w:type="auto"/>
            <w:vAlign w:val="center"/>
          </w:tcPr>
          <w:p w:rsidR="000A156F" w:rsidRDefault="00A9721F">
            <w:pPr>
              <w:pStyle w:val="TableBodyText"/>
            </w:pPr>
            <w:r>
              <w:t>extrusion.render</w:t>
            </w:r>
          </w:p>
        </w:tc>
        <w:tc>
          <w:tcPr>
            <w:tcW w:w="0" w:type="auto"/>
            <w:vAlign w:val="center"/>
          </w:tcPr>
          <w:p w:rsidR="000A156F" w:rsidRDefault="00A9721F">
            <w:pPr>
              <w:pStyle w:val="TableBodyText"/>
            </w:pPr>
            <w:r>
              <w:t xml:space="preserve">“solid”, </w:t>
            </w:r>
            <w:r>
              <w:t>“wireframe”, “boundingcube”</w:t>
            </w:r>
          </w:p>
        </w:tc>
      </w:tr>
      <w:tr w:rsidR="000A156F" w:rsidTr="000A156F">
        <w:tc>
          <w:tcPr>
            <w:tcW w:w="0" w:type="auto"/>
            <w:vAlign w:val="center"/>
          </w:tcPr>
          <w:p w:rsidR="000A156F" w:rsidRDefault="00A9721F">
            <w:pPr>
              <w:pStyle w:val="TableBodyText"/>
            </w:pPr>
            <w:r>
              <w:t>extrusion.plane</w:t>
            </w:r>
          </w:p>
        </w:tc>
        <w:tc>
          <w:tcPr>
            <w:tcW w:w="0" w:type="auto"/>
            <w:vAlign w:val="center"/>
          </w:tcPr>
          <w:p w:rsidR="000A156F" w:rsidRDefault="00A9721F">
            <w:pPr>
              <w:pStyle w:val="TableBodyText"/>
            </w:pPr>
            <w:r>
              <w:t>“xy”, “zx”, “yz”</w:t>
            </w:r>
          </w:p>
        </w:tc>
      </w:tr>
      <w:tr w:rsidR="000A156F" w:rsidTr="000A156F">
        <w:tc>
          <w:tcPr>
            <w:tcW w:w="0" w:type="auto"/>
            <w:vAlign w:val="center"/>
          </w:tcPr>
          <w:p w:rsidR="000A156F" w:rsidRDefault="00A9721F">
            <w:pPr>
              <w:pStyle w:val="TableBodyText"/>
            </w:pPr>
            <w:r>
              <w:t>extrusion.lockrotationcenter</w:t>
            </w:r>
          </w:p>
        </w:tc>
        <w:tc>
          <w:tcPr>
            <w:tcW w:w="0" w:type="auto"/>
            <w:vAlign w:val="center"/>
          </w:tcPr>
          <w:p w:rsidR="000A156F" w:rsidRDefault="00A9721F">
            <w:pPr>
              <w:pStyle w:val="TableBodyText"/>
            </w:pPr>
            <w:r>
              <w:t>“false”, “true”</w:t>
            </w:r>
          </w:p>
        </w:tc>
      </w:tr>
      <w:tr w:rsidR="000A156F" w:rsidTr="000A156F">
        <w:tc>
          <w:tcPr>
            <w:tcW w:w="0" w:type="auto"/>
            <w:vAlign w:val="center"/>
          </w:tcPr>
          <w:p w:rsidR="000A156F" w:rsidRDefault="00A9721F">
            <w:pPr>
              <w:pStyle w:val="TableBodyText"/>
            </w:pPr>
            <w:r>
              <w:t>extrusion.autorotationcenter</w:t>
            </w:r>
          </w:p>
        </w:tc>
        <w:tc>
          <w:tcPr>
            <w:tcW w:w="0" w:type="auto"/>
            <w:vAlign w:val="center"/>
          </w:tcPr>
          <w:p w:rsidR="000A156F" w:rsidRDefault="00A9721F">
            <w:pPr>
              <w:pStyle w:val="TableBodyText"/>
            </w:pPr>
            <w:r>
              <w:t>“false”, “true”</w:t>
            </w:r>
          </w:p>
        </w:tc>
      </w:tr>
      <w:tr w:rsidR="000A156F" w:rsidTr="000A156F">
        <w:tc>
          <w:tcPr>
            <w:tcW w:w="0" w:type="auto"/>
            <w:vAlign w:val="center"/>
          </w:tcPr>
          <w:p w:rsidR="000A156F" w:rsidRDefault="00A9721F">
            <w:pPr>
              <w:pStyle w:val="TableBodyText"/>
            </w:pPr>
            <w:r>
              <w:t>extrusion.colormode</w:t>
            </w:r>
          </w:p>
        </w:tc>
        <w:tc>
          <w:tcPr>
            <w:tcW w:w="0" w:type="auto"/>
            <w:vAlign w:val="center"/>
          </w:tcPr>
          <w:p w:rsidR="000A156F" w:rsidRDefault="00A9721F">
            <w:pPr>
              <w:pStyle w:val="TableBodyText"/>
            </w:pPr>
            <w:r>
              <w:t>“false”, “true”</w:t>
            </w:r>
          </w:p>
        </w:tc>
      </w:tr>
    </w:tbl>
    <w:p w:rsidR="000A156F" w:rsidRDefault="000A156F"/>
    <w:p w:rsidR="000A156F" w:rsidRDefault="00A9721F">
      <w:pPr>
        <w:pStyle w:val="Definition-Field"/>
      </w:pPr>
      <w:r>
        <w:t xml:space="preserve">b.   </w:t>
      </w:r>
      <w:r>
        <w:rPr>
          <w:i/>
        </w:rPr>
        <w:t xml:space="preserve">The standard states that the to element specifies the </w:t>
      </w:r>
      <w:r>
        <w:rPr>
          <w:i/>
        </w:rPr>
        <w:t>attribute of the time node after the animation.</w:t>
      </w:r>
    </w:p>
    <w:p w:rsidR="000A156F" w:rsidRDefault="00A9721F">
      <w:r>
        <w:t>In PowerPoint, the child element strVal can be used as a string that represents a parenthesized formula whose format is described in the fmla attribute specified in the tav element ("[ISO/IEC-29500-1] §19.5.7</w:t>
      </w:r>
      <w:r>
        <w:t>9; tav"). The format is specified as:</w:t>
      </w:r>
    </w:p>
    <w:p w:rsidR="000A156F" w:rsidRDefault="00A9721F">
      <w:r>
        <w:t>strFormula = '(' , formula , ')' ;</w:t>
      </w:r>
    </w:p>
    <w:p w:rsidR="000A156F" w:rsidRDefault="00A9721F">
      <w:r>
        <w:t>Where formula is a string formula specified as described within tav ("[ISO/IEC-29500-1] §19.5.79; tav").</w:t>
      </w:r>
    </w:p>
    <w:p w:rsidR="000A156F" w:rsidRDefault="00A9721F">
      <w:pPr>
        <w:pStyle w:val="Definition-Field"/>
      </w:pPr>
      <w:r>
        <w:t xml:space="preserve">c.   </w:t>
      </w:r>
      <w:r>
        <w:rPr>
          <w:i/>
        </w:rPr>
        <w:t>The standard states that the strVal child of the to element is used to sp</w:t>
      </w:r>
      <w:r>
        <w:rPr>
          <w:i/>
        </w:rPr>
        <w:t>ecify an attribute that the animation applies to.</w:t>
      </w:r>
    </w:p>
    <w:p w:rsidR="000A156F" w:rsidRDefault="00A9721F">
      <w:r>
        <w:lastRenderedPageBreak/>
        <w:t>In PowerPoint, the child element strVal can be used to represent a real number. The number shall be either a decimal number (for example 2.0, -3.4e-5), a hexadecimal number (for example 0x4A.F, -0X5FE5), an</w:t>
      </w:r>
      <w:r>
        <w:t xml:space="preserve"> octal number (for example 0o56.4e5, -0O.56), or a binary number (for example 10.01, -11.01e110). This real number format is also used to define color values, in which the percentage is a real number with a postfix ‘%’. The required format is specified as </w:t>
      </w:r>
      <w:r>
        <w:t>follows:</w:t>
      </w:r>
    </w:p>
    <w:p w:rsidR="000A156F" w:rsidRDefault="00A9721F">
      <w:r>
        <w:t>real_number = value;</w:t>
      </w:r>
    </w:p>
    <w:p w:rsidR="000A156F" w:rsidRDefault="00A9721F">
      <w:r>
        <w:t>percentage = value , ‘%’ ;</w:t>
      </w:r>
    </w:p>
    <w:p w:rsidR="000A156F" w:rsidRDefault="00A9721F">
      <w:r>
        <w:t>value = dec_value | oct_value | hex_value | bin_value ;</w:t>
      </w:r>
    </w:p>
    <w:p w:rsidR="000A156F" w:rsidRDefault="00A9721F">
      <w:r>
        <w:t>dec_value = dec_regular_value | dec_pure_floating ;</w:t>
      </w:r>
    </w:p>
    <w:p w:rsidR="000A156F" w:rsidRDefault="00A9721F">
      <w:r>
        <w:t>dec_regular_value = [ ‘-’ ] , dec_number , [  '.' ] , [ dec_number ] , [ dec_exponent ] ;</w:t>
      </w:r>
    </w:p>
    <w:p w:rsidR="000A156F" w:rsidRDefault="00A9721F">
      <w:r>
        <w:t>d</w:t>
      </w:r>
      <w:r>
        <w:t>ec_pure_float = [ ‘-‘ ] , ‘.’ , dec_number , [ dec_exponent ] ;</w:t>
      </w:r>
    </w:p>
    <w:p w:rsidR="000A156F" w:rsidRDefault="00A9721F">
      <w:r>
        <w:t>oct_value = oct_regular_value | oct_pure_floating ;</w:t>
      </w:r>
    </w:p>
    <w:p w:rsidR="000A156F" w:rsidRDefault="00A9721F">
      <w:r>
        <w:t>oct_regular_value = [ ‘-’ ] , oct_number , [ ‘.’ ] , [ oct_number ] , [ oct_exponent ] ;</w:t>
      </w:r>
    </w:p>
    <w:p w:rsidR="000A156F" w:rsidRDefault="00A9721F">
      <w:r>
        <w:t xml:space="preserve">oct_pure_floating = [ ‘-‘ ] , ‘.’ , oct_number , [ </w:t>
      </w:r>
      <w:r>
        <w:t>oct_exponent ] ;</w:t>
      </w:r>
    </w:p>
    <w:p w:rsidR="000A156F" w:rsidRDefault="00A9721F">
      <w:r>
        <w:t>hex_value = hex_regular_value | hex_pure_floating ;</w:t>
      </w:r>
    </w:p>
    <w:p w:rsidR="000A156F" w:rsidRDefault="00A9721F">
      <w:r>
        <w:t xml:space="preserve">hex_regular_value = [ ‘-’ ] , hex_number , [ ‘.’ ] , [ hex_number ] </w:t>
      </w:r>
    </w:p>
    <w:p w:rsidR="000A156F" w:rsidRDefault="00A9721F">
      <w:r>
        <w:t>hex_pure_floating = [ ‘-‘ ] , ‘.’ , hex_number;</w:t>
      </w:r>
    </w:p>
    <w:p w:rsidR="000A156F" w:rsidRDefault="00A9721F">
      <w:r>
        <w:t>bin_value = bin_regular_value | bin_pure_floating ;</w:t>
      </w:r>
    </w:p>
    <w:p w:rsidR="000A156F" w:rsidRDefault="00A9721F">
      <w:r>
        <w:t xml:space="preserve">bin_regular_value </w:t>
      </w:r>
      <w:r>
        <w:t>= [ ‘-’ ] , bin_number , [ ‘.’ ] , [ bin_number ] , [ bin_exponent ] ;</w:t>
      </w:r>
    </w:p>
    <w:p w:rsidR="000A156F" w:rsidRDefault="00A9721F">
      <w:r>
        <w:t>bin_pure_floating = [ ‘-‘ ] , ‘.’ , bin_number , [ bin_exponent ] ;</w:t>
      </w:r>
    </w:p>
    <w:p w:rsidR="000A156F" w:rsidRDefault="00A9721F">
      <w:r>
        <w:t>DecDigit    = '0' | '1' | ‘2’ | ‘3’ | ‘4’ | ‘5’ | ‘6’ | ‘7’ | ‘8’ | '9' ;</w:t>
      </w:r>
    </w:p>
    <w:p w:rsidR="000A156F" w:rsidRDefault="00A9721F">
      <w:r>
        <w:t>OctDigit    = '0' | '1' | ‘2’ | ‘3’ | ‘4’ |</w:t>
      </w:r>
      <w:r>
        <w:t xml:space="preserve"> ‘5’ | ‘6’ | ‘7’;</w:t>
      </w:r>
    </w:p>
    <w:p w:rsidR="000A156F" w:rsidRDefault="00A9721F">
      <w:r>
        <w:t>HexDigit    = '0' | '1' | ‘2’ | ‘3’ | ‘4’ | ‘5’ | ‘6’ | ‘7’ | ‘8’ | '9' | ‘A’ | ‘a’ | ‘B’ | ‘b’ | ‘C’ | ‘c’ | ‘D’ | ‘d’ | ‘E’ | ‘e’ | ‘F’ | ‘f’ ;</w:t>
      </w:r>
    </w:p>
    <w:p w:rsidR="000A156F" w:rsidRDefault="00A9721F">
      <w:r>
        <w:t>BinDigit = ‘0’ | ‘1’ ;</w:t>
      </w:r>
    </w:p>
    <w:p w:rsidR="000A156F" w:rsidRDefault="00A9721F">
      <w:r>
        <w:t>dec_number   = Digit , { Digit } ;</w:t>
      </w:r>
    </w:p>
    <w:p w:rsidR="000A156F" w:rsidRDefault="00A9721F">
      <w:r>
        <w:t>oct_number = ‘0’ , ( ‘o’ | ‘O’ ) ,</w:t>
      </w:r>
      <w:r>
        <w:t xml:space="preserve"> OctDigit , { OctDigit } ;</w:t>
      </w:r>
    </w:p>
    <w:p w:rsidR="000A156F" w:rsidRDefault="00A9721F">
      <w:r>
        <w:t>hex_number = ‘0’ , (‘x’ | ‘X’ ), HexDigit , { HexDigit } ;</w:t>
      </w:r>
    </w:p>
    <w:p w:rsidR="000A156F" w:rsidRDefault="00A9721F">
      <w:r>
        <w:t>bin_number = ‘0’ , (‘b’ | ‘B’ ) , BinDigit , { BinDigit } ;</w:t>
      </w:r>
    </w:p>
    <w:p w:rsidR="000A156F" w:rsidRDefault="00A9721F">
      <w:r>
        <w:t>dec_exponent = [ '-' ] , ( 'e' | 'E' ) , dec_number ;</w:t>
      </w:r>
    </w:p>
    <w:p w:rsidR="000A156F" w:rsidRDefault="00A9721F">
      <w:r>
        <w:t>oct_exponent = [ '-' ] , ( 'e' | 'E' ) , oct_number ;</w:t>
      </w:r>
    </w:p>
    <w:p w:rsidR="000A156F" w:rsidRDefault="00A9721F">
      <w:r>
        <w:t>bi</w:t>
      </w:r>
      <w:r>
        <w:t>n_exponent = [ '-' ] , ( 'e' | 'E' ) , bin_number ;</w:t>
      </w:r>
    </w:p>
    <w:p w:rsidR="000A156F" w:rsidRDefault="00A9721F">
      <w:pPr>
        <w:pStyle w:val="Definition-Field"/>
      </w:pPr>
      <w:r>
        <w:t xml:space="preserve">d.   </w:t>
      </w:r>
      <w:r>
        <w:rPr>
          <w:i/>
        </w:rPr>
        <w:t>The standard states that the strVal child of the to element is used to specify an attribute that the animation applies to.</w:t>
      </w:r>
    </w:p>
    <w:p w:rsidR="000A156F" w:rsidRDefault="00A9721F">
      <w:r>
        <w:t xml:space="preserve">In PowerPoint, the child element strVal can be used to represent a color as </w:t>
      </w:r>
      <w:r>
        <w:t>follows:</w:t>
      </w:r>
    </w:p>
    <w:p w:rsidR="000A156F" w:rsidRDefault="00A9721F">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 defines a red color.</w:t>
      </w:r>
    </w:p>
    <w:p w:rsidR="000A156F" w:rsidRDefault="00A9721F">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 100%)” are red with a full opacity.</w:t>
      </w:r>
    </w:p>
    <w:p w:rsidR="000A156F" w:rsidRDefault="00A9721F">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rsidR="000A156F" w:rsidRDefault="00A9721F">
      <w:pPr>
        <w:pStyle w:val="ListParagraph"/>
        <w:numPr>
          <w:ilvl w:val="0"/>
          <w:numId w:val="130"/>
        </w:numPr>
        <w:contextualSpacing/>
      </w:pPr>
      <w:r>
        <w:t>hsl(</w:t>
      </w:r>
      <w:r>
        <w:rPr>
          <w:i/>
        </w:rPr>
        <w:t>h_value</w:t>
      </w:r>
      <w:r>
        <w:t xml:space="preserve">, </w:t>
      </w:r>
      <w:r>
        <w:rPr>
          <w:i/>
        </w:rPr>
        <w:t>s_</w:t>
      </w:r>
      <w:r>
        <w:rPr>
          <w:i/>
        </w:rPr>
        <w:t>value</w:t>
      </w:r>
      <w:r>
        <w:t xml:space="preserve">, </w:t>
      </w:r>
      <w:r>
        <w:rPr>
          <w:i/>
        </w:rPr>
        <w:t>l_value, a_value</w:t>
      </w:r>
      <w:r>
        <w:t xml:space="preserve">). </w:t>
      </w:r>
      <w:r>
        <w:rPr>
          <w:i/>
        </w:rPr>
        <w:t>h_value</w:t>
      </w:r>
      <w:r>
        <w:t xml:space="preserve">, </w:t>
      </w:r>
      <w:r>
        <w:rPr>
          <w:i/>
        </w:rPr>
        <w:t>s_value</w:t>
      </w:r>
      <w:r>
        <w:t xml:space="preserve">, </w:t>
      </w:r>
      <w:r>
        <w:rPr>
          <w:i/>
        </w:rPr>
        <w:t xml:space="preserve">l_value, and a_value </w:t>
      </w:r>
      <w:r>
        <w:t xml:space="preserve">are values for hue, saturation, lightness, and alpha, respectively. The values are either real numbers or percentages. For example, “hsl(0, 255, 127.5, 255)” and “hsl(0,100%, 50%, 100%)” are </w:t>
      </w:r>
      <w:r>
        <w:t>red with a full opacity, equivalent to “rgb(255, 0, 0, 255)”.</w:t>
      </w:r>
    </w:p>
    <w:p w:rsidR="000A156F" w:rsidRDefault="00A9721F">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red, equivalent to “rgb(255, 0, 0)”.</w:t>
      </w:r>
    </w:p>
    <w:p w:rsidR="000A156F" w:rsidRDefault="00A9721F">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w:t>
      </w:r>
      <w:r>
        <w:t>xadecimal values for alpha, red, green, and blue spectrum, respectively. For example, “#FFFF0000” is red with a full opacity, equivalent to “rgb(255, 0, 0, 255)”.</w:t>
      </w:r>
    </w:p>
    <w:p w:rsidR="000A156F" w:rsidRDefault="00A9721F">
      <w:pPr>
        <w:pStyle w:val="ListParagraph"/>
        <w:numPr>
          <w:ilvl w:val="0"/>
          <w:numId w:val="130"/>
        </w:numPr>
        <w:contextualSpacing/>
      </w:pPr>
      <w:r>
        <w:t>#</w:t>
      </w:r>
      <w:r>
        <w:rPr>
          <w:i/>
        </w:rPr>
        <w:t>rgb. r</w:t>
      </w:r>
      <w:r>
        <w:t xml:space="preserve">, </w:t>
      </w:r>
      <w:r>
        <w:rPr>
          <w:i/>
        </w:rPr>
        <w:t>g</w:t>
      </w:r>
      <w:r>
        <w:t xml:space="preserve">, and </w:t>
      </w:r>
      <w:r>
        <w:rPr>
          <w:i/>
        </w:rPr>
        <w:t xml:space="preserve">b </w:t>
      </w:r>
      <w:r>
        <w:t xml:space="preserve">are hexadecimal values for red, green, and blue spectrum, respectively. It </w:t>
      </w:r>
      <w:r>
        <w:t>is equivalent to #</w:t>
      </w:r>
      <w:r>
        <w:rPr>
          <w:i/>
        </w:rPr>
        <w:t>r</w:t>
      </w:r>
      <w:r>
        <w:t>0</w:t>
      </w:r>
      <w:r>
        <w:rPr>
          <w:i/>
        </w:rPr>
        <w:t>g</w:t>
      </w:r>
      <w:r>
        <w:t>0</w:t>
      </w:r>
      <w:r>
        <w:rPr>
          <w:i/>
        </w:rPr>
        <w:t>b</w:t>
      </w:r>
      <w:r>
        <w:t>0. For example, “#F00” is equal to “#F00000”.</w:t>
      </w:r>
    </w:p>
    <w:p w:rsidR="000A156F" w:rsidRDefault="00A9721F">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0A156F" w:rsidRDefault="00A9721F">
      <w:pPr>
        <w:pStyle w:val="Heading3"/>
      </w:pPr>
      <w:bookmarkStart w:id="2388" w:name="section_337d872bb42b499797c5d4dc16ad8be1"/>
      <w:bookmarkStart w:id="2389" w:name="_Toc181684220"/>
      <w:r>
        <w:t>Part 1 Section 19.5.90, to (To)</w:t>
      </w:r>
      <w:bookmarkEnd w:id="2388"/>
      <w:bookmarkEnd w:id="2389"/>
      <w:r>
        <w:fldChar w:fldCharType="begin"/>
      </w:r>
      <w:r>
        <w:instrText xml:space="preserve"> XE "to (To)" </w:instrText>
      </w:r>
      <w:r>
        <w:fldChar w:fldCharType="end"/>
      </w:r>
    </w:p>
    <w:p w:rsidR="000A156F" w:rsidRDefault="00A9721F">
      <w:pPr>
        <w:pStyle w:val="Definition-Field"/>
      </w:pPr>
      <w:r>
        <w:t xml:space="preserve">a.   </w:t>
      </w:r>
      <w:r>
        <w:rPr>
          <w:i/>
        </w:rPr>
        <w:t>The standard does not place any restrictions on the color values used when the schemeClr element is a child of the to element.</w:t>
      </w:r>
    </w:p>
    <w:p w:rsidR="000A156F" w:rsidRDefault="00A9721F">
      <w:pPr>
        <w:pStyle w:val="Definition-Field2"/>
      </w:pPr>
      <w:r>
        <w:t>PowerPoint requires that the color values dk1, lt1, dk2, lt2, accent3, accen</w:t>
      </w:r>
      <w:r>
        <w:t>t4, accent5, accent6 and phClr not be used when the schemeClr element is a child of the to element.</w:t>
      </w:r>
    </w:p>
    <w:p w:rsidR="000A156F" w:rsidRDefault="00A9721F">
      <w:pPr>
        <w:pStyle w:val="Heading3"/>
      </w:pPr>
      <w:bookmarkStart w:id="2390" w:name="section_110dbdf46d964994b9fa225ee0508cc3"/>
      <w:bookmarkStart w:id="2391" w:name="_Toc181684221"/>
      <w:r>
        <w:t>Part 1 Section 19.5.93, video (Video)</w:t>
      </w:r>
      <w:bookmarkEnd w:id="2390"/>
      <w:bookmarkEnd w:id="2391"/>
      <w:r>
        <w:fldChar w:fldCharType="begin"/>
      </w:r>
      <w:r>
        <w:instrText xml:space="preserve"> XE "video (Video)"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0A156F" w:rsidRDefault="00A9721F">
      <w:pPr>
        <w:pStyle w:val="Heading3"/>
      </w:pPr>
      <w:bookmarkStart w:id="2392" w:name="section_dba18dddef3f4ab38018e39a39c92f45"/>
      <w:bookmarkStart w:id="2393" w:name="_Toc181684222"/>
      <w:r>
        <w:t>Part 1 Section 19.5.95, wheel (Wheel Slide Transition)</w:t>
      </w:r>
      <w:bookmarkEnd w:id="2392"/>
      <w:bookmarkEnd w:id="2393"/>
      <w:r>
        <w:fldChar w:fldCharType="begin"/>
      </w:r>
      <w:r>
        <w:instrText xml:space="preserve"> XE "wheel (Wheel Slide Transition)" </w:instrText>
      </w:r>
      <w:r>
        <w:fldChar w:fldCharType="end"/>
      </w:r>
    </w:p>
    <w:p w:rsidR="000A156F" w:rsidRDefault="00A9721F">
      <w:pPr>
        <w:pStyle w:val="Definition-Field"/>
      </w:pPr>
      <w:r>
        <w:t xml:space="preserve">a.   </w:t>
      </w:r>
      <w:r>
        <w:rPr>
          <w:i/>
        </w:rPr>
        <w:t>The standard states that the values of the spokes attribute are defined by the X</w:t>
      </w:r>
      <w:r>
        <w:rPr>
          <w:i/>
        </w:rPr>
        <w:t>ML Schema unsignedInt datatype.</w:t>
      </w:r>
    </w:p>
    <w:p w:rsidR="000A156F" w:rsidRDefault="00A9721F">
      <w:pPr>
        <w:pStyle w:val="Definition-Field2"/>
      </w:pPr>
      <w:r>
        <w:t>PowerPoint maps values other than 1, 2, 3, 4, and 8 to the nearest supported value.</w:t>
      </w:r>
    </w:p>
    <w:p w:rsidR="000A156F" w:rsidRDefault="00A9721F">
      <w:pPr>
        <w:pStyle w:val="Heading3"/>
      </w:pPr>
      <w:bookmarkStart w:id="2394" w:name="section_a6e7bb555213462cbced2b1225810888"/>
      <w:bookmarkStart w:id="2395" w:name="_Toc181684223"/>
      <w:r>
        <w:t>Part 1 Section 19.7.7, ST_PhotoAlbumFrameShape (Photo Album Shape for Photo Mask)</w:t>
      </w:r>
      <w:bookmarkEnd w:id="2394"/>
      <w:bookmarkEnd w:id="2395"/>
      <w:r>
        <w:fldChar w:fldCharType="begin"/>
      </w:r>
      <w:r>
        <w:instrText xml:space="preserve"> XE "ST_PhotoAlbumFrameShape (Photo Album Shape for Photo M</w:instrText>
      </w:r>
      <w:r>
        <w:instrText xml:space="preserve">ask)" </w:instrText>
      </w:r>
      <w:r>
        <w:fldChar w:fldCharType="end"/>
      </w:r>
    </w:p>
    <w:p w:rsidR="000A156F" w:rsidRDefault="00A9721F">
      <w:pPr>
        <w:pStyle w:val="Definition-Field"/>
      </w:pPr>
      <w:r>
        <w:t xml:space="preserve">a.   </w:t>
      </w:r>
      <w:r>
        <w:rPr>
          <w:i/>
        </w:rPr>
        <w:t>The standard only documents one description per enumeration value.</w:t>
      </w:r>
    </w:p>
    <w:p w:rsidR="000A156F" w:rsidRDefault="00A9721F">
      <w:r>
        <w:t>Each enumeration value has two possible meanings which will be referred to as “Legacy” and “Standard” in the description section.</w:t>
      </w:r>
    </w:p>
    <w:p w:rsidR="000A156F" w:rsidRDefault="00A9721F">
      <w:r>
        <w:t>Legacy: If the application detects one or mor</w:t>
      </w:r>
      <w:r>
        <w:t>e shapes with a blipfill and isPhoto set to true within the non-visual properties for that shape, then the legacy meanings of each enumeration shall be implied.</w:t>
      </w:r>
    </w:p>
    <w:p w:rsidR="000A156F" w:rsidRDefault="00A9721F">
      <w:r>
        <w:t>Standard: For all other cases, the standard meaning shall be implied.</w:t>
      </w:r>
    </w:p>
    <w:p w:rsidR="000A156F" w:rsidRDefault="00A9721F">
      <w:r>
        <w:lastRenderedPageBreak/>
        <w:t>[</w:t>
      </w:r>
      <w:r>
        <w:rPr>
          <w:i/>
        </w:rPr>
        <w:t>Example:</w:t>
      </w:r>
      <w:r>
        <w:t xml:space="preserve"> Consider the sh</w:t>
      </w:r>
      <w:r>
        <w:t>ape that has a blip fill applied to it and isPhoto set to true.</w:t>
      </w:r>
    </w:p>
    <w:p w:rsidR="000A156F" w:rsidRDefault="00A9721F">
      <w:pPr>
        <w:pStyle w:val="Code"/>
      </w:pPr>
      <w:r>
        <w:t>&lt;p:sp&gt;</w:t>
      </w:r>
    </w:p>
    <w:p w:rsidR="000A156F" w:rsidRDefault="00A9721F">
      <w:pPr>
        <w:pStyle w:val="Code"/>
      </w:pPr>
      <w:r>
        <w:t>&lt;p:nvSpPr&gt;</w:t>
      </w:r>
    </w:p>
    <w:p w:rsidR="000A156F" w:rsidRDefault="00A9721F">
      <w:pPr>
        <w:pStyle w:val="Code"/>
      </w:pPr>
      <w:r>
        <w:t>..</w:t>
      </w:r>
    </w:p>
    <w:p w:rsidR="000A156F" w:rsidRDefault="00A9721F">
      <w:pPr>
        <w:pStyle w:val="Code"/>
      </w:pPr>
      <w:r>
        <w:t>&lt;p:nvPr isPhoto="1"/&gt;</w:t>
      </w:r>
    </w:p>
    <w:p w:rsidR="000A156F" w:rsidRDefault="00A9721F">
      <w:pPr>
        <w:pStyle w:val="Code"/>
      </w:pPr>
      <w:r>
        <w:t>&lt;/p:nvSpPr&gt;</w:t>
      </w:r>
    </w:p>
    <w:p w:rsidR="000A156F" w:rsidRDefault="00A9721F">
      <w:pPr>
        <w:pStyle w:val="Code"/>
      </w:pPr>
      <w:r>
        <w:t>&lt;p:spPr bwMode="auto"&gt;</w:t>
      </w:r>
    </w:p>
    <w:p w:rsidR="000A156F" w:rsidRDefault="00A9721F">
      <w:pPr>
        <w:pStyle w:val="Code"/>
      </w:pPr>
      <w:r>
        <w:t>&lt;a:blipFill dpi="0" rotWithShape="1"&gt;</w:t>
      </w:r>
    </w:p>
    <w:p w:rsidR="000A156F" w:rsidRDefault="00A9721F">
      <w:pPr>
        <w:pStyle w:val="Code"/>
      </w:pPr>
      <w:r>
        <w:t xml:space="preserve">      ..</w:t>
      </w:r>
    </w:p>
    <w:p w:rsidR="000A156F" w:rsidRDefault="00A9721F">
      <w:pPr>
        <w:pStyle w:val="Code"/>
      </w:pPr>
      <w:r>
        <w:t>&lt;/a:blipFill&gt;</w:t>
      </w:r>
    </w:p>
    <w:p w:rsidR="000A156F" w:rsidRDefault="00A9721F">
      <w:pPr>
        <w:pStyle w:val="Code"/>
      </w:pPr>
      <w:r>
        <w:t>&lt;/p:spPr&gt;</w:t>
      </w:r>
    </w:p>
    <w:p w:rsidR="000A156F" w:rsidRDefault="00A9721F">
      <w:pPr>
        <w:pStyle w:val="Code"/>
      </w:pPr>
      <w:r>
        <w:t>&lt;/p:sp&gt;</w:t>
      </w:r>
    </w:p>
    <w:p w:rsidR="000A156F" w:rsidRDefault="00A9721F">
      <w:r>
        <w:rPr>
          <w:i/>
        </w:rPr>
        <w:t>end example</w:t>
      </w:r>
      <w:r>
        <w:t>]</w:t>
      </w:r>
    </w:p>
    <w:p w:rsidR="000A156F" w:rsidRDefault="00A9721F">
      <w:r>
        <w:t>The following are poss</w:t>
      </w:r>
      <w:r>
        <w:t>ible enumeration values for this type:</w:t>
      </w:r>
    </w:p>
    <w:tbl>
      <w:tblPr>
        <w:tblStyle w:val="Table-ShadedHeader"/>
        <w:tblW w:w="0" w:type="auto"/>
        <w:tblLook w:val="04A0" w:firstRow="1" w:lastRow="0" w:firstColumn="1" w:lastColumn="0" w:noHBand="0" w:noVBand="1"/>
      </w:tblPr>
      <w:tblGrid>
        <w:gridCol w:w="4153"/>
        <w:gridCol w:w="234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frameStyle1</w:t>
            </w:r>
            <w:r>
              <w:t xml:space="preserve"> (Rectangle Photo Frame)</w:t>
            </w:r>
          </w:p>
        </w:tc>
        <w:tc>
          <w:tcPr>
            <w:tcW w:w="0" w:type="auto"/>
            <w:vAlign w:val="center"/>
          </w:tcPr>
          <w:p w:rsidR="000A156F" w:rsidRDefault="00A9721F">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70"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A156F" w:rsidRDefault="00A9721F">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71"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A156F" w:rsidTr="000A156F">
        <w:tc>
          <w:tcPr>
            <w:tcW w:w="0" w:type="auto"/>
            <w:vAlign w:val="center"/>
          </w:tcPr>
          <w:p w:rsidR="000A156F" w:rsidRDefault="00A9721F">
            <w:pPr>
              <w:pStyle w:val="TableBodyText"/>
            </w:pPr>
            <w:r>
              <w:rPr>
                <w:b/>
              </w:rPr>
              <w:t>frameStyle2</w:t>
            </w:r>
            <w:r>
              <w:t xml:space="preserve"> (Rounded Rectangle Photo Frame)</w:t>
            </w:r>
          </w:p>
        </w:tc>
        <w:tc>
          <w:tcPr>
            <w:tcW w:w="0" w:type="auto"/>
            <w:vAlign w:val="center"/>
          </w:tcPr>
          <w:p w:rsidR="000A156F" w:rsidRDefault="00A9721F">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72"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A156F" w:rsidRDefault="00A9721F">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73"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A156F" w:rsidTr="000A156F">
        <w:tc>
          <w:tcPr>
            <w:tcW w:w="0" w:type="auto"/>
            <w:vAlign w:val="center"/>
          </w:tcPr>
          <w:p w:rsidR="000A156F" w:rsidRDefault="00A9721F">
            <w:pPr>
              <w:pStyle w:val="TableBodyText"/>
            </w:pPr>
            <w:r>
              <w:rPr>
                <w:b/>
              </w:rPr>
              <w:t>frameStyle3</w:t>
            </w:r>
            <w:r>
              <w:t xml:space="preserve"> (Simple White Photo Frame)</w:t>
            </w:r>
          </w:p>
        </w:tc>
        <w:tc>
          <w:tcPr>
            <w:tcW w:w="0" w:type="auto"/>
            <w:vAlign w:val="center"/>
          </w:tcPr>
          <w:p w:rsidR="000A156F" w:rsidRDefault="00A9721F">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74"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A156F" w:rsidRDefault="00A9721F">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5"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A156F" w:rsidTr="000A156F">
        <w:tc>
          <w:tcPr>
            <w:tcW w:w="0" w:type="auto"/>
            <w:vAlign w:val="center"/>
          </w:tcPr>
          <w:p w:rsidR="000A156F" w:rsidRDefault="00A9721F">
            <w:pPr>
              <w:pStyle w:val="TableBodyText"/>
            </w:pPr>
            <w:r>
              <w:rPr>
                <w:b/>
              </w:rPr>
              <w:t>frameStyle4</w:t>
            </w:r>
            <w:r>
              <w:t xml:space="preserve"> (Simple Black Photo Frame)</w:t>
            </w:r>
          </w:p>
        </w:tc>
        <w:tc>
          <w:tcPr>
            <w:tcW w:w="0" w:type="auto"/>
            <w:vAlign w:val="center"/>
          </w:tcPr>
          <w:p w:rsidR="000A156F" w:rsidRDefault="00A9721F">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6"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A156F" w:rsidRDefault="00A9721F">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7"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A156F" w:rsidTr="000A156F">
        <w:tc>
          <w:tcPr>
            <w:tcW w:w="0" w:type="auto"/>
            <w:vAlign w:val="center"/>
          </w:tcPr>
          <w:p w:rsidR="000A156F" w:rsidRDefault="00A9721F">
            <w:pPr>
              <w:pStyle w:val="TableBodyText"/>
            </w:pPr>
            <w:r>
              <w:rPr>
                <w:b/>
              </w:rPr>
              <w:lastRenderedPageBreak/>
              <w:t>frameStyle5</w:t>
            </w:r>
            <w:r>
              <w:t xml:space="preserve"> (Compound Black Photo Frame)</w:t>
            </w:r>
          </w:p>
        </w:tc>
        <w:tc>
          <w:tcPr>
            <w:tcW w:w="0" w:type="auto"/>
            <w:vAlign w:val="center"/>
          </w:tcPr>
          <w:p w:rsidR="000A156F" w:rsidRDefault="00A9721F">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8"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A156F" w:rsidRDefault="00A9721F">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9"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A156F" w:rsidTr="000A156F">
        <w:tc>
          <w:tcPr>
            <w:tcW w:w="0" w:type="auto"/>
            <w:vAlign w:val="center"/>
          </w:tcPr>
          <w:p w:rsidR="000A156F" w:rsidRDefault="00A9721F">
            <w:pPr>
              <w:pStyle w:val="TableBodyText"/>
            </w:pPr>
            <w:r>
              <w:rPr>
                <w:b/>
              </w:rPr>
              <w:t>frameStyle6</w:t>
            </w:r>
            <w:r>
              <w:t xml:space="preserve"> (Center Shadow Photo Frame)</w:t>
            </w:r>
          </w:p>
        </w:tc>
        <w:tc>
          <w:tcPr>
            <w:tcW w:w="0" w:type="auto"/>
            <w:vAlign w:val="center"/>
          </w:tcPr>
          <w:p w:rsidR="000A156F" w:rsidRDefault="00A9721F">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80"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A156F" w:rsidRDefault="00A9721F">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81"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0A156F" w:rsidTr="000A156F">
        <w:tc>
          <w:tcPr>
            <w:tcW w:w="0" w:type="auto"/>
            <w:vAlign w:val="center"/>
          </w:tcPr>
          <w:p w:rsidR="000A156F" w:rsidRDefault="00A9721F">
            <w:pPr>
              <w:pStyle w:val="TableBodyText"/>
            </w:pPr>
            <w:r>
              <w:rPr>
                <w:b/>
              </w:rPr>
              <w:t>frameStyle7</w:t>
            </w:r>
            <w:r>
              <w:t xml:space="preserve"> (Soft Edge Photo Frame)</w:t>
            </w:r>
          </w:p>
        </w:tc>
        <w:tc>
          <w:tcPr>
            <w:tcW w:w="0" w:type="auto"/>
            <w:vAlign w:val="center"/>
          </w:tcPr>
          <w:p w:rsidR="000A156F" w:rsidRDefault="00A9721F">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82"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0A156F" w:rsidRDefault="00A9721F">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83"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0A156F" w:rsidRDefault="000A156F"/>
    <w:p w:rsidR="000A156F" w:rsidRDefault="00A9721F">
      <w:pPr>
        <w:pStyle w:val="Heading3"/>
      </w:pPr>
      <w:bookmarkStart w:id="2396" w:name="section_4f007c9d15164dd0848087f21fc54ee3"/>
      <w:bookmarkStart w:id="2397" w:name="_Toc181684224"/>
      <w:r>
        <w:t>Part 1 Section 19.7.24, ST_TLAnimateEffectTransition (Time List Animate Effect Transition)</w:t>
      </w:r>
      <w:bookmarkEnd w:id="2396"/>
      <w:bookmarkEnd w:id="2397"/>
      <w:r>
        <w:fldChar w:fldCharType="begin"/>
      </w:r>
      <w:r>
        <w:instrText xml:space="preserve"> XE "ST_TLAnimateEffectTransition (Time List Animate Effect Transition)" </w:instrText>
      </w:r>
      <w:r>
        <w:fldChar w:fldCharType="end"/>
      </w:r>
    </w:p>
    <w:p w:rsidR="000A156F" w:rsidRDefault="00A9721F">
      <w:pPr>
        <w:pStyle w:val="Definition-Field"/>
      </w:pPr>
      <w:r>
        <w:t xml:space="preserve">a.   </w:t>
      </w:r>
      <w:r>
        <w:rPr>
          <w:i/>
        </w:rPr>
        <w:t>The standard does not specify how to interpret a transiti</w:t>
      </w:r>
      <w:r>
        <w:rPr>
          <w:i/>
        </w:rPr>
        <w:t>on value of none.</w:t>
      </w:r>
    </w:p>
    <w:p w:rsidR="000A156F" w:rsidRDefault="00A9721F">
      <w:pPr>
        <w:pStyle w:val="Definition-Field2"/>
      </w:pPr>
      <w:r>
        <w:t>PowerPoint interprets a value of none as being equal to in.</w:t>
      </w:r>
    </w:p>
    <w:p w:rsidR="000A156F" w:rsidRDefault="00A9721F">
      <w:pPr>
        <w:pStyle w:val="Heading3"/>
      </w:pPr>
      <w:bookmarkStart w:id="2398" w:name="section_e1478454837249af8963620f9f11ceb7"/>
      <w:bookmarkStart w:id="2399" w:name="_Toc181684225"/>
      <w:r>
        <w:t>Part 1 Section 19.7.25, ST_TLAnimateMotionBehaviorOrigin (Time List Animate Motion Behavior Origin)</w:t>
      </w:r>
      <w:bookmarkEnd w:id="2398"/>
      <w:bookmarkEnd w:id="2399"/>
      <w:r>
        <w:fldChar w:fldCharType="begin"/>
      </w:r>
      <w:r>
        <w:instrText xml:space="preserve"> XE "ST_TLAnimateMotionBehaviorOrigin (Time List Animate Motion Behavior Origin</w:instrText>
      </w:r>
      <w:r>
        <w:instrText xml:space="preserve">)" </w:instrText>
      </w:r>
      <w:r>
        <w:fldChar w:fldCharType="end"/>
      </w:r>
    </w:p>
    <w:p w:rsidR="000A156F" w:rsidRDefault="00A9721F">
      <w:pPr>
        <w:pStyle w:val="Definition-Field"/>
      </w:pPr>
      <w:r>
        <w:t xml:space="preserve">a.   </w:t>
      </w:r>
      <w:r>
        <w:rPr>
          <w:i/>
        </w:rPr>
        <w:t>The standard does not specify how to interpret the origin values.</w:t>
      </w:r>
    </w:p>
    <w:p w:rsidR="000A156F" w:rsidRDefault="00A9721F">
      <w:pPr>
        <w:pStyle w:val="Definition-Field2"/>
      </w:pPr>
      <w:r>
        <w:t>PowerPoint interprets the layout origin as being the center of the object and the parent origin as being the upper left corner of the slide.</w:t>
      </w:r>
    </w:p>
    <w:p w:rsidR="000A156F" w:rsidRDefault="00A9721F">
      <w:pPr>
        <w:pStyle w:val="Heading3"/>
      </w:pPr>
      <w:bookmarkStart w:id="2400" w:name="section_16c12ef48608468c8ff133b4ba0ac056"/>
      <w:bookmarkStart w:id="2401" w:name="_Toc181684226"/>
      <w:r>
        <w:lastRenderedPageBreak/>
        <w:t>Part 1 Section 19.7.28, ST_TLBehaviorA</w:t>
      </w:r>
      <w:r>
        <w:t>dditiveType (Behavior Additive Type)</w:t>
      </w:r>
      <w:bookmarkEnd w:id="2400"/>
      <w:bookmarkEnd w:id="2401"/>
      <w:r>
        <w:fldChar w:fldCharType="begin"/>
      </w:r>
      <w:r>
        <w:instrText xml:space="preserve"> XE "ST_TLBehaviorAdditiveType (Behavior Additive Type)" </w:instrText>
      </w:r>
      <w:r>
        <w:fldChar w:fldCharType="end"/>
      </w:r>
    </w:p>
    <w:p w:rsidR="000A156F" w:rsidRDefault="00A9721F">
      <w:pPr>
        <w:pStyle w:val="Definition-Field"/>
      </w:pPr>
      <w:r>
        <w:t xml:space="preserve">a.   </w:t>
      </w:r>
      <w:r>
        <w:rPr>
          <w:i/>
        </w:rPr>
        <w:t>The standard states that base, mult, and none are valid behavior additive type values.</w:t>
      </w:r>
    </w:p>
    <w:p w:rsidR="000A156F" w:rsidRDefault="00A9721F">
      <w:pPr>
        <w:pStyle w:val="Definition-Field2"/>
      </w:pPr>
      <w:r>
        <w:t>PowerPoint does not support these values.</w:t>
      </w:r>
    </w:p>
    <w:p w:rsidR="000A156F" w:rsidRDefault="00A9721F">
      <w:pPr>
        <w:pStyle w:val="Heading3"/>
      </w:pPr>
      <w:bookmarkStart w:id="2402" w:name="section_7128b0c014ef4b5f8d9f257dd209846d"/>
      <w:bookmarkStart w:id="2403" w:name="_Toc181684227"/>
      <w:r>
        <w:t>Part 1 Section 19.7.30, ST_TLBehaviorTransformType (Behavior Transform Type)</w:t>
      </w:r>
      <w:bookmarkEnd w:id="2402"/>
      <w:bookmarkEnd w:id="2403"/>
      <w:r>
        <w:fldChar w:fldCharType="begin"/>
      </w:r>
      <w:r>
        <w:instrText xml:space="preserve"> XE "ST_TLBehaviorTransformType (Behavior Transform Type)" </w:instrText>
      </w:r>
      <w:r>
        <w:fldChar w:fldCharType="end"/>
      </w:r>
    </w:p>
    <w:p w:rsidR="000A156F" w:rsidRDefault="00A9721F">
      <w:pPr>
        <w:pStyle w:val="Definition-Field"/>
      </w:pPr>
      <w:r>
        <w:t xml:space="preserve">a.   </w:t>
      </w:r>
      <w:r>
        <w:rPr>
          <w:i/>
        </w:rPr>
        <w:t>The standard states that a behavior transform type with a value of pt specifies a point transform.</w:t>
      </w:r>
    </w:p>
    <w:p w:rsidR="000A156F" w:rsidRDefault="00A9721F">
      <w:pPr>
        <w:pStyle w:val="Definition-Field2"/>
      </w:pPr>
      <w:r>
        <w:t>PowerPoint use</w:t>
      </w:r>
      <w:r>
        <w:t>s this value to specify a property transform.</w:t>
      </w:r>
    </w:p>
    <w:p w:rsidR="000A156F" w:rsidRDefault="00A9721F">
      <w:pPr>
        <w:pStyle w:val="Heading3"/>
      </w:pPr>
      <w:bookmarkStart w:id="2404" w:name="section_a9dc8c5b9ef849729200113eddc54e18"/>
      <w:bookmarkStart w:id="2405" w:name="_Toc181684228"/>
      <w:r>
        <w:t>Part 1 Section 19.7.38, ST_TLTime (Time)</w:t>
      </w:r>
      <w:bookmarkEnd w:id="2404"/>
      <w:bookmarkEnd w:id="2405"/>
      <w:r>
        <w:fldChar w:fldCharType="begin"/>
      </w:r>
      <w:r>
        <w:instrText xml:space="preserve"> XE "ST_TLTime (Time)" </w:instrText>
      </w:r>
      <w:r>
        <w:fldChar w:fldCharType="end"/>
      </w:r>
    </w:p>
    <w:p w:rsidR="000A156F" w:rsidRDefault="00A9721F">
      <w:pPr>
        <w:pStyle w:val="Definition-Field"/>
      </w:pPr>
      <w:r>
        <w:t xml:space="preserve">a.   </w:t>
      </w:r>
      <w:r>
        <w:rPr>
          <w:i/>
        </w:rPr>
        <w:t>The standard states that the ST_TLTime simple type specifies the time after which to automatically advance the build to the next step.</w:t>
      </w:r>
    </w:p>
    <w:p w:rsidR="000A156F" w:rsidRDefault="00A9721F">
      <w:pPr>
        <w:pStyle w:val="Definition-Field2"/>
      </w:pPr>
      <w:r>
        <w:t>PowerPoint lets the parent define how to use this simple type.</w:t>
      </w:r>
    </w:p>
    <w:p w:rsidR="000A156F" w:rsidRDefault="00A9721F">
      <w:pPr>
        <w:pStyle w:val="Heading3"/>
      </w:pPr>
      <w:bookmarkStart w:id="2406" w:name="section_95561e91e1c047d59ec4006d89646dea"/>
      <w:bookmarkStart w:id="2407" w:name="_Toc181684229"/>
      <w:r>
        <w:t>Part 1 Section 19.7.41, ST_TLTimeNodeFillType (Time Node Fill Type)</w:t>
      </w:r>
      <w:bookmarkEnd w:id="2406"/>
      <w:bookmarkEnd w:id="2407"/>
      <w:r>
        <w:fldChar w:fldCharType="begin"/>
      </w:r>
      <w:r>
        <w:instrText xml:space="preserve"> XE "ST_TLTimeNodeFillType (Time Node Fill Type)" </w:instrText>
      </w:r>
      <w:r>
        <w:fldChar w:fldCharType="end"/>
      </w:r>
    </w:p>
    <w:p w:rsidR="000A156F" w:rsidRDefault="00A9721F">
      <w:pPr>
        <w:pStyle w:val="Definition-Field"/>
      </w:pPr>
      <w:r>
        <w:t xml:space="preserve">a.   </w:t>
      </w:r>
      <w:r>
        <w:rPr>
          <w:i/>
        </w:rPr>
        <w:t>The standard does not specify how to interpret the transition fill t</w:t>
      </w:r>
      <w:r>
        <w:rPr>
          <w:i/>
        </w:rPr>
        <w:t>ype.</w:t>
      </w:r>
    </w:p>
    <w:p w:rsidR="000A156F" w:rsidRDefault="00A9721F">
      <w:pPr>
        <w:pStyle w:val="Definition-Field2"/>
      </w:pPr>
      <w:r>
        <w:t>PowerPoint uses this value to signify that an element's properties reset to their original values after the element becomes inactive.</w:t>
      </w:r>
    </w:p>
    <w:p w:rsidR="000A156F" w:rsidRDefault="00A9721F">
      <w:pPr>
        <w:pStyle w:val="Definition-Field"/>
      </w:pPr>
      <w:r>
        <w:t xml:space="preserve">b.   </w:t>
      </w:r>
      <w:r>
        <w:rPr>
          <w:i/>
        </w:rPr>
        <w:t>The standard does not specify how to interpret the freeze fill type.</w:t>
      </w:r>
    </w:p>
    <w:p w:rsidR="000A156F" w:rsidRDefault="00A9721F">
      <w:pPr>
        <w:pStyle w:val="Definition-Field2"/>
      </w:pPr>
      <w:r>
        <w:t xml:space="preserve">PowerPoint uses this value to signify that </w:t>
      </w:r>
      <w:r>
        <w:t>an element's properties should remain at their ending values while their parent is still running or holding, or until another sibling element is started under a seq element or an excl element.</w:t>
      </w:r>
    </w:p>
    <w:p w:rsidR="000A156F" w:rsidRDefault="00A9721F">
      <w:pPr>
        <w:pStyle w:val="Definition-Field"/>
      </w:pPr>
      <w:r>
        <w:t xml:space="preserve">c.   </w:t>
      </w:r>
      <w:r>
        <w:rPr>
          <w:i/>
        </w:rPr>
        <w:t>The standard does not specify how to interpret the hold fi</w:t>
      </w:r>
      <w:r>
        <w:rPr>
          <w:i/>
        </w:rPr>
        <w:t>ll type.</w:t>
      </w:r>
    </w:p>
    <w:p w:rsidR="000A156F" w:rsidRDefault="00A9721F">
      <w:pPr>
        <w:pStyle w:val="Definition-Field2"/>
      </w:pPr>
      <w:r>
        <w:t>PowerPoint uses this value to signify that an element's properties remain at their ending values while their parent is still running or holding.</w:t>
      </w:r>
    </w:p>
    <w:p w:rsidR="000A156F" w:rsidRDefault="00A9721F">
      <w:pPr>
        <w:pStyle w:val="Definition-Field"/>
      </w:pPr>
      <w:r>
        <w:t xml:space="preserve">d.   </w:t>
      </w:r>
      <w:r>
        <w:rPr>
          <w:i/>
        </w:rPr>
        <w:t>The standard does not specify how to interpret the remove fill type.</w:t>
      </w:r>
    </w:p>
    <w:p w:rsidR="000A156F" w:rsidRDefault="00A9721F">
      <w:pPr>
        <w:pStyle w:val="Definition-Field2"/>
      </w:pPr>
      <w:r>
        <w:t>PowerPoint uses this value t</w:t>
      </w:r>
      <w:r>
        <w:t>o signify that an element's properties reset to their original values after the element becomes inactive.</w:t>
      </w:r>
    </w:p>
    <w:p w:rsidR="000A156F" w:rsidRDefault="00A9721F">
      <w:pPr>
        <w:pStyle w:val="Heading3"/>
      </w:pPr>
      <w:bookmarkStart w:id="2408" w:name="section_751571dcbd2f411eb38c7575bc939071"/>
      <w:bookmarkStart w:id="2409" w:name="_Toc181684230"/>
      <w:r>
        <w:t>Part 1 Section 19.7.43, ST_TLTimeNodeMasterRelation (Time Node Master Relation)</w:t>
      </w:r>
      <w:bookmarkEnd w:id="2408"/>
      <w:bookmarkEnd w:id="2409"/>
      <w:r>
        <w:fldChar w:fldCharType="begin"/>
      </w:r>
      <w:r>
        <w:instrText xml:space="preserve"> XE "ST_TLTimeNodeMasterRelation (Time Node Master Relation)" </w:instrText>
      </w:r>
      <w:r>
        <w:fldChar w:fldCharType="end"/>
      </w:r>
    </w:p>
    <w:p w:rsidR="000A156F" w:rsidRDefault="00A9721F">
      <w:pPr>
        <w:pStyle w:val="Definition-Field"/>
      </w:pPr>
      <w:r>
        <w:t xml:space="preserve">a.   </w:t>
      </w:r>
      <w:r>
        <w:rPr>
          <w:i/>
        </w:rPr>
        <w:t>T</w:t>
      </w:r>
      <w:r>
        <w:rPr>
          <w:i/>
        </w:rPr>
        <w:t>he standard states that lastClick is a valid master relation value.</w:t>
      </w:r>
    </w:p>
    <w:p w:rsidR="000A156F" w:rsidRDefault="00A9721F">
      <w:pPr>
        <w:pStyle w:val="Definition-Field2"/>
      </w:pPr>
      <w:r>
        <w:t>PowerPoint does not support this value.</w:t>
      </w:r>
    </w:p>
    <w:p w:rsidR="000A156F" w:rsidRDefault="00A9721F">
      <w:pPr>
        <w:pStyle w:val="Definition-Field"/>
      </w:pPr>
      <w:r>
        <w:t xml:space="preserve">b.   </w:t>
      </w:r>
      <w:r>
        <w:rPr>
          <w:i/>
        </w:rPr>
        <w:t>The standard places no restrictions on when the playback behavior applies.</w:t>
      </w:r>
    </w:p>
    <w:p w:rsidR="000A156F" w:rsidRDefault="00A9721F">
      <w:pPr>
        <w:pStyle w:val="Definition-Field2"/>
      </w:pPr>
      <w:r>
        <w:t xml:space="preserve">PowerPoint only applies the playback behavior when the time node is </w:t>
      </w:r>
      <w:r>
        <w:t>contained within a subTnLst element.</w:t>
      </w:r>
    </w:p>
    <w:p w:rsidR="000A156F" w:rsidRDefault="00A9721F">
      <w:pPr>
        <w:pStyle w:val="Definition-Field"/>
      </w:pPr>
      <w:r>
        <w:t xml:space="preserve">c.   </w:t>
      </w:r>
      <w:r>
        <w:rPr>
          <w:i/>
        </w:rPr>
        <w:t>The standard does not specify how to interpret the sameClick master relation.</w:t>
      </w:r>
    </w:p>
    <w:p w:rsidR="000A156F" w:rsidRDefault="00A9721F">
      <w:pPr>
        <w:pStyle w:val="Definition-Field2"/>
      </w:pPr>
      <w:r>
        <w:lastRenderedPageBreak/>
        <w:t>PowerPoint uses this value to signify that the time node will start at the same time as its master time node.</w:t>
      </w:r>
    </w:p>
    <w:p w:rsidR="000A156F" w:rsidRDefault="00A9721F">
      <w:pPr>
        <w:pStyle w:val="Definition-Field"/>
      </w:pPr>
      <w:r>
        <w:t xml:space="preserve">d.   </w:t>
      </w:r>
      <w:r>
        <w:rPr>
          <w:i/>
        </w:rPr>
        <w:t>The standard does not</w:t>
      </w:r>
      <w:r>
        <w:rPr>
          <w:i/>
        </w:rPr>
        <w:t xml:space="preserve"> specify how to interpret the nextClick master relation.</w:t>
      </w:r>
    </w:p>
    <w:p w:rsidR="000A156F" w:rsidRDefault="00A9721F">
      <w:pPr>
        <w:pStyle w:val="Definition-Field2"/>
      </w:pPr>
      <w:r>
        <w:t>PowerPoint uses this value to signify that the time node will start when the next time node group starts.</w:t>
      </w:r>
    </w:p>
    <w:p w:rsidR="000A156F" w:rsidRDefault="00A9721F">
      <w:pPr>
        <w:pStyle w:val="Heading3"/>
      </w:pPr>
      <w:bookmarkStart w:id="2410" w:name="section_278466dec56a4eaaa0b1723c7aef9b99"/>
      <w:bookmarkStart w:id="2411" w:name="_Toc181684231"/>
      <w:r>
        <w:t>Part 1 Section 19.7.45, ST_TLTimeNodeRestartType (Time Node Restart Type)</w:t>
      </w:r>
      <w:bookmarkEnd w:id="2410"/>
      <w:bookmarkEnd w:id="2411"/>
      <w:r>
        <w:fldChar w:fldCharType="begin"/>
      </w:r>
      <w:r>
        <w:instrText xml:space="preserve"> XE "ST_TLTimeNodeRe</w:instrText>
      </w:r>
      <w:r>
        <w:instrText xml:space="preserve">startType (Time Node Restart Type)" </w:instrText>
      </w:r>
      <w:r>
        <w:fldChar w:fldCharType="end"/>
      </w:r>
    </w:p>
    <w:p w:rsidR="000A156F" w:rsidRDefault="00A9721F">
      <w:pPr>
        <w:pStyle w:val="Definition-Field"/>
      </w:pPr>
      <w:r>
        <w:t xml:space="preserve">a.   </w:t>
      </w:r>
      <w:r>
        <w:rPr>
          <w:i/>
        </w:rPr>
        <w:t>The standard states that the ST_TLTimeNodeRestartType simple type determines whether an effect can play more than once.</w:t>
      </w:r>
    </w:p>
    <w:p w:rsidR="000A156F" w:rsidRDefault="00A9721F">
      <w:pPr>
        <w:pStyle w:val="Definition-Field2"/>
      </w:pPr>
      <w:r>
        <w:t>PowerPoint uses this simple type to signify when a time node can restart.</w:t>
      </w:r>
    </w:p>
    <w:p w:rsidR="000A156F" w:rsidRDefault="00A9721F">
      <w:pPr>
        <w:pStyle w:val="Heading3"/>
      </w:pPr>
      <w:bookmarkStart w:id="2412" w:name="section_6acf6d2c64234f5e8a166533a20fbd41"/>
      <w:bookmarkStart w:id="2413" w:name="_Toc181684232"/>
      <w:r>
        <w:t>Part 1 Section 19.</w:t>
      </w:r>
      <w:r>
        <w:t>7.48, ST_TLTriggerEvent (Trigger Event)</w:t>
      </w:r>
      <w:bookmarkEnd w:id="2412"/>
      <w:bookmarkEnd w:id="2413"/>
      <w:r>
        <w:fldChar w:fldCharType="begin"/>
      </w:r>
      <w:r>
        <w:instrText xml:space="preserve"> XE "ST_TLTriggerEvent (Trigger Event)" </w:instrText>
      </w:r>
      <w:r>
        <w:fldChar w:fldCharType="end"/>
      </w:r>
    </w:p>
    <w:p w:rsidR="000A156F" w:rsidRDefault="00A9721F">
      <w:pPr>
        <w:pStyle w:val="Definition-Field"/>
      </w:pPr>
      <w:r>
        <w:t xml:space="preserve">a.   </w:t>
      </w:r>
      <w:r>
        <w:rPr>
          <w:i/>
        </w:rPr>
        <w:t>The standard implies that the begin value and the onBegin value are equivalent.</w:t>
      </w:r>
    </w:p>
    <w:p w:rsidR="000A156F" w:rsidRDefault="00A9721F">
      <w:pPr>
        <w:pStyle w:val="Definition-Field2"/>
      </w:pPr>
      <w:r>
        <w:t xml:space="preserve">PowerPoint interprets the begin value to specify that a trigger should be fired when the </w:t>
      </w:r>
      <w:r>
        <w:t>specified time node begins, and the onBegin value to specify that a trigger should be fired when the onBegin event occurs on the specified target.</w:t>
      </w:r>
    </w:p>
    <w:p w:rsidR="000A156F" w:rsidRDefault="00A9721F">
      <w:pPr>
        <w:pStyle w:val="Definition-Field"/>
      </w:pPr>
      <w:r>
        <w:t xml:space="preserve">b.   </w:t>
      </w:r>
      <w:r>
        <w:rPr>
          <w:i/>
        </w:rPr>
        <w:t>The standard implies that the end value and the onEnd value are equivalent.</w:t>
      </w:r>
    </w:p>
    <w:p w:rsidR="000A156F" w:rsidRDefault="00A9721F">
      <w:pPr>
        <w:pStyle w:val="Definition-Field2"/>
      </w:pPr>
      <w:r>
        <w:t>PowerPoint interprets the en</w:t>
      </w:r>
      <w:r>
        <w:t>d value to specify that a trigger should be fired when the specified time node ends, and the onEnd value to specify that a trigger should be fired when the onEnd event occurs on the specified target.</w:t>
      </w:r>
    </w:p>
    <w:p w:rsidR="000A156F" w:rsidRDefault="00A9721F">
      <w:pPr>
        <w:pStyle w:val="Definition-Field"/>
      </w:pPr>
      <w:r>
        <w:t xml:space="preserve">c.   </w:t>
      </w:r>
      <w:r>
        <w:rPr>
          <w:i/>
        </w:rPr>
        <w:t>The standard states that the onNext value specifies</w:t>
      </w:r>
      <w:r>
        <w:rPr>
          <w:i/>
        </w:rPr>
        <w:t xml:space="preserve"> that a trigger should be fired on the next node.</w:t>
      </w:r>
    </w:p>
    <w:p w:rsidR="000A156F" w:rsidRDefault="00A9721F">
      <w:pPr>
        <w:pStyle w:val="Definition-Field2"/>
      </w:pPr>
      <w:r>
        <w:t>PowerPoint uses this value to specify that a trigger should be fired when the onNext event occurs on the specified target.</w:t>
      </w:r>
    </w:p>
    <w:p w:rsidR="000A156F" w:rsidRDefault="00A9721F">
      <w:pPr>
        <w:pStyle w:val="Definition-Field"/>
      </w:pPr>
      <w:r>
        <w:t xml:space="preserve">d.   </w:t>
      </w:r>
      <w:r>
        <w:rPr>
          <w:i/>
        </w:rPr>
        <w:t>The standard states that the onPrev value specifies that a trigger should be f</w:t>
      </w:r>
      <w:r>
        <w:rPr>
          <w:i/>
        </w:rPr>
        <w:t>ired on the previous node.</w:t>
      </w:r>
    </w:p>
    <w:p w:rsidR="000A156F" w:rsidRDefault="00A9721F">
      <w:pPr>
        <w:pStyle w:val="Definition-Field2"/>
      </w:pPr>
      <w:r>
        <w:t>PowerPoint uses this value to specify that a trigger should be fired when the onPrevious event occurs on the specified target.</w:t>
      </w:r>
    </w:p>
    <w:p w:rsidR="000A156F" w:rsidRDefault="00A9721F">
      <w:pPr>
        <w:pStyle w:val="Definition-Field"/>
      </w:pPr>
      <w:r>
        <w:t xml:space="preserve">e.   </w:t>
      </w:r>
      <w:r>
        <w:rPr>
          <w:i/>
        </w:rPr>
        <w:t>The standard states that the onStopAudio value specifies that a trigger should be fired on stop a</w:t>
      </w:r>
      <w:r>
        <w:rPr>
          <w:i/>
        </w:rPr>
        <w:t>udio.</w:t>
      </w:r>
    </w:p>
    <w:p w:rsidR="000A156F" w:rsidRDefault="00A9721F">
      <w:pPr>
        <w:pStyle w:val="Definition-Field2"/>
      </w:pPr>
      <w:r>
        <w:t>PowerPoint uses this value to specify that a trigger should be fired when the onstopaudio command is fired from a cmd time node.</w:t>
      </w:r>
    </w:p>
    <w:p w:rsidR="000A156F" w:rsidRDefault="00A9721F">
      <w:pPr>
        <w:pStyle w:val="Heading3"/>
      </w:pPr>
      <w:bookmarkStart w:id="2414" w:name="section_3f5152a76417405bbadc827205e1f4f0"/>
      <w:bookmarkStart w:id="2415" w:name="_Toc181684233"/>
      <w:r>
        <w:t>Part 1 Section 19.7.55, ST_ViewType (List of View Types)</w:t>
      </w:r>
      <w:bookmarkEnd w:id="2414"/>
      <w:bookmarkEnd w:id="2415"/>
      <w:r>
        <w:fldChar w:fldCharType="begin"/>
      </w:r>
      <w:r>
        <w:instrText xml:space="preserve"> XE "ST_ViewType (List of View Types)" </w:instrText>
      </w:r>
      <w:r>
        <w:fldChar w:fldCharType="end"/>
      </w:r>
    </w:p>
    <w:p w:rsidR="000A156F" w:rsidRDefault="00A9721F">
      <w:pPr>
        <w:pStyle w:val="Definition-Field"/>
      </w:pPr>
      <w:r>
        <w:t xml:space="preserve">a.   </w:t>
      </w:r>
      <w:r>
        <w:rPr>
          <w:i/>
        </w:rPr>
        <w:t>The standard state</w:t>
      </w:r>
      <w:r>
        <w:rPr>
          <w:i/>
        </w:rPr>
        <w:t>s that the outlineView value specifies that outline view mode should be used.</w:t>
      </w:r>
    </w:p>
    <w:p w:rsidR="000A156F" w:rsidRDefault="00A9721F">
      <w:pPr>
        <w:pStyle w:val="Definition-Field2"/>
      </w:pPr>
      <w:r>
        <w:t>PowerPoint uses this value to specify that normal slide view mode should be used.</w:t>
      </w:r>
    </w:p>
    <w:p w:rsidR="000A156F" w:rsidRDefault="00A9721F">
      <w:pPr>
        <w:pStyle w:val="Heading3"/>
      </w:pPr>
      <w:bookmarkStart w:id="2416" w:name="section_24e1116b01e942b49a606ec7c266790d"/>
      <w:bookmarkStart w:id="2417" w:name="_Toc181684234"/>
      <w:r>
        <w:t>Part 1 Section 20.1.2.2.1, bldChart (Build Chart)</w:t>
      </w:r>
      <w:bookmarkEnd w:id="2416"/>
      <w:bookmarkEnd w:id="2417"/>
      <w:r>
        <w:fldChar w:fldCharType="begin"/>
      </w:r>
      <w:r>
        <w:instrText xml:space="preserve"> XE "bldChart (Build Chart)" </w:instrText>
      </w:r>
      <w:r>
        <w:fldChar w:fldCharType="end"/>
      </w:r>
    </w:p>
    <w:p w:rsidR="000A156F" w:rsidRDefault="00A9721F">
      <w:pPr>
        <w:pStyle w:val="Definition-Field"/>
      </w:pPr>
      <w:r>
        <w:t xml:space="preserve">a.   </w:t>
      </w:r>
      <w:r>
        <w:rPr>
          <w:i/>
        </w:rPr>
        <w:t>The standa</w:t>
      </w:r>
      <w:r>
        <w:rPr>
          <w:i/>
        </w:rPr>
        <w:t>rd does not clearly describe whether the bld attribute is a controller or an indicator of behavior.</w:t>
      </w:r>
    </w:p>
    <w:p w:rsidR="000A156F" w:rsidRDefault="00A9721F">
      <w:pPr>
        <w:pStyle w:val="Definition-Field2"/>
      </w:pPr>
      <w:r>
        <w:lastRenderedPageBreak/>
        <w:t>In Office, the bld attribute is an indicator rather than a controller of behavior.</w:t>
      </w:r>
    </w:p>
    <w:p w:rsidR="000A156F" w:rsidRDefault="00A9721F">
      <w:pPr>
        <w:pStyle w:val="Heading3"/>
      </w:pPr>
      <w:bookmarkStart w:id="2418" w:name="section_b2f238f84a034f4bb63bfe1f3eac7f47"/>
      <w:bookmarkStart w:id="2419" w:name="_Toc181684235"/>
      <w:r>
        <w:t>Part 1 Section 20.1.2.2.2, bldDgm (Build Diagram)</w:t>
      </w:r>
      <w:bookmarkEnd w:id="2418"/>
      <w:bookmarkEnd w:id="2419"/>
      <w:r>
        <w:fldChar w:fldCharType="begin"/>
      </w:r>
      <w:r>
        <w:instrText xml:space="preserve"> XE "bldDgm (Build Diagram)" </w:instrText>
      </w:r>
      <w:r>
        <w:fldChar w:fldCharType="end"/>
      </w:r>
    </w:p>
    <w:p w:rsidR="000A156F" w:rsidRDefault="00A9721F">
      <w:pPr>
        <w:pStyle w:val="Definition-Field"/>
      </w:pPr>
      <w:r>
        <w:t xml:space="preserve">a.   </w:t>
      </w:r>
      <w:r>
        <w:rPr>
          <w:i/>
        </w:rPr>
        <w:t>The standard does not clearly describe whether attributes are controllers or indicators of a behavior.</w:t>
      </w:r>
    </w:p>
    <w:p w:rsidR="000A156F" w:rsidRDefault="00A9721F">
      <w:pPr>
        <w:pStyle w:val="Definition-Field2"/>
      </w:pPr>
      <w:r>
        <w:t>In Office, attributes are indicators rather than controllers of a behavior.</w:t>
      </w:r>
    </w:p>
    <w:p w:rsidR="000A156F" w:rsidRDefault="00A9721F">
      <w:pPr>
        <w:pStyle w:val="Heading3"/>
      </w:pPr>
      <w:bookmarkStart w:id="2420" w:name="section_b27c7603f2c646ed85f31ca87fc85510"/>
      <w:bookmarkStart w:id="2421" w:name="_Toc181684236"/>
      <w:r>
        <w:t>Part 1 Section 20.1.2.2.4, cNvCxnSpPr (N</w:t>
      </w:r>
      <w:r>
        <w:t>on-Visual Connector Shape Drawing Properties)</w:t>
      </w:r>
      <w:bookmarkEnd w:id="2420"/>
      <w:bookmarkEnd w:id="2421"/>
      <w:r>
        <w:fldChar w:fldCharType="begin"/>
      </w:r>
      <w:r>
        <w:instrText xml:space="preserve"> XE "cNvCxnSpPr (Non-Visual Connector Shape Drawing Properties)" </w:instrText>
      </w:r>
      <w:r>
        <w:fldChar w:fldCharType="end"/>
      </w:r>
    </w:p>
    <w:p w:rsidR="000A156F" w:rsidRDefault="00A9721F">
      <w:pPr>
        <w:pStyle w:val="Definition-Field"/>
      </w:pPr>
      <w:r>
        <w:t xml:space="preserve">a.   </w:t>
      </w:r>
      <w:r>
        <w:rPr>
          <w:i/>
        </w:rPr>
        <w:t>The standard implies that the cNvCxnSpPr element can only be used when rendering a slide.</w:t>
      </w:r>
    </w:p>
    <w:p w:rsidR="000A156F" w:rsidRDefault="00A9721F">
      <w:pPr>
        <w:pStyle w:val="Definition-Field2"/>
      </w:pPr>
      <w:r>
        <w:t>In Office, the cNvCxnSpPr element is used in ren</w:t>
      </w:r>
      <w:r>
        <w:t>dering presentations, spreadsheets and documents.</w:t>
      </w:r>
    </w:p>
    <w:p w:rsidR="000A156F" w:rsidRDefault="00A9721F">
      <w:pPr>
        <w:pStyle w:val="Heading3"/>
      </w:pPr>
      <w:bookmarkStart w:id="2422" w:name="section_bc12d6f013324416aecd30dfeb62091b"/>
      <w:bookmarkStart w:id="2423" w:name="_Toc181684237"/>
      <w:r>
        <w:t>Part 1 Section 20.1.2.2.5, cNvGraphicFramePr (Non-Visual Graphic Frame Drawing Properties)</w:t>
      </w:r>
      <w:bookmarkEnd w:id="2422"/>
      <w:bookmarkEnd w:id="2423"/>
      <w:r>
        <w:fldChar w:fldCharType="begin"/>
      </w:r>
      <w:r>
        <w:instrText xml:space="preserve"> XE "cNvGraphicFramePr (Non-Visual Graphic Frame Drawing Properties)" </w:instrText>
      </w:r>
      <w:r>
        <w:fldChar w:fldCharType="end"/>
      </w:r>
    </w:p>
    <w:p w:rsidR="000A156F" w:rsidRDefault="00A9721F">
      <w:pPr>
        <w:pStyle w:val="Definition-Field"/>
      </w:pPr>
      <w:r>
        <w:t xml:space="preserve">a.   </w:t>
      </w:r>
      <w:r>
        <w:rPr>
          <w:i/>
        </w:rPr>
        <w:t>The standard implies that the cNvGraph</w:t>
      </w:r>
      <w:r>
        <w:rPr>
          <w:i/>
        </w:rPr>
        <w:t>icsFramePr element can only be used when rendering a slide.</w:t>
      </w:r>
    </w:p>
    <w:p w:rsidR="000A156F" w:rsidRDefault="00A9721F">
      <w:pPr>
        <w:pStyle w:val="Definition-Field2"/>
      </w:pPr>
      <w:r>
        <w:t>In Office, the cNvGraphicsFramePr element is used in rendering presentations, spreadsheets and documents.</w:t>
      </w:r>
    </w:p>
    <w:p w:rsidR="000A156F" w:rsidRDefault="00A9721F">
      <w:pPr>
        <w:pStyle w:val="Heading3"/>
      </w:pPr>
      <w:bookmarkStart w:id="2424" w:name="section_58cd5b4217c74759959b4c5a2f6bf763"/>
      <w:bookmarkStart w:id="2425" w:name="_Toc181684238"/>
      <w:r>
        <w:t>Part 1 Section 20.1.2.2.6, cNvGrpSpPr (Non-Visual Group Shape Drawing Properties)</w:t>
      </w:r>
      <w:bookmarkEnd w:id="2424"/>
      <w:bookmarkEnd w:id="2425"/>
      <w:r>
        <w:fldChar w:fldCharType="begin"/>
      </w:r>
      <w:r>
        <w:instrText xml:space="preserve"> XE "cNvG</w:instrText>
      </w:r>
      <w:r>
        <w:instrText xml:space="preserve">rpSpPr (Non-Visual Group Shape Drawing Properties)" </w:instrText>
      </w:r>
      <w:r>
        <w:fldChar w:fldCharType="end"/>
      </w:r>
    </w:p>
    <w:p w:rsidR="000A156F" w:rsidRDefault="00A9721F">
      <w:pPr>
        <w:pStyle w:val="Definition-Field"/>
      </w:pPr>
      <w:r>
        <w:t xml:space="preserve">a.   </w:t>
      </w:r>
      <w:r>
        <w:rPr>
          <w:i/>
        </w:rPr>
        <w:t>The standard implies that the cNvGrpSpPr element can only be used when rendering a slide.</w:t>
      </w:r>
    </w:p>
    <w:p w:rsidR="000A156F" w:rsidRDefault="00A9721F">
      <w:pPr>
        <w:pStyle w:val="Definition-Field2"/>
      </w:pPr>
      <w:r>
        <w:t>In Office, the cNvGrpSpPr element is used in rendering presentations, spreadsheets and documents.</w:t>
      </w:r>
    </w:p>
    <w:p w:rsidR="000A156F" w:rsidRDefault="00A9721F">
      <w:pPr>
        <w:pStyle w:val="Heading3"/>
      </w:pPr>
      <w:bookmarkStart w:id="2426" w:name="section_f34157f3cc864c16b62cc636d8a9e361"/>
      <w:bookmarkStart w:id="2427" w:name="_Toc181684239"/>
      <w:r>
        <w:t>Part 1 S</w:t>
      </w:r>
      <w:r>
        <w:t>ection 20.1.2.2.11, cxnSpLocks (Connection Shape Locks)</w:t>
      </w:r>
      <w:bookmarkEnd w:id="2426"/>
      <w:bookmarkEnd w:id="2427"/>
      <w:r>
        <w:fldChar w:fldCharType="begin"/>
      </w:r>
      <w:r>
        <w:instrText xml:space="preserve"> XE "cxnSpLocks (Connection Shape Locks)"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7e0125f979847efbc6e53ffae4f6c28">
        <w:r>
          <w:rPr>
            <w:rStyle w:val="Hyperlink"/>
          </w:rPr>
          <w:t>pic</w:t>
        </w:r>
        <w:r>
          <w:rPr>
            <w:rStyle w:val="Hyperlink"/>
          </w:rPr>
          <w:t>Locks, §20.1.2.2.31(a)</w:t>
        </w:r>
      </w:hyperlink>
      <w:r>
        <w:rPr>
          <w:i/>
        </w:rPr>
        <w:t>.</w:t>
      </w:r>
    </w:p>
    <w:p w:rsidR="000A156F" w:rsidRDefault="00A9721F">
      <w:pPr>
        <w:pStyle w:val="Definition-Field"/>
      </w:pPr>
      <w:r>
        <w:t xml:space="preserve">a.   </w:t>
      </w:r>
      <w:r>
        <w:rPr>
          <w:i/>
        </w:rPr>
        <w:t>The standard uses a shared attribute group for the locking attributes of shapes, pictures and other graphic objects.</w:t>
      </w:r>
    </w:p>
    <w:p w:rsidR="000A156F" w:rsidRDefault="00A9721F">
      <w:pPr>
        <w:pStyle w:val="Definition-Field2"/>
      </w:pPr>
      <w:r>
        <w:t>Office ignores attributes noChangeShapeType, noEditPoints and noRot when applied to a connection shape.</w:t>
      </w:r>
    </w:p>
    <w:p w:rsidR="000A156F" w:rsidRDefault="00A9721F">
      <w:pPr>
        <w:pStyle w:val="Heading3"/>
      </w:pPr>
      <w:bookmarkStart w:id="2428" w:name="section_c3622cf30c724b1bbaa875630639082d"/>
      <w:bookmarkStart w:id="2429" w:name="_Toc181684240"/>
      <w:r>
        <w:t>Part 1 Section 20.1.2.2.12, dgm (Diagram to Animate)</w:t>
      </w:r>
      <w:bookmarkEnd w:id="2428"/>
      <w:bookmarkEnd w:id="2429"/>
      <w:r>
        <w:fldChar w:fldCharType="begin"/>
      </w:r>
      <w:r>
        <w:instrText xml:space="preserve"> XE "dgm (Diagram to Animate)" </w:instrText>
      </w:r>
      <w:r>
        <w:fldChar w:fldCharType="end"/>
      </w:r>
    </w:p>
    <w:p w:rsidR="000A156F" w:rsidRDefault="00A9721F">
      <w:pPr>
        <w:pStyle w:val="Definition-Field"/>
      </w:pPr>
      <w:r>
        <w:t xml:space="preserve">a.   </w:t>
      </w:r>
      <w:r>
        <w:rPr>
          <w:i/>
        </w:rPr>
        <w:t>The standard states that attribute bldStep allows the entire diagram to be animated as one object.</w:t>
      </w:r>
    </w:p>
    <w:p w:rsidR="000A156F" w:rsidRDefault="00A9721F">
      <w:pPr>
        <w:pStyle w:val="Definition-Field2"/>
      </w:pPr>
      <w:r>
        <w:t>PowerPoint supports only build steps that animate diagram shapes.</w:t>
      </w:r>
    </w:p>
    <w:p w:rsidR="000A156F" w:rsidRDefault="00A9721F">
      <w:pPr>
        <w:pStyle w:val="Heading3"/>
      </w:pPr>
      <w:bookmarkStart w:id="2430" w:name="section_5e8ab39f0beb40b1bfb11aea60ce7e2b"/>
      <w:bookmarkStart w:id="2431" w:name="_Toc181684241"/>
      <w:r>
        <w:t>Part 1 Section 20.1.2.2.13, endCxn (Connection End)</w:t>
      </w:r>
      <w:bookmarkEnd w:id="2430"/>
      <w:bookmarkEnd w:id="2431"/>
      <w:r>
        <w:fldChar w:fldCharType="begin"/>
      </w:r>
      <w:r>
        <w:instrText xml:space="preserve"> XE "endCxn (Connection End)" </w:instrText>
      </w:r>
      <w:r>
        <w:fldChar w:fldCharType="end"/>
      </w:r>
    </w:p>
    <w:p w:rsidR="000A156F" w:rsidRDefault="00A9721F">
      <w:pPr>
        <w:pStyle w:val="Definition-Field"/>
      </w:pPr>
      <w:r>
        <w:t xml:space="preserve">a.   </w:t>
      </w:r>
      <w:r>
        <w:rPr>
          <w:i/>
        </w:rPr>
        <w:t>The standard states that attributes id and idx only apply to the final connection.</w:t>
      </w:r>
    </w:p>
    <w:p w:rsidR="000A156F" w:rsidRDefault="00A9721F">
      <w:pPr>
        <w:pStyle w:val="Definition-Field2"/>
      </w:pPr>
      <w:r>
        <w:t>In Office, the id and idx attributes apply to all connections, not just the final co</w:t>
      </w:r>
      <w:r>
        <w:t>nnections.</w:t>
      </w:r>
    </w:p>
    <w:p w:rsidR="000A156F" w:rsidRDefault="00A9721F">
      <w:pPr>
        <w:pStyle w:val="Heading3"/>
      </w:pPr>
      <w:bookmarkStart w:id="2432" w:name="section_eb76ce70bb7c4714b266be157ebbf2a3"/>
      <w:bookmarkStart w:id="2433" w:name="_Toc181684242"/>
      <w:r>
        <w:lastRenderedPageBreak/>
        <w:t>Part 1 Section 20.1.2.2.14, ext (Extension)</w:t>
      </w:r>
      <w:bookmarkEnd w:id="2432"/>
      <w:bookmarkEnd w:id="2433"/>
      <w:r>
        <w:fldChar w:fldCharType="begin"/>
      </w:r>
      <w:r>
        <w:instrText xml:space="preserve"> XE "ext (Extension)" </w:instrText>
      </w:r>
      <w:r>
        <w:fldChar w:fldCharType="end"/>
      </w:r>
    </w:p>
    <w:p w:rsidR="000A156F" w:rsidRDefault="00A9721F">
      <w:pPr>
        <w:pStyle w:val="Definition-Field"/>
      </w:pPr>
      <w:r>
        <w:t xml:space="preserve">a.   </w:t>
      </w:r>
      <w:r>
        <w:rPr>
          <w:i/>
        </w:rPr>
        <w:t>The standard implies that the uri attribute is optional.</w:t>
      </w:r>
    </w:p>
    <w:p w:rsidR="000A156F" w:rsidRDefault="00A9721F">
      <w:pPr>
        <w:pStyle w:val="Definition-Field2"/>
      </w:pPr>
      <w:r>
        <w:t>Office requires the uri attribute.</w:t>
      </w:r>
    </w:p>
    <w:p w:rsidR="000A156F" w:rsidRDefault="00A9721F">
      <w:pPr>
        <w:pStyle w:val="Heading3"/>
      </w:pPr>
      <w:bookmarkStart w:id="2434" w:name="section_05d4382cb474457198bc227f8c917033"/>
      <w:bookmarkStart w:id="2435" w:name="_Toc181684243"/>
      <w:r>
        <w:t>Part 1 Section 20.1.2.2.17, graphicData (Graphic Object Data)</w:t>
      </w:r>
      <w:bookmarkEnd w:id="2434"/>
      <w:bookmarkEnd w:id="2435"/>
      <w:r>
        <w:fldChar w:fldCharType="begin"/>
      </w:r>
      <w:r>
        <w:instrText xml:space="preserve"> XE "graphicData (G</w:instrText>
      </w:r>
      <w:r>
        <w:instrText xml:space="preserve">raphic Object Data)" </w:instrText>
      </w:r>
      <w:r>
        <w:fldChar w:fldCharType="end"/>
      </w:r>
    </w:p>
    <w:p w:rsidR="000A156F" w:rsidRDefault="00A9721F">
      <w:pPr>
        <w:pStyle w:val="Definition-Field"/>
      </w:pPr>
      <w:r>
        <w:t xml:space="preserve">a.   </w:t>
      </w:r>
      <w:r>
        <w:rPr>
          <w:i/>
        </w:rPr>
        <w:t>The standard implies that the uri attribute is optional.</w:t>
      </w:r>
    </w:p>
    <w:p w:rsidR="000A156F" w:rsidRDefault="00A9721F">
      <w:pPr>
        <w:pStyle w:val="Definition-Field2"/>
      </w:pPr>
      <w:r>
        <w:t>Office requires the uri attribute.</w:t>
      </w:r>
    </w:p>
    <w:p w:rsidR="000A156F" w:rsidRDefault="00A9721F">
      <w:pPr>
        <w:pStyle w:val="Definition-Field"/>
      </w:pPr>
      <w:r>
        <w:t xml:space="preserve">b.   </w:t>
      </w:r>
      <w:r>
        <w:rPr>
          <w:i/>
        </w:rPr>
        <w:t>The standard does not enumerate any known servers for processing the contents of the graphicData element.</w:t>
      </w:r>
    </w:p>
    <w:p w:rsidR="000A156F" w:rsidRDefault="00A9721F">
      <w:r>
        <w:t>Office implements a fini</w:t>
      </w:r>
      <w:r>
        <w:t>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URI</w:t>
            </w:r>
          </w:p>
        </w:tc>
        <w:tc>
          <w:tcPr>
            <w:tcW w:w="0" w:type="auto"/>
            <w:vAlign w:val="center"/>
          </w:tcPr>
          <w:p w:rsidR="000A156F" w:rsidRDefault="00A9721F">
            <w:pPr>
              <w:pStyle w:val="TableHeaderText"/>
            </w:pPr>
            <w:r>
              <w:t>Root Element</w:t>
            </w:r>
          </w:p>
        </w:tc>
        <w:tc>
          <w:tcPr>
            <w:tcW w:w="0" w:type="auto"/>
            <w:vAlign w:val="center"/>
          </w:tcPr>
          <w:p w:rsidR="000A156F" w:rsidRDefault="00A9721F">
            <w:pPr>
              <w:pStyle w:val="TableHeaderText"/>
            </w:pPr>
            <w:r>
              <w:t>Ref</w:t>
            </w:r>
          </w:p>
        </w:tc>
      </w:tr>
      <w:tr w:rsidR="000A156F" w:rsidTr="000A156F">
        <w:tc>
          <w:tcPr>
            <w:tcW w:w="0" w:type="auto"/>
            <w:vAlign w:val="center"/>
          </w:tcPr>
          <w:p w:rsidR="000A156F" w:rsidRDefault="00A9721F">
            <w:pPr>
              <w:pStyle w:val="TableBodyText"/>
            </w:pPr>
            <w:r>
              <w:t>http://schemas.openxmlformats.org/drawi</w:t>
            </w:r>
            <w:r>
              <w:t>ngml/2006/table</w:t>
            </w:r>
          </w:p>
        </w:tc>
        <w:tc>
          <w:tcPr>
            <w:tcW w:w="0" w:type="auto"/>
            <w:vAlign w:val="center"/>
          </w:tcPr>
          <w:p w:rsidR="000A156F" w:rsidRDefault="00A9721F">
            <w:pPr>
              <w:pStyle w:val="TableBodyText"/>
            </w:pPr>
            <w:r>
              <w:t>tbl</w:t>
            </w:r>
          </w:p>
        </w:tc>
        <w:tc>
          <w:tcPr>
            <w:tcW w:w="0" w:type="auto"/>
            <w:vAlign w:val="center"/>
          </w:tcPr>
          <w:p w:rsidR="000A156F" w:rsidRDefault="00A9721F">
            <w:pPr>
              <w:pStyle w:val="TableBodyText"/>
            </w:pPr>
            <w:r>
              <w:t>"</w:t>
            </w:r>
            <w:hyperlink r:id="rId184">
              <w:r>
                <w:rPr>
                  <w:rStyle w:val="Hyperlink"/>
                </w:rPr>
                <w:t>[ISO/IEC-29500-1]</w:t>
              </w:r>
            </w:hyperlink>
            <w:r>
              <w:t xml:space="preserve"> §21.1.3.13; tbl"</w:t>
            </w:r>
          </w:p>
        </w:tc>
      </w:tr>
      <w:tr w:rsidR="000A156F" w:rsidTr="000A156F">
        <w:tc>
          <w:tcPr>
            <w:tcW w:w="0" w:type="auto"/>
            <w:vAlign w:val="center"/>
          </w:tcPr>
          <w:p w:rsidR="000A156F" w:rsidRDefault="00A9721F">
            <w:pPr>
              <w:pStyle w:val="TableBodyText"/>
            </w:pPr>
            <w:r>
              <w:t>http://schemas.openxmlformats.org/drawingml/2006/diagram</w:t>
            </w:r>
          </w:p>
        </w:tc>
        <w:tc>
          <w:tcPr>
            <w:tcW w:w="0" w:type="auto"/>
            <w:vAlign w:val="center"/>
          </w:tcPr>
          <w:p w:rsidR="000A156F" w:rsidRDefault="00A9721F">
            <w:pPr>
              <w:pStyle w:val="TableBodyText"/>
            </w:pPr>
            <w:r>
              <w:t>relIds</w:t>
            </w:r>
          </w:p>
        </w:tc>
        <w:tc>
          <w:tcPr>
            <w:tcW w:w="0" w:type="auto"/>
            <w:vAlign w:val="center"/>
          </w:tcPr>
          <w:p w:rsidR="000A156F" w:rsidRDefault="00A9721F">
            <w:pPr>
              <w:pStyle w:val="TableBodyText"/>
            </w:pPr>
            <w:r>
              <w:t>"[ISO/IEC-29500-1] §21.4.2.22; relIds"</w:t>
            </w:r>
          </w:p>
        </w:tc>
      </w:tr>
      <w:tr w:rsidR="000A156F" w:rsidTr="000A156F">
        <w:tc>
          <w:tcPr>
            <w:tcW w:w="0" w:type="auto"/>
            <w:vAlign w:val="center"/>
          </w:tcPr>
          <w:p w:rsidR="000A156F" w:rsidRDefault="00A9721F">
            <w:pPr>
              <w:pStyle w:val="TableBodyText"/>
            </w:pPr>
            <w:r>
              <w:t>http://schemas.openxmlformats.org/drawingml/2006/chart</w:t>
            </w:r>
          </w:p>
        </w:tc>
        <w:tc>
          <w:tcPr>
            <w:tcW w:w="0" w:type="auto"/>
            <w:vAlign w:val="center"/>
          </w:tcPr>
          <w:p w:rsidR="000A156F" w:rsidRDefault="00A9721F">
            <w:pPr>
              <w:pStyle w:val="TableBodyText"/>
            </w:pPr>
            <w:r>
              <w:t>chart</w:t>
            </w:r>
          </w:p>
        </w:tc>
        <w:tc>
          <w:tcPr>
            <w:tcW w:w="0" w:type="auto"/>
            <w:vAlign w:val="center"/>
          </w:tcPr>
          <w:p w:rsidR="000A156F" w:rsidRDefault="00A9721F">
            <w:pPr>
              <w:pStyle w:val="TableBodyText"/>
            </w:pPr>
            <w:r>
              <w:t>"[ISO/IEC-29500-1] §21.2.2.26; chart"</w:t>
            </w:r>
          </w:p>
        </w:tc>
      </w:tr>
      <w:tr w:rsidR="000A156F" w:rsidTr="000A156F">
        <w:tc>
          <w:tcPr>
            <w:tcW w:w="0" w:type="auto"/>
            <w:vAlign w:val="center"/>
          </w:tcPr>
          <w:p w:rsidR="000A156F" w:rsidRDefault="00A9721F">
            <w:pPr>
              <w:pStyle w:val="TableBodyText"/>
            </w:pPr>
            <w:r>
              <w:t>http://schemas.openxmlformats.org/drawingml/2006/picture</w:t>
            </w:r>
          </w:p>
        </w:tc>
        <w:tc>
          <w:tcPr>
            <w:tcW w:w="0" w:type="auto"/>
            <w:vAlign w:val="center"/>
          </w:tcPr>
          <w:p w:rsidR="000A156F" w:rsidRDefault="00A9721F">
            <w:pPr>
              <w:pStyle w:val="TableBodyText"/>
            </w:pPr>
            <w:r>
              <w:t>pic</w:t>
            </w:r>
          </w:p>
        </w:tc>
        <w:tc>
          <w:tcPr>
            <w:tcW w:w="0" w:type="auto"/>
            <w:vAlign w:val="center"/>
          </w:tcPr>
          <w:p w:rsidR="000A156F" w:rsidRDefault="00A9721F">
            <w:pPr>
              <w:pStyle w:val="TableBodyText"/>
            </w:pPr>
            <w:r>
              <w:t>"[ISO/IEC-29500-1] §20.2.2.5; pic"</w:t>
            </w:r>
          </w:p>
        </w:tc>
      </w:tr>
      <w:tr w:rsidR="000A156F" w:rsidTr="000A156F">
        <w:tc>
          <w:tcPr>
            <w:tcW w:w="0" w:type="auto"/>
            <w:vAlign w:val="center"/>
          </w:tcPr>
          <w:p w:rsidR="000A156F" w:rsidRDefault="00A9721F">
            <w:pPr>
              <w:pStyle w:val="TableBodyText"/>
            </w:pPr>
            <w:r>
              <w:t>http://schemas.openxmlformats.org/drawingml/2006/compatibil</w:t>
            </w:r>
            <w:r>
              <w:t>ity</w:t>
            </w:r>
          </w:p>
        </w:tc>
        <w:tc>
          <w:tcPr>
            <w:tcW w:w="0" w:type="auto"/>
            <w:vAlign w:val="center"/>
          </w:tcPr>
          <w:p w:rsidR="000A156F" w:rsidRDefault="00A9721F">
            <w:pPr>
              <w:pStyle w:val="TableBodyText"/>
            </w:pPr>
            <w:r>
              <w:t>legacyDrawing</w:t>
            </w:r>
          </w:p>
        </w:tc>
        <w:tc>
          <w:tcPr>
            <w:tcW w:w="0" w:type="auto"/>
            <w:vAlign w:val="center"/>
          </w:tcPr>
          <w:p w:rsidR="000A156F" w:rsidRDefault="00A9721F">
            <w:pPr>
              <w:pStyle w:val="TableBodyText"/>
            </w:pPr>
            <w:r>
              <w:t>"</w:t>
            </w:r>
            <w:hyperlink r:id="rId185">
              <w:r>
                <w:rPr>
                  <w:rStyle w:val="Hyperlink"/>
                </w:rPr>
                <w:t>[ISO/IEC-29500-4]</w:t>
              </w:r>
            </w:hyperlink>
            <w:r>
              <w:t xml:space="preserve"> §17.2.2.1; legacyDrawing (Legacy Drawing Object)"</w:t>
            </w:r>
          </w:p>
        </w:tc>
      </w:tr>
      <w:tr w:rsidR="000A156F" w:rsidTr="000A156F">
        <w:tc>
          <w:tcPr>
            <w:tcW w:w="0" w:type="auto"/>
            <w:vAlign w:val="center"/>
          </w:tcPr>
          <w:p w:rsidR="000A156F" w:rsidRDefault="00A9721F">
            <w:pPr>
              <w:pStyle w:val="TableBodyText"/>
            </w:pPr>
            <w:r>
              <w:t>http://schemas.openxmlformats.org/drawingml/2006/lockedCanvas</w:t>
            </w:r>
          </w:p>
        </w:tc>
        <w:tc>
          <w:tcPr>
            <w:tcW w:w="0" w:type="auto"/>
            <w:vAlign w:val="center"/>
          </w:tcPr>
          <w:p w:rsidR="000A156F" w:rsidRDefault="00A9721F">
            <w:pPr>
              <w:pStyle w:val="TableBodyText"/>
            </w:pPr>
            <w:r>
              <w:t>lockedCanvas</w:t>
            </w:r>
          </w:p>
        </w:tc>
        <w:tc>
          <w:tcPr>
            <w:tcW w:w="0" w:type="auto"/>
            <w:vAlign w:val="center"/>
          </w:tcPr>
          <w:p w:rsidR="000A156F" w:rsidRDefault="00A9721F">
            <w:pPr>
              <w:pStyle w:val="TableBodyText"/>
            </w:pPr>
            <w:r>
              <w:t>"[ISO/IEC-29500-1] §20.3.2.</w:t>
            </w:r>
            <w:r>
              <w:t>1; lockedCanvas"</w:t>
            </w:r>
          </w:p>
        </w:tc>
      </w:tr>
      <w:tr w:rsidR="000A156F" w:rsidTr="000A156F">
        <w:tc>
          <w:tcPr>
            <w:tcW w:w="0" w:type="auto"/>
            <w:vAlign w:val="center"/>
          </w:tcPr>
          <w:p w:rsidR="000A156F" w:rsidRDefault="00A9721F">
            <w:pPr>
              <w:pStyle w:val="TableBodyText"/>
            </w:pPr>
            <w:r>
              <w:t>http://schemas.openxmlformats.org/presentationml/2006/ole</w:t>
            </w:r>
          </w:p>
        </w:tc>
        <w:tc>
          <w:tcPr>
            <w:tcW w:w="0" w:type="auto"/>
            <w:vAlign w:val="center"/>
          </w:tcPr>
          <w:p w:rsidR="000A156F" w:rsidRDefault="00A9721F">
            <w:pPr>
              <w:pStyle w:val="TableBodyText"/>
            </w:pPr>
            <w:r>
              <w:t>oleObj</w:t>
            </w:r>
          </w:p>
        </w:tc>
        <w:tc>
          <w:tcPr>
            <w:tcW w:w="0" w:type="auto"/>
            <w:vAlign w:val="center"/>
          </w:tcPr>
          <w:p w:rsidR="000A156F" w:rsidRDefault="00A9721F">
            <w:pPr>
              <w:pStyle w:val="TableBodyText"/>
            </w:pPr>
            <w:r>
              <w:t>"[ISO/IEC-29500-1] §19.3.2.4; oleObj"</w:t>
            </w:r>
          </w:p>
        </w:tc>
      </w:tr>
    </w:tbl>
    <w:p w:rsidR="000A156F" w:rsidRDefault="000A156F"/>
    <w:p w:rsidR="000A156F" w:rsidRDefault="00A9721F">
      <w:pPr>
        <w:pStyle w:val="Heading3"/>
      </w:pPr>
      <w:bookmarkStart w:id="2436" w:name="section_68cd339693e94244b7286ac467d7f626"/>
      <w:bookmarkStart w:id="2437" w:name="_Toc181684244"/>
      <w:r>
        <w:t>Part 1 Section 20.1.2.2.19, graphicFrameLocks (Graphic Frame Locks)</w:t>
      </w:r>
      <w:bookmarkEnd w:id="2436"/>
      <w:bookmarkEnd w:id="2437"/>
      <w:r>
        <w:fldChar w:fldCharType="begin"/>
      </w:r>
      <w:r>
        <w:instrText xml:space="preserve"> XE "graphicFrameLocks (Graphic Frame Locks)" </w:instrText>
      </w:r>
      <w:r>
        <w:fldChar w:fldCharType="end"/>
      </w:r>
    </w:p>
    <w:p w:rsidR="000A156F" w:rsidRDefault="00A9721F">
      <w:pPr>
        <w:pStyle w:val="Definition-Field"/>
      </w:pPr>
      <w:r>
        <w:t xml:space="preserve">a.   </w:t>
      </w:r>
      <w:r>
        <w:rPr>
          <w:i/>
        </w:rPr>
        <w:t>The standard</w:t>
      </w:r>
      <w:r>
        <w:rPr>
          <w:i/>
        </w:rPr>
        <w:t xml:space="preserve"> specifies that an implementing application should lock the aspect ratio of the graphic frame if the value of the noChangeAspect attribute is true.</w:t>
      </w:r>
    </w:p>
    <w:p w:rsidR="000A156F" w:rsidRDefault="00A9721F">
      <w:pPr>
        <w:pStyle w:val="Definition-Field2"/>
      </w:pPr>
      <w:r>
        <w:t xml:space="preserve">When a user resizes a graphicFrame by direct manipulation (by dragging with the mouse, for example), Office </w:t>
      </w:r>
      <w:r>
        <w:t>ignores the noChangeAspect attribute. When a user resizes the frame by entering the desired dimensions, this attribute is taken into account.</w:t>
      </w:r>
    </w:p>
    <w:p w:rsidR="000A156F" w:rsidRDefault="00A9721F">
      <w:pPr>
        <w:pStyle w:val="Definition-Field"/>
      </w:pPr>
      <w:r>
        <w:t xml:space="preserve">b.   </w:t>
      </w:r>
      <w:r>
        <w:rPr>
          <w:i/>
        </w:rPr>
        <w:t>The standard includes noMove and noResize as attributes of the element graphicFrame.</w:t>
      </w:r>
    </w:p>
    <w:p w:rsidR="000A156F" w:rsidRDefault="00A9721F">
      <w:pPr>
        <w:pStyle w:val="Definition-Field2"/>
      </w:pPr>
      <w:r>
        <w:t>Office does not implemen</w:t>
      </w:r>
      <w:r>
        <w:t>t and will ignore the attributes noMove and noResize for graphicFrame elements.</w:t>
      </w:r>
    </w:p>
    <w:p w:rsidR="000A156F" w:rsidRDefault="00A9721F">
      <w:pPr>
        <w:pStyle w:val="Definition-Field"/>
      </w:pPr>
      <w:r>
        <w:lastRenderedPageBreak/>
        <w:t xml:space="preserve">c.   </w:t>
      </w:r>
      <w:r>
        <w:rPr>
          <w:i/>
        </w:rPr>
        <w:t>The standard states that the noSelect attribute of element graphicFrameLocks disallows the selection of the corresponding picture.</w:t>
      </w:r>
    </w:p>
    <w:p w:rsidR="000A156F" w:rsidRDefault="00A9721F">
      <w:pPr>
        <w:pStyle w:val="Definition-Field2"/>
      </w:pPr>
      <w:r>
        <w:t>In Office, the noSelect attribute of ele</w:t>
      </w:r>
      <w:r>
        <w:t>ment graphicFrameLocks disallows the selection of the corresponding graphic frame.</w:t>
      </w:r>
    </w:p>
    <w:p w:rsidR="000A156F" w:rsidRDefault="00A9721F">
      <w:pPr>
        <w:pStyle w:val="Heading3"/>
      </w:pPr>
      <w:bookmarkStart w:id="2438" w:name="section_aeb0946131ca4e03b47b279d8705c69c"/>
      <w:bookmarkStart w:id="2439" w:name="_Toc181684245"/>
      <w:r>
        <w:t>Part 1 Section 20.1.2.2.21, grpSpLocks (Group Shape Locks)</w:t>
      </w:r>
      <w:bookmarkEnd w:id="2438"/>
      <w:bookmarkEnd w:id="2439"/>
      <w:r>
        <w:fldChar w:fldCharType="begin"/>
      </w:r>
      <w:r>
        <w:instrText xml:space="preserve"> XE "grpSpLocks (Group Shape Locks)" </w:instrText>
      </w:r>
      <w:r>
        <w:fldChar w:fldCharType="end"/>
      </w:r>
    </w:p>
    <w:p w:rsidR="000A156F" w:rsidRDefault="00A9721F">
      <w:pPr>
        <w:pStyle w:val="Definition-Field"/>
      </w:pPr>
      <w:r>
        <w:t xml:space="preserve">a.   </w:t>
      </w:r>
      <w:r>
        <w:rPr>
          <w:i/>
        </w:rPr>
        <w:t>The standard states that grpSpLocks specifies the locking properties f</w:t>
      </w:r>
      <w:r>
        <w:rPr>
          <w:i/>
        </w:rPr>
        <w:t>or a connection shape.</w:t>
      </w:r>
    </w:p>
    <w:p w:rsidR="000A156F" w:rsidRDefault="00A9721F">
      <w:pPr>
        <w:pStyle w:val="Definition-Field2"/>
      </w:pPr>
      <w:r>
        <w:t>In Office, grpSpLocks specifies the locking properties for a group shape.</w:t>
      </w:r>
    </w:p>
    <w:p w:rsidR="000A156F" w:rsidRDefault="00A9721F">
      <w:pPr>
        <w:pStyle w:val="Heading3"/>
      </w:pPr>
      <w:bookmarkStart w:id="2440" w:name="section_414983b3f7b64cd7aec65edc6328026e"/>
      <w:bookmarkStart w:id="2441" w:name="_Toc181684246"/>
      <w:r>
        <w:t>Part 1 Section 20.1.2.2.22, grpSpPr (Visual Group Shape Properties)</w:t>
      </w:r>
      <w:bookmarkEnd w:id="2440"/>
      <w:bookmarkEnd w:id="2441"/>
      <w:r>
        <w:fldChar w:fldCharType="begin"/>
      </w:r>
      <w:r>
        <w:instrText xml:space="preserve"> XE "grpSpPr (Visual Group Shape Properties)" </w:instrText>
      </w:r>
      <w:r>
        <w:fldChar w:fldCharType="end"/>
      </w:r>
    </w:p>
    <w:p w:rsidR="000A156F" w:rsidRDefault="00A9721F">
      <w:pPr>
        <w:pStyle w:val="Definition-Field2"/>
      </w:pPr>
      <w:r>
        <w:rPr>
          <w:i/>
        </w:rPr>
        <w:t>For additional notes that apply to this por</w:t>
      </w:r>
      <w:r>
        <w:rPr>
          <w:i/>
        </w:rPr>
        <w:t xml:space="preserve">tion of the standard, please see the notes for </w:t>
      </w:r>
      <w:hyperlink w:anchor="Section_0b7e3dab028b4c2285e631bc3dc52e04">
        <w:r>
          <w:rPr>
            <w:rStyle w:val="Hyperlink"/>
          </w:rPr>
          <w:t>grpSpPr, §20.5.2.18(a-c)</w:t>
        </w:r>
      </w:hyperlink>
      <w:r>
        <w:rPr>
          <w:i/>
        </w:rPr>
        <w:t>.</w:t>
      </w:r>
    </w:p>
    <w:p w:rsidR="000A156F" w:rsidRDefault="00A9721F">
      <w:pPr>
        <w:pStyle w:val="Heading3"/>
      </w:pPr>
      <w:bookmarkStart w:id="2442" w:name="section_9ed01f1809cb47df94f37968e6f48bbf"/>
      <w:bookmarkStart w:id="2443" w:name="_Toc181684247"/>
      <w:r>
        <w:t>Part 1 Section 20.1.2.2.23, hlinkHover (Hyperlink for Hover)</w:t>
      </w:r>
      <w:bookmarkEnd w:id="2442"/>
      <w:bookmarkEnd w:id="2443"/>
      <w:r>
        <w:fldChar w:fldCharType="begin"/>
      </w:r>
      <w:r>
        <w:instrText xml:space="preserve"> XE "hlinkHover (Hyperlink for Hover)" </w:instrText>
      </w:r>
      <w:r>
        <w:fldChar w:fldCharType="end"/>
      </w:r>
    </w:p>
    <w:p w:rsidR="000A156F" w:rsidRDefault="00A9721F">
      <w:pPr>
        <w:pStyle w:val="Definition-Field2"/>
      </w:pPr>
      <w:r>
        <w:rPr>
          <w:i/>
        </w:rPr>
        <w:t>For additional not</w:t>
      </w:r>
      <w:r>
        <w:rPr>
          <w:i/>
        </w:rPr>
        <w:t xml:space="preserve">es that apply to this portion of the standard, please see the notes for </w:t>
      </w:r>
      <w:hyperlink w:anchor="Section_a65b76db6abc49898cd1baa9a3500f6f">
        <w:r>
          <w:rPr>
            <w:rStyle w:val="Hyperlink"/>
          </w:rPr>
          <w:t>hlinkClick, §21.1.2.3.5(a)</w:t>
        </w:r>
      </w:hyperlink>
      <w:r>
        <w:rPr>
          <w:i/>
        </w:rPr>
        <w:t>.</w:t>
      </w:r>
    </w:p>
    <w:p w:rsidR="000A156F" w:rsidRDefault="00A9721F">
      <w:pPr>
        <w:pStyle w:val="Heading3"/>
      </w:pPr>
      <w:bookmarkStart w:id="2444" w:name="section_5564035f88ff4ab8bbfbd2998a83324d"/>
      <w:bookmarkStart w:id="2445" w:name="_Toc181684248"/>
      <w:r>
        <w:t>Part 1 Section 20.1.2.2.24, ln (Outline)</w:t>
      </w:r>
      <w:bookmarkEnd w:id="2444"/>
      <w:bookmarkEnd w:id="2445"/>
      <w:r>
        <w:fldChar w:fldCharType="begin"/>
      </w:r>
      <w:r>
        <w:instrText xml:space="preserve"> XE "ln (Outline)" </w:instrText>
      </w:r>
      <w:r>
        <w:fldChar w:fldCharType="end"/>
      </w:r>
    </w:p>
    <w:p w:rsidR="000A156F" w:rsidRDefault="00A9721F">
      <w:pPr>
        <w:pStyle w:val="Definition-Field"/>
      </w:pPr>
      <w:r>
        <w:t xml:space="preserve">a.   </w:t>
      </w:r>
      <w:r>
        <w:rPr>
          <w:i/>
        </w:rPr>
        <w:t xml:space="preserve">The standard does not </w:t>
      </w:r>
      <w:r>
        <w:rPr>
          <w:i/>
        </w:rPr>
        <w:t>specify a default value for the algn attribute.</w:t>
      </w:r>
    </w:p>
    <w:p w:rsidR="000A156F" w:rsidRDefault="00A9721F">
      <w:pPr>
        <w:pStyle w:val="Definition-Field2"/>
      </w:pPr>
      <w:r>
        <w:t>Office uses a default value of ctr for the algn attribute.</w:t>
      </w:r>
    </w:p>
    <w:p w:rsidR="000A156F" w:rsidRDefault="00A9721F">
      <w:pPr>
        <w:pStyle w:val="Definition-Field"/>
      </w:pPr>
      <w:r>
        <w:t xml:space="preserve">b.   </w:t>
      </w:r>
      <w:r>
        <w:rPr>
          <w:i/>
        </w:rPr>
        <w:t>The standard states that sq is the default value for the cap attribute.</w:t>
      </w:r>
    </w:p>
    <w:p w:rsidR="000A156F" w:rsidRDefault="00A9721F">
      <w:pPr>
        <w:pStyle w:val="Definition-Field2"/>
      </w:pPr>
      <w:r>
        <w:t>Office uses flat as the default value for cap.</w:t>
      </w:r>
    </w:p>
    <w:p w:rsidR="000A156F" w:rsidRDefault="00A9721F">
      <w:pPr>
        <w:pStyle w:val="Definition-Field"/>
      </w:pPr>
      <w:r>
        <w:t xml:space="preserve">c.   </w:t>
      </w:r>
      <w:r>
        <w:rPr>
          <w:i/>
        </w:rPr>
        <w:t xml:space="preserve">The standard allows </w:t>
      </w:r>
      <w:r>
        <w:rPr>
          <w:i/>
        </w:rPr>
        <w:t>for the specifying of the tailEnd child element, headEnd child element and cap attribute within the ln element.</w:t>
      </w:r>
    </w:p>
    <w:p w:rsidR="000A156F" w:rsidRDefault="00A9721F">
      <w:pPr>
        <w:pStyle w:val="Definition-Field2"/>
      </w:pPr>
      <w:r>
        <w:t>Office does not use the tailEnd child element, headEnd child element and cap attribute when the parent element is the rPr element.</w:t>
      </w:r>
    </w:p>
    <w:p w:rsidR="000A156F" w:rsidRDefault="00A9721F">
      <w:pPr>
        <w:pStyle w:val="Definition-Field"/>
      </w:pPr>
      <w:r>
        <w:t xml:space="preserve">d.   </w:t>
      </w:r>
      <w:r>
        <w:rPr>
          <w:i/>
        </w:rPr>
        <w:t xml:space="preserve">The </w:t>
      </w:r>
      <w:r>
        <w:rPr>
          <w:i/>
        </w:rPr>
        <w:t>standard does not specify conditions under which this element might be superseded.</w:t>
      </w:r>
    </w:p>
    <w:p w:rsidR="000A156F" w:rsidRDefault="00A9721F">
      <w:pPr>
        <w:pStyle w:val="Definition-Field"/>
        <w:ind w:firstLine="0"/>
      </w:pPr>
      <w:r>
        <w:t>In Microsoft Office 2016, when this element is omitted from the spPr element nested inside a dataPoint element in a CT_ChartStyle (</w:t>
      </w:r>
      <w:hyperlink r:id="rId186"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(such as pattern fill, gradient fill, gl</w:t>
      </w:r>
      <w:r>
        <w:t>ow, shadow, 3D effect, or line dashing), and when the CT_ChartStyle is used to style a chart in a part using the relationship type of “</w:t>
      </w:r>
      <w:hyperlink r:id="rId187" w:history="1">
        <w:r>
          <w:rPr>
            <w:rStyle w:val="Hyperlink"/>
          </w:rPr>
          <w:t>http://schemas.microsoft.com/office/drawing/2014</w:t>
        </w:r>
        <w:r>
          <w:rPr>
            <w:rStyle w:val="Hyperlink"/>
          </w:rPr>
          <w:t>/chartex</w:t>
        </w:r>
      </w:hyperlink>
      <w:r>
        <w:t>” ([MS-ODRAWXML] Section 2.24), the ln element under the spPr element in dataPointLine is used in place of this element.</w:t>
      </w:r>
    </w:p>
    <w:p w:rsidR="000A156F" w:rsidRDefault="00A9721F">
      <w:pPr>
        <w:pStyle w:val="Definition-Field"/>
        <w:rPr>
          <w:i/>
        </w:rPr>
      </w:pPr>
      <w:r>
        <w:rPr>
          <w:i/>
        </w:rPr>
        <w:t>e.   The standard states that if the w (Line Width) attribute is omitted, then a value of 0 is assumed.  </w:t>
      </w:r>
    </w:p>
    <w:p w:rsidR="000A156F" w:rsidRDefault="00A9721F">
      <w:pPr>
        <w:pStyle w:val="Definition-Field"/>
        <w:ind w:firstLine="0"/>
      </w:pPr>
      <w:r>
        <w:t>The interpretation of</w:t>
      </w:r>
      <w:r>
        <w:t xml:space="preserve"> the line width is further determined by the line’s fill properties (EG_LineFillProperties). Unless the line fill type is &lt;noFill&gt;, a line width value of 0 or omission of the w attribute indicates that a resolution-dependent line thickness of 1 device unit</w:t>
      </w:r>
      <w:r>
        <w:t xml:space="preserve"> should be drawn, where a device unit is a pixel on a screen, or a single dot width on a printer.  For line fill type &lt;noFill&gt;, the width value is ignored and no line should be drawn.</w:t>
      </w:r>
    </w:p>
    <w:p w:rsidR="000A156F" w:rsidRDefault="00A9721F">
      <w:pPr>
        <w:pStyle w:val="Definition-Field"/>
        <w:rPr>
          <w:i/>
        </w:rPr>
      </w:pPr>
      <w:r>
        <w:t>f</w:t>
      </w:r>
      <w:r>
        <w:rPr>
          <w:i/>
        </w:rPr>
        <w:t>.    The standard does not specify what happens if the fill property EG</w:t>
      </w:r>
      <w:r>
        <w:rPr>
          <w:i/>
        </w:rPr>
        <w:t>_LineFillProperties are omitted from the Outline properties. </w:t>
      </w:r>
    </w:p>
    <w:p w:rsidR="000A156F" w:rsidRDefault="00A9721F">
      <w:pPr>
        <w:pStyle w:val="Definition-Field"/>
        <w:ind w:firstLine="0"/>
      </w:pPr>
      <w:r>
        <w:lastRenderedPageBreak/>
        <w:t>If line fill property EG_LineFillProperties is not provided, Office assumes the line fill to be &lt;solidFill&gt;.</w:t>
      </w:r>
    </w:p>
    <w:p w:rsidR="000A156F" w:rsidRDefault="00A9721F">
      <w:pPr>
        <w:pStyle w:val="Heading3"/>
      </w:pPr>
      <w:bookmarkStart w:id="2446" w:name="section_57e0125f979847efbc6e53ffae4f6c28"/>
      <w:bookmarkStart w:id="2447" w:name="_Toc181684249"/>
      <w:r>
        <w:t>Part 1 Section 20.1.2.2.31, picLocks (Picture Locks)</w:t>
      </w:r>
      <w:bookmarkEnd w:id="2446"/>
      <w:bookmarkEnd w:id="2447"/>
      <w:r>
        <w:fldChar w:fldCharType="begin"/>
      </w:r>
      <w:r>
        <w:instrText xml:space="preserve"> XE "picLocks (Picture Locks)" </w:instrText>
      </w:r>
      <w:r>
        <w:fldChar w:fldCharType="end"/>
      </w:r>
    </w:p>
    <w:p w:rsidR="000A156F" w:rsidRDefault="00A9721F">
      <w:pPr>
        <w:pStyle w:val="Definition-Field"/>
      </w:pPr>
      <w:r>
        <w:t xml:space="preserve">a.   </w:t>
      </w:r>
      <w:r>
        <w:rPr>
          <w:i/>
        </w:rPr>
        <w:t>The standard references only connection shapes as a part of the picLocks element attribute descriptions for the AG_Locking attribute group.</w:t>
      </w:r>
    </w:p>
    <w:p w:rsidR="000A156F" w:rsidRDefault="00A9721F">
      <w:pPr>
        <w:pStyle w:val="Definition-Field2"/>
      </w:pPr>
      <w:r>
        <w:t>In Office, AG_Locking attribute group attributes also applies to shapes and pictures.</w:t>
      </w:r>
    </w:p>
    <w:p w:rsidR="000A156F" w:rsidRDefault="00A9721F">
      <w:pPr>
        <w:pStyle w:val="Definition-Field"/>
      </w:pPr>
      <w:r>
        <w:t xml:space="preserve">b.   </w:t>
      </w:r>
      <w:r>
        <w:rPr>
          <w:i/>
        </w:rPr>
        <w:t>The standard uses a</w:t>
      </w:r>
      <w:r>
        <w:rPr>
          <w:i/>
        </w:rPr>
        <w:t xml:space="preserve"> shared attribute group for the locking attributes of shapes, pictures and other graphic objects.</w:t>
      </w:r>
    </w:p>
    <w:p w:rsidR="000A156F" w:rsidRDefault="00A9721F">
      <w:pPr>
        <w:pStyle w:val="Definition-Field2"/>
      </w:pPr>
      <w:r>
        <w:t>Office ignores attributes noChangeArrowheads, noChageShapeType, noEditPoints and noRot when applied to a picture object. Additionally, PowerPoint ignores noAd</w:t>
      </w:r>
      <w:r>
        <w:t>justHandles and Word ignores noMove and noResize when applied to a picture object.</w:t>
      </w:r>
    </w:p>
    <w:p w:rsidR="000A156F" w:rsidRDefault="00A9721F">
      <w:pPr>
        <w:pStyle w:val="Heading3"/>
      </w:pPr>
      <w:bookmarkStart w:id="2448" w:name="section_26a003a89aa34f9794059a41ececf014"/>
      <w:bookmarkStart w:id="2449" w:name="_Toc181684250"/>
      <w:r>
        <w:t>Part 1 Section 20.1.2.2.34, spLocks (Shape Locks)</w:t>
      </w:r>
      <w:bookmarkEnd w:id="2448"/>
      <w:bookmarkEnd w:id="2449"/>
      <w:r>
        <w:fldChar w:fldCharType="begin"/>
      </w:r>
      <w:r>
        <w:instrText xml:space="preserve"> XE "spLocks (Shape Locks)"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0A156F" w:rsidRDefault="00A9721F">
      <w:pPr>
        <w:pStyle w:val="Definition-Field"/>
      </w:pPr>
      <w:r>
        <w:t xml:space="preserve">a.   </w:t>
      </w:r>
      <w:r>
        <w:rPr>
          <w:i/>
        </w:rPr>
        <w:t>The standard uses a shared attribute group for the locking attributes of shapes, pictures and other graphic objects.</w:t>
      </w:r>
    </w:p>
    <w:p w:rsidR="000A156F" w:rsidRDefault="00A9721F">
      <w:pPr>
        <w:pStyle w:val="Definition-Field2"/>
      </w:pPr>
      <w:r>
        <w:t>Office ignores attributes noChangeArrowheads an</w:t>
      </w:r>
      <w:r>
        <w:t>d noRot when applied to a shape. PowerPoint additionally ignores the attribute noAdjustHandles when applied to a shape and noChangeShapeType when the converting the shape to a freeform.</w:t>
      </w:r>
    </w:p>
    <w:p w:rsidR="000A156F" w:rsidRDefault="00A9721F">
      <w:pPr>
        <w:pStyle w:val="Heading3"/>
      </w:pPr>
      <w:bookmarkStart w:id="2450" w:name="section_d91dc0a3157d4a179945f4226b94b9e8"/>
      <w:bookmarkStart w:id="2451" w:name="_Toc181684251"/>
      <w:r>
        <w:t>Part 1 Section 20.1.2.2.35, spPr (Shape Properties)</w:t>
      </w:r>
      <w:bookmarkEnd w:id="2450"/>
      <w:bookmarkEnd w:id="2451"/>
      <w:r>
        <w:fldChar w:fldCharType="begin"/>
      </w:r>
      <w:r>
        <w:instrText xml:space="preserve"> XE "spPr (Shape Pr</w:instrText>
      </w:r>
      <w:r>
        <w:instrText xml:space="preserve">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A156F" w:rsidRDefault="00A9721F">
      <w:pPr>
        <w:pStyle w:val="Heading3"/>
      </w:pPr>
      <w:bookmarkStart w:id="2452" w:name="section_52010234952f45889bdb6d2e5e6e7868"/>
      <w:bookmarkStart w:id="2453" w:name="_Toc181684252"/>
      <w:r>
        <w:t>Part 1 Section 20.1.2.2.36, stCxn (Connection Start)</w:t>
      </w:r>
      <w:bookmarkEnd w:id="2452"/>
      <w:bookmarkEnd w:id="2453"/>
      <w:r>
        <w:fldChar w:fldCharType="begin"/>
      </w:r>
      <w:r>
        <w:instrText xml:space="preserve"> XE "stCxn (Co</w:instrText>
      </w:r>
      <w:r>
        <w:instrText xml:space="preserve">nnection Start)"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e8ab39f0beb40b1bfb11aea60ce7e2b">
        <w:r>
          <w:rPr>
            <w:rStyle w:val="Hyperlink"/>
          </w:rPr>
          <w:t>endCxn, §20.1.2.2.13(a)</w:t>
        </w:r>
      </w:hyperlink>
      <w:r>
        <w:rPr>
          <w:i/>
        </w:rPr>
        <w:t>.</w:t>
      </w:r>
    </w:p>
    <w:p w:rsidR="000A156F" w:rsidRDefault="00A9721F">
      <w:pPr>
        <w:pStyle w:val="Heading3"/>
      </w:pPr>
      <w:bookmarkStart w:id="2454" w:name="section_71e8a4dd1654485ca87d0bf4bcdf01c0"/>
      <w:bookmarkStart w:id="2455" w:name="_Toc181684253"/>
      <w:r>
        <w:t>Part 1 Section 20.1.2.2.37, style (Shape Style)</w:t>
      </w:r>
      <w:bookmarkEnd w:id="2454"/>
      <w:bookmarkEnd w:id="2455"/>
      <w:r>
        <w:fldChar w:fldCharType="begin"/>
      </w:r>
      <w:r>
        <w:instrText xml:space="preserve"> XE "style </w:instrText>
      </w:r>
      <w:r>
        <w:instrText xml:space="preserve">(Shape Style)" </w:instrText>
      </w:r>
      <w:r>
        <w:fldChar w:fldCharType="end"/>
      </w:r>
    </w:p>
    <w:p w:rsidR="000A156F" w:rsidRDefault="00A9721F">
      <w:pPr>
        <w:pStyle w:val="Definition-Field"/>
      </w:pPr>
      <w:r>
        <w:t xml:space="preserve">a.   </w:t>
      </w:r>
      <w:r>
        <w:rPr>
          <w:i/>
        </w:rPr>
        <w:t>The standard states that the fontRef attribute applies to parent elements pic, cxnSp and sp.</w:t>
      </w:r>
    </w:p>
    <w:p w:rsidR="000A156F" w:rsidRDefault="00A9721F">
      <w:pPr>
        <w:pStyle w:val="Definition-Field2"/>
      </w:pPr>
      <w:r>
        <w:t>In Office, the fontRef attribute is not used for parent elements pic and cxnSp.</w:t>
      </w:r>
    </w:p>
    <w:p w:rsidR="000A156F" w:rsidRDefault="00A9721F">
      <w:pPr>
        <w:pStyle w:val="Definition-Field"/>
      </w:pPr>
      <w:r>
        <w:t xml:space="preserve">b.   </w:t>
      </w:r>
      <w:r>
        <w:rPr>
          <w:i/>
        </w:rPr>
        <w:t xml:space="preserve">The standard allows a sp, pic or cxnSp element to have </w:t>
      </w:r>
      <w:r>
        <w:rPr>
          <w:i/>
        </w:rPr>
        <w:t>similar formatting options defined in both the style and spPr elements.</w:t>
      </w:r>
    </w:p>
    <w:p w:rsidR="000A156F" w:rsidRDefault="00A9721F">
      <w:pPr>
        <w:pStyle w:val="Definition-Field2"/>
      </w:pPr>
      <w:r>
        <w:t>In Office, shape properties (spPr) defined on the parent element will override similar style components (lnRef, effectRef, fillRef, fontRef) defined for this element.</w:t>
      </w:r>
    </w:p>
    <w:p w:rsidR="000A156F" w:rsidRDefault="00A9721F">
      <w:pPr>
        <w:pStyle w:val="Definition-Field"/>
      </w:pPr>
      <w:r>
        <w:t xml:space="preserve">c.   </w:t>
      </w:r>
      <w:r>
        <w:rPr>
          <w:i/>
        </w:rPr>
        <w:t>The standard</w:t>
      </w:r>
      <w:r>
        <w:rPr>
          <w:i/>
        </w:rPr>
        <w:t xml:space="preserve"> allows similar text formatting properties to be defined for parent element sp by style or txBody.</w:t>
      </w:r>
    </w:p>
    <w:p w:rsidR="000A156F" w:rsidRDefault="00A9721F">
      <w:pPr>
        <w:pStyle w:val="Definition-Field2"/>
      </w:pPr>
      <w:r>
        <w:t>In Office, child elements from txBody for parent element sp will override similar style properties defined in the fontRef child element in this element.</w:t>
      </w:r>
    </w:p>
    <w:p w:rsidR="000A156F" w:rsidRDefault="00A9721F">
      <w:pPr>
        <w:pStyle w:val="Heading3"/>
      </w:pPr>
      <w:bookmarkStart w:id="2456" w:name="section_8d11d27322a648b8a2122b60910659bd"/>
      <w:bookmarkStart w:id="2457" w:name="_Toc181684254"/>
      <w:r>
        <w:lastRenderedPageBreak/>
        <w:t>Part</w:t>
      </w:r>
      <w:r>
        <w:t xml:space="preserve"> 1 Section 20.1.2.3.1, alpha (Alpha)</w:t>
      </w:r>
      <w:bookmarkEnd w:id="2456"/>
      <w:bookmarkEnd w:id="2457"/>
      <w:r>
        <w:fldChar w:fldCharType="begin"/>
      </w:r>
      <w:r>
        <w:instrText xml:space="preserve"> XE "alpha (Alpha)" </w:instrText>
      </w:r>
      <w:r>
        <w:fldChar w:fldCharType="end"/>
      </w:r>
    </w:p>
    <w:p w:rsidR="000A156F" w:rsidRDefault="00A9721F">
      <w:pPr>
        <w:pStyle w:val="Definition-Field"/>
      </w:pPr>
      <w:r>
        <w:t xml:space="preserve">a.   </w:t>
      </w:r>
      <w:r>
        <w:rPr>
          <w:i/>
        </w:rPr>
        <w:t>The standard states that the val attribute specifies the opacity as expressed by a percentage value.</w:t>
      </w:r>
    </w:p>
    <w:p w:rsidR="000A156F" w:rsidRDefault="00A9721F">
      <w:pPr>
        <w:pStyle w:val="Definition-Field2"/>
      </w:pPr>
      <w:r>
        <w:t>Office uses the val attribute to specify a percentage value for several elements.</w:t>
      </w:r>
    </w:p>
    <w:p w:rsidR="000A156F" w:rsidRDefault="00A9721F">
      <w:pPr>
        <w:pStyle w:val="Definition-Field"/>
      </w:pPr>
      <w:r>
        <w:t xml:space="preserve">b.   </w:t>
      </w:r>
      <w:r>
        <w:rPr>
          <w:i/>
        </w:rPr>
        <w:t xml:space="preserve">The </w:t>
      </w:r>
      <w:r>
        <w:rPr>
          <w:i/>
        </w:rPr>
        <w:t>standard states that ST_PositiveFixedPercentage is read and written as a floating point value with a trailing percent sign.</w:t>
      </w:r>
    </w:p>
    <w:p w:rsidR="000A156F" w:rsidRDefault="00A9721F">
      <w:pPr>
        <w:pStyle w:val="Definition-Field2"/>
      </w:pPr>
      <w:r>
        <w:t xml:space="preserve">Office will read in percentages formatted as floating point value with a trailing percent sign or as an integer 1000th of a percent </w:t>
      </w:r>
      <w:r>
        <w:t>without trailing percent sign, but only write out percentages as the latter.</w:t>
      </w:r>
    </w:p>
    <w:p w:rsidR="000A156F" w:rsidRDefault="00A9721F">
      <w:pPr>
        <w:pStyle w:val="Heading3"/>
      </w:pPr>
      <w:bookmarkStart w:id="2458" w:name="section_82fa840c591d48d5b9300146192f4142"/>
      <w:bookmarkStart w:id="2459" w:name="_Toc181684255"/>
      <w:r>
        <w:t>Part 1 Section 20.1.2.3.2, alphaMod (Alpha Modulation)</w:t>
      </w:r>
      <w:bookmarkEnd w:id="2458"/>
      <w:bookmarkEnd w:id="2459"/>
      <w:r>
        <w:fldChar w:fldCharType="begin"/>
      </w:r>
      <w:r>
        <w:instrText xml:space="preserve"> XE "alphaMod (Alpha Modulation)" </w:instrText>
      </w:r>
      <w:r>
        <w:fldChar w:fldCharType="end"/>
      </w:r>
    </w:p>
    <w:p w:rsidR="000A156F" w:rsidRDefault="00A9721F">
      <w:pPr>
        <w:pStyle w:val="Definition-Field"/>
      </w:pPr>
      <w:r>
        <w:t xml:space="preserve">a.   </w:t>
      </w:r>
      <w:r>
        <w:rPr>
          <w:i/>
        </w:rPr>
        <w:t>The standard states that ST_PositiveFixedPercentage is read and written as a percen</w:t>
      </w:r>
      <w:r>
        <w:rPr>
          <w:i/>
        </w:rPr>
        <w:t>t with a trailing percent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without trailing percent sign.</w:t>
      </w:r>
    </w:p>
    <w:p w:rsidR="000A156F" w:rsidRDefault="00A9721F">
      <w:pPr>
        <w:pStyle w:val="Heading3"/>
      </w:pPr>
      <w:bookmarkStart w:id="2460" w:name="section_7ed8e6ffd6914d92ad9b73ec0a519eef"/>
      <w:bookmarkStart w:id="2461" w:name="_Toc181684256"/>
      <w:r>
        <w:t>Part 1 Se</w:t>
      </w:r>
      <w:r>
        <w:t>ction 20.1.2.3.3, alphaOff (Alpha Offset)</w:t>
      </w:r>
      <w:bookmarkEnd w:id="2460"/>
      <w:bookmarkEnd w:id="2461"/>
      <w:r>
        <w:fldChar w:fldCharType="begin"/>
      </w:r>
      <w:r>
        <w:instrText xml:space="preserve"> XE "alphaOff (Alpha Offset)" </w:instrText>
      </w:r>
      <w:r>
        <w:fldChar w:fldCharType="end"/>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Office will read in percentages formatted with a trailing perc</w:t>
      </w:r>
      <w:r>
        <w:t>ent sign or as 1000th of a percent without trailing percent sign, but only write out percentages as 1000th's of a percent without trailing percent sign.</w:t>
      </w:r>
    </w:p>
    <w:p w:rsidR="000A156F" w:rsidRDefault="00A9721F">
      <w:pPr>
        <w:pStyle w:val="Heading3"/>
      </w:pPr>
      <w:bookmarkStart w:id="2462" w:name="section_609636d541304679b9b8eebaa8424ae7"/>
      <w:bookmarkStart w:id="2463" w:name="_Toc181684257"/>
      <w:r>
        <w:t>Part 1 Section 20.1.2.3.4, blue (Blue)</w:t>
      </w:r>
      <w:bookmarkEnd w:id="2462"/>
      <w:bookmarkEnd w:id="2463"/>
      <w:r>
        <w:fldChar w:fldCharType="begin"/>
      </w:r>
      <w:r>
        <w:instrText xml:space="preserve"> XE "blue (Blue)" </w:instrText>
      </w:r>
      <w:r>
        <w:fldChar w:fldCharType="end"/>
      </w:r>
    </w:p>
    <w:p w:rsidR="000A156F" w:rsidRDefault="00A9721F">
      <w:pPr>
        <w:pStyle w:val="Definition-Field"/>
      </w:pPr>
      <w:r>
        <w:t xml:space="preserve">a.   </w:t>
      </w:r>
      <w:r>
        <w:rPr>
          <w:i/>
        </w:rPr>
        <w:t>The standard states that the val attrib</w:t>
      </w:r>
      <w:r>
        <w:rPr>
          <w:i/>
        </w:rPr>
        <w:t>ute specifies the blue component as expressed by a percentage value.</w:t>
      </w:r>
    </w:p>
    <w:p w:rsidR="000A156F" w:rsidRDefault="00A9721F">
      <w:pPr>
        <w:pStyle w:val="Definition-Field2"/>
      </w:pPr>
      <w:r>
        <w:t>Office uses the val attribute to specify a percentage value for several elements.</w:t>
      </w:r>
    </w:p>
    <w:p w:rsidR="000A156F" w:rsidRDefault="00A9721F">
      <w:pPr>
        <w:pStyle w:val="Definition-Field"/>
      </w:pPr>
      <w:r>
        <w:t xml:space="preserve">b.   </w:t>
      </w:r>
      <w:r>
        <w:rPr>
          <w:i/>
        </w:rPr>
        <w:t>The standard states that ST_PositiveFixedPercentage is read and written as a percent with a trailing</w:t>
      </w:r>
      <w:r>
        <w:rPr>
          <w:i/>
        </w:rPr>
        <w:t xml:space="preserve"> percent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without trailing percent sign.</w:t>
      </w:r>
    </w:p>
    <w:p w:rsidR="000A156F" w:rsidRDefault="00A9721F">
      <w:pPr>
        <w:pStyle w:val="Heading3"/>
      </w:pPr>
      <w:bookmarkStart w:id="2464" w:name="section_fd5b54b2e28a4e6091986cffa60a0e77"/>
      <w:bookmarkStart w:id="2465" w:name="_Toc181684258"/>
      <w:r>
        <w:t>Part 1 Section 20.1.2.3.5,</w:t>
      </w:r>
      <w:r>
        <w:t xml:space="preserve"> blueMod (Blue Modification)</w:t>
      </w:r>
      <w:bookmarkEnd w:id="2464"/>
      <w:bookmarkEnd w:id="2465"/>
      <w:r>
        <w:fldChar w:fldCharType="begin"/>
      </w:r>
      <w:r>
        <w:instrText xml:space="preserve"> XE "blueMod (Blue Modification)"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The standar</w:t>
      </w:r>
      <w:r>
        <w:rPr>
          <w:i/>
        </w:rPr>
        <w:t>d states that ST_PositiveFixedPercentage is read and written as a percent with a trailing percent sign.</w:t>
      </w:r>
    </w:p>
    <w:p w:rsidR="000A156F" w:rsidRDefault="00A9721F">
      <w:pPr>
        <w:pStyle w:val="Definition-Field2"/>
      </w:pPr>
      <w:r>
        <w:t>Office will read in percentages formatted with a trailing percent sign or as 1000th of a percent without trailing percent sign, but only write out perce</w:t>
      </w:r>
      <w:r>
        <w:t>ntages as 1000th's of a percent without trailing percent sign.</w:t>
      </w:r>
    </w:p>
    <w:p w:rsidR="000A156F" w:rsidRDefault="00A9721F">
      <w:pPr>
        <w:pStyle w:val="Heading3"/>
      </w:pPr>
      <w:bookmarkStart w:id="2466" w:name="section_c5764e71705243ca8d5cd69caac0e480"/>
      <w:bookmarkStart w:id="2467" w:name="_Toc181684259"/>
      <w:r>
        <w:lastRenderedPageBreak/>
        <w:t>Part 1 Section 20.1.2.3.6, blueOff (Blue Offset)</w:t>
      </w:r>
      <w:bookmarkEnd w:id="2466"/>
      <w:bookmarkEnd w:id="2467"/>
      <w:r>
        <w:fldChar w:fldCharType="begin"/>
      </w:r>
      <w:r>
        <w:instrText xml:space="preserve"> XE "blueOff (Blue Offset)"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Office will read in percentages formatted with a trailing percent sign or a</w:t>
      </w:r>
      <w:r>
        <w:t>s 1000th of a percent without trailing percent sign, but only write out percentages as 1000th's of a percent without trailing percent sign.</w:t>
      </w:r>
    </w:p>
    <w:p w:rsidR="000A156F" w:rsidRDefault="00A9721F">
      <w:pPr>
        <w:pStyle w:val="Heading3"/>
      </w:pPr>
      <w:bookmarkStart w:id="2468" w:name="section_918cbe28c0504ca2ab4a9fdf9e656a6f"/>
      <w:bookmarkStart w:id="2469" w:name="_Toc181684260"/>
      <w:r>
        <w:t>Part 1 Section 20.1.2.3.10, green (Green)</w:t>
      </w:r>
      <w:bookmarkEnd w:id="2468"/>
      <w:bookmarkEnd w:id="2469"/>
      <w:r>
        <w:fldChar w:fldCharType="begin"/>
      </w:r>
      <w:r>
        <w:instrText xml:space="preserve"> XE "green (Green)" </w:instrText>
      </w:r>
      <w:r>
        <w:fldChar w:fldCharType="end"/>
      </w:r>
    </w:p>
    <w:p w:rsidR="000A156F" w:rsidRDefault="00A9721F">
      <w:pPr>
        <w:pStyle w:val="Definition-Field2"/>
      </w:pPr>
      <w:r>
        <w:rPr>
          <w:i/>
        </w:rPr>
        <w:t>For additional notes that apply to this portion of t</w:t>
      </w:r>
      <w:r>
        <w:rPr>
          <w:i/>
        </w:rPr>
        <w:t xml:space="preserve">he standard,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The standard states that the ST_PositiveFixedPercentage is read and written as a percent with a trailing percent sign.</w:t>
      </w:r>
    </w:p>
    <w:p w:rsidR="000A156F" w:rsidRDefault="00A9721F">
      <w:pPr>
        <w:pStyle w:val="Definition-Field2"/>
      </w:pPr>
      <w:r>
        <w:t xml:space="preserve">Office </w:t>
      </w:r>
      <w:r>
        <w:t>will read in percentages formatted with a trailing percent sign or as 1000th of a percent without trailing percent sign, but only write out percentages as 1000th's of a percent without trailing percent sign.</w:t>
      </w:r>
    </w:p>
    <w:p w:rsidR="000A156F" w:rsidRDefault="00A9721F">
      <w:pPr>
        <w:pStyle w:val="Heading3"/>
      </w:pPr>
      <w:bookmarkStart w:id="2470" w:name="section_e372eb222ed34f6bbdc455f4c3379d83"/>
      <w:bookmarkStart w:id="2471" w:name="_Toc181684261"/>
      <w:r>
        <w:t>Part 1 Section 20.1.2.3.11, greenMod (Green Modi</w:t>
      </w:r>
      <w:r>
        <w:t>fication)</w:t>
      </w:r>
      <w:bookmarkEnd w:id="2470"/>
      <w:bookmarkEnd w:id="2471"/>
      <w:r>
        <w:fldChar w:fldCharType="begin"/>
      </w:r>
      <w:r>
        <w:instrText xml:space="preserve"> XE "greenMod (Green Modification)"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 xml:space="preserve">The standard states that </w:t>
      </w:r>
      <w:r>
        <w:rPr>
          <w:i/>
        </w:rPr>
        <w:t>ST_PositiveFixedPercentage is read and written as a percent with a trailing percent sign.</w:t>
      </w:r>
    </w:p>
    <w:p w:rsidR="000A156F" w:rsidRDefault="00A9721F">
      <w:pPr>
        <w:pStyle w:val="Definition-Field2"/>
      </w:pPr>
      <w:r>
        <w:t>Office will read in percentages formatted with a trailing percent sign or as 1000th of a percent without trailing percent sign, but only write out percentages as 1000</w:t>
      </w:r>
      <w:r>
        <w:t>th's of a percent without trailing percent sign.</w:t>
      </w:r>
    </w:p>
    <w:p w:rsidR="000A156F" w:rsidRDefault="00A9721F">
      <w:pPr>
        <w:pStyle w:val="Heading3"/>
      </w:pPr>
      <w:bookmarkStart w:id="2472" w:name="section_6608a2d4e5c74de28aa64977e614c1c5"/>
      <w:bookmarkStart w:id="2473" w:name="_Toc181684262"/>
      <w:r>
        <w:t>Part 1 Section 20.1.2.3.12, greenOff (Green Offset)</w:t>
      </w:r>
      <w:bookmarkEnd w:id="2472"/>
      <w:bookmarkEnd w:id="2473"/>
      <w:r>
        <w:fldChar w:fldCharType="begin"/>
      </w:r>
      <w:r>
        <w:instrText xml:space="preserve"> XE "greenOff (Green Offset)"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 xml:space="preserve">Office will read in percentages formatted with a trailing percent sign or as 1000th </w:t>
      </w:r>
      <w:r>
        <w:t>of a percent without trailing percent sign, but only write out percentages as 1000th's of a percent without trailing percent sign.</w:t>
      </w:r>
    </w:p>
    <w:p w:rsidR="000A156F" w:rsidRDefault="00A9721F">
      <w:pPr>
        <w:pStyle w:val="Heading3"/>
      </w:pPr>
      <w:bookmarkStart w:id="2474" w:name="section_3b541eefc2ea41349e73932962cedf9f"/>
      <w:bookmarkStart w:id="2475" w:name="_Toc181684263"/>
      <w:r>
        <w:t>Part 1 Section 20.1.2.3.13, hslClr (Hue, Saturation, Luminance Color Model)</w:t>
      </w:r>
      <w:bookmarkEnd w:id="2474"/>
      <w:bookmarkEnd w:id="2475"/>
      <w:r>
        <w:fldChar w:fldCharType="begin"/>
      </w:r>
      <w:r>
        <w:instrText xml:space="preserve"> XE "hslClr (Hue - Saturation - Luminance Color Mo</w:instrText>
      </w:r>
      <w:r>
        <w:instrText xml:space="preserve">del)" </w:instrText>
      </w:r>
      <w:r>
        <w:fldChar w:fldCharType="end"/>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Office will read in percentages formatted with a trailing percent sign or as 1000th of a percent without trailing percent sign,</w:t>
      </w:r>
      <w:r>
        <w:t xml:space="preserve"> but only write out percentages as 1000th's of a percent without trailing percent sign.</w:t>
      </w:r>
    </w:p>
    <w:p w:rsidR="000A156F" w:rsidRDefault="00A9721F">
      <w:pPr>
        <w:pStyle w:val="Heading3"/>
      </w:pPr>
      <w:bookmarkStart w:id="2476" w:name="section_6b2abb5b132d435c88e84f9c0294885f"/>
      <w:bookmarkStart w:id="2477" w:name="_Toc181684264"/>
      <w:r>
        <w:lastRenderedPageBreak/>
        <w:t>Part 1 Section 20.1.2.3.14, hue (Hue)</w:t>
      </w:r>
      <w:bookmarkEnd w:id="2476"/>
      <w:bookmarkEnd w:id="2477"/>
      <w:r>
        <w:fldChar w:fldCharType="begin"/>
      </w:r>
      <w:r>
        <w:instrText xml:space="preserve"> XE "hue (Hue)" </w:instrText>
      </w:r>
      <w:r>
        <w:fldChar w:fldCharType="end"/>
      </w:r>
    </w:p>
    <w:p w:rsidR="000A156F" w:rsidRDefault="00A9721F">
      <w:pPr>
        <w:pStyle w:val="Definition-Field"/>
      </w:pPr>
      <w:r>
        <w:t xml:space="preserve">a.   </w:t>
      </w:r>
      <w:r>
        <w:rPr>
          <w:i/>
        </w:rPr>
        <w:t>The standard states that ST_PositiveFixedPercentage is read and written as a percent with a trailing percen</w:t>
      </w:r>
      <w:r>
        <w:rPr>
          <w:i/>
        </w:rPr>
        <w:t>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without trailing percent sign.</w:t>
      </w:r>
    </w:p>
    <w:p w:rsidR="000A156F" w:rsidRDefault="00A9721F">
      <w:pPr>
        <w:pStyle w:val="Heading3"/>
      </w:pPr>
      <w:bookmarkStart w:id="2478" w:name="section_bb6242e7b6c5458c97a46e01f8544fbc"/>
      <w:bookmarkStart w:id="2479" w:name="_Toc181684265"/>
      <w:r>
        <w:t>Part 1 Section 20.1.2.3.15, hueMo</w:t>
      </w:r>
      <w:r>
        <w:t>d (Hue Modulate)</w:t>
      </w:r>
      <w:bookmarkEnd w:id="2478"/>
      <w:bookmarkEnd w:id="2479"/>
      <w:r>
        <w:fldChar w:fldCharType="begin"/>
      </w:r>
      <w:r>
        <w:instrText xml:space="preserve"> XE "hueMod (Hue Modulate)" </w:instrText>
      </w:r>
      <w:r>
        <w:fldChar w:fldCharType="end"/>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 xml:space="preserve">Office will read in percentages formatted with a trailing percent sign or as 1000th of a </w:t>
      </w:r>
      <w:r>
        <w:t>percent without trailing percent sign, but only write out percentages as 1000th's of a percent without trailing percent sign.</w:t>
      </w:r>
    </w:p>
    <w:p w:rsidR="000A156F" w:rsidRDefault="00A9721F">
      <w:pPr>
        <w:pStyle w:val="Heading3"/>
      </w:pPr>
      <w:bookmarkStart w:id="2480" w:name="section_2c21486a21e446728ef2c1a741771549"/>
      <w:bookmarkStart w:id="2481" w:name="_Toc181684266"/>
      <w:r>
        <w:t>Part 1 Section 20.1.2.3.16, hueOff (Hue Offset)</w:t>
      </w:r>
      <w:bookmarkEnd w:id="2480"/>
      <w:bookmarkEnd w:id="2481"/>
      <w:r>
        <w:fldChar w:fldCharType="begin"/>
      </w:r>
      <w:r>
        <w:instrText xml:space="preserve"> XE "hueOff (Hue Offset)" </w:instrText>
      </w:r>
      <w:r>
        <w:fldChar w:fldCharType="end"/>
      </w:r>
    </w:p>
    <w:p w:rsidR="000A156F" w:rsidRDefault="00A9721F">
      <w:pPr>
        <w:pStyle w:val="Definition-Field"/>
      </w:pPr>
      <w:r>
        <w:t xml:space="preserve">a.   </w:t>
      </w:r>
      <w:r>
        <w:rPr>
          <w:i/>
        </w:rPr>
        <w:t>The standard states that ST_PositiveFixedPercenta</w:t>
      </w:r>
      <w:r>
        <w:rPr>
          <w:i/>
        </w:rPr>
        <w:t>ge is read and written as a percent with a trailing percent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w:t>
      </w:r>
      <w:r>
        <w:t>t trailing percent sign.</w:t>
      </w:r>
    </w:p>
    <w:p w:rsidR="000A156F" w:rsidRDefault="00A9721F">
      <w:pPr>
        <w:pStyle w:val="Heading3"/>
      </w:pPr>
      <w:bookmarkStart w:id="2482" w:name="section_a71c29ec88db4dcc8e5ac4d216d68ea3"/>
      <w:bookmarkStart w:id="2483" w:name="_Toc181684267"/>
      <w:r>
        <w:t>Part 1 Section 20.1.2.3.19, lum (Luminance)</w:t>
      </w:r>
      <w:bookmarkEnd w:id="2482"/>
      <w:bookmarkEnd w:id="2483"/>
      <w:r>
        <w:fldChar w:fldCharType="begin"/>
      </w:r>
      <w:r>
        <w:instrText xml:space="preserve"> XE "lum (Luminance)"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w:t>
        </w:r>
        <w:r>
          <w:rPr>
            <w:rStyle w:val="Hyperlink"/>
          </w:rPr>
          <w:t>1.2.3.4(a)</w:t>
        </w:r>
      </w:hyperlink>
      <w:r>
        <w:rPr>
          <w:i/>
        </w:rPr>
        <w:t>.</w:t>
      </w:r>
    </w:p>
    <w:p w:rsidR="000A156F" w:rsidRDefault="00A9721F">
      <w:pPr>
        <w:pStyle w:val="Definition-Field"/>
      </w:pPr>
      <w:r>
        <w:t xml:space="preserve">a.   </w:t>
      </w:r>
      <w:r>
        <w:rPr>
          <w:i/>
        </w:rPr>
        <w:t>The standard allows luminance to be specified either as an attribute of a parent element or as a child element.</w:t>
      </w:r>
    </w:p>
    <w:p w:rsidR="000A156F" w:rsidRDefault="00A9721F">
      <w:pPr>
        <w:pStyle w:val="Definition-Field2"/>
      </w:pPr>
      <w:r>
        <w:t>In Office, using child element lum will override the corresponding value specified in a parent element and may produce unexpect</w:t>
      </w:r>
      <w:r>
        <w:t>ed color.</w:t>
      </w:r>
    </w:p>
    <w:p w:rsidR="000A156F" w:rsidRDefault="00A9721F">
      <w:pPr>
        <w:pStyle w:val="Definition-Field"/>
      </w:pPr>
      <w:r>
        <w:t xml:space="preserve">b.   </w:t>
      </w:r>
      <w:r>
        <w:rPr>
          <w:i/>
        </w:rPr>
        <w:t>The standard states that ST_PositiveFixedPercentage is read and written as a percent with a trailing percent sign.</w:t>
      </w:r>
    </w:p>
    <w:p w:rsidR="000A156F" w:rsidRDefault="00A9721F">
      <w:pPr>
        <w:pStyle w:val="Definition-Field2"/>
      </w:pPr>
      <w:r>
        <w:t>Office will read in percentages formatted with a trailing percent sign or as 1000th of a percent without trailing percent sign</w:t>
      </w:r>
      <w:r>
        <w:t>, but only write out percentages as 1000th's of a percent without trailing percent sign.</w:t>
      </w:r>
    </w:p>
    <w:p w:rsidR="000A156F" w:rsidRDefault="00A9721F">
      <w:pPr>
        <w:pStyle w:val="Heading3"/>
      </w:pPr>
      <w:bookmarkStart w:id="2484" w:name="section_bbae891601d748acae07ff5d30130967"/>
      <w:bookmarkStart w:id="2485" w:name="_Toc181684268"/>
      <w:r>
        <w:t>Part 1 Section 20.1.2.3.20, lumMod (Luminance Modulation)</w:t>
      </w:r>
      <w:bookmarkEnd w:id="2484"/>
      <w:bookmarkEnd w:id="2485"/>
      <w:r>
        <w:fldChar w:fldCharType="begin"/>
      </w:r>
      <w:r>
        <w:instrText xml:space="preserve"> XE "lumMod (Luminance Modulation)" </w:instrText>
      </w:r>
      <w:r>
        <w:fldChar w:fldCharType="end"/>
      </w:r>
    </w:p>
    <w:p w:rsidR="000A156F" w:rsidRDefault="00A9721F">
      <w:pPr>
        <w:pStyle w:val="Definition-Field2"/>
      </w:pPr>
      <w:r>
        <w:rPr>
          <w:i/>
        </w:rPr>
        <w:t>For additional notes that apply to this portion of the standard, please</w:t>
      </w:r>
      <w:r>
        <w:rPr>
          <w:i/>
        </w:rPr>
        <w:t xml:space="preserv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 xml:space="preserve">Office will read in percentages </w:t>
      </w:r>
      <w:r>
        <w:t>formatted with a trailing percent sign or as 1000th of a percent without trailing percent sign, but only write out percentages as 1000th's of a percent without trailing percent sign.</w:t>
      </w:r>
    </w:p>
    <w:p w:rsidR="000A156F" w:rsidRDefault="00A9721F">
      <w:pPr>
        <w:pStyle w:val="Heading3"/>
      </w:pPr>
      <w:bookmarkStart w:id="2486" w:name="section_fa8c6409ddd046bdb9950b00342d9aeb"/>
      <w:bookmarkStart w:id="2487" w:name="_Toc181684269"/>
      <w:r>
        <w:lastRenderedPageBreak/>
        <w:t>Part 1 Section 20.1.2.3.21, lumOff (Luminance Offset)</w:t>
      </w:r>
      <w:bookmarkEnd w:id="2486"/>
      <w:bookmarkEnd w:id="2487"/>
      <w:r>
        <w:fldChar w:fldCharType="begin"/>
      </w:r>
      <w:r>
        <w:instrText xml:space="preserve"> XE "lumOff (Luminan</w:instrText>
      </w:r>
      <w:r>
        <w:instrText xml:space="preserve">ce Offset)"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 xml:space="preserve">The standard states that element lumOff shifts the input </w:t>
      </w:r>
      <w:r>
        <w:rPr>
          <w:i/>
        </w:rPr>
        <w:t>color's luminance while leaving hue and saturation unchanged.</w:t>
      </w:r>
    </w:p>
    <w:p w:rsidR="000A156F" w:rsidRDefault="00A9721F">
      <w:pPr>
        <w:pStyle w:val="Definition-Field2"/>
      </w:pPr>
      <w:r>
        <w:t>This element is not supported by Office and may produce unexpected color.</w:t>
      </w:r>
    </w:p>
    <w:p w:rsidR="000A156F" w:rsidRDefault="00A9721F">
      <w:pPr>
        <w:pStyle w:val="Definition-Field"/>
      </w:pPr>
      <w:r>
        <w:t xml:space="preserve">b.   </w:t>
      </w:r>
      <w:r>
        <w:rPr>
          <w:i/>
        </w:rPr>
        <w:t>The standard states that ST_PositiveFixedPercentage is read and written as a percent with a trailing percent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without trailing percent sign.</w:t>
      </w:r>
    </w:p>
    <w:p w:rsidR="000A156F" w:rsidRDefault="00A9721F">
      <w:pPr>
        <w:pStyle w:val="Heading3"/>
      </w:pPr>
      <w:bookmarkStart w:id="2488" w:name="section_848c9693a3484120b597e50b34988b5a"/>
      <w:bookmarkStart w:id="2489" w:name="_Toc181684270"/>
      <w:r>
        <w:t>Part 1 Section 20.1.2.3.22, prstClr (Pres</w:t>
      </w:r>
      <w:r>
        <w:t>et Color)</w:t>
      </w:r>
      <w:bookmarkEnd w:id="2488"/>
      <w:bookmarkEnd w:id="2489"/>
      <w:r>
        <w:fldChar w:fldCharType="begin"/>
      </w:r>
      <w:r>
        <w:instrText xml:space="preserve"> XE "prstClr (Preset Color)"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Office requires the val attribute.</w:t>
      </w:r>
    </w:p>
    <w:p w:rsidR="000A156F" w:rsidRDefault="00A9721F">
      <w:pPr>
        <w:pStyle w:val="Heading3"/>
      </w:pPr>
      <w:bookmarkStart w:id="2490" w:name="section_b7378f270ccb4534905a6b72f3629e84"/>
      <w:bookmarkStart w:id="2491" w:name="_Toc181684271"/>
      <w:r>
        <w:t>Part 1 Section 20.1.2.3.23, red (Red)</w:t>
      </w:r>
      <w:bookmarkEnd w:id="2490"/>
      <w:bookmarkEnd w:id="2491"/>
      <w:r>
        <w:fldChar w:fldCharType="begin"/>
      </w:r>
      <w:r>
        <w:instrText xml:space="preserve"> XE "red (Red)" </w:instrText>
      </w:r>
      <w:r>
        <w:fldChar w:fldCharType="end"/>
      </w:r>
    </w:p>
    <w:p w:rsidR="000A156F" w:rsidRDefault="00A9721F">
      <w:pPr>
        <w:pStyle w:val="Definition-Field2"/>
      </w:pPr>
      <w:r>
        <w:rPr>
          <w:i/>
        </w:rPr>
        <w:t>For additional notes that apply to this portion of the standar</w:t>
      </w:r>
      <w:r>
        <w:rPr>
          <w:i/>
        </w:rPr>
        <w:t xml:space="preserve">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Office will read in per</w:t>
      </w:r>
      <w:r>
        <w:t>centages formatted with a trailing percent sign or as 1000th of a percent without trailing percent sign, but only write out percentages as 1000th's of a percent without trailing percent sign.</w:t>
      </w:r>
    </w:p>
    <w:p w:rsidR="000A156F" w:rsidRDefault="00A9721F">
      <w:pPr>
        <w:pStyle w:val="Heading3"/>
      </w:pPr>
      <w:bookmarkStart w:id="2492" w:name="section_3bbe53b4cdef4500a740b6d7db05ff8d"/>
      <w:bookmarkStart w:id="2493" w:name="_Toc181684272"/>
      <w:r>
        <w:t>Part 1 Section 20.1.2.3.24, redMod (Red Modulation)</w:t>
      </w:r>
      <w:bookmarkEnd w:id="2492"/>
      <w:bookmarkEnd w:id="2493"/>
      <w:r>
        <w:fldChar w:fldCharType="begin"/>
      </w:r>
      <w:r>
        <w:instrText xml:space="preserve"> XE "redMod (</w:instrText>
      </w:r>
      <w:r>
        <w:instrText xml:space="preserve">Red Modulation)"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The standard states that ST_PositiveFixedPercentage is r</w:t>
      </w:r>
      <w:r>
        <w:rPr>
          <w:i/>
        </w:rPr>
        <w:t>ead and written as a percent with a trailing percent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without trail</w:t>
      </w:r>
      <w:r>
        <w:t>ing percent sign.</w:t>
      </w:r>
    </w:p>
    <w:p w:rsidR="000A156F" w:rsidRDefault="00A9721F">
      <w:pPr>
        <w:pStyle w:val="Heading3"/>
      </w:pPr>
      <w:bookmarkStart w:id="2494" w:name="section_7324b5d8d9cb4b22b0a1bb247e1b9244"/>
      <w:bookmarkStart w:id="2495" w:name="_Toc181684273"/>
      <w:r>
        <w:t>Part 1 Section 20.1.2.3.25, redOff (Red Offset)</w:t>
      </w:r>
      <w:bookmarkEnd w:id="2494"/>
      <w:bookmarkEnd w:id="2495"/>
      <w:r>
        <w:fldChar w:fldCharType="begin"/>
      </w:r>
      <w:r>
        <w:instrText xml:space="preserve"> XE "redOff (Red Offset)"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w:t>
        </w:r>
        <w:r>
          <w:rPr>
            <w:rStyle w:val="Hyperlink"/>
          </w:rPr>
          <w:t>.1.2.3.4(a)</w:t>
        </w:r>
      </w:hyperlink>
      <w:r>
        <w:rPr>
          <w:i/>
        </w:rPr>
        <w:t>.</w:t>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Office will read in percentages formatted with a trailing percent sign or as 1000th of a percent without trailing percent s</w:t>
      </w:r>
      <w:r>
        <w:t>ign, but only write out percentages as 1000th's of a percent without trailing percent sign.</w:t>
      </w:r>
    </w:p>
    <w:p w:rsidR="000A156F" w:rsidRDefault="00A9721F">
      <w:pPr>
        <w:pStyle w:val="Heading3"/>
      </w:pPr>
      <w:bookmarkStart w:id="2496" w:name="section_6e285ca361b94a4093beaf70277dcd71"/>
      <w:bookmarkStart w:id="2497" w:name="_Toc181684274"/>
      <w:r>
        <w:lastRenderedPageBreak/>
        <w:t>Part 1 Section 20.1.2.3.26, sat (Saturation)</w:t>
      </w:r>
      <w:bookmarkEnd w:id="2496"/>
      <w:bookmarkEnd w:id="2497"/>
      <w:r>
        <w:fldChar w:fldCharType="begin"/>
      </w:r>
      <w:r>
        <w:instrText xml:space="preserve"> XE "sat (Saturation)"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The standard allows saturation to be specified either as an attribute of a parent element or as a child element.</w:t>
      </w:r>
    </w:p>
    <w:p w:rsidR="000A156F" w:rsidRDefault="00A9721F">
      <w:pPr>
        <w:pStyle w:val="Definition-Field2"/>
      </w:pPr>
      <w:r>
        <w:t>In Office, using child element sat will override the corr</w:t>
      </w:r>
      <w:r>
        <w:t>esponding value specified in a parent element and may produce unexpected color.</w:t>
      </w:r>
    </w:p>
    <w:p w:rsidR="000A156F" w:rsidRDefault="00A9721F">
      <w:pPr>
        <w:pStyle w:val="Definition-Field"/>
      </w:pPr>
      <w:r>
        <w:t xml:space="preserve">b.   </w:t>
      </w:r>
      <w:r>
        <w:rPr>
          <w:i/>
        </w:rPr>
        <w:t>The standard states that ST_Percentage is read and written as a percent with a trailing percent sign.</w:t>
      </w:r>
    </w:p>
    <w:p w:rsidR="000A156F" w:rsidRDefault="00A9721F">
      <w:pPr>
        <w:pStyle w:val="Definition-Field2"/>
      </w:pPr>
      <w:r>
        <w:t xml:space="preserve">Office will read in percentages formatted with a trailing percent </w:t>
      </w:r>
      <w:r>
        <w:t>sign or as 1000th of a percent without trailing percent sign, but only write out percentages as 1000th's of a percent without trailing percent sign.</w:t>
      </w:r>
    </w:p>
    <w:p w:rsidR="000A156F" w:rsidRDefault="00A9721F">
      <w:pPr>
        <w:pStyle w:val="Heading3"/>
      </w:pPr>
      <w:bookmarkStart w:id="2498" w:name="section_157e57919c514251ae907dd58ae69778"/>
      <w:bookmarkStart w:id="2499" w:name="_Toc181684275"/>
      <w:r>
        <w:t>Part 1 Section 20.1.2.3.27, satMod (Saturation Modulation)</w:t>
      </w:r>
      <w:bookmarkEnd w:id="2498"/>
      <w:bookmarkEnd w:id="2499"/>
      <w:r>
        <w:fldChar w:fldCharType="begin"/>
      </w:r>
      <w:r>
        <w:instrText xml:space="preserve"> XE "satMod (Saturation Modulation)" </w:instrText>
      </w:r>
      <w:r>
        <w:fldChar w:fldCharType="end"/>
      </w:r>
    </w:p>
    <w:p w:rsidR="000A156F" w:rsidRDefault="00A9721F">
      <w:pPr>
        <w:pStyle w:val="Definition-Field2"/>
      </w:pPr>
      <w:r>
        <w:rPr>
          <w:i/>
        </w:rPr>
        <w:t>For addit</w:t>
      </w:r>
      <w:r>
        <w:rPr>
          <w:i/>
        </w:rPr>
        <w:t xml:space="preserve">ional notes that apply to this portion of the standard, please see the notes for </w:t>
      </w:r>
      <w:hyperlink w:anchor="Section_609636d541304679b9b8eebaa8424ae7">
        <w:r>
          <w:rPr>
            <w:rStyle w:val="Hyperlink"/>
          </w:rPr>
          <w:t>blue, §20.1.2.3.4(a)</w:t>
        </w:r>
      </w:hyperlink>
      <w:r>
        <w:rPr>
          <w:i/>
        </w:rPr>
        <w:t>.</w:t>
      </w:r>
    </w:p>
    <w:p w:rsidR="000A156F" w:rsidRDefault="00A9721F">
      <w:pPr>
        <w:pStyle w:val="Definition-Field"/>
      </w:pPr>
      <w:r>
        <w:t xml:space="preserve">a.   </w:t>
      </w:r>
      <w:r>
        <w:rPr>
          <w:i/>
        </w:rPr>
        <w:t>The standard states that ST_Percentage is read and written as a percent with a traili</w:t>
      </w:r>
      <w:r>
        <w:rPr>
          <w:i/>
        </w:rPr>
        <w:t>ng percent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without trailing percent sign.</w:t>
      </w:r>
    </w:p>
    <w:p w:rsidR="000A156F" w:rsidRDefault="00A9721F">
      <w:pPr>
        <w:pStyle w:val="Heading3"/>
      </w:pPr>
      <w:bookmarkStart w:id="2500" w:name="section_4739545ec381406d9f092fcbe7d8e3af"/>
      <w:bookmarkStart w:id="2501" w:name="_Toc181684276"/>
      <w:r>
        <w:t>Part 1 Section 20.1.2.3.28, satOff (Saturation Offset)</w:t>
      </w:r>
      <w:bookmarkEnd w:id="2500"/>
      <w:bookmarkEnd w:id="2501"/>
      <w:r>
        <w:fldChar w:fldCharType="begin"/>
      </w:r>
      <w:r>
        <w:instrText xml:space="preserve"> XE "satOff (Saturation Offset)"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09636d541304679b9b8eebaa8424ae7">
        <w:r>
          <w:rPr>
            <w:rStyle w:val="Hyperlink"/>
          </w:rPr>
          <w:t>blue, §20.1.2</w:t>
        </w:r>
        <w:r>
          <w:rPr>
            <w:rStyle w:val="Hyperlink"/>
          </w:rPr>
          <w:t>.3.4(a)</w:t>
        </w:r>
      </w:hyperlink>
      <w:r>
        <w:rPr>
          <w:i/>
        </w:rPr>
        <w:t>.</w:t>
      </w:r>
    </w:p>
    <w:p w:rsidR="000A156F" w:rsidRDefault="00A9721F">
      <w:pPr>
        <w:pStyle w:val="Definition-Field"/>
      </w:pPr>
      <w:r>
        <w:t xml:space="preserve">a.   </w:t>
      </w:r>
      <w:r>
        <w:rPr>
          <w:i/>
        </w:rPr>
        <w:t>The standard states that element satOff shifts the input color's saturation while leaving hue and luminance unchanged.</w:t>
      </w:r>
    </w:p>
    <w:p w:rsidR="000A156F" w:rsidRDefault="00A9721F">
      <w:pPr>
        <w:pStyle w:val="Definition-Field2"/>
      </w:pPr>
      <w:r>
        <w:t>This element is not supported by Office and may produce unexpected color.</w:t>
      </w:r>
    </w:p>
    <w:p w:rsidR="000A156F" w:rsidRDefault="00A9721F">
      <w:pPr>
        <w:pStyle w:val="Definition-Field"/>
      </w:pPr>
      <w:r>
        <w:t xml:space="preserve">b.   </w:t>
      </w:r>
      <w:r>
        <w:rPr>
          <w:i/>
        </w:rPr>
        <w:t>The standard states that ST_Percentage is re</w:t>
      </w:r>
      <w:r>
        <w:rPr>
          <w:i/>
        </w:rPr>
        <w:t>ad and written as a percent with a trailing percent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without traili</w:t>
      </w:r>
      <w:r>
        <w:t>ng percent sign.</w:t>
      </w:r>
    </w:p>
    <w:p w:rsidR="000A156F" w:rsidRDefault="00A9721F">
      <w:pPr>
        <w:pStyle w:val="Heading3"/>
      </w:pPr>
      <w:bookmarkStart w:id="2502" w:name="section_948409b090f74b6a85ee2e3eefa3d0fd"/>
      <w:bookmarkStart w:id="2503" w:name="_Toc181684277"/>
      <w:r>
        <w:t>Part 1 Section 20.1.2.3.31, shade (Shade)</w:t>
      </w:r>
      <w:bookmarkEnd w:id="2502"/>
      <w:bookmarkEnd w:id="2503"/>
      <w:r>
        <w:fldChar w:fldCharType="begin"/>
      </w:r>
      <w:r>
        <w:instrText xml:space="preserve"> XE "shade (Shade)"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Office will read in percentages formatted with a trailing percent sign or as 1000th of a percent without trailing percent sign, but onl</w:t>
      </w:r>
      <w:r>
        <w:t>y write out percentages as 1000th's of a percent without trailing percent sign.</w:t>
      </w:r>
    </w:p>
    <w:p w:rsidR="000A156F" w:rsidRDefault="00A9721F">
      <w:pPr>
        <w:pStyle w:val="Heading3"/>
      </w:pPr>
      <w:bookmarkStart w:id="2504" w:name="section_cfb7a112dc1944ab9defbe5e19198aca"/>
      <w:bookmarkStart w:id="2505" w:name="_Toc181684278"/>
      <w:r>
        <w:lastRenderedPageBreak/>
        <w:t>Part 1 Section 20.1.2.3.33, sysClr (System Color)</w:t>
      </w:r>
      <w:bookmarkEnd w:id="2504"/>
      <w:bookmarkEnd w:id="2505"/>
      <w:r>
        <w:fldChar w:fldCharType="begin"/>
      </w:r>
      <w:r>
        <w:instrText xml:space="preserve"> XE "sysClr (System Color)" </w:instrText>
      </w:r>
      <w:r>
        <w:fldChar w:fldCharType="end"/>
      </w:r>
    </w:p>
    <w:p w:rsidR="000A156F" w:rsidRDefault="00A9721F">
      <w:pPr>
        <w:pStyle w:val="Definition-Field"/>
      </w:pPr>
      <w:r>
        <w:t xml:space="preserve">a.   </w:t>
      </w:r>
      <w:r>
        <w:rPr>
          <w:i/>
        </w:rPr>
        <w:t>The standard does not fully describe the lastClr attribute.</w:t>
      </w:r>
    </w:p>
    <w:p w:rsidR="000A156F" w:rsidRDefault="00A9721F">
      <w:pPr>
        <w:pStyle w:val="Definition-Field2"/>
      </w:pPr>
      <w:r>
        <w:t>In Office, lastClr is an option</w:t>
      </w:r>
      <w:r>
        <w:t>al attribute that stores the RGB value of the last sysClr used.</w:t>
      </w:r>
    </w:p>
    <w:p w:rsidR="000A156F" w:rsidRDefault="00A9721F">
      <w:pPr>
        <w:pStyle w:val="Heading3"/>
      </w:pPr>
      <w:bookmarkStart w:id="2506" w:name="section_376a958553ee4ab69a86b58cafd200ba"/>
      <w:bookmarkStart w:id="2507" w:name="_Toc181684279"/>
      <w:r>
        <w:t>Part 1 Section 20.1.2.3.34, tint (Tint)</w:t>
      </w:r>
      <w:bookmarkEnd w:id="2506"/>
      <w:bookmarkEnd w:id="2507"/>
      <w:r>
        <w:fldChar w:fldCharType="begin"/>
      </w:r>
      <w:r>
        <w:instrText xml:space="preserve"> XE "tint (Tint)"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Office will read in percentages formatted with a trailing percent sign or as 1000th of a per</w:t>
      </w:r>
      <w:r>
        <w:t>cent without trailing percent sign, but only write out percentages as 1000th's of a percent without trailing percent sign.</w:t>
      </w:r>
    </w:p>
    <w:p w:rsidR="000A156F" w:rsidRDefault="00A9721F">
      <w:pPr>
        <w:pStyle w:val="Heading3"/>
      </w:pPr>
      <w:bookmarkStart w:id="2508" w:name="section_04a1b8020388451d8a1adc77e7b6e7fb"/>
      <w:bookmarkStart w:id="2509" w:name="_Toc181684280"/>
      <w:r>
        <w:t>Part 1 Section 20.1.3.2, audioFile (Audio from File)</w:t>
      </w:r>
      <w:bookmarkEnd w:id="2508"/>
      <w:bookmarkEnd w:id="2509"/>
      <w:r>
        <w:fldChar w:fldCharType="begin"/>
      </w:r>
      <w:r>
        <w:instrText xml:space="preserve"> XE "audioFile (Audio from File)" </w:instrText>
      </w:r>
      <w:r>
        <w:fldChar w:fldCharType="end"/>
      </w:r>
    </w:p>
    <w:p w:rsidR="000A156F" w:rsidRDefault="00A9721F">
      <w:pPr>
        <w:pStyle w:val="Definition-Field"/>
      </w:pPr>
      <w:r>
        <w:t xml:space="preserve">a.   </w:t>
      </w:r>
      <w:r>
        <w:rPr>
          <w:i/>
        </w:rPr>
        <w:t>The standard specifies the optional con</w:t>
      </w:r>
      <w:r>
        <w:rPr>
          <w:i/>
        </w:rPr>
        <w:t>tentType attribute for videoFile element.</w:t>
      </w:r>
    </w:p>
    <w:p w:rsidR="000A156F" w:rsidRDefault="00A9721F">
      <w:pPr>
        <w:pStyle w:val="Definition-Field2"/>
      </w:pPr>
      <w:r>
        <w:t>Office ignores the optional contentType attribute and does not round trip the attribute on saving a file that contains the attribute at load time.</w:t>
      </w:r>
    </w:p>
    <w:p w:rsidR="000A156F" w:rsidRDefault="00A9721F">
      <w:pPr>
        <w:pStyle w:val="Heading3"/>
      </w:pPr>
      <w:bookmarkStart w:id="2510" w:name="section_2c068059663f4dd795aa2cbc325caff6"/>
      <w:bookmarkStart w:id="2511" w:name="_Toc181684281"/>
      <w:r>
        <w:t>Part 1 Section 20.1.3.3, end (Audio End Time)</w:t>
      </w:r>
      <w:bookmarkEnd w:id="2510"/>
      <w:bookmarkEnd w:id="2511"/>
      <w:r>
        <w:fldChar w:fldCharType="begin"/>
      </w:r>
      <w:r>
        <w:instrText xml:space="preserve"> XE "end (Audio End Ti</w:instrText>
      </w:r>
      <w:r>
        <w:instrText xml:space="preserve">me)" </w:instrText>
      </w:r>
      <w:r>
        <w:fldChar w:fldCharType="end"/>
      </w:r>
    </w:p>
    <w:p w:rsidR="000A156F" w:rsidRDefault="00A9721F">
      <w:pPr>
        <w:pStyle w:val="Definition-Field"/>
      </w:pPr>
      <w:r>
        <w:t xml:space="preserve">a.   </w:t>
      </w:r>
      <w:r>
        <w:rPr>
          <w:i/>
        </w:rPr>
        <w:t>The standard uses common attribute descriptions for 'time' and 'track' that are shared by both 'st' and 'end' elements.</w:t>
      </w:r>
    </w:p>
    <w:p w:rsidR="000A156F" w:rsidRDefault="00A9721F">
      <w:pPr>
        <w:pStyle w:val="Definition-Field2"/>
      </w:pPr>
      <w:r>
        <w:t>In Office, the time attribute specifies the time in seconds that the CD audio should be started on at or stopped at while t</w:t>
      </w:r>
      <w:r>
        <w:t>he track attribute specifies the track of the CD the audio will begin on or stop at.</w:t>
      </w:r>
    </w:p>
    <w:p w:rsidR="000A156F" w:rsidRDefault="00A9721F">
      <w:pPr>
        <w:pStyle w:val="Heading3"/>
      </w:pPr>
      <w:bookmarkStart w:id="2512" w:name="section_05bb8be40b9c4be78eab1335e1d2d61c"/>
      <w:bookmarkStart w:id="2513" w:name="_Toc181684282"/>
      <w:r>
        <w:t>Part 1 Section 20.1.3.5, st (Audio Start Time)</w:t>
      </w:r>
      <w:bookmarkEnd w:id="2512"/>
      <w:bookmarkEnd w:id="2513"/>
      <w:r>
        <w:fldChar w:fldCharType="begin"/>
      </w:r>
      <w:r>
        <w:instrText xml:space="preserve"> XE "st (Audio Start Time)"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0A156F" w:rsidRDefault="00A9721F">
      <w:pPr>
        <w:pStyle w:val="Heading3"/>
      </w:pPr>
      <w:bookmarkStart w:id="2514" w:name="section_1d9021fb7aa149c48f2d691a1c6684ad"/>
      <w:bookmarkStart w:id="2515" w:name="_Toc181684283"/>
      <w:r>
        <w:t>Part 1 Section 20.1.3.6, videoFile (Video from File)</w:t>
      </w:r>
      <w:bookmarkEnd w:id="2514"/>
      <w:bookmarkEnd w:id="2515"/>
      <w:r>
        <w:fldChar w:fldCharType="begin"/>
      </w:r>
      <w:r>
        <w:instrText xml:space="preserve"> XE "videoFile (Video from File)" </w:instrText>
      </w:r>
      <w:r>
        <w:fldChar w:fldCharType="end"/>
      </w:r>
    </w:p>
    <w:p w:rsidR="000A156F" w:rsidRDefault="00A9721F">
      <w:pPr>
        <w:pStyle w:val="Definition-Field"/>
      </w:pPr>
      <w:r>
        <w:t xml:space="preserve">a.   </w:t>
      </w:r>
      <w:r>
        <w:rPr>
          <w:i/>
        </w:rPr>
        <w:t>The standard specifies the optional contentType attribute for videoFile element.</w:t>
      </w:r>
    </w:p>
    <w:p w:rsidR="000A156F" w:rsidRDefault="00A9721F">
      <w:pPr>
        <w:pStyle w:val="Definition-Field2"/>
      </w:pPr>
      <w:r>
        <w:t>O</w:t>
      </w:r>
      <w:r>
        <w:t>ffice ignores the optional contentType attribute and does not round trip the attribute on saving a file that contains the attribute at load time.</w:t>
      </w:r>
    </w:p>
    <w:p w:rsidR="000A156F" w:rsidRDefault="00A9721F">
      <w:pPr>
        <w:pStyle w:val="Heading3"/>
      </w:pPr>
      <w:bookmarkStart w:id="2516" w:name="section_200a8e888d524d2a82f76383fea2caea"/>
      <w:bookmarkStart w:id="2517" w:name="_Toc181684284"/>
      <w:r>
        <w:t>Part 1 Section 20.1.4.1.1, accent1 (Accent 1)</w:t>
      </w:r>
      <w:bookmarkEnd w:id="2516"/>
      <w:bookmarkEnd w:id="2517"/>
      <w:r>
        <w:fldChar w:fldCharType="begin"/>
      </w:r>
      <w:r>
        <w:instrText xml:space="preserve"> XE "accent1 (Accent 1)" </w:instrText>
      </w:r>
      <w:r>
        <w:fldChar w:fldCharType="end"/>
      </w:r>
    </w:p>
    <w:p w:rsidR="000A156F" w:rsidRDefault="00A9721F">
      <w:pPr>
        <w:pStyle w:val="Definition-Field"/>
      </w:pPr>
      <w:r>
        <w:t xml:space="preserve">a.   </w:t>
      </w:r>
      <w:r>
        <w:rPr>
          <w:i/>
        </w:rPr>
        <w:t xml:space="preserve">The standard allows the element </w:t>
      </w:r>
      <w:r>
        <w:rPr>
          <w:i/>
        </w:rPr>
        <w:t>schemeClr as a child of the parent element clrScheme.</w:t>
      </w:r>
    </w:p>
    <w:p w:rsidR="000A156F" w:rsidRDefault="00A9721F">
      <w:pPr>
        <w:pStyle w:val="Definition-Field2"/>
      </w:pPr>
      <w:r>
        <w:t>Office does not allow schemeClr as a child of the parent element clrScheme.</w:t>
      </w:r>
    </w:p>
    <w:p w:rsidR="000A156F" w:rsidRDefault="00A9721F">
      <w:pPr>
        <w:pStyle w:val="Heading3"/>
      </w:pPr>
      <w:bookmarkStart w:id="2518" w:name="section_ec6649f3feb54cbe86ad01f9e1778091"/>
      <w:bookmarkStart w:id="2519" w:name="_Toc181684285"/>
      <w:r>
        <w:t>Part 1 Section 20.1.4.1.2, accent2 (Accent 2)</w:t>
      </w:r>
      <w:bookmarkEnd w:id="2518"/>
      <w:bookmarkEnd w:id="2519"/>
      <w:r>
        <w:fldChar w:fldCharType="begin"/>
      </w:r>
      <w:r>
        <w:instrText xml:space="preserve"> XE "accent2 (Accent 2)" </w:instrText>
      </w:r>
      <w:r>
        <w:fldChar w:fldCharType="end"/>
      </w:r>
    </w:p>
    <w:p w:rsidR="000A156F" w:rsidRDefault="00A9721F">
      <w:pPr>
        <w:pStyle w:val="Definition-Field"/>
      </w:pPr>
      <w:r>
        <w:t xml:space="preserve">a.   </w:t>
      </w:r>
      <w:r>
        <w:rPr>
          <w:i/>
        </w:rPr>
        <w:t>The standard allows the element schemeClr as a c</w:t>
      </w:r>
      <w:r>
        <w:rPr>
          <w:i/>
        </w:rPr>
        <w:t>hild of the parent element clrScheme.</w:t>
      </w:r>
    </w:p>
    <w:p w:rsidR="000A156F" w:rsidRDefault="00A9721F">
      <w:pPr>
        <w:pStyle w:val="Definition-Field2"/>
      </w:pPr>
      <w:r>
        <w:lastRenderedPageBreak/>
        <w:t>Office does not allow schemeClr as a child of the parent element clrScheme.</w:t>
      </w:r>
    </w:p>
    <w:p w:rsidR="000A156F" w:rsidRDefault="00A9721F">
      <w:pPr>
        <w:pStyle w:val="Heading3"/>
      </w:pPr>
      <w:bookmarkStart w:id="2520" w:name="section_10b90b6cd8764335961999f0786d0eab"/>
      <w:bookmarkStart w:id="2521" w:name="_Toc181684286"/>
      <w:r>
        <w:t>Part 1 Section 20.1.4.1.3, accent3 (Accent 3)</w:t>
      </w:r>
      <w:bookmarkEnd w:id="2520"/>
      <w:bookmarkEnd w:id="2521"/>
      <w:r>
        <w:fldChar w:fldCharType="begin"/>
      </w:r>
      <w:r>
        <w:instrText xml:space="preserve"> XE "accent3 (Accent 3)" </w:instrText>
      </w:r>
      <w:r>
        <w:fldChar w:fldCharType="end"/>
      </w:r>
    </w:p>
    <w:p w:rsidR="000A156F" w:rsidRDefault="00A9721F">
      <w:pPr>
        <w:pStyle w:val="Definition-Field"/>
      </w:pPr>
      <w:r>
        <w:t xml:space="preserve">a.   </w:t>
      </w:r>
      <w:r>
        <w:rPr>
          <w:i/>
        </w:rPr>
        <w:t>The standard allows the element schemeClr as a child of the pare</w:t>
      </w:r>
      <w:r>
        <w:rPr>
          <w:i/>
        </w:rPr>
        <w:t>nt element clrScheme.</w:t>
      </w:r>
    </w:p>
    <w:p w:rsidR="000A156F" w:rsidRDefault="00A9721F">
      <w:pPr>
        <w:pStyle w:val="Definition-Field2"/>
      </w:pPr>
      <w:r>
        <w:t>Office does not allow schemeClr as a child of the parent element clrScheme.</w:t>
      </w:r>
    </w:p>
    <w:p w:rsidR="000A156F" w:rsidRDefault="00A9721F">
      <w:pPr>
        <w:pStyle w:val="Heading3"/>
      </w:pPr>
      <w:bookmarkStart w:id="2522" w:name="section_637470bc3bf64eb087c9f25e1a35cef4"/>
      <w:bookmarkStart w:id="2523" w:name="_Toc181684287"/>
      <w:r>
        <w:t>Part 1 Section 20.1.4.1.4, accent4 (Accent 4)</w:t>
      </w:r>
      <w:bookmarkEnd w:id="2522"/>
      <w:bookmarkEnd w:id="2523"/>
      <w:r>
        <w:fldChar w:fldCharType="begin"/>
      </w:r>
      <w:r>
        <w:instrText xml:space="preserve"> XE "accent4 (Accent 4)" </w:instrText>
      </w:r>
      <w:r>
        <w:fldChar w:fldCharType="end"/>
      </w:r>
    </w:p>
    <w:p w:rsidR="000A156F" w:rsidRDefault="00A9721F">
      <w:pPr>
        <w:pStyle w:val="Definition-Field"/>
      </w:pPr>
      <w:r>
        <w:t xml:space="preserve">a.   </w:t>
      </w:r>
      <w:r>
        <w:rPr>
          <w:i/>
        </w:rPr>
        <w:t>The standard allows the element schemeClr as a child of the parent element clrSc</w:t>
      </w:r>
      <w:r>
        <w:rPr>
          <w:i/>
        </w:rPr>
        <w:t>heme.</w:t>
      </w:r>
    </w:p>
    <w:p w:rsidR="000A156F" w:rsidRDefault="00A9721F">
      <w:pPr>
        <w:pStyle w:val="Definition-Field2"/>
      </w:pPr>
      <w:r>
        <w:t>Office does not allow schemeClr as a child of the parent element clrScheme.</w:t>
      </w:r>
    </w:p>
    <w:p w:rsidR="000A156F" w:rsidRDefault="00A9721F">
      <w:pPr>
        <w:pStyle w:val="Heading3"/>
      </w:pPr>
      <w:bookmarkStart w:id="2524" w:name="section_1687400204664c2ba60db62f9d42590a"/>
      <w:bookmarkStart w:id="2525" w:name="_Toc181684288"/>
      <w:r>
        <w:t>Part 1 Section 20.1.4.1.5, accent5 (Accent 5)</w:t>
      </w:r>
      <w:bookmarkEnd w:id="2524"/>
      <w:bookmarkEnd w:id="2525"/>
      <w:r>
        <w:fldChar w:fldCharType="begin"/>
      </w:r>
      <w:r>
        <w:instrText xml:space="preserve"> XE "accent5 (Accent 5)" </w:instrText>
      </w:r>
      <w:r>
        <w:fldChar w:fldCharType="end"/>
      </w:r>
    </w:p>
    <w:p w:rsidR="000A156F" w:rsidRDefault="00A9721F">
      <w:pPr>
        <w:pStyle w:val="Definition-Field"/>
      </w:pPr>
      <w:r>
        <w:t xml:space="preserve">a.   </w:t>
      </w:r>
      <w:r>
        <w:rPr>
          <w:i/>
        </w:rPr>
        <w:t>The standard allows the element schemeClr as a child of the parent element clrScheme.</w:t>
      </w:r>
    </w:p>
    <w:p w:rsidR="000A156F" w:rsidRDefault="00A9721F">
      <w:pPr>
        <w:pStyle w:val="Definition-Field2"/>
      </w:pPr>
      <w:r>
        <w:t>Office doe</w:t>
      </w:r>
      <w:r>
        <w:t>s not allow schemeClr as a child of the parent element clrScheme.</w:t>
      </w:r>
    </w:p>
    <w:p w:rsidR="000A156F" w:rsidRDefault="00A9721F">
      <w:pPr>
        <w:pStyle w:val="Heading3"/>
      </w:pPr>
      <w:bookmarkStart w:id="2526" w:name="section_c92f3b2e902f44ef9760d39d261e1d5b"/>
      <w:bookmarkStart w:id="2527" w:name="_Toc181684289"/>
      <w:r>
        <w:t>Part 1 Section 20.1.4.1.6, accent6 (Accent 6)</w:t>
      </w:r>
      <w:bookmarkEnd w:id="2526"/>
      <w:bookmarkEnd w:id="2527"/>
      <w:r>
        <w:fldChar w:fldCharType="begin"/>
      </w:r>
      <w:r>
        <w:instrText xml:space="preserve"> XE "accent6 (Accent 6)" </w:instrText>
      </w:r>
      <w:r>
        <w:fldChar w:fldCharType="end"/>
      </w:r>
    </w:p>
    <w:p w:rsidR="000A156F" w:rsidRDefault="00A9721F">
      <w:pPr>
        <w:pStyle w:val="Definition-Field"/>
      </w:pPr>
      <w:r>
        <w:t xml:space="preserve">a.   </w:t>
      </w:r>
      <w:r>
        <w:rPr>
          <w:i/>
        </w:rPr>
        <w:t>The standard allows the element schemeClr as a child of the parent element clrScheme.</w:t>
      </w:r>
    </w:p>
    <w:p w:rsidR="000A156F" w:rsidRDefault="00A9721F">
      <w:pPr>
        <w:pStyle w:val="Definition-Field2"/>
      </w:pPr>
      <w:r>
        <w:t>Office does not allow sche</w:t>
      </w:r>
      <w:r>
        <w:t>meClr as a child of the parent element clrScheme.</w:t>
      </w:r>
    </w:p>
    <w:p w:rsidR="000A156F" w:rsidRDefault="00A9721F">
      <w:pPr>
        <w:pStyle w:val="Heading3"/>
      </w:pPr>
      <w:bookmarkStart w:id="2528" w:name="section_0efe93f6a9914b0285c5bba4619e7d25"/>
      <w:bookmarkStart w:id="2529" w:name="_Toc181684290"/>
      <w:r>
        <w:t>Part 1 Section 20.1.4.1.9, dk1 (Dark 1)</w:t>
      </w:r>
      <w:bookmarkEnd w:id="2528"/>
      <w:bookmarkEnd w:id="2529"/>
      <w:r>
        <w:fldChar w:fldCharType="begin"/>
      </w:r>
      <w:r>
        <w:instrText xml:space="preserve"> XE "dk1 (Dark 1)" </w:instrText>
      </w:r>
      <w:r>
        <w:fldChar w:fldCharType="end"/>
      </w:r>
    </w:p>
    <w:p w:rsidR="000A156F" w:rsidRDefault="00A9721F">
      <w:pPr>
        <w:pStyle w:val="Definition-Field"/>
      </w:pPr>
      <w:r>
        <w:t xml:space="preserve">a.   </w:t>
      </w:r>
      <w:r>
        <w:rPr>
          <w:i/>
        </w:rPr>
        <w:t>The standard allows the element schemeClr as a child of the parent element clrScheme.</w:t>
      </w:r>
    </w:p>
    <w:p w:rsidR="000A156F" w:rsidRDefault="00A9721F">
      <w:pPr>
        <w:pStyle w:val="Definition-Field2"/>
      </w:pPr>
      <w:r>
        <w:t>Office does not allow schemeClr as a child of the pare</w:t>
      </w:r>
      <w:r>
        <w:t>nt element clrScheme.</w:t>
      </w:r>
    </w:p>
    <w:p w:rsidR="000A156F" w:rsidRDefault="00A9721F">
      <w:pPr>
        <w:pStyle w:val="Heading3"/>
      </w:pPr>
      <w:bookmarkStart w:id="2530" w:name="section_46c7a3ca42274b368bef211aa750ef6e"/>
      <w:bookmarkStart w:id="2531" w:name="_Toc181684291"/>
      <w:r>
        <w:t>Part 1 Section 20.1.4.1.10, dk2 (Dark 2)</w:t>
      </w:r>
      <w:bookmarkEnd w:id="2530"/>
      <w:bookmarkEnd w:id="2531"/>
      <w:r>
        <w:fldChar w:fldCharType="begin"/>
      </w:r>
      <w:r>
        <w:instrText xml:space="preserve"> XE "dk2 (Dark 2)" </w:instrText>
      </w:r>
      <w:r>
        <w:fldChar w:fldCharType="end"/>
      </w:r>
    </w:p>
    <w:p w:rsidR="000A156F" w:rsidRDefault="00A9721F">
      <w:pPr>
        <w:pStyle w:val="Definition-Field"/>
      </w:pPr>
      <w:r>
        <w:t xml:space="preserve">a.   </w:t>
      </w:r>
      <w:r>
        <w:rPr>
          <w:i/>
        </w:rPr>
        <w:t>The standard allows the element schemeClr as a child of the parent element clrScheme.</w:t>
      </w:r>
    </w:p>
    <w:p w:rsidR="000A156F" w:rsidRDefault="00A9721F">
      <w:pPr>
        <w:pStyle w:val="Definition-Field2"/>
      </w:pPr>
      <w:r>
        <w:t>Office does not allow schemeClr as a child of the parent element clrScheme.</w:t>
      </w:r>
    </w:p>
    <w:p w:rsidR="000A156F" w:rsidRDefault="00A9721F">
      <w:pPr>
        <w:pStyle w:val="Heading3"/>
      </w:pPr>
      <w:bookmarkStart w:id="2532" w:name="section_af9c792be9254afcbef47f031163f0f7"/>
      <w:bookmarkStart w:id="2533" w:name="_Toc181684292"/>
      <w:r>
        <w:t xml:space="preserve">Part </w:t>
      </w:r>
      <w:r>
        <w:t>1 Section 20.1.4.1.15, folHlink (Followed Hyperlink)</w:t>
      </w:r>
      <w:bookmarkEnd w:id="2532"/>
      <w:bookmarkEnd w:id="2533"/>
      <w:r>
        <w:fldChar w:fldCharType="begin"/>
      </w:r>
      <w:r>
        <w:instrText xml:space="preserve"> XE "folHlink (Followed Hyperlink)" </w:instrText>
      </w:r>
      <w:r>
        <w:fldChar w:fldCharType="end"/>
      </w:r>
    </w:p>
    <w:p w:rsidR="000A156F" w:rsidRDefault="00A9721F">
      <w:pPr>
        <w:pStyle w:val="Definition-Field"/>
      </w:pPr>
      <w:r>
        <w:t xml:space="preserve">a.   </w:t>
      </w:r>
      <w:r>
        <w:rPr>
          <w:i/>
        </w:rPr>
        <w:t>The standard allows the element schemeClr as a child of the parent element clrScheme.</w:t>
      </w:r>
    </w:p>
    <w:p w:rsidR="000A156F" w:rsidRDefault="00A9721F">
      <w:pPr>
        <w:pStyle w:val="Definition-Field2"/>
      </w:pPr>
      <w:r>
        <w:t>Office does not allow schemeClr as a child of the parent element clrScheme</w:t>
      </w:r>
      <w:r>
        <w:t>.</w:t>
      </w:r>
    </w:p>
    <w:p w:rsidR="000A156F" w:rsidRDefault="00A9721F">
      <w:pPr>
        <w:pStyle w:val="Heading3"/>
      </w:pPr>
      <w:bookmarkStart w:id="2534" w:name="section_dda195888971454cb18f0282065f95a3"/>
      <w:bookmarkStart w:id="2535" w:name="_Toc181684293"/>
      <w:r>
        <w:t>Part 1 Section 20.1.4.1.17, fontRef (Font Reference)</w:t>
      </w:r>
      <w:bookmarkEnd w:id="2534"/>
      <w:bookmarkEnd w:id="2535"/>
      <w:r>
        <w:fldChar w:fldCharType="begin"/>
      </w:r>
      <w:r>
        <w:instrText xml:space="preserve"> XE "fontRef (Font Reference)" </w:instrText>
      </w:r>
      <w:r>
        <w:fldChar w:fldCharType="end"/>
      </w:r>
    </w:p>
    <w:p w:rsidR="000A156F" w:rsidRDefault="00A9721F">
      <w:pPr>
        <w:pStyle w:val="Definition-Field"/>
      </w:pPr>
      <w:r>
        <w:t xml:space="preserve">a.   </w:t>
      </w:r>
      <w:r>
        <w:rPr>
          <w:i/>
        </w:rPr>
        <w:t>The standard does not state how to handle an undefined theme.</w:t>
      </w:r>
    </w:p>
    <w:p w:rsidR="000A156F" w:rsidRDefault="00A9721F">
      <w:pPr>
        <w:pStyle w:val="Definition-Field2"/>
      </w:pPr>
      <w:r>
        <w:t xml:space="preserve">Excel uses a default value of minor for the idx attribute on this element and a default value of tx1 </w:t>
      </w:r>
      <w:r>
        <w:t>for the val attribute on the schemeClr element when a theme is not provided.</w:t>
      </w:r>
    </w:p>
    <w:p w:rsidR="000A156F" w:rsidRDefault="00A9721F">
      <w:pPr>
        <w:pStyle w:val="Heading3"/>
      </w:pPr>
      <w:bookmarkStart w:id="2536" w:name="section_b3ef6d7b692d497c8c88e6cff3558e47"/>
      <w:bookmarkStart w:id="2537" w:name="_Toc181684294"/>
      <w:r>
        <w:t>Part 1 Section 20.1.4.1.19, hlink (Hyperlink)</w:t>
      </w:r>
      <w:bookmarkEnd w:id="2536"/>
      <w:bookmarkEnd w:id="2537"/>
      <w:r>
        <w:fldChar w:fldCharType="begin"/>
      </w:r>
      <w:r>
        <w:instrText xml:space="preserve"> XE "hlink (Hyperlink)" </w:instrText>
      </w:r>
      <w:r>
        <w:fldChar w:fldCharType="end"/>
      </w:r>
    </w:p>
    <w:p w:rsidR="000A156F" w:rsidRDefault="00A9721F">
      <w:pPr>
        <w:pStyle w:val="Definition-Field"/>
      </w:pPr>
      <w:r>
        <w:t xml:space="preserve">a.   </w:t>
      </w:r>
      <w:r>
        <w:rPr>
          <w:i/>
        </w:rPr>
        <w:t>The standard allows the element schemeClr as a child of the parent element clrScheme.</w:t>
      </w:r>
    </w:p>
    <w:p w:rsidR="000A156F" w:rsidRDefault="00A9721F">
      <w:pPr>
        <w:pStyle w:val="Definition-Field2"/>
      </w:pPr>
      <w:r>
        <w:t xml:space="preserve">Office does not </w:t>
      </w:r>
      <w:r>
        <w:t>allow schemeClr as a child of the parent element clrScheme.</w:t>
      </w:r>
    </w:p>
    <w:p w:rsidR="000A156F" w:rsidRDefault="00A9721F">
      <w:pPr>
        <w:pStyle w:val="Heading3"/>
      </w:pPr>
      <w:bookmarkStart w:id="2538" w:name="section_95b65bea5318441eb941f8b8b47c6ff8"/>
      <w:bookmarkStart w:id="2539" w:name="_Toc181684295"/>
      <w:r>
        <w:lastRenderedPageBreak/>
        <w:t>Part 1 Section 20.1.4.1.22, lt1 (Light 1)</w:t>
      </w:r>
      <w:bookmarkEnd w:id="2538"/>
      <w:bookmarkEnd w:id="2539"/>
      <w:r>
        <w:fldChar w:fldCharType="begin"/>
      </w:r>
      <w:r>
        <w:instrText xml:space="preserve"> XE "lt1 (Light 1)" </w:instrText>
      </w:r>
      <w:r>
        <w:fldChar w:fldCharType="end"/>
      </w:r>
    </w:p>
    <w:p w:rsidR="000A156F" w:rsidRDefault="00A9721F">
      <w:pPr>
        <w:pStyle w:val="Definition-Field"/>
      </w:pPr>
      <w:r>
        <w:t xml:space="preserve">a.   </w:t>
      </w:r>
      <w:r>
        <w:rPr>
          <w:i/>
        </w:rPr>
        <w:t>The standard allows the element schemeClr as a child of the parent element clrScheme.</w:t>
      </w:r>
    </w:p>
    <w:p w:rsidR="000A156F" w:rsidRDefault="00A9721F">
      <w:pPr>
        <w:pStyle w:val="Definition-Field2"/>
      </w:pPr>
      <w:r>
        <w:t>Office does not allow schemeClr as a chil</w:t>
      </w:r>
      <w:r>
        <w:t>d of the parent element clrScheme.</w:t>
      </w:r>
    </w:p>
    <w:p w:rsidR="000A156F" w:rsidRDefault="00A9721F">
      <w:pPr>
        <w:pStyle w:val="Heading3"/>
      </w:pPr>
      <w:bookmarkStart w:id="2540" w:name="section_06a16974a53649de992d0576550cfa06"/>
      <w:bookmarkStart w:id="2541" w:name="_Toc181684296"/>
      <w:r>
        <w:t>Part 1 Section 20.1.4.1.23, lt2 (Light 2)</w:t>
      </w:r>
      <w:bookmarkEnd w:id="2540"/>
      <w:bookmarkEnd w:id="2541"/>
      <w:r>
        <w:fldChar w:fldCharType="begin"/>
      </w:r>
      <w:r>
        <w:instrText xml:space="preserve"> XE "lt2 (Light 2)" </w:instrText>
      </w:r>
      <w:r>
        <w:fldChar w:fldCharType="end"/>
      </w:r>
    </w:p>
    <w:p w:rsidR="000A156F" w:rsidRDefault="00A9721F">
      <w:pPr>
        <w:pStyle w:val="Definition-Field"/>
      </w:pPr>
      <w:r>
        <w:t xml:space="preserve">a.   </w:t>
      </w:r>
      <w:r>
        <w:rPr>
          <w:i/>
        </w:rPr>
        <w:t>The standard allows the element schemeClr as a child of the parent element clrScheme.</w:t>
      </w:r>
    </w:p>
    <w:p w:rsidR="000A156F" w:rsidRDefault="00A9721F">
      <w:pPr>
        <w:pStyle w:val="Definition-Field2"/>
      </w:pPr>
      <w:r>
        <w:t>Office does not allow schemeClr as a child of the parent element c</w:t>
      </w:r>
      <w:r>
        <w:t>lrScheme.</w:t>
      </w:r>
    </w:p>
    <w:p w:rsidR="000A156F" w:rsidRDefault="00A9721F">
      <w:pPr>
        <w:pStyle w:val="Heading3"/>
      </w:pPr>
      <w:bookmarkStart w:id="2542" w:name="section_0d2ec861539b4f569674d3fe690db170"/>
      <w:bookmarkStart w:id="2543" w:name="_Toc181684297"/>
      <w:r>
        <w:t>Part 1 Section 20.1.4.2.2, band1V (Band 1 Vertical)</w:t>
      </w:r>
      <w:bookmarkEnd w:id="2542"/>
      <w:bookmarkEnd w:id="2543"/>
      <w:r>
        <w:fldChar w:fldCharType="begin"/>
      </w:r>
      <w:r>
        <w:instrText xml:space="preserve"> XE "band1V (Band 1 Vertical)" </w:instrText>
      </w:r>
      <w:r>
        <w:fldChar w:fldCharType="end"/>
      </w:r>
    </w:p>
    <w:p w:rsidR="000A156F" w:rsidRDefault="00A9721F">
      <w:pPr>
        <w:pStyle w:val="Definition-Field"/>
      </w:pPr>
      <w:r>
        <w:t xml:space="preserve">a.   </w:t>
      </w:r>
      <w:r>
        <w:rPr>
          <w:i/>
        </w:rPr>
        <w:t>The standard states that the band1V element applies to rows.</w:t>
      </w:r>
    </w:p>
    <w:p w:rsidR="000A156F" w:rsidRDefault="00A9721F">
      <w:pPr>
        <w:pStyle w:val="Definition-Field2"/>
      </w:pPr>
      <w:r>
        <w:t>Office applies this element to columns.</w:t>
      </w:r>
    </w:p>
    <w:p w:rsidR="000A156F" w:rsidRDefault="00A9721F">
      <w:pPr>
        <w:pStyle w:val="Heading3"/>
      </w:pPr>
      <w:bookmarkStart w:id="2544" w:name="section_4e29decef19447f18182fe86ecd01c53"/>
      <w:bookmarkStart w:id="2545" w:name="_Toc181684298"/>
      <w:r>
        <w:t>Part 1 Section 20.1.4.2.4, band2V (Band 2 Vertical)</w:t>
      </w:r>
      <w:bookmarkEnd w:id="2544"/>
      <w:bookmarkEnd w:id="2545"/>
      <w:r>
        <w:fldChar w:fldCharType="begin"/>
      </w:r>
      <w:r>
        <w:instrText xml:space="preserve"> XE </w:instrText>
      </w:r>
      <w:r>
        <w:instrText xml:space="preserve">"band2V (Band 2 Vertical)" </w:instrText>
      </w:r>
      <w:r>
        <w:fldChar w:fldCharType="end"/>
      </w:r>
    </w:p>
    <w:p w:rsidR="000A156F" w:rsidRDefault="00A9721F">
      <w:pPr>
        <w:pStyle w:val="Definition-Field"/>
      </w:pPr>
      <w:r>
        <w:t xml:space="preserve">a.   </w:t>
      </w:r>
      <w:r>
        <w:rPr>
          <w:i/>
        </w:rPr>
        <w:t>The standard states that the band2V element applies to rows.</w:t>
      </w:r>
    </w:p>
    <w:p w:rsidR="000A156F" w:rsidRDefault="00A9721F">
      <w:pPr>
        <w:pStyle w:val="Definition-Field2"/>
      </w:pPr>
      <w:r>
        <w:t>Office applies this element to columns.</w:t>
      </w:r>
    </w:p>
    <w:p w:rsidR="000A156F" w:rsidRDefault="00A9721F">
      <w:pPr>
        <w:pStyle w:val="Heading3"/>
      </w:pPr>
      <w:bookmarkStart w:id="2546" w:name="section_ffba6058673243de986fea4e686a2f86"/>
      <w:bookmarkStart w:id="2547" w:name="_Toc181684299"/>
      <w:r>
        <w:t>Part 1 Section 20.1.4.2.9, fill (Fill)</w:t>
      </w:r>
      <w:bookmarkEnd w:id="2546"/>
      <w:bookmarkEnd w:id="2547"/>
      <w:r>
        <w:fldChar w:fldCharType="begin"/>
      </w:r>
      <w:r>
        <w:instrText xml:space="preserve"> XE "fill (Fill)" </w:instrText>
      </w:r>
      <w:r>
        <w:fldChar w:fldCharType="end"/>
      </w:r>
    </w:p>
    <w:p w:rsidR="000A156F" w:rsidRDefault="00A9721F">
      <w:pPr>
        <w:pStyle w:val="Definition-Field"/>
      </w:pPr>
      <w:r>
        <w:t xml:space="preserve">a.   </w:t>
      </w:r>
      <w:r>
        <w:rPr>
          <w:i/>
        </w:rPr>
        <w:t>The standard states that the fill element defines the fi</w:t>
      </w:r>
      <w:r>
        <w:rPr>
          <w:i/>
        </w:rPr>
        <w:t>ll that is applied to the table as a whole.</w:t>
      </w:r>
    </w:p>
    <w:p w:rsidR="000A156F" w:rsidRDefault="00A9721F">
      <w:pPr>
        <w:pStyle w:val="Definition-Field2"/>
      </w:pPr>
      <w:r>
        <w:t>Office uses this element to affect the table as a whole only if parented by tblBg.</w:t>
      </w:r>
    </w:p>
    <w:p w:rsidR="000A156F" w:rsidRDefault="00A9721F">
      <w:pPr>
        <w:pStyle w:val="Definition-Field"/>
      </w:pPr>
      <w:r>
        <w:t xml:space="preserve">b.   </w:t>
      </w:r>
      <w:r>
        <w:rPr>
          <w:i/>
        </w:rPr>
        <w:t>The standard allows group fills to be applied to a table.</w:t>
      </w:r>
    </w:p>
    <w:p w:rsidR="000A156F" w:rsidRDefault="00A9721F">
      <w:pPr>
        <w:pStyle w:val="Definition-Field2"/>
      </w:pPr>
      <w:r>
        <w:t>Office does not apply group fills to tables but instead uses a whi</w:t>
      </w:r>
      <w:r>
        <w:t>te background.</w:t>
      </w:r>
    </w:p>
    <w:p w:rsidR="000A156F" w:rsidRDefault="00A9721F">
      <w:pPr>
        <w:pStyle w:val="Heading3"/>
      </w:pPr>
      <w:bookmarkStart w:id="2548" w:name="section_8d5ec0aa8760486991f461466ba43e52"/>
      <w:bookmarkStart w:id="2549" w:name="_Toc181684300"/>
      <w:r>
        <w:t>Part 1 Section 20.1.4.2.19, lnRef (Line Reference)</w:t>
      </w:r>
      <w:bookmarkEnd w:id="2548"/>
      <w:bookmarkEnd w:id="2549"/>
      <w:r>
        <w:fldChar w:fldCharType="begin"/>
      </w:r>
      <w:r>
        <w:instrText xml:space="preserve"> XE "lnRef (Line Reference)" </w:instrText>
      </w:r>
      <w:r>
        <w:fldChar w:fldCharType="end"/>
      </w:r>
    </w:p>
    <w:p w:rsidR="000A156F" w:rsidRDefault="00A9721F">
      <w:pPr>
        <w:pStyle w:val="Definition-Field"/>
      </w:pPr>
      <w:r>
        <w:t xml:space="preserve">a.   </w:t>
      </w:r>
      <w:r>
        <w:rPr>
          <w:i/>
        </w:rPr>
        <w:t>The standard states that the idx attribute of the lnRef element references the index of a line style within the fillStyleLst element.</w:t>
      </w:r>
    </w:p>
    <w:p w:rsidR="000A156F" w:rsidRDefault="00A9721F">
      <w:pPr>
        <w:pStyle w:val="Definition-Field2"/>
      </w:pPr>
      <w:r>
        <w:t>In Office, the idx a</w:t>
      </w:r>
      <w:r>
        <w:t>ttribute of this element references the index of a line style within the lnStyleList element.</w:t>
      </w:r>
    </w:p>
    <w:p w:rsidR="000A156F" w:rsidRDefault="00A9721F">
      <w:pPr>
        <w:pStyle w:val="Heading3"/>
      </w:pPr>
      <w:bookmarkStart w:id="2550" w:name="section_90de40855fbf47a7bc37d59509481d0a"/>
      <w:bookmarkStart w:id="2551" w:name="_Toc181684301"/>
      <w:r>
        <w:t>Part 1 Section 20.1.4.2.26, tblStyle (Table Style)</w:t>
      </w:r>
      <w:bookmarkEnd w:id="2550"/>
      <w:bookmarkEnd w:id="2551"/>
      <w:r>
        <w:fldChar w:fldCharType="begin"/>
      </w:r>
      <w:r>
        <w:instrText xml:space="preserve"> XE "tblStyle (Table Style)" </w:instrText>
      </w:r>
      <w:r>
        <w:fldChar w:fldCharType="end"/>
      </w:r>
    </w:p>
    <w:p w:rsidR="000A156F" w:rsidRDefault="00A9721F">
      <w:pPr>
        <w:pStyle w:val="Definition-Field"/>
      </w:pPr>
      <w:r>
        <w:t xml:space="preserve">a.   </w:t>
      </w:r>
      <w:r>
        <w:rPr>
          <w:i/>
        </w:rPr>
        <w:t xml:space="preserve">The standard states that the tblStyle element specifies the formatting for </w:t>
      </w:r>
      <w:r>
        <w:rPr>
          <w:i/>
        </w:rPr>
        <w:t>the table.</w:t>
      </w:r>
    </w:p>
    <w:p w:rsidR="000A156F" w:rsidRDefault="00A9721F">
      <w:r>
        <w:t>There is a well defined order to the table part styles that are applied because a cell can belong to many cell part styles (for example, the top left cell is part of the first column as well as the first row). Table part styles are applied in th</w:t>
      </w:r>
      <w:r>
        <w:t xml:space="preserve">e following order: </w:t>
      </w:r>
    </w:p>
    <w:p w:rsidR="000A156F" w:rsidRDefault="00A9721F">
      <w:pPr>
        <w:pStyle w:val="ListParagraph"/>
        <w:numPr>
          <w:ilvl w:val="0"/>
          <w:numId w:val="131"/>
        </w:numPr>
        <w:contextualSpacing/>
      </w:pPr>
      <w:r>
        <w:t>Apply whole table part</w:t>
      </w:r>
    </w:p>
    <w:p w:rsidR="000A156F" w:rsidRDefault="00A9721F">
      <w:pPr>
        <w:pStyle w:val="ListParagraph"/>
        <w:numPr>
          <w:ilvl w:val="0"/>
          <w:numId w:val="131"/>
        </w:numPr>
        <w:contextualSpacing/>
      </w:pPr>
      <w:r>
        <w:t>Apply odd banded row cells</w:t>
      </w:r>
    </w:p>
    <w:p w:rsidR="000A156F" w:rsidRDefault="00A9721F">
      <w:pPr>
        <w:pStyle w:val="ListParagraph"/>
        <w:numPr>
          <w:ilvl w:val="0"/>
          <w:numId w:val="131"/>
        </w:numPr>
        <w:contextualSpacing/>
      </w:pPr>
      <w:r>
        <w:t>Apply even banded row cells</w:t>
      </w:r>
    </w:p>
    <w:p w:rsidR="000A156F" w:rsidRDefault="00A9721F">
      <w:pPr>
        <w:pStyle w:val="ListParagraph"/>
        <w:numPr>
          <w:ilvl w:val="0"/>
          <w:numId w:val="131"/>
        </w:numPr>
        <w:contextualSpacing/>
      </w:pPr>
      <w:r>
        <w:t>Apply odd banded column cells</w:t>
      </w:r>
    </w:p>
    <w:p w:rsidR="000A156F" w:rsidRDefault="00A9721F">
      <w:pPr>
        <w:pStyle w:val="ListParagraph"/>
        <w:numPr>
          <w:ilvl w:val="0"/>
          <w:numId w:val="131"/>
        </w:numPr>
        <w:contextualSpacing/>
      </w:pPr>
      <w:r>
        <w:t>Apply even banded column cells</w:t>
      </w:r>
    </w:p>
    <w:p w:rsidR="000A156F" w:rsidRDefault="00A9721F">
      <w:pPr>
        <w:pStyle w:val="ListParagraph"/>
        <w:numPr>
          <w:ilvl w:val="0"/>
          <w:numId w:val="131"/>
        </w:numPr>
        <w:contextualSpacing/>
      </w:pPr>
      <w:r>
        <w:t>Apply right column cells</w:t>
      </w:r>
    </w:p>
    <w:p w:rsidR="000A156F" w:rsidRDefault="00A9721F">
      <w:pPr>
        <w:pStyle w:val="ListParagraph"/>
        <w:numPr>
          <w:ilvl w:val="0"/>
          <w:numId w:val="131"/>
        </w:numPr>
        <w:contextualSpacing/>
      </w:pPr>
      <w:r>
        <w:t>Apply left column cells</w:t>
      </w:r>
    </w:p>
    <w:p w:rsidR="000A156F" w:rsidRDefault="00A9721F">
      <w:pPr>
        <w:pStyle w:val="ListParagraph"/>
        <w:numPr>
          <w:ilvl w:val="0"/>
          <w:numId w:val="131"/>
        </w:numPr>
        <w:contextualSpacing/>
      </w:pPr>
      <w:r>
        <w:lastRenderedPageBreak/>
        <w:t>Apply bottom row cells</w:t>
      </w:r>
    </w:p>
    <w:p w:rsidR="000A156F" w:rsidRDefault="00A9721F">
      <w:pPr>
        <w:pStyle w:val="ListParagraph"/>
        <w:numPr>
          <w:ilvl w:val="0"/>
          <w:numId w:val="131"/>
        </w:numPr>
        <w:contextualSpacing/>
      </w:pPr>
      <w:r>
        <w:t>Apply bottom right cell</w:t>
      </w:r>
    </w:p>
    <w:p w:rsidR="000A156F" w:rsidRDefault="00A9721F">
      <w:pPr>
        <w:pStyle w:val="ListParagraph"/>
        <w:numPr>
          <w:ilvl w:val="0"/>
          <w:numId w:val="131"/>
        </w:numPr>
        <w:contextualSpacing/>
      </w:pPr>
      <w:r>
        <w:t>Apply bottom left cell</w:t>
      </w:r>
    </w:p>
    <w:p w:rsidR="000A156F" w:rsidRDefault="00A9721F">
      <w:pPr>
        <w:pStyle w:val="ListParagraph"/>
        <w:numPr>
          <w:ilvl w:val="0"/>
          <w:numId w:val="131"/>
        </w:numPr>
        <w:contextualSpacing/>
      </w:pPr>
      <w:r>
        <w:t>Apply top row cells</w:t>
      </w:r>
    </w:p>
    <w:p w:rsidR="000A156F" w:rsidRDefault="00A9721F">
      <w:pPr>
        <w:pStyle w:val="ListParagraph"/>
        <w:numPr>
          <w:ilvl w:val="0"/>
          <w:numId w:val="131"/>
        </w:numPr>
        <w:contextualSpacing/>
      </w:pPr>
      <w:r>
        <w:t>Apply top right cell</w:t>
      </w:r>
    </w:p>
    <w:p w:rsidR="000A156F" w:rsidRDefault="00A9721F">
      <w:pPr>
        <w:pStyle w:val="ListParagraph"/>
        <w:numPr>
          <w:ilvl w:val="0"/>
          <w:numId w:val="131"/>
        </w:numPr>
      </w:pPr>
      <w:r>
        <w:t>Apply top left cell</w:t>
      </w:r>
    </w:p>
    <w:p w:rsidR="000A156F" w:rsidRDefault="00A9721F">
      <w:pPr>
        <w:pStyle w:val="Heading3"/>
      </w:pPr>
      <w:bookmarkStart w:id="2552" w:name="section_c5e5dc5ad9924b18b4a2b4772bf3c102"/>
      <w:bookmarkStart w:id="2553" w:name="_Toc181684302"/>
      <w:r>
        <w:t>Part 1 Section 20.1.5.1, anchor (Anchor Point)</w:t>
      </w:r>
      <w:bookmarkEnd w:id="2552"/>
      <w:bookmarkEnd w:id="2553"/>
      <w:r>
        <w:fldChar w:fldCharType="begin"/>
      </w:r>
      <w:r>
        <w:instrText xml:space="preserve"> XE "anchor (Anchor Point)" </w:instrText>
      </w:r>
      <w:r>
        <w:fldChar w:fldCharType="end"/>
      </w:r>
    </w:p>
    <w:p w:rsidR="000A156F" w:rsidRDefault="00A9721F">
      <w:pPr>
        <w:pStyle w:val="Definition-Field"/>
      </w:pPr>
      <w:r>
        <w:t xml:space="preserve">a.   </w:t>
      </w:r>
      <w:r>
        <w:rPr>
          <w:i/>
        </w:rPr>
        <w:t>The standard implies that the anchor element anchors the backdrop plane.</w:t>
      </w:r>
    </w:p>
    <w:p w:rsidR="000A156F" w:rsidRDefault="00A9721F">
      <w:r>
        <w:t xml:space="preserve">This element </w:t>
      </w:r>
      <w:r>
        <w:t xml:space="preserve">specifies a point in 3D space that is the offset to the origin of the backdrop plane.  By moving this anchor point, the image of shadows, glows, and reflections can be moved and can be rotated from its default position on a plane parallel to the x-y plane </w:t>
      </w:r>
      <w:r>
        <w:t>to any location and orientation in 3D space, providing it remains viewable in the viewing frustum of the scene camera.</w:t>
      </w:r>
    </w:p>
    <w:p w:rsidR="000A156F" w:rsidRDefault="00A9721F">
      <w:pPr>
        <w:pStyle w:val="Heading3"/>
      </w:pPr>
      <w:bookmarkStart w:id="2554" w:name="section_b46805cae0154353ae88e595d03e6249"/>
      <w:bookmarkStart w:id="2555" w:name="_Toc181684303"/>
      <w:r>
        <w:t>Part 1 Section 20.1.5.2, backdrop (Backdrop Plane)</w:t>
      </w:r>
      <w:bookmarkEnd w:id="2554"/>
      <w:bookmarkEnd w:id="2555"/>
      <w:r>
        <w:fldChar w:fldCharType="begin"/>
      </w:r>
      <w:r>
        <w:instrText xml:space="preserve"> XE "backdrop (Backdrop Plane)" </w:instrText>
      </w:r>
      <w:r>
        <w:fldChar w:fldCharType="end"/>
      </w:r>
    </w:p>
    <w:p w:rsidR="000A156F" w:rsidRDefault="00A9721F">
      <w:pPr>
        <w:pStyle w:val="Definition-Field"/>
      </w:pPr>
      <w:r>
        <w:t xml:space="preserve">a.   </w:t>
      </w:r>
      <w:r>
        <w:rPr>
          <w:i/>
        </w:rPr>
        <w:t>The standard allows the up and normal vectors t</w:t>
      </w:r>
      <w:r>
        <w:rPr>
          <w:i/>
        </w:rPr>
        <w:t>o be collinear.</w:t>
      </w:r>
    </w:p>
    <w:p w:rsidR="000A156F" w:rsidRDefault="00A9721F">
      <w:pPr>
        <w:pStyle w:val="Definition-Field2"/>
      </w:pPr>
      <w:r>
        <w:t>Office requires that the up and normal vectors not be collinear.</w:t>
      </w:r>
    </w:p>
    <w:p w:rsidR="000A156F" w:rsidRDefault="00A9721F">
      <w:pPr>
        <w:pStyle w:val="Heading3"/>
      </w:pPr>
      <w:bookmarkStart w:id="2556" w:name="section_906e0084f87a40fbac4d2202269203a5"/>
      <w:bookmarkStart w:id="2557" w:name="_Toc181684304"/>
      <w:r>
        <w:t>Part 1 Section 20.1.5.3, bevelB (Bottom Bevel)</w:t>
      </w:r>
      <w:bookmarkEnd w:id="2556"/>
      <w:bookmarkEnd w:id="2557"/>
      <w:r>
        <w:fldChar w:fldCharType="begin"/>
      </w:r>
      <w:r>
        <w:instrText xml:space="preserve"> XE "bevelB (Bottom Bevel)" </w:instrText>
      </w:r>
      <w:r>
        <w:fldChar w:fldCharType="end"/>
      </w:r>
    </w:p>
    <w:p w:rsidR="000A156F" w:rsidRDefault="00A9721F">
      <w:pPr>
        <w:pStyle w:val="Definition-Field"/>
      </w:pPr>
      <w:r>
        <w:t xml:space="preserve">a.   </w:t>
      </w:r>
      <w:r>
        <w:rPr>
          <w:i/>
        </w:rPr>
        <w:t>The standard does not specify a reference plane for height measurement.</w:t>
      </w:r>
    </w:p>
    <w:p w:rsidR="000A156F" w:rsidRDefault="00A9721F">
      <w:pPr>
        <w:pStyle w:val="Definition-Field2"/>
      </w:pPr>
      <w:r>
        <w:t>Office measures the h</w:t>
      </w:r>
      <w:r>
        <w:t>eight from the bottom face of the shape; if the shape has an extrusion height, the bevel height is measured from the base of the extrusion.</w:t>
      </w:r>
    </w:p>
    <w:p w:rsidR="000A156F" w:rsidRDefault="00A9721F">
      <w:pPr>
        <w:pStyle w:val="Heading3"/>
      </w:pPr>
      <w:bookmarkStart w:id="2558" w:name="section_2dfb75cddd064bbe8baa2ac80ebd13b3"/>
      <w:bookmarkStart w:id="2559" w:name="_Toc181684305"/>
      <w:r>
        <w:t>Part 1 Section 20.1.5.4, bevelT (Top Bevel)</w:t>
      </w:r>
      <w:bookmarkEnd w:id="2558"/>
      <w:bookmarkEnd w:id="2559"/>
      <w:r>
        <w:fldChar w:fldCharType="begin"/>
      </w:r>
      <w:r>
        <w:instrText xml:space="preserve"> XE "bevelT (Top Bevel)" </w:instrText>
      </w:r>
      <w:r>
        <w:fldChar w:fldCharType="end"/>
      </w:r>
    </w:p>
    <w:p w:rsidR="000A156F" w:rsidRDefault="00A9721F">
      <w:pPr>
        <w:pStyle w:val="Definition-Field"/>
      </w:pPr>
      <w:r>
        <w:t xml:space="preserve">a.   </w:t>
      </w:r>
      <w:r>
        <w:rPr>
          <w:i/>
        </w:rPr>
        <w:t>The standard does not specify a referenc</w:t>
      </w:r>
      <w:r>
        <w:rPr>
          <w:i/>
        </w:rPr>
        <w:t>e plane for height measurement.</w:t>
      </w:r>
    </w:p>
    <w:p w:rsidR="000A156F" w:rsidRDefault="00A9721F">
      <w:pPr>
        <w:pStyle w:val="Definition-Field2"/>
      </w:pPr>
      <w:r>
        <w:t>Office measures the height from the top face of the shape; if the shape has an extrusion height, the bevel height is measured from the top of the extrusion.</w:t>
      </w:r>
    </w:p>
    <w:p w:rsidR="000A156F" w:rsidRDefault="00A9721F">
      <w:pPr>
        <w:pStyle w:val="Heading3"/>
      </w:pPr>
      <w:bookmarkStart w:id="2560" w:name="section_6c1de672ac3d4387a01d6788aa7f34fa"/>
      <w:bookmarkStart w:id="2561" w:name="_Toc181684306"/>
      <w:r>
        <w:t>Part 1 Section 20.1.5.5, camera (Camera)</w:t>
      </w:r>
      <w:bookmarkEnd w:id="2560"/>
      <w:bookmarkEnd w:id="2561"/>
      <w:r>
        <w:fldChar w:fldCharType="begin"/>
      </w:r>
      <w:r>
        <w:instrText xml:space="preserve"> XE "camera (Camera)" </w:instrText>
      </w:r>
      <w:r>
        <w:fldChar w:fldCharType="end"/>
      </w:r>
    </w:p>
    <w:p w:rsidR="000A156F" w:rsidRDefault="00A9721F">
      <w:pPr>
        <w:pStyle w:val="Definition-Field"/>
      </w:pPr>
      <w:r>
        <w:t>a.</w:t>
      </w:r>
      <w:r>
        <w:t xml:space="preserve">   </w:t>
      </w:r>
      <w:r>
        <w:rPr>
          <w:i/>
        </w:rPr>
        <w:t>The standard allows the fov attribute to be used with all camera types.</w:t>
      </w:r>
    </w:p>
    <w:p w:rsidR="000A156F" w:rsidRDefault="00A9721F">
      <w:pPr>
        <w:pStyle w:val="Definition-Field2"/>
      </w:pPr>
      <w:r>
        <w:t>In Office, the fov attribute is ignored for non-perspective camera types.</w:t>
      </w:r>
    </w:p>
    <w:p w:rsidR="000A156F" w:rsidRDefault="00A9721F">
      <w:pPr>
        <w:pStyle w:val="Heading3"/>
      </w:pPr>
      <w:bookmarkStart w:id="2562" w:name="section_b3abb6555c644f3aae3d26cf0dbc9081"/>
      <w:bookmarkStart w:id="2563" w:name="_Toc181684307"/>
      <w:r>
        <w:t>Part 1 Section 20.1.5.6, contourClr (Contour Color)</w:t>
      </w:r>
      <w:bookmarkEnd w:id="2562"/>
      <w:bookmarkEnd w:id="2563"/>
      <w:r>
        <w:fldChar w:fldCharType="begin"/>
      </w:r>
      <w:r>
        <w:instrText xml:space="preserve"> XE "contourClr (Contour Color)" </w:instrText>
      </w:r>
      <w:r>
        <w:fldChar w:fldCharType="end"/>
      </w:r>
    </w:p>
    <w:p w:rsidR="000A156F" w:rsidRDefault="00A9721F">
      <w:pPr>
        <w:pStyle w:val="Definition-Field"/>
      </w:pPr>
      <w:r>
        <w:t xml:space="preserve">a.   </w:t>
      </w:r>
      <w:r>
        <w:rPr>
          <w:i/>
        </w:rPr>
        <w:t xml:space="preserve">The standard </w:t>
      </w:r>
      <w:r>
        <w:rPr>
          <w:i/>
        </w:rPr>
        <w:t>allows contour width to be zero.</w:t>
      </w:r>
    </w:p>
    <w:p w:rsidR="000A156F" w:rsidRDefault="00A9721F">
      <w:pPr>
        <w:pStyle w:val="Definition-Field2"/>
      </w:pPr>
      <w:r>
        <w:t>In Office, if the contour width is zero, the color specified by this element is ignored.</w:t>
      </w:r>
    </w:p>
    <w:p w:rsidR="000A156F" w:rsidRDefault="00A9721F">
      <w:pPr>
        <w:pStyle w:val="Definition-Field"/>
      </w:pPr>
      <w:r>
        <w:t xml:space="preserve">b.   </w:t>
      </w:r>
      <w:r>
        <w:rPr>
          <w:i/>
        </w:rPr>
        <w:t>The standard does not describe the interaction between contours and extrusions.</w:t>
      </w:r>
    </w:p>
    <w:p w:rsidR="000A156F" w:rsidRDefault="00A9721F">
      <w:pPr>
        <w:pStyle w:val="Definition-Field2"/>
      </w:pPr>
      <w:r>
        <w:t>In Office, the contour of a shape is a solid fill</w:t>
      </w:r>
      <w:r>
        <w:t>ed line which surrounds the outer edges of the shape, and the outline edges of the extrusion.</w:t>
      </w:r>
    </w:p>
    <w:p w:rsidR="000A156F" w:rsidRDefault="00A9721F">
      <w:pPr>
        <w:pStyle w:val="Heading3"/>
      </w:pPr>
      <w:bookmarkStart w:id="2564" w:name="section_eafb568b9dd04f2ea337b163dc1080df"/>
      <w:bookmarkStart w:id="2565" w:name="_Toc181684308"/>
      <w:r>
        <w:t>Part 1 Section 20.1.5.7, extrusionClr (Extrusion Color)</w:t>
      </w:r>
      <w:bookmarkEnd w:id="2564"/>
      <w:bookmarkEnd w:id="2565"/>
      <w:r>
        <w:fldChar w:fldCharType="begin"/>
      </w:r>
      <w:r>
        <w:instrText xml:space="preserve"> XE "extrusionClr (Extrusion Color)" </w:instrText>
      </w:r>
      <w:r>
        <w:fldChar w:fldCharType="end"/>
      </w:r>
    </w:p>
    <w:p w:rsidR="000A156F" w:rsidRDefault="00A9721F">
      <w:pPr>
        <w:pStyle w:val="Definition-Field"/>
      </w:pPr>
      <w:r>
        <w:t xml:space="preserve">a.   </w:t>
      </w:r>
      <w:r>
        <w:rPr>
          <w:i/>
        </w:rPr>
        <w:t>The standard does not clarify default behavior for the extrusi</w:t>
      </w:r>
      <w:r>
        <w:rPr>
          <w:i/>
        </w:rPr>
        <w:t>onClr element.</w:t>
      </w:r>
    </w:p>
    <w:p w:rsidR="000A156F" w:rsidRDefault="00A9721F">
      <w:pPr>
        <w:pStyle w:val="Definition-Field2"/>
      </w:pPr>
      <w:r>
        <w:lastRenderedPageBreak/>
        <w:t>In Office, if extrusion color is not specified, the front face color will be used as the extrusion color. If the extrusion height is zero, this element is ignored.</w:t>
      </w:r>
    </w:p>
    <w:p w:rsidR="000A156F" w:rsidRDefault="00A9721F">
      <w:pPr>
        <w:pStyle w:val="Heading3"/>
      </w:pPr>
      <w:bookmarkStart w:id="2566" w:name="section_4869d0aa50814fa19fb797cb9123eb45"/>
      <w:bookmarkStart w:id="2567" w:name="_Toc181684309"/>
      <w:r>
        <w:t>Part 1 Section 20.1.5.8, flatTx (No text in 3D scene)</w:t>
      </w:r>
      <w:bookmarkEnd w:id="2566"/>
      <w:bookmarkEnd w:id="2567"/>
      <w:r>
        <w:fldChar w:fldCharType="begin"/>
      </w:r>
      <w:r>
        <w:instrText xml:space="preserve"> XE "flatTx (No text in </w:instrText>
      </w:r>
      <w:r>
        <w:instrText xml:space="preserve">3D scene)" </w:instrText>
      </w:r>
      <w:r>
        <w:fldChar w:fldCharType="end"/>
      </w:r>
    </w:p>
    <w:p w:rsidR="000A156F" w:rsidRDefault="00A9721F">
      <w:pPr>
        <w:pStyle w:val="Definition-Field"/>
      </w:pPr>
      <w:r>
        <w:t xml:space="preserve">a.   </w:t>
      </w:r>
      <w:r>
        <w:rPr>
          <w:i/>
        </w:rPr>
        <w:t>The standard states that the flatTx element specifies the Z coordinate to be used in positioning the flat text within the 3D scene.</w:t>
      </w:r>
    </w:p>
    <w:p w:rsidR="000A156F" w:rsidRDefault="00A9721F">
      <w:pPr>
        <w:pStyle w:val="Definition-Field2"/>
      </w:pPr>
      <w:r>
        <w:t>In Office, this element is used only when the text or shape is part of a 3D rotated group.</w:t>
      </w:r>
    </w:p>
    <w:p w:rsidR="000A156F" w:rsidRDefault="00A9721F">
      <w:pPr>
        <w:pStyle w:val="Definition-Field"/>
      </w:pPr>
      <w:r>
        <w:t xml:space="preserve">b.   </w:t>
      </w:r>
      <w:r>
        <w:rPr>
          <w:i/>
        </w:rPr>
        <w:t>The stand</w:t>
      </w:r>
      <w:r>
        <w:rPr>
          <w:i/>
        </w:rPr>
        <w:t>ard states that the flatTx element is used to keep text out of a 3D scene.</w:t>
      </w:r>
    </w:p>
    <w:p w:rsidR="000A156F" w:rsidRDefault="00A9721F">
      <w:pPr>
        <w:pStyle w:val="Definition-Field2"/>
      </w:pPr>
      <w:r>
        <w:t>In Office, the text will not be subjected to the 3D camera rotation, but will instead remain in a plane orthogonal to the viewing direction.</w:t>
      </w:r>
    </w:p>
    <w:p w:rsidR="000A156F" w:rsidRDefault="00A9721F">
      <w:pPr>
        <w:pStyle w:val="Heading3"/>
      </w:pPr>
      <w:bookmarkStart w:id="2568" w:name="section_592fc3bd3e7d4045b36b62910679ae09"/>
      <w:bookmarkStart w:id="2569" w:name="_Toc181684310"/>
      <w:r>
        <w:t>Part 1 Section 20.1.5.9, lightRig (Light</w:t>
      </w:r>
      <w:r>
        <w:t xml:space="preserve"> Rig)</w:t>
      </w:r>
      <w:bookmarkEnd w:id="2568"/>
      <w:bookmarkEnd w:id="2569"/>
      <w:r>
        <w:fldChar w:fldCharType="begin"/>
      </w:r>
      <w:r>
        <w:instrText xml:space="preserve"> XE "lightRig (Light Rig)" </w:instrText>
      </w:r>
      <w:r>
        <w:fldChar w:fldCharType="end"/>
      </w:r>
    </w:p>
    <w:p w:rsidR="000A156F" w:rsidRDefault="00A9721F">
      <w:pPr>
        <w:pStyle w:val="Definition-Field"/>
      </w:pPr>
      <w:r>
        <w:t xml:space="preserve">a.   </w:t>
      </w:r>
      <w:r>
        <w:rPr>
          <w:i/>
        </w:rPr>
        <w:t>The standard states that the lightRig element defines the light rig associated with a table.</w:t>
      </w:r>
    </w:p>
    <w:p w:rsidR="000A156F" w:rsidRDefault="00A9721F">
      <w:pPr>
        <w:pStyle w:val="Definition-Field2"/>
      </w:pPr>
      <w:r>
        <w:t>In Office and the schema, the lightRig element is used to specify the lighting for any 3D scene.</w:t>
      </w:r>
    </w:p>
    <w:p w:rsidR="000A156F" w:rsidRDefault="00A9721F">
      <w:pPr>
        <w:pStyle w:val="Definition-Field"/>
      </w:pPr>
      <w:r>
        <w:t xml:space="preserve">b.   </w:t>
      </w:r>
      <w:r>
        <w:rPr>
          <w:i/>
        </w:rPr>
        <w:t>The standard does not</w:t>
      </w:r>
      <w:r>
        <w:rPr>
          <w:i/>
        </w:rPr>
        <w:t xml:space="preserve"> describe any interplay between attribute dir and child element rot.</w:t>
      </w:r>
    </w:p>
    <w:p w:rsidR="000A156F" w:rsidRDefault="00A9721F">
      <w:pPr>
        <w:pStyle w:val="Definition-Field2"/>
      </w:pPr>
      <w:r>
        <w:t>In Office, if the child element rot is specified, it will override the dir attribute of this element.</w:t>
      </w:r>
    </w:p>
    <w:p w:rsidR="000A156F" w:rsidRDefault="00A9721F">
      <w:pPr>
        <w:pStyle w:val="Definition-Field"/>
        <w:rPr>
          <w:i/>
        </w:rPr>
      </w:pPr>
      <w:r>
        <w:t xml:space="preserve">c.   </w:t>
      </w:r>
      <w:r>
        <w:rPr>
          <w:i/>
        </w:rPr>
        <w:t>The standard does not provide preset values for lightRig variables.</w:t>
      </w:r>
    </w:p>
    <w:p w:rsidR="000A156F" w:rsidRDefault="00A9721F">
      <w:pPr>
        <w:pStyle w:val="Definition-Field2"/>
      </w:pPr>
      <w:r>
        <w:t>The followin</w:t>
      </w:r>
      <w:r>
        <w:t>g table lists the preset variables for lightRig. To transform the values to a 3D-scene coordinate system, rotate each vector by multiplying the light direction by 90 degrees, which can be accomplished with the matrix:</w:t>
      </w:r>
    </w:p>
    <w:p w:rsidR="000A156F" w:rsidRDefault="00A9721F">
      <w:pPr>
        <w:ind w:left="360"/>
      </w:pPr>
      <m:oMathPara>
        <m:oMathParaPr>
          <m:jc m:val="left"/>
        </m:oMathParaPr>
        <m:oMath>
          <m:d>
            <m:dPr>
              <m:begChr m:val="["/>
              <m:endChr m:val="]"/>
              <m:ctrlPr>
                <w:rPr>
                  <w:rFonts w:ascii="Cambria Math" w:hAnsi="Cambria Math"/>
                </w:rPr>
              </m:ctrlPr>
            </m:dPr>
            <m:e>
              <m:m>
                <m:mPr>
                  <m:mcs>
                    <m:mc>
                      <m:mcPr>
                        <m:count m:val="3"/>
                        <m:mcJc m:val="center"/>
                      </m:mcPr>
                    </m:mc>
                  </m:mcs>
                  <m:ctrlPr>
                    <w:rPr>
                      <w:rFonts w:ascii="Cambria Math" w:hAnsi="Cambria Math"/>
                    </w:rPr>
                  </m:ctrlPr>
                </m:mPr>
                <m:mr>
                  <m:e>
                    <m:r>
                      <m:rPr>
                        <m:sty m:val="p"/>
                      </m:rPr>
                      <w:rPr>
                        <w:rFonts w:ascii="Cambria Math" w:hAnsi="Cambria Math"/>
                      </w:rPr>
                      <m:t>0</m:t>
                    </m:r>
                  </m:e>
                  <m:e>
                    <m:r>
                      <m:rPr>
                        <m:sty m:val="p"/>
                      </m:rPr>
                      <w:rPr>
                        <w:rFonts w:ascii="Cambria Math" w:hAnsi="Cambria Math"/>
                      </w:rPr>
                      <m:t>-1</m:t>
                    </m:r>
                  </m:e>
                  <m:e>
                    <m:r>
                      <m:rPr>
                        <m:sty m:val="p"/>
                      </m:rPr>
                      <w:rPr>
                        <w:rFonts w:ascii="Cambria Math" w:hAnsi="Cambria Math"/>
                      </w:rPr>
                      <m:t>0</m:t>
                    </m:r>
                  </m:e>
                </m:mr>
                <m:mr>
                  <m:e>
                    <m:r>
                      <m:rPr>
                        <m:sty m:val="p"/>
                      </m:rPr>
                      <w:rPr>
                        <w:rFonts w:ascii="Cambria Math" w:hAnsi="Cambria Math"/>
                      </w:rPr>
                      <m:t>-1</m:t>
                    </m:r>
                  </m:e>
                  <m:e>
                    <m:r>
                      <m:rPr>
                        <m:sty m:val="p"/>
                      </m:rPr>
                      <w:rPr>
                        <w:rFonts w:ascii="Cambria Math" w:hAnsi="Cambria Math"/>
                      </w:rPr>
                      <m:t>0</m:t>
                    </m:r>
                  </m:e>
                  <m:e>
                    <m:r>
                      <m:rPr>
                        <m:sty m:val="p"/>
                      </m:rPr>
                      <w:rPr>
                        <w:rFonts w:ascii="Cambria Math" w:hAnsi="Cambria Math"/>
                      </w:rPr>
                      <m:t>0</m:t>
                    </m:r>
                  </m:e>
                </m:mr>
                <m:mr>
                  <m:e>
                    <m:r>
                      <m:rPr>
                        <m:sty m:val="p"/>
                      </m:rPr>
                      <w:rPr>
                        <w:rFonts w:ascii="Cambria Math" w:hAnsi="Cambria Math"/>
                      </w:rPr>
                      <m:t>0</m:t>
                    </m:r>
                  </m:e>
                  <m:e>
                    <m:r>
                      <m:rPr>
                        <m:sty m:val="p"/>
                      </m:rPr>
                      <w:rPr>
                        <w:rFonts w:ascii="Cambria Math" w:hAnsi="Cambria Math"/>
                      </w:rPr>
                      <m:t>0</m:t>
                    </m:r>
                  </m:e>
                  <m:e>
                    <m:r>
                      <m:rPr>
                        <m:sty m:val="p"/>
                      </m:rPr>
                      <w:rPr>
                        <w:rFonts w:ascii="Cambria Math" w:hAnsi="Cambria Math"/>
                      </w:rPr>
                      <m:t>1</m:t>
                    </m:r>
                  </m:e>
                </m:mr>
              </m:m>
            </m:e>
          </m:d>
        </m:oMath>
      </m:oMathPara>
    </w:p>
    <w:tbl>
      <w:tblPr>
        <w:tblStyle w:val="Table-ShadedHeader"/>
        <w:tblW w:w="0" w:type="auto"/>
        <w:jc w:val="center"/>
        <w:tblInd w:w="0" w:type="dxa"/>
        <w:tblLook w:val="04A0" w:firstRow="1" w:lastRow="0" w:firstColumn="1" w:lastColumn="0" w:noHBand="0" w:noVBand="1"/>
      </w:tblPr>
      <w:tblGrid>
        <w:gridCol w:w="1222"/>
        <w:gridCol w:w="1464"/>
        <w:gridCol w:w="1515"/>
        <w:gridCol w:w="1717"/>
        <w:gridCol w:w="766"/>
        <w:gridCol w:w="848"/>
        <w:gridCol w:w="1105"/>
        <w:gridCol w:w="939"/>
      </w:tblGrid>
      <w:tr w:rsidR="000A156F" w:rsidTr="000A156F">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pPr>
            <w:r>
              <w:t>Offset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pPr>
            <w:r>
              <w:t>Diffuse</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1.141,  1.141,  1.141, 1.0 )</w:t>
            </w:r>
          </w:p>
          <w:p w:rsidR="000A156F" w:rsidRDefault="00A9721F">
            <w:pPr>
              <w:pStyle w:val="TableBodyText"/>
            </w:pPr>
            <w:r>
              <w:t>(  0.500,  0.500,  0.500, 1.0 )</w:t>
            </w:r>
          </w:p>
          <w:p w:rsidR="000A156F" w:rsidRDefault="00A9721F">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-0.6515, -0.2693, -0.7093 )</w:t>
            </w:r>
          </w:p>
          <w:p w:rsidR="000A156F" w:rsidRDefault="00A9721F">
            <w:pPr>
              <w:pStyle w:val="TableBodyText"/>
            </w:pPr>
            <w:r>
              <w:t>(  0.8482,  0.2469, -0.4686 )</w:t>
            </w:r>
          </w:p>
          <w:p w:rsidR="000A156F" w:rsidRDefault="00A9721F">
            <w:pPr>
              <w:pStyle w:val="TableBodyText"/>
            </w:pPr>
            <w:r>
              <w:t>(  0.5634,</w:t>
            </w:r>
            <w:r>
              <w:t xml:space="preserve">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1.050,  1.050,  1.050, 1.0 )</w:t>
            </w:r>
          </w:p>
          <w:p w:rsidR="000A156F" w:rsidRDefault="00A9721F">
            <w:pPr>
              <w:pStyle w:val="TableBodyText"/>
            </w:pPr>
            <w:r>
              <w:t>(  1.000,  1.000,  1.000, 1.0 )</w:t>
            </w:r>
          </w:p>
          <w:p w:rsidR="000A156F" w:rsidRDefault="00A9721F">
            <w:pPr>
              <w:pStyle w:val="TableBodyText"/>
            </w:pPr>
            <w:r>
              <w:t>(  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0.5263, -0.4092, -0.7453 )</w:t>
            </w:r>
          </w:p>
          <w:p w:rsidR="000A156F" w:rsidRDefault="00A9721F">
            <w:pPr>
              <w:pStyle w:val="TableBodyText"/>
            </w:pPr>
            <w:r>
              <w:t xml:space="preserve">( -0.9386,  0.3426, </w:t>
            </w:r>
            <w:r>
              <w:t>-0.0410 )</w:t>
            </w:r>
          </w:p>
          <w:p w:rsidR="000A156F" w:rsidRDefault="00A9721F">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lastRenderedPageBreak/>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xml:space="preserve">(  0.880,  </w:t>
            </w:r>
            <w:r>
              <w:t>0.880,  0.880, 1.0 )</w:t>
            </w:r>
          </w:p>
          <w:p w:rsidR="000A156F" w:rsidRDefault="00A9721F">
            <w:pPr>
              <w:pStyle w:val="TableBodyText"/>
            </w:pPr>
            <w:r>
              <w:t>(  0.880,  0.880,  0.880,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0.6689, -0.6755, -0.3104 )</w:t>
            </w:r>
          </w:p>
          <w:p w:rsidR="000A156F" w:rsidRDefault="00A9721F">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1.100,  1.100,  1.100, 1.0 )</w:t>
            </w:r>
          </w:p>
          <w:p w:rsidR="000A156F" w:rsidRDefault="00A9721F">
            <w:pPr>
              <w:pStyle w:val="TableBodyText"/>
            </w:pPr>
            <w:r>
              <w:t>(  1.100,  1.100,  1.100, 1.0 )</w:t>
            </w:r>
          </w:p>
          <w:p w:rsidR="000A156F" w:rsidRDefault="00A9721F">
            <w:pPr>
              <w:pStyle w:val="TableBodyText"/>
            </w:pPr>
            <w:r>
              <w:t xml:space="preserve">(  </w:t>
            </w:r>
            <w:r>
              <w:t>0.550,  0.550,  0.550, 1.0 )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0.5685, -0.7651, -0.3022 )</w:t>
            </w:r>
          </w:p>
          <w:p w:rsidR="000A156F" w:rsidRDefault="00A9721F">
            <w:pPr>
              <w:pStyle w:val="TableBodyText"/>
            </w:pPr>
            <w:r>
              <w:t>( -0.2366, -0.9595, -0.1531 )</w:t>
            </w:r>
          </w:p>
          <w:p w:rsidR="000A156F" w:rsidRDefault="00A9721F">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1.000,  1.000,  1.000, 1.0 )</w:t>
            </w:r>
          </w:p>
          <w:p w:rsidR="000A156F" w:rsidRDefault="00A9721F">
            <w:pPr>
              <w:pStyle w:val="TableBodyText"/>
            </w:pPr>
            <w:r>
              <w:t xml:space="preserve">(  1.000,  </w:t>
            </w:r>
            <w:r>
              <w:t>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0.0000, -1.0000, 0.0000 )</w:t>
            </w:r>
          </w:p>
          <w:p w:rsidR="000A156F" w:rsidRDefault="00A9721F">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No</w:t>
            </w:r>
          </w:p>
          <w:p w:rsidR="000A156F" w:rsidRDefault="00A9721F">
            <w:pPr>
              <w:pStyle w:val="TableBodyText"/>
            </w:pPr>
            <w:r>
              <w:t>No</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0.669,  0.648,  0.596, 1.0 )</w:t>
            </w:r>
          </w:p>
          <w:p w:rsidR="000A156F" w:rsidRDefault="00A9721F">
            <w:pPr>
              <w:pStyle w:val="TableBodyText"/>
            </w:pPr>
            <w:r>
              <w:t>(  0.459,  0.454,  0.385, 1.0 )</w:t>
            </w:r>
          </w:p>
          <w:p w:rsidR="000A156F" w:rsidRDefault="00A9721F">
            <w:pPr>
              <w:pStyle w:val="TableBodyText"/>
            </w:pPr>
            <w:r>
              <w:t>(  0.900,  0.860,  0.830, 1.0 )</w:t>
            </w:r>
          </w:p>
          <w:p w:rsidR="000A156F" w:rsidRDefault="00A9721F">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xml:space="preserve">(  </w:t>
            </w:r>
            <w:r>
              <w:t>0.6574, -0.7316, -0.1806 )</w:t>
            </w:r>
          </w:p>
          <w:p w:rsidR="000A156F" w:rsidRDefault="00A9721F">
            <w:pPr>
              <w:pStyle w:val="TableBodyText"/>
            </w:pPr>
            <w:r>
              <w:t>( -0.2781, -0.4509, -0.8482 )</w:t>
            </w:r>
          </w:p>
          <w:p w:rsidR="000A156F" w:rsidRDefault="00A9721F">
            <w:pPr>
              <w:pStyle w:val="TableBodyText"/>
            </w:pPr>
            <w:r>
              <w:t>(  0.6720, -0.6185, -0.4073 )</w:t>
            </w:r>
          </w:p>
          <w:p w:rsidR="000A156F" w:rsidRDefault="00A9721F">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No</w:t>
            </w:r>
          </w:p>
          <w:p w:rsidR="000A156F" w:rsidRDefault="00A9721F">
            <w:pPr>
              <w:pStyle w:val="TableBodyText"/>
            </w:pPr>
            <w:r>
              <w:t>No</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0.667,  0.630,  0.527, 1.0 )</w:t>
            </w:r>
          </w:p>
          <w:p w:rsidR="000A156F" w:rsidRDefault="00A9721F">
            <w:pPr>
              <w:pStyle w:val="TableBodyText"/>
            </w:pPr>
            <w:r>
              <w:t>(  0.459,  0.459,  0.371, 1.0 )</w:t>
            </w:r>
          </w:p>
          <w:p w:rsidR="000A156F" w:rsidRDefault="00A9721F">
            <w:pPr>
              <w:pStyle w:val="TableBodyText"/>
            </w:pPr>
            <w:r>
              <w:t>(  0.826,  0.712,  0.638, 1.0 )</w:t>
            </w:r>
          </w:p>
          <w:p w:rsidR="000A156F" w:rsidRDefault="00A9721F">
            <w:pPr>
              <w:pStyle w:val="TableBodyText"/>
            </w:pPr>
            <w:r>
              <w:t>(  1.511,  1.319,  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0.6574, -0.7316, -0.1806 )</w:t>
            </w:r>
          </w:p>
          <w:p w:rsidR="000A156F" w:rsidRDefault="00A9721F">
            <w:pPr>
              <w:pStyle w:val="TableBodyText"/>
            </w:pPr>
            <w:r>
              <w:t>( -0.2781, -0.4509, -0.8482 )</w:t>
            </w:r>
          </w:p>
          <w:p w:rsidR="000A156F" w:rsidRDefault="00A9721F">
            <w:pPr>
              <w:pStyle w:val="TableBodyText"/>
            </w:pPr>
            <w:r>
              <w:t>(  0.6720, -0.6185, -0.4073 )</w:t>
            </w:r>
          </w:p>
          <w:p w:rsidR="000A156F" w:rsidRDefault="00A9721F">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No</w:t>
            </w:r>
          </w:p>
          <w:p w:rsidR="000A156F" w:rsidRDefault="00A9721F">
            <w:pPr>
              <w:pStyle w:val="TableBodyText"/>
            </w:pPr>
            <w:r>
              <w:t>No</w:t>
            </w:r>
          </w:p>
          <w:p w:rsidR="000A156F" w:rsidRDefault="00A9721F">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0.672,  0.169,  0.169, 1.0 )</w:t>
            </w:r>
          </w:p>
          <w:p w:rsidR="000A156F" w:rsidRDefault="00A9721F">
            <w:pPr>
              <w:pStyle w:val="TableBodyText"/>
            </w:pPr>
            <w:r>
              <w:t>(  0.459,  0.448,  0.327, 1.0 )</w:t>
            </w:r>
          </w:p>
          <w:p w:rsidR="000A156F" w:rsidRDefault="00A9721F">
            <w:pPr>
              <w:pStyle w:val="TableBodyText"/>
            </w:pPr>
            <w:r>
              <w:t>(  0.775,  0.612,  0.502, 1.0 )</w:t>
            </w:r>
          </w:p>
          <w:p w:rsidR="000A156F" w:rsidRDefault="00A9721F">
            <w:pPr>
              <w:pStyle w:val="TableBodyText"/>
            </w:pPr>
            <w:r>
              <w:lastRenderedPageBreak/>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lastRenderedPageBreak/>
              <w:t>(  0.6574, -0.7316, -0.1806 )</w:t>
            </w:r>
          </w:p>
          <w:p w:rsidR="000A156F" w:rsidRDefault="00A9721F">
            <w:pPr>
              <w:pStyle w:val="TableBodyText"/>
            </w:pPr>
            <w:r>
              <w:t>(  0.0922, -0.3551, -0.9303 )</w:t>
            </w:r>
          </w:p>
          <w:p w:rsidR="000A156F" w:rsidRDefault="00A9721F">
            <w:pPr>
              <w:pStyle w:val="TableBodyText"/>
            </w:pPr>
            <w:r>
              <w:t>(  0.6720, -0.6185, -0.4073 )</w:t>
            </w:r>
          </w:p>
          <w:p w:rsidR="000A156F" w:rsidRDefault="00A9721F">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No</w:t>
            </w:r>
          </w:p>
          <w:p w:rsidR="000A156F" w:rsidRDefault="00A9721F">
            <w:pPr>
              <w:pStyle w:val="TableBodyText"/>
            </w:pPr>
            <w:r>
              <w:t>No</w:t>
            </w:r>
          </w:p>
          <w:p w:rsidR="000A156F" w:rsidRDefault="00A9721F">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0.110,  0.110,  0.110,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0.310,  0.320,  0.320, 1.0 )</w:t>
            </w:r>
          </w:p>
          <w:p w:rsidR="000A156F" w:rsidRDefault="00A9721F">
            <w:pPr>
              <w:pStyle w:val="TableBodyText"/>
            </w:pPr>
            <w:r>
              <w:t>(  0.450,  0.450,  0.450, 1.0 )</w:t>
            </w:r>
          </w:p>
          <w:p w:rsidR="000A156F" w:rsidRDefault="00A9721F">
            <w:pPr>
              <w:pStyle w:val="TableBodyText"/>
            </w:pPr>
            <w:r>
              <w:t>(  1.030,  1.020,  1.150, 1.0 )</w:t>
            </w:r>
          </w:p>
          <w:p w:rsidR="000A156F" w:rsidRDefault="00A9721F">
            <w:pPr>
              <w:pStyle w:val="TableBodyText"/>
            </w:pPr>
            <w:r>
              <w:t>(  0.410,  0.450,  0.480,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0.6574, -0.7316, -0.1806 )</w:t>
            </w:r>
          </w:p>
          <w:p w:rsidR="000A156F" w:rsidRDefault="00A9721F">
            <w:pPr>
              <w:pStyle w:val="TableBodyText"/>
            </w:pPr>
            <w:r>
              <w:t xml:space="preserve">( </w:t>
            </w:r>
            <w:r>
              <w:t>-0.3539, -0.1505, -0.9231 )</w:t>
            </w:r>
          </w:p>
          <w:p w:rsidR="000A156F" w:rsidRDefault="00A9721F">
            <w:pPr>
              <w:pStyle w:val="TableBodyText"/>
            </w:pPr>
            <w:r>
              <w:t>(  0.6720, -0.6185, -0.4073 )</w:t>
            </w:r>
          </w:p>
          <w:p w:rsidR="000A156F" w:rsidRDefault="00A9721F">
            <w:pPr>
              <w:pStyle w:val="TableBodyText"/>
            </w:pPr>
            <w:r>
              <w:t>( -0.5781,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No</w:t>
            </w:r>
          </w:p>
          <w:p w:rsidR="000A156F" w:rsidRDefault="00A9721F">
            <w:pPr>
              <w:pStyle w:val="TableBodyText"/>
            </w:pPr>
            <w:r>
              <w:t>No</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0.530,  0.567,  0.661, 1.0 )</w:t>
            </w:r>
          </w:p>
          <w:p w:rsidR="000A156F" w:rsidRDefault="00A9721F">
            <w:pPr>
              <w:pStyle w:val="TableBodyText"/>
            </w:pPr>
            <w:r>
              <w:t>(  0.370,  0.461,  0.461, 1.0 )</w:t>
            </w:r>
          </w:p>
          <w:p w:rsidR="000A156F" w:rsidRDefault="00A9721F">
            <w:pPr>
              <w:pStyle w:val="TableBodyText"/>
            </w:pPr>
            <w:r>
              <w:t>(  0.649,  0.638,  0.904, 1.0</w:t>
            </w:r>
            <w:r>
              <w:t xml:space="preserve"> )</w:t>
            </w:r>
          </w:p>
          <w:p w:rsidR="000A156F" w:rsidRDefault="00A9721F">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0.6574, -0.7316, -0.1806 )</w:t>
            </w:r>
          </w:p>
          <w:p w:rsidR="000A156F" w:rsidRDefault="00A9721F">
            <w:pPr>
              <w:pStyle w:val="TableBodyText"/>
            </w:pPr>
            <w:r>
              <w:t>( -0.2781, -0.4509, -0.8482 )</w:t>
            </w:r>
          </w:p>
          <w:p w:rsidR="000A156F" w:rsidRDefault="00A9721F">
            <w:pPr>
              <w:pStyle w:val="TableBodyText"/>
            </w:pPr>
            <w:r>
              <w:t>(  0.6720, -0.6185, -0.4073 )</w:t>
            </w:r>
          </w:p>
          <w:p w:rsidR="000A156F" w:rsidRDefault="00A9721F">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No</w:t>
            </w:r>
          </w:p>
          <w:p w:rsidR="000A156F" w:rsidRDefault="00A9721F">
            <w:pPr>
              <w:pStyle w:val="TableBodyText"/>
            </w:pPr>
            <w:r>
              <w:t>No</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xml:space="preserve">(  </w:t>
            </w:r>
            <w:r>
              <w:t>0.821,  0.821,  0.821, 1.0 )</w:t>
            </w:r>
          </w:p>
          <w:p w:rsidR="000A156F" w:rsidRDefault="00A9721F">
            <w:pPr>
              <w:pStyle w:val="TableBodyText"/>
            </w:pPr>
            <w:r>
              <w:t>(  2.072,  2.540,  2.910, 1.0 )</w:t>
            </w:r>
          </w:p>
          <w:p w:rsidR="000A156F" w:rsidRDefault="00A9721F">
            <w:pPr>
              <w:pStyle w:val="TableBodyText"/>
            </w:pPr>
            <w:r>
              <w:t>(  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-0.9546, -0.1619, -0.2502 )</w:t>
            </w:r>
          </w:p>
          <w:p w:rsidR="000A156F" w:rsidRDefault="00A9721F">
            <w:pPr>
              <w:pStyle w:val="TableBodyText"/>
            </w:pPr>
            <w:r>
              <w:t>(  0.0009,  0.8605,  0.5095 )</w:t>
            </w:r>
          </w:p>
          <w:p w:rsidR="000A156F" w:rsidRDefault="00A9721F">
            <w:pPr>
              <w:pStyle w:val="TableBodyText"/>
            </w:pPr>
            <w:r>
              <w:t>(  0.6574, -0.7316, -0.1806 )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No</w:t>
            </w:r>
          </w:p>
          <w:p w:rsidR="000A156F" w:rsidRDefault="00A9721F">
            <w:pPr>
              <w:pStyle w:val="TableBodyText"/>
            </w:pPr>
            <w:r>
              <w:t>No</w:t>
            </w:r>
          </w:p>
          <w:p w:rsidR="000A156F" w:rsidRDefault="00A9721F">
            <w:pPr>
              <w:pStyle w:val="TableBodyText"/>
            </w:pPr>
            <w:r>
              <w:t>No</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0.250,  0.250, </w:t>
            </w:r>
            <w:r>
              <w:t xml:space="preserve">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0.840,  0.840,  0.840, 1.0 )</w:t>
            </w:r>
          </w:p>
          <w:p w:rsidR="000A156F" w:rsidRDefault="00A9721F">
            <w:pPr>
              <w:pStyle w:val="TableBodyText"/>
            </w:pPr>
            <w:r>
              <w:t>(  0.300,  0.300,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0.5266, -0.4089, -0.7454 )</w:t>
            </w:r>
          </w:p>
          <w:p w:rsidR="000A156F" w:rsidRDefault="00A9721F">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1.000,  1.000,  1.000, 1.0 )</w:t>
            </w:r>
          </w:p>
          <w:p w:rsidR="000A156F" w:rsidRDefault="00A9721F">
            <w:pPr>
              <w:pStyle w:val="TableBodyText"/>
            </w:pPr>
            <w:r>
              <w:t xml:space="preserve">(  0.700,  </w:t>
            </w:r>
            <w:r>
              <w:t>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0.0000, -1.0000, 0.0000 )</w:t>
            </w:r>
          </w:p>
          <w:p w:rsidR="000A156F" w:rsidRDefault="00A9721F">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Yes</w:t>
            </w:r>
          </w:p>
        </w:tc>
      </w:tr>
      <w:tr w:rsidR="000A156F" w:rsidTr="000A156F">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  1.000,  1.000,  1.000, 1.0 )</w:t>
            </w:r>
          </w:p>
          <w:p w:rsidR="000A156F" w:rsidRDefault="00A9721F">
            <w:pPr>
              <w:pStyle w:val="TableBodyText"/>
            </w:pPr>
            <w:r>
              <w:t>(  1.000,  1.000,  1.000, 1.0 )</w:t>
            </w:r>
          </w:p>
          <w:p w:rsidR="000A156F" w:rsidRDefault="00A9721F">
            <w:pPr>
              <w:pStyle w:val="TableBodyText"/>
            </w:pPr>
            <w:r>
              <w:lastRenderedPageBreak/>
              <w:t>( -0.500, -0.500, -0.500, 1.0 )</w:t>
            </w:r>
          </w:p>
          <w:p w:rsidR="000A156F" w:rsidRDefault="00A9721F">
            <w:pPr>
              <w:pStyle w:val="TableBodyText"/>
            </w:pPr>
            <w:r>
              <w:t xml:space="preserve">(  </w:t>
            </w:r>
            <w:r>
              <w:t>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lastRenderedPageBreak/>
              <w:t>(  0.0000, -1.0000, 0.0000 )</w:t>
            </w:r>
          </w:p>
          <w:p w:rsidR="000A156F" w:rsidRDefault="00A9721F">
            <w:pPr>
              <w:pStyle w:val="TableBodyText"/>
            </w:pPr>
            <w:r>
              <w:t>(  0.8227, -0.1882, -0.5364 )</w:t>
            </w:r>
          </w:p>
          <w:p w:rsidR="000A156F" w:rsidRDefault="00A9721F">
            <w:pPr>
              <w:pStyle w:val="TableBodyText"/>
            </w:pPr>
            <w:r>
              <w:t>(  0.0000,  0.0000, -1.0000 )</w:t>
            </w:r>
          </w:p>
          <w:p w:rsidR="000A156F" w:rsidRDefault="00A9721F">
            <w:pPr>
              <w:pStyle w:val="TableBodyText"/>
            </w:pPr>
            <w:r>
              <w:lastRenderedPageBreak/>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lastRenderedPageBreak/>
              <w:t>1.0</w:t>
            </w:r>
          </w:p>
          <w:p w:rsidR="000A156F" w:rsidRDefault="00A9721F">
            <w:pPr>
              <w:pStyle w:val="TableBodyText"/>
            </w:pPr>
            <w:r>
              <w:t>1.0</w:t>
            </w:r>
          </w:p>
          <w:p w:rsidR="000A156F" w:rsidRDefault="00A9721F">
            <w:pPr>
              <w:pStyle w:val="TableBodyText"/>
            </w:pPr>
            <w:r>
              <w:t>1.0</w:t>
            </w:r>
          </w:p>
          <w:p w:rsidR="000A156F" w:rsidRDefault="00A9721F">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0.0</w:t>
            </w:r>
          </w:p>
          <w:p w:rsidR="000A156F" w:rsidRDefault="00A9721F">
            <w:pPr>
              <w:pStyle w:val="TableBodyText"/>
            </w:pPr>
            <w:r>
              <w:t>0.0</w:t>
            </w:r>
          </w:p>
          <w:p w:rsidR="000A156F" w:rsidRDefault="00A9721F">
            <w:pPr>
              <w:pStyle w:val="TableBodyText"/>
            </w:pPr>
            <w:r>
              <w:t>0.0</w:t>
            </w:r>
          </w:p>
          <w:p w:rsidR="000A156F" w:rsidRDefault="00A9721F">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No</w:t>
            </w:r>
          </w:p>
          <w:p w:rsidR="000A156F" w:rsidRDefault="00A9721F">
            <w:pPr>
              <w:pStyle w:val="TableBodyText"/>
            </w:pPr>
            <w:r>
              <w:t>Yes</w:t>
            </w:r>
          </w:p>
          <w:p w:rsidR="000A156F" w:rsidRDefault="00A9721F">
            <w:pPr>
              <w:pStyle w:val="TableBodyText"/>
            </w:pPr>
            <w:r>
              <w:t>No</w:t>
            </w:r>
          </w:p>
          <w:p w:rsidR="000A156F" w:rsidRDefault="00A9721F">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pPr>
            <w:r>
              <w:t>Yes</w:t>
            </w:r>
          </w:p>
          <w:p w:rsidR="000A156F" w:rsidRDefault="00A9721F">
            <w:pPr>
              <w:pStyle w:val="TableBodyText"/>
            </w:pPr>
            <w:r>
              <w:t>No</w:t>
            </w:r>
          </w:p>
          <w:p w:rsidR="000A156F" w:rsidRDefault="00A9721F">
            <w:pPr>
              <w:pStyle w:val="TableBodyText"/>
            </w:pPr>
            <w:r>
              <w:t>Yes</w:t>
            </w:r>
          </w:p>
          <w:p w:rsidR="000A156F" w:rsidRDefault="00A9721F">
            <w:pPr>
              <w:pStyle w:val="TableBodyText"/>
            </w:pPr>
            <w:r>
              <w:t>Yes</w:t>
            </w:r>
          </w:p>
        </w:tc>
      </w:tr>
    </w:tbl>
    <w:p w:rsidR="000A156F" w:rsidRDefault="000A156F">
      <w:pPr>
        <w:pStyle w:val="Definition-Field2"/>
      </w:pPr>
    </w:p>
    <w:p w:rsidR="000A156F" w:rsidRDefault="00A9721F">
      <w:pPr>
        <w:pStyle w:val="Heading3"/>
      </w:pPr>
      <w:bookmarkStart w:id="2570" w:name="section_32748302650a42e1ac582c72704f2a51"/>
      <w:bookmarkStart w:id="2571" w:name="_Toc181684311"/>
      <w:r>
        <w:t>Part 1 Section 20.1.5.10, norm (Normal)</w:t>
      </w:r>
      <w:bookmarkEnd w:id="2570"/>
      <w:bookmarkEnd w:id="2571"/>
      <w:r>
        <w:fldChar w:fldCharType="begin"/>
      </w:r>
      <w:r>
        <w:instrText xml:space="preserve"> XE "norm (Normal)" </w:instrText>
      </w:r>
      <w:r>
        <w:fldChar w:fldCharType="end"/>
      </w:r>
    </w:p>
    <w:p w:rsidR="000A156F" w:rsidRDefault="00A9721F">
      <w:pPr>
        <w:pStyle w:val="Definition-Field"/>
      </w:pPr>
      <w:r>
        <w:t xml:space="preserve">a.   </w:t>
      </w:r>
      <w:r>
        <w:rPr>
          <w:i/>
        </w:rPr>
        <w:t>The standard accepts any vector for the backdrop plane normal vector.</w:t>
      </w:r>
    </w:p>
    <w:p w:rsidR="000A156F" w:rsidRDefault="00A9721F">
      <w:pPr>
        <w:pStyle w:val="Definition-Field2"/>
      </w:pPr>
      <w:r>
        <w:t>Office requires that the normal vector be nonzero in length.</w:t>
      </w:r>
    </w:p>
    <w:p w:rsidR="000A156F" w:rsidRDefault="00A9721F">
      <w:pPr>
        <w:pStyle w:val="Heading3"/>
      </w:pPr>
      <w:bookmarkStart w:id="2572" w:name="section_d44e6f9209a94d8bb8c75220c6c85203"/>
      <w:bookmarkStart w:id="2573" w:name="_Toc181684312"/>
      <w:r>
        <w:t>Part 1 Section 20.1.5.12, sp3d (Apply 3D shape properties)</w:t>
      </w:r>
      <w:bookmarkEnd w:id="2572"/>
      <w:bookmarkEnd w:id="2573"/>
      <w:r>
        <w:fldChar w:fldCharType="begin"/>
      </w:r>
      <w:r>
        <w:instrText xml:space="preserve"> XE "sp3d (Apply 3D shape properties)" </w:instrText>
      </w:r>
      <w:r>
        <w:fldChar w:fldCharType="end"/>
      </w:r>
    </w:p>
    <w:p w:rsidR="000A156F" w:rsidRDefault="00A9721F">
      <w:pPr>
        <w:pStyle w:val="Definition-Field"/>
      </w:pPr>
      <w:r>
        <w:t xml:space="preserve">a.   </w:t>
      </w:r>
      <w:r>
        <w:rPr>
          <w:i/>
        </w:rPr>
        <w:t>The standard does not describe default behavior when contourClr and extrusionClr child elements are unspecified.</w:t>
      </w:r>
    </w:p>
    <w:p w:rsidR="000A156F" w:rsidRDefault="00A9721F">
      <w:pPr>
        <w:pStyle w:val="Definition-Field2"/>
      </w:pPr>
      <w:r>
        <w:t>In Office, child element contourClr defaults to black and child element extrusionClr defaults to the front face color.</w:t>
      </w:r>
    </w:p>
    <w:p w:rsidR="000A156F" w:rsidRDefault="00A9721F">
      <w:pPr>
        <w:pStyle w:val="Definition-Field"/>
      </w:pPr>
      <w:r>
        <w:t xml:space="preserve">b.   </w:t>
      </w:r>
      <w:r>
        <w:rPr>
          <w:i/>
        </w:rPr>
        <w:t>The standar</w:t>
      </w:r>
      <w:r>
        <w:rPr>
          <w:i/>
        </w:rPr>
        <w:t>d does not describe default behavior when contour width is zero.</w:t>
      </w:r>
    </w:p>
    <w:p w:rsidR="000A156F" w:rsidRDefault="00A9721F">
      <w:pPr>
        <w:pStyle w:val="Definition-Field2"/>
      </w:pPr>
      <w:r>
        <w:t>In Office, if the contour width is zero, then no contour is presumed and contour color is ignored.</w:t>
      </w:r>
    </w:p>
    <w:p w:rsidR="000A156F" w:rsidRDefault="00A9721F">
      <w:pPr>
        <w:pStyle w:val="Heading3"/>
      </w:pPr>
      <w:bookmarkStart w:id="2574" w:name="section_586892cc568a469e9a6682293405b66e"/>
      <w:bookmarkStart w:id="2575" w:name="_Toc181684313"/>
      <w:r>
        <w:t>Part 1 Section 20.1.5.13, up (Up Vector)</w:t>
      </w:r>
      <w:bookmarkEnd w:id="2574"/>
      <w:bookmarkEnd w:id="2575"/>
      <w:r>
        <w:fldChar w:fldCharType="begin"/>
      </w:r>
      <w:r>
        <w:instrText xml:space="preserve"> XE "up (Up Vector)" </w:instrText>
      </w:r>
      <w:r>
        <w:fldChar w:fldCharType="end"/>
      </w:r>
    </w:p>
    <w:p w:rsidR="000A156F" w:rsidRDefault="00A9721F">
      <w:pPr>
        <w:pStyle w:val="Definition-Field"/>
      </w:pPr>
      <w:r>
        <w:t xml:space="preserve">a.   </w:t>
      </w:r>
      <w:r>
        <w:rPr>
          <w:i/>
        </w:rPr>
        <w:t>The standard accepts an</w:t>
      </w:r>
      <w:r>
        <w:rPr>
          <w:i/>
        </w:rPr>
        <w:t>y vector for backdrop plane up vector.</w:t>
      </w:r>
    </w:p>
    <w:p w:rsidR="000A156F" w:rsidRDefault="00A9721F">
      <w:pPr>
        <w:pStyle w:val="Definition-Field2"/>
      </w:pPr>
      <w:r>
        <w:t>Office requires that the up vector be nonzero in length.</w:t>
      </w:r>
    </w:p>
    <w:p w:rsidR="000A156F" w:rsidRDefault="00A9721F">
      <w:pPr>
        <w:pStyle w:val="Heading3"/>
      </w:pPr>
      <w:bookmarkStart w:id="2576" w:name="section_f8503f451cbd45bdb570375c5a029720"/>
      <w:bookmarkStart w:id="2577" w:name="_Toc181684314"/>
      <w:r>
        <w:t>Part 1 Section 20.1.7.1, chExt (Child Extents)</w:t>
      </w:r>
      <w:bookmarkEnd w:id="2576"/>
      <w:bookmarkEnd w:id="2577"/>
      <w:r>
        <w:fldChar w:fldCharType="begin"/>
      </w:r>
      <w:r>
        <w:instrText xml:space="preserve"> XE "chExt (Child Extents)"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A156F" w:rsidRDefault="00A9721F">
      <w:pPr>
        <w:pStyle w:val="Definition-Field"/>
      </w:pPr>
      <w:r>
        <w:t xml:space="preserve">a.   </w:t>
      </w:r>
      <w:r>
        <w:rPr>
          <w:i/>
        </w:rPr>
        <w:t>The standard states that the child extents defined by the chExt element are us</w:t>
      </w:r>
      <w:r>
        <w:rPr>
          <w:i/>
        </w:rPr>
        <w:t>ed for calculations of grouping, scaling and rotating.</w:t>
      </w:r>
    </w:p>
    <w:p w:rsidR="000A156F" w:rsidRDefault="00A9721F">
      <w:pPr>
        <w:pStyle w:val="Definition-Field2"/>
      </w:pPr>
      <w:r>
        <w:t xml:space="preserve">In Office, this element additionally defines the group scaling factor which is the ratio of the extents to child extents when the size of the child extents is nonzero. If the size of the child extents </w:t>
      </w:r>
      <w:r>
        <w:t>is zero or omitted, there is no group scaling.</w:t>
      </w:r>
    </w:p>
    <w:p w:rsidR="000A156F" w:rsidRDefault="00A9721F">
      <w:pPr>
        <w:pStyle w:val="Heading3"/>
      </w:pPr>
      <w:bookmarkStart w:id="2578" w:name="section_bb0ea49131314a6aadc803f173655076"/>
      <w:bookmarkStart w:id="2579" w:name="_Toc181684315"/>
      <w:r>
        <w:t>Part 1 Section 20.1.7.2, chOff (Child Offset)</w:t>
      </w:r>
      <w:bookmarkEnd w:id="2578"/>
      <w:bookmarkEnd w:id="2579"/>
      <w:r>
        <w:fldChar w:fldCharType="begin"/>
      </w:r>
      <w:r>
        <w:instrText xml:space="preserve"> XE "chOff (Child Offset)" </w:instrText>
      </w:r>
      <w:r>
        <w:fldChar w:fldCharType="end"/>
      </w:r>
    </w:p>
    <w:p w:rsidR="000A156F" w:rsidRDefault="00A9721F">
      <w:pPr>
        <w:pStyle w:val="Definition-Field"/>
      </w:pPr>
      <w:r>
        <w:t xml:space="preserve">a.   </w:t>
      </w:r>
      <w:r>
        <w:rPr>
          <w:i/>
        </w:rPr>
        <w:t>The standard states that the child offset defined by the chOff element specifies the location of the child extents rectangle, whi</w:t>
      </w:r>
      <w:r>
        <w:rPr>
          <w:i/>
        </w:rPr>
        <w:t>ch is used for calculations of grouping, scaling and rotating.</w:t>
      </w:r>
    </w:p>
    <w:p w:rsidR="000A156F" w:rsidRDefault="00A9721F">
      <w:pPr>
        <w:pStyle w:val="Definition-Field2"/>
      </w:pPr>
      <w:r>
        <w:t>In Office, the child extents and offset are used to determine the center for scaling, rotation and flipping.</w:t>
      </w:r>
    </w:p>
    <w:p w:rsidR="000A156F" w:rsidRDefault="00A9721F">
      <w:pPr>
        <w:pStyle w:val="Definition-Field"/>
      </w:pPr>
      <w:r>
        <w:t xml:space="preserve">b.   </w:t>
      </w:r>
      <w:r>
        <w:rPr>
          <w:i/>
        </w:rPr>
        <w:t>The standard states that the y attribute specifies a coordinate on the x-axis.</w:t>
      </w:r>
    </w:p>
    <w:p w:rsidR="000A156F" w:rsidRDefault="00A9721F">
      <w:pPr>
        <w:pStyle w:val="Definition-Field2"/>
      </w:pPr>
      <w:r>
        <w:lastRenderedPageBreak/>
        <w:t>In Office, the y attribute specifies a coordinate on the y-axis.</w:t>
      </w:r>
    </w:p>
    <w:p w:rsidR="000A156F" w:rsidRDefault="00A9721F">
      <w:pPr>
        <w:pStyle w:val="Heading3"/>
      </w:pPr>
      <w:bookmarkStart w:id="2580" w:name="section_9e4a12191d6848e683413379366befad"/>
      <w:bookmarkStart w:id="2581" w:name="_Toc181684316"/>
      <w:r>
        <w:t>Part 1 Section 20.1.7.3, ext (Extents)</w:t>
      </w:r>
      <w:bookmarkEnd w:id="2580"/>
      <w:bookmarkEnd w:id="2581"/>
      <w:r>
        <w:fldChar w:fldCharType="begin"/>
      </w:r>
      <w:r>
        <w:instrText xml:space="preserve"> XE "ext (Extents)"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A156F" w:rsidRDefault="00A9721F">
      <w:pPr>
        <w:pStyle w:val="Definition-Field"/>
      </w:pPr>
      <w:r>
        <w:t xml:space="preserve">a.   </w:t>
      </w:r>
      <w:r>
        <w:rPr>
          <w:i/>
        </w:rPr>
        <w:t>The standard states that the ext element specifies the size of the bounding box enclosing the referenced object.</w:t>
      </w:r>
    </w:p>
    <w:p w:rsidR="000A156F" w:rsidRDefault="00A9721F">
      <w:pPr>
        <w:pStyle w:val="Definition-Field2"/>
      </w:pPr>
      <w:r>
        <w:t>In Office, the extents also determine the size and center of the object for most geometry defin</w:t>
      </w:r>
      <w:r>
        <w:t>itions. If the geometry data is independent of these extents, they are only used to determine the center for rotation and flipping.</w:t>
      </w:r>
    </w:p>
    <w:p w:rsidR="000A156F" w:rsidRDefault="00A9721F">
      <w:pPr>
        <w:pStyle w:val="Heading3"/>
      </w:pPr>
      <w:bookmarkStart w:id="2582" w:name="section_55f6dcf88ab84a2999bfe36ee955647f"/>
      <w:bookmarkStart w:id="2583" w:name="_Toc181684317"/>
      <w:r>
        <w:t>Part 1 Section 20.1.7.4, off (Offset)</w:t>
      </w:r>
      <w:bookmarkEnd w:id="2582"/>
      <w:bookmarkEnd w:id="2583"/>
      <w:r>
        <w:fldChar w:fldCharType="begin"/>
      </w:r>
      <w:r>
        <w:instrText xml:space="preserve"> XE "off (Offset)" </w:instrText>
      </w:r>
      <w:r>
        <w:fldChar w:fldCharType="end"/>
      </w:r>
    </w:p>
    <w:p w:rsidR="000A156F" w:rsidRDefault="00A9721F">
      <w:pPr>
        <w:pStyle w:val="Definition-Field2"/>
      </w:pPr>
      <w:r>
        <w:rPr>
          <w:i/>
        </w:rPr>
        <w:t xml:space="preserve">For additional notes that apply to this portion of the standard, </w:t>
      </w:r>
      <w:r>
        <w:rPr>
          <w:i/>
        </w:rPr>
        <w:t xml:space="preserve">please see the notes for </w:t>
      </w:r>
      <w:hyperlink w:anchor="Section_bb0ea49131314a6aadc803f173655076">
        <w:r>
          <w:rPr>
            <w:rStyle w:val="Hyperlink"/>
          </w:rPr>
          <w:t>chOff, §20.1.7.2(b)</w:t>
        </w:r>
      </w:hyperlink>
      <w:r>
        <w:rPr>
          <w:i/>
        </w:rPr>
        <w:t>.</w:t>
      </w:r>
    </w:p>
    <w:p w:rsidR="000A156F" w:rsidRDefault="00A9721F">
      <w:pPr>
        <w:pStyle w:val="Definition-Field"/>
      </w:pPr>
      <w:r>
        <w:t xml:space="preserve">a.   </w:t>
      </w:r>
      <w:r>
        <w:rPr>
          <w:i/>
        </w:rPr>
        <w:t>The standard states that the offset element specifies the location of the bounding box of an object.</w:t>
      </w:r>
    </w:p>
    <w:p w:rsidR="000A156F" w:rsidRDefault="00A9721F">
      <w:pPr>
        <w:pStyle w:val="Definition-Field2"/>
      </w:pPr>
      <w:r>
        <w:t xml:space="preserve">In Office, the offset element specifies </w:t>
      </w:r>
      <w:r>
        <w:t>the location of a bounding box of an object as defined by the ext element.</w:t>
      </w:r>
    </w:p>
    <w:p w:rsidR="000A156F" w:rsidRDefault="00A9721F">
      <w:pPr>
        <w:pStyle w:val="Heading3"/>
      </w:pPr>
      <w:bookmarkStart w:id="2584" w:name="section_98567b7e097a4450a82af83e25539aaf"/>
      <w:bookmarkStart w:id="2585" w:name="_Toc181684318"/>
      <w:r>
        <w:t>Part 1 Section 20.1.7.5, xfrm (2D Transform for Grouped Objects)</w:t>
      </w:r>
      <w:bookmarkEnd w:id="2584"/>
      <w:bookmarkEnd w:id="2585"/>
      <w:r>
        <w:fldChar w:fldCharType="begin"/>
      </w:r>
      <w:r>
        <w:instrText xml:space="preserve"> XE "xfrm (2D Transform for Grouped Objects)" </w:instrText>
      </w:r>
      <w:r>
        <w:fldChar w:fldCharType="end"/>
      </w:r>
    </w:p>
    <w:p w:rsidR="000A156F" w:rsidRDefault="00A9721F">
      <w:pPr>
        <w:pStyle w:val="Definition-Field"/>
      </w:pPr>
      <w:r>
        <w:t xml:space="preserve">a.   </w:t>
      </w:r>
      <w:r>
        <w:rPr>
          <w:i/>
        </w:rPr>
        <w:t>The standard states that the rot attribute specifies the clockw</w:t>
      </w:r>
      <w:r>
        <w:rPr>
          <w:i/>
        </w:rPr>
        <w:t>ise rotation in 1/64000ths of a degree.</w:t>
      </w:r>
    </w:p>
    <w:p w:rsidR="000A156F" w:rsidRDefault="00A9721F">
      <w:pPr>
        <w:pStyle w:val="Definition-Field2"/>
      </w:pPr>
      <w:r>
        <w:t>In Office and the schema, the rot attribute specifies the clockwise rotation in 1/60000ths of a degree.</w:t>
      </w:r>
    </w:p>
    <w:p w:rsidR="000A156F" w:rsidRDefault="00A9721F">
      <w:pPr>
        <w:pStyle w:val="Definition-Field"/>
      </w:pPr>
      <w:r>
        <w:t xml:space="preserve">b.   </w:t>
      </w:r>
      <w:r>
        <w:rPr>
          <w:i/>
        </w:rPr>
        <w:t>The standard does not describe role of the child bounding box as defined by elements chExt and chOff.</w:t>
      </w:r>
    </w:p>
    <w:p w:rsidR="000A156F" w:rsidRDefault="00A9721F">
      <w:pPr>
        <w:pStyle w:val="Definition-Field2"/>
      </w:pPr>
      <w:r>
        <w:t>In Of</w:t>
      </w:r>
      <w:r>
        <w:t>fice, the child bounding box is the center for scaling, rotating and flipping. Additionally, if the child extents are nonzero, then a group scaling is applied equal to the ratio of the extents to the child extents.</w:t>
      </w:r>
    </w:p>
    <w:p w:rsidR="000A156F" w:rsidRDefault="00A9721F">
      <w:pPr>
        <w:pStyle w:val="Heading3"/>
      </w:pPr>
      <w:bookmarkStart w:id="2586" w:name="section_c7555d2c472a4d15b23041046bc41819"/>
      <w:bookmarkStart w:id="2587" w:name="_Toc181684319"/>
      <w:r>
        <w:t>Part 1 Section 20.1.7.6, xfrm (2D Transfo</w:t>
      </w:r>
      <w:r>
        <w:t>rm for Individual Objects)</w:t>
      </w:r>
      <w:bookmarkEnd w:id="2586"/>
      <w:bookmarkEnd w:id="2587"/>
      <w:r>
        <w:fldChar w:fldCharType="begin"/>
      </w:r>
      <w:r>
        <w:instrText xml:space="preserve"> XE "xfrm (2D Transform for Individual Objects)" </w:instrText>
      </w:r>
      <w:r>
        <w:fldChar w:fldCharType="end"/>
      </w:r>
    </w:p>
    <w:p w:rsidR="000A156F" w:rsidRDefault="00A9721F">
      <w:pPr>
        <w:pStyle w:val="Definition-Field"/>
      </w:pPr>
      <w:r>
        <w:t xml:space="preserve">a.   </w:t>
      </w:r>
      <w:r>
        <w:rPr>
          <w:i/>
        </w:rPr>
        <w:t>The standard states that the rot attribute specifies the rotation of a graphic frame.</w:t>
      </w:r>
    </w:p>
    <w:p w:rsidR="000A156F" w:rsidRDefault="00A9721F">
      <w:pPr>
        <w:pStyle w:val="Definition-Field2"/>
      </w:pPr>
      <w:r>
        <w:t>In Office, rot specifies the clockwise rotation of a shape.</w:t>
      </w:r>
    </w:p>
    <w:p w:rsidR="000A156F" w:rsidRDefault="00A9721F">
      <w:pPr>
        <w:pStyle w:val="Definition-Field"/>
      </w:pPr>
      <w:r>
        <w:t xml:space="preserve">b.   </w:t>
      </w:r>
      <w:r>
        <w:rPr>
          <w:i/>
        </w:rPr>
        <w:t>The standard allows at</w:t>
      </w:r>
      <w:r>
        <w:rPr>
          <w:i/>
        </w:rPr>
        <w:t>tributes flipH, flipV and rot to be applied to a graphicFrame.</w:t>
      </w:r>
    </w:p>
    <w:p w:rsidR="000A156F" w:rsidRDefault="00A9721F">
      <w:pPr>
        <w:pStyle w:val="Definition-Field2"/>
      </w:pPr>
      <w:r>
        <w:t>In Office, attributes FlipH, flipV and rot are ignored when applied to a graphicFrame.</w:t>
      </w:r>
    </w:p>
    <w:p w:rsidR="000A156F" w:rsidRDefault="00A9721F">
      <w:pPr>
        <w:pStyle w:val="Heading3"/>
      </w:pPr>
      <w:bookmarkStart w:id="2588" w:name="section_c0c046eca61d405d88fe74d8487a37d7"/>
      <w:bookmarkStart w:id="2589" w:name="_Toc181684320"/>
      <w:r>
        <w:t>Part 1 Section 20.1.8, Shape, Fills, Effects and Line Properties</w:t>
      </w:r>
      <w:bookmarkEnd w:id="2588"/>
      <w:bookmarkEnd w:id="2589"/>
      <w:r>
        <w:fldChar w:fldCharType="begin"/>
      </w:r>
      <w:r>
        <w:instrText xml:space="preserve"> XE "Shape - Fills - Effects and Line Prop</w:instrText>
      </w:r>
      <w:r>
        <w:instrText xml:space="preserve">erties" </w:instrText>
      </w:r>
      <w:r>
        <w:fldChar w:fldCharType="end"/>
      </w:r>
    </w:p>
    <w:p w:rsidR="000A156F" w:rsidRDefault="00A9721F">
      <w:pPr>
        <w:pStyle w:val="Definition-Field"/>
      </w:pPr>
      <w:r>
        <w:t xml:space="preserve">a.   </w:t>
      </w:r>
      <w:r>
        <w:rPr>
          <w:i/>
        </w:rPr>
        <w:t>The standard supplies no default values for the optional attributes.</w:t>
      </w:r>
    </w:p>
    <w:p w:rsidR="000A156F" w:rsidRDefault="00A9721F">
      <w:r>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0A156F" w:rsidRDefault="00A9721F">
      <w:r>
        <w:lastRenderedPageBreak/>
        <w:t xml:space="preserve">In general, when an optional attribute is not specified, it will incorporate the corresponding attribute value from one of the following sources if available. Not all of these levels will be used in every scenario. </w:t>
      </w:r>
    </w:p>
    <w:p w:rsidR="000A156F" w:rsidRDefault="00A9721F">
      <w:r>
        <w:t>Style</w:t>
      </w:r>
      <w:r>
        <w:t xml:space="preserve"> link</w:t>
      </w:r>
    </w:p>
    <w:p w:rsidR="000A156F" w:rsidRDefault="00A9721F">
      <w:r>
        <w:t>Master shape (PresentationML only)</w:t>
      </w:r>
    </w:p>
    <w:p w:rsidR="000A156F" w:rsidRDefault="00A9721F">
      <w:r>
        <w:t>DrawingML hard coded default</w:t>
      </w:r>
    </w:p>
    <w:p w:rsidR="000A156F" w:rsidRDefault="00A9721F">
      <w:r>
        <w:t xml:space="preserve">This inheritance is done in multiple passes. Each level will fill in gaps not specified by previous levels. </w:t>
      </w:r>
    </w:p>
    <w:p w:rsidR="000A156F" w:rsidRDefault="00A9721F">
      <w:r>
        <w:t>The following elements are subjected to resolution. Unless otherwise noted, a</w:t>
      </w:r>
      <w:r>
        <w:t>t any level, the absence of an element type in the target indicates the element is to come from the inheritance chain. For example, if the target property set has no fill element, it will inherit al l the fill properties in the next level of inheritance th</w:t>
      </w:r>
      <w:r>
        <w:t xml:space="preserve">at has fill properties. When the elements are merged, all unspecified attributes and children of the element, will come from the first inheritance source with one specified. </w:t>
      </w:r>
    </w:p>
    <w:p w:rsidR="000A156F" w:rsidRDefault="00A9721F">
      <w:r>
        <w:t>Where attributes and elements are merged, the values in parentheses are used as t</w:t>
      </w:r>
      <w:r>
        <w:t>he base defaults, with any applicable footnote number in angle brackets:</w:t>
      </w:r>
    </w:p>
    <w:p w:rsidR="000A156F" w:rsidRDefault="00A9721F">
      <w:r>
        <w:t xml:space="preserve">Fill (noFill) &lt;1&gt; </w:t>
      </w:r>
    </w:p>
    <w:p w:rsidR="000A156F" w:rsidRDefault="00A9721F">
      <w:r>
        <w:t>noFill</w:t>
      </w:r>
    </w:p>
    <w:p w:rsidR="000A156F" w:rsidRDefault="00A9721F">
      <w:r>
        <w:t>solidFill (color = schemeColor (bg1))</w:t>
      </w:r>
    </w:p>
    <w:p w:rsidR="000A156F" w:rsidRDefault="00A9721F">
      <w:r>
        <w:t>gradFill (gsList(black, white), shade(lin), flip = none, rotWithShape = true )</w:t>
      </w:r>
    </w:p>
    <w:p w:rsidR="000A156F" w:rsidRDefault="00A9721F">
      <w:r>
        <w:t xml:space="preserve">gsList &lt;2&gt; </w:t>
      </w:r>
    </w:p>
    <w:p w:rsidR="000A156F" w:rsidRDefault="00A9721F">
      <w:r>
        <w:t>tileRect &lt;3&gt;</w:t>
      </w:r>
    </w:p>
    <w:p w:rsidR="000A156F" w:rsidRDefault="00A9721F">
      <w:r>
        <w:t>Shade (lin) &lt;1&gt;</w:t>
      </w:r>
    </w:p>
    <w:p w:rsidR="000A156F" w:rsidRDefault="00A9721F">
      <w:r>
        <w:t>lin (ang=0, scaled=false )</w:t>
      </w:r>
    </w:p>
    <w:p w:rsidR="000A156F" w:rsidRDefault="00A9721F">
      <w:r>
        <w:t>path (path=shape)</w:t>
      </w:r>
    </w:p>
    <w:p w:rsidR="000A156F" w:rsidRDefault="00A9721F">
      <w:r>
        <w:t>fillToRect (l,r,t,b=50% )</w:t>
      </w:r>
    </w:p>
    <w:p w:rsidR="000A156F" w:rsidRDefault="00A9721F">
      <w:r>
        <w:t>blipFill (dpi=0, rotWithShape=true)</w:t>
      </w:r>
    </w:p>
    <w:p w:rsidR="000A156F" w:rsidRDefault="00A9721F">
      <w:r>
        <w:t>blip (compression=none)</w:t>
      </w:r>
    </w:p>
    <w:p w:rsidR="000A156F" w:rsidRDefault="00A9721F">
      <w:r>
        <w:t>srcRect &lt;1&gt;</w:t>
      </w:r>
    </w:p>
    <w:p w:rsidR="000A156F" w:rsidRDefault="00A9721F">
      <w:r>
        <w:t>fillMode (tile) &lt;1&gt;</w:t>
      </w:r>
    </w:p>
    <w:p w:rsidR="000A156F" w:rsidRDefault="00A9721F">
      <w:r>
        <w:t>tile (algn=tl, flip=none, sx=100%, sy=100%, tx=0, ty=0)</w:t>
      </w:r>
    </w:p>
    <w:p w:rsidR="000A156F" w:rsidRDefault="00A9721F">
      <w:r>
        <w:t>stretch</w:t>
      </w:r>
    </w:p>
    <w:p w:rsidR="000A156F" w:rsidRDefault="00A9721F">
      <w:r>
        <w:t>fillRect &lt;3&gt;</w:t>
      </w:r>
    </w:p>
    <w:p w:rsidR="000A156F" w:rsidRDefault="00A9721F">
      <w:r>
        <w:t>pattFill (prst=</w:t>
      </w:r>
      <w:r>
        <w:t>pct5)</w:t>
      </w:r>
    </w:p>
    <w:p w:rsidR="000A156F" w:rsidRDefault="00A9721F">
      <w:r>
        <w:t>bgClr(white)</w:t>
      </w:r>
    </w:p>
    <w:p w:rsidR="000A156F" w:rsidRDefault="00A9721F">
      <w:r>
        <w:t>fgClr(black)</w:t>
      </w:r>
    </w:p>
    <w:p w:rsidR="000A156F" w:rsidRDefault="00A9721F">
      <w:r>
        <w:t>ln (w=.75pt, cap=flat, cmpd=sng, algn=ctr)</w:t>
      </w:r>
    </w:p>
    <w:p w:rsidR="000A156F" w:rsidRDefault="00A9721F">
      <w:r>
        <w:lastRenderedPageBreak/>
        <w:t>fill(same as 1 ) &lt;1&gt;</w:t>
      </w:r>
    </w:p>
    <w:p w:rsidR="000A156F" w:rsidRDefault="00A9721F">
      <w:r>
        <w:t>dash (prstDash(solid))</w:t>
      </w:r>
    </w:p>
    <w:p w:rsidR="000A156F" w:rsidRDefault="00A9721F">
      <w:r>
        <w:t>custDash &lt;2&gt;</w:t>
      </w:r>
    </w:p>
    <w:p w:rsidR="000A156F" w:rsidRDefault="00A9721F">
      <w:r>
        <w:t>join (round)</w:t>
      </w:r>
    </w:p>
    <w:p w:rsidR="000A156F" w:rsidRDefault="00A9721F">
      <w:r>
        <w:t>miter(lim=800%)</w:t>
      </w:r>
    </w:p>
    <w:p w:rsidR="000A156F" w:rsidRDefault="00A9721F">
      <w:r>
        <w:t>headEnd (type=none, w=med, len=med)</w:t>
      </w:r>
    </w:p>
    <w:p w:rsidR="000A156F" w:rsidRDefault="00A9721F">
      <w:r>
        <w:t>tailEnd (type=none, w=med, len=med)</w:t>
      </w:r>
    </w:p>
    <w:p w:rsidR="000A156F" w:rsidRDefault="00A9721F">
      <w:r>
        <w:t>effect &lt;2&gt;</w:t>
      </w:r>
    </w:p>
    <w:p w:rsidR="000A156F" w:rsidRDefault="00A9721F">
      <w:r>
        <w:t>shape3D &lt;2&gt;</w:t>
      </w:r>
    </w:p>
    <w:p w:rsidR="000A156F" w:rsidRDefault="00A9721F">
      <w:r>
        <w:t xml:space="preserve">scene3D &lt;2&gt; </w:t>
      </w:r>
    </w:p>
    <w:p w:rsidR="000A156F" w:rsidRDefault="00A9721F">
      <w:r>
        <w:t>&lt;1&gt; Merging only occurs if elements are of the same type, or if element does not exist in the target property set.</w:t>
      </w:r>
    </w:p>
    <w:p w:rsidR="000A156F" w:rsidRDefault="00A9721F">
      <w:r>
        <w:t>&lt;2&gt; Merging only occurs as a whole. If the element does not exist, the secondary default is used in its entirety. Even a valid e</w:t>
      </w:r>
      <w:r>
        <w:t>mpty element will block the inheritance. For example, an empty effect list will not be merged with an inherited effect list.</w:t>
      </w:r>
    </w:p>
    <w:p w:rsidR="000A156F" w:rsidRDefault="00A9721F">
      <w:r>
        <w:t>&lt;3&gt; Simple type has schema defaults.</w:t>
      </w:r>
    </w:p>
    <w:p w:rsidR="000A156F" w:rsidRDefault="00A9721F">
      <w:pPr>
        <w:pStyle w:val="Heading3"/>
      </w:pPr>
      <w:bookmarkStart w:id="2590" w:name="section_88c6f94c01654e828f963694069f6361"/>
      <w:bookmarkStart w:id="2591" w:name="_Toc181684321"/>
      <w:r>
        <w:t>Part 1 Section 20.1.8.4, alphaInv (Alpha Inverse Effect)</w:t>
      </w:r>
      <w:bookmarkEnd w:id="2590"/>
      <w:bookmarkEnd w:id="2591"/>
      <w:r>
        <w:fldChar w:fldCharType="begin"/>
      </w:r>
      <w:r>
        <w:instrText xml:space="preserve"> XE "alphaInv (Alpha Inverse Effect)" </w:instrText>
      </w:r>
      <w:r>
        <w:fldChar w:fldCharType="end"/>
      </w:r>
    </w:p>
    <w:p w:rsidR="000A156F" w:rsidRDefault="00A9721F">
      <w:pPr>
        <w:pStyle w:val="Definition-Field"/>
      </w:pPr>
      <w:r>
        <w:t xml:space="preserve">a.   </w:t>
      </w:r>
      <w:r>
        <w:rPr>
          <w:i/>
        </w:rPr>
        <w:t>The standard does not include information on the optional color element.</w:t>
      </w:r>
    </w:p>
    <w:p w:rsidR="000A156F" w:rsidRDefault="00A9721F">
      <w:r>
        <w:t>In Office, other color channels are modified only if a color is specified.  If a color is specified, all effect colors are replaced by the constant color value and the alpha v</w:t>
      </w:r>
      <w:r>
        <w:t>alues are inverted. If no color is specified, only the alpha values are modified and the other color channels are unchanged.</w:t>
      </w:r>
    </w:p>
    <w:p w:rsidR="000A156F" w:rsidRDefault="00A9721F">
      <w:pPr>
        <w:pStyle w:val="Heading3"/>
      </w:pPr>
      <w:bookmarkStart w:id="2592" w:name="section_afb64210f4af4f608f94b2c51fd1bda7"/>
      <w:bookmarkStart w:id="2593" w:name="_Toc181684322"/>
      <w:r>
        <w:t>Part 1 Section 20.1.8.5, alphaMod (Alpha Modulate Effect)</w:t>
      </w:r>
      <w:bookmarkEnd w:id="2592"/>
      <w:bookmarkEnd w:id="2593"/>
      <w:r>
        <w:fldChar w:fldCharType="begin"/>
      </w:r>
      <w:r>
        <w:instrText xml:space="preserve"> XE "alphaMod (Alpha Modulate Effect)" </w:instrText>
      </w:r>
      <w:r>
        <w:fldChar w:fldCharType="end"/>
      </w:r>
    </w:p>
    <w:p w:rsidR="000A156F" w:rsidRDefault="00A9721F">
      <w:pPr>
        <w:pStyle w:val="Definition-Field"/>
      </w:pPr>
      <w:r>
        <w:t xml:space="preserve">a.   </w:t>
      </w:r>
      <w:r>
        <w:rPr>
          <w:i/>
        </w:rPr>
        <w:t>The standard states that al</w:t>
      </w:r>
      <w:r>
        <w:rPr>
          <w:i/>
        </w:rPr>
        <w:t>pha is multiplied by a fixed percent.</w:t>
      </w:r>
    </w:p>
    <w:p w:rsidR="000A156F" w:rsidRDefault="00A9721F">
      <w:pPr>
        <w:pStyle w:val="Definition-Field2"/>
      </w:pPr>
      <w:r>
        <w:t>In Office, alpha is multiplied by the alpha of another effect.</w:t>
      </w:r>
    </w:p>
    <w:p w:rsidR="000A156F" w:rsidRDefault="00A9721F">
      <w:pPr>
        <w:pStyle w:val="Heading3"/>
      </w:pPr>
      <w:bookmarkStart w:id="2594" w:name="section_1c2204d50c7240caa3c489b803883e90"/>
      <w:bookmarkStart w:id="2595" w:name="_Toc181684323"/>
      <w:r>
        <w:t>Part 1 Section 20.1.8.6, alphaModFix (Alpha Modulate Fixed Effect)</w:t>
      </w:r>
      <w:bookmarkEnd w:id="2594"/>
      <w:bookmarkEnd w:id="2595"/>
      <w:r>
        <w:fldChar w:fldCharType="begin"/>
      </w:r>
      <w:r>
        <w:instrText xml:space="preserve"> XE "alphaModFix (Alpha Modulate Fixed Effect)" </w:instrText>
      </w:r>
      <w:r>
        <w:fldChar w:fldCharType="end"/>
      </w:r>
    </w:p>
    <w:p w:rsidR="000A156F" w:rsidRDefault="00A9721F">
      <w:pPr>
        <w:pStyle w:val="Definition-Field"/>
      </w:pPr>
      <w:r>
        <w:t xml:space="preserve">a.   </w:t>
      </w:r>
      <w:r>
        <w:rPr>
          <w:i/>
        </w:rPr>
        <w:t>The standard specifies that the a</w:t>
      </w:r>
      <w:r>
        <w:rPr>
          <w:i/>
        </w:rPr>
        <w:t>lphaModFix value is clamped, so any value greater than 100 percent is interpreted as 100 percent, and any value less than 0 percent is interpreted as 0 percent.</w:t>
      </w:r>
    </w:p>
    <w:p w:rsidR="000A156F" w:rsidRDefault="00A9721F">
      <w:pPr>
        <w:pStyle w:val="Definition-Field2"/>
      </w:pPr>
      <w:r>
        <w:t>Office modulates the alphaModFix value, so the value is interpreted as value modulo 100.</w:t>
      </w:r>
    </w:p>
    <w:p w:rsidR="000A156F" w:rsidRDefault="00A9721F">
      <w:pPr>
        <w:pStyle w:val="Heading3"/>
      </w:pPr>
      <w:bookmarkStart w:id="2596" w:name="section_1cc844f4520f48d58ceb74e15342ab24"/>
      <w:bookmarkStart w:id="2597" w:name="_Toc181684324"/>
      <w:r>
        <w:t>Part 1</w:t>
      </w:r>
      <w:r>
        <w:t xml:space="preserve"> Section 20.1.8.14, blipFill (Picture Fill)</w:t>
      </w:r>
      <w:bookmarkEnd w:id="2596"/>
      <w:bookmarkEnd w:id="2597"/>
      <w:r>
        <w:fldChar w:fldCharType="begin"/>
      </w:r>
      <w:r>
        <w:instrText xml:space="preserve"> XE "blipFill (Picture Fill)"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0A156F" w:rsidRDefault="00A9721F">
      <w:pPr>
        <w:pStyle w:val="Definition-Field"/>
      </w:pPr>
      <w:r>
        <w:t xml:space="preserve">a. </w:t>
      </w:r>
      <w:r>
        <w:t xml:space="preserve">  </w:t>
      </w:r>
      <w:r>
        <w:rPr>
          <w:i/>
        </w:rPr>
        <w:t>The standard states that the attribute blipFill specifies the picture fill for pic object.</w:t>
      </w:r>
    </w:p>
    <w:p w:rsidR="000A156F" w:rsidRDefault="00A9721F">
      <w:pPr>
        <w:pStyle w:val="Definition-Field2"/>
      </w:pPr>
      <w:r>
        <w:t>In Office, the attribute blipFill specifies the image fill for an object.</w:t>
      </w:r>
    </w:p>
    <w:p w:rsidR="000A156F" w:rsidRDefault="00A9721F">
      <w:pPr>
        <w:pStyle w:val="Heading3"/>
      </w:pPr>
      <w:bookmarkStart w:id="2598" w:name="section_9847db85c8ee40f08c7ecdca7563544b"/>
      <w:bookmarkStart w:id="2599" w:name="_Toc181684325"/>
      <w:r>
        <w:lastRenderedPageBreak/>
        <w:t>Part 1 Section 20.1.8.15, blur (Blur Effect)</w:t>
      </w:r>
      <w:bookmarkEnd w:id="2598"/>
      <w:bookmarkEnd w:id="2599"/>
      <w:r>
        <w:fldChar w:fldCharType="begin"/>
      </w:r>
      <w:r>
        <w:instrText xml:space="preserve"> XE "blur (Blur Effect)" </w:instrText>
      </w:r>
      <w:r>
        <w:fldChar w:fldCharType="end"/>
      </w:r>
    </w:p>
    <w:p w:rsidR="000A156F" w:rsidRDefault="00A9721F">
      <w:pPr>
        <w:pStyle w:val="Definition-Field"/>
      </w:pPr>
      <w:r>
        <w:t xml:space="preserve">a.   </w:t>
      </w:r>
      <w:r>
        <w:rPr>
          <w:i/>
        </w:rPr>
        <w:t>The standard</w:t>
      </w:r>
      <w:r>
        <w:rPr>
          <w:i/>
        </w:rPr>
        <w:t xml:space="preserve"> states that if attribute grow is true, blur may extend beyond object bounds.</w:t>
      </w:r>
    </w:p>
    <w:p w:rsidR="000A156F" w:rsidRDefault="00A9721F">
      <w:pPr>
        <w:pStyle w:val="Definition-Field2"/>
      </w:pPr>
      <w:r>
        <w:t>In Office, if blur is applied to blip in a blipFill, fill constraints will keep the blur from extending beyond object bounds.</w:t>
      </w:r>
    </w:p>
    <w:p w:rsidR="000A156F" w:rsidRDefault="00A9721F">
      <w:pPr>
        <w:pStyle w:val="Definition-Field"/>
      </w:pPr>
      <w:r>
        <w:t xml:space="preserve">b.   </w:t>
      </w:r>
      <w:r>
        <w:rPr>
          <w:i/>
        </w:rPr>
        <w:t xml:space="preserve">The standard states that attribute rad will </w:t>
      </w:r>
      <w:r>
        <w:rPr>
          <w:i/>
        </w:rPr>
        <w:t>specify radius of blur.</w:t>
      </w:r>
    </w:p>
    <w:p w:rsidR="000A156F" w:rsidRDefault="00A9721F">
      <w:pPr>
        <w:pStyle w:val="Definition-Field2"/>
      </w:pPr>
      <w:r>
        <w:t>Office interprets the radius of blur as destination pixels, rather than source pixels. For other effect contexts, it is device independent.</w:t>
      </w:r>
    </w:p>
    <w:p w:rsidR="000A156F" w:rsidRDefault="00A9721F">
      <w:pPr>
        <w:pStyle w:val="Heading3"/>
      </w:pPr>
      <w:bookmarkStart w:id="2600" w:name="section_5860f81613d34a839e63bcd1e0808404"/>
      <w:bookmarkStart w:id="2601" w:name="_Toc181684326"/>
      <w:r>
        <w:t>Part 1 Section 20.1.8.16, clrChange (Color Change Effect)</w:t>
      </w:r>
      <w:bookmarkEnd w:id="2600"/>
      <w:bookmarkEnd w:id="2601"/>
      <w:r>
        <w:fldChar w:fldCharType="begin"/>
      </w:r>
      <w:r>
        <w:instrText xml:space="preserve"> XE "clrChange (Color Change Effect</w:instrText>
      </w:r>
      <w:r>
        <w:instrText xml:space="preserve">)" </w:instrText>
      </w:r>
      <w:r>
        <w:fldChar w:fldCharType="end"/>
      </w:r>
    </w:p>
    <w:p w:rsidR="000A156F" w:rsidRDefault="00A9721F">
      <w:pPr>
        <w:pStyle w:val="Definition-Field"/>
      </w:pPr>
      <w:r>
        <w:t xml:space="preserve">a.   </w:t>
      </w:r>
      <w:r>
        <w:rPr>
          <w:i/>
        </w:rPr>
        <w:t>The standard states that attribute useA specifies whether alpha values are considered for the effect.</w:t>
      </w:r>
    </w:p>
    <w:p w:rsidR="000A156F" w:rsidRDefault="00A9721F">
      <w:pPr>
        <w:pStyle w:val="Definition-Field2"/>
      </w:pPr>
      <w:r>
        <w:t>In Office, if the value of useA is true, alpha is considered for finding a match for clrFrom, and the alpha is replaced with the alpha value in</w:t>
      </w:r>
      <w:r>
        <w:t xml:space="preserve"> clrTo. If useA is false, no alpha values are changed.</w:t>
      </w:r>
    </w:p>
    <w:p w:rsidR="000A156F" w:rsidRDefault="00A9721F">
      <w:pPr>
        <w:pStyle w:val="Heading3"/>
      </w:pPr>
      <w:bookmarkStart w:id="2602" w:name="section_b319fbdd87f44a23833d175e9b2b6539"/>
      <w:bookmarkStart w:id="2603" w:name="_Toc181684327"/>
      <w:r>
        <w:t>Part 1 Section 20.1.8.20, cont (Effect Container)</w:t>
      </w:r>
      <w:bookmarkEnd w:id="2602"/>
      <w:bookmarkEnd w:id="2603"/>
      <w:r>
        <w:fldChar w:fldCharType="begin"/>
      </w:r>
      <w:r>
        <w:instrText xml:space="preserve"> XE "cont (Effect Container)" </w:instrText>
      </w:r>
      <w:r>
        <w:fldChar w:fldCharType="end"/>
      </w:r>
    </w:p>
    <w:p w:rsidR="000A156F" w:rsidRDefault="00A9721F">
      <w:pPr>
        <w:pStyle w:val="Definition-Field"/>
      </w:pPr>
      <w:r>
        <w:t xml:space="preserve">a.   </w:t>
      </w:r>
      <w:r>
        <w:rPr>
          <w:i/>
        </w:rPr>
        <w:t>The standard states that the name attribute specifies an optional name for this list of effects.</w:t>
      </w:r>
    </w:p>
    <w:p w:rsidR="000A156F" w:rsidRDefault="00A9721F">
      <w:pPr>
        <w:pStyle w:val="Definition-Field2"/>
      </w:pPr>
      <w:r>
        <w:t xml:space="preserve">In Office, the </w:t>
      </w:r>
      <w:r>
        <w:t>name attribute specifies an optional name for the container. This name can be used by an effect ("</w:t>
      </w:r>
      <w:hyperlink r:id="rId188">
        <w:r>
          <w:rPr>
            <w:rStyle w:val="Hyperlink"/>
          </w:rPr>
          <w:t>[ISO/IEC-29500-1]</w:t>
        </w:r>
      </w:hyperlink>
      <w:r>
        <w:t xml:space="preserve"> §20.1.8.24; effect") within the same top level container. The name must be</w:t>
      </w:r>
      <w:r>
        <w:t xml:space="preserve"> unique throughout the top level effect container.</w:t>
      </w:r>
    </w:p>
    <w:p w:rsidR="000A156F" w:rsidRDefault="00A9721F">
      <w:pPr>
        <w:pStyle w:val="Heading3"/>
      </w:pPr>
      <w:bookmarkStart w:id="2604" w:name="section_90e88cb8509b42fa9de0733a7fe14161"/>
      <w:bookmarkStart w:id="2605" w:name="_Toc181684328"/>
      <w:r>
        <w:t>Part 1 Section 20.1.8.22, ds (Dash Stop)</w:t>
      </w:r>
      <w:bookmarkEnd w:id="2604"/>
      <w:bookmarkEnd w:id="2605"/>
      <w:r>
        <w:fldChar w:fldCharType="begin"/>
      </w:r>
      <w:r>
        <w:instrText xml:space="preserve"> XE "ds (Dash Stop)" </w:instrText>
      </w:r>
      <w:r>
        <w:fldChar w:fldCharType="end"/>
      </w:r>
    </w:p>
    <w:p w:rsidR="000A156F" w:rsidRDefault="00A9721F">
      <w:pPr>
        <w:pStyle w:val="Definition-Field"/>
      </w:pPr>
      <w:r>
        <w:t xml:space="preserve">a.   </w:t>
      </w:r>
      <w:r>
        <w:rPr>
          <w:i/>
        </w:rPr>
        <w:t>The standard makes no restriction regarding the value of the dash length percentage.</w:t>
      </w:r>
    </w:p>
    <w:p w:rsidR="000A156F" w:rsidRDefault="00A9721F">
      <w:pPr>
        <w:pStyle w:val="Definition-Field2"/>
      </w:pPr>
      <w:r>
        <w:t>In Office, the dash length must be greater than zer</w:t>
      </w:r>
      <w:r>
        <w:t>o.</w:t>
      </w:r>
    </w:p>
    <w:p w:rsidR="000A156F" w:rsidRDefault="00A9721F">
      <w:pPr>
        <w:pStyle w:val="Definition-Field"/>
      </w:pPr>
      <w:r>
        <w:t xml:space="preserve">b.   </w:t>
      </w:r>
      <w:r>
        <w:rPr>
          <w:i/>
        </w:rPr>
        <w:t>The standard makes no restriction regarding the value of the space length percentage.</w:t>
      </w:r>
    </w:p>
    <w:p w:rsidR="000A156F" w:rsidRDefault="00A9721F">
      <w:pPr>
        <w:pStyle w:val="Definition-Field2"/>
      </w:pPr>
      <w:r>
        <w:t>In Office, the space length percentage must be greater than zero.</w:t>
      </w:r>
    </w:p>
    <w:p w:rsidR="000A156F" w:rsidRDefault="00A9721F">
      <w:pPr>
        <w:pStyle w:val="Heading3"/>
      </w:pPr>
      <w:bookmarkStart w:id="2606" w:name="section_c4fb5e6e431f415291d23b48831d77af"/>
      <w:bookmarkStart w:id="2607" w:name="_Toc181684329"/>
      <w:r>
        <w:t>Part 1 Section 20.1.8.23, duotone (Duotone Effect)</w:t>
      </w:r>
      <w:bookmarkEnd w:id="2606"/>
      <w:bookmarkEnd w:id="2607"/>
      <w:r>
        <w:fldChar w:fldCharType="begin"/>
      </w:r>
      <w:r>
        <w:instrText xml:space="preserve"> XE "duotone (Duotone Effect)" </w:instrText>
      </w:r>
      <w:r>
        <w:fldChar w:fldCharType="end"/>
      </w:r>
    </w:p>
    <w:p w:rsidR="000A156F" w:rsidRDefault="00A9721F">
      <w:pPr>
        <w:pStyle w:val="Definition-Field"/>
      </w:pPr>
      <w:r>
        <w:t xml:space="preserve">a.   </w:t>
      </w:r>
      <w:r>
        <w:rPr>
          <w:i/>
        </w:rPr>
        <w:t>The sta</w:t>
      </w:r>
      <w:r>
        <w:rPr>
          <w:i/>
        </w:rPr>
        <w:t>ndard states that colors are combined through linear interpolation.</w:t>
      </w:r>
    </w:p>
    <w:p w:rsidR="000A156F" w:rsidRDefault="00A9721F">
      <w:pPr>
        <w:pStyle w:val="Definition-Field2"/>
      </w:pPr>
      <w:r>
        <w:t>In Office, the interpolation is based on the luminance of the pixel.</w:t>
      </w:r>
    </w:p>
    <w:p w:rsidR="000A156F" w:rsidRDefault="00A9721F">
      <w:pPr>
        <w:pStyle w:val="Heading3"/>
      </w:pPr>
      <w:bookmarkStart w:id="2608" w:name="section_ebe8f712db08467bb271aa447682cb84"/>
      <w:bookmarkStart w:id="2609" w:name="_Toc181684330"/>
      <w:r>
        <w:t>Part 1 Section 20.1.8.24, effect (Effect)</w:t>
      </w:r>
      <w:bookmarkEnd w:id="2608"/>
      <w:bookmarkEnd w:id="2609"/>
      <w:r>
        <w:fldChar w:fldCharType="begin"/>
      </w:r>
      <w:r>
        <w:instrText xml:space="preserve"> XE "effect (Effect)" </w:instrText>
      </w:r>
      <w:r>
        <w:fldChar w:fldCharType="end"/>
      </w:r>
    </w:p>
    <w:p w:rsidR="000A156F" w:rsidRDefault="00A9721F">
      <w:pPr>
        <w:pStyle w:val="Definition-Field"/>
      </w:pPr>
      <w:r>
        <w:t xml:space="preserve">a.   </w:t>
      </w:r>
      <w:r>
        <w:rPr>
          <w:i/>
        </w:rPr>
        <w:t>The standard states that the value of the ref at</w:t>
      </w:r>
      <w:r>
        <w:rPr>
          <w:i/>
        </w:rPr>
        <w:t>tribute may be the name of an effect container, or one of four special references.</w:t>
      </w:r>
    </w:p>
    <w:p w:rsidR="000A156F" w:rsidRDefault="00A9721F">
      <w:pPr>
        <w:pStyle w:val="Definition-Field2"/>
      </w:pPr>
      <w:r>
        <w:t>Office requires this to be the case.</w:t>
      </w:r>
    </w:p>
    <w:p w:rsidR="000A156F" w:rsidRDefault="00A9721F">
      <w:pPr>
        <w:pStyle w:val="Heading3"/>
      </w:pPr>
      <w:bookmarkStart w:id="2610" w:name="section_3e0414ed4af14d09bdd7cf791c064cea"/>
      <w:bookmarkStart w:id="2611" w:name="_Toc181684331"/>
      <w:r>
        <w:t>Part 1 Section 20.1.8.25, effectDag (Effect Container)</w:t>
      </w:r>
      <w:bookmarkEnd w:id="2610"/>
      <w:bookmarkEnd w:id="2611"/>
      <w:r>
        <w:fldChar w:fldCharType="begin"/>
      </w:r>
      <w:r>
        <w:instrText xml:space="preserve"> XE "effectDag (Effect Container)" </w:instrText>
      </w:r>
      <w:r>
        <w:fldChar w:fldCharType="end"/>
      </w:r>
    </w:p>
    <w:p w:rsidR="000A156F" w:rsidRDefault="00A9721F">
      <w:pPr>
        <w:pStyle w:val="Definition-Field2"/>
      </w:pPr>
      <w:r>
        <w:rPr>
          <w:i/>
        </w:rPr>
        <w:t>For additional notes that apply to this port</w:t>
      </w:r>
      <w:r>
        <w:rPr>
          <w:i/>
        </w:rPr>
        <w:t xml:space="preserve">ion of the standard, please see the notes for </w:t>
      </w:r>
      <w:hyperlink w:anchor="Section_b319fbdd87f44a23833d175e9b2b6539">
        <w:r>
          <w:rPr>
            <w:rStyle w:val="Hyperlink"/>
          </w:rPr>
          <w:t>cont, §20.1.8.20(a)</w:t>
        </w:r>
      </w:hyperlink>
      <w:r>
        <w:rPr>
          <w:i/>
        </w:rPr>
        <w:t>.</w:t>
      </w:r>
    </w:p>
    <w:p w:rsidR="000A156F" w:rsidRDefault="00A9721F">
      <w:pPr>
        <w:pStyle w:val="Definition-Field"/>
      </w:pPr>
      <w:r>
        <w:lastRenderedPageBreak/>
        <w:t xml:space="preserve">a.   </w:t>
      </w:r>
      <w:r>
        <w:rPr>
          <w:i/>
        </w:rPr>
        <w:t>The standard allows the user to create contradictory shape properties by using similar tags under effectDag and spPr at t</w:t>
      </w:r>
      <w:r>
        <w:rPr>
          <w:i/>
        </w:rPr>
        <w:t>he same time.</w:t>
      </w:r>
    </w:p>
    <w:p w:rsidR="000A156F" w:rsidRDefault="00A9721F">
      <w:pPr>
        <w:pStyle w:val="Definition-Field2"/>
      </w:pPr>
      <w:r>
        <w:t>In Office, the behavior is unspecified if effectDag is used in conjunction with the following sibling elements: blipFill, gradFill, grpFill, noFill, pattFill, solidFill, effectLst.</w:t>
      </w:r>
    </w:p>
    <w:p w:rsidR="000A156F" w:rsidRDefault="00A9721F">
      <w:pPr>
        <w:pStyle w:val="Heading3"/>
      </w:pPr>
      <w:bookmarkStart w:id="2612" w:name="section_64e56679ddda4bd9a96ae5a17dd569e8"/>
      <w:bookmarkStart w:id="2613" w:name="_Toc181684332"/>
      <w:r>
        <w:t>Part 1 Section 20.1.8.31, fillToRect (Fill To Rectangle)</w:t>
      </w:r>
      <w:bookmarkEnd w:id="2612"/>
      <w:bookmarkEnd w:id="2613"/>
      <w:r>
        <w:fldChar w:fldCharType="begin"/>
      </w:r>
      <w:r>
        <w:instrText xml:space="preserve"> XE "</w:instrText>
      </w:r>
      <w:r>
        <w:instrText xml:space="preserve">fillToRect (Fill To Rectangle)" </w:instrText>
      </w:r>
      <w:r>
        <w:fldChar w:fldCharType="end"/>
      </w:r>
    </w:p>
    <w:p w:rsidR="000A156F" w:rsidRDefault="00A9721F">
      <w:pPr>
        <w:pStyle w:val="Definition-Field"/>
      </w:pPr>
      <w:r>
        <w:t xml:space="preserve">a.   </w:t>
      </w:r>
      <w:r>
        <w:rPr>
          <w:i/>
        </w:rPr>
        <w:t>The standard states that the center shade fills the entire tile except the margins specified by each attribute.</w:t>
      </w:r>
    </w:p>
    <w:p w:rsidR="000A156F" w:rsidRDefault="00A9721F">
      <w:pPr>
        <w:pStyle w:val="Definition-Field2"/>
      </w:pPr>
      <w:r>
        <w:t>In Office the center shade fills the entire gradient path inscribed in this rectangle.</w:t>
      </w:r>
    </w:p>
    <w:p w:rsidR="000A156F" w:rsidRDefault="00A9721F">
      <w:pPr>
        <w:pStyle w:val="Definition-Field"/>
      </w:pPr>
      <w:r>
        <w:t xml:space="preserve">b.   </w:t>
      </w:r>
      <w:r>
        <w:rPr>
          <w:i/>
        </w:rPr>
        <w:t>The standard</w:t>
      </w:r>
      <w:r>
        <w:rPr>
          <w:i/>
        </w:rPr>
        <w:t xml:space="preserve"> states that the Rectangle is defined relative to the tile rect.</w:t>
      </w:r>
    </w:p>
    <w:p w:rsidR="000A156F" w:rsidRDefault="00A9721F">
      <w:pPr>
        <w:pStyle w:val="Definition-Field2"/>
      </w:pPr>
      <w:r>
        <w:t>In Office the rectangle is defined relative to shape bounding box.</w:t>
      </w:r>
    </w:p>
    <w:p w:rsidR="000A156F" w:rsidRDefault="00A9721F">
      <w:pPr>
        <w:pStyle w:val="Heading3"/>
      </w:pPr>
      <w:bookmarkStart w:id="2614" w:name="section_f43f30dfc82941f3ba6f52e9ac3b4e20"/>
      <w:bookmarkStart w:id="2615" w:name="_Toc181684333"/>
      <w:r>
        <w:t>Part 1 Section 20.1.8.33, gradFill (Gradient Fill)</w:t>
      </w:r>
      <w:bookmarkEnd w:id="2614"/>
      <w:bookmarkEnd w:id="2615"/>
      <w:r>
        <w:fldChar w:fldCharType="begin"/>
      </w:r>
      <w:r>
        <w:instrText xml:space="preserve"> XE "gradFill (Gradient Fill)" </w:instrText>
      </w:r>
      <w:r>
        <w:fldChar w:fldCharType="end"/>
      </w:r>
    </w:p>
    <w:p w:rsidR="000A156F" w:rsidRDefault="00A9721F">
      <w:pPr>
        <w:pStyle w:val="Definition-Field"/>
      </w:pPr>
      <w:r>
        <w:t xml:space="preserve">a.   </w:t>
      </w:r>
      <w:r>
        <w:rPr>
          <w:i/>
        </w:rPr>
        <w:t xml:space="preserve">The standard states that the flip </w:t>
      </w:r>
      <w:r>
        <w:rPr>
          <w:i/>
        </w:rPr>
        <w:t>(Tile flip) attribute specifies the direction(s) in which to flip the gradient while tiling.</w:t>
      </w:r>
    </w:p>
    <w:p w:rsidR="000A156F" w:rsidRDefault="00A9721F">
      <w:pPr>
        <w:pStyle w:val="Definition-Field2"/>
      </w:pPr>
      <w:r>
        <w:t>In Office the flip (Tile flip) attribute is ignored and flip mode xy is used.</w:t>
      </w:r>
    </w:p>
    <w:p w:rsidR="000A156F" w:rsidRDefault="00A9721F">
      <w:pPr>
        <w:pStyle w:val="Definition-Field"/>
      </w:pPr>
      <w:r>
        <w:t xml:space="preserve">b.   </w:t>
      </w:r>
      <w:r>
        <w:rPr>
          <w:i/>
        </w:rPr>
        <w:t xml:space="preserve">The standard states that a gradient fill encompasses the entire bounding box of </w:t>
      </w:r>
      <w:r>
        <w:rPr>
          <w:i/>
        </w:rPr>
        <w:t>the shape that contains the fill.</w:t>
      </w:r>
    </w:p>
    <w:p w:rsidR="000A156F" w:rsidRDefault="00A9721F">
      <w:pPr>
        <w:pStyle w:val="Definition-Field2"/>
      </w:pPr>
      <w:r>
        <w:t>In Office, a gradient fill encompasses a region larger than the bounding box of a shape when the shape contains arrowheads. The size of the region varies depending on the type of arrowhead.</w:t>
      </w:r>
    </w:p>
    <w:p w:rsidR="000A156F" w:rsidRDefault="00A9721F">
      <w:pPr>
        <w:pStyle w:val="Definition-Field2"/>
      </w:pPr>
      <w:r>
        <w:t xml:space="preserve">Office uses different values to </w:t>
      </w:r>
      <w:r>
        <w:t>calculate the size of the region depending on the arrowhead. To calculate the size of the region, Office uses the radiusScale value from the table below for a given arrowhead. Office then updates the bounds of the connector to include a circle of the speci</w:t>
      </w:r>
      <w:r>
        <w:t>fied radius.</w:t>
      </w:r>
    </w:p>
    <w:p w:rsidR="000A156F" w:rsidRDefault="00A9721F">
      <w:pPr>
        <w:pStyle w:val="Definition-Field2"/>
      </w:pPr>
      <w:r>
        <w:t>radius = lineWidth / 2 * radiusScale</w:t>
      </w:r>
    </w:p>
    <w:p w:rsidR="000A156F" w:rsidRDefault="00A9721F">
      <w:pPr>
        <w:pStyle w:val="Definition-Field2"/>
      </w:pPr>
      <w:r>
        <w:t>bounds |= Rect(endPoint.x - radius, endPoint.y - radius, endPoint.x + radius, endPoint.y + radius)</w:t>
      </w:r>
    </w:p>
    <w:p w:rsidR="000A156F" w:rsidRDefault="000A156F">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none</w:t>
            </w:r>
          </w:p>
        </w:tc>
      </w:tr>
      <w:tr w:rsidR="000A156F" w:rsidTr="000A156F">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large</w:t>
            </w:r>
          </w:p>
        </w:tc>
      </w:tr>
      <w:tr w:rsidR="000A156F" w:rsidTr="000A156F">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r>
      <w:tr w:rsidR="000A156F" w:rsidTr="000A156F">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r>
      <w:tr w:rsidR="000A156F" w:rsidTr="000A156F">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w:t>
            </w:r>
          </w:p>
        </w:tc>
      </w:tr>
    </w:tbl>
    <w:p w:rsidR="000A156F" w:rsidRDefault="00A9721F">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triangle</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large</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5.0</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5.0</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sqrt( ( capWidth / 2.0 )^2 + capHeight^2 ) * 1.8</w:t>
            </w:r>
          </w:p>
        </w:tc>
      </w:tr>
    </w:tbl>
    <w:p w:rsidR="000A156F" w:rsidRDefault="00A9721F">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stealth</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large</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2.5</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5.0</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sqrt( capWidth^2 + capHeight^2 ) * 1.8</w:t>
            </w:r>
          </w:p>
        </w:tc>
      </w:tr>
    </w:tbl>
    <w:p w:rsidR="000A156F" w:rsidRDefault="00A9721F">
      <w:pPr>
        <w:spacing w:before="0" w:after="160"/>
      </w:pPr>
      <w:r>
        <w:lastRenderedPageBreak/>
        <w:t> </w:t>
      </w:r>
    </w:p>
    <w:tbl>
      <w:tblPr>
        <w:tblStyle w:val="Table-ShadedHeader"/>
        <w:tblW w:w="0" w:type="auto"/>
        <w:tblLook w:val="04A0" w:firstRow="1" w:lastRow="0" w:firstColumn="1" w:lastColumn="0" w:noHBand="0" w:noVBand="1"/>
      </w:tblPr>
      <w:tblGrid>
        <w:gridCol w:w="1441"/>
        <w:gridCol w:w="1522"/>
        <w:gridCol w:w="2864"/>
        <w:gridCol w:w="305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diamond</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large</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2.5</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2.5</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max( capWidth, capHeight ) * 2.0</w:t>
            </w:r>
          </w:p>
        </w:tc>
      </w:tr>
    </w:tbl>
    <w:p w:rsidR="000A156F" w:rsidRDefault="00A9721F">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oval</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large</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5.0</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5.0</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max( capWidth, capHeight )</w:t>
            </w:r>
          </w:p>
        </w:tc>
      </w:tr>
    </w:tbl>
    <w:p w:rsidR="000A156F" w:rsidRDefault="00A9721F">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arrow</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large</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5.0</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4.5</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[ 0.64f, 0.78f, 1.03f ]</w:t>
            </w:r>
          </w:p>
        </w:tc>
      </w:tr>
      <w:tr w:rsidR="000A156F" w:rsidTr="000A156F">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sqrt( ( capWidth / 2 )^2 + ( capHeight + capInset )^2 ) + 4.6 * capInset</w:t>
            </w:r>
          </w:p>
        </w:tc>
      </w:tr>
    </w:tbl>
    <w:p w:rsidR="000A156F" w:rsidRDefault="00A9721F">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w:t>
            </w:r>
          </w:p>
        </w:tc>
      </w:tr>
      <w:tr w:rsidR="000A156F" w:rsidTr="000A156F">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jc w:val="center"/>
            </w:pPr>
            <w:r>
              <w:rPr>
                <w:b/>
              </w:rPr>
              <w:t>Width</w:t>
            </w:r>
          </w:p>
        </w:tc>
      </w:tr>
      <w:tr w:rsidR="000A156F" w:rsidTr="000A156F">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rPr>
                <w:b/>
              </w:rPr>
              <w:t>Large</w:t>
            </w:r>
          </w:p>
        </w:tc>
      </w:tr>
      <w:tr w:rsidR="000A156F" w:rsidTr="000A156F">
        <w:tc>
          <w:tcPr>
            <w:tcW w:w="1402" w:type="dxa"/>
            <w:vMerge/>
            <w:tcBorders>
              <w:top w:val="nil"/>
              <w:left w:val="single" w:sz="8" w:space="0" w:color="auto"/>
              <w:bottom w:val="single" w:sz="8" w:space="0" w:color="auto"/>
              <w:right w:val="single" w:sz="8" w:space="0" w:color="auto"/>
            </w:tcBorders>
            <w:vAlign w:val="center"/>
            <w:hideMark/>
          </w:tcPr>
          <w:p w:rsidR="000A156F" w:rsidRDefault="000A156F">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0.64</w:t>
            </w:r>
          </w:p>
        </w:tc>
      </w:tr>
      <w:tr w:rsidR="000A156F" w:rsidTr="000A156F">
        <w:tc>
          <w:tcPr>
            <w:tcW w:w="1402" w:type="dxa"/>
            <w:vMerge/>
            <w:tcBorders>
              <w:top w:val="nil"/>
              <w:left w:val="single" w:sz="8" w:space="0" w:color="auto"/>
              <w:bottom w:val="single" w:sz="8" w:space="0" w:color="auto"/>
              <w:right w:val="single" w:sz="8" w:space="0" w:color="auto"/>
            </w:tcBorders>
            <w:vAlign w:val="center"/>
            <w:hideMark/>
          </w:tcPr>
          <w:p w:rsidR="000A156F" w:rsidRDefault="000A156F">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0.78</w:t>
            </w:r>
          </w:p>
        </w:tc>
      </w:tr>
      <w:tr w:rsidR="000A156F" w:rsidTr="000A156F">
        <w:tc>
          <w:tcPr>
            <w:tcW w:w="1402" w:type="dxa"/>
            <w:vMerge/>
            <w:tcBorders>
              <w:top w:val="nil"/>
              <w:left w:val="single" w:sz="8" w:space="0" w:color="auto"/>
              <w:bottom w:val="single" w:sz="8" w:space="0" w:color="auto"/>
              <w:right w:val="single" w:sz="8" w:space="0" w:color="auto"/>
            </w:tcBorders>
            <w:vAlign w:val="center"/>
            <w:hideMark/>
          </w:tcPr>
          <w:p w:rsidR="000A156F" w:rsidRDefault="000A156F">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1.03</w:t>
            </w:r>
          </w:p>
        </w:tc>
      </w:tr>
    </w:tbl>
    <w:p w:rsidR="000A156F" w:rsidRDefault="00A9721F">
      <w:pPr>
        <w:spacing w:before="0" w:after="160"/>
      </w:pPr>
      <w:r>
        <w:t> </w:t>
      </w:r>
    </w:p>
    <w:p w:rsidR="000A156F" w:rsidRDefault="00A9721F">
      <w:pPr>
        <w:pStyle w:val="Heading3"/>
      </w:pPr>
      <w:bookmarkStart w:id="2616" w:name="section_a3122f27c66143ce90b49d9ab7459565"/>
      <w:bookmarkStart w:id="2617" w:name="_Toc181684334"/>
      <w:r>
        <w:t>Part 1 Section 20.1.8.35, grpFill (Group Fill)</w:t>
      </w:r>
      <w:bookmarkEnd w:id="2616"/>
      <w:bookmarkEnd w:id="2617"/>
      <w:r>
        <w:fldChar w:fldCharType="begin"/>
      </w:r>
      <w:r>
        <w:instrText xml:space="preserve"> XE "grpFill (Group Fill)" </w:instrText>
      </w:r>
      <w:r>
        <w:fldChar w:fldCharType="end"/>
      </w:r>
    </w:p>
    <w:p w:rsidR="000A156F" w:rsidRDefault="00A9721F">
      <w:pPr>
        <w:pStyle w:val="Definition-Field"/>
      </w:pPr>
      <w:r>
        <w:t xml:space="preserve">a.   </w:t>
      </w:r>
      <w:r>
        <w:rPr>
          <w:i/>
        </w:rPr>
        <w:t>The standard states the grpFill works in all context.</w:t>
      </w:r>
    </w:p>
    <w:p w:rsidR="000A156F" w:rsidRDefault="00A9721F">
      <w:pPr>
        <w:pStyle w:val="Definition-Field2"/>
      </w:pPr>
      <w:r>
        <w:t xml:space="preserve">Office treats the grpFill element as </w:t>
      </w:r>
      <w:r>
        <w:t>noFill ("</w:t>
      </w:r>
      <w:hyperlink r:id="rId189">
        <w:r>
          <w:rPr>
            <w:rStyle w:val="Hyperlink"/>
          </w:rPr>
          <w:t>[ISO/IEC-29500-1]</w:t>
        </w:r>
      </w:hyperlink>
      <w:r>
        <w:t xml:space="preserve"> §20.1.8.44; noFill") when grpFill appears in a text context (that is as a descendant of defRPr ("[ISO/IEC-29500-1] §21.1.2.3.2; defRPr"), endParaRPr ("[ISO/IEC-295</w:t>
      </w:r>
      <w:r>
        <w:t>00-1] §21.1.2.2.3; endParaRPr"), or rPr ("[ISO/IEC-29500-1] §21.1.2.3.9; rPr").</w:t>
      </w:r>
    </w:p>
    <w:p w:rsidR="000A156F" w:rsidRDefault="00A9721F">
      <w:pPr>
        <w:pStyle w:val="Heading3"/>
      </w:pPr>
      <w:bookmarkStart w:id="2618" w:name="section_d5976d9d9727403c8c483560f8a6f016"/>
      <w:bookmarkStart w:id="2619" w:name="_Toc181684335"/>
      <w:r>
        <w:t>Part 1 Section 20.1.8.39, hsl (Hue Saturation Luminance Effect)</w:t>
      </w:r>
      <w:bookmarkEnd w:id="2618"/>
      <w:bookmarkEnd w:id="2619"/>
      <w:r>
        <w:fldChar w:fldCharType="begin"/>
      </w:r>
      <w:r>
        <w:instrText xml:space="preserve"> XE "hsl (Hue Saturation Luminance Effect)" </w:instrText>
      </w:r>
      <w:r>
        <w:fldChar w:fldCharType="end"/>
      </w:r>
    </w:p>
    <w:p w:rsidR="000A156F" w:rsidRDefault="00A9721F">
      <w:pPr>
        <w:pStyle w:val="Definition-Field"/>
      </w:pPr>
      <w:r>
        <w:t xml:space="preserve">a.   </w:t>
      </w:r>
      <w:r>
        <w:rPr>
          <w:i/>
        </w:rPr>
        <w:t>The standard states that the hue, saturation, and luminance m</w:t>
      </w:r>
      <w:r>
        <w:rPr>
          <w:i/>
        </w:rPr>
        <w:t>ay be adjusted relative to its current value.</w:t>
      </w:r>
    </w:p>
    <w:p w:rsidR="000A156F" w:rsidRDefault="00A9721F">
      <w:pPr>
        <w:pStyle w:val="Definition-Field2"/>
      </w:pPr>
      <w:r>
        <w:t>In Office the hsl element adjusts the value of the hue, saturation, and luminance attributes by specified amounts.</w:t>
      </w:r>
    </w:p>
    <w:p w:rsidR="000A156F" w:rsidRDefault="00A9721F">
      <w:pPr>
        <w:pStyle w:val="Definition-Field"/>
      </w:pPr>
      <w:r>
        <w:t xml:space="preserve">b.   </w:t>
      </w:r>
      <w:r>
        <w:rPr>
          <w:i/>
        </w:rPr>
        <w:t>The standard states that hue, lum and sat are adjusted by the given percentage.</w:t>
      </w:r>
    </w:p>
    <w:p w:rsidR="000A156F" w:rsidRDefault="00A9721F">
      <w:pPr>
        <w:pStyle w:val="Definition-Field2"/>
      </w:pPr>
      <w:r>
        <w:t>Office mod</w:t>
      </w:r>
      <w:r>
        <w:t>ulates hue, lum and sat by the given percentage.</w:t>
      </w:r>
    </w:p>
    <w:p w:rsidR="000A156F" w:rsidRDefault="00A9721F">
      <w:pPr>
        <w:pStyle w:val="Heading3"/>
      </w:pPr>
      <w:bookmarkStart w:id="2620" w:name="section_40e26c9bb6f64409b138d7f40b112d15"/>
      <w:bookmarkStart w:id="2621" w:name="_Toc181684336"/>
      <w:r>
        <w:t>Part 1 Section 20.1.8.40, innerShdw (Inner Shadow Effect)</w:t>
      </w:r>
      <w:bookmarkEnd w:id="2620"/>
      <w:bookmarkEnd w:id="2621"/>
      <w:r>
        <w:fldChar w:fldCharType="begin"/>
      </w:r>
      <w:r>
        <w:instrText xml:space="preserve"> XE "innerShdw (Inner Shadow Effect)" </w:instrText>
      </w:r>
      <w:r>
        <w:fldChar w:fldCharType="end"/>
      </w:r>
    </w:p>
    <w:p w:rsidR="000A156F" w:rsidRDefault="00A9721F">
      <w:pPr>
        <w:pStyle w:val="Definition-Field"/>
      </w:pPr>
      <w:r>
        <w:t xml:space="preserve">a.   </w:t>
      </w:r>
      <w:r>
        <w:rPr>
          <w:i/>
        </w:rPr>
        <w:t>The standard does not specify the frame of reference for the offset angle defined in the dir attribute.</w:t>
      </w:r>
    </w:p>
    <w:p w:rsidR="000A156F" w:rsidRDefault="00A9721F">
      <w:pPr>
        <w:pStyle w:val="Definition-Field2"/>
      </w:pPr>
      <w:r>
        <w:lastRenderedPageBreak/>
        <w:t>In Office, the angle defined in the dir attribute is measured clockwise from the left.</w:t>
      </w:r>
    </w:p>
    <w:p w:rsidR="000A156F" w:rsidRDefault="00A9721F">
      <w:pPr>
        <w:pStyle w:val="Heading3"/>
      </w:pPr>
      <w:bookmarkStart w:id="2622" w:name="section_52c3867f20ad47b1b0c988082bf94676"/>
      <w:bookmarkStart w:id="2623" w:name="_Toc181684337"/>
      <w:r>
        <w:t>Part 1 Section 20.1.8.42, lum (Luminance Effect)</w:t>
      </w:r>
      <w:bookmarkEnd w:id="2622"/>
      <w:bookmarkEnd w:id="2623"/>
      <w:r>
        <w:fldChar w:fldCharType="begin"/>
      </w:r>
      <w:r>
        <w:instrText xml:space="preserve"> XE "lum (Luminance Effect)" </w:instrText>
      </w:r>
      <w:r>
        <w:fldChar w:fldCharType="end"/>
      </w:r>
    </w:p>
    <w:p w:rsidR="000A156F" w:rsidRDefault="00A9721F">
      <w:pPr>
        <w:pStyle w:val="Definition-Field"/>
      </w:pPr>
      <w:r>
        <w:t xml:space="preserve">a.   </w:t>
      </w:r>
      <w:r>
        <w:rPr>
          <w:i/>
        </w:rPr>
        <w:t>The standard states that brightness linearly shifts all colors closer to white or bl</w:t>
      </w:r>
      <w:r>
        <w:rPr>
          <w:i/>
        </w:rPr>
        <w:t>ack and contrast scales all colors to be either closer or further apart.</w:t>
      </w:r>
    </w:p>
    <w:p w:rsidR="000A156F" w:rsidRDefault="00A9721F">
      <w:pPr>
        <w:pStyle w:val="Definition-Field2"/>
      </w:pPr>
      <w:r>
        <w:t>In Office, brightness linearly shifts all colors closer to white (positive brightness), or black (negative brightness) and contrast scales all colors to be further apart (positive con</w:t>
      </w:r>
      <w:r>
        <w:t>trast), or closer together (negative contrast).</w:t>
      </w:r>
    </w:p>
    <w:p w:rsidR="000A156F" w:rsidRDefault="00A9721F">
      <w:pPr>
        <w:pStyle w:val="Heading3"/>
      </w:pPr>
      <w:bookmarkStart w:id="2624" w:name="section_7bd817fb79cf4789b7334a29f032f5b7"/>
      <w:bookmarkStart w:id="2625" w:name="_Toc181684338"/>
      <w:r>
        <w:t>Part 1 Section 20.1.8.43, miter (Miter Line Join)</w:t>
      </w:r>
      <w:bookmarkEnd w:id="2624"/>
      <w:bookmarkEnd w:id="2625"/>
      <w:r>
        <w:fldChar w:fldCharType="begin"/>
      </w:r>
      <w:r>
        <w:instrText xml:space="preserve"> XE "miter (Miter Line Join)" </w:instrText>
      </w:r>
      <w:r>
        <w:fldChar w:fldCharType="end"/>
      </w:r>
    </w:p>
    <w:p w:rsidR="000A156F" w:rsidRDefault="00A9721F">
      <w:pPr>
        <w:pStyle w:val="Definition-Field"/>
      </w:pPr>
      <w:r>
        <w:t xml:space="preserve">a.   </w:t>
      </w:r>
      <w:r>
        <w:rPr>
          <w:i/>
        </w:rPr>
        <w:t>The standard suggests that without the lim attribute, line join can extend infinitely.</w:t>
      </w:r>
    </w:p>
    <w:p w:rsidR="000A156F" w:rsidRDefault="00A9721F">
      <w:pPr>
        <w:pStyle w:val="Definition-Field2"/>
      </w:pPr>
      <w:r>
        <w:t>In Office, the limit that lines wi</w:t>
      </w:r>
      <w:r>
        <w:t>ll extend to form a miter join is the maximum distance between the inner and outer corners expressed as a percentage of line width.</w:t>
      </w:r>
    </w:p>
    <w:p w:rsidR="000A156F" w:rsidRDefault="00A9721F">
      <w:pPr>
        <w:pStyle w:val="Heading3"/>
      </w:pPr>
      <w:bookmarkStart w:id="2626" w:name="section_a3d8cb72c704433b8d5adefc6f0700be"/>
      <w:bookmarkStart w:id="2627" w:name="_Toc181684339"/>
      <w:r>
        <w:t>Part 1 Section 20.1.8.45, outerShdw (Outer Shadow Effect)</w:t>
      </w:r>
      <w:bookmarkEnd w:id="2626"/>
      <w:bookmarkEnd w:id="2627"/>
      <w:r>
        <w:fldChar w:fldCharType="begin"/>
      </w:r>
      <w:r>
        <w:instrText xml:space="preserve"> XE "outerShdw (Outer Shadow Effect)" </w:instrText>
      </w:r>
      <w:r>
        <w:fldChar w:fldCharType="end"/>
      </w:r>
    </w:p>
    <w:p w:rsidR="000A156F" w:rsidRDefault="00A9721F">
      <w:pPr>
        <w:pStyle w:val="Definition-Field"/>
      </w:pPr>
      <w:r>
        <w:t xml:space="preserve">a.   </w:t>
      </w:r>
      <w:r>
        <w:rPr>
          <w:i/>
        </w:rPr>
        <w:t>The standard does not</w:t>
      </w:r>
      <w:r>
        <w:rPr>
          <w:i/>
        </w:rPr>
        <w:t xml:space="preserve"> state that the behavior of the sx and sy attributes depends on the parent container of the effectLst element that contains the outerShdw element.</w:t>
      </w:r>
    </w:p>
    <w:p w:rsidR="000A156F" w:rsidRDefault="00A9721F">
      <w:pPr>
        <w:pStyle w:val="Definition-Field2"/>
      </w:pPr>
      <w:r>
        <w:t>If the parent element of the effectLst element that contains the outerShdw is an spPr element, the shadow wil</w:t>
      </w:r>
      <w:r>
        <w:t>l only be rendered if the sx and sy attribute values are 100%. To use any other value, the effectLst must be contained within a grpSpPr element.</w:t>
      </w:r>
    </w:p>
    <w:p w:rsidR="000A156F" w:rsidRDefault="00A9721F">
      <w:pPr>
        <w:pStyle w:val="Heading3"/>
      </w:pPr>
      <w:bookmarkStart w:id="2628" w:name="section_aa27ed208fbb4d95b9c53427cabd38e0"/>
      <w:bookmarkStart w:id="2629" w:name="_Toc181684340"/>
      <w:r>
        <w:t>Part 1 Section 20.1.8.50, reflection (Reflection Effect)</w:t>
      </w:r>
      <w:bookmarkEnd w:id="2628"/>
      <w:bookmarkEnd w:id="2629"/>
      <w:r>
        <w:fldChar w:fldCharType="begin"/>
      </w:r>
      <w:r>
        <w:instrText xml:space="preserve"> XE "reflection (Reflection Effect)" </w:instrText>
      </w:r>
      <w:r>
        <w:fldChar w:fldCharType="end"/>
      </w:r>
    </w:p>
    <w:p w:rsidR="000A156F" w:rsidRDefault="00A9721F">
      <w:pPr>
        <w:pStyle w:val="Definition-Field"/>
      </w:pPr>
      <w:r>
        <w:t xml:space="preserve">a.   </w:t>
      </w:r>
      <w:r>
        <w:rPr>
          <w:i/>
        </w:rPr>
        <w:t xml:space="preserve">The </w:t>
      </w:r>
      <w:r>
        <w:rPr>
          <w:i/>
        </w:rPr>
        <w:t>standard states that the algn and dist attributes describe shadow properties.</w:t>
      </w:r>
    </w:p>
    <w:p w:rsidR="000A156F" w:rsidRDefault="00A9721F">
      <w:pPr>
        <w:pStyle w:val="Definition-Field2"/>
      </w:pPr>
      <w:r>
        <w:t>In Office, the algn and dist attributes describe reflection properties.</w:t>
      </w:r>
    </w:p>
    <w:p w:rsidR="000A156F" w:rsidRDefault="00A9721F">
      <w:pPr>
        <w:pStyle w:val="Definition-Field"/>
      </w:pPr>
      <w:r>
        <w:t xml:space="preserve">b.   </w:t>
      </w:r>
      <w:r>
        <w:rPr>
          <w:i/>
        </w:rPr>
        <w:t xml:space="preserve">In the standard the attribute dir specifies the direction of the alpha gradient ramp relative to the </w:t>
      </w:r>
      <w:r>
        <w:rPr>
          <w:i/>
        </w:rPr>
        <w:t>shape itself, and the attribute fadeDir specifies the direction to offset the reflection.</w:t>
      </w:r>
    </w:p>
    <w:p w:rsidR="000A156F" w:rsidRDefault="00A9721F">
      <w:pPr>
        <w:pStyle w:val="Definition-Field2"/>
      </w:pPr>
      <w:r>
        <w:t xml:space="preserve">In Office, the attribute fadeDir specifies the direction of the alpha gradient ramp relative to the shape itself, and attribute dir specifies the direction to offset </w:t>
      </w:r>
      <w:r>
        <w:t>the reflection.</w:t>
      </w:r>
    </w:p>
    <w:p w:rsidR="000A156F" w:rsidRDefault="00A9721F">
      <w:pPr>
        <w:pStyle w:val="Heading3"/>
      </w:pPr>
      <w:bookmarkStart w:id="2630" w:name="section_562a55eece0a42b9a8ef9df10db1a07e"/>
      <w:bookmarkStart w:id="2631" w:name="_Toc181684341"/>
      <w:r>
        <w:t>Part 1 Section 20.1.8.52, round (Round Line Join)</w:t>
      </w:r>
      <w:bookmarkEnd w:id="2630"/>
      <w:bookmarkEnd w:id="2631"/>
      <w:r>
        <w:fldChar w:fldCharType="begin"/>
      </w:r>
      <w:r>
        <w:instrText xml:space="preserve"> XE "round (Round Line Join)" </w:instrText>
      </w:r>
      <w:r>
        <w:fldChar w:fldCharType="end"/>
      </w:r>
    </w:p>
    <w:p w:rsidR="000A156F" w:rsidRDefault="00A9721F">
      <w:pPr>
        <w:pStyle w:val="Definition-Field"/>
      </w:pPr>
      <w:r>
        <w:t xml:space="preserve">a.   </w:t>
      </w:r>
      <w:r>
        <w:rPr>
          <w:i/>
        </w:rPr>
        <w:t>The standard states that line joins will be round.</w:t>
      </w:r>
    </w:p>
    <w:p w:rsidR="000A156F" w:rsidRDefault="00A9721F">
      <w:r>
        <w:t>In Office, the following preset shapes ("</w:t>
      </w:r>
      <w:hyperlink r:id="rId190">
        <w:r>
          <w:rPr>
            <w:rStyle w:val="Hyperlink"/>
          </w:rPr>
          <w:t>[ISO/IEC-29500-1]</w:t>
        </w:r>
      </w:hyperlink>
      <w:r>
        <w:t xml:space="preserve"> §20.1.10.55; ST_ShapeType (Preset Shape Types)") will use a mitered line join ("[ISO/IEC-29500-1] §20.1.8.43; miter (Miter Line Join)") even if round is specified: </w:t>
      </w:r>
    </w:p>
    <w:p w:rsidR="000A156F" w:rsidRDefault="00A9721F">
      <w:r>
        <w:rPr>
          <w:b/>
        </w:rPr>
        <w:t xml:space="preserve">cube, moon, chevron, ellipseRibbon, ellipseRibbon2, plus, </w:t>
      </w:r>
      <w:r>
        <w:rPr>
          <w:b/>
        </w:rPr>
        <w:t>rightArrow, stripedRightArrow, notchedRightArrow, leftArrowCallout, leftRightArrowCallout, upDownArrowCallout, quadArrowCallout, star4, star5, star8, star10, star12, star16, star24, star32, upArrow, downArrow, upDownArrow, leftUpArrow, bentUpArrow, mathPlu</w:t>
      </w:r>
      <w:r>
        <w:rPr>
          <w:b/>
        </w:rPr>
        <w:t>s, mathMinus, mathMultiply, mathEqual, mathNotEqual</w:t>
      </w:r>
    </w:p>
    <w:p w:rsidR="000A156F" w:rsidRDefault="00A9721F">
      <w:pPr>
        <w:pStyle w:val="Heading3"/>
      </w:pPr>
      <w:bookmarkStart w:id="2632" w:name="section_354bd69568784b22a0779ca05a74e0f0"/>
      <w:bookmarkStart w:id="2633" w:name="_Toc181684342"/>
      <w:r>
        <w:t>Part 1 Section 20.1.8.53, softEdge (Soft Edge Effect)</w:t>
      </w:r>
      <w:bookmarkEnd w:id="2632"/>
      <w:bookmarkEnd w:id="2633"/>
      <w:r>
        <w:fldChar w:fldCharType="begin"/>
      </w:r>
      <w:r>
        <w:instrText xml:space="preserve"> XE "softEdge (Soft Edge Effect)" </w:instrText>
      </w:r>
      <w:r>
        <w:fldChar w:fldCharType="end"/>
      </w:r>
    </w:p>
    <w:p w:rsidR="000A156F" w:rsidRDefault="00A9721F">
      <w:pPr>
        <w:pStyle w:val="Definition-Field"/>
      </w:pPr>
      <w:r>
        <w:t xml:space="preserve">a.   </w:t>
      </w:r>
      <w:r>
        <w:rPr>
          <w:i/>
        </w:rPr>
        <w:t>The standard states that the softEdge element specifies a soft edge effect where the edges of the shape are b</w:t>
      </w:r>
      <w:r>
        <w:rPr>
          <w:i/>
        </w:rPr>
        <w:t>lurred while the fill is not affected.</w:t>
      </w:r>
    </w:p>
    <w:p w:rsidR="000A156F" w:rsidRDefault="00A9721F">
      <w:pPr>
        <w:pStyle w:val="Definition-Field2"/>
      </w:pPr>
      <w:r>
        <w:lastRenderedPageBreak/>
        <w:t>In Office, this element specifies an inset radius for blur.  Only the area between the shape boundary and the inset specified by the rad attribute is affected.</w:t>
      </w:r>
    </w:p>
    <w:p w:rsidR="000A156F" w:rsidRDefault="00A9721F">
      <w:pPr>
        <w:pStyle w:val="Heading3"/>
      </w:pPr>
      <w:bookmarkStart w:id="2634" w:name="section_842903c3c1f045718bcf1b28677dea13"/>
      <w:bookmarkStart w:id="2635" w:name="_Toc181684343"/>
      <w:r>
        <w:t>Part 1 Section 20.1.8.55, srcRect (Source Rectangle)</w:t>
      </w:r>
      <w:bookmarkEnd w:id="2634"/>
      <w:bookmarkEnd w:id="2635"/>
      <w:r>
        <w:fldChar w:fldCharType="begin"/>
      </w:r>
      <w:r>
        <w:instrText xml:space="preserve"> XE "</w:instrText>
      </w:r>
      <w:r>
        <w:instrText xml:space="preserve">srcRect (Source Rectangle)" </w:instrText>
      </w:r>
      <w:r>
        <w:fldChar w:fldCharType="end"/>
      </w:r>
    </w:p>
    <w:p w:rsidR="000A156F" w:rsidRDefault="00A9721F">
      <w:pPr>
        <w:pStyle w:val="Definition-Field"/>
      </w:pPr>
      <w:r>
        <w:t xml:space="preserve">a.   </w:t>
      </w:r>
      <w:r>
        <w:rPr>
          <w:i/>
        </w:rPr>
        <w:t>The standard states that a negative percentage specifies an outset.</w:t>
      </w:r>
    </w:p>
    <w:p w:rsidR="000A156F" w:rsidRDefault="00A9721F">
      <w:pPr>
        <w:pStyle w:val="Definition-Field2"/>
      </w:pPr>
      <w:r>
        <w:t>In Office, a negative offset specifies an outset only if the blip is not tiled.</w:t>
      </w:r>
    </w:p>
    <w:p w:rsidR="000A156F" w:rsidRDefault="00A9721F">
      <w:pPr>
        <w:pStyle w:val="Heading3"/>
      </w:pPr>
      <w:bookmarkStart w:id="2636" w:name="section_3a5d54a8863b4beb9f0c9fc72fdd0d05"/>
      <w:bookmarkStart w:id="2637" w:name="_Toc181684344"/>
      <w:r>
        <w:t>Part 1 Section 20.1.8.59, tileRect (Tile Rectangle)</w:t>
      </w:r>
      <w:bookmarkEnd w:id="2636"/>
      <w:bookmarkEnd w:id="2637"/>
      <w:r>
        <w:fldChar w:fldCharType="begin"/>
      </w:r>
      <w:r>
        <w:instrText xml:space="preserve"> XE "tileRect (Tile R</w:instrText>
      </w:r>
      <w:r>
        <w:instrText xml:space="preserve">ectangle)" </w:instrText>
      </w:r>
      <w:r>
        <w:fldChar w:fldCharType="end"/>
      </w:r>
    </w:p>
    <w:p w:rsidR="000A156F" w:rsidRDefault="00A9721F">
      <w:pPr>
        <w:pStyle w:val="Definition-Field"/>
      </w:pPr>
      <w:r>
        <w:t xml:space="preserve">a.   </w:t>
      </w:r>
      <w:r>
        <w:rPr>
          <w:i/>
        </w:rPr>
        <w:t>The standard states that the tileRect element applies to all gradient fills.</w:t>
      </w:r>
    </w:p>
    <w:p w:rsidR="000A156F" w:rsidRDefault="00A9721F">
      <w:pPr>
        <w:pStyle w:val="Definition-Field2"/>
      </w:pPr>
      <w:r>
        <w:t>In Office, if the gradient is used as a group fill, the tiling rectangle specified by this element is ignored.</w:t>
      </w:r>
    </w:p>
    <w:p w:rsidR="000A156F" w:rsidRDefault="00A9721F">
      <w:pPr>
        <w:pStyle w:val="Heading3"/>
      </w:pPr>
      <w:bookmarkStart w:id="2638" w:name="section_91ba9f43deb345f58a1a196afa07e776"/>
      <w:bookmarkStart w:id="2639" w:name="_Toc181684345"/>
      <w:r>
        <w:t>Part 1 Section 20.1.9.2, ahPolar (PolarAdjustHand</w:t>
      </w:r>
      <w:r>
        <w:t>le)</w:t>
      </w:r>
      <w:bookmarkEnd w:id="2638"/>
      <w:bookmarkEnd w:id="2639"/>
      <w:r>
        <w:fldChar w:fldCharType="begin"/>
      </w:r>
      <w:r>
        <w:instrText xml:space="preserve"> XE "ahPolar (PolarAdjustHandle)" </w:instrText>
      </w:r>
      <w:r>
        <w:fldChar w:fldCharType="end"/>
      </w:r>
    </w:p>
    <w:p w:rsidR="000A156F" w:rsidRDefault="00A9721F">
      <w:pPr>
        <w:pStyle w:val="Definition-Field"/>
        <w:rPr>
          <w:i/>
        </w:rPr>
      </w:pPr>
      <w:r>
        <w:t xml:space="preserve">a.   </w:t>
      </w:r>
      <w:r>
        <w:rPr>
          <w:i/>
        </w:rPr>
        <w:t>The standard does not specify how a consumer should interpret the element, when present, if both related pairs of attributes (e.g. both @maxAng and @minAng) are omitted.</w:t>
      </w:r>
    </w:p>
    <w:p w:rsidR="000A156F" w:rsidRDefault="00A9721F">
      <w:pPr>
        <w:ind w:left="360"/>
      </w:pPr>
      <w:r>
        <w:t>Office will use a default value of zero i</w:t>
      </w:r>
      <w:r>
        <w:t>f both attributes in a pair are omitted.</w:t>
      </w:r>
    </w:p>
    <w:p w:rsidR="000A156F" w:rsidRDefault="00A9721F">
      <w:pPr>
        <w:pStyle w:val="Heading3"/>
      </w:pPr>
      <w:bookmarkStart w:id="2640" w:name="section_2e54916a4038416dbe4f887efb6f72de"/>
      <w:bookmarkStart w:id="2641" w:name="_Toc181684346"/>
      <w:r>
        <w:t>Part 1 Section 20.1.9.3, ahXY (XYAdjustHandle)</w:t>
      </w:r>
      <w:bookmarkEnd w:id="2640"/>
      <w:bookmarkEnd w:id="2641"/>
      <w:r>
        <w:fldChar w:fldCharType="begin"/>
      </w:r>
      <w:r>
        <w:instrText xml:space="preserve"> XE "ahXY (XYAdjustHandle)" </w:instrText>
      </w:r>
      <w:r>
        <w:fldChar w:fldCharType="end"/>
      </w:r>
    </w:p>
    <w:p w:rsidR="000A156F" w:rsidRDefault="00A9721F">
      <w:pPr>
        <w:pStyle w:val="Definition-Field"/>
        <w:rPr>
          <w:i/>
        </w:rPr>
      </w:pPr>
      <w:r>
        <w:t xml:space="preserve">a.   </w:t>
      </w:r>
      <w:r>
        <w:rPr>
          <w:i/>
        </w:rPr>
        <w:t>The standard does not specify how a consumer should interpret the element, when present, if both related pairs of attributes (e.g. bo</w:t>
      </w:r>
      <w:r>
        <w:rPr>
          <w:i/>
        </w:rPr>
        <w:t>th @maxX and @minX) are omitted.</w:t>
      </w:r>
    </w:p>
    <w:p w:rsidR="000A156F" w:rsidRDefault="00A9721F">
      <w:pPr>
        <w:ind w:left="360"/>
      </w:pPr>
      <w:r>
        <w:t>Office will use a default value of zero if both attributes in a pair are omitted.</w:t>
      </w:r>
    </w:p>
    <w:p w:rsidR="000A156F" w:rsidRDefault="00A9721F">
      <w:pPr>
        <w:pStyle w:val="Heading3"/>
      </w:pPr>
      <w:bookmarkStart w:id="2642" w:name="section_851cc3e8ab224f5e86d123b0b06d5edd"/>
      <w:bookmarkStart w:id="2643" w:name="_Toc181684347"/>
      <w:r>
        <w:t>Part 1 Section 20.1.9.11, gd (Shape Guide)</w:t>
      </w:r>
      <w:bookmarkEnd w:id="2642"/>
      <w:bookmarkEnd w:id="2643"/>
      <w:r>
        <w:fldChar w:fldCharType="begin"/>
      </w:r>
      <w:r>
        <w:instrText xml:space="preserve"> XE "gd (Shape Guide)" </w:instrText>
      </w:r>
      <w:r>
        <w:fldChar w:fldCharType="end"/>
      </w:r>
    </w:p>
    <w:p w:rsidR="000A156F" w:rsidRDefault="00A9721F">
      <w:pPr>
        <w:pStyle w:val="Definition-Field"/>
      </w:pPr>
      <w:r>
        <w:t xml:space="preserve">a.   </w:t>
      </w:r>
      <w:r>
        <w:rPr>
          <w:i/>
        </w:rPr>
        <w:t>The standard uses incorrect terms and symbols to describe shape guid</w:t>
      </w:r>
      <w:r>
        <w:rPr>
          <w:i/>
        </w:rPr>
        <w:t>e formula mod in the fmla attribute.</w:t>
      </w:r>
    </w:p>
    <w:p w:rsidR="000A156F" w:rsidRDefault="00A9721F">
      <w:pPr>
        <w:pStyle w:val="Definition-Field2"/>
      </w:pPr>
      <w:r>
        <w:t>In Office, mod x y z equals sqrt(x^2 + y^2 + z^2).</w:t>
      </w:r>
    </w:p>
    <w:p w:rsidR="000A156F" w:rsidRDefault="00A9721F">
      <w:pPr>
        <w:pStyle w:val="Definition-Field"/>
      </w:pPr>
      <w:r>
        <w:t xml:space="preserve">b.   </w:t>
      </w:r>
      <w:r>
        <w:rPr>
          <w:i/>
        </w:rPr>
        <w:t>The standard defines sqrt x = sqrt(x) in the fmla attribute.</w:t>
      </w:r>
    </w:p>
    <w:p w:rsidR="000A156F" w:rsidRDefault="00A9721F">
      <w:pPr>
        <w:pStyle w:val="Definition-Field2"/>
      </w:pPr>
      <w:r>
        <w:t>In Office, sqrt x = sqrt(abs(x)).</w:t>
      </w:r>
    </w:p>
    <w:p w:rsidR="000A156F" w:rsidRDefault="00A9721F">
      <w:pPr>
        <w:pStyle w:val="Definition-Field"/>
      </w:pPr>
      <w:r>
        <w:t xml:space="preserve">c.   </w:t>
      </w:r>
      <w:r>
        <w:rPr>
          <w:i/>
        </w:rPr>
        <w:t>The standard does not specify the unit of measurement implied w</w:t>
      </w:r>
      <w:r>
        <w:rPr>
          <w:i/>
        </w:rPr>
        <w:t>hen a trigonometric formula is used in the fmla attribute.</w:t>
      </w:r>
    </w:p>
    <w:p w:rsidR="000A156F" w:rsidRDefault="00A9721F">
      <w:pPr>
        <w:pStyle w:val="Definition-Field2"/>
      </w:pPr>
      <w:r>
        <w:t>In PowerPoint when a trigonometric formula is specified in the fmla attribute, the angle is measured in 60000ths of a degree.</w:t>
      </w:r>
    </w:p>
    <w:p w:rsidR="000A156F" w:rsidRDefault="00A9721F">
      <w:pPr>
        <w:pStyle w:val="Definition-Field"/>
      </w:pPr>
      <w:r>
        <w:t xml:space="preserve">d.   </w:t>
      </w:r>
      <w:r>
        <w:rPr>
          <w:i/>
        </w:rPr>
        <w:t>The standard defines at2 x y = arctan(y/x) in the fmla attribute.</w:t>
      </w:r>
    </w:p>
    <w:p w:rsidR="000A156F" w:rsidRDefault="00A9721F">
      <w:pPr>
        <w:pStyle w:val="Definition-Field2"/>
      </w:pPr>
      <w:r>
        <w:t>In PowerPoint at2 x y is treated as atan2(y,x) in the fmla attribute.  When y == 0 and x == 0, Powerpoint returns 0.</w:t>
      </w:r>
    </w:p>
    <w:p w:rsidR="000A156F" w:rsidRDefault="00A9721F">
      <w:pPr>
        <w:pStyle w:val="Heading3"/>
      </w:pPr>
      <w:bookmarkStart w:id="2644" w:name="section_767f312ee0f5471cbbd8dc5181a9bda4"/>
      <w:bookmarkStart w:id="2645" w:name="_Toc181684348"/>
      <w:r>
        <w:t>Part 1 Section 20.1.9.15, path (Shape Path)</w:t>
      </w:r>
      <w:bookmarkEnd w:id="2644"/>
      <w:bookmarkEnd w:id="2645"/>
      <w:r>
        <w:fldChar w:fldCharType="begin"/>
      </w:r>
      <w:r>
        <w:instrText xml:space="preserve"> XE "path (Shape Path)" </w:instrText>
      </w:r>
      <w:r>
        <w:fldChar w:fldCharType="end"/>
      </w:r>
    </w:p>
    <w:p w:rsidR="000A156F" w:rsidRDefault="00A9721F">
      <w:pPr>
        <w:pStyle w:val="Definition-Field"/>
      </w:pPr>
      <w:r>
        <w:t xml:space="preserve">a.   </w:t>
      </w:r>
      <w:r>
        <w:rPr>
          <w:i/>
        </w:rPr>
        <w:t>The standard states that if the extrusionOk attribute is omitted</w:t>
      </w:r>
      <w:r>
        <w:rPr>
          <w:i/>
        </w:rPr>
        <w:t xml:space="preserve"> then a value of 0, or false, is assumed.</w:t>
      </w:r>
    </w:p>
    <w:p w:rsidR="000A156F" w:rsidRDefault="00A9721F">
      <w:pPr>
        <w:pStyle w:val="Definition-Field2"/>
      </w:pPr>
      <w:r>
        <w:t>In Office and the schema, if the extrusionOk attribute is omitted then a value of true is assumed.</w:t>
      </w:r>
    </w:p>
    <w:p w:rsidR="000A156F" w:rsidRDefault="00A9721F">
      <w:pPr>
        <w:pStyle w:val="Heading3"/>
      </w:pPr>
      <w:bookmarkStart w:id="2646" w:name="section_779d2a7535884516aa765d3aed61ed27"/>
      <w:bookmarkStart w:id="2647" w:name="_Toc181684349"/>
      <w:r>
        <w:lastRenderedPageBreak/>
        <w:t>Part 1 Section 20.1.9.17, pos (Shape Position Coordinate)</w:t>
      </w:r>
      <w:bookmarkEnd w:id="2646"/>
      <w:bookmarkEnd w:id="2647"/>
      <w:r>
        <w:fldChar w:fldCharType="begin"/>
      </w:r>
      <w:r>
        <w:instrText xml:space="preserve"> XE "pos (Shape Position Coordinate)" </w:instrText>
      </w:r>
      <w:r>
        <w:fldChar w:fldCharType="end"/>
      </w:r>
    </w:p>
    <w:p w:rsidR="000A156F" w:rsidRDefault="00A9721F">
      <w:pPr>
        <w:pStyle w:val="Definition-Field"/>
      </w:pPr>
      <w:r>
        <w:t xml:space="preserve">a.   </w:t>
      </w:r>
      <w:r>
        <w:rPr>
          <w:i/>
        </w:rPr>
        <w:t>The standard</w:t>
      </w:r>
      <w:r>
        <w:rPr>
          <w:i/>
        </w:rPr>
        <w:t xml:space="preserve"> defines x and y coordinates as path relative coordinates.</w:t>
      </w:r>
    </w:p>
    <w:p w:rsidR="000A156F" w:rsidRDefault="00A9721F">
      <w:pPr>
        <w:pStyle w:val="Definition-Field2"/>
      </w:pPr>
      <w:r>
        <w:t>Office defines x and y coordinates as absolute EMU coordinates.</w:t>
      </w:r>
    </w:p>
    <w:p w:rsidR="000A156F" w:rsidRDefault="00A9721F">
      <w:pPr>
        <w:pStyle w:val="Heading3"/>
      </w:pPr>
      <w:bookmarkStart w:id="2648" w:name="section_10ef747bd3a848b8873e665640b6415c"/>
      <w:bookmarkStart w:id="2649" w:name="_Toc181684350"/>
      <w:r>
        <w:t>Part 1 Section 20.1.9.20, pt (Shape Path Point)</w:t>
      </w:r>
      <w:bookmarkEnd w:id="2648"/>
      <w:bookmarkEnd w:id="2649"/>
      <w:r>
        <w:fldChar w:fldCharType="begin"/>
      </w:r>
      <w:r>
        <w:instrText xml:space="preserve"> XE "pt (Shape Path Point)" </w:instrText>
      </w:r>
      <w:r>
        <w:fldChar w:fldCharType="end"/>
      </w:r>
    </w:p>
    <w:p w:rsidR="000A156F" w:rsidRDefault="00A9721F">
      <w:pPr>
        <w:pStyle w:val="Definition-Field2"/>
      </w:pPr>
      <w:r>
        <w:rPr>
          <w:i/>
        </w:rPr>
        <w:t xml:space="preserve">For additional notes that apply to this portion of the </w:t>
      </w:r>
      <w:r>
        <w:rPr>
          <w:i/>
        </w:rPr>
        <w:t xml:space="preserve">standard, please see the notes for </w:t>
      </w:r>
      <w:hyperlink w:anchor="Section_779d2a7535884516aa765d3aed61ed27">
        <w:r>
          <w:rPr>
            <w:rStyle w:val="Hyperlink"/>
          </w:rPr>
          <w:t>pos, §20.1.9.17(a)</w:t>
        </w:r>
      </w:hyperlink>
      <w:r>
        <w:rPr>
          <w:i/>
        </w:rPr>
        <w:t>.</w:t>
      </w:r>
    </w:p>
    <w:p w:rsidR="000A156F" w:rsidRDefault="00A9721F">
      <w:pPr>
        <w:pStyle w:val="Heading3"/>
      </w:pPr>
      <w:bookmarkStart w:id="2650" w:name="section_454329d47342475a945f2a7e23e740dd"/>
      <w:bookmarkStart w:id="2651" w:name="_Toc181684351"/>
      <w:r>
        <w:t>Part 1 Section 20.1.9.22, Rect (Shape Text Rectangle)</w:t>
      </w:r>
      <w:bookmarkEnd w:id="2650"/>
      <w:bookmarkEnd w:id="2651"/>
      <w:r>
        <w:fldChar w:fldCharType="begin"/>
      </w:r>
      <w:r>
        <w:instrText xml:space="preserve"> XE "Rect (Shape Text Rectangle)" </w:instrText>
      </w:r>
      <w:r>
        <w:fldChar w:fldCharType="end"/>
      </w:r>
    </w:p>
    <w:p w:rsidR="000A156F" w:rsidRDefault="00A9721F">
      <w:r>
        <w:t>The 2D Transform (“</w:t>
      </w:r>
      <w:hyperlink r:id="rId191">
        <w:r>
          <w:rPr>
            <w:rStyle w:val="Hyperlink"/>
          </w:rPr>
          <w:t>[ISO/IEC-29500-1]</w:t>
        </w:r>
      </w:hyperlink>
      <w:r>
        <w:t xml:space="preserve"> §20.4.2.43; xfrm”) modifies Shape Text Rectangle and is required in order to calculate the correct value. Office will ignore the value of Shape Text Rectangle if the 2D Transform is omitted.</w:t>
      </w:r>
    </w:p>
    <w:p w:rsidR="000A156F" w:rsidRDefault="00A9721F">
      <w:pPr>
        <w:pStyle w:val="Heading3"/>
      </w:pPr>
      <w:bookmarkStart w:id="2652" w:name="section_bc71ad3cc009449baf87d7f5604d8daf"/>
      <w:bookmarkStart w:id="2653" w:name="_Toc181684352"/>
      <w:r>
        <w:t>Part 1 Sec</w:t>
      </w:r>
      <w:r>
        <w:t>tion 20.1.10.9, ST_BevelPresetType (Bevel Presets)</w:t>
      </w:r>
      <w:bookmarkEnd w:id="2652"/>
      <w:bookmarkEnd w:id="2653"/>
      <w:r>
        <w:fldChar w:fldCharType="begin"/>
      </w:r>
      <w:r>
        <w:instrText xml:space="preserve"> XE "ST_BevelPresetType (Bevel Presets)" </w:instrText>
      </w:r>
      <w:r>
        <w:fldChar w:fldCharType="end"/>
      </w:r>
    </w:p>
    <w:p w:rsidR="000A156F" w:rsidRDefault="00A9721F">
      <w:pPr>
        <w:pStyle w:val="Definition-Field"/>
      </w:pPr>
      <w:r>
        <w:t xml:space="preserve">a.   </w:t>
      </w:r>
      <w:r>
        <w:rPr>
          <w:i/>
        </w:rPr>
        <w:t>The standard contains a table with examples of the enumeration values, but the examples do not describe how the bevels are defined.</w:t>
      </w:r>
    </w:p>
    <w:p w:rsidR="000A156F" w:rsidRDefault="00A9721F">
      <w:pPr>
        <w:pStyle w:val="Definition-Field"/>
        <w:ind w:firstLine="0"/>
      </w:pPr>
      <w:r>
        <w:t>Office defines each bevel</w:t>
      </w:r>
      <w:r>
        <w:t xml:space="preserve"> as 2D curves in a square unit space ({0, 0} to {1, 1}). Unlike a real-world bevel which cuts away from a surface, these conceptually extend a flat face perpendicular to that face.</w:t>
      </w:r>
    </w:p>
    <w:p w:rsidR="000A156F" w:rsidRDefault="00A9721F">
      <w:pPr>
        <w:pStyle w:val="Definition-Field"/>
        <w:ind w:firstLine="0"/>
      </w:pPr>
      <w:r>
        <w:t>The schema also has bevel width and bevel height attributes. The point (0,0</w:t>
      </w:r>
      <w:r>
        <w:t>) in this "bevel space" is at the outer edge of the face, the x-coordinate moves away from the face (along the "bevel height"), while the y-coordinate moves inwards towards the interior of the face (along the "bevel width"). The two dimensions in the bevel</w:t>
      </w:r>
      <w:r>
        <w:t xml:space="preserve"> space are also treated differently in that Office stretches the x-axis to fully fill the bevel height.</w:t>
      </w:r>
    </w:p>
    <w:p w:rsidR="000A156F" w:rsidRDefault="00A9721F">
      <w:pPr>
        <w:pStyle w:val="Definition-Field"/>
        <w:ind w:firstLine="0"/>
      </w:pPr>
      <w:r>
        <w:t>[Example:</w:t>
      </w:r>
    </w:p>
    <w:p w:rsidR="000A156F" w:rsidRDefault="00A9721F">
      <w:pPr>
        <w:pStyle w:val="Definition-Field"/>
        <w:ind w:firstLine="0"/>
      </w:pPr>
      <w:r>
        <w:t>Bevel type "cross" ends with x == 0.6, but the geometry created is as tall as with bevel type "angle" which ends at x == 1.0. But for the y-ax</w:t>
      </w:r>
      <w:r>
        <w:t>is Office scales the bevel from {0..1} to {0..bevelWidth}, so that a bevel ending with a point at y &lt; 1 will not move as deeply towards the interior of the shape.</w:t>
      </w:r>
    </w:p>
    <w:p w:rsidR="000A156F" w:rsidRDefault="00A9721F">
      <w:pPr>
        <w:pStyle w:val="Definition-Field"/>
        <w:ind w:firstLine="0"/>
      </w:pPr>
      <w:r>
        <w:t>end example]</w:t>
      </w:r>
    </w:p>
    <w:p w:rsidR="000A156F" w:rsidRDefault="00A9721F">
      <w:pPr>
        <w:pStyle w:val="Definition-Field"/>
        <w:ind w:firstLine="0"/>
      </w:pPr>
      <w:r>
        <w:t>Below is pseudocode to assemble geometry for each of the bevel types.</w:t>
      </w:r>
    </w:p>
    <w:p w:rsidR="000A156F" w:rsidRDefault="00A9721F">
      <w:pPr>
        <w:pStyle w:val="Code"/>
        <w:ind w:left="734"/>
      </w:pPr>
      <w:r>
        <w:t>angle:</w:t>
      </w:r>
    </w:p>
    <w:p w:rsidR="000A156F" w:rsidRDefault="00A9721F">
      <w:pPr>
        <w:pStyle w:val="Code"/>
        <w:ind w:left="734"/>
      </w:pPr>
      <w:r>
        <w:t xml:space="preserve">   </w:t>
      </w:r>
      <w:r>
        <w:t>BeginFigure( { 0, 0 } );</w:t>
      </w:r>
    </w:p>
    <w:p w:rsidR="000A156F" w:rsidRDefault="00A9721F">
      <w:pPr>
        <w:pStyle w:val="Code"/>
        <w:ind w:left="734"/>
      </w:pPr>
      <w:r>
        <w:t xml:space="preserve">   LineTo( { 1, 1 } );</w:t>
      </w:r>
    </w:p>
    <w:p w:rsidR="000A156F" w:rsidRDefault="000A156F">
      <w:pPr>
        <w:pStyle w:val="Code"/>
        <w:ind w:left="734"/>
      </w:pPr>
    </w:p>
    <w:p w:rsidR="000A156F" w:rsidRDefault="00A9721F">
      <w:pPr>
        <w:pStyle w:val="Code"/>
        <w:ind w:left="734"/>
      </w:pPr>
      <w:r>
        <w:t>artDeco:</w:t>
      </w:r>
    </w:p>
    <w:p w:rsidR="000A156F" w:rsidRDefault="00A9721F">
      <w:pPr>
        <w:pStyle w:val="Code"/>
        <w:ind w:left="734"/>
      </w:pPr>
      <w:r>
        <w:t xml:space="preserve">   BeginFigure( { 0, 0 } );</w:t>
      </w:r>
    </w:p>
    <w:p w:rsidR="000A156F" w:rsidRDefault="00A9721F">
      <w:pPr>
        <w:pStyle w:val="Code"/>
        <w:ind w:left="734"/>
      </w:pPr>
      <w:r>
        <w:t xml:space="preserve">   BezierTo( { 0.000000, 0.184095 }, { 0.149238, 0.333333 }, { 0.333333, 0.333333 } );</w:t>
      </w:r>
    </w:p>
    <w:p w:rsidR="000A156F" w:rsidRDefault="00A9721F">
      <w:pPr>
        <w:pStyle w:val="Code"/>
        <w:ind w:left="734"/>
      </w:pPr>
      <w:r>
        <w:t xml:space="preserve">   BezierTo( { 0.333333, 0.701523 }, { 0.631810, 1.000000 }, { 1.000000, 1.000000 }</w:t>
      </w:r>
      <w:r>
        <w:t xml:space="preserve"> );</w:t>
      </w:r>
    </w:p>
    <w:p w:rsidR="000A156F" w:rsidRDefault="000A156F">
      <w:pPr>
        <w:pStyle w:val="Code"/>
        <w:ind w:left="734"/>
      </w:pPr>
    </w:p>
    <w:p w:rsidR="000A156F" w:rsidRDefault="00A9721F">
      <w:pPr>
        <w:pStyle w:val="Code"/>
        <w:ind w:left="734"/>
      </w:pPr>
      <w:r>
        <w:t>circle:</w:t>
      </w:r>
    </w:p>
    <w:p w:rsidR="000A156F" w:rsidRDefault="00A9721F">
      <w:pPr>
        <w:pStyle w:val="Code"/>
        <w:ind w:left="734"/>
      </w:pPr>
      <w:r>
        <w:t xml:space="preserve">   BeginFigure( { 0, 0 } );</w:t>
      </w:r>
    </w:p>
    <w:p w:rsidR="000A156F" w:rsidRDefault="00A9721F">
      <w:pPr>
        <w:pStyle w:val="Code"/>
        <w:ind w:left="734"/>
      </w:pPr>
      <w:r>
        <w:t xml:space="preserve">   BezierTo( { 0.00000, 0.55627 }, { 0.44373, 1.00000 }, { 1.00000, 1.00000 } );</w:t>
      </w:r>
    </w:p>
    <w:p w:rsidR="000A156F" w:rsidRDefault="000A156F">
      <w:pPr>
        <w:pStyle w:val="Code"/>
        <w:ind w:left="734"/>
      </w:pPr>
    </w:p>
    <w:p w:rsidR="000A156F" w:rsidRDefault="00A9721F">
      <w:pPr>
        <w:pStyle w:val="Code"/>
        <w:ind w:left="734"/>
      </w:pPr>
      <w:r>
        <w:t>convex:</w:t>
      </w:r>
    </w:p>
    <w:p w:rsidR="000A156F" w:rsidRDefault="00A9721F">
      <w:pPr>
        <w:pStyle w:val="Code"/>
        <w:ind w:left="734"/>
      </w:pPr>
      <w:r>
        <w:t xml:space="preserve">   BeginFigure( { 0, 0 } );</w:t>
      </w:r>
    </w:p>
    <w:p w:rsidR="000A156F" w:rsidRDefault="00A9721F">
      <w:pPr>
        <w:pStyle w:val="Code"/>
        <w:ind w:left="734"/>
      </w:pPr>
      <w:r>
        <w:t xml:space="preserve">   BezierTo( { 0.0000000, 0.070820 }, { 0.0297458, 0.100000 }, { 0.1014160, 0.100000 } );</w:t>
      </w:r>
    </w:p>
    <w:p w:rsidR="000A156F" w:rsidRDefault="00A9721F">
      <w:pPr>
        <w:pStyle w:val="Code"/>
        <w:ind w:left="734"/>
      </w:pPr>
      <w:r>
        <w:t xml:space="preserve">   BezierTo( { 0.5014160, 0.100000 }, { 0.9000000, 0.700000 }, { 0.9014160, 0.899999 } );</w:t>
      </w:r>
    </w:p>
    <w:p w:rsidR="000A156F" w:rsidRDefault="00A9721F">
      <w:pPr>
        <w:pStyle w:val="Code"/>
        <w:ind w:left="734"/>
      </w:pPr>
      <w:r>
        <w:lastRenderedPageBreak/>
        <w:t xml:space="preserve">   BezierTo( { 0.9000000, 0.971670 }, { 0.9334300, 1.000000 }, { 1.0000000, 1.000000 } );</w:t>
      </w:r>
    </w:p>
    <w:p w:rsidR="000A156F" w:rsidRDefault="000A156F">
      <w:pPr>
        <w:pStyle w:val="Code"/>
        <w:ind w:left="734"/>
      </w:pPr>
    </w:p>
    <w:p w:rsidR="000A156F" w:rsidRDefault="00A9721F">
      <w:pPr>
        <w:pStyle w:val="Code"/>
        <w:ind w:left="734"/>
      </w:pPr>
      <w:r>
        <w:t>coolSlant:</w:t>
      </w:r>
    </w:p>
    <w:p w:rsidR="000A156F" w:rsidRDefault="00A9721F">
      <w:pPr>
        <w:pStyle w:val="Code"/>
        <w:ind w:left="734"/>
      </w:pPr>
      <w:r>
        <w:t xml:space="preserve">   BeginFigure( { 0, 0 } );</w:t>
      </w:r>
    </w:p>
    <w:p w:rsidR="000A156F" w:rsidRDefault="00A9721F">
      <w:pPr>
        <w:pStyle w:val="Code"/>
        <w:ind w:left="734"/>
      </w:pPr>
      <w:r>
        <w:t xml:space="preserve">   BezierTo( { 0.000000, 0.138122 },</w:t>
      </w:r>
      <w:r>
        <w:t xml:space="preserve"> { 0.000000, 0.200000 }, { 0.271356, 0.775535 } );</w:t>
      </w:r>
    </w:p>
    <w:p w:rsidR="000A156F" w:rsidRDefault="00A9721F">
      <w:pPr>
        <w:pStyle w:val="Code"/>
        <w:ind w:left="734"/>
      </w:pPr>
      <w:r>
        <w:t xml:space="preserve">   BezierTo( { 0.377654, 1.000000 }, { 0.519455, 1.000000 }, { 0.583589, 1.000000 } );</w:t>
      </w:r>
    </w:p>
    <w:p w:rsidR="000A156F" w:rsidRDefault="000A156F">
      <w:pPr>
        <w:pStyle w:val="Code"/>
        <w:ind w:left="734"/>
      </w:pPr>
    </w:p>
    <w:p w:rsidR="000A156F" w:rsidRDefault="00A9721F">
      <w:pPr>
        <w:pStyle w:val="Code"/>
        <w:ind w:left="734"/>
      </w:pPr>
      <w:r>
        <w:t>cross:</w:t>
      </w:r>
    </w:p>
    <w:p w:rsidR="000A156F" w:rsidRDefault="00A9721F">
      <w:pPr>
        <w:pStyle w:val="Code"/>
        <w:ind w:left="734"/>
      </w:pPr>
      <w:r>
        <w:t xml:space="preserve">   BeginFigure( { 0, 0 } );</w:t>
      </w:r>
    </w:p>
    <w:p w:rsidR="000A156F" w:rsidRDefault="00A9721F">
      <w:pPr>
        <w:pStyle w:val="Code"/>
        <w:ind w:left="734"/>
      </w:pPr>
      <w:r>
        <w:t xml:space="preserve">   BezierTo( { 0.00000, 0.05563 }, { 0.04437, 0.10000 }, { 0.10000, 0.10000 } );</w:t>
      </w:r>
    </w:p>
    <w:p w:rsidR="000A156F" w:rsidRDefault="00A9721F">
      <w:pPr>
        <w:pStyle w:val="Code"/>
        <w:ind w:left="734"/>
      </w:pPr>
      <w:r>
        <w:t xml:space="preserve"> </w:t>
      </w:r>
      <w:r>
        <w:t xml:space="preserve">  LineTo( { 0.40000, 0.10000 } );</w:t>
      </w:r>
    </w:p>
    <w:p w:rsidR="000A156F" w:rsidRDefault="00A9721F">
      <w:pPr>
        <w:pStyle w:val="Code"/>
        <w:ind w:left="734"/>
      </w:pPr>
      <w:r>
        <w:t xml:space="preserve">   BezierTo( { 0.45563, 0.10000 }, { 0.50000, 0.14437 }, { 0.50000, 0.20000 } );</w:t>
      </w:r>
    </w:p>
    <w:p w:rsidR="000A156F" w:rsidRDefault="00A9721F">
      <w:pPr>
        <w:pStyle w:val="Code"/>
        <w:ind w:left="734"/>
      </w:pPr>
      <w:r>
        <w:t xml:space="preserve">   LineTo( { 0.50000, 0.90000 } );</w:t>
      </w:r>
    </w:p>
    <w:p w:rsidR="000A156F" w:rsidRDefault="00A9721F">
      <w:pPr>
        <w:pStyle w:val="Code"/>
        <w:ind w:left="734"/>
      </w:pPr>
      <w:r>
        <w:t xml:space="preserve">   BezierTo( { 0.50000, 0.95563 }, { 0.54437, 1.00000 }, { 0.60000, 1.00000 } );</w:t>
      </w:r>
    </w:p>
    <w:p w:rsidR="000A156F" w:rsidRDefault="000A156F">
      <w:pPr>
        <w:pStyle w:val="Code"/>
        <w:ind w:left="734"/>
      </w:pPr>
    </w:p>
    <w:p w:rsidR="000A156F" w:rsidRDefault="000A156F">
      <w:pPr>
        <w:pStyle w:val="Code"/>
        <w:ind w:left="734"/>
      </w:pPr>
    </w:p>
    <w:p w:rsidR="000A156F" w:rsidRDefault="00A9721F">
      <w:pPr>
        <w:pStyle w:val="Code"/>
        <w:ind w:left="734"/>
      </w:pPr>
      <w:r>
        <w:t>divot:</w:t>
      </w:r>
    </w:p>
    <w:p w:rsidR="000A156F" w:rsidRDefault="00A9721F">
      <w:pPr>
        <w:pStyle w:val="Code"/>
        <w:ind w:left="734"/>
      </w:pPr>
      <w:r>
        <w:t xml:space="preserve">   BeginFigure( { 0, 0 } );</w:t>
      </w:r>
    </w:p>
    <w:p w:rsidR="000A156F" w:rsidRDefault="00A9721F">
      <w:pPr>
        <w:pStyle w:val="Code"/>
        <w:ind w:left="734"/>
      </w:pPr>
      <w:r>
        <w:t xml:space="preserve">   BezierTo( { 0.000000, 0.236604 }, { 0.119276, 0.607024 }, { 0.263046, 0.760235 } );</w:t>
      </w:r>
    </w:p>
    <w:p w:rsidR="000A156F" w:rsidRDefault="00A9721F">
      <w:pPr>
        <w:pStyle w:val="Code"/>
        <w:ind w:left="734"/>
      </w:pPr>
      <w:r>
        <w:t xml:space="preserve">   BezierTo( { 0.361098, 0.864726 }, { 0.457934, 0.909567 }, { 0.537806, 0.925082 } );</w:t>
      </w:r>
    </w:p>
    <w:p w:rsidR="000A156F" w:rsidRDefault="00A9721F">
      <w:pPr>
        <w:pStyle w:val="Code"/>
        <w:ind w:left="734"/>
      </w:pPr>
      <w:r>
        <w:t xml:space="preserve">   BezierTo( { 0.559245, 0.929246 }, { 0.567625, 0.897</w:t>
      </w:r>
      <w:r>
        <w:t>930 }, { 0.542066, 0.845567 } );</w:t>
      </w:r>
    </w:p>
    <w:p w:rsidR="000A156F" w:rsidRDefault="00A9721F">
      <w:pPr>
        <w:pStyle w:val="Code"/>
        <w:ind w:left="734"/>
      </w:pPr>
      <w:r>
        <w:t xml:space="preserve">   BezierTo( { 0.484073, 0.726757 }, { 0.477103, 0.393693 }, { 0.551651, 0.393693 } );</w:t>
      </w:r>
    </w:p>
    <w:p w:rsidR="000A156F" w:rsidRDefault="00A9721F">
      <w:pPr>
        <w:pStyle w:val="Code"/>
        <w:ind w:left="734"/>
      </w:pPr>
      <w:r>
        <w:t xml:space="preserve">   LineTo( { 0.899894, 0.393693 } );</w:t>
      </w:r>
    </w:p>
    <w:p w:rsidR="000A156F" w:rsidRDefault="00A9721F">
      <w:pPr>
        <w:pStyle w:val="Code"/>
        <w:ind w:left="734"/>
      </w:pPr>
      <w:r>
        <w:t xml:space="preserve">   BezierTo( { 0.991480, 0.393693 }, { 0.958466, 0.746659 }, { 0.907348, 0.779629 } );</w:t>
      </w:r>
    </w:p>
    <w:p w:rsidR="000A156F" w:rsidRDefault="00A9721F">
      <w:pPr>
        <w:pStyle w:val="Code"/>
        <w:ind w:left="734"/>
      </w:pPr>
      <w:r>
        <w:t xml:space="preserve">   LineTo( { 0.879394, 0.797658 } );</w:t>
      </w:r>
    </w:p>
    <w:p w:rsidR="000A156F" w:rsidRDefault="00A9721F">
      <w:pPr>
        <w:pStyle w:val="Code"/>
        <w:ind w:left="734"/>
      </w:pPr>
      <w:r>
        <w:t xml:space="preserve">   BezierTo( { 0.845545, 0.819489 }, { 0.848775, 0.954172 }, { 0.874334, 0.971627 } );</w:t>
      </w:r>
    </w:p>
    <w:p w:rsidR="000A156F" w:rsidRDefault="00A9721F">
      <w:pPr>
        <w:pStyle w:val="Code"/>
        <w:ind w:left="734"/>
      </w:pPr>
      <w:r>
        <w:t xml:space="preserve">   QuadraticBezierTo( { 0.915883, 1.000000 }, { 1.000000, 1.000000 } );</w:t>
      </w:r>
    </w:p>
    <w:p w:rsidR="000A156F" w:rsidRDefault="000A156F">
      <w:pPr>
        <w:pStyle w:val="Code"/>
        <w:ind w:left="734"/>
      </w:pPr>
    </w:p>
    <w:p w:rsidR="000A156F" w:rsidRDefault="00A9721F">
      <w:pPr>
        <w:pStyle w:val="Code"/>
        <w:ind w:left="734"/>
      </w:pPr>
      <w:r>
        <w:t>hardEdge:</w:t>
      </w:r>
    </w:p>
    <w:p w:rsidR="000A156F" w:rsidRDefault="00A9721F">
      <w:pPr>
        <w:pStyle w:val="Code"/>
        <w:ind w:left="734"/>
      </w:pPr>
      <w:r>
        <w:t xml:space="preserve">   BeginFigure( { 0, 0 } );</w:t>
      </w:r>
    </w:p>
    <w:p w:rsidR="000A156F" w:rsidRDefault="00A9721F">
      <w:pPr>
        <w:pStyle w:val="Code"/>
        <w:ind w:left="734"/>
      </w:pPr>
      <w:r>
        <w:t xml:space="preserve">   QuadraticBezierTo(</w:t>
      </w:r>
      <w:r>
        <w:t xml:space="preserve"> { 0.000000, 0.092437 }, { 0.042353, 0.305322 } );</w:t>
      </w:r>
    </w:p>
    <w:p w:rsidR="000A156F" w:rsidRDefault="00A9721F">
      <w:pPr>
        <w:pStyle w:val="Code"/>
        <w:ind w:left="734"/>
      </w:pPr>
      <w:r>
        <w:t xml:space="preserve">   LineTo( { 0.170124, 0.947558 } );</w:t>
      </w:r>
    </w:p>
    <w:p w:rsidR="000A156F" w:rsidRDefault="00A9721F">
      <w:pPr>
        <w:pStyle w:val="Code"/>
        <w:ind w:left="734"/>
      </w:pPr>
      <w:r>
        <w:t xml:space="preserve">   BezierTo( { 0.177203, 0.983142 }, { 0.200000, 1.000000 }, { 0.268235, 0.998599 } );</w:t>
      </w:r>
    </w:p>
    <w:p w:rsidR="000A156F" w:rsidRDefault="00A9721F">
      <w:pPr>
        <w:pStyle w:val="Code"/>
        <w:ind w:left="734"/>
      </w:pPr>
      <w:r>
        <w:t xml:space="preserve">   LineTo( { 0.614118, 0.998599 } );</w:t>
      </w:r>
    </w:p>
    <w:p w:rsidR="000A156F" w:rsidRDefault="00A9721F">
      <w:pPr>
        <w:pStyle w:val="Code"/>
        <w:ind w:left="734"/>
      </w:pPr>
      <w:r>
        <w:t xml:space="preserve">   BezierTo( { 0.647059, 0.998599 }, { 0.656</w:t>
      </w:r>
      <w:r>
        <w:t>471, 0.987395 }, { 0.663529, 0.969188 } );</w:t>
      </w:r>
    </w:p>
    <w:p w:rsidR="000A156F" w:rsidRDefault="00A9721F">
      <w:pPr>
        <w:pStyle w:val="Code"/>
        <w:ind w:left="734"/>
      </w:pPr>
      <w:r>
        <w:t xml:space="preserve">   BezierTo( { 0.687006, 0.908633 }, { 0.802353, 0.822129 }, { 1.000000, 0.822129 } );</w:t>
      </w:r>
    </w:p>
    <w:p w:rsidR="000A156F" w:rsidRDefault="000A156F">
      <w:pPr>
        <w:pStyle w:val="Code"/>
        <w:ind w:left="734"/>
      </w:pPr>
    </w:p>
    <w:p w:rsidR="000A156F" w:rsidRDefault="00A9721F">
      <w:pPr>
        <w:pStyle w:val="Code"/>
        <w:ind w:left="734"/>
      </w:pPr>
      <w:r>
        <w:t>relaxedInset:</w:t>
      </w:r>
    </w:p>
    <w:p w:rsidR="000A156F" w:rsidRDefault="00A9721F">
      <w:pPr>
        <w:pStyle w:val="Code"/>
        <w:ind w:left="734"/>
      </w:pPr>
      <w:r>
        <w:t xml:space="preserve">   BeginFigure( { 0, 0 } );</w:t>
      </w:r>
    </w:p>
    <w:p w:rsidR="000A156F" w:rsidRDefault="00A9721F">
      <w:pPr>
        <w:pStyle w:val="Code"/>
        <w:ind w:left="734"/>
      </w:pPr>
      <w:r>
        <w:t xml:space="preserve">   BezierTo( { 0.000000, 0.367 }, { 0.124605, 0.820 }, { 0.507899, 1.000 } );</w:t>
      </w:r>
    </w:p>
    <w:p w:rsidR="000A156F" w:rsidRDefault="00A9721F">
      <w:pPr>
        <w:pStyle w:val="Code"/>
        <w:ind w:left="734"/>
      </w:pPr>
      <w:r>
        <w:t xml:space="preserve">   Be</w:t>
      </w:r>
      <w:r>
        <w:t>zierTo( { 0.724115, 0.737 }, { 0.790455, 0.640 }, { 1.000000, 0.640 } );</w:t>
      </w:r>
    </w:p>
    <w:p w:rsidR="000A156F" w:rsidRDefault="00A9721F">
      <w:pPr>
        <w:pStyle w:val="Code"/>
        <w:ind w:left="734"/>
      </w:pPr>
      <w:r>
        <w:t xml:space="preserve"> </w:t>
      </w:r>
    </w:p>
    <w:p w:rsidR="000A156F" w:rsidRDefault="00A9721F">
      <w:pPr>
        <w:pStyle w:val="Code"/>
        <w:ind w:left="734"/>
      </w:pPr>
      <w:r>
        <w:t>riblet:</w:t>
      </w:r>
    </w:p>
    <w:p w:rsidR="000A156F" w:rsidRDefault="00A9721F">
      <w:pPr>
        <w:pStyle w:val="Code"/>
        <w:ind w:left="734"/>
      </w:pPr>
      <w:r>
        <w:t xml:space="preserve">   BeginFigure( { 0, 0 } );</w:t>
      </w:r>
    </w:p>
    <w:p w:rsidR="000A156F" w:rsidRDefault="00A9721F">
      <w:pPr>
        <w:pStyle w:val="Code"/>
        <w:ind w:left="734"/>
      </w:pPr>
      <w:r>
        <w:t xml:space="preserve">   BezierTo( { 0.000000, 0.238519 }, { 0.132047, 0.500741 }, { 0.357567, 0.731852 } );</w:t>
      </w:r>
    </w:p>
    <w:p w:rsidR="000A156F" w:rsidRDefault="00A9721F">
      <w:pPr>
        <w:pStyle w:val="Code"/>
        <w:ind w:left="734"/>
      </w:pPr>
      <w:r>
        <w:t xml:space="preserve">   BezierTo( { 0.513167, 0.891311 }, { 0.563798, 0.912593 </w:t>
      </w:r>
      <w:r>
        <w:t>}, { 0.735905, 0.912593 } );</w:t>
      </w:r>
    </w:p>
    <w:p w:rsidR="000A156F" w:rsidRDefault="00A9721F">
      <w:pPr>
        <w:pStyle w:val="Code"/>
        <w:ind w:left="734"/>
      </w:pPr>
      <w:r>
        <w:t xml:space="preserve">   LineTo( { 0.873887, 0.912593 } );</w:t>
      </w:r>
    </w:p>
    <w:p w:rsidR="000A156F" w:rsidRDefault="00A9721F">
      <w:pPr>
        <w:pStyle w:val="Code"/>
        <w:ind w:left="734"/>
      </w:pPr>
      <w:r>
        <w:t xml:space="preserve">   BezierTo( { 0.956973, 0.912593 }, { 0.878338, 1.000000 }, { 1.000000, 1.000000 } );</w:t>
      </w:r>
    </w:p>
    <w:p w:rsidR="000A156F" w:rsidRDefault="000A156F">
      <w:pPr>
        <w:pStyle w:val="Code"/>
        <w:ind w:left="734"/>
      </w:pPr>
    </w:p>
    <w:p w:rsidR="000A156F" w:rsidRDefault="00A9721F">
      <w:pPr>
        <w:pStyle w:val="Code"/>
        <w:ind w:left="734"/>
      </w:pPr>
      <w:r>
        <w:t>slope:</w:t>
      </w:r>
    </w:p>
    <w:p w:rsidR="000A156F" w:rsidRDefault="00A9721F">
      <w:pPr>
        <w:pStyle w:val="Code"/>
        <w:ind w:left="734"/>
      </w:pPr>
      <w:r>
        <w:t xml:space="preserve">   BeginFigure( { 0, 0 } );</w:t>
      </w:r>
    </w:p>
    <w:p w:rsidR="000A156F" w:rsidRDefault="00A9721F">
      <w:pPr>
        <w:pStyle w:val="Code"/>
        <w:ind w:left="734"/>
      </w:pPr>
      <w:r>
        <w:t xml:space="preserve">   QuadraticBezierTo( { 0.00000, 0.12500 }, { 0.02500, 0.25000 } );</w:t>
      </w:r>
    </w:p>
    <w:p w:rsidR="000A156F" w:rsidRDefault="00A9721F">
      <w:pPr>
        <w:pStyle w:val="Code"/>
        <w:ind w:left="734"/>
      </w:pPr>
      <w:r>
        <w:t xml:space="preserve">   LineTo( { 0.12500, 0.75000 } );</w:t>
      </w:r>
    </w:p>
    <w:p w:rsidR="000A156F" w:rsidRDefault="00A9721F">
      <w:pPr>
        <w:pStyle w:val="Code"/>
        <w:ind w:left="734"/>
      </w:pPr>
      <w:r>
        <w:t xml:space="preserve">   BezierTo( { 0.17500, 1.00000 }, { 0.25000, 1.00000 }, { 0.37500, 1.00000 } );</w:t>
      </w:r>
    </w:p>
    <w:p w:rsidR="000A156F" w:rsidRDefault="00A9721F">
      <w:pPr>
        <w:pStyle w:val="Code"/>
        <w:ind w:left="734"/>
      </w:pPr>
      <w:r>
        <w:t xml:space="preserve">   LineTo( { 0.50000, 1.00000 } );</w:t>
      </w:r>
    </w:p>
    <w:p w:rsidR="000A156F" w:rsidRDefault="00A9721F">
      <w:pPr>
        <w:pStyle w:val="Code"/>
        <w:ind w:left="734"/>
      </w:pPr>
      <w:r>
        <w:t xml:space="preserve">   BezierTo( { 0.62500, 1.00000 }, { 0.70000, 1.00000 }, { 0.75000, 0.75000 } );</w:t>
      </w:r>
    </w:p>
    <w:p w:rsidR="000A156F" w:rsidRDefault="00A9721F">
      <w:pPr>
        <w:pStyle w:val="Code"/>
        <w:ind w:left="734"/>
      </w:pPr>
      <w:r>
        <w:t xml:space="preserve">   LineTo( { 0.87500, 0.12500 } );</w:t>
      </w:r>
    </w:p>
    <w:p w:rsidR="000A156F" w:rsidRDefault="00A9721F">
      <w:pPr>
        <w:pStyle w:val="Code"/>
        <w:ind w:left="734"/>
      </w:pPr>
      <w:r>
        <w:t xml:space="preserve">   BezierTo( { 0.90000, 0.01000 }, { 0.98000, 0.01000 }, { 1.00000, 0.01000 } );</w:t>
      </w:r>
    </w:p>
    <w:p w:rsidR="000A156F" w:rsidRDefault="000A156F">
      <w:pPr>
        <w:pStyle w:val="Code"/>
        <w:ind w:left="734"/>
      </w:pPr>
    </w:p>
    <w:p w:rsidR="000A156F" w:rsidRDefault="00A9721F">
      <w:pPr>
        <w:pStyle w:val="Code"/>
        <w:ind w:left="734"/>
      </w:pPr>
      <w:r>
        <w:t>softRound:</w:t>
      </w:r>
    </w:p>
    <w:p w:rsidR="000A156F" w:rsidRDefault="00A9721F">
      <w:pPr>
        <w:pStyle w:val="Code"/>
        <w:ind w:left="734"/>
      </w:pPr>
      <w:r>
        <w:t xml:space="preserve">   BeginFigure( { 0, 0 } );</w:t>
      </w:r>
    </w:p>
    <w:p w:rsidR="000A156F" w:rsidRDefault="00A9721F">
      <w:pPr>
        <w:pStyle w:val="Code"/>
        <w:ind w:left="734"/>
      </w:pPr>
      <w:r>
        <w:t xml:space="preserve">   BezierTo( { 0.0000000, 0.47750 }, { 0.0968736, 1.00000 }, { 0.1563010, 1.00000 } );</w:t>
      </w:r>
    </w:p>
    <w:p w:rsidR="000A156F" w:rsidRDefault="00A9721F">
      <w:pPr>
        <w:pStyle w:val="Code"/>
        <w:ind w:left="734"/>
      </w:pPr>
      <w:r>
        <w:t xml:space="preserve">   BezierTo( </w:t>
      </w:r>
      <w:r>
        <w:t>{ 0.2641790, 1.00000 }, { 0.3769190, 0.33333 }, { 1.0000000, 0.33333 } );</w:t>
      </w:r>
    </w:p>
    <w:p w:rsidR="000A156F" w:rsidRDefault="00A9721F">
      <w:pPr>
        <w:pStyle w:val="Heading3"/>
      </w:pPr>
      <w:bookmarkStart w:id="2654" w:name="section_f0051832d96a4fb7a4b7b721e72abfe5"/>
      <w:bookmarkStart w:id="2655" w:name="_Toc181684353"/>
      <w:r>
        <w:lastRenderedPageBreak/>
        <w:t>Part 1 Section 20.1.10.12, ST_BlipCompression (Blip Compression Type)</w:t>
      </w:r>
      <w:bookmarkEnd w:id="2654"/>
      <w:bookmarkEnd w:id="2655"/>
      <w:r>
        <w:fldChar w:fldCharType="begin"/>
      </w:r>
      <w:r>
        <w:instrText xml:space="preserve"> XE "ST_BlipCompression (Blip Compression Type)" </w:instrText>
      </w:r>
      <w:r>
        <w:fldChar w:fldCharType="end"/>
      </w:r>
    </w:p>
    <w:p w:rsidR="000A156F" w:rsidRDefault="00A9721F">
      <w:pPr>
        <w:pStyle w:val="Definition-Field"/>
      </w:pPr>
      <w:r>
        <w:t xml:space="preserve">a.   </w:t>
      </w:r>
      <w:r>
        <w:rPr>
          <w:i/>
        </w:rPr>
        <w:t>The standard states that ST_BlipCompression includes a h</w:t>
      </w:r>
      <w:r>
        <w:rPr>
          <w:i/>
        </w:rPr>
        <w:t>igh quality printing compression type (hqprint).</w:t>
      </w:r>
    </w:p>
    <w:p w:rsidR="000A156F" w:rsidRDefault="00A9721F">
      <w:pPr>
        <w:pStyle w:val="Definition-Field2"/>
      </w:pPr>
      <w:r>
        <w:t>Office does not implement High Quality Printing Compression mode (hqprint).</w:t>
      </w:r>
    </w:p>
    <w:p w:rsidR="000A156F" w:rsidRDefault="00A9721F">
      <w:pPr>
        <w:pStyle w:val="Heading3"/>
      </w:pPr>
      <w:bookmarkStart w:id="2656" w:name="section_c88ee44d80a447869e0cf0a57bfbe3b2"/>
      <w:bookmarkStart w:id="2657" w:name="_Toc181684354"/>
      <w:r>
        <w:t>Part 1 Section 20.1.10.15, ST_CompoundLine (Compound Line Type)</w:t>
      </w:r>
      <w:bookmarkEnd w:id="2656"/>
      <w:bookmarkEnd w:id="2657"/>
      <w:r>
        <w:fldChar w:fldCharType="begin"/>
      </w:r>
      <w:r>
        <w:instrText xml:space="preserve"> XE "ST_CompoundLine (Compound Line Type)" </w:instrText>
      </w:r>
      <w:r>
        <w:fldChar w:fldCharType="end"/>
      </w:r>
    </w:p>
    <w:p w:rsidR="000A156F" w:rsidRDefault="00A9721F">
      <w:pPr>
        <w:pStyle w:val="Definition-Field"/>
      </w:pPr>
      <w:r>
        <w:t xml:space="preserve">a.   </w:t>
      </w:r>
      <w:r>
        <w:rPr>
          <w:i/>
        </w:rPr>
        <w:t xml:space="preserve">The standard </w:t>
      </w:r>
      <w:r>
        <w:rPr>
          <w:i/>
        </w:rPr>
        <w:t>implies that the ST_CompoundLine simple type is only applicable to text with lines.</w:t>
      </w:r>
    </w:p>
    <w:p w:rsidR="000A156F" w:rsidRDefault="00A9721F">
      <w:pPr>
        <w:pStyle w:val="Definition-Field2"/>
      </w:pPr>
      <w:r>
        <w:t>Office also uses this simple type for text outlines, text underlines and shape outlines.</w:t>
      </w:r>
    </w:p>
    <w:p w:rsidR="000A156F" w:rsidRDefault="00A9721F">
      <w:pPr>
        <w:pStyle w:val="Heading3"/>
      </w:pPr>
      <w:bookmarkStart w:id="2658" w:name="section_c35b446126a24788a41b0c99a6c691d8"/>
      <w:bookmarkStart w:id="2659" w:name="_Toc181684355"/>
      <w:r>
        <w:t>Part 1 Section 20.1.10.16, ST_Coordinate (Coordinate)</w:t>
      </w:r>
      <w:bookmarkEnd w:id="2658"/>
      <w:bookmarkEnd w:id="2659"/>
      <w:r>
        <w:fldChar w:fldCharType="begin"/>
      </w:r>
      <w:r>
        <w:instrText xml:space="preserve"> XE "ST_Coordinate (Coordinate</w:instrText>
      </w:r>
      <w:r>
        <w:instrText xml:space="preserve">)" </w:instrText>
      </w:r>
      <w:r>
        <w:fldChar w:fldCharType="end"/>
      </w:r>
    </w:p>
    <w:p w:rsidR="000A156F" w:rsidRDefault="00A9721F">
      <w:pPr>
        <w:pStyle w:val="Definition-Field"/>
      </w:pPr>
      <w:r>
        <w:t xml:space="preserve">a.   </w:t>
      </w:r>
      <w:r>
        <w:rPr>
          <w:i/>
        </w:rPr>
        <w:t>The standard states that the contents of the ST_Coordinate simple type can be at least -27273042329600 and at most 27273042316900.</w:t>
      </w:r>
    </w:p>
    <w:p w:rsidR="000A156F" w:rsidRDefault="00A9721F">
      <w:pPr>
        <w:pStyle w:val="Definition-Field2"/>
      </w:pPr>
      <w:r>
        <w:t>Word and PowerPoint restrict the contents of this simple type to be at least -2147483648 and at most 2147483647.</w:t>
      </w:r>
    </w:p>
    <w:p w:rsidR="000A156F" w:rsidRDefault="00A9721F">
      <w:pPr>
        <w:pStyle w:val="Definition-Field"/>
      </w:pPr>
      <w:r>
        <w:t>b</w:t>
      </w:r>
      <w:r>
        <w:t xml:space="preserve">.   </w:t>
      </w:r>
      <w:r>
        <w:rPr>
          <w:i/>
        </w:rPr>
        <w:t>The standard states that ST_Coordinate is read and written as either a length followed by a unit, or EMUs with no unit present.</w:t>
      </w:r>
    </w:p>
    <w:p w:rsidR="000A156F" w:rsidRDefault="00A9721F">
      <w:pPr>
        <w:pStyle w:val="Definition-Field2"/>
      </w:pPr>
      <w:r>
        <w:t>Office will read either a length followed by a unit or EMUs with no unit present, but will write only EMUs when no units are</w:t>
      </w:r>
      <w:r>
        <w:t xml:space="preserve"> present.</w:t>
      </w:r>
    </w:p>
    <w:p w:rsidR="000A156F" w:rsidRDefault="00A9721F">
      <w:pPr>
        <w:pStyle w:val="Heading3"/>
      </w:pPr>
      <w:bookmarkStart w:id="2660" w:name="section_d79b2e5047154cb09e8cbfe7d87d113d"/>
      <w:bookmarkStart w:id="2661" w:name="_Toc181684356"/>
      <w:r>
        <w:t>Part 1 Section 20.1.10.17, ST_Coordinate32 (Coordinate Point)</w:t>
      </w:r>
      <w:bookmarkEnd w:id="2660"/>
      <w:bookmarkEnd w:id="2661"/>
      <w:r>
        <w:fldChar w:fldCharType="begin"/>
      </w:r>
      <w:r>
        <w:instrText xml:space="preserve"> XE "ST_Coordinate32 (Coordinate Point)" </w:instrText>
      </w:r>
      <w:r>
        <w:fldChar w:fldCharType="end"/>
      </w:r>
    </w:p>
    <w:p w:rsidR="000A156F" w:rsidRDefault="00A9721F">
      <w:pPr>
        <w:pStyle w:val="Definition-Field"/>
      </w:pPr>
      <w:r>
        <w:t xml:space="preserve">a.   </w:t>
      </w:r>
      <w:r>
        <w:rPr>
          <w:i/>
        </w:rPr>
        <w:t>The standard states that ST_Coordinate32 is read and written as either a length followed by a unit, or EMUs with no unit present.</w:t>
      </w:r>
    </w:p>
    <w:p w:rsidR="000A156F" w:rsidRDefault="00A9721F">
      <w:pPr>
        <w:pStyle w:val="Definition-Field2"/>
      </w:pPr>
      <w:r>
        <w:t>Office</w:t>
      </w:r>
      <w:r>
        <w:t xml:space="preserve"> will read either a length followed by a unit or EMUs with no unit present, but will write only EMUs when no units are present.</w:t>
      </w:r>
    </w:p>
    <w:p w:rsidR="000A156F" w:rsidRDefault="00A9721F">
      <w:pPr>
        <w:pStyle w:val="Heading3"/>
      </w:pPr>
      <w:bookmarkStart w:id="2662" w:name="section_9746bb873dd04c7dae43e3547589def1"/>
      <w:bookmarkStart w:id="2663" w:name="_Toc181684357"/>
      <w:r>
        <w:t>Part 1 Section 20.1.10.21, ST_DrawingElementId (Drawing Element ID)</w:t>
      </w:r>
      <w:bookmarkEnd w:id="2662"/>
      <w:bookmarkEnd w:id="2663"/>
      <w:r>
        <w:fldChar w:fldCharType="begin"/>
      </w:r>
      <w:r>
        <w:instrText xml:space="preserve"> XE "ST_DrawingElementId (Drawing Element ID)" </w:instrText>
      </w:r>
      <w:r>
        <w:fldChar w:fldCharType="end"/>
      </w:r>
    </w:p>
    <w:p w:rsidR="000A156F" w:rsidRDefault="00A9721F">
      <w:pPr>
        <w:pStyle w:val="Definition-Field"/>
      </w:pPr>
      <w:r>
        <w:t xml:space="preserve">a.   </w:t>
      </w:r>
      <w:r>
        <w:rPr>
          <w:i/>
        </w:rPr>
        <w:t>The st</w:t>
      </w:r>
      <w:r>
        <w:rPr>
          <w:i/>
        </w:rPr>
        <w:t>andard specifies that the ST_DrawingElementId type is an unsigned 32-bit integer.</w:t>
      </w:r>
    </w:p>
    <w:p w:rsidR="000A156F" w:rsidRDefault="00A9721F">
      <w:pPr>
        <w:pStyle w:val="Definition-Field2"/>
      </w:pPr>
      <w:r>
        <w:t>Office treats the ST_DrawingElementId type as a signed 32-bit integer.</w:t>
      </w:r>
    </w:p>
    <w:p w:rsidR="000A156F" w:rsidRDefault="00A9721F">
      <w:pPr>
        <w:pStyle w:val="Heading3"/>
      </w:pPr>
      <w:bookmarkStart w:id="2664" w:name="section_caf86f6814a24da395878b7c9b671ba7"/>
      <w:bookmarkStart w:id="2665" w:name="_Toc181684358"/>
      <w:r>
        <w:t>Part 1 Section 20.1.10.24, ST_FixedPercentage (Fixed Percentage)</w:t>
      </w:r>
      <w:bookmarkEnd w:id="2664"/>
      <w:bookmarkEnd w:id="2665"/>
      <w:r>
        <w:fldChar w:fldCharType="begin"/>
      </w:r>
      <w:r>
        <w:instrText xml:space="preserve"> XE "ST_FixedPercentage (Fixed Percenta</w:instrText>
      </w:r>
      <w:r>
        <w:instrText xml:space="preserve">ge)" </w:instrText>
      </w:r>
      <w:r>
        <w:fldChar w:fldCharType="end"/>
      </w:r>
    </w:p>
    <w:p w:rsidR="000A156F" w:rsidRDefault="00A9721F">
      <w:pPr>
        <w:pStyle w:val="Definition-Field"/>
      </w:pPr>
      <w:r>
        <w:t xml:space="preserve">a.   </w:t>
      </w:r>
      <w:r>
        <w:rPr>
          <w:i/>
        </w:rPr>
        <w:t>The standard states that ST_FixedPercentage is read and written as a percent with a trailing percent sign.</w:t>
      </w:r>
    </w:p>
    <w:p w:rsidR="000A156F" w:rsidRDefault="00A9721F">
      <w:pPr>
        <w:pStyle w:val="Definition-Field2"/>
      </w:pPr>
      <w:r>
        <w:t>Office will read percentages formatted with a trailing percent sign or formatted as 1000th of a percent without a trailing percent sign,</w:t>
      </w:r>
      <w:r>
        <w:t xml:space="preserve"> but only write percentages as 1000th's of a percent without a trailing percent sign.</w:t>
      </w:r>
    </w:p>
    <w:p w:rsidR="000A156F" w:rsidRDefault="00A9721F">
      <w:pPr>
        <w:pStyle w:val="Heading3"/>
      </w:pPr>
      <w:bookmarkStart w:id="2666" w:name="section_3184709832934157b36a7d48f3d9e56c"/>
      <w:bookmarkStart w:id="2667" w:name="_Toc181684359"/>
      <w:r>
        <w:t>Part 1 Section 20.1.10.29, ST_LightRigDirection (Light Rig Direction)</w:t>
      </w:r>
      <w:bookmarkEnd w:id="2666"/>
      <w:bookmarkEnd w:id="2667"/>
      <w:r>
        <w:fldChar w:fldCharType="begin"/>
      </w:r>
      <w:r>
        <w:instrText xml:space="preserve"> XE "ST_LightRigDirection (Light Rig Direction)" </w:instrText>
      </w:r>
      <w:r>
        <w:fldChar w:fldCharType="end"/>
      </w:r>
    </w:p>
    <w:p w:rsidR="000A156F" w:rsidRDefault="00A9721F">
      <w:pPr>
        <w:pStyle w:val="Definition-Field"/>
      </w:pPr>
      <w:r>
        <w:t xml:space="preserve">a.   </w:t>
      </w:r>
      <w:r>
        <w:rPr>
          <w:i/>
        </w:rPr>
        <w:t>The standard states that the informative ima</w:t>
      </w:r>
      <w:r>
        <w:rPr>
          <w:i/>
        </w:rPr>
        <w:t>ges in this enumeration use a Three Point light rig type with an orthographicFront camera preset.</w:t>
      </w:r>
    </w:p>
    <w:p w:rsidR="000A156F" w:rsidRDefault="00A9721F">
      <w:pPr>
        <w:pStyle w:val="Definition-Field2"/>
      </w:pPr>
      <w:r>
        <w:t>In Office, the informative images in this enumeration use a flood light rig type with a perspectiveContrastingRightFacing camera preset.</w:t>
      </w:r>
    </w:p>
    <w:p w:rsidR="000A156F" w:rsidRDefault="00A9721F">
      <w:pPr>
        <w:pStyle w:val="Heading3"/>
      </w:pPr>
      <w:bookmarkStart w:id="2668" w:name="section_d1735889ad9d47ffa697563a1668319f"/>
      <w:bookmarkStart w:id="2669" w:name="_Toc181684360"/>
      <w:r>
        <w:lastRenderedPageBreak/>
        <w:t>Part 1 Section 20.1.1</w:t>
      </w:r>
      <w:r>
        <w:t>0.30, ST_LightRigType (Light Rig Type)</w:t>
      </w:r>
      <w:bookmarkEnd w:id="2668"/>
      <w:bookmarkEnd w:id="2669"/>
      <w:r>
        <w:fldChar w:fldCharType="begin"/>
      </w:r>
      <w:r>
        <w:instrText xml:space="preserve"> XE "ST_LightRigType (Light Rig Type)" </w:instrText>
      </w:r>
      <w:r>
        <w:fldChar w:fldCharType="end"/>
      </w:r>
    </w:p>
    <w:p w:rsidR="000A156F" w:rsidRDefault="00A9721F">
      <w:pPr>
        <w:pStyle w:val="Definition-Field"/>
      </w:pPr>
      <w:r>
        <w:t xml:space="preserve">a.   </w:t>
      </w:r>
      <w:r>
        <w:rPr>
          <w:i/>
        </w:rPr>
        <w:t>The standard does not contain an informative example for the balanced value.</w:t>
      </w:r>
    </w:p>
    <w:p w:rsidR="000A156F" w:rsidRDefault="00A9721F">
      <w:r>
        <w:t>In Office, the balanced enumeration value produces the following result:</w:t>
      </w:r>
    </w:p>
    <w:p w:rsidR="000A156F" w:rsidRDefault="00A9721F">
      <w:r>
        <w:t>[Example: Consider th</w:t>
      </w:r>
      <w:r>
        <w:t xml:space="preserve">e following example of the </w:t>
      </w:r>
      <w:r>
        <w:rPr>
          <w:rStyle w:val="InlineCode"/>
        </w:rPr>
        <w:t>balanced</w:t>
      </w:r>
      <w:r>
        <w:t xml:space="preserve"> light rig applied to a basic shape:</w:t>
      </w:r>
    </w:p>
    <w:p w:rsidR="000A156F" w:rsidRDefault="00A9721F">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92"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0A156F" w:rsidRDefault="00A9721F">
      <w:r>
        <w:t>end example]</w:t>
      </w:r>
    </w:p>
    <w:p w:rsidR="000A156F" w:rsidRDefault="00A9721F">
      <w:pPr>
        <w:shd w:val="clear" w:color="auto" w:fill="FFFFFF"/>
        <w:spacing w:before="0" w:after="160" w:line="235" w:lineRule="atLeast"/>
      </w:pPr>
      <w:r>
        <w:t xml:space="preserve">In Office, the enumeration definitions for legacy lights are </w:t>
      </w:r>
      <w:bookmarkStart w:id="2670" w:name="OLE_LINK1"/>
      <w:r>
        <w:t>in the following table.</w:t>
      </w:r>
      <w:bookmarkEnd w:id="2670"/>
    </w:p>
    <w:p w:rsidR="000A156F" w:rsidRDefault="00A9721F">
      <w:pPr>
        <w:shd w:val="clear" w:color="auto" w:fill="FFFFFF"/>
        <w:spacing w:before="0" w:after="160" w:line="235" w:lineRule="atLeast"/>
        <w:rPr>
          <w:i/>
        </w:rPr>
      </w:pPr>
      <w:r>
        <w:rPr>
          <w:i/>
        </w:rPr>
        <w:t xml:space="preserve">All Key lights make a specular and diffuse contribution, and all Fill lights make a </w:t>
      </w:r>
      <w:r>
        <w:rPr>
          <w:i/>
        </w:rPr>
        <w:t>diffuse contribution but no specular contribution.</w:t>
      </w:r>
    </w:p>
    <w:tbl>
      <w:tblPr>
        <w:tblStyle w:val="Table-ShadedHeader"/>
        <w:tblW w:w="0" w:type="auto"/>
        <w:tblLook w:val="04A0" w:firstRow="1" w:lastRow="0" w:firstColumn="1" w:lastColumn="0" w:noHBand="0" w:noVBand="1"/>
      </w:tblPr>
      <w:tblGrid>
        <w:gridCol w:w="2970"/>
        <w:gridCol w:w="3155"/>
        <w:gridCol w:w="311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29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0A156F">
            <w:pPr>
              <w:pStyle w:val="TableHeaderText"/>
              <w:spacing w:before="0" w:after="0"/>
            </w:pPr>
          </w:p>
        </w:tc>
        <w:tc>
          <w:tcPr>
            <w:tcW w:w="315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KeyLightDirection</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FillLightDirection</w:t>
            </w:r>
          </w:p>
        </w:tc>
      </w:tr>
      <w:tr w:rsidR="000A156F" w:rsidTr="000A156F">
        <w:trPr>
          <w:trHeight w:val="295"/>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rPr>
                <w:b/>
              </w:rPr>
            </w:pPr>
            <w:r>
              <w:rPr>
                <w:b/>
              </w:rPr>
              <w:t>Legacy*1</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(0.0f, 0.0f,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(0.0f, 0.0f, -0.2f)</w:t>
            </w:r>
          </w:p>
        </w:tc>
      </w:tr>
      <w:tr w:rsidR="000A156F" w:rsidTr="000A156F">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rPr>
                <w:b/>
              </w:rPr>
            </w:pPr>
            <w:r>
              <w:rPr>
                <w:b/>
              </w:rPr>
              <w:t>Legacy*2</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(0.0f, 1.0f, -0.2f)</w:t>
            </w:r>
          </w:p>
        </w:tc>
      </w:tr>
      <w:tr w:rsidR="000A156F" w:rsidTr="000A156F">
        <w:trPr>
          <w:trHeight w:val="241"/>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rPr>
                <w:b/>
              </w:rPr>
            </w:pPr>
            <w:r>
              <w:rPr>
                <w:b/>
              </w:rPr>
              <w:t>Legacy*3</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(0.0f, 1.0f, -0.2f)</w:t>
            </w:r>
          </w:p>
        </w:tc>
      </w:tr>
      <w:tr w:rsidR="000A156F" w:rsidTr="000A156F">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rPr>
                <w:b/>
              </w:rPr>
            </w:pPr>
            <w:r>
              <w:rPr>
                <w:b/>
              </w:rPr>
              <w:t>Legacy*4</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(0.0f, 1.0f, -0.2f)</w:t>
            </w:r>
          </w:p>
        </w:tc>
      </w:tr>
    </w:tbl>
    <w:p w:rsidR="000A156F" w:rsidRDefault="00A9721F">
      <w:pPr>
        <w:shd w:val="clear" w:color="auto" w:fill="FFFFFF"/>
        <w:spacing w:before="0" w:after="0"/>
        <w:ind w:left="720"/>
      </w:pPr>
      <w:r>
        <w:t> </w:t>
      </w:r>
    </w:p>
    <w:tbl>
      <w:tblPr>
        <w:tblStyle w:val="Table-ShadedHeader"/>
        <w:tblW w:w="0" w:type="auto"/>
        <w:tblLook w:val="04A0" w:firstRow="1" w:lastRow="0" w:firstColumn="1" w:lastColumn="0" w:noHBand="0" w:noVBand="1"/>
      </w:tblPr>
      <w:tblGrid>
        <w:gridCol w:w="1235"/>
        <w:gridCol w:w="1135"/>
        <w:gridCol w:w="1087"/>
        <w:gridCol w:w="1441"/>
        <w:gridCol w:w="1139"/>
        <w:gridCol w:w="1190"/>
        <w:gridCol w:w="1092"/>
        <w:gridCol w:w="114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 </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KeyLightColor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FillLightColor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AmbientLightColor</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KeyLightScale</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KeyLightOffset</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FillLightScale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HeaderText"/>
              <w:spacing w:before="0" w:after="0"/>
            </w:pPr>
            <w:r>
              <w:t>FillLightOffset</w:t>
            </w:r>
          </w:p>
        </w:tc>
      </w:tr>
      <w:tr w:rsidR="000A156F" w:rsidTr="000A156F">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rPr>
                <w:b/>
              </w:rPr>
            </w:pPr>
            <w:r>
              <w:rPr>
                <w:b/>
              </w:rPr>
              <w:t>LegacyFlat*</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 xml:space="preserve">(0.305f, 0.305f, 0.305f, </w:t>
            </w:r>
            <w:r>
              <w:t>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0.5</w:t>
            </w:r>
          </w:p>
        </w:tc>
      </w:tr>
      <w:tr w:rsidR="000A156F" w:rsidTr="000A156F">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rPr>
                <w:b/>
              </w:rPr>
            </w:pPr>
            <w:r>
              <w:rPr>
                <w:b/>
              </w:rPr>
              <w:t>LegacyNormal*</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(0.671f, 0.671f, 0.671f,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(0.366f, 0.366f, 0.366f,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(0.153f, 0.153f, 0.153f,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0.5</w:t>
            </w:r>
          </w:p>
        </w:tc>
      </w:tr>
      <w:tr w:rsidR="000A156F" w:rsidTr="000A156F">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rPr>
                <w:b/>
              </w:rPr>
            </w:pPr>
            <w:r>
              <w:rPr>
                <w:b/>
              </w:rPr>
              <w:t>LegacyHarsh*</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(0.793f, 0.793f, 0.793f,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(0.214f, 0.214f, 0.214f,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(0.061f, 0.061f, 0.061f,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A156F" w:rsidRDefault="00A9721F">
            <w:pPr>
              <w:pStyle w:val="TableBodyText"/>
              <w:spacing w:before="0" w:after="0"/>
            </w:pPr>
            <w:r>
              <w:t>0.0</w:t>
            </w:r>
          </w:p>
        </w:tc>
      </w:tr>
    </w:tbl>
    <w:p w:rsidR="000A156F" w:rsidRDefault="000A156F"/>
    <w:p w:rsidR="000A156F" w:rsidRDefault="00A9721F">
      <w:pPr>
        <w:pStyle w:val="Heading3"/>
      </w:pPr>
      <w:bookmarkStart w:id="2671" w:name="section_2c49c5bfec714f76a22b92291c03a33c"/>
      <w:bookmarkStart w:id="2672" w:name="_Toc181684361"/>
      <w:r>
        <w:t>Part 1 Section 20.1.10.32, ST_LineEndLength (Line End Length)</w:t>
      </w:r>
      <w:bookmarkEnd w:id="2671"/>
      <w:bookmarkEnd w:id="2672"/>
      <w:r>
        <w:fldChar w:fldCharType="begin"/>
      </w:r>
      <w:r>
        <w:instrText xml:space="preserve"> XE "ST_LineEndLength (Line End Length)" </w:instrText>
      </w:r>
      <w:r>
        <w:fldChar w:fldCharType="end"/>
      </w:r>
    </w:p>
    <w:p w:rsidR="000A156F" w:rsidRDefault="00A9721F">
      <w:pPr>
        <w:pStyle w:val="Definition-Field"/>
      </w:pPr>
      <w:r>
        <w:t xml:space="preserve">a.   </w:t>
      </w:r>
      <w:r>
        <w:rPr>
          <w:i/>
        </w:rPr>
        <w:t>The standard provides identical pictures for the images associated with the med and sm enumeration values.</w:t>
      </w:r>
    </w:p>
    <w:p w:rsidR="000A156F" w:rsidRDefault="00A9721F">
      <w:r>
        <w:t xml:space="preserve">In Office, the </w:t>
      </w:r>
      <w:r>
        <w:t>enumeration values 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lg</w:t>
            </w:r>
            <w:r>
              <w:t xml:space="preserve"> (Large)</w:t>
            </w:r>
          </w:p>
        </w:tc>
        <w:tc>
          <w:tcPr>
            <w:tcW w:w="0" w:type="auto"/>
            <w:vAlign w:val="center"/>
          </w:tcPr>
          <w:p w:rsidR="000A156F" w:rsidRDefault="00A9721F">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93"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0A156F" w:rsidTr="000A156F">
        <w:tc>
          <w:tcPr>
            <w:tcW w:w="0" w:type="auto"/>
            <w:vAlign w:val="center"/>
          </w:tcPr>
          <w:p w:rsidR="000A156F" w:rsidRDefault="00A9721F">
            <w:pPr>
              <w:pStyle w:val="TableBodyText"/>
            </w:pPr>
            <w:r>
              <w:rPr>
                <w:b/>
              </w:rPr>
              <w:t>med</w:t>
            </w:r>
            <w:r>
              <w:t xml:space="preserve"> (Medium)</w:t>
            </w:r>
          </w:p>
        </w:tc>
        <w:tc>
          <w:tcPr>
            <w:tcW w:w="0" w:type="auto"/>
            <w:vAlign w:val="center"/>
          </w:tcPr>
          <w:p w:rsidR="000A156F" w:rsidRDefault="00A9721F">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94"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0A156F" w:rsidTr="000A156F">
        <w:tc>
          <w:tcPr>
            <w:tcW w:w="0" w:type="auto"/>
            <w:vAlign w:val="center"/>
          </w:tcPr>
          <w:p w:rsidR="000A156F" w:rsidRDefault="00A9721F">
            <w:pPr>
              <w:pStyle w:val="TableBodyText"/>
            </w:pPr>
            <w:r>
              <w:rPr>
                <w:b/>
              </w:rPr>
              <w:t>sm</w:t>
            </w:r>
            <w:r>
              <w:t xml:space="preserve"> (Small)</w:t>
            </w:r>
          </w:p>
        </w:tc>
        <w:tc>
          <w:tcPr>
            <w:tcW w:w="0" w:type="auto"/>
            <w:vAlign w:val="center"/>
          </w:tcPr>
          <w:p w:rsidR="000A156F" w:rsidRDefault="00A9721F">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95"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0A156F" w:rsidRDefault="000A156F"/>
    <w:p w:rsidR="000A156F" w:rsidRDefault="00A9721F">
      <w:pPr>
        <w:pStyle w:val="Heading3"/>
      </w:pPr>
      <w:bookmarkStart w:id="2673" w:name="section_5550378cb28d4a11ab1e6c6a64630186"/>
      <w:bookmarkStart w:id="2674" w:name="_Toc181684362"/>
      <w:r>
        <w:t>Part 1 Section 20.1.10.35, ST_LineWidth (Line Width)</w:t>
      </w:r>
      <w:bookmarkEnd w:id="2673"/>
      <w:bookmarkEnd w:id="2674"/>
      <w:r>
        <w:fldChar w:fldCharType="begin"/>
      </w:r>
      <w:r>
        <w:instrText xml:space="preserve"> XE "ST_LineWidth (Line Width)" </w:instrText>
      </w:r>
      <w:r>
        <w:fldChar w:fldCharType="end"/>
      </w:r>
    </w:p>
    <w:p w:rsidR="000A156F" w:rsidRDefault="00A9721F">
      <w:pPr>
        <w:pStyle w:val="Definition-Field"/>
      </w:pPr>
      <w:r>
        <w:t xml:space="preserve">a.   </w:t>
      </w:r>
      <w:r>
        <w:rPr>
          <w:i/>
        </w:rPr>
        <w:t>The standard does not explain how a zero-width line will be rendered.</w:t>
      </w:r>
    </w:p>
    <w:p w:rsidR="000A156F" w:rsidRDefault="00A9721F">
      <w:pPr>
        <w:pStyle w:val="Definition-Field2"/>
      </w:pPr>
      <w:r>
        <w:t>In Office, a zero width line is interpreted as the minimum width line that can be rendered on the target device.</w:t>
      </w:r>
    </w:p>
    <w:p w:rsidR="000A156F" w:rsidRDefault="00A9721F">
      <w:pPr>
        <w:pStyle w:val="Heading3"/>
      </w:pPr>
      <w:bookmarkStart w:id="2675" w:name="section_bada29963fd44b83988292e14d6f9c7d"/>
      <w:bookmarkStart w:id="2676" w:name="_Toc181684363"/>
      <w:r>
        <w:t>Part 1 Section 20.1.10.37, ST_PathFillMode (Path Fill Mode)</w:t>
      </w:r>
      <w:bookmarkEnd w:id="2675"/>
      <w:bookmarkEnd w:id="2676"/>
      <w:r>
        <w:fldChar w:fldCharType="begin"/>
      </w:r>
      <w:r>
        <w:instrText xml:space="preserve"> XE "ST_</w:instrText>
      </w:r>
      <w:r>
        <w:instrText xml:space="preserve">PathFillMode (Path Fill Mode)" </w:instrText>
      </w:r>
      <w:r>
        <w:fldChar w:fldCharType="end"/>
      </w:r>
    </w:p>
    <w:p w:rsidR="000A156F" w:rsidRDefault="00A9721F">
      <w:pPr>
        <w:pStyle w:val="Definition-Field"/>
      </w:pPr>
      <w:r>
        <w:t xml:space="preserve">a.   </w:t>
      </w:r>
      <w:r>
        <w:rPr>
          <w:i/>
        </w:rPr>
        <w:t>The standard does not describe how the darken, darkenLess, lighten and lightenLess enumerations are calculated.</w:t>
      </w:r>
    </w:p>
    <w:p w:rsidR="000A156F" w:rsidRDefault="00A9721F">
      <w:r>
        <w:t>Office implements a specific set of calculations for the darken, darkenLess, lighten and lightenLess enum</w:t>
      </w:r>
      <w:r>
        <w:t>eration values, as described in the following table:</w:t>
      </w:r>
    </w:p>
    <w:tbl>
      <w:tblPr>
        <w:tblStyle w:val="Table-ShadedHeader"/>
        <w:tblW w:w="0" w:type="auto"/>
        <w:tblLook w:val="04A0" w:firstRow="1" w:lastRow="0" w:firstColumn="1" w:lastColumn="0" w:noHBand="0" w:noVBand="1"/>
      </w:tblPr>
      <w:tblGrid>
        <w:gridCol w:w="2157"/>
        <w:gridCol w:w="731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darken</w:t>
            </w:r>
            <w:r>
              <w:t xml:space="preserve"> (Darken Path Fill)</w:t>
            </w:r>
          </w:p>
        </w:tc>
        <w:tc>
          <w:tcPr>
            <w:tcW w:w="0" w:type="auto"/>
            <w:vAlign w:val="center"/>
          </w:tcPr>
          <w:p w:rsidR="000A156F" w:rsidRDefault="00A9721F">
            <w:pPr>
              <w:pStyle w:val="TableBodyText"/>
            </w:pPr>
            <w:r>
              <w:t>This specifies that the corresponding path should have its fill blended with 40% black.</w:t>
            </w:r>
          </w:p>
        </w:tc>
      </w:tr>
      <w:tr w:rsidR="000A156F" w:rsidTr="000A156F">
        <w:tc>
          <w:tcPr>
            <w:tcW w:w="0" w:type="auto"/>
            <w:vAlign w:val="center"/>
          </w:tcPr>
          <w:p w:rsidR="000A156F" w:rsidRDefault="00A9721F">
            <w:pPr>
              <w:pStyle w:val="TableBodyText"/>
            </w:pPr>
            <w:r>
              <w:rPr>
                <w:b/>
              </w:rPr>
              <w:t>darkenLess</w:t>
            </w:r>
            <w:r>
              <w:t xml:space="preserve"> (Darken Path Fill Less)</w:t>
            </w:r>
          </w:p>
        </w:tc>
        <w:tc>
          <w:tcPr>
            <w:tcW w:w="0" w:type="auto"/>
            <w:vAlign w:val="center"/>
          </w:tcPr>
          <w:p w:rsidR="000A156F" w:rsidRDefault="00A9721F">
            <w:pPr>
              <w:pStyle w:val="TableBodyText"/>
            </w:pPr>
            <w:r>
              <w:t xml:space="preserve">This specifies that </w:t>
            </w:r>
            <w:r>
              <w:t>the corresponding path should have its fill blended with 20% black. darkenLess does not use a scale factor of exactly 0.2. It uses 50/255 or approximately 0.1960.</w:t>
            </w:r>
          </w:p>
        </w:tc>
      </w:tr>
      <w:tr w:rsidR="000A156F" w:rsidTr="000A156F">
        <w:tc>
          <w:tcPr>
            <w:tcW w:w="0" w:type="auto"/>
            <w:vAlign w:val="center"/>
          </w:tcPr>
          <w:p w:rsidR="000A156F" w:rsidRDefault="00A9721F">
            <w:pPr>
              <w:pStyle w:val="TableBodyText"/>
            </w:pPr>
            <w:r>
              <w:rPr>
                <w:b/>
              </w:rPr>
              <w:t>lighten</w:t>
            </w:r>
            <w:r>
              <w:t xml:space="preserve"> (Lighten Path Fill)</w:t>
            </w:r>
          </w:p>
        </w:tc>
        <w:tc>
          <w:tcPr>
            <w:tcW w:w="0" w:type="auto"/>
            <w:vAlign w:val="center"/>
          </w:tcPr>
          <w:p w:rsidR="000A156F" w:rsidRDefault="00A9721F">
            <w:pPr>
              <w:pStyle w:val="TableBodyText"/>
            </w:pPr>
            <w:r>
              <w:t xml:space="preserve">This specifies that the corresponding path should have its fill </w:t>
            </w:r>
            <w:r>
              <w:t>blended with 40% white.</w:t>
            </w:r>
          </w:p>
        </w:tc>
      </w:tr>
      <w:tr w:rsidR="000A156F" w:rsidTr="000A156F">
        <w:tc>
          <w:tcPr>
            <w:tcW w:w="0" w:type="auto"/>
            <w:vAlign w:val="center"/>
          </w:tcPr>
          <w:p w:rsidR="000A156F" w:rsidRDefault="00A9721F">
            <w:pPr>
              <w:pStyle w:val="TableBodyText"/>
            </w:pPr>
            <w:r>
              <w:rPr>
                <w:b/>
              </w:rPr>
              <w:t>lightenLess</w:t>
            </w:r>
            <w:r>
              <w:t xml:space="preserve"> (Lighten Path Fill Less)</w:t>
            </w:r>
          </w:p>
        </w:tc>
        <w:tc>
          <w:tcPr>
            <w:tcW w:w="0" w:type="auto"/>
            <w:vAlign w:val="center"/>
          </w:tcPr>
          <w:p w:rsidR="000A156F" w:rsidRDefault="00A9721F">
            <w:pPr>
              <w:pStyle w:val="TableBodyText"/>
            </w:pPr>
            <w:r>
              <w:t>This specifies that the corresponding path should have its fill blended with 20% white. lightenLess does not use a scale factor of exactly 0.2. It uses 50/255 or approximately 0.1960.</w:t>
            </w:r>
          </w:p>
        </w:tc>
      </w:tr>
    </w:tbl>
    <w:p w:rsidR="000A156F" w:rsidRDefault="000A156F"/>
    <w:p w:rsidR="000A156F" w:rsidRDefault="00A9721F">
      <w:pPr>
        <w:pStyle w:val="Heading3"/>
      </w:pPr>
      <w:bookmarkStart w:id="2677" w:name="section_b3bbaebcf2ca4a799efdec0d1d3c6d9c"/>
      <w:bookmarkStart w:id="2678" w:name="_Toc181684364"/>
      <w:r>
        <w:t>Part 1 S</w:t>
      </w:r>
      <w:r>
        <w:t>ection 20.1.10.39, ST_PenAlignment (Alignment Type)</w:t>
      </w:r>
      <w:bookmarkEnd w:id="2677"/>
      <w:bookmarkEnd w:id="2678"/>
      <w:r>
        <w:fldChar w:fldCharType="begin"/>
      </w:r>
      <w:r>
        <w:instrText xml:space="preserve"> XE "ST_PenAlignment (Alignment Type)" </w:instrText>
      </w:r>
      <w:r>
        <w:fldChar w:fldCharType="end"/>
      </w:r>
    </w:p>
    <w:p w:rsidR="000A156F" w:rsidRDefault="00A9721F">
      <w:pPr>
        <w:pStyle w:val="Definition-Field"/>
      </w:pPr>
      <w:r>
        <w:t xml:space="preserve">a.   </w:t>
      </w:r>
      <w:r>
        <w:rPr>
          <w:i/>
        </w:rPr>
        <w:t>The standard implies that the ST_PenAlignment simple type is only used within a text body.</w:t>
      </w:r>
    </w:p>
    <w:p w:rsidR="000A156F" w:rsidRDefault="00A9721F">
      <w:pPr>
        <w:pStyle w:val="Definition-Field2"/>
      </w:pPr>
      <w:r>
        <w:t xml:space="preserve">Office uses this simple type for lines on text, shapes, and other </w:t>
      </w:r>
      <w:r>
        <w:t>graphical objects.</w:t>
      </w:r>
    </w:p>
    <w:p w:rsidR="000A156F" w:rsidRDefault="00A9721F">
      <w:pPr>
        <w:pStyle w:val="Heading3"/>
      </w:pPr>
      <w:bookmarkStart w:id="2679" w:name="section_ff18a37e9bd743389c371e285b5a5dd2"/>
      <w:bookmarkStart w:id="2680" w:name="_Toc181684365"/>
      <w:r>
        <w:lastRenderedPageBreak/>
        <w:t>Part 1 Section 20.1.10.40, ST_Percentage (Percentage)</w:t>
      </w:r>
      <w:bookmarkEnd w:id="2679"/>
      <w:bookmarkEnd w:id="2680"/>
      <w:r>
        <w:fldChar w:fldCharType="begin"/>
      </w:r>
      <w:r>
        <w:instrText xml:space="preserve"> XE "ST_Percentage (Percentage)" </w:instrText>
      </w:r>
      <w:r>
        <w:fldChar w:fldCharType="end"/>
      </w:r>
    </w:p>
    <w:p w:rsidR="000A156F" w:rsidRDefault="00A9721F">
      <w:pPr>
        <w:pStyle w:val="Definition-Field"/>
      </w:pPr>
      <w:r>
        <w:t xml:space="preserve">a.   </w:t>
      </w:r>
      <w:r>
        <w:rPr>
          <w:i/>
        </w:rPr>
        <w:t>The standard states that ST_Percentage is read and written as a percent with a trailing percent sign.</w:t>
      </w:r>
    </w:p>
    <w:p w:rsidR="000A156F" w:rsidRDefault="00A9721F">
      <w:pPr>
        <w:pStyle w:val="Definition-Field2"/>
      </w:pPr>
      <w:r>
        <w:t>Office will read percentages formatted wi</w:t>
      </w:r>
      <w:r>
        <w:t>th a trailing percent sign or formatted as 1000th of a percent without a trailing percent sign, but only write percentages as 1000th's of a percent without a trailing percent sign.</w:t>
      </w:r>
    </w:p>
    <w:p w:rsidR="000A156F" w:rsidRDefault="00A9721F">
      <w:pPr>
        <w:pStyle w:val="Heading3"/>
      </w:pPr>
      <w:bookmarkStart w:id="2681" w:name="section_518012ebe873450781192c51bf1081ed"/>
      <w:bookmarkStart w:id="2682" w:name="_Toc181684366"/>
      <w:r>
        <w:t>Part 1 Section 20.1.10.42, ST_PositiveCoordinate (Positive Coordinate)</w:t>
      </w:r>
      <w:bookmarkEnd w:id="2681"/>
      <w:bookmarkEnd w:id="2682"/>
      <w:r>
        <w:fldChar w:fldCharType="begin"/>
      </w:r>
      <w:r>
        <w:instrText xml:space="preserve"> XE "</w:instrText>
      </w:r>
      <w:r>
        <w:instrText xml:space="preserve">ST_PositiveCoordinate (Positive Coordinate)" </w:instrText>
      </w:r>
      <w:r>
        <w:fldChar w:fldCharType="end"/>
      </w:r>
    </w:p>
    <w:p w:rsidR="000A156F" w:rsidRDefault="00A9721F">
      <w:pPr>
        <w:pStyle w:val="Definition-Field"/>
      </w:pPr>
      <w:r>
        <w:t xml:space="preserve">a.   </w:t>
      </w:r>
      <w:r>
        <w:rPr>
          <w:i/>
        </w:rPr>
        <w:t>The standard states that the contents of the ST_PositiveCoordinate simple type can be at most 27273042316900.</w:t>
      </w:r>
    </w:p>
    <w:p w:rsidR="000A156F" w:rsidRDefault="00A9721F">
      <w:pPr>
        <w:pStyle w:val="Definition-Field2"/>
      </w:pPr>
      <w:r>
        <w:t>Word and PowerPoint restrict the contents of this simple type to be at most 2147483647.</w:t>
      </w:r>
    </w:p>
    <w:p w:rsidR="000A156F" w:rsidRDefault="00A9721F">
      <w:pPr>
        <w:pStyle w:val="Heading3"/>
      </w:pPr>
      <w:bookmarkStart w:id="2683" w:name="section_1c25f0efb87947f0af0cb1b0d40f7d05"/>
      <w:bookmarkStart w:id="2684" w:name="_Toc181684367"/>
      <w:r>
        <w:t xml:space="preserve">Part </w:t>
      </w:r>
      <w:r>
        <w:t>1 Section 20.1.10.45 ST_PositiveFixedPercentage (Positive Fixed Percentage)</w:t>
      </w:r>
      <w:bookmarkEnd w:id="2683"/>
      <w:bookmarkEnd w:id="2684"/>
    </w:p>
    <w:p w:rsidR="000A156F" w:rsidRDefault="00A9721F">
      <w:pPr>
        <w:pStyle w:val="Definition-Field"/>
      </w:pPr>
      <w:r>
        <w:t xml:space="preserve">a.   </w:t>
      </w:r>
      <w:r>
        <w:rPr>
          <w:i/>
        </w:rPr>
        <w:t>The standard states that ST_PositiveFixedPercentage is read and written as a percent with a trailing percent sign.</w:t>
      </w:r>
    </w:p>
    <w:p w:rsidR="000A156F" w:rsidRDefault="00A9721F">
      <w:pPr>
        <w:pStyle w:val="Definition-Field2"/>
      </w:pPr>
      <w:r>
        <w:t xml:space="preserve">Office will read percentages formatted with a trailing </w:t>
      </w:r>
      <w:r>
        <w:t>percent sign or formatted as 1000th of a percent without a trailing percent sign, but only write percentages as 1000th's of a percent without a trailing percent sign.</w:t>
      </w:r>
    </w:p>
    <w:p w:rsidR="000A156F" w:rsidRDefault="00A9721F">
      <w:pPr>
        <w:pStyle w:val="Heading3"/>
      </w:pPr>
      <w:bookmarkStart w:id="2685" w:name="section_c1f1feace34c48d5b2e2f67bb67113e7"/>
      <w:bookmarkStart w:id="2686" w:name="_Toc181684368"/>
      <w:r>
        <w:t>Part 1 Section 20.1.10.46, ST_PositivePercentage (Positive Percentage)</w:t>
      </w:r>
      <w:bookmarkEnd w:id="2685"/>
      <w:bookmarkEnd w:id="2686"/>
      <w:r>
        <w:fldChar w:fldCharType="begin"/>
      </w:r>
      <w:r>
        <w:instrText xml:space="preserve"> XE "ST_PositivePer</w:instrText>
      </w:r>
      <w:r>
        <w:instrText xml:space="preserve">centage (Positive Percentage)" </w:instrText>
      </w:r>
      <w:r>
        <w:fldChar w:fldCharType="end"/>
      </w:r>
    </w:p>
    <w:p w:rsidR="000A156F" w:rsidRDefault="00A9721F">
      <w:pPr>
        <w:pStyle w:val="Definition-Field"/>
      </w:pPr>
      <w:r>
        <w:t xml:space="preserve">a.   </w:t>
      </w:r>
      <w:r>
        <w:rPr>
          <w:i/>
        </w:rPr>
        <w:t>The standard states that ST_PositivePercentage is read and written as a percent with a trailing percent sign.</w:t>
      </w:r>
    </w:p>
    <w:p w:rsidR="000A156F" w:rsidRDefault="00A9721F">
      <w:pPr>
        <w:pStyle w:val="Definition-Field2"/>
      </w:pPr>
      <w:r>
        <w:t>Office will read percentages formatted with a trailing percent sign or formatted as 1000th of a percent wit</w:t>
      </w:r>
      <w:r>
        <w:t>hout a trailing percent sign, but only write percentages as 1000th's of a percent without a trailing percent sign.</w:t>
      </w:r>
    </w:p>
    <w:p w:rsidR="000A156F" w:rsidRDefault="00A9721F">
      <w:pPr>
        <w:pStyle w:val="Heading3"/>
      </w:pPr>
      <w:bookmarkStart w:id="2687" w:name="section_cc8be648028648f88f8e66b878d23432"/>
      <w:bookmarkStart w:id="2688" w:name="_Toc181684369"/>
      <w:r>
        <w:t>Part 1 Section 20.1.10.48, ST_PresetColorVal (Preset Color Value)</w:t>
      </w:r>
      <w:bookmarkEnd w:id="2687"/>
      <w:bookmarkEnd w:id="2688"/>
      <w:r>
        <w:fldChar w:fldCharType="begin"/>
      </w:r>
      <w:r>
        <w:instrText xml:space="preserve"> XE "ST_PresetColorVal (Preset Color Value)" </w:instrText>
      </w:r>
      <w:r>
        <w:fldChar w:fldCharType="end"/>
      </w:r>
    </w:p>
    <w:p w:rsidR="000A156F" w:rsidRDefault="00A9721F">
      <w:pPr>
        <w:pStyle w:val="Definition-Field"/>
      </w:pPr>
      <w:r>
        <w:t xml:space="preserve">a.   </w:t>
      </w:r>
      <w:r>
        <w:rPr>
          <w:i/>
        </w:rPr>
        <w:t xml:space="preserve">The standard specifies </w:t>
      </w:r>
      <w:r>
        <w:rPr>
          <w:i/>
        </w:rPr>
        <w:t>RGB values for each value in the enum.</w:t>
      </w:r>
    </w:p>
    <w:p w:rsidR="000A156F" w:rsidRDefault="00A9721F">
      <w:pPr>
        <w:pStyle w:val="Definition-Field2"/>
      </w:pPr>
      <w:r>
        <w:t>Office also supports a value of "transparent" interpreted as RGB value (255,255,255). The value "transparent" will be persisted by Office if it appears in a file.</w:t>
      </w:r>
    </w:p>
    <w:p w:rsidR="000A156F" w:rsidRDefault="00A9721F">
      <w:pPr>
        <w:pStyle w:val="Heading3"/>
      </w:pPr>
      <w:bookmarkStart w:id="2689" w:name="section_8582a1426af4433fbcd977be5aacefaf"/>
      <w:bookmarkStart w:id="2690" w:name="_Toc181684370"/>
      <w:r>
        <w:t>Part 1 Section 20.1.10.50, ST_PresetMaterialType (Pres</w:t>
      </w:r>
      <w:r>
        <w:t>et Material Type)</w:t>
      </w:r>
      <w:bookmarkEnd w:id="2689"/>
      <w:bookmarkEnd w:id="2690"/>
      <w:r>
        <w:fldChar w:fldCharType="begin"/>
      </w:r>
      <w:r>
        <w:instrText xml:space="preserve"> XE "ST_PresetMaterialType (Preset Material Type)" </w:instrText>
      </w:r>
      <w:r>
        <w:fldChar w:fldCharType="end"/>
      </w:r>
    </w:p>
    <w:p w:rsidR="000A156F" w:rsidRDefault="00A9721F">
      <w:pPr>
        <w:pStyle w:val="Definition-Field"/>
      </w:pPr>
      <w:r>
        <w:t xml:space="preserve">a.   </w:t>
      </w:r>
      <w:r>
        <w:rPr>
          <w:i/>
        </w:rPr>
        <w:t>The standard indicates the legacyMatte enumeration value has a Diffuse Fresnel value of -4.</w:t>
      </w:r>
    </w:p>
    <w:p w:rsidR="000A156F" w:rsidRDefault="00A9721F">
      <w:pPr>
        <w:pStyle w:val="Definition-Field2"/>
      </w:pPr>
      <w:r>
        <w:t>In Office, the legacyMatte enumeration value has a Diffuse Fresnel value of 0.</w:t>
      </w:r>
    </w:p>
    <w:p w:rsidR="000A156F" w:rsidRDefault="00A9721F">
      <w:pPr>
        <w:pStyle w:val="Definition-Field2"/>
        <w:ind w:hanging="360"/>
        <w:rPr>
          <w:i/>
        </w:rPr>
      </w:pPr>
      <w:r>
        <w:rPr>
          <w:i/>
        </w:rPr>
        <w:t>b.   Offi</w:t>
      </w:r>
      <w:r>
        <w:rPr>
          <w:i/>
        </w:rPr>
        <w:t xml:space="preserve">ce defines the </w:t>
      </w:r>
      <w:r>
        <w:t xml:space="preserve">enumeration values listed in the standard in the following </w:t>
      </w:r>
      <w:r>
        <w:rPr>
          <w:i/>
        </w:rPr>
        <w:t>manner:</w:t>
      </w:r>
    </w:p>
    <w:tbl>
      <w:tblPr>
        <w:tblStyle w:val="Table-ShadedHeader"/>
        <w:tblW w:w="0" w:type="auto"/>
        <w:tblLook w:val="04A0" w:firstRow="1" w:lastRow="0" w:firstColumn="1" w:lastColumn="0" w:noHBand="0" w:noVBand="1"/>
      </w:tblPr>
      <w:tblGrid>
        <w:gridCol w:w="1513"/>
        <w:gridCol w:w="904"/>
        <w:gridCol w:w="994"/>
        <w:gridCol w:w="1057"/>
        <w:gridCol w:w="910"/>
        <w:gridCol w:w="904"/>
        <w:gridCol w:w="940"/>
        <w:gridCol w:w="799"/>
        <w:gridCol w:w="799"/>
        <w:gridCol w:w="65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tcPr>
          <w:p w:rsidR="000A156F" w:rsidRDefault="00A9721F">
            <w:pPr>
              <w:pStyle w:val="TableHeaderText"/>
            </w:pPr>
            <w:r>
              <w:t>Enumeration Value</w:t>
            </w:r>
          </w:p>
        </w:tc>
        <w:tc>
          <w:tcPr>
            <w:tcW w:w="0" w:type="auto"/>
          </w:tcPr>
          <w:p w:rsidR="000A156F" w:rsidRDefault="00A9721F">
            <w:pPr>
              <w:pStyle w:val="TableHeaderText"/>
            </w:pPr>
            <w:r>
              <w:t>Specular Color</w:t>
            </w:r>
          </w:p>
        </w:tc>
        <w:tc>
          <w:tcPr>
            <w:tcW w:w="994" w:type="dxa"/>
          </w:tcPr>
          <w:p w:rsidR="000A156F" w:rsidRDefault="00A9721F">
            <w:pPr>
              <w:pStyle w:val="TableHeaderText"/>
            </w:pPr>
            <w:r>
              <w:t>Diffuse Color</w:t>
            </w:r>
          </w:p>
        </w:tc>
        <w:tc>
          <w:tcPr>
            <w:tcW w:w="1057" w:type="dxa"/>
          </w:tcPr>
          <w:p w:rsidR="000A156F" w:rsidRDefault="00A9721F">
            <w:pPr>
              <w:pStyle w:val="TableHeaderText"/>
            </w:pPr>
            <w:r>
              <w:t>Ambient Color</w:t>
            </w:r>
          </w:p>
        </w:tc>
        <w:tc>
          <w:tcPr>
            <w:tcW w:w="910" w:type="dxa"/>
          </w:tcPr>
          <w:p w:rsidR="000A156F" w:rsidRDefault="00A9721F">
            <w:pPr>
              <w:pStyle w:val="TableHeaderText"/>
            </w:pPr>
            <w:r>
              <w:t>Emissive Color</w:t>
            </w:r>
          </w:p>
        </w:tc>
        <w:tc>
          <w:tcPr>
            <w:tcW w:w="904" w:type="dxa"/>
          </w:tcPr>
          <w:p w:rsidR="000A156F" w:rsidRDefault="00A9721F">
            <w:pPr>
              <w:pStyle w:val="TableHeaderText"/>
            </w:pPr>
            <w:r>
              <w:t>Specular Power</w:t>
            </w:r>
          </w:p>
        </w:tc>
        <w:tc>
          <w:tcPr>
            <w:tcW w:w="0" w:type="auto"/>
          </w:tcPr>
          <w:p w:rsidR="000A156F" w:rsidRDefault="00A9721F">
            <w:pPr>
              <w:pStyle w:val="TableHeaderText"/>
            </w:pPr>
            <w:r>
              <w:t>Blinn Highlight</w:t>
            </w:r>
          </w:p>
        </w:tc>
        <w:tc>
          <w:tcPr>
            <w:tcW w:w="0" w:type="auto"/>
          </w:tcPr>
          <w:p w:rsidR="000A156F" w:rsidRDefault="00A9721F">
            <w:pPr>
              <w:pStyle w:val="TableHeaderText"/>
            </w:pPr>
            <w:r>
              <w:t>Diffuse Fresnel</w:t>
            </w:r>
          </w:p>
        </w:tc>
        <w:tc>
          <w:tcPr>
            <w:tcW w:w="0" w:type="auto"/>
          </w:tcPr>
          <w:p w:rsidR="000A156F" w:rsidRDefault="00A9721F">
            <w:pPr>
              <w:pStyle w:val="TableHeaderText"/>
            </w:pPr>
            <w:r>
              <w:t>Alpha Fresnel</w:t>
            </w:r>
          </w:p>
        </w:tc>
        <w:tc>
          <w:tcPr>
            <w:tcW w:w="0" w:type="auto"/>
          </w:tcPr>
          <w:p w:rsidR="000A156F" w:rsidRDefault="00A9721F">
            <w:pPr>
              <w:pStyle w:val="TableHeaderText"/>
            </w:pPr>
            <w:r>
              <w:t>Metal</w:t>
            </w:r>
          </w:p>
        </w:tc>
      </w:tr>
      <w:tr w:rsidR="000A156F" w:rsidTr="000A156F">
        <w:tc>
          <w:tcPr>
            <w:tcW w:w="0" w:type="auto"/>
          </w:tcPr>
          <w:p w:rsidR="000A156F" w:rsidRDefault="00A9721F">
            <w:pPr>
              <w:pStyle w:val="TableBodyText"/>
            </w:pPr>
            <w:r>
              <w:t>legacyMatte (Legacy Matte)</w:t>
            </w:r>
          </w:p>
        </w:tc>
        <w:tc>
          <w:tcPr>
            <w:tcW w:w="0" w:type="auto"/>
          </w:tcPr>
          <w:p w:rsidR="000A156F" w:rsidRDefault="00A9721F">
            <w:pPr>
              <w:pStyle w:val="TableBodyText"/>
            </w:pPr>
            <w:r>
              <w:t>Black</w:t>
            </w:r>
          </w:p>
        </w:tc>
        <w:tc>
          <w:tcPr>
            <w:tcW w:w="994" w:type="dxa"/>
          </w:tcPr>
          <w:p w:rsidR="000A156F" w:rsidRDefault="00A9721F">
            <w:pPr>
              <w:pStyle w:val="TableBodyText"/>
            </w:pPr>
            <w:r>
              <w:t>Shape</w:t>
            </w:r>
          </w:p>
        </w:tc>
        <w:tc>
          <w:tcPr>
            <w:tcW w:w="1057" w:type="dxa"/>
          </w:tcPr>
          <w:p w:rsidR="000A156F" w:rsidRDefault="00A9721F">
            <w:pPr>
              <w:pStyle w:val="TableBodyText"/>
            </w:pPr>
            <w:r>
              <w:t>Shape</w:t>
            </w:r>
          </w:p>
        </w:tc>
        <w:tc>
          <w:tcPr>
            <w:tcW w:w="910" w:type="dxa"/>
          </w:tcPr>
          <w:p w:rsidR="000A156F" w:rsidRDefault="00A9721F">
            <w:pPr>
              <w:pStyle w:val="TableBodyText"/>
            </w:pPr>
            <w:r>
              <w:t>Black</w:t>
            </w:r>
          </w:p>
        </w:tc>
        <w:tc>
          <w:tcPr>
            <w:tcW w:w="904" w:type="dxa"/>
          </w:tcPr>
          <w:p w:rsidR="000A156F" w:rsidRDefault="00A9721F">
            <w:pPr>
              <w:pStyle w:val="TableBodyText"/>
            </w:pPr>
            <w:r>
              <w:t>0</w:t>
            </w:r>
          </w:p>
        </w:tc>
        <w:tc>
          <w:tcPr>
            <w:tcW w:w="0" w:type="auto"/>
          </w:tcPr>
          <w:p w:rsidR="000A156F" w:rsidRDefault="00A9721F">
            <w:pPr>
              <w:pStyle w:val="TableBodyText"/>
            </w:pPr>
            <w:r>
              <w:t>Yes</w:t>
            </w:r>
          </w:p>
        </w:tc>
        <w:tc>
          <w:tcPr>
            <w:tcW w:w="0" w:type="auto"/>
          </w:tcPr>
          <w:p w:rsidR="000A156F" w:rsidRDefault="00A9721F">
            <w:pPr>
              <w:pStyle w:val="TableBodyText"/>
            </w:pPr>
            <w:r>
              <w:t>0</w:t>
            </w:r>
          </w:p>
        </w:tc>
        <w:tc>
          <w:tcPr>
            <w:tcW w:w="0" w:type="auto"/>
          </w:tcPr>
          <w:p w:rsidR="000A156F" w:rsidRDefault="00A9721F">
            <w:pPr>
              <w:pStyle w:val="TableBodyText"/>
            </w:pPr>
            <w:r>
              <w:t>0</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lastRenderedPageBreak/>
              <w:t>legacyPlastic (Legacy Plastic)</w:t>
            </w:r>
          </w:p>
        </w:tc>
        <w:tc>
          <w:tcPr>
            <w:tcW w:w="0" w:type="auto"/>
          </w:tcPr>
          <w:p w:rsidR="000A156F" w:rsidRDefault="00A9721F">
            <w:pPr>
              <w:pStyle w:val="TableBodyText"/>
            </w:pPr>
            <w:r>
              <w:t>White</w:t>
            </w:r>
          </w:p>
        </w:tc>
        <w:tc>
          <w:tcPr>
            <w:tcW w:w="994" w:type="dxa"/>
          </w:tcPr>
          <w:p w:rsidR="000A156F" w:rsidRDefault="00A9721F">
            <w:pPr>
              <w:pStyle w:val="TableBodyText"/>
            </w:pPr>
            <w:r>
              <w:t>Shape</w:t>
            </w:r>
          </w:p>
        </w:tc>
        <w:tc>
          <w:tcPr>
            <w:tcW w:w="1057" w:type="dxa"/>
          </w:tcPr>
          <w:p w:rsidR="000A156F" w:rsidRDefault="00A9721F">
            <w:pPr>
              <w:pStyle w:val="TableBodyText"/>
            </w:pPr>
            <w:r>
              <w:t>Shape</w:t>
            </w:r>
          </w:p>
        </w:tc>
        <w:tc>
          <w:tcPr>
            <w:tcW w:w="910" w:type="dxa"/>
          </w:tcPr>
          <w:p w:rsidR="000A156F" w:rsidRDefault="00A9721F">
            <w:pPr>
              <w:pStyle w:val="TableBodyText"/>
            </w:pPr>
            <w:r>
              <w:t>Black</w:t>
            </w:r>
          </w:p>
        </w:tc>
        <w:tc>
          <w:tcPr>
            <w:tcW w:w="904" w:type="dxa"/>
          </w:tcPr>
          <w:p w:rsidR="000A156F" w:rsidRDefault="00A9721F">
            <w:pPr>
              <w:pStyle w:val="TableBodyText"/>
            </w:pPr>
            <w:r>
              <w:t>32</w:t>
            </w:r>
          </w:p>
        </w:tc>
        <w:tc>
          <w:tcPr>
            <w:tcW w:w="0" w:type="auto"/>
          </w:tcPr>
          <w:p w:rsidR="000A156F" w:rsidRDefault="00A9721F">
            <w:pPr>
              <w:pStyle w:val="TableBodyText"/>
            </w:pPr>
            <w:r>
              <w:t>Yes</w:t>
            </w:r>
          </w:p>
        </w:tc>
        <w:tc>
          <w:tcPr>
            <w:tcW w:w="0" w:type="auto"/>
          </w:tcPr>
          <w:p w:rsidR="000A156F" w:rsidRDefault="00A9721F">
            <w:pPr>
              <w:pStyle w:val="TableBodyText"/>
            </w:pPr>
            <w:r>
              <w:t>0</w:t>
            </w:r>
          </w:p>
        </w:tc>
        <w:tc>
          <w:tcPr>
            <w:tcW w:w="0" w:type="auto"/>
          </w:tcPr>
          <w:p w:rsidR="000A156F" w:rsidRDefault="00A9721F">
            <w:pPr>
              <w:pStyle w:val="TableBodyText"/>
            </w:pPr>
            <w:r>
              <w:t>0</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legacyMetal (Legacy Metal)</w:t>
            </w:r>
          </w:p>
        </w:tc>
        <w:tc>
          <w:tcPr>
            <w:tcW w:w="0" w:type="auto"/>
          </w:tcPr>
          <w:p w:rsidR="000A156F" w:rsidRDefault="00A9721F">
            <w:pPr>
              <w:pStyle w:val="TableBodyText"/>
            </w:pPr>
            <w:r>
              <w:t>Shape</w:t>
            </w:r>
          </w:p>
        </w:tc>
        <w:tc>
          <w:tcPr>
            <w:tcW w:w="994" w:type="dxa"/>
          </w:tcPr>
          <w:p w:rsidR="000A156F" w:rsidRDefault="00A9721F">
            <w:pPr>
              <w:pStyle w:val="TableBodyText"/>
            </w:pPr>
            <w:r>
              <w:t>Lerp( Shape, Black, 1.0f / 3.0f )</w:t>
            </w:r>
          </w:p>
        </w:tc>
        <w:tc>
          <w:tcPr>
            <w:tcW w:w="1057" w:type="dxa"/>
          </w:tcPr>
          <w:p w:rsidR="000A156F" w:rsidRDefault="00A9721F">
            <w:pPr>
              <w:pStyle w:val="TableBodyText"/>
            </w:pPr>
            <w:r>
              <w:t>Lerp( Shape, Black, 1.0f / 3.0f )</w:t>
            </w:r>
          </w:p>
        </w:tc>
        <w:tc>
          <w:tcPr>
            <w:tcW w:w="910" w:type="dxa"/>
          </w:tcPr>
          <w:p w:rsidR="000A156F" w:rsidRDefault="00A9721F">
            <w:pPr>
              <w:pStyle w:val="TableBodyText"/>
            </w:pPr>
            <w:r>
              <w:t>Black</w:t>
            </w:r>
          </w:p>
        </w:tc>
        <w:tc>
          <w:tcPr>
            <w:tcW w:w="904" w:type="dxa"/>
          </w:tcPr>
          <w:p w:rsidR="000A156F" w:rsidRDefault="00A9721F">
            <w:pPr>
              <w:pStyle w:val="TableBodyText"/>
            </w:pPr>
            <w:r>
              <w:t>32</w:t>
            </w:r>
          </w:p>
        </w:tc>
        <w:tc>
          <w:tcPr>
            <w:tcW w:w="0" w:type="auto"/>
          </w:tcPr>
          <w:p w:rsidR="000A156F" w:rsidRDefault="00A9721F">
            <w:pPr>
              <w:pStyle w:val="TableBodyText"/>
            </w:pPr>
            <w:r>
              <w:t>Yes</w:t>
            </w:r>
          </w:p>
        </w:tc>
        <w:tc>
          <w:tcPr>
            <w:tcW w:w="0" w:type="auto"/>
          </w:tcPr>
          <w:p w:rsidR="000A156F" w:rsidRDefault="00A9721F">
            <w:pPr>
              <w:pStyle w:val="TableBodyText"/>
            </w:pPr>
            <w:r>
              <w:t>0</w:t>
            </w:r>
          </w:p>
        </w:tc>
        <w:tc>
          <w:tcPr>
            <w:tcW w:w="0" w:type="auto"/>
          </w:tcPr>
          <w:p w:rsidR="000A156F" w:rsidRDefault="00A9721F">
            <w:pPr>
              <w:pStyle w:val="TableBodyText"/>
            </w:pPr>
            <w:r>
              <w:t>0</w:t>
            </w:r>
          </w:p>
        </w:tc>
        <w:tc>
          <w:tcPr>
            <w:tcW w:w="0" w:type="auto"/>
          </w:tcPr>
          <w:p w:rsidR="000A156F" w:rsidRDefault="00A9721F">
            <w:pPr>
              <w:pStyle w:val="TableBodyText"/>
            </w:pPr>
            <w:r>
              <w:t>Yes</w:t>
            </w:r>
          </w:p>
        </w:tc>
      </w:tr>
      <w:tr w:rsidR="000A156F" w:rsidTr="000A156F">
        <w:tc>
          <w:tcPr>
            <w:tcW w:w="0" w:type="auto"/>
          </w:tcPr>
          <w:p w:rsidR="000A156F" w:rsidRDefault="00A9721F">
            <w:pPr>
              <w:pStyle w:val="TableBodyText"/>
            </w:pPr>
            <w:r>
              <w:t>matte (Matte)</w:t>
            </w:r>
          </w:p>
        </w:tc>
        <w:tc>
          <w:tcPr>
            <w:tcW w:w="0" w:type="auto"/>
          </w:tcPr>
          <w:p w:rsidR="000A156F" w:rsidRDefault="00A9721F">
            <w:pPr>
              <w:pStyle w:val="TableBodyText"/>
            </w:pPr>
            <w:r>
              <w:t>Black</w:t>
            </w:r>
          </w:p>
        </w:tc>
        <w:tc>
          <w:tcPr>
            <w:tcW w:w="994" w:type="dxa"/>
          </w:tcPr>
          <w:p w:rsidR="000A156F" w:rsidRDefault="00A9721F">
            <w:pPr>
              <w:pStyle w:val="TableBodyText"/>
            </w:pPr>
            <w:r>
              <w:t>Shape</w:t>
            </w:r>
          </w:p>
        </w:tc>
        <w:tc>
          <w:tcPr>
            <w:tcW w:w="1057" w:type="dxa"/>
          </w:tcPr>
          <w:p w:rsidR="000A156F" w:rsidRDefault="00A9721F">
            <w:pPr>
              <w:pStyle w:val="TableBodyText"/>
            </w:pPr>
            <w:r>
              <w:t>Shape</w:t>
            </w:r>
          </w:p>
        </w:tc>
        <w:tc>
          <w:tcPr>
            <w:tcW w:w="910" w:type="dxa"/>
          </w:tcPr>
          <w:p w:rsidR="000A156F" w:rsidRDefault="00A9721F">
            <w:pPr>
              <w:pStyle w:val="TableBodyText"/>
            </w:pPr>
            <w:r>
              <w:t>Black</w:t>
            </w:r>
          </w:p>
        </w:tc>
        <w:tc>
          <w:tcPr>
            <w:tcW w:w="904" w:type="dxa"/>
          </w:tcPr>
          <w:p w:rsidR="000A156F" w:rsidRDefault="00A9721F">
            <w:pPr>
              <w:pStyle w:val="TableBodyText"/>
            </w:pPr>
            <w:r>
              <w:t>0</w:t>
            </w:r>
          </w:p>
        </w:tc>
        <w:tc>
          <w:tcPr>
            <w:tcW w:w="0" w:type="auto"/>
          </w:tcPr>
          <w:p w:rsidR="000A156F" w:rsidRDefault="00A9721F">
            <w:pPr>
              <w:pStyle w:val="TableBodyText"/>
            </w:pPr>
            <w:r>
              <w:t>No</w:t>
            </w:r>
          </w:p>
        </w:tc>
        <w:tc>
          <w:tcPr>
            <w:tcW w:w="0" w:type="auto"/>
          </w:tcPr>
          <w:p w:rsidR="000A156F" w:rsidRDefault="00A9721F">
            <w:pPr>
              <w:pStyle w:val="TableBodyText"/>
            </w:pPr>
            <w:r>
              <w:t>0</w:t>
            </w:r>
          </w:p>
        </w:tc>
        <w:tc>
          <w:tcPr>
            <w:tcW w:w="0" w:type="auto"/>
          </w:tcPr>
          <w:p w:rsidR="000A156F" w:rsidRDefault="00A9721F">
            <w:pPr>
              <w:pStyle w:val="TableBodyText"/>
            </w:pPr>
            <w:r>
              <w:t>0</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plastic (Plastic)</w:t>
            </w:r>
          </w:p>
        </w:tc>
        <w:tc>
          <w:tcPr>
            <w:tcW w:w="0" w:type="auto"/>
          </w:tcPr>
          <w:p w:rsidR="000A156F" w:rsidRDefault="00A9721F">
            <w:pPr>
              <w:pStyle w:val="TableBodyText"/>
            </w:pPr>
            <w:r>
              <w:t>( 0.6f, 0.6f, 0.6f, 1.0f )</w:t>
            </w:r>
          </w:p>
        </w:tc>
        <w:tc>
          <w:tcPr>
            <w:tcW w:w="994" w:type="dxa"/>
          </w:tcPr>
          <w:p w:rsidR="000A156F" w:rsidRDefault="00A9721F">
            <w:pPr>
              <w:pStyle w:val="TableBodyText"/>
            </w:pPr>
            <w:r>
              <w:t>Shape</w:t>
            </w:r>
          </w:p>
        </w:tc>
        <w:tc>
          <w:tcPr>
            <w:tcW w:w="1057" w:type="dxa"/>
          </w:tcPr>
          <w:p w:rsidR="000A156F" w:rsidRDefault="00A9721F">
            <w:pPr>
              <w:pStyle w:val="TableBodyText"/>
            </w:pPr>
            <w:r>
              <w:t>Shape</w:t>
            </w:r>
          </w:p>
        </w:tc>
        <w:tc>
          <w:tcPr>
            <w:tcW w:w="910" w:type="dxa"/>
          </w:tcPr>
          <w:p w:rsidR="000A156F" w:rsidRDefault="00A9721F">
            <w:pPr>
              <w:pStyle w:val="TableBodyText"/>
            </w:pPr>
            <w:r>
              <w:t>Black</w:t>
            </w:r>
          </w:p>
        </w:tc>
        <w:tc>
          <w:tcPr>
            <w:tcW w:w="904" w:type="dxa"/>
          </w:tcPr>
          <w:p w:rsidR="000A156F" w:rsidRDefault="00A9721F">
            <w:pPr>
              <w:pStyle w:val="TableBodyText"/>
            </w:pPr>
            <w:r>
              <w:t>12</w:t>
            </w:r>
          </w:p>
        </w:tc>
        <w:tc>
          <w:tcPr>
            <w:tcW w:w="0" w:type="auto"/>
          </w:tcPr>
          <w:p w:rsidR="000A156F" w:rsidRDefault="00A9721F">
            <w:pPr>
              <w:pStyle w:val="TableBodyText"/>
            </w:pPr>
            <w:r>
              <w:t>No</w:t>
            </w:r>
          </w:p>
        </w:tc>
        <w:tc>
          <w:tcPr>
            <w:tcW w:w="0" w:type="auto"/>
          </w:tcPr>
          <w:p w:rsidR="000A156F" w:rsidRDefault="00A9721F">
            <w:pPr>
              <w:pStyle w:val="TableBodyText"/>
            </w:pPr>
            <w:r>
              <w:t>0</w:t>
            </w:r>
          </w:p>
        </w:tc>
        <w:tc>
          <w:tcPr>
            <w:tcW w:w="0" w:type="auto"/>
          </w:tcPr>
          <w:p w:rsidR="000A156F" w:rsidRDefault="00A9721F">
            <w:pPr>
              <w:pStyle w:val="TableBodyText"/>
            </w:pPr>
            <w:r>
              <w:t>0</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metal (Metal)</w:t>
            </w:r>
          </w:p>
        </w:tc>
        <w:tc>
          <w:tcPr>
            <w:tcW w:w="0" w:type="auto"/>
          </w:tcPr>
          <w:p w:rsidR="000A156F" w:rsidRDefault="00A9721F">
            <w:pPr>
              <w:pStyle w:val="TableBodyText"/>
            </w:pPr>
            <w:r>
              <w:t>Brighten( Lerp( Shape, White, 0.2f ), 1.4f )</w:t>
            </w:r>
          </w:p>
        </w:tc>
        <w:tc>
          <w:tcPr>
            <w:tcW w:w="994" w:type="dxa"/>
          </w:tcPr>
          <w:p w:rsidR="000A156F" w:rsidRDefault="00A9721F">
            <w:pPr>
              <w:pStyle w:val="TableBodyText"/>
            </w:pPr>
            <w:r>
              <w:t>Shape</w:t>
            </w:r>
          </w:p>
        </w:tc>
        <w:tc>
          <w:tcPr>
            <w:tcW w:w="1057" w:type="dxa"/>
          </w:tcPr>
          <w:p w:rsidR="000A156F" w:rsidRDefault="00A9721F">
            <w:pPr>
              <w:pStyle w:val="TableBodyText"/>
            </w:pPr>
            <w:r>
              <w:t>Shape</w:t>
            </w:r>
          </w:p>
        </w:tc>
        <w:tc>
          <w:tcPr>
            <w:tcW w:w="910" w:type="dxa"/>
          </w:tcPr>
          <w:p w:rsidR="000A156F" w:rsidRDefault="00A9721F">
            <w:pPr>
              <w:pStyle w:val="TableBodyText"/>
            </w:pPr>
            <w:r>
              <w:t>Black</w:t>
            </w:r>
          </w:p>
        </w:tc>
        <w:tc>
          <w:tcPr>
            <w:tcW w:w="904" w:type="dxa"/>
          </w:tcPr>
          <w:p w:rsidR="000A156F" w:rsidRDefault="00A9721F">
            <w:pPr>
              <w:pStyle w:val="TableBodyText"/>
            </w:pPr>
            <w:r>
              <w:t>12</w:t>
            </w:r>
          </w:p>
        </w:tc>
        <w:tc>
          <w:tcPr>
            <w:tcW w:w="0" w:type="auto"/>
          </w:tcPr>
          <w:p w:rsidR="000A156F" w:rsidRDefault="00A9721F">
            <w:pPr>
              <w:pStyle w:val="TableBodyText"/>
            </w:pPr>
            <w:r>
              <w:t>No</w:t>
            </w:r>
          </w:p>
        </w:tc>
        <w:tc>
          <w:tcPr>
            <w:tcW w:w="0" w:type="auto"/>
          </w:tcPr>
          <w:p w:rsidR="000A156F" w:rsidRDefault="00A9721F">
            <w:pPr>
              <w:pStyle w:val="TableBodyText"/>
            </w:pPr>
            <w:r>
              <w:t>4</w:t>
            </w:r>
          </w:p>
        </w:tc>
        <w:tc>
          <w:tcPr>
            <w:tcW w:w="0" w:type="auto"/>
          </w:tcPr>
          <w:p w:rsidR="000A156F" w:rsidRDefault="00A9721F">
            <w:pPr>
              <w:pStyle w:val="TableBodyText"/>
            </w:pPr>
            <w:r>
              <w:t>0</w:t>
            </w:r>
          </w:p>
        </w:tc>
        <w:tc>
          <w:tcPr>
            <w:tcW w:w="0" w:type="auto"/>
          </w:tcPr>
          <w:p w:rsidR="000A156F" w:rsidRDefault="00A9721F">
            <w:pPr>
              <w:pStyle w:val="TableBodyText"/>
            </w:pPr>
            <w:r>
              <w:t>Yes</w:t>
            </w:r>
          </w:p>
        </w:tc>
      </w:tr>
      <w:tr w:rsidR="000A156F" w:rsidTr="000A156F">
        <w:tc>
          <w:tcPr>
            <w:tcW w:w="0" w:type="auto"/>
          </w:tcPr>
          <w:p w:rsidR="000A156F" w:rsidRDefault="00A9721F">
            <w:pPr>
              <w:pStyle w:val="TableBodyText"/>
            </w:pPr>
            <w:r>
              <w:t>warmMatte (Warm Matte)</w:t>
            </w:r>
          </w:p>
        </w:tc>
        <w:tc>
          <w:tcPr>
            <w:tcW w:w="0" w:type="auto"/>
          </w:tcPr>
          <w:p w:rsidR="000A156F" w:rsidRDefault="00A9721F">
            <w:pPr>
              <w:pStyle w:val="TableBodyText"/>
            </w:pPr>
            <w:r>
              <w:t>( 0.3f, 0.3f, 0.3f, 1.0f )</w:t>
            </w:r>
          </w:p>
        </w:tc>
        <w:tc>
          <w:tcPr>
            <w:tcW w:w="994" w:type="dxa"/>
          </w:tcPr>
          <w:p w:rsidR="000A156F" w:rsidRDefault="00A9721F">
            <w:pPr>
              <w:pStyle w:val="TableBodyText"/>
            </w:pPr>
            <w:r>
              <w:t>Shape</w:t>
            </w:r>
          </w:p>
        </w:tc>
        <w:tc>
          <w:tcPr>
            <w:tcW w:w="1057" w:type="dxa"/>
          </w:tcPr>
          <w:p w:rsidR="000A156F" w:rsidRDefault="00A9721F">
            <w:pPr>
              <w:pStyle w:val="TableBodyText"/>
            </w:pPr>
            <w:r>
              <w:t>Shape</w:t>
            </w:r>
          </w:p>
        </w:tc>
        <w:tc>
          <w:tcPr>
            <w:tcW w:w="910" w:type="dxa"/>
          </w:tcPr>
          <w:p w:rsidR="000A156F" w:rsidRDefault="00A9721F">
            <w:pPr>
              <w:pStyle w:val="TableBodyText"/>
            </w:pPr>
            <w:r>
              <w:t>Black</w:t>
            </w:r>
          </w:p>
        </w:tc>
        <w:tc>
          <w:tcPr>
            <w:tcW w:w="904" w:type="dxa"/>
          </w:tcPr>
          <w:p w:rsidR="000A156F" w:rsidRDefault="00A9721F">
            <w:pPr>
              <w:pStyle w:val="TableBodyText"/>
            </w:pPr>
            <w:r>
              <w:t>8</w:t>
            </w:r>
          </w:p>
        </w:tc>
        <w:tc>
          <w:tcPr>
            <w:tcW w:w="0" w:type="auto"/>
          </w:tcPr>
          <w:p w:rsidR="000A156F" w:rsidRDefault="00A9721F">
            <w:pPr>
              <w:pStyle w:val="TableBodyText"/>
            </w:pPr>
            <w:r>
              <w:t>No</w:t>
            </w:r>
          </w:p>
        </w:tc>
        <w:tc>
          <w:tcPr>
            <w:tcW w:w="0" w:type="auto"/>
          </w:tcPr>
          <w:p w:rsidR="000A156F" w:rsidRDefault="00A9721F">
            <w:pPr>
              <w:pStyle w:val="TableBodyText"/>
            </w:pPr>
            <w:r>
              <w:t>0</w:t>
            </w:r>
          </w:p>
        </w:tc>
        <w:tc>
          <w:tcPr>
            <w:tcW w:w="0" w:type="auto"/>
          </w:tcPr>
          <w:p w:rsidR="000A156F" w:rsidRDefault="00A9721F">
            <w:pPr>
              <w:pStyle w:val="TableBodyText"/>
            </w:pPr>
            <w:r>
              <w:t>0</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translucentPowder (Translucent Powder)</w:t>
            </w:r>
          </w:p>
        </w:tc>
        <w:tc>
          <w:tcPr>
            <w:tcW w:w="0" w:type="auto"/>
          </w:tcPr>
          <w:p w:rsidR="000A156F" w:rsidRDefault="00A9721F">
            <w:pPr>
              <w:pStyle w:val="TableBodyText"/>
            </w:pPr>
            <w:r>
              <w:t>( 0.3f, 0.3f, 0.3f, 1.0f )</w:t>
            </w:r>
          </w:p>
        </w:tc>
        <w:tc>
          <w:tcPr>
            <w:tcW w:w="994" w:type="dxa"/>
          </w:tcPr>
          <w:p w:rsidR="000A156F" w:rsidRDefault="00A9721F">
            <w:pPr>
              <w:pStyle w:val="TableBodyText"/>
            </w:pPr>
            <w:r>
              <w:t>( Shape.rgb, 0.7f )</w:t>
            </w:r>
          </w:p>
        </w:tc>
        <w:tc>
          <w:tcPr>
            <w:tcW w:w="1057" w:type="dxa"/>
          </w:tcPr>
          <w:p w:rsidR="000A156F" w:rsidRDefault="00A9721F">
            <w:pPr>
              <w:pStyle w:val="TableBodyText"/>
            </w:pPr>
            <w:r>
              <w:t>(Shape.rgb, 0.7f )</w:t>
            </w:r>
          </w:p>
        </w:tc>
        <w:tc>
          <w:tcPr>
            <w:tcW w:w="910" w:type="dxa"/>
          </w:tcPr>
          <w:p w:rsidR="000A156F" w:rsidRDefault="00A9721F">
            <w:pPr>
              <w:pStyle w:val="TableBodyText"/>
            </w:pPr>
            <w:r>
              <w:t>Black</w:t>
            </w:r>
          </w:p>
        </w:tc>
        <w:tc>
          <w:tcPr>
            <w:tcW w:w="904" w:type="dxa"/>
          </w:tcPr>
          <w:p w:rsidR="000A156F" w:rsidRDefault="00A9721F">
            <w:pPr>
              <w:pStyle w:val="TableBodyText"/>
            </w:pPr>
            <w:r>
              <w:t>10</w:t>
            </w:r>
          </w:p>
        </w:tc>
        <w:tc>
          <w:tcPr>
            <w:tcW w:w="0" w:type="auto"/>
          </w:tcPr>
          <w:p w:rsidR="000A156F" w:rsidRDefault="00A9721F">
            <w:pPr>
              <w:pStyle w:val="TableBodyText"/>
            </w:pPr>
            <w:r>
              <w:t>Yes</w:t>
            </w:r>
          </w:p>
        </w:tc>
        <w:tc>
          <w:tcPr>
            <w:tcW w:w="0" w:type="auto"/>
          </w:tcPr>
          <w:p w:rsidR="000A156F" w:rsidRDefault="00A9721F">
            <w:pPr>
              <w:pStyle w:val="TableBodyText"/>
            </w:pPr>
            <w:r>
              <w:t>2</w:t>
            </w:r>
          </w:p>
        </w:tc>
        <w:tc>
          <w:tcPr>
            <w:tcW w:w="0" w:type="auto"/>
          </w:tcPr>
          <w:p w:rsidR="000A156F" w:rsidRDefault="00A9721F">
            <w:pPr>
              <w:pStyle w:val="TableBodyText"/>
            </w:pPr>
            <w:r>
              <w:t>-1</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powder (Powder)</w:t>
            </w:r>
          </w:p>
        </w:tc>
        <w:tc>
          <w:tcPr>
            <w:tcW w:w="0" w:type="auto"/>
          </w:tcPr>
          <w:p w:rsidR="000A156F" w:rsidRDefault="00A9721F">
            <w:pPr>
              <w:pStyle w:val="TableBodyText"/>
            </w:pPr>
            <w:r>
              <w:t>( 0.3f, 0.3f, 0.3f, 1.0f )</w:t>
            </w:r>
          </w:p>
        </w:tc>
        <w:tc>
          <w:tcPr>
            <w:tcW w:w="994" w:type="dxa"/>
          </w:tcPr>
          <w:p w:rsidR="000A156F" w:rsidRDefault="00A9721F">
            <w:pPr>
              <w:pStyle w:val="TableBodyText"/>
            </w:pPr>
            <w:r>
              <w:t>Lerp( Shape-color, White, 0.5f )</w:t>
            </w:r>
          </w:p>
        </w:tc>
        <w:tc>
          <w:tcPr>
            <w:tcW w:w="1057" w:type="dxa"/>
          </w:tcPr>
          <w:p w:rsidR="000A156F" w:rsidRDefault="00A9721F">
            <w:pPr>
              <w:pStyle w:val="TableBodyText"/>
            </w:pPr>
            <w:r>
              <w:t>Lerp( Shape-color, White, 0.5f )</w:t>
            </w:r>
          </w:p>
        </w:tc>
        <w:tc>
          <w:tcPr>
            <w:tcW w:w="910" w:type="dxa"/>
          </w:tcPr>
          <w:p w:rsidR="000A156F" w:rsidRDefault="00A9721F">
            <w:pPr>
              <w:pStyle w:val="TableBodyText"/>
            </w:pPr>
            <w:r>
              <w:t>Black</w:t>
            </w:r>
          </w:p>
        </w:tc>
        <w:tc>
          <w:tcPr>
            <w:tcW w:w="904" w:type="dxa"/>
          </w:tcPr>
          <w:p w:rsidR="000A156F" w:rsidRDefault="00A9721F">
            <w:pPr>
              <w:pStyle w:val="TableBodyText"/>
            </w:pPr>
            <w:r>
              <w:t>10</w:t>
            </w:r>
          </w:p>
        </w:tc>
        <w:tc>
          <w:tcPr>
            <w:tcW w:w="0" w:type="auto"/>
          </w:tcPr>
          <w:p w:rsidR="000A156F" w:rsidRDefault="00A9721F">
            <w:pPr>
              <w:pStyle w:val="TableBodyText"/>
            </w:pPr>
            <w:r>
              <w:t>Yes</w:t>
            </w:r>
          </w:p>
        </w:tc>
        <w:tc>
          <w:tcPr>
            <w:tcW w:w="0" w:type="auto"/>
          </w:tcPr>
          <w:p w:rsidR="000A156F" w:rsidRDefault="00A9721F">
            <w:pPr>
              <w:pStyle w:val="TableBodyText"/>
            </w:pPr>
            <w:r>
              <w:t>2</w:t>
            </w:r>
          </w:p>
        </w:tc>
        <w:tc>
          <w:tcPr>
            <w:tcW w:w="0" w:type="auto"/>
          </w:tcPr>
          <w:p w:rsidR="000A156F" w:rsidRDefault="00A9721F">
            <w:pPr>
              <w:pStyle w:val="TableBodyText"/>
            </w:pPr>
            <w:r>
              <w:t>0</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dkEdge (Dark Edge)</w:t>
            </w:r>
          </w:p>
        </w:tc>
        <w:tc>
          <w:tcPr>
            <w:tcW w:w="0" w:type="auto"/>
          </w:tcPr>
          <w:p w:rsidR="000A156F" w:rsidRDefault="00A9721F">
            <w:pPr>
              <w:pStyle w:val="TableBodyText"/>
            </w:pPr>
            <w:r>
              <w:t>White</w:t>
            </w:r>
          </w:p>
        </w:tc>
        <w:tc>
          <w:tcPr>
            <w:tcW w:w="994" w:type="dxa"/>
          </w:tcPr>
          <w:p w:rsidR="000A156F" w:rsidRDefault="00A9721F">
            <w:pPr>
              <w:pStyle w:val="TableBodyText"/>
            </w:pPr>
            <w:r>
              <w:t>Shape</w:t>
            </w:r>
          </w:p>
        </w:tc>
        <w:tc>
          <w:tcPr>
            <w:tcW w:w="1057" w:type="dxa"/>
          </w:tcPr>
          <w:p w:rsidR="000A156F" w:rsidRDefault="00A9721F">
            <w:pPr>
              <w:pStyle w:val="TableBodyText"/>
            </w:pPr>
            <w:r>
              <w:t>Shape</w:t>
            </w:r>
          </w:p>
        </w:tc>
        <w:tc>
          <w:tcPr>
            <w:tcW w:w="910" w:type="dxa"/>
          </w:tcPr>
          <w:p w:rsidR="000A156F" w:rsidRDefault="00A9721F">
            <w:pPr>
              <w:pStyle w:val="TableBodyText"/>
            </w:pPr>
            <w:r>
              <w:t>Black</w:t>
            </w:r>
          </w:p>
        </w:tc>
        <w:tc>
          <w:tcPr>
            <w:tcW w:w="904" w:type="dxa"/>
          </w:tcPr>
          <w:p w:rsidR="000A156F" w:rsidRDefault="00A9721F">
            <w:pPr>
              <w:pStyle w:val="TableBodyText"/>
            </w:pPr>
            <w:r>
              <w:t>35</w:t>
            </w:r>
          </w:p>
        </w:tc>
        <w:tc>
          <w:tcPr>
            <w:tcW w:w="0" w:type="auto"/>
          </w:tcPr>
          <w:p w:rsidR="000A156F" w:rsidRDefault="00A9721F">
            <w:pPr>
              <w:pStyle w:val="TableBodyText"/>
            </w:pPr>
            <w:r>
              <w:t>No</w:t>
            </w:r>
          </w:p>
        </w:tc>
        <w:tc>
          <w:tcPr>
            <w:tcW w:w="0" w:type="auto"/>
          </w:tcPr>
          <w:p w:rsidR="000A156F" w:rsidRDefault="00A9721F">
            <w:pPr>
              <w:pStyle w:val="TableBodyText"/>
            </w:pPr>
            <w:r>
              <w:t>-2</w:t>
            </w:r>
          </w:p>
        </w:tc>
        <w:tc>
          <w:tcPr>
            <w:tcW w:w="0" w:type="auto"/>
          </w:tcPr>
          <w:p w:rsidR="000A156F" w:rsidRDefault="00A9721F">
            <w:pPr>
              <w:pStyle w:val="TableBodyText"/>
            </w:pPr>
            <w:r>
              <w:t>0</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softEdge (Soft Edge)</w:t>
            </w:r>
          </w:p>
        </w:tc>
        <w:tc>
          <w:tcPr>
            <w:tcW w:w="0" w:type="auto"/>
          </w:tcPr>
          <w:p w:rsidR="000A156F" w:rsidRDefault="00A9721F">
            <w:pPr>
              <w:pStyle w:val="TableBodyText"/>
            </w:pPr>
            <w:r>
              <w:t>White</w:t>
            </w:r>
          </w:p>
        </w:tc>
        <w:tc>
          <w:tcPr>
            <w:tcW w:w="994" w:type="dxa"/>
          </w:tcPr>
          <w:p w:rsidR="000A156F" w:rsidRDefault="00A9721F">
            <w:pPr>
              <w:pStyle w:val="TableBodyText"/>
            </w:pPr>
            <w:r>
              <w:t>Shape</w:t>
            </w:r>
          </w:p>
        </w:tc>
        <w:tc>
          <w:tcPr>
            <w:tcW w:w="1057" w:type="dxa"/>
          </w:tcPr>
          <w:p w:rsidR="000A156F" w:rsidRDefault="00A9721F">
            <w:pPr>
              <w:pStyle w:val="TableBodyText"/>
            </w:pPr>
            <w:r>
              <w:t>Shape</w:t>
            </w:r>
          </w:p>
        </w:tc>
        <w:tc>
          <w:tcPr>
            <w:tcW w:w="910" w:type="dxa"/>
          </w:tcPr>
          <w:p w:rsidR="000A156F" w:rsidRDefault="00A9721F">
            <w:pPr>
              <w:pStyle w:val="TableBodyText"/>
            </w:pPr>
            <w:r>
              <w:t>Black</w:t>
            </w:r>
          </w:p>
        </w:tc>
        <w:tc>
          <w:tcPr>
            <w:tcW w:w="904" w:type="dxa"/>
          </w:tcPr>
          <w:p w:rsidR="000A156F" w:rsidRDefault="00A9721F">
            <w:pPr>
              <w:pStyle w:val="TableBodyText"/>
            </w:pPr>
            <w:r>
              <w:t>35</w:t>
            </w:r>
          </w:p>
        </w:tc>
        <w:tc>
          <w:tcPr>
            <w:tcW w:w="0" w:type="auto"/>
          </w:tcPr>
          <w:p w:rsidR="000A156F" w:rsidRDefault="00A9721F">
            <w:pPr>
              <w:pStyle w:val="TableBodyText"/>
            </w:pPr>
            <w:r>
              <w:t>No</w:t>
            </w:r>
          </w:p>
        </w:tc>
        <w:tc>
          <w:tcPr>
            <w:tcW w:w="0" w:type="auto"/>
          </w:tcPr>
          <w:p w:rsidR="000A156F" w:rsidRDefault="00A9721F">
            <w:pPr>
              <w:pStyle w:val="TableBodyText"/>
            </w:pPr>
            <w:r>
              <w:t>4</w:t>
            </w:r>
          </w:p>
        </w:tc>
        <w:tc>
          <w:tcPr>
            <w:tcW w:w="0" w:type="auto"/>
          </w:tcPr>
          <w:p w:rsidR="000A156F" w:rsidRDefault="00A9721F">
            <w:pPr>
              <w:pStyle w:val="TableBodyText"/>
            </w:pPr>
            <w:r>
              <w:t>-10</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clear (Clear)</w:t>
            </w:r>
          </w:p>
        </w:tc>
        <w:tc>
          <w:tcPr>
            <w:tcW w:w="0" w:type="auto"/>
          </w:tcPr>
          <w:p w:rsidR="000A156F" w:rsidRDefault="00A9721F">
            <w:pPr>
              <w:pStyle w:val="TableBodyText"/>
            </w:pPr>
            <w:r>
              <w:t>( 0.6f, 0.6f, 0.6f, 1.0f )</w:t>
            </w:r>
          </w:p>
        </w:tc>
        <w:tc>
          <w:tcPr>
            <w:tcW w:w="994" w:type="dxa"/>
          </w:tcPr>
          <w:p w:rsidR="000A156F" w:rsidRDefault="00A9721F">
            <w:pPr>
              <w:pStyle w:val="TableBodyText"/>
            </w:pPr>
            <w:r>
              <w:t>( Shape.rgb, 0.1f )</w:t>
            </w:r>
          </w:p>
        </w:tc>
        <w:tc>
          <w:tcPr>
            <w:tcW w:w="1057" w:type="dxa"/>
          </w:tcPr>
          <w:p w:rsidR="000A156F" w:rsidRDefault="00A9721F">
            <w:pPr>
              <w:pStyle w:val="TableBodyText"/>
            </w:pPr>
            <w:r>
              <w:t>( Shape.rgb, 1.0f )</w:t>
            </w:r>
          </w:p>
        </w:tc>
        <w:tc>
          <w:tcPr>
            <w:tcW w:w="910" w:type="dxa"/>
          </w:tcPr>
          <w:p w:rsidR="000A156F" w:rsidRDefault="00A9721F">
            <w:pPr>
              <w:pStyle w:val="TableBodyText"/>
            </w:pPr>
            <w:r>
              <w:t>Black</w:t>
            </w:r>
          </w:p>
        </w:tc>
        <w:tc>
          <w:tcPr>
            <w:tcW w:w="904" w:type="dxa"/>
          </w:tcPr>
          <w:p w:rsidR="000A156F" w:rsidRDefault="00A9721F">
            <w:pPr>
              <w:pStyle w:val="TableBodyText"/>
            </w:pPr>
            <w:r>
              <w:t>20</w:t>
            </w:r>
          </w:p>
        </w:tc>
        <w:tc>
          <w:tcPr>
            <w:tcW w:w="0" w:type="auto"/>
          </w:tcPr>
          <w:p w:rsidR="000A156F" w:rsidRDefault="00A9721F">
            <w:pPr>
              <w:pStyle w:val="TableBodyText"/>
            </w:pPr>
            <w:r>
              <w:t>No</w:t>
            </w:r>
          </w:p>
        </w:tc>
        <w:tc>
          <w:tcPr>
            <w:tcW w:w="0" w:type="auto"/>
          </w:tcPr>
          <w:p w:rsidR="000A156F" w:rsidRDefault="00A9721F">
            <w:pPr>
              <w:pStyle w:val="TableBodyText"/>
            </w:pPr>
            <w:r>
              <w:t>-8</w:t>
            </w:r>
          </w:p>
        </w:tc>
        <w:tc>
          <w:tcPr>
            <w:tcW w:w="0" w:type="auto"/>
          </w:tcPr>
          <w:p w:rsidR="000A156F" w:rsidRDefault="00A9721F">
            <w:pPr>
              <w:pStyle w:val="TableBodyText"/>
            </w:pPr>
            <w:r>
              <w:t>1</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Flat (Flat)</w:t>
            </w:r>
          </w:p>
        </w:tc>
        <w:tc>
          <w:tcPr>
            <w:tcW w:w="0" w:type="auto"/>
          </w:tcPr>
          <w:p w:rsidR="000A156F" w:rsidRDefault="00A9721F">
            <w:pPr>
              <w:pStyle w:val="TableBodyText"/>
            </w:pPr>
            <w:r>
              <w:t xml:space="preserve">( </w:t>
            </w:r>
            <w:r>
              <w:t>0.8f, 0.8f, 0.8f, 1.0f )</w:t>
            </w:r>
          </w:p>
        </w:tc>
        <w:tc>
          <w:tcPr>
            <w:tcW w:w="994" w:type="dxa"/>
          </w:tcPr>
          <w:p w:rsidR="000A156F" w:rsidRDefault="00A9721F">
            <w:pPr>
              <w:pStyle w:val="TableBodyText"/>
            </w:pPr>
            <w:r>
              <w:t>( 0.0f, 0.0f, 0.0f, Shape.a )</w:t>
            </w:r>
          </w:p>
        </w:tc>
        <w:tc>
          <w:tcPr>
            <w:tcW w:w="1057" w:type="dxa"/>
          </w:tcPr>
          <w:p w:rsidR="000A156F" w:rsidRDefault="00A9721F">
            <w:pPr>
              <w:pStyle w:val="TableBodyText"/>
            </w:pPr>
            <w:r>
              <w:t>Black</w:t>
            </w:r>
          </w:p>
        </w:tc>
        <w:tc>
          <w:tcPr>
            <w:tcW w:w="910" w:type="dxa"/>
          </w:tcPr>
          <w:p w:rsidR="000A156F" w:rsidRDefault="00A9721F">
            <w:pPr>
              <w:pStyle w:val="TableBodyText"/>
            </w:pPr>
            <w:r>
              <w:t>Shape</w:t>
            </w:r>
          </w:p>
        </w:tc>
        <w:tc>
          <w:tcPr>
            <w:tcW w:w="904" w:type="dxa"/>
          </w:tcPr>
          <w:p w:rsidR="000A156F" w:rsidRDefault="00A9721F">
            <w:pPr>
              <w:pStyle w:val="TableBodyText"/>
            </w:pPr>
            <w:r>
              <w:t>50</w:t>
            </w:r>
          </w:p>
        </w:tc>
        <w:tc>
          <w:tcPr>
            <w:tcW w:w="0" w:type="auto"/>
          </w:tcPr>
          <w:p w:rsidR="000A156F" w:rsidRDefault="00A9721F">
            <w:pPr>
              <w:pStyle w:val="TableBodyText"/>
            </w:pPr>
            <w:r>
              <w:t>No</w:t>
            </w:r>
          </w:p>
        </w:tc>
        <w:tc>
          <w:tcPr>
            <w:tcW w:w="0" w:type="auto"/>
          </w:tcPr>
          <w:p w:rsidR="000A156F" w:rsidRDefault="00A9721F">
            <w:pPr>
              <w:pStyle w:val="TableBodyText"/>
            </w:pPr>
            <w:r>
              <w:t>-4</w:t>
            </w:r>
          </w:p>
        </w:tc>
        <w:tc>
          <w:tcPr>
            <w:tcW w:w="0" w:type="auto"/>
          </w:tcPr>
          <w:p w:rsidR="000A156F" w:rsidRDefault="00A9721F">
            <w:pPr>
              <w:pStyle w:val="TableBodyText"/>
            </w:pPr>
            <w:r>
              <w:t>0</w:t>
            </w:r>
          </w:p>
        </w:tc>
        <w:tc>
          <w:tcPr>
            <w:tcW w:w="0" w:type="auto"/>
          </w:tcPr>
          <w:p w:rsidR="000A156F" w:rsidRDefault="00A9721F">
            <w:pPr>
              <w:pStyle w:val="TableBodyText"/>
            </w:pPr>
            <w:r>
              <w:t>No</w:t>
            </w:r>
          </w:p>
        </w:tc>
      </w:tr>
      <w:tr w:rsidR="000A156F" w:rsidTr="000A156F">
        <w:tc>
          <w:tcPr>
            <w:tcW w:w="0" w:type="auto"/>
          </w:tcPr>
          <w:p w:rsidR="000A156F" w:rsidRDefault="00A9721F">
            <w:pPr>
              <w:pStyle w:val="TableBodyText"/>
            </w:pPr>
            <w:r>
              <w:t>softMetal (Soft Metal)</w:t>
            </w:r>
          </w:p>
        </w:tc>
        <w:tc>
          <w:tcPr>
            <w:tcW w:w="0" w:type="auto"/>
          </w:tcPr>
          <w:p w:rsidR="000A156F" w:rsidRDefault="00A9721F">
            <w:pPr>
              <w:pStyle w:val="TableBodyText"/>
            </w:pPr>
            <w:r>
              <w:t xml:space="preserve">Lerp( Shape, White, </w:t>
            </w:r>
            <w:r>
              <w:lastRenderedPageBreak/>
              <w:t>0.5f )</w:t>
            </w:r>
          </w:p>
        </w:tc>
        <w:tc>
          <w:tcPr>
            <w:tcW w:w="994" w:type="dxa"/>
          </w:tcPr>
          <w:p w:rsidR="000A156F" w:rsidRDefault="00A9721F">
            <w:pPr>
              <w:pStyle w:val="TableBodyText"/>
            </w:pPr>
            <w:r>
              <w:lastRenderedPageBreak/>
              <w:t>Shape</w:t>
            </w:r>
          </w:p>
        </w:tc>
        <w:tc>
          <w:tcPr>
            <w:tcW w:w="1057" w:type="dxa"/>
          </w:tcPr>
          <w:p w:rsidR="000A156F" w:rsidRDefault="00A9721F">
            <w:pPr>
              <w:pStyle w:val="TableBodyText"/>
            </w:pPr>
            <w:r>
              <w:t>Shape</w:t>
            </w:r>
          </w:p>
        </w:tc>
        <w:tc>
          <w:tcPr>
            <w:tcW w:w="910" w:type="dxa"/>
          </w:tcPr>
          <w:p w:rsidR="000A156F" w:rsidRDefault="00A9721F">
            <w:pPr>
              <w:pStyle w:val="TableBodyText"/>
            </w:pPr>
            <w:r>
              <w:t>Black</w:t>
            </w:r>
          </w:p>
        </w:tc>
        <w:tc>
          <w:tcPr>
            <w:tcW w:w="904" w:type="dxa"/>
          </w:tcPr>
          <w:p w:rsidR="000A156F" w:rsidRDefault="00A9721F">
            <w:pPr>
              <w:pStyle w:val="TableBodyText"/>
            </w:pPr>
            <w:r>
              <w:t>8</w:t>
            </w:r>
          </w:p>
        </w:tc>
        <w:tc>
          <w:tcPr>
            <w:tcW w:w="0" w:type="auto"/>
          </w:tcPr>
          <w:p w:rsidR="000A156F" w:rsidRDefault="00A9721F">
            <w:pPr>
              <w:pStyle w:val="TableBodyText"/>
            </w:pPr>
            <w:r>
              <w:t>No</w:t>
            </w:r>
          </w:p>
        </w:tc>
        <w:tc>
          <w:tcPr>
            <w:tcW w:w="0" w:type="auto"/>
          </w:tcPr>
          <w:p w:rsidR="000A156F" w:rsidRDefault="00A9721F">
            <w:pPr>
              <w:pStyle w:val="TableBodyText"/>
            </w:pPr>
            <w:r>
              <w:t>0</w:t>
            </w:r>
          </w:p>
        </w:tc>
        <w:tc>
          <w:tcPr>
            <w:tcW w:w="0" w:type="auto"/>
          </w:tcPr>
          <w:p w:rsidR="000A156F" w:rsidRDefault="00A9721F">
            <w:pPr>
              <w:pStyle w:val="TableBodyText"/>
            </w:pPr>
            <w:r>
              <w:t>0</w:t>
            </w:r>
          </w:p>
        </w:tc>
        <w:tc>
          <w:tcPr>
            <w:tcW w:w="0" w:type="auto"/>
          </w:tcPr>
          <w:p w:rsidR="000A156F" w:rsidRDefault="00A9721F">
            <w:pPr>
              <w:pStyle w:val="TableBodyText"/>
            </w:pPr>
            <w:r>
              <w:t>Yes</w:t>
            </w:r>
          </w:p>
        </w:tc>
      </w:tr>
    </w:tbl>
    <w:p w:rsidR="000A156F" w:rsidRDefault="000A156F">
      <w:pPr>
        <w:spacing w:before="0" w:after="0"/>
      </w:pPr>
    </w:p>
    <w:p w:rsidR="000A156F" w:rsidRDefault="00A9721F">
      <w:pPr>
        <w:spacing w:before="0" w:after="0"/>
      </w:pPr>
      <w:r>
        <w:t>The following functions are referenced in the table above:</w:t>
      </w:r>
    </w:p>
    <w:p w:rsidR="000A156F" w:rsidRDefault="00A9721F">
      <w:pPr>
        <w:spacing w:before="0" w:after="0"/>
      </w:pPr>
      <w:r>
        <w:t xml:space="preserve">Shape = &lt;color selected by the </w:t>
      </w:r>
      <w:r>
        <w:t>user&gt;</w:t>
      </w:r>
    </w:p>
    <w:p w:rsidR="000A156F" w:rsidRDefault="00A9721F">
      <w:pPr>
        <w:spacing w:before="0" w:after="0"/>
      </w:pPr>
      <w:r>
        <w:t>Black = ( 0.0f, 0.0f, 0.0f, 1.0f )</w:t>
      </w:r>
    </w:p>
    <w:p w:rsidR="000A156F" w:rsidRDefault="00A9721F">
      <w:pPr>
        <w:spacing w:before="0" w:after="0"/>
      </w:pPr>
      <w:r>
        <w:t>White = ( 1.0f, 1.0f, 1.0f, 1.0f )</w:t>
      </w:r>
    </w:p>
    <w:p w:rsidR="000A156F" w:rsidRDefault="00A9721F">
      <w:pPr>
        <w:spacing w:before="0" w:after="0"/>
      </w:pPr>
      <w:r>
        <w:t xml:space="preserve"> </w:t>
      </w:r>
    </w:p>
    <w:p w:rsidR="000A156F" w:rsidRDefault="00A9721F">
      <w:pPr>
        <w:spacing w:before="0" w:after="0"/>
      </w:pPr>
      <w:r>
        <w:t>// Linear interpolation between two colors</w:t>
      </w:r>
    </w:p>
    <w:p w:rsidR="000A156F" w:rsidRDefault="00A9721F">
      <w:pPr>
        <w:spacing w:before="0" w:after="0"/>
      </w:pPr>
      <w:r>
        <w:t>Color Lerp( Color color0, Color color1, float t )</w:t>
      </w:r>
    </w:p>
    <w:p w:rsidR="000A156F" w:rsidRDefault="00A9721F">
      <w:pPr>
        <w:spacing w:before="0" w:after="0"/>
      </w:pPr>
      <w:r>
        <w:t>{</w:t>
      </w:r>
    </w:p>
    <w:p w:rsidR="000A156F" w:rsidRDefault="00A9721F">
      <w:pPr>
        <w:spacing w:before="0" w:after="0"/>
      </w:pPr>
      <w:r>
        <w:t xml:space="preserve">  return Color(</w:t>
      </w:r>
    </w:p>
    <w:p w:rsidR="000A156F" w:rsidRDefault="00A9721F">
      <w:pPr>
        <w:spacing w:before="0" w:after="0"/>
      </w:pPr>
      <w:r>
        <w:t xml:space="preserve">      color0.r * ( 1.0f - t ) + color1.r * t,</w:t>
      </w:r>
    </w:p>
    <w:p w:rsidR="000A156F" w:rsidRDefault="00A9721F">
      <w:pPr>
        <w:spacing w:before="0" w:after="0"/>
      </w:pPr>
      <w:r>
        <w:t xml:space="preserve">      color0.g * ( 1.0f - t ) + color1.g * t,</w:t>
      </w:r>
    </w:p>
    <w:p w:rsidR="000A156F" w:rsidRDefault="00A9721F">
      <w:pPr>
        <w:spacing w:before="0" w:after="0"/>
      </w:pPr>
      <w:r>
        <w:t xml:space="preserve">      color0.b * ( 1.0f - t ) + color1.b * t,</w:t>
      </w:r>
    </w:p>
    <w:p w:rsidR="000A156F" w:rsidRDefault="00A9721F">
      <w:pPr>
        <w:spacing w:before="0" w:after="0"/>
      </w:pPr>
      <w:r>
        <w:t xml:space="preserve">      color0.a * ( 1.0f - t ) + color1.a * t );</w:t>
      </w:r>
    </w:p>
    <w:p w:rsidR="000A156F" w:rsidRDefault="00A9721F">
      <w:pPr>
        <w:spacing w:before="0" w:after="0"/>
      </w:pPr>
      <w:r>
        <w:t>}</w:t>
      </w:r>
    </w:p>
    <w:p w:rsidR="000A156F" w:rsidRDefault="00A9721F">
      <w:pPr>
        <w:spacing w:before="0" w:after="0"/>
      </w:pPr>
      <w:r>
        <w:t xml:space="preserve"> </w:t>
      </w:r>
    </w:p>
    <w:p w:rsidR="000A156F" w:rsidRDefault="00A9721F">
      <w:pPr>
        <w:spacing w:before="0" w:after="0"/>
      </w:pPr>
      <w:r>
        <w:t>// Brighten/darken a color by some factor</w:t>
      </w:r>
    </w:p>
    <w:p w:rsidR="000A156F" w:rsidRDefault="00A9721F">
      <w:pPr>
        <w:spacing w:before="0" w:after="0"/>
      </w:pPr>
      <w:r>
        <w:t>Color Brighten( Color color, float factor )</w:t>
      </w:r>
    </w:p>
    <w:p w:rsidR="000A156F" w:rsidRDefault="00A9721F">
      <w:pPr>
        <w:spacing w:before="0" w:after="0"/>
      </w:pPr>
      <w:r>
        <w:t>{</w:t>
      </w:r>
    </w:p>
    <w:p w:rsidR="000A156F" w:rsidRDefault="00A9721F">
      <w:pPr>
        <w:spacing w:before="0" w:after="0"/>
      </w:pPr>
      <w:r>
        <w:t xml:space="preserve">   if( factor &gt; 0.0f )</w:t>
      </w:r>
    </w:p>
    <w:p w:rsidR="000A156F" w:rsidRDefault="00A9721F">
      <w:pPr>
        <w:spacing w:before="0" w:after="0"/>
      </w:pPr>
      <w:r>
        <w:t xml:space="preserve"> </w:t>
      </w:r>
      <w:r>
        <w:t xml:space="preserve">  {</w:t>
      </w:r>
    </w:p>
    <w:p w:rsidR="000A156F" w:rsidRDefault="00A9721F">
      <w:pPr>
        <w:spacing w:before="0" w:after="0"/>
      </w:pPr>
      <w:r>
        <w:t xml:space="preserve">      // So at 1.0  it's (component * 0) + 1</w:t>
      </w:r>
    </w:p>
    <w:p w:rsidR="000A156F" w:rsidRDefault="00A9721F">
      <w:pPr>
        <w:spacing w:before="0" w:after="0"/>
      </w:pPr>
      <w:r>
        <w:t xml:space="preserve">      return Color(</w:t>
      </w:r>
    </w:p>
    <w:p w:rsidR="000A156F" w:rsidRDefault="00A9721F">
      <w:pPr>
        <w:spacing w:before="0" w:after="0"/>
      </w:pPr>
      <w:r>
        <w:t xml:space="preserve">         color.r * ( 1.0f - factor ) + factor,</w:t>
      </w:r>
    </w:p>
    <w:p w:rsidR="000A156F" w:rsidRDefault="00A9721F">
      <w:pPr>
        <w:spacing w:before="0" w:after="0"/>
      </w:pPr>
      <w:r>
        <w:t xml:space="preserve">         color.g * ( 1.0f - factor ) + factor,</w:t>
      </w:r>
    </w:p>
    <w:p w:rsidR="000A156F" w:rsidRDefault="00A9721F">
      <w:pPr>
        <w:spacing w:before="0" w:after="0"/>
      </w:pPr>
      <w:r>
        <w:t xml:space="preserve">         color.b * ( 1.0f - factor ) + factor,</w:t>
      </w:r>
    </w:p>
    <w:p w:rsidR="000A156F" w:rsidRDefault="00A9721F">
      <w:pPr>
        <w:spacing w:before="0" w:after="0"/>
      </w:pPr>
      <w:r>
        <w:t xml:space="preserve">         color.a );</w:t>
      </w:r>
    </w:p>
    <w:p w:rsidR="000A156F" w:rsidRDefault="00A9721F">
      <w:pPr>
        <w:spacing w:before="0" w:after="0"/>
      </w:pPr>
      <w:r>
        <w:t xml:space="preserve">   }</w:t>
      </w:r>
    </w:p>
    <w:p w:rsidR="000A156F" w:rsidRDefault="00A9721F">
      <w:pPr>
        <w:spacing w:before="0" w:after="0"/>
      </w:pPr>
      <w:r>
        <w:t xml:space="preserve">   else // Darken</w:t>
      </w:r>
    </w:p>
    <w:p w:rsidR="000A156F" w:rsidRDefault="00A9721F">
      <w:pPr>
        <w:spacing w:before="0" w:after="0"/>
      </w:pPr>
      <w:r>
        <w:t xml:space="preserve">   </w:t>
      </w:r>
      <w:r>
        <w:t>{</w:t>
      </w:r>
    </w:p>
    <w:p w:rsidR="000A156F" w:rsidRDefault="00A9721F">
      <w:pPr>
        <w:spacing w:before="0" w:after="0"/>
      </w:pPr>
      <w:r>
        <w:t xml:space="preserve">      // So at -1.0 it's (component * 0)</w:t>
      </w:r>
    </w:p>
    <w:p w:rsidR="000A156F" w:rsidRDefault="00A9721F">
      <w:pPr>
        <w:spacing w:before="0" w:after="0"/>
      </w:pPr>
      <w:r>
        <w:t xml:space="preserve">      return Color(</w:t>
      </w:r>
    </w:p>
    <w:p w:rsidR="000A156F" w:rsidRDefault="00A9721F">
      <w:pPr>
        <w:spacing w:before="0" w:after="0"/>
      </w:pPr>
      <w:r>
        <w:t xml:space="preserve">         color.r * ( 1.0f + factor ),</w:t>
      </w:r>
    </w:p>
    <w:p w:rsidR="000A156F" w:rsidRDefault="00A9721F">
      <w:pPr>
        <w:spacing w:before="0" w:after="0"/>
      </w:pPr>
      <w:r>
        <w:t xml:space="preserve">         color.g * ( 1.0f + factor ),</w:t>
      </w:r>
    </w:p>
    <w:p w:rsidR="000A156F" w:rsidRDefault="00A9721F">
      <w:pPr>
        <w:spacing w:before="0" w:after="0"/>
      </w:pPr>
      <w:r>
        <w:t xml:space="preserve">         color.b * ( 1.0f + factor ),</w:t>
      </w:r>
    </w:p>
    <w:p w:rsidR="000A156F" w:rsidRDefault="00A9721F">
      <w:pPr>
        <w:spacing w:before="0" w:after="0"/>
      </w:pPr>
      <w:r>
        <w:t xml:space="preserve">         color.a );</w:t>
      </w:r>
    </w:p>
    <w:p w:rsidR="000A156F" w:rsidRDefault="00A9721F">
      <w:pPr>
        <w:spacing w:before="0" w:after="0"/>
      </w:pPr>
      <w:r>
        <w:t xml:space="preserve">   }</w:t>
      </w:r>
    </w:p>
    <w:p w:rsidR="000A156F" w:rsidRDefault="00A9721F">
      <w:pPr>
        <w:pStyle w:val="Definition-Field2"/>
        <w:ind w:hanging="360"/>
      </w:pPr>
      <w:r>
        <w:t>}</w:t>
      </w:r>
    </w:p>
    <w:p w:rsidR="000A156F" w:rsidRDefault="00A9721F">
      <w:pPr>
        <w:pStyle w:val="Heading3"/>
      </w:pPr>
      <w:bookmarkStart w:id="2691" w:name="section_38b259783d144fb390b7712215ed7ad1"/>
      <w:bookmarkStart w:id="2692" w:name="_Toc181684371"/>
      <w:r>
        <w:t>Part 1 Section 20.1.10.55, ST_ShapeID (Shape ID)</w:t>
      </w:r>
      <w:bookmarkEnd w:id="2691"/>
      <w:bookmarkEnd w:id="2692"/>
      <w:r>
        <w:fldChar w:fldCharType="begin"/>
      </w:r>
      <w:r>
        <w:instrText xml:space="preserve"> XE "ST_ShapeID (Shape ID)" </w:instrText>
      </w:r>
      <w:r>
        <w:fldChar w:fldCharType="end"/>
      </w:r>
    </w:p>
    <w:p w:rsidR="000A156F" w:rsidRDefault="00A9721F">
      <w:pPr>
        <w:pStyle w:val="Definition-Field"/>
      </w:pPr>
      <w:r>
        <w:t xml:space="preserve">a.   </w:t>
      </w:r>
      <w:r>
        <w:rPr>
          <w:i/>
        </w:rPr>
        <w:t>The standard does not limit the length of the value of the ST_ShapeID simple type.</w:t>
      </w:r>
    </w:p>
    <w:p w:rsidR="000A156F" w:rsidRDefault="00A9721F">
      <w:pPr>
        <w:pStyle w:val="Definition-Field2"/>
      </w:pPr>
      <w:r>
        <w:t>Office restricts the value of this simple type to be at most 255 characters.</w:t>
      </w:r>
    </w:p>
    <w:p w:rsidR="000A156F" w:rsidRDefault="00A9721F">
      <w:pPr>
        <w:pStyle w:val="Definition-Field"/>
      </w:pPr>
      <w:r>
        <w:t xml:space="preserve">b.   </w:t>
      </w:r>
      <w:r>
        <w:rPr>
          <w:i/>
        </w:rPr>
        <w:t xml:space="preserve">The standard states that the ST_ShapeID contents are a </w:t>
      </w:r>
      <w:r>
        <w:rPr>
          <w:i/>
        </w:rPr>
        <w:t>restriction of the XML Schema token datatype.</w:t>
      </w:r>
    </w:p>
    <w:p w:rsidR="000A156F" w:rsidRDefault="00A9721F">
      <w:r>
        <w:t>In Office, the ST_ShapeID simple type represents an object ID number.  An ID number has the following format characteristics:</w:t>
      </w:r>
    </w:p>
    <w:p w:rsidR="000A156F" w:rsidRDefault="00A9721F">
      <w:r>
        <w:lastRenderedPageBreak/>
        <w:t>Each ID number has a preface of “</w:t>
      </w:r>
      <w:r>
        <w:rPr>
          <w:rStyle w:val="InlineCode"/>
        </w:rPr>
        <w:t>_x0000_</w:t>
      </w:r>
      <w:r>
        <w:t>” followed by 1 character and a number, in t</w:t>
      </w:r>
      <w:r>
        <w:t>he general form _x0000_[c]&lt;num&gt;</w:t>
      </w:r>
    </w:p>
    <w:p w:rsidR="000A156F" w:rsidRDefault="00A9721F">
      <w:r>
        <w:t>The character [c] is:</w:t>
      </w:r>
    </w:p>
    <w:p w:rsidR="000A156F" w:rsidRDefault="00A9721F">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6">
        <w:r>
          <w:rPr>
            <w:rStyle w:val="Hyperlink"/>
          </w:rPr>
          <w:t>[ISO/IEC-29500-4]</w:t>
        </w:r>
      </w:hyperlink>
      <w:r>
        <w:t xml:space="preserve"> §19.1.2.20; shapetype (Shape Template)").</w:t>
      </w:r>
    </w:p>
    <w:p w:rsidR="000A156F" w:rsidRDefault="00A9721F">
      <w:pPr>
        <w:pStyle w:val="ListParagraph"/>
        <w:numPr>
          <w:ilvl w:val="0"/>
          <w:numId w:val="132"/>
        </w:numPr>
        <w:contextualSpacing/>
      </w:pPr>
      <w:r>
        <w:t>‘</w:t>
      </w:r>
      <w:r>
        <w:rPr>
          <w:rStyle w:val="InlineCode"/>
        </w:rPr>
        <w:t>s</w:t>
      </w:r>
      <w:r>
        <w:t>’ when used for a shape.</w:t>
      </w:r>
    </w:p>
    <w:p w:rsidR="000A156F" w:rsidRDefault="00A9721F">
      <w:pPr>
        <w:pStyle w:val="ListParagraph"/>
        <w:numPr>
          <w:ilvl w:val="0"/>
          <w:numId w:val="132"/>
        </w:numPr>
        <w:contextualSpacing/>
      </w:pPr>
      <w:r>
        <w:t>Sh</w:t>
      </w:r>
      <w:r>
        <w:t>ape IDs always start at 1025.</w:t>
      </w:r>
    </w:p>
    <w:p w:rsidR="000A156F" w:rsidRDefault="00A9721F">
      <w:pPr>
        <w:pStyle w:val="ListParagraph"/>
        <w:numPr>
          <w:ilvl w:val="0"/>
          <w:numId w:val="132"/>
        </w:numPr>
        <w:contextualSpacing/>
      </w:pPr>
      <w:r>
        <w:t>Shape IDs are clustered together, and each cluster has 1024 values. The first cluster ranges from 1025 to 2048.</w:t>
      </w:r>
    </w:p>
    <w:p w:rsidR="000A156F" w:rsidRDefault="00A9721F">
      <w:pPr>
        <w:pStyle w:val="ListParagraph"/>
        <w:numPr>
          <w:ilvl w:val="0"/>
          <w:numId w:val="132"/>
        </w:numPr>
        <w:contextualSpacing/>
      </w:pPr>
      <w:r>
        <w:t>Shape IDs within the same cluster may only exist in:</w:t>
      </w:r>
    </w:p>
    <w:p w:rsidR="000A156F" w:rsidRDefault="00A9721F">
      <w:pPr>
        <w:pStyle w:val="ListParagraph"/>
        <w:numPr>
          <w:ilvl w:val="0"/>
          <w:numId w:val="132"/>
        </w:numPr>
        <w:contextualSpacing/>
      </w:pPr>
      <w:r>
        <w:t>one worksheet, for Excel.</w:t>
      </w:r>
    </w:p>
    <w:p w:rsidR="000A156F" w:rsidRDefault="00A9721F">
      <w:pPr>
        <w:pStyle w:val="ListParagraph"/>
        <w:numPr>
          <w:ilvl w:val="0"/>
          <w:numId w:val="132"/>
        </w:numPr>
        <w:contextualSpacing/>
      </w:pPr>
      <w:r>
        <w:t>one slide, for PowerPoint.</w:t>
      </w:r>
    </w:p>
    <w:p w:rsidR="000A156F" w:rsidRDefault="00A9721F">
      <w:pPr>
        <w:pStyle w:val="ListParagraph"/>
        <w:numPr>
          <w:ilvl w:val="0"/>
          <w:numId w:val="132"/>
        </w:numPr>
        <w:contextualSpacing/>
      </w:pPr>
      <w:r>
        <w:t>one docu</w:t>
      </w:r>
      <w:r>
        <w:t>ment, for Word.</w:t>
      </w:r>
    </w:p>
    <w:p w:rsidR="000A156F" w:rsidRDefault="00A9721F">
      <w:pPr>
        <w:pStyle w:val="ListParagraph"/>
        <w:numPr>
          <w:ilvl w:val="0"/>
          <w:numId w:val="132"/>
        </w:numPr>
        <w:contextualSpacing/>
      </w:pPr>
      <w:r>
        <w:t>the header, for Word.</w:t>
      </w:r>
    </w:p>
    <w:p w:rsidR="000A156F" w:rsidRDefault="00A9721F">
      <w:pPr>
        <w:pStyle w:val="ListParagraph"/>
        <w:numPr>
          <w:ilvl w:val="0"/>
          <w:numId w:val="132"/>
        </w:numPr>
      </w:pPr>
      <w:r>
        <w:t>‘</w:t>
      </w:r>
      <w:r>
        <w:rPr>
          <w:rStyle w:val="InlineCode"/>
        </w:rPr>
        <w:t>s</w:t>
      </w:r>
      <w:r>
        <w:t>’ or ‘</w:t>
      </w:r>
      <w:r>
        <w:rPr>
          <w:rStyle w:val="InlineCode"/>
        </w:rPr>
        <w:t>i</w:t>
      </w:r>
      <w:r>
        <w:t>’ for shapes that are inline (not floating) in Word.</w:t>
      </w:r>
    </w:p>
    <w:p w:rsidR="000A156F" w:rsidRDefault="00A9721F">
      <w:r>
        <w:t xml:space="preserve">__&lt;num&gt; must be between </w:t>
      </w:r>
      <w:r>
        <w:rPr>
          <w:rStyle w:val="InlineCode"/>
        </w:rPr>
        <w:t>1</w:t>
      </w:r>
      <w:r>
        <w:t xml:space="preserve"> and </w:t>
      </w:r>
      <w:r>
        <w:rPr>
          <w:rStyle w:val="InlineCode"/>
        </w:rPr>
        <w:t>268435456</w:t>
      </w:r>
      <w:r>
        <w:t>.</w:t>
      </w:r>
    </w:p>
    <w:p w:rsidR="000A156F" w:rsidRDefault="00A9721F">
      <w:r>
        <w:t>An ID number should not contain any Numeric Character Reference (NCR) markup characters.</w:t>
      </w:r>
    </w:p>
    <w:p w:rsidR="000A156F" w:rsidRDefault="00A9721F">
      <w:r>
        <w:t xml:space="preserve">Office does not guarantee </w:t>
      </w:r>
      <w:r>
        <w:t>that the same Object ID number that is loaded is round tripped on file save.</w:t>
      </w:r>
    </w:p>
    <w:p w:rsidR="000A156F" w:rsidRDefault="00A9721F">
      <w:pPr>
        <w:pStyle w:val="Heading3"/>
      </w:pPr>
      <w:bookmarkStart w:id="2693" w:name="section_cbffdb4854864e6ba7fde43fc3fd5f63"/>
      <w:bookmarkStart w:id="2694" w:name="_Toc181684372"/>
      <w:r>
        <w:t>Part 1 Section 20.1.10.56, ST_ShapeType (Preset Shape Types)</w:t>
      </w:r>
      <w:bookmarkEnd w:id="2693"/>
      <w:bookmarkEnd w:id="2694"/>
      <w:r>
        <w:fldChar w:fldCharType="begin"/>
      </w:r>
      <w:r>
        <w:instrText xml:space="preserve"> XE "ST_ShapeType (Preset Shape Types)" </w:instrText>
      </w:r>
      <w:r>
        <w:fldChar w:fldCharType="end"/>
      </w:r>
    </w:p>
    <w:p w:rsidR="000A156F" w:rsidRDefault="00A9721F">
      <w:pPr>
        <w:pStyle w:val="Definition-Field"/>
      </w:pPr>
      <w:r>
        <w:t xml:space="preserve">a.   </w:t>
      </w:r>
      <w:r>
        <w:rPr>
          <w:i/>
        </w:rPr>
        <w:t>The standard does not define the calculate values for the wd3 and hd3 p</w:t>
      </w:r>
      <w:r>
        <w:rPr>
          <w:i/>
        </w:rPr>
        <w:t>reset guides.</w:t>
      </w:r>
    </w:p>
    <w:p w:rsidR="000A156F" w:rsidRDefault="00A9721F">
      <w:pPr>
        <w:pStyle w:val="Definition-Field2"/>
      </w:pPr>
      <w:r>
        <w:t>The wd3 preset guide represents 1/3 of the shape's width. The hd3 preset guide represents 1/3 of the shape's height.</w:t>
      </w:r>
    </w:p>
    <w:p w:rsidR="000A156F" w:rsidRDefault="00A9721F">
      <w:pPr>
        <w:pStyle w:val="Heading3"/>
      </w:pPr>
      <w:bookmarkStart w:id="2695" w:name="section_86ec6af2eea646a09d1eb2c640d0b129"/>
      <w:bookmarkStart w:id="2696" w:name="_Toc181684373"/>
      <w:r>
        <w:t>Part 1 Section 20.1.10.60, ST_TextAnchoringType (Text Anchoring Types)</w:t>
      </w:r>
      <w:bookmarkEnd w:id="2695"/>
      <w:bookmarkEnd w:id="2696"/>
      <w:r>
        <w:fldChar w:fldCharType="begin"/>
      </w:r>
      <w:r>
        <w:instrText xml:space="preserve"> XE "ST_TextAnchoringType (Text Anchoring Types)" </w:instrText>
      </w:r>
      <w:r>
        <w:fldChar w:fldCharType="end"/>
      </w:r>
    </w:p>
    <w:p w:rsidR="000A156F" w:rsidRDefault="00A9721F">
      <w:pPr>
        <w:pStyle w:val="Definition-Field"/>
      </w:pPr>
      <w:r>
        <w:t xml:space="preserve">a.   </w:t>
      </w:r>
      <w:r>
        <w:rPr>
          <w:i/>
        </w:rPr>
        <w:t>The standard states that dist is a valid value of the ST_TextAnchoringType simple type.</w:t>
      </w:r>
    </w:p>
    <w:p w:rsidR="000A156F" w:rsidRDefault="00A9721F">
      <w:pPr>
        <w:pStyle w:val="Definition-Field2"/>
      </w:pPr>
      <w:r>
        <w:t>Office does not allow this value on this simple type.</w:t>
      </w:r>
    </w:p>
    <w:p w:rsidR="000A156F" w:rsidRDefault="00A9721F">
      <w:pPr>
        <w:pStyle w:val="Definition-Field"/>
      </w:pPr>
      <w:r>
        <w:t xml:space="preserve">b.   </w:t>
      </w:r>
      <w:r>
        <w:rPr>
          <w:i/>
        </w:rPr>
        <w:t>The standard states that just is a valid value of the ST_TextAnchoringType simple type.</w:t>
      </w:r>
    </w:p>
    <w:p w:rsidR="000A156F" w:rsidRDefault="00A9721F">
      <w:pPr>
        <w:pStyle w:val="Definition-Field2"/>
      </w:pPr>
      <w:r>
        <w:t xml:space="preserve">Office does not </w:t>
      </w:r>
      <w:r>
        <w:t>allow this value on this simple type.</w:t>
      </w:r>
    </w:p>
    <w:p w:rsidR="000A156F" w:rsidRDefault="00A9721F">
      <w:pPr>
        <w:pStyle w:val="Heading3"/>
      </w:pPr>
      <w:bookmarkStart w:id="2697" w:name="section_4a566abf3bba434ebadc0ce4e9f21799"/>
      <w:bookmarkStart w:id="2698" w:name="_Toc181684374"/>
      <w:r>
        <w:t>Part 1 Section 20.1.10.61, ST_TextAutonumberScheme (Text Auto-number Schemes)</w:t>
      </w:r>
      <w:bookmarkEnd w:id="2697"/>
      <w:bookmarkEnd w:id="2698"/>
      <w:r>
        <w:fldChar w:fldCharType="begin"/>
      </w:r>
      <w:r>
        <w:instrText xml:space="preserve"> XE "ST_TextAutonumberScheme (Text Auto-number Schemes)" </w:instrText>
      </w:r>
      <w:r>
        <w:fldChar w:fldCharType="end"/>
      </w:r>
    </w:p>
    <w:p w:rsidR="000A156F" w:rsidRDefault="00A9721F">
      <w:pPr>
        <w:pStyle w:val="Definition-Field"/>
        <w:numPr>
          <w:ilvl w:val="0"/>
          <w:numId w:val="133"/>
        </w:numPr>
      </w:pPr>
      <w:r>
        <w:rPr>
          <w:i/>
        </w:rPr>
        <w:t xml:space="preserve">The standard does not clearly define TypeA and TypeC for the ea1ChsPlain and the </w:t>
      </w:r>
      <w:r>
        <w:rPr>
          <w:i/>
        </w:rPr>
        <w:t>ea1ChtPlain values of the ST_TextAutonumberScheme simple type.</w:t>
      </w:r>
    </w:p>
    <w:p w:rsidR="000A156F" w:rsidRDefault="00A9721F">
      <w:pPr>
        <w:pStyle w:val="Definition-Field2"/>
      </w:pPr>
      <w:r>
        <w:t xml:space="preserve">In Office, TypeA: The Chinese character “十” is used to represent 10. For example, 20 is represented as 二十 and 99 is represented as 九十九. </w:t>
      </w:r>
    </w:p>
    <w:p w:rsidR="000A156F" w:rsidRDefault="00A9721F">
      <w:pPr>
        <w:pStyle w:val="Definition-Field2"/>
      </w:pPr>
      <w:r>
        <w:t xml:space="preserve">TypeC: each digit is written out separately and zero is </w:t>
      </w:r>
      <w:r>
        <w:t>represented by the ideographic Chinese character "〇". For example, 20 is represented as 二〇, 99 is represented as 九九 and 102 is represented as 一〇二.</w:t>
      </w:r>
    </w:p>
    <w:p w:rsidR="000A156F" w:rsidRDefault="00A9721F">
      <w:pPr>
        <w:pStyle w:val="Heading3"/>
      </w:pPr>
      <w:bookmarkStart w:id="2699" w:name="section_9f732f2ba5514c679f81139fca7f5633"/>
      <w:bookmarkStart w:id="2700" w:name="_Toc181684375"/>
      <w:r>
        <w:t>Part 1 Section 20.1.10.64, ST_TextCapsType (Text Cap Types)</w:t>
      </w:r>
      <w:bookmarkEnd w:id="2699"/>
      <w:bookmarkEnd w:id="2700"/>
      <w:r>
        <w:fldChar w:fldCharType="begin"/>
      </w:r>
      <w:r>
        <w:instrText xml:space="preserve"> XE "ST_TextCapsType (Text Cap Types)" </w:instrText>
      </w:r>
      <w:r>
        <w:fldChar w:fldCharType="end"/>
      </w:r>
    </w:p>
    <w:p w:rsidR="000A156F" w:rsidRDefault="00A9721F">
      <w:pPr>
        <w:pStyle w:val="Definition-Field"/>
      </w:pPr>
      <w:r>
        <w:t xml:space="preserve">a.   </w:t>
      </w:r>
      <w:r>
        <w:rPr>
          <w:i/>
        </w:rPr>
        <w:t>The</w:t>
      </w:r>
      <w:r>
        <w:rPr>
          <w:i/>
        </w:rPr>
        <w:t xml:space="preserve"> standard states that the small value converts all letters to lower case.</w:t>
      </w:r>
    </w:p>
    <w:p w:rsidR="000A156F" w:rsidRDefault="00A9721F">
      <w:pPr>
        <w:pStyle w:val="Definition-Field2"/>
      </w:pPr>
      <w:r>
        <w:lastRenderedPageBreak/>
        <w:t>In Office, the small value converts all lower-case letters into upper-case letters of a smaller font size. The actual point size in the backing store is not affected.</w:t>
      </w:r>
    </w:p>
    <w:p w:rsidR="000A156F" w:rsidRDefault="00A9721F">
      <w:pPr>
        <w:pStyle w:val="Definition-Field"/>
      </w:pPr>
      <w:r>
        <w:t xml:space="preserve">b.   </w:t>
      </w:r>
      <w:r>
        <w:rPr>
          <w:i/>
        </w:rPr>
        <w:t>The standa</w:t>
      </w:r>
      <w:r>
        <w:rPr>
          <w:i/>
        </w:rPr>
        <w:t>rd does not clearly define the none value of the ST_TextCapsType simple type.</w:t>
      </w:r>
    </w:p>
    <w:p w:rsidR="000A156F" w:rsidRDefault="00A9721F">
      <w:pPr>
        <w:pStyle w:val="Definition-Field2"/>
      </w:pPr>
      <w:r>
        <w:t>Office uses this value to specify that no capitalization effects should be applied during text display and to override capitalization effects specified in styles.</w:t>
      </w:r>
    </w:p>
    <w:p w:rsidR="000A156F" w:rsidRDefault="00A9721F">
      <w:pPr>
        <w:pStyle w:val="Definition-Field"/>
      </w:pPr>
      <w:r>
        <w:t xml:space="preserve">c.   </w:t>
      </w:r>
      <w:r>
        <w:rPr>
          <w:i/>
        </w:rPr>
        <w:t>The standa</w:t>
      </w:r>
      <w:r>
        <w:rPr>
          <w:i/>
        </w:rPr>
        <w:t>rd states that the all value converts all letters to upper case.</w:t>
      </w:r>
    </w:p>
    <w:p w:rsidR="000A156F" w:rsidRDefault="00A9721F">
      <w:pPr>
        <w:pStyle w:val="Definition-Field2"/>
      </w:pPr>
      <w:r>
        <w:t>In Office, the all value causes text to be displayed as upper case and the original text remains unchanged in the file.</w:t>
      </w:r>
    </w:p>
    <w:p w:rsidR="000A156F" w:rsidRDefault="00A9721F">
      <w:pPr>
        <w:pStyle w:val="Heading3"/>
      </w:pPr>
      <w:bookmarkStart w:id="2701" w:name="section_aafaec4651ce4ded843c29edc8b74740"/>
      <w:bookmarkStart w:id="2702" w:name="_Toc181684376"/>
      <w:r>
        <w:t>Part 1 Section 20.1.10.67, ST_TextFontScalePercentOrPercentString (Text</w:t>
      </w:r>
      <w:r>
        <w:t xml:space="preserve"> Font Scale Percentage)</w:t>
      </w:r>
      <w:bookmarkEnd w:id="2701"/>
      <w:bookmarkEnd w:id="2702"/>
      <w:r>
        <w:fldChar w:fldCharType="begin"/>
      </w:r>
      <w:r>
        <w:instrText xml:space="preserve"> XE "ST_TextFontScalePercentOrPercentString (Text Font Scale Percentage)" </w:instrText>
      </w:r>
      <w:r>
        <w:fldChar w:fldCharType="end"/>
      </w:r>
    </w:p>
    <w:p w:rsidR="000A156F" w:rsidRDefault="00A9721F">
      <w:pPr>
        <w:pStyle w:val="Definition-Field"/>
      </w:pPr>
      <w:r>
        <w:t xml:space="preserve">a.   </w:t>
      </w:r>
      <w:r>
        <w:rPr>
          <w:i/>
        </w:rPr>
        <w:t>The standard states that ST_TextFontScalePercentOrPercentString is read and written as a percent with a trailing percent sign.</w:t>
      </w:r>
    </w:p>
    <w:p w:rsidR="000A156F" w:rsidRDefault="00A9721F">
      <w:pPr>
        <w:pStyle w:val="Definition-Field2"/>
      </w:pPr>
      <w:r>
        <w:t>Office will read percent</w:t>
      </w:r>
      <w:r>
        <w:t>ages formatted with a trailing percent sign or formatted as 1000th of a percent without a trailing percent sign, but only write percentages as 1000th's of a percent without a trailing percent sign.</w:t>
      </w:r>
    </w:p>
    <w:p w:rsidR="000A156F" w:rsidRDefault="00A9721F">
      <w:pPr>
        <w:pStyle w:val="Heading3"/>
      </w:pPr>
      <w:bookmarkStart w:id="2703" w:name="section_7669315451cf49229cff21cafdebf357"/>
      <w:bookmarkStart w:id="2704" w:name="_Toc181684377"/>
      <w:r>
        <w:t>Part 1 Section 20.1.10.73, ST_TextNonNegativePoint (Text N</w:t>
      </w:r>
      <w:r>
        <w:t>on-Negative Point)</w:t>
      </w:r>
      <w:bookmarkEnd w:id="2703"/>
      <w:bookmarkEnd w:id="2704"/>
      <w:r>
        <w:fldChar w:fldCharType="begin"/>
      </w:r>
      <w:r>
        <w:instrText xml:space="preserve"> XE "ST_TextNonNegativePoint (Text Non-Negative Point)" </w:instrText>
      </w:r>
      <w:r>
        <w:fldChar w:fldCharType="end"/>
      </w:r>
    </w:p>
    <w:p w:rsidR="000A156F" w:rsidRDefault="00A9721F">
      <w:pPr>
        <w:pStyle w:val="Definition-Field"/>
      </w:pPr>
      <w:r>
        <w:t xml:space="preserve">a.   </w:t>
      </w:r>
      <w:r>
        <w:rPr>
          <w:i/>
        </w:rPr>
        <w:t>The standard states that the ST_TextNonNegativePoint simple type specifies a non-negative font size in hundredths of a point.</w:t>
      </w:r>
    </w:p>
    <w:p w:rsidR="000A156F" w:rsidRDefault="00A9721F">
      <w:pPr>
        <w:pStyle w:val="Definition-Field2"/>
      </w:pPr>
      <w:r>
        <w:t>Office uses this type to store a non-negative si</w:t>
      </w:r>
      <w:r>
        <w:t>ze in hundredths of a point.</w:t>
      </w:r>
    </w:p>
    <w:p w:rsidR="000A156F" w:rsidRDefault="00A9721F">
      <w:pPr>
        <w:pStyle w:val="Heading3"/>
      </w:pPr>
      <w:bookmarkStart w:id="2705" w:name="section_0db6349e9b1d4218af884d44d4a78572"/>
      <w:bookmarkStart w:id="2706" w:name="_Toc181684378"/>
      <w:r>
        <w:t>Part 1 Section 20.1.10.74, ST_TextPoint (Text Point)</w:t>
      </w:r>
      <w:bookmarkEnd w:id="2705"/>
      <w:bookmarkEnd w:id="2706"/>
      <w:r>
        <w:fldChar w:fldCharType="begin"/>
      </w:r>
      <w:r>
        <w:instrText xml:space="preserve"> XE "ST_TextPoint (Text Point)" </w:instrText>
      </w:r>
      <w:r>
        <w:fldChar w:fldCharType="end"/>
      </w:r>
    </w:p>
    <w:p w:rsidR="000A156F" w:rsidRDefault="00A9721F">
      <w:pPr>
        <w:pStyle w:val="Definition-Field"/>
      </w:pPr>
      <w:r>
        <w:t xml:space="preserve">a.   </w:t>
      </w:r>
      <w:r>
        <w:rPr>
          <w:i/>
        </w:rPr>
        <w:t>The standard states that the ST_TextPoint simple type specifies a font size in hundredths of a point.</w:t>
      </w:r>
    </w:p>
    <w:p w:rsidR="000A156F" w:rsidRDefault="00A9721F">
      <w:pPr>
        <w:pStyle w:val="Definition-Field2"/>
      </w:pPr>
      <w:r>
        <w:t>Office uses this simple type to s</w:t>
      </w:r>
      <w:r>
        <w:t>tore a size in hundredths of a point.</w:t>
      </w:r>
    </w:p>
    <w:p w:rsidR="000A156F" w:rsidRDefault="00A9721F">
      <w:pPr>
        <w:pStyle w:val="Definition-Field"/>
      </w:pPr>
      <w:r>
        <w:t xml:space="preserve">b.   </w:t>
      </w:r>
      <w:r>
        <w:rPr>
          <w:i/>
        </w:rPr>
        <w:t>The standard states that ST_TextPoint is read and written as a length followed by a unit, or as hundredths of a point with no unit present.</w:t>
      </w:r>
    </w:p>
    <w:p w:rsidR="000A156F" w:rsidRDefault="00A9721F">
      <w:pPr>
        <w:pStyle w:val="Definition-Field2"/>
      </w:pPr>
      <w:r>
        <w:t>Office will read either a length followed by a unit or hundredths of a po</w:t>
      </w:r>
      <w:r>
        <w:t>int with no unit present, but will write only as hundredths of a point when no units are present.</w:t>
      </w:r>
    </w:p>
    <w:p w:rsidR="000A156F" w:rsidRDefault="00A9721F">
      <w:pPr>
        <w:pStyle w:val="Heading3"/>
      </w:pPr>
      <w:bookmarkStart w:id="2707" w:name="section_1649147df3934898989d2ec846845f18"/>
      <w:bookmarkStart w:id="2708" w:name="_Toc181684379"/>
      <w:r>
        <w:t>Part 1 Section 20.1.10.76, ST_TextShapeType (Preset Text Shape Types)</w:t>
      </w:r>
      <w:bookmarkEnd w:id="2707"/>
      <w:bookmarkEnd w:id="2708"/>
      <w:r>
        <w:fldChar w:fldCharType="begin"/>
      </w:r>
      <w:r>
        <w:instrText xml:space="preserve"> XE "ST_TextShapeType (Preset Text Shape Types)" </w:instrText>
      </w:r>
      <w:r>
        <w:fldChar w:fldCharType="end"/>
      </w:r>
    </w:p>
    <w:p w:rsidR="000A156F" w:rsidRDefault="00A9721F">
      <w:pPr>
        <w:pStyle w:val="Definition-Field"/>
      </w:pPr>
      <w:r>
        <w:t xml:space="preserve">a.   </w:t>
      </w:r>
      <w:r>
        <w:rPr>
          <w:i/>
        </w:rPr>
        <w:t>The standard does not provide co</w:t>
      </w:r>
      <w:r>
        <w:rPr>
          <w:i/>
        </w:rPr>
        <w:t>rresponding illustrations for preset text shape types textCircle and textDeflateTop.</w:t>
      </w:r>
    </w:p>
    <w:p w:rsidR="000A156F" w:rsidRDefault="00A9721F">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textCircle</w:t>
            </w:r>
            <w:r>
              <w:t xml:space="preserve"> (Circle Text Shape)</w:t>
            </w:r>
          </w:p>
        </w:tc>
        <w:tc>
          <w:tcPr>
            <w:tcW w:w="0" w:type="auto"/>
            <w:vAlign w:val="center"/>
          </w:tcPr>
          <w:p w:rsidR="000A156F" w:rsidRDefault="00A9721F">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7"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0A156F" w:rsidRDefault="00A9721F">
            <w:pPr>
              <w:pStyle w:val="TableBodyText"/>
            </w:pPr>
            <w:r>
              <w:t>Specifies a text shape that shall match the normative shape shown here.</w:t>
            </w:r>
          </w:p>
        </w:tc>
      </w:tr>
      <w:tr w:rsidR="000A156F" w:rsidTr="000A156F">
        <w:tc>
          <w:tcPr>
            <w:tcW w:w="0" w:type="auto"/>
            <w:vAlign w:val="center"/>
          </w:tcPr>
          <w:p w:rsidR="000A156F" w:rsidRDefault="00A9721F">
            <w:pPr>
              <w:pStyle w:val="TableBodyText"/>
            </w:pPr>
            <w:r>
              <w:rPr>
                <w:b/>
              </w:rPr>
              <w:t>textDeflateTop</w:t>
            </w:r>
            <w:r>
              <w:t xml:space="preserve"> (Top Deflate Text Shape)</w:t>
            </w:r>
          </w:p>
        </w:tc>
        <w:tc>
          <w:tcPr>
            <w:tcW w:w="0" w:type="auto"/>
            <w:vAlign w:val="center"/>
          </w:tcPr>
          <w:p w:rsidR="000A156F" w:rsidRDefault="00A9721F">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8"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0A156F" w:rsidRDefault="00A9721F">
            <w:pPr>
              <w:pStyle w:val="TableBodyText"/>
            </w:pPr>
            <w:r>
              <w:t>Specifies a text shape that shall match the normative shape shown here.</w:t>
            </w:r>
          </w:p>
        </w:tc>
      </w:tr>
    </w:tbl>
    <w:p w:rsidR="000A156F" w:rsidRDefault="000A156F"/>
    <w:p w:rsidR="000A156F" w:rsidRDefault="00A9721F">
      <w:pPr>
        <w:pStyle w:val="Definition-Field"/>
      </w:pPr>
      <w:r>
        <w:t xml:space="preserve">b.   </w:t>
      </w:r>
      <w:r>
        <w:rPr>
          <w:i/>
        </w:rPr>
        <w:t>The standard does not define the calcul</w:t>
      </w:r>
      <w:r>
        <w:rPr>
          <w:i/>
        </w:rPr>
        <w:t>ate values for the wd3 and hd3 preset guides.</w:t>
      </w:r>
    </w:p>
    <w:p w:rsidR="000A156F" w:rsidRDefault="00A9721F">
      <w:pPr>
        <w:pStyle w:val="Definition-Field2"/>
      </w:pPr>
      <w:r>
        <w:t>The wd3 preset guide represents 1/3 of the shape's width. The hd3 preset guide represents 1/3 of the shape's height.</w:t>
      </w:r>
    </w:p>
    <w:p w:rsidR="000A156F" w:rsidRDefault="00A9721F">
      <w:pPr>
        <w:pStyle w:val="Heading3"/>
      </w:pPr>
      <w:bookmarkStart w:id="2709" w:name="section_c4a93e8e6a084e53b18375282751b959"/>
      <w:bookmarkStart w:id="2710" w:name="_Toc181684380"/>
      <w:r>
        <w:t>Part 1 Section 20.1.10.77, ST_TextSpacingPercentOrPercentString (Text Spacing Percent)</w:t>
      </w:r>
      <w:bookmarkEnd w:id="2709"/>
      <w:bookmarkEnd w:id="2710"/>
      <w:r>
        <w:fldChar w:fldCharType="begin"/>
      </w:r>
      <w:r>
        <w:instrText xml:space="preserve"> XE "ST_TextSpacingPercentOrPercentString (Text Spacing Percent)" </w:instrText>
      </w:r>
      <w:r>
        <w:fldChar w:fldCharType="end"/>
      </w:r>
    </w:p>
    <w:p w:rsidR="000A156F" w:rsidRDefault="00A9721F">
      <w:pPr>
        <w:pStyle w:val="Definition-Field"/>
      </w:pPr>
      <w:r>
        <w:t xml:space="preserve">a.   </w:t>
      </w:r>
      <w:r>
        <w:rPr>
          <w:i/>
        </w:rPr>
        <w:t>The standard states that ST_TextSpacingPercentOrPercentString is read and written as a percent with a trailing percent sign.</w:t>
      </w:r>
    </w:p>
    <w:p w:rsidR="000A156F" w:rsidRDefault="00A9721F">
      <w:pPr>
        <w:pStyle w:val="Definition-Field2"/>
      </w:pPr>
      <w:r>
        <w:t xml:space="preserve">Office will read percentages formatted with a trailing </w:t>
      </w:r>
      <w:r>
        <w:t>percent sign or formatted as 1000th of a percent without a trailing percent sign, but only write percentages as 1000th's of a percent without a trailing percent sign.</w:t>
      </w:r>
    </w:p>
    <w:p w:rsidR="000A156F" w:rsidRDefault="00A9721F">
      <w:pPr>
        <w:pStyle w:val="Heading3"/>
      </w:pPr>
      <w:bookmarkStart w:id="2711" w:name="section_b6aeb5af90ac41dc8964f7ba99ed5181"/>
      <w:bookmarkStart w:id="2712" w:name="_Toc181684381"/>
      <w:r>
        <w:t>Part 1 Section 20.1.10.78, ST_TextSpacingPoint (Text Spacing Point)</w:t>
      </w:r>
      <w:bookmarkEnd w:id="2711"/>
      <w:bookmarkEnd w:id="2712"/>
      <w:r>
        <w:fldChar w:fldCharType="begin"/>
      </w:r>
      <w:r>
        <w:instrText xml:space="preserve"> XE "ST_TextSpacingPoi</w:instrText>
      </w:r>
      <w:r>
        <w:instrText xml:space="preserve">nt (Text Spacing Point)" </w:instrText>
      </w:r>
      <w:r>
        <w:fldChar w:fldCharType="end"/>
      </w:r>
    </w:p>
    <w:p w:rsidR="000A156F" w:rsidRDefault="00A9721F">
      <w:pPr>
        <w:pStyle w:val="Definition-Field"/>
      </w:pPr>
      <w:r>
        <w:t xml:space="preserve">a.   </w:t>
      </w:r>
      <w:r>
        <w:rPr>
          <w:i/>
        </w:rPr>
        <w:t>The standard states that the ST_TextSpacingPoint simple type specifies the text spacing that will be used in terms of font point size.</w:t>
      </w:r>
    </w:p>
    <w:p w:rsidR="000A156F" w:rsidRDefault="00A9721F">
      <w:pPr>
        <w:pStyle w:val="Definition-Field2"/>
      </w:pPr>
      <w:r>
        <w:t>Office uses this simple type to specify the size, in hundredths of a point, to be used f</w:t>
      </w:r>
      <w:r>
        <w:t>or text spacing.</w:t>
      </w:r>
    </w:p>
    <w:p w:rsidR="000A156F" w:rsidRDefault="00A9721F">
      <w:pPr>
        <w:pStyle w:val="Heading3"/>
      </w:pPr>
      <w:bookmarkStart w:id="2713" w:name="section_94ad7a5d0d0a4e7c926e3dca76cde068"/>
      <w:bookmarkStart w:id="2714" w:name="_Toc181684382"/>
      <w:r>
        <w:t>Part 1 Section 20.1.10.82, ST_TextUnderlineType (Text Underline Types)</w:t>
      </w:r>
      <w:bookmarkEnd w:id="2713"/>
      <w:bookmarkEnd w:id="2714"/>
      <w:r>
        <w:fldChar w:fldCharType="begin"/>
      </w:r>
      <w:r>
        <w:instrText xml:space="preserve"> XE "ST_TextUnderlineType (Text Underline Types)" </w:instrText>
      </w:r>
      <w:r>
        <w:fldChar w:fldCharType="end"/>
      </w:r>
    </w:p>
    <w:p w:rsidR="000A156F" w:rsidRDefault="00A9721F">
      <w:pPr>
        <w:pStyle w:val="Definition-Field"/>
      </w:pPr>
      <w:r>
        <w:t xml:space="preserve">a.   </w:t>
      </w:r>
      <w:r>
        <w:rPr>
          <w:i/>
        </w:rPr>
        <w:t>The standard states that the words underline type will underline only the words and not the spaces in a text ru</w:t>
      </w:r>
      <w:r>
        <w:rPr>
          <w:i/>
        </w:rPr>
        <w:t>n.</w:t>
      </w:r>
    </w:p>
    <w:p w:rsidR="000A156F" w:rsidRDefault="00A9721F">
      <w:pPr>
        <w:pStyle w:val="Definition-Field2"/>
      </w:pPr>
      <w:r>
        <w:t>Office does not support the words underline type. When loaded, Office displays this as a single underline.</w:t>
      </w:r>
    </w:p>
    <w:p w:rsidR="000A156F" w:rsidRDefault="00A9721F">
      <w:pPr>
        <w:pStyle w:val="Heading3"/>
      </w:pPr>
      <w:bookmarkStart w:id="2715" w:name="section_dcb46a27897049cb9106c3c689606092"/>
      <w:bookmarkStart w:id="2716" w:name="_Toc181684383"/>
      <w:r>
        <w:lastRenderedPageBreak/>
        <w:t>Part 1 Section 20.1.10.85, ST_TextWrappingType (Text Wrapping Types)</w:t>
      </w:r>
      <w:bookmarkEnd w:id="2715"/>
      <w:bookmarkEnd w:id="2716"/>
      <w:r>
        <w:fldChar w:fldCharType="begin"/>
      </w:r>
      <w:r>
        <w:instrText xml:space="preserve"> XE "ST_TextWrappingType (Text Wrapping Types)" </w:instrText>
      </w:r>
      <w:r>
        <w:fldChar w:fldCharType="end"/>
      </w:r>
    </w:p>
    <w:p w:rsidR="000A156F" w:rsidRDefault="00A9721F">
      <w:pPr>
        <w:pStyle w:val="Default"/>
        <w:numPr>
          <w:ilvl w:val="0"/>
          <w:numId w:val="134"/>
        </w:numPr>
        <w:rPr>
          <w:i/>
        </w:rPr>
      </w:pPr>
      <w:r>
        <w:rPr>
          <w:i/>
        </w:rPr>
        <w:t>The standard states that fo</w:t>
      </w:r>
      <w:r>
        <w:rPr>
          <w:i/>
        </w:rPr>
        <w:t xml:space="preserve">r text wrapping type enum value none, “words spill out without paying attention to the bounding rectangle bodies.” </w:t>
      </w:r>
    </w:p>
    <w:p w:rsidR="000A156F" w:rsidRDefault="00A9721F">
      <w:pPr>
        <w:ind w:left="360"/>
      </w:pPr>
      <w:r>
        <w:t>Word allows the text to flow to the maximum width of the shape’s anchor’s parent container and then draws any bounding boxes around the text</w:t>
      </w:r>
      <w:r>
        <w:t xml:space="preserve">. For example, a parent container can be, but is not limited to, a page column or a page. </w:t>
      </w:r>
    </w:p>
    <w:p w:rsidR="000A156F" w:rsidRDefault="00A9721F">
      <w:pPr>
        <w:pStyle w:val="Heading3"/>
      </w:pPr>
      <w:bookmarkStart w:id="2717" w:name="section_7a3dbb2768c744d2bf351eb7a2490a01"/>
      <w:bookmarkStart w:id="2718" w:name="_Toc181684384"/>
      <w:r>
        <w:t>Part 1 Section 20.2.2.1, blipFill (Picture Fill)</w:t>
      </w:r>
      <w:bookmarkEnd w:id="2717"/>
      <w:bookmarkEnd w:id="2718"/>
      <w:r>
        <w:fldChar w:fldCharType="begin"/>
      </w:r>
      <w:r>
        <w:instrText xml:space="preserve"> XE "blipFill (Picture Fill)" </w:instrText>
      </w:r>
      <w:r>
        <w:fldChar w:fldCharType="end"/>
      </w:r>
    </w:p>
    <w:p w:rsidR="000A156F" w:rsidRDefault="00A9721F">
      <w:pPr>
        <w:pStyle w:val="Definition-Field2"/>
      </w:pPr>
      <w:r>
        <w:rPr>
          <w:i/>
        </w:rPr>
        <w:t>For additional notes that apply to this portion of the standard, please see the note</w:t>
      </w:r>
      <w:r>
        <w:rPr>
          <w:i/>
        </w:rPr>
        <w:t xml:space="preserve">s for </w:t>
      </w:r>
      <w:hyperlink w:anchor="Section_0329492820b44cdd9ecdac4d63dc4674">
        <w:r>
          <w:rPr>
            <w:rStyle w:val="Hyperlink"/>
          </w:rPr>
          <w:t>blipFill, §21.3.2.2(a)</w:t>
        </w:r>
      </w:hyperlink>
      <w:r>
        <w:rPr>
          <w:i/>
        </w:rPr>
        <w:t>.</w:t>
      </w:r>
    </w:p>
    <w:p w:rsidR="000A156F" w:rsidRDefault="00A9721F">
      <w:pPr>
        <w:pStyle w:val="Heading3"/>
      </w:pPr>
      <w:bookmarkStart w:id="2719" w:name="section_45cb497a7eb64efcb9e97b4aa967b7ea"/>
      <w:bookmarkStart w:id="2720" w:name="_Toc181684385"/>
      <w:r>
        <w:t>Part 1 Section 20.2.2.6, spPr (Shape Properties)</w:t>
      </w:r>
      <w:bookmarkEnd w:id="2719"/>
      <w:bookmarkEnd w:id="2720"/>
      <w:r>
        <w:fldChar w:fldCharType="begin"/>
      </w:r>
      <w:r>
        <w:instrText xml:space="preserve"> XE "spPr (Shape Properties)" </w:instrText>
      </w:r>
      <w:r>
        <w:fldChar w:fldCharType="end"/>
      </w:r>
    </w:p>
    <w:p w:rsidR="000A156F" w:rsidRDefault="00A9721F">
      <w:pPr>
        <w:pStyle w:val="Definition-Field2"/>
      </w:pPr>
      <w:r>
        <w:rPr>
          <w:i/>
        </w:rPr>
        <w:t>For additional notes that apply to this portion of the standard, please see the no</w:t>
      </w:r>
      <w:r>
        <w:rPr>
          <w:i/>
        </w:rPr>
        <w:t xml:space="preserve">tes for </w:t>
      </w:r>
      <w:hyperlink w:anchor="Section_a10c455e7a6e44c5bf8cfb7c2b3e2eac">
        <w:r>
          <w:rPr>
            <w:rStyle w:val="Hyperlink"/>
          </w:rPr>
          <w:t>spPr, §20.5.2.30(a-c)</w:t>
        </w:r>
      </w:hyperlink>
      <w:r>
        <w:rPr>
          <w:i/>
        </w:rPr>
        <w:t>.</w:t>
      </w:r>
    </w:p>
    <w:p w:rsidR="000A156F" w:rsidRDefault="00A9721F">
      <w:pPr>
        <w:pStyle w:val="Heading3"/>
      </w:pPr>
      <w:bookmarkStart w:id="2721" w:name="section_21286105b705441b9cc5d423121ec06a"/>
      <w:bookmarkStart w:id="2722" w:name="_Toc181684386"/>
      <w:r>
        <w:t>Part 1 Section 20.4.2.3, anchor (Anchor for Floating DrawingML Object)</w:t>
      </w:r>
      <w:bookmarkEnd w:id="2721"/>
      <w:bookmarkEnd w:id="2722"/>
      <w:r>
        <w:fldChar w:fldCharType="begin"/>
      </w:r>
      <w:r>
        <w:instrText xml:space="preserve"> XE "anchor (Anchor for Floating DrawingML Object)" </w:instrText>
      </w:r>
      <w:r>
        <w:fldChar w:fldCharType="end"/>
      </w:r>
    </w:p>
    <w:p w:rsidR="000A156F" w:rsidRDefault="00A9721F">
      <w:pPr>
        <w:pStyle w:val="Definition-Field"/>
      </w:pPr>
      <w:r>
        <w:t xml:space="preserve">a.   </w:t>
      </w:r>
      <w:r>
        <w:rPr>
          <w:i/>
        </w:rPr>
        <w:t>The standard states that when th</w:t>
      </w:r>
      <w:r>
        <w:rPr>
          <w:i/>
        </w:rPr>
        <w:t>e hidden attribute is true the object is not displayed.</w:t>
      </w:r>
    </w:p>
    <w:p w:rsidR="000A156F" w:rsidRDefault="00A9721F">
      <w:pPr>
        <w:pStyle w:val="Definition-Field2"/>
      </w:pPr>
      <w:r>
        <w:t>Word does not support this attribute and its value is not retained on save.</w:t>
      </w:r>
    </w:p>
    <w:p w:rsidR="000A156F" w:rsidRDefault="00A9721F">
      <w:pPr>
        <w:pStyle w:val="Heading3"/>
      </w:pPr>
      <w:bookmarkStart w:id="2723" w:name="section_e7d7aeab16eb4963933839953b8fee37"/>
      <w:bookmarkStart w:id="2724" w:name="_Toc181684387"/>
      <w:r>
        <w:t>Part 1 Section 20.4.2.5, docPr (Drawing Object Non-Visual Properties)</w:t>
      </w:r>
      <w:bookmarkEnd w:id="2723"/>
      <w:bookmarkEnd w:id="2724"/>
      <w:r>
        <w:fldChar w:fldCharType="begin"/>
      </w:r>
      <w:r>
        <w:instrText xml:space="preserve"> XE "docPr (Drawing Object Non-Visual Properties)" </w:instrText>
      </w:r>
      <w:r>
        <w:fldChar w:fldCharType="end"/>
      </w:r>
    </w:p>
    <w:p w:rsidR="000A156F" w:rsidRDefault="00A9721F">
      <w:pPr>
        <w:pStyle w:val="Definition-Field"/>
      </w:pPr>
      <w:r>
        <w:t>a</w:t>
      </w:r>
      <w:r>
        <w:t xml:space="preserve">.   </w:t>
      </w:r>
      <w:r>
        <w:rPr>
          <w:i/>
        </w:rPr>
        <w:t>The standard states that 0 is a valid value for the id attribute.</w:t>
      </w:r>
    </w:p>
    <w:p w:rsidR="000A156F" w:rsidRDefault="00A9721F">
      <w:pPr>
        <w:pStyle w:val="Definition-Field2"/>
      </w:pPr>
      <w:r>
        <w:t>Word will fail to load a file if the id attribute is a value of 0.</w:t>
      </w:r>
    </w:p>
    <w:p w:rsidR="000A156F" w:rsidRDefault="00A9721F">
      <w:pPr>
        <w:pStyle w:val="Definition-Field"/>
      </w:pPr>
      <w:r>
        <w:t xml:space="preserve">b.   </w:t>
      </w:r>
      <w:r>
        <w:rPr>
          <w:i/>
        </w:rPr>
        <w:t>The standard states that the id attribute is an unsigned integer.</w:t>
      </w:r>
    </w:p>
    <w:p w:rsidR="000A156F" w:rsidRDefault="00A9721F">
      <w:pPr>
        <w:pStyle w:val="Definition-Field2"/>
      </w:pPr>
      <w:r>
        <w:t>Word will fail to load a file if the id attribut</w:t>
      </w:r>
      <w:r>
        <w:t>e is a value is greater than 2147483646 (the largest 32-bit signed integer minus one).</w:t>
      </w:r>
    </w:p>
    <w:p w:rsidR="000A156F" w:rsidRDefault="00A9721F">
      <w:pPr>
        <w:pStyle w:val="Heading3"/>
      </w:pPr>
      <w:bookmarkStart w:id="2725" w:name="section_f1c2e75590484bdb96b5a6bf36caafcf"/>
      <w:bookmarkStart w:id="2726" w:name="_Toc181684388"/>
      <w:r>
        <w:t>Part 1 Section 20.4.2.6, effectExtent (Object Extents Including Effects)</w:t>
      </w:r>
      <w:bookmarkEnd w:id="2725"/>
      <w:bookmarkEnd w:id="2726"/>
      <w:r>
        <w:fldChar w:fldCharType="begin"/>
      </w:r>
      <w:r>
        <w:instrText xml:space="preserve"> XE "effectExtent (Object Extents Including Effects)" </w:instrText>
      </w:r>
      <w:r>
        <w:fldChar w:fldCharType="end"/>
      </w:r>
    </w:p>
    <w:p w:rsidR="000A156F" w:rsidRDefault="00A9721F">
      <w:pPr>
        <w:pStyle w:val="Definition-Field"/>
      </w:pPr>
      <w:r>
        <w:t xml:space="preserve">a.   </w:t>
      </w:r>
      <w:r>
        <w:rPr>
          <w:i/>
        </w:rPr>
        <w:t xml:space="preserve">The standard states that the l, r, </w:t>
      </w:r>
      <w:r>
        <w:rPr>
          <w:i/>
        </w:rPr>
        <w:t>and t attributes specify the additional length that shall be added to the bottom edge of the DrawingML object to determine its actual bottom edge.</w:t>
      </w:r>
    </w:p>
    <w:p w:rsidR="000A156F" w:rsidRDefault="00A9721F">
      <w:pPr>
        <w:pStyle w:val="Definition-Field2"/>
      </w:pPr>
      <w:r>
        <w:t>Office uses these attributes to specify the additional length that shall be added to the left, right, and top</w:t>
      </w:r>
      <w:r>
        <w:t xml:space="preserve"> edges, respectively, of the DrawingML object to determine its actual left, right, and top edges, respectively.</w:t>
      </w:r>
    </w:p>
    <w:p w:rsidR="000A156F" w:rsidRDefault="00A9721F">
      <w:pPr>
        <w:pStyle w:val="Heading3"/>
      </w:pPr>
      <w:bookmarkStart w:id="2727" w:name="section_bb6c413fe6294c9c8fdc22b1138be12e"/>
      <w:bookmarkStart w:id="2728" w:name="_Toc181684389"/>
      <w:r>
        <w:t>Part 1 Section 20.4.2.7, extent (Drawing Object Size)</w:t>
      </w:r>
      <w:bookmarkEnd w:id="2727"/>
      <w:bookmarkEnd w:id="2728"/>
      <w:r>
        <w:fldChar w:fldCharType="begin"/>
      </w:r>
      <w:r>
        <w:instrText xml:space="preserve"> XE "extent (Drawing Object Size)" </w:instrText>
      </w:r>
      <w:r>
        <w:fldChar w:fldCharType="end"/>
      </w:r>
    </w:p>
    <w:p w:rsidR="000A156F" w:rsidRDefault="00A9721F">
      <w:pPr>
        <w:pStyle w:val="Definition-Field2"/>
      </w:pPr>
      <w:r>
        <w:rPr>
          <w:i/>
        </w:rPr>
        <w:t>For additional notes that apply to this portion of th</w:t>
      </w:r>
      <w:r>
        <w:rPr>
          <w:i/>
        </w:rPr>
        <w:t xml:space="preserve">e standard, please see the notes for </w:t>
      </w:r>
      <w:hyperlink w:anchor="Section_0e03e978d5d44dc1b3ada77bbb361cfe">
        <w:r>
          <w:rPr>
            <w:rStyle w:val="Hyperlink"/>
          </w:rPr>
          <w:t>ext, §21.3.2.10(a)</w:t>
        </w:r>
      </w:hyperlink>
      <w:r>
        <w:rPr>
          <w:i/>
        </w:rPr>
        <w:t>.</w:t>
      </w:r>
    </w:p>
    <w:p w:rsidR="000A156F" w:rsidRDefault="00A9721F">
      <w:pPr>
        <w:pStyle w:val="Heading3"/>
      </w:pPr>
      <w:bookmarkStart w:id="2729" w:name="section_351591f1308643f6ae05df9d004e653c"/>
      <w:bookmarkStart w:id="2730" w:name="_Toc181684390"/>
      <w:r>
        <w:t>Part 1 Section 20.4.2.9, lineTo (Wrapping Polygon Line End Position)</w:t>
      </w:r>
      <w:bookmarkEnd w:id="2729"/>
      <w:bookmarkEnd w:id="2730"/>
      <w:r>
        <w:fldChar w:fldCharType="begin"/>
      </w:r>
      <w:r>
        <w:instrText xml:space="preserve"> XE "lineTo (Wrapping Polygon Line End Position)"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A156F" w:rsidRDefault="00A9721F">
      <w:pPr>
        <w:pStyle w:val="Definition-Field"/>
      </w:pPr>
      <w:r>
        <w:t xml:space="preserve">a.   </w:t>
      </w:r>
      <w:r>
        <w:rPr>
          <w:i/>
        </w:rPr>
        <w:t>The standard states that the x and y attributes are represented in EMUs.</w:t>
      </w:r>
    </w:p>
    <w:p w:rsidR="000A156F" w:rsidRDefault="00A9721F">
      <w:pPr>
        <w:pStyle w:val="Definition-Field2"/>
      </w:pPr>
      <w:r>
        <w:lastRenderedPageBreak/>
        <w:t>Offi</w:t>
      </w:r>
      <w:r>
        <w:t>ce interprets the x and y attributes in a fixed coordinate space of 21600x21600.</w:t>
      </w:r>
    </w:p>
    <w:p w:rsidR="000A156F" w:rsidRDefault="00A9721F">
      <w:pPr>
        <w:pStyle w:val="Heading3"/>
      </w:pPr>
      <w:bookmarkStart w:id="2731" w:name="section_8aee936cdf55410c88707cb257d71f26"/>
      <w:bookmarkStart w:id="2732" w:name="_Toc181684391"/>
      <w:r>
        <w:t>Part 1 Section 20.4.2.11, positionV (Vertical Positioning)</w:t>
      </w:r>
      <w:bookmarkEnd w:id="2731"/>
      <w:bookmarkEnd w:id="2732"/>
      <w:r>
        <w:fldChar w:fldCharType="begin"/>
      </w:r>
      <w:r>
        <w:instrText xml:space="preserve"> XE "positionV (Vertical Positioning)" </w:instrText>
      </w:r>
      <w:r>
        <w:fldChar w:fldCharType="end"/>
      </w:r>
    </w:p>
    <w:p w:rsidR="000A156F" w:rsidRDefault="00A9721F">
      <w:pPr>
        <w:pStyle w:val="Definition-Field"/>
      </w:pPr>
      <w:r>
        <w:t xml:space="preserve">a.   </w:t>
      </w:r>
      <w:r>
        <w:rPr>
          <w:i/>
        </w:rPr>
        <w:t>The standard states that paragraph is a valid value of the relativeFro</w:t>
      </w:r>
      <w:r>
        <w:rPr>
          <w:i/>
        </w:rPr>
        <w:t>m attribute.</w:t>
      </w:r>
    </w:p>
    <w:p w:rsidR="000A156F" w:rsidRDefault="00A9721F">
      <w:pPr>
        <w:pStyle w:val="Definition-Field2"/>
      </w:pPr>
      <w:r>
        <w:t>Word does not allow this value on this attribute.</w:t>
      </w:r>
    </w:p>
    <w:p w:rsidR="000A156F" w:rsidRDefault="00A9721F">
      <w:pPr>
        <w:pStyle w:val="Heading3"/>
      </w:pPr>
      <w:bookmarkStart w:id="2733" w:name="section_2897355e41e04be5a27ea94fe8c6de66"/>
      <w:bookmarkStart w:id="2734" w:name="_Toc181684392"/>
      <w:r>
        <w:t>Part 1 Section 20.4.2.13, simplePos (Simple Positioning Coordinates)</w:t>
      </w:r>
      <w:bookmarkEnd w:id="2733"/>
      <w:bookmarkEnd w:id="2734"/>
      <w:r>
        <w:fldChar w:fldCharType="begin"/>
      </w:r>
      <w:r>
        <w:instrText xml:space="preserve"> XE "simplePos (Simple Positioning Coordinates)" </w:instrText>
      </w:r>
      <w:r>
        <w:fldChar w:fldCharType="end"/>
      </w:r>
    </w:p>
    <w:p w:rsidR="000A156F" w:rsidRDefault="00A9721F">
      <w:pPr>
        <w:pStyle w:val="Definition-Field2"/>
      </w:pPr>
      <w:r>
        <w:rPr>
          <w:i/>
        </w:rPr>
        <w:t>For additional notes that apply to this portion of the standard, please s</w:t>
      </w:r>
      <w:r>
        <w:rPr>
          <w:i/>
        </w:rPr>
        <w:t xml:space="preserve">ee the notes for </w:t>
      </w:r>
      <w:hyperlink w:anchor="Section_bb0ea49131314a6aadc803f173655076">
        <w:r>
          <w:rPr>
            <w:rStyle w:val="Hyperlink"/>
          </w:rPr>
          <w:t>chOff, §20.1.7.2(b)</w:t>
        </w:r>
      </w:hyperlink>
      <w:r>
        <w:rPr>
          <w:i/>
        </w:rPr>
        <w:t>.</w:t>
      </w:r>
    </w:p>
    <w:p w:rsidR="000A156F" w:rsidRDefault="00A9721F">
      <w:pPr>
        <w:pStyle w:val="Heading3"/>
      </w:pPr>
      <w:bookmarkStart w:id="2735" w:name="section_66c78b0f4a004202973efe6762037678"/>
      <w:bookmarkStart w:id="2736" w:name="_Toc181684393"/>
      <w:r>
        <w:t>Part 1 Section 20.4.2.14, start (Wrapping Polygon Start)</w:t>
      </w:r>
      <w:bookmarkEnd w:id="2735"/>
      <w:bookmarkEnd w:id="2736"/>
      <w:r>
        <w:fldChar w:fldCharType="begin"/>
      </w:r>
      <w:r>
        <w:instrText xml:space="preserve"> XE "start (Wrapping Polygon Start)" </w:instrText>
      </w:r>
      <w:r>
        <w:fldChar w:fldCharType="end"/>
      </w:r>
    </w:p>
    <w:p w:rsidR="000A156F" w:rsidRDefault="00A9721F">
      <w:pPr>
        <w:pStyle w:val="Definition-Field2"/>
      </w:pPr>
      <w:r>
        <w:rPr>
          <w:i/>
        </w:rPr>
        <w:t>For additional notes that apply to this portion of the stan</w:t>
      </w:r>
      <w:r>
        <w:rPr>
          <w:i/>
        </w:rPr>
        <w:t xml:space="preserve">dard, please see the notes for </w:t>
      </w:r>
      <w:hyperlink w:anchor="Section_bb0ea49131314a6aadc803f173655076">
        <w:r>
          <w:rPr>
            <w:rStyle w:val="Hyperlink"/>
          </w:rPr>
          <w:t>chOff, §20.1.7.2(b)</w:t>
        </w:r>
      </w:hyperlink>
      <w:r>
        <w:rPr>
          <w:i/>
        </w:rPr>
        <w:t>.</w:t>
      </w:r>
    </w:p>
    <w:p w:rsidR="000A156F" w:rsidRDefault="00A9721F">
      <w:pPr>
        <w:pStyle w:val="Definition-Field"/>
      </w:pPr>
      <w:r>
        <w:t xml:space="preserve">a.   </w:t>
      </w:r>
      <w:r>
        <w:rPr>
          <w:i/>
        </w:rPr>
        <w:t>The standard states that the x and y attributes are represented in EMUs.</w:t>
      </w:r>
    </w:p>
    <w:p w:rsidR="000A156F" w:rsidRDefault="00A9721F">
      <w:pPr>
        <w:pStyle w:val="Definition-Field2"/>
      </w:pPr>
      <w:r>
        <w:t xml:space="preserve">Office interprets the x and y attributes in a fixed coordinate </w:t>
      </w:r>
      <w:r>
        <w:t>space of 21600x21600.</w:t>
      </w:r>
    </w:p>
    <w:p w:rsidR="000A156F" w:rsidRDefault="00A9721F">
      <w:pPr>
        <w:pStyle w:val="Heading3"/>
      </w:pPr>
      <w:bookmarkStart w:id="2737" w:name="section_402ec9e26e424ba9a866742937152087"/>
      <w:bookmarkStart w:id="2738" w:name="_Toc181684394"/>
      <w:r>
        <w:t>Part 1 Section 20.5.2.2, blipFill (Picture Fill)</w:t>
      </w:r>
      <w:bookmarkEnd w:id="2737"/>
      <w:bookmarkEnd w:id="2738"/>
      <w:r>
        <w:fldChar w:fldCharType="begin"/>
      </w:r>
      <w:r>
        <w:instrText xml:space="preserve"> XE "blipFill (Picture Fill)"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0A156F" w:rsidRDefault="00A9721F">
      <w:pPr>
        <w:pStyle w:val="Heading3"/>
      </w:pPr>
      <w:bookmarkStart w:id="2739" w:name="section_3d4d8b5b07bd48f588194c8adae68ad3"/>
      <w:bookmarkStart w:id="2740" w:name="_Toc181684395"/>
      <w:r>
        <w:t>Part 1 Section 20.5.2.8, cNvPr (Non-Visual Drawing Properties)</w:t>
      </w:r>
      <w:bookmarkEnd w:id="2739"/>
      <w:bookmarkEnd w:id="2740"/>
      <w:r>
        <w:fldChar w:fldCharType="begin"/>
      </w:r>
      <w:r>
        <w:instrText xml:space="preserve"> XE "cNvPr (Non-Visual Drawing Properties)" </w:instrText>
      </w:r>
      <w:r>
        <w:fldChar w:fldCharType="end"/>
      </w:r>
    </w:p>
    <w:p w:rsidR="000A156F" w:rsidRDefault="00A9721F">
      <w:pPr>
        <w:pStyle w:val="Definition-Field"/>
      </w:pPr>
      <w:r>
        <w:t xml:space="preserve">a.   </w:t>
      </w:r>
      <w:r>
        <w:rPr>
          <w:i/>
        </w:rPr>
        <w:t>The standard includes hlinkHover as a child of cNvPr.</w:t>
      </w:r>
    </w:p>
    <w:p w:rsidR="000A156F" w:rsidRDefault="00A9721F">
      <w:pPr>
        <w:pStyle w:val="Definition-Field2"/>
      </w:pPr>
      <w:r>
        <w:t>Excel does not support child element hlinkHover.</w:t>
      </w:r>
    </w:p>
    <w:p w:rsidR="000A156F" w:rsidRDefault="00A9721F">
      <w:pPr>
        <w:pStyle w:val="Heading3"/>
      </w:pPr>
      <w:bookmarkStart w:id="2741" w:name="section_bbed63eb85914393833e85b7e01a40df"/>
      <w:bookmarkStart w:id="2742" w:name="_Toc181684396"/>
      <w:r>
        <w:t xml:space="preserve">Part 1 Section </w:t>
      </w:r>
      <w:r>
        <w:t>20.5.2.9, cNvSpPr (Connection Non-Visual Shape Properties)</w:t>
      </w:r>
      <w:bookmarkEnd w:id="2741"/>
      <w:bookmarkEnd w:id="2742"/>
      <w:r>
        <w:fldChar w:fldCharType="begin"/>
      </w:r>
      <w:r>
        <w:instrText xml:space="preserve"> XE "cNvSpPr (Connection Non-Visual Shape Properties)" </w:instrText>
      </w:r>
      <w:r>
        <w:fldChar w:fldCharType="end"/>
      </w:r>
    </w:p>
    <w:p w:rsidR="000A156F" w:rsidRDefault="00A9721F">
      <w:pPr>
        <w:pStyle w:val="Definition-Field"/>
      </w:pPr>
      <w:r>
        <w:t xml:space="preserve">a.   </w:t>
      </w:r>
      <w:r>
        <w:rPr>
          <w:i/>
        </w:rPr>
        <w:t>The standard implies that the cNvSpPr element describes the non-visual properties for a connection shape.</w:t>
      </w:r>
    </w:p>
    <w:p w:rsidR="000A156F" w:rsidRDefault="00A9721F">
      <w:pPr>
        <w:pStyle w:val="Definition-Field2"/>
      </w:pPr>
      <w:r>
        <w:t>In Office and the schema, thi</w:t>
      </w:r>
      <w:r>
        <w:t>s element describes the non-visual properties for a shape.</w:t>
      </w:r>
    </w:p>
    <w:p w:rsidR="000A156F" w:rsidRDefault="00A9721F">
      <w:pPr>
        <w:pStyle w:val="Heading3"/>
      </w:pPr>
      <w:bookmarkStart w:id="2743" w:name="section_dd4af5b20e014bc08c6bce9ac6611646"/>
      <w:bookmarkStart w:id="2744" w:name="_Toc181684397"/>
      <w:r>
        <w:t>Part 1 Section 20.5.2.10, col (Column))</w:t>
      </w:r>
      <w:bookmarkEnd w:id="2743"/>
      <w:bookmarkEnd w:id="2744"/>
      <w:r>
        <w:fldChar w:fldCharType="begin"/>
      </w:r>
      <w:r>
        <w:instrText xml:space="preserve"> XE "col (Column))" </w:instrText>
      </w:r>
      <w:r>
        <w:fldChar w:fldCharType="end"/>
      </w:r>
    </w:p>
    <w:p w:rsidR="000A156F" w:rsidRDefault="00A9721F">
      <w:pPr>
        <w:pStyle w:val="Definition-Field"/>
      </w:pPr>
      <w:r>
        <w:t xml:space="preserve">a.   </w:t>
      </w:r>
      <w:r>
        <w:rPr>
          <w:i/>
        </w:rPr>
        <w:t>The standard specifies the maximum number of columns as unbounded.</w:t>
      </w:r>
    </w:p>
    <w:p w:rsidR="000A156F" w:rsidRDefault="00A9721F">
      <w:pPr>
        <w:pStyle w:val="Definition-Field2"/>
      </w:pPr>
      <w:r>
        <w:t>In Excel, the maximum number of columns is 16383.</w:t>
      </w:r>
    </w:p>
    <w:p w:rsidR="000A156F" w:rsidRDefault="00A9721F">
      <w:pPr>
        <w:pStyle w:val="Heading3"/>
      </w:pPr>
      <w:bookmarkStart w:id="2745" w:name="section_f7105a1c34964b13952237af2be9823d"/>
      <w:bookmarkStart w:id="2746" w:name="_Toc181684398"/>
      <w:r>
        <w:t>Part 1 Sectio</w:t>
      </w:r>
      <w:r>
        <w:t>n 20.5.2.11, colOff (Column Offset)</w:t>
      </w:r>
      <w:bookmarkEnd w:id="2745"/>
      <w:bookmarkEnd w:id="2746"/>
      <w:r>
        <w:fldChar w:fldCharType="begin"/>
      </w:r>
      <w:r>
        <w:instrText xml:space="preserve"> XE "colOff (Column Offset)" </w:instrText>
      </w:r>
      <w:r>
        <w:fldChar w:fldCharType="end"/>
      </w:r>
    </w:p>
    <w:p w:rsidR="000A156F" w:rsidRDefault="00A9721F">
      <w:pPr>
        <w:pStyle w:val="Definition-Field"/>
      </w:pPr>
      <w:r>
        <w:t xml:space="preserve">a.   </w:t>
      </w:r>
      <w:r>
        <w:rPr>
          <w:i/>
        </w:rPr>
        <w:t>The standard states that the colOff element accepts any value up to 27273042316900.</w:t>
      </w:r>
    </w:p>
    <w:p w:rsidR="000A156F" w:rsidRDefault="00A9721F">
      <w:pPr>
        <w:pStyle w:val="Definition-Field2"/>
      </w:pPr>
      <w:r>
        <w:t>Office does not draw the shape if colOff has a value over 20454781742437.</w:t>
      </w:r>
    </w:p>
    <w:p w:rsidR="000A156F" w:rsidRDefault="00A9721F">
      <w:pPr>
        <w:pStyle w:val="Heading3"/>
      </w:pPr>
      <w:bookmarkStart w:id="2747" w:name="section_c39b2737700f49d68c31f480ac51f5c6"/>
      <w:bookmarkStart w:id="2748" w:name="_Toc181684399"/>
      <w:r>
        <w:lastRenderedPageBreak/>
        <w:t xml:space="preserve">Part 1 Section 20.5.2.13, </w:t>
      </w:r>
      <w:r>
        <w:t>cxnSp (Connection Shape)</w:t>
      </w:r>
      <w:bookmarkEnd w:id="2747"/>
      <w:bookmarkEnd w:id="2748"/>
      <w:r>
        <w:fldChar w:fldCharType="begin"/>
      </w:r>
      <w:r>
        <w:instrText xml:space="preserve"> XE "cxnSp (Connection Shape)" </w:instrText>
      </w:r>
      <w:r>
        <w:fldChar w:fldCharType="end"/>
      </w:r>
    </w:p>
    <w:p w:rsidR="000A156F" w:rsidRDefault="00A9721F">
      <w:pPr>
        <w:pStyle w:val="Definition-Field"/>
      </w:pPr>
      <w:r>
        <w:t xml:space="preserve">a.   </w:t>
      </w:r>
      <w:r>
        <w:rPr>
          <w:i/>
        </w:rPr>
        <w:t>The standard states that the values of the macro attribute are defined by the XML Schema string datatype.</w:t>
      </w:r>
    </w:p>
    <w:p w:rsidR="000A156F" w:rsidRDefault="00A9721F">
      <w:pPr>
        <w:pStyle w:val="Definition-Field2"/>
      </w:pPr>
      <w:r>
        <w:t xml:space="preserve">Office requires that the macro attribute value follow the same grammar as </w:t>
      </w:r>
      <w:r>
        <w:t>name-references ("</w:t>
      </w:r>
      <w:hyperlink r:id="rId199">
        <w:r>
          <w:rPr>
            <w:rStyle w:val="Hyperlink"/>
          </w:rPr>
          <w:t>[ISO/IEC-29500-1]</w:t>
        </w:r>
      </w:hyperlink>
      <w:r>
        <w:t xml:space="preserve"> §18.17.2.5") with a minimum length of 0 characters and a maximum length of 256 characters.</w:t>
      </w:r>
    </w:p>
    <w:p w:rsidR="000A156F" w:rsidRDefault="00A9721F">
      <w:pPr>
        <w:pStyle w:val="Heading3"/>
      </w:pPr>
      <w:bookmarkStart w:id="2749" w:name="section_d0cb27de1bb348c392d04ce443c8073a"/>
      <w:bookmarkStart w:id="2750" w:name="_Toc181684400"/>
      <w:r>
        <w:t>Part 1 Section 20.5.2.14, ext (Shape Extent)</w:t>
      </w:r>
      <w:bookmarkEnd w:id="2749"/>
      <w:bookmarkEnd w:id="2750"/>
      <w:r>
        <w:fldChar w:fldCharType="begin"/>
      </w:r>
      <w:r>
        <w:instrText xml:space="preserve"> XE "ext (Shape Extent)"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0A156F" w:rsidRDefault="00A9721F">
      <w:pPr>
        <w:pStyle w:val="Heading3"/>
      </w:pPr>
      <w:bookmarkStart w:id="2751" w:name="section_e1dfdbace29c4c9e94769f52adaacd00"/>
      <w:bookmarkStart w:id="2752" w:name="_Toc181684401"/>
      <w:r>
        <w:t>Part 1 Section 20.5.2.15, from (Starting Anchor Point)</w:t>
      </w:r>
      <w:bookmarkEnd w:id="2751"/>
      <w:bookmarkEnd w:id="2752"/>
      <w:r>
        <w:fldChar w:fldCharType="begin"/>
      </w:r>
      <w:r>
        <w:instrText xml:space="preserve"> </w:instrText>
      </w:r>
      <w:r>
        <w:instrText xml:space="preserve">XE "from (Starting Anchor Point)" </w:instrText>
      </w:r>
      <w:r>
        <w:fldChar w:fldCharType="end"/>
      </w:r>
    </w:p>
    <w:p w:rsidR="000A156F" w:rsidRDefault="00A9721F">
      <w:pPr>
        <w:pStyle w:val="Definition-Field"/>
      </w:pPr>
      <w:r>
        <w:t xml:space="preserve">a.   </w:t>
      </w:r>
      <w:r>
        <w:rPr>
          <w:i/>
        </w:rPr>
        <w:t>The standard does not define any relationship between top/left and bottom/right, respectively.</w:t>
      </w:r>
    </w:p>
    <w:p w:rsidR="000A156F" w:rsidRDefault="00A9721F">
      <w:pPr>
        <w:pStyle w:val="Definition-Field2"/>
      </w:pPr>
      <w:r>
        <w:t>In Excel, top/left should be smaller than or equal to bottom/right. If these conditions are not met, the shape is not r</w:t>
      </w:r>
      <w:r>
        <w:t>endered.</w:t>
      </w:r>
    </w:p>
    <w:p w:rsidR="000A156F" w:rsidRDefault="00A9721F">
      <w:pPr>
        <w:pStyle w:val="Heading3"/>
      </w:pPr>
      <w:bookmarkStart w:id="2753" w:name="section_a64e434cd5194cec945b0cc428546308"/>
      <w:bookmarkStart w:id="2754" w:name="_Toc181684402"/>
      <w:r>
        <w:t>Part 1 Section 20.5.2.16, graphicFrame (Graphic Frame)</w:t>
      </w:r>
      <w:bookmarkEnd w:id="2753"/>
      <w:bookmarkEnd w:id="2754"/>
      <w:r>
        <w:fldChar w:fldCharType="begin"/>
      </w:r>
      <w:r>
        <w:instrText xml:space="preserve"> XE "graphicFrame (Graphic Frame)" </w:instrText>
      </w:r>
      <w:r>
        <w:fldChar w:fldCharType="end"/>
      </w:r>
    </w:p>
    <w:p w:rsidR="000A156F" w:rsidRDefault="00A9721F">
      <w:pPr>
        <w:pStyle w:val="Definition-Field"/>
      </w:pPr>
      <w:r>
        <w:t xml:space="preserve">a.   </w:t>
      </w:r>
      <w:r>
        <w:rPr>
          <w:i/>
        </w:rPr>
        <w:t>The standard states that the values of the macro attribute are defined by the XML Schema string datatype.</w:t>
      </w:r>
    </w:p>
    <w:p w:rsidR="000A156F" w:rsidRDefault="00A9721F">
      <w:pPr>
        <w:pStyle w:val="Definition-Field2"/>
      </w:pPr>
      <w:r>
        <w:t>Office requires that the macro attribute val</w:t>
      </w:r>
      <w:r>
        <w:t>ue follow the same grammar as name-references ("</w:t>
      </w:r>
      <w:hyperlink r:id="rId200">
        <w:r>
          <w:rPr>
            <w:rStyle w:val="Hyperlink"/>
          </w:rPr>
          <w:t>[ISO/IEC-29500-1]</w:t>
        </w:r>
      </w:hyperlink>
      <w:r>
        <w:t xml:space="preserve"> §18.17.2.5") with a minimum length of 0 characters and a maximum length of 256 characters.</w:t>
      </w:r>
    </w:p>
    <w:p w:rsidR="000A156F" w:rsidRDefault="00A9721F">
      <w:pPr>
        <w:pStyle w:val="Heading3"/>
      </w:pPr>
      <w:bookmarkStart w:id="2755" w:name="section_0b7e3dab028b4c2285e631bc3dc52e04"/>
      <w:bookmarkStart w:id="2756" w:name="_Toc181684403"/>
      <w:r>
        <w:t>Part 1 Section 20.5.2.18, grpSpPr</w:t>
      </w:r>
      <w:r>
        <w:t xml:space="preserve"> (Group Shape Properties)</w:t>
      </w:r>
      <w:bookmarkEnd w:id="2755"/>
      <w:bookmarkEnd w:id="2756"/>
      <w:r>
        <w:fldChar w:fldCharType="begin"/>
      </w:r>
      <w:r>
        <w:instrText xml:space="preserve"> XE "grpSpPr (Group Shape Properties)" </w:instrText>
      </w:r>
      <w:r>
        <w:fldChar w:fldCharType="end"/>
      </w:r>
    </w:p>
    <w:p w:rsidR="000A156F" w:rsidRDefault="00A9721F">
      <w:pPr>
        <w:pStyle w:val="Definition-Field"/>
      </w:pPr>
      <w:r>
        <w:t xml:space="preserve">a.   </w:t>
      </w:r>
      <w:r>
        <w:rPr>
          <w:i/>
        </w:rPr>
        <w:t>The standard states that bwMode is a valid attribute on the grpSpPr element.</w:t>
      </w:r>
    </w:p>
    <w:p w:rsidR="000A156F" w:rsidRDefault="00A9721F">
      <w:pPr>
        <w:pStyle w:val="Definition-Field2"/>
      </w:pPr>
      <w:r>
        <w:t>Excel and Word do not support the bwMode attribute on this element.</w:t>
      </w:r>
    </w:p>
    <w:p w:rsidR="000A156F" w:rsidRDefault="00A9721F">
      <w:pPr>
        <w:pStyle w:val="Definition-Field"/>
      </w:pPr>
      <w:r>
        <w:t xml:space="preserve">b.   </w:t>
      </w:r>
      <w:r>
        <w:rPr>
          <w:i/>
        </w:rPr>
        <w:t>The standard does not describe the</w:t>
      </w:r>
      <w:r>
        <w:rPr>
          <w:i/>
        </w:rPr>
        <w:t xml:space="preserve"> relationship between group shapes and their child shapes with respect to bwMode.</w:t>
      </w:r>
    </w:p>
    <w:p w:rsidR="000A156F" w:rsidRDefault="00A9721F">
      <w:pPr>
        <w:pStyle w:val="Definition-Field2"/>
      </w:pPr>
      <w:r>
        <w:t>In Office, bwMode set at the group level should set bwMode for child shapes.</w:t>
      </w:r>
    </w:p>
    <w:p w:rsidR="000A156F" w:rsidRDefault="00A9721F">
      <w:pPr>
        <w:pStyle w:val="Definition-Field"/>
      </w:pPr>
      <w:r>
        <w:t xml:space="preserve">c.   </w:t>
      </w:r>
      <w:r>
        <w:rPr>
          <w:i/>
        </w:rPr>
        <w:t>The standard states that the bwMode attribute specifies that the group shape should be rende</w:t>
      </w:r>
      <w:r>
        <w:rPr>
          <w:i/>
        </w:rPr>
        <w:t>red using only black and white coloring.</w:t>
      </w:r>
    </w:p>
    <w:p w:rsidR="000A156F" w:rsidRDefault="00A9721F">
      <w:pPr>
        <w:pStyle w:val="Definition-Field2"/>
      </w:pPr>
      <w:r>
        <w:t>Office uses this attribute to specify how the group shape should be rendered when in black and white mode.</w:t>
      </w:r>
    </w:p>
    <w:p w:rsidR="000A156F" w:rsidRDefault="00A9721F">
      <w:pPr>
        <w:pStyle w:val="Heading3"/>
      </w:pPr>
      <w:bookmarkStart w:id="2757" w:name="section_40e963da7d5241599f8632ae4a5576e4"/>
      <w:bookmarkStart w:id="2758" w:name="_Toc181684404"/>
      <w:r>
        <w:t>Part 1 Section 20.5.2.25, pic (Picture)</w:t>
      </w:r>
      <w:bookmarkEnd w:id="2757"/>
      <w:bookmarkEnd w:id="2758"/>
      <w:r>
        <w:fldChar w:fldCharType="begin"/>
      </w:r>
      <w:r>
        <w:instrText xml:space="preserve"> XE "pic (Picture)" </w:instrText>
      </w:r>
      <w:r>
        <w:fldChar w:fldCharType="end"/>
      </w:r>
    </w:p>
    <w:p w:rsidR="000A156F" w:rsidRDefault="00A9721F">
      <w:pPr>
        <w:pStyle w:val="Definition-Field"/>
      </w:pPr>
      <w:r>
        <w:t xml:space="preserve">a.   </w:t>
      </w:r>
      <w:r>
        <w:rPr>
          <w:i/>
        </w:rPr>
        <w:t>The standard states that the values of th</w:t>
      </w:r>
      <w:r>
        <w:rPr>
          <w:i/>
        </w:rPr>
        <w:t>e macro attribute are defined by the XML Schema string datatype.</w:t>
      </w:r>
    </w:p>
    <w:p w:rsidR="000A156F" w:rsidRDefault="00A9721F">
      <w:pPr>
        <w:pStyle w:val="Definition-Field2"/>
      </w:pPr>
      <w:r>
        <w:t>Office requires that the macro attribute value follow the same grammar as name-references ("</w:t>
      </w:r>
      <w:hyperlink r:id="rId201">
        <w:r>
          <w:rPr>
            <w:rStyle w:val="Hyperlink"/>
          </w:rPr>
          <w:t>[ISO/IEC-29500-1]</w:t>
        </w:r>
      </w:hyperlink>
      <w:r>
        <w:t xml:space="preserve"> §18.17.2.5") wi</w:t>
      </w:r>
      <w:r>
        <w:t>th a minimum length of 0 characters and a maximum length of 256 characters.</w:t>
      </w:r>
    </w:p>
    <w:p w:rsidR="000A156F" w:rsidRDefault="00A9721F">
      <w:pPr>
        <w:pStyle w:val="Heading3"/>
      </w:pPr>
      <w:bookmarkStart w:id="2759" w:name="section_44d97ef766e5453ea58681cf80c0c3a0"/>
      <w:bookmarkStart w:id="2760" w:name="_Toc181684405"/>
      <w:r>
        <w:lastRenderedPageBreak/>
        <w:t>Part 1 Section 20.5.2.26, pos (Position)</w:t>
      </w:r>
      <w:bookmarkEnd w:id="2759"/>
      <w:bookmarkEnd w:id="2760"/>
      <w:r>
        <w:fldChar w:fldCharType="begin"/>
      </w:r>
      <w:r>
        <w:instrText xml:space="preserve"> XE "pos (Position)"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0A156F" w:rsidRDefault="00A9721F">
      <w:pPr>
        <w:pStyle w:val="Heading3"/>
      </w:pPr>
      <w:bookmarkStart w:id="2761" w:name="section_049c8b2ba9994b97ace28d521d73d00c"/>
      <w:bookmarkStart w:id="2762" w:name="_Toc181684406"/>
      <w:r>
        <w:t>Part 1 Section 20.5.2.27, row (Row)</w:t>
      </w:r>
      <w:bookmarkEnd w:id="2761"/>
      <w:bookmarkEnd w:id="2762"/>
      <w:r>
        <w:fldChar w:fldCharType="begin"/>
      </w:r>
      <w:r>
        <w:instrText xml:space="preserve"> XE "row (Row)" </w:instrText>
      </w:r>
      <w:r>
        <w:fldChar w:fldCharType="end"/>
      </w:r>
    </w:p>
    <w:p w:rsidR="000A156F" w:rsidRDefault="00A9721F">
      <w:pPr>
        <w:pStyle w:val="Definition-Field"/>
      </w:pPr>
      <w:r>
        <w:t xml:space="preserve">a.   </w:t>
      </w:r>
      <w:r>
        <w:rPr>
          <w:i/>
        </w:rPr>
        <w:t>The standard allows the number of rows to be unbounded.</w:t>
      </w:r>
    </w:p>
    <w:p w:rsidR="000A156F" w:rsidRDefault="00A9721F">
      <w:pPr>
        <w:pStyle w:val="Definition-Field2"/>
      </w:pPr>
      <w:r>
        <w:t>The maximum number of rows allowed by Office is 1048575.</w:t>
      </w:r>
    </w:p>
    <w:p w:rsidR="000A156F" w:rsidRDefault="00A9721F">
      <w:pPr>
        <w:pStyle w:val="Heading3"/>
      </w:pPr>
      <w:bookmarkStart w:id="2763" w:name="section_2022337ea5034115b0da146bdcfa7a76"/>
      <w:bookmarkStart w:id="2764" w:name="_Toc181684407"/>
      <w:r>
        <w:t xml:space="preserve">Part 1 Section 20.5.2.28, </w:t>
      </w:r>
      <w:r>
        <w:t>rowOff (Row Offset)</w:t>
      </w:r>
      <w:bookmarkEnd w:id="2763"/>
      <w:bookmarkEnd w:id="2764"/>
      <w:r>
        <w:fldChar w:fldCharType="begin"/>
      </w:r>
      <w:r>
        <w:instrText xml:space="preserve"> XE "rowOff (Row Offset)" </w:instrText>
      </w:r>
      <w:r>
        <w:fldChar w:fldCharType="end"/>
      </w:r>
    </w:p>
    <w:p w:rsidR="000A156F" w:rsidRDefault="00A9721F">
      <w:pPr>
        <w:pStyle w:val="Definition-Field"/>
      </w:pPr>
      <w:r>
        <w:t xml:space="preserve">a.   </w:t>
      </w:r>
      <w:r>
        <w:rPr>
          <w:i/>
        </w:rPr>
        <w:t>The standard states that the rowOff element accepts any value up to 27273042316900.</w:t>
      </w:r>
    </w:p>
    <w:p w:rsidR="000A156F" w:rsidRDefault="00A9721F">
      <w:pPr>
        <w:pStyle w:val="Definition-Field2"/>
      </w:pPr>
      <w:r>
        <w:t>Office does not draw the shape if rowOff has a value over 20454781742437.</w:t>
      </w:r>
    </w:p>
    <w:p w:rsidR="000A156F" w:rsidRDefault="00A9721F">
      <w:pPr>
        <w:pStyle w:val="Heading3"/>
      </w:pPr>
      <w:bookmarkStart w:id="2765" w:name="section_50d51c6ff4084539a65649f1968204a3"/>
      <w:bookmarkStart w:id="2766" w:name="_Toc181684408"/>
      <w:r>
        <w:t>Part 1 Section 20.5.2.29, sp (Shape)</w:t>
      </w:r>
      <w:bookmarkEnd w:id="2765"/>
      <w:bookmarkEnd w:id="2766"/>
      <w:r>
        <w:fldChar w:fldCharType="begin"/>
      </w:r>
      <w:r>
        <w:instrText xml:space="preserve"> XE "sp (</w:instrText>
      </w:r>
      <w:r>
        <w:instrText xml:space="preserve">Shape)" </w:instrText>
      </w:r>
      <w:r>
        <w:fldChar w:fldCharType="end"/>
      </w:r>
    </w:p>
    <w:p w:rsidR="000A156F" w:rsidRDefault="00A9721F">
      <w:pPr>
        <w:pStyle w:val="Definition-Field"/>
      </w:pPr>
      <w:r>
        <w:t xml:space="preserve">a.   </w:t>
      </w:r>
      <w:r>
        <w:rPr>
          <w:i/>
        </w:rPr>
        <w:t>The standard states that textlink is a formula linking to spreadsheet cell data.</w:t>
      </w:r>
    </w:p>
    <w:p w:rsidR="000A156F" w:rsidRDefault="00A9721F">
      <w:pPr>
        <w:pStyle w:val="Definition-Field2"/>
      </w:pPr>
      <w:r>
        <w:t xml:space="preserve">Excel requires that the value of the textlink attribute be a string referencing a cell or a cell range. It should reference a unique cell, as only the first </w:t>
      </w:r>
      <w:r>
        <w:t>cell in a cell range will be considered.</w:t>
      </w:r>
    </w:p>
    <w:p w:rsidR="000A156F" w:rsidRDefault="00A9721F">
      <w:pPr>
        <w:pStyle w:val="Definition-Field"/>
      </w:pPr>
      <w:r>
        <w:t xml:space="preserve">b.   </w:t>
      </w:r>
      <w:r>
        <w:rPr>
          <w:i/>
        </w:rPr>
        <w:t>In the standard, child element txBody has minOccurs equal to zero.</w:t>
      </w:r>
    </w:p>
    <w:p w:rsidR="000A156F" w:rsidRDefault="00A9721F">
      <w:pPr>
        <w:pStyle w:val="Definition-Field2"/>
      </w:pPr>
      <w:r>
        <w:t>In Excel, if optional attribute textlink is specified, child element txBody is required.</w:t>
      </w:r>
    </w:p>
    <w:p w:rsidR="000A156F" w:rsidRDefault="00A9721F">
      <w:pPr>
        <w:pStyle w:val="Definition-Field"/>
      </w:pPr>
      <w:r>
        <w:t xml:space="preserve">c.   </w:t>
      </w:r>
      <w:r>
        <w:rPr>
          <w:i/>
        </w:rPr>
        <w:t xml:space="preserve">The standard states that the values of the macro </w:t>
      </w:r>
      <w:r>
        <w:rPr>
          <w:i/>
        </w:rPr>
        <w:t>attribute are defined by the XML Schema string datatype.</w:t>
      </w:r>
    </w:p>
    <w:p w:rsidR="000A156F" w:rsidRDefault="00A9721F">
      <w:pPr>
        <w:pStyle w:val="Definition-Field2"/>
      </w:pPr>
      <w:r>
        <w:t>Office requires that the macro attribute value follow the same grammar as name-references ("</w:t>
      </w:r>
      <w:hyperlink r:id="rId202">
        <w:r>
          <w:rPr>
            <w:rStyle w:val="Hyperlink"/>
          </w:rPr>
          <w:t>[ISO/IEC-29500-1]</w:t>
        </w:r>
      </w:hyperlink>
      <w:r>
        <w:t xml:space="preserve"> §18.17.2.5") with a min</w:t>
      </w:r>
      <w:r>
        <w:t>imum length of 0 characters and a maximum length of 256 characters.</w:t>
      </w:r>
    </w:p>
    <w:p w:rsidR="000A156F" w:rsidRDefault="00A9721F">
      <w:pPr>
        <w:pStyle w:val="Heading3"/>
      </w:pPr>
      <w:bookmarkStart w:id="2767" w:name="section_a10c455e7a6e44c5bf8cfb7c2b3e2eac"/>
      <w:bookmarkStart w:id="2768" w:name="_Toc181684409"/>
      <w:r>
        <w:t>Part 1 Section 20.5.2.30, spPr (Shape Properties)</w:t>
      </w:r>
      <w:bookmarkEnd w:id="2767"/>
      <w:bookmarkEnd w:id="2768"/>
      <w:r>
        <w:fldChar w:fldCharType="begin"/>
      </w:r>
      <w:r>
        <w:instrText xml:space="preserve"> XE "spPr (Shape Properties)" </w:instrText>
      </w:r>
      <w:r>
        <w:fldChar w:fldCharType="end"/>
      </w:r>
    </w:p>
    <w:p w:rsidR="000A156F" w:rsidRDefault="00A9721F">
      <w:pPr>
        <w:pStyle w:val="Definition-Field"/>
      </w:pPr>
      <w:r>
        <w:t xml:space="preserve">a.   </w:t>
      </w:r>
      <w:r>
        <w:rPr>
          <w:i/>
        </w:rPr>
        <w:t>The standard states that bwMode is a valid attribute on the spPr element.</w:t>
      </w:r>
    </w:p>
    <w:p w:rsidR="000A156F" w:rsidRDefault="00A9721F">
      <w:pPr>
        <w:pStyle w:val="Definition-Field2"/>
      </w:pPr>
      <w:r>
        <w:t>Excel and Word do not suppo</w:t>
      </w:r>
      <w:r>
        <w:t>rt this attribute on this element.</w:t>
      </w:r>
    </w:p>
    <w:p w:rsidR="000A156F" w:rsidRDefault="00A9721F">
      <w:pPr>
        <w:pStyle w:val="Definition-Field"/>
      </w:pPr>
      <w:r>
        <w:t xml:space="preserve">b.   </w:t>
      </w:r>
      <w:r>
        <w:rPr>
          <w:i/>
        </w:rPr>
        <w:t>The standard states that the spPr element specifies the visual shape properties that can be applied to a special shape such as a connector shape or picture.</w:t>
      </w:r>
    </w:p>
    <w:p w:rsidR="000A156F" w:rsidRDefault="00A9721F">
      <w:pPr>
        <w:pStyle w:val="Definition-Field2"/>
      </w:pPr>
      <w:r>
        <w:t>Office uses this element to specify the visual shape proper</w:t>
      </w:r>
      <w:r>
        <w:t>ties that can be applied to shapes, connector shapes, or pictures.</w:t>
      </w:r>
    </w:p>
    <w:p w:rsidR="000A156F" w:rsidRDefault="00A9721F">
      <w:pPr>
        <w:pStyle w:val="Definition-Field"/>
      </w:pPr>
      <w:r>
        <w:t xml:space="preserve">c.   </w:t>
      </w:r>
      <w:r>
        <w:rPr>
          <w:i/>
        </w:rPr>
        <w:t>The standard states that the bwMode attribute specifies that the group shape should be rendered using only black and white coloring.</w:t>
      </w:r>
    </w:p>
    <w:p w:rsidR="000A156F" w:rsidRDefault="00A9721F">
      <w:pPr>
        <w:pStyle w:val="Definition-Field2"/>
      </w:pPr>
      <w:r>
        <w:t>Office uses this attribute to specify how the group</w:t>
      </w:r>
      <w:r>
        <w:t xml:space="preserve"> shape should be rendered when in black and white mode.</w:t>
      </w:r>
    </w:p>
    <w:p w:rsidR="000A156F" w:rsidRDefault="00A9721F">
      <w:pPr>
        <w:pStyle w:val="Heading3"/>
      </w:pPr>
      <w:bookmarkStart w:id="2769" w:name="section_b4ca93ee062340bc95b3e67d306216ba"/>
      <w:bookmarkStart w:id="2770" w:name="_Toc181684410"/>
      <w:r>
        <w:t>Part 1 Section 20.5.2.31, style (Shape Style)</w:t>
      </w:r>
      <w:bookmarkEnd w:id="2769"/>
      <w:bookmarkEnd w:id="2770"/>
      <w:r>
        <w:fldChar w:fldCharType="begin"/>
      </w:r>
      <w:r>
        <w:instrText xml:space="preserve"> XE "style (Shape Style)" </w:instrText>
      </w:r>
      <w:r>
        <w:fldChar w:fldCharType="end"/>
      </w:r>
    </w:p>
    <w:p w:rsidR="000A156F" w:rsidRDefault="00A9721F">
      <w:pPr>
        <w:pStyle w:val="Definition-Field"/>
      </w:pPr>
      <w:r>
        <w:t xml:space="preserve">a.   </w:t>
      </w:r>
      <w:r>
        <w:rPr>
          <w:i/>
        </w:rPr>
        <w:t>The standard allows a sp, pic or cxnSp to have similar formatting options defined in both the style and spPr elements.</w:t>
      </w:r>
    </w:p>
    <w:p w:rsidR="000A156F" w:rsidRDefault="00A9721F">
      <w:pPr>
        <w:pStyle w:val="Definition-Field2"/>
      </w:pPr>
      <w:r>
        <w:lastRenderedPageBreak/>
        <w:t>In</w:t>
      </w:r>
      <w:r>
        <w:t xml:space="preserve"> Office, shape properties defined on the parent element will override similar style components (lnRef, effectRef, fillRef, fontRef) defined in this element.</w:t>
      </w:r>
    </w:p>
    <w:p w:rsidR="000A156F" w:rsidRDefault="00A9721F">
      <w:pPr>
        <w:pStyle w:val="Definition-Field"/>
      </w:pPr>
      <w:r>
        <w:t xml:space="preserve">b.   </w:t>
      </w:r>
      <w:r>
        <w:rPr>
          <w:i/>
        </w:rPr>
        <w:t xml:space="preserve">The standard allows similar text formatting properties to be defined for parent element sp by </w:t>
      </w:r>
      <w:r>
        <w:rPr>
          <w:i/>
        </w:rPr>
        <w:t>style or txBody.</w:t>
      </w:r>
    </w:p>
    <w:p w:rsidR="000A156F" w:rsidRDefault="00A9721F">
      <w:pPr>
        <w:pStyle w:val="Definition-Field2"/>
      </w:pPr>
      <w:r>
        <w:t>In Office, child elements in txBody will override similar style properties defined by attribute fontRef.</w:t>
      </w:r>
    </w:p>
    <w:p w:rsidR="000A156F" w:rsidRDefault="00A9721F">
      <w:pPr>
        <w:pStyle w:val="Definition-Field"/>
      </w:pPr>
      <w:r>
        <w:t xml:space="preserve">c.   </w:t>
      </w:r>
      <w:r>
        <w:rPr>
          <w:i/>
        </w:rPr>
        <w:t>The standard states that child element fontRef applies to parent elements pic, cxnSp and sp.</w:t>
      </w:r>
    </w:p>
    <w:p w:rsidR="000A156F" w:rsidRDefault="00A9721F">
      <w:pPr>
        <w:pStyle w:val="Definition-Field2"/>
      </w:pPr>
      <w:r>
        <w:t xml:space="preserve">In Office, child element fontRef is </w:t>
      </w:r>
      <w:r>
        <w:t>not used for parent elements pic and cxnSp.</w:t>
      </w:r>
    </w:p>
    <w:p w:rsidR="000A156F" w:rsidRDefault="00A9721F">
      <w:pPr>
        <w:pStyle w:val="Heading3"/>
      </w:pPr>
      <w:bookmarkStart w:id="2771" w:name="section_6ae4c17e8727447183c9a32482e72ffe"/>
      <w:bookmarkStart w:id="2772" w:name="_Toc181684411"/>
      <w:r>
        <w:t>Part 1 Section 20.5.2.32, to (Ending Anchor Point)</w:t>
      </w:r>
      <w:bookmarkEnd w:id="2771"/>
      <w:bookmarkEnd w:id="2772"/>
      <w:r>
        <w:fldChar w:fldCharType="begin"/>
      </w:r>
      <w:r>
        <w:instrText xml:space="preserve"> XE "to (Ending Anchor Point)" </w:instrText>
      </w:r>
      <w:r>
        <w:fldChar w:fldCharType="end"/>
      </w:r>
    </w:p>
    <w:p w:rsidR="000A156F" w:rsidRDefault="00A9721F">
      <w:pPr>
        <w:pStyle w:val="Definition-Field"/>
      </w:pPr>
      <w:r>
        <w:t xml:space="preserve">a.   </w:t>
      </w:r>
      <w:r>
        <w:rPr>
          <w:i/>
        </w:rPr>
        <w:t>The standard allows shapes to be defined where the right edge is to the left of the left edge or where the bottom edge is a</w:t>
      </w:r>
      <w:r>
        <w:rPr>
          <w:i/>
        </w:rPr>
        <w:t>bove the top edge.</w:t>
      </w:r>
    </w:p>
    <w:p w:rsidR="000A156F" w:rsidRDefault="00A9721F">
      <w:pPr>
        <w:pStyle w:val="Definition-Field2"/>
      </w:pPr>
      <w:r>
        <w:t>Excel does not support shapes where the right edge is to the left of the left edge or where the bottom edge is above the top edge.</w:t>
      </w:r>
    </w:p>
    <w:p w:rsidR="000A156F" w:rsidRDefault="00A9721F">
      <w:pPr>
        <w:pStyle w:val="Heading3"/>
      </w:pPr>
      <w:bookmarkStart w:id="2773" w:name="section_438b915f007e4b90839dd80034a94f66"/>
      <w:bookmarkStart w:id="2774" w:name="_Toc181684412"/>
      <w:r>
        <w:t>Part 1 Section 20.5.2.34, txBody (Shape Text Body)</w:t>
      </w:r>
      <w:bookmarkEnd w:id="2773"/>
      <w:bookmarkEnd w:id="2774"/>
      <w:r>
        <w:fldChar w:fldCharType="begin"/>
      </w:r>
      <w:r>
        <w:instrText xml:space="preserve"> XE "txBody (Shape Text Body)" </w:instrText>
      </w:r>
      <w:r>
        <w:fldChar w:fldCharType="end"/>
      </w:r>
    </w:p>
    <w:p w:rsidR="000A156F" w:rsidRDefault="00A9721F">
      <w:pPr>
        <w:pStyle w:val="Definition-Field"/>
      </w:pPr>
      <w:r>
        <w:t xml:space="preserve">a.   </w:t>
      </w:r>
      <w:r>
        <w:rPr>
          <w:i/>
        </w:rPr>
        <w:t>The standard does</w:t>
      </w:r>
      <w:r>
        <w:rPr>
          <w:i/>
        </w:rPr>
        <w:t xml:space="preserve"> not describe the relationship between similar properties in child elements p (text paragraphs) and lstStyle (text list styles).</w:t>
      </w:r>
    </w:p>
    <w:p w:rsidR="000A156F" w:rsidRDefault="00A9721F">
      <w:pPr>
        <w:pStyle w:val="Definition-Field2"/>
      </w:pPr>
      <w:r>
        <w:t xml:space="preserve">In Office, if no text list styles are defined in a paragraph, styles from lstStyle are used. If no list styles are defined and </w:t>
      </w:r>
      <w:r>
        <w:t>there is no lstStyle defined, the text in the list defaults to the current text style.</w:t>
      </w:r>
    </w:p>
    <w:p w:rsidR="000A156F" w:rsidRDefault="00A9721F">
      <w:pPr>
        <w:pStyle w:val="Heading3"/>
      </w:pPr>
      <w:bookmarkStart w:id="2775" w:name="section_2401c007314f4d8eba6b767f54e8c97f"/>
      <w:bookmarkStart w:id="2776" w:name="_Toc181684413"/>
      <w:r>
        <w:t>Part 1 Section 20.5.2.36, xfrm (2D Transform for Graphic Frames)</w:t>
      </w:r>
      <w:bookmarkEnd w:id="2775"/>
      <w:bookmarkEnd w:id="2776"/>
      <w:r>
        <w:fldChar w:fldCharType="begin"/>
      </w:r>
      <w:r>
        <w:instrText xml:space="preserve"> XE "xfrm (2D Transform for Graphic Frames)" </w:instrText>
      </w:r>
      <w:r>
        <w:fldChar w:fldCharType="end"/>
      </w:r>
    </w:p>
    <w:p w:rsidR="000A156F" w:rsidRDefault="00A9721F">
      <w:pPr>
        <w:pStyle w:val="Definition-Field2"/>
      </w:pPr>
      <w:r>
        <w:rPr>
          <w:i/>
        </w:rPr>
        <w:t>For additional notes that apply to this portion of the st</w:t>
      </w:r>
      <w:r>
        <w:rPr>
          <w:i/>
        </w:rPr>
        <w:t xml:space="preserve">andard, please see the notes for </w:t>
      </w:r>
      <w:hyperlink w:anchor="Section_c7555d2c472a4d15b23041046bc41819">
        <w:r>
          <w:rPr>
            <w:rStyle w:val="Hyperlink"/>
          </w:rPr>
          <w:t>xfrm, §20.1.7.6(a)</w:t>
        </w:r>
      </w:hyperlink>
      <w:r>
        <w:rPr>
          <w:i/>
        </w:rPr>
        <w:t>.</w:t>
      </w:r>
    </w:p>
    <w:p w:rsidR="000A156F" w:rsidRDefault="00A9721F">
      <w:pPr>
        <w:pStyle w:val="Definition-Field"/>
      </w:pPr>
      <w:r>
        <w:t xml:space="preserve">a.   </w:t>
      </w:r>
      <w:r>
        <w:rPr>
          <w:i/>
        </w:rPr>
        <w:t>The standard includes attributes flipH, flipV and rot for the xfrm element.</w:t>
      </w:r>
    </w:p>
    <w:p w:rsidR="000A156F" w:rsidRDefault="00A9721F">
      <w:pPr>
        <w:pStyle w:val="Definition-Field2"/>
      </w:pPr>
      <w:r>
        <w:t>Excel does not support these attributes for graphic frames.</w:t>
      </w:r>
      <w:r>
        <w:t xml:space="preserve"> Any value loaded for these attributes will not be written to the file when saved.</w:t>
      </w:r>
    </w:p>
    <w:p w:rsidR="000A156F" w:rsidRDefault="00A9721F">
      <w:pPr>
        <w:pStyle w:val="Definition-Field"/>
      </w:pPr>
      <w:r>
        <w:t xml:space="preserve">b.   </w:t>
      </w:r>
      <w:r>
        <w:rPr>
          <w:i/>
        </w:rPr>
        <w:t>The standard includes ext and off as child elements of xfrm.</w:t>
      </w:r>
    </w:p>
    <w:p w:rsidR="000A156F" w:rsidRDefault="00A9721F">
      <w:pPr>
        <w:pStyle w:val="Definition-Field2"/>
      </w:pPr>
      <w:r>
        <w:t xml:space="preserve">The ext and off elements are used by Excel only if the graphic frame is inside of a group. If the graphic </w:t>
      </w:r>
      <w:r>
        <w:t>frame is not inside of a group, Excel will always output 0 for the attribute values of both elements.</w:t>
      </w:r>
    </w:p>
    <w:p w:rsidR="000A156F" w:rsidRDefault="00A9721F">
      <w:pPr>
        <w:pStyle w:val="Heading3"/>
      </w:pPr>
      <w:bookmarkStart w:id="2777" w:name="section_72855a96a6b84efb89ed82550c7768c7"/>
      <w:bookmarkStart w:id="2778" w:name="_Toc181684414"/>
      <w:r>
        <w:t>Part 1 Section 21.1.2.1, Body Formatting</w:t>
      </w:r>
      <w:bookmarkEnd w:id="2777"/>
      <w:bookmarkEnd w:id="2778"/>
      <w:r>
        <w:fldChar w:fldCharType="begin"/>
      </w:r>
      <w:r>
        <w:instrText xml:space="preserve"> XE "Body Formatting" </w:instrText>
      </w:r>
      <w:r>
        <w:fldChar w:fldCharType="end"/>
      </w:r>
    </w:p>
    <w:p w:rsidR="000A156F" w:rsidRDefault="00A9721F">
      <w:pPr>
        <w:pStyle w:val="Definition-Field"/>
      </w:pPr>
      <w:r>
        <w:t xml:space="preserve">a.   </w:t>
      </w:r>
      <w:r>
        <w:rPr>
          <w:i/>
        </w:rPr>
        <w:t xml:space="preserve">The standard states that ST_TextFontScalePercent is read and written as a percent </w:t>
      </w:r>
      <w:r>
        <w:rPr>
          <w:i/>
        </w:rPr>
        <w:t>with a trailing percent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without trailing percent sign.</w:t>
      </w:r>
    </w:p>
    <w:p w:rsidR="000A156F" w:rsidRDefault="00A9721F">
      <w:pPr>
        <w:pStyle w:val="Heading3"/>
      </w:pPr>
      <w:bookmarkStart w:id="2779" w:name="section_b3da041fd56f464ba9b32e3274de9caf"/>
      <w:bookmarkStart w:id="2780" w:name="_Toc181684415"/>
      <w:r>
        <w:lastRenderedPageBreak/>
        <w:t>Part 1 Sect</w:t>
      </w:r>
      <w:r>
        <w:t>ion 21.1.2.1.1, bodyPr (Body Properties)</w:t>
      </w:r>
      <w:bookmarkEnd w:id="2779"/>
      <w:bookmarkEnd w:id="2780"/>
      <w:r>
        <w:fldChar w:fldCharType="begin"/>
      </w:r>
      <w:r>
        <w:instrText xml:space="preserve"> XE "bodyPr (Body Properties)" </w:instrText>
      </w:r>
      <w:r>
        <w:fldChar w:fldCharType="end"/>
      </w:r>
    </w:p>
    <w:p w:rsidR="000A156F" w:rsidRDefault="00A9721F">
      <w:pPr>
        <w:pStyle w:val="Definition-Field"/>
      </w:pPr>
      <w:r>
        <w:t xml:space="preserve">a.   </w:t>
      </w:r>
      <w:r>
        <w:rPr>
          <w:i/>
        </w:rPr>
        <w:t>The standard specifies that the attributes anchorCtr, forceAA, fromWordArt, and rtlCol have an implied value of off.</w:t>
      </w:r>
    </w:p>
    <w:p w:rsidR="000A156F" w:rsidRDefault="00A9721F">
      <w:pPr>
        <w:pStyle w:val="Definition-Field2"/>
      </w:pPr>
      <w:r>
        <w:t>Office interprets the attributes anchorCtr, forceAA, fromWor</w:t>
      </w:r>
      <w:r>
        <w:t>dArt, and rtlCol as having an implied value of false.</w:t>
      </w:r>
    </w:p>
    <w:p w:rsidR="000A156F" w:rsidRDefault="00A9721F">
      <w:pPr>
        <w:pStyle w:val="Definition-Field"/>
      </w:pPr>
      <w:r>
        <w:t xml:space="preserve">b.   </w:t>
      </w:r>
      <w:r>
        <w:rPr>
          <w:i/>
        </w:rPr>
        <w:t>The standard does not fully describe the process for resolving missing attribute values.</w:t>
      </w:r>
    </w:p>
    <w:p w:rsidR="000A156F" w:rsidRDefault="00A9721F">
      <w:r>
        <w:t xml:space="preserve">In Office, attributes not specified explicitly within the bodyPr element shall have their values determined </w:t>
      </w:r>
      <w:r>
        <w:t>by inheritance. Attribute values will be resolved using an applicable ancestor element of the same type as the bodyPr element. The inheritance order in which applicable attribute value shall be applied is as follows:</w:t>
      </w:r>
    </w:p>
    <w:p w:rsidR="000A156F" w:rsidRDefault="00A9721F">
      <w:r>
        <w:t xml:space="preserve">A corresponding ancestor element which </w:t>
      </w:r>
      <w:r>
        <w:t>is a child element of the txDef element ("</w:t>
      </w:r>
      <w:hyperlink r:id="rId203">
        <w:r>
          <w:rPr>
            <w:rStyle w:val="Hyperlink"/>
          </w:rPr>
          <w:t>[ISO/IEC-29500-1]</w:t>
        </w:r>
      </w:hyperlink>
      <w:r>
        <w:t xml:space="preserve"> §20.1.4.1.28; txDef") of the theme part.</w:t>
      </w:r>
    </w:p>
    <w:p w:rsidR="000A156F" w:rsidRDefault="00A9721F">
      <w:r>
        <w:t>A corresponding ancestor element which is a child element of the lnDef element ("[ISO/IEC</w:t>
      </w:r>
      <w:r>
        <w:t>-29500-1] §20.1.4.1.20; lnDef") of the theme part.</w:t>
      </w:r>
    </w:p>
    <w:p w:rsidR="000A156F" w:rsidRDefault="00A9721F">
      <w:r>
        <w:t>A corresponding ancestor element which is a child element of the spDef element ("[ISO/IEC-29500-1] §20.1.4.1.27; spDef") of the theme part.</w:t>
      </w:r>
    </w:p>
    <w:p w:rsidR="000A156F" w:rsidRDefault="00A9721F">
      <w:r>
        <w:t xml:space="preserve">If the value of an attribute is not determined via this process, </w:t>
      </w:r>
      <w:r>
        <w:t>the default value specified within the bodyPr element shall be used.</w:t>
      </w:r>
    </w:p>
    <w:p w:rsidR="000A156F" w:rsidRDefault="00A9721F">
      <w:r>
        <w:t>PowerPoint uses a corresponding child element which is contained within the corresponding sldMaster element ("[ISO/IEC-29500-1] §19.3.1.42; sldMaster") if the value of an attribute is not</w:t>
      </w:r>
      <w:r>
        <w:t xml:space="preserve"> determined by this inheritance order. If the corresponding sldMaster element ("[ISO/IEC-29500-1] §19.3.1.42; sldMaster") does not specify the value of the attribute and the value was not determined from the inheritance order, then the default value specif</w:t>
      </w:r>
      <w:r>
        <w:t>ied within the bodyPr element shall be used.</w:t>
      </w:r>
    </w:p>
    <w:p w:rsidR="000A156F" w:rsidRDefault="00A9721F">
      <w:r>
        <w:t>Word does not evaluate the rot attribute for text rotation in builds before 15609.10000 (Windows)/65.22080801 (Mac).</w:t>
      </w:r>
    </w:p>
    <w:p w:rsidR="000A156F" w:rsidRDefault="00A9721F">
      <w:pPr>
        <w:pStyle w:val="Heading3"/>
      </w:pPr>
      <w:bookmarkStart w:id="2781" w:name="section_56ab6d152c9a4d77bc6b3d8a7d98ebf3"/>
      <w:bookmarkStart w:id="2782" w:name="_Toc181684416"/>
      <w:r>
        <w:t>Part 1 Section 21.1.2.1.2, noAutofit (No AutoFit)</w:t>
      </w:r>
      <w:bookmarkEnd w:id="2781"/>
      <w:bookmarkEnd w:id="2782"/>
      <w:r>
        <w:fldChar w:fldCharType="begin"/>
      </w:r>
      <w:r>
        <w:instrText xml:space="preserve"> XE "noAutofit (No AutoFit)" </w:instrText>
      </w:r>
      <w:r>
        <w:fldChar w:fldCharType="end"/>
      </w:r>
    </w:p>
    <w:p w:rsidR="000A156F" w:rsidRDefault="00A9721F">
      <w:pPr>
        <w:pStyle w:val="Definition-Field"/>
      </w:pPr>
      <w:r>
        <w:t xml:space="preserve">a.   </w:t>
      </w:r>
      <w:r>
        <w:rPr>
          <w:i/>
        </w:rPr>
        <w:t>The stan</w:t>
      </w:r>
      <w:r>
        <w:rPr>
          <w:i/>
        </w:rPr>
        <w:t>dard states if the noAutofit element is omitted, no autofit or autofit off is implied.</w:t>
      </w:r>
    </w:p>
    <w:p w:rsidR="000A156F" w:rsidRDefault="00A9721F">
      <w:pPr>
        <w:pStyle w:val="Definition-Field2"/>
      </w:pPr>
      <w:r>
        <w:t>Office uses a hierarchy of text styles to determine if the text should be autofit or not.</w:t>
      </w:r>
    </w:p>
    <w:p w:rsidR="000A156F" w:rsidRDefault="00A9721F">
      <w:pPr>
        <w:pStyle w:val="Heading3"/>
      </w:pPr>
      <w:bookmarkStart w:id="2783" w:name="section_d39a452875c3454288aadb874e68085c"/>
      <w:bookmarkStart w:id="2784" w:name="_Toc181684417"/>
      <w:r>
        <w:t>Part 1 Section 21.1.2.1.3, normAutofit (Normal AutoFit)</w:t>
      </w:r>
      <w:bookmarkEnd w:id="2783"/>
      <w:bookmarkEnd w:id="2784"/>
      <w:r>
        <w:fldChar w:fldCharType="begin"/>
      </w:r>
      <w:r>
        <w:instrText xml:space="preserve"> XE "normAutofit (Normal</w:instrText>
      </w:r>
      <w:r>
        <w:instrText xml:space="preserve"> AutoFit)" </w:instrText>
      </w:r>
      <w:r>
        <w:fldChar w:fldCharType="end"/>
      </w:r>
    </w:p>
    <w:p w:rsidR="000A156F" w:rsidRDefault="00A9721F">
      <w:pPr>
        <w:pStyle w:val="Definition-Field"/>
        <w:numPr>
          <w:ilvl w:val="0"/>
          <w:numId w:val="135"/>
        </w:numPr>
        <w:rPr>
          <w:i/>
        </w:rPr>
      </w:pPr>
      <w:r>
        <w:rPr>
          <w:i/>
        </w:rPr>
        <w:t>The standard states that if the normAutofit element is omitted then no autofit or autofit off is implied.</w:t>
      </w:r>
    </w:p>
    <w:p w:rsidR="000A156F" w:rsidRDefault="00A9721F">
      <w:pPr>
        <w:pStyle w:val="Definition-Field2"/>
      </w:pPr>
      <w:r>
        <w:t xml:space="preserve">PowerPoint follows </w:t>
      </w:r>
      <w:r>
        <w:rPr>
          <w:i/>
        </w:rPr>
        <w:t>normAutofit</w:t>
      </w:r>
      <w:r>
        <w:t xml:space="preserve"> as described above, however other Office apps like Word or Excel do not follow this and instead use a hie</w:t>
      </w:r>
      <w:r>
        <w:t>rarchy of text styles to determine if the text should be autofit or not.</w:t>
      </w:r>
    </w:p>
    <w:p w:rsidR="000A156F" w:rsidRDefault="00A9721F">
      <w:pPr>
        <w:pStyle w:val="Heading3"/>
      </w:pPr>
      <w:bookmarkStart w:id="2785" w:name="section_ed53fa9e9351449da926f994efb77a57"/>
      <w:bookmarkStart w:id="2786" w:name="_Toc181684418"/>
      <w:r>
        <w:t>Part 1 Section 21.1.2.1.4, spAutoFit (Shape AutoFit)</w:t>
      </w:r>
      <w:bookmarkEnd w:id="2785"/>
      <w:bookmarkEnd w:id="2786"/>
      <w:r>
        <w:fldChar w:fldCharType="begin"/>
      </w:r>
      <w:r>
        <w:instrText xml:space="preserve"> XE "spAutoFit (Shape AutoFit)" </w:instrText>
      </w:r>
      <w:r>
        <w:fldChar w:fldCharType="end"/>
      </w:r>
    </w:p>
    <w:p w:rsidR="000A156F" w:rsidRDefault="00A9721F">
      <w:pPr>
        <w:pStyle w:val="Definition-Field"/>
      </w:pPr>
      <w:r>
        <w:t xml:space="preserve">a.   </w:t>
      </w:r>
      <w:r>
        <w:rPr>
          <w:i/>
        </w:rPr>
        <w:t>The standard states that if the spAutoFit element is omitted then noAutofit or auto-fit off</w:t>
      </w:r>
      <w:r>
        <w:rPr>
          <w:i/>
        </w:rPr>
        <w:t xml:space="preserve"> is implied.</w:t>
      </w:r>
    </w:p>
    <w:p w:rsidR="000A156F" w:rsidRDefault="00A9721F">
      <w:pPr>
        <w:pStyle w:val="Definition-Field2"/>
      </w:pPr>
      <w:r>
        <w:t>Office does not follow this and instead uses a hierarchy of text styles to determine if the text should be autofit or not.</w:t>
      </w:r>
    </w:p>
    <w:p w:rsidR="000A156F" w:rsidRDefault="00A9721F">
      <w:pPr>
        <w:pStyle w:val="Definition-Field"/>
      </w:pPr>
      <w:r>
        <w:lastRenderedPageBreak/>
        <w:t xml:space="preserve">b.   </w:t>
      </w:r>
      <w:r>
        <w:rPr>
          <w:i/>
        </w:rPr>
        <w:t>The standard states that the spAutofit element specifies that text within a shape is scaled in order to contain all</w:t>
      </w:r>
      <w:r>
        <w:rPr>
          <w:i/>
        </w:rPr>
        <w:t xml:space="preserve"> the text inside the bounds of the shape.</w:t>
      </w:r>
    </w:p>
    <w:p w:rsidR="000A156F" w:rsidRDefault="00A9721F">
      <w:pPr>
        <w:pStyle w:val="Definition-Field2"/>
      </w:pPr>
      <w:r>
        <w:t>Office uses the spAutoFit element to specify that the containing shape should be resized to contain text.</w:t>
      </w:r>
    </w:p>
    <w:p w:rsidR="000A156F" w:rsidRDefault="00A9721F">
      <w:pPr>
        <w:pStyle w:val="Heading3"/>
      </w:pPr>
      <w:bookmarkStart w:id="2787" w:name="section_182923767677479284228024b97ec52f"/>
      <w:bookmarkStart w:id="2788" w:name="_Toc181684419"/>
      <w:r>
        <w:t>Part 1 Section 21.1.2.2.2, defPPr (Default Paragraph Style)</w:t>
      </w:r>
      <w:bookmarkEnd w:id="2787"/>
      <w:bookmarkEnd w:id="2788"/>
      <w:r>
        <w:fldChar w:fldCharType="begin"/>
      </w:r>
      <w:r>
        <w:instrText xml:space="preserve"> XE "defPPr (Default Paragraph Style)"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A156F" w:rsidRDefault="00A9721F">
      <w:pPr>
        <w:pStyle w:val="Definition-Field"/>
      </w:pPr>
      <w:r>
        <w:t xml:space="preserve">a.   </w:t>
      </w:r>
      <w:r>
        <w:rPr>
          <w:i/>
        </w:rPr>
        <w:t>The standard describes the defPPr element as specifying paragraph prop</w:t>
      </w:r>
      <w:r>
        <w:rPr>
          <w:i/>
        </w:rPr>
        <w:t>erties.</w:t>
      </w:r>
    </w:p>
    <w:p w:rsidR="000A156F" w:rsidRDefault="00A9721F">
      <w:pPr>
        <w:pStyle w:val="Definition-Field2"/>
      </w:pPr>
      <w:r>
        <w:t>Office ignores this element and does not use it to determine paragraph properties.</w:t>
      </w:r>
    </w:p>
    <w:p w:rsidR="000A156F" w:rsidRDefault="00A9721F">
      <w:pPr>
        <w:pStyle w:val="Heading3"/>
      </w:pPr>
      <w:bookmarkStart w:id="2789" w:name="section_1df959fe2871407da864f6cb7dc4b748"/>
      <w:bookmarkStart w:id="2790" w:name="_Toc181684420"/>
      <w:r>
        <w:t>Part 1 Section 21.1.2.2.3, endParaRPr (End Paragraph Run Properties)</w:t>
      </w:r>
      <w:bookmarkEnd w:id="2789"/>
      <w:bookmarkEnd w:id="2790"/>
      <w:r>
        <w:fldChar w:fldCharType="begin"/>
      </w:r>
      <w:r>
        <w:instrText xml:space="preserve"> XE "endParaRPr (End Paragraph Run Properties)" </w:instrText>
      </w:r>
      <w:r>
        <w:fldChar w:fldCharType="end"/>
      </w:r>
    </w:p>
    <w:p w:rsidR="000A156F" w:rsidRDefault="00A9721F">
      <w:pPr>
        <w:pStyle w:val="Definition-Field2"/>
      </w:pPr>
      <w:r>
        <w:rPr>
          <w:i/>
        </w:rPr>
        <w:t>For additional notes that apply to this portio</w:t>
      </w:r>
      <w:r>
        <w:rPr>
          <w:i/>
        </w:rPr>
        <w:t xml:space="preserve">n of the standard, please see the notes for </w:t>
      </w:r>
      <w:hyperlink w:anchor="Section_953e072cf2344373b0173f1f71eac93b">
        <w:r>
          <w:rPr>
            <w:rStyle w:val="Hyperlink"/>
          </w:rPr>
          <w:t>rPr, §21.1.2.3.9(a, b,d-g)</w:t>
        </w:r>
      </w:hyperlink>
      <w:r>
        <w:rPr>
          <w:i/>
        </w:rPr>
        <w:t>.</w:t>
      </w:r>
    </w:p>
    <w:p w:rsidR="000A156F" w:rsidRDefault="00A9721F">
      <w:pPr>
        <w:pStyle w:val="Heading3"/>
      </w:pPr>
      <w:bookmarkStart w:id="2791" w:name="section_209a8afb4ce64ad9ad6bf18da263502e"/>
      <w:bookmarkStart w:id="2792" w:name="_Toc181684421"/>
      <w:r>
        <w:t>Part 1 Section 21.1.2.2.4, fld (Text Field)</w:t>
      </w:r>
      <w:bookmarkEnd w:id="2791"/>
      <w:bookmarkEnd w:id="2792"/>
      <w:r>
        <w:fldChar w:fldCharType="begin"/>
      </w:r>
      <w:r>
        <w:instrText xml:space="preserve"> XE "fld (Text Field)" </w:instrText>
      </w:r>
      <w:r>
        <w:fldChar w:fldCharType="end"/>
      </w:r>
    </w:p>
    <w:p w:rsidR="000A156F" w:rsidRDefault="00A9721F">
      <w:pPr>
        <w:pStyle w:val="Definition-Field"/>
      </w:pPr>
      <w:r>
        <w:t xml:space="preserve">a.   </w:t>
      </w:r>
      <w:r>
        <w:rPr>
          <w:i/>
        </w:rPr>
        <w:t xml:space="preserve">The standard states that the type attribute of </w:t>
      </w:r>
      <w:r>
        <w:rPr>
          <w:i/>
        </w:rPr>
        <w:t>the fld element specifies the type of update text that should be used within the text field.</w:t>
      </w:r>
    </w:p>
    <w:p w:rsidR="000A156F" w:rsidRDefault="00A9721F">
      <w:r>
        <w:t>In Office, the type attribute specifies the type of text that should be used to update this text field. This is used to inform Office what text it should use to up</w:t>
      </w:r>
      <w:r>
        <w:t>date this text field. There are no specific syntax restrictions placed on this attribute. The generating application may use it to represent any text that should be updated before rendering the presentation.</w:t>
      </w:r>
    </w:p>
    <w:p w:rsidR="000A156F" w:rsidRDefault="00A9721F">
      <w:r>
        <w:t>Reserved Values:</w:t>
      </w:r>
    </w:p>
    <w:tbl>
      <w:tblPr>
        <w:tblStyle w:val="Table-ShadedHeader"/>
        <w:tblW w:w="0" w:type="auto"/>
        <w:tblLook w:val="04A0" w:firstRow="1" w:lastRow="0" w:firstColumn="1" w:lastColumn="0" w:noHBand="0" w:noVBand="1"/>
      </w:tblPr>
      <w:tblGrid>
        <w:gridCol w:w="1733"/>
        <w:gridCol w:w="774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slidenum</w:t>
            </w:r>
          </w:p>
        </w:tc>
        <w:tc>
          <w:tcPr>
            <w:tcW w:w="0" w:type="auto"/>
            <w:vAlign w:val="center"/>
          </w:tcPr>
          <w:p w:rsidR="000A156F" w:rsidRDefault="00A9721F">
            <w:pPr>
              <w:pStyle w:val="TableBodyText"/>
            </w:pPr>
            <w:r>
              <w:t>pre</w:t>
            </w:r>
            <w:r>
              <w:t>sentation slide number</w:t>
            </w:r>
          </w:p>
        </w:tc>
      </w:tr>
      <w:tr w:rsidR="000A156F" w:rsidTr="000A156F">
        <w:tc>
          <w:tcPr>
            <w:tcW w:w="0" w:type="auto"/>
            <w:vAlign w:val="center"/>
          </w:tcPr>
          <w:p w:rsidR="000A156F" w:rsidRDefault="00A9721F">
            <w:pPr>
              <w:pStyle w:val="TableBodyText"/>
            </w:pPr>
            <w:r>
              <w:rPr>
                <w:i/>
              </w:rPr>
              <w:t>datetime</w:t>
            </w:r>
          </w:p>
        </w:tc>
        <w:tc>
          <w:tcPr>
            <w:tcW w:w="0" w:type="auto"/>
            <w:vAlign w:val="center"/>
          </w:tcPr>
          <w:p w:rsidR="000A156F" w:rsidRDefault="00A9721F">
            <w:pPr>
              <w:pStyle w:val="TableBodyText"/>
            </w:pPr>
            <w:r>
              <w:t>default date time format for the rendering application</w:t>
            </w:r>
          </w:p>
        </w:tc>
      </w:tr>
      <w:tr w:rsidR="000A156F" w:rsidTr="000A156F">
        <w:tc>
          <w:tcPr>
            <w:tcW w:w="0" w:type="auto"/>
            <w:vAlign w:val="center"/>
          </w:tcPr>
          <w:p w:rsidR="000A156F" w:rsidRDefault="00A9721F">
            <w:pPr>
              <w:pStyle w:val="TableBodyText"/>
            </w:pPr>
            <w:r>
              <w:rPr>
                <w:i/>
              </w:rPr>
              <w:t>datetimeFigureOut</w:t>
            </w:r>
          </w:p>
        </w:tc>
        <w:tc>
          <w:tcPr>
            <w:tcW w:w="0" w:type="auto"/>
            <w:vAlign w:val="center"/>
          </w:tcPr>
          <w:p w:rsidR="000A156F" w:rsidRDefault="00A9721F">
            <w:pPr>
              <w:pStyle w:val="TableBodyText"/>
            </w:pPr>
            <w:r>
              <w:t xml:space="preserve">equivalent to </w:t>
            </w:r>
            <w:r>
              <w:rPr>
                <w:i/>
              </w:rPr>
              <w:t>datetime1</w:t>
            </w:r>
          </w:p>
        </w:tc>
      </w:tr>
      <w:tr w:rsidR="000A156F" w:rsidTr="000A156F">
        <w:tc>
          <w:tcPr>
            <w:tcW w:w="0" w:type="auto"/>
            <w:vAlign w:val="center"/>
          </w:tcPr>
          <w:p w:rsidR="000A156F" w:rsidRDefault="00A9721F">
            <w:pPr>
              <w:pStyle w:val="TableBodyText"/>
            </w:pPr>
            <w:r>
              <w:rPr>
                <w:i/>
              </w:rPr>
              <w:t>datetime1</w:t>
            </w:r>
          </w:p>
        </w:tc>
        <w:tc>
          <w:tcPr>
            <w:tcW w:w="0" w:type="auto"/>
            <w:vAlign w:val="center"/>
          </w:tcPr>
          <w:p w:rsidR="000A156F" w:rsidRDefault="00A9721F">
            <w:pPr>
              <w:pStyle w:val="TableBodyText"/>
            </w:pPr>
            <w:r>
              <w:t>MM/DD/YYYY date time format [Example: 10/12/2007 end example]</w:t>
            </w:r>
          </w:p>
        </w:tc>
      </w:tr>
      <w:tr w:rsidR="000A156F" w:rsidTr="000A156F">
        <w:tc>
          <w:tcPr>
            <w:tcW w:w="0" w:type="auto"/>
            <w:vAlign w:val="center"/>
          </w:tcPr>
          <w:p w:rsidR="000A156F" w:rsidRDefault="00A9721F">
            <w:pPr>
              <w:pStyle w:val="TableBodyText"/>
            </w:pPr>
            <w:r>
              <w:rPr>
                <w:i/>
              </w:rPr>
              <w:t>datetime2</w:t>
            </w:r>
          </w:p>
        </w:tc>
        <w:tc>
          <w:tcPr>
            <w:tcW w:w="0" w:type="auto"/>
            <w:vAlign w:val="center"/>
          </w:tcPr>
          <w:p w:rsidR="000A156F" w:rsidRDefault="00A9721F">
            <w:pPr>
              <w:pStyle w:val="TableBodyText"/>
            </w:pPr>
            <w:r>
              <w:t xml:space="preserve">Day, Month DD, YYYY date time format </w:t>
            </w:r>
            <w:r>
              <w:t>[Example: Friday, October 12, 2007 end example]</w:t>
            </w:r>
          </w:p>
        </w:tc>
      </w:tr>
      <w:tr w:rsidR="000A156F" w:rsidTr="000A156F">
        <w:tc>
          <w:tcPr>
            <w:tcW w:w="0" w:type="auto"/>
            <w:vAlign w:val="center"/>
          </w:tcPr>
          <w:p w:rsidR="000A156F" w:rsidRDefault="00A9721F">
            <w:pPr>
              <w:pStyle w:val="TableBodyText"/>
            </w:pPr>
            <w:r>
              <w:rPr>
                <w:i/>
              </w:rPr>
              <w:t>datetime3</w:t>
            </w:r>
          </w:p>
        </w:tc>
        <w:tc>
          <w:tcPr>
            <w:tcW w:w="0" w:type="auto"/>
            <w:vAlign w:val="center"/>
          </w:tcPr>
          <w:p w:rsidR="000A156F" w:rsidRDefault="00A9721F">
            <w:pPr>
              <w:pStyle w:val="TableBodyText"/>
            </w:pPr>
            <w:r>
              <w:t>DD Month YYYY date time format [Example: 12 October 2007 end example]</w:t>
            </w:r>
          </w:p>
        </w:tc>
      </w:tr>
      <w:tr w:rsidR="000A156F" w:rsidTr="000A156F">
        <w:tc>
          <w:tcPr>
            <w:tcW w:w="0" w:type="auto"/>
            <w:vAlign w:val="center"/>
          </w:tcPr>
          <w:p w:rsidR="000A156F" w:rsidRDefault="00A9721F">
            <w:pPr>
              <w:pStyle w:val="TableBodyText"/>
            </w:pPr>
            <w:r>
              <w:rPr>
                <w:i/>
              </w:rPr>
              <w:t>datetime4</w:t>
            </w:r>
          </w:p>
        </w:tc>
        <w:tc>
          <w:tcPr>
            <w:tcW w:w="0" w:type="auto"/>
            <w:vAlign w:val="center"/>
          </w:tcPr>
          <w:p w:rsidR="000A156F" w:rsidRDefault="00A9721F">
            <w:pPr>
              <w:pStyle w:val="TableBodyText"/>
            </w:pPr>
            <w:r>
              <w:t>Month DD, YYYY date time format [Example: October 12, 2007 end example]</w:t>
            </w:r>
          </w:p>
        </w:tc>
      </w:tr>
      <w:tr w:rsidR="000A156F" w:rsidTr="000A156F">
        <w:tc>
          <w:tcPr>
            <w:tcW w:w="0" w:type="auto"/>
            <w:vAlign w:val="center"/>
          </w:tcPr>
          <w:p w:rsidR="000A156F" w:rsidRDefault="00A9721F">
            <w:pPr>
              <w:pStyle w:val="TableBodyText"/>
            </w:pPr>
            <w:r>
              <w:rPr>
                <w:i/>
              </w:rPr>
              <w:t>datetime5</w:t>
            </w:r>
          </w:p>
        </w:tc>
        <w:tc>
          <w:tcPr>
            <w:tcW w:w="0" w:type="auto"/>
            <w:vAlign w:val="center"/>
          </w:tcPr>
          <w:p w:rsidR="000A156F" w:rsidRDefault="00A9721F">
            <w:pPr>
              <w:pStyle w:val="TableBodyText"/>
            </w:pPr>
            <w:r>
              <w:t>DD-Mon-YY date time format [Examp</w:t>
            </w:r>
            <w:r>
              <w:t>le: 12-Oct-07 end example]</w:t>
            </w:r>
          </w:p>
        </w:tc>
      </w:tr>
      <w:tr w:rsidR="000A156F" w:rsidTr="000A156F">
        <w:tc>
          <w:tcPr>
            <w:tcW w:w="0" w:type="auto"/>
            <w:vAlign w:val="center"/>
          </w:tcPr>
          <w:p w:rsidR="000A156F" w:rsidRDefault="00A9721F">
            <w:pPr>
              <w:pStyle w:val="TableBodyText"/>
            </w:pPr>
            <w:r>
              <w:rPr>
                <w:i/>
              </w:rPr>
              <w:t>datetime6</w:t>
            </w:r>
          </w:p>
        </w:tc>
        <w:tc>
          <w:tcPr>
            <w:tcW w:w="0" w:type="auto"/>
            <w:vAlign w:val="center"/>
          </w:tcPr>
          <w:p w:rsidR="000A156F" w:rsidRDefault="00A9721F">
            <w:pPr>
              <w:pStyle w:val="TableBodyText"/>
            </w:pPr>
            <w:r>
              <w:t>Month YY date time format [Example: October 07 end example]</w:t>
            </w:r>
          </w:p>
        </w:tc>
      </w:tr>
      <w:tr w:rsidR="000A156F" w:rsidTr="000A156F">
        <w:tc>
          <w:tcPr>
            <w:tcW w:w="0" w:type="auto"/>
            <w:vAlign w:val="center"/>
          </w:tcPr>
          <w:p w:rsidR="000A156F" w:rsidRDefault="00A9721F">
            <w:pPr>
              <w:pStyle w:val="TableBodyText"/>
            </w:pPr>
            <w:r>
              <w:rPr>
                <w:i/>
              </w:rPr>
              <w:t>datetime7</w:t>
            </w:r>
          </w:p>
        </w:tc>
        <w:tc>
          <w:tcPr>
            <w:tcW w:w="0" w:type="auto"/>
            <w:vAlign w:val="center"/>
          </w:tcPr>
          <w:p w:rsidR="000A156F" w:rsidRDefault="00A9721F">
            <w:pPr>
              <w:pStyle w:val="TableBodyText"/>
            </w:pPr>
            <w:r>
              <w:t>Mon-YY date time format [Example: Oct-07 end example]</w:t>
            </w:r>
          </w:p>
        </w:tc>
      </w:tr>
      <w:tr w:rsidR="000A156F" w:rsidTr="000A156F">
        <w:tc>
          <w:tcPr>
            <w:tcW w:w="0" w:type="auto"/>
            <w:vAlign w:val="center"/>
          </w:tcPr>
          <w:p w:rsidR="000A156F" w:rsidRDefault="00A9721F">
            <w:pPr>
              <w:pStyle w:val="TableBodyText"/>
            </w:pPr>
            <w:r>
              <w:rPr>
                <w:i/>
              </w:rPr>
              <w:t>datetime8</w:t>
            </w:r>
          </w:p>
        </w:tc>
        <w:tc>
          <w:tcPr>
            <w:tcW w:w="0" w:type="auto"/>
            <w:vAlign w:val="center"/>
          </w:tcPr>
          <w:p w:rsidR="000A156F" w:rsidRDefault="00A9721F">
            <w:pPr>
              <w:pStyle w:val="TableBodyText"/>
            </w:pPr>
            <w:r>
              <w:t>MM/DD/YYYY hh:mm AM/PM date time format [Example: 10/12/2007 4:28 PM end example]</w:t>
            </w:r>
          </w:p>
        </w:tc>
      </w:tr>
      <w:tr w:rsidR="000A156F" w:rsidTr="000A156F">
        <w:tc>
          <w:tcPr>
            <w:tcW w:w="0" w:type="auto"/>
            <w:vAlign w:val="center"/>
          </w:tcPr>
          <w:p w:rsidR="000A156F" w:rsidRDefault="00A9721F">
            <w:pPr>
              <w:pStyle w:val="TableBodyText"/>
            </w:pPr>
            <w:r>
              <w:rPr>
                <w:i/>
              </w:rPr>
              <w:t>datetime9</w:t>
            </w:r>
          </w:p>
        </w:tc>
        <w:tc>
          <w:tcPr>
            <w:tcW w:w="0" w:type="auto"/>
            <w:vAlign w:val="center"/>
          </w:tcPr>
          <w:p w:rsidR="000A156F" w:rsidRDefault="00A9721F">
            <w:pPr>
              <w:pStyle w:val="TableBodyText"/>
            </w:pPr>
            <w:r>
              <w:t>MM/DD/YYYY hh:mm:ss AM/PM date time format [Example: 10/12/2007 4:28:34 PM end example]</w:t>
            </w:r>
          </w:p>
        </w:tc>
      </w:tr>
      <w:tr w:rsidR="000A156F" w:rsidTr="000A156F">
        <w:tc>
          <w:tcPr>
            <w:tcW w:w="0" w:type="auto"/>
            <w:vAlign w:val="center"/>
          </w:tcPr>
          <w:p w:rsidR="000A156F" w:rsidRDefault="00A9721F">
            <w:pPr>
              <w:pStyle w:val="TableBodyText"/>
            </w:pPr>
            <w:r>
              <w:rPr>
                <w:i/>
              </w:rPr>
              <w:t>datetime10</w:t>
            </w:r>
          </w:p>
        </w:tc>
        <w:tc>
          <w:tcPr>
            <w:tcW w:w="0" w:type="auto"/>
            <w:vAlign w:val="center"/>
          </w:tcPr>
          <w:p w:rsidR="000A156F" w:rsidRDefault="00A9721F">
            <w:pPr>
              <w:pStyle w:val="TableBodyText"/>
            </w:pPr>
            <w:r>
              <w:t>hh:mm date time format [Example: 16:28 end example]</w:t>
            </w:r>
          </w:p>
        </w:tc>
      </w:tr>
      <w:tr w:rsidR="000A156F" w:rsidTr="000A156F">
        <w:tc>
          <w:tcPr>
            <w:tcW w:w="0" w:type="auto"/>
            <w:vAlign w:val="center"/>
          </w:tcPr>
          <w:p w:rsidR="000A156F" w:rsidRDefault="00A9721F">
            <w:pPr>
              <w:pStyle w:val="TableBodyText"/>
            </w:pPr>
            <w:r>
              <w:rPr>
                <w:i/>
              </w:rPr>
              <w:lastRenderedPageBreak/>
              <w:t>datetime11</w:t>
            </w:r>
          </w:p>
        </w:tc>
        <w:tc>
          <w:tcPr>
            <w:tcW w:w="0" w:type="auto"/>
            <w:vAlign w:val="center"/>
          </w:tcPr>
          <w:p w:rsidR="000A156F" w:rsidRDefault="00A9721F">
            <w:pPr>
              <w:pStyle w:val="TableBodyText"/>
            </w:pPr>
            <w:r>
              <w:t>hh:mm:ss date time format [Example: 16:28:34 end example]</w:t>
            </w:r>
          </w:p>
        </w:tc>
      </w:tr>
      <w:tr w:rsidR="000A156F" w:rsidTr="000A156F">
        <w:tc>
          <w:tcPr>
            <w:tcW w:w="0" w:type="auto"/>
            <w:vAlign w:val="center"/>
          </w:tcPr>
          <w:p w:rsidR="000A156F" w:rsidRDefault="00A9721F">
            <w:pPr>
              <w:pStyle w:val="TableBodyText"/>
            </w:pPr>
            <w:r>
              <w:rPr>
                <w:i/>
              </w:rPr>
              <w:t>datetime12</w:t>
            </w:r>
          </w:p>
        </w:tc>
        <w:tc>
          <w:tcPr>
            <w:tcW w:w="0" w:type="auto"/>
            <w:vAlign w:val="center"/>
          </w:tcPr>
          <w:p w:rsidR="000A156F" w:rsidRDefault="00A9721F">
            <w:pPr>
              <w:pStyle w:val="TableBodyText"/>
            </w:pPr>
            <w:r>
              <w:t>hh:mm AM/PM</w:t>
            </w:r>
            <w:r>
              <w:t xml:space="preserve"> date time format [Example: 4:28 PM end example]</w:t>
            </w:r>
          </w:p>
        </w:tc>
      </w:tr>
      <w:tr w:rsidR="000A156F" w:rsidTr="000A156F">
        <w:tc>
          <w:tcPr>
            <w:tcW w:w="0" w:type="auto"/>
            <w:vAlign w:val="center"/>
          </w:tcPr>
          <w:p w:rsidR="000A156F" w:rsidRDefault="00A9721F">
            <w:pPr>
              <w:pStyle w:val="TableBodyText"/>
            </w:pPr>
            <w:r>
              <w:rPr>
                <w:i/>
              </w:rPr>
              <w:t>datetime13</w:t>
            </w:r>
          </w:p>
        </w:tc>
        <w:tc>
          <w:tcPr>
            <w:tcW w:w="0" w:type="auto"/>
            <w:vAlign w:val="center"/>
          </w:tcPr>
          <w:p w:rsidR="000A156F" w:rsidRDefault="00A9721F">
            <w:pPr>
              <w:pStyle w:val="TableBodyText"/>
            </w:pPr>
            <w:r>
              <w:t>hh:mm:ss: AM/PM date time format [Example: 4:28:34 PM end example]</w:t>
            </w:r>
          </w:p>
        </w:tc>
      </w:tr>
    </w:tbl>
    <w:p w:rsidR="000A156F" w:rsidRDefault="000A156F"/>
    <w:p w:rsidR="000A156F" w:rsidRDefault="00A9721F">
      <w:pPr>
        <w:pStyle w:val="Definition-Field2"/>
      </w:pPr>
      <w:r>
        <w:t>This note applies to the following products: Office 2010, Office 2010 Server, Office 2010 SP1.</w:t>
      </w:r>
    </w:p>
    <w:p w:rsidR="000A156F" w:rsidRDefault="00A9721F">
      <w:pPr>
        <w:pStyle w:val="Definition-Field"/>
      </w:pPr>
      <w:r>
        <w:t xml:space="preserve">b.   </w:t>
      </w:r>
      <w:r>
        <w:rPr>
          <w:i/>
        </w:rPr>
        <w:t>The standard states that t</w:t>
      </w:r>
      <w:r>
        <w:rPr>
          <w:i/>
        </w:rPr>
        <w:t>he type attribute of the fld element specifies the type of update text that should be used within the text field.</w:t>
      </w:r>
    </w:p>
    <w:p w:rsidR="000A156F" w:rsidRDefault="00A9721F">
      <w:r>
        <w:t>In Office, the type attribute specifies the type of text that should be used to update this text field. This is used to inform Office what tex</w:t>
      </w:r>
      <w:r>
        <w:t>t it should use to update this text field. There are no specific syntax restrictions placed on this attribute. The generating application may use it to represent any text that should be updated before rendering the presentation.</w:t>
      </w:r>
    </w:p>
    <w:p w:rsidR="000A156F" w:rsidRDefault="00A9721F">
      <w:r>
        <w:t>Reserved Values:</w:t>
      </w:r>
    </w:p>
    <w:tbl>
      <w:tblPr>
        <w:tblStyle w:val="Table-ShadedHeader"/>
        <w:tblW w:w="0" w:type="auto"/>
        <w:tblLook w:val="04A0" w:firstRow="1" w:lastRow="0" w:firstColumn="1" w:lastColumn="0" w:noHBand="0" w:noVBand="1"/>
      </w:tblPr>
      <w:tblGrid>
        <w:gridCol w:w="1341"/>
        <w:gridCol w:w="813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slidenum</w:t>
            </w:r>
          </w:p>
        </w:tc>
        <w:tc>
          <w:tcPr>
            <w:tcW w:w="0" w:type="auto"/>
            <w:vAlign w:val="center"/>
          </w:tcPr>
          <w:p w:rsidR="000A156F" w:rsidRDefault="00A9721F">
            <w:pPr>
              <w:pStyle w:val="TableBodyText"/>
            </w:pPr>
            <w:r>
              <w:t>presentation slide number</w:t>
            </w:r>
          </w:p>
        </w:tc>
      </w:tr>
      <w:tr w:rsidR="000A156F" w:rsidTr="000A156F">
        <w:tc>
          <w:tcPr>
            <w:tcW w:w="0" w:type="auto"/>
            <w:vAlign w:val="center"/>
          </w:tcPr>
          <w:p w:rsidR="000A156F" w:rsidRDefault="00A9721F">
            <w:pPr>
              <w:pStyle w:val="TableBodyText"/>
            </w:pPr>
            <w:r>
              <w:rPr>
                <w:i/>
              </w:rPr>
              <w:t>datetime</w:t>
            </w:r>
          </w:p>
        </w:tc>
        <w:tc>
          <w:tcPr>
            <w:tcW w:w="0" w:type="auto"/>
            <w:vAlign w:val="center"/>
          </w:tcPr>
          <w:p w:rsidR="000A156F" w:rsidRDefault="00A9721F">
            <w:pPr>
              <w:pStyle w:val="TableBodyText"/>
            </w:pPr>
            <w:r>
              <w:t>default date time format for the rendering application</w:t>
            </w:r>
          </w:p>
        </w:tc>
      </w:tr>
      <w:tr w:rsidR="000A156F" w:rsidTr="000A156F">
        <w:tc>
          <w:tcPr>
            <w:tcW w:w="0" w:type="auto"/>
            <w:vAlign w:val="center"/>
          </w:tcPr>
          <w:p w:rsidR="000A156F" w:rsidRDefault="00A9721F">
            <w:pPr>
              <w:pStyle w:val="TableBodyText"/>
            </w:pPr>
            <w:r>
              <w:rPr>
                <w:i/>
              </w:rPr>
              <w:t>datetime1</w:t>
            </w:r>
          </w:p>
        </w:tc>
        <w:tc>
          <w:tcPr>
            <w:tcW w:w="0" w:type="auto"/>
            <w:vAlign w:val="center"/>
          </w:tcPr>
          <w:p w:rsidR="000A156F" w:rsidRDefault="00A9721F">
            <w:pPr>
              <w:pStyle w:val="TableBodyText"/>
            </w:pPr>
            <w:r>
              <w:t>MM/DD/YYYY date time format [Example: 10/12/2007 end example]</w:t>
            </w:r>
          </w:p>
        </w:tc>
      </w:tr>
      <w:tr w:rsidR="000A156F" w:rsidTr="000A156F">
        <w:tc>
          <w:tcPr>
            <w:tcW w:w="0" w:type="auto"/>
            <w:vAlign w:val="center"/>
          </w:tcPr>
          <w:p w:rsidR="000A156F" w:rsidRDefault="00A9721F">
            <w:pPr>
              <w:pStyle w:val="TableBodyText"/>
            </w:pPr>
            <w:r>
              <w:rPr>
                <w:i/>
              </w:rPr>
              <w:t>datetime2</w:t>
            </w:r>
          </w:p>
        </w:tc>
        <w:tc>
          <w:tcPr>
            <w:tcW w:w="0" w:type="auto"/>
            <w:vAlign w:val="center"/>
          </w:tcPr>
          <w:p w:rsidR="000A156F" w:rsidRDefault="00A9721F">
            <w:pPr>
              <w:pStyle w:val="TableBodyText"/>
            </w:pPr>
            <w:r>
              <w:t xml:space="preserve">Day, Month DD, YYYY date time format [Example: Friday, </w:t>
            </w:r>
            <w:r>
              <w:t>October 12, 2007 end example]</w:t>
            </w:r>
          </w:p>
        </w:tc>
      </w:tr>
      <w:tr w:rsidR="000A156F" w:rsidTr="000A156F">
        <w:tc>
          <w:tcPr>
            <w:tcW w:w="0" w:type="auto"/>
            <w:vAlign w:val="center"/>
          </w:tcPr>
          <w:p w:rsidR="000A156F" w:rsidRDefault="00A9721F">
            <w:pPr>
              <w:pStyle w:val="TableBodyText"/>
            </w:pPr>
            <w:r>
              <w:rPr>
                <w:i/>
              </w:rPr>
              <w:t>datetime3</w:t>
            </w:r>
          </w:p>
        </w:tc>
        <w:tc>
          <w:tcPr>
            <w:tcW w:w="0" w:type="auto"/>
            <w:vAlign w:val="center"/>
          </w:tcPr>
          <w:p w:rsidR="000A156F" w:rsidRDefault="00A9721F">
            <w:pPr>
              <w:pStyle w:val="TableBodyText"/>
            </w:pPr>
            <w:r>
              <w:t>DD Month YYYY date time format [Example: 12 October 2007 end example]</w:t>
            </w:r>
          </w:p>
        </w:tc>
      </w:tr>
      <w:tr w:rsidR="000A156F" w:rsidTr="000A156F">
        <w:tc>
          <w:tcPr>
            <w:tcW w:w="0" w:type="auto"/>
            <w:vAlign w:val="center"/>
          </w:tcPr>
          <w:p w:rsidR="000A156F" w:rsidRDefault="00A9721F">
            <w:pPr>
              <w:pStyle w:val="TableBodyText"/>
            </w:pPr>
            <w:r>
              <w:rPr>
                <w:i/>
              </w:rPr>
              <w:t>datetime4</w:t>
            </w:r>
          </w:p>
        </w:tc>
        <w:tc>
          <w:tcPr>
            <w:tcW w:w="0" w:type="auto"/>
            <w:vAlign w:val="center"/>
          </w:tcPr>
          <w:p w:rsidR="000A156F" w:rsidRDefault="00A9721F">
            <w:pPr>
              <w:pStyle w:val="TableBodyText"/>
            </w:pPr>
            <w:r>
              <w:t>Month DD, YYYY date time format [Example: October 12, 2007 end example]</w:t>
            </w:r>
          </w:p>
        </w:tc>
      </w:tr>
      <w:tr w:rsidR="000A156F" w:rsidTr="000A156F">
        <w:tc>
          <w:tcPr>
            <w:tcW w:w="0" w:type="auto"/>
            <w:vAlign w:val="center"/>
          </w:tcPr>
          <w:p w:rsidR="000A156F" w:rsidRDefault="00A9721F">
            <w:pPr>
              <w:pStyle w:val="TableBodyText"/>
            </w:pPr>
            <w:r>
              <w:rPr>
                <w:i/>
              </w:rPr>
              <w:t>datetime5</w:t>
            </w:r>
          </w:p>
        </w:tc>
        <w:tc>
          <w:tcPr>
            <w:tcW w:w="0" w:type="auto"/>
            <w:vAlign w:val="center"/>
          </w:tcPr>
          <w:p w:rsidR="000A156F" w:rsidRDefault="00A9721F">
            <w:pPr>
              <w:pStyle w:val="TableBodyText"/>
            </w:pPr>
            <w:r>
              <w:t xml:space="preserve">DD-Mon-YY date time format [Example: 12-Oct-07 </w:t>
            </w:r>
            <w:r>
              <w:t>end example]</w:t>
            </w:r>
          </w:p>
        </w:tc>
      </w:tr>
      <w:tr w:rsidR="000A156F" w:rsidTr="000A156F">
        <w:tc>
          <w:tcPr>
            <w:tcW w:w="0" w:type="auto"/>
            <w:vAlign w:val="center"/>
          </w:tcPr>
          <w:p w:rsidR="000A156F" w:rsidRDefault="00A9721F">
            <w:pPr>
              <w:pStyle w:val="TableBodyText"/>
            </w:pPr>
            <w:r>
              <w:rPr>
                <w:i/>
              </w:rPr>
              <w:t>datetime6</w:t>
            </w:r>
          </w:p>
        </w:tc>
        <w:tc>
          <w:tcPr>
            <w:tcW w:w="0" w:type="auto"/>
            <w:vAlign w:val="center"/>
          </w:tcPr>
          <w:p w:rsidR="000A156F" w:rsidRDefault="00A9721F">
            <w:pPr>
              <w:pStyle w:val="TableBodyText"/>
            </w:pPr>
            <w:r>
              <w:t>Month YY date time format [Example: October 07 end example]</w:t>
            </w:r>
          </w:p>
        </w:tc>
      </w:tr>
      <w:tr w:rsidR="000A156F" w:rsidTr="000A156F">
        <w:tc>
          <w:tcPr>
            <w:tcW w:w="0" w:type="auto"/>
            <w:vAlign w:val="center"/>
          </w:tcPr>
          <w:p w:rsidR="000A156F" w:rsidRDefault="00A9721F">
            <w:pPr>
              <w:pStyle w:val="TableBodyText"/>
            </w:pPr>
            <w:r>
              <w:rPr>
                <w:i/>
              </w:rPr>
              <w:t>datetime7</w:t>
            </w:r>
          </w:p>
        </w:tc>
        <w:tc>
          <w:tcPr>
            <w:tcW w:w="0" w:type="auto"/>
            <w:vAlign w:val="center"/>
          </w:tcPr>
          <w:p w:rsidR="000A156F" w:rsidRDefault="00A9721F">
            <w:pPr>
              <w:pStyle w:val="TableBodyText"/>
            </w:pPr>
            <w:r>
              <w:t>Mon-YY date time format [Example: Oct-07 end example]</w:t>
            </w:r>
          </w:p>
        </w:tc>
      </w:tr>
      <w:tr w:rsidR="000A156F" w:rsidTr="000A156F">
        <w:tc>
          <w:tcPr>
            <w:tcW w:w="0" w:type="auto"/>
            <w:vAlign w:val="center"/>
          </w:tcPr>
          <w:p w:rsidR="000A156F" w:rsidRDefault="00A9721F">
            <w:pPr>
              <w:pStyle w:val="TableBodyText"/>
            </w:pPr>
            <w:r>
              <w:rPr>
                <w:i/>
              </w:rPr>
              <w:t>datetime8</w:t>
            </w:r>
          </w:p>
        </w:tc>
        <w:tc>
          <w:tcPr>
            <w:tcW w:w="0" w:type="auto"/>
            <w:vAlign w:val="center"/>
          </w:tcPr>
          <w:p w:rsidR="000A156F" w:rsidRDefault="00A9721F">
            <w:pPr>
              <w:pStyle w:val="TableBodyText"/>
            </w:pPr>
            <w:r>
              <w:t>MM/DD/YYYY hh:mm AM/PM date time format [Example: 10/12/2007 4:28 PM end example]</w:t>
            </w:r>
          </w:p>
        </w:tc>
      </w:tr>
      <w:tr w:rsidR="000A156F" w:rsidTr="000A156F">
        <w:tc>
          <w:tcPr>
            <w:tcW w:w="0" w:type="auto"/>
            <w:vAlign w:val="center"/>
          </w:tcPr>
          <w:p w:rsidR="000A156F" w:rsidRDefault="00A9721F">
            <w:pPr>
              <w:pStyle w:val="TableBodyText"/>
            </w:pPr>
            <w:r>
              <w:rPr>
                <w:i/>
              </w:rPr>
              <w:t>datetime9</w:t>
            </w:r>
          </w:p>
        </w:tc>
        <w:tc>
          <w:tcPr>
            <w:tcW w:w="0" w:type="auto"/>
            <w:vAlign w:val="center"/>
          </w:tcPr>
          <w:p w:rsidR="000A156F" w:rsidRDefault="00A9721F">
            <w:pPr>
              <w:pStyle w:val="TableBodyText"/>
            </w:pPr>
            <w:r>
              <w:t>MM/</w:t>
            </w:r>
            <w:r>
              <w:t>DD/YYYY hh:mm:ss AM/PM date time format [Example: 10/12/2007 4:28:34 PM end example]</w:t>
            </w:r>
          </w:p>
        </w:tc>
      </w:tr>
      <w:tr w:rsidR="000A156F" w:rsidTr="000A156F">
        <w:tc>
          <w:tcPr>
            <w:tcW w:w="0" w:type="auto"/>
            <w:vAlign w:val="center"/>
          </w:tcPr>
          <w:p w:rsidR="000A156F" w:rsidRDefault="00A9721F">
            <w:pPr>
              <w:pStyle w:val="TableBodyText"/>
            </w:pPr>
            <w:r>
              <w:rPr>
                <w:i/>
              </w:rPr>
              <w:t>datetime10</w:t>
            </w:r>
          </w:p>
        </w:tc>
        <w:tc>
          <w:tcPr>
            <w:tcW w:w="0" w:type="auto"/>
            <w:vAlign w:val="center"/>
          </w:tcPr>
          <w:p w:rsidR="000A156F" w:rsidRDefault="00A9721F">
            <w:pPr>
              <w:pStyle w:val="TableBodyText"/>
            </w:pPr>
            <w:r>
              <w:t>hh:mm date time format [Example: 16:28 end example]</w:t>
            </w:r>
          </w:p>
        </w:tc>
      </w:tr>
      <w:tr w:rsidR="000A156F" w:rsidTr="000A156F">
        <w:tc>
          <w:tcPr>
            <w:tcW w:w="0" w:type="auto"/>
            <w:vAlign w:val="center"/>
          </w:tcPr>
          <w:p w:rsidR="000A156F" w:rsidRDefault="00A9721F">
            <w:pPr>
              <w:pStyle w:val="TableBodyText"/>
            </w:pPr>
            <w:r>
              <w:rPr>
                <w:i/>
              </w:rPr>
              <w:t>datetime11</w:t>
            </w:r>
          </w:p>
        </w:tc>
        <w:tc>
          <w:tcPr>
            <w:tcW w:w="0" w:type="auto"/>
            <w:vAlign w:val="center"/>
          </w:tcPr>
          <w:p w:rsidR="000A156F" w:rsidRDefault="00A9721F">
            <w:pPr>
              <w:pStyle w:val="TableBodyText"/>
            </w:pPr>
            <w:r>
              <w:t>hh:mm:ss date time format [Example: 16:28:34 end example]</w:t>
            </w:r>
          </w:p>
        </w:tc>
      </w:tr>
      <w:tr w:rsidR="000A156F" w:rsidTr="000A156F">
        <w:tc>
          <w:tcPr>
            <w:tcW w:w="0" w:type="auto"/>
            <w:vAlign w:val="center"/>
          </w:tcPr>
          <w:p w:rsidR="000A156F" w:rsidRDefault="00A9721F">
            <w:pPr>
              <w:pStyle w:val="TableBodyText"/>
            </w:pPr>
            <w:r>
              <w:rPr>
                <w:i/>
              </w:rPr>
              <w:t>datetime12</w:t>
            </w:r>
          </w:p>
        </w:tc>
        <w:tc>
          <w:tcPr>
            <w:tcW w:w="0" w:type="auto"/>
            <w:vAlign w:val="center"/>
          </w:tcPr>
          <w:p w:rsidR="000A156F" w:rsidRDefault="00A9721F">
            <w:pPr>
              <w:pStyle w:val="TableBodyText"/>
            </w:pPr>
            <w:r>
              <w:t xml:space="preserve">hh:mm AM/PM date time </w:t>
            </w:r>
            <w:r>
              <w:t>format [Example: 4:28 PM end example]</w:t>
            </w:r>
          </w:p>
        </w:tc>
      </w:tr>
      <w:tr w:rsidR="000A156F" w:rsidTr="000A156F">
        <w:tc>
          <w:tcPr>
            <w:tcW w:w="0" w:type="auto"/>
            <w:vAlign w:val="center"/>
          </w:tcPr>
          <w:p w:rsidR="000A156F" w:rsidRDefault="00A9721F">
            <w:pPr>
              <w:pStyle w:val="TableBodyText"/>
            </w:pPr>
            <w:r>
              <w:rPr>
                <w:i/>
              </w:rPr>
              <w:t>datetime13</w:t>
            </w:r>
          </w:p>
        </w:tc>
        <w:tc>
          <w:tcPr>
            <w:tcW w:w="0" w:type="auto"/>
            <w:vAlign w:val="center"/>
          </w:tcPr>
          <w:p w:rsidR="000A156F" w:rsidRDefault="00A9721F">
            <w:pPr>
              <w:pStyle w:val="TableBodyText"/>
            </w:pPr>
            <w:r>
              <w:t>hh:mm:ss: AM/PM date time format [Example: 4:28:34 PM end example]</w:t>
            </w:r>
          </w:p>
        </w:tc>
      </w:tr>
      <w:tr w:rsidR="000A156F" w:rsidTr="000A156F">
        <w:tc>
          <w:tcPr>
            <w:tcW w:w="0" w:type="auto"/>
            <w:vAlign w:val="center"/>
          </w:tcPr>
          <w:p w:rsidR="000A156F" w:rsidRDefault="00A9721F">
            <w:pPr>
              <w:pStyle w:val="TableBodyText"/>
            </w:pPr>
            <w:r>
              <w:rPr>
                <w:i/>
              </w:rPr>
              <w:t>uaqdatetime1</w:t>
            </w:r>
          </w:p>
        </w:tc>
        <w:tc>
          <w:tcPr>
            <w:tcW w:w="0" w:type="auto"/>
            <w:vAlign w:val="center"/>
          </w:tcPr>
          <w:p w:rsidR="000A156F" w:rsidRDefault="00A9721F">
            <w:pPr>
              <w:pStyle w:val="TableBodyText"/>
            </w:pPr>
            <w:r>
              <w:t>DD/MM/YYYY date time format using the Umm al-Qura calendar [</w:t>
            </w:r>
            <w:r>
              <w:rPr>
                <w:i/>
              </w:rPr>
              <w:t>Example:</w:t>
            </w:r>
          </w:p>
          <w:p w:rsidR="000A156F" w:rsidRDefault="00A9721F">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204"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0A156F" w:rsidRDefault="00A9721F">
            <w:pPr>
              <w:pStyle w:val="TableBodyText"/>
            </w:pPr>
            <w:r>
              <w:rPr>
                <w:i/>
              </w:rPr>
              <w:t>end example</w:t>
            </w:r>
            <w:r>
              <w:t>]</w:t>
            </w:r>
          </w:p>
        </w:tc>
      </w:tr>
      <w:tr w:rsidR="000A156F" w:rsidTr="000A156F">
        <w:tc>
          <w:tcPr>
            <w:tcW w:w="0" w:type="auto"/>
            <w:vAlign w:val="center"/>
          </w:tcPr>
          <w:p w:rsidR="000A156F" w:rsidRDefault="00A9721F">
            <w:pPr>
              <w:pStyle w:val="TableBodyText"/>
            </w:pPr>
            <w:r>
              <w:rPr>
                <w:i/>
              </w:rPr>
              <w:t>uaqdatetime2</w:t>
            </w:r>
          </w:p>
        </w:tc>
        <w:tc>
          <w:tcPr>
            <w:tcW w:w="0" w:type="auto"/>
            <w:vAlign w:val="center"/>
          </w:tcPr>
          <w:p w:rsidR="000A156F" w:rsidRDefault="00A9721F">
            <w:pPr>
              <w:pStyle w:val="TableBodyText"/>
            </w:pPr>
            <w:r>
              <w:t>Day, DD Month, YYYY date ti</w:t>
            </w:r>
            <w:r>
              <w:t>me format using the Umm al-Qura calendar [</w:t>
            </w:r>
            <w:r>
              <w:rPr>
                <w:i/>
              </w:rPr>
              <w:t>Example:</w:t>
            </w:r>
          </w:p>
          <w:p w:rsidR="000A156F" w:rsidRDefault="00A9721F">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205"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0A156F" w:rsidRDefault="00A9721F">
            <w:pPr>
              <w:pStyle w:val="TableBodyText"/>
            </w:pPr>
            <w:r>
              <w:rPr>
                <w:i/>
              </w:rPr>
              <w:lastRenderedPageBreak/>
              <w:t>end example</w:t>
            </w:r>
            <w:r>
              <w:t>]</w:t>
            </w:r>
          </w:p>
        </w:tc>
      </w:tr>
      <w:tr w:rsidR="000A156F" w:rsidTr="000A156F">
        <w:tc>
          <w:tcPr>
            <w:tcW w:w="0" w:type="auto"/>
            <w:vAlign w:val="center"/>
          </w:tcPr>
          <w:p w:rsidR="000A156F" w:rsidRDefault="00A9721F">
            <w:pPr>
              <w:pStyle w:val="TableBodyText"/>
            </w:pPr>
            <w:r>
              <w:rPr>
                <w:i/>
              </w:rPr>
              <w:lastRenderedPageBreak/>
              <w:t>uaqdatetime3</w:t>
            </w:r>
          </w:p>
        </w:tc>
        <w:tc>
          <w:tcPr>
            <w:tcW w:w="0" w:type="auto"/>
            <w:vAlign w:val="center"/>
          </w:tcPr>
          <w:p w:rsidR="000A156F" w:rsidRDefault="00A9721F">
            <w:pPr>
              <w:pStyle w:val="TableBodyText"/>
            </w:pPr>
            <w:r>
              <w:t>DD Month, YYYY date time format using the Umm al-Qura calendar [</w:t>
            </w:r>
            <w:r>
              <w:rPr>
                <w:i/>
              </w:rPr>
              <w:t>Example:</w:t>
            </w:r>
          </w:p>
          <w:p w:rsidR="000A156F" w:rsidRDefault="00A9721F">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6"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0A156F" w:rsidRDefault="00A9721F">
            <w:pPr>
              <w:pStyle w:val="TableBodyText"/>
            </w:pPr>
            <w:r>
              <w:rPr>
                <w:i/>
              </w:rPr>
              <w:t>end example</w:t>
            </w:r>
            <w:r>
              <w:t>]</w:t>
            </w:r>
          </w:p>
        </w:tc>
      </w:tr>
      <w:tr w:rsidR="000A156F" w:rsidTr="000A156F">
        <w:tc>
          <w:tcPr>
            <w:tcW w:w="0" w:type="auto"/>
            <w:vAlign w:val="center"/>
          </w:tcPr>
          <w:p w:rsidR="000A156F" w:rsidRDefault="00A9721F">
            <w:pPr>
              <w:pStyle w:val="TableBodyText"/>
            </w:pPr>
            <w:r>
              <w:rPr>
                <w:i/>
              </w:rPr>
              <w:t>uaqdatetime4</w:t>
            </w:r>
          </w:p>
        </w:tc>
        <w:tc>
          <w:tcPr>
            <w:tcW w:w="0" w:type="auto"/>
            <w:vAlign w:val="center"/>
          </w:tcPr>
          <w:p w:rsidR="000A156F" w:rsidRDefault="00A9721F">
            <w:pPr>
              <w:pStyle w:val="TableBodyText"/>
            </w:pPr>
            <w:r>
              <w:t>DD/MM/YY date time format using the Umm al-Qura calendar [</w:t>
            </w:r>
            <w:r>
              <w:rPr>
                <w:i/>
              </w:rPr>
              <w:t>Example:</w:t>
            </w:r>
          </w:p>
          <w:p w:rsidR="000A156F" w:rsidRDefault="00A9721F">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7"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0A156F" w:rsidRDefault="00A9721F">
            <w:pPr>
              <w:pStyle w:val="TableBodyText"/>
            </w:pPr>
            <w:r>
              <w:rPr>
                <w:i/>
              </w:rPr>
              <w:t xml:space="preserve">end </w:t>
            </w:r>
            <w:r>
              <w:rPr>
                <w:i/>
              </w:rPr>
              <w:t>example</w:t>
            </w:r>
            <w:r>
              <w:t>]</w:t>
            </w:r>
          </w:p>
        </w:tc>
      </w:tr>
      <w:tr w:rsidR="000A156F" w:rsidTr="000A156F">
        <w:tc>
          <w:tcPr>
            <w:tcW w:w="0" w:type="auto"/>
            <w:vAlign w:val="center"/>
          </w:tcPr>
          <w:p w:rsidR="000A156F" w:rsidRDefault="00A9721F">
            <w:pPr>
              <w:pStyle w:val="TableBodyText"/>
            </w:pPr>
            <w:r>
              <w:rPr>
                <w:i/>
              </w:rPr>
              <w:t>uaqdatetime5</w:t>
            </w:r>
          </w:p>
        </w:tc>
        <w:tc>
          <w:tcPr>
            <w:tcW w:w="0" w:type="auto"/>
            <w:vAlign w:val="center"/>
          </w:tcPr>
          <w:p w:rsidR="000A156F" w:rsidRDefault="00A9721F">
            <w:pPr>
              <w:pStyle w:val="TableBodyText"/>
            </w:pPr>
            <w:r>
              <w:t>YYYY-DD-MM date time format using the Umm al-Qura calendar [</w:t>
            </w:r>
            <w:r>
              <w:rPr>
                <w:i/>
              </w:rPr>
              <w:t>Example:</w:t>
            </w:r>
          </w:p>
          <w:p w:rsidR="000A156F" w:rsidRDefault="00A9721F">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8"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0A156F" w:rsidRDefault="00A9721F">
            <w:pPr>
              <w:pStyle w:val="TableBodyText"/>
            </w:pPr>
            <w:r>
              <w:rPr>
                <w:i/>
              </w:rPr>
              <w:t>end example</w:t>
            </w:r>
            <w:r>
              <w:t>]</w:t>
            </w:r>
          </w:p>
        </w:tc>
      </w:tr>
      <w:tr w:rsidR="000A156F" w:rsidTr="000A156F">
        <w:tc>
          <w:tcPr>
            <w:tcW w:w="0" w:type="auto"/>
            <w:vAlign w:val="center"/>
          </w:tcPr>
          <w:p w:rsidR="000A156F" w:rsidRDefault="00A9721F">
            <w:pPr>
              <w:pStyle w:val="TableBodyText"/>
            </w:pPr>
            <w:r>
              <w:rPr>
                <w:i/>
              </w:rPr>
              <w:t>uaqdatetime6</w:t>
            </w:r>
          </w:p>
        </w:tc>
        <w:tc>
          <w:tcPr>
            <w:tcW w:w="0" w:type="auto"/>
            <w:vAlign w:val="center"/>
          </w:tcPr>
          <w:p w:rsidR="000A156F" w:rsidRDefault="00A9721F">
            <w:pPr>
              <w:pStyle w:val="TableBodyText"/>
            </w:pPr>
            <w:r>
              <w:t>DD-Month-YY date time format using the Umm al-Qura calendar [</w:t>
            </w:r>
            <w:r>
              <w:rPr>
                <w:i/>
              </w:rPr>
              <w:t>Example:</w:t>
            </w:r>
          </w:p>
          <w:p w:rsidR="000A156F" w:rsidRDefault="00A9721F">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9"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0A156F" w:rsidRDefault="00A9721F">
            <w:pPr>
              <w:pStyle w:val="TableBodyText"/>
            </w:pPr>
            <w:r>
              <w:rPr>
                <w:i/>
              </w:rPr>
              <w:t>end example</w:t>
            </w:r>
            <w:r>
              <w:t>]</w:t>
            </w:r>
          </w:p>
        </w:tc>
      </w:tr>
      <w:tr w:rsidR="000A156F" w:rsidTr="000A156F">
        <w:tc>
          <w:tcPr>
            <w:tcW w:w="0" w:type="auto"/>
            <w:vAlign w:val="center"/>
          </w:tcPr>
          <w:p w:rsidR="000A156F" w:rsidRDefault="00A9721F">
            <w:pPr>
              <w:pStyle w:val="TableBodyText"/>
            </w:pPr>
            <w:r>
              <w:rPr>
                <w:i/>
              </w:rPr>
              <w:t>uaqdatetime7</w:t>
            </w:r>
          </w:p>
        </w:tc>
        <w:tc>
          <w:tcPr>
            <w:tcW w:w="0" w:type="auto"/>
            <w:vAlign w:val="center"/>
          </w:tcPr>
          <w:p w:rsidR="000A156F" w:rsidRDefault="00A9721F">
            <w:pPr>
              <w:pStyle w:val="TableBodyText"/>
            </w:pPr>
            <w:r>
              <w:t>DD Month YYYY date time format using</w:t>
            </w:r>
            <w:r>
              <w:t xml:space="preserve"> the Umm al-Qura calendar [</w:t>
            </w:r>
            <w:r>
              <w:rPr>
                <w:i/>
              </w:rPr>
              <w:t>Example:</w:t>
            </w:r>
          </w:p>
          <w:p w:rsidR="000A156F" w:rsidRDefault="00A9721F">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10"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0A156F" w:rsidRDefault="00A9721F">
            <w:pPr>
              <w:pStyle w:val="TableBodyText"/>
            </w:pPr>
            <w:r>
              <w:rPr>
                <w:i/>
              </w:rPr>
              <w:t>end example</w:t>
            </w:r>
            <w:r>
              <w:t>]</w:t>
            </w:r>
          </w:p>
        </w:tc>
      </w:tr>
    </w:tbl>
    <w:p w:rsidR="000A156F" w:rsidRDefault="000A156F"/>
    <w:p w:rsidR="000A156F" w:rsidRDefault="00A9721F">
      <w:pPr>
        <w:pStyle w:val="Definition-Field2"/>
      </w:pPr>
      <w:r>
        <w:t>This note applies to the following products: Office 2013 Client (Strict), Office 2013 Server (Strict), Office 2013 Client (Transitional), Office 2013 Server (Transitional).</w:t>
      </w:r>
    </w:p>
    <w:p w:rsidR="000A156F" w:rsidRDefault="00A9721F">
      <w:pPr>
        <w:pStyle w:val="Heading3"/>
      </w:pPr>
      <w:bookmarkStart w:id="2793" w:name="section_4e0431052ae44b85baa84324ca7a6367"/>
      <w:bookmarkStart w:id="2794" w:name="_Toc181684422"/>
      <w:r>
        <w:t>Part 1 Section 21.1.2.2.5, lnS</w:t>
      </w:r>
      <w:r>
        <w:t>pc (Line Spacing)</w:t>
      </w:r>
      <w:bookmarkEnd w:id="2793"/>
      <w:bookmarkEnd w:id="2794"/>
      <w:r>
        <w:fldChar w:fldCharType="begin"/>
      </w:r>
      <w:r>
        <w:instrText xml:space="preserve"> XE "lnSpc (Line Spacing)" </w:instrText>
      </w:r>
      <w:r>
        <w:fldChar w:fldCharType="end"/>
      </w:r>
    </w:p>
    <w:p w:rsidR="000A156F" w:rsidRDefault="00A9721F">
      <w:pPr>
        <w:pStyle w:val="Definition-Field"/>
      </w:pPr>
      <w:r>
        <w:t xml:space="preserve">a.   </w:t>
      </w:r>
      <w:r>
        <w:rPr>
          <w:i/>
        </w:rPr>
        <w:t>The standard states that the lnSpc element describes the vertical line spacing that is to be used within a paragraph.</w:t>
      </w:r>
    </w:p>
    <w:p w:rsidR="000A156F" w:rsidRDefault="00A9721F">
      <w:pPr>
        <w:pStyle w:val="Definition-Field2"/>
      </w:pPr>
      <w:r>
        <w:t>In Office, the lnSpc element describes the vertical line spacing for horizontal text a</w:t>
      </w:r>
      <w:r>
        <w:t>nd horizontal line spacing for vertical text that is to be used within a paragraph.</w:t>
      </w:r>
    </w:p>
    <w:p w:rsidR="000A156F" w:rsidRDefault="00A9721F">
      <w:pPr>
        <w:pStyle w:val="Definition-Field"/>
      </w:pPr>
      <w:r>
        <w:t xml:space="preserve">b.   </w:t>
      </w:r>
      <w:r>
        <w:rPr>
          <w:i/>
        </w:rPr>
        <w:t>The standard states that ST_TextSpacingPercent is read and written as a percent with a trailing percent sign.</w:t>
      </w:r>
    </w:p>
    <w:p w:rsidR="000A156F" w:rsidRDefault="00A9721F">
      <w:pPr>
        <w:pStyle w:val="Definition-Field2"/>
      </w:pPr>
      <w:r>
        <w:t>Office will read in percentages formatted with a trailing</w:t>
      </w:r>
      <w:r>
        <w:t xml:space="preserve"> percent sign or as 1000th of a percent without trailing percent sign, but only write out percentages as 1000th's of a percent without trailing percent sign.</w:t>
      </w:r>
    </w:p>
    <w:p w:rsidR="000A156F" w:rsidRDefault="00A9721F">
      <w:pPr>
        <w:pStyle w:val="Heading3"/>
      </w:pPr>
      <w:bookmarkStart w:id="2795" w:name="section_de16a8a159de48a5b3c08d155229b609"/>
      <w:bookmarkStart w:id="2796" w:name="_Toc181684423"/>
      <w:r>
        <w:t>Part 1 Section 21.1.2.2.6, p (Text Paragraphs)</w:t>
      </w:r>
      <w:bookmarkEnd w:id="2795"/>
      <w:bookmarkEnd w:id="2796"/>
      <w:r>
        <w:fldChar w:fldCharType="begin"/>
      </w:r>
      <w:r>
        <w:instrText xml:space="preserve"> XE "p (Text Paragraphs)" </w:instrText>
      </w:r>
      <w:r>
        <w:fldChar w:fldCharType="end"/>
      </w:r>
    </w:p>
    <w:p w:rsidR="000A156F" w:rsidRDefault="00A9721F">
      <w:pPr>
        <w:pStyle w:val="Definition-Field"/>
      </w:pPr>
      <w:r>
        <w:t xml:space="preserve">a.   </w:t>
      </w:r>
      <w:r>
        <w:rPr>
          <w:i/>
        </w:rPr>
        <w:t>The standard state</w:t>
      </w:r>
      <w:r>
        <w:rPr>
          <w:i/>
        </w:rPr>
        <w:t>s that if no text paragraph properties are listed, then the properties specified in the defPPr element are used.</w:t>
      </w:r>
    </w:p>
    <w:p w:rsidR="000A156F" w:rsidRDefault="00A9721F">
      <w:pPr>
        <w:pStyle w:val="Definition-Field2"/>
      </w:pPr>
      <w:r>
        <w:t>Office ignores the defPPr element. If no paragraph properties are listed, then properties specified in the appropriate child element of the lst</w:t>
      </w:r>
      <w:r>
        <w:t>Style element are used as described in child element pPr.</w:t>
      </w:r>
    </w:p>
    <w:p w:rsidR="000A156F" w:rsidRDefault="00A9721F">
      <w:pPr>
        <w:pStyle w:val="Heading3"/>
      </w:pPr>
      <w:bookmarkStart w:id="2797" w:name="section_3bf4b4b9d1cd4610be569427e22c5fb4"/>
      <w:bookmarkStart w:id="2798" w:name="_Toc181684424"/>
      <w:r>
        <w:lastRenderedPageBreak/>
        <w:t>Part 1 Section 21.1.2.2.7, pPr (Text Paragraph Properties)</w:t>
      </w:r>
      <w:bookmarkEnd w:id="2797"/>
      <w:bookmarkEnd w:id="2798"/>
      <w:r>
        <w:fldChar w:fldCharType="begin"/>
      </w:r>
      <w:r>
        <w:instrText xml:space="preserve"> XE "pPr (Text Paragraph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A156F" w:rsidRDefault="00A9721F">
      <w:pPr>
        <w:pStyle w:val="Definition-Field"/>
      </w:pPr>
      <w:r>
        <w:t xml:space="preserve">a.   </w:t>
      </w:r>
      <w:r>
        <w:rPr>
          <w:i/>
        </w:rPr>
        <w:t>The standard does not fully describe the process for resolving missing attribute values.</w:t>
      </w:r>
    </w:p>
    <w:p w:rsidR="000A156F" w:rsidRDefault="00A9721F">
      <w:r>
        <w:t>In Office, attributes not specified explicitly within this element shall have th</w:t>
      </w:r>
      <w:r>
        <w:t>eir values determined by inheritance. Attribute values will be resolved using an applicable ancestor element of the same type as this element. The inheritance order in which applicable attribute value shall be applied is as follows:</w:t>
      </w:r>
    </w:p>
    <w:p w:rsidR="000A156F" w:rsidRDefault="00A9721F">
      <w:r>
        <w:t>A corresponding ancesto</w:t>
      </w:r>
      <w:r>
        <w:t>r element which is a child element of the lstStyle element ("</w:t>
      </w:r>
      <w:hyperlink r:id="rId211">
        <w:r>
          <w:rPr>
            <w:rStyle w:val="Hyperlink"/>
          </w:rPr>
          <w:t>[ISO/IEC-29500-1]</w:t>
        </w:r>
      </w:hyperlink>
      <w:r>
        <w:t xml:space="preserve"> §21.1.2.4.12; lstStyle (Text List Styles)") and has a matching paragraph level and is contained within the same</w:t>
      </w:r>
      <w:r>
        <w:t xml:space="preserve"> package part as the text to which the attribute values shall apply.</w:t>
      </w:r>
    </w:p>
    <w:p w:rsidR="000A156F" w:rsidRDefault="00A9721F">
      <w:r>
        <w:t>A corresponding child element of the element ("[ISO/IEC-29500-1] §21.1.2.4.12; lstStyle (Text List Styles)") and contained within the theme element ("[ISO/IEC-29500-1] §20.1.6.9; theme (T</w:t>
      </w:r>
      <w:r>
        <w:t>heme)").</w:t>
      </w:r>
    </w:p>
    <w:p w:rsidR="000A156F" w:rsidRDefault="00A9721F">
      <w:r>
        <w:t>If the value of an attribute is not determined via this process, the default value specified within this element shall be used.</w:t>
      </w:r>
    </w:p>
    <w:p w:rsidR="000A156F" w:rsidRDefault="00A9721F">
      <w:r>
        <w:t>PowerPoint uses a corresponding child element which is contained within the corresponding sldMaster element ("[ISO/IEC-</w:t>
      </w:r>
      <w:r>
        <w:t>29500-1] §19.3.1.42; sldMaster (Slide Master)") if the value of an attribute is not determined by this inheritance order. If the corresponding sldMaster element ("[ISO/IEC-29500-1] §19.3.1.42; sldMaster (Slide Master)") does not specify the value of the at</w:t>
      </w:r>
      <w:r>
        <w:t>tribute and the value was not determined from the inheritance order, then the default value specified within this element shall be used.</w:t>
      </w:r>
    </w:p>
    <w:p w:rsidR="000A156F" w:rsidRDefault="00A9721F">
      <w:pPr>
        <w:pStyle w:val="Heading3"/>
      </w:pPr>
      <w:bookmarkStart w:id="2799" w:name="section_3b7a30185a6447d6b61afac31f921cd5"/>
      <w:bookmarkStart w:id="2800" w:name="_Toc181684425"/>
      <w:r>
        <w:t>Part 1 Section 21.1.2.2.9, spcAft (Space After)</w:t>
      </w:r>
      <w:bookmarkEnd w:id="2799"/>
      <w:bookmarkEnd w:id="2800"/>
      <w:r>
        <w:fldChar w:fldCharType="begin"/>
      </w:r>
      <w:r>
        <w:instrText xml:space="preserve"> XE "spcAft (Space After)" </w:instrText>
      </w:r>
      <w:r>
        <w:fldChar w:fldCharType="end"/>
      </w:r>
    </w:p>
    <w:p w:rsidR="000A156F" w:rsidRDefault="00A9721F">
      <w:pPr>
        <w:pStyle w:val="Definition-Field"/>
      </w:pPr>
      <w:r>
        <w:t xml:space="preserve">a.   </w:t>
      </w:r>
      <w:r>
        <w:rPr>
          <w:i/>
        </w:rPr>
        <w:t>The standard states that the spcAft e</w:t>
      </w:r>
      <w:r>
        <w:rPr>
          <w:i/>
        </w:rPr>
        <w:t>lement specifies the amount of vertical white space that will be present after a paragraph.</w:t>
      </w:r>
    </w:p>
    <w:p w:rsidR="000A156F" w:rsidRDefault="00A9721F">
      <w:pPr>
        <w:pStyle w:val="Definition-Field2"/>
      </w:pPr>
      <w:r>
        <w:t>Office uses the spcAft element to determine the amount of white space that will be present after a paragraph.</w:t>
      </w:r>
    </w:p>
    <w:p w:rsidR="000A156F" w:rsidRDefault="00A9721F">
      <w:pPr>
        <w:pStyle w:val="Heading3"/>
      </w:pPr>
      <w:bookmarkStart w:id="2801" w:name="section_8f2f2352b15c4cea8df4df014e163284"/>
      <w:bookmarkStart w:id="2802" w:name="_Toc181684426"/>
      <w:r>
        <w:t>Part 1 Section 21.1.2.2.10, spcBef (Space Before)</w:t>
      </w:r>
      <w:bookmarkEnd w:id="2801"/>
      <w:bookmarkEnd w:id="2802"/>
      <w:r>
        <w:fldChar w:fldCharType="begin"/>
      </w:r>
      <w:r>
        <w:instrText xml:space="preserve"> XE "</w:instrText>
      </w:r>
      <w:r>
        <w:instrText xml:space="preserve">spcBef (Space Before)" </w:instrText>
      </w:r>
      <w:r>
        <w:fldChar w:fldCharType="end"/>
      </w:r>
    </w:p>
    <w:p w:rsidR="000A156F" w:rsidRDefault="00A9721F">
      <w:pPr>
        <w:pStyle w:val="Definition-Field"/>
      </w:pPr>
      <w:r>
        <w:t xml:space="preserve">a.   </w:t>
      </w:r>
      <w:r>
        <w:rPr>
          <w:i/>
        </w:rPr>
        <w:t>The standard states that the spcBef element specifies the amount of vertical white space that will be present before a paragraph.</w:t>
      </w:r>
    </w:p>
    <w:p w:rsidR="000A156F" w:rsidRDefault="00A9721F">
      <w:pPr>
        <w:pStyle w:val="Definition-Field2"/>
      </w:pPr>
      <w:r>
        <w:t xml:space="preserve">Office uses the spcBef element to determine the amount of white space that will be present </w:t>
      </w:r>
      <w:r>
        <w:t>before a paragraph.</w:t>
      </w:r>
    </w:p>
    <w:p w:rsidR="000A156F" w:rsidRDefault="00A9721F">
      <w:pPr>
        <w:pStyle w:val="Heading3"/>
      </w:pPr>
      <w:bookmarkStart w:id="2803" w:name="section_615c948905fc4c5bb961b56461c8ce69"/>
      <w:bookmarkStart w:id="2804" w:name="_Toc181684427"/>
      <w:r>
        <w:t>Part 1 Section 21.1.2.2.11, spcPct (Spacing Percent)</w:t>
      </w:r>
      <w:bookmarkEnd w:id="2803"/>
      <w:bookmarkEnd w:id="2804"/>
      <w:r>
        <w:fldChar w:fldCharType="begin"/>
      </w:r>
      <w:r>
        <w:instrText xml:space="preserve"> XE "spcPct (Spacing Percent)" </w:instrText>
      </w:r>
      <w:r>
        <w:fldChar w:fldCharType="end"/>
      </w:r>
    </w:p>
    <w:p w:rsidR="000A156F" w:rsidRDefault="00A9721F">
      <w:pPr>
        <w:pStyle w:val="Definition-Field"/>
      </w:pPr>
      <w:r>
        <w:t xml:space="preserve">a.   </w:t>
      </w:r>
      <w:r>
        <w:rPr>
          <w:i/>
        </w:rPr>
        <w:t>The standard states that ST_TextSpacingPercent is read and written as a percent with a trailing percent sign.</w:t>
      </w:r>
    </w:p>
    <w:p w:rsidR="000A156F" w:rsidRDefault="00A9721F">
      <w:pPr>
        <w:pStyle w:val="Definition-Field2"/>
      </w:pPr>
      <w:r>
        <w:t>Office will read in percentages for</w:t>
      </w:r>
      <w:r>
        <w:t>matted with a trailing percent sign or as 1000th of a percent without trailing percent sign, but only write out percentages as 1000th's of a percent without trailing percent sign.</w:t>
      </w:r>
    </w:p>
    <w:p w:rsidR="000A156F" w:rsidRDefault="00A9721F">
      <w:pPr>
        <w:pStyle w:val="Heading3"/>
      </w:pPr>
      <w:bookmarkStart w:id="2805" w:name="section_ea47d4567ab64103a0e600afc4917ce3"/>
      <w:bookmarkStart w:id="2806" w:name="_Toc181684428"/>
      <w:r>
        <w:t>Part 1 Section 21.1.2.3.1, cs (Complex Script Font)</w:t>
      </w:r>
      <w:bookmarkEnd w:id="2805"/>
      <w:bookmarkEnd w:id="2806"/>
      <w:r>
        <w:fldChar w:fldCharType="begin"/>
      </w:r>
      <w:r>
        <w:instrText xml:space="preserve"> XE "cs (Complex Script F</w:instrText>
      </w:r>
      <w:r>
        <w:instrText xml:space="preserve">ont)"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0A156F" w:rsidRDefault="00A9721F">
      <w:pPr>
        <w:pStyle w:val="Heading3"/>
      </w:pPr>
      <w:bookmarkStart w:id="2807" w:name="section_0bce0eae61a547dfa1c3c10b2f446fb5"/>
      <w:bookmarkStart w:id="2808" w:name="_Toc181684429"/>
      <w:r>
        <w:lastRenderedPageBreak/>
        <w:t>Part 1 Section 21.1.2.3.2, defRPr (Default Text Run Properties)</w:t>
      </w:r>
      <w:bookmarkEnd w:id="2807"/>
      <w:bookmarkEnd w:id="2808"/>
      <w:r>
        <w:fldChar w:fldCharType="begin"/>
      </w:r>
      <w:r>
        <w:instrText xml:space="preserve"> XE "d</w:instrText>
      </w:r>
      <w:r>
        <w:instrText xml:space="preserve">efRPr (Default Text Run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0A156F" w:rsidRDefault="00A9721F">
      <w:pPr>
        <w:pStyle w:val="Heading3"/>
      </w:pPr>
      <w:bookmarkStart w:id="2809" w:name="section_0805d87ac1c945c0905e342f9b3a4473"/>
      <w:bookmarkStart w:id="2810" w:name="_Toc181684430"/>
      <w:r>
        <w:t>Part 1 Section 21.1.2.3.3, ea (East</w:t>
      </w:r>
      <w:r>
        <w:t xml:space="preserve"> Asian Font)</w:t>
      </w:r>
      <w:bookmarkEnd w:id="2809"/>
      <w:bookmarkEnd w:id="2810"/>
      <w:r>
        <w:fldChar w:fldCharType="begin"/>
      </w:r>
      <w:r>
        <w:instrText xml:space="preserve"> XE "ea (East Asian Font)"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0A156F" w:rsidRDefault="00A9721F">
      <w:pPr>
        <w:pStyle w:val="Heading3"/>
      </w:pPr>
      <w:bookmarkStart w:id="2811" w:name="section_a65b76db6abc49898cd1baa9a3500f6f"/>
      <w:bookmarkStart w:id="2812" w:name="_Toc181684431"/>
      <w:r>
        <w:t>Part 1 Section 21.1.2.3.5, hlinkClick (Click Hyperlink)</w:t>
      </w:r>
      <w:bookmarkEnd w:id="2811"/>
      <w:bookmarkEnd w:id="2812"/>
      <w:r>
        <w:fldChar w:fldCharType="begin"/>
      </w:r>
      <w:r>
        <w:instrText xml:space="preserve"> XE "hlinkClick (Click Hyperlink)" </w:instrText>
      </w:r>
      <w:r>
        <w:fldChar w:fldCharType="end"/>
      </w:r>
    </w:p>
    <w:p w:rsidR="000A156F" w:rsidRDefault="00A9721F">
      <w:pPr>
        <w:pStyle w:val="Definition-Field"/>
      </w:pPr>
      <w:r>
        <w:t xml:space="preserve">a.   </w:t>
      </w:r>
      <w:r>
        <w:rPr>
          <w:i/>
        </w:rPr>
        <w:t>The standard states that the action attribute of the hlinkClick, hlinkHover and hlinkMouseOver elements may use an unrestricted string.</w:t>
      </w:r>
    </w:p>
    <w:p w:rsidR="000A156F" w:rsidRDefault="00A9721F">
      <w:r>
        <w:t>PowerPoint reserves th</w:t>
      </w:r>
      <w:r>
        <w:t>e following values for the action attribute:</w:t>
      </w:r>
    </w:p>
    <w:tbl>
      <w:tblPr>
        <w:tblStyle w:val="Table-ShadedHeader"/>
        <w:tblW w:w="0" w:type="auto"/>
        <w:tblLook w:val="04A0" w:firstRow="1" w:lastRow="0" w:firstColumn="1" w:lastColumn="0" w:noHBand="0" w:noVBand="1"/>
      </w:tblPr>
      <w:tblGrid>
        <w:gridCol w:w="4369"/>
        <w:gridCol w:w="510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ppaction://customshow?id=SHOW_ID</w:t>
            </w:r>
          </w:p>
        </w:tc>
        <w:tc>
          <w:tcPr>
            <w:tcW w:w="0" w:type="auto"/>
            <w:vAlign w:val="center"/>
          </w:tcPr>
          <w:p w:rsidR="000A156F" w:rsidRDefault="00A9721F">
            <w:pPr>
              <w:pStyle w:val="TableBodyText"/>
            </w:pPr>
            <w:r>
              <w:t>Specifies that the link shall launch a custom show from the custShowLst element ("</w:t>
            </w:r>
            <w:hyperlink r:id="rId212">
              <w:r>
                <w:rPr>
                  <w:rStyle w:val="Hyperlink"/>
                </w:rPr>
                <w:t>[ISO/IEC-29</w:t>
              </w:r>
              <w:r>
                <w:rPr>
                  <w:rStyle w:val="Hyperlink"/>
                </w:rPr>
                <w:t>500-1]</w:t>
              </w:r>
            </w:hyperlink>
            <w:r>
              <w:t xml:space="preserve"> §19.2.1.7; custShowLst (List of Custom Shows)"). The SHOW_ID variable shall be replaced with the custom show id as specified in the custShow element ("[ISO/IEC-29500-1] §19.2.1.6; custShow (Custom Show)").</w:t>
            </w:r>
          </w:p>
        </w:tc>
      </w:tr>
      <w:tr w:rsidR="000A156F" w:rsidTr="000A156F">
        <w:tc>
          <w:tcPr>
            <w:tcW w:w="0" w:type="auto"/>
            <w:vAlign w:val="center"/>
          </w:tcPr>
          <w:p w:rsidR="000A156F" w:rsidRDefault="00A9721F">
            <w:pPr>
              <w:pStyle w:val="TableBodyText"/>
            </w:pPr>
            <w:r>
              <w:t>ppaction://customshow?id=SHOW_ID&amp;return=tr</w:t>
            </w:r>
            <w:r>
              <w:t>ue</w:t>
            </w:r>
          </w:p>
        </w:tc>
        <w:tc>
          <w:tcPr>
            <w:tcW w:w="0" w:type="auto"/>
            <w:vAlign w:val="center"/>
          </w:tcPr>
          <w:p w:rsidR="000A156F" w:rsidRDefault="00A9721F">
            <w:pPr>
              <w:pStyle w:val="TableBodyText"/>
            </w:pPr>
            <w:r>
              <w:t>Specifies that the link shall launch a custom show from the custShowLst element ("[ISO/IEC-29500-1] §19.2.1.7; custShowLst (List of Custom Shows)"). After the end of the custom show, viewing of this presentation package shall resume. The SHOW_ID variabl</w:t>
            </w:r>
            <w:r>
              <w:t>e shall be replaced with the custom show id as specified in the custShow element ("[ISO/IEC-29500-1] §19.2.1.6; custShow (Custom Show)").</w:t>
            </w:r>
          </w:p>
        </w:tc>
      </w:tr>
      <w:tr w:rsidR="000A156F" w:rsidTr="000A156F">
        <w:tc>
          <w:tcPr>
            <w:tcW w:w="0" w:type="auto"/>
            <w:vAlign w:val="center"/>
          </w:tcPr>
          <w:p w:rsidR="000A156F" w:rsidRDefault="00A9721F">
            <w:pPr>
              <w:pStyle w:val="TableBodyText"/>
            </w:pPr>
            <w:r>
              <w:t>ppaction://hlinkfile</w:t>
            </w:r>
          </w:p>
        </w:tc>
        <w:tc>
          <w:tcPr>
            <w:tcW w:w="0" w:type="auto"/>
            <w:vAlign w:val="center"/>
          </w:tcPr>
          <w:p w:rsidR="000A156F" w:rsidRDefault="00A9721F">
            <w:pPr>
              <w:pStyle w:val="TableBodyText"/>
            </w:pPr>
            <w:r>
              <w:t>Specifies that the link shall open a file external to this presentation package. The r:id attrib</w:t>
            </w:r>
            <w:r>
              <w:t>ute for this element specifies the corresponding relationship containing the reference to the external file.</w:t>
            </w:r>
          </w:p>
        </w:tc>
      </w:tr>
      <w:tr w:rsidR="000A156F" w:rsidTr="000A156F">
        <w:tc>
          <w:tcPr>
            <w:tcW w:w="0" w:type="auto"/>
            <w:vAlign w:val="center"/>
          </w:tcPr>
          <w:p w:rsidR="000A156F" w:rsidRDefault="00A9721F">
            <w:pPr>
              <w:pStyle w:val="TableBodyText"/>
            </w:pPr>
            <w:r>
              <w:t>ppaction://hlinkpres?slideindex=SLIDE_NUM</w:t>
            </w:r>
          </w:p>
        </w:tc>
        <w:tc>
          <w:tcPr>
            <w:tcW w:w="0" w:type="auto"/>
            <w:vAlign w:val="center"/>
          </w:tcPr>
          <w:p w:rsidR="000A156F" w:rsidRDefault="00A9721F">
            <w:pPr>
              <w:pStyle w:val="TableBodyText"/>
            </w:pPr>
            <w:r>
              <w:t>Specifies that the link shall launch a presentation external to this presentation package. The r:id attr</w:t>
            </w:r>
            <w:r>
              <w:t>ibute for this element specifies the corresponding relationship containing the reference to the external file. The SLIDE_NUM variable shall be replaced with a slide number in the external presentation that the viewing shall be started on.</w:t>
            </w:r>
          </w:p>
        </w:tc>
      </w:tr>
      <w:tr w:rsidR="000A156F" w:rsidTr="000A156F">
        <w:tc>
          <w:tcPr>
            <w:tcW w:w="0" w:type="auto"/>
            <w:vAlign w:val="center"/>
          </w:tcPr>
          <w:p w:rsidR="000A156F" w:rsidRDefault="00A9721F">
            <w:pPr>
              <w:pStyle w:val="TableBodyText"/>
            </w:pPr>
            <w:r>
              <w:t>ppaction://hlinkshowjump?jump=endshow</w:t>
            </w:r>
          </w:p>
        </w:tc>
        <w:tc>
          <w:tcPr>
            <w:tcW w:w="0" w:type="auto"/>
            <w:vAlign w:val="center"/>
          </w:tcPr>
          <w:p w:rsidR="000A156F" w:rsidRDefault="00A9721F">
            <w:pPr>
              <w:pStyle w:val="TableBodyText"/>
            </w:pPr>
            <w:r>
              <w:t>Specifies that the link shall end the presentation.</w:t>
            </w:r>
          </w:p>
        </w:tc>
      </w:tr>
      <w:tr w:rsidR="000A156F" w:rsidTr="000A156F">
        <w:tc>
          <w:tcPr>
            <w:tcW w:w="0" w:type="auto"/>
            <w:vAlign w:val="center"/>
          </w:tcPr>
          <w:p w:rsidR="000A156F" w:rsidRDefault="00A9721F">
            <w:pPr>
              <w:pStyle w:val="TableBodyText"/>
            </w:pPr>
            <w:r>
              <w:t>ppaction://hlinkshowjump?jump=firstslide</w:t>
            </w:r>
          </w:p>
        </w:tc>
        <w:tc>
          <w:tcPr>
            <w:tcW w:w="0" w:type="auto"/>
            <w:vAlign w:val="center"/>
          </w:tcPr>
          <w:p w:rsidR="000A156F" w:rsidRDefault="00A9721F">
            <w:pPr>
              <w:pStyle w:val="TableBodyText"/>
            </w:pPr>
            <w:r>
              <w:t>Specifies that the link shall target the viewing of the first slide within this presentation package.</w:t>
            </w:r>
          </w:p>
        </w:tc>
      </w:tr>
      <w:tr w:rsidR="000A156F" w:rsidTr="000A156F">
        <w:tc>
          <w:tcPr>
            <w:tcW w:w="0" w:type="auto"/>
            <w:vAlign w:val="center"/>
          </w:tcPr>
          <w:p w:rsidR="000A156F" w:rsidRDefault="00A9721F">
            <w:pPr>
              <w:pStyle w:val="TableBodyText"/>
            </w:pPr>
            <w:r>
              <w:t>ppaction://hlinkshowj</w:t>
            </w:r>
            <w:r>
              <w:t>ump?jump=lastslide</w:t>
            </w:r>
          </w:p>
        </w:tc>
        <w:tc>
          <w:tcPr>
            <w:tcW w:w="0" w:type="auto"/>
            <w:vAlign w:val="center"/>
          </w:tcPr>
          <w:p w:rsidR="000A156F" w:rsidRDefault="00A9721F">
            <w:pPr>
              <w:pStyle w:val="TableBodyText"/>
            </w:pPr>
            <w:r>
              <w:t>Specifies that the link shall target the viewing of the last slide within this presentation package.</w:t>
            </w:r>
          </w:p>
        </w:tc>
      </w:tr>
      <w:tr w:rsidR="000A156F" w:rsidTr="000A156F">
        <w:tc>
          <w:tcPr>
            <w:tcW w:w="0" w:type="auto"/>
            <w:vAlign w:val="center"/>
          </w:tcPr>
          <w:p w:rsidR="000A156F" w:rsidRDefault="00A9721F">
            <w:pPr>
              <w:pStyle w:val="TableBodyText"/>
            </w:pPr>
            <w:r>
              <w:t>ppaction://hlinkshowjump?jump=lastslideviewed</w:t>
            </w:r>
          </w:p>
        </w:tc>
        <w:tc>
          <w:tcPr>
            <w:tcW w:w="0" w:type="auto"/>
            <w:vAlign w:val="center"/>
          </w:tcPr>
          <w:p w:rsidR="000A156F" w:rsidRDefault="00A9721F">
            <w:pPr>
              <w:pStyle w:val="TableBodyText"/>
            </w:pPr>
            <w:r>
              <w:t>Specifies that the link shall target the viewing of the slide previously visited within t</w:t>
            </w:r>
            <w:r>
              <w:t>his presentation package.</w:t>
            </w:r>
          </w:p>
        </w:tc>
      </w:tr>
      <w:tr w:rsidR="000A156F" w:rsidTr="000A156F">
        <w:tc>
          <w:tcPr>
            <w:tcW w:w="0" w:type="auto"/>
            <w:vAlign w:val="center"/>
          </w:tcPr>
          <w:p w:rsidR="000A156F" w:rsidRDefault="00A9721F">
            <w:pPr>
              <w:pStyle w:val="TableBodyText"/>
            </w:pPr>
            <w:r>
              <w:t>ppaction://hlinkshowjump?jump=nextslide</w:t>
            </w:r>
          </w:p>
        </w:tc>
        <w:tc>
          <w:tcPr>
            <w:tcW w:w="0" w:type="auto"/>
            <w:vAlign w:val="center"/>
          </w:tcPr>
          <w:p w:rsidR="000A156F" w:rsidRDefault="00A9721F">
            <w:pPr>
              <w:pStyle w:val="TableBodyText"/>
            </w:pPr>
            <w:r>
              <w:t>Specifies that the link shall target the viewing of the next slide within this presentation package.</w:t>
            </w:r>
          </w:p>
        </w:tc>
      </w:tr>
      <w:tr w:rsidR="000A156F" w:rsidTr="000A156F">
        <w:tc>
          <w:tcPr>
            <w:tcW w:w="0" w:type="auto"/>
            <w:vAlign w:val="center"/>
          </w:tcPr>
          <w:p w:rsidR="000A156F" w:rsidRDefault="00A9721F">
            <w:pPr>
              <w:pStyle w:val="TableBodyText"/>
            </w:pPr>
            <w:r>
              <w:t>ppaction://hlinkshowjump?jump=previousslide</w:t>
            </w:r>
          </w:p>
        </w:tc>
        <w:tc>
          <w:tcPr>
            <w:tcW w:w="0" w:type="auto"/>
            <w:vAlign w:val="center"/>
          </w:tcPr>
          <w:p w:rsidR="000A156F" w:rsidRDefault="00A9721F">
            <w:pPr>
              <w:pStyle w:val="TableBodyText"/>
            </w:pPr>
            <w:r>
              <w:t>Specifies that the link shall target the vi</w:t>
            </w:r>
            <w:r>
              <w:t xml:space="preserve">ewing of the </w:t>
            </w:r>
            <w:r>
              <w:lastRenderedPageBreak/>
              <w:t>previous slide within this presentation package.</w:t>
            </w:r>
          </w:p>
        </w:tc>
      </w:tr>
      <w:tr w:rsidR="000A156F" w:rsidTr="000A156F">
        <w:tc>
          <w:tcPr>
            <w:tcW w:w="0" w:type="auto"/>
            <w:vAlign w:val="center"/>
          </w:tcPr>
          <w:p w:rsidR="000A156F" w:rsidRDefault="00A9721F">
            <w:pPr>
              <w:pStyle w:val="TableBodyText"/>
            </w:pPr>
            <w:r>
              <w:lastRenderedPageBreak/>
              <w:t>ppaction://hlinkshowjump?jump=SLIDE_NUM</w:t>
            </w:r>
          </w:p>
        </w:tc>
        <w:tc>
          <w:tcPr>
            <w:tcW w:w="0" w:type="auto"/>
            <w:vAlign w:val="center"/>
          </w:tcPr>
          <w:p w:rsidR="000A156F" w:rsidRDefault="00A9721F">
            <w:pPr>
              <w:pStyle w:val="TableBodyText"/>
            </w:pPr>
            <w:r>
              <w:t>Specifies that the link shall target the viewing of the slide in within this presentation package specified by SLIDE_NUM. The SLIDE_NUM variable shall be</w:t>
            </w:r>
            <w:r>
              <w:t xml:space="preserve"> replaced with a slide number in this presentation package that will be targeted.</w:t>
            </w:r>
          </w:p>
        </w:tc>
      </w:tr>
      <w:tr w:rsidR="000A156F" w:rsidTr="000A156F">
        <w:tc>
          <w:tcPr>
            <w:tcW w:w="0" w:type="auto"/>
            <w:vAlign w:val="center"/>
          </w:tcPr>
          <w:p w:rsidR="000A156F" w:rsidRDefault="00A9721F">
            <w:pPr>
              <w:pStyle w:val="TableBodyText"/>
            </w:pPr>
            <w:r>
              <w:t>ppaction://hlinksldjump</w:t>
            </w:r>
          </w:p>
        </w:tc>
        <w:tc>
          <w:tcPr>
            <w:tcW w:w="0" w:type="auto"/>
            <w:vAlign w:val="center"/>
          </w:tcPr>
          <w:p w:rsidR="000A156F" w:rsidRDefault="00A9721F">
            <w:pPr>
              <w:pStyle w:val="TableBodyText"/>
            </w:pPr>
            <w:r>
              <w:t xml:space="preserve">Specifies that the link shall target the viewing of a specific slide within this presentation package. The r:id attribute for this element specifies </w:t>
            </w:r>
            <w:r>
              <w:t>the corresponding relationship containing the reference to the slide part which shall be viewed.</w:t>
            </w:r>
          </w:p>
        </w:tc>
      </w:tr>
      <w:tr w:rsidR="000A156F" w:rsidTr="000A156F">
        <w:tc>
          <w:tcPr>
            <w:tcW w:w="0" w:type="auto"/>
            <w:vAlign w:val="center"/>
          </w:tcPr>
          <w:p w:rsidR="000A156F" w:rsidRDefault="00A9721F">
            <w:pPr>
              <w:pStyle w:val="TableBodyText"/>
            </w:pPr>
            <w:r>
              <w:t>ppaction://macro?name=MACRO_NAME</w:t>
            </w:r>
          </w:p>
        </w:tc>
        <w:tc>
          <w:tcPr>
            <w:tcW w:w="0" w:type="auto"/>
            <w:vAlign w:val="center"/>
          </w:tcPr>
          <w:p w:rsidR="000A156F" w:rsidRDefault="00A9721F">
            <w:pPr>
              <w:pStyle w:val="TableBodyText"/>
            </w:pPr>
            <w:r>
              <w:t xml:space="preserve">Specifies that the link shall run a macro contained within this presentation. The MACRO_NAME variable shall be replaced with </w:t>
            </w:r>
            <w:r>
              <w:t>the name of the macro module.</w:t>
            </w:r>
          </w:p>
        </w:tc>
      </w:tr>
      <w:tr w:rsidR="000A156F" w:rsidTr="000A156F">
        <w:tc>
          <w:tcPr>
            <w:tcW w:w="0" w:type="auto"/>
            <w:vAlign w:val="center"/>
          </w:tcPr>
          <w:p w:rsidR="000A156F" w:rsidRDefault="00A9721F">
            <w:pPr>
              <w:pStyle w:val="TableBodyText"/>
            </w:pPr>
            <w:r>
              <w:t>ppaction://program</w:t>
            </w:r>
          </w:p>
        </w:tc>
        <w:tc>
          <w:tcPr>
            <w:tcW w:w="0" w:type="auto"/>
            <w:vAlign w:val="center"/>
          </w:tcPr>
          <w:p w:rsidR="000A156F" w:rsidRDefault="00A9721F">
            <w:pPr>
              <w:pStyle w:val="TableBodyText"/>
            </w:pPr>
            <w:r>
              <w:t>Specifies that the link shall run an application external to this presentation package. The r:id attribute for this element specifies the corresponding relationship containing the reference to the applicati</w:t>
            </w:r>
            <w:r>
              <w:t>on.</w:t>
            </w:r>
          </w:p>
        </w:tc>
      </w:tr>
      <w:tr w:rsidR="000A156F" w:rsidTr="000A156F">
        <w:tc>
          <w:tcPr>
            <w:tcW w:w="0" w:type="auto"/>
            <w:vAlign w:val="center"/>
          </w:tcPr>
          <w:p w:rsidR="000A156F" w:rsidRDefault="00A9721F">
            <w:pPr>
              <w:pStyle w:val="TableBodyText"/>
            </w:pPr>
            <w:r>
              <w:t>ppaction://noaction</w:t>
            </w:r>
          </w:p>
        </w:tc>
        <w:tc>
          <w:tcPr>
            <w:tcW w:w="0" w:type="auto"/>
            <w:vAlign w:val="center"/>
          </w:tcPr>
          <w:p w:rsidR="000A156F" w:rsidRDefault="00A9721F">
            <w:pPr>
              <w:pStyle w:val="TableBodyText"/>
            </w:pPr>
            <w:r>
              <w:t>This value of the action attribute does not specify any action performed by the link. The link will continue to respect highlight attribute and snd element if present.</w:t>
            </w:r>
          </w:p>
        </w:tc>
      </w:tr>
      <w:tr w:rsidR="000A156F" w:rsidTr="000A156F">
        <w:tc>
          <w:tcPr>
            <w:tcW w:w="0" w:type="auto"/>
            <w:vAlign w:val="center"/>
          </w:tcPr>
          <w:p w:rsidR="000A156F" w:rsidRDefault="00A9721F">
            <w:pPr>
              <w:pStyle w:val="TableBodyText"/>
            </w:pPr>
            <w:r>
              <w:t>ppaction://media</w:t>
            </w:r>
          </w:p>
        </w:tc>
        <w:tc>
          <w:tcPr>
            <w:tcW w:w="0" w:type="auto"/>
            <w:vAlign w:val="center"/>
          </w:tcPr>
          <w:p w:rsidR="000A156F" w:rsidRDefault="00A9721F">
            <w:pPr>
              <w:pStyle w:val="TableBodyText"/>
            </w:pPr>
            <w:r>
              <w:t>Specifies that the link shall initiate playba</w:t>
            </w:r>
            <w:r>
              <w:t xml:space="preserve">ck of the media object specified by the parent element. </w:t>
            </w:r>
          </w:p>
        </w:tc>
      </w:tr>
      <w:tr w:rsidR="000A156F" w:rsidTr="000A156F">
        <w:tc>
          <w:tcPr>
            <w:tcW w:w="0" w:type="auto"/>
            <w:vAlign w:val="center"/>
          </w:tcPr>
          <w:p w:rsidR="000A156F" w:rsidRDefault="00A9721F">
            <w:pPr>
              <w:pStyle w:val="TableBodyText"/>
            </w:pPr>
            <w:r>
              <w:t>ppaction://ole?verb=OLE_VERB_INDEX</w:t>
            </w:r>
          </w:p>
        </w:tc>
        <w:tc>
          <w:tcPr>
            <w:tcW w:w="0" w:type="auto"/>
            <w:vAlign w:val="center"/>
          </w:tcPr>
          <w:p w:rsidR="000A156F" w:rsidRDefault="00A9721F">
            <w:pPr>
              <w:pStyle w:val="TableBodyText"/>
            </w:pPr>
            <w:r>
              <w:t xml:space="preserve">Specifies that the link shall execute the verb on an OLE object specified by OLE_VERB_INDEX. The OLE_VERB_INDEX variable shall be replaced with the verb number of </w:t>
            </w:r>
            <w:r>
              <w:t>the verb registered by the OLE object that shall be executed.</w:t>
            </w:r>
          </w:p>
        </w:tc>
      </w:tr>
    </w:tbl>
    <w:p w:rsidR="000A156F" w:rsidRDefault="000A156F"/>
    <w:p w:rsidR="000A156F" w:rsidRDefault="00A9721F">
      <w:pPr>
        <w:pStyle w:val="Heading3"/>
      </w:pPr>
      <w:bookmarkStart w:id="2813" w:name="section_98300ab2307b45f49a00b98df349c87b"/>
      <w:bookmarkStart w:id="2814" w:name="_Toc181684432"/>
      <w:r>
        <w:t>Part 1 Section 21.1.2.3.6, hlinkMouseOver (Mouse-Over Hyperlink)</w:t>
      </w:r>
      <w:bookmarkEnd w:id="2813"/>
      <w:bookmarkEnd w:id="2814"/>
      <w:r>
        <w:fldChar w:fldCharType="begin"/>
      </w:r>
      <w:r>
        <w:instrText xml:space="preserve"> XE "hlinkMouseOver (Mouse-Over Hyperlink)" </w:instrText>
      </w:r>
      <w:r>
        <w:fldChar w:fldCharType="end"/>
      </w:r>
    </w:p>
    <w:p w:rsidR="000A156F" w:rsidRDefault="00A9721F">
      <w:pPr>
        <w:pStyle w:val="Definition-Field2"/>
      </w:pPr>
      <w:r>
        <w:rPr>
          <w:i/>
        </w:rPr>
        <w:t>For additional notes that apply to this portion of the standard, please see the n</w:t>
      </w:r>
      <w:r>
        <w:rPr>
          <w:i/>
        </w:rPr>
        <w:t xml:space="preserve">otes for </w:t>
      </w:r>
      <w:hyperlink w:anchor="Section_a65b76db6abc49898cd1baa9a3500f6f">
        <w:r>
          <w:rPr>
            <w:rStyle w:val="Hyperlink"/>
          </w:rPr>
          <w:t>hlinkClick, §21.1.2.3.5(a)</w:t>
        </w:r>
      </w:hyperlink>
      <w:r>
        <w:rPr>
          <w:i/>
        </w:rPr>
        <w:t>.</w:t>
      </w:r>
    </w:p>
    <w:p w:rsidR="000A156F" w:rsidRDefault="00A9721F">
      <w:pPr>
        <w:pStyle w:val="Heading3"/>
      </w:pPr>
      <w:bookmarkStart w:id="2815" w:name="section_e6784cb715474ee5addc730cac8b4d00"/>
      <w:bookmarkStart w:id="2816" w:name="_Toc181684433"/>
      <w:r>
        <w:t>Part 1 Section 21.1.2.3.7, latin (Latin Font)</w:t>
      </w:r>
      <w:bookmarkEnd w:id="2815"/>
      <w:bookmarkEnd w:id="2816"/>
      <w:r>
        <w:fldChar w:fldCharType="begin"/>
      </w:r>
      <w:r>
        <w:instrText xml:space="preserve"> XE "latin (Latin Font)" </w:instrText>
      </w:r>
      <w:r>
        <w:fldChar w:fldCharType="end"/>
      </w:r>
    </w:p>
    <w:p w:rsidR="000A156F" w:rsidRDefault="00A9721F">
      <w:pPr>
        <w:pStyle w:val="Definition-Field"/>
      </w:pPr>
      <w:r>
        <w:t xml:space="preserve">a.   </w:t>
      </w:r>
      <w:r>
        <w:rPr>
          <w:i/>
        </w:rPr>
        <w:t>The standard includes panose as an optional attribute of this element.</w:t>
      </w:r>
    </w:p>
    <w:p w:rsidR="000A156F" w:rsidRDefault="00A9721F">
      <w:pPr>
        <w:pStyle w:val="Definition-Field2"/>
      </w:pPr>
      <w:r>
        <w:t xml:space="preserve">Office </w:t>
      </w:r>
      <w:r>
        <w:t>does not implement the panose attribute.</w:t>
      </w:r>
    </w:p>
    <w:p w:rsidR="000A156F" w:rsidRDefault="00A9721F">
      <w:pPr>
        <w:pStyle w:val="Definition-Field"/>
      </w:pPr>
      <w:r>
        <w:t xml:space="preserve">b.   </w:t>
      </w:r>
      <w:r>
        <w:rPr>
          <w:i/>
        </w:rPr>
        <w:t>The standard states that the charset attribute of the buFont, cs, ea, font, latin and sym elements specifies the most similar character set.</w:t>
      </w:r>
    </w:p>
    <w:p w:rsidR="000A156F" w:rsidRDefault="00A9721F">
      <w:r>
        <w:t>Office uses this attribute to specify the character set that is suppo</w:t>
      </w:r>
      <w:r>
        <w:t>rted by the parent font. This information may be used in font substitution logic to locate an appropriate substitute font when this font is not available. This information is determined by querying the font when present and shall not be modified when the f</w:t>
      </w:r>
      <w:r>
        <w:t>ont is not available.</w:t>
      </w:r>
    </w:p>
    <w:p w:rsidR="000A156F" w:rsidRDefault="00A9721F">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rStyle w:val="InlineCode"/>
              </w:rPr>
              <w:t>0x00</w:t>
            </w:r>
          </w:p>
        </w:tc>
        <w:tc>
          <w:tcPr>
            <w:tcW w:w="0" w:type="auto"/>
            <w:vAlign w:val="center"/>
          </w:tcPr>
          <w:p w:rsidR="000A156F" w:rsidRDefault="00A9721F">
            <w:pPr>
              <w:pStyle w:val="TableBodyText"/>
            </w:pPr>
            <w:r>
              <w:t xml:space="preserve">Specifies the ANSI character set. (IANA name </w:t>
            </w:r>
            <w:r>
              <w:rPr>
                <w:rStyle w:val="InlineCode"/>
              </w:rPr>
              <w:t>iso-8859-1</w:t>
            </w:r>
            <w:r>
              <w:t>)</w:t>
            </w:r>
          </w:p>
        </w:tc>
      </w:tr>
      <w:tr w:rsidR="000A156F" w:rsidTr="000A156F">
        <w:tc>
          <w:tcPr>
            <w:tcW w:w="0" w:type="auto"/>
            <w:vAlign w:val="center"/>
          </w:tcPr>
          <w:p w:rsidR="000A156F" w:rsidRDefault="00A9721F">
            <w:pPr>
              <w:pStyle w:val="TableBodyText"/>
            </w:pPr>
            <w:r>
              <w:rPr>
                <w:rStyle w:val="InlineCode"/>
              </w:rPr>
              <w:t>0x01</w:t>
            </w:r>
          </w:p>
        </w:tc>
        <w:tc>
          <w:tcPr>
            <w:tcW w:w="0" w:type="auto"/>
            <w:vAlign w:val="center"/>
          </w:tcPr>
          <w:p w:rsidR="000A156F" w:rsidRDefault="00A9721F">
            <w:pPr>
              <w:pStyle w:val="TableBodyText"/>
            </w:pPr>
            <w:r>
              <w:t>Specifies the default character set.</w:t>
            </w:r>
          </w:p>
        </w:tc>
      </w:tr>
      <w:tr w:rsidR="000A156F" w:rsidTr="000A156F">
        <w:tc>
          <w:tcPr>
            <w:tcW w:w="0" w:type="auto"/>
            <w:vAlign w:val="center"/>
          </w:tcPr>
          <w:p w:rsidR="000A156F" w:rsidRDefault="00A9721F">
            <w:pPr>
              <w:pStyle w:val="TableBodyText"/>
            </w:pPr>
            <w:r>
              <w:rPr>
                <w:rStyle w:val="InlineCode"/>
              </w:rPr>
              <w:t>0x02</w:t>
            </w:r>
          </w:p>
        </w:tc>
        <w:tc>
          <w:tcPr>
            <w:tcW w:w="0" w:type="auto"/>
            <w:vAlign w:val="center"/>
          </w:tcPr>
          <w:p w:rsidR="000A156F" w:rsidRDefault="00A9721F">
            <w:pPr>
              <w:pStyle w:val="TableBodyText"/>
            </w:pPr>
            <w:r>
              <w:t xml:space="preserve">Specifies the Symbol character set. This </w:t>
            </w:r>
            <w:r>
              <w:t>value specifies that the characters in the Unicode private use area (U+FF00 to U+FFFF) of the font should be used to display characters in the range U+0000 to U+00FF.</w:t>
            </w:r>
          </w:p>
        </w:tc>
      </w:tr>
      <w:tr w:rsidR="000A156F" w:rsidTr="000A156F">
        <w:tc>
          <w:tcPr>
            <w:tcW w:w="0" w:type="auto"/>
            <w:vAlign w:val="center"/>
          </w:tcPr>
          <w:p w:rsidR="000A156F" w:rsidRDefault="00A9721F">
            <w:pPr>
              <w:pStyle w:val="TableBodyText"/>
            </w:pPr>
            <w:r>
              <w:rPr>
                <w:rStyle w:val="InlineCode"/>
              </w:rPr>
              <w:t>0x4D</w:t>
            </w:r>
          </w:p>
        </w:tc>
        <w:tc>
          <w:tcPr>
            <w:tcW w:w="0" w:type="auto"/>
            <w:vAlign w:val="center"/>
          </w:tcPr>
          <w:p w:rsidR="000A156F" w:rsidRDefault="00A9721F">
            <w:pPr>
              <w:pStyle w:val="TableBodyText"/>
            </w:pPr>
            <w:r>
              <w:t xml:space="preserve">Specifies a Macintosh (Standard Roman) character set. (IANA name </w:t>
            </w:r>
            <w:r>
              <w:rPr>
                <w:rStyle w:val="InlineCode"/>
              </w:rPr>
              <w:t>macintosh)</w:t>
            </w:r>
          </w:p>
        </w:tc>
      </w:tr>
      <w:tr w:rsidR="000A156F" w:rsidTr="000A156F">
        <w:tc>
          <w:tcPr>
            <w:tcW w:w="0" w:type="auto"/>
            <w:vAlign w:val="center"/>
          </w:tcPr>
          <w:p w:rsidR="000A156F" w:rsidRDefault="00A9721F">
            <w:pPr>
              <w:pStyle w:val="TableBodyText"/>
            </w:pPr>
            <w:r>
              <w:rPr>
                <w:rStyle w:val="InlineCode"/>
              </w:rPr>
              <w:t>0x80</w:t>
            </w:r>
          </w:p>
        </w:tc>
        <w:tc>
          <w:tcPr>
            <w:tcW w:w="0" w:type="auto"/>
            <w:vAlign w:val="center"/>
          </w:tcPr>
          <w:p w:rsidR="000A156F" w:rsidRDefault="00A9721F">
            <w:pPr>
              <w:pStyle w:val="TableBodyText"/>
            </w:pPr>
            <w:r>
              <w:t>S</w:t>
            </w:r>
            <w:r>
              <w:t xml:space="preserve">pecifies the JIS character set. (IANA name </w:t>
            </w:r>
            <w:r>
              <w:rPr>
                <w:rStyle w:val="InlineCode"/>
              </w:rPr>
              <w:t>shift_jis</w:t>
            </w:r>
            <w:r>
              <w:t>)</w:t>
            </w:r>
          </w:p>
        </w:tc>
      </w:tr>
      <w:tr w:rsidR="000A156F" w:rsidTr="000A156F">
        <w:tc>
          <w:tcPr>
            <w:tcW w:w="0" w:type="auto"/>
            <w:vAlign w:val="center"/>
          </w:tcPr>
          <w:p w:rsidR="000A156F" w:rsidRDefault="00A9721F">
            <w:pPr>
              <w:pStyle w:val="TableBodyText"/>
            </w:pPr>
            <w:r>
              <w:rPr>
                <w:rStyle w:val="InlineCode"/>
              </w:rPr>
              <w:t>0x81</w:t>
            </w:r>
          </w:p>
        </w:tc>
        <w:tc>
          <w:tcPr>
            <w:tcW w:w="0" w:type="auto"/>
            <w:vAlign w:val="center"/>
          </w:tcPr>
          <w:p w:rsidR="000A156F" w:rsidRDefault="00A9721F">
            <w:pPr>
              <w:pStyle w:val="TableBodyText"/>
            </w:pPr>
            <w:r>
              <w:t xml:space="preserve">Specifies the Hangul character set. (IANA name </w:t>
            </w:r>
            <w:r>
              <w:rPr>
                <w:rStyle w:val="InlineCode"/>
              </w:rPr>
              <w:t>ks_c_5601-1987</w:t>
            </w:r>
            <w:r>
              <w:t>)</w:t>
            </w:r>
          </w:p>
        </w:tc>
      </w:tr>
      <w:tr w:rsidR="000A156F" w:rsidTr="000A156F">
        <w:tc>
          <w:tcPr>
            <w:tcW w:w="0" w:type="auto"/>
            <w:vAlign w:val="center"/>
          </w:tcPr>
          <w:p w:rsidR="000A156F" w:rsidRDefault="00A9721F">
            <w:pPr>
              <w:pStyle w:val="TableBodyText"/>
            </w:pPr>
            <w:r>
              <w:rPr>
                <w:rStyle w:val="InlineCode"/>
              </w:rPr>
              <w:t>0x82</w:t>
            </w:r>
          </w:p>
        </w:tc>
        <w:tc>
          <w:tcPr>
            <w:tcW w:w="0" w:type="auto"/>
            <w:vAlign w:val="center"/>
          </w:tcPr>
          <w:p w:rsidR="000A156F" w:rsidRDefault="00A9721F">
            <w:pPr>
              <w:pStyle w:val="TableBodyText"/>
            </w:pPr>
            <w:r>
              <w:t xml:space="preserve">Specifies a Johab character set. (IANA name </w:t>
            </w:r>
            <w:r>
              <w:rPr>
                <w:rStyle w:val="InlineCode"/>
              </w:rPr>
              <w:t>KS C-5601-1992</w:t>
            </w:r>
            <w:r>
              <w:t>)</w:t>
            </w:r>
          </w:p>
        </w:tc>
      </w:tr>
      <w:tr w:rsidR="000A156F" w:rsidTr="000A156F">
        <w:tc>
          <w:tcPr>
            <w:tcW w:w="0" w:type="auto"/>
            <w:vAlign w:val="center"/>
          </w:tcPr>
          <w:p w:rsidR="000A156F" w:rsidRDefault="00A9721F">
            <w:pPr>
              <w:pStyle w:val="TableBodyText"/>
            </w:pPr>
            <w:r>
              <w:rPr>
                <w:rStyle w:val="InlineCode"/>
              </w:rPr>
              <w:t>0x86</w:t>
            </w:r>
          </w:p>
        </w:tc>
        <w:tc>
          <w:tcPr>
            <w:tcW w:w="0" w:type="auto"/>
            <w:vAlign w:val="center"/>
          </w:tcPr>
          <w:p w:rsidR="000A156F" w:rsidRDefault="00A9721F">
            <w:pPr>
              <w:pStyle w:val="TableBodyText"/>
            </w:pPr>
            <w:r>
              <w:t xml:space="preserve">Specifies the GB-2312 character set. (IANA name </w:t>
            </w:r>
            <w:r>
              <w:rPr>
                <w:rStyle w:val="InlineCode"/>
              </w:rPr>
              <w:t>GBK</w:t>
            </w:r>
            <w:r>
              <w:t>)</w:t>
            </w:r>
          </w:p>
        </w:tc>
      </w:tr>
      <w:tr w:rsidR="000A156F" w:rsidTr="000A156F">
        <w:tc>
          <w:tcPr>
            <w:tcW w:w="0" w:type="auto"/>
            <w:vAlign w:val="center"/>
          </w:tcPr>
          <w:p w:rsidR="000A156F" w:rsidRDefault="00A9721F">
            <w:pPr>
              <w:pStyle w:val="TableBodyText"/>
            </w:pPr>
            <w:r>
              <w:rPr>
                <w:rStyle w:val="InlineCode"/>
              </w:rPr>
              <w:t>0x88</w:t>
            </w:r>
          </w:p>
        </w:tc>
        <w:tc>
          <w:tcPr>
            <w:tcW w:w="0" w:type="auto"/>
            <w:vAlign w:val="center"/>
          </w:tcPr>
          <w:p w:rsidR="000A156F" w:rsidRDefault="00A9721F">
            <w:pPr>
              <w:pStyle w:val="TableBodyText"/>
            </w:pPr>
            <w:r>
              <w:t xml:space="preserve">Specifies the Chinese Big Five character set. (IANA name </w:t>
            </w:r>
            <w:r>
              <w:rPr>
                <w:rStyle w:val="InlineCode"/>
              </w:rPr>
              <w:t>Big5</w:t>
            </w:r>
            <w:r>
              <w:t>)</w:t>
            </w:r>
          </w:p>
        </w:tc>
      </w:tr>
      <w:tr w:rsidR="000A156F" w:rsidTr="000A156F">
        <w:tc>
          <w:tcPr>
            <w:tcW w:w="0" w:type="auto"/>
            <w:vAlign w:val="center"/>
          </w:tcPr>
          <w:p w:rsidR="000A156F" w:rsidRDefault="00A9721F">
            <w:pPr>
              <w:pStyle w:val="TableBodyText"/>
            </w:pPr>
            <w:r>
              <w:rPr>
                <w:rStyle w:val="InlineCode"/>
              </w:rPr>
              <w:t>0xA1</w:t>
            </w:r>
          </w:p>
        </w:tc>
        <w:tc>
          <w:tcPr>
            <w:tcW w:w="0" w:type="auto"/>
            <w:vAlign w:val="center"/>
          </w:tcPr>
          <w:p w:rsidR="000A156F" w:rsidRDefault="00A9721F">
            <w:pPr>
              <w:pStyle w:val="TableBodyText"/>
            </w:pPr>
            <w:r>
              <w:t xml:space="preserve">Specifies a Greek character set. (IANA name </w:t>
            </w:r>
            <w:r>
              <w:rPr>
                <w:rStyle w:val="InlineCode"/>
              </w:rPr>
              <w:t>windows-1253</w:t>
            </w:r>
            <w:r>
              <w:t>)</w:t>
            </w:r>
          </w:p>
        </w:tc>
      </w:tr>
      <w:tr w:rsidR="000A156F" w:rsidTr="000A156F">
        <w:tc>
          <w:tcPr>
            <w:tcW w:w="0" w:type="auto"/>
            <w:vAlign w:val="center"/>
          </w:tcPr>
          <w:p w:rsidR="000A156F" w:rsidRDefault="00A9721F">
            <w:pPr>
              <w:pStyle w:val="TableBodyText"/>
            </w:pPr>
            <w:r>
              <w:rPr>
                <w:rStyle w:val="InlineCode"/>
              </w:rPr>
              <w:t>0xA2</w:t>
            </w:r>
          </w:p>
        </w:tc>
        <w:tc>
          <w:tcPr>
            <w:tcW w:w="0" w:type="auto"/>
            <w:vAlign w:val="center"/>
          </w:tcPr>
          <w:p w:rsidR="000A156F" w:rsidRDefault="00A9721F">
            <w:pPr>
              <w:pStyle w:val="TableBodyText"/>
            </w:pPr>
            <w:r>
              <w:t xml:space="preserve">Specifies a Turkish character set. (IANA name </w:t>
            </w:r>
            <w:r>
              <w:rPr>
                <w:rStyle w:val="InlineCode"/>
              </w:rPr>
              <w:t>iso-8859-9</w:t>
            </w:r>
            <w:r>
              <w:t>)</w:t>
            </w:r>
          </w:p>
        </w:tc>
      </w:tr>
      <w:tr w:rsidR="000A156F" w:rsidTr="000A156F">
        <w:tc>
          <w:tcPr>
            <w:tcW w:w="0" w:type="auto"/>
            <w:vAlign w:val="center"/>
          </w:tcPr>
          <w:p w:rsidR="000A156F" w:rsidRDefault="00A9721F">
            <w:pPr>
              <w:pStyle w:val="TableBodyText"/>
            </w:pPr>
            <w:r>
              <w:rPr>
                <w:rStyle w:val="InlineCode"/>
              </w:rPr>
              <w:t>0xA3</w:t>
            </w:r>
          </w:p>
        </w:tc>
        <w:tc>
          <w:tcPr>
            <w:tcW w:w="0" w:type="auto"/>
            <w:vAlign w:val="center"/>
          </w:tcPr>
          <w:p w:rsidR="000A156F" w:rsidRDefault="00A9721F">
            <w:pPr>
              <w:pStyle w:val="TableBodyText"/>
            </w:pPr>
            <w:r>
              <w:t xml:space="preserve">Specifies a Vietnamese character set. (IANA name </w:t>
            </w:r>
            <w:r>
              <w:rPr>
                <w:rStyle w:val="InlineCode"/>
              </w:rPr>
              <w:t>windows-12</w:t>
            </w:r>
            <w:r>
              <w:rPr>
                <w:rStyle w:val="InlineCode"/>
              </w:rPr>
              <w:t>58</w:t>
            </w:r>
            <w:r>
              <w:t>)</w:t>
            </w:r>
          </w:p>
        </w:tc>
      </w:tr>
      <w:tr w:rsidR="000A156F" w:rsidTr="000A156F">
        <w:tc>
          <w:tcPr>
            <w:tcW w:w="0" w:type="auto"/>
            <w:vAlign w:val="center"/>
          </w:tcPr>
          <w:p w:rsidR="000A156F" w:rsidRDefault="00A9721F">
            <w:pPr>
              <w:pStyle w:val="TableBodyText"/>
            </w:pPr>
            <w:r>
              <w:rPr>
                <w:rStyle w:val="InlineCode"/>
              </w:rPr>
              <w:t>0xB1</w:t>
            </w:r>
          </w:p>
        </w:tc>
        <w:tc>
          <w:tcPr>
            <w:tcW w:w="0" w:type="auto"/>
            <w:vAlign w:val="center"/>
          </w:tcPr>
          <w:p w:rsidR="000A156F" w:rsidRDefault="00A9721F">
            <w:pPr>
              <w:pStyle w:val="TableBodyText"/>
            </w:pPr>
            <w:r>
              <w:t xml:space="preserve">Specifies a Hebrew character set. (IANA name </w:t>
            </w:r>
            <w:r>
              <w:rPr>
                <w:rStyle w:val="InlineCode"/>
              </w:rPr>
              <w:t>windows-1255</w:t>
            </w:r>
            <w:r>
              <w:t>)</w:t>
            </w:r>
          </w:p>
        </w:tc>
      </w:tr>
      <w:tr w:rsidR="000A156F" w:rsidTr="000A156F">
        <w:tc>
          <w:tcPr>
            <w:tcW w:w="0" w:type="auto"/>
            <w:vAlign w:val="center"/>
          </w:tcPr>
          <w:p w:rsidR="000A156F" w:rsidRDefault="00A9721F">
            <w:pPr>
              <w:pStyle w:val="TableBodyText"/>
            </w:pPr>
            <w:r>
              <w:rPr>
                <w:rStyle w:val="InlineCode"/>
              </w:rPr>
              <w:t>0xB2</w:t>
            </w:r>
          </w:p>
        </w:tc>
        <w:tc>
          <w:tcPr>
            <w:tcW w:w="0" w:type="auto"/>
            <w:vAlign w:val="center"/>
          </w:tcPr>
          <w:p w:rsidR="000A156F" w:rsidRDefault="00A9721F">
            <w:pPr>
              <w:pStyle w:val="TableBodyText"/>
            </w:pPr>
            <w:r>
              <w:t xml:space="preserve">Specifies an Arabic character set. (IANA name </w:t>
            </w:r>
            <w:r>
              <w:rPr>
                <w:rStyle w:val="InlineCode"/>
              </w:rPr>
              <w:t>windows-1256</w:t>
            </w:r>
            <w:r>
              <w:t>)</w:t>
            </w:r>
          </w:p>
        </w:tc>
      </w:tr>
      <w:tr w:rsidR="000A156F" w:rsidTr="000A156F">
        <w:tc>
          <w:tcPr>
            <w:tcW w:w="0" w:type="auto"/>
            <w:vAlign w:val="center"/>
          </w:tcPr>
          <w:p w:rsidR="000A156F" w:rsidRDefault="00A9721F">
            <w:pPr>
              <w:pStyle w:val="TableBodyText"/>
            </w:pPr>
            <w:r>
              <w:rPr>
                <w:rStyle w:val="InlineCode"/>
              </w:rPr>
              <w:t>0xBA</w:t>
            </w:r>
          </w:p>
        </w:tc>
        <w:tc>
          <w:tcPr>
            <w:tcW w:w="0" w:type="auto"/>
            <w:vAlign w:val="center"/>
          </w:tcPr>
          <w:p w:rsidR="000A156F" w:rsidRDefault="00A9721F">
            <w:pPr>
              <w:pStyle w:val="TableBodyText"/>
            </w:pPr>
            <w:r>
              <w:t xml:space="preserve">Specifies a Baltic character set. (IANA name </w:t>
            </w:r>
            <w:r>
              <w:rPr>
                <w:rStyle w:val="InlineCode"/>
              </w:rPr>
              <w:t>windows-1257</w:t>
            </w:r>
            <w:r>
              <w:t>)</w:t>
            </w:r>
          </w:p>
        </w:tc>
      </w:tr>
      <w:tr w:rsidR="000A156F" w:rsidTr="000A156F">
        <w:tc>
          <w:tcPr>
            <w:tcW w:w="0" w:type="auto"/>
            <w:vAlign w:val="center"/>
          </w:tcPr>
          <w:p w:rsidR="000A156F" w:rsidRDefault="00A9721F">
            <w:pPr>
              <w:pStyle w:val="TableBodyText"/>
            </w:pPr>
            <w:r>
              <w:rPr>
                <w:rStyle w:val="InlineCode"/>
              </w:rPr>
              <w:t>0xCC</w:t>
            </w:r>
          </w:p>
        </w:tc>
        <w:tc>
          <w:tcPr>
            <w:tcW w:w="0" w:type="auto"/>
            <w:vAlign w:val="center"/>
          </w:tcPr>
          <w:p w:rsidR="000A156F" w:rsidRDefault="00A9721F">
            <w:pPr>
              <w:pStyle w:val="TableBodyText"/>
            </w:pPr>
            <w:r>
              <w:t xml:space="preserve">Specifies a Russian character set. (IANA name </w:t>
            </w:r>
            <w:r>
              <w:rPr>
                <w:rStyle w:val="InlineCode"/>
              </w:rPr>
              <w:t>windows-1251</w:t>
            </w:r>
            <w:r>
              <w:t>)</w:t>
            </w:r>
          </w:p>
        </w:tc>
      </w:tr>
      <w:tr w:rsidR="000A156F" w:rsidTr="000A156F">
        <w:tc>
          <w:tcPr>
            <w:tcW w:w="0" w:type="auto"/>
            <w:vAlign w:val="center"/>
          </w:tcPr>
          <w:p w:rsidR="000A156F" w:rsidRDefault="00A9721F">
            <w:pPr>
              <w:pStyle w:val="TableBodyText"/>
            </w:pPr>
            <w:r>
              <w:rPr>
                <w:rStyle w:val="InlineCode"/>
              </w:rPr>
              <w:t>0xDE</w:t>
            </w:r>
          </w:p>
        </w:tc>
        <w:tc>
          <w:tcPr>
            <w:tcW w:w="0" w:type="auto"/>
            <w:vAlign w:val="center"/>
          </w:tcPr>
          <w:p w:rsidR="000A156F" w:rsidRDefault="00A9721F">
            <w:pPr>
              <w:pStyle w:val="TableBodyText"/>
            </w:pPr>
            <w:r>
              <w:t xml:space="preserve">Specifies a Thai character set. (IANA name </w:t>
            </w:r>
            <w:r>
              <w:rPr>
                <w:rStyle w:val="InlineCode"/>
              </w:rPr>
              <w:t>windows-874</w:t>
            </w:r>
            <w:r>
              <w:t>)</w:t>
            </w:r>
          </w:p>
        </w:tc>
      </w:tr>
      <w:tr w:rsidR="000A156F" w:rsidTr="000A156F">
        <w:tc>
          <w:tcPr>
            <w:tcW w:w="0" w:type="auto"/>
            <w:vAlign w:val="center"/>
          </w:tcPr>
          <w:p w:rsidR="000A156F" w:rsidRDefault="00A9721F">
            <w:pPr>
              <w:pStyle w:val="TableBodyText"/>
            </w:pPr>
            <w:r>
              <w:rPr>
                <w:rStyle w:val="InlineCode"/>
              </w:rPr>
              <w:t>0xEE</w:t>
            </w:r>
          </w:p>
        </w:tc>
        <w:tc>
          <w:tcPr>
            <w:tcW w:w="0" w:type="auto"/>
            <w:vAlign w:val="center"/>
          </w:tcPr>
          <w:p w:rsidR="000A156F" w:rsidRDefault="00A9721F">
            <w:pPr>
              <w:pStyle w:val="TableBodyText"/>
            </w:pPr>
            <w:r>
              <w:t xml:space="preserve">Specifies an Eastern European character set. (IANA name </w:t>
            </w:r>
            <w:r>
              <w:rPr>
                <w:rStyle w:val="InlineCode"/>
              </w:rPr>
              <w:t>windows-1250</w:t>
            </w:r>
            <w:r>
              <w:t>)</w:t>
            </w:r>
          </w:p>
        </w:tc>
      </w:tr>
      <w:tr w:rsidR="000A156F" w:rsidTr="000A156F">
        <w:tc>
          <w:tcPr>
            <w:tcW w:w="0" w:type="auto"/>
            <w:vAlign w:val="center"/>
          </w:tcPr>
          <w:p w:rsidR="000A156F" w:rsidRDefault="00A9721F">
            <w:pPr>
              <w:pStyle w:val="TableBodyText"/>
            </w:pPr>
            <w:r>
              <w:rPr>
                <w:rStyle w:val="InlineCode"/>
              </w:rPr>
              <w:t>0xFF</w:t>
            </w:r>
          </w:p>
        </w:tc>
        <w:tc>
          <w:tcPr>
            <w:tcW w:w="0" w:type="auto"/>
            <w:vAlign w:val="center"/>
          </w:tcPr>
          <w:p w:rsidR="000A156F" w:rsidRDefault="00A9721F">
            <w:pPr>
              <w:pStyle w:val="TableBodyText"/>
            </w:pPr>
            <w:r>
              <w:t>Specifies an OEM character set not defined by the standard.</w:t>
            </w:r>
          </w:p>
        </w:tc>
      </w:tr>
      <w:tr w:rsidR="000A156F" w:rsidTr="000A156F">
        <w:tc>
          <w:tcPr>
            <w:tcW w:w="0" w:type="auto"/>
            <w:vAlign w:val="center"/>
          </w:tcPr>
          <w:p w:rsidR="000A156F" w:rsidRDefault="00A9721F">
            <w:pPr>
              <w:pStyle w:val="TableBodyText"/>
            </w:pPr>
            <w:r>
              <w:t>Any other value</w:t>
            </w:r>
          </w:p>
        </w:tc>
        <w:tc>
          <w:tcPr>
            <w:tcW w:w="0" w:type="auto"/>
            <w:vAlign w:val="center"/>
          </w:tcPr>
          <w:p w:rsidR="000A156F" w:rsidRDefault="00A9721F">
            <w:pPr>
              <w:pStyle w:val="TableBodyText"/>
            </w:pPr>
            <w:r>
              <w:t xml:space="preserve">Application-defined, </w:t>
            </w:r>
            <w:r>
              <w:t>may be ignored.</w:t>
            </w:r>
          </w:p>
        </w:tc>
      </w:tr>
    </w:tbl>
    <w:p w:rsidR="000A156F" w:rsidRDefault="000A156F"/>
    <w:p w:rsidR="000A156F" w:rsidRDefault="00A9721F">
      <w:pPr>
        <w:pStyle w:val="Definition-Field"/>
      </w:pPr>
      <w:r>
        <w:t xml:space="preserve">c.   </w:t>
      </w:r>
      <w:r>
        <w:rPr>
          <w:i/>
        </w:rPr>
        <w:t>The standard states that the pitchFamily attribute of the buFont, cs, ea, font, latin and sym elements specifies the most similar font family.</w:t>
      </w:r>
    </w:p>
    <w:p w:rsidR="000A156F" w:rsidRDefault="00A9721F">
      <w:r>
        <w:t xml:space="preserve">In Office, the pitchFamily attribute specifies the font pitch as well as the font family </w:t>
      </w:r>
      <w:r>
        <w:t>for the corresponding font. Because the value of this attribute 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0x00</w:t>
            </w:r>
          </w:p>
        </w:tc>
        <w:tc>
          <w:tcPr>
            <w:tcW w:w="0" w:type="auto"/>
            <w:vAlign w:val="center"/>
          </w:tcPr>
          <w:p w:rsidR="000A156F" w:rsidRDefault="00A9721F">
            <w:pPr>
              <w:pStyle w:val="TableBodyText"/>
            </w:pPr>
            <w:r>
              <w:t>DEFAULT PITCH + UNKNOWN FONT FAMILY</w:t>
            </w:r>
          </w:p>
        </w:tc>
      </w:tr>
      <w:tr w:rsidR="000A156F" w:rsidTr="000A156F">
        <w:tc>
          <w:tcPr>
            <w:tcW w:w="0" w:type="auto"/>
            <w:vAlign w:val="center"/>
          </w:tcPr>
          <w:p w:rsidR="000A156F" w:rsidRDefault="00A9721F">
            <w:pPr>
              <w:pStyle w:val="TableBodyText"/>
            </w:pPr>
            <w:r>
              <w:t>0x01</w:t>
            </w:r>
          </w:p>
        </w:tc>
        <w:tc>
          <w:tcPr>
            <w:tcW w:w="0" w:type="auto"/>
            <w:vAlign w:val="center"/>
          </w:tcPr>
          <w:p w:rsidR="000A156F" w:rsidRDefault="00A9721F">
            <w:pPr>
              <w:pStyle w:val="TableBodyText"/>
            </w:pPr>
            <w:r>
              <w:t>FIXED PITCH + UNKNOWN FONT FAMILY</w:t>
            </w:r>
          </w:p>
        </w:tc>
      </w:tr>
      <w:tr w:rsidR="000A156F" w:rsidTr="000A156F">
        <w:tc>
          <w:tcPr>
            <w:tcW w:w="0" w:type="auto"/>
            <w:vAlign w:val="center"/>
          </w:tcPr>
          <w:p w:rsidR="000A156F" w:rsidRDefault="00A9721F">
            <w:pPr>
              <w:pStyle w:val="TableBodyText"/>
            </w:pPr>
            <w:r>
              <w:t>0x02</w:t>
            </w:r>
          </w:p>
        </w:tc>
        <w:tc>
          <w:tcPr>
            <w:tcW w:w="0" w:type="auto"/>
            <w:vAlign w:val="center"/>
          </w:tcPr>
          <w:p w:rsidR="000A156F" w:rsidRDefault="00A9721F">
            <w:pPr>
              <w:pStyle w:val="TableBodyText"/>
            </w:pPr>
            <w:r>
              <w:t xml:space="preserve">VARIABLE </w:t>
            </w:r>
            <w:r>
              <w:t>PITCH + UNKNOWN FONT FAMILY</w:t>
            </w:r>
          </w:p>
        </w:tc>
      </w:tr>
      <w:tr w:rsidR="000A156F" w:rsidTr="000A156F">
        <w:tc>
          <w:tcPr>
            <w:tcW w:w="0" w:type="auto"/>
            <w:vAlign w:val="center"/>
          </w:tcPr>
          <w:p w:rsidR="000A156F" w:rsidRDefault="00A9721F">
            <w:pPr>
              <w:pStyle w:val="TableBodyText"/>
            </w:pPr>
            <w:r>
              <w:lastRenderedPageBreak/>
              <w:t>0x10</w:t>
            </w:r>
          </w:p>
        </w:tc>
        <w:tc>
          <w:tcPr>
            <w:tcW w:w="0" w:type="auto"/>
            <w:vAlign w:val="center"/>
          </w:tcPr>
          <w:p w:rsidR="000A156F" w:rsidRDefault="00A9721F">
            <w:pPr>
              <w:pStyle w:val="TableBodyText"/>
            </w:pPr>
            <w:r>
              <w:t>DEFAULT PITCH + ROMAN FONT FAMILY</w:t>
            </w:r>
          </w:p>
        </w:tc>
      </w:tr>
      <w:tr w:rsidR="000A156F" w:rsidTr="000A156F">
        <w:tc>
          <w:tcPr>
            <w:tcW w:w="0" w:type="auto"/>
            <w:vAlign w:val="center"/>
          </w:tcPr>
          <w:p w:rsidR="000A156F" w:rsidRDefault="00A9721F">
            <w:pPr>
              <w:pStyle w:val="TableBodyText"/>
            </w:pPr>
            <w:r>
              <w:t>0x11</w:t>
            </w:r>
          </w:p>
        </w:tc>
        <w:tc>
          <w:tcPr>
            <w:tcW w:w="0" w:type="auto"/>
            <w:vAlign w:val="center"/>
          </w:tcPr>
          <w:p w:rsidR="000A156F" w:rsidRDefault="00A9721F">
            <w:pPr>
              <w:pStyle w:val="TableBodyText"/>
            </w:pPr>
            <w:r>
              <w:t>FIXED PITCH + ROMAN FONT FAMILY</w:t>
            </w:r>
          </w:p>
        </w:tc>
      </w:tr>
      <w:tr w:rsidR="000A156F" w:rsidTr="000A156F">
        <w:tc>
          <w:tcPr>
            <w:tcW w:w="0" w:type="auto"/>
            <w:vAlign w:val="center"/>
          </w:tcPr>
          <w:p w:rsidR="000A156F" w:rsidRDefault="00A9721F">
            <w:pPr>
              <w:pStyle w:val="TableBodyText"/>
            </w:pPr>
            <w:r>
              <w:t>0x12</w:t>
            </w:r>
          </w:p>
        </w:tc>
        <w:tc>
          <w:tcPr>
            <w:tcW w:w="0" w:type="auto"/>
            <w:vAlign w:val="center"/>
          </w:tcPr>
          <w:p w:rsidR="000A156F" w:rsidRDefault="00A9721F">
            <w:pPr>
              <w:pStyle w:val="TableBodyText"/>
            </w:pPr>
            <w:r>
              <w:t>VARIABLE PITCH + ROMAN FONT FAMILY</w:t>
            </w:r>
          </w:p>
        </w:tc>
      </w:tr>
      <w:tr w:rsidR="000A156F" w:rsidTr="000A156F">
        <w:tc>
          <w:tcPr>
            <w:tcW w:w="0" w:type="auto"/>
            <w:vAlign w:val="center"/>
          </w:tcPr>
          <w:p w:rsidR="000A156F" w:rsidRDefault="00A9721F">
            <w:pPr>
              <w:pStyle w:val="TableBodyText"/>
            </w:pPr>
            <w:r>
              <w:t>0x20</w:t>
            </w:r>
          </w:p>
        </w:tc>
        <w:tc>
          <w:tcPr>
            <w:tcW w:w="0" w:type="auto"/>
            <w:vAlign w:val="center"/>
          </w:tcPr>
          <w:p w:rsidR="000A156F" w:rsidRDefault="00A9721F">
            <w:pPr>
              <w:pStyle w:val="TableBodyText"/>
            </w:pPr>
            <w:r>
              <w:t>DEFAULT PITCH + SWISS FONT FAMILY</w:t>
            </w:r>
          </w:p>
        </w:tc>
      </w:tr>
      <w:tr w:rsidR="000A156F" w:rsidTr="000A156F">
        <w:tc>
          <w:tcPr>
            <w:tcW w:w="0" w:type="auto"/>
            <w:vAlign w:val="center"/>
          </w:tcPr>
          <w:p w:rsidR="000A156F" w:rsidRDefault="00A9721F">
            <w:pPr>
              <w:pStyle w:val="TableBodyText"/>
            </w:pPr>
            <w:r>
              <w:t>0x21</w:t>
            </w:r>
          </w:p>
        </w:tc>
        <w:tc>
          <w:tcPr>
            <w:tcW w:w="0" w:type="auto"/>
            <w:vAlign w:val="center"/>
          </w:tcPr>
          <w:p w:rsidR="000A156F" w:rsidRDefault="00A9721F">
            <w:pPr>
              <w:pStyle w:val="TableBodyText"/>
            </w:pPr>
            <w:r>
              <w:t>FIXED PITCH + SWISS FONT FAMILY</w:t>
            </w:r>
          </w:p>
        </w:tc>
      </w:tr>
      <w:tr w:rsidR="000A156F" w:rsidTr="000A156F">
        <w:tc>
          <w:tcPr>
            <w:tcW w:w="0" w:type="auto"/>
            <w:vAlign w:val="center"/>
          </w:tcPr>
          <w:p w:rsidR="000A156F" w:rsidRDefault="00A9721F">
            <w:pPr>
              <w:pStyle w:val="TableBodyText"/>
            </w:pPr>
            <w:r>
              <w:t>0x22</w:t>
            </w:r>
          </w:p>
        </w:tc>
        <w:tc>
          <w:tcPr>
            <w:tcW w:w="0" w:type="auto"/>
            <w:vAlign w:val="center"/>
          </w:tcPr>
          <w:p w:rsidR="000A156F" w:rsidRDefault="00A9721F">
            <w:pPr>
              <w:pStyle w:val="TableBodyText"/>
            </w:pPr>
            <w:r>
              <w:t xml:space="preserve">VARIABLE PITCH + SWISS </w:t>
            </w:r>
            <w:r>
              <w:t>FONT FAMILY</w:t>
            </w:r>
          </w:p>
        </w:tc>
      </w:tr>
      <w:tr w:rsidR="000A156F" w:rsidTr="000A156F">
        <w:tc>
          <w:tcPr>
            <w:tcW w:w="0" w:type="auto"/>
            <w:vAlign w:val="center"/>
          </w:tcPr>
          <w:p w:rsidR="000A156F" w:rsidRDefault="00A9721F">
            <w:pPr>
              <w:pStyle w:val="TableBodyText"/>
            </w:pPr>
            <w:r>
              <w:t>0x30</w:t>
            </w:r>
          </w:p>
        </w:tc>
        <w:tc>
          <w:tcPr>
            <w:tcW w:w="0" w:type="auto"/>
            <w:vAlign w:val="center"/>
          </w:tcPr>
          <w:p w:rsidR="000A156F" w:rsidRDefault="00A9721F">
            <w:pPr>
              <w:pStyle w:val="TableBodyText"/>
            </w:pPr>
            <w:r>
              <w:t>DEFAULT PITCH + MODERN FONT FAMILY</w:t>
            </w:r>
          </w:p>
        </w:tc>
      </w:tr>
      <w:tr w:rsidR="000A156F" w:rsidTr="000A156F">
        <w:tc>
          <w:tcPr>
            <w:tcW w:w="0" w:type="auto"/>
            <w:vAlign w:val="center"/>
          </w:tcPr>
          <w:p w:rsidR="000A156F" w:rsidRDefault="00A9721F">
            <w:pPr>
              <w:pStyle w:val="TableBodyText"/>
            </w:pPr>
            <w:r>
              <w:t>0x31</w:t>
            </w:r>
          </w:p>
        </w:tc>
        <w:tc>
          <w:tcPr>
            <w:tcW w:w="0" w:type="auto"/>
            <w:vAlign w:val="center"/>
          </w:tcPr>
          <w:p w:rsidR="000A156F" w:rsidRDefault="00A9721F">
            <w:pPr>
              <w:pStyle w:val="TableBodyText"/>
            </w:pPr>
            <w:r>
              <w:t>FIXED PITCH + MODERN FONT FAMILY</w:t>
            </w:r>
          </w:p>
        </w:tc>
      </w:tr>
      <w:tr w:rsidR="000A156F" w:rsidTr="000A156F">
        <w:tc>
          <w:tcPr>
            <w:tcW w:w="0" w:type="auto"/>
            <w:vAlign w:val="center"/>
          </w:tcPr>
          <w:p w:rsidR="000A156F" w:rsidRDefault="00A9721F">
            <w:pPr>
              <w:pStyle w:val="TableBodyText"/>
            </w:pPr>
            <w:r>
              <w:t>0x32</w:t>
            </w:r>
          </w:p>
        </w:tc>
        <w:tc>
          <w:tcPr>
            <w:tcW w:w="0" w:type="auto"/>
            <w:vAlign w:val="center"/>
          </w:tcPr>
          <w:p w:rsidR="000A156F" w:rsidRDefault="00A9721F">
            <w:pPr>
              <w:pStyle w:val="TableBodyText"/>
            </w:pPr>
            <w:r>
              <w:t>VARIABLE PITCH + MODERN FONT FAMILY</w:t>
            </w:r>
          </w:p>
        </w:tc>
      </w:tr>
      <w:tr w:rsidR="000A156F" w:rsidTr="000A156F">
        <w:tc>
          <w:tcPr>
            <w:tcW w:w="0" w:type="auto"/>
            <w:vAlign w:val="center"/>
          </w:tcPr>
          <w:p w:rsidR="000A156F" w:rsidRDefault="00A9721F">
            <w:pPr>
              <w:pStyle w:val="TableBodyText"/>
            </w:pPr>
            <w:r>
              <w:t>0x40</w:t>
            </w:r>
          </w:p>
        </w:tc>
        <w:tc>
          <w:tcPr>
            <w:tcW w:w="0" w:type="auto"/>
            <w:vAlign w:val="center"/>
          </w:tcPr>
          <w:p w:rsidR="000A156F" w:rsidRDefault="00A9721F">
            <w:pPr>
              <w:pStyle w:val="TableBodyText"/>
            </w:pPr>
            <w:r>
              <w:t>DEFAULT PITCH + SCRIPT FONT FAMILY</w:t>
            </w:r>
          </w:p>
        </w:tc>
      </w:tr>
      <w:tr w:rsidR="000A156F" w:rsidTr="000A156F">
        <w:tc>
          <w:tcPr>
            <w:tcW w:w="0" w:type="auto"/>
            <w:vAlign w:val="center"/>
          </w:tcPr>
          <w:p w:rsidR="000A156F" w:rsidRDefault="00A9721F">
            <w:pPr>
              <w:pStyle w:val="TableBodyText"/>
            </w:pPr>
            <w:r>
              <w:t>0x41</w:t>
            </w:r>
          </w:p>
        </w:tc>
        <w:tc>
          <w:tcPr>
            <w:tcW w:w="0" w:type="auto"/>
            <w:vAlign w:val="center"/>
          </w:tcPr>
          <w:p w:rsidR="000A156F" w:rsidRDefault="00A9721F">
            <w:pPr>
              <w:pStyle w:val="TableBodyText"/>
            </w:pPr>
            <w:r>
              <w:t>FIXED PITCH + SCRIPT FONT FAMILY</w:t>
            </w:r>
          </w:p>
        </w:tc>
      </w:tr>
      <w:tr w:rsidR="000A156F" w:rsidTr="000A156F">
        <w:tc>
          <w:tcPr>
            <w:tcW w:w="0" w:type="auto"/>
            <w:vAlign w:val="center"/>
          </w:tcPr>
          <w:p w:rsidR="000A156F" w:rsidRDefault="00A9721F">
            <w:pPr>
              <w:pStyle w:val="TableBodyText"/>
            </w:pPr>
            <w:r>
              <w:t>0x42</w:t>
            </w:r>
          </w:p>
        </w:tc>
        <w:tc>
          <w:tcPr>
            <w:tcW w:w="0" w:type="auto"/>
            <w:vAlign w:val="center"/>
          </w:tcPr>
          <w:p w:rsidR="000A156F" w:rsidRDefault="00A9721F">
            <w:pPr>
              <w:pStyle w:val="TableBodyText"/>
            </w:pPr>
            <w:r>
              <w:t>VARIABLE PITCH + SCRIPT FONT FAMILY</w:t>
            </w:r>
          </w:p>
        </w:tc>
      </w:tr>
      <w:tr w:rsidR="000A156F" w:rsidTr="000A156F">
        <w:tc>
          <w:tcPr>
            <w:tcW w:w="0" w:type="auto"/>
            <w:vAlign w:val="center"/>
          </w:tcPr>
          <w:p w:rsidR="000A156F" w:rsidRDefault="00A9721F">
            <w:pPr>
              <w:pStyle w:val="TableBodyText"/>
            </w:pPr>
            <w:r>
              <w:t>0x50</w:t>
            </w:r>
          </w:p>
        </w:tc>
        <w:tc>
          <w:tcPr>
            <w:tcW w:w="0" w:type="auto"/>
            <w:vAlign w:val="center"/>
          </w:tcPr>
          <w:p w:rsidR="000A156F" w:rsidRDefault="00A9721F">
            <w:pPr>
              <w:pStyle w:val="TableBodyText"/>
            </w:pPr>
            <w:r>
              <w:t>DEFAULT PITCH + DECORATIVE FONT FAMILY</w:t>
            </w:r>
          </w:p>
        </w:tc>
      </w:tr>
      <w:tr w:rsidR="000A156F" w:rsidTr="000A156F">
        <w:tc>
          <w:tcPr>
            <w:tcW w:w="0" w:type="auto"/>
            <w:vAlign w:val="center"/>
          </w:tcPr>
          <w:p w:rsidR="000A156F" w:rsidRDefault="00A9721F">
            <w:pPr>
              <w:pStyle w:val="TableBodyText"/>
            </w:pPr>
            <w:r>
              <w:t>0x51</w:t>
            </w:r>
          </w:p>
        </w:tc>
        <w:tc>
          <w:tcPr>
            <w:tcW w:w="0" w:type="auto"/>
            <w:vAlign w:val="center"/>
          </w:tcPr>
          <w:p w:rsidR="000A156F" w:rsidRDefault="00A9721F">
            <w:pPr>
              <w:pStyle w:val="TableBodyText"/>
            </w:pPr>
            <w:r>
              <w:t>FIXED PITCH + DECORATIVE FONT FAMILY</w:t>
            </w:r>
          </w:p>
        </w:tc>
      </w:tr>
      <w:tr w:rsidR="000A156F" w:rsidTr="000A156F">
        <w:tc>
          <w:tcPr>
            <w:tcW w:w="0" w:type="auto"/>
            <w:vAlign w:val="center"/>
          </w:tcPr>
          <w:p w:rsidR="000A156F" w:rsidRDefault="00A9721F">
            <w:pPr>
              <w:pStyle w:val="TableBodyText"/>
            </w:pPr>
            <w:r>
              <w:t>0x52</w:t>
            </w:r>
          </w:p>
        </w:tc>
        <w:tc>
          <w:tcPr>
            <w:tcW w:w="0" w:type="auto"/>
            <w:vAlign w:val="center"/>
          </w:tcPr>
          <w:p w:rsidR="000A156F" w:rsidRDefault="00A9721F">
            <w:pPr>
              <w:pStyle w:val="TableBodyText"/>
            </w:pPr>
            <w:r>
              <w:t>VARIABLE PITCH + DECORATIVE FONT FAMILY</w:t>
            </w:r>
          </w:p>
        </w:tc>
      </w:tr>
    </w:tbl>
    <w:p w:rsidR="000A156F" w:rsidRDefault="000A156F"/>
    <w:p w:rsidR="000A156F" w:rsidRDefault="00A9721F">
      <w:r>
        <w:t>This information is determined by querying the font when present and shall not be modified when the font is not availabl</w:t>
      </w:r>
      <w:r>
        <w:t>e. This information may be used in font substitution logic to locate an appropriate substitute font when this font is not available.</w:t>
      </w:r>
    </w:p>
    <w:p w:rsidR="000A156F" w:rsidRDefault="00A9721F">
      <w:pPr>
        <w:pStyle w:val="Definition-Field"/>
      </w:pPr>
      <w:r>
        <w:t xml:space="preserve">d.   </w:t>
      </w:r>
      <w:r>
        <w:rPr>
          <w:i/>
        </w:rPr>
        <w:t>The standard states that the typeface attribute of the buFont, cs, ea, font, latin and sym elements specifies the type</w:t>
      </w:r>
      <w:r>
        <w:rPr>
          <w:i/>
        </w:rPr>
        <w:t>face of the font to be used for a bullet.</w:t>
      </w:r>
    </w:p>
    <w:p w:rsidR="000A156F" w:rsidRDefault="00A9721F">
      <w:pPr>
        <w:pStyle w:val="Definition-Field2"/>
      </w:pPr>
      <w:r>
        <w:t>Office uses this typeface attribute for all text when a typeface is available, and uses font substitution logic when the typeface is not available.</w:t>
      </w:r>
    </w:p>
    <w:p w:rsidR="000A156F" w:rsidRDefault="00A9721F">
      <w:pPr>
        <w:pStyle w:val="Heading3"/>
      </w:pPr>
      <w:bookmarkStart w:id="2817" w:name="section_a58bef0cc9b542ca9bb3ebd6657a1a94"/>
      <w:bookmarkStart w:id="2818" w:name="_Toc181684434"/>
      <w:r>
        <w:t>Part 1 Section 21.1.2.3.8, r (Text Run)</w:t>
      </w:r>
      <w:bookmarkEnd w:id="2817"/>
      <w:bookmarkEnd w:id="2818"/>
      <w:r>
        <w:fldChar w:fldCharType="begin"/>
      </w:r>
      <w:r>
        <w:instrText xml:space="preserve"> XE "r (Text Run)" </w:instrText>
      </w:r>
      <w:r>
        <w:fldChar w:fldCharType="end"/>
      </w:r>
    </w:p>
    <w:p w:rsidR="000A156F" w:rsidRDefault="00A9721F">
      <w:pPr>
        <w:pStyle w:val="Definition-Field"/>
      </w:pPr>
      <w:r>
        <w:t xml:space="preserve">a.   </w:t>
      </w:r>
      <w:r>
        <w:rPr>
          <w:i/>
        </w:rPr>
        <w:t>The standard states that if no text run properties are specified, then properties in the defRPr element are used.</w:t>
      </w:r>
    </w:p>
    <w:p w:rsidR="000A156F" w:rsidRDefault="00A9721F">
      <w:pPr>
        <w:pStyle w:val="Definition-Field2"/>
      </w:pPr>
      <w:r>
        <w:t>In Office, if no text run properties are specified, then properties will be assigned values as described in child element rPr (Text Run Proper</w:t>
      </w:r>
      <w:r>
        <w:t>ties).</w:t>
      </w:r>
    </w:p>
    <w:p w:rsidR="000A156F" w:rsidRDefault="00A9721F">
      <w:pPr>
        <w:pStyle w:val="Heading3"/>
      </w:pPr>
      <w:bookmarkStart w:id="2819" w:name="section_953e072cf2344373b0173f1f71eac93b"/>
      <w:bookmarkStart w:id="2820" w:name="_Toc181684435"/>
      <w:r>
        <w:t>Part 1 Section 21.1.2.3.9, rPr (Text Run Properties)</w:t>
      </w:r>
      <w:bookmarkEnd w:id="2819"/>
      <w:bookmarkEnd w:id="2820"/>
      <w:r>
        <w:fldChar w:fldCharType="begin"/>
      </w:r>
      <w:r>
        <w:instrText xml:space="preserve"> XE "rPr (Text Run Properties)" </w:instrText>
      </w:r>
      <w:r>
        <w:fldChar w:fldCharType="end"/>
      </w:r>
    </w:p>
    <w:p w:rsidR="000A156F" w:rsidRDefault="00A9721F">
      <w:pPr>
        <w:pStyle w:val="Definition-Field"/>
      </w:pPr>
      <w:r>
        <w:t xml:space="preserve">a.   </w:t>
      </w:r>
      <w:r>
        <w:rPr>
          <w:i/>
        </w:rPr>
        <w:t>The standard specifies a default kerning for fonts down to a 0 point for the kern attribute of the rPr, defRpr and endParaRPr elements.</w:t>
      </w:r>
    </w:p>
    <w:p w:rsidR="000A156F" w:rsidRDefault="00A9721F">
      <w:pPr>
        <w:pStyle w:val="Definition-Field2"/>
      </w:pPr>
      <w:r>
        <w:t>Office uses a default</w:t>
      </w:r>
      <w:r>
        <w:t xml:space="preserve"> value of no kerning if the kern attribute is not specified.</w:t>
      </w:r>
    </w:p>
    <w:p w:rsidR="000A156F" w:rsidRDefault="00A9721F">
      <w:pPr>
        <w:pStyle w:val="Definition-Field"/>
      </w:pPr>
      <w:r>
        <w:t xml:space="preserve">b.   </w:t>
      </w:r>
      <w:r>
        <w:rPr>
          <w:i/>
        </w:rPr>
        <w:t>The standard states that the smtClean attribute of the rPr, defRpr and endParaRPr elements has a default value of 0 or false.</w:t>
      </w:r>
    </w:p>
    <w:p w:rsidR="000A156F" w:rsidRDefault="00A9721F">
      <w:pPr>
        <w:pStyle w:val="Definition-Field2"/>
      </w:pPr>
      <w:r>
        <w:lastRenderedPageBreak/>
        <w:t>In Office, the smtClean attribute of the rPr, defRpr and endPara</w:t>
      </w:r>
      <w:r>
        <w:t>RPr elements has a default value of true.</w:t>
      </w:r>
    </w:p>
    <w:p w:rsidR="000A156F" w:rsidRDefault="00A9721F">
      <w:pPr>
        <w:pStyle w:val="Definition-Field"/>
      </w:pPr>
      <w:r>
        <w:t xml:space="preserve">c.   </w:t>
      </w:r>
      <w:r>
        <w:rPr>
          <w:i/>
        </w:rPr>
        <w:t>The standard does not fully describe the process for resolving missing attribute values.</w:t>
      </w:r>
    </w:p>
    <w:p w:rsidR="000A156F" w:rsidRDefault="00A9721F">
      <w:r>
        <w:t>In Office, attributes not specified explicitly within this element shall have their values determined by inheritance. At</w:t>
      </w:r>
      <w:r>
        <w:t>tribute values will be resolved using an applicable ancestor element of the same type as this element. The inheritance order in which another applicable attribute value shall be applied is as follows:</w:t>
      </w:r>
    </w:p>
    <w:p w:rsidR="000A156F" w:rsidRDefault="00A9721F">
      <w:r>
        <w:t>A corresponding ancestor element which is a child eleme</w:t>
      </w:r>
      <w:r>
        <w:t>nt of the lstStyle element ("</w:t>
      </w:r>
      <w:hyperlink r:id="rId213">
        <w:r>
          <w:rPr>
            <w:rStyle w:val="Hyperlink"/>
          </w:rPr>
          <w:t>[ISO/IEC-29500-1]</w:t>
        </w:r>
      </w:hyperlink>
      <w:r>
        <w:t xml:space="preserve"> §21.1.2.4.12; lstStyle") contained within the same package part as the text to which it applies that also has a matching paragraph level value.</w:t>
      </w:r>
    </w:p>
    <w:p w:rsidR="000A156F" w:rsidRDefault="00A9721F">
      <w:r>
        <w:t>A corresponding ancestor element which is a child element of the lstStyle element ("[ISO/IEC-29500-1] §21.1.2.4.12; lstStyle") contained within the theme element ("[ISO/IEC-29500-1] §20.1.6.9; theme").</w:t>
      </w:r>
    </w:p>
    <w:p w:rsidR="000A156F" w:rsidRDefault="00A9721F">
      <w:r>
        <w:t>If the value of an attribute is not determined via th</w:t>
      </w:r>
      <w:r>
        <w:t>is process, the default value specified within this element shall be used.</w:t>
      </w:r>
    </w:p>
    <w:p w:rsidR="000A156F" w:rsidRDefault="00A9721F">
      <w:r>
        <w:t xml:space="preserve">PowerPoint uses a corresponding child element which is contained within the corresponding sldMaster element ("[ISO/IEC-29500-1] §19.3.1.42; sldMaster") if the value of an attribute </w:t>
      </w:r>
      <w:r>
        <w:t xml:space="preserve">is not determined by this inheritance order. If the corresponding sldMaster element ("[ISO/IEC-29500-1] §19.3.1.42; sldMaster") does not specify the value of the attribute and the value was not determined from the inheritance order, then the default value </w:t>
      </w:r>
      <w:r>
        <w:t>specified within this element shall be used.</w:t>
      </w:r>
    </w:p>
    <w:p w:rsidR="000A156F" w:rsidRDefault="00A9721F">
      <w:pPr>
        <w:pStyle w:val="Definition-Field"/>
      </w:pPr>
      <w:r>
        <w:t xml:space="preserve">d.   </w:t>
      </w:r>
      <w:r>
        <w:rPr>
          <w:i/>
        </w:rPr>
        <w:t>The standard does not specify usage with negative versus positive values or a default value for the baseline attribute of the rPr, defRPr and endParaRpr elements.</w:t>
      </w:r>
    </w:p>
    <w:p w:rsidR="000A156F" w:rsidRDefault="00A9721F">
      <w:pPr>
        <w:pStyle w:val="Definition-Field2"/>
      </w:pPr>
      <w:r>
        <w:t>Office uses negative attribute values for s</w:t>
      </w:r>
      <w:r>
        <w:t>ubscript text, positive values for superscript text and a default value of 0.</w:t>
      </w:r>
    </w:p>
    <w:p w:rsidR="000A156F" w:rsidRDefault="00A9721F">
      <w:pPr>
        <w:pStyle w:val="Definition-Field"/>
      </w:pPr>
      <w:r>
        <w:t xml:space="preserve">e.   </w:t>
      </w:r>
      <w:r>
        <w:rPr>
          <w:i/>
        </w:rPr>
        <w:t>The standard states that the sz attribute of the rPr, defRpr and endParaRPr elements retrieve its default value from the defRpr element.</w:t>
      </w:r>
    </w:p>
    <w:p w:rsidR="000A156F" w:rsidRDefault="00A9721F">
      <w:pPr>
        <w:pStyle w:val="Definition-Field2"/>
      </w:pPr>
      <w:r>
        <w:t xml:space="preserve">Office uses a default value of 1800 </w:t>
      </w:r>
      <w:r>
        <w:t>for this attribute.</w:t>
      </w:r>
    </w:p>
    <w:p w:rsidR="000A156F" w:rsidRDefault="00A9721F">
      <w:pPr>
        <w:pStyle w:val="Definition-Field"/>
      </w:pPr>
      <w:r>
        <w:t xml:space="preserve">f.   </w:t>
      </w:r>
      <w:r>
        <w:rPr>
          <w:i/>
        </w:rPr>
        <w:t>The standard does not specify a default value for the noProof attribute of the rPr, defRpr and endParaRPr elements.</w:t>
      </w:r>
    </w:p>
    <w:p w:rsidR="000A156F" w:rsidRDefault="00A9721F">
      <w:pPr>
        <w:pStyle w:val="Definition-Field2"/>
      </w:pPr>
      <w:r>
        <w:t>Office uses a default value of 0, or false, for this attribute.</w:t>
      </w:r>
    </w:p>
    <w:p w:rsidR="000A156F" w:rsidRDefault="00A9721F">
      <w:pPr>
        <w:pStyle w:val="Definition-Field"/>
      </w:pPr>
      <w:r>
        <w:t xml:space="preserve">g.   </w:t>
      </w:r>
      <w:r>
        <w:rPr>
          <w:i/>
        </w:rPr>
        <w:t xml:space="preserve">The standard does not specify a default value </w:t>
      </w:r>
      <w:r>
        <w:rPr>
          <w:i/>
        </w:rPr>
        <w:t>for the cap attribute of the rPr, defRpr and endParaRPr elements.</w:t>
      </w:r>
    </w:p>
    <w:p w:rsidR="000A156F" w:rsidRDefault="00A9721F">
      <w:pPr>
        <w:pStyle w:val="Definition-Field2"/>
      </w:pPr>
      <w:r>
        <w:t>Office uses a default value of none for this attribute.</w:t>
      </w:r>
    </w:p>
    <w:p w:rsidR="000A156F" w:rsidRDefault="00A9721F">
      <w:pPr>
        <w:pStyle w:val="Heading3"/>
      </w:pPr>
      <w:bookmarkStart w:id="2821" w:name="section_2fc70eb8232c4820944943baa12fe65f"/>
      <w:bookmarkStart w:id="2822" w:name="_Toc181684436"/>
      <w:r>
        <w:t>Part 1 Section 21.1.2.3.10, sym (Symbol Font)</w:t>
      </w:r>
      <w:bookmarkEnd w:id="2821"/>
      <w:bookmarkEnd w:id="2822"/>
      <w:r>
        <w:fldChar w:fldCharType="begin"/>
      </w:r>
      <w:r>
        <w:instrText xml:space="preserve"> XE "sym (Symbol Font)" </w:instrText>
      </w:r>
      <w:r>
        <w:fldChar w:fldCharType="end"/>
      </w:r>
    </w:p>
    <w:p w:rsidR="000A156F" w:rsidRDefault="00A9721F">
      <w:pPr>
        <w:pStyle w:val="Definition-Field2"/>
      </w:pPr>
      <w:r>
        <w:rPr>
          <w:i/>
        </w:rPr>
        <w:t>For additional notes that apply to this portion of the standar</w:t>
      </w:r>
      <w:r>
        <w:rPr>
          <w:i/>
        </w:rPr>
        <w:t xml:space="preserve">d, please see the notes for </w:t>
      </w:r>
      <w:hyperlink w:anchor="Section_e6784cb715474ee5addc730cac8b4d00">
        <w:r>
          <w:rPr>
            <w:rStyle w:val="Hyperlink"/>
          </w:rPr>
          <w:t>latin, §21.1.2.3.7(a-d)</w:t>
        </w:r>
      </w:hyperlink>
      <w:r>
        <w:rPr>
          <w:i/>
        </w:rPr>
        <w:t>.</w:t>
      </w:r>
    </w:p>
    <w:p w:rsidR="000A156F" w:rsidRDefault="00A9721F">
      <w:pPr>
        <w:pStyle w:val="Heading3"/>
      </w:pPr>
      <w:bookmarkStart w:id="2823" w:name="section_57a29393712e406eaeaab5e186027a2d"/>
      <w:bookmarkStart w:id="2824" w:name="_Toc181684437"/>
      <w:r>
        <w:t>Part 1 Section 21.1.2.3.13, uFillTx (Underline Fill Properties Follow Text)</w:t>
      </w:r>
      <w:bookmarkEnd w:id="2823"/>
      <w:bookmarkEnd w:id="2824"/>
      <w:r>
        <w:fldChar w:fldCharType="begin"/>
      </w:r>
      <w:r>
        <w:instrText xml:space="preserve"> XE "uFillTx (Underline Fill Properties Follow Text)" </w:instrText>
      </w:r>
      <w:r>
        <w:fldChar w:fldCharType="end"/>
      </w:r>
    </w:p>
    <w:p w:rsidR="000A156F" w:rsidRDefault="00A9721F">
      <w:pPr>
        <w:pStyle w:val="Definition-Field"/>
      </w:pPr>
      <w:r>
        <w:t xml:space="preserve">a.   </w:t>
      </w:r>
      <w:r>
        <w:rPr>
          <w:i/>
        </w:rPr>
        <w:t>The</w:t>
      </w:r>
      <w:r>
        <w:rPr>
          <w:i/>
        </w:rPr>
        <w:t xml:space="preserve"> standard states that the uFillTx element specifies the fill color of an underline and should be the same color as the run of text within which it is contained.</w:t>
      </w:r>
    </w:p>
    <w:p w:rsidR="000A156F" w:rsidRDefault="00A9721F">
      <w:pPr>
        <w:pStyle w:val="Definition-Field2"/>
      </w:pPr>
      <w:r>
        <w:t>In Office, the uFillTx element specifies that the fill color and all other fill properties of a</w:t>
      </w:r>
      <w:r>
        <w:t>n underline are the same as the run of text within which it is contained.</w:t>
      </w:r>
    </w:p>
    <w:p w:rsidR="000A156F" w:rsidRDefault="00A9721F">
      <w:pPr>
        <w:pStyle w:val="Heading3"/>
      </w:pPr>
      <w:bookmarkStart w:id="2825" w:name="section_595d4ae635b74782bb498ffce58e85cf"/>
      <w:bookmarkStart w:id="2826" w:name="_Toc181684438"/>
      <w:r>
        <w:lastRenderedPageBreak/>
        <w:t>Part 1 Section 21.1.2.3.14, uLn (Underline Stroke)</w:t>
      </w:r>
      <w:bookmarkEnd w:id="2825"/>
      <w:bookmarkEnd w:id="2826"/>
      <w:r>
        <w:fldChar w:fldCharType="begin"/>
      </w:r>
      <w:r>
        <w:instrText xml:space="preserve"> XE "uLn (Underline Stroke)"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A156F" w:rsidRDefault="00A9721F">
      <w:pPr>
        <w:pStyle w:val="Definition-Field"/>
      </w:pPr>
      <w:r>
        <w:t xml:space="preserve">a.   </w:t>
      </w:r>
      <w:r>
        <w:rPr>
          <w:i/>
        </w:rPr>
        <w:t>The standard allows for the specifying of the tailEnd child element, headEnd child element and cap attribute within the uLn element.</w:t>
      </w:r>
    </w:p>
    <w:p w:rsidR="000A156F" w:rsidRDefault="00A9721F">
      <w:pPr>
        <w:pStyle w:val="Definition-Field2"/>
      </w:pPr>
      <w:r>
        <w:t>Office does not use the tailEnd child ele</w:t>
      </w:r>
      <w:r>
        <w:t>ment, headEnd child element and cap attribute when the parent element is the rPr element.</w:t>
      </w:r>
    </w:p>
    <w:p w:rsidR="000A156F" w:rsidRDefault="00A9721F">
      <w:pPr>
        <w:pStyle w:val="Heading3"/>
      </w:pPr>
      <w:bookmarkStart w:id="2827" w:name="section_123e703d328a48d08dfa6f364e02e166"/>
      <w:bookmarkStart w:id="2828" w:name="_Toc181684439"/>
      <w:r>
        <w:t>Part 1 Section 21.1.2.4.6, buFont (Specified)</w:t>
      </w:r>
      <w:bookmarkEnd w:id="2827"/>
      <w:bookmarkEnd w:id="2828"/>
      <w:r>
        <w:fldChar w:fldCharType="begin"/>
      </w:r>
      <w:r>
        <w:instrText xml:space="preserve"> XE "buFont (Specified)"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0A156F" w:rsidRDefault="00A9721F">
      <w:pPr>
        <w:pStyle w:val="Heading3"/>
      </w:pPr>
      <w:bookmarkStart w:id="2829" w:name="section_7d31ebc1a52e4e29975b99e32babe803"/>
      <w:bookmarkStart w:id="2830" w:name="_Toc181684440"/>
      <w:r>
        <w:t>Part 1 Section 21.1.2.4.9, buSzPct (Bullet Size Percentage)</w:t>
      </w:r>
      <w:bookmarkEnd w:id="2829"/>
      <w:bookmarkEnd w:id="2830"/>
      <w:r>
        <w:fldChar w:fldCharType="begin"/>
      </w:r>
      <w:r>
        <w:instrText xml:space="preserve"> XE "buSzPct (Bullet Size Percentage)"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 xml:space="preserve">Office </w:t>
      </w:r>
      <w:r>
        <w:t>requires this attribute.</w:t>
      </w:r>
    </w:p>
    <w:p w:rsidR="000A156F" w:rsidRDefault="00A9721F">
      <w:pPr>
        <w:pStyle w:val="Heading3"/>
      </w:pPr>
      <w:bookmarkStart w:id="2831" w:name="section_1da3efd797b349a096ea8377e149177f"/>
      <w:bookmarkStart w:id="2832" w:name="_Toc181684441"/>
      <w:r>
        <w:t>Part 1 Section 21.1.2.4.10, buSzPts (Bullet Size Points)</w:t>
      </w:r>
      <w:bookmarkEnd w:id="2831"/>
      <w:bookmarkEnd w:id="2832"/>
      <w:r>
        <w:fldChar w:fldCharType="begin"/>
      </w:r>
      <w:r>
        <w:instrText xml:space="preserve"> XE "buSzPts (Bullet Size Points)"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Office requires this attribute.</w:t>
      </w:r>
    </w:p>
    <w:p w:rsidR="000A156F" w:rsidRDefault="00A9721F">
      <w:pPr>
        <w:pStyle w:val="Heading3"/>
      </w:pPr>
      <w:bookmarkStart w:id="2833" w:name="section_9b34280e538e48118af9761d34f88f20"/>
      <w:bookmarkStart w:id="2834" w:name="_Toc181684442"/>
      <w:r>
        <w:t>Part 1 Section 21.1.2.4.13, lvl1pPr (List L</w:t>
      </w:r>
      <w:r>
        <w:t>evel 1 Text Style)</w:t>
      </w:r>
      <w:bookmarkEnd w:id="2833"/>
      <w:bookmarkEnd w:id="2834"/>
      <w:r>
        <w:fldChar w:fldCharType="begin"/>
      </w:r>
      <w:r>
        <w:instrText xml:space="preserve"> XE "lvl1pPr (List Level 1 Text Style)" </w:instrText>
      </w:r>
      <w:r>
        <w:fldChar w:fldCharType="end"/>
      </w:r>
    </w:p>
    <w:p w:rsidR="000A156F" w:rsidRDefault="00A9721F">
      <w:pPr>
        <w:pStyle w:val="Definition-Field"/>
      </w:pPr>
      <w:r>
        <w:t xml:space="preserve">a.   </w:t>
      </w:r>
      <w:r>
        <w:rPr>
          <w:i/>
        </w:rPr>
        <w:t>The standard implies a default value of 347663 for the marL attribute of the pPr, lvl1pPr, lvl2pPr, lvl3pPr, lvl4pPr, lvl5pPr, lvl6pPr, lvl7pPr, lvl8pPr, lvl9pPr and defpPr elements.</w:t>
      </w:r>
    </w:p>
    <w:p w:rsidR="000A156F" w:rsidRDefault="00A9721F">
      <w:pPr>
        <w:pStyle w:val="Definition-Field2"/>
      </w:pPr>
      <w:r>
        <w:t xml:space="preserve">Office </w:t>
      </w:r>
      <w:r>
        <w:t>uses a default value of 0 for the marL attribute.</w:t>
      </w:r>
    </w:p>
    <w:p w:rsidR="000A156F" w:rsidRDefault="00A9721F">
      <w:pPr>
        <w:pStyle w:val="Definition-Field"/>
      </w:pPr>
      <w:r>
        <w:t xml:space="preserve">b.   </w:t>
      </w:r>
      <w:r>
        <w:rPr>
          <w:i/>
        </w:rPr>
        <w:t xml:space="preserve">The standard states that the lvl attribute of the pPr, lvl1pPr, lvl2pPr, lvl3pPr, lvl4pPr, lvl5pPr, lvl6pPr, lvl7pPr, lvl8pPr, lvl9pPr and defpPr elements specifies the text property level that the </w:t>
      </w:r>
      <w:r>
        <w:rPr>
          <w:i/>
        </w:rPr>
        <w:t>corresponding paragraph will follow.</w:t>
      </w:r>
    </w:p>
    <w:p w:rsidR="000A156F" w:rsidRDefault="00A9721F">
      <w:pPr>
        <w:pStyle w:val="Definition-Field2"/>
      </w:pPr>
      <w:r>
        <w:t>Office does not use the lvl attribute if it is specified within the lvl1pPr, lvl2pPr, lvl3pPr, lvl4pPr, lvl5pPr, lvl6pPr, lvl7pPr, lvl8pPr, or lvl9pPr elements.</w:t>
      </w:r>
    </w:p>
    <w:p w:rsidR="000A156F" w:rsidRDefault="00A9721F">
      <w:pPr>
        <w:pStyle w:val="Definition-Field"/>
      </w:pPr>
      <w:r>
        <w:t xml:space="preserve">c.   </w:t>
      </w:r>
      <w:r>
        <w:rPr>
          <w:i/>
        </w:rPr>
        <w:t>The standard describes the use of a hyphen when a wor</w:t>
      </w:r>
      <w:r>
        <w:rPr>
          <w:i/>
        </w:rPr>
        <w:t>d is broken across multiple lines for the eaLnBrk attribute of the pPr, lvl1pPr, lvl2pPr, lvl3pPr, lvl4pPr, lvl5pPr, lvl6pPr, lvl7pPr, lvl8pPr, lvl9pPr and defpPr elements.</w:t>
      </w:r>
    </w:p>
    <w:p w:rsidR="000A156F" w:rsidRDefault="00A9721F">
      <w:r>
        <w:t>In Office, the eaLnBrk attribute specifies whether East Asian typography and line-b</w:t>
      </w:r>
      <w:r>
        <w:t>reaking rules shall be applied to text in a paragraph to determine which characters may begin and end each line when lines get too long.  To determine whether an East Asian word can be broken, the presentation application would use the kinsoku settings. If</w:t>
      </w:r>
      <w:r>
        <w:t xml:space="preserve"> this attribute is omitted, then a value of </w:t>
      </w:r>
      <w:r>
        <w:rPr>
          <w:b/>
        </w:rPr>
        <w:t>1</w:t>
      </w:r>
      <w:r>
        <w:t>, or true, is implied.</w:t>
      </w:r>
    </w:p>
    <w:p w:rsidR="000A156F" w:rsidRDefault="00A9721F">
      <w:pPr>
        <w:pStyle w:val="Definition-Field"/>
      </w:pPr>
      <w:r>
        <w:t xml:space="preserve">d.   </w:t>
      </w:r>
      <w:r>
        <w:rPr>
          <w:i/>
        </w:rPr>
        <w:t>The standard implies a default value of 0 or false for the hangingPunct attribute of the pPr, lvl1pPr, lvl2pPr, lvl3pPr, lvl4pPr, lvl5pPr, lvl6pPr, lvl7pPr, lvl8pPr, lvl9pPr and defpP</w:t>
      </w:r>
      <w:r>
        <w:rPr>
          <w:i/>
        </w:rPr>
        <w:t>r elements.</w:t>
      </w:r>
    </w:p>
    <w:p w:rsidR="000A156F" w:rsidRDefault="00A9721F">
      <w:pPr>
        <w:pStyle w:val="Definition-Field2"/>
      </w:pPr>
      <w:r>
        <w:t>Office uses a default value of 1, or true, for the hangingPunct attribute.</w:t>
      </w:r>
    </w:p>
    <w:p w:rsidR="000A156F" w:rsidRDefault="00A9721F">
      <w:pPr>
        <w:pStyle w:val="Definition-Field"/>
      </w:pPr>
      <w:r>
        <w:lastRenderedPageBreak/>
        <w:t xml:space="preserve">e.   </w:t>
      </w:r>
      <w:r>
        <w:rPr>
          <w:i/>
        </w:rPr>
        <w:t>The standard specifies no default value for the defTabSz attribute of the pPr, lvl1pPr, lvl2pPr, lvl3pPr, lvl4pPr, lvl5pPr, lv61pPr, lvl7pPr, lvl8pPr, lvl9pPr and d</w:t>
      </w:r>
      <w:r>
        <w:rPr>
          <w:i/>
        </w:rPr>
        <w:t>efpPr elements.</w:t>
      </w:r>
    </w:p>
    <w:p w:rsidR="000A156F" w:rsidRDefault="00A9721F">
      <w:pPr>
        <w:pStyle w:val="Definition-Field2"/>
      </w:pPr>
      <w:r>
        <w:t>Office uses a default value of 914400 EMUs.</w:t>
      </w:r>
    </w:p>
    <w:p w:rsidR="000A156F" w:rsidRDefault="00A9721F">
      <w:pPr>
        <w:pStyle w:val="Definition-Field"/>
      </w:pPr>
      <w:r>
        <w:t xml:space="preserve">f.   </w:t>
      </w:r>
      <w:r>
        <w:rPr>
          <w:i/>
        </w:rPr>
        <w:t>The standard implies a default value of -342900 for the indent attribute of the pPr, lvl1pPr, lvl2pPr, lvl3pPr, lvl4pPr, lvl5pPr, lvl6pPr, lvl7pPr, lvl8pPr, lvl9pPr and defpPr elements.</w:t>
      </w:r>
    </w:p>
    <w:p w:rsidR="000A156F" w:rsidRDefault="00A9721F">
      <w:pPr>
        <w:pStyle w:val="Definition-Field2"/>
      </w:pPr>
      <w:r>
        <w:t>Offic</w:t>
      </w:r>
      <w:r>
        <w:t>e uses a default value of 0 for the indent attribute.</w:t>
      </w:r>
    </w:p>
    <w:p w:rsidR="000A156F" w:rsidRDefault="00A9721F">
      <w:pPr>
        <w:pStyle w:val="Definition-Field"/>
      </w:pPr>
      <w:r>
        <w:t xml:space="preserve">g.   </w:t>
      </w:r>
      <w:r>
        <w:rPr>
          <w:i/>
        </w:rPr>
        <w:t>The standard implies a default value of 1 or true for the latinLnBrk attribute of the pPr, lvl1pPr, lvl2pPr, lvl3pPr, lvl4pPr, lvl5pPr, lvl6pPr, lvl7pPr, lvl8pPr, lvl9pPr and defpPr elements.</w:t>
      </w:r>
    </w:p>
    <w:p w:rsidR="000A156F" w:rsidRDefault="00A9721F">
      <w:pPr>
        <w:pStyle w:val="Definition-Field2"/>
      </w:pPr>
      <w:r>
        <w:t>Offic</w:t>
      </w:r>
      <w:r>
        <w:t>e uses a default value of 0, or false, for the latinLnBrk attribute.</w:t>
      </w:r>
    </w:p>
    <w:p w:rsidR="000A156F" w:rsidRDefault="00A9721F">
      <w:pPr>
        <w:pStyle w:val="Heading3"/>
      </w:pPr>
      <w:bookmarkStart w:id="2835" w:name="section_b38501622477401f850f1df6753a0f6a"/>
      <w:bookmarkStart w:id="2836" w:name="_Toc181684443"/>
      <w:r>
        <w:t>Part 1 Section 21.1.2.4.14, lvl2pPr (List Level 2 Text Style)</w:t>
      </w:r>
      <w:bookmarkEnd w:id="2835"/>
      <w:bookmarkEnd w:id="2836"/>
      <w:r>
        <w:fldChar w:fldCharType="begin"/>
      </w:r>
      <w:r>
        <w:instrText xml:space="preserve"> XE "lvl2pPr (List Level 2 Text Style)" </w:instrText>
      </w:r>
      <w:r>
        <w:fldChar w:fldCharType="end"/>
      </w:r>
    </w:p>
    <w:p w:rsidR="000A156F" w:rsidRDefault="00A9721F">
      <w:pPr>
        <w:pStyle w:val="Definition-Field2"/>
      </w:pPr>
      <w:r>
        <w:rPr>
          <w:i/>
        </w:rPr>
        <w:t>For additional notes that apply to this portion of the standard, please see the not</w:t>
      </w:r>
      <w:r>
        <w:rPr>
          <w:i/>
        </w:rPr>
        <w:t xml:space="preserve">es for </w:t>
      </w:r>
      <w:hyperlink w:anchor="Section_9b34280e538e48118af9761d34f88f20">
        <w:r>
          <w:rPr>
            <w:rStyle w:val="Hyperlink"/>
          </w:rPr>
          <w:t>lvl1pPr, §21.1.2.4.13(a-g)</w:t>
        </w:r>
      </w:hyperlink>
      <w:r>
        <w:rPr>
          <w:i/>
        </w:rPr>
        <w:t>.</w:t>
      </w:r>
    </w:p>
    <w:p w:rsidR="000A156F" w:rsidRDefault="00A9721F">
      <w:pPr>
        <w:pStyle w:val="Heading3"/>
      </w:pPr>
      <w:bookmarkStart w:id="2837" w:name="section_d4a8333066814a558325a854e9678e28"/>
      <w:bookmarkStart w:id="2838" w:name="_Toc181684444"/>
      <w:r>
        <w:t>Part 1 Section 21.1.2.4.15, lvl3pPr (List Level 3 Text Style)</w:t>
      </w:r>
      <w:bookmarkEnd w:id="2837"/>
      <w:bookmarkEnd w:id="2838"/>
      <w:r>
        <w:fldChar w:fldCharType="begin"/>
      </w:r>
      <w:r>
        <w:instrText xml:space="preserve"> XE "lvl3pPr (List Level 3 Text Style)" </w:instrText>
      </w:r>
      <w:r>
        <w:fldChar w:fldCharType="end"/>
      </w:r>
    </w:p>
    <w:p w:rsidR="000A156F" w:rsidRDefault="00A9721F">
      <w:pPr>
        <w:pStyle w:val="Definition-Field2"/>
      </w:pPr>
      <w:r>
        <w:rPr>
          <w:i/>
        </w:rPr>
        <w:t>For additional notes that apply to this portion of the</w:t>
      </w:r>
      <w:r>
        <w:rPr>
          <w:i/>
        </w:rPr>
        <w:t xml:space="preserve"> standard, please see the notes for </w:t>
      </w:r>
      <w:hyperlink w:anchor="Section_9b34280e538e48118af9761d34f88f20">
        <w:r>
          <w:rPr>
            <w:rStyle w:val="Hyperlink"/>
          </w:rPr>
          <w:t>lvl1pPr, §21.1.2.4.13(a-g)</w:t>
        </w:r>
      </w:hyperlink>
      <w:r>
        <w:rPr>
          <w:i/>
        </w:rPr>
        <w:t>.</w:t>
      </w:r>
    </w:p>
    <w:p w:rsidR="000A156F" w:rsidRDefault="00A9721F">
      <w:pPr>
        <w:pStyle w:val="Heading3"/>
      </w:pPr>
      <w:bookmarkStart w:id="2839" w:name="section_142246b5277945a4b8a49a03defc916a"/>
      <w:bookmarkStart w:id="2840" w:name="_Toc181684445"/>
      <w:r>
        <w:t>Part 1 Section 21.1.2.4.16, lvl4pPr (List Level 4 Text Style)</w:t>
      </w:r>
      <w:bookmarkEnd w:id="2839"/>
      <w:bookmarkEnd w:id="2840"/>
      <w:r>
        <w:fldChar w:fldCharType="begin"/>
      </w:r>
      <w:r>
        <w:instrText xml:space="preserve"> XE "lvl4pPr (List Level 4 Text Style)"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A156F" w:rsidRDefault="00A9721F">
      <w:pPr>
        <w:pStyle w:val="Heading3"/>
      </w:pPr>
      <w:bookmarkStart w:id="2841" w:name="section_e5ca15241c834a9689ad5c13442ac84e"/>
      <w:bookmarkStart w:id="2842" w:name="_Toc181684446"/>
      <w:r>
        <w:t>Part 1 Section 21.1.2.4.17, lvl5pPr (List Level 5 Text Style)</w:t>
      </w:r>
      <w:bookmarkEnd w:id="2841"/>
      <w:bookmarkEnd w:id="2842"/>
      <w:r>
        <w:fldChar w:fldCharType="begin"/>
      </w:r>
      <w:r>
        <w:instrText xml:space="preserve"> XE "lvl5pPr (</w:instrText>
      </w:r>
      <w:r>
        <w:instrText xml:space="preserve">List Level 5 Text Style)"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A156F" w:rsidRDefault="00A9721F">
      <w:pPr>
        <w:pStyle w:val="Heading3"/>
      </w:pPr>
      <w:bookmarkStart w:id="2843" w:name="section_228bd71e50624343972ec687ef5c6c49"/>
      <w:bookmarkStart w:id="2844" w:name="_Toc181684447"/>
      <w:r>
        <w:t>Part 1 Section 21.1.2.4.18, lvl6pPr (List Leve</w:t>
      </w:r>
      <w:r>
        <w:t>l 6 Text Style)</w:t>
      </w:r>
      <w:bookmarkEnd w:id="2843"/>
      <w:bookmarkEnd w:id="2844"/>
      <w:r>
        <w:fldChar w:fldCharType="begin"/>
      </w:r>
      <w:r>
        <w:instrText xml:space="preserve"> XE "lvl6pPr (List Level 6 Text Style)"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A156F" w:rsidRDefault="00A9721F">
      <w:pPr>
        <w:pStyle w:val="Heading3"/>
      </w:pPr>
      <w:bookmarkStart w:id="2845" w:name="section_c33ec6fdf6bf4c52bfcbf79c46f75940"/>
      <w:bookmarkStart w:id="2846" w:name="_Toc181684448"/>
      <w:r>
        <w:t>Part 1 Section 21</w:t>
      </w:r>
      <w:r>
        <w:t>.1.2.4.19, lvl7pPr (List Level 7 Text Style)</w:t>
      </w:r>
      <w:bookmarkEnd w:id="2845"/>
      <w:bookmarkEnd w:id="2846"/>
      <w:r>
        <w:fldChar w:fldCharType="begin"/>
      </w:r>
      <w:r>
        <w:instrText xml:space="preserve"> XE "lvl7pPr (List Level 7 Text Style)"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b34280e538e48118af9761d34f88f20">
        <w:r>
          <w:rPr>
            <w:rStyle w:val="Hyperlink"/>
          </w:rPr>
          <w:t>lvl1pPr, §21.1.2</w:t>
        </w:r>
        <w:r>
          <w:rPr>
            <w:rStyle w:val="Hyperlink"/>
          </w:rPr>
          <w:t>.4.13(a-g)</w:t>
        </w:r>
      </w:hyperlink>
      <w:r>
        <w:rPr>
          <w:i/>
        </w:rPr>
        <w:t>.</w:t>
      </w:r>
    </w:p>
    <w:p w:rsidR="000A156F" w:rsidRDefault="00A9721F">
      <w:pPr>
        <w:pStyle w:val="Heading3"/>
      </w:pPr>
      <w:bookmarkStart w:id="2847" w:name="section_fad8b55fc4384af283ae8d18980a3409"/>
      <w:bookmarkStart w:id="2848" w:name="_Toc181684449"/>
      <w:r>
        <w:t>Part 1 Section 21.1.2.4.20, lvl8pPr (List Level 8 Text Style)</w:t>
      </w:r>
      <w:bookmarkEnd w:id="2847"/>
      <w:bookmarkEnd w:id="2848"/>
      <w:r>
        <w:fldChar w:fldCharType="begin"/>
      </w:r>
      <w:r>
        <w:instrText xml:space="preserve"> XE "lvl8pPr (List Level 8 Text Style)"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0A156F" w:rsidRDefault="00A9721F">
      <w:pPr>
        <w:pStyle w:val="Heading3"/>
      </w:pPr>
      <w:bookmarkStart w:id="2849" w:name="section_07edd2dd19594af5b4464964a45d4168"/>
      <w:bookmarkStart w:id="2850" w:name="_Toc181684450"/>
      <w:r>
        <w:t>Part 1 Section 21.1.2.4.21, lvl9pPr (List Level 9 Text Style)</w:t>
      </w:r>
      <w:bookmarkEnd w:id="2849"/>
      <w:bookmarkEnd w:id="2850"/>
      <w:r>
        <w:fldChar w:fldCharType="begin"/>
      </w:r>
      <w:r>
        <w:instrText xml:space="preserve"> XE "lvl9pPr (List Level 9 Text Style)" </w:instrText>
      </w:r>
      <w:r>
        <w:fldChar w:fldCharType="end"/>
      </w:r>
    </w:p>
    <w:p w:rsidR="000A156F" w:rsidRDefault="00A9721F">
      <w:pPr>
        <w:pStyle w:val="Definition-Field2"/>
      </w:pPr>
      <w:r>
        <w:rPr>
          <w:i/>
        </w:rPr>
        <w:t>For additional notes that apply to this portion of the standard</w:t>
      </w:r>
      <w:r>
        <w:rPr>
          <w:i/>
        </w:rPr>
        <w:t xml:space="preserve">, please see the notes for </w:t>
      </w:r>
      <w:hyperlink w:anchor="Section_9b34280e538e48118af9761d34f88f20">
        <w:r>
          <w:rPr>
            <w:rStyle w:val="Hyperlink"/>
          </w:rPr>
          <w:t>lvl1pPr, §21.1.2.4.13(a-g)</w:t>
        </w:r>
      </w:hyperlink>
      <w:r>
        <w:rPr>
          <w:i/>
        </w:rPr>
        <w:t>.</w:t>
      </w:r>
    </w:p>
    <w:p w:rsidR="000A156F" w:rsidRDefault="00A9721F">
      <w:pPr>
        <w:pStyle w:val="Heading3"/>
      </w:pPr>
      <w:bookmarkStart w:id="2851" w:name="section_04b8093a565e4c3c93f6496fd8601311"/>
      <w:bookmarkStart w:id="2852" w:name="_Toc181684451"/>
      <w:r>
        <w:lastRenderedPageBreak/>
        <w:t>Part 1 Section 21.1.3.1, cell3D (Cell 3-D)</w:t>
      </w:r>
      <w:bookmarkEnd w:id="2851"/>
      <w:bookmarkEnd w:id="2852"/>
      <w:r>
        <w:fldChar w:fldCharType="begin"/>
      </w:r>
      <w:r>
        <w:instrText xml:space="preserve"> XE "cell3D (Cell 3-D)" </w:instrText>
      </w:r>
      <w:r>
        <w:fldChar w:fldCharType="end"/>
      </w:r>
    </w:p>
    <w:p w:rsidR="000A156F" w:rsidRDefault="00A9721F">
      <w:pPr>
        <w:pStyle w:val="Definition-Field"/>
      </w:pPr>
      <w:r>
        <w:t xml:space="preserve">a.   </w:t>
      </w:r>
      <w:r>
        <w:rPr>
          <w:i/>
        </w:rPr>
        <w:t>The standard states that the default value of the prstMaterial a</w:t>
      </w:r>
      <w:r>
        <w:rPr>
          <w:i/>
        </w:rPr>
        <w:t>ttribute is plastic.</w:t>
      </w:r>
    </w:p>
    <w:p w:rsidR="000A156F" w:rsidRDefault="00A9721F">
      <w:pPr>
        <w:pStyle w:val="Definition-Field2"/>
      </w:pPr>
      <w:r>
        <w:t>Office uses a default value of dkEdge for this attribute.</w:t>
      </w:r>
    </w:p>
    <w:p w:rsidR="000A156F" w:rsidRDefault="00A9721F">
      <w:pPr>
        <w:pStyle w:val="Definition-Field"/>
      </w:pPr>
      <w:r>
        <w:t xml:space="preserve">b.   </w:t>
      </w:r>
      <w:r>
        <w:rPr>
          <w:i/>
        </w:rPr>
        <w:t>The standard does not specify the default value for the rig attribute if no lightRig element is specified.</w:t>
      </w:r>
    </w:p>
    <w:p w:rsidR="000A156F" w:rsidRDefault="00A9721F">
      <w:pPr>
        <w:pStyle w:val="Definition-Field2"/>
      </w:pPr>
      <w:r>
        <w:t>Office uses "flood" for the rig attribute of lightRig in cell3D i</w:t>
      </w:r>
      <w:r>
        <w:t>f no lightRig is specified.</w:t>
      </w:r>
    </w:p>
    <w:p w:rsidR="000A156F" w:rsidRDefault="00A9721F">
      <w:pPr>
        <w:pStyle w:val="Heading3"/>
      </w:pPr>
      <w:bookmarkStart w:id="2853" w:name="section_8de3b402ef354ebaac7fcae720425b2a"/>
      <w:bookmarkStart w:id="2854" w:name="_Toc181684452"/>
      <w:r>
        <w:t>Part 1 Section 21.1.3.2, gridCol (Table Grid Column)</w:t>
      </w:r>
      <w:bookmarkEnd w:id="2853"/>
      <w:bookmarkEnd w:id="2854"/>
      <w:r>
        <w:fldChar w:fldCharType="begin"/>
      </w:r>
      <w:r>
        <w:instrText xml:space="preserve"> XE "gridCol (Table Grid Column)" </w:instrText>
      </w:r>
      <w:r>
        <w:fldChar w:fldCharType="end"/>
      </w:r>
    </w:p>
    <w:p w:rsidR="000A156F" w:rsidRDefault="00A9721F">
      <w:pPr>
        <w:pStyle w:val="Definition-Field"/>
      </w:pPr>
      <w:r>
        <w:t xml:space="preserve">a.   </w:t>
      </w:r>
      <w:r>
        <w:rPr>
          <w:i/>
        </w:rPr>
        <w:t>The standard specifies that the w attribute defines the width of the column in EMUs.</w:t>
      </w:r>
    </w:p>
    <w:p w:rsidR="000A156F" w:rsidRDefault="00A9721F">
      <w:pPr>
        <w:pStyle w:val="Definition-Field2"/>
      </w:pPr>
      <w:r>
        <w:t>In Office, the width of the column is equal to or</w:t>
      </w:r>
      <w:r>
        <w:t xml:space="preserve"> greater than the sum of the marL and marR attributes of the tcPr element plus two points for each cell in the column. One point is equal to 12700 EMUs.</w:t>
      </w:r>
    </w:p>
    <w:p w:rsidR="000A156F" w:rsidRDefault="00A9721F">
      <w:pPr>
        <w:pStyle w:val="Heading3"/>
      </w:pPr>
      <w:bookmarkStart w:id="2855" w:name="section_083e148ba921420fa6d2d6d19f38e4bb"/>
      <w:bookmarkStart w:id="2856" w:name="_Toc181684453"/>
      <w:r>
        <w:t>Part 1 Section 21.1.3.5, lnB (Bottom Border Line Properties)</w:t>
      </w:r>
      <w:bookmarkEnd w:id="2855"/>
      <w:bookmarkEnd w:id="2856"/>
      <w:r>
        <w:fldChar w:fldCharType="begin"/>
      </w:r>
      <w:r>
        <w:instrText xml:space="preserve"> XE "lnB (Bottom Border Line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A156F" w:rsidRDefault="00A9721F">
      <w:pPr>
        <w:pStyle w:val="Heading3"/>
      </w:pPr>
      <w:bookmarkStart w:id="2857" w:name="section_82c8360cfceb4649bc5d06b6bd03628e"/>
      <w:bookmarkStart w:id="2858" w:name="_Toc181684454"/>
      <w:r>
        <w:t>Part 1 Section 21.1.3.6, lnBlToTr (Bottom-Left to Top-Right Border Line Prope</w:t>
      </w:r>
      <w:r>
        <w:t>rties)</w:t>
      </w:r>
      <w:bookmarkEnd w:id="2857"/>
      <w:bookmarkEnd w:id="2858"/>
      <w:r>
        <w:fldChar w:fldCharType="begin"/>
      </w:r>
      <w:r>
        <w:instrText xml:space="preserve"> XE "lnBlToTr (Bottom-Left to Top-Right Border Line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A156F" w:rsidRDefault="00A9721F">
      <w:pPr>
        <w:pStyle w:val="Heading3"/>
      </w:pPr>
      <w:bookmarkStart w:id="2859" w:name="section_80b6e2e172d245cbba1619312feb1a61"/>
      <w:bookmarkStart w:id="2860" w:name="_Toc181684455"/>
      <w:r>
        <w:t xml:space="preserve">Part </w:t>
      </w:r>
      <w:r>
        <w:t>1 Section 21.1.3.7, lnL (Left Border Line Properties)</w:t>
      </w:r>
      <w:bookmarkEnd w:id="2859"/>
      <w:bookmarkEnd w:id="2860"/>
      <w:r>
        <w:fldChar w:fldCharType="begin"/>
      </w:r>
      <w:r>
        <w:instrText xml:space="preserve"> XE "lnL (Left Border Line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64035f88ff4ab8bbfbd2998a83324d">
        <w:r>
          <w:rPr>
            <w:rStyle w:val="Hyperlink"/>
          </w:rPr>
          <w:t>ln, §20</w:t>
        </w:r>
        <w:r>
          <w:rPr>
            <w:rStyle w:val="Hyperlink"/>
          </w:rPr>
          <w:t>.1.2.2.24(a, b)</w:t>
        </w:r>
      </w:hyperlink>
      <w:r>
        <w:rPr>
          <w:i/>
        </w:rPr>
        <w:t>.</w:t>
      </w:r>
    </w:p>
    <w:p w:rsidR="000A156F" w:rsidRDefault="00A9721F">
      <w:pPr>
        <w:pStyle w:val="Heading3"/>
      </w:pPr>
      <w:bookmarkStart w:id="2861" w:name="section_fce0907fd2fe4f4caad2511fbf56d166"/>
      <w:bookmarkStart w:id="2862" w:name="_Toc181684456"/>
      <w:r>
        <w:t>Part 1 Section 21.1.3.8, lnR (Right Border Line Properties)</w:t>
      </w:r>
      <w:bookmarkEnd w:id="2861"/>
      <w:bookmarkEnd w:id="2862"/>
      <w:r>
        <w:fldChar w:fldCharType="begin"/>
      </w:r>
      <w:r>
        <w:instrText xml:space="preserve"> XE "lnR (Right Border Line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A156F" w:rsidRDefault="00A9721F">
      <w:pPr>
        <w:pStyle w:val="Heading3"/>
      </w:pPr>
      <w:bookmarkStart w:id="2863" w:name="section_90f6fa1482574c82ad53be75e8dcbb8f"/>
      <w:bookmarkStart w:id="2864" w:name="_Toc181684457"/>
      <w:r>
        <w:t>Part 1 Section 21.1.3.9, lnT (Top Border Line Properties)</w:t>
      </w:r>
      <w:bookmarkEnd w:id="2863"/>
      <w:bookmarkEnd w:id="2864"/>
      <w:r>
        <w:fldChar w:fldCharType="begin"/>
      </w:r>
      <w:r>
        <w:instrText xml:space="preserve"> XE "lnT (Top Border Line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A156F" w:rsidRDefault="00A9721F">
      <w:pPr>
        <w:pStyle w:val="Heading3"/>
      </w:pPr>
      <w:bookmarkStart w:id="2865" w:name="section_7dd0124fcd92478a95c79c2307151088"/>
      <w:bookmarkStart w:id="2866" w:name="_Toc181684458"/>
      <w:r>
        <w:t>Part 1 Section 21.1.3.10, lnTlToBr (Top-Left to Bottom-Right Border Line Properties)</w:t>
      </w:r>
      <w:bookmarkEnd w:id="2865"/>
      <w:bookmarkEnd w:id="2866"/>
      <w:r>
        <w:fldChar w:fldCharType="begin"/>
      </w:r>
      <w:r>
        <w:instrText xml:space="preserve"> XE "lnTlToBr (Top-Left to Bottom-Right Border Line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0A156F" w:rsidRDefault="00A9721F">
      <w:pPr>
        <w:pStyle w:val="Heading3"/>
      </w:pPr>
      <w:bookmarkStart w:id="2867" w:name="section_e12a68d77ac847dead30f6ee7a5d1c8e"/>
      <w:bookmarkStart w:id="2868" w:name="_Toc181684459"/>
      <w:r>
        <w:t>Part 1 Section 21.1.3.12, tableStyleId (Table Style ID)</w:t>
      </w:r>
      <w:bookmarkEnd w:id="2867"/>
      <w:bookmarkEnd w:id="2868"/>
      <w:r>
        <w:fldChar w:fldCharType="begin"/>
      </w:r>
      <w:r>
        <w:instrText xml:space="preserve"> XE "tableStyleId (Table Style ID)" </w:instrText>
      </w:r>
      <w:r>
        <w:fldChar w:fldCharType="end"/>
      </w:r>
    </w:p>
    <w:p w:rsidR="000A156F" w:rsidRDefault="00A9721F">
      <w:pPr>
        <w:pStyle w:val="Definition-Field"/>
      </w:pPr>
      <w:r>
        <w:t xml:space="preserve">a.   </w:t>
      </w:r>
      <w:r>
        <w:rPr>
          <w:i/>
        </w:rPr>
        <w:t>The standard does not state how to interpret an invalid table style defined by the tableStyleId element.</w:t>
      </w:r>
    </w:p>
    <w:p w:rsidR="000A156F" w:rsidRDefault="00A9721F">
      <w:pPr>
        <w:pStyle w:val="Definition-Field2"/>
      </w:pPr>
      <w:r>
        <w:lastRenderedPageBreak/>
        <w:t>Office does not apply a style to the table if this element does not point to a valid built-in or user-speci</w:t>
      </w:r>
      <w:r>
        <w:t>fied table style.</w:t>
      </w:r>
    </w:p>
    <w:p w:rsidR="000A156F" w:rsidRDefault="00A9721F">
      <w:pPr>
        <w:pStyle w:val="Heading3"/>
      </w:pPr>
      <w:bookmarkStart w:id="2869" w:name="section_87e635df37bf42ef87b6fdd8abac88e1"/>
      <w:bookmarkStart w:id="2870" w:name="_Toc181684460"/>
      <w:r>
        <w:t>Part 1 Section 21.1.3.13, tbl (Table)</w:t>
      </w:r>
      <w:bookmarkEnd w:id="2869"/>
      <w:bookmarkEnd w:id="2870"/>
      <w:r>
        <w:fldChar w:fldCharType="begin"/>
      </w:r>
      <w:r>
        <w:instrText xml:space="preserve"> XE "tbl (Table)" </w:instrText>
      </w:r>
      <w:r>
        <w:fldChar w:fldCharType="end"/>
      </w:r>
    </w:p>
    <w:p w:rsidR="000A156F" w:rsidRDefault="00A9721F">
      <w:pPr>
        <w:pStyle w:val="Definition-Field"/>
      </w:pPr>
      <w:r>
        <w:t xml:space="preserve">a.   </w:t>
      </w:r>
      <w:r>
        <w:rPr>
          <w:i/>
        </w:rPr>
        <w:t>The standard specifies that the number of rows is between 0 and unbounded.</w:t>
      </w:r>
    </w:p>
    <w:p w:rsidR="000A156F" w:rsidRDefault="00A9721F">
      <w:pPr>
        <w:pStyle w:val="Definition-Field2"/>
      </w:pPr>
      <w:r>
        <w:t>In Office, the number of rows is greater than 0 and less than or equal to 1000.</w:t>
      </w:r>
    </w:p>
    <w:p w:rsidR="000A156F" w:rsidRDefault="00A9721F">
      <w:pPr>
        <w:pStyle w:val="Definition-Field"/>
      </w:pPr>
      <w:r>
        <w:t xml:space="preserve">b.   </w:t>
      </w:r>
      <w:r>
        <w:rPr>
          <w:i/>
        </w:rPr>
        <w:t>The standard sp</w:t>
      </w:r>
      <w:r>
        <w:rPr>
          <w:i/>
        </w:rPr>
        <w:t>ecifies that the number of columns, as defined in child element tblGrid, is between 0 and unbounded.</w:t>
      </w:r>
    </w:p>
    <w:p w:rsidR="000A156F" w:rsidRDefault="00A9721F">
      <w:pPr>
        <w:pStyle w:val="Definition-Field2"/>
      </w:pPr>
      <w:r>
        <w:t>In Office, the number of columns is greater than 0 and less than or equal to 1000.</w:t>
      </w:r>
    </w:p>
    <w:p w:rsidR="000A156F" w:rsidRDefault="00A9721F">
      <w:pPr>
        <w:pStyle w:val="Definition-Field"/>
      </w:pPr>
      <w:r>
        <w:t xml:space="preserve">c.   </w:t>
      </w:r>
      <w:r>
        <w:rPr>
          <w:i/>
        </w:rPr>
        <w:t>The standard does not indicate that the number of cells in each row</w:t>
      </w:r>
      <w:r>
        <w:rPr>
          <w:i/>
        </w:rPr>
        <w:t xml:space="preserve"> is dependent on the number of columns.</w:t>
      </w:r>
    </w:p>
    <w:p w:rsidR="000A156F" w:rsidRDefault="00A9721F">
      <w:pPr>
        <w:pStyle w:val="Definition-Field2"/>
      </w:pPr>
      <w:r>
        <w:t>In Office, the number of cells in each table row is equal to the number of columns defined in child element tblGrid.</w:t>
      </w:r>
    </w:p>
    <w:p w:rsidR="000A156F" w:rsidRDefault="00A9721F">
      <w:pPr>
        <w:pStyle w:val="Definition-Field"/>
      </w:pPr>
      <w:r>
        <w:t xml:space="preserve">d.   </w:t>
      </w:r>
      <w:r>
        <w:rPr>
          <w:i/>
        </w:rPr>
        <w:t>The standard does not describe how the tbl element merges cells horizontally and vertically.</w:t>
      </w:r>
    </w:p>
    <w:p w:rsidR="000A156F" w:rsidRDefault="00A9721F">
      <w:r>
        <w:t>A</w:t>
      </w:r>
      <w:r>
        <w:t xml:space="preserve"> Table merge describes the merging relationships between conjoint cells in a table. The gridSpan and rowSpan attributes of the tc elements ("</w:t>
      </w:r>
      <w:hyperlink r:id="rId214">
        <w:r>
          <w:rPr>
            <w:rStyle w:val="Hyperlink"/>
          </w:rPr>
          <w:t>[ISO/IEC-29500-1]</w:t>
        </w:r>
      </w:hyperlink>
      <w:r>
        <w:t xml:space="preserve"> §21.1.3.16; tc (Table Cell)") a</w:t>
      </w:r>
      <w:r>
        <w:t>re used to define a table merge. The gridSpan and rowSpan of the top-left cell of a table merge decide the width and height of the table merge. For example, if the following cell is the top-left cell of a table merge, its merge size is width = 3 columns, a</w:t>
      </w:r>
      <w:r>
        <w:t>nd height = 5 rows; or when written out, &lt;a:tc gridSpan="3" rowSpan="5"&gt;.</w:t>
      </w:r>
    </w:p>
    <w:p w:rsidR="000A156F" w:rsidRDefault="00A9721F">
      <w:r>
        <w:t>1). All cells in the first row in this table merge must have the same rowSpan as the first one (5 in the preceding example). And their corresponding gridSpan, except the first one mu</w:t>
      </w:r>
      <w:r>
        <w:t>st be 1.</w:t>
      </w:r>
    </w:p>
    <w:p w:rsidR="000A156F" w:rsidRDefault="00A9721F">
      <w:r>
        <w:t>2). All cells in the first column in this table merge must have the same gridSpan as the first one (3 in the preceding example). And their corresponding rowSpan, except the first one must be equal to 1.</w:t>
      </w:r>
    </w:p>
    <w:p w:rsidR="000A156F" w:rsidRDefault="00A9721F">
      <w:r>
        <w:t>3). All other cells in this table merge must</w:t>
      </w:r>
      <w:r>
        <w:t xml:space="preserve"> have their rowSpan and gridSpan being equal to 1.</w:t>
      </w:r>
    </w:p>
    <w:p w:rsidR="000A156F" w:rsidRDefault="00A9721F">
      <w:r>
        <w:t>4). Two merges shall not overlap.</w:t>
      </w:r>
    </w:p>
    <w:p w:rsidR="000A156F" w:rsidRDefault="00A9721F">
      <w:pPr>
        <w:pStyle w:val="Definition-Field"/>
      </w:pPr>
      <w:r>
        <w:t xml:space="preserve">e.   </w:t>
      </w:r>
      <w:r>
        <w:rPr>
          <w:i/>
        </w:rPr>
        <w:t>The standard allows the neighboring interior borders of two neighboring table merges to have different line properties.</w:t>
      </w:r>
    </w:p>
    <w:p w:rsidR="000A156F" w:rsidRDefault="00A9721F">
      <w:pPr>
        <w:pStyle w:val="Definition-Field2"/>
      </w:pPr>
      <w:r>
        <w:t>Office requires the neighboring interior borde</w:t>
      </w:r>
      <w:r>
        <w:t>rs of two neighboring table merges to have matching border line properties as defined by the lnL, lnR, lnT and lnB elements.</w:t>
      </w:r>
    </w:p>
    <w:p w:rsidR="000A156F" w:rsidRDefault="00A9721F">
      <w:pPr>
        <w:pStyle w:val="Definition-Field"/>
      </w:pPr>
      <w:r>
        <w:t xml:space="preserve">f.   </w:t>
      </w:r>
      <w:r>
        <w:rPr>
          <w:i/>
        </w:rPr>
        <w:t>The standard does not put any restriction on the usage of the lnL, lnR, lnT and lnB elements.</w:t>
      </w:r>
    </w:p>
    <w:p w:rsidR="000A156F" w:rsidRDefault="00A9721F">
      <w:pPr>
        <w:pStyle w:val="Definition-Field2"/>
      </w:pPr>
      <w:r>
        <w:t>Office ignores the lnL and lnT e</w:t>
      </w:r>
      <w:r>
        <w:t>lements for interior borders.</w:t>
      </w:r>
    </w:p>
    <w:p w:rsidR="000A156F" w:rsidRDefault="00A9721F">
      <w:pPr>
        <w:pStyle w:val="Heading3"/>
      </w:pPr>
      <w:bookmarkStart w:id="2871" w:name="section_460020a0e12d47ab834a20f6779387b5"/>
      <w:bookmarkStart w:id="2872" w:name="_Toc181684461"/>
      <w:r>
        <w:t>Part 1 Section 21.1.3.14, tblGrid (Table Grid)</w:t>
      </w:r>
      <w:bookmarkEnd w:id="2871"/>
      <w:bookmarkEnd w:id="2872"/>
      <w:r>
        <w:fldChar w:fldCharType="begin"/>
      </w:r>
      <w:r>
        <w:instrText xml:space="preserve"> XE "tblGrid (Table Grid)" </w:instrText>
      </w:r>
      <w:r>
        <w:fldChar w:fldCharType="end"/>
      </w:r>
    </w:p>
    <w:p w:rsidR="000A156F" w:rsidRDefault="00A9721F">
      <w:pPr>
        <w:pStyle w:val="Definition-Field"/>
      </w:pPr>
      <w:r>
        <w:t xml:space="preserve">a.   </w:t>
      </w:r>
      <w:r>
        <w:rPr>
          <w:i/>
        </w:rPr>
        <w:t>The standard states that the tblGrid element defines the columns that are within the table.</w:t>
      </w:r>
    </w:p>
    <w:p w:rsidR="000A156F" w:rsidRDefault="00A9721F">
      <w:pPr>
        <w:pStyle w:val="Definition-Field2"/>
      </w:pPr>
      <w:r>
        <w:t xml:space="preserve">Office requires there be at least 1 and at most 1000 </w:t>
      </w:r>
      <w:r>
        <w:t>gridCol child elements to tblGrid.</w:t>
      </w:r>
    </w:p>
    <w:p w:rsidR="000A156F" w:rsidRDefault="00A9721F">
      <w:pPr>
        <w:pStyle w:val="Heading3"/>
      </w:pPr>
      <w:bookmarkStart w:id="2873" w:name="section_f9366bfc1f6c4e97a2f540f83aebb61c"/>
      <w:bookmarkStart w:id="2874" w:name="_Toc181684462"/>
      <w:r>
        <w:t>Part 1 Section 21.1.3.16, tc (Table Cell)</w:t>
      </w:r>
      <w:bookmarkEnd w:id="2873"/>
      <w:bookmarkEnd w:id="2874"/>
      <w:r>
        <w:fldChar w:fldCharType="begin"/>
      </w:r>
      <w:r>
        <w:instrText xml:space="preserve"> XE "tc (Table Cell)" </w:instrText>
      </w:r>
      <w:r>
        <w:fldChar w:fldCharType="end"/>
      </w:r>
    </w:p>
    <w:p w:rsidR="000A156F" w:rsidRDefault="00A9721F">
      <w:pPr>
        <w:pStyle w:val="Definition-Field"/>
      </w:pPr>
      <w:r>
        <w:t xml:space="preserve">a.   </w:t>
      </w:r>
      <w:r>
        <w:rPr>
          <w:i/>
        </w:rPr>
        <w:t>The standard allows the value of the rowSpan attribute to be any 32-bit integer.</w:t>
      </w:r>
    </w:p>
    <w:p w:rsidR="000A156F" w:rsidRDefault="00A9721F">
      <w:pPr>
        <w:pStyle w:val="Definition-Field2"/>
      </w:pPr>
      <w:r>
        <w:lastRenderedPageBreak/>
        <w:t xml:space="preserve">In Office, the value of rowSpan shall be equal to or greater than 1. </w:t>
      </w:r>
      <w:r>
        <w:t>For a table with R rows, the value of rowSpan for cells in the first row shall be at most R; the value of rowSpan for cells in the second row can be at most R – 1; and so on.</w:t>
      </w:r>
    </w:p>
    <w:p w:rsidR="000A156F" w:rsidRDefault="00A9721F">
      <w:pPr>
        <w:pStyle w:val="Definition-Field"/>
      </w:pPr>
      <w:r>
        <w:t xml:space="preserve">b.   </w:t>
      </w:r>
      <w:r>
        <w:rPr>
          <w:i/>
        </w:rPr>
        <w:t xml:space="preserve">The standard states that the gridSpan attribute is allowed to be any 32-bit </w:t>
      </w:r>
      <w:r>
        <w:rPr>
          <w:i/>
        </w:rPr>
        <w:t>integer.</w:t>
      </w:r>
    </w:p>
    <w:p w:rsidR="000A156F" w:rsidRDefault="00A9721F">
      <w:r>
        <w:t xml:space="preserve">In Office, the value of gridSpan shall be equal to or greater than 1. For a table with C columns, the value of gridSpan for cells in the first column can be at most C; the value of gridSpan for cells in the second column can be at most C – 1; and </w:t>
      </w:r>
      <w:r>
        <w:t>so on.</w:t>
      </w:r>
    </w:p>
    <w:p w:rsidR="000A156F" w:rsidRDefault="00A9721F">
      <w:pPr>
        <w:pStyle w:val="Definition-Field"/>
      </w:pPr>
      <w:r>
        <w:t xml:space="preserve">c.   </w:t>
      </w:r>
      <w:r>
        <w:rPr>
          <w:i/>
        </w:rPr>
        <w:t>The standard does not describe how the hMerge or vMerge attributes work.</w:t>
      </w:r>
    </w:p>
    <w:p w:rsidR="000A156F" w:rsidRDefault="00A9721F">
      <w:r>
        <w:t>Information about Table Merge is contained within the tbl element ("</w:t>
      </w:r>
      <w:hyperlink r:id="rId215">
        <w:r>
          <w:rPr>
            <w:rStyle w:val="Hyperlink"/>
          </w:rPr>
          <w:t>[ISO/IEC-29500-1]</w:t>
        </w:r>
      </w:hyperlink>
      <w:r>
        <w:t xml:space="preserve"> §21.1.3.13; tbl").</w:t>
      </w:r>
    </w:p>
    <w:p w:rsidR="000A156F" w:rsidRDefault="00A9721F">
      <w:r>
        <w:t>All cells in the first column of a table merge shall have hMerge equal to 0 or false. All other cells of a table merge shall have hMerge equal to 1 or true.</w:t>
      </w:r>
    </w:p>
    <w:p w:rsidR="000A156F" w:rsidRDefault="00A9721F">
      <w:r>
        <w:t>All cells in the first row of a table merge shall have vMerge equal to 0 or false.  All other cells</w:t>
      </w:r>
      <w:r>
        <w:t xml:space="preserve"> of a table merge shall have vMerge equal to 1 or true.</w:t>
      </w:r>
    </w:p>
    <w:p w:rsidR="000A156F" w:rsidRDefault="00A9721F">
      <w:pPr>
        <w:pStyle w:val="Heading3"/>
      </w:pPr>
      <w:bookmarkStart w:id="2875" w:name="section_312c4c2ed5b34407932a1122ed816de0"/>
      <w:bookmarkStart w:id="2876" w:name="_Toc181684463"/>
      <w:r>
        <w:t>Part 1 Section 21.1.3.18, tr (Table Row)</w:t>
      </w:r>
      <w:bookmarkEnd w:id="2875"/>
      <w:bookmarkEnd w:id="2876"/>
      <w:r>
        <w:fldChar w:fldCharType="begin"/>
      </w:r>
      <w:r>
        <w:instrText xml:space="preserve"> XE "tr (Table Row)" </w:instrText>
      </w:r>
      <w:r>
        <w:fldChar w:fldCharType="end"/>
      </w:r>
    </w:p>
    <w:p w:rsidR="000A156F" w:rsidRDefault="00A9721F">
      <w:pPr>
        <w:pStyle w:val="Definition-Field"/>
      </w:pPr>
      <w:r>
        <w:t xml:space="preserve">a.   </w:t>
      </w:r>
      <w:r>
        <w:rPr>
          <w:i/>
        </w:rPr>
        <w:t>The standard states that the height attribute specifies the row height.</w:t>
      </w:r>
    </w:p>
    <w:p w:rsidR="000A156F" w:rsidRDefault="00A9721F">
      <w:r>
        <w:t xml:space="preserve">In Office, the height of the row in the table is specified </w:t>
      </w:r>
      <w:r>
        <w:t>in EMUs.  Additionally:</w:t>
      </w:r>
    </w:p>
    <w:p w:rsidR="000A156F" w:rsidRDefault="00A9721F">
      <w:r>
        <w:t>The height shall not be negative.</w:t>
      </w:r>
    </w:p>
    <w:p w:rsidR="000A156F" w:rsidRDefault="00A9721F">
      <w:r>
        <w:t xml:space="preserve">The height shall be either 0, or greater than the minimal row height. </w:t>
      </w:r>
    </w:p>
    <w:p w:rsidR="000A156F" w:rsidRDefault="00A9721F">
      <w:r>
        <w:t>The height shall be equal to or less than 0x3FFFFFFF.</w:t>
      </w:r>
    </w:p>
    <w:p w:rsidR="000A156F" w:rsidRDefault="00A9721F">
      <w:r>
        <w:t>The minimal row height of a row is defined as: the sum of the minimal hei</w:t>
      </w:r>
      <w:r>
        <w:t>ghts which can hold the top margin and the bottom margin plus 2 extra points for each cell in the row.</w:t>
      </w:r>
    </w:p>
    <w:p w:rsidR="000A156F" w:rsidRDefault="00A9721F">
      <w:pPr>
        <w:pStyle w:val="Definition-Field"/>
      </w:pPr>
      <w:r>
        <w:t xml:space="preserve">b.   </w:t>
      </w:r>
      <w:r>
        <w:rPr>
          <w:i/>
        </w:rPr>
        <w:t>The standard states that the tr element specifies a row in a table.</w:t>
      </w:r>
    </w:p>
    <w:p w:rsidR="000A156F" w:rsidRDefault="00A9721F">
      <w:pPr>
        <w:pStyle w:val="Definition-Field2"/>
      </w:pPr>
      <w:r>
        <w:t>In Office, the number of table cells in a table row is greater than 1 and less t</w:t>
      </w:r>
      <w:r>
        <w:t>han or equal to 1000. Additionally, the number of table cells in a table row is equal to the number of columns in the table.</w:t>
      </w:r>
    </w:p>
    <w:p w:rsidR="000A156F" w:rsidRDefault="00A9721F">
      <w:pPr>
        <w:pStyle w:val="Heading3"/>
      </w:pPr>
      <w:bookmarkStart w:id="2877" w:name="section_1b1344e7a00944f5aa3a4cbb4f752c80"/>
      <w:bookmarkStart w:id="2878" w:name="_Toc181684464"/>
      <w:r>
        <w:t>Part 1 Section 21.2.2.2, applyToFront (Apply To Front)</w:t>
      </w:r>
      <w:bookmarkEnd w:id="2877"/>
      <w:bookmarkEnd w:id="2878"/>
      <w:r>
        <w:fldChar w:fldCharType="begin"/>
      </w:r>
      <w:r>
        <w:instrText xml:space="preserve"> XE "applyToFront (Apply To Front)" </w:instrText>
      </w:r>
      <w:r>
        <w:fldChar w:fldCharType="end"/>
      </w:r>
    </w:p>
    <w:p w:rsidR="000A156F" w:rsidRDefault="00A9721F">
      <w:pPr>
        <w:pStyle w:val="Definition-Field"/>
      </w:pPr>
      <w:r>
        <w:t xml:space="preserve">a.   </w:t>
      </w:r>
      <w:r>
        <w:rPr>
          <w:i/>
        </w:rPr>
        <w:t>The standard states that the appl</w:t>
      </w:r>
      <w:r>
        <w:rPr>
          <w:i/>
        </w:rPr>
        <w:t>yToFront element specifies that the picture shall be applied to the front of the point or series.</w:t>
      </w:r>
    </w:p>
    <w:p w:rsidR="000A156F" w:rsidRDefault="00A9721F">
      <w:pPr>
        <w:pStyle w:val="Definition-Field2"/>
      </w:pPr>
      <w:r>
        <w:t>In Office, this element also specifies that the picture should be applied to the backWall and Office ignores this element on the floor and sideWall elements.</w:t>
      </w:r>
    </w:p>
    <w:p w:rsidR="000A156F" w:rsidRDefault="00A9721F">
      <w:pPr>
        <w:pStyle w:val="Heading3"/>
      </w:pPr>
      <w:bookmarkStart w:id="2879" w:name="section_82ee2e510df44d6a86c46529093bae80"/>
      <w:bookmarkStart w:id="2880" w:name="_Toc181684465"/>
      <w:r>
        <w:t>Part 1 Section 21.2.2.3, applyToSides (Apply To Sides)</w:t>
      </w:r>
      <w:bookmarkEnd w:id="2879"/>
      <w:bookmarkEnd w:id="2880"/>
      <w:r>
        <w:fldChar w:fldCharType="begin"/>
      </w:r>
      <w:r>
        <w:instrText xml:space="preserve"> XE "applyToSides (Apply To Sides)" </w:instrText>
      </w:r>
      <w:r>
        <w:fldChar w:fldCharType="end"/>
      </w:r>
    </w:p>
    <w:p w:rsidR="000A156F" w:rsidRDefault="00A9721F">
      <w:pPr>
        <w:pStyle w:val="Definition-Field"/>
      </w:pPr>
      <w:r>
        <w:t xml:space="preserve">a.   </w:t>
      </w:r>
      <w:r>
        <w:rPr>
          <w:i/>
        </w:rPr>
        <w:t>The standard states that the applyToSides element specifies that the picture shall be applied to the sides of the point or series.</w:t>
      </w:r>
    </w:p>
    <w:p w:rsidR="000A156F" w:rsidRDefault="00A9721F">
      <w:pPr>
        <w:pStyle w:val="Definition-Field2"/>
      </w:pPr>
      <w:r>
        <w:t>In Office this element also</w:t>
      </w:r>
      <w:r>
        <w:t xml:space="preserve"> specifies that the picture shall be applied to the floor or the side wall but is ignored on the back wall of a 3D chart.</w:t>
      </w:r>
    </w:p>
    <w:p w:rsidR="000A156F" w:rsidRDefault="00A9721F">
      <w:pPr>
        <w:pStyle w:val="Heading3"/>
      </w:pPr>
      <w:bookmarkStart w:id="2881" w:name="section_29ab25d35428484cb2a3ec691a0bf49f"/>
      <w:bookmarkStart w:id="2882" w:name="_Toc181684466"/>
      <w:r>
        <w:lastRenderedPageBreak/>
        <w:t>Part 1 Section 21.2.2.5, areaChart (Area Charts)</w:t>
      </w:r>
      <w:bookmarkEnd w:id="2881"/>
      <w:bookmarkEnd w:id="2882"/>
      <w:r>
        <w:fldChar w:fldCharType="begin"/>
      </w:r>
      <w:r>
        <w:instrText xml:space="preserve"> XE "areaChart (Area Charts)" </w:instrText>
      </w:r>
      <w:r>
        <w:fldChar w:fldCharType="end"/>
      </w:r>
    </w:p>
    <w:p w:rsidR="000A156F" w:rsidRDefault="00A9721F">
      <w:pPr>
        <w:pStyle w:val="Definition-Field"/>
      </w:pPr>
      <w:r>
        <w:t xml:space="preserve">a.   </w:t>
      </w:r>
      <w:r>
        <w:rPr>
          <w:i/>
        </w:rPr>
        <w:t>The standard states that the maxOccurs value for</w:t>
      </w:r>
      <w:r>
        <w:rPr>
          <w:i/>
        </w:rPr>
        <w:t xml:space="preserve"> the ser child element is unbounded.</w:t>
      </w:r>
    </w:p>
    <w:p w:rsidR="000A156F" w:rsidRDefault="00A9721F">
      <w:pPr>
        <w:pStyle w:val="Definition-Field2"/>
      </w:pPr>
      <w:r>
        <w:t>Office limits the occurrences of this element to 255.</w:t>
      </w:r>
    </w:p>
    <w:p w:rsidR="000A156F" w:rsidRDefault="00A9721F">
      <w:pPr>
        <w:pStyle w:val="Heading3"/>
      </w:pPr>
      <w:bookmarkStart w:id="2883" w:name="section_94796dcb15124541b4d09514d4070913"/>
      <w:bookmarkStart w:id="2884" w:name="_Toc181684467"/>
      <w:r>
        <w:t>Part 1 Section 21.2.2.7, autoTitleDeleted (Auto Title Is Deleted)</w:t>
      </w:r>
      <w:bookmarkEnd w:id="2883"/>
      <w:bookmarkEnd w:id="2884"/>
      <w:r>
        <w:fldChar w:fldCharType="begin"/>
      </w:r>
      <w:r>
        <w:instrText xml:space="preserve"> XE "autoTitleDeleted (Auto Title Is Deleted)" </w:instrText>
      </w:r>
      <w:r>
        <w:fldChar w:fldCharType="end"/>
      </w:r>
    </w:p>
    <w:p w:rsidR="000A156F" w:rsidRDefault="00A9721F">
      <w:pPr>
        <w:pStyle w:val="Definition-Field"/>
      </w:pPr>
      <w:r>
        <w:t xml:space="preserve">a.   </w:t>
      </w:r>
      <w:r>
        <w:rPr>
          <w:i/>
        </w:rPr>
        <w:t>The standard does not state any exceptions th</w:t>
      </w:r>
      <w:r>
        <w:rPr>
          <w:i/>
        </w:rPr>
        <w:t>at cause the autoTitleDeleted element to be ignored.</w:t>
      </w:r>
    </w:p>
    <w:p w:rsidR="000A156F" w:rsidRDefault="00A9721F">
      <w:pPr>
        <w:pStyle w:val="Definition-Field2"/>
      </w:pPr>
      <w:r>
        <w:t>In Office, this element only applies if a title element ("</w:t>
      </w:r>
      <w:hyperlink r:id="rId216">
        <w:r>
          <w:rPr>
            <w:rStyle w:val="Hyperlink"/>
          </w:rPr>
          <w:t>[ISO/IEC-29500-1]</w:t>
        </w:r>
      </w:hyperlink>
      <w:r>
        <w:t xml:space="preserve"> §21.2.2.210; title") is not present on the parent chart eleme</w:t>
      </w:r>
      <w:r>
        <w:t>nt ("[ISO/IEC-29500-1] §21.2.2.27; chart").</w:t>
      </w:r>
    </w:p>
    <w:p w:rsidR="000A156F" w:rsidRDefault="00A9721F">
      <w:pPr>
        <w:pStyle w:val="Heading3"/>
      </w:pPr>
      <w:bookmarkStart w:id="2885" w:name="section_089f849ffcd64fa0a28135aa6a432a16"/>
      <w:bookmarkStart w:id="2886" w:name="_Toc181684468"/>
      <w:r>
        <w:t>Part 1 Section 21.2.2.9, axId (Axis ID)</w:t>
      </w:r>
      <w:bookmarkEnd w:id="2885"/>
      <w:bookmarkEnd w:id="2886"/>
      <w:r>
        <w:fldChar w:fldCharType="begin"/>
      </w:r>
      <w:r>
        <w:instrText xml:space="preserve"> XE "axId (Axis ID)" </w:instrText>
      </w:r>
      <w:r>
        <w:fldChar w:fldCharType="end"/>
      </w:r>
    </w:p>
    <w:p w:rsidR="000A156F" w:rsidRDefault="00A9721F">
      <w:pPr>
        <w:pStyle w:val="Definition-Field"/>
      </w:pPr>
      <w:r>
        <w:t xml:space="preserve">a.   </w:t>
      </w:r>
      <w:r>
        <w:rPr>
          <w:i/>
        </w:rPr>
        <w:t>The standard states that values of the val attribute are defined by the XML Schema unsignedInt datatype.</w:t>
      </w:r>
    </w:p>
    <w:p w:rsidR="000A156F" w:rsidRDefault="00A9721F">
      <w:pPr>
        <w:pStyle w:val="Definition-Field2"/>
      </w:pPr>
      <w:r>
        <w:t xml:space="preserve">Office restricts the value of this </w:t>
      </w:r>
      <w:r>
        <w:t>attribute to be at most 2147483647.</w:t>
      </w:r>
    </w:p>
    <w:p w:rsidR="000A156F" w:rsidRDefault="00A9721F">
      <w:pPr>
        <w:pStyle w:val="Definition-Field"/>
      </w:pPr>
      <w:r>
        <w:t xml:space="preserve">b.   </w:t>
      </w:r>
      <w:r>
        <w:rPr>
          <w:i/>
        </w:rPr>
        <w:t>The standard does not place any restrictions on the val attribute of the axId element.</w:t>
      </w:r>
    </w:p>
    <w:p w:rsidR="000A156F" w:rsidRDefault="00A9721F">
      <w:pPr>
        <w:pStyle w:val="Definition-Field2"/>
      </w:pPr>
      <w:r>
        <w:t>Office requires that the val attribute of this element matches the val attribute of an axId element on a catAx, dateAx, serAx, o</w:t>
      </w:r>
      <w:r>
        <w:t>r valAx element on the chart.</w:t>
      </w:r>
    </w:p>
    <w:p w:rsidR="000A156F" w:rsidRDefault="00A9721F">
      <w:pPr>
        <w:pStyle w:val="Heading3"/>
      </w:pPr>
      <w:bookmarkStart w:id="2887" w:name="section_5989881ed2de44f387928dbded2e2b00"/>
      <w:bookmarkStart w:id="2888" w:name="_Toc181684469"/>
      <w:r>
        <w:t>Part 1 Section 21.2.2.10, axPos (Axis Position)</w:t>
      </w:r>
      <w:bookmarkEnd w:id="2887"/>
      <w:bookmarkEnd w:id="2888"/>
      <w:r>
        <w:fldChar w:fldCharType="begin"/>
      </w:r>
      <w:r>
        <w:instrText xml:space="preserve"> XE "axPos (Axis Position)" </w:instrText>
      </w:r>
      <w:r>
        <w:fldChar w:fldCharType="end"/>
      </w:r>
    </w:p>
    <w:p w:rsidR="000A156F" w:rsidRDefault="00A9721F">
      <w:pPr>
        <w:pStyle w:val="Definition-Field"/>
      </w:pPr>
      <w:r>
        <w:t xml:space="preserve">a.   </w:t>
      </w:r>
      <w:r>
        <w:rPr>
          <w:i/>
        </w:rPr>
        <w:t>The standard states that the axpos element specifies the position of the axis on the chart.</w:t>
      </w:r>
    </w:p>
    <w:p w:rsidR="000A156F" w:rsidRDefault="00A9721F">
      <w:pPr>
        <w:pStyle w:val="Definition-Field2"/>
      </w:pPr>
      <w:r>
        <w:t>Office ignores this element, always using the cross</w:t>
      </w:r>
      <w:r>
        <w:t>es element on a valAx, the crossesAt element on a catAx or dateAx, and the orientation element of the scaling element on the perpendicular axis to specify the axis position.</w:t>
      </w:r>
    </w:p>
    <w:p w:rsidR="000A156F" w:rsidRDefault="00A9721F">
      <w:pPr>
        <w:pStyle w:val="Heading3"/>
      </w:pPr>
      <w:bookmarkStart w:id="2889" w:name="section_51f8d9b9d15b478a91c5e8b09907af84"/>
      <w:bookmarkStart w:id="2890" w:name="_Toc181684470"/>
      <w:r>
        <w:t>Part 1 Section 21.2.2.11, backWall (Back Wall)</w:t>
      </w:r>
      <w:bookmarkEnd w:id="2889"/>
      <w:bookmarkEnd w:id="2890"/>
      <w:r>
        <w:fldChar w:fldCharType="begin"/>
      </w:r>
      <w:r>
        <w:instrText xml:space="preserve"> XE "backWall (Back Wall)" </w:instrText>
      </w:r>
      <w:r>
        <w:fldChar w:fldCharType="end"/>
      </w:r>
    </w:p>
    <w:p w:rsidR="000A156F" w:rsidRDefault="00A9721F">
      <w:pPr>
        <w:pStyle w:val="Definition-Field"/>
      </w:pPr>
      <w:r>
        <w:t xml:space="preserve">a.   </w:t>
      </w:r>
      <w:r>
        <w:rPr>
          <w:i/>
        </w:rPr>
        <w:t>T</w:t>
      </w:r>
      <w:r>
        <w:rPr>
          <w:i/>
        </w:rPr>
        <w:t>he standard states that the backWall element is valid for any chart type.</w:t>
      </w:r>
    </w:p>
    <w:p w:rsidR="000A156F" w:rsidRDefault="00A9721F">
      <w:pPr>
        <w:pStyle w:val="Definition-Field2"/>
      </w:pPr>
      <w:r>
        <w:t>Office only allows this element for 3D charts (bar3dChart, line3dChart, area3dChart, surface3dChart, pie3Dchart).</w:t>
      </w:r>
    </w:p>
    <w:p w:rsidR="000A156F" w:rsidRDefault="00A9721F">
      <w:pPr>
        <w:pStyle w:val="Heading3"/>
      </w:pPr>
      <w:bookmarkStart w:id="2891" w:name="section_69fafe694f3e42d888d53955a6e9be2e"/>
      <w:bookmarkStart w:id="2892" w:name="_Toc181684471"/>
      <w:r>
        <w:t>Part 1 Section 21.2.2.12, backward (Backward)</w:t>
      </w:r>
      <w:bookmarkEnd w:id="2891"/>
      <w:bookmarkEnd w:id="2892"/>
      <w:r>
        <w:fldChar w:fldCharType="begin"/>
      </w:r>
      <w:r>
        <w:instrText xml:space="preserve"> XE "backward (Backward</w:instrText>
      </w:r>
      <w:r>
        <w:instrText xml:space="preserve">)" </w:instrText>
      </w:r>
      <w:r>
        <w:fldChar w:fldCharType="end"/>
      </w:r>
    </w:p>
    <w:p w:rsidR="000A156F" w:rsidRDefault="00A9721F">
      <w:pPr>
        <w:pStyle w:val="Definition-Field"/>
      </w:pPr>
      <w:r>
        <w:t xml:space="preserve">a.   </w:t>
      </w:r>
      <w:r>
        <w:rPr>
          <w:i/>
        </w:rPr>
        <w:t>The standard states that the value of the val attribute on non-scatter charts must be 0 or 0.5.</w:t>
      </w:r>
    </w:p>
    <w:p w:rsidR="000A156F" w:rsidRDefault="00A9721F">
      <w:pPr>
        <w:pStyle w:val="Definition-Field2"/>
      </w:pPr>
      <w:r>
        <w:t>Office allows the data range to include any non-negative number.</w:t>
      </w:r>
    </w:p>
    <w:p w:rsidR="000A156F" w:rsidRDefault="00A9721F">
      <w:pPr>
        <w:pStyle w:val="Definition-Field"/>
      </w:pPr>
      <w:r>
        <w:t xml:space="preserve">b.   </w:t>
      </w:r>
      <w:r>
        <w:rPr>
          <w:i/>
        </w:rPr>
        <w:t>The standard states that the values of the val attribute are defined by the XML</w:t>
      </w:r>
      <w:r>
        <w:rPr>
          <w:i/>
        </w:rPr>
        <w:t xml:space="preserve"> Schema double datatype.</w:t>
      </w:r>
    </w:p>
    <w:p w:rsidR="000A156F" w:rsidRDefault="00A9721F">
      <w:pPr>
        <w:pStyle w:val="Definition-Field2"/>
      </w:pPr>
      <w:r>
        <w:t>Office restricts the values of this attribute to be greater than 0 and not equal to INF, -INF, or Nan.</w:t>
      </w:r>
    </w:p>
    <w:p w:rsidR="000A156F" w:rsidRDefault="00A9721F">
      <w:pPr>
        <w:pStyle w:val="Heading3"/>
      </w:pPr>
      <w:bookmarkStart w:id="2893" w:name="section_7bcd4b6150c64a1a88cf5a29bdeb03cc"/>
      <w:bookmarkStart w:id="2894" w:name="_Toc181684472"/>
      <w:r>
        <w:t>Part 1 Section 21.2.2.14, bandFmts (Band Formats)</w:t>
      </w:r>
      <w:bookmarkEnd w:id="2893"/>
      <w:bookmarkEnd w:id="2894"/>
      <w:r>
        <w:fldChar w:fldCharType="begin"/>
      </w:r>
      <w:r>
        <w:instrText xml:space="preserve"> XE "bandFmts (Band Formats)" </w:instrText>
      </w:r>
      <w:r>
        <w:fldChar w:fldCharType="end"/>
      </w:r>
    </w:p>
    <w:p w:rsidR="000A156F" w:rsidRDefault="00A9721F">
      <w:pPr>
        <w:pStyle w:val="Definition-Field"/>
      </w:pPr>
      <w:r>
        <w:t xml:space="preserve">a.   </w:t>
      </w:r>
      <w:r>
        <w:rPr>
          <w:i/>
        </w:rPr>
        <w:t xml:space="preserve">The standard states that bands are </w:t>
      </w:r>
      <w:r>
        <w:rPr>
          <w:i/>
        </w:rPr>
        <w:t>indexed from low to high.</w:t>
      </w:r>
    </w:p>
    <w:p w:rsidR="000A156F" w:rsidRDefault="00A9721F">
      <w:r>
        <w:lastRenderedPageBreak/>
        <w:t>The bands within this collection are indexed with increasing index values that correspond to increasing values in the chart.  The lowest index value for a band is 0, regardless of whether it is present in the collection of formatt</w:t>
      </w:r>
      <w:r>
        <w:t>ing bands. Bands with no explicit formatting may be omitted from the collection.</w:t>
      </w:r>
    </w:p>
    <w:p w:rsidR="000A156F" w:rsidRDefault="00A9721F">
      <w:pPr>
        <w:pStyle w:val="Heading3"/>
      </w:pPr>
      <w:bookmarkStart w:id="2895" w:name="section_46a9db165bfa4d0f86ad196bf11c9230"/>
      <w:bookmarkStart w:id="2896" w:name="_Toc181684473"/>
      <w:r>
        <w:t>Part 1 Section 21.2.2.15, bar3DChart (3D Bar Charts)</w:t>
      </w:r>
      <w:bookmarkEnd w:id="2895"/>
      <w:bookmarkEnd w:id="2896"/>
      <w:r>
        <w:fldChar w:fldCharType="begin"/>
      </w:r>
      <w:r>
        <w:instrText xml:space="preserve"> XE "bar3DChart (3D Bar Charts)" </w:instrText>
      </w:r>
      <w:r>
        <w:fldChar w:fldCharType="end"/>
      </w:r>
    </w:p>
    <w:p w:rsidR="000A156F" w:rsidRDefault="00A9721F">
      <w:pPr>
        <w:pStyle w:val="Definition-Field"/>
      </w:pPr>
      <w:r>
        <w:t xml:space="preserve">a.   </w:t>
      </w:r>
      <w:r>
        <w:rPr>
          <w:i/>
        </w:rPr>
        <w:t>The standard states that the maxOccurs value for the ser child element is unbounde</w:t>
      </w:r>
      <w:r>
        <w:rPr>
          <w:i/>
        </w:rPr>
        <w:t>d.</w:t>
      </w:r>
    </w:p>
    <w:p w:rsidR="000A156F" w:rsidRDefault="00A9721F">
      <w:pPr>
        <w:pStyle w:val="Definition-Field2"/>
      </w:pPr>
      <w:r>
        <w:t>Office limits the occurrences of this element to 255.</w:t>
      </w:r>
    </w:p>
    <w:p w:rsidR="000A156F" w:rsidRDefault="00A9721F">
      <w:pPr>
        <w:pStyle w:val="Heading3"/>
      </w:pPr>
      <w:bookmarkStart w:id="2897" w:name="section_4f86580b39ca45558ef844b2f35f3648"/>
      <w:bookmarkStart w:id="2898" w:name="_Toc181684474"/>
      <w:r>
        <w:t>Part 1 Section 21.2.2.16, barChart (Bar Charts)</w:t>
      </w:r>
      <w:bookmarkEnd w:id="2897"/>
      <w:bookmarkEnd w:id="2898"/>
      <w:r>
        <w:fldChar w:fldCharType="begin"/>
      </w:r>
      <w:r>
        <w:instrText xml:space="preserve"> XE "barChart (Bar Charts)"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0A156F" w:rsidRDefault="00A9721F">
      <w:pPr>
        <w:pStyle w:val="Definition-Field"/>
      </w:pPr>
      <w:r>
        <w:t xml:space="preserve">a.   </w:t>
      </w:r>
      <w:r>
        <w:rPr>
          <w:i/>
        </w:rPr>
        <w:t>The standard states that the maxOccurs value for the serLines child element is unbounded.</w:t>
      </w:r>
    </w:p>
    <w:p w:rsidR="000A156F" w:rsidRDefault="00A9721F">
      <w:pPr>
        <w:pStyle w:val="Definition-Field2"/>
      </w:pPr>
      <w:r>
        <w:t>Office limits the occurrences of this element to 1.</w:t>
      </w:r>
    </w:p>
    <w:p w:rsidR="000A156F" w:rsidRDefault="00A9721F">
      <w:pPr>
        <w:pStyle w:val="Heading3"/>
      </w:pPr>
      <w:bookmarkStart w:id="2899" w:name="section_e99b822aa75c4a268b420136b3acee5b"/>
      <w:bookmarkStart w:id="2900" w:name="_Toc181684475"/>
      <w:r>
        <w:t>Part 1 Section 21.2.2.17, barDir (Bar Direction)</w:t>
      </w:r>
      <w:bookmarkEnd w:id="2899"/>
      <w:bookmarkEnd w:id="2900"/>
      <w:r>
        <w:fldChar w:fldCharType="begin"/>
      </w:r>
      <w:r>
        <w:instrText xml:space="preserve"> XE "barD</w:instrText>
      </w:r>
      <w:r>
        <w:instrText xml:space="preserve">ir (Bar Direction)"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Office requires this attribute.</w:t>
      </w:r>
    </w:p>
    <w:p w:rsidR="000A156F" w:rsidRDefault="00A9721F">
      <w:pPr>
        <w:pStyle w:val="Heading3"/>
      </w:pPr>
      <w:bookmarkStart w:id="2901" w:name="section_b8441f8d1013434e8d86ba06b64e4d92"/>
      <w:bookmarkStart w:id="2902" w:name="_Toc181684476"/>
      <w:r>
        <w:t>Part 1 Section 21.2.2.19, bubble3D (3D Bubble)</w:t>
      </w:r>
      <w:bookmarkEnd w:id="2901"/>
      <w:bookmarkEnd w:id="2902"/>
      <w:r>
        <w:fldChar w:fldCharType="begin"/>
      </w:r>
      <w:r>
        <w:instrText xml:space="preserve"> XE "bubble3D (3D Bubble)"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0A156F" w:rsidRDefault="00A9721F">
      <w:pPr>
        <w:pStyle w:val="Heading3"/>
      </w:pPr>
      <w:bookmarkStart w:id="2903" w:name="section_c99aee60a26e465486070e0411ea81eb"/>
      <w:bookmarkStart w:id="2904" w:name="_Toc181684477"/>
      <w:r>
        <w:t>Part 1 Section 21.2.2.20, bubbleChart (Bubble Charts)</w:t>
      </w:r>
      <w:bookmarkEnd w:id="2903"/>
      <w:bookmarkEnd w:id="2904"/>
      <w:r>
        <w:fldChar w:fldCharType="begin"/>
      </w:r>
      <w:r>
        <w:instrText xml:space="preserve"> XE "bubbleChart (Bubb</w:instrText>
      </w:r>
      <w:r>
        <w:instrText xml:space="preserve">le Charts)"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0A156F" w:rsidRDefault="00A9721F">
      <w:pPr>
        <w:pStyle w:val="Definition-Field"/>
      </w:pPr>
      <w:r>
        <w:t xml:space="preserve">a.   </w:t>
      </w:r>
      <w:r>
        <w:rPr>
          <w:i/>
        </w:rPr>
        <w:t xml:space="preserve">The standard states that the maxOccurs value for the ser child </w:t>
      </w:r>
      <w:r>
        <w:rPr>
          <w:i/>
        </w:rPr>
        <w:t>element is unbounded.</w:t>
      </w:r>
    </w:p>
    <w:p w:rsidR="000A156F" w:rsidRDefault="00A9721F">
      <w:pPr>
        <w:pStyle w:val="Definition-Field2"/>
      </w:pPr>
      <w:r>
        <w:t>Office limits the occurrences of this element to 255.</w:t>
      </w:r>
    </w:p>
    <w:p w:rsidR="000A156F" w:rsidRDefault="00A9721F">
      <w:pPr>
        <w:pStyle w:val="Definition-Field"/>
      </w:pPr>
      <w:r>
        <w:t xml:space="preserve">b.   </w:t>
      </w:r>
      <w:r>
        <w:rPr>
          <w:i/>
        </w:rPr>
        <w:t>The standard states that the bubble3D element is a valid child of the bubbleChart element.</w:t>
      </w:r>
    </w:p>
    <w:p w:rsidR="000A156F" w:rsidRDefault="00A9721F">
      <w:pPr>
        <w:pStyle w:val="Definition-Field2"/>
      </w:pPr>
      <w:r>
        <w:t>Office does not allow the bubble3D element to be a child of the bubbleChart element.</w:t>
      </w:r>
    </w:p>
    <w:p w:rsidR="000A156F" w:rsidRDefault="00A9721F">
      <w:pPr>
        <w:pStyle w:val="Heading3"/>
      </w:pPr>
      <w:bookmarkStart w:id="2905" w:name="section_cce3b3b3a43d4e95b9771428b377e670"/>
      <w:bookmarkStart w:id="2906" w:name="_Toc181684478"/>
      <w:r>
        <w:t>Part 1 Section 21.2.2.23, builtInUnit (Built in Display Unit Value)</w:t>
      </w:r>
      <w:bookmarkEnd w:id="2905"/>
      <w:bookmarkEnd w:id="2906"/>
      <w:r>
        <w:fldChar w:fldCharType="begin"/>
      </w:r>
      <w:r>
        <w:instrText xml:space="preserve"> XE "builtInUnit (Built in Display Unit Value)" </w:instrText>
      </w:r>
      <w:r>
        <w:fldChar w:fldCharType="end"/>
      </w:r>
    </w:p>
    <w:p w:rsidR="000A156F" w:rsidRDefault="00A9721F">
      <w:pPr>
        <w:pStyle w:val="Definition-Field"/>
      </w:pPr>
      <w:r>
        <w:t xml:space="preserve">a.   </w:t>
      </w:r>
      <w:r>
        <w:rPr>
          <w:i/>
        </w:rPr>
        <w:t>The standard states that the builtInUnit element specifies that the display unit is one of the built in values.</w:t>
      </w:r>
    </w:p>
    <w:p w:rsidR="000A156F" w:rsidRDefault="00A9721F">
      <w:pPr>
        <w:pStyle w:val="Definition-Field2"/>
      </w:pPr>
      <w:r>
        <w:t>In Office, this elem</w:t>
      </w:r>
      <w:r>
        <w:t>ent specifies the display unit for the axis and also the text shown by sibling element dispUnitsLbl when the dispUnitLbl does not contain a tx child element.</w:t>
      </w:r>
    </w:p>
    <w:p w:rsidR="000A156F" w:rsidRDefault="00A9721F">
      <w:pPr>
        <w:pStyle w:val="Heading3"/>
      </w:pPr>
      <w:bookmarkStart w:id="2907" w:name="section_ea16141cf0bc469ca1a0214e200eda61"/>
      <w:bookmarkStart w:id="2908" w:name="_Toc181684479"/>
      <w:r>
        <w:t>Part 1 Section 21.2.2.24, cat (Category Axis Data)</w:t>
      </w:r>
      <w:bookmarkEnd w:id="2907"/>
      <w:bookmarkEnd w:id="2908"/>
      <w:r>
        <w:fldChar w:fldCharType="begin"/>
      </w:r>
      <w:r>
        <w:instrText xml:space="preserve"> XE "cat (Category Axis Data)" </w:instrText>
      </w:r>
      <w:r>
        <w:fldChar w:fldCharType="end"/>
      </w:r>
    </w:p>
    <w:p w:rsidR="000A156F" w:rsidRDefault="00A9721F">
      <w:pPr>
        <w:pStyle w:val="Definition-Field"/>
      </w:pPr>
      <w:r>
        <w:t xml:space="preserve">a.   </w:t>
      </w:r>
      <w:r>
        <w:rPr>
          <w:i/>
        </w:rPr>
        <w:t>The stand</w:t>
      </w:r>
      <w:r>
        <w:rPr>
          <w:i/>
        </w:rPr>
        <w:t>ard does not define the behavior when the cat element is omitted.</w:t>
      </w:r>
    </w:p>
    <w:p w:rsidR="000A156F" w:rsidRDefault="00A9721F">
      <w:pPr>
        <w:pStyle w:val="Definition-Field2"/>
      </w:pPr>
      <w:r>
        <w:t>Office uses the one-based index value of the corresponding data point as the default category axis data when this element is omitted on a series.</w:t>
      </w:r>
    </w:p>
    <w:p w:rsidR="000A156F" w:rsidRDefault="00A9721F">
      <w:pPr>
        <w:pStyle w:val="Heading3"/>
      </w:pPr>
      <w:bookmarkStart w:id="2909" w:name="section_c6aec8b1cbe34239ba00b837970abc14"/>
      <w:bookmarkStart w:id="2910" w:name="_Toc181684480"/>
      <w:r>
        <w:lastRenderedPageBreak/>
        <w:t>Part 1 Section 21.2.2.25, catAx (Category Ax</w:t>
      </w:r>
      <w:r>
        <w:t>is Data)</w:t>
      </w:r>
      <w:bookmarkEnd w:id="2909"/>
      <w:bookmarkEnd w:id="2910"/>
      <w:r>
        <w:fldChar w:fldCharType="begin"/>
      </w:r>
      <w:r>
        <w:instrText xml:space="preserve"> XE "catAx (Category Axis Data)" </w:instrText>
      </w:r>
      <w:r>
        <w:fldChar w:fldCharType="end"/>
      </w:r>
    </w:p>
    <w:p w:rsidR="000A156F" w:rsidRDefault="00A9721F">
      <w:pPr>
        <w:pStyle w:val="Definition-Field"/>
      </w:pPr>
      <w:r>
        <w:t xml:space="preserve">a.   </w:t>
      </w:r>
      <w:r>
        <w:rPr>
          <w:i/>
        </w:rPr>
        <w:t>The standard does place any restrictions on the val attribute of the axId element.</w:t>
      </w:r>
    </w:p>
    <w:p w:rsidR="000A156F" w:rsidRDefault="00A9721F">
      <w:pPr>
        <w:pStyle w:val="Definition-Field2"/>
      </w:pPr>
      <w:r>
        <w:t>Office requires that the val attribute of the axId element matches the val attribute of an axId element in the parent chart.</w:t>
      </w:r>
    </w:p>
    <w:p w:rsidR="000A156F" w:rsidRDefault="00A9721F">
      <w:pPr>
        <w:pStyle w:val="Definition-Field"/>
      </w:pPr>
      <w:r>
        <w:t xml:space="preserve">b.   </w:t>
      </w:r>
      <w:r>
        <w:rPr>
          <w:i/>
        </w:rPr>
        <w:t>The standard does place any restrictions on the val attribute of the crossAx element.</w:t>
      </w:r>
    </w:p>
    <w:p w:rsidR="000A156F" w:rsidRDefault="00A9721F">
      <w:pPr>
        <w:pStyle w:val="Definition-Field2"/>
      </w:pPr>
      <w:r>
        <w:t>Office requires that the val attribute of the crossAx element matches the val attribute of an axId element in the parent chart.</w:t>
      </w:r>
    </w:p>
    <w:p w:rsidR="000A156F" w:rsidRDefault="00A9721F">
      <w:pPr>
        <w:pStyle w:val="Heading3"/>
      </w:pPr>
      <w:bookmarkStart w:id="2911" w:name="section_f0443747f6a14f2bb35a3b4159cf25f9"/>
      <w:bookmarkStart w:id="2912" w:name="_Toc181684481"/>
      <w:r>
        <w:t>Part 1 Section 21.2.2.28, chartObject (Chart Object)</w:t>
      </w:r>
      <w:bookmarkEnd w:id="2911"/>
      <w:bookmarkEnd w:id="2912"/>
      <w:r>
        <w:fldChar w:fldCharType="begin"/>
      </w:r>
      <w:r>
        <w:instrText xml:space="preserve"> XE "chartObject (Chart Object)" </w:instrText>
      </w:r>
      <w:r>
        <w:fldChar w:fldCharType="end"/>
      </w:r>
    </w:p>
    <w:p w:rsidR="000A156F" w:rsidRDefault="00A9721F">
      <w:pPr>
        <w:pStyle w:val="Definition-Field"/>
      </w:pPr>
      <w:r>
        <w:t xml:space="preserve">a.   </w:t>
      </w:r>
      <w:r>
        <w:rPr>
          <w:i/>
        </w:rPr>
        <w:t>The standard states that the chartObject element specifies that the chart cannot be edited by the user.</w:t>
      </w:r>
    </w:p>
    <w:p w:rsidR="000A156F" w:rsidRDefault="00A9721F">
      <w:pPr>
        <w:pStyle w:val="Definition-Field2"/>
      </w:pPr>
      <w:r>
        <w:t>Office does not respect this element and allows editing reg</w:t>
      </w:r>
      <w:r>
        <w:t>ardless of the value.</w:t>
      </w:r>
    </w:p>
    <w:p w:rsidR="000A156F" w:rsidRDefault="00A9721F">
      <w:pPr>
        <w:pStyle w:val="Heading3"/>
      </w:pPr>
      <w:bookmarkStart w:id="2913" w:name="section_195a0d2d3977477a86ded88b14745e13"/>
      <w:bookmarkStart w:id="2914" w:name="_Toc181684482"/>
      <w:r>
        <w:t>Part 1 Section 21.2.2.31, crossAx (Crossing Axis ID)</w:t>
      </w:r>
      <w:bookmarkEnd w:id="2913"/>
      <w:bookmarkEnd w:id="2914"/>
      <w:r>
        <w:fldChar w:fldCharType="begin"/>
      </w:r>
      <w:r>
        <w:instrText xml:space="preserve"> XE "crossAx (Crossing Axis ID)" </w:instrText>
      </w:r>
      <w:r>
        <w:fldChar w:fldCharType="end"/>
      </w:r>
    </w:p>
    <w:p w:rsidR="000A156F" w:rsidRDefault="00A9721F">
      <w:pPr>
        <w:pStyle w:val="Definition-Field"/>
      </w:pPr>
      <w:r>
        <w:t xml:space="preserve">a.   </w:t>
      </w:r>
      <w:r>
        <w:rPr>
          <w:i/>
        </w:rPr>
        <w:t>The standard states that the values of the val attribute are defined by the XML Schema unsignedInt datatype.</w:t>
      </w:r>
    </w:p>
    <w:p w:rsidR="000A156F" w:rsidRDefault="00A9721F">
      <w:pPr>
        <w:pStyle w:val="Definition-Field2"/>
      </w:pPr>
      <w:r>
        <w:t>Office restricts the value of th</w:t>
      </w:r>
      <w:r>
        <w:t>is attribute to be at most 2147483647.</w:t>
      </w:r>
    </w:p>
    <w:p w:rsidR="000A156F" w:rsidRDefault="00A9721F">
      <w:pPr>
        <w:pStyle w:val="Definition-Field"/>
      </w:pPr>
      <w:r>
        <w:t xml:space="preserve">b.   </w:t>
      </w:r>
      <w:r>
        <w:rPr>
          <w:i/>
        </w:rPr>
        <w:t>The standard does not place any restrictions on the val attribute of the crossAx element.</w:t>
      </w:r>
    </w:p>
    <w:p w:rsidR="000A156F" w:rsidRDefault="00A9721F">
      <w:pPr>
        <w:pStyle w:val="Definition-Field2"/>
      </w:pPr>
      <w:r>
        <w:t>Office requires that the val attribute of the crossAx element matches the val attribute of an axId element in the parent c</w:t>
      </w:r>
      <w:r>
        <w:t>hart.</w:t>
      </w:r>
    </w:p>
    <w:p w:rsidR="000A156F" w:rsidRDefault="00A9721F">
      <w:pPr>
        <w:pStyle w:val="Heading3"/>
      </w:pPr>
      <w:bookmarkStart w:id="2915" w:name="section_c5ba9569da3445309743b040df140552"/>
      <w:bookmarkStart w:id="2916" w:name="_Toc181684483"/>
      <w:r>
        <w:t>Part 1 Section 21.2.2.34, crossesAt (Crossing Value)</w:t>
      </w:r>
      <w:bookmarkEnd w:id="2915"/>
      <w:bookmarkEnd w:id="2916"/>
      <w:r>
        <w:fldChar w:fldCharType="begin"/>
      </w:r>
      <w:r>
        <w:instrText xml:space="preserve"> XE "crossesAt (Crossing Value)"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9de0cf2f9d5416aabe6f1b160b4e823">
        <w:r>
          <w:rPr>
            <w:rStyle w:val="Hyperlink"/>
          </w:rPr>
          <w:t>custUnit,</w:t>
        </w:r>
        <w:r>
          <w:rPr>
            <w:rStyle w:val="Hyperlink"/>
          </w:rPr>
          <w:t xml:space="preserve"> §21.2.2.36(a)</w:t>
        </w:r>
      </w:hyperlink>
      <w:r>
        <w:rPr>
          <w:i/>
        </w:rPr>
        <w:t xml:space="preserve">; </w:t>
      </w:r>
      <w:hyperlink w:anchor="Section_002a323721c5425f83521a108d5bc7bb">
        <w:r>
          <w:rPr>
            <w:rStyle w:val="Hyperlink"/>
          </w:rPr>
          <w:t>splitPos, §21.2.2.195(c)</w:t>
        </w:r>
      </w:hyperlink>
      <w:r>
        <w:rPr>
          <w:i/>
        </w:rPr>
        <w:t>.</w:t>
      </w:r>
    </w:p>
    <w:p w:rsidR="000A156F" w:rsidRDefault="00A9721F">
      <w:pPr>
        <w:pStyle w:val="Definition-Field"/>
      </w:pPr>
      <w:r>
        <w:t xml:space="preserve">a.   </w:t>
      </w:r>
      <w:r>
        <w:rPr>
          <w:i/>
        </w:rPr>
        <w:t>The standard states the value's data type is determined by the parent element.</w:t>
      </w:r>
    </w:p>
    <w:p w:rsidR="000A156F" w:rsidRDefault="00A9721F">
      <w:r>
        <w:t xml:space="preserve">In Office, the value data type is inferred from the type of axis </w:t>
      </w:r>
      <w:r>
        <w:t>being crossed, as follows:</w:t>
      </w:r>
    </w:p>
    <w:p w:rsidR="000A156F" w:rsidRDefault="00A9721F">
      <w:r>
        <w:t xml:space="preserve">When the axis to cross is specified by a </w:t>
      </w:r>
      <w:r>
        <w:rPr>
          <w:b/>
        </w:rPr>
        <w:t>valAx</w:t>
      </w:r>
      <w:r>
        <w:t xml:space="preserve"> element, the value is a decimal number on the value axis. </w:t>
      </w:r>
    </w:p>
    <w:p w:rsidR="000A156F" w:rsidRDefault="00A9721F">
      <w:r>
        <w:t xml:space="preserve">When the axis to cross is specified by a </w:t>
      </w:r>
      <w:r>
        <w:rPr>
          <w:b/>
        </w:rPr>
        <w:t>dateAx element</w:t>
      </w:r>
      <w:r>
        <w:t xml:space="preserve">, the date is defined as an integer number on the date axis. </w:t>
      </w:r>
    </w:p>
    <w:p w:rsidR="000A156F" w:rsidRDefault="00A9721F">
      <w:r>
        <w:t>When t</w:t>
      </w:r>
      <w:r>
        <w:t xml:space="preserve">he axis to cross is specified by a </w:t>
      </w:r>
      <w:r>
        <w:rPr>
          <w:b/>
        </w:rPr>
        <w:t>catAx</w:t>
      </w:r>
      <w:r>
        <w:t xml:space="preserve"> element, the value is an integer category number, starting with 1 as the first category.</w:t>
      </w:r>
    </w:p>
    <w:p w:rsidR="000A156F" w:rsidRDefault="00A9721F">
      <w:pPr>
        <w:pStyle w:val="Definition-Field"/>
      </w:pPr>
      <w:r>
        <w:t xml:space="preserve">b.   </w:t>
      </w:r>
      <w:r>
        <w:rPr>
          <w:i/>
        </w:rPr>
        <w:t>The standard states that the possible values for the val attribute are defined by the XML Schema double datatype.</w:t>
      </w:r>
    </w:p>
    <w:p w:rsidR="000A156F" w:rsidRDefault="00A9721F">
      <w:pPr>
        <w:pStyle w:val="Definition-Field2"/>
      </w:pPr>
      <w:r>
        <w:t>In Offi</w:t>
      </w:r>
      <w:r>
        <w:t>ce, INF, -INF, and NaN are not supported values.</w:t>
      </w:r>
    </w:p>
    <w:p w:rsidR="000A156F" w:rsidRDefault="00A9721F">
      <w:pPr>
        <w:pStyle w:val="Heading3"/>
      </w:pPr>
      <w:bookmarkStart w:id="2917" w:name="section_c9de0cf2f9d5416aabe6f1b160b4e823"/>
      <w:bookmarkStart w:id="2918" w:name="_Toc181684484"/>
      <w:r>
        <w:t>Part 1 Section 21.2.2.36, custUnit (Custom Display Unit)</w:t>
      </w:r>
      <w:bookmarkEnd w:id="2917"/>
      <w:bookmarkEnd w:id="2918"/>
      <w:r>
        <w:fldChar w:fldCharType="begin"/>
      </w:r>
      <w:r>
        <w:instrText xml:space="preserve"> XE "custUnit (Custom Display Unit)"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0A156F" w:rsidRDefault="00A9721F">
      <w:pPr>
        <w:pStyle w:val="Definition-Field"/>
      </w:pPr>
      <w:r>
        <w:lastRenderedPageBreak/>
        <w:t xml:space="preserve">a.   </w:t>
      </w:r>
      <w:r>
        <w:rPr>
          <w:i/>
        </w:rPr>
        <w:t>The standard states that the possible values for the val attribute are defined by the XML Sche</w:t>
      </w:r>
      <w:r>
        <w:rPr>
          <w:i/>
        </w:rPr>
        <w:t>ma double datatype.</w:t>
      </w:r>
    </w:p>
    <w:p w:rsidR="000A156F" w:rsidRDefault="00A9721F">
      <w:pPr>
        <w:pStyle w:val="Definition-Field2"/>
      </w:pPr>
      <w:r>
        <w:t>In Office, INF, -INF, and NaN are not supported values.</w:t>
      </w:r>
    </w:p>
    <w:p w:rsidR="000A156F" w:rsidRDefault="00A9721F">
      <w:pPr>
        <w:pStyle w:val="Definition-Field"/>
      </w:pPr>
      <w:r>
        <w:t xml:space="preserve">b.   </w:t>
      </w:r>
      <w:r>
        <w:rPr>
          <w:i/>
        </w:rPr>
        <w:t>The standard states that the custUnit element specifies a custom value for the display unit.</w:t>
      </w:r>
    </w:p>
    <w:p w:rsidR="000A156F" w:rsidRDefault="00A9721F">
      <w:pPr>
        <w:pStyle w:val="Definition-Field2"/>
      </w:pPr>
      <w:r>
        <w:t>In Office, this element specifies a custom value for the display unit for the axis</w:t>
      </w:r>
      <w:r>
        <w:t>. This element specifies the text shown by sibling element dispUnitsLbl when the dispUnitLbl does not contain a tx child element.</w:t>
      </w:r>
    </w:p>
    <w:p w:rsidR="000A156F" w:rsidRDefault="00A9721F">
      <w:pPr>
        <w:pStyle w:val="Heading3"/>
      </w:pPr>
      <w:bookmarkStart w:id="2919" w:name="section_1ddb29af9f9949ddb02407491c8d02ef"/>
      <w:bookmarkStart w:id="2920" w:name="_Toc181684485"/>
      <w:r>
        <w:t>Part 1 Section 21.2.2.37, data (Data Cannot Be Changed)</w:t>
      </w:r>
      <w:bookmarkEnd w:id="2919"/>
      <w:bookmarkEnd w:id="2920"/>
      <w:r>
        <w:fldChar w:fldCharType="begin"/>
      </w:r>
      <w:r>
        <w:instrText xml:space="preserve"> XE "data (Data Cannot Be Changed)" </w:instrText>
      </w:r>
      <w:r>
        <w:fldChar w:fldCharType="end"/>
      </w:r>
    </w:p>
    <w:p w:rsidR="000A156F" w:rsidRDefault="00A9721F">
      <w:pPr>
        <w:pStyle w:val="Definition-Field"/>
      </w:pPr>
      <w:r>
        <w:t xml:space="preserve">a.   </w:t>
      </w:r>
      <w:r>
        <w:rPr>
          <w:i/>
        </w:rPr>
        <w:t>The standard states that th</w:t>
      </w:r>
      <w:r>
        <w:rPr>
          <w:i/>
        </w:rPr>
        <w:t>e data element prevents the user from changing the choice of data used for the chart".</w:t>
      </w:r>
    </w:p>
    <w:p w:rsidR="000A156F" w:rsidRDefault="00A9721F">
      <w:pPr>
        <w:pStyle w:val="Definition-Field2"/>
      </w:pPr>
      <w:r>
        <w:t>Office does not respect this element and allows the user to change the choice of data.</w:t>
      </w:r>
    </w:p>
    <w:p w:rsidR="000A156F" w:rsidRDefault="00A9721F">
      <w:pPr>
        <w:pStyle w:val="Heading3"/>
      </w:pPr>
      <w:bookmarkStart w:id="2921" w:name="section_6ef956354ff54794a80e60decf3acac7"/>
      <w:bookmarkStart w:id="2922" w:name="_Toc181684486"/>
      <w:r>
        <w:t>Part 1 Section 21.2.2.39, dateAx (Date Axis)</w:t>
      </w:r>
      <w:bookmarkEnd w:id="2921"/>
      <w:bookmarkEnd w:id="2922"/>
      <w:r>
        <w:fldChar w:fldCharType="begin"/>
      </w:r>
      <w:r>
        <w:instrText xml:space="preserve"> XE "dateAx (Date Axis)" </w:instrText>
      </w:r>
      <w:r>
        <w:fldChar w:fldCharType="end"/>
      </w:r>
    </w:p>
    <w:p w:rsidR="000A156F" w:rsidRDefault="00A9721F">
      <w:pPr>
        <w:pStyle w:val="Definition-Field"/>
      </w:pPr>
      <w:r>
        <w:t xml:space="preserve">a.   </w:t>
      </w:r>
      <w:r>
        <w:rPr>
          <w:i/>
        </w:rPr>
        <w:t xml:space="preserve">The </w:t>
      </w:r>
      <w:r>
        <w:rPr>
          <w:i/>
        </w:rPr>
        <w:t>standard does not place any restrictions on the val attribute of the axId element.</w:t>
      </w:r>
    </w:p>
    <w:p w:rsidR="000A156F" w:rsidRDefault="00A9721F">
      <w:pPr>
        <w:pStyle w:val="Definition-Field2"/>
      </w:pPr>
      <w:r>
        <w:t>Office requires that the val attribute of the axId element matches the val attribute of an axId element in the parent chart.</w:t>
      </w:r>
    </w:p>
    <w:p w:rsidR="000A156F" w:rsidRDefault="00A9721F">
      <w:pPr>
        <w:pStyle w:val="Definition-Field"/>
      </w:pPr>
      <w:r>
        <w:t xml:space="preserve">b.   </w:t>
      </w:r>
      <w:r>
        <w:rPr>
          <w:i/>
        </w:rPr>
        <w:t>The standard does not place any restriction</w:t>
      </w:r>
      <w:r>
        <w:rPr>
          <w:i/>
        </w:rPr>
        <w:t>s on the val attribute of the crossAx element.</w:t>
      </w:r>
    </w:p>
    <w:p w:rsidR="000A156F" w:rsidRDefault="00A9721F">
      <w:pPr>
        <w:pStyle w:val="Definition-Field2"/>
      </w:pPr>
      <w:r>
        <w:t>Office requires that the val attribute of the crossAx element matches the val attribute of an axId element in the parent chart.</w:t>
      </w:r>
    </w:p>
    <w:p w:rsidR="000A156F" w:rsidRDefault="00A9721F">
      <w:pPr>
        <w:pStyle w:val="Heading3"/>
      </w:pPr>
      <w:bookmarkStart w:id="2923" w:name="section_2643b6345b714371b8d9b25715fe3ebb"/>
      <w:bookmarkStart w:id="2924" w:name="_Toc181684487"/>
      <w:r>
        <w:t>Part 1 Section 21.2.2.41, depthPercent (Depth Percent)</w:t>
      </w:r>
      <w:bookmarkEnd w:id="2923"/>
      <w:bookmarkEnd w:id="2924"/>
      <w:r>
        <w:fldChar w:fldCharType="begin"/>
      </w:r>
      <w:r>
        <w:instrText xml:space="preserve"> XE "depthPercent (Depth Pe</w:instrText>
      </w:r>
      <w:r>
        <w:instrText xml:space="preserve">rcent)" </w:instrText>
      </w:r>
      <w:r>
        <w:fldChar w:fldCharType="end"/>
      </w:r>
    </w:p>
    <w:p w:rsidR="000A156F" w:rsidRDefault="00A9721F">
      <w:pPr>
        <w:pStyle w:val="Definition-Field"/>
      </w:pPr>
      <w:r>
        <w:t xml:space="preserve">a.   </w:t>
      </w:r>
      <w:r>
        <w:rPr>
          <w:i/>
        </w:rPr>
        <w:t>The standard states that the depthpercent element specifies the depth of a 3-D chart as a percentage of the chart width.</w:t>
      </w:r>
    </w:p>
    <w:p w:rsidR="000A156F" w:rsidRDefault="00A9721F">
      <w:pPr>
        <w:pStyle w:val="Definition-Field2"/>
      </w:pPr>
      <w:r>
        <w:t>In Office, this element specifies the depth of a 3-D chart as a percentage of the 3-D plot area width.</w:t>
      </w:r>
    </w:p>
    <w:p w:rsidR="000A156F" w:rsidRDefault="00A9721F">
      <w:pPr>
        <w:pStyle w:val="Heading3"/>
      </w:pPr>
      <w:bookmarkStart w:id="2925" w:name="section_1942c0283c4e4dd9a379b12a9b7914df"/>
      <w:bookmarkStart w:id="2926" w:name="_Toc181684488"/>
      <w:r>
        <w:t>Part 1 Section 2</w:t>
      </w:r>
      <w:r>
        <w:t>1.2.2.42, dispBlanksAs (Display Blanks As)</w:t>
      </w:r>
      <w:bookmarkEnd w:id="2925"/>
      <w:bookmarkEnd w:id="2926"/>
      <w:r>
        <w:fldChar w:fldCharType="begin"/>
      </w:r>
      <w:r>
        <w:instrText xml:space="preserve"> XE "dispBlanksAs (Display Blanks As)" </w:instrText>
      </w:r>
      <w:r>
        <w:fldChar w:fldCharType="end"/>
      </w:r>
    </w:p>
    <w:p w:rsidR="000A156F" w:rsidRDefault="00A9721F">
      <w:pPr>
        <w:pStyle w:val="Definition-Field"/>
      </w:pPr>
      <w:r>
        <w:t xml:space="preserve">a.   </w:t>
      </w:r>
      <w:r>
        <w:rPr>
          <w:i/>
        </w:rPr>
        <w:t>The standard places no restriction on @val beyond ST_DisplayBlanksAs.</w:t>
      </w:r>
    </w:p>
    <w:p w:rsidR="000A156F" w:rsidRDefault="00A9721F">
      <w:r>
        <w:t>The following table shows which chart types support which methods of displaying blank cells.  The</w:t>
      </w:r>
      <w:r>
        <w:t xml:space="preserve"> supported methods often depend on the chart’s grouping ("</w:t>
      </w:r>
      <w:hyperlink r:id="rId217">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Chart Type</w:t>
            </w:r>
          </w:p>
        </w:tc>
        <w:tc>
          <w:tcPr>
            <w:tcW w:w="0" w:type="auto"/>
            <w:vAlign w:val="center"/>
          </w:tcPr>
          <w:p w:rsidR="000A156F" w:rsidRDefault="00A9721F">
            <w:pPr>
              <w:pStyle w:val="TableHeaderText"/>
            </w:pPr>
            <w:r>
              <w:t>Gap</w:t>
            </w:r>
          </w:p>
        </w:tc>
        <w:tc>
          <w:tcPr>
            <w:tcW w:w="0" w:type="auto"/>
            <w:vAlign w:val="center"/>
          </w:tcPr>
          <w:p w:rsidR="000A156F" w:rsidRDefault="00A9721F">
            <w:pPr>
              <w:pStyle w:val="TableHeaderText"/>
            </w:pPr>
            <w:r>
              <w:t>Span</w:t>
            </w:r>
          </w:p>
        </w:tc>
        <w:tc>
          <w:tcPr>
            <w:tcW w:w="0" w:type="auto"/>
            <w:vAlign w:val="center"/>
          </w:tcPr>
          <w:p w:rsidR="000A156F" w:rsidRDefault="00A9721F">
            <w:pPr>
              <w:pStyle w:val="TableHeaderText"/>
            </w:pPr>
            <w:r>
              <w:t>Zero</w:t>
            </w:r>
          </w:p>
        </w:tc>
        <w:tc>
          <w:tcPr>
            <w:tcW w:w="0" w:type="auto"/>
            <w:vAlign w:val="center"/>
          </w:tcPr>
          <w:p w:rsidR="000A156F" w:rsidRDefault="00A9721F">
            <w:pPr>
              <w:pStyle w:val="TableHeaderText"/>
            </w:pPr>
            <w:r>
              <w:t>Default</w:t>
            </w:r>
          </w:p>
        </w:tc>
      </w:tr>
      <w:tr w:rsidR="000A156F" w:rsidTr="000A156F">
        <w:tc>
          <w:tcPr>
            <w:tcW w:w="0" w:type="auto"/>
            <w:vAlign w:val="center"/>
          </w:tcPr>
          <w:p w:rsidR="000A156F" w:rsidRDefault="00A9721F">
            <w:pPr>
              <w:pStyle w:val="TableBodyText"/>
            </w:pPr>
            <w:r>
              <w:t>("[ISO/IEC-29500-1]</w:t>
            </w:r>
            <w:r>
              <w:t xml:space="preserve"> §21.2.2.16; barChart (Bar Charts)")</w:t>
            </w:r>
            <w:r>
              <w:rPr>
                <w:b/>
              </w:rPr>
              <w:t xml:space="preserve"> </w:t>
            </w:r>
          </w:p>
        </w:tc>
        <w:tc>
          <w:tcPr>
            <w:tcW w:w="0" w:type="auto"/>
            <w:vAlign w:val="center"/>
          </w:tcPr>
          <w:p w:rsidR="000A156F" w:rsidRDefault="00A9721F">
            <w:pPr>
              <w:pStyle w:val="ListParagraph"/>
              <w:numPr>
                <w:ilvl w:val="0"/>
                <w:numId w:val="136"/>
              </w:numPr>
            </w:pPr>
            <w:r>
              <w:t>•</w:t>
            </w: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37"/>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t>("[ISO/IEC-29500-1] §21.2.2.15; bar3DChart (3D Bar Charts)")</w:t>
            </w:r>
            <w:r>
              <w:rPr>
                <w:b/>
              </w:rPr>
              <w:t xml:space="preserve"> </w:t>
            </w:r>
          </w:p>
        </w:tc>
        <w:tc>
          <w:tcPr>
            <w:tcW w:w="0" w:type="auto"/>
            <w:vAlign w:val="center"/>
          </w:tcPr>
          <w:p w:rsidR="000A156F" w:rsidRDefault="00A9721F">
            <w:pPr>
              <w:pStyle w:val="ListParagraph"/>
              <w:numPr>
                <w:ilvl w:val="0"/>
                <w:numId w:val="138"/>
              </w:numPr>
            </w:pPr>
            <w:r>
              <w:t>•</w:t>
            </w: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39"/>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0A156F" w:rsidRDefault="00A9721F">
            <w:pPr>
              <w:pStyle w:val="ListParagraph"/>
              <w:numPr>
                <w:ilvl w:val="0"/>
                <w:numId w:val="140"/>
              </w:numPr>
            </w:pPr>
            <w:r>
              <w:t>•</w:t>
            </w: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41"/>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lastRenderedPageBreak/>
              <w:t>("[ISO/IEC-29500-1]</w:t>
            </w:r>
            <w:r>
              <w:t xml:space="preserve">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0A156F" w:rsidRDefault="000A156F">
            <w:pPr>
              <w:pStyle w:val="TableBodyText"/>
            </w:pP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42"/>
              </w:numPr>
            </w:pPr>
            <w:r>
              <w:t>•</w:t>
            </w:r>
          </w:p>
        </w:tc>
        <w:tc>
          <w:tcPr>
            <w:tcW w:w="0" w:type="auto"/>
            <w:vAlign w:val="center"/>
          </w:tcPr>
          <w:p w:rsidR="000A156F" w:rsidRDefault="00A9721F">
            <w:pPr>
              <w:pStyle w:val="TableBodyText"/>
            </w:pPr>
            <w:r>
              <w:rPr>
                <w:i/>
              </w:rPr>
              <w:t>zero</w:t>
            </w:r>
          </w:p>
        </w:tc>
      </w:tr>
      <w:tr w:rsidR="000A156F" w:rsidTr="000A156F">
        <w:tc>
          <w:tcPr>
            <w:tcW w:w="0" w:type="auto"/>
            <w:vAlign w:val="center"/>
          </w:tcPr>
          <w:p w:rsidR="000A156F" w:rsidRDefault="00A9721F">
            <w:pPr>
              <w:pStyle w:val="TableBodyText"/>
            </w:pPr>
            <w:r>
              <w:t>("[ISO/IEC-29500-1] §21.2.2.4; area3DChart (3D Area Charts)")</w:t>
            </w:r>
          </w:p>
        </w:tc>
        <w:tc>
          <w:tcPr>
            <w:tcW w:w="0" w:type="auto"/>
            <w:vAlign w:val="center"/>
          </w:tcPr>
          <w:p w:rsidR="000A156F" w:rsidRDefault="000A156F">
            <w:pPr>
              <w:pStyle w:val="TableBodyText"/>
            </w:pP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43"/>
              </w:numPr>
            </w:pPr>
            <w:r>
              <w:t>•</w:t>
            </w:r>
          </w:p>
        </w:tc>
        <w:tc>
          <w:tcPr>
            <w:tcW w:w="0" w:type="auto"/>
            <w:vAlign w:val="center"/>
          </w:tcPr>
          <w:p w:rsidR="000A156F" w:rsidRDefault="00A9721F">
            <w:pPr>
              <w:pStyle w:val="TableBodyText"/>
            </w:pPr>
            <w:r>
              <w:rPr>
                <w:i/>
              </w:rPr>
              <w:t>zero</w:t>
            </w:r>
          </w:p>
        </w:tc>
      </w:tr>
      <w:tr w:rsidR="000A156F" w:rsidTr="000A156F">
        <w:tc>
          <w:tcPr>
            <w:tcW w:w="0" w:type="auto"/>
            <w:vAlign w:val="center"/>
          </w:tcPr>
          <w:p w:rsidR="000A156F" w:rsidRDefault="00A9721F">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0A156F" w:rsidRDefault="00A9721F">
            <w:pPr>
              <w:pStyle w:val="ListParagraph"/>
              <w:numPr>
                <w:ilvl w:val="0"/>
                <w:numId w:val="144"/>
              </w:numPr>
            </w:pPr>
            <w:r>
              <w:t>•</w:t>
            </w:r>
          </w:p>
        </w:tc>
        <w:tc>
          <w:tcPr>
            <w:tcW w:w="0" w:type="auto"/>
            <w:vAlign w:val="center"/>
          </w:tcPr>
          <w:p w:rsidR="000A156F" w:rsidRDefault="00A9721F">
            <w:pPr>
              <w:pStyle w:val="ListParagraph"/>
              <w:numPr>
                <w:ilvl w:val="0"/>
                <w:numId w:val="145"/>
              </w:numPr>
            </w:pPr>
            <w:r>
              <w:t>•</w:t>
            </w:r>
          </w:p>
        </w:tc>
        <w:tc>
          <w:tcPr>
            <w:tcW w:w="0" w:type="auto"/>
            <w:vAlign w:val="center"/>
          </w:tcPr>
          <w:p w:rsidR="000A156F" w:rsidRDefault="00A9721F">
            <w:pPr>
              <w:pStyle w:val="ListParagraph"/>
              <w:numPr>
                <w:ilvl w:val="0"/>
                <w:numId w:val="146"/>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t>("</w:t>
            </w: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0A156F" w:rsidRDefault="000A156F">
            <w:pPr>
              <w:pStyle w:val="TableBodyText"/>
            </w:pP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47"/>
              </w:numPr>
            </w:pPr>
            <w:r>
              <w:t>•</w:t>
            </w:r>
          </w:p>
        </w:tc>
        <w:tc>
          <w:tcPr>
            <w:tcW w:w="0" w:type="auto"/>
            <w:vAlign w:val="center"/>
          </w:tcPr>
          <w:p w:rsidR="000A156F" w:rsidRDefault="00A9721F">
            <w:pPr>
              <w:pStyle w:val="TableBodyText"/>
            </w:pPr>
            <w:r>
              <w:rPr>
                <w:i/>
              </w:rPr>
              <w:t>zero</w:t>
            </w:r>
          </w:p>
        </w:tc>
      </w:tr>
      <w:tr w:rsidR="000A156F" w:rsidTr="000A156F">
        <w:tc>
          <w:tcPr>
            <w:tcW w:w="0" w:type="auto"/>
            <w:vAlign w:val="center"/>
          </w:tcPr>
          <w:p w:rsidR="000A156F" w:rsidRDefault="00A9721F">
            <w:pPr>
              <w:pStyle w:val="TableBodyText"/>
            </w:pPr>
            <w:r>
              <w:t>("[ISO/IEC-29500-1] §21.2.2.96; line3DChart (3D Line Charts)")</w:t>
            </w:r>
          </w:p>
        </w:tc>
        <w:tc>
          <w:tcPr>
            <w:tcW w:w="0" w:type="auto"/>
            <w:vAlign w:val="center"/>
          </w:tcPr>
          <w:p w:rsidR="000A156F" w:rsidRDefault="00A9721F">
            <w:pPr>
              <w:pStyle w:val="ListParagraph"/>
              <w:numPr>
                <w:ilvl w:val="0"/>
                <w:numId w:val="148"/>
              </w:numPr>
            </w:pPr>
            <w:r>
              <w:t>•</w:t>
            </w: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49"/>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t>("[ISO/IEC-29500-1] §21.2.2.141; pieChart (Pie Charts)")</w:t>
            </w:r>
          </w:p>
        </w:tc>
        <w:tc>
          <w:tcPr>
            <w:tcW w:w="0" w:type="auto"/>
            <w:vAlign w:val="center"/>
          </w:tcPr>
          <w:p w:rsidR="000A156F" w:rsidRDefault="00A9721F">
            <w:pPr>
              <w:pStyle w:val="ListParagraph"/>
              <w:numPr>
                <w:ilvl w:val="0"/>
                <w:numId w:val="150"/>
              </w:numPr>
            </w:pPr>
            <w:r>
              <w:t>•</w:t>
            </w: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51"/>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t>("[ISO/IEC-29500-1]</w:t>
            </w:r>
            <w:r>
              <w:t xml:space="preserve"> §21.2.2.140; pie3DChart (3D Pie Charts)")</w:t>
            </w:r>
          </w:p>
        </w:tc>
        <w:tc>
          <w:tcPr>
            <w:tcW w:w="0" w:type="auto"/>
            <w:vAlign w:val="center"/>
          </w:tcPr>
          <w:p w:rsidR="000A156F" w:rsidRDefault="00A9721F">
            <w:pPr>
              <w:pStyle w:val="ListParagraph"/>
              <w:numPr>
                <w:ilvl w:val="0"/>
                <w:numId w:val="152"/>
              </w:numPr>
            </w:pPr>
            <w:r>
              <w:t>•</w:t>
            </w: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53"/>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t>("[ISO/IEC-29500-1] §21.2.2.50; doughnutChart (Doughnut Charts)")</w:t>
            </w:r>
          </w:p>
        </w:tc>
        <w:tc>
          <w:tcPr>
            <w:tcW w:w="0" w:type="auto"/>
            <w:vAlign w:val="center"/>
          </w:tcPr>
          <w:p w:rsidR="000A156F" w:rsidRDefault="00A9721F">
            <w:pPr>
              <w:pStyle w:val="ListParagraph"/>
              <w:numPr>
                <w:ilvl w:val="0"/>
                <w:numId w:val="154"/>
              </w:numPr>
            </w:pPr>
            <w:r>
              <w:t>•</w:t>
            </w:r>
          </w:p>
        </w:tc>
        <w:tc>
          <w:tcPr>
            <w:tcW w:w="0" w:type="auto"/>
            <w:vAlign w:val="center"/>
          </w:tcPr>
          <w:p w:rsidR="000A156F" w:rsidRDefault="000A156F">
            <w:pPr>
              <w:pStyle w:val="TableBodyText"/>
            </w:pPr>
          </w:p>
        </w:tc>
        <w:tc>
          <w:tcPr>
            <w:tcW w:w="0" w:type="auto"/>
            <w:vAlign w:val="center"/>
          </w:tcPr>
          <w:p w:rsidR="000A156F" w:rsidRDefault="00A9721F">
            <w:pPr>
              <w:pStyle w:val="ListParagraph"/>
              <w:numPr>
                <w:ilvl w:val="0"/>
                <w:numId w:val="155"/>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t>("[ISO/IEC-29500-1] §21.2.2.20; bubbleChart (Bubble Charts)")</w:t>
            </w:r>
          </w:p>
        </w:tc>
        <w:tc>
          <w:tcPr>
            <w:tcW w:w="0" w:type="auto"/>
            <w:vAlign w:val="center"/>
          </w:tcPr>
          <w:p w:rsidR="000A156F" w:rsidRDefault="00A9721F">
            <w:pPr>
              <w:pStyle w:val="ListParagraph"/>
              <w:numPr>
                <w:ilvl w:val="0"/>
                <w:numId w:val="156"/>
              </w:numPr>
            </w:pPr>
            <w:r>
              <w:t>•</w:t>
            </w:r>
          </w:p>
        </w:tc>
        <w:tc>
          <w:tcPr>
            <w:tcW w:w="0" w:type="auto"/>
            <w:vAlign w:val="center"/>
          </w:tcPr>
          <w:p w:rsidR="000A156F" w:rsidRDefault="00A9721F">
            <w:pPr>
              <w:pStyle w:val="ListParagraph"/>
              <w:numPr>
                <w:ilvl w:val="0"/>
                <w:numId w:val="157"/>
              </w:numPr>
            </w:pPr>
            <w:r>
              <w:t>•</w:t>
            </w:r>
          </w:p>
        </w:tc>
        <w:tc>
          <w:tcPr>
            <w:tcW w:w="0" w:type="auto"/>
            <w:vAlign w:val="center"/>
          </w:tcPr>
          <w:p w:rsidR="000A156F" w:rsidRDefault="00A9721F">
            <w:pPr>
              <w:pStyle w:val="ListParagraph"/>
              <w:numPr>
                <w:ilvl w:val="0"/>
                <w:numId w:val="158"/>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t>("[ISO/IEC-29500-1]</w:t>
            </w:r>
            <w:r>
              <w:t xml:space="preserve"> §21.2.2.161; scatterChart (Scatter Charts)")</w:t>
            </w:r>
          </w:p>
        </w:tc>
        <w:tc>
          <w:tcPr>
            <w:tcW w:w="0" w:type="auto"/>
            <w:vAlign w:val="center"/>
          </w:tcPr>
          <w:p w:rsidR="000A156F" w:rsidRDefault="00A9721F">
            <w:pPr>
              <w:pStyle w:val="ListParagraph"/>
              <w:numPr>
                <w:ilvl w:val="0"/>
                <w:numId w:val="159"/>
              </w:numPr>
            </w:pPr>
            <w:r>
              <w:t>•</w:t>
            </w:r>
          </w:p>
        </w:tc>
        <w:tc>
          <w:tcPr>
            <w:tcW w:w="0" w:type="auto"/>
            <w:vAlign w:val="center"/>
          </w:tcPr>
          <w:p w:rsidR="000A156F" w:rsidRDefault="00A9721F">
            <w:pPr>
              <w:pStyle w:val="ListParagraph"/>
              <w:numPr>
                <w:ilvl w:val="0"/>
                <w:numId w:val="160"/>
              </w:numPr>
            </w:pPr>
            <w:r>
              <w:t>•</w:t>
            </w:r>
          </w:p>
        </w:tc>
        <w:tc>
          <w:tcPr>
            <w:tcW w:w="0" w:type="auto"/>
            <w:vAlign w:val="center"/>
          </w:tcPr>
          <w:p w:rsidR="000A156F" w:rsidRDefault="00A9721F">
            <w:pPr>
              <w:pStyle w:val="ListParagraph"/>
              <w:numPr>
                <w:ilvl w:val="0"/>
                <w:numId w:val="161"/>
              </w:numPr>
            </w:pPr>
            <w:r>
              <w:t>•</w:t>
            </w:r>
          </w:p>
        </w:tc>
        <w:tc>
          <w:tcPr>
            <w:tcW w:w="0" w:type="auto"/>
            <w:vAlign w:val="center"/>
          </w:tcPr>
          <w:p w:rsidR="000A156F" w:rsidRDefault="00A9721F">
            <w:pPr>
              <w:pStyle w:val="TableBodyText"/>
            </w:pPr>
            <w:r>
              <w:rPr>
                <w:i/>
              </w:rPr>
              <w:t>gap</w:t>
            </w:r>
          </w:p>
        </w:tc>
      </w:tr>
      <w:tr w:rsidR="000A156F" w:rsidTr="000A156F">
        <w:tc>
          <w:tcPr>
            <w:tcW w:w="0" w:type="auto"/>
            <w:vAlign w:val="center"/>
          </w:tcPr>
          <w:p w:rsidR="000A156F" w:rsidRDefault="00A9721F">
            <w:pPr>
              <w:pStyle w:val="TableBodyText"/>
            </w:pPr>
            <w:r>
              <w:t>("[ISO/IEC-29500-1] §21.2.2.153; radarChart (Radar Charts)")</w:t>
            </w:r>
          </w:p>
        </w:tc>
        <w:tc>
          <w:tcPr>
            <w:tcW w:w="0" w:type="auto"/>
            <w:vAlign w:val="center"/>
          </w:tcPr>
          <w:p w:rsidR="000A156F" w:rsidRDefault="00A9721F">
            <w:pPr>
              <w:pStyle w:val="ListParagraph"/>
              <w:numPr>
                <w:ilvl w:val="0"/>
                <w:numId w:val="162"/>
              </w:numPr>
            </w:pPr>
            <w:r>
              <w:t>•</w:t>
            </w:r>
          </w:p>
        </w:tc>
        <w:tc>
          <w:tcPr>
            <w:tcW w:w="0" w:type="auto"/>
            <w:vAlign w:val="center"/>
          </w:tcPr>
          <w:p w:rsidR="000A156F" w:rsidRDefault="00A9721F">
            <w:pPr>
              <w:pStyle w:val="ListParagraph"/>
              <w:numPr>
                <w:ilvl w:val="0"/>
                <w:numId w:val="163"/>
              </w:numPr>
            </w:pPr>
            <w:r>
              <w:t>•</w:t>
            </w:r>
          </w:p>
        </w:tc>
        <w:tc>
          <w:tcPr>
            <w:tcW w:w="0" w:type="auto"/>
            <w:vAlign w:val="center"/>
          </w:tcPr>
          <w:p w:rsidR="000A156F" w:rsidRDefault="00A9721F">
            <w:pPr>
              <w:pStyle w:val="ListParagraph"/>
              <w:numPr>
                <w:ilvl w:val="0"/>
                <w:numId w:val="164"/>
              </w:numPr>
            </w:pPr>
            <w:r>
              <w:t>•</w:t>
            </w:r>
          </w:p>
        </w:tc>
        <w:tc>
          <w:tcPr>
            <w:tcW w:w="0" w:type="auto"/>
            <w:vAlign w:val="center"/>
          </w:tcPr>
          <w:p w:rsidR="000A156F" w:rsidRDefault="00A9721F">
            <w:pPr>
              <w:pStyle w:val="TableBodyText"/>
            </w:pPr>
            <w:r>
              <w:rPr>
                <w:i/>
              </w:rPr>
              <w:t>gap</w:t>
            </w:r>
          </w:p>
        </w:tc>
      </w:tr>
    </w:tbl>
    <w:p w:rsidR="000A156F" w:rsidRDefault="000A156F"/>
    <w:p w:rsidR="000A156F" w:rsidRDefault="00A9721F">
      <w:r>
        <w:t xml:space="preserve">If a method of displaying blank cells not supported by the chart type is specified, the chart uses its default method of </w:t>
      </w:r>
      <w:r>
        <w:t>displaying blank cells.</w:t>
      </w:r>
    </w:p>
    <w:p w:rsidR="000A156F" w:rsidRDefault="00A9721F">
      <w:pPr>
        <w:pStyle w:val="Heading3"/>
      </w:pPr>
      <w:bookmarkStart w:id="2927" w:name="section_a025f35c26614dd18afdcc79c9784163"/>
      <w:bookmarkStart w:id="2928" w:name="_Toc181684489"/>
      <w:r>
        <w:t>Part 1 Section 21.2.2.43, dispEq (Display Equation)</w:t>
      </w:r>
      <w:bookmarkEnd w:id="2927"/>
      <w:bookmarkEnd w:id="2928"/>
      <w:r>
        <w:fldChar w:fldCharType="begin"/>
      </w:r>
      <w:r>
        <w:instrText xml:space="preserve"> XE "dispEq (Display Equation)" </w:instrText>
      </w:r>
      <w:r>
        <w:fldChar w:fldCharType="end"/>
      </w:r>
    </w:p>
    <w:p w:rsidR="000A156F" w:rsidRDefault="00A9721F">
      <w:pPr>
        <w:pStyle w:val="Definition-Field"/>
      </w:pPr>
      <w:r>
        <w:t xml:space="preserve">a.   </w:t>
      </w:r>
      <w:r>
        <w:rPr>
          <w:i/>
        </w:rPr>
        <w:t>The standard does not state any exceptions that cause the dispEq element to be ignored.</w:t>
      </w:r>
    </w:p>
    <w:p w:rsidR="000A156F" w:rsidRDefault="00A9721F">
      <w:pPr>
        <w:pStyle w:val="Definition-Field2"/>
      </w:pPr>
      <w:r>
        <w:t>Office ignores this element if the trendlineLbl sibli</w:t>
      </w:r>
      <w:r>
        <w:t>ng element contains a tx element or if the value attribute of trendlineType sibling element is equal to movingAvg.</w:t>
      </w:r>
    </w:p>
    <w:p w:rsidR="000A156F" w:rsidRDefault="00A9721F">
      <w:pPr>
        <w:pStyle w:val="Heading3"/>
      </w:pPr>
      <w:bookmarkStart w:id="2929" w:name="section_e70f0d892989462194257749106adbe1"/>
      <w:bookmarkStart w:id="2930" w:name="_Toc181684490"/>
      <w:r>
        <w:t>Part 1 Section 21.2.2.44, dispRSqr (Display R Squared Value)</w:t>
      </w:r>
      <w:bookmarkEnd w:id="2929"/>
      <w:bookmarkEnd w:id="2930"/>
      <w:r>
        <w:fldChar w:fldCharType="begin"/>
      </w:r>
      <w:r>
        <w:instrText xml:space="preserve"> XE "dispRSqr (Display R Squared Value)" </w:instrText>
      </w:r>
      <w:r>
        <w:fldChar w:fldCharType="end"/>
      </w:r>
    </w:p>
    <w:p w:rsidR="000A156F" w:rsidRDefault="00A9721F">
      <w:pPr>
        <w:pStyle w:val="Definition-Field"/>
      </w:pPr>
      <w:r>
        <w:t xml:space="preserve">a.   </w:t>
      </w:r>
      <w:r>
        <w:rPr>
          <w:i/>
        </w:rPr>
        <w:t xml:space="preserve">The standard does not state any </w:t>
      </w:r>
      <w:r>
        <w:rPr>
          <w:i/>
        </w:rPr>
        <w:t>exceptions that cause the dispRSqr element to be ignored.</w:t>
      </w:r>
    </w:p>
    <w:p w:rsidR="000A156F" w:rsidRDefault="00A9721F">
      <w:pPr>
        <w:pStyle w:val="Definition-Field2"/>
      </w:pPr>
      <w:r>
        <w:t>Office ignores this element if the trendlineLbl sibling element contains a tx element or if the val attribute of trendlineType sibling element is equal to movingAvg.</w:t>
      </w:r>
    </w:p>
    <w:p w:rsidR="000A156F" w:rsidRDefault="00A9721F">
      <w:pPr>
        <w:pStyle w:val="Heading3"/>
      </w:pPr>
      <w:bookmarkStart w:id="2931" w:name="section_f4264e4b7a40405da32ce804b2fcaac3"/>
      <w:bookmarkStart w:id="2932" w:name="_Toc181684491"/>
      <w:r>
        <w:t>Part 1 Section 21.2.2.47, dLbl (</w:t>
      </w:r>
      <w:r>
        <w:t>Data Label)</w:t>
      </w:r>
      <w:bookmarkEnd w:id="2931"/>
      <w:bookmarkEnd w:id="2932"/>
      <w:r>
        <w:fldChar w:fldCharType="begin"/>
      </w:r>
      <w:r>
        <w:instrText xml:space="preserve"> XE "dLbl (Data Label)" </w:instrText>
      </w:r>
      <w:r>
        <w:fldChar w:fldCharType="end"/>
      </w:r>
    </w:p>
    <w:p w:rsidR="000A156F" w:rsidRDefault="00A9721F">
      <w:pPr>
        <w:pStyle w:val="Definition-Field"/>
      </w:pPr>
      <w:r>
        <w:t xml:space="preserve">a.   </w:t>
      </w:r>
      <w:r>
        <w:rPr>
          <w:i/>
        </w:rPr>
        <w:t>The standard states that the dLbl element can be a child of any pivotFmt or dLbls element.</w:t>
      </w:r>
    </w:p>
    <w:p w:rsidR="000A156F" w:rsidRDefault="00A9721F">
      <w:pPr>
        <w:pStyle w:val="Definition-Field2"/>
      </w:pPr>
      <w:r>
        <w:lastRenderedPageBreak/>
        <w:t>In Office, this element is only specified if the parent element is a pivotFmt or if the parent element is a dLbls with a s</w:t>
      </w:r>
      <w:r>
        <w:t>eries parent element.</w:t>
      </w:r>
    </w:p>
    <w:p w:rsidR="000A156F" w:rsidRDefault="00A9721F">
      <w:pPr>
        <w:pStyle w:val="Definition-Field"/>
      </w:pPr>
      <w:r>
        <w:t xml:space="preserve">b.   </w:t>
      </w:r>
      <w:r>
        <w:rPr>
          <w:i/>
        </w:rPr>
        <w:t>The standard does not state any exceptions that cause child elements of the dLbl element to be ignored.</w:t>
      </w:r>
    </w:p>
    <w:p w:rsidR="000A156F" w:rsidRDefault="00A9721F">
      <w:pPr>
        <w:pStyle w:val="Definition-Field2"/>
      </w:pPr>
      <w:r>
        <w:t>Office ignores the numFmt, separator, showBubbleSize, showCatName, showPercent, showSerName, and showVal child elements if th</w:t>
      </w:r>
      <w:r>
        <w:t>is element contains a tx child element.</w:t>
      </w:r>
    </w:p>
    <w:p w:rsidR="000A156F" w:rsidRDefault="00A9721F">
      <w:pPr>
        <w:pStyle w:val="Heading3"/>
      </w:pPr>
      <w:bookmarkStart w:id="2933" w:name="section_e2b1697c7adc463d90813daef72f656f"/>
      <w:bookmarkStart w:id="2934" w:name="_Toc181684492"/>
      <w:r>
        <w:t>Part 1 Section 21.2.2.48, dLblPos (Data Label Position)</w:t>
      </w:r>
      <w:bookmarkEnd w:id="2933"/>
      <w:bookmarkEnd w:id="2934"/>
      <w:r>
        <w:fldChar w:fldCharType="begin"/>
      </w:r>
      <w:r>
        <w:instrText xml:space="preserve"> XE "dLblPos (Data Label Position)" </w:instrText>
      </w:r>
      <w:r>
        <w:fldChar w:fldCharType="end"/>
      </w:r>
    </w:p>
    <w:p w:rsidR="000A156F" w:rsidRDefault="00A9721F">
      <w:pPr>
        <w:pStyle w:val="Definition-Field"/>
      </w:pPr>
      <w:r>
        <w:t xml:space="preserve">a.   </w:t>
      </w:r>
      <w:r>
        <w:rPr>
          <w:i/>
        </w:rPr>
        <w:t>The standard places no restriction on @val beyond ST_DLblPos.</w:t>
      </w:r>
    </w:p>
    <w:p w:rsidR="000A156F" w:rsidRDefault="00A9721F">
      <w:r>
        <w:t xml:space="preserve">In Office, if the ancestor does not include a </w:t>
      </w:r>
      <w:r>
        <w:rPr>
          <w:b/>
        </w:rPr>
        <w:t>ser</w:t>
      </w:r>
      <w:r>
        <w:t xml:space="preserve"> eleme</w:t>
      </w:r>
      <w:r>
        <w:t xml:space="preserve">nt any position value is allowed. However, if a </w:t>
      </w:r>
      <w:r>
        <w:rPr>
          <w:b/>
        </w:rPr>
        <w:t>ser</w:t>
      </w:r>
      <w:r>
        <w:t xml:space="preserve"> element is an ancestor the following rules apply based on the chart group ancestor:</w:t>
      </w:r>
    </w:p>
    <w:p w:rsidR="000A156F" w:rsidRDefault="00A9721F">
      <w:pPr>
        <w:pStyle w:val="ListParagraph"/>
        <w:numPr>
          <w:ilvl w:val="0"/>
          <w:numId w:val="165"/>
        </w:numPr>
        <w:contextualSpacing/>
      </w:pPr>
      <w:r>
        <w:t xml:space="preserve">For chart groups </w:t>
      </w:r>
      <w:r>
        <w:rPr>
          <w:b/>
        </w:rPr>
        <w:t xml:space="preserve">ofPieChart </w:t>
      </w:r>
      <w:r>
        <w:t>("</w:t>
      </w:r>
      <w:hyperlink r:id="rId218">
        <w:r>
          <w:rPr>
            <w:rStyle w:val="Hyperlink"/>
          </w:rPr>
          <w:t>[ISO/IEC-29500-1]</w:t>
        </w:r>
      </w:hyperlink>
      <w:r>
        <w:t xml:space="preserve"> §21.2.2.126; ofPieChart (Pie of Pie or Bar of Pie Charts)"), </w:t>
      </w:r>
      <w:r>
        <w:rPr>
          <w:b/>
        </w:rPr>
        <w:t xml:space="preserve">pie3DChart </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BestFit</w:t>
      </w:r>
      <w:r>
        <w:t xml:space="preserve">, </w:t>
      </w:r>
      <w:r>
        <w:rPr>
          <w:i/>
        </w:rPr>
        <w:t>OutsideEnd</w:t>
      </w:r>
      <w:r>
        <w:t xml:space="preserve">, </w:t>
      </w:r>
      <w:r>
        <w:rPr>
          <w:i/>
        </w:rPr>
        <w:t>Insid</w:t>
      </w:r>
      <w:r>
        <w:rPr>
          <w:i/>
        </w:rPr>
        <w:t>eEnd</w:t>
      </w:r>
      <w:r>
        <w:t xml:space="preserve">, </w:t>
      </w:r>
      <w:r>
        <w:rPr>
          <w:i/>
        </w:rPr>
        <w:t>Center</w:t>
      </w:r>
      <w:r>
        <w:t>.</w:t>
      </w:r>
    </w:p>
    <w:p w:rsidR="000A156F" w:rsidRDefault="00A9721F">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0A156F" w:rsidRDefault="00A9721F">
      <w:pPr>
        <w:pStyle w:val="ListParagraph"/>
        <w:numPr>
          <w:ilvl w:val="0"/>
          <w:numId w:val="165"/>
        </w:numPr>
        <w:contextualSpacing/>
      </w:pPr>
      <w:r>
        <w:t xml:space="preserve">For the chart groups </w:t>
      </w:r>
      <w:r>
        <w:rPr>
          <w:b/>
        </w:rPr>
        <w:t>barChart</w:t>
      </w:r>
      <w:r>
        <w:t xml:space="preserve"> ("[ISO/IEC-29500-1] §21.2.2.16;</w:t>
      </w:r>
      <w:r>
        <w:t xml:space="preserve">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rsidR="000A156F" w:rsidRDefault="00A9721F">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("[ISO/IEC-29500-1]</w:t>
      </w:r>
      <w:r>
        <w:t xml:space="preserve"> §21.2.2.97; lineChart (Line Charts)"), </w:t>
      </w:r>
      <w:r>
        <w:rPr>
          <w:b/>
        </w:rPr>
        <w:t xml:space="preserve">scatterChart </w:t>
      </w:r>
      <w:r>
        <w:t xml:space="preserve">("[ISO/IEC-29500-1] §21.2.2.161; 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0A156F" w:rsidRDefault="00A9721F">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 xml:space="preserve">("[ISO/IEC-29500-1] §21.2.2.15; bar3DChart (3D Bar Charts)"), </w:t>
      </w:r>
      <w:r>
        <w:rPr>
          <w:b/>
        </w:rPr>
        <w:t xml:space="preserve">doughnutChart </w:t>
      </w:r>
      <w:r>
        <w:t>("[ISO/IE</w:t>
      </w:r>
      <w:r>
        <w:t xml:space="preserve">C-29500-1] §21.2.2.50; doughnutChart (Doughnut Charts)"), </w:t>
      </w:r>
      <w:r>
        <w:rPr>
          <w:b/>
        </w:rPr>
        <w:t xml:space="preserve">line3DChart </w:t>
      </w:r>
      <w:r>
        <w:t xml:space="preserve">("[ISO/IEC-29500-1] §21.2.2.96; line3DChart (3D Line Charts)"), </w:t>
      </w:r>
      <w:r>
        <w:rPr>
          <w:b/>
        </w:rPr>
        <w:t>radarChart</w:t>
      </w:r>
      <w:r>
        <w:t xml:space="preserve"> ("[ISO/IEC-29500-1] §21.2.2.153; radarChart (Radar Charts)") this element shall not be specified.</w:t>
      </w:r>
    </w:p>
    <w:p w:rsidR="000A156F" w:rsidRDefault="00A9721F">
      <w:pPr>
        <w:pStyle w:val="Definition-Field"/>
      </w:pPr>
      <w:r>
        <w:t xml:space="preserve">b.   </w:t>
      </w:r>
      <w:r>
        <w:rPr>
          <w:i/>
        </w:rPr>
        <w:t>The stan</w:t>
      </w:r>
      <w:r>
        <w:rPr>
          <w:i/>
        </w:rPr>
        <w:t>dard does not define the behavior when the dLblPos element is omitted.</w:t>
      </w:r>
    </w:p>
    <w:p w:rsidR="000A156F" w:rsidRDefault="00A9721F">
      <w:r>
        <w:t>For Office, the following lists the chart types and their default position based on the chart group ancestor:</w:t>
      </w:r>
    </w:p>
    <w:p w:rsidR="000A156F" w:rsidRDefault="00A9721F">
      <w:pPr>
        <w:pStyle w:val="ListParagraph"/>
        <w:numPr>
          <w:ilvl w:val="0"/>
          <w:numId w:val="166"/>
        </w:numPr>
        <w:contextualSpacing/>
      </w:pPr>
      <w:r>
        <w:t xml:space="preserve">For chart groups </w:t>
      </w:r>
      <w:r>
        <w:rPr>
          <w:b/>
        </w:rPr>
        <w:t xml:space="preserve">ofPieChart </w:t>
      </w:r>
      <w:r>
        <w:t>("[ISO/IEC-29500-1] §21.2.2.126; ofPieChart (Pi</w:t>
      </w:r>
      <w:r>
        <w:t xml:space="preserve">e of Pie or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 xml:space="preserve">the automatic position is </w:t>
      </w:r>
      <w:r>
        <w:rPr>
          <w:i/>
        </w:rPr>
        <w:t>BestFit</w:t>
      </w:r>
      <w:r>
        <w:t>.</w:t>
      </w:r>
    </w:p>
    <w:p w:rsidR="000A156F" w:rsidRDefault="00A9721F">
      <w:pPr>
        <w:pStyle w:val="ListParagraph"/>
        <w:numPr>
          <w:ilvl w:val="0"/>
          <w:numId w:val="166"/>
        </w:numPr>
        <w:contextualSpacing/>
      </w:pPr>
      <w:r>
        <w:t xml:space="preserve">For chart groups </w:t>
      </w:r>
      <w:r>
        <w:rPr>
          <w:b/>
        </w:rPr>
        <w:t xml:space="preserve">areaChart </w:t>
      </w:r>
      <w:r>
        <w:t>"[ISO/IEC-29500-</w:t>
      </w:r>
      <w:r>
        <w:t xml:space="preserve">1] §21.2.2.5; areaChart (Area Charts)"), </w:t>
      </w:r>
      <w:r>
        <w:rPr>
          <w:b/>
        </w:rPr>
        <w:t xml:space="preserve">area3DChart </w:t>
      </w:r>
      <w:r>
        <w:t xml:space="preserve">("[ISO/IEC-29500-1] §21.2.2.4; area3DChart (3D Area Charts)"), and </w:t>
      </w:r>
      <w:r>
        <w:rPr>
          <w:b/>
        </w:rPr>
        <w:t xml:space="preserve">doughnutChart </w:t>
      </w:r>
      <w:r>
        <w:t>("[ISO/IEC-29500-1] §21.2.2.50; doughnutChart (Doughnut Charts)")</w:t>
      </w:r>
      <w:r>
        <w:rPr>
          <w:b/>
        </w:rPr>
        <w:t xml:space="preserve"> </w:t>
      </w:r>
      <w:r>
        <w:t xml:space="preserve">the automatic position is </w:t>
      </w:r>
      <w:r>
        <w:rPr>
          <w:i/>
        </w:rPr>
        <w:t>Center</w:t>
      </w:r>
      <w:r>
        <w:t>.</w:t>
      </w:r>
    </w:p>
    <w:p w:rsidR="000A156F" w:rsidRDefault="00A9721F">
      <w:pPr>
        <w:pStyle w:val="ListParagraph"/>
        <w:numPr>
          <w:ilvl w:val="0"/>
          <w:numId w:val="166"/>
        </w:numPr>
        <w:contextualSpacing/>
      </w:pPr>
      <w:r>
        <w:t xml:space="preserve">For chart groups </w:t>
      </w:r>
      <w:r>
        <w:rPr>
          <w:b/>
        </w:rPr>
        <w:t>barCh</w:t>
      </w:r>
      <w:r>
        <w:rPr>
          <w:b/>
        </w:rPr>
        <w:t xml:space="preserve">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0A156F" w:rsidRDefault="00A9721F">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 xml:space="preserve">("[ISO/IEC-29500-1] §21.2.2.153; radarChart (Radar Charts)") the automatic position is </w:t>
      </w:r>
      <w:r>
        <w:rPr>
          <w:i/>
        </w:rPr>
        <w:t>OutsideEnd</w:t>
      </w:r>
      <w:r>
        <w:t>.</w:t>
      </w:r>
    </w:p>
    <w:p w:rsidR="000A156F" w:rsidRDefault="00A9721F">
      <w:pPr>
        <w:pStyle w:val="ListParagraph"/>
        <w:numPr>
          <w:ilvl w:val="0"/>
          <w:numId w:val="166"/>
        </w:numPr>
      </w:pPr>
      <w:r>
        <w:t xml:space="preserve">For chart groups </w:t>
      </w:r>
      <w:r>
        <w:rPr>
          <w:b/>
        </w:rPr>
        <w:t xml:space="preserve">bubbleChart </w:t>
      </w:r>
      <w:r>
        <w:t>("[ISO/IEC-29500-1] §21.2.2.20; bubbleCh</w:t>
      </w:r>
      <w:r>
        <w:t xml:space="preserve">art (Bubble Charts)"), </w:t>
      </w:r>
      <w:r>
        <w:rPr>
          <w:b/>
        </w:rPr>
        <w:t xml:space="preserve">scatterChart </w:t>
      </w:r>
      <w:r>
        <w:t xml:space="preserve">("[ISO/IEC-29500-1] §21.2.2.161; scatterChart (Scatter Charts)"), </w:t>
      </w:r>
      <w:r>
        <w:rPr>
          <w:b/>
        </w:rPr>
        <w:t xml:space="preserve">stockChart </w:t>
      </w:r>
      <w:r>
        <w:lastRenderedPageBreak/>
        <w:t xml:space="preserve">("[ISO/IEC-29500-1] §21.2.2.161; scatterChart (Scatter Charts)"), </w:t>
      </w:r>
      <w:r>
        <w:rPr>
          <w:b/>
        </w:rPr>
        <w:t xml:space="preserve">lineChart </w:t>
      </w:r>
      <w:r>
        <w:t xml:space="preserve">("[ISO/IEC-29500-1] §21.2.2.97; lineChart (Line Charts)"), and </w:t>
      </w:r>
      <w:r>
        <w:rPr>
          <w:b/>
        </w:rPr>
        <w:t xml:space="preserve">line3DChart </w:t>
      </w:r>
      <w:r>
        <w:t>("[ISO/IEC-29500-1] §21.2.2.96; line3DChart (3D Line Charts)")</w:t>
      </w:r>
      <w:r>
        <w:rPr>
          <w:b/>
        </w:rPr>
        <w:t xml:space="preserve"> </w:t>
      </w:r>
      <w:r>
        <w:t xml:space="preserve">the automatic position is </w:t>
      </w:r>
      <w:r>
        <w:rPr>
          <w:i/>
        </w:rPr>
        <w:t>Right</w:t>
      </w:r>
      <w:r>
        <w:t>.</w:t>
      </w:r>
    </w:p>
    <w:p w:rsidR="000A156F" w:rsidRDefault="00A9721F">
      <w:pPr>
        <w:pStyle w:val="Heading3"/>
      </w:pPr>
      <w:bookmarkStart w:id="2935" w:name="section_953e587980084d14a8bcfbe39d848e0a"/>
      <w:bookmarkStart w:id="2936" w:name="_Toc181684493"/>
      <w:r>
        <w:t>Part 1 Section 21.2.2.49, dLbls (Data Labels)</w:t>
      </w:r>
      <w:bookmarkEnd w:id="2935"/>
      <w:bookmarkEnd w:id="2936"/>
      <w:r>
        <w:fldChar w:fldCharType="begin"/>
      </w:r>
      <w:r>
        <w:instrText xml:space="preserve"> XE "dLbls (Data Labels)" </w:instrText>
      </w:r>
      <w:r>
        <w:fldChar w:fldCharType="end"/>
      </w:r>
    </w:p>
    <w:p w:rsidR="000A156F" w:rsidRDefault="00A9721F">
      <w:pPr>
        <w:pStyle w:val="Definition-Field"/>
      </w:pPr>
      <w:r>
        <w:t xml:space="preserve">a.   </w:t>
      </w:r>
      <w:r>
        <w:rPr>
          <w:i/>
        </w:rPr>
        <w:t>The standard does not place any restrictions on when the child elemen</w:t>
      </w:r>
      <w:r>
        <w:rPr>
          <w:i/>
        </w:rPr>
        <w:t>ts of the dLbls element can be specified.</w:t>
      </w:r>
    </w:p>
    <w:p w:rsidR="000A156F" w:rsidRDefault="00A9721F">
      <w:pPr>
        <w:pStyle w:val="Definition-Field2"/>
      </w:pPr>
      <w:r>
        <w:t>Office does not allow delete, dLbl, leaderLines, numFmt, showLeaderLines, spPr or txPr child elements when the parent is not ser.</w:t>
      </w:r>
    </w:p>
    <w:p w:rsidR="000A156F" w:rsidRDefault="00A9721F">
      <w:pPr>
        <w:pStyle w:val="Definition-Field"/>
      </w:pPr>
      <w:r>
        <w:t xml:space="preserve">b.   </w:t>
      </w:r>
      <w:r>
        <w:rPr>
          <w:i/>
        </w:rPr>
        <w:t>The standard does not specify an override behavior for data labels.</w:t>
      </w:r>
    </w:p>
    <w:p w:rsidR="000A156F" w:rsidRDefault="00A9721F">
      <w:pPr>
        <w:pStyle w:val="Definition-Field2"/>
      </w:pPr>
      <w:r>
        <w:t>Office inte</w:t>
      </w:r>
      <w:r>
        <w:t>rprets data labels to have a hierarchical order of overrides.  A dLbls child element of a series overrides the dLbls element of the ancestor chart group.  A dLbl element overrides the dLbls element of the ancestor series or chart group.</w:t>
      </w:r>
    </w:p>
    <w:p w:rsidR="000A156F" w:rsidRDefault="00A9721F">
      <w:pPr>
        <w:pStyle w:val="Heading3"/>
      </w:pPr>
      <w:bookmarkStart w:id="2937" w:name="section_715e20be5789467db9ec5a39ae8a307b"/>
      <w:bookmarkStart w:id="2938" w:name="_Toc181684494"/>
      <w:r>
        <w:t>Part 1 Section 21.2</w:t>
      </w:r>
      <w:r>
        <w:t>.2.50, doughnutChart (Doughnut Charts)</w:t>
      </w:r>
      <w:bookmarkEnd w:id="2937"/>
      <w:bookmarkEnd w:id="2938"/>
      <w:r>
        <w:fldChar w:fldCharType="begin"/>
      </w:r>
      <w:r>
        <w:instrText xml:space="preserve"> XE "doughnutChart (Doughnut Charts)" </w:instrText>
      </w:r>
      <w:r>
        <w:fldChar w:fldCharType="end"/>
      </w:r>
    </w:p>
    <w:p w:rsidR="000A156F" w:rsidRDefault="00A9721F">
      <w:pPr>
        <w:pStyle w:val="Definition-Field"/>
      </w:pPr>
      <w:r>
        <w:t xml:space="preserve">a.   </w:t>
      </w:r>
      <w:r>
        <w:rPr>
          <w:i/>
        </w:rPr>
        <w:t>The standard states that the minOccurs value for the holeSize child element is 0.</w:t>
      </w:r>
    </w:p>
    <w:p w:rsidR="000A156F" w:rsidRDefault="00A9721F">
      <w:pPr>
        <w:pStyle w:val="Definition-Field2"/>
      </w:pPr>
      <w:r>
        <w:t>Office requires an occurrence of this element.</w:t>
      </w:r>
    </w:p>
    <w:p w:rsidR="000A156F" w:rsidRDefault="00A9721F">
      <w:pPr>
        <w:pStyle w:val="Heading3"/>
      </w:pPr>
      <w:bookmarkStart w:id="2939" w:name="section_31439ccabd5c45fa9c75a12b55c1d15f"/>
      <w:bookmarkStart w:id="2940" w:name="_Toc181684495"/>
      <w:r>
        <w:t>Part 1 Section 21.2.2.55, errBars (Error Ba</w:t>
      </w:r>
      <w:r>
        <w:t>rs)</w:t>
      </w:r>
      <w:bookmarkEnd w:id="2939"/>
      <w:bookmarkEnd w:id="2940"/>
      <w:r>
        <w:fldChar w:fldCharType="begin"/>
      </w:r>
      <w:r>
        <w:instrText xml:space="preserve"> XE "errBars (Error Bars)" </w:instrText>
      </w:r>
      <w:r>
        <w:fldChar w:fldCharType="end"/>
      </w:r>
    </w:p>
    <w:p w:rsidR="000A156F" w:rsidRDefault="00A9721F">
      <w:pPr>
        <w:pStyle w:val="Definition-Field"/>
      </w:pPr>
      <w:r>
        <w:t xml:space="preserve">a.   </w:t>
      </w:r>
      <w:r>
        <w:rPr>
          <w:i/>
        </w:rPr>
        <w:t>The standard does not state any exceptions that cause the errBars element to be ignored.</w:t>
      </w:r>
    </w:p>
    <w:p w:rsidR="000A156F" w:rsidRDefault="00A9721F">
      <w:pPr>
        <w:pStyle w:val="Definition-Field2"/>
      </w:pPr>
      <w:r>
        <w:t>Office ignores this element if the chart is a 3D style chart.</w:t>
      </w:r>
    </w:p>
    <w:p w:rsidR="000A156F" w:rsidRDefault="00A9721F">
      <w:pPr>
        <w:pStyle w:val="Heading3"/>
      </w:pPr>
      <w:bookmarkStart w:id="2941" w:name="section_761c5fad51b2473984b9087b034ff117"/>
      <w:bookmarkStart w:id="2942" w:name="_Toc181684496"/>
      <w:r>
        <w:t>Part 1 Section 21.2.2.56, errBarType (Error Bar Type)</w:t>
      </w:r>
      <w:bookmarkEnd w:id="2941"/>
      <w:bookmarkEnd w:id="2942"/>
      <w:r>
        <w:fldChar w:fldCharType="begin"/>
      </w:r>
      <w:r>
        <w:instrText xml:space="preserve"> XE "errBarTyp</w:instrText>
      </w:r>
      <w:r>
        <w:instrText xml:space="preserve">e (Error Bar Type)"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Office requires this attribute.</w:t>
      </w:r>
    </w:p>
    <w:p w:rsidR="000A156F" w:rsidRDefault="00A9721F">
      <w:pPr>
        <w:pStyle w:val="Heading3"/>
      </w:pPr>
      <w:bookmarkStart w:id="2943" w:name="section_d68b40e07ab7477d986d84201e67a2d0"/>
      <w:bookmarkStart w:id="2944" w:name="_Toc181684497"/>
      <w:r>
        <w:t>Part 1 Section 21.2.2.57, errDir (Error Bar Direction)</w:t>
      </w:r>
      <w:bookmarkEnd w:id="2943"/>
      <w:bookmarkEnd w:id="2944"/>
      <w:r>
        <w:fldChar w:fldCharType="begin"/>
      </w:r>
      <w:r>
        <w:instrText xml:space="preserve"> XE "errDir (Error Bar Direction)" </w:instrText>
      </w:r>
      <w:r>
        <w:fldChar w:fldCharType="end"/>
      </w:r>
    </w:p>
    <w:p w:rsidR="000A156F" w:rsidRDefault="00A9721F">
      <w:pPr>
        <w:pStyle w:val="Definition-Field"/>
      </w:pPr>
      <w:r>
        <w:t xml:space="preserve">a.   </w:t>
      </w:r>
      <w:r>
        <w:rPr>
          <w:i/>
        </w:rPr>
        <w:t xml:space="preserve">The standard does not define the behavior </w:t>
      </w:r>
      <w:r>
        <w:rPr>
          <w:i/>
        </w:rPr>
        <w:t>when the errDir element is omitted.</w:t>
      </w:r>
    </w:p>
    <w:p w:rsidR="000A156F" w:rsidRDefault="00A9721F">
      <w:pPr>
        <w:pStyle w:val="Definition-Field2"/>
      </w:pPr>
      <w:r>
        <w:t>In Office, if this element is not defined the default behavior is x for horizontal bar charts. For all other chart types, the default behavior is y.</w:t>
      </w:r>
    </w:p>
    <w:p w:rsidR="000A156F" w:rsidRDefault="00A9721F">
      <w:pPr>
        <w:pStyle w:val="Definition-Field"/>
      </w:pPr>
      <w:r>
        <w:t xml:space="preserve">b.   </w:t>
      </w:r>
      <w:r>
        <w:rPr>
          <w:i/>
        </w:rPr>
        <w:t>The standard states errDir can be a child of any errBars element.</w:t>
      </w:r>
    </w:p>
    <w:p w:rsidR="000A156F" w:rsidRDefault="00A9721F">
      <w:pPr>
        <w:pStyle w:val="Definition-Field2"/>
      </w:pPr>
      <w:r>
        <w:t>Office loads and respects this element on any errBars parent element; however, this element is only saved back out on line or scatter series.</w:t>
      </w:r>
    </w:p>
    <w:p w:rsidR="000A156F" w:rsidRDefault="00A9721F">
      <w:pPr>
        <w:pStyle w:val="Heading3"/>
      </w:pPr>
      <w:bookmarkStart w:id="2945" w:name="section_a8d73708564d4e71ba083b7b1f405ea8"/>
      <w:bookmarkStart w:id="2946" w:name="_Toc181684498"/>
      <w:r>
        <w:t>Part 1 Section 21.2.2.58, errValType (Error Bar Value Type)</w:t>
      </w:r>
      <w:bookmarkEnd w:id="2945"/>
      <w:bookmarkEnd w:id="2946"/>
      <w:r>
        <w:fldChar w:fldCharType="begin"/>
      </w:r>
      <w:r>
        <w:instrText xml:space="preserve"> XE "errValType (Error Bar Value Type)" </w:instrText>
      </w:r>
      <w:r>
        <w:fldChar w:fldCharType="end"/>
      </w:r>
    </w:p>
    <w:p w:rsidR="000A156F" w:rsidRDefault="00A9721F">
      <w:pPr>
        <w:pStyle w:val="Definition-Field"/>
      </w:pPr>
      <w:r>
        <w:t xml:space="preserve">a.   </w:t>
      </w:r>
      <w:r>
        <w:rPr>
          <w:i/>
        </w:rPr>
        <w:t>The sta</w:t>
      </w:r>
      <w:r>
        <w:rPr>
          <w:i/>
        </w:rPr>
        <w:t>ndard implies that the val attribute is optional.</w:t>
      </w:r>
    </w:p>
    <w:p w:rsidR="000A156F" w:rsidRDefault="00A9721F">
      <w:pPr>
        <w:pStyle w:val="Definition-Field2"/>
      </w:pPr>
      <w:r>
        <w:t>Office requires this attribute.</w:t>
      </w:r>
    </w:p>
    <w:p w:rsidR="000A156F" w:rsidRDefault="00A9721F">
      <w:pPr>
        <w:pStyle w:val="Heading3"/>
      </w:pPr>
      <w:bookmarkStart w:id="2947" w:name="section_0564e12cacce44e9bbda4dd76edd2f07"/>
      <w:bookmarkStart w:id="2948" w:name="_Toc181684499"/>
      <w:r>
        <w:t>Part 1 Section 21.2.2.59, evenFooter (Even Footer)</w:t>
      </w:r>
      <w:bookmarkEnd w:id="2947"/>
      <w:bookmarkEnd w:id="2948"/>
      <w:r>
        <w:fldChar w:fldCharType="begin"/>
      </w:r>
      <w:r>
        <w:instrText xml:space="preserve"> XE "evenFooter (Even Footer)" </w:instrText>
      </w:r>
      <w:r>
        <w:fldChar w:fldCharType="end"/>
      </w:r>
    </w:p>
    <w:p w:rsidR="000A156F" w:rsidRDefault="00A9721F">
      <w:pPr>
        <w:pStyle w:val="Definition-Field"/>
      </w:pPr>
      <w:r>
        <w:t xml:space="preserve">a.   </w:t>
      </w:r>
      <w:r>
        <w:rPr>
          <w:i/>
        </w:rPr>
        <w:t>The standard does not state any exceptions that cause the evenFooter element to be ig</w:t>
      </w:r>
      <w:r>
        <w:rPr>
          <w:i/>
        </w:rPr>
        <w:t>nored.</w:t>
      </w:r>
    </w:p>
    <w:p w:rsidR="000A156F" w:rsidRDefault="00A9721F">
      <w:pPr>
        <w:pStyle w:val="Definition-Field2"/>
      </w:pPr>
      <w:r>
        <w:lastRenderedPageBreak/>
        <w:t>Office ignores this element if the val attribute of the differentOddEven sibling element is not set to true.</w:t>
      </w:r>
    </w:p>
    <w:p w:rsidR="000A156F" w:rsidRDefault="00A9721F">
      <w:pPr>
        <w:pStyle w:val="Definition-Field"/>
      </w:pPr>
      <w:r>
        <w:t xml:space="preserve">b.   </w:t>
      </w:r>
      <w:r>
        <w:rPr>
          <w:i/>
        </w:rPr>
        <w:t>The standard states that the evenFooter element is of type ST_XString.</w:t>
      </w:r>
    </w:p>
    <w:p w:rsidR="000A156F" w:rsidRDefault="00A9721F">
      <w:pPr>
        <w:pStyle w:val="Definition-Field2"/>
      </w:pPr>
      <w:r>
        <w:t>Office does not attempt to decode the character escape sequences</w:t>
      </w:r>
      <w:r>
        <w:t xml:space="preserve"> defined in ST_XString.</w:t>
      </w:r>
    </w:p>
    <w:p w:rsidR="000A156F" w:rsidRDefault="00A9721F">
      <w:pPr>
        <w:pStyle w:val="Heading3"/>
      </w:pPr>
      <w:bookmarkStart w:id="2949" w:name="section_0b142db5aa0143b6b2282cd3f8ac3c1a"/>
      <w:bookmarkStart w:id="2950" w:name="_Toc181684500"/>
      <w:r>
        <w:t>Part 1 Section 21.2.2.60, evenHeader (Even Header)</w:t>
      </w:r>
      <w:bookmarkEnd w:id="2949"/>
      <w:bookmarkEnd w:id="2950"/>
      <w:r>
        <w:fldChar w:fldCharType="begin"/>
      </w:r>
      <w:r>
        <w:instrText xml:space="preserve"> XE "evenHeader (Even Header)" </w:instrText>
      </w:r>
      <w:r>
        <w:fldChar w:fldCharType="end"/>
      </w:r>
    </w:p>
    <w:p w:rsidR="000A156F" w:rsidRDefault="00A9721F">
      <w:pPr>
        <w:pStyle w:val="Definition-Field"/>
      </w:pPr>
      <w:r>
        <w:t xml:space="preserve">a.   </w:t>
      </w:r>
      <w:r>
        <w:rPr>
          <w:i/>
        </w:rPr>
        <w:t>The standard does not state any exceptions that cause the evenHeader element to be ignored.</w:t>
      </w:r>
    </w:p>
    <w:p w:rsidR="000A156F" w:rsidRDefault="00A9721F">
      <w:pPr>
        <w:pStyle w:val="Definition-Field2"/>
      </w:pPr>
      <w:r>
        <w:t>Office ignores this element if the val attribute of</w:t>
      </w:r>
      <w:r>
        <w:t xml:space="preserve"> the differentOddEven sibling element is not set to true.</w:t>
      </w:r>
    </w:p>
    <w:p w:rsidR="000A156F" w:rsidRDefault="00A9721F">
      <w:pPr>
        <w:pStyle w:val="Definition-Field"/>
      </w:pPr>
      <w:r>
        <w:t xml:space="preserve">b.   </w:t>
      </w:r>
      <w:r>
        <w:rPr>
          <w:i/>
        </w:rPr>
        <w:t>The standard states that the evenHeader element is of type ST_XString.</w:t>
      </w:r>
    </w:p>
    <w:p w:rsidR="000A156F" w:rsidRDefault="00A9721F">
      <w:pPr>
        <w:pStyle w:val="Definition-Field2"/>
      </w:pPr>
      <w:r>
        <w:t>Office does not attempt to decode the character escape sequences defined in ST_XString.</w:t>
      </w:r>
    </w:p>
    <w:p w:rsidR="000A156F" w:rsidRDefault="00A9721F">
      <w:pPr>
        <w:pStyle w:val="Heading3"/>
      </w:pPr>
      <w:bookmarkStart w:id="2951" w:name="section_cd1772e1ff694c5881e1793baa9fe54c"/>
      <w:bookmarkStart w:id="2952" w:name="_Toc181684501"/>
      <w:r>
        <w:t>Part 1 Section 21.2.2.61, explosio</w:t>
      </w:r>
      <w:r>
        <w:t>n (Explosion)</w:t>
      </w:r>
      <w:bookmarkEnd w:id="2951"/>
      <w:bookmarkEnd w:id="2952"/>
      <w:r>
        <w:fldChar w:fldCharType="begin"/>
      </w:r>
      <w:r>
        <w:instrText xml:space="preserve"> XE "explosion (Explosion)" </w:instrText>
      </w:r>
      <w:r>
        <w:fldChar w:fldCharType="end"/>
      </w:r>
    </w:p>
    <w:p w:rsidR="000A156F" w:rsidRDefault="00A9721F">
      <w:pPr>
        <w:pStyle w:val="Definition-Field"/>
      </w:pPr>
      <w:r>
        <w:t xml:space="preserve">a.   </w:t>
      </w:r>
      <w:r>
        <w:rPr>
          <w:i/>
        </w:rPr>
        <w:t>The standard states that the values of the val attribute are defined by the XML Schema unsignedInt datatype.</w:t>
      </w:r>
    </w:p>
    <w:p w:rsidR="000A156F" w:rsidRDefault="00A9721F">
      <w:pPr>
        <w:pStyle w:val="Definition-Field2"/>
      </w:pPr>
      <w:r>
        <w:t>Office restricts the value of this attribute to be at most 2147483647.</w:t>
      </w:r>
    </w:p>
    <w:p w:rsidR="000A156F" w:rsidRDefault="00A9721F">
      <w:pPr>
        <w:pStyle w:val="Heading3"/>
      </w:pPr>
      <w:bookmarkStart w:id="2953" w:name="section_3749a6907ce74cf0897acb98f767dd91"/>
      <w:bookmarkStart w:id="2954" w:name="_Toc181684502"/>
      <w:r>
        <w:t>Part 1 Section 21.2.2.63, externalData (External Data Relationship)</w:t>
      </w:r>
      <w:bookmarkEnd w:id="2953"/>
      <w:bookmarkEnd w:id="2954"/>
      <w:r>
        <w:fldChar w:fldCharType="begin"/>
      </w:r>
      <w:r>
        <w:instrText xml:space="preserve"> XE "externalData (External Data Relationship)" </w:instrText>
      </w:r>
      <w:r>
        <w:fldChar w:fldCharType="end"/>
      </w:r>
    </w:p>
    <w:p w:rsidR="000A156F" w:rsidRDefault="00A9721F">
      <w:pPr>
        <w:pStyle w:val="Definition-Field"/>
      </w:pPr>
      <w:r>
        <w:t xml:space="preserve">a.   </w:t>
      </w:r>
      <w:r>
        <w:rPr>
          <w:i/>
        </w:rPr>
        <w:t>The standard states the relationship explicitly targeted by the id attribute shall be of type http://schemas.openxmlformats.org/offic</w:t>
      </w:r>
      <w:r>
        <w:rPr>
          <w:i/>
        </w:rPr>
        <w:t>eDocument/2006/relationships/package.</w:t>
      </w:r>
    </w:p>
    <w:p w:rsidR="000A156F" w:rsidRDefault="00A9721F">
      <w:pPr>
        <w:pStyle w:val="Definition-Field2"/>
      </w:pPr>
      <w:r>
        <w:t>In Office, the relationship specified by the id attribute shall be present in the set of relationships associated with the chart’s part in the package.</w:t>
      </w:r>
    </w:p>
    <w:p w:rsidR="000A156F" w:rsidRDefault="00A9721F">
      <w:pPr>
        <w:pStyle w:val="Heading3"/>
      </w:pPr>
      <w:bookmarkStart w:id="2955" w:name="section_49f95e2f04914f4cb552091b1fb6d822"/>
      <w:bookmarkStart w:id="2956" w:name="_Toc181684503"/>
      <w:r>
        <w:t>Part 1 Section 21.2.2.65, f (Formula)</w:t>
      </w:r>
      <w:bookmarkEnd w:id="2955"/>
      <w:bookmarkEnd w:id="2956"/>
      <w:r>
        <w:fldChar w:fldCharType="begin"/>
      </w:r>
      <w:r>
        <w:instrText xml:space="preserve"> XE "f (Formula)" </w:instrText>
      </w:r>
      <w:r>
        <w:fldChar w:fldCharType="end"/>
      </w:r>
    </w:p>
    <w:p w:rsidR="000A156F" w:rsidRDefault="00A9721F">
      <w:pPr>
        <w:pStyle w:val="Definition-Field"/>
      </w:pPr>
      <w:r>
        <w:t xml:space="preserve">a.   </w:t>
      </w:r>
      <w:r>
        <w:rPr>
          <w:i/>
        </w:rPr>
        <w:t>The</w:t>
      </w:r>
      <w:r>
        <w:rPr>
          <w:i/>
        </w:rPr>
        <w:t xml:space="preserve"> standard states that the values of the f element are defined by the XML Schema string datatype.</w:t>
      </w:r>
    </w:p>
    <w:p w:rsidR="000A156F" w:rsidRDefault="00A9721F">
      <w:pPr>
        <w:pStyle w:val="Definition-Field2"/>
      </w:pPr>
      <w:r>
        <w:t>Office requires the f element be a formula as defined in Formulas ("</w:t>
      </w:r>
      <w:hyperlink r:id="rId219">
        <w:r>
          <w:rPr>
            <w:rStyle w:val="Hyperlink"/>
          </w:rPr>
          <w:t>[ISO/IEC-29500-1]</w:t>
        </w:r>
      </w:hyperlink>
      <w:r>
        <w:t xml:space="preserve"> §18.17"</w:t>
      </w:r>
      <w:r>
        <w:t>). The maximum length of the decoded string shall not exceed 8192 characters.</w:t>
      </w:r>
    </w:p>
    <w:p w:rsidR="000A156F" w:rsidRDefault="00A9721F">
      <w:pPr>
        <w:pStyle w:val="Heading3"/>
      </w:pPr>
      <w:bookmarkStart w:id="2957" w:name="section_ffa6e78afedd422e8521050dd540543f"/>
      <w:bookmarkStart w:id="2958" w:name="_Toc181684504"/>
      <w:r>
        <w:t>Part 1 Section 21.2.2.66, firstFooter (First Footer)</w:t>
      </w:r>
      <w:bookmarkEnd w:id="2957"/>
      <w:bookmarkEnd w:id="2958"/>
      <w:r>
        <w:fldChar w:fldCharType="begin"/>
      </w:r>
      <w:r>
        <w:instrText xml:space="preserve"> XE "firstFooter (First Footer)" </w:instrText>
      </w:r>
      <w:r>
        <w:fldChar w:fldCharType="end"/>
      </w:r>
    </w:p>
    <w:p w:rsidR="000A156F" w:rsidRDefault="00A9721F">
      <w:pPr>
        <w:pStyle w:val="Definition-Field"/>
      </w:pPr>
      <w:r>
        <w:t xml:space="preserve">a.   </w:t>
      </w:r>
      <w:r>
        <w:rPr>
          <w:i/>
        </w:rPr>
        <w:t>The standard does not state any exceptions that cause the firstFooter element to be i</w:t>
      </w:r>
      <w:r>
        <w:rPr>
          <w:i/>
        </w:rPr>
        <w:t>gnored.</w:t>
      </w:r>
    </w:p>
    <w:p w:rsidR="000A156F" w:rsidRDefault="00A9721F">
      <w:pPr>
        <w:pStyle w:val="Definition-Field2"/>
      </w:pPr>
      <w:r>
        <w:t>Office ignores this element if the differentOddEven attribute of the parent headerFooter element is not set to true.</w:t>
      </w:r>
    </w:p>
    <w:p w:rsidR="000A156F" w:rsidRDefault="00A9721F">
      <w:pPr>
        <w:pStyle w:val="Definition-Field"/>
      </w:pPr>
      <w:r>
        <w:t xml:space="preserve">b.   </w:t>
      </w:r>
      <w:r>
        <w:rPr>
          <w:i/>
        </w:rPr>
        <w:t>The standard states that the firstFooter element is of type ST_Xstring.</w:t>
      </w:r>
    </w:p>
    <w:p w:rsidR="000A156F" w:rsidRDefault="00A9721F">
      <w:pPr>
        <w:pStyle w:val="Definition-Field2"/>
      </w:pPr>
      <w:r>
        <w:t>Office does not attempt to decode the character escape</w:t>
      </w:r>
      <w:r>
        <w:t xml:space="preserve"> sequences defined in ST_XString.</w:t>
      </w:r>
    </w:p>
    <w:p w:rsidR="000A156F" w:rsidRDefault="00A9721F">
      <w:pPr>
        <w:pStyle w:val="Heading3"/>
      </w:pPr>
      <w:bookmarkStart w:id="2959" w:name="section_040fa40f5c914e65be97a7b64d744fcf"/>
      <w:bookmarkStart w:id="2960" w:name="_Toc181684505"/>
      <w:r>
        <w:t>Part 1 Section 21.2.2.67, firstHeader (First Header)</w:t>
      </w:r>
      <w:bookmarkEnd w:id="2959"/>
      <w:bookmarkEnd w:id="2960"/>
      <w:r>
        <w:fldChar w:fldCharType="begin"/>
      </w:r>
      <w:r>
        <w:instrText xml:space="preserve"> XE "firstHeader (First Header)" </w:instrText>
      </w:r>
      <w:r>
        <w:fldChar w:fldCharType="end"/>
      </w:r>
    </w:p>
    <w:p w:rsidR="000A156F" w:rsidRDefault="00A9721F">
      <w:pPr>
        <w:pStyle w:val="Definition-Field"/>
      </w:pPr>
      <w:r>
        <w:t xml:space="preserve">a.   </w:t>
      </w:r>
      <w:r>
        <w:rPr>
          <w:i/>
        </w:rPr>
        <w:t>The standard does not state any exceptions that cause the firstHeader element to be ignored.</w:t>
      </w:r>
    </w:p>
    <w:p w:rsidR="000A156F" w:rsidRDefault="00A9721F">
      <w:pPr>
        <w:pStyle w:val="Definition-Field2"/>
      </w:pPr>
      <w:r>
        <w:t>Office ignores this element if the d</w:t>
      </w:r>
      <w:r>
        <w:t>ifferentOddEven attribute of the parent headerFooter element is not set to true.</w:t>
      </w:r>
    </w:p>
    <w:p w:rsidR="000A156F" w:rsidRDefault="00A9721F">
      <w:pPr>
        <w:pStyle w:val="Definition-Field"/>
      </w:pPr>
      <w:r>
        <w:lastRenderedPageBreak/>
        <w:t xml:space="preserve">b.   </w:t>
      </w:r>
      <w:r>
        <w:rPr>
          <w:i/>
        </w:rPr>
        <w:t>The standard states that the firstHeader element is of type ST_Xstring.</w:t>
      </w:r>
    </w:p>
    <w:p w:rsidR="000A156F" w:rsidRDefault="00A9721F">
      <w:pPr>
        <w:pStyle w:val="Definition-Field2"/>
      </w:pPr>
      <w:r>
        <w:t>Office does not attempt to decode the character escape sequences defined in ST_XString.</w:t>
      </w:r>
    </w:p>
    <w:p w:rsidR="000A156F" w:rsidRDefault="00A9721F">
      <w:pPr>
        <w:pStyle w:val="Heading3"/>
      </w:pPr>
      <w:bookmarkStart w:id="2961" w:name="section_14a18d6f56794a50bd05b4dfbc77d851"/>
      <w:bookmarkStart w:id="2962" w:name="_Toc181684506"/>
      <w:r>
        <w:t>Part 1 Sec</w:t>
      </w:r>
      <w:r>
        <w:t>tion 21.2.2.69, floor (Floor)</w:t>
      </w:r>
      <w:bookmarkEnd w:id="2961"/>
      <w:bookmarkEnd w:id="2962"/>
      <w:r>
        <w:fldChar w:fldCharType="begin"/>
      </w:r>
      <w:r>
        <w:instrText xml:space="preserve"> XE "floor (Floor)" </w:instrText>
      </w:r>
      <w:r>
        <w:fldChar w:fldCharType="end"/>
      </w:r>
    </w:p>
    <w:p w:rsidR="000A156F" w:rsidRDefault="00A9721F">
      <w:pPr>
        <w:pStyle w:val="Definition-Field"/>
      </w:pPr>
      <w:r>
        <w:t xml:space="preserve">a.   </w:t>
      </w:r>
      <w:r>
        <w:rPr>
          <w:i/>
        </w:rPr>
        <w:t>The standard states that the floor element can be a child of any chart element.</w:t>
      </w:r>
    </w:p>
    <w:p w:rsidR="000A156F" w:rsidRDefault="00A9721F">
      <w:pPr>
        <w:pStyle w:val="Definition-Field2"/>
      </w:pPr>
      <w:r>
        <w:t>Office requires that the chart contain a 3D chart group (bar3DChart, line3DChart, area3DChart, surface3DChart, or pie3D</w:t>
      </w:r>
      <w:r>
        <w:t>Chart) when this element is specified.</w:t>
      </w:r>
    </w:p>
    <w:p w:rsidR="000A156F" w:rsidRDefault="00A9721F">
      <w:pPr>
        <w:pStyle w:val="Heading3"/>
      </w:pPr>
      <w:bookmarkStart w:id="2963" w:name="section_b1f80d650055495797e699d84ef6398a"/>
      <w:bookmarkStart w:id="2964" w:name="_Toc181684507"/>
      <w:r>
        <w:t>Part 1 Section 21.2.2.70, fmtId (Format ID)</w:t>
      </w:r>
      <w:bookmarkEnd w:id="2963"/>
      <w:bookmarkEnd w:id="2964"/>
      <w:r>
        <w:fldChar w:fldCharType="begin"/>
      </w:r>
      <w:r>
        <w:instrText xml:space="preserve"> XE "fmtId (Format ID)" </w:instrText>
      </w:r>
      <w:r>
        <w:fldChar w:fldCharType="end"/>
      </w:r>
    </w:p>
    <w:p w:rsidR="000A156F" w:rsidRDefault="00A9721F">
      <w:pPr>
        <w:pStyle w:val="Definition-Field"/>
      </w:pPr>
      <w:r>
        <w:t xml:space="preserve">a.   </w:t>
      </w:r>
      <w:r>
        <w:rPr>
          <w:i/>
        </w:rPr>
        <w:t>The standard states that values of the val attribute are defined by the XML Schema unsignedInt datatype.</w:t>
      </w:r>
    </w:p>
    <w:p w:rsidR="000A156F" w:rsidRDefault="00A9721F">
      <w:pPr>
        <w:pStyle w:val="Definition-Field2"/>
      </w:pPr>
      <w:r>
        <w:t>Office restricts the value of this at</w:t>
      </w:r>
      <w:r>
        <w:t>tribute to be at most 2147483647.</w:t>
      </w:r>
    </w:p>
    <w:p w:rsidR="000A156F" w:rsidRDefault="00A9721F">
      <w:pPr>
        <w:pStyle w:val="Heading3"/>
      </w:pPr>
      <w:bookmarkStart w:id="2965" w:name="section_1a0d07f9ff1b4373ae2afdc4610c6c36"/>
      <w:bookmarkStart w:id="2966" w:name="_Toc181684508"/>
      <w:r>
        <w:t>Part 1 Section 21.2.2.72, formatting (Formatting)</w:t>
      </w:r>
      <w:bookmarkEnd w:id="2965"/>
      <w:bookmarkEnd w:id="2966"/>
      <w:r>
        <w:fldChar w:fldCharType="begin"/>
      </w:r>
      <w:r>
        <w:instrText xml:space="preserve"> XE "formatting (Formatting)" </w:instrText>
      </w:r>
      <w:r>
        <w:fldChar w:fldCharType="end"/>
      </w:r>
    </w:p>
    <w:p w:rsidR="000A156F" w:rsidRDefault="00A9721F">
      <w:pPr>
        <w:pStyle w:val="Definition-Field"/>
      </w:pPr>
      <w:r>
        <w:t xml:space="preserve">a.   </w:t>
      </w:r>
      <w:r>
        <w:rPr>
          <w:i/>
        </w:rPr>
        <w:t>The standard states that the formatting element prevents a user from changing formatting on chart elements.</w:t>
      </w:r>
    </w:p>
    <w:p w:rsidR="000A156F" w:rsidRDefault="00A9721F">
      <w:pPr>
        <w:pStyle w:val="Definition-Field2"/>
      </w:pPr>
      <w:r>
        <w:t>Office does not fully respe</w:t>
      </w:r>
      <w:r>
        <w:t>ct this element and does not protect the chart from formatting changes in all scenarios.</w:t>
      </w:r>
    </w:p>
    <w:p w:rsidR="000A156F" w:rsidRDefault="00A9721F">
      <w:pPr>
        <w:pStyle w:val="Heading3"/>
      </w:pPr>
      <w:bookmarkStart w:id="2967" w:name="section_bd4e4652e4ee46e59d88b730b2233e20"/>
      <w:bookmarkStart w:id="2968" w:name="_Toc181684509"/>
      <w:r>
        <w:t>Part 1 Section 21.2.2.73, forward (Forward)</w:t>
      </w:r>
      <w:bookmarkEnd w:id="2967"/>
      <w:bookmarkEnd w:id="2968"/>
      <w:r>
        <w:fldChar w:fldCharType="begin"/>
      </w:r>
      <w:r>
        <w:instrText xml:space="preserve"> XE "forward (Forward)" </w:instrText>
      </w:r>
      <w:r>
        <w:fldChar w:fldCharType="end"/>
      </w:r>
    </w:p>
    <w:p w:rsidR="000A156F" w:rsidRDefault="00A9721F">
      <w:pPr>
        <w:pStyle w:val="Definition-Field"/>
      </w:pPr>
      <w:r>
        <w:t xml:space="preserve">a.   </w:t>
      </w:r>
      <w:r>
        <w:rPr>
          <w:i/>
        </w:rPr>
        <w:t>The standard states that the value of the val attribute on non-scatter charts must be a mult</w:t>
      </w:r>
      <w:r>
        <w:rPr>
          <w:i/>
        </w:rPr>
        <w:t>iple of 0.5.</w:t>
      </w:r>
    </w:p>
    <w:p w:rsidR="000A156F" w:rsidRDefault="00A9721F">
      <w:pPr>
        <w:pStyle w:val="Definition-Field2"/>
      </w:pPr>
      <w:r>
        <w:t>Office allows the data range to include any non-negative number.</w:t>
      </w:r>
    </w:p>
    <w:p w:rsidR="000A156F" w:rsidRDefault="00A9721F">
      <w:pPr>
        <w:pStyle w:val="Definition-Field"/>
      </w:pPr>
      <w:r>
        <w:t xml:space="preserve">b.   </w:t>
      </w:r>
      <w:r>
        <w:rPr>
          <w:i/>
        </w:rPr>
        <w:t>The standard states that attribute val is of type xsd:double.</w:t>
      </w:r>
    </w:p>
    <w:p w:rsidR="000A156F" w:rsidRDefault="00A9721F">
      <w:pPr>
        <w:pStyle w:val="Definition-Field2"/>
      </w:pPr>
      <w:r>
        <w:t>Office does not allow INF, -INF, and NaN as supported values.  For scatterChart and bubbleChart, the value is i</w:t>
      </w:r>
      <w:r>
        <w:t>n units, otherwise the value is in number of categories. The value of this attribute has a minimum value greater than 0.</w:t>
      </w:r>
    </w:p>
    <w:p w:rsidR="000A156F" w:rsidRDefault="00A9721F">
      <w:pPr>
        <w:pStyle w:val="Heading3"/>
      </w:pPr>
      <w:bookmarkStart w:id="2969" w:name="section_012f5622abbb48448368833b087789e4"/>
      <w:bookmarkStart w:id="2970" w:name="_Toc181684510"/>
      <w:r>
        <w:t>Part 1 Section 21.2.2.74, gapDepth (Gap Depth)</w:t>
      </w:r>
      <w:bookmarkEnd w:id="2969"/>
      <w:bookmarkEnd w:id="2970"/>
      <w:r>
        <w:fldChar w:fldCharType="begin"/>
      </w:r>
      <w:r>
        <w:instrText xml:space="preserve"> XE "gapDepth (Gap Depth)" </w:instrText>
      </w:r>
      <w:r>
        <w:fldChar w:fldCharType="end"/>
      </w:r>
    </w:p>
    <w:p w:rsidR="000A156F" w:rsidRDefault="00A9721F">
      <w:pPr>
        <w:pStyle w:val="Definition-Field"/>
      </w:pPr>
      <w:r>
        <w:t xml:space="preserve">a.   </w:t>
      </w:r>
      <w:r>
        <w:rPr>
          <w:i/>
        </w:rPr>
        <w:t>The standard states that the gapDepth element specifie</w:t>
      </w:r>
      <w:r>
        <w:rPr>
          <w:i/>
        </w:rPr>
        <w:t>s the space between bar or column clusters, as a percentage of the bar or column width.</w:t>
      </w:r>
    </w:p>
    <w:p w:rsidR="000A156F" w:rsidRDefault="00A9721F">
      <w:pPr>
        <w:pStyle w:val="Definition-Field2"/>
      </w:pPr>
      <w:r>
        <w:t>In Office, this element specifies the space between adjacent categories in the depth axis direction, as a percentage of the bar, column, line, or base depth.</w:t>
      </w:r>
    </w:p>
    <w:p w:rsidR="000A156F" w:rsidRDefault="00A9721F">
      <w:pPr>
        <w:pStyle w:val="Heading3"/>
      </w:pPr>
      <w:bookmarkStart w:id="2971" w:name="section_2f482e396b114a3ba3c43c46edfb3fc9"/>
      <w:bookmarkStart w:id="2972" w:name="_Toc181684511"/>
      <w:r>
        <w:t>Part 1 Section 21.2.2.75, gapWidth (Gap Width)</w:t>
      </w:r>
      <w:bookmarkEnd w:id="2971"/>
      <w:bookmarkEnd w:id="2972"/>
      <w:r>
        <w:fldChar w:fldCharType="begin"/>
      </w:r>
      <w:r>
        <w:instrText xml:space="preserve"> XE "gapWidth (Gap Width)" </w:instrText>
      </w:r>
      <w:r>
        <w:fldChar w:fldCharType="end"/>
      </w:r>
    </w:p>
    <w:p w:rsidR="000A156F" w:rsidRDefault="00A9721F">
      <w:pPr>
        <w:pStyle w:val="Definition-Field"/>
      </w:pPr>
      <w:r>
        <w:t xml:space="preserve">a.   </w:t>
      </w:r>
      <w:r>
        <w:rPr>
          <w:i/>
        </w:rPr>
        <w:t>The standard does not state how to interpret a gapWidth element on an ofPieChart element.</w:t>
      </w:r>
    </w:p>
    <w:p w:rsidR="000A156F" w:rsidRDefault="00A9721F">
      <w:pPr>
        <w:pStyle w:val="Definition-Field2"/>
      </w:pPr>
      <w:r>
        <w:t xml:space="preserve">In Office, the gapWidth element on an ofPieChart element specifies the radius of the </w:t>
      </w:r>
      <w:r>
        <w:t>primary pie for an ofPieChart.</w:t>
      </w:r>
    </w:p>
    <w:p w:rsidR="000A156F" w:rsidRDefault="00A9721F">
      <w:pPr>
        <w:pStyle w:val="Definition-Field"/>
      </w:pPr>
      <w:r>
        <w:t xml:space="preserve">b.   </w:t>
      </w:r>
      <w:r>
        <w:rPr>
          <w:i/>
        </w:rPr>
        <w:t>The standard states that the gapWidth element specifies the space between bar or column clusters, as a percentage of the bar or column width.</w:t>
      </w:r>
    </w:p>
    <w:p w:rsidR="000A156F" w:rsidRDefault="00A9721F">
      <w:pPr>
        <w:pStyle w:val="Definition-Field2"/>
      </w:pPr>
      <w:r>
        <w:lastRenderedPageBreak/>
        <w:t xml:space="preserve">In Office, this element specifies the space between adjacent series clusters </w:t>
      </w:r>
      <w:r>
        <w:t>in the category axis direction, as a percentage of the bar or column width for bar3DChart, barChart, and upDownBars.</w:t>
      </w:r>
    </w:p>
    <w:p w:rsidR="000A156F" w:rsidRDefault="00A9721F">
      <w:pPr>
        <w:pStyle w:val="Heading3"/>
      </w:pPr>
      <w:bookmarkStart w:id="2973" w:name="section_8fd06fa97194482caa15286409552ac5"/>
      <w:bookmarkStart w:id="2974" w:name="_Toc181684512"/>
      <w:r>
        <w:t>Part 1 Section 21.2.2.76, grouping (Grouping)</w:t>
      </w:r>
      <w:bookmarkEnd w:id="2973"/>
      <w:bookmarkEnd w:id="2974"/>
      <w:r>
        <w:fldChar w:fldCharType="begin"/>
      </w:r>
      <w:r>
        <w:instrText xml:space="preserve"> XE "grouping (Grouping)" </w:instrText>
      </w:r>
      <w:r>
        <w:fldChar w:fldCharType="end"/>
      </w:r>
    </w:p>
    <w:p w:rsidR="000A156F" w:rsidRDefault="00A9721F">
      <w:pPr>
        <w:pStyle w:val="Definition-Field"/>
      </w:pPr>
      <w:r>
        <w:t xml:space="preserve">a.   </w:t>
      </w:r>
      <w:r>
        <w:rPr>
          <w:i/>
        </w:rPr>
        <w:t xml:space="preserve">The standard states that the grouping element specifies the </w:t>
      </w:r>
      <w:r>
        <w:rPr>
          <w:i/>
        </w:rPr>
        <w:t>type of grouping for a column, line, or area chart.</w:t>
      </w:r>
    </w:p>
    <w:p w:rsidR="000A156F" w:rsidRDefault="00A9721F">
      <w:pPr>
        <w:pStyle w:val="Definition-Field2"/>
      </w:pPr>
      <w:r>
        <w:t>In Office, this element specifies the type of grouping for a line or area chart.</w:t>
      </w:r>
    </w:p>
    <w:p w:rsidR="000A156F" w:rsidRDefault="00A9721F">
      <w:pPr>
        <w:pStyle w:val="Heading3"/>
      </w:pPr>
      <w:bookmarkStart w:id="2975" w:name="section_2492a099586a4b7599a539bb273e5c0a"/>
      <w:bookmarkStart w:id="2976" w:name="_Toc181684513"/>
      <w:r>
        <w:t>Part 1 Section 21.2.2.78, h (Height)</w:t>
      </w:r>
      <w:bookmarkEnd w:id="2975"/>
      <w:bookmarkEnd w:id="2976"/>
      <w:r>
        <w:fldChar w:fldCharType="begin"/>
      </w:r>
      <w:r>
        <w:instrText xml:space="preserve"> XE "h (Height)" </w:instrText>
      </w:r>
      <w:r>
        <w:fldChar w:fldCharType="end"/>
      </w:r>
    </w:p>
    <w:p w:rsidR="000A156F" w:rsidRDefault="00A9721F">
      <w:pPr>
        <w:pStyle w:val="Definition-Field2"/>
      </w:pPr>
      <w:r>
        <w:rPr>
          <w:i/>
        </w:rPr>
        <w:t>For additional notes that apply to this portion of the standard, pl</w:t>
      </w:r>
      <w:r>
        <w:rPr>
          <w:i/>
        </w:rPr>
        <w:t xml:space="preserve">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A156F" w:rsidRDefault="00A9721F">
      <w:pPr>
        <w:pStyle w:val="Definition-Field"/>
      </w:pPr>
      <w:r>
        <w:t xml:space="preserve">a.   </w:t>
      </w:r>
      <w:r>
        <w:rPr>
          <w:i/>
        </w:rPr>
        <w:t>The standard does not state any exceptions that cause the h element to be ignored.</w:t>
      </w:r>
    </w:p>
    <w:p w:rsidR="000A156F" w:rsidRDefault="00A9721F">
      <w:pPr>
        <w:pStyle w:val="Definition-Field2"/>
      </w:pPr>
      <w:r>
        <w:t>Office ignores this element when a descendant of dispUnitsLbl, dLbl, title, or trendline and instead fits the element to the size of th</w:t>
      </w:r>
      <w:r>
        <w:t>e text.</w:t>
      </w:r>
    </w:p>
    <w:p w:rsidR="000A156F" w:rsidRDefault="00A9721F">
      <w:pPr>
        <w:pStyle w:val="Definition-Field"/>
      </w:pPr>
      <w:r>
        <w:t xml:space="preserve">b.   </w:t>
      </w:r>
      <w:r>
        <w:rPr>
          <w:i/>
        </w:rPr>
        <w:t>The standard does not state any exceptions that cause the h element to be ignored or interpreted differently.</w:t>
      </w:r>
    </w:p>
    <w:p w:rsidR="000A156F" w:rsidRDefault="00A9721F">
      <w:pPr>
        <w:pStyle w:val="Definition-Field2"/>
      </w:pPr>
      <w:r>
        <w:t>In Office, if the value of the val attribute is greater than 1 or less than 0, this element and the parent element manualLayout are i</w:t>
      </w:r>
      <w:r>
        <w:t>gnored. Instead, the parent of manualLayout shall use its default size and position.</w:t>
      </w:r>
    </w:p>
    <w:p w:rsidR="000A156F" w:rsidRDefault="00A9721F">
      <w:pPr>
        <w:pStyle w:val="Heading3"/>
      </w:pPr>
      <w:bookmarkStart w:id="2977" w:name="section_0c9d02eca22c49aeb335f2a4f1d2dd8e"/>
      <w:bookmarkStart w:id="2978" w:name="_Toc181684514"/>
      <w:r>
        <w:t>Part 1 Section 21.2.2.79, headerFooter (Header and Footer)</w:t>
      </w:r>
      <w:bookmarkEnd w:id="2977"/>
      <w:bookmarkEnd w:id="2978"/>
      <w:r>
        <w:fldChar w:fldCharType="begin"/>
      </w:r>
      <w:r>
        <w:instrText xml:space="preserve"> XE "headerFooter (Header and Footer)" </w:instrText>
      </w:r>
      <w:r>
        <w:fldChar w:fldCharType="end"/>
      </w:r>
    </w:p>
    <w:p w:rsidR="000A156F" w:rsidRDefault="00A9721F">
      <w:pPr>
        <w:pStyle w:val="Definition-Field"/>
      </w:pPr>
      <w:r>
        <w:t xml:space="preserve">a.   </w:t>
      </w:r>
      <w:r>
        <w:rPr>
          <w:i/>
        </w:rPr>
        <w:t xml:space="preserve">The standard states that the alignWithMargins attribute specifies </w:t>
      </w:r>
      <w:r>
        <w:rPr>
          <w:i/>
        </w:rPr>
        <w:t>that the header and footer should align with the left and right margins of the chart.</w:t>
      </w:r>
    </w:p>
    <w:p w:rsidR="000A156F" w:rsidRDefault="00A9721F">
      <w:pPr>
        <w:pStyle w:val="Definition-Field2"/>
      </w:pPr>
      <w:r>
        <w:t xml:space="preserve">In Office, a value of true for this attribute specifies that the left and right edges of the header and footer align with the left and right margins of chart. A value of </w:t>
      </w:r>
      <w:r>
        <w:t>false specifies the application will determine the alignment.</w:t>
      </w:r>
    </w:p>
    <w:p w:rsidR="000A156F" w:rsidRDefault="00A9721F">
      <w:pPr>
        <w:pStyle w:val="Heading3"/>
      </w:pPr>
      <w:bookmarkStart w:id="2979" w:name="section_4d59213a27af49019006ff11f30589b4"/>
      <w:bookmarkStart w:id="2980" w:name="_Toc181684515"/>
      <w:r>
        <w:t>Part 1 Section 21.2.2.81, hMode (Height Mode)</w:t>
      </w:r>
      <w:bookmarkEnd w:id="2979"/>
      <w:bookmarkEnd w:id="2980"/>
      <w:r>
        <w:fldChar w:fldCharType="begin"/>
      </w:r>
      <w:r>
        <w:instrText xml:space="preserve"> XE "hMode (Height Mode)"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0A156F" w:rsidRDefault="00A9721F">
      <w:pPr>
        <w:pStyle w:val="Definition-Field"/>
      </w:pPr>
      <w:r>
        <w:t xml:space="preserve">a.   </w:t>
      </w:r>
      <w:r>
        <w:rPr>
          <w:i/>
        </w:rPr>
        <w:t>The standard states that edge is a valid value for the val attribute of hMode.</w:t>
      </w:r>
    </w:p>
    <w:p w:rsidR="000A156F" w:rsidRDefault="00A9721F">
      <w:pPr>
        <w:pStyle w:val="Definition-Field2"/>
      </w:pPr>
      <w:r>
        <w:t>Office only saves a value of factor for the val attribute.  Files opened with val equal to edge will be changed to f</w:t>
      </w:r>
      <w:r>
        <w:t>actor on save and the val of sibling element h will be updated to reflect this mode change and correctly preserve the manual size.</w:t>
      </w:r>
    </w:p>
    <w:p w:rsidR="000A156F" w:rsidRDefault="00A9721F">
      <w:pPr>
        <w:pStyle w:val="Heading3"/>
      </w:pPr>
      <w:bookmarkStart w:id="2981" w:name="section_21355c07074d42ba8c5e37e6f33692ac"/>
      <w:bookmarkStart w:id="2982" w:name="_Toc181684516"/>
      <w:r>
        <w:t>Part 1 Section 21.2.2.82, holeSize (Hole Size)</w:t>
      </w:r>
      <w:bookmarkEnd w:id="2981"/>
      <w:bookmarkEnd w:id="2982"/>
      <w:r>
        <w:fldChar w:fldCharType="begin"/>
      </w:r>
      <w:r>
        <w:instrText xml:space="preserve"> XE "holeSize (Hole Size)" </w:instrText>
      </w:r>
      <w:r>
        <w:fldChar w:fldCharType="end"/>
      </w:r>
    </w:p>
    <w:p w:rsidR="000A156F" w:rsidRDefault="00A9721F">
      <w:pPr>
        <w:pStyle w:val="Definition-Field"/>
      </w:pPr>
      <w:r>
        <w:t xml:space="preserve">a.   </w:t>
      </w:r>
      <w:r>
        <w:rPr>
          <w:i/>
        </w:rPr>
        <w:t>The standard states that the val attribute s</w:t>
      </w:r>
      <w:r>
        <w:rPr>
          <w:i/>
        </w:rPr>
        <w:t>pecifies that the contents of this attribute will contain a hole size between 10 and 90.</w:t>
      </w:r>
    </w:p>
    <w:p w:rsidR="000A156F" w:rsidRDefault="00A9721F">
      <w:pPr>
        <w:pStyle w:val="Definition-Field2"/>
      </w:pPr>
      <w:r>
        <w:t>In Office, the val attribute specifies that the contents of this attribute will contain a hole size as defined by the ST_HoleSize simple type.</w:t>
      </w:r>
    </w:p>
    <w:p w:rsidR="000A156F" w:rsidRDefault="00A9721F">
      <w:pPr>
        <w:pStyle w:val="Definition-Field"/>
      </w:pPr>
      <w:r>
        <w:t xml:space="preserve">b.   </w:t>
      </w:r>
      <w:r>
        <w:rPr>
          <w:i/>
        </w:rPr>
        <w:t>The standard implie</w:t>
      </w:r>
      <w:r>
        <w:rPr>
          <w:i/>
        </w:rPr>
        <w:t>s that the val attribute is optional.</w:t>
      </w:r>
    </w:p>
    <w:p w:rsidR="000A156F" w:rsidRDefault="00A9721F">
      <w:pPr>
        <w:pStyle w:val="Definition-Field2"/>
      </w:pPr>
      <w:r>
        <w:t>Office requires this attribute.</w:t>
      </w:r>
    </w:p>
    <w:p w:rsidR="000A156F" w:rsidRDefault="00A9721F">
      <w:pPr>
        <w:pStyle w:val="Heading3"/>
      </w:pPr>
      <w:bookmarkStart w:id="2983" w:name="section_efdfd9b1197c426ba356d35c55a14eae"/>
      <w:bookmarkStart w:id="2984" w:name="_Toc181684517"/>
      <w:r>
        <w:lastRenderedPageBreak/>
        <w:t>Part 1 Section 21.2.2.83, hPercent (Height Percent)</w:t>
      </w:r>
      <w:bookmarkEnd w:id="2983"/>
      <w:bookmarkEnd w:id="2984"/>
      <w:r>
        <w:fldChar w:fldCharType="begin"/>
      </w:r>
      <w:r>
        <w:instrText xml:space="preserve"> XE "hPercent (Height Percent)" </w:instrText>
      </w:r>
      <w:r>
        <w:fldChar w:fldCharType="end"/>
      </w:r>
    </w:p>
    <w:p w:rsidR="000A156F" w:rsidRDefault="00A9721F">
      <w:pPr>
        <w:pStyle w:val="Definition-Field"/>
      </w:pPr>
      <w:r>
        <w:t xml:space="preserve">a.   </w:t>
      </w:r>
      <w:r>
        <w:rPr>
          <w:i/>
        </w:rPr>
        <w:t>The standard does not define the behavior when the hPercent element is omitted.</w:t>
      </w:r>
    </w:p>
    <w:p w:rsidR="000A156F" w:rsidRDefault="00A9721F">
      <w:pPr>
        <w:pStyle w:val="Definition-Field2"/>
      </w:pPr>
      <w:r>
        <w:t>If this element</w:t>
      </w:r>
      <w:r>
        <w:t xml:space="preserve"> is omitted, Office uses automatic scaling.  If automatic scaling is enabled, the height of the 3-D chart expressed as a percentage of the chart width shall be the ratio of plot area height to plot area width.</w:t>
      </w:r>
    </w:p>
    <w:p w:rsidR="000A156F" w:rsidRDefault="00A9721F">
      <w:pPr>
        <w:pStyle w:val="Definition-Field"/>
      </w:pPr>
      <w:r>
        <w:t xml:space="preserve">b.   </w:t>
      </w:r>
      <w:r>
        <w:rPr>
          <w:i/>
        </w:rPr>
        <w:t>The standard does not specify how to inte</w:t>
      </w:r>
      <w:r>
        <w:rPr>
          <w:i/>
        </w:rPr>
        <w:t>rpret the hPercent element on a pie3Dchart.</w:t>
      </w:r>
    </w:p>
    <w:p w:rsidR="000A156F" w:rsidRDefault="00A9721F">
      <w:pPr>
        <w:pStyle w:val="Definition-Field2"/>
      </w:pPr>
      <w:r>
        <w:t>In Office, this element on a pie3DChart specifies that the thickness of the 3-D pie chart shall be the default thickness (defined by the SpreadsheetML application) multiplied by the height percent.</w:t>
      </w:r>
    </w:p>
    <w:p w:rsidR="000A156F" w:rsidRDefault="00A9721F">
      <w:pPr>
        <w:pStyle w:val="Definition-Field"/>
      </w:pPr>
      <w:r>
        <w:t xml:space="preserve">c.   </w:t>
      </w:r>
      <w:r>
        <w:rPr>
          <w:i/>
        </w:rPr>
        <w:t>The stand</w:t>
      </w:r>
      <w:r>
        <w:rPr>
          <w:i/>
        </w:rPr>
        <w:t>ard states that the hPercent element specifies the height of a 3-D chart as a percentage of the chart width.</w:t>
      </w:r>
    </w:p>
    <w:p w:rsidR="000A156F" w:rsidRDefault="00A9721F">
      <w:pPr>
        <w:pStyle w:val="Definition-Field2"/>
      </w:pPr>
      <w:r>
        <w:t>In Office, this element specifies the height of a 3-D chart as a percentage of the 3-D plot area width, and disables automatic scaling for the char</w:t>
      </w:r>
      <w:r>
        <w:t>t height.</w:t>
      </w:r>
    </w:p>
    <w:p w:rsidR="000A156F" w:rsidRDefault="00A9721F">
      <w:pPr>
        <w:pStyle w:val="Heading3"/>
      </w:pPr>
      <w:bookmarkStart w:id="2985" w:name="section_6ceb7cd840d84c6695fa130240a4a22a"/>
      <w:bookmarkStart w:id="2986" w:name="_Toc181684518"/>
      <w:r>
        <w:t>Part 1 Section 21.2.2.84, idx (Index)</w:t>
      </w:r>
      <w:bookmarkEnd w:id="2985"/>
      <w:bookmarkEnd w:id="2986"/>
      <w:r>
        <w:fldChar w:fldCharType="begin"/>
      </w:r>
      <w:r>
        <w:instrText xml:space="preserve"> XE "idx (Index)" </w:instrText>
      </w:r>
      <w:r>
        <w:fldChar w:fldCharType="end"/>
      </w:r>
    </w:p>
    <w:p w:rsidR="000A156F" w:rsidRDefault="00A9721F">
      <w:pPr>
        <w:pStyle w:val="Definition-Field"/>
      </w:pPr>
      <w:r>
        <w:t xml:space="preserve">a.   </w:t>
      </w:r>
      <w:r>
        <w:rPr>
          <w:i/>
        </w:rPr>
        <w:t>The standard places no restrictions on the val attribute beyond type information.</w:t>
      </w:r>
    </w:p>
    <w:p w:rsidR="000A156F" w:rsidRDefault="00A9721F">
      <w:pPr>
        <w:pStyle w:val="Definition-Field2"/>
      </w:pPr>
      <w:r>
        <w:t xml:space="preserve">Office requires that the value of the val attribute be unique amongst idx elements within the same </w:t>
      </w:r>
      <w:r>
        <w:t>collection.</w:t>
      </w:r>
    </w:p>
    <w:p w:rsidR="000A156F" w:rsidRDefault="00A9721F">
      <w:pPr>
        <w:pStyle w:val="Definition-Field"/>
      </w:pPr>
      <w:r>
        <w:t xml:space="preserve">b.   </w:t>
      </w:r>
      <w:r>
        <w:rPr>
          <w:i/>
        </w:rPr>
        <w:t>The standard states that the values of the val attribute are defined by the XML Schema unsignedInt datatype.</w:t>
      </w:r>
    </w:p>
    <w:p w:rsidR="000A156F" w:rsidRDefault="00A9721F">
      <w:pPr>
        <w:pStyle w:val="Definition-Field2"/>
      </w:pPr>
      <w:r>
        <w:t>Office restricts the value of this attribute to be at most 2147483647.</w:t>
      </w:r>
    </w:p>
    <w:p w:rsidR="000A156F" w:rsidRDefault="00A9721F">
      <w:pPr>
        <w:pStyle w:val="Heading3"/>
      </w:pPr>
      <w:bookmarkStart w:id="2987" w:name="section_ecb7cd155c46458b9f7c016272458527"/>
      <w:bookmarkStart w:id="2988" w:name="_Toc181684519"/>
      <w:r>
        <w:t>Part 1 Section 21.2.2.85, intercept (Intercept)</w:t>
      </w:r>
      <w:bookmarkEnd w:id="2987"/>
      <w:bookmarkEnd w:id="2988"/>
      <w:r>
        <w:fldChar w:fldCharType="begin"/>
      </w:r>
      <w:r>
        <w:instrText xml:space="preserve"> XE "interce</w:instrText>
      </w:r>
      <w:r>
        <w:instrText xml:space="preserve">pt (Intercept)"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A156F" w:rsidRDefault="00A9721F">
      <w:pPr>
        <w:pStyle w:val="Heading3"/>
      </w:pPr>
      <w:bookmarkStart w:id="2989" w:name="section_c26d486fa3ba4b87bcc18e10062f4c2f"/>
      <w:bookmarkStart w:id="2990" w:name="_Toc181684520"/>
      <w:r>
        <w:t>Part 1 Section 21.2.2.86, invertIfNegative (Invert if Negative)</w:t>
      </w:r>
      <w:bookmarkEnd w:id="2989"/>
      <w:bookmarkEnd w:id="2990"/>
      <w:r>
        <w:fldChar w:fldCharType="begin"/>
      </w:r>
      <w:r>
        <w:instrText xml:space="preserve"> XE "invertIfNegative (Invert if Negative)" </w:instrText>
      </w:r>
      <w:r>
        <w:fldChar w:fldCharType="end"/>
      </w:r>
    </w:p>
    <w:p w:rsidR="000A156F" w:rsidRDefault="00A9721F">
      <w:pPr>
        <w:pStyle w:val="Definition-Field"/>
      </w:pPr>
      <w:r>
        <w:t xml:space="preserve">a.   </w:t>
      </w:r>
      <w:r>
        <w:rPr>
          <w:i/>
        </w:rPr>
        <w:t xml:space="preserve">The standard does not </w:t>
      </w:r>
      <w:r>
        <w:rPr>
          <w:i/>
        </w:rPr>
        <w:t>state any exceptions that cause this element to be ignored.</w:t>
      </w:r>
    </w:p>
    <w:p w:rsidR="000A156F" w:rsidRDefault="00A9721F">
      <w:pPr>
        <w:pStyle w:val="Definition-Field2"/>
      </w:pPr>
      <w:r>
        <w:t>Office ignores this element and always inverts the negative values if the ancestors include bubbleChart.</w:t>
      </w:r>
    </w:p>
    <w:p w:rsidR="000A156F" w:rsidRDefault="00A9721F">
      <w:pPr>
        <w:pStyle w:val="Heading3"/>
      </w:pPr>
      <w:bookmarkStart w:id="2991" w:name="section_103a45d564c44e46b972658f87b24c63"/>
      <w:bookmarkStart w:id="2992" w:name="_Toc181684521"/>
      <w:r>
        <w:t>Part 1 Section 21.2.2.88, layout (Layout)</w:t>
      </w:r>
      <w:bookmarkEnd w:id="2991"/>
      <w:bookmarkEnd w:id="2992"/>
      <w:r>
        <w:fldChar w:fldCharType="begin"/>
      </w:r>
      <w:r>
        <w:instrText xml:space="preserve"> XE "layout (Layout)" </w:instrText>
      </w:r>
      <w:r>
        <w:fldChar w:fldCharType="end"/>
      </w:r>
    </w:p>
    <w:p w:rsidR="000A156F" w:rsidRDefault="00A9721F">
      <w:pPr>
        <w:pStyle w:val="Definition-Field"/>
      </w:pPr>
      <w:r>
        <w:t xml:space="preserve">a.   </w:t>
      </w:r>
      <w:r>
        <w:rPr>
          <w:i/>
        </w:rPr>
        <w:t xml:space="preserve">The standard states </w:t>
      </w:r>
      <w:r>
        <w:rPr>
          <w:i/>
        </w:rPr>
        <w:t>that the manualLayout and extLst child elements both have a minOccurs=0.</w:t>
      </w:r>
    </w:p>
    <w:p w:rsidR="000A156F" w:rsidRDefault="00A9721F">
      <w:pPr>
        <w:pStyle w:val="Definition-Field2"/>
      </w:pPr>
      <w:r>
        <w:t>Office will not save this element if the manualLayout child element is not present when the parent element is dLbl or trendlineLbl, even if this element has an extLst child element.</w:t>
      </w:r>
    </w:p>
    <w:p w:rsidR="000A156F" w:rsidRDefault="00A9721F">
      <w:pPr>
        <w:pStyle w:val="Heading3"/>
      </w:pPr>
      <w:bookmarkStart w:id="2993" w:name="section_63d53b16d3cf4361b04875462a9a40e7"/>
      <w:bookmarkStart w:id="2994" w:name="_Toc181684522"/>
      <w:r>
        <w:t>P</w:t>
      </w:r>
      <w:r>
        <w:t>art 1 Section 21.2.2.89, layoutTarget (Layout Target)</w:t>
      </w:r>
      <w:bookmarkEnd w:id="2993"/>
      <w:bookmarkEnd w:id="2994"/>
      <w:r>
        <w:fldChar w:fldCharType="begin"/>
      </w:r>
      <w:r>
        <w:instrText xml:space="preserve"> XE "layoutTarget (Layout Target)" </w:instrText>
      </w:r>
      <w:r>
        <w:fldChar w:fldCharType="end"/>
      </w:r>
    </w:p>
    <w:p w:rsidR="000A156F" w:rsidRDefault="00A9721F">
      <w:pPr>
        <w:pStyle w:val="Definition-Field"/>
      </w:pPr>
      <w:r>
        <w:t xml:space="preserve">a.   </w:t>
      </w:r>
      <w:r>
        <w:rPr>
          <w:i/>
        </w:rPr>
        <w:t>The standard states that this element can be a child of any manualLayout element.</w:t>
      </w:r>
    </w:p>
    <w:p w:rsidR="000A156F" w:rsidRDefault="00A9721F">
      <w:pPr>
        <w:pStyle w:val="Definition-Field2"/>
      </w:pPr>
      <w:r>
        <w:t>Office requires that the ancestors not include dispUnitsLbl, dLbl, legend, tit</w:t>
      </w:r>
      <w:r>
        <w:t>le, and trendlineLbl when this element is specified.</w:t>
      </w:r>
    </w:p>
    <w:p w:rsidR="000A156F" w:rsidRDefault="00A9721F">
      <w:pPr>
        <w:pStyle w:val="Heading3"/>
      </w:pPr>
      <w:bookmarkStart w:id="2995" w:name="section_3536abf10a574a15a1976b56b3f4616f"/>
      <w:bookmarkStart w:id="2996" w:name="_Toc181684523"/>
      <w:r>
        <w:lastRenderedPageBreak/>
        <w:t>Part 1 Section 21.2.2.92, leaderLines (Leader Lines)</w:t>
      </w:r>
      <w:bookmarkEnd w:id="2995"/>
      <w:bookmarkEnd w:id="2996"/>
      <w:r>
        <w:fldChar w:fldCharType="begin"/>
      </w:r>
      <w:r>
        <w:instrText xml:space="preserve"> XE "leaderLines (Leader Lines)" </w:instrText>
      </w:r>
      <w:r>
        <w:fldChar w:fldCharType="end"/>
      </w:r>
    </w:p>
    <w:p w:rsidR="000A156F" w:rsidRDefault="00A9721F">
      <w:pPr>
        <w:pStyle w:val="Definition-Field"/>
      </w:pPr>
      <w:r>
        <w:t xml:space="preserve">a.   </w:t>
      </w:r>
      <w:r>
        <w:rPr>
          <w:i/>
        </w:rPr>
        <w:t>The standard states that this element can be a child of any dLbls element.</w:t>
      </w:r>
    </w:p>
    <w:p w:rsidR="000A156F" w:rsidRDefault="00A9721F">
      <w:pPr>
        <w:pStyle w:val="Definition-Field2"/>
      </w:pPr>
      <w:r>
        <w:t>Office requires that the value of t</w:t>
      </w:r>
      <w:r>
        <w:t>he val attribute of sibling element showLeaderLines is true when this element is specified.</w:t>
      </w:r>
    </w:p>
    <w:p w:rsidR="000A156F" w:rsidRDefault="00A9721F">
      <w:pPr>
        <w:pStyle w:val="Definition-Field"/>
      </w:pPr>
      <w:r>
        <w:t xml:space="preserve">b.   </w:t>
      </w:r>
      <w:r>
        <w:rPr>
          <w:i/>
        </w:rPr>
        <w:t>The standard states that this element can be a child of any dLbls element.</w:t>
      </w:r>
    </w:p>
    <w:p w:rsidR="000A156F" w:rsidRDefault="00A9721F">
      <w:pPr>
        <w:pStyle w:val="Definition-Field2"/>
      </w:pPr>
      <w:r>
        <w:t xml:space="preserve">Office requires that the ancestor include doughnutChart, ofPieChart, pie3DChart, or </w:t>
      </w:r>
      <w:r>
        <w:t>pieChart when this element is specified.</w:t>
      </w:r>
    </w:p>
    <w:p w:rsidR="000A156F" w:rsidRDefault="00A9721F">
      <w:pPr>
        <w:pStyle w:val="Heading3"/>
      </w:pPr>
      <w:bookmarkStart w:id="2997" w:name="section_8314e929129a4991a7f99f37010521e5"/>
      <w:bookmarkStart w:id="2998" w:name="_Toc181684524"/>
      <w:r>
        <w:t>Part 1 Section 21.2.2.95, legendPos (Legend Position)</w:t>
      </w:r>
      <w:bookmarkEnd w:id="2997"/>
      <w:bookmarkEnd w:id="2998"/>
      <w:r>
        <w:fldChar w:fldCharType="begin"/>
      </w:r>
      <w:r>
        <w:instrText xml:space="preserve"> XE "legendPos (Legend Position)" </w:instrText>
      </w:r>
      <w:r>
        <w:fldChar w:fldCharType="end"/>
      </w:r>
    </w:p>
    <w:p w:rsidR="000A156F" w:rsidRDefault="00A9721F">
      <w:pPr>
        <w:pStyle w:val="Definition-Field"/>
      </w:pPr>
      <w:r>
        <w:t xml:space="preserve">a.   </w:t>
      </w:r>
      <w:r>
        <w:rPr>
          <w:i/>
        </w:rPr>
        <w:t>The standard does not state any exceptions that cause this element to be ignored.</w:t>
      </w:r>
    </w:p>
    <w:p w:rsidR="000A156F" w:rsidRDefault="00A9721F">
      <w:pPr>
        <w:pStyle w:val="Definition-Field2"/>
      </w:pPr>
      <w:r>
        <w:t>In Office, when this element is specif</w:t>
      </w:r>
      <w:r>
        <w:t>ied along with the manualLayout child element of the layout sibling element the exact position of the legend is overridden by the manual layout.</w:t>
      </w:r>
    </w:p>
    <w:p w:rsidR="000A156F" w:rsidRDefault="00A9721F">
      <w:pPr>
        <w:pStyle w:val="Heading3"/>
      </w:pPr>
      <w:bookmarkStart w:id="2999" w:name="section_7bcdf1d23b754a548fb87af678555e39"/>
      <w:bookmarkStart w:id="3000" w:name="_Toc181684525"/>
      <w:r>
        <w:t>Part 1 Section 21.2.2.96, line3DChart (3D Line Charts)</w:t>
      </w:r>
      <w:bookmarkEnd w:id="2999"/>
      <w:bookmarkEnd w:id="3000"/>
      <w:r>
        <w:fldChar w:fldCharType="begin"/>
      </w:r>
      <w:r>
        <w:instrText xml:space="preserve"> XE "line3DChart (3D Line Charts)" </w:instrText>
      </w:r>
      <w:r>
        <w:fldChar w:fldCharType="end"/>
      </w:r>
    </w:p>
    <w:p w:rsidR="000A156F" w:rsidRDefault="00A9721F">
      <w:pPr>
        <w:pStyle w:val="Definition-Field"/>
      </w:pPr>
      <w:r>
        <w:t xml:space="preserve">a.   </w:t>
      </w:r>
      <w:r>
        <w:rPr>
          <w:i/>
        </w:rPr>
        <w:t xml:space="preserve">The standard </w:t>
      </w:r>
      <w:r>
        <w:rPr>
          <w:i/>
        </w:rPr>
        <w:t>states that the values of the child element axId are defined by the XML Schem unsignedInt datatype.</w:t>
      </w:r>
    </w:p>
    <w:p w:rsidR="000A156F" w:rsidRDefault="00A9721F">
      <w:pPr>
        <w:pStyle w:val="Definition-Field2"/>
      </w:pPr>
      <w:r>
        <w:t>In Office, child element axId has a maximum value of 2147483647.</w:t>
      </w:r>
    </w:p>
    <w:p w:rsidR="000A156F" w:rsidRDefault="00A9721F">
      <w:pPr>
        <w:pStyle w:val="Definition-Field"/>
      </w:pPr>
      <w:r>
        <w:t xml:space="preserve">b.   </w:t>
      </w:r>
      <w:r>
        <w:rPr>
          <w:i/>
        </w:rPr>
        <w:t>The standard states that the maxOccurs value for the ser child element is unbounded.</w:t>
      </w:r>
    </w:p>
    <w:p w:rsidR="000A156F" w:rsidRDefault="00A9721F">
      <w:pPr>
        <w:pStyle w:val="Definition-Field2"/>
      </w:pPr>
      <w:r>
        <w:t>O</w:t>
      </w:r>
      <w:r>
        <w:t>ffice limits the occurrences of this element to 255.</w:t>
      </w:r>
    </w:p>
    <w:p w:rsidR="000A156F" w:rsidRDefault="00A9721F">
      <w:pPr>
        <w:pStyle w:val="Heading3"/>
      </w:pPr>
      <w:bookmarkStart w:id="3001" w:name="section_28cc58e871c2454c9c4eef78fa758552"/>
      <w:bookmarkStart w:id="3002" w:name="_Toc181684526"/>
      <w:r>
        <w:t>Part 1 Section 21.2.2.97, lineChart (Line Charts)</w:t>
      </w:r>
      <w:bookmarkEnd w:id="3001"/>
      <w:bookmarkEnd w:id="3002"/>
      <w:r>
        <w:fldChar w:fldCharType="begin"/>
      </w:r>
      <w:r>
        <w:instrText xml:space="preserve"> XE "lineChart (Line Charts)"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0A156F" w:rsidRDefault="00A9721F">
      <w:pPr>
        <w:pStyle w:val="Heading3"/>
      </w:pPr>
      <w:bookmarkStart w:id="3003" w:name="section_f6d3a915d0354a95b1668a66c55ff8a4"/>
      <w:bookmarkStart w:id="3004" w:name="_Toc181684527"/>
      <w:r>
        <w:t>Part 1 Section 21.2.2.99, lvl (Level)</w:t>
      </w:r>
      <w:bookmarkEnd w:id="3003"/>
      <w:bookmarkEnd w:id="3004"/>
      <w:r>
        <w:fldChar w:fldCharType="begin"/>
      </w:r>
      <w:r>
        <w:instrText xml:space="preserve"> XE "lvl (Level)" </w:instrText>
      </w:r>
      <w:r>
        <w:fldChar w:fldCharType="end"/>
      </w:r>
    </w:p>
    <w:p w:rsidR="000A156F" w:rsidRDefault="00A9721F">
      <w:pPr>
        <w:pStyle w:val="Definition-Field"/>
      </w:pPr>
      <w:r>
        <w:t xml:space="preserve">a.   </w:t>
      </w:r>
      <w:r>
        <w:rPr>
          <w:i/>
        </w:rPr>
        <w:t>The standard states that the maxOccurs value for the pt child element is unbounded.</w:t>
      </w:r>
    </w:p>
    <w:p w:rsidR="000A156F" w:rsidRDefault="00A9721F">
      <w:pPr>
        <w:pStyle w:val="Definition-Field2"/>
      </w:pPr>
      <w:r>
        <w:t>Office limits the oc</w:t>
      </w:r>
      <w:r>
        <w:t>currences of this element to 2147483647; occurrences greater than 1048576 will be ignored on load and discarded on save.</w:t>
      </w:r>
    </w:p>
    <w:p w:rsidR="000A156F" w:rsidRDefault="00A9721F">
      <w:pPr>
        <w:pStyle w:val="Heading3"/>
      </w:pPr>
      <w:bookmarkStart w:id="3005" w:name="section_c1126f5e88c844d3b6cd3bcfc7368bea"/>
      <w:bookmarkStart w:id="3006" w:name="_Toc181684528"/>
      <w:r>
        <w:t>Part 1 Section 21.2.2.101, majorTickMark (Major Tick Mark)</w:t>
      </w:r>
      <w:bookmarkEnd w:id="3005"/>
      <w:bookmarkEnd w:id="3006"/>
      <w:r>
        <w:fldChar w:fldCharType="begin"/>
      </w:r>
      <w:r>
        <w:instrText xml:space="preserve"> XE "majorTickMark (Major Tick Mark)" </w:instrText>
      </w:r>
      <w:r>
        <w:fldChar w:fldCharType="end"/>
      </w:r>
    </w:p>
    <w:p w:rsidR="000A156F" w:rsidRDefault="00A9721F">
      <w:pPr>
        <w:pStyle w:val="Definition-Field"/>
      </w:pPr>
      <w:r>
        <w:t xml:space="preserve">a.   </w:t>
      </w:r>
      <w:r>
        <w:rPr>
          <w:i/>
        </w:rPr>
        <w:t>The standard states that the va</w:t>
      </w:r>
      <w:r>
        <w:rPr>
          <w:i/>
        </w:rPr>
        <w:t>l attribute of this element specifies the minor tick mark position.</w:t>
      </w:r>
    </w:p>
    <w:p w:rsidR="000A156F" w:rsidRDefault="00A9721F">
      <w:pPr>
        <w:pStyle w:val="Definition-Field2"/>
      </w:pPr>
      <w:r>
        <w:t>In Office, the val attribute of this element specifies the major tick mark position.</w:t>
      </w:r>
    </w:p>
    <w:p w:rsidR="000A156F" w:rsidRDefault="00A9721F">
      <w:pPr>
        <w:pStyle w:val="Heading3"/>
      </w:pPr>
      <w:bookmarkStart w:id="3007" w:name="section_8268861e15c944fa9982632c6f2d6987"/>
      <w:bookmarkStart w:id="3008" w:name="_Toc181684529"/>
      <w:r>
        <w:t>Part 1 Section 21.2.2.103, majorUnit (Major Unit)</w:t>
      </w:r>
      <w:bookmarkEnd w:id="3007"/>
      <w:bookmarkEnd w:id="3008"/>
      <w:r>
        <w:fldChar w:fldCharType="begin"/>
      </w:r>
      <w:r>
        <w:instrText xml:space="preserve"> XE "majorUnit (Major Unit)" </w:instrText>
      </w:r>
      <w:r>
        <w:fldChar w:fldCharType="end"/>
      </w:r>
    </w:p>
    <w:p w:rsidR="000A156F" w:rsidRDefault="00A9721F">
      <w:pPr>
        <w:pStyle w:val="Definition-Field"/>
      </w:pPr>
      <w:r>
        <w:t xml:space="preserve">a.   </w:t>
      </w:r>
      <w:r>
        <w:rPr>
          <w:i/>
        </w:rPr>
        <w:t>The standard stat</w:t>
      </w:r>
      <w:r>
        <w:rPr>
          <w:i/>
        </w:rPr>
        <w:t>es that the minimum value of the val attribute is equal to 0.</w:t>
      </w:r>
    </w:p>
    <w:p w:rsidR="000A156F" w:rsidRDefault="00A9721F">
      <w:pPr>
        <w:pStyle w:val="Definition-Field2"/>
      </w:pPr>
      <w:r>
        <w:t>Office requires that the value of the val attribute be greater than or equal to 1 when the parent element is dateAx.</w:t>
      </w:r>
    </w:p>
    <w:p w:rsidR="000A156F" w:rsidRDefault="00A9721F">
      <w:pPr>
        <w:pStyle w:val="Heading3"/>
      </w:pPr>
      <w:bookmarkStart w:id="3009" w:name="section_8ef048666150457e9997509ec5a80cf5"/>
      <w:bookmarkStart w:id="3010" w:name="_Toc181684530"/>
      <w:r>
        <w:lastRenderedPageBreak/>
        <w:t>Part 1 Section 21.2.2.104, manualLayout (Manual Layout)</w:t>
      </w:r>
      <w:bookmarkEnd w:id="3009"/>
      <w:bookmarkEnd w:id="3010"/>
      <w:r>
        <w:fldChar w:fldCharType="begin"/>
      </w:r>
      <w:r>
        <w:instrText xml:space="preserve"> XE "manualLayout (Man</w:instrText>
      </w:r>
      <w:r>
        <w:instrText xml:space="preserve">ual Layout)" </w:instrText>
      </w:r>
      <w:r>
        <w:fldChar w:fldCharType="end"/>
      </w:r>
    </w:p>
    <w:p w:rsidR="000A156F" w:rsidRDefault="00A9721F">
      <w:pPr>
        <w:pStyle w:val="Definition-Field"/>
      </w:pPr>
      <w:r>
        <w:t xml:space="preserve">a.   </w:t>
      </w:r>
      <w:r>
        <w:rPr>
          <w:i/>
        </w:rPr>
        <w:t>The standard does not place any restrictions on when the attributes can be specified.</w:t>
      </w:r>
    </w:p>
    <w:p w:rsidR="000A156F" w:rsidRDefault="00A9721F">
      <w:pPr>
        <w:pStyle w:val="Definition-Field2"/>
      </w:pPr>
      <w:r>
        <w:t>Office requires that attributes h, w, x, and y all be specified if one is specified and the ancestors include legend or plotArea.  If x or y are spec</w:t>
      </w:r>
      <w:r>
        <w:t>ified and the ancestors include dispUnitsLbl, dLbl, title, or trendlineLbl, both shall be specified.</w:t>
      </w:r>
    </w:p>
    <w:p w:rsidR="000A156F" w:rsidRDefault="00A9721F">
      <w:pPr>
        <w:pStyle w:val="Heading3"/>
      </w:pPr>
      <w:bookmarkStart w:id="3011" w:name="section_72be69072aa4474da8e29b5fb073bd8a"/>
      <w:bookmarkStart w:id="3012" w:name="_Toc181684531"/>
      <w:r>
        <w:t>Part 1 Section 21.2.2.105, marker (Show Marker)</w:t>
      </w:r>
      <w:bookmarkEnd w:id="3011"/>
      <w:bookmarkEnd w:id="3012"/>
      <w:r>
        <w:fldChar w:fldCharType="begin"/>
      </w:r>
      <w:r>
        <w:instrText xml:space="preserve"> XE "marker (Show Marker)" </w:instrText>
      </w:r>
      <w:r>
        <w:fldChar w:fldCharType="end"/>
      </w:r>
    </w:p>
    <w:p w:rsidR="000A156F" w:rsidRDefault="00A9721F">
      <w:pPr>
        <w:pStyle w:val="Definition-Field"/>
      </w:pPr>
      <w:r>
        <w:t xml:space="preserve">a.   </w:t>
      </w:r>
      <w:r>
        <w:rPr>
          <w:i/>
        </w:rPr>
        <w:t xml:space="preserve">The standard states this element is a boolean that, when true, specifies </w:t>
      </w:r>
      <w:r>
        <w:rPr>
          <w:i/>
        </w:rPr>
        <w:t>that the marker shall be shown.</w:t>
      </w:r>
    </w:p>
    <w:p w:rsidR="000A156F" w:rsidRDefault="00A9721F">
      <w:pPr>
        <w:pStyle w:val="Definition-Field2"/>
      </w:pPr>
      <w:r>
        <w:t>Office always ignores and does not use this element to define if markers shall be shown.</w:t>
      </w:r>
    </w:p>
    <w:p w:rsidR="000A156F" w:rsidRDefault="00A9721F">
      <w:pPr>
        <w:pStyle w:val="Heading3"/>
      </w:pPr>
      <w:bookmarkStart w:id="3013" w:name="section_c42ddf7df72d4cb69f3513e6e30d7d25"/>
      <w:bookmarkStart w:id="3014" w:name="_Toc181684532"/>
      <w:r>
        <w:t>Part 1 Section 21.2.2.106, marker (Marker)</w:t>
      </w:r>
      <w:bookmarkEnd w:id="3013"/>
      <w:bookmarkEnd w:id="3014"/>
      <w:r>
        <w:fldChar w:fldCharType="begin"/>
      </w:r>
      <w:r>
        <w:instrText xml:space="preserve"> XE "marker (Marker)" </w:instrText>
      </w:r>
      <w:r>
        <w:fldChar w:fldCharType="end"/>
      </w:r>
    </w:p>
    <w:p w:rsidR="000A156F" w:rsidRDefault="00A9721F">
      <w:pPr>
        <w:pStyle w:val="Definition-Field"/>
      </w:pPr>
      <w:r>
        <w:t xml:space="preserve">a.   </w:t>
      </w:r>
      <w:r>
        <w:rPr>
          <w:i/>
        </w:rPr>
        <w:t>The standard states this element can be a child of any ser (Lin</w:t>
      </w:r>
      <w:r>
        <w:rPr>
          <w:i/>
        </w:rPr>
        <w:t>e Chart Series) element.</w:t>
      </w:r>
    </w:p>
    <w:p w:rsidR="000A156F" w:rsidRDefault="00A9721F">
      <w:pPr>
        <w:pStyle w:val="Definition-Field2"/>
      </w:pPr>
      <w:r>
        <w:t>Office requires that the ancestors not include line3DChart when this element is specified.</w:t>
      </w:r>
    </w:p>
    <w:p w:rsidR="000A156F" w:rsidRDefault="00A9721F">
      <w:pPr>
        <w:pStyle w:val="Heading3"/>
      </w:pPr>
      <w:bookmarkStart w:id="3015" w:name="section_652d488b12c641ba9cca59a8e954102b"/>
      <w:bookmarkStart w:id="3016" w:name="_Toc181684533"/>
      <w:r>
        <w:t>Part 1 Section 21.2.2.107, max (Maximum)</w:t>
      </w:r>
      <w:bookmarkEnd w:id="3015"/>
      <w:bookmarkEnd w:id="3016"/>
      <w:r>
        <w:fldChar w:fldCharType="begin"/>
      </w:r>
      <w:r>
        <w:instrText xml:space="preserve"> XE "max (Maximum)" </w:instrText>
      </w:r>
      <w:r>
        <w:fldChar w:fldCharType="end"/>
      </w:r>
    </w:p>
    <w:p w:rsidR="000A156F" w:rsidRDefault="00A9721F">
      <w:pPr>
        <w:pStyle w:val="Definition-Field2"/>
      </w:pPr>
      <w:r>
        <w:rPr>
          <w:i/>
        </w:rPr>
        <w:t>For additional notes that apply to this portion of the standard, please see t</w:t>
      </w:r>
      <w:r>
        <w:rPr>
          <w:i/>
        </w:rPr>
        <w:t xml:space="preserve">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w:t>
        </w:r>
        <w:r>
          <w:rPr>
            <w:rStyle w:val="Hyperlink"/>
          </w:rPr>
          <w:t>itPos, §21.2.2.195(c)</w:t>
        </w:r>
      </w:hyperlink>
      <w:r>
        <w:rPr>
          <w:i/>
        </w:rPr>
        <w:t>.</w:t>
      </w:r>
    </w:p>
    <w:p w:rsidR="000A156F" w:rsidRDefault="00A9721F">
      <w:pPr>
        <w:pStyle w:val="Heading3"/>
      </w:pPr>
      <w:bookmarkStart w:id="3017" w:name="section_8066396fad5d4ee18d3fbc72fe7b589d"/>
      <w:bookmarkStart w:id="3018" w:name="_Toc181684534"/>
      <w:r>
        <w:t>Part 1 Section 21.2.2.108, min (Minimum)</w:t>
      </w:r>
      <w:bookmarkEnd w:id="3017"/>
      <w:bookmarkEnd w:id="3018"/>
      <w:r>
        <w:fldChar w:fldCharType="begin"/>
      </w:r>
      <w:r>
        <w:instrText xml:space="preserve"> XE "min (Minimum)"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5ba9569da3445309743b040df140552">
        <w:r>
          <w:rPr>
            <w:rStyle w:val="Hyperlink"/>
          </w:rPr>
          <w:t>crossesAt, §21.2.</w:t>
        </w:r>
        <w:r>
          <w:rPr>
            <w:rStyle w:val="Hyperlink"/>
          </w:rPr>
          <w:t>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A156F" w:rsidRDefault="00A9721F">
      <w:pPr>
        <w:pStyle w:val="Heading3"/>
      </w:pPr>
      <w:bookmarkStart w:id="3019" w:name="section_8c28df63f35244b9bdf634dcd4faaa84"/>
      <w:bookmarkStart w:id="3020" w:name="_Toc181684535"/>
      <w:r>
        <w:t>Part 1 Section 21.2.2.112, minorUnit (Minor Unit)</w:t>
      </w:r>
      <w:bookmarkEnd w:id="3019"/>
      <w:bookmarkEnd w:id="3020"/>
      <w:r>
        <w:fldChar w:fldCharType="begin"/>
      </w:r>
      <w:r>
        <w:instrText xml:space="preserve"> XE "minorUnit (Minor Unit)" </w:instrText>
      </w:r>
      <w:r>
        <w:fldChar w:fldCharType="end"/>
      </w:r>
    </w:p>
    <w:p w:rsidR="000A156F" w:rsidRDefault="00A9721F">
      <w:pPr>
        <w:pStyle w:val="Definition-Field"/>
      </w:pPr>
      <w:r>
        <w:t xml:space="preserve">a.   </w:t>
      </w:r>
      <w:r>
        <w:rPr>
          <w:i/>
        </w:rPr>
        <w:t>The standard states that the minimum value of the val attribute is equal to 0.</w:t>
      </w:r>
    </w:p>
    <w:p w:rsidR="000A156F" w:rsidRDefault="00A9721F">
      <w:pPr>
        <w:pStyle w:val="Definition-Field2"/>
      </w:pPr>
      <w:r>
        <w:t>Office requires that the value of the val attribute be greater than or equal to 1 when the parent element is dateAx.</w:t>
      </w:r>
    </w:p>
    <w:p w:rsidR="000A156F" w:rsidRDefault="00A9721F">
      <w:pPr>
        <w:pStyle w:val="Heading3"/>
      </w:pPr>
      <w:bookmarkStart w:id="3021" w:name="section_f9019fcff51d4d9589c4e9267f846bdb"/>
      <w:bookmarkStart w:id="3022" w:name="_Toc181684536"/>
      <w:r>
        <w:t>Part 1 Section 21.2.2.1</w:t>
      </w:r>
      <w:r>
        <w:t>13, minus (Minus)</w:t>
      </w:r>
      <w:bookmarkEnd w:id="3021"/>
      <w:bookmarkEnd w:id="3022"/>
      <w:r>
        <w:fldChar w:fldCharType="begin"/>
      </w:r>
      <w:r>
        <w:instrText xml:space="preserve"> XE "minus (Minus)" </w:instrText>
      </w:r>
      <w:r>
        <w:fldChar w:fldCharType="end"/>
      </w:r>
    </w:p>
    <w:p w:rsidR="000A156F" w:rsidRDefault="00A9721F">
      <w:pPr>
        <w:pStyle w:val="Definition-Field"/>
      </w:pPr>
      <w:r>
        <w:t xml:space="preserve">a.   </w:t>
      </w:r>
      <w:r>
        <w:rPr>
          <w:i/>
        </w:rPr>
        <w:t>The standard states that this element shall be used only when the errValType is cust.</w:t>
      </w:r>
    </w:p>
    <w:p w:rsidR="000A156F" w:rsidRDefault="00A9721F">
      <w:pPr>
        <w:pStyle w:val="Definition-Field2"/>
      </w:pPr>
      <w:r>
        <w:t xml:space="preserve">Office also saves out this element if the errValType is stdErr and the error bar value had been custom type during the </w:t>
      </w:r>
      <w:r>
        <w:t>current workbook session.</w:t>
      </w:r>
    </w:p>
    <w:p w:rsidR="000A156F" w:rsidRDefault="00A9721F">
      <w:pPr>
        <w:pStyle w:val="Heading3"/>
      </w:pPr>
      <w:bookmarkStart w:id="3023" w:name="section_c18a957f2c2c4f6cb25a6b7e733cc52e"/>
      <w:bookmarkStart w:id="3024" w:name="_Toc181684537"/>
      <w:r>
        <w:t>Part 1 Section 21.2.2.114, multiLvlStrCache (Multi Level String Cache)</w:t>
      </w:r>
      <w:bookmarkEnd w:id="3023"/>
      <w:bookmarkEnd w:id="3024"/>
      <w:r>
        <w:fldChar w:fldCharType="begin"/>
      </w:r>
      <w:r>
        <w:instrText xml:space="preserve"> XE "multiLvlStrCache (Multi Level String Cache)" </w:instrText>
      </w:r>
      <w:r>
        <w:fldChar w:fldCharType="end"/>
      </w:r>
    </w:p>
    <w:p w:rsidR="000A156F" w:rsidRDefault="00A9721F">
      <w:pPr>
        <w:pStyle w:val="Definition-Field"/>
      </w:pPr>
      <w:r>
        <w:t xml:space="preserve">a.   </w:t>
      </w:r>
      <w:r>
        <w:rPr>
          <w:i/>
        </w:rPr>
        <w:t>The standard states that this element specifies the last data shown on the chart for a category axis.</w:t>
      </w:r>
    </w:p>
    <w:p w:rsidR="000A156F" w:rsidRDefault="00A9721F">
      <w:pPr>
        <w:pStyle w:val="Definition-Field2"/>
      </w:pPr>
      <w:r>
        <w:t>In Office, this element specifies a cache of the labels on the category axis, or the x-values in a bubble or scatter chart.</w:t>
      </w:r>
    </w:p>
    <w:p w:rsidR="000A156F" w:rsidRDefault="00A9721F">
      <w:pPr>
        <w:pStyle w:val="Heading3"/>
      </w:pPr>
      <w:bookmarkStart w:id="3025" w:name="section_5a37b2e1a0914137b7fabf136bc9b3c5"/>
      <w:bookmarkStart w:id="3026" w:name="_Toc181684538"/>
      <w:r>
        <w:lastRenderedPageBreak/>
        <w:t>Part 1 Section 21.2.2.115, multiLvlStrRef (Multi Level String Reference)</w:t>
      </w:r>
      <w:bookmarkEnd w:id="3025"/>
      <w:bookmarkEnd w:id="3026"/>
      <w:r>
        <w:fldChar w:fldCharType="begin"/>
      </w:r>
      <w:r>
        <w:instrText xml:space="preserve"> XE "multiLvlStrRef (Multi Level String Reference)" </w:instrText>
      </w:r>
      <w:r>
        <w:fldChar w:fldCharType="end"/>
      </w:r>
    </w:p>
    <w:p w:rsidR="000A156F" w:rsidRDefault="00A9721F">
      <w:pPr>
        <w:pStyle w:val="Definition-Field"/>
      </w:pPr>
      <w:r>
        <w:t xml:space="preserve">a.   </w:t>
      </w:r>
      <w:r>
        <w:rPr>
          <w:i/>
        </w:rPr>
        <w:t>The standard states that this element specifies a reference to data for the category axis with a cache of the last values used.</w:t>
      </w:r>
    </w:p>
    <w:p w:rsidR="000A156F" w:rsidRDefault="00A9721F">
      <w:pPr>
        <w:pStyle w:val="Definition-Field2"/>
      </w:pPr>
      <w:r>
        <w:t xml:space="preserve">In Office, this element specifies a reference to data for the category axis (or for the x-values in a bubble or scatter chart), </w:t>
      </w:r>
      <w:r>
        <w:t>along with a cache of the last values used.</w:t>
      </w:r>
    </w:p>
    <w:p w:rsidR="000A156F" w:rsidRDefault="00A9721F">
      <w:pPr>
        <w:pStyle w:val="Heading3"/>
      </w:pPr>
      <w:bookmarkStart w:id="3027" w:name="section_3a82b89e726440c1a09fd569374fe6a9"/>
      <w:bookmarkStart w:id="3028" w:name="_Toc181684539"/>
      <w:r>
        <w:t>Part 1 Section 21.2.2.117, name (Pivot Name)</w:t>
      </w:r>
      <w:bookmarkEnd w:id="3027"/>
      <w:bookmarkEnd w:id="3028"/>
      <w:r>
        <w:fldChar w:fldCharType="begin"/>
      </w:r>
      <w:r>
        <w:instrText xml:space="preserve"> XE "name (Pivot Name)" </w:instrText>
      </w:r>
      <w:r>
        <w:fldChar w:fldCharType="end"/>
      </w:r>
    </w:p>
    <w:p w:rsidR="000A156F" w:rsidRDefault="00A9721F">
      <w:pPr>
        <w:pStyle w:val="Definition-Field"/>
      </w:pPr>
      <w:r>
        <w:t xml:space="preserve">a.   </w:t>
      </w:r>
      <w:r>
        <w:rPr>
          <w:i/>
        </w:rPr>
        <w:t>The standard states that this element specifies the name of the PivotTable to get the data for the chart from.</w:t>
      </w:r>
    </w:p>
    <w:p w:rsidR="000A156F" w:rsidRDefault="00A9721F">
      <w:r>
        <w:t>In Office, the name of th</w:t>
      </w:r>
      <w:r>
        <w:t>e PivotTable is defined using the following format:</w:t>
      </w:r>
    </w:p>
    <w:p w:rsidR="000A156F" w:rsidRDefault="00A9721F">
      <w:r>
        <w:t>[</w:t>
      </w:r>
      <w:r>
        <w:rPr>
          <w:i/>
        </w:rPr>
        <w:t>filename</w:t>
      </w:r>
      <w:r>
        <w:t>]</w:t>
      </w:r>
      <w:r>
        <w:rPr>
          <w:i/>
        </w:rPr>
        <w:t>sheet</w:t>
      </w:r>
      <w:r>
        <w:t>!</w:t>
      </w:r>
      <w:r>
        <w:rPr>
          <w:i/>
        </w:rPr>
        <w:t>pivottable</w:t>
      </w:r>
    </w:p>
    <w:p w:rsidR="000A156F" w:rsidRDefault="00A9721F">
      <w:r>
        <w:rPr>
          <w:i/>
        </w:rPr>
        <w:t xml:space="preserve">filename </w:t>
      </w:r>
      <w:r>
        <w:t xml:space="preserve">is the name of the SpreadsheetML file containing the PivotTable, </w:t>
      </w:r>
      <w:r>
        <w:rPr>
          <w:i/>
        </w:rPr>
        <w:t>sheet</w:t>
      </w:r>
      <w:r>
        <w:t xml:space="preserve"> is the name of the worksheet containing the PivotTable, and </w:t>
      </w:r>
      <w:r>
        <w:rPr>
          <w:i/>
        </w:rPr>
        <w:t xml:space="preserve">pivottable </w:t>
      </w:r>
      <w:r>
        <w:t>is the name of the PivotTa</w:t>
      </w:r>
      <w:r>
        <w:t xml:space="preserve">ble itself.  The name of the PivotTable matches the </w:t>
      </w:r>
      <w:r>
        <w:rPr>
          <w:b/>
        </w:rPr>
        <w:t>name</w:t>
      </w:r>
      <w:r>
        <w:t xml:space="preserve"> attribute of the pivotTableDefinition element ("</w:t>
      </w:r>
      <w:hyperlink r:id="rId220">
        <w:r>
          <w:rPr>
            <w:rStyle w:val="Hyperlink"/>
          </w:rPr>
          <w:t>[ISO/IEC-29500-1]</w:t>
        </w:r>
      </w:hyperlink>
      <w:r>
        <w:t xml:space="preserve"> §18.10.1.73; pivotTableDefinition (PivotTable Definition)") of the </w:t>
      </w:r>
      <w:r>
        <w:t>associated PivotTable.</w:t>
      </w:r>
    </w:p>
    <w:p w:rsidR="000A156F" w:rsidRDefault="00A9721F">
      <w:r>
        <w:t>If the name is not specified in the correct format or refers to an object that does not exist, no association between the chart and the PivotTable is made.</w:t>
      </w:r>
    </w:p>
    <w:p w:rsidR="000A156F" w:rsidRDefault="00A9721F">
      <w:pPr>
        <w:pStyle w:val="Heading3"/>
      </w:pPr>
      <w:bookmarkStart w:id="3029" w:name="section_0539ffcc9bd2430daea017400f7f532f"/>
      <w:bookmarkStart w:id="3030" w:name="_Toc181684540"/>
      <w:r>
        <w:t>Part 1 Section 21.2.2.121, numFmt (Number Format)</w:t>
      </w:r>
      <w:bookmarkEnd w:id="3029"/>
      <w:bookmarkEnd w:id="3030"/>
      <w:r>
        <w:fldChar w:fldCharType="begin"/>
      </w:r>
      <w:r>
        <w:instrText xml:space="preserve"> XE "numFmt (Number Format)"</w:instrText>
      </w:r>
      <w:r>
        <w:instrText xml:space="preserve"> </w:instrText>
      </w:r>
      <w:r>
        <w:fldChar w:fldCharType="end"/>
      </w:r>
    </w:p>
    <w:p w:rsidR="000A156F" w:rsidRDefault="00A9721F">
      <w:pPr>
        <w:pStyle w:val="Definition-Field"/>
      </w:pPr>
      <w:r>
        <w:t xml:space="preserve">a.   </w:t>
      </w:r>
      <w:r>
        <w:rPr>
          <w:i/>
        </w:rPr>
        <w:t>The standard states that the sourceLinked attribute should be respected when the parent is TrendlineLbl.</w:t>
      </w:r>
    </w:p>
    <w:p w:rsidR="000A156F" w:rsidRDefault="00A9721F">
      <w:pPr>
        <w:pStyle w:val="Definition-Field2"/>
      </w:pPr>
      <w:r>
        <w:t>In Office, if this element is parented by a TrendlineLbl element, the sourceLinked attribute is not used.</w:t>
      </w:r>
    </w:p>
    <w:p w:rsidR="000A156F" w:rsidRDefault="00A9721F">
      <w:pPr>
        <w:pStyle w:val="Heading3"/>
      </w:pPr>
      <w:bookmarkStart w:id="3031" w:name="section_756b76a3434e4616b00ea5ee62ca85ba"/>
      <w:bookmarkStart w:id="3032" w:name="_Toc181684541"/>
      <w:r>
        <w:t>Part 1 Section 21.2.2.124, oddFooter</w:t>
      </w:r>
      <w:r>
        <w:t xml:space="preserve"> (Odd Footer)</w:t>
      </w:r>
      <w:bookmarkEnd w:id="3031"/>
      <w:bookmarkEnd w:id="3032"/>
      <w:r>
        <w:fldChar w:fldCharType="begin"/>
      </w:r>
      <w:r>
        <w:instrText xml:space="preserve"> XE "oddFooter (Odd Footer)" </w:instrText>
      </w:r>
      <w:r>
        <w:fldChar w:fldCharType="end"/>
      </w:r>
    </w:p>
    <w:p w:rsidR="000A156F" w:rsidRDefault="00A9721F">
      <w:pPr>
        <w:pStyle w:val="Definition-Field"/>
      </w:pPr>
      <w:r>
        <w:t xml:space="preserve">a.   </w:t>
      </w:r>
      <w:r>
        <w:rPr>
          <w:i/>
        </w:rPr>
        <w:t>The standard states that this element defines the footer to use on odd numbered pages.</w:t>
      </w:r>
    </w:p>
    <w:p w:rsidR="000A156F" w:rsidRDefault="00A9721F">
      <w:pPr>
        <w:pStyle w:val="Definition-Field2"/>
      </w:pPr>
      <w:r>
        <w:t>Office applies this footer to all pages if the differentOddEven attribute of the parent element equals false.  Office d</w:t>
      </w:r>
      <w:r>
        <w:t>oes not apply this footer to the first page if the differentFirst attribute of the parent element equals true.</w:t>
      </w:r>
    </w:p>
    <w:p w:rsidR="000A156F" w:rsidRDefault="00A9721F">
      <w:pPr>
        <w:pStyle w:val="Definition-Field"/>
      </w:pPr>
      <w:r>
        <w:t xml:space="preserve">b.   </w:t>
      </w:r>
      <w:r>
        <w:rPr>
          <w:i/>
        </w:rPr>
        <w:t>The standard states that this element is of type ST_XString.</w:t>
      </w:r>
    </w:p>
    <w:p w:rsidR="000A156F" w:rsidRDefault="00A9721F">
      <w:pPr>
        <w:pStyle w:val="Definition-Field2"/>
      </w:pPr>
      <w:r>
        <w:t>Office does not attempt to decode the character escape sequences defined in ST_</w:t>
      </w:r>
      <w:r>
        <w:t>XString.</w:t>
      </w:r>
    </w:p>
    <w:p w:rsidR="000A156F" w:rsidRDefault="00A9721F">
      <w:pPr>
        <w:pStyle w:val="Heading3"/>
      </w:pPr>
      <w:bookmarkStart w:id="3033" w:name="section_80313181681845dcacc66357c2366ddc"/>
      <w:bookmarkStart w:id="3034" w:name="_Toc181684542"/>
      <w:r>
        <w:t>Part 1 Section 21.2.2.125, oddHeader (Odd Header)</w:t>
      </w:r>
      <w:bookmarkEnd w:id="3033"/>
      <w:bookmarkEnd w:id="3034"/>
      <w:r>
        <w:fldChar w:fldCharType="begin"/>
      </w:r>
      <w:r>
        <w:instrText xml:space="preserve"> XE "oddHeader (Odd Header)" </w:instrText>
      </w:r>
      <w:r>
        <w:fldChar w:fldCharType="end"/>
      </w:r>
    </w:p>
    <w:p w:rsidR="000A156F" w:rsidRDefault="00A9721F">
      <w:pPr>
        <w:pStyle w:val="Definition-Field"/>
      </w:pPr>
      <w:r>
        <w:t xml:space="preserve">a.   </w:t>
      </w:r>
      <w:r>
        <w:rPr>
          <w:i/>
        </w:rPr>
        <w:t>The standard states that this element defines the header to use on odd numbered pages.</w:t>
      </w:r>
    </w:p>
    <w:p w:rsidR="000A156F" w:rsidRDefault="00A9721F">
      <w:pPr>
        <w:pStyle w:val="Definition-Field2"/>
      </w:pPr>
      <w:r>
        <w:t xml:space="preserve">Office applies this header to all pages if the differentOddEven attribute </w:t>
      </w:r>
      <w:r>
        <w:t>of the parent element equals false.  Office does not apply this header to the first page if the differentFirst attribute of the parent element equals true.</w:t>
      </w:r>
    </w:p>
    <w:p w:rsidR="000A156F" w:rsidRDefault="00A9721F">
      <w:pPr>
        <w:pStyle w:val="Definition-Field"/>
      </w:pPr>
      <w:r>
        <w:t xml:space="preserve">b.   </w:t>
      </w:r>
      <w:r>
        <w:rPr>
          <w:i/>
        </w:rPr>
        <w:t>The standard states that this element is of type ST_XString.</w:t>
      </w:r>
    </w:p>
    <w:p w:rsidR="000A156F" w:rsidRDefault="00A9721F">
      <w:pPr>
        <w:pStyle w:val="Definition-Field2"/>
      </w:pPr>
      <w:r>
        <w:t xml:space="preserve">Office does not attempt to decode </w:t>
      </w:r>
      <w:r>
        <w:t>the character escape sequences defined in ST_XString.</w:t>
      </w:r>
    </w:p>
    <w:p w:rsidR="000A156F" w:rsidRDefault="00A9721F">
      <w:pPr>
        <w:pStyle w:val="Heading3"/>
      </w:pPr>
      <w:bookmarkStart w:id="3035" w:name="section_8bff8328f5ee483c84214df869d8f741"/>
      <w:bookmarkStart w:id="3036" w:name="_Toc181684543"/>
      <w:r>
        <w:lastRenderedPageBreak/>
        <w:t>Part 1 Section 21.2.2.126, ofPieChart (Pie of Pie or Bar of Pie Charts)</w:t>
      </w:r>
      <w:bookmarkEnd w:id="3035"/>
      <w:bookmarkEnd w:id="3036"/>
      <w:r>
        <w:fldChar w:fldCharType="begin"/>
      </w:r>
      <w:r>
        <w:instrText xml:space="preserve"> XE "ofPieChart (Pie of Pie or Bar of Pie Charts)" </w:instrText>
      </w:r>
      <w:r>
        <w:fldChar w:fldCharType="end"/>
      </w:r>
    </w:p>
    <w:p w:rsidR="000A156F" w:rsidRDefault="00A9721F">
      <w:pPr>
        <w:pStyle w:val="Definition-Field2"/>
      </w:pPr>
      <w:r>
        <w:rPr>
          <w:i/>
        </w:rPr>
        <w:t>For additional notes that apply to this portion of the standard, please see t</w:t>
      </w:r>
      <w:r>
        <w:rPr>
          <w:i/>
        </w:rPr>
        <w:t xml:space="preserve">he notes for </w:t>
      </w:r>
      <w:hyperlink w:anchor="Section_06c618921ab34e35a09dee70b3a3c704">
        <w:r>
          <w:rPr>
            <w:rStyle w:val="Hyperlink"/>
          </w:rPr>
          <w:t>pie3DChart, §21.2.2.140(b)</w:t>
        </w:r>
      </w:hyperlink>
      <w:r>
        <w:rPr>
          <w:i/>
        </w:rPr>
        <w:t>.</w:t>
      </w:r>
    </w:p>
    <w:p w:rsidR="000A156F" w:rsidRDefault="00A9721F">
      <w:pPr>
        <w:pStyle w:val="Definition-Field"/>
      </w:pPr>
      <w:r>
        <w:t xml:space="preserve">a.   </w:t>
      </w:r>
      <w:r>
        <w:rPr>
          <w:i/>
        </w:rPr>
        <w:t>The standard states that this element contains the pie of pie or bar of pie series on this chart.</w:t>
      </w:r>
    </w:p>
    <w:p w:rsidR="000A156F" w:rsidRDefault="00A9721F">
      <w:pPr>
        <w:pStyle w:val="Definition-Field2"/>
      </w:pPr>
      <w:r>
        <w:t xml:space="preserve">In Office, this element specifies an ofPieChart </w:t>
      </w:r>
      <w:r>
        <w:t>that has a primary pie chart and a secondary bar (Bar of Pie) or pie (Pie of Pie) chart. The data in the secondary chart are aggregated into an additional “Other” slice in the primary chart.</w:t>
      </w:r>
    </w:p>
    <w:p w:rsidR="000A156F" w:rsidRDefault="00A9721F">
      <w:pPr>
        <w:pStyle w:val="Heading3"/>
      </w:pPr>
      <w:bookmarkStart w:id="3037" w:name="section_c444df6ef827424b88b38411bcb3e799"/>
      <w:bookmarkStart w:id="3038" w:name="_Toc181684544"/>
      <w:r>
        <w:t>Part 1 Section 21.2.2.127, ofPieType (Pie of Pie or Bar of Pie Ty</w:t>
      </w:r>
      <w:r>
        <w:t>pe)</w:t>
      </w:r>
      <w:bookmarkEnd w:id="3037"/>
      <w:bookmarkEnd w:id="3038"/>
      <w:r>
        <w:fldChar w:fldCharType="begin"/>
      </w:r>
      <w:r>
        <w:instrText xml:space="preserve"> XE "ofPieType (Pie of Pie or Bar of Pie Type)"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Office requires this attribute.</w:t>
      </w:r>
    </w:p>
    <w:p w:rsidR="000A156F" w:rsidRDefault="00A9721F">
      <w:pPr>
        <w:pStyle w:val="Heading3"/>
      </w:pPr>
      <w:bookmarkStart w:id="3039" w:name="section_3bb9ee04625a48d98462c6b25dc8a319"/>
      <w:bookmarkStart w:id="3040" w:name="_Toc181684545"/>
      <w:r>
        <w:t>Part 1 Section 21.2.2.128, order (Order)</w:t>
      </w:r>
      <w:bookmarkEnd w:id="3039"/>
      <w:bookmarkEnd w:id="3040"/>
      <w:r>
        <w:fldChar w:fldCharType="begin"/>
      </w:r>
      <w:r>
        <w:instrText xml:space="preserve"> XE "order (Order)" </w:instrText>
      </w:r>
      <w:r>
        <w:fldChar w:fldCharType="end"/>
      </w:r>
    </w:p>
    <w:p w:rsidR="000A156F" w:rsidRDefault="00A9721F">
      <w:pPr>
        <w:pStyle w:val="Definition-Field"/>
      </w:pPr>
      <w:r>
        <w:t xml:space="preserve">a.   </w:t>
      </w:r>
      <w:r>
        <w:rPr>
          <w:i/>
        </w:rPr>
        <w:t>The standard states that the values of t</w:t>
      </w:r>
      <w:r>
        <w:rPr>
          <w:i/>
        </w:rPr>
        <w:t>he val attribute are defined by the XML Schema unsignedInt datatype.</w:t>
      </w:r>
    </w:p>
    <w:p w:rsidR="000A156F" w:rsidRDefault="00A9721F">
      <w:pPr>
        <w:pStyle w:val="Definition-Field2"/>
      </w:pPr>
      <w:r>
        <w:t>Office restricts the value of this attribute to be at most 2147483647.</w:t>
      </w:r>
    </w:p>
    <w:p w:rsidR="000A156F" w:rsidRDefault="00A9721F">
      <w:pPr>
        <w:pStyle w:val="Definition-Field"/>
      </w:pPr>
      <w:r>
        <w:t xml:space="preserve">b.   </w:t>
      </w:r>
      <w:r>
        <w:rPr>
          <w:i/>
        </w:rPr>
        <w:t>The standard does not have any uniqueness restrictions on the order element.</w:t>
      </w:r>
    </w:p>
    <w:p w:rsidR="000A156F" w:rsidRDefault="00A9721F">
      <w:pPr>
        <w:pStyle w:val="Definition-Field2"/>
      </w:pPr>
      <w:r>
        <w:t xml:space="preserve">Office requires the value of this </w:t>
      </w:r>
      <w:r>
        <w:t>element to be unique amongst any other order elements of the same collection containing the parent series element.</w:t>
      </w:r>
    </w:p>
    <w:p w:rsidR="000A156F" w:rsidRDefault="00A9721F">
      <w:pPr>
        <w:pStyle w:val="Heading3"/>
      </w:pPr>
      <w:bookmarkStart w:id="3041" w:name="section_4370285e4d97454ca63a23336f48f90c"/>
      <w:bookmarkStart w:id="3042" w:name="_Toc181684546"/>
      <w:r>
        <w:t>Part 1 Section 21.2.2.129, order (Polynomial Trendline Order)</w:t>
      </w:r>
      <w:bookmarkEnd w:id="3041"/>
      <w:bookmarkEnd w:id="3042"/>
      <w:r>
        <w:fldChar w:fldCharType="begin"/>
      </w:r>
      <w:r>
        <w:instrText xml:space="preserve"> XE "order (Polynomial Trendline Order)" </w:instrText>
      </w:r>
      <w:r>
        <w:fldChar w:fldCharType="end"/>
      </w:r>
    </w:p>
    <w:p w:rsidR="000A156F" w:rsidRDefault="00A9721F">
      <w:pPr>
        <w:pStyle w:val="Definition-Field"/>
      </w:pPr>
      <w:r>
        <w:t xml:space="preserve">a.   </w:t>
      </w:r>
      <w:r>
        <w:rPr>
          <w:i/>
        </w:rPr>
        <w:t>The standard implies that the v</w:t>
      </w:r>
      <w:r>
        <w:rPr>
          <w:i/>
        </w:rPr>
        <w:t>al attribute is optional.</w:t>
      </w:r>
    </w:p>
    <w:p w:rsidR="000A156F" w:rsidRDefault="00A9721F">
      <w:pPr>
        <w:pStyle w:val="Definition-Field2"/>
      </w:pPr>
      <w:r>
        <w:t>Office requires this attribute.</w:t>
      </w:r>
    </w:p>
    <w:p w:rsidR="000A156F" w:rsidRDefault="00A9721F">
      <w:pPr>
        <w:pStyle w:val="Definition-Field"/>
      </w:pPr>
      <w:r>
        <w:t xml:space="preserve">b.   </w:t>
      </w:r>
      <w:r>
        <w:rPr>
          <w:i/>
        </w:rPr>
        <w:t>The standard states that this element is ignored for non-polynomial trendlines.</w:t>
      </w:r>
    </w:p>
    <w:p w:rsidR="000A156F" w:rsidRDefault="00A9721F">
      <w:pPr>
        <w:pStyle w:val="Definition-Field2"/>
      </w:pPr>
      <w:r>
        <w:t xml:space="preserve">Office requires this element to be specified when the val attribute of trendlineType sibling element is equal to </w:t>
      </w:r>
      <w:r>
        <w:t>poly.</w:t>
      </w:r>
    </w:p>
    <w:p w:rsidR="000A156F" w:rsidRDefault="00A9721F">
      <w:pPr>
        <w:pStyle w:val="Heading3"/>
      </w:pPr>
      <w:bookmarkStart w:id="3043" w:name="section_85891d6c7ab54abb8e369a770c5ed9f7"/>
      <w:bookmarkStart w:id="3044" w:name="_Toc181684547"/>
      <w:r>
        <w:t>Part 1 Section 21.2.2.130, orientation (Axis Orientation)</w:t>
      </w:r>
      <w:bookmarkEnd w:id="3043"/>
      <w:bookmarkEnd w:id="3044"/>
      <w:r>
        <w:fldChar w:fldCharType="begin"/>
      </w:r>
      <w:r>
        <w:instrText xml:space="preserve"> XE "orientation (Axis Orientation)" </w:instrText>
      </w:r>
      <w:r>
        <w:fldChar w:fldCharType="end"/>
      </w:r>
    </w:p>
    <w:p w:rsidR="000A156F" w:rsidRDefault="00A9721F">
      <w:pPr>
        <w:pStyle w:val="Definition-Field"/>
      </w:pPr>
      <w:r>
        <w:t xml:space="preserve">a.   </w:t>
      </w:r>
      <w:r>
        <w:rPr>
          <w:i/>
        </w:rPr>
        <w:t>The standard states that this element specifies the stretching and stacking of the picture on the data point, series, wall, or floor.</w:t>
      </w:r>
    </w:p>
    <w:p w:rsidR="000A156F" w:rsidRDefault="00A9721F">
      <w:pPr>
        <w:pStyle w:val="Definition-Field2"/>
      </w:pPr>
      <w:r>
        <w:t>In Office, thi</w:t>
      </w:r>
      <w:r>
        <w:t>s element specifies whether the values on an axis are increasing or decreasing.</w:t>
      </w:r>
    </w:p>
    <w:p w:rsidR="000A156F" w:rsidRDefault="00A9721F">
      <w:pPr>
        <w:pStyle w:val="Heading3"/>
      </w:pPr>
      <w:bookmarkStart w:id="3045" w:name="section_4abcc4474ee3422cb12f0eb93ab89779"/>
      <w:bookmarkStart w:id="3046" w:name="_Toc181684548"/>
      <w:r>
        <w:t>Part 1 Section 21.2.2.131, overlap (Overlap)</w:t>
      </w:r>
      <w:bookmarkEnd w:id="3045"/>
      <w:bookmarkEnd w:id="3046"/>
      <w:r>
        <w:fldChar w:fldCharType="begin"/>
      </w:r>
      <w:r>
        <w:instrText xml:space="preserve"> XE "overlap (Overlap)" </w:instrText>
      </w:r>
      <w:r>
        <w:fldChar w:fldCharType="end"/>
      </w:r>
    </w:p>
    <w:p w:rsidR="000A156F" w:rsidRDefault="00A9721F">
      <w:pPr>
        <w:pStyle w:val="Definition-Field"/>
      </w:pPr>
      <w:r>
        <w:t xml:space="preserve">a.   </w:t>
      </w:r>
      <w:r>
        <w:rPr>
          <w:i/>
        </w:rPr>
        <w:t>The standard does not specify how bars and columns overlap.</w:t>
      </w:r>
    </w:p>
    <w:p w:rsidR="000A156F" w:rsidRDefault="00A9721F">
      <w:pPr>
        <w:pStyle w:val="Definition-Field2"/>
      </w:pPr>
      <w:r>
        <w:t>In Office, this element specifies how mu</w:t>
      </w:r>
      <w:r>
        <w:t>ch the bars and columns of adjacent series within the same category shall overlap each other.</w:t>
      </w:r>
    </w:p>
    <w:p w:rsidR="000A156F" w:rsidRDefault="00A9721F">
      <w:pPr>
        <w:pStyle w:val="Heading3"/>
      </w:pPr>
      <w:bookmarkStart w:id="3047" w:name="section_b030ac610cab41f3a9396a5c193f33f3"/>
      <w:bookmarkStart w:id="3048" w:name="_Toc181684549"/>
      <w:r>
        <w:lastRenderedPageBreak/>
        <w:t>Part 1 Section 21.2.2.133, pageMargins (Page Margins)</w:t>
      </w:r>
      <w:bookmarkEnd w:id="3047"/>
      <w:bookmarkEnd w:id="3048"/>
      <w:r>
        <w:fldChar w:fldCharType="begin"/>
      </w:r>
      <w:r>
        <w:instrText xml:space="preserve"> XE "pageMargins (Page Margins)" </w:instrText>
      </w:r>
      <w:r>
        <w:fldChar w:fldCharType="end"/>
      </w:r>
    </w:p>
    <w:p w:rsidR="000A156F" w:rsidRDefault="00A9721F">
      <w:pPr>
        <w:pStyle w:val="Definition-Field"/>
      </w:pPr>
      <w:r>
        <w:t xml:space="preserve">a.   </w:t>
      </w:r>
      <w:r>
        <w:rPr>
          <w:i/>
        </w:rPr>
        <w:t>The standard states that the possible values for the b attribute are</w:t>
      </w:r>
      <w:r>
        <w:rPr>
          <w:i/>
        </w:rPr>
        <w:t xml:space="preserve"> defined by the XML Schema double datatype.</w:t>
      </w:r>
    </w:p>
    <w:p w:rsidR="000A156F" w:rsidRDefault="00A9721F">
      <w:pPr>
        <w:pStyle w:val="Definition-Field2"/>
      </w:pPr>
      <w:r>
        <w:t>Office requires the value of the b attribute to be greater than or equal to 0 and less than 49.</w:t>
      </w:r>
    </w:p>
    <w:p w:rsidR="000A156F" w:rsidRDefault="00A9721F">
      <w:pPr>
        <w:pStyle w:val="Definition-Field"/>
      </w:pPr>
      <w:r>
        <w:t xml:space="preserve">b.   </w:t>
      </w:r>
      <w:r>
        <w:rPr>
          <w:i/>
        </w:rPr>
        <w:t>The standard states that the possible values for the t attribute are defined by the XML Schema double datatype.</w:t>
      </w:r>
    </w:p>
    <w:p w:rsidR="000A156F" w:rsidRDefault="00A9721F">
      <w:pPr>
        <w:pStyle w:val="Definition-Field2"/>
      </w:pPr>
      <w:r>
        <w:t>Office requires the value of the t attribute to be greater than or equal to 0 and less than 49.</w:t>
      </w:r>
    </w:p>
    <w:p w:rsidR="000A156F" w:rsidRDefault="00A9721F">
      <w:pPr>
        <w:pStyle w:val="Definition-Field"/>
      </w:pPr>
      <w:r>
        <w:t xml:space="preserve">c.   </w:t>
      </w:r>
      <w:r>
        <w:rPr>
          <w:i/>
        </w:rPr>
        <w:t>The standard states that the possible values for the l attribute are defined by the XML Schema double datatype.</w:t>
      </w:r>
    </w:p>
    <w:p w:rsidR="000A156F" w:rsidRDefault="00A9721F">
      <w:pPr>
        <w:pStyle w:val="Definition-Field2"/>
      </w:pPr>
      <w:r>
        <w:t>Office requires the value of the l attribu</w:t>
      </w:r>
      <w:r>
        <w:t>te to be greater than or equal to 0 and less than 49.</w:t>
      </w:r>
    </w:p>
    <w:p w:rsidR="000A156F" w:rsidRDefault="00A9721F">
      <w:pPr>
        <w:pStyle w:val="Definition-Field"/>
      </w:pPr>
      <w:r>
        <w:t xml:space="preserve">d.   </w:t>
      </w:r>
      <w:r>
        <w:rPr>
          <w:i/>
        </w:rPr>
        <w:t>The standard states that the possible values for the r attribute are defined by the XML Schema double datatype.</w:t>
      </w:r>
    </w:p>
    <w:p w:rsidR="000A156F" w:rsidRDefault="00A9721F">
      <w:pPr>
        <w:pStyle w:val="Definition-Field2"/>
      </w:pPr>
      <w:r>
        <w:t xml:space="preserve">Office requires the value of the r attribute to be greater than or equal to 0 and </w:t>
      </w:r>
      <w:r>
        <w:t>less than 49.</w:t>
      </w:r>
    </w:p>
    <w:p w:rsidR="000A156F" w:rsidRDefault="00A9721F">
      <w:pPr>
        <w:pStyle w:val="Definition-Field"/>
      </w:pPr>
      <w:r>
        <w:t xml:space="preserve">e.   </w:t>
      </w:r>
      <w:r>
        <w:rPr>
          <w:i/>
        </w:rPr>
        <w:t>The standard states that the possible values for the header attribute are defined by the XML Schema double datatype.</w:t>
      </w:r>
    </w:p>
    <w:p w:rsidR="000A156F" w:rsidRDefault="00A9721F">
      <w:pPr>
        <w:pStyle w:val="Definition-Field2"/>
      </w:pPr>
      <w:r>
        <w:t>Office requires the value of the header attribute to be greater than or equal to 0 and less than 49.</w:t>
      </w:r>
    </w:p>
    <w:p w:rsidR="000A156F" w:rsidRDefault="00A9721F">
      <w:pPr>
        <w:pStyle w:val="Definition-Field"/>
      </w:pPr>
      <w:r>
        <w:t xml:space="preserve">f.   </w:t>
      </w:r>
      <w:r>
        <w:rPr>
          <w:i/>
        </w:rPr>
        <w:t>The standard s</w:t>
      </w:r>
      <w:r>
        <w:rPr>
          <w:i/>
        </w:rPr>
        <w:t>tates that the possible values for the footer attribute are defined by the XML Schema double datatype.</w:t>
      </w:r>
    </w:p>
    <w:p w:rsidR="000A156F" w:rsidRDefault="00A9721F">
      <w:pPr>
        <w:pStyle w:val="Definition-Field2"/>
      </w:pPr>
      <w:r>
        <w:t>Office requires the value of the footer attribute to be greater than or equal to 0 and less than 49.</w:t>
      </w:r>
    </w:p>
    <w:p w:rsidR="000A156F" w:rsidRDefault="00A9721F">
      <w:pPr>
        <w:pStyle w:val="Definition-Field"/>
      </w:pPr>
      <w:r>
        <w:t xml:space="preserve">g.   </w:t>
      </w:r>
      <w:r>
        <w:rPr>
          <w:i/>
        </w:rPr>
        <w:t>The standard states that the header attribute s</w:t>
      </w:r>
      <w:r>
        <w:rPr>
          <w:i/>
        </w:rPr>
        <w:t>pecifies the header margin and the footer attribute specifies the footer margin.</w:t>
      </w:r>
    </w:p>
    <w:p w:rsidR="000A156F" w:rsidRDefault="00A9721F">
      <w:pPr>
        <w:pStyle w:val="Definition-Field2"/>
      </w:pPr>
      <w:r>
        <w:t>Office switches the header and footer attribute values on save, writing out the chart object's header margin to the footer attribute and vice versa.</w:t>
      </w:r>
    </w:p>
    <w:p w:rsidR="000A156F" w:rsidRDefault="00A9721F">
      <w:pPr>
        <w:pStyle w:val="Heading3"/>
      </w:pPr>
      <w:bookmarkStart w:id="3049" w:name="section_8ffbeaeb0d294ab783603f7b61509929"/>
      <w:bookmarkStart w:id="3050" w:name="_Toc181684550"/>
      <w:r>
        <w:t>Part 1 Section 21.2.2.134,</w:t>
      </w:r>
      <w:r>
        <w:t xml:space="preserve"> pageSetup (Page Setup)</w:t>
      </w:r>
      <w:bookmarkEnd w:id="3049"/>
      <w:bookmarkEnd w:id="3050"/>
      <w:r>
        <w:fldChar w:fldCharType="begin"/>
      </w:r>
      <w:r>
        <w:instrText xml:space="preserve"> XE "pageSetup (Page Setup)" </w:instrText>
      </w:r>
      <w:r>
        <w:fldChar w:fldCharType="end"/>
      </w:r>
    </w:p>
    <w:p w:rsidR="000A156F" w:rsidRDefault="00A9721F">
      <w:pPr>
        <w:pStyle w:val="Definition-Field"/>
      </w:pPr>
      <w:r>
        <w:t xml:space="preserve">a.   </w:t>
      </w:r>
      <w:r>
        <w:rPr>
          <w:i/>
        </w:rPr>
        <w:t>The standard states that the possible values for the firstPageNumber attribute are defined by the XML Schema unisgnedInt datatype.</w:t>
      </w:r>
    </w:p>
    <w:p w:rsidR="000A156F" w:rsidRDefault="00A9721F">
      <w:pPr>
        <w:pStyle w:val="Definition-Field2"/>
      </w:pPr>
      <w:r>
        <w:t xml:space="preserve">In Office, the possible values for the firstPageNumber attribute </w:t>
      </w:r>
      <w:r>
        <w:t>are defined by the XML Schema datatype int.</w:t>
      </w:r>
    </w:p>
    <w:p w:rsidR="000A156F" w:rsidRDefault="00A9721F">
      <w:pPr>
        <w:pStyle w:val="Definition-Field"/>
      </w:pPr>
      <w:r>
        <w:t xml:space="preserve">b.   </w:t>
      </w:r>
      <w:r>
        <w:rPr>
          <w:i/>
        </w:rPr>
        <w:t>The standard states that the values of the paperSize attribute are defined by the XML Schema unsignedInt datatype.</w:t>
      </w:r>
    </w:p>
    <w:p w:rsidR="000A156F" w:rsidRDefault="00A9721F">
      <w:pPr>
        <w:pStyle w:val="Definition-Field2"/>
      </w:pPr>
      <w:r>
        <w:t>Excel restricts the value of this attribute to be at most 2147483647.</w:t>
      </w:r>
    </w:p>
    <w:p w:rsidR="000A156F" w:rsidRDefault="00A9721F">
      <w:pPr>
        <w:pStyle w:val="Definition-Field"/>
      </w:pPr>
      <w:r>
        <w:t xml:space="preserve">c.   </w:t>
      </w:r>
      <w:r>
        <w:rPr>
          <w:i/>
        </w:rPr>
        <w:t>The standard stat</w:t>
      </w:r>
      <w:r>
        <w:rPr>
          <w:i/>
        </w:rPr>
        <w:t>es that the possible values for the copies attribute are defined by the XML Schema unisgnedInt datatype.</w:t>
      </w:r>
    </w:p>
    <w:p w:rsidR="000A156F" w:rsidRDefault="00A9721F">
      <w:pPr>
        <w:pStyle w:val="Definition-Field2"/>
      </w:pPr>
      <w:r>
        <w:t>In Office, the copies attribute has a maximum value of 2147483647.</w:t>
      </w:r>
    </w:p>
    <w:p w:rsidR="000A156F" w:rsidRDefault="00A9721F">
      <w:pPr>
        <w:pStyle w:val="Definition-Field"/>
      </w:pPr>
      <w:r>
        <w:t xml:space="preserve">d.   </w:t>
      </w:r>
      <w:r>
        <w:rPr>
          <w:i/>
        </w:rPr>
        <w:t>The standard states a table of values allowed for @paperSize.</w:t>
      </w:r>
    </w:p>
    <w:p w:rsidR="000A156F" w:rsidRDefault="00A9721F">
      <w:r>
        <w:t xml:space="preserve">Office specifies </w:t>
      </w:r>
      <w:r>
        <w:t>the paper size according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Value</w:t>
            </w:r>
          </w:p>
        </w:tc>
        <w:tc>
          <w:tcPr>
            <w:tcW w:w="0" w:type="auto"/>
            <w:vAlign w:val="center"/>
          </w:tcPr>
          <w:p w:rsidR="000A156F" w:rsidRDefault="00A9721F">
            <w:pPr>
              <w:pStyle w:val="TableHeaderText"/>
            </w:pPr>
            <w:r>
              <w:t>Meaning</w:t>
            </w:r>
          </w:p>
        </w:tc>
      </w:tr>
      <w:tr w:rsidR="000A156F" w:rsidTr="000A156F">
        <w:tc>
          <w:tcPr>
            <w:tcW w:w="0" w:type="auto"/>
            <w:vAlign w:val="center"/>
          </w:tcPr>
          <w:p w:rsidR="000A156F" w:rsidRDefault="00A9721F">
            <w:pPr>
              <w:pStyle w:val="TableBodyText"/>
            </w:pPr>
            <w:r>
              <w:t>1</w:t>
            </w:r>
          </w:p>
        </w:tc>
        <w:tc>
          <w:tcPr>
            <w:tcW w:w="0" w:type="auto"/>
            <w:vAlign w:val="center"/>
          </w:tcPr>
          <w:p w:rsidR="000A156F" w:rsidRDefault="00A9721F">
            <w:pPr>
              <w:pStyle w:val="TableBodyText"/>
            </w:pPr>
            <w:r>
              <w:t>US Letter 8 1/2 x 11 in</w:t>
            </w:r>
          </w:p>
        </w:tc>
      </w:tr>
      <w:tr w:rsidR="000A156F" w:rsidTr="000A156F">
        <w:tc>
          <w:tcPr>
            <w:tcW w:w="0" w:type="auto"/>
            <w:vAlign w:val="center"/>
          </w:tcPr>
          <w:p w:rsidR="000A156F" w:rsidRDefault="00A9721F">
            <w:pPr>
              <w:pStyle w:val="TableBodyText"/>
            </w:pPr>
            <w:r>
              <w:t>2</w:t>
            </w:r>
          </w:p>
        </w:tc>
        <w:tc>
          <w:tcPr>
            <w:tcW w:w="0" w:type="auto"/>
            <w:vAlign w:val="center"/>
          </w:tcPr>
          <w:p w:rsidR="000A156F" w:rsidRDefault="00A9721F">
            <w:pPr>
              <w:pStyle w:val="TableBodyText"/>
            </w:pPr>
            <w:r>
              <w:t>US Letter Small 8 1/2 x 11 in</w:t>
            </w:r>
          </w:p>
        </w:tc>
      </w:tr>
      <w:tr w:rsidR="000A156F" w:rsidTr="000A156F">
        <w:tc>
          <w:tcPr>
            <w:tcW w:w="0" w:type="auto"/>
            <w:vAlign w:val="center"/>
          </w:tcPr>
          <w:p w:rsidR="000A156F" w:rsidRDefault="00A9721F">
            <w:pPr>
              <w:pStyle w:val="TableBodyText"/>
            </w:pPr>
            <w:r>
              <w:t>3</w:t>
            </w:r>
          </w:p>
        </w:tc>
        <w:tc>
          <w:tcPr>
            <w:tcW w:w="0" w:type="auto"/>
            <w:vAlign w:val="center"/>
          </w:tcPr>
          <w:p w:rsidR="000A156F" w:rsidRDefault="00A9721F">
            <w:pPr>
              <w:pStyle w:val="TableBodyText"/>
            </w:pPr>
            <w:r>
              <w:t>US Tabloid 11 x 17 in</w:t>
            </w:r>
          </w:p>
        </w:tc>
      </w:tr>
      <w:tr w:rsidR="000A156F" w:rsidTr="000A156F">
        <w:tc>
          <w:tcPr>
            <w:tcW w:w="0" w:type="auto"/>
            <w:vAlign w:val="center"/>
          </w:tcPr>
          <w:p w:rsidR="000A156F" w:rsidRDefault="00A9721F">
            <w:pPr>
              <w:pStyle w:val="TableBodyText"/>
            </w:pPr>
            <w:r>
              <w:t>4</w:t>
            </w:r>
          </w:p>
        </w:tc>
        <w:tc>
          <w:tcPr>
            <w:tcW w:w="0" w:type="auto"/>
            <w:vAlign w:val="center"/>
          </w:tcPr>
          <w:p w:rsidR="000A156F" w:rsidRDefault="00A9721F">
            <w:pPr>
              <w:pStyle w:val="TableBodyText"/>
            </w:pPr>
            <w:r>
              <w:t xml:space="preserve">US Ledger 17 x 11 in </w:t>
            </w:r>
          </w:p>
        </w:tc>
      </w:tr>
      <w:tr w:rsidR="000A156F" w:rsidTr="000A156F">
        <w:tc>
          <w:tcPr>
            <w:tcW w:w="0" w:type="auto"/>
            <w:vAlign w:val="center"/>
          </w:tcPr>
          <w:p w:rsidR="000A156F" w:rsidRDefault="00A9721F">
            <w:pPr>
              <w:pStyle w:val="TableBodyText"/>
            </w:pPr>
            <w:r>
              <w:t>5</w:t>
            </w:r>
          </w:p>
        </w:tc>
        <w:tc>
          <w:tcPr>
            <w:tcW w:w="0" w:type="auto"/>
            <w:vAlign w:val="center"/>
          </w:tcPr>
          <w:p w:rsidR="000A156F" w:rsidRDefault="00A9721F">
            <w:pPr>
              <w:pStyle w:val="TableBodyText"/>
            </w:pPr>
            <w:r>
              <w:t>US Legal</w:t>
            </w:r>
            <w:r>
              <w:t xml:space="preserve"> 8 1/2 x 14 in</w:t>
            </w:r>
          </w:p>
        </w:tc>
      </w:tr>
      <w:tr w:rsidR="000A156F" w:rsidTr="000A156F">
        <w:tc>
          <w:tcPr>
            <w:tcW w:w="0" w:type="auto"/>
            <w:vAlign w:val="center"/>
          </w:tcPr>
          <w:p w:rsidR="000A156F" w:rsidRDefault="00A9721F">
            <w:pPr>
              <w:pStyle w:val="TableBodyText"/>
            </w:pPr>
            <w:r>
              <w:t>6</w:t>
            </w:r>
          </w:p>
        </w:tc>
        <w:tc>
          <w:tcPr>
            <w:tcW w:w="0" w:type="auto"/>
            <w:vAlign w:val="center"/>
          </w:tcPr>
          <w:p w:rsidR="000A156F" w:rsidRDefault="00A9721F">
            <w:pPr>
              <w:pStyle w:val="TableBodyText"/>
            </w:pPr>
            <w:r>
              <w:t>US Statement 5 1/2 x 8 1/2 in</w:t>
            </w:r>
          </w:p>
        </w:tc>
      </w:tr>
      <w:tr w:rsidR="000A156F" w:rsidTr="000A156F">
        <w:tc>
          <w:tcPr>
            <w:tcW w:w="0" w:type="auto"/>
            <w:vAlign w:val="center"/>
          </w:tcPr>
          <w:p w:rsidR="000A156F" w:rsidRDefault="00A9721F">
            <w:pPr>
              <w:pStyle w:val="TableBodyText"/>
            </w:pPr>
            <w:r>
              <w:t>7</w:t>
            </w:r>
          </w:p>
        </w:tc>
        <w:tc>
          <w:tcPr>
            <w:tcW w:w="0" w:type="auto"/>
            <w:vAlign w:val="center"/>
          </w:tcPr>
          <w:p w:rsidR="000A156F" w:rsidRDefault="00A9721F">
            <w:pPr>
              <w:pStyle w:val="TableBodyText"/>
            </w:pPr>
            <w:r>
              <w:t>US Executive 7 1/4 x 10 1/2 in</w:t>
            </w:r>
          </w:p>
        </w:tc>
      </w:tr>
      <w:tr w:rsidR="000A156F" w:rsidTr="000A156F">
        <w:tc>
          <w:tcPr>
            <w:tcW w:w="0" w:type="auto"/>
            <w:vAlign w:val="center"/>
          </w:tcPr>
          <w:p w:rsidR="000A156F" w:rsidRDefault="00A9721F">
            <w:pPr>
              <w:pStyle w:val="TableBodyText"/>
            </w:pPr>
            <w:r>
              <w:t>8</w:t>
            </w:r>
          </w:p>
        </w:tc>
        <w:tc>
          <w:tcPr>
            <w:tcW w:w="0" w:type="auto"/>
            <w:vAlign w:val="center"/>
          </w:tcPr>
          <w:p w:rsidR="000A156F" w:rsidRDefault="00A9721F">
            <w:pPr>
              <w:pStyle w:val="TableBodyText"/>
            </w:pPr>
            <w:r>
              <w:t>A3 297 x 420 mm</w:t>
            </w:r>
          </w:p>
        </w:tc>
      </w:tr>
      <w:tr w:rsidR="000A156F" w:rsidTr="000A156F">
        <w:tc>
          <w:tcPr>
            <w:tcW w:w="0" w:type="auto"/>
            <w:vAlign w:val="center"/>
          </w:tcPr>
          <w:p w:rsidR="000A156F" w:rsidRDefault="00A9721F">
            <w:pPr>
              <w:pStyle w:val="TableBodyText"/>
            </w:pPr>
            <w:r>
              <w:t>9</w:t>
            </w:r>
          </w:p>
        </w:tc>
        <w:tc>
          <w:tcPr>
            <w:tcW w:w="0" w:type="auto"/>
            <w:vAlign w:val="center"/>
          </w:tcPr>
          <w:p w:rsidR="000A156F" w:rsidRDefault="00A9721F">
            <w:pPr>
              <w:pStyle w:val="TableBodyText"/>
            </w:pPr>
            <w:r>
              <w:t>A4 210 x 297 mm</w:t>
            </w:r>
          </w:p>
        </w:tc>
      </w:tr>
      <w:tr w:rsidR="000A156F" w:rsidTr="000A156F">
        <w:tc>
          <w:tcPr>
            <w:tcW w:w="0" w:type="auto"/>
            <w:vAlign w:val="center"/>
          </w:tcPr>
          <w:p w:rsidR="000A156F" w:rsidRDefault="00A9721F">
            <w:pPr>
              <w:pStyle w:val="TableBodyText"/>
            </w:pPr>
            <w:r>
              <w:t>10</w:t>
            </w:r>
          </w:p>
        </w:tc>
        <w:tc>
          <w:tcPr>
            <w:tcW w:w="0" w:type="auto"/>
            <w:vAlign w:val="center"/>
          </w:tcPr>
          <w:p w:rsidR="000A156F" w:rsidRDefault="00A9721F">
            <w:pPr>
              <w:pStyle w:val="TableBodyText"/>
            </w:pPr>
            <w:r>
              <w:t>A4 Small 210 x 297 mm</w:t>
            </w:r>
          </w:p>
        </w:tc>
      </w:tr>
      <w:tr w:rsidR="000A156F" w:rsidTr="000A156F">
        <w:tc>
          <w:tcPr>
            <w:tcW w:w="0" w:type="auto"/>
            <w:vAlign w:val="center"/>
          </w:tcPr>
          <w:p w:rsidR="000A156F" w:rsidRDefault="00A9721F">
            <w:pPr>
              <w:pStyle w:val="TableBodyText"/>
            </w:pPr>
            <w:r>
              <w:t>11</w:t>
            </w:r>
          </w:p>
        </w:tc>
        <w:tc>
          <w:tcPr>
            <w:tcW w:w="0" w:type="auto"/>
            <w:vAlign w:val="center"/>
          </w:tcPr>
          <w:p w:rsidR="000A156F" w:rsidRDefault="00A9721F">
            <w:pPr>
              <w:pStyle w:val="TableBodyText"/>
            </w:pPr>
            <w:r>
              <w:t>A5 148 x 210 mm</w:t>
            </w:r>
          </w:p>
        </w:tc>
      </w:tr>
      <w:tr w:rsidR="000A156F" w:rsidTr="000A156F">
        <w:tc>
          <w:tcPr>
            <w:tcW w:w="0" w:type="auto"/>
            <w:vAlign w:val="center"/>
          </w:tcPr>
          <w:p w:rsidR="000A156F" w:rsidRDefault="00A9721F">
            <w:pPr>
              <w:pStyle w:val="TableBodyText"/>
            </w:pPr>
            <w:r>
              <w:t>12</w:t>
            </w:r>
          </w:p>
        </w:tc>
        <w:tc>
          <w:tcPr>
            <w:tcW w:w="0" w:type="auto"/>
            <w:vAlign w:val="center"/>
          </w:tcPr>
          <w:p w:rsidR="000A156F" w:rsidRDefault="00A9721F">
            <w:pPr>
              <w:pStyle w:val="TableBodyText"/>
            </w:pPr>
            <w:r>
              <w:t>B4 (JIS) 250 x 354</w:t>
            </w:r>
          </w:p>
        </w:tc>
      </w:tr>
      <w:tr w:rsidR="000A156F" w:rsidTr="000A156F">
        <w:tc>
          <w:tcPr>
            <w:tcW w:w="0" w:type="auto"/>
            <w:vAlign w:val="center"/>
          </w:tcPr>
          <w:p w:rsidR="000A156F" w:rsidRDefault="00A9721F">
            <w:pPr>
              <w:pStyle w:val="TableBodyText"/>
            </w:pPr>
            <w:r>
              <w:t>13</w:t>
            </w:r>
          </w:p>
        </w:tc>
        <w:tc>
          <w:tcPr>
            <w:tcW w:w="0" w:type="auto"/>
            <w:vAlign w:val="center"/>
          </w:tcPr>
          <w:p w:rsidR="000A156F" w:rsidRDefault="00A9721F">
            <w:pPr>
              <w:pStyle w:val="TableBodyText"/>
            </w:pPr>
            <w:r>
              <w:t>B5 (JIS) 182 x 257 mm</w:t>
            </w:r>
          </w:p>
        </w:tc>
      </w:tr>
      <w:tr w:rsidR="000A156F" w:rsidTr="000A156F">
        <w:tc>
          <w:tcPr>
            <w:tcW w:w="0" w:type="auto"/>
            <w:vAlign w:val="center"/>
          </w:tcPr>
          <w:p w:rsidR="000A156F" w:rsidRDefault="00A9721F">
            <w:pPr>
              <w:pStyle w:val="TableBodyText"/>
            </w:pPr>
            <w:r>
              <w:t>14</w:t>
            </w:r>
          </w:p>
        </w:tc>
        <w:tc>
          <w:tcPr>
            <w:tcW w:w="0" w:type="auto"/>
            <w:vAlign w:val="center"/>
          </w:tcPr>
          <w:p w:rsidR="000A156F" w:rsidRDefault="00A9721F">
            <w:pPr>
              <w:pStyle w:val="TableBodyText"/>
            </w:pPr>
            <w:r>
              <w:t>Folio 8 1/2 x 13 in</w:t>
            </w:r>
          </w:p>
        </w:tc>
      </w:tr>
      <w:tr w:rsidR="000A156F" w:rsidTr="000A156F">
        <w:tc>
          <w:tcPr>
            <w:tcW w:w="0" w:type="auto"/>
            <w:vAlign w:val="center"/>
          </w:tcPr>
          <w:p w:rsidR="000A156F" w:rsidRDefault="00A9721F">
            <w:pPr>
              <w:pStyle w:val="TableBodyText"/>
            </w:pPr>
            <w:r>
              <w:t>15</w:t>
            </w:r>
          </w:p>
        </w:tc>
        <w:tc>
          <w:tcPr>
            <w:tcW w:w="0" w:type="auto"/>
            <w:vAlign w:val="center"/>
          </w:tcPr>
          <w:p w:rsidR="000A156F" w:rsidRDefault="00A9721F">
            <w:pPr>
              <w:pStyle w:val="TableBodyText"/>
            </w:pPr>
            <w:r>
              <w:t xml:space="preserve">Quarto 215 x </w:t>
            </w:r>
            <w:r>
              <w:t>275 mm</w:t>
            </w:r>
          </w:p>
        </w:tc>
      </w:tr>
      <w:tr w:rsidR="000A156F" w:rsidTr="000A156F">
        <w:tc>
          <w:tcPr>
            <w:tcW w:w="0" w:type="auto"/>
            <w:vAlign w:val="center"/>
          </w:tcPr>
          <w:p w:rsidR="000A156F" w:rsidRDefault="00A9721F">
            <w:pPr>
              <w:pStyle w:val="TableBodyText"/>
            </w:pPr>
            <w:r>
              <w:t>16</w:t>
            </w:r>
          </w:p>
        </w:tc>
        <w:tc>
          <w:tcPr>
            <w:tcW w:w="0" w:type="auto"/>
            <w:vAlign w:val="center"/>
          </w:tcPr>
          <w:p w:rsidR="000A156F" w:rsidRDefault="00A9721F">
            <w:pPr>
              <w:pStyle w:val="TableBodyText"/>
            </w:pPr>
            <w:r>
              <w:t>10 x 14 in</w:t>
            </w:r>
          </w:p>
        </w:tc>
      </w:tr>
      <w:tr w:rsidR="000A156F" w:rsidTr="000A156F">
        <w:tc>
          <w:tcPr>
            <w:tcW w:w="0" w:type="auto"/>
            <w:vAlign w:val="center"/>
          </w:tcPr>
          <w:p w:rsidR="000A156F" w:rsidRDefault="00A9721F">
            <w:pPr>
              <w:pStyle w:val="TableBodyText"/>
            </w:pPr>
            <w:r>
              <w:t>17</w:t>
            </w:r>
          </w:p>
        </w:tc>
        <w:tc>
          <w:tcPr>
            <w:tcW w:w="0" w:type="auto"/>
            <w:vAlign w:val="center"/>
          </w:tcPr>
          <w:p w:rsidR="000A156F" w:rsidRDefault="00A9721F">
            <w:pPr>
              <w:pStyle w:val="TableBodyText"/>
            </w:pPr>
            <w:r>
              <w:t>11 x 17 in</w:t>
            </w:r>
          </w:p>
        </w:tc>
      </w:tr>
      <w:tr w:rsidR="000A156F" w:rsidTr="000A156F">
        <w:tc>
          <w:tcPr>
            <w:tcW w:w="0" w:type="auto"/>
            <w:vAlign w:val="center"/>
          </w:tcPr>
          <w:p w:rsidR="000A156F" w:rsidRDefault="00A9721F">
            <w:pPr>
              <w:pStyle w:val="TableBodyText"/>
            </w:pPr>
            <w:r>
              <w:t>18</w:t>
            </w:r>
          </w:p>
        </w:tc>
        <w:tc>
          <w:tcPr>
            <w:tcW w:w="0" w:type="auto"/>
            <w:vAlign w:val="center"/>
          </w:tcPr>
          <w:p w:rsidR="000A156F" w:rsidRDefault="00A9721F">
            <w:pPr>
              <w:pStyle w:val="TableBodyText"/>
            </w:pPr>
            <w:r>
              <w:t>US Note 8 1/2 x 11 in</w:t>
            </w:r>
          </w:p>
        </w:tc>
      </w:tr>
      <w:tr w:rsidR="000A156F" w:rsidTr="000A156F">
        <w:tc>
          <w:tcPr>
            <w:tcW w:w="0" w:type="auto"/>
            <w:vAlign w:val="center"/>
          </w:tcPr>
          <w:p w:rsidR="000A156F" w:rsidRDefault="00A9721F">
            <w:pPr>
              <w:pStyle w:val="TableBodyText"/>
            </w:pPr>
            <w:r>
              <w:t>19</w:t>
            </w:r>
          </w:p>
        </w:tc>
        <w:tc>
          <w:tcPr>
            <w:tcW w:w="0" w:type="auto"/>
            <w:vAlign w:val="center"/>
          </w:tcPr>
          <w:p w:rsidR="000A156F" w:rsidRDefault="00A9721F">
            <w:pPr>
              <w:pStyle w:val="TableBodyText"/>
            </w:pPr>
            <w:r>
              <w:t>US Envelope #9 3 7/8 x 8 7/8</w:t>
            </w:r>
          </w:p>
        </w:tc>
      </w:tr>
      <w:tr w:rsidR="000A156F" w:rsidTr="000A156F">
        <w:tc>
          <w:tcPr>
            <w:tcW w:w="0" w:type="auto"/>
            <w:vAlign w:val="center"/>
          </w:tcPr>
          <w:p w:rsidR="000A156F" w:rsidRDefault="00A9721F">
            <w:pPr>
              <w:pStyle w:val="TableBodyText"/>
            </w:pPr>
            <w:r>
              <w:t>20</w:t>
            </w:r>
          </w:p>
        </w:tc>
        <w:tc>
          <w:tcPr>
            <w:tcW w:w="0" w:type="auto"/>
            <w:vAlign w:val="center"/>
          </w:tcPr>
          <w:p w:rsidR="000A156F" w:rsidRDefault="00A9721F">
            <w:pPr>
              <w:pStyle w:val="TableBodyText"/>
            </w:pPr>
            <w:r>
              <w:t>US Envelope #10 4 1/8 x 9 1/2</w:t>
            </w:r>
          </w:p>
        </w:tc>
      </w:tr>
      <w:tr w:rsidR="000A156F" w:rsidTr="000A156F">
        <w:tc>
          <w:tcPr>
            <w:tcW w:w="0" w:type="auto"/>
            <w:vAlign w:val="center"/>
          </w:tcPr>
          <w:p w:rsidR="000A156F" w:rsidRDefault="00A9721F">
            <w:pPr>
              <w:pStyle w:val="TableBodyText"/>
            </w:pPr>
            <w:r>
              <w:t>21</w:t>
            </w:r>
          </w:p>
        </w:tc>
        <w:tc>
          <w:tcPr>
            <w:tcW w:w="0" w:type="auto"/>
            <w:vAlign w:val="center"/>
          </w:tcPr>
          <w:p w:rsidR="000A156F" w:rsidRDefault="00A9721F">
            <w:pPr>
              <w:pStyle w:val="TableBodyText"/>
            </w:pPr>
            <w:r>
              <w:t>US Envelope #11 4 1/2 x 10 3/8</w:t>
            </w:r>
          </w:p>
        </w:tc>
      </w:tr>
      <w:tr w:rsidR="000A156F" w:rsidTr="000A156F">
        <w:tc>
          <w:tcPr>
            <w:tcW w:w="0" w:type="auto"/>
            <w:vAlign w:val="center"/>
          </w:tcPr>
          <w:p w:rsidR="000A156F" w:rsidRDefault="00A9721F">
            <w:pPr>
              <w:pStyle w:val="TableBodyText"/>
            </w:pPr>
            <w:r>
              <w:t>22</w:t>
            </w:r>
          </w:p>
        </w:tc>
        <w:tc>
          <w:tcPr>
            <w:tcW w:w="0" w:type="auto"/>
            <w:vAlign w:val="center"/>
          </w:tcPr>
          <w:p w:rsidR="000A156F" w:rsidRDefault="00A9721F">
            <w:pPr>
              <w:pStyle w:val="TableBodyText"/>
            </w:pPr>
            <w:r>
              <w:t>US Envelope #12 4 \276 x 11</w:t>
            </w:r>
          </w:p>
        </w:tc>
      </w:tr>
      <w:tr w:rsidR="000A156F" w:rsidTr="000A156F">
        <w:tc>
          <w:tcPr>
            <w:tcW w:w="0" w:type="auto"/>
            <w:vAlign w:val="center"/>
          </w:tcPr>
          <w:p w:rsidR="000A156F" w:rsidRDefault="00A9721F">
            <w:pPr>
              <w:pStyle w:val="TableBodyText"/>
            </w:pPr>
            <w:r>
              <w:t>23</w:t>
            </w:r>
          </w:p>
        </w:tc>
        <w:tc>
          <w:tcPr>
            <w:tcW w:w="0" w:type="auto"/>
            <w:vAlign w:val="center"/>
          </w:tcPr>
          <w:p w:rsidR="000A156F" w:rsidRDefault="00A9721F">
            <w:pPr>
              <w:pStyle w:val="TableBodyText"/>
            </w:pPr>
            <w:r>
              <w:t>US Envelope #14 5 x 11 1/2</w:t>
            </w:r>
          </w:p>
        </w:tc>
      </w:tr>
      <w:tr w:rsidR="000A156F" w:rsidTr="000A156F">
        <w:tc>
          <w:tcPr>
            <w:tcW w:w="0" w:type="auto"/>
            <w:vAlign w:val="center"/>
          </w:tcPr>
          <w:p w:rsidR="000A156F" w:rsidRDefault="00A9721F">
            <w:pPr>
              <w:pStyle w:val="TableBodyText"/>
            </w:pPr>
            <w:r>
              <w:t>24</w:t>
            </w:r>
          </w:p>
        </w:tc>
        <w:tc>
          <w:tcPr>
            <w:tcW w:w="0" w:type="auto"/>
            <w:vAlign w:val="center"/>
          </w:tcPr>
          <w:p w:rsidR="000A156F" w:rsidRDefault="00A9721F">
            <w:pPr>
              <w:pStyle w:val="TableBodyText"/>
            </w:pPr>
            <w:r>
              <w:t>C size sheet</w:t>
            </w:r>
          </w:p>
        </w:tc>
      </w:tr>
      <w:tr w:rsidR="000A156F" w:rsidTr="000A156F">
        <w:tc>
          <w:tcPr>
            <w:tcW w:w="0" w:type="auto"/>
            <w:vAlign w:val="center"/>
          </w:tcPr>
          <w:p w:rsidR="000A156F" w:rsidRDefault="00A9721F">
            <w:pPr>
              <w:pStyle w:val="TableBodyText"/>
            </w:pPr>
            <w:r>
              <w:t>25</w:t>
            </w:r>
          </w:p>
        </w:tc>
        <w:tc>
          <w:tcPr>
            <w:tcW w:w="0" w:type="auto"/>
            <w:vAlign w:val="center"/>
          </w:tcPr>
          <w:p w:rsidR="000A156F" w:rsidRDefault="00A9721F">
            <w:pPr>
              <w:pStyle w:val="TableBodyText"/>
            </w:pPr>
            <w:r>
              <w:t xml:space="preserve">D size </w:t>
            </w:r>
            <w:r>
              <w:t>sheet</w:t>
            </w:r>
          </w:p>
        </w:tc>
      </w:tr>
      <w:tr w:rsidR="000A156F" w:rsidTr="000A156F">
        <w:tc>
          <w:tcPr>
            <w:tcW w:w="0" w:type="auto"/>
            <w:vAlign w:val="center"/>
          </w:tcPr>
          <w:p w:rsidR="000A156F" w:rsidRDefault="00A9721F">
            <w:pPr>
              <w:pStyle w:val="TableBodyText"/>
            </w:pPr>
            <w:r>
              <w:t>26</w:t>
            </w:r>
          </w:p>
        </w:tc>
        <w:tc>
          <w:tcPr>
            <w:tcW w:w="0" w:type="auto"/>
            <w:vAlign w:val="center"/>
          </w:tcPr>
          <w:p w:rsidR="000A156F" w:rsidRDefault="00A9721F">
            <w:pPr>
              <w:pStyle w:val="TableBodyText"/>
            </w:pPr>
            <w:r>
              <w:t>E size sheet</w:t>
            </w:r>
          </w:p>
        </w:tc>
      </w:tr>
      <w:tr w:rsidR="000A156F" w:rsidTr="000A156F">
        <w:tc>
          <w:tcPr>
            <w:tcW w:w="0" w:type="auto"/>
            <w:vAlign w:val="center"/>
          </w:tcPr>
          <w:p w:rsidR="000A156F" w:rsidRDefault="00A9721F">
            <w:pPr>
              <w:pStyle w:val="TableBodyText"/>
            </w:pPr>
            <w:r>
              <w:t>27</w:t>
            </w:r>
          </w:p>
        </w:tc>
        <w:tc>
          <w:tcPr>
            <w:tcW w:w="0" w:type="auto"/>
            <w:vAlign w:val="center"/>
          </w:tcPr>
          <w:p w:rsidR="000A156F" w:rsidRDefault="00A9721F">
            <w:pPr>
              <w:pStyle w:val="TableBodyText"/>
            </w:pPr>
            <w:r>
              <w:t>Envelope DL 110 x 220mm</w:t>
            </w:r>
          </w:p>
        </w:tc>
      </w:tr>
      <w:tr w:rsidR="000A156F" w:rsidTr="000A156F">
        <w:tc>
          <w:tcPr>
            <w:tcW w:w="0" w:type="auto"/>
            <w:vAlign w:val="center"/>
          </w:tcPr>
          <w:p w:rsidR="000A156F" w:rsidRDefault="00A9721F">
            <w:pPr>
              <w:pStyle w:val="TableBodyText"/>
            </w:pPr>
            <w:r>
              <w:t>28</w:t>
            </w:r>
          </w:p>
        </w:tc>
        <w:tc>
          <w:tcPr>
            <w:tcW w:w="0" w:type="auto"/>
            <w:vAlign w:val="center"/>
          </w:tcPr>
          <w:p w:rsidR="000A156F" w:rsidRDefault="00A9721F">
            <w:pPr>
              <w:pStyle w:val="TableBodyText"/>
            </w:pPr>
            <w:r>
              <w:t>Envelope C5 162 x 229 mm</w:t>
            </w:r>
          </w:p>
        </w:tc>
      </w:tr>
      <w:tr w:rsidR="000A156F" w:rsidTr="000A156F">
        <w:tc>
          <w:tcPr>
            <w:tcW w:w="0" w:type="auto"/>
            <w:vAlign w:val="center"/>
          </w:tcPr>
          <w:p w:rsidR="000A156F" w:rsidRDefault="00A9721F">
            <w:pPr>
              <w:pStyle w:val="TableBodyText"/>
            </w:pPr>
            <w:r>
              <w:t>29</w:t>
            </w:r>
          </w:p>
        </w:tc>
        <w:tc>
          <w:tcPr>
            <w:tcW w:w="0" w:type="auto"/>
            <w:vAlign w:val="center"/>
          </w:tcPr>
          <w:p w:rsidR="000A156F" w:rsidRDefault="00A9721F">
            <w:pPr>
              <w:pStyle w:val="TableBodyText"/>
            </w:pPr>
            <w:r>
              <w:t>Envelope C3 324 x 458 mm</w:t>
            </w:r>
          </w:p>
        </w:tc>
      </w:tr>
      <w:tr w:rsidR="000A156F" w:rsidTr="000A156F">
        <w:tc>
          <w:tcPr>
            <w:tcW w:w="0" w:type="auto"/>
            <w:vAlign w:val="center"/>
          </w:tcPr>
          <w:p w:rsidR="000A156F" w:rsidRDefault="00A9721F">
            <w:pPr>
              <w:pStyle w:val="TableBodyText"/>
            </w:pPr>
            <w:r>
              <w:t>30</w:t>
            </w:r>
          </w:p>
        </w:tc>
        <w:tc>
          <w:tcPr>
            <w:tcW w:w="0" w:type="auto"/>
            <w:vAlign w:val="center"/>
          </w:tcPr>
          <w:p w:rsidR="000A156F" w:rsidRDefault="00A9721F">
            <w:pPr>
              <w:pStyle w:val="TableBodyText"/>
            </w:pPr>
            <w:r>
              <w:t>Envelope C4 229 x 324 mm</w:t>
            </w:r>
          </w:p>
        </w:tc>
      </w:tr>
      <w:tr w:rsidR="000A156F" w:rsidTr="000A156F">
        <w:tc>
          <w:tcPr>
            <w:tcW w:w="0" w:type="auto"/>
            <w:vAlign w:val="center"/>
          </w:tcPr>
          <w:p w:rsidR="000A156F" w:rsidRDefault="00A9721F">
            <w:pPr>
              <w:pStyle w:val="TableBodyText"/>
            </w:pPr>
            <w:r>
              <w:t>31</w:t>
            </w:r>
          </w:p>
        </w:tc>
        <w:tc>
          <w:tcPr>
            <w:tcW w:w="0" w:type="auto"/>
            <w:vAlign w:val="center"/>
          </w:tcPr>
          <w:p w:rsidR="000A156F" w:rsidRDefault="00A9721F">
            <w:pPr>
              <w:pStyle w:val="TableBodyText"/>
            </w:pPr>
            <w:r>
              <w:t>Envelope C6 114 x 162 mm</w:t>
            </w:r>
          </w:p>
        </w:tc>
      </w:tr>
      <w:tr w:rsidR="000A156F" w:rsidTr="000A156F">
        <w:tc>
          <w:tcPr>
            <w:tcW w:w="0" w:type="auto"/>
            <w:vAlign w:val="center"/>
          </w:tcPr>
          <w:p w:rsidR="000A156F" w:rsidRDefault="00A9721F">
            <w:pPr>
              <w:pStyle w:val="TableBodyText"/>
            </w:pPr>
            <w:r>
              <w:t>32</w:t>
            </w:r>
          </w:p>
        </w:tc>
        <w:tc>
          <w:tcPr>
            <w:tcW w:w="0" w:type="auto"/>
            <w:vAlign w:val="center"/>
          </w:tcPr>
          <w:p w:rsidR="000A156F" w:rsidRDefault="00A9721F">
            <w:pPr>
              <w:pStyle w:val="TableBodyText"/>
            </w:pPr>
            <w:r>
              <w:t>Envelope C65 114 x 229 mm</w:t>
            </w:r>
          </w:p>
        </w:tc>
      </w:tr>
      <w:tr w:rsidR="000A156F" w:rsidTr="000A156F">
        <w:tc>
          <w:tcPr>
            <w:tcW w:w="0" w:type="auto"/>
            <w:vAlign w:val="center"/>
          </w:tcPr>
          <w:p w:rsidR="000A156F" w:rsidRDefault="00A9721F">
            <w:pPr>
              <w:pStyle w:val="TableBodyText"/>
            </w:pPr>
            <w:r>
              <w:lastRenderedPageBreak/>
              <w:t>33</w:t>
            </w:r>
          </w:p>
        </w:tc>
        <w:tc>
          <w:tcPr>
            <w:tcW w:w="0" w:type="auto"/>
            <w:vAlign w:val="center"/>
          </w:tcPr>
          <w:p w:rsidR="000A156F" w:rsidRDefault="00A9721F">
            <w:pPr>
              <w:pStyle w:val="TableBodyText"/>
            </w:pPr>
            <w:r>
              <w:t>Envelope B4 250 x 353 mm</w:t>
            </w:r>
          </w:p>
        </w:tc>
      </w:tr>
      <w:tr w:rsidR="000A156F" w:rsidTr="000A156F">
        <w:tc>
          <w:tcPr>
            <w:tcW w:w="0" w:type="auto"/>
            <w:vAlign w:val="center"/>
          </w:tcPr>
          <w:p w:rsidR="000A156F" w:rsidRDefault="00A9721F">
            <w:pPr>
              <w:pStyle w:val="TableBodyText"/>
            </w:pPr>
            <w:r>
              <w:t>34</w:t>
            </w:r>
          </w:p>
        </w:tc>
        <w:tc>
          <w:tcPr>
            <w:tcW w:w="0" w:type="auto"/>
            <w:vAlign w:val="center"/>
          </w:tcPr>
          <w:p w:rsidR="000A156F" w:rsidRDefault="00A9721F">
            <w:pPr>
              <w:pStyle w:val="TableBodyText"/>
            </w:pPr>
            <w:r>
              <w:t>Envelope B5 176 x 250 mm</w:t>
            </w:r>
          </w:p>
        </w:tc>
      </w:tr>
      <w:tr w:rsidR="000A156F" w:rsidTr="000A156F">
        <w:tc>
          <w:tcPr>
            <w:tcW w:w="0" w:type="auto"/>
            <w:vAlign w:val="center"/>
          </w:tcPr>
          <w:p w:rsidR="000A156F" w:rsidRDefault="00A9721F">
            <w:pPr>
              <w:pStyle w:val="TableBodyText"/>
            </w:pPr>
            <w:r>
              <w:t>35</w:t>
            </w:r>
          </w:p>
        </w:tc>
        <w:tc>
          <w:tcPr>
            <w:tcW w:w="0" w:type="auto"/>
            <w:vAlign w:val="center"/>
          </w:tcPr>
          <w:p w:rsidR="000A156F" w:rsidRDefault="00A9721F">
            <w:pPr>
              <w:pStyle w:val="TableBodyText"/>
            </w:pPr>
            <w:r>
              <w:t>Envelope B6 176 x 125 mm</w:t>
            </w:r>
          </w:p>
        </w:tc>
      </w:tr>
      <w:tr w:rsidR="000A156F" w:rsidTr="000A156F">
        <w:tc>
          <w:tcPr>
            <w:tcW w:w="0" w:type="auto"/>
            <w:vAlign w:val="center"/>
          </w:tcPr>
          <w:p w:rsidR="000A156F" w:rsidRDefault="00A9721F">
            <w:pPr>
              <w:pStyle w:val="TableBodyText"/>
            </w:pPr>
            <w:r>
              <w:t>36</w:t>
            </w:r>
          </w:p>
        </w:tc>
        <w:tc>
          <w:tcPr>
            <w:tcW w:w="0" w:type="auto"/>
            <w:vAlign w:val="center"/>
          </w:tcPr>
          <w:p w:rsidR="000A156F" w:rsidRDefault="00A9721F">
            <w:pPr>
              <w:pStyle w:val="TableBodyText"/>
            </w:pPr>
            <w:r>
              <w:t>Envelope 110 x 230 mm</w:t>
            </w:r>
          </w:p>
        </w:tc>
      </w:tr>
      <w:tr w:rsidR="000A156F" w:rsidTr="000A156F">
        <w:tc>
          <w:tcPr>
            <w:tcW w:w="0" w:type="auto"/>
            <w:vAlign w:val="center"/>
          </w:tcPr>
          <w:p w:rsidR="000A156F" w:rsidRDefault="00A9721F">
            <w:pPr>
              <w:pStyle w:val="TableBodyText"/>
            </w:pPr>
            <w:r>
              <w:t>37</w:t>
            </w:r>
          </w:p>
        </w:tc>
        <w:tc>
          <w:tcPr>
            <w:tcW w:w="0" w:type="auto"/>
            <w:vAlign w:val="center"/>
          </w:tcPr>
          <w:p w:rsidR="000A156F" w:rsidRDefault="00A9721F">
            <w:pPr>
              <w:pStyle w:val="TableBodyText"/>
            </w:pPr>
            <w:r>
              <w:t>US Envelope Monarch 3.875 x 7.5 in</w:t>
            </w:r>
          </w:p>
        </w:tc>
      </w:tr>
      <w:tr w:rsidR="000A156F" w:rsidTr="000A156F">
        <w:tc>
          <w:tcPr>
            <w:tcW w:w="0" w:type="auto"/>
            <w:vAlign w:val="center"/>
          </w:tcPr>
          <w:p w:rsidR="000A156F" w:rsidRDefault="00A9721F">
            <w:pPr>
              <w:pStyle w:val="TableBodyText"/>
            </w:pPr>
            <w:r>
              <w:t>38</w:t>
            </w:r>
          </w:p>
        </w:tc>
        <w:tc>
          <w:tcPr>
            <w:tcW w:w="0" w:type="auto"/>
            <w:vAlign w:val="center"/>
          </w:tcPr>
          <w:p w:rsidR="000A156F" w:rsidRDefault="00A9721F">
            <w:pPr>
              <w:pStyle w:val="TableBodyText"/>
            </w:pPr>
            <w:r>
              <w:t>6 3/4 US Envelope 3 5/8 x 6 1/2 in</w:t>
            </w:r>
          </w:p>
        </w:tc>
      </w:tr>
      <w:tr w:rsidR="000A156F" w:rsidTr="000A156F">
        <w:tc>
          <w:tcPr>
            <w:tcW w:w="0" w:type="auto"/>
            <w:vAlign w:val="center"/>
          </w:tcPr>
          <w:p w:rsidR="000A156F" w:rsidRDefault="00A9721F">
            <w:pPr>
              <w:pStyle w:val="TableBodyText"/>
            </w:pPr>
            <w:r>
              <w:t>39</w:t>
            </w:r>
          </w:p>
        </w:tc>
        <w:tc>
          <w:tcPr>
            <w:tcW w:w="0" w:type="auto"/>
            <w:vAlign w:val="center"/>
          </w:tcPr>
          <w:p w:rsidR="000A156F" w:rsidRDefault="00A9721F">
            <w:pPr>
              <w:pStyle w:val="TableBodyText"/>
            </w:pPr>
            <w:r>
              <w:t>US Std Fanfold 14 7/8 x 11 in</w:t>
            </w:r>
          </w:p>
        </w:tc>
      </w:tr>
      <w:tr w:rsidR="000A156F" w:rsidTr="000A156F">
        <w:tc>
          <w:tcPr>
            <w:tcW w:w="0" w:type="auto"/>
            <w:vAlign w:val="center"/>
          </w:tcPr>
          <w:p w:rsidR="000A156F" w:rsidRDefault="00A9721F">
            <w:pPr>
              <w:pStyle w:val="TableBodyText"/>
            </w:pPr>
            <w:r>
              <w:t>40</w:t>
            </w:r>
          </w:p>
        </w:tc>
        <w:tc>
          <w:tcPr>
            <w:tcW w:w="0" w:type="auto"/>
            <w:vAlign w:val="center"/>
          </w:tcPr>
          <w:p w:rsidR="000A156F" w:rsidRDefault="00A9721F">
            <w:pPr>
              <w:pStyle w:val="TableBodyText"/>
            </w:pPr>
            <w:r>
              <w:t>German Std Fanfold 8 1/2 x 12 in</w:t>
            </w:r>
          </w:p>
        </w:tc>
      </w:tr>
      <w:tr w:rsidR="000A156F" w:rsidTr="000A156F">
        <w:tc>
          <w:tcPr>
            <w:tcW w:w="0" w:type="auto"/>
            <w:vAlign w:val="center"/>
          </w:tcPr>
          <w:p w:rsidR="000A156F" w:rsidRDefault="00A9721F">
            <w:pPr>
              <w:pStyle w:val="TableBodyText"/>
            </w:pPr>
            <w:r>
              <w:t>41</w:t>
            </w:r>
          </w:p>
        </w:tc>
        <w:tc>
          <w:tcPr>
            <w:tcW w:w="0" w:type="auto"/>
            <w:vAlign w:val="center"/>
          </w:tcPr>
          <w:p w:rsidR="000A156F" w:rsidRDefault="00A9721F">
            <w:pPr>
              <w:pStyle w:val="TableBodyText"/>
            </w:pPr>
            <w:r>
              <w:t>German Legal Fanfold 8 1/2 x 13 in</w:t>
            </w:r>
          </w:p>
        </w:tc>
      </w:tr>
      <w:tr w:rsidR="000A156F" w:rsidTr="000A156F">
        <w:tc>
          <w:tcPr>
            <w:tcW w:w="0" w:type="auto"/>
            <w:vAlign w:val="center"/>
          </w:tcPr>
          <w:p w:rsidR="000A156F" w:rsidRDefault="00A9721F">
            <w:pPr>
              <w:pStyle w:val="TableBodyText"/>
            </w:pPr>
            <w:r>
              <w:t>42</w:t>
            </w:r>
          </w:p>
        </w:tc>
        <w:tc>
          <w:tcPr>
            <w:tcW w:w="0" w:type="auto"/>
            <w:vAlign w:val="center"/>
          </w:tcPr>
          <w:p w:rsidR="000A156F" w:rsidRDefault="00A9721F">
            <w:pPr>
              <w:pStyle w:val="TableBodyText"/>
            </w:pPr>
            <w:r>
              <w:t xml:space="preserve">B4 (ISO) </w:t>
            </w:r>
            <w:r>
              <w:t>250 x 353 mm</w:t>
            </w:r>
          </w:p>
        </w:tc>
      </w:tr>
      <w:tr w:rsidR="000A156F" w:rsidTr="000A156F">
        <w:tc>
          <w:tcPr>
            <w:tcW w:w="0" w:type="auto"/>
            <w:vAlign w:val="center"/>
          </w:tcPr>
          <w:p w:rsidR="000A156F" w:rsidRDefault="00A9721F">
            <w:pPr>
              <w:pStyle w:val="TableBodyText"/>
            </w:pPr>
            <w:r>
              <w:t>43</w:t>
            </w:r>
          </w:p>
        </w:tc>
        <w:tc>
          <w:tcPr>
            <w:tcW w:w="0" w:type="auto"/>
            <w:vAlign w:val="center"/>
          </w:tcPr>
          <w:p w:rsidR="000A156F" w:rsidRDefault="00A9721F">
            <w:pPr>
              <w:pStyle w:val="TableBodyText"/>
            </w:pPr>
            <w:r>
              <w:t>Japanese Postcard 100 x 148 mm</w:t>
            </w:r>
          </w:p>
        </w:tc>
      </w:tr>
      <w:tr w:rsidR="000A156F" w:rsidTr="000A156F">
        <w:tc>
          <w:tcPr>
            <w:tcW w:w="0" w:type="auto"/>
            <w:vAlign w:val="center"/>
          </w:tcPr>
          <w:p w:rsidR="000A156F" w:rsidRDefault="00A9721F">
            <w:pPr>
              <w:pStyle w:val="TableBodyText"/>
            </w:pPr>
            <w:r>
              <w:t>44</w:t>
            </w:r>
          </w:p>
        </w:tc>
        <w:tc>
          <w:tcPr>
            <w:tcW w:w="0" w:type="auto"/>
            <w:vAlign w:val="center"/>
          </w:tcPr>
          <w:p w:rsidR="000A156F" w:rsidRDefault="00A9721F">
            <w:pPr>
              <w:pStyle w:val="TableBodyText"/>
            </w:pPr>
            <w:r>
              <w:t>9 x 11 in</w:t>
            </w:r>
          </w:p>
        </w:tc>
      </w:tr>
      <w:tr w:rsidR="000A156F" w:rsidTr="000A156F">
        <w:tc>
          <w:tcPr>
            <w:tcW w:w="0" w:type="auto"/>
            <w:vAlign w:val="center"/>
          </w:tcPr>
          <w:p w:rsidR="000A156F" w:rsidRDefault="00A9721F">
            <w:pPr>
              <w:pStyle w:val="TableBodyText"/>
            </w:pPr>
            <w:r>
              <w:t>45</w:t>
            </w:r>
          </w:p>
        </w:tc>
        <w:tc>
          <w:tcPr>
            <w:tcW w:w="0" w:type="auto"/>
            <w:vAlign w:val="center"/>
          </w:tcPr>
          <w:p w:rsidR="000A156F" w:rsidRDefault="00A9721F">
            <w:pPr>
              <w:pStyle w:val="TableBodyText"/>
            </w:pPr>
            <w:r>
              <w:t>10 x 11 in</w:t>
            </w:r>
          </w:p>
        </w:tc>
      </w:tr>
      <w:tr w:rsidR="000A156F" w:rsidTr="000A156F">
        <w:tc>
          <w:tcPr>
            <w:tcW w:w="0" w:type="auto"/>
            <w:vAlign w:val="center"/>
          </w:tcPr>
          <w:p w:rsidR="000A156F" w:rsidRDefault="00A9721F">
            <w:pPr>
              <w:pStyle w:val="TableBodyText"/>
            </w:pPr>
            <w:r>
              <w:t>46</w:t>
            </w:r>
          </w:p>
        </w:tc>
        <w:tc>
          <w:tcPr>
            <w:tcW w:w="0" w:type="auto"/>
            <w:vAlign w:val="center"/>
          </w:tcPr>
          <w:p w:rsidR="000A156F" w:rsidRDefault="00A9721F">
            <w:pPr>
              <w:pStyle w:val="TableBodyText"/>
            </w:pPr>
            <w:r>
              <w:t>15 x 11 in</w:t>
            </w:r>
          </w:p>
        </w:tc>
      </w:tr>
      <w:tr w:rsidR="000A156F" w:rsidTr="000A156F">
        <w:tc>
          <w:tcPr>
            <w:tcW w:w="0" w:type="auto"/>
            <w:vAlign w:val="center"/>
          </w:tcPr>
          <w:p w:rsidR="000A156F" w:rsidRDefault="00A9721F">
            <w:pPr>
              <w:pStyle w:val="TableBodyText"/>
            </w:pPr>
            <w:r>
              <w:t>47</w:t>
            </w:r>
          </w:p>
        </w:tc>
        <w:tc>
          <w:tcPr>
            <w:tcW w:w="0" w:type="auto"/>
            <w:vAlign w:val="center"/>
          </w:tcPr>
          <w:p w:rsidR="000A156F" w:rsidRDefault="00A9721F">
            <w:pPr>
              <w:pStyle w:val="TableBodyText"/>
            </w:pPr>
            <w:r>
              <w:t>Envelope Invite 220 x 220 mm</w:t>
            </w:r>
          </w:p>
        </w:tc>
      </w:tr>
      <w:tr w:rsidR="000A156F" w:rsidTr="000A156F">
        <w:tc>
          <w:tcPr>
            <w:tcW w:w="0" w:type="auto"/>
            <w:vAlign w:val="center"/>
          </w:tcPr>
          <w:p w:rsidR="000A156F" w:rsidRDefault="00A9721F">
            <w:pPr>
              <w:pStyle w:val="TableBodyText"/>
            </w:pPr>
            <w:r>
              <w:t>48</w:t>
            </w:r>
          </w:p>
        </w:tc>
        <w:tc>
          <w:tcPr>
            <w:tcW w:w="0" w:type="auto"/>
            <w:vAlign w:val="center"/>
          </w:tcPr>
          <w:p w:rsidR="000A156F" w:rsidRDefault="00A9721F">
            <w:pPr>
              <w:pStyle w:val="TableBodyText"/>
            </w:pPr>
            <w:r>
              <w:t>RESERVED--DO NOT USE</w:t>
            </w:r>
          </w:p>
        </w:tc>
      </w:tr>
      <w:tr w:rsidR="000A156F" w:rsidTr="000A156F">
        <w:tc>
          <w:tcPr>
            <w:tcW w:w="0" w:type="auto"/>
            <w:vAlign w:val="center"/>
          </w:tcPr>
          <w:p w:rsidR="000A156F" w:rsidRDefault="00A9721F">
            <w:pPr>
              <w:pStyle w:val="TableBodyText"/>
            </w:pPr>
            <w:r>
              <w:t>49</w:t>
            </w:r>
          </w:p>
        </w:tc>
        <w:tc>
          <w:tcPr>
            <w:tcW w:w="0" w:type="auto"/>
            <w:vAlign w:val="center"/>
          </w:tcPr>
          <w:p w:rsidR="000A156F" w:rsidRDefault="00A9721F">
            <w:pPr>
              <w:pStyle w:val="TableBodyText"/>
            </w:pPr>
            <w:r>
              <w:t>RESERVED--DO NOT USE</w:t>
            </w:r>
          </w:p>
        </w:tc>
      </w:tr>
      <w:tr w:rsidR="000A156F" w:rsidTr="000A156F">
        <w:tc>
          <w:tcPr>
            <w:tcW w:w="0" w:type="auto"/>
            <w:vAlign w:val="center"/>
          </w:tcPr>
          <w:p w:rsidR="000A156F" w:rsidRDefault="00A9721F">
            <w:pPr>
              <w:pStyle w:val="TableBodyText"/>
            </w:pPr>
            <w:r>
              <w:t>50</w:t>
            </w:r>
          </w:p>
        </w:tc>
        <w:tc>
          <w:tcPr>
            <w:tcW w:w="0" w:type="auto"/>
            <w:vAlign w:val="center"/>
          </w:tcPr>
          <w:p w:rsidR="000A156F" w:rsidRDefault="00A9721F">
            <w:pPr>
              <w:pStyle w:val="TableBodyText"/>
            </w:pPr>
            <w:r>
              <w:t>US Letter Extra 9 \275 x 12 in</w:t>
            </w:r>
          </w:p>
        </w:tc>
      </w:tr>
      <w:tr w:rsidR="000A156F" w:rsidTr="000A156F">
        <w:tc>
          <w:tcPr>
            <w:tcW w:w="0" w:type="auto"/>
            <w:vAlign w:val="center"/>
          </w:tcPr>
          <w:p w:rsidR="000A156F" w:rsidRDefault="00A9721F">
            <w:pPr>
              <w:pStyle w:val="TableBodyText"/>
            </w:pPr>
            <w:r>
              <w:t>51</w:t>
            </w:r>
          </w:p>
        </w:tc>
        <w:tc>
          <w:tcPr>
            <w:tcW w:w="0" w:type="auto"/>
            <w:vAlign w:val="center"/>
          </w:tcPr>
          <w:p w:rsidR="000A156F" w:rsidRDefault="00A9721F">
            <w:pPr>
              <w:pStyle w:val="TableBodyText"/>
            </w:pPr>
            <w:r>
              <w:t>US Legal Extra 9 \275 x 15 in</w:t>
            </w:r>
          </w:p>
        </w:tc>
      </w:tr>
      <w:tr w:rsidR="000A156F" w:rsidTr="000A156F">
        <w:tc>
          <w:tcPr>
            <w:tcW w:w="0" w:type="auto"/>
            <w:vAlign w:val="center"/>
          </w:tcPr>
          <w:p w:rsidR="000A156F" w:rsidRDefault="00A9721F">
            <w:pPr>
              <w:pStyle w:val="TableBodyText"/>
            </w:pPr>
            <w:r>
              <w:t>52</w:t>
            </w:r>
          </w:p>
        </w:tc>
        <w:tc>
          <w:tcPr>
            <w:tcW w:w="0" w:type="auto"/>
            <w:vAlign w:val="center"/>
          </w:tcPr>
          <w:p w:rsidR="000A156F" w:rsidRDefault="00A9721F">
            <w:pPr>
              <w:pStyle w:val="TableBodyText"/>
            </w:pPr>
            <w:r>
              <w:t xml:space="preserve">US </w:t>
            </w:r>
            <w:r>
              <w:t>Tabloid Extra 11.69 x 18 in</w:t>
            </w:r>
          </w:p>
        </w:tc>
      </w:tr>
      <w:tr w:rsidR="000A156F" w:rsidTr="000A156F">
        <w:tc>
          <w:tcPr>
            <w:tcW w:w="0" w:type="auto"/>
            <w:vAlign w:val="center"/>
          </w:tcPr>
          <w:p w:rsidR="000A156F" w:rsidRDefault="00A9721F">
            <w:pPr>
              <w:pStyle w:val="TableBodyText"/>
            </w:pPr>
            <w:r>
              <w:t>53</w:t>
            </w:r>
          </w:p>
        </w:tc>
        <w:tc>
          <w:tcPr>
            <w:tcW w:w="0" w:type="auto"/>
            <w:vAlign w:val="center"/>
          </w:tcPr>
          <w:p w:rsidR="000A156F" w:rsidRDefault="00A9721F">
            <w:pPr>
              <w:pStyle w:val="TableBodyText"/>
            </w:pPr>
            <w:r>
              <w:t>A4 Extra 9.27 x 12.69 in</w:t>
            </w:r>
          </w:p>
        </w:tc>
      </w:tr>
      <w:tr w:rsidR="000A156F" w:rsidTr="000A156F">
        <w:tc>
          <w:tcPr>
            <w:tcW w:w="0" w:type="auto"/>
            <w:vAlign w:val="center"/>
          </w:tcPr>
          <w:p w:rsidR="000A156F" w:rsidRDefault="00A9721F">
            <w:pPr>
              <w:pStyle w:val="TableBodyText"/>
            </w:pPr>
            <w:r>
              <w:t>54</w:t>
            </w:r>
          </w:p>
        </w:tc>
        <w:tc>
          <w:tcPr>
            <w:tcW w:w="0" w:type="auto"/>
            <w:vAlign w:val="center"/>
          </w:tcPr>
          <w:p w:rsidR="000A156F" w:rsidRDefault="00A9721F">
            <w:pPr>
              <w:pStyle w:val="TableBodyText"/>
            </w:pPr>
            <w:r>
              <w:t xml:space="preserve">Letter Transverse 8 \275 x 11 in </w:t>
            </w:r>
          </w:p>
        </w:tc>
      </w:tr>
      <w:tr w:rsidR="000A156F" w:rsidTr="000A156F">
        <w:tc>
          <w:tcPr>
            <w:tcW w:w="0" w:type="auto"/>
            <w:vAlign w:val="center"/>
          </w:tcPr>
          <w:p w:rsidR="000A156F" w:rsidRDefault="00A9721F">
            <w:pPr>
              <w:pStyle w:val="TableBodyText"/>
            </w:pPr>
            <w:r>
              <w:t>55</w:t>
            </w:r>
          </w:p>
        </w:tc>
        <w:tc>
          <w:tcPr>
            <w:tcW w:w="0" w:type="auto"/>
            <w:vAlign w:val="center"/>
          </w:tcPr>
          <w:p w:rsidR="000A156F" w:rsidRDefault="00A9721F">
            <w:pPr>
              <w:pStyle w:val="TableBodyText"/>
            </w:pPr>
            <w:r>
              <w:t>A4 Transverse 210 x 297 mm</w:t>
            </w:r>
          </w:p>
        </w:tc>
      </w:tr>
      <w:tr w:rsidR="000A156F" w:rsidTr="000A156F">
        <w:tc>
          <w:tcPr>
            <w:tcW w:w="0" w:type="auto"/>
            <w:vAlign w:val="center"/>
          </w:tcPr>
          <w:p w:rsidR="000A156F" w:rsidRDefault="00A9721F">
            <w:pPr>
              <w:pStyle w:val="TableBodyText"/>
            </w:pPr>
            <w:r>
              <w:t>56</w:t>
            </w:r>
          </w:p>
        </w:tc>
        <w:tc>
          <w:tcPr>
            <w:tcW w:w="0" w:type="auto"/>
            <w:vAlign w:val="center"/>
          </w:tcPr>
          <w:p w:rsidR="000A156F" w:rsidRDefault="00A9721F">
            <w:pPr>
              <w:pStyle w:val="TableBodyText"/>
            </w:pPr>
            <w:r>
              <w:t>Letter Extra Transverse 9\275 x 12 in</w:t>
            </w:r>
          </w:p>
        </w:tc>
      </w:tr>
      <w:tr w:rsidR="000A156F" w:rsidTr="000A156F">
        <w:tc>
          <w:tcPr>
            <w:tcW w:w="0" w:type="auto"/>
            <w:vAlign w:val="center"/>
          </w:tcPr>
          <w:p w:rsidR="000A156F" w:rsidRDefault="00A9721F">
            <w:pPr>
              <w:pStyle w:val="TableBodyText"/>
            </w:pPr>
            <w:r>
              <w:t>57</w:t>
            </w:r>
          </w:p>
        </w:tc>
        <w:tc>
          <w:tcPr>
            <w:tcW w:w="0" w:type="auto"/>
            <w:vAlign w:val="center"/>
          </w:tcPr>
          <w:p w:rsidR="000A156F" w:rsidRDefault="00A9721F">
            <w:pPr>
              <w:pStyle w:val="TableBodyText"/>
            </w:pPr>
            <w:r>
              <w:t>SuperA/SuperA/A4 227 x 356 mm</w:t>
            </w:r>
          </w:p>
        </w:tc>
      </w:tr>
      <w:tr w:rsidR="000A156F" w:rsidTr="000A156F">
        <w:tc>
          <w:tcPr>
            <w:tcW w:w="0" w:type="auto"/>
            <w:vAlign w:val="center"/>
          </w:tcPr>
          <w:p w:rsidR="000A156F" w:rsidRDefault="00A9721F">
            <w:pPr>
              <w:pStyle w:val="TableBodyText"/>
            </w:pPr>
            <w:r>
              <w:t>58</w:t>
            </w:r>
          </w:p>
        </w:tc>
        <w:tc>
          <w:tcPr>
            <w:tcW w:w="0" w:type="auto"/>
            <w:vAlign w:val="center"/>
          </w:tcPr>
          <w:p w:rsidR="000A156F" w:rsidRDefault="00A9721F">
            <w:pPr>
              <w:pStyle w:val="TableBodyText"/>
            </w:pPr>
            <w:r>
              <w:t>SuperB/SuperB/A3 305 x 487 mm</w:t>
            </w:r>
          </w:p>
        </w:tc>
      </w:tr>
      <w:tr w:rsidR="000A156F" w:rsidTr="000A156F">
        <w:tc>
          <w:tcPr>
            <w:tcW w:w="0" w:type="auto"/>
            <w:vAlign w:val="center"/>
          </w:tcPr>
          <w:p w:rsidR="000A156F" w:rsidRDefault="00A9721F">
            <w:pPr>
              <w:pStyle w:val="TableBodyText"/>
            </w:pPr>
            <w:r>
              <w:t>59</w:t>
            </w:r>
          </w:p>
        </w:tc>
        <w:tc>
          <w:tcPr>
            <w:tcW w:w="0" w:type="auto"/>
            <w:vAlign w:val="center"/>
          </w:tcPr>
          <w:p w:rsidR="000A156F" w:rsidRDefault="00A9721F">
            <w:pPr>
              <w:pStyle w:val="TableBodyText"/>
            </w:pPr>
            <w:r>
              <w:t xml:space="preserve">US Letter Plus </w:t>
            </w:r>
            <w:r>
              <w:t>8.5 x 12.69 in</w:t>
            </w:r>
          </w:p>
        </w:tc>
      </w:tr>
      <w:tr w:rsidR="000A156F" w:rsidTr="000A156F">
        <w:tc>
          <w:tcPr>
            <w:tcW w:w="0" w:type="auto"/>
            <w:vAlign w:val="center"/>
          </w:tcPr>
          <w:p w:rsidR="000A156F" w:rsidRDefault="00A9721F">
            <w:pPr>
              <w:pStyle w:val="TableBodyText"/>
            </w:pPr>
            <w:r>
              <w:t>60</w:t>
            </w:r>
          </w:p>
        </w:tc>
        <w:tc>
          <w:tcPr>
            <w:tcW w:w="0" w:type="auto"/>
            <w:vAlign w:val="center"/>
          </w:tcPr>
          <w:p w:rsidR="000A156F" w:rsidRDefault="00A9721F">
            <w:pPr>
              <w:pStyle w:val="TableBodyText"/>
            </w:pPr>
            <w:r>
              <w:t>A4 Plus 210 x 330 mm</w:t>
            </w:r>
          </w:p>
        </w:tc>
      </w:tr>
      <w:tr w:rsidR="000A156F" w:rsidTr="000A156F">
        <w:tc>
          <w:tcPr>
            <w:tcW w:w="0" w:type="auto"/>
            <w:vAlign w:val="center"/>
          </w:tcPr>
          <w:p w:rsidR="000A156F" w:rsidRDefault="00A9721F">
            <w:pPr>
              <w:pStyle w:val="TableBodyText"/>
            </w:pPr>
            <w:r>
              <w:t>61</w:t>
            </w:r>
          </w:p>
        </w:tc>
        <w:tc>
          <w:tcPr>
            <w:tcW w:w="0" w:type="auto"/>
            <w:vAlign w:val="center"/>
          </w:tcPr>
          <w:p w:rsidR="000A156F" w:rsidRDefault="00A9721F">
            <w:pPr>
              <w:pStyle w:val="TableBodyText"/>
            </w:pPr>
            <w:r>
              <w:t>A5 Transverse 148 x 210 mm</w:t>
            </w:r>
          </w:p>
        </w:tc>
      </w:tr>
      <w:tr w:rsidR="000A156F" w:rsidTr="000A156F">
        <w:tc>
          <w:tcPr>
            <w:tcW w:w="0" w:type="auto"/>
            <w:vAlign w:val="center"/>
          </w:tcPr>
          <w:p w:rsidR="000A156F" w:rsidRDefault="00A9721F">
            <w:pPr>
              <w:pStyle w:val="TableBodyText"/>
            </w:pPr>
            <w:r>
              <w:t>62</w:t>
            </w:r>
          </w:p>
        </w:tc>
        <w:tc>
          <w:tcPr>
            <w:tcW w:w="0" w:type="auto"/>
            <w:vAlign w:val="center"/>
          </w:tcPr>
          <w:p w:rsidR="000A156F" w:rsidRDefault="00A9721F">
            <w:pPr>
              <w:pStyle w:val="TableBodyText"/>
            </w:pPr>
            <w:r>
              <w:t>B5 (JIS) Transverse 182 x 257 mm</w:t>
            </w:r>
          </w:p>
        </w:tc>
      </w:tr>
      <w:tr w:rsidR="000A156F" w:rsidTr="000A156F">
        <w:tc>
          <w:tcPr>
            <w:tcW w:w="0" w:type="auto"/>
            <w:vAlign w:val="center"/>
          </w:tcPr>
          <w:p w:rsidR="000A156F" w:rsidRDefault="00A9721F">
            <w:pPr>
              <w:pStyle w:val="TableBodyText"/>
            </w:pPr>
            <w:r>
              <w:t>63</w:t>
            </w:r>
          </w:p>
        </w:tc>
        <w:tc>
          <w:tcPr>
            <w:tcW w:w="0" w:type="auto"/>
            <w:vAlign w:val="center"/>
          </w:tcPr>
          <w:p w:rsidR="000A156F" w:rsidRDefault="00A9721F">
            <w:pPr>
              <w:pStyle w:val="TableBodyText"/>
            </w:pPr>
            <w:r>
              <w:t>A3 Extra 322 x 445 mm</w:t>
            </w:r>
          </w:p>
        </w:tc>
      </w:tr>
      <w:tr w:rsidR="000A156F" w:rsidTr="000A156F">
        <w:tc>
          <w:tcPr>
            <w:tcW w:w="0" w:type="auto"/>
            <w:vAlign w:val="center"/>
          </w:tcPr>
          <w:p w:rsidR="000A156F" w:rsidRDefault="00A9721F">
            <w:pPr>
              <w:pStyle w:val="TableBodyText"/>
            </w:pPr>
            <w:r>
              <w:t>64</w:t>
            </w:r>
          </w:p>
        </w:tc>
        <w:tc>
          <w:tcPr>
            <w:tcW w:w="0" w:type="auto"/>
            <w:vAlign w:val="center"/>
          </w:tcPr>
          <w:p w:rsidR="000A156F" w:rsidRDefault="00A9721F">
            <w:pPr>
              <w:pStyle w:val="TableBodyText"/>
            </w:pPr>
            <w:r>
              <w:t>A5 Extra 174 x 235 mm</w:t>
            </w:r>
          </w:p>
        </w:tc>
      </w:tr>
      <w:tr w:rsidR="000A156F" w:rsidTr="000A156F">
        <w:tc>
          <w:tcPr>
            <w:tcW w:w="0" w:type="auto"/>
            <w:vAlign w:val="center"/>
          </w:tcPr>
          <w:p w:rsidR="000A156F" w:rsidRDefault="00A9721F">
            <w:pPr>
              <w:pStyle w:val="TableBodyText"/>
            </w:pPr>
            <w:r>
              <w:lastRenderedPageBreak/>
              <w:t>65</w:t>
            </w:r>
          </w:p>
        </w:tc>
        <w:tc>
          <w:tcPr>
            <w:tcW w:w="0" w:type="auto"/>
            <w:vAlign w:val="center"/>
          </w:tcPr>
          <w:p w:rsidR="000A156F" w:rsidRDefault="00A9721F">
            <w:pPr>
              <w:pStyle w:val="TableBodyText"/>
            </w:pPr>
            <w:r>
              <w:t>B5 (ISO) Extra 201 x 276 mm</w:t>
            </w:r>
          </w:p>
        </w:tc>
      </w:tr>
      <w:tr w:rsidR="000A156F" w:rsidTr="000A156F">
        <w:tc>
          <w:tcPr>
            <w:tcW w:w="0" w:type="auto"/>
            <w:vAlign w:val="center"/>
          </w:tcPr>
          <w:p w:rsidR="000A156F" w:rsidRDefault="00A9721F">
            <w:pPr>
              <w:pStyle w:val="TableBodyText"/>
            </w:pPr>
            <w:r>
              <w:t>66</w:t>
            </w:r>
          </w:p>
        </w:tc>
        <w:tc>
          <w:tcPr>
            <w:tcW w:w="0" w:type="auto"/>
            <w:vAlign w:val="center"/>
          </w:tcPr>
          <w:p w:rsidR="000A156F" w:rsidRDefault="00A9721F">
            <w:pPr>
              <w:pStyle w:val="TableBodyText"/>
            </w:pPr>
            <w:r>
              <w:t>A2 420 x 594 mm</w:t>
            </w:r>
          </w:p>
        </w:tc>
      </w:tr>
      <w:tr w:rsidR="000A156F" w:rsidTr="000A156F">
        <w:tc>
          <w:tcPr>
            <w:tcW w:w="0" w:type="auto"/>
            <w:vAlign w:val="center"/>
          </w:tcPr>
          <w:p w:rsidR="000A156F" w:rsidRDefault="00A9721F">
            <w:pPr>
              <w:pStyle w:val="TableBodyText"/>
            </w:pPr>
            <w:r>
              <w:t>67</w:t>
            </w:r>
          </w:p>
        </w:tc>
        <w:tc>
          <w:tcPr>
            <w:tcW w:w="0" w:type="auto"/>
            <w:vAlign w:val="center"/>
          </w:tcPr>
          <w:p w:rsidR="000A156F" w:rsidRDefault="00A9721F">
            <w:pPr>
              <w:pStyle w:val="TableBodyText"/>
            </w:pPr>
            <w:r>
              <w:t>A3 Transverse 297 x 420 mm</w:t>
            </w:r>
          </w:p>
        </w:tc>
      </w:tr>
      <w:tr w:rsidR="000A156F" w:rsidTr="000A156F">
        <w:tc>
          <w:tcPr>
            <w:tcW w:w="0" w:type="auto"/>
            <w:vAlign w:val="center"/>
          </w:tcPr>
          <w:p w:rsidR="000A156F" w:rsidRDefault="00A9721F">
            <w:pPr>
              <w:pStyle w:val="TableBodyText"/>
            </w:pPr>
            <w:r>
              <w:t>68</w:t>
            </w:r>
          </w:p>
        </w:tc>
        <w:tc>
          <w:tcPr>
            <w:tcW w:w="0" w:type="auto"/>
            <w:vAlign w:val="center"/>
          </w:tcPr>
          <w:p w:rsidR="000A156F" w:rsidRDefault="00A9721F">
            <w:pPr>
              <w:pStyle w:val="TableBodyText"/>
            </w:pPr>
            <w:r>
              <w:t xml:space="preserve">A3 Extra Transverse 322 x 445 mm </w:t>
            </w:r>
          </w:p>
        </w:tc>
      </w:tr>
      <w:tr w:rsidR="000A156F" w:rsidTr="000A156F">
        <w:tc>
          <w:tcPr>
            <w:tcW w:w="0" w:type="auto"/>
            <w:vAlign w:val="center"/>
          </w:tcPr>
          <w:p w:rsidR="000A156F" w:rsidRDefault="00A9721F">
            <w:pPr>
              <w:pStyle w:val="TableBodyText"/>
            </w:pPr>
            <w:r>
              <w:t>69</w:t>
            </w:r>
          </w:p>
        </w:tc>
        <w:tc>
          <w:tcPr>
            <w:tcW w:w="0" w:type="auto"/>
            <w:vAlign w:val="center"/>
          </w:tcPr>
          <w:p w:rsidR="000A156F" w:rsidRDefault="00A9721F">
            <w:pPr>
              <w:pStyle w:val="TableBodyText"/>
            </w:pPr>
            <w:r>
              <w:t>Japanese Double Postcard 200 x 148 mm</w:t>
            </w:r>
          </w:p>
        </w:tc>
      </w:tr>
      <w:tr w:rsidR="000A156F" w:rsidTr="000A156F">
        <w:tc>
          <w:tcPr>
            <w:tcW w:w="0" w:type="auto"/>
            <w:vAlign w:val="center"/>
          </w:tcPr>
          <w:p w:rsidR="000A156F" w:rsidRDefault="00A9721F">
            <w:pPr>
              <w:pStyle w:val="TableBodyText"/>
            </w:pPr>
            <w:r>
              <w:t>70</w:t>
            </w:r>
          </w:p>
        </w:tc>
        <w:tc>
          <w:tcPr>
            <w:tcW w:w="0" w:type="auto"/>
            <w:vAlign w:val="center"/>
          </w:tcPr>
          <w:p w:rsidR="000A156F" w:rsidRDefault="00A9721F">
            <w:pPr>
              <w:pStyle w:val="TableBodyText"/>
            </w:pPr>
            <w:r>
              <w:t>A6 105 x 148 mm</w:t>
            </w:r>
          </w:p>
        </w:tc>
      </w:tr>
      <w:tr w:rsidR="000A156F" w:rsidTr="000A156F">
        <w:tc>
          <w:tcPr>
            <w:tcW w:w="0" w:type="auto"/>
            <w:vAlign w:val="center"/>
          </w:tcPr>
          <w:p w:rsidR="000A156F" w:rsidRDefault="00A9721F">
            <w:pPr>
              <w:pStyle w:val="TableBodyText"/>
            </w:pPr>
            <w:r>
              <w:t>71</w:t>
            </w:r>
          </w:p>
        </w:tc>
        <w:tc>
          <w:tcPr>
            <w:tcW w:w="0" w:type="auto"/>
            <w:vAlign w:val="center"/>
          </w:tcPr>
          <w:p w:rsidR="000A156F" w:rsidRDefault="00A9721F">
            <w:pPr>
              <w:pStyle w:val="TableBodyText"/>
            </w:pPr>
            <w:r>
              <w:t>Japanese Envelope Kaku #2</w:t>
            </w:r>
          </w:p>
        </w:tc>
      </w:tr>
      <w:tr w:rsidR="000A156F" w:rsidTr="000A156F">
        <w:tc>
          <w:tcPr>
            <w:tcW w:w="0" w:type="auto"/>
            <w:vAlign w:val="center"/>
          </w:tcPr>
          <w:p w:rsidR="000A156F" w:rsidRDefault="00A9721F">
            <w:pPr>
              <w:pStyle w:val="TableBodyText"/>
            </w:pPr>
            <w:r>
              <w:t xml:space="preserve">72 </w:t>
            </w:r>
          </w:p>
        </w:tc>
        <w:tc>
          <w:tcPr>
            <w:tcW w:w="0" w:type="auto"/>
            <w:vAlign w:val="center"/>
          </w:tcPr>
          <w:p w:rsidR="000A156F" w:rsidRDefault="00A9721F">
            <w:pPr>
              <w:pStyle w:val="TableBodyText"/>
            </w:pPr>
            <w:r>
              <w:t>Japanese Envelope Kaku #3</w:t>
            </w:r>
          </w:p>
        </w:tc>
      </w:tr>
      <w:tr w:rsidR="000A156F" w:rsidTr="000A156F">
        <w:tc>
          <w:tcPr>
            <w:tcW w:w="0" w:type="auto"/>
            <w:vAlign w:val="center"/>
          </w:tcPr>
          <w:p w:rsidR="000A156F" w:rsidRDefault="00A9721F">
            <w:pPr>
              <w:pStyle w:val="TableBodyText"/>
            </w:pPr>
            <w:r>
              <w:t>73</w:t>
            </w:r>
          </w:p>
        </w:tc>
        <w:tc>
          <w:tcPr>
            <w:tcW w:w="0" w:type="auto"/>
            <w:vAlign w:val="center"/>
          </w:tcPr>
          <w:p w:rsidR="000A156F" w:rsidRDefault="00A9721F">
            <w:pPr>
              <w:pStyle w:val="TableBodyText"/>
            </w:pPr>
            <w:r>
              <w:t>Japanese Envelope Chou #3</w:t>
            </w:r>
          </w:p>
        </w:tc>
      </w:tr>
      <w:tr w:rsidR="000A156F" w:rsidTr="000A156F">
        <w:tc>
          <w:tcPr>
            <w:tcW w:w="0" w:type="auto"/>
            <w:vAlign w:val="center"/>
          </w:tcPr>
          <w:p w:rsidR="000A156F" w:rsidRDefault="00A9721F">
            <w:pPr>
              <w:pStyle w:val="TableBodyText"/>
            </w:pPr>
            <w:r>
              <w:t>74</w:t>
            </w:r>
          </w:p>
        </w:tc>
        <w:tc>
          <w:tcPr>
            <w:tcW w:w="0" w:type="auto"/>
            <w:vAlign w:val="center"/>
          </w:tcPr>
          <w:p w:rsidR="000A156F" w:rsidRDefault="00A9721F">
            <w:pPr>
              <w:pStyle w:val="TableBodyText"/>
            </w:pPr>
            <w:r>
              <w:t>Japanese Envelope Chou #4</w:t>
            </w:r>
          </w:p>
        </w:tc>
      </w:tr>
      <w:tr w:rsidR="000A156F" w:rsidTr="000A156F">
        <w:tc>
          <w:tcPr>
            <w:tcW w:w="0" w:type="auto"/>
            <w:vAlign w:val="center"/>
          </w:tcPr>
          <w:p w:rsidR="000A156F" w:rsidRDefault="00A9721F">
            <w:pPr>
              <w:pStyle w:val="TableBodyText"/>
            </w:pPr>
            <w:r>
              <w:t>75</w:t>
            </w:r>
          </w:p>
        </w:tc>
        <w:tc>
          <w:tcPr>
            <w:tcW w:w="0" w:type="auto"/>
            <w:vAlign w:val="center"/>
          </w:tcPr>
          <w:p w:rsidR="000A156F" w:rsidRDefault="00A9721F">
            <w:pPr>
              <w:pStyle w:val="TableBodyText"/>
            </w:pPr>
            <w:r>
              <w:t>Letter Rotated 11 x 8 1/2 11 in</w:t>
            </w:r>
          </w:p>
        </w:tc>
      </w:tr>
      <w:tr w:rsidR="000A156F" w:rsidTr="000A156F">
        <w:tc>
          <w:tcPr>
            <w:tcW w:w="0" w:type="auto"/>
            <w:vAlign w:val="center"/>
          </w:tcPr>
          <w:p w:rsidR="000A156F" w:rsidRDefault="00A9721F">
            <w:pPr>
              <w:pStyle w:val="TableBodyText"/>
            </w:pPr>
            <w:r>
              <w:t>76</w:t>
            </w:r>
          </w:p>
        </w:tc>
        <w:tc>
          <w:tcPr>
            <w:tcW w:w="0" w:type="auto"/>
            <w:vAlign w:val="center"/>
          </w:tcPr>
          <w:p w:rsidR="000A156F" w:rsidRDefault="00A9721F">
            <w:pPr>
              <w:pStyle w:val="TableBodyText"/>
            </w:pPr>
            <w:r>
              <w:t>A3 Rotated 420 x 297 mm</w:t>
            </w:r>
          </w:p>
        </w:tc>
      </w:tr>
      <w:tr w:rsidR="000A156F" w:rsidTr="000A156F">
        <w:tc>
          <w:tcPr>
            <w:tcW w:w="0" w:type="auto"/>
            <w:vAlign w:val="center"/>
          </w:tcPr>
          <w:p w:rsidR="000A156F" w:rsidRDefault="00A9721F">
            <w:pPr>
              <w:pStyle w:val="TableBodyText"/>
            </w:pPr>
            <w:r>
              <w:t>77</w:t>
            </w:r>
          </w:p>
        </w:tc>
        <w:tc>
          <w:tcPr>
            <w:tcW w:w="0" w:type="auto"/>
            <w:vAlign w:val="center"/>
          </w:tcPr>
          <w:p w:rsidR="000A156F" w:rsidRDefault="00A9721F">
            <w:pPr>
              <w:pStyle w:val="TableBodyText"/>
            </w:pPr>
            <w:r>
              <w:t>A4 Rotated 297 x 210 mm</w:t>
            </w:r>
          </w:p>
        </w:tc>
      </w:tr>
      <w:tr w:rsidR="000A156F" w:rsidTr="000A156F">
        <w:tc>
          <w:tcPr>
            <w:tcW w:w="0" w:type="auto"/>
            <w:vAlign w:val="center"/>
          </w:tcPr>
          <w:p w:rsidR="000A156F" w:rsidRDefault="00A9721F">
            <w:pPr>
              <w:pStyle w:val="TableBodyText"/>
            </w:pPr>
            <w:r>
              <w:t>78</w:t>
            </w:r>
          </w:p>
        </w:tc>
        <w:tc>
          <w:tcPr>
            <w:tcW w:w="0" w:type="auto"/>
            <w:vAlign w:val="center"/>
          </w:tcPr>
          <w:p w:rsidR="000A156F" w:rsidRDefault="00A9721F">
            <w:pPr>
              <w:pStyle w:val="TableBodyText"/>
            </w:pPr>
            <w:r>
              <w:t>A5 Rotated 210 x 148 mm</w:t>
            </w:r>
          </w:p>
        </w:tc>
      </w:tr>
      <w:tr w:rsidR="000A156F" w:rsidTr="000A156F">
        <w:tc>
          <w:tcPr>
            <w:tcW w:w="0" w:type="auto"/>
            <w:vAlign w:val="center"/>
          </w:tcPr>
          <w:p w:rsidR="000A156F" w:rsidRDefault="00A9721F">
            <w:pPr>
              <w:pStyle w:val="TableBodyText"/>
            </w:pPr>
            <w:r>
              <w:t>79</w:t>
            </w:r>
          </w:p>
        </w:tc>
        <w:tc>
          <w:tcPr>
            <w:tcW w:w="0" w:type="auto"/>
            <w:vAlign w:val="center"/>
          </w:tcPr>
          <w:p w:rsidR="000A156F" w:rsidRDefault="00A9721F">
            <w:pPr>
              <w:pStyle w:val="TableBodyText"/>
            </w:pPr>
            <w:r>
              <w:t>B4 (JIS) Rotated 364 x 257 mm</w:t>
            </w:r>
          </w:p>
        </w:tc>
      </w:tr>
      <w:tr w:rsidR="000A156F" w:rsidTr="000A156F">
        <w:tc>
          <w:tcPr>
            <w:tcW w:w="0" w:type="auto"/>
            <w:vAlign w:val="center"/>
          </w:tcPr>
          <w:p w:rsidR="000A156F" w:rsidRDefault="00A9721F">
            <w:pPr>
              <w:pStyle w:val="TableBodyText"/>
            </w:pPr>
            <w:r>
              <w:t>80</w:t>
            </w:r>
          </w:p>
        </w:tc>
        <w:tc>
          <w:tcPr>
            <w:tcW w:w="0" w:type="auto"/>
            <w:vAlign w:val="center"/>
          </w:tcPr>
          <w:p w:rsidR="000A156F" w:rsidRDefault="00A9721F">
            <w:pPr>
              <w:pStyle w:val="TableBodyText"/>
            </w:pPr>
            <w:r>
              <w:t>B5 (JIS) Rotated 257 x 182 mm</w:t>
            </w:r>
          </w:p>
        </w:tc>
      </w:tr>
      <w:tr w:rsidR="000A156F" w:rsidTr="000A156F">
        <w:tc>
          <w:tcPr>
            <w:tcW w:w="0" w:type="auto"/>
            <w:vAlign w:val="center"/>
          </w:tcPr>
          <w:p w:rsidR="000A156F" w:rsidRDefault="00A9721F">
            <w:pPr>
              <w:pStyle w:val="TableBodyText"/>
            </w:pPr>
            <w:r>
              <w:t>81</w:t>
            </w:r>
          </w:p>
        </w:tc>
        <w:tc>
          <w:tcPr>
            <w:tcW w:w="0" w:type="auto"/>
            <w:vAlign w:val="center"/>
          </w:tcPr>
          <w:p w:rsidR="000A156F" w:rsidRDefault="00A9721F">
            <w:pPr>
              <w:pStyle w:val="TableBodyText"/>
            </w:pPr>
            <w:r>
              <w:t>Japanese Postcard Rotated 148 x 100 mm</w:t>
            </w:r>
          </w:p>
        </w:tc>
      </w:tr>
      <w:tr w:rsidR="000A156F" w:rsidTr="000A156F">
        <w:tc>
          <w:tcPr>
            <w:tcW w:w="0" w:type="auto"/>
            <w:vAlign w:val="center"/>
          </w:tcPr>
          <w:p w:rsidR="000A156F" w:rsidRDefault="00A9721F">
            <w:pPr>
              <w:pStyle w:val="TableBodyText"/>
            </w:pPr>
            <w:r>
              <w:t>82</w:t>
            </w:r>
          </w:p>
        </w:tc>
        <w:tc>
          <w:tcPr>
            <w:tcW w:w="0" w:type="auto"/>
            <w:vAlign w:val="center"/>
          </w:tcPr>
          <w:p w:rsidR="000A156F" w:rsidRDefault="00A9721F">
            <w:pPr>
              <w:pStyle w:val="TableBodyText"/>
            </w:pPr>
            <w:r>
              <w:t>Double Japanese Postcard Rotated 148 x 200 mm</w:t>
            </w:r>
          </w:p>
        </w:tc>
      </w:tr>
      <w:tr w:rsidR="000A156F" w:rsidTr="000A156F">
        <w:tc>
          <w:tcPr>
            <w:tcW w:w="0" w:type="auto"/>
            <w:vAlign w:val="center"/>
          </w:tcPr>
          <w:p w:rsidR="000A156F" w:rsidRDefault="00A9721F">
            <w:pPr>
              <w:pStyle w:val="TableBodyText"/>
            </w:pPr>
            <w:r>
              <w:t>83</w:t>
            </w:r>
          </w:p>
        </w:tc>
        <w:tc>
          <w:tcPr>
            <w:tcW w:w="0" w:type="auto"/>
            <w:vAlign w:val="center"/>
          </w:tcPr>
          <w:p w:rsidR="000A156F" w:rsidRDefault="00A9721F">
            <w:pPr>
              <w:pStyle w:val="TableBodyText"/>
            </w:pPr>
            <w:r>
              <w:t>A6 Rotated</w:t>
            </w:r>
            <w:r>
              <w:t xml:space="preserve"> 148 x 105 mm</w:t>
            </w:r>
          </w:p>
        </w:tc>
      </w:tr>
      <w:tr w:rsidR="000A156F" w:rsidTr="000A156F">
        <w:tc>
          <w:tcPr>
            <w:tcW w:w="0" w:type="auto"/>
            <w:vAlign w:val="center"/>
          </w:tcPr>
          <w:p w:rsidR="000A156F" w:rsidRDefault="00A9721F">
            <w:pPr>
              <w:pStyle w:val="TableBodyText"/>
            </w:pPr>
            <w:r>
              <w:t>84</w:t>
            </w:r>
          </w:p>
        </w:tc>
        <w:tc>
          <w:tcPr>
            <w:tcW w:w="0" w:type="auto"/>
            <w:vAlign w:val="center"/>
          </w:tcPr>
          <w:p w:rsidR="000A156F" w:rsidRDefault="00A9721F">
            <w:pPr>
              <w:pStyle w:val="TableBodyText"/>
            </w:pPr>
            <w:r>
              <w:t>Japanese Envelope Kaku #2 Rotated</w:t>
            </w:r>
          </w:p>
        </w:tc>
      </w:tr>
      <w:tr w:rsidR="000A156F" w:rsidTr="000A156F">
        <w:tc>
          <w:tcPr>
            <w:tcW w:w="0" w:type="auto"/>
            <w:vAlign w:val="center"/>
          </w:tcPr>
          <w:p w:rsidR="000A156F" w:rsidRDefault="00A9721F">
            <w:pPr>
              <w:pStyle w:val="TableBodyText"/>
            </w:pPr>
            <w:r>
              <w:t>85</w:t>
            </w:r>
          </w:p>
        </w:tc>
        <w:tc>
          <w:tcPr>
            <w:tcW w:w="0" w:type="auto"/>
            <w:vAlign w:val="center"/>
          </w:tcPr>
          <w:p w:rsidR="000A156F" w:rsidRDefault="00A9721F">
            <w:pPr>
              <w:pStyle w:val="TableBodyText"/>
            </w:pPr>
            <w:r>
              <w:t>Japanese Envelope Kaku #3 Rotated</w:t>
            </w:r>
          </w:p>
        </w:tc>
      </w:tr>
      <w:tr w:rsidR="000A156F" w:rsidTr="000A156F">
        <w:tc>
          <w:tcPr>
            <w:tcW w:w="0" w:type="auto"/>
            <w:vAlign w:val="center"/>
          </w:tcPr>
          <w:p w:rsidR="000A156F" w:rsidRDefault="00A9721F">
            <w:pPr>
              <w:pStyle w:val="TableBodyText"/>
            </w:pPr>
            <w:r>
              <w:t>86</w:t>
            </w:r>
          </w:p>
        </w:tc>
        <w:tc>
          <w:tcPr>
            <w:tcW w:w="0" w:type="auto"/>
            <w:vAlign w:val="center"/>
          </w:tcPr>
          <w:p w:rsidR="000A156F" w:rsidRDefault="00A9721F">
            <w:pPr>
              <w:pStyle w:val="TableBodyText"/>
            </w:pPr>
            <w:r>
              <w:t>Japanese Envelope Chou #3 Rotated</w:t>
            </w:r>
          </w:p>
        </w:tc>
      </w:tr>
      <w:tr w:rsidR="000A156F" w:rsidTr="000A156F">
        <w:tc>
          <w:tcPr>
            <w:tcW w:w="0" w:type="auto"/>
            <w:vAlign w:val="center"/>
          </w:tcPr>
          <w:p w:rsidR="000A156F" w:rsidRDefault="00A9721F">
            <w:pPr>
              <w:pStyle w:val="TableBodyText"/>
            </w:pPr>
            <w:r>
              <w:t>87</w:t>
            </w:r>
          </w:p>
        </w:tc>
        <w:tc>
          <w:tcPr>
            <w:tcW w:w="0" w:type="auto"/>
            <w:vAlign w:val="center"/>
          </w:tcPr>
          <w:p w:rsidR="000A156F" w:rsidRDefault="00A9721F">
            <w:pPr>
              <w:pStyle w:val="TableBodyText"/>
            </w:pPr>
            <w:r>
              <w:t>Japanese Envelope Chou #4 Rotated</w:t>
            </w:r>
          </w:p>
        </w:tc>
      </w:tr>
      <w:tr w:rsidR="000A156F" w:rsidTr="000A156F">
        <w:tc>
          <w:tcPr>
            <w:tcW w:w="0" w:type="auto"/>
            <w:vAlign w:val="center"/>
          </w:tcPr>
          <w:p w:rsidR="000A156F" w:rsidRDefault="00A9721F">
            <w:pPr>
              <w:pStyle w:val="TableBodyText"/>
            </w:pPr>
            <w:r>
              <w:t>88</w:t>
            </w:r>
          </w:p>
        </w:tc>
        <w:tc>
          <w:tcPr>
            <w:tcW w:w="0" w:type="auto"/>
            <w:vAlign w:val="center"/>
          </w:tcPr>
          <w:p w:rsidR="000A156F" w:rsidRDefault="00A9721F">
            <w:pPr>
              <w:pStyle w:val="TableBodyText"/>
            </w:pPr>
            <w:r>
              <w:t>B6 (JIS) 128 x 182 mm</w:t>
            </w:r>
          </w:p>
        </w:tc>
      </w:tr>
      <w:tr w:rsidR="000A156F" w:rsidTr="000A156F">
        <w:tc>
          <w:tcPr>
            <w:tcW w:w="0" w:type="auto"/>
            <w:vAlign w:val="center"/>
          </w:tcPr>
          <w:p w:rsidR="000A156F" w:rsidRDefault="00A9721F">
            <w:pPr>
              <w:pStyle w:val="TableBodyText"/>
            </w:pPr>
            <w:r>
              <w:t>89</w:t>
            </w:r>
          </w:p>
        </w:tc>
        <w:tc>
          <w:tcPr>
            <w:tcW w:w="0" w:type="auto"/>
            <w:vAlign w:val="center"/>
          </w:tcPr>
          <w:p w:rsidR="000A156F" w:rsidRDefault="00A9721F">
            <w:pPr>
              <w:pStyle w:val="TableBodyText"/>
            </w:pPr>
            <w:r>
              <w:t>B6 (JIS) Rotated 182 x 128 mm</w:t>
            </w:r>
          </w:p>
        </w:tc>
      </w:tr>
      <w:tr w:rsidR="000A156F" w:rsidTr="000A156F">
        <w:tc>
          <w:tcPr>
            <w:tcW w:w="0" w:type="auto"/>
            <w:vAlign w:val="center"/>
          </w:tcPr>
          <w:p w:rsidR="000A156F" w:rsidRDefault="00A9721F">
            <w:pPr>
              <w:pStyle w:val="TableBodyText"/>
            </w:pPr>
            <w:r>
              <w:t>90</w:t>
            </w:r>
          </w:p>
        </w:tc>
        <w:tc>
          <w:tcPr>
            <w:tcW w:w="0" w:type="auto"/>
            <w:vAlign w:val="center"/>
          </w:tcPr>
          <w:p w:rsidR="000A156F" w:rsidRDefault="00A9721F">
            <w:pPr>
              <w:pStyle w:val="TableBodyText"/>
            </w:pPr>
            <w:r>
              <w:t>12 x 11 in</w:t>
            </w:r>
          </w:p>
        </w:tc>
      </w:tr>
      <w:tr w:rsidR="000A156F" w:rsidTr="000A156F">
        <w:tc>
          <w:tcPr>
            <w:tcW w:w="0" w:type="auto"/>
            <w:vAlign w:val="center"/>
          </w:tcPr>
          <w:p w:rsidR="000A156F" w:rsidRDefault="00A9721F">
            <w:pPr>
              <w:pStyle w:val="TableBodyText"/>
            </w:pPr>
            <w:r>
              <w:t>91</w:t>
            </w:r>
          </w:p>
        </w:tc>
        <w:tc>
          <w:tcPr>
            <w:tcW w:w="0" w:type="auto"/>
            <w:vAlign w:val="center"/>
          </w:tcPr>
          <w:p w:rsidR="000A156F" w:rsidRDefault="00A9721F">
            <w:pPr>
              <w:pStyle w:val="TableBodyText"/>
            </w:pPr>
            <w:r>
              <w:t xml:space="preserve">Japanese </w:t>
            </w:r>
            <w:r>
              <w:t>Envelope You #4</w:t>
            </w:r>
          </w:p>
        </w:tc>
      </w:tr>
      <w:tr w:rsidR="000A156F" w:rsidTr="000A156F">
        <w:tc>
          <w:tcPr>
            <w:tcW w:w="0" w:type="auto"/>
            <w:vAlign w:val="center"/>
          </w:tcPr>
          <w:p w:rsidR="000A156F" w:rsidRDefault="00A9721F">
            <w:pPr>
              <w:pStyle w:val="TableBodyText"/>
            </w:pPr>
            <w:r>
              <w:t>92</w:t>
            </w:r>
          </w:p>
        </w:tc>
        <w:tc>
          <w:tcPr>
            <w:tcW w:w="0" w:type="auto"/>
            <w:vAlign w:val="center"/>
          </w:tcPr>
          <w:p w:rsidR="000A156F" w:rsidRDefault="00A9721F">
            <w:pPr>
              <w:pStyle w:val="TableBodyText"/>
            </w:pPr>
            <w:r>
              <w:t>Japanese Envelope You #4 Rotated</w:t>
            </w:r>
          </w:p>
        </w:tc>
      </w:tr>
      <w:tr w:rsidR="000A156F" w:rsidTr="000A156F">
        <w:tc>
          <w:tcPr>
            <w:tcW w:w="0" w:type="auto"/>
            <w:vAlign w:val="center"/>
          </w:tcPr>
          <w:p w:rsidR="000A156F" w:rsidRDefault="00A9721F">
            <w:pPr>
              <w:pStyle w:val="TableBodyText"/>
            </w:pPr>
            <w:r>
              <w:t>93</w:t>
            </w:r>
          </w:p>
        </w:tc>
        <w:tc>
          <w:tcPr>
            <w:tcW w:w="0" w:type="auto"/>
            <w:vAlign w:val="center"/>
          </w:tcPr>
          <w:p w:rsidR="000A156F" w:rsidRDefault="00A9721F">
            <w:pPr>
              <w:pStyle w:val="TableBodyText"/>
            </w:pPr>
            <w:r>
              <w:t>PRC 16K 146 x 215 mm</w:t>
            </w:r>
          </w:p>
        </w:tc>
      </w:tr>
      <w:tr w:rsidR="000A156F" w:rsidTr="000A156F">
        <w:tc>
          <w:tcPr>
            <w:tcW w:w="0" w:type="auto"/>
            <w:vAlign w:val="center"/>
          </w:tcPr>
          <w:p w:rsidR="000A156F" w:rsidRDefault="00A9721F">
            <w:pPr>
              <w:pStyle w:val="TableBodyText"/>
            </w:pPr>
            <w:r>
              <w:t>94</w:t>
            </w:r>
          </w:p>
        </w:tc>
        <w:tc>
          <w:tcPr>
            <w:tcW w:w="0" w:type="auto"/>
            <w:vAlign w:val="center"/>
          </w:tcPr>
          <w:p w:rsidR="000A156F" w:rsidRDefault="00A9721F">
            <w:pPr>
              <w:pStyle w:val="TableBodyText"/>
            </w:pPr>
            <w:r>
              <w:t>PRC 32K 97 x 151 mm</w:t>
            </w:r>
          </w:p>
        </w:tc>
      </w:tr>
      <w:tr w:rsidR="000A156F" w:rsidTr="000A156F">
        <w:tc>
          <w:tcPr>
            <w:tcW w:w="0" w:type="auto"/>
            <w:vAlign w:val="center"/>
          </w:tcPr>
          <w:p w:rsidR="000A156F" w:rsidRDefault="00A9721F">
            <w:pPr>
              <w:pStyle w:val="TableBodyText"/>
            </w:pPr>
            <w:r>
              <w:t>95</w:t>
            </w:r>
          </w:p>
        </w:tc>
        <w:tc>
          <w:tcPr>
            <w:tcW w:w="0" w:type="auto"/>
            <w:vAlign w:val="center"/>
          </w:tcPr>
          <w:p w:rsidR="000A156F" w:rsidRDefault="00A9721F">
            <w:pPr>
              <w:pStyle w:val="TableBodyText"/>
            </w:pPr>
            <w:r>
              <w:t>PRC 32K(Big) 97 x 151 mm</w:t>
            </w:r>
          </w:p>
        </w:tc>
      </w:tr>
      <w:tr w:rsidR="000A156F" w:rsidTr="000A156F">
        <w:tc>
          <w:tcPr>
            <w:tcW w:w="0" w:type="auto"/>
            <w:vAlign w:val="center"/>
          </w:tcPr>
          <w:p w:rsidR="000A156F" w:rsidRDefault="00A9721F">
            <w:pPr>
              <w:pStyle w:val="TableBodyText"/>
            </w:pPr>
            <w:r>
              <w:t>96</w:t>
            </w:r>
          </w:p>
        </w:tc>
        <w:tc>
          <w:tcPr>
            <w:tcW w:w="0" w:type="auto"/>
            <w:vAlign w:val="center"/>
          </w:tcPr>
          <w:p w:rsidR="000A156F" w:rsidRDefault="00A9721F">
            <w:pPr>
              <w:pStyle w:val="TableBodyText"/>
            </w:pPr>
            <w:r>
              <w:t>PRC Envelope #1 102 x 165 mm</w:t>
            </w:r>
          </w:p>
        </w:tc>
      </w:tr>
      <w:tr w:rsidR="000A156F" w:rsidTr="000A156F">
        <w:tc>
          <w:tcPr>
            <w:tcW w:w="0" w:type="auto"/>
            <w:vAlign w:val="center"/>
          </w:tcPr>
          <w:p w:rsidR="000A156F" w:rsidRDefault="00A9721F">
            <w:pPr>
              <w:pStyle w:val="TableBodyText"/>
            </w:pPr>
            <w:r>
              <w:lastRenderedPageBreak/>
              <w:t>97</w:t>
            </w:r>
          </w:p>
        </w:tc>
        <w:tc>
          <w:tcPr>
            <w:tcW w:w="0" w:type="auto"/>
            <w:vAlign w:val="center"/>
          </w:tcPr>
          <w:p w:rsidR="000A156F" w:rsidRDefault="00A9721F">
            <w:pPr>
              <w:pStyle w:val="TableBodyText"/>
            </w:pPr>
            <w:r>
              <w:t>PRC Envelope #2 102 x 176 mm</w:t>
            </w:r>
          </w:p>
        </w:tc>
      </w:tr>
      <w:tr w:rsidR="000A156F" w:rsidTr="000A156F">
        <w:tc>
          <w:tcPr>
            <w:tcW w:w="0" w:type="auto"/>
            <w:vAlign w:val="center"/>
          </w:tcPr>
          <w:p w:rsidR="000A156F" w:rsidRDefault="00A9721F">
            <w:pPr>
              <w:pStyle w:val="TableBodyText"/>
            </w:pPr>
            <w:r>
              <w:t>98</w:t>
            </w:r>
          </w:p>
        </w:tc>
        <w:tc>
          <w:tcPr>
            <w:tcW w:w="0" w:type="auto"/>
            <w:vAlign w:val="center"/>
          </w:tcPr>
          <w:p w:rsidR="000A156F" w:rsidRDefault="00A9721F">
            <w:pPr>
              <w:pStyle w:val="TableBodyText"/>
            </w:pPr>
            <w:r>
              <w:t>PRC Envelope #3 125 x 176 mm</w:t>
            </w:r>
          </w:p>
        </w:tc>
      </w:tr>
      <w:tr w:rsidR="000A156F" w:rsidTr="000A156F">
        <w:tc>
          <w:tcPr>
            <w:tcW w:w="0" w:type="auto"/>
            <w:vAlign w:val="center"/>
          </w:tcPr>
          <w:p w:rsidR="000A156F" w:rsidRDefault="00A9721F">
            <w:pPr>
              <w:pStyle w:val="TableBodyText"/>
            </w:pPr>
            <w:r>
              <w:t>99</w:t>
            </w:r>
          </w:p>
        </w:tc>
        <w:tc>
          <w:tcPr>
            <w:tcW w:w="0" w:type="auto"/>
            <w:vAlign w:val="center"/>
          </w:tcPr>
          <w:p w:rsidR="000A156F" w:rsidRDefault="00A9721F">
            <w:pPr>
              <w:pStyle w:val="TableBodyText"/>
            </w:pPr>
            <w:r>
              <w:t xml:space="preserve">PRC Envelope #4 110 x </w:t>
            </w:r>
            <w:r>
              <w:t>208 mm</w:t>
            </w:r>
          </w:p>
        </w:tc>
      </w:tr>
      <w:tr w:rsidR="000A156F" w:rsidTr="000A156F">
        <w:tc>
          <w:tcPr>
            <w:tcW w:w="0" w:type="auto"/>
            <w:vAlign w:val="center"/>
          </w:tcPr>
          <w:p w:rsidR="000A156F" w:rsidRDefault="00A9721F">
            <w:pPr>
              <w:pStyle w:val="TableBodyText"/>
            </w:pPr>
            <w:r>
              <w:t>100</w:t>
            </w:r>
          </w:p>
        </w:tc>
        <w:tc>
          <w:tcPr>
            <w:tcW w:w="0" w:type="auto"/>
            <w:vAlign w:val="center"/>
          </w:tcPr>
          <w:p w:rsidR="000A156F" w:rsidRDefault="00A9721F">
            <w:pPr>
              <w:pStyle w:val="TableBodyText"/>
            </w:pPr>
            <w:r>
              <w:t>PRC Envelope #5 110 x 220 mm</w:t>
            </w:r>
          </w:p>
        </w:tc>
      </w:tr>
      <w:tr w:rsidR="000A156F" w:rsidTr="000A156F">
        <w:tc>
          <w:tcPr>
            <w:tcW w:w="0" w:type="auto"/>
            <w:vAlign w:val="center"/>
          </w:tcPr>
          <w:p w:rsidR="000A156F" w:rsidRDefault="00A9721F">
            <w:pPr>
              <w:pStyle w:val="TableBodyText"/>
            </w:pPr>
            <w:r>
              <w:t>101</w:t>
            </w:r>
          </w:p>
        </w:tc>
        <w:tc>
          <w:tcPr>
            <w:tcW w:w="0" w:type="auto"/>
            <w:vAlign w:val="center"/>
          </w:tcPr>
          <w:p w:rsidR="000A156F" w:rsidRDefault="00A9721F">
            <w:pPr>
              <w:pStyle w:val="TableBodyText"/>
            </w:pPr>
            <w:r>
              <w:t>PRC Envelope #6 120 x 230 mm</w:t>
            </w:r>
          </w:p>
        </w:tc>
      </w:tr>
      <w:tr w:rsidR="000A156F" w:rsidTr="000A156F">
        <w:tc>
          <w:tcPr>
            <w:tcW w:w="0" w:type="auto"/>
            <w:vAlign w:val="center"/>
          </w:tcPr>
          <w:p w:rsidR="000A156F" w:rsidRDefault="00A9721F">
            <w:pPr>
              <w:pStyle w:val="TableBodyText"/>
            </w:pPr>
            <w:r>
              <w:t>102</w:t>
            </w:r>
          </w:p>
        </w:tc>
        <w:tc>
          <w:tcPr>
            <w:tcW w:w="0" w:type="auto"/>
            <w:vAlign w:val="center"/>
          </w:tcPr>
          <w:p w:rsidR="000A156F" w:rsidRDefault="00A9721F">
            <w:pPr>
              <w:pStyle w:val="TableBodyText"/>
            </w:pPr>
            <w:r>
              <w:t>PRC Envelope #7 160 x 230 mm</w:t>
            </w:r>
          </w:p>
        </w:tc>
      </w:tr>
      <w:tr w:rsidR="000A156F" w:rsidTr="000A156F">
        <w:tc>
          <w:tcPr>
            <w:tcW w:w="0" w:type="auto"/>
            <w:vAlign w:val="center"/>
          </w:tcPr>
          <w:p w:rsidR="000A156F" w:rsidRDefault="00A9721F">
            <w:pPr>
              <w:pStyle w:val="TableBodyText"/>
            </w:pPr>
            <w:r>
              <w:t>103</w:t>
            </w:r>
          </w:p>
        </w:tc>
        <w:tc>
          <w:tcPr>
            <w:tcW w:w="0" w:type="auto"/>
            <w:vAlign w:val="center"/>
          </w:tcPr>
          <w:p w:rsidR="000A156F" w:rsidRDefault="00A9721F">
            <w:pPr>
              <w:pStyle w:val="TableBodyText"/>
            </w:pPr>
            <w:r>
              <w:t>PRC Envelope #8 120 x 309 mm</w:t>
            </w:r>
          </w:p>
        </w:tc>
      </w:tr>
      <w:tr w:rsidR="000A156F" w:rsidTr="000A156F">
        <w:tc>
          <w:tcPr>
            <w:tcW w:w="0" w:type="auto"/>
            <w:vAlign w:val="center"/>
          </w:tcPr>
          <w:p w:rsidR="000A156F" w:rsidRDefault="00A9721F">
            <w:pPr>
              <w:pStyle w:val="TableBodyText"/>
            </w:pPr>
            <w:r>
              <w:t>104</w:t>
            </w:r>
          </w:p>
        </w:tc>
        <w:tc>
          <w:tcPr>
            <w:tcW w:w="0" w:type="auto"/>
            <w:vAlign w:val="center"/>
          </w:tcPr>
          <w:p w:rsidR="000A156F" w:rsidRDefault="00A9721F">
            <w:pPr>
              <w:pStyle w:val="TableBodyText"/>
            </w:pPr>
            <w:r>
              <w:t>PRC Envelope #9 229 x 324 mm</w:t>
            </w:r>
          </w:p>
        </w:tc>
      </w:tr>
      <w:tr w:rsidR="000A156F" w:rsidTr="000A156F">
        <w:tc>
          <w:tcPr>
            <w:tcW w:w="0" w:type="auto"/>
            <w:vAlign w:val="center"/>
          </w:tcPr>
          <w:p w:rsidR="000A156F" w:rsidRDefault="00A9721F">
            <w:pPr>
              <w:pStyle w:val="TableBodyText"/>
            </w:pPr>
            <w:r>
              <w:t>105</w:t>
            </w:r>
          </w:p>
        </w:tc>
        <w:tc>
          <w:tcPr>
            <w:tcW w:w="0" w:type="auto"/>
            <w:vAlign w:val="center"/>
          </w:tcPr>
          <w:p w:rsidR="000A156F" w:rsidRDefault="00A9721F">
            <w:pPr>
              <w:pStyle w:val="TableBodyText"/>
            </w:pPr>
            <w:r>
              <w:t>PRC Envelope #10 324 x 458 mm</w:t>
            </w:r>
          </w:p>
        </w:tc>
      </w:tr>
      <w:tr w:rsidR="000A156F" w:rsidTr="000A156F">
        <w:tc>
          <w:tcPr>
            <w:tcW w:w="0" w:type="auto"/>
            <w:vAlign w:val="center"/>
          </w:tcPr>
          <w:p w:rsidR="000A156F" w:rsidRDefault="00A9721F">
            <w:pPr>
              <w:pStyle w:val="TableBodyText"/>
            </w:pPr>
            <w:r>
              <w:t>106</w:t>
            </w:r>
          </w:p>
        </w:tc>
        <w:tc>
          <w:tcPr>
            <w:tcW w:w="0" w:type="auto"/>
            <w:vAlign w:val="center"/>
          </w:tcPr>
          <w:p w:rsidR="000A156F" w:rsidRDefault="00A9721F">
            <w:pPr>
              <w:pStyle w:val="TableBodyText"/>
            </w:pPr>
            <w:r>
              <w:t>PRC 16K Rotated</w:t>
            </w:r>
          </w:p>
        </w:tc>
      </w:tr>
      <w:tr w:rsidR="000A156F" w:rsidTr="000A156F">
        <w:tc>
          <w:tcPr>
            <w:tcW w:w="0" w:type="auto"/>
            <w:vAlign w:val="center"/>
          </w:tcPr>
          <w:p w:rsidR="000A156F" w:rsidRDefault="00A9721F">
            <w:pPr>
              <w:pStyle w:val="TableBodyText"/>
            </w:pPr>
            <w:r>
              <w:t>107</w:t>
            </w:r>
          </w:p>
        </w:tc>
        <w:tc>
          <w:tcPr>
            <w:tcW w:w="0" w:type="auto"/>
            <w:vAlign w:val="center"/>
          </w:tcPr>
          <w:p w:rsidR="000A156F" w:rsidRDefault="00A9721F">
            <w:pPr>
              <w:pStyle w:val="TableBodyText"/>
            </w:pPr>
            <w:r>
              <w:t>PRC 32K Rotated</w:t>
            </w:r>
          </w:p>
        </w:tc>
      </w:tr>
      <w:tr w:rsidR="000A156F" w:rsidTr="000A156F">
        <w:tc>
          <w:tcPr>
            <w:tcW w:w="0" w:type="auto"/>
            <w:vAlign w:val="center"/>
          </w:tcPr>
          <w:p w:rsidR="000A156F" w:rsidRDefault="00A9721F">
            <w:pPr>
              <w:pStyle w:val="TableBodyText"/>
            </w:pPr>
            <w:r>
              <w:t>108</w:t>
            </w:r>
          </w:p>
        </w:tc>
        <w:tc>
          <w:tcPr>
            <w:tcW w:w="0" w:type="auto"/>
            <w:vAlign w:val="center"/>
          </w:tcPr>
          <w:p w:rsidR="000A156F" w:rsidRDefault="00A9721F">
            <w:pPr>
              <w:pStyle w:val="TableBodyText"/>
            </w:pPr>
            <w:r>
              <w:t>PRC 32K(Big) Rotated</w:t>
            </w:r>
          </w:p>
        </w:tc>
      </w:tr>
      <w:tr w:rsidR="000A156F" w:rsidTr="000A156F">
        <w:tc>
          <w:tcPr>
            <w:tcW w:w="0" w:type="auto"/>
            <w:vAlign w:val="center"/>
          </w:tcPr>
          <w:p w:rsidR="000A156F" w:rsidRDefault="00A9721F">
            <w:pPr>
              <w:pStyle w:val="TableBodyText"/>
            </w:pPr>
            <w:r>
              <w:t>109</w:t>
            </w:r>
          </w:p>
        </w:tc>
        <w:tc>
          <w:tcPr>
            <w:tcW w:w="0" w:type="auto"/>
            <w:vAlign w:val="center"/>
          </w:tcPr>
          <w:p w:rsidR="000A156F" w:rsidRDefault="00A9721F">
            <w:pPr>
              <w:pStyle w:val="TableBodyText"/>
            </w:pPr>
            <w:r>
              <w:t>PRC Envelope #1 Rotated 165 x 102 mm</w:t>
            </w:r>
          </w:p>
        </w:tc>
      </w:tr>
      <w:tr w:rsidR="000A156F" w:rsidTr="000A156F">
        <w:tc>
          <w:tcPr>
            <w:tcW w:w="0" w:type="auto"/>
            <w:vAlign w:val="center"/>
          </w:tcPr>
          <w:p w:rsidR="000A156F" w:rsidRDefault="00A9721F">
            <w:pPr>
              <w:pStyle w:val="TableBodyText"/>
            </w:pPr>
            <w:r>
              <w:t>110</w:t>
            </w:r>
          </w:p>
        </w:tc>
        <w:tc>
          <w:tcPr>
            <w:tcW w:w="0" w:type="auto"/>
            <w:vAlign w:val="center"/>
          </w:tcPr>
          <w:p w:rsidR="000A156F" w:rsidRDefault="00A9721F">
            <w:pPr>
              <w:pStyle w:val="TableBodyText"/>
            </w:pPr>
            <w:r>
              <w:t>PRC Envelope #2 Rotated 176 x 102 mm</w:t>
            </w:r>
          </w:p>
        </w:tc>
      </w:tr>
      <w:tr w:rsidR="000A156F" w:rsidTr="000A156F">
        <w:tc>
          <w:tcPr>
            <w:tcW w:w="0" w:type="auto"/>
            <w:vAlign w:val="center"/>
          </w:tcPr>
          <w:p w:rsidR="000A156F" w:rsidRDefault="00A9721F">
            <w:pPr>
              <w:pStyle w:val="TableBodyText"/>
            </w:pPr>
            <w:r>
              <w:t>111</w:t>
            </w:r>
          </w:p>
        </w:tc>
        <w:tc>
          <w:tcPr>
            <w:tcW w:w="0" w:type="auto"/>
            <w:vAlign w:val="center"/>
          </w:tcPr>
          <w:p w:rsidR="000A156F" w:rsidRDefault="00A9721F">
            <w:pPr>
              <w:pStyle w:val="TableBodyText"/>
            </w:pPr>
            <w:r>
              <w:t>PRC Envelope #3 Rotated 176 x 125 mm</w:t>
            </w:r>
          </w:p>
        </w:tc>
      </w:tr>
      <w:tr w:rsidR="000A156F" w:rsidTr="000A156F">
        <w:tc>
          <w:tcPr>
            <w:tcW w:w="0" w:type="auto"/>
            <w:vAlign w:val="center"/>
          </w:tcPr>
          <w:p w:rsidR="000A156F" w:rsidRDefault="00A9721F">
            <w:pPr>
              <w:pStyle w:val="TableBodyText"/>
            </w:pPr>
            <w:r>
              <w:t>112</w:t>
            </w:r>
          </w:p>
        </w:tc>
        <w:tc>
          <w:tcPr>
            <w:tcW w:w="0" w:type="auto"/>
            <w:vAlign w:val="center"/>
          </w:tcPr>
          <w:p w:rsidR="000A156F" w:rsidRDefault="00A9721F">
            <w:pPr>
              <w:pStyle w:val="TableBodyText"/>
            </w:pPr>
            <w:r>
              <w:t>PRC Envelope #4 Rotated 208 x 110 mm</w:t>
            </w:r>
          </w:p>
        </w:tc>
      </w:tr>
      <w:tr w:rsidR="000A156F" w:rsidTr="000A156F">
        <w:tc>
          <w:tcPr>
            <w:tcW w:w="0" w:type="auto"/>
            <w:vAlign w:val="center"/>
          </w:tcPr>
          <w:p w:rsidR="000A156F" w:rsidRDefault="00A9721F">
            <w:pPr>
              <w:pStyle w:val="TableBodyText"/>
            </w:pPr>
            <w:r>
              <w:t>113</w:t>
            </w:r>
          </w:p>
        </w:tc>
        <w:tc>
          <w:tcPr>
            <w:tcW w:w="0" w:type="auto"/>
            <w:vAlign w:val="center"/>
          </w:tcPr>
          <w:p w:rsidR="000A156F" w:rsidRDefault="00A9721F">
            <w:pPr>
              <w:pStyle w:val="TableBodyText"/>
            </w:pPr>
            <w:r>
              <w:t>PRC Envelope #5 Rotated 220 x 110 mm</w:t>
            </w:r>
          </w:p>
        </w:tc>
      </w:tr>
      <w:tr w:rsidR="000A156F" w:rsidTr="000A156F">
        <w:tc>
          <w:tcPr>
            <w:tcW w:w="0" w:type="auto"/>
            <w:vAlign w:val="center"/>
          </w:tcPr>
          <w:p w:rsidR="000A156F" w:rsidRDefault="00A9721F">
            <w:pPr>
              <w:pStyle w:val="TableBodyText"/>
            </w:pPr>
            <w:r>
              <w:t>114</w:t>
            </w:r>
          </w:p>
        </w:tc>
        <w:tc>
          <w:tcPr>
            <w:tcW w:w="0" w:type="auto"/>
            <w:vAlign w:val="center"/>
          </w:tcPr>
          <w:p w:rsidR="000A156F" w:rsidRDefault="00A9721F">
            <w:pPr>
              <w:pStyle w:val="TableBodyText"/>
            </w:pPr>
            <w:r>
              <w:t xml:space="preserve">PRC Envelope #6 </w:t>
            </w:r>
            <w:r>
              <w:t>Rotated 230 x 120 mm</w:t>
            </w:r>
          </w:p>
        </w:tc>
      </w:tr>
      <w:tr w:rsidR="000A156F" w:rsidTr="000A156F">
        <w:tc>
          <w:tcPr>
            <w:tcW w:w="0" w:type="auto"/>
            <w:vAlign w:val="center"/>
          </w:tcPr>
          <w:p w:rsidR="000A156F" w:rsidRDefault="00A9721F">
            <w:pPr>
              <w:pStyle w:val="TableBodyText"/>
            </w:pPr>
            <w:r>
              <w:t>115</w:t>
            </w:r>
          </w:p>
        </w:tc>
        <w:tc>
          <w:tcPr>
            <w:tcW w:w="0" w:type="auto"/>
            <w:vAlign w:val="center"/>
          </w:tcPr>
          <w:p w:rsidR="000A156F" w:rsidRDefault="00A9721F">
            <w:pPr>
              <w:pStyle w:val="TableBodyText"/>
            </w:pPr>
            <w:r>
              <w:t>PRC Envelope #7 Rotated 230 x 160 mm</w:t>
            </w:r>
          </w:p>
        </w:tc>
      </w:tr>
      <w:tr w:rsidR="000A156F" w:rsidTr="000A156F">
        <w:tc>
          <w:tcPr>
            <w:tcW w:w="0" w:type="auto"/>
            <w:vAlign w:val="center"/>
          </w:tcPr>
          <w:p w:rsidR="000A156F" w:rsidRDefault="00A9721F">
            <w:pPr>
              <w:pStyle w:val="TableBodyText"/>
            </w:pPr>
            <w:r>
              <w:t>116</w:t>
            </w:r>
          </w:p>
        </w:tc>
        <w:tc>
          <w:tcPr>
            <w:tcW w:w="0" w:type="auto"/>
            <w:vAlign w:val="center"/>
          </w:tcPr>
          <w:p w:rsidR="000A156F" w:rsidRDefault="00A9721F">
            <w:pPr>
              <w:pStyle w:val="TableBodyText"/>
            </w:pPr>
            <w:r>
              <w:t>PRC Envelope #8 Rotated 309 x 120 mm</w:t>
            </w:r>
          </w:p>
        </w:tc>
      </w:tr>
      <w:tr w:rsidR="000A156F" w:rsidTr="000A156F">
        <w:tc>
          <w:tcPr>
            <w:tcW w:w="0" w:type="auto"/>
            <w:vAlign w:val="center"/>
          </w:tcPr>
          <w:p w:rsidR="000A156F" w:rsidRDefault="00A9721F">
            <w:pPr>
              <w:pStyle w:val="TableBodyText"/>
            </w:pPr>
            <w:r>
              <w:t>117</w:t>
            </w:r>
          </w:p>
        </w:tc>
        <w:tc>
          <w:tcPr>
            <w:tcW w:w="0" w:type="auto"/>
            <w:vAlign w:val="center"/>
          </w:tcPr>
          <w:p w:rsidR="000A156F" w:rsidRDefault="00A9721F">
            <w:pPr>
              <w:pStyle w:val="TableBodyText"/>
            </w:pPr>
            <w:r>
              <w:t>PRC Envelope #9 Rotated 324 x 229 mm</w:t>
            </w:r>
          </w:p>
        </w:tc>
      </w:tr>
      <w:tr w:rsidR="000A156F" w:rsidTr="000A156F">
        <w:tc>
          <w:tcPr>
            <w:tcW w:w="0" w:type="auto"/>
            <w:vAlign w:val="center"/>
          </w:tcPr>
          <w:p w:rsidR="000A156F" w:rsidRDefault="00A9721F">
            <w:pPr>
              <w:pStyle w:val="TableBodyText"/>
            </w:pPr>
            <w:r>
              <w:t>118</w:t>
            </w:r>
          </w:p>
        </w:tc>
        <w:tc>
          <w:tcPr>
            <w:tcW w:w="0" w:type="auto"/>
            <w:vAlign w:val="center"/>
          </w:tcPr>
          <w:p w:rsidR="000A156F" w:rsidRDefault="00A9721F">
            <w:pPr>
              <w:pStyle w:val="TableBodyText"/>
            </w:pPr>
            <w:r>
              <w:t>PRC Envelope #10 Rotated 458 x 324 mm</w:t>
            </w:r>
          </w:p>
        </w:tc>
      </w:tr>
    </w:tbl>
    <w:p w:rsidR="000A156F" w:rsidRDefault="000A156F"/>
    <w:p w:rsidR="000A156F" w:rsidRDefault="00A9721F">
      <w:pPr>
        <w:pStyle w:val="Definition-Field"/>
      </w:pPr>
      <w:r>
        <w:t xml:space="preserve">e.   </w:t>
      </w:r>
      <w:r>
        <w:rPr>
          <w:i/>
        </w:rPr>
        <w:t>The standard states that the useFirstPageNumber attribute s</w:t>
      </w:r>
      <w:r>
        <w:rPr>
          <w:i/>
        </w:rPr>
        <w:t>pecifies to use the first page number instead of automatically generating a page number.</w:t>
      </w:r>
    </w:p>
    <w:p w:rsidR="000A156F" w:rsidRDefault="00A9721F">
      <w:pPr>
        <w:pStyle w:val="Definition-Field2"/>
      </w:pPr>
      <w:r>
        <w:t>Office ignores this attribute and does not use the value of the firstPageNumber attribute when useFirstPageNumber is true.</w:t>
      </w:r>
    </w:p>
    <w:p w:rsidR="000A156F" w:rsidRDefault="00A9721F">
      <w:pPr>
        <w:pStyle w:val="Heading3"/>
      </w:pPr>
      <w:bookmarkStart w:id="3051" w:name="section_1a9be881a8fa4b3f95461bef22ea3b41"/>
      <w:bookmarkStart w:id="3052" w:name="_Toc181684551"/>
      <w:r>
        <w:t>Part 1 Section 21.2.2.135, period (Period)</w:t>
      </w:r>
      <w:bookmarkEnd w:id="3051"/>
      <w:bookmarkEnd w:id="3052"/>
      <w:r>
        <w:fldChar w:fldCharType="begin"/>
      </w:r>
      <w:r>
        <w:instrText xml:space="preserve"> X</w:instrText>
      </w:r>
      <w:r>
        <w:instrText xml:space="preserve">E "period (Period)"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Office requires this attribute.</w:t>
      </w:r>
    </w:p>
    <w:p w:rsidR="000A156F" w:rsidRDefault="00A9721F">
      <w:pPr>
        <w:pStyle w:val="Definition-Field"/>
      </w:pPr>
      <w:r>
        <w:t xml:space="preserve">b.   </w:t>
      </w:r>
      <w:r>
        <w:rPr>
          <w:i/>
        </w:rPr>
        <w:t>The standard states that this element is ignored for non-moving average trendlines.</w:t>
      </w:r>
    </w:p>
    <w:p w:rsidR="000A156F" w:rsidRDefault="00A9721F">
      <w:pPr>
        <w:pStyle w:val="Definition-Field2"/>
      </w:pPr>
      <w:r>
        <w:lastRenderedPageBreak/>
        <w:t xml:space="preserve">Office requires this element to be included when </w:t>
      </w:r>
      <w:r>
        <w:t>the val attribute of trendlineType equals movingAvg and not otherwise.</w:t>
      </w:r>
    </w:p>
    <w:p w:rsidR="000A156F" w:rsidRDefault="00A9721F">
      <w:pPr>
        <w:pStyle w:val="Definition-Field"/>
      </w:pPr>
      <w:r>
        <w:t xml:space="preserve">c.   </w:t>
      </w:r>
      <w:r>
        <w:rPr>
          <w:i/>
        </w:rPr>
        <w:t>The standard states that the val attribute has a maximum value of less than or equal to 255.</w:t>
      </w:r>
    </w:p>
    <w:p w:rsidR="000A156F" w:rsidRDefault="00A9721F">
      <w:pPr>
        <w:pStyle w:val="Definition-Field2"/>
      </w:pPr>
      <w:r>
        <w:t xml:space="preserve">Office requires that the upper bound of @val is the number of categories on the series </w:t>
      </w:r>
      <w:r>
        <w:t>minus 1. If the @val is greater than the number of categories minus 1 but less than 256 the file loads and saves correctly but the trendline will not be displayed</w:t>
      </w:r>
    </w:p>
    <w:p w:rsidR="000A156F" w:rsidRDefault="00A9721F">
      <w:pPr>
        <w:pStyle w:val="Heading3"/>
      </w:pPr>
      <w:bookmarkStart w:id="3053" w:name="section_6aa1047e4bc04a228292385d1f45a437"/>
      <w:bookmarkStart w:id="3054" w:name="_Toc181684552"/>
      <w:r>
        <w:t>Part 1 Section 21.2.2.136, perspective (Perspective)</w:t>
      </w:r>
      <w:bookmarkEnd w:id="3053"/>
      <w:bookmarkEnd w:id="3054"/>
      <w:r>
        <w:fldChar w:fldCharType="begin"/>
      </w:r>
      <w:r>
        <w:instrText xml:space="preserve"> XE "perspective (Perspective)" </w:instrText>
      </w:r>
      <w:r>
        <w:fldChar w:fldCharType="end"/>
      </w:r>
    </w:p>
    <w:p w:rsidR="000A156F" w:rsidRDefault="00A9721F">
      <w:pPr>
        <w:pStyle w:val="Definition-Field"/>
      </w:pPr>
      <w:r>
        <w:t xml:space="preserve">a.   </w:t>
      </w:r>
      <w:r>
        <w:rPr>
          <w:i/>
        </w:rPr>
        <w:t>T</w:t>
      </w:r>
      <w:r>
        <w:rPr>
          <w:i/>
        </w:rPr>
        <w:t>he standard states that this element specifies the field of view angle for the 3-D chart.</w:t>
      </w:r>
    </w:p>
    <w:p w:rsidR="000A156F" w:rsidRDefault="00A9721F">
      <w:pPr>
        <w:pStyle w:val="Definition-Field2"/>
      </w:pPr>
      <w:r>
        <w:t>In Office, this element specifies the field of view angle multiplied by a factor of 2 for the 3-D chart. When the val attribute is zero, the field of view angle is 0.</w:t>
      </w:r>
      <w:r>
        <w:t>1 degrees.</w:t>
      </w:r>
    </w:p>
    <w:p w:rsidR="000A156F" w:rsidRDefault="00A9721F">
      <w:pPr>
        <w:pStyle w:val="Definition-Field"/>
      </w:pPr>
      <w:r>
        <w:t xml:space="preserve">b.   </w:t>
      </w:r>
      <w:r>
        <w:rPr>
          <w:i/>
        </w:rPr>
        <w:t>The standard states that this element is ignored if Right Angle Axes is true.</w:t>
      </w:r>
    </w:p>
    <w:p w:rsidR="000A156F" w:rsidRDefault="00A9721F">
      <w:pPr>
        <w:pStyle w:val="Definition-Field2"/>
      </w:pPr>
      <w:r>
        <w:t>Office gives sibling element rAngAx precedence over this element when the field of view is rendered.</w:t>
      </w:r>
    </w:p>
    <w:p w:rsidR="000A156F" w:rsidRDefault="00A9721F">
      <w:pPr>
        <w:pStyle w:val="Heading3"/>
      </w:pPr>
      <w:bookmarkStart w:id="3055" w:name="section_49556f620f364dc08a71075a46b62142"/>
      <w:bookmarkStart w:id="3056" w:name="_Toc181684553"/>
      <w:r>
        <w:t>Part 1 Section 21.2.2.138, pictureOptions (Picture Options)</w:t>
      </w:r>
      <w:bookmarkEnd w:id="3055"/>
      <w:bookmarkEnd w:id="3056"/>
      <w:r>
        <w:fldChar w:fldCharType="begin"/>
      </w:r>
      <w:r>
        <w:instrText xml:space="preserve"> X</w:instrText>
      </w:r>
      <w:r>
        <w:instrText xml:space="preserve">E "pictureOptions (Picture Options)" </w:instrText>
      </w:r>
      <w:r>
        <w:fldChar w:fldCharType="end"/>
      </w:r>
    </w:p>
    <w:p w:rsidR="000A156F" w:rsidRDefault="00A9721F">
      <w:pPr>
        <w:pStyle w:val="Definition-Field"/>
      </w:pPr>
      <w:r>
        <w:t xml:space="preserve">a.   </w:t>
      </w:r>
      <w:r>
        <w:rPr>
          <w:i/>
        </w:rPr>
        <w:t>The standard does not specify a relationship between the pictureFormat and pictureStackUnit child elements.</w:t>
      </w:r>
    </w:p>
    <w:p w:rsidR="000A156F" w:rsidRDefault="00A9721F">
      <w:pPr>
        <w:pStyle w:val="Definition-Field2"/>
      </w:pPr>
      <w:r>
        <w:t>Office requires pictureStackUnit only be specified if pictureFormat is present with the val attribute e</w:t>
      </w:r>
      <w:r>
        <w:t>qual to "stackScale", otherwise the chart will fail to load.</w:t>
      </w:r>
    </w:p>
    <w:p w:rsidR="000A156F" w:rsidRDefault="00A9721F">
      <w:pPr>
        <w:pStyle w:val="Definition-Field"/>
      </w:pPr>
      <w:r>
        <w:t xml:space="preserve">b.   </w:t>
      </w:r>
      <w:r>
        <w:rPr>
          <w:i/>
        </w:rPr>
        <w:t>The standard does not specify a relationship between this element and blipFill.</w:t>
      </w:r>
    </w:p>
    <w:p w:rsidR="000A156F" w:rsidRDefault="00A9721F">
      <w:pPr>
        <w:pStyle w:val="Definition-Field2"/>
      </w:pPr>
      <w:r>
        <w:t>Office ignores this element when a blipFill child element is not specified on the sibling spPr element.</w:t>
      </w:r>
    </w:p>
    <w:p w:rsidR="000A156F" w:rsidRDefault="00A9721F">
      <w:pPr>
        <w:pStyle w:val="Definition-Field"/>
      </w:pPr>
      <w:r>
        <w:t xml:space="preserve">c.   </w:t>
      </w:r>
      <w:r>
        <w:rPr>
          <w:i/>
        </w:rPr>
        <w:t>T</w:t>
      </w:r>
      <w:r>
        <w:rPr>
          <w:i/>
        </w:rPr>
        <w:t>he standard does not specify special behavior for individual parents.</w:t>
      </w:r>
    </w:p>
    <w:p w:rsidR="000A156F" w:rsidRDefault="00A9721F">
      <w:pPr>
        <w:pStyle w:val="Definition-Field2"/>
      </w:pPr>
      <w:r>
        <w:t>Office ignores the pictureStackUnit child element when the parent of pictureOptions is the floor element.</w:t>
      </w:r>
    </w:p>
    <w:p w:rsidR="000A156F" w:rsidRDefault="00A9721F">
      <w:pPr>
        <w:pStyle w:val="Heading3"/>
      </w:pPr>
      <w:bookmarkStart w:id="3057" w:name="section_06c618921ab34e35a09dee70b3a3c704"/>
      <w:bookmarkStart w:id="3058" w:name="_Toc181684554"/>
      <w:r>
        <w:t>Part 1 Section 21.2.2.140, pie3DChart (3D Pie Charts)</w:t>
      </w:r>
      <w:bookmarkEnd w:id="3057"/>
      <w:bookmarkEnd w:id="3058"/>
      <w:r>
        <w:fldChar w:fldCharType="begin"/>
      </w:r>
      <w:r>
        <w:instrText xml:space="preserve"> XE "pie3DChart (3D Pie Cha</w:instrText>
      </w:r>
      <w:r>
        <w:instrText xml:space="preserve">rts)" </w:instrText>
      </w:r>
      <w:r>
        <w:fldChar w:fldCharType="end"/>
      </w:r>
    </w:p>
    <w:p w:rsidR="000A156F" w:rsidRDefault="00A9721F">
      <w:pPr>
        <w:pStyle w:val="Definition-Field"/>
      </w:pPr>
      <w:r>
        <w:t xml:space="preserve">a.   </w:t>
      </w:r>
      <w:r>
        <w:rPr>
          <w:i/>
        </w:rPr>
        <w:t>The standard states that multiple ser elements may be specified on this element.</w:t>
      </w:r>
    </w:p>
    <w:p w:rsidR="000A156F" w:rsidRDefault="00A9721F">
      <w:pPr>
        <w:pStyle w:val="Definition-Field2"/>
      </w:pPr>
      <w:r>
        <w:t>Office only displays the first series if there are multiple ser child elements.</w:t>
      </w:r>
    </w:p>
    <w:p w:rsidR="000A156F" w:rsidRDefault="00A9721F">
      <w:pPr>
        <w:pStyle w:val="Definition-Field"/>
      </w:pPr>
      <w:r>
        <w:t xml:space="preserve">b.   </w:t>
      </w:r>
      <w:r>
        <w:rPr>
          <w:i/>
        </w:rPr>
        <w:t>The standard states that the maxOccurs value for the ser child element is un</w:t>
      </w:r>
      <w:r>
        <w:rPr>
          <w:i/>
        </w:rPr>
        <w:t>bounded.</w:t>
      </w:r>
    </w:p>
    <w:p w:rsidR="000A156F" w:rsidRDefault="00A9721F">
      <w:pPr>
        <w:pStyle w:val="Definition-Field2"/>
      </w:pPr>
      <w:r>
        <w:t>Office limits the occurrences of this element to 255.</w:t>
      </w:r>
    </w:p>
    <w:p w:rsidR="000A156F" w:rsidRDefault="00A9721F">
      <w:pPr>
        <w:pStyle w:val="Heading3"/>
      </w:pPr>
      <w:bookmarkStart w:id="3059" w:name="section_f2797eb13b5e4a40be3e344faa60f3dc"/>
      <w:bookmarkStart w:id="3060" w:name="_Toc181684555"/>
      <w:r>
        <w:t>Part 1 Section 21.2.2.141, pieChart (Pie Charts)</w:t>
      </w:r>
      <w:bookmarkEnd w:id="3059"/>
      <w:bookmarkEnd w:id="3060"/>
      <w:r>
        <w:fldChar w:fldCharType="begin"/>
      </w:r>
      <w:r>
        <w:instrText xml:space="preserve"> XE "pieChart (Pie Charts)"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0A156F" w:rsidRDefault="00A9721F">
      <w:pPr>
        <w:pStyle w:val="Definition-Field"/>
      </w:pPr>
      <w:r>
        <w:t xml:space="preserve">a.   </w:t>
      </w:r>
      <w:r>
        <w:rPr>
          <w:i/>
        </w:rPr>
        <w:t>The standard states that multiple ser elements may be specified on this element.</w:t>
      </w:r>
    </w:p>
    <w:p w:rsidR="000A156F" w:rsidRDefault="00A9721F">
      <w:pPr>
        <w:pStyle w:val="Definition-Field2"/>
      </w:pPr>
      <w:r>
        <w:t>Office only displays the first series if there are multiple ser child elements.</w:t>
      </w:r>
    </w:p>
    <w:p w:rsidR="000A156F" w:rsidRDefault="00A9721F">
      <w:pPr>
        <w:pStyle w:val="Heading3"/>
      </w:pPr>
      <w:bookmarkStart w:id="3061" w:name="section_c670152e08494bcf962e35ea83fc42de"/>
      <w:bookmarkStart w:id="3062" w:name="_Toc181684556"/>
      <w:r>
        <w:lastRenderedPageBreak/>
        <w:t>Part 1 Section 21.2.2.142, pivotFmt (Pivot Format)</w:t>
      </w:r>
      <w:bookmarkEnd w:id="3061"/>
      <w:bookmarkEnd w:id="3062"/>
      <w:r>
        <w:fldChar w:fldCharType="begin"/>
      </w:r>
      <w:r>
        <w:instrText xml:space="preserve"> XE "pivotFmt (Pivot Format)" </w:instrText>
      </w:r>
      <w:r>
        <w:fldChar w:fldCharType="end"/>
      </w:r>
    </w:p>
    <w:p w:rsidR="000A156F" w:rsidRDefault="00A9721F">
      <w:pPr>
        <w:pStyle w:val="Definition-Field"/>
      </w:pPr>
      <w:r>
        <w:t xml:space="preserve">a.   </w:t>
      </w:r>
      <w:r>
        <w:rPr>
          <w:i/>
        </w:rPr>
        <w:t>The standard states that the txPr element is a valid child of the pivotFmt element.</w:t>
      </w:r>
    </w:p>
    <w:p w:rsidR="000A156F" w:rsidRDefault="00A9721F">
      <w:pPr>
        <w:pStyle w:val="Definition-Field2"/>
      </w:pPr>
      <w:r>
        <w:t>Office does not allow the txPr element to be a child of the pivotFmt element.</w:t>
      </w:r>
    </w:p>
    <w:p w:rsidR="000A156F" w:rsidRDefault="00A9721F">
      <w:pPr>
        <w:pStyle w:val="Heading3"/>
      </w:pPr>
      <w:bookmarkStart w:id="3063" w:name="section_07298e0eed82488f9575e43bc37b2fd3"/>
      <w:bookmarkStart w:id="3064" w:name="_Toc181684557"/>
      <w:r>
        <w:t>Part 1</w:t>
      </w:r>
      <w:r>
        <w:t xml:space="preserve"> Section 21.2.2.143, pivotFmts (Pivot Formats)</w:t>
      </w:r>
      <w:bookmarkEnd w:id="3063"/>
      <w:bookmarkEnd w:id="3064"/>
      <w:r>
        <w:fldChar w:fldCharType="begin"/>
      </w:r>
      <w:r>
        <w:instrText xml:space="preserve"> XE "pivotFmts (Pivot Formats)" </w:instrText>
      </w:r>
      <w:r>
        <w:fldChar w:fldCharType="end"/>
      </w:r>
    </w:p>
    <w:p w:rsidR="000A156F" w:rsidRDefault="00A9721F">
      <w:pPr>
        <w:pStyle w:val="Definition-Field"/>
      </w:pPr>
      <w:r>
        <w:t xml:space="preserve">a.   </w:t>
      </w:r>
      <w:r>
        <w:rPr>
          <w:i/>
        </w:rPr>
        <w:t>The standard states that this element contains a collection of formatting bands for a surface chart indexed from low to high.</w:t>
      </w:r>
    </w:p>
    <w:p w:rsidR="000A156F" w:rsidRDefault="00A9721F">
      <w:pPr>
        <w:pStyle w:val="Definition-Field2"/>
      </w:pPr>
      <w:r>
        <w:t>In Office, this element is used to contain a</w:t>
      </w:r>
      <w:r>
        <w:t xml:space="preserve"> collection of formats to be applied to a chart that is based on a PivotTable.</w:t>
      </w:r>
    </w:p>
    <w:p w:rsidR="000A156F" w:rsidRDefault="00A9721F">
      <w:pPr>
        <w:pStyle w:val="Heading3"/>
      </w:pPr>
      <w:bookmarkStart w:id="3065" w:name="section_e2f9906d924645d1817b796d5cc91dac"/>
      <w:bookmarkStart w:id="3066" w:name="_Toc181684558"/>
      <w:r>
        <w:t>Part 1 Section 21.2.2.144, pivotSource (Pivot Source)</w:t>
      </w:r>
      <w:bookmarkEnd w:id="3065"/>
      <w:bookmarkEnd w:id="3066"/>
      <w:r>
        <w:fldChar w:fldCharType="begin"/>
      </w:r>
      <w:r>
        <w:instrText xml:space="preserve"> XE "pivotSource (Pivot Source)" </w:instrText>
      </w:r>
      <w:r>
        <w:fldChar w:fldCharType="end"/>
      </w:r>
    </w:p>
    <w:p w:rsidR="000A156F" w:rsidRDefault="00A9721F">
      <w:pPr>
        <w:pStyle w:val="Definition-Field"/>
      </w:pPr>
      <w:r>
        <w:t xml:space="preserve">a.   </w:t>
      </w:r>
      <w:r>
        <w:rPr>
          <w:i/>
        </w:rPr>
        <w:t>The standard states that the maxOccurs value for the extLst child element is unboun</w:t>
      </w:r>
      <w:r>
        <w:rPr>
          <w:i/>
        </w:rPr>
        <w:t>ded.</w:t>
      </w:r>
    </w:p>
    <w:p w:rsidR="000A156F" w:rsidRDefault="00A9721F">
      <w:pPr>
        <w:pStyle w:val="Definition-Field2"/>
      </w:pPr>
      <w:r>
        <w:t>Office limits the occurrences of this element to 1.</w:t>
      </w:r>
    </w:p>
    <w:p w:rsidR="000A156F" w:rsidRDefault="00A9721F">
      <w:pPr>
        <w:pStyle w:val="Definition-Field"/>
      </w:pPr>
      <w:r>
        <w:t xml:space="preserve">b.   </w:t>
      </w:r>
      <w:r>
        <w:rPr>
          <w:i/>
        </w:rPr>
        <w:t>The standard states that possible values for child element fmtId are defined by type xsd:unsignedInt.</w:t>
      </w:r>
    </w:p>
    <w:p w:rsidR="000A156F" w:rsidRDefault="00A9721F">
      <w:pPr>
        <w:pStyle w:val="Definition-Field2"/>
      </w:pPr>
      <w:r>
        <w:t>In Office, child element fmtId has a maximum value of 2147483647.</w:t>
      </w:r>
    </w:p>
    <w:p w:rsidR="000A156F" w:rsidRDefault="00A9721F">
      <w:pPr>
        <w:pStyle w:val="Heading3"/>
      </w:pPr>
      <w:bookmarkStart w:id="3067" w:name="section_83596c29eda74a40a24d721aa7b23b3f"/>
      <w:bookmarkStart w:id="3068" w:name="_Toc181684559"/>
      <w:r>
        <w:t>Part 1 Section 21.2.2.145,</w:t>
      </w:r>
      <w:r>
        <w:t xml:space="preserve"> plotArea (Plot Area)</w:t>
      </w:r>
      <w:bookmarkEnd w:id="3067"/>
      <w:bookmarkEnd w:id="3068"/>
      <w:r>
        <w:fldChar w:fldCharType="begin"/>
      </w:r>
      <w:r>
        <w:instrText xml:space="preserve"> XE "plotArea (Plot Area)" </w:instrText>
      </w:r>
      <w:r>
        <w:fldChar w:fldCharType="end"/>
      </w:r>
    </w:p>
    <w:p w:rsidR="000A156F" w:rsidRDefault="00A9721F">
      <w:pPr>
        <w:pStyle w:val="Definition-Field"/>
      </w:pPr>
      <w:r>
        <w:t xml:space="preserve">a.   </w:t>
      </w:r>
      <w:r>
        <w:rPr>
          <w:i/>
        </w:rPr>
        <w:t>The standard states that the maxOccurs value for the choice statement including the valAx, catAx, dateAx, and serAx elements is unbounded.</w:t>
      </w:r>
    </w:p>
    <w:p w:rsidR="000A156F" w:rsidRDefault="00A9721F">
      <w:pPr>
        <w:pStyle w:val="Definition-Field2"/>
      </w:pPr>
      <w:r>
        <w:t>Office limits the occurrences of this choice to 4.</w:t>
      </w:r>
    </w:p>
    <w:p w:rsidR="000A156F" w:rsidRDefault="00A9721F">
      <w:pPr>
        <w:pStyle w:val="Heading3"/>
      </w:pPr>
      <w:bookmarkStart w:id="3069" w:name="section_ddc60b4262be4617bf284372f3fa3422"/>
      <w:bookmarkStart w:id="3070" w:name="_Toc181684560"/>
      <w:r>
        <w:t>Part 1 Sec</w:t>
      </w:r>
      <w:r>
        <w:t>tion 21.2.2.147, plus (Plus)</w:t>
      </w:r>
      <w:bookmarkEnd w:id="3069"/>
      <w:bookmarkEnd w:id="3070"/>
      <w:r>
        <w:fldChar w:fldCharType="begin"/>
      </w:r>
      <w:r>
        <w:instrText xml:space="preserve"> XE "plus (Plus)" </w:instrText>
      </w:r>
      <w:r>
        <w:fldChar w:fldCharType="end"/>
      </w:r>
    </w:p>
    <w:p w:rsidR="000A156F" w:rsidRDefault="00A9721F">
      <w:pPr>
        <w:pStyle w:val="Definition-Field"/>
      </w:pPr>
      <w:r>
        <w:t xml:space="preserve">a.   </w:t>
      </w:r>
      <w:r>
        <w:rPr>
          <w:i/>
        </w:rPr>
        <w:t>The standard states that this element shall be used only when the errValType is cust.</w:t>
      </w:r>
    </w:p>
    <w:p w:rsidR="000A156F" w:rsidRDefault="00A9721F">
      <w:pPr>
        <w:pStyle w:val="Definition-Field2"/>
      </w:pPr>
      <w:r>
        <w:t>Office also saves out this element if the errValType is stdErr and the error bar value had been custom type during t</w:t>
      </w:r>
      <w:r>
        <w:t>he current workbook session.</w:t>
      </w:r>
    </w:p>
    <w:p w:rsidR="000A156F" w:rsidRDefault="00A9721F">
      <w:pPr>
        <w:pStyle w:val="Heading3"/>
      </w:pPr>
      <w:bookmarkStart w:id="3071" w:name="section_ed56b005235b41308db9602e08a13b96"/>
      <w:bookmarkStart w:id="3072" w:name="_Toc181684561"/>
      <w:r>
        <w:t>Part 1 Section 21.2.2.148, printSettings (Print Settings)</w:t>
      </w:r>
      <w:bookmarkEnd w:id="3071"/>
      <w:bookmarkEnd w:id="3072"/>
      <w:r>
        <w:fldChar w:fldCharType="begin"/>
      </w:r>
      <w:r>
        <w:instrText xml:space="preserve"> XE "printSettings (Print Settings)" </w:instrText>
      </w:r>
      <w:r>
        <w:fldChar w:fldCharType="end"/>
      </w:r>
    </w:p>
    <w:p w:rsidR="000A156F" w:rsidRDefault="00A9721F">
      <w:pPr>
        <w:pStyle w:val="Definition-Field"/>
      </w:pPr>
      <w:r>
        <w:t xml:space="preserve">a.   </w:t>
      </w:r>
      <w:r>
        <w:rPr>
          <w:i/>
        </w:rPr>
        <w:t>The standard states that the pageMargins child element is optional.</w:t>
      </w:r>
    </w:p>
    <w:p w:rsidR="000A156F" w:rsidRDefault="00A9721F">
      <w:pPr>
        <w:pStyle w:val="Definition-Field2"/>
      </w:pPr>
      <w:r>
        <w:t xml:space="preserve">In Office, if no child pageMargins element is defined, a </w:t>
      </w:r>
      <w:r>
        <w:t>pageMargins element is created with application defined values.</w:t>
      </w:r>
    </w:p>
    <w:p w:rsidR="000A156F" w:rsidRDefault="00A9721F">
      <w:pPr>
        <w:pStyle w:val="Heading3"/>
      </w:pPr>
      <w:bookmarkStart w:id="3073" w:name="section_8c074063cd93473991fdec17d2bfa679"/>
      <w:bookmarkStart w:id="3074" w:name="_Toc181684562"/>
      <w:r>
        <w:t>Part 1 Section 21.2.2.149, protection (Protection)</w:t>
      </w:r>
      <w:bookmarkEnd w:id="3073"/>
      <w:bookmarkEnd w:id="3074"/>
      <w:r>
        <w:fldChar w:fldCharType="begin"/>
      </w:r>
      <w:r>
        <w:instrText xml:space="preserve"> XE "protection (Protection)" </w:instrText>
      </w:r>
      <w:r>
        <w:fldChar w:fldCharType="end"/>
      </w:r>
    </w:p>
    <w:p w:rsidR="000A156F" w:rsidRDefault="00A9721F">
      <w:pPr>
        <w:pStyle w:val="Definition-Field"/>
      </w:pPr>
      <w:r>
        <w:t xml:space="preserve">a.   </w:t>
      </w:r>
      <w:r>
        <w:rPr>
          <w:i/>
        </w:rPr>
        <w:t>The standard states that if the chart is on a protected worksheet or chart sheet, then these settings sh</w:t>
      </w:r>
      <w:r>
        <w:rPr>
          <w:i/>
        </w:rPr>
        <w:t>all control how a user is able to interact with the chart.</w:t>
      </w:r>
    </w:p>
    <w:p w:rsidR="000A156F" w:rsidRDefault="00A9721F">
      <w:pPr>
        <w:pStyle w:val="Definition-Field2"/>
      </w:pPr>
      <w:r>
        <w:t>In Office, this element to controls how a user is permitted to interact with the chart regardless of whether the chart is on a protected worksheet or chart sheet.</w:t>
      </w:r>
    </w:p>
    <w:p w:rsidR="000A156F" w:rsidRDefault="00A9721F">
      <w:pPr>
        <w:pStyle w:val="Definition-Field"/>
      </w:pPr>
      <w:r>
        <w:t xml:space="preserve">b.   </w:t>
      </w:r>
      <w:r>
        <w:rPr>
          <w:i/>
        </w:rPr>
        <w:t>The standard states the prote</w:t>
      </w:r>
      <w:r>
        <w:rPr>
          <w:i/>
        </w:rPr>
        <w:t>ction element supports the child elements specified.</w:t>
      </w:r>
    </w:p>
    <w:p w:rsidR="000A156F" w:rsidRDefault="00A9721F">
      <w:pPr>
        <w:pStyle w:val="Definition-Field2"/>
      </w:pPr>
      <w:r>
        <w:lastRenderedPageBreak/>
        <w:t>Office only successfully writes out the selection child element.  The other child elements have not been implemented.</w:t>
      </w:r>
    </w:p>
    <w:p w:rsidR="000A156F" w:rsidRDefault="00A9721F">
      <w:pPr>
        <w:pStyle w:val="Heading3"/>
      </w:pPr>
      <w:bookmarkStart w:id="3075" w:name="section_21771f8836944e2b9df27e0165525383"/>
      <w:bookmarkStart w:id="3076" w:name="_Toc181684563"/>
      <w:r>
        <w:t>Part 1 Section 21.2.2.150, pt (Numeric Point)</w:t>
      </w:r>
      <w:bookmarkEnd w:id="3075"/>
      <w:bookmarkEnd w:id="3076"/>
      <w:r>
        <w:fldChar w:fldCharType="begin"/>
      </w:r>
      <w:r>
        <w:instrText xml:space="preserve"> XE "pt (Numeric Point)" </w:instrText>
      </w:r>
      <w:r>
        <w:fldChar w:fldCharType="end"/>
      </w:r>
    </w:p>
    <w:p w:rsidR="000A156F" w:rsidRDefault="00A9721F">
      <w:pPr>
        <w:pStyle w:val="Definition-Field"/>
      </w:pPr>
      <w:r>
        <w:t xml:space="preserve">a.   </w:t>
      </w:r>
      <w:r>
        <w:rPr>
          <w:i/>
        </w:rPr>
        <w:t>The sta</w:t>
      </w:r>
      <w:r>
        <w:rPr>
          <w:i/>
        </w:rPr>
        <w:t>ndard does not state uniqueness or maximum value restrictions for the idx attribute.</w:t>
      </w:r>
    </w:p>
    <w:p w:rsidR="000A156F" w:rsidRDefault="00A9721F">
      <w:pPr>
        <w:pStyle w:val="Definition-Field2"/>
      </w:pPr>
      <w:r>
        <w:t>Office requires that the idx attribute be unique amongst siblings and be between 0 and the total points in the parent element minus one.</w:t>
      </w:r>
    </w:p>
    <w:p w:rsidR="000A156F" w:rsidRDefault="00A9721F">
      <w:pPr>
        <w:pStyle w:val="Definition-Field"/>
      </w:pPr>
      <w:r>
        <w:t xml:space="preserve">b.   </w:t>
      </w:r>
      <w:r>
        <w:rPr>
          <w:i/>
        </w:rPr>
        <w:t xml:space="preserve">The standard states that the </w:t>
      </w:r>
      <w:r>
        <w:rPr>
          <w:i/>
        </w:rPr>
        <w:t>values of the idx attribute are defined by the XML Schema unsignedInt datatype.</w:t>
      </w:r>
    </w:p>
    <w:p w:rsidR="000A156F" w:rsidRDefault="00A9721F">
      <w:pPr>
        <w:pStyle w:val="Definition-Field2"/>
      </w:pPr>
      <w:r>
        <w:t>Office restricts the value of this attribute to be at most 2147483647.</w:t>
      </w:r>
    </w:p>
    <w:p w:rsidR="000A156F" w:rsidRDefault="00A9721F">
      <w:pPr>
        <w:pStyle w:val="Definition-Field"/>
      </w:pPr>
      <w:r>
        <w:t xml:space="preserve">c.   </w:t>
      </w:r>
      <w:r>
        <w:rPr>
          <w:i/>
        </w:rPr>
        <w:t>The standard states that the idx attribute is the index of the series in the collection.</w:t>
      </w:r>
    </w:p>
    <w:p w:rsidR="000A156F" w:rsidRDefault="00A9721F">
      <w:pPr>
        <w:pStyle w:val="Definition-Field2"/>
      </w:pPr>
      <w:r>
        <w:t xml:space="preserve">In Office, </w:t>
      </w:r>
      <w:r>
        <w:t>the idx attribute is the index of the points in the collection.</w:t>
      </w:r>
    </w:p>
    <w:p w:rsidR="000A156F" w:rsidRDefault="00A9721F">
      <w:pPr>
        <w:pStyle w:val="Heading3"/>
      </w:pPr>
      <w:bookmarkStart w:id="3077" w:name="section_a73d668fe5e64f209740a419ea6e4ea3"/>
      <w:bookmarkStart w:id="3078" w:name="_Toc181684564"/>
      <w:r>
        <w:t>Part 1 Section 21.2.2.151, pt (String Point)</w:t>
      </w:r>
      <w:bookmarkEnd w:id="3077"/>
      <w:bookmarkEnd w:id="3078"/>
      <w:r>
        <w:fldChar w:fldCharType="begin"/>
      </w:r>
      <w:r>
        <w:instrText xml:space="preserve"> XE "pt (String Point)" </w:instrText>
      </w:r>
      <w:r>
        <w:fldChar w:fldCharType="end"/>
      </w:r>
    </w:p>
    <w:p w:rsidR="000A156F" w:rsidRDefault="00A9721F">
      <w:pPr>
        <w:pStyle w:val="Definition-Field"/>
      </w:pPr>
      <w:r>
        <w:t xml:space="preserve">a.   </w:t>
      </w:r>
      <w:r>
        <w:rPr>
          <w:i/>
        </w:rPr>
        <w:t>The standard states that the values of the idx attribute are defined by the XML Schema unsignedInt datatype.</w:t>
      </w:r>
    </w:p>
    <w:p w:rsidR="000A156F" w:rsidRDefault="00A9721F">
      <w:pPr>
        <w:pStyle w:val="Definition-Field2"/>
      </w:pPr>
      <w:r>
        <w:t xml:space="preserve">Office </w:t>
      </w:r>
      <w:r>
        <w:t>restricts the value of this attribute to be at most 2147483647.</w:t>
      </w:r>
    </w:p>
    <w:p w:rsidR="000A156F" w:rsidRDefault="00A9721F">
      <w:pPr>
        <w:pStyle w:val="Definition-Field"/>
      </w:pPr>
      <w:r>
        <w:t xml:space="preserve">b.   </w:t>
      </w:r>
      <w:r>
        <w:rPr>
          <w:i/>
        </w:rPr>
        <w:t>The standard does not state uniqueness or maximum value restrictions for the idx attribute.</w:t>
      </w:r>
    </w:p>
    <w:p w:rsidR="000A156F" w:rsidRDefault="00A9721F">
      <w:pPr>
        <w:pStyle w:val="Definition-Field2"/>
      </w:pPr>
      <w:r>
        <w:t>Office requires that the idx attribute be unique amongst siblings and be between 0 and the tota</w:t>
      </w:r>
      <w:r>
        <w:t>l points in the parent element minus one.</w:t>
      </w:r>
    </w:p>
    <w:p w:rsidR="000A156F" w:rsidRDefault="00A9721F">
      <w:pPr>
        <w:pStyle w:val="Heading3"/>
      </w:pPr>
      <w:bookmarkStart w:id="3079" w:name="section_cc0514b40c864b5493dbb549ef487ce6"/>
      <w:bookmarkStart w:id="3080" w:name="_Toc181684565"/>
      <w:r>
        <w:t>Part 1 Section 21.2.2.152, ptCount (Point Count)</w:t>
      </w:r>
      <w:bookmarkEnd w:id="3079"/>
      <w:bookmarkEnd w:id="3080"/>
      <w:r>
        <w:fldChar w:fldCharType="begin"/>
      </w:r>
      <w:r>
        <w:instrText xml:space="preserve"> XE "ptCount (Point Count)" </w:instrText>
      </w:r>
      <w:r>
        <w:fldChar w:fldCharType="end"/>
      </w:r>
    </w:p>
    <w:p w:rsidR="000A156F" w:rsidRDefault="00A9721F">
      <w:pPr>
        <w:pStyle w:val="Definition-Field"/>
      </w:pPr>
      <w:r>
        <w:t xml:space="preserve">a.   </w:t>
      </w:r>
      <w:r>
        <w:rPr>
          <w:i/>
        </w:rPr>
        <w:t>The standard states that the values of the val attribute are defined by the XML Schema unsignedInt datatype.</w:t>
      </w:r>
    </w:p>
    <w:p w:rsidR="000A156F" w:rsidRDefault="00A9721F">
      <w:pPr>
        <w:pStyle w:val="Definition-Field2"/>
      </w:pPr>
      <w:r>
        <w:t xml:space="preserve">Office restricts the </w:t>
      </w:r>
      <w:r>
        <w:t>value of this attribute to be at most 2147483647.</w:t>
      </w:r>
    </w:p>
    <w:p w:rsidR="000A156F" w:rsidRDefault="00A9721F">
      <w:pPr>
        <w:pStyle w:val="Heading3"/>
      </w:pPr>
      <w:bookmarkStart w:id="3081" w:name="section_0cd74246587c4969aa8c705f633ff3d9"/>
      <w:bookmarkStart w:id="3082" w:name="_Toc181684566"/>
      <w:r>
        <w:t>Part 1 Section 21.2.2.153, radarChart (Radar Charts)</w:t>
      </w:r>
      <w:bookmarkEnd w:id="3081"/>
      <w:bookmarkEnd w:id="3082"/>
      <w:r>
        <w:fldChar w:fldCharType="begin"/>
      </w:r>
      <w:r>
        <w:instrText xml:space="preserve"> XE "radarChart (Radar Charts)" </w:instrText>
      </w:r>
      <w:r>
        <w:fldChar w:fldCharType="end"/>
      </w:r>
    </w:p>
    <w:p w:rsidR="000A156F" w:rsidRDefault="00A9721F">
      <w:pPr>
        <w:pStyle w:val="Definition-Field"/>
      </w:pPr>
      <w:r>
        <w:t xml:space="preserve">a.   </w:t>
      </w:r>
      <w:r>
        <w:rPr>
          <w:i/>
        </w:rPr>
        <w:t>The standard states that the maxOccurs value for the ser child element is unbounded.</w:t>
      </w:r>
    </w:p>
    <w:p w:rsidR="000A156F" w:rsidRDefault="00A9721F">
      <w:pPr>
        <w:pStyle w:val="Definition-Field2"/>
      </w:pPr>
      <w:r>
        <w:t>Office limits the occurrences</w:t>
      </w:r>
      <w:r>
        <w:t xml:space="preserve"> of this element to 255.</w:t>
      </w:r>
    </w:p>
    <w:p w:rsidR="000A156F" w:rsidRDefault="00A9721F">
      <w:pPr>
        <w:pStyle w:val="Heading3"/>
      </w:pPr>
      <w:bookmarkStart w:id="3083" w:name="section_b303418c8a0746d5b1dee6905c3b589c"/>
      <w:bookmarkStart w:id="3084" w:name="_Toc181684567"/>
      <w:r>
        <w:t>Part 1 Section 21.2.2.154, radarStyle (Radar Style)</w:t>
      </w:r>
      <w:bookmarkEnd w:id="3083"/>
      <w:bookmarkEnd w:id="3084"/>
      <w:r>
        <w:fldChar w:fldCharType="begin"/>
      </w:r>
      <w:r>
        <w:instrText xml:space="preserve"> XE "radarStyle (Radar Style)"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Office requires this attribute.</w:t>
      </w:r>
    </w:p>
    <w:p w:rsidR="000A156F" w:rsidRDefault="00A9721F">
      <w:pPr>
        <w:pStyle w:val="Heading3"/>
      </w:pPr>
      <w:bookmarkStart w:id="3085" w:name="section_c7d20cb511c9401ab29a03574828cd25"/>
      <w:bookmarkStart w:id="3086" w:name="_Toc181684568"/>
      <w:r>
        <w:t>Part 1 Section 21.2.2.155, rAngAx (Right Angle Axes)</w:t>
      </w:r>
      <w:bookmarkEnd w:id="3085"/>
      <w:bookmarkEnd w:id="3086"/>
      <w:r>
        <w:fldChar w:fldCharType="begin"/>
      </w:r>
      <w:r>
        <w:instrText xml:space="preserve"> XE "rAngAx (Right Angle Axes)" </w:instrText>
      </w:r>
      <w:r>
        <w:fldChar w:fldCharType="end"/>
      </w:r>
    </w:p>
    <w:p w:rsidR="000A156F" w:rsidRDefault="00A9721F">
      <w:pPr>
        <w:pStyle w:val="Definition-Field"/>
      </w:pPr>
      <w:r>
        <w:t xml:space="preserve">a.   </w:t>
      </w:r>
      <w:r>
        <w:rPr>
          <w:i/>
        </w:rPr>
        <w:t>The standard does not describe any interplay between this element and the rotX, rotY elements.</w:t>
      </w:r>
    </w:p>
    <w:p w:rsidR="000A156F" w:rsidRDefault="00A9721F">
      <w:pPr>
        <w:pStyle w:val="Definition-Field2"/>
      </w:pPr>
      <w:r>
        <w:t>Office only calculates the default extrude angles with the rotX and rotY values when the rAngAx element is specified.</w:t>
      </w:r>
    </w:p>
    <w:p w:rsidR="000A156F" w:rsidRDefault="00A9721F">
      <w:pPr>
        <w:pStyle w:val="Heading3"/>
      </w:pPr>
      <w:bookmarkStart w:id="3087" w:name="section_6f6e05f38a224170a467b859506d76c7"/>
      <w:bookmarkStart w:id="3088" w:name="_Toc181684569"/>
      <w:r>
        <w:lastRenderedPageBreak/>
        <w:t>Par</w:t>
      </w:r>
      <w:r>
        <w:t>t 1 Section 21.2.2.156, rich (Rich Text)</w:t>
      </w:r>
      <w:bookmarkEnd w:id="3087"/>
      <w:bookmarkEnd w:id="3088"/>
      <w:r>
        <w:fldChar w:fldCharType="begin"/>
      </w:r>
      <w:r>
        <w:instrText xml:space="preserve"> XE "rich (Rich Text)" </w:instrText>
      </w:r>
      <w:r>
        <w:fldChar w:fldCharType="end"/>
      </w:r>
    </w:p>
    <w:p w:rsidR="000A156F" w:rsidRDefault="00A9721F">
      <w:pPr>
        <w:pStyle w:val="Definition-Field"/>
      </w:pPr>
      <w:r>
        <w:t xml:space="preserve">a.   </w:t>
      </w:r>
      <w:r>
        <w:rPr>
          <w:i/>
        </w:rPr>
        <w:t>The standard states that the maxOccurs value for the child element p is unbounded.</w:t>
      </w:r>
    </w:p>
    <w:p w:rsidR="000A156F" w:rsidRDefault="00A9721F">
      <w:pPr>
        <w:pStyle w:val="Definition-Field2"/>
      </w:pPr>
      <w:r>
        <w:t>Office limits the number of p child elements to the total character count of all p elements under rich</w:t>
      </w:r>
      <w:r>
        <w:t>, which can be a maximum of 255.</w:t>
      </w:r>
    </w:p>
    <w:p w:rsidR="000A156F" w:rsidRDefault="00A9721F">
      <w:pPr>
        <w:pStyle w:val="Heading3"/>
      </w:pPr>
      <w:bookmarkStart w:id="3089" w:name="section_3a25f022e56d4b758361c2d5beab1060"/>
      <w:bookmarkStart w:id="3090" w:name="_Toc181684570"/>
      <w:r>
        <w:t>Part 1 Section 21.2.2.161, scatterChart (Scatter Charts)</w:t>
      </w:r>
      <w:bookmarkEnd w:id="3089"/>
      <w:bookmarkEnd w:id="3090"/>
      <w:r>
        <w:fldChar w:fldCharType="begin"/>
      </w:r>
      <w:r>
        <w:instrText xml:space="preserve"> XE "scatterChart (Scatter Charts)" </w:instrText>
      </w:r>
      <w:r>
        <w:fldChar w:fldCharType="end"/>
      </w:r>
    </w:p>
    <w:p w:rsidR="000A156F" w:rsidRDefault="00A9721F">
      <w:pPr>
        <w:pStyle w:val="Definition-Field"/>
      </w:pPr>
      <w:r>
        <w:t xml:space="preserve">a.   </w:t>
      </w:r>
      <w:r>
        <w:rPr>
          <w:i/>
        </w:rPr>
        <w:t>The standard states that the maxOccurs value for the ser child element is unbounded.</w:t>
      </w:r>
    </w:p>
    <w:p w:rsidR="000A156F" w:rsidRDefault="00A9721F">
      <w:pPr>
        <w:pStyle w:val="Definition-Field2"/>
      </w:pPr>
      <w:r>
        <w:t xml:space="preserve">Office limits the occurrences of this </w:t>
      </w:r>
      <w:r>
        <w:t>element to 255.</w:t>
      </w:r>
    </w:p>
    <w:p w:rsidR="000A156F" w:rsidRDefault="00A9721F">
      <w:pPr>
        <w:pStyle w:val="Heading3"/>
      </w:pPr>
      <w:bookmarkStart w:id="3091" w:name="section_ada73b7e3161426f89b3ecbcc68eace0"/>
      <w:bookmarkStart w:id="3092" w:name="_Toc181684571"/>
      <w:r>
        <w:t>Part 1 Section 21.2.2.163, secondPiePt (Second Pie Point)</w:t>
      </w:r>
      <w:bookmarkEnd w:id="3091"/>
      <w:bookmarkEnd w:id="3092"/>
      <w:r>
        <w:fldChar w:fldCharType="begin"/>
      </w:r>
      <w:r>
        <w:instrText xml:space="preserve"> XE "secondPiePt (Second Pie Point)" </w:instrText>
      </w:r>
      <w:r>
        <w:fldChar w:fldCharType="end"/>
      </w:r>
    </w:p>
    <w:p w:rsidR="000A156F" w:rsidRDefault="00A9721F">
      <w:pPr>
        <w:pStyle w:val="Definition-Field"/>
      </w:pPr>
      <w:r>
        <w:t xml:space="preserve">a.   </w:t>
      </w:r>
      <w:r>
        <w:rPr>
          <w:i/>
        </w:rPr>
        <w:t>The standard states that the contents of the val attribute are interpreted based on the context of the parent element.</w:t>
      </w:r>
    </w:p>
    <w:p w:rsidR="000A156F" w:rsidRDefault="00A9721F">
      <w:pPr>
        <w:pStyle w:val="Definition-Field2"/>
      </w:pPr>
      <w:r>
        <w:t xml:space="preserve">In Office, the val </w:t>
      </w:r>
      <w:r>
        <w:t>attribute is a zero-based index into the chart's data series that must be unique amongst secondPiePt elements within the same collection.</w:t>
      </w:r>
    </w:p>
    <w:p w:rsidR="000A156F" w:rsidRDefault="00A9721F">
      <w:pPr>
        <w:pStyle w:val="Definition-Field"/>
      </w:pPr>
      <w:r>
        <w:t xml:space="preserve">b.   </w:t>
      </w:r>
      <w:r>
        <w:rPr>
          <w:i/>
        </w:rPr>
        <w:t>The standard states that the values of the val attribute are defined by the XML Schema unsignedInt datatype.</w:t>
      </w:r>
    </w:p>
    <w:p w:rsidR="000A156F" w:rsidRDefault="00A9721F">
      <w:pPr>
        <w:pStyle w:val="Definition-Field2"/>
      </w:pPr>
      <w:r>
        <w:t>Offi</w:t>
      </w:r>
      <w:r>
        <w:t>ce restricts the value of this attribute to be at most 2147483647.</w:t>
      </w:r>
    </w:p>
    <w:p w:rsidR="000A156F" w:rsidRDefault="00A9721F">
      <w:pPr>
        <w:pStyle w:val="Heading3"/>
      </w:pPr>
      <w:bookmarkStart w:id="3093" w:name="section_172cb24b16a94bc48a94aa447afb2486"/>
      <w:bookmarkStart w:id="3094" w:name="_Toc181684572"/>
      <w:r>
        <w:t>Part 1 Section 21.2.2.166, separator (Separator)</w:t>
      </w:r>
      <w:bookmarkEnd w:id="3093"/>
      <w:bookmarkEnd w:id="3094"/>
      <w:r>
        <w:fldChar w:fldCharType="begin"/>
      </w:r>
      <w:r>
        <w:instrText xml:space="preserve"> XE "separator (Separator)" </w:instrText>
      </w:r>
      <w:r>
        <w:fldChar w:fldCharType="end"/>
      </w:r>
    </w:p>
    <w:p w:rsidR="000A156F" w:rsidRDefault="00A9721F">
      <w:pPr>
        <w:pStyle w:val="Definition-Field"/>
      </w:pPr>
      <w:r>
        <w:t xml:space="preserve">a.   </w:t>
      </w:r>
      <w:r>
        <w:rPr>
          <w:i/>
        </w:rPr>
        <w:t>The standard states that the default separator is a comma.</w:t>
      </w:r>
    </w:p>
    <w:p w:rsidR="000A156F" w:rsidRDefault="00A9721F">
      <w:pPr>
        <w:pStyle w:val="Definition-Field2"/>
      </w:pPr>
      <w:r>
        <w:t>In Office, the default separator is region/lan</w:t>
      </w:r>
      <w:r>
        <w:t>guage specific.</w:t>
      </w:r>
    </w:p>
    <w:p w:rsidR="000A156F" w:rsidRDefault="00A9721F">
      <w:pPr>
        <w:pStyle w:val="Heading3"/>
      </w:pPr>
      <w:bookmarkStart w:id="3095" w:name="section_8d3e50cd20d74a88b682fa2e521d61b3"/>
      <w:bookmarkStart w:id="3096" w:name="_Toc181684573"/>
      <w:r>
        <w:t>Part 1 Section 21.2.2.167, ser (Scatter Chart Series)</w:t>
      </w:r>
      <w:bookmarkEnd w:id="3095"/>
      <w:bookmarkEnd w:id="3096"/>
      <w:r>
        <w:fldChar w:fldCharType="begin"/>
      </w:r>
      <w:r>
        <w:instrText xml:space="preserve"> XE "ser (Scatter Chart Series)"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0A156F" w:rsidRDefault="00A9721F">
      <w:pPr>
        <w:pStyle w:val="Definition-Field"/>
      </w:pPr>
      <w:r>
        <w:t xml:space="preserve">a.   </w:t>
      </w:r>
      <w:r>
        <w:rPr>
          <w:i/>
        </w:rPr>
        <w:t>The standard states that the maxOccurs value for the trendline child element is unbounded.</w:t>
      </w:r>
    </w:p>
    <w:p w:rsidR="000A156F" w:rsidRDefault="00A9721F">
      <w:pPr>
        <w:pStyle w:val="Definition-Field2"/>
      </w:pPr>
      <w:r>
        <w:t>Office limits the occurrences of this element to 254.</w:t>
      </w:r>
    </w:p>
    <w:p w:rsidR="000A156F" w:rsidRDefault="00A9721F">
      <w:pPr>
        <w:pStyle w:val="Definition-Field"/>
      </w:pPr>
      <w:r>
        <w:t xml:space="preserve">b.   </w:t>
      </w:r>
      <w:r>
        <w:rPr>
          <w:i/>
        </w:rPr>
        <w:t>The standard states</w:t>
      </w:r>
      <w:r>
        <w:rPr>
          <w:i/>
        </w:rPr>
        <w:t xml:space="preserve"> that the maxOccurs value for the dPt child element is unbounded.</w:t>
      </w:r>
    </w:p>
    <w:p w:rsidR="000A156F" w:rsidRDefault="00A9721F">
      <w:pPr>
        <w:pStyle w:val="Definition-Field2"/>
      </w:pPr>
      <w:r>
        <w:t>Office limits the occurrences of this element to 32000.</w:t>
      </w:r>
    </w:p>
    <w:p w:rsidR="000A156F" w:rsidRDefault="00A9721F">
      <w:pPr>
        <w:pStyle w:val="Heading3"/>
      </w:pPr>
      <w:bookmarkStart w:id="3097" w:name="section_3eecdd275cd04745bf738025f834a3bd"/>
      <w:bookmarkStart w:id="3098" w:name="_Toc181684574"/>
      <w:r>
        <w:t>Part 1 Section 21.2.2.168, ser (Area Chart Series)</w:t>
      </w:r>
      <w:bookmarkEnd w:id="3097"/>
      <w:bookmarkEnd w:id="3098"/>
      <w:r>
        <w:fldChar w:fldCharType="begin"/>
      </w:r>
      <w:r>
        <w:instrText xml:space="preserve"> XE "ser (Area Chart Series)" </w:instrText>
      </w:r>
      <w:r>
        <w:fldChar w:fldCharType="end"/>
      </w:r>
    </w:p>
    <w:p w:rsidR="000A156F" w:rsidRDefault="00A9721F">
      <w:pPr>
        <w:pStyle w:val="Definition-Field"/>
      </w:pPr>
      <w:r>
        <w:t xml:space="preserve">a.   </w:t>
      </w:r>
      <w:r>
        <w:rPr>
          <w:i/>
        </w:rPr>
        <w:t xml:space="preserve">The standard states that the maxOccurs value </w:t>
      </w:r>
      <w:r>
        <w:rPr>
          <w:i/>
        </w:rPr>
        <w:t>for the trendline child element is unbounded.</w:t>
      </w:r>
    </w:p>
    <w:p w:rsidR="000A156F" w:rsidRDefault="00A9721F">
      <w:pPr>
        <w:pStyle w:val="Definition-Field2"/>
      </w:pPr>
      <w:r>
        <w:t>Office limits the occurrences of this element to 254.</w:t>
      </w:r>
    </w:p>
    <w:p w:rsidR="000A156F" w:rsidRDefault="00A9721F">
      <w:pPr>
        <w:pStyle w:val="Definition-Field"/>
      </w:pPr>
      <w:r>
        <w:t xml:space="preserve">b.   </w:t>
      </w:r>
      <w:r>
        <w:rPr>
          <w:i/>
        </w:rPr>
        <w:t>The standard states that the minOccurs value for the val child element is 0.</w:t>
      </w:r>
    </w:p>
    <w:p w:rsidR="000A156F" w:rsidRDefault="00A9721F">
      <w:pPr>
        <w:pStyle w:val="Definition-Field2"/>
      </w:pPr>
      <w:r>
        <w:t>Office requires an occurrence of this element.</w:t>
      </w:r>
    </w:p>
    <w:p w:rsidR="000A156F" w:rsidRDefault="00A9721F">
      <w:pPr>
        <w:pStyle w:val="Definition-Field"/>
      </w:pPr>
      <w:r>
        <w:t xml:space="preserve">c.   </w:t>
      </w:r>
      <w:r>
        <w:rPr>
          <w:i/>
        </w:rPr>
        <w:t>The standard states th</w:t>
      </w:r>
      <w:r>
        <w:rPr>
          <w:i/>
        </w:rPr>
        <w:t>at the maxOccurs value for the dPt child element is unbounded.</w:t>
      </w:r>
    </w:p>
    <w:p w:rsidR="000A156F" w:rsidRDefault="00A9721F">
      <w:pPr>
        <w:pStyle w:val="Definition-Field2"/>
      </w:pPr>
      <w:r>
        <w:lastRenderedPageBreak/>
        <w:t>Office limits the occurrences of this element to 4000 when inside an area3DChart and 32000 otherwise.</w:t>
      </w:r>
    </w:p>
    <w:p w:rsidR="000A156F" w:rsidRDefault="00A9721F">
      <w:pPr>
        <w:pStyle w:val="Heading3"/>
      </w:pPr>
      <w:bookmarkStart w:id="3099" w:name="section_5dd6d57728244f22939485f6c5e4ab13"/>
      <w:bookmarkStart w:id="3100" w:name="_Toc181684575"/>
      <w:r>
        <w:t>Part 1 Section 21.2.2.169, ser (Radar Chart Series)</w:t>
      </w:r>
      <w:bookmarkEnd w:id="3099"/>
      <w:bookmarkEnd w:id="3100"/>
      <w:r>
        <w:fldChar w:fldCharType="begin"/>
      </w:r>
      <w:r>
        <w:instrText xml:space="preserve"> XE "ser (Radar Chart Series)" </w:instrText>
      </w:r>
      <w:r>
        <w:fldChar w:fldCharType="end"/>
      </w:r>
    </w:p>
    <w:p w:rsidR="000A156F" w:rsidRDefault="00A9721F">
      <w:pPr>
        <w:pStyle w:val="Definition-Field"/>
      </w:pPr>
      <w:r>
        <w:t xml:space="preserve">a.   </w:t>
      </w:r>
      <w:r>
        <w:rPr>
          <w:i/>
        </w:rPr>
        <w:t>T</w:t>
      </w:r>
      <w:r>
        <w:rPr>
          <w:i/>
        </w:rPr>
        <w:t>he standard states that the maxOccurs value for the dPt child element is unbounded.</w:t>
      </w:r>
    </w:p>
    <w:p w:rsidR="000A156F" w:rsidRDefault="00A9721F">
      <w:pPr>
        <w:pStyle w:val="Definition-Field2"/>
      </w:pPr>
      <w:r>
        <w:t>Office limits the occurrences of this element to 32000.</w:t>
      </w:r>
    </w:p>
    <w:p w:rsidR="000A156F" w:rsidRDefault="00A9721F">
      <w:pPr>
        <w:pStyle w:val="Heading3"/>
      </w:pPr>
      <w:bookmarkStart w:id="3101" w:name="section_22c33bf427ac4854bedac6bd361820d7"/>
      <w:bookmarkStart w:id="3102" w:name="_Toc181684576"/>
      <w:r>
        <w:t>Part 1 Section 21.2.2.170, ser (Bar Chart Series)</w:t>
      </w:r>
      <w:bookmarkEnd w:id="3101"/>
      <w:bookmarkEnd w:id="3102"/>
      <w:r>
        <w:fldChar w:fldCharType="begin"/>
      </w:r>
      <w:r>
        <w:instrText xml:space="preserve"> XE "ser (Bar Chart Series)" </w:instrText>
      </w:r>
      <w:r>
        <w:fldChar w:fldCharType="end"/>
      </w:r>
    </w:p>
    <w:p w:rsidR="000A156F" w:rsidRDefault="00A9721F">
      <w:pPr>
        <w:pStyle w:val="Definition-Field"/>
      </w:pPr>
      <w:r>
        <w:t xml:space="preserve">a.   </w:t>
      </w:r>
      <w:r>
        <w:rPr>
          <w:i/>
        </w:rPr>
        <w:t>The standard states that the m</w:t>
      </w:r>
      <w:r>
        <w:rPr>
          <w:i/>
        </w:rPr>
        <w:t>axOccurs value for the trendline child element is unbounded.</w:t>
      </w:r>
    </w:p>
    <w:p w:rsidR="000A156F" w:rsidRDefault="00A9721F">
      <w:pPr>
        <w:pStyle w:val="Definition-Field2"/>
      </w:pPr>
      <w:r>
        <w:t>Office limits the occurrences of this element to 254.</w:t>
      </w:r>
    </w:p>
    <w:p w:rsidR="000A156F" w:rsidRDefault="00A9721F">
      <w:pPr>
        <w:pStyle w:val="Definition-Field"/>
      </w:pPr>
      <w:r>
        <w:t xml:space="preserve">b.   </w:t>
      </w:r>
      <w:r>
        <w:rPr>
          <w:i/>
        </w:rPr>
        <w:t>The standard states that the maxOccurs value for the dPt child element is unbounded.</w:t>
      </w:r>
    </w:p>
    <w:p w:rsidR="000A156F" w:rsidRDefault="00A9721F">
      <w:pPr>
        <w:pStyle w:val="Definition-Field2"/>
      </w:pPr>
      <w:r>
        <w:t>Office limits the occurrences of this element to 40</w:t>
      </w:r>
      <w:r>
        <w:t>00 when inside a bar3DChart and 32000 otherwise.</w:t>
      </w:r>
    </w:p>
    <w:p w:rsidR="000A156F" w:rsidRDefault="00A9721F">
      <w:pPr>
        <w:pStyle w:val="Heading3"/>
      </w:pPr>
      <w:bookmarkStart w:id="3103" w:name="section_578d597b6a684e39a980bc2897aa728e"/>
      <w:bookmarkStart w:id="3104" w:name="_Toc181684577"/>
      <w:r>
        <w:t>Part 1 Section 21.2.2.171, ser (Line Chart Series)</w:t>
      </w:r>
      <w:bookmarkEnd w:id="3103"/>
      <w:bookmarkEnd w:id="3104"/>
      <w:r>
        <w:fldChar w:fldCharType="begin"/>
      </w:r>
      <w:r>
        <w:instrText xml:space="preserve"> XE "ser (Line Chart Series)" </w:instrText>
      </w:r>
      <w:r>
        <w:fldChar w:fldCharType="end"/>
      </w:r>
    </w:p>
    <w:p w:rsidR="000A156F" w:rsidRDefault="00A9721F">
      <w:pPr>
        <w:pStyle w:val="Definition-Field"/>
      </w:pPr>
      <w:r>
        <w:t xml:space="preserve">a.   </w:t>
      </w:r>
      <w:r>
        <w:rPr>
          <w:i/>
        </w:rPr>
        <w:t>The standard states that the maxOccurs value for the trendline child element is unbounded.</w:t>
      </w:r>
    </w:p>
    <w:p w:rsidR="000A156F" w:rsidRDefault="00A9721F">
      <w:pPr>
        <w:pStyle w:val="Definition-Field2"/>
      </w:pPr>
      <w:r>
        <w:t>Office limits the occurrence</w:t>
      </w:r>
      <w:r>
        <w:t>s of this element to 254.</w:t>
      </w:r>
    </w:p>
    <w:p w:rsidR="000A156F" w:rsidRDefault="00A9721F">
      <w:pPr>
        <w:pStyle w:val="Definition-Field"/>
      </w:pPr>
      <w:r>
        <w:t xml:space="preserve">b.   </w:t>
      </w:r>
      <w:r>
        <w:rPr>
          <w:i/>
        </w:rPr>
        <w:t>The standard states that the maxOccurs value for the dPt child element is unbounded.</w:t>
      </w:r>
    </w:p>
    <w:p w:rsidR="000A156F" w:rsidRDefault="00A9721F">
      <w:pPr>
        <w:pStyle w:val="Definition-Field2"/>
      </w:pPr>
      <w:r>
        <w:t>Office limits the occurrences of this element to 4000 when inside a line3DChart and 32000 otherwise.</w:t>
      </w:r>
    </w:p>
    <w:p w:rsidR="000A156F" w:rsidRDefault="00A9721F">
      <w:pPr>
        <w:pStyle w:val="Heading3"/>
      </w:pPr>
      <w:bookmarkStart w:id="3105" w:name="section_b585b8c605e644d9998ff52943ad40ef"/>
      <w:bookmarkStart w:id="3106" w:name="_Toc181684578"/>
      <w:r>
        <w:t>Part 1 Section 21.2.2.172, ser (Pie Cha</w:t>
      </w:r>
      <w:r>
        <w:t>rt Series)</w:t>
      </w:r>
      <w:bookmarkEnd w:id="3105"/>
      <w:bookmarkEnd w:id="3106"/>
      <w:r>
        <w:fldChar w:fldCharType="begin"/>
      </w:r>
      <w:r>
        <w:instrText xml:space="preserve"> XE "ser (Pie Chart Series)" </w:instrText>
      </w:r>
      <w:r>
        <w:fldChar w:fldCharType="end"/>
      </w:r>
    </w:p>
    <w:p w:rsidR="000A156F" w:rsidRDefault="00A9721F">
      <w:pPr>
        <w:pStyle w:val="Definition-Field"/>
      </w:pPr>
      <w:r>
        <w:t xml:space="preserve">a.   </w:t>
      </w:r>
      <w:r>
        <w:rPr>
          <w:i/>
        </w:rPr>
        <w:t>The standard states that the maxOccurs value for the dPt child element is unbounded.</w:t>
      </w:r>
    </w:p>
    <w:p w:rsidR="000A156F" w:rsidRDefault="00A9721F">
      <w:pPr>
        <w:pStyle w:val="Definition-Field2"/>
      </w:pPr>
      <w:r>
        <w:t>Office limits the occurrences of this element to 4000 when inside a pie3DChart element and 32000 otherwise.</w:t>
      </w:r>
    </w:p>
    <w:p w:rsidR="000A156F" w:rsidRDefault="00A9721F">
      <w:pPr>
        <w:pStyle w:val="Heading3"/>
      </w:pPr>
      <w:bookmarkStart w:id="3107" w:name="section_f1c2a0708b434ac8a91fc7fcfada5506"/>
      <w:bookmarkStart w:id="3108" w:name="_Toc181684579"/>
      <w:r>
        <w:t>Part 1 Section 21.2.2.174, ser (Bubble Chart Series)</w:t>
      </w:r>
      <w:bookmarkEnd w:id="3107"/>
      <w:bookmarkEnd w:id="3108"/>
      <w:r>
        <w:fldChar w:fldCharType="begin"/>
      </w:r>
      <w:r>
        <w:instrText xml:space="preserve"> XE "ser (Bubble Chart Series)" </w:instrText>
      </w:r>
      <w:r>
        <w:fldChar w:fldCharType="end"/>
      </w:r>
    </w:p>
    <w:p w:rsidR="000A156F" w:rsidRDefault="00A9721F">
      <w:pPr>
        <w:pStyle w:val="Definition-Field"/>
      </w:pPr>
      <w:r>
        <w:t xml:space="preserve">a.   </w:t>
      </w:r>
      <w:r>
        <w:rPr>
          <w:i/>
        </w:rPr>
        <w:t>The standard states that the maxOccurs value for the trendline child element is unbounded.</w:t>
      </w:r>
    </w:p>
    <w:p w:rsidR="000A156F" w:rsidRDefault="00A9721F">
      <w:pPr>
        <w:pStyle w:val="Definition-Field2"/>
      </w:pPr>
      <w:r>
        <w:t>Office limits the occurrences of this element to 254.</w:t>
      </w:r>
    </w:p>
    <w:p w:rsidR="000A156F" w:rsidRDefault="00A9721F">
      <w:pPr>
        <w:pStyle w:val="Definition-Field"/>
      </w:pPr>
      <w:r>
        <w:t xml:space="preserve">b.   </w:t>
      </w:r>
      <w:r>
        <w:rPr>
          <w:i/>
        </w:rPr>
        <w:t>The standard s</w:t>
      </w:r>
      <w:r>
        <w:rPr>
          <w:i/>
        </w:rPr>
        <w:t>tates that the minOccurs value for the yVal child element is 0.</w:t>
      </w:r>
    </w:p>
    <w:p w:rsidR="000A156F" w:rsidRDefault="00A9721F">
      <w:pPr>
        <w:pStyle w:val="Definition-Field2"/>
      </w:pPr>
      <w:r>
        <w:t>Office requires an occurrence of this element.</w:t>
      </w:r>
    </w:p>
    <w:p w:rsidR="000A156F" w:rsidRDefault="00A9721F">
      <w:pPr>
        <w:pStyle w:val="Definition-Field"/>
      </w:pPr>
      <w:r>
        <w:t xml:space="preserve">c.   </w:t>
      </w:r>
      <w:r>
        <w:rPr>
          <w:i/>
        </w:rPr>
        <w:t>The standard states that the maxOccurs value for the dPt child element is unbounded.</w:t>
      </w:r>
    </w:p>
    <w:p w:rsidR="000A156F" w:rsidRDefault="00A9721F">
      <w:pPr>
        <w:pStyle w:val="Definition-Field2"/>
      </w:pPr>
      <w:r>
        <w:t>Office limits the occurrences of this element to 32000.</w:t>
      </w:r>
    </w:p>
    <w:p w:rsidR="000A156F" w:rsidRDefault="00A9721F">
      <w:pPr>
        <w:pStyle w:val="Heading3"/>
      </w:pPr>
      <w:bookmarkStart w:id="3109" w:name="section_148a97b98f4e4289bbf9e01ca98276fd"/>
      <w:bookmarkStart w:id="3110" w:name="_Toc181684580"/>
      <w:r>
        <w:t>Part 1 Section 21.2.2.175, serAx (Series Axis)</w:t>
      </w:r>
      <w:bookmarkEnd w:id="3109"/>
      <w:bookmarkEnd w:id="3110"/>
      <w:r>
        <w:fldChar w:fldCharType="begin"/>
      </w:r>
      <w:r>
        <w:instrText xml:space="preserve"> XE "serAx (Series Axis)" </w:instrText>
      </w:r>
      <w:r>
        <w:fldChar w:fldCharType="end"/>
      </w:r>
    </w:p>
    <w:p w:rsidR="000A156F" w:rsidRDefault="00A9721F">
      <w:pPr>
        <w:pStyle w:val="Definition-Field"/>
      </w:pPr>
      <w:r>
        <w:t xml:space="preserve">a.   </w:t>
      </w:r>
      <w:r>
        <w:rPr>
          <w:i/>
        </w:rPr>
        <w:t>The standard does not place any restrictions on the val attribute of the axId element.</w:t>
      </w:r>
    </w:p>
    <w:p w:rsidR="000A156F" w:rsidRDefault="00A9721F">
      <w:pPr>
        <w:pStyle w:val="Definition-Field2"/>
      </w:pPr>
      <w:r>
        <w:t>Office requires that the val attribute of the axId element match the val attribute of an</w:t>
      </w:r>
      <w:r>
        <w:t xml:space="preserve"> axId element in the parent chart.</w:t>
      </w:r>
    </w:p>
    <w:p w:rsidR="000A156F" w:rsidRDefault="00A9721F">
      <w:pPr>
        <w:pStyle w:val="Definition-Field"/>
      </w:pPr>
      <w:r>
        <w:lastRenderedPageBreak/>
        <w:t xml:space="preserve">b.   </w:t>
      </w:r>
      <w:r>
        <w:rPr>
          <w:i/>
        </w:rPr>
        <w:t>The standard does not state any exceptions that cause the numFmt child element to be ignored.</w:t>
      </w:r>
    </w:p>
    <w:p w:rsidR="000A156F" w:rsidRDefault="00A9721F">
      <w:pPr>
        <w:pStyle w:val="Definition-Field2"/>
      </w:pPr>
      <w:r>
        <w:t>Office ignores the numFmt child element but will load and save the element.</w:t>
      </w:r>
    </w:p>
    <w:p w:rsidR="000A156F" w:rsidRDefault="00A9721F">
      <w:pPr>
        <w:pStyle w:val="Heading3"/>
      </w:pPr>
      <w:bookmarkStart w:id="3111" w:name="section_446ec2e628874179aa9c4c4e8ff79873"/>
      <w:bookmarkStart w:id="3112" w:name="_Toc181684581"/>
      <w:r>
        <w:t>Part 1 Section 21.2.2.176, serLines (Series Li</w:t>
      </w:r>
      <w:r>
        <w:t>nes)</w:t>
      </w:r>
      <w:bookmarkEnd w:id="3111"/>
      <w:bookmarkEnd w:id="3112"/>
      <w:r>
        <w:fldChar w:fldCharType="begin"/>
      </w:r>
      <w:r>
        <w:instrText xml:space="preserve"> XE "serLines (Series Lines)" </w:instrText>
      </w:r>
      <w:r>
        <w:fldChar w:fldCharType="end"/>
      </w:r>
    </w:p>
    <w:p w:rsidR="000A156F" w:rsidRDefault="00A9721F">
      <w:pPr>
        <w:pStyle w:val="Definition-Field"/>
      </w:pPr>
      <w:r>
        <w:t xml:space="preserve">a.   </w:t>
      </w:r>
      <w:r>
        <w:rPr>
          <w:i/>
        </w:rPr>
        <w:t>The standard states that this element specifies series lines for the chart.</w:t>
      </w:r>
    </w:p>
    <w:p w:rsidR="000A156F" w:rsidRDefault="00A9721F">
      <w:pPr>
        <w:pStyle w:val="Definition-Field2"/>
      </w:pPr>
      <w:r>
        <w:t xml:space="preserve">In Office, if the parent is barChart, the series lines connect the top of adjacent data points within the same series; if the parent is </w:t>
      </w:r>
      <w:r>
        <w:t>ofPieChart, the series lines connect the secondary pie or column to the other slice.</w:t>
      </w:r>
    </w:p>
    <w:p w:rsidR="000A156F" w:rsidRDefault="00A9721F">
      <w:pPr>
        <w:pStyle w:val="Definition-Field"/>
      </w:pPr>
      <w:r>
        <w:t xml:space="preserve">b.   </w:t>
      </w:r>
      <w:r>
        <w:rPr>
          <w:i/>
        </w:rPr>
        <w:t>The standard states that this element can be a child of any barChart element.</w:t>
      </w:r>
    </w:p>
    <w:p w:rsidR="000A156F" w:rsidRDefault="00A9721F">
      <w:pPr>
        <w:pStyle w:val="Definition-Field2"/>
      </w:pPr>
      <w:r>
        <w:t xml:space="preserve">Office requires that the val attribute of sibling element grouping equal percentStacked </w:t>
      </w:r>
      <w:r>
        <w:t>or stacked when this element is specified.</w:t>
      </w:r>
    </w:p>
    <w:p w:rsidR="000A156F" w:rsidRDefault="00A9721F">
      <w:pPr>
        <w:pStyle w:val="Heading3"/>
      </w:pPr>
      <w:bookmarkStart w:id="3113" w:name="section_064f48d37de64d57ac6b6deec7c01b6c"/>
      <w:bookmarkStart w:id="3114" w:name="_Toc181684582"/>
      <w:r>
        <w:t>Part 1 Section 21.2.2.177, shape (Shape)</w:t>
      </w:r>
      <w:bookmarkEnd w:id="3113"/>
      <w:bookmarkEnd w:id="3114"/>
      <w:r>
        <w:fldChar w:fldCharType="begin"/>
      </w:r>
      <w:r>
        <w:instrText xml:space="preserve"> XE "shape (Shape)" </w:instrText>
      </w:r>
      <w:r>
        <w:fldChar w:fldCharType="end"/>
      </w:r>
    </w:p>
    <w:p w:rsidR="000A156F" w:rsidRDefault="00A9721F">
      <w:pPr>
        <w:pStyle w:val="Definition-Field"/>
      </w:pPr>
      <w:r>
        <w:t xml:space="preserve">a.   </w:t>
      </w:r>
      <w:r>
        <w:rPr>
          <w:i/>
        </w:rPr>
        <w:t>The standard states that this element specifies the shape of a series or a 3-D bar chart.</w:t>
      </w:r>
    </w:p>
    <w:p w:rsidR="000A156F" w:rsidRDefault="00A9721F">
      <w:pPr>
        <w:pStyle w:val="Definition-Field2"/>
      </w:pPr>
      <w:r>
        <w:t>In Office, this element specifies the default series sh</w:t>
      </w:r>
      <w:r>
        <w:t>ape when this element is a child of bar3DChart.</w:t>
      </w:r>
    </w:p>
    <w:p w:rsidR="000A156F" w:rsidRDefault="00A9721F">
      <w:pPr>
        <w:pStyle w:val="Definition-Field"/>
      </w:pPr>
      <w:r>
        <w:t xml:space="preserve">b.   </w:t>
      </w:r>
      <w:r>
        <w:rPr>
          <w:i/>
        </w:rPr>
        <w:t>The standard does not place any restrictions on when this element can be a child of ser.</w:t>
      </w:r>
    </w:p>
    <w:p w:rsidR="000A156F" w:rsidRDefault="00A9721F">
      <w:pPr>
        <w:pStyle w:val="Definition-Field2"/>
      </w:pPr>
      <w:r>
        <w:t>Office requires that the ancestor include bar3DChart when this element is a child of ser.</w:t>
      </w:r>
    </w:p>
    <w:p w:rsidR="000A156F" w:rsidRDefault="00A9721F">
      <w:pPr>
        <w:pStyle w:val="Heading3"/>
      </w:pPr>
      <w:bookmarkStart w:id="3115" w:name="section_8d4ce2eacc594f7691712ea85c07e463"/>
      <w:bookmarkStart w:id="3116" w:name="_Toc181684583"/>
      <w:r>
        <w:t>Part 1 Section 21.2.2.17</w:t>
      </w:r>
      <w:r>
        <w:t>8, showBubbleSize (Show Bubble Size)</w:t>
      </w:r>
      <w:bookmarkEnd w:id="3115"/>
      <w:bookmarkEnd w:id="3116"/>
      <w:r>
        <w:fldChar w:fldCharType="begin"/>
      </w:r>
      <w:r>
        <w:instrText xml:space="preserve"> XE "showBubbleSize (Show Bubble Size)" </w:instrText>
      </w:r>
      <w:r>
        <w:fldChar w:fldCharType="end"/>
      </w:r>
    </w:p>
    <w:p w:rsidR="000A156F" w:rsidRDefault="00A9721F">
      <w:pPr>
        <w:pStyle w:val="Definition-Field"/>
      </w:pPr>
      <w:r>
        <w:t xml:space="preserve">a.   </w:t>
      </w:r>
      <w:r>
        <w:rPr>
          <w:i/>
        </w:rPr>
        <w:t>The standard states that this element can be a child of any dLbl or dLbls element.</w:t>
      </w:r>
    </w:p>
    <w:p w:rsidR="000A156F" w:rsidRDefault="00A9721F">
      <w:pPr>
        <w:pStyle w:val="Definition-Field2"/>
      </w:pPr>
      <w:r>
        <w:t>Office requires that the ancestor include bubbleChart when this element is specified.</w:t>
      </w:r>
    </w:p>
    <w:p w:rsidR="000A156F" w:rsidRDefault="00A9721F">
      <w:pPr>
        <w:pStyle w:val="Heading3"/>
      </w:pPr>
      <w:bookmarkStart w:id="3117" w:name="section_2285918b950e4befa710d7b9588c59c0"/>
      <w:bookmarkStart w:id="3118" w:name="_Toc181684584"/>
      <w:r>
        <w:t>Par</w:t>
      </w:r>
      <w:r>
        <w:t>t 1 Section 21.2.2.180, showDLblsOverMax (Show Data Labels over Maximum)</w:t>
      </w:r>
      <w:bookmarkEnd w:id="3117"/>
      <w:bookmarkEnd w:id="3118"/>
      <w:r>
        <w:fldChar w:fldCharType="begin"/>
      </w:r>
      <w:r>
        <w:instrText xml:space="preserve"> XE "showDLblsOverMax (Show Data Labels over Maximum)" </w:instrText>
      </w:r>
      <w:r>
        <w:fldChar w:fldCharType="end"/>
      </w:r>
    </w:p>
    <w:p w:rsidR="000A156F" w:rsidRDefault="00A9721F">
      <w:pPr>
        <w:pStyle w:val="Definition-Field"/>
      </w:pPr>
      <w:r>
        <w:t xml:space="preserve">a.   </w:t>
      </w:r>
      <w:r>
        <w:rPr>
          <w:i/>
        </w:rPr>
        <w:t>The standard states that this element specifies that data labels over the maximum of the chart shall be shown.</w:t>
      </w:r>
    </w:p>
    <w:p w:rsidR="000A156F" w:rsidRDefault="00A9721F">
      <w:pPr>
        <w:pStyle w:val="Definition-Field2"/>
      </w:pPr>
      <w:r>
        <w:t>In Office,</w:t>
      </w:r>
      <w:r>
        <w:t xml:space="preserve"> this element specifies that data labels with data whose value is over the axis maximum  or under the axis minimum shall be shown.</w:t>
      </w:r>
    </w:p>
    <w:p w:rsidR="000A156F" w:rsidRDefault="00A9721F">
      <w:pPr>
        <w:pStyle w:val="Heading3"/>
      </w:pPr>
      <w:bookmarkStart w:id="3119" w:name="section_52830fc380684e699e0e9fdb4d45e7ee"/>
      <w:bookmarkStart w:id="3120" w:name="_Toc181684585"/>
      <w:r>
        <w:t>Part 1 Section 21.2.2.183, showLeaderLines (Show Leader Lines)</w:t>
      </w:r>
      <w:bookmarkEnd w:id="3119"/>
      <w:bookmarkEnd w:id="3120"/>
      <w:r>
        <w:fldChar w:fldCharType="begin"/>
      </w:r>
      <w:r>
        <w:instrText xml:space="preserve"> XE "showLeaderLines (Show Leader Lines)" </w:instrText>
      </w:r>
      <w:r>
        <w:fldChar w:fldCharType="end"/>
      </w:r>
    </w:p>
    <w:p w:rsidR="000A156F" w:rsidRDefault="00A9721F">
      <w:pPr>
        <w:pStyle w:val="Definition-Field"/>
      </w:pPr>
      <w:r>
        <w:t xml:space="preserve">a.   </w:t>
      </w:r>
      <w:r>
        <w:rPr>
          <w:i/>
        </w:rPr>
        <w:t xml:space="preserve">The standard </w:t>
      </w:r>
      <w:r>
        <w:rPr>
          <w:i/>
        </w:rPr>
        <w:t>states that this element can be a child of any dLbls element.</w:t>
      </w:r>
    </w:p>
    <w:p w:rsidR="000A156F" w:rsidRDefault="00A9721F">
      <w:pPr>
        <w:pStyle w:val="Definition-Field2"/>
      </w:pPr>
      <w:r>
        <w:t>Office requires that the ancestor include doughnutChart, ofPieChart, pie3DChart, or pieChart when this element is specified.</w:t>
      </w:r>
    </w:p>
    <w:p w:rsidR="000A156F" w:rsidRDefault="00A9721F">
      <w:pPr>
        <w:pStyle w:val="Definition-Field"/>
      </w:pPr>
      <w:r>
        <w:t xml:space="preserve">b.   </w:t>
      </w:r>
      <w:r>
        <w:rPr>
          <w:i/>
        </w:rPr>
        <w:t>The standard states that this element can be a child of any dLbl</w:t>
      </w:r>
      <w:r>
        <w:rPr>
          <w:i/>
        </w:rPr>
        <w:t>s element.</w:t>
      </w:r>
    </w:p>
    <w:p w:rsidR="000A156F" w:rsidRDefault="00A9721F">
      <w:pPr>
        <w:pStyle w:val="Definition-Field2"/>
      </w:pPr>
      <w:r>
        <w:t>Office requires that the val attribute equals true on one or more of the showCatName, showSerName, showVal, or showPercent sibling elements when this element is specified.</w:t>
      </w:r>
    </w:p>
    <w:p w:rsidR="000A156F" w:rsidRDefault="00A9721F">
      <w:pPr>
        <w:pStyle w:val="Heading3"/>
      </w:pPr>
      <w:bookmarkStart w:id="3121" w:name="section_b0d0713fac9844b4b4ee2a490237c3ac"/>
      <w:bookmarkStart w:id="3122" w:name="_Toc181684586"/>
      <w:r>
        <w:lastRenderedPageBreak/>
        <w:t>Part 1 Section 21.2.2.184, showLegendKey (Show Legend Key)</w:t>
      </w:r>
      <w:bookmarkEnd w:id="3121"/>
      <w:bookmarkEnd w:id="3122"/>
      <w:r>
        <w:fldChar w:fldCharType="begin"/>
      </w:r>
      <w:r>
        <w:instrText xml:space="preserve"> XE "showLegend</w:instrText>
      </w:r>
      <w:r>
        <w:instrText xml:space="preserve">Key (Show Legend Key)" </w:instrText>
      </w:r>
      <w:r>
        <w:fldChar w:fldCharType="end"/>
      </w:r>
    </w:p>
    <w:p w:rsidR="000A156F" w:rsidRDefault="00A9721F">
      <w:pPr>
        <w:pStyle w:val="Definition-Field"/>
      </w:pPr>
      <w:r>
        <w:t xml:space="preserve">a.   </w:t>
      </w:r>
      <w:r>
        <w:rPr>
          <w:i/>
        </w:rPr>
        <w:t>The standard does not specify what occurs when legend keys are shown in the data label.</w:t>
      </w:r>
    </w:p>
    <w:p w:rsidR="000A156F" w:rsidRDefault="00A9721F">
      <w:pPr>
        <w:pStyle w:val="Definition-Field2"/>
      </w:pPr>
      <w:r>
        <w:t>In Office, this element specifies if legend keys shall be shown in the data label(s) indicated by the parent element. The data label lege</w:t>
      </w:r>
      <w:r>
        <w:t>nd key has the same formatting as that of the corresponding data's legend key in the chart legend.</w:t>
      </w:r>
    </w:p>
    <w:p w:rsidR="000A156F" w:rsidRDefault="00A9721F">
      <w:pPr>
        <w:pStyle w:val="Definition-Field"/>
      </w:pPr>
      <w:r>
        <w:t xml:space="preserve">b.   </w:t>
      </w:r>
      <w:r>
        <w:rPr>
          <w:i/>
        </w:rPr>
        <w:t>The standard does not specify a relationship between sibling elements.</w:t>
      </w:r>
    </w:p>
    <w:p w:rsidR="000A156F" w:rsidRDefault="00A9721F">
      <w:pPr>
        <w:pStyle w:val="Definition-Field2"/>
      </w:pPr>
      <w:r>
        <w:t>Office only displays the legend key when that val attribute equals true on one or</w:t>
      </w:r>
      <w:r>
        <w:t xml:space="preserve"> more of the showBubbleSize, showCatName, showSerName, showVal, or showPercent sibling elements or dLbl contains a sibling tx element.</w:t>
      </w:r>
    </w:p>
    <w:p w:rsidR="000A156F" w:rsidRDefault="00A9721F">
      <w:pPr>
        <w:pStyle w:val="Heading3"/>
      </w:pPr>
      <w:bookmarkStart w:id="3123" w:name="section_5ab67be775d9474c8104d1167f77b169"/>
      <w:bookmarkStart w:id="3124" w:name="_Toc181684587"/>
      <w:r>
        <w:t>Part 1 Section 21.2.2.187, showPercent (Show Percent)</w:t>
      </w:r>
      <w:bookmarkEnd w:id="3123"/>
      <w:bookmarkEnd w:id="3124"/>
      <w:r>
        <w:fldChar w:fldCharType="begin"/>
      </w:r>
      <w:r>
        <w:instrText xml:space="preserve"> XE "showPercent (Show Percent)" </w:instrText>
      </w:r>
      <w:r>
        <w:fldChar w:fldCharType="end"/>
      </w:r>
    </w:p>
    <w:p w:rsidR="000A156F" w:rsidRDefault="00A9721F">
      <w:pPr>
        <w:pStyle w:val="Definition-Field"/>
      </w:pPr>
      <w:r>
        <w:t xml:space="preserve">a.   </w:t>
      </w:r>
      <w:r>
        <w:rPr>
          <w:i/>
        </w:rPr>
        <w:t>The standard states that th</w:t>
      </w:r>
      <w:r>
        <w:rPr>
          <w:i/>
        </w:rPr>
        <w:t>is element can be a child of any dLbl or dLbls element.</w:t>
      </w:r>
    </w:p>
    <w:p w:rsidR="000A156F" w:rsidRDefault="00A9721F">
      <w:pPr>
        <w:pStyle w:val="Definition-Field2"/>
      </w:pPr>
      <w:r>
        <w:t>Office requires that the ancestor include doughnutChart, ofPieChart, pie3DChart, or pieChart when this element is specified.</w:t>
      </w:r>
    </w:p>
    <w:p w:rsidR="000A156F" w:rsidRDefault="00A9721F">
      <w:pPr>
        <w:pStyle w:val="Heading3"/>
      </w:pPr>
      <w:bookmarkStart w:id="3125" w:name="section_a0cfce2cbcc6459ab1af121b9b2453bf"/>
      <w:bookmarkStart w:id="3126" w:name="_Toc181684588"/>
      <w:r>
        <w:t>Part 1 Section 21.2.2.191, sideWall (Side Wall)</w:t>
      </w:r>
      <w:bookmarkEnd w:id="3125"/>
      <w:bookmarkEnd w:id="3126"/>
      <w:r>
        <w:fldChar w:fldCharType="begin"/>
      </w:r>
      <w:r>
        <w:instrText xml:space="preserve"> XE "sideWall (Side Wall)" </w:instrText>
      </w:r>
      <w:r>
        <w:fldChar w:fldCharType="end"/>
      </w:r>
    </w:p>
    <w:p w:rsidR="000A156F" w:rsidRDefault="00A9721F">
      <w:pPr>
        <w:pStyle w:val="Definition-Field"/>
      </w:pPr>
      <w:r>
        <w:t xml:space="preserve">a.   </w:t>
      </w:r>
      <w:r>
        <w:rPr>
          <w:i/>
        </w:rPr>
        <w:t>The standard states that this element can be a child of any chart element.</w:t>
      </w:r>
    </w:p>
    <w:p w:rsidR="000A156F" w:rsidRDefault="00A9721F">
      <w:pPr>
        <w:pStyle w:val="Definition-Field2"/>
      </w:pPr>
      <w:r>
        <w:t>Office requires that the chart contain a 3D chart group (bar3DChart, line3DChart, area3DChart, surface3DChart, or pie3DChart) when this element is specified.</w:t>
      </w:r>
    </w:p>
    <w:p w:rsidR="000A156F" w:rsidRDefault="00A9721F">
      <w:pPr>
        <w:pStyle w:val="Heading3"/>
      </w:pPr>
      <w:bookmarkStart w:id="3127" w:name="section_002a323721c5425f83521a108d5bc7bb"/>
      <w:bookmarkStart w:id="3128" w:name="_Toc181684589"/>
      <w:r>
        <w:t>Part 1 Section 2</w:t>
      </w:r>
      <w:r>
        <w:t>1.2.2.195, splitPos (Split Position)</w:t>
      </w:r>
      <w:bookmarkEnd w:id="3127"/>
      <w:bookmarkEnd w:id="3128"/>
      <w:r>
        <w:fldChar w:fldCharType="begin"/>
      </w:r>
      <w:r>
        <w:instrText xml:space="preserve"> XE "splitPos (Split Position)"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0A156F" w:rsidRDefault="00A9721F">
      <w:pPr>
        <w:pStyle w:val="Definition-Field"/>
      </w:pPr>
      <w:r>
        <w:t xml:space="preserve">a.   </w:t>
      </w:r>
      <w:r>
        <w:rPr>
          <w:i/>
        </w:rPr>
        <w:t>The standard does not state any interplay between sibling element splitType and the val attribute.</w:t>
      </w:r>
    </w:p>
    <w:p w:rsidR="000A156F" w:rsidRDefault="00A9721F">
      <w:pPr>
        <w:pStyle w:val="Definition-Field2"/>
      </w:pPr>
      <w:r>
        <w:t xml:space="preserve">In Office, if splitType is equal to pos, the value of the val </w:t>
      </w:r>
      <w:r>
        <w:t>attribute shall be an integer in the range of 0 to 32000, inclusive. If splitType is equal to percent, the value shall be in the range of 0.0 to 100.0, inclusive.</w:t>
      </w:r>
    </w:p>
    <w:p w:rsidR="000A156F" w:rsidRDefault="00A9721F">
      <w:pPr>
        <w:pStyle w:val="Definition-Field"/>
      </w:pPr>
      <w:r>
        <w:t xml:space="preserve">b.   </w:t>
      </w:r>
      <w:r>
        <w:rPr>
          <w:i/>
        </w:rPr>
        <w:t>The standard states that this element can be a child of any ofPieChart element.</w:t>
      </w:r>
    </w:p>
    <w:p w:rsidR="000A156F" w:rsidRDefault="00A9721F">
      <w:pPr>
        <w:pStyle w:val="Definition-Field2"/>
      </w:pPr>
      <w:r>
        <w:t>Office r</w:t>
      </w:r>
      <w:r>
        <w:t>equires that the ofPieChart parent contain a splitType element with a val attribute equal to percent, pos, or val when this element is specified.</w:t>
      </w:r>
    </w:p>
    <w:p w:rsidR="000A156F" w:rsidRDefault="00A9721F">
      <w:pPr>
        <w:pStyle w:val="Definition-Field"/>
      </w:pPr>
      <w:r>
        <w:t xml:space="preserve">c.   </w:t>
      </w:r>
      <w:r>
        <w:rPr>
          <w:i/>
        </w:rPr>
        <w:t>The standard states that attribute val is of type xsd:double.</w:t>
      </w:r>
    </w:p>
    <w:p w:rsidR="000A156F" w:rsidRDefault="00A9721F">
      <w:pPr>
        <w:pStyle w:val="Definition-Field2"/>
      </w:pPr>
      <w:r>
        <w:t>Office does not allow INF, -INF, and NaN as</w:t>
      </w:r>
      <w:r>
        <w:t xml:space="preserve"> supported values.</w:t>
      </w:r>
    </w:p>
    <w:p w:rsidR="000A156F" w:rsidRDefault="00A9721F">
      <w:pPr>
        <w:pStyle w:val="Heading3"/>
      </w:pPr>
      <w:bookmarkStart w:id="3129" w:name="section_48975c4658444ebf8217dcf06ae04755"/>
      <w:bookmarkStart w:id="3130" w:name="_Toc181684590"/>
      <w:r>
        <w:t>Part 1 Section 21.2.2.196, splitType (Split Type)</w:t>
      </w:r>
      <w:bookmarkEnd w:id="3129"/>
      <w:bookmarkEnd w:id="3130"/>
      <w:r>
        <w:fldChar w:fldCharType="begin"/>
      </w:r>
      <w:r>
        <w:instrText xml:space="preserve"> XE "splitType (Split Type)"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Office requires this attribute.</w:t>
      </w:r>
    </w:p>
    <w:p w:rsidR="000A156F" w:rsidRDefault="00A9721F">
      <w:pPr>
        <w:pStyle w:val="Definition-Field"/>
      </w:pPr>
      <w:r>
        <w:t xml:space="preserve">b.   </w:t>
      </w:r>
      <w:r>
        <w:rPr>
          <w:i/>
        </w:rPr>
        <w:t>The standard does not define the behavior when this eleme</w:t>
      </w:r>
      <w:r>
        <w:rPr>
          <w:i/>
        </w:rPr>
        <w:t>nt is omitted.</w:t>
      </w:r>
    </w:p>
    <w:p w:rsidR="000A156F" w:rsidRDefault="00A9721F">
      <w:pPr>
        <w:pStyle w:val="Definition-Field2"/>
      </w:pPr>
      <w:r>
        <w:t>In Office, if this element is not specified the default behavior is to split by position with a split position value equal to the number of data points in the series divided by 3, rounded up.</w:t>
      </w:r>
    </w:p>
    <w:p w:rsidR="000A156F" w:rsidRDefault="00A9721F">
      <w:pPr>
        <w:pStyle w:val="Heading3"/>
      </w:pPr>
      <w:bookmarkStart w:id="3131" w:name="section_efeb511d32754e5da51804bd555d9540"/>
      <w:bookmarkStart w:id="3132" w:name="_Toc181684591"/>
      <w:r>
        <w:lastRenderedPageBreak/>
        <w:t>Part 1 Section 21.2.2.197, spPr (Shape Properties</w:t>
      </w:r>
      <w:r>
        <w:t>)</w:t>
      </w:r>
      <w:bookmarkEnd w:id="3131"/>
      <w:bookmarkEnd w:id="3132"/>
      <w:r>
        <w:fldChar w:fldCharType="begin"/>
      </w:r>
      <w:r>
        <w:instrText xml:space="preserve"> XE "spPr (Shape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0A156F" w:rsidRDefault="00A9721F">
      <w:pPr>
        <w:pStyle w:val="Definition-Field"/>
      </w:pPr>
      <w:r>
        <w:t xml:space="preserve">a.   </w:t>
      </w:r>
      <w:r>
        <w:rPr>
          <w:i/>
        </w:rPr>
        <w:t xml:space="preserve">The standard states grpFill can be a </w:t>
      </w:r>
      <w:r>
        <w:rPr>
          <w:i/>
        </w:rPr>
        <w:t>child of the spPr element.</w:t>
      </w:r>
    </w:p>
    <w:p w:rsidR="000A156F" w:rsidRDefault="00A9721F">
      <w:pPr>
        <w:pStyle w:val="Definition-Field2"/>
      </w:pPr>
      <w:r>
        <w:t>Office does not allow grpFill to be a child of spPr.</w:t>
      </w:r>
    </w:p>
    <w:p w:rsidR="000A156F" w:rsidRDefault="00A9721F">
      <w:pPr>
        <w:pStyle w:val="Definition-Field"/>
      </w:pPr>
      <w:r>
        <w:t xml:space="preserve">b.   </w:t>
      </w:r>
      <w:r>
        <w:rPr>
          <w:i/>
        </w:rPr>
        <w:t>The standard states blipFill, gradFill, grpFill, noFill, patFill, and solidFill can be a child of any spPr element.</w:t>
      </w:r>
    </w:p>
    <w:p w:rsidR="000A156F" w:rsidRDefault="00A9721F">
      <w:pPr>
        <w:pStyle w:val="Definition-Field2"/>
      </w:pPr>
      <w:r>
        <w:t>Office does not persist the *Fill child elements if the</w:t>
      </w:r>
      <w:r>
        <w:t xml:space="preserve"> parent element is dropLines, hiLowLines, leaderLines, majorGridlines, minorGridlines, ser (line, scatter, or radar with radarStyle not equal to filled), or trendline.</w:t>
      </w:r>
    </w:p>
    <w:p w:rsidR="000A156F" w:rsidRDefault="00A9721F">
      <w:pPr>
        <w:pStyle w:val="Definition-Field"/>
      </w:pPr>
      <w:r>
        <w:t xml:space="preserve">c.   </w:t>
      </w:r>
      <w:r>
        <w:rPr>
          <w:i/>
        </w:rPr>
        <w:t>The standard states effectDag and effectLst can be a child of any spPr element.</w:t>
      </w:r>
    </w:p>
    <w:p w:rsidR="000A156F" w:rsidRDefault="00A9721F">
      <w:pPr>
        <w:pStyle w:val="Definition-Field2"/>
      </w:pPr>
      <w:r>
        <w:t>Off</w:t>
      </w:r>
      <w:r>
        <w:t>ice does not persist the effectDag and effectLst child elements if the parent element is leaderLines.</w:t>
      </w:r>
    </w:p>
    <w:p w:rsidR="000A156F" w:rsidRDefault="00A9721F">
      <w:pPr>
        <w:pStyle w:val="Definition-Field"/>
      </w:pPr>
      <w:r>
        <w:t xml:space="preserve">d.   </w:t>
      </w:r>
      <w:r>
        <w:rPr>
          <w:i/>
        </w:rPr>
        <w:t>The standard does not specify parent elements of spPr that do not persist the scene3d child element.</w:t>
      </w:r>
    </w:p>
    <w:p w:rsidR="000A156F" w:rsidRDefault="00A9721F">
      <w:pPr>
        <w:pStyle w:val="Definition-Field2"/>
      </w:pPr>
      <w:r>
        <w:t>Office does not persist the scene3d child elemen</w:t>
      </w:r>
      <w:r>
        <w:t>t if the parent element is *Ax, dropLines, dTable, hiLowLines, leaderLines, majorGridLines, minorGridlines, ser (line, scatter, or radar with radarStyle not equal to filled), seriesLines, or trendline.</w:t>
      </w:r>
    </w:p>
    <w:p w:rsidR="000A156F" w:rsidRDefault="00A9721F">
      <w:pPr>
        <w:pStyle w:val="Definition-Field"/>
      </w:pPr>
      <w:r>
        <w:t xml:space="preserve">e.   </w:t>
      </w:r>
      <w:r>
        <w:rPr>
          <w:i/>
        </w:rPr>
        <w:t>The standard states sp3d can be a child of any sp</w:t>
      </w:r>
      <w:r>
        <w:rPr>
          <w:i/>
        </w:rPr>
        <w:t>Pr element.</w:t>
      </w:r>
    </w:p>
    <w:p w:rsidR="000A156F" w:rsidRDefault="00A9721F">
      <w:pPr>
        <w:pStyle w:val="Definition-Field2"/>
      </w:pPr>
      <w:r>
        <w:t>Office does not persist the sp3d child element if the parent element is *Ax, dropLines, dTable, hiLowLines, leaderLines, majorGridLines, minorGridlines, ser (line, scatter, or radar with radarStyle not equal to filled), seriesLines, or trendlin</w:t>
      </w:r>
      <w:r>
        <w:t>e.</w:t>
      </w:r>
    </w:p>
    <w:p w:rsidR="000A156F" w:rsidRDefault="00A9721F">
      <w:pPr>
        <w:pStyle w:val="Heading3"/>
      </w:pPr>
      <w:bookmarkStart w:id="3133" w:name="section_9732db6e4647475fa4193f53903a7d46"/>
      <w:bookmarkStart w:id="3134" w:name="_Toc181684592"/>
      <w:r>
        <w:t>Part 1 Section 21.2.2.203, surface3DChart (3D Surface Charts)</w:t>
      </w:r>
      <w:bookmarkEnd w:id="3133"/>
      <w:bookmarkEnd w:id="3134"/>
      <w:r>
        <w:fldChar w:fldCharType="begin"/>
      </w:r>
      <w:r>
        <w:instrText xml:space="preserve"> XE "surface3DChart (3D Surface Charts)" </w:instrText>
      </w:r>
      <w:r>
        <w:fldChar w:fldCharType="end"/>
      </w:r>
    </w:p>
    <w:p w:rsidR="000A156F" w:rsidRDefault="00A9721F">
      <w:pPr>
        <w:pStyle w:val="Definition-Field"/>
      </w:pPr>
      <w:r>
        <w:t xml:space="preserve">a.   </w:t>
      </w:r>
      <w:r>
        <w:rPr>
          <w:i/>
        </w:rPr>
        <w:t>The standard states that the maxOccurs value for the ser child element is unbounded.</w:t>
      </w:r>
    </w:p>
    <w:p w:rsidR="000A156F" w:rsidRDefault="00A9721F">
      <w:pPr>
        <w:pStyle w:val="Definition-Field2"/>
      </w:pPr>
      <w:r>
        <w:t>Office limits the occurrences of this element to 255.</w:t>
      </w:r>
    </w:p>
    <w:p w:rsidR="000A156F" w:rsidRDefault="00A9721F">
      <w:pPr>
        <w:pStyle w:val="Heading3"/>
      </w:pPr>
      <w:bookmarkStart w:id="3135" w:name="section_b275eedba86d48a3ae21c44ac20c7dcc"/>
      <w:bookmarkStart w:id="3136" w:name="_Toc181684593"/>
      <w:r>
        <w:t>Part</w:t>
      </w:r>
      <w:r>
        <w:t xml:space="preserve"> 1 Section 21.2.2.204, surfaceChart (Surface Charts)</w:t>
      </w:r>
      <w:bookmarkEnd w:id="3135"/>
      <w:bookmarkEnd w:id="3136"/>
      <w:r>
        <w:fldChar w:fldCharType="begin"/>
      </w:r>
      <w:r>
        <w:instrText xml:space="preserve"> XE "surfaceChart (Surface Charts)"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9732db6e4647475fa4193f53903a7d46">
        <w:r>
          <w:rPr>
            <w:rStyle w:val="Hyperlink"/>
          </w:rPr>
          <w:t>surface3DCha</w:t>
        </w:r>
        <w:r>
          <w:rPr>
            <w:rStyle w:val="Hyperlink"/>
          </w:rPr>
          <w:t>rt, §21.2.2.203(a)</w:t>
        </w:r>
      </w:hyperlink>
      <w:r>
        <w:rPr>
          <w:i/>
        </w:rPr>
        <w:t>.</w:t>
      </w:r>
    </w:p>
    <w:p w:rsidR="000A156F" w:rsidRDefault="00A9721F">
      <w:pPr>
        <w:pStyle w:val="Heading3"/>
      </w:pPr>
      <w:bookmarkStart w:id="3137" w:name="section_95f7cec9fd774e74a31328e846491e4e"/>
      <w:bookmarkStart w:id="3138" w:name="_Toc181684594"/>
      <w:r>
        <w:t>Part 1 Section 21.2.2.206, thickness (Thickness)</w:t>
      </w:r>
      <w:bookmarkEnd w:id="3137"/>
      <w:bookmarkEnd w:id="3138"/>
      <w:r>
        <w:fldChar w:fldCharType="begin"/>
      </w:r>
      <w:r>
        <w:instrText xml:space="preserve"> XE "thickness (Thickness)" </w:instrText>
      </w:r>
      <w:r>
        <w:fldChar w:fldCharType="end"/>
      </w:r>
    </w:p>
    <w:p w:rsidR="000A156F" w:rsidRDefault="00A9721F">
      <w:pPr>
        <w:pStyle w:val="Definition-Field"/>
      </w:pPr>
      <w:r>
        <w:t xml:space="preserve">a.   </w:t>
      </w:r>
      <w:r>
        <w:rPr>
          <w:i/>
        </w:rPr>
        <w:t>The standard states that the values of the val attribute are defined by the XML Schema unsignedInt datatype.</w:t>
      </w:r>
    </w:p>
    <w:p w:rsidR="000A156F" w:rsidRDefault="00A9721F">
      <w:pPr>
        <w:pStyle w:val="Definition-Field2"/>
      </w:pPr>
      <w:r>
        <w:t>Office restricts the value of this attribut</w:t>
      </w:r>
      <w:r>
        <w:t>e to be at most 100.</w:t>
      </w:r>
    </w:p>
    <w:p w:rsidR="000A156F" w:rsidRDefault="00A9721F">
      <w:pPr>
        <w:pStyle w:val="Definition-Field"/>
      </w:pPr>
      <w:r>
        <w:t xml:space="preserve">b.   </w:t>
      </w:r>
      <w:r>
        <w:rPr>
          <w:i/>
        </w:rPr>
        <w:t>The standard states that thickness is a percentage of the largest dimension of the plot volume.</w:t>
      </w:r>
    </w:p>
    <w:p w:rsidR="000A156F" w:rsidRDefault="00A9721F">
      <w:pPr>
        <w:pStyle w:val="Definition-Field2"/>
      </w:pPr>
      <w:r>
        <w:t>In Office, thickness is a percentage of the smaller of the height and width of the 3D chart. The height of the 3D chart relative to th</w:t>
      </w:r>
      <w:r>
        <w:t>e width is specified by hPercent.</w:t>
      </w:r>
    </w:p>
    <w:p w:rsidR="000A156F" w:rsidRDefault="00A9721F">
      <w:pPr>
        <w:pStyle w:val="Heading3"/>
      </w:pPr>
      <w:bookmarkStart w:id="3139" w:name="section_bd2dcc2de1e24b3bba3a08817be49e05"/>
      <w:bookmarkStart w:id="3140" w:name="_Toc181684595"/>
      <w:r>
        <w:lastRenderedPageBreak/>
        <w:t>Part 1 Section 21.2.2.208, tickLblSkip (Tick Label Skip)</w:t>
      </w:r>
      <w:bookmarkEnd w:id="3139"/>
      <w:bookmarkEnd w:id="3140"/>
      <w:r>
        <w:fldChar w:fldCharType="begin"/>
      </w:r>
      <w:r>
        <w:instrText xml:space="preserve"> XE "tickLblSkip (Tick Label Skip)" </w:instrText>
      </w:r>
      <w:r>
        <w:fldChar w:fldCharType="end"/>
      </w:r>
    </w:p>
    <w:p w:rsidR="000A156F" w:rsidRDefault="00A9721F">
      <w:pPr>
        <w:pStyle w:val="Definition-Field"/>
      </w:pPr>
      <w:r>
        <w:t xml:space="preserve">a.   </w:t>
      </w:r>
      <w:r>
        <w:rPr>
          <w:i/>
        </w:rPr>
        <w:t>The standard states that this element specifies how many tick labels to skip between label that is drawn.</w:t>
      </w:r>
    </w:p>
    <w:p w:rsidR="000A156F" w:rsidRDefault="00A9721F">
      <w:pPr>
        <w:pStyle w:val="Definition-Field2"/>
      </w:pPr>
      <w:r>
        <w:t xml:space="preserve">In Office, this </w:t>
      </w:r>
      <w:r>
        <w:t>element specifies the interval at which tick labels are drawn.</w:t>
      </w:r>
    </w:p>
    <w:p w:rsidR="000A156F" w:rsidRDefault="00A9721F">
      <w:pPr>
        <w:pStyle w:val="Heading3"/>
      </w:pPr>
      <w:bookmarkStart w:id="3141" w:name="section_ee2e8e04bcc44e869167ea14e1bd91a9"/>
      <w:bookmarkStart w:id="3142" w:name="_Toc181684596"/>
      <w:r>
        <w:t>Part 1 Section 21.2.2.209, tickMarkSkip (Tick Mark Skip)</w:t>
      </w:r>
      <w:bookmarkEnd w:id="3141"/>
      <w:bookmarkEnd w:id="3142"/>
      <w:r>
        <w:fldChar w:fldCharType="begin"/>
      </w:r>
      <w:r>
        <w:instrText xml:space="preserve"> XE "tickMarkSkip (Tick Mark Skip)" </w:instrText>
      </w:r>
      <w:r>
        <w:fldChar w:fldCharType="end"/>
      </w:r>
    </w:p>
    <w:p w:rsidR="000A156F" w:rsidRDefault="00A9721F">
      <w:pPr>
        <w:pStyle w:val="Definition-Field"/>
      </w:pPr>
      <w:r>
        <w:t xml:space="preserve">a.   </w:t>
      </w:r>
      <w:r>
        <w:rPr>
          <w:i/>
        </w:rPr>
        <w:t>The standard states that this element specifies how many tick marks shall be skipped before t</w:t>
      </w:r>
      <w:r>
        <w:rPr>
          <w:i/>
        </w:rPr>
        <w:t>he next one shall be drawn.</w:t>
      </w:r>
    </w:p>
    <w:p w:rsidR="000A156F" w:rsidRDefault="00A9721F">
      <w:pPr>
        <w:pStyle w:val="Definition-Field2"/>
      </w:pPr>
      <w:r>
        <w:t>In Office, this element specifies the interval at which tick marks are drawn.</w:t>
      </w:r>
    </w:p>
    <w:p w:rsidR="000A156F" w:rsidRDefault="00A9721F">
      <w:pPr>
        <w:pStyle w:val="Heading3"/>
      </w:pPr>
      <w:bookmarkStart w:id="3143" w:name="section_a87b8094484e49fdbdf7ae3ed95e9572"/>
      <w:bookmarkStart w:id="3144" w:name="_Toc181684597"/>
      <w:r>
        <w:t>Part 1 Section 21.2.2.210, title (Title)</w:t>
      </w:r>
      <w:bookmarkEnd w:id="3143"/>
      <w:bookmarkEnd w:id="3144"/>
      <w:r>
        <w:fldChar w:fldCharType="begin"/>
      </w:r>
      <w:r>
        <w:instrText xml:space="preserve"> XE "title (Title)" </w:instrText>
      </w:r>
      <w:r>
        <w:fldChar w:fldCharType="end"/>
      </w:r>
    </w:p>
    <w:p w:rsidR="000A156F" w:rsidRDefault="00A9721F">
      <w:pPr>
        <w:pStyle w:val="Definition-Field"/>
      </w:pPr>
      <w:r>
        <w:t xml:space="preserve">a.   </w:t>
      </w:r>
      <w:r>
        <w:rPr>
          <w:i/>
        </w:rPr>
        <w:t>The standard describes the tx child element as optional but does not state default</w:t>
      </w:r>
      <w:r>
        <w:rPr>
          <w:i/>
        </w:rPr>
        <w:t xml:space="preserve"> value.</w:t>
      </w:r>
    </w:p>
    <w:p w:rsidR="000A156F" w:rsidRDefault="00A9721F">
      <w:pPr>
        <w:pStyle w:val="Definition-Field2"/>
      </w:pPr>
      <w:r>
        <w:t>In Office, the default text in the title is a localized string specific to the parent element type, except when this element is the child of a chart that has a single series with a name, in which case the text shall be that series' name.</w:t>
      </w:r>
    </w:p>
    <w:p w:rsidR="000A156F" w:rsidRDefault="00A9721F">
      <w:pPr>
        <w:pStyle w:val="Definition-Field"/>
        <w:rPr>
          <w:i/>
        </w:rPr>
      </w:pPr>
      <w:r>
        <w:t xml:space="preserve">b.   </w:t>
      </w:r>
      <w:r>
        <w:rPr>
          <w:i/>
        </w:rPr>
        <w:t xml:space="preserve">The </w:t>
      </w:r>
      <w:r>
        <w:rPr>
          <w:i/>
        </w:rPr>
        <w:t>standard describes the tx child element but does not state a requirement for a default character property.</w:t>
      </w:r>
    </w:p>
    <w:p w:rsidR="000A156F" w:rsidRDefault="00A9721F">
      <w:pPr>
        <w:pStyle w:val="Definition-Field2"/>
      </w:pPr>
      <w:r>
        <w:t>In Office, the title element requires default character properties or direct formatting character properties. See rPr ("</w:t>
      </w:r>
      <w:hyperlink r:id="rId221">
        <w:r>
          <w:rPr>
            <w:rStyle w:val="Hyperlink"/>
          </w:rPr>
          <w:t>[ISO/IEC-29500-1]</w:t>
        </w:r>
      </w:hyperlink>
      <w:r>
        <w:t xml:space="preserve"> §21.1.2.3.9; rPr") and defRPr ("[ISO/IEC-29500-1] §21.1.2.3.2; defRPr") elements.</w:t>
      </w:r>
    </w:p>
    <w:p w:rsidR="000A156F" w:rsidRDefault="00A9721F">
      <w:pPr>
        <w:pStyle w:val="Heading3"/>
      </w:pPr>
      <w:bookmarkStart w:id="3145" w:name="section_a627a81e2d014a7f8f7c40e2aec4f792"/>
      <w:bookmarkStart w:id="3146" w:name="_Toc181684598"/>
      <w:r>
        <w:t>Part 1 Section 21.2.2.211, trendline (Trendlines)</w:t>
      </w:r>
      <w:bookmarkEnd w:id="3145"/>
      <w:bookmarkEnd w:id="3146"/>
      <w:r>
        <w:fldChar w:fldCharType="begin"/>
      </w:r>
      <w:r>
        <w:instrText xml:space="preserve"> XE "trendline (Trendlines)" </w:instrText>
      </w:r>
      <w:r>
        <w:fldChar w:fldCharType="end"/>
      </w:r>
    </w:p>
    <w:p w:rsidR="000A156F" w:rsidRDefault="00A9721F">
      <w:pPr>
        <w:pStyle w:val="Definition-Field"/>
      </w:pPr>
      <w:r>
        <w:t xml:space="preserve">a.   </w:t>
      </w:r>
      <w:r>
        <w:rPr>
          <w:i/>
        </w:rPr>
        <w:t>The standard states that this ele</w:t>
      </w:r>
      <w:r>
        <w:rPr>
          <w:i/>
        </w:rPr>
        <w:t>ment can be a child of ser elements.</w:t>
      </w:r>
    </w:p>
    <w:p w:rsidR="000A156F" w:rsidRDefault="00A9721F">
      <w:pPr>
        <w:pStyle w:val="Definition-Field2"/>
      </w:pPr>
      <w:r>
        <w:t>Office requires that when this element is specified, the ancestor include an areaChart or lineChart with the grouping element equal to standard, a barChart with grouping element equal to clustered, or a bubbleChart, sca</w:t>
      </w:r>
      <w:r>
        <w:t>tterChart or stockChart.</w:t>
      </w:r>
    </w:p>
    <w:p w:rsidR="000A156F" w:rsidRDefault="00A9721F">
      <w:pPr>
        <w:pStyle w:val="Heading3"/>
      </w:pPr>
      <w:bookmarkStart w:id="3147" w:name="section_fe147abc7915492ea048c353ef9ebb28"/>
      <w:bookmarkStart w:id="3148" w:name="_Toc181684599"/>
      <w:r>
        <w:t>Part 1 Section 21.2.2.212, trendlineLbl (Trendline Label)</w:t>
      </w:r>
      <w:bookmarkEnd w:id="3147"/>
      <w:bookmarkEnd w:id="3148"/>
      <w:r>
        <w:fldChar w:fldCharType="begin"/>
      </w:r>
      <w:r>
        <w:instrText xml:space="preserve"> XE "trendlineLbl (Trendline Label)" </w:instrText>
      </w:r>
      <w:r>
        <w:fldChar w:fldCharType="end"/>
      </w:r>
    </w:p>
    <w:p w:rsidR="000A156F" w:rsidRDefault="00A9721F">
      <w:pPr>
        <w:pStyle w:val="Definition-Field"/>
      </w:pPr>
      <w:r>
        <w:t xml:space="preserve">a.   </w:t>
      </w:r>
      <w:r>
        <w:rPr>
          <w:i/>
        </w:rPr>
        <w:t>The standard does not fully specify the trendlineLbl element.</w:t>
      </w:r>
    </w:p>
    <w:p w:rsidR="000A156F" w:rsidRDefault="00A9721F">
      <w:pPr>
        <w:pStyle w:val="Definition-Field2"/>
      </w:pPr>
      <w:r>
        <w:t>Office interprets this element to specify the formatting of the tre</w:t>
      </w:r>
      <w:r>
        <w:t>ndline label which annotates the parent trendline. The default text is determined by the dispEq and dispRSqr sibling elements.</w:t>
      </w:r>
    </w:p>
    <w:p w:rsidR="000A156F" w:rsidRDefault="00A9721F">
      <w:pPr>
        <w:pStyle w:val="Definition-Field"/>
      </w:pPr>
      <w:r>
        <w:t xml:space="preserve">b.   </w:t>
      </w:r>
      <w:r>
        <w:rPr>
          <w:i/>
        </w:rPr>
        <w:t>The standard does not state additional restrictions on when a trendline label is displayed.</w:t>
      </w:r>
    </w:p>
    <w:p w:rsidR="000A156F" w:rsidRDefault="00A9721F">
      <w:pPr>
        <w:pStyle w:val="Definition-Field2"/>
      </w:pPr>
      <w:r>
        <w:t>Office does not display the tren</w:t>
      </w:r>
      <w:r>
        <w:t>dline label if the val attribute of sibling element trendlineType is equal to movingAvg.</w:t>
      </w:r>
    </w:p>
    <w:p w:rsidR="000A156F" w:rsidRDefault="00A9721F">
      <w:pPr>
        <w:pStyle w:val="Definition-Field"/>
      </w:pPr>
      <w:r>
        <w:t xml:space="preserve">c.   </w:t>
      </w:r>
      <w:r>
        <w:rPr>
          <w:i/>
        </w:rPr>
        <w:t>The standard does not define the trendline label contents.</w:t>
      </w:r>
    </w:p>
    <w:p w:rsidR="000A156F" w:rsidRDefault="00A9721F">
      <w:pPr>
        <w:pStyle w:val="Definition-Field2"/>
      </w:pPr>
      <w:r>
        <w:t xml:space="preserve">Office displays the text specified by the tx child element when tx element exists on the trendlineLbl, </w:t>
      </w:r>
      <w:r>
        <w:t>replacing the text generated by the dispEq and dispRSqr sibling elements.</w:t>
      </w:r>
    </w:p>
    <w:p w:rsidR="000A156F" w:rsidRDefault="00A9721F">
      <w:pPr>
        <w:pStyle w:val="Definition-Field"/>
      </w:pPr>
      <w:r>
        <w:t xml:space="preserve">d.   </w:t>
      </w:r>
      <w:r>
        <w:rPr>
          <w:i/>
        </w:rPr>
        <w:t>The standard states that this element can be a child of any trendline element.</w:t>
      </w:r>
    </w:p>
    <w:p w:rsidR="000A156F" w:rsidRDefault="00A9721F">
      <w:pPr>
        <w:pStyle w:val="Definition-Field2"/>
      </w:pPr>
      <w:r>
        <w:t>In Office, this element shall only be specified if sibling element dispEq or dispRSqr is true.</w:t>
      </w:r>
    </w:p>
    <w:p w:rsidR="000A156F" w:rsidRDefault="00A9721F">
      <w:pPr>
        <w:pStyle w:val="Heading3"/>
      </w:pPr>
      <w:bookmarkStart w:id="3149" w:name="section_3a6020381d924913ad3e43556bf8b51f"/>
      <w:bookmarkStart w:id="3150" w:name="_Toc181684600"/>
      <w:r>
        <w:lastRenderedPageBreak/>
        <w:t>Par</w:t>
      </w:r>
      <w:r>
        <w:t>t 1 Section 21.2.2.213, trendlineType (Trendline Type)</w:t>
      </w:r>
      <w:bookmarkEnd w:id="3149"/>
      <w:bookmarkEnd w:id="3150"/>
      <w:r>
        <w:fldChar w:fldCharType="begin"/>
      </w:r>
      <w:r>
        <w:instrText xml:space="preserve"> XE "trendlineType (Trendline Type)"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Office requires this attribute.</w:t>
      </w:r>
    </w:p>
    <w:p w:rsidR="000A156F" w:rsidRDefault="00A9721F">
      <w:pPr>
        <w:pStyle w:val="Heading3"/>
      </w:pPr>
      <w:bookmarkStart w:id="3151" w:name="section_663bc5a19c244a29a84da6f9c6e60acd"/>
      <w:bookmarkStart w:id="3152" w:name="_Toc181684601"/>
      <w:r>
        <w:t>Part 1 Section 21.2.2.215, tx (Series Text)</w:t>
      </w:r>
      <w:bookmarkEnd w:id="3151"/>
      <w:bookmarkEnd w:id="3152"/>
      <w:r>
        <w:fldChar w:fldCharType="begin"/>
      </w:r>
      <w:r>
        <w:instrText xml:space="preserve"> XE "tx (Series Text)" </w:instrText>
      </w:r>
      <w:r>
        <w:fldChar w:fldCharType="end"/>
      </w:r>
    </w:p>
    <w:p w:rsidR="000A156F" w:rsidRDefault="00A9721F">
      <w:pPr>
        <w:pStyle w:val="Definition-Field"/>
      </w:pPr>
      <w:r>
        <w:t xml:space="preserve">a.   </w:t>
      </w:r>
      <w:r>
        <w:rPr>
          <w:i/>
        </w:rPr>
        <w:t>The standard does not define the behavior when the tx element is omitted.</w:t>
      </w:r>
    </w:p>
    <w:p w:rsidR="000A156F" w:rsidRDefault="00A9721F">
      <w:pPr>
        <w:pStyle w:val="Definition-Field2"/>
      </w:pPr>
      <w:r>
        <w:t>If the tx element is omitted, Office uses a default text of the localized version of string "Series#", where # is the value of the idx for the corresponding series + 1.</w:t>
      </w:r>
    </w:p>
    <w:p w:rsidR="000A156F" w:rsidRDefault="00A9721F">
      <w:pPr>
        <w:pStyle w:val="Heading3"/>
      </w:pPr>
      <w:bookmarkStart w:id="3153" w:name="section_7567be8d0d5e4265a80b52a3006799b3"/>
      <w:bookmarkStart w:id="3154" w:name="_Toc181684602"/>
      <w:r>
        <w:t xml:space="preserve">Part 1 </w:t>
      </w:r>
      <w:r>
        <w:t>Section 21.2.2.216, txPr (Text Properties)</w:t>
      </w:r>
      <w:bookmarkEnd w:id="3153"/>
      <w:bookmarkEnd w:id="3154"/>
      <w:r>
        <w:fldChar w:fldCharType="begin"/>
      </w:r>
      <w:r>
        <w:instrText xml:space="preserve"> XE "txPr (Text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670152e08494bcf962e35ea83fc42de">
        <w:r>
          <w:rPr>
            <w:rStyle w:val="Hyperlink"/>
          </w:rPr>
          <w:t>pivotFmt, §21.2.2.142(a)</w:t>
        </w:r>
      </w:hyperlink>
      <w:r>
        <w:rPr>
          <w:i/>
        </w:rPr>
        <w:t>.</w:t>
      </w:r>
    </w:p>
    <w:p w:rsidR="000A156F" w:rsidRDefault="00A9721F">
      <w:pPr>
        <w:pStyle w:val="Definition-Field"/>
      </w:pPr>
      <w:r>
        <w:t xml:space="preserve">a. </w:t>
      </w:r>
      <w:r>
        <w:t xml:space="preserve">  </w:t>
      </w:r>
      <w:r>
        <w:rPr>
          <w:i/>
        </w:rPr>
        <w:t>The standard does not state any exceptions that cause this element to be ignored.</w:t>
      </w:r>
    </w:p>
    <w:p w:rsidR="000A156F" w:rsidRDefault="00A9721F">
      <w:pPr>
        <w:pStyle w:val="Definition-Field2"/>
      </w:pPr>
      <w:r>
        <w:t>Office ignores this element on load and removes this element on save if the tx sibling element contains a rich child element.</w:t>
      </w:r>
    </w:p>
    <w:p w:rsidR="000A156F" w:rsidRDefault="00A9721F">
      <w:pPr>
        <w:pStyle w:val="Definition-Field"/>
      </w:pPr>
      <w:r>
        <w:t xml:space="preserve">b.   </w:t>
      </w:r>
      <w:r>
        <w:rPr>
          <w:i/>
        </w:rPr>
        <w:t xml:space="preserve">The standard states that the maxOccurs </w:t>
      </w:r>
      <w:r>
        <w:rPr>
          <w:i/>
        </w:rPr>
        <w:t>for child element p is unbounded.</w:t>
      </w:r>
    </w:p>
    <w:p w:rsidR="000A156F" w:rsidRDefault="00A9721F">
      <w:pPr>
        <w:pStyle w:val="Definition-Field2"/>
      </w:pPr>
      <w:r>
        <w:t>Office ignores all but the first p child elements on load and only saves the first p child element.</w:t>
      </w:r>
    </w:p>
    <w:p w:rsidR="000A156F" w:rsidRDefault="00A9721F">
      <w:pPr>
        <w:pStyle w:val="Heading3"/>
      </w:pPr>
      <w:bookmarkStart w:id="3155" w:name="section_2e9f2f68de8a476981ecc433df93c50c"/>
      <w:bookmarkStart w:id="3156" w:name="_Toc181684603"/>
      <w:r>
        <w:t>Part 1 Section 21.2.2.219, userInterface (User Interface)</w:t>
      </w:r>
      <w:bookmarkEnd w:id="3155"/>
      <w:bookmarkEnd w:id="3156"/>
      <w:r>
        <w:fldChar w:fldCharType="begin"/>
      </w:r>
      <w:r>
        <w:instrText xml:space="preserve"> XE "userInterface (User Interface)" </w:instrText>
      </w:r>
      <w:r>
        <w:fldChar w:fldCharType="end"/>
      </w:r>
    </w:p>
    <w:p w:rsidR="000A156F" w:rsidRDefault="00A9721F">
      <w:pPr>
        <w:pStyle w:val="Definition-Field"/>
      </w:pPr>
      <w:r>
        <w:t xml:space="preserve">a.   </w:t>
      </w:r>
      <w:r>
        <w:rPr>
          <w:i/>
        </w:rPr>
        <w:t xml:space="preserve">The standard states </w:t>
      </w:r>
      <w:r>
        <w:rPr>
          <w:i/>
        </w:rPr>
        <w:t>that when this element is true, protection applies to the user interface only.</w:t>
      </w:r>
    </w:p>
    <w:p w:rsidR="000A156F" w:rsidRDefault="00A9721F">
      <w:pPr>
        <w:pStyle w:val="Definition-Field2"/>
      </w:pPr>
      <w:r>
        <w:t>Office always applies protection to the user interface when this element is present, regardless of the value the val attribute.</w:t>
      </w:r>
    </w:p>
    <w:p w:rsidR="000A156F" w:rsidRDefault="00A9721F">
      <w:pPr>
        <w:pStyle w:val="Definition-Field"/>
      </w:pPr>
      <w:r>
        <w:t xml:space="preserve">b.   </w:t>
      </w:r>
      <w:r>
        <w:rPr>
          <w:i/>
        </w:rPr>
        <w:t xml:space="preserve">The standard states that this element </w:t>
      </w:r>
      <w:r>
        <w:rPr>
          <w:i/>
        </w:rPr>
        <w:t>specifies that the protection applies to the user interface only, and not to changes made through the object model.</w:t>
      </w:r>
    </w:p>
    <w:p w:rsidR="000A156F" w:rsidRDefault="00A9721F">
      <w:pPr>
        <w:pStyle w:val="Definition-Field2"/>
      </w:pPr>
      <w:r>
        <w:t>Office does not provide a way to set this property or save a file with this element.  On load this element is treated as specifying standard</w:t>
      </w:r>
      <w:r>
        <w:t xml:space="preserve"> protection.</w:t>
      </w:r>
    </w:p>
    <w:p w:rsidR="000A156F" w:rsidRDefault="00A9721F">
      <w:pPr>
        <w:pStyle w:val="Heading3"/>
      </w:pPr>
      <w:bookmarkStart w:id="3157" w:name="section_f1fef0f3755d403ba81f9730ffb5681c"/>
      <w:bookmarkStart w:id="3158" w:name="_Toc181684604"/>
      <w:r>
        <w:t>Part 1 Section 21.2.2.222, v (Numeric Value)</w:t>
      </w:r>
      <w:bookmarkEnd w:id="3157"/>
      <w:bookmarkEnd w:id="3158"/>
      <w:r>
        <w:fldChar w:fldCharType="begin"/>
      </w:r>
      <w:r>
        <w:instrText xml:space="preserve"> XE "v (Numeric Value)" </w:instrText>
      </w:r>
      <w:r>
        <w:fldChar w:fldCharType="end"/>
      </w:r>
    </w:p>
    <w:p w:rsidR="000A156F" w:rsidRDefault="00A9721F">
      <w:pPr>
        <w:pStyle w:val="Definition-Field"/>
      </w:pPr>
      <w:r>
        <w:t xml:space="preserve">a.   </w:t>
      </w:r>
      <w:r>
        <w:rPr>
          <w:i/>
        </w:rPr>
        <w:t>The standard states that the values of the val attribute are defined by the ST_Xstring simple type.</w:t>
      </w:r>
    </w:p>
    <w:p w:rsidR="000A156F" w:rsidRDefault="00A9721F">
      <w:pPr>
        <w:pStyle w:val="Definition-Field2"/>
      </w:pPr>
      <w:r>
        <w:t>Office restricts the string values of this attribute to be a double</w:t>
      </w:r>
      <w:r>
        <w:t>, an integer, or the value #N/A.</w:t>
      </w:r>
    </w:p>
    <w:p w:rsidR="000A156F" w:rsidRDefault="00A9721F">
      <w:pPr>
        <w:pStyle w:val="Heading3"/>
      </w:pPr>
      <w:bookmarkStart w:id="3159" w:name="section_4536b8c015fd4156a3e1b4a93b280d6f"/>
      <w:bookmarkStart w:id="3160" w:name="_Toc181684605"/>
      <w:r>
        <w:t>Part 1 Section 21.2.2.225, val (Error Bar Value)</w:t>
      </w:r>
      <w:bookmarkEnd w:id="3159"/>
      <w:bookmarkEnd w:id="3160"/>
      <w:r>
        <w:fldChar w:fldCharType="begin"/>
      </w:r>
      <w:r>
        <w:instrText xml:space="preserve"> XE "val (Error Bar Value)"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A156F" w:rsidRDefault="00A9721F">
      <w:pPr>
        <w:pStyle w:val="Definition-Field"/>
      </w:pPr>
      <w:r>
        <w:t xml:space="preserve">a.   </w:t>
      </w:r>
      <w:r>
        <w:rPr>
          <w:i/>
        </w:rPr>
        <w:t>The standard does not state any excepti</w:t>
      </w:r>
      <w:r>
        <w:rPr>
          <w:i/>
        </w:rPr>
        <w:t>ons that cause this element to be ignored.</w:t>
      </w:r>
    </w:p>
    <w:p w:rsidR="000A156F" w:rsidRDefault="00A9721F">
      <w:pPr>
        <w:pStyle w:val="Definition-Field2"/>
      </w:pPr>
      <w:r>
        <w:t>Office ignores this element if the val attribute of sibling element errBarType is equal to stdErr.</w:t>
      </w:r>
    </w:p>
    <w:p w:rsidR="000A156F" w:rsidRDefault="00A9721F">
      <w:pPr>
        <w:pStyle w:val="Heading3"/>
      </w:pPr>
      <w:bookmarkStart w:id="3161" w:name="section_a00fdd024b9f424a9f7e6bc5239c298e"/>
      <w:bookmarkStart w:id="3162" w:name="_Toc181684606"/>
      <w:r>
        <w:t>Part 1 Section 21.2.2.226, valAx (Value Axis)</w:t>
      </w:r>
      <w:bookmarkEnd w:id="3161"/>
      <w:bookmarkEnd w:id="3162"/>
      <w:r>
        <w:fldChar w:fldCharType="begin"/>
      </w:r>
      <w:r>
        <w:instrText xml:space="preserve"> XE "valAx (Value Axis)" </w:instrText>
      </w:r>
      <w:r>
        <w:fldChar w:fldCharType="end"/>
      </w:r>
    </w:p>
    <w:p w:rsidR="000A156F" w:rsidRDefault="00A9721F">
      <w:pPr>
        <w:pStyle w:val="Definition-Field"/>
      </w:pPr>
      <w:r>
        <w:t xml:space="preserve">a.   </w:t>
      </w:r>
      <w:r>
        <w:rPr>
          <w:i/>
        </w:rPr>
        <w:t>The standard does place any restrict</w:t>
      </w:r>
      <w:r>
        <w:rPr>
          <w:i/>
        </w:rPr>
        <w:t>ions on the val attribute of the axId child element.</w:t>
      </w:r>
    </w:p>
    <w:p w:rsidR="000A156F" w:rsidRDefault="00A9721F">
      <w:pPr>
        <w:pStyle w:val="Definition-Field2"/>
      </w:pPr>
      <w:r>
        <w:lastRenderedPageBreak/>
        <w:t>Office requires that the val attribute of the axId child element match the val attribute of an axId element in the parent chart.</w:t>
      </w:r>
    </w:p>
    <w:p w:rsidR="000A156F" w:rsidRDefault="00A9721F">
      <w:pPr>
        <w:pStyle w:val="Definition-Field"/>
      </w:pPr>
      <w:r>
        <w:t xml:space="preserve">b.   </w:t>
      </w:r>
      <w:r>
        <w:rPr>
          <w:i/>
        </w:rPr>
        <w:t xml:space="preserve">The standard does place any restrictions on the val attribute of the </w:t>
      </w:r>
      <w:r>
        <w:rPr>
          <w:i/>
        </w:rPr>
        <w:t>crossAx child element.</w:t>
      </w:r>
    </w:p>
    <w:p w:rsidR="000A156F" w:rsidRDefault="00A9721F">
      <w:pPr>
        <w:pStyle w:val="Definition-Field2"/>
      </w:pPr>
      <w:r>
        <w:t>Office requires that the val attribute of the crossAx child element matches the val attribute of an axId element in the parent chart.</w:t>
      </w:r>
    </w:p>
    <w:p w:rsidR="000A156F" w:rsidRDefault="00A9721F">
      <w:pPr>
        <w:pStyle w:val="Heading3"/>
      </w:pPr>
      <w:bookmarkStart w:id="3163" w:name="section_c929a5beb7e4401ba9b5699079e2705c"/>
      <w:bookmarkStart w:id="3164" w:name="_Toc181684607"/>
      <w:r>
        <w:t>Part 1 Section 21.2.2.227, varyColors (Vary Colors by Point)</w:t>
      </w:r>
      <w:bookmarkEnd w:id="3163"/>
      <w:bookmarkEnd w:id="3164"/>
      <w:r>
        <w:fldChar w:fldCharType="begin"/>
      </w:r>
      <w:r>
        <w:instrText xml:space="preserve"> XE "varyColors (Vary Colors by Point)"</w:instrText>
      </w:r>
      <w:r>
        <w:instrText xml:space="preserve"> </w:instrText>
      </w:r>
      <w:r>
        <w:fldChar w:fldCharType="end"/>
      </w:r>
    </w:p>
    <w:p w:rsidR="000A156F" w:rsidRDefault="00A9721F">
      <w:pPr>
        <w:pStyle w:val="Definition-Field"/>
      </w:pPr>
      <w:r>
        <w:t xml:space="preserve">a.   </w:t>
      </w:r>
      <w:r>
        <w:rPr>
          <w:i/>
        </w:rPr>
        <w:t>The standard states that each point shall have a different color.</w:t>
      </w:r>
    </w:p>
    <w:p w:rsidR="000A156F" w:rsidRDefault="00A9721F">
      <w:pPr>
        <w:pStyle w:val="Definition-Field2"/>
      </w:pPr>
      <w:r>
        <w:t>In Office, this element also specifies that marker types shall vary by point.</w:t>
      </w:r>
    </w:p>
    <w:p w:rsidR="000A156F" w:rsidRDefault="00A9721F">
      <w:pPr>
        <w:pStyle w:val="Definition-Field"/>
      </w:pPr>
      <w:r>
        <w:t xml:space="preserve">b.   </w:t>
      </w:r>
      <w:r>
        <w:rPr>
          <w:i/>
        </w:rPr>
        <w:t>The standard states that each data marker in the series shall have a different color.</w:t>
      </w:r>
    </w:p>
    <w:p w:rsidR="000A156F" w:rsidRDefault="00A9721F">
      <w:pPr>
        <w:pStyle w:val="Definition-Field2"/>
      </w:pPr>
      <w:r>
        <w:t>In Office, t</w:t>
      </w:r>
      <w:r>
        <w:t>his element specifies that each data point, marker, and slice in the series shall vary by color.</w:t>
      </w:r>
    </w:p>
    <w:p w:rsidR="000A156F" w:rsidRDefault="00A9721F">
      <w:pPr>
        <w:pStyle w:val="Definition-Field"/>
      </w:pPr>
      <w:r>
        <w:t xml:space="preserve">c.   </w:t>
      </w:r>
      <w:r>
        <w:rPr>
          <w:i/>
        </w:rPr>
        <w:t>The standard states that parent elements include area3DChart, areaChart, stockChart, and radarChart.</w:t>
      </w:r>
    </w:p>
    <w:p w:rsidR="000A156F" w:rsidRDefault="00A9721F">
      <w:pPr>
        <w:pStyle w:val="Definition-Field2"/>
      </w:pPr>
      <w:r>
        <w:t xml:space="preserve">Office ignores this element and does not vary colors </w:t>
      </w:r>
      <w:r>
        <w:t>by point when the parent is area3DChart, areaChart, or stockChart or when the parent is radarChart with the val attribute of sibling element radarStyle set to filled.</w:t>
      </w:r>
    </w:p>
    <w:p w:rsidR="000A156F" w:rsidRDefault="00A9721F">
      <w:pPr>
        <w:pStyle w:val="Definition-Field"/>
      </w:pPr>
      <w:r>
        <w:t xml:space="preserve">d.   </w:t>
      </w:r>
      <w:r>
        <w:rPr>
          <w:i/>
        </w:rPr>
        <w:t>The standard does not state any exceptions as to when the vary colors by point is ap</w:t>
      </w:r>
      <w:r>
        <w:rPr>
          <w:i/>
        </w:rPr>
        <w:t>plied.</w:t>
      </w:r>
    </w:p>
    <w:p w:rsidR="000A156F" w:rsidRDefault="00A9721F">
      <w:pPr>
        <w:pStyle w:val="Definition-Field2"/>
      </w:pPr>
      <w:r>
        <w:t>Office ignores this element and does not vary colors by point when multiple series are specified on the chart.</w:t>
      </w:r>
    </w:p>
    <w:p w:rsidR="000A156F" w:rsidRDefault="00A9721F">
      <w:pPr>
        <w:pStyle w:val="Heading3"/>
      </w:pPr>
      <w:bookmarkStart w:id="3165" w:name="section_4e6a14839d2e45e3bb39dfb21f5e7c92"/>
      <w:bookmarkStart w:id="3166" w:name="_Toc181684608"/>
      <w:r>
        <w:t>Part 1 Section 21.2.2.228, view3D (View In 3D)</w:t>
      </w:r>
      <w:bookmarkEnd w:id="3165"/>
      <w:bookmarkEnd w:id="3166"/>
      <w:r>
        <w:fldChar w:fldCharType="begin"/>
      </w:r>
      <w:r>
        <w:instrText xml:space="preserve"> XE "view3D (View In 3D)" </w:instrText>
      </w:r>
      <w:r>
        <w:fldChar w:fldCharType="end"/>
      </w:r>
    </w:p>
    <w:p w:rsidR="000A156F" w:rsidRDefault="00A9721F">
      <w:pPr>
        <w:pStyle w:val="Definition-Field"/>
      </w:pPr>
      <w:r>
        <w:t xml:space="preserve">a.   </w:t>
      </w:r>
      <w:r>
        <w:rPr>
          <w:i/>
        </w:rPr>
        <w:t>The standard states view3D is a child of any chart element</w:t>
      </w:r>
      <w:r>
        <w:rPr>
          <w:i/>
        </w:rPr>
        <w:t>.</w:t>
      </w:r>
    </w:p>
    <w:p w:rsidR="000A156F" w:rsidRDefault="00A9721F">
      <w:pPr>
        <w:pStyle w:val="Definition-Field2"/>
      </w:pPr>
      <w:r>
        <w:t>In Office, view3D applies when the descendants of the parent chart include area3DChart, bar3DChart, line3DChart, pie3DChart, surface3DChart, or surfaceChart.</w:t>
      </w:r>
    </w:p>
    <w:p w:rsidR="000A156F" w:rsidRDefault="00A9721F">
      <w:pPr>
        <w:pStyle w:val="Heading3"/>
      </w:pPr>
      <w:bookmarkStart w:id="3167" w:name="section_251f0661860c455ebc94a20c41df76c7"/>
      <w:bookmarkStart w:id="3168" w:name="_Toc181684609"/>
      <w:r>
        <w:t>Part 1 Section 21.2.2.229, w (Width)</w:t>
      </w:r>
      <w:bookmarkEnd w:id="3167"/>
      <w:bookmarkEnd w:id="3168"/>
      <w:r>
        <w:fldChar w:fldCharType="begin"/>
      </w:r>
      <w:r>
        <w:instrText xml:space="preserve"> XE "w (Width)"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w:t>
        </w:r>
        <w:r>
          <w:rPr>
            <w:rStyle w:val="Hyperlink"/>
          </w:rPr>
          <w:t>2.2.36(a)</w:t>
        </w:r>
      </w:hyperlink>
      <w:r>
        <w:rPr>
          <w:i/>
        </w:rPr>
        <w:t xml:space="preserve">; </w:t>
      </w:r>
      <w:hyperlink w:anchor="Section_002a323721c5425f83521a108d5bc7bb">
        <w:r>
          <w:rPr>
            <w:rStyle w:val="Hyperlink"/>
          </w:rPr>
          <w:t>splitPos, §21.2.2.195(c)</w:t>
        </w:r>
      </w:hyperlink>
      <w:r>
        <w:rPr>
          <w:i/>
        </w:rPr>
        <w:t>.</w:t>
      </w:r>
    </w:p>
    <w:p w:rsidR="000A156F" w:rsidRDefault="00A9721F">
      <w:pPr>
        <w:pStyle w:val="Definition-Field"/>
      </w:pPr>
      <w:r>
        <w:t xml:space="preserve">a.   </w:t>
      </w:r>
      <w:r>
        <w:rPr>
          <w:i/>
        </w:rPr>
        <w:t>The standard does not state any exceptions that cause this element to be ignored.</w:t>
      </w:r>
    </w:p>
    <w:p w:rsidR="000A156F" w:rsidRDefault="00A9721F">
      <w:pPr>
        <w:pStyle w:val="Definition-Field2"/>
      </w:pPr>
      <w:r>
        <w:t xml:space="preserve">Office ignores this element when a descendant of dispUnitsLbl, dLbl, </w:t>
      </w:r>
      <w:r>
        <w:t>title, or trendline and instead fits the element to the size of the text.</w:t>
      </w:r>
    </w:p>
    <w:p w:rsidR="000A156F" w:rsidRDefault="00A9721F">
      <w:pPr>
        <w:pStyle w:val="Definition-Field"/>
      </w:pPr>
      <w:r>
        <w:t xml:space="preserve">b.   </w:t>
      </w:r>
      <w:r>
        <w:rPr>
          <w:i/>
        </w:rPr>
        <w:t>The standard does not state any exceptions that cause this element to be ignored or interpreted differently.</w:t>
      </w:r>
    </w:p>
    <w:p w:rsidR="000A156F" w:rsidRDefault="00A9721F">
      <w:pPr>
        <w:pStyle w:val="Definition-Field2"/>
      </w:pPr>
      <w:r>
        <w:t>Office ignores this element and the parent element manualLayout if t</w:t>
      </w:r>
      <w:r>
        <w:t>he val attribute is greater than 1 or less than 0. Instead, the parent of manualLayout shall use its default size and position.</w:t>
      </w:r>
    </w:p>
    <w:p w:rsidR="000A156F" w:rsidRDefault="00A9721F">
      <w:pPr>
        <w:pStyle w:val="Heading3"/>
      </w:pPr>
      <w:bookmarkStart w:id="3169" w:name="section_67d2127f692243a29ffee4d67615136d"/>
      <w:bookmarkStart w:id="3170" w:name="_Toc181684610"/>
      <w:r>
        <w:t>Part 1 Section 21.2.2.231, wMode (Width Mode)</w:t>
      </w:r>
      <w:bookmarkEnd w:id="3169"/>
      <w:bookmarkEnd w:id="3170"/>
      <w:r>
        <w:fldChar w:fldCharType="begin"/>
      </w:r>
      <w:r>
        <w:instrText xml:space="preserve"> XE "wMode (Width Mode)" </w:instrText>
      </w:r>
      <w:r>
        <w:fldChar w:fldCharType="end"/>
      </w:r>
    </w:p>
    <w:p w:rsidR="000A156F" w:rsidRDefault="00A9721F">
      <w:pPr>
        <w:pStyle w:val="Definition-Field"/>
      </w:pPr>
      <w:r>
        <w:t xml:space="preserve">a.   </w:t>
      </w:r>
      <w:r>
        <w:rPr>
          <w:i/>
        </w:rPr>
        <w:t>The standard states the val attribute specifies th</w:t>
      </w:r>
      <w:r>
        <w:rPr>
          <w:i/>
        </w:rPr>
        <w:t>e layout mode for the width.</w:t>
      </w:r>
    </w:p>
    <w:p w:rsidR="000A156F" w:rsidRDefault="00A9721F">
      <w:pPr>
        <w:pStyle w:val="Definition-Field2"/>
      </w:pPr>
      <w:r>
        <w:t>In Office, the val attribute specifies the layout mode for the parent element.</w:t>
      </w:r>
    </w:p>
    <w:p w:rsidR="000A156F" w:rsidRDefault="00A9721F">
      <w:pPr>
        <w:pStyle w:val="Definition-Field"/>
      </w:pPr>
      <w:r>
        <w:lastRenderedPageBreak/>
        <w:t xml:space="preserve">b.   </w:t>
      </w:r>
      <w:r>
        <w:rPr>
          <w:i/>
        </w:rPr>
        <w:t>The standard states that edge is a valid value of the val attribute for wMode.</w:t>
      </w:r>
    </w:p>
    <w:p w:rsidR="000A156F" w:rsidRDefault="00A9721F">
      <w:pPr>
        <w:pStyle w:val="Definition-Field2"/>
      </w:pPr>
      <w:r>
        <w:t xml:space="preserve">Office only saves a val of factor.  Files opened with val equal </w:t>
      </w:r>
      <w:r>
        <w:t>to edge will be changed to factor on save and the val of sibling element w will be updated to reflect this mode change and correctly preserve the manual size.</w:t>
      </w:r>
    </w:p>
    <w:p w:rsidR="000A156F" w:rsidRDefault="00A9721F">
      <w:pPr>
        <w:pStyle w:val="Heading3"/>
      </w:pPr>
      <w:bookmarkStart w:id="3171" w:name="section_39d7c73319c2444287d997c0efce4cda"/>
      <w:bookmarkStart w:id="3172" w:name="_Toc181684611"/>
      <w:r>
        <w:t>Part 1 Section 21.2.2.232, x (Left)</w:t>
      </w:r>
      <w:bookmarkEnd w:id="3171"/>
      <w:bookmarkEnd w:id="3172"/>
      <w:r>
        <w:fldChar w:fldCharType="begin"/>
      </w:r>
      <w:r>
        <w:instrText xml:space="preserve"> XE "x (Left)" </w:instrText>
      </w:r>
      <w:r>
        <w:fldChar w:fldCharType="end"/>
      </w:r>
    </w:p>
    <w:p w:rsidR="000A156F" w:rsidRDefault="00A9721F">
      <w:pPr>
        <w:pStyle w:val="Definition-Field2"/>
      </w:pPr>
      <w:r>
        <w:rPr>
          <w:i/>
        </w:rPr>
        <w:t>For additional notes that apply to this port</w:t>
      </w:r>
      <w:r>
        <w:rPr>
          <w:i/>
        </w:rPr>
        <w:t xml:space="preserve">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A156F" w:rsidRDefault="00A9721F">
      <w:pPr>
        <w:pStyle w:val="Definition-Field"/>
      </w:pPr>
      <w:r>
        <w:t xml:space="preserve">a.   </w:t>
      </w:r>
      <w:r>
        <w:rPr>
          <w:i/>
        </w:rPr>
        <w:t>The standard does not state any exceptions that cause this element to be ignored or interpreted differently.</w:t>
      </w:r>
    </w:p>
    <w:p w:rsidR="000A156F" w:rsidRDefault="00A9721F">
      <w:pPr>
        <w:pStyle w:val="Definition-Field2"/>
      </w:pPr>
      <w:r>
        <w:t>Office ignores this element and parent manualLayout if val is greater than 1, less tha</w:t>
      </w:r>
      <w:r>
        <w:t>n 0 when the val of sibling xMode equals edge, or less than -1 when the val of sibling xMode equals factor, Instead, default size and position are used.</w:t>
      </w:r>
    </w:p>
    <w:p w:rsidR="000A156F" w:rsidRDefault="00A9721F">
      <w:pPr>
        <w:pStyle w:val="Definition-Field"/>
      </w:pPr>
      <w:r>
        <w:t xml:space="preserve">b.   </w:t>
      </w:r>
      <w:r>
        <w:rPr>
          <w:i/>
        </w:rPr>
        <w:t>The standard does not state any exceptions that cause this element to be ignored or interpreted di</w:t>
      </w:r>
      <w:r>
        <w:rPr>
          <w:i/>
        </w:rPr>
        <w:t>fferently.</w:t>
      </w:r>
    </w:p>
    <w:p w:rsidR="000A156F" w:rsidRDefault="00A9721F">
      <w:pPr>
        <w:pStyle w:val="Definition-Field2"/>
      </w:pPr>
      <w:r>
        <w:t>Office places the element inside the chart at the point closest to the location specified while still retaining the specified width if val is in the allowed range but the specified width and location would place the element outside the chart.</w:t>
      </w:r>
    </w:p>
    <w:p w:rsidR="000A156F" w:rsidRDefault="00A9721F">
      <w:pPr>
        <w:pStyle w:val="Heading3"/>
      </w:pPr>
      <w:bookmarkStart w:id="3173" w:name="section_033c001fa29a4817a32a75394f971109"/>
      <w:bookmarkStart w:id="3174" w:name="_Toc181684612"/>
      <w:r>
        <w:t>Pa</w:t>
      </w:r>
      <w:r>
        <w:t>rt 1 Section 21.2.2.233, xMode (Left Mode)</w:t>
      </w:r>
      <w:bookmarkEnd w:id="3173"/>
      <w:bookmarkEnd w:id="3174"/>
      <w:r>
        <w:fldChar w:fldCharType="begin"/>
      </w:r>
      <w:r>
        <w:instrText xml:space="preserve"> XE "xMode (Left Mode)"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0A156F" w:rsidRDefault="00A9721F">
      <w:pPr>
        <w:pStyle w:val="Definition-Field"/>
      </w:pPr>
      <w:r>
        <w:t xml:space="preserve">a.   </w:t>
      </w:r>
      <w:r>
        <w:rPr>
          <w:i/>
        </w:rPr>
        <w:t>The st</w:t>
      </w:r>
      <w:r>
        <w:rPr>
          <w:i/>
        </w:rPr>
        <w:t>andard states that factor is a valid value of the val attribute for xMode.</w:t>
      </w:r>
    </w:p>
    <w:p w:rsidR="000A156F" w:rsidRDefault="00A9721F">
      <w:pPr>
        <w:pStyle w:val="Definition-Field2"/>
      </w:pPr>
      <w:r>
        <w:t>Office only saves a val of edge, changing files with factor on save and updating x to reflect this change and preserve the position. This may result in the manualLayout being ignore</w:t>
      </w:r>
      <w:r>
        <w:t>d on subsequent loads if val of x is &gt;1 or &lt;0 after conversion.</w:t>
      </w:r>
    </w:p>
    <w:p w:rsidR="000A156F" w:rsidRDefault="00A9721F">
      <w:pPr>
        <w:pStyle w:val="Heading3"/>
      </w:pPr>
      <w:bookmarkStart w:id="3175" w:name="section_8c46e53bc5254bb6892759d133a60a06"/>
      <w:bookmarkStart w:id="3176" w:name="_Toc181684613"/>
      <w:r>
        <w:t>Part 1 Section 21.2.2.235, y (Top)</w:t>
      </w:r>
      <w:bookmarkEnd w:id="3175"/>
      <w:bookmarkEnd w:id="3176"/>
      <w:r>
        <w:fldChar w:fldCharType="begin"/>
      </w:r>
      <w:r>
        <w:instrText xml:space="preserve"> XE "y (Top)"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0A156F" w:rsidRDefault="00A9721F">
      <w:pPr>
        <w:pStyle w:val="Definition-Field"/>
      </w:pPr>
      <w:r>
        <w:t xml:space="preserve">a.   </w:t>
      </w:r>
      <w:r>
        <w:rPr>
          <w:i/>
        </w:rPr>
        <w:t xml:space="preserve">The standard does not state any </w:t>
      </w:r>
      <w:r>
        <w:rPr>
          <w:i/>
        </w:rPr>
        <w:t>exceptions that cause this element to be ignored or interpreted differently.</w:t>
      </w:r>
    </w:p>
    <w:p w:rsidR="000A156F" w:rsidRDefault="00A9721F">
      <w:pPr>
        <w:pStyle w:val="Definition-Field2"/>
      </w:pPr>
      <w:r>
        <w:t>Office places the element inside the chart at the point closest to the location specified while still retaining the specified height if val is in the allowed range but the specifi</w:t>
      </w:r>
      <w:r>
        <w:t>ed height and location would place the element outside the chart.</w:t>
      </w:r>
    </w:p>
    <w:p w:rsidR="000A156F" w:rsidRDefault="00A9721F">
      <w:pPr>
        <w:pStyle w:val="Definition-Field"/>
      </w:pPr>
      <w:r>
        <w:t xml:space="preserve">b.   </w:t>
      </w:r>
      <w:r>
        <w:rPr>
          <w:i/>
        </w:rPr>
        <w:t>The standard does not state any exceptions that cause this element to be ignored or interpreted differently.</w:t>
      </w:r>
    </w:p>
    <w:p w:rsidR="000A156F" w:rsidRDefault="00A9721F">
      <w:pPr>
        <w:pStyle w:val="Definition-Field2"/>
      </w:pPr>
      <w:r>
        <w:t>Office ignores this element and parent manualLayout if val is greater than 1</w:t>
      </w:r>
      <w:r>
        <w:t>, less than 0 when the val of sibling yMode equals edge, or less than -1 when the val of sibling yMode equals factor, Instead, default size and position are used.</w:t>
      </w:r>
    </w:p>
    <w:p w:rsidR="000A156F" w:rsidRDefault="00A9721F">
      <w:pPr>
        <w:pStyle w:val="Heading3"/>
      </w:pPr>
      <w:bookmarkStart w:id="3177" w:name="section_3e552fb6fb1740bdaa1c6628425e5b8a"/>
      <w:bookmarkStart w:id="3178" w:name="_Toc181684614"/>
      <w:r>
        <w:lastRenderedPageBreak/>
        <w:t>Part 1 Section 21.2.2.236, yMode (Top Mode)</w:t>
      </w:r>
      <w:bookmarkEnd w:id="3177"/>
      <w:bookmarkEnd w:id="3178"/>
      <w:r>
        <w:fldChar w:fldCharType="begin"/>
      </w:r>
      <w:r>
        <w:instrText xml:space="preserve"> XE "yMode (Top Mode)" </w:instrText>
      </w:r>
      <w:r>
        <w:fldChar w:fldCharType="end"/>
      </w:r>
    </w:p>
    <w:p w:rsidR="000A156F" w:rsidRDefault="00A9721F">
      <w:pPr>
        <w:pStyle w:val="Definition-Field2"/>
      </w:pPr>
      <w:r>
        <w:rPr>
          <w:i/>
        </w:rPr>
        <w:t>For additional notes tha</w:t>
      </w:r>
      <w:r>
        <w:rPr>
          <w:i/>
        </w:rPr>
        <w:t xml:space="preserve">t apply to this portion of the standard, please see the notes for </w:t>
      </w:r>
      <w:hyperlink w:anchor="Section_67d2127f692243a29ffee4d67615136d">
        <w:r>
          <w:rPr>
            <w:rStyle w:val="Hyperlink"/>
          </w:rPr>
          <w:t>wMode, §21.2.2.231(a)</w:t>
        </w:r>
      </w:hyperlink>
      <w:r>
        <w:rPr>
          <w:i/>
        </w:rPr>
        <w:t>.</w:t>
      </w:r>
    </w:p>
    <w:p w:rsidR="000A156F" w:rsidRDefault="00A9721F">
      <w:pPr>
        <w:pStyle w:val="Definition-Field"/>
      </w:pPr>
      <w:r>
        <w:t xml:space="preserve">a.   </w:t>
      </w:r>
      <w:r>
        <w:rPr>
          <w:i/>
        </w:rPr>
        <w:t>The standard states that factor is a valid value of the val attribute for yMode.</w:t>
      </w:r>
    </w:p>
    <w:p w:rsidR="000A156F" w:rsidRDefault="00A9721F">
      <w:pPr>
        <w:pStyle w:val="Definition-Field2"/>
      </w:pPr>
      <w:r>
        <w:t xml:space="preserve">Office only saves </w:t>
      </w:r>
      <w:r>
        <w:t>a val of edge, changing files with factor on save and updating y to reflect this change and preserve the position. This may result in the manualLayout being ignored on subsequent loads if val of y is &gt; 1 or &lt; 0 after conversion.</w:t>
      </w:r>
    </w:p>
    <w:p w:rsidR="000A156F" w:rsidRDefault="00A9721F">
      <w:pPr>
        <w:pStyle w:val="Heading3"/>
      </w:pPr>
      <w:bookmarkStart w:id="3179" w:name="section_b7da8e6662134305a1400604cf2886aa"/>
      <w:bookmarkStart w:id="3180" w:name="_Toc181684615"/>
      <w:r>
        <w:t>Part 1 Section 21.2.3.1, ST_AxisUnit (Axis Unit)</w:t>
      </w:r>
      <w:bookmarkEnd w:id="3179"/>
      <w:bookmarkEnd w:id="3180"/>
      <w:r>
        <w:fldChar w:fldCharType="begin"/>
      </w:r>
      <w:r>
        <w:instrText xml:space="preserve"> XE "ST_AxisUnit (Axis Unit)" </w:instrText>
      </w:r>
      <w:r>
        <w:fldChar w:fldCharType="end"/>
      </w:r>
    </w:p>
    <w:p w:rsidR="000A156F" w:rsidRDefault="00A9721F">
      <w:pPr>
        <w:pStyle w:val="Definition-Field"/>
      </w:pPr>
      <w:r>
        <w:t xml:space="preserve">a.   </w:t>
      </w:r>
      <w:r>
        <w:rPr>
          <w:i/>
        </w:rPr>
        <w:t>The standard states that the contents of the ST_AxisUnit simple type are a restriction on the XML Schema double datatype, with a minimum value of greater than 0.</w:t>
      </w:r>
    </w:p>
    <w:p w:rsidR="000A156F" w:rsidRDefault="00A9721F">
      <w:pPr>
        <w:pStyle w:val="Definition-Field2"/>
      </w:pPr>
      <w:r>
        <w:t>Office d</w:t>
      </w:r>
      <w:r>
        <w:t>oes not allow the values of INF, -INF, or NaN.</w:t>
      </w:r>
    </w:p>
    <w:p w:rsidR="000A156F" w:rsidRDefault="00A9721F">
      <w:pPr>
        <w:pStyle w:val="Heading3"/>
      </w:pPr>
      <w:bookmarkStart w:id="3181" w:name="section_2ebc850c2ebe4101aecc74500c1c8c1f"/>
      <w:bookmarkStart w:id="3182" w:name="_Toc181684616"/>
      <w:r>
        <w:t>Part 1 Section 21.2.3.3, ST_BarDir (Bar Direction)</w:t>
      </w:r>
      <w:bookmarkEnd w:id="3181"/>
      <w:bookmarkEnd w:id="3182"/>
      <w:r>
        <w:fldChar w:fldCharType="begin"/>
      </w:r>
      <w:r>
        <w:instrText xml:space="preserve"> XE "ST_BarDir (Bar Direction)" </w:instrText>
      </w:r>
      <w:r>
        <w:fldChar w:fldCharType="end"/>
      </w:r>
    </w:p>
    <w:p w:rsidR="000A156F" w:rsidRDefault="00A9721F">
      <w:pPr>
        <w:pStyle w:val="Definition-Field"/>
      </w:pPr>
      <w:r>
        <w:t xml:space="preserve">a.   </w:t>
      </w:r>
      <w:r>
        <w:rPr>
          <w:i/>
        </w:rPr>
        <w:t>The standard states that each enumeration specifies that if the chart is a bar or column chart, the data markers are ho</w:t>
      </w:r>
      <w:r>
        <w:rPr>
          <w:i/>
        </w:rPr>
        <w:t>rizontal or vertical rectangles, respectively.</w:t>
      </w:r>
    </w:p>
    <w:p w:rsidR="000A156F" w:rsidRDefault="00A9721F">
      <w:pPr>
        <w:pStyle w:val="Definition-Field2"/>
      </w:pPr>
      <w:r>
        <w:t>Office interprets each enumeration to specify that if the chart is a bar or column chart, the data markers are horizontally or vertically oriented.  For 2D charts these are rectangles.  For 3D charts, the shap</w:t>
      </w:r>
      <w:r>
        <w:t>e is specified by the shape element.</w:t>
      </w:r>
    </w:p>
    <w:p w:rsidR="000A156F" w:rsidRDefault="00A9721F">
      <w:pPr>
        <w:pStyle w:val="Heading3"/>
      </w:pPr>
      <w:bookmarkStart w:id="3183" w:name="section_294bc3bcb346432694c394b19a9a985c"/>
      <w:bookmarkStart w:id="3184" w:name="_Toc181684617"/>
      <w:r>
        <w:t>Part 1 Section 21.2.3.4, ST_BarGrouping (Bar Grouping)</w:t>
      </w:r>
      <w:bookmarkEnd w:id="3183"/>
      <w:bookmarkEnd w:id="3184"/>
      <w:r>
        <w:fldChar w:fldCharType="begin"/>
      </w:r>
      <w:r>
        <w:instrText xml:space="preserve"> XE "ST_BarGrouping (Bar Grouping)" </w:instrText>
      </w:r>
      <w:r>
        <w:fldChar w:fldCharType="end"/>
      </w:r>
    </w:p>
    <w:p w:rsidR="000A156F" w:rsidRDefault="00A9721F">
      <w:pPr>
        <w:pStyle w:val="Definition-Field"/>
      </w:pPr>
      <w:r>
        <w:t xml:space="preserve">a.   </w:t>
      </w:r>
      <w:r>
        <w:rPr>
          <w:i/>
        </w:rPr>
        <w:t>The standard states that the enumeration value standard specifies that the chart series are drawn next to each other on t</w:t>
      </w:r>
      <w:r>
        <w:rPr>
          <w:i/>
        </w:rPr>
        <w:t>he depth axis.</w:t>
      </w:r>
    </w:p>
    <w:p w:rsidR="000A156F" w:rsidRDefault="00A9721F">
      <w:pPr>
        <w:pStyle w:val="Definition-Field2"/>
      </w:pPr>
      <w:r>
        <w:t>In Office, the data markers for each category are drawn in clusters containing one marker from each series. The markers in each cluster are lined up on the depth axis in a 3D chart. On 2d charts, standard grouping behaves like clustered grou</w:t>
      </w:r>
      <w:r>
        <w:t>ping.</w:t>
      </w:r>
    </w:p>
    <w:p w:rsidR="000A156F" w:rsidRDefault="00A9721F">
      <w:pPr>
        <w:pStyle w:val="Heading3"/>
      </w:pPr>
      <w:bookmarkStart w:id="3185" w:name="section_6f412fc993b949d684467b5e4b5e6f4d"/>
      <w:bookmarkStart w:id="3186" w:name="_Toc181684618"/>
      <w:r>
        <w:t>Part 1 Section 21.2.3.6, ST_BuiltInUnit (Built-In Unit)</w:t>
      </w:r>
      <w:bookmarkEnd w:id="3185"/>
      <w:bookmarkEnd w:id="3186"/>
      <w:r>
        <w:fldChar w:fldCharType="begin"/>
      </w:r>
      <w:r>
        <w:instrText xml:space="preserve"> XE "ST_BuiltInUnit (Built-In Unit)" </w:instrText>
      </w:r>
      <w:r>
        <w:fldChar w:fldCharType="end"/>
      </w:r>
    </w:p>
    <w:p w:rsidR="000A156F" w:rsidRDefault="00A9721F">
      <w:pPr>
        <w:pStyle w:val="Definition-Field"/>
      </w:pPr>
      <w:r>
        <w:t xml:space="preserve">a.   </w:t>
      </w:r>
      <w:r>
        <w:rPr>
          <w:i/>
        </w:rPr>
        <w:t>The standard states that the trillions enumeration value specifies that the values on the chart shall be divided by 1,000,000,000.</w:t>
      </w:r>
    </w:p>
    <w:p w:rsidR="000A156F" w:rsidRDefault="00A9721F">
      <w:pPr>
        <w:pStyle w:val="Definition-Field2"/>
      </w:pPr>
      <w:r>
        <w:t>In Office, the tril</w:t>
      </w:r>
      <w:r>
        <w:t>lions enumeration value specifies that the values on the chart shall be divided by 1,000,000,000,000.</w:t>
      </w:r>
    </w:p>
    <w:p w:rsidR="000A156F" w:rsidRDefault="00A9721F">
      <w:pPr>
        <w:pStyle w:val="Heading3"/>
      </w:pPr>
      <w:bookmarkStart w:id="3187" w:name="section_e79c50d2400c490f9b7bf65492782142"/>
      <w:bookmarkStart w:id="3188" w:name="_Toc181684619"/>
      <w:r>
        <w:t>Part 1 Section 21.2.3.8, ST_Crosses (Crosses)</w:t>
      </w:r>
      <w:bookmarkEnd w:id="3187"/>
      <w:bookmarkEnd w:id="3188"/>
      <w:r>
        <w:fldChar w:fldCharType="begin"/>
      </w:r>
      <w:r>
        <w:instrText xml:space="preserve"> XE "ST_Crosses (Crosses)" </w:instrText>
      </w:r>
      <w:r>
        <w:fldChar w:fldCharType="end"/>
      </w:r>
    </w:p>
    <w:p w:rsidR="000A156F" w:rsidRDefault="00A9721F">
      <w:pPr>
        <w:pStyle w:val="Definition-Field"/>
      </w:pPr>
      <w:r>
        <w:t xml:space="preserve">a.   </w:t>
      </w:r>
      <w:r>
        <w:rPr>
          <w:i/>
        </w:rPr>
        <w:t>The standard states that the autoZero value specifies that the category ax</w:t>
      </w:r>
      <w:r>
        <w:rPr>
          <w:i/>
        </w:rPr>
        <w:t>is crosses at the zero point of the value axis (if possible), or the minimum value (if the minimum is greater than zero) or the maximum (if the maximum is less than zero).</w:t>
      </w:r>
    </w:p>
    <w:p w:rsidR="000A156F" w:rsidRDefault="00A9721F">
      <w:pPr>
        <w:pStyle w:val="Definition-Field2"/>
      </w:pPr>
      <w:r>
        <w:t>Office uses this value to specify that one axis crosses the other at the zero point,</w:t>
      </w:r>
      <w:r>
        <w:t xml:space="preserve"> if a zero point exists; at the minimum value, if the minimum is greater than 0 or the axis is not numerical; or at the maximum value, if the maximum is less than 0.</w:t>
      </w:r>
    </w:p>
    <w:p w:rsidR="000A156F" w:rsidRDefault="00A9721F">
      <w:pPr>
        <w:pStyle w:val="Heading3"/>
      </w:pPr>
      <w:bookmarkStart w:id="3189" w:name="section_ba45301ab7004913a05271e61c1b5023"/>
      <w:bookmarkStart w:id="3190" w:name="_Toc181684620"/>
      <w:r>
        <w:lastRenderedPageBreak/>
        <w:t>Part 1 Section 21.2.3.14, ST_ErrValType (Error Value Type)</w:t>
      </w:r>
      <w:bookmarkEnd w:id="3189"/>
      <w:bookmarkEnd w:id="3190"/>
      <w:r>
        <w:fldChar w:fldCharType="begin"/>
      </w:r>
      <w:r>
        <w:instrText xml:space="preserve"> XE "ST_ErrValType (Error Value </w:instrText>
      </w:r>
      <w:r>
        <w:instrText xml:space="preserve">Type)" </w:instrText>
      </w:r>
      <w:r>
        <w:fldChar w:fldCharType="end"/>
      </w:r>
    </w:p>
    <w:p w:rsidR="000A156F" w:rsidRDefault="00A9721F">
      <w:pPr>
        <w:pStyle w:val="Definition-Field"/>
      </w:pPr>
      <w:r>
        <w:t xml:space="preserve">a.   </w:t>
      </w:r>
      <w:r>
        <w:rPr>
          <w:i/>
        </w:rPr>
        <w:t>The standard states that the enumeration value stdDev specifies that the length of the error bars shall be Error Bar Value standard deviations of the data.</w:t>
      </w:r>
    </w:p>
    <w:p w:rsidR="000A156F" w:rsidRDefault="00A9721F">
      <w:pPr>
        <w:pStyle w:val="Definition-Field2"/>
      </w:pPr>
      <w:r>
        <w:t>In Office, the enumeration valuestdDev specifies that the length of the error bars sh</w:t>
      </w:r>
      <w:r>
        <w:t>all be the standard deviation for each data point and then multiplied by the val (Error Bar Value).</w:t>
      </w:r>
    </w:p>
    <w:p w:rsidR="000A156F" w:rsidRDefault="00A9721F">
      <w:pPr>
        <w:pStyle w:val="Heading3"/>
      </w:pPr>
      <w:bookmarkStart w:id="3191" w:name="section_9e882b63252440088fd885e34d6585c3"/>
      <w:bookmarkStart w:id="3192" w:name="_Toc181684621"/>
      <w:r>
        <w:t>Part 1 Section 21.2.3.17, ST_Grouping (Grouping)</w:t>
      </w:r>
      <w:bookmarkEnd w:id="3191"/>
      <w:bookmarkEnd w:id="3192"/>
      <w:r>
        <w:fldChar w:fldCharType="begin"/>
      </w:r>
      <w:r>
        <w:instrText xml:space="preserve"> XE "ST_Grouping (Grouping)" </w:instrText>
      </w:r>
      <w:r>
        <w:fldChar w:fldCharType="end"/>
      </w:r>
    </w:p>
    <w:p w:rsidR="000A156F" w:rsidRDefault="00A9721F">
      <w:pPr>
        <w:pStyle w:val="Definition-Field"/>
      </w:pPr>
      <w:r>
        <w:t xml:space="preserve">a.   </w:t>
      </w:r>
      <w:r>
        <w:rPr>
          <w:i/>
        </w:rPr>
        <w:t>The standard states that the ST_Grouping simple type specifies the poss</w:t>
      </w:r>
      <w:r>
        <w:rPr>
          <w:i/>
        </w:rPr>
        <w:t>ible groupings for a bar chart.</w:t>
      </w:r>
    </w:p>
    <w:p w:rsidR="000A156F" w:rsidRDefault="00A9721F">
      <w:pPr>
        <w:pStyle w:val="Definition-Field2"/>
      </w:pPr>
      <w:r>
        <w:t>Office uses this simple type to specify the possible methods for grouping the data series on a chart.</w:t>
      </w:r>
    </w:p>
    <w:p w:rsidR="000A156F" w:rsidRDefault="00A9721F">
      <w:pPr>
        <w:pStyle w:val="Heading3"/>
      </w:pPr>
      <w:bookmarkStart w:id="3193" w:name="section_56d2baaf961d4e81bc6f09d90ef42a68"/>
      <w:bookmarkStart w:id="3194" w:name="_Toc181684622"/>
      <w:r>
        <w:t>Part 1 Section 21.2.3.18, ST_HoleSize (Hole Size)</w:t>
      </w:r>
      <w:bookmarkEnd w:id="3193"/>
      <w:bookmarkEnd w:id="3194"/>
      <w:r>
        <w:fldChar w:fldCharType="begin"/>
      </w:r>
      <w:r>
        <w:instrText xml:space="preserve"> XE "ST_HoleSize (Hole Size)" </w:instrText>
      </w:r>
      <w:r>
        <w:fldChar w:fldCharType="end"/>
      </w:r>
    </w:p>
    <w:p w:rsidR="000A156F" w:rsidRDefault="00A9721F">
      <w:pPr>
        <w:pStyle w:val="Definition-Field"/>
      </w:pPr>
      <w:r>
        <w:t xml:space="preserve">a.   </w:t>
      </w:r>
      <w:r>
        <w:rPr>
          <w:i/>
        </w:rPr>
        <w:t xml:space="preserve">The standard states that the </w:t>
      </w:r>
      <w:r>
        <w:rPr>
          <w:i/>
        </w:rPr>
        <w:t>ST_HoleSize simple type has a minimum value of greater than or equal to 10.</w:t>
      </w:r>
    </w:p>
    <w:p w:rsidR="000A156F" w:rsidRDefault="00A9721F">
      <w:pPr>
        <w:pStyle w:val="Definition-Field2"/>
      </w:pPr>
      <w:r>
        <w:t>Office defines this simple type to have a minimum value of greater than or equal to 1.</w:t>
      </w:r>
    </w:p>
    <w:p w:rsidR="000A156F" w:rsidRDefault="00A9721F">
      <w:pPr>
        <w:pStyle w:val="Heading3"/>
      </w:pPr>
      <w:bookmarkStart w:id="3195" w:name="section_bb8565e7dfea453f868bae680ab8a823"/>
      <w:bookmarkStart w:id="3196" w:name="_Toc181684623"/>
      <w:r>
        <w:t>Part 1 Section 21.2.3.20, ST_LayoutMode (Layout Mode)</w:t>
      </w:r>
      <w:bookmarkEnd w:id="3195"/>
      <w:bookmarkEnd w:id="3196"/>
      <w:r>
        <w:fldChar w:fldCharType="begin"/>
      </w:r>
      <w:r>
        <w:instrText xml:space="preserve"> XE "ST_LayoutMode (Layout Mode)" </w:instrText>
      </w:r>
      <w:r>
        <w:fldChar w:fldCharType="end"/>
      </w:r>
    </w:p>
    <w:p w:rsidR="000A156F" w:rsidRDefault="00A9721F">
      <w:pPr>
        <w:pStyle w:val="Definition-Field"/>
      </w:pPr>
      <w:r>
        <w:t xml:space="preserve">a. </w:t>
      </w:r>
      <w:r>
        <w:t xml:space="preserve">  </w:t>
      </w:r>
      <w:r>
        <w:rPr>
          <w:i/>
        </w:rPr>
        <w:t>The standard defines edge as "Specifies that the Width or Height shall be interpreted as the Right or Bottom of the chart element".</w:t>
      </w:r>
    </w:p>
    <w:p w:rsidR="000A156F" w:rsidRDefault="00A9721F">
      <w:r>
        <w:t>Office additionally specifies the following behaviors for the edge attribute:</w:t>
      </w:r>
    </w:p>
    <w:p w:rsidR="000A156F" w:rsidRDefault="00A9721F">
      <w:r>
        <w:t xml:space="preserve">For </w:t>
      </w:r>
      <w:r>
        <w:rPr>
          <w:b/>
        </w:rPr>
        <w:t>hMode</w:t>
      </w:r>
      <w:r>
        <w:t>/</w:t>
      </w:r>
      <w:r>
        <w:rPr>
          <w:b/>
        </w:rPr>
        <w:t xml:space="preserve">wMode </w:t>
      </w:r>
      <w:r>
        <w:t xml:space="preserve">element, the </w:t>
      </w:r>
      <w:r>
        <w:rPr>
          <w:b/>
        </w:rPr>
        <w:t>edge</w:t>
      </w:r>
      <w:r>
        <w:t xml:space="preserve"> attribute </w:t>
      </w:r>
      <w:r>
        <w:t xml:space="preserve">specifies that the value of sibling element </w:t>
      </w:r>
      <w:r>
        <w:rPr>
          <w:b/>
        </w:rPr>
        <w:t xml:space="preserve">h </w:t>
      </w:r>
      <w:r>
        <w:t>("</w:t>
      </w:r>
      <w:hyperlink r:id="rId222">
        <w:r>
          <w:rPr>
            <w:rStyle w:val="Hyperlink"/>
          </w:rPr>
          <w:t>[ISO/IEC-29500-1]</w:t>
        </w:r>
      </w:hyperlink>
      <w:r>
        <w:t xml:space="preserve"> §21.2.2.78; h (Height)") /</w:t>
      </w:r>
      <w:r>
        <w:rPr>
          <w:b/>
        </w:rPr>
        <w:t xml:space="preserve">w </w:t>
      </w:r>
      <w:r>
        <w:t xml:space="preserve">("[ISO/IEC-29500-1] §21.2.2.229; w (Width)") is interpreted as the distance to the bottom/right </w:t>
      </w:r>
      <w:r>
        <w:t>edge of the chart element from the top/left edge of the chart as a percentage of the chart height/width.</w:t>
      </w:r>
    </w:p>
    <w:p w:rsidR="000A156F" w:rsidRDefault="00A9721F">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w:t>
      </w:r>
      <w:r>
        <w:t>[ISO/IEC-29500-1] §21.2.2.235; y (Top)") is interpreted as the distance to the left/top edge of the chart element from the left/top edge of the chart as a percentage of the chart width/height.</w:t>
      </w:r>
    </w:p>
    <w:p w:rsidR="000A156F" w:rsidRDefault="00A9721F">
      <w:pPr>
        <w:pStyle w:val="Definition-Field"/>
      </w:pPr>
      <w:r>
        <w:t xml:space="preserve">b.   </w:t>
      </w:r>
      <w:r>
        <w:rPr>
          <w:i/>
        </w:rPr>
        <w:t>The standard defines factor as "Specifies that the Width o</w:t>
      </w:r>
      <w:r>
        <w:rPr>
          <w:i/>
        </w:rPr>
        <w:t>r Height shall be interpreted as the Width or Height of the chart element".</w:t>
      </w:r>
    </w:p>
    <w:p w:rsidR="000A156F" w:rsidRDefault="00A9721F">
      <w:r>
        <w:t>Office additionally specifies the following behaviors for the factor attribute:</w:t>
      </w:r>
    </w:p>
    <w:p w:rsidR="000A156F" w:rsidRDefault="00A9721F">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w:t>
      </w:r>
      <w:r>
        <w:t>EC-29500-1] §21.2.2.78; h (Height)") /</w:t>
      </w:r>
      <w:r>
        <w:rPr>
          <w:b/>
        </w:rPr>
        <w:t xml:space="preserve">w </w:t>
      </w:r>
      <w:r>
        <w:t>("[ISO/IEC-29500-1] §21.2.2.229; w (Width)") is interpreted as the height/width of the chart element as a percentage of the chart height/width.</w:t>
      </w:r>
    </w:p>
    <w:p w:rsidR="000A156F" w:rsidRDefault="00A9721F">
      <w:r>
        <w:t xml:space="preserve">For </w:t>
      </w:r>
      <w:r>
        <w:rPr>
          <w:b/>
        </w:rPr>
        <w:t>xMode</w:t>
      </w:r>
      <w:r>
        <w:t>/</w:t>
      </w:r>
      <w:r>
        <w:rPr>
          <w:b/>
        </w:rPr>
        <w:t xml:space="preserve">yMode </w:t>
      </w:r>
      <w:r>
        <w:t xml:space="preserve">element, the </w:t>
      </w:r>
      <w:r>
        <w:rPr>
          <w:b/>
        </w:rPr>
        <w:t>factor</w:t>
      </w:r>
      <w:r>
        <w:t xml:space="preserve"> attribute specifies that the value o</w:t>
      </w:r>
      <w:r>
        <w:t xml:space="preserve">f sibling element </w:t>
      </w:r>
      <w:r>
        <w:rPr>
          <w:b/>
        </w:rPr>
        <w:t>x</w:t>
      </w:r>
      <w:r>
        <w:t xml:space="preserve"> ("[ISO/IEC-29500-1] §21.2.2.232; x (Left)") / </w:t>
      </w:r>
      <w:r>
        <w:rPr>
          <w:b/>
        </w:rPr>
        <w:t xml:space="preserve">y </w:t>
      </w:r>
      <w:r>
        <w:t>("[ISO/IEC-29500-1] §21.2.2.235; y (Top)") is interpreted as the distance to the left/top edge of the chart element from the left/top edge of default position of the chart element as a per</w:t>
      </w:r>
      <w:r>
        <w:t>centage of the chart width/height.</w:t>
      </w:r>
    </w:p>
    <w:p w:rsidR="000A156F" w:rsidRDefault="00A9721F">
      <w:pPr>
        <w:pStyle w:val="Heading3"/>
      </w:pPr>
      <w:bookmarkStart w:id="3197" w:name="section_54d012c4b9dc4e50b14e0b151096b96b"/>
      <w:bookmarkStart w:id="3198" w:name="_Toc181684624"/>
      <w:r>
        <w:t>Part 1 Section 21.2.3.27, ST_MarkerStyle (Marker Style)</w:t>
      </w:r>
      <w:bookmarkEnd w:id="3197"/>
      <w:bookmarkEnd w:id="3198"/>
      <w:r>
        <w:fldChar w:fldCharType="begin"/>
      </w:r>
      <w:r>
        <w:instrText xml:space="preserve"> XE "ST_MarkerStyle (Marker Style)" </w:instrText>
      </w:r>
      <w:r>
        <w:fldChar w:fldCharType="end"/>
      </w:r>
    </w:p>
    <w:p w:rsidR="000A156F" w:rsidRDefault="00A9721F">
      <w:pPr>
        <w:pStyle w:val="Definition-Field"/>
      </w:pPr>
      <w:r>
        <w:t xml:space="preserve">a.   </w:t>
      </w:r>
      <w:r>
        <w:rPr>
          <w:i/>
        </w:rPr>
        <w:t>The standard does not specify auto as a valid enumeration value.</w:t>
      </w:r>
    </w:p>
    <w:p w:rsidR="000A156F" w:rsidRDefault="00A9721F">
      <w:pPr>
        <w:pStyle w:val="Definition-Field2"/>
      </w:pPr>
      <w:r>
        <w:lastRenderedPageBreak/>
        <w:t>Office allows auto as an enumeration value that specifies</w:t>
      </w:r>
      <w:r>
        <w:t xml:space="preserve"> that the marker style shall be determined by the application.</w:t>
      </w:r>
    </w:p>
    <w:p w:rsidR="000A156F" w:rsidRDefault="00A9721F">
      <w:pPr>
        <w:pStyle w:val="Heading3"/>
      </w:pPr>
      <w:bookmarkStart w:id="3199" w:name="section_89794847d1b741ce9e2ac789afe390d2"/>
      <w:bookmarkStart w:id="3200" w:name="_Toc181684625"/>
      <w:r>
        <w:t>Part 1 Section 21.2.3.30, ST_Orientation (Orientation)</w:t>
      </w:r>
      <w:bookmarkEnd w:id="3199"/>
      <w:bookmarkEnd w:id="3200"/>
      <w:r>
        <w:fldChar w:fldCharType="begin"/>
      </w:r>
      <w:r>
        <w:instrText xml:space="preserve"> XE "ST_Orientation (Orientation)" </w:instrText>
      </w:r>
      <w:r>
        <w:fldChar w:fldCharType="end"/>
      </w:r>
    </w:p>
    <w:p w:rsidR="000A156F" w:rsidRDefault="00A9721F">
      <w:pPr>
        <w:pStyle w:val="Definition-Field"/>
      </w:pPr>
      <w:r>
        <w:t xml:space="preserve">a.   </w:t>
      </w:r>
      <w:r>
        <w:rPr>
          <w:i/>
        </w:rPr>
        <w:t>The standard states that the ST_Orientation simple type specifies the possible ways to place a p</w:t>
      </w:r>
      <w:r>
        <w:rPr>
          <w:i/>
        </w:rPr>
        <w:t>icture on a data point, series, wall, or floor.</w:t>
      </w:r>
    </w:p>
    <w:p w:rsidR="000A156F" w:rsidRDefault="00A9721F">
      <w:pPr>
        <w:pStyle w:val="Definition-Field2"/>
      </w:pPr>
      <w:r>
        <w:t>Office uses this simple type to specify whether the values on an axis are increasing or decreasing.</w:t>
      </w:r>
    </w:p>
    <w:p w:rsidR="000A156F" w:rsidRDefault="00A9721F">
      <w:pPr>
        <w:pStyle w:val="Heading3"/>
      </w:pPr>
      <w:bookmarkStart w:id="3201" w:name="section_26be8f3ae9c24f589fa872bab178b598"/>
      <w:bookmarkStart w:id="3202" w:name="_Toc181684626"/>
      <w:r>
        <w:t>Part 1 Section 21.2.3.33, ST_Period (Period)</w:t>
      </w:r>
      <w:bookmarkEnd w:id="3201"/>
      <w:bookmarkEnd w:id="3202"/>
      <w:r>
        <w:fldChar w:fldCharType="begin"/>
      </w:r>
      <w:r>
        <w:instrText xml:space="preserve"> XE "ST_Period (Period)" </w:instrText>
      </w:r>
      <w:r>
        <w:fldChar w:fldCharType="end"/>
      </w:r>
    </w:p>
    <w:p w:rsidR="000A156F" w:rsidRDefault="00A9721F">
      <w:pPr>
        <w:pStyle w:val="Definition-Field"/>
      </w:pPr>
      <w:r>
        <w:t xml:space="preserve">a.   </w:t>
      </w:r>
      <w:r>
        <w:rPr>
          <w:i/>
        </w:rPr>
        <w:t>The standard states that the co</w:t>
      </w:r>
      <w:r>
        <w:rPr>
          <w:i/>
        </w:rPr>
        <w:t>ntents of the ST_Period simple type are a restriction on the XML Schema unsignedByte datatype, ranging from 2 to 255.</w:t>
      </w:r>
    </w:p>
    <w:p w:rsidR="000A156F" w:rsidRDefault="00A9721F">
      <w:pPr>
        <w:pStyle w:val="Definition-Field2"/>
      </w:pPr>
      <w:r>
        <w:t xml:space="preserve">Excel defines this simple type as being a restriction on the XML Schema unsignedInt datatype, with a minimum value of 2 and an unbounded </w:t>
      </w:r>
      <w:r>
        <w:t>maximum value.</w:t>
      </w:r>
    </w:p>
    <w:p w:rsidR="000A156F" w:rsidRDefault="00A9721F">
      <w:pPr>
        <w:pStyle w:val="Heading3"/>
      </w:pPr>
      <w:bookmarkStart w:id="3203" w:name="section_0215ce81e51b4bf7a61b27f8f76121ea"/>
      <w:bookmarkStart w:id="3204" w:name="_Toc181684627"/>
      <w:r>
        <w:t>Part 1 Section 21.2.3.34, ST_Perspective (Perspective)</w:t>
      </w:r>
      <w:bookmarkEnd w:id="3203"/>
      <w:bookmarkEnd w:id="3204"/>
      <w:r>
        <w:fldChar w:fldCharType="begin"/>
      </w:r>
      <w:r>
        <w:instrText xml:space="preserve"> XE "ST_Perspective (Perspective)" </w:instrText>
      </w:r>
      <w:r>
        <w:fldChar w:fldCharType="end"/>
      </w:r>
    </w:p>
    <w:p w:rsidR="000A156F" w:rsidRDefault="00A9721F">
      <w:pPr>
        <w:pStyle w:val="Definition-Field"/>
      </w:pPr>
      <w:r>
        <w:t xml:space="preserve">a.   </w:t>
      </w:r>
      <w:r>
        <w:rPr>
          <w:i/>
        </w:rPr>
        <w:t>The standard states that the ST_Perspective simple type specifies an integer between 0 and 100 whose contents are a percentage.</w:t>
      </w:r>
    </w:p>
    <w:p w:rsidR="000A156F" w:rsidRDefault="00A9721F">
      <w:pPr>
        <w:pStyle w:val="Definition-Field2"/>
      </w:pPr>
      <w:r>
        <w:t>Office uses this</w:t>
      </w:r>
      <w:r>
        <w:t xml:space="preserve"> simple type to specify an integer between 0 and 240, inclusive, whose contents are a measurement in degrees.</w:t>
      </w:r>
    </w:p>
    <w:p w:rsidR="000A156F" w:rsidRDefault="00A9721F">
      <w:pPr>
        <w:pStyle w:val="Heading3"/>
      </w:pPr>
      <w:bookmarkStart w:id="3205" w:name="section_559db49f5917417e894b34c17cd12e33"/>
      <w:bookmarkStart w:id="3206" w:name="_Toc181684628"/>
      <w:r>
        <w:t>Part 1 Section 21.2.3.35, ST_PictureFormat (Picture Format)</w:t>
      </w:r>
      <w:bookmarkEnd w:id="3205"/>
      <w:bookmarkEnd w:id="3206"/>
      <w:r>
        <w:fldChar w:fldCharType="begin"/>
      </w:r>
      <w:r>
        <w:instrText xml:space="preserve"> XE "ST_PictureFormat (Picture Format)" </w:instrText>
      </w:r>
      <w:r>
        <w:fldChar w:fldCharType="end"/>
      </w:r>
    </w:p>
    <w:p w:rsidR="000A156F" w:rsidRDefault="00A9721F">
      <w:pPr>
        <w:pStyle w:val="Definition-Field"/>
      </w:pPr>
      <w:r>
        <w:t xml:space="preserve">a.   </w:t>
      </w:r>
      <w:r>
        <w:rPr>
          <w:i/>
        </w:rPr>
        <w:t>The standard states that the stretch en</w:t>
      </w:r>
      <w:r>
        <w:rPr>
          <w:i/>
        </w:rPr>
        <w:t>umeration value specifies that the picture shall be anisotropic stretched to fill the data point, series, wall or floor.</w:t>
      </w:r>
    </w:p>
    <w:p w:rsidR="000A156F" w:rsidRDefault="00A9721F">
      <w:pPr>
        <w:pStyle w:val="Definition-Field2"/>
      </w:pPr>
      <w:r>
        <w:t>Office does not use anisotropic stretch when stretching the picture fill.</w:t>
      </w:r>
    </w:p>
    <w:p w:rsidR="000A156F" w:rsidRDefault="00A9721F">
      <w:pPr>
        <w:pStyle w:val="Heading3"/>
      </w:pPr>
      <w:bookmarkStart w:id="3207" w:name="section_d82e893585824ef59b33bb5fe1dd8fe0"/>
      <w:bookmarkStart w:id="3208" w:name="_Toc181684629"/>
      <w:r>
        <w:t>Part 1 Section 21.2.3.37, ST_RadarStyle (Radar Style)</w:t>
      </w:r>
      <w:bookmarkEnd w:id="3207"/>
      <w:bookmarkEnd w:id="3208"/>
      <w:r>
        <w:fldChar w:fldCharType="begin"/>
      </w:r>
      <w:r>
        <w:instrText xml:space="preserve"> XE "ST_</w:instrText>
      </w:r>
      <w:r>
        <w:instrText xml:space="preserve">RadarStyle (Radar Style)" </w:instrText>
      </w:r>
      <w:r>
        <w:fldChar w:fldCharType="end"/>
      </w:r>
    </w:p>
    <w:p w:rsidR="000A156F" w:rsidRDefault="00A9721F">
      <w:pPr>
        <w:pStyle w:val="Definition-Field"/>
      </w:pPr>
      <w:r>
        <w:t xml:space="preserve">a.   </w:t>
      </w:r>
      <w:r>
        <w:rPr>
          <w:i/>
        </w:rPr>
        <w:t>The standard does not state that the styles specified by the ST_RadarStyle simple type can be overridden.</w:t>
      </w:r>
    </w:p>
    <w:p w:rsidR="000A156F" w:rsidRDefault="00A9721F">
      <w:pPr>
        <w:pStyle w:val="Definition-Field2"/>
      </w:pPr>
      <w:r>
        <w:t>Office allows theses styles to be overridden by the line and marker settings on the individual data series in the ch</w:t>
      </w:r>
      <w:r>
        <w:t>art.</w:t>
      </w:r>
    </w:p>
    <w:p w:rsidR="000A156F" w:rsidRDefault="00A9721F">
      <w:pPr>
        <w:pStyle w:val="Heading3"/>
      </w:pPr>
      <w:bookmarkStart w:id="3209" w:name="section_790a49d0682946268e0f4f6681a9586b"/>
      <w:bookmarkStart w:id="3210" w:name="_Toc181684630"/>
      <w:r>
        <w:t>Part 1 Section 21.2.3.40, ST_ScatterStyle (Scatter Style)</w:t>
      </w:r>
      <w:bookmarkEnd w:id="3209"/>
      <w:bookmarkEnd w:id="3210"/>
      <w:r>
        <w:fldChar w:fldCharType="begin"/>
      </w:r>
      <w:r>
        <w:instrText xml:space="preserve"> XE "ST_ScatterStyle (Scatter Style)" </w:instrText>
      </w:r>
      <w:r>
        <w:fldChar w:fldCharType="end"/>
      </w:r>
    </w:p>
    <w:p w:rsidR="000A156F" w:rsidRDefault="00A9721F">
      <w:pPr>
        <w:pStyle w:val="Definition-Field"/>
      </w:pPr>
      <w:r>
        <w:t xml:space="preserve">a.   </w:t>
      </w:r>
      <w:r>
        <w:rPr>
          <w:i/>
        </w:rPr>
        <w:t>The standard states that none is a valid enumeration value.</w:t>
      </w:r>
    </w:p>
    <w:p w:rsidR="000A156F" w:rsidRDefault="00A9721F">
      <w:pPr>
        <w:pStyle w:val="Definition-Field2"/>
      </w:pPr>
      <w:r>
        <w:t>Office does not allow this enumeration value. If this enumeration value is present the f</w:t>
      </w:r>
      <w:r>
        <w:t>ile will fail to load.</w:t>
      </w:r>
    </w:p>
    <w:p w:rsidR="000A156F" w:rsidRDefault="00A9721F">
      <w:pPr>
        <w:pStyle w:val="Definition-Field"/>
      </w:pPr>
      <w:r>
        <w:t xml:space="preserve">b.   </w:t>
      </w:r>
      <w:r>
        <w:rPr>
          <w:i/>
        </w:rPr>
        <w:t>The standard states that the smooth enumeration value specifies that the points on the scatter chart shall be connected with smoothed lines and markers shall not be drawn.</w:t>
      </w:r>
    </w:p>
    <w:p w:rsidR="000A156F" w:rsidRDefault="00A9721F">
      <w:pPr>
        <w:pStyle w:val="Definition-Field2"/>
      </w:pPr>
      <w:r>
        <w:t>Office treats this enumeration as if it were smoothMarke</w:t>
      </w:r>
      <w:r>
        <w:t>r on load.  Office will never save out this enumeration, instead using smoothMarker and specifying that no markers are to be drawn.</w:t>
      </w:r>
    </w:p>
    <w:p w:rsidR="000A156F" w:rsidRDefault="00A9721F">
      <w:pPr>
        <w:pStyle w:val="Definition-Field"/>
      </w:pPr>
      <w:r>
        <w:t xml:space="preserve">c.   </w:t>
      </w:r>
      <w:r>
        <w:rPr>
          <w:i/>
        </w:rPr>
        <w:t xml:space="preserve">The standard states that the line enumeration value specifies the points on the scatter chart shall be connected with </w:t>
      </w:r>
      <w:r>
        <w:rPr>
          <w:i/>
        </w:rPr>
        <w:t>straight lines but markers shall not be drawn.</w:t>
      </w:r>
    </w:p>
    <w:p w:rsidR="000A156F" w:rsidRDefault="00A9721F">
      <w:pPr>
        <w:pStyle w:val="Definition-Field2"/>
      </w:pPr>
      <w:r>
        <w:lastRenderedPageBreak/>
        <w:t>Office treats this enumeration as if it were lineMarker on load.  Office will never save out this enumeration, instead using lineMarker and specifying that no markers are to be drawn.</w:t>
      </w:r>
    </w:p>
    <w:p w:rsidR="000A156F" w:rsidRDefault="00A9721F">
      <w:pPr>
        <w:pStyle w:val="Definition-Field"/>
      </w:pPr>
      <w:r>
        <w:t xml:space="preserve">d.   </w:t>
      </w:r>
      <w:r>
        <w:rPr>
          <w:i/>
        </w:rPr>
        <w:t xml:space="preserve">The standard states </w:t>
      </w:r>
      <w:r>
        <w:rPr>
          <w:i/>
        </w:rPr>
        <w:t>that the marker enumeration value specifies the points on the scatter chart shall not be connected with lines and markers shall be drawn.</w:t>
      </w:r>
    </w:p>
    <w:p w:rsidR="000A156F" w:rsidRDefault="00A9721F">
      <w:pPr>
        <w:pStyle w:val="Definition-Field2"/>
      </w:pPr>
      <w:r>
        <w:t>Office treats this enumeration as if it were lineMarker on load.  Office will never save out this enumeration, instead</w:t>
      </w:r>
      <w:r>
        <w:t xml:space="preserve"> using lineMarker and specifying that no lines are to be drawn.</w:t>
      </w:r>
    </w:p>
    <w:p w:rsidR="000A156F" w:rsidRDefault="00A9721F">
      <w:pPr>
        <w:pStyle w:val="Definition-Field"/>
      </w:pPr>
      <w:r>
        <w:t xml:space="preserve">e.   </w:t>
      </w:r>
      <w:r>
        <w:rPr>
          <w:i/>
        </w:rPr>
        <w:t>The standard does not state any exceptions that cause the ST_ScatterStyle to be overridden.</w:t>
      </w:r>
    </w:p>
    <w:p w:rsidR="000A156F" w:rsidRDefault="00A9721F">
      <w:pPr>
        <w:pStyle w:val="Definition-Field2"/>
      </w:pPr>
      <w:r>
        <w:t>In Office, scatter chart styles can be overridden by line and marker settings on the individual</w:t>
      </w:r>
      <w:r>
        <w:t xml:space="preserve"> data series in the chart.</w:t>
      </w:r>
    </w:p>
    <w:p w:rsidR="000A156F" w:rsidRDefault="00A9721F">
      <w:pPr>
        <w:pStyle w:val="Heading3"/>
      </w:pPr>
      <w:bookmarkStart w:id="3211" w:name="section_0680b9ba68334f3194a8add5e312db29"/>
      <w:bookmarkStart w:id="3212" w:name="_Toc181684631"/>
      <w:r>
        <w:t>Part 1 Section 21.2.3.42, ST_Shape (Shape)</w:t>
      </w:r>
      <w:bookmarkEnd w:id="3211"/>
      <w:bookmarkEnd w:id="3212"/>
      <w:r>
        <w:fldChar w:fldCharType="begin"/>
      </w:r>
      <w:r>
        <w:instrText xml:space="preserve"> XE "ST_Shape (Shape)" </w:instrText>
      </w:r>
      <w:r>
        <w:fldChar w:fldCharType="end"/>
      </w:r>
    </w:p>
    <w:p w:rsidR="000A156F" w:rsidRDefault="00A9721F">
      <w:pPr>
        <w:pStyle w:val="Definition-Field"/>
      </w:pPr>
      <w:r>
        <w:t xml:space="preserve">a.   </w:t>
      </w:r>
      <w:r>
        <w:rPr>
          <w:i/>
        </w:rPr>
        <w:t>The standard states that the pyramidToMax enumeration value specifies the chart shall be drawn with truncated cones such that the point of the cone would be</w:t>
      </w:r>
      <w:r>
        <w:rPr>
          <w:i/>
        </w:rPr>
        <w:t xml:space="preserve"> the maximum data value.</w:t>
      </w:r>
    </w:p>
    <w:p w:rsidR="000A156F" w:rsidRDefault="00A9721F">
      <w:pPr>
        <w:pStyle w:val="Definition-Field2"/>
      </w:pPr>
      <w:r>
        <w:t>In Office, pyramidToMax specifies that the chart shall be drawn as truncated rectangular pyramids such that the point of the pyramid would be at the highest value in the chart. The pyramid is truncated at the data marker’s value.</w:t>
      </w:r>
    </w:p>
    <w:p w:rsidR="000A156F" w:rsidRDefault="00A9721F">
      <w:pPr>
        <w:pStyle w:val="Definition-Field"/>
      </w:pPr>
      <w:r>
        <w:t>b</w:t>
      </w:r>
      <w:r>
        <w:t xml:space="preserve">.   </w:t>
      </w:r>
      <w:r>
        <w:rPr>
          <w:i/>
        </w:rPr>
        <w:t>The standard states that coneToMax enumeration value specifies that the chart shall be drawn with truncated cones such that the point of the cone would be the maximum data value.</w:t>
      </w:r>
    </w:p>
    <w:p w:rsidR="000A156F" w:rsidRDefault="00A9721F">
      <w:pPr>
        <w:pStyle w:val="Definition-Field2"/>
      </w:pPr>
      <w:r>
        <w:t>In Office, coneToMax to specifies that the chart shall be drawn as trunca</w:t>
      </w:r>
      <w:r>
        <w:t>ted cones, such that the point of the cone would be at the highest value in the chart. The cone is truncated at the data marker’s value.</w:t>
      </w:r>
    </w:p>
    <w:p w:rsidR="000A156F" w:rsidRDefault="00A9721F">
      <w:pPr>
        <w:pStyle w:val="Heading3"/>
      </w:pPr>
      <w:bookmarkStart w:id="3213" w:name="section_be0b8235f8534143a208dd2e3e11d0f1"/>
      <w:bookmarkStart w:id="3214" w:name="_Toc181684632"/>
      <w:r>
        <w:t>Part 1 Section 21.2.3.44, ST_Skip (Skip)</w:t>
      </w:r>
      <w:bookmarkEnd w:id="3213"/>
      <w:bookmarkEnd w:id="3214"/>
      <w:r>
        <w:fldChar w:fldCharType="begin"/>
      </w:r>
      <w:r>
        <w:instrText xml:space="preserve"> XE "ST_Skip (Skip)" </w:instrText>
      </w:r>
      <w:r>
        <w:fldChar w:fldCharType="end"/>
      </w:r>
    </w:p>
    <w:p w:rsidR="000A156F" w:rsidRDefault="00A9721F">
      <w:pPr>
        <w:pStyle w:val="Definition-Field"/>
      </w:pPr>
      <w:r>
        <w:t xml:space="preserve">a.   </w:t>
      </w:r>
      <w:r>
        <w:rPr>
          <w:i/>
        </w:rPr>
        <w:t>The standard states that the contents of the ST_Sk</w:t>
      </w:r>
      <w:r>
        <w:rPr>
          <w:i/>
        </w:rPr>
        <w:t>ip simple type are a restriction of the XML Schema unsignedShort datatype.</w:t>
      </w:r>
    </w:p>
    <w:p w:rsidR="000A156F" w:rsidRDefault="00A9721F">
      <w:pPr>
        <w:pStyle w:val="Definition-Field2"/>
      </w:pPr>
      <w:r>
        <w:t>Office defines this simple type as being a restriction on the XML Schema int datatype.</w:t>
      </w:r>
    </w:p>
    <w:p w:rsidR="000A156F" w:rsidRDefault="00A9721F">
      <w:pPr>
        <w:pStyle w:val="Heading3"/>
      </w:pPr>
      <w:bookmarkStart w:id="3215" w:name="section_53d3723d2ebe4ff8b8bacfc8338c5edb"/>
      <w:bookmarkStart w:id="3216" w:name="_Toc181684633"/>
      <w:r>
        <w:t>Part 1 Section 21.2.3.45, ST_SplitType (Split Type)</w:t>
      </w:r>
      <w:bookmarkEnd w:id="3215"/>
      <w:bookmarkEnd w:id="3216"/>
      <w:r>
        <w:fldChar w:fldCharType="begin"/>
      </w:r>
      <w:r>
        <w:instrText xml:space="preserve"> XE "ST_SplitType (Split Type)" </w:instrText>
      </w:r>
      <w:r>
        <w:fldChar w:fldCharType="end"/>
      </w:r>
    </w:p>
    <w:p w:rsidR="000A156F" w:rsidRDefault="00A9721F">
      <w:pPr>
        <w:pStyle w:val="Definition-Field"/>
      </w:pPr>
      <w:r>
        <w:t xml:space="preserve">a.   </w:t>
      </w:r>
      <w:r>
        <w:rPr>
          <w:i/>
        </w:rPr>
        <w:t>The</w:t>
      </w:r>
      <w:r>
        <w:rPr>
          <w:i/>
        </w:rPr>
        <w:t xml:space="preserve"> standard states that auto is a valid enumeration value.</w:t>
      </w:r>
    </w:p>
    <w:p w:rsidR="000A156F" w:rsidRDefault="00A9721F">
      <w:pPr>
        <w:pStyle w:val="Definition-Field2"/>
      </w:pPr>
      <w:r>
        <w:t>Office does not allow the auto enumeration value.</w:t>
      </w:r>
    </w:p>
    <w:p w:rsidR="000A156F" w:rsidRDefault="00A9721F">
      <w:pPr>
        <w:pStyle w:val="Heading3"/>
      </w:pPr>
      <w:bookmarkStart w:id="3217" w:name="section_48c6336adac043d4b9a0e29a1b3aa23c"/>
      <w:bookmarkStart w:id="3218" w:name="_Toc181684634"/>
      <w:r>
        <w:t>Part 1 Section 21.2.3.46, ST_Style (Style)</w:t>
      </w:r>
      <w:bookmarkEnd w:id="3217"/>
      <w:bookmarkEnd w:id="3218"/>
      <w:r>
        <w:fldChar w:fldCharType="begin"/>
      </w:r>
      <w:r>
        <w:instrText xml:space="preserve"> XE "ST_Style (Style)" </w:instrText>
      </w:r>
      <w:r>
        <w:fldChar w:fldCharType="end"/>
      </w:r>
    </w:p>
    <w:p w:rsidR="000A156F" w:rsidRDefault="00A9721F">
      <w:pPr>
        <w:pStyle w:val="Definition-Field"/>
      </w:pPr>
      <w:r>
        <w:t xml:space="preserve">a.   </w:t>
      </w:r>
      <w:r>
        <w:rPr>
          <w:i/>
        </w:rPr>
        <w:t>The standard makes an unclear reference to accent1-6 in Table 3.</w:t>
      </w:r>
    </w:p>
    <w:p w:rsidR="000A156F" w:rsidRDefault="00A9721F">
      <w:pPr>
        <w:pStyle w:val="Definition-Field2"/>
      </w:pPr>
      <w:r>
        <w:t xml:space="preserve">In Office, </w:t>
      </w:r>
      <w:r>
        <w:t>the color listed as accent1-6 means that the first style uses accent1, the next uses accent2, up to the sixth, which uses accent6.</w:t>
      </w:r>
    </w:p>
    <w:p w:rsidR="000A156F" w:rsidRDefault="00A9721F">
      <w:pPr>
        <w:pStyle w:val="Definition-Field"/>
      </w:pPr>
      <w:r>
        <w:t xml:space="preserve">b.   </w:t>
      </w:r>
      <w:r>
        <w:rPr>
          <w:i/>
        </w:rPr>
        <w:t>The standard does not specify the color of the effect in Tables 4 and 5.</w:t>
      </w:r>
    </w:p>
    <w:p w:rsidR="000A156F" w:rsidRDefault="00A9721F">
      <w:pPr>
        <w:pStyle w:val="Definition-Field2"/>
      </w:pPr>
      <w:r>
        <w:t xml:space="preserve">In Office, if the style has an effect applied, </w:t>
      </w:r>
      <w:r>
        <w:t>the color of the effect is dk1.</w:t>
      </w:r>
    </w:p>
    <w:p w:rsidR="000A156F" w:rsidRDefault="00A9721F">
      <w:pPr>
        <w:pStyle w:val="Heading3"/>
      </w:pPr>
      <w:bookmarkStart w:id="3219" w:name="section_b4f2d82cf8ae4592847f4360fbd8fdad"/>
      <w:bookmarkStart w:id="3220" w:name="_Toc181684635"/>
      <w:r>
        <w:t>Part 1 Section 21.2.3.50, ST_TrendlineType (Trendline Type)</w:t>
      </w:r>
      <w:bookmarkEnd w:id="3219"/>
      <w:bookmarkEnd w:id="3220"/>
      <w:r>
        <w:fldChar w:fldCharType="begin"/>
      </w:r>
      <w:r>
        <w:instrText xml:space="preserve"> XE "ST_TrendlineType (Trendline Type)" </w:instrText>
      </w:r>
      <w:r>
        <w:fldChar w:fldCharType="end"/>
      </w:r>
    </w:p>
    <w:p w:rsidR="000A156F" w:rsidRDefault="00A9721F">
      <w:pPr>
        <w:pStyle w:val="Definition-Field"/>
      </w:pPr>
      <w:r>
        <w:t xml:space="preserve">a.   </w:t>
      </w:r>
      <w:r>
        <w:rPr>
          <w:i/>
        </w:rPr>
        <w:t xml:space="preserve">The standard states that the exp enumeration value specifies the trendline shall be an exponential curve in the form </w:t>
      </w:r>
      <w:r>
        <w:rPr>
          <w:i/>
        </w:rPr>
        <w:t>y=ab^x.</w:t>
      </w:r>
    </w:p>
    <w:p w:rsidR="000A156F" w:rsidRDefault="00A9721F">
      <w:pPr>
        <w:pStyle w:val="Definition-Field2"/>
      </w:pPr>
      <w:r>
        <w:lastRenderedPageBreak/>
        <w:t>In Office, this enumeration value specifies that the trendline shall be an exponential curve in the form y=ae^(bx).</w:t>
      </w:r>
    </w:p>
    <w:p w:rsidR="000A156F" w:rsidRDefault="00A9721F">
      <w:pPr>
        <w:pStyle w:val="Heading3"/>
      </w:pPr>
      <w:bookmarkStart w:id="3221" w:name="section_903cbc0e390846ebb260471913fcab40"/>
      <w:bookmarkStart w:id="3222" w:name="_Toc181684636"/>
      <w:r>
        <w:t>Part 1 Section 21.3.2.1, absSizeAnchor (Absolute Anchor Shape Size)</w:t>
      </w:r>
      <w:bookmarkEnd w:id="3221"/>
      <w:bookmarkEnd w:id="3222"/>
      <w:r>
        <w:fldChar w:fldCharType="begin"/>
      </w:r>
      <w:r>
        <w:instrText xml:space="preserve"> XE "absSizeAnchor (Absolute Anchor Shape Size)" </w:instrText>
      </w:r>
      <w:r>
        <w:fldChar w:fldCharType="end"/>
      </w:r>
    </w:p>
    <w:p w:rsidR="000A156F" w:rsidRDefault="00A9721F">
      <w:pPr>
        <w:pStyle w:val="Definition-Field"/>
      </w:pPr>
      <w:r>
        <w:t xml:space="preserve">a.   </w:t>
      </w:r>
      <w:r>
        <w:rPr>
          <w:i/>
        </w:rPr>
        <w:t>The stan</w:t>
      </w:r>
      <w:r>
        <w:rPr>
          <w:i/>
        </w:rPr>
        <w:t>dard states that the from element specifies the top left corner of the shape bounding box in a RTL (right to left) implementation. The ext element specifies the bottom right corner of the shape bounding box in a RTL implementation.</w:t>
      </w:r>
    </w:p>
    <w:p w:rsidR="000A156F" w:rsidRDefault="00A9721F">
      <w:pPr>
        <w:pStyle w:val="Definition-Field2"/>
      </w:pPr>
      <w:r>
        <w:t>In Office, the from elem</w:t>
      </w:r>
      <w:r>
        <w:t>ent specifies the top left corner relative to the chart and the ext element specifies the size of the shape in EMUs.</w:t>
      </w:r>
    </w:p>
    <w:p w:rsidR="000A156F" w:rsidRDefault="00A9721F">
      <w:pPr>
        <w:pStyle w:val="Heading3"/>
      </w:pPr>
      <w:bookmarkStart w:id="3223" w:name="section_0329492820b44cdd9ecdac4d63dc4674"/>
      <w:bookmarkStart w:id="3224" w:name="_Toc181684637"/>
      <w:r>
        <w:t>Part 1 Section 21.3.2.2, blipFill (Picture Fill)</w:t>
      </w:r>
      <w:bookmarkEnd w:id="3223"/>
      <w:bookmarkEnd w:id="3224"/>
      <w:r>
        <w:fldChar w:fldCharType="begin"/>
      </w:r>
      <w:r>
        <w:instrText xml:space="preserve"> XE "blipFill (Picture Fill)" </w:instrText>
      </w:r>
      <w:r>
        <w:fldChar w:fldCharType="end"/>
      </w:r>
    </w:p>
    <w:p w:rsidR="000A156F" w:rsidRDefault="00A9721F">
      <w:pPr>
        <w:pStyle w:val="Definition-Field"/>
      </w:pPr>
      <w:r>
        <w:t xml:space="preserve">a.   </w:t>
      </w:r>
      <w:r>
        <w:rPr>
          <w:i/>
        </w:rPr>
        <w:t>The standard allows the dpi attribute to be used with</w:t>
      </w:r>
      <w:r>
        <w:rPr>
          <w:i/>
        </w:rPr>
        <w:t xml:space="preserve"> this element.</w:t>
      </w:r>
    </w:p>
    <w:p w:rsidR="000A156F" w:rsidRDefault="00A9721F">
      <w:pPr>
        <w:pStyle w:val="Definition-Field2"/>
      </w:pPr>
      <w:r>
        <w:t>The dpi attribute is not supported by Office.</w:t>
      </w:r>
    </w:p>
    <w:p w:rsidR="000A156F" w:rsidRDefault="00A9721F">
      <w:pPr>
        <w:pStyle w:val="Heading3"/>
      </w:pPr>
      <w:bookmarkStart w:id="3225" w:name="section_dd2a08189ba74ba58a8c85431cac913f"/>
      <w:bookmarkStart w:id="3226" w:name="_Toc181684638"/>
      <w:r>
        <w:t>Part 1 Section 21.3.2.7, cNvPr (Non-Visual Drawing Properties)</w:t>
      </w:r>
      <w:bookmarkEnd w:id="3225"/>
      <w:bookmarkEnd w:id="3226"/>
      <w:r>
        <w:fldChar w:fldCharType="begin"/>
      </w:r>
      <w:r>
        <w:instrText xml:space="preserve"> XE "cNvPr (Non-Visual Drawing Properties)" </w:instrText>
      </w:r>
      <w:r>
        <w:fldChar w:fldCharType="end"/>
      </w:r>
    </w:p>
    <w:p w:rsidR="000A156F" w:rsidRDefault="00A9721F">
      <w:pPr>
        <w:pStyle w:val="Definition-Field"/>
      </w:pPr>
      <w:r>
        <w:t xml:space="preserve">a.   </w:t>
      </w:r>
      <w:r>
        <w:rPr>
          <w:i/>
        </w:rPr>
        <w:t>The standard implies that hyperlinks can be used on objects inside of charts.</w:t>
      </w:r>
    </w:p>
    <w:p w:rsidR="000A156F" w:rsidRDefault="00A9721F">
      <w:pPr>
        <w:pStyle w:val="Definition-Field2"/>
      </w:pPr>
      <w:r>
        <w:t>Pow</w:t>
      </w:r>
      <w:r>
        <w:t>erPoint does not support hyperlinks in objects inside charts.</w:t>
      </w:r>
    </w:p>
    <w:p w:rsidR="000A156F" w:rsidRDefault="00A9721F">
      <w:pPr>
        <w:pStyle w:val="Heading3"/>
      </w:pPr>
      <w:bookmarkStart w:id="3227" w:name="section_1bfa7d2ded0848e8a2f023c93755d1da"/>
      <w:bookmarkStart w:id="3228" w:name="_Toc181684639"/>
      <w:r>
        <w:t>Part 1 Section 21.3.2.9, cxnSp (Connection Shape)</w:t>
      </w:r>
      <w:bookmarkEnd w:id="3227"/>
      <w:bookmarkEnd w:id="3228"/>
      <w:r>
        <w:fldChar w:fldCharType="begin"/>
      </w:r>
      <w:r>
        <w:instrText xml:space="preserve"> XE "cxnSp (Connection Shape)" </w:instrText>
      </w:r>
      <w:r>
        <w:fldChar w:fldCharType="end"/>
      </w:r>
    </w:p>
    <w:p w:rsidR="000A156F" w:rsidRDefault="00A9721F">
      <w:pPr>
        <w:pStyle w:val="Definition-Field"/>
      </w:pPr>
      <w:r>
        <w:t xml:space="preserve">a.   </w:t>
      </w:r>
      <w:r>
        <w:rPr>
          <w:i/>
        </w:rPr>
        <w:t>The standard states that cxnSp connects two sp elements.</w:t>
      </w:r>
    </w:p>
    <w:p w:rsidR="000A156F" w:rsidRDefault="00A9721F">
      <w:pPr>
        <w:pStyle w:val="Definition-Field2"/>
      </w:pPr>
      <w:r>
        <w:t>In Office, cxnSp connects two sp or pic elements.</w:t>
      </w:r>
    </w:p>
    <w:p w:rsidR="000A156F" w:rsidRDefault="00A9721F">
      <w:pPr>
        <w:pStyle w:val="Definition-Field"/>
      </w:pPr>
      <w:r>
        <w:t xml:space="preserve">b.   </w:t>
      </w:r>
      <w:r>
        <w:rPr>
          <w:i/>
        </w:rPr>
        <w:t>The standard states that the values of the macro attribute are defined by the XML Schema string datatype.</w:t>
      </w:r>
    </w:p>
    <w:p w:rsidR="000A156F" w:rsidRDefault="00A9721F">
      <w:pPr>
        <w:pStyle w:val="Definition-Field2"/>
      </w:pPr>
      <w:r>
        <w:t>Office requires that the macro attribute value follow the same grammar as name-references ("</w:t>
      </w:r>
      <w:hyperlink r:id="rId223">
        <w:r>
          <w:rPr>
            <w:rStyle w:val="Hyperlink"/>
          </w:rPr>
          <w:t>[ISO/IEC-29500-1]</w:t>
        </w:r>
      </w:hyperlink>
      <w:r>
        <w:t xml:space="preserve"> §18.17.2.5") with a minimum length of 0 characters and a maximum length of 256 characters.</w:t>
      </w:r>
    </w:p>
    <w:p w:rsidR="000A156F" w:rsidRDefault="00A9721F">
      <w:pPr>
        <w:pStyle w:val="Definition-Field"/>
      </w:pPr>
      <w:r>
        <w:t xml:space="preserve">c.   </w:t>
      </w:r>
      <w:r>
        <w:rPr>
          <w:i/>
        </w:rPr>
        <w:t>The standard states that cxnSp can be any geometry element.</w:t>
      </w:r>
    </w:p>
    <w:p w:rsidR="000A156F" w:rsidRDefault="00A9721F">
      <w:pPr>
        <w:pStyle w:val="Definition-Field2"/>
      </w:pPr>
      <w:r>
        <w:t>In Office, a connection shape can only be a preset geometry element;</w:t>
      </w:r>
      <w:r>
        <w:t xml:space="preserve"> a custom geometry element is not allowed.</w:t>
      </w:r>
    </w:p>
    <w:p w:rsidR="000A156F" w:rsidRDefault="00A9721F">
      <w:pPr>
        <w:pStyle w:val="Heading3"/>
      </w:pPr>
      <w:bookmarkStart w:id="3229" w:name="section_0e03e978d5d44dc1b3ada77bbb361cfe"/>
      <w:bookmarkStart w:id="3230" w:name="_Toc181684640"/>
      <w:r>
        <w:t>Part 1 Section 21.3.2.10, ext (Shape Extent)</w:t>
      </w:r>
      <w:bookmarkEnd w:id="3229"/>
      <w:bookmarkEnd w:id="3230"/>
      <w:r>
        <w:fldChar w:fldCharType="begin"/>
      </w:r>
      <w:r>
        <w:instrText xml:space="preserve"> XE "ext (Shape Extent)" </w:instrText>
      </w:r>
      <w:r>
        <w:fldChar w:fldCharType="end"/>
      </w:r>
    </w:p>
    <w:p w:rsidR="000A156F" w:rsidRDefault="00A9721F">
      <w:pPr>
        <w:pStyle w:val="Definition-Field"/>
      </w:pPr>
      <w:r>
        <w:t xml:space="preserve">a.   </w:t>
      </w:r>
      <w:r>
        <w:rPr>
          <w:i/>
        </w:rPr>
        <w:t>The standard inverts the terms width and height when describing attributes cx and cy.</w:t>
      </w:r>
    </w:p>
    <w:p w:rsidR="000A156F" w:rsidRDefault="00A9721F">
      <w:pPr>
        <w:pStyle w:val="Definition-Field2"/>
      </w:pPr>
      <w:r>
        <w:t xml:space="preserve">In Office, the cx attribute represents the extent </w:t>
      </w:r>
      <w:r>
        <w:t>width (horizontal size) and the cy attribute represents the extents height (vertical size).</w:t>
      </w:r>
    </w:p>
    <w:p w:rsidR="000A156F" w:rsidRDefault="00A9721F">
      <w:pPr>
        <w:pStyle w:val="Definition-Field"/>
      </w:pPr>
      <w:r>
        <w:t xml:space="preserve">b.   </w:t>
      </w:r>
      <w:r>
        <w:rPr>
          <w:i/>
        </w:rPr>
        <w:t>The standard allows the value of attributes cx and cy to be zero.</w:t>
      </w:r>
    </w:p>
    <w:p w:rsidR="000A156F" w:rsidRDefault="00A9721F">
      <w:pPr>
        <w:pStyle w:val="Definition-Field2"/>
      </w:pPr>
      <w:r>
        <w:t>If the value of either the cx or cy attribute is zero, Office will ignore it and use the obje</w:t>
      </w:r>
      <w:r>
        <w:t>ct transform (xfrm). If the object transform is also invalid, the object will not be shown</w:t>
      </w:r>
    </w:p>
    <w:p w:rsidR="000A156F" w:rsidRDefault="00A9721F">
      <w:pPr>
        <w:pStyle w:val="Heading3"/>
      </w:pPr>
      <w:bookmarkStart w:id="3231" w:name="section_0cebfe7e9b5a4b468ee5cbaa422259da"/>
      <w:bookmarkStart w:id="3232" w:name="_Toc181684641"/>
      <w:r>
        <w:t>Part 1 Section 21.3.2.12, graphicFrame (Graphic Frame)</w:t>
      </w:r>
      <w:bookmarkEnd w:id="3231"/>
      <w:bookmarkEnd w:id="3232"/>
      <w:r>
        <w:fldChar w:fldCharType="begin"/>
      </w:r>
      <w:r>
        <w:instrText xml:space="preserve"> XE "graphicFrame (Graphic Frame)" </w:instrText>
      </w:r>
      <w:r>
        <w:fldChar w:fldCharType="end"/>
      </w:r>
    </w:p>
    <w:p w:rsidR="000A156F" w:rsidRDefault="00A9721F">
      <w:pPr>
        <w:pStyle w:val="Definition-Field"/>
      </w:pPr>
      <w:r>
        <w:t xml:space="preserve">a.   </w:t>
      </w:r>
      <w:r>
        <w:rPr>
          <w:i/>
        </w:rPr>
        <w:t>The standard allows a graphicFrame to be specified within a Chart Dr</w:t>
      </w:r>
      <w:r>
        <w:rPr>
          <w:i/>
        </w:rPr>
        <w:t>awing.</w:t>
      </w:r>
    </w:p>
    <w:p w:rsidR="000A156F" w:rsidRDefault="00A9721F">
      <w:pPr>
        <w:pStyle w:val="Definition-Field2"/>
      </w:pPr>
      <w:r>
        <w:lastRenderedPageBreak/>
        <w:t>Office does not support the display of graphic frames inside charts.</w:t>
      </w:r>
    </w:p>
    <w:p w:rsidR="000A156F" w:rsidRDefault="00A9721F">
      <w:pPr>
        <w:pStyle w:val="Definition-Field"/>
      </w:pPr>
      <w:r>
        <w:t xml:space="preserve">b.   </w:t>
      </w:r>
      <w:r>
        <w:rPr>
          <w:i/>
        </w:rPr>
        <w:t>The standard states that the values of the macro attribute are defined by the XML Schema string datatype.</w:t>
      </w:r>
    </w:p>
    <w:p w:rsidR="000A156F" w:rsidRDefault="00A9721F">
      <w:pPr>
        <w:pStyle w:val="Definition-Field2"/>
      </w:pPr>
      <w:r>
        <w:t>Office requires that the macro attribute value follow the same gramma</w:t>
      </w:r>
      <w:r>
        <w:t>r as name-references ("</w:t>
      </w:r>
      <w:hyperlink r:id="rId224">
        <w:r>
          <w:rPr>
            <w:rStyle w:val="Hyperlink"/>
          </w:rPr>
          <w:t>[ISO/IEC-29500-1]</w:t>
        </w:r>
      </w:hyperlink>
      <w:r>
        <w:t xml:space="preserve"> §18.17.2.5") with a minimum length of 0 characters and a maximum length of 256 characters.</w:t>
      </w:r>
    </w:p>
    <w:p w:rsidR="000A156F" w:rsidRDefault="00A9721F">
      <w:pPr>
        <w:pStyle w:val="Heading3"/>
      </w:pPr>
      <w:bookmarkStart w:id="3233" w:name="section_1c32c2fb9e614f02ad31b56fcf112462"/>
      <w:bookmarkStart w:id="3234" w:name="_Toc181684642"/>
      <w:r>
        <w:t>Part 1 Section 21.3.2.14, grpSpPr (Group Shape Properties)</w:t>
      </w:r>
      <w:bookmarkEnd w:id="3233"/>
      <w:bookmarkEnd w:id="3234"/>
      <w:r>
        <w:fldChar w:fldCharType="begin"/>
      </w:r>
      <w:r>
        <w:instrText xml:space="preserve"> XE "grpSpPr (Group Shape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0A156F" w:rsidRDefault="00A9721F">
      <w:pPr>
        <w:pStyle w:val="Heading3"/>
      </w:pPr>
      <w:bookmarkStart w:id="3235" w:name="section_7b4add6c9a8b4db2ad3c60b251768118"/>
      <w:bookmarkStart w:id="3236" w:name="_Toc181684643"/>
      <w:r>
        <w:t>Part 1 Section 21.3.2.20, pic (Picture)</w:t>
      </w:r>
      <w:bookmarkEnd w:id="3235"/>
      <w:bookmarkEnd w:id="3236"/>
      <w:r>
        <w:fldChar w:fldCharType="begin"/>
      </w:r>
      <w:r>
        <w:instrText xml:space="preserve"> XE "pic (Picture)" </w:instrText>
      </w:r>
      <w:r>
        <w:fldChar w:fldCharType="end"/>
      </w:r>
    </w:p>
    <w:p w:rsidR="000A156F" w:rsidRDefault="00A9721F">
      <w:pPr>
        <w:pStyle w:val="Definition-Field"/>
      </w:pPr>
      <w:r>
        <w:t xml:space="preserve">a.   </w:t>
      </w:r>
      <w:r>
        <w:rPr>
          <w:i/>
        </w:rPr>
        <w:t>The standard states that the values of the macro attribute are defined by the XML Schema string datatype.</w:t>
      </w:r>
    </w:p>
    <w:p w:rsidR="000A156F" w:rsidRDefault="00A9721F">
      <w:pPr>
        <w:pStyle w:val="Definition-Field2"/>
      </w:pPr>
      <w:r>
        <w:t>Office requires that the macro attribute value follow the same grammar as name-refe</w:t>
      </w:r>
      <w:r>
        <w:t>rences ("</w:t>
      </w:r>
      <w:hyperlink r:id="rId225">
        <w:r>
          <w:rPr>
            <w:rStyle w:val="Hyperlink"/>
          </w:rPr>
          <w:t>[ISO/IEC-29500-1]</w:t>
        </w:r>
      </w:hyperlink>
      <w:r>
        <w:t xml:space="preserve"> §18.17.2.5") with a minimum length of 0 characters and a maximum length of 256 characters.</w:t>
      </w:r>
    </w:p>
    <w:p w:rsidR="000A156F" w:rsidRDefault="00A9721F">
      <w:pPr>
        <w:pStyle w:val="Heading3"/>
      </w:pPr>
      <w:bookmarkStart w:id="3237" w:name="section_d5b937831c53410d860c57119b5ebcad"/>
      <w:bookmarkStart w:id="3238" w:name="_Toc181684644"/>
      <w:r>
        <w:t>Part 1 Section 21.3.2.21, relSizeAnchor (Relative Anchor Shape Size)</w:t>
      </w:r>
      <w:bookmarkEnd w:id="3237"/>
      <w:bookmarkEnd w:id="3238"/>
      <w:r>
        <w:fldChar w:fldCharType="begin"/>
      </w:r>
      <w:r>
        <w:instrText xml:space="preserve"> XE </w:instrText>
      </w:r>
      <w:r>
        <w:instrText xml:space="preserve">"relSizeAnchor (Relative Anchor Shape Size)" </w:instrText>
      </w:r>
      <w:r>
        <w:fldChar w:fldCharType="end"/>
      </w:r>
    </w:p>
    <w:p w:rsidR="000A156F" w:rsidRDefault="00A9721F">
      <w:pPr>
        <w:pStyle w:val="Definition-Field"/>
      </w:pPr>
      <w:r>
        <w:t xml:space="preserve">a.   </w:t>
      </w:r>
      <w:r>
        <w:rPr>
          <w:i/>
        </w:rPr>
        <w:t>The standard allows shapes to be defined where the right edge is to the left of the left edge or where the bottom edge is above the top edge.</w:t>
      </w:r>
    </w:p>
    <w:p w:rsidR="000A156F" w:rsidRDefault="00A9721F">
      <w:r>
        <w:t>Office places additional restrictions on the relative size of</w:t>
      </w:r>
      <w:r>
        <w:t xml:space="preserve"> 'from x' and 'from y’ as follows:</w:t>
      </w:r>
    </w:p>
    <w:p w:rsidR="000A156F" w:rsidRDefault="00A9721F">
      <w:r>
        <w:t>The left side (</w:t>
      </w:r>
      <w:r>
        <w:rPr>
          <w:b/>
        </w:rPr>
        <w:t>from</w:t>
      </w:r>
      <w:r>
        <w:t xml:space="preserve"> x) should be less than or equal to the right side (</w:t>
      </w:r>
      <w:r>
        <w:rPr>
          <w:b/>
        </w:rPr>
        <w:t>to</w:t>
      </w:r>
      <w:r>
        <w:t xml:space="preserve"> x).</w:t>
      </w:r>
    </w:p>
    <w:p w:rsidR="000A156F" w:rsidRDefault="00A9721F">
      <w:r>
        <w:t>The top side (</w:t>
      </w:r>
      <w:r>
        <w:rPr>
          <w:b/>
        </w:rPr>
        <w:t>from</w:t>
      </w:r>
      <w:r>
        <w:t xml:space="preserve"> y) should be less than or equal to the bottom side (</w:t>
      </w:r>
      <w:r>
        <w:rPr>
          <w:b/>
        </w:rPr>
        <w:t>to</w:t>
      </w:r>
      <w:r>
        <w:t xml:space="preserve"> y).</w:t>
      </w:r>
    </w:p>
    <w:p w:rsidR="000A156F" w:rsidRDefault="00A9721F">
      <w:r>
        <w:t>If these restrictions are not met, Office uses the values describ</w:t>
      </w:r>
      <w:r>
        <w:t>ed in the 2D transform (</w:t>
      </w:r>
      <w:r>
        <w:rPr>
          <w:b/>
        </w:rPr>
        <w:t>xfrm</w:t>
      </w:r>
      <w:r>
        <w:t>), if they are valid. If these values are not valid, Office does not render the shape.</w:t>
      </w:r>
    </w:p>
    <w:p w:rsidR="000A156F" w:rsidRDefault="00A9721F">
      <w:pPr>
        <w:pStyle w:val="Definition-Field"/>
      </w:pPr>
      <w:r>
        <w:t xml:space="preserve">b.   </w:t>
      </w:r>
      <w:r>
        <w:rPr>
          <w:i/>
        </w:rPr>
        <w:t>The standard states that the from element specifies the top left corner of the shape bounding box in a RTL (right to left) implementatio</w:t>
      </w:r>
      <w:r>
        <w:rPr>
          <w:i/>
        </w:rPr>
        <w:t>n and the to element specifies the bottom right corner of the shape bounding box in a RTL implementation.</w:t>
      </w:r>
    </w:p>
    <w:p w:rsidR="000A156F" w:rsidRDefault="00A9721F">
      <w:pPr>
        <w:pStyle w:val="Definition-Field2"/>
      </w:pPr>
      <w:r>
        <w:t>In Office, the from element specifies the top left corner of the shape bounding box relative to the chart and the to element specifies the bottom righ</w:t>
      </w:r>
      <w:r>
        <w:t>t corner of the shape bounding box relative to the chart.</w:t>
      </w:r>
    </w:p>
    <w:p w:rsidR="000A156F" w:rsidRDefault="00A9721F">
      <w:pPr>
        <w:pStyle w:val="Heading3"/>
      </w:pPr>
      <w:bookmarkStart w:id="3239" w:name="section_4ec82f3297324a2abad00c477260a627"/>
      <w:bookmarkStart w:id="3240" w:name="_Toc181684645"/>
      <w:r>
        <w:t>Part 1 Section 21.3.2.22, sp (Shape)</w:t>
      </w:r>
      <w:bookmarkEnd w:id="3239"/>
      <w:bookmarkEnd w:id="3240"/>
      <w:r>
        <w:fldChar w:fldCharType="begin"/>
      </w:r>
      <w:r>
        <w:instrText xml:space="preserve"> XE "sp (Shape)" </w:instrText>
      </w:r>
      <w:r>
        <w:fldChar w:fldCharType="end"/>
      </w:r>
    </w:p>
    <w:p w:rsidR="000A156F" w:rsidRDefault="00A9721F">
      <w:pPr>
        <w:pStyle w:val="Definition-Field"/>
      </w:pPr>
      <w:r>
        <w:t xml:space="preserve">a.   </w:t>
      </w:r>
      <w:r>
        <w:rPr>
          <w:i/>
        </w:rPr>
        <w:t>The standard states that textlink is a formula linking to spreadsheet cell data.</w:t>
      </w:r>
    </w:p>
    <w:p w:rsidR="000A156F" w:rsidRDefault="00A9721F">
      <w:pPr>
        <w:pStyle w:val="Definition-Field2"/>
      </w:pPr>
      <w:r>
        <w:t xml:space="preserve">Excel requires that the value of the textlink attribute </w:t>
      </w:r>
      <w:r>
        <w:t>be a string referencing a cell or a cell range. This reference should be to a unique cell. Excel accepts a cell range but only considers the first cell in the range.</w:t>
      </w:r>
    </w:p>
    <w:p w:rsidR="000A156F" w:rsidRDefault="00A9721F">
      <w:pPr>
        <w:pStyle w:val="Definition-Field"/>
      </w:pPr>
      <w:r>
        <w:t xml:space="preserve">b.   </w:t>
      </w:r>
      <w:r>
        <w:rPr>
          <w:i/>
        </w:rPr>
        <w:t>The standard states that that the minOccurs of child element txBody is 0.</w:t>
      </w:r>
    </w:p>
    <w:p w:rsidR="000A156F" w:rsidRDefault="00A9721F">
      <w:pPr>
        <w:pStyle w:val="Definition-Field2"/>
      </w:pPr>
      <w:r>
        <w:t>Office requ</w:t>
      </w:r>
      <w:r>
        <w:t>ires txBody if textlink is specified. Chart drawing content will not load if txBody is not provided and textlink is valid.</w:t>
      </w:r>
    </w:p>
    <w:p w:rsidR="000A156F" w:rsidRDefault="00A9721F">
      <w:pPr>
        <w:pStyle w:val="Definition-Field"/>
      </w:pPr>
      <w:r>
        <w:lastRenderedPageBreak/>
        <w:t xml:space="preserve">c.   </w:t>
      </w:r>
      <w:r>
        <w:rPr>
          <w:i/>
        </w:rPr>
        <w:t>The standard allows attribute fLocksText on a shape in a chart drawing.</w:t>
      </w:r>
    </w:p>
    <w:p w:rsidR="000A156F" w:rsidRDefault="00A9721F">
      <w:pPr>
        <w:pStyle w:val="Definition-Field2"/>
      </w:pPr>
      <w:r>
        <w:t xml:space="preserve">Office does not support attribute fLocksText on a shape </w:t>
      </w:r>
      <w:r>
        <w:t>within a chart drawing.</w:t>
      </w:r>
    </w:p>
    <w:p w:rsidR="000A156F" w:rsidRDefault="00A9721F">
      <w:pPr>
        <w:pStyle w:val="Definition-Field"/>
      </w:pPr>
      <w:r>
        <w:t xml:space="preserve">d.   </w:t>
      </w:r>
      <w:r>
        <w:rPr>
          <w:i/>
        </w:rPr>
        <w:t>The standard states that the values of the macro attribute are defined by the XML Schema string datatype.</w:t>
      </w:r>
    </w:p>
    <w:p w:rsidR="000A156F" w:rsidRDefault="00A9721F">
      <w:pPr>
        <w:pStyle w:val="Definition-Field2"/>
      </w:pPr>
      <w:r>
        <w:t>Office requires that the macro attribute value follow the same grammar as name-references ("</w:t>
      </w:r>
      <w:hyperlink r:id="rId226">
        <w:r>
          <w:rPr>
            <w:rStyle w:val="Hyperlink"/>
          </w:rPr>
          <w:t>[ISO/IEC-29500-1]</w:t>
        </w:r>
      </w:hyperlink>
      <w:r>
        <w:t xml:space="preserve"> §18.17.2.5") with a minimum length of 0 characters and a maximum length of 256 characters.</w:t>
      </w:r>
    </w:p>
    <w:p w:rsidR="000A156F" w:rsidRDefault="00A9721F">
      <w:pPr>
        <w:pStyle w:val="Heading3"/>
      </w:pPr>
      <w:bookmarkStart w:id="3241" w:name="section_c14c0a475e6f425d83789cf35dda1e2c"/>
      <w:bookmarkStart w:id="3242" w:name="_Toc181684646"/>
      <w:r>
        <w:t>Part 1 Section 21.3.2.23, spPr (Shape Properties)</w:t>
      </w:r>
      <w:bookmarkEnd w:id="3241"/>
      <w:bookmarkEnd w:id="3242"/>
      <w:r>
        <w:fldChar w:fldCharType="begin"/>
      </w:r>
      <w:r>
        <w:instrText xml:space="preserve"> XE "spPr (Shape Properties)" </w:instrText>
      </w:r>
      <w:r>
        <w:fldChar w:fldCharType="end"/>
      </w:r>
    </w:p>
    <w:p w:rsidR="000A156F" w:rsidRDefault="00A9721F">
      <w:pPr>
        <w:pStyle w:val="Definition-Field2"/>
      </w:pPr>
      <w:r>
        <w:rPr>
          <w:i/>
        </w:rPr>
        <w:t>For additional notes that ap</w:t>
      </w:r>
      <w:r>
        <w:rPr>
          <w:i/>
        </w:rPr>
        <w:t xml:space="preserve">ply to this portion of the standard, please see the notes for </w:t>
      </w:r>
      <w:hyperlink w:anchor="Section_a10c455e7a6e44c5bf8cfb7c2b3e2eac">
        <w:r>
          <w:rPr>
            <w:rStyle w:val="Hyperlink"/>
          </w:rPr>
          <w:t>spPr, §20.5.2.30(a-c)</w:t>
        </w:r>
      </w:hyperlink>
      <w:r>
        <w:rPr>
          <w:i/>
        </w:rPr>
        <w:t>.</w:t>
      </w:r>
    </w:p>
    <w:p w:rsidR="000A156F" w:rsidRDefault="00A9721F">
      <w:pPr>
        <w:pStyle w:val="Heading3"/>
      </w:pPr>
      <w:bookmarkStart w:id="3243" w:name="section_fc0a85cab9764ffd9cd1c80bc90dcf34"/>
      <w:bookmarkStart w:id="3244" w:name="_Toc181684647"/>
      <w:r>
        <w:t>Part 1 Section 21.3.2.24, style (Shape Style)</w:t>
      </w:r>
      <w:bookmarkEnd w:id="3243"/>
      <w:bookmarkEnd w:id="3244"/>
      <w:r>
        <w:fldChar w:fldCharType="begin"/>
      </w:r>
      <w:r>
        <w:instrText xml:space="preserve"> XE "style (Shape Style)" </w:instrText>
      </w:r>
      <w:r>
        <w:fldChar w:fldCharType="end"/>
      </w:r>
    </w:p>
    <w:p w:rsidR="000A156F" w:rsidRDefault="00A9721F">
      <w:pPr>
        <w:pStyle w:val="Definition-Field"/>
      </w:pPr>
      <w:r>
        <w:t xml:space="preserve">a.   </w:t>
      </w:r>
      <w:r>
        <w:rPr>
          <w:i/>
        </w:rPr>
        <w:t>The standard states that chil</w:t>
      </w:r>
      <w:r>
        <w:rPr>
          <w:i/>
        </w:rPr>
        <w:t>d element fontRef applies to parent elements pic, cxnSp and sp.</w:t>
      </w:r>
    </w:p>
    <w:p w:rsidR="000A156F" w:rsidRDefault="00A9721F">
      <w:pPr>
        <w:pStyle w:val="Definition-Field2"/>
      </w:pPr>
      <w:r>
        <w:t>In Office, the fontRef child element is not used for parent elements pic and cxnSp.</w:t>
      </w:r>
    </w:p>
    <w:p w:rsidR="000A156F" w:rsidRDefault="00A9721F">
      <w:pPr>
        <w:pStyle w:val="Definition-Field"/>
      </w:pPr>
      <w:r>
        <w:t xml:space="preserve">b.   </w:t>
      </w:r>
      <w:r>
        <w:rPr>
          <w:i/>
        </w:rPr>
        <w:t>The standard allows a sp, pic or cxnSp element to have similar formatting options defined in both the s</w:t>
      </w:r>
      <w:r>
        <w:rPr>
          <w:i/>
        </w:rPr>
        <w:t>tyle and spPr elements.</w:t>
      </w:r>
    </w:p>
    <w:p w:rsidR="000A156F" w:rsidRDefault="00A9721F">
      <w:pPr>
        <w:pStyle w:val="Definition-Field2"/>
      </w:pPr>
      <w:r>
        <w:t>In Office, shape properties defined on the parent element will override similar style components (lnRef, effectRef, fillRef, fontRef) defined in this element.</w:t>
      </w:r>
    </w:p>
    <w:p w:rsidR="000A156F" w:rsidRDefault="00A9721F">
      <w:pPr>
        <w:pStyle w:val="Definition-Field"/>
      </w:pPr>
      <w:r>
        <w:t xml:space="preserve">c.   </w:t>
      </w:r>
      <w:r>
        <w:rPr>
          <w:i/>
        </w:rPr>
        <w:t>The standard allows similar text formatting properties to be defined</w:t>
      </w:r>
      <w:r>
        <w:rPr>
          <w:i/>
        </w:rPr>
        <w:t xml:space="preserve"> for parent element sp by the style or txBody element.</w:t>
      </w:r>
    </w:p>
    <w:p w:rsidR="000A156F" w:rsidRDefault="00A9721F">
      <w:pPr>
        <w:pStyle w:val="Definition-Field2"/>
      </w:pPr>
      <w:r>
        <w:t>In Office, child elements in the txBody element will override similar style properties defined by child element fontRef.</w:t>
      </w:r>
    </w:p>
    <w:p w:rsidR="000A156F" w:rsidRDefault="00A9721F">
      <w:pPr>
        <w:pStyle w:val="Heading3"/>
      </w:pPr>
      <w:bookmarkStart w:id="3245" w:name="section_2cfcb2b25a5b4d8caf20267762478810"/>
      <w:bookmarkStart w:id="3246" w:name="_Toc181684648"/>
      <w:r>
        <w:t>Part 1 Section 21.3.2.25, to (Ending Anchor Point)</w:t>
      </w:r>
      <w:bookmarkEnd w:id="3245"/>
      <w:bookmarkEnd w:id="3246"/>
      <w:r>
        <w:fldChar w:fldCharType="begin"/>
      </w:r>
      <w:r>
        <w:instrText xml:space="preserve"> XE "to (Ending Anchor Point)"</w:instrText>
      </w:r>
      <w:r>
        <w:instrText xml:space="preserve"> </w:instrText>
      </w:r>
      <w:r>
        <w:fldChar w:fldCharType="end"/>
      </w:r>
    </w:p>
    <w:p w:rsidR="000A156F" w:rsidRDefault="00A9721F">
      <w:pPr>
        <w:pStyle w:val="Definition-Field"/>
      </w:pPr>
      <w:r>
        <w:t xml:space="preserve">a.   </w:t>
      </w:r>
      <w:r>
        <w:rPr>
          <w:i/>
        </w:rPr>
        <w:t>The standard does not include restrictions regarding the relative size of 'from x' and 'from y' with respect to 'to x' and 'to y'.</w:t>
      </w:r>
    </w:p>
    <w:p w:rsidR="000A156F" w:rsidRDefault="00A9721F">
      <w:r>
        <w:t>Office places additional restrictions on the relative size of 'from x' and 'from y’ as follows:</w:t>
      </w:r>
    </w:p>
    <w:p w:rsidR="000A156F" w:rsidRDefault="00A9721F">
      <w:r>
        <w:t xml:space="preserve">The left side (from </w:t>
      </w:r>
      <w:r>
        <w:t>x) should be less than or equal to the right side (to x).</w:t>
      </w:r>
    </w:p>
    <w:p w:rsidR="000A156F" w:rsidRDefault="00A9721F">
      <w:r>
        <w:t>The top side (from y) should be less than or equal to the bottom side (to y).</w:t>
      </w:r>
    </w:p>
    <w:p w:rsidR="000A156F" w:rsidRDefault="00A9721F">
      <w:r>
        <w:t xml:space="preserve">If these restrictions are not met, Office uses the values described in the 2D transform (xfrm), if they are valid. If </w:t>
      </w:r>
      <w:r>
        <w:t>these values are not valid, Office does not render the shape.</w:t>
      </w:r>
    </w:p>
    <w:p w:rsidR="000A156F" w:rsidRDefault="00A9721F">
      <w:pPr>
        <w:pStyle w:val="Heading3"/>
      </w:pPr>
      <w:bookmarkStart w:id="3247" w:name="section_b4fc71bd2d784480b089944ce35dc6b2"/>
      <w:bookmarkStart w:id="3248" w:name="_Toc181684649"/>
      <w:r>
        <w:t>Part 1 Section 21.3.2.26, txBody (Shape Text Body)</w:t>
      </w:r>
      <w:bookmarkEnd w:id="3247"/>
      <w:bookmarkEnd w:id="3248"/>
      <w:r>
        <w:fldChar w:fldCharType="begin"/>
      </w:r>
      <w:r>
        <w:instrText xml:space="preserve"> XE "txBody (Shape Text Body)" </w:instrText>
      </w:r>
      <w:r>
        <w:fldChar w:fldCharType="end"/>
      </w:r>
    </w:p>
    <w:p w:rsidR="000A156F" w:rsidRDefault="00A9721F">
      <w:pPr>
        <w:pStyle w:val="Definition-Field"/>
      </w:pPr>
      <w:r>
        <w:t xml:space="preserve">a.   </w:t>
      </w:r>
      <w:r>
        <w:rPr>
          <w:i/>
        </w:rPr>
        <w:t>The standard does not describe the relationship between similar properties in child elements p (text para</w:t>
      </w:r>
      <w:r>
        <w:rPr>
          <w:i/>
        </w:rPr>
        <w:t>graphs) and lstStyle (text list styles).</w:t>
      </w:r>
    </w:p>
    <w:p w:rsidR="000A156F" w:rsidRDefault="00A9721F">
      <w:pPr>
        <w:pStyle w:val="Definition-Field2"/>
      </w:pPr>
      <w:r>
        <w:t>In Office, if no text list styles are defined in a paragraph, styles from lstStyle are used. If no list styles are defined in a paragraph, and there is no lstStyle defined, the text in the list defaults to the curre</w:t>
      </w:r>
      <w:r>
        <w:t>nt text style.</w:t>
      </w:r>
    </w:p>
    <w:p w:rsidR="000A156F" w:rsidRDefault="00A9721F">
      <w:pPr>
        <w:pStyle w:val="Heading3"/>
      </w:pPr>
      <w:bookmarkStart w:id="3249" w:name="section_6f9a9b19ddc94304bacdb4245a8b9b3d"/>
      <w:bookmarkStart w:id="3250" w:name="_Toc181684650"/>
      <w:r>
        <w:lastRenderedPageBreak/>
        <w:t>Part 1 Section 21.3.2.28, xfrm (Graphic Frame Transform)</w:t>
      </w:r>
      <w:bookmarkEnd w:id="3249"/>
      <w:bookmarkEnd w:id="3250"/>
      <w:r>
        <w:fldChar w:fldCharType="begin"/>
      </w:r>
      <w:r>
        <w:instrText xml:space="preserve"> XE "xfrm (Graphic Frame Transform)"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0A156F" w:rsidRDefault="00A9721F">
      <w:pPr>
        <w:pStyle w:val="Definition-Field"/>
      </w:pPr>
      <w:r>
        <w:t xml:space="preserve">a.   </w:t>
      </w:r>
      <w:r>
        <w:rPr>
          <w:i/>
        </w:rPr>
        <w:t>The standard includes attributes flipH, flipV and rot for the xfrm element.</w:t>
      </w:r>
    </w:p>
    <w:p w:rsidR="000A156F" w:rsidRDefault="00A9721F">
      <w:pPr>
        <w:pStyle w:val="Definition-Field2"/>
      </w:pPr>
      <w:r>
        <w:t xml:space="preserve">Office does not support the flipH, flipV and rot attributes for graphic frames in chart drawings. Any value loaded will not be written back to the </w:t>
      </w:r>
      <w:r>
        <w:t>file on save.</w:t>
      </w:r>
    </w:p>
    <w:p w:rsidR="000A156F" w:rsidRDefault="00A9721F">
      <w:pPr>
        <w:pStyle w:val="Definition-Field"/>
      </w:pPr>
      <w:r>
        <w:t xml:space="preserve">b.   </w:t>
      </w:r>
      <w:r>
        <w:rPr>
          <w:i/>
        </w:rPr>
        <w:t>The standard includes ext and off as child elements of xfrm.</w:t>
      </w:r>
    </w:p>
    <w:p w:rsidR="000A156F" w:rsidRDefault="00A9721F">
      <w:pPr>
        <w:pStyle w:val="Definition-Field2"/>
      </w:pPr>
      <w:r>
        <w:t>Elements ext (Extents) and off (Offset) are used by Excel only if the graphic frame is inside of a group. If the graphic frame is not inside a group, the application will alway</w:t>
      </w:r>
      <w:r>
        <w:t>s write 0 for the attribute values of both elements.</w:t>
      </w:r>
    </w:p>
    <w:p w:rsidR="000A156F" w:rsidRDefault="00A9721F">
      <w:pPr>
        <w:pStyle w:val="Heading3"/>
      </w:pPr>
      <w:bookmarkStart w:id="3251" w:name="section_a9b2a24bc8f94d7c90adfd2fda3d0aa1"/>
      <w:bookmarkStart w:id="3252" w:name="_Toc181684651"/>
      <w:r>
        <w:t>Part 1 Section 21.4.2.1, adj (Shape Adjust)</w:t>
      </w:r>
      <w:bookmarkEnd w:id="3251"/>
      <w:bookmarkEnd w:id="3252"/>
      <w:r>
        <w:fldChar w:fldCharType="begin"/>
      </w:r>
      <w:r>
        <w:instrText xml:space="preserve"> XE "adj (Shape Adjust)" </w:instrText>
      </w:r>
      <w:r>
        <w:fldChar w:fldCharType="end"/>
      </w:r>
    </w:p>
    <w:p w:rsidR="000A156F" w:rsidRDefault="00A9721F">
      <w:pPr>
        <w:pStyle w:val="Definition-Field"/>
      </w:pPr>
      <w:r>
        <w:t xml:space="preserve">a.   </w:t>
      </w:r>
      <w:r>
        <w:rPr>
          <w:i/>
        </w:rPr>
        <w:t>The standard is unclear on what the @idx attribute is a reference to.</w:t>
      </w:r>
    </w:p>
    <w:p w:rsidR="000A156F" w:rsidRDefault="00A9721F">
      <w:pPr>
        <w:pStyle w:val="Definition-Field2"/>
      </w:pPr>
      <w:r>
        <w:t>The @idx is an index to the list of shape adjust guides d</w:t>
      </w:r>
      <w:r>
        <w:t>efined for the parent shape. These guides are listed under the avLst element in the shape definitions, defined in the preset shape geometries electronic addenda of Annex D.</w:t>
      </w:r>
    </w:p>
    <w:p w:rsidR="000A156F" w:rsidRDefault="00A9721F">
      <w:pPr>
        <w:pStyle w:val="Definition-Field"/>
      </w:pPr>
      <w:r>
        <w:t xml:space="preserve">b.   </w:t>
      </w:r>
      <w:r>
        <w:rPr>
          <w:i/>
        </w:rPr>
        <w:t>The standard is unclear on the types of values acceptable in the @val attribut</w:t>
      </w:r>
      <w:r>
        <w:rPr>
          <w:i/>
        </w:rPr>
        <w:t>e.</w:t>
      </w:r>
    </w:p>
    <w:p w:rsidR="000A156F" w:rsidRDefault="00A9721F">
      <w:pPr>
        <w:pStyle w:val="Definition-Field2"/>
      </w:pPr>
      <w:r>
        <w:t>If the adj element refers to a shape adjust handle based on rotation, the @val attribute accepts values in degrees.</w:t>
      </w:r>
    </w:p>
    <w:p w:rsidR="000A156F" w:rsidRDefault="00A9721F">
      <w:pPr>
        <w:pStyle w:val="Heading3"/>
      </w:pPr>
      <w:bookmarkStart w:id="3253" w:name="section_c5fa41c376e24122a014ef3257b4e280"/>
      <w:bookmarkStart w:id="3254" w:name="_Toc181684652"/>
      <w:r>
        <w:t>Part 1 Section 21.4.2.7, clrData (Color Transform Sample Data)</w:t>
      </w:r>
      <w:bookmarkEnd w:id="3253"/>
      <w:bookmarkEnd w:id="3254"/>
      <w:r>
        <w:fldChar w:fldCharType="begin"/>
      </w:r>
      <w:r>
        <w:instrText xml:space="preserve"> XE "clrData (Color Transform Sample Data)" </w:instrText>
      </w:r>
      <w:r>
        <w:fldChar w:fldCharType="end"/>
      </w:r>
    </w:p>
    <w:p w:rsidR="000A156F" w:rsidRDefault="00A9721F">
      <w:pPr>
        <w:pStyle w:val="Definition-Field2"/>
      </w:pPr>
      <w:r>
        <w:rPr>
          <w:i/>
        </w:rPr>
        <w:t>For additional notes that ap</w:t>
      </w:r>
      <w:r>
        <w:rPr>
          <w:i/>
        </w:rPr>
        <w:t xml:space="preserve">ply to this portion of the standard, please see the notes for </w:t>
      </w:r>
      <w:hyperlink w:anchor="Section_03602c0c4e48496a96881c9f8d446fd0">
        <w:r>
          <w:rPr>
            <w:rStyle w:val="Hyperlink"/>
          </w:rPr>
          <w:t>sampData, §21.4.2.26(a)</w:t>
        </w:r>
      </w:hyperlink>
      <w:r>
        <w:rPr>
          <w:i/>
        </w:rPr>
        <w:t>.</w:t>
      </w:r>
    </w:p>
    <w:p w:rsidR="000A156F" w:rsidRDefault="00A9721F">
      <w:pPr>
        <w:pStyle w:val="Heading3"/>
      </w:pPr>
      <w:bookmarkStart w:id="3255" w:name="section_0523e379c86b46ecb61f82d5b35c518d"/>
      <w:bookmarkStart w:id="3256" w:name="_Toc181684653"/>
      <w:r>
        <w:t>Part 1 Section 21.4.2.13, extLst (Extension List)</w:t>
      </w:r>
      <w:bookmarkEnd w:id="3255"/>
      <w:bookmarkEnd w:id="3256"/>
      <w:r>
        <w:fldChar w:fldCharType="begin"/>
      </w:r>
      <w:r>
        <w:instrText xml:space="preserve"> XE "extLst (Extension List)" </w:instrText>
      </w:r>
      <w:r>
        <w:fldChar w:fldCharType="end"/>
      </w:r>
    </w:p>
    <w:p w:rsidR="000A156F" w:rsidRDefault="00A9721F">
      <w:pPr>
        <w:pStyle w:val="Definition-Field"/>
      </w:pPr>
      <w:r>
        <w:t xml:space="preserve">a.   </w:t>
      </w:r>
      <w:r>
        <w:rPr>
          <w:i/>
        </w:rPr>
        <w:t>The standard implie</w:t>
      </w:r>
      <w:r>
        <w:rPr>
          <w:i/>
        </w:rPr>
        <w:t>s that the extLst element cannot have any child elements.</w:t>
      </w:r>
    </w:p>
    <w:p w:rsidR="000A156F" w:rsidRDefault="00A9721F">
      <w:pPr>
        <w:pStyle w:val="Definition-Field2"/>
      </w:pPr>
      <w:r>
        <w:t>Office requires this element to have at least one child element.</w:t>
      </w:r>
    </w:p>
    <w:p w:rsidR="000A156F" w:rsidRDefault="00A9721F">
      <w:pPr>
        <w:pStyle w:val="Heading3"/>
      </w:pPr>
      <w:bookmarkStart w:id="3257" w:name="section_9089ac8522124002b759a9b6bcbdfdc3"/>
      <w:bookmarkStart w:id="3258" w:name="_Toc181684654"/>
      <w:r>
        <w:t>Part 1 Section 21.4.2.14, forEach (For Each)</w:t>
      </w:r>
      <w:bookmarkEnd w:id="3257"/>
      <w:bookmarkEnd w:id="3258"/>
      <w:r>
        <w:fldChar w:fldCharType="begin"/>
      </w:r>
      <w:r>
        <w:instrText xml:space="preserve"> XE "forEach (For Each)" </w:instrText>
      </w:r>
      <w:r>
        <w:fldChar w:fldCharType="end"/>
      </w:r>
    </w:p>
    <w:p w:rsidR="000A156F" w:rsidRDefault="00A9721F">
      <w:pPr>
        <w:pStyle w:val="Definition-Field"/>
      </w:pPr>
      <w:r>
        <w:t xml:space="preserve">a.   </w:t>
      </w:r>
      <w:r>
        <w:rPr>
          <w:i/>
        </w:rPr>
        <w:t xml:space="preserve">The standard states that the name attribute specifies a </w:t>
      </w:r>
      <w:r>
        <w:rPr>
          <w:i/>
        </w:rPr>
        <w:t>unique identifier for the layout node.</w:t>
      </w:r>
    </w:p>
    <w:p w:rsidR="000A156F" w:rsidRDefault="00A9721F">
      <w:pPr>
        <w:pStyle w:val="Definition-Field2"/>
      </w:pPr>
      <w:r>
        <w:t>Office uses this attribute to specify a unique identifier for the iteration.</w:t>
      </w:r>
    </w:p>
    <w:p w:rsidR="000A156F" w:rsidRDefault="00A9721F">
      <w:pPr>
        <w:pStyle w:val="Definition-Field"/>
      </w:pPr>
      <w:r>
        <w:t xml:space="preserve">b.   </w:t>
      </w:r>
      <w:r>
        <w:rPr>
          <w:i/>
        </w:rPr>
        <w:t>The standard describes the forEach element as a simple iteration.</w:t>
      </w:r>
    </w:p>
    <w:p w:rsidR="000A156F" w:rsidRDefault="00A9721F">
      <w:r>
        <w:t>For Office, it is assumed that forEach describes a pattern for iterat</w:t>
      </w:r>
      <w:r>
        <w:t>ing through elements in the data model. The way the data model tree is walked is specified by a forEach expression. The attributes axis, cnt, hideLastTrans, ptType, st and step can each be a single value or list of values. Use an array of values to perform</w:t>
      </w:r>
      <w:r>
        <w:t xml:space="preserve"> multiple iterations in the same forEach that will iterate elements in the data model like nested forEach elements.</w:t>
      </w:r>
    </w:p>
    <w:p w:rsidR="000A156F" w:rsidRDefault="00A9721F">
      <w:pPr>
        <w:pStyle w:val="Heading3"/>
      </w:pPr>
      <w:bookmarkStart w:id="3259" w:name="section_d2c9fd05dde64a48b4b7ef75f301b630"/>
      <w:bookmarkStart w:id="3260" w:name="_Toc181684655"/>
      <w:r>
        <w:t>Part 1 Section 21.4.2.20, param (Parameter)</w:t>
      </w:r>
      <w:bookmarkEnd w:id="3259"/>
      <w:bookmarkEnd w:id="3260"/>
      <w:r>
        <w:fldChar w:fldCharType="begin"/>
      </w:r>
      <w:r>
        <w:instrText xml:space="preserve"> XE "param (Parameter)" </w:instrText>
      </w:r>
      <w:r>
        <w:fldChar w:fldCharType="end"/>
      </w:r>
    </w:p>
    <w:p w:rsidR="000A156F" w:rsidRDefault="00A9721F">
      <w:pPr>
        <w:pStyle w:val="Definition-Field"/>
      </w:pPr>
      <w:r>
        <w:t xml:space="preserve">a.   </w:t>
      </w:r>
      <w:r>
        <w:rPr>
          <w:i/>
        </w:rPr>
        <w:t>The standard states that the val attribute is required.</w:t>
      </w:r>
    </w:p>
    <w:p w:rsidR="000A156F" w:rsidRDefault="00A9721F">
      <w:pPr>
        <w:pStyle w:val="Definition-Field2"/>
      </w:pPr>
      <w:r>
        <w:lastRenderedPageBreak/>
        <w:t xml:space="preserve">Office </w:t>
      </w:r>
      <w:r>
        <w:t>does not require this attribute; default values are assigned to it based on the value of the type attribute.</w:t>
      </w:r>
    </w:p>
    <w:p w:rsidR="000A156F" w:rsidRDefault="00A9721F">
      <w:pPr>
        <w:pStyle w:val="Heading3"/>
      </w:pPr>
      <w:bookmarkStart w:id="3261" w:name="section_03602c0c4e48496a96881c9f8d446fd0"/>
      <w:bookmarkStart w:id="3262" w:name="_Toc181684656"/>
      <w:r>
        <w:t>Part 1 Section 21.4.2.26, sampData (Sample Data)</w:t>
      </w:r>
      <w:bookmarkEnd w:id="3261"/>
      <w:bookmarkEnd w:id="3262"/>
      <w:r>
        <w:fldChar w:fldCharType="begin"/>
      </w:r>
      <w:r>
        <w:instrText xml:space="preserve"> XE "sampData (Sample Data)" </w:instrText>
      </w:r>
      <w:r>
        <w:fldChar w:fldCharType="end"/>
      </w:r>
    </w:p>
    <w:p w:rsidR="000A156F" w:rsidRDefault="00A9721F">
      <w:pPr>
        <w:pStyle w:val="Definition-Field"/>
      </w:pPr>
      <w:r>
        <w:t xml:space="preserve">a.   </w:t>
      </w:r>
      <w:r>
        <w:rPr>
          <w:i/>
        </w:rPr>
        <w:t>The standard states that the useDef attribute specifies whethe</w:t>
      </w:r>
      <w:r>
        <w:rPr>
          <w:i/>
        </w:rPr>
        <w:t>r or not the data model defined in the clrData element should be used.</w:t>
      </w:r>
    </w:p>
    <w:p w:rsidR="000A156F" w:rsidRDefault="00A9721F">
      <w:pPr>
        <w:pStyle w:val="Definition-Field2"/>
      </w:pPr>
      <w:r>
        <w:t>Office uses the useDef attribute to specify whether or not the data model defined in the styleData element should be used.</w:t>
      </w:r>
    </w:p>
    <w:p w:rsidR="000A156F" w:rsidRDefault="00A9721F">
      <w:pPr>
        <w:pStyle w:val="Heading3"/>
      </w:pPr>
      <w:bookmarkStart w:id="3263" w:name="section_448f4ba77be242509af1a1e80d2cfc02"/>
      <w:bookmarkStart w:id="3264" w:name="_Toc181684657"/>
      <w:r>
        <w:t>Part 1 Section 21.4.2.27, shape (Shape)</w:t>
      </w:r>
      <w:bookmarkEnd w:id="3263"/>
      <w:bookmarkEnd w:id="3264"/>
      <w:r>
        <w:fldChar w:fldCharType="begin"/>
      </w:r>
      <w:r>
        <w:instrText xml:space="preserve"> XE "shape (Shape)" </w:instrText>
      </w:r>
      <w:r>
        <w:fldChar w:fldCharType="end"/>
      </w:r>
    </w:p>
    <w:p w:rsidR="000A156F" w:rsidRDefault="00A9721F">
      <w:pPr>
        <w:pStyle w:val="Definition-Field"/>
      </w:pPr>
      <w:r>
        <w:t xml:space="preserve">a.   </w:t>
      </w:r>
      <w:r>
        <w:rPr>
          <w:i/>
        </w:rPr>
        <w:t>The standard states that the lkTxEntry attribute prevents text editing on a shape.</w:t>
      </w:r>
    </w:p>
    <w:p w:rsidR="000A156F" w:rsidRDefault="00A9721F">
      <w:pPr>
        <w:pStyle w:val="Definition-Field2"/>
      </w:pPr>
      <w:r>
        <w:t>Office ignores this attribute.</w:t>
      </w:r>
    </w:p>
    <w:p w:rsidR="000A156F" w:rsidRDefault="00A9721F">
      <w:pPr>
        <w:pStyle w:val="Heading3"/>
      </w:pPr>
      <w:bookmarkStart w:id="3265" w:name="section_4bf644d5b93347c58bbc110dc7e55741"/>
      <w:bookmarkStart w:id="3266" w:name="_Toc181684658"/>
      <w:r>
        <w:t>Part 1 Section 21.4.2.29, styleData (Style Data)</w:t>
      </w:r>
      <w:bookmarkEnd w:id="3265"/>
      <w:bookmarkEnd w:id="3266"/>
      <w:r>
        <w:fldChar w:fldCharType="begin"/>
      </w:r>
      <w:r>
        <w:instrText xml:space="preserve"> XE "styleData (Style Data)" </w:instrText>
      </w:r>
      <w:r>
        <w:fldChar w:fldCharType="end"/>
      </w:r>
    </w:p>
    <w:p w:rsidR="000A156F" w:rsidRDefault="00A9721F">
      <w:pPr>
        <w:pStyle w:val="Definition-Field2"/>
      </w:pPr>
      <w:r>
        <w:rPr>
          <w:i/>
        </w:rPr>
        <w:t>For additional notes that apply to this portion of the st</w:t>
      </w:r>
      <w:r>
        <w:rPr>
          <w:i/>
        </w:rPr>
        <w:t xml:space="preserve">andard, please see the notes for </w:t>
      </w:r>
      <w:hyperlink w:anchor="Section_03602c0c4e48496a96881c9f8d446fd0">
        <w:r>
          <w:rPr>
            <w:rStyle w:val="Hyperlink"/>
          </w:rPr>
          <w:t>sampData, §21.4.2.26(a)</w:t>
        </w:r>
      </w:hyperlink>
      <w:r>
        <w:rPr>
          <w:i/>
        </w:rPr>
        <w:t>.</w:t>
      </w:r>
    </w:p>
    <w:p w:rsidR="000A156F" w:rsidRDefault="00A9721F">
      <w:pPr>
        <w:pStyle w:val="Heading3"/>
      </w:pPr>
      <w:bookmarkStart w:id="3267" w:name="section_f1f030c79c8a418db6e52ae4c675d0e9"/>
      <w:bookmarkStart w:id="3268" w:name="_Toc181684659"/>
      <w:r>
        <w:t>Part 1 Section 21.4.3.2, cxn (Connection)</w:t>
      </w:r>
      <w:bookmarkEnd w:id="3267"/>
      <w:bookmarkEnd w:id="3268"/>
      <w:r>
        <w:fldChar w:fldCharType="begin"/>
      </w:r>
      <w:r>
        <w:instrText xml:space="preserve"> XE "cxn (Connection)" </w:instrText>
      </w:r>
      <w:r>
        <w:fldChar w:fldCharType="end"/>
      </w:r>
    </w:p>
    <w:p w:rsidR="000A156F" w:rsidRDefault="00A9721F">
      <w:pPr>
        <w:pStyle w:val="Definition-Field"/>
      </w:pPr>
      <w:r>
        <w:t xml:space="preserve">a.   </w:t>
      </w:r>
      <w:r>
        <w:rPr>
          <w:i/>
        </w:rPr>
        <w:t>The standard places no restrictions on the number of parents as</w:t>
      </w:r>
      <w:r>
        <w:rPr>
          <w:i/>
        </w:rPr>
        <w:t>sociated with a node.</w:t>
      </w:r>
    </w:p>
    <w:p w:rsidR="000A156F" w:rsidRDefault="00A9721F">
      <w:pPr>
        <w:pStyle w:val="Definition-Field2"/>
      </w:pPr>
      <w:r>
        <w:t>Office requires that there be no more than one parent for any given node; for example, no more than one connection of type parOf or presParOf for any given destId.  As a result, destOrd is ignored.</w:t>
      </w:r>
    </w:p>
    <w:p w:rsidR="000A156F" w:rsidRDefault="00A9721F">
      <w:pPr>
        <w:pStyle w:val="Definition-Field"/>
      </w:pPr>
      <w:r>
        <w:t xml:space="preserve">b.   </w:t>
      </w:r>
      <w:r>
        <w:rPr>
          <w:i/>
        </w:rPr>
        <w:t>The standard states that the pa</w:t>
      </w:r>
      <w:r>
        <w:rPr>
          <w:i/>
        </w:rPr>
        <w:t>rTransId attribute is optional.</w:t>
      </w:r>
    </w:p>
    <w:p w:rsidR="000A156F" w:rsidRDefault="00A9721F">
      <w:pPr>
        <w:pStyle w:val="Definition-Field2"/>
      </w:pPr>
      <w:r>
        <w:t>Office requires this attribute when the type attribute is set to parOf and ignores this attribute otherwise.</w:t>
      </w:r>
    </w:p>
    <w:p w:rsidR="000A156F" w:rsidRDefault="00A9721F">
      <w:pPr>
        <w:pStyle w:val="Definition-Field"/>
      </w:pPr>
      <w:r>
        <w:t xml:space="preserve">c.   </w:t>
      </w:r>
      <w:r>
        <w:rPr>
          <w:i/>
        </w:rPr>
        <w:t>The standard states that the presId attribute is optional.</w:t>
      </w:r>
    </w:p>
    <w:p w:rsidR="000A156F" w:rsidRDefault="00A9721F">
      <w:pPr>
        <w:pStyle w:val="Definition-Field2"/>
      </w:pPr>
      <w:r>
        <w:t>Office requires this attribute when the type attrib</w:t>
      </w:r>
      <w:r>
        <w:t>ute is set to presOf and ignores this attribute otherwise.</w:t>
      </w:r>
    </w:p>
    <w:p w:rsidR="000A156F" w:rsidRDefault="00A9721F">
      <w:pPr>
        <w:pStyle w:val="Definition-Field"/>
      </w:pPr>
      <w:r>
        <w:t xml:space="preserve">d.   </w:t>
      </w:r>
      <w:r>
        <w:rPr>
          <w:i/>
        </w:rPr>
        <w:t>The standard states that the sibTransId attribute is optional.</w:t>
      </w:r>
    </w:p>
    <w:p w:rsidR="000A156F" w:rsidRDefault="00A9721F">
      <w:pPr>
        <w:pStyle w:val="Definition-Field2"/>
      </w:pPr>
      <w:r>
        <w:t>Office requires this attribute when the type attribute is set to parOf and ignores this attribute otherwise.</w:t>
      </w:r>
    </w:p>
    <w:p w:rsidR="000A156F" w:rsidRDefault="00A9721F">
      <w:pPr>
        <w:pStyle w:val="Heading3"/>
      </w:pPr>
      <w:bookmarkStart w:id="3269" w:name="section_5a38b917dcd14a5d8788ae1f29d60b07"/>
      <w:bookmarkStart w:id="3270" w:name="_Toc181684660"/>
      <w:r>
        <w:t>Part 1 Section 21.4.</w:t>
      </w:r>
      <w:r>
        <w:t>3.4, prSet (Property Set)</w:t>
      </w:r>
      <w:bookmarkEnd w:id="3269"/>
      <w:bookmarkEnd w:id="3270"/>
      <w:r>
        <w:fldChar w:fldCharType="begin"/>
      </w:r>
      <w:r>
        <w:instrText xml:space="preserve"> XE "prSet (Property Set)" </w:instrText>
      </w:r>
      <w:r>
        <w:fldChar w:fldCharType="end"/>
      </w:r>
    </w:p>
    <w:p w:rsidR="000A156F" w:rsidRDefault="00A9721F">
      <w:pPr>
        <w:pStyle w:val="Definition-Field"/>
      </w:pPr>
      <w:r>
        <w:t xml:space="preserve">a.   </w:t>
      </w:r>
      <w:r>
        <w:rPr>
          <w:i/>
        </w:rPr>
        <w:t>The standard states that the presAssocID attribute is optional.</w:t>
      </w:r>
    </w:p>
    <w:p w:rsidR="000A156F" w:rsidRDefault="00A9721F">
      <w:pPr>
        <w:pStyle w:val="Definition-Field2"/>
      </w:pPr>
      <w:r>
        <w:t>Office requires this attribute.</w:t>
      </w:r>
    </w:p>
    <w:p w:rsidR="000A156F" w:rsidRDefault="00A9721F">
      <w:pPr>
        <w:pStyle w:val="Definition-Field"/>
      </w:pPr>
      <w:r>
        <w:t xml:space="preserve">b.   </w:t>
      </w:r>
      <w:r>
        <w:rPr>
          <w:i/>
        </w:rPr>
        <w:t>The standard states that the presName attribute is optional.</w:t>
      </w:r>
    </w:p>
    <w:p w:rsidR="000A156F" w:rsidRDefault="00A9721F">
      <w:pPr>
        <w:pStyle w:val="Definition-Field2"/>
      </w:pPr>
      <w:r>
        <w:t xml:space="preserve">Office requires this attribute on </w:t>
      </w:r>
      <w:r>
        <w:t>the root presentation element.</w:t>
      </w:r>
    </w:p>
    <w:p w:rsidR="000A156F" w:rsidRDefault="00A9721F">
      <w:pPr>
        <w:pStyle w:val="Heading3"/>
      </w:pPr>
      <w:bookmarkStart w:id="3271" w:name="section_bb6cb160531d4452a00d2870294901c8"/>
      <w:bookmarkStart w:id="3272" w:name="_Toc181684661"/>
      <w:r>
        <w:t>Part 1 Section 21.4.3.5, pt (Point)</w:t>
      </w:r>
      <w:bookmarkEnd w:id="3271"/>
      <w:bookmarkEnd w:id="3272"/>
      <w:r>
        <w:fldChar w:fldCharType="begin"/>
      </w:r>
      <w:r>
        <w:instrText xml:space="preserve"> XE "pt (Point)" </w:instrText>
      </w:r>
      <w:r>
        <w:fldChar w:fldCharType="end"/>
      </w:r>
    </w:p>
    <w:p w:rsidR="000A156F" w:rsidRDefault="00A9721F">
      <w:pPr>
        <w:pStyle w:val="Definition-Field"/>
      </w:pPr>
      <w:r>
        <w:t xml:space="preserve">a.   </w:t>
      </w:r>
      <w:r>
        <w:rPr>
          <w:i/>
        </w:rPr>
        <w:t>The standard states that the cxnId attribute is optional.</w:t>
      </w:r>
    </w:p>
    <w:p w:rsidR="000A156F" w:rsidRDefault="00A9721F">
      <w:pPr>
        <w:pStyle w:val="Definition-Field2"/>
      </w:pPr>
      <w:r>
        <w:lastRenderedPageBreak/>
        <w:t>Office requires this attribute when the type attribute is set to parTrans or sibTrans and ignores this attr</w:t>
      </w:r>
      <w:r>
        <w:t>ibute otherwise.</w:t>
      </w:r>
    </w:p>
    <w:p w:rsidR="000A156F" w:rsidRDefault="00A9721F">
      <w:pPr>
        <w:pStyle w:val="Heading3"/>
      </w:pPr>
      <w:bookmarkStart w:id="3273" w:name="section_18c455a3df65485ab55a1602f38c668d"/>
      <w:bookmarkStart w:id="3274" w:name="_Toc181684662"/>
      <w:r>
        <w:t>Part 1 Section 21.4.3.7, spPr (Shape Properties)</w:t>
      </w:r>
      <w:bookmarkEnd w:id="3273"/>
      <w:bookmarkEnd w:id="3274"/>
      <w:r>
        <w:fldChar w:fldCharType="begin"/>
      </w:r>
      <w:r>
        <w:instrText xml:space="preserve"> XE "spPr (Shape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10c455e7a6e44c5bf8cfb7c2b3e2eac">
        <w:r>
          <w:rPr>
            <w:rStyle w:val="Hyperlink"/>
          </w:rPr>
          <w:t>spPr,</w:t>
        </w:r>
        <w:r>
          <w:rPr>
            <w:rStyle w:val="Hyperlink"/>
          </w:rPr>
          <w:t xml:space="preserve"> §20.5.2.30(a-c)</w:t>
        </w:r>
      </w:hyperlink>
      <w:r>
        <w:rPr>
          <w:i/>
        </w:rPr>
        <w:t>.</w:t>
      </w:r>
    </w:p>
    <w:p w:rsidR="000A156F" w:rsidRDefault="00A9721F">
      <w:pPr>
        <w:pStyle w:val="Definition-Field"/>
      </w:pPr>
      <w:r>
        <w:t xml:space="preserve">a.   </w:t>
      </w:r>
      <w:r>
        <w:rPr>
          <w:i/>
        </w:rPr>
        <w:t>The standard states that the grpFill element is a valid child of the spPr element.</w:t>
      </w:r>
    </w:p>
    <w:p w:rsidR="000A156F" w:rsidRDefault="00A9721F">
      <w:pPr>
        <w:pStyle w:val="Definition-Field2"/>
      </w:pPr>
      <w:r>
        <w:t>Office will display an empty (invisible) shape fill for any diagram shape with a group fill, regardless of the fill of the parent group.</w:t>
      </w:r>
    </w:p>
    <w:p w:rsidR="000A156F" w:rsidRDefault="00A9721F">
      <w:pPr>
        <w:pStyle w:val="Heading3"/>
      </w:pPr>
      <w:bookmarkStart w:id="3275" w:name="section_5c7d720478424485979866c87ab0258a"/>
      <w:bookmarkStart w:id="3276" w:name="_Toc181684663"/>
      <w:r>
        <w:t>Part 1 Section 21.4.3.8, t (Text Body)</w:t>
      </w:r>
      <w:bookmarkEnd w:id="3275"/>
      <w:bookmarkEnd w:id="3276"/>
      <w:r>
        <w:fldChar w:fldCharType="begin"/>
      </w:r>
      <w:r>
        <w:instrText xml:space="preserve"> XE "t (Text Body)" </w:instrText>
      </w:r>
      <w:r>
        <w:fldChar w:fldCharType="end"/>
      </w:r>
    </w:p>
    <w:p w:rsidR="000A156F" w:rsidRDefault="00A9721F">
      <w:pPr>
        <w:pStyle w:val="Definition-Field"/>
      </w:pPr>
      <w:r>
        <w:t xml:space="preserve">a.   </w:t>
      </w:r>
      <w:r>
        <w:rPr>
          <w:i/>
        </w:rPr>
        <w:t>The standard restricts a text body to single paragraph and no text runs.</w:t>
      </w:r>
    </w:p>
    <w:p w:rsidR="000A156F" w:rsidRDefault="00A9721F">
      <w:pPr>
        <w:pStyle w:val="Definition-Field2"/>
      </w:pPr>
      <w:r>
        <w:t>Office does not enforce this restriction.</w:t>
      </w:r>
    </w:p>
    <w:p w:rsidR="000A156F" w:rsidRDefault="00A9721F">
      <w:pPr>
        <w:pStyle w:val="Heading3"/>
      </w:pPr>
      <w:bookmarkStart w:id="3277" w:name="section_159e85d0568f49d2b6e9a0b97ff50a0d"/>
      <w:bookmarkStart w:id="3278" w:name="_Toc181684664"/>
      <w:r>
        <w:t>Part 1 Section 21.4.4.3, colorsDef (Color Transform Definitions)</w:t>
      </w:r>
      <w:bookmarkEnd w:id="3277"/>
      <w:bookmarkEnd w:id="3278"/>
      <w:r>
        <w:fldChar w:fldCharType="begin"/>
      </w:r>
      <w:r>
        <w:instrText xml:space="preserve"> XE "colorsDef (Color Transform Definitions)" </w:instrText>
      </w:r>
      <w:r>
        <w:fldChar w:fldCharType="end"/>
      </w:r>
    </w:p>
    <w:p w:rsidR="000A156F" w:rsidRDefault="00A9721F">
      <w:pPr>
        <w:pStyle w:val="Definition-Field"/>
      </w:pPr>
      <w:r>
        <w:t xml:space="preserve">a.   </w:t>
      </w:r>
      <w:r>
        <w:rPr>
          <w:i/>
        </w:rPr>
        <w:t>The standard states that the values of the minVer attribute are defined by the XML Schema string datatype.</w:t>
      </w:r>
    </w:p>
    <w:p w:rsidR="000A156F" w:rsidRDefault="00A9721F">
      <w:pPr>
        <w:pStyle w:val="Definition-Field2"/>
      </w:pPr>
      <w:r>
        <w:t>Office requires the value of this attribute to be 12.0.</w:t>
      </w:r>
    </w:p>
    <w:p w:rsidR="000A156F" w:rsidRDefault="00A9721F">
      <w:pPr>
        <w:pStyle w:val="Heading3"/>
      </w:pPr>
      <w:bookmarkStart w:id="3279" w:name="section_4012c5a0ae0041ed9248616ef4442075"/>
      <w:bookmarkStart w:id="3280" w:name="_Toc181684665"/>
      <w:r>
        <w:t>Part 1 Section 21.4.4.7, effectClrLst (</w:t>
      </w:r>
      <w:r>
        <w:t>Effect Color List)</w:t>
      </w:r>
      <w:bookmarkEnd w:id="3279"/>
      <w:bookmarkEnd w:id="3280"/>
      <w:r>
        <w:fldChar w:fldCharType="begin"/>
      </w:r>
      <w:r>
        <w:instrText xml:space="preserve"> XE "effectClrLst (Effect Color List)"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0A156F" w:rsidRDefault="00A9721F">
      <w:pPr>
        <w:pStyle w:val="Heading3"/>
      </w:pPr>
      <w:bookmarkStart w:id="3281" w:name="section_3e717d5315f14e0883322aa16e60798c"/>
      <w:bookmarkStart w:id="3282" w:name="_Toc181684666"/>
      <w:r>
        <w:t>Part 1 Section 21</w:t>
      </w:r>
      <w:r>
        <w:t>.4.4.8, fillClrLst (Fill Color List)</w:t>
      </w:r>
      <w:bookmarkEnd w:id="3281"/>
      <w:bookmarkEnd w:id="3282"/>
      <w:r>
        <w:fldChar w:fldCharType="begin"/>
      </w:r>
      <w:r>
        <w:instrText xml:space="preserve"> XE "fillClrLst (Fill Color List)" </w:instrText>
      </w:r>
      <w:r>
        <w:fldChar w:fldCharType="end"/>
      </w:r>
    </w:p>
    <w:p w:rsidR="000A156F" w:rsidRDefault="00A9721F">
      <w:pPr>
        <w:pStyle w:val="Definition-Field"/>
      </w:pPr>
      <w:r>
        <w:t xml:space="preserve">a.   </w:t>
      </w:r>
      <w:r>
        <w:rPr>
          <w:i/>
        </w:rPr>
        <w:t>The standard states that the fillClrLst element defines a list of colors which are used as fill colors in the color transform, and that those fill colors define the colors of th</w:t>
      </w:r>
      <w:r>
        <w:rPr>
          <w:i/>
        </w:rPr>
        <w:t>e nodes in a diagram.</w:t>
      </w:r>
    </w:p>
    <w:p w:rsidR="000A156F" w:rsidRDefault="00A9721F">
      <w:pPr>
        <w:pStyle w:val="Definition-Field2"/>
      </w:pPr>
      <w:r>
        <w:t>Office uses this element to specify a color sequence to be applied to the fill of the associated presentation elements of a diagram.</w:t>
      </w:r>
    </w:p>
    <w:p w:rsidR="000A156F" w:rsidRDefault="00A9721F">
      <w:pPr>
        <w:pStyle w:val="Definition-Field"/>
      </w:pPr>
      <w:r>
        <w:t xml:space="preserve">b.   </w:t>
      </w:r>
      <w:r>
        <w:rPr>
          <w:i/>
        </w:rPr>
        <w:t>The standard places no restrictions on the relationship between the meth attribute and the hueDi</w:t>
      </w:r>
      <w:r>
        <w:rPr>
          <w:i/>
        </w:rPr>
        <w:t>r attribute.</w:t>
      </w:r>
    </w:p>
    <w:p w:rsidR="000A156F" w:rsidRDefault="00A9721F">
      <w:pPr>
        <w:pStyle w:val="Definition-Field2"/>
      </w:pPr>
      <w:r>
        <w:t>Office ignores the hueDir attribute if the value of the meth attribute is repeat.</w:t>
      </w:r>
    </w:p>
    <w:p w:rsidR="000A156F" w:rsidRDefault="00A9721F">
      <w:pPr>
        <w:pStyle w:val="Heading3"/>
      </w:pPr>
      <w:bookmarkStart w:id="3283" w:name="section_c5f7cef6299c497aade49242eec0032b"/>
      <w:bookmarkStart w:id="3284" w:name="_Toc181684667"/>
      <w:r>
        <w:t>Part 1 Section 21.4.4.9, linClrLst (Line Color List)</w:t>
      </w:r>
      <w:bookmarkEnd w:id="3283"/>
      <w:bookmarkEnd w:id="3284"/>
      <w:r>
        <w:fldChar w:fldCharType="begin"/>
      </w:r>
      <w:r>
        <w:instrText xml:space="preserve"> XE "linClrLst (Line Color List)" </w:instrText>
      </w:r>
      <w:r>
        <w:fldChar w:fldCharType="end"/>
      </w:r>
    </w:p>
    <w:p w:rsidR="000A156F" w:rsidRDefault="00A9721F">
      <w:pPr>
        <w:pStyle w:val="Definition-Field2"/>
      </w:pPr>
      <w:r>
        <w:rPr>
          <w:i/>
        </w:rPr>
        <w:t xml:space="preserve">For additional notes that apply to this portion of the standard, please </w:t>
      </w:r>
      <w:r>
        <w:rPr>
          <w:i/>
        </w:rPr>
        <w:t xml:space="preserve">see the notes for </w:t>
      </w:r>
      <w:hyperlink w:anchor="Section_3e717d5315f14e0883322aa16e60798c">
        <w:r>
          <w:rPr>
            <w:rStyle w:val="Hyperlink"/>
          </w:rPr>
          <w:t>fillClrLst, §21.4.4.8(b)</w:t>
        </w:r>
      </w:hyperlink>
      <w:r>
        <w:rPr>
          <w:i/>
        </w:rPr>
        <w:t>.</w:t>
      </w:r>
    </w:p>
    <w:p w:rsidR="000A156F" w:rsidRDefault="00A9721F">
      <w:pPr>
        <w:pStyle w:val="Definition-Field"/>
      </w:pPr>
      <w:r>
        <w:t xml:space="preserve">a.   </w:t>
      </w:r>
      <w:r>
        <w:rPr>
          <w:i/>
        </w:rPr>
        <w:t xml:space="preserve">The standard states that the linClrLst element defines a list of colors which are used as line colors in the color transform, and that the line </w:t>
      </w:r>
      <w:r>
        <w:rPr>
          <w:i/>
        </w:rPr>
        <w:t>colors define the color of the lines used on a given node in a diagram.</w:t>
      </w:r>
    </w:p>
    <w:p w:rsidR="000A156F" w:rsidRDefault="00A9721F">
      <w:pPr>
        <w:pStyle w:val="Definition-Field2"/>
      </w:pPr>
      <w:r>
        <w:t>Office uses this element to specify a color sequence to be applied to the lines of the associated presentation elements of a diagram.</w:t>
      </w:r>
    </w:p>
    <w:p w:rsidR="000A156F" w:rsidRDefault="00A9721F">
      <w:pPr>
        <w:pStyle w:val="Heading3"/>
      </w:pPr>
      <w:bookmarkStart w:id="3285" w:name="section_ea27f7e7175b40d6b10d96f9eb8ae27d"/>
      <w:bookmarkStart w:id="3286" w:name="_Toc181684668"/>
      <w:r>
        <w:lastRenderedPageBreak/>
        <w:t>Part 1 Section 21.4.4.12, txEffectClrLst (Text Eff</w:t>
      </w:r>
      <w:r>
        <w:t>ect Color List)</w:t>
      </w:r>
      <w:bookmarkEnd w:id="3285"/>
      <w:bookmarkEnd w:id="3286"/>
      <w:r>
        <w:fldChar w:fldCharType="begin"/>
      </w:r>
      <w:r>
        <w:instrText xml:space="preserve"> XE "txEffectClrLst (Text Effect Color List)"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0A156F" w:rsidRDefault="00A9721F">
      <w:pPr>
        <w:pStyle w:val="Heading3"/>
      </w:pPr>
      <w:bookmarkStart w:id="3287" w:name="section_80e28031fe3448deabb40d562836d2a0"/>
      <w:bookmarkStart w:id="3288" w:name="_Toc181684669"/>
      <w:r>
        <w:t>Part 1 Sectio</w:t>
      </w:r>
      <w:r>
        <w:t>n 21.4.4.13, txFillClrLst (Text Fill Color List)</w:t>
      </w:r>
      <w:bookmarkEnd w:id="3287"/>
      <w:bookmarkEnd w:id="3288"/>
      <w:r>
        <w:fldChar w:fldCharType="begin"/>
      </w:r>
      <w:r>
        <w:instrText xml:space="preserve"> XE "txFillClrLst (Text Fill Color List)"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e717d5315f14e0883322aa16e60798c">
        <w:r>
          <w:rPr>
            <w:rStyle w:val="Hyperlink"/>
          </w:rPr>
          <w:t>fillClrLst</w:t>
        </w:r>
        <w:r>
          <w:rPr>
            <w:rStyle w:val="Hyperlink"/>
          </w:rPr>
          <w:t>, §21.4.4.8(b)</w:t>
        </w:r>
      </w:hyperlink>
      <w:r>
        <w:rPr>
          <w:i/>
        </w:rPr>
        <w:t>.</w:t>
      </w:r>
    </w:p>
    <w:p w:rsidR="000A156F" w:rsidRDefault="00A9721F">
      <w:pPr>
        <w:pStyle w:val="Heading3"/>
      </w:pPr>
      <w:bookmarkStart w:id="3289" w:name="section_53ab4a0a7214451bad800daf95b4c4ef"/>
      <w:bookmarkStart w:id="3290" w:name="_Toc181684670"/>
      <w:r>
        <w:t>Part 1 Section 21.4.4.14, txLinClrLst (Text Line Color List)</w:t>
      </w:r>
      <w:bookmarkEnd w:id="3289"/>
      <w:bookmarkEnd w:id="3290"/>
      <w:r>
        <w:fldChar w:fldCharType="begin"/>
      </w:r>
      <w:r>
        <w:instrText xml:space="preserve"> XE "txLinClrLst (Text Line Color List)"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0A156F" w:rsidRDefault="00A9721F">
      <w:pPr>
        <w:pStyle w:val="Heading3"/>
      </w:pPr>
      <w:bookmarkStart w:id="3291" w:name="section_b22cec63a18c4f6e95c808b1831a0a7c"/>
      <w:bookmarkStart w:id="3292" w:name="_Toc181684671"/>
      <w:r>
        <w:t>Part 1 Section 21.4.5.6, sp3d (3-D Shape Properties)</w:t>
      </w:r>
      <w:bookmarkEnd w:id="3291"/>
      <w:bookmarkEnd w:id="3292"/>
      <w:r>
        <w:fldChar w:fldCharType="begin"/>
      </w:r>
      <w:r>
        <w:instrText xml:space="preserve"> XE "sp3d (3-D Shape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d44e6f9209a94d8bb8c75220c6c85203">
        <w:r>
          <w:rPr>
            <w:rStyle w:val="Hyperlink"/>
          </w:rPr>
          <w:t>sp3d, §20.1.5.12(b)</w:t>
        </w:r>
      </w:hyperlink>
      <w:r>
        <w:rPr>
          <w:i/>
        </w:rPr>
        <w:t>.</w:t>
      </w:r>
    </w:p>
    <w:p w:rsidR="000A156F" w:rsidRDefault="00A9721F">
      <w:pPr>
        <w:pStyle w:val="Definition-Field"/>
      </w:pPr>
      <w:r>
        <w:t xml:space="preserve">a.   </w:t>
      </w:r>
      <w:r>
        <w:rPr>
          <w:i/>
        </w:rPr>
        <w:t>The standard places no restrictions on the relationship between the properties of the sp3d element and the parent styleLbl element.</w:t>
      </w:r>
    </w:p>
    <w:p w:rsidR="000A156F" w:rsidRDefault="00A9721F">
      <w:pPr>
        <w:pStyle w:val="Definition-Field2"/>
      </w:pPr>
      <w:r>
        <w:t>Office ignores the properties of the sp3d element if the parent style</w:t>
      </w:r>
      <w:r>
        <w:t>Lbl element is identical to a preset style in all other respects.</w:t>
      </w:r>
    </w:p>
    <w:p w:rsidR="000A156F" w:rsidRDefault="00A9721F">
      <w:pPr>
        <w:pStyle w:val="Heading3"/>
      </w:pPr>
      <w:bookmarkStart w:id="3293" w:name="section_f99f2a8f3da54c338c11cd0678e0af0d"/>
      <w:bookmarkStart w:id="3294" w:name="_Toc181684672"/>
      <w:r>
        <w:t>Part 1 Section 21.4.5.10, styleLbl (Style Label)</w:t>
      </w:r>
      <w:bookmarkEnd w:id="3293"/>
      <w:bookmarkEnd w:id="3294"/>
      <w:r>
        <w:fldChar w:fldCharType="begin"/>
      </w:r>
      <w:r>
        <w:instrText xml:space="preserve"> XE "styleLbl (Style Label)" </w:instrText>
      </w:r>
      <w:r>
        <w:fldChar w:fldCharType="end"/>
      </w:r>
    </w:p>
    <w:p w:rsidR="000A156F" w:rsidRDefault="00A9721F">
      <w:pPr>
        <w:pStyle w:val="Definition-Field"/>
      </w:pPr>
      <w:r>
        <w:t xml:space="preserve">a.   </w:t>
      </w:r>
      <w:r>
        <w:rPr>
          <w:i/>
        </w:rPr>
        <w:t>The standard states that the name attribute is used for tooltips in the user interface.</w:t>
      </w:r>
    </w:p>
    <w:p w:rsidR="000A156F" w:rsidRDefault="00A9721F">
      <w:pPr>
        <w:pStyle w:val="Definition-Field2"/>
      </w:pPr>
      <w:r>
        <w:t xml:space="preserve">Office uses the </w:t>
      </w:r>
      <w:r>
        <w:t>name attribute to map to nodes in the layout.</w:t>
      </w:r>
    </w:p>
    <w:p w:rsidR="000A156F" w:rsidRDefault="00A9721F">
      <w:pPr>
        <w:pStyle w:val="Heading3"/>
      </w:pPr>
      <w:bookmarkStart w:id="3295" w:name="section_1cf7b62c1b304ad98b696b046e25c615"/>
      <w:bookmarkStart w:id="3296" w:name="_Toc181684673"/>
      <w:r>
        <w:t>Part 1 Section 21.4.7.3, ST_AnimOneStr (One by One Animation Value Definition)</w:t>
      </w:r>
      <w:bookmarkEnd w:id="3295"/>
      <w:bookmarkEnd w:id="3296"/>
      <w:r>
        <w:fldChar w:fldCharType="begin"/>
      </w:r>
      <w:r>
        <w:instrText xml:space="preserve"> XE "ST_AnimOneStr (One by One Animation Value Definition)" </w:instrText>
      </w:r>
      <w:r>
        <w:fldChar w:fldCharType="end"/>
      </w:r>
    </w:p>
    <w:p w:rsidR="000A156F" w:rsidRDefault="00A9721F">
      <w:pPr>
        <w:pStyle w:val="Definition-Field"/>
      </w:pPr>
      <w:r>
        <w:t xml:space="preserve">a.   </w:t>
      </w:r>
      <w:r>
        <w:rPr>
          <w:i/>
        </w:rPr>
        <w:t xml:space="preserve">The standard states that the default value of the ST_AnimOneStr </w:t>
      </w:r>
      <w:r>
        <w:rPr>
          <w:i/>
        </w:rPr>
        <w:t>simple type is one.</w:t>
      </w:r>
    </w:p>
    <w:p w:rsidR="000A156F" w:rsidRDefault="00A9721F">
      <w:pPr>
        <w:pStyle w:val="Definition-Field2"/>
      </w:pPr>
      <w:r>
        <w:t>Office does not provide a default value for this simple type.</w:t>
      </w:r>
    </w:p>
    <w:p w:rsidR="000A156F" w:rsidRDefault="00A9721F">
      <w:pPr>
        <w:pStyle w:val="Heading3"/>
      </w:pPr>
      <w:bookmarkStart w:id="3297" w:name="section_9407009231ed4640937779c48f537d30"/>
      <w:bookmarkStart w:id="3298" w:name="_Toc181684674"/>
      <w:r>
        <w:t>Part 1 Section 21.4.7.6, ST_AxisType (Axis Type)</w:t>
      </w:r>
      <w:bookmarkEnd w:id="3297"/>
      <w:bookmarkEnd w:id="3298"/>
      <w:r>
        <w:fldChar w:fldCharType="begin"/>
      </w:r>
      <w:r>
        <w:instrText xml:space="preserve"> XE "ST_AxisType (Axis Type)" </w:instrText>
      </w:r>
      <w:r>
        <w:fldChar w:fldCharType="end"/>
      </w:r>
    </w:p>
    <w:p w:rsidR="000A156F" w:rsidRDefault="00A9721F">
      <w:pPr>
        <w:pStyle w:val="Definition-Field"/>
      </w:pPr>
      <w:r>
        <w:t xml:space="preserve">a.   </w:t>
      </w:r>
      <w:r>
        <w:rPr>
          <w:i/>
        </w:rPr>
        <w:t>The standard states that the ST_AxisType simple type is referenced by itself.</w:t>
      </w:r>
    </w:p>
    <w:p w:rsidR="000A156F" w:rsidRDefault="00A9721F">
      <w:pPr>
        <w:pStyle w:val="Definition-Field2"/>
      </w:pPr>
      <w:r>
        <w:t>Office def</w:t>
      </w:r>
      <w:r>
        <w:t>ines the ST_AxisType simple type to be referenced by ST_AxisTypes, not itself.</w:t>
      </w:r>
    </w:p>
    <w:p w:rsidR="000A156F" w:rsidRDefault="00A9721F">
      <w:pPr>
        <w:pStyle w:val="Heading3"/>
      </w:pPr>
      <w:bookmarkStart w:id="3299" w:name="section_3c6745b98475496091baa9a16ec7df86"/>
      <w:bookmarkStart w:id="3300" w:name="_Toc181684675"/>
      <w:r>
        <w:t>Part 1 Section 21.4.7.49, ST_ParameterId (Parameter Identifier)</w:t>
      </w:r>
      <w:bookmarkEnd w:id="3299"/>
      <w:bookmarkEnd w:id="3300"/>
      <w:r>
        <w:fldChar w:fldCharType="begin"/>
      </w:r>
      <w:r>
        <w:instrText xml:space="preserve"> XE "ST_ParameterId (Parameter Identifier)" </w:instrText>
      </w:r>
      <w:r>
        <w:fldChar w:fldCharType="end"/>
      </w:r>
    </w:p>
    <w:p w:rsidR="000A156F" w:rsidRDefault="00A9721F">
      <w:pPr>
        <w:pStyle w:val="Definition-Field"/>
      </w:pPr>
      <w:r>
        <w:t xml:space="preserve">a.   </w:t>
      </w:r>
      <w:r>
        <w:rPr>
          <w:i/>
        </w:rPr>
        <w:t>The standard does not specify default values or the range of v</w:t>
      </w:r>
      <w:r>
        <w:rPr>
          <w:i/>
        </w:rPr>
        <w:t>alues for parameters.</w:t>
      </w:r>
    </w:p>
    <w:p w:rsidR="000A156F" w:rsidRDefault="00A9721F">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alignTx</w:t>
            </w:r>
            <w:r>
              <w:t xml:space="preserve"> (Text Alignment)</w:t>
            </w:r>
          </w:p>
        </w:tc>
        <w:tc>
          <w:tcPr>
            <w:tcW w:w="0" w:type="auto"/>
            <w:vAlign w:val="center"/>
          </w:tcPr>
          <w:p w:rsidR="000A156F" w:rsidRDefault="00A9721F">
            <w:pPr>
              <w:pStyle w:val="TableBodyText"/>
            </w:pPr>
            <w:r>
              <w:t>Office uses true as a default value to correspond to this parameter identifier.</w:t>
            </w:r>
          </w:p>
          <w:p w:rsidR="000A156F" w:rsidRDefault="000A156F">
            <w:pPr>
              <w:pStyle w:val="TableBodyText"/>
            </w:pPr>
          </w:p>
          <w:p w:rsidR="000A156F" w:rsidRDefault="00A9721F">
            <w:pPr>
              <w:pStyle w:val="TableBodyText"/>
            </w:pPr>
            <w:r>
              <w:lastRenderedPageBreak/>
              <w:t>Office expects the val</w:t>
            </w:r>
            <w:r>
              <w:t>ue corresponding to this parameter identifier to be in the range defined by the XML schema boolean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ar</w:t>
            </w:r>
            <w:r>
              <w:t xml:space="preserve"> (Aspect Ratio)</w:t>
            </w:r>
          </w:p>
        </w:tc>
        <w:tc>
          <w:tcPr>
            <w:tcW w:w="0" w:type="auto"/>
            <w:vAlign w:val="center"/>
          </w:tcPr>
          <w:p w:rsidR="000A156F" w:rsidRDefault="00A9721F">
            <w:pPr>
              <w:pStyle w:val="TableBodyText"/>
            </w:pPr>
            <w:r>
              <w:t>Office uses 0 as a default value to correspond to this parameter identifier.</w:t>
            </w:r>
          </w:p>
          <w:p w:rsidR="000A156F" w:rsidRDefault="000A156F">
            <w:pPr>
              <w:pStyle w:val="TableBodyText"/>
            </w:pPr>
          </w:p>
          <w:p w:rsidR="000A156F" w:rsidRDefault="00A9721F">
            <w:pPr>
              <w:pStyle w:val="TableBodyText"/>
            </w:pPr>
            <w:r>
              <w:t xml:space="preserve">Office expects the value corresponding to this </w:t>
            </w:r>
            <w:r>
              <w:t>parameter identifier to be in the range defined by the XML schema double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autoTxRot</w:t>
            </w:r>
            <w:r>
              <w:t xml:space="preserve"> (Auto Text Rotation)</w:t>
            </w:r>
          </w:p>
        </w:tc>
        <w:tc>
          <w:tcPr>
            <w:tcW w:w="0" w:type="auto"/>
            <w:vAlign w:val="center"/>
          </w:tcPr>
          <w:p w:rsidR="000A156F" w:rsidRDefault="00A9721F">
            <w:pPr>
              <w:pStyle w:val="TableBodyText"/>
            </w:pPr>
            <w:r>
              <w:t>Office uses upr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w:t>
            </w:r>
            <w:r>
              <w:t>entifier to be in the range defined by simple type ST_AutoTextRotation.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t>begPts</w:t>
            </w:r>
            <w:r>
              <w:t xml:space="preserve"> (Beginning Points)</w:t>
            </w:r>
          </w:p>
        </w:tc>
        <w:tc>
          <w:tcPr>
            <w:tcW w:w="0" w:type="auto"/>
            <w:vAlign w:val="center"/>
          </w:tcPr>
          <w:p w:rsidR="000A156F" w:rsidRDefault="00A9721F">
            <w:pPr>
              <w:pStyle w:val="TableBodyText"/>
            </w:pPr>
            <w:r>
              <w:t>Office expects the value corresponding to this parameter identifier to be in the range defined by the XML schema string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begSty</w:t>
            </w:r>
            <w:r>
              <w:t xml:space="preserve"> (Beginning Arrow</w:t>
            </w:r>
            <w:r>
              <w:t>head Style)</w:t>
            </w:r>
          </w:p>
        </w:tc>
        <w:tc>
          <w:tcPr>
            <w:tcW w:w="0" w:type="auto"/>
            <w:vAlign w:val="center"/>
          </w:tcPr>
          <w:p w:rsidR="000A156F" w:rsidRDefault="00A9721F">
            <w:pPr>
              <w:pStyle w:val="TableBodyText"/>
            </w:pPr>
            <w:r>
              <w:t>Office uses noArr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ST_ArrowheadStyle.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bendPt</w:t>
            </w:r>
            <w:r>
              <w:t xml:space="preserve"> (Bend Point)</w:t>
            </w:r>
          </w:p>
        </w:tc>
        <w:tc>
          <w:tcPr>
            <w:tcW w:w="0" w:type="auto"/>
            <w:vAlign w:val="center"/>
          </w:tcPr>
          <w:p w:rsidR="000A156F" w:rsidRDefault="00A9721F">
            <w:pPr>
              <w:pStyle w:val="TableBodyText"/>
            </w:pPr>
            <w:r>
              <w:t>Office uses</w:t>
            </w:r>
            <w:r>
              <w:t xml:space="preserve"> def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ST_BendPoint.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bkPtFixedVal</w:t>
            </w:r>
            <w:r>
              <w:t xml:space="preserve"> (Breakpoint Fixed Value)</w:t>
            </w:r>
          </w:p>
        </w:tc>
        <w:tc>
          <w:tcPr>
            <w:tcW w:w="0" w:type="auto"/>
            <w:vAlign w:val="center"/>
          </w:tcPr>
          <w:p w:rsidR="000A156F" w:rsidRDefault="00A9721F">
            <w:pPr>
              <w:pStyle w:val="TableBodyText"/>
            </w:pPr>
            <w:r>
              <w:t>Office uses 2 as a defa</w:t>
            </w:r>
            <w:r>
              <w:t>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of type integer in the range [1, 32766].</w:t>
            </w:r>
          </w:p>
          <w:p w:rsidR="000A156F" w:rsidRDefault="000A156F">
            <w:pPr>
              <w:pStyle w:val="TableBodyText"/>
            </w:pPr>
          </w:p>
        </w:tc>
      </w:tr>
      <w:tr w:rsidR="000A156F" w:rsidTr="000A156F">
        <w:tc>
          <w:tcPr>
            <w:tcW w:w="0" w:type="auto"/>
            <w:vAlign w:val="center"/>
          </w:tcPr>
          <w:p w:rsidR="000A156F" w:rsidRDefault="00A9721F">
            <w:pPr>
              <w:pStyle w:val="TableBodyText"/>
            </w:pPr>
            <w:r>
              <w:rPr>
                <w:b/>
              </w:rPr>
              <w:t>bkpt</w:t>
            </w:r>
            <w:r>
              <w:t xml:space="preserve"> (Breakpoint)</w:t>
            </w:r>
          </w:p>
        </w:tc>
        <w:tc>
          <w:tcPr>
            <w:tcW w:w="0" w:type="auto"/>
            <w:vAlign w:val="center"/>
          </w:tcPr>
          <w:p w:rsidR="000A156F" w:rsidRDefault="00A9721F">
            <w:pPr>
              <w:pStyle w:val="TableBodyText"/>
            </w:pPr>
            <w:r>
              <w:t>Office uses endCnv as a default value to correspond to this parame</w:t>
            </w:r>
            <w:r>
              <w:t>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ST_Breakpoint.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chAlign</w:t>
            </w:r>
            <w:r>
              <w:t xml:space="preserve"> (Child Alignment)</w:t>
            </w:r>
          </w:p>
        </w:tc>
        <w:tc>
          <w:tcPr>
            <w:tcW w:w="0" w:type="auto"/>
            <w:vAlign w:val="center"/>
          </w:tcPr>
          <w:p w:rsidR="000A156F" w:rsidRDefault="00A9721F">
            <w:pPr>
              <w:pStyle w:val="TableBodyText"/>
            </w:pPr>
            <w:r>
              <w:t>Office uses l as a default value to correspond to this parameter identifier.</w:t>
            </w:r>
          </w:p>
          <w:p w:rsidR="000A156F" w:rsidRDefault="000A156F">
            <w:pPr>
              <w:pStyle w:val="TableBodyText"/>
            </w:pPr>
          </w:p>
          <w:p w:rsidR="000A156F" w:rsidRDefault="00A9721F">
            <w:pPr>
              <w:pStyle w:val="TableBodyText"/>
            </w:pPr>
            <w:r>
              <w:t>Office e</w:t>
            </w:r>
            <w:r>
              <w:t>xpects the value corresponding to this parameter identifier to be in the range defined by simple type ST_ChildAlignment.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chDir</w:t>
            </w:r>
            <w:r>
              <w:t xml:space="preserve"> (Child Direction)</w:t>
            </w:r>
          </w:p>
        </w:tc>
        <w:tc>
          <w:tcPr>
            <w:tcW w:w="0" w:type="auto"/>
            <w:vAlign w:val="center"/>
          </w:tcPr>
          <w:p w:rsidR="000A156F" w:rsidRDefault="00A9721F">
            <w:pPr>
              <w:pStyle w:val="TableBodyText"/>
            </w:pPr>
            <w:r>
              <w:t>Office uses horz as a default value to correspond to this parameter identifier.</w:t>
            </w:r>
          </w:p>
          <w:p w:rsidR="000A156F" w:rsidRDefault="000A156F">
            <w:pPr>
              <w:pStyle w:val="TableBodyText"/>
            </w:pPr>
          </w:p>
          <w:p w:rsidR="000A156F" w:rsidRDefault="00A9721F">
            <w:pPr>
              <w:pStyle w:val="TableBodyText"/>
            </w:pPr>
            <w:r>
              <w:t xml:space="preserve">Office expects the value </w:t>
            </w:r>
            <w:r>
              <w:t>corresponding to this parameter identifier to be in the range defined by simple type ST_ChildDirection.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connRout</w:t>
            </w:r>
            <w:r>
              <w:t xml:space="preserve"> (Connection Route)</w:t>
            </w:r>
          </w:p>
        </w:tc>
        <w:tc>
          <w:tcPr>
            <w:tcW w:w="0" w:type="auto"/>
            <w:vAlign w:val="center"/>
          </w:tcPr>
          <w:p w:rsidR="000A156F" w:rsidRDefault="00A9721F">
            <w:pPr>
              <w:pStyle w:val="TableBodyText"/>
            </w:pPr>
            <w:r>
              <w:t>Office uses stra as a default value to correspond to this parameter identifier.</w:t>
            </w:r>
          </w:p>
          <w:p w:rsidR="000A156F" w:rsidRDefault="000A156F">
            <w:pPr>
              <w:pStyle w:val="TableBodyText"/>
            </w:pPr>
          </w:p>
          <w:p w:rsidR="000A156F" w:rsidRDefault="00A9721F">
            <w:pPr>
              <w:pStyle w:val="TableBodyText"/>
            </w:pPr>
            <w:r>
              <w:t>Office expects the value corresponding to</w:t>
            </w:r>
            <w:r>
              <w:t xml:space="preserve"> this parameter identifier to be in the range defined by simple type ST_ConnectorRouting.</w:t>
            </w:r>
          </w:p>
          <w:p w:rsidR="000A156F" w:rsidRDefault="000A156F">
            <w:pPr>
              <w:pStyle w:val="TableBodyText"/>
            </w:pPr>
          </w:p>
        </w:tc>
      </w:tr>
      <w:tr w:rsidR="000A156F" w:rsidTr="000A156F">
        <w:tc>
          <w:tcPr>
            <w:tcW w:w="0" w:type="auto"/>
            <w:vAlign w:val="center"/>
          </w:tcPr>
          <w:p w:rsidR="000A156F" w:rsidRDefault="00A9721F">
            <w:pPr>
              <w:pStyle w:val="TableBodyText"/>
            </w:pPr>
            <w:r>
              <w:rPr>
                <w:b/>
              </w:rPr>
              <w:t>contDir</w:t>
            </w:r>
            <w:r>
              <w:t xml:space="preserve"> (Continue Direction)</w:t>
            </w:r>
          </w:p>
        </w:tc>
        <w:tc>
          <w:tcPr>
            <w:tcW w:w="0" w:type="auto"/>
            <w:vAlign w:val="center"/>
          </w:tcPr>
          <w:p w:rsidR="000A156F" w:rsidRDefault="00A9721F">
            <w:pPr>
              <w:pStyle w:val="TableBodyText"/>
            </w:pPr>
            <w:r>
              <w:t>Office uses sameDir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w:t>
            </w:r>
            <w:r>
              <w:t>meter identifier to be in the range defined by simple type ST_ContinueDirection.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t>ctrShpMap</w:t>
            </w:r>
            <w:r>
              <w:t xml:space="preserve"> (Center Shape Mapping)</w:t>
            </w:r>
          </w:p>
        </w:tc>
        <w:tc>
          <w:tcPr>
            <w:tcW w:w="0" w:type="auto"/>
            <w:vAlign w:val="center"/>
          </w:tcPr>
          <w:p w:rsidR="000A156F" w:rsidRDefault="00A9721F">
            <w:pPr>
              <w:pStyle w:val="TableBodyText"/>
            </w:pPr>
            <w:r>
              <w:t>Office uses none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w:t>
            </w:r>
            <w:r>
              <w:t>entifier to be in the range defined by simple type ST_CenterShapeMapping.</w:t>
            </w:r>
          </w:p>
          <w:p w:rsidR="000A156F" w:rsidRDefault="000A156F">
            <w:pPr>
              <w:pStyle w:val="TableBodyText"/>
            </w:pPr>
          </w:p>
        </w:tc>
      </w:tr>
      <w:tr w:rsidR="000A156F" w:rsidTr="000A156F">
        <w:tc>
          <w:tcPr>
            <w:tcW w:w="0" w:type="auto"/>
            <w:vAlign w:val="center"/>
          </w:tcPr>
          <w:p w:rsidR="000A156F" w:rsidRDefault="00A9721F">
            <w:pPr>
              <w:pStyle w:val="TableBodyText"/>
            </w:pPr>
            <w:r>
              <w:rPr>
                <w:b/>
              </w:rPr>
              <w:t>dim</w:t>
            </w:r>
            <w:r>
              <w:t xml:space="preserve"> (Connector Dimension)</w:t>
            </w:r>
          </w:p>
        </w:tc>
        <w:tc>
          <w:tcPr>
            <w:tcW w:w="0" w:type="auto"/>
            <w:vAlign w:val="center"/>
          </w:tcPr>
          <w:p w:rsidR="000A156F" w:rsidRDefault="00A9721F">
            <w:pPr>
              <w:pStyle w:val="TableBodyText"/>
            </w:pPr>
            <w:r>
              <w:t>Office uses 2D as a default value to correspond to this parameter identifier.</w:t>
            </w:r>
          </w:p>
          <w:p w:rsidR="000A156F" w:rsidRDefault="000A156F">
            <w:pPr>
              <w:pStyle w:val="TableBodyText"/>
            </w:pPr>
          </w:p>
          <w:p w:rsidR="000A156F" w:rsidRDefault="00A9721F">
            <w:pPr>
              <w:pStyle w:val="TableBodyText"/>
            </w:pPr>
            <w:r>
              <w:t xml:space="preserve">Office expects the value corresponding to this parameter identifier to be </w:t>
            </w:r>
            <w:r>
              <w:t>in the range defined by simple type ST_ConnectorDimension.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t>dstNode</w:t>
            </w:r>
            <w:r>
              <w:t xml:space="preserve"> (Destination Node)</w:t>
            </w:r>
          </w:p>
        </w:tc>
        <w:tc>
          <w:tcPr>
            <w:tcW w:w="0" w:type="auto"/>
            <w:vAlign w:val="center"/>
          </w:tcPr>
          <w:p w:rsidR="000A156F" w:rsidRDefault="00A9721F">
            <w:pPr>
              <w:pStyle w:val="TableBodyText"/>
            </w:pPr>
            <w:r>
              <w:t>Office expects the value corresponding to this parameter identifier to be in the range defined by the XML schema string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endPts</w:t>
            </w:r>
            <w:r>
              <w:t xml:space="preserve"> (End Points)</w:t>
            </w:r>
          </w:p>
        </w:tc>
        <w:tc>
          <w:tcPr>
            <w:tcW w:w="0" w:type="auto"/>
            <w:vAlign w:val="center"/>
          </w:tcPr>
          <w:p w:rsidR="000A156F" w:rsidRDefault="00A9721F">
            <w:pPr>
              <w:pStyle w:val="TableBodyText"/>
            </w:pPr>
            <w:r>
              <w:t xml:space="preserve">Office expects </w:t>
            </w:r>
            <w:r>
              <w:t>the value corresponding to this parameter identifier to be in the range defined by the XML schema string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endSty</w:t>
            </w:r>
            <w:r>
              <w:t xml:space="preserve"> (End Style)</w:t>
            </w:r>
          </w:p>
        </w:tc>
        <w:tc>
          <w:tcPr>
            <w:tcW w:w="0" w:type="auto"/>
            <w:vAlign w:val="center"/>
          </w:tcPr>
          <w:p w:rsidR="000A156F" w:rsidRDefault="00A9721F">
            <w:pPr>
              <w:pStyle w:val="TableBodyText"/>
            </w:pPr>
            <w:r>
              <w:t>Office uses arr as a default value to correspond to this parameter identifier.</w:t>
            </w:r>
          </w:p>
          <w:p w:rsidR="000A156F" w:rsidRDefault="000A156F">
            <w:pPr>
              <w:pStyle w:val="TableBodyText"/>
            </w:pPr>
          </w:p>
          <w:p w:rsidR="000A156F" w:rsidRDefault="00A9721F">
            <w:pPr>
              <w:pStyle w:val="TableBodyText"/>
            </w:pPr>
            <w:r>
              <w:t xml:space="preserve">Office expects the value corresponding </w:t>
            </w:r>
            <w:r>
              <w:t>to this parameter identifier to be in the range defined by simple type ST_ArrowheadStyle.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fallback</w:t>
            </w:r>
            <w:r>
              <w:t xml:space="preserve"> (Fallback Scale)</w:t>
            </w:r>
          </w:p>
        </w:tc>
        <w:tc>
          <w:tcPr>
            <w:tcW w:w="0" w:type="auto"/>
            <w:vAlign w:val="center"/>
          </w:tcPr>
          <w:p w:rsidR="000A156F" w:rsidRDefault="00A9721F">
            <w:pPr>
              <w:pStyle w:val="TableBodyText"/>
            </w:pPr>
            <w:r>
              <w:t>Office uses 1D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w:t>
            </w:r>
            <w:r>
              <w:t>entifier to be in the range defined by simple type ST_FallbackDimension.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t>flowDir</w:t>
            </w:r>
            <w:r>
              <w:t xml:space="preserve"> (Flow Direction)</w:t>
            </w:r>
          </w:p>
        </w:tc>
        <w:tc>
          <w:tcPr>
            <w:tcW w:w="0" w:type="auto"/>
            <w:vAlign w:val="center"/>
          </w:tcPr>
          <w:p w:rsidR="000A156F" w:rsidRDefault="00A9721F">
            <w:pPr>
              <w:pStyle w:val="TableBodyText"/>
            </w:pPr>
            <w:r>
              <w:t xml:space="preserve">Office uses row as a default value to correspond to this parameter </w:t>
            </w:r>
            <w:r>
              <w:lastRenderedPageBreak/>
              <w:t>identifier.</w:t>
            </w:r>
          </w:p>
          <w:p w:rsidR="000A156F" w:rsidRDefault="000A156F">
            <w:pPr>
              <w:pStyle w:val="TableBodyText"/>
            </w:pPr>
          </w:p>
          <w:p w:rsidR="000A156F" w:rsidRDefault="00A9721F">
            <w:pPr>
              <w:pStyle w:val="TableBodyText"/>
            </w:pPr>
            <w:r>
              <w:t>Office expects the value corresponding to this parameter identifier to be in</w:t>
            </w:r>
            <w:r>
              <w:t xml:space="preserve"> the range defined by simple type ST_FlowDirection.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grDir</w:t>
            </w:r>
            <w:r>
              <w:t xml:space="preserve"> (Grow Direction)</w:t>
            </w:r>
          </w:p>
        </w:tc>
        <w:tc>
          <w:tcPr>
            <w:tcW w:w="0" w:type="auto"/>
            <w:vAlign w:val="center"/>
          </w:tcPr>
          <w:p w:rsidR="000A156F" w:rsidRDefault="00A9721F">
            <w:pPr>
              <w:pStyle w:val="TableBodyText"/>
            </w:pPr>
            <w:r>
              <w:t>Office uses tL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w:t>
            </w:r>
            <w:r>
              <w:t>mple type ST_GrowDirection.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t>hierAlign</w:t>
            </w:r>
            <w:r>
              <w:t xml:space="preserve"> (Hierarchy Alignment)</w:t>
            </w:r>
          </w:p>
        </w:tc>
        <w:tc>
          <w:tcPr>
            <w:tcW w:w="0" w:type="auto"/>
            <w:vAlign w:val="center"/>
          </w:tcPr>
          <w:p w:rsidR="000A156F" w:rsidRDefault="00A9721F">
            <w:pPr>
              <w:pStyle w:val="TableBodyText"/>
            </w:pPr>
            <w:r>
              <w:t>Office uses tCtrCh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w:t>
            </w:r>
            <w:r>
              <w:t>T_HierarchyAlignment.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horzAlign</w:t>
            </w:r>
            <w:r>
              <w:t xml:space="preserve"> (Horizontal Alignment)</w:t>
            </w:r>
          </w:p>
        </w:tc>
        <w:tc>
          <w:tcPr>
            <w:tcW w:w="0" w:type="auto"/>
            <w:vAlign w:val="center"/>
          </w:tcPr>
          <w:p w:rsidR="000A156F" w:rsidRDefault="00A9721F">
            <w:pPr>
              <w:pStyle w:val="TableBodyText"/>
            </w:pPr>
            <w:r>
              <w:t>Office uses ctr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ST_Horizo</w:t>
            </w:r>
            <w:r>
              <w:t>ntalAlignment.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linDir</w:t>
            </w:r>
            <w:r>
              <w:t xml:space="preserve"> (Linear Direction)</w:t>
            </w:r>
          </w:p>
        </w:tc>
        <w:tc>
          <w:tcPr>
            <w:tcW w:w="0" w:type="auto"/>
            <w:vAlign w:val="center"/>
          </w:tcPr>
          <w:p w:rsidR="000A156F" w:rsidRDefault="00A9721F">
            <w:pPr>
              <w:pStyle w:val="TableBodyText"/>
            </w:pPr>
            <w:r>
              <w:t>Office uses fromL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ST_LinearDirection.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t>lnSpAfChP</w:t>
            </w:r>
            <w:r>
              <w:t xml:space="preserve"> (Line Spacing After Children Paragraph)</w:t>
            </w:r>
          </w:p>
        </w:tc>
        <w:tc>
          <w:tcPr>
            <w:tcW w:w="0" w:type="auto"/>
            <w:vAlign w:val="center"/>
          </w:tcPr>
          <w:p w:rsidR="000A156F" w:rsidRDefault="00A9721F">
            <w:pPr>
              <w:pStyle w:val="TableBodyText"/>
            </w:pPr>
            <w:r>
              <w:t>Office uses 15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of type XML schema double in the range [0, 1000].</w:t>
            </w:r>
          </w:p>
          <w:p w:rsidR="000A156F" w:rsidRDefault="000A156F">
            <w:pPr>
              <w:pStyle w:val="TableBodyText"/>
            </w:pPr>
          </w:p>
        </w:tc>
      </w:tr>
      <w:tr w:rsidR="000A156F" w:rsidTr="000A156F">
        <w:tc>
          <w:tcPr>
            <w:tcW w:w="0" w:type="auto"/>
            <w:vAlign w:val="center"/>
          </w:tcPr>
          <w:p w:rsidR="000A156F" w:rsidRDefault="00A9721F">
            <w:pPr>
              <w:pStyle w:val="TableBodyText"/>
            </w:pPr>
            <w:r>
              <w:rPr>
                <w:b/>
              </w:rPr>
              <w:t>lnSpAfParP</w:t>
            </w:r>
            <w:r>
              <w:t xml:space="preserve"> (Line Spacing After Parent Paragraph)</w:t>
            </w:r>
          </w:p>
        </w:tc>
        <w:tc>
          <w:tcPr>
            <w:tcW w:w="0" w:type="auto"/>
            <w:vAlign w:val="center"/>
          </w:tcPr>
          <w:p w:rsidR="000A156F" w:rsidRDefault="00A9721F">
            <w:pPr>
              <w:pStyle w:val="TableBodyText"/>
            </w:pPr>
            <w:r>
              <w:t>Office uses 35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of type XML schema double in the range [0, 1000].</w:t>
            </w:r>
          </w:p>
          <w:p w:rsidR="000A156F" w:rsidRDefault="000A156F">
            <w:pPr>
              <w:pStyle w:val="TableBodyText"/>
            </w:pPr>
          </w:p>
        </w:tc>
      </w:tr>
      <w:tr w:rsidR="000A156F" w:rsidTr="000A156F">
        <w:tc>
          <w:tcPr>
            <w:tcW w:w="0" w:type="auto"/>
            <w:vAlign w:val="center"/>
          </w:tcPr>
          <w:p w:rsidR="000A156F" w:rsidRDefault="00A9721F">
            <w:pPr>
              <w:pStyle w:val="TableBodyText"/>
            </w:pPr>
            <w:r>
              <w:rPr>
                <w:b/>
              </w:rPr>
              <w:t>lnSpCh</w:t>
            </w:r>
            <w:r>
              <w:t xml:space="preserve"> (Line Spacing Children)</w:t>
            </w:r>
          </w:p>
        </w:tc>
        <w:tc>
          <w:tcPr>
            <w:tcW w:w="0" w:type="auto"/>
            <w:vAlign w:val="center"/>
          </w:tcPr>
          <w:p w:rsidR="000A156F" w:rsidRDefault="00A9721F">
            <w:pPr>
              <w:pStyle w:val="TableBodyText"/>
            </w:pPr>
            <w:r>
              <w:t>Office uses 90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of type XML schema double in the range [0, 1000].</w:t>
            </w:r>
          </w:p>
          <w:p w:rsidR="000A156F" w:rsidRDefault="000A156F">
            <w:pPr>
              <w:pStyle w:val="TableBodyText"/>
            </w:pPr>
          </w:p>
        </w:tc>
      </w:tr>
      <w:tr w:rsidR="000A156F" w:rsidTr="000A156F">
        <w:tc>
          <w:tcPr>
            <w:tcW w:w="0" w:type="auto"/>
            <w:vAlign w:val="center"/>
          </w:tcPr>
          <w:p w:rsidR="000A156F" w:rsidRDefault="00A9721F">
            <w:pPr>
              <w:pStyle w:val="TableBodyText"/>
            </w:pPr>
            <w:r>
              <w:rPr>
                <w:b/>
              </w:rPr>
              <w:t>lnSpPar</w:t>
            </w:r>
            <w:r>
              <w:t xml:space="preserve"> (Line Spacing Parent)</w:t>
            </w:r>
          </w:p>
        </w:tc>
        <w:tc>
          <w:tcPr>
            <w:tcW w:w="0" w:type="auto"/>
            <w:vAlign w:val="center"/>
          </w:tcPr>
          <w:p w:rsidR="000A156F" w:rsidRDefault="00A9721F">
            <w:pPr>
              <w:pStyle w:val="TableBodyText"/>
            </w:pPr>
            <w:r>
              <w:t>Office uses 90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of type XML schema double in the range [0, 1000].</w:t>
            </w: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nodeHorzAlign</w:t>
            </w:r>
            <w:r>
              <w:t xml:space="preserve"> (Node Horizont</w:t>
            </w:r>
            <w:r>
              <w:t>al Alignment)</w:t>
            </w:r>
          </w:p>
        </w:tc>
        <w:tc>
          <w:tcPr>
            <w:tcW w:w="0" w:type="auto"/>
            <w:vAlign w:val="center"/>
          </w:tcPr>
          <w:p w:rsidR="000A156F" w:rsidRDefault="00A9721F">
            <w:pPr>
              <w:pStyle w:val="TableBodyText"/>
            </w:pPr>
            <w:r>
              <w:t>Office uses ctr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ST_NodeHorizontalAlignment.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nodeVertAlign</w:t>
            </w:r>
            <w:r>
              <w:t xml:space="preserve"> (Node Ve</w:t>
            </w:r>
            <w:r>
              <w:t>rtical Alignment)</w:t>
            </w:r>
          </w:p>
        </w:tc>
        <w:tc>
          <w:tcPr>
            <w:tcW w:w="0" w:type="auto"/>
            <w:vAlign w:val="center"/>
          </w:tcPr>
          <w:p w:rsidR="000A156F" w:rsidRDefault="00A9721F">
            <w:pPr>
              <w:pStyle w:val="TableBodyText"/>
            </w:pPr>
            <w:r>
              <w:t>Office uses mid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ST_NodeVerticalAlignment.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off</w:t>
            </w:r>
            <w:r>
              <w:t xml:space="preserve"> (Offset)</w:t>
            </w:r>
          </w:p>
        </w:tc>
        <w:tc>
          <w:tcPr>
            <w:tcW w:w="0" w:type="auto"/>
            <w:vAlign w:val="center"/>
          </w:tcPr>
          <w:p w:rsidR="000A156F" w:rsidRDefault="00A9721F">
            <w:pPr>
              <w:pStyle w:val="TableBodyText"/>
            </w:pPr>
            <w:r>
              <w:t xml:space="preserve">Office </w:t>
            </w:r>
            <w:r>
              <w:t>uses off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ST_Offset.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parTxLTRAlign</w:t>
            </w:r>
            <w:r>
              <w:t xml:space="preserve"> (Parent Text Left-to-Right Alignment)</w:t>
            </w:r>
          </w:p>
        </w:tc>
        <w:tc>
          <w:tcPr>
            <w:tcW w:w="0" w:type="auto"/>
            <w:vAlign w:val="center"/>
          </w:tcPr>
          <w:p w:rsidR="000A156F" w:rsidRDefault="00A9721F">
            <w:pPr>
              <w:pStyle w:val="TableBodyText"/>
            </w:pPr>
            <w:r>
              <w:t xml:space="preserve">Office </w:t>
            </w:r>
            <w:r>
              <w:t>uses ctr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ST_TextAlignment.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parTxRTLAlign</w:t>
            </w:r>
            <w:r>
              <w:t xml:space="preserve"> (Parent Text Right-to-Left Alignment)</w:t>
            </w:r>
          </w:p>
        </w:tc>
        <w:tc>
          <w:tcPr>
            <w:tcW w:w="0" w:type="auto"/>
            <w:vAlign w:val="center"/>
          </w:tcPr>
          <w:p w:rsidR="000A156F" w:rsidRDefault="00A9721F">
            <w:pPr>
              <w:pStyle w:val="TableBodyText"/>
            </w:pPr>
            <w:r>
              <w:t>O</w:t>
            </w:r>
            <w:r>
              <w:t>ffice uses ctr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ST_TextAlignment.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pyraAcctBkgdNode</w:t>
            </w:r>
            <w:r>
              <w:t xml:space="preserve"> (Pyramid Accent Background Nod</w:t>
            </w:r>
            <w:r>
              <w:t>e)</w:t>
            </w:r>
          </w:p>
        </w:tc>
        <w:tc>
          <w:tcPr>
            <w:tcW w:w="0" w:type="auto"/>
            <w:vAlign w:val="center"/>
          </w:tcPr>
          <w:p w:rsidR="000A156F" w:rsidRDefault="00A9721F">
            <w:pPr>
              <w:pStyle w:val="TableBodyText"/>
            </w:pPr>
            <w:r>
              <w:t>Office expects the value corresponding to this parameter identifier to be in the range defined by the XML schema string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pyraAcctPos</w:t>
            </w:r>
            <w:r>
              <w:t xml:space="preserve"> (Pyramid Accent Position)</w:t>
            </w:r>
          </w:p>
        </w:tc>
        <w:tc>
          <w:tcPr>
            <w:tcW w:w="0" w:type="auto"/>
            <w:vAlign w:val="center"/>
          </w:tcPr>
          <w:p w:rsidR="000A156F" w:rsidRDefault="00A9721F">
            <w:pPr>
              <w:pStyle w:val="TableBodyText"/>
            </w:pPr>
            <w:r>
              <w:t>Office uses bef as a default value to correspond to this parameter identifier.</w:t>
            </w:r>
          </w:p>
          <w:p w:rsidR="000A156F" w:rsidRDefault="000A156F">
            <w:pPr>
              <w:pStyle w:val="TableBodyText"/>
            </w:pPr>
          </w:p>
          <w:p w:rsidR="000A156F" w:rsidRDefault="00A9721F">
            <w:pPr>
              <w:pStyle w:val="TableBodyText"/>
            </w:pPr>
            <w:r>
              <w:t>Of</w:t>
            </w:r>
            <w:r>
              <w:t>fice expects the value corresponding to this parameter identifier to be in the range defined by simple type ST_PyramidAccentPosition.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t>pyraAcctTxMar</w:t>
            </w:r>
            <w:r>
              <w:t xml:space="preserve"> (Pyramid Accent Text Margin)</w:t>
            </w:r>
          </w:p>
        </w:tc>
        <w:tc>
          <w:tcPr>
            <w:tcW w:w="0" w:type="auto"/>
            <w:vAlign w:val="center"/>
          </w:tcPr>
          <w:p w:rsidR="000A156F" w:rsidRDefault="00A9721F">
            <w:pPr>
              <w:pStyle w:val="TableBodyText"/>
            </w:pPr>
            <w:r>
              <w:t xml:space="preserve">Office uses step as a default value to correspond to this parameter </w:t>
            </w:r>
            <w:r>
              <w:t>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ST_PyramidAccentTextMargin.</w:t>
            </w:r>
          </w:p>
          <w:p w:rsidR="000A156F" w:rsidRDefault="000A156F">
            <w:pPr>
              <w:pStyle w:val="TableBodyText"/>
            </w:pPr>
          </w:p>
        </w:tc>
      </w:tr>
      <w:tr w:rsidR="000A156F" w:rsidTr="000A156F">
        <w:tc>
          <w:tcPr>
            <w:tcW w:w="0" w:type="auto"/>
            <w:vAlign w:val="center"/>
          </w:tcPr>
          <w:p w:rsidR="000A156F" w:rsidRDefault="00A9721F">
            <w:pPr>
              <w:pStyle w:val="TableBodyText"/>
            </w:pPr>
            <w:r>
              <w:rPr>
                <w:b/>
              </w:rPr>
              <w:t>pyraAcctTxNode</w:t>
            </w:r>
            <w:r>
              <w:t xml:space="preserve"> (Pyramid Accent Text Node)</w:t>
            </w:r>
          </w:p>
        </w:tc>
        <w:tc>
          <w:tcPr>
            <w:tcW w:w="0" w:type="auto"/>
            <w:vAlign w:val="center"/>
          </w:tcPr>
          <w:p w:rsidR="000A156F" w:rsidRDefault="00A9721F">
            <w:pPr>
              <w:pStyle w:val="TableBodyText"/>
            </w:pPr>
            <w:r>
              <w:t>Office expects the value corresponding to this parameter iden</w:t>
            </w:r>
            <w:r>
              <w:t>tifier to be in the range defined by the XML schema string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pyraLvlNode</w:t>
            </w:r>
            <w:r>
              <w:t xml:space="preserve"> (Pyramid Level </w:t>
            </w:r>
            <w:r>
              <w:lastRenderedPageBreak/>
              <w:t>Node)</w:t>
            </w:r>
          </w:p>
        </w:tc>
        <w:tc>
          <w:tcPr>
            <w:tcW w:w="0" w:type="auto"/>
            <w:vAlign w:val="center"/>
          </w:tcPr>
          <w:p w:rsidR="000A156F" w:rsidRDefault="00A9721F">
            <w:pPr>
              <w:pStyle w:val="TableBodyText"/>
            </w:pPr>
            <w:r>
              <w:lastRenderedPageBreak/>
              <w:t xml:space="preserve">Office expects the value corresponding to this parameter identifier to be in </w:t>
            </w:r>
            <w:r>
              <w:lastRenderedPageBreak/>
              <w:t>the range defined by the XML schema string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rotPath</w:t>
            </w:r>
            <w:r>
              <w:t xml:space="preserve"> (Rotation </w:t>
            </w:r>
            <w:r>
              <w:t>Path)</w:t>
            </w:r>
          </w:p>
        </w:tc>
        <w:tc>
          <w:tcPr>
            <w:tcW w:w="0" w:type="auto"/>
            <w:vAlign w:val="center"/>
          </w:tcPr>
          <w:p w:rsidR="000A156F" w:rsidRDefault="00A9721F">
            <w:pPr>
              <w:pStyle w:val="TableBodyText"/>
            </w:pPr>
            <w:r>
              <w:t>Office uses none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ST_RotationPath.</w:t>
            </w:r>
          </w:p>
          <w:p w:rsidR="000A156F" w:rsidRDefault="000A156F">
            <w:pPr>
              <w:pStyle w:val="TableBodyText"/>
            </w:pPr>
          </w:p>
        </w:tc>
      </w:tr>
      <w:tr w:rsidR="000A156F" w:rsidTr="000A156F">
        <w:tc>
          <w:tcPr>
            <w:tcW w:w="0" w:type="auto"/>
            <w:vAlign w:val="center"/>
          </w:tcPr>
          <w:p w:rsidR="000A156F" w:rsidRDefault="00A9721F">
            <w:pPr>
              <w:pStyle w:val="TableBodyText"/>
            </w:pPr>
            <w:r>
              <w:rPr>
                <w:b/>
              </w:rPr>
              <w:t>rtShortDist</w:t>
            </w:r>
            <w:r>
              <w:t xml:space="preserve"> (Route Shortest Distance)</w:t>
            </w:r>
          </w:p>
        </w:tc>
        <w:tc>
          <w:tcPr>
            <w:tcW w:w="0" w:type="auto"/>
            <w:vAlign w:val="center"/>
          </w:tcPr>
          <w:p w:rsidR="000A156F" w:rsidRDefault="00A9721F">
            <w:pPr>
              <w:pStyle w:val="TableBodyText"/>
            </w:pPr>
            <w:r>
              <w:t>Of</w:t>
            </w:r>
            <w:r>
              <w:t>fice uses true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the XML schema boolean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secChAlign</w:t>
            </w:r>
            <w:r>
              <w:t xml:space="preserve"> (Secondary Child Alignment)</w:t>
            </w:r>
          </w:p>
        </w:tc>
        <w:tc>
          <w:tcPr>
            <w:tcW w:w="0" w:type="auto"/>
            <w:vAlign w:val="center"/>
          </w:tcPr>
          <w:p w:rsidR="000A156F" w:rsidRDefault="00A9721F">
            <w:pPr>
              <w:pStyle w:val="TableBodyText"/>
            </w:pPr>
            <w:r>
              <w:t>Office uses none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ST_SecondaryChildAlignment.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secLinDir</w:t>
            </w:r>
            <w:r>
              <w:t xml:space="preserve"> (Secondary Linear Directi</w:t>
            </w:r>
            <w:r>
              <w:t>on)</w:t>
            </w:r>
          </w:p>
        </w:tc>
        <w:tc>
          <w:tcPr>
            <w:tcW w:w="0" w:type="auto"/>
            <w:vAlign w:val="center"/>
          </w:tcPr>
          <w:p w:rsidR="000A156F" w:rsidRDefault="00A9721F">
            <w:pPr>
              <w:pStyle w:val="TableBodyText"/>
            </w:pPr>
            <w:r>
              <w:t>Office uses none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ST_SecondaryChildAlignment.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shpTxLTRAlignCh</w:t>
            </w:r>
            <w:r>
              <w:t xml:space="preserve"> (Shape Text Lef</w:t>
            </w:r>
            <w:r>
              <w:t>t-to-Right Alignment)</w:t>
            </w:r>
          </w:p>
        </w:tc>
        <w:tc>
          <w:tcPr>
            <w:tcW w:w="0" w:type="auto"/>
            <w:vAlign w:val="center"/>
          </w:tcPr>
          <w:p w:rsidR="000A156F" w:rsidRDefault="00A9721F">
            <w:pPr>
              <w:pStyle w:val="TableBodyText"/>
            </w:pPr>
            <w:r>
              <w:t>Office uses l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ST_TextAlignment.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shpTxRTLAlignCh</w:t>
            </w:r>
            <w:r>
              <w:t xml:space="preserve"> (Shape Tex</w:t>
            </w:r>
            <w:r>
              <w:t>t Right-to-Left Alignment)</w:t>
            </w:r>
          </w:p>
        </w:tc>
        <w:tc>
          <w:tcPr>
            <w:tcW w:w="0" w:type="auto"/>
            <w:vAlign w:val="center"/>
          </w:tcPr>
          <w:p w:rsidR="000A156F" w:rsidRDefault="00A9721F">
            <w:pPr>
              <w:pStyle w:val="TableBodyText"/>
            </w:pPr>
            <w:r>
              <w:t>Office uses r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ST_TextAlignment.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spanAng</w:t>
            </w:r>
            <w:r>
              <w:t xml:space="preserve"> (Span Angle)</w:t>
            </w:r>
          </w:p>
        </w:tc>
        <w:tc>
          <w:tcPr>
            <w:tcW w:w="0" w:type="auto"/>
            <w:vAlign w:val="center"/>
          </w:tcPr>
          <w:p w:rsidR="000A156F" w:rsidRDefault="00A9721F">
            <w:pPr>
              <w:pStyle w:val="TableBodyText"/>
            </w:pPr>
            <w:r>
              <w:t>Office uses 360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of type XML schema double in the range [-360, 360].</w:t>
            </w:r>
          </w:p>
          <w:p w:rsidR="000A156F" w:rsidRDefault="000A156F">
            <w:pPr>
              <w:pStyle w:val="TableBodyText"/>
            </w:pPr>
          </w:p>
        </w:tc>
      </w:tr>
      <w:tr w:rsidR="000A156F" w:rsidTr="000A156F">
        <w:tc>
          <w:tcPr>
            <w:tcW w:w="0" w:type="auto"/>
            <w:vAlign w:val="center"/>
          </w:tcPr>
          <w:p w:rsidR="000A156F" w:rsidRDefault="00A9721F">
            <w:pPr>
              <w:pStyle w:val="TableBodyText"/>
            </w:pPr>
            <w:r>
              <w:rPr>
                <w:b/>
              </w:rPr>
              <w:t>srcNode</w:t>
            </w:r>
            <w:r>
              <w:t xml:space="preserve"> (Source Node)</w:t>
            </w:r>
          </w:p>
        </w:tc>
        <w:tc>
          <w:tcPr>
            <w:tcW w:w="0" w:type="auto"/>
            <w:vAlign w:val="center"/>
          </w:tcPr>
          <w:p w:rsidR="000A156F" w:rsidRDefault="00A9721F">
            <w:pPr>
              <w:pStyle w:val="TableBodyText"/>
            </w:pPr>
            <w:r>
              <w:t>Office expects the value c</w:t>
            </w:r>
            <w:r>
              <w:t>orresponding to this parameter identifier to be in the range defined by the XML schema string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t>stAng</w:t>
            </w:r>
            <w:r>
              <w:t xml:space="preserve"> (Start Angle)</w:t>
            </w:r>
          </w:p>
        </w:tc>
        <w:tc>
          <w:tcPr>
            <w:tcW w:w="0" w:type="auto"/>
            <w:vAlign w:val="center"/>
          </w:tcPr>
          <w:p w:rsidR="000A156F" w:rsidRDefault="00A9721F">
            <w:pPr>
              <w:pStyle w:val="TableBodyText"/>
            </w:pPr>
            <w:r>
              <w:t>Office uses 0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w:t>
            </w:r>
            <w:r>
              <w:t>meter identifier to be in the range defined by the XML schema double data type.</w:t>
            </w: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stBulletLvl</w:t>
            </w:r>
            <w:r>
              <w:t xml:space="preserve"> (Start Bullets At Level)</w:t>
            </w:r>
          </w:p>
        </w:tc>
        <w:tc>
          <w:tcPr>
            <w:tcW w:w="0" w:type="auto"/>
            <w:vAlign w:val="center"/>
          </w:tcPr>
          <w:p w:rsidR="000A156F" w:rsidRDefault="00A9721F">
            <w:pPr>
              <w:pStyle w:val="TableBodyText"/>
            </w:pPr>
            <w:r>
              <w:t>Office uses 2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w:t>
            </w:r>
            <w:r>
              <w:t>entifier to be of type integer in the range [1, 2].</w:t>
            </w:r>
          </w:p>
          <w:p w:rsidR="000A156F" w:rsidRDefault="000A156F">
            <w:pPr>
              <w:pStyle w:val="TableBodyText"/>
            </w:pPr>
          </w:p>
        </w:tc>
      </w:tr>
      <w:tr w:rsidR="000A156F" w:rsidTr="000A156F">
        <w:tc>
          <w:tcPr>
            <w:tcW w:w="0" w:type="auto"/>
            <w:vAlign w:val="center"/>
          </w:tcPr>
          <w:p w:rsidR="000A156F" w:rsidRDefault="00A9721F">
            <w:pPr>
              <w:pStyle w:val="TableBodyText"/>
            </w:pPr>
            <w:r>
              <w:rPr>
                <w:b/>
              </w:rPr>
              <w:t>stElem</w:t>
            </w:r>
            <w:r>
              <w:t xml:space="preserve"> (Start Element)</w:t>
            </w:r>
          </w:p>
        </w:tc>
        <w:tc>
          <w:tcPr>
            <w:tcW w:w="0" w:type="auto"/>
            <w:vAlign w:val="center"/>
          </w:tcPr>
          <w:p w:rsidR="000A156F" w:rsidRDefault="00A9721F">
            <w:pPr>
              <w:pStyle w:val="TableBodyText"/>
            </w:pPr>
            <w:r>
              <w:t>Office uses node as a default value to correspond to this parameter identifier.</w:t>
            </w:r>
          </w:p>
          <w:p w:rsidR="000A156F" w:rsidRDefault="000A156F">
            <w:pPr>
              <w:pStyle w:val="TableBodyText"/>
            </w:pPr>
          </w:p>
          <w:p w:rsidR="000A156F" w:rsidRDefault="00A9721F">
            <w:pPr>
              <w:pStyle w:val="TableBodyText"/>
            </w:pPr>
            <w:r>
              <w:t xml:space="preserve">Office expects the value corresponding to this parameter identifier to be in the range defined by </w:t>
            </w:r>
            <w:r>
              <w:t>simple type ST_StartingElement.</w:t>
            </w:r>
          </w:p>
          <w:p w:rsidR="000A156F" w:rsidRDefault="000A156F">
            <w:pPr>
              <w:pStyle w:val="TableBodyText"/>
            </w:pPr>
          </w:p>
        </w:tc>
      </w:tr>
      <w:tr w:rsidR="000A156F" w:rsidTr="000A156F">
        <w:tc>
          <w:tcPr>
            <w:tcW w:w="0" w:type="auto"/>
            <w:vAlign w:val="center"/>
          </w:tcPr>
          <w:p w:rsidR="000A156F" w:rsidRDefault="00A9721F">
            <w:pPr>
              <w:pStyle w:val="TableBodyText"/>
            </w:pPr>
            <w:r>
              <w:rPr>
                <w:b/>
              </w:rPr>
              <w:t>txAnchorHorz</w:t>
            </w:r>
            <w:r>
              <w:t xml:space="preserve"> (Text Anchor Horizontal)</w:t>
            </w:r>
          </w:p>
        </w:tc>
        <w:tc>
          <w:tcPr>
            <w:tcW w:w="0" w:type="auto"/>
            <w:vAlign w:val="center"/>
          </w:tcPr>
          <w:p w:rsidR="000A156F" w:rsidRDefault="00A9721F">
            <w:pPr>
              <w:pStyle w:val="TableBodyText"/>
            </w:pPr>
            <w:r>
              <w:t>Office uses none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w:t>
            </w:r>
            <w:r>
              <w:t>e type ST_TextAnchorHorizontal.</w:t>
            </w:r>
          </w:p>
          <w:p w:rsidR="000A156F" w:rsidRDefault="000A156F">
            <w:pPr>
              <w:pStyle w:val="TableBodyText"/>
            </w:pPr>
          </w:p>
        </w:tc>
      </w:tr>
      <w:tr w:rsidR="000A156F" w:rsidTr="000A156F">
        <w:tc>
          <w:tcPr>
            <w:tcW w:w="0" w:type="auto"/>
            <w:vAlign w:val="center"/>
          </w:tcPr>
          <w:p w:rsidR="000A156F" w:rsidRDefault="00A9721F">
            <w:pPr>
              <w:pStyle w:val="TableBodyText"/>
            </w:pPr>
            <w:r>
              <w:rPr>
                <w:b/>
              </w:rPr>
              <w:t>txAnchorHorzCh</w:t>
            </w:r>
            <w:r>
              <w:t xml:space="preserve"> (Text Anchor Horizontal With Children)</w:t>
            </w:r>
          </w:p>
        </w:tc>
        <w:tc>
          <w:tcPr>
            <w:tcW w:w="0" w:type="auto"/>
            <w:vAlign w:val="center"/>
          </w:tcPr>
          <w:p w:rsidR="000A156F" w:rsidRDefault="00A9721F">
            <w:pPr>
              <w:pStyle w:val="TableBodyText"/>
            </w:pPr>
            <w:r>
              <w:t>Office uses none as a default value to correspond to this parameter identifier.</w:t>
            </w:r>
          </w:p>
          <w:p w:rsidR="000A156F" w:rsidRDefault="000A156F">
            <w:pPr>
              <w:pStyle w:val="TableBodyText"/>
            </w:pPr>
          </w:p>
          <w:p w:rsidR="000A156F" w:rsidRDefault="00A9721F">
            <w:pPr>
              <w:pStyle w:val="TableBodyText"/>
            </w:pPr>
            <w:r>
              <w:t xml:space="preserve">Office expects the value corresponding to this parameter identifier to be in the range </w:t>
            </w:r>
            <w:r>
              <w:t>defined by simple type ST_TextAnchorHorizontal.</w:t>
            </w:r>
          </w:p>
          <w:p w:rsidR="000A156F" w:rsidRDefault="000A156F">
            <w:pPr>
              <w:pStyle w:val="TableBodyText"/>
            </w:pPr>
          </w:p>
        </w:tc>
      </w:tr>
      <w:tr w:rsidR="000A156F" w:rsidTr="000A156F">
        <w:tc>
          <w:tcPr>
            <w:tcW w:w="0" w:type="auto"/>
            <w:vAlign w:val="center"/>
          </w:tcPr>
          <w:p w:rsidR="000A156F" w:rsidRDefault="00A9721F">
            <w:pPr>
              <w:pStyle w:val="TableBodyText"/>
            </w:pPr>
            <w:r>
              <w:rPr>
                <w:b/>
              </w:rPr>
              <w:t>txAnchorVert</w:t>
            </w:r>
            <w:r>
              <w:t xml:space="preserve"> (Text Anchor Vertical)</w:t>
            </w:r>
          </w:p>
        </w:tc>
        <w:tc>
          <w:tcPr>
            <w:tcW w:w="0" w:type="auto"/>
            <w:vAlign w:val="center"/>
          </w:tcPr>
          <w:p w:rsidR="000A156F" w:rsidRDefault="00A9721F">
            <w:pPr>
              <w:pStyle w:val="TableBodyText"/>
            </w:pPr>
            <w:r>
              <w:t>Office uses mid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w:t>
            </w:r>
            <w:r>
              <w:t>ined by simple type ST_TextAnchorVertical.</w:t>
            </w:r>
          </w:p>
          <w:p w:rsidR="000A156F" w:rsidRDefault="000A156F">
            <w:pPr>
              <w:pStyle w:val="TableBodyText"/>
            </w:pPr>
          </w:p>
        </w:tc>
      </w:tr>
      <w:tr w:rsidR="000A156F" w:rsidTr="000A156F">
        <w:tc>
          <w:tcPr>
            <w:tcW w:w="0" w:type="auto"/>
            <w:vAlign w:val="center"/>
          </w:tcPr>
          <w:p w:rsidR="000A156F" w:rsidRDefault="00A9721F">
            <w:pPr>
              <w:pStyle w:val="TableBodyText"/>
            </w:pPr>
            <w:r>
              <w:rPr>
                <w:b/>
              </w:rPr>
              <w:t>txAnchorVertCh</w:t>
            </w:r>
            <w:r>
              <w:t xml:space="preserve"> (Text Anchor Vertical With Children)</w:t>
            </w:r>
          </w:p>
        </w:tc>
        <w:tc>
          <w:tcPr>
            <w:tcW w:w="0" w:type="auto"/>
            <w:vAlign w:val="center"/>
          </w:tcPr>
          <w:p w:rsidR="000A156F" w:rsidRDefault="00A9721F">
            <w:pPr>
              <w:pStyle w:val="TableBodyText"/>
            </w:pPr>
            <w:r>
              <w:t>Office uses t as a default value to correspond to this parameter identifier.</w:t>
            </w:r>
          </w:p>
          <w:p w:rsidR="000A156F" w:rsidRDefault="000A156F">
            <w:pPr>
              <w:pStyle w:val="TableBodyText"/>
            </w:pPr>
          </w:p>
          <w:p w:rsidR="000A156F" w:rsidRDefault="00A9721F">
            <w:pPr>
              <w:pStyle w:val="TableBodyText"/>
            </w:pPr>
            <w:r>
              <w:t xml:space="preserve">Office expects the value corresponding to this parameter identifier to be in the </w:t>
            </w:r>
            <w:r>
              <w:t>range defined by simple type ST_TextAnchorVertical.</w:t>
            </w:r>
          </w:p>
          <w:p w:rsidR="000A156F" w:rsidRDefault="000A156F">
            <w:pPr>
              <w:pStyle w:val="TableBodyText"/>
            </w:pPr>
          </w:p>
        </w:tc>
      </w:tr>
      <w:tr w:rsidR="000A156F" w:rsidTr="000A156F">
        <w:tc>
          <w:tcPr>
            <w:tcW w:w="0" w:type="auto"/>
            <w:vAlign w:val="center"/>
          </w:tcPr>
          <w:p w:rsidR="000A156F" w:rsidRDefault="00A9721F">
            <w:pPr>
              <w:pStyle w:val="TableBodyText"/>
            </w:pPr>
            <w:r>
              <w:rPr>
                <w:b/>
              </w:rPr>
              <w:t>txBlDir</w:t>
            </w:r>
            <w:r>
              <w:t xml:space="preserve"> (Text Block Direction)</w:t>
            </w:r>
          </w:p>
        </w:tc>
        <w:tc>
          <w:tcPr>
            <w:tcW w:w="0" w:type="auto"/>
            <w:vAlign w:val="center"/>
          </w:tcPr>
          <w:p w:rsidR="000A156F" w:rsidRDefault="00A9721F">
            <w:pPr>
              <w:pStyle w:val="TableBodyText"/>
            </w:pPr>
            <w:r>
              <w:t>Office uses horz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w:t>
            </w:r>
            <w:r>
              <w:t>ined by simple type ST_TextBlockDirection.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t>txDir</w:t>
            </w:r>
            <w:r>
              <w:t xml:space="preserve"> (Text Direction)</w:t>
            </w:r>
          </w:p>
        </w:tc>
        <w:tc>
          <w:tcPr>
            <w:tcW w:w="0" w:type="auto"/>
            <w:vAlign w:val="center"/>
          </w:tcPr>
          <w:p w:rsidR="000A156F" w:rsidRDefault="00A9721F">
            <w:pPr>
              <w:pStyle w:val="TableBodyText"/>
            </w:pPr>
            <w:r>
              <w:t>Office uses fromT as a default value to correspond to this parameter identifier.</w:t>
            </w:r>
          </w:p>
          <w:p w:rsidR="000A156F" w:rsidRDefault="000A156F">
            <w:pPr>
              <w:pStyle w:val="TableBodyText"/>
            </w:pPr>
          </w:p>
          <w:p w:rsidR="000A156F" w:rsidRDefault="00A9721F">
            <w:pPr>
              <w:pStyle w:val="TableBodyText"/>
            </w:pPr>
            <w:r>
              <w:lastRenderedPageBreak/>
              <w:t xml:space="preserve">Office expects the value corresponding to this parameter identifier to be in the range defined by simple </w:t>
            </w:r>
            <w:r>
              <w:t>type ST_TextDirection.</w:t>
            </w:r>
          </w:p>
          <w:p w:rsidR="000A156F" w:rsidRDefault="000A156F">
            <w:pPr>
              <w:pStyle w:val="TableBodyText"/>
            </w:pPr>
          </w:p>
        </w:tc>
      </w:tr>
      <w:tr w:rsidR="000A156F" w:rsidTr="000A156F">
        <w:tc>
          <w:tcPr>
            <w:tcW w:w="0" w:type="auto"/>
            <w:vAlign w:val="center"/>
          </w:tcPr>
          <w:p w:rsidR="000A156F" w:rsidRDefault="00A9721F">
            <w:pPr>
              <w:pStyle w:val="TableBodyText"/>
            </w:pPr>
            <w:r>
              <w:rPr>
                <w:b/>
              </w:rPr>
              <w:lastRenderedPageBreak/>
              <w:t>vertAlign</w:t>
            </w:r>
            <w:r>
              <w:t xml:space="preserve"> (Vertical Alignment)</w:t>
            </w:r>
          </w:p>
        </w:tc>
        <w:tc>
          <w:tcPr>
            <w:tcW w:w="0" w:type="auto"/>
            <w:vAlign w:val="center"/>
          </w:tcPr>
          <w:p w:rsidR="000A156F" w:rsidRDefault="00A9721F">
            <w:pPr>
              <w:pStyle w:val="TableBodyText"/>
            </w:pPr>
            <w:r>
              <w:t>Office uses mid as a default value to correspond to this parameter identifier.</w:t>
            </w:r>
          </w:p>
          <w:p w:rsidR="000A156F" w:rsidRDefault="000A156F">
            <w:pPr>
              <w:pStyle w:val="TableBodyText"/>
            </w:pPr>
          </w:p>
          <w:p w:rsidR="000A156F" w:rsidRDefault="00A9721F">
            <w:pPr>
              <w:pStyle w:val="TableBodyText"/>
            </w:pPr>
            <w:r>
              <w:t>Office expects the value corresponding to this parameter identifier to be in the range defined by simple type ST_Vertica</w:t>
            </w:r>
            <w:r>
              <w:t>lAlignment.</w:t>
            </w:r>
          </w:p>
          <w:p w:rsidR="000A156F" w:rsidRDefault="000A156F">
            <w:pPr>
              <w:pStyle w:val="TableBodyText"/>
            </w:pPr>
          </w:p>
        </w:tc>
      </w:tr>
    </w:tbl>
    <w:p w:rsidR="000A156F" w:rsidRDefault="000A156F"/>
    <w:p w:rsidR="000A156F" w:rsidRDefault="00A9721F">
      <w:pPr>
        <w:pStyle w:val="Heading3"/>
      </w:pPr>
      <w:bookmarkStart w:id="3301" w:name="section_f3ca1d613ed0477c868017ac5f2accec"/>
      <w:bookmarkStart w:id="3302" w:name="_Toc181684676"/>
      <w:r>
        <w:t>Part 1 Section 21.4.7.56, ST_SecondaryChildAlignment (Secondary Child Alignment)</w:t>
      </w:r>
      <w:bookmarkEnd w:id="3301"/>
      <w:bookmarkEnd w:id="3302"/>
      <w:r>
        <w:fldChar w:fldCharType="begin"/>
      </w:r>
      <w:r>
        <w:instrText xml:space="preserve"> XE "ST_SecondaryChildAlignment (Secondary Child Alignment)" </w:instrText>
      </w:r>
      <w:r>
        <w:fldChar w:fldCharType="end"/>
      </w:r>
    </w:p>
    <w:p w:rsidR="000A156F" w:rsidRDefault="00A9721F">
      <w:pPr>
        <w:pStyle w:val="Definition-Field"/>
      </w:pPr>
      <w:r>
        <w:t xml:space="preserve">a.   </w:t>
      </w:r>
      <w:r>
        <w:rPr>
          <w:i/>
        </w:rPr>
        <w:t xml:space="preserve">The standard states that the ST_SecondaryChildAlignment simple type defines different </w:t>
      </w:r>
      <w:r>
        <w:rPr>
          <w:i/>
        </w:rPr>
        <w:t>alignment properties of the both hanging layout type of the hierarchy algorithm.</w:t>
      </w:r>
    </w:p>
    <w:p w:rsidR="000A156F" w:rsidRDefault="00A9721F">
      <w:pPr>
        <w:pStyle w:val="Definition-Field2"/>
      </w:pPr>
      <w:r>
        <w:t>Office uses this simple type to define secondary alignment preferences to be used in a layout algorithm.</w:t>
      </w:r>
    </w:p>
    <w:p w:rsidR="000A156F" w:rsidRDefault="00A9721F">
      <w:pPr>
        <w:pStyle w:val="Heading3"/>
      </w:pPr>
      <w:bookmarkStart w:id="3303" w:name="section_9aca776fecc4466e837ede0dff2e505e"/>
      <w:bookmarkStart w:id="3304" w:name="_Toc181684677"/>
      <w:r>
        <w:t>Part 1 Section 21.4.7.57, ST_SecondaryLinearDirection (Secondary Linea</w:t>
      </w:r>
      <w:r>
        <w:t>r Direction)</w:t>
      </w:r>
      <w:bookmarkEnd w:id="3303"/>
      <w:bookmarkEnd w:id="3304"/>
      <w:r>
        <w:fldChar w:fldCharType="begin"/>
      </w:r>
      <w:r>
        <w:instrText xml:space="preserve"> XE "ST_SecondaryLinearDirection (Secondary Linear Direction)" </w:instrText>
      </w:r>
      <w:r>
        <w:fldChar w:fldCharType="end"/>
      </w:r>
    </w:p>
    <w:p w:rsidR="000A156F" w:rsidRDefault="00A9721F">
      <w:pPr>
        <w:pStyle w:val="Definition-Field"/>
      </w:pPr>
      <w:r>
        <w:t xml:space="preserve">a.   </w:t>
      </w:r>
      <w:r>
        <w:rPr>
          <w:i/>
        </w:rPr>
        <w:t>The standard states that the ST_SecondaryLinearDirection simple type defines different directions for the nodes in a both hanging layout in the hierarchy algorithm.</w:t>
      </w:r>
    </w:p>
    <w:p w:rsidR="000A156F" w:rsidRDefault="00A9721F">
      <w:pPr>
        <w:pStyle w:val="Definition-Field2"/>
      </w:pPr>
      <w:r>
        <w:t>Office u</w:t>
      </w:r>
      <w:r>
        <w:t>ses this simple type to define different directions for the nodes in a layout algorithm.</w:t>
      </w:r>
    </w:p>
    <w:p w:rsidR="000A156F" w:rsidRDefault="00A9721F">
      <w:pPr>
        <w:pStyle w:val="Heading3"/>
      </w:pPr>
      <w:bookmarkStart w:id="3305" w:name="section_9c37e55bcb804086b754a2822a74fe98"/>
      <w:bookmarkStart w:id="3306" w:name="_Toc181684678"/>
      <w:r>
        <w:t>Part 1 Section 22.1, Math</w:t>
      </w:r>
      <w:bookmarkEnd w:id="3305"/>
      <w:bookmarkEnd w:id="3306"/>
      <w:r>
        <w:fldChar w:fldCharType="begin"/>
      </w:r>
      <w:r>
        <w:instrText xml:space="preserve"> XE "Math" </w:instrText>
      </w:r>
      <w:r>
        <w:fldChar w:fldCharType="end"/>
      </w:r>
    </w:p>
    <w:p w:rsidR="000A156F" w:rsidRDefault="00A9721F">
      <w:pPr>
        <w:pStyle w:val="Definition-Field"/>
      </w:pPr>
      <w:r>
        <w:t xml:space="preserve">a.   </w:t>
      </w:r>
      <w:r>
        <w:rPr>
          <w:i/>
        </w:rPr>
        <w:t>The standard specifies that the ruby element is allowed inside math.</w:t>
      </w:r>
    </w:p>
    <w:p w:rsidR="000A156F" w:rsidRDefault="00A9721F">
      <w:pPr>
        <w:pStyle w:val="Definition-Field2"/>
      </w:pPr>
      <w:r>
        <w:t>Word exhibits unpredictable behavior if the ruby eleme</w:t>
      </w:r>
      <w:r>
        <w:t>nt is included inside math, including failing to open the document.</w:t>
      </w:r>
    </w:p>
    <w:p w:rsidR="000A156F" w:rsidRDefault="00A9721F">
      <w:pPr>
        <w:pStyle w:val="Definition-Field"/>
      </w:pPr>
      <w:r>
        <w:t xml:space="preserve">b.   </w:t>
      </w:r>
      <w:r>
        <w:rPr>
          <w:i/>
        </w:rPr>
        <w:t>The standard specifies that comments are allowed inside math.</w:t>
      </w:r>
    </w:p>
    <w:p w:rsidR="000A156F" w:rsidRDefault="00A9721F">
      <w:pPr>
        <w:pStyle w:val="Definition-Field2"/>
      </w:pPr>
      <w:r>
        <w:t>In Office, unpredictable behavior occurs when comments are included inside math.</w:t>
      </w:r>
    </w:p>
    <w:p w:rsidR="000A156F" w:rsidRDefault="00A9721F">
      <w:pPr>
        <w:pStyle w:val="Definition-Field"/>
      </w:pPr>
      <w:r>
        <w:t xml:space="preserve">c.   </w:t>
      </w:r>
      <w:r>
        <w:rPr>
          <w:i/>
        </w:rPr>
        <w:t>The standard specifies that the pic</w:t>
      </w:r>
      <w:r>
        <w:rPr>
          <w:i/>
        </w:rPr>
        <w:t>t element is allowed inside math.</w:t>
      </w:r>
    </w:p>
    <w:p w:rsidR="000A156F" w:rsidRDefault="00A9721F">
      <w:pPr>
        <w:pStyle w:val="Definition-Field2"/>
      </w:pPr>
      <w:r>
        <w:t>Word exhibits unpredictable behavior when the pict element is included inside math, including failing to open the document.</w:t>
      </w:r>
    </w:p>
    <w:p w:rsidR="000A156F" w:rsidRDefault="00A9721F">
      <w:pPr>
        <w:pStyle w:val="Heading3"/>
      </w:pPr>
      <w:bookmarkStart w:id="3307" w:name="section_292bbf0129d446e3953eacb4ebd8d097"/>
      <w:bookmarkStart w:id="3308" w:name="_Toc181684679"/>
      <w:r>
        <w:t>Part 1 Section 22.1.2.1, acc (Accent)</w:t>
      </w:r>
      <w:bookmarkEnd w:id="3307"/>
      <w:bookmarkEnd w:id="3308"/>
      <w:r>
        <w:fldChar w:fldCharType="begin"/>
      </w:r>
      <w:r>
        <w:instrText xml:space="preserve"> XE "acc (Accent)" </w:instrText>
      </w:r>
      <w:r>
        <w:fldChar w:fldCharType="end"/>
      </w:r>
    </w:p>
    <w:p w:rsidR="000A156F" w:rsidRDefault="00A9721F">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09" w:name="section_2325459a45fc4ed481f209cf0696c03f"/>
      <w:bookmarkStart w:id="3310" w:name="_Toc181684680"/>
      <w:r>
        <w:t>Part 1 Section 22.1.2.3, aln (Alignment)</w:t>
      </w:r>
      <w:bookmarkEnd w:id="3309"/>
      <w:bookmarkEnd w:id="3310"/>
      <w:r>
        <w:fldChar w:fldCharType="begin"/>
      </w:r>
      <w:r>
        <w:instrText xml:space="preserve"> XE "aln (Alignment)" </w:instrText>
      </w:r>
      <w:r>
        <w:fldChar w:fldCharType="end"/>
      </w:r>
    </w:p>
    <w:p w:rsidR="000A156F" w:rsidRDefault="00A9721F">
      <w:pPr>
        <w:pStyle w:val="Definition-Field"/>
      </w:pPr>
      <w:r>
        <w:t xml:space="preserve">a.   </w:t>
      </w:r>
      <w:r>
        <w:rPr>
          <w:i/>
        </w:rPr>
        <w:t>The standard states that aln is not used when appl</w:t>
      </w:r>
      <w:r>
        <w:rPr>
          <w:i/>
        </w:rPr>
        <w:t>ied to a box which is not an operator emulator.</w:t>
      </w:r>
    </w:p>
    <w:p w:rsidR="000A156F" w:rsidRDefault="00A9721F">
      <w:pPr>
        <w:pStyle w:val="Definition-Field2"/>
      </w:pPr>
      <w:r>
        <w:lastRenderedPageBreak/>
        <w:t>Office does not allow aln to be applied to a box which is not an operator emulator.</w:t>
      </w:r>
    </w:p>
    <w:p w:rsidR="000A156F" w:rsidRDefault="00A9721F">
      <w:pPr>
        <w:pStyle w:val="Definition-Field"/>
      </w:pPr>
      <w:r>
        <w:t xml:space="preserve">b.   </w:t>
      </w:r>
      <w:r>
        <w:rPr>
          <w:i/>
        </w:rPr>
        <w:t>The standard says aln applies only to the box function even though the schema allows it as a child of math runs.</w:t>
      </w:r>
    </w:p>
    <w:p w:rsidR="000A156F" w:rsidRDefault="00A9721F">
      <w:pPr>
        <w:pStyle w:val="Definition-Field2"/>
      </w:pPr>
      <w:r>
        <w:t>In Wor</w:t>
      </w:r>
      <w:r>
        <w:t>d, the aln element applies to the box function and to math runs.</w:t>
      </w:r>
    </w:p>
    <w:p w:rsidR="000A156F" w:rsidRDefault="00A9721F">
      <w:pPr>
        <w:pStyle w:val="Heading3"/>
      </w:pPr>
      <w:bookmarkStart w:id="3311" w:name="section_2d093a56814f4f548b5d6551356e7636"/>
      <w:bookmarkStart w:id="3312" w:name="_Toc181684681"/>
      <w:r>
        <w:t>Part 1 Section 22.1.2.7, bar (Bar)</w:t>
      </w:r>
      <w:bookmarkEnd w:id="3311"/>
      <w:bookmarkEnd w:id="3312"/>
      <w:r>
        <w:fldChar w:fldCharType="begin"/>
      </w:r>
      <w:r>
        <w:instrText xml:space="preserve"> XE "bar (Bar)"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13" w:name="section_fdb9a8e819b248e78ba1f39f9f5e7e0f"/>
      <w:bookmarkStart w:id="3314" w:name="_Toc181684682"/>
      <w:r>
        <w:t>Part 1 Section 22.1.2.8, barPr (Bar Properties)</w:t>
      </w:r>
      <w:bookmarkEnd w:id="3313"/>
      <w:bookmarkEnd w:id="3314"/>
      <w:r>
        <w:fldChar w:fldCharType="begin"/>
      </w:r>
      <w:r>
        <w:instrText xml:space="preserve"> XE "barPr (Bar Properties)" </w:instrText>
      </w:r>
      <w:r>
        <w:fldChar w:fldCharType="end"/>
      </w:r>
    </w:p>
    <w:p w:rsidR="000A156F" w:rsidRDefault="00A9721F">
      <w:pPr>
        <w:pStyle w:val="Definition-Field"/>
      </w:pPr>
      <w:r>
        <w:t xml:space="preserve">a.   </w:t>
      </w:r>
      <w:r>
        <w:rPr>
          <w:i/>
        </w:rPr>
        <w:t>The standard states that the bar assumes its default location of top (the mathematical overbar) when this element is omitted.</w:t>
      </w:r>
    </w:p>
    <w:p w:rsidR="000A156F" w:rsidRDefault="00A9721F">
      <w:pPr>
        <w:pStyle w:val="Definition-Field2"/>
      </w:pPr>
      <w:r>
        <w:t>Word uses</w:t>
      </w:r>
      <w:r>
        <w:t xml:space="preserve"> a default location of bottom (the mathematical underbar) when this element is omitted.</w:t>
      </w:r>
    </w:p>
    <w:p w:rsidR="000A156F" w:rsidRDefault="00A9721F">
      <w:pPr>
        <w:pStyle w:val="Heading3"/>
      </w:pPr>
      <w:bookmarkStart w:id="3315" w:name="section_db8d16282e6c46e4962ed25e9bab147f"/>
      <w:bookmarkStart w:id="3316" w:name="_Toc181684683"/>
      <w:r>
        <w:t>Part 1 Section 22.1.2.9, baseJc (Matrix Base Justification)</w:t>
      </w:r>
      <w:bookmarkEnd w:id="3315"/>
      <w:bookmarkEnd w:id="3316"/>
      <w:r>
        <w:fldChar w:fldCharType="begin"/>
      </w:r>
      <w:r>
        <w:instrText xml:space="preserve"> XE "baseJc (Matrix Base Justification)" </w:instrText>
      </w:r>
      <w:r>
        <w:fldChar w:fldCharType="end"/>
      </w:r>
    </w:p>
    <w:p w:rsidR="000A156F" w:rsidRDefault="00A9721F">
      <w:pPr>
        <w:pStyle w:val="Definition-Field"/>
      </w:pPr>
      <w:r>
        <w:t xml:space="preserve">a.   </w:t>
      </w:r>
      <w:r>
        <w:rPr>
          <w:i/>
        </w:rPr>
        <w:t xml:space="preserve">The standard says that baseJc applies only to matrices even </w:t>
      </w:r>
      <w:r>
        <w:rPr>
          <w:i/>
        </w:rPr>
        <w:t>though the schema allows it as a child of equation arrays.</w:t>
      </w:r>
    </w:p>
    <w:p w:rsidR="000A156F" w:rsidRDefault="00A9721F">
      <w:pPr>
        <w:pStyle w:val="Definition-Field2"/>
      </w:pPr>
      <w:r>
        <w:t>In Word, baseJc applies to matrices and equation arrays.</w:t>
      </w:r>
    </w:p>
    <w:p w:rsidR="000A156F" w:rsidRDefault="00A9721F">
      <w:pPr>
        <w:pStyle w:val="Definition-Field"/>
      </w:pPr>
      <w:r>
        <w:t xml:space="preserve">b.   </w:t>
      </w:r>
      <w:r>
        <w:rPr>
          <w:i/>
        </w:rPr>
        <w:t>The standard does not specify in detail how to align the matrix with the surrounding content.</w:t>
      </w:r>
    </w:p>
    <w:p w:rsidR="000A156F" w:rsidRDefault="00A9721F">
      <w:pPr>
        <w:pStyle w:val="Definition-Field2"/>
      </w:pPr>
      <w:r>
        <w:t>Word uses baseline alignment to align the</w:t>
      </w:r>
      <w:r>
        <w:t xml:space="preserve"> matrix with the surrounding content.</w:t>
      </w:r>
    </w:p>
    <w:p w:rsidR="000A156F" w:rsidRDefault="00A9721F">
      <w:pPr>
        <w:pStyle w:val="Heading3"/>
      </w:pPr>
      <w:bookmarkStart w:id="3317" w:name="section_04b9c6a86b734659894e9b43618ee281"/>
      <w:bookmarkStart w:id="3318" w:name="_Toc181684684"/>
      <w:r>
        <w:t>Part 1 Section 22.1.2.11, borderBox (Border-Box Object)</w:t>
      </w:r>
      <w:bookmarkEnd w:id="3317"/>
      <w:bookmarkEnd w:id="3318"/>
      <w:r>
        <w:fldChar w:fldCharType="begin"/>
      </w:r>
      <w:r>
        <w:instrText xml:space="preserve"> XE "borderBox (Border-Box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19" w:name="section_63c8849f1c244a1b94b3e987f4a20e54"/>
      <w:bookmarkStart w:id="3320" w:name="_Toc181684685"/>
      <w:r>
        <w:t>Part 1 Section 22.1.2.13, box (Box Object)</w:t>
      </w:r>
      <w:bookmarkEnd w:id="3319"/>
      <w:bookmarkEnd w:id="3320"/>
      <w:r>
        <w:fldChar w:fldCharType="begin"/>
      </w:r>
      <w:r>
        <w:instrText xml:space="preserve"> XE "box (Box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21" w:name="section_9742c999b0654a7091b509d6a6cf99f7"/>
      <w:bookmarkStart w:id="3322" w:name="_Toc181684686"/>
      <w:r>
        <w:t>Part 1 Section 22.1.2.15, brk (Break)</w:t>
      </w:r>
      <w:bookmarkEnd w:id="3321"/>
      <w:bookmarkEnd w:id="3322"/>
      <w:r>
        <w:fldChar w:fldCharType="begin"/>
      </w:r>
      <w:r>
        <w:instrText xml:space="preserve"> XE "brk (Break)" </w:instrText>
      </w:r>
      <w:r>
        <w:fldChar w:fldCharType="end"/>
      </w:r>
    </w:p>
    <w:p w:rsidR="000A156F" w:rsidRDefault="00A9721F">
      <w:pPr>
        <w:pStyle w:val="Definition-Field"/>
      </w:pPr>
      <w:r>
        <w:t xml:space="preserve">a.   </w:t>
      </w:r>
      <w:r>
        <w:rPr>
          <w:i/>
        </w:rPr>
        <w:t>The standard allows any value for alnAt between 1 and 255.</w:t>
      </w:r>
    </w:p>
    <w:p w:rsidR="000A156F" w:rsidRDefault="00A9721F">
      <w:pPr>
        <w:pStyle w:val="Definition-Field2"/>
      </w:pPr>
      <w:r>
        <w:t>Word requires the value of alnAt to be less than the index of the first operator in the equation</w:t>
      </w:r>
      <w:r>
        <w:t xml:space="preserve"> with a manual break.</w:t>
      </w:r>
    </w:p>
    <w:p w:rsidR="000A156F" w:rsidRDefault="00A9721F">
      <w:pPr>
        <w:pStyle w:val="Definition-Field"/>
      </w:pPr>
      <w:r>
        <w:t xml:space="preserve">b.   </w:t>
      </w:r>
      <w:r>
        <w:rPr>
          <w:i/>
        </w:rPr>
        <w:t>The standard allows brk element to be specified for any math run.</w:t>
      </w:r>
    </w:p>
    <w:p w:rsidR="000A156F" w:rsidRDefault="00A9721F">
      <w:pPr>
        <w:pStyle w:val="Definition-Field2"/>
      </w:pPr>
      <w:r>
        <w:t>Word ignores brk if it is specified for a math run which does not begin with an operator.</w:t>
      </w:r>
    </w:p>
    <w:p w:rsidR="000A156F" w:rsidRDefault="00A9721F">
      <w:pPr>
        <w:pStyle w:val="Definition-Field"/>
      </w:pPr>
      <w:r>
        <w:t xml:space="preserve">c.   </w:t>
      </w:r>
      <w:r>
        <w:rPr>
          <w:i/>
        </w:rPr>
        <w:t>The standard says the alignAt attribute specifies how to align the c</w:t>
      </w:r>
      <w:r>
        <w:rPr>
          <w:i/>
        </w:rPr>
        <w:t>urrent line of the equation with the previous line of the equation.</w:t>
      </w:r>
    </w:p>
    <w:p w:rsidR="000A156F" w:rsidRDefault="00A9721F">
      <w:pPr>
        <w:pStyle w:val="Definition-Field2"/>
      </w:pPr>
      <w:r>
        <w:t>In Word, the alignAt attribute specifies how to align the current line of the equation with the first line of the equation.</w:t>
      </w:r>
    </w:p>
    <w:p w:rsidR="000A156F" w:rsidRDefault="00A9721F">
      <w:pPr>
        <w:pStyle w:val="Heading3"/>
      </w:pPr>
      <w:bookmarkStart w:id="3323" w:name="section_3c0b4f327702471e8ffe325a915481b3"/>
      <w:bookmarkStart w:id="3324" w:name="_Toc181684687"/>
      <w:r>
        <w:lastRenderedPageBreak/>
        <w:t>Part 1 Section 22.1.2.18, cGp (Matrix Column Gap)</w:t>
      </w:r>
      <w:bookmarkEnd w:id="3323"/>
      <w:bookmarkEnd w:id="3324"/>
      <w:r>
        <w:fldChar w:fldCharType="begin"/>
      </w:r>
      <w:r>
        <w:instrText xml:space="preserve"> XE "cGp (Matri</w:instrText>
      </w:r>
      <w:r>
        <w:instrText xml:space="preserve">x Column Gap)"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0A156F" w:rsidRDefault="00A9721F">
      <w:pPr>
        <w:pStyle w:val="Heading3"/>
      </w:pPr>
      <w:bookmarkStart w:id="3325" w:name="section_371c0b7677f1445f8546de0c5b1ada0d"/>
      <w:bookmarkStart w:id="3326" w:name="_Toc181684688"/>
      <w:r>
        <w:t>Part 1 Section 22.1.2.19, cGpRule (Matrix Column G</w:t>
      </w:r>
      <w:r>
        <w:t>ap Rule)</w:t>
      </w:r>
      <w:bookmarkEnd w:id="3325"/>
      <w:bookmarkEnd w:id="3326"/>
      <w:r>
        <w:fldChar w:fldCharType="begin"/>
      </w:r>
      <w:r>
        <w:instrText xml:space="preserve"> XE "cGpRule (Matrix Column Gap Rule)"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bc0219213f1f402abccba4d59be53942">
        <w:r>
          <w:rPr>
            <w:rStyle w:val="Hyperlink"/>
          </w:rPr>
          <w:t>rSpRule, §22.1.2.93(a)</w:t>
        </w:r>
      </w:hyperlink>
      <w:r>
        <w:rPr>
          <w:i/>
        </w:rPr>
        <w:t>.</w:t>
      </w:r>
    </w:p>
    <w:p w:rsidR="000A156F" w:rsidRDefault="00A9721F">
      <w:pPr>
        <w:pStyle w:val="Heading3"/>
      </w:pPr>
      <w:bookmarkStart w:id="3327" w:name="section_905f41bbce9847e0ad41446ce9012042"/>
      <w:bookmarkStart w:id="3328" w:name="_Toc181684689"/>
      <w:r>
        <w:t>Part 1 Section 22.1.2.21, cou</w:t>
      </w:r>
      <w:r>
        <w:t>nt (Matrix Column Count)</w:t>
      </w:r>
      <w:bookmarkEnd w:id="3327"/>
      <w:bookmarkEnd w:id="3328"/>
      <w:r>
        <w:fldChar w:fldCharType="begin"/>
      </w:r>
      <w:r>
        <w:instrText xml:space="preserve"> XE "count (Matrix Column Count)"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8888801c0ecc48cb8ca4b1b34a8970a3">
        <w:r>
          <w:rPr>
            <w:rStyle w:val="Hyperlink"/>
          </w:rPr>
          <w:t>mr, §22.1.2.69(a)</w:t>
        </w:r>
      </w:hyperlink>
      <w:r>
        <w:rPr>
          <w:i/>
        </w:rPr>
        <w:t>.</w:t>
      </w:r>
    </w:p>
    <w:p w:rsidR="000A156F" w:rsidRDefault="00A9721F">
      <w:pPr>
        <w:pStyle w:val="Definition-Field"/>
      </w:pPr>
      <w:r>
        <w:t xml:space="preserve">a.   </w:t>
      </w:r>
      <w:r>
        <w:rPr>
          <w:i/>
        </w:rPr>
        <w:t xml:space="preserve">The standard does </w:t>
      </w:r>
      <w:r>
        <w:rPr>
          <w:i/>
        </w:rPr>
        <w:t>not specify how to interpret the matrix column count when the count element is omitted.</w:t>
      </w:r>
    </w:p>
    <w:p w:rsidR="000A156F" w:rsidRDefault="00A9721F">
      <w:pPr>
        <w:pStyle w:val="Definition-Field2"/>
      </w:pPr>
      <w:r>
        <w:t>Office assumes the matrix column count is 1 when this element is omitted.</w:t>
      </w:r>
    </w:p>
    <w:p w:rsidR="000A156F" w:rsidRDefault="00A9721F">
      <w:pPr>
        <w:pStyle w:val="Definition-Field"/>
      </w:pPr>
      <w:r>
        <w:t xml:space="preserve">b.   </w:t>
      </w:r>
      <w:r>
        <w:rPr>
          <w:i/>
        </w:rPr>
        <w:t>The standard states that the values of the val attribute are defined by ST_Integer255 sim</w:t>
      </w:r>
      <w:r>
        <w:rPr>
          <w:i/>
        </w:rPr>
        <w:t>ple type.</w:t>
      </w:r>
    </w:p>
    <w:p w:rsidR="000A156F" w:rsidRDefault="00A9721F">
      <w:pPr>
        <w:pStyle w:val="Definition-Field2"/>
      </w:pPr>
      <w:r>
        <w:t>Office restricts the value of this attribute to be at least 1 and at most 64.</w:t>
      </w:r>
    </w:p>
    <w:p w:rsidR="000A156F" w:rsidRDefault="00A9721F">
      <w:pPr>
        <w:pStyle w:val="Heading3"/>
      </w:pPr>
      <w:bookmarkStart w:id="3329" w:name="section_8c4a5c5e7e6349dd99fdfa57af3ab910"/>
      <w:bookmarkStart w:id="3330" w:name="_Toc181684690"/>
      <w:r>
        <w:t>Part 1 Section 22.1.2.22, cSp (Minimum Matrix Column Width)</w:t>
      </w:r>
      <w:bookmarkEnd w:id="3329"/>
      <w:bookmarkEnd w:id="3330"/>
      <w:r>
        <w:fldChar w:fldCharType="begin"/>
      </w:r>
      <w:r>
        <w:instrText xml:space="preserve"> XE "cSp (Minimum Matrix Column Width)" </w:instrText>
      </w:r>
      <w:r>
        <w:fldChar w:fldCharType="end"/>
      </w:r>
    </w:p>
    <w:p w:rsidR="000A156F" w:rsidRDefault="00A9721F">
      <w:pPr>
        <w:pStyle w:val="Definition-Field"/>
      </w:pPr>
      <w:r>
        <w:t xml:space="preserve">a.   </w:t>
      </w:r>
      <w:r>
        <w:rPr>
          <w:i/>
        </w:rPr>
        <w:t xml:space="preserve">The standard states that the values of the val attribute are </w:t>
      </w:r>
      <w:r>
        <w:rPr>
          <w:i/>
        </w:rPr>
        <w:t>defined by the XML unsignedInt datatype.</w:t>
      </w:r>
    </w:p>
    <w:p w:rsidR="000A156F" w:rsidRDefault="00A9721F">
      <w:pPr>
        <w:pStyle w:val="Definition-Field2"/>
      </w:pPr>
      <w:r>
        <w:t>Office restricts the value of this attribute to be at most 31680 (22").</w:t>
      </w:r>
    </w:p>
    <w:p w:rsidR="000A156F" w:rsidRDefault="00A9721F">
      <w:pPr>
        <w:pStyle w:val="Heading3"/>
      </w:pPr>
      <w:bookmarkStart w:id="3331" w:name="section_93f2186763064c8b8aa9390d0adc4e3f"/>
      <w:bookmarkStart w:id="3332" w:name="_Toc181684691"/>
      <w:r>
        <w:t>Part 1 Section 22.1.2.23, ctrlPr (Control Properties)</w:t>
      </w:r>
      <w:bookmarkEnd w:id="3331"/>
      <w:bookmarkEnd w:id="3332"/>
      <w:r>
        <w:fldChar w:fldCharType="begin"/>
      </w:r>
      <w:r>
        <w:instrText xml:space="preserve"> XE "ctrlPr (Control Properties)" </w:instrText>
      </w:r>
      <w:r>
        <w:fldChar w:fldCharType="end"/>
      </w:r>
    </w:p>
    <w:p w:rsidR="000A156F" w:rsidRDefault="00A9721F">
      <w:pPr>
        <w:pStyle w:val="Definition-Field"/>
      </w:pPr>
      <w:r>
        <w:t xml:space="preserve">a.   </w:t>
      </w:r>
      <w:r>
        <w:rPr>
          <w:i/>
        </w:rPr>
        <w:t>The standard does not specify where character pr</w:t>
      </w:r>
      <w:r>
        <w:rPr>
          <w:i/>
        </w:rPr>
        <w:t>operties of each control character of a math object are saved.</w:t>
      </w:r>
    </w:p>
    <w:p w:rsidR="000A156F" w:rsidRDefault="00A9721F">
      <w:pPr>
        <w:pStyle w:val="Definition-Field2"/>
      </w:pPr>
      <w:r>
        <w:t xml:space="preserve">Word saves the character properties of the first control character inside the math object properties tag, while the character properties of the rest of the control characters are saved inside </w:t>
      </w:r>
      <w:r>
        <w:t>the tags of the arguments of the math object.</w:t>
      </w:r>
    </w:p>
    <w:p w:rsidR="000A156F" w:rsidRDefault="00A9721F">
      <w:pPr>
        <w:pStyle w:val="Heading3"/>
      </w:pPr>
      <w:bookmarkStart w:id="3333" w:name="section_191498ba6db5457c8a5b9fd82726c180"/>
      <w:bookmarkStart w:id="3334" w:name="_Toc181684692"/>
      <w:r>
        <w:t>Part 1 Section 22.1.2.24, d (Delimiter Object)</w:t>
      </w:r>
      <w:bookmarkEnd w:id="3333"/>
      <w:bookmarkEnd w:id="3334"/>
      <w:r>
        <w:fldChar w:fldCharType="begin"/>
      </w:r>
      <w:r>
        <w:instrText xml:space="preserve"> XE "d (Delimiter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standard states that the maxOccurs value for the e child element is unbounded.</w:t>
      </w:r>
    </w:p>
    <w:p w:rsidR="000A156F" w:rsidRDefault="00A9721F">
      <w:pPr>
        <w:pStyle w:val="Definition-Field2"/>
      </w:pPr>
      <w:r>
        <w:t>Word limits the occurrences of this element to 1651564.</w:t>
      </w:r>
    </w:p>
    <w:p w:rsidR="000A156F" w:rsidRDefault="00A9721F">
      <w:pPr>
        <w:pStyle w:val="Heading3"/>
      </w:pPr>
      <w:bookmarkStart w:id="3335" w:name="section_947f769620974abcb24160d3b70c0911"/>
      <w:bookmarkStart w:id="3336" w:name="_Toc181684693"/>
      <w:r>
        <w:t>Part 1 Section 22.1.2.25, def</w:t>
      </w:r>
      <w:r>
        <w:t>Jc (Default Justification)</w:t>
      </w:r>
      <w:bookmarkEnd w:id="3335"/>
      <w:bookmarkEnd w:id="3336"/>
      <w:r>
        <w:fldChar w:fldCharType="begin"/>
      </w:r>
      <w:r>
        <w:instrText xml:space="preserve"> XE "defJc (Default Justification)" </w:instrText>
      </w:r>
      <w:r>
        <w:fldChar w:fldCharType="end"/>
      </w:r>
    </w:p>
    <w:p w:rsidR="000A156F" w:rsidRDefault="00A9721F">
      <w:pPr>
        <w:pStyle w:val="Definition-Field"/>
      </w:pPr>
      <w:r>
        <w:t xml:space="preserve">a.   </w:t>
      </w:r>
      <w:r>
        <w:rPr>
          <w:i/>
        </w:rPr>
        <w:t>The standard implies that the val attribute is optional.</w:t>
      </w:r>
    </w:p>
    <w:p w:rsidR="000A156F" w:rsidRDefault="00A9721F">
      <w:pPr>
        <w:pStyle w:val="Definition-Field2"/>
      </w:pPr>
      <w:r>
        <w:t>Word requires this attribute.</w:t>
      </w:r>
    </w:p>
    <w:p w:rsidR="000A156F" w:rsidRDefault="00A9721F">
      <w:pPr>
        <w:pStyle w:val="Heading3"/>
      </w:pPr>
      <w:bookmarkStart w:id="3337" w:name="section_a71a37c5c6a148fb9a65ae541c4f878d"/>
      <w:bookmarkStart w:id="3338" w:name="_Toc181684694"/>
      <w:r>
        <w:lastRenderedPageBreak/>
        <w:t>Part 1 Section 22.1.2.26, deg (Degree)</w:t>
      </w:r>
      <w:bookmarkEnd w:id="3337"/>
      <w:bookmarkEnd w:id="3338"/>
      <w:r>
        <w:fldChar w:fldCharType="begin"/>
      </w:r>
      <w:r>
        <w:instrText xml:space="preserve"> XE "deg (Degree)" </w:instrText>
      </w:r>
      <w:r>
        <w:fldChar w:fldCharType="end"/>
      </w:r>
    </w:p>
    <w:p w:rsidR="000A156F" w:rsidRDefault="00A9721F">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39" w:name="section_d60fa15bb1d24088bfffc1a7ea5740cd"/>
      <w:bookmarkStart w:id="3340" w:name="_Toc181684695"/>
      <w:r>
        <w:t>Part 1 Section 22.1.2.27, degHide (Hide Degree)</w:t>
      </w:r>
      <w:bookmarkEnd w:id="3339"/>
      <w:bookmarkEnd w:id="3340"/>
      <w:r>
        <w:fldChar w:fldCharType="begin"/>
      </w:r>
      <w:r>
        <w:instrText xml:space="preserve"> XE "degHide (Hide Degree)" </w:instrText>
      </w:r>
      <w:r>
        <w:fldChar w:fldCharType="end"/>
      </w:r>
    </w:p>
    <w:p w:rsidR="000A156F" w:rsidRDefault="00A9721F">
      <w:pPr>
        <w:pStyle w:val="Definition-Field"/>
      </w:pPr>
      <w:r>
        <w:t xml:space="preserve">a.   </w:t>
      </w:r>
      <w:r>
        <w:rPr>
          <w:i/>
        </w:rPr>
        <w:t xml:space="preserve">The standard allows degHide to be on </w:t>
      </w:r>
      <w:r>
        <w:rPr>
          <w:i/>
        </w:rPr>
        <w:t>when the degree is not empty.</w:t>
      </w:r>
    </w:p>
    <w:p w:rsidR="000A156F" w:rsidRDefault="00A9721F">
      <w:pPr>
        <w:pStyle w:val="Definition-Field2"/>
      </w:pPr>
      <w:r>
        <w:t>If degHide is on and the degree is not empty, Word displays the contents of the degree in an unexpected place.</w:t>
      </w:r>
    </w:p>
    <w:p w:rsidR="000A156F" w:rsidRDefault="00A9721F">
      <w:pPr>
        <w:pStyle w:val="Heading3"/>
      </w:pPr>
      <w:bookmarkStart w:id="3341" w:name="section_e36aa76793f24537bb6a04ec27a2603d"/>
      <w:bookmarkStart w:id="3342" w:name="_Toc181684696"/>
      <w:r>
        <w:t>Part 1 Section 22.1.2.28, den (Denominator)</w:t>
      </w:r>
      <w:bookmarkEnd w:id="3341"/>
      <w:bookmarkEnd w:id="3342"/>
      <w:r>
        <w:fldChar w:fldCharType="begin"/>
      </w:r>
      <w:r>
        <w:instrText xml:space="preserve"> XE "den (Denominator)" </w:instrText>
      </w:r>
      <w:r>
        <w:fldChar w:fldCharType="end"/>
      </w:r>
    </w:p>
    <w:p w:rsidR="000A156F" w:rsidRDefault="00A9721F">
      <w:pPr>
        <w:pStyle w:val="Definition-Field2"/>
      </w:pPr>
      <w:r>
        <w:rPr>
          <w:i/>
        </w:rPr>
        <w:t>For additional notes that apply to this porti</w:t>
      </w:r>
      <w:r>
        <w:rPr>
          <w:i/>
        </w:rPr>
        <w:t xml:space="preserve">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43" w:name="section_3fdde0be3b4d443db3821e648d7219c4"/>
      <w:bookmarkStart w:id="3344" w:name="_Toc181684697"/>
      <w:r>
        <w:t>Part 1 Section 22.1.2.30, dispDef (Use Display Math Defaults)</w:t>
      </w:r>
      <w:bookmarkEnd w:id="3343"/>
      <w:bookmarkEnd w:id="3344"/>
      <w:r>
        <w:fldChar w:fldCharType="begin"/>
      </w:r>
      <w:r>
        <w:instrText xml:space="preserve"> XE "dispDef (Use Display Math Defaults)" </w:instrText>
      </w:r>
      <w:r>
        <w:fldChar w:fldCharType="end"/>
      </w:r>
    </w:p>
    <w:p w:rsidR="000A156F" w:rsidRDefault="00A9721F">
      <w:pPr>
        <w:pStyle w:val="Definition-Field"/>
      </w:pPr>
      <w:r>
        <w:t xml:space="preserve">a.   </w:t>
      </w:r>
      <w:r>
        <w:rPr>
          <w:i/>
        </w:rPr>
        <w:t>The standard do</w:t>
      </w:r>
      <w:r>
        <w:rPr>
          <w:i/>
        </w:rPr>
        <w:t>es not specify any effect of the dispDef element.</w:t>
      </w:r>
    </w:p>
    <w:p w:rsidR="000A156F" w:rsidRDefault="00A9721F">
      <w:pPr>
        <w:pStyle w:val="Definition-Field2"/>
      </w:pPr>
      <w:r>
        <w:t>If dispDef is off, Word ignores the following math elements:  defJc, lMargin, rMargin, wrapRight, and wrapIndent.  When these elements are ignored, Word will use the properties that are specified by the par</w:t>
      </w:r>
      <w:r>
        <w:t>agraph settings.</w:t>
      </w:r>
    </w:p>
    <w:p w:rsidR="000A156F" w:rsidRDefault="00A9721F">
      <w:pPr>
        <w:pStyle w:val="Heading3"/>
      </w:pPr>
      <w:bookmarkStart w:id="3345" w:name="section_c48a2b6342e34d6ab754b47422049f56"/>
      <w:bookmarkStart w:id="3346" w:name="_Toc181684698"/>
      <w:r>
        <w:t>Part 1 Section 22.1.2.32, e (Element (Argument))</w:t>
      </w:r>
      <w:bookmarkEnd w:id="3345"/>
      <w:bookmarkEnd w:id="3346"/>
      <w:r>
        <w:fldChar w:fldCharType="begin"/>
      </w:r>
      <w:r>
        <w:instrText xml:space="preserve"> XE "e (Element (Argument))"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0A156F" w:rsidRDefault="00A9721F">
      <w:pPr>
        <w:pStyle w:val="Heading3"/>
      </w:pPr>
      <w:bookmarkStart w:id="3347" w:name="section_8f2b9c9aaf81400db9d2d86813102b3d"/>
      <w:bookmarkStart w:id="3348" w:name="_Toc181684699"/>
      <w:r>
        <w:t>Part 1 Section 22.1.2.34, eqArr (Array Object)</w:t>
      </w:r>
      <w:bookmarkEnd w:id="3347"/>
      <w:bookmarkEnd w:id="3348"/>
      <w:r>
        <w:fldChar w:fldCharType="begin"/>
      </w:r>
      <w:r>
        <w:instrText xml:space="preserve"> XE "eqArr (Array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w:t>
        </w:r>
        <w:r>
          <w:rPr>
            <w:rStyle w:val="Hyperlink"/>
          </w:rPr>
          <w:t>1.2.77(c)</w:t>
        </w:r>
      </w:hyperlink>
      <w:r>
        <w:rPr>
          <w:i/>
        </w:rPr>
        <w:t>.</w:t>
      </w:r>
    </w:p>
    <w:p w:rsidR="000A156F" w:rsidRDefault="00A9721F">
      <w:pPr>
        <w:pStyle w:val="Definition-Field"/>
      </w:pPr>
      <w:r>
        <w:t xml:space="preserve">a.   </w:t>
      </w:r>
      <w:r>
        <w:rPr>
          <w:i/>
        </w:rPr>
        <w:t>The standard states that the maxOccurs value for the e child element is unbounded.</w:t>
      </w:r>
    </w:p>
    <w:p w:rsidR="000A156F" w:rsidRDefault="00A9721F">
      <w:pPr>
        <w:pStyle w:val="Definition-Field2"/>
      </w:pPr>
      <w:r>
        <w:t>Word limits the occurrences of this element to 64.</w:t>
      </w:r>
    </w:p>
    <w:p w:rsidR="000A156F" w:rsidRDefault="00A9721F">
      <w:pPr>
        <w:pStyle w:val="Heading3"/>
      </w:pPr>
      <w:bookmarkStart w:id="3349" w:name="section_7c29cbd83f0c4281ae04fc97a81be129"/>
      <w:bookmarkStart w:id="3350" w:name="_Toc181684700"/>
      <w:r>
        <w:t>Part 1 Section 22.1.2.36, f (Fraction Object)</w:t>
      </w:r>
      <w:bookmarkEnd w:id="3349"/>
      <w:bookmarkEnd w:id="3350"/>
      <w:r>
        <w:fldChar w:fldCharType="begin"/>
      </w:r>
      <w:r>
        <w:instrText xml:space="preserve"> XE "f (Fraction Object)" </w:instrText>
      </w:r>
      <w:r>
        <w:fldChar w:fldCharType="end"/>
      </w:r>
    </w:p>
    <w:p w:rsidR="000A156F" w:rsidRDefault="00A9721F">
      <w:pPr>
        <w:pStyle w:val="Definition-Field2"/>
      </w:pPr>
      <w:r>
        <w:rPr>
          <w:i/>
        </w:rPr>
        <w:t xml:space="preserve">For additional notes that apply </w:t>
      </w:r>
      <w:r>
        <w:rPr>
          <w:i/>
        </w:rPr>
        <w:t xml:space="preserve">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51" w:name="section_a9e1349479034e899e2592bccc61e724"/>
      <w:bookmarkStart w:id="3352" w:name="_Toc181684701"/>
      <w:r>
        <w:t>Part 1 Section 22.1.2.37, fName (Function Name)</w:t>
      </w:r>
      <w:bookmarkEnd w:id="3351"/>
      <w:bookmarkEnd w:id="3352"/>
      <w:r>
        <w:fldChar w:fldCharType="begin"/>
      </w:r>
      <w:r>
        <w:instrText xml:space="preserve"> XE "fName (Function Name)"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53" w:name="section_762ae7b5f1cd472aa836ebd7158c79ce"/>
      <w:bookmarkStart w:id="3354" w:name="_Toc181684702"/>
      <w:r>
        <w:t>Part 1 Section 22.1.2.39, func (Function Apply Object)</w:t>
      </w:r>
      <w:bookmarkEnd w:id="3353"/>
      <w:bookmarkEnd w:id="3354"/>
      <w:r>
        <w:fldChar w:fldCharType="begin"/>
      </w:r>
      <w:r>
        <w:instrText xml:space="preserve"> XE "func (Function Apply O</w:instrText>
      </w:r>
      <w:r>
        <w:instrText xml:space="preserve">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55" w:name="section_db588d6af7ca414ab301cefba8fd3e79"/>
      <w:bookmarkStart w:id="3356" w:name="_Toc181684703"/>
      <w:r>
        <w:lastRenderedPageBreak/>
        <w:t>Part 1 Section 22.1.2.41, groupChr (Group-Character Object)</w:t>
      </w:r>
      <w:bookmarkEnd w:id="3355"/>
      <w:bookmarkEnd w:id="3356"/>
      <w:r>
        <w:fldChar w:fldCharType="begin"/>
      </w:r>
      <w:r>
        <w:instrText xml:space="preserve"> XE "groupC</w:instrText>
      </w:r>
      <w:r>
        <w:instrText xml:space="preserve">hr (Group-Character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57" w:name="section_9700c97afe254445b04a4d3604e64334"/>
      <w:bookmarkStart w:id="3358" w:name="_Toc181684704"/>
      <w:r>
        <w:t>Part 1 Section 22.1.2.43, grow (n-ary Grow)</w:t>
      </w:r>
      <w:bookmarkEnd w:id="3357"/>
      <w:bookmarkEnd w:id="3358"/>
      <w:r>
        <w:fldChar w:fldCharType="begin"/>
      </w:r>
      <w:r>
        <w:instrText xml:space="preserve"> XE "grow (n-ary Grow)" </w:instrText>
      </w:r>
      <w:r>
        <w:fldChar w:fldCharType="end"/>
      </w:r>
    </w:p>
    <w:p w:rsidR="000A156F" w:rsidRDefault="00A9721F">
      <w:pPr>
        <w:pStyle w:val="Definition-Field"/>
      </w:pPr>
      <w:r>
        <w:t xml:space="preserve">a.   </w:t>
      </w:r>
      <w:r>
        <w:rPr>
          <w:i/>
        </w:rPr>
        <w:t>The standard states that the grow element applies only to n-ary objects.</w:t>
      </w:r>
    </w:p>
    <w:p w:rsidR="000A156F" w:rsidRDefault="00A9721F">
      <w:pPr>
        <w:pStyle w:val="Definition-Field2"/>
      </w:pPr>
      <w:r>
        <w:t>Office applies the grow element to n-ary objects and delimiter objects.</w:t>
      </w:r>
    </w:p>
    <w:p w:rsidR="000A156F" w:rsidRDefault="00A9721F">
      <w:pPr>
        <w:pStyle w:val="Definition-Field"/>
      </w:pPr>
      <w:r>
        <w:t xml:space="preserve">b.   </w:t>
      </w:r>
      <w:r>
        <w:rPr>
          <w:i/>
        </w:rPr>
        <w:t>The standard states that the grow element operates at the document level.</w:t>
      </w:r>
    </w:p>
    <w:p w:rsidR="000A156F" w:rsidRDefault="00A9721F">
      <w:pPr>
        <w:pStyle w:val="Definition-Field2"/>
      </w:pPr>
      <w:r>
        <w:t>In Office, the grow element operates at the object level.</w:t>
      </w:r>
    </w:p>
    <w:p w:rsidR="000A156F" w:rsidRDefault="00A9721F">
      <w:pPr>
        <w:pStyle w:val="Heading3"/>
      </w:pPr>
      <w:bookmarkStart w:id="3359" w:name="section_ac1def597ec641b0b012430cbf3d235b"/>
      <w:bookmarkStart w:id="3360" w:name="_Toc181684705"/>
      <w:r>
        <w:t>Part 1 Section 22.1.2.48, interSp (Inter-Equation Spacing)</w:t>
      </w:r>
      <w:bookmarkEnd w:id="3359"/>
      <w:bookmarkEnd w:id="3360"/>
      <w:r>
        <w:fldChar w:fldCharType="begin"/>
      </w:r>
      <w:r>
        <w:instrText xml:space="preserve"> XE "interSp (Inter-Equation Spacing)" </w:instrText>
      </w:r>
      <w:r>
        <w:fldChar w:fldCharType="end"/>
      </w:r>
    </w:p>
    <w:p w:rsidR="000A156F" w:rsidRDefault="00A9721F">
      <w:pPr>
        <w:pStyle w:val="Definition-Field"/>
      </w:pPr>
      <w:r>
        <w:t xml:space="preserve">a.   </w:t>
      </w:r>
      <w:r>
        <w:rPr>
          <w:i/>
        </w:rPr>
        <w:t>The standard specifies the presence of the interSp attribute.</w:t>
      </w:r>
    </w:p>
    <w:p w:rsidR="000A156F" w:rsidRDefault="00A9721F">
      <w:pPr>
        <w:pStyle w:val="Definition-Field2"/>
      </w:pPr>
      <w:r>
        <w:t>Word ignores the interSp attrib</w:t>
      </w:r>
      <w:r>
        <w:t>ute and fails to write it back out.</w:t>
      </w:r>
    </w:p>
    <w:p w:rsidR="000A156F" w:rsidRDefault="00A9721F">
      <w:pPr>
        <w:pStyle w:val="Heading3"/>
      </w:pPr>
      <w:bookmarkStart w:id="3361" w:name="section_e300be7298e0421cb1c6a8d380e511a4"/>
      <w:bookmarkStart w:id="3362" w:name="_Toc181684706"/>
      <w:r>
        <w:t>Part 1 Section 22.1.2.49, intLim (Integral Limit Locations)</w:t>
      </w:r>
      <w:bookmarkEnd w:id="3361"/>
      <w:bookmarkEnd w:id="3362"/>
      <w:r>
        <w:fldChar w:fldCharType="begin"/>
      </w:r>
      <w:r>
        <w:instrText xml:space="preserve"> XE "intLim (Integral Limit Locations)" </w:instrText>
      </w:r>
      <w:r>
        <w:fldChar w:fldCharType="end"/>
      </w:r>
    </w:p>
    <w:p w:rsidR="000A156F" w:rsidRDefault="00A9721F">
      <w:pPr>
        <w:pStyle w:val="Definition-Field"/>
      </w:pPr>
      <w:r>
        <w:t xml:space="preserve">a.   </w:t>
      </w:r>
      <w:r>
        <w:rPr>
          <w:i/>
        </w:rPr>
        <w:t>The standard says intLim specifies limit placement when converting from linear format.</w:t>
      </w:r>
    </w:p>
    <w:p w:rsidR="000A156F" w:rsidRDefault="00A9721F">
      <w:pPr>
        <w:pStyle w:val="Definition-Field2"/>
      </w:pPr>
      <w:r>
        <w:t>In Word, naryLim specifies</w:t>
      </w:r>
      <w:r>
        <w:t xml:space="preserve"> limit placement when limLoc is omitted as well as limit placement when converting from linear format.</w:t>
      </w:r>
    </w:p>
    <w:p w:rsidR="000A156F" w:rsidRDefault="00A9721F">
      <w:pPr>
        <w:pStyle w:val="Heading3"/>
      </w:pPr>
      <w:bookmarkStart w:id="3363" w:name="section_0a68ce910df044e48b4807dc432a7dee"/>
      <w:bookmarkStart w:id="3364" w:name="_Toc181684707"/>
      <w:r>
        <w:t>Part 1 Section 22.1.2.50, intraSp (Intra-Equation Spacing)</w:t>
      </w:r>
      <w:bookmarkEnd w:id="3363"/>
      <w:bookmarkEnd w:id="3364"/>
      <w:r>
        <w:fldChar w:fldCharType="begin"/>
      </w:r>
      <w:r>
        <w:instrText xml:space="preserve"> XE "intraSp (Intra-Equation Spacing)" </w:instrText>
      </w:r>
      <w:r>
        <w:fldChar w:fldCharType="end"/>
      </w:r>
    </w:p>
    <w:p w:rsidR="000A156F" w:rsidRDefault="00A9721F">
      <w:pPr>
        <w:pStyle w:val="Definition-Field"/>
      </w:pPr>
      <w:r>
        <w:t xml:space="preserve">a.   </w:t>
      </w:r>
      <w:r>
        <w:rPr>
          <w:i/>
        </w:rPr>
        <w:t>The standard states that the intraSp element spe</w:t>
      </w:r>
      <w:r>
        <w:rPr>
          <w:i/>
        </w:rPr>
        <w:t>cifies the spacing between adjacent display math paragraphs, in twips.</w:t>
      </w:r>
    </w:p>
    <w:p w:rsidR="000A156F" w:rsidRDefault="00A9721F">
      <w:pPr>
        <w:pStyle w:val="Definition-Field2"/>
      </w:pPr>
      <w:r>
        <w:t>Word does not implement this feature and does not write the intraSp element.</w:t>
      </w:r>
    </w:p>
    <w:p w:rsidR="000A156F" w:rsidRDefault="00A9721F">
      <w:pPr>
        <w:pStyle w:val="Heading3"/>
      </w:pPr>
      <w:bookmarkStart w:id="3365" w:name="section_6d78a918a0224b93b9a3e4f85ff43e00"/>
      <w:bookmarkStart w:id="3366" w:name="_Toc181684708"/>
      <w:r>
        <w:t>Part 1 Section 22.1.2.51, jc (Justification)</w:t>
      </w:r>
      <w:bookmarkEnd w:id="3365"/>
      <w:bookmarkEnd w:id="3366"/>
      <w:r>
        <w:fldChar w:fldCharType="begin"/>
      </w:r>
      <w:r>
        <w:instrText xml:space="preserve"> XE "jc (Justification)" </w:instrText>
      </w:r>
      <w:r>
        <w:fldChar w:fldCharType="end"/>
      </w:r>
    </w:p>
    <w:p w:rsidR="000A156F" w:rsidRDefault="00A9721F">
      <w:pPr>
        <w:pStyle w:val="Definition-Field2"/>
      </w:pPr>
      <w:r>
        <w:rPr>
          <w:i/>
        </w:rPr>
        <w:t>For additional notes that apply to t</w:t>
      </w:r>
      <w:r>
        <w:rPr>
          <w:i/>
        </w:rPr>
        <w:t xml:space="preserve">his portion of the standard, please see the notes for </w:t>
      </w:r>
      <w:hyperlink w:anchor="Section_947f769620974abcb24160d3b70c0911">
        <w:r>
          <w:rPr>
            <w:rStyle w:val="Hyperlink"/>
          </w:rPr>
          <w:t>defJc, §22.1.2.25(a)</w:t>
        </w:r>
      </w:hyperlink>
      <w:r>
        <w:rPr>
          <w:i/>
        </w:rPr>
        <w:t>.</w:t>
      </w:r>
    </w:p>
    <w:p w:rsidR="000A156F" w:rsidRDefault="00A9721F">
      <w:pPr>
        <w:pStyle w:val="Definition-Field"/>
      </w:pPr>
      <w:r>
        <w:t xml:space="preserve">a.   </w:t>
      </w:r>
      <w:r>
        <w:rPr>
          <w:i/>
        </w:rPr>
        <w:t>The standard says that if jc is omitted, the math paragraph is Centered as Group.</w:t>
      </w:r>
    </w:p>
    <w:p w:rsidR="000A156F" w:rsidRDefault="00A9721F">
      <w:pPr>
        <w:pStyle w:val="Definition-Field2"/>
      </w:pPr>
      <w:r>
        <w:t>In Word, if jc is omitted, the</w:t>
      </w:r>
      <w:r>
        <w:t xml:space="preserve"> value is taken from the document default defJc.</w:t>
      </w:r>
    </w:p>
    <w:p w:rsidR="000A156F" w:rsidRDefault="00A9721F">
      <w:pPr>
        <w:pStyle w:val="Heading3"/>
      </w:pPr>
      <w:bookmarkStart w:id="3367" w:name="section_76f92d20f41e48d9a6fc0de5733f477a"/>
      <w:bookmarkStart w:id="3368" w:name="_Toc181684709"/>
      <w:r>
        <w:t>Part 1 Section 22.1.2.52, lim (Limit)</w:t>
      </w:r>
      <w:bookmarkEnd w:id="3367"/>
      <w:bookmarkEnd w:id="3368"/>
      <w:r>
        <w:fldChar w:fldCharType="begin"/>
      </w:r>
      <w:r>
        <w:instrText xml:space="preserve"> XE "lim (Limit)"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standard states that lim specifies the lower limit even though the schema also includes it as a child of the upper limit.</w:t>
      </w:r>
    </w:p>
    <w:p w:rsidR="000A156F" w:rsidRDefault="00A9721F">
      <w:pPr>
        <w:pStyle w:val="Definition-Field2"/>
      </w:pPr>
      <w:r>
        <w:t>In Word, lim specifies the lower limit or upper limit.</w:t>
      </w:r>
    </w:p>
    <w:p w:rsidR="000A156F" w:rsidRDefault="00A9721F">
      <w:pPr>
        <w:pStyle w:val="Heading3"/>
      </w:pPr>
      <w:bookmarkStart w:id="3369" w:name="section_d4e1a069839f40fa8010281af148c209"/>
      <w:bookmarkStart w:id="3370" w:name="_Toc181684710"/>
      <w:r>
        <w:lastRenderedPageBreak/>
        <w:t>Part 1 Section 22.1.2.54, limLow (Lower-Limit Object)</w:t>
      </w:r>
      <w:bookmarkEnd w:id="3369"/>
      <w:bookmarkEnd w:id="3370"/>
      <w:r>
        <w:fldChar w:fldCharType="begin"/>
      </w:r>
      <w:r>
        <w:instrText xml:space="preserve"> XE "limLow (Lower-Limit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w:t>
        </w:r>
        <w:r>
          <w:rPr>
            <w:rStyle w:val="Hyperlink"/>
          </w:rPr>
          <w:t>2.77(c)</w:t>
        </w:r>
      </w:hyperlink>
      <w:r>
        <w:rPr>
          <w:i/>
        </w:rPr>
        <w:t>.</w:t>
      </w:r>
    </w:p>
    <w:p w:rsidR="000A156F" w:rsidRDefault="00A9721F">
      <w:pPr>
        <w:pStyle w:val="Heading3"/>
      </w:pPr>
      <w:bookmarkStart w:id="3371" w:name="section_ea84aac10fc148abbcb96b67689d0a1a"/>
      <w:bookmarkStart w:id="3372" w:name="_Toc181684711"/>
      <w:r>
        <w:t>Part 1 Section 22.1.2.56, limUpp (Upper-Limit Object)</w:t>
      </w:r>
      <w:bookmarkEnd w:id="3371"/>
      <w:bookmarkEnd w:id="3372"/>
      <w:r>
        <w:fldChar w:fldCharType="begin"/>
      </w:r>
      <w:r>
        <w:instrText xml:space="preserve"> XE "limUpp (Upper-Limit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w:t>
        </w:r>
        <w:r>
          <w:rPr>
            <w:rStyle w:val="Hyperlink"/>
          </w:rPr>
          <w:t>h, §22.1.2.77(c)</w:t>
        </w:r>
      </w:hyperlink>
      <w:r>
        <w:rPr>
          <w:i/>
        </w:rPr>
        <w:t>.</w:t>
      </w:r>
    </w:p>
    <w:p w:rsidR="000A156F" w:rsidRDefault="00A9721F">
      <w:pPr>
        <w:pStyle w:val="Heading3"/>
      </w:pPr>
      <w:bookmarkStart w:id="3373" w:name="section_5ebe64dcdfd043959169450bd428ae63"/>
      <w:bookmarkStart w:id="3374" w:name="_Toc181684712"/>
      <w:r>
        <w:t>Part 1 Section 22.1.2.60, m (Matrix Object)</w:t>
      </w:r>
      <w:bookmarkEnd w:id="3373"/>
      <w:bookmarkEnd w:id="3374"/>
      <w:r>
        <w:fldChar w:fldCharType="begin"/>
      </w:r>
      <w:r>
        <w:instrText xml:space="preserve"> XE "m (Matrix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w:t>
        </w:r>
        <w:r>
          <w:rPr>
            <w:rStyle w:val="Hyperlink"/>
          </w:rPr>
          <w:t>77(c)</w:t>
        </w:r>
      </w:hyperlink>
      <w:r>
        <w:rPr>
          <w:i/>
        </w:rPr>
        <w:t>.</w:t>
      </w:r>
    </w:p>
    <w:p w:rsidR="000A156F" w:rsidRDefault="00A9721F">
      <w:pPr>
        <w:pStyle w:val="Definition-Field"/>
      </w:pPr>
      <w:r>
        <w:t xml:space="preserve">a.   </w:t>
      </w:r>
      <w:r>
        <w:rPr>
          <w:i/>
        </w:rPr>
        <w:t>The standard states that the maxOccurs value for the mr child element is unbounded.</w:t>
      </w:r>
    </w:p>
    <w:p w:rsidR="000A156F" w:rsidRDefault="00A9721F">
      <w:pPr>
        <w:pStyle w:val="Definition-Field2"/>
      </w:pPr>
      <w:r>
        <w:t>Word limits the occurrences of this element to 256.</w:t>
      </w:r>
    </w:p>
    <w:p w:rsidR="000A156F" w:rsidRDefault="00A9721F">
      <w:pPr>
        <w:pStyle w:val="Heading3"/>
      </w:pPr>
      <w:bookmarkStart w:id="3375" w:name="section_859a8ba5a34c4eacbfbed0f7049d52d7"/>
      <w:bookmarkStart w:id="3376" w:name="_Toc181684713"/>
      <w:r>
        <w:t>Part 1 Section 22.1.2.61, mathFont (Math Font)</w:t>
      </w:r>
      <w:bookmarkEnd w:id="3375"/>
      <w:bookmarkEnd w:id="3376"/>
      <w:r>
        <w:fldChar w:fldCharType="begin"/>
      </w:r>
      <w:r>
        <w:instrText xml:space="preserve"> XE "mathFont (Math Font)" </w:instrText>
      </w:r>
      <w:r>
        <w:fldChar w:fldCharType="end"/>
      </w:r>
    </w:p>
    <w:p w:rsidR="000A156F" w:rsidRDefault="00A9721F">
      <w:pPr>
        <w:pStyle w:val="Definition-Field"/>
      </w:pPr>
      <w:r>
        <w:t xml:space="preserve">a.   </w:t>
      </w:r>
      <w:r>
        <w:rPr>
          <w:i/>
        </w:rPr>
        <w:t>The standard does not limit</w:t>
      </w:r>
      <w:r>
        <w:rPr>
          <w:i/>
        </w:rPr>
        <w:t xml:space="preserve"> the length of the value of the val attribute.</w:t>
      </w:r>
    </w:p>
    <w:p w:rsidR="000A156F" w:rsidRDefault="00A9721F">
      <w:pPr>
        <w:pStyle w:val="Definition-Field2"/>
      </w:pPr>
      <w:r>
        <w:t>Word restricts the value of this attribute to be at most 31 characters.</w:t>
      </w:r>
    </w:p>
    <w:p w:rsidR="000A156F" w:rsidRDefault="00A9721F">
      <w:pPr>
        <w:pStyle w:val="Definition-Field"/>
      </w:pPr>
      <w:r>
        <w:t xml:space="preserve">b.   </w:t>
      </w:r>
      <w:r>
        <w:rPr>
          <w:i/>
        </w:rPr>
        <w:t>The standard says that the mathFont property is the default math font.</w:t>
      </w:r>
    </w:p>
    <w:p w:rsidR="000A156F" w:rsidRDefault="00A9721F">
      <w:pPr>
        <w:pStyle w:val="Definition-Field2"/>
      </w:pPr>
      <w:r>
        <w:t>Word uses this setting when math is created while editing wit</w:t>
      </w:r>
      <w:r>
        <w:t>hin the application, but not when loading math from a file.</w:t>
      </w:r>
    </w:p>
    <w:p w:rsidR="000A156F" w:rsidRDefault="00A9721F">
      <w:pPr>
        <w:pStyle w:val="Definition-Field"/>
      </w:pPr>
      <w:r>
        <w:t xml:space="preserve">c.   </w:t>
      </w:r>
      <w:r>
        <w:rPr>
          <w:i/>
        </w:rPr>
        <w:t>The standard does not specify conditions under which the default math font should be ignored.</w:t>
      </w:r>
    </w:p>
    <w:p w:rsidR="000A156F" w:rsidRDefault="00A9721F">
      <w:pPr>
        <w:pStyle w:val="Definition-Field2"/>
      </w:pPr>
      <w:r>
        <w:t>Word ignores the default math font if it is set to an empty string or font which is not appropria</w:t>
      </w:r>
      <w:r>
        <w:t>te for displaying math.</w:t>
      </w:r>
    </w:p>
    <w:p w:rsidR="000A156F" w:rsidRDefault="00A9721F">
      <w:pPr>
        <w:pStyle w:val="Definition-Field"/>
      </w:pPr>
      <w:r>
        <w:t xml:space="preserve">d.   </w:t>
      </w:r>
      <w:r>
        <w:rPr>
          <w:i/>
        </w:rPr>
        <w:t>The standard implies that the val attribute is optional.</w:t>
      </w:r>
    </w:p>
    <w:p w:rsidR="000A156F" w:rsidRDefault="00A9721F">
      <w:pPr>
        <w:pStyle w:val="Definition-Field2"/>
      </w:pPr>
      <w:r>
        <w:t>Word requires this attribute.</w:t>
      </w:r>
    </w:p>
    <w:p w:rsidR="000A156F" w:rsidRDefault="00A9721F">
      <w:pPr>
        <w:pStyle w:val="Heading3"/>
      </w:pPr>
      <w:bookmarkStart w:id="3377" w:name="section_4a8c035cc9304e87aabf32715949ba48"/>
      <w:bookmarkStart w:id="3378" w:name="_Toc181684714"/>
      <w:r>
        <w:t>Part 1 Section 22.1.2.63, maxDist (Maximum Distribution)</w:t>
      </w:r>
      <w:bookmarkEnd w:id="3377"/>
      <w:bookmarkEnd w:id="3378"/>
      <w:r>
        <w:fldChar w:fldCharType="begin"/>
      </w:r>
      <w:r>
        <w:instrText xml:space="preserve"> XE "maxDist (Maximum Distribution)" </w:instrText>
      </w:r>
      <w:r>
        <w:fldChar w:fldCharType="end"/>
      </w:r>
    </w:p>
    <w:p w:rsidR="000A156F" w:rsidRDefault="00A9721F">
      <w:pPr>
        <w:pStyle w:val="Definition-Field"/>
      </w:pPr>
      <w:r>
        <w:t xml:space="preserve">a.   </w:t>
      </w:r>
      <w:r>
        <w:rPr>
          <w:i/>
        </w:rPr>
        <w:t xml:space="preserve">The standard allows maxDist to be used </w:t>
      </w:r>
      <w:r>
        <w:rPr>
          <w:i/>
        </w:rPr>
        <w:t>in an equation array without alignment points, but does not specify where that space should be added.</w:t>
      </w:r>
    </w:p>
    <w:p w:rsidR="000A156F" w:rsidRDefault="00A9721F">
      <w:pPr>
        <w:pStyle w:val="Definition-Field2"/>
      </w:pPr>
      <w:r>
        <w:t>In Word, maxDist only affects eqArr contents if alignment points are used to specify where space should be added.</w:t>
      </w:r>
    </w:p>
    <w:p w:rsidR="000A156F" w:rsidRDefault="00A9721F">
      <w:pPr>
        <w:pStyle w:val="Heading3"/>
      </w:pPr>
      <w:bookmarkStart w:id="3379" w:name="section_764aed492a6b41daa4db13eebd3baac1"/>
      <w:bookmarkStart w:id="3380" w:name="_Toc181684715"/>
      <w:r>
        <w:t>Part 1 Section 22.1.2.64, mc (Matrix Col</w:t>
      </w:r>
      <w:r>
        <w:t>umn)</w:t>
      </w:r>
      <w:bookmarkEnd w:id="3379"/>
      <w:bookmarkEnd w:id="3380"/>
      <w:r>
        <w:fldChar w:fldCharType="begin"/>
      </w:r>
      <w:r>
        <w:instrText xml:space="preserve"> XE "mc (Matrix Column)" </w:instrText>
      </w:r>
      <w:r>
        <w:fldChar w:fldCharType="end"/>
      </w:r>
    </w:p>
    <w:p w:rsidR="000A156F" w:rsidRDefault="00A9721F">
      <w:pPr>
        <w:pStyle w:val="Definition-Field"/>
      </w:pPr>
      <w:r>
        <w:t xml:space="preserve">a.   </w:t>
      </w:r>
      <w:r>
        <w:rPr>
          <w:i/>
        </w:rPr>
        <w:t>The standard says the mc element specifies the properties of a single column in a matrix.</w:t>
      </w:r>
    </w:p>
    <w:p w:rsidR="000A156F" w:rsidRDefault="00A9721F">
      <w:pPr>
        <w:pStyle w:val="Definition-Field2"/>
      </w:pPr>
      <w:r>
        <w:t>Word uses mc to specify the properties of a set of adjacent columns in a matrix.</w:t>
      </w:r>
    </w:p>
    <w:p w:rsidR="000A156F" w:rsidRDefault="00A9721F">
      <w:pPr>
        <w:pStyle w:val="Heading3"/>
      </w:pPr>
      <w:bookmarkStart w:id="3381" w:name="section_57fe4ac077a449f09ade51e4ce4cd6f5"/>
      <w:bookmarkStart w:id="3382" w:name="_Toc181684716"/>
      <w:r>
        <w:t>Part 1 Section 22.1.2.67, mcs (Matrix Columns)</w:t>
      </w:r>
      <w:bookmarkEnd w:id="3381"/>
      <w:bookmarkEnd w:id="3382"/>
      <w:r>
        <w:fldChar w:fldCharType="begin"/>
      </w:r>
      <w:r>
        <w:instrText xml:space="preserve"> X</w:instrText>
      </w:r>
      <w:r>
        <w:instrText xml:space="preserve">E "mcs (Matrix Columns)" </w:instrText>
      </w:r>
      <w:r>
        <w:fldChar w:fldCharType="end"/>
      </w:r>
    </w:p>
    <w:p w:rsidR="000A156F" w:rsidRDefault="00A9721F">
      <w:pPr>
        <w:pStyle w:val="Definition-Field"/>
      </w:pPr>
      <w:r>
        <w:t xml:space="preserve">a.   </w:t>
      </w:r>
      <w:r>
        <w:rPr>
          <w:i/>
        </w:rPr>
        <w:t>The standard allows an unbounded number of columns in a matrix.</w:t>
      </w:r>
    </w:p>
    <w:p w:rsidR="000A156F" w:rsidRDefault="00A9721F">
      <w:pPr>
        <w:pStyle w:val="Definition-Field2"/>
      </w:pPr>
      <w:r>
        <w:t>Word allows at most 64 columns in a matrix.</w:t>
      </w:r>
    </w:p>
    <w:p w:rsidR="000A156F" w:rsidRDefault="00A9721F">
      <w:pPr>
        <w:pStyle w:val="Heading3"/>
      </w:pPr>
      <w:bookmarkStart w:id="3383" w:name="section_8888801c0ecc48cb8ca4b1b34a8970a3"/>
      <w:bookmarkStart w:id="3384" w:name="_Toc181684717"/>
      <w:r>
        <w:lastRenderedPageBreak/>
        <w:t>Part 1 Section 22.1.2.69, mr (Matrix Row)</w:t>
      </w:r>
      <w:bookmarkEnd w:id="3383"/>
      <w:bookmarkEnd w:id="3384"/>
      <w:r>
        <w:fldChar w:fldCharType="begin"/>
      </w:r>
      <w:r>
        <w:instrText xml:space="preserve"> XE "mr (Matrix Row)" </w:instrText>
      </w:r>
      <w:r>
        <w:fldChar w:fldCharType="end"/>
      </w:r>
    </w:p>
    <w:p w:rsidR="000A156F" w:rsidRDefault="00A9721F">
      <w:pPr>
        <w:pStyle w:val="Definition-Field"/>
      </w:pPr>
      <w:r>
        <w:t xml:space="preserve">a.   </w:t>
      </w:r>
      <w:r>
        <w:rPr>
          <w:i/>
        </w:rPr>
        <w:t>The standard states that the maxOccurs value</w:t>
      </w:r>
      <w:r>
        <w:rPr>
          <w:i/>
        </w:rPr>
        <w:t xml:space="preserve"> for the mc child element is unbounded.</w:t>
      </w:r>
    </w:p>
    <w:p w:rsidR="000A156F" w:rsidRDefault="00A9721F">
      <w:pPr>
        <w:pStyle w:val="Definition-Field2"/>
      </w:pPr>
      <w:r>
        <w:t>Word limits the occurrences of this element to 64.</w:t>
      </w:r>
    </w:p>
    <w:p w:rsidR="000A156F" w:rsidRDefault="00A9721F">
      <w:pPr>
        <w:pStyle w:val="Heading3"/>
      </w:pPr>
      <w:bookmarkStart w:id="3385" w:name="section_4eec8366f20a41f9b8fa79d5b669c971"/>
      <w:bookmarkStart w:id="3386" w:name="_Toc181684718"/>
      <w:r>
        <w:t>Part 1 Section 22.1.2.70, nary (n-ary Operator Object)</w:t>
      </w:r>
      <w:bookmarkEnd w:id="3385"/>
      <w:bookmarkEnd w:id="3386"/>
      <w:r>
        <w:fldChar w:fldCharType="begin"/>
      </w:r>
      <w:r>
        <w:instrText xml:space="preserve"> XE "nary (n-ary Operator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87" w:name="section_49f4978c47a149b3916e5f5dd126a221"/>
      <w:bookmarkStart w:id="3388" w:name="_Toc181684719"/>
      <w:r>
        <w:t>Part 1 Section 22.1.2.71, naryLim (n-ary Limit Location)</w:t>
      </w:r>
      <w:bookmarkEnd w:id="3387"/>
      <w:bookmarkEnd w:id="3388"/>
      <w:r>
        <w:fldChar w:fldCharType="begin"/>
      </w:r>
      <w:r>
        <w:instrText xml:space="preserve"> XE "naryLim (n-ary Limit</w:instrText>
      </w:r>
      <w:r>
        <w:instrText xml:space="preserve"> Location)" </w:instrText>
      </w:r>
      <w:r>
        <w:fldChar w:fldCharType="end"/>
      </w:r>
    </w:p>
    <w:p w:rsidR="000A156F" w:rsidRDefault="00A9721F">
      <w:pPr>
        <w:pStyle w:val="Definition-Field"/>
      </w:pPr>
      <w:r>
        <w:t xml:space="preserve">a.   </w:t>
      </w:r>
      <w:r>
        <w:rPr>
          <w:i/>
        </w:rPr>
        <w:t>The standard says naryLim specifies limit placement when converting from linear format.</w:t>
      </w:r>
    </w:p>
    <w:p w:rsidR="000A156F" w:rsidRDefault="00A9721F">
      <w:pPr>
        <w:pStyle w:val="Definition-Field2"/>
      </w:pPr>
      <w:r>
        <w:t>In Word, naryLim specifies limit placement when limLoc is omitted as well as limit placement when converting from linear format.</w:t>
      </w:r>
    </w:p>
    <w:p w:rsidR="000A156F" w:rsidRDefault="00A9721F">
      <w:pPr>
        <w:pStyle w:val="Heading3"/>
      </w:pPr>
      <w:bookmarkStart w:id="3389" w:name="section_34d6d2894a044b19ac438b261bf034e1"/>
      <w:bookmarkStart w:id="3390" w:name="_Toc181684720"/>
      <w:r>
        <w:t>Part 1 Section 22.1</w:t>
      </w:r>
      <w:r>
        <w:t>.2.73, noBreak (No Break)</w:t>
      </w:r>
      <w:bookmarkEnd w:id="3389"/>
      <w:bookmarkEnd w:id="3390"/>
      <w:r>
        <w:fldChar w:fldCharType="begin"/>
      </w:r>
      <w:r>
        <w:instrText xml:space="preserve"> XE "noBreak (No Break)" </w:instrText>
      </w:r>
      <w:r>
        <w:fldChar w:fldCharType="end"/>
      </w:r>
    </w:p>
    <w:p w:rsidR="000A156F" w:rsidRDefault="00A9721F">
      <w:pPr>
        <w:pStyle w:val="Definition-Field"/>
      </w:pPr>
      <w:r>
        <w:t xml:space="preserve">a.   </w:t>
      </w:r>
      <w:r>
        <w:rPr>
          <w:i/>
        </w:rPr>
        <w:t>The standard does not specify conditions under which noBreak is ignored.</w:t>
      </w:r>
    </w:p>
    <w:p w:rsidR="000A156F" w:rsidRDefault="00A9721F">
      <w:pPr>
        <w:pStyle w:val="Definition-Field2"/>
      </w:pPr>
      <w:r>
        <w:t>If opEmu is set, Word ignores noBreak and never breaks.</w:t>
      </w:r>
    </w:p>
    <w:p w:rsidR="000A156F" w:rsidRDefault="00A9721F">
      <w:pPr>
        <w:pStyle w:val="Definition-Field"/>
      </w:pPr>
      <w:r>
        <w:t xml:space="preserve">b.   </w:t>
      </w:r>
      <w:r>
        <w:rPr>
          <w:i/>
        </w:rPr>
        <w:t>The standard says the default is off.</w:t>
      </w:r>
    </w:p>
    <w:p w:rsidR="000A156F" w:rsidRDefault="00A9721F">
      <w:pPr>
        <w:pStyle w:val="Definition-Field2"/>
      </w:pPr>
      <w:r>
        <w:t>In Word the default is on.</w:t>
      </w:r>
    </w:p>
    <w:p w:rsidR="000A156F" w:rsidRDefault="00A9721F">
      <w:pPr>
        <w:pStyle w:val="Heading3"/>
      </w:pPr>
      <w:bookmarkStart w:id="3391" w:name="section_8408084a607344fda563d45afe2b0430"/>
      <w:bookmarkStart w:id="3392" w:name="_Toc181684721"/>
      <w:r>
        <w:t>Part 1 Section 22.1.2.75, num (Numerator)</w:t>
      </w:r>
      <w:bookmarkEnd w:id="3391"/>
      <w:bookmarkEnd w:id="3392"/>
      <w:r>
        <w:fldChar w:fldCharType="begin"/>
      </w:r>
      <w:r>
        <w:instrText xml:space="preserve"> XE "num (Numerator)"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393" w:name="section_cc2cef5ce8074c91bfe6f6004a01e935"/>
      <w:bookmarkStart w:id="3394" w:name="_Toc181684722"/>
      <w:r>
        <w:t>Part 1 Section</w:t>
      </w:r>
      <w:r>
        <w:t xml:space="preserve"> 22.1.2.76, objDist (Object Distribution)</w:t>
      </w:r>
      <w:bookmarkEnd w:id="3393"/>
      <w:bookmarkEnd w:id="3394"/>
      <w:r>
        <w:fldChar w:fldCharType="begin"/>
      </w:r>
      <w:r>
        <w:instrText xml:space="preserve"> XE "objDist (Object Distribution)" </w:instrText>
      </w:r>
      <w:r>
        <w:fldChar w:fldCharType="end"/>
      </w:r>
    </w:p>
    <w:p w:rsidR="000A156F" w:rsidRDefault="00A9721F">
      <w:pPr>
        <w:pStyle w:val="Definition-Field"/>
      </w:pPr>
      <w:r>
        <w:t xml:space="preserve">a.   </w:t>
      </w:r>
      <w:r>
        <w:rPr>
          <w:i/>
        </w:rPr>
        <w:t>The standard does not specify how to expand an equation to object width in absence of the maxObj element.</w:t>
      </w:r>
    </w:p>
    <w:p w:rsidR="000A156F" w:rsidRDefault="00A9721F">
      <w:pPr>
        <w:pStyle w:val="Definition-Field2"/>
      </w:pPr>
      <w:r>
        <w:t>Word ignores objDist unless maxObj is present and on.</w:t>
      </w:r>
    </w:p>
    <w:p w:rsidR="000A156F" w:rsidRDefault="00A9721F">
      <w:pPr>
        <w:pStyle w:val="Heading3"/>
      </w:pPr>
      <w:bookmarkStart w:id="3395" w:name="section_ab7a0345712e4eef9bcc80c37e68d9bb"/>
      <w:bookmarkStart w:id="3396" w:name="_Toc181684723"/>
      <w:r>
        <w:t>Part 1 Sect</w:t>
      </w:r>
      <w:r>
        <w:t>ion 22.1.2.77, oMath (Office Math)</w:t>
      </w:r>
      <w:bookmarkEnd w:id="3395"/>
      <w:bookmarkEnd w:id="3396"/>
      <w:r>
        <w:fldChar w:fldCharType="begin"/>
      </w:r>
      <w:r>
        <w:instrText xml:space="preserve"> XE "oMath (Office Math)" </w:instrText>
      </w:r>
      <w:r>
        <w:fldChar w:fldCharType="end"/>
      </w:r>
    </w:p>
    <w:p w:rsidR="000A156F" w:rsidRDefault="00A9721F">
      <w:pPr>
        <w:pStyle w:val="Definition-Field"/>
      </w:pPr>
      <w:r>
        <w:t xml:space="preserve">a.   </w:t>
      </w:r>
      <w:r>
        <w:rPr>
          <w:i/>
        </w:rPr>
        <w:t>The standard allows adjacent oMath elements without any separation between them.</w:t>
      </w:r>
    </w:p>
    <w:p w:rsidR="000A156F" w:rsidRDefault="00A9721F">
      <w:pPr>
        <w:pStyle w:val="Definition-Field2"/>
      </w:pPr>
      <w:r>
        <w:t>Word merges together adjacent oMath elements if they are not separated by a WordprocessingML br element.</w:t>
      </w:r>
    </w:p>
    <w:p w:rsidR="000A156F" w:rsidRDefault="00A9721F">
      <w:pPr>
        <w:pStyle w:val="Definition-Field"/>
      </w:pPr>
      <w:r>
        <w:t>b.</w:t>
      </w:r>
      <w:r>
        <w:t xml:space="preserve">   </w:t>
      </w:r>
      <w:r>
        <w:rPr>
          <w:i/>
        </w:rPr>
        <w:t>The standard allows nesting of oMath elements inside a math object argument or inside another oMath element.</w:t>
      </w:r>
    </w:p>
    <w:p w:rsidR="000A156F" w:rsidRDefault="00A9721F">
      <w:pPr>
        <w:pStyle w:val="Definition-Field2"/>
      </w:pPr>
      <w:r>
        <w:t>Word fails to open a file with an oMath element inside a math object argument or inside another oMath element.</w:t>
      </w:r>
    </w:p>
    <w:p w:rsidR="000A156F" w:rsidRDefault="00A9721F">
      <w:pPr>
        <w:pStyle w:val="Definition-Field"/>
      </w:pPr>
      <w:r>
        <w:t xml:space="preserve">c.   </w:t>
      </w:r>
      <w:r>
        <w:rPr>
          <w:i/>
        </w:rPr>
        <w:t xml:space="preserve">The standard does not state </w:t>
      </w:r>
      <w:r>
        <w:rPr>
          <w:i/>
        </w:rPr>
        <w:t>that the hyperlink and smartTag elements are valid child elements of the oMath element.</w:t>
      </w:r>
    </w:p>
    <w:p w:rsidR="000A156F" w:rsidRDefault="00A9721F">
      <w:pPr>
        <w:pStyle w:val="Definition-Field2"/>
      </w:pPr>
      <w:r>
        <w:t>Word allows these elements to be child elements of the oMath element.</w:t>
      </w:r>
    </w:p>
    <w:p w:rsidR="000A156F" w:rsidRDefault="00A9721F">
      <w:pPr>
        <w:pStyle w:val="Definition-Field"/>
      </w:pPr>
      <w:r>
        <w:lastRenderedPageBreak/>
        <w:t xml:space="preserve">d.   </w:t>
      </w:r>
      <w:r>
        <w:rPr>
          <w:i/>
        </w:rPr>
        <w:t>The standard allows math content to exist outside of any oMath element.</w:t>
      </w:r>
    </w:p>
    <w:p w:rsidR="000A156F" w:rsidRDefault="00A9721F">
      <w:pPr>
        <w:pStyle w:val="Definition-Field2"/>
      </w:pPr>
      <w:r>
        <w:t xml:space="preserve">Word will not open a </w:t>
      </w:r>
      <w:r>
        <w:t>file which contains math content outside of any oMath element.</w:t>
      </w:r>
    </w:p>
    <w:p w:rsidR="000A156F" w:rsidRDefault="00A9721F">
      <w:pPr>
        <w:pStyle w:val="Definition-Field"/>
      </w:pPr>
      <w:r>
        <w:t xml:space="preserve">e.   </w:t>
      </w:r>
      <w:r>
        <w:rPr>
          <w:i/>
        </w:rPr>
        <w:t>The standard allows oMath to occur outside of any p element.</w:t>
      </w:r>
    </w:p>
    <w:p w:rsidR="000A156F" w:rsidRDefault="00A9721F">
      <w:pPr>
        <w:pStyle w:val="Definition-Field2"/>
      </w:pPr>
      <w:r>
        <w:t>Word will not open a file where oMath occurs outside of any p element.</w:t>
      </w:r>
    </w:p>
    <w:p w:rsidR="000A156F" w:rsidRDefault="00A9721F">
      <w:pPr>
        <w:pStyle w:val="Definition-Field"/>
      </w:pPr>
      <w:r>
        <w:t xml:space="preserve">f.   </w:t>
      </w:r>
      <w:r>
        <w:rPr>
          <w:i/>
        </w:rPr>
        <w:t>The standard states that the oMath element is allow</w:t>
      </w:r>
      <w:r>
        <w:rPr>
          <w:i/>
        </w:rPr>
        <w:t>ed where block level content is required.</w:t>
      </w:r>
    </w:p>
    <w:p w:rsidR="000A156F" w:rsidRDefault="00A9721F">
      <w:r>
        <w:t>Word does not allow the oMath element to be a child of the body, comment, customXml (Block-Level Custom XML Element), customXml (Cell-Level Custom XML Element), customXml (Row-Level Custom XML Element), docPartBody</w:t>
      </w:r>
      <w:r>
        <w:t>, endnote, footnote, ftr, hdr, sdtContent (Block-Level Structured Document Tag Content), sdtContent (Cell-Level Structured Document Tag Content), sdtContent (Row-Level Structured Document Tag Content), tbl, tc, tr, or txbxContent elements.</w:t>
      </w:r>
    </w:p>
    <w:p w:rsidR="000A156F" w:rsidRDefault="00A9721F">
      <w:pPr>
        <w:pStyle w:val="Heading3"/>
      </w:pPr>
      <w:bookmarkStart w:id="3397" w:name="section_23e0c1c94abb4c75acc27583040e774d"/>
      <w:bookmarkStart w:id="3398" w:name="_Toc181684724"/>
      <w:r>
        <w:t>Part 1 Section 2</w:t>
      </w:r>
      <w:r>
        <w:t>2.1.2.78, oMathPara (Office Math Paragraph)</w:t>
      </w:r>
      <w:bookmarkEnd w:id="3397"/>
      <w:bookmarkEnd w:id="3398"/>
      <w:r>
        <w:fldChar w:fldCharType="begin"/>
      </w:r>
      <w:r>
        <w:instrText xml:space="preserve"> XE "oMathPara (Office Math Paragraph)" </w:instrText>
      </w:r>
      <w:r>
        <w:fldChar w:fldCharType="end"/>
      </w:r>
    </w:p>
    <w:p w:rsidR="000A156F" w:rsidRDefault="00A9721F">
      <w:pPr>
        <w:pStyle w:val="Definition-Field"/>
      </w:pPr>
      <w:r>
        <w:t xml:space="preserve">a.   </w:t>
      </w:r>
      <w:r>
        <w:rPr>
          <w:i/>
        </w:rPr>
        <w:t>The standard allows adjacent oMathPara elements within the same paragraph.</w:t>
      </w:r>
    </w:p>
    <w:p w:rsidR="000A156F" w:rsidRDefault="00A9721F">
      <w:pPr>
        <w:pStyle w:val="Definition-Field2"/>
      </w:pPr>
      <w:r>
        <w:t xml:space="preserve">Word merges adjacent oMathPara elements within the same paragraph into a single oMathPara </w:t>
      </w:r>
      <w:r>
        <w:t>element.</w:t>
      </w:r>
    </w:p>
    <w:p w:rsidR="000A156F" w:rsidRDefault="00A9721F">
      <w:pPr>
        <w:pStyle w:val="Definition-Field"/>
      </w:pPr>
      <w:r>
        <w:t xml:space="preserve">b.   </w:t>
      </w:r>
      <w:r>
        <w:rPr>
          <w:i/>
        </w:rPr>
        <w:t>The standard allows oMathPara as a descendant of math elements.</w:t>
      </w:r>
    </w:p>
    <w:p w:rsidR="000A156F" w:rsidRDefault="00A9721F">
      <w:pPr>
        <w:pStyle w:val="Definition-Field2"/>
      </w:pPr>
      <w:r>
        <w:t>Word fails to open a file with oMathPara as a descendant of any math element.</w:t>
      </w:r>
    </w:p>
    <w:p w:rsidR="000A156F" w:rsidRDefault="00A9721F">
      <w:pPr>
        <w:pStyle w:val="Definition-Field"/>
      </w:pPr>
      <w:r>
        <w:t xml:space="preserve">c.   </w:t>
      </w:r>
      <w:r>
        <w:rPr>
          <w:i/>
        </w:rPr>
        <w:t>The standard states that the oMathPara element is allowed where block level content is required</w:t>
      </w:r>
      <w:r>
        <w:rPr>
          <w:i/>
        </w:rPr>
        <w:t>.</w:t>
      </w:r>
    </w:p>
    <w:p w:rsidR="000A156F" w:rsidRDefault="00A9721F">
      <w:r>
        <w:t xml:space="preserve">Word does not allow the oMathPara element to be a child of the body, comment, customXml (Block-Level Custom XML Element), customXml (Cell-Level Custom XML Element), customXml (Row-Level Custom XML Element), docPartBody, endnote, footnote, ftr, hdr, </w:t>
      </w:r>
      <w:r>
        <w:t>sdtContent (Block-Level Structured Document Tag Content), sdtContent (Cell-Level Structured Document Tag Content), sdtContent (Row-Level Structured Document Tag Content), tbl, tc, tr, or txbxContent elements.</w:t>
      </w:r>
    </w:p>
    <w:p w:rsidR="000A156F" w:rsidRDefault="00A9721F">
      <w:pPr>
        <w:pStyle w:val="Definition-Field"/>
      </w:pPr>
      <w:r>
        <w:t xml:space="preserve">d.   </w:t>
      </w:r>
      <w:r>
        <w:rPr>
          <w:i/>
        </w:rPr>
        <w:t>The standard allows oMathPara to occur out</w:t>
      </w:r>
      <w:r>
        <w:rPr>
          <w:i/>
        </w:rPr>
        <w:t>side of any p element.</w:t>
      </w:r>
    </w:p>
    <w:p w:rsidR="000A156F" w:rsidRDefault="00A9721F">
      <w:pPr>
        <w:pStyle w:val="Definition-Field2"/>
      </w:pPr>
      <w:r>
        <w:t>Word will not open a file where oMathPara occurs outside of any p element.</w:t>
      </w:r>
    </w:p>
    <w:p w:rsidR="000A156F" w:rsidRDefault="00A9721F">
      <w:pPr>
        <w:pStyle w:val="Heading3"/>
      </w:pPr>
      <w:bookmarkStart w:id="3399" w:name="section_b810c563f4594ca799f047e871e1ab73"/>
      <w:bookmarkStart w:id="3400" w:name="_Toc181684725"/>
      <w:r>
        <w:t>Part 1 Section 22.1.2.80, opEmu (Operator Emulator)</w:t>
      </w:r>
      <w:bookmarkEnd w:id="3399"/>
      <w:bookmarkEnd w:id="3400"/>
      <w:r>
        <w:fldChar w:fldCharType="begin"/>
      </w:r>
      <w:r>
        <w:instrText xml:space="preserve"> XE "opEmu (Operator Emulator)" </w:instrText>
      </w:r>
      <w:r>
        <w:fldChar w:fldCharType="end"/>
      </w:r>
    </w:p>
    <w:p w:rsidR="000A156F" w:rsidRDefault="00A9721F">
      <w:pPr>
        <w:pStyle w:val="Definition-Field"/>
      </w:pPr>
      <w:r>
        <w:t xml:space="preserve">a.   </w:t>
      </w:r>
      <w:r>
        <w:rPr>
          <w:i/>
        </w:rPr>
        <w:t>The standard says when opEmu is on, the box behaves as an operator,</w:t>
      </w:r>
      <w:r>
        <w:rPr>
          <w:i/>
        </w:rPr>
        <w:t xml:space="preserve"> but does not specify what kind of operator.</w:t>
      </w:r>
    </w:p>
    <w:p w:rsidR="000A156F" w:rsidRDefault="00A9721F">
      <w:pPr>
        <w:pStyle w:val="Definition-Field2"/>
      </w:pPr>
      <w:r>
        <w:t>In Word when opEmu is on, the box behaves as a binary operator.</w:t>
      </w:r>
    </w:p>
    <w:p w:rsidR="000A156F" w:rsidRDefault="00A9721F">
      <w:pPr>
        <w:pStyle w:val="Heading3"/>
      </w:pPr>
      <w:bookmarkStart w:id="3401" w:name="section_74064828dc594db8a64240356809ec71"/>
      <w:bookmarkStart w:id="3402" w:name="_Toc181684726"/>
      <w:r>
        <w:t>Part 1 Section 22.1.2.81, phant (Phantom Object)</w:t>
      </w:r>
      <w:bookmarkEnd w:id="3401"/>
      <w:bookmarkEnd w:id="3402"/>
      <w:r>
        <w:fldChar w:fldCharType="begin"/>
      </w:r>
      <w:r>
        <w:instrText xml:space="preserve"> XE "phant (Phantom Object)" </w:instrText>
      </w:r>
      <w:r>
        <w:fldChar w:fldCharType="end"/>
      </w:r>
    </w:p>
    <w:p w:rsidR="000A156F" w:rsidRDefault="00A9721F">
      <w:pPr>
        <w:pStyle w:val="Definition-Field2"/>
      </w:pPr>
      <w:r>
        <w:rPr>
          <w:i/>
        </w:rPr>
        <w:t>For additional notes that apply to this portion of the standard, pl</w:t>
      </w:r>
      <w:r>
        <w:rPr>
          <w:i/>
        </w:rPr>
        <w:t xml:space="preserve">ease see the notes for </w:t>
      </w:r>
      <w:hyperlink w:anchor="Section_ab7a0345712e4eef9bcc80c37e68d9bb">
        <w:r>
          <w:rPr>
            <w:rStyle w:val="Hyperlink"/>
          </w:rPr>
          <w:t>oMath, §22.1.2.77(c)</w:t>
        </w:r>
      </w:hyperlink>
      <w:r>
        <w:rPr>
          <w:i/>
        </w:rPr>
        <w:t>.</w:t>
      </w:r>
    </w:p>
    <w:p w:rsidR="000A156F" w:rsidRDefault="00A9721F">
      <w:pPr>
        <w:pStyle w:val="Heading3"/>
      </w:pPr>
      <w:bookmarkStart w:id="3403" w:name="section_36d53a31567044a1b0d76b9e8a79b3f0"/>
      <w:bookmarkStart w:id="3404" w:name="_Toc181684727"/>
      <w:r>
        <w:t>Part 1 Section 22.1.2.84, pos (Position)</w:t>
      </w:r>
      <w:bookmarkEnd w:id="3403"/>
      <w:bookmarkEnd w:id="3404"/>
      <w:r>
        <w:fldChar w:fldCharType="begin"/>
      </w:r>
      <w:r>
        <w:instrText xml:space="preserve"> XE "pos (Position)" </w:instrText>
      </w:r>
      <w:r>
        <w:fldChar w:fldCharType="end"/>
      </w:r>
    </w:p>
    <w:p w:rsidR="000A156F" w:rsidRDefault="00A9721F">
      <w:pPr>
        <w:pStyle w:val="Definition-Field"/>
      </w:pPr>
      <w:r>
        <w:t xml:space="preserve">a.   </w:t>
      </w:r>
      <w:r>
        <w:rPr>
          <w:i/>
        </w:rPr>
        <w:t>The standard states that the pos element specifies the position of the bar in t</w:t>
      </w:r>
      <w:r>
        <w:rPr>
          <w:i/>
        </w:rPr>
        <w:t>he bar object.</w:t>
      </w:r>
    </w:p>
    <w:p w:rsidR="000A156F" w:rsidRDefault="00A9721F">
      <w:pPr>
        <w:pStyle w:val="Definition-Field2"/>
      </w:pPr>
      <w:r>
        <w:t>Word uses the pos element to specify the position of the bar in the bar object or the position of the character in the groupChr object.</w:t>
      </w:r>
    </w:p>
    <w:p w:rsidR="000A156F" w:rsidRDefault="00A9721F">
      <w:pPr>
        <w:pStyle w:val="Definition-Field"/>
      </w:pPr>
      <w:r>
        <w:t xml:space="preserve">b.   </w:t>
      </w:r>
      <w:r>
        <w:rPr>
          <w:i/>
        </w:rPr>
        <w:t>The standard states that the default value for position of the bar in the bar object is top.</w:t>
      </w:r>
    </w:p>
    <w:p w:rsidR="000A156F" w:rsidRDefault="00A9721F">
      <w:pPr>
        <w:pStyle w:val="Definition-Field2"/>
      </w:pPr>
      <w:r>
        <w:lastRenderedPageBreak/>
        <w:t xml:space="preserve">Office </w:t>
      </w:r>
      <w:r>
        <w:t>implements the default value for the position of the bar in the bar object as bot.</w:t>
      </w:r>
    </w:p>
    <w:p w:rsidR="000A156F" w:rsidRDefault="00A9721F">
      <w:pPr>
        <w:pStyle w:val="Heading3"/>
      </w:pPr>
      <w:bookmarkStart w:id="3405" w:name="section_a1bbb51243c1422a892bc9da46b1f4bf"/>
      <w:bookmarkStart w:id="3406" w:name="_Toc181684728"/>
      <w:r>
        <w:t>Part 1 Section 22.1.2.85, postSp (Post-Paragraph Spacing)</w:t>
      </w:r>
      <w:bookmarkEnd w:id="3405"/>
      <w:bookmarkEnd w:id="3406"/>
      <w:r>
        <w:fldChar w:fldCharType="begin"/>
      </w:r>
      <w:r>
        <w:instrText xml:space="preserve"> XE "postSp (Post-Paragraph Spacing)" </w:instrText>
      </w:r>
      <w:r>
        <w:fldChar w:fldCharType="end"/>
      </w:r>
    </w:p>
    <w:p w:rsidR="000A156F" w:rsidRDefault="00A9721F">
      <w:pPr>
        <w:pStyle w:val="Definition-Field"/>
      </w:pPr>
      <w:r>
        <w:t xml:space="preserve">a.   </w:t>
      </w:r>
      <w:r>
        <w:rPr>
          <w:i/>
        </w:rPr>
        <w:t>The standard specifies postSp to set post-equation spacing.</w:t>
      </w:r>
    </w:p>
    <w:p w:rsidR="000A156F" w:rsidRDefault="00A9721F">
      <w:pPr>
        <w:pStyle w:val="Definition-Field2"/>
      </w:pPr>
      <w:r>
        <w:t>Word ignor</w:t>
      </w:r>
      <w:r>
        <w:t>es and discards postSp.</w:t>
      </w:r>
    </w:p>
    <w:p w:rsidR="000A156F" w:rsidRDefault="00A9721F">
      <w:pPr>
        <w:pStyle w:val="Heading3"/>
      </w:pPr>
      <w:bookmarkStart w:id="3407" w:name="section_381cf08152f546318f61be16f4b7f9f0"/>
      <w:bookmarkStart w:id="3408" w:name="_Toc181684729"/>
      <w:r>
        <w:t>Part 1 Section 22.1.2.86, preSp (Pre-Paragraph Spacing)</w:t>
      </w:r>
      <w:bookmarkEnd w:id="3407"/>
      <w:bookmarkEnd w:id="3408"/>
      <w:r>
        <w:fldChar w:fldCharType="begin"/>
      </w:r>
      <w:r>
        <w:instrText xml:space="preserve"> XE "preSp (Pre-Paragraph Spacing)" </w:instrText>
      </w:r>
      <w:r>
        <w:fldChar w:fldCharType="end"/>
      </w:r>
    </w:p>
    <w:p w:rsidR="000A156F" w:rsidRDefault="00A9721F">
      <w:pPr>
        <w:pStyle w:val="Definition-Field"/>
      </w:pPr>
      <w:r>
        <w:t xml:space="preserve">a.   </w:t>
      </w:r>
      <w:r>
        <w:rPr>
          <w:i/>
        </w:rPr>
        <w:t>The standard specifies preSp to set pre-equation spacing.</w:t>
      </w:r>
    </w:p>
    <w:p w:rsidR="000A156F" w:rsidRDefault="00A9721F">
      <w:pPr>
        <w:pStyle w:val="Definition-Field2"/>
      </w:pPr>
      <w:r>
        <w:t>Word ignores preSp and fails to write it back out.</w:t>
      </w:r>
    </w:p>
    <w:p w:rsidR="000A156F" w:rsidRDefault="00A9721F">
      <w:pPr>
        <w:pStyle w:val="Heading3"/>
      </w:pPr>
      <w:bookmarkStart w:id="3409" w:name="section_a3a6444b11de4ac581bafe03b07f8a45"/>
      <w:bookmarkStart w:id="3410" w:name="_Toc181684730"/>
      <w:r>
        <w:t>Part 1 Section 22.1.2.87</w:t>
      </w:r>
      <w:r>
        <w:t>, r (Run)</w:t>
      </w:r>
      <w:bookmarkEnd w:id="3409"/>
      <w:bookmarkEnd w:id="3410"/>
      <w:r>
        <w:fldChar w:fldCharType="begin"/>
      </w:r>
      <w:r>
        <w:instrText xml:space="preserve"> XE "r (Run)"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standard allows bold and italic to be set in a</w:t>
      </w:r>
      <w:r>
        <w:rPr>
          <w:i/>
        </w:rPr>
        <w:t xml:space="preserve"> math run in the rPr of both Math and WordprocessingML.</w:t>
      </w:r>
    </w:p>
    <w:p w:rsidR="000A156F" w:rsidRDefault="00A9721F">
      <w:pPr>
        <w:pStyle w:val="Definition-Field2"/>
      </w:pPr>
      <w:r>
        <w:t>If Word reads a math run where bold or italic properties are set in the rPr of WordprocessingML, it ignores those properties during display but then moves them into the Math rPr on save.</w:t>
      </w:r>
    </w:p>
    <w:p w:rsidR="000A156F" w:rsidRDefault="00A9721F">
      <w:pPr>
        <w:pStyle w:val="Definition-Field"/>
      </w:pPr>
      <w:r>
        <w:t xml:space="preserve">b.   </w:t>
      </w:r>
      <w:r>
        <w:rPr>
          <w:i/>
        </w:rPr>
        <w:t>The stan</w:t>
      </w:r>
      <w:r>
        <w:rPr>
          <w:i/>
        </w:rPr>
        <w:t>dard allows br elements inside a math object.</w:t>
      </w:r>
    </w:p>
    <w:p w:rsidR="000A156F" w:rsidRDefault="00A9721F">
      <w:pPr>
        <w:pStyle w:val="Definition-Field2"/>
      </w:pPr>
      <w:r>
        <w:t>Word does not allow br elements inside a math object.</w:t>
      </w:r>
    </w:p>
    <w:p w:rsidR="000A156F" w:rsidRDefault="00A9721F">
      <w:pPr>
        <w:pStyle w:val="Definition-Field"/>
      </w:pPr>
      <w:r>
        <w:t xml:space="preserve">c.   </w:t>
      </w:r>
      <w:r>
        <w:rPr>
          <w:i/>
        </w:rPr>
        <w:t>The standard allows cr elements as a child of a math run.</w:t>
      </w:r>
    </w:p>
    <w:p w:rsidR="000A156F" w:rsidRDefault="00A9721F">
      <w:pPr>
        <w:pStyle w:val="Definition-Field2"/>
      </w:pPr>
      <w:r>
        <w:t>Word does not allow the cr element inside a math run.</w:t>
      </w:r>
    </w:p>
    <w:p w:rsidR="000A156F" w:rsidRDefault="00A9721F">
      <w:pPr>
        <w:pStyle w:val="Definition-Field"/>
      </w:pPr>
      <w:r>
        <w:t xml:space="preserve">d.   </w:t>
      </w:r>
      <w:r>
        <w:rPr>
          <w:i/>
        </w:rPr>
        <w:t>The standard allows tab elements a</w:t>
      </w:r>
      <w:r>
        <w:rPr>
          <w:i/>
        </w:rPr>
        <w:t>s a child of a math run.</w:t>
      </w:r>
    </w:p>
    <w:p w:rsidR="000A156F" w:rsidRDefault="00A9721F">
      <w:pPr>
        <w:pStyle w:val="Definition-Field2"/>
      </w:pPr>
      <w:r>
        <w:t>Word ignores a tab element if it occurs inside a math run.</w:t>
      </w:r>
    </w:p>
    <w:p w:rsidR="000A156F" w:rsidRDefault="00A9721F">
      <w:pPr>
        <w:pStyle w:val="Definition-Field"/>
      </w:pPr>
      <w:r>
        <w:t xml:space="preserve">e.   </w:t>
      </w:r>
      <w:r>
        <w:rPr>
          <w:i/>
        </w:rPr>
        <w:t>The standard does not allow w:ins or w:del elements as a child of a math run.</w:t>
      </w:r>
    </w:p>
    <w:p w:rsidR="000A156F" w:rsidRDefault="00A9721F">
      <w:pPr>
        <w:pStyle w:val="Definition-Field2"/>
      </w:pPr>
      <w:r>
        <w:t>Word supports the w:ins and w:del elements inside a math run.</w:t>
      </w:r>
    </w:p>
    <w:p w:rsidR="000A156F" w:rsidRDefault="00A9721F">
      <w:pPr>
        <w:pStyle w:val="Heading3"/>
      </w:pPr>
      <w:bookmarkStart w:id="3411" w:name="section_2fa23caf92704a7691eafb97223fb074"/>
      <w:bookmarkStart w:id="3412" w:name="_Toc181684731"/>
      <w:r>
        <w:t>Part 1 Section 22.1.2.88, rad (Radical Object)</w:t>
      </w:r>
      <w:bookmarkEnd w:id="3411"/>
      <w:bookmarkEnd w:id="3412"/>
      <w:r>
        <w:fldChar w:fldCharType="begin"/>
      </w:r>
      <w:r>
        <w:instrText xml:space="preserve"> XE "rad (Radical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413" w:name="section_6895cb10962648be96906579da8c41a4"/>
      <w:bookmarkStart w:id="3414" w:name="_Toc181684732"/>
      <w:r>
        <w:t>Part 1 Section 22.1.2.92, rSp (Row Spacing (Array))</w:t>
      </w:r>
      <w:bookmarkEnd w:id="3413"/>
      <w:bookmarkEnd w:id="3414"/>
      <w:r>
        <w:fldChar w:fldCharType="begin"/>
      </w:r>
      <w:r>
        <w:instrText xml:space="preserve"> XE "rSp (Row Spacing (Array))"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w:t>
        </w:r>
        <w:r>
          <w:rPr>
            <w:rStyle w:val="Hyperlink"/>
          </w:rPr>
          <w:t>r, §22.1.3.14(a)</w:t>
        </w:r>
      </w:hyperlink>
      <w:r>
        <w:rPr>
          <w:i/>
        </w:rPr>
        <w:t>.</w:t>
      </w:r>
    </w:p>
    <w:p w:rsidR="000A156F" w:rsidRDefault="00A9721F">
      <w:pPr>
        <w:pStyle w:val="Definition-Field"/>
      </w:pPr>
      <w:r>
        <w:t xml:space="preserve">a.   </w:t>
      </w:r>
      <w:r>
        <w:rPr>
          <w:i/>
        </w:rPr>
        <w:t>The standard says rSp is used only to set row spacing in equation arrays even though it is also allowed as a child of the matrix element.</w:t>
      </w:r>
    </w:p>
    <w:p w:rsidR="000A156F" w:rsidRDefault="00A9721F">
      <w:pPr>
        <w:pStyle w:val="Definition-Field2"/>
      </w:pPr>
      <w:r>
        <w:t>In Word, rSp is used to set row spacing in both equations arrays and matrices.</w:t>
      </w:r>
    </w:p>
    <w:p w:rsidR="000A156F" w:rsidRDefault="00A9721F">
      <w:pPr>
        <w:pStyle w:val="Definition-Field"/>
      </w:pPr>
      <w:r>
        <w:lastRenderedPageBreak/>
        <w:t xml:space="preserve">b.   </w:t>
      </w:r>
      <w:r>
        <w:rPr>
          <w:i/>
        </w:rPr>
        <w:t>The standar</w:t>
      </w:r>
      <w:r>
        <w:rPr>
          <w:i/>
        </w:rPr>
        <w:t>d states that rSp "specifies spacing between rows of an array eqArr; it is used only when rSpRule is set to 3 or 4. If this element is omitted, single line spacing is used in the array ..."</w:t>
      </w:r>
    </w:p>
    <w:p w:rsidR="000A156F" w:rsidRDefault="00A9721F">
      <w:pPr>
        <w:pStyle w:val="Definition-Field2"/>
      </w:pPr>
      <w:r>
        <w:t>Word interprets the phrase "this element" in the statement to refe</w:t>
      </w:r>
      <w:r>
        <w:t>r to "rSpRule", as in "if rSpRule is omitted, single line spacing is used in the array ..."</w:t>
      </w:r>
    </w:p>
    <w:p w:rsidR="000A156F" w:rsidRDefault="00A9721F">
      <w:pPr>
        <w:pStyle w:val="Heading3"/>
      </w:pPr>
      <w:bookmarkStart w:id="3415" w:name="section_bc0219213f1f402abccba4d59be53942"/>
      <w:bookmarkStart w:id="3416" w:name="_Toc181684733"/>
      <w:r>
        <w:t>Part 1 Section 22.1.2.93, rSpRule (Row Spacing Rule)</w:t>
      </w:r>
      <w:bookmarkEnd w:id="3415"/>
      <w:bookmarkEnd w:id="3416"/>
      <w:r>
        <w:fldChar w:fldCharType="begin"/>
      </w:r>
      <w:r>
        <w:instrText xml:space="preserve"> XE "rSpRule (Row Spacing Rule)" </w:instrText>
      </w:r>
      <w:r>
        <w:fldChar w:fldCharType="end"/>
      </w:r>
    </w:p>
    <w:p w:rsidR="000A156F" w:rsidRDefault="00A9721F">
      <w:pPr>
        <w:pStyle w:val="Definition-Field"/>
      </w:pPr>
      <w:r>
        <w:t xml:space="preserve">a.   </w:t>
      </w:r>
      <w:r>
        <w:rPr>
          <w:i/>
        </w:rPr>
        <w:t>The standard says the column gaps and row spacing are measured in point</w:t>
      </w:r>
      <w:r>
        <w:rPr>
          <w:i/>
        </w:rPr>
        <w:t>s or lines.</w:t>
      </w:r>
    </w:p>
    <w:p w:rsidR="000A156F" w:rsidRDefault="00A9721F">
      <w:pPr>
        <w:pStyle w:val="Definition-Field2"/>
      </w:pPr>
      <w:r>
        <w:t>In Word, column gaps and row spacing are measured in twips, 0.5 em increments, or 0.5 line increments.</w:t>
      </w:r>
    </w:p>
    <w:p w:rsidR="000A156F" w:rsidRDefault="00A9721F">
      <w:pPr>
        <w:pStyle w:val="Definition-Field"/>
      </w:pPr>
      <w:r>
        <w:t xml:space="preserve">b.   </w:t>
      </w:r>
      <w:r>
        <w:rPr>
          <w:i/>
        </w:rPr>
        <w:t>The standard does not state the default value for rSpRule.</w:t>
      </w:r>
    </w:p>
    <w:p w:rsidR="000A156F" w:rsidRDefault="00A9721F">
      <w:pPr>
        <w:pStyle w:val="Definition-Field2"/>
      </w:pPr>
      <w:r>
        <w:t>In Word, the default value for rSpRule is 0.</w:t>
      </w:r>
    </w:p>
    <w:p w:rsidR="000A156F" w:rsidRDefault="00A9721F">
      <w:pPr>
        <w:pStyle w:val="Definition-Field"/>
      </w:pPr>
      <w:r>
        <w:t xml:space="preserve">c.   </w:t>
      </w:r>
      <w:r>
        <w:rPr>
          <w:i/>
        </w:rPr>
        <w:t>The standard states that rS</w:t>
      </w:r>
      <w:r>
        <w:rPr>
          <w:i/>
        </w:rPr>
        <w:t>pRule specifies the vertical spacing between columns.</w:t>
      </w:r>
    </w:p>
    <w:p w:rsidR="000A156F" w:rsidRDefault="00A9721F">
      <w:pPr>
        <w:pStyle w:val="Definition-Field2"/>
      </w:pPr>
      <w:r>
        <w:t>In Word, the rSpRule specifies the vertical spacing between rows.</w:t>
      </w:r>
    </w:p>
    <w:p w:rsidR="000A156F" w:rsidRDefault="00A9721F">
      <w:pPr>
        <w:pStyle w:val="Definition-Field"/>
      </w:pPr>
      <w:r>
        <w:t xml:space="preserve">d.   </w:t>
      </w:r>
      <w:r>
        <w:rPr>
          <w:i/>
        </w:rPr>
        <w:t>The standard says that rSpRule only specifies the vertical spacing in mPr even though the schema also allows it as a child of eqArr</w:t>
      </w:r>
      <w:r>
        <w:rPr>
          <w:i/>
        </w:rPr>
        <w:t>Pr.</w:t>
      </w:r>
    </w:p>
    <w:p w:rsidR="000A156F" w:rsidRDefault="00A9721F">
      <w:pPr>
        <w:pStyle w:val="Definition-Field2"/>
      </w:pPr>
      <w:r>
        <w:t>In Word, rSpRule specifies the vertical spacing in mPr and eqArrPr.</w:t>
      </w:r>
    </w:p>
    <w:p w:rsidR="000A156F" w:rsidRDefault="00A9721F">
      <w:pPr>
        <w:pStyle w:val="Heading3"/>
      </w:pPr>
      <w:bookmarkStart w:id="3417" w:name="section_8ddc42b073c6455bb83b9e612b5ab0a6"/>
      <w:bookmarkStart w:id="3418" w:name="_Toc181684734"/>
      <w:r>
        <w:t>Part 1 Section 22.1.2.94, scr (Script)</w:t>
      </w:r>
      <w:bookmarkEnd w:id="3417"/>
      <w:bookmarkEnd w:id="3418"/>
      <w:r>
        <w:fldChar w:fldCharType="begin"/>
      </w:r>
      <w:r>
        <w:instrText xml:space="preserve"> XE "scr (Script)" </w:instrText>
      </w:r>
      <w:r>
        <w:fldChar w:fldCharType="end"/>
      </w:r>
    </w:p>
    <w:p w:rsidR="000A156F" w:rsidRDefault="00A9721F">
      <w:pPr>
        <w:pStyle w:val="Definition-Field"/>
      </w:pPr>
      <w:r>
        <w:t xml:space="preserve">a.   </w:t>
      </w:r>
      <w:r>
        <w:rPr>
          <w:i/>
        </w:rPr>
        <w:t>The standard says that the script element is used to map ASCII values to the appropriate Unicode range.</w:t>
      </w:r>
    </w:p>
    <w:p w:rsidR="000A156F" w:rsidRDefault="00A9721F">
      <w:pPr>
        <w:pStyle w:val="Definition-Field2"/>
      </w:pPr>
      <w:r>
        <w:t>Word uses the s</w:t>
      </w:r>
      <w:r>
        <w:t>cript element and the style element to map Unicode values to Math Alphanumeric Unicode values.</w:t>
      </w:r>
    </w:p>
    <w:p w:rsidR="000A156F" w:rsidRDefault="00A9721F">
      <w:pPr>
        <w:pStyle w:val="Definition-Field"/>
      </w:pPr>
      <w:r>
        <w:t xml:space="preserve">b.   </w:t>
      </w:r>
      <w:r>
        <w:rPr>
          <w:i/>
        </w:rPr>
        <w:t>The standard implies that the val attribute is optional.</w:t>
      </w:r>
    </w:p>
    <w:p w:rsidR="000A156F" w:rsidRDefault="00A9721F">
      <w:pPr>
        <w:pStyle w:val="Definition-Field2"/>
      </w:pPr>
      <w:r>
        <w:t>Word requires this attribute.</w:t>
      </w:r>
    </w:p>
    <w:p w:rsidR="000A156F" w:rsidRDefault="00A9721F">
      <w:pPr>
        <w:pStyle w:val="Definition-Field"/>
      </w:pPr>
      <w:r>
        <w:t xml:space="preserve">c.   </w:t>
      </w:r>
      <w:r>
        <w:rPr>
          <w:i/>
        </w:rPr>
        <w:t>The standard does not specify a default value for scr.</w:t>
      </w:r>
    </w:p>
    <w:p w:rsidR="000A156F" w:rsidRDefault="00A9721F">
      <w:pPr>
        <w:pStyle w:val="Definition-Field2"/>
      </w:pPr>
      <w:r>
        <w:t xml:space="preserve">In Word, </w:t>
      </w:r>
      <w:r>
        <w:t>the default value for scr is roman.</w:t>
      </w:r>
    </w:p>
    <w:p w:rsidR="000A156F" w:rsidRDefault="00A9721F">
      <w:pPr>
        <w:pStyle w:val="Heading3"/>
      </w:pPr>
      <w:bookmarkStart w:id="3419" w:name="section_122e796dc2c746eaa308121affc847f9"/>
      <w:bookmarkStart w:id="3420" w:name="_Toc181684735"/>
      <w:r>
        <w:t>Part 1 Section 22.1.2.97, shp (Shape (Delimiters))</w:t>
      </w:r>
      <w:bookmarkEnd w:id="3419"/>
      <w:bookmarkEnd w:id="3420"/>
      <w:r>
        <w:fldChar w:fldCharType="begin"/>
      </w:r>
      <w:r>
        <w:instrText xml:space="preserve"> XE "shp (Shape (Delimiters))" </w:instrText>
      </w:r>
      <w:r>
        <w:fldChar w:fldCharType="end"/>
      </w:r>
    </w:p>
    <w:p w:rsidR="000A156F" w:rsidRDefault="00A9721F">
      <w:pPr>
        <w:pStyle w:val="Definition-Field"/>
      </w:pPr>
      <w:r>
        <w:t xml:space="preserve">a.   </w:t>
      </w:r>
      <w:r>
        <w:rPr>
          <w:i/>
        </w:rPr>
        <w:t>The standard places no restrictions on when this element is applicable.</w:t>
      </w:r>
    </w:p>
    <w:p w:rsidR="000A156F" w:rsidRDefault="00A9721F">
      <w:pPr>
        <w:pStyle w:val="Definition-Field2"/>
      </w:pPr>
      <w:r>
        <w:t xml:space="preserve">Office will ignore this element if the parent dPr element </w:t>
      </w:r>
      <w:r>
        <w:t>contains a child grow element whose val attribute has a value of off.</w:t>
      </w:r>
    </w:p>
    <w:p w:rsidR="000A156F" w:rsidRDefault="00A9721F">
      <w:pPr>
        <w:pStyle w:val="Heading3"/>
      </w:pPr>
      <w:bookmarkStart w:id="3421" w:name="section_59065a5881844e19a1ab713b4ddaf6d3"/>
      <w:bookmarkStart w:id="3422" w:name="_Toc181684736"/>
      <w:r>
        <w:t>Part 1 Section 22.1.2.98, smallFrac (Small Fraction)</w:t>
      </w:r>
      <w:bookmarkEnd w:id="3421"/>
      <w:bookmarkEnd w:id="3422"/>
      <w:r>
        <w:fldChar w:fldCharType="begin"/>
      </w:r>
      <w:r>
        <w:instrText xml:space="preserve"> XE "smallFrac (Small Fraction)" </w:instrText>
      </w:r>
      <w:r>
        <w:fldChar w:fldCharType="end"/>
      </w:r>
    </w:p>
    <w:p w:rsidR="000A156F" w:rsidRDefault="00A9721F">
      <w:pPr>
        <w:pStyle w:val="Definition-Field"/>
      </w:pPr>
      <w:r>
        <w:t xml:space="preserve">a.   </w:t>
      </w:r>
      <w:r>
        <w:rPr>
          <w:i/>
        </w:rPr>
        <w:t>The standard states that the smallFrac element specifies a reduced fraction size display math</w:t>
      </w:r>
      <w:r>
        <w:rPr>
          <w:i/>
        </w:rPr>
        <w:t>, such that the numerator and denominator are written in script size instead of at the size of regular text.</w:t>
      </w:r>
    </w:p>
    <w:p w:rsidR="000A156F" w:rsidRDefault="00A9721F">
      <w:r>
        <w:t>Word uses this element to specify a reduced size for fractions of type bar or noBar that are nested within other fractions that are of type bar, no</w:t>
      </w:r>
      <w:r>
        <w:t xml:space="preserve">Bar, or skw.  This option only applies in display math, </w:t>
      </w:r>
      <w:r>
        <w:lastRenderedPageBreak/>
        <w:t>such that the numerator and denominator are written in script size instead of at the size of regular text.</w:t>
      </w:r>
    </w:p>
    <w:p w:rsidR="000A156F" w:rsidRDefault="00A9721F">
      <w:pPr>
        <w:pStyle w:val="Heading3"/>
      </w:pPr>
      <w:bookmarkStart w:id="3423" w:name="section_5d08490d1634418e91bc0d199b9f9214"/>
      <w:bookmarkStart w:id="3424" w:name="_Toc181684737"/>
      <w:r>
        <w:t>Part 1 Section 22.1.2.99, sPre (Pre-Sub-Superscript Object)</w:t>
      </w:r>
      <w:bookmarkEnd w:id="3423"/>
      <w:bookmarkEnd w:id="3424"/>
      <w:r>
        <w:fldChar w:fldCharType="begin"/>
      </w:r>
      <w:r>
        <w:instrText xml:space="preserve"> XE "sPre (Pre-Sub-Superscript Obj</w:instrText>
      </w:r>
      <w:r>
        <w:instrText xml:space="preserve">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425" w:name="section_e4d7226e1e594d938584a0cf82efcda7"/>
      <w:bookmarkStart w:id="3426" w:name="_Toc181684738"/>
      <w:r>
        <w:t>Part 1 Section 22.1.2.101, sSub (Subscript Object)</w:t>
      </w:r>
      <w:bookmarkEnd w:id="3425"/>
      <w:bookmarkEnd w:id="3426"/>
      <w:r>
        <w:fldChar w:fldCharType="begin"/>
      </w:r>
      <w:r>
        <w:instrText xml:space="preserve"> XE "sSub (Subscript O</w:instrText>
      </w:r>
      <w:r>
        <w:instrText xml:space="preserve">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427" w:name="section_892ccdb9e60547a68bde8fbaf14405f8"/>
      <w:bookmarkStart w:id="3428" w:name="_Toc181684739"/>
      <w:r>
        <w:t>Part 1 Section 22.1.2.103, sSubSup (Sub-Superscript Object)</w:t>
      </w:r>
      <w:bookmarkEnd w:id="3427"/>
      <w:bookmarkEnd w:id="3428"/>
      <w:r>
        <w:fldChar w:fldCharType="begin"/>
      </w:r>
      <w:r>
        <w:instrText xml:space="preserve"> XE "sSubSup (Sub-Superscript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Heading3"/>
      </w:pPr>
      <w:bookmarkStart w:id="3429" w:name="section_6557a17b3c784aa78ec1397591c9bcb3"/>
      <w:bookmarkStart w:id="3430" w:name="_Toc181684740"/>
      <w:r>
        <w:t>Part 1 Section 22.1.2.105, sSup (Supers</w:t>
      </w:r>
      <w:r>
        <w:t>cript Object)</w:t>
      </w:r>
      <w:bookmarkEnd w:id="3429"/>
      <w:bookmarkEnd w:id="3430"/>
      <w:r>
        <w:fldChar w:fldCharType="begin"/>
      </w:r>
      <w:r>
        <w:instrText xml:space="preserve"> XE "sSup (Superscript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standard states that the</w:t>
      </w:r>
      <w:r>
        <w:rPr>
          <w:i/>
        </w:rPr>
        <w:t xml:space="preserve"> sSup element specifies the subscript function sSub, which consists of a base e and a reduced-size scr placed below and to the right.</w:t>
      </w:r>
    </w:p>
    <w:p w:rsidR="000A156F" w:rsidRDefault="00A9721F">
      <w:pPr>
        <w:pStyle w:val="Definition-Field2"/>
      </w:pPr>
      <w:r>
        <w:t>Word uses the sSup element to specify the superscript function sSup, which consists of a base e and a reduced-size scr pla</w:t>
      </w:r>
      <w:r>
        <w:t>ced above and to the right.</w:t>
      </w:r>
    </w:p>
    <w:p w:rsidR="000A156F" w:rsidRDefault="00A9721F">
      <w:pPr>
        <w:pStyle w:val="Heading3"/>
      </w:pPr>
      <w:bookmarkStart w:id="3431" w:name="section_071c5a7c0c6d406f91a432e9e4e1ea06"/>
      <w:bookmarkStart w:id="3432" w:name="_Toc181684741"/>
      <w:r>
        <w:t>Part 1 Section 22.1.2.111, sty (style)</w:t>
      </w:r>
      <w:bookmarkEnd w:id="3431"/>
      <w:bookmarkEnd w:id="3432"/>
      <w:r>
        <w:fldChar w:fldCharType="begin"/>
      </w:r>
      <w:r>
        <w:instrText xml:space="preserve"> XE "sty (style)" </w:instrText>
      </w:r>
      <w:r>
        <w:fldChar w:fldCharType="end"/>
      </w:r>
    </w:p>
    <w:p w:rsidR="000A156F" w:rsidRDefault="00A9721F">
      <w:pPr>
        <w:pStyle w:val="Definition-Field"/>
      </w:pPr>
      <w:r>
        <w:t xml:space="preserve">a.   </w:t>
      </w:r>
      <w:r>
        <w:rPr>
          <w:i/>
        </w:rPr>
        <w:t>The standard says that style is used to map ASCII values to the appropriate Unicode range.</w:t>
      </w:r>
    </w:p>
    <w:p w:rsidR="000A156F" w:rsidRDefault="00A9721F">
      <w:pPr>
        <w:pStyle w:val="Definition-Field2"/>
      </w:pPr>
      <w:r>
        <w:t>Word uses the style and script to map Unicode values to Math Alphanumeric</w:t>
      </w:r>
      <w:r>
        <w:t xml:space="preserve"> Unicode values.</w:t>
      </w:r>
    </w:p>
    <w:p w:rsidR="000A156F" w:rsidRDefault="00A9721F">
      <w:pPr>
        <w:pStyle w:val="Definition-Field"/>
      </w:pPr>
      <w:r>
        <w:t xml:space="preserve">b.   </w:t>
      </w:r>
      <w:r>
        <w:rPr>
          <w:i/>
        </w:rPr>
        <w:t>The standard implies that the val attribute is optional.</w:t>
      </w:r>
    </w:p>
    <w:p w:rsidR="000A156F" w:rsidRDefault="00A9721F">
      <w:pPr>
        <w:pStyle w:val="Definition-Field2"/>
      </w:pPr>
      <w:r>
        <w:t>Word requires this attribute.</w:t>
      </w:r>
    </w:p>
    <w:p w:rsidR="000A156F" w:rsidRDefault="00A9721F">
      <w:pPr>
        <w:pStyle w:val="Definition-Field"/>
      </w:pPr>
      <w:r>
        <w:t xml:space="preserve">c.   </w:t>
      </w:r>
      <w:r>
        <w:rPr>
          <w:i/>
        </w:rPr>
        <w:t>The standard does not specify a default value for sty.</w:t>
      </w:r>
    </w:p>
    <w:p w:rsidR="000A156F" w:rsidRDefault="00A9721F">
      <w:pPr>
        <w:pStyle w:val="Definition-Field2"/>
      </w:pPr>
      <w:r>
        <w:t>In Word, the default value for sty is italic.</w:t>
      </w:r>
    </w:p>
    <w:p w:rsidR="000A156F" w:rsidRDefault="00A9721F">
      <w:pPr>
        <w:pStyle w:val="Heading3"/>
      </w:pPr>
      <w:bookmarkStart w:id="3433" w:name="section_ac87e4edda764356b9c98d7f88e43ec4"/>
      <w:bookmarkStart w:id="3434" w:name="_Toc181684742"/>
      <w:r>
        <w:t>Part 1 Section 22.1.2.112, sub (Subscript</w:t>
      </w:r>
      <w:r>
        <w:t xml:space="preserve"> (Pre-Sub-Superscript))</w:t>
      </w:r>
      <w:bookmarkEnd w:id="3433"/>
      <w:bookmarkEnd w:id="3434"/>
      <w:r>
        <w:fldChar w:fldCharType="begin"/>
      </w:r>
      <w:r>
        <w:instrText xml:space="preserve"> XE "sub (Subscript (Pre-Sub-Superscript))"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w:t>
      </w:r>
      <w:r>
        <w:rPr>
          <w:i/>
        </w:rPr>
        <w:t>andard says sub only specifies the subscript of sPre even though the schema also allows it as a child of sSub, sSubSup, and nary.</w:t>
      </w:r>
    </w:p>
    <w:p w:rsidR="000A156F" w:rsidRDefault="00A9721F">
      <w:pPr>
        <w:pStyle w:val="Definition-Field2"/>
      </w:pPr>
      <w:r>
        <w:t>In Word, sub specifies the subscript of sPre, sSub, and sSubSup and specifies the lower limit of nary.</w:t>
      </w:r>
    </w:p>
    <w:p w:rsidR="000A156F" w:rsidRDefault="00A9721F">
      <w:pPr>
        <w:pStyle w:val="Heading3"/>
      </w:pPr>
      <w:bookmarkStart w:id="3435" w:name="section_1b3c2414040a45a2a024173e22ebf533"/>
      <w:bookmarkStart w:id="3436" w:name="_Toc181684743"/>
      <w:r>
        <w:t>Part 1 Section 22.1.2.1</w:t>
      </w:r>
      <w:r>
        <w:t>13, subHide (Hide Subscript (n-ary))</w:t>
      </w:r>
      <w:bookmarkEnd w:id="3435"/>
      <w:bookmarkEnd w:id="3436"/>
      <w:r>
        <w:fldChar w:fldCharType="begin"/>
      </w:r>
      <w:r>
        <w:instrText xml:space="preserve"> XE "subHide (Hide Subscript (n-ary))" </w:instrText>
      </w:r>
      <w:r>
        <w:fldChar w:fldCharType="end"/>
      </w:r>
    </w:p>
    <w:p w:rsidR="000A156F" w:rsidRDefault="00A9721F">
      <w:pPr>
        <w:pStyle w:val="Definition-Field"/>
      </w:pPr>
      <w:r>
        <w:t xml:space="preserve">a.   </w:t>
      </w:r>
      <w:r>
        <w:rPr>
          <w:i/>
        </w:rPr>
        <w:t>The standard allows subHide to be on while the lower limit is not empty.</w:t>
      </w:r>
    </w:p>
    <w:p w:rsidR="000A156F" w:rsidRDefault="00A9721F">
      <w:pPr>
        <w:pStyle w:val="Definition-Field2"/>
      </w:pPr>
      <w:r>
        <w:lastRenderedPageBreak/>
        <w:t>If subHide is on while the lower limit is not empty, Word displays the contents of the lower limit i</w:t>
      </w:r>
      <w:r>
        <w:t>n an unexpected place.</w:t>
      </w:r>
    </w:p>
    <w:p w:rsidR="000A156F" w:rsidRDefault="00A9721F">
      <w:pPr>
        <w:pStyle w:val="Heading3"/>
      </w:pPr>
      <w:bookmarkStart w:id="3437" w:name="section_77f82ab9b91043f881b1e5bd352a2ed8"/>
      <w:bookmarkStart w:id="3438" w:name="_Toc181684744"/>
      <w:r>
        <w:t>Part 1 Section 22.1.2.114, sup (Superscript (Superscript object))</w:t>
      </w:r>
      <w:bookmarkEnd w:id="3437"/>
      <w:bookmarkEnd w:id="3438"/>
      <w:r>
        <w:fldChar w:fldCharType="begin"/>
      </w:r>
      <w:r>
        <w:instrText xml:space="preserve"> XE "sup (Superscript (Superscript object))"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0A156F" w:rsidRDefault="00A9721F">
      <w:pPr>
        <w:pStyle w:val="Definition-Field"/>
      </w:pPr>
      <w:r>
        <w:t xml:space="preserve">a.   </w:t>
      </w:r>
      <w:r>
        <w:rPr>
          <w:i/>
        </w:rPr>
        <w:t>The standard says sup only specifies the superscript of sSup even though the schema also allows it as a child of sPre, sSubSup, and nary.</w:t>
      </w:r>
    </w:p>
    <w:p w:rsidR="000A156F" w:rsidRDefault="00A9721F">
      <w:pPr>
        <w:pStyle w:val="Definition-Field2"/>
      </w:pPr>
      <w:r>
        <w:t>In Word, sup specifies the sup</w:t>
      </w:r>
      <w:r>
        <w:t>erscript of sSup, sPre, and sSubSup, and specifies the upper limit of nary.</w:t>
      </w:r>
    </w:p>
    <w:p w:rsidR="000A156F" w:rsidRDefault="00A9721F">
      <w:pPr>
        <w:pStyle w:val="Heading3"/>
      </w:pPr>
      <w:bookmarkStart w:id="3439" w:name="section_507a42d32be5409c917c824b3fa31ebb"/>
      <w:bookmarkStart w:id="3440" w:name="_Toc181684745"/>
      <w:r>
        <w:t>Part 1 Section 22.1.2.115, supHide (Hide Superscript (n-ary))</w:t>
      </w:r>
      <w:bookmarkEnd w:id="3439"/>
      <w:bookmarkEnd w:id="3440"/>
      <w:r>
        <w:fldChar w:fldCharType="begin"/>
      </w:r>
      <w:r>
        <w:instrText xml:space="preserve"> XE "supHide (Hide Superscript (n-ary))" </w:instrText>
      </w:r>
      <w:r>
        <w:fldChar w:fldCharType="end"/>
      </w:r>
    </w:p>
    <w:p w:rsidR="000A156F" w:rsidRDefault="00A9721F">
      <w:pPr>
        <w:pStyle w:val="Definition-Field"/>
      </w:pPr>
      <w:r>
        <w:t xml:space="preserve">a.   </w:t>
      </w:r>
      <w:r>
        <w:rPr>
          <w:i/>
        </w:rPr>
        <w:t>The standard says that if supHide is omitted the lower limit will appe</w:t>
      </w:r>
      <w:r>
        <w:rPr>
          <w:i/>
        </w:rPr>
        <w:t>ar.</w:t>
      </w:r>
    </w:p>
    <w:p w:rsidR="000A156F" w:rsidRDefault="00A9721F">
      <w:pPr>
        <w:pStyle w:val="Definition-Field2"/>
      </w:pPr>
      <w:r>
        <w:t>In Word, if supHide is omitted, the upper limit will appear.</w:t>
      </w:r>
    </w:p>
    <w:p w:rsidR="000A156F" w:rsidRDefault="00A9721F">
      <w:pPr>
        <w:pStyle w:val="Definition-Field"/>
      </w:pPr>
      <w:r>
        <w:t xml:space="preserve">b.   </w:t>
      </w:r>
      <w:r>
        <w:rPr>
          <w:i/>
        </w:rPr>
        <w:t>The standard allows supHide to be set when the upper limit is not empty.</w:t>
      </w:r>
    </w:p>
    <w:p w:rsidR="000A156F" w:rsidRDefault="00A9721F">
      <w:pPr>
        <w:pStyle w:val="Definition-Field2"/>
      </w:pPr>
      <w:r>
        <w:t>In Word, if the supHide attribute is on while the upper limit of the n-ary function is not empty, the application</w:t>
      </w:r>
      <w:r>
        <w:t xml:space="preserve"> will display this argument next to the base argument of the n-ary function.</w:t>
      </w:r>
    </w:p>
    <w:p w:rsidR="000A156F" w:rsidRDefault="00A9721F">
      <w:pPr>
        <w:pStyle w:val="Heading3"/>
      </w:pPr>
      <w:bookmarkStart w:id="3441" w:name="section_715e9ffc7f3f49c5a42e7db548f1df3d"/>
      <w:bookmarkStart w:id="3442" w:name="_Toc181684746"/>
      <w:r>
        <w:t>Part 1 Section 22.1.2.116, t (Text)</w:t>
      </w:r>
      <w:bookmarkEnd w:id="3441"/>
      <w:bookmarkEnd w:id="3442"/>
      <w:r>
        <w:fldChar w:fldCharType="begin"/>
      </w:r>
      <w:r>
        <w:instrText xml:space="preserve"> XE "t (Text)" </w:instrText>
      </w:r>
      <w:r>
        <w:fldChar w:fldCharType="end"/>
      </w:r>
    </w:p>
    <w:p w:rsidR="000A156F" w:rsidRDefault="00A9721F">
      <w:pPr>
        <w:pStyle w:val="Definition-Field"/>
      </w:pPr>
      <w:r>
        <w:t xml:space="preserve">a.   </w:t>
      </w:r>
      <w:r>
        <w:rPr>
          <w:i/>
        </w:rPr>
        <w:t>The standard says the xml:space attribute specifies whether to preserve spaces while reading text inside math text.</w:t>
      </w:r>
    </w:p>
    <w:p w:rsidR="000A156F" w:rsidRDefault="00A9721F">
      <w:pPr>
        <w:pStyle w:val="Definition-Field2"/>
      </w:pPr>
      <w:r>
        <w:t xml:space="preserve">Word </w:t>
      </w:r>
      <w:r>
        <w:t>ignores this attribute and always preserves spaces inside math text.</w:t>
      </w:r>
    </w:p>
    <w:p w:rsidR="000A156F" w:rsidRDefault="00A9721F">
      <w:pPr>
        <w:pStyle w:val="Heading3"/>
      </w:pPr>
      <w:bookmarkStart w:id="3443" w:name="section_2ba8081c91f3403c9a7a258d000a5a32"/>
      <w:bookmarkStart w:id="3444" w:name="_Toc181684747"/>
      <w:r>
        <w:t>Part 1 Section 22.1.2.117, transp (Transparent (Phantom))</w:t>
      </w:r>
      <w:bookmarkEnd w:id="3443"/>
      <w:bookmarkEnd w:id="3444"/>
      <w:r>
        <w:fldChar w:fldCharType="begin"/>
      </w:r>
      <w:r>
        <w:instrText xml:space="preserve"> XE "transp (Transparent (Phantom))" </w:instrText>
      </w:r>
      <w:r>
        <w:fldChar w:fldCharType="end"/>
      </w:r>
    </w:p>
    <w:p w:rsidR="000A156F" w:rsidRDefault="00A9721F">
      <w:pPr>
        <w:pStyle w:val="Definition-Field"/>
      </w:pPr>
      <w:r>
        <w:t xml:space="preserve">a.   </w:t>
      </w:r>
      <w:r>
        <w:rPr>
          <w:i/>
        </w:rPr>
        <w:t>The standard says if transparency is off, then the contents of the phantom are ignore</w:t>
      </w:r>
      <w:r>
        <w:rPr>
          <w:i/>
        </w:rPr>
        <w:t>d during layout.</w:t>
      </w:r>
    </w:p>
    <w:p w:rsidR="000A156F" w:rsidRDefault="00A9721F">
      <w:pPr>
        <w:pStyle w:val="Definition-Field2"/>
      </w:pPr>
      <w:r>
        <w:t>In Word, if transparency is off, special spacing is not added before and after the phantom, but the contents are not ignored during layout.</w:t>
      </w:r>
    </w:p>
    <w:p w:rsidR="000A156F" w:rsidRDefault="00A9721F">
      <w:pPr>
        <w:pStyle w:val="Definition-Field"/>
      </w:pPr>
      <w:r>
        <w:t xml:space="preserve">b.   </w:t>
      </w:r>
      <w:r>
        <w:rPr>
          <w:i/>
        </w:rPr>
        <w:t>The standard allows transparency to be set on a phantom with any contents.</w:t>
      </w:r>
    </w:p>
    <w:p w:rsidR="000A156F" w:rsidRDefault="00A9721F">
      <w:pPr>
        <w:pStyle w:val="Definition-Field2"/>
      </w:pPr>
      <w:r>
        <w:t>In Word, transparen</w:t>
      </w:r>
      <w:r>
        <w:t>cy does not work as specified unless the phantom contains another math function and does not start or end with a math operator.</w:t>
      </w:r>
    </w:p>
    <w:p w:rsidR="000A156F" w:rsidRDefault="00A9721F">
      <w:pPr>
        <w:pStyle w:val="Heading3"/>
      </w:pPr>
      <w:bookmarkStart w:id="3445" w:name="section_2a82044e2cc54f95b7b77c0b976bc7db"/>
      <w:bookmarkStart w:id="3446" w:name="_Toc181684748"/>
      <w:r>
        <w:t>Part 1 Section 22.1.3.1, ST_BreakBin (Break Binary Operators)</w:t>
      </w:r>
      <w:bookmarkEnd w:id="3445"/>
      <w:bookmarkEnd w:id="3446"/>
      <w:r>
        <w:fldChar w:fldCharType="begin"/>
      </w:r>
      <w:r>
        <w:instrText xml:space="preserve"> XE "ST_BreakBin (Break Binary Operators)" </w:instrText>
      </w:r>
      <w:r>
        <w:fldChar w:fldCharType="end"/>
      </w:r>
    </w:p>
    <w:p w:rsidR="000A156F" w:rsidRDefault="00A9721F">
      <w:pPr>
        <w:pStyle w:val="Definition-Field"/>
      </w:pPr>
      <w:r>
        <w:t xml:space="preserve">a.   </w:t>
      </w:r>
      <w:r>
        <w:rPr>
          <w:i/>
        </w:rPr>
        <w:t>The standard say</w:t>
      </w:r>
      <w:r>
        <w:rPr>
          <w:i/>
        </w:rPr>
        <w:t>s that after means the operator appears after the break and before means the operator appears before the break.</w:t>
      </w:r>
    </w:p>
    <w:p w:rsidR="000A156F" w:rsidRDefault="00A9721F">
      <w:pPr>
        <w:pStyle w:val="Definition-Field2"/>
      </w:pPr>
      <w:r>
        <w:t>In Word, after means the break occurs after the operator (the binary operator appears before the break) and before means the break occurs before</w:t>
      </w:r>
      <w:r>
        <w:t xml:space="preserve"> the operator (the binary operator appears after the break).</w:t>
      </w:r>
    </w:p>
    <w:p w:rsidR="000A156F" w:rsidRDefault="00A9721F">
      <w:pPr>
        <w:pStyle w:val="Heading3"/>
      </w:pPr>
      <w:bookmarkStart w:id="3447" w:name="section_ad3c1e3e6b9641e28f45c78a8e025284"/>
      <w:bookmarkStart w:id="3448" w:name="_Toc181684749"/>
      <w:r>
        <w:lastRenderedPageBreak/>
        <w:t>Part 1 Section 22.1.3.7, ST_Jc (Justification)</w:t>
      </w:r>
      <w:bookmarkEnd w:id="3447"/>
      <w:bookmarkEnd w:id="3448"/>
      <w:r>
        <w:fldChar w:fldCharType="begin"/>
      </w:r>
      <w:r>
        <w:instrText xml:space="preserve"> XE "ST_Jc (Justification)" </w:instrText>
      </w:r>
      <w:r>
        <w:fldChar w:fldCharType="end"/>
      </w:r>
    </w:p>
    <w:p w:rsidR="000A156F" w:rsidRDefault="00A9721F">
      <w:pPr>
        <w:pStyle w:val="Definition-Field"/>
      </w:pPr>
      <w:r>
        <w:t xml:space="preserve">a.   </w:t>
      </w:r>
      <w:r>
        <w:rPr>
          <w:i/>
        </w:rPr>
        <w:t>The standard says centerGroup alignment takes place relative to the page even though the equation might be inside</w:t>
      </w:r>
      <w:r>
        <w:rPr>
          <w:i/>
        </w:rPr>
        <w:t xml:space="preserve"> an object like a table cell.</w:t>
      </w:r>
    </w:p>
    <w:p w:rsidR="000A156F" w:rsidRDefault="00A9721F">
      <w:pPr>
        <w:pStyle w:val="Definition-Field2"/>
      </w:pPr>
      <w:r>
        <w:t>In Word, centerGroup alignment takes place relative to the equation margins just like center alignment.</w:t>
      </w:r>
    </w:p>
    <w:p w:rsidR="000A156F" w:rsidRDefault="00A9721F">
      <w:pPr>
        <w:pStyle w:val="Definition-Field"/>
      </w:pPr>
      <w:r>
        <w:t xml:space="preserve">b.   </w:t>
      </w:r>
      <w:r>
        <w:rPr>
          <w:i/>
        </w:rPr>
        <w:t>The standard says centerGroup means that equations are justified with respect to each other and then the group is cen</w:t>
      </w:r>
      <w:r>
        <w:rPr>
          <w:i/>
        </w:rPr>
        <w:t>tered, but it does not specify how to justify the equations respect to each other.</w:t>
      </w:r>
    </w:p>
    <w:p w:rsidR="000A156F" w:rsidRDefault="00A9721F">
      <w:pPr>
        <w:pStyle w:val="Definition-Field2"/>
      </w:pPr>
      <w:r>
        <w:t>In Word, centerGroup means that equations are left justified with respect to each other, and then group is centered.</w:t>
      </w:r>
    </w:p>
    <w:p w:rsidR="000A156F" w:rsidRDefault="00A9721F">
      <w:pPr>
        <w:pStyle w:val="Heading3"/>
      </w:pPr>
      <w:bookmarkStart w:id="3449" w:name="section_5991a2b500444c47aae0177c93bcfd2b"/>
      <w:bookmarkStart w:id="3450" w:name="_Toc181684750"/>
      <w:r>
        <w:t>Part 1 Section 22.1.3.10, ST_Shp (Shape (Delimiters))</w:t>
      </w:r>
      <w:bookmarkEnd w:id="3449"/>
      <w:bookmarkEnd w:id="3450"/>
      <w:r>
        <w:fldChar w:fldCharType="begin"/>
      </w:r>
      <w:r>
        <w:instrText xml:space="preserve"> XE</w:instrText>
      </w:r>
      <w:r>
        <w:instrText xml:space="preserve"> "ST_Shp (Shape (Delimiters))" </w:instrText>
      </w:r>
      <w:r>
        <w:fldChar w:fldCharType="end"/>
      </w:r>
    </w:p>
    <w:p w:rsidR="000A156F" w:rsidRDefault="00A9721F">
      <w:pPr>
        <w:pStyle w:val="Definition-Field"/>
      </w:pPr>
      <w:r>
        <w:t xml:space="preserve">a.   </w:t>
      </w:r>
      <w:r>
        <w:rPr>
          <w:i/>
        </w:rPr>
        <w:t>The standard says the match value means the delimiters match the shape of the argument.</w:t>
      </w:r>
    </w:p>
    <w:p w:rsidR="000A156F" w:rsidRDefault="00A9721F">
      <w:pPr>
        <w:pStyle w:val="Definition-Field2"/>
      </w:pPr>
      <w:r>
        <w:t>In Word, the match value means the delimiters match the height of the argument.</w:t>
      </w:r>
    </w:p>
    <w:p w:rsidR="000A156F" w:rsidRDefault="00A9721F">
      <w:pPr>
        <w:pStyle w:val="Heading3"/>
      </w:pPr>
      <w:bookmarkStart w:id="3451" w:name="section_b020773c92774a4181691f29c9b3f0de"/>
      <w:bookmarkStart w:id="3452" w:name="_Toc181684751"/>
      <w:r>
        <w:t>Part 1 Section 22.1.3.13, ST_TopBot (Top-Bottom)</w:t>
      </w:r>
      <w:bookmarkEnd w:id="3451"/>
      <w:bookmarkEnd w:id="3452"/>
      <w:r>
        <w:fldChar w:fldCharType="begin"/>
      </w:r>
      <w:r>
        <w:instrText xml:space="preserve"> </w:instrText>
      </w:r>
      <w:r>
        <w:instrText xml:space="preserve">XE "ST_TopBot (Top-Bottom)" </w:instrText>
      </w:r>
      <w:r>
        <w:fldChar w:fldCharType="end"/>
      </w:r>
    </w:p>
    <w:p w:rsidR="000A156F" w:rsidRDefault="00A9721F">
      <w:pPr>
        <w:pStyle w:val="Definition-Field"/>
      </w:pPr>
      <w:r>
        <w:t xml:space="preserve">a.   </w:t>
      </w:r>
      <w:r>
        <w:rPr>
          <w:i/>
        </w:rPr>
        <w:t>The standard describes the values of the ST_TopBot simple type in terms of the vertJc element.</w:t>
      </w:r>
    </w:p>
    <w:p w:rsidR="000A156F" w:rsidRDefault="00A9721F">
      <w:pPr>
        <w:pStyle w:val="Definition-Field2"/>
      </w:pPr>
      <w:r>
        <w:t>Word defines the values of this simple type to take on the meanings appropriate to the parent element.</w:t>
      </w:r>
    </w:p>
    <w:p w:rsidR="000A156F" w:rsidRDefault="00A9721F">
      <w:pPr>
        <w:pStyle w:val="Heading3"/>
      </w:pPr>
      <w:bookmarkStart w:id="3453" w:name="section_71424b866d3c4173a2027fc4efad6377"/>
      <w:bookmarkStart w:id="3454" w:name="_Toc181684752"/>
      <w:r>
        <w:t>Part 1 Section 22.1.3.14, ST_UnSignedInteger (Unsigned integer.)</w:t>
      </w:r>
      <w:bookmarkEnd w:id="3453"/>
      <w:bookmarkEnd w:id="3454"/>
      <w:r>
        <w:fldChar w:fldCharType="begin"/>
      </w:r>
      <w:r>
        <w:instrText xml:space="preserve"> XE "ST_UnSignedInteger (Unsigned integer.)" </w:instrText>
      </w:r>
      <w:r>
        <w:fldChar w:fldCharType="end"/>
      </w:r>
    </w:p>
    <w:p w:rsidR="000A156F" w:rsidRDefault="00A9721F">
      <w:pPr>
        <w:pStyle w:val="Definition-Field"/>
      </w:pPr>
      <w:r>
        <w:t xml:space="preserve">a.   </w:t>
      </w:r>
      <w:r>
        <w:rPr>
          <w:i/>
        </w:rPr>
        <w:t>The standard states that the values of the val attribute are defined by the XML unsignedInt datatype.</w:t>
      </w:r>
    </w:p>
    <w:p w:rsidR="000A156F" w:rsidRDefault="00A9721F">
      <w:pPr>
        <w:pStyle w:val="Definition-Field2"/>
      </w:pPr>
      <w:r>
        <w:t>Word defines the values of this attri</w:t>
      </w:r>
      <w:r>
        <w:t>bute with the XML unsignedShort datatype.</w:t>
      </w:r>
    </w:p>
    <w:p w:rsidR="000A156F" w:rsidRDefault="00A9721F">
      <w:pPr>
        <w:pStyle w:val="Heading3"/>
      </w:pPr>
      <w:bookmarkStart w:id="3455" w:name="section_6575023bde01441fa9da8cc9d3b73e99"/>
      <w:bookmarkStart w:id="3456" w:name="_Toc181684753"/>
      <w:r>
        <w:t>Part 1 Section 22.2.2.2, AppVersion (Application Version)</w:t>
      </w:r>
      <w:bookmarkEnd w:id="3455"/>
      <w:bookmarkEnd w:id="3456"/>
      <w:r>
        <w:fldChar w:fldCharType="begin"/>
      </w:r>
      <w:r>
        <w:instrText xml:space="preserve"> XE "AppVersion (Application Version)" </w:instrText>
      </w:r>
      <w:r>
        <w:fldChar w:fldCharType="end"/>
      </w:r>
    </w:p>
    <w:p w:rsidR="000A156F" w:rsidRDefault="00A9721F">
      <w:pPr>
        <w:pStyle w:val="Definition-Field"/>
      </w:pPr>
      <w:r>
        <w:t xml:space="preserve">a.   </w:t>
      </w:r>
      <w:r>
        <w:rPr>
          <w:i/>
        </w:rPr>
        <w:t>The standard does not constrain the app version.</w:t>
      </w:r>
    </w:p>
    <w:p w:rsidR="000A156F" w:rsidRDefault="00A9721F">
      <w:pPr>
        <w:pStyle w:val="Definition-Field2"/>
      </w:pPr>
      <w:r>
        <w:t>Office constrains the app version to strings matching the XSD</w:t>
      </w:r>
      <w:r>
        <w:t xml:space="preserve"> pattern value "[0-9]{1,2}\.[0-9]{1,4}".</w:t>
      </w:r>
    </w:p>
    <w:p w:rsidR="000A156F" w:rsidRDefault="00A9721F">
      <w:pPr>
        <w:pStyle w:val="Heading3"/>
      </w:pPr>
      <w:bookmarkStart w:id="3457" w:name="section_360e6b06a67f44faa5bf8ade7fbe7212"/>
      <w:bookmarkStart w:id="3458" w:name="_Toc181684754"/>
      <w:r>
        <w:t>Part 1 Section 22.2.2.6, DigSig (Digital Signature)</w:t>
      </w:r>
      <w:bookmarkEnd w:id="3457"/>
      <w:bookmarkEnd w:id="3458"/>
      <w:r>
        <w:fldChar w:fldCharType="begin"/>
      </w:r>
      <w:r>
        <w:instrText xml:space="preserve"> XE "DigSig (Digital Signature)" </w:instrText>
      </w:r>
      <w:r>
        <w:fldChar w:fldCharType="end"/>
      </w:r>
    </w:p>
    <w:p w:rsidR="000A156F" w:rsidRDefault="00A9721F">
      <w:pPr>
        <w:pStyle w:val="Definition-Field"/>
      </w:pPr>
      <w:r>
        <w:t xml:space="preserve">a.   </w:t>
      </w:r>
      <w:r>
        <w:rPr>
          <w:i/>
        </w:rPr>
        <w:t>The standard does not specify the format of the digital signature blob.</w:t>
      </w:r>
    </w:p>
    <w:p w:rsidR="000A156F" w:rsidRDefault="00A9721F">
      <w:r>
        <w:t>Office expects that the structure of the decoded bi</w:t>
      </w:r>
      <w:r>
        <w:t xml:space="preserve">nary blob is specified as follows: </w:t>
      </w:r>
    </w:p>
    <w:tbl>
      <w:tblPr>
        <w:tblStyle w:val="Table-ShadedHeader"/>
        <w:tblW w:w="0" w:type="auto"/>
        <w:tblLook w:val="04A0" w:firstRow="1" w:lastRow="0" w:firstColumn="1" w:lastColumn="0" w:noHBand="0" w:noVBand="1"/>
      </w:tblPr>
      <w:tblGrid>
        <w:gridCol w:w="1544"/>
        <w:gridCol w:w="760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Offset in bytes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Specifies the byte size of the digital signature data blob that starts at offset 8</w:t>
            </w:r>
          </w:p>
        </w:tc>
      </w:tr>
      <w:tr w:rsidR="000A156F" w:rsidTr="000A156F">
        <w:tc>
          <w:tcPr>
            <w:tcW w:w="0" w:type="auto"/>
            <w:vAlign w:val="center"/>
          </w:tcPr>
          <w:p w:rsidR="000A156F" w:rsidRDefault="00A9721F">
            <w:pPr>
              <w:pStyle w:val="TableBodyText"/>
            </w:pPr>
            <w:r>
              <w:t>4</w:t>
            </w:r>
          </w:p>
        </w:tc>
        <w:tc>
          <w:tcPr>
            <w:tcW w:w="0" w:type="auto"/>
            <w:vAlign w:val="center"/>
          </w:tcPr>
          <w:p w:rsidR="000A156F" w:rsidRDefault="00A9721F">
            <w:pPr>
              <w:pStyle w:val="TableBodyText"/>
            </w:pPr>
            <w:r>
              <w:t>Specifies digital signature data offset from the beginning of the blob. This shall always be 8</w:t>
            </w:r>
          </w:p>
        </w:tc>
      </w:tr>
      <w:tr w:rsidR="000A156F" w:rsidTr="000A156F">
        <w:tc>
          <w:tcPr>
            <w:tcW w:w="0" w:type="auto"/>
            <w:vAlign w:val="center"/>
          </w:tcPr>
          <w:p w:rsidR="000A156F" w:rsidRDefault="00A9721F">
            <w:pPr>
              <w:pStyle w:val="TableBodyText"/>
            </w:pPr>
            <w:r>
              <w:t>8</w:t>
            </w:r>
          </w:p>
        </w:tc>
        <w:tc>
          <w:tcPr>
            <w:tcW w:w="0" w:type="auto"/>
            <w:vAlign w:val="center"/>
          </w:tcPr>
          <w:p w:rsidR="000A156F" w:rsidRDefault="00A9721F">
            <w:pPr>
              <w:pStyle w:val="TableBodyText"/>
            </w:pPr>
            <w:r>
              <w:t>Digital signature data</w:t>
            </w:r>
          </w:p>
        </w:tc>
      </w:tr>
    </w:tbl>
    <w:p w:rsidR="000A156F" w:rsidRDefault="000A156F"/>
    <w:p w:rsidR="000A156F" w:rsidRDefault="00A9721F">
      <w:pPr>
        <w:pStyle w:val="Heading3"/>
      </w:pPr>
      <w:bookmarkStart w:id="3459" w:name="section_f0f1a882555d4c3db7514fe6cd1011af"/>
      <w:bookmarkStart w:id="3460" w:name="_Toc181684755"/>
      <w:r>
        <w:lastRenderedPageBreak/>
        <w:t>Part 1 Section 22.2.2.7, DocSecurity (Document Security)</w:t>
      </w:r>
      <w:bookmarkEnd w:id="3459"/>
      <w:bookmarkEnd w:id="3460"/>
      <w:r>
        <w:fldChar w:fldCharType="begin"/>
      </w:r>
      <w:r>
        <w:instrText xml:space="preserve"> XE "DocSecurity (Document Security)" </w:instrText>
      </w:r>
      <w:r>
        <w:fldChar w:fldCharType="end"/>
      </w:r>
    </w:p>
    <w:p w:rsidR="000A156F" w:rsidRDefault="00A9721F">
      <w:pPr>
        <w:pStyle w:val="Definition-Field"/>
      </w:pPr>
      <w:r>
        <w:t xml:space="preserve">a.   </w:t>
      </w:r>
      <w:r>
        <w:rPr>
          <w:i/>
        </w:rPr>
        <w:t>The standard states that the valid values of the DocSecurity element are 1, 2, 4, and 8.</w:t>
      </w:r>
    </w:p>
    <w:p w:rsidR="000A156F" w:rsidRDefault="00A9721F">
      <w:pPr>
        <w:pStyle w:val="Definition-Field2"/>
      </w:pPr>
      <w:r>
        <w:t>Office also supports a value of 0, signi</w:t>
      </w:r>
      <w:r>
        <w:t>fying that no security level is defined.</w:t>
      </w:r>
    </w:p>
    <w:p w:rsidR="000A156F" w:rsidRDefault="00A9721F">
      <w:pPr>
        <w:pStyle w:val="Definition-Field"/>
      </w:pPr>
      <w:r>
        <w:t xml:space="preserve">b.   </w:t>
      </w:r>
      <w:r>
        <w:rPr>
          <w:i/>
        </w:rPr>
        <w:t>The standard states that the valid values of the DocSecurity element are 1, 2, 4, and 8.</w:t>
      </w:r>
    </w:p>
    <w:p w:rsidR="000A156F" w:rsidRDefault="00A9721F">
      <w:pPr>
        <w:pStyle w:val="Definition-Field2"/>
      </w:pPr>
      <w:r>
        <w:t>Excel does not support the values 4 or 8.</w:t>
      </w:r>
    </w:p>
    <w:p w:rsidR="000A156F" w:rsidRDefault="00A9721F">
      <w:pPr>
        <w:pStyle w:val="Definition-Field"/>
      </w:pPr>
      <w:r>
        <w:t xml:space="preserve">c.   </w:t>
      </w:r>
      <w:r>
        <w:rPr>
          <w:i/>
        </w:rPr>
        <w:t>The standard does not state that the values of this element can be combine</w:t>
      </w:r>
      <w:r>
        <w:rPr>
          <w:i/>
        </w:rPr>
        <w:t>d.</w:t>
      </w:r>
    </w:p>
    <w:p w:rsidR="000A156F" w:rsidRDefault="00A9721F">
      <w:pPr>
        <w:pStyle w:val="Definition-Field2"/>
      </w:pPr>
      <w:r>
        <w:t>Office allows the values of this element to be combined.</w:t>
      </w:r>
    </w:p>
    <w:p w:rsidR="000A156F" w:rsidRDefault="00A9721F">
      <w:pPr>
        <w:pStyle w:val="Heading3"/>
      </w:pPr>
      <w:bookmarkStart w:id="3461" w:name="section_7bbab4664477424b9c52cc9800547d7b"/>
      <w:bookmarkStart w:id="3462" w:name="_Toc181684756"/>
      <w:r>
        <w:t>Part 1 Section 22.2.2.8, HeadingPairs (Heading Pairs)</w:t>
      </w:r>
      <w:bookmarkEnd w:id="3461"/>
      <w:bookmarkEnd w:id="3462"/>
      <w:r>
        <w:fldChar w:fldCharType="begin"/>
      </w:r>
      <w:r>
        <w:instrText xml:space="preserve"> XE "HeadingPairs (Heading Pairs)" </w:instrText>
      </w:r>
      <w:r>
        <w:fldChar w:fldCharType="end"/>
      </w:r>
    </w:p>
    <w:p w:rsidR="000A156F" w:rsidRDefault="00A9721F">
      <w:pPr>
        <w:pStyle w:val="Definition-Field"/>
      </w:pPr>
      <w:r>
        <w:t xml:space="preserve">a.   </w:t>
      </w:r>
      <w:r>
        <w:rPr>
          <w:i/>
        </w:rPr>
        <w:t>The standard does not document restrictions.</w:t>
      </w:r>
    </w:p>
    <w:p w:rsidR="000A156F" w:rsidRDefault="00A9721F">
      <w:r>
        <w:t>In Office, a specific order and variant type is require</w:t>
      </w:r>
      <w:r>
        <w:t>d for each heading pair.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Variant type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lpstr or lpwstr</w:t>
            </w:r>
          </w:p>
        </w:tc>
        <w:tc>
          <w:tcPr>
            <w:tcW w:w="0" w:type="auto"/>
            <w:vAlign w:val="center"/>
          </w:tcPr>
          <w:p w:rsidR="000A156F" w:rsidRDefault="00A9721F">
            <w:pPr>
              <w:pStyle w:val="TableBodyText"/>
            </w:pPr>
            <w:r>
              <w:t>Specifies the heading for the group</w:t>
            </w:r>
          </w:p>
        </w:tc>
      </w:tr>
      <w:tr w:rsidR="000A156F" w:rsidTr="000A156F">
        <w:tc>
          <w:tcPr>
            <w:tcW w:w="0" w:type="auto"/>
            <w:vAlign w:val="center"/>
          </w:tcPr>
          <w:p w:rsidR="000A156F" w:rsidRDefault="00A9721F">
            <w:pPr>
              <w:pStyle w:val="TableBodyText"/>
            </w:pPr>
            <w:r>
              <w:t>i4</w:t>
            </w:r>
          </w:p>
        </w:tc>
        <w:tc>
          <w:tcPr>
            <w:tcW w:w="0" w:type="auto"/>
            <w:vAlign w:val="center"/>
          </w:tcPr>
          <w:p w:rsidR="000A156F" w:rsidRDefault="00A9721F">
            <w:pPr>
              <w:pStyle w:val="TableBodyText"/>
            </w:pPr>
            <w:r>
              <w:t xml:space="preserve">Specifies the </w:t>
            </w:r>
            <w:r>
              <w:t>number of parts in the group. This value should be a positive integer.</w:t>
            </w:r>
          </w:p>
        </w:tc>
      </w:tr>
    </w:tbl>
    <w:p w:rsidR="000A156F" w:rsidRDefault="000A156F"/>
    <w:p w:rsidR="000A156F" w:rsidRDefault="00A9721F">
      <w:pPr>
        <w:pStyle w:val="Definition-Field"/>
      </w:pPr>
      <w:r>
        <w:t xml:space="preserve">b.   </w:t>
      </w:r>
      <w:r>
        <w:rPr>
          <w:i/>
        </w:rPr>
        <w:t>The standard does not include HeadingPairs for SpreadsheetML.</w:t>
      </w:r>
    </w:p>
    <w:p w:rsidR="000A156F" w:rsidRDefault="00A9721F">
      <w:r>
        <w:t>In Excel, the following heading pair values are specified:</w:t>
      </w:r>
    </w:p>
    <w:tbl>
      <w:tblPr>
        <w:tblStyle w:val="Table-ShadedHeader"/>
        <w:tblW w:w="0" w:type="auto"/>
        <w:tblLook w:val="04A0" w:firstRow="1" w:lastRow="0" w:firstColumn="1" w:lastColumn="0" w:noHBand="0" w:noVBand="1"/>
      </w:tblPr>
      <w:tblGrid>
        <w:gridCol w:w="1514"/>
        <w:gridCol w:w="796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 Pair</w:t>
            </w:r>
          </w:p>
        </w:tc>
        <w:tc>
          <w:tcPr>
            <w:tcW w:w="0" w:type="auto"/>
            <w:vAlign w:val="center"/>
          </w:tcPr>
          <w:p w:rsidR="000A156F" w:rsidRDefault="00A9721F">
            <w:pPr>
              <w:pStyle w:val="TableHeaderText"/>
            </w:pPr>
            <w:r>
              <w:t>Meaning</w:t>
            </w:r>
          </w:p>
        </w:tc>
      </w:tr>
      <w:tr w:rsidR="000A156F" w:rsidTr="000A156F">
        <w:tc>
          <w:tcPr>
            <w:tcW w:w="0" w:type="auto"/>
            <w:vAlign w:val="center"/>
          </w:tcPr>
          <w:p w:rsidR="000A156F" w:rsidRDefault="00A9721F">
            <w:pPr>
              <w:pStyle w:val="TableBodyText"/>
            </w:pPr>
            <w:r>
              <w:t>SheetType, n</w:t>
            </w:r>
          </w:p>
        </w:tc>
        <w:tc>
          <w:tcPr>
            <w:tcW w:w="0" w:type="auto"/>
            <w:vAlign w:val="center"/>
          </w:tcPr>
          <w:p w:rsidR="000A156F" w:rsidRDefault="00A9721F">
            <w:pPr>
              <w:pStyle w:val="TableBodyText"/>
            </w:pPr>
            <w:r>
              <w:t xml:space="preserve">There are </w:t>
            </w:r>
            <w:r>
              <w:rPr>
                <w:b/>
              </w:rPr>
              <w:t xml:space="preserve">n </w:t>
            </w:r>
            <w:r>
              <w:t>of these typ</w:t>
            </w:r>
            <w:r>
              <w:t>es of sheets in the workbook.  SheetType can be one of the following:  Worksheet, Charts, and Dialogs.</w:t>
            </w:r>
          </w:p>
        </w:tc>
      </w:tr>
      <w:tr w:rsidR="000A156F" w:rsidTr="000A156F">
        <w:tc>
          <w:tcPr>
            <w:tcW w:w="0" w:type="auto"/>
            <w:vAlign w:val="center"/>
          </w:tcPr>
          <w:p w:rsidR="000A156F" w:rsidRDefault="00A9721F">
            <w:pPr>
              <w:pStyle w:val="TableBodyText"/>
            </w:pPr>
            <w:r>
              <w:t>Named Ranges, n</w:t>
            </w:r>
          </w:p>
        </w:tc>
        <w:tc>
          <w:tcPr>
            <w:tcW w:w="0" w:type="auto"/>
            <w:vAlign w:val="center"/>
          </w:tcPr>
          <w:p w:rsidR="000A156F" w:rsidRDefault="00A9721F">
            <w:pPr>
              <w:pStyle w:val="TableBodyText"/>
            </w:pPr>
            <w:r>
              <w:t xml:space="preserve">There are </w:t>
            </w:r>
            <w:r>
              <w:rPr>
                <w:b/>
              </w:rPr>
              <w:t>n</w:t>
            </w:r>
            <w:r>
              <w:t xml:space="preserve"> named ranges in the workbook.</w:t>
            </w:r>
          </w:p>
        </w:tc>
      </w:tr>
    </w:tbl>
    <w:p w:rsidR="000A156F" w:rsidRDefault="000A156F"/>
    <w:p w:rsidR="000A156F" w:rsidRDefault="00A9721F">
      <w:pPr>
        <w:pStyle w:val="Heading3"/>
      </w:pPr>
      <w:bookmarkStart w:id="3463" w:name="section_17baf0f7f34b45789bf7ad584c5474c8"/>
      <w:bookmarkStart w:id="3464" w:name="_Toc181684757"/>
      <w:r>
        <w:t>Part 1 Section 22.2.2.10, HLinks (Hyperlink List)</w:t>
      </w:r>
      <w:bookmarkEnd w:id="3463"/>
      <w:bookmarkEnd w:id="3464"/>
      <w:r>
        <w:fldChar w:fldCharType="begin"/>
      </w:r>
      <w:r>
        <w:instrText xml:space="preserve"> XE "HLinks (Hyperlink List)" </w:instrText>
      </w:r>
      <w:r>
        <w:fldChar w:fldCharType="end"/>
      </w:r>
    </w:p>
    <w:p w:rsidR="000A156F" w:rsidRDefault="00A9721F">
      <w:pPr>
        <w:pStyle w:val="Definition-Field"/>
      </w:pPr>
      <w:r>
        <w:t xml:space="preserve">a.   </w:t>
      </w:r>
      <w:r>
        <w:rPr>
          <w:i/>
        </w:rPr>
        <w:t xml:space="preserve">The </w:t>
      </w:r>
      <w:r>
        <w:rPr>
          <w:i/>
        </w:rPr>
        <w:t>standard does not specify the constraints on the HLinks type.</w:t>
      </w:r>
    </w:p>
    <w:p w:rsidR="000A156F" w:rsidRDefault="00A9721F">
      <w:r>
        <w:t>Each hyperlink in the document is represented by a set of 6 variants and hence the size of the vector should be multiples of 6. The following table specifies the order and the type of variants f</w:t>
      </w:r>
      <w:r>
        <w:t>or a hyperlink:</w:t>
      </w:r>
    </w:p>
    <w:tbl>
      <w:tblPr>
        <w:tblStyle w:val="Table-ShadedHeader"/>
        <w:tblW w:w="0" w:type="auto"/>
        <w:tblLook w:val="04A0" w:firstRow="1" w:lastRow="0" w:firstColumn="1" w:lastColumn="0" w:noHBand="0" w:noVBand="1"/>
      </w:tblPr>
      <w:tblGrid>
        <w:gridCol w:w="1337"/>
        <w:gridCol w:w="606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Variant type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i4</w:t>
            </w:r>
          </w:p>
        </w:tc>
        <w:tc>
          <w:tcPr>
            <w:tcW w:w="0" w:type="auto"/>
            <w:vAlign w:val="center"/>
          </w:tcPr>
          <w:p w:rsidR="000A156F" w:rsidRDefault="00A9721F">
            <w:pPr>
              <w:pStyle w:val="TableBodyText"/>
            </w:pPr>
            <w:r>
              <w:t>Application specific data associated with the hyperlink</w:t>
            </w:r>
          </w:p>
        </w:tc>
      </w:tr>
      <w:tr w:rsidR="000A156F" w:rsidTr="000A156F">
        <w:tc>
          <w:tcPr>
            <w:tcW w:w="0" w:type="auto"/>
            <w:vAlign w:val="center"/>
          </w:tcPr>
          <w:p w:rsidR="000A156F" w:rsidRDefault="00A9721F">
            <w:pPr>
              <w:pStyle w:val="TableBodyText"/>
            </w:pPr>
            <w:r>
              <w:t>i4</w:t>
            </w:r>
          </w:p>
        </w:tc>
        <w:tc>
          <w:tcPr>
            <w:tcW w:w="0" w:type="auto"/>
            <w:vAlign w:val="center"/>
          </w:tcPr>
          <w:p w:rsidR="000A156F" w:rsidRDefault="00A9721F">
            <w:pPr>
              <w:pStyle w:val="TableBodyText"/>
            </w:pPr>
            <w:r>
              <w:t>Application specific data associated with the hyperlink</w:t>
            </w:r>
          </w:p>
        </w:tc>
      </w:tr>
      <w:tr w:rsidR="000A156F" w:rsidTr="000A156F">
        <w:tc>
          <w:tcPr>
            <w:tcW w:w="0" w:type="auto"/>
            <w:vAlign w:val="center"/>
          </w:tcPr>
          <w:p w:rsidR="000A156F" w:rsidRDefault="00A9721F">
            <w:pPr>
              <w:pStyle w:val="TableBodyText"/>
            </w:pPr>
            <w:r>
              <w:t>i4</w:t>
            </w:r>
          </w:p>
        </w:tc>
        <w:tc>
          <w:tcPr>
            <w:tcW w:w="0" w:type="auto"/>
            <w:vAlign w:val="center"/>
          </w:tcPr>
          <w:p w:rsidR="000A156F" w:rsidRDefault="00A9721F">
            <w:pPr>
              <w:pStyle w:val="TableBodyText"/>
            </w:pPr>
            <w:r>
              <w:t>Application specific data associated with the hyperlink</w:t>
            </w:r>
          </w:p>
        </w:tc>
      </w:tr>
      <w:tr w:rsidR="000A156F" w:rsidTr="000A156F">
        <w:tc>
          <w:tcPr>
            <w:tcW w:w="0" w:type="auto"/>
            <w:vAlign w:val="center"/>
          </w:tcPr>
          <w:p w:rsidR="000A156F" w:rsidRDefault="00A9721F">
            <w:pPr>
              <w:pStyle w:val="TableBodyText"/>
            </w:pPr>
            <w:r>
              <w:lastRenderedPageBreak/>
              <w:t>i4</w:t>
            </w:r>
          </w:p>
        </w:tc>
        <w:tc>
          <w:tcPr>
            <w:tcW w:w="0" w:type="auto"/>
            <w:vAlign w:val="center"/>
          </w:tcPr>
          <w:p w:rsidR="000A156F" w:rsidRDefault="00A9721F">
            <w:pPr>
              <w:pStyle w:val="TableBodyText"/>
            </w:pPr>
            <w:r>
              <w:t xml:space="preserve">This specifies information </w:t>
            </w:r>
            <w:r>
              <w:t>about the hyperlink.</w:t>
            </w:r>
          </w:p>
          <w:p w:rsidR="000A156F" w:rsidRDefault="000A156F">
            <w:pPr>
              <w:pStyle w:val="TableBodyText"/>
            </w:pPr>
          </w:p>
          <w:p w:rsidR="000A156F" w:rsidRDefault="00A9721F">
            <w:pPr>
              <w:pStyle w:val="TableBodyText"/>
            </w:pPr>
            <w:r>
              <w:t>The lower 16 bits specify hyperlink type with one of the possible values:</w:t>
            </w:r>
          </w:p>
          <w:p w:rsidR="000A156F" w:rsidRDefault="000A156F">
            <w:pPr>
              <w:pStyle w:val="TableBodyText"/>
            </w:pPr>
          </w:p>
          <w:p w:rsidR="000A156F" w:rsidRDefault="00A9721F">
            <w:pPr>
              <w:pStyle w:val="TableBodyText"/>
            </w:pPr>
            <w:r>
              <w:t>0 - Graphic shown as background of document</w:t>
            </w:r>
          </w:p>
          <w:p w:rsidR="000A156F" w:rsidRDefault="00A9721F">
            <w:pPr>
              <w:pStyle w:val="TableBodyText"/>
            </w:pPr>
            <w:r>
              <w:t>1 - Graphic shown in document</w:t>
            </w:r>
          </w:p>
          <w:p w:rsidR="000A156F" w:rsidRDefault="00A9721F">
            <w:pPr>
              <w:pStyle w:val="TableBodyText"/>
            </w:pPr>
            <w:r>
              <w:t>2 - Graphic used to fill a shape</w:t>
            </w:r>
          </w:p>
          <w:p w:rsidR="000A156F" w:rsidRDefault="00A9721F">
            <w:pPr>
              <w:pStyle w:val="TableBodyText"/>
            </w:pPr>
            <w:r>
              <w:t>3 - Graphic used for shape outline</w:t>
            </w:r>
          </w:p>
          <w:p w:rsidR="000A156F" w:rsidRDefault="00A9721F">
            <w:pPr>
              <w:pStyle w:val="TableBodyText"/>
            </w:pPr>
            <w:r>
              <w:t xml:space="preserve">4 - Hyperlink </w:t>
            </w:r>
            <w:r>
              <w:t>attached to a shape</w:t>
            </w:r>
          </w:p>
          <w:p w:rsidR="000A156F" w:rsidRDefault="00A9721F">
            <w:pPr>
              <w:pStyle w:val="TableBodyText"/>
            </w:pPr>
            <w:r>
              <w:t>5 - Hyperlink attached to a WordprocessingML  field</w:t>
            </w:r>
          </w:p>
          <w:p w:rsidR="000A156F" w:rsidRDefault="00A9721F">
            <w:pPr>
              <w:pStyle w:val="TableBodyText"/>
            </w:pPr>
            <w:r>
              <w:t>6 - Hyperlink attached to a SpreadsheetML  range</w:t>
            </w:r>
          </w:p>
          <w:p w:rsidR="000A156F" w:rsidRDefault="000A156F">
            <w:pPr>
              <w:pStyle w:val="TableBodyText"/>
            </w:pPr>
          </w:p>
          <w:p w:rsidR="000A156F" w:rsidRDefault="00A9721F">
            <w:pPr>
              <w:pStyle w:val="TableBodyText"/>
            </w:pPr>
            <w:r>
              <w:t>The high 16 bits store hyperlink action with one of the possible values:</w:t>
            </w:r>
          </w:p>
          <w:p w:rsidR="000A156F" w:rsidRDefault="000A156F">
            <w:pPr>
              <w:pStyle w:val="TableBodyText"/>
            </w:pPr>
          </w:p>
          <w:p w:rsidR="000A156F" w:rsidRDefault="00A9721F">
            <w:pPr>
              <w:pStyle w:val="TableBodyText"/>
            </w:pPr>
            <w:r>
              <w:t>0 - None</w:t>
            </w:r>
          </w:p>
          <w:p w:rsidR="000A156F" w:rsidRDefault="00A9721F">
            <w:pPr>
              <w:pStyle w:val="TableBodyText"/>
            </w:pPr>
            <w:r>
              <w:t>1 - Change the link to new hyperlink value</w:t>
            </w:r>
          </w:p>
          <w:p w:rsidR="000A156F" w:rsidRDefault="00A9721F">
            <w:pPr>
              <w:pStyle w:val="TableBodyText"/>
            </w:pPr>
            <w:r>
              <w:t>2 - Remo</w:t>
            </w:r>
            <w:r>
              <w:t>ve hyperlink from object</w:t>
            </w:r>
          </w:p>
          <w:p w:rsidR="000A156F" w:rsidRDefault="000A156F">
            <w:pPr>
              <w:pStyle w:val="TableBodyText"/>
            </w:pPr>
          </w:p>
        </w:tc>
      </w:tr>
      <w:tr w:rsidR="000A156F" w:rsidTr="000A156F">
        <w:tc>
          <w:tcPr>
            <w:tcW w:w="0" w:type="auto"/>
            <w:vAlign w:val="center"/>
          </w:tcPr>
          <w:p w:rsidR="000A156F" w:rsidRDefault="00A9721F">
            <w:pPr>
              <w:pStyle w:val="TableBodyText"/>
            </w:pPr>
            <w:r>
              <w:t>lpwstr</w:t>
            </w:r>
          </w:p>
        </w:tc>
        <w:tc>
          <w:tcPr>
            <w:tcW w:w="0" w:type="auto"/>
            <w:vAlign w:val="center"/>
          </w:tcPr>
          <w:p w:rsidR="000A156F" w:rsidRDefault="00A9721F">
            <w:pPr>
              <w:pStyle w:val="TableBodyText"/>
            </w:pPr>
            <w:r>
              <w:t>This specifies the hyperlink target</w:t>
            </w:r>
          </w:p>
        </w:tc>
      </w:tr>
      <w:tr w:rsidR="000A156F" w:rsidTr="000A156F">
        <w:tc>
          <w:tcPr>
            <w:tcW w:w="0" w:type="auto"/>
            <w:vAlign w:val="center"/>
          </w:tcPr>
          <w:p w:rsidR="000A156F" w:rsidRDefault="00A9721F">
            <w:pPr>
              <w:pStyle w:val="TableBodyText"/>
            </w:pPr>
            <w:r>
              <w:t>lpwstr</w:t>
            </w:r>
          </w:p>
        </w:tc>
        <w:tc>
          <w:tcPr>
            <w:tcW w:w="0" w:type="auto"/>
            <w:vAlign w:val="center"/>
          </w:tcPr>
          <w:p w:rsidR="000A156F" w:rsidRDefault="00A9721F">
            <w:pPr>
              <w:pStyle w:val="TableBodyText"/>
            </w:pPr>
            <w:r>
              <w:t>This specifies the location of the hyperlink</w:t>
            </w:r>
          </w:p>
        </w:tc>
      </w:tr>
    </w:tbl>
    <w:p w:rsidR="000A156F" w:rsidRDefault="000A156F"/>
    <w:p w:rsidR="000A156F" w:rsidRDefault="00A9721F">
      <w:pPr>
        <w:pStyle w:val="Heading3"/>
      </w:pPr>
      <w:bookmarkStart w:id="3465" w:name="section_de32de14957346f39f3819659e3a8d9a"/>
      <w:bookmarkStart w:id="3466" w:name="_Toc181684758"/>
      <w:r>
        <w:t>Part 1 Section 22.2.2.26, TitlesOfParts (Part Titles)</w:t>
      </w:r>
      <w:bookmarkEnd w:id="3465"/>
      <w:bookmarkEnd w:id="3466"/>
      <w:r>
        <w:fldChar w:fldCharType="begin"/>
      </w:r>
      <w:r>
        <w:instrText xml:space="preserve"> XE "TitlesOfParts (Part Titles)" </w:instrText>
      </w:r>
      <w:r>
        <w:fldChar w:fldCharType="end"/>
      </w:r>
    </w:p>
    <w:p w:rsidR="000A156F" w:rsidRDefault="00A9721F">
      <w:pPr>
        <w:pStyle w:val="Definition-Field"/>
      </w:pPr>
      <w:r>
        <w:t xml:space="preserve">a.   </w:t>
      </w:r>
      <w:r>
        <w:rPr>
          <w:i/>
        </w:rPr>
        <w:t xml:space="preserve">The standard specifies the </w:t>
      </w:r>
      <w:r>
        <w:rPr>
          <w:i/>
        </w:rPr>
        <w:t>TitlesOfParts element but provides no direction on application specific part titles.</w:t>
      </w:r>
    </w:p>
    <w:p w:rsidR="000A156F" w:rsidRDefault="00A9721F">
      <w:pPr>
        <w:pStyle w:val="Definition-Field2"/>
      </w:pPr>
      <w:r>
        <w:t>In Excel, the TitlesOfParts element can contain Worksheet names, Dialogsheet names, Chart names and Named ranges.</w:t>
      </w:r>
    </w:p>
    <w:p w:rsidR="000A156F" w:rsidRDefault="00A9721F">
      <w:pPr>
        <w:pStyle w:val="Definition-Field"/>
      </w:pPr>
      <w:r>
        <w:t xml:space="preserve">b.   </w:t>
      </w:r>
      <w:r>
        <w:rPr>
          <w:i/>
        </w:rPr>
        <w:t>The standard does not state the relationship with th</w:t>
      </w:r>
      <w:r>
        <w:rPr>
          <w:i/>
        </w:rPr>
        <w:t>e HeadingPairs property.</w:t>
      </w:r>
    </w:p>
    <w:p w:rsidR="000A156F" w:rsidRDefault="00A9721F">
      <w:r>
        <w:t>In Office, the part titles specified in the HeadingPairs property are linked to HeadingPairs ("</w:t>
      </w:r>
      <w:hyperlink r:id="rId227">
        <w:r>
          <w:rPr>
            <w:rStyle w:val="Hyperlink"/>
          </w:rPr>
          <w:t>[ISO/IEC-29500-1]</w:t>
        </w:r>
      </w:hyperlink>
      <w:r>
        <w:t xml:space="preserve"> §22.2.2.8; HeadingPairs") entries. Hence there shall</w:t>
      </w:r>
      <w:r>
        <w:t xml:space="preserve"> not be more document part titles listed here than the sum of all parts listed in HeadingPairs property.</w:t>
      </w:r>
    </w:p>
    <w:p w:rsidR="000A156F" w:rsidRDefault="00A9721F">
      <w:r>
        <w:t xml:space="preserve"> [Example: A presentation composed of three slides with an applied theme "Currency" may have the following TitlesofParts and HeadingPairs representatio</w:t>
      </w:r>
      <w:r>
        <w:t xml:space="preserve">n: </w:t>
      </w:r>
    </w:p>
    <w:p w:rsidR="000A156F" w:rsidRDefault="00A9721F">
      <w:pPr>
        <w:pStyle w:val="Code"/>
      </w:pPr>
      <w:r>
        <w:t>&lt;TitlesofParts&gt;</w:t>
      </w:r>
    </w:p>
    <w:p w:rsidR="000A156F" w:rsidRDefault="00A9721F">
      <w:pPr>
        <w:pStyle w:val="Code"/>
      </w:pPr>
      <w:r>
        <w:t xml:space="preserve">  &lt;vt:vector size="4" baseType="lpstr"&gt;</w:t>
      </w:r>
    </w:p>
    <w:p w:rsidR="000A156F" w:rsidRDefault="00A9721F">
      <w:pPr>
        <w:pStyle w:val="Code"/>
      </w:pPr>
      <w:r>
        <w:t xml:space="preserve">    &lt;vt:lpstr&gt;Currency&lt;/vt:lpstr&gt;</w:t>
      </w:r>
    </w:p>
    <w:p w:rsidR="000A156F" w:rsidRDefault="00A9721F">
      <w:pPr>
        <w:pStyle w:val="Code"/>
      </w:pPr>
      <w:r>
        <w:t xml:space="preserve">    &lt;vt:lpstr&gt;Slide 1&lt;/vt:lpstr&gt;</w:t>
      </w:r>
    </w:p>
    <w:p w:rsidR="000A156F" w:rsidRDefault="00A9721F">
      <w:pPr>
        <w:pStyle w:val="Code"/>
      </w:pPr>
      <w:r>
        <w:t xml:space="preserve">    &lt;vt:lpstr&gt;Slide 2&lt;/vt:lpstr&gt;</w:t>
      </w:r>
    </w:p>
    <w:p w:rsidR="000A156F" w:rsidRDefault="00A9721F">
      <w:pPr>
        <w:pStyle w:val="Code"/>
      </w:pPr>
      <w:r>
        <w:t xml:space="preserve">    &lt;vt:lpstr&gt;Slide 3&lt;/vt:lpstr&gt;</w:t>
      </w:r>
    </w:p>
    <w:p w:rsidR="000A156F" w:rsidRDefault="00A9721F">
      <w:pPr>
        <w:pStyle w:val="Code"/>
      </w:pPr>
      <w:r>
        <w:t xml:space="preserve">  &lt;/vt:vector&gt;</w:t>
      </w:r>
    </w:p>
    <w:p w:rsidR="000A156F" w:rsidRDefault="00A9721F">
      <w:pPr>
        <w:pStyle w:val="Code"/>
      </w:pPr>
      <w:r>
        <w:t>&lt;/TitlesofParts&gt;</w:t>
      </w:r>
    </w:p>
    <w:p w:rsidR="000A156F" w:rsidRDefault="00A9721F">
      <w:pPr>
        <w:pStyle w:val="Code"/>
      </w:pPr>
      <w:r>
        <w:t>&lt;HeadingPairs&gt;</w:t>
      </w:r>
    </w:p>
    <w:p w:rsidR="000A156F" w:rsidRDefault="00A9721F">
      <w:pPr>
        <w:pStyle w:val="Code"/>
      </w:pPr>
      <w:r>
        <w:t xml:space="preserve">  &lt;vt:vector siz</w:t>
      </w:r>
      <w:r>
        <w:t>e="4" baseType="variant"&gt;</w:t>
      </w:r>
    </w:p>
    <w:p w:rsidR="000A156F" w:rsidRDefault="00A9721F">
      <w:pPr>
        <w:pStyle w:val="Code"/>
      </w:pPr>
      <w:r>
        <w:t xml:space="preserve">    &lt;vt:variant&gt;</w:t>
      </w:r>
    </w:p>
    <w:p w:rsidR="000A156F" w:rsidRDefault="00A9721F">
      <w:pPr>
        <w:pStyle w:val="Code"/>
      </w:pPr>
      <w:r>
        <w:t xml:space="preserve">      &lt;vt:lpstr&gt;Theme&lt;/vt:lpstr&gt;</w:t>
      </w:r>
    </w:p>
    <w:p w:rsidR="000A156F" w:rsidRDefault="00A9721F">
      <w:pPr>
        <w:pStyle w:val="Code"/>
      </w:pPr>
      <w:r>
        <w:t xml:space="preserve">    &lt;/vt:variant&gt;</w:t>
      </w:r>
    </w:p>
    <w:p w:rsidR="000A156F" w:rsidRDefault="00A9721F">
      <w:pPr>
        <w:pStyle w:val="Code"/>
      </w:pPr>
      <w:r>
        <w:lastRenderedPageBreak/>
        <w:t xml:space="preserve">    &lt;vt:variant&gt;</w:t>
      </w:r>
    </w:p>
    <w:p w:rsidR="000A156F" w:rsidRDefault="00A9721F">
      <w:pPr>
        <w:pStyle w:val="Code"/>
      </w:pPr>
      <w:r>
        <w:t xml:space="preserve">      &lt;vt:i4&gt;1&lt;/vt:i4&gt;</w:t>
      </w:r>
    </w:p>
    <w:p w:rsidR="000A156F" w:rsidRDefault="00A9721F">
      <w:pPr>
        <w:pStyle w:val="Code"/>
      </w:pPr>
      <w:r>
        <w:t xml:space="preserve">    &lt;/vt:variant&gt;</w:t>
      </w:r>
    </w:p>
    <w:p w:rsidR="000A156F" w:rsidRDefault="00A9721F">
      <w:pPr>
        <w:pStyle w:val="Code"/>
      </w:pPr>
      <w:r>
        <w:t xml:space="preserve">    &lt;vt:variant&gt;</w:t>
      </w:r>
    </w:p>
    <w:p w:rsidR="000A156F" w:rsidRDefault="00A9721F">
      <w:pPr>
        <w:pStyle w:val="Code"/>
      </w:pPr>
      <w:r>
        <w:t xml:space="preserve">      &lt;vt:lpstr&gt;Slide Titles&lt;/vt:lpstr&gt;</w:t>
      </w:r>
    </w:p>
    <w:p w:rsidR="000A156F" w:rsidRDefault="00A9721F">
      <w:pPr>
        <w:pStyle w:val="Code"/>
      </w:pPr>
      <w:r>
        <w:t xml:space="preserve">    &lt;/vt:variant&gt;</w:t>
      </w:r>
    </w:p>
    <w:p w:rsidR="000A156F" w:rsidRDefault="00A9721F">
      <w:r>
        <w:t xml:space="preserve">      &lt;vt:variant&gt;</w:t>
      </w:r>
    </w:p>
    <w:p w:rsidR="000A156F" w:rsidRDefault="00A9721F">
      <w:r>
        <w:t xml:space="preserve">        &lt;</w:t>
      </w:r>
      <w:r>
        <w:t>vt:i4&gt;3&lt;/vt:i4&gt;</w:t>
      </w:r>
    </w:p>
    <w:p w:rsidR="000A156F" w:rsidRDefault="00A9721F">
      <w:r>
        <w:t xml:space="preserve">      &lt;/vt:variant&gt;</w:t>
      </w:r>
    </w:p>
    <w:p w:rsidR="000A156F" w:rsidRDefault="00A9721F">
      <w:r>
        <w:t xml:space="preserve">    &lt;/vt:vector&gt;</w:t>
      </w:r>
    </w:p>
    <w:p w:rsidR="000A156F" w:rsidRDefault="00A9721F">
      <w:r>
        <w:t xml:space="preserve">  &lt;/HeadingPairs&gt;</w:t>
      </w:r>
    </w:p>
    <w:p w:rsidR="000A156F" w:rsidRDefault="00A9721F">
      <w:r>
        <w:t>end example]</w:t>
      </w:r>
    </w:p>
    <w:p w:rsidR="000A156F" w:rsidRDefault="00A9721F">
      <w:pPr>
        <w:pStyle w:val="Heading3"/>
      </w:pPr>
      <w:bookmarkStart w:id="3467" w:name="section_4b59044c878542a7bccb0da2aee6e9e6"/>
      <w:bookmarkStart w:id="3468" w:name="_Toc181684759"/>
      <w:r>
        <w:t>Part 1 Section 22.2.2.27, TotalTime (Total Edit Time Metadata Element)</w:t>
      </w:r>
      <w:bookmarkEnd w:id="3467"/>
      <w:bookmarkEnd w:id="3468"/>
      <w:r>
        <w:fldChar w:fldCharType="begin"/>
      </w:r>
      <w:r>
        <w:instrText xml:space="preserve"> XE "TotalTime (Total Edit Time Metadata Element)" </w:instrText>
      </w:r>
      <w:r>
        <w:fldChar w:fldCharType="end"/>
      </w:r>
    </w:p>
    <w:p w:rsidR="000A156F" w:rsidRDefault="00A9721F">
      <w:pPr>
        <w:pStyle w:val="Definition-Field"/>
      </w:pPr>
      <w:r>
        <w:t xml:space="preserve">a.   </w:t>
      </w:r>
      <w:r>
        <w:rPr>
          <w:i/>
        </w:rPr>
        <w:t xml:space="preserve">The standard states that the value of this </w:t>
      </w:r>
      <w:r>
        <w:rPr>
          <w:i/>
        </w:rPr>
        <w:t>element can be any integer.</w:t>
      </w:r>
    </w:p>
    <w:p w:rsidR="000A156F" w:rsidRDefault="00A9721F">
      <w:pPr>
        <w:pStyle w:val="Definition-Field2"/>
      </w:pPr>
      <w:r>
        <w:t>Office disallows any negative value on this element.</w:t>
      </w:r>
    </w:p>
    <w:p w:rsidR="000A156F" w:rsidRDefault="00A9721F">
      <w:pPr>
        <w:pStyle w:val="Heading3"/>
      </w:pPr>
      <w:bookmarkStart w:id="3469" w:name="section_dd236d155c664553b1bbcdbf1680bf1b"/>
      <w:bookmarkStart w:id="3470" w:name="_Toc181684760"/>
      <w:r>
        <w:t>Part 1 Section 22.3.2.2, property (Custom File Property)</w:t>
      </w:r>
      <w:bookmarkEnd w:id="3469"/>
      <w:bookmarkEnd w:id="3470"/>
      <w:r>
        <w:fldChar w:fldCharType="begin"/>
      </w:r>
      <w:r>
        <w:instrText xml:space="preserve"> XE "property (Custom File Property)" </w:instrText>
      </w:r>
      <w:r>
        <w:fldChar w:fldCharType="end"/>
      </w:r>
    </w:p>
    <w:p w:rsidR="000A156F" w:rsidRDefault="00A9721F">
      <w:pPr>
        <w:pStyle w:val="Definition-Field"/>
      </w:pPr>
      <w:r>
        <w:t xml:space="preserve">a.   </w:t>
      </w:r>
      <w:r>
        <w:rPr>
          <w:i/>
        </w:rPr>
        <w:t>The standard does not reserve a unique property name for the property edi</w:t>
      </w:r>
      <w:r>
        <w:rPr>
          <w:i/>
        </w:rPr>
        <w:t>tor’s content type ID.</w:t>
      </w:r>
    </w:p>
    <w:p w:rsidR="000A156F" w:rsidRDefault="00A9721F">
      <w:r>
        <w:t>Office reserves the following unique property names for the following purposes:</w:t>
      </w:r>
    </w:p>
    <w:tbl>
      <w:tblPr>
        <w:tblStyle w:val="Table-ShadedHeader"/>
        <w:tblW w:w="0" w:type="auto"/>
        <w:tblLook w:val="04A0" w:firstRow="1" w:lastRow="0" w:firstColumn="1" w:lastColumn="0" w:noHBand="0" w:noVBand="1"/>
      </w:tblPr>
      <w:tblGrid>
        <w:gridCol w:w="1418"/>
        <w:gridCol w:w="805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 xml:space="preserve">    Name    </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ContentTypeId</w:t>
            </w:r>
          </w:p>
        </w:tc>
        <w:tc>
          <w:tcPr>
            <w:tcW w:w="0" w:type="auto"/>
            <w:vAlign w:val="center"/>
          </w:tcPr>
          <w:p w:rsidR="000A156F" w:rsidRDefault="00A9721F">
            <w:pPr>
              <w:pStyle w:val="TableBodyText"/>
            </w:pPr>
            <w:r>
              <w:t>A custom property with this name contains the id of the content type associated with the Windows SharePoint Servi</w:t>
            </w:r>
            <w:r>
              <w:t xml:space="preserve">ces document library where this document belongs. Its value is the same as the </w:t>
            </w:r>
            <w:r>
              <w:rPr>
                <w:b/>
              </w:rPr>
              <w:t>ma:contentTypeID</w:t>
            </w:r>
            <w:r>
              <w:t xml:space="preserve"> attribute on the Schema for Content Type element (</w:t>
            </w:r>
            <w:hyperlink w:anchor="Section_0365ee65da5b44769eaa73f1dda94db8">
              <w:r>
                <w:rPr>
                  <w:rStyle w:val="Hyperlink"/>
                </w:rPr>
                <w:t>§3.5.2.1.1.1, contentTypeSchema</w:t>
              </w:r>
            </w:hyperlink>
            <w:r>
              <w:t>).</w:t>
            </w:r>
          </w:p>
        </w:tc>
      </w:tr>
    </w:tbl>
    <w:p w:rsidR="000A156F" w:rsidRDefault="000A156F"/>
    <w:p w:rsidR="000A156F" w:rsidRDefault="00A9721F">
      <w:pPr>
        <w:pStyle w:val="Definition-Field"/>
      </w:pPr>
      <w:r>
        <w:t xml:space="preserve">b.   </w:t>
      </w:r>
      <w:r>
        <w:rPr>
          <w:i/>
        </w:rPr>
        <w:t xml:space="preserve">The </w:t>
      </w:r>
      <w:r>
        <w:rPr>
          <w:i/>
        </w:rPr>
        <w:t>standard does not reserve unique property names for document workspaces.</w:t>
      </w:r>
    </w:p>
    <w:p w:rsidR="000A156F" w:rsidRDefault="00A9721F">
      <w:r>
        <w:t>Office 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_CheckOutSrcUrl</w:t>
            </w:r>
          </w:p>
        </w:tc>
        <w:tc>
          <w:tcPr>
            <w:tcW w:w="0" w:type="auto"/>
            <w:vAlign w:val="center"/>
          </w:tcPr>
          <w:p w:rsidR="000A156F" w:rsidRDefault="00A9721F">
            <w:pPr>
              <w:pStyle w:val="TableBodyText"/>
            </w:pPr>
            <w:r>
              <w:t>A custom property with this name specifies the document workspace fro</w:t>
            </w:r>
            <w:r>
              <w:t>m which the document was checked out.</w:t>
            </w:r>
          </w:p>
          <w:p w:rsidR="000A156F" w:rsidRDefault="000A156F">
            <w:pPr>
              <w:pStyle w:val="TableBodyText"/>
            </w:pPr>
          </w:p>
          <w:p w:rsidR="000A156F" w:rsidRDefault="00A9721F">
            <w:pPr>
              <w:pStyle w:val="TableBodyText"/>
            </w:pPr>
            <w:r>
              <w:t xml:space="preserve">The child element of this property shall be a </w:t>
            </w:r>
            <w:r>
              <w:rPr>
                <w:b/>
              </w:rPr>
              <w:t>lpwstr</w:t>
            </w:r>
            <w:r>
              <w:t xml:space="preserve"> specifying the URL of the document workspace where this document belongs.  This URL shall not exceed 256 characters.</w:t>
            </w:r>
          </w:p>
        </w:tc>
      </w:tr>
      <w:tr w:rsidR="000A156F" w:rsidTr="000A156F">
        <w:tc>
          <w:tcPr>
            <w:tcW w:w="0" w:type="auto"/>
            <w:vAlign w:val="center"/>
          </w:tcPr>
          <w:p w:rsidR="000A156F" w:rsidRDefault="00A9721F">
            <w:pPr>
              <w:pStyle w:val="TableBodyText"/>
            </w:pPr>
            <w:r>
              <w:rPr>
                <w:i/>
              </w:rPr>
              <w:t>_LiveCopyIndex</w:t>
            </w:r>
          </w:p>
        </w:tc>
        <w:tc>
          <w:tcPr>
            <w:tcW w:w="0" w:type="auto"/>
            <w:vAlign w:val="center"/>
          </w:tcPr>
          <w:p w:rsidR="000A156F" w:rsidRDefault="00A9721F">
            <w:pPr>
              <w:pStyle w:val="TableBodyText"/>
            </w:pPr>
            <w:r>
              <w:t>A custom property with this nam</w:t>
            </w:r>
            <w:r>
              <w:t>e provides a time stamp for comparing the current state of a server document to a local copy of that document.</w:t>
            </w:r>
          </w:p>
          <w:p w:rsidR="000A156F" w:rsidRDefault="000A156F">
            <w:pPr>
              <w:pStyle w:val="TableBodyText"/>
            </w:pPr>
          </w:p>
          <w:p w:rsidR="000A156F" w:rsidRDefault="00A9721F">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w:t>
            </w:r>
            <w:r>
              <w:t xml:space="preserve">to the document workspace. This value is computed by multiplying the high-order 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0A156F" w:rsidRDefault="000A156F">
            <w:pPr>
              <w:pStyle w:val="TableBodyText"/>
            </w:pPr>
          </w:p>
          <w:p w:rsidR="000A156F" w:rsidRDefault="00A9721F">
            <w:pPr>
              <w:pStyle w:val="TableBodyText"/>
            </w:pPr>
            <w:r>
              <w:t>This information can be used to resolve potential conflicts between two</w:t>
            </w:r>
            <w:r>
              <w:t xml:space="preserve"> different copies of a document stored in a document workspace. If the </w:t>
            </w:r>
            <w:r>
              <w:rPr>
                <w:i/>
              </w:rPr>
              <w:t>_LiveCopyIndex</w:t>
            </w:r>
            <w:r>
              <w:t xml:space="preserve"> value of a particular document matches the </w:t>
            </w:r>
            <w:r>
              <w:rPr>
                <w:b/>
              </w:rPr>
              <w:t>modified</w:t>
            </w:r>
            <w:r>
              <w:t xml:space="preserve"> property value, then that document is considered to be equivalent to the original shared version of the file on the se</w:t>
            </w:r>
            <w:r>
              <w:t>rver. If one of the two copies of a document is the original shared version and the two copies of the document differ, then the other document shall be newer.</w:t>
            </w:r>
          </w:p>
        </w:tc>
      </w:tr>
      <w:tr w:rsidR="000A156F" w:rsidTr="000A156F">
        <w:tc>
          <w:tcPr>
            <w:tcW w:w="0" w:type="auto"/>
            <w:vAlign w:val="center"/>
          </w:tcPr>
          <w:p w:rsidR="000A156F" w:rsidRDefault="00A9721F">
            <w:pPr>
              <w:pStyle w:val="TableBodyText"/>
            </w:pPr>
            <w:r>
              <w:rPr>
                <w:i/>
              </w:rPr>
              <w:lastRenderedPageBreak/>
              <w:t>_SharedFileIndex</w:t>
            </w:r>
          </w:p>
        </w:tc>
        <w:tc>
          <w:tcPr>
            <w:tcW w:w="0" w:type="auto"/>
            <w:vAlign w:val="center"/>
          </w:tcPr>
          <w:p w:rsidR="000A156F" w:rsidRDefault="00A9721F">
            <w:pPr>
              <w:pStyle w:val="TableBodyText"/>
            </w:pPr>
            <w:r>
              <w:t xml:space="preserve">A custom property with this name identifies the workspace that the document </w:t>
            </w:r>
            <w:r>
              <w:t>belongs to.</w:t>
            </w:r>
          </w:p>
          <w:p w:rsidR="000A156F" w:rsidRDefault="000A156F">
            <w:pPr>
              <w:pStyle w:val="TableBodyText"/>
            </w:pPr>
          </w:p>
          <w:p w:rsidR="000A156F" w:rsidRDefault="00A9721F">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0A156F" w:rsidRDefault="000A156F">
            <w:pPr>
              <w:pStyle w:val="TableBodyText"/>
            </w:pPr>
          </w:p>
          <w:p w:rsidR="000A156F" w:rsidRDefault="00A9721F">
            <w:pPr>
              <w:pStyle w:val="TableBodyText"/>
            </w:pPr>
            <w:r>
              <w:t xml:space="preserve">The version number shall be </w:t>
            </w:r>
            <w:r>
              <w:rPr>
                <w:i/>
              </w:rPr>
              <w:t>0000020000000000</w:t>
            </w:r>
            <w:r>
              <w:t>.</w:t>
            </w:r>
          </w:p>
          <w:p w:rsidR="000A156F" w:rsidRDefault="000A156F">
            <w:pPr>
              <w:pStyle w:val="TableBodyText"/>
            </w:pPr>
          </w:p>
          <w:p w:rsidR="000A156F" w:rsidRDefault="00A9721F">
            <w:pPr>
              <w:pStyle w:val="TableBodyText"/>
            </w:pPr>
            <w:r>
              <w:t>The GUID shall uniquely identify the do</w:t>
            </w:r>
            <w:r>
              <w:t>cument.</w:t>
            </w:r>
          </w:p>
          <w:p w:rsidR="000A156F" w:rsidRDefault="000A156F">
            <w:pPr>
              <w:pStyle w:val="TableBodyText"/>
            </w:pPr>
          </w:p>
          <w:p w:rsidR="000A156F" w:rsidRDefault="00A9721F">
            <w:pPr>
              <w:pStyle w:val="TableBodyText"/>
            </w:pPr>
            <w:r>
              <w:t>The URL shall define the requested location of the file on the server. If the location is already occupied by a document with a different GUID, then the document might be relocated.</w:t>
            </w:r>
          </w:p>
          <w:p w:rsidR="000A156F" w:rsidRDefault="000A156F">
            <w:pPr>
              <w:pStyle w:val="TableBodyText"/>
            </w:pPr>
          </w:p>
          <w:p w:rsidR="000A156F" w:rsidRDefault="00A9721F">
            <w:pPr>
              <w:pStyle w:val="TableBodyText"/>
            </w:pPr>
            <w:r>
              <w:t xml:space="preserve">If the value of this property extends beyond 256 characters, it </w:t>
            </w:r>
            <w:r>
              <w:t xml:space="preserve">shall be segmented across multiple properties with the root name 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only when those 256 characters have been exceeded shall the next </w:t>
            </w:r>
            <w:r>
              <w:rPr>
                <w:i/>
              </w:rPr>
              <w:t>_SharedFileIndex</w:t>
            </w:r>
            <w:r>
              <w:t xml:space="preserve"> property be created.</w:t>
            </w:r>
          </w:p>
          <w:p w:rsidR="000A156F" w:rsidRDefault="000A156F">
            <w:pPr>
              <w:pStyle w:val="TableBodyText"/>
            </w:pPr>
          </w:p>
          <w:p w:rsidR="000A156F" w:rsidRDefault="00A9721F">
            <w:pPr>
              <w:pStyle w:val="TableBodyText"/>
            </w:pPr>
            <w:r>
              <w:t>[Example: The shared file index of a document with a workspace location of http</w:t>
            </w:r>
            <w:r>
              <w:t>://www.contoso.com/documentschemas/schemaexamples/</w:t>
            </w:r>
          </w:p>
          <w:p w:rsidR="000A156F" w:rsidRDefault="00A9721F">
            <w:pPr>
              <w:pStyle w:val="TableBodyText"/>
            </w:pPr>
            <w:r>
              <w:t>documentworkspaces/documents/shareddocuments/collaboration/</w:t>
            </w:r>
          </w:p>
          <w:p w:rsidR="000A156F" w:rsidRDefault="00A9721F">
            <w:pPr>
              <w:pStyle w:val="TableBodyText"/>
            </w:pPr>
            <w:r>
              <w:t>customfileproperties/serverproperties/</w:t>
            </w:r>
          </w:p>
          <w:p w:rsidR="000A156F" w:rsidRDefault="00A9721F">
            <w:pPr>
              <w:pStyle w:val="TableBodyText"/>
            </w:pPr>
            <w:r>
              <w:t>DocumentWithAReallyReallyLongNameAndAReallyReally</w:t>
            </w:r>
          </w:p>
          <w:p w:rsidR="000A156F" w:rsidRDefault="00A9721F">
            <w:pPr>
              <w:pStyle w:val="TableBodyText"/>
            </w:pPr>
            <w:r>
              <w:t>LongServerLocationWhichRequiresSegmentationOfTheShared</w:t>
            </w:r>
          </w:p>
          <w:p w:rsidR="000A156F" w:rsidRDefault="00A9721F">
            <w:pPr>
              <w:pStyle w:val="TableBodyText"/>
            </w:pPr>
            <w:r>
              <w:t>F</w:t>
            </w:r>
            <w:r>
              <w:t>ileIndexProperty.docx can be defined as follows:</w:t>
            </w:r>
          </w:p>
          <w:p w:rsidR="000A156F" w:rsidRDefault="000A156F">
            <w:pPr>
              <w:pStyle w:val="TableBodyText"/>
            </w:pPr>
          </w:p>
          <w:p w:rsidR="000A156F" w:rsidRDefault="00A9721F">
            <w:pPr>
              <w:pStyle w:val="Code"/>
            </w:pPr>
            <w:r>
              <w:t>&lt;property fmtid="{D5CDD505-2E9C-101B-9397-08002B2CF9AE}" pid="2" name="_SharedFileIndex"&gt;</w:t>
            </w:r>
          </w:p>
          <w:p w:rsidR="000A156F" w:rsidRDefault="00A9721F">
            <w:pPr>
              <w:pStyle w:val="Code"/>
            </w:pPr>
            <w:r>
              <w:t xml:space="preserve">  &lt;vt:lpwstr&gt;0000020000000000{E9AB9F47-8925-4F17-A0B3-A8E86720E301}</w:t>
            </w:r>
          </w:p>
          <w:p w:rsidR="000A156F" w:rsidRDefault="00A9721F">
            <w:pPr>
              <w:pStyle w:val="Code"/>
            </w:pPr>
            <w:r>
              <w:t>http://www.contoso.com/documentschemas/schemaexamples/</w:t>
            </w:r>
          </w:p>
          <w:p w:rsidR="000A156F" w:rsidRDefault="00A9721F">
            <w:pPr>
              <w:pStyle w:val="Code"/>
            </w:pPr>
            <w:r>
              <w:t>documentworkspaces/documents/shareddocuments/</w:t>
            </w:r>
          </w:p>
          <w:p w:rsidR="000A156F" w:rsidRDefault="00A9721F">
            <w:pPr>
              <w:pStyle w:val="Code"/>
            </w:pPr>
            <w:r>
              <w:t>collaboration/customfileproperties/serverproperties/</w:t>
            </w:r>
          </w:p>
          <w:p w:rsidR="000A156F" w:rsidRDefault="00A9721F">
            <w:pPr>
              <w:pStyle w:val="Code"/>
            </w:pPr>
            <w:r>
              <w:t>DocumentWithAReallyReallyLongName</w:t>
            </w:r>
          </w:p>
          <w:p w:rsidR="000A156F" w:rsidRDefault="00A9721F">
            <w:pPr>
              <w:pStyle w:val="Code"/>
            </w:pPr>
            <w:r>
              <w:t>AndAReallyReallyL&lt;/vt:lpwstr&gt;</w:t>
            </w:r>
          </w:p>
          <w:p w:rsidR="000A156F" w:rsidRDefault="00A9721F">
            <w:pPr>
              <w:pStyle w:val="Code"/>
            </w:pPr>
            <w:r>
              <w:t>&lt;/property&gt;</w:t>
            </w:r>
          </w:p>
          <w:p w:rsidR="000A156F" w:rsidRDefault="00A9721F">
            <w:pPr>
              <w:pStyle w:val="Code"/>
            </w:pPr>
            <w:r>
              <w:t>&lt;property fmtid="{D5CDD505</w:t>
            </w:r>
            <w:r>
              <w:t>-2E9C-101B-9397-08002B2CF9AE}"</w:t>
            </w:r>
          </w:p>
          <w:p w:rsidR="000A156F" w:rsidRDefault="00A9721F">
            <w:pPr>
              <w:pStyle w:val="Code"/>
            </w:pPr>
            <w:r>
              <w:t xml:space="preserve"> pid="3" name="_SharedFileIndex1"&gt;</w:t>
            </w:r>
          </w:p>
          <w:p w:rsidR="000A156F" w:rsidRDefault="00A9721F">
            <w:pPr>
              <w:pStyle w:val="Code"/>
            </w:pPr>
            <w:r>
              <w:t xml:space="preserve">  &lt;vt:lpwstr&gt;</w:t>
            </w:r>
          </w:p>
          <w:p w:rsidR="000A156F" w:rsidRDefault="00A9721F">
            <w:pPr>
              <w:pStyle w:val="Code"/>
            </w:pPr>
            <w:r>
              <w:t>ongServerLocationWhichRequiresSegmentationOfTheShared</w:t>
            </w:r>
          </w:p>
          <w:p w:rsidR="000A156F" w:rsidRDefault="00A9721F">
            <w:pPr>
              <w:pStyle w:val="Code"/>
            </w:pPr>
            <w:r>
              <w:t>FileIndexProperty.docx&lt;/vt:lpwstr&gt;</w:t>
            </w:r>
          </w:p>
          <w:p w:rsidR="000A156F" w:rsidRDefault="00A9721F">
            <w:pPr>
              <w:pStyle w:val="Code"/>
            </w:pPr>
            <w:r>
              <w:t>&lt;/property&gt;</w:t>
            </w:r>
          </w:p>
          <w:p w:rsidR="000A156F" w:rsidRDefault="000A156F">
            <w:pPr>
              <w:pStyle w:val="TableBodyText"/>
            </w:pPr>
          </w:p>
          <w:p w:rsidR="000A156F" w:rsidRDefault="00A9721F">
            <w:pPr>
              <w:pStyle w:val="TableBodyText"/>
            </w:pPr>
            <w:r>
              <w:t>end example]</w:t>
            </w:r>
          </w:p>
        </w:tc>
      </w:tr>
    </w:tbl>
    <w:p w:rsidR="000A156F" w:rsidRDefault="000A156F"/>
    <w:p w:rsidR="000A156F" w:rsidRDefault="00A9721F">
      <w:pPr>
        <w:pStyle w:val="Definition-Field"/>
      </w:pPr>
      <w:r>
        <w:lastRenderedPageBreak/>
        <w:t xml:space="preserve">c.   </w:t>
      </w:r>
      <w:r>
        <w:rPr>
          <w:i/>
        </w:rPr>
        <w:t>The standard does not define any custom document prope</w:t>
      </w:r>
      <w:r>
        <w:rPr>
          <w:i/>
        </w:rPr>
        <w:t>rties used to convey input parameters for a SpreadsheetML document.</w:t>
      </w:r>
    </w:p>
    <w:p w:rsidR="000A156F" w:rsidRDefault="00A9721F">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PROP_MULTVAL_ParameterName</w:t>
            </w:r>
          </w:p>
        </w:tc>
        <w:tc>
          <w:tcPr>
            <w:tcW w:w="0" w:type="auto"/>
            <w:vAlign w:val="center"/>
          </w:tcPr>
          <w:p w:rsidR="000A156F" w:rsidRDefault="00A9721F">
            <w:pPr>
              <w:pStyle w:val="TableBodyText"/>
            </w:pPr>
            <w:r>
              <w:t xml:space="preserve">A custom property with this name specifies a filter parameter, </w:t>
            </w:r>
            <w:r>
              <w:t>where ParameterName is a name given by the user.</w:t>
            </w:r>
          </w:p>
        </w:tc>
      </w:tr>
      <w:tr w:rsidR="000A156F" w:rsidTr="000A156F">
        <w:tc>
          <w:tcPr>
            <w:tcW w:w="0" w:type="auto"/>
            <w:vAlign w:val="center"/>
          </w:tcPr>
          <w:p w:rsidR="000A156F" w:rsidRDefault="00A9721F">
            <w:pPr>
              <w:pStyle w:val="TableBodyText"/>
            </w:pPr>
            <w:r>
              <w:rPr>
                <w:i/>
              </w:rPr>
              <w:t>PROP_ParameterName</w:t>
            </w:r>
          </w:p>
        </w:tc>
        <w:tc>
          <w:tcPr>
            <w:tcW w:w="0" w:type="auto"/>
            <w:vAlign w:val="center"/>
          </w:tcPr>
          <w:p w:rsidR="000A156F" w:rsidRDefault="00A9721F">
            <w:pPr>
              <w:pStyle w:val="TableBodyText"/>
            </w:pPr>
            <w:r>
              <w:t>A custom property with this name specifies a parameter, where ParameterName is a name given by the user.</w:t>
            </w:r>
          </w:p>
        </w:tc>
      </w:tr>
    </w:tbl>
    <w:p w:rsidR="000A156F" w:rsidRDefault="000A156F"/>
    <w:p w:rsidR="000A156F" w:rsidRDefault="00A9721F">
      <w:pPr>
        <w:pStyle w:val="Definition-Field"/>
      </w:pPr>
      <w:r>
        <w:t xml:space="preserve">d.   </w:t>
      </w:r>
      <w:r>
        <w:rPr>
          <w:i/>
        </w:rPr>
        <w:t>The standard lists 21 variant types as possible child elements.</w:t>
      </w:r>
    </w:p>
    <w:p w:rsidR="000A156F" w:rsidRDefault="00A9721F">
      <w:r>
        <w:t>Office only</w:t>
      </w:r>
      <w:r>
        <w:t xml:space="preserve">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{D5CDD505-2E9C-101B-9397-08002B2CF9AE}.</w:t>
      </w:r>
    </w:p>
    <w:p w:rsidR="000A156F" w:rsidRDefault="00A9721F">
      <w:pPr>
        <w:pStyle w:val="Definition-Field"/>
      </w:pPr>
      <w:r>
        <w:t xml:space="preserve">e.   </w:t>
      </w:r>
      <w:r>
        <w:rPr>
          <w:i/>
        </w:rPr>
        <w:t>The standard states that the values of the pid attribute are defined by the XML Sc</w:t>
      </w:r>
      <w:r>
        <w:rPr>
          <w:i/>
        </w:rPr>
        <w:t>hema int datatype.</w:t>
      </w:r>
    </w:p>
    <w:p w:rsidR="000A156F" w:rsidRDefault="00A9721F">
      <w:pPr>
        <w:pStyle w:val="Definition-Field2"/>
      </w:pPr>
      <w:r>
        <w:t>Office restricts the value of this attribute to be at least 2.</w:t>
      </w:r>
    </w:p>
    <w:p w:rsidR="000A156F" w:rsidRDefault="00A9721F">
      <w:pPr>
        <w:pStyle w:val="Definition-Field"/>
      </w:pPr>
      <w:r>
        <w:t xml:space="preserve">f.   </w:t>
      </w:r>
      <w:r>
        <w:rPr>
          <w:i/>
        </w:rPr>
        <w:t>The standard does not document any restrictions on the FmtId attribute.</w:t>
      </w:r>
    </w:p>
    <w:p w:rsidR="000A156F" w:rsidRDefault="00A9721F">
      <w:r>
        <w:t>The following GUIDs shall not be used in a custom property.</w:t>
      </w:r>
    </w:p>
    <w:p w:rsidR="000A156F" w:rsidRDefault="00A9721F">
      <w:r>
        <w:rPr>
          <w:b/>
          <w:i/>
        </w:rPr>
        <w:t>Summary Information</w:t>
      </w:r>
    </w:p>
    <w:p w:rsidR="000A156F" w:rsidRDefault="00A9721F">
      <w:r>
        <w:rPr>
          <w:i/>
        </w:rPr>
        <w:t>{f29f85e0-4ff9-1068-ab91-08002b27b3d9}</w:t>
      </w:r>
    </w:p>
    <w:p w:rsidR="000A156F" w:rsidRDefault="00A9721F">
      <w:r>
        <w:rPr>
          <w:b/>
          <w:i/>
        </w:rPr>
        <w:t>Document Summary Information</w:t>
      </w:r>
    </w:p>
    <w:p w:rsidR="000A156F" w:rsidRDefault="00A9721F">
      <w:r>
        <w:rPr>
          <w:i/>
        </w:rPr>
        <w:t>{d5cdd502-2e9c-101b-9397-08002b2cf9ae}</w:t>
      </w:r>
    </w:p>
    <w:p w:rsidR="000A156F" w:rsidRDefault="00A9721F">
      <w:pPr>
        <w:pStyle w:val="Definition-Field"/>
      </w:pPr>
      <w:r>
        <w:t xml:space="preserve">g.   </w:t>
      </w:r>
      <w:r>
        <w:rPr>
          <w:i/>
        </w:rPr>
        <w:t>The standard specifies that the name attribute is defined by the XML Schema string datatype.</w:t>
      </w:r>
    </w:p>
    <w:p w:rsidR="000A156F" w:rsidRDefault="00A9721F">
      <w:pPr>
        <w:pStyle w:val="Definition-Field2"/>
      </w:pPr>
      <w:r>
        <w:t xml:space="preserve">Office requires that the name attribute be a </w:t>
      </w:r>
      <w:r>
        <w:t>case-insensitive unique name.</w:t>
      </w:r>
    </w:p>
    <w:p w:rsidR="000A156F" w:rsidRDefault="00A9721F">
      <w:pPr>
        <w:pStyle w:val="Heading3"/>
      </w:pPr>
      <w:bookmarkStart w:id="3471" w:name="section_9fcc6242217f4882b52a7907a0ba0aaa"/>
      <w:bookmarkStart w:id="3472" w:name="_Toc181684761"/>
      <w:r>
        <w:t>Part 1 Section 22.4.2.1, array (Array)</w:t>
      </w:r>
      <w:bookmarkEnd w:id="3471"/>
      <w:bookmarkEnd w:id="3472"/>
      <w:r>
        <w:fldChar w:fldCharType="begin"/>
      </w:r>
      <w:r>
        <w:instrText xml:space="preserve"> XE "array (Array)" </w:instrText>
      </w:r>
      <w:r>
        <w:fldChar w:fldCharType="end"/>
      </w:r>
    </w:p>
    <w:p w:rsidR="000A156F" w:rsidRDefault="00A9721F">
      <w:pPr>
        <w:pStyle w:val="Definition-Field"/>
      </w:pPr>
      <w:r>
        <w:t xml:space="preserve">a.   </w:t>
      </w:r>
      <w:r>
        <w:rPr>
          <w:i/>
        </w:rPr>
        <w:t>The standard states that the values of the lbound attribute are defined by the XML Schema int datatype.</w:t>
      </w:r>
    </w:p>
    <w:p w:rsidR="000A156F" w:rsidRDefault="00A9721F">
      <w:pPr>
        <w:pStyle w:val="Definition-Field2"/>
      </w:pPr>
      <w:r>
        <w:t>Office defines the values of this attribute to be a coll</w:t>
      </w:r>
      <w:r>
        <w:t>ection in the format #, #, # ... #, where each # represents an integer and the attribute’s value matches the regular expression pattern \s*[\+\-]?[0-9]+\s*(\,\s*[\+\-]?[0-9]+\s*)*.</w:t>
      </w:r>
    </w:p>
    <w:p w:rsidR="000A156F" w:rsidRDefault="00A9721F">
      <w:pPr>
        <w:pStyle w:val="Definition-Field"/>
      </w:pPr>
      <w:r>
        <w:t xml:space="preserve">b.   </w:t>
      </w:r>
      <w:r>
        <w:rPr>
          <w:i/>
        </w:rPr>
        <w:t>The standard states that the values of the ubound attribute are define</w:t>
      </w:r>
      <w:r>
        <w:rPr>
          <w:i/>
        </w:rPr>
        <w:t>d by the XML Schema int datatype.</w:t>
      </w:r>
    </w:p>
    <w:p w:rsidR="000A156F" w:rsidRDefault="00A9721F">
      <w:pPr>
        <w:pStyle w:val="Definition-Field2"/>
      </w:pPr>
      <w:r>
        <w:t>Office defines the values of this attribute to be a collection in the format #, #, # ... #, where each # represents an integer and the attribute’s value matches the regular expression pattern \s*[\+\-]?[0-9]+\s*(\,\s*[\+\-</w:t>
      </w:r>
      <w:r>
        <w:t>]?[0-9]+\s*)*.</w:t>
      </w:r>
    </w:p>
    <w:p w:rsidR="000A156F" w:rsidRDefault="00A9721F">
      <w:pPr>
        <w:pStyle w:val="Heading3"/>
      </w:pPr>
      <w:bookmarkStart w:id="3473" w:name="section_b8e078b34b5c4f0db94ffb4bb16bf5a8"/>
      <w:bookmarkStart w:id="3474" w:name="_Toc181684762"/>
      <w:r>
        <w:t>Part 1 Section 22.4.2.5, clsid (Class ID)</w:t>
      </w:r>
      <w:bookmarkEnd w:id="3473"/>
      <w:bookmarkEnd w:id="3474"/>
      <w:r>
        <w:fldChar w:fldCharType="begin"/>
      </w:r>
      <w:r>
        <w:instrText xml:space="preserve"> XE "clsid (Class ID)" </w:instrText>
      </w:r>
      <w:r>
        <w:fldChar w:fldCharType="end"/>
      </w:r>
    </w:p>
    <w:p w:rsidR="000A156F" w:rsidRDefault="00A9721F">
      <w:pPr>
        <w:pStyle w:val="Definition-Field"/>
      </w:pPr>
      <w:r>
        <w:t xml:space="preserve">a.   </w:t>
      </w:r>
      <w:r>
        <w:rPr>
          <w:i/>
        </w:rPr>
        <w:t>The standard permits leading or trailing white spaces in the pattern of the simple type.</w:t>
      </w:r>
    </w:p>
    <w:p w:rsidR="000A156F" w:rsidRDefault="00A9721F">
      <w:pPr>
        <w:pStyle w:val="Definition-Field2"/>
      </w:pPr>
      <w:r>
        <w:lastRenderedPageBreak/>
        <w:t>Office does not permit leading or trailing white spaces.</w:t>
      </w:r>
    </w:p>
    <w:p w:rsidR="000A156F" w:rsidRDefault="00A9721F">
      <w:pPr>
        <w:pStyle w:val="Heading3"/>
      </w:pPr>
      <w:bookmarkStart w:id="3475" w:name="section_8e9fc0381cf24482b0cc8d2158d56d9e"/>
      <w:bookmarkStart w:id="3476" w:name="_Toc181684763"/>
      <w:r>
        <w:t>Part 1 Section 22.4.2.7</w:t>
      </w:r>
      <w:r>
        <w:t>, date (Date and Time)</w:t>
      </w:r>
      <w:bookmarkEnd w:id="3475"/>
      <w:bookmarkEnd w:id="3476"/>
      <w:r>
        <w:fldChar w:fldCharType="begin"/>
      </w:r>
      <w:r>
        <w:instrText xml:space="preserve"> XE "date (Date and Time)" </w:instrText>
      </w:r>
      <w:r>
        <w:fldChar w:fldCharType="end"/>
      </w:r>
    </w:p>
    <w:p w:rsidR="000A156F" w:rsidRDefault="00A9721F">
      <w:pPr>
        <w:pStyle w:val="Definition-Field"/>
      </w:pPr>
      <w:r>
        <w:t xml:space="preserve">a.   </w:t>
      </w:r>
      <w:r>
        <w:rPr>
          <w:i/>
        </w:rPr>
        <w:t>The standard states that the date element is compliant with RFC 3339.</w:t>
      </w:r>
    </w:p>
    <w:p w:rsidR="000A156F" w:rsidRDefault="00A9721F">
      <w:pPr>
        <w:pStyle w:val="Definition-Field2"/>
      </w:pPr>
      <w:r>
        <w:t xml:space="preserve">Office is compliant with </w:t>
      </w:r>
      <w:hyperlink r:id="rId228">
        <w:r>
          <w:rPr>
            <w:rStyle w:val="Hyperlink"/>
          </w:rPr>
          <w:t>[ISO-8601]</w:t>
        </w:r>
      </w:hyperlink>
      <w:r>
        <w:t xml:space="preserve"> for the XML schema date-time</w:t>
      </w:r>
      <w:r>
        <w:t>.</w:t>
      </w:r>
    </w:p>
    <w:p w:rsidR="000A156F" w:rsidRDefault="00A9721F">
      <w:pPr>
        <w:pStyle w:val="Heading3"/>
      </w:pPr>
      <w:bookmarkStart w:id="3477" w:name="section_50a9e454253c4156b3699b29fe34570d"/>
      <w:bookmarkStart w:id="3478" w:name="_Toc181684764"/>
      <w:r>
        <w:t>Part 1 Section 22.4.2.11, filetime (File Time)</w:t>
      </w:r>
      <w:bookmarkEnd w:id="3477"/>
      <w:bookmarkEnd w:id="3478"/>
      <w:r>
        <w:fldChar w:fldCharType="begin"/>
      </w:r>
      <w:r>
        <w:instrText xml:space="preserve"> XE "filetime (File Time)" </w:instrText>
      </w:r>
      <w:r>
        <w:fldChar w:fldCharType="end"/>
      </w:r>
    </w:p>
    <w:p w:rsidR="000A156F" w:rsidRDefault="00A9721F">
      <w:pPr>
        <w:pStyle w:val="Definition-Field"/>
      </w:pPr>
      <w:r>
        <w:t xml:space="preserve">a.   </w:t>
      </w:r>
      <w:r>
        <w:rPr>
          <w:i/>
        </w:rPr>
        <w:t>The standard refers to the filetime format as RFC3339.</w:t>
      </w:r>
    </w:p>
    <w:p w:rsidR="000A156F" w:rsidRDefault="00A9721F">
      <w:pPr>
        <w:pStyle w:val="Definition-Field2"/>
      </w:pPr>
      <w:r>
        <w:t xml:space="preserve">Office is compliant with </w:t>
      </w:r>
      <w:hyperlink r:id="rId229">
        <w:r>
          <w:rPr>
            <w:rStyle w:val="Hyperlink"/>
          </w:rPr>
          <w:t>[ISO-8601]</w:t>
        </w:r>
      </w:hyperlink>
      <w:r>
        <w:t xml:space="preserve"> for the XML schem</w:t>
      </w:r>
      <w:r>
        <w:t>a date-time.</w:t>
      </w:r>
    </w:p>
    <w:p w:rsidR="000A156F" w:rsidRDefault="00A9721F">
      <w:pPr>
        <w:pStyle w:val="Heading3"/>
      </w:pPr>
      <w:bookmarkStart w:id="3479" w:name="section_f9791871899f4d5e8b7004333779d5a6"/>
      <w:bookmarkStart w:id="3480" w:name="_Toc181684765"/>
      <w:r>
        <w:t>Part 1 Section 22.4.2.19, null (Null)</w:t>
      </w:r>
      <w:bookmarkEnd w:id="3479"/>
      <w:bookmarkEnd w:id="3480"/>
      <w:r>
        <w:fldChar w:fldCharType="begin"/>
      </w:r>
      <w:r>
        <w:instrText xml:space="preserve"> XE "null (Null)" </w:instrText>
      </w:r>
      <w:r>
        <w:fldChar w:fldCharType="end"/>
      </w:r>
    </w:p>
    <w:p w:rsidR="000A156F" w:rsidRDefault="00A9721F">
      <w:pPr>
        <w:pStyle w:val="Definition-Field"/>
      </w:pPr>
      <w:r>
        <w:t xml:space="preserve">a.   </w:t>
      </w:r>
      <w:r>
        <w:rPr>
          <w:i/>
        </w:rPr>
        <w:t>The standard requires an empty-element tag.</w:t>
      </w:r>
    </w:p>
    <w:p w:rsidR="000A156F" w:rsidRDefault="00A9721F">
      <w:pPr>
        <w:pStyle w:val="Definition-Field2"/>
      </w:pPr>
      <w:r>
        <w:t>Office writes a start-element and end-element with white space content.</w:t>
      </w:r>
    </w:p>
    <w:p w:rsidR="000A156F" w:rsidRDefault="00A9721F">
      <w:pPr>
        <w:pStyle w:val="Heading3"/>
      </w:pPr>
      <w:bookmarkStart w:id="3481" w:name="section_c82f70414e024b7e9df60a29258a6a7e"/>
      <w:bookmarkStart w:id="3482" w:name="_Toc181684766"/>
      <w:r>
        <w:t>Part 1 Section 22.4.2.21, ostorage (Binary Storage Object)</w:t>
      </w:r>
      <w:bookmarkEnd w:id="3481"/>
      <w:bookmarkEnd w:id="3482"/>
      <w:r>
        <w:fldChar w:fldCharType="begin"/>
      </w:r>
      <w:r>
        <w:instrText xml:space="preserve"> XE "o</w:instrText>
      </w:r>
      <w:r>
        <w:instrText xml:space="preserve">storage (Binary Storage Object)" </w:instrText>
      </w:r>
      <w:r>
        <w:fldChar w:fldCharType="end"/>
      </w:r>
    </w:p>
    <w:p w:rsidR="000A156F" w:rsidRDefault="00A9721F">
      <w:pPr>
        <w:pStyle w:val="Definition-Field"/>
      </w:pPr>
      <w:r>
        <w:t xml:space="preserve">a.   </w:t>
      </w:r>
      <w:r>
        <w:rPr>
          <w:i/>
        </w:rPr>
        <w:t>The standard specifies that files are permitted to contain an ostorage tag.</w:t>
      </w:r>
    </w:p>
    <w:p w:rsidR="000A156F" w:rsidRDefault="00A9721F">
      <w:pPr>
        <w:pStyle w:val="Definition-Field2"/>
      </w:pPr>
      <w:r>
        <w:t>In Office, the base64binary data contained in the ostorage element must be a compound doc as specified in the Compound File Binary File For</w:t>
      </w:r>
      <w:r>
        <w:t xml:space="preserve">mat Specification </w:t>
      </w:r>
      <w:hyperlink r:id="rId230" w:anchor="Section_53989ce47b054f8d829bd08d6148375b">
        <w:r>
          <w:rPr>
            <w:rStyle w:val="Hyperlink"/>
          </w:rPr>
          <w:t>[MS-CFB]</w:t>
        </w:r>
      </w:hyperlink>
      <w:r>
        <w:t>.</w:t>
      </w:r>
    </w:p>
    <w:p w:rsidR="000A156F" w:rsidRDefault="00A9721F">
      <w:pPr>
        <w:pStyle w:val="Heading3"/>
      </w:pPr>
      <w:bookmarkStart w:id="3483" w:name="section_8b3cd82f24e0482d9cdf4cd8224ce6d4"/>
      <w:bookmarkStart w:id="3484" w:name="_Toc181684767"/>
      <w:r>
        <w:t>Part 1 Section 22.4.2.25, storage (Binary Storage)</w:t>
      </w:r>
      <w:bookmarkEnd w:id="3483"/>
      <w:bookmarkEnd w:id="3484"/>
      <w:r>
        <w:fldChar w:fldCharType="begin"/>
      </w:r>
      <w:r>
        <w:instrText xml:space="preserve"> XE "storage (Binary Storage)" </w:instrText>
      </w:r>
      <w:r>
        <w:fldChar w:fldCharType="end"/>
      </w:r>
    </w:p>
    <w:p w:rsidR="000A156F" w:rsidRDefault="00A9721F">
      <w:pPr>
        <w:pStyle w:val="Definition-Field"/>
      </w:pPr>
      <w:r>
        <w:t xml:space="preserve">a.   </w:t>
      </w:r>
      <w:r>
        <w:rPr>
          <w:i/>
        </w:rPr>
        <w:t>The standard specifies that files are permitted to contain st</w:t>
      </w:r>
      <w:r>
        <w:rPr>
          <w:i/>
        </w:rPr>
        <w:t>orage tags.</w:t>
      </w:r>
    </w:p>
    <w:p w:rsidR="000A156F" w:rsidRDefault="00A9721F">
      <w:pPr>
        <w:pStyle w:val="Definition-Field2"/>
      </w:pPr>
      <w:r>
        <w:t xml:space="preserve">In Office, the base64binary data contained in the storage element must be a compound doc as specified in the Compound File Binary File Format Specification </w:t>
      </w:r>
      <w:hyperlink r:id="rId231" w:anchor="Section_53989ce47b054f8d829bd08d6148375b">
        <w:r>
          <w:rPr>
            <w:rStyle w:val="Hyperlink"/>
          </w:rPr>
          <w:t>[MS-CFB]</w:t>
        </w:r>
      </w:hyperlink>
      <w:r>
        <w:t>.</w:t>
      </w:r>
    </w:p>
    <w:p w:rsidR="000A156F" w:rsidRDefault="00A9721F">
      <w:pPr>
        <w:pStyle w:val="Heading3"/>
      </w:pPr>
      <w:bookmarkStart w:id="3485" w:name="section_8e4340b124c84f1c8e03b3eaeaafb07e"/>
      <w:bookmarkStart w:id="3486" w:name="_Toc181684768"/>
      <w:r>
        <w:t>Part 1 Section 22.4.2.34, vstream (Binary Versioned Stream)</w:t>
      </w:r>
      <w:bookmarkEnd w:id="3485"/>
      <w:bookmarkEnd w:id="3486"/>
      <w:r>
        <w:fldChar w:fldCharType="begin"/>
      </w:r>
      <w:r>
        <w:instrText xml:space="preserve"> XE "vstream (Binary Versioned Stream)" </w:instrText>
      </w:r>
      <w:r>
        <w:fldChar w:fldCharType="end"/>
      </w:r>
    </w:p>
    <w:p w:rsidR="000A156F" w:rsidRDefault="00A9721F">
      <w:pPr>
        <w:pStyle w:val="Definition-Field"/>
      </w:pPr>
      <w:r>
        <w:t xml:space="preserve">a.   </w:t>
      </w:r>
      <w:r>
        <w:rPr>
          <w:i/>
        </w:rPr>
        <w:t>The standard implies that the version attribute is optional.</w:t>
      </w:r>
    </w:p>
    <w:p w:rsidR="000A156F" w:rsidRDefault="00A9721F">
      <w:pPr>
        <w:pStyle w:val="Definition-Field2"/>
      </w:pPr>
      <w:r>
        <w:t>Office requires this attribute.</w:t>
      </w:r>
    </w:p>
    <w:p w:rsidR="000A156F" w:rsidRDefault="00A9721F">
      <w:pPr>
        <w:pStyle w:val="Heading3"/>
      </w:pPr>
      <w:bookmarkStart w:id="3487" w:name="section_25a50330009d494596a27947fce8e286"/>
      <w:bookmarkStart w:id="3488" w:name="_Toc181684769"/>
      <w:r>
        <w:t>Part 1 Section 22.4.3.3, ST_Error (Error Status Code Simple Type)</w:t>
      </w:r>
      <w:bookmarkEnd w:id="3487"/>
      <w:bookmarkEnd w:id="3488"/>
      <w:r>
        <w:fldChar w:fldCharType="begin"/>
      </w:r>
      <w:r>
        <w:instrText xml:space="preserve"> XE "ST_Error (Error Status Code Simple Type)" </w:instrText>
      </w:r>
      <w:r>
        <w:fldChar w:fldCharType="end"/>
      </w:r>
    </w:p>
    <w:p w:rsidR="000A156F" w:rsidRDefault="00A9721F">
      <w:pPr>
        <w:pStyle w:val="Definition-Field"/>
      </w:pPr>
      <w:r>
        <w:t xml:space="preserve">a.   </w:t>
      </w:r>
      <w:r>
        <w:rPr>
          <w:i/>
        </w:rPr>
        <w:t>The standard allows letters A-Z as hexadecimal digits.</w:t>
      </w:r>
    </w:p>
    <w:p w:rsidR="000A156F" w:rsidRDefault="00A9721F">
      <w:pPr>
        <w:pStyle w:val="Definition-Field2"/>
      </w:pPr>
      <w:r>
        <w:t>Office only permits the letters A-F as hexadecimal digits.</w:t>
      </w:r>
    </w:p>
    <w:p w:rsidR="000A156F" w:rsidRDefault="00A9721F">
      <w:pPr>
        <w:pStyle w:val="Definition-Field"/>
      </w:pPr>
      <w:r>
        <w:t xml:space="preserve">b.   </w:t>
      </w:r>
      <w:r>
        <w:rPr>
          <w:i/>
        </w:rPr>
        <w:t xml:space="preserve">The standard </w:t>
      </w:r>
      <w:r>
        <w:rPr>
          <w:i/>
        </w:rPr>
        <w:t>permits white space characters.</w:t>
      </w:r>
    </w:p>
    <w:p w:rsidR="000A156F" w:rsidRDefault="00A9721F">
      <w:pPr>
        <w:pStyle w:val="Definition-Field2"/>
      </w:pPr>
      <w:r>
        <w:t>Office does not allow white space characters.</w:t>
      </w:r>
    </w:p>
    <w:p w:rsidR="000A156F" w:rsidRDefault="00A9721F">
      <w:pPr>
        <w:pStyle w:val="Heading3"/>
      </w:pPr>
      <w:bookmarkStart w:id="3489" w:name="section_d28cd33776744dc087ae1050611b4c38"/>
      <w:bookmarkStart w:id="3490" w:name="_Toc181684770"/>
      <w:r>
        <w:t>Part 1 Section 22.6.2.4, Author (Contributors List)</w:t>
      </w:r>
      <w:bookmarkEnd w:id="3489"/>
      <w:bookmarkEnd w:id="3490"/>
      <w:r>
        <w:fldChar w:fldCharType="begin"/>
      </w:r>
      <w:r>
        <w:instrText xml:space="preserve"> XE "Author (Contributors List)" </w:instrText>
      </w:r>
      <w:r>
        <w:fldChar w:fldCharType="end"/>
      </w:r>
    </w:p>
    <w:p w:rsidR="000A156F" w:rsidRDefault="00A9721F">
      <w:pPr>
        <w:pStyle w:val="Definition-Field"/>
      </w:pPr>
      <w:r>
        <w:t xml:space="preserve">a.   </w:t>
      </w:r>
      <w:r>
        <w:rPr>
          <w:i/>
        </w:rPr>
        <w:t xml:space="preserve">The standard states that this element can contain any number of child elements in any </w:t>
      </w:r>
      <w:r>
        <w:rPr>
          <w:i/>
        </w:rPr>
        <w:t>order.</w:t>
      </w:r>
    </w:p>
    <w:p w:rsidR="000A156F" w:rsidRDefault="00A9721F">
      <w:pPr>
        <w:pStyle w:val="Definition-Field2"/>
      </w:pPr>
      <w:r>
        <w:t>Word only allows a single instance, the first instance in document order, of each child element; the elements, when present, must be in the order specified in the schema.</w:t>
      </w:r>
    </w:p>
    <w:p w:rsidR="000A156F" w:rsidRDefault="00A9721F">
      <w:pPr>
        <w:pStyle w:val="Heading3"/>
      </w:pPr>
      <w:bookmarkStart w:id="3491" w:name="section_309a71616dc747118a12d15a81e9214b"/>
      <w:bookmarkStart w:id="3492" w:name="_Toc181684771"/>
      <w:r>
        <w:lastRenderedPageBreak/>
        <w:t>Part 1 Section 22.6.2.30, Guid (GUID)</w:t>
      </w:r>
      <w:bookmarkEnd w:id="3491"/>
      <w:bookmarkEnd w:id="3492"/>
      <w:r>
        <w:fldChar w:fldCharType="begin"/>
      </w:r>
      <w:r>
        <w:instrText xml:space="preserve"> XE "Guid (GUID)" </w:instrText>
      </w:r>
      <w:r>
        <w:fldChar w:fldCharType="end"/>
      </w:r>
    </w:p>
    <w:p w:rsidR="000A156F" w:rsidRDefault="00A9721F">
      <w:pPr>
        <w:pStyle w:val="Definition-Field"/>
      </w:pPr>
      <w:r>
        <w:t xml:space="preserve">a.   </w:t>
      </w:r>
      <w:r>
        <w:rPr>
          <w:i/>
        </w:rPr>
        <w:t>The standard st</w:t>
      </w:r>
      <w:r>
        <w:rPr>
          <w:i/>
        </w:rPr>
        <w:t>ates that this element is a unique identifier for the source.</w:t>
      </w:r>
    </w:p>
    <w:p w:rsidR="000A156F" w:rsidRDefault="00A9721F">
      <w:r>
        <w:t>When copying a source entry from a source document to a destination document, Word checks to see if the destination document has an entry with the same tag ("</w:t>
      </w:r>
      <w:hyperlink r:id="rId232">
        <w:r>
          <w:rPr>
            <w:rStyle w:val="Hyperlink"/>
          </w:rPr>
          <w:t>[ISO/IEC-29500-1]</w:t>
        </w:r>
      </w:hyperlink>
      <w:r>
        <w:t xml:space="preserve"> §22.6.2.65; Tag") as the entry being copied. If a match is found, Word then compares the GUID of the matching entry in the destination document with that of the entry being copied. If the GUIDs are identical,</w:t>
      </w:r>
      <w:r>
        <w:t xml:space="preserve"> or if the destination document has an entry with the same GUID as the entry being copied, Word assumes the source entry to be already present in the destination document and no new entry is created.</w:t>
      </w:r>
    </w:p>
    <w:p w:rsidR="000A156F" w:rsidRDefault="00A9721F">
      <w:pPr>
        <w:pStyle w:val="Heading3"/>
      </w:pPr>
      <w:bookmarkStart w:id="3493" w:name="section_63ae8c94327f45afaafd773999103ec5"/>
      <w:bookmarkStart w:id="3494" w:name="_Toc181684772"/>
      <w:r>
        <w:t>Part 1 Section 22.6.2.39, LCID (Locale ID)</w:t>
      </w:r>
      <w:bookmarkEnd w:id="3493"/>
      <w:bookmarkEnd w:id="3494"/>
      <w:r>
        <w:fldChar w:fldCharType="begin"/>
      </w:r>
      <w:r>
        <w:instrText xml:space="preserve"> XE "LCID (Loc</w:instrText>
      </w:r>
      <w:r>
        <w:instrText xml:space="preserve">ale ID)" </w:instrText>
      </w:r>
      <w:r>
        <w:fldChar w:fldCharType="end"/>
      </w:r>
    </w:p>
    <w:p w:rsidR="000A156F" w:rsidRDefault="00A9721F">
      <w:pPr>
        <w:pStyle w:val="Definition-Field"/>
      </w:pPr>
      <w:r>
        <w:t xml:space="preserve">a.   </w:t>
      </w:r>
      <w:r>
        <w:rPr>
          <w:i/>
        </w:rPr>
        <w:t>The standard says LCID represents the source's language.</w:t>
      </w:r>
    </w:p>
    <w:p w:rsidR="000A156F" w:rsidRDefault="00A9721F">
      <w:pPr>
        <w:pStyle w:val="Definition-Field2"/>
      </w:pPr>
      <w:r>
        <w:t>Word uses LCID as the language to format the source when the documentation style in use has language-dependent variability.</w:t>
      </w:r>
    </w:p>
    <w:p w:rsidR="000A156F" w:rsidRDefault="00A9721F">
      <w:pPr>
        <w:pStyle w:val="Heading3"/>
      </w:pPr>
      <w:bookmarkStart w:id="3495" w:name="section_c631f4afc4c64edd9bc0608602943ea2"/>
      <w:bookmarkStart w:id="3496" w:name="_Toc181684773"/>
      <w:r>
        <w:t>Part 1 Section 22.6.2.50, Person (Person)</w:t>
      </w:r>
      <w:bookmarkEnd w:id="3495"/>
      <w:bookmarkEnd w:id="3496"/>
      <w:r>
        <w:fldChar w:fldCharType="begin"/>
      </w:r>
      <w:r>
        <w:instrText xml:space="preserve"> XE "Person (Pers</w:instrText>
      </w:r>
      <w:r>
        <w:instrText xml:space="preserve">on)" </w:instrText>
      </w:r>
      <w:r>
        <w:fldChar w:fldCharType="end"/>
      </w:r>
    </w:p>
    <w:p w:rsidR="000A156F" w:rsidRDefault="00A9721F">
      <w:pPr>
        <w:pStyle w:val="Definition-Field"/>
      </w:pPr>
      <w:r>
        <w:t xml:space="preserve">a.   </w:t>
      </w:r>
      <w:r>
        <w:rPr>
          <w:i/>
        </w:rPr>
        <w:t>The standard states that the person element can contain any number of each of its child elements.</w:t>
      </w:r>
    </w:p>
    <w:p w:rsidR="000A156F" w:rsidRDefault="00A9721F">
      <w:pPr>
        <w:pStyle w:val="Definition-Field2"/>
      </w:pPr>
      <w:r>
        <w:t>Word only reads the first instance of each child element.</w:t>
      </w:r>
    </w:p>
    <w:p w:rsidR="000A156F" w:rsidRDefault="00A9721F">
      <w:pPr>
        <w:pStyle w:val="Heading3"/>
      </w:pPr>
      <w:bookmarkStart w:id="3497" w:name="section_a7912fd83e8349008cef9ea6d8cc6856"/>
      <w:bookmarkStart w:id="3498" w:name="_Toc181684774"/>
      <w:r>
        <w:t>Part 1 Section 22.6.2.59, Source (Source)</w:t>
      </w:r>
      <w:bookmarkEnd w:id="3497"/>
      <w:bookmarkEnd w:id="3498"/>
      <w:r>
        <w:fldChar w:fldCharType="begin"/>
      </w:r>
      <w:r>
        <w:instrText xml:space="preserve"> XE "Source (Source)" </w:instrText>
      </w:r>
      <w:r>
        <w:fldChar w:fldCharType="end"/>
      </w:r>
    </w:p>
    <w:p w:rsidR="000A156F" w:rsidRDefault="00A9721F">
      <w:pPr>
        <w:pStyle w:val="Definition-Field"/>
      </w:pPr>
      <w:r>
        <w:t xml:space="preserve">a.   </w:t>
      </w:r>
      <w:r>
        <w:rPr>
          <w:i/>
        </w:rPr>
        <w:t>The standard sta</w:t>
      </w:r>
      <w:r>
        <w:rPr>
          <w:i/>
        </w:rPr>
        <w:t>tes that this element can contain any number of child elements in any order.</w:t>
      </w:r>
    </w:p>
    <w:p w:rsidR="000A156F" w:rsidRDefault="00A9721F">
      <w:pPr>
        <w:pStyle w:val="Definition-Field2"/>
      </w:pPr>
      <w:r>
        <w:t>Word only allows a single instance, the first instance in document order, of each child element.</w:t>
      </w:r>
    </w:p>
    <w:p w:rsidR="000A156F" w:rsidRDefault="00A9721F">
      <w:pPr>
        <w:pStyle w:val="Heading3"/>
      </w:pPr>
      <w:bookmarkStart w:id="3499" w:name="section_3a8facc7b7e74bb4b34cb38d0d4c1c6d"/>
      <w:bookmarkStart w:id="3500" w:name="_Toc181684775"/>
      <w:r>
        <w:t>Part 1 Section 22.6.2.65, Tag (Tag)</w:t>
      </w:r>
      <w:bookmarkEnd w:id="3499"/>
      <w:bookmarkEnd w:id="3500"/>
      <w:r>
        <w:fldChar w:fldCharType="begin"/>
      </w:r>
      <w:r>
        <w:instrText xml:space="preserve"> XE "Tag (Tag)" </w:instrText>
      </w:r>
      <w:r>
        <w:fldChar w:fldCharType="end"/>
      </w:r>
    </w:p>
    <w:p w:rsidR="000A156F" w:rsidRDefault="00A9721F">
      <w:pPr>
        <w:pStyle w:val="Definition-Field"/>
      </w:pPr>
      <w:r>
        <w:t xml:space="preserve">a.   </w:t>
      </w:r>
      <w:r>
        <w:rPr>
          <w:i/>
        </w:rPr>
        <w:t>The standard states tha</w:t>
      </w:r>
      <w:r>
        <w:rPr>
          <w:i/>
        </w:rPr>
        <w:t>t the value of this element has a minimum of 0 and a maximum of 255 characters.</w:t>
      </w:r>
    </w:p>
    <w:p w:rsidR="000A156F" w:rsidRDefault="00A9721F">
      <w:pPr>
        <w:pStyle w:val="Definition-Field2"/>
      </w:pPr>
      <w:r>
        <w:t>Word restricts the value of this element to have a minimum of 1 and a maximum of 32 characters.</w:t>
      </w:r>
    </w:p>
    <w:p w:rsidR="000A156F" w:rsidRDefault="00A9721F">
      <w:pPr>
        <w:pStyle w:val="Heading3"/>
      </w:pPr>
      <w:bookmarkStart w:id="3501" w:name="section_86e4ebd6c6d543a7b3678e508b712256"/>
      <w:bookmarkStart w:id="3502" w:name="_Toc181684776"/>
      <w:r>
        <w:t>Part 1 Section 22.6.2.76, YearAccessed (Year Accessed)</w:t>
      </w:r>
      <w:bookmarkEnd w:id="3501"/>
      <w:bookmarkEnd w:id="3502"/>
      <w:r>
        <w:fldChar w:fldCharType="begin"/>
      </w:r>
      <w:r>
        <w:instrText xml:space="preserve"> XE "YearAccessed (Year Ac</w:instrText>
      </w:r>
      <w:r>
        <w:instrText xml:space="preserve">cessed)" </w:instrText>
      </w:r>
      <w:r>
        <w:fldChar w:fldCharType="end"/>
      </w:r>
    </w:p>
    <w:p w:rsidR="000A156F" w:rsidRDefault="00A9721F">
      <w:pPr>
        <w:pStyle w:val="Definition-Field"/>
      </w:pPr>
      <w:r>
        <w:t xml:space="preserve">a.   </w:t>
      </w:r>
      <w:r>
        <w:rPr>
          <w:i/>
        </w:rPr>
        <w:t>The standard states that the YearAccessed element stores the month in which a source was accessed.</w:t>
      </w:r>
    </w:p>
    <w:p w:rsidR="000A156F" w:rsidRDefault="00A9721F">
      <w:pPr>
        <w:pStyle w:val="Definition-Field2"/>
      </w:pPr>
      <w:r>
        <w:t>Office interprets this element as the year in which the source was accessed.</w:t>
      </w:r>
    </w:p>
    <w:p w:rsidR="000A156F" w:rsidRDefault="00A9721F">
      <w:pPr>
        <w:pStyle w:val="Heading3"/>
      </w:pPr>
      <w:bookmarkStart w:id="3503" w:name="section_1f66e1f2ad2a4cee8efce563dca56a03"/>
      <w:bookmarkStart w:id="3504" w:name="_Toc181684777"/>
      <w:r>
        <w:t>Part 1 Section 22.8.2.1, ST_RelationshipId (Explicit Relationsh</w:t>
      </w:r>
      <w:r>
        <w:t>ip ID)</w:t>
      </w:r>
      <w:bookmarkEnd w:id="3503"/>
      <w:bookmarkEnd w:id="3504"/>
      <w:r>
        <w:fldChar w:fldCharType="begin"/>
      </w:r>
      <w:r>
        <w:instrText xml:space="preserve"> XE "ST_RelationshipId (Explicit Relationship ID)" </w:instrText>
      </w:r>
      <w:r>
        <w:fldChar w:fldCharType="end"/>
      </w:r>
    </w:p>
    <w:p w:rsidR="000A156F" w:rsidRDefault="00A9721F">
      <w:pPr>
        <w:pStyle w:val="Definition-Field"/>
      </w:pPr>
      <w:r>
        <w:t xml:space="preserve">a.   </w:t>
      </w:r>
      <w:r>
        <w:rPr>
          <w:i/>
        </w:rPr>
        <w:t>The standard does not limit the length of the contents of the ST_RelationshipId simple type.</w:t>
      </w:r>
    </w:p>
    <w:p w:rsidR="000A156F" w:rsidRDefault="00A9721F">
      <w:pPr>
        <w:pStyle w:val="Definition-Field2"/>
      </w:pPr>
      <w:r>
        <w:t>Office restricts the contents of this simple type to be at most 255 characters.</w:t>
      </w:r>
    </w:p>
    <w:p w:rsidR="000A156F" w:rsidRDefault="00A9721F">
      <w:pPr>
        <w:pStyle w:val="Definition-Field"/>
      </w:pPr>
      <w:r>
        <w:t xml:space="preserve">b.   </w:t>
      </w:r>
      <w:r>
        <w:rPr>
          <w:i/>
        </w:rPr>
        <w:t xml:space="preserve">The standard </w:t>
      </w:r>
      <w:r>
        <w:rPr>
          <w:i/>
        </w:rPr>
        <w:t>states that the values of the ST_RelationshipId simple type are a restriction on the XML Schema string datatype.</w:t>
      </w:r>
    </w:p>
    <w:p w:rsidR="000A156F" w:rsidRDefault="00A9721F">
      <w:pPr>
        <w:pStyle w:val="Definition-Field2"/>
      </w:pPr>
      <w:r>
        <w:t>Office defines this simple type as being a restriction on the XML Schema id datatype.</w:t>
      </w:r>
    </w:p>
    <w:p w:rsidR="000A156F" w:rsidRDefault="00A9721F">
      <w:pPr>
        <w:pStyle w:val="Heading3"/>
      </w:pPr>
      <w:bookmarkStart w:id="3505" w:name="section_139928f9f5084ef29a6b4034409e9564"/>
      <w:bookmarkStart w:id="3506" w:name="_Toc181684778"/>
      <w:r>
        <w:lastRenderedPageBreak/>
        <w:t>Part 1 Section 22.9.2.1, ST_CalendarType (Calendar Types)</w:t>
      </w:r>
      <w:bookmarkEnd w:id="3505"/>
      <w:bookmarkEnd w:id="3506"/>
      <w:r>
        <w:fldChar w:fldCharType="begin"/>
      </w:r>
      <w:r>
        <w:instrText xml:space="preserve"> XE "ST_CalendarType (Calendar Types)" </w:instrText>
      </w:r>
      <w:r>
        <w:fldChar w:fldCharType="end"/>
      </w:r>
    </w:p>
    <w:p w:rsidR="000A156F" w:rsidRDefault="00A9721F">
      <w:pPr>
        <w:pStyle w:val="Definition-Field"/>
      </w:pPr>
      <w:r>
        <w:t xml:space="preserve">a.   </w:t>
      </w:r>
      <w:r>
        <w:rPr>
          <w:i/>
        </w:rPr>
        <w:t>The standard includes gregorianUs, gregorianMeFrench, and gregorianArabic as enumeration values for the calendar types.</w:t>
      </w:r>
    </w:p>
    <w:p w:rsidR="000A156F" w:rsidRDefault="00A9721F">
      <w:pPr>
        <w:pStyle w:val="Definition-Field2"/>
      </w:pPr>
      <w:r>
        <w:t>Word treats gregorianUs, gregorianMeFrench, and gregorianArabic as gregorian.</w:t>
      </w:r>
    </w:p>
    <w:p w:rsidR="000A156F" w:rsidRDefault="00A9721F">
      <w:pPr>
        <w:pStyle w:val="Definition-Field"/>
      </w:pPr>
      <w:r>
        <w:t xml:space="preserve">b.   </w:t>
      </w:r>
      <w:r>
        <w:rPr>
          <w:i/>
        </w:rPr>
        <w:t xml:space="preserve">The </w:t>
      </w:r>
      <w:r>
        <w:rPr>
          <w:i/>
        </w:rPr>
        <w:t>standard states that saka is a valid enumeration value.</w:t>
      </w:r>
    </w:p>
    <w:p w:rsidR="000A156F" w:rsidRDefault="00A9721F">
      <w:pPr>
        <w:pStyle w:val="Definition-Field2"/>
      </w:pPr>
      <w:r>
        <w:t>Excel interprets an enumeration value of saka as a value of none.</w:t>
      </w:r>
    </w:p>
    <w:p w:rsidR="000A156F" w:rsidRDefault="00A9721F">
      <w:pPr>
        <w:pStyle w:val="Heading3"/>
      </w:pPr>
      <w:bookmarkStart w:id="3507" w:name="section_ed06cf15306c43be9053ca81ca51e656"/>
      <w:bookmarkStart w:id="3508" w:name="_Toc181684779"/>
      <w:r>
        <w:t>Part 1 Section 22.9.2.6, ST_Lang (Language Reference)</w:t>
      </w:r>
      <w:bookmarkEnd w:id="3507"/>
      <w:bookmarkEnd w:id="3508"/>
      <w:r>
        <w:fldChar w:fldCharType="begin"/>
      </w:r>
      <w:r>
        <w:instrText xml:space="preserve"> XE "ST_Lang (Language Reference)" </w:instrText>
      </w:r>
      <w:r>
        <w:fldChar w:fldCharType="end"/>
      </w:r>
    </w:p>
    <w:p w:rsidR="000A156F" w:rsidRDefault="00A9721F">
      <w:pPr>
        <w:pStyle w:val="Definition-Field"/>
      </w:pPr>
      <w:r>
        <w:t xml:space="preserve">a.   </w:t>
      </w:r>
      <w:r>
        <w:rPr>
          <w:i/>
        </w:rPr>
        <w:t>The standard allows an unbounded strin</w:t>
      </w:r>
      <w:r>
        <w:rPr>
          <w:i/>
        </w:rPr>
        <w:t>g for ST_Lang.</w:t>
      </w:r>
    </w:p>
    <w:p w:rsidR="000A156F" w:rsidRDefault="00A9721F">
      <w:pPr>
        <w:pStyle w:val="Definition-Field2"/>
      </w:pPr>
      <w:r>
        <w:t>Word allows strings of length at most 84.</w:t>
      </w:r>
    </w:p>
    <w:p w:rsidR="000A156F" w:rsidRDefault="00A9721F">
      <w:pPr>
        <w:pStyle w:val="Definition-Field"/>
      </w:pPr>
      <w:r>
        <w:t xml:space="preserve">b.   </w:t>
      </w:r>
      <w:r>
        <w:rPr>
          <w:i/>
        </w:rPr>
        <w:t>The standard states that the ST_TextLanguageID specifies an ID representing a particular language.</w:t>
      </w:r>
    </w:p>
    <w:p w:rsidR="000A156F" w:rsidRDefault="00A9721F">
      <w:pPr>
        <w:pStyle w:val="Definition-Field2"/>
      </w:pPr>
      <w:r>
        <w:t xml:space="preserve">In Office, the language ID consists of an ISO 639-1 letter code followed by a dash and then an </w:t>
      </w:r>
      <w:r>
        <w:t>ISO 3166-1 alpha-2 letter code. The contents of this language shall be interpreted based on the context of the parent element.</w:t>
      </w:r>
    </w:p>
    <w:p w:rsidR="000A156F" w:rsidRDefault="00A9721F">
      <w:pPr>
        <w:pStyle w:val="Definition-Field"/>
      </w:pPr>
      <w:r>
        <w:t xml:space="preserve">c.   </w:t>
      </w:r>
      <w:r>
        <w:rPr>
          <w:i/>
        </w:rPr>
        <w:t>The standard states that language identifiers can be specified with strings or hexadecimal values.</w:t>
      </w:r>
    </w:p>
    <w:p w:rsidR="000A156F" w:rsidRDefault="00A9721F">
      <w:pPr>
        <w:pStyle w:val="Definition-Field2"/>
      </w:pPr>
      <w:r>
        <w:t>Word does not allow a hex</w:t>
      </w:r>
      <w:r>
        <w:t>adecimal language code.</w:t>
      </w:r>
    </w:p>
    <w:p w:rsidR="000A156F" w:rsidRDefault="00A9721F">
      <w:pPr>
        <w:pStyle w:val="Definition-Field"/>
      </w:pPr>
      <w:r>
        <w:t xml:space="preserve">d.   </w:t>
      </w:r>
      <w:r>
        <w:rPr>
          <w:i/>
        </w:rPr>
        <w:t>The standard states that any valid BCP47 value is a valid value for elements and attributes of this type.</w:t>
      </w:r>
    </w:p>
    <w:p w:rsidR="000A156F" w:rsidRDefault="00A9721F">
      <w:r>
        <w:t>Word will ignore any value that is not listed in the following table:</w:t>
      </w:r>
    </w:p>
    <w:tbl>
      <w:tblPr>
        <w:tblStyle w:val="Table-ShadedHeader"/>
        <w:tblW w:w="0" w:type="auto"/>
        <w:tblLook w:val="04A0" w:firstRow="1" w:lastRow="0" w:firstColumn="1" w:lastColumn="0" w:noHBand="0" w:noVBand="1"/>
      </w:tblPr>
      <w:tblGrid>
        <w:gridCol w:w="3690"/>
        <w:gridCol w:w="151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Description (informative)</w:t>
            </w:r>
          </w:p>
        </w:tc>
        <w:tc>
          <w:tcPr>
            <w:tcW w:w="0" w:type="auto"/>
            <w:vAlign w:val="center"/>
          </w:tcPr>
          <w:p w:rsidR="000A156F" w:rsidRDefault="00A9721F">
            <w:pPr>
              <w:pStyle w:val="TableHeaderText"/>
            </w:pPr>
            <w:r>
              <w:t>BCP 47 Code</w:t>
            </w:r>
          </w:p>
        </w:tc>
      </w:tr>
      <w:tr w:rsidR="000A156F" w:rsidTr="000A156F">
        <w:tc>
          <w:tcPr>
            <w:tcW w:w="0" w:type="auto"/>
            <w:vAlign w:val="center"/>
          </w:tcPr>
          <w:p w:rsidR="000A156F" w:rsidRDefault="00A9721F">
            <w:pPr>
              <w:pStyle w:val="TableBodyText"/>
            </w:pPr>
            <w:r>
              <w:t xml:space="preserve">Afrikaans - </w:t>
            </w:r>
            <w:r>
              <w:t xml:space="preserve">South Africa </w:t>
            </w:r>
          </w:p>
        </w:tc>
        <w:tc>
          <w:tcPr>
            <w:tcW w:w="0" w:type="auto"/>
            <w:vAlign w:val="center"/>
          </w:tcPr>
          <w:p w:rsidR="000A156F" w:rsidRDefault="00A9721F">
            <w:pPr>
              <w:pStyle w:val="TableBodyText"/>
            </w:pPr>
            <w:r>
              <w:t>af-ZA</w:t>
            </w:r>
          </w:p>
        </w:tc>
      </w:tr>
      <w:tr w:rsidR="000A156F" w:rsidTr="000A156F">
        <w:tc>
          <w:tcPr>
            <w:tcW w:w="0" w:type="auto"/>
            <w:vAlign w:val="center"/>
          </w:tcPr>
          <w:p w:rsidR="000A156F" w:rsidRDefault="00A9721F">
            <w:pPr>
              <w:pStyle w:val="TableBodyText"/>
            </w:pPr>
            <w:r>
              <w:t xml:space="preserve">Amharic - Ethiopia </w:t>
            </w:r>
          </w:p>
        </w:tc>
        <w:tc>
          <w:tcPr>
            <w:tcW w:w="0" w:type="auto"/>
            <w:vAlign w:val="center"/>
          </w:tcPr>
          <w:p w:rsidR="000A156F" w:rsidRDefault="00A9721F">
            <w:pPr>
              <w:pStyle w:val="TableBodyText"/>
            </w:pPr>
            <w:r>
              <w:t>am-ET</w:t>
            </w:r>
          </w:p>
        </w:tc>
      </w:tr>
      <w:tr w:rsidR="000A156F" w:rsidTr="000A156F">
        <w:tc>
          <w:tcPr>
            <w:tcW w:w="0" w:type="auto"/>
            <w:vAlign w:val="center"/>
          </w:tcPr>
          <w:p w:rsidR="000A156F" w:rsidRDefault="00A9721F">
            <w:pPr>
              <w:pStyle w:val="TableBodyText"/>
            </w:pPr>
            <w:r>
              <w:t xml:space="preserve">Arabic - U.A.E. </w:t>
            </w:r>
          </w:p>
        </w:tc>
        <w:tc>
          <w:tcPr>
            <w:tcW w:w="0" w:type="auto"/>
            <w:vAlign w:val="center"/>
          </w:tcPr>
          <w:p w:rsidR="000A156F" w:rsidRDefault="00A9721F">
            <w:pPr>
              <w:pStyle w:val="TableBodyText"/>
            </w:pPr>
            <w:r>
              <w:t>ar-AE</w:t>
            </w:r>
          </w:p>
        </w:tc>
      </w:tr>
      <w:tr w:rsidR="000A156F" w:rsidTr="000A156F">
        <w:tc>
          <w:tcPr>
            <w:tcW w:w="0" w:type="auto"/>
            <w:vAlign w:val="center"/>
          </w:tcPr>
          <w:p w:rsidR="000A156F" w:rsidRDefault="00A9721F">
            <w:pPr>
              <w:pStyle w:val="TableBodyText"/>
            </w:pPr>
            <w:r>
              <w:t xml:space="preserve">Arabic - Bahrain </w:t>
            </w:r>
          </w:p>
        </w:tc>
        <w:tc>
          <w:tcPr>
            <w:tcW w:w="0" w:type="auto"/>
            <w:vAlign w:val="center"/>
          </w:tcPr>
          <w:p w:rsidR="000A156F" w:rsidRDefault="00A9721F">
            <w:pPr>
              <w:pStyle w:val="TableBodyText"/>
            </w:pPr>
            <w:r>
              <w:t>ar-BH</w:t>
            </w:r>
          </w:p>
        </w:tc>
      </w:tr>
      <w:tr w:rsidR="000A156F" w:rsidTr="000A156F">
        <w:tc>
          <w:tcPr>
            <w:tcW w:w="0" w:type="auto"/>
            <w:vAlign w:val="center"/>
          </w:tcPr>
          <w:p w:rsidR="000A156F" w:rsidRDefault="00A9721F">
            <w:pPr>
              <w:pStyle w:val="TableBodyText"/>
            </w:pPr>
            <w:r>
              <w:t xml:space="preserve">Arabic - Algeria </w:t>
            </w:r>
          </w:p>
        </w:tc>
        <w:tc>
          <w:tcPr>
            <w:tcW w:w="0" w:type="auto"/>
            <w:vAlign w:val="center"/>
          </w:tcPr>
          <w:p w:rsidR="000A156F" w:rsidRDefault="00A9721F">
            <w:pPr>
              <w:pStyle w:val="TableBodyText"/>
            </w:pPr>
            <w:r>
              <w:t>ar-DZ</w:t>
            </w:r>
          </w:p>
        </w:tc>
      </w:tr>
      <w:tr w:rsidR="000A156F" w:rsidTr="000A156F">
        <w:tc>
          <w:tcPr>
            <w:tcW w:w="0" w:type="auto"/>
            <w:vAlign w:val="center"/>
          </w:tcPr>
          <w:p w:rsidR="000A156F" w:rsidRDefault="00A9721F">
            <w:pPr>
              <w:pStyle w:val="TableBodyText"/>
            </w:pPr>
            <w:r>
              <w:t xml:space="preserve">Arabic - Egypt </w:t>
            </w:r>
          </w:p>
        </w:tc>
        <w:tc>
          <w:tcPr>
            <w:tcW w:w="0" w:type="auto"/>
            <w:vAlign w:val="center"/>
          </w:tcPr>
          <w:p w:rsidR="000A156F" w:rsidRDefault="00A9721F">
            <w:pPr>
              <w:pStyle w:val="TableBodyText"/>
            </w:pPr>
            <w:r>
              <w:t>ar-EG</w:t>
            </w:r>
          </w:p>
        </w:tc>
      </w:tr>
      <w:tr w:rsidR="000A156F" w:rsidTr="000A156F">
        <w:tc>
          <w:tcPr>
            <w:tcW w:w="0" w:type="auto"/>
            <w:vAlign w:val="center"/>
          </w:tcPr>
          <w:p w:rsidR="000A156F" w:rsidRDefault="00A9721F">
            <w:pPr>
              <w:pStyle w:val="TableBodyText"/>
            </w:pPr>
            <w:r>
              <w:t xml:space="preserve">Arabic - Iraq </w:t>
            </w:r>
          </w:p>
        </w:tc>
        <w:tc>
          <w:tcPr>
            <w:tcW w:w="0" w:type="auto"/>
            <w:vAlign w:val="center"/>
          </w:tcPr>
          <w:p w:rsidR="000A156F" w:rsidRDefault="00A9721F">
            <w:pPr>
              <w:pStyle w:val="TableBodyText"/>
            </w:pPr>
            <w:r>
              <w:t>ar-IQ</w:t>
            </w:r>
          </w:p>
        </w:tc>
      </w:tr>
      <w:tr w:rsidR="000A156F" w:rsidTr="000A156F">
        <w:tc>
          <w:tcPr>
            <w:tcW w:w="0" w:type="auto"/>
            <w:vAlign w:val="center"/>
          </w:tcPr>
          <w:p w:rsidR="000A156F" w:rsidRDefault="00A9721F">
            <w:pPr>
              <w:pStyle w:val="TableBodyText"/>
            </w:pPr>
            <w:r>
              <w:t xml:space="preserve">Arabic - Jordan </w:t>
            </w:r>
          </w:p>
        </w:tc>
        <w:tc>
          <w:tcPr>
            <w:tcW w:w="0" w:type="auto"/>
            <w:vAlign w:val="center"/>
          </w:tcPr>
          <w:p w:rsidR="000A156F" w:rsidRDefault="00A9721F">
            <w:pPr>
              <w:pStyle w:val="TableBodyText"/>
            </w:pPr>
            <w:r>
              <w:t>ar-JO</w:t>
            </w:r>
          </w:p>
        </w:tc>
      </w:tr>
      <w:tr w:rsidR="000A156F" w:rsidTr="000A156F">
        <w:tc>
          <w:tcPr>
            <w:tcW w:w="0" w:type="auto"/>
            <w:vAlign w:val="center"/>
          </w:tcPr>
          <w:p w:rsidR="000A156F" w:rsidRDefault="00A9721F">
            <w:pPr>
              <w:pStyle w:val="TableBodyText"/>
            </w:pPr>
            <w:r>
              <w:t xml:space="preserve">Arabic - Kuwait </w:t>
            </w:r>
          </w:p>
        </w:tc>
        <w:tc>
          <w:tcPr>
            <w:tcW w:w="0" w:type="auto"/>
            <w:vAlign w:val="center"/>
          </w:tcPr>
          <w:p w:rsidR="000A156F" w:rsidRDefault="00A9721F">
            <w:pPr>
              <w:pStyle w:val="TableBodyText"/>
            </w:pPr>
            <w:r>
              <w:t>ar-KW</w:t>
            </w:r>
          </w:p>
        </w:tc>
      </w:tr>
      <w:tr w:rsidR="000A156F" w:rsidTr="000A156F">
        <w:tc>
          <w:tcPr>
            <w:tcW w:w="0" w:type="auto"/>
            <w:vAlign w:val="center"/>
          </w:tcPr>
          <w:p w:rsidR="000A156F" w:rsidRDefault="00A9721F">
            <w:pPr>
              <w:pStyle w:val="TableBodyText"/>
            </w:pPr>
            <w:r>
              <w:t xml:space="preserve">Arabic - Lebanon </w:t>
            </w:r>
          </w:p>
        </w:tc>
        <w:tc>
          <w:tcPr>
            <w:tcW w:w="0" w:type="auto"/>
            <w:vAlign w:val="center"/>
          </w:tcPr>
          <w:p w:rsidR="000A156F" w:rsidRDefault="00A9721F">
            <w:pPr>
              <w:pStyle w:val="TableBodyText"/>
            </w:pPr>
            <w:r>
              <w:t>ar-LB</w:t>
            </w:r>
          </w:p>
        </w:tc>
      </w:tr>
      <w:tr w:rsidR="000A156F" w:rsidTr="000A156F">
        <w:tc>
          <w:tcPr>
            <w:tcW w:w="0" w:type="auto"/>
            <w:vAlign w:val="center"/>
          </w:tcPr>
          <w:p w:rsidR="000A156F" w:rsidRDefault="00A9721F">
            <w:pPr>
              <w:pStyle w:val="TableBodyText"/>
            </w:pPr>
            <w:r>
              <w:t xml:space="preserve">Arabic - Libya </w:t>
            </w:r>
          </w:p>
        </w:tc>
        <w:tc>
          <w:tcPr>
            <w:tcW w:w="0" w:type="auto"/>
            <w:vAlign w:val="center"/>
          </w:tcPr>
          <w:p w:rsidR="000A156F" w:rsidRDefault="00A9721F">
            <w:pPr>
              <w:pStyle w:val="TableBodyText"/>
            </w:pPr>
            <w:r>
              <w:t>ar-LY</w:t>
            </w:r>
          </w:p>
        </w:tc>
      </w:tr>
      <w:tr w:rsidR="000A156F" w:rsidTr="000A156F">
        <w:tc>
          <w:tcPr>
            <w:tcW w:w="0" w:type="auto"/>
            <w:vAlign w:val="center"/>
          </w:tcPr>
          <w:p w:rsidR="000A156F" w:rsidRDefault="00A9721F">
            <w:pPr>
              <w:pStyle w:val="TableBodyText"/>
            </w:pPr>
            <w:r>
              <w:t xml:space="preserve">Arabic - Morocco </w:t>
            </w:r>
          </w:p>
        </w:tc>
        <w:tc>
          <w:tcPr>
            <w:tcW w:w="0" w:type="auto"/>
            <w:vAlign w:val="center"/>
          </w:tcPr>
          <w:p w:rsidR="000A156F" w:rsidRDefault="00A9721F">
            <w:pPr>
              <w:pStyle w:val="TableBodyText"/>
            </w:pPr>
            <w:r>
              <w:t>ar-MO</w:t>
            </w:r>
          </w:p>
        </w:tc>
      </w:tr>
      <w:tr w:rsidR="000A156F" w:rsidTr="000A156F">
        <w:tc>
          <w:tcPr>
            <w:tcW w:w="0" w:type="auto"/>
            <w:vAlign w:val="center"/>
          </w:tcPr>
          <w:p w:rsidR="000A156F" w:rsidRDefault="00A9721F">
            <w:pPr>
              <w:pStyle w:val="TableBodyText"/>
            </w:pPr>
            <w:r>
              <w:t xml:space="preserve">Arabic - Oman </w:t>
            </w:r>
          </w:p>
        </w:tc>
        <w:tc>
          <w:tcPr>
            <w:tcW w:w="0" w:type="auto"/>
            <w:vAlign w:val="center"/>
          </w:tcPr>
          <w:p w:rsidR="000A156F" w:rsidRDefault="00A9721F">
            <w:pPr>
              <w:pStyle w:val="TableBodyText"/>
            </w:pPr>
            <w:r>
              <w:t>ar-OM</w:t>
            </w:r>
          </w:p>
        </w:tc>
      </w:tr>
      <w:tr w:rsidR="000A156F" w:rsidTr="000A156F">
        <w:tc>
          <w:tcPr>
            <w:tcW w:w="0" w:type="auto"/>
            <w:vAlign w:val="center"/>
          </w:tcPr>
          <w:p w:rsidR="000A156F" w:rsidRDefault="00A9721F">
            <w:pPr>
              <w:pStyle w:val="TableBodyText"/>
            </w:pPr>
            <w:r>
              <w:t xml:space="preserve">Arabic - Qatar </w:t>
            </w:r>
          </w:p>
        </w:tc>
        <w:tc>
          <w:tcPr>
            <w:tcW w:w="0" w:type="auto"/>
            <w:vAlign w:val="center"/>
          </w:tcPr>
          <w:p w:rsidR="000A156F" w:rsidRDefault="00A9721F">
            <w:pPr>
              <w:pStyle w:val="TableBodyText"/>
            </w:pPr>
            <w:r>
              <w:t>ar-QA</w:t>
            </w:r>
          </w:p>
        </w:tc>
      </w:tr>
      <w:tr w:rsidR="000A156F" w:rsidTr="000A156F">
        <w:tc>
          <w:tcPr>
            <w:tcW w:w="0" w:type="auto"/>
            <w:vAlign w:val="center"/>
          </w:tcPr>
          <w:p w:rsidR="000A156F" w:rsidRDefault="00A9721F">
            <w:pPr>
              <w:pStyle w:val="TableBodyText"/>
            </w:pPr>
            <w:r>
              <w:lastRenderedPageBreak/>
              <w:t xml:space="preserve">Arabic - Saudi Arabia </w:t>
            </w:r>
          </w:p>
        </w:tc>
        <w:tc>
          <w:tcPr>
            <w:tcW w:w="0" w:type="auto"/>
            <w:vAlign w:val="center"/>
          </w:tcPr>
          <w:p w:rsidR="000A156F" w:rsidRDefault="00A9721F">
            <w:pPr>
              <w:pStyle w:val="TableBodyText"/>
            </w:pPr>
            <w:r>
              <w:t>ar-SA</w:t>
            </w:r>
          </w:p>
        </w:tc>
      </w:tr>
      <w:tr w:rsidR="000A156F" w:rsidTr="000A156F">
        <w:tc>
          <w:tcPr>
            <w:tcW w:w="0" w:type="auto"/>
            <w:vAlign w:val="center"/>
          </w:tcPr>
          <w:p w:rsidR="000A156F" w:rsidRDefault="00A9721F">
            <w:pPr>
              <w:pStyle w:val="TableBodyText"/>
            </w:pPr>
            <w:r>
              <w:t xml:space="preserve">Arabic - Syria </w:t>
            </w:r>
          </w:p>
        </w:tc>
        <w:tc>
          <w:tcPr>
            <w:tcW w:w="0" w:type="auto"/>
            <w:vAlign w:val="center"/>
          </w:tcPr>
          <w:p w:rsidR="000A156F" w:rsidRDefault="00A9721F">
            <w:pPr>
              <w:pStyle w:val="TableBodyText"/>
            </w:pPr>
            <w:r>
              <w:t>ar-SY</w:t>
            </w:r>
          </w:p>
        </w:tc>
      </w:tr>
      <w:tr w:rsidR="000A156F" w:rsidTr="000A156F">
        <w:tc>
          <w:tcPr>
            <w:tcW w:w="0" w:type="auto"/>
            <w:vAlign w:val="center"/>
          </w:tcPr>
          <w:p w:rsidR="000A156F" w:rsidRDefault="00A9721F">
            <w:pPr>
              <w:pStyle w:val="TableBodyText"/>
            </w:pPr>
            <w:r>
              <w:t xml:space="preserve">Arabic - Tunisia </w:t>
            </w:r>
          </w:p>
        </w:tc>
        <w:tc>
          <w:tcPr>
            <w:tcW w:w="0" w:type="auto"/>
            <w:vAlign w:val="center"/>
          </w:tcPr>
          <w:p w:rsidR="000A156F" w:rsidRDefault="00A9721F">
            <w:pPr>
              <w:pStyle w:val="TableBodyText"/>
            </w:pPr>
            <w:r>
              <w:t>ar-TN</w:t>
            </w:r>
          </w:p>
        </w:tc>
      </w:tr>
      <w:tr w:rsidR="000A156F" w:rsidTr="000A156F">
        <w:tc>
          <w:tcPr>
            <w:tcW w:w="0" w:type="auto"/>
            <w:vAlign w:val="center"/>
          </w:tcPr>
          <w:p w:rsidR="000A156F" w:rsidRDefault="00A9721F">
            <w:pPr>
              <w:pStyle w:val="TableBodyText"/>
            </w:pPr>
            <w:r>
              <w:t xml:space="preserve">Arabic - Yemen </w:t>
            </w:r>
          </w:p>
        </w:tc>
        <w:tc>
          <w:tcPr>
            <w:tcW w:w="0" w:type="auto"/>
            <w:vAlign w:val="center"/>
          </w:tcPr>
          <w:p w:rsidR="000A156F" w:rsidRDefault="00A9721F">
            <w:pPr>
              <w:pStyle w:val="TableBodyText"/>
            </w:pPr>
            <w:r>
              <w:t>ar-YE</w:t>
            </w:r>
          </w:p>
        </w:tc>
      </w:tr>
      <w:tr w:rsidR="000A156F" w:rsidTr="000A156F">
        <w:tc>
          <w:tcPr>
            <w:tcW w:w="0" w:type="auto"/>
            <w:vAlign w:val="center"/>
          </w:tcPr>
          <w:p w:rsidR="000A156F" w:rsidRDefault="00A9721F">
            <w:pPr>
              <w:pStyle w:val="TableBodyText"/>
            </w:pPr>
            <w:r>
              <w:t xml:space="preserve">Assamese </w:t>
            </w:r>
          </w:p>
        </w:tc>
        <w:tc>
          <w:tcPr>
            <w:tcW w:w="0" w:type="auto"/>
            <w:vAlign w:val="center"/>
          </w:tcPr>
          <w:p w:rsidR="000A156F" w:rsidRDefault="00A9721F">
            <w:pPr>
              <w:pStyle w:val="TableBodyText"/>
            </w:pPr>
            <w:r>
              <w:t>as-IN</w:t>
            </w:r>
          </w:p>
        </w:tc>
      </w:tr>
      <w:tr w:rsidR="000A156F" w:rsidTr="000A156F">
        <w:tc>
          <w:tcPr>
            <w:tcW w:w="0" w:type="auto"/>
            <w:vAlign w:val="center"/>
          </w:tcPr>
          <w:p w:rsidR="000A156F" w:rsidRDefault="00A9721F">
            <w:pPr>
              <w:pStyle w:val="TableBodyText"/>
            </w:pPr>
            <w:r>
              <w:t xml:space="preserve">Azerbaijani (Cyrillic) </w:t>
            </w:r>
          </w:p>
        </w:tc>
        <w:tc>
          <w:tcPr>
            <w:tcW w:w="0" w:type="auto"/>
            <w:vAlign w:val="center"/>
          </w:tcPr>
          <w:p w:rsidR="000A156F" w:rsidRDefault="00A9721F">
            <w:pPr>
              <w:pStyle w:val="TableBodyText"/>
            </w:pPr>
            <w:r>
              <w:t>az-Cyrl-AZ</w:t>
            </w:r>
          </w:p>
        </w:tc>
      </w:tr>
      <w:tr w:rsidR="000A156F" w:rsidTr="000A156F">
        <w:tc>
          <w:tcPr>
            <w:tcW w:w="0" w:type="auto"/>
            <w:vAlign w:val="center"/>
          </w:tcPr>
          <w:p w:rsidR="000A156F" w:rsidRDefault="00A9721F">
            <w:pPr>
              <w:pStyle w:val="TableBodyText"/>
            </w:pPr>
            <w:r>
              <w:t xml:space="preserve">Azerbaijani (Latin) </w:t>
            </w:r>
          </w:p>
        </w:tc>
        <w:tc>
          <w:tcPr>
            <w:tcW w:w="0" w:type="auto"/>
            <w:vAlign w:val="center"/>
          </w:tcPr>
          <w:p w:rsidR="000A156F" w:rsidRDefault="00A9721F">
            <w:pPr>
              <w:pStyle w:val="TableBodyText"/>
            </w:pPr>
            <w:r>
              <w:t>az-Latn-AZ</w:t>
            </w:r>
          </w:p>
        </w:tc>
      </w:tr>
      <w:tr w:rsidR="000A156F" w:rsidTr="000A156F">
        <w:tc>
          <w:tcPr>
            <w:tcW w:w="0" w:type="auto"/>
            <w:vAlign w:val="center"/>
          </w:tcPr>
          <w:p w:rsidR="000A156F" w:rsidRDefault="00A9721F">
            <w:pPr>
              <w:pStyle w:val="TableBodyText"/>
            </w:pPr>
            <w:r>
              <w:t xml:space="preserve">Belarusian </w:t>
            </w:r>
          </w:p>
        </w:tc>
        <w:tc>
          <w:tcPr>
            <w:tcW w:w="0" w:type="auto"/>
            <w:vAlign w:val="center"/>
          </w:tcPr>
          <w:p w:rsidR="000A156F" w:rsidRDefault="00A9721F">
            <w:pPr>
              <w:pStyle w:val="TableBodyText"/>
            </w:pPr>
            <w:r>
              <w:t>be-BY</w:t>
            </w:r>
          </w:p>
        </w:tc>
      </w:tr>
      <w:tr w:rsidR="000A156F" w:rsidTr="000A156F">
        <w:tc>
          <w:tcPr>
            <w:tcW w:w="0" w:type="auto"/>
            <w:vAlign w:val="center"/>
          </w:tcPr>
          <w:p w:rsidR="000A156F" w:rsidRDefault="00A9721F">
            <w:pPr>
              <w:pStyle w:val="TableBodyText"/>
            </w:pPr>
            <w:r>
              <w:t xml:space="preserve">Bulgarian </w:t>
            </w:r>
          </w:p>
        </w:tc>
        <w:tc>
          <w:tcPr>
            <w:tcW w:w="0" w:type="auto"/>
            <w:vAlign w:val="center"/>
          </w:tcPr>
          <w:p w:rsidR="000A156F" w:rsidRDefault="00A9721F">
            <w:pPr>
              <w:pStyle w:val="TableBodyText"/>
            </w:pPr>
            <w:r>
              <w:t>bg-BG</w:t>
            </w:r>
          </w:p>
        </w:tc>
      </w:tr>
      <w:tr w:rsidR="000A156F" w:rsidTr="000A156F">
        <w:tc>
          <w:tcPr>
            <w:tcW w:w="0" w:type="auto"/>
            <w:vAlign w:val="center"/>
          </w:tcPr>
          <w:p w:rsidR="000A156F" w:rsidRDefault="00A9721F">
            <w:pPr>
              <w:pStyle w:val="TableBodyText"/>
            </w:pPr>
            <w:r>
              <w:t xml:space="preserve">Edo </w:t>
            </w:r>
          </w:p>
        </w:tc>
        <w:tc>
          <w:tcPr>
            <w:tcW w:w="0" w:type="auto"/>
            <w:vAlign w:val="center"/>
          </w:tcPr>
          <w:p w:rsidR="000A156F" w:rsidRDefault="00A9721F">
            <w:pPr>
              <w:pStyle w:val="TableBodyText"/>
            </w:pPr>
            <w:r>
              <w:t>bin-NG</w:t>
            </w:r>
          </w:p>
        </w:tc>
      </w:tr>
      <w:tr w:rsidR="000A156F" w:rsidTr="000A156F">
        <w:tc>
          <w:tcPr>
            <w:tcW w:w="0" w:type="auto"/>
            <w:vAlign w:val="center"/>
          </w:tcPr>
          <w:p w:rsidR="000A156F" w:rsidRDefault="00A9721F">
            <w:pPr>
              <w:pStyle w:val="TableBodyText"/>
            </w:pPr>
            <w:r>
              <w:t xml:space="preserve">Bangla (Bangladesh) </w:t>
            </w:r>
          </w:p>
        </w:tc>
        <w:tc>
          <w:tcPr>
            <w:tcW w:w="0" w:type="auto"/>
            <w:vAlign w:val="center"/>
          </w:tcPr>
          <w:p w:rsidR="000A156F" w:rsidRDefault="00A9721F">
            <w:pPr>
              <w:pStyle w:val="TableBodyText"/>
            </w:pPr>
            <w:r>
              <w:t>bn-BD</w:t>
            </w:r>
          </w:p>
        </w:tc>
      </w:tr>
      <w:tr w:rsidR="000A156F" w:rsidTr="000A156F">
        <w:tc>
          <w:tcPr>
            <w:tcW w:w="0" w:type="auto"/>
            <w:vAlign w:val="center"/>
          </w:tcPr>
          <w:p w:rsidR="000A156F" w:rsidRDefault="00A9721F">
            <w:pPr>
              <w:pStyle w:val="TableBodyText"/>
            </w:pPr>
            <w:r>
              <w:t xml:space="preserve">Bangla (India) </w:t>
            </w:r>
          </w:p>
        </w:tc>
        <w:tc>
          <w:tcPr>
            <w:tcW w:w="0" w:type="auto"/>
            <w:vAlign w:val="center"/>
          </w:tcPr>
          <w:p w:rsidR="000A156F" w:rsidRDefault="00A9721F">
            <w:pPr>
              <w:pStyle w:val="TableBodyText"/>
            </w:pPr>
            <w:r>
              <w:t>bn-IN</w:t>
            </w:r>
          </w:p>
        </w:tc>
      </w:tr>
      <w:tr w:rsidR="000A156F" w:rsidTr="000A156F">
        <w:tc>
          <w:tcPr>
            <w:tcW w:w="0" w:type="auto"/>
            <w:vAlign w:val="center"/>
          </w:tcPr>
          <w:p w:rsidR="000A156F" w:rsidRDefault="00A9721F">
            <w:pPr>
              <w:pStyle w:val="TableBodyText"/>
            </w:pPr>
            <w:r>
              <w:t xml:space="preserve">Tibetan - Bhutan </w:t>
            </w:r>
          </w:p>
        </w:tc>
        <w:tc>
          <w:tcPr>
            <w:tcW w:w="0" w:type="auto"/>
            <w:vAlign w:val="center"/>
          </w:tcPr>
          <w:p w:rsidR="000A156F" w:rsidRDefault="00A9721F">
            <w:pPr>
              <w:pStyle w:val="TableBodyText"/>
            </w:pPr>
            <w:r>
              <w:t>bo-BT</w:t>
            </w:r>
          </w:p>
        </w:tc>
      </w:tr>
      <w:tr w:rsidR="000A156F" w:rsidTr="000A156F">
        <w:tc>
          <w:tcPr>
            <w:tcW w:w="0" w:type="auto"/>
            <w:vAlign w:val="center"/>
          </w:tcPr>
          <w:p w:rsidR="000A156F" w:rsidRDefault="00A9721F">
            <w:pPr>
              <w:pStyle w:val="TableBodyText"/>
            </w:pPr>
            <w:r>
              <w:t xml:space="preserve">Tibetan - People's Republic of China </w:t>
            </w:r>
          </w:p>
        </w:tc>
        <w:tc>
          <w:tcPr>
            <w:tcW w:w="0" w:type="auto"/>
            <w:vAlign w:val="center"/>
          </w:tcPr>
          <w:p w:rsidR="000A156F" w:rsidRDefault="00A9721F">
            <w:pPr>
              <w:pStyle w:val="TableBodyText"/>
            </w:pPr>
            <w:r>
              <w:t>bo-CN</w:t>
            </w:r>
          </w:p>
        </w:tc>
      </w:tr>
      <w:tr w:rsidR="000A156F" w:rsidTr="000A156F">
        <w:tc>
          <w:tcPr>
            <w:tcW w:w="0" w:type="auto"/>
            <w:vAlign w:val="center"/>
          </w:tcPr>
          <w:p w:rsidR="000A156F" w:rsidRDefault="00A9721F">
            <w:pPr>
              <w:pStyle w:val="TableBodyText"/>
            </w:pPr>
            <w:r>
              <w:t xml:space="preserve">Bosnian (Bosnia and Herzegovina) </w:t>
            </w:r>
          </w:p>
        </w:tc>
        <w:tc>
          <w:tcPr>
            <w:tcW w:w="0" w:type="auto"/>
            <w:vAlign w:val="center"/>
          </w:tcPr>
          <w:p w:rsidR="000A156F" w:rsidRDefault="00A9721F">
            <w:pPr>
              <w:pStyle w:val="TableBodyText"/>
            </w:pPr>
            <w:r>
              <w:t>bs-Latn-BA</w:t>
            </w:r>
          </w:p>
        </w:tc>
      </w:tr>
      <w:tr w:rsidR="000A156F" w:rsidTr="000A156F">
        <w:tc>
          <w:tcPr>
            <w:tcW w:w="0" w:type="auto"/>
            <w:vAlign w:val="center"/>
          </w:tcPr>
          <w:p w:rsidR="000A156F" w:rsidRDefault="00A9721F">
            <w:pPr>
              <w:pStyle w:val="TableBodyText"/>
            </w:pPr>
            <w:r>
              <w:t xml:space="preserve">Catalan </w:t>
            </w:r>
          </w:p>
        </w:tc>
        <w:tc>
          <w:tcPr>
            <w:tcW w:w="0" w:type="auto"/>
            <w:vAlign w:val="center"/>
          </w:tcPr>
          <w:p w:rsidR="000A156F" w:rsidRDefault="00A9721F">
            <w:pPr>
              <w:pStyle w:val="TableBodyText"/>
            </w:pPr>
            <w:r>
              <w:t>ca-ES</w:t>
            </w:r>
          </w:p>
        </w:tc>
      </w:tr>
      <w:tr w:rsidR="000A156F" w:rsidTr="000A156F">
        <w:tc>
          <w:tcPr>
            <w:tcW w:w="0" w:type="auto"/>
            <w:vAlign w:val="center"/>
          </w:tcPr>
          <w:p w:rsidR="000A156F" w:rsidRDefault="00A9721F">
            <w:pPr>
              <w:pStyle w:val="TableBodyText"/>
            </w:pPr>
            <w:r>
              <w:t xml:space="preserve">Cherokee - United States </w:t>
            </w:r>
          </w:p>
        </w:tc>
        <w:tc>
          <w:tcPr>
            <w:tcW w:w="0" w:type="auto"/>
            <w:vAlign w:val="center"/>
          </w:tcPr>
          <w:p w:rsidR="000A156F" w:rsidRDefault="00A9721F">
            <w:pPr>
              <w:pStyle w:val="TableBodyText"/>
            </w:pPr>
            <w:r>
              <w:t>chr-US</w:t>
            </w:r>
          </w:p>
        </w:tc>
      </w:tr>
      <w:tr w:rsidR="000A156F" w:rsidTr="000A156F">
        <w:tc>
          <w:tcPr>
            <w:tcW w:w="0" w:type="auto"/>
            <w:vAlign w:val="center"/>
          </w:tcPr>
          <w:p w:rsidR="000A156F" w:rsidRDefault="00A9721F">
            <w:pPr>
              <w:pStyle w:val="TableBodyText"/>
            </w:pPr>
            <w:r>
              <w:t xml:space="preserve">Czech </w:t>
            </w:r>
          </w:p>
        </w:tc>
        <w:tc>
          <w:tcPr>
            <w:tcW w:w="0" w:type="auto"/>
            <w:vAlign w:val="center"/>
          </w:tcPr>
          <w:p w:rsidR="000A156F" w:rsidRDefault="00A9721F">
            <w:pPr>
              <w:pStyle w:val="TableBodyText"/>
            </w:pPr>
            <w:r>
              <w:t>cs-CZ</w:t>
            </w:r>
          </w:p>
        </w:tc>
      </w:tr>
      <w:tr w:rsidR="000A156F" w:rsidTr="000A156F">
        <w:tc>
          <w:tcPr>
            <w:tcW w:w="0" w:type="auto"/>
            <w:vAlign w:val="center"/>
          </w:tcPr>
          <w:p w:rsidR="000A156F" w:rsidRDefault="00A9721F">
            <w:pPr>
              <w:pStyle w:val="TableBodyText"/>
            </w:pPr>
            <w:r>
              <w:t xml:space="preserve">Welsh </w:t>
            </w:r>
          </w:p>
        </w:tc>
        <w:tc>
          <w:tcPr>
            <w:tcW w:w="0" w:type="auto"/>
            <w:vAlign w:val="center"/>
          </w:tcPr>
          <w:p w:rsidR="000A156F" w:rsidRDefault="00A9721F">
            <w:pPr>
              <w:pStyle w:val="TableBodyText"/>
            </w:pPr>
            <w:r>
              <w:t>cy-GB</w:t>
            </w:r>
          </w:p>
        </w:tc>
      </w:tr>
      <w:tr w:rsidR="000A156F" w:rsidTr="000A156F">
        <w:tc>
          <w:tcPr>
            <w:tcW w:w="0" w:type="auto"/>
            <w:vAlign w:val="center"/>
          </w:tcPr>
          <w:p w:rsidR="000A156F" w:rsidRDefault="00A9721F">
            <w:pPr>
              <w:pStyle w:val="TableBodyText"/>
            </w:pPr>
            <w:r>
              <w:t xml:space="preserve">Danish </w:t>
            </w:r>
          </w:p>
        </w:tc>
        <w:tc>
          <w:tcPr>
            <w:tcW w:w="0" w:type="auto"/>
            <w:vAlign w:val="center"/>
          </w:tcPr>
          <w:p w:rsidR="000A156F" w:rsidRDefault="00A9721F">
            <w:pPr>
              <w:pStyle w:val="TableBodyText"/>
            </w:pPr>
            <w:r>
              <w:t>da-DK</w:t>
            </w:r>
          </w:p>
        </w:tc>
      </w:tr>
      <w:tr w:rsidR="000A156F" w:rsidTr="000A156F">
        <w:tc>
          <w:tcPr>
            <w:tcW w:w="0" w:type="auto"/>
            <w:vAlign w:val="center"/>
          </w:tcPr>
          <w:p w:rsidR="000A156F" w:rsidRDefault="00A9721F">
            <w:pPr>
              <w:pStyle w:val="TableBodyText"/>
            </w:pPr>
            <w:r>
              <w:t xml:space="preserve">German - Austria </w:t>
            </w:r>
          </w:p>
        </w:tc>
        <w:tc>
          <w:tcPr>
            <w:tcW w:w="0" w:type="auto"/>
            <w:vAlign w:val="center"/>
          </w:tcPr>
          <w:p w:rsidR="000A156F" w:rsidRDefault="00A9721F">
            <w:pPr>
              <w:pStyle w:val="TableBodyText"/>
            </w:pPr>
            <w:r>
              <w:t>de-AT</w:t>
            </w:r>
          </w:p>
        </w:tc>
      </w:tr>
      <w:tr w:rsidR="000A156F" w:rsidTr="000A156F">
        <w:tc>
          <w:tcPr>
            <w:tcW w:w="0" w:type="auto"/>
            <w:vAlign w:val="center"/>
          </w:tcPr>
          <w:p w:rsidR="000A156F" w:rsidRDefault="00A9721F">
            <w:pPr>
              <w:pStyle w:val="TableBodyText"/>
            </w:pPr>
            <w:r>
              <w:t xml:space="preserve">German - Switzerland </w:t>
            </w:r>
          </w:p>
        </w:tc>
        <w:tc>
          <w:tcPr>
            <w:tcW w:w="0" w:type="auto"/>
            <w:vAlign w:val="center"/>
          </w:tcPr>
          <w:p w:rsidR="000A156F" w:rsidRDefault="00A9721F">
            <w:pPr>
              <w:pStyle w:val="TableBodyText"/>
            </w:pPr>
            <w:r>
              <w:t>de-CH</w:t>
            </w:r>
          </w:p>
        </w:tc>
      </w:tr>
      <w:tr w:rsidR="000A156F" w:rsidTr="000A156F">
        <w:tc>
          <w:tcPr>
            <w:tcW w:w="0" w:type="auto"/>
            <w:vAlign w:val="center"/>
          </w:tcPr>
          <w:p w:rsidR="000A156F" w:rsidRDefault="00A9721F">
            <w:pPr>
              <w:pStyle w:val="TableBodyText"/>
            </w:pPr>
            <w:r>
              <w:t xml:space="preserve">German - Germany </w:t>
            </w:r>
          </w:p>
        </w:tc>
        <w:tc>
          <w:tcPr>
            <w:tcW w:w="0" w:type="auto"/>
            <w:vAlign w:val="center"/>
          </w:tcPr>
          <w:p w:rsidR="000A156F" w:rsidRDefault="00A9721F">
            <w:pPr>
              <w:pStyle w:val="TableBodyText"/>
            </w:pPr>
            <w:r>
              <w:t>de-DE</w:t>
            </w:r>
          </w:p>
        </w:tc>
      </w:tr>
      <w:tr w:rsidR="000A156F" w:rsidTr="000A156F">
        <w:tc>
          <w:tcPr>
            <w:tcW w:w="0" w:type="auto"/>
            <w:vAlign w:val="center"/>
          </w:tcPr>
          <w:p w:rsidR="000A156F" w:rsidRDefault="00A9721F">
            <w:pPr>
              <w:pStyle w:val="TableBodyText"/>
            </w:pPr>
            <w:r>
              <w:t xml:space="preserve">German - Liechtenstein </w:t>
            </w:r>
          </w:p>
        </w:tc>
        <w:tc>
          <w:tcPr>
            <w:tcW w:w="0" w:type="auto"/>
            <w:vAlign w:val="center"/>
          </w:tcPr>
          <w:p w:rsidR="000A156F" w:rsidRDefault="00A9721F">
            <w:pPr>
              <w:pStyle w:val="TableBodyText"/>
            </w:pPr>
            <w:r>
              <w:t>de-LI</w:t>
            </w:r>
          </w:p>
        </w:tc>
      </w:tr>
      <w:tr w:rsidR="000A156F" w:rsidTr="000A156F">
        <w:tc>
          <w:tcPr>
            <w:tcW w:w="0" w:type="auto"/>
            <w:vAlign w:val="center"/>
          </w:tcPr>
          <w:p w:rsidR="000A156F" w:rsidRDefault="00A9721F">
            <w:pPr>
              <w:pStyle w:val="TableBodyText"/>
            </w:pPr>
            <w:r>
              <w:t xml:space="preserve">German - Luxembourg </w:t>
            </w:r>
          </w:p>
        </w:tc>
        <w:tc>
          <w:tcPr>
            <w:tcW w:w="0" w:type="auto"/>
            <w:vAlign w:val="center"/>
          </w:tcPr>
          <w:p w:rsidR="000A156F" w:rsidRDefault="00A9721F">
            <w:pPr>
              <w:pStyle w:val="TableBodyText"/>
            </w:pPr>
            <w:r>
              <w:t>de-LU</w:t>
            </w:r>
          </w:p>
        </w:tc>
      </w:tr>
      <w:tr w:rsidR="000A156F" w:rsidTr="000A156F">
        <w:tc>
          <w:tcPr>
            <w:tcW w:w="0" w:type="auto"/>
            <w:vAlign w:val="center"/>
          </w:tcPr>
          <w:p w:rsidR="000A156F" w:rsidRDefault="00A9721F">
            <w:pPr>
              <w:pStyle w:val="TableBodyText"/>
            </w:pPr>
            <w:r>
              <w:t xml:space="preserve">Divehi </w:t>
            </w:r>
          </w:p>
        </w:tc>
        <w:tc>
          <w:tcPr>
            <w:tcW w:w="0" w:type="auto"/>
            <w:vAlign w:val="center"/>
          </w:tcPr>
          <w:p w:rsidR="000A156F" w:rsidRDefault="00A9721F">
            <w:pPr>
              <w:pStyle w:val="TableBodyText"/>
            </w:pPr>
            <w:r>
              <w:t>dv-MV</w:t>
            </w:r>
          </w:p>
        </w:tc>
      </w:tr>
      <w:tr w:rsidR="000A156F" w:rsidTr="000A156F">
        <w:tc>
          <w:tcPr>
            <w:tcW w:w="0" w:type="auto"/>
            <w:vAlign w:val="center"/>
          </w:tcPr>
          <w:p w:rsidR="000A156F" w:rsidRDefault="00A9721F">
            <w:pPr>
              <w:pStyle w:val="TableBodyText"/>
            </w:pPr>
            <w:r>
              <w:t xml:space="preserve">Greek </w:t>
            </w:r>
          </w:p>
        </w:tc>
        <w:tc>
          <w:tcPr>
            <w:tcW w:w="0" w:type="auto"/>
            <w:vAlign w:val="center"/>
          </w:tcPr>
          <w:p w:rsidR="000A156F" w:rsidRDefault="00A9721F">
            <w:pPr>
              <w:pStyle w:val="TableBodyText"/>
            </w:pPr>
            <w:r>
              <w:t>el-GR</w:t>
            </w:r>
          </w:p>
        </w:tc>
      </w:tr>
      <w:tr w:rsidR="000A156F" w:rsidTr="000A156F">
        <w:tc>
          <w:tcPr>
            <w:tcW w:w="0" w:type="auto"/>
            <w:vAlign w:val="center"/>
          </w:tcPr>
          <w:p w:rsidR="000A156F" w:rsidRDefault="00A9721F">
            <w:pPr>
              <w:pStyle w:val="TableBodyText"/>
            </w:pPr>
            <w:r>
              <w:t xml:space="preserve">English - Caribbean </w:t>
            </w:r>
          </w:p>
        </w:tc>
        <w:tc>
          <w:tcPr>
            <w:tcW w:w="0" w:type="auto"/>
            <w:vAlign w:val="center"/>
          </w:tcPr>
          <w:p w:rsidR="000A156F" w:rsidRDefault="00A9721F">
            <w:pPr>
              <w:pStyle w:val="TableBodyText"/>
            </w:pPr>
            <w:r>
              <w:t>en-029</w:t>
            </w:r>
          </w:p>
        </w:tc>
      </w:tr>
      <w:tr w:rsidR="000A156F" w:rsidTr="000A156F">
        <w:tc>
          <w:tcPr>
            <w:tcW w:w="0" w:type="auto"/>
            <w:vAlign w:val="center"/>
          </w:tcPr>
          <w:p w:rsidR="000A156F" w:rsidRDefault="00A9721F">
            <w:pPr>
              <w:pStyle w:val="TableBodyText"/>
            </w:pPr>
            <w:r>
              <w:t xml:space="preserve">English - Australia </w:t>
            </w:r>
          </w:p>
        </w:tc>
        <w:tc>
          <w:tcPr>
            <w:tcW w:w="0" w:type="auto"/>
            <w:vAlign w:val="center"/>
          </w:tcPr>
          <w:p w:rsidR="000A156F" w:rsidRDefault="00A9721F">
            <w:pPr>
              <w:pStyle w:val="TableBodyText"/>
            </w:pPr>
            <w:r>
              <w:t>en-AU</w:t>
            </w:r>
          </w:p>
        </w:tc>
      </w:tr>
      <w:tr w:rsidR="000A156F" w:rsidTr="000A156F">
        <w:tc>
          <w:tcPr>
            <w:tcW w:w="0" w:type="auto"/>
            <w:vAlign w:val="center"/>
          </w:tcPr>
          <w:p w:rsidR="000A156F" w:rsidRDefault="00A9721F">
            <w:pPr>
              <w:pStyle w:val="TableBodyText"/>
            </w:pPr>
            <w:r>
              <w:t xml:space="preserve">English - Belize </w:t>
            </w:r>
          </w:p>
        </w:tc>
        <w:tc>
          <w:tcPr>
            <w:tcW w:w="0" w:type="auto"/>
            <w:vAlign w:val="center"/>
          </w:tcPr>
          <w:p w:rsidR="000A156F" w:rsidRDefault="00A9721F">
            <w:pPr>
              <w:pStyle w:val="TableBodyText"/>
            </w:pPr>
            <w:r>
              <w:t>en-BZ</w:t>
            </w:r>
          </w:p>
        </w:tc>
      </w:tr>
      <w:tr w:rsidR="000A156F" w:rsidTr="000A156F">
        <w:tc>
          <w:tcPr>
            <w:tcW w:w="0" w:type="auto"/>
            <w:vAlign w:val="center"/>
          </w:tcPr>
          <w:p w:rsidR="000A156F" w:rsidRDefault="00A9721F">
            <w:pPr>
              <w:pStyle w:val="TableBodyText"/>
            </w:pPr>
            <w:r>
              <w:t xml:space="preserve">English - Canada </w:t>
            </w:r>
          </w:p>
        </w:tc>
        <w:tc>
          <w:tcPr>
            <w:tcW w:w="0" w:type="auto"/>
            <w:vAlign w:val="center"/>
          </w:tcPr>
          <w:p w:rsidR="000A156F" w:rsidRDefault="00A9721F">
            <w:pPr>
              <w:pStyle w:val="TableBodyText"/>
            </w:pPr>
            <w:r>
              <w:t>en-CA</w:t>
            </w:r>
          </w:p>
        </w:tc>
      </w:tr>
      <w:tr w:rsidR="000A156F" w:rsidTr="000A156F">
        <w:tc>
          <w:tcPr>
            <w:tcW w:w="0" w:type="auto"/>
            <w:vAlign w:val="center"/>
          </w:tcPr>
          <w:p w:rsidR="000A156F" w:rsidRDefault="00A9721F">
            <w:pPr>
              <w:pStyle w:val="TableBodyText"/>
            </w:pPr>
            <w:r>
              <w:t xml:space="preserve">English - United Kingdom </w:t>
            </w:r>
          </w:p>
        </w:tc>
        <w:tc>
          <w:tcPr>
            <w:tcW w:w="0" w:type="auto"/>
            <w:vAlign w:val="center"/>
          </w:tcPr>
          <w:p w:rsidR="000A156F" w:rsidRDefault="00A9721F">
            <w:pPr>
              <w:pStyle w:val="TableBodyText"/>
            </w:pPr>
            <w:r>
              <w:t>en-GB</w:t>
            </w:r>
          </w:p>
        </w:tc>
      </w:tr>
      <w:tr w:rsidR="000A156F" w:rsidTr="000A156F">
        <w:tc>
          <w:tcPr>
            <w:tcW w:w="0" w:type="auto"/>
            <w:vAlign w:val="center"/>
          </w:tcPr>
          <w:p w:rsidR="000A156F" w:rsidRDefault="00A9721F">
            <w:pPr>
              <w:pStyle w:val="TableBodyText"/>
            </w:pPr>
            <w:r>
              <w:lastRenderedPageBreak/>
              <w:t xml:space="preserve">English - Hong Kong SAR </w:t>
            </w:r>
          </w:p>
        </w:tc>
        <w:tc>
          <w:tcPr>
            <w:tcW w:w="0" w:type="auto"/>
            <w:vAlign w:val="center"/>
          </w:tcPr>
          <w:p w:rsidR="000A156F" w:rsidRDefault="00A9721F">
            <w:pPr>
              <w:pStyle w:val="TableBodyText"/>
            </w:pPr>
            <w:r>
              <w:t>en-HK</w:t>
            </w:r>
          </w:p>
        </w:tc>
      </w:tr>
      <w:tr w:rsidR="000A156F" w:rsidTr="000A156F">
        <w:tc>
          <w:tcPr>
            <w:tcW w:w="0" w:type="auto"/>
            <w:vAlign w:val="center"/>
          </w:tcPr>
          <w:p w:rsidR="000A156F" w:rsidRDefault="00A9721F">
            <w:pPr>
              <w:pStyle w:val="TableBodyText"/>
            </w:pPr>
            <w:r>
              <w:t xml:space="preserve">English - Indonesia </w:t>
            </w:r>
          </w:p>
        </w:tc>
        <w:tc>
          <w:tcPr>
            <w:tcW w:w="0" w:type="auto"/>
            <w:vAlign w:val="center"/>
          </w:tcPr>
          <w:p w:rsidR="000A156F" w:rsidRDefault="00A9721F">
            <w:pPr>
              <w:pStyle w:val="TableBodyText"/>
            </w:pPr>
            <w:r>
              <w:t>en-ID</w:t>
            </w:r>
          </w:p>
        </w:tc>
      </w:tr>
      <w:tr w:rsidR="000A156F" w:rsidTr="000A156F">
        <w:tc>
          <w:tcPr>
            <w:tcW w:w="0" w:type="auto"/>
            <w:vAlign w:val="center"/>
          </w:tcPr>
          <w:p w:rsidR="000A156F" w:rsidRDefault="00A9721F">
            <w:pPr>
              <w:pStyle w:val="TableBodyText"/>
            </w:pPr>
            <w:r>
              <w:t xml:space="preserve">English - Ireland </w:t>
            </w:r>
          </w:p>
        </w:tc>
        <w:tc>
          <w:tcPr>
            <w:tcW w:w="0" w:type="auto"/>
            <w:vAlign w:val="center"/>
          </w:tcPr>
          <w:p w:rsidR="000A156F" w:rsidRDefault="00A9721F">
            <w:pPr>
              <w:pStyle w:val="TableBodyText"/>
            </w:pPr>
            <w:r>
              <w:t>en-IE</w:t>
            </w:r>
          </w:p>
        </w:tc>
      </w:tr>
      <w:tr w:rsidR="000A156F" w:rsidTr="000A156F">
        <w:tc>
          <w:tcPr>
            <w:tcW w:w="0" w:type="auto"/>
            <w:vAlign w:val="center"/>
          </w:tcPr>
          <w:p w:rsidR="000A156F" w:rsidRDefault="00A9721F">
            <w:pPr>
              <w:pStyle w:val="TableBodyText"/>
            </w:pPr>
            <w:r>
              <w:t xml:space="preserve">English - India </w:t>
            </w:r>
          </w:p>
        </w:tc>
        <w:tc>
          <w:tcPr>
            <w:tcW w:w="0" w:type="auto"/>
            <w:vAlign w:val="center"/>
          </w:tcPr>
          <w:p w:rsidR="000A156F" w:rsidRDefault="00A9721F">
            <w:pPr>
              <w:pStyle w:val="TableBodyText"/>
            </w:pPr>
            <w:r>
              <w:t>en-IN</w:t>
            </w:r>
          </w:p>
        </w:tc>
      </w:tr>
      <w:tr w:rsidR="000A156F" w:rsidTr="000A156F">
        <w:tc>
          <w:tcPr>
            <w:tcW w:w="0" w:type="auto"/>
            <w:vAlign w:val="center"/>
          </w:tcPr>
          <w:p w:rsidR="000A156F" w:rsidRDefault="00A9721F">
            <w:pPr>
              <w:pStyle w:val="TableBodyText"/>
            </w:pPr>
            <w:r>
              <w:t xml:space="preserve">English - Jamaica </w:t>
            </w:r>
          </w:p>
        </w:tc>
        <w:tc>
          <w:tcPr>
            <w:tcW w:w="0" w:type="auto"/>
            <w:vAlign w:val="center"/>
          </w:tcPr>
          <w:p w:rsidR="000A156F" w:rsidRDefault="00A9721F">
            <w:pPr>
              <w:pStyle w:val="TableBodyText"/>
            </w:pPr>
            <w:r>
              <w:t>en-JM</w:t>
            </w:r>
          </w:p>
        </w:tc>
      </w:tr>
      <w:tr w:rsidR="000A156F" w:rsidTr="000A156F">
        <w:tc>
          <w:tcPr>
            <w:tcW w:w="0" w:type="auto"/>
            <w:vAlign w:val="center"/>
          </w:tcPr>
          <w:p w:rsidR="000A156F" w:rsidRDefault="00A9721F">
            <w:pPr>
              <w:pStyle w:val="TableBodyText"/>
            </w:pPr>
            <w:r>
              <w:t xml:space="preserve">English - Malaysia </w:t>
            </w:r>
          </w:p>
        </w:tc>
        <w:tc>
          <w:tcPr>
            <w:tcW w:w="0" w:type="auto"/>
            <w:vAlign w:val="center"/>
          </w:tcPr>
          <w:p w:rsidR="000A156F" w:rsidRDefault="00A9721F">
            <w:pPr>
              <w:pStyle w:val="TableBodyText"/>
            </w:pPr>
            <w:r>
              <w:t>en-MY</w:t>
            </w:r>
          </w:p>
        </w:tc>
      </w:tr>
      <w:tr w:rsidR="000A156F" w:rsidTr="000A156F">
        <w:tc>
          <w:tcPr>
            <w:tcW w:w="0" w:type="auto"/>
            <w:vAlign w:val="center"/>
          </w:tcPr>
          <w:p w:rsidR="000A156F" w:rsidRDefault="00A9721F">
            <w:pPr>
              <w:pStyle w:val="TableBodyText"/>
            </w:pPr>
            <w:r>
              <w:t xml:space="preserve">English - New Zealand </w:t>
            </w:r>
          </w:p>
        </w:tc>
        <w:tc>
          <w:tcPr>
            <w:tcW w:w="0" w:type="auto"/>
            <w:vAlign w:val="center"/>
          </w:tcPr>
          <w:p w:rsidR="000A156F" w:rsidRDefault="00A9721F">
            <w:pPr>
              <w:pStyle w:val="TableBodyText"/>
            </w:pPr>
            <w:r>
              <w:t>en-NZ</w:t>
            </w:r>
          </w:p>
        </w:tc>
      </w:tr>
      <w:tr w:rsidR="000A156F" w:rsidTr="000A156F">
        <w:tc>
          <w:tcPr>
            <w:tcW w:w="0" w:type="auto"/>
            <w:vAlign w:val="center"/>
          </w:tcPr>
          <w:p w:rsidR="000A156F" w:rsidRDefault="00A9721F">
            <w:pPr>
              <w:pStyle w:val="TableBodyText"/>
            </w:pPr>
            <w:r>
              <w:t xml:space="preserve">English - Philippines </w:t>
            </w:r>
          </w:p>
        </w:tc>
        <w:tc>
          <w:tcPr>
            <w:tcW w:w="0" w:type="auto"/>
            <w:vAlign w:val="center"/>
          </w:tcPr>
          <w:p w:rsidR="000A156F" w:rsidRDefault="00A9721F">
            <w:pPr>
              <w:pStyle w:val="TableBodyText"/>
            </w:pPr>
            <w:r>
              <w:t>en-PH</w:t>
            </w:r>
          </w:p>
        </w:tc>
      </w:tr>
      <w:tr w:rsidR="000A156F" w:rsidTr="000A156F">
        <w:tc>
          <w:tcPr>
            <w:tcW w:w="0" w:type="auto"/>
            <w:vAlign w:val="center"/>
          </w:tcPr>
          <w:p w:rsidR="000A156F" w:rsidRDefault="00A9721F">
            <w:pPr>
              <w:pStyle w:val="TableBodyText"/>
            </w:pPr>
            <w:r>
              <w:t xml:space="preserve">English - Singapore </w:t>
            </w:r>
          </w:p>
        </w:tc>
        <w:tc>
          <w:tcPr>
            <w:tcW w:w="0" w:type="auto"/>
            <w:vAlign w:val="center"/>
          </w:tcPr>
          <w:p w:rsidR="000A156F" w:rsidRDefault="00A9721F">
            <w:pPr>
              <w:pStyle w:val="TableBodyText"/>
            </w:pPr>
            <w:r>
              <w:t>en-SG</w:t>
            </w:r>
          </w:p>
        </w:tc>
      </w:tr>
      <w:tr w:rsidR="000A156F" w:rsidTr="000A156F">
        <w:tc>
          <w:tcPr>
            <w:tcW w:w="0" w:type="auto"/>
            <w:vAlign w:val="center"/>
          </w:tcPr>
          <w:p w:rsidR="000A156F" w:rsidRDefault="00A9721F">
            <w:pPr>
              <w:pStyle w:val="TableBodyText"/>
            </w:pPr>
            <w:r>
              <w:t xml:space="preserve">English - Trinidad </w:t>
            </w:r>
          </w:p>
        </w:tc>
        <w:tc>
          <w:tcPr>
            <w:tcW w:w="0" w:type="auto"/>
            <w:vAlign w:val="center"/>
          </w:tcPr>
          <w:p w:rsidR="000A156F" w:rsidRDefault="00A9721F">
            <w:pPr>
              <w:pStyle w:val="TableBodyText"/>
            </w:pPr>
            <w:r>
              <w:t>en-TT</w:t>
            </w:r>
          </w:p>
        </w:tc>
      </w:tr>
      <w:tr w:rsidR="000A156F" w:rsidTr="000A156F">
        <w:tc>
          <w:tcPr>
            <w:tcW w:w="0" w:type="auto"/>
            <w:vAlign w:val="center"/>
          </w:tcPr>
          <w:p w:rsidR="000A156F" w:rsidRDefault="00A9721F">
            <w:pPr>
              <w:pStyle w:val="TableBodyText"/>
            </w:pPr>
            <w:r>
              <w:t xml:space="preserve">English - United States </w:t>
            </w:r>
          </w:p>
        </w:tc>
        <w:tc>
          <w:tcPr>
            <w:tcW w:w="0" w:type="auto"/>
            <w:vAlign w:val="center"/>
          </w:tcPr>
          <w:p w:rsidR="000A156F" w:rsidRDefault="00A9721F">
            <w:pPr>
              <w:pStyle w:val="TableBodyText"/>
            </w:pPr>
            <w:r>
              <w:t>en-US</w:t>
            </w:r>
          </w:p>
        </w:tc>
      </w:tr>
      <w:tr w:rsidR="000A156F" w:rsidTr="000A156F">
        <w:tc>
          <w:tcPr>
            <w:tcW w:w="0" w:type="auto"/>
            <w:vAlign w:val="center"/>
          </w:tcPr>
          <w:p w:rsidR="000A156F" w:rsidRDefault="00A9721F">
            <w:pPr>
              <w:pStyle w:val="TableBodyText"/>
            </w:pPr>
            <w:r>
              <w:t xml:space="preserve">English - South Africa </w:t>
            </w:r>
          </w:p>
        </w:tc>
        <w:tc>
          <w:tcPr>
            <w:tcW w:w="0" w:type="auto"/>
            <w:vAlign w:val="center"/>
          </w:tcPr>
          <w:p w:rsidR="000A156F" w:rsidRDefault="00A9721F">
            <w:pPr>
              <w:pStyle w:val="TableBodyText"/>
            </w:pPr>
            <w:r>
              <w:t>en-ZA</w:t>
            </w:r>
          </w:p>
        </w:tc>
      </w:tr>
      <w:tr w:rsidR="000A156F" w:rsidTr="000A156F">
        <w:tc>
          <w:tcPr>
            <w:tcW w:w="0" w:type="auto"/>
            <w:vAlign w:val="center"/>
          </w:tcPr>
          <w:p w:rsidR="000A156F" w:rsidRDefault="00A9721F">
            <w:pPr>
              <w:pStyle w:val="TableBodyText"/>
            </w:pPr>
            <w:r>
              <w:t xml:space="preserve">English - Zimbabwe </w:t>
            </w:r>
          </w:p>
        </w:tc>
        <w:tc>
          <w:tcPr>
            <w:tcW w:w="0" w:type="auto"/>
            <w:vAlign w:val="center"/>
          </w:tcPr>
          <w:p w:rsidR="000A156F" w:rsidRDefault="00A9721F">
            <w:pPr>
              <w:pStyle w:val="TableBodyText"/>
            </w:pPr>
            <w:r>
              <w:t>en-ZW</w:t>
            </w:r>
          </w:p>
        </w:tc>
      </w:tr>
      <w:tr w:rsidR="000A156F" w:rsidTr="000A156F">
        <w:tc>
          <w:tcPr>
            <w:tcW w:w="0" w:type="auto"/>
            <w:vAlign w:val="center"/>
          </w:tcPr>
          <w:p w:rsidR="000A156F" w:rsidRDefault="00A9721F">
            <w:pPr>
              <w:pStyle w:val="TableBodyText"/>
            </w:pPr>
            <w:r>
              <w:t xml:space="preserve">Spanish - Latin America </w:t>
            </w:r>
          </w:p>
        </w:tc>
        <w:tc>
          <w:tcPr>
            <w:tcW w:w="0" w:type="auto"/>
            <w:vAlign w:val="center"/>
          </w:tcPr>
          <w:p w:rsidR="000A156F" w:rsidRDefault="00A9721F">
            <w:pPr>
              <w:pStyle w:val="TableBodyText"/>
            </w:pPr>
            <w:r>
              <w:t>es-419</w:t>
            </w:r>
          </w:p>
        </w:tc>
      </w:tr>
      <w:tr w:rsidR="000A156F" w:rsidTr="000A156F">
        <w:tc>
          <w:tcPr>
            <w:tcW w:w="0" w:type="auto"/>
            <w:vAlign w:val="center"/>
          </w:tcPr>
          <w:p w:rsidR="000A156F" w:rsidRDefault="00A9721F">
            <w:pPr>
              <w:pStyle w:val="TableBodyText"/>
            </w:pPr>
            <w:r>
              <w:t xml:space="preserve">Spanish - Argentina </w:t>
            </w:r>
          </w:p>
        </w:tc>
        <w:tc>
          <w:tcPr>
            <w:tcW w:w="0" w:type="auto"/>
            <w:vAlign w:val="center"/>
          </w:tcPr>
          <w:p w:rsidR="000A156F" w:rsidRDefault="00A9721F">
            <w:pPr>
              <w:pStyle w:val="TableBodyText"/>
            </w:pPr>
            <w:r>
              <w:t>es-AR</w:t>
            </w:r>
          </w:p>
        </w:tc>
      </w:tr>
      <w:tr w:rsidR="000A156F" w:rsidTr="000A156F">
        <w:tc>
          <w:tcPr>
            <w:tcW w:w="0" w:type="auto"/>
            <w:vAlign w:val="center"/>
          </w:tcPr>
          <w:p w:rsidR="000A156F" w:rsidRDefault="00A9721F">
            <w:pPr>
              <w:pStyle w:val="TableBodyText"/>
            </w:pPr>
            <w:r>
              <w:t xml:space="preserve">Spanish - Bolivia </w:t>
            </w:r>
          </w:p>
        </w:tc>
        <w:tc>
          <w:tcPr>
            <w:tcW w:w="0" w:type="auto"/>
            <w:vAlign w:val="center"/>
          </w:tcPr>
          <w:p w:rsidR="000A156F" w:rsidRDefault="00A9721F">
            <w:pPr>
              <w:pStyle w:val="TableBodyText"/>
            </w:pPr>
            <w:r>
              <w:t>es-BO</w:t>
            </w:r>
          </w:p>
        </w:tc>
      </w:tr>
      <w:tr w:rsidR="000A156F" w:rsidTr="000A156F">
        <w:tc>
          <w:tcPr>
            <w:tcW w:w="0" w:type="auto"/>
            <w:vAlign w:val="center"/>
          </w:tcPr>
          <w:p w:rsidR="000A156F" w:rsidRDefault="00A9721F">
            <w:pPr>
              <w:pStyle w:val="TableBodyText"/>
            </w:pPr>
            <w:r>
              <w:t xml:space="preserve">Spanish - Chile </w:t>
            </w:r>
          </w:p>
        </w:tc>
        <w:tc>
          <w:tcPr>
            <w:tcW w:w="0" w:type="auto"/>
            <w:vAlign w:val="center"/>
          </w:tcPr>
          <w:p w:rsidR="000A156F" w:rsidRDefault="00A9721F">
            <w:pPr>
              <w:pStyle w:val="TableBodyText"/>
            </w:pPr>
            <w:r>
              <w:t>es-CL</w:t>
            </w:r>
          </w:p>
        </w:tc>
      </w:tr>
      <w:tr w:rsidR="000A156F" w:rsidTr="000A156F">
        <w:tc>
          <w:tcPr>
            <w:tcW w:w="0" w:type="auto"/>
            <w:vAlign w:val="center"/>
          </w:tcPr>
          <w:p w:rsidR="000A156F" w:rsidRDefault="00A9721F">
            <w:pPr>
              <w:pStyle w:val="TableBodyText"/>
            </w:pPr>
            <w:r>
              <w:t xml:space="preserve">Spanish - Colombia </w:t>
            </w:r>
          </w:p>
        </w:tc>
        <w:tc>
          <w:tcPr>
            <w:tcW w:w="0" w:type="auto"/>
            <w:vAlign w:val="center"/>
          </w:tcPr>
          <w:p w:rsidR="000A156F" w:rsidRDefault="00A9721F">
            <w:pPr>
              <w:pStyle w:val="TableBodyText"/>
            </w:pPr>
            <w:r>
              <w:t>es-CO</w:t>
            </w:r>
          </w:p>
        </w:tc>
      </w:tr>
      <w:tr w:rsidR="000A156F" w:rsidTr="000A156F">
        <w:tc>
          <w:tcPr>
            <w:tcW w:w="0" w:type="auto"/>
            <w:vAlign w:val="center"/>
          </w:tcPr>
          <w:p w:rsidR="000A156F" w:rsidRDefault="00A9721F">
            <w:pPr>
              <w:pStyle w:val="TableBodyText"/>
            </w:pPr>
            <w:r>
              <w:t xml:space="preserve">Spanish - Costa Rica </w:t>
            </w:r>
          </w:p>
        </w:tc>
        <w:tc>
          <w:tcPr>
            <w:tcW w:w="0" w:type="auto"/>
            <w:vAlign w:val="center"/>
          </w:tcPr>
          <w:p w:rsidR="000A156F" w:rsidRDefault="00A9721F">
            <w:pPr>
              <w:pStyle w:val="TableBodyText"/>
            </w:pPr>
            <w:r>
              <w:t>es-CR</w:t>
            </w:r>
          </w:p>
        </w:tc>
      </w:tr>
      <w:tr w:rsidR="000A156F" w:rsidTr="000A156F">
        <w:tc>
          <w:tcPr>
            <w:tcW w:w="0" w:type="auto"/>
            <w:vAlign w:val="center"/>
          </w:tcPr>
          <w:p w:rsidR="000A156F" w:rsidRDefault="00A9721F">
            <w:pPr>
              <w:pStyle w:val="TableBodyText"/>
            </w:pPr>
            <w:r>
              <w:t xml:space="preserve">Spanish - Dominican Republic </w:t>
            </w:r>
          </w:p>
        </w:tc>
        <w:tc>
          <w:tcPr>
            <w:tcW w:w="0" w:type="auto"/>
            <w:vAlign w:val="center"/>
          </w:tcPr>
          <w:p w:rsidR="000A156F" w:rsidRDefault="00A9721F">
            <w:pPr>
              <w:pStyle w:val="TableBodyText"/>
            </w:pPr>
            <w:r>
              <w:t>es-DO</w:t>
            </w:r>
          </w:p>
        </w:tc>
      </w:tr>
      <w:tr w:rsidR="000A156F" w:rsidTr="000A156F">
        <w:tc>
          <w:tcPr>
            <w:tcW w:w="0" w:type="auto"/>
            <w:vAlign w:val="center"/>
          </w:tcPr>
          <w:p w:rsidR="000A156F" w:rsidRDefault="00A9721F">
            <w:pPr>
              <w:pStyle w:val="TableBodyText"/>
            </w:pPr>
            <w:r>
              <w:t xml:space="preserve">Spanish - Ecuador </w:t>
            </w:r>
          </w:p>
        </w:tc>
        <w:tc>
          <w:tcPr>
            <w:tcW w:w="0" w:type="auto"/>
            <w:vAlign w:val="center"/>
          </w:tcPr>
          <w:p w:rsidR="000A156F" w:rsidRDefault="00A9721F">
            <w:pPr>
              <w:pStyle w:val="TableBodyText"/>
            </w:pPr>
            <w:r>
              <w:t>es-EC</w:t>
            </w:r>
          </w:p>
        </w:tc>
      </w:tr>
      <w:tr w:rsidR="000A156F" w:rsidTr="000A156F">
        <w:tc>
          <w:tcPr>
            <w:tcW w:w="0" w:type="auto"/>
            <w:vAlign w:val="center"/>
          </w:tcPr>
          <w:p w:rsidR="000A156F" w:rsidRDefault="00A9721F">
            <w:pPr>
              <w:pStyle w:val="TableBodyText"/>
            </w:pPr>
            <w:r>
              <w:t xml:space="preserve">Spanish - Spain (Traditional Sort) </w:t>
            </w:r>
          </w:p>
        </w:tc>
        <w:tc>
          <w:tcPr>
            <w:tcW w:w="0" w:type="auto"/>
            <w:vAlign w:val="center"/>
          </w:tcPr>
          <w:p w:rsidR="000A156F" w:rsidRDefault="00A9721F">
            <w:pPr>
              <w:pStyle w:val="TableBodyText"/>
            </w:pPr>
            <w:r>
              <w:t>es-ES</w:t>
            </w:r>
          </w:p>
        </w:tc>
      </w:tr>
      <w:tr w:rsidR="000A156F" w:rsidTr="000A156F">
        <w:tc>
          <w:tcPr>
            <w:tcW w:w="0" w:type="auto"/>
            <w:vAlign w:val="center"/>
          </w:tcPr>
          <w:p w:rsidR="000A156F" w:rsidRDefault="00A9721F">
            <w:pPr>
              <w:pStyle w:val="TableBodyText"/>
            </w:pPr>
            <w:r>
              <w:t xml:space="preserve">Spanish - Spain (Modern Sort) </w:t>
            </w:r>
          </w:p>
        </w:tc>
        <w:tc>
          <w:tcPr>
            <w:tcW w:w="0" w:type="auto"/>
            <w:vAlign w:val="center"/>
          </w:tcPr>
          <w:p w:rsidR="000A156F" w:rsidRDefault="00A9721F">
            <w:pPr>
              <w:pStyle w:val="TableBodyText"/>
            </w:pPr>
            <w:r>
              <w:t>es-ES</w:t>
            </w:r>
          </w:p>
        </w:tc>
      </w:tr>
      <w:tr w:rsidR="000A156F" w:rsidTr="000A156F">
        <w:tc>
          <w:tcPr>
            <w:tcW w:w="0" w:type="auto"/>
            <w:vAlign w:val="center"/>
          </w:tcPr>
          <w:p w:rsidR="000A156F" w:rsidRDefault="00A9721F">
            <w:pPr>
              <w:pStyle w:val="TableBodyText"/>
            </w:pPr>
            <w:r>
              <w:t xml:space="preserve">Spanish - Guatemala </w:t>
            </w:r>
          </w:p>
        </w:tc>
        <w:tc>
          <w:tcPr>
            <w:tcW w:w="0" w:type="auto"/>
            <w:vAlign w:val="center"/>
          </w:tcPr>
          <w:p w:rsidR="000A156F" w:rsidRDefault="00A9721F">
            <w:pPr>
              <w:pStyle w:val="TableBodyText"/>
            </w:pPr>
            <w:r>
              <w:t>es-GT</w:t>
            </w:r>
          </w:p>
        </w:tc>
      </w:tr>
      <w:tr w:rsidR="000A156F" w:rsidTr="000A156F">
        <w:tc>
          <w:tcPr>
            <w:tcW w:w="0" w:type="auto"/>
            <w:vAlign w:val="center"/>
          </w:tcPr>
          <w:p w:rsidR="000A156F" w:rsidRDefault="00A9721F">
            <w:pPr>
              <w:pStyle w:val="TableBodyText"/>
            </w:pPr>
            <w:r>
              <w:t xml:space="preserve">Spanish - Honduras </w:t>
            </w:r>
          </w:p>
        </w:tc>
        <w:tc>
          <w:tcPr>
            <w:tcW w:w="0" w:type="auto"/>
            <w:vAlign w:val="center"/>
          </w:tcPr>
          <w:p w:rsidR="000A156F" w:rsidRDefault="00A9721F">
            <w:pPr>
              <w:pStyle w:val="TableBodyText"/>
            </w:pPr>
            <w:r>
              <w:t>es-HN</w:t>
            </w:r>
          </w:p>
        </w:tc>
      </w:tr>
      <w:tr w:rsidR="000A156F" w:rsidTr="000A156F">
        <w:tc>
          <w:tcPr>
            <w:tcW w:w="0" w:type="auto"/>
            <w:vAlign w:val="center"/>
          </w:tcPr>
          <w:p w:rsidR="000A156F" w:rsidRDefault="00A9721F">
            <w:pPr>
              <w:pStyle w:val="TableBodyText"/>
            </w:pPr>
            <w:r>
              <w:t xml:space="preserve">Spanish - Mexico </w:t>
            </w:r>
          </w:p>
        </w:tc>
        <w:tc>
          <w:tcPr>
            <w:tcW w:w="0" w:type="auto"/>
            <w:vAlign w:val="center"/>
          </w:tcPr>
          <w:p w:rsidR="000A156F" w:rsidRDefault="00A9721F">
            <w:pPr>
              <w:pStyle w:val="TableBodyText"/>
            </w:pPr>
            <w:r>
              <w:t>es-MX</w:t>
            </w:r>
          </w:p>
        </w:tc>
      </w:tr>
      <w:tr w:rsidR="000A156F" w:rsidTr="000A156F">
        <w:tc>
          <w:tcPr>
            <w:tcW w:w="0" w:type="auto"/>
            <w:vAlign w:val="center"/>
          </w:tcPr>
          <w:p w:rsidR="000A156F" w:rsidRDefault="00A9721F">
            <w:pPr>
              <w:pStyle w:val="TableBodyText"/>
            </w:pPr>
            <w:r>
              <w:t xml:space="preserve">Spanish - Nicaragua </w:t>
            </w:r>
          </w:p>
        </w:tc>
        <w:tc>
          <w:tcPr>
            <w:tcW w:w="0" w:type="auto"/>
            <w:vAlign w:val="center"/>
          </w:tcPr>
          <w:p w:rsidR="000A156F" w:rsidRDefault="00A9721F">
            <w:pPr>
              <w:pStyle w:val="TableBodyText"/>
            </w:pPr>
            <w:r>
              <w:t>es-NI</w:t>
            </w:r>
          </w:p>
        </w:tc>
      </w:tr>
      <w:tr w:rsidR="000A156F" w:rsidTr="000A156F">
        <w:tc>
          <w:tcPr>
            <w:tcW w:w="0" w:type="auto"/>
            <w:vAlign w:val="center"/>
          </w:tcPr>
          <w:p w:rsidR="000A156F" w:rsidRDefault="00A9721F">
            <w:pPr>
              <w:pStyle w:val="TableBodyText"/>
            </w:pPr>
            <w:r>
              <w:t xml:space="preserve">Spanish - Panama </w:t>
            </w:r>
          </w:p>
        </w:tc>
        <w:tc>
          <w:tcPr>
            <w:tcW w:w="0" w:type="auto"/>
            <w:vAlign w:val="center"/>
          </w:tcPr>
          <w:p w:rsidR="000A156F" w:rsidRDefault="00A9721F">
            <w:pPr>
              <w:pStyle w:val="TableBodyText"/>
            </w:pPr>
            <w:r>
              <w:t>es-PA</w:t>
            </w:r>
          </w:p>
        </w:tc>
      </w:tr>
      <w:tr w:rsidR="000A156F" w:rsidTr="000A156F">
        <w:tc>
          <w:tcPr>
            <w:tcW w:w="0" w:type="auto"/>
            <w:vAlign w:val="center"/>
          </w:tcPr>
          <w:p w:rsidR="000A156F" w:rsidRDefault="00A9721F">
            <w:pPr>
              <w:pStyle w:val="TableBodyText"/>
            </w:pPr>
            <w:r>
              <w:t xml:space="preserve">Spanish - Peru </w:t>
            </w:r>
          </w:p>
        </w:tc>
        <w:tc>
          <w:tcPr>
            <w:tcW w:w="0" w:type="auto"/>
            <w:vAlign w:val="center"/>
          </w:tcPr>
          <w:p w:rsidR="000A156F" w:rsidRDefault="00A9721F">
            <w:pPr>
              <w:pStyle w:val="TableBodyText"/>
            </w:pPr>
            <w:r>
              <w:t>es-PE</w:t>
            </w:r>
          </w:p>
        </w:tc>
      </w:tr>
      <w:tr w:rsidR="000A156F" w:rsidTr="000A156F">
        <w:tc>
          <w:tcPr>
            <w:tcW w:w="0" w:type="auto"/>
            <w:vAlign w:val="center"/>
          </w:tcPr>
          <w:p w:rsidR="000A156F" w:rsidRDefault="00A9721F">
            <w:pPr>
              <w:pStyle w:val="TableBodyText"/>
            </w:pPr>
            <w:r>
              <w:t xml:space="preserve">Spanish - Puerto Rico </w:t>
            </w:r>
          </w:p>
        </w:tc>
        <w:tc>
          <w:tcPr>
            <w:tcW w:w="0" w:type="auto"/>
            <w:vAlign w:val="center"/>
          </w:tcPr>
          <w:p w:rsidR="000A156F" w:rsidRDefault="00A9721F">
            <w:pPr>
              <w:pStyle w:val="TableBodyText"/>
            </w:pPr>
            <w:r>
              <w:t>es-PR</w:t>
            </w:r>
          </w:p>
        </w:tc>
      </w:tr>
      <w:tr w:rsidR="000A156F" w:rsidTr="000A156F">
        <w:tc>
          <w:tcPr>
            <w:tcW w:w="0" w:type="auto"/>
            <w:vAlign w:val="center"/>
          </w:tcPr>
          <w:p w:rsidR="000A156F" w:rsidRDefault="00A9721F">
            <w:pPr>
              <w:pStyle w:val="TableBodyText"/>
            </w:pPr>
            <w:r>
              <w:t xml:space="preserve">Spanish - Paraguay </w:t>
            </w:r>
          </w:p>
        </w:tc>
        <w:tc>
          <w:tcPr>
            <w:tcW w:w="0" w:type="auto"/>
            <w:vAlign w:val="center"/>
          </w:tcPr>
          <w:p w:rsidR="000A156F" w:rsidRDefault="00A9721F">
            <w:pPr>
              <w:pStyle w:val="TableBodyText"/>
            </w:pPr>
            <w:r>
              <w:t>es-PY</w:t>
            </w:r>
          </w:p>
        </w:tc>
      </w:tr>
      <w:tr w:rsidR="000A156F" w:rsidTr="000A156F">
        <w:tc>
          <w:tcPr>
            <w:tcW w:w="0" w:type="auto"/>
            <w:vAlign w:val="center"/>
          </w:tcPr>
          <w:p w:rsidR="000A156F" w:rsidRDefault="00A9721F">
            <w:pPr>
              <w:pStyle w:val="TableBodyText"/>
            </w:pPr>
            <w:r>
              <w:t xml:space="preserve">Spanish - El Salvador </w:t>
            </w:r>
          </w:p>
        </w:tc>
        <w:tc>
          <w:tcPr>
            <w:tcW w:w="0" w:type="auto"/>
            <w:vAlign w:val="center"/>
          </w:tcPr>
          <w:p w:rsidR="000A156F" w:rsidRDefault="00A9721F">
            <w:pPr>
              <w:pStyle w:val="TableBodyText"/>
            </w:pPr>
            <w:r>
              <w:t>es-SV</w:t>
            </w:r>
          </w:p>
        </w:tc>
      </w:tr>
      <w:tr w:rsidR="000A156F" w:rsidTr="000A156F">
        <w:tc>
          <w:tcPr>
            <w:tcW w:w="0" w:type="auto"/>
            <w:vAlign w:val="center"/>
          </w:tcPr>
          <w:p w:rsidR="000A156F" w:rsidRDefault="00A9721F">
            <w:pPr>
              <w:pStyle w:val="TableBodyText"/>
            </w:pPr>
            <w:r>
              <w:lastRenderedPageBreak/>
              <w:t xml:space="preserve">Spanish - United States </w:t>
            </w:r>
          </w:p>
        </w:tc>
        <w:tc>
          <w:tcPr>
            <w:tcW w:w="0" w:type="auto"/>
            <w:vAlign w:val="center"/>
          </w:tcPr>
          <w:p w:rsidR="000A156F" w:rsidRDefault="00A9721F">
            <w:pPr>
              <w:pStyle w:val="TableBodyText"/>
            </w:pPr>
            <w:r>
              <w:t>es-US</w:t>
            </w:r>
          </w:p>
        </w:tc>
      </w:tr>
      <w:tr w:rsidR="000A156F" w:rsidTr="000A156F">
        <w:tc>
          <w:tcPr>
            <w:tcW w:w="0" w:type="auto"/>
            <w:vAlign w:val="center"/>
          </w:tcPr>
          <w:p w:rsidR="000A156F" w:rsidRDefault="00A9721F">
            <w:pPr>
              <w:pStyle w:val="TableBodyText"/>
            </w:pPr>
            <w:r>
              <w:t xml:space="preserve">Spanish - Uruguay </w:t>
            </w:r>
          </w:p>
        </w:tc>
        <w:tc>
          <w:tcPr>
            <w:tcW w:w="0" w:type="auto"/>
            <w:vAlign w:val="center"/>
          </w:tcPr>
          <w:p w:rsidR="000A156F" w:rsidRDefault="00A9721F">
            <w:pPr>
              <w:pStyle w:val="TableBodyText"/>
            </w:pPr>
            <w:r>
              <w:t>es-UY</w:t>
            </w:r>
          </w:p>
        </w:tc>
      </w:tr>
      <w:tr w:rsidR="000A156F" w:rsidTr="000A156F">
        <w:tc>
          <w:tcPr>
            <w:tcW w:w="0" w:type="auto"/>
            <w:vAlign w:val="center"/>
          </w:tcPr>
          <w:p w:rsidR="000A156F" w:rsidRDefault="00A9721F">
            <w:pPr>
              <w:pStyle w:val="TableBodyText"/>
            </w:pPr>
            <w:r>
              <w:t xml:space="preserve">Spanish - Venezuela </w:t>
            </w:r>
          </w:p>
        </w:tc>
        <w:tc>
          <w:tcPr>
            <w:tcW w:w="0" w:type="auto"/>
            <w:vAlign w:val="center"/>
          </w:tcPr>
          <w:p w:rsidR="000A156F" w:rsidRDefault="00A9721F">
            <w:pPr>
              <w:pStyle w:val="TableBodyText"/>
            </w:pPr>
            <w:r>
              <w:t>es-VE</w:t>
            </w:r>
          </w:p>
        </w:tc>
      </w:tr>
      <w:tr w:rsidR="000A156F" w:rsidTr="000A156F">
        <w:tc>
          <w:tcPr>
            <w:tcW w:w="0" w:type="auto"/>
            <w:vAlign w:val="center"/>
          </w:tcPr>
          <w:p w:rsidR="000A156F" w:rsidRDefault="00A9721F">
            <w:pPr>
              <w:pStyle w:val="TableBodyText"/>
            </w:pPr>
            <w:r>
              <w:t xml:space="preserve">Estonian </w:t>
            </w:r>
          </w:p>
        </w:tc>
        <w:tc>
          <w:tcPr>
            <w:tcW w:w="0" w:type="auto"/>
            <w:vAlign w:val="center"/>
          </w:tcPr>
          <w:p w:rsidR="000A156F" w:rsidRDefault="00A9721F">
            <w:pPr>
              <w:pStyle w:val="TableBodyText"/>
            </w:pPr>
            <w:r>
              <w:t>et-EE</w:t>
            </w:r>
          </w:p>
        </w:tc>
      </w:tr>
      <w:tr w:rsidR="000A156F" w:rsidTr="000A156F">
        <w:tc>
          <w:tcPr>
            <w:tcW w:w="0" w:type="auto"/>
            <w:vAlign w:val="center"/>
          </w:tcPr>
          <w:p w:rsidR="000A156F" w:rsidRDefault="00A9721F">
            <w:pPr>
              <w:pStyle w:val="TableBodyText"/>
            </w:pPr>
            <w:r>
              <w:t xml:space="preserve">Basque </w:t>
            </w:r>
          </w:p>
        </w:tc>
        <w:tc>
          <w:tcPr>
            <w:tcW w:w="0" w:type="auto"/>
            <w:vAlign w:val="center"/>
          </w:tcPr>
          <w:p w:rsidR="000A156F" w:rsidRDefault="00A9721F">
            <w:pPr>
              <w:pStyle w:val="TableBodyText"/>
            </w:pPr>
            <w:r>
              <w:t>eu-ES</w:t>
            </w:r>
          </w:p>
        </w:tc>
      </w:tr>
      <w:tr w:rsidR="000A156F" w:rsidTr="000A156F">
        <w:tc>
          <w:tcPr>
            <w:tcW w:w="0" w:type="auto"/>
            <w:vAlign w:val="center"/>
          </w:tcPr>
          <w:p w:rsidR="000A156F" w:rsidRDefault="00A9721F">
            <w:pPr>
              <w:pStyle w:val="TableBodyText"/>
            </w:pPr>
            <w:r>
              <w:t xml:space="preserve">Persian </w:t>
            </w:r>
          </w:p>
        </w:tc>
        <w:tc>
          <w:tcPr>
            <w:tcW w:w="0" w:type="auto"/>
            <w:vAlign w:val="center"/>
          </w:tcPr>
          <w:p w:rsidR="000A156F" w:rsidRDefault="00A9721F">
            <w:pPr>
              <w:pStyle w:val="TableBodyText"/>
            </w:pPr>
            <w:r>
              <w:t>fa-IR</w:t>
            </w:r>
          </w:p>
        </w:tc>
      </w:tr>
      <w:tr w:rsidR="000A156F" w:rsidTr="000A156F">
        <w:tc>
          <w:tcPr>
            <w:tcW w:w="0" w:type="auto"/>
            <w:vAlign w:val="center"/>
          </w:tcPr>
          <w:p w:rsidR="000A156F" w:rsidRDefault="00A9721F">
            <w:pPr>
              <w:pStyle w:val="TableBodyText"/>
            </w:pPr>
            <w:r>
              <w:t xml:space="preserve">Finnish </w:t>
            </w:r>
          </w:p>
        </w:tc>
        <w:tc>
          <w:tcPr>
            <w:tcW w:w="0" w:type="auto"/>
            <w:vAlign w:val="center"/>
          </w:tcPr>
          <w:p w:rsidR="000A156F" w:rsidRDefault="00A9721F">
            <w:pPr>
              <w:pStyle w:val="TableBodyText"/>
            </w:pPr>
            <w:r>
              <w:t>fi-FI</w:t>
            </w:r>
          </w:p>
        </w:tc>
      </w:tr>
      <w:tr w:rsidR="000A156F" w:rsidTr="000A156F">
        <w:tc>
          <w:tcPr>
            <w:tcW w:w="0" w:type="auto"/>
            <w:vAlign w:val="center"/>
          </w:tcPr>
          <w:p w:rsidR="000A156F" w:rsidRDefault="00A9721F">
            <w:pPr>
              <w:pStyle w:val="TableBodyText"/>
            </w:pPr>
            <w:r>
              <w:t xml:space="preserve">Filipino </w:t>
            </w:r>
          </w:p>
        </w:tc>
        <w:tc>
          <w:tcPr>
            <w:tcW w:w="0" w:type="auto"/>
            <w:vAlign w:val="center"/>
          </w:tcPr>
          <w:p w:rsidR="000A156F" w:rsidRDefault="00A9721F">
            <w:pPr>
              <w:pStyle w:val="TableBodyText"/>
            </w:pPr>
            <w:r>
              <w:t>fil-PH</w:t>
            </w:r>
          </w:p>
        </w:tc>
      </w:tr>
      <w:tr w:rsidR="000A156F" w:rsidTr="000A156F">
        <w:tc>
          <w:tcPr>
            <w:tcW w:w="0" w:type="auto"/>
            <w:vAlign w:val="center"/>
          </w:tcPr>
          <w:p w:rsidR="000A156F" w:rsidRDefault="00A9721F">
            <w:pPr>
              <w:pStyle w:val="TableBodyText"/>
            </w:pPr>
            <w:r>
              <w:t xml:space="preserve">Faroese </w:t>
            </w:r>
          </w:p>
        </w:tc>
        <w:tc>
          <w:tcPr>
            <w:tcW w:w="0" w:type="auto"/>
            <w:vAlign w:val="center"/>
          </w:tcPr>
          <w:p w:rsidR="000A156F" w:rsidRDefault="00A9721F">
            <w:pPr>
              <w:pStyle w:val="TableBodyText"/>
            </w:pPr>
            <w:r>
              <w:t>fo-FO</w:t>
            </w:r>
          </w:p>
        </w:tc>
      </w:tr>
      <w:tr w:rsidR="000A156F" w:rsidTr="000A156F">
        <w:tc>
          <w:tcPr>
            <w:tcW w:w="0" w:type="auto"/>
            <w:vAlign w:val="center"/>
          </w:tcPr>
          <w:p w:rsidR="000A156F" w:rsidRDefault="00A9721F">
            <w:pPr>
              <w:pStyle w:val="TableBodyText"/>
            </w:pPr>
            <w:r>
              <w:t xml:space="preserve">French - North Africa </w:t>
            </w:r>
          </w:p>
        </w:tc>
        <w:tc>
          <w:tcPr>
            <w:tcW w:w="0" w:type="auto"/>
            <w:vAlign w:val="center"/>
          </w:tcPr>
          <w:p w:rsidR="000A156F" w:rsidRDefault="00A9721F">
            <w:pPr>
              <w:pStyle w:val="TableBodyText"/>
            </w:pPr>
            <w:r>
              <w:t>fr-015</w:t>
            </w:r>
          </w:p>
        </w:tc>
      </w:tr>
      <w:tr w:rsidR="000A156F" w:rsidTr="000A156F">
        <w:tc>
          <w:tcPr>
            <w:tcW w:w="0" w:type="auto"/>
            <w:vAlign w:val="center"/>
          </w:tcPr>
          <w:p w:rsidR="000A156F" w:rsidRDefault="00A9721F">
            <w:pPr>
              <w:pStyle w:val="TableBodyText"/>
            </w:pPr>
            <w:r>
              <w:t xml:space="preserve">French - West Indies </w:t>
            </w:r>
          </w:p>
        </w:tc>
        <w:tc>
          <w:tcPr>
            <w:tcW w:w="0" w:type="auto"/>
            <w:vAlign w:val="center"/>
          </w:tcPr>
          <w:p w:rsidR="000A156F" w:rsidRDefault="00A9721F">
            <w:pPr>
              <w:pStyle w:val="TableBodyText"/>
            </w:pPr>
            <w:r>
              <w:t>fr-029</w:t>
            </w:r>
          </w:p>
        </w:tc>
      </w:tr>
      <w:tr w:rsidR="000A156F" w:rsidTr="000A156F">
        <w:tc>
          <w:tcPr>
            <w:tcW w:w="0" w:type="auto"/>
            <w:vAlign w:val="center"/>
          </w:tcPr>
          <w:p w:rsidR="000A156F" w:rsidRDefault="00A9721F">
            <w:pPr>
              <w:pStyle w:val="TableBodyText"/>
            </w:pPr>
            <w:r>
              <w:t xml:space="preserve">French - Belgium </w:t>
            </w:r>
          </w:p>
        </w:tc>
        <w:tc>
          <w:tcPr>
            <w:tcW w:w="0" w:type="auto"/>
            <w:vAlign w:val="center"/>
          </w:tcPr>
          <w:p w:rsidR="000A156F" w:rsidRDefault="00A9721F">
            <w:pPr>
              <w:pStyle w:val="TableBodyText"/>
            </w:pPr>
            <w:r>
              <w:t>fr-BE</w:t>
            </w:r>
          </w:p>
        </w:tc>
      </w:tr>
      <w:tr w:rsidR="000A156F" w:rsidTr="000A156F">
        <w:tc>
          <w:tcPr>
            <w:tcW w:w="0" w:type="auto"/>
            <w:vAlign w:val="center"/>
          </w:tcPr>
          <w:p w:rsidR="000A156F" w:rsidRDefault="00A9721F">
            <w:pPr>
              <w:pStyle w:val="TableBodyText"/>
            </w:pPr>
            <w:r>
              <w:t xml:space="preserve">French - Canada </w:t>
            </w:r>
          </w:p>
        </w:tc>
        <w:tc>
          <w:tcPr>
            <w:tcW w:w="0" w:type="auto"/>
            <w:vAlign w:val="center"/>
          </w:tcPr>
          <w:p w:rsidR="000A156F" w:rsidRDefault="00A9721F">
            <w:pPr>
              <w:pStyle w:val="TableBodyText"/>
            </w:pPr>
            <w:r>
              <w:t>fr-CA</w:t>
            </w:r>
          </w:p>
        </w:tc>
      </w:tr>
      <w:tr w:rsidR="000A156F" w:rsidTr="000A156F">
        <w:tc>
          <w:tcPr>
            <w:tcW w:w="0" w:type="auto"/>
            <w:vAlign w:val="center"/>
          </w:tcPr>
          <w:p w:rsidR="000A156F" w:rsidRDefault="00A9721F">
            <w:pPr>
              <w:pStyle w:val="TableBodyText"/>
            </w:pPr>
            <w:r>
              <w:t xml:space="preserve">French - Democratic Republic of the Congo  </w:t>
            </w:r>
          </w:p>
        </w:tc>
        <w:tc>
          <w:tcPr>
            <w:tcW w:w="0" w:type="auto"/>
            <w:vAlign w:val="center"/>
          </w:tcPr>
          <w:p w:rsidR="000A156F" w:rsidRDefault="00A9721F">
            <w:pPr>
              <w:pStyle w:val="TableBodyText"/>
            </w:pPr>
            <w:r>
              <w:t>fr-CG</w:t>
            </w:r>
          </w:p>
        </w:tc>
      </w:tr>
      <w:tr w:rsidR="000A156F" w:rsidTr="000A156F">
        <w:tc>
          <w:tcPr>
            <w:tcW w:w="0" w:type="auto"/>
            <w:vAlign w:val="center"/>
          </w:tcPr>
          <w:p w:rsidR="000A156F" w:rsidRDefault="00A9721F">
            <w:pPr>
              <w:pStyle w:val="TableBodyText"/>
            </w:pPr>
            <w:r>
              <w:t xml:space="preserve">French - Switzerland </w:t>
            </w:r>
          </w:p>
        </w:tc>
        <w:tc>
          <w:tcPr>
            <w:tcW w:w="0" w:type="auto"/>
            <w:vAlign w:val="center"/>
          </w:tcPr>
          <w:p w:rsidR="000A156F" w:rsidRDefault="00A9721F">
            <w:pPr>
              <w:pStyle w:val="TableBodyText"/>
            </w:pPr>
            <w:r>
              <w:t>fr-CH</w:t>
            </w:r>
          </w:p>
        </w:tc>
      </w:tr>
      <w:tr w:rsidR="000A156F" w:rsidTr="000A156F">
        <w:tc>
          <w:tcPr>
            <w:tcW w:w="0" w:type="auto"/>
            <w:vAlign w:val="center"/>
          </w:tcPr>
          <w:p w:rsidR="000A156F" w:rsidRDefault="00A9721F">
            <w:pPr>
              <w:pStyle w:val="TableBodyText"/>
            </w:pPr>
            <w:r>
              <w:t xml:space="preserve">French - Cote d'Ivoire </w:t>
            </w:r>
          </w:p>
        </w:tc>
        <w:tc>
          <w:tcPr>
            <w:tcW w:w="0" w:type="auto"/>
            <w:vAlign w:val="center"/>
          </w:tcPr>
          <w:p w:rsidR="000A156F" w:rsidRDefault="00A9721F">
            <w:pPr>
              <w:pStyle w:val="TableBodyText"/>
            </w:pPr>
            <w:r>
              <w:t>fr-CI</w:t>
            </w:r>
          </w:p>
        </w:tc>
      </w:tr>
      <w:tr w:rsidR="000A156F" w:rsidTr="000A156F">
        <w:tc>
          <w:tcPr>
            <w:tcW w:w="0" w:type="auto"/>
            <w:vAlign w:val="center"/>
          </w:tcPr>
          <w:p w:rsidR="000A156F" w:rsidRDefault="00A9721F">
            <w:pPr>
              <w:pStyle w:val="TableBodyText"/>
            </w:pPr>
            <w:r>
              <w:t xml:space="preserve">French - Cameroon </w:t>
            </w:r>
          </w:p>
        </w:tc>
        <w:tc>
          <w:tcPr>
            <w:tcW w:w="0" w:type="auto"/>
            <w:vAlign w:val="center"/>
          </w:tcPr>
          <w:p w:rsidR="000A156F" w:rsidRDefault="00A9721F">
            <w:pPr>
              <w:pStyle w:val="TableBodyText"/>
            </w:pPr>
            <w:r>
              <w:t>fr-CM</w:t>
            </w:r>
          </w:p>
        </w:tc>
      </w:tr>
      <w:tr w:rsidR="000A156F" w:rsidTr="000A156F">
        <w:tc>
          <w:tcPr>
            <w:tcW w:w="0" w:type="auto"/>
            <w:vAlign w:val="center"/>
          </w:tcPr>
          <w:p w:rsidR="000A156F" w:rsidRDefault="00A9721F">
            <w:pPr>
              <w:pStyle w:val="TableBodyText"/>
            </w:pPr>
            <w:r>
              <w:t xml:space="preserve">French - France </w:t>
            </w:r>
          </w:p>
        </w:tc>
        <w:tc>
          <w:tcPr>
            <w:tcW w:w="0" w:type="auto"/>
            <w:vAlign w:val="center"/>
          </w:tcPr>
          <w:p w:rsidR="000A156F" w:rsidRDefault="00A9721F">
            <w:pPr>
              <w:pStyle w:val="TableBodyText"/>
            </w:pPr>
            <w:r>
              <w:t>fr-FR</w:t>
            </w:r>
          </w:p>
        </w:tc>
      </w:tr>
      <w:tr w:rsidR="000A156F" w:rsidTr="000A156F">
        <w:tc>
          <w:tcPr>
            <w:tcW w:w="0" w:type="auto"/>
            <w:vAlign w:val="center"/>
          </w:tcPr>
          <w:p w:rsidR="000A156F" w:rsidRDefault="00A9721F">
            <w:pPr>
              <w:pStyle w:val="TableBodyText"/>
            </w:pPr>
            <w:r>
              <w:t xml:space="preserve">French - Haiti </w:t>
            </w:r>
          </w:p>
        </w:tc>
        <w:tc>
          <w:tcPr>
            <w:tcW w:w="0" w:type="auto"/>
            <w:vAlign w:val="center"/>
          </w:tcPr>
          <w:p w:rsidR="000A156F" w:rsidRDefault="00A9721F">
            <w:pPr>
              <w:pStyle w:val="TableBodyText"/>
            </w:pPr>
            <w:r>
              <w:t>fr-HT</w:t>
            </w:r>
          </w:p>
        </w:tc>
      </w:tr>
      <w:tr w:rsidR="000A156F" w:rsidTr="000A156F">
        <w:tc>
          <w:tcPr>
            <w:tcW w:w="0" w:type="auto"/>
            <w:vAlign w:val="center"/>
          </w:tcPr>
          <w:p w:rsidR="000A156F" w:rsidRDefault="00A9721F">
            <w:pPr>
              <w:pStyle w:val="TableBodyText"/>
            </w:pPr>
            <w:r>
              <w:t xml:space="preserve">French - Luxembourg </w:t>
            </w:r>
          </w:p>
        </w:tc>
        <w:tc>
          <w:tcPr>
            <w:tcW w:w="0" w:type="auto"/>
            <w:vAlign w:val="center"/>
          </w:tcPr>
          <w:p w:rsidR="000A156F" w:rsidRDefault="00A9721F">
            <w:pPr>
              <w:pStyle w:val="TableBodyText"/>
            </w:pPr>
            <w:r>
              <w:t>fr-LU</w:t>
            </w:r>
          </w:p>
        </w:tc>
      </w:tr>
      <w:tr w:rsidR="000A156F" w:rsidTr="000A156F">
        <w:tc>
          <w:tcPr>
            <w:tcW w:w="0" w:type="auto"/>
            <w:vAlign w:val="center"/>
          </w:tcPr>
          <w:p w:rsidR="000A156F" w:rsidRDefault="00A9721F">
            <w:pPr>
              <w:pStyle w:val="TableBodyText"/>
            </w:pPr>
            <w:r>
              <w:t xml:space="preserve">French - Morocco </w:t>
            </w:r>
          </w:p>
        </w:tc>
        <w:tc>
          <w:tcPr>
            <w:tcW w:w="0" w:type="auto"/>
            <w:vAlign w:val="center"/>
          </w:tcPr>
          <w:p w:rsidR="000A156F" w:rsidRDefault="00A9721F">
            <w:pPr>
              <w:pStyle w:val="TableBodyText"/>
            </w:pPr>
            <w:r>
              <w:t>fr-MA</w:t>
            </w:r>
          </w:p>
        </w:tc>
      </w:tr>
      <w:tr w:rsidR="000A156F" w:rsidTr="000A156F">
        <w:tc>
          <w:tcPr>
            <w:tcW w:w="0" w:type="auto"/>
            <w:vAlign w:val="center"/>
          </w:tcPr>
          <w:p w:rsidR="000A156F" w:rsidRDefault="00A9721F">
            <w:pPr>
              <w:pStyle w:val="TableBodyText"/>
            </w:pPr>
            <w:r>
              <w:t xml:space="preserve">French - Monaco </w:t>
            </w:r>
          </w:p>
        </w:tc>
        <w:tc>
          <w:tcPr>
            <w:tcW w:w="0" w:type="auto"/>
            <w:vAlign w:val="center"/>
          </w:tcPr>
          <w:p w:rsidR="000A156F" w:rsidRDefault="00A9721F">
            <w:pPr>
              <w:pStyle w:val="TableBodyText"/>
            </w:pPr>
            <w:r>
              <w:t>fr-MC</w:t>
            </w:r>
          </w:p>
        </w:tc>
      </w:tr>
      <w:tr w:rsidR="000A156F" w:rsidTr="000A156F">
        <w:tc>
          <w:tcPr>
            <w:tcW w:w="0" w:type="auto"/>
            <w:vAlign w:val="center"/>
          </w:tcPr>
          <w:p w:rsidR="000A156F" w:rsidRDefault="00A9721F">
            <w:pPr>
              <w:pStyle w:val="TableBodyText"/>
            </w:pPr>
            <w:r>
              <w:t xml:space="preserve">French - Mali </w:t>
            </w:r>
          </w:p>
        </w:tc>
        <w:tc>
          <w:tcPr>
            <w:tcW w:w="0" w:type="auto"/>
            <w:vAlign w:val="center"/>
          </w:tcPr>
          <w:p w:rsidR="000A156F" w:rsidRDefault="00A9721F">
            <w:pPr>
              <w:pStyle w:val="TableBodyText"/>
            </w:pPr>
            <w:r>
              <w:t>fr-ML</w:t>
            </w:r>
          </w:p>
        </w:tc>
      </w:tr>
      <w:tr w:rsidR="000A156F" w:rsidTr="000A156F">
        <w:tc>
          <w:tcPr>
            <w:tcW w:w="0" w:type="auto"/>
            <w:vAlign w:val="center"/>
          </w:tcPr>
          <w:p w:rsidR="000A156F" w:rsidRDefault="00A9721F">
            <w:pPr>
              <w:pStyle w:val="TableBodyText"/>
            </w:pPr>
            <w:r>
              <w:t xml:space="preserve">French - Réunion </w:t>
            </w:r>
          </w:p>
        </w:tc>
        <w:tc>
          <w:tcPr>
            <w:tcW w:w="0" w:type="auto"/>
            <w:vAlign w:val="center"/>
          </w:tcPr>
          <w:p w:rsidR="000A156F" w:rsidRDefault="00A9721F">
            <w:pPr>
              <w:pStyle w:val="TableBodyText"/>
            </w:pPr>
            <w:r>
              <w:t>fr-RE</w:t>
            </w:r>
          </w:p>
        </w:tc>
      </w:tr>
      <w:tr w:rsidR="000A156F" w:rsidTr="000A156F">
        <w:tc>
          <w:tcPr>
            <w:tcW w:w="0" w:type="auto"/>
            <w:vAlign w:val="center"/>
          </w:tcPr>
          <w:p w:rsidR="000A156F" w:rsidRDefault="00A9721F">
            <w:pPr>
              <w:pStyle w:val="TableBodyText"/>
            </w:pPr>
            <w:r>
              <w:t xml:space="preserve">French - Senegal </w:t>
            </w:r>
          </w:p>
        </w:tc>
        <w:tc>
          <w:tcPr>
            <w:tcW w:w="0" w:type="auto"/>
            <w:vAlign w:val="center"/>
          </w:tcPr>
          <w:p w:rsidR="000A156F" w:rsidRDefault="00A9721F">
            <w:pPr>
              <w:pStyle w:val="TableBodyText"/>
            </w:pPr>
            <w:r>
              <w:t>fr-SN</w:t>
            </w:r>
          </w:p>
        </w:tc>
      </w:tr>
      <w:tr w:rsidR="000A156F" w:rsidTr="000A156F">
        <w:tc>
          <w:tcPr>
            <w:tcW w:w="0" w:type="auto"/>
            <w:vAlign w:val="center"/>
          </w:tcPr>
          <w:p w:rsidR="000A156F" w:rsidRDefault="00A9721F">
            <w:pPr>
              <w:pStyle w:val="TableBodyText"/>
            </w:pPr>
            <w:r>
              <w:t xml:space="preserve">Fulfulde - Nigeria </w:t>
            </w:r>
          </w:p>
        </w:tc>
        <w:tc>
          <w:tcPr>
            <w:tcW w:w="0" w:type="auto"/>
            <w:vAlign w:val="center"/>
          </w:tcPr>
          <w:p w:rsidR="000A156F" w:rsidRDefault="00A9721F">
            <w:pPr>
              <w:pStyle w:val="TableBodyText"/>
            </w:pPr>
            <w:r>
              <w:t>fuv-NG</w:t>
            </w:r>
          </w:p>
        </w:tc>
      </w:tr>
      <w:tr w:rsidR="000A156F" w:rsidTr="000A156F">
        <w:tc>
          <w:tcPr>
            <w:tcW w:w="0" w:type="auto"/>
            <w:vAlign w:val="center"/>
          </w:tcPr>
          <w:p w:rsidR="000A156F" w:rsidRDefault="00A9721F">
            <w:pPr>
              <w:pStyle w:val="TableBodyText"/>
            </w:pPr>
            <w:r>
              <w:t xml:space="preserve">Frisian - Netherlands </w:t>
            </w:r>
          </w:p>
        </w:tc>
        <w:tc>
          <w:tcPr>
            <w:tcW w:w="0" w:type="auto"/>
            <w:vAlign w:val="center"/>
          </w:tcPr>
          <w:p w:rsidR="000A156F" w:rsidRDefault="00A9721F">
            <w:pPr>
              <w:pStyle w:val="TableBodyText"/>
            </w:pPr>
            <w:r>
              <w:t>fy-NL</w:t>
            </w:r>
          </w:p>
        </w:tc>
      </w:tr>
      <w:tr w:rsidR="000A156F" w:rsidTr="000A156F">
        <w:tc>
          <w:tcPr>
            <w:tcW w:w="0" w:type="auto"/>
            <w:vAlign w:val="center"/>
          </w:tcPr>
          <w:p w:rsidR="000A156F" w:rsidRDefault="00A9721F">
            <w:pPr>
              <w:pStyle w:val="TableBodyText"/>
            </w:pPr>
            <w:r>
              <w:t xml:space="preserve">Irish (Ireland) </w:t>
            </w:r>
          </w:p>
        </w:tc>
        <w:tc>
          <w:tcPr>
            <w:tcW w:w="0" w:type="auto"/>
            <w:vAlign w:val="center"/>
          </w:tcPr>
          <w:p w:rsidR="000A156F" w:rsidRDefault="00A9721F">
            <w:pPr>
              <w:pStyle w:val="TableBodyText"/>
            </w:pPr>
            <w:r>
              <w:t>ga-IE</w:t>
            </w:r>
          </w:p>
        </w:tc>
      </w:tr>
      <w:tr w:rsidR="000A156F" w:rsidTr="000A156F">
        <w:tc>
          <w:tcPr>
            <w:tcW w:w="0" w:type="auto"/>
            <w:vAlign w:val="center"/>
          </w:tcPr>
          <w:p w:rsidR="000A156F" w:rsidRDefault="00A9721F">
            <w:pPr>
              <w:pStyle w:val="TableBodyText"/>
            </w:pPr>
            <w:r>
              <w:t xml:space="preserve">Oromo </w:t>
            </w:r>
          </w:p>
        </w:tc>
        <w:tc>
          <w:tcPr>
            <w:tcW w:w="0" w:type="auto"/>
            <w:vAlign w:val="center"/>
          </w:tcPr>
          <w:p w:rsidR="000A156F" w:rsidRDefault="00A9721F">
            <w:pPr>
              <w:pStyle w:val="TableBodyText"/>
            </w:pPr>
            <w:r>
              <w:t>gaz-ET</w:t>
            </w:r>
          </w:p>
        </w:tc>
      </w:tr>
      <w:tr w:rsidR="000A156F" w:rsidTr="000A156F">
        <w:tc>
          <w:tcPr>
            <w:tcW w:w="0" w:type="auto"/>
            <w:vAlign w:val="center"/>
          </w:tcPr>
          <w:p w:rsidR="000A156F" w:rsidRDefault="00A9721F">
            <w:pPr>
              <w:pStyle w:val="TableBodyText"/>
            </w:pPr>
            <w:r>
              <w:t xml:space="preserve">Scottish Gaelic (United Kingdom) </w:t>
            </w:r>
          </w:p>
        </w:tc>
        <w:tc>
          <w:tcPr>
            <w:tcW w:w="0" w:type="auto"/>
            <w:vAlign w:val="center"/>
          </w:tcPr>
          <w:p w:rsidR="000A156F" w:rsidRDefault="00A9721F">
            <w:pPr>
              <w:pStyle w:val="TableBodyText"/>
            </w:pPr>
            <w:r>
              <w:t>gd-GB</w:t>
            </w:r>
          </w:p>
        </w:tc>
      </w:tr>
      <w:tr w:rsidR="000A156F" w:rsidTr="000A156F">
        <w:tc>
          <w:tcPr>
            <w:tcW w:w="0" w:type="auto"/>
            <w:vAlign w:val="center"/>
          </w:tcPr>
          <w:p w:rsidR="000A156F" w:rsidRDefault="00A9721F">
            <w:pPr>
              <w:pStyle w:val="TableBodyText"/>
            </w:pPr>
            <w:r>
              <w:t xml:space="preserve">Galician </w:t>
            </w:r>
          </w:p>
        </w:tc>
        <w:tc>
          <w:tcPr>
            <w:tcW w:w="0" w:type="auto"/>
            <w:vAlign w:val="center"/>
          </w:tcPr>
          <w:p w:rsidR="000A156F" w:rsidRDefault="00A9721F">
            <w:pPr>
              <w:pStyle w:val="TableBodyText"/>
            </w:pPr>
            <w:r>
              <w:t>gl-ES</w:t>
            </w:r>
          </w:p>
        </w:tc>
      </w:tr>
      <w:tr w:rsidR="000A156F" w:rsidTr="000A156F">
        <w:tc>
          <w:tcPr>
            <w:tcW w:w="0" w:type="auto"/>
            <w:vAlign w:val="center"/>
          </w:tcPr>
          <w:p w:rsidR="000A156F" w:rsidRDefault="00A9721F">
            <w:pPr>
              <w:pStyle w:val="TableBodyText"/>
            </w:pPr>
            <w:r>
              <w:t xml:space="preserve">Guarani - Paraguay </w:t>
            </w:r>
          </w:p>
        </w:tc>
        <w:tc>
          <w:tcPr>
            <w:tcW w:w="0" w:type="auto"/>
            <w:vAlign w:val="center"/>
          </w:tcPr>
          <w:p w:rsidR="000A156F" w:rsidRDefault="00A9721F">
            <w:pPr>
              <w:pStyle w:val="TableBodyText"/>
            </w:pPr>
            <w:r>
              <w:t>gn-PY</w:t>
            </w:r>
          </w:p>
        </w:tc>
      </w:tr>
      <w:tr w:rsidR="000A156F" w:rsidTr="000A156F">
        <w:tc>
          <w:tcPr>
            <w:tcW w:w="0" w:type="auto"/>
            <w:vAlign w:val="center"/>
          </w:tcPr>
          <w:p w:rsidR="000A156F" w:rsidRDefault="00A9721F">
            <w:pPr>
              <w:pStyle w:val="TableBodyText"/>
            </w:pPr>
            <w:r>
              <w:lastRenderedPageBreak/>
              <w:t xml:space="preserve">Gujarati </w:t>
            </w:r>
          </w:p>
        </w:tc>
        <w:tc>
          <w:tcPr>
            <w:tcW w:w="0" w:type="auto"/>
            <w:vAlign w:val="center"/>
          </w:tcPr>
          <w:p w:rsidR="000A156F" w:rsidRDefault="00A9721F">
            <w:pPr>
              <w:pStyle w:val="TableBodyText"/>
            </w:pPr>
            <w:r>
              <w:t>gu-IN</w:t>
            </w:r>
          </w:p>
        </w:tc>
      </w:tr>
      <w:tr w:rsidR="000A156F" w:rsidTr="000A156F">
        <w:tc>
          <w:tcPr>
            <w:tcW w:w="0" w:type="auto"/>
            <w:vAlign w:val="center"/>
          </w:tcPr>
          <w:p w:rsidR="000A156F" w:rsidRDefault="00A9721F">
            <w:pPr>
              <w:pStyle w:val="TableBodyText"/>
            </w:pPr>
            <w:r>
              <w:t xml:space="preserve">Hausa - Nigeria </w:t>
            </w:r>
          </w:p>
        </w:tc>
        <w:tc>
          <w:tcPr>
            <w:tcW w:w="0" w:type="auto"/>
            <w:vAlign w:val="center"/>
          </w:tcPr>
          <w:p w:rsidR="000A156F" w:rsidRDefault="00A9721F">
            <w:pPr>
              <w:pStyle w:val="TableBodyText"/>
            </w:pPr>
            <w:r>
              <w:t>ha-Latn-NG</w:t>
            </w:r>
          </w:p>
        </w:tc>
      </w:tr>
      <w:tr w:rsidR="000A156F" w:rsidTr="000A156F">
        <w:tc>
          <w:tcPr>
            <w:tcW w:w="0" w:type="auto"/>
            <w:vAlign w:val="center"/>
          </w:tcPr>
          <w:p w:rsidR="000A156F" w:rsidRDefault="00A9721F">
            <w:pPr>
              <w:pStyle w:val="TableBodyText"/>
            </w:pPr>
            <w:r>
              <w:t xml:space="preserve">Hawaiian - United States </w:t>
            </w:r>
          </w:p>
        </w:tc>
        <w:tc>
          <w:tcPr>
            <w:tcW w:w="0" w:type="auto"/>
            <w:vAlign w:val="center"/>
          </w:tcPr>
          <w:p w:rsidR="000A156F" w:rsidRDefault="00A9721F">
            <w:pPr>
              <w:pStyle w:val="TableBodyText"/>
            </w:pPr>
            <w:r>
              <w:t>haw-US</w:t>
            </w:r>
          </w:p>
        </w:tc>
      </w:tr>
      <w:tr w:rsidR="000A156F" w:rsidTr="000A156F">
        <w:tc>
          <w:tcPr>
            <w:tcW w:w="0" w:type="auto"/>
            <w:vAlign w:val="center"/>
          </w:tcPr>
          <w:p w:rsidR="000A156F" w:rsidRDefault="00A9721F">
            <w:pPr>
              <w:pStyle w:val="TableBodyText"/>
            </w:pPr>
            <w:r>
              <w:t xml:space="preserve">Hebrew </w:t>
            </w:r>
          </w:p>
        </w:tc>
        <w:tc>
          <w:tcPr>
            <w:tcW w:w="0" w:type="auto"/>
            <w:vAlign w:val="center"/>
          </w:tcPr>
          <w:p w:rsidR="000A156F" w:rsidRDefault="00A9721F">
            <w:pPr>
              <w:pStyle w:val="TableBodyText"/>
            </w:pPr>
            <w:r>
              <w:t>he-IL</w:t>
            </w:r>
          </w:p>
        </w:tc>
      </w:tr>
      <w:tr w:rsidR="000A156F" w:rsidTr="000A156F">
        <w:tc>
          <w:tcPr>
            <w:tcW w:w="0" w:type="auto"/>
            <w:vAlign w:val="center"/>
          </w:tcPr>
          <w:p w:rsidR="000A156F" w:rsidRDefault="00A9721F">
            <w:pPr>
              <w:pStyle w:val="TableBodyText"/>
            </w:pPr>
            <w:r>
              <w:t xml:space="preserve">Hindi </w:t>
            </w:r>
          </w:p>
        </w:tc>
        <w:tc>
          <w:tcPr>
            <w:tcW w:w="0" w:type="auto"/>
            <w:vAlign w:val="center"/>
          </w:tcPr>
          <w:p w:rsidR="000A156F" w:rsidRDefault="00A9721F">
            <w:pPr>
              <w:pStyle w:val="TableBodyText"/>
            </w:pPr>
            <w:r>
              <w:t>hi-IN</w:t>
            </w:r>
          </w:p>
        </w:tc>
      </w:tr>
      <w:tr w:rsidR="000A156F" w:rsidTr="000A156F">
        <w:tc>
          <w:tcPr>
            <w:tcW w:w="0" w:type="auto"/>
            <w:vAlign w:val="center"/>
          </w:tcPr>
          <w:p w:rsidR="000A156F" w:rsidRDefault="00A9721F">
            <w:pPr>
              <w:pStyle w:val="TableBodyText"/>
            </w:pPr>
            <w:r>
              <w:t xml:space="preserve">Croatian (Bosnia and Herzegovina) </w:t>
            </w:r>
          </w:p>
        </w:tc>
        <w:tc>
          <w:tcPr>
            <w:tcW w:w="0" w:type="auto"/>
            <w:vAlign w:val="center"/>
          </w:tcPr>
          <w:p w:rsidR="000A156F" w:rsidRDefault="00A9721F">
            <w:pPr>
              <w:pStyle w:val="TableBodyText"/>
            </w:pPr>
            <w:r>
              <w:t>hr-BA</w:t>
            </w:r>
          </w:p>
        </w:tc>
      </w:tr>
      <w:tr w:rsidR="000A156F" w:rsidTr="000A156F">
        <w:tc>
          <w:tcPr>
            <w:tcW w:w="0" w:type="auto"/>
            <w:vAlign w:val="center"/>
          </w:tcPr>
          <w:p w:rsidR="000A156F" w:rsidRDefault="00A9721F">
            <w:pPr>
              <w:pStyle w:val="TableBodyText"/>
            </w:pPr>
            <w:r>
              <w:t xml:space="preserve">Croatian </w:t>
            </w:r>
          </w:p>
        </w:tc>
        <w:tc>
          <w:tcPr>
            <w:tcW w:w="0" w:type="auto"/>
            <w:vAlign w:val="center"/>
          </w:tcPr>
          <w:p w:rsidR="000A156F" w:rsidRDefault="00A9721F">
            <w:pPr>
              <w:pStyle w:val="TableBodyText"/>
            </w:pPr>
            <w:r>
              <w:t>hr-HR</w:t>
            </w:r>
          </w:p>
        </w:tc>
      </w:tr>
      <w:tr w:rsidR="000A156F" w:rsidTr="000A156F">
        <w:tc>
          <w:tcPr>
            <w:tcW w:w="0" w:type="auto"/>
            <w:vAlign w:val="center"/>
          </w:tcPr>
          <w:p w:rsidR="000A156F" w:rsidRDefault="00A9721F">
            <w:pPr>
              <w:pStyle w:val="TableBodyText"/>
            </w:pPr>
            <w:r>
              <w:t xml:space="preserve">Hungarian </w:t>
            </w:r>
          </w:p>
        </w:tc>
        <w:tc>
          <w:tcPr>
            <w:tcW w:w="0" w:type="auto"/>
            <w:vAlign w:val="center"/>
          </w:tcPr>
          <w:p w:rsidR="000A156F" w:rsidRDefault="00A9721F">
            <w:pPr>
              <w:pStyle w:val="TableBodyText"/>
            </w:pPr>
            <w:r>
              <w:t>hu-HU</w:t>
            </w:r>
          </w:p>
        </w:tc>
      </w:tr>
      <w:tr w:rsidR="000A156F" w:rsidTr="000A156F">
        <w:tc>
          <w:tcPr>
            <w:tcW w:w="0" w:type="auto"/>
            <w:vAlign w:val="center"/>
          </w:tcPr>
          <w:p w:rsidR="000A156F" w:rsidRDefault="00A9721F">
            <w:pPr>
              <w:pStyle w:val="TableBodyText"/>
            </w:pPr>
            <w:r>
              <w:t xml:space="preserve">Armenian - Armenia </w:t>
            </w:r>
          </w:p>
        </w:tc>
        <w:tc>
          <w:tcPr>
            <w:tcW w:w="0" w:type="auto"/>
            <w:vAlign w:val="center"/>
          </w:tcPr>
          <w:p w:rsidR="000A156F" w:rsidRDefault="00A9721F">
            <w:pPr>
              <w:pStyle w:val="TableBodyText"/>
            </w:pPr>
            <w:r>
              <w:t>hy-AM</w:t>
            </w:r>
          </w:p>
        </w:tc>
      </w:tr>
      <w:tr w:rsidR="000A156F" w:rsidTr="000A156F">
        <w:tc>
          <w:tcPr>
            <w:tcW w:w="0" w:type="auto"/>
            <w:vAlign w:val="center"/>
          </w:tcPr>
          <w:p w:rsidR="000A156F" w:rsidRDefault="00A9721F">
            <w:pPr>
              <w:pStyle w:val="TableBodyText"/>
            </w:pPr>
            <w:r>
              <w:t xml:space="preserve">Ibibio - Nigeria </w:t>
            </w:r>
          </w:p>
        </w:tc>
        <w:tc>
          <w:tcPr>
            <w:tcW w:w="0" w:type="auto"/>
            <w:vAlign w:val="center"/>
          </w:tcPr>
          <w:p w:rsidR="000A156F" w:rsidRDefault="00A9721F">
            <w:pPr>
              <w:pStyle w:val="TableBodyText"/>
            </w:pPr>
            <w:r>
              <w:t>ibb-NG</w:t>
            </w:r>
          </w:p>
        </w:tc>
      </w:tr>
      <w:tr w:rsidR="000A156F" w:rsidTr="000A156F">
        <w:tc>
          <w:tcPr>
            <w:tcW w:w="0" w:type="auto"/>
            <w:vAlign w:val="center"/>
          </w:tcPr>
          <w:p w:rsidR="000A156F" w:rsidRDefault="00A9721F">
            <w:pPr>
              <w:pStyle w:val="TableBodyText"/>
            </w:pPr>
            <w:r>
              <w:t xml:space="preserve">Indonesian </w:t>
            </w:r>
          </w:p>
        </w:tc>
        <w:tc>
          <w:tcPr>
            <w:tcW w:w="0" w:type="auto"/>
            <w:vAlign w:val="center"/>
          </w:tcPr>
          <w:p w:rsidR="000A156F" w:rsidRDefault="00A9721F">
            <w:pPr>
              <w:pStyle w:val="TableBodyText"/>
            </w:pPr>
            <w:r>
              <w:t>id-ID</w:t>
            </w:r>
          </w:p>
        </w:tc>
      </w:tr>
      <w:tr w:rsidR="000A156F" w:rsidTr="000A156F">
        <w:tc>
          <w:tcPr>
            <w:tcW w:w="0" w:type="auto"/>
            <w:vAlign w:val="center"/>
          </w:tcPr>
          <w:p w:rsidR="000A156F" w:rsidRDefault="00A9721F">
            <w:pPr>
              <w:pStyle w:val="TableBodyText"/>
            </w:pPr>
            <w:r>
              <w:t xml:space="preserve">Igbo - Nigeria </w:t>
            </w:r>
          </w:p>
        </w:tc>
        <w:tc>
          <w:tcPr>
            <w:tcW w:w="0" w:type="auto"/>
            <w:vAlign w:val="center"/>
          </w:tcPr>
          <w:p w:rsidR="000A156F" w:rsidRDefault="00A9721F">
            <w:pPr>
              <w:pStyle w:val="TableBodyText"/>
            </w:pPr>
            <w:r>
              <w:t>ig-NG</w:t>
            </w:r>
          </w:p>
        </w:tc>
      </w:tr>
      <w:tr w:rsidR="000A156F" w:rsidTr="000A156F">
        <w:tc>
          <w:tcPr>
            <w:tcW w:w="0" w:type="auto"/>
            <w:vAlign w:val="center"/>
          </w:tcPr>
          <w:p w:rsidR="000A156F" w:rsidRDefault="00A9721F">
            <w:pPr>
              <w:pStyle w:val="TableBodyText"/>
            </w:pPr>
            <w:r>
              <w:t xml:space="preserve">Yi </w:t>
            </w:r>
          </w:p>
        </w:tc>
        <w:tc>
          <w:tcPr>
            <w:tcW w:w="0" w:type="auto"/>
            <w:vAlign w:val="center"/>
          </w:tcPr>
          <w:p w:rsidR="000A156F" w:rsidRDefault="00A9721F">
            <w:pPr>
              <w:pStyle w:val="TableBodyText"/>
            </w:pPr>
            <w:r>
              <w:t>ii-CN</w:t>
            </w:r>
          </w:p>
        </w:tc>
      </w:tr>
      <w:tr w:rsidR="000A156F" w:rsidTr="000A156F">
        <w:tc>
          <w:tcPr>
            <w:tcW w:w="0" w:type="auto"/>
            <w:vAlign w:val="center"/>
          </w:tcPr>
          <w:p w:rsidR="000A156F" w:rsidRDefault="00A9721F">
            <w:pPr>
              <w:pStyle w:val="TableBodyText"/>
            </w:pPr>
            <w:r>
              <w:t xml:space="preserve">Icelandic </w:t>
            </w:r>
          </w:p>
        </w:tc>
        <w:tc>
          <w:tcPr>
            <w:tcW w:w="0" w:type="auto"/>
            <w:vAlign w:val="center"/>
          </w:tcPr>
          <w:p w:rsidR="000A156F" w:rsidRDefault="00A9721F">
            <w:pPr>
              <w:pStyle w:val="TableBodyText"/>
            </w:pPr>
            <w:r>
              <w:t>is-IS</w:t>
            </w:r>
          </w:p>
        </w:tc>
      </w:tr>
      <w:tr w:rsidR="000A156F" w:rsidTr="000A156F">
        <w:tc>
          <w:tcPr>
            <w:tcW w:w="0" w:type="auto"/>
            <w:vAlign w:val="center"/>
          </w:tcPr>
          <w:p w:rsidR="000A156F" w:rsidRDefault="00A9721F">
            <w:pPr>
              <w:pStyle w:val="TableBodyText"/>
            </w:pPr>
            <w:r>
              <w:t xml:space="preserve">Italian - Switzerland </w:t>
            </w:r>
          </w:p>
        </w:tc>
        <w:tc>
          <w:tcPr>
            <w:tcW w:w="0" w:type="auto"/>
            <w:vAlign w:val="center"/>
          </w:tcPr>
          <w:p w:rsidR="000A156F" w:rsidRDefault="00A9721F">
            <w:pPr>
              <w:pStyle w:val="TableBodyText"/>
            </w:pPr>
            <w:r>
              <w:t>it-CH</w:t>
            </w:r>
          </w:p>
        </w:tc>
      </w:tr>
      <w:tr w:rsidR="000A156F" w:rsidTr="000A156F">
        <w:tc>
          <w:tcPr>
            <w:tcW w:w="0" w:type="auto"/>
            <w:vAlign w:val="center"/>
          </w:tcPr>
          <w:p w:rsidR="000A156F" w:rsidRDefault="00A9721F">
            <w:pPr>
              <w:pStyle w:val="TableBodyText"/>
            </w:pPr>
            <w:r>
              <w:t xml:space="preserve">Italian - Italy </w:t>
            </w:r>
          </w:p>
        </w:tc>
        <w:tc>
          <w:tcPr>
            <w:tcW w:w="0" w:type="auto"/>
            <w:vAlign w:val="center"/>
          </w:tcPr>
          <w:p w:rsidR="000A156F" w:rsidRDefault="00A9721F">
            <w:pPr>
              <w:pStyle w:val="TableBodyText"/>
            </w:pPr>
            <w:r>
              <w:t>it-IT</w:t>
            </w:r>
          </w:p>
        </w:tc>
      </w:tr>
      <w:tr w:rsidR="000A156F" w:rsidTr="000A156F">
        <w:tc>
          <w:tcPr>
            <w:tcW w:w="0" w:type="auto"/>
            <w:vAlign w:val="center"/>
          </w:tcPr>
          <w:p w:rsidR="000A156F" w:rsidRDefault="00A9721F">
            <w:pPr>
              <w:pStyle w:val="TableBodyText"/>
            </w:pPr>
            <w:r>
              <w:t xml:space="preserve">Inuktitut </w:t>
            </w:r>
          </w:p>
        </w:tc>
        <w:tc>
          <w:tcPr>
            <w:tcW w:w="0" w:type="auto"/>
            <w:vAlign w:val="center"/>
          </w:tcPr>
          <w:p w:rsidR="000A156F" w:rsidRDefault="00A9721F">
            <w:pPr>
              <w:pStyle w:val="TableBodyText"/>
            </w:pPr>
            <w:r>
              <w:t>iu-Cans-CA</w:t>
            </w:r>
          </w:p>
        </w:tc>
      </w:tr>
      <w:tr w:rsidR="000A156F" w:rsidTr="000A156F">
        <w:tc>
          <w:tcPr>
            <w:tcW w:w="0" w:type="auto"/>
            <w:vAlign w:val="center"/>
          </w:tcPr>
          <w:p w:rsidR="000A156F" w:rsidRDefault="00A9721F">
            <w:pPr>
              <w:pStyle w:val="TableBodyText"/>
            </w:pPr>
            <w:r>
              <w:t xml:space="preserve">Japanese </w:t>
            </w:r>
          </w:p>
        </w:tc>
        <w:tc>
          <w:tcPr>
            <w:tcW w:w="0" w:type="auto"/>
            <w:vAlign w:val="center"/>
          </w:tcPr>
          <w:p w:rsidR="000A156F" w:rsidRDefault="00A9721F">
            <w:pPr>
              <w:pStyle w:val="TableBodyText"/>
            </w:pPr>
            <w:r>
              <w:t>ja-JP</w:t>
            </w:r>
          </w:p>
        </w:tc>
      </w:tr>
      <w:tr w:rsidR="000A156F" w:rsidTr="000A156F">
        <w:tc>
          <w:tcPr>
            <w:tcW w:w="0" w:type="auto"/>
            <w:vAlign w:val="center"/>
          </w:tcPr>
          <w:p w:rsidR="000A156F" w:rsidRDefault="00A9721F">
            <w:pPr>
              <w:pStyle w:val="TableBodyText"/>
            </w:pPr>
            <w:r>
              <w:t xml:space="preserve">Georgian </w:t>
            </w:r>
          </w:p>
        </w:tc>
        <w:tc>
          <w:tcPr>
            <w:tcW w:w="0" w:type="auto"/>
            <w:vAlign w:val="center"/>
          </w:tcPr>
          <w:p w:rsidR="000A156F" w:rsidRDefault="00A9721F">
            <w:pPr>
              <w:pStyle w:val="TableBodyText"/>
            </w:pPr>
            <w:r>
              <w:t>ka-GE</w:t>
            </w:r>
          </w:p>
        </w:tc>
      </w:tr>
      <w:tr w:rsidR="000A156F" w:rsidTr="000A156F">
        <w:tc>
          <w:tcPr>
            <w:tcW w:w="0" w:type="auto"/>
            <w:vAlign w:val="center"/>
          </w:tcPr>
          <w:p w:rsidR="000A156F" w:rsidRDefault="00A9721F">
            <w:pPr>
              <w:pStyle w:val="TableBodyText"/>
            </w:pPr>
            <w:r>
              <w:t xml:space="preserve">Kazakh </w:t>
            </w:r>
          </w:p>
        </w:tc>
        <w:tc>
          <w:tcPr>
            <w:tcW w:w="0" w:type="auto"/>
            <w:vAlign w:val="center"/>
          </w:tcPr>
          <w:p w:rsidR="000A156F" w:rsidRDefault="00A9721F">
            <w:pPr>
              <w:pStyle w:val="TableBodyText"/>
            </w:pPr>
            <w:r>
              <w:t>kk-KZ</w:t>
            </w:r>
          </w:p>
        </w:tc>
      </w:tr>
      <w:tr w:rsidR="000A156F" w:rsidTr="000A156F">
        <w:tc>
          <w:tcPr>
            <w:tcW w:w="0" w:type="auto"/>
            <w:vAlign w:val="center"/>
          </w:tcPr>
          <w:p w:rsidR="000A156F" w:rsidRDefault="00A9721F">
            <w:pPr>
              <w:pStyle w:val="TableBodyText"/>
            </w:pPr>
            <w:r>
              <w:t xml:space="preserve">Khmer </w:t>
            </w:r>
          </w:p>
        </w:tc>
        <w:tc>
          <w:tcPr>
            <w:tcW w:w="0" w:type="auto"/>
            <w:vAlign w:val="center"/>
          </w:tcPr>
          <w:p w:rsidR="000A156F" w:rsidRDefault="00A9721F">
            <w:pPr>
              <w:pStyle w:val="TableBodyText"/>
            </w:pPr>
            <w:r>
              <w:t>km-KH</w:t>
            </w:r>
          </w:p>
        </w:tc>
      </w:tr>
      <w:tr w:rsidR="000A156F" w:rsidTr="000A156F">
        <w:tc>
          <w:tcPr>
            <w:tcW w:w="0" w:type="auto"/>
            <w:vAlign w:val="center"/>
          </w:tcPr>
          <w:p w:rsidR="000A156F" w:rsidRDefault="00A9721F">
            <w:pPr>
              <w:pStyle w:val="TableBodyText"/>
            </w:pPr>
            <w:r>
              <w:t xml:space="preserve">Kannada </w:t>
            </w:r>
          </w:p>
        </w:tc>
        <w:tc>
          <w:tcPr>
            <w:tcW w:w="0" w:type="auto"/>
            <w:vAlign w:val="center"/>
          </w:tcPr>
          <w:p w:rsidR="000A156F" w:rsidRDefault="00A9721F">
            <w:pPr>
              <w:pStyle w:val="TableBodyText"/>
            </w:pPr>
            <w:r>
              <w:t>kn-IN</w:t>
            </w:r>
          </w:p>
        </w:tc>
      </w:tr>
      <w:tr w:rsidR="000A156F" w:rsidTr="000A156F">
        <w:tc>
          <w:tcPr>
            <w:tcW w:w="0" w:type="auto"/>
            <w:vAlign w:val="center"/>
          </w:tcPr>
          <w:p w:rsidR="000A156F" w:rsidRDefault="00A9721F">
            <w:pPr>
              <w:pStyle w:val="TableBodyText"/>
            </w:pPr>
            <w:r>
              <w:t xml:space="preserve">Konkani </w:t>
            </w:r>
          </w:p>
        </w:tc>
        <w:tc>
          <w:tcPr>
            <w:tcW w:w="0" w:type="auto"/>
            <w:vAlign w:val="center"/>
          </w:tcPr>
          <w:p w:rsidR="000A156F" w:rsidRDefault="00A9721F">
            <w:pPr>
              <w:pStyle w:val="TableBodyText"/>
            </w:pPr>
            <w:r>
              <w:t>kok-IN</w:t>
            </w:r>
          </w:p>
        </w:tc>
      </w:tr>
      <w:tr w:rsidR="000A156F" w:rsidTr="000A156F">
        <w:tc>
          <w:tcPr>
            <w:tcW w:w="0" w:type="auto"/>
            <w:vAlign w:val="center"/>
          </w:tcPr>
          <w:p w:rsidR="000A156F" w:rsidRDefault="00A9721F">
            <w:pPr>
              <w:pStyle w:val="TableBodyText"/>
            </w:pPr>
            <w:r>
              <w:t xml:space="preserve">Korean </w:t>
            </w:r>
          </w:p>
        </w:tc>
        <w:tc>
          <w:tcPr>
            <w:tcW w:w="0" w:type="auto"/>
            <w:vAlign w:val="center"/>
          </w:tcPr>
          <w:p w:rsidR="000A156F" w:rsidRDefault="00A9721F">
            <w:pPr>
              <w:pStyle w:val="TableBodyText"/>
            </w:pPr>
            <w:r>
              <w:t>ko-KR</w:t>
            </w:r>
          </w:p>
        </w:tc>
      </w:tr>
      <w:tr w:rsidR="000A156F" w:rsidTr="000A156F">
        <w:tc>
          <w:tcPr>
            <w:tcW w:w="0" w:type="auto"/>
            <w:vAlign w:val="center"/>
          </w:tcPr>
          <w:p w:rsidR="000A156F" w:rsidRDefault="00A9721F">
            <w:pPr>
              <w:pStyle w:val="TableBodyText"/>
            </w:pPr>
            <w:r>
              <w:t xml:space="preserve">Kanuri - Nigeria </w:t>
            </w:r>
          </w:p>
        </w:tc>
        <w:tc>
          <w:tcPr>
            <w:tcW w:w="0" w:type="auto"/>
            <w:vAlign w:val="center"/>
          </w:tcPr>
          <w:p w:rsidR="000A156F" w:rsidRDefault="00A9721F">
            <w:pPr>
              <w:pStyle w:val="TableBodyText"/>
            </w:pPr>
            <w:r>
              <w:t>kr-NG</w:t>
            </w:r>
          </w:p>
        </w:tc>
      </w:tr>
      <w:tr w:rsidR="000A156F" w:rsidTr="000A156F">
        <w:tc>
          <w:tcPr>
            <w:tcW w:w="0" w:type="auto"/>
            <w:vAlign w:val="center"/>
          </w:tcPr>
          <w:p w:rsidR="000A156F" w:rsidRDefault="00A9721F">
            <w:pPr>
              <w:pStyle w:val="TableBodyText"/>
            </w:pPr>
            <w:r>
              <w:t xml:space="preserve">Kashmiri (Arabic) </w:t>
            </w:r>
          </w:p>
        </w:tc>
        <w:tc>
          <w:tcPr>
            <w:tcW w:w="0" w:type="auto"/>
            <w:vAlign w:val="center"/>
          </w:tcPr>
          <w:p w:rsidR="000A156F" w:rsidRDefault="00A9721F">
            <w:pPr>
              <w:pStyle w:val="TableBodyText"/>
            </w:pPr>
            <w:r>
              <w:t>ks-Arab-IN</w:t>
            </w:r>
          </w:p>
        </w:tc>
      </w:tr>
      <w:tr w:rsidR="000A156F" w:rsidTr="000A156F">
        <w:tc>
          <w:tcPr>
            <w:tcW w:w="0" w:type="auto"/>
            <w:vAlign w:val="center"/>
          </w:tcPr>
          <w:p w:rsidR="000A156F" w:rsidRDefault="00A9721F">
            <w:pPr>
              <w:pStyle w:val="TableBodyText"/>
            </w:pPr>
            <w:r>
              <w:t xml:space="preserve">Kashmiri (Devanagari) </w:t>
            </w:r>
          </w:p>
        </w:tc>
        <w:tc>
          <w:tcPr>
            <w:tcW w:w="0" w:type="auto"/>
            <w:vAlign w:val="center"/>
          </w:tcPr>
          <w:p w:rsidR="000A156F" w:rsidRDefault="00A9721F">
            <w:pPr>
              <w:pStyle w:val="TableBodyText"/>
            </w:pPr>
            <w:r>
              <w:t>ks-Deva-IN</w:t>
            </w:r>
          </w:p>
        </w:tc>
      </w:tr>
      <w:tr w:rsidR="000A156F" w:rsidTr="000A156F">
        <w:tc>
          <w:tcPr>
            <w:tcW w:w="0" w:type="auto"/>
            <w:vAlign w:val="center"/>
          </w:tcPr>
          <w:p w:rsidR="000A156F" w:rsidRDefault="00A9721F">
            <w:pPr>
              <w:pStyle w:val="TableBodyText"/>
            </w:pPr>
            <w:r>
              <w:t xml:space="preserve">Kyrgyz (Cyrillic) </w:t>
            </w:r>
          </w:p>
        </w:tc>
        <w:tc>
          <w:tcPr>
            <w:tcW w:w="0" w:type="auto"/>
            <w:vAlign w:val="center"/>
          </w:tcPr>
          <w:p w:rsidR="000A156F" w:rsidRDefault="00A9721F">
            <w:pPr>
              <w:pStyle w:val="TableBodyText"/>
            </w:pPr>
            <w:r>
              <w:t>ky-KG</w:t>
            </w:r>
          </w:p>
        </w:tc>
      </w:tr>
      <w:tr w:rsidR="000A156F" w:rsidTr="000A156F">
        <w:tc>
          <w:tcPr>
            <w:tcW w:w="0" w:type="auto"/>
            <w:vAlign w:val="center"/>
          </w:tcPr>
          <w:p w:rsidR="000A156F" w:rsidRDefault="00A9721F">
            <w:pPr>
              <w:pStyle w:val="TableBodyText"/>
            </w:pPr>
            <w:r>
              <w:t xml:space="preserve">Latin </w:t>
            </w:r>
          </w:p>
        </w:tc>
        <w:tc>
          <w:tcPr>
            <w:tcW w:w="0" w:type="auto"/>
            <w:vAlign w:val="center"/>
          </w:tcPr>
          <w:p w:rsidR="000A156F" w:rsidRDefault="00A9721F">
            <w:pPr>
              <w:pStyle w:val="TableBodyText"/>
            </w:pPr>
            <w:r>
              <w:t>la</w:t>
            </w:r>
          </w:p>
        </w:tc>
      </w:tr>
      <w:tr w:rsidR="000A156F" w:rsidTr="000A156F">
        <w:tc>
          <w:tcPr>
            <w:tcW w:w="0" w:type="auto"/>
            <w:vAlign w:val="center"/>
          </w:tcPr>
          <w:p w:rsidR="000A156F" w:rsidRDefault="00A9721F">
            <w:pPr>
              <w:pStyle w:val="TableBodyText"/>
            </w:pPr>
            <w:r>
              <w:t>Luxembourgish (Luxembourg)</w:t>
            </w:r>
          </w:p>
        </w:tc>
        <w:tc>
          <w:tcPr>
            <w:tcW w:w="0" w:type="auto"/>
            <w:vAlign w:val="center"/>
          </w:tcPr>
          <w:p w:rsidR="000A156F" w:rsidRDefault="00A9721F">
            <w:pPr>
              <w:pStyle w:val="TableBodyText"/>
            </w:pPr>
            <w:r>
              <w:t>lb-LU</w:t>
            </w:r>
          </w:p>
        </w:tc>
      </w:tr>
      <w:tr w:rsidR="000A156F" w:rsidTr="000A156F">
        <w:tc>
          <w:tcPr>
            <w:tcW w:w="0" w:type="auto"/>
            <w:vAlign w:val="center"/>
          </w:tcPr>
          <w:p w:rsidR="000A156F" w:rsidRDefault="00A9721F">
            <w:pPr>
              <w:pStyle w:val="TableBodyText"/>
            </w:pPr>
            <w:r>
              <w:t xml:space="preserve">Lao </w:t>
            </w:r>
          </w:p>
        </w:tc>
        <w:tc>
          <w:tcPr>
            <w:tcW w:w="0" w:type="auto"/>
            <w:vAlign w:val="center"/>
          </w:tcPr>
          <w:p w:rsidR="000A156F" w:rsidRDefault="00A9721F">
            <w:pPr>
              <w:pStyle w:val="TableBodyText"/>
            </w:pPr>
            <w:r>
              <w:t>lo-LA</w:t>
            </w:r>
          </w:p>
        </w:tc>
      </w:tr>
      <w:tr w:rsidR="000A156F" w:rsidTr="000A156F">
        <w:tc>
          <w:tcPr>
            <w:tcW w:w="0" w:type="auto"/>
            <w:vAlign w:val="center"/>
          </w:tcPr>
          <w:p w:rsidR="000A156F" w:rsidRDefault="00A9721F">
            <w:pPr>
              <w:pStyle w:val="TableBodyText"/>
            </w:pPr>
            <w:r>
              <w:t xml:space="preserve">Lithuanian </w:t>
            </w:r>
          </w:p>
        </w:tc>
        <w:tc>
          <w:tcPr>
            <w:tcW w:w="0" w:type="auto"/>
            <w:vAlign w:val="center"/>
          </w:tcPr>
          <w:p w:rsidR="000A156F" w:rsidRDefault="00A9721F">
            <w:pPr>
              <w:pStyle w:val="TableBodyText"/>
            </w:pPr>
            <w:r>
              <w:t>lt-LT</w:t>
            </w:r>
          </w:p>
        </w:tc>
      </w:tr>
      <w:tr w:rsidR="000A156F" w:rsidTr="000A156F">
        <w:tc>
          <w:tcPr>
            <w:tcW w:w="0" w:type="auto"/>
            <w:vAlign w:val="center"/>
          </w:tcPr>
          <w:p w:rsidR="000A156F" w:rsidRDefault="00A9721F">
            <w:pPr>
              <w:pStyle w:val="TableBodyText"/>
            </w:pPr>
            <w:r>
              <w:lastRenderedPageBreak/>
              <w:t xml:space="preserve">Latvian </w:t>
            </w:r>
          </w:p>
        </w:tc>
        <w:tc>
          <w:tcPr>
            <w:tcW w:w="0" w:type="auto"/>
            <w:vAlign w:val="center"/>
          </w:tcPr>
          <w:p w:rsidR="000A156F" w:rsidRDefault="00A9721F">
            <w:pPr>
              <w:pStyle w:val="TableBodyText"/>
            </w:pPr>
            <w:r>
              <w:t>lv-LV</w:t>
            </w:r>
          </w:p>
        </w:tc>
      </w:tr>
      <w:tr w:rsidR="000A156F" w:rsidTr="000A156F">
        <w:tc>
          <w:tcPr>
            <w:tcW w:w="0" w:type="auto"/>
            <w:vAlign w:val="center"/>
          </w:tcPr>
          <w:p w:rsidR="000A156F" w:rsidRDefault="00A9721F">
            <w:pPr>
              <w:pStyle w:val="TableBodyText"/>
            </w:pPr>
            <w:r>
              <w:t xml:space="preserve">Maori - New Zealand </w:t>
            </w:r>
          </w:p>
        </w:tc>
        <w:tc>
          <w:tcPr>
            <w:tcW w:w="0" w:type="auto"/>
            <w:vAlign w:val="center"/>
          </w:tcPr>
          <w:p w:rsidR="000A156F" w:rsidRDefault="00A9721F">
            <w:pPr>
              <w:pStyle w:val="TableBodyText"/>
            </w:pPr>
            <w:r>
              <w:t>mi-NZ</w:t>
            </w:r>
          </w:p>
        </w:tc>
      </w:tr>
      <w:tr w:rsidR="000A156F" w:rsidTr="000A156F">
        <w:tc>
          <w:tcPr>
            <w:tcW w:w="0" w:type="auto"/>
            <w:vAlign w:val="center"/>
          </w:tcPr>
          <w:p w:rsidR="000A156F" w:rsidRDefault="00A9721F">
            <w:pPr>
              <w:pStyle w:val="TableBodyText"/>
            </w:pPr>
            <w:r>
              <w:t xml:space="preserve">FYRO Macedonian </w:t>
            </w:r>
          </w:p>
        </w:tc>
        <w:tc>
          <w:tcPr>
            <w:tcW w:w="0" w:type="auto"/>
            <w:vAlign w:val="center"/>
          </w:tcPr>
          <w:p w:rsidR="000A156F" w:rsidRDefault="00A9721F">
            <w:pPr>
              <w:pStyle w:val="TableBodyText"/>
            </w:pPr>
            <w:r>
              <w:t>mk-MK</w:t>
            </w:r>
          </w:p>
        </w:tc>
      </w:tr>
      <w:tr w:rsidR="000A156F" w:rsidTr="000A156F">
        <w:tc>
          <w:tcPr>
            <w:tcW w:w="0" w:type="auto"/>
            <w:vAlign w:val="center"/>
          </w:tcPr>
          <w:p w:rsidR="000A156F" w:rsidRDefault="00A9721F">
            <w:pPr>
              <w:pStyle w:val="TableBodyText"/>
            </w:pPr>
            <w:r>
              <w:t xml:space="preserve">Malayalam </w:t>
            </w:r>
          </w:p>
        </w:tc>
        <w:tc>
          <w:tcPr>
            <w:tcW w:w="0" w:type="auto"/>
            <w:vAlign w:val="center"/>
          </w:tcPr>
          <w:p w:rsidR="000A156F" w:rsidRDefault="00A9721F">
            <w:pPr>
              <w:pStyle w:val="TableBodyText"/>
            </w:pPr>
            <w:r>
              <w:t>ml-IN</w:t>
            </w:r>
          </w:p>
        </w:tc>
      </w:tr>
      <w:tr w:rsidR="000A156F" w:rsidTr="000A156F">
        <w:tc>
          <w:tcPr>
            <w:tcW w:w="0" w:type="auto"/>
            <w:vAlign w:val="center"/>
          </w:tcPr>
          <w:p w:rsidR="000A156F" w:rsidRDefault="00A9721F">
            <w:pPr>
              <w:pStyle w:val="TableBodyText"/>
            </w:pPr>
            <w:r>
              <w:t xml:space="preserve">Manipuri </w:t>
            </w:r>
          </w:p>
        </w:tc>
        <w:tc>
          <w:tcPr>
            <w:tcW w:w="0" w:type="auto"/>
            <w:vAlign w:val="center"/>
          </w:tcPr>
          <w:p w:rsidR="000A156F" w:rsidRDefault="00A9721F">
            <w:pPr>
              <w:pStyle w:val="TableBodyText"/>
            </w:pPr>
            <w:r>
              <w:t>mni</w:t>
            </w:r>
          </w:p>
        </w:tc>
      </w:tr>
      <w:tr w:rsidR="000A156F" w:rsidTr="000A156F">
        <w:tc>
          <w:tcPr>
            <w:tcW w:w="0" w:type="auto"/>
            <w:vAlign w:val="center"/>
          </w:tcPr>
          <w:p w:rsidR="000A156F" w:rsidRDefault="00A9721F">
            <w:pPr>
              <w:pStyle w:val="TableBodyText"/>
            </w:pPr>
            <w:r>
              <w:t xml:space="preserve">Mongolian (Cyrillic) </w:t>
            </w:r>
          </w:p>
        </w:tc>
        <w:tc>
          <w:tcPr>
            <w:tcW w:w="0" w:type="auto"/>
            <w:vAlign w:val="center"/>
          </w:tcPr>
          <w:p w:rsidR="000A156F" w:rsidRDefault="00A9721F">
            <w:pPr>
              <w:pStyle w:val="TableBodyText"/>
            </w:pPr>
            <w:r>
              <w:t>mn-MN</w:t>
            </w:r>
          </w:p>
        </w:tc>
      </w:tr>
      <w:tr w:rsidR="000A156F" w:rsidTr="000A156F">
        <w:tc>
          <w:tcPr>
            <w:tcW w:w="0" w:type="auto"/>
            <w:vAlign w:val="center"/>
          </w:tcPr>
          <w:p w:rsidR="000A156F" w:rsidRDefault="00A9721F">
            <w:pPr>
              <w:pStyle w:val="TableBodyText"/>
            </w:pPr>
            <w:r>
              <w:t xml:space="preserve">Mongolian (Mongolian) </w:t>
            </w:r>
          </w:p>
        </w:tc>
        <w:tc>
          <w:tcPr>
            <w:tcW w:w="0" w:type="auto"/>
            <w:vAlign w:val="center"/>
          </w:tcPr>
          <w:p w:rsidR="000A156F" w:rsidRDefault="00A9721F">
            <w:pPr>
              <w:pStyle w:val="TableBodyText"/>
            </w:pPr>
            <w:r>
              <w:t>mn-Mong-CN</w:t>
            </w:r>
          </w:p>
        </w:tc>
      </w:tr>
      <w:tr w:rsidR="000A156F" w:rsidTr="000A156F">
        <w:tc>
          <w:tcPr>
            <w:tcW w:w="0" w:type="auto"/>
            <w:vAlign w:val="center"/>
          </w:tcPr>
          <w:p w:rsidR="000A156F" w:rsidRDefault="00A9721F">
            <w:pPr>
              <w:pStyle w:val="TableBodyText"/>
            </w:pPr>
            <w:r>
              <w:t xml:space="preserve">Marathi </w:t>
            </w:r>
          </w:p>
        </w:tc>
        <w:tc>
          <w:tcPr>
            <w:tcW w:w="0" w:type="auto"/>
            <w:vAlign w:val="center"/>
          </w:tcPr>
          <w:p w:rsidR="000A156F" w:rsidRDefault="00A9721F">
            <w:pPr>
              <w:pStyle w:val="TableBodyText"/>
            </w:pPr>
            <w:r>
              <w:t>mr-IN</w:t>
            </w:r>
          </w:p>
        </w:tc>
      </w:tr>
      <w:tr w:rsidR="000A156F" w:rsidTr="000A156F">
        <w:tc>
          <w:tcPr>
            <w:tcW w:w="0" w:type="auto"/>
            <w:vAlign w:val="center"/>
          </w:tcPr>
          <w:p w:rsidR="000A156F" w:rsidRDefault="00A9721F">
            <w:pPr>
              <w:pStyle w:val="TableBodyText"/>
            </w:pPr>
            <w:r>
              <w:t xml:space="preserve">Malay - Brunei Darussalam </w:t>
            </w:r>
          </w:p>
        </w:tc>
        <w:tc>
          <w:tcPr>
            <w:tcW w:w="0" w:type="auto"/>
            <w:vAlign w:val="center"/>
          </w:tcPr>
          <w:p w:rsidR="000A156F" w:rsidRDefault="00A9721F">
            <w:pPr>
              <w:pStyle w:val="TableBodyText"/>
            </w:pPr>
            <w:r>
              <w:t>ms-BN</w:t>
            </w:r>
          </w:p>
        </w:tc>
      </w:tr>
      <w:tr w:rsidR="000A156F" w:rsidTr="000A156F">
        <w:tc>
          <w:tcPr>
            <w:tcW w:w="0" w:type="auto"/>
            <w:vAlign w:val="center"/>
          </w:tcPr>
          <w:p w:rsidR="000A156F" w:rsidRDefault="00A9721F">
            <w:pPr>
              <w:pStyle w:val="TableBodyText"/>
            </w:pPr>
            <w:r>
              <w:t xml:space="preserve">Malay - Malaysia </w:t>
            </w:r>
          </w:p>
        </w:tc>
        <w:tc>
          <w:tcPr>
            <w:tcW w:w="0" w:type="auto"/>
            <w:vAlign w:val="center"/>
          </w:tcPr>
          <w:p w:rsidR="000A156F" w:rsidRDefault="00A9721F">
            <w:pPr>
              <w:pStyle w:val="TableBodyText"/>
            </w:pPr>
            <w:r>
              <w:t>ms-MY</w:t>
            </w:r>
          </w:p>
        </w:tc>
      </w:tr>
      <w:tr w:rsidR="000A156F" w:rsidTr="000A156F">
        <w:tc>
          <w:tcPr>
            <w:tcW w:w="0" w:type="auto"/>
            <w:vAlign w:val="center"/>
          </w:tcPr>
          <w:p w:rsidR="000A156F" w:rsidRDefault="00A9721F">
            <w:pPr>
              <w:pStyle w:val="TableBodyText"/>
            </w:pPr>
            <w:r>
              <w:t xml:space="preserve">Maltese </w:t>
            </w:r>
          </w:p>
        </w:tc>
        <w:tc>
          <w:tcPr>
            <w:tcW w:w="0" w:type="auto"/>
            <w:vAlign w:val="center"/>
          </w:tcPr>
          <w:p w:rsidR="000A156F" w:rsidRDefault="00A9721F">
            <w:pPr>
              <w:pStyle w:val="TableBodyText"/>
            </w:pPr>
            <w:r>
              <w:t>mt-MT</w:t>
            </w:r>
          </w:p>
        </w:tc>
      </w:tr>
      <w:tr w:rsidR="000A156F" w:rsidTr="000A156F">
        <w:tc>
          <w:tcPr>
            <w:tcW w:w="0" w:type="auto"/>
            <w:vAlign w:val="center"/>
          </w:tcPr>
          <w:p w:rsidR="000A156F" w:rsidRDefault="00A9721F">
            <w:pPr>
              <w:pStyle w:val="TableBodyText"/>
            </w:pPr>
            <w:r>
              <w:t xml:space="preserve">Burmese </w:t>
            </w:r>
          </w:p>
        </w:tc>
        <w:tc>
          <w:tcPr>
            <w:tcW w:w="0" w:type="auto"/>
            <w:vAlign w:val="center"/>
          </w:tcPr>
          <w:p w:rsidR="000A156F" w:rsidRDefault="00A9721F">
            <w:pPr>
              <w:pStyle w:val="TableBodyText"/>
            </w:pPr>
            <w:r>
              <w:t>my-MM</w:t>
            </w:r>
          </w:p>
        </w:tc>
      </w:tr>
      <w:tr w:rsidR="000A156F" w:rsidTr="000A156F">
        <w:tc>
          <w:tcPr>
            <w:tcW w:w="0" w:type="auto"/>
            <w:vAlign w:val="center"/>
          </w:tcPr>
          <w:p w:rsidR="000A156F" w:rsidRDefault="00A9721F">
            <w:pPr>
              <w:pStyle w:val="TableBodyText"/>
            </w:pPr>
            <w:r>
              <w:t xml:space="preserve">Norwegian (Bokmål) </w:t>
            </w:r>
          </w:p>
        </w:tc>
        <w:tc>
          <w:tcPr>
            <w:tcW w:w="0" w:type="auto"/>
            <w:vAlign w:val="center"/>
          </w:tcPr>
          <w:p w:rsidR="000A156F" w:rsidRDefault="00A9721F">
            <w:pPr>
              <w:pStyle w:val="TableBodyText"/>
            </w:pPr>
            <w:r>
              <w:t>nb-NO</w:t>
            </w:r>
          </w:p>
        </w:tc>
      </w:tr>
      <w:tr w:rsidR="000A156F" w:rsidTr="000A156F">
        <w:tc>
          <w:tcPr>
            <w:tcW w:w="0" w:type="auto"/>
            <w:vAlign w:val="center"/>
          </w:tcPr>
          <w:p w:rsidR="000A156F" w:rsidRDefault="00A9721F">
            <w:pPr>
              <w:pStyle w:val="TableBodyText"/>
            </w:pPr>
            <w:r>
              <w:t xml:space="preserve">Nepali - India </w:t>
            </w:r>
          </w:p>
        </w:tc>
        <w:tc>
          <w:tcPr>
            <w:tcW w:w="0" w:type="auto"/>
            <w:vAlign w:val="center"/>
          </w:tcPr>
          <w:p w:rsidR="000A156F" w:rsidRDefault="00A9721F">
            <w:pPr>
              <w:pStyle w:val="TableBodyText"/>
            </w:pPr>
            <w:r>
              <w:t>ne-IN</w:t>
            </w:r>
          </w:p>
        </w:tc>
      </w:tr>
      <w:tr w:rsidR="000A156F" w:rsidTr="000A156F">
        <w:tc>
          <w:tcPr>
            <w:tcW w:w="0" w:type="auto"/>
            <w:vAlign w:val="center"/>
          </w:tcPr>
          <w:p w:rsidR="000A156F" w:rsidRDefault="00A9721F">
            <w:pPr>
              <w:pStyle w:val="TableBodyText"/>
            </w:pPr>
            <w:r>
              <w:t xml:space="preserve">Nepali </w:t>
            </w:r>
          </w:p>
        </w:tc>
        <w:tc>
          <w:tcPr>
            <w:tcW w:w="0" w:type="auto"/>
            <w:vAlign w:val="center"/>
          </w:tcPr>
          <w:p w:rsidR="000A156F" w:rsidRDefault="00A9721F">
            <w:pPr>
              <w:pStyle w:val="TableBodyText"/>
            </w:pPr>
            <w:r>
              <w:t>ne-NP</w:t>
            </w:r>
          </w:p>
        </w:tc>
      </w:tr>
      <w:tr w:rsidR="000A156F" w:rsidTr="000A156F">
        <w:tc>
          <w:tcPr>
            <w:tcW w:w="0" w:type="auto"/>
            <w:vAlign w:val="center"/>
          </w:tcPr>
          <w:p w:rsidR="000A156F" w:rsidRDefault="00A9721F">
            <w:pPr>
              <w:pStyle w:val="TableBodyText"/>
            </w:pPr>
            <w:r>
              <w:t xml:space="preserve">Dutch - Belgium </w:t>
            </w:r>
          </w:p>
        </w:tc>
        <w:tc>
          <w:tcPr>
            <w:tcW w:w="0" w:type="auto"/>
            <w:vAlign w:val="center"/>
          </w:tcPr>
          <w:p w:rsidR="000A156F" w:rsidRDefault="00A9721F">
            <w:pPr>
              <w:pStyle w:val="TableBodyText"/>
            </w:pPr>
            <w:r>
              <w:t>nl-BE</w:t>
            </w:r>
          </w:p>
        </w:tc>
      </w:tr>
      <w:tr w:rsidR="000A156F" w:rsidTr="000A156F">
        <w:tc>
          <w:tcPr>
            <w:tcW w:w="0" w:type="auto"/>
            <w:vAlign w:val="center"/>
          </w:tcPr>
          <w:p w:rsidR="000A156F" w:rsidRDefault="00A9721F">
            <w:pPr>
              <w:pStyle w:val="TableBodyText"/>
            </w:pPr>
            <w:r>
              <w:t xml:space="preserve">Dutch - Netherlands </w:t>
            </w:r>
          </w:p>
        </w:tc>
        <w:tc>
          <w:tcPr>
            <w:tcW w:w="0" w:type="auto"/>
            <w:vAlign w:val="center"/>
          </w:tcPr>
          <w:p w:rsidR="000A156F" w:rsidRDefault="00A9721F">
            <w:pPr>
              <w:pStyle w:val="TableBodyText"/>
            </w:pPr>
            <w:r>
              <w:t>nl-NL</w:t>
            </w:r>
          </w:p>
        </w:tc>
      </w:tr>
      <w:tr w:rsidR="000A156F" w:rsidTr="000A156F">
        <w:tc>
          <w:tcPr>
            <w:tcW w:w="0" w:type="auto"/>
            <w:vAlign w:val="center"/>
          </w:tcPr>
          <w:p w:rsidR="000A156F" w:rsidRDefault="00A9721F">
            <w:pPr>
              <w:pStyle w:val="TableBodyText"/>
            </w:pPr>
            <w:r>
              <w:t xml:space="preserve">Norwegian (Nynorsk) </w:t>
            </w:r>
          </w:p>
        </w:tc>
        <w:tc>
          <w:tcPr>
            <w:tcW w:w="0" w:type="auto"/>
            <w:vAlign w:val="center"/>
          </w:tcPr>
          <w:p w:rsidR="000A156F" w:rsidRDefault="00A9721F">
            <w:pPr>
              <w:pStyle w:val="TableBodyText"/>
            </w:pPr>
            <w:r>
              <w:t>nn-NO</w:t>
            </w:r>
          </w:p>
        </w:tc>
      </w:tr>
      <w:tr w:rsidR="000A156F" w:rsidTr="000A156F">
        <w:tc>
          <w:tcPr>
            <w:tcW w:w="0" w:type="auto"/>
            <w:vAlign w:val="center"/>
          </w:tcPr>
          <w:p w:rsidR="000A156F" w:rsidRDefault="00A9721F">
            <w:pPr>
              <w:pStyle w:val="TableBodyText"/>
            </w:pPr>
            <w:r>
              <w:t xml:space="preserve">Sepedi </w:t>
            </w:r>
          </w:p>
        </w:tc>
        <w:tc>
          <w:tcPr>
            <w:tcW w:w="0" w:type="auto"/>
            <w:vAlign w:val="center"/>
          </w:tcPr>
          <w:p w:rsidR="000A156F" w:rsidRDefault="00A9721F">
            <w:pPr>
              <w:pStyle w:val="TableBodyText"/>
            </w:pPr>
            <w:r>
              <w:t>nso-ZA</w:t>
            </w:r>
          </w:p>
        </w:tc>
      </w:tr>
      <w:tr w:rsidR="000A156F" w:rsidTr="000A156F">
        <w:tc>
          <w:tcPr>
            <w:tcW w:w="0" w:type="auto"/>
            <w:vAlign w:val="center"/>
          </w:tcPr>
          <w:p w:rsidR="000A156F" w:rsidRDefault="00A9721F">
            <w:pPr>
              <w:pStyle w:val="TableBodyText"/>
            </w:pPr>
            <w:r>
              <w:t xml:space="preserve">Odia </w:t>
            </w:r>
          </w:p>
        </w:tc>
        <w:tc>
          <w:tcPr>
            <w:tcW w:w="0" w:type="auto"/>
            <w:vAlign w:val="center"/>
          </w:tcPr>
          <w:p w:rsidR="000A156F" w:rsidRDefault="00A9721F">
            <w:pPr>
              <w:pStyle w:val="TableBodyText"/>
            </w:pPr>
            <w:r>
              <w:t>or-IN</w:t>
            </w:r>
          </w:p>
        </w:tc>
      </w:tr>
      <w:tr w:rsidR="000A156F" w:rsidTr="000A156F">
        <w:tc>
          <w:tcPr>
            <w:tcW w:w="0" w:type="auto"/>
            <w:vAlign w:val="center"/>
          </w:tcPr>
          <w:p w:rsidR="000A156F" w:rsidRDefault="00A9721F">
            <w:pPr>
              <w:pStyle w:val="TableBodyText"/>
            </w:pPr>
            <w:r>
              <w:t xml:space="preserve">Punjabi </w:t>
            </w:r>
          </w:p>
        </w:tc>
        <w:tc>
          <w:tcPr>
            <w:tcW w:w="0" w:type="auto"/>
            <w:vAlign w:val="center"/>
          </w:tcPr>
          <w:p w:rsidR="000A156F" w:rsidRDefault="00A9721F">
            <w:pPr>
              <w:pStyle w:val="TableBodyText"/>
            </w:pPr>
            <w:r>
              <w:t>pa-IN</w:t>
            </w:r>
          </w:p>
        </w:tc>
      </w:tr>
      <w:tr w:rsidR="000A156F" w:rsidTr="000A156F">
        <w:tc>
          <w:tcPr>
            <w:tcW w:w="0" w:type="auto"/>
            <w:vAlign w:val="center"/>
          </w:tcPr>
          <w:p w:rsidR="000A156F" w:rsidRDefault="00A9721F">
            <w:pPr>
              <w:pStyle w:val="TableBodyText"/>
            </w:pPr>
            <w:r>
              <w:t xml:space="preserve">Papiamentu </w:t>
            </w:r>
          </w:p>
        </w:tc>
        <w:tc>
          <w:tcPr>
            <w:tcW w:w="0" w:type="auto"/>
            <w:vAlign w:val="center"/>
          </w:tcPr>
          <w:p w:rsidR="000A156F" w:rsidRDefault="00A9721F">
            <w:pPr>
              <w:pStyle w:val="TableBodyText"/>
            </w:pPr>
            <w:r>
              <w:t>pap-AN</w:t>
            </w:r>
          </w:p>
        </w:tc>
      </w:tr>
      <w:tr w:rsidR="000A156F" w:rsidTr="000A156F">
        <w:tc>
          <w:tcPr>
            <w:tcW w:w="0" w:type="auto"/>
            <w:vAlign w:val="center"/>
          </w:tcPr>
          <w:p w:rsidR="000A156F" w:rsidRDefault="00A9721F">
            <w:pPr>
              <w:pStyle w:val="TableBodyText"/>
            </w:pPr>
            <w:r>
              <w:t xml:space="preserve">Punjabi (Pakistan) </w:t>
            </w:r>
          </w:p>
        </w:tc>
        <w:tc>
          <w:tcPr>
            <w:tcW w:w="0" w:type="auto"/>
            <w:vAlign w:val="center"/>
          </w:tcPr>
          <w:p w:rsidR="000A156F" w:rsidRDefault="00A9721F">
            <w:pPr>
              <w:pStyle w:val="TableBodyText"/>
            </w:pPr>
            <w:r>
              <w:t>pa-PK</w:t>
            </w:r>
          </w:p>
        </w:tc>
      </w:tr>
      <w:tr w:rsidR="000A156F" w:rsidTr="000A156F">
        <w:tc>
          <w:tcPr>
            <w:tcW w:w="0" w:type="auto"/>
            <w:vAlign w:val="center"/>
          </w:tcPr>
          <w:p w:rsidR="000A156F" w:rsidRDefault="00A9721F">
            <w:pPr>
              <w:pStyle w:val="TableBodyText"/>
            </w:pPr>
            <w:r>
              <w:t xml:space="preserve">Polish </w:t>
            </w:r>
          </w:p>
        </w:tc>
        <w:tc>
          <w:tcPr>
            <w:tcW w:w="0" w:type="auto"/>
            <w:vAlign w:val="center"/>
          </w:tcPr>
          <w:p w:rsidR="000A156F" w:rsidRDefault="00A9721F">
            <w:pPr>
              <w:pStyle w:val="TableBodyText"/>
            </w:pPr>
            <w:r>
              <w:t>pl-PL</w:t>
            </w:r>
          </w:p>
        </w:tc>
      </w:tr>
      <w:tr w:rsidR="000A156F" w:rsidTr="000A156F">
        <w:tc>
          <w:tcPr>
            <w:tcW w:w="0" w:type="auto"/>
            <w:vAlign w:val="center"/>
          </w:tcPr>
          <w:p w:rsidR="000A156F" w:rsidRDefault="00A9721F">
            <w:pPr>
              <w:pStyle w:val="TableBodyText"/>
            </w:pPr>
            <w:r>
              <w:t xml:space="preserve">Pashto </w:t>
            </w:r>
          </w:p>
        </w:tc>
        <w:tc>
          <w:tcPr>
            <w:tcW w:w="0" w:type="auto"/>
            <w:vAlign w:val="center"/>
          </w:tcPr>
          <w:p w:rsidR="000A156F" w:rsidRDefault="00A9721F">
            <w:pPr>
              <w:pStyle w:val="TableBodyText"/>
            </w:pPr>
            <w:r>
              <w:t>ps-AF</w:t>
            </w:r>
          </w:p>
        </w:tc>
      </w:tr>
      <w:tr w:rsidR="000A156F" w:rsidTr="000A156F">
        <w:tc>
          <w:tcPr>
            <w:tcW w:w="0" w:type="auto"/>
            <w:vAlign w:val="center"/>
          </w:tcPr>
          <w:p w:rsidR="000A156F" w:rsidRDefault="00A9721F">
            <w:pPr>
              <w:pStyle w:val="TableBodyText"/>
            </w:pPr>
            <w:r>
              <w:t xml:space="preserve">Portuguese - Brazil </w:t>
            </w:r>
          </w:p>
        </w:tc>
        <w:tc>
          <w:tcPr>
            <w:tcW w:w="0" w:type="auto"/>
            <w:vAlign w:val="center"/>
          </w:tcPr>
          <w:p w:rsidR="000A156F" w:rsidRDefault="00A9721F">
            <w:pPr>
              <w:pStyle w:val="TableBodyText"/>
            </w:pPr>
            <w:r>
              <w:t>pt-BR</w:t>
            </w:r>
          </w:p>
        </w:tc>
      </w:tr>
      <w:tr w:rsidR="000A156F" w:rsidTr="000A156F">
        <w:tc>
          <w:tcPr>
            <w:tcW w:w="0" w:type="auto"/>
            <w:vAlign w:val="center"/>
          </w:tcPr>
          <w:p w:rsidR="000A156F" w:rsidRDefault="00A9721F">
            <w:pPr>
              <w:pStyle w:val="TableBodyText"/>
            </w:pPr>
            <w:r>
              <w:t xml:space="preserve">Portuguese - Portugal </w:t>
            </w:r>
          </w:p>
        </w:tc>
        <w:tc>
          <w:tcPr>
            <w:tcW w:w="0" w:type="auto"/>
            <w:vAlign w:val="center"/>
          </w:tcPr>
          <w:p w:rsidR="000A156F" w:rsidRDefault="00A9721F">
            <w:pPr>
              <w:pStyle w:val="TableBodyText"/>
            </w:pPr>
            <w:r>
              <w:t>pt-PT</w:t>
            </w:r>
          </w:p>
        </w:tc>
      </w:tr>
      <w:tr w:rsidR="000A156F" w:rsidTr="000A156F">
        <w:tc>
          <w:tcPr>
            <w:tcW w:w="0" w:type="auto"/>
            <w:vAlign w:val="center"/>
          </w:tcPr>
          <w:p w:rsidR="000A156F" w:rsidRDefault="00A9721F">
            <w:pPr>
              <w:pStyle w:val="TableBodyText"/>
            </w:pPr>
            <w:r>
              <w:t xml:space="preserve">Quecha - Bolivia </w:t>
            </w:r>
          </w:p>
        </w:tc>
        <w:tc>
          <w:tcPr>
            <w:tcW w:w="0" w:type="auto"/>
            <w:vAlign w:val="center"/>
          </w:tcPr>
          <w:p w:rsidR="000A156F" w:rsidRDefault="00A9721F">
            <w:pPr>
              <w:pStyle w:val="TableBodyText"/>
            </w:pPr>
            <w:r>
              <w:t>quz-BO</w:t>
            </w:r>
          </w:p>
        </w:tc>
      </w:tr>
      <w:tr w:rsidR="000A156F" w:rsidTr="000A156F">
        <w:tc>
          <w:tcPr>
            <w:tcW w:w="0" w:type="auto"/>
            <w:vAlign w:val="center"/>
          </w:tcPr>
          <w:p w:rsidR="000A156F" w:rsidRDefault="00A9721F">
            <w:pPr>
              <w:pStyle w:val="TableBodyText"/>
            </w:pPr>
            <w:r>
              <w:t xml:space="preserve">Quecha - Ecuador </w:t>
            </w:r>
          </w:p>
        </w:tc>
        <w:tc>
          <w:tcPr>
            <w:tcW w:w="0" w:type="auto"/>
            <w:vAlign w:val="center"/>
          </w:tcPr>
          <w:p w:rsidR="000A156F" w:rsidRDefault="00A9721F">
            <w:pPr>
              <w:pStyle w:val="TableBodyText"/>
            </w:pPr>
            <w:r>
              <w:t>quz-EC</w:t>
            </w:r>
          </w:p>
        </w:tc>
      </w:tr>
      <w:tr w:rsidR="000A156F" w:rsidTr="000A156F">
        <w:tc>
          <w:tcPr>
            <w:tcW w:w="0" w:type="auto"/>
            <w:vAlign w:val="center"/>
          </w:tcPr>
          <w:p w:rsidR="000A156F" w:rsidRDefault="00A9721F">
            <w:pPr>
              <w:pStyle w:val="TableBodyText"/>
            </w:pPr>
            <w:r>
              <w:t xml:space="preserve">Quecha - Peru </w:t>
            </w:r>
          </w:p>
        </w:tc>
        <w:tc>
          <w:tcPr>
            <w:tcW w:w="0" w:type="auto"/>
            <w:vAlign w:val="center"/>
          </w:tcPr>
          <w:p w:rsidR="000A156F" w:rsidRDefault="00A9721F">
            <w:pPr>
              <w:pStyle w:val="TableBodyText"/>
            </w:pPr>
            <w:r>
              <w:t>quz-PE</w:t>
            </w:r>
          </w:p>
        </w:tc>
      </w:tr>
      <w:tr w:rsidR="000A156F" w:rsidTr="000A156F">
        <w:tc>
          <w:tcPr>
            <w:tcW w:w="0" w:type="auto"/>
            <w:vAlign w:val="center"/>
          </w:tcPr>
          <w:p w:rsidR="000A156F" w:rsidRDefault="00A9721F">
            <w:pPr>
              <w:pStyle w:val="TableBodyText"/>
            </w:pPr>
            <w:r>
              <w:t xml:space="preserve">Rhaeto-Romanic </w:t>
            </w:r>
          </w:p>
        </w:tc>
        <w:tc>
          <w:tcPr>
            <w:tcW w:w="0" w:type="auto"/>
            <w:vAlign w:val="center"/>
          </w:tcPr>
          <w:p w:rsidR="000A156F" w:rsidRDefault="00A9721F">
            <w:pPr>
              <w:pStyle w:val="TableBodyText"/>
            </w:pPr>
            <w:r>
              <w:t>rm-CH</w:t>
            </w:r>
          </w:p>
        </w:tc>
      </w:tr>
      <w:tr w:rsidR="000A156F" w:rsidTr="000A156F">
        <w:tc>
          <w:tcPr>
            <w:tcW w:w="0" w:type="auto"/>
            <w:vAlign w:val="center"/>
          </w:tcPr>
          <w:p w:rsidR="000A156F" w:rsidRDefault="00A9721F">
            <w:pPr>
              <w:pStyle w:val="TableBodyText"/>
            </w:pPr>
            <w:r>
              <w:t xml:space="preserve">Romanian - Moldova </w:t>
            </w:r>
          </w:p>
        </w:tc>
        <w:tc>
          <w:tcPr>
            <w:tcW w:w="0" w:type="auto"/>
            <w:vAlign w:val="center"/>
          </w:tcPr>
          <w:p w:rsidR="000A156F" w:rsidRDefault="00A9721F">
            <w:pPr>
              <w:pStyle w:val="TableBodyText"/>
            </w:pPr>
            <w:r>
              <w:t>ro-MD</w:t>
            </w:r>
          </w:p>
        </w:tc>
      </w:tr>
      <w:tr w:rsidR="000A156F" w:rsidTr="000A156F">
        <w:tc>
          <w:tcPr>
            <w:tcW w:w="0" w:type="auto"/>
            <w:vAlign w:val="center"/>
          </w:tcPr>
          <w:p w:rsidR="000A156F" w:rsidRDefault="00A9721F">
            <w:pPr>
              <w:pStyle w:val="TableBodyText"/>
            </w:pPr>
            <w:r>
              <w:lastRenderedPageBreak/>
              <w:t xml:space="preserve">Romanian </w:t>
            </w:r>
          </w:p>
        </w:tc>
        <w:tc>
          <w:tcPr>
            <w:tcW w:w="0" w:type="auto"/>
            <w:vAlign w:val="center"/>
          </w:tcPr>
          <w:p w:rsidR="000A156F" w:rsidRDefault="00A9721F">
            <w:pPr>
              <w:pStyle w:val="TableBodyText"/>
            </w:pPr>
            <w:r>
              <w:t>ro-RO</w:t>
            </w:r>
          </w:p>
        </w:tc>
      </w:tr>
      <w:tr w:rsidR="000A156F" w:rsidTr="000A156F">
        <w:tc>
          <w:tcPr>
            <w:tcW w:w="0" w:type="auto"/>
            <w:vAlign w:val="center"/>
          </w:tcPr>
          <w:p w:rsidR="000A156F" w:rsidRDefault="00A9721F">
            <w:pPr>
              <w:pStyle w:val="TableBodyText"/>
            </w:pPr>
            <w:r>
              <w:t xml:space="preserve">Russian - Moldova </w:t>
            </w:r>
          </w:p>
        </w:tc>
        <w:tc>
          <w:tcPr>
            <w:tcW w:w="0" w:type="auto"/>
            <w:vAlign w:val="center"/>
          </w:tcPr>
          <w:p w:rsidR="000A156F" w:rsidRDefault="00A9721F">
            <w:pPr>
              <w:pStyle w:val="TableBodyText"/>
            </w:pPr>
            <w:r>
              <w:t>ru-MD</w:t>
            </w:r>
          </w:p>
        </w:tc>
      </w:tr>
      <w:tr w:rsidR="000A156F" w:rsidTr="000A156F">
        <w:tc>
          <w:tcPr>
            <w:tcW w:w="0" w:type="auto"/>
            <w:vAlign w:val="center"/>
          </w:tcPr>
          <w:p w:rsidR="000A156F" w:rsidRDefault="00A9721F">
            <w:pPr>
              <w:pStyle w:val="TableBodyText"/>
            </w:pPr>
            <w:r>
              <w:t xml:space="preserve">Russian </w:t>
            </w:r>
          </w:p>
        </w:tc>
        <w:tc>
          <w:tcPr>
            <w:tcW w:w="0" w:type="auto"/>
            <w:vAlign w:val="center"/>
          </w:tcPr>
          <w:p w:rsidR="000A156F" w:rsidRDefault="00A9721F">
            <w:pPr>
              <w:pStyle w:val="TableBodyText"/>
            </w:pPr>
            <w:r>
              <w:t>ru-RU</w:t>
            </w:r>
          </w:p>
        </w:tc>
      </w:tr>
      <w:tr w:rsidR="000A156F" w:rsidTr="000A156F">
        <w:tc>
          <w:tcPr>
            <w:tcW w:w="0" w:type="auto"/>
            <w:vAlign w:val="center"/>
          </w:tcPr>
          <w:p w:rsidR="000A156F" w:rsidRDefault="00A9721F">
            <w:pPr>
              <w:pStyle w:val="TableBodyText"/>
            </w:pPr>
            <w:r>
              <w:t xml:space="preserve">Sanskrit </w:t>
            </w:r>
          </w:p>
        </w:tc>
        <w:tc>
          <w:tcPr>
            <w:tcW w:w="0" w:type="auto"/>
            <w:vAlign w:val="center"/>
          </w:tcPr>
          <w:p w:rsidR="000A156F" w:rsidRDefault="00A9721F">
            <w:pPr>
              <w:pStyle w:val="TableBodyText"/>
            </w:pPr>
            <w:r>
              <w:t>sa-IN</w:t>
            </w:r>
          </w:p>
        </w:tc>
      </w:tr>
      <w:tr w:rsidR="000A156F" w:rsidTr="000A156F">
        <w:tc>
          <w:tcPr>
            <w:tcW w:w="0" w:type="auto"/>
            <w:vAlign w:val="center"/>
          </w:tcPr>
          <w:p w:rsidR="000A156F" w:rsidRDefault="00A9721F">
            <w:pPr>
              <w:pStyle w:val="TableBodyText"/>
            </w:pPr>
            <w:r>
              <w:t xml:space="preserve">Sindhi - India </w:t>
            </w:r>
          </w:p>
        </w:tc>
        <w:tc>
          <w:tcPr>
            <w:tcW w:w="0" w:type="auto"/>
            <w:vAlign w:val="center"/>
          </w:tcPr>
          <w:p w:rsidR="000A156F" w:rsidRDefault="00A9721F">
            <w:pPr>
              <w:pStyle w:val="TableBodyText"/>
            </w:pPr>
            <w:r>
              <w:t>sd-IN</w:t>
            </w:r>
          </w:p>
        </w:tc>
      </w:tr>
      <w:tr w:rsidR="000A156F" w:rsidTr="000A156F">
        <w:tc>
          <w:tcPr>
            <w:tcW w:w="0" w:type="auto"/>
            <w:vAlign w:val="center"/>
          </w:tcPr>
          <w:p w:rsidR="000A156F" w:rsidRDefault="00A9721F">
            <w:pPr>
              <w:pStyle w:val="TableBodyText"/>
            </w:pPr>
            <w:r>
              <w:t xml:space="preserve">Sindhi - Pakistan </w:t>
            </w:r>
          </w:p>
        </w:tc>
        <w:tc>
          <w:tcPr>
            <w:tcW w:w="0" w:type="auto"/>
            <w:vAlign w:val="center"/>
          </w:tcPr>
          <w:p w:rsidR="000A156F" w:rsidRDefault="00A9721F">
            <w:pPr>
              <w:pStyle w:val="TableBodyText"/>
            </w:pPr>
            <w:r>
              <w:t>sd-PK</w:t>
            </w:r>
          </w:p>
        </w:tc>
      </w:tr>
      <w:tr w:rsidR="000A156F" w:rsidTr="000A156F">
        <w:tc>
          <w:tcPr>
            <w:tcW w:w="0" w:type="auto"/>
            <w:vAlign w:val="center"/>
          </w:tcPr>
          <w:p w:rsidR="000A156F" w:rsidRDefault="00A9721F">
            <w:pPr>
              <w:pStyle w:val="TableBodyText"/>
            </w:pPr>
            <w:r>
              <w:t xml:space="preserve">Sami </w:t>
            </w:r>
          </w:p>
        </w:tc>
        <w:tc>
          <w:tcPr>
            <w:tcW w:w="0" w:type="auto"/>
            <w:vAlign w:val="center"/>
          </w:tcPr>
          <w:p w:rsidR="000A156F" w:rsidRDefault="00A9721F">
            <w:pPr>
              <w:pStyle w:val="TableBodyText"/>
            </w:pPr>
            <w:r>
              <w:t>se-NO</w:t>
            </w:r>
          </w:p>
        </w:tc>
      </w:tr>
      <w:tr w:rsidR="000A156F" w:rsidTr="000A156F">
        <w:tc>
          <w:tcPr>
            <w:tcW w:w="0" w:type="auto"/>
            <w:vAlign w:val="center"/>
          </w:tcPr>
          <w:p w:rsidR="000A156F" w:rsidRDefault="00A9721F">
            <w:pPr>
              <w:pStyle w:val="TableBodyText"/>
            </w:pPr>
            <w:r>
              <w:t xml:space="preserve">Sinhalese - Sri Lanka </w:t>
            </w:r>
          </w:p>
        </w:tc>
        <w:tc>
          <w:tcPr>
            <w:tcW w:w="0" w:type="auto"/>
            <w:vAlign w:val="center"/>
          </w:tcPr>
          <w:p w:rsidR="000A156F" w:rsidRDefault="00A9721F">
            <w:pPr>
              <w:pStyle w:val="TableBodyText"/>
            </w:pPr>
            <w:r>
              <w:t>si-LK</w:t>
            </w:r>
          </w:p>
        </w:tc>
      </w:tr>
      <w:tr w:rsidR="000A156F" w:rsidTr="000A156F">
        <w:tc>
          <w:tcPr>
            <w:tcW w:w="0" w:type="auto"/>
            <w:vAlign w:val="center"/>
          </w:tcPr>
          <w:p w:rsidR="000A156F" w:rsidRDefault="00A9721F">
            <w:pPr>
              <w:pStyle w:val="TableBodyText"/>
            </w:pPr>
            <w:r>
              <w:t xml:space="preserve">Slovak </w:t>
            </w:r>
          </w:p>
        </w:tc>
        <w:tc>
          <w:tcPr>
            <w:tcW w:w="0" w:type="auto"/>
            <w:vAlign w:val="center"/>
          </w:tcPr>
          <w:p w:rsidR="000A156F" w:rsidRDefault="00A9721F">
            <w:pPr>
              <w:pStyle w:val="TableBodyText"/>
            </w:pPr>
            <w:r>
              <w:t>sk-SK</w:t>
            </w:r>
          </w:p>
        </w:tc>
      </w:tr>
      <w:tr w:rsidR="000A156F" w:rsidTr="000A156F">
        <w:tc>
          <w:tcPr>
            <w:tcW w:w="0" w:type="auto"/>
            <w:vAlign w:val="center"/>
          </w:tcPr>
          <w:p w:rsidR="000A156F" w:rsidRDefault="00A9721F">
            <w:pPr>
              <w:pStyle w:val="TableBodyText"/>
            </w:pPr>
            <w:r>
              <w:t xml:space="preserve">Slovenian </w:t>
            </w:r>
          </w:p>
        </w:tc>
        <w:tc>
          <w:tcPr>
            <w:tcW w:w="0" w:type="auto"/>
            <w:vAlign w:val="center"/>
          </w:tcPr>
          <w:p w:rsidR="000A156F" w:rsidRDefault="00A9721F">
            <w:pPr>
              <w:pStyle w:val="TableBodyText"/>
            </w:pPr>
            <w:r>
              <w:t>sl-SI</w:t>
            </w:r>
          </w:p>
        </w:tc>
      </w:tr>
      <w:tr w:rsidR="000A156F" w:rsidTr="000A156F">
        <w:tc>
          <w:tcPr>
            <w:tcW w:w="0" w:type="auto"/>
            <w:vAlign w:val="center"/>
          </w:tcPr>
          <w:p w:rsidR="000A156F" w:rsidRDefault="00A9721F">
            <w:pPr>
              <w:pStyle w:val="TableBodyText"/>
            </w:pPr>
            <w:r>
              <w:t xml:space="preserve">Somali </w:t>
            </w:r>
          </w:p>
        </w:tc>
        <w:tc>
          <w:tcPr>
            <w:tcW w:w="0" w:type="auto"/>
            <w:vAlign w:val="center"/>
          </w:tcPr>
          <w:p w:rsidR="000A156F" w:rsidRDefault="00A9721F">
            <w:pPr>
              <w:pStyle w:val="TableBodyText"/>
            </w:pPr>
            <w:r>
              <w:t>so-SO</w:t>
            </w:r>
          </w:p>
        </w:tc>
      </w:tr>
      <w:tr w:rsidR="000A156F" w:rsidTr="000A156F">
        <w:tc>
          <w:tcPr>
            <w:tcW w:w="0" w:type="auto"/>
            <w:vAlign w:val="center"/>
          </w:tcPr>
          <w:p w:rsidR="000A156F" w:rsidRDefault="00A9721F">
            <w:pPr>
              <w:pStyle w:val="TableBodyText"/>
            </w:pPr>
            <w:r>
              <w:t xml:space="preserve">Albanian - Albania </w:t>
            </w:r>
          </w:p>
        </w:tc>
        <w:tc>
          <w:tcPr>
            <w:tcW w:w="0" w:type="auto"/>
            <w:vAlign w:val="center"/>
          </w:tcPr>
          <w:p w:rsidR="000A156F" w:rsidRDefault="00A9721F">
            <w:pPr>
              <w:pStyle w:val="TableBodyText"/>
            </w:pPr>
            <w:r>
              <w:t>sq-AL</w:t>
            </w:r>
          </w:p>
        </w:tc>
      </w:tr>
      <w:tr w:rsidR="000A156F" w:rsidTr="000A156F">
        <w:tc>
          <w:tcPr>
            <w:tcW w:w="0" w:type="auto"/>
            <w:vAlign w:val="center"/>
          </w:tcPr>
          <w:p w:rsidR="000A156F" w:rsidRDefault="00A9721F">
            <w:pPr>
              <w:pStyle w:val="TableBodyText"/>
            </w:pPr>
            <w:r>
              <w:t xml:space="preserve">Serbian (Cyrillic) </w:t>
            </w:r>
          </w:p>
        </w:tc>
        <w:tc>
          <w:tcPr>
            <w:tcW w:w="0" w:type="auto"/>
            <w:vAlign w:val="center"/>
          </w:tcPr>
          <w:p w:rsidR="000A156F" w:rsidRDefault="00A9721F">
            <w:pPr>
              <w:pStyle w:val="TableBodyText"/>
            </w:pPr>
            <w:r>
              <w:t>sr-Cyrl-CS+C44</w:t>
            </w:r>
          </w:p>
        </w:tc>
      </w:tr>
      <w:tr w:rsidR="000A156F" w:rsidTr="000A156F">
        <w:tc>
          <w:tcPr>
            <w:tcW w:w="0" w:type="auto"/>
            <w:vAlign w:val="center"/>
          </w:tcPr>
          <w:p w:rsidR="000A156F" w:rsidRDefault="00A9721F">
            <w:pPr>
              <w:pStyle w:val="TableBodyText"/>
            </w:pPr>
            <w:r>
              <w:t xml:space="preserve">Serbian (Latin) </w:t>
            </w:r>
          </w:p>
        </w:tc>
        <w:tc>
          <w:tcPr>
            <w:tcW w:w="0" w:type="auto"/>
            <w:vAlign w:val="center"/>
          </w:tcPr>
          <w:p w:rsidR="000A156F" w:rsidRDefault="00A9721F">
            <w:pPr>
              <w:pStyle w:val="TableBodyText"/>
            </w:pPr>
            <w:r>
              <w:t>sr-Latn-CS</w:t>
            </w:r>
          </w:p>
        </w:tc>
      </w:tr>
      <w:tr w:rsidR="000A156F" w:rsidTr="000A156F">
        <w:tc>
          <w:tcPr>
            <w:tcW w:w="0" w:type="auto"/>
            <w:vAlign w:val="center"/>
          </w:tcPr>
          <w:p w:rsidR="000A156F" w:rsidRDefault="00A9721F">
            <w:pPr>
              <w:pStyle w:val="TableBodyText"/>
            </w:pPr>
            <w:r>
              <w:t xml:space="preserve">Sutu </w:t>
            </w:r>
          </w:p>
        </w:tc>
        <w:tc>
          <w:tcPr>
            <w:tcW w:w="0" w:type="auto"/>
            <w:vAlign w:val="center"/>
          </w:tcPr>
          <w:p w:rsidR="000A156F" w:rsidRDefault="00A9721F">
            <w:pPr>
              <w:pStyle w:val="TableBodyText"/>
            </w:pPr>
            <w:r>
              <w:t>st-ZA</w:t>
            </w:r>
          </w:p>
        </w:tc>
      </w:tr>
      <w:tr w:rsidR="000A156F" w:rsidTr="000A156F">
        <w:tc>
          <w:tcPr>
            <w:tcW w:w="0" w:type="auto"/>
            <w:vAlign w:val="center"/>
          </w:tcPr>
          <w:p w:rsidR="000A156F" w:rsidRDefault="00A9721F">
            <w:pPr>
              <w:pStyle w:val="TableBodyText"/>
            </w:pPr>
            <w:r>
              <w:t xml:space="preserve">Swedish - Finland </w:t>
            </w:r>
          </w:p>
        </w:tc>
        <w:tc>
          <w:tcPr>
            <w:tcW w:w="0" w:type="auto"/>
            <w:vAlign w:val="center"/>
          </w:tcPr>
          <w:p w:rsidR="000A156F" w:rsidRDefault="00A9721F">
            <w:pPr>
              <w:pStyle w:val="TableBodyText"/>
            </w:pPr>
            <w:r>
              <w:t>sv-FI</w:t>
            </w:r>
          </w:p>
        </w:tc>
      </w:tr>
      <w:tr w:rsidR="000A156F" w:rsidTr="000A156F">
        <w:tc>
          <w:tcPr>
            <w:tcW w:w="0" w:type="auto"/>
            <w:vAlign w:val="center"/>
          </w:tcPr>
          <w:p w:rsidR="000A156F" w:rsidRDefault="00A9721F">
            <w:pPr>
              <w:pStyle w:val="TableBodyText"/>
            </w:pPr>
            <w:r>
              <w:t xml:space="preserve">Swedish </w:t>
            </w:r>
          </w:p>
        </w:tc>
        <w:tc>
          <w:tcPr>
            <w:tcW w:w="0" w:type="auto"/>
            <w:vAlign w:val="center"/>
          </w:tcPr>
          <w:p w:rsidR="000A156F" w:rsidRDefault="00A9721F">
            <w:pPr>
              <w:pStyle w:val="TableBodyText"/>
            </w:pPr>
            <w:r>
              <w:t>sv-SE</w:t>
            </w:r>
          </w:p>
        </w:tc>
      </w:tr>
      <w:tr w:rsidR="000A156F" w:rsidTr="000A156F">
        <w:tc>
          <w:tcPr>
            <w:tcW w:w="0" w:type="auto"/>
            <w:vAlign w:val="center"/>
          </w:tcPr>
          <w:p w:rsidR="000A156F" w:rsidRDefault="00A9721F">
            <w:pPr>
              <w:pStyle w:val="TableBodyText"/>
            </w:pPr>
            <w:r>
              <w:t xml:space="preserve">Swahili </w:t>
            </w:r>
          </w:p>
        </w:tc>
        <w:tc>
          <w:tcPr>
            <w:tcW w:w="0" w:type="auto"/>
            <w:vAlign w:val="center"/>
          </w:tcPr>
          <w:p w:rsidR="000A156F" w:rsidRDefault="00A9721F">
            <w:pPr>
              <w:pStyle w:val="TableBodyText"/>
            </w:pPr>
            <w:r>
              <w:t>sw-KE</w:t>
            </w:r>
          </w:p>
        </w:tc>
      </w:tr>
      <w:tr w:rsidR="000A156F" w:rsidTr="000A156F">
        <w:tc>
          <w:tcPr>
            <w:tcW w:w="0" w:type="auto"/>
            <w:vAlign w:val="center"/>
          </w:tcPr>
          <w:p w:rsidR="000A156F" w:rsidRDefault="00A9721F">
            <w:pPr>
              <w:pStyle w:val="TableBodyText"/>
            </w:pPr>
            <w:r>
              <w:t xml:space="preserve">Syriac </w:t>
            </w:r>
          </w:p>
        </w:tc>
        <w:tc>
          <w:tcPr>
            <w:tcW w:w="0" w:type="auto"/>
            <w:vAlign w:val="center"/>
          </w:tcPr>
          <w:p w:rsidR="000A156F" w:rsidRDefault="00A9721F">
            <w:pPr>
              <w:pStyle w:val="TableBodyText"/>
            </w:pPr>
            <w:r>
              <w:t>syr-SY</w:t>
            </w:r>
          </w:p>
        </w:tc>
      </w:tr>
      <w:tr w:rsidR="000A156F" w:rsidTr="000A156F">
        <w:tc>
          <w:tcPr>
            <w:tcW w:w="0" w:type="auto"/>
            <w:vAlign w:val="center"/>
          </w:tcPr>
          <w:p w:rsidR="000A156F" w:rsidRDefault="00A9721F">
            <w:pPr>
              <w:pStyle w:val="TableBodyText"/>
            </w:pPr>
            <w:r>
              <w:t xml:space="preserve">Tamil </w:t>
            </w:r>
          </w:p>
        </w:tc>
        <w:tc>
          <w:tcPr>
            <w:tcW w:w="0" w:type="auto"/>
            <w:vAlign w:val="center"/>
          </w:tcPr>
          <w:p w:rsidR="000A156F" w:rsidRDefault="00A9721F">
            <w:pPr>
              <w:pStyle w:val="TableBodyText"/>
            </w:pPr>
            <w:r>
              <w:t>ta-IN</w:t>
            </w:r>
          </w:p>
        </w:tc>
      </w:tr>
      <w:tr w:rsidR="000A156F" w:rsidTr="000A156F">
        <w:tc>
          <w:tcPr>
            <w:tcW w:w="0" w:type="auto"/>
            <w:vAlign w:val="center"/>
          </w:tcPr>
          <w:p w:rsidR="000A156F" w:rsidRDefault="00A9721F">
            <w:pPr>
              <w:pStyle w:val="TableBodyText"/>
            </w:pPr>
            <w:r>
              <w:t xml:space="preserve">Telugu </w:t>
            </w:r>
          </w:p>
        </w:tc>
        <w:tc>
          <w:tcPr>
            <w:tcW w:w="0" w:type="auto"/>
            <w:vAlign w:val="center"/>
          </w:tcPr>
          <w:p w:rsidR="000A156F" w:rsidRDefault="00A9721F">
            <w:pPr>
              <w:pStyle w:val="TableBodyText"/>
            </w:pPr>
            <w:r>
              <w:t>te-IN</w:t>
            </w:r>
          </w:p>
        </w:tc>
      </w:tr>
      <w:tr w:rsidR="000A156F" w:rsidTr="000A156F">
        <w:tc>
          <w:tcPr>
            <w:tcW w:w="0" w:type="auto"/>
            <w:vAlign w:val="center"/>
          </w:tcPr>
          <w:p w:rsidR="000A156F" w:rsidRDefault="00A9721F">
            <w:pPr>
              <w:pStyle w:val="TableBodyText"/>
            </w:pPr>
            <w:r>
              <w:t xml:space="preserve">Tajik </w:t>
            </w:r>
          </w:p>
        </w:tc>
        <w:tc>
          <w:tcPr>
            <w:tcW w:w="0" w:type="auto"/>
            <w:vAlign w:val="center"/>
          </w:tcPr>
          <w:p w:rsidR="000A156F" w:rsidRDefault="00A9721F">
            <w:pPr>
              <w:pStyle w:val="TableBodyText"/>
            </w:pPr>
            <w:r>
              <w:t>tg-Cyrl-TJ</w:t>
            </w:r>
          </w:p>
        </w:tc>
      </w:tr>
      <w:tr w:rsidR="000A156F" w:rsidTr="000A156F">
        <w:tc>
          <w:tcPr>
            <w:tcW w:w="0" w:type="auto"/>
            <w:vAlign w:val="center"/>
          </w:tcPr>
          <w:p w:rsidR="000A156F" w:rsidRDefault="00A9721F">
            <w:pPr>
              <w:pStyle w:val="TableBodyText"/>
            </w:pPr>
            <w:r>
              <w:t xml:space="preserve">Thai </w:t>
            </w:r>
          </w:p>
        </w:tc>
        <w:tc>
          <w:tcPr>
            <w:tcW w:w="0" w:type="auto"/>
            <w:vAlign w:val="center"/>
          </w:tcPr>
          <w:p w:rsidR="000A156F" w:rsidRDefault="00A9721F">
            <w:pPr>
              <w:pStyle w:val="TableBodyText"/>
            </w:pPr>
            <w:r>
              <w:t>th-TH</w:t>
            </w:r>
          </w:p>
        </w:tc>
      </w:tr>
      <w:tr w:rsidR="000A156F" w:rsidTr="000A156F">
        <w:tc>
          <w:tcPr>
            <w:tcW w:w="0" w:type="auto"/>
            <w:vAlign w:val="center"/>
          </w:tcPr>
          <w:p w:rsidR="000A156F" w:rsidRDefault="00A9721F">
            <w:pPr>
              <w:pStyle w:val="TableBodyText"/>
            </w:pPr>
            <w:r>
              <w:t xml:space="preserve">Tigrigna - Ethiopia </w:t>
            </w:r>
          </w:p>
        </w:tc>
        <w:tc>
          <w:tcPr>
            <w:tcW w:w="0" w:type="auto"/>
            <w:vAlign w:val="center"/>
          </w:tcPr>
          <w:p w:rsidR="000A156F" w:rsidRDefault="00A9721F">
            <w:pPr>
              <w:pStyle w:val="TableBodyText"/>
            </w:pPr>
            <w:r>
              <w:t>ti-ER</w:t>
            </w:r>
          </w:p>
        </w:tc>
      </w:tr>
      <w:tr w:rsidR="000A156F" w:rsidTr="000A156F">
        <w:tc>
          <w:tcPr>
            <w:tcW w:w="0" w:type="auto"/>
            <w:vAlign w:val="center"/>
          </w:tcPr>
          <w:p w:rsidR="000A156F" w:rsidRDefault="00A9721F">
            <w:pPr>
              <w:pStyle w:val="TableBodyText"/>
            </w:pPr>
            <w:r>
              <w:t xml:space="preserve">Tigrigna - Eritrea </w:t>
            </w:r>
          </w:p>
        </w:tc>
        <w:tc>
          <w:tcPr>
            <w:tcW w:w="0" w:type="auto"/>
            <w:vAlign w:val="center"/>
          </w:tcPr>
          <w:p w:rsidR="000A156F" w:rsidRDefault="00A9721F">
            <w:pPr>
              <w:pStyle w:val="TableBodyText"/>
            </w:pPr>
            <w:r>
              <w:t>ti-ET</w:t>
            </w:r>
          </w:p>
        </w:tc>
      </w:tr>
      <w:tr w:rsidR="000A156F" w:rsidTr="000A156F">
        <w:tc>
          <w:tcPr>
            <w:tcW w:w="0" w:type="auto"/>
            <w:vAlign w:val="center"/>
          </w:tcPr>
          <w:p w:rsidR="000A156F" w:rsidRDefault="00A9721F">
            <w:pPr>
              <w:pStyle w:val="TableBodyText"/>
            </w:pPr>
            <w:r>
              <w:t xml:space="preserve">Turkmen </w:t>
            </w:r>
          </w:p>
        </w:tc>
        <w:tc>
          <w:tcPr>
            <w:tcW w:w="0" w:type="auto"/>
            <w:vAlign w:val="center"/>
          </w:tcPr>
          <w:p w:rsidR="000A156F" w:rsidRDefault="00A9721F">
            <w:pPr>
              <w:pStyle w:val="TableBodyText"/>
            </w:pPr>
            <w:r>
              <w:t>tk-TM</w:t>
            </w:r>
          </w:p>
        </w:tc>
      </w:tr>
      <w:tr w:rsidR="000A156F" w:rsidTr="000A156F">
        <w:tc>
          <w:tcPr>
            <w:tcW w:w="0" w:type="auto"/>
            <w:vAlign w:val="center"/>
          </w:tcPr>
          <w:p w:rsidR="000A156F" w:rsidRDefault="00A9721F">
            <w:pPr>
              <w:pStyle w:val="TableBodyText"/>
            </w:pPr>
            <w:r>
              <w:t xml:space="preserve">Tamazight (Arabic) </w:t>
            </w:r>
          </w:p>
        </w:tc>
        <w:tc>
          <w:tcPr>
            <w:tcW w:w="0" w:type="auto"/>
            <w:vAlign w:val="center"/>
          </w:tcPr>
          <w:p w:rsidR="000A156F" w:rsidRDefault="00A9721F">
            <w:pPr>
              <w:pStyle w:val="TableBodyText"/>
            </w:pPr>
            <w:r>
              <w:t>tmz</w:t>
            </w:r>
          </w:p>
        </w:tc>
      </w:tr>
      <w:tr w:rsidR="000A156F" w:rsidTr="000A156F">
        <w:tc>
          <w:tcPr>
            <w:tcW w:w="0" w:type="auto"/>
            <w:vAlign w:val="center"/>
          </w:tcPr>
          <w:p w:rsidR="000A156F" w:rsidRDefault="00A9721F">
            <w:pPr>
              <w:pStyle w:val="TableBodyText"/>
            </w:pPr>
            <w:r>
              <w:t xml:space="preserve">Tswana </w:t>
            </w:r>
          </w:p>
        </w:tc>
        <w:tc>
          <w:tcPr>
            <w:tcW w:w="0" w:type="auto"/>
            <w:vAlign w:val="center"/>
          </w:tcPr>
          <w:p w:rsidR="000A156F" w:rsidRDefault="00A9721F">
            <w:pPr>
              <w:pStyle w:val="TableBodyText"/>
            </w:pPr>
            <w:r>
              <w:t>tn-ZA</w:t>
            </w:r>
          </w:p>
        </w:tc>
      </w:tr>
      <w:tr w:rsidR="000A156F" w:rsidTr="000A156F">
        <w:tc>
          <w:tcPr>
            <w:tcW w:w="0" w:type="auto"/>
            <w:vAlign w:val="center"/>
          </w:tcPr>
          <w:p w:rsidR="000A156F" w:rsidRDefault="00A9721F">
            <w:pPr>
              <w:pStyle w:val="TableBodyText"/>
            </w:pPr>
            <w:r>
              <w:t xml:space="preserve">Turkish </w:t>
            </w:r>
          </w:p>
        </w:tc>
        <w:tc>
          <w:tcPr>
            <w:tcW w:w="0" w:type="auto"/>
            <w:vAlign w:val="center"/>
          </w:tcPr>
          <w:p w:rsidR="000A156F" w:rsidRDefault="00A9721F">
            <w:pPr>
              <w:pStyle w:val="TableBodyText"/>
            </w:pPr>
            <w:r>
              <w:t>tr-TR</w:t>
            </w:r>
          </w:p>
        </w:tc>
      </w:tr>
      <w:tr w:rsidR="000A156F" w:rsidTr="000A156F">
        <w:tc>
          <w:tcPr>
            <w:tcW w:w="0" w:type="auto"/>
            <w:vAlign w:val="center"/>
          </w:tcPr>
          <w:p w:rsidR="000A156F" w:rsidRDefault="00A9721F">
            <w:pPr>
              <w:pStyle w:val="TableBodyText"/>
            </w:pPr>
            <w:r>
              <w:t xml:space="preserve">Tsonga </w:t>
            </w:r>
          </w:p>
        </w:tc>
        <w:tc>
          <w:tcPr>
            <w:tcW w:w="0" w:type="auto"/>
            <w:vAlign w:val="center"/>
          </w:tcPr>
          <w:p w:rsidR="000A156F" w:rsidRDefault="00A9721F">
            <w:pPr>
              <w:pStyle w:val="TableBodyText"/>
            </w:pPr>
            <w:r>
              <w:t>ts-ZA</w:t>
            </w:r>
          </w:p>
        </w:tc>
      </w:tr>
      <w:tr w:rsidR="000A156F" w:rsidTr="000A156F">
        <w:tc>
          <w:tcPr>
            <w:tcW w:w="0" w:type="auto"/>
            <w:vAlign w:val="center"/>
          </w:tcPr>
          <w:p w:rsidR="000A156F" w:rsidRDefault="00A9721F">
            <w:pPr>
              <w:pStyle w:val="TableBodyText"/>
            </w:pPr>
            <w:r>
              <w:t xml:space="preserve">Tatar </w:t>
            </w:r>
          </w:p>
        </w:tc>
        <w:tc>
          <w:tcPr>
            <w:tcW w:w="0" w:type="auto"/>
            <w:vAlign w:val="center"/>
          </w:tcPr>
          <w:p w:rsidR="000A156F" w:rsidRDefault="00A9721F">
            <w:pPr>
              <w:pStyle w:val="TableBodyText"/>
            </w:pPr>
            <w:r>
              <w:t>tt-RU</w:t>
            </w:r>
          </w:p>
        </w:tc>
      </w:tr>
      <w:tr w:rsidR="000A156F" w:rsidTr="000A156F">
        <w:tc>
          <w:tcPr>
            <w:tcW w:w="0" w:type="auto"/>
            <w:vAlign w:val="center"/>
          </w:tcPr>
          <w:p w:rsidR="000A156F" w:rsidRDefault="00A9721F">
            <w:pPr>
              <w:pStyle w:val="TableBodyText"/>
            </w:pPr>
            <w:r>
              <w:t xml:space="preserve">Tamazight (Latin) </w:t>
            </w:r>
          </w:p>
        </w:tc>
        <w:tc>
          <w:tcPr>
            <w:tcW w:w="0" w:type="auto"/>
            <w:vAlign w:val="center"/>
          </w:tcPr>
          <w:p w:rsidR="000A156F" w:rsidRDefault="00A9721F">
            <w:pPr>
              <w:pStyle w:val="TableBodyText"/>
            </w:pPr>
            <w:r>
              <w:t>tzm-Latn-DZ</w:t>
            </w:r>
          </w:p>
        </w:tc>
      </w:tr>
      <w:tr w:rsidR="000A156F" w:rsidTr="000A156F">
        <w:tc>
          <w:tcPr>
            <w:tcW w:w="0" w:type="auto"/>
            <w:vAlign w:val="center"/>
          </w:tcPr>
          <w:p w:rsidR="000A156F" w:rsidRDefault="00A9721F">
            <w:pPr>
              <w:pStyle w:val="TableBodyText"/>
            </w:pPr>
            <w:r>
              <w:lastRenderedPageBreak/>
              <w:t xml:space="preserve">Uighur - China </w:t>
            </w:r>
          </w:p>
        </w:tc>
        <w:tc>
          <w:tcPr>
            <w:tcW w:w="0" w:type="auto"/>
            <w:vAlign w:val="center"/>
          </w:tcPr>
          <w:p w:rsidR="000A156F" w:rsidRDefault="00A9721F">
            <w:pPr>
              <w:pStyle w:val="TableBodyText"/>
            </w:pPr>
            <w:r>
              <w:t>ug-Arab-CN</w:t>
            </w:r>
          </w:p>
        </w:tc>
      </w:tr>
      <w:tr w:rsidR="000A156F" w:rsidTr="000A156F">
        <w:tc>
          <w:tcPr>
            <w:tcW w:w="0" w:type="auto"/>
            <w:vAlign w:val="center"/>
          </w:tcPr>
          <w:p w:rsidR="000A156F" w:rsidRDefault="00A9721F">
            <w:pPr>
              <w:pStyle w:val="TableBodyText"/>
            </w:pPr>
            <w:r>
              <w:t xml:space="preserve">Ukrainian </w:t>
            </w:r>
          </w:p>
        </w:tc>
        <w:tc>
          <w:tcPr>
            <w:tcW w:w="0" w:type="auto"/>
            <w:vAlign w:val="center"/>
          </w:tcPr>
          <w:p w:rsidR="000A156F" w:rsidRDefault="00A9721F">
            <w:pPr>
              <w:pStyle w:val="TableBodyText"/>
            </w:pPr>
            <w:r>
              <w:t>uk-UA</w:t>
            </w:r>
          </w:p>
        </w:tc>
      </w:tr>
      <w:tr w:rsidR="000A156F" w:rsidTr="000A156F">
        <w:tc>
          <w:tcPr>
            <w:tcW w:w="0" w:type="auto"/>
            <w:vAlign w:val="center"/>
          </w:tcPr>
          <w:p w:rsidR="000A156F" w:rsidRDefault="00A9721F">
            <w:pPr>
              <w:pStyle w:val="TableBodyText"/>
            </w:pPr>
            <w:r>
              <w:t xml:space="preserve">Urdu - India </w:t>
            </w:r>
          </w:p>
        </w:tc>
        <w:tc>
          <w:tcPr>
            <w:tcW w:w="0" w:type="auto"/>
            <w:vAlign w:val="center"/>
          </w:tcPr>
          <w:p w:rsidR="000A156F" w:rsidRDefault="00A9721F">
            <w:pPr>
              <w:pStyle w:val="TableBodyText"/>
            </w:pPr>
            <w:r>
              <w:t>ur-IN</w:t>
            </w:r>
          </w:p>
        </w:tc>
      </w:tr>
      <w:tr w:rsidR="000A156F" w:rsidTr="000A156F">
        <w:tc>
          <w:tcPr>
            <w:tcW w:w="0" w:type="auto"/>
            <w:vAlign w:val="center"/>
          </w:tcPr>
          <w:p w:rsidR="000A156F" w:rsidRDefault="00A9721F">
            <w:pPr>
              <w:pStyle w:val="TableBodyText"/>
            </w:pPr>
            <w:r>
              <w:t xml:space="preserve">Urdu - Pakistan </w:t>
            </w:r>
          </w:p>
        </w:tc>
        <w:tc>
          <w:tcPr>
            <w:tcW w:w="0" w:type="auto"/>
            <w:vAlign w:val="center"/>
          </w:tcPr>
          <w:p w:rsidR="000A156F" w:rsidRDefault="00A9721F">
            <w:pPr>
              <w:pStyle w:val="TableBodyText"/>
            </w:pPr>
            <w:r>
              <w:t>ur-PK</w:t>
            </w:r>
          </w:p>
        </w:tc>
      </w:tr>
      <w:tr w:rsidR="000A156F" w:rsidTr="000A156F">
        <w:tc>
          <w:tcPr>
            <w:tcW w:w="0" w:type="auto"/>
            <w:vAlign w:val="center"/>
          </w:tcPr>
          <w:p w:rsidR="000A156F" w:rsidRDefault="00A9721F">
            <w:pPr>
              <w:pStyle w:val="TableBodyText"/>
            </w:pPr>
            <w:r>
              <w:t xml:space="preserve">Uzbek (Cyrillic) </w:t>
            </w:r>
          </w:p>
        </w:tc>
        <w:tc>
          <w:tcPr>
            <w:tcW w:w="0" w:type="auto"/>
            <w:vAlign w:val="center"/>
          </w:tcPr>
          <w:p w:rsidR="000A156F" w:rsidRDefault="00A9721F">
            <w:pPr>
              <w:pStyle w:val="TableBodyText"/>
            </w:pPr>
            <w:r>
              <w:t>uz-Cyrl-UZ</w:t>
            </w:r>
          </w:p>
        </w:tc>
      </w:tr>
      <w:tr w:rsidR="000A156F" w:rsidTr="000A156F">
        <w:tc>
          <w:tcPr>
            <w:tcW w:w="0" w:type="auto"/>
            <w:vAlign w:val="center"/>
          </w:tcPr>
          <w:p w:rsidR="000A156F" w:rsidRDefault="00A9721F">
            <w:pPr>
              <w:pStyle w:val="TableBodyText"/>
            </w:pPr>
            <w:r>
              <w:t xml:space="preserve">Uzbek (Latin) </w:t>
            </w:r>
          </w:p>
        </w:tc>
        <w:tc>
          <w:tcPr>
            <w:tcW w:w="0" w:type="auto"/>
            <w:vAlign w:val="center"/>
          </w:tcPr>
          <w:p w:rsidR="000A156F" w:rsidRDefault="00A9721F">
            <w:pPr>
              <w:pStyle w:val="TableBodyText"/>
            </w:pPr>
            <w:r>
              <w:t>uz-Latn-UZ</w:t>
            </w:r>
          </w:p>
        </w:tc>
      </w:tr>
      <w:tr w:rsidR="000A156F" w:rsidTr="000A156F">
        <w:tc>
          <w:tcPr>
            <w:tcW w:w="0" w:type="auto"/>
            <w:vAlign w:val="center"/>
          </w:tcPr>
          <w:p w:rsidR="000A156F" w:rsidRDefault="00A9721F">
            <w:pPr>
              <w:pStyle w:val="TableBodyText"/>
            </w:pPr>
            <w:r>
              <w:t xml:space="preserve">Venda </w:t>
            </w:r>
          </w:p>
        </w:tc>
        <w:tc>
          <w:tcPr>
            <w:tcW w:w="0" w:type="auto"/>
            <w:vAlign w:val="center"/>
          </w:tcPr>
          <w:p w:rsidR="000A156F" w:rsidRDefault="00A9721F">
            <w:pPr>
              <w:pStyle w:val="TableBodyText"/>
            </w:pPr>
            <w:r>
              <w:t>ven-ZA</w:t>
            </w:r>
          </w:p>
        </w:tc>
      </w:tr>
      <w:tr w:rsidR="000A156F" w:rsidTr="000A156F">
        <w:tc>
          <w:tcPr>
            <w:tcW w:w="0" w:type="auto"/>
            <w:vAlign w:val="center"/>
          </w:tcPr>
          <w:p w:rsidR="000A156F" w:rsidRDefault="00A9721F">
            <w:pPr>
              <w:pStyle w:val="TableBodyText"/>
            </w:pPr>
            <w:r>
              <w:t xml:space="preserve">Vietnamese </w:t>
            </w:r>
          </w:p>
        </w:tc>
        <w:tc>
          <w:tcPr>
            <w:tcW w:w="0" w:type="auto"/>
            <w:vAlign w:val="center"/>
          </w:tcPr>
          <w:p w:rsidR="000A156F" w:rsidRDefault="00A9721F">
            <w:pPr>
              <w:pStyle w:val="TableBodyText"/>
            </w:pPr>
            <w:r>
              <w:t>vi-VN</w:t>
            </w:r>
          </w:p>
        </w:tc>
      </w:tr>
      <w:tr w:rsidR="000A156F" w:rsidTr="000A156F">
        <w:tc>
          <w:tcPr>
            <w:tcW w:w="0" w:type="auto"/>
            <w:vAlign w:val="center"/>
          </w:tcPr>
          <w:p w:rsidR="000A156F" w:rsidRDefault="00A9721F">
            <w:pPr>
              <w:pStyle w:val="TableBodyText"/>
            </w:pPr>
            <w:r>
              <w:t xml:space="preserve">Sorbian </w:t>
            </w:r>
          </w:p>
        </w:tc>
        <w:tc>
          <w:tcPr>
            <w:tcW w:w="0" w:type="auto"/>
            <w:vAlign w:val="center"/>
          </w:tcPr>
          <w:p w:rsidR="000A156F" w:rsidRDefault="00A9721F">
            <w:pPr>
              <w:pStyle w:val="TableBodyText"/>
            </w:pPr>
            <w:r>
              <w:t>wen-DE</w:t>
            </w:r>
          </w:p>
        </w:tc>
      </w:tr>
      <w:tr w:rsidR="000A156F" w:rsidTr="000A156F">
        <w:tc>
          <w:tcPr>
            <w:tcW w:w="0" w:type="auto"/>
            <w:vAlign w:val="center"/>
          </w:tcPr>
          <w:p w:rsidR="000A156F" w:rsidRDefault="00A9721F">
            <w:pPr>
              <w:pStyle w:val="TableBodyText"/>
            </w:pPr>
            <w:r>
              <w:t xml:space="preserve">Xhosa </w:t>
            </w:r>
          </w:p>
        </w:tc>
        <w:tc>
          <w:tcPr>
            <w:tcW w:w="0" w:type="auto"/>
            <w:vAlign w:val="center"/>
          </w:tcPr>
          <w:p w:rsidR="000A156F" w:rsidRDefault="00A9721F">
            <w:pPr>
              <w:pStyle w:val="TableBodyText"/>
            </w:pPr>
            <w:r>
              <w:t>xh-ZA</w:t>
            </w:r>
          </w:p>
        </w:tc>
      </w:tr>
      <w:tr w:rsidR="000A156F" w:rsidTr="000A156F">
        <w:tc>
          <w:tcPr>
            <w:tcW w:w="0" w:type="auto"/>
            <w:vAlign w:val="center"/>
          </w:tcPr>
          <w:p w:rsidR="000A156F" w:rsidRDefault="00A9721F">
            <w:pPr>
              <w:pStyle w:val="TableBodyText"/>
            </w:pPr>
            <w:r>
              <w:t xml:space="preserve">Yiddish </w:t>
            </w:r>
          </w:p>
        </w:tc>
        <w:tc>
          <w:tcPr>
            <w:tcW w:w="0" w:type="auto"/>
            <w:vAlign w:val="center"/>
          </w:tcPr>
          <w:p w:rsidR="000A156F" w:rsidRDefault="00A9721F">
            <w:pPr>
              <w:pStyle w:val="TableBodyText"/>
            </w:pPr>
            <w:r>
              <w:t>yi</w:t>
            </w:r>
          </w:p>
        </w:tc>
      </w:tr>
      <w:tr w:rsidR="000A156F" w:rsidTr="000A156F">
        <w:tc>
          <w:tcPr>
            <w:tcW w:w="0" w:type="auto"/>
            <w:vAlign w:val="center"/>
          </w:tcPr>
          <w:p w:rsidR="000A156F" w:rsidRDefault="00A9721F">
            <w:pPr>
              <w:pStyle w:val="TableBodyText"/>
            </w:pPr>
            <w:r>
              <w:t xml:space="preserve">Yoruba </w:t>
            </w:r>
          </w:p>
        </w:tc>
        <w:tc>
          <w:tcPr>
            <w:tcW w:w="0" w:type="auto"/>
            <w:vAlign w:val="center"/>
          </w:tcPr>
          <w:p w:rsidR="000A156F" w:rsidRDefault="00A9721F">
            <w:pPr>
              <w:pStyle w:val="TableBodyText"/>
            </w:pPr>
            <w:r>
              <w:t>yo-NG</w:t>
            </w:r>
          </w:p>
        </w:tc>
      </w:tr>
      <w:tr w:rsidR="000A156F" w:rsidTr="000A156F">
        <w:tc>
          <w:tcPr>
            <w:tcW w:w="0" w:type="auto"/>
            <w:vAlign w:val="center"/>
          </w:tcPr>
          <w:p w:rsidR="000A156F" w:rsidRDefault="00A9721F">
            <w:pPr>
              <w:pStyle w:val="TableBodyText"/>
            </w:pPr>
            <w:r>
              <w:t xml:space="preserve">Chinese - People's Republic of China </w:t>
            </w:r>
          </w:p>
        </w:tc>
        <w:tc>
          <w:tcPr>
            <w:tcW w:w="0" w:type="auto"/>
            <w:vAlign w:val="center"/>
          </w:tcPr>
          <w:p w:rsidR="000A156F" w:rsidRDefault="00A9721F">
            <w:pPr>
              <w:pStyle w:val="TableBodyText"/>
            </w:pPr>
            <w:r>
              <w:t>zh-CN</w:t>
            </w:r>
          </w:p>
        </w:tc>
      </w:tr>
      <w:tr w:rsidR="000A156F" w:rsidTr="000A156F">
        <w:tc>
          <w:tcPr>
            <w:tcW w:w="0" w:type="auto"/>
            <w:vAlign w:val="center"/>
          </w:tcPr>
          <w:p w:rsidR="000A156F" w:rsidRDefault="00A9721F">
            <w:pPr>
              <w:pStyle w:val="TableBodyText"/>
            </w:pPr>
            <w:r>
              <w:t xml:space="preserve">Chinese - Hong Kong SAR </w:t>
            </w:r>
          </w:p>
        </w:tc>
        <w:tc>
          <w:tcPr>
            <w:tcW w:w="0" w:type="auto"/>
            <w:vAlign w:val="center"/>
          </w:tcPr>
          <w:p w:rsidR="000A156F" w:rsidRDefault="00A9721F">
            <w:pPr>
              <w:pStyle w:val="TableBodyText"/>
            </w:pPr>
            <w:r>
              <w:t>zh-HK</w:t>
            </w:r>
          </w:p>
        </w:tc>
      </w:tr>
      <w:tr w:rsidR="000A156F" w:rsidTr="000A156F">
        <w:tc>
          <w:tcPr>
            <w:tcW w:w="0" w:type="auto"/>
            <w:vAlign w:val="center"/>
          </w:tcPr>
          <w:p w:rsidR="000A156F" w:rsidRDefault="00A9721F">
            <w:pPr>
              <w:pStyle w:val="TableBodyText"/>
            </w:pPr>
            <w:r>
              <w:t xml:space="preserve">Chinese - Macao SAR </w:t>
            </w:r>
          </w:p>
        </w:tc>
        <w:tc>
          <w:tcPr>
            <w:tcW w:w="0" w:type="auto"/>
            <w:vAlign w:val="center"/>
          </w:tcPr>
          <w:p w:rsidR="000A156F" w:rsidRDefault="00A9721F">
            <w:pPr>
              <w:pStyle w:val="TableBodyText"/>
            </w:pPr>
            <w:r>
              <w:t>zh-MO</w:t>
            </w:r>
          </w:p>
        </w:tc>
      </w:tr>
      <w:tr w:rsidR="000A156F" w:rsidTr="000A156F">
        <w:tc>
          <w:tcPr>
            <w:tcW w:w="0" w:type="auto"/>
            <w:vAlign w:val="center"/>
          </w:tcPr>
          <w:p w:rsidR="000A156F" w:rsidRDefault="00A9721F">
            <w:pPr>
              <w:pStyle w:val="TableBodyText"/>
            </w:pPr>
            <w:r>
              <w:t xml:space="preserve">Chinese - Singapore </w:t>
            </w:r>
          </w:p>
        </w:tc>
        <w:tc>
          <w:tcPr>
            <w:tcW w:w="0" w:type="auto"/>
            <w:vAlign w:val="center"/>
          </w:tcPr>
          <w:p w:rsidR="000A156F" w:rsidRDefault="00A9721F">
            <w:pPr>
              <w:pStyle w:val="TableBodyText"/>
            </w:pPr>
            <w:r>
              <w:t>zh-SG</w:t>
            </w:r>
          </w:p>
        </w:tc>
      </w:tr>
      <w:tr w:rsidR="000A156F" w:rsidTr="000A156F">
        <w:tc>
          <w:tcPr>
            <w:tcW w:w="0" w:type="auto"/>
            <w:vAlign w:val="center"/>
          </w:tcPr>
          <w:p w:rsidR="000A156F" w:rsidRDefault="00A9721F">
            <w:pPr>
              <w:pStyle w:val="TableBodyText"/>
            </w:pPr>
            <w:r>
              <w:t xml:space="preserve">Chinese - Taiwan </w:t>
            </w:r>
          </w:p>
        </w:tc>
        <w:tc>
          <w:tcPr>
            <w:tcW w:w="0" w:type="auto"/>
            <w:vAlign w:val="center"/>
          </w:tcPr>
          <w:p w:rsidR="000A156F" w:rsidRDefault="00A9721F">
            <w:pPr>
              <w:pStyle w:val="TableBodyText"/>
            </w:pPr>
            <w:r>
              <w:t>zh-TW</w:t>
            </w:r>
          </w:p>
        </w:tc>
      </w:tr>
      <w:tr w:rsidR="000A156F" w:rsidTr="000A156F">
        <w:tc>
          <w:tcPr>
            <w:tcW w:w="0" w:type="auto"/>
            <w:vAlign w:val="center"/>
          </w:tcPr>
          <w:p w:rsidR="000A156F" w:rsidRDefault="00A9721F">
            <w:pPr>
              <w:pStyle w:val="TableBodyText"/>
            </w:pPr>
            <w:r>
              <w:t xml:space="preserve">Zulu </w:t>
            </w:r>
          </w:p>
        </w:tc>
        <w:tc>
          <w:tcPr>
            <w:tcW w:w="0" w:type="auto"/>
            <w:vAlign w:val="center"/>
          </w:tcPr>
          <w:p w:rsidR="000A156F" w:rsidRDefault="00A9721F">
            <w:pPr>
              <w:pStyle w:val="TableBodyText"/>
            </w:pPr>
            <w:r>
              <w:t>zu-ZA</w:t>
            </w:r>
          </w:p>
        </w:tc>
      </w:tr>
    </w:tbl>
    <w:p w:rsidR="000A156F" w:rsidRDefault="000A156F"/>
    <w:p w:rsidR="000A156F" w:rsidRDefault="00A9721F">
      <w:pPr>
        <w:pStyle w:val="Heading3"/>
      </w:pPr>
      <w:bookmarkStart w:id="3509" w:name="section_aacf0e0fe33940ed8532ff57a2e6f8a6"/>
      <w:bookmarkStart w:id="3510" w:name="_Toc181684780"/>
      <w:r>
        <w:t>Part 1 Section 22.9.2.7, ST_OnOff (On/Off Value)</w:t>
      </w:r>
      <w:bookmarkEnd w:id="3509"/>
      <w:bookmarkEnd w:id="3510"/>
      <w:r>
        <w:fldChar w:fldCharType="begin"/>
      </w:r>
      <w:r>
        <w:instrText xml:space="preserve"> XE "ST_OnOff (On/Off Value)" </w:instrText>
      </w:r>
      <w:r>
        <w:fldChar w:fldCharType="end"/>
      </w:r>
    </w:p>
    <w:p w:rsidR="000A156F" w:rsidRDefault="00A9721F">
      <w:pPr>
        <w:pStyle w:val="Definition-Field"/>
      </w:pPr>
      <w:r>
        <w:t xml:space="preserve">a.   </w:t>
      </w:r>
      <w:r>
        <w:rPr>
          <w:i/>
        </w:rPr>
        <w:t xml:space="preserve">The standard states that the default value for the ST_OnOff simple type is </w:t>
      </w:r>
      <w:r>
        <w:rPr>
          <w:i/>
        </w:rPr>
        <w:t>1 or true.</w:t>
      </w:r>
    </w:p>
    <w:p w:rsidR="000A156F" w:rsidRDefault="00A9721F">
      <w:pPr>
        <w:pStyle w:val="Definition-Field2"/>
      </w:pPr>
      <w:r>
        <w:t>Word uses the default value specified by the element, if the element specifies a default value.</w:t>
      </w:r>
    </w:p>
    <w:p w:rsidR="000A156F" w:rsidRDefault="00A9721F">
      <w:pPr>
        <w:pStyle w:val="Heading3"/>
      </w:pPr>
      <w:bookmarkStart w:id="3511" w:name="section_36a8c9a33650482fb5602ec6ab9fadab"/>
      <w:bookmarkStart w:id="3512" w:name="_Toc181684781"/>
      <w:r>
        <w:t>Part 1 Section 22.9.2.14, ST_TwipsMeasure (Measurement in Twentieths of a Point)</w:t>
      </w:r>
      <w:bookmarkEnd w:id="3511"/>
      <w:bookmarkEnd w:id="3512"/>
      <w:r>
        <w:fldChar w:fldCharType="begin"/>
      </w:r>
      <w:r>
        <w:instrText xml:space="preserve"> XE "ST_TwipsMeasure (Measurement in Twentieths of a Point)" </w:instrText>
      </w:r>
      <w:r>
        <w:fldChar w:fldCharType="end"/>
      </w:r>
    </w:p>
    <w:p w:rsidR="000A156F" w:rsidRDefault="00A9721F">
      <w:pPr>
        <w:pStyle w:val="Definition-Field"/>
      </w:pPr>
      <w:r>
        <w:t xml:space="preserve">a.   </w:t>
      </w:r>
      <w:r>
        <w:rPr>
          <w:i/>
        </w:rPr>
        <w:t>The standard states that any unsigned 32-bit integer is allowed.</w:t>
      </w:r>
    </w:p>
    <w:p w:rsidR="000A156F" w:rsidRDefault="00A9721F">
      <w:pPr>
        <w:pStyle w:val="Definition-Field2"/>
      </w:pPr>
      <w:r>
        <w:t>Word allows only values up to 31,680 when this simple type is used in Math elements ("</w:t>
      </w:r>
      <w:hyperlink r:id="rId233">
        <w:r>
          <w:rPr>
            <w:rStyle w:val="Hyperlink"/>
          </w:rPr>
          <w:t>[ISO/IEC-29500-1]</w:t>
        </w:r>
      </w:hyperlink>
      <w:r>
        <w:t xml:space="preserve"> §22").</w:t>
      </w:r>
    </w:p>
    <w:p w:rsidR="000A156F" w:rsidRDefault="00A9721F">
      <w:pPr>
        <w:pStyle w:val="Heading3"/>
      </w:pPr>
      <w:bookmarkStart w:id="3513" w:name="section_5e4c54421b28482ea1ae61157400fc89"/>
      <w:bookmarkStart w:id="3514" w:name="_Toc181684782"/>
      <w:r>
        <w:t>Part 1 Section</w:t>
      </w:r>
      <w:r>
        <w:t xml:space="preserve"> 22.9.2.16, ST_UnsignedDecimalNumber (Unsigned Decimal Number Value)</w:t>
      </w:r>
      <w:bookmarkEnd w:id="3513"/>
      <w:bookmarkEnd w:id="3514"/>
      <w:r>
        <w:fldChar w:fldCharType="begin"/>
      </w:r>
      <w:r>
        <w:instrText xml:space="preserve"> XE "ST_UnsignedDecimalNumber (Unsigned Decimal Number Value)" </w:instrText>
      </w:r>
      <w:r>
        <w:fldChar w:fldCharType="end"/>
      </w:r>
    </w:p>
    <w:p w:rsidR="000A156F" w:rsidRDefault="00A9721F">
      <w:pPr>
        <w:pStyle w:val="Definition-Field"/>
      </w:pPr>
      <w:r>
        <w:t xml:space="preserve">a.   </w:t>
      </w:r>
      <w:r>
        <w:rPr>
          <w:i/>
        </w:rPr>
        <w:t>The standard states that the contents of the ST_UnsignedDecimalNumber simple type are a restriction on the XML Schema</w:t>
      </w:r>
      <w:r>
        <w:rPr>
          <w:i/>
        </w:rPr>
        <w:t xml:space="preserve"> unsignedLong datatype.</w:t>
      </w:r>
    </w:p>
    <w:p w:rsidR="000A156F" w:rsidRDefault="00A9721F">
      <w:pPr>
        <w:pStyle w:val="Definition-Field2"/>
      </w:pPr>
      <w:r>
        <w:lastRenderedPageBreak/>
        <w:t>Word defines the contents of this simple type as being a restriction on the XML Schema unsignedInt datatype.</w:t>
      </w:r>
    </w:p>
    <w:p w:rsidR="000A156F" w:rsidRDefault="00A9721F">
      <w:pPr>
        <w:pStyle w:val="Heading3"/>
      </w:pPr>
      <w:bookmarkStart w:id="3515" w:name="section_d34ae755c53f4a44a363c6dd3ee018a4"/>
      <w:bookmarkStart w:id="3516" w:name="_Toc181684783"/>
      <w:r>
        <w:t>Part 1 Section 22.9.2.19, ST_Xstring (Escaped String)</w:t>
      </w:r>
      <w:bookmarkEnd w:id="3515"/>
      <w:bookmarkEnd w:id="3516"/>
      <w:r>
        <w:fldChar w:fldCharType="begin"/>
      </w:r>
      <w:r>
        <w:instrText xml:space="preserve"> XE "ST_Xstring (Escaped String)" </w:instrText>
      </w:r>
      <w:r>
        <w:fldChar w:fldCharType="end"/>
      </w:r>
    </w:p>
    <w:p w:rsidR="000A156F" w:rsidRDefault="00A9721F">
      <w:pPr>
        <w:pStyle w:val="Definition-Field"/>
      </w:pPr>
      <w:r>
        <w:t xml:space="preserve">a.   </w:t>
      </w:r>
      <w:r>
        <w:rPr>
          <w:i/>
        </w:rPr>
        <w:t>The standard places no restr</w:t>
      </w:r>
      <w:r>
        <w:rPr>
          <w:i/>
        </w:rPr>
        <w:t>ictions on the characters that can be escaped in the contents of the ST_Xstring simple type.</w:t>
      </w:r>
    </w:p>
    <w:p w:rsidR="000A156F" w:rsidRDefault="00A9721F">
      <w:pPr>
        <w:pStyle w:val="Definition-Field2"/>
      </w:pPr>
      <w:r>
        <w:t>Office does not allow the newline (0x000A) or tab (0x0009) characters to be escaped in this simple type's contents.</w:t>
      </w:r>
    </w:p>
    <w:p w:rsidR="000A156F" w:rsidRDefault="00A9721F">
      <w:pPr>
        <w:pStyle w:val="Definition-Field"/>
      </w:pPr>
      <w:r>
        <w:t xml:space="preserve">b.   </w:t>
      </w:r>
      <w:r>
        <w:rPr>
          <w:i/>
        </w:rPr>
        <w:t>The standard implies that the only charact</w:t>
      </w:r>
      <w:r>
        <w:rPr>
          <w:i/>
        </w:rPr>
        <w:t>ers that can be Xstring encoded are invalid XML characters.</w:t>
      </w:r>
    </w:p>
    <w:p w:rsidR="000A156F" w:rsidRDefault="00A9721F">
      <w:r>
        <w:t>The following four cases represent valid XML characters that should be escaped:</w:t>
      </w:r>
    </w:p>
    <w:p w:rsidR="000A156F" w:rsidRDefault="00A9721F">
      <w:pPr>
        <w:pStyle w:val="ListParagraph"/>
        <w:numPr>
          <w:ilvl w:val="0"/>
          <w:numId w:val="167"/>
        </w:numPr>
        <w:contextualSpacing/>
      </w:pPr>
      <w:r>
        <w:t>Carriage Return (0x000D): This character shall be escaped.</w:t>
      </w:r>
    </w:p>
    <w:p w:rsidR="000A156F" w:rsidRDefault="00A9721F">
      <w:pPr>
        <w:pStyle w:val="ListParagraph"/>
        <w:numPr>
          <w:ilvl w:val="0"/>
          <w:numId w:val="167"/>
        </w:numPr>
        <w:contextualSpacing/>
      </w:pPr>
      <w:r>
        <w:t xml:space="preserve">Line Feed (0x000A): This character shall be escaped only </w:t>
      </w:r>
      <w:r>
        <w:t>when used in an attribute.</w:t>
      </w:r>
    </w:p>
    <w:p w:rsidR="000A156F" w:rsidRDefault="00A9721F">
      <w:pPr>
        <w:pStyle w:val="ListParagraph"/>
        <w:numPr>
          <w:ilvl w:val="0"/>
          <w:numId w:val="167"/>
        </w:numPr>
        <w:contextualSpacing/>
      </w:pPr>
      <w:r>
        <w:t>Tab (0x0009): This character shall be escaped only when used in an attribute.</w:t>
      </w:r>
    </w:p>
    <w:p w:rsidR="000A156F" w:rsidRDefault="00A9721F">
      <w:pPr>
        <w:pStyle w:val="ListParagraph"/>
        <w:numPr>
          <w:ilvl w:val="0"/>
          <w:numId w:val="167"/>
        </w:numPr>
      </w:pPr>
      <w:r>
        <w:t>Underscore (0x005f): This character shall be escaped only when used to escape the first underscore character in the format _xHHHH_.</w:t>
      </w:r>
    </w:p>
    <w:p w:rsidR="000A156F" w:rsidRDefault="00A9721F">
      <w:pPr>
        <w:pStyle w:val="Definition-Field"/>
      </w:pPr>
      <w:r>
        <w:t xml:space="preserve">c.   </w:t>
      </w:r>
      <w:r>
        <w:rPr>
          <w:i/>
        </w:rPr>
        <w:t>The standard a</w:t>
      </w:r>
      <w:r>
        <w:rPr>
          <w:i/>
        </w:rPr>
        <w:t>llows Xstring to encode underscores using _x005f_.</w:t>
      </w:r>
    </w:p>
    <w:p w:rsidR="000A156F" w:rsidRDefault="00A9721F">
      <w:pPr>
        <w:pStyle w:val="Definition-Field2"/>
      </w:pPr>
      <w:r>
        <w:t>In Excel, Xstrings may only contain the escape sequence _x005f_ when escaping the lead underscore from a string in the form _xHHHH_.</w:t>
      </w:r>
    </w:p>
    <w:p w:rsidR="000A156F" w:rsidRDefault="00A9721F">
      <w:pPr>
        <w:pStyle w:val="Heading3"/>
      </w:pPr>
      <w:bookmarkStart w:id="3517" w:name="section_11175c3547a14d24a5f6b100ac0a1742"/>
      <w:bookmarkStart w:id="3518" w:name="_Toc181684784"/>
      <w:r>
        <w:t>Part 1 Section 23.2.1, schema (Custom XML Schema Reference)</w:t>
      </w:r>
      <w:bookmarkEnd w:id="3517"/>
      <w:bookmarkEnd w:id="3518"/>
      <w:r>
        <w:fldChar w:fldCharType="begin"/>
      </w:r>
      <w:r>
        <w:instrText xml:space="preserve"> XE "schema (</w:instrText>
      </w:r>
      <w:r>
        <w:instrText xml:space="preserve">Custom XML Schema Reference)" </w:instrText>
      </w:r>
      <w:r>
        <w:fldChar w:fldCharType="end"/>
      </w:r>
    </w:p>
    <w:p w:rsidR="000A156F" w:rsidRDefault="00A9721F">
      <w:pPr>
        <w:pStyle w:val="Definition-Field"/>
      </w:pPr>
      <w:r>
        <w:t xml:space="preserve">a.   </w:t>
      </w:r>
      <w:r>
        <w:rPr>
          <w:i/>
        </w:rPr>
        <w:t>The standard places no restrictions on the length of the uri attribute.</w:t>
      </w:r>
    </w:p>
    <w:p w:rsidR="000A156F" w:rsidRDefault="00A9721F">
      <w:pPr>
        <w:pStyle w:val="Definition-Field2"/>
      </w:pPr>
      <w:r>
        <w:t>Word restricts the length of this attribute to 255 characters.</w:t>
      </w:r>
    </w:p>
    <w:p w:rsidR="000A156F" w:rsidRDefault="00A9721F">
      <w:pPr>
        <w:pStyle w:val="Definition-Field"/>
      </w:pPr>
      <w:r>
        <w:t xml:space="preserve">b.   </w:t>
      </w:r>
      <w:r>
        <w:rPr>
          <w:i/>
        </w:rPr>
        <w:t xml:space="preserve">The standard places no restrictions on the length of the manifestLocation or </w:t>
      </w:r>
      <w:r>
        <w:rPr>
          <w:i/>
        </w:rPr>
        <w:t>the schemaLocation attribute.</w:t>
      </w:r>
    </w:p>
    <w:p w:rsidR="000A156F" w:rsidRDefault="00A9721F">
      <w:pPr>
        <w:pStyle w:val="Definition-Field2"/>
      </w:pPr>
      <w:r>
        <w:t>Word restricts the length of these attributes to 2083 characters.</w:t>
      </w:r>
    </w:p>
    <w:p w:rsidR="000A156F" w:rsidRDefault="00A9721F">
      <w:pPr>
        <w:pStyle w:val="Definition-Field"/>
      </w:pPr>
      <w:r>
        <w:t xml:space="preserve">c.   </w:t>
      </w:r>
      <w:r>
        <w:rPr>
          <w:i/>
        </w:rPr>
        <w:t>The standard does not state that the schema and schemaLibrary information might not be round-tripped.</w:t>
      </w:r>
    </w:p>
    <w:p w:rsidR="000A156F" w:rsidRDefault="00A9721F">
      <w:pPr>
        <w:pStyle w:val="Definition-Field2"/>
      </w:pPr>
      <w:r>
        <w:t>Word does not guarantee that the schema or schemaLibr</w:t>
      </w:r>
      <w:r>
        <w:t>ary elements will be round-tripped; validation or security verification might result in this data being removed.</w:t>
      </w:r>
    </w:p>
    <w:p w:rsidR="000A156F" w:rsidRDefault="00A9721F">
      <w:pPr>
        <w:pStyle w:val="Definition-Field"/>
      </w:pPr>
      <w:r>
        <w:t xml:space="preserve">d.   </w:t>
      </w:r>
      <w:r>
        <w:rPr>
          <w:i/>
        </w:rPr>
        <w:t>The standard specifies the schemaLanguage attribute as a valid attribute of the schema element.</w:t>
      </w:r>
    </w:p>
    <w:p w:rsidR="000A156F" w:rsidRDefault="00A9721F">
      <w:pPr>
        <w:pStyle w:val="Definition-Field2"/>
      </w:pPr>
      <w:r>
        <w:t>Word ignores this attribute.</w:t>
      </w:r>
    </w:p>
    <w:p w:rsidR="000A156F" w:rsidRDefault="00A9721F">
      <w:pPr>
        <w:pStyle w:val="Heading3"/>
      </w:pPr>
      <w:bookmarkStart w:id="3519" w:name="section_50fbe8538b614690ae6ccea5bbec5015"/>
      <w:bookmarkStart w:id="3520" w:name="_Toc181684785"/>
      <w:r>
        <w:t>Part 2 Section 6.2.2.2, Syntax</w:t>
      </w:r>
      <w:bookmarkEnd w:id="3519"/>
      <w:bookmarkEnd w:id="3520"/>
      <w:r>
        <w:fldChar w:fldCharType="begin"/>
      </w:r>
      <w:r>
        <w:instrText xml:space="preserve"> XE "Syntax" </w:instrText>
      </w:r>
      <w:r>
        <w:fldChar w:fldCharType="end"/>
      </w:r>
    </w:p>
    <w:p w:rsidR="000A156F" w:rsidRDefault="00A9721F">
      <w:pPr>
        <w:pStyle w:val="Definition-Field"/>
      </w:pPr>
      <w:r>
        <w:t xml:space="preserve">a.   </w:t>
      </w:r>
      <w:r>
        <w:rPr>
          <w:i/>
        </w:rPr>
        <w:t>The standard describes a mechanism for including non-ASCII characters in part names.</w:t>
      </w:r>
    </w:p>
    <w:p w:rsidR="000A156F" w:rsidRDefault="00A9721F">
      <w:pPr>
        <w:pStyle w:val="Definition-Field2"/>
      </w:pPr>
      <w:r>
        <w:t>Office will not load a package containing parts with non-ASCII characters in their names.</w:t>
      </w:r>
    </w:p>
    <w:p w:rsidR="000A156F" w:rsidRDefault="00A9721F">
      <w:pPr>
        <w:pStyle w:val="Heading3"/>
      </w:pPr>
      <w:bookmarkStart w:id="3521" w:name="section_6a50f8dea9d14092a0d4671c9fa1e079"/>
      <w:bookmarkStart w:id="3522" w:name="_Toc181684786"/>
      <w:r>
        <w:t>Part 2 Section 7.3.6, ZIP pack</w:t>
      </w:r>
      <w:r>
        <w:t>age limitations</w:t>
      </w:r>
      <w:bookmarkEnd w:id="3521"/>
      <w:bookmarkEnd w:id="3522"/>
      <w:r>
        <w:fldChar w:fldCharType="begin"/>
      </w:r>
      <w:r>
        <w:instrText xml:space="preserve"> XE "ZIP package limitations" </w:instrText>
      </w:r>
      <w:r>
        <w:fldChar w:fldCharType="end"/>
      </w:r>
    </w:p>
    <w:p w:rsidR="000A156F" w:rsidRDefault="00A9721F">
      <w:pPr>
        <w:pStyle w:val="Definition-Field"/>
      </w:pPr>
      <w:r>
        <w:t xml:space="preserve">a.   </w:t>
      </w:r>
      <w:r>
        <w:rPr>
          <w:i/>
        </w:rPr>
        <w:t>The standard states that keyword element can have an xml:lang attribute.</w:t>
      </w:r>
    </w:p>
    <w:p w:rsidR="000A156F" w:rsidRDefault="00A9721F">
      <w:pPr>
        <w:pStyle w:val="Definition-Field2"/>
      </w:pPr>
      <w:r>
        <w:t>Office ignores this attribute on load, and discards it on save.</w:t>
      </w:r>
    </w:p>
    <w:p w:rsidR="000A156F" w:rsidRDefault="00A9721F">
      <w:pPr>
        <w:pStyle w:val="Definition-Field"/>
      </w:pPr>
      <w:r>
        <w:lastRenderedPageBreak/>
        <w:t xml:space="preserve">b.   </w:t>
      </w:r>
      <w:r>
        <w:rPr>
          <w:i/>
        </w:rPr>
        <w:t>The standard states that keyword element can have a value sub</w:t>
      </w:r>
      <w:r>
        <w:rPr>
          <w:i/>
        </w:rPr>
        <w:t>element.</w:t>
      </w:r>
    </w:p>
    <w:p w:rsidR="000A156F" w:rsidRDefault="00A9721F">
      <w:pPr>
        <w:pStyle w:val="Definition-Field2"/>
      </w:pPr>
      <w:r>
        <w:t>Office ignores this element on load, and concatenates its content with the content of the parent element on save.</w:t>
      </w:r>
    </w:p>
    <w:p w:rsidR="000A156F" w:rsidRDefault="00A9721F">
      <w:pPr>
        <w:pStyle w:val="Heading3"/>
      </w:pPr>
      <w:bookmarkStart w:id="3523" w:name="section_291e6d2a9ff949229a763771528eda9d"/>
      <w:bookmarkStart w:id="3524" w:name="_Toc181684787"/>
      <w:r>
        <w:t>Part 2 Section 8, Core Properties</w:t>
      </w:r>
      <w:bookmarkEnd w:id="3523"/>
      <w:bookmarkEnd w:id="3524"/>
      <w:r>
        <w:fldChar w:fldCharType="begin"/>
      </w:r>
      <w:r>
        <w:instrText xml:space="preserve"> XE "Core Properties" </w:instrText>
      </w:r>
      <w:r>
        <w:fldChar w:fldCharType="end"/>
      </w:r>
    </w:p>
    <w:p w:rsidR="000A156F" w:rsidRDefault="00A9721F">
      <w:pPr>
        <w:pStyle w:val="Definition-Field"/>
      </w:pPr>
      <w:r>
        <w:t xml:space="preserve">a.   </w:t>
      </w:r>
      <w:r>
        <w:rPr>
          <w:i/>
        </w:rPr>
        <w:t>The standard states that package implementer shall not use any compres</w:t>
      </w:r>
      <w:r>
        <w:rPr>
          <w:i/>
        </w:rPr>
        <w:t>sion algorithm other than DEFLATE.</w:t>
      </w:r>
    </w:p>
    <w:p w:rsidR="000A156F" w:rsidRDefault="00A9721F">
      <w:pPr>
        <w:pStyle w:val="Definition-Field2"/>
      </w:pPr>
      <w:r>
        <w:t>Office uses the STORE algorithm, in addition to DEFLATE.</w:t>
      </w:r>
    </w:p>
    <w:p w:rsidR="000A156F" w:rsidRDefault="00A9721F">
      <w:pPr>
        <w:pStyle w:val="Heading3"/>
      </w:pPr>
      <w:bookmarkStart w:id="3525" w:name="section_a185de173253409bbf9395b1f78516ef"/>
      <w:bookmarkStart w:id="3526" w:name="_Toc181684788"/>
      <w:r>
        <w:t>Part 2 Section 10.6, Relationships transform algorithm</w:t>
      </w:r>
      <w:bookmarkEnd w:id="3525"/>
      <w:bookmarkEnd w:id="3526"/>
      <w:r>
        <w:fldChar w:fldCharType="begin"/>
      </w:r>
      <w:r>
        <w:instrText xml:space="preserve"> XE "Relationships transform algorithm" </w:instrText>
      </w:r>
      <w:r>
        <w:fldChar w:fldCharType="end"/>
      </w:r>
    </w:p>
    <w:p w:rsidR="000A156F" w:rsidRDefault="00A9721F">
      <w:pPr>
        <w:pStyle w:val="Definition-Field"/>
      </w:pPr>
      <w:r>
        <w:t xml:space="preserve">a.   </w:t>
      </w:r>
      <w:r>
        <w:rPr>
          <w:i/>
        </w:rPr>
        <w:t>The standard specifies that a Relationship element shall be us</w:t>
      </w:r>
      <w:r>
        <w:rPr>
          <w:i/>
        </w:rPr>
        <w:t>ed for signing if the Id value matches any SourceId value or if the Type value matches any SourceType value.</w:t>
      </w:r>
    </w:p>
    <w:p w:rsidR="000A156F" w:rsidRDefault="00A9721F">
      <w:pPr>
        <w:pStyle w:val="Definition-Field2"/>
      </w:pPr>
      <w:r>
        <w:t>Office will only use Relationship elements for signing if the Id value matches any SourceId value.</w:t>
      </w:r>
    </w:p>
    <w:p w:rsidR="000A156F" w:rsidRDefault="00A9721F">
      <w:pPr>
        <w:pStyle w:val="Definition-Field2"/>
      </w:pPr>
      <w:r>
        <w:t xml:space="preserve">The relationship transform should set </w:t>
      </w:r>
      <w:r>
        <w:rPr>
          <w:b/>
        </w:rPr>
        <w:t>TargetMode</w:t>
      </w:r>
      <w:r>
        <w:t>="Internal" before doing a c14n transform.</w:t>
      </w:r>
    </w:p>
    <w:p w:rsidR="000A156F" w:rsidRDefault="00A9721F">
      <w:pPr>
        <w:pStyle w:val="Heading3"/>
      </w:pPr>
      <w:bookmarkStart w:id="3527" w:name="section_786223f8442d48c9917706e8cd54c027"/>
      <w:bookmarkStart w:id="3528" w:name="_Toc181684789"/>
      <w:r>
        <w:t>Part 3 Section 7, MCE Elements and Attributes</w:t>
      </w:r>
      <w:bookmarkEnd w:id="3527"/>
      <w:bookmarkEnd w:id="3528"/>
      <w:r>
        <w:fldChar w:fldCharType="begin"/>
      </w:r>
      <w:r>
        <w:instrText xml:space="preserve"> XE "MCE Elements and Attributes" </w:instrText>
      </w:r>
      <w:r>
        <w:fldChar w:fldCharType="end"/>
      </w:r>
    </w:p>
    <w:p w:rsidR="000A156F" w:rsidRDefault="00A9721F">
      <w:pPr>
        <w:pStyle w:val="Definition-Field"/>
      </w:pPr>
      <w:r>
        <w:t xml:space="preserve">a.   </w:t>
      </w:r>
      <w:r>
        <w:rPr>
          <w:i/>
        </w:rPr>
        <w:t>The standard does not state that extensibility is optional per part.</w:t>
      </w:r>
    </w:p>
    <w:p w:rsidR="000A156F" w:rsidRDefault="00A9721F">
      <w:pPr>
        <w:pStyle w:val="Definition-Field2"/>
      </w:pPr>
      <w:r>
        <w:t>Office does not permit markup compatibility attributes or</w:t>
      </w:r>
      <w:r>
        <w:t xml:space="preserve"> elements in document property parts.</w:t>
      </w:r>
    </w:p>
    <w:p w:rsidR="000A156F" w:rsidRDefault="00A9721F">
      <w:pPr>
        <w:pStyle w:val="Heading3"/>
      </w:pPr>
      <w:bookmarkStart w:id="3529" w:name="section_6bbe01acc7cd4fada1e6870f1a045022"/>
      <w:bookmarkStart w:id="3530" w:name="_Toc181684790"/>
      <w:r>
        <w:t>Part 4 Section 8.2, VML Drawing Part</w:t>
      </w:r>
      <w:bookmarkEnd w:id="3529"/>
      <w:bookmarkEnd w:id="3530"/>
      <w:r>
        <w:fldChar w:fldCharType="begin"/>
      </w:r>
      <w:r>
        <w:instrText xml:space="preserve"> XE "VML Drawing Part" </w:instrText>
      </w:r>
      <w:r>
        <w:fldChar w:fldCharType="end"/>
      </w:r>
    </w:p>
    <w:p w:rsidR="000A156F" w:rsidRDefault="00A9721F">
      <w:pPr>
        <w:pStyle w:val="Definition-Field"/>
      </w:pPr>
      <w:r>
        <w:t xml:space="preserve">a.   </w:t>
      </w:r>
      <w:r>
        <w:rPr>
          <w:i/>
        </w:rPr>
        <w:t>The standard implies that the VML Drawing part is not an XML part but contains XML-style markup.</w:t>
      </w:r>
    </w:p>
    <w:p w:rsidR="000A156F" w:rsidRDefault="00A9721F">
      <w:pPr>
        <w:pStyle w:val="Definition-Field2"/>
      </w:pPr>
      <w:r>
        <w:t>In Office, the VML Drawing part closely resembles XML.</w:t>
      </w:r>
      <w:r>
        <w:t xml:space="preserve"> An XML parser designed to read and write VML ("</w:t>
      </w:r>
      <w:hyperlink r:id="rId234">
        <w:r>
          <w:rPr>
            <w:rStyle w:val="Hyperlink"/>
          </w:rPr>
          <w:t>[ISO/IEC-29500-4]</w:t>
        </w:r>
      </w:hyperlink>
      <w:r>
        <w:t xml:space="preserve"> §19.1; VML") markup can parse the contents of a VML Drawing part by consuming the XML root element and then handling the con</w:t>
      </w:r>
      <w:r>
        <w:t>tained VML markup normally.</w:t>
      </w:r>
    </w:p>
    <w:p w:rsidR="000A156F" w:rsidRDefault="00A9721F">
      <w:pPr>
        <w:pStyle w:val="Heading3"/>
      </w:pPr>
      <w:bookmarkStart w:id="3531" w:name="section_2dbabd7b5bac4dea9f5477f6dc6e6707"/>
      <w:bookmarkStart w:id="3532" w:name="_Toc181684791"/>
      <w:r>
        <w:t>Part 4 Section 14.3.1.1, Additional attribute for cnfStyle element (Part 1, 17.3.1.8)</w:t>
      </w:r>
      <w:bookmarkEnd w:id="3531"/>
      <w:bookmarkEnd w:id="3532"/>
      <w:r>
        <w:fldChar w:fldCharType="begin"/>
      </w:r>
      <w:r>
        <w:instrText xml:space="preserve"> XE "Additional attribute for cnfStyle element (Part 1 - 17.3.1.8)" </w:instrText>
      </w:r>
      <w:r>
        <w:fldChar w:fldCharType="end"/>
      </w:r>
    </w:p>
    <w:p w:rsidR="000A156F" w:rsidRDefault="00A9721F">
      <w:pPr>
        <w:pStyle w:val="Definition-Field"/>
      </w:pPr>
      <w:r>
        <w:t xml:space="preserve">a.   </w:t>
      </w:r>
      <w:r>
        <w:rPr>
          <w:i/>
        </w:rPr>
        <w:t>The standard specifies the val attribute.</w:t>
      </w:r>
    </w:p>
    <w:p w:rsidR="000A156F" w:rsidRDefault="00A9721F">
      <w:pPr>
        <w:pStyle w:val="Definition-Field2"/>
      </w:pPr>
      <w:r>
        <w:t>Word ignores this attribu</w:t>
      </w:r>
      <w:r>
        <w:t>te if any of the attributes specified in "</w:t>
      </w:r>
      <w:hyperlink r:id="rId235">
        <w:r>
          <w:rPr>
            <w:rStyle w:val="Hyperlink"/>
          </w:rPr>
          <w:t>[ISO/IEC-29500-1]</w:t>
        </w:r>
      </w:hyperlink>
      <w:r>
        <w:t xml:space="preserve"> §17.3.1.8; cnfStyle" are present.</w:t>
      </w:r>
    </w:p>
    <w:p w:rsidR="000A156F" w:rsidRDefault="00A9721F">
      <w:pPr>
        <w:pStyle w:val="Heading3"/>
      </w:pPr>
      <w:bookmarkStart w:id="3533" w:name="section_6fb2a0fdd9af44a4a0ed5dd4ad286134"/>
      <w:bookmarkStart w:id="3534" w:name="_Toc181684792"/>
      <w:r>
        <w:t>Part 4 Section 14.3.2.1, control (Floating Embedded Control)</w:t>
      </w:r>
      <w:bookmarkEnd w:id="3533"/>
      <w:bookmarkEnd w:id="3534"/>
      <w:r>
        <w:fldChar w:fldCharType="begin"/>
      </w:r>
      <w:r>
        <w:instrText xml:space="preserve"> XE "control (Floating Embedded Control)"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0A156F" w:rsidRDefault="00A9721F">
      <w:pPr>
        <w:pStyle w:val="Definition-Field"/>
      </w:pPr>
      <w:r>
        <w:t xml:space="preserve">a.   </w:t>
      </w:r>
      <w:r>
        <w:rPr>
          <w:i/>
        </w:rPr>
        <w:t>The standard allows strings of unbo</w:t>
      </w:r>
      <w:r>
        <w:rPr>
          <w:i/>
        </w:rPr>
        <w:t>unded length for the value of the shapeid attribute.</w:t>
      </w:r>
    </w:p>
    <w:p w:rsidR="000A156F" w:rsidRDefault="00A9721F">
      <w:pPr>
        <w:pStyle w:val="Definition-Field2"/>
      </w:pPr>
      <w:r>
        <w:t>Word restricts the value of the shapeid attribute to at most 254 characters.</w:t>
      </w:r>
    </w:p>
    <w:p w:rsidR="000A156F" w:rsidRDefault="00A9721F">
      <w:pPr>
        <w:pStyle w:val="Definition-Field"/>
      </w:pPr>
      <w:r>
        <w:t xml:space="preserve">b.   </w:t>
      </w:r>
      <w:r>
        <w:rPr>
          <w:i/>
        </w:rPr>
        <w:t xml:space="preserve">The standard specifies that this element is resolved by looking for a DrawingML object whose id attribute matches the </w:t>
      </w:r>
      <w:r>
        <w:rPr>
          <w:i/>
        </w:rPr>
        <w:t>value specified by the shapeid attribute.</w:t>
      </w:r>
    </w:p>
    <w:p w:rsidR="000A156F" w:rsidRDefault="00A9721F">
      <w:pPr>
        <w:pStyle w:val="Definition-Field2"/>
      </w:pPr>
      <w:r>
        <w:lastRenderedPageBreak/>
        <w:t>Word looks for a VML shape element ("</w:t>
      </w:r>
      <w:hyperlink r:id="rId236">
        <w:r>
          <w:rPr>
            <w:rStyle w:val="Hyperlink"/>
          </w:rPr>
          <w:t>[ISO/IEC-29500-4]</w:t>
        </w:r>
      </w:hyperlink>
      <w:r>
        <w:t xml:space="preserve"> §19.1.2.19; shape (Shape Definition)"), whose id attribute matches the value specified by the</w:t>
      </w:r>
      <w:r>
        <w:t xml:space="preserve"> shapeid attribute.</w:t>
      </w:r>
    </w:p>
    <w:p w:rsidR="000A156F" w:rsidRDefault="00A9721F">
      <w:pPr>
        <w:pStyle w:val="Heading3"/>
      </w:pPr>
      <w:bookmarkStart w:id="3535" w:name="section_fe001c421c534ef1ba7fddc9fa651a5d"/>
      <w:bookmarkStart w:id="3536" w:name="_Toc181684793"/>
      <w:r>
        <w:t>Part 4 Section 14.3.2.2, pict (VML Object)</w:t>
      </w:r>
      <w:bookmarkEnd w:id="3535"/>
      <w:bookmarkEnd w:id="3536"/>
      <w:r>
        <w:fldChar w:fldCharType="begin"/>
      </w:r>
      <w:r>
        <w:instrText xml:space="preserve"> XE "pict (VML Object)" </w:instrText>
      </w:r>
      <w:r>
        <w:fldChar w:fldCharType="end"/>
      </w:r>
    </w:p>
    <w:p w:rsidR="000A156F" w:rsidRDefault="00A9721F">
      <w:pPr>
        <w:pStyle w:val="Definition-Field"/>
      </w:pPr>
      <w:r>
        <w:t xml:space="preserve">a.   </w:t>
      </w:r>
      <w:r>
        <w:rPr>
          <w:i/>
        </w:rPr>
        <w:t>The standard states that any element from the VML namespace or the Office VML Drawing namespace is allowed as a child element.</w:t>
      </w:r>
    </w:p>
    <w:p w:rsidR="000A156F" w:rsidRDefault="00A9721F">
      <w:pPr>
        <w:pStyle w:val="Definition-Field2"/>
      </w:pPr>
      <w:r>
        <w:t>Word only allows the following chil</w:t>
      </w:r>
      <w:r>
        <w:t>d elements: arc, curve, group, image, line, OLEObject, oval, polyline, rect, roundrect, shape, and shapetype.</w:t>
      </w:r>
    </w:p>
    <w:p w:rsidR="000A156F" w:rsidRDefault="00A9721F">
      <w:pPr>
        <w:pStyle w:val="Heading3"/>
      </w:pPr>
      <w:bookmarkStart w:id="3537" w:name="section_95b4a3c3bcd641ad976129b98779e979"/>
      <w:bookmarkStart w:id="3538" w:name="_Toc181684794"/>
      <w:r>
        <w:t>Part 4 Section 14.4.1, left (Table Cell Leading Edge Border)</w:t>
      </w:r>
      <w:bookmarkEnd w:id="3537"/>
      <w:bookmarkEnd w:id="3538"/>
      <w:r>
        <w:fldChar w:fldCharType="begin"/>
      </w:r>
      <w:r>
        <w:instrText xml:space="preserve"> XE "left (Table Cell Leading Edge Border)" </w:instrText>
      </w:r>
      <w:r>
        <w:fldChar w:fldCharType="end"/>
      </w:r>
    </w:p>
    <w:p w:rsidR="000A156F" w:rsidRDefault="00A9721F">
      <w:pPr>
        <w:pStyle w:val="Definition-Field"/>
      </w:pPr>
      <w:r>
        <w:t xml:space="preserve">a.   </w:t>
      </w:r>
      <w:r>
        <w:rPr>
          <w:i/>
        </w:rPr>
        <w:t>The standard specifies "left" as a</w:t>
      </w:r>
      <w:r>
        <w:rPr>
          <w:i/>
        </w:rPr>
        <w:t>n additional element, semantically equivalent to the start element ("</w:t>
      </w:r>
      <w:hyperlink r:id="rId237">
        <w:r>
          <w:rPr>
            <w:rStyle w:val="Hyperlink"/>
          </w:rPr>
          <w:t>[ISO/IEC-29500-1]</w:t>
        </w:r>
      </w:hyperlink>
      <w:r>
        <w:rPr>
          <w:i/>
        </w:rPr>
        <w:t xml:space="preserve"> §17.4.33; start").</w:t>
      </w:r>
    </w:p>
    <w:p w:rsidR="000A156F" w:rsidRDefault="00A9721F">
      <w:pPr>
        <w:pStyle w:val="Definition-Field2"/>
      </w:pPr>
      <w:r>
        <w:t>Word ignores this element if the start element ("[ISO/IEC-29500-1] §17.4.33; start")</w:t>
      </w:r>
      <w:r>
        <w:t xml:space="preserve"> is present as a sibling.</w:t>
      </w:r>
    </w:p>
    <w:p w:rsidR="000A156F" w:rsidRDefault="00A9721F">
      <w:pPr>
        <w:pStyle w:val="Heading3"/>
      </w:pPr>
      <w:bookmarkStart w:id="3539" w:name="section_6333f5cc79f94100b4c0709626bbb551"/>
      <w:bookmarkStart w:id="3540" w:name="_Toc181684795"/>
      <w:r>
        <w:t>Part 4 Section 14.4.2, left (Table Leading Edge Border)</w:t>
      </w:r>
      <w:bookmarkEnd w:id="3539"/>
      <w:bookmarkEnd w:id="3540"/>
      <w:r>
        <w:fldChar w:fldCharType="begin"/>
      </w:r>
      <w:r>
        <w:instrText xml:space="preserve"> XE "left (Table Leading Edge Border)" </w:instrText>
      </w:r>
      <w:r>
        <w:fldChar w:fldCharType="end"/>
      </w:r>
    </w:p>
    <w:p w:rsidR="000A156F" w:rsidRDefault="00A9721F">
      <w:pPr>
        <w:pStyle w:val="Definition-Field"/>
      </w:pPr>
      <w:r>
        <w:t xml:space="preserve">a.   </w:t>
      </w:r>
      <w:r>
        <w:rPr>
          <w:i/>
        </w:rPr>
        <w:t>The standard specifies this additional element, semantically equivalent to the start element ("</w:t>
      </w:r>
      <w:hyperlink r:id="rId238">
        <w:r>
          <w:rPr>
            <w:rStyle w:val="Hyperlink"/>
          </w:rPr>
          <w:t>[ISO/IEC-29500-1]</w:t>
        </w:r>
      </w:hyperlink>
      <w:r>
        <w:rPr>
          <w:i/>
        </w:rPr>
        <w:t xml:space="preserve"> §17.4.36; start").</w:t>
      </w:r>
    </w:p>
    <w:p w:rsidR="000A156F" w:rsidRDefault="00A9721F">
      <w:pPr>
        <w:pStyle w:val="Definition-Field2"/>
      </w:pPr>
      <w:r>
        <w:t>Word ignores this element if the start element ("[ISO/IEC-29500-1] §17.4.36; start") is present as a sibling.</w:t>
      </w:r>
    </w:p>
    <w:p w:rsidR="000A156F" w:rsidRDefault="00A9721F">
      <w:pPr>
        <w:pStyle w:val="Heading3"/>
      </w:pPr>
      <w:bookmarkStart w:id="3541" w:name="section_13455a85a26f4dc4978af315b8d9afa7"/>
      <w:bookmarkStart w:id="3542" w:name="_Toc181684796"/>
      <w:r>
        <w:t>Part 4 Section 14.4.3, left (Table Cell Leading Margin Exception)</w:t>
      </w:r>
      <w:bookmarkEnd w:id="3541"/>
      <w:bookmarkEnd w:id="3542"/>
      <w:r>
        <w:fldChar w:fldCharType="begin"/>
      </w:r>
      <w:r>
        <w:instrText xml:space="preserve"> XE "left (</w:instrText>
      </w:r>
      <w:r>
        <w:instrText xml:space="preserve">Table Cell Leading Margin Exception)" </w:instrText>
      </w:r>
      <w:r>
        <w:fldChar w:fldCharType="end"/>
      </w:r>
    </w:p>
    <w:p w:rsidR="000A156F" w:rsidRDefault="00A9721F">
      <w:pPr>
        <w:pStyle w:val="Definition-Field"/>
      </w:pPr>
      <w:r>
        <w:t xml:space="preserve">a.   </w:t>
      </w:r>
      <w:r>
        <w:rPr>
          <w:i/>
        </w:rPr>
        <w:t>The standard specifies this additional element, semantically equivalent to the start element ("</w:t>
      </w:r>
      <w:hyperlink r:id="rId239">
        <w:r>
          <w:rPr>
            <w:rStyle w:val="Hyperlink"/>
          </w:rPr>
          <w:t>[ISO/IEC-29500-1]</w:t>
        </w:r>
      </w:hyperlink>
      <w:r>
        <w:rPr>
          <w:i/>
        </w:rPr>
        <w:t xml:space="preserve"> §17.4.35; start").</w:t>
      </w:r>
    </w:p>
    <w:p w:rsidR="000A156F" w:rsidRDefault="00A9721F">
      <w:pPr>
        <w:pStyle w:val="Definition-Field2"/>
      </w:pPr>
      <w:r>
        <w:t>Word ignores</w:t>
      </w:r>
      <w:r>
        <w:t xml:space="preserve"> this element if the start element ("[ISO/IEC-29500-1] §17.4.35; start") is present as a sibling.</w:t>
      </w:r>
    </w:p>
    <w:p w:rsidR="000A156F" w:rsidRDefault="00A9721F">
      <w:pPr>
        <w:pStyle w:val="Heading3"/>
      </w:pPr>
      <w:bookmarkStart w:id="3543" w:name="section_94be0b2982844099b9c60df1e3988a08"/>
      <w:bookmarkStart w:id="3544" w:name="_Toc181684797"/>
      <w:r>
        <w:t>Part 4 Section 14.4.4, left (Table Cell Leading Margin Default)</w:t>
      </w:r>
      <w:bookmarkEnd w:id="3543"/>
      <w:bookmarkEnd w:id="3544"/>
      <w:r>
        <w:fldChar w:fldCharType="begin"/>
      </w:r>
      <w:r>
        <w:instrText xml:space="preserve"> XE "left (Table Cell Leading Margin Default)" </w:instrText>
      </w:r>
      <w:r>
        <w:fldChar w:fldCharType="end"/>
      </w:r>
    </w:p>
    <w:p w:rsidR="000A156F" w:rsidRDefault="00A9721F">
      <w:pPr>
        <w:pStyle w:val="Definition-Field"/>
      </w:pPr>
      <w:r>
        <w:t xml:space="preserve">a.   </w:t>
      </w:r>
      <w:r>
        <w:rPr>
          <w:i/>
        </w:rPr>
        <w:t>The standard specifies this additional e</w:t>
      </w:r>
      <w:r>
        <w:rPr>
          <w:i/>
        </w:rPr>
        <w:t>lement, semantically equivalent to the start element (("</w:t>
      </w:r>
      <w:hyperlink r:id="rId240">
        <w:r>
          <w:rPr>
            <w:rStyle w:val="Hyperlink"/>
          </w:rPr>
          <w:t>[ISO/IEC-29500-1]</w:t>
        </w:r>
      </w:hyperlink>
      <w:r>
        <w:rPr>
          <w:i/>
        </w:rPr>
        <w:t xml:space="preserve"> §17.4.34; start")).</w:t>
      </w:r>
    </w:p>
    <w:p w:rsidR="000A156F" w:rsidRDefault="00A9721F">
      <w:pPr>
        <w:pStyle w:val="Definition-Field2"/>
      </w:pPr>
      <w:r>
        <w:t xml:space="preserve">Word ignores this element if the start element ("[ISO/IEC-29500-1] §17.4.34; start") is present </w:t>
      </w:r>
      <w:r>
        <w:t>as a sibling.</w:t>
      </w:r>
    </w:p>
    <w:p w:rsidR="000A156F" w:rsidRDefault="00A9721F">
      <w:pPr>
        <w:pStyle w:val="Heading3"/>
      </w:pPr>
      <w:bookmarkStart w:id="3545" w:name="section_3b5300f256af4d0d8d26821c7ef0c47c"/>
      <w:bookmarkStart w:id="3546" w:name="_Toc181684798"/>
      <w:r>
        <w:t>Part 4 Section 14.4.5, right (Table Cell Trailing Edge Border)</w:t>
      </w:r>
      <w:bookmarkEnd w:id="3545"/>
      <w:bookmarkEnd w:id="3546"/>
      <w:r>
        <w:fldChar w:fldCharType="begin"/>
      </w:r>
      <w:r>
        <w:instrText xml:space="preserve"> XE "right (Table Cell Trailing Edge Border)" </w:instrText>
      </w:r>
      <w:r>
        <w:fldChar w:fldCharType="end"/>
      </w:r>
    </w:p>
    <w:p w:rsidR="000A156F" w:rsidRDefault="00A9721F">
      <w:pPr>
        <w:pStyle w:val="Definition-Field"/>
      </w:pPr>
      <w:r>
        <w:t xml:space="preserve">a.   </w:t>
      </w:r>
      <w:r>
        <w:rPr>
          <w:i/>
        </w:rPr>
        <w:t>The standard specifies this additional element, semantically equivalent to the end element ("</w:t>
      </w:r>
      <w:hyperlink r:id="rId241">
        <w:r>
          <w:rPr>
            <w:rStyle w:val="Hyperlink"/>
          </w:rPr>
          <w:t>[ISO/IEC-29500-1]</w:t>
        </w:r>
      </w:hyperlink>
      <w:r>
        <w:rPr>
          <w:i/>
        </w:rPr>
        <w:t xml:space="preserve"> §17.4.12; end").</w:t>
      </w:r>
    </w:p>
    <w:p w:rsidR="000A156F" w:rsidRDefault="00A9721F">
      <w:pPr>
        <w:pStyle w:val="Definition-Field2"/>
      </w:pPr>
      <w:r>
        <w:t>Word ignores this element if the end element ("[ISO/IEC-29500-1] §17.4.12; end") is present as a sibling.</w:t>
      </w:r>
    </w:p>
    <w:p w:rsidR="000A156F" w:rsidRDefault="00A9721F">
      <w:pPr>
        <w:pStyle w:val="Heading3"/>
      </w:pPr>
      <w:bookmarkStart w:id="3547" w:name="section_0b241c18839a41a3919405f7c1f0876a"/>
      <w:bookmarkStart w:id="3548" w:name="_Toc181684799"/>
      <w:r>
        <w:t>Part 4 Section 14.4.6, right (Table Trailing Edge Border)</w:t>
      </w:r>
      <w:bookmarkEnd w:id="3547"/>
      <w:bookmarkEnd w:id="3548"/>
      <w:r>
        <w:fldChar w:fldCharType="begin"/>
      </w:r>
      <w:r>
        <w:instrText xml:space="preserve"> XE "right (Table Trailing Edge Border)" </w:instrText>
      </w:r>
      <w:r>
        <w:fldChar w:fldCharType="end"/>
      </w:r>
    </w:p>
    <w:p w:rsidR="000A156F" w:rsidRDefault="00A9721F">
      <w:pPr>
        <w:pStyle w:val="Definition-Field"/>
      </w:pPr>
      <w:r>
        <w:t xml:space="preserve">a.   </w:t>
      </w:r>
      <w:r>
        <w:rPr>
          <w:i/>
        </w:rPr>
        <w:t>The standard specifies this additional element, semantically equivalent to the end element("</w:t>
      </w:r>
      <w:hyperlink r:id="rId242">
        <w:r>
          <w:rPr>
            <w:rStyle w:val="Hyperlink"/>
          </w:rPr>
          <w:t>[ISO/IEC-29500-1]</w:t>
        </w:r>
      </w:hyperlink>
      <w:r>
        <w:rPr>
          <w:i/>
        </w:rPr>
        <w:t xml:space="preserve"> §17.4.13; end").</w:t>
      </w:r>
    </w:p>
    <w:p w:rsidR="000A156F" w:rsidRDefault="00A9721F">
      <w:pPr>
        <w:pStyle w:val="Definition-Field2"/>
      </w:pPr>
      <w:r>
        <w:lastRenderedPageBreak/>
        <w:t>Word ignores t</w:t>
      </w:r>
      <w:r>
        <w:t>his element if the end element ("[ISO/IEC-29500-1] §17.4.13; end") is present as a sibling.</w:t>
      </w:r>
    </w:p>
    <w:p w:rsidR="000A156F" w:rsidRDefault="00A9721F">
      <w:pPr>
        <w:pStyle w:val="Heading3"/>
      </w:pPr>
      <w:bookmarkStart w:id="3549" w:name="section_58fd425e362646b383ba92c961d26c88"/>
      <w:bookmarkStart w:id="3550" w:name="_Toc181684800"/>
      <w:r>
        <w:t>Part 4 Section 14.4.7, right (Table Cell Trailing Margin Default)</w:t>
      </w:r>
      <w:bookmarkEnd w:id="3549"/>
      <w:bookmarkEnd w:id="3550"/>
      <w:r>
        <w:fldChar w:fldCharType="begin"/>
      </w:r>
      <w:r>
        <w:instrText xml:space="preserve"> XE "right (Table Cell Trailing Margin Default)" </w:instrText>
      </w:r>
      <w:r>
        <w:fldChar w:fldCharType="end"/>
      </w:r>
    </w:p>
    <w:p w:rsidR="000A156F" w:rsidRDefault="00A9721F">
      <w:pPr>
        <w:pStyle w:val="Definition-Field"/>
      </w:pPr>
      <w:r>
        <w:t xml:space="preserve">a.   </w:t>
      </w:r>
      <w:r>
        <w:rPr>
          <w:i/>
        </w:rPr>
        <w:t>The standard specifies this additional ele</w:t>
      </w:r>
      <w:r>
        <w:rPr>
          <w:i/>
        </w:rPr>
        <w:t>ment semantically equivalent to the end element ("</w:t>
      </w:r>
      <w:hyperlink r:id="rId243">
        <w:r>
          <w:rPr>
            <w:rStyle w:val="Hyperlink"/>
          </w:rPr>
          <w:t>[ISO/IEC-29500-1]</w:t>
        </w:r>
      </w:hyperlink>
      <w:r>
        <w:rPr>
          <w:i/>
        </w:rPr>
        <w:t xml:space="preserve"> §17.4.11; end").</w:t>
      </w:r>
    </w:p>
    <w:p w:rsidR="000A156F" w:rsidRDefault="00A9721F">
      <w:pPr>
        <w:pStyle w:val="Definition-Field2"/>
      </w:pPr>
      <w:r>
        <w:t>Word ignores this element if the end element ("[ISO/IEC-29500-1] §17.4.11; end") is present as a sibling.</w:t>
      </w:r>
    </w:p>
    <w:p w:rsidR="000A156F" w:rsidRDefault="00A9721F">
      <w:pPr>
        <w:pStyle w:val="Heading3"/>
      </w:pPr>
      <w:bookmarkStart w:id="3551" w:name="section_8e23887d29304089a2ff62be9c11a23b"/>
      <w:bookmarkStart w:id="3552" w:name="_Toc181684801"/>
      <w:r>
        <w:t>Part 4 Section 14.4.8, right (Table Cell Trailing Margin Exception)</w:t>
      </w:r>
      <w:bookmarkEnd w:id="3551"/>
      <w:bookmarkEnd w:id="3552"/>
      <w:r>
        <w:fldChar w:fldCharType="begin"/>
      </w:r>
      <w:r>
        <w:instrText xml:space="preserve"> XE "right (Table Cell Trailing Margin Exception)" </w:instrText>
      </w:r>
      <w:r>
        <w:fldChar w:fldCharType="end"/>
      </w:r>
    </w:p>
    <w:p w:rsidR="000A156F" w:rsidRDefault="00A9721F">
      <w:pPr>
        <w:pStyle w:val="Definition-Field"/>
      </w:pPr>
      <w:r>
        <w:t xml:space="preserve">a.   </w:t>
      </w:r>
      <w:r>
        <w:rPr>
          <w:i/>
        </w:rPr>
        <w:t>The standard specifies this additional element semantically equivalent to the end element ("</w:t>
      </w:r>
      <w:hyperlink r:id="rId244">
        <w:r>
          <w:rPr>
            <w:rStyle w:val="Hyperlink"/>
          </w:rPr>
          <w:t>[ISO/IEC-29500-1]</w:t>
        </w:r>
      </w:hyperlink>
      <w:r>
        <w:rPr>
          <w:i/>
        </w:rPr>
        <w:t xml:space="preserve"> §17.4.10; end").</w:t>
      </w:r>
    </w:p>
    <w:p w:rsidR="000A156F" w:rsidRDefault="00A9721F">
      <w:pPr>
        <w:pStyle w:val="Definition-Field2"/>
      </w:pPr>
      <w:r>
        <w:t>Word ignores this element if the end element ("[ISO/IEC-29500-1] §17.4.10; end") is present as a sibling.</w:t>
      </w:r>
    </w:p>
    <w:p w:rsidR="000A156F" w:rsidRDefault="00A9721F">
      <w:pPr>
        <w:pStyle w:val="Heading3"/>
      </w:pPr>
      <w:bookmarkStart w:id="3553" w:name="section_7da8cf6a641d47a7994a16b593ddabef"/>
      <w:bookmarkStart w:id="3554" w:name="_Toc181684802"/>
      <w:r>
        <w:t>Part 4 Section 14.4.9, Additional attribute for cnfStyle element (Part 1, 17.4.7)</w:t>
      </w:r>
      <w:bookmarkEnd w:id="3553"/>
      <w:bookmarkEnd w:id="3554"/>
      <w:r>
        <w:fldChar w:fldCharType="begin"/>
      </w:r>
      <w:r>
        <w:instrText xml:space="preserve"> XE "Additional attribute for cnfStyle element (Part 1 - 17.4.7)" </w:instrText>
      </w:r>
      <w:r>
        <w:fldChar w:fldCharType="end"/>
      </w:r>
    </w:p>
    <w:p w:rsidR="000A156F" w:rsidRDefault="00A9721F">
      <w:pPr>
        <w:pStyle w:val="Definition-Field"/>
      </w:pPr>
      <w:r>
        <w:t xml:space="preserve">a.   </w:t>
      </w:r>
      <w:r>
        <w:rPr>
          <w:i/>
        </w:rPr>
        <w:t>The standard specifies the val attribute.</w:t>
      </w:r>
    </w:p>
    <w:p w:rsidR="000A156F" w:rsidRDefault="00A9721F">
      <w:pPr>
        <w:pStyle w:val="Definition-Field2"/>
      </w:pPr>
      <w:r>
        <w:t>Word ignores the val attribute specified here if any of the attributes, specified in "</w:t>
      </w:r>
      <w:hyperlink r:id="rId245">
        <w:r>
          <w:rPr>
            <w:rStyle w:val="Hyperlink"/>
          </w:rPr>
          <w:t>[ISO/IEC-29500-1]</w:t>
        </w:r>
      </w:hyperlink>
      <w:r>
        <w:t xml:space="preserve"> §17.4.7; cnfStyle", are present.</w:t>
      </w:r>
    </w:p>
    <w:p w:rsidR="000A156F" w:rsidRDefault="00A9721F">
      <w:pPr>
        <w:pStyle w:val="Heading3"/>
      </w:pPr>
      <w:bookmarkStart w:id="3555" w:name="section_ae9b02e2eea54af1825aaaae9e79496c"/>
      <w:bookmarkStart w:id="3556" w:name="_Toc181684803"/>
      <w:r>
        <w:t>Part 4 Section 14.4.10, Additional attribute for cnfStyle element (Part 1, 17.4.8)</w:t>
      </w:r>
      <w:bookmarkEnd w:id="3555"/>
      <w:bookmarkEnd w:id="3556"/>
      <w:r>
        <w:fldChar w:fldCharType="begin"/>
      </w:r>
      <w:r>
        <w:instrText xml:space="preserve"> XE "Additional attribute for cnfStyle element (Part 1 - 17.4.8)" </w:instrText>
      </w:r>
      <w:r>
        <w:fldChar w:fldCharType="end"/>
      </w:r>
    </w:p>
    <w:p w:rsidR="000A156F" w:rsidRDefault="00A9721F">
      <w:pPr>
        <w:pStyle w:val="Definition-Field"/>
      </w:pPr>
      <w:r>
        <w:t xml:space="preserve">a.   </w:t>
      </w:r>
      <w:r>
        <w:rPr>
          <w:i/>
        </w:rPr>
        <w:t>The standard specifies the val attrib</w:t>
      </w:r>
      <w:r>
        <w:rPr>
          <w:i/>
        </w:rPr>
        <w:t>ute.</w:t>
      </w:r>
    </w:p>
    <w:p w:rsidR="000A156F" w:rsidRDefault="00A9721F">
      <w:pPr>
        <w:pStyle w:val="Definition-Field2"/>
      </w:pPr>
      <w:r>
        <w:t>Word ignores the val attribute specified here if any of the attributes, specified in "</w:t>
      </w:r>
      <w:hyperlink r:id="rId246">
        <w:r>
          <w:rPr>
            <w:rStyle w:val="Hyperlink"/>
          </w:rPr>
          <w:t>[ISO/IEC-29500-1]</w:t>
        </w:r>
      </w:hyperlink>
      <w:r>
        <w:t xml:space="preserve"> §17.4.8; cnfStyle", are present.</w:t>
      </w:r>
    </w:p>
    <w:p w:rsidR="000A156F" w:rsidRDefault="00A9721F">
      <w:pPr>
        <w:pStyle w:val="Heading3"/>
      </w:pPr>
      <w:bookmarkStart w:id="3557" w:name="section_49f64ef9632440b794adff5fe6d444a7"/>
      <w:bookmarkStart w:id="3558" w:name="_Toc181684804"/>
      <w:r>
        <w:t>Part 4 Section 14.4.13, hMerge (Horizontally Mer</w:t>
      </w:r>
      <w:r>
        <w:t>ged Cell)</w:t>
      </w:r>
      <w:bookmarkEnd w:id="3557"/>
      <w:bookmarkEnd w:id="3558"/>
      <w:r>
        <w:fldChar w:fldCharType="begin"/>
      </w:r>
      <w:r>
        <w:instrText xml:space="preserve"> XE "hMerge (Horizontally Merged Cell)"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0A156F" w:rsidRDefault="00A9721F">
      <w:pPr>
        <w:pStyle w:val="Heading3"/>
      </w:pPr>
      <w:bookmarkStart w:id="3559" w:name="section_48d0ff08ee0344979165e3416d733d48"/>
      <w:bookmarkStart w:id="3560" w:name="_Toc181684805"/>
      <w:r>
        <w:t>Part 4 Section 14.6.1, pict (Picture Numbering Symbol Properties)</w:t>
      </w:r>
      <w:bookmarkEnd w:id="3559"/>
      <w:bookmarkEnd w:id="3560"/>
      <w:r>
        <w:fldChar w:fldCharType="begin"/>
      </w:r>
      <w:r>
        <w:instrText xml:space="preserve"> XE "pict (Picture Numbering Symbol Properties)" </w:instrText>
      </w:r>
      <w:r>
        <w:fldChar w:fldCharType="end"/>
      </w:r>
    </w:p>
    <w:p w:rsidR="000A156F" w:rsidRDefault="00A9721F">
      <w:pPr>
        <w:pStyle w:val="Definition-Field"/>
      </w:pPr>
      <w:r>
        <w:t xml:space="preserve">a.   </w:t>
      </w:r>
      <w:r>
        <w:rPr>
          <w:i/>
        </w:rPr>
        <w:t>The standard states that any element from the VML namespace or the Office VML Draw</w:t>
      </w:r>
      <w:r>
        <w:rPr>
          <w:i/>
        </w:rPr>
        <w:t>ing namespace is a valid child of the pict element.</w:t>
      </w:r>
    </w:p>
    <w:p w:rsidR="000A156F" w:rsidRDefault="00A9721F">
      <w:pPr>
        <w:pStyle w:val="Definition-Field2"/>
      </w:pPr>
      <w:r>
        <w:t>Word only allows the group, image, line, oval, polyline, rect, roundrect, shape, and shapetype elements from these namespaces to be child elements of the pict element.</w:t>
      </w:r>
    </w:p>
    <w:p w:rsidR="000A156F" w:rsidRDefault="00A9721F">
      <w:pPr>
        <w:pStyle w:val="Definition-Field"/>
      </w:pPr>
      <w:r>
        <w:t xml:space="preserve">b.   </w:t>
      </w:r>
      <w:r>
        <w:rPr>
          <w:i/>
        </w:rPr>
        <w:t>The standard states that the co</w:t>
      </w:r>
      <w:r>
        <w:rPr>
          <w:i/>
        </w:rPr>
        <w:t>ntrol and movie elements are valid child elements of the pict element.</w:t>
      </w:r>
    </w:p>
    <w:p w:rsidR="000A156F" w:rsidRDefault="00A9721F">
      <w:pPr>
        <w:pStyle w:val="Definition-Field2"/>
      </w:pPr>
      <w:r>
        <w:t>Word does not allow the control and movie elements to be child elements of the pict element.</w:t>
      </w:r>
    </w:p>
    <w:p w:rsidR="000A156F" w:rsidRDefault="00A9721F">
      <w:pPr>
        <w:pStyle w:val="Heading3"/>
      </w:pPr>
      <w:bookmarkStart w:id="3561" w:name="section_2bbc626e33b649f69ce6a5b08386e37c"/>
      <w:bookmarkStart w:id="3562" w:name="_Toc181684806"/>
      <w:r>
        <w:t>Part 4 Section 14.6.2, legacy (Legacy Numbering Level Properties)</w:t>
      </w:r>
      <w:bookmarkEnd w:id="3561"/>
      <w:bookmarkEnd w:id="3562"/>
      <w:r>
        <w:fldChar w:fldCharType="begin"/>
      </w:r>
      <w:r>
        <w:instrText xml:space="preserve"> XE "legacy (Legacy Numbering Level Properties)" </w:instrText>
      </w:r>
      <w:r>
        <w:fldChar w:fldCharType="end"/>
      </w:r>
    </w:p>
    <w:p w:rsidR="000A156F" w:rsidRDefault="00A9721F">
      <w:pPr>
        <w:pStyle w:val="Definition-Field"/>
      </w:pPr>
      <w:r>
        <w:t xml:space="preserve">a.   </w:t>
      </w:r>
      <w:r>
        <w:rPr>
          <w:i/>
        </w:rPr>
        <w:t>The standard allows negative values for legacyIndent.</w:t>
      </w:r>
    </w:p>
    <w:p w:rsidR="000A156F" w:rsidRDefault="00A9721F">
      <w:pPr>
        <w:pStyle w:val="Definition-Field2"/>
      </w:pPr>
      <w:r>
        <w:lastRenderedPageBreak/>
        <w:t>Word will ignore the level definition if the value of legacyIndent is negative.</w:t>
      </w:r>
    </w:p>
    <w:p w:rsidR="000A156F" w:rsidRDefault="00A9721F">
      <w:pPr>
        <w:pStyle w:val="Definition-Field"/>
      </w:pPr>
      <w:r>
        <w:t xml:space="preserve">b.   </w:t>
      </w:r>
      <w:r>
        <w:rPr>
          <w:i/>
        </w:rPr>
        <w:t>The standard says the default value for the legacy attribute</w:t>
      </w:r>
      <w:r>
        <w:rPr>
          <w:i/>
        </w:rPr>
        <w:t xml:space="preserve"> is on.</w:t>
      </w:r>
    </w:p>
    <w:p w:rsidR="000A156F" w:rsidRDefault="00A9721F">
      <w:pPr>
        <w:pStyle w:val="Definition-Field2"/>
      </w:pPr>
      <w:r>
        <w:t>In Word, the default value for the legacy attribute is off.</w:t>
      </w:r>
    </w:p>
    <w:p w:rsidR="000A156F" w:rsidRDefault="00A9721F">
      <w:pPr>
        <w:pStyle w:val="Heading3"/>
      </w:pPr>
      <w:bookmarkStart w:id="3563" w:name="section_15555914707f4b1f9d0c38c05eb20139"/>
      <w:bookmarkStart w:id="3564" w:name="_Toc181684807"/>
      <w:r>
        <w:t>Part 4 Section 14.7.1.1, numberingChange (Previous Numbering Field Properties)</w:t>
      </w:r>
      <w:bookmarkEnd w:id="3563"/>
      <w:bookmarkEnd w:id="3564"/>
      <w:r>
        <w:fldChar w:fldCharType="begin"/>
      </w:r>
      <w:r>
        <w:instrText xml:space="preserve"> XE "numberingChange (Previous Numbering Field Properties)" </w:instrText>
      </w:r>
      <w:r>
        <w:fldChar w:fldCharType="end"/>
      </w:r>
    </w:p>
    <w:p w:rsidR="000A156F" w:rsidRDefault="00A9721F">
      <w:pPr>
        <w:pStyle w:val="Definition-Field2"/>
      </w:pPr>
      <w:r>
        <w:rPr>
          <w:i/>
        </w:rPr>
        <w:t>For additional notes that apply to this portion</w:t>
      </w:r>
      <w:r>
        <w:rPr>
          <w:i/>
        </w:rPr>
        <w:t xml:space="preserve">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allows any length string for the original attribute.</w:t>
      </w:r>
    </w:p>
    <w:p w:rsidR="000A156F" w:rsidRDefault="00A9721F">
      <w:pPr>
        <w:pStyle w:val="Definition-Field2"/>
      </w:pPr>
      <w:r>
        <w:t>Word only allows strings of length 15 at most for the original attribute.</w:t>
      </w:r>
    </w:p>
    <w:p w:rsidR="000A156F" w:rsidRDefault="00A9721F">
      <w:pPr>
        <w:pStyle w:val="Heading3"/>
      </w:pPr>
      <w:bookmarkStart w:id="3565" w:name="section_c87674b0833c4019a21d9f99dac53178"/>
      <w:bookmarkStart w:id="3566" w:name="_Toc181684808"/>
      <w:r>
        <w:t>Part 4 Section 14.7.1.2, numberingChange (Previous Paragraph Numbe</w:t>
      </w:r>
      <w:r>
        <w:t>ring Properties)</w:t>
      </w:r>
      <w:bookmarkEnd w:id="3565"/>
      <w:bookmarkEnd w:id="3566"/>
      <w:r>
        <w:fldChar w:fldCharType="begin"/>
      </w:r>
      <w:r>
        <w:instrText xml:space="preserve"> XE "numberingChange (Previous Paragraph Numbering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w:t>
        </w:r>
        <w:r>
          <w:rPr>
            <w:rStyle w:val="Hyperlink"/>
          </w:rPr>
          <w:t>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0A156F" w:rsidRDefault="00A9721F">
      <w:pPr>
        <w:pStyle w:val="Definition-Field"/>
      </w:pPr>
      <w:r>
        <w:t xml:space="preserve">a.   </w:t>
      </w:r>
      <w:r>
        <w:rPr>
          <w:i/>
        </w:rPr>
        <w:t>The standard states that the numbering level in the original attribute start</w:t>
      </w:r>
      <w:r>
        <w:rPr>
          <w:i/>
        </w:rPr>
        <w:t>s with %.</w:t>
      </w:r>
    </w:p>
    <w:p w:rsidR="000A156F" w:rsidRDefault="00A9721F">
      <w:r>
        <w:t xml:space="preserve">In Word, the value of </w:t>
      </w:r>
      <w:r>
        <w:rPr>
          <w:b/>
        </w:rPr>
        <w:t>original</w:t>
      </w:r>
      <w:r>
        <w:t xml:space="preserve"> is represented as separate numbering level definitions defined as follows:</w:t>
      </w:r>
    </w:p>
    <w:p w:rsidR="000A156F" w:rsidRDefault="00A9721F">
      <w:pPr>
        <w:pStyle w:val="Code"/>
      </w:pPr>
      <w:r>
        <w:t>&lt;[numbering prefix]%[numbering level]:[nfc value]:[numbering format]:[separator]&gt;[repeat if more than one level]</w:t>
      </w:r>
    </w:p>
    <w:p w:rsidR="000A156F" w:rsidRDefault="00A9721F">
      <w:r>
        <w:t xml:space="preserve">where: </w:t>
      </w:r>
    </w:p>
    <w:p w:rsidR="000A156F" w:rsidRDefault="00A9721F">
      <w:pPr>
        <w:pStyle w:val="ListParagraph"/>
        <w:numPr>
          <w:ilvl w:val="0"/>
          <w:numId w:val="168"/>
        </w:numPr>
        <w:contextualSpacing/>
      </w:pPr>
      <w:r>
        <w:rPr>
          <w:rStyle w:val="InlineCode"/>
        </w:rPr>
        <w:t>numbering prefix</w:t>
      </w:r>
      <w:r>
        <w:t xml:space="preserve"> – Optional text which should precede the number.</w:t>
      </w:r>
    </w:p>
    <w:p w:rsidR="000A156F" w:rsidRDefault="00A9721F">
      <w:pPr>
        <w:pStyle w:val="ListParagraph"/>
        <w:numPr>
          <w:ilvl w:val="0"/>
          <w:numId w:val="168"/>
        </w:numPr>
        <w:contextualSpacing/>
      </w:pPr>
      <w:r>
        <w:rPr>
          <w:rStyle w:val="InlineCode"/>
        </w:rPr>
        <w:t>numbering level</w:t>
      </w:r>
      <w:r>
        <w:t xml:space="preserve"> – The level for which the numbering definition is defined.</w:t>
      </w:r>
    </w:p>
    <w:p w:rsidR="000A156F" w:rsidRDefault="00A9721F">
      <w:pPr>
        <w:pStyle w:val="ListParagraph"/>
        <w:numPr>
          <w:ilvl w:val="0"/>
          <w:numId w:val="168"/>
        </w:numPr>
        <w:contextualSpacing/>
      </w:pPr>
      <w:r>
        <w:rPr>
          <w:rStyle w:val="InlineCode"/>
        </w:rPr>
        <w:t>nfc value</w:t>
      </w:r>
      <w:r>
        <w:t xml:space="preserve"> – The value of the numbering style at the specific numbering level.</w:t>
      </w:r>
    </w:p>
    <w:p w:rsidR="000A156F" w:rsidRDefault="00A9721F">
      <w:pPr>
        <w:pStyle w:val="ListParagraph"/>
        <w:numPr>
          <w:ilvl w:val="0"/>
          <w:numId w:val="168"/>
        </w:numPr>
        <w:contextualSpacing/>
      </w:pPr>
      <w:r>
        <w:rPr>
          <w:rStyle w:val="InlineCode"/>
        </w:rPr>
        <w:t>numbering format</w:t>
      </w:r>
      <w:r>
        <w:t xml:space="preserve"> – The nfc value of the numbering for</w:t>
      </w:r>
      <w:r>
        <w:t>mat, as referenced in the following table.</w:t>
      </w:r>
    </w:p>
    <w:p w:rsidR="000A156F" w:rsidRDefault="00A9721F">
      <w:pPr>
        <w:pStyle w:val="ListParagraph"/>
        <w:numPr>
          <w:ilvl w:val="0"/>
          <w:numId w:val="168"/>
        </w:numPr>
        <w:contextualSpacing/>
      </w:pPr>
      <w:r>
        <w:rPr>
          <w:rStyle w:val="InlineCode"/>
        </w:rPr>
        <w:t>separator</w:t>
      </w:r>
      <w:r>
        <w:t xml:space="preserve"> – The separator used to separate the numbering level definitions.</w:t>
      </w:r>
    </w:p>
    <w:p w:rsidR="000A156F" w:rsidRDefault="00A9721F">
      <w:pPr>
        <w:pStyle w:val="ListParagraph"/>
        <w:numPr>
          <w:ilvl w:val="0"/>
          <w:numId w:val="168"/>
        </w:numPr>
        <w:contextualSpacing/>
      </w:pPr>
      <w:r>
        <w:t xml:space="preserve">If the </w:t>
      </w:r>
      <w:r>
        <w:rPr>
          <w:b/>
        </w:rPr>
        <w:t>numbering</w:t>
      </w:r>
      <w:r>
        <w:t xml:space="preserve"> prefix or </w:t>
      </w:r>
      <w:r>
        <w:rPr>
          <w:rStyle w:val="InlineCode"/>
        </w:rPr>
        <w:t>separator</w:t>
      </w:r>
      <w:r>
        <w:t xml:space="preserve"> includes a pair of consecutive % characters, then that pair of characters shall be treated as a sing</w:t>
      </w:r>
      <w:r>
        <w:t xml:space="preserve">le % character rather than the start of a new </w:t>
      </w:r>
      <w:r>
        <w:rPr>
          <w:rStyle w:val="InlineCode"/>
        </w:rPr>
        <w:t>numbering</w:t>
      </w:r>
      <w:r>
        <w:t xml:space="preserve"> level.</w:t>
      </w:r>
    </w:p>
    <w:p w:rsidR="000A156F" w:rsidRDefault="00A9721F">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numbering format</w:t>
      </w:r>
      <w:r>
        <w:t xml:space="preserve"> and all ‘:’ characters used to separate the pieces of the number level definitions, shall be at most 31.</w:t>
      </w:r>
    </w:p>
    <w:p w:rsidR="000A156F" w:rsidRDefault="00A9721F">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nfc Value</w:t>
            </w:r>
          </w:p>
        </w:tc>
        <w:tc>
          <w:tcPr>
            <w:tcW w:w="0" w:type="auto"/>
            <w:vAlign w:val="center"/>
          </w:tcPr>
          <w:p w:rsidR="000A156F" w:rsidRDefault="00A9721F">
            <w:pPr>
              <w:pStyle w:val="TableHeaderText"/>
            </w:pPr>
            <w:r>
              <w:t>ST_NumberFormat enumeration equivalent</w:t>
            </w:r>
          </w:p>
        </w:tc>
      </w:tr>
      <w:tr w:rsidR="000A156F" w:rsidTr="000A156F">
        <w:tc>
          <w:tcPr>
            <w:tcW w:w="0" w:type="auto"/>
            <w:vAlign w:val="center"/>
          </w:tcPr>
          <w:p w:rsidR="000A156F" w:rsidRDefault="00A9721F">
            <w:pPr>
              <w:pStyle w:val="TableBodyText"/>
            </w:pPr>
            <w:r>
              <w:rPr>
                <w:i/>
              </w:rPr>
              <w:t>0</w:t>
            </w:r>
          </w:p>
        </w:tc>
        <w:tc>
          <w:tcPr>
            <w:tcW w:w="0" w:type="auto"/>
            <w:vAlign w:val="center"/>
          </w:tcPr>
          <w:p w:rsidR="000A156F" w:rsidRDefault="00A9721F">
            <w:pPr>
              <w:pStyle w:val="TableBodyText"/>
            </w:pPr>
            <w:r>
              <w:rPr>
                <w:i/>
              </w:rPr>
              <w:t>decimal</w:t>
            </w:r>
          </w:p>
        </w:tc>
      </w:tr>
      <w:tr w:rsidR="000A156F" w:rsidTr="000A156F">
        <w:tc>
          <w:tcPr>
            <w:tcW w:w="0" w:type="auto"/>
            <w:vAlign w:val="center"/>
          </w:tcPr>
          <w:p w:rsidR="000A156F" w:rsidRDefault="00A9721F">
            <w:pPr>
              <w:pStyle w:val="TableBodyText"/>
            </w:pPr>
            <w:r>
              <w:rPr>
                <w:i/>
              </w:rPr>
              <w:t>1</w:t>
            </w:r>
          </w:p>
        </w:tc>
        <w:tc>
          <w:tcPr>
            <w:tcW w:w="0" w:type="auto"/>
            <w:vAlign w:val="center"/>
          </w:tcPr>
          <w:p w:rsidR="000A156F" w:rsidRDefault="00A9721F">
            <w:pPr>
              <w:pStyle w:val="TableBodyText"/>
            </w:pPr>
            <w:r>
              <w:rPr>
                <w:i/>
              </w:rPr>
              <w:t>upperRoman</w:t>
            </w:r>
          </w:p>
        </w:tc>
      </w:tr>
      <w:tr w:rsidR="000A156F" w:rsidTr="000A156F">
        <w:tc>
          <w:tcPr>
            <w:tcW w:w="0" w:type="auto"/>
            <w:vAlign w:val="center"/>
          </w:tcPr>
          <w:p w:rsidR="000A156F" w:rsidRDefault="00A9721F">
            <w:pPr>
              <w:pStyle w:val="TableBodyText"/>
            </w:pPr>
            <w:r>
              <w:rPr>
                <w:i/>
              </w:rPr>
              <w:t>2</w:t>
            </w:r>
          </w:p>
        </w:tc>
        <w:tc>
          <w:tcPr>
            <w:tcW w:w="0" w:type="auto"/>
            <w:vAlign w:val="center"/>
          </w:tcPr>
          <w:p w:rsidR="000A156F" w:rsidRDefault="00A9721F">
            <w:pPr>
              <w:pStyle w:val="TableBodyText"/>
            </w:pPr>
            <w:r>
              <w:rPr>
                <w:i/>
              </w:rPr>
              <w:t>lowerRoman</w:t>
            </w:r>
          </w:p>
        </w:tc>
      </w:tr>
      <w:tr w:rsidR="000A156F" w:rsidTr="000A156F">
        <w:tc>
          <w:tcPr>
            <w:tcW w:w="0" w:type="auto"/>
            <w:vAlign w:val="center"/>
          </w:tcPr>
          <w:p w:rsidR="000A156F" w:rsidRDefault="00A9721F">
            <w:pPr>
              <w:pStyle w:val="TableBodyText"/>
            </w:pPr>
            <w:r>
              <w:rPr>
                <w:i/>
              </w:rPr>
              <w:t>3</w:t>
            </w:r>
          </w:p>
        </w:tc>
        <w:tc>
          <w:tcPr>
            <w:tcW w:w="0" w:type="auto"/>
            <w:vAlign w:val="center"/>
          </w:tcPr>
          <w:p w:rsidR="000A156F" w:rsidRDefault="00A9721F">
            <w:pPr>
              <w:pStyle w:val="TableBodyText"/>
            </w:pPr>
            <w:r>
              <w:rPr>
                <w:i/>
              </w:rPr>
              <w:t>upperLetter</w:t>
            </w:r>
          </w:p>
        </w:tc>
      </w:tr>
      <w:tr w:rsidR="000A156F" w:rsidTr="000A156F">
        <w:tc>
          <w:tcPr>
            <w:tcW w:w="0" w:type="auto"/>
            <w:vAlign w:val="center"/>
          </w:tcPr>
          <w:p w:rsidR="000A156F" w:rsidRDefault="00A9721F">
            <w:pPr>
              <w:pStyle w:val="TableBodyText"/>
            </w:pPr>
            <w:r>
              <w:rPr>
                <w:i/>
              </w:rPr>
              <w:t>4</w:t>
            </w:r>
          </w:p>
        </w:tc>
        <w:tc>
          <w:tcPr>
            <w:tcW w:w="0" w:type="auto"/>
            <w:vAlign w:val="center"/>
          </w:tcPr>
          <w:p w:rsidR="000A156F" w:rsidRDefault="00A9721F">
            <w:pPr>
              <w:pStyle w:val="TableBodyText"/>
            </w:pPr>
            <w:r>
              <w:rPr>
                <w:i/>
              </w:rPr>
              <w:t>lowerLetter</w:t>
            </w:r>
          </w:p>
        </w:tc>
      </w:tr>
      <w:tr w:rsidR="000A156F" w:rsidTr="000A156F">
        <w:tc>
          <w:tcPr>
            <w:tcW w:w="0" w:type="auto"/>
            <w:vAlign w:val="center"/>
          </w:tcPr>
          <w:p w:rsidR="000A156F" w:rsidRDefault="00A9721F">
            <w:pPr>
              <w:pStyle w:val="TableBodyText"/>
            </w:pPr>
            <w:r>
              <w:rPr>
                <w:i/>
              </w:rPr>
              <w:t>5</w:t>
            </w:r>
          </w:p>
        </w:tc>
        <w:tc>
          <w:tcPr>
            <w:tcW w:w="0" w:type="auto"/>
            <w:vAlign w:val="center"/>
          </w:tcPr>
          <w:p w:rsidR="000A156F" w:rsidRDefault="00A9721F">
            <w:pPr>
              <w:pStyle w:val="TableBodyText"/>
            </w:pPr>
            <w:r>
              <w:rPr>
                <w:i/>
              </w:rPr>
              <w:t>ordinal</w:t>
            </w:r>
          </w:p>
        </w:tc>
      </w:tr>
      <w:tr w:rsidR="000A156F" w:rsidTr="000A156F">
        <w:tc>
          <w:tcPr>
            <w:tcW w:w="0" w:type="auto"/>
            <w:vAlign w:val="center"/>
          </w:tcPr>
          <w:p w:rsidR="000A156F" w:rsidRDefault="00A9721F">
            <w:pPr>
              <w:pStyle w:val="TableBodyText"/>
            </w:pPr>
            <w:r>
              <w:rPr>
                <w:i/>
              </w:rPr>
              <w:lastRenderedPageBreak/>
              <w:t>6</w:t>
            </w:r>
          </w:p>
        </w:tc>
        <w:tc>
          <w:tcPr>
            <w:tcW w:w="0" w:type="auto"/>
            <w:vAlign w:val="center"/>
          </w:tcPr>
          <w:p w:rsidR="000A156F" w:rsidRDefault="00A9721F">
            <w:pPr>
              <w:pStyle w:val="TableBodyText"/>
            </w:pPr>
            <w:r>
              <w:rPr>
                <w:i/>
              </w:rPr>
              <w:t>cardinalText</w:t>
            </w:r>
          </w:p>
        </w:tc>
      </w:tr>
      <w:tr w:rsidR="000A156F" w:rsidTr="000A156F">
        <w:tc>
          <w:tcPr>
            <w:tcW w:w="0" w:type="auto"/>
            <w:vAlign w:val="center"/>
          </w:tcPr>
          <w:p w:rsidR="000A156F" w:rsidRDefault="00A9721F">
            <w:pPr>
              <w:pStyle w:val="TableBodyText"/>
            </w:pPr>
            <w:r>
              <w:rPr>
                <w:i/>
              </w:rPr>
              <w:t>7</w:t>
            </w:r>
          </w:p>
        </w:tc>
        <w:tc>
          <w:tcPr>
            <w:tcW w:w="0" w:type="auto"/>
            <w:vAlign w:val="center"/>
          </w:tcPr>
          <w:p w:rsidR="000A156F" w:rsidRDefault="00A9721F">
            <w:pPr>
              <w:pStyle w:val="TableBodyText"/>
            </w:pPr>
            <w:r>
              <w:rPr>
                <w:i/>
              </w:rPr>
              <w:t>ordinalText</w:t>
            </w:r>
          </w:p>
        </w:tc>
      </w:tr>
      <w:tr w:rsidR="000A156F" w:rsidTr="000A156F">
        <w:tc>
          <w:tcPr>
            <w:tcW w:w="0" w:type="auto"/>
            <w:vAlign w:val="center"/>
          </w:tcPr>
          <w:p w:rsidR="000A156F" w:rsidRDefault="00A9721F">
            <w:pPr>
              <w:pStyle w:val="TableBodyText"/>
            </w:pPr>
            <w:r>
              <w:rPr>
                <w:i/>
              </w:rPr>
              <w:t>8</w:t>
            </w:r>
          </w:p>
        </w:tc>
        <w:tc>
          <w:tcPr>
            <w:tcW w:w="0" w:type="auto"/>
            <w:vAlign w:val="center"/>
          </w:tcPr>
          <w:p w:rsidR="000A156F" w:rsidRDefault="00A9721F">
            <w:pPr>
              <w:pStyle w:val="TableBodyText"/>
            </w:pPr>
            <w:r>
              <w:rPr>
                <w:i/>
              </w:rPr>
              <w:t>hex</w:t>
            </w:r>
          </w:p>
        </w:tc>
      </w:tr>
      <w:tr w:rsidR="000A156F" w:rsidTr="000A156F">
        <w:tc>
          <w:tcPr>
            <w:tcW w:w="0" w:type="auto"/>
            <w:vAlign w:val="center"/>
          </w:tcPr>
          <w:p w:rsidR="000A156F" w:rsidRDefault="00A9721F">
            <w:pPr>
              <w:pStyle w:val="TableBodyText"/>
            </w:pPr>
            <w:r>
              <w:rPr>
                <w:i/>
              </w:rPr>
              <w:t>9</w:t>
            </w:r>
          </w:p>
        </w:tc>
        <w:tc>
          <w:tcPr>
            <w:tcW w:w="0" w:type="auto"/>
            <w:vAlign w:val="center"/>
          </w:tcPr>
          <w:p w:rsidR="000A156F" w:rsidRDefault="00A9721F">
            <w:pPr>
              <w:pStyle w:val="TableBodyText"/>
            </w:pPr>
            <w:r>
              <w:rPr>
                <w:i/>
              </w:rPr>
              <w:t>chicago</w:t>
            </w:r>
          </w:p>
        </w:tc>
      </w:tr>
      <w:tr w:rsidR="000A156F" w:rsidTr="000A156F">
        <w:tc>
          <w:tcPr>
            <w:tcW w:w="0" w:type="auto"/>
            <w:vAlign w:val="center"/>
          </w:tcPr>
          <w:p w:rsidR="000A156F" w:rsidRDefault="00A9721F">
            <w:pPr>
              <w:pStyle w:val="TableBodyText"/>
            </w:pPr>
            <w:r>
              <w:rPr>
                <w:i/>
              </w:rPr>
              <w:t>10</w:t>
            </w:r>
          </w:p>
        </w:tc>
        <w:tc>
          <w:tcPr>
            <w:tcW w:w="0" w:type="auto"/>
            <w:vAlign w:val="center"/>
          </w:tcPr>
          <w:p w:rsidR="000A156F" w:rsidRDefault="00A9721F">
            <w:pPr>
              <w:pStyle w:val="TableBodyText"/>
            </w:pPr>
            <w:r>
              <w:rPr>
                <w:i/>
              </w:rPr>
              <w:t>ideographDigital</w:t>
            </w:r>
          </w:p>
        </w:tc>
      </w:tr>
      <w:tr w:rsidR="000A156F" w:rsidTr="000A156F">
        <w:tc>
          <w:tcPr>
            <w:tcW w:w="0" w:type="auto"/>
            <w:vAlign w:val="center"/>
          </w:tcPr>
          <w:p w:rsidR="000A156F" w:rsidRDefault="00A9721F">
            <w:pPr>
              <w:pStyle w:val="TableBodyText"/>
            </w:pPr>
            <w:r>
              <w:rPr>
                <w:i/>
              </w:rPr>
              <w:t>11</w:t>
            </w:r>
          </w:p>
        </w:tc>
        <w:tc>
          <w:tcPr>
            <w:tcW w:w="0" w:type="auto"/>
            <w:vAlign w:val="center"/>
          </w:tcPr>
          <w:p w:rsidR="000A156F" w:rsidRDefault="00A9721F">
            <w:pPr>
              <w:pStyle w:val="TableBodyText"/>
            </w:pPr>
            <w:r>
              <w:rPr>
                <w:i/>
              </w:rPr>
              <w:t>japaneseCounting</w:t>
            </w:r>
          </w:p>
        </w:tc>
      </w:tr>
      <w:tr w:rsidR="000A156F" w:rsidTr="000A156F">
        <w:tc>
          <w:tcPr>
            <w:tcW w:w="0" w:type="auto"/>
            <w:vAlign w:val="center"/>
          </w:tcPr>
          <w:p w:rsidR="000A156F" w:rsidRDefault="00A9721F">
            <w:pPr>
              <w:pStyle w:val="TableBodyText"/>
            </w:pPr>
            <w:r>
              <w:rPr>
                <w:i/>
              </w:rPr>
              <w:t>12</w:t>
            </w:r>
          </w:p>
        </w:tc>
        <w:tc>
          <w:tcPr>
            <w:tcW w:w="0" w:type="auto"/>
            <w:vAlign w:val="center"/>
          </w:tcPr>
          <w:p w:rsidR="000A156F" w:rsidRDefault="00A9721F">
            <w:pPr>
              <w:pStyle w:val="TableBodyText"/>
            </w:pPr>
            <w:r>
              <w:rPr>
                <w:i/>
              </w:rPr>
              <w:t>Aiueo</w:t>
            </w:r>
          </w:p>
        </w:tc>
      </w:tr>
      <w:tr w:rsidR="000A156F" w:rsidTr="000A156F">
        <w:tc>
          <w:tcPr>
            <w:tcW w:w="0" w:type="auto"/>
            <w:vAlign w:val="center"/>
          </w:tcPr>
          <w:p w:rsidR="000A156F" w:rsidRDefault="00A9721F">
            <w:pPr>
              <w:pStyle w:val="TableBodyText"/>
            </w:pPr>
            <w:r>
              <w:rPr>
                <w:i/>
              </w:rPr>
              <w:t>13</w:t>
            </w:r>
          </w:p>
        </w:tc>
        <w:tc>
          <w:tcPr>
            <w:tcW w:w="0" w:type="auto"/>
            <w:vAlign w:val="center"/>
          </w:tcPr>
          <w:p w:rsidR="000A156F" w:rsidRDefault="00A9721F">
            <w:pPr>
              <w:pStyle w:val="TableBodyText"/>
            </w:pPr>
            <w:r>
              <w:rPr>
                <w:i/>
              </w:rPr>
              <w:t>Iroha</w:t>
            </w:r>
          </w:p>
        </w:tc>
      </w:tr>
      <w:tr w:rsidR="000A156F" w:rsidTr="000A156F">
        <w:tc>
          <w:tcPr>
            <w:tcW w:w="0" w:type="auto"/>
            <w:vAlign w:val="center"/>
          </w:tcPr>
          <w:p w:rsidR="000A156F" w:rsidRDefault="00A9721F">
            <w:pPr>
              <w:pStyle w:val="TableBodyText"/>
            </w:pPr>
            <w:r>
              <w:rPr>
                <w:i/>
              </w:rPr>
              <w:t>14</w:t>
            </w:r>
          </w:p>
        </w:tc>
        <w:tc>
          <w:tcPr>
            <w:tcW w:w="0" w:type="auto"/>
            <w:vAlign w:val="center"/>
          </w:tcPr>
          <w:p w:rsidR="000A156F" w:rsidRDefault="00A9721F">
            <w:pPr>
              <w:pStyle w:val="TableBodyText"/>
            </w:pPr>
            <w:r>
              <w:rPr>
                <w:i/>
              </w:rPr>
              <w:t>decimalFullWidth</w:t>
            </w:r>
          </w:p>
        </w:tc>
      </w:tr>
      <w:tr w:rsidR="000A156F" w:rsidTr="000A156F">
        <w:tc>
          <w:tcPr>
            <w:tcW w:w="0" w:type="auto"/>
            <w:vAlign w:val="center"/>
          </w:tcPr>
          <w:p w:rsidR="000A156F" w:rsidRDefault="00A9721F">
            <w:pPr>
              <w:pStyle w:val="TableBodyText"/>
            </w:pPr>
            <w:r>
              <w:rPr>
                <w:i/>
              </w:rPr>
              <w:t>15</w:t>
            </w:r>
          </w:p>
        </w:tc>
        <w:tc>
          <w:tcPr>
            <w:tcW w:w="0" w:type="auto"/>
            <w:vAlign w:val="center"/>
          </w:tcPr>
          <w:p w:rsidR="000A156F" w:rsidRDefault="00A9721F">
            <w:pPr>
              <w:pStyle w:val="TableBodyText"/>
            </w:pPr>
            <w:r>
              <w:rPr>
                <w:i/>
              </w:rPr>
              <w:t>decimalHalfWidth</w:t>
            </w:r>
          </w:p>
        </w:tc>
      </w:tr>
      <w:tr w:rsidR="000A156F" w:rsidTr="000A156F">
        <w:tc>
          <w:tcPr>
            <w:tcW w:w="0" w:type="auto"/>
            <w:vAlign w:val="center"/>
          </w:tcPr>
          <w:p w:rsidR="000A156F" w:rsidRDefault="00A9721F">
            <w:pPr>
              <w:pStyle w:val="TableBodyText"/>
            </w:pPr>
            <w:r>
              <w:rPr>
                <w:i/>
              </w:rPr>
              <w:t>16</w:t>
            </w:r>
          </w:p>
        </w:tc>
        <w:tc>
          <w:tcPr>
            <w:tcW w:w="0" w:type="auto"/>
            <w:vAlign w:val="center"/>
          </w:tcPr>
          <w:p w:rsidR="000A156F" w:rsidRDefault="00A9721F">
            <w:pPr>
              <w:pStyle w:val="TableBodyText"/>
            </w:pPr>
            <w:r>
              <w:rPr>
                <w:i/>
              </w:rPr>
              <w:t>japaneseLegal</w:t>
            </w:r>
          </w:p>
        </w:tc>
      </w:tr>
      <w:tr w:rsidR="000A156F" w:rsidTr="000A156F">
        <w:tc>
          <w:tcPr>
            <w:tcW w:w="0" w:type="auto"/>
            <w:vAlign w:val="center"/>
          </w:tcPr>
          <w:p w:rsidR="000A156F" w:rsidRDefault="00A9721F">
            <w:pPr>
              <w:pStyle w:val="TableBodyText"/>
            </w:pPr>
            <w:r>
              <w:rPr>
                <w:i/>
              </w:rPr>
              <w:t>17</w:t>
            </w:r>
          </w:p>
        </w:tc>
        <w:tc>
          <w:tcPr>
            <w:tcW w:w="0" w:type="auto"/>
            <w:vAlign w:val="center"/>
          </w:tcPr>
          <w:p w:rsidR="000A156F" w:rsidRDefault="00A9721F">
            <w:pPr>
              <w:pStyle w:val="TableBodyText"/>
            </w:pPr>
            <w:r>
              <w:rPr>
                <w:i/>
              </w:rPr>
              <w:t>japaneseDigitalTenThousand</w:t>
            </w:r>
          </w:p>
        </w:tc>
      </w:tr>
      <w:tr w:rsidR="000A156F" w:rsidTr="000A156F">
        <w:tc>
          <w:tcPr>
            <w:tcW w:w="0" w:type="auto"/>
            <w:vAlign w:val="center"/>
          </w:tcPr>
          <w:p w:rsidR="000A156F" w:rsidRDefault="00A9721F">
            <w:pPr>
              <w:pStyle w:val="TableBodyText"/>
            </w:pPr>
            <w:r>
              <w:rPr>
                <w:i/>
              </w:rPr>
              <w:t>18</w:t>
            </w:r>
          </w:p>
        </w:tc>
        <w:tc>
          <w:tcPr>
            <w:tcW w:w="0" w:type="auto"/>
            <w:vAlign w:val="center"/>
          </w:tcPr>
          <w:p w:rsidR="000A156F" w:rsidRDefault="00A9721F">
            <w:pPr>
              <w:pStyle w:val="TableBodyText"/>
            </w:pPr>
            <w:r>
              <w:rPr>
                <w:i/>
              </w:rPr>
              <w:t>decimalEnclosedCircle</w:t>
            </w:r>
          </w:p>
        </w:tc>
      </w:tr>
      <w:tr w:rsidR="000A156F" w:rsidTr="000A156F">
        <w:tc>
          <w:tcPr>
            <w:tcW w:w="0" w:type="auto"/>
            <w:vAlign w:val="center"/>
          </w:tcPr>
          <w:p w:rsidR="000A156F" w:rsidRDefault="00A9721F">
            <w:pPr>
              <w:pStyle w:val="TableBodyText"/>
            </w:pPr>
            <w:r>
              <w:rPr>
                <w:i/>
              </w:rPr>
              <w:t>19</w:t>
            </w:r>
          </w:p>
        </w:tc>
        <w:tc>
          <w:tcPr>
            <w:tcW w:w="0" w:type="auto"/>
            <w:vAlign w:val="center"/>
          </w:tcPr>
          <w:p w:rsidR="000A156F" w:rsidRDefault="00A9721F">
            <w:pPr>
              <w:pStyle w:val="TableBodyText"/>
            </w:pPr>
            <w:r>
              <w:rPr>
                <w:i/>
              </w:rPr>
              <w:t>decimalFullWidth2</w:t>
            </w:r>
          </w:p>
        </w:tc>
      </w:tr>
      <w:tr w:rsidR="000A156F" w:rsidTr="000A156F">
        <w:tc>
          <w:tcPr>
            <w:tcW w:w="0" w:type="auto"/>
            <w:vAlign w:val="center"/>
          </w:tcPr>
          <w:p w:rsidR="000A156F" w:rsidRDefault="00A9721F">
            <w:pPr>
              <w:pStyle w:val="TableBodyText"/>
            </w:pPr>
            <w:r>
              <w:rPr>
                <w:i/>
              </w:rPr>
              <w:t>20</w:t>
            </w:r>
          </w:p>
        </w:tc>
        <w:tc>
          <w:tcPr>
            <w:tcW w:w="0" w:type="auto"/>
            <w:vAlign w:val="center"/>
          </w:tcPr>
          <w:p w:rsidR="000A156F" w:rsidRDefault="00A9721F">
            <w:pPr>
              <w:pStyle w:val="TableBodyText"/>
            </w:pPr>
            <w:r>
              <w:rPr>
                <w:i/>
              </w:rPr>
              <w:t>aiueoFullWidth</w:t>
            </w:r>
          </w:p>
        </w:tc>
      </w:tr>
      <w:tr w:rsidR="000A156F" w:rsidTr="000A156F">
        <w:tc>
          <w:tcPr>
            <w:tcW w:w="0" w:type="auto"/>
            <w:vAlign w:val="center"/>
          </w:tcPr>
          <w:p w:rsidR="000A156F" w:rsidRDefault="00A9721F">
            <w:pPr>
              <w:pStyle w:val="TableBodyText"/>
            </w:pPr>
            <w:r>
              <w:rPr>
                <w:i/>
              </w:rPr>
              <w:t>21</w:t>
            </w:r>
          </w:p>
        </w:tc>
        <w:tc>
          <w:tcPr>
            <w:tcW w:w="0" w:type="auto"/>
            <w:vAlign w:val="center"/>
          </w:tcPr>
          <w:p w:rsidR="000A156F" w:rsidRDefault="00A9721F">
            <w:pPr>
              <w:pStyle w:val="TableBodyText"/>
            </w:pPr>
            <w:r>
              <w:rPr>
                <w:i/>
              </w:rPr>
              <w:t>irohaFullWidth</w:t>
            </w:r>
          </w:p>
        </w:tc>
      </w:tr>
      <w:tr w:rsidR="000A156F" w:rsidTr="000A156F">
        <w:tc>
          <w:tcPr>
            <w:tcW w:w="0" w:type="auto"/>
            <w:vAlign w:val="center"/>
          </w:tcPr>
          <w:p w:rsidR="000A156F" w:rsidRDefault="00A9721F">
            <w:pPr>
              <w:pStyle w:val="TableBodyText"/>
            </w:pPr>
            <w:r>
              <w:rPr>
                <w:i/>
              </w:rPr>
              <w:t>22</w:t>
            </w:r>
          </w:p>
        </w:tc>
        <w:tc>
          <w:tcPr>
            <w:tcW w:w="0" w:type="auto"/>
            <w:vAlign w:val="center"/>
          </w:tcPr>
          <w:p w:rsidR="000A156F" w:rsidRDefault="00A9721F">
            <w:pPr>
              <w:pStyle w:val="TableBodyText"/>
            </w:pPr>
            <w:r>
              <w:rPr>
                <w:i/>
              </w:rPr>
              <w:t>decimalZero</w:t>
            </w:r>
          </w:p>
        </w:tc>
      </w:tr>
      <w:tr w:rsidR="000A156F" w:rsidTr="000A156F">
        <w:tc>
          <w:tcPr>
            <w:tcW w:w="0" w:type="auto"/>
            <w:vAlign w:val="center"/>
          </w:tcPr>
          <w:p w:rsidR="000A156F" w:rsidRDefault="00A9721F">
            <w:pPr>
              <w:pStyle w:val="TableBodyText"/>
            </w:pPr>
            <w:r>
              <w:rPr>
                <w:i/>
              </w:rPr>
              <w:t>23</w:t>
            </w:r>
          </w:p>
        </w:tc>
        <w:tc>
          <w:tcPr>
            <w:tcW w:w="0" w:type="auto"/>
            <w:vAlign w:val="center"/>
          </w:tcPr>
          <w:p w:rsidR="000A156F" w:rsidRDefault="00A9721F">
            <w:pPr>
              <w:pStyle w:val="TableBodyText"/>
            </w:pPr>
            <w:r>
              <w:rPr>
                <w:i/>
              </w:rPr>
              <w:t>bullet</w:t>
            </w:r>
          </w:p>
        </w:tc>
      </w:tr>
      <w:tr w:rsidR="000A156F" w:rsidTr="000A156F">
        <w:tc>
          <w:tcPr>
            <w:tcW w:w="0" w:type="auto"/>
            <w:vAlign w:val="center"/>
          </w:tcPr>
          <w:p w:rsidR="000A156F" w:rsidRDefault="00A9721F">
            <w:pPr>
              <w:pStyle w:val="TableBodyText"/>
            </w:pPr>
            <w:r>
              <w:rPr>
                <w:i/>
              </w:rPr>
              <w:t>24</w:t>
            </w:r>
          </w:p>
        </w:tc>
        <w:tc>
          <w:tcPr>
            <w:tcW w:w="0" w:type="auto"/>
            <w:vAlign w:val="center"/>
          </w:tcPr>
          <w:p w:rsidR="000A156F" w:rsidRDefault="00A9721F">
            <w:pPr>
              <w:pStyle w:val="TableBodyText"/>
            </w:pPr>
            <w:r>
              <w:rPr>
                <w:i/>
              </w:rPr>
              <w:t>ganada</w:t>
            </w:r>
          </w:p>
        </w:tc>
      </w:tr>
      <w:tr w:rsidR="000A156F" w:rsidTr="000A156F">
        <w:tc>
          <w:tcPr>
            <w:tcW w:w="0" w:type="auto"/>
            <w:vAlign w:val="center"/>
          </w:tcPr>
          <w:p w:rsidR="000A156F" w:rsidRDefault="00A9721F">
            <w:pPr>
              <w:pStyle w:val="TableBodyText"/>
            </w:pPr>
            <w:r>
              <w:rPr>
                <w:i/>
              </w:rPr>
              <w:t>25</w:t>
            </w:r>
          </w:p>
        </w:tc>
        <w:tc>
          <w:tcPr>
            <w:tcW w:w="0" w:type="auto"/>
            <w:vAlign w:val="center"/>
          </w:tcPr>
          <w:p w:rsidR="000A156F" w:rsidRDefault="00A9721F">
            <w:pPr>
              <w:pStyle w:val="TableBodyText"/>
            </w:pPr>
            <w:r>
              <w:rPr>
                <w:i/>
              </w:rPr>
              <w:t>chosung</w:t>
            </w:r>
          </w:p>
        </w:tc>
      </w:tr>
      <w:tr w:rsidR="000A156F" w:rsidTr="000A156F">
        <w:tc>
          <w:tcPr>
            <w:tcW w:w="0" w:type="auto"/>
            <w:vAlign w:val="center"/>
          </w:tcPr>
          <w:p w:rsidR="000A156F" w:rsidRDefault="00A9721F">
            <w:pPr>
              <w:pStyle w:val="TableBodyText"/>
            </w:pPr>
            <w:r>
              <w:rPr>
                <w:i/>
              </w:rPr>
              <w:t>26</w:t>
            </w:r>
          </w:p>
        </w:tc>
        <w:tc>
          <w:tcPr>
            <w:tcW w:w="0" w:type="auto"/>
            <w:vAlign w:val="center"/>
          </w:tcPr>
          <w:p w:rsidR="000A156F" w:rsidRDefault="00A9721F">
            <w:pPr>
              <w:pStyle w:val="TableBodyText"/>
            </w:pPr>
            <w:r>
              <w:rPr>
                <w:i/>
              </w:rPr>
              <w:t>decimalEnclosedFullstop</w:t>
            </w:r>
          </w:p>
        </w:tc>
      </w:tr>
      <w:tr w:rsidR="000A156F" w:rsidTr="000A156F">
        <w:tc>
          <w:tcPr>
            <w:tcW w:w="0" w:type="auto"/>
            <w:vAlign w:val="center"/>
          </w:tcPr>
          <w:p w:rsidR="000A156F" w:rsidRDefault="00A9721F">
            <w:pPr>
              <w:pStyle w:val="TableBodyText"/>
            </w:pPr>
            <w:r>
              <w:rPr>
                <w:i/>
              </w:rPr>
              <w:t>27</w:t>
            </w:r>
          </w:p>
        </w:tc>
        <w:tc>
          <w:tcPr>
            <w:tcW w:w="0" w:type="auto"/>
            <w:vAlign w:val="center"/>
          </w:tcPr>
          <w:p w:rsidR="000A156F" w:rsidRDefault="00A9721F">
            <w:pPr>
              <w:pStyle w:val="TableBodyText"/>
            </w:pPr>
            <w:r>
              <w:rPr>
                <w:i/>
              </w:rPr>
              <w:t>decimalEnclosedParen</w:t>
            </w:r>
          </w:p>
        </w:tc>
      </w:tr>
      <w:tr w:rsidR="000A156F" w:rsidTr="000A156F">
        <w:tc>
          <w:tcPr>
            <w:tcW w:w="0" w:type="auto"/>
            <w:vAlign w:val="center"/>
          </w:tcPr>
          <w:p w:rsidR="000A156F" w:rsidRDefault="00A9721F">
            <w:pPr>
              <w:pStyle w:val="TableBodyText"/>
            </w:pPr>
            <w:r>
              <w:rPr>
                <w:i/>
              </w:rPr>
              <w:t>28</w:t>
            </w:r>
          </w:p>
        </w:tc>
        <w:tc>
          <w:tcPr>
            <w:tcW w:w="0" w:type="auto"/>
            <w:vAlign w:val="center"/>
          </w:tcPr>
          <w:p w:rsidR="000A156F" w:rsidRDefault="00A9721F">
            <w:pPr>
              <w:pStyle w:val="TableBodyText"/>
            </w:pPr>
            <w:r>
              <w:rPr>
                <w:i/>
              </w:rPr>
              <w:t>decimalEnclosedCircleChinese</w:t>
            </w:r>
          </w:p>
        </w:tc>
      </w:tr>
      <w:tr w:rsidR="000A156F" w:rsidTr="000A156F">
        <w:tc>
          <w:tcPr>
            <w:tcW w:w="0" w:type="auto"/>
            <w:vAlign w:val="center"/>
          </w:tcPr>
          <w:p w:rsidR="000A156F" w:rsidRDefault="00A9721F">
            <w:pPr>
              <w:pStyle w:val="TableBodyText"/>
            </w:pPr>
            <w:r>
              <w:rPr>
                <w:i/>
              </w:rPr>
              <w:t>29</w:t>
            </w:r>
          </w:p>
        </w:tc>
        <w:tc>
          <w:tcPr>
            <w:tcW w:w="0" w:type="auto"/>
            <w:vAlign w:val="center"/>
          </w:tcPr>
          <w:p w:rsidR="000A156F" w:rsidRDefault="00A9721F">
            <w:pPr>
              <w:pStyle w:val="TableBodyText"/>
            </w:pPr>
            <w:r>
              <w:rPr>
                <w:i/>
              </w:rPr>
              <w:t>ideographEnclosedCircle</w:t>
            </w:r>
          </w:p>
        </w:tc>
      </w:tr>
      <w:tr w:rsidR="000A156F" w:rsidTr="000A156F">
        <w:tc>
          <w:tcPr>
            <w:tcW w:w="0" w:type="auto"/>
            <w:vAlign w:val="center"/>
          </w:tcPr>
          <w:p w:rsidR="000A156F" w:rsidRDefault="00A9721F">
            <w:pPr>
              <w:pStyle w:val="TableBodyText"/>
            </w:pPr>
            <w:r>
              <w:rPr>
                <w:i/>
              </w:rPr>
              <w:t>30</w:t>
            </w:r>
          </w:p>
        </w:tc>
        <w:tc>
          <w:tcPr>
            <w:tcW w:w="0" w:type="auto"/>
            <w:vAlign w:val="center"/>
          </w:tcPr>
          <w:p w:rsidR="000A156F" w:rsidRDefault="00A9721F">
            <w:pPr>
              <w:pStyle w:val="TableBodyText"/>
            </w:pPr>
            <w:r>
              <w:rPr>
                <w:i/>
              </w:rPr>
              <w:t>ideographTraditional</w:t>
            </w:r>
          </w:p>
        </w:tc>
      </w:tr>
      <w:tr w:rsidR="000A156F" w:rsidTr="000A156F">
        <w:tc>
          <w:tcPr>
            <w:tcW w:w="0" w:type="auto"/>
            <w:vAlign w:val="center"/>
          </w:tcPr>
          <w:p w:rsidR="000A156F" w:rsidRDefault="00A9721F">
            <w:pPr>
              <w:pStyle w:val="TableBodyText"/>
            </w:pPr>
            <w:r>
              <w:rPr>
                <w:i/>
              </w:rPr>
              <w:t>31</w:t>
            </w:r>
          </w:p>
        </w:tc>
        <w:tc>
          <w:tcPr>
            <w:tcW w:w="0" w:type="auto"/>
            <w:vAlign w:val="center"/>
          </w:tcPr>
          <w:p w:rsidR="000A156F" w:rsidRDefault="00A9721F">
            <w:pPr>
              <w:pStyle w:val="TableBodyText"/>
            </w:pPr>
            <w:r>
              <w:rPr>
                <w:i/>
              </w:rPr>
              <w:t>ideographZodiac</w:t>
            </w:r>
          </w:p>
        </w:tc>
      </w:tr>
      <w:tr w:rsidR="000A156F" w:rsidTr="000A156F">
        <w:tc>
          <w:tcPr>
            <w:tcW w:w="0" w:type="auto"/>
            <w:vAlign w:val="center"/>
          </w:tcPr>
          <w:p w:rsidR="000A156F" w:rsidRDefault="00A9721F">
            <w:pPr>
              <w:pStyle w:val="TableBodyText"/>
            </w:pPr>
            <w:r>
              <w:rPr>
                <w:i/>
              </w:rPr>
              <w:t>32</w:t>
            </w:r>
          </w:p>
        </w:tc>
        <w:tc>
          <w:tcPr>
            <w:tcW w:w="0" w:type="auto"/>
            <w:vAlign w:val="center"/>
          </w:tcPr>
          <w:p w:rsidR="000A156F" w:rsidRDefault="00A9721F">
            <w:pPr>
              <w:pStyle w:val="TableBodyText"/>
            </w:pPr>
            <w:r>
              <w:rPr>
                <w:i/>
              </w:rPr>
              <w:t>ideographZodiacTraditional</w:t>
            </w:r>
          </w:p>
        </w:tc>
      </w:tr>
      <w:tr w:rsidR="000A156F" w:rsidTr="000A156F">
        <w:tc>
          <w:tcPr>
            <w:tcW w:w="0" w:type="auto"/>
            <w:vAlign w:val="center"/>
          </w:tcPr>
          <w:p w:rsidR="000A156F" w:rsidRDefault="00A9721F">
            <w:pPr>
              <w:pStyle w:val="TableBodyText"/>
            </w:pPr>
            <w:r>
              <w:rPr>
                <w:i/>
              </w:rPr>
              <w:t>33</w:t>
            </w:r>
          </w:p>
        </w:tc>
        <w:tc>
          <w:tcPr>
            <w:tcW w:w="0" w:type="auto"/>
            <w:vAlign w:val="center"/>
          </w:tcPr>
          <w:p w:rsidR="000A156F" w:rsidRDefault="00A9721F">
            <w:pPr>
              <w:pStyle w:val="TableBodyText"/>
            </w:pPr>
            <w:r>
              <w:rPr>
                <w:i/>
              </w:rPr>
              <w:t>taiwaneseCounting</w:t>
            </w:r>
          </w:p>
        </w:tc>
      </w:tr>
      <w:tr w:rsidR="000A156F" w:rsidTr="000A156F">
        <w:tc>
          <w:tcPr>
            <w:tcW w:w="0" w:type="auto"/>
            <w:vAlign w:val="center"/>
          </w:tcPr>
          <w:p w:rsidR="000A156F" w:rsidRDefault="00A9721F">
            <w:pPr>
              <w:pStyle w:val="TableBodyText"/>
            </w:pPr>
            <w:r>
              <w:rPr>
                <w:i/>
              </w:rPr>
              <w:t>34</w:t>
            </w:r>
          </w:p>
        </w:tc>
        <w:tc>
          <w:tcPr>
            <w:tcW w:w="0" w:type="auto"/>
            <w:vAlign w:val="center"/>
          </w:tcPr>
          <w:p w:rsidR="000A156F" w:rsidRDefault="00A9721F">
            <w:pPr>
              <w:pStyle w:val="TableBodyText"/>
            </w:pPr>
            <w:r>
              <w:rPr>
                <w:i/>
              </w:rPr>
              <w:t>ideographLegalTraditional</w:t>
            </w:r>
          </w:p>
        </w:tc>
      </w:tr>
      <w:tr w:rsidR="000A156F" w:rsidTr="000A156F">
        <w:tc>
          <w:tcPr>
            <w:tcW w:w="0" w:type="auto"/>
            <w:vAlign w:val="center"/>
          </w:tcPr>
          <w:p w:rsidR="000A156F" w:rsidRDefault="00A9721F">
            <w:pPr>
              <w:pStyle w:val="TableBodyText"/>
            </w:pPr>
            <w:r>
              <w:rPr>
                <w:i/>
              </w:rPr>
              <w:t>35</w:t>
            </w:r>
          </w:p>
        </w:tc>
        <w:tc>
          <w:tcPr>
            <w:tcW w:w="0" w:type="auto"/>
            <w:vAlign w:val="center"/>
          </w:tcPr>
          <w:p w:rsidR="000A156F" w:rsidRDefault="00A9721F">
            <w:pPr>
              <w:pStyle w:val="TableBodyText"/>
            </w:pPr>
            <w:r>
              <w:rPr>
                <w:i/>
              </w:rPr>
              <w:t>taiwaneseCountingThousand</w:t>
            </w:r>
          </w:p>
        </w:tc>
      </w:tr>
      <w:tr w:rsidR="000A156F" w:rsidTr="000A156F">
        <w:tc>
          <w:tcPr>
            <w:tcW w:w="0" w:type="auto"/>
            <w:vAlign w:val="center"/>
          </w:tcPr>
          <w:p w:rsidR="000A156F" w:rsidRDefault="00A9721F">
            <w:pPr>
              <w:pStyle w:val="TableBodyText"/>
            </w:pPr>
            <w:r>
              <w:rPr>
                <w:i/>
              </w:rPr>
              <w:t>36</w:t>
            </w:r>
          </w:p>
        </w:tc>
        <w:tc>
          <w:tcPr>
            <w:tcW w:w="0" w:type="auto"/>
            <w:vAlign w:val="center"/>
          </w:tcPr>
          <w:p w:rsidR="000A156F" w:rsidRDefault="00A9721F">
            <w:pPr>
              <w:pStyle w:val="TableBodyText"/>
            </w:pPr>
            <w:r>
              <w:rPr>
                <w:i/>
              </w:rPr>
              <w:t>taiwaneseDigital</w:t>
            </w:r>
          </w:p>
        </w:tc>
      </w:tr>
      <w:tr w:rsidR="000A156F" w:rsidTr="000A156F">
        <w:tc>
          <w:tcPr>
            <w:tcW w:w="0" w:type="auto"/>
            <w:vAlign w:val="center"/>
          </w:tcPr>
          <w:p w:rsidR="000A156F" w:rsidRDefault="00A9721F">
            <w:pPr>
              <w:pStyle w:val="TableBodyText"/>
            </w:pPr>
            <w:r>
              <w:rPr>
                <w:i/>
              </w:rPr>
              <w:t>37</w:t>
            </w:r>
          </w:p>
        </w:tc>
        <w:tc>
          <w:tcPr>
            <w:tcW w:w="0" w:type="auto"/>
            <w:vAlign w:val="center"/>
          </w:tcPr>
          <w:p w:rsidR="000A156F" w:rsidRDefault="00A9721F">
            <w:pPr>
              <w:pStyle w:val="TableBodyText"/>
            </w:pPr>
            <w:r>
              <w:rPr>
                <w:i/>
              </w:rPr>
              <w:t>chineseCounting</w:t>
            </w:r>
          </w:p>
        </w:tc>
      </w:tr>
      <w:tr w:rsidR="000A156F" w:rsidTr="000A156F">
        <w:tc>
          <w:tcPr>
            <w:tcW w:w="0" w:type="auto"/>
            <w:vAlign w:val="center"/>
          </w:tcPr>
          <w:p w:rsidR="000A156F" w:rsidRDefault="00A9721F">
            <w:pPr>
              <w:pStyle w:val="TableBodyText"/>
            </w:pPr>
            <w:r>
              <w:rPr>
                <w:i/>
              </w:rPr>
              <w:lastRenderedPageBreak/>
              <w:t>38</w:t>
            </w:r>
          </w:p>
        </w:tc>
        <w:tc>
          <w:tcPr>
            <w:tcW w:w="0" w:type="auto"/>
            <w:vAlign w:val="center"/>
          </w:tcPr>
          <w:p w:rsidR="000A156F" w:rsidRDefault="00A9721F">
            <w:pPr>
              <w:pStyle w:val="TableBodyText"/>
            </w:pPr>
            <w:r>
              <w:rPr>
                <w:i/>
              </w:rPr>
              <w:t>chineseLegalSimplified</w:t>
            </w:r>
          </w:p>
        </w:tc>
      </w:tr>
      <w:tr w:rsidR="000A156F" w:rsidTr="000A156F">
        <w:tc>
          <w:tcPr>
            <w:tcW w:w="0" w:type="auto"/>
            <w:vAlign w:val="center"/>
          </w:tcPr>
          <w:p w:rsidR="000A156F" w:rsidRDefault="00A9721F">
            <w:pPr>
              <w:pStyle w:val="TableBodyText"/>
            </w:pPr>
            <w:r>
              <w:rPr>
                <w:i/>
              </w:rPr>
              <w:t>39</w:t>
            </w:r>
          </w:p>
        </w:tc>
        <w:tc>
          <w:tcPr>
            <w:tcW w:w="0" w:type="auto"/>
            <w:vAlign w:val="center"/>
          </w:tcPr>
          <w:p w:rsidR="000A156F" w:rsidRDefault="00A9721F">
            <w:pPr>
              <w:pStyle w:val="TableBodyText"/>
            </w:pPr>
            <w:r>
              <w:rPr>
                <w:i/>
              </w:rPr>
              <w:t>chineseCountingThousand</w:t>
            </w:r>
          </w:p>
        </w:tc>
      </w:tr>
      <w:tr w:rsidR="000A156F" w:rsidTr="000A156F">
        <w:tc>
          <w:tcPr>
            <w:tcW w:w="0" w:type="auto"/>
            <w:vAlign w:val="center"/>
          </w:tcPr>
          <w:p w:rsidR="000A156F" w:rsidRDefault="00A9721F">
            <w:pPr>
              <w:pStyle w:val="TableBodyText"/>
            </w:pPr>
            <w:r>
              <w:rPr>
                <w:i/>
              </w:rPr>
              <w:t>40</w:t>
            </w:r>
          </w:p>
        </w:tc>
        <w:tc>
          <w:tcPr>
            <w:tcW w:w="0" w:type="auto"/>
            <w:vAlign w:val="center"/>
          </w:tcPr>
          <w:p w:rsidR="000A156F" w:rsidRDefault="00A9721F">
            <w:pPr>
              <w:pStyle w:val="TableBodyText"/>
            </w:pPr>
            <w:r>
              <w:t>Application-defined. May be ignored.</w:t>
            </w:r>
          </w:p>
        </w:tc>
      </w:tr>
      <w:tr w:rsidR="000A156F" w:rsidTr="000A156F">
        <w:tc>
          <w:tcPr>
            <w:tcW w:w="0" w:type="auto"/>
            <w:vAlign w:val="center"/>
          </w:tcPr>
          <w:p w:rsidR="000A156F" w:rsidRDefault="00A9721F">
            <w:pPr>
              <w:pStyle w:val="TableBodyText"/>
            </w:pPr>
            <w:r>
              <w:rPr>
                <w:i/>
              </w:rPr>
              <w:t>41</w:t>
            </w:r>
          </w:p>
        </w:tc>
        <w:tc>
          <w:tcPr>
            <w:tcW w:w="0" w:type="auto"/>
            <w:vAlign w:val="center"/>
          </w:tcPr>
          <w:p w:rsidR="000A156F" w:rsidRDefault="00A9721F">
            <w:pPr>
              <w:pStyle w:val="TableBodyText"/>
            </w:pPr>
            <w:r>
              <w:rPr>
                <w:i/>
              </w:rPr>
              <w:t>koreanDigital</w:t>
            </w:r>
          </w:p>
        </w:tc>
      </w:tr>
      <w:tr w:rsidR="000A156F" w:rsidTr="000A156F">
        <w:tc>
          <w:tcPr>
            <w:tcW w:w="0" w:type="auto"/>
            <w:vAlign w:val="center"/>
          </w:tcPr>
          <w:p w:rsidR="000A156F" w:rsidRDefault="00A9721F">
            <w:pPr>
              <w:pStyle w:val="TableBodyText"/>
            </w:pPr>
            <w:r>
              <w:rPr>
                <w:i/>
              </w:rPr>
              <w:t>42</w:t>
            </w:r>
          </w:p>
        </w:tc>
        <w:tc>
          <w:tcPr>
            <w:tcW w:w="0" w:type="auto"/>
            <w:vAlign w:val="center"/>
          </w:tcPr>
          <w:p w:rsidR="000A156F" w:rsidRDefault="00A9721F">
            <w:pPr>
              <w:pStyle w:val="TableBodyText"/>
            </w:pPr>
            <w:r>
              <w:rPr>
                <w:i/>
              </w:rPr>
              <w:t>koreanCounting</w:t>
            </w:r>
          </w:p>
        </w:tc>
      </w:tr>
      <w:tr w:rsidR="000A156F" w:rsidTr="000A156F">
        <w:tc>
          <w:tcPr>
            <w:tcW w:w="0" w:type="auto"/>
            <w:vAlign w:val="center"/>
          </w:tcPr>
          <w:p w:rsidR="000A156F" w:rsidRDefault="00A9721F">
            <w:pPr>
              <w:pStyle w:val="TableBodyText"/>
            </w:pPr>
            <w:r>
              <w:rPr>
                <w:i/>
              </w:rPr>
              <w:t>43</w:t>
            </w:r>
          </w:p>
        </w:tc>
        <w:tc>
          <w:tcPr>
            <w:tcW w:w="0" w:type="auto"/>
            <w:vAlign w:val="center"/>
          </w:tcPr>
          <w:p w:rsidR="000A156F" w:rsidRDefault="00A9721F">
            <w:pPr>
              <w:pStyle w:val="TableBodyText"/>
            </w:pPr>
            <w:r>
              <w:rPr>
                <w:i/>
              </w:rPr>
              <w:t>koreanLegal</w:t>
            </w:r>
          </w:p>
        </w:tc>
      </w:tr>
      <w:tr w:rsidR="000A156F" w:rsidTr="000A156F">
        <w:tc>
          <w:tcPr>
            <w:tcW w:w="0" w:type="auto"/>
            <w:vAlign w:val="center"/>
          </w:tcPr>
          <w:p w:rsidR="000A156F" w:rsidRDefault="00A9721F">
            <w:pPr>
              <w:pStyle w:val="TableBodyText"/>
            </w:pPr>
            <w:r>
              <w:rPr>
                <w:i/>
              </w:rPr>
              <w:t>44</w:t>
            </w:r>
          </w:p>
        </w:tc>
        <w:tc>
          <w:tcPr>
            <w:tcW w:w="0" w:type="auto"/>
            <w:vAlign w:val="center"/>
          </w:tcPr>
          <w:p w:rsidR="000A156F" w:rsidRDefault="00A9721F">
            <w:pPr>
              <w:pStyle w:val="TableBodyText"/>
            </w:pPr>
            <w:r>
              <w:rPr>
                <w:i/>
              </w:rPr>
              <w:t>koreanDigital2</w:t>
            </w:r>
          </w:p>
        </w:tc>
      </w:tr>
      <w:tr w:rsidR="000A156F" w:rsidTr="000A156F">
        <w:tc>
          <w:tcPr>
            <w:tcW w:w="0" w:type="auto"/>
            <w:vAlign w:val="center"/>
          </w:tcPr>
          <w:p w:rsidR="000A156F" w:rsidRDefault="00A9721F">
            <w:pPr>
              <w:pStyle w:val="TableBodyText"/>
            </w:pPr>
            <w:r>
              <w:rPr>
                <w:i/>
              </w:rPr>
              <w:t>45</w:t>
            </w:r>
          </w:p>
        </w:tc>
        <w:tc>
          <w:tcPr>
            <w:tcW w:w="0" w:type="auto"/>
            <w:vAlign w:val="center"/>
          </w:tcPr>
          <w:p w:rsidR="000A156F" w:rsidRDefault="00A9721F">
            <w:pPr>
              <w:pStyle w:val="TableBodyText"/>
            </w:pPr>
            <w:r>
              <w:rPr>
                <w:i/>
              </w:rPr>
              <w:t>hebrew1</w:t>
            </w:r>
          </w:p>
        </w:tc>
      </w:tr>
      <w:tr w:rsidR="000A156F" w:rsidTr="000A156F">
        <w:tc>
          <w:tcPr>
            <w:tcW w:w="0" w:type="auto"/>
            <w:vAlign w:val="center"/>
          </w:tcPr>
          <w:p w:rsidR="000A156F" w:rsidRDefault="00A9721F">
            <w:pPr>
              <w:pStyle w:val="TableBodyText"/>
            </w:pPr>
            <w:r>
              <w:rPr>
                <w:i/>
              </w:rPr>
              <w:t>46</w:t>
            </w:r>
          </w:p>
        </w:tc>
        <w:tc>
          <w:tcPr>
            <w:tcW w:w="0" w:type="auto"/>
            <w:vAlign w:val="center"/>
          </w:tcPr>
          <w:p w:rsidR="000A156F" w:rsidRDefault="00A9721F">
            <w:pPr>
              <w:pStyle w:val="TableBodyText"/>
            </w:pPr>
            <w:r>
              <w:rPr>
                <w:i/>
              </w:rPr>
              <w:t>arabicAlpha</w:t>
            </w:r>
          </w:p>
        </w:tc>
      </w:tr>
      <w:tr w:rsidR="000A156F" w:rsidTr="000A156F">
        <w:tc>
          <w:tcPr>
            <w:tcW w:w="0" w:type="auto"/>
            <w:vAlign w:val="center"/>
          </w:tcPr>
          <w:p w:rsidR="000A156F" w:rsidRDefault="00A9721F">
            <w:pPr>
              <w:pStyle w:val="TableBodyText"/>
            </w:pPr>
            <w:r>
              <w:rPr>
                <w:i/>
              </w:rPr>
              <w:t>47</w:t>
            </w:r>
          </w:p>
        </w:tc>
        <w:tc>
          <w:tcPr>
            <w:tcW w:w="0" w:type="auto"/>
            <w:vAlign w:val="center"/>
          </w:tcPr>
          <w:p w:rsidR="000A156F" w:rsidRDefault="00A9721F">
            <w:pPr>
              <w:pStyle w:val="TableBodyText"/>
            </w:pPr>
            <w:r>
              <w:rPr>
                <w:i/>
              </w:rPr>
              <w:t>hebrew2</w:t>
            </w:r>
          </w:p>
        </w:tc>
      </w:tr>
      <w:tr w:rsidR="000A156F" w:rsidTr="000A156F">
        <w:tc>
          <w:tcPr>
            <w:tcW w:w="0" w:type="auto"/>
            <w:vAlign w:val="center"/>
          </w:tcPr>
          <w:p w:rsidR="000A156F" w:rsidRDefault="00A9721F">
            <w:pPr>
              <w:pStyle w:val="TableBodyText"/>
            </w:pPr>
            <w:r>
              <w:rPr>
                <w:i/>
              </w:rPr>
              <w:t>48</w:t>
            </w:r>
          </w:p>
        </w:tc>
        <w:tc>
          <w:tcPr>
            <w:tcW w:w="0" w:type="auto"/>
            <w:vAlign w:val="center"/>
          </w:tcPr>
          <w:p w:rsidR="000A156F" w:rsidRDefault="00A9721F">
            <w:pPr>
              <w:pStyle w:val="TableBodyText"/>
            </w:pPr>
            <w:r>
              <w:rPr>
                <w:i/>
              </w:rPr>
              <w:t>arabicAbjad</w:t>
            </w:r>
          </w:p>
        </w:tc>
      </w:tr>
      <w:tr w:rsidR="000A156F" w:rsidTr="000A156F">
        <w:tc>
          <w:tcPr>
            <w:tcW w:w="0" w:type="auto"/>
            <w:vAlign w:val="center"/>
          </w:tcPr>
          <w:p w:rsidR="000A156F" w:rsidRDefault="00A9721F">
            <w:pPr>
              <w:pStyle w:val="TableBodyText"/>
            </w:pPr>
            <w:r>
              <w:rPr>
                <w:i/>
              </w:rPr>
              <w:t>49</w:t>
            </w:r>
          </w:p>
        </w:tc>
        <w:tc>
          <w:tcPr>
            <w:tcW w:w="0" w:type="auto"/>
            <w:vAlign w:val="center"/>
          </w:tcPr>
          <w:p w:rsidR="000A156F" w:rsidRDefault="00A9721F">
            <w:pPr>
              <w:pStyle w:val="TableBodyText"/>
            </w:pPr>
            <w:r>
              <w:rPr>
                <w:i/>
              </w:rPr>
              <w:t>hindiVowels</w:t>
            </w:r>
          </w:p>
        </w:tc>
      </w:tr>
      <w:tr w:rsidR="000A156F" w:rsidTr="000A156F">
        <w:tc>
          <w:tcPr>
            <w:tcW w:w="0" w:type="auto"/>
            <w:vAlign w:val="center"/>
          </w:tcPr>
          <w:p w:rsidR="000A156F" w:rsidRDefault="00A9721F">
            <w:pPr>
              <w:pStyle w:val="TableBodyText"/>
            </w:pPr>
            <w:r>
              <w:rPr>
                <w:i/>
              </w:rPr>
              <w:t>50</w:t>
            </w:r>
          </w:p>
        </w:tc>
        <w:tc>
          <w:tcPr>
            <w:tcW w:w="0" w:type="auto"/>
            <w:vAlign w:val="center"/>
          </w:tcPr>
          <w:p w:rsidR="000A156F" w:rsidRDefault="00A9721F">
            <w:pPr>
              <w:pStyle w:val="TableBodyText"/>
            </w:pPr>
            <w:r>
              <w:rPr>
                <w:i/>
              </w:rPr>
              <w:t>hindiConsonants</w:t>
            </w:r>
          </w:p>
        </w:tc>
      </w:tr>
      <w:tr w:rsidR="000A156F" w:rsidTr="000A156F">
        <w:tc>
          <w:tcPr>
            <w:tcW w:w="0" w:type="auto"/>
            <w:vAlign w:val="center"/>
          </w:tcPr>
          <w:p w:rsidR="000A156F" w:rsidRDefault="00A9721F">
            <w:pPr>
              <w:pStyle w:val="TableBodyText"/>
            </w:pPr>
            <w:r>
              <w:rPr>
                <w:i/>
              </w:rPr>
              <w:t>51</w:t>
            </w:r>
          </w:p>
        </w:tc>
        <w:tc>
          <w:tcPr>
            <w:tcW w:w="0" w:type="auto"/>
            <w:vAlign w:val="center"/>
          </w:tcPr>
          <w:p w:rsidR="000A156F" w:rsidRDefault="00A9721F">
            <w:pPr>
              <w:pStyle w:val="TableBodyText"/>
            </w:pPr>
            <w:r>
              <w:rPr>
                <w:i/>
              </w:rPr>
              <w:t>hindiNumbers</w:t>
            </w:r>
          </w:p>
        </w:tc>
      </w:tr>
      <w:tr w:rsidR="000A156F" w:rsidTr="000A156F">
        <w:tc>
          <w:tcPr>
            <w:tcW w:w="0" w:type="auto"/>
            <w:vAlign w:val="center"/>
          </w:tcPr>
          <w:p w:rsidR="000A156F" w:rsidRDefault="00A9721F">
            <w:pPr>
              <w:pStyle w:val="TableBodyText"/>
            </w:pPr>
            <w:r>
              <w:rPr>
                <w:i/>
              </w:rPr>
              <w:t>52</w:t>
            </w:r>
          </w:p>
        </w:tc>
        <w:tc>
          <w:tcPr>
            <w:tcW w:w="0" w:type="auto"/>
            <w:vAlign w:val="center"/>
          </w:tcPr>
          <w:p w:rsidR="000A156F" w:rsidRDefault="00A9721F">
            <w:pPr>
              <w:pStyle w:val="TableBodyText"/>
            </w:pPr>
            <w:r>
              <w:rPr>
                <w:i/>
              </w:rPr>
              <w:t>hindiCounting</w:t>
            </w:r>
          </w:p>
        </w:tc>
      </w:tr>
      <w:tr w:rsidR="000A156F" w:rsidTr="000A156F">
        <w:tc>
          <w:tcPr>
            <w:tcW w:w="0" w:type="auto"/>
            <w:vAlign w:val="center"/>
          </w:tcPr>
          <w:p w:rsidR="000A156F" w:rsidRDefault="00A9721F">
            <w:pPr>
              <w:pStyle w:val="TableBodyText"/>
            </w:pPr>
            <w:r>
              <w:rPr>
                <w:i/>
              </w:rPr>
              <w:t>53</w:t>
            </w:r>
          </w:p>
        </w:tc>
        <w:tc>
          <w:tcPr>
            <w:tcW w:w="0" w:type="auto"/>
            <w:vAlign w:val="center"/>
          </w:tcPr>
          <w:p w:rsidR="000A156F" w:rsidRDefault="00A9721F">
            <w:pPr>
              <w:pStyle w:val="TableBodyText"/>
            </w:pPr>
            <w:r>
              <w:rPr>
                <w:i/>
              </w:rPr>
              <w:t>thaiLetters</w:t>
            </w:r>
          </w:p>
        </w:tc>
      </w:tr>
      <w:tr w:rsidR="000A156F" w:rsidTr="000A156F">
        <w:tc>
          <w:tcPr>
            <w:tcW w:w="0" w:type="auto"/>
            <w:vAlign w:val="center"/>
          </w:tcPr>
          <w:p w:rsidR="000A156F" w:rsidRDefault="00A9721F">
            <w:pPr>
              <w:pStyle w:val="TableBodyText"/>
            </w:pPr>
            <w:r>
              <w:rPr>
                <w:i/>
              </w:rPr>
              <w:t>54</w:t>
            </w:r>
          </w:p>
        </w:tc>
        <w:tc>
          <w:tcPr>
            <w:tcW w:w="0" w:type="auto"/>
            <w:vAlign w:val="center"/>
          </w:tcPr>
          <w:p w:rsidR="000A156F" w:rsidRDefault="00A9721F">
            <w:pPr>
              <w:pStyle w:val="TableBodyText"/>
            </w:pPr>
            <w:r>
              <w:rPr>
                <w:i/>
              </w:rPr>
              <w:t>thaiNumbers</w:t>
            </w:r>
          </w:p>
        </w:tc>
      </w:tr>
      <w:tr w:rsidR="000A156F" w:rsidTr="000A156F">
        <w:tc>
          <w:tcPr>
            <w:tcW w:w="0" w:type="auto"/>
            <w:vAlign w:val="center"/>
          </w:tcPr>
          <w:p w:rsidR="000A156F" w:rsidRDefault="00A9721F">
            <w:pPr>
              <w:pStyle w:val="TableBodyText"/>
            </w:pPr>
            <w:r>
              <w:rPr>
                <w:i/>
              </w:rPr>
              <w:t>55</w:t>
            </w:r>
          </w:p>
        </w:tc>
        <w:tc>
          <w:tcPr>
            <w:tcW w:w="0" w:type="auto"/>
            <w:vAlign w:val="center"/>
          </w:tcPr>
          <w:p w:rsidR="000A156F" w:rsidRDefault="00A9721F">
            <w:pPr>
              <w:pStyle w:val="TableBodyText"/>
            </w:pPr>
            <w:r>
              <w:rPr>
                <w:i/>
              </w:rPr>
              <w:t>thaiCounting</w:t>
            </w:r>
          </w:p>
        </w:tc>
      </w:tr>
      <w:tr w:rsidR="000A156F" w:rsidTr="000A156F">
        <w:tc>
          <w:tcPr>
            <w:tcW w:w="0" w:type="auto"/>
            <w:vAlign w:val="center"/>
          </w:tcPr>
          <w:p w:rsidR="000A156F" w:rsidRDefault="00A9721F">
            <w:pPr>
              <w:pStyle w:val="TableBodyText"/>
            </w:pPr>
            <w:r>
              <w:rPr>
                <w:i/>
              </w:rPr>
              <w:t>56</w:t>
            </w:r>
          </w:p>
        </w:tc>
        <w:tc>
          <w:tcPr>
            <w:tcW w:w="0" w:type="auto"/>
            <w:vAlign w:val="center"/>
          </w:tcPr>
          <w:p w:rsidR="000A156F" w:rsidRDefault="00A9721F">
            <w:pPr>
              <w:pStyle w:val="TableBodyText"/>
            </w:pPr>
            <w:r>
              <w:rPr>
                <w:i/>
              </w:rPr>
              <w:t>vietnameseCounting</w:t>
            </w:r>
          </w:p>
        </w:tc>
      </w:tr>
      <w:tr w:rsidR="000A156F" w:rsidTr="000A156F">
        <w:tc>
          <w:tcPr>
            <w:tcW w:w="0" w:type="auto"/>
            <w:vAlign w:val="center"/>
          </w:tcPr>
          <w:p w:rsidR="000A156F" w:rsidRDefault="00A9721F">
            <w:pPr>
              <w:pStyle w:val="TableBodyText"/>
            </w:pPr>
            <w:r>
              <w:rPr>
                <w:i/>
              </w:rPr>
              <w:t>57</w:t>
            </w:r>
          </w:p>
        </w:tc>
        <w:tc>
          <w:tcPr>
            <w:tcW w:w="0" w:type="auto"/>
            <w:vAlign w:val="center"/>
          </w:tcPr>
          <w:p w:rsidR="000A156F" w:rsidRDefault="00A9721F">
            <w:pPr>
              <w:pStyle w:val="TableBodyText"/>
            </w:pPr>
            <w:r>
              <w:rPr>
                <w:i/>
              </w:rPr>
              <w:t>numberInDash</w:t>
            </w:r>
          </w:p>
        </w:tc>
      </w:tr>
      <w:tr w:rsidR="000A156F" w:rsidTr="000A156F">
        <w:tc>
          <w:tcPr>
            <w:tcW w:w="0" w:type="auto"/>
            <w:vAlign w:val="center"/>
          </w:tcPr>
          <w:p w:rsidR="000A156F" w:rsidRDefault="00A9721F">
            <w:pPr>
              <w:pStyle w:val="TableBodyText"/>
            </w:pPr>
            <w:r>
              <w:rPr>
                <w:i/>
              </w:rPr>
              <w:t>58</w:t>
            </w:r>
          </w:p>
        </w:tc>
        <w:tc>
          <w:tcPr>
            <w:tcW w:w="0" w:type="auto"/>
            <w:vAlign w:val="center"/>
          </w:tcPr>
          <w:p w:rsidR="000A156F" w:rsidRDefault="00A9721F">
            <w:pPr>
              <w:pStyle w:val="TableBodyText"/>
            </w:pPr>
            <w:r>
              <w:rPr>
                <w:i/>
              </w:rPr>
              <w:t>russianLower</w:t>
            </w:r>
          </w:p>
        </w:tc>
      </w:tr>
      <w:tr w:rsidR="000A156F" w:rsidTr="000A156F">
        <w:tc>
          <w:tcPr>
            <w:tcW w:w="0" w:type="auto"/>
            <w:vAlign w:val="center"/>
          </w:tcPr>
          <w:p w:rsidR="000A156F" w:rsidRDefault="00A9721F">
            <w:pPr>
              <w:pStyle w:val="TableBodyText"/>
            </w:pPr>
            <w:r>
              <w:rPr>
                <w:i/>
              </w:rPr>
              <w:t>59</w:t>
            </w:r>
          </w:p>
        </w:tc>
        <w:tc>
          <w:tcPr>
            <w:tcW w:w="0" w:type="auto"/>
            <w:vAlign w:val="center"/>
          </w:tcPr>
          <w:p w:rsidR="000A156F" w:rsidRDefault="00A9721F">
            <w:pPr>
              <w:pStyle w:val="TableBodyText"/>
            </w:pPr>
            <w:r>
              <w:rPr>
                <w:i/>
              </w:rPr>
              <w:t>russianUpper</w:t>
            </w:r>
          </w:p>
        </w:tc>
      </w:tr>
      <w:tr w:rsidR="000A156F" w:rsidTr="000A156F">
        <w:tc>
          <w:tcPr>
            <w:tcW w:w="0" w:type="auto"/>
            <w:vAlign w:val="center"/>
          </w:tcPr>
          <w:p w:rsidR="000A156F" w:rsidRDefault="00A9721F">
            <w:pPr>
              <w:pStyle w:val="TableBodyText"/>
            </w:pPr>
            <w:r>
              <w:rPr>
                <w:i/>
              </w:rPr>
              <w:t>60</w:t>
            </w:r>
            <w:r>
              <w:t xml:space="preserve"> or higher</w:t>
            </w:r>
          </w:p>
        </w:tc>
        <w:tc>
          <w:tcPr>
            <w:tcW w:w="0" w:type="auto"/>
            <w:vAlign w:val="center"/>
          </w:tcPr>
          <w:p w:rsidR="000A156F" w:rsidRDefault="00A9721F">
            <w:pPr>
              <w:pStyle w:val="TableBodyText"/>
            </w:pPr>
            <w:r>
              <w:t>Application-defined. May be ignored.</w:t>
            </w:r>
          </w:p>
        </w:tc>
      </w:tr>
    </w:tbl>
    <w:p w:rsidR="000A156F" w:rsidRDefault="000A156F"/>
    <w:p w:rsidR="000A156F" w:rsidRDefault="00A9721F">
      <w:pPr>
        <w:pStyle w:val="Definition-Field"/>
      </w:pPr>
      <w:r>
        <w:t xml:space="preserve">b.   </w:t>
      </w:r>
      <w:r>
        <w:rPr>
          <w:i/>
        </w:rPr>
        <w:t>The standard does not state how to interpret a pair of consecutive percent characters in the value of the original attribute.</w:t>
      </w:r>
    </w:p>
    <w:p w:rsidR="000A156F" w:rsidRDefault="00A9721F">
      <w:pPr>
        <w:pStyle w:val="Definition-Field2"/>
      </w:pPr>
      <w:r>
        <w:t>Word treats a pair of consecutive percent characters in this attribute as a single per</w:t>
      </w:r>
      <w:r>
        <w:t>cent character.</w:t>
      </w:r>
    </w:p>
    <w:p w:rsidR="000A156F" w:rsidRDefault="00A9721F">
      <w:pPr>
        <w:pStyle w:val="Definition-Field"/>
      </w:pPr>
      <w:r>
        <w:t xml:space="preserve">c.   </w:t>
      </w:r>
      <w:r>
        <w:rPr>
          <w:i/>
        </w:rPr>
        <w:t>The standard does not restrict the length of the original attribute.</w:t>
      </w:r>
    </w:p>
    <w:p w:rsidR="000A156F" w:rsidRDefault="00A9721F">
      <w:pPr>
        <w:pStyle w:val="Definition-Field2"/>
      </w:pPr>
      <w:r>
        <w:t>Word requires that the total length of original, omitting all instances of nfc_value and numbering_format and all ':' characters used to separate the pieces of the nu</w:t>
      </w:r>
      <w:r>
        <w:t>mber level definitions, shall be at most 31 characters.</w:t>
      </w:r>
    </w:p>
    <w:p w:rsidR="000A156F" w:rsidRDefault="00A9721F">
      <w:pPr>
        <w:pStyle w:val="Heading3"/>
      </w:pPr>
      <w:bookmarkStart w:id="3567" w:name="section_b1d3a78aad5a41ed917f29cbeaa2c9bc"/>
      <w:bookmarkStart w:id="3568" w:name="_Toc181684809"/>
      <w:r>
        <w:lastRenderedPageBreak/>
        <w:t>Part 4 Section 14.8.2.1, hdrShapeDefaults (Default Properties for VML Objects in Header and Footer)</w:t>
      </w:r>
      <w:bookmarkEnd w:id="3567"/>
      <w:bookmarkEnd w:id="3568"/>
      <w:r>
        <w:fldChar w:fldCharType="begin"/>
      </w:r>
      <w:r>
        <w:instrText xml:space="preserve"> XE "hdrShapeDefaults (Default Properties for VML Objects in Header and Footer)" </w:instrText>
      </w:r>
      <w:r>
        <w:fldChar w:fldCharType="end"/>
      </w:r>
    </w:p>
    <w:p w:rsidR="000A156F" w:rsidRDefault="00A9721F">
      <w:pPr>
        <w:pStyle w:val="Definition-Field"/>
      </w:pPr>
      <w:r>
        <w:t xml:space="preserve">a.   </w:t>
      </w:r>
      <w:r>
        <w:rPr>
          <w:i/>
        </w:rPr>
        <w:t>The standard</w:t>
      </w:r>
      <w:r>
        <w:rPr>
          <w:i/>
        </w:rPr>
        <w:t xml:space="preserve"> states that any element from the VML namespace is a valid child element of the hdrShapeDefaults element.</w:t>
      </w:r>
    </w:p>
    <w:p w:rsidR="000A156F" w:rsidRDefault="00A9721F">
      <w:pPr>
        <w:pStyle w:val="Definition-Field2"/>
      </w:pPr>
      <w:r>
        <w:t>Word only allows the shapedefaults and shapelayout elements from the VML namespace to be child elements of the hdrShapeDefaults element.</w:t>
      </w:r>
    </w:p>
    <w:p w:rsidR="000A156F" w:rsidRDefault="00A9721F">
      <w:pPr>
        <w:pStyle w:val="Heading3"/>
      </w:pPr>
      <w:bookmarkStart w:id="3569" w:name="section_8721f65882524c32965b4c04fdc5a2eb"/>
      <w:bookmarkStart w:id="3570" w:name="_Toc181684810"/>
      <w:r>
        <w:t>Part 4 Sectio</w:t>
      </w:r>
      <w:r>
        <w:t>n 14.8.2.2, shapeDefaults (Default Properties for VML Objects in Main Document)</w:t>
      </w:r>
      <w:bookmarkEnd w:id="3569"/>
      <w:bookmarkEnd w:id="3570"/>
      <w:r>
        <w:fldChar w:fldCharType="begin"/>
      </w:r>
      <w:r>
        <w:instrText xml:space="preserve"> XE "shapeDefaults (Default Properties for VML Objects in Main Document)" </w:instrText>
      </w:r>
      <w:r>
        <w:fldChar w:fldCharType="end"/>
      </w:r>
    </w:p>
    <w:p w:rsidR="000A156F" w:rsidRDefault="00A9721F">
      <w:pPr>
        <w:pStyle w:val="Definition-Field"/>
      </w:pPr>
      <w:r>
        <w:t xml:space="preserve">a.   </w:t>
      </w:r>
      <w:r>
        <w:rPr>
          <w:i/>
        </w:rPr>
        <w:t>The standard states that any element from the VML namespace is a valid child of the shapeDefaul</w:t>
      </w:r>
      <w:r>
        <w:rPr>
          <w:i/>
        </w:rPr>
        <w:t>ts element.</w:t>
      </w:r>
    </w:p>
    <w:p w:rsidR="000A156F" w:rsidRDefault="00A9721F">
      <w:pPr>
        <w:pStyle w:val="Definition-Field2"/>
      </w:pPr>
      <w:r>
        <w:t>Word only allows the shapedefaults and shapelayout elements from the VML namespace to be child elements of the shapeDefaults element.</w:t>
      </w:r>
    </w:p>
    <w:p w:rsidR="000A156F" w:rsidRDefault="00A9721F">
      <w:pPr>
        <w:pStyle w:val="Heading3"/>
      </w:pPr>
      <w:bookmarkStart w:id="3571" w:name="section_effb5b24826144ae9742ccf290c462ac"/>
      <w:bookmarkStart w:id="3572" w:name="_Toc181684811"/>
      <w:r>
        <w:t>Part 4 Section 14.8.2.5, Additional attributes for writeProtection element (Part 1, 17.15.1.93)</w:t>
      </w:r>
      <w:bookmarkEnd w:id="3571"/>
      <w:bookmarkEnd w:id="3572"/>
      <w:r>
        <w:fldChar w:fldCharType="begin"/>
      </w:r>
      <w:r>
        <w:instrText xml:space="preserve"> XE "Additional</w:instrText>
      </w:r>
      <w:r>
        <w:instrText xml:space="preserve"> attributes for writeProtection element (Part 1 - 17.15.1.93)" </w:instrText>
      </w:r>
      <w:r>
        <w:fldChar w:fldCharType="end"/>
      </w:r>
    </w:p>
    <w:p w:rsidR="000A156F" w:rsidRDefault="00A9721F">
      <w:pPr>
        <w:pStyle w:val="Definition-Field"/>
      </w:pPr>
      <w:r>
        <w:t xml:space="preserve">a.   </w:t>
      </w:r>
      <w:r>
        <w:rPr>
          <w:i/>
        </w:rPr>
        <w:t>The standard specifies additional attributes for the writeProtection element.</w:t>
      </w:r>
    </w:p>
    <w:p w:rsidR="000A156F" w:rsidRDefault="00A9721F">
      <w:pPr>
        <w:pStyle w:val="Definition-Field2"/>
      </w:pPr>
      <w:r>
        <w:t xml:space="preserve">Word ignores the additional attributes (algorithmName, hasValue, saltValue, and spinCount) when attributes </w:t>
      </w:r>
      <w:r>
        <w:t>from "</w:t>
      </w:r>
      <w:hyperlink r:id="rId247">
        <w:r>
          <w:rPr>
            <w:rStyle w:val="Hyperlink"/>
          </w:rPr>
          <w:t>[ISO/IEC-29500-1]</w:t>
        </w:r>
      </w:hyperlink>
      <w:r>
        <w:t xml:space="preserve"> §17.15.1.93; writeProtection" are present.</w:t>
      </w:r>
    </w:p>
    <w:p w:rsidR="000A156F" w:rsidRDefault="00A9721F">
      <w:pPr>
        <w:pStyle w:val="Heading3"/>
      </w:pPr>
      <w:bookmarkStart w:id="3573" w:name="section_69facb4b222641c0a77ad9fcabebd0ea"/>
      <w:bookmarkStart w:id="3574" w:name="_Toc181684812"/>
      <w:r>
        <w:t>Part 4 Section 14.8.3.6, convMailMergeEsc (Treat Backslash Quotation Delimiter as Two Quotation Marks)</w:t>
      </w:r>
      <w:bookmarkEnd w:id="3573"/>
      <w:bookmarkEnd w:id="3574"/>
      <w:r>
        <w:fldChar w:fldCharType="begin"/>
      </w:r>
      <w:r>
        <w:instrText xml:space="preserve"> XE "convMailMergeEsc</w:instrText>
      </w:r>
      <w:r>
        <w:instrText xml:space="preserve"> (Treat Backslash Quotation Delimiter as Two Quotation Marks)" </w:instrText>
      </w:r>
      <w:r>
        <w:fldChar w:fldCharType="end"/>
      </w:r>
    </w:p>
    <w:p w:rsidR="000A156F" w:rsidRDefault="00A9721F">
      <w:pPr>
        <w:pStyle w:val="Definition-Field"/>
      </w:pPr>
      <w:r>
        <w:t xml:space="preserve">a.   </w:t>
      </w:r>
      <w:r>
        <w:rPr>
          <w:i/>
        </w:rPr>
        <w:t>The standard states that applications shall interpret delimiters composed of a backslash and quotation mark (\") as two quotation marks ("").</w:t>
      </w:r>
    </w:p>
    <w:p w:rsidR="000A156F" w:rsidRDefault="00A9721F">
      <w:pPr>
        <w:pStyle w:val="Definition-Field2"/>
      </w:pPr>
      <w:r>
        <w:t>Word interprets delimiters composed of a ba</w:t>
      </w:r>
      <w:r>
        <w:t>ckslash and quotation mark (\") as a single quotation mark (").</w:t>
      </w:r>
    </w:p>
    <w:p w:rsidR="000A156F" w:rsidRDefault="00A9721F">
      <w:pPr>
        <w:pStyle w:val="Definition-Field"/>
      </w:pPr>
      <w:r>
        <w:t xml:space="preserve">b.   </w:t>
      </w:r>
      <w:r>
        <w:rPr>
          <w:i/>
        </w:rPr>
        <w:t>The standard does not state any constraints for the usage of this property.</w:t>
      </w:r>
    </w:p>
    <w:p w:rsidR="000A156F" w:rsidRDefault="00A9721F">
      <w:pPr>
        <w:pStyle w:val="Definition-Field2"/>
      </w:pPr>
      <w:r>
        <w:t>Word only uses this property in the document that serves as the external data source to be a WordprocessingML d</w:t>
      </w:r>
      <w:r>
        <w:t>ocument through an ODSO connection.</w:t>
      </w:r>
    </w:p>
    <w:p w:rsidR="000A156F" w:rsidRDefault="00A9721F">
      <w:pPr>
        <w:pStyle w:val="Heading3"/>
      </w:pPr>
      <w:bookmarkStart w:id="3575" w:name="section_491140ac216d46eda8797b430b295e95"/>
      <w:bookmarkStart w:id="3576" w:name="_Toc181684813"/>
      <w:r>
        <w:t>Part 4 Section 14.8.3.8, doNotAutofitConstrainedTables (Do Not AutoFit Tables To Fit Next To Wrapped Objects)</w:t>
      </w:r>
      <w:bookmarkEnd w:id="3575"/>
      <w:bookmarkEnd w:id="3576"/>
      <w:r>
        <w:fldChar w:fldCharType="begin"/>
      </w:r>
      <w:r>
        <w:instrText xml:space="preserve"> XE "doNotAutofitConstrainedTables (Do Not AutoFit Tables To Fit Next To Wrapped Objects)" </w:instrText>
      </w:r>
      <w:r>
        <w:fldChar w:fldCharType="end"/>
      </w:r>
    </w:p>
    <w:p w:rsidR="000A156F" w:rsidRDefault="00A9721F">
      <w:pPr>
        <w:pStyle w:val="Definition-Field"/>
      </w:pPr>
      <w:r>
        <w:t xml:space="preserve">a.   </w:t>
      </w:r>
      <w:r>
        <w:rPr>
          <w:i/>
        </w:rPr>
        <w:t>The standard</w:t>
      </w:r>
      <w:r>
        <w:rPr>
          <w:i/>
        </w:rPr>
        <w:t xml:space="preserve"> states that a table that is AutoFit and has a preferred width typically has its width reduced in order to allow a floating shape to wrap.</w:t>
      </w:r>
    </w:p>
    <w:p w:rsidR="000A156F" w:rsidRDefault="00A9721F">
      <w:pPr>
        <w:pStyle w:val="Definition-Field2"/>
      </w:pPr>
      <w:r>
        <w:t>Word only reduces the width of tables that have no preferred width in order to allow a floating shape to wrap.</w:t>
      </w:r>
    </w:p>
    <w:p w:rsidR="000A156F" w:rsidRDefault="00A9721F">
      <w:pPr>
        <w:pStyle w:val="Definition-Field"/>
      </w:pPr>
      <w:r>
        <w:t xml:space="preserve">b.   </w:t>
      </w:r>
      <w:r>
        <w:rPr>
          <w:i/>
        </w:rPr>
        <w:t>T</w:t>
      </w:r>
      <w:r>
        <w:rPr>
          <w:i/>
        </w:rPr>
        <w:t>he standard states that when this element is present with a val attribute value of true, tables shall never have any preferred width overridden to allow them to wrap.</w:t>
      </w:r>
    </w:p>
    <w:p w:rsidR="000A156F" w:rsidRDefault="00A9721F">
      <w:pPr>
        <w:pStyle w:val="Definition-Field2"/>
      </w:pPr>
      <w:r>
        <w:t xml:space="preserve">Word never allows tables to have their width reduced to allow them to wrap, even if they </w:t>
      </w:r>
      <w:r>
        <w:t>have no preferred width.</w:t>
      </w:r>
    </w:p>
    <w:p w:rsidR="000A156F" w:rsidRDefault="00A9721F">
      <w:pPr>
        <w:pStyle w:val="Heading3"/>
      </w:pPr>
      <w:bookmarkStart w:id="3577" w:name="section_22d6975fb6c24b2f95a821369e8deaa7"/>
      <w:bookmarkStart w:id="3578" w:name="_Toc181684814"/>
      <w:r>
        <w:lastRenderedPageBreak/>
        <w:t>Part 4 Section 14.8.3.13, doNotSuppressParagraphBorders (Do Not Suppress Paragraph Borders Next To Frames)</w:t>
      </w:r>
      <w:bookmarkEnd w:id="3577"/>
      <w:bookmarkEnd w:id="3578"/>
      <w:r>
        <w:fldChar w:fldCharType="begin"/>
      </w:r>
      <w:r>
        <w:instrText xml:space="preserve"> XE "doNotSuppressParagraphBorders (Do Not Suppress Paragraph Borders Next To Frames)" </w:instrText>
      </w:r>
      <w:r>
        <w:fldChar w:fldCharType="end"/>
      </w:r>
    </w:p>
    <w:p w:rsidR="000A156F" w:rsidRDefault="00A9721F">
      <w:pPr>
        <w:pStyle w:val="Definition-Field"/>
      </w:pPr>
      <w:r>
        <w:t xml:space="preserve">a.   </w:t>
      </w:r>
      <w:r>
        <w:rPr>
          <w:i/>
        </w:rPr>
        <w:t>The standard states that speci</w:t>
      </w:r>
      <w:r>
        <w:rPr>
          <w:i/>
        </w:rPr>
        <w:t>fic paragraph borders should not be suppressed if this setting is on.</w:t>
      </w:r>
    </w:p>
    <w:p w:rsidR="000A156F" w:rsidRDefault="00A9721F">
      <w:pPr>
        <w:pStyle w:val="Definition-Field2"/>
      </w:pPr>
      <w:r>
        <w:t>Word suppresses those paragraph borders when this setting is on unless the doNotSuppressIndentation setting is also on.</w:t>
      </w:r>
    </w:p>
    <w:p w:rsidR="000A156F" w:rsidRDefault="00A9721F">
      <w:pPr>
        <w:pStyle w:val="Heading3"/>
      </w:pPr>
      <w:bookmarkStart w:id="3579" w:name="section_dc83bfa3db214eb4b3c063b11f2575d3"/>
      <w:bookmarkStart w:id="3580" w:name="_Toc181684815"/>
      <w:r>
        <w:t>Part 4 Section 14.9.1.1, txbxContent (Rich Text Box Content Contai</w:t>
      </w:r>
      <w:r>
        <w:t>ner)</w:t>
      </w:r>
      <w:bookmarkEnd w:id="3579"/>
      <w:bookmarkEnd w:id="3580"/>
      <w:r>
        <w:fldChar w:fldCharType="begin"/>
      </w:r>
      <w:r>
        <w:instrText xml:space="preserve"> XE "txbxContent (Rich Text Box Content Container)"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0A156F" w:rsidRDefault="00A9721F">
      <w:pPr>
        <w:pStyle w:val="Definition-Field"/>
      </w:pPr>
      <w:r>
        <w:t xml:space="preserve">a.   </w:t>
      </w:r>
      <w:r>
        <w:rPr>
          <w:i/>
        </w:rPr>
        <w:t>The standard states that text box content can be placed inside endnotes, footnotes, comments, or other textboxes.</w:t>
      </w:r>
    </w:p>
    <w:p w:rsidR="000A156F" w:rsidRDefault="00A9721F">
      <w:pPr>
        <w:pStyle w:val="Definition-Field2"/>
      </w:pPr>
      <w:r>
        <w:t>Word does not allow textbox content inside endnotes, footnotes, commen</w:t>
      </w:r>
      <w:r>
        <w:t>ts, or other textboxes.</w:t>
      </w:r>
    </w:p>
    <w:p w:rsidR="000A156F" w:rsidRDefault="00A9721F">
      <w:pPr>
        <w:pStyle w:val="Definition-Field"/>
      </w:pPr>
      <w:r>
        <w:t xml:space="preserve">b.   </w:t>
      </w:r>
      <w:r>
        <w:rPr>
          <w:i/>
        </w:rPr>
        <w:t>The standard specifies this element as part of the WordprocessingML namespace.</w:t>
      </w:r>
    </w:p>
    <w:p w:rsidR="000A156F" w:rsidRDefault="00A9721F">
      <w:pPr>
        <w:pStyle w:val="Definition-Field2"/>
      </w:pPr>
      <w:r>
        <w:t>Word will save an mce choice for VML content.  txbxContent elements written in that choice will be written in with a namespace value of http://schem</w:t>
      </w:r>
      <w:r>
        <w:t>as.microsoft.com/office/word/2006/wordml.</w:t>
      </w:r>
    </w:p>
    <w:p w:rsidR="000A156F" w:rsidRDefault="00A9721F">
      <w:pPr>
        <w:pStyle w:val="Definition-Field2"/>
      </w:pPr>
      <w:r>
        <w:t>This note applies to the following products: Office 2013 Client (Strict), Office 2013 Server (Strict).</w:t>
      </w:r>
    </w:p>
    <w:p w:rsidR="000A156F" w:rsidRDefault="00A9721F">
      <w:pPr>
        <w:pStyle w:val="Heading3"/>
      </w:pPr>
      <w:bookmarkStart w:id="3581" w:name="section_ab0c2ca5b61542639ea03377b5329517"/>
      <w:bookmarkStart w:id="3582" w:name="_Toc181684816"/>
      <w:r>
        <w:t>Part 4 Section 14.10.4.1, AUTONUM</w:t>
      </w:r>
      <w:bookmarkEnd w:id="3581"/>
      <w:bookmarkEnd w:id="3582"/>
      <w:r>
        <w:fldChar w:fldCharType="begin"/>
      </w:r>
      <w:r>
        <w:instrText xml:space="preserve"> XE "AUTONUM" </w:instrText>
      </w:r>
      <w:r>
        <w:fldChar w:fldCharType="end"/>
      </w:r>
    </w:p>
    <w:p w:rsidR="000A156F" w:rsidRDefault="00A9721F">
      <w:pPr>
        <w:pStyle w:val="Definition-Field"/>
      </w:pPr>
      <w:r>
        <w:t xml:space="preserve">a.   </w:t>
      </w:r>
      <w:r>
        <w:rPr>
          <w:i/>
        </w:rPr>
        <w:t xml:space="preserve">The standard says the \s switch specifies the separator </w:t>
      </w:r>
      <w:r>
        <w:rPr>
          <w:i/>
        </w:rPr>
        <w:t>character to use in the field result.</w:t>
      </w:r>
    </w:p>
    <w:p w:rsidR="000A156F" w:rsidRDefault="00A9721F">
      <w:pPr>
        <w:pStyle w:val="Definition-Field2"/>
      </w:pPr>
      <w:r>
        <w:t>In Word, if the primary editing language is East Asian, then no separator character is used, even if the \s switch is used.</w:t>
      </w:r>
    </w:p>
    <w:p w:rsidR="000A156F" w:rsidRDefault="00A9721F">
      <w:pPr>
        <w:pStyle w:val="Definition-Field"/>
      </w:pPr>
      <w:r>
        <w:t xml:space="preserve">b.   </w:t>
      </w:r>
      <w:r>
        <w:rPr>
          <w:i/>
        </w:rPr>
        <w:t>The standard allows the AUTONUM field to be nested inside other fields.</w:t>
      </w:r>
    </w:p>
    <w:p w:rsidR="000A156F" w:rsidRDefault="00A9721F">
      <w:pPr>
        <w:pStyle w:val="Definition-Field2"/>
      </w:pPr>
      <w:r>
        <w:t>In Word, if the A</w:t>
      </w:r>
      <w:r>
        <w:t>UTONUM field is nested inside another field no result is displayed.</w:t>
      </w:r>
    </w:p>
    <w:p w:rsidR="000A156F" w:rsidRDefault="00A9721F">
      <w:pPr>
        <w:pStyle w:val="Heading3"/>
      </w:pPr>
      <w:bookmarkStart w:id="3583" w:name="section_35f9f6146f2f473e8f68b51ac0246a53"/>
      <w:bookmarkStart w:id="3584" w:name="_Toc181684817"/>
      <w:r>
        <w:t>Part 4 Section 14.10.4.2, AUTONUMLGL</w:t>
      </w:r>
      <w:bookmarkEnd w:id="3583"/>
      <w:bookmarkEnd w:id="3584"/>
      <w:r>
        <w:fldChar w:fldCharType="begin"/>
      </w:r>
      <w:r>
        <w:instrText xml:space="preserve"> XE "AUTONUMLGL" </w:instrText>
      </w:r>
      <w:r>
        <w:fldChar w:fldCharType="end"/>
      </w:r>
    </w:p>
    <w:p w:rsidR="000A156F" w:rsidRDefault="00A9721F">
      <w:pPr>
        <w:pStyle w:val="Definition-Field"/>
      </w:pPr>
      <w:r>
        <w:t xml:space="preserve">a.   </w:t>
      </w:r>
      <w:r>
        <w:rPr>
          <w:i/>
        </w:rPr>
        <w:t>The standard says the \s switch specifies the trailing separator to use.</w:t>
      </w:r>
    </w:p>
    <w:p w:rsidR="000A156F" w:rsidRDefault="00A9721F">
      <w:pPr>
        <w:pStyle w:val="Definition-Field2"/>
      </w:pPr>
      <w:r>
        <w:t>In Word, if the primary editing language is East Asian</w:t>
      </w:r>
      <w:r>
        <w:t>, then no trailing separator character is used even if the \s switch is specified.</w:t>
      </w:r>
    </w:p>
    <w:p w:rsidR="000A156F" w:rsidRDefault="00A9721F">
      <w:pPr>
        <w:pStyle w:val="Definition-Field"/>
      </w:pPr>
      <w:r>
        <w:t xml:space="preserve">b.   </w:t>
      </w:r>
      <w:r>
        <w:rPr>
          <w:i/>
        </w:rPr>
        <w:t>The standard allows the AUTONUMLGL field to be nested inside another field.</w:t>
      </w:r>
    </w:p>
    <w:p w:rsidR="000A156F" w:rsidRDefault="00A9721F">
      <w:pPr>
        <w:pStyle w:val="Definition-Field2"/>
      </w:pPr>
      <w:r>
        <w:t>In Word, if the AUTONUMLGL field is nested inside another field, no result is displayed.</w:t>
      </w:r>
    </w:p>
    <w:p w:rsidR="000A156F" w:rsidRDefault="00A9721F">
      <w:pPr>
        <w:pStyle w:val="Heading3"/>
      </w:pPr>
      <w:bookmarkStart w:id="3585" w:name="section_092c97b32d3444398583365f6a1bd7bf"/>
      <w:bookmarkStart w:id="3586" w:name="_Toc181684818"/>
      <w:r>
        <w:t>Part 4 Section 14.10.4.3, AUTONUMOUT</w:t>
      </w:r>
      <w:bookmarkEnd w:id="3585"/>
      <w:bookmarkEnd w:id="3586"/>
      <w:r>
        <w:fldChar w:fldCharType="begin"/>
      </w:r>
      <w:r>
        <w:instrText xml:space="preserve"> XE "AUTONUMOUT" </w:instrText>
      </w:r>
      <w:r>
        <w:fldChar w:fldCharType="end"/>
      </w:r>
    </w:p>
    <w:p w:rsidR="000A156F" w:rsidRDefault="00A9721F">
      <w:pPr>
        <w:pStyle w:val="Definition-Field"/>
      </w:pPr>
      <w:r>
        <w:t xml:space="preserve">a.   </w:t>
      </w:r>
      <w:r>
        <w:rPr>
          <w:i/>
        </w:rPr>
        <w:t>The standard allows the AUTONUMOUT field to be nested inside another field.</w:t>
      </w:r>
    </w:p>
    <w:p w:rsidR="000A156F" w:rsidRDefault="00A9721F">
      <w:pPr>
        <w:pStyle w:val="Definition-Field2"/>
      </w:pPr>
      <w:r>
        <w:t>In Word, if the AUTONUMOUT field is nested inside another field, no result is displayed.</w:t>
      </w:r>
    </w:p>
    <w:p w:rsidR="000A156F" w:rsidRDefault="00A9721F">
      <w:pPr>
        <w:pStyle w:val="Heading3"/>
      </w:pPr>
      <w:bookmarkStart w:id="3587" w:name="section_76e151b8985a4d058301dbf681ba84d1"/>
      <w:bookmarkStart w:id="3588" w:name="_Toc181684819"/>
      <w:r>
        <w:t>Part 4 Section 14.10.4.4, BARCODE</w:t>
      </w:r>
      <w:bookmarkEnd w:id="3587"/>
      <w:bookmarkEnd w:id="3588"/>
      <w:r>
        <w:fldChar w:fldCharType="begin"/>
      </w:r>
      <w:r>
        <w:instrText xml:space="preserve"> XE "BARCODE" </w:instrText>
      </w:r>
      <w:r>
        <w:fldChar w:fldCharType="end"/>
      </w:r>
    </w:p>
    <w:p w:rsidR="000A156F" w:rsidRDefault="00A9721F">
      <w:pPr>
        <w:pStyle w:val="Definition-Field"/>
      </w:pPr>
      <w:r>
        <w:t xml:space="preserve">a.   </w:t>
      </w:r>
      <w:r>
        <w:rPr>
          <w:i/>
        </w:rPr>
        <w:t>The standard allows the BARCODE field to be nested inside another field.</w:t>
      </w:r>
    </w:p>
    <w:p w:rsidR="000A156F" w:rsidRDefault="00A9721F">
      <w:pPr>
        <w:pStyle w:val="Definition-Field2"/>
      </w:pPr>
      <w:r>
        <w:t>In Word, if the BARCODE field is nested inside another field, no result is displayed.</w:t>
      </w:r>
    </w:p>
    <w:p w:rsidR="000A156F" w:rsidRDefault="00A9721F">
      <w:pPr>
        <w:pStyle w:val="Heading3"/>
      </w:pPr>
      <w:bookmarkStart w:id="3589" w:name="section_0180f12be6a54c2e8b69af24f35f9cb0"/>
      <w:bookmarkStart w:id="3590" w:name="_Toc181684820"/>
      <w:r>
        <w:lastRenderedPageBreak/>
        <w:t>Part 4 Section 14.10.4.5, BIDIOUTLINE</w:t>
      </w:r>
      <w:bookmarkEnd w:id="3589"/>
      <w:bookmarkEnd w:id="3590"/>
      <w:r>
        <w:fldChar w:fldCharType="begin"/>
      </w:r>
      <w:r>
        <w:instrText xml:space="preserve"> XE "</w:instrText>
      </w:r>
      <w:r>
        <w:instrText xml:space="preserve">BIDIOUTLINE" </w:instrText>
      </w:r>
      <w:r>
        <w:fldChar w:fldCharType="end"/>
      </w:r>
    </w:p>
    <w:p w:rsidR="000A156F" w:rsidRDefault="00A9721F">
      <w:pPr>
        <w:pStyle w:val="Definition-Field"/>
      </w:pPr>
      <w:r>
        <w:t xml:space="preserve">a.   </w:t>
      </w:r>
      <w:r>
        <w:rPr>
          <w:i/>
        </w:rPr>
        <w:t>The standard does not specify when to use Arabic numbering or Hebrew numbering for the BIDIOUTLINE field.</w:t>
      </w:r>
    </w:p>
    <w:p w:rsidR="000A156F" w:rsidRDefault="00A9721F">
      <w:pPr>
        <w:pStyle w:val="Definition-Field2"/>
      </w:pPr>
      <w:r>
        <w:t xml:space="preserve">In Word, if no right-to-left editing language is enabled, no result is displayed. If Hebrew is enabled, then Hebrew numbering is </w:t>
      </w:r>
      <w:r>
        <w:t>used, otherwise Arabic numbering is used.</w:t>
      </w:r>
    </w:p>
    <w:p w:rsidR="000A156F" w:rsidRDefault="00A9721F">
      <w:pPr>
        <w:pStyle w:val="Definition-Field"/>
      </w:pPr>
      <w:r>
        <w:t xml:space="preserve">b.   </w:t>
      </w:r>
      <w:r>
        <w:rPr>
          <w:i/>
        </w:rPr>
        <w:t>The standard allows the BIDIOUTLINE field to be nested inside another field.</w:t>
      </w:r>
    </w:p>
    <w:p w:rsidR="000A156F" w:rsidRDefault="00A9721F">
      <w:pPr>
        <w:pStyle w:val="Definition-Field2"/>
      </w:pPr>
      <w:r>
        <w:t>In Word, if the BIDIOUTLINE field is nested inside another field, no result is displayed.</w:t>
      </w:r>
    </w:p>
    <w:p w:rsidR="000A156F" w:rsidRDefault="00A9721F">
      <w:pPr>
        <w:pStyle w:val="Heading3"/>
      </w:pPr>
      <w:bookmarkStart w:id="3591" w:name="section_1116487233dd4c56b88f1fefc6858094"/>
      <w:bookmarkStart w:id="3592" w:name="_Toc181684821"/>
      <w:r>
        <w:t>Part 4 Section 14.10.4.6, EQ</w:t>
      </w:r>
      <w:bookmarkEnd w:id="3591"/>
      <w:bookmarkEnd w:id="3592"/>
      <w:r>
        <w:fldChar w:fldCharType="begin"/>
      </w:r>
      <w:r>
        <w:instrText xml:space="preserve"> XE "EQ" </w:instrText>
      </w:r>
      <w:r>
        <w:fldChar w:fldCharType="end"/>
      </w:r>
    </w:p>
    <w:p w:rsidR="000A156F" w:rsidRDefault="00A9721F">
      <w:pPr>
        <w:pStyle w:val="Definition-Field"/>
      </w:pPr>
      <w:r>
        <w:t>a.</w:t>
      </w:r>
      <w:r>
        <w:t xml:space="preserve">   </w:t>
      </w:r>
      <w:r>
        <w:rPr>
          <w:i/>
        </w:rPr>
        <w:t>The standard does not specify what the default alignment is for the \a switch.</w:t>
      </w:r>
    </w:p>
    <w:p w:rsidR="000A156F" w:rsidRDefault="00A9721F">
      <w:pPr>
        <w:pStyle w:val="Definition-Field2"/>
      </w:pPr>
      <w:r>
        <w:t>In Word, the default alignment for the \a switch is center alignment.</w:t>
      </w:r>
    </w:p>
    <w:p w:rsidR="000A156F" w:rsidRDefault="00A9721F">
      <w:pPr>
        <w:pStyle w:val="Definition-Field"/>
      </w:pPr>
      <w:r>
        <w:t xml:space="preserve">b.   </w:t>
      </w:r>
      <w:r>
        <w:rPr>
          <w:i/>
        </w:rPr>
        <w:t>The standard says that the \o switch allows switches \ac, \al, and \ar.</w:t>
      </w:r>
    </w:p>
    <w:p w:rsidR="000A156F" w:rsidRDefault="00A9721F">
      <w:pPr>
        <w:pStyle w:val="Definition-Field2"/>
      </w:pPr>
      <w:r>
        <w:t>In Word, the \o switch allo</w:t>
      </w:r>
      <w:r>
        <w:t>ws switches \ac, \al, \ar, and \ad, where the \ad switch specifies justified alignment of the character boxes.</w:t>
      </w:r>
    </w:p>
    <w:p w:rsidR="000A156F" w:rsidRDefault="00A9721F">
      <w:pPr>
        <w:pStyle w:val="Definition-Field"/>
      </w:pPr>
      <w:r>
        <w:t xml:space="preserve">c.   </w:t>
      </w:r>
      <w:r>
        <w:rPr>
          <w:i/>
        </w:rPr>
        <w:t>The standard says that for the \s switch, default for \ai switch is 2 points and no default is listed for \up switch.</w:t>
      </w:r>
    </w:p>
    <w:p w:rsidR="000A156F" w:rsidRDefault="00A9721F">
      <w:pPr>
        <w:pStyle w:val="Definition-Field2"/>
      </w:pPr>
      <w:r>
        <w:t>In Word, for the \s sw</w:t>
      </w:r>
      <w:r>
        <w:t>itch, there is no default value for \ai switch and the default value for \up switch is 2 points.</w:t>
      </w:r>
    </w:p>
    <w:p w:rsidR="000A156F" w:rsidRDefault="00A9721F">
      <w:pPr>
        <w:pStyle w:val="Definition-Field"/>
      </w:pPr>
      <w:r>
        <w:t xml:space="preserve">d.   </w:t>
      </w:r>
      <w:r>
        <w:rPr>
          <w:i/>
        </w:rPr>
        <w:t>The standard says that switch \lf creates a list from an arbitrary number of arguments.</w:t>
      </w:r>
    </w:p>
    <w:p w:rsidR="000A156F" w:rsidRDefault="00A9721F">
      <w:pPr>
        <w:pStyle w:val="Definition-Field2"/>
      </w:pPr>
      <w:r>
        <w:t>In Word, switch \l creates a list from an arbitrary number of argu</w:t>
      </w:r>
      <w:r>
        <w:t>ments.</w:t>
      </w:r>
    </w:p>
    <w:p w:rsidR="000A156F" w:rsidRDefault="00A9721F">
      <w:pPr>
        <w:pStyle w:val="Definition-Field"/>
      </w:pPr>
      <w:r>
        <w:t xml:space="preserve">e.   </w:t>
      </w:r>
      <w:r>
        <w:rPr>
          <w:i/>
        </w:rPr>
        <w:t>The standard says that description says that the EQ field computes a mathematical equation.</w:t>
      </w:r>
    </w:p>
    <w:p w:rsidR="000A156F" w:rsidRDefault="00A9721F">
      <w:pPr>
        <w:pStyle w:val="Definition-Field2"/>
      </w:pPr>
      <w:r>
        <w:t>In Word, the EQ field is used to display a mathematical equation.</w:t>
      </w:r>
    </w:p>
    <w:p w:rsidR="000A156F" w:rsidRDefault="00A9721F">
      <w:pPr>
        <w:pStyle w:val="Definition-Field"/>
      </w:pPr>
      <w:r>
        <w:t xml:space="preserve">f.   </w:t>
      </w:r>
      <w:r>
        <w:rPr>
          <w:i/>
        </w:rPr>
        <w:t>The standard does not restrict the integer argument of spacing switches \hs and \</w:t>
      </w:r>
      <w:r>
        <w:rPr>
          <w:i/>
        </w:rPr>
        <w:t>vs used with \a and spacing switches \ai and \di used with \s.</w:t>
      </w:r>
    </w:p>
    <w:p w:rsidR="000A156F" w:rsidRDefault="00A9721F">
      <w:pPr>
        <w:pStyle w:val="Definition-Field2"/>
      </w:pPr>
      <w:r>
        <w:t>Word allows integer arguments between 0 and 127 inclusive for the spacing switches \hs and \vs used with \a and spacing switches \ai and \di used with \s.</w:t>
      </w:r>
    </w:p>
    <w:p w:rsidR="000A156F" w:rsidRDefault="00A9721F">
      <w:pPr>
        <w:pStyle w:val="Definition-Field"/>
      </w:pPr>
      <w:r>
        <w:t xml:space="preserve">g.   </w:t>
      </w:r>
      <w:r>
        <w:rPr>
          <w:i/>
        </w:rPr>
        <w:t>The standard says that the \x swi</w:t>
      </w:r>
      <w:r>
        <w:rPr>
          <w:i/>
        </w:rPr>
        <w:t>tch draws a border segment around a single argument, but then says no arguments are allowed.</w:t>
      </w:r>
    </w:p>
    <w:p w:rsidR="000A156F" w:rsidRDefault="00A9721F">
      <w:pPr>
        <w:pStyle w:val="Definition-Field2"/>
      </w:pPr>
      <w:r>
        <w:t>In Word, the \x switch draws a border segment around a single argument and at most one argument is allowed.</w:t>
      </w:r>
    </w:p>
    <w:p w:rsidR="000A156F" w:rsidRDefault="00A9721F">
      <w:pPr>
        <w:pStyle w:val="Definition-Field"/>
      </w:pPr>
      <w:r>
        <w:t xml:space="preserve">h.   </w:t>
      </w:r>
      <w:r>
        <w:rPr>
          <w:i/>
        </w:rPr>
        <w:t>The standard allows the EQ field to be nested insi</w:t>
      </w:r>
      <w:r>
        <w:rPr>
          <w:i/>
        </w:rPr>
        <w:t>de other fields.</w:t>
      </w:r>
    </w:p>
    <w:p w:rsidR="000A156F" w:rsidRDefault="00A9721F">
      <w:pPr>
        <w:pStyle w:val="Definition-Field2"/>
      </w:pPr>
      <w:r>
        <w:t>In Word, if the EQ field is nested inside a field which is not an EQ field, no value is displayed.</w:t>
      </w:r>
    </w:p>
    <w:p w:rsidR="000A156F" w:rsidRDefault="00A9721F">
      <w:pPr>
        <w:pStyle w:val="Heading3"/>
      </w:pPr>
      <w:bookmarkStart w:id="3593" w:name="section_97a71be93d2143dbb1e3fe122b650d3b"/>
      <w:bookmarkStart w:id="3594" w:name="_Toc181684822"/>
      <w:r>
        <w:t>Part 4 Section 14.11.5, Additional enumeration values for ST_StyleSort (Part 1, 17.18.82)</w:t>
      </w:r>
      <w:bookmarkEnd w:id="3593"/>
      <w:bookmarkEnd w:id="3594"/>
      <w:r>
        <w:fldChar w:fldCharType="begin"/>
      </w:r>
      <w:r>
        <w:instrText xml:space="preserve"> XE "Additional enumeration values for ST_StyleSort (Part 1 - 17.18.82)" </w:instrText>
      </w:r>
      <w:r>
        <w:fldChar w:fldCharType="end"/>
      </w:r>
    </w:p>
    <w:p w:rsidR="000A156F" w:rsidRDefault="00A9721F">
      <w:pPr>
        <w:pStyle w:val="Definition-Field"/>
      </w:pPr>
      <w:r>
        <w:t xml:space="preserve">a.   </w:t>
      </w:r>
      <w:r>
        <w:rPr>
          <w:i/>
        </w:rPr>
        <w:t>The standard states that there are additional values for this simple type.</w:t>
      </w:r>
    </w:p>
    <w:p w:rsidR="000A156F" w:rsidRDefault="00A9721F">
      <w:pPr>
        <w:pStyle w:val="Definition-Field2"/>
      </w:pPr>
      <w:r>
        <w:t>Word treats value '0002' as equivalent to 'font' ("</w:t>
      </w:r>
      <w:hyperlink r:id="rId248">
        <w:r>
          <w:rPr>
            <w:rStyle w:val="Hyperlink"/>
          </w:rPr>
          <w:t>[ISO/IEC-29500-1]</w:t>
        </w:r>
      </w:hyperlink>
      <w:r>
        <w:t xml:space="preserve"> §17.18.82; ST_StyleSort (Style Sort Settings)"), '0003' as equivalent to 'basedOn' ("[ISO/IEC-29500-1] §17.18.82; </w:t>
      </w:r>
      <w:r>
        <w:lastRenderedPageBreak/>
        <w:t>ST_StyleSort (Style Sort Settings)"), '0004' as equivalent to 'type' ("[ISO/IEC-29500-1] §17.18.82; ST_Styl</w:t>
      </w:r>
      <w:r>
        <w:t>eSort (Style Sort Settings)"), and '0005' as equivalent to 'default' ("[ISO/IEC-29500-1] §17.18.82; ST_StyleSort (Style Sort Settings)").</w:t>
      </w:r>
    </w:p>
    <w:p w:rsidR="000A156F" w:rsidRDefault="00A9721F">
      <w:pPr>
        <w:pStyle w:val="Heading3"/>
      </w:pPr>
      <w:bookmarkStart w:id="3595" w:name="section_9b207b134ab84a8781ec4f95aba3b248"/>
      <w:bookmarkStart w:id="3596" w:name="_Toc181684823"/>
      <w:r>
        <w:t>Part 4 Section 17.2.2.10, ST_TextFontScalePercent (Text Font Scale Percentage)</w:t>
      </w:r>
      <w:bookmarkEnd w:id="3595"/>
      <w:bookmarkEnd w:id="3596"/>
      <w:r>
        <w:fldChar w:fldCharType="begin"/>
      </w:r>
      <w:r>
        <w:instrText xml:space="preserve"> XE "ST_TextFontScalePercent (Text Font </w:instrText>
      </w:r>
      <w:r>
        <w:instrText xml:space="preserve">Scale Percentage)" </w:instrText>
      </w:r>
      <w:r>
        <w:fldChar w:fldCharType="end"/>
      </w:r>
    </w:p>
    <w:p w:rsidR="000A156F" w:rsidRDefault="00A9721F">
      <w:pPr>
        <w:pStyle w:val="Definition-Field"/>
      </w:pPr>
      <w:r>
        <w:t xml:space="preserve">a.   </w:t>
      </w:r>
      <w:r>
        <w:rPr>
          <w:i/>
        </w:rPr>
        <w:t>The standard states that ST_TextFontScalePercent is read and written as a percent with a trailing percent sign.</w:t>
      </w:r>
    </w:p>
    <w:p w:rsidR="000A156F" w:rsidRDefault="00A9721F">
      <w:pPr>
        <w:pStyle w:val="Definition-Field2"/>
      </w:pPr>
      <w:r>
        <w:t>Office will read in percentages formatted with a trailing percent sign or as 1000th of a percent without trailing per</w:t>
      </w:r>
      <w:r>
        <w:t>cent sign, but only write out percentages as 1000th's of a percent without trailing percent sign.</w:t>
      </w:r>
    </w:p>
    <w:p w:rsidR="000A156F" w:rsidRDefault="00A9721F">
      <w:pPr>
        <w:pStyle w:val="Heading3"/>
      </w:pPr>
      <w:bookmarkStart w:id="3597" w:name="section_8af868fdec9d4b77b7de0aff196de406"/>
      <w:bookmarkStart w:id="3598" w:name="_Toc181684824"/>
      <w:r>
        <w:t>Part 4 Section 17.2.2.11, ST_TextSpacingPercent (Text Spacing Percent)</w:t>
      </w:r>
      <w:bookmarkEnd w:id="3597"/>
      <w:bookmarkEnd w:id="3598"/>
      <w:r>
        <w:fldChar w:fldCharType="begin"/>
      </w:r>
      <w:r>
        <w:instrText xml:space="preserve"> XE "ST_TextSpacingPercent (Text Spacing Percent)" </w:instrText>
      </w:r>
      <w:r>
        <w:fldChar w:fldCharType="end"/>
      </w:r>
    </w:p>
    <w:p w:rsidR="000A156F" w:rsidRDefault="00A9721F">
      <w:pPr>
        <w:pStyle w:val="Definition-Field"/>
      </w:pPr>
      <w:r>
        <w:t xml:space="preserve">a.   </w:t>
      </w:r>
      <w:r>
        <w:rPr>
          <w:i/>
        </w:rPr>
        <w:t xml:space="preserve">The standard states that the </w:t>
      </w:r>
      <w:r>
        <w:rPr>
          <w:i/>
        </w:rPr>
        <w:t>ST_TextSpacingPercent simple type specifies the range that the spacing percent in terms of line in hundredths.</w:t>
      </w:r>
    </w:p>
    <w:p w:rsidR="000A156F" w:rsidRDefault="00A9721F">
      <w:pPr>
        <w:pStyle w:val="Definition-Field2"/>
      </w:pPr>
      <w:r>
        <w:t>Office uses this type to specify the percent of a line height in thousands of a percent.</w:t>
      </w:r>
    </w:p>
    <w:p w:rsidR="000A156F" w:rsidRDefault="00A9721F">
      <w:pPr>
        <w:pStyle w:val="Definition-Field"/>
      </w:pPr>
      <w:r>
        <w:t xml:space="preserve">b.   </w:t>
      </w:r>
      <w:r>
        <w:rPr>
          <w:i/>
        </w:rPr>
        <w:t>The standard states that ST_TextSpacingPercent is r</w:t>
      </w:r>
      <w:r>
        <w:rPr>
          <w:i/>
        </w:rPr>
        <w:t>ead and written as a percent with a trailing percent sign.</w:t>
      </w:r>
    </w:p>
    <w:p w:rsidR="000A156F" w:rsidRDefault="00A9721F">
      <w:pPr>
        <w:pStyle w:val="Definition-Field2"/>
      </w:pPr>
      <w:r>
        <w:t>Office will read in percentages formatted with a trailing percent sign or as 1000th of a percent without trailing percent sign, but only write out percentages as 1000th's of a percent without trail</w:t>
      </w:r>
      <w:r>
        <w:t>ing percent sign.</w:t>
      </w:r>
    </w:p>
    <w:p w:rsidR="000A156F" w:rsidRDefault="00A9721F">
      <w:pPr>
        <w:pStyle w:val="Heading3"/>
      </w:pPr>
      <w:bookmarkStart w:id="3599" w:name="section_71366ecc35c3472fa82a9f507a1ee044"/>
      <w:bookmarkStart w:id="3600" w:name="_Toc181684825"/>
      <w:r>
        <w:t>Part 4 Section 19.1, VML</w:t>
      </w:r>
      <w:bookmarkEnd w:id="3599"/>
      <w:bookmarkEnd w:id="3600"/>
      <w:r>
        <w:fldChar w:fldCharType="begin"/>
      </w:r>
      <w:r>
        <w:instrText xml:space="preserve"> XE "VML" </w:instrText>
      </w:r>
      <w:r>
        <w:fldChar w:fldCharType="end"/>
      </w:r>
    </w:p>
    <w:p w:rsidR="000A156F" w:rsidRDefault="00A9721F">
      <w:pPr>
        <w:pStyle w:val="Definition-Field"/>
      </w:pPr>
      <w:r>
        <w:t xml:space="preserve">a.   </w:t>
      </w:r>
      <w:r>
        <w:rPr>
          <w:i/>
        </w:rPr>
        <w:t>The standard indicates the unit systems used throughout VML, but does not specify their bounds.</w:t>
      </w:r>
    </w:p>
    <w:p w:rsidR="000A156F" w:rsidRDefault="00A9721F">
      <w:r>
        <w:t xml:space="preserve">Office has restrictions for each of the units used in the standard.  </w:t>
      </w:r>
    </w:p>
    <w:p w:rsidR="000A156F" w:rsidRDefault="00A9721F">
      <w:r>
        <w:t xml:space="preserve">The following table documents </w:t>
      </w:r>
      <w:r>
        <w:t>Office limits for each unit.  Office also uses EMUs throughout VML as a valid unit system.  Individual elements and attributes may impose 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Unit</w:t>
            </w:r>
          </w:p>
        </w:tc>
        <w:tc>
          <w:tcPr>
            <w:tcW w:w="0" w:type="auto"/>
            <w:vAlign w:val="center"/>
          </w:tcPr>
          <w:p w:rsidR="000A156F" w:rsidRDefault="00A9721F">
            <w:pPr>
              <w:pStyle w:val="TableHeaderText"/>
            </w:pPr>
            <w:r>
              <w:t>Min</w:t>
            </w:r>
          </w:p>
        </w:tc>
        <w:tc>
          <w:tcPr>
            <w:tcW w:w="0" w:type="auto"/>
            <w:vAlign w:val="center"/>
          </w:tcPr>
          <w:p w:rsidR="000A156F" w:rsidRDefault="00A9721F">
            <w:pPr>
              <w:pStyle w:val="TableHeaderText"/>
            </w:pPr>
            <w:r>
              <w:t>Max</w:t>
            </w:r>
          </w:p>
        </w:tc>
      </w:tr>
      <w:tr w:rsidR="000A156F" w:rsidTr="000A156F">
        <w:tc>
          <w:tcPr>
            <w:tcW w:w="0" w:type="auto"/>
            <w:vAlign w:val="center"/>
          </w:tcPr>
          <w:p w:rsidR="000A156F" w:rsidRDefault="00A9721F">
            <w:pPr>
              <w:pStyle w:val="TableBodyText"/>
            </w:pPr>
            <w:r>
              <w:t>EMU</w:t>
            </w:r>
          </w:p>
        </w:tc>
        <w:tc>
          <w:tcPr>
            <w:tcW w:w="0" w:type="auto"/>
            <w:vAlign w:val="center"/>
          </w:tcPr>
          <w:p w:rsidR="000A156F" w:rsidRDefault="00A9721F">
            <w:pPr>
              <w:pStyle w:val="TableBodyText"/>
            </w:pPr>
            <w:r>
              <w:t>-2147483644</w:t>
            </w:r>
          </w:p>
        </w:tc>
        <w:tc>
          <w:tcPr>
            <w:tcW w:w="0" w:type="auto"/>
            <w:vAlign w:val="center"/>
          </w:tcPr>
          <w:p w:rsidR="000A156F" w:rsidRDefault="00A9721F">
            <w:pPr>
              <w:pStyle w:val="TableBodyText"/>
            </w:pPr>
            <w:r>
              <w:t>2147483647</w:t>
            </w:r>
          </w:p>
        </w:tc>
      </w:tr>
      <w:tr w:rsidR="000A156F" w:rsidTr="000A156F">
        <w:tc>
          <w:tcPr>
            <w:tcW w:w="0" w:type="auto"/>
            <w:vAlign w:val="center"/>
          </w:tcPr>
          <w:p w:rsidR="000A156F" w:rsidRDefault="00A9721F">
            <w:pPr>
              <w:pStyle w:val="TableBodyText"/>
            </w:pPr>
            <w:r>
              <w:t>Pixels</w:t>
            </w:r>
          </w:p>
        </w:tc>
        <w:tc>
          <w:tcPr>
            <w:tcW w:w="0" w:type="auto"/>
            <w:vAlign w:val="center"/>
          </w:tcPr>
          <w:p w:rsidR="000A156F" w:rsidRDefault="00A9721F">
            <w:pPr>
              <w:pStyle w:val="TableBodyText"/>
            </w:pPr>
            <w:r>
              <w:t>-2147483648</w:t>
            </w:r>
          </w:p>
        </w:tc>
        <w:tc>
          <w:tcPr>
            <w:tcW w:w="0" w:type="auto"/>
            <w:vAlign w:val="center"/>
          </w:tcPr>
          <w:p w:rsidR="000A156F" w:rsidRDefault="00A9721F">
            <w:pPr>
              <w:pStyle w:val="TableBodyText"/>
            </w:pPr>
            <w:r>
              <w:t>2147483647</w:t>
            </w:r>
          </w:p>
        </w:tc>
      </w:tr>
      <w:tr w:rsidR="000A156F" w:rsidTr="000A156F">
        <w:tc>
          <w:tcPr>
            <w:tcW w:w="0" w:type="auto"/>
            <w:vAlign w:val="center"/>
          </w:tcPr>
          <w:p w:rsidR="000A156F" w:rsidRDefault="00A9721F">
            <w:pPr>
              <w:pStyle w:val="TableBodyText"/>
            </w:pPr>
            <w:r>
              <w:t>Inches</w:t>
            </w:r>
          </w:p>
        </w:tc>
        <w:tc>
          <w:tcPr>
            <w:tcW w:w="0" w:type="auto"/>
            <w:vAlign w:val="center"/>
          </w:tcPr>
          <w:p w:rsidR="000A156F" w:rsidRDefault="00A9721F">
            <w:pPr>
              <w:pStyle w:val="TableBodyText"/>
            </w:pPr>
            <w:r>
              <w:t>-2348</w:t>
            </w:r>
          </w:p>
        </w:tc>
        <w:tc>
          <w:tcPr>
            <w:tcW w:w="0" w:type="auto"/>
            <w:vAlign w:val="center"/>
          </w:tcPr>
          <w:p w:rsidR="000A156F" w:rsidRDefault="00A9721F">
            <w:pPr>
              <w:pStyle w:val="TableBodyText"/>
            </w:pPr>
            <w:r>
              <w:t>2348</w:t>
            </w:r>
          </w:p>
        </w:tc>
      </w:tr>
      <w:tr w:rsidR="000A156F" w:rsidTr="000A156F">
        <w:tc>
          <w:tcPr>
            <w:tcW w:w="0" w:type="auto"/>
            <w:vAlign w:val="center"/>
          </w:tcPr>
          <w:p w:rsidR="000A156F" w:rsidRDefault="00A9721F">
            <w:pPr>
              <w:pStyle w:val="TableBodyText"/>
            </w:pPr>
            <w:r>
              <w:t>Centimeters</w:t>
            </w:r>
          </w:p>
        </w:tc>
        <w:tc>
          <w:tcPr>
            <w:tcW w:w="0" w:type="auto"/>
            <w:vAlign w:val="center"/>
          </w:tcPr>
          <w:p w:rsidR="000A156F" w:rsidRDefault="00A9721F">
            <w:pPr>
              <w:pStyle w:val="TableBodyText"/>
            </w:pPr>
            <w:r>
              <w:t>-5965</w:t>
            </w:r>
          </w:p>
        </w:tc>
        <w:tc>
          <w:tcPr>
            <w:tcW w:w="0" w:type="auto"/>
            <w:vAlign w:val="center"/>
          </w:tcPr>
          <w:p w:rsidR="000A156F" w:rsidRDefault="00A9721F">
            <w:pPr>
              <w:pStyle w:val="TableBodyText"/>
            </w:pPr>
            <w:r>
              <w:t>5965</w:t>
            </w:r>
          </w:p>
        </w:tc>
      </w:tr>
      <w:tr w:rsidR="000A156F" w:rsidTr="000A156F">
        <w:tc>
          <w:tcPr>
            <w:tcW w:w="0" w:type="auto"/>
            <w:vAlign w:val="center"/>
          </w:tcPr>
          <w:p w:rsidR="000A156F" w:rsidRDefault="00A9721F">
            <w:pPr>
              <w:pStyle w:val="TableBodyText"/>
            </w:pPr>
            <w:r>
              <w:t>Millimeters</w:t>
            </w:r>
          </w:p>
        </w:tc>
        <w:tc>
          <w:tcPr>
            <w:tcW w:w="0" w:type="auto"/>
            <w:vAlign w:val="center"/>
          </w:tcPr>
          <w:p w:rsidR="000A156F" w:rsidRDefault="00A9721F">
            <w:pPr>
              <w:pStyle w:val="TableBodyText"/>
            </w:pPr>
            <w:r>
              <w:t>-59652</w:t>
            </w:r>
          </w:p>
        </w:tc>
        <w:tc>
          <w:tcPr>
            <w:tcW w:w="0" w:type="auto"/>
            <w:vAlign w:val="center"/>
          </w:tcPr>
          <w:p w:rsidR="000A156F" w:rsidRDefault="00A9721F">
            <w:pPr>
              <w:pStyle w:val="TableBodyText"/>
            </w:pPr>
            <w:r>
              <w:t>59652</w:t>
            </w:r>
          </w:p>
        </w:tc>
      </w:tr>
      <w:tr w:rsidR="000A156F" w:rsidTr="000A156F">
        <w:tc>
          <w:tcPr>
            <w:tcW w:w="0" w:type="auto"/>
            <w:vAlign w:val="center"/>
          </w:tcPr>
          <w:p w:rsidR="000A156F" w:rsidRDefault="00A9721F">
            <w:pPr>
              <w:pStyle w:val="TableBodyText"/>
            </w:pPr>
            <w:r>
              <w:t>Points</w:t>
            </w:r>
          </w:p>
        </w:tc>
        <w:tc>
          <w:tcPr>
            <w:tcW w:w="0" w:type="auto"/>
            <w:vAlign w:val="center"/>
          </w:tcPr>
          <w:p w:rsidR="000A156F" w:rsidRDefault="00A9721F">
            <w:pPr>
              <w:pStyle w:val="TableBodyText"/>
            </w:pPr>
            <w:r>
              <w:t>-169093</w:t>
            </w:r>
          </w:p>
        </w:tc>
        <w:tc>
          <w:tcPr>
            <w:tcW w:w="0" w:type="auto"/>
            <w:vAlign w:val="center"/>
          </w:tcPr>
          <w:p w:rsidR="000A156F" w:rsidRDefault="00A9721F">
            <w:pPr>
              <w:pStyle w:val="TableBodyText"/>
            </w:pPr>
            <w:r>
              <w:t>169093</w:t>
            </w:r>
          </w:p>
        </w:tc>
      </w:tr>
      <w:tr w:rsidR="000A156F" w:rsidTr="000A156F">
        <w:tc>
          <w:tcPr>
            <w:tcW w:w="0" w:type="auto"/>
            <w:vAlign w:val="center"/>
          </w:tcPr>
          <w:p w:rsidR="000A156F" w:rsidRDefault="00A9721F">
            <w:pPr>
              <w:pStyle w:val="TableBodyText"/>
            </w:pPr>
            <w:r>
              <w:t>Picas</w:t>
            </w:r>
          </w:p>
        </w:tc>
        <w:tc>
          <w:tcPr>
            <w:tcW w:w="0" w:type="auto"/>
            <w:vAlign w:val="center"/>
          </w:tcPr>
          <w:p w:rsidR="000A156F" w:rsidRDefault="00A9721F">
            <w:pPr>
              <w:pStyle w:val="TableBodyText"/>
            </w:pPr>
            <w:r>
              <w:t>-14091</w:t>
            </w:r>
          </w:p>
        </w:tc>
        <w:tc>
          <w:tcPr>
            <w:tcW w:w="0" w:type="auto"/>
            <w:vAlign w:val="center"/>
          </w:tcPr>
          <w:p w:rsidR="000A156F" w:rsidRDefault="00A9721F">
            <w:pPr>
              <w:pStyle w:val="TableBodyText"/>
            </w:pPr>
            <w:r>
              <w:t>14091</w:t>
            </w:r>
          </w:p>
        </w:tc>
      </w:tr>
    </w:tbl>
    <w:p w:rsidR="000A156F" w:rsidRDefault="000A156F"/>
    <w:p w:rsidR="000A156F" w:rsidRDefault="00A9721F">
      <w:pPr>
        <w:pStyle w:val="Heading3"/>
      </w:pPr>
      <w:bookmarkStart w:id="3601" w:name="section_d019f23f597743d8b46399ba8f6784eb"/>
      <w:bookmarkStart w:id="3602" w:name="_Toc181684826"/>
      <w:r>
        <w:lastRenderedPageBreak/>
        <w:t>Part 4 Section 19.1.2.1, arc (Arc Segment)</w:t>
      </w:r>
      <w:bookmarkEnd w:id="3601"/>
      <w:bookmarkEnd w:id="3602"/>
      <w:r>
        <w:fldChar w:fldCharType="begin"/>
      </w:r>
      <w:r>
        <w:instrText xml:space="preserve"> XE "arc (Arc Segment)"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A156F" w:rsidRDefault="00A9721F">
      <w:pPr>
        <w:pStyle w:val="Definition-Field"/>
      </w:pPr>
      <w:r>
        <w:t xml:space="preserve">a.   </w:t>
      </w:r>
      <w:r>
        <w:rPr>
          <w:i/>
        </w:rPr>
        <w:t>The standard defines the attribute endAngle in camel case.</w:t>
      </w:r>
    </w:p>
    <w:p w:rsidR="000A156F" w:rsidRDefault="00A9721F">
      <w:pPr>
        <w:pStyle w:val="Definition-Field2"/>
      </w:pPr>
      <w:r>
        <w:t>Office writes out the attribute endangle in lowercase.</w:t>
      </w:r>
    </w:p>
    <w:p w:rsidR="000A156F" w:rsidRDefault="00A9721F">
      <w:pPr>
        <w:pStyle w:val="Definition-Field"/>
      </w:pPr>
      <w:r>
        <w:t xml:space="preserve">b.   </w:t>
      </w:r>
      <w:r>
        <w:rPr>
          <w:i/>
        </w:rPr>
        <w:t xml:space="preserve">The standard defines the attribute startAngle </w:t>
      </w:r>
      <w:r>
        <w:rPr>
          <w:i/>
        </w:rPr>
        <w:t>in camel case.</w:t>
      </w:r>
    </w:p>
    <w:p w:rsidR="000A156F" w:rsidRDefault="00A9721F">
      <w:pPr>
        <w:pStyle w:val="Definition-Field2"/>
      </w:pPr>
      <w:r>
        <w:t>Office writes out the attribute startangle in lowercase.</w:t>
      </w:r>
    </w:p>
    <w:p w:rsidR="000A156F" w:rsidRDefault="00A9721F">
      <w:pPr>
        <w:pStyle w:val="Definition-Field"/>
      </w:pPr>
      <w:r>
        <w:t xml:space="preserve">c.   </w:t>
      </w:r>
      <w:r>
        <w:rPr>
          <w:i/>
        </w:rPr>
        <w:t>The standard states that xy and yx are valid values of the flip property on the style attribute.</w:t>
      </w:r>
    </w:p>
    <w:p w:rsidR="000A156F" w:rsidRDefault="00A9721F">
      <w:pPr>
        <w:pStyle w:val="Definition-Field2"/>
      </w:pPr>
      <w:r>
        <w:t xml:space="preserve">Office does not allow these values; instead, it allows values of "x y" and "y x" </w:t>
      </w:r>
      <w:r>
        <w:t>(minus the quotes, but including the spaces) for the same purpose.</w:t>
      </w:r>
    </w:p>
    <w:p w:rsidR="000A156F" w:rsidRDefault="00A9721F">
      <w:pPr>
        <w:pStyle w:val="Definition-Field"/>
      </w:pPr>
      <w:r>
        <w:t xml:space="preserve">d.   </w:t>
      </w:r>
      <w:r>
        <w:rPr>
          <w:i/>
        </w:rPr>
        <w:t>The standard implies that the height and mso-height-percent properties on the style attribute are optional.</w:t>
      </w:r>
    </w:p>
    <w:p w:rsidR="000A156F" w:rsidRDefault="00A9721F">
      <w:pPr>
        <w:pStyle w:val="Definition-Field2"/>
      </w:pPr>
      <w:r>
        <w:t xml:space="preserve">Office requires that at least one of these properties be set when an anchor </w:t>
      </w:r>
      <w:r>
        <w:t>element is not present; the height property is ignored when either the mso-height-percent property or an anchor element is specified.</w:t>
      </w:r>
    </w:p>
    <w:p w:rsidR="000A156F" w:rsidRDefault="00A9721F">
      <w:pPr>
        <w:pStyle w:val="Definition-Field"/>
      </w:pPr>
      <w:r>
        <w:t xml:space="preserve">e.   </w:t>
      </w:r>
      <w:r>
        <w:rPr>
          <w:i/>
        </w:rPr>
        <w:t>The standard implies that the left, margin-left, mso-position-horizontal, and mso-left-percent properties on the styl</w:t>
      </w:r>
      <w:r>
        <w:rPr>
          <w:i/>
        </w:rPr>
        <w:t>e attribute are optional.</w:t>
      </w:r>
    </w:p>
    <w:p w:rsidR="000A156F" w:rsidRDefault="00A9721F">
      <w:pPr>
        <w:pStyle w:val="Definition-Field2"/>
      </w:pPr>
      <w:r>
        <w:t xml:space="preserve">Office requires that at least one of these properties be set when the value of the position property is absolute and an anchor element is not present; all of these properties are ignored when the value of the position property is </w:t>
      </w:r>
      <w:r>
        <w:t>static.</w:t>
      </w:r>
    </w:p>
    <w:p w:rsidR="000A156F" w:rsidRDefault="00A9721F">
      <w:pPr>
        <w:pStyle w:val="Definition-Field"/>
      </w:pPr>
      <w:r>
        <w:t xml:space="preserve">f.   </w:t>
      </w:r>
      <w:r>
        <w:rPr>
          <w:i/>
        </w:rPr>
        <w:t>The standard states that the margin-bottom property on the style attribute specifies the position of the bottom of the containing block of the shape relative to the shape anchor.</w:t>
      </w:r>
    </w:p>
    <w:p w:rsidR="000A156F" w:rsidRDefault="00A9721F">
      <w:pPr>
        <w:pStyle w:val="Definition-Field2"/>
      </w:pPr>
      <w:r>
        <w:t>Office does not support this property.</w:t>
      </w:r>
    </w:p>
    <w:p w:rsidR="000A156F" w:rsidRDefault="00A9721F">
      <w:pPr>
        <w:pStyle w:val="Definition-Field"/>
      </w:pPr>
      <w:r>
        <w:t xml:space="preserve">g.   </w:t>
      </w:r>
      <w:r>
        <w:rPr>
          <w:i/>
        </w:rPr>
        <w:t xml:space="preserve">The standard states </w:t>
      </w:r>
      <w:r>
        <w:rPr>
          <w:i/>
        </w:rPr>
        <w:t>that the margin-right property on the style attribute specifies the position of the right of the containing block of the shape relative to the shape anchor.</w:t>
      </w:r>
    </w:p>
    <w:p w:rsidR="000A156F" w:rsidRDefault="00A9721F">
      <w:pPr>
        <w:pStyle w:val="Definition-Field2"/>
      </w:pPr>
      <w:r>
        <w:t>Office does not support this property.</w:t>
      </w:r>
    </w:p>
    <w:p w:rsidR="000A156F" w:rsidRDefault="00A9721F">
      <w:pPr>
        <w:pStyle w:val="Definition-Field"/>
      </w:pPr>
      <w:r>
        <w:t xml:space="preserve">h.   </w:t>
      </w:r>
      <w:r>
        <w:rPr>
          <w:i/>
        </w:rPr>
        <w:t>The standard implies that the top, margin-top, mso-posi</w:t>
      </w:r>
      <w:r>
        <w:rPr>
          <w:i/>
        </w:rPr>
        <w:t>tion-vertical, and mso-top-percent properties on the style attribute are optional.</w:t>
      </w:r>
    </w:p>
    <w:p w:rsidR="000A156F" w:rsidRDefault="00A9721F">
      <w:pPr>
        <w:pStyle w:val="Definition-Field2"/>
      </w:pPr>
      <w:r>
        <w:t>Office requires that at least one of these properties be set when the value of the position property is absolute and an anchor element is not present; all of these propertie</w:t>
      </w:r>
      <w:r>
        <w:t>s are ignored when the value of the position property is static.</w:t>
      </w:r>
    </w:p>
    <w:p w:rsidR="000A156F" w:rsidRDefault="00A9721F">
      <w:pPr>
        <w:pStyle w:val="Definition-Field"/>
      </w:pPr>
      <w:r>
        <w:t xml:space="preserve">i.   </w:t>
      </w:r>
      <w:r>
        <w:rPr>
          <w:i/>
        </w:rPr>
        <w:t>The standard implies that the mso-position-horizontal-relative property on the style attribute is optional.</w:t>
      </w:r>
    </w:p>
    <w:p w:rsidR="000A156F" w:rsidRDefault="00A9721F">
      <w:pPr>
        <w:pStyle w:val="Definition-Field2"/>
      </w:pPr>
      <w:r>
        <w:t>Office requires this property to be specified when the value of the mso-positi</w:t>
      </w:r>
      <w:r>
        <w:t>on-horizontal property on the style attribute is not absolute.</w:t>
      </w:r>
    </w:p>
    <w:p w:rsidR="000A156F" w:rsidRDefault="00A9721F">
      <w:pPr>
        <w:pStyle w:val="Definition-Field"/>
      </w:pPr>
      <w:r>
        <w:t xml:space="preserve">j.   </w:t>
      </w:r>
      <w:r>
        <w:rPr>
          <w:i/>
        </w:rPr>
        <w:t>The standard states that the only valid values for the mso-position-horizontal-relative property on the style attribute are margin, page, text, and char.</w:t>
      </w:r>
    </w:p>
    <w:p w:rsidR="000A156F" w:rsidRDefault="00A9721F">
      <w:pPr>
        <w:pStyle w:val="Definition-Field2"/>
      </w:pPr>
      <w:r>
        <w:t xml:space="preserve">Office also allows values of </w:t>
      </w:r>
      <w:r>
        <w:t>left-margin-area, right-margin-area, inner-margin-area, and outer-margin area when the value of the mso-position-horizontal property on the style attribute is neither inside nor outside.</w:t>
      </w:r>
    </w:p>
    <w:p w:rsidR="000A156F" w:rsidRDefault="00A9721F">
      <w:pPr>
        <w:pStyle w:val="Definition-Field"/>
      </w:pPr>
      <w:r>
        <w:lastRenderedPageBreak/>
        <w:t xml:space="preserve">k.   </w:t>
      </w:r>
      <w:r>
        <w:rPr>
          <w:i/>
        </w:rPr>
        <w:t>The standard states that the default value of the mso-position-h</w:t>
      </w:r>
      <w:r>
        <w:rPr>
          <w:i/>
        </w:rPr>
        <w:t>orizontal-relative property on the style attribute is text.</w:t>
      </w:r>
    </w:p>
    <w:p w:rsidR="000A156F" w:rsidRDefault="00A9721F">
      <w:pPr>
        <w:pStyle w:val="Definition-Field2"/>
      </w:pPr>
      <w:r>
        <w:t>Office requires this property to be set.</w:t>
      </w:r>
    </w:p>
    <w:p w:rsidR="000A156F" w:rsidRDefault="00A9721F">
      <w:pPr>
        <w:pStyle w:val="Definition-Field"/>
      </w:pPr>
      <w:r>
        <w:t xml:space="preserve">l.   </w:t>
      </w:r>
      <w:r>
        <w:rPr>
          <w:i/>
        </w:rPr>
        <w:t>The standard states that the default value of the mso-position-vertical-relative property on the style attribute is text.</w:t>
      </w:r>
    </w:p>
    <w:p w:rsidR="000A156F" w:rsidRDefault="00A9721F">
      <w:pPr>
        <w:pStyle w:val="Definition-Field2"/>
      </w:pPr>
      <w:r>
        <w:t>Office requires this propert</w:t>
      </w:r>
      <w:r>
        <w:t>y to be set.</w:t>
      </w:r>
    </w:p>
    <w:p w:rsidR="000A156F" w:rsidRDefault="00A9721F">
      <w:pPr>
        <w:pStyle w:val="Definition-Field"/>
      </w:pPr>
      <w:r>
        <w:t xml:space="preserve">m.   </w:t>
      </w:r>
      <w:r>
        <w:rPr>
          <w:i/>
        </w:rPr>
        <w:t>The standard states that the only valid values for the mso-position-vertical-relative property on the style attribute are margin, page, text, and line.</w:t>
      </w:r>
    </w:p>
    <w:p w:rsidR="000A156F" w:rsidRDefault="00A9721F">
      <w:pPr>
        <w:pStyle w:val="Definition-Field2"/>
      </w:pPr>
      <w:r>
        <w:t>Office also allows values of top-margin-area, bottom-margin-area, inner-margin-area, a</w:t>
      </w:r>
      <w:r>
        <w:t>nd outer-margin area.</w:t>
      </w:r>
    </w:p>
    <w:p w:rsidR="000A156F" w:rsidRDefault="00A9721F">
      <w:pPr>
        <w:pStyle w:val="Definition-Field"/>
      </w:pPr>
      <w:r>
        <w:t xml:space="preserve">n.   </w:t>
      </w:r>
      <w:r>
        <w:rPr>
          <w:i/>
        </w:rPr>
        <w:t>The standard does not state how the mso-wrap-distance-bottom, mso-wrap-distance-left, mso-wrap-distance-right, and mso-wrap-distance-top properties on the style attribute are to be measured.</w:t>
      </w:r>
    </w:p>
    <w:p w:rsidR="000A156F" w:rsidRDefault="00A9721F">
      <w:pPr>
        <w:pStyle w:val="Definition-Field2"/>
      </w:pPr>
      <w:r>
        <w:t>Office allows these properties to be m</w:t>
      </w:r>
      <w:r>
        <w:t>easured using the absolute units designator cm, mm, in, pt, or pc; or using the relative units designator px.</w:t>
      </w:r>
    </w:p>
    <w:p w:rsidR="000A156F" w:rsidRDefault="00A9721F">
      <w:pPr>
        <w:pStyle w:val="Definition-Field"/>
      </w:pPr>
      <w:r>
        <w:t xml:space="preserve">o.   </w:t>
      </w:r>
      <w:r>
        <w:rPr>
          <w:i/>
        </w:rPr>
        <w:t>The standard states that the default value of the mso-wrap-distance-left and mso-wrap-distance-right properties on the style attribute is 0 p</w:t>
      </w:r>
      <w:r>
        <w:rPr>
          <w:i/>
        </w:rPr>
        <w:t>t.</w:t>
      </w:r>
    </w:p>
    <w:p w:rsidR="000A156F" w:rsidRDefault="00A9721F">
      <w:pPr>
        <w:pStyle w:val="Definition-Field2"/>
      </w:pPr>
      <w:r>
        <w:t>Office uses a default value of 9 pt for these properties.</w:t>
      </w:r>
    </w:p>
    <w:p w:rsidR="000A156F" w:rsidRDefault="00A9721F">
      <w:pPr>
        <w:pStyle w:val="Definition-Field"/>
      </w:pPr>
      <w:r>
        <w:t xml:space="preserve">p.   </w:t>
      </w:r>
      <w:r>
        <w:rPr>
          <w:i/>
        </w:rPr>
        <w:t>The standard states that relative is a valid value for the position property on the style attribute.</w:t>
      </w:r>
    </w:p>
    <w:p w:rsidR="000A156F" w:rsidRDefault="00A9721F">
      <w:pPr>
        <w:pStyle w:val="Definition-Field2"/>
      </w:pPr>
      <w:r>
        <w:t>Office does not support this value on this property.</w:t>
      </w:r>
    </w:p>
    <w:p w:rsidR="000A156F" w:rsidRDefault="00A9721F">
      <w:pPr>
        <w:pStyle w:val="Definition-Field"/>
      </w:pPr>
      <w:r>
        <w:t xml:space="preserve">q.   </w:t>
      </w:r>
      <w:r>
        <w:rPr>
          <w:i/>
        </w:rPr>
        <w:t>The standard states that auto i</w:t>
      </w:r>
      <w:r>
        <w:rPr>
          <w:i/>
        </w:rPr>
        <w:t>s a valid value for the margin-left, margin-top, left, top, width, height, and z-index properties on the style attribute.</w:t>
      </w:r>
    </w:p>
    <w:p w:rsidR="000A156F" w:rsidRDefault="00A9721F">
      <w:pPr>
        <w:pStyle w:val="Definition-Field2"/>
      </w:pPr>
      <w:r>
        <w:t>Office does not support this value on these properties.</w:t>
      </w:r>
    </w:p>
    <w:p w:rsidR="000A156F" w:rsidRDefault="00A9721F">
      <w:pPr>
        <w:pStyle w:val="Definition-Field"/>
      </w:pPr>
      <w:r>
        <w:t xml:space="preserve">r.   </w:t>
      </w:r>
      <w:r>
        <w:rPr>
          <w:i/>
        </w:rPr>
        <w:t xml:space="preserve">The standard states that the value of the margin-left, margin-top, left, </w:t>
      </w:r>
      <w:r>
        <w:rPr>
          <w:i/>
        </w:rPr>
        <w:t>top, width, and height properties on the style attribute may be specified as a percentage.</w:t>
      </w:r>
    </w:p>
    <w:p w:rsidR="000A156F" w:rsidRDefault="00A9721F">
      <w:pPr>
        <w:pStyle w:val="Definition-Field2"/>
      </w:pPr>
      <w:r>
        <w:t>Office does not allow the value of these properties to be specified as a percentage.</w:t>
      </w:r>
    </w:p>
    <w:p w:rsidR="000A156F" w:rsidRDefault="00A9721F">
      <w:pPr>
        <w:pStyle w:val="Definition-Field"/>
      </w:pPr>
      <w:r>
        <w:t xml:space="preserve">s.   </w:t>
      </w:r>
      <w:r>
        <w:rPr>
          <w:i/>
        </w:rPr>
        <w:t>The standard states that the value of the margin-left, margin-top, left, to</w:t>
      </w:r>
      <w:r>
        <w:rPr>
          <w:i/>
        </w:rPr>
        <w:t>p, width, and height properties on the style attribute may be specified in em or ex units.</w:t>
      </w:r>
    </w:p>
    <w:p w:rsidR="000A156F" w:rsidRDefault="00A9721F">
      <w:pPr>
        <w:pStyle w:val="Definition-Field2"/>
      </w:pPr>
      <w:r>
        <w:t>Office does not allow the value of these properties to be specified in this way.</w:t>
      </w:r>
    </w:p>
    <w:p w:rsidR="000A156F" w:rsidRDefault="00A9721F">
      <w:pPr>
        <w:pStyle w:val="Definition-Field"/>
      </w:pPr>
      <w:r>
        <w:t xml:space="preserve">t.   </w:t>
      </w:r>
      <w:r>
        <w:rPr>
          <w:i/>
        </w:rPr>
        <w:t>The standard places no restrictions on the relationship between the top, margin</w:t>
      </w:r>
      <w:r>
        <w:rPr>
          <w:i/>
        </w:rPr>
        <w:t>-top, mso-position-vertical, or mso-top-percent properties on the style attribute.</w:t>
      </w:r>
    </w:p>
    <w:p w:rsidR="000A156F" w:rsidRDefault="00A9721F">
      <w:pPr>
        <w:pStyle w:val="Definition-Field2"/>
      </w:pPr>
      <w:r>
        <w:t>Office ignores the top and margin-top properties when either the mso-position-vertical or mso-top-percent property on the style attribute is set, or when an anchor element i</w:t>
      </w:r>
      <w:r>
        <w:t>s present.</w:t>
      </w:r>
    </w:p>
    <w:p w:rsidR="000A156F" w:rsidRDefault="00A9721F">
      <w:pPr>
        <w:pStyle w:val="Definition-Field"/>
      </w:pPr>
      <w:r>
        <w:t xml:space="preserve">u.   </w:t>
      </w:r>
      <w:r>
        <w:rPr>
          <w:i/>
        </w:rPr>
        <w:t>The standard implies that the width and mso-width-percent properties on the style attribute are optional.</w:t>
      </w:r>
    </w:p>
    <w:p w:rsidR="000A156F" w:rsidRDefault="00A9721F">
      <w:pPr>
        <w:pStyle w:val="Definition-Field2"/>
      </w:pPr>
      <w:r>
        <w:t>Office requires that at least one of these properties be set when an anchor element is not present; the width property is ignored when</w:t>
      </w:r>
      <w:r>
        <w:t xml:space="preserve"> either the mso-width-percent property or an anchor element is specified.</w:t>
      </w:r>
    </w:p>
    <w:p w:rsidR="000A156F" w:rsidRDefault="00A9721F">
      <w:pPr>
        <w:pStyle w:val="Definition-Field"/>
      </w:pPr>
      <w:r>
        <w:t xml:space="preserve">v.   </w:t>
      </w:r>
      <w:r>
        <w:rPr>
          <w:i/>
        </w:rPr>
        <w:t>The standard makes no mention of an mso-width-percent property on the style attribute.</w:t>
      </w:r>
    </w:p>
    <w:p w:rsidR="000A156F" w:rsidRDefault="00A9721F">
      <w:pPr>
        <w:pStyle w:val="Definition-Field2"/>
      </w:pPr>
      <w:r>
        <w:lastRenderedPageBreak/>
        <w:t xml:space="preserve">Word uses this property to specify the width of the shape as a percentage of the layout </w:t>
      </w:r>
      <w:r>
        <w:t>object defined by the mso-width-relative property; its value is expressed as an integer between 10 and 10,000, inclusive, where each unit is a tenth of a percent.</w:t>
      </w:r>
    </w:p>
    <w:p w:rsidR="000A156F" w:rsidRDefault="00A9721F">
      <w:pPr>
        <w:pStyle w:val="Definition-Field"/>
      </w:pPr>
      <w:r>
        <w:t xml:space="preserve">w.   </w:t>
      </w:r>
      <w:r>
        <w:rPr>
          <w:i/>
        </w:rPr>
        <w:t>The standard makes no mention of an mso-height-percent property on the style attribute.</w:t>
      </w:r>
    </w:p>
    <w:p w:rsidR="000A156F" w:rsidRDefault="00A9721F">
      <w:pPr>
        <w:pStyle w:val="Definition-Field2"/>
      </w:pPr>
      <w:r>
        <w:t>Word uses this property to specify the height of a shape as a percentage of the layout object defined by the mso-height-relative property; its value is expressed as an integer between 10 and 10,000, inclusive, where each unit is a tenth of a percent.</w:t>
      </w:r>
    </w:p>
    <w:p w:rsidR="000A156F" w:rsidRDefault="00A9721F">
      <w:pPr>
        <w:pStyle w:val="Definition-Field"/>
      </w:pPr>
      <w:r>
        <w:t xml:space="preserve">x.   </w:t>
      </w:r>
      <w:r>
        <w:rPr>
          <w:i/>
        </w:rPr>
        <w:t>The standard makes no mention of an mso-width-relative property on the style attribute.</w:t>
      </w:r>
    </w:p>
    <w:p w:rsidR="000A156F" w:rsidRDefault="00A9721F">
      <w:pPr>
        <w:pStyle w:val="Definition-Field2"/>
      </w:pPr>
      <w:r>
        <w:t xml:space="preserve">Word uses this property to specify the layout object referred to by the mso-width-percent property; its allowed values are margin, page, left-margin-area, </w:t>
      </w:r>
      <w:r>
        <w:t>right-margin-area, inner-margin-area, and outer-margin-area, with page being the default.</w:t>
      </w:r>
    </w:p>
    <w:p w:rsidR="000A156F" w:rsidRDefault="00A9721F">
      <w:pPr>
        <w:pStyle w:val="Definition-Field"/>
      </w:pPr>
      <w:r>
        <w:t xml:space="preserve">y.   </w:t>
      </w:r>
      <w:r>
        <w:rPr>
          <w:i/>
        </w:rPr>
        <w:t>The standard makes no mention of an mso-height-relative property on the style attribute.</w:t>
      </w:r>
    </w:p>
    <w:p w:rsidR="000A156F" w:rsidRDefault="00A9721F">
      <w:pPr>
        <w:pStyle w:val="Definition-Field2"/>
      </w:pPr>
      <w:r>
        <w:t xml:space="preserve">Word uses this property to specify the layout object referred to by the </w:t>
      </w:r>
      <w:r>
        <w:t>mso-height-percent property; its allowed values are margin, page, top-margin-area, bottom-margin-area, inner-margin-area, and outer-margin-area.</w:t>
      </w:r>
    </w:p>
    <w:p w:rsidR="000A156F" w:rsidRDefault="00A9721F">
      <w:pPr>
        <w:pStyle w:val="Definition-Field"/>
      </w:pPr>
      <w:r>
        <w:t xml:space="preserve">z.   </w:t>
      </w:r>
      <w:r>
        <w:rPr>
          <w:i/>
        </w:rPr>
        <w:t>The standard makes no mention of an mso-left-percent property on the style attribute.</w:t>
      </w:r>
    </w:p>
    <w:p w:rsidR="000A156F" w:rsidRDefault="00A9721F">
      <w:r>
        <w:t>Word uses this prope</w:t>
      </w:r>
      <w:r>
        <w:t>rty to specify the location of the left edge of the shape as a percentage of the width of the layout object defined by the mso-position-horizontal-relative property; its value is expressed as an integer between -10,000 and 10,000, inclusive, where each uni</w:t>
      </w:r>
      <w:r>
        <w:t>t is a tenth of a percent. This property cannot be used in combination with the mso-position-horizontal attribute on the style attribute.</w:t>
      </w:r>
    </w:p>
    <w:p w:rsidR="000A156F" w:rsidRDefault="00A9721F">
      <w:pPr>
        <w:pStyle w:val="Definition-Field"/>
      </w:pPr>
      <w:r>
        <w:t xml:space="preserve">aa.  </w:t>
      </w:r>
      <w:r>
        <w:rPr>
          <w:i/>
        </w:rPr>
        <w:t>The standard makes no mention of an mso-top-percent property on the style attribute.</w:t>
      </w:r>
    </w:p>
    <w:p w:rsidR="000A156F" w:rsidRDefault="00A9721F">
      <w:r>
        <w:t>Word uses this property to s</w:t>
      </w:r>
      <w:r>
        <w:t>pecify the location of the top edge of the shape as a percentage of the height of the layout object defined by the mso-position-vertical-relative property; its value is expressed as an integer between -10,000 and 10,000, inclusive, where each unit is a ten</w:t>
      </w:r>
      <w:r>
        <w:t>th of a percent.  This property cannot be used in combination with the mso-position-vertical attribute on the style attribute.</w:t>
      </w:r>
    </w:p>
    <w:p w:rsidR="000A156F" w:rsidRDefault="00A9721F">
      <w:pPr>
        <w:pStyle w:val="Definition-Field"/>
      </w:pPr>
      <w:r>
        <w:t xml:space="preserve">bb.  </w:t>
      </w:r>
      <w:r>
        <w:rPr>
          <w:i/>
        </w:rPr>
        <w:t>The standard states that the v-text-anchor property on the style attribute is only used by the textbox element, where it spe</w:t>
      </w:r>
      <w:r>
        <w:rPr>
          <w:i/>
        </w:rPr>
        <w:t>cifies the vertical anchoring of text within the textbox.</w:t>
      </w:r>
    </w:p>
    <w:p w:rsidR="000A156F" w:rsidRDefault="00A9721F">
      <w:pPr>
        <w:pStyle w:val="Definition-Field2"/>
      </w:pPr>
      <w:r>
        <w:t>Office instead applies this property to the shape containing the textbox element, where it specifies the anchor point of the text contained within the shape.</w:t>
      </w:r>
    </w:p>
    <w:p w:rsidR="000A156F" w:rsidRDefault="00A9721F">
      <w:pPr>
        <w:pStyle w:val="Definition-Field"/>
      </w:pPr>
      <w:r>
        <w:t xml:space="preserve">cc.  </w:t>
      </w:r>
      <w:r>
        <w:rPr>
          <w:i/>
        </w:rPr>
        <w:t>The standard states that the defaul</w:t>
      </w:r>
      <w:r>
        <w:rPr>
          <w:i/>
        </w:rPr>
        <w:t>t value of the allowincell attribute is false.</w:t>
      </w:r>
    </w:p>
    <w:p w:rsidR="000A156F" w:rsidRDefault="00A9721F">
      <w:pPr>
        <w:pStyle w:val="Definition-Field2"/>
      </w:pPr>
      <w:r>
        <w:t>Office uses a default value of true for this attribute.</w:t>
      </w:r>
    </w:p>
    <w:p w:rsidR="000A156F" w:rsidRDefault="00A9721F">
      <w:pPr>
        <w:pStyle w:val="Definition-Field"/>
      </w:pPr>
      <w:r>
        <w:t xml:space="preserve">dd.  </w:t>
      </w:r>
      <w:r>
        <w:rPr>
          <w:i/>
        </w:rPr>
        <w:t>The standard states that the allowincell attribute specifies whether a shape can be placed in a table.</w:t>
      </w:r>
    </w:p>
    <w:p w:rsidR="000A156F" w:rsidRDefault="00A9721F">
      <w:pPr>
        <w:pStyle w:val="Definition-Field2"/>
      </w:pPr>
      <w:r>
        <w:t>Office uses this attribute to specify whether</w:t>
      </w:r>
      <w:r>
        <w:t xml:space="preserve"> a shape's anchor can be placed in a table.</w:t>
      </w:r>
    </w:p>
    <w:p w:rsidR="000A156F" w:rsidRDefault="00A9721F">
      <w:pPr>
        <w:pStyle w:val="Definition-Field"/>
      </w:pPr>
      <w:r>
        <w:t xml:space="preserve">ee.  </w:t>
      </w:r>
      <w:r>
        <w:rPr>
          <w:i/>
        </w:rPr>
        <w:t>The standard places no restrictions on how values of the z-index property on the style attribute be preserved.</w:t>
      </w:r>
    </w:p>
    <w:p w:rsidR="000A156F" w:rsidRDefault="00A9721F">
      <w:pPr>
        <w:pStyle w:val="Definition-Field2"/>
      </w:pPr>
      <w:r>
        <w:t>Office preserves relative ordering and sign but not absolute values of this property.</w:t>
      </w:r>
    </w:p>
    <w:p w:rsidR="000A156F" w:rsidRDefault="00A9721F">
      <w:pPr>
        <w:pStyle w:val="Definition-Field"/>
      </w:pPr>
      <w:r>
        <w:t xml:space="preserve">ff.  </w:t>
      </w:r>
      <w:r>
        <w:rPr>
          <w:i/>
        </w:rPr>
        <w:t>The s</w:t>
      </w:r>
      <w:r>
        <w:rPr>
          <w:i/>
        </w:rPr>
        <w:t>tandard states that the default value of the z-index property on the style attribute is 0.</w:t>
      </w:r>
    </w:p>
    <w:p w:rsidR="000A156F" w:rsidRDefault="00A9721F">
      <w:pPr>
        <w:pStyle w:val="Definition-Field2"/>
      </w:pPr>
      <w:r>
        <w:lastRenderedPageBreak/>
        <w:t>Office requires this property to be specified unless the element is shapedefaults, shapetype, textbox, or textpath.</w:t>
      </w:r>
    </w:p>
    <w:p w:rsidR="000A156F" w:rsidRDefault="00A9721F">
      <w:pPr>
        <w:pStyle w:val="Definition-Field"/>
      </w:pPr>
      <w:r>
        <w:t xml:space="preserve">gg.  </w:t>
      </w:r>
      <w:r>
        <w:rPr>
          <w:i/>
        </w:rPr>
        <w:t>The standard places no restrictions on the r</w:t>
      </w:r>
      <w:r>
        <w:rPr>
          <w:i/>
        </w:rPr>
        <w:t>elationship between the top and margin-top properties on the style attribute.</w:t>
      </w:r>
    </w:p>
    <w:p w:rsidR="000A156F" w:rsidRDefault="00A9721F">
      <w:pPr>
        <w:pStyle w:val="Definition-Field2"/>
      </w:pPr>
      <w:r>
        <w:t>Office combines the values from these two properties into the margin-top property.</w:t>
      </w:r>
    </w:p>
    <w:p w:rsidR="000A156F" w:rsidRDefault="00A9721F">
      <w:pPr>
        <w:pStyle w:val="Definition-Field"/>
      </w:pPr>
      <w:r>
        <w:t xml:space="preserve">hh.  </w:t>
      </w:r>
      <w:r>
        <w:rPr>
          <w:i/>
        </w:rPr>
        <w:t>The standard places no restrictions on the relationship between the left and margin-left p</w:t>
      </w:r>
      <w:r>
        <w:rPr>
          <w:i/>
        </w:rPr>
        <w:t>roperties on the style attribute.</w:t>
      </w:r>
    </w:p>
    <w:p w:rsidR="000A156F" w:rsidRDefault="00A9721F">
      <w:pPr>
        <w:pStyle w:val="Definition-Field2"/>
      </w:pPr>
      <w:r>
        <w:t>Office combines the values from these two properties into the margin-left property.</w:t>
      </w:r>
    </w:p>
    <w:p w:rsidR="000A156F" w:rsidRDefault="00A9721F">
      <w:pPr>
        <w:pStyle w:val="Definition-Field"/>
      </w:pPr>
      <w:r>
        <w:t xml:space="preserve">ii.  </w:t>
      </w:r>
      <w:r>
        <w:rPr>
          <w:i/>
        </w:rPr>
        <w:t>The standard states that the values of the borderbottomcolor attribute are defined by the XML Schema string datatype.</w:t>
      </w:r>
    </w:p>
    <w:p w:rsidR="000A156F" w:rsidRDefault="00A9721F">
      <w:pPr>
        <w:pStyle w:val="Definition-Field2"/>
      </w:pPr>
      <w:r>
        <w:t xml:space="preserve">Office defines </w:t>
      </w:r>
      <w:r>
        <w:t>the values of this attribute with the ST_ColorType simple type.</w:t>
      </w:r>
    </w:p>
    <w:p w:rsidR="000A156F" w:rsidRDefault="00A9721F">
      <w:pPr>
        <w:pStyle w:val="Definition-Field"/>
      </w:pPr>
      <w:r>
        <w:t xml:space="preserve">jj.  </w:t>
      </w:r>
      <w:r>
        <w:rPr>
          <w:i/>
        </w:rPr>
        <w:t>The standard states that the values of the bordertopcolor attribute are defined by the XML Schema string datatype.</w:t>
      </w:r>
    </w:p>
    <w:p w:rsidR="000A156F" w:rsidRDefault="00A9721F">
      <w:pPr>
        <w:pStyle w:val="Definition-Field2"/>
      </w:pPr>
      <w:r>
        <w:t>Office defines the values of this attribute with the ST_ColorType simple</w:t>
      </w:r>
      <w:r>
        <w:t xml:space="preserve"> type.</w:t>
      </w:r>
    </w:p>
    <w:p w:rsidR="000A156F" w:rsidRDefault="00A9721F">
      <w:pPr>
        <w:pStyle w:val="Definition-Field"/>
      </w:pPr>
      <w:r>
        <w:t xml:space="preserve">kk.  </w:t>
      </w:r>
      <w:r>
        <w:rPr>
          <w:i/>
        </w:rPr>
        <w:t>The standard states that the values of the borderrightcolor attribute are defined by the XML Schema string datatype.</w:t>
      </w:r>
    </w:p>
    <w:p w:rsidR="000A156F" w:rsidRDefault="00A9721F">
      <w:pPr>
        <w:pStyle w:val="Definition-Field2"/>
      </w:pPr>
      <w:r>
        <w:t>Office defines the values of this attribute with the ST_ColorType simple type.</w:t>
      </w:r>
    </w:p>
    <w:p w:rsidR="000A156F" w:rsidRDefault="00A9721F">
      <w:pPr>
        <w:pStyle w:val="Definition-Field"/>
      </w:pPr>
      <w:r>
        <w:t xml:space="preserve">ll.  </w:t>
      </w:r>
      <w:r>
        <w:rPr>
          <w:i/>
        </w:rPr>
        <w:t xml:space="preserve">The standard states that the values of the </w:t>
      </w:r>
      <w:r>
        <w:rPr>
          <w:i/>
        </w:rPr>
        <w:t>borderleftcolor attribute are defined by the XML Schema string datatype.</w:t>
      </w:r>
    </w:p>
    <w:p w:rsidR="000A156F" w:rsidRDefault="00A9721F">
      <w:pPr>
        <w:pStyle w:val="Definition-Field2"/>
      </w:pPr>
      <w:r>
        <w:t>Office defines the values of this attribute with the ST_ColorType simple type.</w:t>
      </w:r>
    </w:p>
    <w:p w:rsidR="000A156F" w:rsidRDefault="00A9721F">
      <w:pPr>
        <w:pStyle w:val="Definition-Field"/>
      </w:pPr>
      <w:r>
        <w:t xml:space="preserve">mm.  </w:t>
      </w:r>
      <w:r>
        <w:rPr>
          <w:i/>
        </w:rPr>
        <w:t xml:space="preserve">The standard does not state a valid value range for the mso-wrap-distance-bottom, </w:t>
      </w:r>
      <w:r>
        <w:rPr>
          <w:i/>
        </w:rPr>
        <w:t>mso-wrap-distance-left, mso-wrap-distance-right, mso-wrap-distance-top, width, and height properties on the style attribute.</w:t>
      </w:r>
    </w:p>
    <w:p w:rsidR="000A156F" w:rsidRDefault="00A9721F">
      <w:pPr>
        <w:pStyle w:val="Definition-Field2"/>
      </w:pPr>
      <w:r>
        <w:t>Office requires the values of these properties to be non-negative.</w:t>
      </w:r>
    </w:p>
    <w:p w:rsidR="000A156F" w:rsidRDefault="00A9721F">
      <w:pPr>
        <w:pStyle w:val="Definition-Field"/>
      </w:pPr>
      <w:r>
        <w:t xml:space="preserve">nn.  </w:t>
      </w:r>
      <w:r>
        <w:rPr>
          <w:i/>
        </w:rPr>
        <w:t>The standard states that chromakey and opacity are valid at</w:t>
      </w:r>
      <w:r>
        <w:rPr>
          <w:i/>
        </w:rPr>
        <w:t>tributes on the arc element.</w:t>
      </w:r>
    </w:p>
    <w:p w:rsidR="000A156F" w:rsidRDefault="00A9721F">
      <w:pPr>
        <w:pStyle w:val="Definition-Field2"/>
      </w:pPr>
      <w:r>
        <w:t>Office does not support these attributes on this element.</w:t>
      </w:r>
    </w:p>
    <w:p w:rsidR="000A156F" w:rsidRDefault="00A9721F">
      <w:pPr>
        <w:pStyle w:val="Definition-Field"/>
      </w:pPr>
      <w:r>
        <w:t xml:space="preserve">oo.  </w:t>
      </w:r>
      <w:r>
        <w:rPr>
          <w:i/>
        </w:rPr>
        <w:t>The standard states that class is a valid attribute.</w:t>
      </w:r>
    </w:p>
    <w:p w:rsidR="000A156F" w:rsidRDefault="00A9721F">
      <w:pPr>
        <w:pStyle w:val="Definition-Field2"/>
      </w:pPr>
      <w:r>
        <w:t>Office does not support this attribute.</w:t>
      </w:r>
    </w:p>
    <w:p w:rsidR="000A156F" w:rsidRDefault="00A9721F">
      <w:pPr>
        <w:pStyle w:val="Definition-Field"/>
      </w:pPr>
      <w:r>
        <w:t xml:space="preserve">pp.  </w:t>
      </w:r>
      <w:r>
        <w:rPr>
          <w:i/>
        </w:rPr>
        <w:t xml:space="preserve">The standard states that the default value of the connectortype </w:t>
      </w:r>
      <w:r>
        <w:rPr>
          <w:i/>
        </w:rPr>
        <w:t>attribute is straight.</w:t>
      </w:r>
    </w:p>
    <w:p w:rsidR="000A156F" w:rsidRDefault="00A9721F">
      <w:pPr>
        <w:pStyle w:val="Definition-Field2"/>
      </w:pPr>
      <w:r>
        <w:t>Office uses a default value of none for this attribute.</w:t>
      </w:r>
    </w:p>
    <w:p w:rsidR="000A156F" w:rsidRDefault="00A9721F">
      <w:pPr>
        <w:pStyle w:val="Definition-Field"/>
      </w:pPr>
      <w:r>
        <w:t xml:space="preserve">qq.  </w:t>
      </w:r>
      <w:r>
        <w:rPr>
          <w:i/>
        </w:rPr>
        <w:t>The standard states that coordsize is a valid attribute on the image and roundrect elements.</w:t>
      </w:r>
    </w:p>
    <w:p w:rsidR="000A156F" w:rsidRDefault="00A9721F">
      <w:pPr>
        <w:pStyle w:val="Definition-Field2"/>
      </w:pPr>
      <w:r>
        <w:t>Office does not support this attribute on these elements.</w:t>
      </w:r>
    </w:p>
    <w:p w:rsidR="000A156F" w:rsidRDefault="00A9721F">
      <w:pPr>
        <w:pStyle w:val="Definition-Field"/>
      </w:pPr>
      <w:r>
        <w:t xml:space="preserve">rr.  </w:t>
      </w:r>
      <w:r>
        <w:rPr>
          <w:i/>
        </w:rPr>
        <w:t>The standard sta</w:t>
      </w:r>
      <w:r>
        <w:rPr>
          <w:i/>
        </w:rPr>
        <w:t>tes that the dgmnodekind attribute specifies an optional, application-specific parameter that is intended to be used by the application to tag different types of nodes in a diagram.</w:t>
      </w:r>
    </w:p>
    <w:p w:rsidR="000A156F" w:rsidRDefault="00A9721F">
      <w:pPr>
        <w:pStyle w:val="Definition-Field2"/>
      </w:pPr>
      <w:r>
        <w:t>Office uses this attribute to indicate which type of position in an organi</w:t>
      </w:r>
      <w:r>
        <w:t>zation chart the shape represents.</w:t>
      </w:r>
    </w:p>
    <w:p w:rsidR="000A156F" w:rsidRDefault="00A9721F">
      <w:pPr>
        <w:pStyle w:val="Definition-Field"/>
      </w:pPr>
      <w:r>
        <w:lastRenderedPageBreak/>
        <w:t xml:space="preserve">ss.  </w:t>
      </w:r>
      <w:r>
        <w:rPr>
          <w:i/>
        </w:rPr>
        <w:t>The standard does not state how to interpret the value of the hrpct attribute.</w:t>
      </w:r>
    </w:p>
    <w:p w:rsidR="000A156F" w:rsidRDefault="00A9721F">
      <w:pPr>
        <w:pStyle w:val="Definition-Field2"/>
      </w:pPr>
      <w:r>
        <w:t>Office interprets this attribute as tenths of a percentage point of the page width, where the page width is the width of the page without</w:t>
      </w:r>
      <w:r>
        <w:t xml:space="preserve"> the margins.</w:t>
      </w:r>
    </w:p>
    <w:p w:rsidR="000A156F" w:rsidRDefault="00A9721F">
      <w:pPr>
        <w:pStyle w:val="Definition-Field"/>
      </w:pPr>
      <w:r>
        <w:t xml:space="preserve">tt.  </w:t>
      </w:r>
      <w:r>
        <w:rPr>
          <w:i/>
        </w:rPr>
        <w:t>The standard states that the values of the hrpct attribute are defined by the XML Schema float datatype.</w:t>
      </w:r>
    </w:p>
    <w:p w:rsidR="000A156F" w:rsidRDefault="00A9721F">
      <w:pPr>
        <w:pStyle w:val="Definition-Field2"/>
      </w:pPr>
      <w:r>
        <w:t>Office restricts the value of this attribute to be at least 0 and at most 1000.</w:t>
      </w:r>
    </w:p>
    <w:p w:rsidR="000A156F" w:rsidRDefault="00A9721F">
      <w:pPr>
        <w:pStyle w:val="Definition-Field"/>
      </w:pPr>
      <w:r>
        <w:t xml:space="preserve">uu.  </w:t>
      </w:r>
      <w:r>
        <w:rPr>
          <w:i/>
        </w:rPr>
        <w:t>The standard states that the default value of t</w:t>
      </w:r>
      <w:r>
        <w:rPr>
          <w:i/>
        </w:rPr>
        <w:t>he hrpct attribute is 0.</w:t>
      </w:r>
    </w:p>
    <w:p w:rsidR="000A156F" w:rsidRDefault="00A9721F">
      <w:pPr>
        <w:pStyle w:val="Definition-Field2"/>
      </w:pPr>
      <w:r>
        <w:t>Office uses a default value of 1000 for this attribute.</w:t>
      </w:r>
    </w:p>
    <w:p w:rsidR="000A156F" w:rsidRDefault="00A9721F">
      <w:pPr>
        <w:pStyle w:val="Definition-Field"/>
      </w:pPr>
      <w:r>
        <w:t xml:space="preserve">vv.  </w:t>
      </w:r>
      <w:r>
        <w:rPr>
          <w:i/>
        </w:rPr>
        <w:t>The standard places no restrictions on when the ole attribute is preserved.</w:t>
      </w:r>
    </w:p>
    <w:p w:rsidR="000A156F" w:rsidRDefault="00A9721F">
      <w:pPr>
        <w:pStyle w:val="Definition-Field2"/>
      </w:pPr>
      <w:r>
        <w:t>Office only preserves this attribute when the value of the spt attribute is 75 and a related O</w:t>
      </w:r>
      <w:r>
        <w:t>LEObject element exists.</w:t>
      </w:r>
    </w:p>
    <w:p w:rsidR="000A156F" w:rsidRDefault="00A9721F">
      <w:pPr>
        <w:pStyle w:val="Definition-Field"/>
      </w:pPr>
      <w:r>
        <w:t xml:space="preserve">ww.  </w:t>
      </w:r>
      <w:r>
        <w:rPr>
          <w:i/>
        </w:rPr>
        <w:t>The standard does not state how to interpret the locations specified in the wrapcoords attribute.</w:t>
      </w:r>
    </w:p>
    <w:p w:rsidR="000A156F" w:rsidRDefault="00A9721F">
      <w:pPr>
        <w:pStyle w:val="Definition-Field2"/>
      </w:pPr>
      <w:r>
        <w:t>Office interprets these locations to be in terms of a 21,600-coordinate unit square, scaled anisotropically to fit the shape's d</w:t>
      </w:r>
      <w:r>
        <w:t>imensions, that maps to the bounding rectangle of the shape, with an origin at the top, left corner.</w:t>
      </w:r>
    </w:p>
    <w:p w:rsidR="000A156F" w:rsidRDefault="00A9721F">
      <w:pPr>
        <w:pStyle w:val="Definition-Field"/>
      </w:pPr>
      <w:r>
        <w:t xml:space="preserve">xx.  </w:t>
      </w:r>
      <w:r>
        <w:rPr>
          <w:i/>
        </w:rPr>
        <w:t>The standard states that the wrapcoords attribute is specified using a comma-delimited list of x and y coordinates.</w:t>
      </w:r>
    </w:p>
    <w:p w:rsidR="000A156F" w:rsidRDefault="00A9721F">
      <w:pPr>
        <w:pStyle w:val="Definition-Field2"/>
      </w:pPr>
      <w:r>
        <w:t>Office uses a space-delimited list</w:t>
      </w:r>
      <w:r>
        <w:t xml:space="preserve"> to specify this attribute, both when delimiting the x and y coordinates in a point and when delimiting points in the list.</w:t>
      </w:r>
    </w:p>
    <w:p w:rsidR="000A156F" w:rsidRDefault="00A9721F">
      <w:pPr>
        <w:pStyle w:val="Definition-Field"/>
      </w:pPr>
      <w:r>
        <w:t xml:space="preserve">yy.  </w:t>
      </w:r>
      <w:r>
        <w:rPr>
          <w:i/>
        </w:rPr>
        <w:t>The standard places no restrictions on the relationship between the borderbottomcolor attribute and the borderbottom child elem</w:t>
      </w:r>
      <w:r>
        <w:rPr>
          <w:i/>
        </w:rPr>
        <w:t>ent.</w:t>
      </w:r>
    </w:p>
    <w:p w:rsidR="000A156F" w:rsidRDefault="00A9721F">
      <w:pPr>
        <w:pStyle w:val="Definition-Field2"/>
      </w:pPr>
      <w:r>
        <w:t>Office ignores the borderbottomcolor attribute if there is no borderbottom child element.</w:t>
      </w:r>
    </w:p>
    <w:p w:rsidR="000A156F" w:rsidRDefault="00A9721F">
      <w:pPr>
        <w:pStyle w:val="Definition-Field"/>
      </w:pPr>
      <w:r>
        <w:t xml:space="preserve">zz.  </w:t>
      </w:r>
      <w:r>
        <w:rPr>
          <w:i/>
        </w:rPr>
        <w:t>The standard places no restrictions on the relationship between the bordertopcolor attribute and the bordertop child element.</w:t>
      </w:r>
    </w:p>
    <w:p w:rsidR="000A156F" w:rsidRDefault="00A9721F">
      <w:pPr>
        <w:pStyle w:val="Definition-Field2"/>
      </w:pPr>
      <w:r>
        <w:t>Office ignores the bordertopco</w:t>
      </w:r>
      <w:r>
        <w:t>lor attribute if there is no bordertop child element.</w:t>
      </w:r>
    </w:p>
    <w:p w:rsidR="000A156F" w:rsidRDefault="00A9721F">
      <w:pPr>
        <w:pStyle w:val="Definition-Field"/>
      </w:pPr>
      <w:r>
        <w:t xml:space="preserve">aaa. </w:t>
      </w:r>
      <w:r>
        <w:rPr>
          <w:i/>
        </w:rPr>
        <w:t>The standard places no restrictions on the relationship between the borderrightcolor attribute and the borderright child element.</w:t>
      </w:r>
    </w:p>
    <w:p w:rsidR="000A156F" w:rsidRDefault="00A9721F">
      <w:pPr>
        <w:pStyle w:val="Definition-Field2"/>
      </w:pPr>
      <w:r>
        <w:t xml:space="preserve">Office ignores the borderrightcolor attribute if there is no </w:t>
      </w:r>
      <w:r>
        <w:t>borderright child element.</w:t>
      </w:r>
    </w:p>
    <w:p w:rsidR="000A156F" w:rsidRDefault="00A9721F">
      <w:pPr>
        <w:pStyle w:val="Definition-Field"/>
      </w:pPr>
      <w:r>
        <w:t xml:space="preserve">bbb. </w:t>
      </w:r>
      <w:r>
        <w:rPr>
          <w:i/>
        </w:rPr>
        <w:t>The standard places no restrictions on the relationship between the borderleftcolor attribute and the borderleft child element.</w:t>
      </w:r>
    </w:p>
    <w:p w:rsidR="000A156F" w:rsidRDefault="00A9721F">
      <w:pPr>
        <w:pStyle w:val="Definition-Field2"/>
      </w:pPr>
      <w:r>
        <w:t>Office ignores the borderleftcolor attribute if there is no borderleft child element.</w:t>
      </w:r>
    </w:p>
    <w:p w:rsidR="000A156F" w:rsidRDefault="00A9721F">
      <w:pPr>
        <w:pStyle w:val="Definition-Field"/>
      </w:pPr>
      <w:r>
        <w:t xml:space="preserve">ccc. </w:t>
      </w:r>
      <w:r>
        <w:rPr>
          <w:i/>
        </w:rPr>
        <w:t>The s</w:t>
      </w:r>
      <w:r>
        <w:rPr>
          <w:i/>
        </w:rPr>
        <w:t>tandard states that the default value of the strokeweight attribute is 1 point.</w:t>
      </w:r>
    </w:p>
    <w:p w:rsidR="000A156F" w:rsidRDefault="00A9721F">
      <w:pPr>
        <w:pStyle w:val="Definition-Field2"/>
      </w:pPr>
      <w:r>
        <w:t>Office uses a default value of 0.75 points for this attribute.</w:t>
      </w:r>
    </w:p>
    <w:p w:rsidR="000A156F" w:rsidRDefault="00A9721F">
      <w:pPr>
        <w:pStyle w:val="Definition-Field"/>
      </w:pPr>
      <w:r>
        <w:t xml:space="preserve">ddd. </w:t>
      </w:r>
      <w:r>
        <w:rPr>
          <w:i/>
        </w:rPr>
        <w:t>The standard states that pixels are an absolute unit designator in the description for the margin-left, marg</w:t>
      </w:r>
      <w:r>
        <w:rPr>
          <w:i/>
        </w:rPr>
        <w:t>in-top, margin-right, margin-bottom, left, top, width, and height properties on the style attribute.</w:t>
      </w:r>
    </w:p>
    <w:p w:rsidR="000A156F" w:rsidRDefault="00A9721F">
      <w:pPr>
        <w:pStyle w:val="Definition-Field2"/>
      </w:pPr>
      <w:r>
        <w:t>Office treats pixels as a relative unit designator.</w:t>
      </w:r>
    </w:p>
    <w:p w:rsidR="000A156F" w:rsidRDefault="00A9721F">
      <w:pPr>
        <w:pStyle w:val="Definition-Field"/>
      </w:pPr>
      <w:r>
        <w:lastRenderedPageBreak/>
        <w:t xml:space="preserve">eee. </w:t>
      </w:r>
      <w:r>
        <w:rPr>
          <w:i/>
        </w:rPr>
        <w:t>The standard implies that the mso-position-vertical-relative property on the style attribute is op</w:t>
      </w:r>
      <w:r>
        <w:rPr>
          <w:i/>
        </w:rPr>
        <w:t>tional.</w:t>
      </w:r>
    </w:p>
    <w:p w:rsidR="000A156F" w:rsidRDefault="00A9721F">
      <w:pPr>
        <w:pStyle w:val="Definition-Field2"/>
      </w:pPr>
      <w:r>
        <w:t>Office requires this property to be specified when the value of the mso-position-vertical property on the style attribute is not absolute.</w:t>
      </w:r>
    </w:p>
    <w:p w:rsidR="000A156F" w:rsidRDefault="00A9721F">
      <w:pPr>
        <w:pStyle w:val="Definition-Field"/>
      </w:pPr>
      <w:r>
        <w:t xml:space="preserve">fff. </w:t>
      </w:r>
      <w:r>
        <w:rPr>
          <w:i/>
        </w:rPr>
        <w:t>The standard does not state how to interpret a value of 0 on the hrpct attribute.</w:t>
      </w:r>
    </w:p>
    <w:p w:rsidR="000A156F" w:rsidRDefault="00A9721F">
      <w:pPr>
        <w:pStyle w:val="Definition-Field2"/>
      </w:pPr>
      <w:r>
        <w:t>Office interprets a va</w:t>
      </w:r>
      <w:r>
        <w:t>lue of 0 on this attribute to indicate that the size of the object is not expressed in terms of percentage of the page width.</w:t>
      </w:r>
    </w:p>
    <w:p w:rsidR="000A156F" w:rsidRDefault="00A9721F">
      <w:pPr>
        <w:pStyle w:val="Definition-Field"/>
      </w:pPr>
      <w:r>
        <w:t xml:space="preserve">ggg. </w:t>
      </w:r>
      <w:r>
        <w:rPr>
          <w:i/>
        </w:rPr>
        <w:t>The standard does not state how to interpret multiple occurrences of a given property on the style attribute.</w:t>
      </w:r>
    </w:p>
    <w:p w:rsidR="000A156F" w:rsidRDefault="00A9721F">
      <w:pPr>
        <w:pStyle w:val="Definition-Field2"/>
      </w:pPr>
      <w:r>
        <w:t xml:space="preserve">Office ignores </w:t>
      </w:r>
      <w:r>
        <w:t>all but the last occurrence of a property that is specified more than once.</w:t>
      </w:r>
    </w:p>
    <w:p w:rsidR="000A156F" w:rsidRDefault="00A9721F">
      <w:pPr>
        <w:pStyle w:val="Definition-Field"/>
      </w:pPr>
      <w:r>
        <w:t xml:space="preserve">hhh. </w:t>
      </w:r>
      <w:r>
        <w:rPr>
          <w:i/>
        </w:rPr>
        <w:t>The standard places no restrictions on when the units specified in the margin-left, margin-top, left, top, width, and height properties on the style attribute will be used.</w:t>
      </w:r>
    </w:p>
    <w:p w:rsidR="000A156F" w:rsidRDefault="00A9721F">
      <w:pPr>
        <w:pStyle w:val="Definition-Field2"/>
      </w:pPr>
      <w:r>
        <w:t>Of</w:t>
      </w:r>
      <w:r>
        <w:t>fice ignores the units specified on these properties when the element is a child in a group; the values are considered to be specified in the coordinate space of the parent, defined by the coordsize and coordorigin attributes.</w:t>
      </w:r>
    </w:p>
    <w:p w:rsidR="000A156F" w:rsidRDefault="00A9721F">
      <w:pPr>
        <w:pStyle w:val="Definition-Field"/>
      </w:pPr>
      <w:r>
        <w:t xml:space="preserve">iii. </w:t>
      </w:r>
      <w:r>
        <w:rPr>
          <w:i/>
        </w:rPr>
        <w:t>The standard states that</w:t>
      </w:r>
      <w:r>
        <w:rPr>
          <w:i/>
        </w:rPr>
        <w:t xml:space="preserve"> the left property on the style attribute specifies the position of the left of the containing block of the shape relative to the element left of it in the flow of the page.</w:t>
      </w:r>
    </w:p>
    <w:p w:rsidR="000A156F" w:rsidRDefault="00A9721F">
      <w:pPr>
        <w:pStyle w:val="Definition-Field2"/>
      </w:pPr>
      <w:r>
        <w:t xml:space="preserve">Office uses this property to specify the position of the left edge of the content </w:t>
      </w:r>
      <w:r>
        <w:t>block from the left margin or, if the left margin is not set, from the anchor.</w:t>
      </w:r>
    </w:p>
    <w:p w:rsidR="000A156F" w:rsidRDefault="00A9721F">
      <w:pPr>
        <w:pStyle w:val="Definition-Field"/>
      </w:pPr>
      <w:r>
        <w:t xml:space="preserve">jjj. </w:t>
      </w:r>
      <w:r>
        <w:rPr>
          <w:i/>
        </w:rPr>
        <w:t xml:space="preserve">The standard states that the margin-left property on the style attribute specifies the position of the left of the containing block of the shape relative to the shape </w:t>
      </w:r>
      <w:r>
        <w:rPr>
          <w:i/>
        </w:rPr>
        <w:t>anchor.</w:t>
      </w:r>
    </w:p>
    <w:p w:rsidR="000A156F" w:rsidRDefault="00A9721F">
      <w:pPr>
        <w:pStyle w:val="Definition-Field2"/>
      </w:pPr>
      <w:r>
        <w:t>Office uses this property to specify the position of the left margin of the content block from the anchor.</w:t>
      </w:r>
    </w:p>
    <w:p w:rsidR="000A156F" w:rsidRDefault="00A9721F">
      <w:pPr>
        <w:pStyle w:val="Definition-Field"/>
      </w:pPr>
      <w:r>
        <w:t xml:space="preserve">kkk. </w:t>
      </w:r>
      <w:r>
        <w:rPr>
          <w:i/>
        </w:rPr>
        <w:t>The standard states that the mso-position-horizontal-relative property on the style attribute allows values of text and char, without re</w:t>
      </w:r>
      <w:r>
        <w:rPr>
          <w:i/>
        </w:rPr>
        <w:t>striction.</w:t>
      </w:r>
    </w:p>
    <w:p w:rsidR="000A156F" w:rsidRDefault="00A9721F">
      <w:pPr>
        <w:pStyle w:val="Definition-Field2"/>
      </w:pPr>
      <w:r>
        <w:t>Office does not allow these values when this property is modifying the mso-left-percent property on the style attribute, or when the value of the mso-position-horizontal property on the style attribute is inside or outside.</w:t>
      </w:r>
    </w:p>
    <w:p w:rsidR="000A156F" w:rsidRDefault="00A9721F">
      <w:pPr>
        <w:pStyle w:val="Definition-Field"/>
      </w:pPr>
      <w:r>
        <w:t xml:space="preserve">lll. </w:t>
      </w:r>
      <w:r>
        <w:rPr>
          <w:i/>
        </w:rPr>
        <w:t>The standard sta</w:t>
      </w:r>
      <w:r>
        <w:rPr>
          <w:i/>
        </w:rPr>
        <w:t>tes that the mso-position-vertical-relative property on the style attribute allows a value of text, without restriction.</w:t>
      </w:r>
    </w:p>
    <w:p w:rsidR="000A156F" w:rsidRDefault="00A9721F">
      <w:pPr>
        <w:pStyle w:val="Definition-Field2"/>
      </w:pPr>
      <w:r>
        <w:t>Office only allows this value when this property is modifying the mso-position-vertical property on the style attribute and the value o</w:t>
      </w:r>
      <w:r>
        <w:t>f that property is absolute.</w:t>
      </w:r>
    </w:p>
    <w:p w:rsidR="000A156F" w:rsidRDefault="00A9721F">
      <w:pPr>
        <w:pStyle w:val="Definition-Field"/>
      </w:pPr>
      <w:r>
        <w:t xml:space="preserve">mmm. </w:t>
      </w:r>
      <w:r>
        <w:rPr>
          <w:i/>
        </w:rPr>
        <w:t>The standard states that the default value of the spt attribute is 0.</w:t>
      </w:r>
    </w:p>
    <w:p w:rsidR="000A156F" w:rsidRDefault="00A9721F">
      <w:pPr>
        <w:pStyle w:val="Definition-Field2"/>
      </w:pPr>
      <w:r>
        <w:t>Office uses a default value of 19 for the arc element.</w:t>
      </w:r>
    </w:p>
    <w:p w:rsidR="000A156F" w:rsidRDefault="00A9721F">
      <w:pPr>
        <w:pStyle w:val="Definition-Field"/>
      </w:pPr>
      <w:r>
        <w:t xml:space="preserve">nnn. </w:t>
      </w:r>
      <w:r>
        <w:rPr>
          <w:i/>
        </w:rPr>
        <w:t>The standard places no restrictions on the relationship between the connectortype and spt at</w:t>
      </w:r>
      <w:r>
        <w:rPr>
          <w:i/>
        </w:rPr>
        <w:t>tributes.</w:t>
      </w:r>
    </w:p>
    <w:p w:rsidR="000A156F" w:rsidRDefault="00A9721F">
      <w:pPr>
        <w:pStyle w:val="Definition-Field2"/>
      </w:pPr>
      <w:r>
        <w:t>Office ignores the connectortype attribute if the spt attribute does not indicate that the element is a connector.</w:t>
      </w:r>
    </w:p>
    <w:p w:rsidR="000A156F" w:rsidRDefault="00A9721F">
      <w:pPr>
        <w:pStyle w:val="Definition-Field"/>
      </w:pPr>
      <w:r>
        <w:t xml:space="preserve">ooo. </w:t>
      </w:r>
      <w:r>
        <w:rPr>
          <w:i/>
        </w:rPr>
        <w:t>The standard implies that text can be added to the arc element via the textbox child element.</w:t>
      </w:r>
    </w:p>
    <w:p w:rsidR="000A156F" w:rsidRDefault="00A9721F">
      <w:pPr>
        <w:pStyle w:val="Definition-Field2"/>
      </w:pPr>
      <w:r>
        <w:lastRenderedPageBreak/>
        <w:t>Office may generate such content</w:t>
      </w:r>
      <w:r>
        <w:t xml:space="preserve"> but subsequent open/save operations will not preserve that content on this element.</w:t>
      </w:r>
    </w:p>
    <w:p w:rsidR="000A156F" w:rsidRDefault="00A9721F">
      <w:pPr>
        <w:pStyle w:val="Definition-Field"/>
      </w:pPr>
      <w:r>
        <w:t xml:space="preserve">ppp. </w:t>
      </w:r>
      <w:r>
        <w:rPr>
          <w:i/>
        </w:rPr>
        <w:t>The standard implies that the arc element will preserve text wrapping information on the wrap child element.</w:t>
      </w:r>
    </w:p>
    <w:p w:rsidR="000A156F" w:rsidRDefault="00A9721F">
      <w:pPr>
        <w:pStyle w:val="Definition-Field2"/>
      </w:pPr>
      <w:r>
        <w:t xml:space="preserve">Office will not preserve this information on this child </w:t>
      </w:r>
      <w:r>
        <w:t>element.</w:t>
      </w:r>
    </w:p>
    <w:p w:rsidR="000A156F" w:rsidRDefault="00A9721F">
      <w:pPr>
        <w:pStyle w:val="Definition-Field"/>
      </w:pPr>
      <w:r>
        <w:t xml:space="preserve">qqq. </w:t>
      </w:r>
      <w:r>
        <w:rPr>
          <w:i/>
        </w:rPr>
        <w:t>The standard states that the possible values for the ole attribute are defined by the ST_TrueFalseBlank simple type.</w:t>
      </w:r>
    </w:p>
    <w:p w:rsidR="000A156F" w:rsidRDefault="00A9721F">
      <w:pPr>
        <w:pStyle w:val="Definition-Field2"/>
      </w:pPr>
      <w:r>
        <w:t>Office considers the existence of the ole attribute, regardless of its value, to indicate a value of true.</w:t>
      </w:r>
    </w:p>
    <w:p w:rsidR="000A156F" w:rsidRDefault="00A9721F">
      <w:pPr>
        <w:pStyle w:val="Definition-Field"/>
      </w:pPr>
      <w:r>
        <w:t xml:space="preserve">rrr. </w:t>
      </w:r>
      <w:r>
        <w:rPr>
          <w:i/>
        </w:rPr>
        <w:t xml:space="preserve">The standard </w:t>
      </w:r>
      <w:r>
        <w:rPr>
          <w:i/>
        </w:rPr>
        <w:t>does not state a default value for the insetpen attribute.</w:t>
      </w:r>
    </w:p>
    <w:p w:rsidR="000A156F" w:rsidRDefault="00A9721F">
      <w:pPr>
        <w:pStyle w:val="Definition-Field2"/>
      </w:pPr>
      <w:r>
        <w:t>Office uses default value of false for this attribute.</w:t>
      </w:r>
    </w:p>
    <w:p w:rsidR="000A156F" w:rsidRDefault="00A9721F">
      <w:pPr>
        <w:pStyle w:val="Definition-Field"/>
      </w:pPr>
      <w:r>
        <w:t xml:space="preserve">sss. </w:t>
      </w:r>
      <w:r>
        <w:rPr>
          <w:i/>
        </w:rPr>
        <w:t>The standard states that the background element is a valid parent for the arc element.</w:t>
      </w:r>
    </w:p>
    <w:p w:rsidR="000A156F" w:rsidRDefault="00A9721F">
      <w:pPr>
        <w:pStyle w:val="Definition-Field2"/>
      </w:pPr>
      <w:r>
        <w:t xml:space="preserve">Office does not support the background element as </w:t>
      </w:r>
      <w:r>
        <w:t>a parent of the arc element.</w:t>
      </w:r>
    </w:p>
    <w:p w:rsidR="000A156F" w:rsidRDefault="00A9721F">
      <w:pPr>
        <w:pStyle w:val="Definition-Field"/>
      </w:pPr>
      <w:r>
        <w:t xml:space="preserve">ttt. </w:t>
      </w:r>
      <w:r>
        <w:rPr>
          <w:i/>
        </w:rPr>
        <w:t>The standard states that the mso-position-horizontal-relative property on the style attribute modifies the mso-position-horizontal property on the style attribute.</w:t>
      </w:r>
    </w:p>
    <w:p w:rsidR="000A156F" w:rsidRDefault="00A9721F">
      <w:pPr>
        <w:pStyle w:val="Definition-Field2"/>
      </w:pPr>
      <w:r>
        <w:t xml:space="preserve">Office uses the mso-position-horizontal-relative property </w:t>
      </w:r>
      <w:r>
        <w:t>to modify either the mso-position-horizontal property or the mso-left-percent property on the style attribute.</w:t>
      </w:r>
    </w:p>
    <w:p w:rsidR="000A156F" w:rsidRDefault="00A9721F">
      <w:pPr>
        <w:pStyle w:val="Definition-Field"/>
      </w:pPr>
      <w:r>
        <w:t xml:space="preserve">uuu. </w:t>
      </w:r>
      <w:r>
        <w:rPr>
          <w:i/>
        </w:rPr>
        <w:t>The standard states that the mso-position-vertical-relative property on the style attribute allows a value of line, without restriction.</w:t>
      </w:r>
    </w:p>
    <w:p w:rsidR="000A156F" w:rsidRDefault="00A9721F">
      <w:pPr>
        <w:pStyle w:val="Definition-Field2"/>
      </w:pPr>
      <w:r>
        <w:t>Off</w:t>
      </w:r>
      <w:r>
        <w:t>ice does not allow this value when this property is modifying the mso-top-percent property on the style attribute.</w:t>
      </w:r>
    </w:p>
    <w:p w:rsidR="000A156F" w:rsidRDefault="00A9721F">
      <w:pPr>
        <w:pStyle w:val="Definition-Field"/>
      </w:pPr>
      <w:r>
        <w:t xml:space="preserve">vvv. </w:t>
      </w:r>
      <w:r>
        <w:rPr>
          <w:i/>
        </w:rPr>
        <w:t xml:space="preserve">The standard states that the mso-position-vertical-relative property on the style attribute modifies the mso-position-vertical property </w:t>
      </w:r>
      <w:r>
        <w:rPr>
          <w:i/>
        </w:rPr>
        <w:t>on the style attribute.</w:t>
      </w:r>
    </w:p>
    <w:p w:rsidR="000A156F" w:rsidRDefault="00A9721F">
      <w:pPr>
        <w:pStyle w:val="Definition-Field2"/>
      </w:pPr>
      <w:r>
        <w:t>Office uses the mso-position-vertical-relative property to modify either the mso-position-vertical property or the mso-top-percent property on the style attribute.</w:t>
      </w:r>
    </w:p>
    <w:p w:rsidR="000A156F" w:rsidRDefault="00A9721F">
      <w:pPr>
        <w:pStyle w:val="Definition-Field"/>
      </w:pPr>
      <w:r>
        <w:t xml:space="preserve">www. </w:t>
      </w:r>
      <w:r>
        <w:rPr>
          <w:i/>
        </w:rPr>
        <w:t>The standard states that top-center, middle-center, bottom-cent</w:t>
      </w:r>
      <w:r>
        <w:rPr>
          <w:i/>
        </w:rPr>
        <w:t>er, top-baseline, bottom-baseline, top-center-baseline, and bottom-center-baseline are valid values for the v-text-anchor property on the style attribute.</w:t>
      </w:r>
    </w:p>
    <w:p w:rsidR="000A156F" w:rsidRDefault="00A9721F">
      <w:pPr>
        <w:pStyle w:val="Definition-Field2"/>
      </w:pPr>
      <w:r>
        <w:t>Office does not support these values on this property.</w:t>
      </w:r>
    </w:p>
    <w:p w:rsidR="000A156F" w:rsidRDefault="00A9721F">
      <w:pPr>
        <w:pStyle w:val="Definition-Field"/>
      </w:pPr>
      <w:r>
        <w:t xml:space="preserve">xxx. </w:t>
      </w:r>
      <w:r>
        <w:rPr>
          <w:i/>
        </w:rPr>
        <w:t>The standard places no restrictions on wh</w:t>
      </w:r>
      <w:r>
        <w:rPr>
          <w:i/>
        </w:rPr>
        <w:t>en the allowincell attribute is applicable.</w:t>
      </w:r>
    </w:p>
    <w:p w:rsidR="000A156F" w:rsidRDefault="00A9721F">
      <w:pPr>
        <w:pStyle w:val="Definition-Field2"/>
      </w:pPr>
      <w:r>
        <w:t>Excel and PowerPoint do not support this attribute; Word does not support this attribute on inline shapes.</w:t>
      </w:r>
    </w:p>
    <w:p w:rsidR="000A156F" w:rsidRDefault="00A9721F">
      <w:pPr>
        <w:pStyle w:val="Definition-Field"/>
      </w:pPr>
      <w:r>
        <w:t xml:space="preserve">yyy. </w:t>
      </w:r>
      <w:r>
        <w:rPr>
          <w:i/>
        </w:rPr>
        <w:t>The standard places no restrictions on when the coordorigin attribute is preserved.</w:t>
      </w:r>
    </w:p>
    <w:p w:rsidR="000A156F" w:rsidRDefault="00A9721F">
      <w:pPr>
        <w:pStyle w:val="Definition-Field2"/>
      </w:pPr>
      <w:r>
        <w:t xml:space="preserve">Office does not </w:t>
      </w:r>
      <w:r>
        <w:t>preserve this attribute on a shape that references, via the type attribute, a shapetype element with the same coordorigin value.</w:t>
      </w:r>
    </w:p>
    <w:p w:rsidR="000A156F" w:rsidRDefault="00A9721F">
      <w:pPr>
        <w:pStyle w:val="Definition-Field"/>
      </w:pPr>
      <w:r>
        <w:t xml:space="preserve">zzz. </w:t>
      </w:r>
      <w:r>
        <w:rPr>
          <w:i/>
        </w:rPr>
        <w:t>The standard places no restrictions on when the coordorigin and coordsize attributes are preserved on the arc element.</w:t>
      </w:r>
    </w:p>
    <w:p w:rsidR="000A156F" w:rsidRDefault="00A9721F">
      <w:pPr>
        <w:pStyle w:val="Definition-Field2"/>
      </w:pPr>
      <w:r>
        <w:t>Off</w:t>
      </w:r>
      <w:r>
        <w:t>ice preserves these attributes only when this element has at least one of the following child elements:  a path with connection points specified in its connectlocs attribute; a path with a textbox specified in its textboxrect attribute; or handles.</w:t>
      </w:r>
    </w:p>
    <w:p w:rsidR="000A156F" w:rsidRDefault="00A9721F">
      <w:pPr>
        <w:pStyle w:val="Definition-Field"/>
      </w:pPr>
      <w:r>
        <w:lastRenderedPageBreak/>
        <w:t xml:space="preserve">aaaa. </w:t>
      </w:r>
      <w:r>
        <w:rPr>
          <w:i/>
        </w:rPr>
        <w:t>T</w:t>
      </w:r>
      <w:r>
        <w:rPr>
          <w:i/>
        </w:rPr>
        <w:t>he standard states that values of the dgmnodekind attribute are defined by the XML Schema integer datatype.</w:t>
      </w:r>
    </w:p>
    <w:p w:rsidR="000A156F" w:rsidRDefault="00A9721F">
      <w:pPr>
        <w:pStyle w:val="Definition-Field2"/>
      </w:pPr>
      <w:r>
        <w:t>Office restricts the values of this attribute to be at least 0 and at most 6, where the values represent regular, root, assistant, co-worker, subord</w:t>
      </w:r>
      <w:r>
        <w:t>inate, auxiliary, and default, respectively.</w:t>
      </w:r>
    </w:p>
    <w:p w:rsidR="000A156F" w:rsidRDefault="00A9721F">
      <w:pPr>
        <w:pStyle w:val="Definition-Field"/>
      </w:pPr>
      <w:r>
        <w:t xml:space="preserve">bbbb. </w:t>
      </w:r>
      <w:r>
        <w:rPr>
          <w:i/>
        </w:rPr>
        <w:t>The standard places no restrictions on when the coordsize attribute is preserved.</w:t>
      </w:r>
    </w:p>
    <w:p w:rsidR="000A156F" w:rsidRDefault="00A9721F">
      <w:pPr>
        <w:pStyle w:val="Definition-Field2"/>
      </w:pPr>
      <w:r>
        <w:t>Office does not preserve this attribute on a shape that references, via the type attribute, a shapetype element with the sa</w:t>
      </w:r>
      <w:r>
        <w:t>me coordorigin value.</w:t>
      </w:r>
    </w:p>
    <w:p w:rsidR="000A156F" w:rsidRDefault="00A9721F">
      <w:pPr>
        <w:pStyle w:val="Definition-Field"/>
      </w:pPr>
      <w:r>
        <w:t xml:space="preserve">cccc. </w:t>
      </w:r>
      <w:r>
        <w:rPr>
          <w:i/>
        </w:rPr>
        <w:t>The standard places no restrictions on the value of the spt attribute.</w:t>
      </w:r>
    </w:p>
    <w:p w:rsidR="000A156F" w:rsidRDefault="00A9721F">
      <w:pPr>
        <w:pStyle w:val="Definition-Field2"/>
      </w:pPr>
      <w:r>
        <w:t>Office requires that the spt attribute on an arc element have a value of 19.</w:t>
      </w:r>
    </w:p>
    <w:p w:rsidR="000A156F" w:rsidRDefault="00A9721F">
      <w:pPr>
        <w:pStyle w:val="Definition-Field"/>
      </w:pPr>
      <w:r>
        <w:t xml:space="preserve">dddd. </w:t>
      </w:r>
      <w:r>
        <w:rPr>
          <w:i/>
        </w:rPr>
        <w:t xml:space="preserve">The standard places no restrictions on the relationship between the left, </w:t>
      </w:r>
      <w:r>
        <w:rPr>
          <w:i/>
        </w:rPr>
        <w:t>margin-left, mso-position-horizontal, and mso-left-percent properties on the style attribute.</w:t>
      </w:r>
    </w:p>
    <w:p w:rsidR="000A156F" w:rsidRDefault="00A9721F">
      <w:pPr>
        <w:pStyle w:val="Definition-Field2"/>
      </w:pPr>
      <w:r>
        <w:t xml:space="preserve">Office ignores the left and margin-left properties when either the mso-position-horizontal or mso-left-percent property on the style attribute is set, or when an </w:t>
      </w:r>
      <w:r>
        <w:t>anchor element is present.</w:t>
      </w:r>
    </w:p>
    <w:p w:rsidR="000A156F" w:rsidRDefault="00A9721F">
      <w:pPr>
        <w:pStyle w:val="Definition-Field"/>
      </w:pPr>
      <w:r>
        <w:t xml:space="preserve">eeee. </w:t>
      </w:r>
      <w:r>
        <w:rPr>
          <w:i/>
        </w:rPr>
        <w:t>The standard states that the top property on the style attribute specifies the position of the top of the containing block of the shape relative to the element above it in the flow of the page.</w:t>
      </w:r>
    </w:p>
    <w:p w:rsidR="000A156F" w:rsidRDefault="00A9721F">
      <w:pPr>
        <w:pStyle w:val="Definition-Field2"/>
      </w:pPr>
      <w:r>
        <w:t xml:space="preserve">Office uses this property to </w:t>
      </w:r>
      <w:r>
        <w:t>specify the position of the top edge of the content block from the top margin or, if the top margin is not set, from the anchor.</w:t>
      </w:r>
    </w:p>
    <w:p w:rsidR="000A156F" w:rsidRDefault="00A9721F">
      <w:pPr>
        <w:pStyle w:val="Definition-Field"/>
      </w:pPr>
      <w:r>
        <w:t xml:space="preserve">ffff. </w:t>
      </w:r>
      <w:r>
        <w:rPr>
          <w:i/>
        </w:rPr>
        <w:t>The standard states that the margin-top property on the style attribute specifies the position of the left of the contain</w:t>
      </w:r>
      <w:r>
        <w:rPr>
          <w:i/>
        </w:rPr>
        <w:t>ing block of the shape relative to the shape anchor.</w:t>
      </w:r>
    </w:p>
    <w:p w:rsidR="000A156F" w:rsidRDefault="00A9721F">
      <w:pPr>
        <w:pStyle w:val="Definition-Field2"/>
      </w:pPr>
      <w:r>
        <w:t>Office uses this property to specify the position of the top margin of the content block from the anchor.</w:t>
      </w:r>
    </w:p>
    <w:p w:rsidR="000A156F" w:rsidRDefault="00A9721F">
      <w:pPr>
        <w:pStyle w:val="Definition-Field"/>
      </w:pPr>
      <w:r>
        <w:t xml:space="preserve">gggg. </w:t>
      </w:r>
      <w:r>
        <w:rPr>
          <w:i/>
        </w:rPr>
        <w:t>The standard states that the values of the id attribute are defined by the XML Schema strin</w:t>
      </w:r>
      <w:r>
        <w:rPr>
          <w:i/>
        </w:rPr>
        <w:t>g datatype.</w:t>
      </w:r>
    </w:p>
    <w:p w:rsidR="000A156F" w:rsidRDefault="00A9721F">
      <w:pPr>
        <w:pStyle w:val="Definition-Field2"/>
      </w:pPr>
      <w:r>
        <w:t>Office defines the values of this attribute with the ST_ObjID (</w:t>
      </w:r>
      <w:hyperlink w:anchor="Section_bf23da8a2e1d4d268eb40ba002bd78f6">
        <w:r>
          <w:rPr>
            <w:rStyle w:val="Hyperlink"/>
          </w:rPr>
          <w:t>§3.9.3, ST_ObjID</w:t>
        </w:r>
      </w:hyperlink>
      <w:r>
        <w:t>) simple type.</w:t>
      </w:r>
    </w:p>
    <w:p w:rsidR="000A156F" w:rsidRDefault="00A9721F">
      <w:pPr>
        <w:pStyle w:val="Definition-Field"/>
      </w:pPr>
      <w:r>
        <w:t xml:space="preserve">hhhh. </w:t>
      </w:r>
      <w:r>
        <w:rPr>
          <w:i/>
        </w:rPr>
        <w:t xml:space="preserve">The standard states that the values of the spid attribute are defined by the XML </w:t>
      </w:r>
      <w:r>
        <w:rPr>
          <w:i/>
        </w:rPr>
        <w:t>Schema string datatype.</w:t>
      </w:r>
    </w:p>
    <w:p w:rsidR="000A156F" w:rsidRDefault="00A9721F">
      <w:pPr>
        <w:pStyle w:val="Definition-Field2"/>
      </w:pPr>
      <w:r>
        <w:t>Office defines the values of this attribute with the ST_SpId (</w:t>
      </w:r>
      <w:hyperlink w:anchor="Section_97429d90d53344dfb1334f7a0171cae4">
        <w:r>
          <w:rPr>
            <w:rStyle w:val="Hyperlink"/>
          </w:rPr>
          <w:t>§3.9.6, ST_SpId</w:t>
        </w:r>
      </w:hyperlink>
      <w:r>
        <w:t>) simple type.</w:t>
      </w:r>
    </w:p>
    <w:p w:rsidR="000A156F" w:rsidRDefault="00A9721F">
      <w:pPr>
        <w:pStyle w:val="Definition-Field"/>
      </w:pPr>
      <w:r>
        <w:t xml:space="preserve">iiii. </w:t>
      </w:r>
      <w:r>
        <w:rPr>
          <w:i/>
        </w:rPr>
        <w:t>The standard states that the height property on the style attribute spe</w:t>
      </w:r>
      <w:r>
        <w:rPr>
          <w:i/>
        </w:rPr>
        <w:t>cifies the height of the containing block of the shape.</w:t>
      </w:r>
    </w:p>
    <w:p w:rsidR="000A156F" w:rsidRDefault="00A9721F">
      <w:pPr>
        <w:pStyle w:val="Definition-Field2"/>
      </w:pPr>
      <w:r>
        <w:t>Office uses this property to specify the height of the content block.</w:t>
      </w:r>
    </w:p>
    <w:p w:rsidR="000A156F" w:rsidRDefault="00A9721F">
      <w:pPr>
        <w:pStyle w:val="Definition-Field"/>
      </w:pPr>
      <w:r>
        <w:t xml:space="preserve">jjjj. </w:t>
      </w:r>
      <w:r>
        <w:rPr>
          <w:i/>
        </w:rPr>
        <w:t>The standard states that the width property on the style attribute specifies the width of the containing block of the shape.</w:t>
      </w:r>
    </w:p>
    <w:p w:rsidR="000A156F" w:rsidRDefault="00A9721F">
      <w:pPr>
        <w:pStyle w:val="Definition-Field2"/>
      </w:pPr>
      <w:r>
        <w:t>Office uses this property to specify the width of the content block.</w:t>
      </w:r>
    </w:p>
    <w:p w:rsidR="000A156F" w:rsidRDefault="00A9721F">
      <w:pPr>
        <w:pStyle w:val="Definition-Field"/>
      </w:pPr>
      <w:r>
        <w:t xml:space="preserve">kkkk. </w:t>
      </w:r>
      <w:r>
        <w:rPr>
          <w:i/>
        </w:rPr>
        <w:t>The standard does not mention the gfxdata attribute.</w:t>
      </w:r>
    </w:p>
    <w:p w:rsidR="000A156F" w:rsidRDefault="00A9721F">
      <w:pPr>
        <w:pStyle w:val="Definition-Field2"/>
      </w:pPr>
      <w:r>
        <w:t>Office uses an gfxdata attribute. The definition is the same as the gfxdata attribute defined in Section 14.1.2.19.</w:t>
      </w:r>
    </w:p>
    <w:p w:rsidR="000A156F" w:rsidRDefault="00A9721F">
      <w:pPr>
        <w:pStyle w:val="Heading3"/>
      </w:pPr>
      <w:bookmarkStart w:id="3603" w:name="section_96eb7103c6714831928122e64798c2e5"/>
      <w:bookmarkStart w:id="3604" w:name="_Toc181684827"/>
      <w:r>
        <w:lastRenderedPageBreak/>
        <w:t>Part 4 Sect</w:t>
      </w:r>
      <w:r>
        <w:t>ion 19.1.2.2, background (Document Background)</w:t>
      </w:r>
      <w:bookmarkEnd w:id="3603"/>
      <w:bookmarkEnd w:id="3604"/>
      <w:r>
        <w:fldChar w:fldCharType="begin"/>
      </w:r>
      <w:r>
        <w:instrText xml:space="preserve"> XE "background (Document Background)"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w:t>
        </w:r>
        <w:r>
          <w:rPr>
            <w:rStyle w:val="Hyperlink"/>
          </w:rPr>
          <w:t>(a)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0A156F" w:rsidRDefault="00A9721F">
      <w:pPr>
        <w:pStyle w:val="Definition-Field"/>
      </w:pPr>
      <w:r>
        <w:t xml:space="preserve">a.   </w:t>
      </w:r>
      <w:r>
        <w:rPr>
          <w:i/>
        </w:rPr>
        <w:t>The standard indicates how the targetscreensize attribute is used.</w:t>
      </w:r>
    </w:p>
    <w:p w:rsidR="000A156F" w:rsidRDefault="00A9721F">
      <w:pPr>
        <w:pStyle w:val="Definition-Field2"/>
      </w:pPr>
      <w:r>
        <w:t>Office does n</w:t>
      </w:r>
      <w:r>
        <w:t>ot preserve the current value of the targetscreensize attribute and always writes 800,600 on file save.</w:t>
      </w:r>
    </w:p>
    <w:p w:rsidR="000A156F" w:rsidRDefault="00A9721F">
      <w:pPr>
        <w:pStyle w:val="Definition-Field"/>
      </w:pPr>
      <w:r>
        <w:t xml:space="preserve">b.   </w:t>
      </w:r>
      <w:r>
        <w:rPr>
          <w:i/>
        </w:rPr>
        <w:t>The standard states that the name of the attribute that specifies whether the closed path will be filled is filled.</w:t>
      </w:r>
    </w:p>
    <w:p w:rsidR="000A156F" w:rsidRDefault="00A9721F">
      <w:pPr>
        <w:pStyle w:val="Definition-Field2"/>
      </w:pPr>
      <w:r>
        <w:t>Office uses the name fill for t</w:t>
      </w:r>
      <w:r>
        <w:t>his attribute.</w:t>
      </w:r>
    </w:p>
    <w:p w:rsidR="000A156F" w:rsidRDefault="00A9721F">
      <w:pPr>
        <w:pStyle w:val="Definition-Field"/>
      </w:pPr>
      <w:r>
        <w:t xml:space="preserve">c.   </w:t>
      </w:r>
      <w:r>
        <w:rPr>
          <w:i/>
        </w:rPr>
        <w:t>The standard states that the values of the id attribute are defined by the XML Schema string datatype.</w:t>
      </w:r>
    </w:p>
    <w:p w:rsidR="000A156F" w:rsidRDefault="00A9721F">
      <w:pPr>
        <w:pStyle w:val="Definition-Field2"/>
      </w:pPr>
      <w:r>
        <w:t>Office defines the values of this attribute with the ST_ObjID (</w:t>
      </w:r>
      <w:hyperlink w:anchor="Section_bf23da8a2e1d4d268eb40ba002bd78f6">
        <w:r>
          <w:rPr>
            <w:rStyle w:val="Hyperlink"/>
          </w:rPr>
          <w:t>§3.9.3,</w:t>
        </w:r>
        <w:r>
          <w:rPr>
            <w:rStyle w:val="Hyperlink"/>
          </w:rPr>
          <w:t xml:space="preserve"> ST_ObjID</w:t>
        </w:r>
      </w:hyperlink>
      <w:r>
        <w:t>) simple type.</w:t>
      </w:r>
    </w:p>
    <w:p w:rsidR="000A156F" w:rsidRDefault="00A9721F">
      <w:pPr>
        <w:pStyle w:val="Heading3"/>
      </w:pPr>
      <w:bookmarkStart w:id="3605" w:name="section_f5d19ada9960486786e99c187b7c8744"/>
      <w:bookmarkStart w:id="3606" w:name="_Toc181684828"/>
      <w:r>
        <w:t>Part 4 Section 19.1.2.3, curve (Bezier Curve)</w:t>
      </w:r>
      <w:bookmarkEnd w:id="3605"/>
      <w:bookmarkEnd w:id="3606"/>
      <w:r>
        <w:fldChar w:fldCharType="begin"/>
      </w:r>
      <w:r>
        <w:instrText xml:space="preserve"> XE "curve (Bezier Curve)"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0A156F" w:rsidRDefault="00A9721F">
      <w:pPr>
        <w:pStyle w:val="Definition-Field"/>
      </w:pPr>
      <w:r>
        <w:t xml:space="preserve">a.   </w:t>
      </w:r>
      <w:r>
        <w:rPr>
          <w:i/>
        </w:rPr>
        <w:t>The s</w:t>
      </w:r>
      <w:r>
        <w:rPr>
          <w:i/>
        </w:rPr>
        <w:t>tandard indicates the default value of the control1 attribute is "10,10".</w:t>
      </w:r>
    </w:p>
    <w:p w:rsidR="000A156F" w:rsidRDefault="00A9721F">
      <w:pPr>
        <w:pStyle w:val="Definition-Field2"/>
      </w:pPr>
      <w:r>
        <w:t>Office uses a default value of "0,0" for the control1 attribute.</w:t>
      </w:r>
    </w:p>
    <w:p w:rsidR="000A156F" w:rsidRDefault="00A9721F">
      <w:pPr>
        <w:pStyle w:val="Definition-Field"/>
      </w:pPr>
      <w:r>
        <w:t xml:space="preserve">b.   </w:t>
      </w:r>
      <w:r>
        <w:rPr>
          <w:i/>
        </w:rPr>
        <w:t>The standard indicates the default value of the control2 attribute is "20,20".</w:t>
      </w:r>
    </w:p>
    <w:p w:rsidR="000A156F" w:rsidRDefault="00A9721F">
      <w:pPr>
        <w:pStyle w:val="Definition-Field2"/>
      </w:pPr>
      <w:r>
        <w:t>Office uses a default value of "0</w:t>
      </w:r>
      <w:r>
        <w:t>,0" for the control2 attribute.</w:t>
      </w:r>
    </w:p>
    <w:p w:rsidR="000A156F" w:rsidRDefault="00A9721F">
      <w:pPr>
        <w:pStyle w:val="Definition-Field"/>
      </w:pPr>
      <w:r>
        <w:t xml:space="preserve">c.   </w:t>
      </w:r>
      <w:r>
        <w:rPr>
          <w:i/>
        </w:rPr>
        <w:t>The standard indicates the default value of the to attribute is "30,20".</w:t>
      </w:r>
    </w:p>
    <w:p w:rsidR="000A156F" w:rsidRDefault="00A9721F">
      <w:pPr>
        <w:pStyle w:val="Definition-Field2"/>
      </w:pPr>
      <w:r>
        <w:t>Office uses a default value of "0,0" for the to attribute.</w:t>
      </w:r>
    </w:p>
    <w:p w:rsidR="000A156F" w:rsidRDefault="00A9721F">
      <w:pPr>
        <w:pStyle w:val="Definition-Field"/>
      </w:pPr>
      <w:r>
        <w:t xml:space="preserve">d.   </w:t>
      </w:r>
      <w:r>
        <w:rPr>
          <w:i/>
        </w:rPr>
        <w:t xml:space="preserve">The standard states that the line, polyline, and curve elements only ignore the </w:t>
      </w:r>
      <w:r>
        <w:rPr>
          <w:i/>
        </w:rPr>
        <w:t>top, left, width, and height properties on the style attribute.</w:t>
      </w:r>
    </w:p>
    <w:p w:rsidR="000A156F" w:rsidRDefault="00A9721F">
      <w:pPr>
        <w:pStyle w:val="Definition-Field2"/>
      </w:pPr>
      <w:r>
        <w:t>Office also ignores the margin-top, margin-left, mso-left-percent, mso-position-horizontal, mso-position-horizontal-relative, mso-top-percent, mso-position-vertical and mso-position-vertical-r</w:t>
      </w:r>
      <w:r>
        <w:t>elative properties when applied to these elements.</w:t>
      </w:r>
    </w:p>
    <w:p w:rsidR="000A156F" w:rsidRDefault="00A9721F">
      <w:pPr>
        <w:pStyle w:val="Definition-Field"/>
      </w:pPr>
      <w:r>
        <w:t xml:space="preserve">e.   </w:t>
      </w:r>
      <w:r>
        <w:rPr>
          <w:i/>
        </w:rPr>
        <w:t>The standard indicates that background is a parent element for the element curve.</w:t>
      </w:r>
    </w:p>
    <w:p w:rsidR="000A156F" w:rsidRDefault="00A9721F">
      <w:pPr>
        <w:pStyle w:val="Definition-Field2"/>
      </w:pPr>
      <w:r>
        <w:t>In Office the background element is not supported as a parent for the element curve.</w:t>
      </w:r>
    </w:p>
    <w:p w:rsidR="000A156F" w:rsidRDefault="00A9721F">
      <w:pPr>
        <w:pStyle w:val="Definition-Field"/>
      </w:pPr>
      <w:r>
        <w:t xml:space="preserve">f.   </w:t>
      </w:r>
      <w:r>
        <w:rPr>
          <w:i/>
        </w:rPr>
        <w:t>The standard places no restr</w:t>
      </w:r>
      <w:r>
        <w:rPr>
          <w:i/>
        </w:rPr>
        <w:t>ictions on the value of the spt attribute.</w:t>
      </w:r>
    </w:p>
    <w:p w:rsidR="000A156F" w:rsidRDefault="00A9721F">
      <w:pPr>
        <w:pStyle w:val="Definition-Field2"/>
      </w:pPr>
      <w:r>
        <w:t>Office requires that the spt attribute on a curve element have a value of 0. It is an error to specify this attribute as anything other than the default value, except for the shape and shapetype elements which can</w:t>
      </w:r>
      <w:r>
        <w:t xml:space="preserve"> handle any valid spt value.</w:t>
      </w:r>
    </w:p>
    <w:p w:rsidR="000A156F" w:rsidRDefault="00A9721F">
      <w:pPr>
        <w:pStyle w:val="Definition-Field"/>
      </w:pPr>
      <w:r>
        <w:t xml:space="preserve">g.   </w:t>
      </w:r>
      <w:r>
        <w:rPr>
          <w:i/>
        </w:rPr>
        <w:t>The standard states that chromakey and opacity are valid attributes on the curve element.</w:t>
      </w:r>
    </w:p>
    <w:p w:rsidR="000A156F" w:rsidRDefault="00A9721F">
      <w:pPr>
        <w:pStyle w:val="Definition-Field2"/>
      </w:pPr>
      <w:r>
        <w:t>Office does not support these attributes on this element.</w:t>
      </w:r>
    </w:p>
    <w:p w:rsidR="000A156F" w:rsidRDefault="00A9721F">
      <w:pPr>
        <w:pStyle w:val="Definition-Field"/>
      </w:pPr>
      <w:r>
        <w:t xml:space="preserve">h.   </w:t>
      </w:r>
      <w:r>
        <w:rPr>
          <w:i/>
        </w:rPr>
        <w:t>The standard does not mention the gfxdata attribute.</w:t>
      </w:r>
    </w:p>
    <w:p w:rsidR="000A156F" w:rsidRDefault="00A9721F">
      <w:pPr>
        <w:pStyle w:val="Definition-Field2"/>
      </w:pPr>
      <w:r>
        <w:lastRenderedPageBreak/>
        <w:t>Office uses an g</w:t>
      </w:r>
      <w:r>
        <w:t>fxdata attribute. The definition is the same as the gfxdata attribute defined in Section 14.1.2.19.</w:t>
      </w:r>
    </w:p>
    <w:p w:rsidR="000A156F" w:rsidRDefault="00A9721F">
      <w:pPr>
        <w:pStyle w:val="Heading3"/>
      </w:pPr>
      <w:bookmarkStart w:id="3607" w:name="section_d0bb89e5efb44aeab0185307847172e1"/>
      <w:bookmarkStart w:id="3608" w:name="_Toc181684829"/>
      <w:r>
        <w:t>Part 4 Section 19.1.2.4, f (Single Formula)</w:t>
      </w:r>
      <w:bookmarkEnd w:id="3607"/>
      <w:bookmarkEnd w:id="3608"/>
      <w:r>
        <w:fldChar w:fldCharType="begin"/>
      </w:r>
      <w:r>
        <w:instrText xml:space="preserve"> XE "f (Single Formula)" </w:instrText>
      </w:r>
      <w:r>
        <w:fldChar w:fldCharType="end"/>
      </w:r>
    </w:p>
    <w:p w:rsidR="000A156F" w:rsidRDefault="00A9721F">
      <w:pPr>
        <w:pStyle w:val="Definition-Field"/>
      </w:pPr>
      <w:r>
        <w:t xml:space="preserve">a.   </w:t>
      </w:r>
      <w:r>
        <w:rPr>
          <w:i/>
        </w:rPr>
        <w:t>The standard indicates the formula for the mod operation of the eqn attribute is</w:t>
      </w:r>
      <w:r>
        <w:rPr>
          <w:i/>
        </w:rPr>
        <w:t xml:space="preserve"> the square root of (v^2 + P1^2 + P1^2).</w:t>
      </w:r>
    </w:p>
    <w:p w:rsidR="000A156F" w:rsidRDefault="00A9721F">
      <w:pPr>
        <w:pStyle w:val="Definition-Field2"/>
      </w:pPr>
      <w:r>
        <w:t>Office implements the mod operation of the eqn attribute as the square root of (v^2 + P1^2 + P2^2).</w:t>
      </w:r>
    </w:p>
    <w:p w:rsidR="000A156F" w:rsidRDefault="00A9721F">
      <w:pPr>
        <w:pStyle w:val="Definition-Field"/>
      </w:pPr>
      <w:r>
        <w:t xml:space="preserve">b.   </w:t>
      </w:r>
      <w:r>
        <w:rPr>
          <w:i/>
        </w:rPr>
        <w:t>The standard indicates the set of valid arguments for the operations in the eqn attribute.</w:t>
      </w:r>
    </w:p>
    <w:p w:rsidR="000A156F" w:rsidRDefault="00A9721F">
      <w:r>
        <w:t xml:space="preserve">Office supports an </w:t>
      </w:r>
      <w:r>
        <w:t>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rPr>
                <w:i/>
              </w:rPr>
              <w:t>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lineDrawn</w:t>
            </w:r>
          </w:p>
        </w:tc>
        <w:tc>
          <w:tcPr>
            <w:tcW w:w="0" w:type="auto"/>
            <w:vAlign w:val="center"/>
          </w:tcPr>
          <w:p w:rsidR="000A156F" w:rsidRDefault="00A9721F">
            <w:pPr>
              <w:pStyle w:val="TableBodyText"/>
            </w:pPr>
            <w:r>
              <w:t>1 if the shape is stroked, 0 if it is not.  A shape is not stroked if one of the following conditions is true:</w:t>
            </w:r>
          </w:p>
          <w:p w:rsidR="000A156F" w:rsidRDefault="000A156F">
            <w:pPr>
              <w:pStyle w:val="TableBodyText"/>
            </w:pPr>
          </w:p>
          <w:p w:rsidR="000A156F" w:rsidRDefault="00A9721F">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9">
              <w:r>
                <w:rPr>
                  <w:rStyle w:val="Hyperlink"/>
                </w:rPr>
                <w:t>[ISO/IEC-29500-4]</w:t>
              </w:r>
            </w:hyperlink>
            <w:r>
              <w:t xml:space="preserve"> §19.1.2.21; stroke (Line Stroke Settings)") is </w:t>
            </w:r>
            <w:r>
              <w:rPr>
                <w:i/>
              </w:rPr>
              <w:t>false</w:t>
            </w:r>
            <w:r>
              <w:t>.</w:t>
            </w:r>
          </w:p>
          <w:p w:rsidR="000A156F" w:rsidRDefault="00A9721F">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A156F" w:rsidRDefault="00A9721F">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0A156F" w:rsidRDefault="000A156F">
            <w:pPr>
              <w:pStyle w:val="TableBodyText"/>
            </w:pPr>
          </w:p>
        </w:tc>
      </w:tr>
    </w:tbl>
    <w:p w:rsidR="000A156F" w:rsidRDefault="000A156F"/>
    <w:p w:rsidR="000A156F" w:rsidRDefault="00A9721F">
      <w:pPr>
        <w:pStyle w:val="Definition-Field"/>
      </w:pPr>
      <w:r>
        <w:t xml:space="preserve">c.   </w:t>
      </w:r>
      <w:r>
        <w:rPr>
          <w:i/>
        </w:rPr>
        <w:t xml:space="preserve">The standard indicates </w:t>
      </w:r>
      <w:r>
        <w:rPr>
          <w:i/>
        </w:rPr>
        <w:t>that hasfill is a valid argument for the operations in the eqn attribute.</w:t>
      </w:r>
    </w:p>
    <w:p w:rsidR="000A156F" w:rsidRDefault="00A9721F">
      <w:pPr>
        <w:pStyle w:val="Definition-Field2"/>
      </w:pPr>
      <w:r>
        <w:t>Office does not support the hasfill argument for the operations in the eqn attribute.</w:t>
      </w:r>
    </w:p>
    <w:p w:rsidR="000A156F" w:rsidRDefault="00A9721F">
      <w:pPr>
        <w:pStyle w:val="Definition-Field"/>
      </w:pPr>
      <w:r>
        <w:t xml:space="preserve">d.   </w:t>
      </w:r>
      <w:r>
        <w:rPr>
          <w:i/>
        </w:rPr>
        <w:t>The standard indicates that hasstroke is a valid argument for the operations in the eqn att</w:t>
      </w:r>
      <w:r>
        <w:rPr>
          <w:i/>
        </w:rPr>
        <w:t>ribute.</w:t>
      </w:r>
    </w:p>
    <w:p w:rsidR="000A156F" w:rsidRDefault="00A9721F">
      <w:pPr>
        <w:pStyle w:val="Definition-Field2"/>
      </w:pPr>
      <w:r>
        <w:t>Office does not support the hasstroke argument for the operations in the eqn attribute.</w:t>
      </w:r>
    </w:p>
    <w:p w:rsidR="000A156F" w:rsidRDefault="00A9721F">
      <w:pPr>
        <w:pStyle w:val="Heading3"/>
      </w:pPr>
      <w:bookmarkStart w:id="3609" w:name="section_98273a75a1e646669936485b682353ca"/>
      <w:bookmarkStart w:id="3610" w:name="_Toc181684830"/>
      <w:r>
        <w:t>Part 4 Section 19.1.2.5, fill (Shape Fill Properties)</w:t>
      </w:r>
      <w:bookmarkEnd w:id="3609"/>
      <w:bookmarkEnd w:id="3610"/>
      <w:r>
        <w:fldChar w:fldCharType="begin"/>
      </w:r>
      <w:r>
        <w:instrText xml:space="preserve"> XE "fill (Shape Fill Properties)" </w:instrText>
      </w:r>
      <w:r>
        <w:fldChar w:fldCharType="end"/>
      </w:r>
    </w:p>
    <w:p w:rsidR="000A156F" w:rsidRDefault="00A9721F">
      <w:pPr>
        <w:pStyle w:val="Definition-Field2"/>
      </w:pPr>
      <w:r>
        <w:rPr>
          <w:i/>
        </w:rPr>
        <w:t>For additional notes that apply to this portion of the standard, plea</w:t>
      </w:r>
      <w:r>
        <w:rPr>
          <w:i/>
        </w:rPr>
        <w:t xml:space="preserve">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w:t>
        </w:r>
        <w:r>
          <w:rPr>
            <w:rStyle w:val="Hyperlink"/>
          </w:rPr>
          <w:t>up, §19.1.2.7(a)</w:t>
        </w:r>
      </w:hyperlink>
      <w:r>
        <w:rPr>
          <w:i/>
        </w:rPr>
        <w:t>.</w:t>
      </w:r>
    </w:p>
    <w:p w:rsidR="000A156F" w:rsidRDefault="00A9721F">
      <w:pPr>
        <w:pStyle w:val="Definition-Field"/>
      </w:pPr>
      <w:r>
        <w:t xml:space="preserve">a.   </w:t>
      </w:r>
      <w:r>
        <w:rPr>
          <w:i/>
        </w:rPr>
        <w:t>The standard does not define a default value for the detectmouseclick attribute.</w:t>
      </w:r>
    </w:p>
    <w:p w:rsidR="000A156F" w:rsidRDefault="00A9721F">
      <w:pPr>
        <w:pStyle w:val="Definition-Field2"/>
      </w:pPr>
      <w:r>
        <w:t>Office uses a default value of false for the detectmouseclick attribute.</w:t>
      </w:r>
    </w:p>
    <w:p w:rsidR="000A156F" w:rsidRDefault="00A9721F">
      <w:pPr>
        <w:pStyle w:val="Definition-Field"/>
      </w:pPr>
      <w:r>
        <w:t xml:space="preserve">b.   </w:t>
      </w:r>
      <w:r>
        <w:rPr>
          <w:i/>
        </w:rPr>
        <w:t>The standard indicates how the alignshape attribute is used.</w:t>
      </w:r>
    </w:p>
    <w:p w:rsidR="000A156F" w:rsidRDefault="00A9721F">
      <w:pPr>
        <w:pStyle w:val="Definition-Field2"/>
      </w:pPr>
      <w:r>
        <w:t>Office also r</w:t>
      </w:r>
      <w:r>
        <w:t>equires that the value of the type attribute is tile if the alignshape attribute is used.</w:t>
      </w:r>
    </w:p>
    <w:p w:rsidR="000A156F" w:rsidRDefault="00A9721F">
      <w:pPr>
        <w:pStyle w:val="Definition-Field"/>
      </w:pPr>
      <w:r>
        <w:t xml:space="preserve">c.   </w:t>
      </w:r>
      <w:r>
        <w:rPr>
          <w:i/>
        </w:rPr>
        <w:t>The standard does not specify bounds for the angle attribute.</w:t>
      </w:r>
    </w:p>
    <w:p w:rsidR="000A156F" w:rsidRDefault="00A9721F">
      <w:pPr>
        <w:pStyle w:val="Definition-Field2"/>
      </w:pPr>
      <w:r>
        <w:t>Office specifies the bounds for the angle attribute of -32767 and 32767.</w:t>
      </w:r>
    </w:p>
    <w:p w:rsidR="000A156F" w:rsidRDefault="00A9721F">
      <w:pPr>
        <w:pStyle w:val="Definition-Field"/>
      </w:pPr>
      <w:r>
        <w:lastRenderedPageBreak/>
        <w:t xml:space="preserve">d.   </w:t>
      </w:r>
      <w:r>
        <w:rPr>
          <w:i/>
        </w:rPr>
        <w:t xml:space="preserve">The standard states </w:t>
      </w:r>
      <w:r>
        <w:rPr>
          <w:i/>
        </w:rPr>
        <w:t>that o:relid is a valid attribute.</w:t>
      </w:r>
    </w:p>
    <w:p w:rsidR="000A156F" w:rsidRDefault="00A9721F">
      <w:pPr>
        <w:pStyle w:val="Definition-Field2"/>
      </w:pPr>
      <w:r>
        <w:t>Office does not support this attribute.</w:t>
      </w:r>
    </w:p>
    <w:p w:rsidR="000A156F" w:rsidRDefault="00A9721F">
      <w:pPr>
        <w:pStyle w:val="Definition-Field"/>
      </w:pPr>
      <w:r>
        <w:t xml:space="preserve">e.   </w:t>
      </w:r>
      <w:r>
        <w:rPr>
          <w:i/>
        </w:rPr>
        <w:t>The standard does not specify bounds for the origin attribute.</w:t>
      </w:r>
    </w:p>
    <w:p w:rsidR="000A156F" w:rsidRDefault="00A9721F">
      <w:pPr>
        <w:pStyle w:val="Definition-Field2"/>
      </w:pPr>
      <w:r>
        <w:t>Office uses bounds of -32767 and 32767 for the origin attribute.</w:t>
      </w:r>
    </w:p>
    <w:p w:rsidR="000A156F" w:rsidRDefault="00A9721F">
      <w:pPr>
        <w:pStyle w:val="Definition-Field"/>
      </w:pPr>
      <w:r>
        <w:t xml:space="preserve">f.   </w:t>
      </w:r>
      <w:r>
        <w:rPr>
          <w:i/>
        </w:rPr>
        <w:t>The standard indicates that the default val</w:t>
      </w:r>
      <w:r>
        <w:rPr>
          <w:i/>
        </w:rPr>
        <w:t>ue for the origin attribute is the center of the image.</w:t>
      </w:r>
    </w:p>
    <w:p w:rsidR="000A156F" w:rsidRDefault="00A9721F">
      <w:pPr>
        <w:pStyle w:val="Definition-Field2"/>
      </w:pPr>
      <w:r>
        <w:t>Office uses a default value of 0,0 for the origin attribute.</w:t>
      </w:r>
    </w:p>
    <w:p w:rsidR="000A156F" w:rsidRDefault="00A9721F">
      <w:pPr>
        <w:pStyle w:val="Definition-Field"/>
      </w:pPr>
      <w:r>
        <w:t xml:space="preserve">g.   </w:t>
      </w:r>
      <w:r>
        <w:rPr>
          <w:i/>
        </w:rPr>
        <w:t>The standard implies that positive values are to the right and down for the origin attribute.</w:t>
      </w:r>
    </w:p>
    <w:p w:rsidR="000A156F" w:rsidRDefault="00A9721F">
      <w:pPr>
        <w:pStyle w:val="Definition-Field2"/>
      </w:pPr>
      <w:r>
        <w:t xml:space="preserve">In Office, negative values for the </w:t>
      </w:r>
      <w:r>
        <w:t>origin attribute are to the right and down, so the bottom right corner is -1,-1.</w:t>
      </w:r>
    </w:p>
    <w:p w:rsidR="000A156F" w:rsidRDefault="00A9721F">
      <w:pPr>
        <w:pStyle w:val="Definition-Field"/>
      </w:pPr>
      <w:r>
        <w:t xml:space="preserve">h.   </w:t>
      </w:r>
      <w:r>
        <w:rPr>
          <w:i/>
        </w:rPr>
        <w:t>The standard implies that only absolute numbers may be used for the size attribute.</w:t>
      </w:r>
    </w:p>
    <w:p w:rsidR="000A156F" w:rsidRDefault="00A9721F">
      <w:r>
        <w:t>In Office, values are specified as either an absolute measurement or a fractional valu</w:t>
      </w:r>
      <w:r>
        <w:t>e of the shape dimensions.  A fractional value may be specified in 1/65536-ths if a trailing "f" is supplied. [Example: A value of "52429f" represents 52429/65536, or 0.8. end example] The minimum and maximum values are 0f to 2147483647f.</w:t>
      </w:r>
    </w:p>
    <w:p w:rsidR="000A156F" w:rsidRDefault="00A9721F">
      <w:pPr>
        <w:pStyle w:val="Definition-Field"/>
      </w:pPr>
      <w:r>
        <w:t xml:space="preserve">i.   </w:t>
      </w:r>
      <w:r>
        <w:rPr>
          <w:i/>
        </w:rPr>
        <w:t>The standard</w:t>
      </w:r>
      <w:r>
        <w:rPr>
          <w:i/>
        </w:rPr>
        <w:t xml:space="preserve"> indicates how the type attribute is used.</w:t>
      </w:r>
    </w:p>
    <w:p w:rsidR="000A156F" w:rsidRDefault="00A9721F">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gradientradial</w:t>
      </w:r>
      <w:r>
        <w:t>, Office requires that the gradient attributes be spe</w:t>
      </w:r>
      <w:r>
        <w:t>cified.</w:t>
      </w:r>
    </w:p>
    <w:p w:rsidR="000A156F" w:rsidRDefault="00A9721F">
      <w:pPr>
        <w:pStyle w:val="Definition-Field"/>
      </w:pPr>
      <w:r>
        <w:t xml:space="preserve">j.   </w:t>
      </w:r>
      <w:r>
        <w:rPr>
          <w:i/>
        </w:rPr>
        <w:t>The standard allows any string to be used for title attribute.</w:t>
      </w:r>
    </w:p>
    <w:p w:rsidR="000A156F" w:rsidRDefault="00A9721F">
      <w:pPr>
        <w:pStyle w:val="Definition-Field2"/>
      </w:pPr>
      <w:r>
        <w:t>Office does not allow slashes or colons in the title attribute string.</w:t>
      </w:r>
    </w:p>
    <w:p w:rsidR="000A156F" w:rsidRDefault="00A9721F">
      <w:pPr>
        <w:pStyle w:val="Definition-Field"/>
      </w:pPr>
      <w:r>
        <w:t xml:space="preserve">k.   </w:t>
      </w:r>
      <w:r>
        <w:rPr>
          <w:i/>
        </w:rPr>
        <w:t>The standard indicates how the title attribute is used.</w:t>
      </w:r>
    </w:p>
    <w:p w:rsidR="000A156F" w:rsidRDefault="00A9721F">
      <w:pPr>
        <w:pStyle w:val="Definition-Field2"/>
      </w:pPr>
      <w:r>
        <w:t>Office only supports the type attribute if the v</w:t>
      </w:r>
      <w:r>
        <w:t>alue of the type attribute is tile, pattern or frame.</w:t>
      </w:r>
    </w:p>
    <w:p w:rsidR="000A156F" w:rsidRDefault="00A9721F">
      <w:pPr>
        <w:pStyle w:val="Definition-Field"/>
      </w:pPr>
      <w:r>
        <w:t xml:space="preserve">l.   </w:t>
      </w:r>
      <w:r>
        <w:rPr>
          <w:i/>
        </w:rPr>
        <w:t>The standard indicates how the althref attribute is used.</w:t>
      </w:r>
    </w:p>
    <w:p w:rsidR="000A156F" w:rsidRDefault="00A9721F">
      <w:pPr>
        <w:pStyle w:val="Definition-Field2"/>
      </w:pPr>
      <w:r>
        <w:t>Office does not support the althref attribute.</w:t>
      </w:r>
    </w:p>
    <w:p w:rsidR="000A156F" w:rsidRDefault="00A9721F">
      <w:pPr>
        <w:pStyle w:val="Definition-Field"/>
      </w:pPr>
      <w:r>
        <w:t xml:space="preserve">m.   </w:t>
      </w:r>
      <w:r>
        <w:rPr>
          <w:i/>
        </w:rPr>
        <w:t>The standard indicates how the href attribute is used.</w:t>
      </w:r>
    </w:p>
    <w:p w:rsidR="000A156F" w:rsidRDefault="00A9721F">
      <w:pPr>
        <w:pStyle w:val="Definition-Field2"/>
      </w:pPr>
      <w:r>
        <w:t>Office does not support the href</w:t>
      </w:r>
      <w:r>
        <w:t xml:space="preserve"> attribute.</w:t>
      </w:r>
    </w:p>
    <w:p w:rsidR="000A156F" w:rsidRDefault="00A9721F">
      <w:pPr>
        <w:pStyle w:val="Definition-Field"/>
      </w:pPr>
      <w:r>
        <w:t xml:space="preserve">n.   </w:t>
      </w:r>
      <w:r>
        <w:rPr>
          <w:i/>
        </w:rPr>
        <w:t>The standard indicates how the src attribute is used.</w:t>
      </w:r>
    </w:p>
    <w:p w:rsidR="000A156F" w:rsidRDefault="00A9721F">
      <w:pPr>
        <w:pStyle w:val="Definition-Field2"/>
      </w:pPr>
      <w:r>
        <w:t>Office does not support the src attribute.</w:t>
      </w:r>
    </w:p>
    <w:p w:rsidR="000A156F" w:rsidRDefault="00A9721F">
      <w:pPr>
        <w:pStyle w:val="Definition-Field"/>
      </w:pPr>
      <w:r>
        <w:t xml:space="preserve">o.   </w:t>
      </w:r>
      <w:r>
        <w:rPr>
          <w:i/>
        </w:rPr>
        <w:t>The standard does not restrict the number of instances of the fill element.</w:t>
      </w:r>
    </w:p>
    <w:p w:rsidR="000A156F" w:rsidRDefault="00A9721F">
      <w:pPr>
        <w:pStyle w:val="Definition-Field2"/>
      </w:pPr>
      <w:r>
        <w:t>Office allows at most only one instance of the fill element i</w:t>
      </w:r>
      <w:r>
        <w:t>n each place where it can be used.</w:t>
      </w:r>
    </w:p>
    <w:p w:rsidR="000A156F" w:rsidRDefault="00A9721F">
      <w:pPr>
        <w:pStyle w:val="Definition-Field"/>
      </w:pPr>
      <w:r>
        <w:t xml:space="preserve">p.   </w:t>
      </w:r>
      <w:r>
        <w:rPr>
          <w:i/>
        </w:rPr>
        <w:t>The standard states that values of the opacity attribute are defined by the XML Schema string datatype.</w:t>
      </w:r>
    </w:p>
    <w:p w:rsidR="000A156F" w:rsidRDefault="00A9721F">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0A156F" w:rsidRDefault="00A9721F">
      <w:pPr>
        <w:pStyle w:val="Definition-Field"/>
      </w:pPr>
      <w:r>
        <w:t xml:space="preserve">q.   </w:t>
      </w:r>
      <w:r>
        <w:rPr>
          <w:i/>
        </w:rPr>
        <w:t>The standard states that values of the opacity2 attribute are defined by the XML Schema string datatype.</w:t>
      </w:r>
    </w:p>
    <w:p w:rsidR="000A156F" w:rsidRDefault="00A9721F">
      <w:pPr>
        <w:pStyle w:val="Definition-Field2"/>
      </w:pPr>
      <w:r>
        <w:lastRenderedPageBreak/>
        <w:t xml:space="preserve">Office defines the values of the opacity2 attribute with the ST_Fraction (§3.9.1, ST_Fraction) </w:t>
      </w:r>
      <w:r>
        <w:t>simple type.</w:t>
      </w:r>
    </w:p>
    <w:p w:rsidR="000A156F" w:rsidRDefault="00A9721F">
      <w:pPr>
        <w:pStyle w:val="Heading3"/>
      </w:pPr>
      <w:bookmarkStart w:id="3611" w:name="section_b017fac7da0b4cdf821cff5f03d17238"/>
      <w:bookmarkStart w:id="3612" w:name="_Toc181684831"/>
      <w:r>
        <w:t>Part 4 Section 19.1.2.6, formulas (Set of Formulas)</w:t>
      </w:r>
      <w:bookmarkEnd w:id="3611"/>
      <w:bookmarkEnd w:id="3612"/>
      <w:r>
        <w:fldChar w:fldCharType="begin"/>
      </w:r>
      <w:r>
        <w:instrText xml:space="preserve"> XE "formulas (Set of Formulas)"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w:t>
        </w:r>
        <w:r>
          <w:rPr>
            <w:rStyle w:val="Hyperlink"/>
          </w:rPr>
          <w:t>, §19.1.2.7(a)</w:t>
        </w:r>
      </w:hyperlink>
      <w:r>
        <w:rPr>
          <w:i/>
        </w:rPr>
        <w:t>.</w:t>
      </w:r>
    </w:p>
    <w:p w:rsidR="000A156F" w:rsidRDefault="00A9721F">
      <w:pPr>
        <w:pStyle w:val="Definition-Field"/>
      </w:pPr>
      <w:r>
        <w:t xml:space="preserve">a.   </w:t>
      </w:r>
      <w:r>
        <w:rPr>
          <w:i/>
        </w:rPr>
        <w:t>The standard states that the maxOccurs value for the f child element is unbounded.</w:t>
      </w:r>
    </w:p>
    <w:p w:rsidR="000A156F" w:rsidRDefault="00A9721F">
      <w:pPr>
        <w:pStyle w:val="Definition-Field2"/>
      </w:pPr>
      <w:r>
        <w:t>Office limits the occurrences of this element to 128.</w:t>
      </w:r>
    </w:p>
    <w:p w:rsidR="000A156F" w:rsidRDefault="00A9721F">
      <w:pPr>
        <w:pStyle w:val="Definition-Field"/>
      </w:pPr>
      <w:r>
        <w:t xml:space="preserve">b.   </w:t>
      </w:r>
      <w:r>
        <w:rPr>
          <w:i/>
        </w:rPr>
        <w:t>The standard does not restrict the number of instances of the formulas element.</w:t>
      </w:r>
    </w:p>
    <w:p w:rsidR="000A156F" w:rsidRDefault="00A9721F">
      <w:pPr>
        <w:pStyle w:val="Definition-Field2"/>
      </w:pPr>
      <w:r>
        <w:t>Office allows</w:t>
      </w:r>
      <w:r>
        <w:t xml:space="preserve"> at most one instance of this element in each place where it can be used.</w:t>
      </w:r>
    </w:p>
    <w:p w:rsidR="000A156F" w:rsidRDefault="00A9721F">
      <w:pPr>
        <w:pStyle w:val="Heading3"/>
      </w:pPr>
      <w:bookmarkStart w:id="3613" w:name="section_5dab8b917bfb495a9ed59068ef74998d"/>
      <w:bookmarkStart w:id="3614" w:name="_Toc181684832"/>
      <w:r>
        <w:t>Part 4 Section 19.1.2.7, group (Shape Group)</w:t>
      </w:r>
      <w:bookmarkEnd w:id="3613"/>
      <w:bookmarkEnd w:id="3614"/>
      <w:r>
        <w:fldChar w:fldCharType="begin"/>
      </w:r>
      <w:r>
        <w:instrText xml:space="preserve"> XE "group (Shape Group)"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0A156F" w:rsidRDefault="00A9721F">
      <w:pPr>
        <w:pStyle w:val="Definition-Field"/>
      </w:pPr>
      <w:r>
        <w:t xml:space="preserve">a.   </w:t>
      </w:r>
      <w:r>
        <w:rPr>
          <w:i/>
        </w:rPr>
        <w:t>The standard states that borderbottom,</w:t>
      </w:r>
      <w:r>
        <w:rPr>
          <w:i/>
        </w:rPr>
        <w:t xml:space="preserve"> borderleft, borderright, bordertop, callout, extrusion, fill, formulas, handles, imagedata, path, shadow, signatureline, skew, stroke, textbox, textpath, and textdata are valid child elements of the group element.</w:t>
      </w:r>
    </w:p>
    <w:p w:rsidR="000A156F" w:rsidRDefault="00A9721F">
      <w:pPr>
        <w:pStyle w:val="Definition-Field2"/>
      </w:pPr>
      <w:r>
        <w:t>Office does not allow these elements to b</w:t>
      </w:r>
      <w:r>
        <w:t>e child elements of the group element.</w:t>
      </w:r>
    </w:p>
    <w:p w:rsidR="000A156F" w:rsidRDefault="00A9721F">
      <w:pPr>
        <w:pStyle w:val="Definition-Field"/>
      </w:pPr>
      <w:r>
        <w:t xml:space="preserve">b.   </w:t>
      </w:r>
      <w:r>
        <w:rPr>
          <w:i/>
        </w:rPr>
        <w:t>The standard states that the borderbottomcolor, borderleftcolor, borderrightcolor, bordertopcolor, fillcolor, and filled attributes are valid attributes on the group element.</w:t>
      </w:r>
    </w:p>
    <w:p w:rsidR="000A156F" w:rsidRDefault="00A9721F">
      <w:pPr>
        <w:pStyle w:val="Definition-Field2"/>
      </w:pPr>
      <w:r>
        <w:t>Office does not support these attribu</w:t>
      </w:r>
      <w:r>
        <w:t>tes on this element.</w:t>
      </w:r>
    </w:p>
    <w:p w:rsidR="000A156F" w:rsidRDefault="00A9721F">
      <w:pPr>
        <w:pStyle w:val="Definition-Field"/>
      </w:pPr>
      <w:r>
        <w:t xml:space="preserve">c.   </w:t>
      </w:r>
      <w:r>
        <w:rPr>
          <w:i/>
        </w:rPr>
        <w:t>The standard does not mention the gfxdata attribute.</w:t>
      </w:r>
    </w:p>
    <w:p w:rsidR="000A156F" w:rsidRDefault="00A9721F">
      <w:pPr>
        <w:pStyle w:val="Definition-Field2"/>
      </w:pPr>
      <w:r>
        <w:t>Office uses an gfxdata attribute. The definition is the same as the gfxdata attribute defined in Section 14.1.2.19.</w:t>
      </w:r>
    </w:p>
    <w:p w:rsidR="000A156F" w:rsidRDefault="00A9721F">
      <w:pPr>
        <w:pStyle w:val="Heading3"/>
      </w:pPr>
      <w:bookmarkStart w:id="3615" w:name="section_ffc30069fa76457da36a9aeb0c1747c6"/>
      <w:bookmarkStart w:id="3616" w:name="_Toc181684833"/>
      <w:r>
        <w:t>Part 4 Section 19.1.2.8, h (Shape Handle)</w:t>
      </w:r>
      <w:bookmarkEnd w:id="3615"/>
      <w:bookmarkEnd w:id="3616"/>
      <w:r>
        <w:fldChar w:fldCharType="begin"/>
      </w:r>
      <w:r>
        <w:instrText xml:space="preserve"> XE "h (Shape Handle</w:instrText>
      </w:r>
      <w:r>
        <w:instrText xml:space="preserve">)" </w:instrText>
      </w:r>
      <w:r>
        <w:fldChar w:fldCharType="end"/>
      </w:r>
    </w:p>
    <w:p w:rsidR="000A156F" w:rsidRDefault="00A9721F">
      <w:pPr>
        <w:pStyle w:val="Definition-Field"/>
      </w:pPr>
      <w:r>
        <w:t xml:space="preserve">a.   </w:t>
      </w:r>
      <w:r>
        <w:rPr>
          <w:i/>
        </w:rPr>
        <w:t>The standard indicates how the switch attribute is used.</w:t>
      </w:r>
    </w:p>
    <w:p w:rsidR="000A156F" w:rsidRDefault="00A9721F">
      <w:pPr>
        <w:pStyle w:val="Definition-Field2"/>
      </w:pPr>
      <w:r>
        <w:t>Office ignores the switch attribute and writes false or a blank string value on file save.</w:t>
      </w:r>
    </w:p>
    <w:p w:rsidR="000A156F" w:rsidRDefault="00A9721F">
      <w:pPr>
        <w:pStyle w:val="Definition-Field"/>
      </w:pPr>
      <w:r>
        <w:t xml:space="preserve">b.   </w:t>
      </w:r>
      <w:r>
        <w:rPr>
          <w:i/>
        </w:rPr>
        <w:t>The standard indicates that a true or false value is saved to the file for the invx attribut</w:t>
      </w:r>
      <w:r>
        <w:rPr>
          <w:i/>
        </w:rPr>
        <w:t>e.</w:t>
      </w:r>
    </w:p>
    <w:p w:rsidR="000A156F" w:rsidRDefault="00A9721F">
      <w:pPr>
        <w:pStyle w:val="Definition-Field2"/>
      </w:pPr>
      <w:r>
        <w:t>Office ignores the value of the invx attribute and writes an empty string whenever the attribute is written to the file.</w:t>
      </w:r>
    </w:p>
    <w:p w:rsidR="000A156F" w:rsidRDefault="00A9721F">
      <w:pPr>
        <w:pStyle w:val="Definition-Field"/>
      </w:pPr>
      <w:r>
        <w:t xml:space="preserve">c.   </w:t>
      </w:r>
      <w:r>
        <w:rPr>
          <w:i/>
        </w:rPr>
        <w:t>The standard indicates that a true or false value is saved to the file for the invy attribute.</w:t>
      </w:r>
    </w:p>
    <w:p w:rsidR="000A156F" w:rsidRDefault="00A9721F">
      <w:pPr>
        <w:pStyle w:val="Definition-Field2"/>
      </w:pPr>
      <w:r>
        <w:t xml:space="preserve">Office ignores the value of the </w:t>
      </w:r>
      <w:r>
        <w:t>invy attribute and writes an empty string whenever the attribute is written to the file.</w:t>
      </w:r>
    </w:p>
    <w:p w:rsidR="000A156F" w:rsidRDefault="00A9721F">
      <w:pPr>
        <w:pStyle w:val="Definition-Field"/>
      </w:pPr>
      <w:r>
        <w:t xml:space="preserve">d.   </w:t>
      </w:r>
      <w:r>
        <w:rPr>
          <w:i/>
        </w:rPr>
        <w:t>The standard indicates how the map attribute is used.</w:t>
      </w:r>
    </w:p>
    <w:p w:rsidR="000A156F" w:rsidRDefault="00A9721F">
      <w:pPr>
        <w:pStyle w:val="Definition-Field2"/>
      </w:pPr>
      <w:r>
        <w:t>Office does not support the map attribute and using it may result in unpredictable runtime behavior.</w:t>
      </w:r>
    </w:p>
    <w:p w:rsidR="000A156F" w:rsidRDefault="00A9721F">
      <w:pPr>
        <w:pStyle w:val="Heading3"/>
      </w:pPr>
      <w:bookmarkStart w:id="3617" w:name="section_2ab456f168374f4fabf9ba30693c31a1"/>
      <w:bookmarkStart w:id="3618" w:name="_Toc181684834"/>
      <w:r>
        <w:lastRenderedPageBreak/>
        <w:t xml:space="preserve">Part 4 </w:t>
      </w:r>
      <w:r>
        <w:t>Section 19.1.2.9, handles (Set of Handles)</w:t>
      </w:r>
      <w:bookmarkEnd w:id="3617"/>
      <w:bookmarkEnd w:id="3618"/>
      <w:r>
        <w:fldChar w:fldCharType="begin"/>
      </w:r>
      <w:r>
        <w:instrText xml:space="preserve"> XE "handles (Set of Handles)"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 xml:space="preserve">The </w:t>
      </w:r>
      <w:r>
        <w:rPr>
          <w:i/>
        </w:rPr>
        <w:t>standard states that the maxOccurs value for the h child element is unbounded.</w:t>
      </w:r>
    </w:p>
    <w:p w:rsidR="000A156F" w:rsidRDefault="00A9721F">
      <w:pPr>
        <w:pStyle w:val="Definition-Field2"/>
      </w:pPr>
      <w:r>
        <w:t>Office limits the occurrences of this element to 4.</w:t>
      </w:r>
    </w:p>
    <w:p w:rsidR="000A156F" w:rsidRDefault="00A9721F">
      <w:pPr>
        <w:pStyle w:val="Definition-Field"/>
      </w:pPr>
      <w:r>
        <w:t xml:space="preserve">b.   </w:t>
      </w:r>
      <w:r>
        <w:rPr>
          <w:i/>
        </w:rPr>
        <w:t>The standard does not restrict the number of instances of the handles element.</w:t>
      </w:r>
    </w:p>
    <w:p w:rsidR="000A156F" w:rsidRDefault="00A9721F">
      <w:pPr>
        <w:pStyle w:val="Definition-Field2"/>
      </w:pPr>
      <w:r>
        <w:t>Office allows at most one instance of thi</w:t>
      </w:r>
      <w:r>
        <w:t>s element in each place where it can be used.</w:t>
      </w:r>
    </w:p>
    <w:p w:rsidR="000A156F" w:rsidRDefault="00A9721F">
      <w:pPr>
        <w:pStyle w:val="Heading3"/>
      </w:pPr>
      <w:bookmarkStart w:id="3619" w:name="section_65100e2931e94e27972d9bf589fea5be"/>
      <w:bookmarkStart w:id="3620" w:name="_Toc181684835"/>
      <w:r>
        <w:t>Part 4 Section 19.1.2.10, image (Image File)</w:t>
      </w:r>
      <w:bookmarkEnd w:id="3619"/>
      <w:bookmarkEnd w:id="3620"/>
      <w:r>
        <w:fldChar w:fldCharType="begin"/>
      </w:r>
      <w:r>
        <w:instrText xml:space="preserve"> XE "image (Image File)"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0A156F" w:rsidRDefault="00A9721F">
      <w:pPr>
        <w:pStyle w:val="Definition-Field"/>
      </w:pPr>
      <w:r>
        <w:t xml:space="preserve">a.   </w:t>
      </w:r>
      <w:r>
        <w:rPr>
          <w:i/>
        </w:rPr>
        <w:t>The standard indicates that color images should be reduced to 8 colors if the bilevel attribute is true.</w:t>
      </w:r>
    </w:p>
    <w:p w:rsidR="000A156F" w:rsidRDefault="00A9721F">
      <w:pPr>
        <w:pStyle w:val="Definition-Field2"/>
      </w:pPr>
      <w:r>
        <w:t>Office interprets the bilevel attribute as a toggle between color and black and white and converts all images, color or greyscale, to pure black and white if the value of the bilevel attribute is true.</w:t>
      </w:r>
    </w:p>
    <w:p w:rsidR="000A156F" w:rsidRDefault="00A9721F">
      <w:pPr>
        <w:pStyle w:val="Definition-Field"/>
      </w:pPr>
      <w:r>
        <w:t xml:space="preserve">b.   </w:t>
      </w:r>
      <w:r>
        <w:rPr>
          <w:i/>
        </w:rPr>
        <w:t>The standard implies that the bullet attribute m</w:t>
      </w:r>
      <w:r>
        <w:rPr>
          <w:i/>
        </w:rPr>
        <w:t>ay be used to specify that the element is a bullet.</w:t>
      </w:r>
    </w:p>
    <w:p w:rsidR="000A156F" w:rsidRDefault="00A9721F">
      <w:pPr>
        <w:pStyle w:val="Definition-Field2"/>
      </w:pPr>
      <w:r>
        <w:t>Office sets this attribute when the element is being used as a bullet, but ignores it on file load; this attribute does not make the element a bullet.</w:t>
      </w:r>
    </w:p>
    <w:p w:rsidR="000A156F" w:rsidRDefault="00A9721F">
      <w:pPr>
        <w:pStyle w:val="Definition-Field"/>
      </w:pPr>
      <w:r>
        <w:t xml:space="preserve">c.   </w:t>
      </w:r>
      <w:r>
        <w:rPr>
          <w:i/>
        </w:rPr>
        <w:t xml:space="preserve">The standard states that the bwnormal attribute </w:t>
      </w:r>
      <w:r>
        <w:rPr>
          <w:i/>
        </w:rPr>
        <w:t>specifies the black-and-white mode for normal black-and-white output devices.</w:t>
      </w:r>
    </w:p>
    <w:p w:rsidR="000A156F" w:rsidRDefault="00A9721F">
      <w:pPr>
        <w:pStyle w:val="Definition-Field2"/>
      </w:pPr>
      <w:r>
        <w:t>Word and Excel do not support this attribute.</w:t>
      </w:r>
    </w:p>
    <w:p w:rsidR="000A156F" w:rsidRDefault="00A9721F">
      <w:pPr>
        <w:pStyle w:val="Definition-Field"/>
      </w:pPr>
      <w:r>
        <w:t xml:space="preserve">d.   </w:t>
      </w:r>
      <w:r>
        <w:rPr>
          <w:i/>
        </w:rPr>
        <w:t>The standard states that the bwpure attribute specifies the black-and-white mode for pure black-and-white output devices.</w:t>
      </w:r>
    </w:p>
    <w:p w:rsidR="000A156F" w:rsidRDefault="00A9721F">
      <w:pPr>
        <w:pStyle w:val="Definition-Field2"/>
      </w:pPr>
      <w:r>
        <w:t xml:space="preserve">Word </w:t>
      </w:r>
      <w:r>
        <w:t>and Excel do not support this attribute.</w:t>
      </w:r>
    </w:p>
    <w:p w:rsidR="000A156F" w:rsidRDefault="00A9721F">
      <w:pPr>
        <w:pStyle w:val="Definition-Field"/>
      </w:pPr>
      <w:r>
        <w:t xml:space="preserve">e.   </w:t>
      </w:r>
      <w:r>
        <w:rPr>
          <w:i/>
        </w:rPr>
        <w:t>The standard places no restrictions on when the target attribute is preserved.</w:t>
      </w:r>
    </w:p>
    <w:p w:rsidR="000A156F" w:rsidRDefault="00A9721F">
      <w:pPr>
        <w:pStyle w:val="Definition-Field2"/>
      </w:pPr>
      <w:r>
        <w:t>Office does not preserve this attribute when the href attribute is not set.</w:t>
      </w:r>
    </w:p>
    <w:p w:rsidR="000A156F" w:rsidRDefault="00A9721F">
      <w:pPr>
        <w:pStyle w:val="Definition-Field"/>
      </w:pPr>
      <w:r>
        <w:t xml:space="preserve">f.   </w:t>
      </w:r>
      <w:r>
        <w:rPr>
          <w:i/>
        </w:rPr>
        <w:t>The standard states that the bwmode attribute spec</w:t>
      </w:r>
      <w:r>
        <w:rPr>
          <w:i/>
        </w:rPr>
        <w:t>ifies how a shape will render for black-and-white output devices.</w:t>
      </w:r>
    </w:p>
    <w:p w:rsidR="000A156F" w:rsidRDefault="00A9721F">
      <w:pPr>
        <w:pStyle w:val="Definition-Field2"/>
      </w:pPr>
      <w:r>
        <w:t>Word and Excel do not support this attribute.</w:t>
      </w:r>
    </w:p>
    <w:p w:rsidR="000A156F" w:rsidRDefault="00A9721F">
      <w:pPr>
        <w:pStyle w:val="Definition-Field"/>
      </w:pPr>
      <w:r>
        <w:t xml:space="preserve">g.   </w:t>
      </w:r>
      <w:r>
        <w:rPr>
          <w:i/>
        </w:rPr>
        <w:t>The standard places no restrictions on the value of the spt attribute.</w:t>
      </w:r>
    </w:p>
    <w:p w:rsidR="000A156F" w:rsidRDefault="00A9721F">
      <w:pPr>
        <w:pStyle w:val="Definition-Field2"/>
      </w:pPr>
      <w:r>
        <w:t>Office requires the spt attribute on an image element have a value o</w:t>
      </w:r>
      <w:r>
        <w:t>f 75. It is an error to specify this attribute as anything other than the default value, except for the shape and shapetype elements, which can handle any valid spt value.</w:t>
      </w:r>
    </w:p>
    <w:p w:rsidR="000A156F" w:rsidRDefault="00A9721F">
      <w:pPr>
        <w:pStyle w:val="Definition-Field"/>
      </w:pPr>
      <w:r>
        <w:t xml:space="preserve">h.   </w:t>
      </w:r>
      <w:r>
        <w:rPr>
          <w:i/>
        </w:rPr>
        <w:t>The standard states that chromakey, coordorigin, and opacity are valid attribut</w:t>
      </w:r>
      <w:r>
        <w:rPr>
          <w:i/>
        </w:rPr>
        <w:t>es on the image element.</w:t>
      </w:r>
    </w:p>
    <w:p w:rsidR="000A156F" w:rsidRDefault="00A9721F">
      <w:pPr>
        <w:pStyle w:val="Definition-Field2"/>
      </w:pPr>
      <w:r>
        <w:t>Office does not support these attributes on this element.</w:t>
      </w:r>
    </w:p>
    <w:p w:rsidR="000A156F" w:rsidRDefault="00A9721F">
      <w:pPr>
        <w:pStyle w:val="Definition-Field"/>
      </w:pPr>
      <w:r>
        <w:t xml:space="preserve">i.   </w:t>
      </w:r>
      <w:r>
        <w:rPr>
          <w:i/>
        </w:rPr>
        <w:t>The standard states that the default value of the spt attribute is 0.</w:t>
      </w:r>
    </w:p>
    <w:p w:rsidR="000A156F" w:rsidRDefault="00A9721F">
      <w:pPr>
        <w:pStyle w:val="Definition-Field2"/>
      </w:pPr>
      <w:r>
        <w:lastRenderedPageBreak/>
        <w:t>Office uses a default value of 75 for the image element.</w:t>
      </w:r>
    </w:p>
    <w:p w:rsidR="000A156F" w:rsidRDefault="00A9721F">
      <w:pPr>
        <w:pStyle w:val="Definition-Field"/>
      </w:pPr>
      <w:r>
        <w:t xml:space="preserve">j.   </w:t>
      </w:r>
      <w:r>
        <w:rPr>
          <w:i/>
        </w:rPr>
        <w:t>The standard does not mention the gf</w:t>
      </w:r>
      <w:r>
        <w:rPr>
          <w:i/>
        </w:rPr>
        <w:t>xdata attribute.</w:t>
      </w:r>
    </w:p>
    <w:p w:rsidR="000A156F" w:rsidRDefault="00A9721F">
      <w:pPr>
        <w:pStyle w:val="Definition-Field2"/>
      </w:pPr>
      <w:r>
        <w:t>Office uses an gfxdata attribute. The definition is the same as the gfxdata attribute defined in Section 14.1.2.19.</w:t>
      </w:r>
    </w:p>
    <w:p w:rsidR="000A156F" w:rsidRDefault="00A9721F">
      <w:pPr>
        <w:pStyle w:val="Heading3"/>
      </w:pPr>
      <w:bookmarkStart w:id="3621" w:name="section_eba6e7671fa143e3b8ae7ea30c1f4972"/>
      <w:bookmarkStart w:id="3622" w:name="_Toc181684836"/>
      <w:r>
        <w:t>Part 4 Section 19.1.2.11, imagedata (Image Data)</w:t>
      </w:r>
      <w:bookmarkEnd w:id="3621"/>
      <w:bookmarkEnd w:id="3622"/>
      <w:r>
        <w:fldChar w:fldCharType="begin"/>
      </w:r>
      <w:r>
        <w:instrText xml:space="preserve"> XE "imagedata (Image Data)" </w:instrText>
      </w:r>
      <w:r>
        <w:fldChar w:fldCharType="end"/>
      </w:r>
    </w:p>
    <w:p w:rsidR="000A156F" w:rsidRDefault="00A9721F">
      <w:pPr>
        <w:pStyle w:val="Definition-Field2"/>
      </w:pPr>
      <w:r>
        <w:rPr>
          <w:i/>
        </w:rPr>
        <w:t>For additional notes that apply to this por</w:t>
      </w:r>
      <w:r>
        <w:rPr>
          <w:i/>
        </w:rPr>
        <w:t xml:space="preserve">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r>
          <w:rPr>
            <w:rStyle w:val="Hyperlink"/>
          </w:rPr>
          <w:t>)</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0A156F" w:rsidRDefault="00A9721F">
      <w:pPr>
        <w:pStyle w:val="Definition-Field"/>
      </w:pPr>
      <w:r>
        <w:t xml:space="preserve">a.   </w:t>
      </w:r>
      <w:r>
        <w:rPr>
          <w:i/>
        </w:rPr>
        <w:t>The standard does not restrict the number of instances of the imagedata element</w:t>
      </w:r>
      <w:r>
        <w:rPr>
          <w:i/>
        </w:rPr>
        <w:t>.</w:t>
      </w:r>
    </w:p>
    <w:p w:rsidR="000A156F" w:rsidRDefault="00A9721F">
      <w:pPr>
        <w:pStyle w:val="Definition-Field2"/>
      </w:pPr>
      <w:r>
        <w:t>Office allows at most only one instance of the imagedata element in each place where it can be used.</w:t>
      </w:r>
    </w:p>
    <w:p w:rsidR="000A156F" w:rsidRDefault="00A9721F">
      <w:pPr>
        <w:pStyle w:val="Definition-Field"/>
      </w:pPr>
      <w:r>
        <w:t xml:space="preserve">b.   </w:t>
      </w:r>
      <w:r>
        <w:rPr>
          <w:i/>
        </w:rPr>
        <w:t>The standard states that althref is a valid attribute.</w:t>
      </w:r>
    </w:p>
    <w:p w:rsidR="000A156F" w:rsidRDefault="00A9721F">
      <w:pPr>
        <w:pStyle w:val="Definition-Field2"/>
      </w:pPr>
      <w:r>
        <w:t>Office does not support this attribute.</w:t>
      </w:r>
    </w:p>
    <w:p w:rsidR="000A156F" w:rsidRDefault="00A9721F">
      <w:pPr>
        <w:pStyle w:val="Definition-Field"/>
      </w:pPr>
      <w:r>
        <w:t xml:space="preserve">c.   </w:t>
      </w:r>
      <w:r>
        <w:rPr>
          <w:i/>
        </w:rPr>
        <w:t>The standard states that movie is a valid attrib</w:t>
      </w:r>
      <w:r>
        <w:rPr>
          <w:i/>
        </w:rPr>
        <w:t>ute.</w:t>
      </w:r>
    </w:p>
    <w:p w:rsidR="000A156F" w:rsidRDefault="00A9721F">
      <w:pPr>
        <w:pStyle w:val="Definition-Field2"/>
      </w:pPr>
      <w:r>
        <w:t>Office does not support this attribute.</w:t>
      </w:r>
    </w:p>
    <w:p w:rsidR="000A156F" w:rsidRDefault="00A9721F">
      <w:pPr>
        <w:pStyle w:val="Definition-Field"/>
      </w:pPr>
      <w:r>
        <w:t xml:space="preserve">d.   </w:t>
      </w:r>
      <w:r>
        <w:rPr>
          <w:i/>
        </w:rPr>
        <w:t>The standard states that src is a valid attribute.</w:t>
      </w:r>
    </w:p>
    <w:p w:rsidR="000A156F" w:rsidRDefault="00A9721F">
      <w:pPr>
        <w:pStyle w:val="Definition-Field2"/>
      </w:pPr>
      <w:r>
        <w:t>Office does not support this attribute.</w:t>
      </w:r>
    </w:p>
    <w:p w:rsidR="000A156F" w:rsidRDefault="00A9721F">
      <w:pPr>
        <w:pStyle w:val="Definition-Field"/>
      </w:pPr>
      <w:r>
        <w:t xml:space="preserve">e.   </w:t>
      </w:r>
      <w:r>
        <w:rPr>
          <w:i/>
        </w:rPr>
        <w:t>The standard indicates that the pict attribute is used to specify the relationship with alternate image data.</w:t>
      </w:r>
    </w:p>
    <w:p w:rsidR="000A156F" w:rsidRDefault="00A9721F">
      <w:pPr>
        <w:pStyle w:val="Definition-Field2"/>
      </w:pPr>
      <w:r>
        <w:t>Office does not preserve the pict attribute for imagedata elements.</w:t>
      </w:r>
    </w:p>
    <w:p w:rsidR="000A156F" w:rsidRDefault="00A9721F">
      <w:pPr>
        <w:pStyle w:val="Definition-Field"/>
      </w:pPr>
      <w:r>
        <w:t xml:space="preserve">f.   </w:t>
      </w:r>
      <w:r>
        <w:rPr>
          <w:i/>
        </w:rPr>
        <w:t>The standard states that oleid is valid attribute.</w:t>
      </w:r>
    </w:p>
    <w:p w:rsidR="000A156F" w:rsidRDefault="00A9721F">
      <w:pPr>
        <w:pStyle w:val="Definition-Field2"/>
      </w:pPr>
      <w:r>
        <w:t>Office does not support this attribute.</w:t>
      </w:r>
    </w:p>
    <w:p w:rsidR="000A156F" w:rsidRDefault="00A9721F">
      <w:pPr>
        <w:pStyle w:val="Definition-Field"/>
      </w:pPr>
      <w:r>
        <w:t xml:space="preserve">g.   </w:t>
      </w:r>
      <w:r>
        <w:rPr>
          <w:i/>
        </w:rPr>
        <w:t>The standard does not specify a default value for the detectmouseclick attribute.</w:t>
      </w:r>
    </w:p>
    <w:p w:rsidR="000A156F" w:rsidRDefault="00A9721F">
      <w:pPr>
        <w:pStyle w:val="Definition-Field2"/>
      </w:pPr>
      <w:r>
        <w:t>In Of</w:t>
      </w:r>
      <w:r>
        <w:t>fice, the default value of the detectmouseclick attribute is true for imagedata elements.</w:t>
      </w:r>
    </w:p>
    <w:p w:rsidR="000A156F" w:rsidRDefault="00A9721F">
      <w:pPr>
        <w:pStyle w:val="Definition-Field"/>
      </w:pPr>
      <w:r>
        <w:t xml:space="preserve">h.   </w:t>
      </w:r>
      <w:r>
        <w:rPr>
          <w:i/>
        </w:rPr>
        <w:t>The standard states that the values of the cropleft attribute are defined by the XML Schema string datatype.</w:t>
      </w:r>
    </w:p>
    <w:p w:rsidR="000A156F" w:rsidRDefault="00A9721F">
      <w:pPr>
        <w:pStyle w:val="Definition-Field2"/>
      </w:pPr>
      <w:r>
        <w:t>Office defines the values of this attribute with the</w:t>
      </w:r>
      <w:r>
        <w:t xml:space="preserve"> ST_Fraction (</w:t>
      </w:r>
      <w:hyperlink w:anchor="Section_c96929a126d44fe4819f37727a9492e8">
        <w:r>
          <w:rPr>
            <w:rStyle w:val="Hyperlink"/>
          </w:rPr>
          <w:t>§3.9.1, ST_Fraction</w:t>
        </w:r>
      </w:hyperlink>
      <w:r>
        <w:t>) simple type.</w:t>
      </w:r>
    </w:p>
    <w:p w:rsidR="000A156F" w:rsidRDefault="00A9721F">
      <w:pPr>
        <w:pStyle w:val="Definition-Field"/>
      </w:pPr>
      <w:r>
        <w:t xml:space="preserve">i.   </w:t>
      </w:r>
      <w:r>
        <w:rPr>
          <w:i/>
        </w:rPr>
        <w:t>The standard states that the values of the cropright attribute are defined by the XML Schema string datatype.</w:t>
      </w:r>
    </w:p>
    <w:p w:rsidR="000A156F" w:rsidRDefault="00A9721F">
      <w:pPr>
        <w:pStyle w:val="Definition-Field2"/>
      </w:pPr>
      <w:r>
        <w:t>Office defines the values of t</w:t>
      </w:r>
      <w:r>
        <w:t>his attribute with the ST_Fraction (§3.9.1, ST_Fraction) simple type.</w:t>
      </w:r>
    </w:p>
    <w:p w:rsidR="000A156F" w:rsidRDefault="00A9721F">
      <w:pPr>
        <w:pStyle w:val="Definition-Field"/>
      </w:pPr>
      <w:r>
        <w:t xml:space="preserve">j.   </w:t>
      </w:r>
      <w:r>
        <w:rPr>
          <w:i/>
        </w:rPr>
        <w:t>The standard states that the values of the blacklevel attribute are defined by the XML Schema string datatype.</w:t>
      </w:r>
    </w:p>
    <w:p w:rsidR="000A156F" w:rsidRDefault="00A9721F">
      <w:pPr>
        <w:pStyle w:val="Definition-Field2"/>
      </w:pPr>
      <w:r>
        <w:t>Office defines the values of this attribute with the ST_Fraction (§3.9</w:t>
      </w:r>
      <w:r>
        <w:t>.1, ST_Fraction) simple type.</w:t>
      </w:r>
    </w:p>
    <w:p w:rsidR="000A156F" w:rsidRDefault="00A9721F">
      <w:pPr>
        <w:pStyle w:val="Definition-Field"/>
      </w:pPr>
      <w:r>
        <w:t xml:space="preserve">k.   </w:t>
      </w:r>
      <w:r>
        <w:rPr>
          <w:i/>
        </w:rPr>
        <w:t>The standard states that the values of the gain attribute are defined by the XML Schema string datatype.</w:t>
      </w:r>
    </w:p>
    <w:p w:rsidR="000A156F" w:rsidRDefault="00A9721F">
      <w:pPr>
        <w:pStyle w:val="Definition-Field2"/>
      </w:pPr>
      <w:r>
        <w:t>Office defines the values of this attribute with the ST_Fraction (§3.9.1, ST_Fraction) simple type.</w:t>
      </w:r>
    </w:p>
    <w:p w:rsidR="000A156F" w:rsidRDefault="00A9721F">
      <w:pPr>
        <w:pStyle w:val="Definition-Field"/>
      </w:pPr>
      <w:r>
        <w:lastRenderedPageBreak/>
        <w:t xml:space="preserve">l.   </w:t>
      </w:r>
      <w:r>
        <w:rPr>
          <w:i/>
        </w:rPr>
        <w:t xml:space="preserve">The </w:t>
      </w:r>
      <w:r>
        <w:rPr>
          <w:i/>
        </w:rPr>
        <w:t>standard states that the values of the gamma attribute are defined by the XML Schema string datatype.</w:t>
      </w:r>
    </w:p>
    <w:p w:rsidR="000A156F" w:rsidRDefault="00A9721F">
      <w:pPr>
        <w:pStyle w:val="Definition-Field2"/>
      </w:pPr>
      <w:r>
        <w:t>Office defines the values of this attribute with the ST_Fraction (§3.9.1, ST_Fraction) simple type.</w:t>
      </w:r>
    </w:p>
    <w:p w:rsidR="000A156F" w:rsidRDefault="00A9721F">
      <w:pPr>
        <w:pStyle w:val="Definition-Field"/>
      </w:pPr>
      <w:r>
        <w:t xml:space="preserve">m.   </w:t>
      </w:r>
      <w:r>
        <w:rPr>
          <w:i/>
        </w:rPr>
        <w:t>The standard states that the values of the cropto</w:t>
      </w:r>
      <w:r>
        <w:rPr>
          <w:i/>
        </w:rPr>
        <w:t>p attribute are defined by the XML Schema string datatype.</w:t>
      </w:r>
    </w:p>
    <w:p w:rsidR="000A156F" w:rsidRDefault="00A9721F">
      <w:pPr>
        <w:pStyle w:val="Definition-Field2"/>
      </w:pPr>
      <w:r>
        <w:t>Office defines the values of this attribute with the ST_Fraction (§3.9.1, ST_Fraction) simple type.</w:t>
      </w:r>
    </w:p>
    <w:p w:rsidR="000A156F" w:rsidRDefault="00A9721F">
      <w:pPr>
        <w:pStyle w:val="Definition-Field"/>
      </w:pPr>
      <w:r>
        <w:t xml:space="preserve">n.   </w:t>
      </w:r>
      <w:r>
        <w:rPr>
          <w:i/>
        </w:rPr>
        <w:t>The standard states that the values of the cropbottom attribute are defined by the XML Schem</w:t>
      </w:r>
      <w:r>
        <w:rPr>
          <w:i/>
        </w:rPr>
        <w:t>a string datatype.</w:t>
      </w:r>
    </w:p>
    <w:p w:rsidR="000A156F" w:rsidRDefault="00A9721F">
      <w:pPr>
        <w:pStyle w:val="Definition-Field2"/>
      </w:pPr>
      <w:r>
        <w:t>Office defines the values of this attribute with the ST_Fraction (§3.9.1, ST_Fraction) simple type.</w:t>
      </w:r>
    </w:p>
    <w:p w:rsidR="000A156F" w:rsidRDefault="00A9721F">
      <w:pPr>
        <w:pStyle w:val="Definition-Field"/>
      </w:pPr>
      <w:r>
        <w:t xml:space="preserve">o.   </w:t>
      </w:r>
      <w:r>
        <w:rPr>
          <w:i/>
        </w:rPr>
        <w:t>The standard does not specify bounds for the blacklevel attribute.</w:t>
      </w:r>
    </w:p>
    <w:p w:rsidR="000A156F" w:rsidRDefault="00A9721F">
      <w:pPr>
        <w:pStyle w:val="Definition-Field2"/>
      </w:pPr>
      <w:r>
        <w:t>Office uses a range of [-0.5, 0.5] for the blacklevel attribute f</w:t>
      </w:r>
      <w:r>
        <w:t>or the imagedata element.</w:t>
      </w:r>
    </w:p>
    <w:p w:rsidR="000A156F" w:rsidRDefault="00A9721F">
      <w:pPr>
        <w:pStyle w:val="Definition-Field"/>
      </w:pPr>
      <w:r>
        <w:t xml:space="preserve">p.   </w:t>
      </w:r>
      <w:r>
        <w:rPr>
          <w:i/>
        </w:rPr>
        <w:t>The standard supports the relid attribute in all contexts.</w:t>
      </w:r>
    </w:p>
    <w:p w:rsidR="000A156F" w:rsidRDefault="00A9721F">
      <w:pPr>
        <w:pStyle w:val="Definition-Field2"/>
      </w:pPr>
      <w:r>
        <w:t>Office only supports the relid attribute in the SpreadsheetML context.</w:t>
      </w:r>
    </w:p>
    <w:p w:rsidR="000A156F" w:rsidRDefault="00A9721F">
      <w:pPr>
        <w:pStyle w:val="Definition-Field"/>
      </w:pPr>
      <w:r>
        <w:t xml:space="preserve">q.   </w:t>
      </w:r>
      <w:r>
        <w:rPr>
          <w:i/>
        </w:rPr>
        <w:t>The standard supports the attribute Id in all contexts.</w:t>
      </w:r>
    </w:p>
    <w:p w:rsidR="000A156F" w:rsidRDefault="00A9721F">
      <w:pPr>
        <w:pStyle w:val="Definition-Field2"/>
      </w:pPr>
      <w:r>
        <w:t>Office only supports the Id attrib</w:t>
      </w:r>
      <w:r>
        <w:t>ute in the WordprocessingML context.</w:t>
      </w:r>
    </w:p>
    <w:p w:rsidR="000A156F" w:rsidRDefault="00A9721F">
      <w:pPr>
        <w:pStyle w:val="Definition-Field"/>
      </w:pPr>
      <w:r>
        <w:t xml:space="preserve">r.   </w:t>
      </w:r>
      <w:r>
        <w:rPr>
          <w:i/>
        </w:rPr>
        <w:t>The standard does not explicitly define the interaction between the detectmouseclick attributes and the fill and imagedata child elements.</w:t>
      </w:r>
    </w:p>
    <w:p w:rsidR="000A156F" w:rsidRDefault="00A9721F">
      <w:pPr>
        <w:pStyle w:val="Definition-Field2"/>
      </w:pPr>
      <w:r>
        <w:t xml:space="preserve">Office treats detectmouseclick as false only if the detectmouseclick </w:t>
      </w:r>
      <w:r>
        <w:t>attributes of both the fill and imagedata child elements are set to false.</w:t>
      </w:r>
    </w:p>
    <w:p w:rsidR="000A156F" w:rsidRDefault="00A9721F">
      <w:pPr>
        <w:pStyle w:val="Definition-Field"/>
      </w:pPr>
      <w:r>
        <w:t xml:space="preserve">s.   </w:t>
      </w:r>
      <w:r>
        <w:rPr>
          <w:i/>
        </w:rPr>
        <w:t>The standard states that o:href is a valid attribute.</w:t>
      </w:r>
    </w:p>
    <w:p w:rsidR="000A156F" w:rsidRDefault="00A9721F">
      <w:pPr>
        <w:pStyle w:val="Definition-Field2"/>
      </w:pPr>
      <w:r>
        <w:t>Office does not support this attribute.</w:t>
      </w:r>
    </w:p>
    <w:p w:rsidR="000A156F" w:rsidRDefault="00A9721F">
      <w:pPr>
        <w:pStyle w:val="Heading3"/>
      </w:pPr>
      <w:bookmarkStart w:id="3623" w:name="section_2b6707526d64462a824f275717267aa9"/>
      <w:bookmarkStart w:id="3624" w:name="_Toc181684837"/>
      <w:r>
        <w:t>Part 4 Section 19.1.2.12, line (Line)</w:t>
      </w:r>
      <w:bookmarkEnd w:id="3623"/>
      <w:bookmarkEnd w:id="3624"/>
      <w:r>
        <w:fldChar w:fldCharType="begin"/>
      </w:r>
      <w:r>
        <w:instrText xml:space="preserve"> XE "line (Line)" </w:instrText>
      </w:r>
      <w:r>
        <w:fldChar w:fldCharType="end"/>
      </w:r>
    </w:p>
    <w:p w:rsidR="000A156F" w:rsidRDefault="00A9721F">
      <w:pPr>
        <w:pStyle w:val="Definition-Field2"/>
      </w:pPr>
      <w:r>
        <w:rPr>
          <w:i/>
        </w:rPr>
        <w:t>For additional notes tha</w:t>
      </w:r>
      <w:r>
        <w:rPr>
          <w:i/>
        </w:rPr>
        <w:t xml:space="preserve">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w:t>
        </w:r>
        <w:r>
          <w:rPr>
            <w:rStyle w:val="Hyperlink"/>
          </w:rPr>
          <w:t>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A156F" w:rsidRDefault="00A9721F">
      <w:pPr>
        <w:pStyle w:val="Definition-Field"/>
      </w:pPr>
      <w:r>
        <w:t xml:space="preserve">a.   </w:t>
      </w:r>
      <w:r>
        <w:rPr>
          <w:i/>
        </w:rPr>
        <w:t>The standard indicates that the default va</w:t>
      </w:r>
      <w:r>
        <w:rPr>
          <w:i/>
        </w:rPr>
        <w:t>lue for the to attribute is "10,10".</w:t>
      </w:r>
    </w:p>
    <w:p w:rsidR="000A156F" w:rsidRDefault="00A9721F">
      <w:pPr>
        <w:pStyle w:val="Definition-Field2"/>
      </w:pPr>
      <w:r>
        <w:t>Office uses a default value of "50pt,50pt" for the to attribute.</w:t>
      </w:r>
    </w:p>
    <w:p w:rsidR="000A156F" w:rsidRDefault="00A9721F">
      <w:pPr>
        <w:pStyle w:val="Definition-Field"/>
      </w:pPr>
      <w:r>
        <w:t xml:space="preserve">b.   </w:t>
      </w:r>
      <w:r>
        <w:rPr>
          <w:i/>
        </w:rPr>
        <w:t>The standard places no restrictions on the value of the spt attribute.</w:t>
      </w:r>
    </w:p>
    <w:p w:rsidR="000A156F" w:rsidRDefault="00A9721F">
      <w:pPr>
        <w:pStyle w:val="Definition-Field2"/>
      </w:pPr>
      <w:r>
        <w:t>Office requires that the spt attribute on a line element have a value of 20. I</w:t>
      </w:r>
      <w:r>
        <w:t>t is an error to specify this attribute as anything other than the default value, except for the shape and shapetype elements, which can handle any valid spt value.</w:t>
      </w:r>
    </w:p>
    <w:p w:rsidR="000A156F" w:rsidRDefault="00A9721F">
      <w:pPr>
        <w:pStyle w:val="Definition-Field"/>
      </w:pPr>
      <w:r>
        <w:t xml:space="preserve">c.   </w:t>
      </w:r>
      <w:r>
        <w:rPr>
          <w:i/>
        </w:rPr>
        <w:t>The standard states that chromakey and opacity are valid attributes on the line elemen</w:t>
      </w:r>
      <w:r>
        <w:rPr>
          <w:i/>
        </w:rPr>
        <w:t>t.</w:t>
      </w:r>
    </w:p>
    <w:p w:rsidR="000A156F" w:rsidRDefault="00A9721F">
      <w:pPr>
        <w:pStyle w:val="Definition-Field2"/>
      </w:pPr>
      <w:r>
        <w:t>Office does not support these attributes on this element.</w:t>
      </w:r>
    </w:p>
    <w:p w:rsidR="000A156F" w:rsidRDefault="00A9721F">
      <w:pPr>
        <w:pStyle w:val="Definition-Field"/>
      </w:pPr>
      <w:r>
        <w:t xml:space="preserve">d.   </w:t>
      </w:r>
      <w:r>
        <w:rPr>
          <w:i/>
        </w:rPr>
        <w:t>The standard states that the default value of the spt attribute is 0.</w:t>
      </w:r>
    </w:p>
    <w:p w:rsidR="000A156F" w:rsidRDefault="00A9721F">
      <w:pPr>
        <w:pStyle w:val="Definition-Field2"/>
      </w:pPr>
      <w:r>
        <w:lastRenderedPageBreak/>
        <w:t xml:space="preserve">Office uses a default value of 20 for the line element. It is an error to specify this attribute as anything other than </w:t>
      </w:r>
      <w:r>
        <w:t>the default value, except for the shape and shapetype elements which can handle any valid spt value.</w:t>
      </w:r>
    </w:p>
    <w:p w:rsidR="000A156F" w:rsidRDefault="00A9721F">
      <w:pPr>
        <w:pStyle w:val="Definition-Field"/>
      </w:pPr>
      <w:r>
        <w:t xml:space="preserve">e.   </w:t>
      </w:r>
      <w:r>
        <w:rPr>
          <w:i/>
        </w:rPr>
        <w:t>The standard places no restrictions on when the coordorigin and coordsize attributes are preserved on the line element.</w:t>
      </w:r>
    </w:p>
    <w:p w:rsidR="000A156F" w:rsidRDefault="00A9721F">
      <w:pPr>
        <w:pStyle w:val="Definition-Field2"/>
      </w:pPr>
      <w:r>
        <w:t>Office only preserves these at</w:t>
      </w:r>
      <w:r>
        <w:t>tributes when this element has at least one of the following child elements:  a path with connection points specified in its connectlocs attribute; a path with a textbox specified in its textboxrect attribute; or handles.</w:t>
      </w:r>
    </w:p>
    <w:p w:rsidR="000A156F" w:rsidRDefault="00A9721F">
      <w:pPr>
        <w:pStyle w:val="Definition-Field"/>
      </w:pPr>
      <w:r>
        <w:t xml:space="preserve">f.   </w:t>
      </w:r>
      <w:r>
        <w:rPr>
          <w:i/>
        </w:rPr>
        <w:t>The standard does not mention</w:t>
      </w:r>
      <w:r>
        <w:rPr>
          <w:i/>
        </w:rPr>
        <w:t xml:space="preserve"> the gfxdata attribute.</w:t>
      </w:r>
    </w:p>
    <w:p w:rsidR="000A156F" w:rsidRDefault="00A9721F">
      <w:pPr>
        <w:pStyle w:val="Definition-Field2"/>
      </w:pPr>
      <w:r>
        <w:t>Office uses an gfxdata attribute. The definition is the same as the gfxdata attribute defined in Section 14.1.2.19.</w:t>
      </w:r>
    </w:p>
    <w:p w:rsidR="000A156F" w:rsidRDefault="00A9721F">
      <w:pPr>
        <w:pStyle w:val="Heading3"/>
      </w:pPr>
      <w:bookmarkStart w:id="3625" w:name="section_bd6bc36a9e8f489dafb305827fbf0b14"/>
      <w:bookmarkStart w:id="3626" w:name="_Toc181684838"/>
      <w:r>
        <w:t>Part 4 Section 19.1.2.13, oval (Oval)</w:t>
      </w:r>
      <w:bookmarkEnd w:id="3625"/>
      <w:bookmarkEnd w:id="3626"/>
      <w:r>
        <w:fldChar w:fldCharType="begin"/>
      </w:r>
      <w:r>
        <w:instrText xml:space="preserve"> XE "oval (Oval)"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w:t>
        </w:r>
        <w:r>
          <w:rPr>
            <w:rStyle w:val="Hyperlink"/>
          </w:rPr>
          <w:t>-mm,oo-xx,ccc-lll,nnn,qqq,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A156F" w:rsidRDefault="00A9721F">
      <w:pPr>
        <w:pStyle w:val="Definition-Field"/>
      </w:pPr>
      <w:r>
        <w:t xml:space="preserve">a.   </w:t>
      </w:r>
      <w:r>
        <w:rPr>
          <w:i/>
        </w:rPr>
        <w:t>The standard place</w:t>
      </w:r>
      <w:r>
        <w:rPr>
          <w:i/>
        </w:rPr>
        <w:t>s no restrictions on the value of the spt attribute.</w:t>
      </w:r>
    </w:p>
    <w:p w:rsidR="000A156F" w:rsidRDefault="00A9721F">
      <w:pPr>
        <w:pStyle w:val="Definition-Field2"/>
      </w:pPr>
      <w:r>
        <w:t>Office requires that the spt attribute on an oval element have a value of 3. It is an error to specify this attribute as anything other than the default value, except for the shape and shapetype elements</w:t>
      </w:r>
      <w:r>
        <w:t>, which can handle any valid spt value.</w:t>
      </w:r>
    </w:p>
    <w:p w:rsidR="000A156F" w:rsidRDefault="00A9721F">
      <w:pPr>
        <w:pStyle w:val="Definition-Field"/>
      </w:pPr>
      <w:r>
        <w:t xml:space="preserve">b.   </w:t>
      </w:r>
      <w:r>
        <w:rPr>
          <w:i/>
        </w:rPr>
        <w:t>The standard states that chromakey and opacity are valid attributes on the oval element.</w:t>
      </w:r>
    </w:p>
    <w:p w:rsidR="000A156F" w:rsidRDefault="00A9721F">
      <w:pPr>
        <w:pStyle w:val="Definition-Field2"/>
      </w:pPr>
      <w:r>
        <w:t>Office does not support these attributes on this element.</w:t>
      </w:r>
    </w:p>
    <w:p w:rsidR="000A156F" w:rsidRDefault="00A9721F">
      <w:pPr>
        <w:pStyle w:val="Definition-Field"/>
      </w:pPr>
      <w:r>
        <w:t xml:space="preserve">c.   </w:t>
      </w:r>
      <w:r>
        <w:rPr>
          <w:i/>
        </w:rPr>
        <w:t>The standard states that the default value of the spt attri</w:t>
      </w:r>
      <w:r>
        <w:rPr>
          <w:i/>
        </w:rPr>
        <w:t>bute is 0.</w:t>
      </w:r>
    </w:p>
    <w:p w:rsidR="000A156F" w:rsidRDefault="00A9721F">
      <w:pPr>
        <w:pStyle w:val="Definition-Field2"/>
      </w:pPr>
      <w:r>
        <w:t>Office uses a default value of 3 for the oval element. It is an error to specify this attribute as anything other than the default value, except for the shape and shapetype elements, which can handle any valid spt value.</w:t>
      </w:r>
    </w:p>
    <w:p w:rsidR="000A156F" w:rsidRDefault="00A9721F">
      <w:pPr>
        <w:pStyle w:val="Definition-Field"/>
      </w:pPr>
      <w:r>
        <w:t xml:space="preserve">d.   </w:t>
      </w:r>
      <w:r>
        <w:rPr>
          <w:i/>
        </w:rPr>
        <w:t>The standard places</w:t>
      </w:r>
      <w:r>
        <w:rPr>
          <w:i/>
        </w:rPr>
        <w:t xml:space="preserve"> no restrictions on when the coordorigin and coordsize attributes are preserved on the oval element.</w:t>
      </w:r>
    </w:p>
    <w:p w:rsidR="000A156F" w:rsidRDefault="00A9721F">
      <w:pPr>
        <w:pStyle w:val="Definition-Field2"/>
      </w:pPr>
      <w:r>
        <w:t xml:space="preserve">Office only preserves these attributes when this element has at least one of the following child elements:  a path with connection points specified in its </w:t>
      </w:r>
      <w:r>
        <w:t>connectlocs attribute; a path with a textbox specified in its textboxrect attribute; or handles.</w:t>
      </w:r>
    </w:p>
    <w:p w:rsidR="000A156F" w:rsidRDefault="00A9721F">
      <w:pPr>
        <w:pStyle w:val="Definition-Field"/>
      </w:pPr>
      <w:r>
        <w:t xml:space="preserve">e.   </w:t>
      </w:r>
      <w:r>
        <w:rPr>
          <w:i/>
        </w:rPr>
        <w:t>The standard does not mention the gfxdata attribute.</w:t>
      </w:r>
    </w:p>
    <w:p w:rsidR="000A156F" w:rsidRDefault="00A9721F">
      <w:pPr>
        <w:pStyle w:val="Definition-Field2"/>
      </w:pPr>
      <w:r>
        <w:t xml:space="preserve">Office uses an gfxdata attribute. The definition is the same as the gfxdata attribute defined in </w:t>
      </w:r>
      <w:r>
        <w:t>Section 14.1.2.19.</w:t>
      </w:r>
    </w:p>
    <w:p w:rsidR="000A156F" w:rsidRDefault="00A9721F">
      <w:pPr>
        <w:pStyle w:val="Heading3"/>
      </w:pPr>
      <w:bookmarkStart w:id="3627" w:name="section_eaa61e5c76e94291aac648b1618eb395"/>
      <w:bookmarkStart w:id="3628" w:name="_Toc181684839"/>
      <w:r>
        <w:t>Part 4 Section 19.1.2.14, path (Shape Path)</w:t>
      </w:r>
      <w:bookmarkEnd w:id="3627"/>
      <w:bookmarkEnd w:id="3628"/>
      <w:r>
        <w:fldChar w:fldCharType="begin"/>
      </w:r>
      <w:r>
        <w:instrText xml:space="preserve"> XE "path (Shape Path)"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w:t>
        </w:r>
        <w:r>
          <w:rPr>
            <w:rStyle w:val="Hyperlink"/>
          </w:rPr>
          <w:t>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r>
          <w:rPr>
            <w:rStyle w:val="Hyperlink"/>
          </w:rPr>
          <w:t>)</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The standard does not define the coordinate space for the pen positions.</w:t>
      </w:r>
    </w:p>
    <w:p w:rsidR="000A156F" w:rsidRDefault="00A9721F">
      <w:pPr>
        <w:pStyle w:val="Definition-Field2"/>
      </w:pPr>
      <w:r>
        <w:t>In Office, the coordinate space for pen movements is defined by the shape's coordinate spac</w:t>
      </w:r>
      <w:r>
        <w:t>e rectangle, as given by the coordsize and coordorigin attributes.</w:t>
      </w:r>
    </w:p>
    <w:p w:rsidR="000A156F" w:rsidRDefault="00A9721F">
      <w:pPr>
        <w:pStyle w:val="Definition-Field"/>
      </w:pPr>
      <w:r>
        <w:lastRenderedPageBreak/>
        <w:t xml:space="preserve">b.   </w:t>
      </w:r>
      <w:r>
        <w:rPr>
          <w:i/>
        </w:rPr>
        <w:t>The standard does not define units for the angle parameters for ellipses defined using the ae property of the v attribute.</w:t>
      </w:r>
    </w:p>
    <w:p w:rsidR="000A156F" w:rsidRDefault="00A9721F">
      <w:pPr>
        <w:pStyle w:val="Definition-Field2"/>
      </w:pPr>
      <w:r>
        <w:t>Office uses units of 1/65536 of a degree for the angle parame</w:t>
      </w:r>
      <w:r>
        <w:t>ters for ellipses defined using the ae property of the v attribute.</w:t>
      </w:r>
    </w:p>
    <w:p w:rsidR="000A156F" w:rsidRDefault="00A9721F">
      <w:pPr>
        <w:pStyle w:val="Definition-Field"/>
      </w:pPr>
      <w:r>
        <w:t xml:space="preserve">c.   </w:t>
      </w:r>
      <w:r>
        <w:rPr>
          <w:i/>
        </w:rPr>
        <w:t>The standard defines the properties for the v attribute.</w:t>
      </w:r>
    </w:p>
    <w:p w:rsidR="000A156F" w:rsidRDefault="00A9721F">
      <w:r>
        <w:t>Office uses additional commands to indicate desired application behavior when the object is edited by the user.  An applicatio</w:t>
      </w:r>
      <w:r>
        <w:t>n that does not understand these commands may ignore, rewrite or remove them.</w:t>
      </w:r>
    </w:p>
    <w:p w:rsidR="000A156F" w:rsidRDefault="00A9721F">
      <w:r>
        <w:t>The following commands describe the desired application behavior for all points that follow the command during operations that move the object’s points or associated line segment</w:t>
      </w:r>
      <w:r>
        <w:t>s.  These behaviors apply to vertices in the path (end points, not associated control points)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Command</w:t>
            </w:r>
          </w:p>
        </w:tc>
        <w:tc>
          <w:tcPr>
            <w:tcW w:w="0" w:type="auto"/>
            <w:vAlign w:val="center"/>
          </w:tcPr>
          <w:p w:rsidR="000A156F" w:rsidRDefault="00A9721F">
            <w:pPr>
              <w:pStyle w:val="TableHeaderText"/>
            </w:pPr>
            <w:r>
              <w:t>Name</w:t>
            </w:r>
          </w:p>
        </w:tc>
        <w:tc>
          <w:tcPr>
            <w:tcW w:w="0" w:type="auto"/>
            <w:vAlign w:val="center"/>
          </w:tcPr>
          <w:p w:rsidR="000A156F" w:rsidRDefault="00A9721F">
            <w:pPr>
              <w:pStyle w:val="TableHeaderText"/>
            </w:pPr>
            <w:r>
              <w:t>Parameters</w:t>
            </w:r>
          </w:p>
        </w:tc>
        <w:tc>
          <w:tcPr>
            <w:tcW w:w="0" w:type="auto"/>
            <w:gridSpan w:val="2"/>
            <w:vAlign w:val="center"/>
          </w:tcPr>
          <w:p w:rsidR="000A156F" w:rsidRDefault="00A9721F">
            <w:pPr>
              <w:pStyle w:val="TableHeaderText"/>
            </w:pPr>
            <w:r>
              <w:t>Description</w:t>
            </w:r>
          </w:p>
        </w:tc>
      </w:tr>
      <w:tr w:rsidR="000A156F" w:rsidTr="000A156F">
        <w:tc>
          <w:tcPr>
            <w:tcW w:w="0" w:type="auto"/>
            <w:vAlign w:val="center"/>
          </w:tcPr>
          <w:p w:rsidR="000A156F" w:rsidRDefault="000A156F">
            <w:pPr>
              <w:pStyle w:val="TableBodyText"/>
            </w:pPr>
          </w:p>
        </w:tc>
        <w:tc>
          <w:tcPr>
            <w:tcW w:w="0" w:type="auto"/>
            <w:vAlign w:val="center"/>
          </w:tcPr>
          <w:p w:rsidR="000A156F" w:rsidRDefault="000A156F">
            <w:pPr>
              <w:pStyle w:val="TableBodyText"/>
            </w:pPr>
          </w:p>
        </w:tc>
        <w:tc>
          <w:tcPr>
            <w:tcW w:w="0" w:type="auto"/>
            <w:vAlign w:val="center"/>
          </w:tcPr>
          <w:p w:rsidR="000A156F" w:rsidRDefault="000A156F">
            <w:pPr>
              <w:pStyle w:val="TableBodyText"/>
            </w:pPr>
          </w:p>
        </w:tc>
        <w:tc>
          <w:tcPr>
            <w:tcW w:w="0" w:type="auto"/>
            <w:vAlign w:val="center"/>
          </w:tcPr>
          <w:p w:rsidR="000A156F" w:rsidRDefault="00A9721F">
            <w:pPr>
              <w:pStyle w:val="TableBodyText"/>
            </w:pPr>
            <w:r>
              <w:rPr>
                <w:b/>
              </w:rPr>
              <w:t>Vertex behavior</w:t>
            </w:r>
          </w:p>
        </w:tc>
        <w:tc>
          <w:tcPr>
            <w:tcW w:w="0" w:type="auto"/>
            <w:vAlign w:val="center"/>
          </w:tcPr>
          <w:p w:rsidR="000A156F" w:rsidRDefault="00A9721F">
            <w:pPr>
              <w:pStyle w:val="TableBodyText"/>
            </w:pPr>
            <w:r>
              <w:rPr>
                <w:b/>
              </w:rPr>
              <w:t>Line segment type</w:t>
            </w:r>
          </w:p>
        </w:tc>
      </w:tr>
      <w:tr w:rsidR="000A156F" w:rsidTr="000A156F">
        <w:tc>
          <w:tcPr>
            <w:tcW w:w="0" w:type="auto"/>
            <w:vAlign w:val="center"/>
          </w:tcPr>
          <w:p w:rsidR="000A156F" w:rsidRDefault="00A9721F">
            <w:pPr>
              <w:pStyle w:val="TableBodyText"/>
            </w:pPr>
            <w:r>
              <w:rPr>
                <w:i/>
              </w:rPr>
              <w:t>Ha</w:t>
            </w:r>
          </w:p>
        </w:tc>
        <w:tc>
          <w:tcPr>
            <w:tcW w:w="0" w:type="auto"/>
            <w:vAlign w:val="center"/>
          </w:tcPr>
          <w:p w:rsidR="000A156F" w:rsidRDefault="00A9721F">
            <w:pPr>
              <w:pStyle w:val="TableBodyText"/>
            </w:pPr>
            <w:r>
              <w:t>AutoLine</w:t>
            </w:r>
          </w:p>
        </w:tc>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auto</w:t>
            </w:r>
          </w:p>
        </w:tc>
        <w:tc>
          <w:tcPr>
            <w:tcW w:w="0" w:type="auto"/>
            <w:vAlign w:val="center"/>
          </w:tcPr>
          <w:p w:rsidR="000A156F" w:rsidRDefault="00A9721F">
            <w:pPr>
              <w:pStyle w:val="TableBodyText"/>
            </w:pPr>
            <w:r>
              <w:t>Line</w:t>
            </w:r>
          </w:p>
        </w:tc>
      </w:tr>
      <w:tr w:rsidR="000A156F" w:rsidTr="000A156F">
        <w:tc>
          <w:tcPr>
            <w:tcW w:w="0" w:type="auto"/>
            <w:vAlign w:val="center"/>
          </w:tcPr>
          <w:p w:rsidR="000A156F" w:rsidRDefault="00A9721F">
            <w:pPr>
              <w:pStyle w:val="TableBodyText"/>
            </w:pPr>
            <w:r>
              <w:rPr>
                <w:i/>
              </w:rPr>
              <w:t>Hb</w:t>
            </w:r>
          </w:p>
        </w:tc>
        <w:tc>
          <w:tcPr>
            <w:tcW w:w="0" w:type="auto"/>
            <w:vAlign w:val="center"/>
          </w:tcPr>
          <w:p w:rsidR="000A156F" w:rsidRDefault="00A9721F">
            <w:pPr>
              <w:pStyle w:val="TableBodyText"/>
            </w:pPr>
            <w:r>
              <w:t>AutoCurve</w:t>
            </w:r>
          </w:p>
        </w:tc>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auto</w:t>
            </w:r>
          </w:p>
        </w:tc>
        <w:tc>
          <w:tcPr>
            <w:tcW w:w="0" w:type="auto"/>
            <w:vAlign w:val="center"/>
          </w:tcPr>
          <w:p w:rsidR="000A156F" w:rsidRDefault="00A9721F">
            <w:pPr>
              <w:pStyle w:val="TableBodyText"/>
            </w:pPr>
            <w:r>
              <w:t>curve</w:t>
            </w:r>
          </w:p>
        </w:tc>
      </w:tr>
      <w:tr w:rsidR="000A156F" w:rsidTr="000A156F">
        <w:tc>
          <w:tcPr>
            <w:tcW w:w="0" w:type="auto"/>
            <w:vAlign w:val="center"/>
          </w:tcPr>
          <w:p w:rsidR="000A156F" w:rsidRDefault="00A9721F">
            <w:pPr>
              <w:pStyle w:val="TableBodyText"/>
            </w:pPr>
            <w:r>
              <w:rPr>
                <w:i/>
              </w:rPr>
              <w:t>Hc</w:t>
            </w:r>
          </w:p>
        </w:tc>
        <w:tc>
          <w:tcPr>
            <w:tcW w:w="0" w:type="auto"/>
            <w:vAlign w:val="center"/>
          </w:tcPr>
          <w:p w:rsidR="000A156F" w:rsidRDefault="00A9721F">
            <w:pPr>
              <w:pStyle w:val="TableBodyText"/>
            </w:pPr>
            <w:r>
              <w:t>CornerLine</w:t>
            </w:r>
          </w:p>
        </w:tc>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corner</w:t>
            </w:r>
          </w:p>
        </w:tc>
        <w:tc>
          <w:tcPr>
            <w:tcW w:w="0" w:type="auto"/>
            <w:vAlign w:val="center"/>
          </w:tcPr>
          <w:p w:rsidR="000A156F" w:rsidRDefault="00A9721F">
            <w:pPr>
              <w:pStyle w:val="TableBodyText"/>
            </w:pPr>
            <w:r>
              <w:t>line</w:t>
            </w:r>
          </w:p>
        </w:tc>
      </w:tr>
      <w:tr w:rsidR="000A156F" w:rsidTr="000A156F">
        <w:tc>
          <w:tcPr>
            <w:tcW w:w="0" w:type="auto"/>
            <w:vAlign w:val="center"/>
          </w:tcPr>
          <w:p w:rsidR="000A156F" w:rsidRDefault="00A9721F">
            <w:pPr>
              <w:pStyle w:val="TableBodyText"/>
            </w:pPr>
            <w:r>
              <w:rPr>
                <w:i/>
              </w:rPr>
              <w:t>Hd</w:t>
            </w:r>
          </w:p>
        </w:tc>
        <w:tc>
          <w:tcPr>
            <w:tcW w:w="0" w:type="auto"/>
            <w:vAlign w:val="center"/>
          </w:tcPr>
          <w:p w:rsidR="000A156F" w:rsidRDefault="00A9721F">
            <w:pPr>
              <w:pStyle w:val="TableBodyText"/>
            </w:pPr>
            <w:r>
              <w:t>CornerCurve</w:t>
            </w:r>
          </w:p>
        </w:tc>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corner</w:t>
            </w:r>
          </w:p>
        </w:tc>
        <w:tc>
          <w:tcPr>
            <w:tcW w:w="0" w:type="auto"/>
            <w:vAlign w:val="center"/>
          </w:tcPr>
          <w:p w:rsidR="000A156F" w:rsidRDefault="00A9721F">
            <w:pPr>
              <w:pStyle w:val="TableBodyText"/>
            </w:pPr>
            <w:r>
              <w:t>curve</w:t>
            </w:r>
          </w:p>
        </w:tc>
      </w:tr>
      <w:tr w:rsidR="000A156F" w:rsidTr="000A156F">
        <w:tc>
          <w:tcPr>
            <w:tcW w:w="0" w:type="auto"/>
            <w:vAlign w:val="center"/>
          </w:tcPr>
          <w:p w:rsidR="000A156F" w:rsidRDefault="00A9721F">
            <w:pPr>
              <w:pStyle w:val="TableBodyText"/>
            </w:pPr>
            <w:r>
              <w:rPr>
                <w:i/>
              </w:rPr>
              <w:t>He</w:t>
            </w:r>
          </w:p>
        </w:tc>
        <w:tc>
          <w:tcPr>
            <w:tcW w:w="0" w:type="auto"/>
            <w:vAlign w:val="center"/>
          </w:tcPr>
          <w:p w:rsidR="000A156F" w:rsidRDefault="00A9721F">
            <w:pPr>
              <w:pStyle w:val="TableBodyText"/>
            </w:pPr>
            <w:r>
              <w:t>SmoothLine</w:t>
            </w:r>
          </w:p>
        </w:tc>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smooth</w:t>
            </w:r>
          </w:p>
        </w:tc>
        <w:tc>
          <w:tcPr>
            <w:tcW w:w="0" w:type="auto"/>
            <w:vAlign w:val="center"/>
          </w:tcPr>
          <w:p w:rsidR="000A156F" w:rsidRDefault="00A9721F">
            <w:pPr>
              <w:pStyle w:val="TableBodyText"/>
            </w:pPr>
            <w:r>
              <w:t>line</w:t>
            </w:r>
          </w:p>
        </w:tc>
      </w:tr>
      <w:tr w:rsidR="000A156F" w:rsidTr="000A156F">
        <w:tc>
          <w:tcPr>
            <w:tcW w:w="0" w:type="auto"/>
            <w:vAlign w:val="center"/>
          </w:tcPr>
          <w:p w:rsidR="000A156F" w:rsidRDefault="00A9721F">
            <w:pPr>
              <w:pStyle w:val="TableBodyText"/>
            </w:pPr>
            <w:r>
              <w:rPr>
                <w:i/>
              </w:rPr>
              <w:t>Hf</w:t>
            </w:r>
          </w:p>
        </w:tc>
        <w:tc>
          <w:tcPr>
            <w:tcW w:w="0" w:type="auto"/>
            <w:vAlign w:val="center"/>
          </w:tcPr>
          <w:p w:rsidR="000A156F" w:rsidRDefault="00A9721F">
            <w:pPr>
              <w:pStyle w:val="TableBodyText"/>
            </w:pPr>
            <w:r>
              <w:t>SmoothCurve</w:t>
            </w:r>
          </w:p>
        </w:tc>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smooth</w:t>
            </w:r>
          </w:p>
        </w:tc>
        <w:tc>
          <w:tcPr>
            <w:tcW w:w="0" w:type="auto"/>
            <w:vAlign w:val="center"/>
          </w:tcPr>
          <w:p w:rsidR="000A156F" w:rsidRDefault="00A9721F">
            <w:pPr>
              <w:pStyle w:val="TableBodyText"/>
            </w:pPr>
            <w:r>
              <w:t>curve</w:t>
            </w:r>
          </w:p>
        </w:tc>
      </w:tr>
      <w:tr w:rsidR="000A156F" w:rsidTr="000A156F">
        <w:tc>
          <w:tcPr>
            <w:tcW w:w="0" w:type="auto"/>
            <w:vAlign w:val="center"/>
          </w:tcPr>
          <w:p w:rsidR="000A156F" w:rsidRDefault="00A9721F">
            <w:pPr>
              <w:pStyle w:val="TableBodyText"/>
            </w:pPr>
            <w:r>
              <w:rPr>
                <w:i/>
              </w:rPr>
              <w:t>Hg</w:t>
            </w:r>
          </w:p>
        </w:tc>
        <w:tc>
          <w:tcPr>
            <w:tcW w:w="0" w:type="auto"/>
            <w:vAlign w:val="center"/>
          </w:tcPr>
          <w:p w:rsidR="000A156F" w:rsidRDefault="00A9721F">
            <w:pPr>
              <w:pStyle w:val="TableBodyText"/>
            </w:pPr>
            <w:r>
              <w:t>SymmetricLine</w:t>
            </w:r>
          </w:p>
        </w:tc>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symmetric</w:t>
            </w:r>
          </w:p>
        </w:tc>
        <w:tc>
          <w:tcPr>
            <w:tcW w:w="0" w:type="auto"/>
            <w:vAlign w:val="center"/>
          </w:tcPr>
          <w:p w:rsidR="000A156F" w:rsidRDefault="00A9721F">
            <w:pPr>
              <w:pStyle w:val="TableBodyText"/>
            </w:pPr>
            <w:r>
              <w:t>line</w:t>
            </w:r>
          </w:p>
        </w:tc>
      </w:tr>
      <w:tr w:rsidR="000A156F" w:rsidTr="000A156F">
        <w:tc>
          <w:tcPr>
            <w:tcW w:w="0" w:type="auto"/>
            <w:vAlign w:val="center"/>
          </w:tcPr>
          <w:p w:rsidR="000A156F" w:rsidRDefault="00A9721F">
            <w:pPr>
              <w:pStyle w:val="TableBodyText"/>
            </w:pPr>
            <w:r>
              <w:rPr>
                <w:i/>
              </w:rPr>
              <w:t>Hh</w:t>
            </w:r>
          </w:p>
        </w:tc>
        <w:tc>
          <w:tcPr>
            <w:tcW w:w="0" w:type="auto"/>
            <w:vAlign w:val="center"/>
          </w:tcPr>
          <w:p w:rsidR="000A156F" w:rsidRDefault="00A9721F">
            <w:pPr>
              <w:pStyle w:val="TableBodyText"/>
            </w:pPr>
            <w:r>
              <w:t>SymmetricCurve</w:t>
            </w:r>
          </w:p>
        </w:tc>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symmetric</w:t>
            </w:r>
          </w:p>
        </w:tc>
        <w:tc>
          <w:tcPr>
            <w:tcW w:w="0" w:type="auto"/>
            <w:vAlign w:val="center"/>
          </w:tcPr>
          <w:p w:rsidR="000A156F" w:rsidRDefault="00A9721F">
            <w:pPr>
              <w:pStyle w:val="TableBodyText"/>
            </w:pPr>
            <w:r>
              <w:t>curve</w:t>
            </w:r>
          </w:p>
        </w:tc>
      </w:tr>
      <w:tr w:rsidR="000A156F" w:rsidTr="000A156F">
        <w:tc>
          <w:tcPr>
            <w:tcW w:w="0" w:type="auto"/>
            <w:vAlign w:val="center"/>
          </w:tcPr>
          <w:p w:rsidR="000A156F" w:rsidRDefault="00A9721F">
            <w:pPr>
              <w:pStyle w:val="TableBodyText"/>
            </w:pPr>
            <w:r>
              <w:rPr>
                <w:i/>
              </w:rPr>
              <w:t>Hi</w:t>
            </w:r>
          </w:p>
        </w:tc>
        <w:tc>
          <w:tcPr>
            <w:tcW w:w="0" w:type="auto"/>
            <w:vAlign w:val="center"/>
          </w:tcPr>
          <w:p w:rsidR="000A156F" w:rsidRDefault="00A9721F">
            <w:pPr>
              <w:pStyle w:val="TableBodyText"/>
            </w:pPr>
            <w:r>
              <w:t>Freeform</w:t>
            </w:r>
          </w:p>
        </w:tc>
        <w:tc>
          <w:tcPr>
            <w:tcW w:w="0" w:type="auto"/>
            <w:vAlign w:val="center"/>
          </w:tcPr>
          <w:p w:rsidR="000A156F" w:rsidRDefault="00A9721F">
            <w:pPr>
              <w:pStyle w:val="TableBodyText"/>
            </w:pPr>
            <w:r>
              <w:t>0</w:t>
            </w:r>
          </w:p>
        </w:tc>
        <w:tc>
          <w:tcPr>
            <w:tcW w:w="0" w:type="auto"/>
            <w:vAlign w:val="center"/>
          </w:tcPr>
          <w:p w:rsidR="000A156F" w:rsidRDefault="00A9721F">
            <w:pPr>
              <w:pStyle w:val="TableBodyText"/>
            </w:pPr>
            <w:r>
              <w:t>freeform</w:t>
            </w:r>
          </w:p>
        </w:tc>
        <w:tc>
          <w:tcPr>
            <w:tcW w:w="0" w:type="auto"/>
            <w:vAlign w:val="center"/>
          </w:tcPr>
          <w:p w:rsidR="000A156F" w:rsidRDefault="00A9721F">
            <w:pPr>
              <w:pStyle w:val="TableBodyText"/>
            </w:pPr>
            <w:r>
              <w:t>any</w:t>
            </w:r>
          </w:p>
        </w:tc>
      </w:tr>
    </w:tbl>
    <w:p w:rsidR="000A156F" w:rsidRDefault="000A156F"/>
    <w:p w:rsidR="000A156F" w:rsidRDefault="00A9721F">
      <w:r>
        <w:t>The line segment type defines whether the command applies to points which are adjacent to lines or to points adjacent to curves.  The vertex 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Vert</w:t>
            </w:r>
            <w:r>
              <w:t>ex behavior</w:t>
            </w:r>
          </w:p>
        </w:tc>
        <w:tc>
          <w:tcPr>
            <w:tcW w:w="0" w:type="auto"/>
            <w:vAlign w:val="center"/>
          </w:tcPr>
          <w:p w:rsidR="000A156F" w:rsidRDefault="00A9721F">
            <w:pPr>
              <w:pStyle w:val="TableHeaderText"/>
            </w:pPr>
            <w:r>
              <w:t>Curve control points should be calculated automatically</w:t>
            </w:r>
          </w:p>
        </w:tc>
        <w:tc>
          <w:tcPr>
            <w:tcW w:w="0" w:type="auto"/>
            <w:vAlign w:val="center"/>
          </w:tcPr>
          <w:p w:rsidR="000A156F" w:rsidRDefault="00A9721F">
            <w:pPr>
              <w:pStyle w:val="TableHeaderText"/>
            </w:pPr>
            <w:r>
              <w:t>Control points should be equidistant from vertex</w:t>
            </w:r>
          </w:p>
        </w:tc>
        <w:tc>
          <w:tcPr>
            <w:tcW w:w="0" w:type="auto"/>
            <w:vAlign w:val="center"/>
          </w:tcPr>
          <w:p w:rsidR="000A156F" w:rsidRDefault="00A9721F">
            <w:pPr>
              <w:pStyle w:val="TableHeaderText"/>
            </w:pPr>
            <w:r>
              <w:t>Control points should be co-linear with vertex</w:t>
            </w:r>
          </w:p>
        </w:tc>
        <w:tc>
          <w:tcPr>
            <w:tcW w:w="0" w:type="auto"/>
            <w:vAlign w:val="center"/>
          </w:tcPr>
          <w:p w:rsidR="000A156F" w:rsidRDefault="00A9721F">
            <w:pPr>
              <w:pStyle w:val="TableHeaderText"/>
            </w:pPr>
            <w:r>
              <w:t>Control points should be visible to the user</w:t>
            </w:r>
          </w:p>
        </w:tc>
      </w:tr>
      <w:tr w:rsidR="000A156F" w:rsidTr="000A156F">
        <w:tc>
          <w:tcPr>
            <w:tcW w:w="0" w:type="auto"/>
            <w:vAlign w:val="center"/>
          </w:tcPr>
          <w:p w:rsidR="000A156F" w:rsidRDefault="00A9721F">
            <w:pPr>
              <w:pStyle w:val="TableBodyText"/>
            </w:pPr>
            <w:r>
              <w:t>Auto</w:t>
            </w:r>
          </w:p>
        </w:tc>
        <w:tc>
          <w:tcPr>
            <w:tcW w:w="0" w:type="auto"/>
            <w:vAlign w:val="center"/>
          </w:tcPr>
          <w:p w:rsidR="000A156F" w:rsidRDefault="00A9721F">
            <w:pPr>
              <w:pStyle w:val="TableBodyText"/>
            </w:pPr>
            <w:r>
              <w:t>Yes</w:t>
            </w:r>
          </w:p>
        </w:tc>
        <w:tc>
          <w:tcPr>
            <w:tcW w:w="0" w:type="auto"/>
            <w:vAlign w:val="center"/>
          </w:tcPr>
          <w:p w:rsidR="000A156F" w:rsidRDefault="00A9721F">
            <w:pPr>
              <w:pStyle w:val="TableBodyText"/>
            </w:pPr>
            <w:r>
              <w:t>N/A</w:t>
            </w:r>
          </w:p>
        </w:tc>
        <w:tc>
          <w:tcPr>
            <w:tcW w:w="0" w:type="auto"/>
            <w:vAlign w:val="center"/>
          </w:tcPr>
          <w:p w:rsidR="000A156F" w:rsidRDefault="00A9721F">
            <w:pPr>
              <w:pStyle w:val="TableBodyText"/>
            </w:pPr>
            <w:r>
              <w:t>N/A</w:t>
            </w:r>
          </w:p>
        </w:tc>
        <w:tc>
          <w:tcPr>
            <w:tcW w:w="0" w:type="auto"/>
            <w:vAlign w:val="center"/>
          </w:tcPr>
          <w:p w:rsidR="000A156F" w:rsidRDefault="00A9721F">
            <w:pPr>
              <w:pStyle w:val="TableBodyText"/>
            </w:pPr>
            <w:r>
              <w:t>No</w:t>
            </w:r>
          </w:p>
        </w:tc>
      </w:tr>
      <w:tr w:rsidR="000A156F" w:rsidTr="000A156F">
        <w:tc>
          <w:tcPr>
            <w:tcW w:w="0" w:type="auto"/>
            <w:vAlign w:val="center"/>
          </w:tcPr>
          <w:p w:rsidR="000A156F" w:rsidRDefault="00A9721F">
            <w:pPr>
              <w:pStyle w:val="TableBodyText"/>
            </w:pPr>
            <w:r>
              <w:t>Symmetric</w:t>
            </w:r>
          </w:p>
        </w:tc>
        <w:tc>
          <w:tcPr>
            <w:tcW w:w="0" w:type="auto"/>
            <w:vAlign w:val="center"/>
          </w:tcPr>
          <w:p w:rsidR="000A156F" w:rsidRDefault="00A9721F">
            <w:pPr>
              <w:pStyle w:val="TableBodyText"/>
            </w:pPr>
            <w:r>
              <w:t>No</w:t>
            </w:r>
          </w:p>
        </w:tc>
        <w:tc>
          <w:tcPr>
            <w:tcW w:w="0" w:type="auto"/>
            <w:vAlign w:val="center"/>
          </w:tcPr>
          <w:p w:rsidR="000A156F" w:rsidRDefault="00A9721F">
            <w:pPr>
              <w:pStyle w:val="TableBodyText"/>
            </w:pPr>
            <w:r>
              <w:t>Yes</w:t>
            </w:r>
          </w:p>
        </w:tc>
        <w:tc>
          <w:tcPr>
            <w:tcW w:w="0" w:type="auto"/>
            <w:vAlign w:val="center"/>
          </w:tcPr>
          <w:p w:rsidR="000A156F" w:rsidRDefault="00A9721F">
            <w:pPr>
              <w:pStyle w:val="TableBodyText"/>
            </w:pPr>
            <w:r>
              <w:t>Yes</w:t>
            </w:r>
          </w:p>
        </w:tc>
        <w:tc>
          <w:tcPr>
            <w:tcW w:w="0" w:type="auto"/>
            <w:vAlign w:val="center"/>
          </w:tcPr>
          <w:p w:rsidR="000A156F" w:rsidRDefault="00A9721F">
            <w:pPr>
              <w:pStyle w:val="TableBodyText"/>
            </w:pPr>
            <w:r>
              <w:t>Yes</w:t>
            </w:r>
          </w:p>
        </w:tc>
      </w:tr>
      <w:tr w:rsidR="000A156F" w:rsidTr="000A156F">
        <w:tc>
          <w:tcPr>
            <w:tcW w:w="0" w:type="auto"/>
            <w:vAlign w:val="center"/>
          </w:tcPr>
          <w:p w:rsidR="000A156F" w:rsidRDefault="00A9721F">
            <w:pPr>
              <w:pStyle w:val="TableBodyText"/>
            </w:pPr>
            <w:r>
              <w:t>Smooth</w:t>
            </w:r>
          </w:p>
        </w:tc>
        <w:tc>
          <w:tcPr>
            <w:tcW w:w="0" w:type="auto"/>
            <w:vAlign w:val="center"/>
          </w:tcPr>
          <w:p w:rsidR="000A156F" w:rsidRDefault="00A9721F">
            <w:pPr>
              <w:pStyle w:val="TableBodyText"/>
            </w:pPr>
            <w:r>
              <w:t>No</w:t>
            </w:r>
          </w:p>
        </w:tc>
        <w:tc>
          <w:tcPr>
            <w:tcW w:w="0" w:type="auto"/>
            <w:vAlign w:val="center"/>
          </w:tcPr>
          <w:p w:rsidR="000A156F" w:rsidRDefault="00A9721F">
            <w:pPr>
              <w:pStyle w:val="TableBodyText"/>
            </w:pPr>
            <w:r>
              <w:t>No</w:t>
            </w:r>
          </w:p>
        </w:tc>
        <w:tc>
          <w:tcPr>
            <w:tcW w:w="0" w:type="auto"/>
            <w:vAlign w:val="center"/>
          </w:tcPr>
          <w:p w:rsidR="000A156F" w:rsidRDefault="00A9721F">
            <w:pPr>
              <w:pStyle w:val="TableBodyText"/>
            </w:pPr>
            <w:r>
              <w:t>Yes</w:t>
            </w:r>
          </w:p>
        </w:tc>
        <w:tc>
          <w:tcPr>
            <w:tcW w:w="0" w:type="auto"/>
            <w:vAlign w:val="center"/>
          </w:tcPr>
          <w:p w:rsidR="000A156F" w:rsidRDefault="00A9721F">
            <w:pPr>
              <w:pStyle w:val="TableBodyText"/>
            </w:pPr>
            <w:r>
              <w:t>Yes</w:t>
            </w:r>
          </w:p>
        </w:tc>
      </w:tr>
      <w:tr w:rsidR="000A156F" w:rsidTr="000A156F">
        <w:tc>
          <w:tcPr>
            <w:tcW w:w="0" w:type="auto"/>
            <w:vAlign w:val="center"/>
          </w:tcPr>
          <w:p w:rsidR="000A156F" w:rsidRDefault="00A9721F">
            <w:pPr>
              <w:pStyle w:val="TableBodyText"/>
            </w:pPr>
            <w:r>
              <w:t>Corner</w:t>
            </w:r>
          </w:p>
        </w:tc>
        <w:tc>
          <w:tcPr>
            <w:tcW w:w="0" w:type="auto"/>
            <w:vAlign w:val="center"/>
          </w:tcPr>
          <w:p w:rsidR="000A156F" w:rsidRDefault="00A9721F">
            <w:pPr>
              <w:pStyle w:val="TableBodyText"/>
            </w:pPr>
            <w:r>
              <w:t>No</w:t>
            </w:r>
          </w:p>
        </w:tc>
        <w:tc>
          <w:tcPr>
            <w:tcW w:w="0" w:type="auto"/>
            <w:vAlign w:val="center"/>
          </w:tcPr>
          <w:p w:rsidR="000A156F" w:rsidRDefault="00A9721F">
            <w:pPr>
              <w:pStyle w:val="TableBodyText"/>
            </w:pPr>
            <w:r>
              <w:t>No</w:t>
            </w:r>
          </w:p>
        </w:tc>
        <w:tc>
          <w:tcPr>
            <w:tcW w:w="0" w:type="auto"/>
            <w:vAlign w:val="center"/>
          </w:tcPr>
          <w:p w:rsidR="000A156F" w:rsidRDefault="00A9721F">
            <w:pPr>
              <w:pStyle w:val="TableBodyText"/>
            </w:pPr>
            <w:r>
              <w:t>No</w:t>
            </w:r>
          </w:p>
        </w:tc>
        <w:tc>
          <w:tcPr>
            <w:tcW w:w="0" w:type="auto"/>
            <w:vAlign w:val="center"/>
          </w:tcPr>
          <w:p w:rsidR="000A156F" w:rsidRDefault="00A9721F">
            <w:pPr>
              <w:pStyle w:val="TableBodyText"/>
            </w:pPr>
            <w:r>
              <w:t>Yes</w:t>
            </w:r>
          </w:p>
        </w:tc>
      </w:tr>
      <w:tr w:rsidR="000A156F" w:rsidTr="000A156F">
        <w:tc>
          <w:tcPr>
            <w:tcW w:w="0" w:type="auto"/>
            <w:vAlign w:val="center"/>
          </w:tcPr>
          <w:p w:rsidR="000A156F" w:rsidRDefault="00A9721F">
            <w:pPr>
              <w:pStyle w:val="TableBodyText"/>
            </w:pPr>
            <w:r>
              <w:t>Freeform</w:t>
            </w:r>
          </w:p>
        </w:tc>
        <w:tc>
          <w:tcPr>
            <w:tcW w:w="0" w:type="auto"/>
            <w:vAlign w:val="center"/>
          </w:tcPr>
          <w:p w:rsidR="000A156F" w:rsidRDefault="00A9721F">
            <w:pPr>
              <w:pStyle w:val="TableBodyText"/>
            </w:pPr>
            <w:r>
              <w:t>No</w:t>
            </w:r>
          </w:p>
        </w:tc>
        <w:tc>
          <w:tcPr>
            <w:tcW w:w="0" w:type="auto"/>
            <w:vAlign w:val="center"/>
          </w:tcPr>
          <w:p w:rsidR="000A156F" w:rsidRDefault="00A9721F">
            <w:pPr>
              <w:pStyle w:val="TableBodyText"/>
            </w:pPr>
            <w:r>
              <w:t>No</w:t>
            </w:r>
          </w:p>
        </w:tc>
        <w:tc>
          <w:tcPr>
            <w:tcW w:w="0" w:type="auto"/>
            <w:vAlign w:val="center"/>
          </w:tcPr>
          <w:p w:rsidR="000A156F" w:rsidRDefault="00A9721F">
            <w:pPr>
              <w:pStyle w:val="TableBodyText"/>
            </w:pPr>
            <w:r>
              <w:t>No</w:t>
            </w:r>
          </w:p>
        </w:tc>
        <w:tc>
          <w:tcPr>
            <w:tcW w:w="0" w:type="auto"/>
            <w:vAlign w:val="center"/>
          </w:tcPr>
          <w:p w:rsidR="000A156F" w:rsidRDefault="00A9721F">
            <w:pPr>
              <w:pStyle w:val="TableBodyText"/>
            </w:pPr>
            <w:r>
              <w:t>Yes</w:t>
            </w:r>
          </w:p>
        </w:tc>
      </w:tr>
    </w:tbl>
    <w:p w:rsidR="000A156F" w:rsidRDefault="000A156F"/>
    <w:p w:rsidR="000A156F" w:rsidRDefault="00A9721F">
      <w:r>
        <w:lastRenderedPageBreak/>
        <w:t xml:space="preserve">The auto vertex behavior is effectively the default behavior as it requires the application to provide the control points for the curve.  The freeform vertex behavior is effectively </w:t>
      </w:r>
      <w:r>
        <w:t>user-defined as the application does not calculate control points.</w:t>
      </w:r>
    </w:p>
    <w:p w:rsidR="000A156F" w:rsidRDefault="00A9721F">
      <w:pPr>
        <w:pStyle w:val="Definition-Field"/>
      </w:pPr>
      <w:r>
        <w:t xml:space="preserve">d.   </w:t>
      </w:r>
      <w:r>
        <w:rPr>
          <w:i/>
        </w:rPr>
        <w:t>The standard indicates that the last four values of the at property of the v attribute are radial vectors.</w:t>
      </w:r>
    </w:p>
    <w:p w:rsidR="000A156F" w:rsidRDefault="00A9721F">
      <w:pPr>
        <w:pStyle w:val="Definition-Field2"/>
      </w:pPr>
      <w:r>
        <w:t>In Office, the last four values of the at property of the v attribute are poi</w:t>
      </w:r>
      <w:r>
        <w:t>nts that define radial vectors with origins at the center of the bounding box.</w:t>
      </w:r>
    </w:p>
    <w:p w:rsidR="000A156F" w:rsidRDefault="00A9721F">
      <w:pPr>
        <w:pStyle w:val="Definition-Field"/>
      </w:pPr>
      <w:r>
        <w:t xml:space="preserve">e.   </w:t>
      </w:r>
      <w:r>
        <w:rPr>
          <w:i/>
        </w:rPr>
        <w:t>The standard does not fully explain how the qb property of the v attribute is used.</w:t>
      </w:r>
    </w:p>
    <w:p w:rsidR="000A156F" w:rsidRDefault="00A9721F">
      <w:pPr>
        <w:pStyle w:val="Definition-Field2"/>
      </w:pPr>
      <w:r>
        <w:t xml:space="preserve">Office requires that the qb property of the v attribute have a closed path. If the path </w:t>
      </w:r>
      <w:r>
        <w:t>is not closed, a new subpath shall exist after qb.</w:t>
      </w:r>
    </w:p>
    <w:p w:rsidR="000A156F" w:rsidRDefault="00A9721F">
      <w:pPr>
        <w:pStyle w:val="Definition-Field"/>
      </w:pPr>
      <w:r>
        <w:t xml:space="preserve">f.   </w:t>
      </w:r>
      <w:r>
        <w:rPr>
          <w:i/>
        </w:rPr>
        <w:t>The standard indicates how the limo attribute is used.</w:t>
      </w:r>
    </w:p>
    <w:p w:rsidR="000A156F" w:rsidRDefault="00A9721F">
      <w:pPr>
        <w:pStyle w:val="Definition-Field2"/>
      </w:pPr>
      <w:r>
        <w:t>Office does not support the limo attribute.</w:t>
      </w:r>
    </w:p>
    <w:p w:rsidR="000A156F" w:rsidRDefault="00A9721F">
      <w:pPr>
        <w:pStyle w:val="Definition-Field"/>
      </w:pPr>
      <w:r>
        <w:t xml:space="preserve">g.   </w:t>
      </w:r>
      <w:r>
        <w:rPr>
          <w:i/>
        </w:rPr>
        <w:t>The standard indicates how the textboxrect attribute is used.</w:t>
      </w:r>
    </w:p>
    <w:p w:rsidR="000A156F" w:rsidRDefault="00A9721F">
      <w:r>
        <w:t>The following describes the Office</w:t>
      </w:r>
      <w:r>
        <w:t xml:space="preserve"> requirements for this attribute:</w:t>
      </w:r>
    </w:p>
    <w:p w:rsidR="000A156F" w:rsidRDefault="00A9721F">
      <w:r>
        <w:t>Only one textbox is created for each shape. The rectangles defined by this attribute are used with text layout options to define the position of the textbox inside the shape.</w:t>
      </w:r>
    </w:p>
    <w:p w:rsidR="000A156F" w:rsidRDefault="00A9721F">
      <w:r>
        <w:t xml:space="preserve">If 4, 5 or more than 6 rectangles are defined, </w:t>
      </w:r>
      <w:r>
        <w:t>Office defaults to the shape’s bounding box.</w:t>
      </w:r>
    </w:p>
    <w:p w:rsidR="000A156F" w:rsidRDefault="00A9721F">
      <w:r>
        <w:t xml:space="preserve">If the shape has no adjust handles, the rectangle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Layout-flow</w:t>
            </w:r>
          </w:p>
        </w:tc>
        <w:tc>
          <w:tcPr>
            <w:tcW w:w="0" w:type="auto"/>
            <w:vAlign w:val="center"/>
          </w:tcPr>
          <w:p w:rsidR="000A156F" w:rsidRDefault="00A9721F">
            <w:pPr>
              <w:pStyle w:val="TableHeaderText"/>
            </w:pPr>
            <w:r>
              <w:t xml:space="preserve">Number of </w:t>
            </w:r>
          </w:p>
          <w:p w:rsidR="000A156F" w:rsidRDefault="00A9721F">
            <w:pPr>
              <w:pStyle w:val="TableHeaderText"/>
            </w:pPr>
            <w:r>
              <w:t>Rectangles</w:t>
            </w:r>
          </w:p>
        </w:tc>
        <w:tc>
          <w:tcPr>
            <w:tcW w:w="0" w:type="auto"/>
            <w:vAlign w:val="center"/>
          </w:tcPr>
          <w:p w:rsidR="000A156F" w:rsidRDefault="00A9721F">
            <w:pPr>
              <w:pStyle w:val="TableHeaderText"/>
            </w:pPr>
            <w:r>
              <w:t>Chosen Rectangle</w:t>
            </w:r>
          </w:p>
        </w:tc>
      </w:tr>
      <w:tr w:rsidR="000A156F" w:rsidTr="000A156F">
        <w:tc>
          <w:tcPr>
            <w:tcW w:w="0" w:type="auto"/>
            <w:vAlign w:val="center"/>
          </w:tcPr>
          <w:p w:rsidR="000A156F" w:rsidRDefault="00A9721F">
            <w:pPr>
              <w:pStyle w:val="TableBodyText"/>
            </w:pPr>
            <w:r>
              <w:t xml:space="preserve">Horizontal or </w:t>
            </w:r>
            <w:r>
              <w:t>Vertical</w:t>
            </w:r>
          </w:p>
        </w:tc>
        <w:tc>
          <w:tcPr>
            <w:tcW w:w="0" w:type="auto"/>
            <w:vAlign w:val="center"/>
          </w:tcPr>
          <w:p w:rsidR="000A156F" w:rsidRDefault="00A9721F">
            <w:pPr>
              <w:pStyle w:val="TableBodyText"/>
            </w:pPr>
            <w:r>
              <w:t>1</w:t>
            </w:r>
          </w:p>
        </w:tc>
        <w:tc>
          <w:tcPr>
            <w:tcW w:w="0" w:type="auto"/>
            <w:vAlign w:val="center"/>
          </w:tcPr>
          <w:p w:rsidR="000A156F" w:rsidRDefault="00A9721F">
            <w:pPr>
              <w:pStyle w:val="TableBodyText"/>
            </w:pPr>
            <w:r>
              <w:t>#1</w:t>
            </w:r>
          </w:p>
        </w:tc>
      </w:tr>
      <w:tr w:rsidR="000A156F" w:rsidTr="000A156F">
        <w:tc>
          <w:tcPr>
            <w:tcW w:w="0" w:type="auto"/>
            <w:vAlign w:val="center"/>
          </w:tcPr>
          <w:p w:rsidR="000A156F" w:rsidRDefault="00A9721F">
            <w:pPr>
              <w:pStyle w:val="TableBodyText"/>
            </w:pPr>
            <w:r>
              <w:t>Horizontal</w:t>
            </w:r>
          </w:p>
        </w:tc>
        <w:tc>
          <w:tcPr>
            <w:tcW w:w="0" w:type="auto"/>
            <w:vAlign w:val="center"/>
          </w:tcPr>
          <w:p w:rsidR="000A156F" w:rsidRDefault="00A9721F">
            <w:pPr>
              <w:pStyle w:val="TableBodyText"/>
            </w:pPr>
            <w:r>
              <w:t>2</w:t>
            </w:r>
          </w:p>
        </w:tc>
        <w:tc>
          <w:tcPr>
            <w:tcW w:w="0" w:type="auto"/>
            <w:vAlign w:val="center"/>
          </w:tcPr>
          <w:p w:rsidR="000A156F" w:rsidRDefault="00A9721F">
            <w:pPr>
              <w:pStyle w:val="TableBodyText"/>
            </w:pPr>
            <w:r>
              <w:t>#1</w:t>
            </w:r>
          </w:p>
        </w:tc>
      </w:tr>
      <w:tr w:rsidR="000A156F" w:rsidTr="000A156F">
        <w:tc>
          <w:tcPr>
            <w:tcW w:w="0" w:type="auto"/>
            <w:vAlign w:val="center"/>
          </w:tcPr>
          <w:p w:rsidR="000A156F" w:rsidRDefault="00A9721F">
            <w:pPr>
              <w:pStyle w:val="TableBodyText"/>
            </w:pPr>
            <w:r>
              <w:t>Vertical</w:t>
            </w:r>
          </w:p>
        </w:tc>
        <w:tc>
          <w:tcPr>
            <w:tcW w:w="0" w:type="auto"/>
            <w:vAlign w:val="center"/>
          </w:tcPr>
          <w:p w:rsidR="000A156F" w:rsidRDefault="00A9721F">
            <w:pPr>
              <w:pStyle w:val="TableBodyText"/>
            </w:pPr>
            <w:r>
              <w:t>2</w:t>
            </w:r>
          </w:p>
        </w:tc>
        <w:tc>
          <w:tcPr>
            <w:tcW w:w="0" w:type="auto"/>
            <w:vAlign w:val="center"/>
          </w:tcPr>
          <w:p w:rsidR="000A156F" w:rsidRDefault="00A9721F">
            <w:pPr>
              <w:pStyle w:val="TableBodyText"/>
            </w:pPr>
            <w:r>
              <w:t>#2</w:t>
            </w:r>
          </w:p>
        </w:tc>
      </w:tr>
      <w:tr w:rsidR="000A156F" w:rsidTr="000A156F">
        <w:tc>
          <w:tcPr>
            <w:tcW w:w="0" w:type="auto"/>
            <w:vAlign w:val="center"/>
          </w:tcPr>
          <w:p w:rsidR="000A156F" w:rsidRDefault="00A9721F">
            <w:pPr>
              <w:pStyle w:val="TableBodyText"/>
            </w:pPr>
            <w:r>
              <w:t>Horizontal or Vertical</w:t>
            </w:r>
          </w:p>
        </w:tc>
        <w:tc>
          <w:tcPr>
            <w:tcW w:w="0" w:type="auto"/>
            <w:vAlign w:val="center"/>
          </w:tcPr>
          <w:p w:rsidR="000A156F" w:rsidRDefault="00A9721F">
            <w:pPr>
              <w:pStyle w:val="TableBodyText"/>
            </w:pPr>
            <w:r>
              <w:t>3</w:t>
            </w:r>
          </w:p>
        </w:tc>
        <w:tc>
          <w:tcPr>
            <w:tcW w:w="0" w:type="auto"/>
            <w:vAlign w:val="center"/>
          </w:tcPr>
          <w:p w:rsidR="000A156F" w:rsidRDefault="00A9721F">
            <w:pPr>
              <w:pStyle w:val="TableBodyText"/>
            </w:pPr>
            <w:r>
              <w:t>#1</w:t>
            </w:r>
          </w:p>
        </w:tc>
      </w:tr>
      <w:tr w:rsidR="000A156F" w:rsidTr="000A156F">
        <w:tc>
          <w:tcPr>
            <w:tcW w:w="0" w:type="auto"/>
            <w:vAlign w:val="center"/>
          </w:tcPr>
          <w:p w:rsidR="000A156F" w:rsidRDefault="00A9721F">
            <w:pPr>
              <w:pStyle w:val="TableBodyText"/>
            </w:pPr>
            <w:r>
              <w:t>Horizontal</w:t>
            </w:r>
          </w:p>
        </w:tc>
        <w:tc>
          <w:tcPr>
            <w:tcW w:w="0" w:type="auto"/>
            <w:vAlign w:val="center"/>
          </w:tcPr>
          <w:p w:rsidR="000A156F" w:rsidRDefault="00A9721F">
            <w:pPr>
              <w:pStyle w:val="TableBodyText"/>
            </w:pPr>
            <w:r>
              <w:t>6</w:t>
            </w:r>
          </w:p>
        </w:tc>
        <w:tc>
          <w:tcPr>
            <w:tcW w:w="0" w:type="auto"/>
            <w:vAlign w:val="center"/>
          </w:tcPr>
          <w:p w:rsidR="000A156F" w:rsidRDefault="00A9721F">
            <w:pPr>
              <w:pStyle w:val="TableBodyText"/>
            </w:pPr>
            <w:r>
              <w:t>#1</w:t>
            </w:r>
          </w:p>
        </w:tc>
      </w:tr>
      <w:tr w:rsidR="000A156F" w:rsidTr="000A156F">
        <w:tc>
          <w:tcPr>
            <w:tcW w:w="0" w:type="auto"/>
            <w:vAlign w:val="center"/>
          </w:tcPr>
          <w:p w:rsidR="000A156F" w:rsidRDefault="00A9721F">
            <w:pPr>
              <w:pStyle w:val="TableBodyText"/>
            </w:pPr>
            <w:r>
              <w:t>Vertical</w:t>
            </w:r>
          </w:p>
        </w:tc>
        <w:tc>
          <w:tcPr>
            <w:tcW w:w="0" w:type="auto"/>
            <w:vAlign w:val="center"/>
          </w:tcPr>
          <w:p w:rsidR="000A156F" w:rsidRDefault="00A9721F">
            <w:pPr>
              <w:pStyle w:val="TableBodyText"/>
            </w:pPr>
            <w:r>
              <w:t>6</w:t>
            </w:r>
          </w:p>
        </w:tc>
        <w:tc>
          <w:tcPr>
            <w:tcW w:w="0" w:type="auto"/>
            <w:vAlign w:val="center"/>
          </w:tcPr>
          <w:p w:rsidR="000A156F" w:rsidRDefault="00A9721F">
            <w:pPr>
              <w:pStyle w:val="TableBodyText"/>
            </w:pPr>
            <w:r>
              <w:t>#4</w:t>
            </w:r>
          </w:p>
        </w:tc>
      </w:tr>
    </w:tbl>
    <w:p w:rsidR="000A156F" w:rsidRDefault="000A156F"/>
    <w:p w:rsidR="000A156F" w:rsidRDefault="00A9721F">
      <w:r>
        <w:t>If the shape has adjust handles, the position of the textbox takes into account one or more rectangles defined here, the layout of the text and the</w:t>
      </w:r>
      <w:r>
        <w:t xml:space="preserve"> position and range of the adjust handles. Office uses this data to choose a textbox position that conflicts least with the shape’s path.</w:t>
      </w:r>
    </w:p>
    <w:p w:rsidR="000A156F" w:rsidRDefault="00A9721F">
      <w:r>
        <w:t xml:space="preserve">If more than one adjust handle is defined, only the first one is used. However, Office requires that the first handle </w:t>
      </w:r>
      <w:r>
        <w:t xml:space="preserve">defined in the file for the shape reference the first two values of the </w:t>
      </w:r>
      <w:r>
        <w:rPr>
          <w:b/>
        </w:rPr>
        <w:t>adj</w:t>
      </w:r>
      <w:r>
        <w:t xml:space="preserve"> attribute of the shape.</w:t>
      </w:r>
    </w:p>
    <w:p w:rsidR="000A156F" w:rsidRDefault="00A9721F">
      <w:r>
        <w:t xml:space="preserve">[Note: For more information about adjust handles, see the </w:t>
      </w:r>
      <w:r>
        <w:rPr>
          <w:b/>
        </w:rPr>
        <w:t>handles</w:t>
      </w:r>
      <w:r>
        <w:t xml:space="preserve"> element ("</w:t>
      </w:r>
      <w:hyperlink r:id="rId250">
        <w:r>
          <w:rPr>
            <w:rStyle w:val="Hyperlink"/>
          </w:rPr>
          <w:t>[ISO/IEC-29500</w:t>
        </w:r>
        <w:r>
          <w:rPr>
            <w:rStyle w:val="Hyperlink"/>
          </w:rPr>
          <w:t>-4]</w:t>
        </w:r>
      </w:hyperlink>
      <w:r>
        <w:t xml:space="preserve"> §19.1.2.9; handles (Set of Handles)") and the </w:t>
      </w:r>
      <w:r>
        <w:rPr>
          <w:b/>
        </w:rPr>
        <w:t>adj</w:t>
      </w:r>
      <w:r>
        <w:t xml:space="preserve"> attribute, such as on the </w:t>
      </w:r>
      <w:r>
        <w:rPr>
          <w:b/>
        </w:rPr>
        <w:t>shape</w:t>
      </w:r>
      <w:r>
        <w:t xml:space="preserve"> element ("[ISO/IEC-29500-4] §19.1.2.19; shape (Shape Definition)"). For more information about text layout, see the text layout properties in the </w:t>
      </w:r>
      <w:r>
        <w:rPr>
          <w:b/>
        </w:rPr>
        <w:t>style</w:t>
      </w:r>
      <w:r>
        <w:t xml:space="preserve"> attribute of the </w:t>
      </w:r>
      <w:r>
        <w:rPr>
          <w:b/>
        </w:rPr>
        <w:t>t</w:t>
      </w:r>
      <w:r>
        <w:rPr>
          <w:b/>
        </w:rPr>
        <w:t>extbox</w:t>
      </w:r>
      <w:r>
        <w:t xml:space="preserve"> element ("[ISO/IEC-29500-4] §19.1.2.22; textbox (Text Box)"). end note]</w:t>
      </w:r>
    </w:p>
    <w:p w:rsidR="000A156F" w:rsidRDefault="00A9721F">
      <w:pPr>
        <w:pStyle w:val="Definition-Field"/>
      </w:pPr>
      <w:r>
        <w:lastRenderedPageBreak/>
        <w:t xml:space="preserve">h.   </w:t>
      </w:r>
      <w:r>
        <w:rPr>
          <w:i/>
        </w:rPr>
        <w:t>The standard does not restrict the number of instances of the path element.</w:t>
      </w:r>
    </w:p>
    <w:p w:rsidR="000A156F" w:rsidRDefault="00A9721F">
      <w:pPr>
        <w:pStyle w:val="Definition-Field2"/>
      </w:pPr>
      <w:r>
        <w:t>Office allows at most only one instance of the path element in each place where it can be used.</w:t>
      </w:r>
    </w:p>
    <w:p w:rsidR="000A156F" w:rsidRDefault="00A9721F">
      <w:pPr>
        <w:pStyle w:val="Heading3"/>
      </w:pPr>
      <w:bookmarkStart w:id="3629" w:name="section_02fe18eb74dc4eab9007ea8b2c3f8b48"/>
      <w:bookmarkStart w:id="3630" w:name="_Toc181684840"/>
      <w:r>
        <w:t>Part 4 Section 19.1.2.15, polyline (Multiple Path Line)</w:t>
      </w:r>
      <w:bookmarkEnd w:id="3629"/>
      <w:bookmarkEnd w:id="3630"/>
      <w:r>
        <w:fldChar w:fldCharType="begin"/>
      </w:r>
      <w:r>
        <w:instrText xml:space="preserve"> XE "polyline (Multiple Path Line)"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504bbc5f604aa1a4c0f8f3a925e6f7">
        <w:r>
          <w:rPr>
            <w:rStyle w:val="Hyperlink"/>
          </w:rPr>
          <w:t>backgroun</w:t>
        </w:r>
        <w:r>
          <w:rPr>
            <w:rStyle w:val="Hyperlink"/>
          </w:rPr>
          <w:t>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A156F" w:rsidRDefault="00A9721F">
      <w:pPr>
        <w:pStyle w:val="Definition-Field"/>
      </w:pPr>
      <w:r>
        <w:t xml:space="preserve">a.   </w:t>
      </w:r>
      <w:r>
        <w:rPr>
          <w:i/>
        </w:rPr>
        <w:t>The standard places no restrictions on the value of the spt attribute.</w:t>
      </w:r>
    </w:p>
    <w:p w:rsidR="000A156F" w:rsidRDefault="00A9721F">
      <w:pPr>
        <w:pStyle w:val="Definition-Field2"/>
      </w:pPr>
      <w:r>
        <w:t xml:space="preserve">Office requires that the spt attribute on a polyline element have a value of 0. It is an error to specify </w:t>
      </w:r>
      <w:r>
        <w:t>this attribute as anything other than the default value, except for the shape and shapetype elements which can handle any valid spt value.</w:t>
      </w:r>
    </w:p>
    <w:p w:rsidR="000A156F" w:rsidRDefault="00A9721F">
      <w:pPr>
        <w:pStyle w:val="Definition-Field"/>
      </w:pPr>
      <w:r>
        <w:t xml:space="preserve">b.   </w:t>
      </w:r>
      <w:r>
        <w:rPr>
          <w:i/>
        </w:rPr>
        <w:t>The standard states that chromakey and opacity are valid attributes on the polyline element.</w:t>
      </w:r>
    </w:p>
    <w:p w:rsidR="000A156F" w:rsidRDefault="00A9721F">
      <w:pPr>
        <w:pStyle w:val="Definition-Field2"/>
      </w:pPr>
      <w:r>
        <w:t>Office does not sup</w:t>
      </w:r>
      <w:r>
        <w:t>port these attributes on this element.</w:t>
      </w:r>
    </w:p>
    <w:p w:rsidR="000A156F" w:rsidRDefault="00A9721F">
      <w:pPr>
        <w:pStyle w:val="Definition-Field"/>
      </w:pPr>
      <w:r>
        <w:t xml:space="preserve">c.   </w:t>
      </w:r>
      <w:r>
        <w:rPr>
          <w:i/>
        </w:rPr>
        <w:t>The standard does not mention the gfxdata attribute.</w:t>
      </w:r>
    </w:p>
    <w:p w:rsidR="000A156F" w:rsidRDefault="00A9721F">
      <w:pPr>
        <w:pStyle w:val="Definition-Field2"/>
      </w:pPr>
      <w:r>
        <w:t>Office uses an gfxdata attribute. The definition is the same as the gfxdata attribute defined in Section 14.1.2.19.</w:t>
      </w:r>
    </w:p>
    <w:p w:rsidR="000A156F" w:rsidRDefault="00A9721F">
      <w:pPr>
        <w:pStyle w:val="Heading3"/>
      </w:pPr>
      <w:bookmarkStart w:id="3631" w:name="section_0049c89078764cd1bd6f449f22879f24"/>
      <w:bookmarkStart w:id="3632" w:name="_Toc181684841"/>
      <w:r>
        <w:t>Part 4 Section 19.1.2.16, rect (Rectangle)</w:t>
      </w:r>
      <w:bookmarkEnd w:id="3631"/>
      <w:bookmarkEnd w:id="3632"/>
      <w:r>
        <w:fldChar w:fldCharType="begin"/>
      </w:r>
      <w:r>
        <w:instrText xml:space="preserve"> </w:instrText>
      </w:r>
      <w:r>
        <w:instrText xml:space="preserve">XE "rect (Rectangle)"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A156F" w:rsidRDefault="00A9721F">
      <w:pPr>
        <w:pStyle w:val="Definition-Field"/>
      </w:pPr>
      <w:r>
        <w:t xml:space="preserve">a.   </w:t>
      </w:r>
      <w:r>
        <w:rPr>
          <w:i/>
        </w:rPr>
        <w:t>The standard places no restrictions on the value of the spt attribute.</w:t>
      </w:r>
    </w:p>
    <w:p w:rsidR="000A156F" w:rsidRDefault="00A9721F">
      <w:pPr>
        <w:pStyle w:val="Definition-Field2"/>
      </w:pPr>
      <w:r>
        <w:t>Office requires that the spt attribute on a rect element have a value of 1. It is an error to specify this attribute as anything other than the default value, except for the shap</w:t>
      </w:r>
      <w:r>
        <w:t>e and shapetype elements which can handle any valid spt value.</w:t>
      </w:r>
    </w:p>
    <w:p w:rsidR="000A156F" w:rsidRDefault="00A9721F">
      <w:pPr>
        <w:pStyle w:val="Definition-Field"/>
      </w:pPr>
      <w:r>
        <w:t xml:space="preserve">b.   </w:t>
      </w:r>
      <w:r>
        <w:rPr>
          <w:i/>
        </w:rPr>
        <w:t>The standard states that chromakey and opacity are valid attributes on the rect element.</w:t>
      </w:r>
    </w:p>
    <w:p w:rsidR="000A156F" w:rsidRDefault="00A9721F">
      <w:pPr>
        <w:pStyle w:val="Definition-Field2"/>
      </w:pPr>
      <w:r>
        <w:t>Office does not support these attributes on this element.</w:t>
      </w:r>
    </w:p>
    <w:p w:rsidR="000A156F" w:rsidRDefault="00A9721F">
      <w:pPr>
        <w:pStyle w:val="Definition-Field"/>
      </w:pPr>
      <w:r>
        <w:t xml:space="preserve">c.   </w:t>
      </w:r>
      <w:r>
        <w:rPr>
          <w:i/>
        </w:rPr>
        <w:t>The standard states that the default</w:t>
      </w:r>
      <w:r>
        <w:rPr>
          <w:i/>
        </w:rPr>
        <w:t xml:space="preserve"> value of the spt attribute is 0.</w:t>
      </w:r>
    </w:p>
    <w:p w:rsidR="000A156F" w:rsidRDefault="00A9721F">
      <w:pPr>
        <w:pStyle w:val="Definition-Field2"/>
      </w:pPr>
      <w:r>
        <w:t>Office uses a default value of 1 for the rect element.</w:t>
      </w:r>
    </w:p>
    <w:p w:rsidR="000A156F" w:rsidRDefault="00A9721F">
      <w:pPr>
        <w:pStyle w:val="Definition-Field"/>
      </w:pPr>
      <w:r>
        <w:t xml:space="preserve">d.   </w:t>
      </w:r>
      <w:r>
        <w:rPr>
          <w:i/>
        </w:rPr>
        <w:t>The standard places no restrictions on when the coordorigin and coordsize attributes are preserved on the rect element.</w:t>
      </w:r>
    </w:p>
    <w:p w:rsidR="000A156F" w:rsidRDefault="00A9721F">
      <w:pPr>
        <w:pStyle w:val="Definition-Field2"/>
      </w:pPr>
      <w:r>
        <w:t>Office only preserves these attributes whe</w:t>
      </w:r>
      <w:r>
        <w:t>n this element has at least one of the following child elements:  a path with connection points specified in its connectlocs attribute; a path with a textbox specified in its textboxrect attribute; or handles.</w:t>
      </w:r>
    </w:p>
    <w:p w:rsidR="000A156F" w:rsidRDefault="00A9721F">
      <w:pPr>
        <w:pStyle w:val="Definition-Field"/>
      </w:pPr>
      <w:r>
        <w:t xml:space="preserve">e.   </w:t>
      </w:r>
      <w:r>
        <w:rPr>
          <w:i/>
        </w:rPr>
        <w:t>The standard does not mention the gfxdata</w:t>
      </w:r>
      <w:r>
        <w:rPr>
          <w:i/>
        </w:rPr>
        <w:t xml:space="preserve"> attribute.</w:t>
      </w:r>
    </w:p>
    <w:p w:rsidR="000A156F" w:rsidRDefault="00A9721F">
      <w:pPr>
        <w:pStyle w:val="Definition-Field2"/>
      </w:pPr>
      <w:r>
        <w:t>Office uses an gfxdata attribute. The definition is the same as the gfxdata attribute defined in Section 14.1.2.19.</w:t>
      </w:r>
    </w:p>
    <w:p w:rsidR="000A156F" w:rsidRDefault="00A9721F">
      <w:pPr>
        <w:pStyle w:val="Heading3"/>
      </w:pPr>
      <w:bookmarkStart w:id="3633" w:name="section_ad5503cd7f9344d6ae270940131156f6"/>
      <w:bookmarkStart w:id="3634" w:name="_Toc181684842"/>
      <w:r>
        <w:lastRenderedPageBreak/>
        <w:t>Part 4 Section 19.1.2.17, roundrect (Rounded Rectangle)</w:t>
      </w:r>
      <w:bookmarkEnd w:id="3633"/>
      <w:bookmarkEnd w:id="3634"/>
      <w:r>
        <w:fldChar w:fldCharType="begin"/>
      </w:r>
      <w:r>
        <w:instrText xml:space="preserve"> XE "roundrect (Rounded Rectangle)" </w:instrText>
      </w:r>
      <w:r>
        <w:fldChar w:fldCharType="end"/>
      </w:r>
    </w:p>
    <w:p w:rsidR="000A156F" w:rsidRDefault="00A9721F">
      <w:pPr>
        <w:pStyle w:val="Definition-Field2"/>
      </w:pPr>
      <w:r>
        <w:rPr>
          <w:i/>
        </w:rPr>
        <w:t>For additional notes that apply to</w:t>
      </w:r>
      <w:r>
        <w:rPr>
          <w:i/>
        </w:rPr>
        <w:t xml:space="preserve">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w:t>
        </w:r>
        <w:r>
          <w:rPr>
            <w:rStyle w:val="Hyperlink"/>
          </w:rPr>
          <w: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0A156F" w:rsidRDefault="00A9721F">
      <w:pPr>
        <w:pStyle w:val="Definition-Field"/>
      </w:pPr>
      <w:r>
        <w:t xml:space="preserve">a.   </w:t>
      </w:r>
      <w:r>
        <w:rPr>
          <w:i/>
        </w:rPr>
        <w:t xml:space="preserve">The standard places no restrictions on the value of </w:t>
      </w:r>
      <w:r>
        <w:rPr>
          <w:i/>
        </w:rPr>
        <w:t>the spt attribute.</w:t>
      </w:r>
    </w:p>
    <w:p w:rsidR="000A156F" w:rsidRDefault="00A9721F">
      <w:pPr>
        <w:pStyle w:val="Definition-Field2"/>
      </w:pPr>
      <w:r>
        <w:t xml:space="preserve">Office requires that the spt attribute on a roundrect element have a value of 2. It is an error to specify this attribute as anything other than the default value, except for the shape and shapetype elements which can handle any valid </w:t>
      </w:r>
      <w:r>
        <w:t>spt value.</w:t>
      </w:r>
    </w:p>
    <w:p w:rsidR="000A156F" w:rsidRDefault="00A9721F">
      <w:pPr>
        <w:pStyle w:val="Definition-Field"/>
      </w:pPr>
      <w:r>
        <w:t xml:space="preserve">b.   </w:t>
      </w:r>
      <w:r>
        <w:rPr>
          <w:i/>
        </w:rPr>
        <w:t>The standard states that chromakey, coordorigin, and opacity are valid attributes on the roundrect element.</w:t>
      </w:r>
    </w:p>
    <w:p w:rsidR="000A156F" w:rsidRDefault="00A9721F">
      <w:pPr>
        <w:pStyle w:val="Definition-Field2"/>
      </w:pPr>
      <w:r>
        <w:t>Office does not support these attributes on this element.</w:t>
      </w:r>
    </w:p>
    <w:p w:rsidR="000A156F" w:rsidRDefault="00A9721F">
      <w:pPr>
        <w:pStyle w:val="Definition-Field"/>
      </w:pPr>
      <w:r>
        <w:t xml:space="preserve">c.   </w:t>
      </w:r>
      <w:r>
        <w:rPr>
          <w:i/>
        </w:rPr>
        <w:t>The standard states that the default value of the spt attribute is 0.</w:t>
      </w:r>
    </w:p>
    <w:p w:rsidR="000A156F" w:rsidRDefault="00A9721F">
      <w:pPr>
        <w:pStyle w:val="Definition-Field2"/>
      </w:pPr>
      <w:r>
        <w:t>Office uses a default value of 2 for the roundrect element.</w:t>
      </w:r>
    </w:p>
    <w:p w:rsidR="000A156F" w:rsidRDefault="00A9721F">
      <w:pPr>
        <w:pStyle w:val="Definition-Field"/>
      </w:pPr>
      <w:r>
        <w:t xml:space="preserve">d.   </w:t>
      </w:r>
      <w:r>
        <w:rPr>
          <w:i/>
        </w:rPr>
        <w:t>The standard does not mention the gfxdata attribute.</w:t>
      </w:r>
    </w:p>
    <w:p w:rsidR="000A156F" w:rsidRDefault="00A9721F">
      <w:pPr>
        <w:pStyle w:val="Definition-Field2"/>
      </w:pPr>
      <w:r>
        <w:t>Office uses an gfxdata attribute. The definition is the same as the gfxdata attribute defined in Section 14.1.2.19.</w:t>
      </w:r>
    </w:p>
    <w:p w:rsidR="000A156F" w:rsidRDefault="00A9721F">
      <w:pPr>
        <w:pStyle w:val="Heading3"/>
      </w:pPr>
      <w:bookmarkStart w:id="3635" w:name="section_abf1cdb8e21044c2b758683db8ee1bbb"/>
      <w:bookmarkStart w:id="3636" w:name="_Toc181684843"/>
      <w:r>
        <w:t>Part 4 Section 19.1.2</w:t>
      </w:r>
      <w:r>
        <w:t>.18, shadow (Shadow Effect)</w:t>
      </w:r>
      <w:bookmarkEnd w:id="3635"/>
      <w:bookmarkEnd w:id="3636"/>
      <w:r>
        <w:fldChar w:fldCharType="begin"/>
      </w:r>
      <w:r>
        <w:instrText xml:space="preserve"> XE "shadow (Shadow Effect)"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The standard states that the values of the type attribute are defined by the ST_ShadowType simple type and some additional values.</w:t>
      </w:r>
    </w:p>
    <w:p w:rsidR="000A156F" w:rsidRDefault="00A9721F">
      <w:pPr>
        <w:pStyle w:val="Definition-Field2"/>
      </w:pPr>
      <w:r>
        <w:t>Office only allows the values defined in the ST_ShadowType simp</w:t>
      </w:r>
      <w:r>
        <w:t>le type for this attribute.</w:t>
      </w:r>
    </w:p>
    <w:p w:rsidR="000A156F" w:rsidRDefault="00A9721F">
      <w:pPr>
        <w:pStyle w:val="Definition-Field"/>
      </w:pPr>
      <w:r>
        <w:t xml:space="preserve">b.   </w:t>
      </w:r>
      <w:r>
        <w:rPr>
          <w:i/>
        </w:rPr>
        <w:t>The standard does not specify bounds for the matrix attribute.</w:t>
      </w:r>
    </w:p>
    <w:p w:rsidR="000A156F" w:rsidRDefault="00A9721F">
      <w:r>
        <w:t>In Office, these numeric values may be specified in 1/65536-ths if a trailing "f" is supplied. [</w:t>
      </w:r>
      <w:r>
        <w:rPr>
          <w:i/>
        </w:rPr>
        <w:t>Example:</w:t>
      </w:r>
      <w:r>
        <w:t xml:space="preserve"> A value of "52429f" represents 52429/65536, or 0.8. </w:t>
      </w:r>
      <w:r>
        <w:rPr>
          <w:i/>
        </w:rPr>
        <w:t>end</w:t>
      </w:r>
      <w:r>
        <w:rPr>
          <w:i/>
        </w:rPr>
        <w:t xml:space="preserve">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51"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0A156F" w:rsidRDefault="00A9721F">
      <w:pPr>
        <w:pStyle w:val="Definition-Field"/>
      </w:pPr>
      <w:r>
        <w:t xml:space="preserve">c.   </w:t>
      </w:r>
      <w:r>
        <w:rPr>
          <w:i/>
        </w:rPr>
        <w:t>The standard does not indicate how the matrix attribute is applied to the shadow.</w:t>
      </w:r>
    </w:p>
    <w:p w:rsidR="000A156F" w:rsidRDefault="00A9721F">
      <w:r>
        <w:t>Office applies this matrix to a point in the following way.</w:t>
      </w:r>
    </w:p>
    <w:p w:rsidR="000A156F" w:rsidRDefault="00A9721F">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52"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w:t>
      </w:r>
      <w:r>
        <w:t xml:space="preserve">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53"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0A156F" w:rsidRDefault="00A9721F">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54"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55"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0A156F" w:rsidRDefault="00A9721F">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6"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7"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0A156F" w:rsidRDefault="00A9721F">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8"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9"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60"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0A156F" w:rsidRDefault="00A9721F">
      <w:r>
        <w:lastRenderedPageBreak/>
        <w:t xml:space="preserve">The origin for the coordinate system used here is defined by the </w:t>
      </w:r>
      <w:r>
        <w:rPr>
          <w:b/>
        </w:rPr>
        <w:t>origin</w:t>
      </w:r>
      <w:r>
        <w:t xml:space="preserve"> attribute, which is dependent on the height and width of the shape.</w:t>
      </w:r>
    </w:p>
    <w:p w:rsidR="000A156F" w:rsidRDefault="00A9721F">
      <w:pPr>
        <w:pStyle w:val="Definition-Field"/>
      </w:pPr>
      <w:r>
        <w:t xml:space="preserve">d.   </w:t>
      </w:r>
      <w:r>
        <w:rPr>
          <w:i/>
        </w:rPr>
        <w:t>The standard indicates that drawingRelative and shapeRelative are valid simple type values for the type attribute.</w:t>
      </w:r>
    </w:p>
    <w:p w:rsidR="000A156F" w:rsidRDefault="00A9721F">
      <w:pPr>
        <w:pStyle w:val="Definition-Field2"/>
      </w:pPr>
      <w:r>
        <w:t>If the value of the type attribute is drawingRelative or shapeRelat</w:t>
      </w:r>
      <w:r>
        <w:t>ive, Office transforms the shadow to use a value of perspective on file save.</w:t>
      </w:r>
    </w:p>
    <w:p w:rsidR="000A156F" w:rsidRDefault="00A9721F">
      <w:pPr>
        <w:pStyle w:val="Definition-Field"/>
      </w:pPr>
      <w:r>
        <w:t xml:space="preserve">e.   </w:t>
      </w:r>
      <w:r>
        <w:rPr>
          <w:i/>
        </w:rPr>
        <w:t>The standard indicates that emboss is a valid simple type values for the type attribute.</w:t>
      </w:r>
    </w:p>
    <w:p w:rsidR="000A156F" w:rsidRDefault="00A9721F">
      <w:pPr>
        <w:pStyle w:val="Definition-Field2"/>
      </w:pPr>
      <w:r>
        <w:t xml:space="preserve">If the value of the type attribute is emboss and the offset or offset2 attribute is </w:t>
      </w:r>
      <w:r>
        <w:t>defined using fractional values of the shape dimensions, Office transforms the shadow to use a value of perspective on file save.</w:t>
      </w:r>
    </w:p>
    <w:p w:rsidR="000A156F" w:rsidRDefault="00A9721F">
      <w:pPr>
        <w:pStyle w:val="Definition-Field"/>
      </w:pPr>
      <w:r>
        <w:t xml:space="preserve">f.   </w:t>
      </w:r>
      <w:r>
        <w:rPr>
          <w:i/>
        </w:rPr>
        <w:t>The standard indicates how the obscured attribute is used.</w:t>
      </w:r>
    </w:p>
    <w:p w:rsidR="000A156F" w:rsidRDefault="00A9721F">
      <w:pPr>
        <w:pStyle w:val="Definition-Field2"/>
      </w:pPr>
      <w:r>
        <w:t>In Office, if the value of the obscured attribute is false, th</w:t>
      </w:r>
      <w:r>
        <w:t>en the shadow is transparent if there is no fill on the shape.</w:t>
      </w:r>
    </w:p>
    <w:p w:rsidR="000A156F" w:rsidRDefault="00A9721F">
      <w:pPr>
        <w:pStyle w:val="Definition-Field"/>
      </w:pPr>
      <w:r>
        <w:t xml:space="preserve">g.   </w:t>
      </w:r>
      <w:r>
        <w:rPr>
          <w:i/>
        </w:rPr>
        <w:t>The standard indicates that the default value for the on attribute is true.</w:t>
      </w:r>
    </w:p>
    <w:p w:rsidR="000A156F" w:rsidRDefault="00A9721F">
      <w:pPr>
        <w:pStyle w:val="Definition-Field2"/>
      </w:pPr>
      <w:r>
        <w:t>In Office, if the on attribute value is blank, it is considered to be true. If it is absent, it defaults to fals</w:t>
      </w:r>
      <w:r>
        <w:t>e.</w:t>
      </w:r>
    </w:p>
    <w:p w:rsidR="000A156F" w:rsidRDefault="00A9721F">
      <w:pPr>
        <w:pStyle w:val="Definition-Field"/>
      </w:pPr>
      <w:r>
        <w:t xml:space="preserve">h.   </w:t>
      </w:r>
      <w:r>
        <w:rPr>
          <w:i/>
        </w:rPr>
        <w:t>The standard does not restrict the number of instances of this element.</w:t>
      </w:r>
    </w:p>
    <w:p w:rsidR="000A156F" w:rsidRDefault="00A9721F">
      <w:pPr>
        <w:pStyle w:val="Definition-Field2"/>
      </w:pPr>
      <w:r>
        <w:t>Office allows at most only one instance of the shadow element in each place where it can be used.</w:t>
      </w:r>
    </w:p>
    <w:p w:rsidR="000A156F" w:rsidRDefault="00A9721F">
      <w:pPr>
        <w:pStyle w:val="Definition-Field"/>
      </w:pPr>
      <w:r>
        <w:t xml:space="preserve">i.   </w:t>
      </w:r>
      <w:r>
        <w:rPr>
          <w:i/>
        </w:rPr>
        <w:t>The standard states that values of the opacity attribute are defined by t</w:t>
      </w:r>
      <w:r>
        <w:rPr>
          <w:i/>
        </w:rPr>
        <w:t>he XML Schema string datatype.</w:t>
      </w:r>
    </w:p>
    <w:p w:rsidR="000A156F" w:rsidRDefault="00A9721F">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rsidR="000A156F" w:rsidRDefault="00A9721F">
      <w:pPr>
        <w:pStyle w:val="Heading3"/>
      </w:pPr>
      <w:bookmarkStart w:id="3637" w:name="section_edfd844dbf1a410981cd4caa788f1449"/>
      <w:bookmarkStart w:id="3638" w:name="_Toc181684844"/>
      <w:r>
        <w:t>Part 4 Section 19.1.2.19, shape (Shape Definition)</w:t>
      </w:r>
      <w:bookmarkEnd w:id="3637"/>
      <w:bookmarkEnd w:id="3638"/>
      <w:r>
        <w:fldChar w:fldCharType="begin"/>
      </w:r>
      <w:r>
        <w:instrText xml:space="preserve"> XE "</w:instrText>
      </w:r>
      <w:r>
        <w:instrText xml:space="preserve">shape (Shape Definition)"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w:t>
        </w:r>
        <w:r>
          <w:rPr>
            <w:rStyle w:val="Hyperlink"/>
          </w:rPr>
          <w:t>b-f)</w:t>
        </w:r>
      </w:hyperlink>
      <w:r>
        <w:rPr>
          <w:i/>
        </w:rPr>
        <w:t>.</w:t>
      </w:r>
    </w:p>
    <w:p w:rsidR="000A156F" w:rsidRDefault="00A9721F">
      <w:pPr>
        <w:pStyle w:val="Definition-Field"/>
      </w:pPr>
      <w:r>
        <w:t xml:space="preserve">a.   </w:t>
      </w:r>
      <w:r>
        <w:rPr>
          <w:i/>
        </w:rPr>
        <w:t>The standard does not document the format of the equationxml attribute.</w:t>
      </w:r>
    </w:p>
    <w:p w:rsidR="000A156F" w:rsidRDefault="00A9721F">
      <w:pPr>
        <w:pStyle w:val="Definition-Field2"/>
      </w:pPr>
      <w:r>
        <w:t>Word uses a specific format for the equationxml attribute as defined by Equation XML (</w:t>
      </w:r>
      <w:hyperlink w:anchor="Section_f6bb45e674ca4e37a30b13a40d6ea3ff">
        <w:r>
          <w:rPr>
            <w:rStyle w:val="Hyperlink"/>
          </w:rPr>
          <w:t>§3.8, Equation XML</w:t>
        </w:r>
      </w:hyperlink>
      <w:r>
        <w:t>).</w:t>
      </w:r>
    </w:p>
    <w:p w:rsidR="000A156F" w:rsidRDefault="00A9721F">
      <w:pPr>
        <w:pStyle w:val="Definition-Field"/>
      </w:pPr>
      <w:r>
        <w:t xml:space="preserve">b. </w:t>
      </w:r>
      <w:r>
        <w:t xml:space="preserve">  </w:t>
      </w:r>
      <w:r>
        <w:rPr>
          <w:i/>
        </w:rPr>
        <w:t>The standard indicates that the format of the gfxdata attribute is application-defined.</w:t>
      </w:r>
    </w:p>
    <w:p w:rsidR="000A156F" w:rsidRDefault="00A9721F">
      <w:pPr>
        <w:pStyle w:val="Definition-Field2"/>
      </w:pPr>
      <w:r>
        <w:t>Office formats this attribute as specified in the DrawingML Persistence Part (</w:t>
      </w:r>
      <w:hyperlink w:anchor="Section_5f22f80d39f24ed6a6eb2dd92581ef97">
        <w:r>
          <w:rPr>
            <w:rStyle w:val="Hyperlink"/>
          </w:rPr>
          <w:t>§3.1.4, DrawingML Persist</w:t>
        </w:r>
        <w:r>
          <w:rPr>
            <w:rStyle w:val="Hyperlink"/>
          </w:rPr>
          <w:t>ence Part</w:t>
        </w:r>
      </w:hyperlink>
      <w:r>
        <w:t>).</w:t>
      </w:r>
    </w:p>
    <w:p w:rsidR="000A156F" w:rsidRDefault="00A9721F">
      <w:pPr>
        <w:pStyle w:val="Definition-Field"/>
      </w:pPr>
      <w:r>
        <w:t xml:space="preserve">c.   </w:t>
      </w:r>
      <w:r>
        <w:rPr>
          <w:i/>
        </w:rPr>
        <w:t>The standard states that chromakey and opacity are valid attributes on the shape element.</w:t>
      </w:r>
    </w:p>
    <w:p w:rsidR="000A156F" w:rsidRDefault="00A9721F">
      <w:pPr>
        <w:pStyle w:val="Definition-Field2"/>
      </w:pPr>
      <w:r>
        <w:t>Office does not support these attributes on this element.</w:t>
      </w:r>
    </w:p>
    <w:p w:rsidR="000A156F" w:rsidRDefault="00A9721F">
      <w:pPr>
        <w:pStyle w:val="Definition-Field"/>
      </w:pPr>
      <w:r>
        <w:t xml:space="preserve">d.   </w:t>
      </w:r>
      <w:r>
        <w:rPr>
          <w:i/>
        </w:rPr>
        <w:t>The standard states that the values of the spt attribute are defined by the XML Schema</w:t>
      </w:r>
      <w:r>
        <w:rPr>
          <w:i/>
        </w:rPr>
        <w:t xml:space="preserve"> float datatype.</w:t>
      </w:r>
    </w:p>
    <w:p w:rsidR="000A156F" w:rsidRDefault="00A9721F">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0A156F" w:rsidRDefault="00A9721F">
      <w:pPr>
        <w:pStyle w:val="Definition-Field"/>
      </w:pPr>
      <w:r>
        <w:lastRenderedPageBreak/>
        <w:t xml:space="preserve">e.   </w:t>
      </w:r>
      <w:r>
        <w:rPr>
          <w:i/>
        </w:rPr>
        <w:t>The standard states that the style attribute has a number of name/val</w:t>
      </w:r>
      <w:r>
        <w:rPr>
          <w:i/>
        </w:rPr>
        <w:t>ue pairs, but doesn't fully define the WordprocessingML object positioning ones.</w:t>
      </w:r>
    </w:p>
    <w:p w:rsidR="000A156F" w:rsidRDefault="00A9721F">
      <w:r>
        <w:t>Word recognizes the following name/value pairs:</w:t>
      </w:r>
    </w:p>
    <w:p w:rsidR="000A156F" w:rsidRDefault="00A9721F">
      <w:r>
        <w:rPr>
          <w:b/>
        </w:rPr>
        <w:t>mso-position-horizontal</w:t>
      </w:r>
      <w:r>
        <w:t>: the relative horizontal position of the object</w:t>
      </w:r>
    </w:p>
    <w:p w:rsidR="000A156F" w:rsidRDefault="00A9721F">
      <w:pPr>
        <w:pStyle w:val="ListParagraph"/>
        <w:numPr>
          <w:ilvl w:val="0"/>
          <w:numId w:val="172"/>
        </w:numPr>
        <w:contextualSpacing/>
      </w:pPr>
      <w:r>
        <w:t xml:space="preserve">absolute = an absolute measurement defined by </w:t>
      </w:r>
      <w:r>
        <w:t>margin-left</w:t>
      </w:r>
    </w:p>
    <w:p w:rsidR="000A156F" w:rsidRDefault="00A9721F">
      <w:pPr>
        <w:pStyle w:val="ListParagraph"/>
        <w:numPr>
          <w:ilvl w:val="0"/>
          <w:numId w:val="172"/>
        </w:numPr>
        <w:contextualSpacing/>
      </w:pPr>
      <w:r>
        <w:t>left = on the left side of the object in mso-position-horizontal-relative</w:t>
      </w:r>
    </w:p>
    <w:p w:rsidR="000A156F" w:rsidRDefault="00A9721F">
      <w:pPr>
        <w:pStyle w:val="ListParagraph"/>
        <w:numPr>
          <w:ilvl w:val="0"/>
          <w:numId w:val="172"/>
        </w:numPr>
        <w:contextualSpacing/>
      </w:pPr>
      <w:r>
        <w:t>center = centered within the object in mso-position-horizontal-relative</w:t>
      </w:r>
    </w:p>
    <w:p w:rsidR="000A156F" w:rsidRDefault="00A9721F">
      <w:pPr>
        <w:pStyle w:val="ListParagraph"/>
        <w:numPr>
          <w:ilvl w:val="0"/>
          <w:numId w:val="172"/>
        </w:numPr>
        <w:contextualSpacing/>
      </w:pPr>
      <w:r>
        <w:t>right = on the right side of the object in mso-position-horizontal-relative</w:t>
      </w:r>
    </w:p>
    <w:p w:rsidR="000A156F" w:rsidRDefault="00A9721F">
      <w:pPr>
        <w:pStyle w:val="ListParagraph"/>
        <w:numPr>
          <w:ilvl w:val="0"/>
          <w:numId w:val="172"/>
        </w:numPr>
        <w:contextualSpacing/>
      </w:pPr>
      <w:r>
        <w:t>inside = inside the ob</w:t>
      </w:r>
      <w:r>
        <w:t>ject in mso-position-horizontal-relative; only valid for values of "margin" and "page"</w:t>
      </w:r>
    </w:p>
    <w:p w:rsidR="000A156F" w:rsidRDefault="00A9721F">
      <w:pPr>
        <w:pStyle w:val="ListParagraph"/>
        <w:numPr>
          <w:ilvl w:val="0"/>
          <w:numId w:val="172"/>
        </w:numPr>
      </w:pPr>
      <w:r>
        <w:t>outside = outside of the object in mso-position-horizontal-relative; only valid for values of "margin" and "page"</w:t>
      </w:r>
    </w:p>
    <w:p w:rsidR="000A156F" w:rsidRDefault="00A9721F">
      <w:r>
        <w:rPr>
          <w:b/>
        </w:rPr>
        <w:t>mso-position-horizontal-relative</w:t>
      </w:r>
      <w:r>
        <w:t>: the basis of the rela</w:t>
      </w:r>
      <w:r>
        <w:t>tive horizontal position of the object</w:t>
      </w:r>
    </w:p>
    <w:p w:rsidR="000A156F" w:rsidRDefault="00A9721F">
      <w:pPr>
        <w:pStyle w:val="ListParagraph"/>
        <w:numPr>
          <w:ilvl w:val="0"/>
          <w:numId w:val="173"/>
        </w:numPr>
        <w:contextualSpacing/>
      </w:pPr>
      <w:r>
        <w:t>margin = relative to the leading margin</w:t>
      </w:r>
    </w:p>
    <w:p w:rsidR="000A156F" w:rsidRDefault="00A9721F">
      <w:pPr>
        <w:pStyle w:val="ListParagraph"/>
        <w:numPr>
          <w:ilvl w:val="0"/>
          <w:numId w:val="173"/>
        </w:numPr>
        <w:contextualSpacing/>
      </w:pPr>
      <w:r>
        <w:t>page = relative to page with the object's anchor</w:t>
      </w:r>
    </w:p>
    <w:p w:rsidR="000A156F" w:rsidRDefault="00A9721F">
      <w:pPr>
        <w:pStyle w:val="ListParagraph"/>
        <w:numPr>
          <w:ilvl w:val="0"/>
          <w:numId w:val="173"/>
        </w:numPr>
        <w:contextualSpacing/>
      </w:pPr>
      <w:r>
        <w:t>text = relative to the text column</w:t>
      </w:r>
    </w:p>
    <w:p w:rsidR="000A156F" w:rsidRDefault="00A9721F">
      <w:pPr>
        <w:pStyle w:val="ListParagraph"/>
        <w:numPr>
          <w:ilvl w:val="0"/>
          <w:numId w:val="173"/>
        </w:numPr>
        <w:contextualSpacing/>
      </w:pPr>
      <w:r>
        <w:t>char = relative to the location of the anchor for the object</w:t>
      </w:r>
    </w:p>
    <w:p w:rsidR="000A156F" w:rsidRDefault="00A9721F">
      <w:pPr>
        <w:pStyle w:val="ListParagraph"/>
        <w:numPr>
          <w:ilvl w:val="0"/>
          <w:numId w:val="173"/>
        </w:numPr>
        <w:contextualSpacing/>
      </w:pPr>
      <w:r>
        <w:t>left-margin = relative to the le</w:t>
      </w:r>
      <w:r>
        <w:t>ft margin</w:t>
      </w:r>
    </w:p>
    <w:p w:rsidR="000A156F" w:rsidRDefault="00A9721F">
      <w:pPr>
        <w:pStyle w:val="ListParagraph"/>
        <w:numPr>
          <w:ilvl w:val="0"/>
          <w:numId w:val="173"/>
        </w:numPr>
        <w:contextualSpacing/>
      </w:pPr>
      <w:r>
        <w:t>right-margin = relative to the right margin</w:t>
      </w:r>
    </w:p>
    <w:p w:rsidR="000A156F" w:rsidRDefault="00A9721F">
      <w:pPr>
        <w:pStyle w:val="ListParagraph"/>
        <w:numPr>
          <w:ilvl w:val="0"/>
          <w:numId w:val="173"/>
        </w:numPr>
        <w:contextualSpacing/>
      </w:pPr>
      <w:r>
        <w:t>inner-margin-area = relative to the inner margin (the right margin for odd-numbered pages, the left margin for even-numbered pages)</w:t>
      </w:r>
    </w:p>
    <w:p w:rsidR="000A156F" w:rsidRDefault="00A9721F">
      <w:pPr>
        <w:pStyle w:val="ListParagraph"/>
        <w:numPr>
          <w:ilvl w:val="0"/>
          <w:numId w:val="173"/>
        </w:numPr>
      </w:pPr>
      <w:r>
        <w:t xml:space="preserve">outer-margin-area = relative to the outer margin (the left margin for </w:t>
      </w:r>
      <w:r>
        <w:t>odd-numbered pages, the right margin for even-numbered pages)</w:t>
      </w:r>
    </w:p>
    <w:p w:rsidR="000A156F" w:rsidRDefault="00A9721F">
      <w:r>
        <w:rPr>
          <w:b/>
        </w:rPr>
        <w:t>mso-position-vertical</w:t>
      </w:r>
      <w:r>
        <w:t>: the relative vertical position of the object</w:t>
      </w:r>
    </w:p>
    <w:p w:rsidR="000A156F" w:rsidRDefault="00A9721F">
      <w:pPr>
        <w:pStyle w:val="ListParagraph"/>
        <w:numPr>
          <w:ilvl w:val="0"/>
          <w:numId w:val="174"/>
        </w:numPr>
        <w:contextualSpacing/>
      </w:pPr>
      <w:r>
        <w:t>absolute = an absolute measurement defined by margin-top</w:t>
      </w:r>
    </w:p>
    <w:p w:rsidR="000A156F" w:rsidRDefault="00A9721F">
      <w:pPr>
        <w:pStyle w:val="ListParagraph"/>
        <w:numPr>
          <w:ilvl w:val="0"/>
          <w:numId w:val="174"/>
        </w:numPr>
        <w:contextualSpacing/>
      </w:pPr>
      <w:r>
        <w:t>center = centered on the object in mso-position-vertical-relative; no</w:t>
      </w:r>
      <w:r>
        <w:t>t valid for value of "text"</w:t>
      </w:r>
    </w:p>
    <w:p w:rsidR="000A156F" w:rsidRDefault="00A9721F">
      <w:pPr>
        <w:pStyle w:val="ListParagraph"/>
        <w:numPr>
          <w:ilvl w:val="0"/>
          <w:numId w:val="174"/>
        </w:numPr>
        <w:contextualSpacing/>
      </w:pPr>
      <w:r>
        <w:t>bottom = at the bottom of the object in mso-position-vertical-relative; not valid for value of "text"</w:t>
      </w:r>
    </w:p>
    <w:p w:rsidR="000A156F" w:rsidRDefault="00A9721F">
      <w:pPr>
        <w:pStyle w:val="ListParagraph"/>
        <w:numPr>
          <w:ilvl w:val="0"/>
          <w:numId w:val="174"/>
        </w:numPr>
        <w:contextualSpacing/>
      </w:pPr>
      <w:r>
        <w:t>top = at the top of the object in mso-position-vertical-relative; not valid for value of "text"</w:t>
      </w:r>
    </w:p>
    <w:p w:rsidR="000A156F" w:rsidRDefault="00A9721F">
      <w:pPr>
        <w:pStyle w:val="ListParagraph"/>
        <w:numPr>
          <w:ilvl w:val="0"/>
          <w:numId w:val="174"/>
        </w:numPr>
        <w:contextualSpacing/>
      </w:pPr>
      <w:r>
        <w:t xml:space="preserve">inside = inside the object in </w:t>
      </w:r>
      <w:r>
        <w:t>mso-position-vertical-relative; not valid for value of "text"</w:t>
      </w:r>
    </w:p>
    <w:p w:rsidR="000A156F" w:rsidRDefault="00A9721F">
      <w:pPr>
        <w:pStyle w:val="ListParagraph"/>
        <w:numPr>
          <w:ilvl w:val="0"/>
          <w:numId w:val="174"/>
        </w:numPr>
      </w:pPr>
      <w:r>
        <w:t>outside = outside of the object in mso-position-vertical-relative; not valid for value of "text" </w:t>
      </w:r>
    </w:p>
    <w:p w:rsidR="000A156F" w:rsidRDefault="00A9721F">
      <w:r>
        <w:rPr>
          <w:b/>
        </w:rPr>
        <w:t>mso-position-vertical-relative</w:t>
      </w:r>
      <w:r>
        <w:t>: the basis of the relative vertical position of the object</w:t>
      </w:r>
    </w:p>
    <w:p w:rsidR="000A156F" w:rsidRDefault="00A9721F">
      <w:pPr>
        <w:pStyle w:val="ListParagraph"/>
        <w:numPr>
          <w:ilvl w:val="0"/>
          <w:numId w:val="175"/>
        </w:numPr>
        <w:contextualSpacing/>
      </w:pPr>
      <w:r>
        <w:t>margin</w:t>
      </w:r>
      <w:r>
        <w:t xml:space="preserve"> = relative to the leading margin</w:t>
      </w:r>
    </w:p>
    <w:p w:rsidR="000A156F" w:rsidRDefault="00A9721F">
      <w:pPr>
        <w:pStyle w:val="ListParagraph"/>
        <w:numPr>
          <w:ilvl w:val="0"/>
          <w:numId w:val="175"/>
        </w:numPr>
        <w:contextualSpacing/>
      </w:pPr>
      <w:r>
        <w:t>page = relative to page with the object's anchor</w:t>
      </w:r>
    </w:p>
    <w:p w:rsidR="000A156F" w:rsidRDefault="00A9721F">
      <w:pPr>
        <w:pStyle w:val="ListParagraph"/>
        <w:numPr>
          <w:ilvl w:val="0"/>
          <w:numId w:val="175"/>
        </w:numPr>
        <w:contextualSpacing/>
      </w:pPr>
      <w:r>
        <w:t>text = relative to the paragraph with the object's anchor</w:t>
      </w:r>
    </w:p>
    <w:p w:rsidR="000A156F" w:rsidRDefault="00A9721F">
      <w:pPr>
        <w:pStyle w:val="ListParagraph"/>
        <w:numPr>
          <w:ilvl w:val="0"/>
          <w:numId w:val="175"/>
        </w:numPr>
        <w:contextualSpacing/>
      </w:pPr>
      <w:r>
        <w:t>line = relative to the line with the anchor</w:t>
      </w:r>
    </w:p>
    <w:p w:rsidR="000A156F" w:rsidRDefault="00A9721F">
      <w:pPr>
        <w:pStyle w:val="ListParagraph"/>
        <w:numPr>
          <w:ilvl w:val="0"/>
          <w:numId w:val="175"/>
        </w:numPr>
        <w:contextualSpacing/>
      </w:pPr>
      <w:r>
        <w:t>top-margin = relative to the top margin</w:t>
      </w:r>
    </w:p>
    <w:p w:rsidR="000A156F" w:rsidRDefault="00A9721F">
      <w:pPr>
        <w:pStyle w:val="ListParagraph"/>
        <w:numPr>
          <w:ilvl w:val="0"/>
          <w:numId w:val="175"/>
        </w:numPr>
        <w:contextualSpacing/>
      </w:pPr>
      <w:r>
        <w:t>bottom-margin = relative to the</w:t>
      </w:r>
      <w:r>
        <w:t xml:space="preserve"> bottom margin</w:t>
      </w:r>
    </w:p>
    <w:p w:rsidR="000A156F" w:rsidRDefault="00A9721F">
      <w:pPr>
        <w:pStyle w:val="ListParagraph"/>
        <w:numPr>
          <w:ilvl w:val="0"/>
          <w:numId w:val="175"/>
        </w:numPr>
        <w:contextualSpacing/>
      </w:pPr>
      <w:r>
        <w:t>inner-margin-area = relative to the inner margin (the right margin for odd-numbered pages, the left margin for even-numbered pages)</w:t>
      </w:r>
    </w:p>
    <w:p w:rsidR="000A156F" w:rsidRDefault="00A9721F">
      <w:pPr>
        <w:pStyle w:val="ListParagraph"/>
        <w:numPr>
          <w:ilvl w:val="0"/>
          <w:numId w:val="175"/>
        </w:numPr>
      </w:pPr>
      <w:r>
        <w:t>outer-margin-area = relative to the outer margin (the left margin for odd-numbered pages, the right margin fo</w:t>
      </w:r>
      <w:r>
        <w:t>r even-numbered pages)</w:t>
      </w:r>
    </w:p>
    <w:p w:rsidR="000A156F" w:rsidRDefault="00A9721F">
      <w:r>
        <w:rPr>
          <w:b/>
        </w:rPr>
        <w:t>margin-left</w:t>
      </w:r>
      <w:r>
        <w:t>: the horizontal offset from the base position specified in mso-position-horizontal-relative. if 0, need to check mso-left-percent for a percentage value.</w:t>
      </w:r>
    </w:p>
    <w:p w:rsidR="000A156F" w:rsidRDefault="00A9721F">
      <w:r>
        <w:rPr>
          <w:b/>
        </w:rPr>
        <w:t>margin-top</w:t>
      </w:r>
      <w:r>
        <w:t>: the vertical offset from the base position specified in</w:t>
      </w:r>
      <w:r>
        <w:t xml:space="preserve"> mso-position-vertical-relative. if 0, need to check mso-top-percent for a percentage value.</w:t>
      </w:r>
    </w:p>
    <w:p w:rsidR="000A156F" w:rsidRDefault="00A9721F">
      <w:r>
        <w:rPr>
          <w:b/>
        </w:rPr>
        <w:t>mso-left-percent</w:t>
      </w:r>
      <w:r>
        <w:t>: a value in tenths of a percent (e.g. 250 = 25%) that specifies starting position relative to the axis specified in mso-position-horizontal-relati</w:t>
      </w:r>
      <w:r>
        <w:t>ve; not valid if that parameter has a value of "text" or "char"</w:t>
      </w:r>
    </w:p>
    <w:p w:rsidR="000A156F" w:rsidRDefault="00A9721F">
      <w:r>
        <w:rPr>
          <w:b/>
        </w:rPr>
        <w:lastRenderedPageBreak/>
        <w:t>mso-top-percent</w:t>
      </w:r>
      <w:r>
        <w:t xml:space="preserve">: a value in tenths of a percent (e.g. 250 = 25%) that specifies starting position relative to the axis specified in mso-position-vertical-relative; not valid if that parameter </w:t>
      </w:r>
      <w:r>
        <w:t>has a value of "text" or "line"</w:t>
      </w:r>
    </w:p>
    <w:p w:rsidR="000A156F" w:rsidRDefault="00A9721F">
      <w:pPr>
        <w:pStyle w:val="Heading3"/>
      </w:pPr>
      <w:bookmarkStart w:id="3639" w:name="section_caa8931e192d43fc8eefff9e2fe60991"/>
      <w:bookmarkStart w:id="3640" w:name="_Toc181684845"/>
      <w:r>
        <w:t>Part 4 Section 19.1.2.20, shapetype (Shape Template)</w:t>
      </w:r>
      <w:bookmarkEnd w:id="3639"/>
      <w:bookmarkEnd w:id="3640"/>
      <w:r>
        <w:fldChar w:fldCharType="begin"/>
      </w:r>
      <w:r>
        <w:instrText xml:space="preserve"> XE "shapetype (Shape Template)"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w:t>
        </w:r>
        <w:r>
          <w:rPr>
            <w:rStyle w:val="Hyperlink"/>
          </w:rPr>
          <w:t>1.2.3(d)</w:t>
        </w:r>
      </w:hyperlink>
      <w:r>
        <w:rPr>
          <w:i/>
        </w:rPr>
        <w:t xml:space="preserve">; </w:t>
      </w:r>
      <w:hyperlink w:anchor="Section_65100e2931e94e27972d9bf589fea5be">
        <w:r>
          <w:rPr>
            <w:rStyle w:val="Hyperlink"/>
          </w:rPr>
          <w:t>image, §19.1.2.10(b-f)</w:t>
        </w:r>
      </w:hyperlink>
      <w:r>
        <w:rPr>
          <w:i/>
        </w:rPr>
        <w:t>.</w:t>
      </w:r>
    </w:p>
    <w:p w:rsidR="000A156F" w:rsidRDefault="00A9721F">
      <w:pPr>
        <w:pStyle w:val="Definition-Field"/>
      </w:pPr>
      <w:r>
        <w:t xml:space="preserve">a.   </w:t>
      </w:r>
      <w:r>
        <w:rPr>
          <w:i/>
        </w:rPr>
        <w:t>The standard indicates how the master attribute is used.</w:t>
      </w:r>
    </w:p>
    <w:p w:rsidR="000A156F" w:rsidRDefault="00A9721F">
      <w:pPr>
        <w:pStyle w:val="Definition-Field2"/>
      </w:pPr>
      <w:r>
        <w:t>Office considers the presence and absence of this attribute to represent true and false values, r</w:t>
      </w:r>
      <w:r>
        <w:t>espectively.  If this attribute exists and is set to any value, including an empty string, Office considers it to be true.</w:t>
      </w:r>
    </w:p>
    <w:p w:rsidR="000A156F" w:rsidRDefault="00A9721F">
      <w:pPr>
        <w:pStyle w:val="Definition-Field"/>
      </w:pPr>
      <w:r>
        <w:t xml:space="preserve">b.   </w:t>
      </w:r>
      <w:r>
        <w:rPr>
          <w:i/>
        </w:rPr>
        <w:t>The standard states that chromakey and opacity are valid attributes on the shapetype element.</w:t>
      </w:r>
    </w:p>
    <w:p w:rsidR="000A156F" w:rsidRDefault="00A9721F">
      <w:pPr>
        <w:pStyle w:val="Definition-Field2"/>
      </w:pPr>
      <w:r>
        <w:t>Office does not support these attr</w:t>
      </w:r>
      <w:r>
        <w:t>ibutes on this element.</w:t>
      </w:r>
    </w:p>
    <w:p w:rsidR="000A156F" w:rsidRDefault="00A9721F">
      <w:pPr>
        <w:pStyle w:val="Heading3"/>
      </w:pPr>
      <w:bookmarkStart w:id="3641" w:name="section_b4f59c097c74432eb3f2501322e80f0c"/>
      <w:bookmarkStart w:id="3642" w:name="_Toc181684846"/>
      <w:r>
        <w:t>Part 4 Section 19.1.2.21, stroke (Line Stroke Settings)</w:t>
      </w:r>
      <w:bookmarkEnd w:id="3641"/>
      <w:bookmarkEnd w:id="3642"/>
      <w:r>
        <w:fldChar w:fldCharType="begin"/>
      </w:r>
      <w:r>
        <w:instrText xml:space="preserve"> XE "stroke (Line Stroke Settings)"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The standard indicates the endcap attribute is used for any path.</w:t>
      </w:r>
    </w:p>
    <w:p w:rsidR="000A156F" w:rsidRDefault="00A9721F">
      <w:pPr>
        <w:pStyle w:val="Definition-Field2"/>
      </w:pPr>
      <w:r>
        <w:t>Office requires that the shape's path is open for the endcap attribut</w:t>
      </w:r>
      <w:r>
        <w:t>e to work.</w:t>
      </w:r>
    </w:p>
    <w:p w:rsidR="000A156F" w:rsidRDefault="00A9721F">
      <w:pPr>
        <w:pStyle w:val="Definition-Field"/>
      </w:pPr>
      <w:r>
        <w:t xml:space="preserve">b.   </w:t>
      </w:r>
      <w:r>
        <w:rPr>
          <w:i/>
        </w:rPr>
        <w:t>The standard indicates how the althref attribute is used.</w:t>
      </w:r>
    </w:p>
    <w:p w:rsidR="000A156F" w:rsidRDefault="00A9721F">
      <w:pPr>
        <w:pStyle w:val="Definition-Field2"/>
      </w:pPr>
      <w:r>
        <w:t>Office does not persist the althref value on file save. The value of althref replaces the value of the src attribute on file save if the href attribute is not defined.</w:t>
      </w:r>
    </w:p>
    <w:p w:rsidR="000A156F" w:rsidRDefault="00A9721F">
      <w:pPr>
        <w:pStyle w:val="Definition-Field"/>
      </w:pPr>
      <w:r>
        <w:t xml:space="preserve">c.   </w:t>
      </w:r>
      <w:r>
        <w:rPr>
          <w:i/>
        </w:rPr>
        <w:t>The stand</w:t>
      </w:r>
      <w:r>
        <w:rPr>
          <w:i/>
        </w:rPr>
        <w:t>ard indicates how the href attribute is used.</w:t>
      </w:r>
    </w:p>
    <w:p w:rsidR="000A156F" w:rsidRDefault="00A9721F">
      <w:pPr>
        <w:pStyle w:val="Definition-Field2"/>
      </w:pPr>
      <w:r>
        <w:t>Office does not persist the href value on file save. The value of href replaces the value of the src attribute on file save if the href attribute is not defined.</w:t>
      </w:r>
    </w:p>
    <w:p w:rsidR="000A156F" w:rsidRDefault="00A9721F">
      <w:pPr>
        <w:pStyle w:val="Definition-Field"/>
      </w:pPr>
      <w:r>
        <w:t xml:space="preserve">d.   </w:t>
      </w:r>
      <w:r>
        <w:rPr>
          <w:i/>
        </w:rPr>
        <w:t>The standard does not specify bounds for th</w:t>
      </w:r>
      <w:r>
        <w:rPr>
          <w:i/>
        </w:rPr>
        <w:t>e miterlimit attribute.</w:t>
      </w:r>
    </w:p>
    <w:p w:rsidR="000A156F" w:rsidRDefault="00A9721F">
      <w:pPr>
        <w:pStyle w:val="Definition-Field2"/>
      </w:pPr>
      <w:r>
        <w:t>Office has a maximum allowed value of 32767 for the miterlimit attribute.</w:t>
      </w:r>
    </w:p>
    <w:p w:rsidR="000A156F" w:rsidRDefault="00A9721F">
      <w:pPr>
        <w:pStyle w:val="Definition-Field"/>
      </w:pPr>
      <w:r>
        <w:t xml:space="preserve">e.   </w:t>
      </w:r>
      <w:r>
        <w:rPr>
          <w:i/>
        </w:rPr>
        <w:t>The standard indicates how the src attribute is used.</w:t>
      </w:r>
    </w:p>
    <w:p w:rsidR="000A156F" w:rsidRDefault="00A9721F">
      <w:pPr>
        <w:pStyle w:val="Definition-Field2"/>
      </w:pPr>
      <w:r>
        <w:t xml:space="preserve">On file save, Office replaces the value of the src attribute with the value of the href attribute, </w:t>
      </w:r>
      <w:r>
        <w:t>if defined, or the althref attribute href is not defined.</w:t>
      </w:r>
    </w:p>
    <w:p w:rsidR="000A156F" w:rsidRDefault="00A9721F">
      <w:pPr>
        <w:pStyle w:val="Definition-Field"/>
      </w:pPr>
      <w:r>
        <w:t xml:space="preserve">f.   </w:t>
      </w:r>
      <w:r>
        <w:rPr>
          <w:i/>
        </w:rPr>
        <w:t>The standard does not specify bounds for the weight attribute.</w:t>
      </w:r>
    </w:p>
    <w:p w:rsidR="000A156F" w:rsidRDefault="00A9721F">
      <w:pPr>
        <w:pStyle w:val="Definition-Field2"/>
      </w:pPr>
      <w:r>
        <w:t>In Office, the minimum value is zero and the maximum value is 20116800 EMU for the weight attribute.</w:t>
      </w:r>
    </w:p>
    <w:p w:rsidR="000A156F" w:rsidRDefault="00A9721F">
      <w:pPr>
        <w:pStyle w:val="Definition-Field"/>
      </w:pPr>
      <w:r>
        <w:t xml:space="preserve">g.   </w:t>
      </w:r>
      <w:r>
        <w:rPr>
          <w:i/>
        </w:rPr>
        <w:t>The standard states that</w:t>
      </w:r>
      <w:r>
        <w:rPr>
          <w:i/>
        </w:rPr>
        <w:t xml:space="preserve"> the values of the filltype attribute are defined by the ST_FillType simple type.</w:t>
      </w:r>
    </w:p>
    <w:p w:rsidR="000A156F" w:rsidRDefault="00A9721F">
      <w:pPr>
        <w:pStyle w:val="Definition-Field2"/>
      </w:pPr>
      <w:r>
        <w:t>Office does not support the values of gradient or gradientRadial.</w:t>
      </w:r>
    </w:p>
    <w:p w:rsidR="000A156F" w:rsidRDefault="00A9721F">
      <w:pPr>
        <w:pStyle w:val="Definition-Field"/>
      </w:pPr>
      <w:r>
        <w:t xml:space="preserve">h.   </w:t>
      </w:r>
      <w:r>
        <w:rPr>
          <w:i/>
        </w:rPr>
        <w:t>The standard indicates that the default value for the weight attribute is 1 pt.</w:t>
      </w:r>
    </w:p>
    <w:p w:rsidR="000A156F" w:rsidRDefault="00A9721F">
      <w:pPr>
        <w:pStyle w:val="Definition-Field2"/>
      </w:pPr>
      <w:r>
        <w:lastRenderedPageBreak/>
        <w:t>Office uses a default v</w:t>
      </w:r>
      <w:r>
        <w:t>alue of 0.75 pt for the weight attribute.</w:t>
      </w:r>
    </w:p>
    <w:p w:rsidR="000A156F" w:rsidRDefault="00A9721F">
      <w:pPr>
        <w:pStyle w:val="Definition-Field"/>
      </w:pPr>
      <w:r>
        <w:t xml:space="preserve">i.   </w:t>
      </w:r>
      <w:r>
        <w:rPr>
          <w:i/>
        </w:rPr>
        <w:t>The standard indicates that relid is a valid attribute.</w:t>
      </w:r>
    </w:p>
    <w:p w:rsidR="000A156F" w:rsidRDefault="00A9721F">
      <w:pPr>
        <w:pStyle w:val="Definition-Field2"/>
      </w:pPr>
      <w:r>
        <w:t>Office does not support the relid attribute.</w:t>
      </w:r>
    </w:p>
    <w:p w:rsidR="000A156F" w:rsidRDefault="00A9721F">
      <w:pPr>
        <w:pStyle w:val="Definition-Field"/>
      </w:pPr>
      <w:r>
        <w:t xml:space="preserve">j.   </w:t>
      </w:r>
      <w:r>
        <w:rPr>
          <w:i/>
        </w:rPr>
        <w:t>The standard does not restrict the number of instances of the stroke element.</w:t>
      </w:r>
    </w:p>
    <w:p w:rsidR="000A156F" w:rsidRDefault="00A9721F">
      <w:pPr>
        <w:pStyle w:val="Definition-Field2"/>
      </w:pPr>
      <w:r>
        <w:t>Office allows at most onl</w:t>
      </w:r>
      <w:r>
        <w:t>y one instance of the stroke element in each place where it can be used.</w:t>
      </w:r>
    </w:p>
    <w:p w:rsidR="000A156F" w:rsidRDefault="00A9721F">
      <w:pPr>
        <w:pStyle w:val="Definition-Field"/>
      </w:pPr>
      <w:r>
        <w:t xml:space="preserve">k.   </w:t>
      </w:r>
      <w:r>
        <w:rPr>
          <w:i/>
        </w:rPr>
        <w:t>The standard states that values of the opacity attribute are defined by the XML Schema string datatype.</w:t>
      </w:r>
    </w:p>
    <w:p w:rsidR="000A156F" w:rsidRDefault="00A9721F">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0A156F" w:rsidRDefault="00A9721F">
      <w:pPr>
        <w:pStyle w:val="Definition-Field"/>
      </w:pPr>
      <w:r>
        <w:t xml:space="preserve">l.   </w:t>
      </w:r>
      <w:r>
        <w:rPr>
          <w:i/>
        </w:rPr>
        <w:t>The standard states that the values of the miterlimit attribute are defined by the XML Schema decimal datatype.</w:t>
      </w:r>
    </w:p>
    <w:p w:rsidR="000A156F" w:rsidRDefault="00A9721F">
      <w:pPr>
        <w:pStyle w:val="Definition-Field2"/>
      </w:pPr>
      <w:r>
        <w:t>Office defines the values of this attribute with t</w:t>
      </w:r>
      <w:r>
        <w:t>he ST_Fraction (§3.9.1, ST_Fraction) simple type.</w:t>
      </w:r>
    </w:p>
    <w:p w:rsidR="000A156F" w:rsidRDefault="00A9721F">
      <w:pPr>
        <w:pStyle w:val="Heading3"/>
      </w:pPr>
      <w:bookmarkStart w:id="3643" w:name="section_f88c8cefd1f442bfb2da6aa9f2dd128e"/>
      <w:bookmarkStart w:id="3644" w:name="_Toc181684847"/>
      <w:r>
        <w:t>Part 4 Section 19.1.2.22, textbox (Text Box)</w:t>
      </w:r>
      <w:bookmarkEnd w:id="3643"/>
      <w:bookmarkEnd w:id="3644"/>
      <w:r>
        <w:fldChar w:fldCharType="begin"/>
      </w:r>
      <w:r>
        <w:instrText xml:space="preserve"> XE "textbox (Text Box)"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The standard indicates that the only allow</w:t>
      </w:r>
      <w:r>
        <w:rPr>
          <w:i/>
        </w:rPr>
        <w:t>ed value for the mso-direction-alt property of the style attribute is context.</w:t>
      </w:r>
    </w:p>
    <w:p w:rsidR="000A156F" w:rsidRDefault="00A9721F">
      <w:pPr>
        <w:pStyle w:val="Definition-Field2"/>
      </w:pPr>
      <w:r>
        <w:t>Only Excel supports the mso-direction-alt property and it only supports the value auto.</w:t>
      </w:r>
    </w:p>
    <w:p w:rsidR="000A156F" w:rsidRDefault="00A9721F">
      <w:pPr>
        <w:pStyle w:val="Definition-Field"/>
      </w:pPr>
      <w:r>
        <w:t xml:space="preserve">b.   </w:t>
      </w:r>
      <w:r>
        <w:rPr>
          <w:i/>
        </w:rPr>
        <w:t>The standard indicates how the mso-next-textbox property of the style attribute is u</w:t>
      </w:r>
      <w:r>
        <w:rPr>
          <w:i/>
        </w:rPr>
        <w:t>sed.</w:t>
      </w:r>
    </w:p>
    <w:p w:rsidR="000A156F" w:rsidRDefault="00A9721F">
      <w:pPr>
        <w:pStyle w:val="Definition-Field2"/>
      </w:pPr>
      <w:r>
        <w:t>Only Word supports the mso-next-textbox property.</w:t>
      </w:r>
    </w:p>
    <w:p w:rsidR="000A156F" w:rsidRDefault="00A9721F">
      <w:pPr>
        <w:pStyle w:val="Definition-Field"/>
      </w:pPr>
      <w:r>
        <w:t xml:space="preserve">c.   </w:t>
      </w:r>
      <w:r>
        <w:rPr>
          <w:i/>
        </w:rPr>
        <w:t>The standard indicates that the only valid value for the mso-layout-flow-alt property of the style attribute is bottom-to-top.</w:t>
      </w:r>
    </w:p>
    <w:p w:rsidR="000A156F" w:rsidRDefault="00A9721F">
      <w:r>
        <w:t>In Office, the mso-layout-flow-alt property of the style attribute su</w:t>
      </w:r>
      <w:r>
        <w:t>pports the following additional property values:</w:t>
      </w:r>
    </w:p>
    <w:tbl>
      <w:tblPr>
        <w:tblStyle w:val="Table-ShadedHeader"/>
        <w:tblW w:w="0" w:type="auto"/>
        <w:tblLook w:val="04A0" w:firstRow="1" w:lastRow="0" w:firstColumn="1" w:lastColumn="0" w:noHBand="0" w:noVBand="1"/>
      </w:tblPr>
      <w:tblGrid>
        <w:gridCol w:w="1373"/>
        <w:gridCol w:w="810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Property</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mso-layout-flow-alt</w:t>
            </w:r>
          </w:p>
        </w:tc>
        <w:tc>
          <w:tcPr>
            <w:tcW w:w="0" w:type="auto"/>
            <w:vAlign w:val="center"/>
          </w:tcPr>
          <w:p w:rsidR="000A156F" w:rsidRDefault="00A9721F">
            <w:pPr>
              <w:pStyle w:val="TableBodyText"/>
            </w:pPr>
            <w:r>
              <w:t xml:space="preserve">This property is used for specifying vertical text direction instead of </w:t>
            </w:r>
            <w:r>
              <w:rPr>
                <w:i/>
              </w:rPr>
              <w:t xml:space="preserve">layout-flow </w:t>
            </w:r>
            <w:r>
              <w:t xml:space="preserve">when the layout flow is from bottom to top or from top to bottom for </w:t>
            </w:r>
            <w:r>
              <w:t>non-ideographic languages.  Allowed values are:</w:t>
            </w:r>
          </w:p>
          <w:p w:rsidR="000A156F" w:rsidRDefault="000A156F">
            <w:pPr>
              <w:pStyle w:val="TableBodyText"/>
            </w:pPr>
          </w:p>
          <w:p w:rsidR="000A156F" w:rsidRDefault="00A9721F">
            <w:pPr>
              <w:pStyle w:val="ListParagraph"/>
              <w:numPr>
                <w:ilvl w:val="0"/>
                <w:numId w:val="176"/>
              </w:numPr>
            </w:pPr>
            <w:r>
              <w:rPr>
                <w:i/>
              </w:rPr>
              <w:t>bottom-to-top</w:t>
            </w:r>
            <w:r>
              <w:t xml:space="preserve"> - Text is displayed</w:t>
            </w:r>
          </w:p>
          <w:p w:rsidR="000A156F" w:rsidRDefault="00A9721F">
            <w:pPr>
              <w:pStyle w:val="ListParagraph"/>
              <w:numPr>
                <w:ilvl w:val="0"/>
                <w:numId w:val="177"/>
              </w:numPr>
            </w:pPr>
            <w:r>
              <w:rPr>
                <w:i/>
              </w:rPr>
              <w:t>top-to-bottom</w:t>
            </w:r>
            <w:r>
              <w:t xml:space="preserve"> - Text is displayed</w:t>
            </w:r>
          </w:p>
          <w:p w:rsidR="000A156F" w:rsidRDefault="000A156F">
            <w:pPr>
              <w:pStyle w:val="TableBodyText"/>
            </w:pPr>
          </w:p>
          <w:p w:rsidR="000A156F" w:rsidRDefault="00A9721F">
            <w:pPr>
              <w:pStyle w:val="TableBodyText"/>
            </w:pPr>
            <w:r>
              <w:t xml:space="preserve">Excel interprets </w:t>
            </w:r>
            <w:r>
              <w:rPr>
                <w:i/>
              </w:rPr>
              <w:t>top-to-bottom</w:t>
            </w:r>
            <w:r>
              <w:t xml:space="preserve"> to indicate stacked text; this is handled in a different manner than in Word.</w:t>
            </w:r>
          </w:p>
          <w:p w:rsidR="000A156F" w:rsidRDefault="000A156F">
            <w:pPr>
              <w:pStyle w:val="TableBodyText"/>
            </w:pPr>
          </w:p>
          <w:p w:rsidR="000A156F" w:rsidRDefault="00A9721F">
            <w:pPr>
              <w:pStyle w:val="TableBodyText"/>
            </w:pPr>
            <w:r>
              <w:t xml:space="preserve">[Example: Text flowing from </w:t>
            </w:r>
            <w:r>
              <w:t>bottom to top:</w:t>
            </w:r>
          </w:p>
          <w:p w:rsidR="000A156F" w:rsidRDefault="000A156F">
            <w:pPr>
              <w:pStyle w:val="TableBodyText"/>
            </w:pPr>
          </w:p>
          <w:p w:rsidR="000A156F" w:rsidRDefault="00A9721F">
            <w:pPr>
              <w:pStyle w:val="TableBodyText"/>
            </w:pPr>
            <w:r>
              <w:t>&lt;v:textbox style="layout-flow:vertical;</w:t>
            </w:r>
          </w:p>
          <w:p w:rsidR="000A156F" w:rsidRDefault="00A9721F">
            <w:pPr>
              <w:pStyle w:val="TableBodyText"/>
            </w:pPr>
            <w:r>
              <w:t xml:space="preserve">  mso-layout-flow-alt:bottom-to-top"&gt;</w:t>
            </w:r>
          </w:p>
          <w:p w:rsidR="000A156F" w:rsidRDefault="000A156F">
            <w:pPr>
              <w:pStyle w:val="Code"/>
            </w:pPr>
          </w:p>
          <w:p w:rsidR="000A156F" w:rsidRDefault="00A9721F">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61"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0A156F" w:rsidRDefault="000A156F">
            <w:pPr>
              <w:pStyle w:val="TableBodyText"/>
            </w:pPr>
          </w:p>
          <w:p w:rsidR="000A156F" w:rsidRDefault="00A9721F">
            <w:pPr>
              <w:pStyle w:val="TableBodyText"/>
            </w:pPr>
            <w:r>
              <w:t>end example]</w:t>
            </w:r>
          </w:p>
          <w:p w:rsidR="000A156F" w:rsidRDefault="000A156F">
            <w:pPr>
              <w:pStyle w:val="TableBodyText"/>
            </w:pPr>
          </w:p>
          <w:p w:rsidR="000A156F" w:rsidRDefault="00A9721F">
            <w:pPr>
              <w:pStyle w:val="TableBodyText"/>
            </w:pPr>
            <w:r>
              <w:t>[Example: Text flowing from top to bottom:</w:t>
            </w:r>
          </w:p>
          <w:p w:rsidR="000A156F" w:rsidRDefault="000A156F">
            <w:pPr>
              <w:pStyle w:val="TableBodyText"/>
            </w:pPr>
          </w:p>
          <w:p w:rsidR="000A156F" w:rsidRDefault="00A9721F">
            <w:pPr>
              <w:pStyle w:val="TableBodyText"/>
            </w:pPr>
            <w:r>
              <w:t>&lt;v:textbox style="layout-flow:vertical;</w:t>
            </w:r>
          </w:p>
          <w:p w:rsidR="000A156F" w:rsidRDefault="00A9721F">
            <w:pPr>
              <w:pStyle w:val="TableBodyText"/>
            </w:pPr>
            <w:r>
              <w:t xml:space="preserve">  mso-layout-flow-alt:top-to-bottom"&gt;</w:t>
            </w:r>
          </w:p>
          <w:p w:rsidR="000A156F" w:rsidRDefault="000A156F">
            <w:pPr>
              <w:pStyle w:val="Code"/>
            </w:pPr>
          </w:p>
          <w:p w:rsidR="000A156F" w:rsidRDefault="00A9721F">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62"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0A156F" w:rsidRDefault="000A156F">
            <w:pPr>
              <w:pStyle w:val="TableBodyText"/>
            </w:pPr>
          </w:p>
          <w:p w:rsidR="000A156F" w:rsidRDefault="00A9721F">
            <w:pPr>
              <w:pStyle w:val="TableBodyText"/>
            </w:pPr>
            <w:r>
              <w:t>end example]</w:t>
            </w:r>
          </w:p>
          <w:p w:rsidR="000A156F" w:rsidRDefault="000A156F">
            <w:pPr>
              <w:pStyle w:val="TableBodyText"/>
            </w:pPr>
          </w:p>
          <w:p w:rsidR="000A156F" w:rsidRDefault="00A9721F">
            <w:pPr>
              <w:pStyle w:val="TableBodyText"/>
            </w:pPr>
            <w:r>
              <w:t>[Example: Text flowing from top to bottom in Excel:</w:t>
            </w:r>
          </w:p>
          <w:p w:rsidR="000A156F" w:rsidRDefault="000A156F">
            <w:pPr>
              <w:pStyle w:val="TableBodyText"/>
            </w:pPr>
          </w:p>
          <w:p w:rsidR="000A156F" w:rsidRDefault="00A9721F">
            <w:pPr>
              <w:pStyle w:val="TableBodyText"/>
            </w:pPr>
            <w:r>
              <w:t>&lt;v:textbox style="layout-flow:vertical;</w:t>
            </w:r>
          </w:p>
          <w:p w:rsidR="000A156F" w:rsidRDefault="00A9721F">
            <w:pPr>
              <w:pStyle w:val="TableBodyText"/>
            </w:pPr>
            <w:r>
              <w:t xml:space="preserve">  mso-layout-flow-alt:top-to-bottom"&gt;</w:t>
            </w:r>
          </w:p>
          <w:p w:rsidR="000A156F" w:rsidRDefault="000A156F">
            <w:pPr>
              <w:pStyle w:val="TableBodyText"/>
            </w:pPr>
          </w:p>
          <w:p w:rsidR="000A156F" w:rsidRDefault="00A9721F">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63"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0A156F" w:rsidRDefault="000A156F">
            <w:pPr>
              <w:pStyle w:val="TableBodyText"/>
            </w:pPr>
          </w:p>
          <w:p w:rsidR="000A156F" w:rsidRDefault="00A9721F">
            <w:pPr>
              <w:pStyle w:val="TableBodyText"/>
            </w:pPr>
            <w:r>
              <w:t>end example]</w:t>
            </w:r>
          </w:p>
          <w:p w:rsidR="000A156F" w:rsidRDefault="000A156F">
            <w:pPr>
              <w:pStyle w:val="TableBodyText"/>
            </w:pPr>
          </w:p>
          <w:p w:rsidR="000A156F" w:rsidRDefault="00A9721F">
            <w:pPr>
              <w:pStyle w:val="TableBodyText"/>
            </w:pPr>
            <w:r>
              <w:t>[Example: Text flowing vertically in Excel:</w:t>
            </w:r>
          </w:p>
          <w:p w:rsidR="000A156F" w:rsidRDefault="000A156F">
            <w:pPr>
              <w:pStyle w:val="TableBodyText"/>
            </w:pPr>
          </w:p>
          <w:p w:rsidR="000A156F" w:rsidRDefault="00A9721F">
            <w:pPr>
              <w:pStyle w:val="TableBodyText"/>
            </w:pPr>
            <w:r>
              <w:t>&lt;v:textbox style="layout-flow:vertical"&gt;</w:t>
            </w:r>
          </w:p>
          <w:p w:rsidR="000A156F" w:rsidRDefault="000A156F">
            <w:pPr>
              <w:pStyle w:val="Code"/>
            </w:pPr>
          </w:p>
          <w:p w:rsidR="000A156F" w:rsidRDefault="00A9721F">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64"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0A156F" w:rsidRDefault="000A156F">
            <w:pPr>
              <w:pStyle w:val="TableBodyText"/>
            </w:pPr>
          </w:p>
          <w:p w:rsidR="000A156F" w:rsidRDefault="00A9721F">
            <w:pPr>
              <w:pStyle w:val="TableBodyText"/>
            </w:pPr>
            <w:r>
              <w:t>end example]</w:t>
            </w:r>
          </w:p>
        </w:tc>
      </w:tr>
    </w:tbl>
    <w:p w:rsidR="000A156F" w:rsidRDefault="000A156F"/>
    <w:p w:rsidR="000A156F" w:rsidRDefault="00A9721F">
      <w:pPr>
        <w:pStyle w:val="Definition-Field"/>
      </w:pPr>
      <w:r>
        <w:lastRenderedPageBreak/>
        <w:t xml:space="preserve">d.   </w:t>
      </w:r>
      <w:r>
        <w:rPr>
          <w:i/>
        </w:rPr>
        <w:t>The standard indicates the values for the mso-rotate property of the style attribute.</w:t>
      </w:r>
    </w:p>
    <w:p w:rsidR="000A156F" w:rsidRDefault="00A9721F">
      <w:pPr>
        <w:pStyle w:val="Definition-Field2"/>
      </w:pPr>
      <w:r>
        <w:t>Office does not support the mso-rotate property and does not preserve the value -90 on file save.</w:t>
      </w:r>
    </w:p>
    <w:p w:rsidR="000A156F" w:rsidRDefault="00A9721F">
      <w:pPr>
        <w:pStyle w:val="Definition-Field"/>
      </w:pPr>
      <w:r>
        <w:t xml:space="preserve">e.   </w:t>
      </w:r>
      <w:r>
        <w:rPr>
          <w:i/>
        </w:rPr>
        <w:t xml:space="preserve">The standard indicates states that any element in the ##local </w:t>
      </w:r>
      <w:r>
        <w:rPr>
          <w:i/>
        </w:rPr>
        <w:t>namespace is a valid child of the textbox element without explaining how this is used.</w:t>
      </w:r>
    </w:p>
    <w:p w:rsidR="000A156F" w:rsidRDefault="00A9721F">
      <w:pPr>
        <w:pStyle w:val="Definition-Field2"/>
      </w:pPr>
      <w:r>
        <w:t>Excel writes text and text formatting as HTML within the textbox element.</w:t>
      </w:r>
    </w:p>
    <w:p w:rsidR="000A156F" w:rsidRDefault="00A9721F">
      <w:pPr>
        <w:pStyle w:val="Definition-Field"/>
      </w:pPr>
      <w:r>
        <w:t xml:space="preserve">f.   </w:t>
      </w:r>
      <w:r>
        <w:rPr>
          <w:i/>
        </w:rPr>
        <w:t>The standard indicates that the inset attribute is used if the value of insetmode attribut</w:t>
      </w:r>
      <w:r>
        <w:rPr>
          <w:i/>
        </w:rPr>
        <w:t>e is "custom".</w:t>
      </w:r>
    </w:p>
    <w:p w:rsidR="000A156F" w:rsidRDefault="00A9721F">
      <w:pPr>
        <w:pStyle w:val="Definition-Field2"/>
      </w:pPr>
      <w:r>
        <w:t>Excel uses the value of the insetmode attribute on the parent element to determine if the inset attribute is used.  Word always uses the inset attribute regardless of the value of the insetmode attribute.</w:t>
      </w:r>
    </w:p>
    <w:p w:rsidR="000A156F" w:rsidRDefault="00A9721F">
      <w:pPr>
        <w:pStyle w:val="Definition-Field"/>
      </w:pPr>
      <w:r>
        <w:t xml:space="preserve">g.   </w:t>
      </w:r>
      <w:r>
        <w:rPr>
          <w:i/>
        </w:rPr>
        <w:t xml:space="preserve">The standard indicates how the </w:t>
      </w:r>
      <w:r>
        <w:rPr>
          <w:i/>
        </w:rPr>
        <w:t>singleclick attribute is used.</w:t>
      </w:r>
    </w:p>
    <w:p w:rsidR="000A156F" w:rsidRDefault="00A9721F">
      <w:pPr>
        <w:pStyle w:val="Definition-Field2"/>
      </w:pPr>
      <w:r>
        <w:t>Office does not support the singleclick attribute.</w:t>
      </w:r>
    </w:p>
    <w:p w:rsidR="000A156F" w:rsidRDefault="00A9721F">
      <w:pPr>
        <w:pStyle w:val="Definition-Field"/>
      </w:pPr>
      <w:r>
        <w:t xml:space="preserve">h.   </w:t>
      </w:r>
      <w:r>
        <w:rPr>
          <w:i/>
        </w:rPr>
        <w:t>The standard implies that all properties on the style attribute apply to the textbox element.</w:t>
      </w:r>
    </w:p>
    <w:p w:rsidR="000A156F" w:rsidRDefault="00A9721F">
      <w:pPr>
        <w:pStyle w:val="Definition-Field2"/>
      </w:pPr>
      <w:r>
        <w:t>Office only supports the following properties on the textbox element:  dire</w:t>
      </w:r>
      <w:r>
        <w:t>ction, layout-flow, mso-direction-alt, mso-fit-shape-to-text, mso-fit-text-to-shape, mso-layout-flow-alt, mso-next-textbox, mso-rotate, mso-text-scale, and v-text-anchor.</w:t>
      </w:r>
    </w:p>
    <w:p w:rsidR="000A156F" w:rsidRDefault="00A9721F">
      <w:pPr>
        <w:pStyle w:val="Definition-Field"/>
      </w:pPr>
      <w:r>
        <w:t xml:space="preserve">i.   </w:t>
      </w:r>
      <w:r>
        <w:rPr>
          <w:i/>
        </w:rPr>
        <w:t>The standard states that insetmode is a valid attribute.</w:t>
      </w:r>
    </w:p>
    <w:p w:rsidR="000A156F" w:rsidRDefault="00A9721F">
      <w:pPr>
        <w:pStyle w:val="Definition-Field2"/>
      </w:pPr>
      <w:r>
        <w:t>Office does not support</w:t>
      </w:r>
      <w:r>
        <w:t xml:space="preserve"> this attribute.</w:t>
      </w:r>
    </w:p>
    <w:p w:rsidR="000A156F" w:rsidRDefault="00A9721F">
      <w:pPr>
        <w:pStyle w:val="Definition-Field"/>
      </w:pPr>
      <w:r>
        <w:t xml:space="preserve">j.   </w:t>
      </w:r>
      <w:r>
        <w:rPr>
          <w:i/>
        </w:rPr>
        <w:t>The standard does not restrict the number of instances of the textbox element.</w:t>
      </w:r>
    </w:p>
    <w:p w:rsidR="000A156F" w:rsidRDefault="00A9721F">
      <w:pPr>
        <w:pStyle w:val="Definition-Field2"/>
      </w:pPr>
      <w:r>
        <w:t>Office allows at most only one instance of the textbox element in each place where it can be used.</w:t>
      </w:r>
    </w:p>
    <w:p w:rsidR="000A156F" w:rsidRDefault="00A9721F">
      <w:pPr>
        <w:pStyle w:val="Definition-Field"/>
      </w:pPr>
      <w:r>
        <w:t xml:space="preserve">k.   </w:t>
      </w:r>
      <w:r>
        <w:rPr>
          <w:i/>
        </w:rPr>
        <w:t>The standard indicates how the mso-fit-text-to-shap</w:t>
      </w:r>
      <w:r>
        <w:rPr>
          <w:i/>
        </w:rPr>
        <w:t>e property of the style attribute is used.</w:t>
      </w:r>
    </w:p>
    <w:p w:rsidR="000A156F" w:rsidRDefault="00A9721F">
      <w:pPr>
        <w:pStyle w:val="Definition-Field2"/>
      </w:pPr>
      <w:r>
        <w:t>Office does not support the mso-fit-text-to-shape property.</w:t>
      </w:r>
    </w:p>
    <w:p w:rsidR="000A156F" w:rsidRDefault="00A9721F">
      <w:pPr>
        <w:pStyle w:val="Heading3"/>
      </w:pPr>
      <w:bookmarkStart w:id="3645" w:name="section_ed0509b6055043338266884ac10bb5ba"/>
      <w:bookmarkStart w:id="3646" w:name="_Toc181684848"/>
      <w:r>
        <w:t>Part 4 Section 19.1.2.23, textpath (Text Layout Path)</w:t>
      </w:r>
      <w:bookmarkEnd w:id="3645"/>
      <w:bookmarkEnd w:id="3646"/>
      <w:r>
        <w:fldChar w:fldCharType="begin"/>
      </w:r>
      <w:r>
        <w:instrText xml:space="preserve"> XE "textpath (Text Layout Path)"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r>
          <w:rPr>
            <w:rStyle w:val="Hyperlink"/>
          </w:rPr>
          <w:t>)</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The standard indicates that the default value for the v-text-align property of the style attribute is left.</w:t>
      </w:r>
    </w:p>
    <w:p w:rsidR="000A156F" w:rsidRDefault="00A9721F">
      <w:pPr>
        <w:pStyle w:val="Definition-Field2"/>
      </w:pPr>
      <w:r>
        <w:t>Office uses a default value of center for the v-text-ali</w:t>
      </w:r>
      <w:r>
        <w:t>gn property of the style attribute.</w:t>
      </w:r>
    </w:p>
    <w:p w:rsidR="000A156F" w:rsidRDefault="00A9721F">
      <w:pPr>
        <w:pStyle w:val="Definition-Field"/>
      </w:pPr>
      <w:r>
        <w:t xml:space="preserve">b.   </w:t>
      </w:r>
      <w:r>
        <w:rPr>
          <w:i/>
        </w:rPr>
        <w:t>The standard implies that all properties on the style attribute apply to the textpath element.</w:t>
      </w:r>
    </w:p>
    <w:p w:rsidR="000A156F" w:rsidRDefault="00A9721F">
      <w:r>
        <w:t>Office only supports the following properties on the textbox element:  font, font-family, font-size, font-style, font-va</w:t>
      </w:r>
      <w:r>
        <w:t>riant, font-weight, mso-text-shadow, text-direction, v-rotate-letters, v-same-letter-heights, v-text-align, v-text-kern, v-text-reverse, v-text-spacing-mode, and v-text-spacing</w:t>
      </w:r>
      <w:r>
        <w:rPr>
          <w:i/>
        </w:rPr>
        <w:t>.</w:t>
      </w:r>
    </w:p>
    <w:p w:rsidR="000A156F" w:rsidRDefault="00A9721F">
      <w:pPr>
        <w:pStyle w:val="Definition-Field"/>
      </w:pPr>
      <w:r>
        <w:t xml:space="preserve">c.   </w:t>
      </w:r>
      <w:r>
        <w:rPr>
          <w:i/>
        </w:rPr>
        <w:t xml:space="preserve">The standard indicates that the default value for the mso-text-shadow </w:t>
      </w:r>
      <w:r>
        <w:rPr>
          <w:i/>
        </w:rPr>
        <w:t>property of the style attribute is false.</w:t>
      </w:r>
    </w:p>
    <w:p w:rsidR="000A156F" w:rsidRDefault="00A9721F">
      <w:pPr>
        <w:pStyle w:val="Definition-Field2"/>
      </w:pPr>
      <w:r>
        <w:t>Office uses a default value of none for the mso-text-shadow property of the style attribute.</w:t>
      </w:r>
    </w:p>
    <w:p w:rsidR="000A156F" w:rsidRDefault="00A9721F">
      <w:pPr>
        <w:pStyle w:val="Definition-Field"/>
      </w:pPr>
      <w:r>
        <w:lastRenderedPageBreak/>
        <w:t xml:space="preserve">d.   </w:t>
      </w:r>
      <w:r>
        <w:rPr>
          <w:i/>
        </w:rPr>
        <w:t>The standard implies that changing the value of the font-size property of the style attribute changes the size of th</w:t>
      </w:r>
      <w:r>
        <w:rPr>
          <w:i/>
        </w:rPr>
        <w:t>e textpath.</w:t>
      </w:r>
    </w:p>
    <w:p w:rsidR="000A156F" w:rsidRDefault="00A9721F">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  If the value of </w:t>
      </w:r>
      <w:r>
        <w:rPr>
          <w:i/>
        </w:rPr>
        <w:t>font</w:t>
      </w:r>
      <w:r>
        <w:t xml:space="preserve">-size is increased, then the </w:t>
      </w:r>
      <w:r>
        <w:rPr>
          <w:i/>
        </w:rPr>
        <w:t>width</w:t>
      </w:r>
      <w:r>
        <w:t xml:space="preserve"> and </w:t>
      </w:r>
      <w:r>
        <w:rPr>
          <w:i/>
        </w:rPr>
        <w:t>height</w:t>
      </w:r>
      <w:r>
        <w:t xml:space="preserve"> on the parent shape are also requir</w:t>
      </w:r>
      <w:r>
        <w:t xml:space="preserve">ed to be increased to accommodate the larger </w:t>
      </w:r>
      <w:r>
        <w:rPr>
          <w:i/>
        </w:rPr>
        <w:t>font</w:t>
      </w:r>
      <w:r>
        <w:t>-size value.</w:t>
      </w:r>
    </w:p>
    <w:p w:rsidR="000A156F" w:rsidRDefault="00A9721F">
      <w:pPr>
        <w:pStyle w:val="Definition-Field"/>
      </w:pPr>
      <w:r>
        <w:t xml:space="preserve">e.   </w:t>
      </w:r>
      <w:r>
        <w:rPr>
          <w:i/>
        </w:rPr>
        <w:t>The standard indicates how the text-decoration property of the style attribute is used.</w:t>
      </w:r>
    </w:p>
    <w:p w:rsidR="000A156F" w:rsidRDefault="00A9721F">
      <w:pPr>
        <w:pStyle w:val="Definition-Field2"/>
      </w:pPr>
      <w:r>
        <w:t>Office does not support the text-decoration property, but does preserve its value on file save.</w:t>
      </w:r>
    </w:p>
    <w:p w:rsidR="000A156F" w:rsidRDefault="00A9721F">
      <w:pPr>
        <w:pStyle w:val="Definition-Field"/>
      </w:pPr>
      <w:r>
        <w:t xml:space="preserve">f.   </w:t>
      </w:r>
      <w:r>
        <w:rPr>
          <w:i/>
        </w:rPr>
        <w:t>The standard indicates how the font-variant property of the style attribute is used.</w:t>
      </w:r>
    </w:p>
    <w:p w:rsidR="000A156F" w:rsidRDefault="00A9721F">
      <w:pPr>
        <w:pStyle w:val="Definition-Field2"/>
      </w:pPr>
      <w:r>
        <w:t>Office does not support the font-variant property, but does preserve its value on file save.</w:t>
      </w:r>
    </w:p>
    <w:p w:rsidR="000A156F" w:rsidRDefault="00A9721F">
      <w:pPr>
        <w:pStyle w:val="Definition-Field"/>
      </w:pPr>
      <w:r>
        <w:t xml:space="preserve">g.   </w:t>
      </w:r>
      <w:r>
        <w:rPr>
          <w:i/>
        </w:rPr>
        <w:t>The standard indicates that the default value for the v-text-spacing prop</w:t>
      </w:r>
      <w:r>
        <w:rPr>
          <w:i/>
        </w:rPr>
        <w:t>erty of the style attribute is 100.</w:t>
      </w:r>
    </w:p>
    <w:p w:rsidR="000A156F" w:rsidRDefault="00A9721F">
      <w:pPr>
        <w:pStyle w:val="Definition-Field2"/>
      </w:pPr>
      <w:r>
        <w:t>Office uses a default value of 1 or the v-text-spacing property of the style attribute.</w:t>
      </w:r>
    </w:p>
    <w:p w:rsidR="000A156F" w:rsidRDefault="00A9721F">
      <w:pPr>
        <w:pStyle w:val="Definition-Field"/>
      </w:pPr>
      <w:r>
        <w:t xml:space="preserve">h.   </w:t>
      </w:r>
      <w:r>
        <w:rPr>
          <w:i/>
        </w:rPr>
        <w:t>The standard indicates that the default value for the v-text-spacing-mode property of the style attribute is tightening.</w:t>
      </w:r>
    </w:p>
    <w:p w:rsidR="000A156F" w:rsidRDefault="00A9721F">
      <w:pPr>
        <w:pStyle w:val="Definition-Field2"/>
      </w:pPr>
      <w:r>
        <w:t>Office</w:t>
      </w:r>
      <w:r>
        <w:t xml:space="preserve"> uses a default value of tracking for the v-text-spacing-mode property of the style attribute.</w:t>
      </w:r>
    </w:p>
    <w:p w:rsidR="000A156F" w:rsidRDefault="00A9721F">
      <w:pPr>
        <w:pStyle w:val="Definition-Field"/>
      </w:pPr>
      <w:r>
        <w:t xml:space="preserve">i.   </w:t>
      </w:r>
      <w:r>
        <w:rPr>
          <w:i/>
        </w:rPr>
        <w:t>The standard does not restrict the number of instances of the textpath element.</w:t>
      </w:r>
    </w:p>
    <w:p w:rsidR="000A156F" w:rsidRDefault="00A9721F">
      <w:pPr>
        <w:pStyle w:val="Definition-Field2"/>
      </w:pPr>
      <w:r>
        <w:t>Office allows at most only one instance of the textpath element in each plac</w:t>
      </w:r>
      <w:r>
        <w:t>e where it can be used.</w:t>
      </w:r>
    </w:p>
    <w:p w:rsidR="000A156F" w:rsidRDefault="00A9721F">
      <w:pPr>
        <w:pStyle w:val="Definition-Field"/>
      </w:pPr>
      <w:r>
        <w:t xml:space="preserve">j.   </w:t>
      </w:r>
      <w:r>
        <w:rPr>
          <w:i/>
        </w:rPr>
        <w:t>The standard implies the valid values for the mso-text-shadow property of the style attribute.</w:t>
      </w:r>
    </w:p>
    <w:p w:rsidR="000A156F" w:rsidRDefault="00A9721F">
      <w:pPr>
        <w:pStyle w:val="Definition-Field2"/>
      </w:pPr>
      <w:r>
        <w:t>Office supports the values auto and none for the mso-text-shadow property of the style attribute.</w:t>
      </w:r>
    </w:p>
    <w:p w:rsidR="000A156F" w:rsidRDefault="00A9721F">
      <w:pPr>
        <w:pStyle w:val="Definition-Field"/>
      </w:pPr>
      <w:r>
        <w:t xml:space="preserve">k.   </w:t>
      </w:r>
      <w:r>
        <w:rPr>
          <w:i/>
        </w:rPr>
        <w:t>The standard does not specify</w:t>
      </w:r>
      <w:r>
        <w:rPr>
          <w:i/>
        </w:rPr>
        <w:t xml:space="preserve"> bounds for the v-text-spacing property of the style attribute.</w:t>
      </w:r>
    </w:p>
    <w:p w:rsidR="000A156F" w:rsidRDefault="00A9721F">
      <w:pPr>
        <w:pStyle w:val="Definition-Field2"/>
      </w:pPr>
      <w:r>
        <w:t>Office supports a minimum value of 0 and a maximum value of 5.  A value larger than 1.0 means expanded spacing while a value less than 1.0 means condensed spacing.</w:t>
      </w:r>
    </w:p>
    <w:p w:rsidR="000A156F" w:rsidRDefault="00A9721F">
      <w:pPr>
        <w:pStyle w:val="Definition-Field"/>
      </w:pPr>
      <w:r>
        <w:t xml:space="preserve">l.   </w:t>
      </w:r>
      <w:r>
        <w:rPr>
          <w:i/>
        </w:rPr>
        <w:t>The standard implies th</w:t>
      </w:r>
      <w:r>
        <w:rPr>
          <w:i/>
        </w:rPr>
        <w:t>at the v-text-spacing property of the style attribute is specified using unitless numbers.</w:t>
      </w:r>
    </w:p>
    <w:p w:rsidR="000A156F" w:rsidRDefault="00A9721F">
      <w:r>
        <w:t>Office also supports specifying this property as a percentage in the range 0% through 500%.  This numeric value may also be specified in 1/65536-ths if a trailing "f</w:t>
      </w:r>
      <w:r>
        <w:t>" is supplied.  For example, a value of "52429f" represents 52429/65536 or 0.8.  Using this notation, the range of acceptable values is from 0f through 327680f.</w:t>
      </w:r>
    </w:p>
    <w:p w:rsidR="000A156F" w:rsidRDefault="00A9721F">
      <w:pPr>
        <w:pStyle w:val="Heading3"/>
      </w:pPr>
      <w:bookmarkStart w:id="3647" w:name="section_6b29c3deb279450da710a73c6dd0b1fa"/>
      <w:bookmarkStart w:id="3648" w:name="_Toc181684849"/>
      <w:r>
        <w:t>Part 4 Section 19.1.3.2, ST_Ext (VML Extension Handling Behaviors)</w:t>
      </w:r>
      <w:bookmarkEnd w:id="3647"/>
      <w:bookmarkEnd w:id="3648"/>
      <w:r>
        <w:fldChar w:fldCharType="begin"/>
      </w:r>
      <w:r>
        <w:instrText xml:space="preserve"> XE "ST_Ext (VML Extension Ha</w:instrText>
      </w:r>
      <w:r>
        <w:instrText xml:space="preserve">ndling Behaviors)" </w:instrText>
      </w:r>
      <w:r>
        <w:fldChar w:fldCharType="end"/>
      </w:r>
    </w:p>
    <w:p w:rsidR="000A156F" w:rsidRDefault="00A9721F">
      <w:pPr>
        <w:pStyle w:val="Definition-Field"/>
      </w:pPr>
      <w:r>
        <w:t xml:space="preserve">a.   </w:t>
      </w:r>
      <w:r>
        <w:rPr>
          <w:i/>
        </w:rPr>
        <w:t>The standard indicates the valid values for the ST_Ext simple type.</w:t>
      </w:r>
    </w:p>
    <w:p w:rsidR="000A156F" w:rsidRDefault="00A9721F">
      <w:r>
        <w:t xml:space="preserve">In Office, the following elements support only the </w:t>
      </w:r>
      <w:r>
        <w:rPr>
          <w:i/>
        </w:rPr>
        <w:t>View</w:t>
      </w:r>
      <w:r>
        <w:t xml:space="preserve"> value:</w:t>
      </w:r>
    </w:p>
    <w:p w:rsidR="000A156F" w:rsidRDefault="00A9721F">
      <w:pPr>
        <w:pStyle w:val="ListParagraph"/>
        <w:numPr>
          <w:ilvl w:val="0"/>
          <w:numId w:val="178"/>
        </w:numPr>
        <w:contextualSpacing/>
      </w:pPr>
      <w:r>
        <w:rPr>
          <w:b/>
        </w:rPr>
        <w:t>top</w:t>
      </w:r>
      <w:r>
        <w:t xml:space="preserve"> ("</w:t>
      </w:r>
      <w:hyperlink r:id="rId265">
        <w:r>
          <w:rPr>
            <w:rStyle w:val="Hyperlink"/>
          </w:rPr>
          <w:t>[ISO/IEC-29500-4]</w:t>
        </w:r>
      </w:hyperlink>
      <w:r>
        <w:t xml:space="preserve"> §19.2.2.</w:t>
      </w:r>
      <w:r>
        <w:t>32; top (Text Box Top Stroke)")</w:t>
      </w:r>
    </w:p>
    <w:p w:rsidR="000A156F" w:rsidRDefault="00A9721F">
      <w:pPr>
        <w:pStyle w:val="ListParagraph"/>
        <w:numPr>
          <w:ilvl w:val="0"/>
          <w:numId w:val="178"/>
        </w:numPr>
        <w:contextualSpacing/>
      </w:pPr>
      <w:r>
        <w:rPr>
          <w:b/>
        </w:rPr>
        <w:t>bottom</w:t>
      </w:r>
      <w:r>
        <w:t xml:space="preserve"> ("[ISO/IEC-29500-4] §19.2.2.1; bottom (Text Box Bottom Stroke)") </w:t>
      </w:r>
    </w:p>
    <w:p w:rsidR="000A156F" w:rsidRDefault="00A9721F">
      <w:pPr>
        <w:pStyle w:val="ListParagraph"/>
        <w:numPr>
          <w:ilvl w:val="0"/>
          <w:numId w:val="178"/>
        </w:numPr>
        <w:contextualSpacing/>
      </w:pPr>
      <w:r>
        <w:rPr>
          <w:b/>
        </w:rPr>
        <w:t>left</w:t>
      </w:r>
      <w:r>
        <w:t xml:space="preserve"> ("[ISO/IEC-29500-4] §19.2.2.16; left (Text Box Left Stroke)")</w:t>
      </w:r>
    </w:p>
    <w:p w:rsidR="000A156F" w:rsidRDefault="00A9721F">
      <w:pPr>
        <w:pStyle w:val="ListParagraph"/>
        <w:numPr>
          <w:ilvl w:val="0"/>
          <w:numId w:val="178"/>
        </w:numPr>
        <w:contextualSpacing/>
      </w:pPr>
      <w:r>
        <w:rPr>
          <w:b/>
        </w:rPr>
        <w:t xml:space="preserve">right </w:t>
      </w:r>
      <w:r>
        <w:t xml:space="preserve">("[ISO/IEC-29500-4] §19.2.2.26; right (Text Box Right Stroke)")  </w:t>
      </w:r>
    </w:p>
    <w:p w:rsidR="000A156F" w:rsidRDefault="00A9721F">
      <w:pPr>
        <w:pStyle w:val="ListParagraph"/>
        <w:numPr>
          <w:ilvl w:val="0"/>
          <w:numId w:val="178"/>
        </w:numPr>
        <w:contextualSpacing/>
      </w:pPr>
      <w:r>
        <w:rPr>
          <w:b/>
        </w:rPr>
        <w:t>column</w:t>
      </w:r>
      <w:r>
        <w:t xml:space="preserve"> ("[IS</w:t>
      </w:r>
      <w:r>
        <w:t>O/IEC-29500-4] §19.2.2.6; column (Text Box Interior Stroke)")</w:t>
      </w:r>
    </w:p>
    <w:p w:rsidR="000A156F" w:rsidRDefault="00A9721F">
      <w:pPr>
        <w:pStyle w:val="ListParagraph"/>
        <w:numPr>
          <w:ilvl w:val="0"/>
          <w:numId w:val="178"/>
        </w:numPr>
        <w:contextualSpacing/>
      </w:pPr>
      <w:r>
        <w:rPr>
          <w:b/>
        </w:rPr>
        <w:t>complex</w:t>
      </w:r>
      <w:r>
        <w:t xml:space="preserve"> ("[ISO/IEC-29500-4] §19.2.2.7; complex (Complex)")</w:t>
      </w:r>
    </w:p>
    <w:p w:rsidR="000A156F" w:rsidRDefault="00A9721F">
      <w:pPr>
        <w:pStyle w:val="ListParagraph"/>
        <w:numPr>
          <w:ilvl w:val="0"/>
          <w:numId w:val="178"/>
        </w:numPr>
        <w:contextualSpacing/>
      </w:pPr>
      <w:r>
        <w:rPr>
          <w:b/>
        </w:rPr>
        <w:t>extrusion</w:t>
      </w:r>
      <w:r>
        <w:t xml:space="preserve"> ("[ISO/IEC-29500-4] §19.2.2.11; extrusion (3D Extrusion)")</w:t>
      </w:r>
    </w:p>
    <w:p w:rsidR="000A156F" w:rsidRDefault="00A9721F">
      <w:pPr>
        <w:pStyle w:val="ListParagraph"/>
        <w:numPr>
          <w:ilvl w:val="0"/>
          <w:numId w:val="178"/>
        </w:numPr>
        <w:contextualSpacing/>
      </w:pPr>
      <w:r>
        <w:rPr>
          <w:b/>
        </w:rPr>
        <w:t>fill</w:t>
      </w:r>
      <w:r>
        <w:t xml:space="preserve"> ("[ISO/IEC-29500-4]</w:t>
      </w:r>
      <w:r>
        <w:t xml:space="preserve"> §19.2.2.13; fill (Shape Fill Extended Properties)")</w:t>
      </w:r>
    </w:p>
    <w:p w:rsidR="000A156F" w:rsidRDefault="00A9721F">
      <w:pPr>
        <w:pStyle w:val="ListParagraph"/>
        <w:numPr>
          <w:ilvl w:val="0"/>
          <w:numId w:val="178"/>
        </w:numPr>
      </w:pPr>
      <w:r>
        <w:rPr>
          <w:b/>
        </w:rPr>
        <w:lastRenderedPageBreak/>
        <w:t>skew</w:t>
      </w:r>
      <w:r>
        <w:t xml:space="preserve"> ("[ISO/IEC-29500-4] §19.2.2.31; skew (Skew Transform)")</w:t>
      </w:r>
    </w:p>
    <w:p w:rsidR="000A156F" w:rsidRDefault="00A9721F">
      <w:pPr>
        <w:pStyle w:val="Definition-Field"/>
      </w:pPr>
      <w:r>
        <w:t xml:space="preserve">b.   </w:t>
      </w:r>
      <w:r>
        <w:rPr>
          <w:i/>
        </w:rPr>
        <w:t>The standard indicates the valid values for the ST_Ext simple type.</w:t>
      </w:r>
    </w:p>
    <w:p w:rsidR="000A156F" w:rsidRDefault="00A9721F">
      <w:r>
        <w:t xml:space="preserve">In Office, the following elements support only the </w:t>
      </w:r>
      <w:r>
        <w:rPr>
          <w:i/>
        </w:rPr>
        <w:t>Edit</w:t>
      </w:r>
      <w:r>
        <w:t xml:space="preserve"> value:</w:t>
      </w:r>
    </w:p>
    <w:p w:rsidR="000A156F" w:rsidRDefault="00A9721F">
      <w:pPr>
        <w:pStyle w:val="ListParagraph"/>
        <w:numPr>
          <w:ilvl w:val="0"/>
          <w:numId w:val="179"/>
        </w:numPr>
        <w:contextualSpacing/>
      </w:pPr>
      <w:r>
        <w:rPr>
          <w:b/>
        </w:rPr>
        <w:t>callou</w:t>
      </w:r>
      <w:r>
        <w:rPr>
          <w:b/>
        </w:rPr>
        <w:t>t</w:t>
      </w:r>
      <w:r>
        <w:t xml:space="preserve"> ("[ISO/IEC-29500-4] §19.2.2.2; callout (Callout)")</w:t>
      </w:r>
    </w:p>
    <w:p w:rsidR="000A156F" w:rsidRDefault="00A9721F">
      <w:pPr>
        <w:pStyle w:val="ListParagraph"/>
        <w:numPr>
          <w:ilvl w:val="0"/>
          <w:numId w:val="179"/>
        </w:numPr>
        <w:contextualSpacing/>
      </w:pPr>
      <w:r>
        <w:rPr>
          <w:b/>
        </w:rPr>
        <w:t>colormenu</w:t>
      </w:r>
      <w:r>
        <w:t xml:space="preserve"> ("[ISO/IEC-29500-4] §19.2.2.4; colormenu (UI Default Colors)")</w:t>
      </w:r>
    </w:p>
    <w:p w:rsidR="000A156F" w:rsidRDefault="00A9721F">
      <w:pPr>
        <w:pStyle w:val="ListParagraph"/>
        <w:numPr>
          <w:ilvl w:val="0"/>
          <w:numId w:val="179"/>
        </w:numPr>
        <w:contextualSpacing/>
      </w:pPr>
      <w:r>
        <w:rPr>
          <w:b/>
        </w:rPr>
        <w:t>colormru</w:t>
      </w:r>
      <w:r>
        <w:t xml:space="preserve"> ("[ISO/IEC-29500-4] §19.2.2.5; colormru (Most Recently Used Colors)")</w:t>
      </w:r>
    </w:p>
    <w:p w:rsidR="000A156F" w:rsidRDefault="00A9721F">
      <w:pPr>
        <w:pStyle w:val="ListParagraph"/>
        <w:numPr>
          <w:ilvl w:val="0"/>
          <w:numId w:val="179"/>
        </w:numPr>
        <w:contextualSpacing/>
      </w:pPr>
      <w:r>
        <w:rPr>
          <w:b/>
        </w:rPr>
        <w:t>diagram</w:t>
      </w:r>
      <w:r>
        <w:t xml:space="preserve"> ("[ISO/IEC-29500-4] §19.2.2.8; diagram (VML</w:t>
      </w:r>
      <w:r>
        <w:t xml:space="preserve"> Diagram)")</w:t>
      </w:r>
    </w:p>
    <w:p w:rsidR="000A156F" w:rsidRDefault="00A9721F">
      <w:pPr>
        <w:pStyle w:val="ListParagraph"/>
        <w:numPr>
          <w:ilvl w:val="0"/>
          <w:numId w:val="179"/>
        </w:numPr>
        <w:contextualSpacing/>
      </w:pPr>
      <w:r>
        <w:rPr>
          <w:b/>
        </w:rPr>
        <w:t>idmap</w:t>
      </w:r>
      <w:r>
        <w:t xml:space="preserve"> ("[ISO/IEC-29500-4] §19.2.2.14; idmap (Shape ID Map)")</w:t>
      </w:r>
    </w:p>
    <w:p w:rsidR="000A156F" w:rsidRDefault="00A9721F">
      <w:pPr>
        <w:pStyle w:val="ListParagraph"/>
        <w:numPr>
          <w:ilvl w:val="0"/>
          <w:numId w:val="179"/>
        </w:numPr>
        <w:contextualSpacing/>
      </w:pPr>
      <w:r>
        <w:rPr>
          <w:b/>
        </w:rPr>
        <w:t>lock</w:t>
      </w:r>
      <w:r>
        <w:t xml:space="preserve"> ("[ISO/IEC-29500-4] §19.2.2.18; lock (Shape Protections)")</w:t>
      </w:r>
    </w:p>
    <w:p w:rsidR="000A156F" w:rsidRDefault="00A9721F">
      <w:pPr>
        <w:pStyle w:val="ListParagraph"/>
        <w:numPr>
          <w:ilvl w:val="0"/>
          <w:numId w:val="179"/>
        </w:numPr>
        <w:contextualSpacing/>
      </w:pPr>
      <w:r>
        <w:rPr>
          <w:b/>
        </w:rPr>
        <w:t>regrouptable</w:t>
      </w:r>
      <w:r>
        <w:t xml:space="preserve"> ("[ISO/IEC-29500-4] §19.2.2.23; regrouptable (Shape Grouping History)")</w:t>
      </w:r>
    </w:p>
    <w:p w:rsidR="000A156F" w:rsidRDefault="00A9721F">
      <w:pPr>
        <w:pStyle w:val="ListParagraph"/>
        <w:numPr>
          <w:ilvl w:val="0"/>
          <w:numId w:val="179"/>
        </w:numPr>
        <w:contextualSpacing/>
      </w:pPr>
      <w:r>
        <w:rPr>
          <w:b/>
        </w:rPr>
        <w:t>rel</w:t>
      </w:r>
      <w:r>
        <w:t xml:space="preserve"> ("[ISO/IEC-29500-4] §19.2.2.24</w:t>
      </w:r>
      <w:r>
        <w:t>; rel (Diagram Relationship)")</w:t>
      </w:r>
    </w:p>
    <w:p w:rsidR="000A156F" w:rsidRDefault="00A9721F">
      <w:pPr>
        <w:pStyle w:val="ListParagraph"/>
        <w:numPr>
          <w:ilvl w:val="0"/>
          <w:numId w:val="179"/>
        </w:numPr>
        <w:contextualSpacing/>
      </w:pPr>
      <w:r>
        <w:rPr>
          <w:b/>
        </w:rPr>
        <w:t>relationtable</w:t>
      </w:r>
      <w:r>
        <w:t xml:space="preserve"> ("[ISO/IEC-29500-4] §19.2.2.25; relationtable (Diagram Relationship Table)")</w:t>
      </w:r>
    </w:p>
    <w:p w:rsidR="000A156F" w:rsidRDefault="00A9721F">
      <w:pPr>
        <w:pStyle w:val="ListParagraph"/>
        <w:numPr>
          <w:ilvl w:val="0"/>
          <w:numId w:val="179"/>
        </w:numPr>
        <w:contextualSpacing/>
      </w:pPr>
      <w:r>
        <w:rPr>
          <w:b/>
        </w:rPr>
        <w:t>rules</w:t>
      </w:r>
      <w:r>
        <w:t xml:space="preserve"> ("[ISO/IEC-29500-4] §19.2.2.27; rules (Rule Set)")</w:t>
      </w:r>
    </w:p>
    <w:p w:rsidR="000A156F" w:rsidRDefault="00A9721F">
      <w:pPr>
        <w:pStyle w:val="ListParagraph"/>
        <w:numPr>
          <w:ilvl w:val="0"/>
          <w:numId w:val="179"/>
        </w:numPr>
        <w:contextualSpacing/>
      </w:pPr>
      <w:r>
        <w:rPr>
          <w:b/>
        </w:rPr>
        <w:t>shapedefaults</w:t>
      </w:r>
      <w:r>
        <w:t xml:space="preserve"> ("[ISO/IEC-29500-4]</w:t>
      </w:r>
      <w:r>
        <w:t xml:space="preserve"> §19.2.2.28; shapedefaults (New Shape Defaults)")</w:t>
      </w:r>
    </w:p>
    <w:p w:rsidR="000A156F" w:rsidRDefault="00A9721F">
      <w:pPr>
        <w:pStyle w:val="ListParagraph"/>
        <w:numPr>
          <w:ilvl w:val="0"/>
          <w:numId w:val="179"/>
        </w:numPr>
        <w:contextualSpacing/>
      </w:pPr>
      <w:r>
        <w:rPr>
          <w:b/>
        </w:rPr>
        <w:t>shapelayout</w:t>
      </w:r>
      <w:r>
        <w:t xml:space="preserve"> ("[ISO/IEC-29500-4] §19.2.2.29; shapelayout (Shape Layout Properties)")</w:t>
      </w:r>
    </w:p>
    <w:p w:rsidR="000A156F" w:rsidRDefault="00A9721F">
      <w:pPr>
        <w:pStyle w:val="ListParagraph"/>
        <w:numPr>
          <w:ilvl w:val="0"/>
          <w:numId w:val="179"/>
        </w:numPr>
      </w:pPr>
      <w:r>
        <w:rPr>
          <w:b/>
        </w:rPr>
        <w:t>signatureline</w:t>
      </w:r>
      <w:r>
        <w:t xml:space="preserve"> ("[ISO/IEC-29500-4] §19.2.2.30; signatureline (Digital Signature Line)")</w:t>
      </w:r>
    </w:p>
    <w:p w:rsidR="000A156F" w:rsidRDefault="00A9721F">
      <w:pPr>
        <w:pStyle w:val="Heading3"/>
      </w:pPr>
      <w:bookmarkStart w:id="3649" w:name="section_008cd8fe3ce04c7e8cfa41e93a741ff6"/>
      <w:bookmarkStart w:id="3650" w:name="_Toc181684850"/>
      <w:r>
        <w:t>Part 4 Section 19.1.3.3, ST_FillMet</w:t>
      </w:r>
      <w:r>
        <w:t>hod (Gradient Fill Computation Type)</w:t>
      </w:r>
      <w:bookmarkEnd w:id="3649"/>
      <w:bookmarkEnd w:id="3650"/>
      <w:r>
        <w:fldChar w:fldCharType="begin"/>
      </w:r>
      <w:r>
        <w:instrText xml:space="preserve"> XE "ST_FillMethod (Gradient Fill Computation Type)" </w:instrText>
      </w:r>
      <w:r>
        <w:fldChar w:fldCharType="end"/>
      </w:r>
    </w:p>
    <w:p w:rsidR="000A156F" w:rsidRDefault="00A9721F">
      <w:pPr>
        <w:pStyle w:val="Definition-Field"/>
      </w:pPr>
      <w:r>
        <w:t xml:space="preserve">a.   </w:t>
      </w:r>
      <w:r>
        <w:rPr>
          <w:i/>
        </w:rPr>
        <w:t>The standard indicates that the any value is an application default fill.</w:t>
      </w:r>
    </w:p>
    <w:p w:rsidR="000A156F" w:rsidRDefault="00A9721F">
      <w:pPr>
        <w:pStyle w:val="Definition-Field2"/>
      </w:pPr>
      <w:r>
        <w:t>Office uses linear sigma as its application default fill.</w:t>
      </w:r>
    </w:p>
    <w:p w:rsidR="000A156F" w:rsidRDefault="00A9721F">
      <w:pPr>
        <w:pStyle w:val="Heading3"/>
      </w:pPr>
      <w:bookmarkStart w:id="3651" w:name="section_171b0dbff49c41e19b891784a823b0d0"/>
      <w:bookmarkStart w:id="3652" w:name="_Toc181684851"/>
      <w:r>
        <w:t>Part 4 Section 19.1.3.4, ST</w:t>
      </w:r>
      <w:r>
        <w:t>_FillType (Shape Fill Type)</w:t>
      </w:r>
      <w:bookmarkEnd w:id="3651"/>
      <w:bookmarkEnd w:id="3652"/>
      <w:r>
        <w:fldChar w:fldCharType="begin"/>
      </w:r>
      <w:r>
        <w:instrText xml:space="preserve"> XE "ST_FillType (Shape Fill Type)" </w:instrText>
      </w:r>
      <w:r>
        <w:fldChar w:fldCharType="end"/>
      </w:r>
    </w:p>
    <w:p w:rsidR="000A156F" w:rsidRDefault="00A9721F">
      <w:pPr>
        <w:pStyle w:val="Definition-Field"/>
      </w:pPr>
      <w:r>
        <w:t xml:space="preserve">a.   </w:t>
      </w:r>
      <w:r>
        <w:rPr>
          <w:i/>
        </w:rPr>
        <w:t>The standard indicates how the pattern enumeration value is used.</w:t>
      </w:r>
    </w:p>
    <w:p w:rsidR="000A156F" w:rsidRDefault="00A9721F">
      <w:pPr>
        <w:pStyle w:val="Definition-Field2"/>
      </w:pPr>
      <w:r>
        <w:t>Office uses the fill colors but also tiles the fill image.</w:t>
      </w:r>
    </w:p>
    <w:p w:rsidR="000A156F" w:rsidRDefault="00A9721F">
      <w:pPr>
        <w:pStyle w:val="Heading3"/>
      </w:pPr>
      <w:bookmarkStart w:id="3653" w:name="section_43069065d5f54e959543824ed01466d3"/>
      <w:bookmarkStart w:id="3654" w:name="_Toc181684852"/>
      <w:r>
        <w:t>Part 4 Section 19.1.3.6, ST_ShadowType (Shadow Type)</w:t>
      </w:r>
      <w:bookmarkEnd w:id="3653"/>
      <w:bookmarkEnd w:id="3654"/>
      <w:r>
        <w:fldChar w:fldCharType="begin"/>
      </w:r>
      <w:r>
        <w:instrText xml:space="preserve"> XE "ST_</w:instrText>
      </w:r>
      <w:r>
        <w:instrText xml:space="preserve">ShadowType (Shadow Type)" </w:instrText>
      </w:r>
      <w:r>
        <w:fldChar w:fldCharType="end"/>
      </w:r>
    </w:p>
    <w:p w:rsidR="000A156F" w:rsidRDefault="00A9721F">
      <w:pPr>
        <w:pStyle w:val="Definition-Field"/>
      </w:pPr>
      <w:r>
        <w:t xml:space="preserve">a.   </w:t>
      </w:r>
      <w:r>
        <w:rPr>
          <w:i/>
        </w:rPr>
        <w:t>The standard lists four valid values for the ST_ShadowType simple type.</w:t>
      </w:r>
    </w:p>
    <w:p w:rsidR="000A156F" w:rsidRDefault="00A9721F">
      <w:r>
        <w:t xml:space="preserve">In addition to the four values specified by the standard, Office supports the following additional enumeration values for the ST_ShadowType simple </w:t>
      </w:r>
      <w:r>
        <w:t>type:</w:t>
      </w:r>
    </w:p>
    <w:tbl>
      <w:tblPr>
        <w:tblStyle w:val="Table-ShadedHeader"/>
        <w:tblW w:w="0" w:type="auto"/>
        <w:tblLook w:val="04A0" w:firstRow="1" w:lastRow="0" w:firstColumn="1" w:lastColumn="0" w:noHBand="0" w:noVBand="1"/>
      </w:tblPr>
      <w:tblGrid>
        <w:gridCol w:w="3253"/>
        <w:gridCol w:w="606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drawingRelative</w:t>
            </w:r>
            <w:r>
              <w:t xml:space="preserve"> (Drawing Shadow)</w:t>
            </w:r>
          </w:p>
        </w:tc>
        <w:tc>
          <w:tcPr>
            <w:tcW w:w="0" w:type="auto"/>
            <w:vAlign w:val="center"/>
          </w:tcPr>
          <w:p w:rsidR="000A156F" w:rsidRDefault="00A9721F">
            <w:pPr>
              <w:pStyle w:val="TableBodyText"/>
            </w:pPr>
            <w:r>
              <w:t>A perspective shadow is cast relative to the drawing space of the shape.</w:t>
            </w:r>
          </w:p>
        </w:tc>
      </w:tr>
      <w:tr w:rsidR="000A156F" w:rsidTr="000A156F">
        <w:tc>
          <w:tcPr>
            <w:tcW w:w="0" w:type="auto"/>
            <w:vAlign w:val="center"/>
          </w:tcPr>
          <w:p w:rsidR="000A156F" w:rsidRDefault="00A9721F">
            <w:pPr>
              <w:pStyle w:val="TableBodyText"/>
            </w:pPr>
            <w:r>
              <w:rPr>
                <w:b/>
              </w:rPr>
              <w:t>shapeRelative</w:t>
            </w:r>
            <w:r>
              <w:t xml:space="preserve"> (Shape Shadow)</w:t>
            </w:r>
          </w:p>
        </w:tc>
        <w:tc>
          <w:tcPr>
            <w:tcW w:w="0" w:type="auto"/>
            <w:vAlign w:val="center"/>
          </w:tcPr>
          <w:p w:rsidR="000A156F" w:rsidRDefault="00A9721F">
            <w:pPr>
              <w:pStyle w:val="TableBodyText"/>
            </w:pPr>
            <w:r>
              <w:t xml:space="preserve">A perspective shadow is cast and scaled relative to the shape. </w:t>
            </w:r>
          </w:p>
        </w:tc>
      </w:tr>
    </w:tbl>
    <w:p w:rsidR="000A156F" w:rsidRDefault="000A156F"/>
    <w:p w:rsidR="000A156F" w:rsidRDefault="00A9721F">
      <w:pPr>
        <w:pStyle w:val="Heading3"/>
      </w:pPr>
      <w:bookmarkStart w:id="3655" w:name="section_584b988653c243efa8577c5d7041a8db"/>
      <w:bookmarkStart w:id="3656" w:name="_Toc181684853"/>
      <w:r>
        <w:t>Part 4 Section 19</w:t>
      </w:r>
      <w:r>
        <w:t>.2.2.1, bottom (Text Box Bottom Stroke)</w:t>
      </w:r>
      <w:bookmarkEnd w:id="3655"/>
      <w:bookmarkEnd w:id="3656"/>
      <w:r>
        <w:fldChar w:fldCharType="begin"/>
      </w:r>
      <w:r>
        <w:instrText xml:space="preserve"> XE "bottom (Text Box Bottom Stroke)"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w:t>
        </w:r>
        <w:r>
          <w:rPr>
            <w:rStyle w:val="Hyperlink"/>
          </w:rPr>
          <w:t>.2.2(a)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rsidR="000A156F" w:rsidRDefault="00A9721F">
      <w:pPr>
        <w:pStyle w:val="Definition-Field"/>
      </w:pPr>
      <w:r>
        <w:t xml:space="preserve">a.   </w:t>
      </w:r>
      <w:r>
        <w:rPr>
          <w:i/>
        </w:rPr>
        <w:t>The standard indicates the conditions under which the bottom element i</w:t>
      </w:r>
      <w:r>
        <w:rPr>
          <w:i/>
        </w:rPr>
        <w:t>s displayed.</w:t>
      </w:r>
    </w:p>
    <w:p w:rsidR="000A156F" w:rsidRDefault="00A9721F">
      <w:r>
        <w:t>In Office, the bottom element will only be displayed if all of the following conditions are met:</w:t>
      </w:r>
    </w:p>
    <w:p w:rsidR="000A156F" w:rsidRDefault="00A9721F">
      <w:pPr>
        <w:pStyle w:val="ListParagraph"/>
        <w:numPr>
          <w:ilvl w:val="0"/>
          <w:numId w:val="180"/>
        </w:numPr>
        <w:contextualSpacing/>
      </w:pPr>
      <w:r>
        <w:t xml:space="preserve">The </w:t>
      </w:r>
      <w:r>
        <w:rPr>
          <w:b/>
        </w:rPr>
        <w:t>on</w:t>
      </w:r>
      <w:r>
        <w:t xml:space="preserve"> attribute is </w:t>
      </w:r>
      <w:r>
        <w:rPr>
          <w:i/>
        </w:rPr>
        <w:t>true</w:t>
      </w:r>
      <w:r>
        <w:t>.</w:t>
      </w:r>
    </w:p>
    <w:p w:rsidR="000A156F" w:rsidRDefault="00A9721F">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0A156F" w:rsidRDefault="00A9721F">
      <w:pPr>
        <w:pStyle w:val="ListParagraph"/>
        <w:numPr>
          <w:ilvl w:val="0"/>
          <w:numId w:val="18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66">
        <w:r>
          <w:rPr>
            <w:rStyle w:val="Hyperlink"/>
          </w:rPr>
          <w:t>[ISO/IEC-29500-4]</w:t>
        </w:r>
      </w:hyperlink>
      <w:r>
        <w:t xml:space="preserve"> §19.1.2.19; shape (Shape Definition)") satisfies this condition: </w:t>
      </w:r>
      <w:r>
        <w:rPr>
          <w:rStyle w:val="InlineCode"/>
        </w:rPr>
        <w:t>path="m,l,21600r21600,l21600,xe"</w:t>
      </w:r>
      <w:r>
        <w:t xml:space="preserve"> end example]</w:t>
      </w:r>
    </w:p>
    <w:p w:rsidR="000A156F" w:rsidRDefault="00A9721F">
      <w:pPr>
        <w:pStyle w:val="ListParagraph"/>
        <w:numPr>
          <w:ilvl w:val="0"/>
          <w:numId w:val="180"/>
        </w:numPr>
        <w:contextualSpacing/>
      </w:pPr>
      <w:r>
        <w:t xml:space="preserve">The value of </w:t>
      </w:r>
      <w:r>
        <w:t xml:space="preserve">the shape’s </w:t>
      </w:r>
      <w:r>
        <w:rPr>
          <w:b/>
        </w:rPr>
        <w:t>spt</w:t>
      </w:r>
      <w:r>
        <w:t xml:space="preserve"> attribute is </w:t>
      </w:r>
      <w:r>
        <w:rPr>
          <w:i/>
        </w:rPr>
        <w:t>202</w:t>
      </w:r>
      <w:r>
        <w:t>.</w:t>
      </w:r>
    </w:p>
    <w:p w:rsidR="000A156F" w:rsidRDefault="00A9721F">
      <w:pPr>
        <w:pStyle w:val="ListParagraph"/>
        <w:numPr>
          <w:ilvl w:val="0"/>
          <w:numId w:val="180"/>
        </w:numPr>
      </w:pPr>
      <w:r>
        <w:t>The shape is not stroked.</w:t>
      </w:r>
    </w:p>
    <w:p w:rsidR="000A156F" w:rsidRDefault="00A9721F">
      <w:r>
        <w:t>[Note: The shape is not stroked if one of the following conditions is true:</w:t>
      </w:r>
    </w:p>
    <w:p w:rsidR="000A156F" w:rsidRDefault="00A9721F">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w:t>
      </w:r>
      <w:r>
        <w:rPr>
          <w:i/>
        </w:rPr>
        <w:t>alse</w:t>
      </w:r>
      <w:r>
        <w:t>.</w:t>
      </w:r>
    </w:p>
    <w:p w:rsidR="000A156F" w:rsidRDefault="00A9721F">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A156F" w:rsidRDefault="00A9721F">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w:t>
      </w:r>
      <w:r>
        <w:rPr>
          <w:b/>
        </w:rPr>
        <w:t>e</w:t>
      </w:r>
      <w:r>
        <w:t xml:space="preserve"> element ("[ISO/IEC-29500-4] §19.1.2.20; shapetype (Shape Template)") is </w:t>
      </w:r>
      <w:r>
        <w:rPr>
          <w:i/>
        </w:rPr>
        <w:t>false</w:t>
      </w:r>
      <w:r>
        <w:t>.</w:t>
      </w:r>
    </w:p>
    <w:p w:rsidR="000A156F" w:rsidRDefault="00A9721F">
      <w:r>
        <w:t>end note]</w:t>
      </w:r>
    </w:p>
    <w:p w:rsidR="000A156F" w:rsidRDefault="00A9721F">
      <w:pPr>
        <w:pStyle w:val="Definition-Field"/>
      </w:pPr>
      <w:r>
        <w:t xml:space="preserve">b.   </w:t>
      </w:r>
      <w:r>
        <w:rPr>
          <w:i/>
        </w:rPr>
        <w:t>The standard indicates how the src attribute is used.</w:t>
      </w:r>
    </w:p>
    <w:p w:rsidR="000A156F" w:rsidRDefault="00A9721F">
      <w:pPr>
        <w:pStyle w:val="Definition-Field2"/>
      </w:pPr>
      <w:r>
        <w:t>Office replaces the value of the src attribute with the value of the href attribute, if defined, or the al</w:t>
      </w:r>
      <w:r>
        <w:t>thref attribute if href is not defined.</w:t>
      </w:r>
    </w:p>
    <w:p w:rsidR="000A156F" w:rsidRDefault="00A9721F">
      <w:pPr>
        <w:pStyle w:val="Definition-Field"/>
      </w:pPr>
      <w:r>
        <w:t xml:space="preserve">c.   </w:t>
      </w:r>
      <w:r>
        <w:rPr>
          <w:i/>
        </w:rPr>
        <w:t>The standard indicates in the on attribute the conditions under which the bottom element is displayed.</w:t>
      </w:r>
    </w:p>
    <w:p w:rsidR="000A156F" w:rsidRDefault="00A9721F">
      <w:pPr>
        <w:pStyle w:val="Definition-Field2"/>
      </w:pPr>
      <w:r>
        <w:t>In Office the bottom element is only displayed if the on attribute is true, if the shape's path is closed wi</w:t>
      </w:r>
      <w:r>
        <w:t>th the x command, and the shape is not stroked.</w:t>
      </w:r>
    </w:p>
    <w:p w:rsidR="000A156F" w:rsidRDefault="00A9721F">
      <w:pPr>
        <w:pStyle w:val="Definition-Field"/>
      </w:pPr>
      <w:r>
        <w:t xml:space="preserve">d.   </w:t>
      </w:r>
      <w:r>
        <w:rPr>
          <w:i/>
        </w:rPr>
        <w:t>The standard indicates how the href attribute is used.</w:t>
      </w:r>
    </w:p>
    <w:p w:rsidR="000A156F" w:rsidRDefault="00A9721F">
      <w:pPr>
        <w:pStyle w:val="Definition-Field2"/>
      </w:pPr>
      <w:r>
        <w:t>Office does not persist this value on file save.  The href attribute value replaces the value of the src attribute on file save.</w:t>
      </w:r>
    </w:p>
    <w:p w:rsidR="000A156F" w:rsidRDefault="00A9721F">
      <w:pPr>
        <w:pStyle w:val="Definition-Field"/>
      </w:pPr>
      <w:r>
        <w:t xml:space="preserve">e.   </w:t>
      </w:r>
      <w:r>
        <w:rPr>
          <w:i/>
        </w:rPr>
        <w:t>The standard i</w:t>
      </w:r>
      <w:r>
        <w:rPr>
          <w:i/>
        </w:rPr>
        <w:t>ndicates how the althref attribute is used.</w:t>
      </w:r>
    </w:p>
    <w:p w:rsidR="000A156F" w:rsidRDefault="00A9721F">
      <w:pPr>
        <w:pStyle w:val="Definition-Field2"/>
      </w:pPr>
      <w:r>
        <w:t>Office does not persist the althref value on file save.  The althref attribute value replaces the value of the src attribute on file save if the href attribute is not defined.</w:t>
      </w:r>
    </w:p>
    <w:p w:rsidR="000A156F" w:rsidRDefault="00A9721F">
      <w:pPr>
        <w:pStyle w:val="Definition-Field"/>
      </w:pPr>
      <w:r>
        <w:t xml:space="preserve">f.   </w:t>
      </w:r>
      <w:r>
        <w:rPr>
          <w:i/>
        </w:rPr>
        <w:t>The standard states that imagea</w:t>
      </w:r>
      <w:r>
        <w:rPr>
          <w:i/>
        </w:rPr>
        <w:t>spect is a valid attribute on this element.</w:t>
      </w:r>
    </w:p>
    <w:p w:rsidR="000A156F" w:rsidRDefault="00A9721F">
      <w:pPr>
        <w:pStyle w:val="Definition-Field2"/>
      </w:pPr>
      <w:r>
        <w:t>Office does not support this attribute on this element; if a value other than ignore is specified, a value of 0,0 will be applied to the imagesize attribute.</w:t>
      </w:r>
    </w:p>
    <w:p w:rsidR="000A156F" w:rsidRDefault="00A9721F">
      <w:pPr>
        <w:pStyle w:val="Definition-Field"/>
      </w:pPr>
      <w:r>
        <w:t xml:space="preserve">g.   </w:t>
      </w:r>
      <w:r>
        <w:rPr>
          <w:i/>
        </w:rPr>
        <w:t>The standard indicates how the imagesize attribut</w:t>
      </w:r>
      <w:r>
        <w:rPr>
          <w:i/>
        </w:rPr>
        <w:t>e is used.</w:t>
      </w:r>
    </w:p>
    <w:p w:rsidR="000A156F" w:rsidRDefault="00A9721F">
      <w:r>
        <w:t>This attribute is specified as a string of two numbers separated by a space, colon, semicolon or comma.  The valid unit ranges for the numbers are defined in section 6.1.  If these limits are not respected, Office writes a value of “0,0” on file</w:t>
      </w:r>
      <w:r>
        <w:t xml:space="preserve"> save.</w:t>
      </w:r>
    </w:p>
    <w:p w:rsidR="000A156F" w:rsidRDefault="00A9721F">
      <w:r>
        <w:t>If more than two values are defined, only the two first values are used and saved.</w:t>
      </w:r>
    </w:p>
    <w:p w:rsidR="000A156F" w:rsidRDefault="00A9721F">
      <w:pPr>
        <w:pStyle w:val="Definition-Field"/>
      </w:pPr>
      <w:r>
        <w:t xml:space="preserve">h.   </w:t>
      </w:r>
      <w:r>
        <w:rPr>
          <w:i/>
        </w:rPr>
        <w:t>The standard does not specify bounds for the weight attribute.</w:t>
      </w:r>
    </w:p>
    <w:p w:rsidR="000A156F" w:rsidRDefault="00A9721F">
      <w:pPr>
        <w:pStyle w:val="Definition-Field2"/>
      </w:pPr>
      <w:r>
        <w:t xml:space="preserve">In Office, the minimum value for the weight attribute is zero and the maximum value is 20116800 </w:t>
      </w:r>
      <w:r>
        <w:t>EMU.</w:t>
      </w:r>
    </w:p>
    <w:p w:rsidR="000A156F" w:rsidRDefault="00A9721F">
      <w:pPr>
        <w:pStyle w:val="Definition-Field"/>
      </w:pPr>
      <w:r>
        <w:t xml:space="preserve">i.   </w:t>
      </w:r>
      <w:r>
        <w:rPr>
          <w:i/>
        </w:rPr>
        <w:t>The standard does not specify bounds for the miterlimit attribute.</w:t>
      </w:r>
    </w:p>
    <w:p w:rsidR="000A156F" w:rsidRDefault="00A9721F">
      <w:pPr>
        <w:pStyle w:val="Definition-Field2"/>
      </w:pPr>
      <w:r>
        <w:lastRenderedPageBreak/>
        <w:t>Office uses a maximum value of 32767 for the miterlimit attribute.</w:t>
      </w:r>
    </w:p>
    <w:p w:rsidR="000A156F" w:rsidRDefault="00A9721F">
      <w:pPr>
        <w:pStyle w:val="Definition-Field"/>
      </w:pPr>
      <w:r>
        <w:t xml:space="preserve">j.   </w:t>
      </w:r>
      <w:r>
        <w:rPr>
          <w:i/>
        </w:rPr>
        <w:t>The standard indicates that the default value for the weight attribute is 1 pt.</w:t>
      </w:r>
    </w:p>
    <w:p w:rsidR="000A156F" w:rsidRDefault="00A9721F">
      <w:pPr>
        <w:pStyle w:val="Definition-Field2"/>
      </w:pPr>
      <w:r>
        <w:t xml:space="preserve">Office uses a default of </w:t>
      </w:r>
      <w:r>
        <w:t>0.75 pt for the weight attribute.</w:t>
      </w:r>
    </w:p>
    <w:p w:rsidR="000A156F" w:rsidRDefault="00A9721F">
      <w:pPr>
        <w:pStyle w:val="Definition-Field"/>
      </w:pPr>
      <w:r>
        <w:t xml:space="preserve">k.   </w:t>
      </w:r>
      <w:r>
        <w:rPr>
          <w:i/>
        </w:rPr>
        <w:t>The standard states that values of the opacity attribute are defined by the XML Schema string datatype.</w:t>
      </w:r>
    </w:p>
    <w:p w:rsidR="000A156F" w:rsidRDefault="00A9721F">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0A156F" w:rsidRDefault="00A9721F">
      <w:pPr>
        <w:pStyle w:val="Heading3"/>
      </w:pPr>
      <w:bookmarkStart w:id="3657" w:name="section_079e8828cbc545a482a8afb3558d35de"/>
      <w:bookmarkStart w:id="3658" w:name="_Toc181684854"/>
      <w:r>
        <w:t>Part 4 Section 19.2.2.2, callout (Callout)</w:t>
      </w:r>
      <w:bookmarkEnd w:id="3657"/>
      <w:bookmarkEnd w:id="3658"/>
      <w:r>
        <w:fldChar w:fldCharType="begin"/>
      </w:r>
      <w:r>
        <w:instrText xml:space="preserve"> XE "callout (Callout)"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The standard does not impl</w:t>
      </w:r>
      <w:r>
        <w:rPr>
          <w:i/>
        </w:rPr>
        <w:t>y a relationship between the callout element and the spt attribute.</w:t>
      </w:r>
    </w:p>
    <w:p w:rsidR="000A156F" w:rsidRDefault="00A9721F">
      <w:r>
        <w:t>In Office, this element specifies the automatic behavior and layout parameters of callout shapes. In Office, objects that have this attribute shall be made of one to three segments plus th</w:t>
      </w:r>
      <w:r>
        <w:t xml:space="preserve">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67">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A156F" w:rsidRDefault="00A9721F">
            <w:pPr>
              <w:pStyle w:val="TableHeaderText"/>
            </w:pPr>
            <w:r>
              <w:t>Attribute value</w:t>
            </w:r>
          </w:p>
        </w:tc>
        <w:tc>
          <w:tcPr>
            <w:tcW w:w="0" w:type="auto"/>
            <w:gridSpan w:val="4"/>
            <w:vAlign w:val="center"/>
          </w:tcPr>
          <w:p w:rsidR="000A156F" w:rsidRDefault="00A9721F">
            <w:pPr>
              <w:pStyle w:val="TableHeaderText"/>
            </w:pPr>
            <w:r>
              <w:t>Value of type attribute</w:t>
            </w:r>
          </w:p>
        </w:tc>
      </w:tr>
      <w:tr w:rsidR="000A156F" w:rsidTr="000A156F">
        <w:tc>
          <w:tcPr>
            <w:tcW w:w="0" w:type="auto"/>
            <w:vAlign w:val="center"/>
          </w:tcPr>
          <w:p w:rsidR="000A156F" w:rsidRDefault="00A9721F">
            <w:pPr>
              <w:pStyle w:val="TableBodyText"/>
            </w:pPr>
            <w:r>
              <w:rPr>
                <w:b/>
              </w:rPr>
              <w:t>accentbar</w:t>
            </w:r>
          </w:p>
        </w:tc>
        <w:tc>
          <w:tcPr>
            <w:tcW w:w="0" w:type="auto"/>
            <w:vAlign w:val="center"/>
          </w:tcPr>
          <w:p w:rsidR="000A156F" w:rsidRDefault="00A9721F">
            <w:pPr>
              <w:pStyle w:val="TableBodyText"/>
            </w:pPr>
            <w:r>
              <w:rPr>
                <w:b/>
              </w:rPr>
              <w:t>textborder</w:t>
            </w:r>
          </w:p>
        </w:tc>
        <w:tc>
          <w:tcPr>
            <w:tcW w:w="0" w:type="auto"/>
            <w:vAlign w:val="center"/>
          </w:tcPr>
          <w:p w:rsidR="000A156F" w:rsidRDefault="00A9721F">
            <w:pPr>
              <w:pStyle w:val="TableBodyText"/>
            </w:pPr>
            <w:r>
              <w:rPr>
                <w:i/>
              </w:rPr>
              <w:t>one</w:t>
            </w:r>
            <w:r>
              <w:rPr>
                <w:i/>
              </w:rPr>
              <w:t>Segment</w:t>
            </w:r>
          </w:p>
        </w:tc>
        <w:tc>
          <w:tcPr>
            <w:tcW w:w="0" w:type="auto"/>
            <w:vAlign w:val="center"/>
          </w:tcPr>
          <w:p w:rsidR="000A156F" w:rsidRDefault="00A9721F">
            <w:pPr>
              <w:pStyle w:val="TableBodyText"/>
            </w:pPr>
            <w:r>
              <w:rPr>
                <w:i/>
              </w:rPr>
              <w:t>twoSegment</w:t>
            </w:r>
          </w:p>
        </w:tc>
        <w:tc>
          <w:tcPr>
            <w:tcW w:w="0" w:type="auto"/>
            <w:vAlign w:val="center"/>
          </w:tcPr>
          <w:p w:rsidR="000A156F" w:rsidRDefault="00A9721F">
            <w:pPr>
              <w:pStyle w:val="TableBodyText"/>
            </w:pPr>
            <w:r>
              <w:rPr>
                <w:i/>
              </w:rPr>
              <w:t>threeSegment</w:t>
            </w:r>
          </w:p>
        </w:tc>
        <w:tc>
          <w:tcPr>
            <w:tcW w:w="0" w:type="auto"/>
            <w:vAlign w:val="center"/>
          </w:tcPr>
          <w:p w:rsidR="000A156F" w:rsidRDefault="00A9721F">
            <w:pPr>
              <w:pStyle w:val="TableBodyText"/>
            </w:pPr>
            <w:r>
              <w:rPr>
                <w:i/>
              </w:rPr>
              <w:t>rightAngle</w:t>
            </w:r>
          </w:p>
        </w:tc>
      </w:tr>
      <w:tr w:rsidR="000A156F" w:rsidTr="000A156F">
        <w:tc>
          <w:tcPr>
            <w:tcW w:w="0" w:type="auto"/>
            <w:vAlign w:val="center"/>
          </w:tcPr>
          <w:p w:rsidR="000A156F" w:rsidRDefault="00A9721F">
            <w:pPr>
              <w:pStyle w:val="TableBodyText"/>
            </w:pPr>
            <w:r>
              <w:t>False</w:t>
            </w:r>
          </w:p>
        </w:tc>
        <w:tc>
          <w:tcPr>
            <w:tcW w:w="0" w:type="auto"/>
            <w:vAlign w:val="center"/>
          </w:tcPr>
          <w:p w:rsidR="000A156F" w:rsidRDefault="00A9721F">
            <w:pPr>
              <w:pStyle w:val="TableBodyText"/>
            </w:pPr>
            <w:r>
              <w:t>False</w:t>
            </w:r>
          </w:p>
        </w:tc>
        <w:tc>
          <w:tcPr>
            <w:tcW w:w="0" w:type="auto"/>
            <w:vAlign w:val="center"/>
          </w:tcPr>
          <w:p w:rsidR="000A156F" w:rsidRDefault="00A9721F">
            <w:pPr>
              <w:pStyle w:val="TableBodyText"/>
            </w:pPr>
            <w:r>
              <w:t>spt="41"</w:t>
            </w:r>
          </w:p>
        </w:tc>
        <w:tc>
          <w:tcPr>
            <w:tcW w:w="0" w:type="auto"/>
            <w:vAlign w:val="center"/>
          </w:tcPr>
          <w:p w:rsidR="000A156F" w:rsidRDefault="00A9721F">
            <w:pPr>
              <w:pStyle w:val="TableBodyText"/>
            </w:pPr>
            <w:r>
              <w:t>spt="42"</w:t>
            </w:r>
          </w:p>
        </w:tc>
        <w:tc>
          <w:tcPr>
            <w:tcW w:w="0" w:type="auto"/>
            <w:vAlign w:val="center"/>
          </w:tcPr>
          <w:p w:rsidR="000A156F" w:rsidRDefault="00A9721F">
            <w:pPr>
              <w:pStyle w:val="TableBodyText"/>
            </w:pPr>
            <w:r>
              <w:t>spt="43"</w:t>
            </w:r>
          </w:p>
        </w:tc>
        <w:tc>
          <w:tcPr>
            <w:tcW w:w="0" w:type="auto"/>
            <w:vAlign w:val="center"/>
          </w:tcPr>
          <w:p w:rsidR="000A156F" w:rsidRDefault="00A9721F">
            <w:pPr>
              <w:pStyle w:val="TableBodyText"/>
            </w:pPr>
            <w:r>
              <w:t>spt="178"</w:t>
            </w:r>
          </w:p>
        </w:tc>
      </w:tr>
      <w:tr w:rsidR="000A156F" w:rsidTr="000A156F">
        <w:tc>
          <w:tcPr>
            <w:tcW w:w="0" w:type="auto"/>
            <w:vAlign w:val="center"/>
          </w:tcPr>
          <w:p w:rsidR="000A156F" w:rsidRDefault="00A9721F">
            <w:pPr>
              <w:pStyle w:val="TableBodyText"/>
            </w:pPr>
            <w:r>
              <w:t>True</w:t>
            </w:r>
          </w:p>
        </w:tc>
        <w:tc>
          <w:tcPr>
            <w:tcW w:w="0" w:type="auto"/>
            <w:vAlign w:val="center"/>
          </w:tcPr>
          <w:p w:rsidR="000A156F" w:rsidRDefault="00A9721F">
            <w:pPr>
              <w:pStyle w:val="TableBodyText"/>
            </w:pPr>
            <w:r>
              <w:t>False</w:t>
            </w:r>
          </w:p>
        </w:tc>
        <w:tc>
          <w:tcPr>
            <w:tcW w:w="0" w:type="auto"/>
            <w:vAlign w:val="center"/>
          </w:tcPr>
          <w:p w:rsidR="000A156F" w:rsidRDefault="00A9721F">
            <w:pPr>
              <w:pStyle w:val="TableBodyText"/>
            </w:pPr>
            <w:r>
              <w:t>spt="44"</w:t>
            </w:r>
          </w:p>
        </w:tc>
        <w:tc>
          <w:tcPr>
            <w:tcW w:w="0" w:type="auto"/>
            <w:vAlign w:val="center"/>
          </w:tcPr>
          <w:p w:rsidR="000A156F" w:rsidRDefault="00A9721F">
            <w:pPr>
              <w:pStyle w:val="TableBodyText"/>
            </w:pPr>
            <w:r>
              <w:t>spt="45"</w:t>
            </w:r>
          </w:p>
        </w:tc>
        <w:tc>
          <w:tcPr>
            <w:tcW w:w="0" w:type="auto"/>
            <w:vAlign w:val="center"/>
          </w:tcPr>
          <w:p w:rsidR="000A156F" w:rsidRDefault="00A9721F">
            <w:pPr>
              <w:pStyle w:val="TableBodyText"/>
            </w:pPr>
            <w:r>
              <w:t>spt="46"</w:t>
            </w:r>
          </w:p>
        </w:tc>
        <w:tc>
          <w:tcPr>
            <w:tcW w:w="0" w:type="auto"/>
            <w:vAlign w:val="center"/>
          </w:tcPr>
          <w:p w:rsidR="000A156F" w:rsidRDefault="00A9721F">
            <w:pPr>
              <w:pStyle w:val="TableBodyText"/>
            </w:pPr>
            <w:r>
              <w:t>spt="179"</w:t>
            </w:r>
          </w:p>
        </w:tc>
      </w:tr>
      <w:tr w:rsidR="000A156F" w:rsidTr="000A156F">
        <w:tc>
          <w:tcPr>
            <w:tcW w:w="0" w:type="auto"/>
            <w:vAlign w:val="center"/>
          </w:tcPr>
          <w:p w:rsidR="000A156F" w:rsidRDefault="00A9721F">
            <w:pPr>
              <w:pStyle w:val="TableBodyText"/>
            </w:pPr>
            <w:r>
              <w:t>False</w:t>
            </w:r>
          </w:p>
        </w:tc>
        <w:tc>
          <w:tcPr>
            <w:tcW w:w="0" w:type="auto"/>
            <w:vAlign w:val="center"/>
          </w:tcPr>
          <w:p w:rsidR="000A156F" w:rsidRDefault="00A9721F">
            <w:pPr>
              <w:pStyle w:val="TableBodyText"/>
            </w:pPr>
            <w:r>
              <w:t>True</w:t>
            </w:r>
          </w:p>
        </w:tc>
        <w:tc>
          <w:tcPr>
            <w:tcW w:w="0" w:type="auto"/>
            <w:vAlign w:val="center"/>
          </w:tcPr>
          <w:p w:rsidR="000A156F" w:rsidRDefault="00A9721F">
            <w:pPr>
              <w:pStyle w:val="TableBodyText"/>
            </w:pPr>
            <w:r>
              <w:t>spt="47"</w:t>
            </w:r>
          </w:p>
        </w:tc>
        <w:tc>
          <w:tcPr>
            <w:tcW w:w="0" w:type="auto"/>
            <w:vAlign w:val="center"/>
          </w:tcPr>
          <w:p w:rsidR="000A156F" w:rsidRDefault="00A9721F">
            <w:pPr>
              <w:pStyle w:val="TableBodyText"/>
            </w:pPr>
            <w:r>
              <w:t>spt="48"</w:t>
            </w:r>
          </w:p>
        </w:tc>
        <w:tc>
          <w:tcPr>
            <w:tcW w:w="0" w:type="auto"/>
            <w:vAlign w:val="center"/>
          </w:tcPr>
          <w:p w:rsidR="000A156F" w:rsidRDefault="00A9721F">
            <w:pPr>
              <w:pStyle w:val="TableBodyText"/>
            </w:pPr>
            <w:r>
              <w:t>spt="49"</w:t>
            </w:r>
          </w:p>
        </w:tc>
        <w:tc>
          <w:tcPr>
            <w:tcW w:w="0" w:type="auto"/>
            <w:vAlign w:val="center"/>
          </w:tcPr>
          <w:p w:rsidR="000A156F" w:rsidRDefault="00A9721F">
            <w:pPr>
              <w:pStyle w:val="TableBodyText"/>
            </w:pPr>
            <w:r>
              <w:t>spt="180"</w:t>
            </w:r>
          </w:p>
        </w:tc>
      </w:tr>
      <w:tr w:rsidR="000A156F" w:rsidTr="000A156F">
        <w:tc>
          <w:tcPr>
            <w:tcW w:w="0" w:type="auto"/>
            <w:vAlign w:val="center"/>
          </w:tcPr>
          <w:p w:rsidR="000A156F" w:rsidRDefault="00A9721F">
            <w:pPr>
              <w:pStyle w:val="TableBodyText"/>
            </w:pPr>
            <w:r>
              <w:t>True</w:t>
            </w:r>
          </w:p>
        </w:tc>
        <w:tc>
          <w:tcPr>
            <w:tcW w:w="0" w:type="auto"/>
            <w:vAlign w:val="center"/>
          </w:tcPr>
          <w:p w:rsidR="000A156F" w:rsidRDefault="00A9721F">
            <w:pPr>
              <w:pStyle w:val="TableBodyText"/>
            </w:pPr>
            <w:r>
              <w:t>True</w:t>
            </w:r>
          </w:p>
        </w:tc>
        <w:tc>
          <w:tcPr>
            <w:tcW w:w="0" w:type="auto"/>
            <w:vAlign w:val="center"/>
          </w:tcPr>
          <w:p w:rsidR="000A156F" w:rsidRDefault="00A9721F">
            <w:pPr>
              <w:pStyle w:val="TableBodyText"/>
            </w:pPr>
            <w:r>
              <w:t>spt="50"</w:t>
            </w:r>
          </w:p>
        </w:tc>
        <w:tc>
          <w:tcPr>
            <w:tcW w:w="0" w:type="auto"/>
            <w:vAlign w:val="center"/>
          </w:tcPr>
          <w:p w:rsidR="000A156F" w:rsidRDefault="00A9721F">
            <w:pPr>
              <w:pStyle w:val="TableBodyText"/>
            </w:pPr>
            <w:r>
              <w:t>spt="51"</w:t>
            </w:r>
          </w:p>
        </w:tc>
        <w:tc>
          <w:tcPr>
            <w:tcW w:w="0" w:type="auto"/>
            <w:vAlign w:val="center"/>
          </w:tcPr>
          <w:p w:rsidR="000A156F" w:rsidRDefault="00A9721F">
            <w:pPr>
              <w:pStyle w:val="TableBodyText"/>
            </w:pPr>
            <w:r>
              <w:t>spt="52"</w:t>
            </w:r>
          </w:p>
        </w:tc>
        <w:tc>
          <w:tcPr>
            <w:tcW w:w="0" w:type="auto"/>
            <w:vAlign w:val="center"/>
          </w:tcPr>
          <w:p w:rsidR="000A156F" w:rsidRDefault="00A9721F">
            <w:pPr>
              <w:pStyle w:val="TableBodyText"/>
            </w:pPr>
            <w:r>
              <w:t>spt="181"</w:t>
            </w:r>
          </w:p>
        </w:tc>
      </w:tr>
    </w:tbl>
    <w:p w:rsidR="000A156F" w:rsidRDefault="000A156F"/>
    <w:p w:rsidR="000A156F" w:rsidRDefault="00A9721F">
      <w:pPr>
        <w:pStyle w:val="Definition-Field"/>
      </w:pPr>
      <w:r>
        <w:t xml:space="preserve">b.   </w:t>
      </w:r>
      <w:r>
        <w:rPr>
          <w:i/>
        </w:rPr>
        <w:t xml:space="preserve">The </w:t>
      </w:r>
      <w:r>
        <w:rPr>
          <w:i/>
        </w:rPr>
        <w:t>standard indicates how the type attribute is used.</w:t>
      </w:r>
    </w:p>
    <w:p w:rsidR="000A156F" w:rsidRDefault="00A9721F">
      <w:r>
        <w:t>For Office, the type attribute specifies the design of the callout extension.  The allowed values are:</w:t>
      </w:r>
    </w:p>
    <w:p w:rsidR="000A156F" w:rsidRDefault="00A9721F">
      <w:pPr>
        <w:pStyle w:val="ListParagraph"/>
        <w:numPr>
          <w:ilvl w:val="0"/>
          <w:numId w:val="182"/>
        </w:numPr>
        <w:contextualSpacing/>
      </w:pPr>
      <w:r>
        <w:rPr>
          <w:i/>
        </w:rPr>
        <w:t>rightAngle</w:t>
      </w:r>
    </w:p>
    <w:p w:rsidR="000A156F" w:rsidRDefault="00A9721F">
      <w:pPr>
        <w:pStyle w:val="ListParagraph"/>
        <w:numPr>
          <w:ilvl w:val="0"/>
          <w:numId w:val="182"/>
        </w:numPr>
        <w:contextualSpacing/>
      </w:pPr>
      <w:r>
        <w:rPr>
          <w:i/>
        </w:rPr>
        <w:t>oneSegment</w:t>
      </w:r>
    </w:p>
    <w:p w:rsidR="000A156F" w:rsidRDefault="00A9721F">
      <w:pPr>
        <w:pStyle w:val="ListParagraph"/>
        <w:numPr>
          <w:ilvl w:val="0"/>
          <w:numId w:val="182"/>
        </w:numPr>
        <w:contextualSpacing/>
      </w:pPr>
      <w:r>
        <w:rPr>
          <w:i/>
        </w:rPr>
        <w:t xml:space="preserve">twoSegment </w:t>
      </w:r>
      <w:r>
        <w:t>(default value)</w:t>
      </w:r>
    </w:p>
    <w:p w:rsidR="000A156F" w:rsidRDefault="00A9721F">
      <w:pPr>
        <w:pStyle w:val="ListParagraph"/>
        <w:numPr>
          <w:ilvl w:val="0"/>
          <w:numId w:val="182"/>
        </w:numPr>
      </w:pPr>
      <w:r>
        <w:rPr>
          <w:i/>
        </w:rPr>
        <w:t>threeSegment</w:t>
      </w:r>
    </w:p>
    <w:p w:rsidR="000A156F" w:rsidRDefault="00A9721F">
      <w:r>
        <w:rPr>
          <w:i/>
        </w:rPr>
        <w:t xml:space="preserve">Callout shapes that contain the </w:t>
      </w:r>
      <w:r>
        <w:rPr>
          <w:b/>
        </w:rPr>
        <w:t>callout</w:t>
      </w:r>
      <w:r>
        <w:rPr>
          <w:i/>
        </w:rPr>
        <w:t xml:space="preserve"> </w:t>
      </w:r>
      <w:r>
        <w:rPr>
          <w:i/>
        </w:rPr>
        <w:t>element work only if the first sub-path in the shape’s path is used to model the callout extension. This sub-path shall contain references to N formulas that reference N adjust values, where N = 2M + 2, and M is the number of segments in the callout.</w:t>
      </w:r>
    </w:p>
    <w:p w:rsidR="000A156F" w:rsidRDefault="00A9721F">
      <w:r>
        <w:t>[Exam</w:t>
      </w:r>
      <w:r>
        <w:t xml:space="preserve">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example]</w:t>
      </w:r>
    </w:p>
    <w:p w:rsidR="000A156F" w:rsidRDefault="00A9721F">
      <w:r>
        <w:rPr>
          <w:i/>
        </w:rPr>
        <w:t>Office also requires one handle for</w:t>
      </w:r>
      <w:r>
        <w:rPr>
          <w:i/>
        </w:rPr>
        <w:t xml:space="preserve"> every segment vertex. The number of handles should be at least N/2.</w:t>
      </w:r>
    </w:p>
    <w:p w:rsidR="000A156F" w:rsidRDefault="00A9721F">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of Handles)")</w:t>
      </w:r>
      <w:r>
        <w:rPr>
          <w:i/>
        </w:rPr>
        <w:t>.</w:t>
      </w:r>
    </w:p>
    <w:p w:rsidR="000A156F" w:rsidRDefault="00A9721F">
      <w:pPr>
        <w:pStyle w:val="Definition-Field"/>
      </w:pPr>
      <w:r>
        <w:t xml:space="preserve">c.   </w:t>
      </w:r>
      <w:r>
        <w:rPr>
          <w:i/>
        </w:rPr>
        <w:t>The standard indicate</w:t>
      </w:r>
      <w:r>
        <w:rPr>
          <w:i/>
        </w:rPr>
        <w:t>s how the accentbar attribute is used.</w:t>
      </w:r>
    </w:p>
    <w:p w:rsidR="000A156F" w:rsidRDefault="00A9721F">
      <w:r>
        <w:t xml:space="preserve">Office requires that the accent bar be a line sub-path, added after the first callout segment (see the </w:t>
      </w:r>
      <w:r>
        <w:rPr>
          <w:b/>
        </w:rPr>
        <w:t>type</w:t>
      </w:r>
      <w:r>
        <w:t xml:space="preserve"> attribute). The segment is defined in the shape’s path.</w:t>
      </w:r>
    </w:p>
    <w:p w:rsidR="000A156F" w:rsidRDefault="00A9721F">
      <w:r>
        <w:t xml:space="preserve">[Example: Consider the following shape that consists </w:t>
      </w:r>
      <w:r>
        <w:t>of a single segment callout and a vertical accent bar.</w:t>
      </w:r>
    </w:p>
    <w:p w:rsidR="000A156F" w:rsidRDefault="00A9721F">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8"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0A156F" w:rsidRDefault="00A9721F">
      <w:r>
        <w:t>The following snippet is one possible way to describe the shape’s path:</w:t>
      </w:r>
    </w:p>
    <w:p w:rsidR="000A156F" w:rsidRDefault="00A9721F">
      <w:pPr>
        <w:pStyle w:val="Code"/>
      </w:pPr>
      <w:r>
        <w:t xml:space="preserve">&lt;v:shape ... coordsize="21600,21600" o:spt="44" adj="-8280,24300,-1800,4050" </w:t>
      </w:r>
      <w:r>
        <w:t>path="m@0@1l@2@3nfem@2,l@2,21600nfem,l21600,r,21600l,21600nsxe" ... &gt;</w:t>
      </w:r>
    </w:p>
    <w:p w:rsidR="000A156F" w:rsidRDefault="00A9721F">
      <w:pPr>
        <w:pStyle w:val="Code"/>
      </w:pPr>
      <w:r>
        <w:t>&lt;/v:shape&gt;</w:t>
      </w:r>
    </w:p>
    <w:p w:rsidR="000A156F" w:rsidRDefault="00A9721F">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w:t>
      </w:r>
      <w:r>
        <w:t>ple]</w:t>
      </w:r>
    </w:p>
    <w:p w:rsidR="000A156F" w:rsidRDefault="00A9721F">
      <w:r>
        <w:rPr>
          <w:i/>
        </w:rPr>
        <w:t xml:space="preserve">See also the </w:t>
      </w:r>
      <w:r>
        <w:rPr>
          <w:b/>
        </w:rPr>
        <w:t>path</w:t>
      </w:r>
      <w:r>
        <w:rPr>
          <w:i/>
        </w:rPr>
        <w:t xml:space="preserve"> element ("</w:t>
      </w:r>
      <w:r>
        <w:t>[ISO/IEC-29500-4]</w:t>
      </w:r>
      <w:r>
        <w:rPr>
          <w:i/>
        </w:rPr>
        <w:t xml:space="preserve"> §19.1.2.14; path (Shape Path)").</w:t>
      </w:r>
    </w:p>
    <w:p w:rsidR="000A156F" w:rsidRDefault="00A9721F">
      <w:pPr>
        <w:pStyle w:val="Definition-Field"/>
      </w:pPr>
      <w:r>
        <w:t xml:space="preserve">d.   </w:t>
      </w:r>
      <w:r>
        <w:rPr>
          <w:i/>
        </w:rPr>
        <w:t>The standard indicates how the angle attribute is used.</w:t>
      </w:r>
    </w:p>
    <w:p w:rsidR="000A156F" w:rsidRDefault="00A9721F">
      <w:pPr>
        <w:pStyle w:val="Definition-Field2"/>
      </w:pPr>
      <w:r>
        <w:t>Office applies the angle attribute value only to the first segment of the callout extension and enforces this o</w:t>
      </w:r>
      <w:r>
        <w:t>nly during user interaction at runtime when the user interacts with the application UI.</w:t>
      </w:r>
    </w:p>
    <w:p w:rsidR="000A156F" w:rsidRDefault="00A9721F">
      <w:pPr>
        <w:pStyle w:val="Definition-Field"/>
      </w:pPr>
      <w:r>
        <w:t xml:space="preserve">e.   </w:t>
      </w:r>
      <w:r>
        <w:rPr>
          <w:i/>
        </w:rPr>
        <w:t>The standard indicates how the drop attribute is used.</w:t>
      </w:r>
    </w:p>
    <w:p w:rsidR="000A156F" w:rsidRDefault="00A9721F">
      <w:pPr>
        <w:pStyle w:val="Definition-Field2"/>
      </w:pPr>
      <w:r>
        <w:t>Office only enforces the drop attribute during user interaction at runtime.</w:t>
      </w:r>
    </w:p>
    <w:p w:rsidR="000A156F" w:rsidRDefault="00A9721F">
      <w:pPr>
        <w:pStyle w:val="Definition-Field"/>
      </w:pPr>
      <w:r>
        <w:t xml:space="preserve">f.   </w:t>
      </w:r>
      <w:r>
        <w:rPr>
          <w:i/>
        </w:rPr>
        <w:t xml:space="preserve">The standard indicates how </w:t>
      </w:r>
      <w:r>
        <w:rPr>
          <w:i/>
        </w:rPr>
        <w:t>the dropauto attribute is used.</w:t>
      </w:r>
    </w:p>
    <w:p w:rsidR="000A156F" w:rsidRDefault="00A9721F">
      <w:pPr>
        <w:pStyle w:val="Definition-Field2"/>
      </w:pPr>
      <w:r>
        <w:t>The dropauto attribute is only supported by Word and only when the value of the drop attribute is user and the value of the type attribute is not rightAngle.</w:t>
      </w:r>
    </w:p>
    <w:p w:rsidR="000A156F" w:rsidRDefault="00A9721F">
      <w:pPr>
        <w:pStyle w:val="Definition-Field"/>
      </w:pPr>
      <w:r>
        <w:t xml:space="preserve">g.   </w:t>
      </w:r>
      <w:r>
        <w:rPr>
          <w:i/>
        </w:rPr>
        <w:t>The standard does not define a default value for the drop att</w:t>
      </w:r>
      <w:r>
        <w:rPr>
          <w:i/>
        </w:rPr>
        <w:t>ribute.</w:t>
      </w:r>
    </w:p>
    <w:p w:rsidR="000A156F" w:rsidRDefault="00A9721F">
      <w:pPr>
        <w:pStyle w:val="Definition-Field2"/>
      </w:pPr>
      <w:r>
        <w:t>Office uses a default value of user for the drop attribute.</w:t>
      </w:r>
    </w:p>
    <w:p w:rsidR="000A156F" w:rsidRDefault="00A9721F">
      <w:pPr>
        <w:pStyle w:val="Definition-Field"/>
      </w:pPr>
      <w:r>
        <w:t xml:space="preserve">h.   </w:t>
      </w:r>
      <w:r>
        <w:rPr>
          <w:i/>
        </w:rPr>
        <w:t>The standard indicates how the gap attribute is used.</w:t>
      </w:r>
    </w:p>
    <w:p w:rsidR="000A156F" w:rsidRDefault="00A9721F">
      <w:pPr>
        <w:pStyle w:val="Definition-Field2"/>
      </w:pPr>
      <w:r>
        <w:t>In Office, the gap attribute is only enforced at runtime when the user interacts with the application UI.</w:t>
      </w:r>
    </w:p>
    <w:p w:rsidR="000A156F" w:rsidRDefault="00A9721F">
      <w:pPr>
        <w:pStyle w:val="Definition-Field"/>
      </w:pPr>
      <w:r>
        <w:t xml:space="preserve">i.   </w:t>
      </w:r>
      <w:r>
        <w:rPr>
          <w:i/>
        </w:rPr>
        <w:t>The standard indic</w:t>
      </w:r>
      <w:r>
        <w:rPr>
          <w:i/>
        </w:rPr>
        <w:t>ates how the textborder attribute is used.</w:t>
      </w:r>
    </w:p>
    <w:p w:rsidR="000A156F" w:rsidRDefault="00A9721F">
      <w:pPr>
        <w:pStyle w:val="Definition-Field2"/>
      </w:pPr>
      <w:r>
        <w:t>In Office, the textborder attribute reflects the type of stroke used for the textbox. If it is set to false, the shape’s path shall also contain ns (no stroke). For more information, see the v attribute of the pat</w:t>
      </w:r>
      <w:r>
        <w:t>h element.</w:t>
      </w:r>
    </w:p>
    <w:p w:rsidR="000A156F" w:rsidRDefault="00A9721F">
      <w:pPr>
        <w:pStyle w:val="Definition-Field"/>
      </w:pPr>
      <w:r>
        <w:t xml:space="preserve">j.   </w:t>
      </w:r>
      <w:r>
        <w:rPr>
          <w:i/>
        </w:rPr>
        <w:t>The standard indicates how the distance attribute is used.</w:t>
      </w:r>
    </w:p>
    <w:p w:rsidR="000A156F" w:rsidRDefault="00A9721F">
      <w:pPr>
        <w:pStyle w:val="Definition-Field2"/>
      </w:pPr>
      <w:r>
        <w:t>Office only enforces the distance attribute during user interaction at runtime.</w:t>
      </w:r>
    </w:p>
    <w:p w:rsidR="000A156F" w:rsidRDefault="00A9721F">
      <w:pPr>
        <w:pStyle w:val="Definition-Field"/>
      </w:pPr>
      <w:r>
        <w:lastRenderedPageBreak/>
        <w:t xml:space="preserve">k.   </w:t>
      </w:r>
      <w:r>
        <w:rPr>
          <w:i/>
        </w:rPr>
        <w:t>The standard indicates how the length attribute is used.</w:t>
      </w:r>
    </w:p>
    <w:p w:rsidR="000A156F" w:rsidRDefault="00A9721F">
      <w:pPr>
        <w:pStyle w:val="Definition-Field2"/>
      </w:pPr>
      <w:r>
        <w:t>Office only enforces the length attribu</w:t>
      </w:r>
      <w:r>
        <w:t>te during user interaction at runtime.</w:t>
      </w:r>
    </w:p>
    <w:p w:rsidR="000A156F" w:rsidRDefault="00A9721F">
      <w:pPr>
        <w:pStyle w:val="Definition-Field"/>
      </w:pPr>
      <w:r>
        <w:t xml:space="preserve">l.   </w:t>
      </w:r>
      <w:r>
        <w:rPr>
          <w:i/>
        </w:rPr>
        <w:t>The standard does not restrict the number of instances of this element.</w:t>
      </w:r>
    </w:p>
    <w:p w:rsidR="000A156F" w:rsidRDefault="00A9721F">
      <w:pPr>
        <w:pStyle w:val="Definition-Field2"/>
      </w:pPr>
      <w:r>
        <w:t>Office allows at most only one instance of the callout element in each place where it can be used.</w:t>
      </w:r>
    </w:p>
    <w:p w:rsidR="000A156F" w:rsidRDefault="00A9721F">
      <w:pPr>
        <w:pStyle w:val="Definition-Field"/>
      </w:pPr>
      <w:r>
        <w:t xml:space="preserve">m.   </w:t>
      </w:r>
      <w:r>
        <w:rPr>
          <w:i/>
        </w:rPr>
        <w:t>The standard does not define a defau</w:t>
      </w:r>
      <w:r>
        <w:rPr>
          <w:i/>
        </w:rPr>
        <w:t>lt value for the dropauto attribute.</w:t>
      </w:r>
    </w:p>
    <w:p w:rsidR="000A156F" w:rsidRDefault="00A9721F">
      <w:pPr>
        <w:pStyle w:val="Definition-Field2"/>
      </w:pPr>
      <w:r>
        <w:t>Office uses a default value of false for the dropauto attribute.</w:t>
      </w:r>
    </w:p>
    <w:p w:rsidR="000A156F" w:rsidRDefault="00A9721F">
      <w:pPr>
        <w:pStyle w:val="Heading3"/>
      </w:pPr>
      <w:bookmarkStart w:id="3659" w:name="section_38d8fc638f7340688de735a4b20b55e3"/>
      <w:bookmarkStart w:id="3660" w:name="_Toc181684855"/>
      <w:r>
        <w:t>Part 4 Section 19.2.2.3, clippath (Shape Clipping Path)</w:t>
      </w:r>
      <w:bookmarkEnd w:id="3659"/>
      <w:bookmarkEnd w:id="3660"/>
      <w:r>
        <w:fldChar w:fldCharType="begin"/>
      </w:r>
      <w:r>
        <w:instrText xml:space="preserve"> XE "clippath (Shape Clipping Path)"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A156F" w:rsidRDefault="00A9721F">
      <w:pPr>
        <w:pStyle w:val="Definition-Field"/>
      </w:pPr>
      <w:r>
        <w:t xml:space="preserve">a.   </w:t>
      </w:r>
      <w:r>
        <w:rPr>
          <w:i/>
        </w:rPr>
        <w:t>The standard describes how the v attribute is used.</w:t>
      </w:r>
    </w:p>
    <w:p w:rsidR="000A156F" w:rsidRDefault="00A9721F">
      <w:pPr>
        <w:pStyle w:val="Definition-Field2"/>
      </w:pPr>
      <w:r>
        <w:t>Office treats this attribute the same as the v attribute in the path element.</w:t>
      </w:r>
    </w:p>
    <w:p w:rsidR="000A156F" w:rsidRDefault="00A9721F">
      <w:pPr>
        <w:pStyle w:val="Definition-Field"/>
      </w:pPr>
      <w:r>
        <w:t xml:space="preserve">b.   </w:t>
      </w:r>
      <w:r>
        <w:rPr>
          <w:i/>
        </w:rPr>
        <w:t>The standard does not restrict the number of instances of this element.</w:t>
      </w:r>
    </w:p>
    <w:p w:rsidR="000A156F" w:rsidRDefault="00A9721F">
      <w:pPr>
        <w:pStyle w:val="Definition-Field2"/>
      </w:pPr>
      <w:r>
        <w:t>Office allows at mos</w:t>
      </w:r>
      <w:r>
        <w:t>t only one instance of the clippath element in each place where it can be used.</w:t>
      </w:r>
    </w:p>
    <w:p w:rsidR="000A156F" w:rsidRDefault="00A9721F">
      <w:pPr>
        <w:pStyle w:val="Heading3"/>
      </w:pPr>
      <w:bookmarkStart w:id="3661" w:name="section_d1e014a8724a4aeab72dff663c3620c3"/>
      <w:bookmarkStart w:id="3662" w:name="_Toc181684856"/>
      <w:r>
        <w:t>Part 4 Section 19.2.2.4, colormenu (UI Default Colors)</w:t>
      </w:r>
      <w:bookmarkEnd w:id="3661"/>
      <w:bookmarkEnd w:id="3662"/>
      <w:r>
        <w:fldChar w:fldCharType="begin"/>
      </w:r>
      <w:r>
        <w:instrText xml:space="preserve"> XE "colormenu (UI Default Colors)" </w:instrText>
      </w:r>
      <w:r>
        <w:fldChar w:fldCharType="end"/>
      </w:r>
    </w:p>
    <w:p w:rsidR="000A156F" w:rsidRDefault="00A9721F">
      <w:pPr>
        <w:pStyle w:val="Definition-Field"/>
      </w:pPr>
      <w:r>
        <w:t xml:space="preserve">a.   </w:t>
      </w:r>
      <w:r>
        <w:rPr>
          <w:i/>
        </w:rPr>
        <w:t>The standard provides the default value for the extrusioncolor attribute.</w:t>
      </w:r>
    </w:p>
    <w:p w:rsidR="000A156F" w:rsidRDefault="00A9721F">
      <w:pPr>
        <w:pStyle w:val="Definition-Field2"/>
      </w:pPr>
      <w:r>
        <w:t>Offi</w:t>
      </w:r>
      <w:r>
        <w:t>ce uses the default value of fillThenLine for the extrusioncolor attribute.</w:t>
      </w:r>
    </w:p>
    <w:p w:rsidR="000A156F" w:rsidRDefault="00A9721F">
      <w:pPr>
        <w:pStyle w:val="Definition-Field"/>
      </w:pPr>
      <w:r>
        <w:t xml:space="preserve">b.   </w:t>
      </w:r>
      <w:r>
        <w:rPr>
          <w:i/>
        </w:rPr>
        <w:t>The standard provides the default value for the fillcolor attribute.</w:t>
      </w:r>
    </w:p>
    <w:p w:rsidR="000A156F" w:rsidRDefault="00A9721F">
      <w:pPr>
        <w:pStyle w:val="Definition-Field2"/>
      </w:pPr>
      <w:r>
        <w:t>Office uses a default value of FFFF00 for the fillcolor attribute.</w:t>
      </w:r>
    </w:p>
    <w:p w:rsidR="000A156F" w:rsidRDefault="00A9721F">
      <w:pPr>
        <w:pStyle w:val="Definition-Field"/>
      </w:pPr>
      <w:r>
        <w:t xml:space="preserve">c.   </w:t>
      </w:r>
      <w:r>
        <w:rPr>
          <w:i/>
        </w:rPr>
        <w:t xml:space="preserve">The standard provides the default </w:t>
      </w:r>
      <w:r>
        <w:rPr>
          <w:i/>
        </w:rPr>
        <w:t>value for the shadowcolor attribute.</w:t>
      </w:r>
    </w:p>
    <w:p w:rsidR="000A156F" w:rsidRDefault="00A9721F">
      <w:pPr>
        <w:pStyle w:val="Definition-Field2"/>
      </w:pPr>
      <w:r>
        <w:t>Office uses a default value of 808080 for the shadowcolor attribute.</w:t>
      </w:r>
    </w:p>
    <w:p w:rsidR="000A156F" w:rsidRDefault="00A9721F">
      <w:pPr>
        <w:pStyle w:val="Definition-Field"/>
      </w:pPr>
      <w:r>
        <w:t xml:space="preserve">d.   </w:t>
      </w:r>
      <w:r>
        <w:rPr>
          <w:i/>
        </w:rPr>
        <w:t>The standard provides the default value for the strokecolor attribute.</w:t>
      </w:r>
    </w:p>
    <w:p w:rsidR="000A156F" w:rsidRDefault="00A9721F">
      <w:pPr>
        <w:pStyle w:val="Definition-Field2"/>
      </w:pPr>
      <w:r>
        <w:t>Office uses a default value of 0000FF for the strokecolor attribute.</w:t>
      </w:r>
    </w:p>
    <w:p w:rsidR="000A156F" w:rsidRDefault="00A9721F">
      <w:pPr>
        <w:pStyle w:val="Definition-Field"/>
      </w:pPr>
      <w:r>
        <w:t xml:space="preserve">e.   </w:t>
      </w:r>
      <w:r>
        <w:rPr>
          <w:i/>
        </w:rPr>
        <w:t>The standard does not restrict the number of instances of this element.</w:t>
      </w:r>
    </w:p>
    <w:p w:rsidR="000A156F" w:rsidRDefault="00A9721F">
      <w:pPr>
        <w:pStyle w:val="Definition-Field2"/>
      </w:pPr>
      <w:r>
        <w:t>Office allows at most only one instance of the colormenu element in each place where it can be used.</w:t>
      </w:r>
    </w:p>
    <w:p w:rsidR="000A156F" w:rsidRDefault="00A9721F">
      <w:pPr>
        <w:pStyle w:val="Heading3"/>
      </w:pPr>
      <w:bookmarkStart w:id="3663" w:name="section_62acf3ab86d0498faa7b266e0ef527dd"/>
      <w:bookmarkStart w:id="3664" w:name="_Toc181684857"/>
      <w:r>
        <w:t>Part 4 Section 19.2.2.5, colormru (Most Recently Used Colors)</w:t>
      </w:r>
      <w:bookmarkEnd w:id="3663"/>
      <w:bookmarkEnd w:id="3664"/>
      <w:r>
        <w:fldChar w:fldCharType="begin"/>
      </w:r>
      <w:r>
        <w:instrText xml:space="preserve"> XE "colormru (Most Re</w:instrText>
      </w:r>
      <w:r>
        <w:instrText xml:space="preserve">cently Used Colors)" </w:instrText>
      </w:r>
      <w:r>
        <w:fldChar w:fldCharType="end"/>
      </w:r>
    </w:p>
    <w:p w:rsidR="000A156F" w:rsidRDefault="00A9721F">
      <w:pPr>
        <w:pStyle w:val="Definition-Field"/>
      </w:pPr>
      <w:r>
        <w:t xml:space="preserve">a.   </w:t>
      </w:r>
      <w:r>
        <w:rPr>
          <w:i/>
        </w:rPr>
        <w:t>The standard does not restrict the number of instances of this element.</w:t>
      </w:r>
    </w:p>
    <w:p w:rsidR="000A156F" w:rsidRDefault="00A9721F">
      <w:pPr>
        <w:pStyle w:val="Definition-Field2"/>
      </w:pPr>
      <w:r>
        <w:t>Office allows at most only one instance of the colormru element in each place where it can be used.</w:t>
      </w:r>
    </w:p>
    <w:p w:rsidR="000A156F" w:rsidRDefault="00A9721F">
      <w:pPr>
        <w:pStyle w:val="Heading3"/>
      </w:pPr>
      <w:bookmarkStart w:id="3665" w:name="section_7c2c12cffc6b476ca8bc3206fdc1ea78"/>
      <w:bookmarkStart w:id="3666" w:name="_Toc181684858"/>
      <w:r>
        <w:lastRenderedPageBreak/>
        <w:t>Part 4 Section 19.2.2.6, column (Text Box Interior Stro</w:t>
      </w:r>
      <w:r>
        <w:t>ke)</w:t>
      </w:r>
      <w:bookmarkEnd w:id="3665"/>
      <w:bookmarkEnd w:id="3666"/>
      <w:r>
        <w:fldChar w:fldCharType="begin"/>
      </w:r>
      <w:r>
        <w:instrText xml:space="preserve"> XE "column (Text Box Interior Stroke)"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0A156F" w:rsidRDefault="00A9721F">
      <w:pPr>
        <w:pStyle w:val="Definition-Field"/>
      </w:pPr>
      <w:r>
        <w:t xml:space="preserve">a.   </w:t>
      </w:r>
      <w:r>
        <w:rPr>
          <w:i/>
        </w:rPr>
        <w:t>The standard indicates the conditions under which the column element is displayed.</w:t>
      </w:r>
    </w:p>
    <w:p w:rsidR="000A156F" w:rsidRDefault="00A9721F">
      <w:r>
        <w:t>In Office, this e</w:t>
      </w:r>
      <w:r>
        <w:t>lement is only displayed if all of the following conditions are met:</w:t>
      </w:r>
    </w:p>
    <w:p w:rsidR="000A156F" w:rsidRDefault="00A9721F">
      <w:pPr>
        <w:pStyle w:val="ListParagraph"/>
        <w:numPr>
          <w:ilvl w:val="0"/>
          <w:numId w:val="183"/>
        </w:numPr>
        <w:contextualSpacing/>
      </w:pPr>
      <w:r>
        <w:t xml:space="preserve">The </w:t>
      </w:r>
      <w:r>
        <w:rPr>
          <w:b/>
        </w:rPr>
        <w:t>on</w:t>
      </w:r>
      <w:r>
        <w:t xml:space="preserve"> attribute is </w:t>
      </w:r>
      <w:r>
        <w:rPr>
          <w:i/>
        </w:rPr>
        <w:t>true</w:t>
      </w:r>
      <w:r>
        <w:t>.</w:t>
      </w:r>
    </w:p>
    <w:p w:rsidR="000A156F" w:rsidRDefault="00A9721F">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0A156F" w:rsidRDefault="00A9721F">
      <w:pPr>
        <w:pStyle w:val="ListParagraph"/>
        <w:numPr>
          <w:ilvl w:val="0"/>
          <w:numId w:val="183"/>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 Definition)")  satisfies this condition: </w:t>
      </w:r>
      <w:r>
        <w:rPr>
          <w:rStyle w:val="InlineCode"/>
        </w:rPr>
        <w:t>path="m,l,21600r21600,l21600,xe"</w:t>
      </w:r>
      <w:r>
        <w:t xml:space="preserve"> end example]</w:t>
      </w:r>
    </w:p>
    <w:p w:rsidR="000A156F" w:rsidRDefault="00A9721F">
      <w:pPr>
        <w:pStyle w:val="ListParagraph"/>
        <w:numPr>
          <w:ilvl w:val="0"/>
          <w:numId w:val="183"/>
        </w:numPr>
        <w:contextualSpacing/>
      </w:pPr>
      <w:r>
        <w:t xml:space="preserve">The value of the shape’s </w:t>
      </w:r>
      <w:r>
        <w:rPr>
          <w:b/>
        </w:rPr>
        <w:t>spt</w:t>
      </w:r>
      <w:r>
        <w:t xml:space="preserve"> attribute is </w:t>
      </w:r>
      <w:r>
        <w:rPr>
          <w:i/>
        </w:rPr>
        <w:t>202</w:t>
      </w:r>
      <w:r>
        <w:t>.</w:t>
      </w:r>
    </w:p>
    <w:p w:rsidR="000A156F" w:rsidRDefault="00A9721F">
      <w:pPr>
        <w:pStyle w:val="ListParagraph"/>
        <w:numPr>
          <w:ilvl w:val="0"/>
          <w:numId w:val="183"/>
        </w:numPr>
      </w:pPr>
      <w:r>
        <w:t>The shape is not stroked.</w:t>
      </w:r>
    </w:p>
    <w:p w:rsidR="000A156F" w:rsidRDefault="00A9721F">
      <w:r>
        <w:t xml:space="preserve">If the </w:t>
      </w:r>
      <w:r>
        <w:rPr>
          <w:b/>
        </w:rPr>
        <w:t>on</w:t>
      </w:r>
      <w:r>
        <w:t xml:space="preserve"> attribute is </w:t>
      </w:r>
      <w:r>
        <w:rPr>
          <w:i/>
        </w:rPr>
        <w:t>false</w:t>
      </w:r>
      <w:r>
        <w:t xml:space="preserve"> or not specified, the border is not shown.</w:t>
      </w:r>
    </w:p>
    <w:p w:rsidR="000A156F" w:rsidRDefault="00A9721F">
      <w:r>
        <w:t>[</w:t>
      </w:r>
      <w:r>
        <w:rPr>
          <w:i/>
        </w:rPr>
        <w:t>Note:</w:t>
      </w:r>
      <w:r>
        <w:t xml:space="preserve"> The shape is not stroked if one of the following conditions is true:</w:t>
      </w:r>
    </w:p>
    <w:p w:rsidR="000A156F" w:rsidRDefault="00A9721F">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0A156F" w:rsidRDefault="00A9721F">
      <w:pPr>
        <w:pStyle w:val="ListParagraph"/>
        <w:numPr>
          <w:ilvl w:val="0"/>
          <w:numId w:val="184"/>
        </w:numPr>
        <w:contextualSpacing/>
      </w:pPr>
      <w:r>
        <w:t xml:space="preserve">The </w:t>
      </w:r>
      <w:r>
        <w:rPr>
          <w:b/>
        </w:rPr>
        <w:t>on</w:t>
      </w:r>
      <w:r>
        <w:t xml:space="preserve"> att</w:t>
      </w:r>
      <w:r>
        <w:t xml:space="preserve">ribute of the </w:t>
      </w:r>
      <w:r>
        <w:rPr>
          <w:b/>
        </w:rPr>
        <w:t>stroke</w:t>
      </w:r>
      <w:r>
        <w:t xml:space="preserve"> element is absent and the value of the shape’s </w:t>
      </w:r>
      <w:r>
        <w:rPr>
          <w:b/>
        </w:rPr>
        <w:t>stroked</w:t>
      </w:r>
      <w:r>
        <w:t xml:space="preserve"> attribute is </w:t>
      </w:r>
      <w:r>
        <w:rPr>
          <w:i/>
        </w:rPr>
        <w:t>false</w:t>
      </w:r>
      <w:r>
        <w:t>.</w:t>
      </w:r>
    </w:p>
    <w:p w:rsidR="000A156F" w:rsidRDefault="00A9721F">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w:t>
      </w:r>
      <w:r>
        <w:t xml:space="preserve">/IEC-29500-4] §19.1.2.20; shapetype (Shape Template)") is </w:t>
      </w:r>
      <w:r>
        <w:rPr>
          <w:i/>
        </w:rPr>
        <w:t>false</w:t>
      </w:r>
      <w:r>
        <w:t>.</w:t>
      </w:r>
    </w:p>
    <w:p w:rsidR="000A156F" w:rsidRDefault="00A9721F">
      <w:r>
        <w:t>end note]</w:t>
      </w:r>
    </w:p>
    <w:p w:rsidR="000A156F" w:rsidRDefault="00A9721F">
      <w:pPr>
        <w:pStyle w:val="Heading3"/>
      </w:pPr>
      <w:bookmarkStart w:id="3667" w:name="section_71df303d34714cf5bb582d71e8fecea4"/>
      <w:bookmarkStart w:id="3668" w:name="_Toc181684859"/>
      <w:r>
        <w:t>Part 4 Section 19.2.2.7, complex (Complex)</w:t>
      </w:r>
      <w:bookmarkEnd w:id="3667"/>
      <w:bookmarkEnd w:id="3668"/>
      <w:r>
        <w:fldChar w:fldCharType="begin"/>
      </w:r>
      <w:r>
        <w:instrText xml:space="preserve"> XE "complex (Complex)"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A156F" w:rsidRDefault="00A9721F">
      <w:pPr>
        <w:pStyle w:val="Heading3"/>
      </w:pPr>
      <w:bookmarkStart w:id="3669" w:name="section_d7ad8107054040ab96a6b62610ad55ce"/>
      <w:bookmarkStart w:id="3670" w:name="_Toc181684860"/>
      <w:r>
        <w:t>Part 4 Section 19.2.2.8, diagram (VML Diagram)</w:t>
      </w:r>
      <w:bookmarkEnd w:id="3669"/>
      <w:bookmarkEnd w:id="3670"/>
      <w:r>
        <w:fldChar w:fldCharType="begin"/>
      </w:r>
      <w:r>
        <w:instrText xml:space="preserve"> XE "diagram (VML Diagram)" </w:instrText>
      </w:r>
      <w:r>
        <w:fldChar w:fldCharType="end"/>
      </w:r>
    </w:p>
    <w:p w:rsidR="000A156F" w:rsidRDefault="00A9721F">
      <w:pPr>
        <w:pStyle w:val="Definition-Field2"/>
      </w:pPr>
      <w:r>
        <w:rPr>
          <w:i/>
        </w:rPr>
        <w:t>Fo</w:t>
      </w:r>
      <w:r>
        <w:rPr>
          <w:i/>
        </w:rPr>
        <w:t xml:space="preserve">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w:t>
        </w:r>
        <w:r>
          <w:rPr>
            <w:rStyle w:val="Hyperlink"/>
          </w:rPr>
          <w:t>, §17.2.1(a)</w:t>
        </w:r>
      </w:hyperlink>
      <w:r>
        <w:rPr>
          <w:i/>
        </w:rPr>
        <w:t>.</w:t>
      </w:r>
    </w:p>
    <w:p w:rsidR="000A156F" w:rsidRDefault="00A9721F">
      <w:pPr>
        <w:pStyle w:val="Definition-Field"/>
      </w:pPr>
      <w:r>
        <w:t xml:space="preserve">a.   </w:t>
      </w:r>
      <w:r>
        <w:rPr>
          <w:i/>
        </w:rPr>
        <w:t>The standard indicates that the dgmscalex attribute behavior is application-specific.</w:t>
      </w:r>
    </w:p>
    <w:p w:rsidR="000A156F" w:rsidRDefault="00A9721F">
      <w:pPr>
        <w:pStyle w:val="Definition-Field2"/>
      </w:pPr>
      <w:r>
        <w:t>In Office, dgmscalex informs the horizontal distance between shapes when the diagram is resized. Office considers this value in conjunction with the dg</w:t>
      </w:r>
      <w:r>
        <w:t>mscaley attribute to determine the position of shapes during a resize action.</w:t>
      </w:r>
    </w:p>
    <w:p w:rsidR="000A156F" w:rsidRDefault="00A9721F">
      <w:pPr>
        <w:pStyle w:val="Definition-Field"/>
      </w:pPr>
      <w:r>
        <w:t xml:space="preserve">b.   </w:t>
      </w:r>
      <w:r>
        <w:rPr>
          <w:i/>
        </w:rPr>
        <w:t>The standard indicates that the dgmscalex attribute behavior is application-specific, and does not specify a default value.</w:t>
      </w:r>
    </w:p>
    <w:p w:rsidR="000A156F" w:rsidRDefault="00A9721F">
      <w:pPr>
        <w:pStyle w:val="Definition-Field2"/>
      </w:pPr>
      <w:r>
        <w:t xml:space="preserve">In Office the dgmscalex attribute uses a default </w:t>
      </w:r>
      <w:r>
        <w:t>of 65536, which means a 1:1 scale in x. Larger values indicate a larger distance between shapes, and smaller values indicate a smaller distance.</w:t>
      </w:r>
    </w:p>
    <w:p w:rsidR="000A156F" w:rsidRDefault="00A9721F">
      <w:pPr>
        <w:pStyle w:val="Definition-Field"/>
      </w:pPr>
      <w:r>
        <w:t xml:space="preserve">c.   </w:t>
      </w:r>
      <w:r>
        <w:rPr>
          <w:i/>
        </w:rPr>
        <w:t>The standard indicates that the dgmscaley attribute behavior is application-specific.</w:t>
      </w:r>
    </w:p>
    <w:p w:rsidR="000A156F" w:rsidRDefault="00A9721F">
      <w:pPr>
        <w:pStyle w:val="Definition-Field2"/>
      </w:pPr>
      <w:r>
        <w:lastRenderedPageBreak/>
        <w:t>In Office, dgmscaley</w:t>
      </w:r>
      <w:r>
        <w:t xml:space="preserve"> informs the vertical distance between shapes when the diagram is resized. Office considers this value in conjunction with the dgmscalex attribute to determine the position of shapes during a resize action.</w:t>
      </w:r>
    </w:p>
    <w:p w:rsidR="000A156F" w:rsidRDefault="00A9721F">
      <w:pPr>
        <w:pStyle w:val="Definition-Field"/>
      </w:pPr>
      <w:r>
        <w:t xml:space="preserve">d.   </w:t>
      </w:r>
      <w:r>
        <w:rPr>
          <w:i/>
        </w:rPr>
        <w:t>The standard indicates that the dgmscaley at</w:t>
      </w:r>
      <w:r>
        <w:rPr>
          <w:i/>
        </w:rPr>
        <w:t>tribute behavior is application-specific, and does not specify a default value.</w:t>
      </w:r>
    </w:p>
    <w:p w:rsidR="000A156F" w:rsidRDefault="00A9721F">
      <w:pPr>
        <w:pStyle w:val="Definition-Field2"/>
      </w:pPr>
      <w:r>
        <w:t xml:space="preserve">In Office the dgmscaley attribute uses a default of 65536, which means a 1:1 scale in y. Larger values indicate a larger distance between shapes, and smaller values indicate a </w:t>
      </w:r>
      <w:r>
        <w:t>smaller distance.</w:t>
      </w:r>
    </w:p>
    <w:p w:rsidR="000A156F" w:rsidRDefault="00A9721F">
      <w:pPr>
        <w:pStyle w:val="Definition-Field"/>
      </w:pPr>
      <w:r>
        <w:t xml:space="preserve">e.   </w:t>
      </w:r>
      <w:r>
        <w:rPr>
          <w:i/>
        </w:rPr>
        <w:t>The standard does not define a default value for the dgmbasetextscale attribute.</w:t>
      </w:r>
    </w:p>
    <w:p w:rsidR="000A156F" w:rsidRDefault="00A9721F">
      <w:pPr>
        <w:pStyle w:val="Definition-Field2"/>
      </w:pPr>
      <w:r>
        <w:t>In Office the dgmbasetextscale attribute uses a default value of 65536, which means a 1:1 scale.</w:t>
      </w:r>
    </w:p>
    <w:p w:rsidR="000A156F" w:rsidRDefault="00A9721F">
      <w:pPr>
        <w:pStyle w:val="Definition-Field"/>
      </w:pPr>
      <w:r>
        <w:t xml:space="preserve">f.   </w:t>
      </w:r>
      <w:r>
        <w:rPr>
          <w:i/>
        </w:rPr>
        <w:t>The standard indicates how the dgmbasetextscale at</w:t>
      </w:r>
      <w:r>
        <w:rPr>
          <w:i/>
        </w:rPr>
        <w:t>tribute is used.</w:t>
      </w:r>
    </w:p>
    <w:p w:rsidR="000A156F" w:rsidRDefault="00A9721F">
      <w:pPr>
        <w:pStyle w:val="Definition-Field2"/>
      </w:pPr>
      <w:r>
        <w:t>Office uses the dgmbasetextscale attribute to specify the new font size relative to the default font size.</w:t>
      </w:r>
    </w:p>
    <w:p w:rsidR="000A156F" w:rsidRDefault="00A9721F">
      <w:pPr>
        <w:pStyle w:val="Definition-Field"/>
      </w:pPr>
      <w:r>
        <w:t xml:space="preserve">g.   </w:t>
      </w:r>
      <w:r>
        <w:rPr>
          <w:i/>
        </w:rPr>
        <w:t>The standard indicates that the constrainbounds attribute behavior is application-specific.</w:t>
      </w:r>
    </w:p>
    <w:p w:rsidR="000A156F" w:rsidRDefault="00A9721F">
      <w:pPr>
        <w:pStyle w:val="Definition-Field2"/>
      </w:pPr>
      <w:r>
        <w:t>Office uses the constrainbounds att</w:t>
      </w:r>
      <w:r>
        <w:t>ribute to fit the diagram to its container bounds. The rectangle defined by this attribute shall be inside the current diagram bounds defined by the coordorigin and coordsize attributes.</w:t>
      </w:r>
    </w:p>
    <w:p w:rsidR="000A156F" w:rsidRDefault="00A9721F">
      <w:pPr>
        <w:pStyle w:val="Definition-Field"/>
      </w:pPr>
      <w:r>
        <w:t xml:space="preserve">h.   </w:t>
      </w:r>
      <w:r>
        <w:rPr>
          <w:i/>
        </w:rPr>
        <w:t>The standard indicates that the dgmstyle attribute behavior is a</w:t>
      </w:r>
      <w:r>
        <w:rPr>
          <w:i/>
        </w:rPr>
        <w:t>pplication-specific.</w:t>
      </w:r>
    </w:p>
    <w:p w:rsidR="000A156F" w:rsidRDefault="00A9721F">
      <w:pPr>
        <w:pStyle w:val="Definition-Field2"/>
      </w:pPr>
      <w:r>
        <w:t>Office ignores the dgmstyle attribute on file load and does not guarantee preserving it on file save. Office relies on the regular formatting markup on the shape to determine if formatting properties exist on the shape.</w:t>
      </w:r>
    </w:p>
    <w:p w:rsidR="000A156F" w:rsidRDefault="00A9721F">
      <w:pPr>
        <w:pStyle w:val="Definition-Field"/>
      </w:pPr>
      <w:r>
        <w:t xml:space="preserve">i.   </w:t>
      </w:r>
      <w:r>
        <w:rPr>
          <w:i/>
        </w:rPr>
        <w:t xml:space="preserve">The </w:t>
      </w:r>
      <w:r>
        <w:rPr>
          <w:i/>
        </w:rPr>
        <w:t>standard does not restrict the number of instances of this element.</w:t>
      </w:r>
    </w:p>
    <w:p w:rsidR="000A156F" w:rsidRDefault="00A9721F">
      <w:pPr>
        <w:pStyle w:val="Definition-Field2"/>
      </w:pPr>
      <w:r>
        <w:t>Office allows at most only one instance of the diagram element in each place where it can be used.</w:t>
      </w:r>
    </w:p>
    <w:p w:rsidR="000A156F" w:rsidRDefault="00A9721F">
      <w:pPr>
        <w:pStyle w:val="Heading3"/>
      </w:pPr>
      <w:bookmarkStart w:id="3671" w:name="section_7dd065e56a594b118acc376dad8fdfcb"/>
      <w:bookmarkStart w:id="3672" w:name="_Toc181684861"/>
      <w:r>
        <w:t>Part 4 Section 19.2.2.11, extrusion (3D Extrusion)</w:t>
      </w:r>
      <w:bookmarkEnd w:id="3671"/>
      <w:bookmarkEnd w:id="3672"/>
      <w:r>
        <w:fldChar w:fldCharType="begin"/>
      </w:r>
      <w:r>
        <w:instrText xml:space="preserve"> XE "extrusion (3D Extrusion)" </w:instrText>
      </w:r>
      <w:r>
        <w:fldChar w:fldCharType="end"/>
      </w:r>
    </w:p>
    <w:p w:rsidR="000A156F" w:rsidRDefault="00A9721F">
      <w:pPr>
        <w:pStyle w:val="Definition-Field2"/>
      </w:pPr>
      <w:r>
        <w:rPr>
          <w:i/>
        </w:rPr>
        <w:t>For a</w:t>
      </w:r>
      <w:r>
        <w:rPr>
          <w:i/>
        </w:rPr>
        <w:t xml:space="preserve">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The standard does not specify bounds for the backdepth attribute.</w:t>
      </w:r>
    </w:p>
    <w:p w:rsidR="000A156F" w:rsidRDefault="00A9721F">
      <w:pPr>
        <w:pStyle w:val="Definition-Field2"/>
      </w:pPr>
      <w:r>
        <w:t>In Office the minimum value for the backdepth attribute is 0 pt and the maximum value</w:t>
      </w:r>
      <w:r>
        <w:t xml:space="preserve"> is 9600 pt.</w:t>
      </w:r>
    </w:p>
    <w:p w:rsidR="000A156F" w:rsidRDefault="00A9721F">
      <w:pPr>
        <w:pStyle w:val="Definition-Field"/>
      </w:pPr>
      <w:r>
        <w:t xml:space="preserve">b.   </w:t>
      </w:r>
      <w:r>
        <w:rPr>
          <w:i/>
        </w:rPr>
        <w:t>The standard does not specify bounds for the foredepth attribute.</w:t>
      </w:r>
    </w:p>
    <w:p w:rsidR="000A156F" w:rsidRDefault="00A9721F">
      <w:pPr>
        <w:pStyle w:val="Definition-Field2"/>
      </w:pPr>
      <w:r>
        <w:t>In Office the minimum value for the foredepth attribute is 0 pt and the maximum value is 600 pt.</w:t>
      </w:r>
    </w:p>
    <w:p w:rsidR="000A156F" w:rsidRDefault="00A9721F">
      <w:pPr>
        <w:pStyle w:val="Definition-Field"/>
      </w:pPr>
      <w:r>
        <w:t xml:space="preserve">c.   </w:t>
      </w:r>
      <w:r>
        <w:rPr>
          <w:i/>
        </w:rPr>
        <w:t>The standard indicates that the color attribute is only used when colo</w:t>
      </w:r>
      <w:r>
        <w:rPr>
          <w:i/>
        </w:rPr>
        <w:t>rmode is custom.</w:t>
      </w:r>
    </w:p>
    <w:p w:rsidR="000A156F" w:rsidRDefault="00A9721F">
      <w:pPr>
        <w:pStyle w:val="Definition-Field2"/>
      </w:pPr>
      <w:r>
        <w:t>Office uses the color attribute when colormode is custom or auto.</w:t>
      </w:r>
    </w:p>
    <w:p w:rsidR="000A156F" w:rsidRDefault="00A9721F">
      <w:pPr>
        <w:pStyle w:val="Definition-Field"/>
      </w:pPr>
      <w:r>
        <w:t xml:space="preserve">d.   </w:t>
      </w:r>
      <w:r>
        <w:rPr>
          <w:i/>
        </w:rPr>
        <w:t>The standard indicates that the colormode attribute determines where the extrusion color is defined.</w:t>
      </w:r>
    </w:p>
    <w:p w:rsidR="000A156F" w:rsidRDefault="00A9721F">
      <w:pPr>
        <w:pStyle w:val="Definition-Field2"/>
      </w:pPr>
      <w:r>
        <w:t>Office does not support the colormode attribute. The extrusion colo</w:t>
      </w:r>
      <w:r>
        <w:t>r is the color defined by the color attribute. If the color attribute is not defined, the shape’s fill color is used.</w:t>
      </w:r>
    </w:p>
    <w:p w:rsidR="000A156F" w:rsidRDefault="00A9721F">
      <w:pPr>
        <w:pStyle w:val="Definition-Field"/>
      </w:pPr>
      <w:r>
        <w:t xml:space="preserve">e.   </w:t>
      </w:r>
      <w:r>
        <w:rPr>
          <w:i/>
        </w:rPr>
        <w:t>The standard does not specify bounds for the edge attribute.</w:t>
      </w:r>
    </w:p>
    <w:p w:rsidR="000A156F" w:rsidRDefault="00A9721F">
      <w:pPr>
        <w:pStyle w:val="Definition-Field2"/>
      </w:pPr>
      <w:r>
        <w:lastRenderedPageBreak/>
        <w:t>In Office the minimum value for the edge attribute is 0 pt and the maxim</w:t>
      </w:r>
      <w:r>
        <w:t>um value is 169093 pt.</w:t>
      </w:r>
    </w:p>
    <w:p w:rsidR="000A156F" w:rsidRDefault="00A9721F">
      <w:pPr>
        <w:pStyle w:val="Definition-Field"/>
      </w:pPr>
      <w:r>
        <w:t xml:space="preserve">f.   </w:t>
      </w:r>
      <w:r>
        <w:rPr>
          <w:i/>
        </w:rPr>
        <w:t>The standard indicates the meaning of the range of values for the facet attribute.</w:t>
      </w:r>
    </w:p>
    <w:p w:rsidR="000A156F" w:rsidRDefault="00A9721F">
      <w:r>
        <w:t xml:space="preserve">In Office, a lower facet value produces shapes with smoother curves.  A higher value reduces smoothing, resulting in curves with sharper, jagged </w:t>
      </w:r>
      <w:r>
        <w:t>edges.  This value may be specified in 1/65536-ths if a trailing "f" is supplied.  The default is 30000f.</w:t>
      </w:r>
    </w:p>
    <w:p w:rsidR="000A156F" w:rsidRDefault="00A9721F">
      <w:r>
        <w:t>Values should be from 1f to 32767f, where 1f implies extremely high quality curve approximation and 32767f implies extremely low quality.</w:t>
      </w:r>
    </w:p>
    <w:p w:rsidR="000A156F" w:rsidRDefault="00A9721F">
      <w:r>
        <w:t>[Example:</w:t>
      </w:r>
    </w:p>
    <w:p w:rsidR="000A156F" w:rsidRDefault="00A9721F">
      <w:pPr>
        <w:pStyle w:val="Code"/>
      </w:pPr>
      <w:r>
        <w:t>&lt;o</w:t>
      </w:r>
      <w:r>
        <w:t>:extrusion on="true" facet="1f"&gt;</w:t>
      </w:r>
    </w:p>
    <w:p w:rsidR="000A156F" w:rsidRDefault="00A9721F">
      <w:pPr>
        <w:pStyle w:val="Code"/>
      </w:pPr>
      <w:r>
        <w:t>&lt;/o:extrusion&gt;</w:t>
      </w:r>
    </w:p>
    <w:p w:rsidR="000A156F" w:rsidRDefault="00A9721F">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70"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0A156F" w:rsidRDefault="00A9721F">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71"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0A156F" w:rsidRDefault="00A9721F">
      <w:r>
        <w:t>end example]</w:t>
      </w:r>
    </w:p>
    <w:p w:rsidR="000A156F" w:rsidRDefault="00A9721F">
      <w:pPr>
        <w:pStyle w:val="Definition-Field"/>
      </w:pPr>
      <w:r>
        <w:t xml:space="preserve">g.   </w:t>
      </w:r>
      <w:r>
        <w:rPr>
          <w:i/>
        </w:rPr>
        <w:t>The standard does not specify bounds for the orientationangle attribute.</w:t>
      </w:r>
    </w:p>
    <w:p w:rsidR="000A156F" w:rsidRDefault="00A9721F">
      <w:pPr>
        <w:pStyle w:val="Definition-Field2"/>
      </w:pPr>
      <w:r>
        <w:t>In Office the value of the orientationangle attribute may be specified in 1/65536-ths i</w:t>
      </w:r>
      <w:r>
        <w:t>f a trailing "f" is supplied.  The minimum value is -32767f and the maximum value is 32767f.</w:t>
      </w:r>
    </w:p>
    <w:p w:rsidR="000A156F" w:rsidRDefault="00A9721F">
      <w:pPr>
        <w:pStyle w:val="Definition-Field"/>
      </w:pPr>
      <w:r>
        <w:t xml:space="preserve">h.   </w:t>
      </w:r>
      <w:r>
        <w:rPr>
          <w:i/>
        </w:rPr>
        <w:t>The standard does not specify bounds for the rotationangle attribute.</w:t>
      </w:r>
    </w:p>
    <w:p w:rsidR="000A156F" w:rsidRDefault="00A9721F">
      <w:pPr>
        <w:pStyle w:val="Definition-Field2"/>
      </w:pPr>
      <w:r>
        <w:t>In Office the minimum value for the rotationangle attribute is -90 and the maximum value</w:t>
      </w:r>
      <w:r>
        <w:t xml:space="preserve"> is 90.</w:t>
      </w:r>
    </w:p>
    <w:p w:rsidR="000A156F" w:rsidRDefault="00A9721F">
      <w:pPr>
        <w:pStyle w:val="Definition-Field"/>
      </w:pPr>
      <w:r>
        <w:t xml:space="preserve">i.   </w:t>
      </w:r>
      <w:r>
        <w:rPr>
          <w:i/>
        </w:rPr>
        <w:t>The standard indicates that the plane attribute determines the extrusion direction.</w:t>
      </w:r>
    </w:p>
    <w:p w:rsidR="000A156F" w:rsidRDefault="00A9721F">
      <w:pPr>
        <w:pStyle w:val="Definition-Field2"/>
      </w:pPr>
      <w:r>
        <w:t>Office does not support the plane attribute.</w:t>
      </w:r>
    </w:p>
    <w:p w:rsidR="000A156F" w:rsidRDefault="00A9721F">
      <w:pPr>
        <w:pStyle w:val="Definition-Field"/>
      </w:pPr>
      <w:r>
        <w:t xml:space="preserve">j.   </w:t>
      </w:r>
      <w:r>
        <w:rPr>
          <w:i/>
        </w:rPr>
        <w:t>The standard does not specify bounds for the axes specified in the rotationcenter attribute.</w:t>
      </w:r>
    </w:p>
    <w:p w:rsidR="000A156F" w:rsidRDefault="00A9721F">
      <w:pPr>
        <w:pStyle w:val="Definition-Field2"/>
      </w:pPr>
      <w:r>
        <w:t xml:space="preserve">In Office, the </w:t>
      </w:r>
      <w:r>
        <w:t>minimum and maximum numeric values for the x- and y-axes are -32767 and 32767, regardless of which units are used.  The limits for the z-axis value are given by the table in ("</w:t>
      </w:r>
      <w:hyperlink r:id="rId272">
        <w:r>
          <w:rPr>
            <w:rStyle w:val="Hyperlink"/>
          </w:rPr>
          <w:t>[ISO/IEC-29500-4]</w:t>
        </w:r>
      </w:hyperlink>
      <w:r>
        <w:t xml:space="preserve"> §19.1; VML").</w:t>
      </w:r>
    </w:p>
    <w:p w:rsidR="000A156F" w:rsidRDefault="00A9721F">
      <w:pPr>
        <w:pStyle w:val="Definition-Field"/>
      </w:pPr>
      <w:r>
        <w:t xml:space="preserve">k.   </w:t>
      </w:r>
      <w:r>
        <w:rPr>
          <w:i/>
        </w:rPr>
        <w:t>The standard does not specify bounds for the skewangle attribute.</w:t>
      </w:r>
    </w:p>
    <w:p w:rsidR="000A156F" w:rsidRDefault="00A9721F">
      <w:pPr>
        <w:pStyle w:val="Definition-Field2"/>
      </w:pPr>
      <w:r>
        <w:t>In Office the minimum value for the skewangle attribute is -32767 and the maximum value is 32767.</w:t>
      </w:r>
    </w:p>
    <w:p w:rsidR="000A156F" w:rsidRDefault="00A9721F">
      <w:pPr>
        <w:pStyle w:val="Definition-Field"/>
      </w:pPr>
      <w:r>
        <w:t xml:space="preserve">l.   </w:t>
      </w:r>
      <w:r>
        <w:rPr>
          <w:i/>
        </w:rPr>
        <w:t>The standard does not restrict the number of insta</w:t>
      </w:r>
      <w:r>
        <w:rPr>
          <w:i/>
        </w:rPr>
        <w:t>nces of this element.</w:t>
      </w:r>
    </w:p>
    <w:p w:rsidR="000A156F" w:rsidRDefault="00A9721F">
      <w:pPr>
        <w:pStyle w:val="Definition-Field2"/>
      </w:pPr>
      <w:r>
        <w:t>Office allows at most only one instance of the extrusion element in each place where it can be used.</w:t>
      </w:r>
    </w:p>
    <w:p w:rsidR="000A156F" w:rsidRDefault="00A9721F">
      <w:pPr>
        <w:pStyle w:val="Definition-Field"/>
      </w:pPr>
      <w:r>
        <w:lastRenderedPageBreak/>
        <w:t xml:space="preserve">m.   </w:t>
      </w:r>
      <w:r>
        <w:rPr>
          <w:i/>
        </w:rPr>
        <w:t>The standard states that values of the brightness attribute are defined by the XML Schema string datatype.</w:t>
      </w:r>
    </w:p>
    <w:p w:rsidR="000A156F" w:rsidRDefault="00A9721F">
      <w:pPr>
        <w:pStyle w:val="Definition-Field2"/>
      </w:pPr>
      <w:r>
        <w:t>Office defines the va</w:t>
      </w:r>
      <w:r>
        <w:t>lues of the brightness attribute with the ST_Fraction (</w:t>
      </w:r>
      <w:hyperlink w:anchor="Section_c96929a126d44fe4819f37727a9492e8">
        <w:r>
          <w:rPr>
            <w:rStyle w:val="Hyperlink"/>
          </w:rPr>
          <w:t>§3.9.1, ST_Fraction</w:t>
        </w:r>
      </w:hyperlink>
      <w:r>
        <w:t>) simple type.</w:t>
      </w:r>
    </w:p>
    <w:p w:rsidR="000A156F" w:rsidRDefault="00A9721F">
      <w:pPr>
        <w:pStyle w:val="Definition-Field"/>
      </w:pPr>
      <w:r>
        <w:t xml:space="preserve">n.   </w:t>
      </w:r>
      <w:r>
        <w:rPr>
          <w:i/>
        </w:rPr>
        <w:t>The standard states that values of the diffusity attribute are defined by the XML Schema string dat</w:t>
      </w:r>
      <w:r>
        <w:rPr>
          <w:i/>
        </w:rPr>
        <w:t>atype.</w:t>
      </w:r>
    </w:p>
    <w:p w:rsidR="000A156F" w:rsidRDefault="00A9721F">
      <w:pPr>
        <w:pStyle w:val="Definition-Field2"/>
      </w:pPr>
      <w:r>
        <w:t>Office defines the values of the diffusity attribute with the ST_Fraction (§3.9.1, ST_Fraction) simple type.</w:t>
      </w:r>
    </w:p>
    <w:p w:rsidR="000A156F" w:rsidRDefault="00A9721F">
      <w:pPr>
        <w:pStyle w:val="Definition-Field"/>
      </w:pPr>
      <w:r>
        <w:t xml:space="preserve">o.   </w:t>
      </w:r>
      <w:r>
        <w:rPr>
          <w:i/>
        </w:rPr>
        <w:t>The standard states that values of the lightlevel attribute are defined by the XML Schema string datatype.</w:t>
      </w:r>
    </w:p>
    <w:p w:rsidR="000A156F" w:rsidRDefault="00A9721F">
      <w:pPr>
        <w:pStyle w:val="Definition-Field2"/>
      </w:pPr>
      <w:r>
        <w:t>Office defines the values of</w:t>
      </w:r>
      <w:r>
        <w:t xml:space="preserve"> the lightlevel attribute with the ST_Fraction (§3.9.1, ST_Fraction) simple type.</w:t>
      </w:r>
    </w:p>
    <w:p w:rsidR="000A156F" w:rsidRDefault="00A9721F">
      <w:pPr>
        <w:pStyle w:val="Definition-Field"/>
      </w:pPr>
      <w:r>
        <w:t xml:space="preserve">p.   </w:t>
      </w:r>
      <w:r>
        <w:rPr>
          <w:i/>
        </w:rPr>
        <w:t>The standard states that values of the lightlevel2 attribute are defined by the XML Schema string datatype.</w:t>
      </w:r>
    </w:p>
    <w:p w:rsidR="000A156F" w:rsidRDefault="00A9721F">
      <w:pPr>
        <w:pStyle w:val="Definition-Field2"/>
      </w:pPr>
      <w:r>
        <w:t>Office defines the values of the lightlevel2 attribute with t</w:t>
      </w:r>
      <w:r>
        <w:t>he ST_Fraction (§3.9.1, ST_Fraction) simple type.</w:t>
      </w:r>
    </w:p>
    <w:p w:rsidR="000A156F" w:rsidRDefault="00A9721F">
      <w:pPr>
        <w:pStyle w:val="Definition-Field"/>
      </w:pPr>
      <w:r>
        <w:t xml:space="preserve">q.   </w:t>
      </w:r>
      <w:r>
        <w:rPr>
          <w:i/>
        </w:rPr>
        <w:t>The standard states that values of the specularity attribute are defined by the XML Schema string datatype.</w:t>
      </w:r>
    </w:p>
    <w:p w:rsidR="000A156F" w:rsidRDefault="00A9721F">
      <w:pPr>
        <w:pStyle w:val="Definition-Field2"/>
      </w:pPr>
      <w:r>
        <w:t>Office defines the values of the specularity attribute with the ST_Fraction (§3.9.1, ST_Fract</w:t>
      </w:r>
      <w:r>
        <w:t>ion) simple type.</w:t>
      </w:r>
    </w:p>
    <w:p w:rsidR="000A156F" w:rsidRDefault="00A9721F">
      <w:pPr>
        <w:pStyle w:val="Heading3"/>
      </w:pPr>
      <w:bookmarkStart w:id="3673" w:name="section_093a3ca886ad4a0d89216b37ba1d2ce1"/>
      <w:bookmarkStart w:id="3674" w:name="_Toc181684862"/>
      <w:r>
        <w:t>Part 4 Section 19.2.2.12, FieldCodes (WordprocessingML Field Switches)</w:t>
      </w:r>
      <w:bookmarkEnd w:id="3673"/>
      <w:bookmarkEnd w:id="3674"/>
      <w:r>
        <w:fldChar w:fldCharType="begin"/>
      </w:r>
      <w:r>
        <w:instrText xml:space="preserve"> XE "FieldCodes (WordprocessingML Field Switches)" </w:instrText>
      </w:r>
      <w:r>
        <w:fldChar w:fldCharType="end"/>
      </w:r>
    </w:p>
    <w:p w:rsidR="000A156F" w:rsidRDefault="00A9721F">
      <w:pPr>
        <w:pStyle w:val="Definition-Field"/>
      </w:pPr>
      <w:r>
        <w:t xml:space="preserve">a.   </w:t>
      </w:r>
      <w:r>
        <w:rPr>
          <w:i/>
        </w:rPr>
        <w:t>The standard does not specify a default value for the FieldCodes element.</w:t>
      </w:r>
    </w:p>
    <w:p w:rsidR="000A156F" w:rsidRDefault="00A9721F">
      <w:pPr>
        <w:pStyle w:val="Definition-Field2"/>
      </w:pPr>
      <w:r>
        <w:t>Office uses a default of no value f</w:t>
      </w:r>
      <w:r>
        <w:t>or the FieldCodes element.</w:t>
      </w:r>
    </w:p>
    <w:p w:rsidR="000A156F" w:rsidRDefault="00A9721F">
      <w:pPr>
        <w:pStyle w:val="Heading3"/>
      </w:pPr>
      <w:bookmarkStart w:id="3675" w:name="section_88fe143befc34d2394b1bf137c015388"/>
      <w:bookmarkStart w:id="3676" w:name="_Toc181684863"/>
      <w:r>
        <w:t>Part 4 Section 19.2.2.13, fill (Shape Fill Extended Properties)</w:t>
      </w:r>
      <w:bookmarkEnd w:id="3675"/>
      <w:bookmarkEnd w:id="3676"/>
      <w:r>
        <w:fldChar w:fldCharType="begin"/>
      </w:r>
      <w:r>
        <w:instrText xml:space="preserve"> XE "fill (Shape Fill Extended Properties)"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A156F" w:rsidRDefault="00A9721F">
      <w:pPr>
        <w:pStyle w:val="Definition-Field"/>
      </w:pPr>
      <w:r>
        <w:t xml:space="preserve">a.   </w:t>
      </w:r>
      <w:r>
        <w:rPr>
          <w:i/>
        </w:rPr>
        <w:t>The standard indicates how the type attribute is used.</w:t>
      </w:r>
    </w:p>
    <w:p w:rsidR="000A156F" w:rsidRDefault="00A9721F">
      <w:r>
        <w:t>Office has the following behavior:</w:t>
      </w:r>
    </w:p>
    <w:p w:rsidR="000A156F" w:rsidRDefault="00A9721F">
      <w:pPr>
        <w:pStyle w:val="ListParagraph"/>
        <w:numPr>
          <w:ilvl w:val="0"/>
          <w:numId w:val="185"/>
        </w:numPr>
        <w:contextualSpacing/>
      </w:pPr>
      <w:r>
        <w:t>If the v</w:t>
      </w:r>
      <w:r>
        <w:t xml:space="preserve">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73">
        <w:r>
          <w:rPr>
            <w:rStyle w:val="Hyperlink"/>
          </w:rPr>
          <w:t>[ISO/IEC-29500-4]</w:t>
        </w:r>
      </w:hyperlink>
      <w:r>
        <w:t xml:space="preserve"> §19.1.2.5; fill (Shape Fill Properties)") is set to </w:t>
      </w:r>
      <w:r>
        <w:rPr>
          <w:i/>
        </w:rPr>
        <w:t>solid</w:t>
      </w:r>
      <w:r>
        <w:t xml:space="preserve"> on file save.</w:t>
      </w:r>
    </w:p>
    <w:p w:rsidR="000A156F" w:rsidRDefault="00A9721F">
      <w:pPr>
        <w:pStyle w:val="ListParagraph"/>
        <w:numPr>
          <w:ilvl w:val="0"/>
          <w:numId w:val="185"/>
        </w:numPr>
        <w:contextualSpacing/>
      </w:pPr>
      <w:r>
        <w:t xml:space="preserve">If the value of this attribute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0A156F" w:rsidRDefault="00A9721F">
      <w:pPr>
        <w:pStyle w:val="ListParagraph"/>
        <w:numPr>
          <w:ilvl w:val="0"/>
          <w:numId w:val="185"/>
        </w:numPr>
        <w:contextualSpacing/>
      </w:pPr>
      <w:r>
        <w:t>If the value of this attri</w:t>
      </w:r>
      <w:r>
        <w:t xml:space="preserve">bute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0A156F" w:rsidRDefault="00A9721F">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rsidR="000A156F" w:rsidRDefault="00A9721F">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then this value is app</w:t>
      </w:r>
      <w:r>
        <w:t xml:space="preserve">lied to the </w:t>
      </w:r>
      <w:r>
        <w:rPr>
          <w:b/>
        </w:rPr>
        <w:t>type</w:t>
      </w:r>
      <w:r>
        <w:t xml:space="preserve"> attribute on the parent </w:t>
      </w:r>
      <w:r>
        <w:rPr>
          <w:b/>
        </w:rPr>
        <w:t>fill</w:t>
      </w:r>
      <w:r>
        <w:t xml:space="preserve"> element ("[ISO/IEC-29500-4] §19.1.2.5; fill (Shape Fill Properties)") on file save.  Additionally, this </w:t>
      </w:r>
      <w:r>
        <w:rPr>
          <w:b/>
        </w:rPr>
        <w:t>fill</w:t>
      </w:r>
      <w:r>
        <w:t xml:space="preserve"> element is not preserved.</w:t>
      </w:r>
    </w:p>
    <w:p w:rsidR="000A156F" w:rsidRDefault="00A9721F">
      <w:pPr>
        <w:pStyle w:val="Heading3"/>
      </w:pPr>
      <w:bookmarkStart w:id="3677" w:name="section_d6a35fd178c64d449ee9d71317adf673"/>
      <w:bookmarkStart w:id="3678" w:name="_Toc181684864"/>
      <w:r>
        <w:t>Part 4 Section 19.2.2.14, idmap (Shape ID Map)</w:t>
      </w:r>
      <w:bookmarkEnd w:id="3677"/>
      <w:bookmarkEnd w:id="3678"/>
      <w:r>
        <w:fldChar w:fldCharType="begin"/>
      </w:r>
      <w:r>
        <w:instrText xml:space="preserve"> XE "idmap (Shape ID Map)" </w:instrText>
      </w:r>
      <w:r>
        <w:fldChar w:fldCharType="end"/>
      </w:r>
    </w:p>
    <w:p w:rsidR="000A156F" w:rsidRDefault="00A9721F">
      <w:pPr>
        <w:pStyle w:val="Definition-Field"/>
      </w:pPr>
      <w:r>
        <w:t xml:space="preserve">a.   </w:t>
      </w:r>
      <w:r>
        <w:rPr>
          <w:i/>
        </w:rPr>
        <w:t>The standard allows for application-dependent behavior.</w:t>
      </w:r>
    </w:p>
    <w:p w:rsidR="000A156F" w:rsidRDefault="00A9721F">
      <w:r>
        <w:t>Office ignores this value on file read. The value indicates ID blocks of 1024 values, where a value of 0 means IDs 0 to 1024, a value of 1 means IDs 1025 to 2048, and so on. If Office has at lea</w:t>
      </w:r>
      <w:r>
        <w:t>st one shape which has an ID contained in a specific block, it writes out the index for that block.</w:t>
      </w:r>
    </w:p>
    <w:p w:rsidR="000A156F" w:rsidRDefault="00A9721F">
      <w:pPr>
        <w:pStyle w:val="Heading3"/>
      </w:pPr>
      <w:bookmarkStart w:id="3679" w:name="section_05ab37aee14e424c808e6748b131c121"/>
      <w:bookmarkStart w:id="3680" w:name="_Toc181684865"/>
      <w:r>
        <w:t>Part 4 Section 19.2.2.15, ink (Ink)</w:t>
      </w:r>
      <w:bookmarkEnd w:id="3679"/>
      <w:bookmarkEnd w:id="3680"/>
      <w:r>
        <w:fldChar w:fldCharType="begin"/>
      </w:r>
      <w:r>
        <w:instrText xml:space="preserve"> XE "ink (Ink)"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0A156F" w:rsidRDefault="00A9721F">
      <w:pPr>
        <w:pStyle w:val="Definition-Field"/>
      </w:pPr>
      <w:r>
        <w:t xml:space="preserve">a.   </w:t>
      </w:r>
      <w:r>
        <w:rPr>
          <w:i/>
        </w:rPr>
        <w:t>The standard indicates that the i attribute is of type XSD:base64Binary.</w:t>
      </w:r>
    </w:p>
    <w:p w:rsidR="000A156F" w:rsidRDefault="00A9721F">
      <w:pPr>
        <w:pStyle w:val="Definition-Field2"/>
      </w:pPr>
      <w:r>
        <w:t xml:space="preserve">In Office, the value of the i attribute is defined by the Ink Serialized Format specification </w:t>
      </w:r>
      <w:hyperlink r:id="rId274">
        <w:r>
          <w:rPr>
            <w:rStyle w:val="Hyperlink"/>
          </w:rPr>
          <w:t>[MC-ISF]</w:t>
        </w:r>
      </w:hyperlink>
      <w:r>
        <w:t>.</w:t>
      </w:r>
    </w:p>
    <w:p w:rsidR="000A156F" w:rsidRDefault="00A9721F">
      <w:pPr>
        <w:pStyle w:val="Definition-Field"/>
      </w:pPr>
      <w:r>
        <w:t xml:space="preserve">b.   </w:t>
      </w:r>
      <w:r>
        <w:rPr>
          <w:i/>
        </w:rPr>
        <w:t>The standard does not restrict the number of instances of this element.</w:t>
      </w:r>
    </w:p>
    <w:p w:rsidR="000A156F" w:rsidRDefault="00A9721F">
      <w:pPr>
        <w:pStyle w:val="Definition-Field2"/>
      </w:pPr>
      <w:r>
        <w:t xml:space="preserve">Office allows at most only one instance of </w:t>
      </w:r>
      <w:r>
        <w:t>the ink element in each place where it can be used.</w:t>
      </w:r>
    </w:p>
    <w:p w:rsidR="000A156F" w:rsidRDefault="00A9721F">
      <w:pPr>
        <w:pStyle w:val="Definition-Field"/>
      </w:pPr>
      <w:r>
        <w:t xml:space="preserve">c.   </w:t>
      </w:r>
      <w:r>
        <w:rPr>
          <w:i/>
        </w:rPr>
        <w:t>The standard indicates how the annotation attribute is used.</w:t>
      </w:r>
    </w:p>
    <w:p w:rsidR="000A156F" w:rsidRDefault="00A9721F">
      <w:pPr>
        <w:pStyle w:val="Definition-Field2"/>
      </w:pPr>
      <w:r>
        <w:t>Office only writes out the value t and does not preserve other values on file save.</w:t>
      </w:r>
    </w:p>
    <w:p w:rsidR="000A156F" w:rsidRDefault="00A9721F">
      <w:pPr>
        <w:pStyle w:val="Definition-Field"/>
      </w:pPr>
      <w:r>
        <w:t xml:space="preserve">d.   </w:t>
      </w:r>
      <w:r>
        <w:rPr>
          <w:i/>
        </w:rPr>
        <w:t>The standard specifies contentType as an optional</w:t>
      </w:r>
      <w:r>
        <w:rPr>
          <w:i/>
        </w:rPr>
        <w:t xml:space="preserve"> attribute of the ink element.</w:t>
      </w:r>
    </w:p>
    <w:p w:rsidR="000A156F" w:rsidRDefault="00A9721F">
      <w:pPr>
        <w:pStyle w:val="Definition-Field2"/>
      </w:pPr>
      <w:r>
        <w:t>Office ignores this attribute on load and does not round trip it.</w:t>
      </w:r>
    </w:p>
    <w:p w:rsidR="000A156F" w:rsidRDefault="00A9721F">
      <w:pPr>
        <w:pStyle w:val="Heading3"/>
      </w:pPr>
      <w:bookmarkStart w:id="3681" w:name="section_a3049fb58be6431ea81f2e81535c0f0c"/>
      <w:bookmarkStart w:id="3682" w:name="_Toc181684866"/>
      <w:r>
        <w:t>Part 4 Section 19.2.2.16, left (Text Box Left Stroke)</w:t>
      </w:r>
      <w:bookmarkEnd w:id="3681"/>
      <w:bookmarkEnd w:id="3682"/>
      <w:r>
        <w:fldChar w:fldCharType="begin"/>
      </w:r>
      <w:r>
        <w:instrText xml:space="preserve"> XE "left (Text Box Left Stroke)" </w:instrText>
      </w:r>
      <w:r>
        <w:fldChar w:fldCharType="end"/>
      </w:r>
    </w:p>
    <w:p w:rsidR="000A156F" w:rsidRDefault="00A9721F">
      <w:pPr>
        <w:pStyle w:val="Definition-Field2"/>
      </w:pPr>
      <w:r>
        <w:rPr>
          <w:i/>
        </w:rPr>
        <w:t>For additional notes that apply to this portion of the standard, plea</w:t>
      </w:r>
      <w:r>
        <w:rPr>
          <w:i/>
        </w:rPr>
        <w:t xml:space="preserve">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w:t>
        </w:r>
        <w:r>
          <w:rPr>
            <w:rStyle w:val="Hyperlink"/>
          </w:rPr>
          <w:t>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0A156F" w:rsidRDefault="00A9721F">
      <w:pPr>
        <w:pStyle w:val="Definition-Field"/>
      </w:pPr>
      <w:r>
        <w:t xml:space="preserve">a.   </w:t>
      </w:r>
      <w:r>
        <w:rPr>
          <w:i/>
        </w:rPr>
        <w:t>The standard indicates the conditions under which the left element is displayed.</w:t>
      </w:r>
    </w:p>
    <w:p w:rsidR="000A156F" w:rsidRDefault="00A9721F">
      <w:r>
        <w:t xml:space="preserve">In Office, this element is only displayed if all </w:t>
      </w:r>
      <w:r>
        <w:t>of the following conditions are met:</w:t>
      </w:r>
    </w:p>
    <w:p w:rsidR="000A156F" w:rsidRDefault="00A9721F">
      <w:pPr>
        <w:pStyle w:val="ListParagraph"/>
        <w:numPr>
          <w:ilvl w:val="0"/>
          <w:numId w:val="186"/>
        </w:numPr>
        <w:contextualSpacing/>
      </w:pPr>
      <w:r>
        <w:t xml:space="preserve">The </w:t>
      </w:r>
      <w:r>
        <w:rPr>
          <w:b/>
        </w:rPr>
        <w:t>on</w:t>
      </w:r>
      <w:r>
        <w:t xml:space="preserve"> attribute is </w:t>
      </w:r>
      <w:r>
        <w:rPr>
          <w:i/>
        </w:rPr>
        <w:t>true</w:t>
      </w:r>
      <w:r>
        <w:t>.</w:t>
      </w:r>
    </w:p>
    <w:p w:rsidR="000A156F" w:rsidRDefault="00A9721F">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0A156F" w:rsidRDefault="00A9721F">
      <w:pPr>
        <w:pStyle w:val="ListParagraph"/>
        <w:numPr>
          <w:ilvl w:val="0"/>
          <w:numId w:val="186"/>
        </w:numPr>
        <w:contextualSpacing/>
      </w:pPr>
      <w:r>
        <w:t>The shape’s path defines a rectangle with corner coordi</w:t>
      </w:r>
      <w:r>
        <w:t xml:space="preserve">nates exactly equal to 0,0; 21600,0; 21600,21600; 0,21600.  [Example: For example, the following value on the </w:t>
      </w:r>
      <w:r>
        <w:rPr>
          <w:b/>
        </w:rPr>
        <w:t>path</w:t>
      </w:r>
      <w:r>
        <w:t xml:space="preserve"> attribute of the </w:t>
      </w:r>
      <w:r>
        <w:rPr>
          <w:b/>
        </w:rPr>
        <w:t>shape</w:t>
      </w:r>
      <w:r>
        <w:t xml:space="preserve"> element ("</w:t>
      </w:r>
      <w:hyperlink r:id="rId275">
        <w:r>
          <w:rPr>
            <w:rStyle w:val="Hyperlink"/>
          </w:rPr>
          <w:t>[ISO/IEC-29500-4]</w:t>
        </w:r>
      </w:hyperlink>
      <w:r>
        <w:t xml:space="preserve"> §19.1.2.19; shape (Shape</w:t>
      </w:r>
      <w:r>
        <w:t xml:space="preserve"> Definition)") satisfies this condition: </w:t>
      </w:r>
      <w:r>
        <w:rPr>
          <w:rStyle w:val="InlineCode"/>
        </w:rPr>
        <w:t>path="m,l,21600r21600,l21600,xe"</w:t>
      </w:r>
      <w:r>
        <w:t xml:space="preserve"> end example]</w:t>
      </w:r>
    </w:p>
    <w:p w:rsidR="000A156F" w:rsidRDefault="00A9721F">
      <w:pPr>
        <w:pStyle w:val="ListParagraph"/>
        <w:numPr>
          <w:ilvl w:val="0"/>
          <w:numId w:val="186"/>
        </w:numPr>
        <w:contextualSpacing/>
      </w:pPr>
      <w:r>
        <w:t xml:space="preserve">The value of the shape’s </w:t>
      </w:r>
      <w:r>
        <w:rPr>
          <w:b/>
        </w:rPr>
        <w:t>spt</w:t>
      </w:r>
      <w:r>
        <w:t xml:space="preserve"> attribute is </w:t>
      </w:r>
      <w:r>
        <w:rPr>
          <w:i/>
        </w:rPr>
        <w:t>202</w:t>
      </w:r>
      <w:r>
        <w:t>.</w:t>
      </w:r>
    </w:p>
    <w:p w:rsidR="000A156F" w:rsidRDefault="00A9721F">
      <w:pPr>
        <w:pStyle w:val="ListParagraph"/>
        <w:numPr>
          <w:ilvl w:val="0"/>
          <w:numId w:val="186"/>
        </w:numPr>
      </w:pPr>
      <w:r>
        <w:t>The shape is not stroked.</w:t>
      </w:r>
    </w:p>
    <w:p w:rsidR="000A156F" w:rsidRDefault="00A9721F">
      <w:r>
        <w:t xml:space="preserve">If the </w:t>
      </w:r>
      <w:r>
        <w:rPr>
          <w:b/>
        </w:rPr>
        <w:t>on</w:t>
      </w:r>
      <w:r>
        <w:t xml:space="preserve"> attribute is </w:t>
      </w:r>
      <w:r>
        <w:rPr>
          <w:i/>
        </w:rPr>
        <w:t>false</w:t>
      </w:r>
      <w:r>
        <w:t xml:space="preserve"> or not specified, the border is not shown.</w:t>
      </w:r>
    </w:p>
    <w:p w:rsidR="000A156F" w:rsidRDefault="00A9721F">
      <w:r>
        <w:t xml:space="preserve">[Note: The shape is not </w:t>
      </w:r>
      <w:r>
        <w:t>stroked if one of the following conditions is true:</w:t>
      </w:r>
    </w:p>
    <w:p w:rsidR="000A156F" w:rsidRDefault="00A9721F">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0A156F" w:rsidRDefault="00A9721F">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A156F" w:rsidRDefault="00A9721F">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0A156F" w:rsidRDefault="00A9721F">
      <w:r>
        <w:t>end</w:t>
      </w:r>
      <w:r>
        <w:t xml:space="preserve"> note]</w:t>
      </w:r>
    </w:p>
    <w:p w:rsidR="000A156F" w:rsidRDefault="00A9721F">
      <w:pPr>
        <w:pStyle w:val="Heading3"/>
      </w:pPr>
      <w:bookmarkStart w:id="3683" w:name="section_74bbd2fc5f9d4456940afe7b4aa5b4c2"/>
      <w:bookmarkStart w:id="3684" w:name="_Toc181684867"/>
      <w:r>
        <w:t>Part 4 Section 19.2.2.17, LinkType (Embedded Object Alternate Image Request)</w:t>
      </w:r>
      <w:bookmarkEnd w:id="3683"/>
      <w:bookmarkEnd w:id="3684"/>
      <w:r>
        <w:fldChar w:fldCharType="begin"/>
      </w:r>
      <w:r>
        <w:instrText xml:space="preserve"> XE "LinkType (Embedded Object Alternate Image Request)" </w:instrText>
      </w:r>
      <w:r>
        <w:fldChar w:fldCharType="end"/>
      </w:r>
    </w:p>
    <w:p w:rsidR="000A156F" w:rsidRDefault="00A9721F">
      <w:pPr>
        <w:pStyle w:val="Definition-Field"/>
      </w:pPr>
      <w:r>
        <w:t xml:space="preserve">a.   </w:t>
      </w:r>
      <w:r>
        <w:rPr>
          <w:i/>
        </w:rPr>
        <w:t>The standard does not specify a default value for the LinkType element.</w:t>
      </w:r>
    </w:p>
    <w:p w:rsidR="000A156F" w:rsidRDefault="00A9721F">
      <w:pPr>
        <w:pStyle w:val="Definition-Field2"/>
      </w:pPr>
      <w:r>
        <w:t>Office uses a default value of Bitma</w:t>
      </w:r>
      <w:r>
        <w:t>p for the LinkType element.</w:t>
      </w:r>
    </w:p>
    <w:p w:rsidR="000A156F" w:rsidRDefault="00A9721F">
      <w:pPr>
        <w:pStyle w:val="Definition-Field"/>
      </w:pPr>
      <w:r>
        <w:t xml:space="preserve">b.   </w:t>
      </w:r>
      <w:r>
        <w:rPr>
          <w:i/>
        </w:rPr>
        <w:t>The standard indicates how the LinkType element is used.</w:t>
      </w:r>
    </w:p>
    <w:p w:rsidR="000A156F" w:rsidRDefault="00A9721F">
      <w:pPr>
        <w:pStyle w:val="Definition-Field2"/>
      </w:pPr>
      <w:r>
        <w:t>n Office, the LinkType element only works for linked objects, which are objects for which the value of the Type attribute on the OLEObject element is Link.</w:t>
      </w:r>
    </w:p>
    <w:p w:rsidR="000A156F" w:rsidRDefault="00A9721F">
      <w:pPr>
        <w:pStyle w:val="Heading3"/>
      </w:pPr>
      <w:bookmarkStart w:id="3685" w:name="section_33f39c87412e4b50991fc876c605b026"/>
      <w:bookmarkStart w:id="3686" w:name="_Toc181684868"/>
      <w:r>
        <w:t>Part 4 Sec</w:t>
      </w:r>
      <w:r>
        <w:t>tion 19.2.2.18, lock (Shape Protections)</w:t>
      </w:r>
      <w:bookmarkEnd w:id="3685"/>
      <w:bookmarkEnd w:id="3686"/>
      <w:r>
        <w:fldChar w:fldCharType="begin"/>
      </w:r>
      <w:r>
        <w:instrText xml:space="preserve"> XE "lock (Shape Protections)"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r>
          <w:rPr>
            <w:rStyle w:val="Hyperlink"/>
          </w:rPr>
          <w:t>)</w:t>
        </w:r>
      </w:hyperlink>
      <w:r>
        <w:rPr>
          <w:i/>
        </w:rPr>
        <w:t xml:space="preserve">; </w:t>
      </w:r>
      <w:hyperlink w:anchor="Section_1e504bbc5f604aa1a4c0f8f3a925e6f7">
        <w:r>
          <w:rPr>
            <w:rStyle w:val="Hyperlink"/>
          </w:rPr>
          <w:t>background, §17.2.1(a)</w:t>
        </w:r>
      </w:hyperlink>
      <w:r>
        <w:rPr>
          <w:i/>
        </w:rPr>
        <w:t>.</w:t>
      </w:r>
    </w:p>
    <w:p w:rsidR="000A156F" w:rsidRDefault="00A9721F">
      <w:pPr>
        <w:pStyle w:val="Definition-Field"/>
      </w:pPr>
      <w:r>
        <w:t xml:space="preserve">a.   </w:t>
      </w:r>
      <w:r>
        <w:rPr>
          <w:i/>
        </w:rPr>
        <w:t>The standard indicates that the aspectratio attribute specifies whether the aspect ratio of a shape is locked from being edited in an application's UI.</w:t>
      </w:r>
    </w:p>
    <w:p w:rsidR="000A156F" w:rsidRDefault="00A9721F">
      <w:pPr>
        <w:pStyle w:val="Definition-Field2"/>
      </w:pPr>
      <w:r>
        <w:t xml:space="preserve">Office </w:t>
      </w:r>
      <w:r>
        <w:t>does not enforce the aspectratio attribute lock in all UI.</w:t>
      </w:r>
    </w:p>
    <w:p w:rsidR="000A156F" w:rsidRDefault="00A9721F">
      <w:pPr>
        <w:pStyle w:val="Definition-Field"/>
      </w:pPr>
      <w:r>
        <w:t xml:space="preserve">b.   </w:t>
      </w:r>
      <w:r>
        <w:rPr>
          <w:i/>
        </w:rPr>
        <w:t>The standard implies that the cropping attribute specifies whether a shape may be cropped in the application's UI.</w:t>
      </w:r>
    </w:p>
    <w:p w:rsidR="000A156F" w:rsidRDefault="00A9721F">
      <w:pPr>
        <w:pStyle w:val="Definition-Field2"/>
      </w:pPr>
      <w:r>
        <w:t>Office only allows cropping for pictures.</w:t>
      </w:r>
    </w:p>
    <w:p w:rsidR="000A156F" w:rsidRDefault="00A9721F">
      <w:pPr>
        <w:pStyle w:val="Definition-Field"/>
      </w:pPr>
      <w:r>
        <w:t xml:space="preserve">c.   </w:t>
      </w:r>
      <w:r>
        <w:rPr>
          <w:i/>
        </w:rPr>
        <w:t>The standard does not restrict</w:t>
      </w:r>
      <w:r>
        <w:rPr>
          <w:i/>
        </w:rPr>
        <w:t xml:space="preserve"> the number of instances of this element.</w:t>
      </w:r>
    </w:p>
    <w:p w:rsidR="000A156F" w:rsidRDefault="00A9721F">
      <w:pPr>
        <w:pStyle w:val="Definition-Field2"/>
      </w:pPr>
      <w:r>
        <w:t>Office allows at most only one instance of the lock element in each place where it can be used.</w:t>
      </w:r>
    </w:p>
    <w:p w:rsidR="000A156F" w:rsidRDefault="00A9721F">
      <w:pPr>
        <w:pStyle w:val="Heading3"/>
      </w:pPr>
      <w:bookmarkStart w:id="3687" w:name="section_4dc6867741fa4e15a3af9aecb84e03c9"/>
      <w:bookmarkStart w:id="3688" w:name="_Toc181684869"/>
      <w:r>
        <w:t>Part 4 Section 19.2.2.19, LockedField (Embedded Object Cannot Be Refreshed)</w:t>
      </w:r>
      <w:bookmarkEnd w:id="3687"/>
      <w:bookmarkEnd w:id="3688"/>
      <w:r>
        <w:fldChar w:fldCharType="begin"/>
      </w:r>
      <w:r>
        <w:instrText xml:space="preserve"> XE "LockedField (Embedded Object Cannot Be</w:instrText>
      </w:r>
      <w:r>
        <w:instrText xml:space="preserve"> Refreshed)" </w:instrText>
      </w:r>
      <w:r>
        <w:fldChar w:fldCharType="end"/>
      </w:r>
    </w:p>
    <w:p w:rsidR="000A156F" w:rsidRDefault="00A9721F">
      <w:pPr>
        <w:pStyle w:val="Definition-Field"/>
      </w:pPr>
      <w:r>
        <w:t xml:space="preserve">a.   </w:t>
      </w:r>
      <w:r>
        <w:rPr>
          <w:i/>
        </w:rPr>
        <w:t>The standard indicates that the LockedField element contains no content, but also has a type of ST_TrueFalseBlank.</w:t>
      </w:r>
    </w:p>
    <w:p w:rsidR="000A156F" w:rsidRDefault="00A9721F">
      <w:pPr>
        <w:pStyle w:val="Definition-Field2"/>
      </w:pPr>
      <w:r>
        <w:t>Office considers the values true and blank ("") to mean true and all other values to mean false for the LockedField elem</w:t>
      </w:r>
      <w:r>
        <w:t>ent.</w:t>
      </w:r>
    </w:p>
    <w:p w:rsidR="000A156F" w:rsidRDefault="00A9721F">
      <w:pPr>
        <w:pStyle w:val="Definition-Field"/>
      </w:pPr>
      <w:r>
        <w:t xml:space="preserve">b.   </w:t>
      </w:r>
      <w:r>
        <w:rPr>
          <w:i/>
        </w:rPr>
        <w:t>The standard does not specify a default value for the LockedField element.</w:t>
      </w:r>
    </w:p>
    <w:p w:rsidR="000A156F" w:rsidRDefault="00A9721F">
      <w:pPr>
        <w:pStyle w:val="Definition-Field2"/>
      </w:pPr>
      <w:r>
        <w:t>Office uses a default value of false for the LockedField element.</w:t>
      </w:r>
    </w:p>
    <w:p w:rsidR="000A156F" w:rsidRDefault="00A9721F">
      <w:pPr>
        <w:pStyle w:val="Definition-Field"/>
      </w:pPr>
      <w:r>
        <w:t xml:space="preserve">c.   </w:t>
      </w:r>
      <w:r>
        <w:rPr>
          <w:i/>
        </w:rPr>
        <w:t>The standard indicates how the LockedField element is used.</w:t>
      </w:r>
    </w:p>
    <w:p w:rsidR="000A156F" w:rsidRDefault="00A9721F">
      <w:pPr>
        <w:pStyle w:val="Definition-Field2"/>
      </w:pPr>
      <w:r>
        <w:t>Office only supports the LockedField ele</w:t>
      </w:r>
      <w:r>
        <w:t>ment if the embedded object is linked.</w:t>
      </w:r>
    </w:p>
    <w:p w:rsidR="000A156F" w:rsidRDefault="00A9721F">
      <w:pPr>
        <w:pStyle w:val="Definition-Field"/>
      </w:pPr>
      <w:r>
        <w:lastRenderedPageBreak/>
        <w:t xml:space="preserve">d.   </w:t>
      </w:r>
      <w:r>
        <w:rPr>
          <w:i/>
        </w:rPr>
        <w:t>The standard indicates that the value blank ("") for the LockedField element means false.</w:t>
      </w:r>
    </w:p>
    <w:p w:rsidR="000A156F" w:rsidRDefault="00A9721F">
      <w:pPr>
        <w:pStyle w:val="Definition-Field2"/>
      </w:pPr>
      <w:r>
        <w:t>Office considers blank to be true for the LockedField element.</w:t>
      </w:r>
    </w:p>
    <w:p w:rsidR="000A156F" w:rsidRDefault="00A9721F">
      <w:pPr>
        <w:pStyle w:val="Definition-Field"/>
      </w:pPr>
      <w:r>
        <w:t xml:space="preserve">e.   </w:t>
      </w:r>
      <w:r>
        <w:rPr>
          <w:i/>
        </w:rPr>
        <w:t>The standard indicates that the value t means true.</w:t>
      </w:r>
    </w:p>
    <w:p w:rsidR="000A156F" w:rsidRDefault="00A9721F">
      <w:pPr>
        <w:pStyle w:val="Definition-Field2"/>
      </w:pPr>
      <w:r>
        <w:t>Office considers the value t to mean false for the LockedField element.</w:t>
      </w:r>
    </w:p>
    <w:p w:rsidR="000A156F" w:rsidRDefault="00A9721F">
      <w:pPr>
        <w:pStyle w:val="Heading3"/>
      </w:pPr>
      <w:bookmarkStart w:id="3689" w:name="section_c9af80fa3ee44a79ace64fd46ff83957"/>
      <w:bookmarkStart w:id="3690" w:name="_Toc181684870"/>
      <w:r>
        <w:t>Part 4 Section 19.2.2.20, OLEObject (Embedded OLE Object)</w:t>
      </w:r>
      <w:bookmarkEnd w:id="3689"/>
      <w:bookmarkEnd w:id="3690"/>
      <w:r>
        <w:fldChar w:fldCharType="begin"/>
      </w:r>
      <w:r>
        <w:instrText xml:space="preserve"> XE "OLEObject (Embedded OLE Object)" </w:instrText>
      </w:r>
      <w:r>
        <w:fldChar w:fldCharType="end"/>
      </w:r>
    </w:p>
    <w:p w:rsidR="000A156F" w:rsidRDefault="00A9721F">
      <w:pPr>
        <w:pStyle w:val="Definition-Field2"/>
      </w:pPr>
      <w:r>
        <w:rPr>
          <w:i/>
        </w:rPr>
        <w:t xml:space="preserve">For additional notes that apply to this portion of the standard, please see the notes </w:t>
      </w:r>
      <w:r>
        <w:rPr>
          <w:i/>
        </w:rPr>
        <w:t xml:space="preserve">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w:t>
        </w:r>
        <w:r>
          <w:rPr>
            <w:rStyle w:val="Hyperlink"/>
          </w:rPr>
          <w:t>, §14.7.2.2(a)</w:t>
        </w:r>
      </w:hyperlink>
      <w:r>
        <w:rPr>
          <w:i/>
        </w:rPr>
        <w:t xml:space="preserve">; </w:t>
      </w:r>
      <w:hyperlink w:anchor="Section_1e504bbc5f604aa1a4c0f8f3a925e6f7">
        <w:r>
          <w:rPr>
            <w:rStyle w:val="Hyperlink"/>
          </w:rPr>
          <w:t>background, §17.2.1(a)</w:t>
        </w:r>
      </w:hyperlink>
      <w:r>
        <w:rPr>
          <w:i/>
        </w:rPr>
        <w:t>.</w:t>
      </w:r>
    </w:p>
    <w:p w:rsidR="000A156F" w:rsidRDefault="00A9721F">
      <w:pPr>
        <w:pStyle w:val="Definition-Field"/>
      </w:pPr>
      <w:r>
        <w:t xml:space="preserve">a.   </w:t>
      </w:r>
      <w:r>
        <w:rPr>
          <w:i/>
        </w:rPr>
        <w:t>The standard implies that the ObjectID attribute is used for all embedded objects.</w:t>
      </w:r>
    </w:p>
    <w:p w:rsidR="000A156F" w:rsidRDefault="00A9721F">
      <w:pPr>
        <w:pStyle w:val="Definition-Field2"/>
      </w:pPr>
      <w:r>
        <w:t>Office does not support the ObjectID attribute for linked objects</w:t>
      </w:r>
      <w:r>
        <w:t>.</w:t>
      </w:r>
    </w:p>
    <w:p w:rsidR="000A156F" w:rsidRDefault="00A9721F">
      <w:pPr>
        <w:pStyle w:val="Definition-Field"/>
      </w:pPr>
      <w:r>
        <w:t xml:space="preserve">b.   </w:t>
      </w:r>
      <w:r>
        <w:rPr>
          <w:i/>
        </w:rPr>
        <w:t>The standard indicates that the value of the ObjectID attribute is a string, but does not specify a format.</w:t>
      </w:r>
    </w:p>
    <w:p w:rsidR="000A156F" w:rsidRDefault="00A9721F">
      <w:pPr>
        <w:pStyle w:val="Definition-Field2"/>
      </w:pPr>
      <w:r>
        <w:t>Office formats the string value for the ObjectID attribute as starting with "_" followed by a number in the range 0-2147483647.</w:t>
      </w:r>
    </w:p>
    <w:p w:rsidR="000A156F" w:rsidRDefault="00A9721F">
      <w:pPr>
        <w:pStyle w:val="Definition-Field"/>
      </w:pPr>
      <w:r>
        <w:t xml:space="preserve">c.   </w:t>
      </w:r>
      <w:r>
        <w:rPr>
          <w:i/>
        </w:rPr>
        <w:t>The stan</w:t>
      </w:r>
      <w:r>
        <w:rPr>
          <w:i/>
        </w:rPr>
        <w:t>dard indicates how the ObjectID attribute is used.</w:t>
      </w:r>
    </w:p>
    <w:p w:rsidR="000A156F" w:rsidRDefault="00A9721F">
      <w:pPr>
        <w:pStyle w:val="Definition-Field2"/>
      </w:pPr>
      <w:r>
        <w:t>Office generates a new value for the ObjectID attribute on each file save.</w:t>
      </w:r>
    </w:p>
    <w:p w:rsidR="000A156F" w:rsidRDefault="00A9721F">
      <w:pPr>
        <w:pStyle w:val="Definition-Field"/>
      </w:pPr>
      <w:r>
        <w:t xml:space="preserve">d.   </w:t>
      </w:r>
      <w:r>
        <w:rPr>
          <w:i/>
        </w:rPr>
        <w:t>The standard indicates that the id, ObjectID, ProgID and ShapeID attributes are optional.</w:t>
      </w:r>
    </w:p>
    <w:p w:rsidR="000A156F" w:rsidRDefault="00A9721F">
      <w:pPr>
        <w:pStyle w:val="Definition-Field2"/>
      </w:pPr>
      <w:r>
        <w:t>Office requires that the id, Object</w:t>
      </w:r>
      <w:r>
        <w:t>ID, ProgID, and ShapeID attributes be specified for the OLEObject element, or else the embedded object is converted to a static image.</w:t>
      </w:r>
    </w:p>
    <w:p w:rsidR="000A156F" w:rsidRDefault="00A9721F">
      <w:pPr>
        <w:pStyle w:val="Heading3"/>
      </w:pPr>
      <w:bookmarkStart w:id="3691" w:name="section_5f6781486eee4abda61051e4240cbe7d"/>
      <w:bookmarkStart w:id="3692" w:name="_Toc181684871"/>
      <w:r>
        <w:t>Part 4 Section 19.2.2.21, proxy (Shape Reference)</w:t>
      </w:r>
      <w:bookmarkEnd w:id="3691"/>
      <w:bookmarkEnd w:id="3692"/>
      <w:r>
        <w:fldChar w:fldCharType="begin"/>
      </w:r>
      <w:r>
        <w:instrText xml:space="preserve"> XE "proxy (Shape Reference)" </w:instrText>
      </w:r>
      <w:r>
        <w:fldChar w:fldCharType="end"/>
      </w:r>
    </w:p>
    <w:p w:rsidR="000A156F" w:rsidRDefault="00A9721F">
      <w:pPr>
        <w:pStyle w:val="Definition-Field"/>
      </w:pPr>
      <w:r>
        <w:t xml:space="preserve">a.   </w:t>
      </w:r>
      <w:r>
        <w:rPr>
          <w:i/>
        </w:rPr>
        <w:t>The standard states that the value</w:t>
      </w:r>
      <w:r>
        <w:rPr>
          <w:i/>
        </w:rPr>
        <w:t>s of the start and end attributes are defined by the ST_TrueFalseBlank simple type.</w:t>
      </w:r>
    </w:p>
    <w:p w:rsidR="000A156F" w:rsidRDefault="00A9721F">
      <w:pPr>
        <w:pStyle w:val="Definition-Field2"/>
      </w:pPr>
      <w:r>
        <w:t>Office restricts the value of these attributes type to be blank.</w:t>
      </w:r>
    </w:p>
    <w:p w:rsidR="000A156F" w:rsidRDefault="00A9721F">
      <w:pPr>
        <w:pStyle w:val="Definition-Field"/>
      </w:pPr>
      <w:r>
        <w:t xml:space="preserve">b.   </w:t>
      </w:r>
      <w:r>
        <w:rPr>
          <w:i/>
        </w:rPr>
        <w:t>The standard states that the default value of the start and end attributes is false.</w:t>
      </w:r>
    </w:p>
    <w:p w:rsidR="000A156F" w:rsidRDefault="00A9721F">
      <w:pPr>
        <w:pStyle w:val="Definition-Field2"/>
      </w:pPr>
      <w:r>
        <w:t xml:space="preserve">Office uses a </w:t>
      </w:r>
      <w:r>
        <w:t>default value of no value for these attributes.</w:t>
      </w:r>
    </w:p>
    <w:p w:rsidR="000A156F" w:rsidRDefault="00A9721F">
      <w:pPr>
        <w:pStyle w:val="Definition-Field"/>
      </w:pPr>
      <w:r>
        <w:t xml:space="preserve">c.   </w:t>
      </w:r>
      <w:r>
        <w:rPr>
          <w:i/>
        </w:rPr>
        <w:t>The standard states that the connectloc attribute is optional.</w:t>
      </w:r>
    </w:p>
    <w:p w:rsidR="000A156F" w:rsidRDefault="00A9721F">
      <w:pPr>
        <w:pStyle w:val="Definition-Field2"/>
      </w:pPr>
      <w:r>
        <w:t>Office requires this attribute.</w:t>
      </w:r>
    </w:p>
    <w:p w:rsidR="000A156F" w:rsidRDefault="00A9721F">
      <w:pPr>
        <w:pStyle w:val="Definition-Field"/>
      </w:pPr>
      <w:r>
        <w:t xml:space="preserve">d.   </w:t>
      </w:r>
      <w:r>
        <w:rPr>
          <w:i/>
        </w:rPr>
        <w:t>The standard states that values of the idref attribute are defined by the XML Schema string datatype.</w:t>
      </w:r>
    </w:p>
    <w:p w:rsidR="000A156F" w:rsidRDefault="00A9721F">
      <w:pPr>
        <w:pStyle w:val="Definition-Field2"/>
      </w:pPr>
      <w:r>
        <w:t>O</w:t>
      </w:r>
      <w:r>
        <w:t>ffice defines the values of the idref attribute with the ST_ObjIDRef (</w:t>
      </w:r>
      <w:hyperlink w:anchor="Section_9fa89b60c362417d97158382b70c6275">
        <w:r>
          <w:rPr>
            <w:rStyle w:val="Hyperlink"/>
          </w:rPr>
          <w:t>§3.9.4, ST_ObjIDRef</w:t>
        </w:r>
      </w:hyperlink>
      <w:r>
        <w:t>) simple type.</w:t>
      </w:r>
    </w:p>
    <w:p w:rsidR="000A156F" w:rsidRDefault="00A9721F">
      <w:pPr>
        <w:pStyle w:val="Definition-Field"/>
      </w:pPr>
      <w:r>
        <w:t xml:space="preserve">e.   </w:t>
      </w:r>
      <w:r>
        <w:rPr>
          <w:i/>
        </w:rPr>
        <w:t>The standard states that the idref attribute is optional.</w:t>
      </w:r>
    </w:p>
    <w:p w:rsidR="000A156F" w:rsidRDefault="00A9721F">
      <w:pPr>
        <w:pStyle w:val="Definition-Field2"/>
      </w:pPr>
      <w:r>
        <w:t>Office requires this attri</w:t>
      </w:r>
      <w:r>
        <w:t>bute.</w:t>
      </w:r>
    </w:p>
    <w:p w:rsidR="000A156F" w:rsidRDefault="00A9721F">
      <w:pPr>
        <w:pStyle w:val="Heading3"/>
      </w:pPr>
      <w:bookmarkStart w:id="3693" w:name="section_2f8d7b7c53824e9e9365120a88a1eb5f"/>
      <w:bookmarkStart w:id="3694" w:name="_Toc181684872"/>
      <w:r>
        <w:lastRenderedPageBreak/>
        <w:t>Part 4 Section 19.2.2.22, r (Rule)</w:t>
      </w:r>
      <w:bookmarkEnd w:id="3693"/>
      <w:bookmarkEnd w:id="3694"/>
      <w:r>
        <w:fldChar w:fldCharType="begin"/>
      </w:r>
      <w:r>
        <w:instrText xml:space="preserve"> XE "r (Rule)" </w:instrText>
      </w:r>
      <w:r>
        <w:fldChar w:fldCharType="end"/>
      </w:r>
    </w:p>
    <w:p w:rsidR="000A156F" w:rsidRDefault="00A9721F">
      <w:pPr>
        <w:pStyle w:val="Definition-Field"/>
      </w:pPr>
      <w:r>
        <w:t xml:space="preserve">a.   </w:t>
      </w:r>
      <w:r>
        <w:rPr>
          <w:i/>
        </w:rPr>
        <w:t>The standard indicates how the how attribute is used.</w:t>
      </w:r>
    </w:p>
    <w:p w:rsidR="000A156F" w:rsidRDefault="00A9721F">
      <w:pPr>
        <w:pStyle w:val="Definition-Field2"/>
      </w:pPr>
      <w:r>
        <w:t>Office does not support the how attribute.</w:t>
      </w:r>
    </w:p>
    <w:p w:rsidR="000A156F" w:rsidRDefault="00A9721F">
      <w:pPr>
        <w:pStyle w:val="Definition-Field"/>
      </w:pPr>
      <w:r>
        <w:t xml:space="preserve">b.   </w:t>
      </w:r>
      <w:r>
        <w:rPr>
          <w:i/>
        </w:rPr>
        <w:t>The standard places no restrictions on how the type attribute is used.</w:t>
      </w:r>
    </w:p>
    <w:p w:rsidR="000A156F" w:rsidRDefault="00A9721F">
      <w:r>
        <w:t>Office requires that</w:t>
      </w:r>
      <w:r>
        <w:t xml:space="preserve">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value of the shape’s </w:t>
      </w:r>
      <w:r>
        <w:rPr>
          <w:b/>
        </w:rPr>
        <w:t>spt</w:t>
      </w:r>
      <w:r>
        <w:t xml:space="preserve"> attribute is 19).  If the value is </w:t>
      </w:r>
      <w:r>
        <w:rPr>
          <w:i/>
        </w:rPr>
        <w:t>callout</w:t>
      </w:r>
      <w:r>
        <w:t xml:space="preserve">, </w:t>
      </w:r>
      <w:r>
        <w:rPr>
          <w:b/>
        </w:rPr>
        <w:t>idref</w:t>
      </w:r>
      <w:r>
        <w:t xml:space="preserve"> shall refe</w:t>
      </w:r>
      <w:r>
        <w:t xml:space="preserve">rence a valid shape that is a callout.  If the value is </w:t>
      </w:r>
      <w:r>
        <w:rPr>
          <w:i/>
        </w:rPr>
        <w:t>connector</w:t>
      </w:r>
      <w:r>
        <w:t xml:space="preserve">, </w:t>
      </w:r>
      <w:r>
        <w:rPr>
          <w:b/>
        </w:rPr>
        <w:t>idref</w:t>
      </w:r>
      <w:r>
        <w:t xml:space="preserve"> shall reference a valid shape that is a connector.</w:t>
      </w:r>
    </w:p>
    <w:p w:rsidR="000A156F" w:rsidRDefault="00A9721F">
      <w:pPr>
        <w:pStyle w:val="Definition-Field"/>
      </w:pPr>
      <w:r>
        <w:t xml:space="preserve">c.   </w:t>
      </w:r>
      <w:r>
        <w:rPr>
          <w:i/>
        </w:rPr>
        <w:t>The standard indicates that align is valid value for the type attribute.</w:t>
      </w:r>
    </w:p>
    <w:p w:rsidR="000A156F" w:rsidRDefault="00A9721F">
      <w:pPr>
        <w:pStyle w:val="Definition-Field2"/>
      </w:pPr>
      <w:r>
        <w:t xml:space="preserve">Office does not support the align value for the type </w:t>
      </w:r>
      <w:r>
        <w:t>attribute.</w:t>
      </w:r>
    </w:p>
    <w:p w:rsidR="000A156F" w:rsidRDefault="00A9721F">
      <w:pPr>
        <w:pStyle w:val="Definition-Field"/>
      </w:pPr>
      <w:r>
        <w:t xml:space="preserve">d.   </w:t>
      </w:r>
      <w:r>
        <w:rPr>
          <w:i/>
        </w:rPr>
        <w:t>The standard states that values of the idref attribute are defined by the XML Schema string datatype.</w:t>
      </w:r>
    </w:p>
    <w:p w:rsidR="000A156F" w:rsidRDefault="00A9721F">
      <w:pPr>
        <w:pStyle w:val="Definition-Field2"/>
      </w:pPr>
      <w:r>
        <w:t>Office defines the values of the idref attribute with the ST_ObjIDRef (</w:t>
      </w:r>
      <w:hyperlink w:anchor="Section_9fa89b60c362417d97158382b70c6275">
        <w:r>
          <w:rPr>
            <w:rStyle w:val="Hyperlink"/>
          </w:rPr>
          <w:t>§3.9</w:t>
        </w:r>
        <w:r>
          <w:rPr>
            <w:rStyle w:val="Hyperlink"/>
          </w:rPr>
          <w:t>.4, ST_ObjIDRef</w:t>
        </w:r>
      </w:hyperlink>
      <w:r>
        <w:t>) simple type.</w:t>
      </w:r>
    </w:p>
    <w:p w:rsidR="000A156F" w:rsidRDefault="00A9721F">
      <w:pPr>
        <w:pStyle w:val="Heading3"/>
      </w:pPr>
      <w:bookmarkStart w:id="3695" w:name="section_ae0cc08c38484098b29166f68bb21916"/>
      <w:bookmarkStart w:id="3696" w:name="_Toc181684873"/>
      <w:r>
        <w:t>Part 4 Section 19.2.2.24, rel (Diagram Relationship)</w:t>
      </w:r>
      <w:bookmarkEnd w:id="3695"/>
      <w:bookmarkEnd w:id="3696"/>
      <w:r>
        <w:fldChar w:fldCharType="begin"/>
      </w:r>
      <w:r>
        <w:instrText xml:space="preserve"> XE "rel (Diagram Relationship)" </w:instrText>
      </w:r>
      <w:r>
        <w:fldChar w:fldCharType="end"/>
      </w:r>
    </w:p>
    <w:p w:rsidR="000A156F" w:rsidRDefault="00A9721F">
      <w:pPr>
        <w:pStyle w:val="Definition-Field"/>
      </w:pPr>
      <w:r>
        <w:t xml:space="preserve">a.   </w:t>
      </w:r>
      <w:r>
        <w:rPr>
          <w:i/>
        </w:rPr>
        <w:t>The standard places no restrictions on the kind of shape that is defined by the idcntr attribute.</w:t>
      </w:r>
    </w:p>
    <w:p w:rsidR="000A156F" w:rsidRDefault="00A9721F">
      <w:pPr>
        <w:pStyle w:val="Definition-Field2"/>
      </w:pPr>
      <w:r>
        <w:t xml:space="preserve">Office requires that this shape be </w:t>
      </w:r>
      <w:r>
        <w:t>a connector.</w:t>
      </w:r>
    </w:p>
    <w:p w:rsidR="000A156F" w:rsidRDefault="00A9721F">
      <w:pPr>
        <w:pStyle w:val="Definition-Field"/>
      </w:pPr>
      <w:r>
        <w:t xml:space="preserve">b.   </w:t>
      </w:r>
      <w:r>
        <w:rPr>
          <w:i/>
        </w:rPr>
        <w:t>The standard does not explicitly state that the shape identified by the idcntr attribute must exist.</w:t>
      </w:r>
    </w:p>
    <w:p w:rsidR="000A156F" w:rsidRDefault="00A9721F">
      <w:pPr>
        <w:pStyle w:val="Definition-Field2"/>
      </w:pPr>
      <w:r>
        <w:t>Office requires the shape identified by the idcntr attribute to exist.</w:t>
      </w:r>
    </w:p>
    <w:p w:rsidR="000A156F" w:rsidRDefault="00A9721F">
      <w:pPr>
        <w:pStyle w:val="Definition-Field"/>
      </w:pPr>
      <w:r>
        <w:t xml:space="preserve">c.   </w:t>
      </w:r>
      <w:r>
        <w:rPr>
          <w:i/>
        </w:rPr>
        <w:t>The standard does not explicitly state that the shape identif</w:t>
      </w:r>
      <w:r>
        <w:rPr>
          <w:i/>
        </w:rPr>
        <w:t>ied by the idsrc attribute must exist.</w:t>
      </w:r>
    </w:p>
    <w:p w:rsidR="000A156F" w:rsidRDefault="00A9721F">
      <w:pPr>
        <w:pStyle w:val="Definition-Field2"/>
      </w:pPr>
      <w:r>
        <w:t>Office requires the shape identified by the idsrc attribute to exist.</w:t>
      </w:r>
    </w:p>
    <w:p w:rsidR="000A156F" w:rsidRDefault="00A9721F">
      <w:pPr>
        <w:pStyle w:val="Definition-Field"/>
      </w:pPr>
      <w:r>
        <w:t xml:space="preserve">d.   </w:t>
      </w:r>
      <w:r>
        <w:rPr>
          <w:i/>
        </w:rPr>
        <w:t>The standard does not explicitly state that the shape identified by the iddest attribute must exist.</w:t>
      </w:r>
    </w:p>
    <w:p w:rsidR="000A156F" w:rsidRDefault="00A9721F">
      <w:pPr>
        <w:pStyle w:val="Definition-Field2"/>
      </w:pPr>
      <w:r>
        <w:t>Office requires the shape identified by t</w:t>
      </w:r>
      <w:r>
        <w:t>he iddest attribute must exist.</w:t>
      </w:r>
    </w:p>
    <w:p w:rsidR="000A156F" w:rsidRDefault="00A9721F">
      <w:pPr>
        <w:pStyle w:val="Definition-Field"/>
      </w:pPr>
      <w:r>
        <w:t xml:space="preserve">e.   </w:t>
      </w:r>
      <w:r>
        <w:rPr>
          <w:i/>
        </w:rPr>
        <w:t>The standard indicates that the idsrc, iddest and idcntr attributes are specified as a string.</w:t>
      </w:r>
    </w:p>
    <w:p w:rsidR="000A156F" w:rsidRDefault="00A9721F">
      <w:pPr>
        <w:pStyle w:val="Definition-Field2"/>
      </w:pPr>
      <w:r>
        <w:t xml:space="preserve">Office requires these attributes use a reference to an object ID in the form of an object name, as described in the </w:t>
      </w:r>
      <w:r>
        <w:t>ST_ObjIDRef (</w:t>
      </w:r>
      <w:hyperlink w:anchor="Section_9fa89b60c362417d97158382b70c6275">
        <w:r>
          <w:rPr>
            <w:rStyle w:val="Hyperlink"/>
          </w:rPr>
          <w:t>§3.9.4, ST_ObjIDRef</w:t>
        </w:r>
      </w:hyperlink>
      <w:r>
        <w:t>) simple type.</w:t>
      </w:r>
    </w:p>
    <w:p w:rsidR="000A156F" w:rsidRDefault="00A9721F">
      <w:pPr>
        <w:pStyle w:val="Heading3"/>
      </w:pPr>
      <w:bookmarkStart w:id="3697" w:name="section_713e0d91289e4e45bf52a792848206c3"/>
      <w:bookmarkStart w:id="3698" w:name="_Toc181684874"/>
      <w:r>
        <w:t>Part 4 Section 19.2.2.26, right (Text Box Right Stroke)</w:t>
      </w:r>
      <w:bookmarkEnd w:id="3697"/>
      <w:bookmarkEnd w:id="3698"/>
      <w:r>
        <w:fldChar w:fldCharType="begin"/>
      </w:r>
      <w:r>
        <w:instrText xml:space="preserve"> XE "right (Text Box Right Stroke)" </w:instrText>
      </w:r>
      <w:r>
        <w:fldChar w:fldCharType="end"/>
      </w:r>
    </w:p>
    <w:p w:rsidR="000A156F" w:rsidRDefault="00A9721F">
      <w:pPr>
        <w:pStyle w:val="Definition-Field2"/>
      </w:pPr>
      <w:r>
        <w:rPr>
          <w:i/>
        </w:rPr>
        <w:t>For additional notes that apply to this portion of t</w:t>
      </w:r>
      <w:r>
        <w:rPr>
          <w:i/>
        </w:rPr>
        <w:t xml:space="preserve">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0A156F" w:rsidRDefault="00A9721F">
      <w:pPr>
        <w:pStyle w:val="Definition-Field"/>
      </w:pPr>
      <w:r>
        <w:t xml:space="preserve">a.   </w:t>
      </w:r>
      <w:r>
        <w:rPr>
          <w:i/>
        </w:rPr>
        <w:t>The standard indicates the conditions under which the right element is displayed.</w:t>
      </w:r>
    </w:p>
    <w:p w:rsidR="000A156F" w:rsidRDefault="00A9721F">
      <w:r>
        <w:t>In Office, this element is only</w:t>
      </w:r>
      <w:r>
        <w:t xml:space="preserve"> displayed if all of the following conditions are met:</w:t>
      </w:r>
    </w:p>
    <w:p w:rsidR="000A156F" w:rsidRDefault="00A9721F">
      <w:pPr>
        <w:pStyle w:val="ListParagraph"/>
        <w:numPr>
          <w:ilvl w:val="0"/>
          <w:numId w:val="188"/>
        </w:numPr>
        <w:contextualSpacing/>
      </w:pPr>
      <w:r>
        <w:t xml:space="preserve">The </w:t>
      </w:r>
      <w:r>
        <w:rPr>
          <w:b/>
        </w:rPr>
        <w:t>on</w:t>
      </w:r>
      <w:r>
        <w:t xml:space="preserve"> attribute is </w:t>
      </w:r>
      <w:r>
        <w:rPr>
          <w:i/>
        </w:rPr>
        <w:t>true</w:t>
      </w:r>
      <w:r>
        <w:t>.</w:t>
      </w:r>
    </w:p>
    <w:p w:rsidR="000A156F" w:rsidRDefault="00A9721F">
      <w:pPr>
        <w:pStyle w:val="ListParagraph"/>
        <w:numPr>
          <w:ilvl w:val="0"/>
          <w:numId w:val="188"/>
        </w:numPr>
        <w:contextualSpacing/>
      </w:pPr>
      <w:r>
        <w:t xml:space="preserve">The shape’s path is closed with the </w:t>
      </w:r>
      <w:r>
        <w:rPr>
          <w:i/>
        </w:rPr>
        <w:t>x</w:t>
      </w:r>
      <w:r>
        <w:t xml:space="preserve"> command.  [Note: This implies that arrow heads should be defined on the stroke attribute. end note]</w:t>
      </w:r>
    </w:p>
    <w:p w:rsidR="000A156F" w:rsidRDefault="00A9721F">
      <w:pPr>
        <w:pStyle w:val="ListParagraph"/>
        <w:numPr>
          <w:ilvl w:val="0"/>
          <w:numId w:val="188"/>
        </w:numPr>
        <w:contextualSpacing/>
      </w:pPr>
      <w:r>
        <w:lastRenderedPageBreak/>
        <w:t xml:space="preserve">The shape’s path defines a rectangle </w:t>
      </w:r>
      <w:r>
        <w:t xml:space="preserve">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6">
        <w:r>
          <w:rPr>
            <w:rStyle w:val="Hyperlink"/>
          </w:rPr>
          <w:t>[ISO/IEC-29500-4]</w:t>
        </w:r>
      </w:hyperlink>
      <w:r>
        <w:t xml:space="preserve"> §19.1.</w:t>
      </w:r>
      <w:r>
        <w:t xml:space="preserve">2.19; shape (Shape Definition)") satisfies this condition: </w:t>
      </w:r>
      <w:r>
        <w:rPr>
          <w:rStyle w:val="InlineCode"/>
        </w:rPr>
        <w:t>path="m,l,21600r21600,l21600,xe"</w:t>
      </w:r>
      <w:r>
        <w:t xml:space="preserve"> end example]</w:t>
      </w:r>
    </w:p>
    <w:p w:rsidR="000A156F" w:rsidRDefault="00A9721F">
      <w:pPr>
        <w:pStyle w:val="ListParagraph"/>
        <w:numPr>
          <w:ilvl w:val="0"/>
          <w:numId w:val="188"/>
        </w:numPr>
        <w:contextualSpacing/>
      </w:pPr>
      <w:r>
        <w:t xml:space="preserve">The value of the shape’s </w:t>
      </w:r>
      <w:r>
        <w:rPr>
          <w:b/>
        </w:rPr>
        <w:t>spt</w:t>
      </w:r>
      <w:r>
        <w:t xml:space="preserve"> attribute is </w:t>
      </w:r>
      <w:r>
        <w:rPr>
          <w:i/>
        </w:rPr>
        <w:t>202</w:t>
      </w:r>
      <w:r>
        <w:t>.</w:t>
      </w:r>
    </w:p>
    <w:p w:rsidR="000A156F" w:rsidRDefault="00A9721F">
      <w:pPr>
        <w:pStyle w:val="ListParagraph"/>
        <w:numPr>
          <w:ilvl w:val="0"/>
          <w:numId w:val="188"/>
        </w:numPr>
      </w:pPr>
      <w:r>
        <w:t>The shape is not stroked.</w:t>
      </w:r>
    </w:p>
    <w:p w:rsidR="000A156F" w:rsidRDefault="00A9721F">
      <w:r>
        <w:t xml:space="preserve">If the </w:t>
      </w:r>
      <w:r>
        <w:rPr>
          <w:b/>
        </w:rPr>
        <w:t>on</w:t>
      </w:r>
      <w:r>
        <w:t xml:space="preserve"> attribute is </w:t>
      </w:r>
      <w:r>
        <w:rPr>
          <w:i/>
        </w:rPr>
        <w:t>false</w:t>
      </w:r>
      <w:r>
        <w:t xml:space="preserve"> or not specified, the border is not shown.</w:t>
      </w:r>
    </w:p>
    <w:p w:rsidR="000A156F" w:rsidRDefault="00A9721F">
      <w:r>
        <w:t>[Note:</w:t>
      </w:r>
      <w:r>
        <w:t xml:space="preserve"> The shape is not stroked if one of the following conditions is true:</w:t>
      </w:r>
    </w:p>
    <w:p w:rsidR="000A156F" w:rsidRDefault="00A9721F">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0A156F" w:rsidRDefault="00A9721F">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A156F" w:rsidRDefault="00A9721F">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w:t>
      </w:r>
      <w:r>
        <w:t xml:space="preserve">2.20; shapetype (Shape Template)") is </w:t>
      </w:r>
      <w:r>
        <w:rPr>
          <w:i/>
        </w:rPr>
        <w:t>false</w:t>
      </w:r>
      <w:r>
        <w:t>.</w:t>
      </w:r>
    </w:p>
    <w:p w:rsidR="000A156F" w:rsidRDefault="00A9721F">
      <w:r>
        <w:t>end note]</w:t>
      </w:r>
    </w:p>
    <w:p w:rsidR="000A156F" w:rsidRDefault="00A9721F">
      <w:pPr>
        <w:pStyle w:val="Heading3"/>
      </w:pPr>
      <w:bookmarkStart w:id="3699" w:name="section_30394e5a5c7e41c08891b4d803b59bb5"/>
      <w:bookmarkStart w:id="3700" w:name="_Toc181684875"/>
      <w:r>
        <w:t>Part 4 Section 19.2.2.28, shapedefaults (New Shape Defaults)</w:t>
      </w:r>
      <w:bookmarkEnd w:id="3699"/>
      <w:bookmarkEnd w:id="3700"/>
      <w:r>
        <w:fldChar w:fldCharType="begin"/>
      </w:r>
      <w:r>
        <w:instrText xml:space="preserve"> XE "shapedefaults (New Shape Defaults)"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rsidR="000A156F" w:rsidRDefault="00A9721F">
      <w:pPr>
        <w:pStyle w:val="Definition-Field"/>
      </w:pPr>
      <w:r>
        <w:t xml:space="preserve">a.   </w:t>
      </w:r>
      <w:r>
        <w:rPr>
          <w:i/>
        </w:rPr>
        <w:t>The standard makes no mention of an ins</w:t>
      </w:r>
      <w:r>
        <w:rPr>
          <w:i/>
        </w:rPr>
        <w:t>etmode attribute.</w:t>
      </w:r>
    </w:p>
    <w:p w:rsidR="000A156F" w:rsidRDefault="00A9721F">
      <w:pPr>
        <w:pStyle w:val="Definition-Field2"/>
      </w:pPr>
      <w:r>
        <w:t>Office uses this attribute to specify how inner text margins are obtained; its allowed values are defined by the ST_InsetMode simple type, with a default value of custom.</w:t>
      </w:r>
    </w:p>
    <w:p w:rsidR="000A156F" w:rsidRDefault="00A9721F">
      <w:pPr>
        <w:pStyle w:val="Definition-Field"/>
      </w:pPr>
      <w:r>
        <w:t xml:space="preserve">b.   </w:t>
      </w:r>
      <w:r>
        <w:rPr>
          <w:i/>
        </w:rPr>
        <w:t>The standard makes no mention of an allowoverlap attribute.</w:t>
      </w:r>
    </w:p>
    <w:p w:rsidR="000A156F" w:rsidRDefault="00A9721F">
      <w:pPr>
        <w:pStyle w:val="Definition-Field2"/>
      </w:pPr>
      <w:r>
        <w:t>Of</w:t>
      </w:r>
      <w:r>
        <w:t>fice uses this attribute to specify whether a shape can overlap another shape; its allowed values are true and false, where false will cause the shape to shift left or right to avoid an overlap.</w:t>
      </w:r>
    </w:p>
    <w:p w:rsidR="000A156F" w:rsidRDefault="00A9721F">
      <w:pPr>
        <w:pStyle w:val="Definition-Field"/>
      </w:pPr>
      <w:r>
        <w:t xml:space="preserve">c.   </w:t>
      </w:r>
      <w:r>
        <w:rPr>
          <w:i/>
        </w:rPr>
        <w:t>The standard does not state that the imagedata element i</w:t>
      </w:r>
      <w:r>
        <w:rPr>
          <w:i/>
        </w:rPr>
        <w:t>s a valid child of the shapedefaults element.</w:t>
      </w:r>
    </w:p>
    <w:p w:rsidR="000A156F" w:rsidRDefault="00A9721F">
      <w:pPr>
        <w:pStyle w:val="Definition-Field2"/>
      </w:pPr>
      <w:r>
        <w:t>Office allows the imagedata element to be a child of the shapedefaults element.</w:t>
      </w:r>
    </w:p>
    <w:p w:rsidR="000A156F" w:rsidRDefault="00A9721F">
      <w:pPr>
        <w:pStyle w:val="Heading3"/>
      </w:pPr>
      <w:bookmarkStart w:id="3701" w:name="section_a836922427e94270a02db1c710aa8bcb"/>
      <w:bookmarkStart w:id="3702" w:name="_Toc181684876"/>
      <w:r>
        <w:t>Part 4 Section 19.2.2.29, shapelayout (Shape Layout Properties)</w:t>
      </w:r>
      <w:bookmarkEnd w:id="3701"/>
      <w:bookmarkEnd w:id="3702"/>
      <w:r>
        <w:fldChar w:fldCharType="begin"/>
      </w:r>
      <w:r>
        <w:instrText xml:space="preserve"> XE "shapelayout (Shape Layout Properties)" </w:instrText>
      </w:r>
      <w:r>
        <w:fldChar w:fldCharType="end"/>
      </w:r>
    </w:p>
    <w:p w:rsidR="000A156F" w:rsidRDefault="00A9721F">
      <w:pPr>
        <w:pStyle w:val="Definition-Field2"/>
      </w:pPr>
      <w:r>
        <w:rPr>
          <w:i/>
        </w:rPr>
        <w:t>For additional notes</w:t>
      </w:r>
      <w:r>
        <w:rPr>
          <w:i/>
        </w:rPr>
        <w:t xml:space="preserve">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0A156F" w:rsidRDefault="00A9721F">
      <w:pPr>
        <w:pStyle w:val="Heading3"/>
      </w:pPr>
      <w:bookmarkStart w:id="3703" w:name="section_16a6934dddaf47e99b2ade1f45ded0f9"/>
      <w:bookmarkStart w:id="3704" w:name="_Toc181684877"/>
      <w:r>
        <w:t>Part 4 Section 19.2.2.30, signatureline (Digital Signature Line)</w:t>
      </w:r>
      <w:bookmarkEnd w:id="3703"/>
      <w:bookmarkEnd w:id="3704"/>
      <w:r>
        <w:fldChar w:fldCharType="begin"/>
      </w:r>
      <w:r>
        <w:instrText xml:space="preserve"> XE "signatureline (Digital Signature Line)"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The standard indicates the default value for the issignatureline attribute is true.</w:t>
      </w:r>
    </w:p>
    <w:p w:rsidR="000A156F" w:rsidRDefault="00A9721F">
      <w:pPr>
        <w:pStyle w:val="Definition-Field2"/>
      </w:pPr>
      <w:r>
        <w:t>In Office, the default value or the issignatureline attribute is fa</w:t>
      </w:r>
      <w:r>
        <w:t>lse.</w:t>
      </w:r>
    </w:p>
    <w:p w:rsidR="000A156F" w:rsidRDefault="00A9721F">
      <w:pPr>
        <w:pStyle w:val="Definition-Field"/>
      </w:pPr>
      <w:r>
        <w:t xml:space="preserve">b.   </w:t>
      </w:r>
      <w:r>
        <w:rPr>
          <w:i/>
        </w:rPr>
        <w:t>The standard does not restrict the number of instances of this element.</w:t>
      </w:r>
    </w:p>
    <w:p w:rsidR="000A156F" w:rsidRDefault="00A9721F">
      <w:pPr>
        <w:pStyle w:val="Definition-Field2"/>
      </w:pPr>
      <w:r>
        <w:lastRenderedPageBreak/>
        <w:t>Office allows at most only one instance of the signatureline element in each place where it can be used.</w:t>
      </w:r>
    </w:p>
    <w:p w:rsidR="000A156F" w:rsidRDefault="00A9721F">
      <w:pPr>
        <w:pStyle w:val="Heading3"/>
      </w:pPr>
      <w:bookmarkStart w:id="3705" w:name="section_c35e498b1fca43f89b79e7646cb54ddf"/>
      <w:bookmarkStart w:id="3706" w:name="_Toc181684878"/>
      <w:r>
        <w:t>Part 4 Section 19.2.2.31, skew (Skew Transform)</w:t>
      </w:r>
      <w:bookmarkEnd w:id="3705"/>
      <w:bookmarkEnd w:id="3706"/>
      <w:r>
        <w:fldChar w:fldCharType="begin"/>
      </w:r>
      <w:r>
        <w:instrText xml:space="preserve"> XE "skew (Skew Transf</w:instrText>
      </w:r>
      <w:r>
        <w:instrText xml:space="preserve">orm)"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w:t>
        </w:r>
        <w:r>
          <w:rPr>
            <w:rStyle w:val="Hyperlink"/>
          </w:rPr>
          <w:t>.1(a)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0A156F" w:rsidRDefault="00A9721F">
      <w:pPr>
        <w:pStyle w:val="Definition-Field"/>
      </w:pPr>
      <w:r>
        <w:t xml:space="preserve">a.   </w:t>
      </w:r>
      <w:r>
        <w:rPr>
          <w:i/>
        </w:rPr>
        <w:t>The standard does not specify bounds for the matrix attribute.</w:t>
      </w:r>
    </w:p>
    <w:p w:rsidR="000A156F" w:rsidRDefault="00A9721F">
      <w:pPr>
        <w:pStyle w:val="Definition-Field2"/>
      </w:pPr>
      <w:r>
        <w:t>Office uses bounds of -2147483644f and 2147483647f  for the matrix attribute.</w:t>
      </w:r>
    </w:p>
    <w:p w:rsidR="000A156F" w:rsidRDefault="00A9721F">
      <w:pPr>
        <w:pStyle w:val="Definition-Field"/>
      </w:pPr>
      <w:r>
        <w:t>b</w:t>
      </w:r>
      <w:r>
        <w:t xml:space="preserve">.   </w:t>
      </w:r>
      <w:r>
        <w:rPr>
          <w:i/>
        </w:rPr>
        <w:t>The standard does not indicate how the matrix attribute is applied to the shape.</w:t>
      </w:r>
    </w:p>
    <w:p w:rsidR="000A156F" w:rsidRDefault="00A9721F">
      <w:r>
        <w:t>Office applies this matrix to a point in the following way.</w:t>
      </w:r>
    </w:p>
    <w:p w:rsidR="000A156F" w:rsidRDefault="00A9721F">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52"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53"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0A156F" w:rsidRDefault="00A9721F">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54"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55"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0A156F" w:rsidRDefault="00A9721F">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6"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7"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0A156F" w:rsidRDefault="00A9721F">
      <w:r>
        <w:t xml:space="preserve">The origin for the coordinate system used here is defined by the </w:t>
      </w:r>
      <w:r>
        <w:rPr>
          <w:b/>
        </w:rPr>
        <w:t>origin</w:t>
      </w:r>
      <w:r>
        <w:t xml:space="preserve"> attribute, which is dependent on the height and width of the shape.</w:t>
      </w:r>
    </w:p>
    <w:p w:rsidR="000A156F" w:rsidRDefault="00A9721F">
      <w:pPr>
        <w:pStyle w:val="Definition-Field"/>
      </w:pPr>
      <w:r>
        <w:t xml:space="preserve">c.   </w:t>
      </w:r>
      <w:r>
        <w:rPr>
          <w:i/>
        </w:rPr>
        <w:t>The standard does not restrict the number of instances of this element.</w:t>
      </w:r>
    </w:p>
    <w:p w:rsidR="000A156F" w:rsidRDefault="00A9721F">
      <w:pPr>
        <w:pStyle w:val="Definition-Field2"/>
      </w:pPr>
      <w:r>
        <w:t>Offic</w:t>
      </w:r>
      <w:r>
        <w:t>e allows at most only one instance of the skew element in each place where it can be used.</w:t>
      </w:r>
    </w:p>
    <w:p w:rsidR="000A156F" w:rsidRDefault="00A9721F">
      <w:pPr>
        <w:pStyle w:val="Definition-Field"/>
      </w:pPr>
      <w:r>
        <w:t xml:space="preserve">d.   </w:t>
      </w:r>
      <w:r>
        <w:rPr>
          <w:i/>
        </w:rPr>
        <w:t>The standard does not state how to handle the case where p_x and p_y are both 0.</w:t>
      </w:r>
    </w:p>
    <w:p w:rsidR="000A156F" w:rsidRDefault="00A9721F">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60"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8"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9"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0A156F" w:rsidRDefault="00A9721F">
      <w:pPr>
        <w:pStyle w:val="Heading3"/>
      </w:pPr>
      <w:bookmarkStart w:id="3707" w:name="section_a252e0bc71cb40caaffba6f5e565083f"/>
      <w:bookmarkStart w:id="3708" w:name="_Toc181684879"/>
      <w:r>
        <w:t>Part 4 Section 19.2.2.32, top (Text Box Top</w:t>
      </w:r>
      <w:r>
        <w:t xml:space="preserve"> Stroke)</w:t>
      </w:r>
      <w:bookmarkEnd w:id="3707"/>
      <w:bookmarkEnd w:id="3708"/>
      <w:r>
        <w:fldChar w:fldCharType="begin"/>
      </w:r>
      <w:r>
        <w:instrText xml:space="preserve"> XE "top (Text Box Top Stroke)"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0A156F" w:rsidRDefault="00A9721F">
      <w:pPr>
        <w:pStyle w:val="Definition-Field"/>
      </w:pPr>
      <w:r>
        <w:t xml:space="preserve">a.   </w:t>
      </w:r>
      <w:r>
        <w:rPr>
          <w:i/>
        </w:rPr>
        <w:t>The standard indic</w:t>
      </w:r>
      <w:r>
        <w:rPr>
          <w:i/>
        </w:rPr>
        <w:t>ates the conditions under which the top element is displayed.</w:t>
      </w:r>
    </w:p>
    <w:p w:rsidR="000A156F" w:rsidRDefault="00A9721F">
      <w:r>
        <w:t>In Office, this element is only displayed if all of the following conditions are met:</w:t>
      </w:r>
    </w:p>
    <w:p w:rsidR="000A156F" w:rsidRDefault="00A9721F">
      <w:pPr>
        <w:pStyle w:val="ListParagraph"/>
        <w:numPr>
          <w:ilvl w:val="0"/>
          <w:numId w:val="190"/>
        </w:numPr>
        <w:contextualSpacing/>
      </w:pPr>
      <w:r>
        <w:t xml:space="preserve">The </w:t>
      </w:r>
      <w:r>
        <w:rPr>
          <w:b/>
        </w:rPr>
        <w:t>on</w:t>
      </w:r>
      <w:r>
        <w:t xml:space="preserve"> attribute is </w:t>
      </w:r>
      <w:r>
        <w:rPr>
          <w:i/>
        </w:rPr>
        <w:t>true</w:t>
      </w:r>
      <w:r>
        <w:t>.</w:t>
      </w:r>
    </w:p>
    <w:p w:rsidR="000A156F" w:rsidRDefault="00A9721F">
      <w:pPr>
        <w:pStyle w:val="ListParagraph"/>
        <w:numPr>
          <w:ilvl w:val="0"/>
          <w:numId w:val="190"/>
        </w:numPr>
        <w:contextualSpacing/>
      </w:pPr>
      <w:r>
        <w:t xml:space="preserve">The shape’s path is closed with the </w:t>
      </w:r>
      <w:r>
        <w:rPr>
          <w:i/>
        </w:rPr>
        <w:t>x</w:t>
      </w:r>
      <w:r>
        <w:t xml:space="preserve"> command.  [Note: This implies that arrow hea</w:t>
      </w:r>
      <w:r>
        <w:t>ds should be defined on the stroke attribute. end note]</w:t>
      </w:r>
    </w:p>
    <w:p w:rsidR="000A156F" w:rsidRDefault="00A9721F">
      <w:pPr>
        <w:pStyle w:val="ListParagraph"/>
        <w:numPr>
          <w:ilvl w:val="0"/>
          <w:numId w:val="19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80">
        <w:r>
          <w:rPr>
            <w:rStyle w:val="Hyperlink"/>
          </w:rPr>
          <w:t>[ISO/IEC-29500-4]</w:t>
        </w:r>
      </w:hyperlink>
      <w:r>
        <w:t xml:space="preserve"> §19.1.2.19; shape (Shape Definition)") satisfies this condition: </w:t>
      </w:r>
      <w:r>
        <w:rPr>
          <w:rStyle w:val="InlineCode"/>
        </w:rPr>
        <w:t>path="m,l,21600r21600,l21600,xe"</w:t>
      </w:r>
      <w:r>
        <w:t xml:space="preserve"> end example]</w:t>
      </w:r>
    </w:p>
    <w:p w:rsidR="000A156F" w:rsidRDefault="00A9721F">
      <w:pPr>
        <w:pStyle w:val="ListParagraph"/>
        <w:numPr>
          <w:ilvl w:val="0"/>
          <w:numId w:val="190"/>
        </w:numPr>
        <w:contextualSpacing/>
      </w:pPr>
      <w:r>
        <w:t xml:space="preserve">The value of the shape’s </w:t>
      </w:r>
      <w:r>
        <w:rPr>
          <w:b/>
        </w:rPr>
        <w:t>spt</w:t>
      </w:r>
      <w:r>
        <w:t xml:space="preserve"> attribute is </w:t>
      </w:r>
      <w:r>
        <w:rPr>
          <w:i/>
        </w:rPr>
        <w:t>202</w:t>
      </w:r>
      <w:r>
        <w:t>.</w:t>
      </w:r>
    </w:p>
    <w:p w:rsidR="000A156F" w:rsidRDefault="00A9721F">
      <w:pPr>
        <w:pStyle w:val="ListParagraph"/>
        <w:numPr>
          <w:ilvl w:val="0"/>
          <w:numId w:val="190"/>
        </w:numPr>
      </w:pPr>
      <w:r>
        <w:t>The</w:t>
      </w:r>
      <w:r>
        <w:t xml:space="preserve"> shape is not stroked.</w:t>
      </w:r>
    </w:p>
    <w:p w:rsidR="000A156F" w:rsidRDefault="00A9721F">
      <w:r>
        <w:t xml:space="preserve">If the </w:t>
      </w:r>
      <w:r>
        <w:rPr>
          <w:b/>
        </w:rPr>
        <w:t>on</w:t>
      </w:r>
      <w:r>
        <w:t xml:space="preserve"> attribute is </w:t>
      </w:r>
      <w:r>
        <w:rPr>
          <w:i/>
        </w:rPr>
        <w:t>false</w:t>
      </w:r>
      <w:r>
        <w:t xml:space="preserve"> or not specified, the border is not shown.</w:t>
      </w:r>
    </w:p>
    <w:p w:rsidR="000A156F" w:rsidRDefault="00A9721F">
      <w:r>
        <w:lastRenderedPageBreak/>
        <w:t>[Note: The shape is not stroked if one of the following conditions is true:</w:t>
      </w:r>
    </w:p>
    <w:p w:rsidR="000A156F" w:rsidRDefault="00A9721F">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("[ISO/IEC-29500-4] §19.1.2.21; s</w:t>
      </w:r>
      <w:r>
        <w:t xml:space="preserve">troke (Line Stroke Settings)") is </w:t>
      </w:r>
      <w:r>
        <w:rPr>
          <w:i/>
        </w:rPr>
        <w:t>false</w:t>
      </w:r>
      <w:r>
        <w:t>.</w:t>
      </w:r>
    </w:p>
    <w:p w:rsidR="000A156F" w:rsidRDefault="00A9721F">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0A156F" w:rsidRDefault="00A9721F">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w:t>
      </w:r>
      <w:r>
        <w:t xml:space="preserve">e </w:t>
      </w:r>
      <w:r>
        <w:rPr>
          <w:b/>
        </w:rPr>
        <w:t>stroked</w:t>
      </w:r>
      <w:r>
        <w:t xml:space="preserve"> attribute of the </w:t>
      </w:r>
      <w:r>
        <w:rPr>
          <w:b/>
        </w:rPr>
        <w:t>shapetype</w:t>
      </w:r>
      <w:r>
        <w:t xml:space="preserve"> element ("[ISO/IEC-29500-4] §19.1.2.20; shapetype (Shape Template)") is </w:t>
      </w:r>
      <w:r>
        <w:rPr>
          <w:i/>
        </w:rPr>
        <w:t>false</w:t>
      </w:r>
      <w:r>
        <w:t>.</w:t>
      </w:r>
    </w:p>
    <w:p w:rsidR="000A156F" w:rsidRDefault="00A9721F">
      <w:r>
        <w:t>end note]</w:t>
      </w:r>
    </w:p>
    <w:p w:rsidR="000A156F" w:rsidRDefault="00A9721F">
      <w:pPr>
        <w:pStyle w:val="Heading3"/>
      </w:pPr>
      <w:bookmarkStart w:id="3709" w:name="section_8c617ecf08e444be9651baeb502cdb90"/>
      <w:bookmarkStart w:id="3710" w:name="_Toc181684880"/>
      <w:r>
        <w:t>Part 4 Section 19.2.3.3, ST_BWMode (Black And White Modes)</w:t>
      </w:r>
      <w:bookmarkEnd w:id="3709"/>
      <w:bookmarkEnd w:id="3710"/>
      <w:r>
        <w:fldChar w:fldCharType="begin"/>
      </w:r>
      <w:r>
        <w:instrText xml:space="preserve"> XE "ST_BWMode (Black And White Modes)" </w:instrText>
      </w:r>
      <w:r>
        <w:fldChar w:fldCharType="end"/>
      </w:r>
    </w:p>
    <w:p w:rsidR="000A156F" w:rsidRDefault="00A9721F">
      <w:pPr>
        <w:pStyle w:val="Definition-Field"/>
      </w:pPr>
      <w:r>
        <w:t xml:space="preserve">a.   </w:t>
      </w:r>
      <w:r>
        <w:rPr>
          <w:i/>
        </w:rPr>
        <w:t xml:space="preserve">The standard lists hide </w:t>
      </w:r>
      <w:r>
        <w:rPr>
          <w:i/>
        </w:rPr>
        <w:t>as a valid value.</w:t>
      </w:r>
    </w:p>
    <w:p w:rsidR="000A156F" w:rsidRDefault="00A9721F">
      <w:pPr>
        <w:pStyle w:val="Definition-Field2"/>
      </w:pPr>
      <w:r>
        <w:t>Office does not support the hide enumeration value.</w:t>
      </w:r>
    </w:p>
    <w:p w:rsidR="000A156F" w:rsidRDefault="00A9721F">
      <w:pPr>
        <w:pStyle w:val="Definition-Field"/>
      </w:pPr>
      <w:r>
        <w:t xml:space="preserve">b.   </w:t>
      </w:r>
      <w:r>
        <w:rPr>
          <w:i/>
        </w:rPr>
        <w:t>The standard states the name of the value that specifies light shades of gray only is lightGrayscale.</w:t>
      </w:r>
    </w:p>
    <w:p w:rsidR="000A156F" w:rsidRDefault="00A9721F">
      <w:pPr>
        <w:pStyle w:val="Definition-Field2"/>
      </w:pPr>
      <w:r>
        <w:t>Office uses the name lightGrayScale for this value.</w:t>
      </w:r>
    </w:p>
    <w:p w:rsidR="000A156F" w:rsidRDefault="00A9721F">
      <w:pPr>
        <w:pStyle w:val="Heading3"/>
      </w:pPr>
      <w:bookmarkStart w:id="3711" w:name="section_da476231647b46419fb6be577549a762"/>
      <w:bookmarkStart w:id="3712" w:name="_Toc181684881"/>
      <w:r>
        <w:t>Part 4 Section 19.2.3.4, ST_CalloutDrop (Callout Drop Location)</w:t>
      </w:r>
      <w:bookmarkEnd w:id="3711"/>
      <w:bookmarkEnd w:id="3712"/>
      <w:r>
        <w:fldChar w:fldCharType="begin"/>
      </w:r>
      <w:r>
        <w:instrText xml:space="preserve"> XE "ST_CalloutDrop (Callout Drop Location)" </w:instrText>
      </w:r>
      <w:r>
        <w:fldChar w:fldCharType="end"/>
      </w:r>
    </w:p>
    <w:p w:rsidR="000A156F" w:rsidRDefault="00A9721F">
      <w:pPr>
        <w:pStyle w:val="Definition-Field"/>
      </w:pPr>
      <w:r>
        <w:t xml:space="preserve">a.   </w:t>
      </w:r>
      <w:r>
        <w:rPr>
          <w:i/>
        </w:rPr>
        <w:t>The standard does not specify enumeration values.</w:t>
      </w:r>
    </w:p>
    <w:p w:rsidR="000A156F" w:rsidRDefault="00A9721F">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bottom</w:t>
            </w:r>
            <w:r>
              <w:t xml:space="preserve"> (B</w:t>
            </w:r>
            <w:r>
              <w:t>ottom placement)</w:t>
            </w:r>
          </w:p>
        </w:tc>
        <w:tc>
          <w:tcPr>
            <w:tcW w:w="0" w:type="auto"/>
            <w:vAlign w:val="center"/>
          </w:tcPr>
          <w:p w:rsidR="000A156F" w:rsidRDefault="00A9721F">
            <w:pPr>
              <w:pStyle w:val="TableBodyText"/>
            </w:pPr>
            <w:r>
              <w:t>Specifies that the drop is positioned at the bottom of the shape.</w:t>
            </w:r>
          </w:p>
        </w:tc>
      </w:tr>
      <w:tr w:rsidR="000A156F" w:rsidTr="000A156F">
        <w:tc>
          <w:tcPr>
            <w:tcW w:w="0" w:type="auto"/>
            <w:vAlign w:val="center"/>
          </w:tcPr>
          <w:p w:rsidR="000A156F" w:rsidRDefault="00A9721F">
            <w:pPr>
              <w:pStyle w:val="TableBodyText"/>
            </w:pPr>
            <w:r>
              <w:rPr>
                <w:b/>
              </w:rPr>
              <w:t>center</w:t>
            </w:r>
            <w:r>
              <w:t xml:space="preserve"> (Center placement)</w:t>
            </w:r>
          </w:p>
        </w:tc>
        <w:tc>
          <w:tcPr>
            <w:tcW w:w="0" w:type="auto"/>
            <w:vAlign w:val="center"/>
          </w:tcPr>
          <w:p w:rsidR="000A156F" w:rsidRDefault="00A9721F">
            <w:pPr>
              <w:pStyle w:val="TableBodyText"/>
            </w:pPr>
            <w:r>
              <w:t>Specifies that the drop is positioned at the vertical center of the shape.</w:t>
            </w:r>
          </w:p>
        </w:tc>
      </w:tr>
      <w:tr w:rsidR="000A156F" w:rsidTr="000A156F">
        <w:tc>
          <w:tcPr>
            <w:tcW w:w="0" w:type="auto"/>
            <w:vAlign w:val="center"/>
          </w:tcPr>
          <w:p w:rsidR="000A156F" w:rsidRDefault="00A9721F">
            <w:pPr>
              <w:pStyle w:val="TableBodyText"/>
            </w:pPr>
            <w:r>
              <w:rPr>
                <w:b/>
              </w:rPr>
              <w:t>top</w:t>
            </w:r>
            <w:r>
              <w:t xml:space="preserve"> (Top placement)</w:t>
            </w:r>
          </w:p>
        </w:tc>
        <w:tc>
          <w:tcPr>
            <w:tcW w:w="0" w:type="auto"/>
            <w:vAlign w:val="center"/>
          </w:tcPr>
          <w:p w:rsidR="000A156F" w:rsidRDefault="00A9721F">
            <w:pPr>
              <w:pStyle w:val="TableBodyText"/>
            </w:pPr>
            <w:r>
              <w:t xml:space="preserve">Specifies that the drop is positioned at the top </w:t>
            </w:r>
            <w:r>
              <w:t>of the shape.</w:t>
            </w:r>
          </w:p>
        </w:tc>
      </w:tr>
      <w:tr w:rsidR="000A156F" w:rsidTr="000A156F">
        <w:tc>
          <w:tcPr>
            <w:tcW w:w="0" w:type="auto"/>
            <w:vAlign w:val="center"/>
          </w:tcPr>
          <w:p w:rsidR="000A156F" w:rsidRDefault="00A9721F">
            <w:pPr>
              <w:pStyle w:val="TableBodyText"/>
            </w:pPr>
            <w:r>
              <w:rPr>
                <w:b/>
              </w:rPr>
              <w:t>user</w:t>
            </w:r>
            <w:r>
              <w:t xml:space="preserve"> (User-defined placement)</w:t>
            </w:r>
          </w:p>
        </w:tc>
        <w:tc>
          <w:tcPr>
            <w:tcW w:w="0" w:type="auto"/>
            <w:vAlign w:val="center"/>
          </w:tcPr>
          <w:p w:rsidR="000A156F" w:rsidRDefault="00A9721F">
            <w:pPr>
              <w:pStyle w:val="TableBodyText"/>
            </w:pPr>
            <w:r>
              <w:t>Specifies that the drop position is determined by the user.</w:t>
            </w:r>
          </w:p>
        </w:tc>
      </w:tr>
    </w:tbl>
    <w:p w:rsidR="000A156F" w:rsidRDefault="000A156F"/>
    <w:p w:rsidR="000A156F" w:rsidRDefault="00A9721F">
      <w:pPr>
        <w:pStyle w:val="Heading3"/>
      </w:pPr>
      <w:bookmarkStart w:id="3713" w:name="section_1f135f48bcf84e1ea0c1b1c87f553189"/>
      <w:bookmarkStart w:id="3714" w:name="_Toc181684882"/>
      <w:r>
        <w:t>Part 4 Section 19.2.3.14, ST_FillType (Shape Fill Type)</w:t>
      </w:r>
      <w:bookmarkEnd w:id="3713"/>
      <w:bookmarkEnd w:id="3714"/>
      <w:r>
        <w:fldChar w:fldCharType="begin"/>
      </w:r>
      <w:r>
        <w:instrText xml:space="preserve"> XE "ST_FillType (Shape Fill Type)" </w:instrText>
      </w:r>
      <w:r>
        <w:fldChar w:fldCharType="end"/>
      </w:r>
    </w:p>
    <w:p w:rsidR="000A156F" w:rsidRDefault="00A9721F">
      <w:pPr>
        <w:pStyle w:val="Definition-Field"/>
      </w:pPr>
      <w:r>
        <w:t xml:space="preserve">a.   </w:t>
      </w:r>
      <w:r>
        <w:rPr>
          <w:i/>
        </w:rPr>
        <w:t>The standard indicates how the pattern enumeration</w:t>
      </w:r>
      <w:r>
        <w:rPr>
          <w:i/>
        </w:rPr>
        <w:t xml:space="preserve"> value is used.</w:t>
      </w:r>
    </w:p>
    <w:p w:rsidR="000A156F" w:rsidRDefault="00A9721F">
      <w:pPr>
        <w:pStyle w:val="Definition-Field2"/>
      </w:pPr>
      <w:r>
        <w:t>Office uses the fill colors but also tiles the fill image.</w:t>
      </w:r>
    </w:p>
    <w:p w:rsidR="000A156F" w:rsidRDefault="00A9721F">
      <w:pPr>
        <w:pStyle w:val="Heading3"/>
      </w:pPr>
      <w:bookmarkStart w:id="3715" w:name="section_baf9ffb650d747c6944fdba3f307a332"/>
      <w:bookmarkStart w:id="3716" w:name="_Toc181684883"/>
      <w:r>
        <w:t>Part 4 Section 19.2.3.19, ST_OLELinkType (Embedded Object Alternate Image Request Types)</w:t>
      </w:r>
      <w:bookmarkEnd w:id="3715"/>
      <w:bookmarkEnd w:id="3716"/>
      <w:r>
        <w:fldChar w:fldCharType="begin"/>
      </w:r>
      <w:r>
        <w:instrText xml:space="preserve"> XE "ST_OLELinkType (Embedded Object Alternate Image Request Types)" </w:instrText>
      </w:r>
      <w:r>
        <w:fldChar w:fldCharType="end"/>
      </w:r>
    </w:p>
    <w:p w:rsidR="000A156F" w:rsidRDefault="00A9721F">
      <w:pPr>
        <w:pStyle w:val="Definition-Field"/>
      </w:pPr>
      <w:r>
        <w:t xml:space="preserve">a.   </w:t>
      </w:r>
      <w:r>
        <w:rPr>
          <w:i/>
        </w:rPr>
        <w:t>The standard spe</w:t>
      </w:r>
      <w:r>
        <w:rPr>
          <w:i/>
        </w:rPr>
        <w:t>cifies these supported enumeration values: Bitmap, EnhancedMetaFile, Picture,  Jpeg, Png</w:t>
      </w:r>
    </w:p>
    <w:p w:rsidR="000A156F" w:rsidRDefault="00A9721F">
      <w:pPr>
        <w:pStyle w:val="Definition-Field2"/>
      </w:pPr>
      <w:r>
        <w:t>Office supports only Bitmap, EnhancedMetaFile and Picture enumeration values, not Jpeg or Png.</w:t>
      </w:r>
    </w:p>
    <w:p w:rsidR="000A156F" w:rsidRDefault="00A9721F">
      <w:pPr>
        <w:pStyle w:val="Heading3"/>
      </w:pPr>
      <w:bookmarkStart w:id="3717" w:name="section_d0a2b96f99034c8289c27e34cc52d020"/>
      <w:bookmarkStart w:id="3718" w:name="_Toc181684884"/>
      <w:r>
        <w:lastRenderedPageBreak/>
        <w:t>Part 4 Section 19.3.2.2, borderbottom (Bottom Border)</w:t>
      </w:r>
      <w:bookmarkEnd w:id="3717"/>
      <w:bookmarkEnd w:id="3718"/>
      <w:r>
        <w:fldChar w:fldCharType="begin"/>
      </w:r>
      <w:r>
        <w:instrText xml:space="preserve"> XE "borderbottom (</w:instrText>
      </w:r>
      <w:r>
        <w:instrText xml:space="preserve">Bottom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A156F" w:rsidRDefault="00A9721F">
      <w:pPr>
        <w:pStyle w:val="Heading3"/>
      </w:pPr>
      <w:bookmarkStart w:id="3719" w:name="section_50efd17939e4450bb66ae0dd74d98853"/>
      <w:bookmarkStart w:id="3720" w:name="_Toc181684885"/>
      <w:r>
        <w:t>Part 4 Section 19.3.2.3, borderleft (Left Border)</w:t>
      </w:r>
      <w:bookmarkEnd w:id="3719"/>
      <w:bookmarkEnd w:id="3720"/>
      <w:r>
        <w:fldChar w:fldCharType="begin"/>
      </w:r>
      <w:r>
        <w:instrText xml:space="preserve"> XE "borderlef</w:instrText>
      </w:r>
      <w:r>
        <w:instrText xml:space="preserve">t (Left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A156F" w:rsidRDefault="00A9721F">
      <w:pPr>
        <w:pStyle w:val="Heading3"/>
      </w:pPr>
      <w:bookmarkStart w:id="3721" w:name="section_6e4d3dcfc0e3410a84fa7a1ea06c6256"/>
      <w:bookmarkStart w:id="3722" w:name="_Toc181684886"/>
      <w:r>
        <w:t>Part 4 Section 19.3.2.4, borderright (Right Border)</w:t>
      </w:r>
      <w:bookmarkEnd w:id="3721"/>
      <w:bookmarkEnd w:id="3722"/>
      <w:r>
        <w:fldChar w:fldCharType="begin"/>
      </w:r>
      <w:r>
        <w:instrText xml:space="preserve"> XE "border</w:instrText>
      </w:r>
      <w:r>
        <w:instrText xml:space="preserve">right (Right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A156F" w:rsidRDefault="00A9721F">
      <w:pPr>
        <w:pStyle w:val="Heading3"/>
      </w:pPr>
      <w:bookmarkStart w:id="3723" w:name="section_81843e90dc284502a2a4ec384c2f60b5"/>
      <w:bookmarkStart w:id="3724" w:name="_Toc181684887"/>
      <w:r>
        <w:t>Part 4 Section 19.3.2.5, bordertop (Top Border)</w:t>
      </w:r>
      <w:bookmarkEnd w:id="3723"/>
      <w:bookmarkEnd w:id="3724"/>
      <w:r>
        <w:fldChar w:fldCharType="begin"/>
      </w:r>
      <w:r>
        <w:instrText xml:space="preserve"> XE "borde</w:instrText>
      </w:r>
      <w:r>
        <w:instrText xml:space="preserve">rtop (Top Border)"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A156F" w:rsidRDefault="00A9721F">
      <w:pPr>
        <w:pStyle w:val="Heading3"/>
      </w:pPr>
      <w:bookmarkStart w:id="3725" w:name="section_8b6f1c0c02834e0abf36746e029bd1de"/>
      <w:bookmarkStart w:id="3726" w:name="_Toc181684888"/>
      <w:r>
        <w:t>Part 4 Section 19.3.2.6, wrap (Text Wrapping)</w:t>
      </w:r>
      <w:bookmarkEnd w:id="3725"/>
      <w:bookmarkEnd w:id="3726"/>
      <w:r>
        <w:fldChar w:fldCharType="begin"/>
      </w:r>
      <w:r>
        <w:instrText xml:space="preserve"> XE "wrap (Text</w:instrText>
      </w:r>
      <w:r>
        <w:instrText xml:space="preserve"> Wrapping)" </w:instrText>
      </w:r>
      <w:r>
        <w:fldChar w:fldCharType="end"/>
      </w:r>
    </w:p>
    <w:p w:rsidR="000A156F" w:rsidRDefault="00A9721F">
      <w:pPr>
        <w:pStyle w:val="Definition-Field"/>
      </w:pPr>
      <w:r>
        <w:t xml:space="preserve">a.   </w:t>
      </w:r>
      <w:r>
        <w:rPr>
          <w:i/>
        </w:rPr>
        <w:t>The standard indicates that the default value for the anchorx and anchory attributes is page.</w:t>
      </w:r>
    </w:p>
    <w:p w:rsidR="000A156F" w:rsidRDefault="00A9721F">
      <w:pPr>
        <w:pStyle w:val="Definition-Field2"/>
      </w:pPr>
      <w:r>
        <w:t>Office uses text as the default value for the anchorx and anchory attributes.</w:t>
      </w:r>
    </w:p>
    <w:p w:rsidR="000A156F" w:rsidRDefault="00A9721F">
      <w:pPr>
        <w:pStyle w:val="Definition-Field"/>
      </w:pPr>
      <w:r>
        <w:t xml:space="preserve">b.   </w:t>
      </w:r>
      <w:r>
        <w:rPr>
          <w:i/>
        </w:rPr>
        <w:t xml:space="preserve">The standard does not specify a default value for the type </w:t>
      </w:r>
      <w:r>
        <w:rPr>
          <w:i/>
        </w:rPr>
        <w:t>attribute.</w:t>
      </w:r>
    </w:p>
    <w:p w:rsidR="000A156F" w:rsidRDefault="00A9721F">
      <w:pPr>
        <w:pStyle w:val="Definition-Field2"/>
      </w:pPr>
      <w:r>
        <w:t>Word will use a wrap type of none if one is not specified.</w:t>
      </w:r>
    </w:p>
    <w:p w:rsidR="000A156F" w:rsidRDefault="00A9721F">
      <w:pPr>
        <w:pStyle w:val="Heading3"/>
      </w:pPr>
      <w:bookmarkStart w:id="3727" w:name="section_2db502c99202424a89598502d8894678"/>
      <w:bookmarkStart w:id="3728" w:name="_Toc181684889"/>
      <w:r>
        <w:t>Part 4 Section 19.3.3.3, ST_HorizontalAnchor (Horizontal Anchor Type)</w:t>
      </w:r>
      <w:bookmarkEnd w:id="3727"/>
      <w:bookmarkEnd w:id="3728"/>
      <w:r>
        <w:fldChar w:fldCharType="begin"/>
      </w:r>
      <w:r>
        <w:instrText xml:space="preserve"> XE "ST_HorizontalAnchor (Horizontal Anchor Type)" </w:instrText>
      </w:r>
      <w:r>
        <w:fldChar w:fldCharType="end"/>
      </w:r>
    </w:p>
    <w:p w:rsidR="000A156F" w:rsidRDefault="00A9721F">
      <w:pPr>
        <w:pStyle w:val="Definition-Field"/>
      </w:pPr>
      <w:r>
        <w:t xml:space="preserve">a.   </w:t>
      </w:r>
      <w:r>
        <w:rPr>
          <w:i/>
        </w:rPr>
        <w:t>The standard states that char is a valid value for the ST_</w:t>
      </w:r>
      <w:r>
        <w:rPr>
          <w:i/>
        </w:rPr>
        <w:t>HorizontalAnchor simple type.</w:t>
      </w:r>
    </w:p>
    <w:p w:rsidR="000A156F" w:rsidRDefault="00A9721F">
      <w:pPr>
        <w:pStyle w:val="Definition-Field2"/>
      </w:pPr>
      <w:r>
        <w:t>Office does not support this value for this simple type.</w:t>
      </w:r>
    </w:p>
    <w:p w:rsidR="000A156F" w:rsidRDefault="00A9721F">
      <w:pPr>
        <w:pStyle w:val="Heading3"/>
      </w:pPr>
      <w:bookmarkStart w:id="3729" w:name="section_45d9c9bc082746b19de0553bf9a0fe56"/>
      <w:bookmarkStart w:id="3730" w:name="_Toc181684890"/>
      <w:r>
        <w:t>Part 4 Section 19.3.3.4, ST_VerticalAnchor (Vertical Anchor Type)</w:t>
      </w:r>
      <w:bookmarkEnd w:id="3729"/>
      <w:bookmarkEnd w:id="3730"/>
      <w:r>
        <w:fldChar w:fldCharType="begin"/>
      </w:r>
      <w:r>
        <w:instrText xml:space="preserve"> XE "ST_VerticalAnchor (Vertical Anchor Type)" </w:instrText>
      </w:r>
      <w:r>
        <w:fldChar w:fldCharType="end"/>
      </w:r>
    </w:p>
    <w:p w:rsidR="000A156F" w:rsidRDefault="00A9721F">
      <w:pPr>
        <w:pStyle w:val="Definition-Field"/>
      </w:pPr>
      <w:r>
        <w:t xml:space="preserve">a.   </w:t>
      </w:r>
      <w:r>
        <w:rPr>
          <w:i/>
        </w:rPr>
        <w:t xml:space="preserve">The standard states that line is a valid value </w:t>
      </w:r>
      <w:r>
        <w:rPr>
          <w:i/>
        </w:rPr>
        <w:t>for the ST_VerticalAnchor simple type.</w:t>
      </w:r>
    </w:p>
    <w:p w:rsidR="000A156F" w:rsidRDefault="00A9721F">
      <w:pPr>
        <w:pStyle w:val="Definition-Field2"/>
      </w:pPr>
      <w:r>
        <w:t>Office does not support this value for this simple type.</w:t>
      </w:r>
    </w:p>
    <w:p w:rsidR="000A156F" w:rsidRDefault="00A9721F">
      <w:pPr>
        <w:pStyle w:val="Heading3"/>
      </w:pPr>
      <w:bookmarkStart w:id="3731" w:name="section_e5f8531be5344502a1ef1280e78edf19"/>
      <w:bookmarkStart w:id="3732" w:name="_Toc181684891"/>
      <w:r>
        <w:t>Part 4 Section 19.4.2.1, Accel (Primary Keyboard Accelerator)</w:t>
      </w:r>
      <w:bookmarkEnd w:id="3731"/>
      <w:bookmarkEnd w:id="3732"/>
      <w:r>
        <w:fldChar w:fldCharType="begin"/>
      </w:r>
      <w:r>
        <w:instrText xml:space="preserve"> XE "Accel (Primary Keyboard Accelerator)" </w:instrText>
      </w:r>
      <w:r>
        <w:fldChar w:fldCharType="end"/>
      </w:r>
    </w:p>
    <w:p w:rsidR="000A156F" w:rsidRDefault="00A9721F">
      <w:pPr>
        <w:pStyle w:val="Definition-Field"/>
      </w:pPr>
      <w:r>
        <w:t xml:space="preserve">a.   </w:t>
      </w:r>
      <w:r>
        <w:rPr>
          <w:i/>
        </w:rPr>
        <w:t>The standard states that the values of this elem</w:t>
      </w:r>
      <w:r>
        <w:rPr>
          <w:i/>
        </w:rPr>
        <w:t>ent are defined by the XML Schema integer datatype.</w:t>
      </w:r>
    </w:p>
    <w:p w:rsidR="000A156F" w:rsidRDefault="00A9721F">
      <w:pPr>
        <w:pStyle w:val="Definition-Field2"/>
      </w:pPr>
      <w:r>
        <w:t>Excel defines the values of this element with the XML Schema unsignedByte datatype.</w:t>
      </w:r>
    </w:p>
    <w:p w:rsidR="000A156F" w:rsidRDefault="00A9721F">
      <w:pPr>
        <w:pStyle w:val="Heading3"/>
      </w:pPr>
      <w:bookmarkStart w:id="3733" w:name="section_deb182c9a9c0495e80688c51887faf02"/>
      <w:bookmarkStart w:id="3734" w:name="_Toc181684892"/>
      <w:r>
        <w:t>Part 4 Section 19.4.2.2, Accel2 (Secondary Keyboard Accelerator)</w:t>
      </w:r>
      <w:bookmarkEnd w:id="3733"/>
      <w:bookmarkEnd w:id="3734"/>
      <w:r>
        <w:fldChar w:fldCharType="begin"/>
      </w:r>
      <w:r>
        <w:instrText xml:space="preserve"> XE "Accel2 (Secondary Keyboard Accelerator)" </w:instrText>
      </w:r>
      <w:r>
        <w:fldChar w:fldCharType="end"/>
      </w:r>
    </w:p>
    <w:p w:rsidR="000A156F" w:rsidRDefault="00A9721F">
      <w:pPr>
        <w:pStyle w:val="Definition-Field"/>
      </w:pPr>
      <w:r>
        <w:t xml:space="preserve">a.   </w:t>
      </w:r>
      <w:r>
        <w:rPr>
          <w:i/>
        </w:rPr>
        <w:t>The standard states that the values of this element are defined by the XML Schema integer datatype.</w:t>
      </w:r>
    </w:p>
    <w:p w:rsidR="000A156F" w:rsidRDefault="00A9721F">
      <w:pPr>
        <w:pStyle w:val="Definition-Field2"/>
      </w:pPr>
      <w:r>
        <w:t>Excel defines the values of this element with the XML Schema unsignedByte datatype.</w:t>
      </w:r>
    </w:p>
    <w:p w:rsidR="000A156F" w:rsidRDefault="00A9721F">
      <w:pPr>
        <w:pStyle w:val="Heading3"/>
      </w:pPr>
      <w:bookmarkStart w:id="3735" w:name="section_200aa15e618e45e491d6daba55597a7d"/>
      <w:bookmarkStart w:id="3736" w:name="_Toc181684893"/>
      <w:r>
        <w:lastRenderedPageBreak/>
        <w:t>Part 4 Section 19.4.2.3, Anchor (Anchor)</w:t>
      </w:r>
      <w:bookmarkEnd w:id="3735"/>
      <w:bookmarkEnd w:id="3736"/>
      <w:r>
        <w:fldChar w:fldCharType="begin"/>
      </w:r>
      <w:r>
        <w:instrText xml:space="preserve"> XE "Anchor (Anchor)" </w:instrText>
      </w:r>
      <w:r>
        <w:fldChar w:fldCharType="end"/>
      </w:r>
    </w:p>
    <w:p w:rsidR="000A156F" w:rsidRDefault="00A9721F">
      <w:pPr>
        <w:pStyle w:val="Definition-Field"/>
      </w:pPr>
      <w:r>
        <w:t xml:space="preserve">a.   </w:t>
      </w:r>
      <w:r>
        <w:rPr>
          <w:i/>
        </w:rPr>
        <w:t>Th</w:t>
      </w:r>
      <w:r>
        <w:rPr>
          <w:i/>
        </w:rPr>
        <w:t>e standard describes the TopRow and BottomRow values of the Anchor element in terms of a column.</w:t>
      </w:r>
    </w:p>
    <w:p w:rsidR="000A156F" w:rsidRDefault="00A9721F">
      <w:pPr>
        <w:pStyle w:val="Definition-Field2"/>
      </w:pPr>
      <w:r>
        <w:t>Office considers the TopRow and BottomRow values of the Anchor element in terms of the row, rather than column, and considers the top-most row to be 0.</w:t>
      </w:r>
    </w:p>
    <w:p w:rsidR="000A156F" w:rsidRDefault="00A9721F">
      <w:pPr>
        <w:pStyle w:val="Definition-Field"/>
      </w:pPr>
      <w:r>
        <w:t xml:space="preserve">b.   </w:t>
      </w:r>
      <w:r>
        <w:rPr>
          <w:i/>
        </w:rPr>
        <w:t>Th</w:t>
      </w:r>
      <w:r>
        <w:rPr>
          <w:i/>
        </w:rPr>
        <w:t>e standard indicates that the BottomOffset value of the Anchor element is the offset of the object's bottom edge from the bottom edge of the bottom anchor row.</w:t>
      </w:r>
    </w:p>
    <w:p w:rsidR="000A156F" w:rsidRDefault="00A9721F">
      <w:pPr>
        <w:pStyle w:val="Definition-Field2"/>
      </w:pPr>
      <w:r>
        <w:t>Office considers that the BottomOffset value of the Anchor element is the offset of the object's</w:t>
      </w:r>
      <w:r>
        <w:t xml:space="preserve"> bottom edge from the top edge of the bottom anchor row.</w:t>
      </w:r>
    </w:p>
    <w:p w:rsidR="000A156F" w:rsidRDefault="00A9721F">
      <w:pPr>
        <w:pStyle w:val="Definition-Field"/>
      </w:pPr>
      <w:r>
        <w:t xml:space="preserve">c.   </w:t>
      </w:r>
      <w:r>
        <w:rPr>
          <w:i/>
        </w:rPr>
        <w:t>The standard indicates that the Anchor element is specified using a comma-separated list of values, but does not require constraints on the list.</w:t>
      </w:r>
    </w:p>
    <w:p w:rsidR="000A156F" w:rsidRDefault="00A9721F">
      <w:pPr>
        <w:pStyle w:val="Definition-Field2"/>
      </w:pPr>
      <w:r>
        <w:t>Office requires the string value of the Anchor e</w:t>
      </w:r>
      <w:r>
        <w:t>lement to be a comma-delimited list of 8 non-negative integers.</w:t>
      </w:r>
    </w:p>
    <w:p w:rsidR="000A156F" w:rsidRDefault="00A9721F">
      <w:pPr>
        <w:pStyle w:val="Heading3"/>
      </w:pPr>
      <w:bookmarkStart w:id="3737" w:name="section_63d742473a6643a9a08a3e59be0fdb06"/>
      <w:bookmarkStart w:id="3738" w:name="_Toc181684894"/>
      <w:r>
        <w:t>Part 4 Section 19.4.2.4, AutoFill (AutoFill)</w:t>
      </w:r>
      <w:bookmarkEnd w:id="3737"/>
      <w:bookmarkEnd w:id="3738"/>
      <w:r>
        <w:fldChar w:fldCharType="begin"/>
      </w:r>
      <w:r>
        <w:instrText xml:space="preserve"> XE "AutoFill (AutoFill)" </w:instrText>
      </w:r>
      <w:r>
        <w:fldChar w:fldCharType="end"/>
      </w:r>
    </w:p>
    <w:p w:rsidR="000A156F" w:rsidRDefault="00A9721F">
      <w:pPr>
        <w:pStyle w:val="Definition-Field"/>
      </w:pPr>
      <w:r>
        <w:t xml:space="preserve">a.   </w:t>
      </w:r>
      <w:r>
        <w:rPr>
          <w:i/>
        </w:rPr>
        <w:t>The standard implies that the AutoFill element represents a type of object, but does not describe it.</w:t>
      </w:r>
    </w:p>
    <w:p w:rsidR="000A156F" w:rsidRDefault="00A9721F">
      <w:pPr>
        <w:pStyle w:val="Definition-Field2"/>
      </w:pPr>
      <w:r>
        <w:t xml:space="preserve">Office uses </w:t>
      </w:r>
      <w:r>
        <w:t>this element to indicate that the object's fill properties are automatically provided by the application and are not overridden with a specific fill color or style.</w:t>
      </w:r>
    </w:p>
    <w:p w:rsidR="000A156F" w:rsidRDefault="00A9721F">
      <w:pPr>
        <w:pStyle w:val="Heading3"/>
      </w:pPr>
      <w:bookmarkStart w:id="3739" w:name="section_fb34f55c3cd4489eab45e117e443347c"/>
      <w:bookmarkStart w:id="3740" w:name="_Toc181684895"/>
      <w:r>
        <w:t>Part 4 Section 19.4.2.5, AutoLine (AutoLine)</w:t>
      </w:r>
      <w:bookmarkEnd w:id="3739"/>
      <w:bookmarkEnd w:id="3740"/>
      <w:r>
        <w:fldChar w:fldCharType="begin"/>
      </w:r>
      <w:r>
        <w:instrText xml:space="preserve"> XE "AutoLine (AutoLine)" </w:instrText>
      </w:r>
      <w:r>
        <w:fldChar w:fldCharType="end"/>
      </w:r>
    </w:p>
    <w:p w:rsidR="000A156F" w:rsidRDefault="00A9721F">
      <w:pPr>
        <w:pStyle w:val="Definition-Field"/>
      </w:pPr>
      <w:r>
        <w:t xml:space="preserve">a.   </w:t>
      </w:r>
      <w:r>
        <w:rPr>
          <w:i/>
        </w:rPr>
        <w:t xml:space="preserve">The standard </w:t>
      </w:r>
      <w:r>
        <w:rPr>
          <w:i/>
        </w:rPr>
        <w:t>implies that the AutoLine element represents a type of object, but does not describe it.</w:t>
      </w:r>
    </w:p>
    <w:p w:rsidR="000A156F" w:rsidRDefault="00A9721F">
      <w:pPr>
        <w:pStyle w:val="Definition-Field2"/>
      </w:pPr>
      <w:r>
        <w:t>Office uses this element to indicate to that the object’s line properties are automatically provided by the application and are not overridden with a specific line col</w:t>
      </w:r>
      <w:r>
        <w:t>or, style, or width.</w:t>
      </w:r>
    </w:p>
    <w:p w:rsidR="000A156F" w:rsidRDefault="00A9721F">
      <w:pPr>
        <w:pStyle w:val="Heading3"/>
      </w:pPr>
      <w:bookmarkStart w:id="3741" w:name="section_cb3929d36f594f6198a7bdf1698a2001"/>
      <w:bookmarkStart w:id="3742" w:name="_Toc181684896"/>
      <w:r>
        <w:t>Part 4 Section 19.4.2.7, AutoScale (Font AutoScale)</w:t>
      </w:r>
      <w:bookmarkEnd w:id="3741"/>
      <w:bookmarkEnd w:id="3742"/>
      <w:r>
        <w:fldChar w:fldCharType="begin"/>
      </w:r>
      <w:r>
        <w:instrText xml:space="preserve"> XE "AutoScale (Font AutoScale)" </w:instrText>
      </w:r>
      <w:r>
        <w:fldChar w:fldCharType="end"/>
      </w:r>
    </w:p>
    <w:p w:rsidR="000A156F" w:rsidRDefault="00A9721F">
      <w:pPr>
        <w:pStyle w:val="Definition-Field"/>
      </w:pPr>
      <w:r>
        <w:t xml:space="preserve">a.   </w:t>
      </w:r>
      <w:r>
        <w:rPr>
          <w:i/>
        </w:rPr>
        <w:t>The standard indicates that the element is used for attached text.</w:t>
      </w:r>
    </w:p>
    <w:p w:rsidR="000A156F" w:rsidRDefault="00A9721F">
      <w:pPr>
        <w:pStyle w:val="Definition-Field2"/>
      </w:pPr>
      <w:r>
        <w:t>Excel ignores the value of the AutoScale element and does not preserve it on</w:t>
      </w:r>
      <w:r>
        <w:t xml:space="preserve"> file save.</w:t>
      </w:r>
    </w:p>
    <w:p w:rsidR="000A156F" w:rsidRDefault="00A9721F">
      <w:pPr>
        <w:pStyle w:val="Heading3"/>
      </w:pPr>
      <w:bookmarkStart w:id="3743" w:name="section_7bd8939081b34e18b4c296d9f5c67c34"/>
      <w:bookmarkStart w:id="3744" w:name="_Toc181684897"/>
      <w:r>
        <w:t>Part 4 Section 19.4.2.8, Camera (Camera Tool)</w:t>
      </w:r>
      <w:bookmarkEnd w:id="3743"/>
      <w:bookmarkEnd w:id="3744"/>
      <w:r>
        <w:fldChar w:fldCharType="begin"/>
      </w:r>
      <w:r>
        <w:instrText xml:space="preserve"> XE "Camera (Camera Tool)" </w:instrText>
      </w:r>
      <w:r>
        <w:fldChar w:fldCharType="end"/>
      </w:r>
    </w:p>
    <w:p w:rsidR="000A156F" w:rsidRDefault="00A9721F">
      <w:pPr>
        <w:pStyle w:val="Definition-Field"/>
      </w:pPr>
      <w:r>
        <w:t xml:space="preserve">a.   </w:t>
      </w:r>
      <w:r>
        <w:rPr>
          <w:i/>
        </w:rPr>
        <w:t>The standard indicates that the Camera element is used for cameras, but does not define how a camera object is represented.</w:t>
      </w:r>
    </w:p>
    <w:p w:rsidR="000A156F" w:rsidRDefault="00A9721F">
      <w:r>
        <w:t>In Office, a camera object is a shape th</w:t>
      </w:r>
      <w:r>
        <w:t xml:space="preserve">at is filled with a live view of a cell range in the same spreadsheet, including all applied styles.  The cell range is defined by the </w:t>
      </w:r>
      <w:r>
        <w:rPr>
          <w:b/>
        </w:rPr>
        <w:t>fmlaPict</w:t>
      </w:r>
      <w:r>
        <w:t xml:space="preserve"> element ("</w:t>
      </w:r>
      <w:hyperlink r:id="rId281">
        <w:r>
          <w:rPr>
            <w:rStyle w:val="Hyperlink"/>
          </w:rPr>
          <w:t>[ISO/IEC-29500-4]</w:t>
        </w:r>
      </w:hyperlink>
      <w:r>
        <w:t xml:space="preserve"> §19.4.2.28; FmlaPi</w:t>
      </w:r>
      <w:r>
        <w:t>ct (Camera Source Range)"), which shall be present.  Shape properties such as the position and size of the camera object are defined by the shape.  The shape shall be a rectangle. The view of the cell range is scaled vertically and horizontally to fill the</w:t>
      </w:r>
      <w:r>
        <w:t xml:space="preserve"> rectangle exactly.</w:t>
      </w:r>
    </w:p>
    <w:p w:rsidR="000A156F" w:rsidRDefault="00A9721F">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element ("[ISO/IEC-29500-4] §19.4.2.12; ClientData (Attached</w:t>
      </w:r>
      <w:r>
        <w:t xml:space="preserve"> Object Data)") is </w:t>
      </w:r>
      <w:r>
        <w:rPr>
          <w:i/>
        </w:rPr>
        <w:t>Pict</w:t>
      </w:r>
      <w:r>
        <w:t>. Excel ignores this element on all other object types.</w:t>
      </w:r>
    </w:p>
    <w:p w:rsidR="000A156F" w:rsidRDefault="00A9721F">
      <w:pPr>
        <w:pStyle w:val="Heading3"/>
      </w:pPr>
      <w:bookmarkStart w:id="3745" w:name="section_4f8a3b1473d348f682a935925673f4d1"/>
      <w:bookmarkStart w:id="3746" w:name="_Toc181684898"/>
      <w:r>
        <w:lastRenderedPageBreak/>
        <w:t>Part 4 Section 19.4.2.10, CF (Clipboard Format)</w:t>
      </w:r>
      <w:bookmarkEnd w:id="3745"/>
      <w:bookmarkEnd w:id="3746"/>
      <w:r>
        <w:fldChar w:fldCharType="begin"/>
      </w:r>
      <w:r>
        <w:instrText xml:space="preserve"> XE "CF (Clipboard Format)" </w:instrText>
      </w:r>
      <w:r>
        <w:fldChar w:fldCharType="end"/>
      </w:r>
    </w:p>
    <w:p w:rsidR="000A156F" w:rsidRDefault="00A9721F">
      <w:pPr>
        <w:pStyle w:val="Definition-Field"/>
      </w:pPr>
      <w:r>
        <w:t xml:space="preserve">a.   </w:t>
      </w:r>
      <w:r>
        <w:rPr>
          <w:i/>
        </w:rPr>
        <w:t>The standard implies which objects the CF element applies to, but does not list a definitive s</w:t>
      </w:r>
      <w:r>
        <w:rPr>
          <w:i/>
        </w:rPr>
        <w:t>et.</w:t>
      </w:r>
    </w:p>
    <w:p w:rsidR="000A156F" w:rsidRDefault="00A9721F">
      <w:pPr>
        <w:pStyle w:val="Definition-Field2"/>
      </w:pPr>
      <w:r>
        <w:t>Excel supports this element for objects for which the value of the ObjectType attribute on the ClientData element is Pict. Excel ignores the element if it is used with any other objects.</w:t>
      </w:r>
    </w:p>
    <w:p w:rsidR="000A156F" w:rsidRDefault="00A9721F">
      <w:pPr>
        <w:pStyle w:val="Heading3"/>
      </w:pPr>
      <w:bookmarkStart w:id="3747" w:name="section_4ed4ba3ad2844c2f954abeeb4c0b45cf"/>
      <w:bookmarkStart w:id="3748" w:name="_Toc181684899"/>
      <w:r>
        <w:t>Part 4 Section 19.4.2.12, ClientData (Attached Object Data)</w:t>
      </w:r>
      <w:bookmarkEnd w:id="3747"/>
      <w:bookmarkEnd w:id="3748"/>
      <w:r>
        <w:fldChar w:fldCharType="begin"/>
      </w:r>
      <w:r>
        <w:instrText xml:space="preserve"> XE "ClientData (Attached Object Data)" </w:instrText>
      </w:r>
      <w:r>
        <w:fldChar w:fldCharType="end"/>
      </w:r>
    </w:p>
    <w:p w:rsidR="000A156F" w:rsidRDefault="00A9721F">
      <w:pPr>
        <w:pStyle w:val="Definition-Field"/>
      </w:pPr>
      <w:r>
        <w:t xml:space="preserve">a.   </w:t>
      </w:r>
      <w:r>
        <w:rPr>
          <w:i/>
        </w:rPr>
        <w:t>The standard implies that Movie is a valid value for the ObjectType attribute.</w:t>
      </w:r>
    </w:p>
    <w:p w:rsidR="000A156F" w:rsidRDefault="00A9721F">
      <w:pPr>
        <w:pStyle w:val="Definition-Field2"/>
      </w:pPr>
      <w:r>
        <w:t>Excel does not support the Movie value for the ObjectType attribute.</w:t>
      </w:r>
    </w:p>
    <w:p w:rsidR="000A156F" w:rsidRDefault="00A9721F">
      <w:pPr>
        <w:pStyle w:val="Definition-Field"/>
      </w:pPr>
      <w:r>
        <w:t xml:space="preserve">b.   </w:t>
      </w:r>
      <w:r>
        <w:rPr>
          <w:i/>
        </w:rPr>
        <w:t xml:space="preserve">The standard implies that LineA and RectA are valid </w:t>
      </w:r>
      <w:r>
        <w:rPr>
          <w:i/>
        </w:rPr>
        <w:t>values.</w:t>
      </w:r>
    </w:p>
    <w:p w:rsidR="000A156F" w:rsidRDefault="00A9721F">
      <w:pPr>
        <w:pStyle w:val="Definition-Field2"/>
      </w:pPr>
      <w:r>
        <w:t>Excel does not support the LineA and RectA values for the ObjectType attribute and does not save them to the file.</w:t>
      </w:r>
    </w:p>
    <w:p w:rsidR="000A156F" w:rsidRDefault="00A9721F">
      <w:pPr>
        <w:pStyle w:val="Heading3"/>
      </w:pPr>
      <w:bookmarkStart w:id="3749" w:name="section_c360ff36c63047a69a3c94164b365fba"/>
      <w:bookmarkStart w:id="3750" w:name="_Toc181684900"/>
      <w:r>
        <w:t>Part 4 Section 19.4.2.13, ColHidden (Comment's Column is Hidden)</w:t>
      </w:r>
      <w:bookmarkEnd w:id="3749"/>
      <w:bookmarkEnd w:id="3750"/>
      <w:r>
        <w:fldChar w:fldCharType="begin"/>
      </w:r>
      <w:r>
        <w:instrText xml:space="preserve"> XE "ColHidden (Comment's Column is Hidden)" </w:instrText>
      </w:r>
      <w:r>
        <w:fldChar w:fldCharType="end"/>
      </w:r>
    </w:p>
    <w:p w:rsidR="000A156F" w:rsidRDefault="00A9721F">
      <w:pPr>
        <w:pStyle w:val="Definition-Field"/>
      </w:pPr>
      <w:r>
        <w:t xml:space="preserve">a.   </w:t>
      </w:r>
      <w:r>
        <w:rPr>
          <w:i/>
        </w:rPr>
        <w:t>The standard cou</w:t>
      </w:r>
      <w:r>
        <w:rPr>
          <w:i/>
        </w:rPr>
        <w:t>ld imply that the ColHidden element may be used to hide a column.</w:t>
      </w:r>
    </w:p>
    <w:p w:rsidR="000A156F" w:rsidRDefault="00A9721F">
      <w:pPr>
        <w:pStyle w:val="Definition-Field2"/>
      </w:pPr>
      <w:r>
        <w:t>Excel uses the hidden attribute of the col element as an whether the column of the cell to which this comment points is hidden and cannot be used for hiding a column.</w:t>
      </w:r>
    </w:p>
    <w:p w:rsidR="000A156F" w:rsidRDefault="00A9721F">
      <w:pPr>
        <w:pStyle w:val="Heading3"/>
      </w:pPr>
      <w:bookmarkStart w:id="3751" w:name="section_5bdf911798a04345a493b8b2d6ae2fbb"/>
      <w:bookmarkStart w:id="3752" w:name="_Toc181684901"/>
      <w:r>
        <w:t>Part 4 Section 19.4.2.1</w:t>
      </w:r>
      <w:r>
        <w:t>4, Colored (Dropdown Color Toggle)</w:t>
      </w:r>
      <w:bookmarkEnd w:id="3751"/>
      <w:bookmarkEnd w:id="3752"/>
      <w:r>
        <w:fldChar w:fldCharType="begin"/>
      </w:r>
      <w:r>
        <w:instrText xml:space="preserve"> XE "Colored (Dropdown Color Toggle)" </w:instrText>
      </w:r>
      <w:r>
        <w:fldChar w:fldCharType="end"/>
      </w:r>
    </w:p>
    <w:p w:rsidR="000A156F" w:rsidRDefault="00A9721F">
      <w:pPr>
        <w:pStyle w:val="Definition-Field"/>
      </w:pPr>
      <w:r>
        <w:t xml:space="preserve">a.   </w:t>
      </w:r>
      <w:r>
        <w:rPr>
          <w:i/>
        </w:rPr>
        <w:t>The standard implies that the entire dropdown is colored.</w:t>
      </w:r>
    </w:p>
    <w:p w:rsidR="000A156F" w:rsidRDefault="00A9721F">
      <w:pPr>
        <w:pStyle w:val="Definition-Field2"/>
      </w:pPr>
      <w:r>
        <w:t>Excel only colors the downward pointing arrow on the dropdown, not the entire control.</w:t>
      </w:r>
    </w:p>
    <w:p w:rsidR="000A156F" w:rsidRDefault="00A9721F">
      <w:pPr>
        <w:pStyle w:val="Heading3"/>
      </w:pPr>
      <w:bookmarkStart w:id="3753" w:name="section_073d7aaad7674a96b4b2761737225ec1"/>
      <w:bookmarkStart w:id="3754" w:name="_Toc181684902"/>
      <w:r>
        <w:t>Part 4 Section 19.4.2.16, DDE (</w:t>
      </w:r>
      <w:r>
        <w:t>Dynamic Data Exchange)</w:t>
      </w:r>
      <w:bookmarkEnd w:id="3753"/>
      <w:bookmarkEnd w:id="3754"/>
      <w:r>
        <w:fldChar w:fldCharType="begin"/>
      </w:r>
      <w:r>
        <w:instrText xml:space="preserve"> XE "DDE (Dynamic Data Exchange)" </w:instrText>
      </w:r>
      <w:r>
        <w:fldChar w:fldCharType="end"/>
      </w:r>
    </w:p>
    <w:p w:rsidR="000A156F" w:rsidRDefault="00A9721F">
      <w:pPr>
        <w:pStyle w:val="Definition-Field"/>
      </w:pPr>
      <w:r>
        <w:t xml:space="preserve">a.   </w:t>
      </w:r>
      <w:r>
        <w:rPr>
          <w:i/>
        </w:rPr>
        <w:t>The standard indicates that the DDE element applies to all object types.</w:t>
      </w:r>
    </w:p>
    <w:p w:rsidR="000A156F" w:rsidRDefault="00A9721F">
      <w:pPr>
        <w:pStyle w:val="Definition-Field2"/>
      </w:pPr>
      <w:r>
        <w:t>Excel only supports the DDE element for embedded objects.</w:t>
      </w:r>
    </w:p>
    <w:p w:rsidR="000A156F" w:rsidRDefault="00A9721F">
      <w:pPr>
        <w:pStyle w:val="Heading3"/>
      </w:pPr>
      <w:bookmarkStart w:id="3755" w:name="section_ce3122b7a1ad43e2a271f8e7fac1ae5f"/>
      <w:bookmarkStart w:id="3756" w:name="_Toc181684903"/>
      <w:r>
        <w:t>Part 4 Section 19.4.2.18, DefaultSize (Default Size Toggle)</w:t>
      </w:r>
      <w:bookmarkEnd w:id="3755"/>
      <w:bookmarkEnd w:id="3756"/>
      <w:r>
        <w:fldChar w:fldCharType="begin"/>
      </w:r>
      <w:r>
        <w:instrText xml:space="preserve"> X</w:instrText>
      </w:r>
      <w:r>
        <w:instrText xml:space="preserve">E "DefaultSize (Default Size Toggle)" </w:instrText>
      </w:r>
      <w:r>
        <w:fldChar w:fldCharType="end"/>
      </w:r>
    </w:p>
    <w:p w:rsidR="000A156F" w:rsidRDefault="00A9721F">
      <w:pPr>
        <w:pStyle w:val="Definition-Field"/>
      </w:pPr>
      <w:r>
        <w:t xml:space="preserve">a.   </w:t>
      </w:r>
      <w:r>
        <w:rPr>
          <w:i/>
        </w:rPr>
        <w:t>The standard implies the DefaultSize element always indicates whether an object is at its default size.</w:t>
      </w:r>
    </w:p>
    <w:p w:rsidR="000A156F" w:rsidRDefault="00A9721F">
      <w:pPr>
        <w:pStyle w:val="Definition-Field2"/>
      </w:pPr>
      <w:r>
        <w:t xml:space="preserve">Excel writes the value of the DefaultSize element when an object is inserted at default size, but ignores </w:t>
      </w:r>
      <w:r>
        <w:t>it on file load.</w:t>
      </w:r>
    </w:p>
    <w:p w:rsidR="000A156F" w:rsidRDefault="00A9721F">
      <w:pPr>
        <w:pStyle w:val="Heading3"/>
      </w:pPr>
      <w:bookmarkStart w:id="3757" w:name="section_be4c7afa1a9848fdac817039f3bf3a19"/>
      <w:bookmarkStart w:id="3758" w:name="_Toc181684904"/>
      <w:r>
        <w:t>Part 4 Section 19.4.2.21, DropLines (Dropdown Maximum Lines)</w:t>
      </w:r>
      <w:bookmarkEnd w:id="3757"/>
      <w:bookmarkEnd w:id="3758"/>
      <w:r>
        <w:fldChar w:fldCharType="begin"/>
      </w:r>
      <w:r>
        <w:instrText xml:space="preserve"> XE "DropLines (Dropdown Maximum Lines)" </w:instrText>
      </w:r>
      <w:r>
        <w:fldChar w:fldCharType="end"/>
      </w:r>
    </w:p>
    <w:p w:rsidR="000A156F" w:rsidRDefault="00A9721F">
      <w:pPr>
        <w:pStyle w:val="Definition-Field"/>
      </w:pPr>
      <w:r>
        <w:t xml:space="preserve">a.   </w:t>
      </w:r>
      <w:r>
        <w:rPr>
          <w:i/>
        </w:rPr>
        <w:t>The standard states that the values of this element are defined by the XML Schema integer datatype.</w:t>
      </w:r>
    </w:p>
    <w:p w:rsidR="000A156F" w:rsidRDefault="00A9721F">
      <w:pPr>
        <w:pStyle w:val="Definition-Field2"/>
      </w:pPr>
      <w:r>
        <w:t>Excel restricts the value of t</w:t>
      </w:r>
      <w:r>
        <w:t>his element to be at least 0 and at most 30000.</w:t>
      </w:r>
    </w:p>
    <w:p w:rsidR="000A156F" w:rsidRDefault="00A9721F">
      <w:pPr>
        <w:pStyle w:val="Heading3"/>
      </w:pPr>
      <w:bookmarkStart w:id="3759" w:name="section_d07238816fbc49ac99b0668c3f56ae05"/>
      <w:bookmarkStart w:id="3760" w:name="_Toc181684905"/>
      <w:r>
        <w:t>Part 4 Section 19.4.2.22, DropStyle (Dropdown Style)</w:t>
      </w:r>
      <w:bookmarkEnd w:id="3759"/>
      <w:bookmarkEnd w:id="3760"/>
      <w:r>
        <w:fldChar w:fldCharType="begin"/>
      </w:r>
      <w:r>
        <w:instrText xml:space="preserve"> XE "DropStyle (Dropdown Style)" </w:instrText>
      </w:r>
      <w:r>
        <w:fldChar w:fldCharType="end"/>
      </w:r>
    </w:p>
    <w:p w:rsidR="000A156F" w:rsidRDefault="00A9721F">
      <w:pPr>
        <w:pStyle w:val="Definition-Field"/>
      </w:pPr>
      <w:r>
        <w:t xml:space="preserve">a.   </w:t>
      </w:r>
      <w:r>
        <w:rPr>
          <w:i/>
        </w:rPr>
        <w:t>The standard indicates that the schema for the DropStyle element allows any xsd:string, but the prose restricts thi</w:t>
      </w:r>
      <w:r>
        <w:rPr>
          <w:i/>
        </w:rPr>
        <w:t>s to a few values.</w:t>
      </w:r>
    </w:p>
    <w:p w:rsidR="000A156F" w:rsidRDefault="00A9721F">
      <w:pPr>
        <w:pStyle w:val="Definition-Field2"/>
      </w:pPr>
      <w:r>
        <w:lastRenderedPageBreak/>
        <w:t>Office enforces the restriction that the DropStyle element allows any xsd:string at the schema level.</w:t>
      </w:r>
    </w:p>
    <w:p w:rsidR="000A156F" w:rsidRDefault="00A9721F">
      <w:pPr>
        <w:pStyle w:val="Heading3"/>
      </w:pPr>
      <w:bookmarkStart w:id="3761" w:name="section_7d806fa038a14b96908dbd982340949a"/>
      <w:bookmarkStart w:id="3762" w:name="_Toc181684906"/>
      <w:r>
        <w:t>Part 4 Section 19.4.2.23, Dx (Scroll Bar Width)</w:t>
      </w:r>
      <w:bookmarkEnd w:id="3761"/>
      <w:bookmarkEnd w:id="3762"/>
      <w:r>
        <w:fldChar w:fldCharType="begin"/>
      </w:r>
      <w:r>
        <w:instrText xml:space="preserve"> XE "Dx (Scroll Bar Width)" </w:instrText>
      </w:r>
      <w:r>
        <w:fldChar w:fldCharType="end"/>
      </w:r>
    </w:p>
    <w:p w:rsidR="000A156F" w:rsidRDefault="00A9721F">
      <w:pPr>
        <w:pStyle w:val="Definition-Field"/>
      </w:pPr>
      <w:r>
        <w:t xml:space="preserve">a.   </w:t>
      </w:r>
      <w:r>
        <w:rPr>
          <w:i/>
        </w:rPr>
        <w:t xml:space="preserve">The standard indicates that the element is used for </w:t>
      </w:r>
      <w:r>
        <w:rPr>
          <w:i/>
        </w:rPr>
        <w:t>scroll bars and spinners.</w:t>
      </w:r>
    </w:p>
    <w:p w:rsidR="000A156F" w:rsidRDefault="00A9721F">
      <w:pPr>
        <w:pStyle w:val="Definition-Field2"/>
      </w:pPr>
      <w:r>
        <w:t>Excel also uses the Dx element to specify width for scroll bars on combo boxes and list boxes.</w:t>
      </w:r>
    </w:p>
    <w:p w:rsidR="000A156F" w:rsidRDefault="00A9721F">
      <w:pPr>
        <w:pStyle w:val="Heading3"/>
      </w:pPr>
      <w:bookmarkStart w:id="3763" w:name="section_b260750bc7564ba289a782ab03ca77df"/>
      <w:bookmarkStart w:id="3764" w:name="_Toc181684907"/>
      <w:r>
        <w:t>Part 4 Section 19.4.2.25, FmlaGroup (Linked Formula - Group Box)</w:t>
      </w:r>
      <w:bookmarkEnd w:id="3763"/>
      <w:bookmarkEnd w:id="3764"/>
      <w:r>
        <w:fldChar w:fldCharType="begin"/>
      </w:r>
      <w:r>
        <w:instrText xml:space="preserve"> XE "FmlaGroup (Linked Formula - Group Box)" </w:instrText>
      </w:r>
      <w:r>
        <w:fldChar w:fldCharType="end"/>
      </w:r>
    </w:p>
    <w:p w:rsidR="000A156F" w:rsidRDefault="00A9721F">
      <w:pPr>
        <w:pStyle w:val="Definition-Field"/>
      </w:pPr>
      <w:r>
        <w:t xml:space="preserve">a.   </w:t>
      </w:r>
      <w:r>
        <w:rPr>
          <w:i/>
        </w:rPr>
        <w:t>The standard impli</w:t>
      </w:r>
      <w:r>
        <w:rPr>
          <w:i/>
        </w:rPr>
        <w:t>es that the cell reference specified by this element is saved into the file.</w:t>
      </w:r>
    </w:p>
    <w:p w:rsidR="000A156F" w:rsidRDefault="00A9721F">
      <w:pPr>
        <w:pStyle w:val="Definition-Field2"/>
      </w:pPr>
      <w:r>
        <w:t>Excel removes this element and saves the cell reference it specifies on the FmlaLink element of the first radio button in the group. If no radio buttons exist in the group, the va</w:t>
      </w:r>
      <w:r>
        <w:t>lue is not saved in the file.</w:t>
      </w:r>
    </w:p>
    <w:p w:rsidR="000A156F" w:rsidRDefault="00A9721F">
      <w:pPr>
        <w:pStyle w:val="Heading3"/>
      </w:pPr>
      <w:bookmarkStart w:id="3765" w:name="section_fdd835077a574bf1b84466f551ee55b9"/>
      <w:bookmarkStart w:id="3766" w:name="_Toc181684908"/>
      <w:r>
        <w:t>Part 4 Section 19.4.2.27, FmlaMacro (Reference to Custom Function)</w:t>
      </w:r>
      <w:bookmarkEnd w:id="3765"/>
      <w:bookmarkEnd w:id="3766"/>
      <w:r>
        <w:fldChar w:fldCharType="begin"/>
      </w:r>
      <w:r>
        <w:instrText xml:space="preserve"> XE "FmlaMacro (Reference to Custom Function)" </w:instrText>
      </w:r>
      <w:r>
        <w:fldChar w:fldCharType="end"/>
      </w:r>
    </w:p>
    <w:p w:rsidR="000A156F" w:rsidRDefault="00A9721F">
      <w:pPr>
        <w:pStyle w:val="Definition-Field"/>
      </w:pPr>
      <w:r>
        <w:t xml:space="preserve">a.   </w:t>
      </w:r>
      <w:r>
        <w:rPr>
          <w:i/>
        </w:rPr>
        <w:t xml:space="preserve">The standard indicates that the FmlaMacro element applies to an object but does not explicitly define a </w:t>
      </w:r>
      <w:r>
        <w:rPr>
          <w:i/>
        </w:rPr>
        <w:t>set of valid objects.</w:t>
      </w:r>
    </w:p>
    <w:p w:rsidR="000A156F" w:rsidRDefault="00A9721F">
      <w:pPr>
        <w:pStyle w:val="Definition-Field2"/>
      </w:pPr>
      <w:r>
        <w:t>Excel supports FmlaMacro on objects defined by all values of the ST_ObjectType simple type except LineA, Note and RectA.</w:t>
      </w:r>
    </w:p>
    <w:p w:rsidR="000A156F" w:rsidRDefault="00A9721F">
      <w:pPr>
        <w:pStyle w:val="Definition-Field"/>
      </w:pPr>
      <w:r>
        <w:t xml:space="preserve">b.   </w:t>
      </w:r>
      <w:r>
        <w:rPr>
          <w:i/>
        </w:rPr>
        <w:t>The standard states that the values of this element are defined by the XML Schema string datatype.</w:t>
      </w:r>
    </w:p>
    <w:p w:rsidR="000A156F" w:rsidRDefault="00A9721F">
      <w:pPr>
        <w:pStyle w:val="Definition-Field2"/>
      </w:pPr>
      <w:r>
        <w:t>Office de</w:t>
      </w:r>
      <w:r>
        <w:t>fines the values of this element with the ST_Macro (</w:t>
      </w:r>
      <w:hyperlink w:anchor="Section_3a025d97fe484df0a51d7ab3e024b866">
        <w:r>
          <w:rPr>
            <w:rStyle w:val="Hyperlink"/>
          </w:rPr>
          <w:t>§3.9.2, ST_Macro</w:t>
        </w:r>
      </w:hyperlink>
      <w:r>
        <w:t>) simple type.</w:t>
      </w:r>
    </w:p>
    <w:p w:rsidR="000A156F" w:rsidRDefault="00A9721F">
      <w:pPr>
        <w:pStyle w:val="Heading3"/>
      </w:pPr>
      <w:bookmarkStart w:id="3767" w:name="section_3d0c971688c54af3b63afeef60b8ebd8"/>
      <w:bookmarkStart w:id="3768" w:name="_Toc181684909"/>
      <w:r>
        <w:t>Part 4 Section 19.4.2.29, FmlaRange (List Items Source Range)</w:t>
      </w:r>
      <w:bookmarkEnd w:id="3767"/>
      <w:bookmarkEnd w:id="3768"/>
      <w:r>
        <w:fldChar w:fldCharType="begin"/>
      </w:r>
      <w:r>
        <w:instrText xml:space="preserve"> XE "FmlaRange (List Items Source Range)" </w:instrText>
      </w:r>
      <w:r>
        <w:fldChar w:fldCharType="end"/>
      </w:r>
    </w:p>
    <w:p w:rsidR="000A156F" w:rsidRDefault="00A9721F">
      <w:pPr>
        <w:pStyle w:val="Definition-Field"/>
      </w:pPr>
      <w:r>
        <w:t xml:space="preserve">a.   </w:t>
      </w:r>
      <w:r>
        <w:rPr>
          <w:i/>
        </w:rPr>
        <w:t>The standard indicates that the element is used for list boxes.</w:t>
      </w:r>
    </w:p>
    <w:p w:rsidR="000A156F" w:rsidRDefault="00A9721F">
      <w:pPr>
        <w:pStyle w:val="Definition-Field2"/>
      </w:pPr>
      <w:r>
        <w:t>Excel also uses the FmlaRange element for dropdowns.</w:t>
      </w:r>
    </w:p>
    <w:p w:rsidR="000A156F" w:rsidRDefault="00A9721F">
      <w:pPr>
        <w:pStyle w:val="Heading3"/>
      </w:pPr>
      <w:bookmarkStart w:id="3769" w:name="section_53586a4091834fb9a0dc2d0c48f92e2a"/>
      <w:bookmarkStart w:id="3770" w:name="_Toc181684910"/>
      <w:r>
        <w:t>Part 4 Section 19.4.2.30, FmlaTxbx (Text Formula)</w:t>
      </w:r>
      <w:bookmarkEnd w:id="3769"/>
      <w:bookmarkEnd w:id="3770"/>
      <w:r>
        <w:fldChar w:fldCharType="begin"/>
      </w:r>
      <w:r>
        <w:instrText xml:space="preserve"> XE "FmlaTxbx (Text Formula)" </w:instrText>
      </w:r>
      <w:r>
        <w:fldChar w:fldCharType="end"/>
      </w:r>
    </w:p>
    <w:p w:rsidR="000A156F" w:rsidRDefault="00A9721F">
      <w:pPr>
        <w:pStyle w:val="Definition-Field"/>
      </w:pPr>
      <w:r>
        <w:t xml:space="preserve">a.   </w:t>
      </w:r>
      <w:r>
        <w:rPr>
          <w:i/>
        </w:rPr>
        <w:t>The standard does not define the format for the</w:t>
      </w:r>
      <w:r>
        <w:rPr>
          <w:i/>
        </w:rPr>
        <w:t xml:space="preserve"> value of the FmlaTxbx element.</w:t>
      </w:r>
    </w:p>
    <w:p w:rsidR="000A156F" w:rsidRDefault="00A9721F">
      <w:r>
        <w:t>In Office, the value of the FmlaTxbx element shall be a string identifying a cell or a cell range in a spreadsheet.  The cell reference syntax is described in Cell References ("</w:t>
      </w:r>
      <w:hyperlink r:id="rId282">
        <w:r>
          <w:rPr>
            <w:rStyle w:val="Hyperlink"/>
          </w:rPr>
          <w:t>[ISO/IEC-29500-1]</w:t>
        </w:r>
      </w:hyperlink>
      <w:r>
        <w:t xml:space="preserve"> §18.17.2.3").  Excel accepts a cell range but only considers the first cell in the range.</w:t>
      </w:r>
    </w:p>
    <w:p w:rsidR="000A156F" w:rsidRDefault="00A9721F">
      <w:pPr>
        <w:pStyle w:val="Heading3"/>
      </w:pPr>
      <w:bookmarkStart w:id="3771" w:name="section_a22736e370b841dfb203534630e5e253"/>
      <w:bookmarkStart w:id="3772" w:name="_Toc181684911"/>
      <w:r>
        <w:t>Part 4 Section 19.4.2.32, Horiz (Scroll Bar Orientation)</w:t>
      </w:r>
      <w:bookmarkEnd w:id="3771"/>
      <w:bookmarkEnd w:id="3772"/>
      <w:r>
        <w:fldChar w:fldCharType="begin"/>
      </w:r>
      <w:r>
        <w:instrText xml:space="preserve"> XE "Horiz (Scroll Bar Orientation)" </w:instrText>
      </w:r>
      <w:r>
        <w:fldChar w:fldCharType="end"/>
      </w:r>
    </w:p>
    <w:p w:rsidR="000A156F" w:rsidRDefault="00A9721F">
      <w:pPr>
        <w:pStyle w:val="Definition-Field"/>
      </w:pPr>
      <w:r>
        <w:t xml:space="preserve">a.   </w:t>
      </w:r>
      <w:r>
        <w:rPr>
          <w:i/>
        </w:rPr>
        <w:t xml:space="preserve">The standard indicates that </w:t>
      </w:r>
      <w:r>
        <w:rPr>
          <w:i/>
        </w:rPr>
        <w:t>the element is used for scroll bars and spinners.</w:t>
      </w:r>
    </w:p>
    <w:p w:rsidR="000A156F" w:rsidRDefault="00A9721F">
      <w:pPr>
        <w:pStyle w:val="Definition-Field2"/>
      </w:pPr>
      <w:r>
        <w:t>Excel uses the Horiz element for scroll bars only.</w:t>
      </w:r>
    </w:p>
    <w:p w:rsidR="000A156F" w:rsidRDefault="00A9721F">
      <w:pPr>
        <w:pStyle w:val="Heading3"/>
      </w:pPr>
      <w:bookmarkStart w:id="3773" w:name="section_ccda6c59abc6448f9609c5514582b169"/>
      <w:bookmarkStart w:id="3774" w:name="_Toc181684912"/>
      <w:r>
        <w:t>Part 4 Section 19.4.2.33, Inc (Scroll Bar Increment)</w:t>
      </w:r>
      <w:bookmarkEnd w:id="3773"/>
      <w:bookmarkEnd w:id="3774"/>
      <w:r>
        <w:fldChar w:fldCharType="begin"/>
      </w:r>
      <w:r>
        <w:instrText xml:space="preserve"> XE "Inc (Scroll Bar Increment)" </w:instrText>
      </w:r>
      <w:r>
        <w:fldChar w:fldCharType="end"/>
      </w:r>
    </w:p>
    <w:p w:rsidR="000A156F" w:rsidRDefault="00A9721F">
      <w:pPr>
        <w:pStyle w:val="Definition-Field"/>
      </w:pPr>
      <w:r>
        <w:t xml:space="preserve">a.   </w:t>
      </w:r>
      <w:r>
        <w:rPr>
          <w:i/>
        </w:rPr>
        <w:t>The standard states that the values of this element are define</w:t>
      </w:r>
      <w:r>
        <w:rPr>
          <w:i/>
        </w:rPr>
        <w:t>d by the XML Schema integer datatype.</w:t>
      </w:r>
    </w:p>
    <w:p w:rsidR="000A156F" w:rsidRDefault="00A9721F">
      <w:pPr>
        <w:pStyle w:val="Definition-Field2"/>
      </w:pPr>
      <w:r>
        <w:t>Excel restricts the value of this element to be at least 0 and at most 30000.</w:t>
      </w:r>
    </w:p>
    <w:p w:rsidR="000A156F" w:rsidRDefault="00A9721F">
      <w:pPr>
        <w:pStyle w:val="Heading3"/>
      </w:pPr>
      <w:bookmarkStart w:id="3775" w:name="section_08b9c240a1da41ef867f74c008a367f9"/>
      <w:bookmarkStart w:id="3776" w:name="_Toc181684913"/>
      <w:r>
        <w:lastRenderedPageBreak/>
        <w:t>Part 4 Section 19.4.2.35, LCT (Callback Type)</w:t>
      </w:r>
      <w:bookmarkEnd w:id="3775"/>
      <w:bookmarkEnd w:id="3776"/>
      <w:r>
        <w:fldChar w:fldCharType="begin"/>
      </w:r>
      <w:r>
        <w:instrText xml:space="preserve"> XE "LCT (Callback Type)" </w:instrText>
      </w:r>
      <w:r>
        <w:fldChar w:fldCharType="end"/>
      </w:r>
    </w:p>
    <w:p w:rsidR="000A156F" w:rsidRDefault="00A9721F">
      <w:pPr>
        <w:pStyle w:val="Definition-Field"/>
      </w:pPr>
      <w:r>
        <w:t xml:space="preserve">a.   </w:t>
      </w:r>
      <w:r>
        <w:rPr>
          <w:i/>
        </w:rPr>
        <w:t>The standard indicates that the element is used for list boxe</w:t>
      </w:r>
      <w:r>
        <w:rPr>
          <w:i/>
        </w:rPr>
        <w:t>s.</w:t>
      </w:r>
    </w:p>
    <w:p w:rsidR="000A156F" w:rsidRDefault="00A9721F">
      <w:pPr>
        <w:pStyle w:val="Definition-Field2"/>
      </w:pPr>
      <w:r>
        <w:t>Excel also uses the LCT element for list boxes and dropdowns.</w:t>
      </w:r>
    </w:p>
    <w:p w:rsidR="000A156F" w:rsidRDefault="00A9721F">
      <w:pPr>
        <w:pStyle w:val="Heading3"/>
      </w:pPr>
      <w:bookmarkStart w:id="3777" w:name="section_41fab666731c4a82985af55d31ea2df4"/>
      <w:bookmarkStart w:id="3778" w:name="_Toc181684914"/>
      <w:r>
        <w:t>Part 4 Section 19.4.2.36, ListItem (Non-linked List Item)</w:t>
      </w:r>
      <w:bookmarkEnd w:id="3777"/>
      <w:bookmarkEnd w:id="3778"/>
      <w:r>
        <w:fldChar w:fldCharType="begin"/>
      </w:r>
      <w:r>
        <w:instrText xml:space="preserve"> XE "ListItem (Non-linked List Item)" </w:instrText>
      </w:r>
      <w:r>
        <w:fldChar w:fldCharType="end"/>
      </w:r>
    </w:p>
    <w:p w:rsidR="000A156F" w:rsidRDefault="00A9721F">
      <w:pPr>
        <w:pStyle w:val="Definition-Field"/>
      </w:pPr>
      <w:r>
        <w:t xml:space="preserve">a.   </w:t>
      </w:r>
      <w:r>
        <w:rPr>
          <w:i/>
        </w:rPr>
        <w:t>The standard implies the ListItem element is always used.</w:t>
      </w:r>
    </w:p>
    <w:p w:rsidR="000A156F" w:rsidRDefault="00A9721F">
      <w:pPr>
        <w:pStyle w:val="Definition-Field2"/>
      </w:pPr>
      <w:r>
        <w:t>Excel ignores the ListItem ele</w:t>
      </w:r>
      <w:r>
        <w:t>ment when the FmlaRange element is present.</w:t>
      </w:r>
    </w:p>
    <w:p w:rsidR="000A156F" w:rsidRDefault="00A9721F">
      <w:pPr>
        <w:pStyle w:val="Heading3"/>
      </w:pPr>
      <w:bookmarkStart w:id="3779" w:name="section_d3fababa849446e59d8c22b7b113dc40"/>
      <w:bookmarkStart w:id="3780" w:name="_Toc181684915"/>
      <w:r>
        <w:t>Part 4 Section 19.4.2.40, Max (Scroll Bar Maximum)</w:t>
      </w:r>
      <w:bookmarkEnd w:id="3779"/>
      <w:bookmarkEnd w:id="3780"/>
      <w:r>
        <w:fldChar w:fldCharType="begin"/>
      </w:r>
      <w:r>
        <w:instrText xml:space="preserve"> XE "Max (Scroll Bar Maximum)" </w:instrText>
      </w:r>
      <w:r>
        <w:fldChar w:fldCharType="end"/>
      </w:r>
    </w:p>
    <w:p w:rsidR="000A156F" w:rsidRDefault="00A9721F">
      <w:pPr>
        <w:pStyle w:val="Definition-Field"/>
      </w:pPr>
      <w:r>
        <w:t xml:space="preserve">a.   </w:t>
      </w:r>
      <w:r>
        <w:rPr>
          <w:i/>
        </w:rPr>
        <w:t>The standard states that the values of this element are defined by the XML Schema integer datatype.</w:t>
      </w:r>
    </w:p>
    <w:p w:rsidR="000A156F" w:rsidRDefault="00A9721F">
      <w:pPr>
        <w:pStyle w:val="Definition-Field2"/>
      </w:pPr>
      <w:r>
        <w:t>Excel restricts the val</w:t>
      </w:r>
      <w:r>
        <w:t>ue of this element to be at least 0 and at most 30000.</w:t>
      </w:r>
    </w:p>
    <w:p w:rsidR="000A156F" w:rsidRDefault="00A9721F">
      <w:pPr>
        <w:pStyle w:val="Heading3"/>
      </w:pPr>
      <w:bookmarkStart w:id="3781" w:name="section_d46c6a1b604842ff83d335bc1055b689"/>
      <w:bookmarkStart w:id="3782" w:name="_Toc181684916"/>
      <w:r>
        <w:t>Part 4 Section 19.4.2.41, Min (Scroll Bar Minimum)</w:t>
      </w:r>
      <w:bookmarkEnd w:id="3781"/>
      <w:bookmarkEnd w:id="3782"/>
      <w:r>
        <w:fldChar w:fldCharType="begin"/>
      </w:r>
      <w:r>
        <w:instrText xml:space="preserve"> XE "Min (Scroll Bar Minimum)" </w:instrText>
      </w:r>
      <w:r>
        <w:fldChar w:fldCharType="end"/>
      </w:r>
    </w:p>
    <w:p w:rsidR="000A156F" w:rsidRDefault="00A9721F">
      <w:pPr>
        <w:pStyle w:val="Definition-Field"/>
      </w:pPr>
      <w:r>
        <w:t xml:space="preserve">a.   </w:t>
      </w:r>
      <w:r>
        <w:rPr>
          <w:i/>
        </w:rPr>
        <w:t>The standard states that the values of this element are defined by the XML Schema integer datatype.</w:t>
      </w:r>
    </w:p>
    <w:p w:rsidR="000A156F" w:rsidRDefault="00A9721F">
      <w:pPr>
        <w:pStyle w:val="Definition-Field2"/>
      </w:pPr>
      <w:r>
        <w:t>Excel restri</w:t>
      </w:r>
      <w:r>
        <w:t>cts the value of this element to be at least 0 and at most 30000.</w:t>
      </w:r>
    </w:p>
    <w:p w:rsidR="000A156F" w:rsidRDefault="00A9721F">
      <w:pPr>
        <w:pStyle w:val="Heading3"/>
      </w:pPr>
      <w:bookmarkStart w:id="3783" w:name="section_40158516bf2346b1b809063618265082"/>
      <w:bookmarkStart w:id="3784" w:name="_Toc181684917"/>
      <w:r>
        <w:t>Part 4 Section 19.4.2.42, MoveWithCells (Move with Cells)</w:t>
      </w:r>
      <w:bookmarkEnd w:id="3783"/>
      <w:bookmarkEnd w:id="3784"/>
      <w:r>
        <w:fldChar w:fldCharType="begin"/>
      </w:r>
      <w:r>
        <w:instrText xml:space="preserve"> XE "MoveWithCells (Move with Cells)" </w:instrText>
      </w:r>
      <w:r>
        <w:fldChar w:fldCharType="end"/>
      </w:r>
    </w:p>
    <w:p w:rsidR="000A156F" w:rsidRDefault="00A9721F">
      <w:pPr>
        <w:pStyle w:val="Definition-Field"/>
      </w:pPr>
      <w:r>
        <w:t xml:space="preserve">a.   </w:t>
      </w:r>
      <w:r>
        <w:rPr>
          <w:i/>
        </w:rPr>
        <w:t xml:space="preserve">The standard defines the meaning of the values true and false for the MoveWithCells </w:t>
      </w:r>
      <w:r>
        <w:rPr>
          <w:i/>
        </w:rPr>
        <w:t>element.</w:t>
      </w:r>
    </w:p>
    <w:p w:rsidR="000A156F" w:rsidRDefault="00A9721F">
      <w:pPr>
        <w:pStyle w:val="Definition-Field2"/>
      </w:pPr>
      <w:r>
        <w:t>Excel reverses the meaning of the values true and false for the MoveWithCells element.</w:t>
      </w:r>
    </w:p>
    <w:p w:rsidR="000A156F" w:rsidRDefault="00A9721F">
      <w:pPr>
        <w:pStyle w:val="Heading3"/>
      </w:pPr>
      <w:bookmarkStart w:id="3785" w:name="section_d4169e9a85cc4cb98354faf0f1551b0c"/>
      <w:bookmarkStart w:id="3786" w:name="_Toc181684918"/>
      <w:r>
        <w:t>Part 4 Section 19.4.2.45, NoThreeD (Disable 3D)</w:t>
      </w:r>
      <w:bookmarkEnd w:id="3785"/>
      <w:bookmarkEnd w:id="3786"/>
      <w:r>
        <w:fldChar w:fldCharType="begin"/>
      </w:r>
      <w:r>
        <w:instrText xml:space="preserve"> XE "NoThreeD (Disable 3D)" </w:instrText>
      </w:r>
      <w:r>
        <w:fldChar w:fldCharType="end"/>
      </w:r>
    </w:p>
    <w:p w:rsidR="000A156F" w:rsidRDefault="00A9721F">
      <w:pPr>
        <w:pStyle w:val="Definition-Field"/>
      </w:pPr>
      <w:r>
        <w:t xml:space="preserve">a.   </w:t>
      </w:r>
      <w:r>
        <w:rPr>
          <w:i/>
        </w:rPr>
        <w:t>The standard indicates that the element is used for checkboxes, radio buttons</w:t>
      </w:r>
      <w:r>
        <w:rPr>
          <w:i/>
        </w:rPr>
        <w:t>, group boxes and scroll bars.</w:t>
      </w:r>
    </w:p>
    <w:p w:rsidR="000A156F" w:rsidRDefault="00A9721F">
      <w:pPr>
        <w:pStyle w:val="Definition-Field2"/>
      </w:pPr>
      <w:r>
        <w:t>Excel also uses the NoThreeD element for spinners.</w:t>
      </w:r>
    </w:p>
    <w:p w:rsidR="000A156F" w:rsidRDefault="00A9721F">
      <w:pPr>
        <w:pStyle w:val="Heading3"/>
      </w:pPr>
      <w:bookmarkStart w:id="3787" w:name="section_9f43de269a174e698ce2d61e66016310"/>
      <w:bookmarkStart w:id="3788" w:name="_Toc181684919"/>
      <w:r>
        <w:t>Part 4 Section 19.4.2.47, Page (Scroll Bar Page Increment)</w:t>
      </w:r>
      <w:bookmarkEnd w:id="3787"/>
      <w:bookmarkEnd w:id="3788"/>
      <w:r>
        <w:fldChar w:fldCharType="begin"/>
      </w:r>
      <w:r>
        <w:instrText xml:space="preserve"> XE "Page (Scroll Bar Page Increment)" </w:instrText>
      </w:r>
      <w:r>
        <w:fldChar w:fldCharType="end"/>
      </w:r>
    </w:p>
    <w:p w:rsidR="000A156F" w:rsidRDefault="00A9721F">
      <w:pPr>
        <w:pStyle w:val="Definition-Field"/>
      </w:pPr>
      <w:r>
        <w:t xml:space="preserve">a.   </w:t>
      </w:r>
      <w:r>
        <w:rPr>
          <w:i/>
        </w:rPr>
        <w:t>The standard states that the values of this element are defined by th</w:t>
      </w:r>
      <w:r>
        <w:rPr>
          <w:i/>
        </w:rPr>
        <w:t>e XML Schema integer datatype.</w:t>
      </w:r>
    </w:p>
    <w:p w:rsidR="000A156F" w:rsidRDefault="00A9721F">
      <w:pPr>
        <w:pStyle w:val="Definition-Field2"/>
      </w:pPr>
      <w:r>
        <w:t>Excel restricts the value of this element to be at least 0 and at most 30000.</w:t>
      </w:r>
    </w:p>
    <w:p w:rsidR="000A156F" w:rsidRDefault="00A9721F">
      <w:pPr>
        <w:pStyle w:val="Heading3"/>
      </w:pPr>
      <w:bookmarkStart w:id="3789" w:name="section_20689dc60d9142edabc07fb4976027dc"/>
      <w:bookmarkStart w:id="3790" w:name="_Toc181684920"/>
      <w:r>
        <w:t>Part 4 Section 19.4.2.49, RecalcAlways (Recalculation Toggle)</w:t>
      </w:r>
      <w:bookmarkEnd w:id="3789"/>
      <w:bookmarkEnd w:id="3790"/>
      <w:r>
        <w:fldChar w:fldCharType="begin"/>
      </w:r>
      <w:r>
        <w:instrText xml:space="preserve"> XE "RecalcAlways (Recalculation Toggle)" </w:instrText>
      </w:r>
      <w:r>
        <w:fldChar w:fldCharType="end"/>
      </w:r>
    </w:p>
    <w:p w:rsidR="000A156F" w:rsidRDefault="00A9721F">
      <w:pPr>
        <w:pStyle w:val="Definition-Field"/>
      </w:pPr>
      <w:r>
        <w:t xml:space="preserve">a.   </w:t>
      </w:r>
      <w:r>
        <w:rPr>
          <w:i/>
        </w:rPr>
        <w:t xml:space="preserve">The standard states that this </w:t>
      </w:r>
      <w:r>
        <w:rPr>
          <w:i/>
        </w:rPr>
        <w:t>element defines whether the object is always included in recalculation.</w:t>
      </w:r>
    </w:p>
    <w:p w:rsidR="000A156F" w:rsidRDefault="00A9721F">
      <w:pPr>
        <w:pStyle w:val="Definition-Field2"/>
      </w:pPr>
      <w:r>
        <w:t>Office does not implement the behavior associated with this element and removes the element on save.</w:t>
      </w:r>
    </w:p>
    <w:p w:rsidR="000A156F" w:rsidRDefault="00A9721F">
      <w:pPr>
        <w:pStyle w:val="Heading3"/>
      </w:pPr>
      <w:bookmarkStart w:id="3791" w:name="section_b74ed70b64c94ef4b19cb45e971224e3"/>
      <w:bookmarkStart w:id="3792" w:name="_Toc181684921"/>
      <w:r>
        <w:lastRenderedPageBreak/>
        <w:t>Part 4 Section 19.4.2.51, RowHidden (Comment's Row is Hidden)</w:t>
      </w:r>
      <w:bookmarkEnd w:id="3791"/>
      <w:bookmarkEnd w:id="3792"/>
      <w:r>
        <w:fldChar w:fldCharType="begin"/>
      </w:r>
      <w:r>
        <w:instrText xml:space="preserve"> XE "RowHidden (Commen</w:instrText>
      </w:r>
      <w:r>
        <w:instrText xml:space="preserve">t's Row is Hidden)" </w:instrText>
      </w:r>
      <w:r>
        <w:fldChar w:fldCharType="end"/>
      </w:r>
    </w:p>
    <w:p w:rsidR="000A156F" w:rsidRDefault="00A9721F">
      <w:pPr>
        <w:pStyle w:val="Definition-Field"/>
      </w:pPr>
      <w:r>
        <w:t xml:space="preserve">a.   </w:t>
      </w:r>
      <w:r>
        <w:rPr>
          <w:i/>
        </w:rPr>
        <w:t>The standard could imply that the RowHidden element may be used to hide a row.</w:t>
      </w:r>
    </w:p>
    <w:p w:rsidR="000A156F" w:rsidRDefault="00A9721F">
      <w:pPr>
        <w:pStyle w:val="Definition-Field2"/>
      </w:pPr>
      <w:r>
        <w:t>Office uses RowHidden as an indicator of whether the row of the cell to which this comment points is hidden and cannot be used for hiding a row.  The</w:t>
      </w:r>
      <w:r>
        <w:t xml:space="preserve"> hidden attribute of the row element ("</w:t>
      </w:r>
      <w:hyperlink r:id="rId283">
        <w:r>
          <w:rPr>
            <w:rStyle w:val="Hyperlink"/>
          </w:rPr>
          <w:t>[ISO/IEC-29500-1]</w:t>
        </w:r>
      </w:hyperlink>
      <w:r>
        <w:t xml:space="preserve"> §18.3.1.73; row") is used for hiding a row.</w:t>
      </w:r>
    </w:p>
    <w:p w:rsidR="000A156F" w:rsidRDefault="00A9721F">
      <w:pPr>
        <w:pStyle w:val="Heading3"/>
      </w:pPr>
      <w:bookmarkStart w:id="3793" w:name="section_f73499992b8b434ba3ca650b7c61f2b5"/>
      <w:bookmarkStart w:id="3794" w:name="_Toc181684922"/>
      <w:r>
        <w:t>Part 4 Section 19.4.2.59, SizeWithCells (Resize with Cells)</w:t>
      </w:r>
      <w:bookmarkEnd w:id="3793"/>
      <w:bookmarkEnd w:id="3794"/>
      <w:r>
        <w:fldChar w:fldCharType="begin"/>
      </w:r>
      <w:r>
        <w:instrText xml:space="preserve"> XE "SizeWithCells (Resize wit</w:instrText>
      </w:r>
      <w:r>
        <w:instrText xml:space="preserve">h Cells)" </w:instrText>
      </w:r>
      <w:r>
        <w:fldChar w:fldCharType="end"/>
      </w:r>
    </w:p>
    <w:p w:rsidR="000A156F" w:rsidRDefault="00A9721F">
      <w:pPr>
        <w:pStyle w:val="Definition-Field"/>
      </w:pPr>
      <w:r>
        <w:t xml:space="preserve">a.   </w:t>
      </w:r>
      <w:r>
        <w:rPr>
          <w:i/>
        </w:rPr>
        <w:t>The standard defines the meaning of the values true and false for the element.</w:t>
      </w:r>
    </w:p>
    <w:p w:rsidR="000A156F" w:rsidRDefault="00A9721F">
      <w:pPr>
        <w:pStyle w:val="Definition-Field2"/>
      </w:pPr>
      <w:r>
        <w:t>Excel reverses the meaning of the values true and false for the SizeWithCells element.</w:t>
      </w:r>
    </w:p>
    <w:p w:rsidR="000A156F" w:rsidRDefault="00A9721F">
      <w:pPr>
        <w:pStyle w:val="Heading3"/>
      </w:pPr>
      <w:bookmarkStart w:id="3795" w:name="section_7669e68deb7549b19058dfcaf5707fd5"/>
      <w:bookmarkStart w:id="3796" w:name="_Toc181684923"/>
      <w:r>
        <w:t>Part 4 Section 19.4.2.61, TextVAlign (Vertical Text Alignment)</w:t>
      </w:r>
      <w:bookmarkEnd w:id="3795"/>
      <w:bookmarkEnd w:id="3796"/>
      <w:r>
        <w:fldChar w:fldCharType="begin"/>
      </w:r>
      <w:r>
        <w:instrText xml:space="preserve"> XE "TextV</w:instrText>
      </w:r>
      <w:r>
        <w:instrText xml:space="preserve">Align (Vertical Text Alignment)" </w:instrText>
      </w:r>
      <w:r>
        <w:fldChar w:fldCharType="end"/>
      </w:r>
    </w:p>
    <w:p w:rsidR="000A156F" w:rsidRDefault="00A9721F">
      <w:pPr>
        <w:pStyle w:val="Definition-Field"/>
      </w:pPr>
      <w:r>
        <w:t xml:space="preserve">a.   </w:t>
      </w:r>
      <w:r>
        <w:rPr>
          <w:i/>
        </w:rPr>
        <w:t>The standard describes a vertical alignment property in terms of horizontal alignment.</w:t>
      </w:r>
    </w:p>
    <w:p w:rsidR="000A156F" w:rsidRDefault="00A9721F">
      <w:pPr>
        <w:pStyle w:val="Definition-Field2"/>
      </w:pPr>
      <w:r>
        <w:t>Excel considers the TextVAlign element to specify vertical alignment.</w:t>
      </w:r>
    </w:p>
    <w:p w:rsidR="000A156F" w:rsidRDefault="00A9721F">
      <w:pPr>
        <w:pStyle w:val="Heading3"/>
      </w:pPr>
      <w:bookmarkStart w:id="3797" w:name="section_349abc4ba8f340adb212fe737803b70b"/>
      <w:bookmarkStart w:id="3798" w:name="_Toc181684924"/>
      <w:r>
        <w:t>Part 4 Section 19.4.2.62, UIObj (UI Object Toggle)</w:t>
      </w:r>
      <w:bookmarkEnd w:id="3797"/>
      <w:bookmarkEnd w:id="3798"/>
      <w:r>
        <w:fldChar w:fldCharType="begin"/>
      </w:r>
      <w:r>
        <w:instrText xml:space="preserve"> XE "UIO</w:instrText>
      </w:r>
      <w:r>
        <w:instrText xml:space="preserve">bj (UI Object Toggle)" </w:instrText>
      </w:r>
      <w:r>
        <w:fldChar w:fldCharType="end"/>
      </w:r>
    </w:p>
    <w:p w:rsidR="000A156F" w:rsidRDefault="00A9721F">
      <w:pPr>
        <w:pStyle w:val="Definition-Field"/>
      </w:pPr>
      <w:r>
        <w:t xml:space="preserve">a.   </w:t>
      </w:r>
      <w:r>
        <w:rPr>
          <w:i/>
        </w:rPr>
        <w:t>The standard doesn't define what a UI Object is.</w:t>
      </w:r>
    </w:p>
    <w:p w:rsidR="000A156F" w:rsidRDefault="00A9721F">
      <w:pPr>
        <w:pStyle w:val="Definition-Field2"/>
      </w:pPr>
      <w:r>
        <w:t>Excel considers a UI Object to be a graphical object that the user is not able to interact with.</w:t>
      </w:r>
    </w:p>
    <w:p w:rsidR="000A156F" w:rsidRDefault="00A9721F">
      <w:pPr>
        <w:pStyle w:val="Heading3"/>
      </w:pPr>
      <w:bookmarkStart w:id="3799" w:name="section_f453e8c0282a48efac209554adad68b7"/>
      <w:bookmarkStart w:id="3800" w:name="_Toc181684925"/>
      <w:r>
        <w:t>Part 4 Section 19.4.2.63, Val (Scroll bar position)</w:t>
      </w:r>
      <w:bookmarkEnd w:id="3799"/>
      <w:bookmarkEnd w:id="3800"/>
      <w:r>
        <w:fldChar w:fldCharType="begin"/>
      </w:r>
      <w:r>
        <w:instrText xml:space="preserve"> XE "Val (Scroll bar positio</w:instrText>
      </w:r>
      <w:r>
        <w:instrText xml:space="preserve">n)" </w:instrText>
      </w:r>
      <w:r>
        <w:fldChar w:fldCharType="end"/>
      </w:r>
    </w:p>
    <w:p w:rsidR="000A156F" w:rsidRDefault="00A9721F">
      <w:pPr>
        <w:pStyle w:val="Definition-Field"/>
      </w:pPr>
      <w:r>
        <w:t xml:space="preserve">a.   </w:t>
      </w:r>
      <w:r>
        <w:rPr>
          <w:i/>
        </w:rPr>
        <w:t>The standard states that the values of this element are defined by the XML Schema integer datatype.</w:t>
      </w:r>
    </w:p>
    <w:p w:rsidR="000A156F" w:rsidRDefault="00A9721F">
      <w:pPr>
        <w:pStyle w:val="Definition-Field2"/>
      </w:pPr>
      <w:r>
        <w:t>Excel restricts the value of this element to be at least 0 and at most 30000.</w:t>
      </w:r>
    </w:p>
    <w:p w:rsidR="000A156F" w:rsidRDefault="00A9721F">
      <w:pPr>
        <w:pStyle w:val="Definition-Field"/>
      </w:pPr>
      <w:r>
        <w:t xml:space="preserve">b.   </w:t>
      </w:r>
      <w:r>
        <w:rPr>
          <w:i/>
        </w:rPr>
        <w:t>The standard indicates that the Val element is used for scrol</w:t>
      </w:r>
      <w:r>
        <w:rPr>
          <w:i/>
        </w:rPr>
        <w:t>l bars and spinners.</w:t>
      </w:r>
    </w:p>
    <w:p w:rsidR="000A156F" w:rsidRDefault="00A9721F">
      <w:pPr>
        <w:pStyle w:val="Definition-Field2"/>
      </w:pPr>
      <w:r>
        <w:t>Excel also uses the Val element for scroll bars on combo boxes and list boxes.</w:t>
      </w:r>
    </w:p>
    <w:p w:rsidR="000A156F" w:rsidRDefault="00A9721F">
      <w:pPr>
        <w:pStyle w:val="Heading3"/>
      </w:pPr>
      <w:bookmarkStart w:id="3801" w:name="section_56636a18430443ddbad9302d7e7582fe"/>
      <w:bookmarkStart w:id="3802" w:name="_Toc181684926"/>
      <w:r>
        <w:t>Part 4 Section 19.4.2.64, ValidIds (Valid ID)</w:t>
      </w:r>
      <w:bookmarkEnd w:id="3801"/>
      <w:bookmarkEnd w:id="3802"/>
      <w:r>
        <w:fldChar w:fldCharType="begin"/>
      </w:r>
      <w:r>
        <w:instrText xml:space="preserve"> XE "ValidIds (Valid ID)" </w:instrText>
      </w:r>
      <w:r>
        <w:fldChar w:fldCharType="end"/>
      </w:r>
    </w:p>
    <w:p w:rsidR="000A156F" w:rsidRDefault="00A9721F">
      <w:pPr>
        <w:pStyle w:val="Definition-Field"/>
      </w:pPr>
      <w:r>
        <w:t xml:space="preserve">a.   </w:t>
      </w:r>
      <w:r>
        <w:rPr>
          <w:i/>
        </w:rPr>
        <w:t>The standard indicates how the ValidIds element is used.</w:t>
      </w:r>
    </w:p>
    <w:p w:rsidR="000A156F" w:rsidRDefault="00A9721F">
      <w:pPr>
        <w:pStyle w:val="Definition-Field2"/>
      </w:pPr>
      <w:r>
        <w:t xml:space="preserve">Excel ignores the </w:t>
      </w:r>
      <w:r>
        <w:t>ValidIds element and does not preserve it on file save.</w:t>
      </w:r>
    </w:p>
    <w:p w:rsidR="000A156F" w:rsidRDefault="00A9721F">
      <w:pPr>
        <w:pStyle w:val="Heading3"/>
      </w:pPr>
      <w:bookmarkStart w:id="3803" w:name="section_86cba58518844f6aa098d59ea4ba636b"/>
      <w:bookmarkStart w:id="3804" w:name="_Toc181684927"/>
      <w:r>
        <w:t>Part 4 Section 19.4.2.68, WidthMin (Minimum Width)</w:t>
      </w:r>
      <w:bookmarkEnd w:id="3803"/>
      <w:bookmarkEnd w:id="3804"/>
      <w:r>
        <w:fldChar w:fldCharType="begin"/>
      </w:r>
      <w:r>
        <w:instrText xml:space="preserve"> XE "WidthMin (Minimum Width)" </w:instrText>
      </w:r>
      <w:r>
        <w:fldChar w:fldCharType="end"/>
      </w:r>
    </w:p>
    <w:p w:rsidR="000A156F" w:rsidRDefault="00A9721F">
      <w:pPr>
        <w:pStyle w:val="Definition-Field"/>
      </w:pPr>
      <w:r>
        <w:t xml:space="preserve">a.   </w:t>
      </w:r>
      <w:r>
        <w:rPr>
          <w:i/>
        </w:rPr>
        <w:t>The standard indicates the WidthMin element is used for list boxes and dropdowns.</w:t>
      </w:r>
    </w:p>
    <w:p w:rsidR="000A156F" w:rsidRDefault="00A9721F">
      <w:pPr>
        <w:pStyle w:val="Definition-Field2"/>
      </w:pPr>
      <w:r>
        <w:t>Excel uses the element WidthM</w:t>
      </w:r>
      <w:r>
        <w:t>in for dropdowns only.</w:t>
      </w:r>
    </w:p>
    <w:p w:rsidR="000A156F" w:rsidRDefault="00A9721F">
      <w:pPr>
        <w:pStyle w:val="Heading3"/>
      </w:pPr>
      <w:bookmarkStart w:id="3805" w:name="section_4cf33f25c60445a1bd239d283a508e15"/>
      <w:bookmarkStart w:id="3806" w:name="_Toc181684928"/>
      <w:r>
        <w:t>Part 4 Section 19.5.2.2, textdata (VML Diagram Text)</w:t>
      </w:r>
      <w:bookmarkEnd w:id="3805"/>
      <w:bookmarkEnd w:id="3806"/>
      <w:r>
        <w:fldChar w:fldCharType="begin"/>
      </w:r>
      <w:r>
        <w:instrText xml:space="preserve"> XE "textdata (VML Diagram Text)" </w:instrText>
      </w:r>
      <w:r>
        <w:fldChar w:fldCharType="end"/>
      </w:r>
    </w:p>
    <w:p w:rsidR="000A156F" w:rsidRDefault="00A9721F">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0A156F" w:rsidRDefault="00A9721F">
      <w:pPr>
        <w:pStyle w:val="Heading3"/>
      </w:pPr>
      <w:bookmarkStart w:id="3807" w:name="section_57afc6353ade4d41a7313702bf735c42"/>
      <w:bookmarkStart w:id="3808" w:name="_Toc181684929"/>
      <w:r>
        <w:lastRenderedPageBreak/>
        <w:t>Part 4 Section 20.1.2.3, ST_ColorType (Color Type)</w:t>
      </w:r>
      <w:bookmarkEnd w:id="3807"/>
      <w:bookmarkEnd w:id="3808"/>
      <w:r>
        <w:fldChar w:fldCharType="begin"/>
      </w:r>
      <w:r>
        <w:instrText xml:space="preserve"> XE "ST_ColorType (Color Type)" </w:instrText>
      </w:r>
      <w:r>
        <w:fldChar w:fldCharType="end"/>
      </w:r>
    </w:p>
    <w:p w:rsidR="000A156F" w:rsidRDefault="00A9721F">
      <w:pPr>
        <w:pStyle w:val="Definition-Field"/>
      </w:pPr>
      <w:r>
        <w:t xml:space="preserve">a.   </w:t>
      </w:r>
      <w:r>
        <w:rPr>
          <w:i/>
        </w:rPr>
        <w:t>The standard does not indicate the valid color palette entry names for the ST_ColorType simple type.</w:t>
      </w:r>
    </w:p>
    <w:p w:rsidR="000A156F" w:rsidRDefault="00A9721F">
      <w:r>
        <w:t>In Office, the following color pale</w:t>
      </w:r>
      <w:r>
        <w:t>tte entries are supported:</w:t>
      </w:r>
    </w:p>
    <w:p w:rsidR="000A156F" w:rsidRDefault="00A9721F">
      <w:r>
        <w:rPr>
          <w:i/>
        </w:rPr>
        <w:t>ButtonFace</w:t>
      </w:r>
    </w:p>
    <w:p w:rsidR="000A156F" w:rsidRDefault="00A9721F">
      <w:r>
        <w:rPr>
          <w:i/>
        </w:rPr>
        <w:t>WindowText</w:t>
      </w:r>
    </w:p>
    <w:p w:rsidR="000A156F" w:rsidRDefault="00A9721F">
      <w:r>
        <w:rPr>
          <w:i/>
        </w:rPr>
        <w:t>Menu</w:t>
      </w:r>
    </w:p>
    <w:p w:rsidR="000A156F" w:rsidRDefault="00A9721F">
      <w:r>
        <w:rPr>
          <w:i/>
        </w:rPr>
        <w:t>Highlight</w:t>
      </w:r>
    </w:p>
    <w:p w:rsidR="000A156F" w:rsidRDefault="00A9721F">
      <w:r>
        <w:rPr>
          <w:i/>
        </w:rPr>
        <w:t>HighlightText</w:t>
      </w:r>
    </w:p>
    <w:p w:rsidR="000A156F" w:rsidRDefault="00A9721F">
      <w:r>
        <w:rPr>
          <w:i/>
        </w:rPr>
        <w:t>CaptionText</w:t>
      </w:r>
    </w:p>
    <w:p w:rsidR="000A156F" w:rsidRDefault="00A9721F">
      <w:r>
        <w:rPr>
          <w:i/>
        </w:rPr>
        <w:t>ActiveCaption</w:t>
      </w:r>
    </w:p>
    <w:p w:rsidR="000A156F" w:rsidRDefault="00A9721F">
      <w:r>
        <w:rPr>
          <w:i/>
        </w:rPr>
        <w:t>ButtonHighlight</w:t>
      </w:r>
    </w:p>
    <w:p w:rsidR="000A156F" w:rsidRDefault="00A9721F">
      <w:r>
        <w:rPr>
          <w:i/>
        </w:rPr>
        <w:t>ButtonShadow</w:t>
      </w:r>
    </w:p>
    <w:p w:rsidR="000A156F" w:rsidRDefault="00A9721F">
      <w:r>
        <w:rPr>
          <w:i/>
        </w:rPr>
        <w:t>ButtonText</w:t>
      </w:r>
    </w:p>
    <w:p w:rsidR="000A156F" w:rsidRDefault="00A9721F">
      <w:r>
        <w:rPr>
          <w:i/>
        </w:rPr>
        <w:t>GrayText</w:t>
      </w:r>
    </w:p>
    <w:p w:rsidR="000A156F" w:rsidRDefault="00A9721F">
      <w:r>
        <w:rPr>
          <w:i/>
        </w:rPr>
        <w:t>InactiveCaption</w:t>
      </w:r>
    </w:p>
    <w:p w:rsidR="000A156F" w:rsidRDefault="00A9721F">
      <w:r>
        <w:rPr>
          <w:i/>
        </w:rPr>
        <w:t>InactiveCaptionText</w:t>
      </w:r>
    </w:p>
    <w:p w:rsidR="000A156F" w:rsidRDefault="00A9721F">
      <w:r>
        <w:rPr>
          <w:i/>
        </w:rPr>
        <w:t>InfoBackground</w:t>
      </w:r>
    </w:p>
    <w:p w:rsidR="000A156F" w:rsidRDefault="00A9721F">
      <w:r>
        <w:rPr>
          <w:i/>
        </w:rPr>
        <w:t>InfoText</w:t>
      </w:r>
    </w:p>
    <w:p w:rsidR="000A156F" w:rsidRDefault="00A9721F">
      <w:r>
        <w:rPr>
          <w:i/>
        </w:rPr>
        <w:t>MenuText</w:t>
      </w:r>
    </w:p>
    <w:p w:rsidR="000A156F" w:rsidRDefault="00A9721F">
      <w:r>
        <w:rPr>
          <w:i/>
        </w:rPr>
        <w:t>Scrollbar</w:t>
      </w:r>
    </w:p>
    <w:p w:rsidR="000A156F" w:rsidRDefault="00A9721F">
      <w:r>
        <w:rPr>
          <w:i/>
        </w:rPr>
        <w:t>Window</w:t>
      </w:r>
    </w:p>
    <w:p w:rsidR="000A156F" w:rsidRDefault="00A9721F">
      <w:r>
        <w:rPr>
          <w:i/>
        </w:rPr>
        <w:t>WindowFrame</w:t>
      </w:r>
    </w:p>
    <w:p w:rsidR="000A156F" w:rsidRDefault="00A9721F">
      <w:r>
        <w:rPr>
          <w:i/>
        </w:rPr>
        <w:t>ThreeDLightShadow</w:t>
      </w:r>
    </w:p>
    <w:p w:rsidR="000A156F" w:rsidRDefault="00A9721F">
      <w:r>
        <w:rPr>
          <w:i/>
        </w:rPr>
        <w:t>ThreeDDarkShadow</w:t>
      </w:r>
    </w:p>
    <w:p w:rsidR="000A156F" w:rsidRDefault="00A9721F">
      <w:r>
        <w:rPr>
          <w:i/>
        </w:rPr>
        <w:t>ActiveBorder</w:t>
      </w:r>
    </w:p>
    <w:p w:rsidR="000A156F" w:rsidRDefault="00A9721F">
      <w:r>
        <w:rPr>
          <w:i/>
        </w:rPr>
        <w:t>InactiveBorder</w:t>
      </w:r>
    </w:p>
    <w:p w:rsidR="000A156F" w:rsidRDefault="00A9721F">
      <w:r>
        <w:rPr>
          <w:i/>
        </w:rPr>
        <w:t>Background</w:t>
      </w:r>
    </w:p>
    <w:p w:rsidR="000A156F" w:rsidRDefault="00A9721F">
      <w:r>
        <w:rPr>
          <w:i/>
        </w:rPr>
        <w:t>AppWorkspace</w:t>
      </w:r>
    </w:p>
    <w:p w:rsidR="000A156F" w:rsidRDefault="00A9721F">
      <w:r>
        <w:rPr>
          <w:i/>
        </w:rPr>
        <w:t>ThreeDFace (</w:t>
      </w:r>
      <w:r>
        <w:t xml:space="preserve">represents the same color as </w:t>
      </w:r>
      <w:r>
        <w:rPr>
          <w:i/>
        </w:rPr>
        <w:t>ButtonFace)</w:t>
      </w:r>
    </w:p>
    <w:p w:rsidR="000A156F" w:rsidRDefault="00A9721F">
      <w:r>
        <w:rPr>
          <w:i/>
        </w:rPr>
        <w:t>ThreeDShadow (</w:t>
      </w:r>
      <w:r>
        <w:t xml:space="preserve">represents the same color as </w:t>
      </w:r>
      <w:r>
        <w:rPr>
          <w:i/>
        </w:rPr>
        <w:t>ButtonShadow)</w:t>
      </w:r>
    </w:p>
    <w:p w:rsidR="000A156F" w:rsidRDefault="00A9721F">
      <w:r>
        <w:rPr>
          <w:i/>
        </w:rPr>
        <w:t>ThreeDHighlight (</w:t>
      </w:r>
      <w:r>
        <w:t xml:space="preserve">represents the same color as </w:t>
      </w:r>
      <w:r>
        <w:rPr>
          <w:i/>
        </w:rPr>
        <w:t>ButtonHighlig</w:t>
      </w:r>
      <w:r>
        <w:rPr>
          <w:i/>
        </w:rPr>
        <w:t>ht)</w:t>
      </w:r>
    </w:p>
    <w:p w:rsidR="000A156F" w:rsidRDefault="00A9721F">
      <w:r>
        <w:lastRenderedPageBreak/>
        <w:t>[Example:</w:t>
      </w:r>
    </w:p>
    <w:p w:rsidR="000A156F" w:rsidRDefault="00A9721F">
      <w:pPr>
        <w:pStyle w:val="Code"/>
      </w:pPr>
      <w:r>
        <w:t>&lt;... color="InactiveCaption" ... &gt;</w:t>
      </w:r>
    </w:p>
    <w:p w:rsidR="000A156F" w:rsidRDefault="00A9721F">
      <w:r>
        <w:t>end example]</w:t>
      </w:r>
    </w:p>
    <w:p w:rsidR="000A156F" w:rsidRDefault="00A9721F">
      <w:pPr>
        <w:pStyle w:val="Definition-Field"/>
      </w:pPr>
      <w:r>
        <w:t xml:space="preserve">b.   </w:t>
      </w:r>
      <w:r>
        <w:rPr>
          <w:i/>
        </w:rPr>
        <w:t>The standard indicates the kinds of values that the ST_ColorType simple type uses.</w:t>
      </w:r>
    </w:p>
    <w:p w:rsidR="000A156F" w:rsidRDefault="00A9721F">
      <w:r>
        <w:t xml:space="preserve">In Office, decimal RGB is specified using “rgb” followed by three comma-separated values in parentheses.  </w:t>
      </w:r>
      <w:r>
        <w:t>These values are an ordered set in the range 0-255 and represent the red, green, and blue components of the color.</w:t>
      </w:r>
    </w:p>
    <w:p w:rsidR="000A156F" w:rsidRDefault="00A9721F">
      <w:r>
        <w:t>[Example:</w:t>
      </w:r>
    </w:p>
    <w:p w:rsidR="000A156F" w:rsidRDefault="00A9721F">
      <w:pPr>
        <w:pStyle w:val="Code"/>
      </w:pPr>
      <w:r>
        <w:t>&lt; ... color="rgb(95,39,38)" ... &gt;</w:t>
      </w:r>
    </w:p>
    <w:p w:rsidR="000A156F" w:rsidRDefault="00A9721F">
      <w:r>
        <w:t>end example]</w:t>
      </w:r>
    </w:p>
    <w:p w:rsidR="000A156F" w:rsidRDefault="00A9721F">
      <w:pPr>
        <w:pStyle w:val="Definition-Field"/>
      </w:pPr>
      <w:r>
        <w:t xml:space="preserve">c.   </w:t>
      </w:r>
      <w:r>
        <w:rPr>
          <w:i/>
        </w:rPr>
        <w:t>The standard describes the kinds of values that the ST_ColorType simple type us</w:t>
      </w:r>
      <w:r>
        <w:rPr>
          <w:i/>
        </w:rPr>
        <w:t>es.</w:t>
      </w:r>
    </w:p>
    <w:p w:rsidR="000A156F" w:rsidRDefault="00A9721F">
      <w:r>
        <w:t>In Office, decimal RGB is specified using rgb followed by three comma-separated values in parentheses.  These values are an ordered set in the range 0-255 and represent the red, green, and blue components of the color.</w:t>
      </w:r>
    </w:p>
    <w:p w:rsidR="000A156F" w:rsidRDefault="00A9721F">
      <w:r>
        <w:t>[Example:</w:t>
      </w:r>
    </w:p>
    <w:p w:rsidR="000A156F" w:rsidRDefault="00A9721F">
      <w:pPr>
        <w:pStyle w:val="Code"/>
      </w:pPr>
      <w:r>
        <w:t>&lt; ... color="rgb(95,39,</w:t>
      </w:r>
      <w:r>
        <w:t>38)" ... &gt;</w:t>
      </w:r>
    </w:p>
    <w:p w:rsidR="000A156F" w:rsidRDefault="00A9721F">
      <w:r>
        <w:t>end example]</w:t>
      </w:r>
    </w:p>
    <w:p w:rsidR="000A156F" w:rsidRDefault="00A9721F">
      <w:pPr>
        <w:pStyle w:val="Definition-Field"/>
      </w:pPr>
      <w:r>
        <w:t xml:space="preserve">d.   </w:t>
      </w:r>
      <w:r>
        <w:rPr>
          <w:i/>
        </w:rPr>
        <w:t>The standard does not state that the value of the ST_ColorType simple type can be specified using three-character hexadecimal RGB notation.</w:t>
      </w:r>
    </w:p>
    <w:p w:rsidR="000A156F" w:rsidRDefault="00A9721F">
      <w:pPr>
        <w:pStyle w:val="Definition-Field2"/>
      </w:pPr>
      <w:r>
        <w:t>Office does allow this simple type to be specified in this way.</w:t>
      </w:r>
    </w:p>
    <w:p w:rsidR="000A156F" w:rsidRDefault="00A9721F">
      <w:pPr>
        <w:pStyle w:val="Definition-Field"/>
      </w:pPr>
      <w:r>
        <w:t xml:space="preserve">e.   </w:t>
      </w:r>
      <w:r>
        <w:rPr>
          <w:i/>
        </w:rPr>
        <w:t xml:space="preserve">The standard does </w:t>
      </w:r>
      <w:r>
        <w:rPr>
          <w:i/>
        </w:rPr>
        <w:t>not indicate the valid color palette entry names for the ST_ColorType simple type.</w:t>
      </w:r>
    </w:p>
    <w:p w:rsidR="000A156F" w:rsidRDefault="00A9721F">
      <w:r>
        <w:t>In Office, the following color palette entries are supported:</w:t>
      </w:r>
    </w:p>
    <w:p w:rsidR="000A156F" w:rsidRDefault="00A9721F">
      <w:r>
        <w:rPr>
          <w:i/>
        </w:rPr>
        <w:t>ButtonFace</w:t>
      </w:r>
    </w:p>
    <w:p w:rsidR="000A156F" w:rsidRDefault="00A9721F">
      <w:r>
        <w:rPr>
          <w:i/>
        </w:rPr>
        <w:t>WindowText</w:t>
      </w:r>
    </w:p>
    <w:p w:rsidR="000A156F" w:rsidRDefault="00A9721F">
      <w:r>
        <w:rPr>
          <w:i/>
        </w:rPr>
        <w:t>Menu</w:t>
      </w:r>
    </w:p>
    <w:p w:rsidR="000A156F" w:rsidRDefault="00A9721F">
      <w:r>
        <w:rPr>
          <w:i/>
        </w:rPr>
        <w:t>Highlight</w:t>
      </w:r>
    </w:p>
    <w:p w:rsidR="000A156F" w:rsidRDefault="00A9721F">
      <w:r>
        <w:rPr>
          <w:i/>
        </w:rPr>
        <w:t>HighlightText</w:t>
      </w:r>
    </w:p>
    <w:p w:rsidR="000A156F" w:rsidRDefault="00A9721F">
      <w:r>
        <w:rPr>
          <w:i/>
        </w:rPr>
        <w:t>CaptionText</w:t>
      </w:r>
    </w:p>
    <w:p w:rsidR="000A156F" w:rsidRDefault="00A9721F">
      <w:r>
        <w:rPr>
          <w:i/>
        </w:rPr>
        <w:t>ActiveCaption</w:t>
      </w:r>
    </w:p>
    <w:p w:rsidR="000A156F" w:rsidRDefault="00A9721F">
      <w:r>
        <w:rPr>
          <w:i/>
        </w:rPr>
        <w:t>ButtonHighlight</w:t>
      </w:r>
    </w:p>
    <w:p w:rsidR="000A156F" w:rsidRDefault="00A9721F">
      <w:r>
        <w:rPr>
          <w:i/>
        </w:rPr>
        <w:t>ButtonShadow</w:t>
      </w:r>
    </w:p>
    <w:p w:rsidR="000A156F" w:rsidRDefault="00A9721F">
      <w:r>
        <w:rPr>
          <w:i/>
        </w:rPr>
        <w:lastRenderedPageBreak/>
        <w:t>ButtonText</w:t>
      </w:r>
    </w:p>
    <w:p w:rsidR="000A156F" w:rsidRDefault="00A9721F">
      <w:r>
        <w:rPr>
          <w:i/>
        </w:rPr>
        <w:t>GrayText</w:t>
      </w:r>
    </w:p>
    <w:p w:rsidR="000A156F" w:rsidRDefault="00A9721F">
      <w:r>
        <w:rPr>
          <w:i/>
        </w:rPr>
        <w:t>InactiveCaption</w:t>
      </w:r>
    </w:p>
    <w:p w:rsidR="000A156F" w:rsidRDefault="00A9721F">
      <w:r>
        <w:rPr>
          <w:i/>
        </w:rPr>
        <w:t>InactiveCaptionText</w:t>
      </w:r>
    </w:p>
    <w:p w:rsidR="000A156F" w:rsidRDefault="00A9721F">
      <w:r>
        <w:rPr>
          <w:i/>
        </w:rPr>
        <w:t>InfoBackground</w:t>
      </w:r>
    </w:p>
    <w:p w:rsidR="000A156F" w:rsidRDefault="00A9721F">
      <w:r>
        <w:rPr>
          <w:i/>
        </w:rPr>
        <w:t>InfoText</w:t>
      </w:r>
    </w:p>
    <w:p w:rsidR="000A156F" w:rsidRDefault="00A9721F">
      <w:r>
        <w:rPr>
          <w:i/>
        </w:rPr>
        <w:t>MenuText</w:t>
      </w:r>
    </w:p>
    <w:p w:rsidR="000A156F" w:rsidRDefault="00A9721F">
      <w:r>
        <w:rPr>
          <w:i/>
        </w:rPr>
        <w:t>Scrollbar</w:t>
      </w:r>
    </w:p>
    <w:p w:rsidR="000A156F" w:rsidRDefault="00A9721F">
      <w:r>
        <w:rPr>
          <w:i/>
        </w:rPr>
        <w:t>Window</w:t>
      </w:r>
    </w:p>
    <w:p w:rsidR="000A156F" w:rsidRDefault="00A9721F">
      <w:r>
        <w:rPr>
          <w:i/>
        </w:rPr>
        <w:t>WindowFrame</w:t>
      </w:r>
    </w:p>
    <w:p w:rsidR="000A156F" w:rsidRDefault="00A9721F">
      <w:r>
        <w:rPr>
          <w:i/>
        </w:rPr>
        <w:t>ThreeDLightShadow</w:t>
      </w:r>
    </w:p>
    <w:p w:rsidR="000A156F" w:rsidRDefault="00A9721F">
      <w:r>
        <w:rPr>
          <w:i/>
        </w:rPr>
        <w:t>ThreeDDarkShadow</w:t>
      </w:r>
    </w:p>
    <w:p w:rsidR="000A156F" w:rsidRDefault="00A9721F">
      <w:r>
        <w:rPr>
          <w:i/>
        </w:rPr>
        <w:t>ActiveBorder</w:t>
      </w:r>
    </w:p>
    <w:p w:rsidR="000A156F" w:rsidRDefault="00A9721F">
      <w:r>
        <w:rPr>
          <w:i/>
        </w:rPr>
        <w:t>InactiveBorder</w:t>
      </w:r>
    </w:p>
    <w:p w:rsidR="000A156F" w:rsidRDefault="00A9721F">
      <w:r>
        <w:rPr>
          <w:i/>
        </w:rPr>
        <w:t>Background</w:t>
      </w:r>
    </w:p>
    <w:p w:rsidR="000A156F" w:rsidRDefault="00A9721F">
      <w:r>
        <w:rPr>
          <w:i/>
        </w:rPr>
        <w:t>AppWorkspace</w:t>
      </w:r>
    </w:p>
    <w:p w:rsidR="000A156F" w:rsidRDefault="00A9721F">
      <w:r>
        <w:rPr>
          <w:i/>
        </w:rPr>
        <w:t>ThreeDFace</w:t>
      </w:r>
      <w:r>
        <w:t xml:space="preserve"> (represents the same color as </w:t>
      </w:r>
      <w:r>
        <w:rPr>
          <w:i/>
        </w:rPr>
        <w:t>ButtonFace</w:t>
      </w:r>
      <w:r>
        <w:t>)</w:t>
      </w:r>
    </w:p>
    <w:p w:rsidR="000A156F" w:rsidRDefault="00A9721F">
      <w:r>
        <w:rPr>
          <w:i/>
        </w:rPr>
        <w:t>ThreeDShadow</w:t>
      </w:r>
      <w:r>
        <w:t xml:space="preserve"> (represents the same color as </w:t>
      </w:r>
      <w:r>
        <w:rPr>
          <w:i/>
        </w:rPr>
        <w:t>ButtonShadow</w:t>
      </w:r>
      <w:r>
        <w:t>)</w:t>
      </w:r>
    </w:p>
    <w:p w:rsidR="000A156F" w:rsidRDefault="00A9721F">
      <w:r>
        <w:rPr>
          <w:i/>
        </w:rPr>
        <w:t>ThreeDHighlight</w:t>
      </w:r>
      <w:r>
        <w:t xml:space="preserve"> (represents the same color as </w:t>
      </w:r>
      <w:r>
        <w:rPr>
          <w:i/>
        </w:rPr>
        <w:t>ButtonHighlight</w:t>
      </w:r>
      <w:r>
        <w:t>)</w:t>
      </w:r>
    </w:p>
    <w:p w:rsidR="000A156F" w:rsidRDefault="00A9721F">
      <w:r>
        <w:t>[Example:</w:t>
      </w:r>
    </w:p>
    <w:p w:rsidR="000A156F" w:rsidRDefault="00A9721F">
      <w:pPr>
        <w:pStyle w:val="Code"/>
      </w:pPr>
      <w:r>
        <w:t>&lt;... color="InactiveCaption" ... &gt;</w:t>
      </w:r>
    </w:p>
    <w:p w:rsidR="000A156F" w:rsidRDefault="00A9721F">
      <w:r>
        <w:t>end example]</w:t>
      </w:r>
    </w:p>
    <w:p w:rsidR="000A156F" w:rsidRDefault="00A9721F">
      <w:pPr>
        <w:pStyle w:val="Definition-Field"/>
      </w:pPr>
      <w:r>
        <w:t xml:space="preserve">f.   </w:t>
      </w:r>
      <w:r>
        <w:rPr>
          <w:i/>
        </w:rPr>
        <w:t>The standard indicates the kinds of values that the ST_ColorType simple</w:t>
      </w:r>
      <w:r>
        <w:rPr>
          <w:i/>
        </w:rPr>
        <w:t xml:space="preserve"> type uses.</w:t>
      </w:r>
    </w:p>
    <w:p w:rsidR="000A156F" w:rsidRDefault="00A9721F">
      <w:r>
        <w:t>In Office, a color palette entry is specified using wincolor followed by a number in parentheses.  The number is the zero-based index of a color in the palette as described in the preceding section.</w:t>
      </w:r>
    </w:p>
    <w:p w:rsidR="000A156F" w:rsidRDefault="00A9721F">
      <w:r>
        <w:t>[Example:</w:t>
      </w:r>
    </w:p>
    <w:p w:rsidR="000A156F" w:rsidRDefault="00A9721F">
      <w:pPr>
        <w:pStyle w:val="Code"/>
      </w:pPr>
      <w:r>
        <w:t>&lt;... color="wincolor(11)" ... &gt;</w:t>
      </w:r>
    </w:p>
    <w:p w:rsidR="000A156F" w:rsidRDefault="00A9721F">
      <w:r>
        <w:t>end</w:t>
      </w:r>
      <w:r>
        <w:t xml:space="preserve"> example]</w:t>
      </w:r>
    </w:p>
    <w:p w:rsidR="000A156F" w:rsidRDefault="00A9721F">
      <w:pPr>
        <w:pStyle w:val="Definition-Field"/>
      </w:pPr>
      <w:r>
        <w:t xml:space="preserve">g.   </w:t>
      </w:r>
      <w:r>
        <w:rPr>
          <w:i/>
        </w:rPr>
        <w:t>The standard does not state that the value of the ST_ColorType simple type can be specified using a named shape property notation.</w:t>
      </w:r>
    </w:p>
    <w:p w:rsidR="000A156F" w:rsidRDefault="00A9721F">
      <w:r>
        <w:t xml:space="preserve">Office supports a named shape property notation as a value for the simple type. A property is specified using </w:t>
      </w:r>
      <w:r>
        <w:t>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Property</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fill</w:t>
            </w:r>
          </w:p>
        </w:tc>
        <w:tc>
          <w:tcPr>
            <w:tcW w:w="0" w:type="auto"/>
            <w:vAlign w:val="center"/>
          </w:tcPr>
          <w:p w:rsidR="000A156F" w:rsidRDefault="00A9721F">
            <w:pPr>
              <w:pStyle w:val="TableBodyText"/>
            </w:pPr>
            <w:r>
              <w:t>Fill color</w:t>
            </w:r>
          </w:p>
        </w:tc>
      </w:tr>
      <w:tr w:rsidR="000A156F" w:rsidTr="000A156F">
        <w:tc>
          <w:tcPr>
            <w:tcW w:w="0" w:type="auto"/>
            <w:vAlign w:val="center"/>
          </w:tcPr>
          <w:p w:rsidR="000A156F" w:rsidRDefault="00A9721F">
            <w:pPr>
              <w:pStyle w:val="TableBodyText"/>
            </w:pPr>
            <w:r>
              <w:rPr>
                <w:i/>
              </w:rPr>
              <w:t>line</w:t>
            </w:r>
          </w:p>
        </w:tc>
        <w:tc>
          <w:tcPr>
            <w:tcW w:w="0" w:type="auto"/>
            <w:vAlign w:val="center"/>
          </w:tcPr>
          <w:p w:rsidR="000A156F" w:rsidRDefault="00A9721F">
            <w:pPr>
              <w:pStyle w:val="TableBodyText"/>
            </w:pPr>
            <w:r>
              <w:t>Line color</w:t>
            </w:r>
          </w:p>
        </w:tc>
      </w:tr>
      <w:tr w:rsidR="000A156F" w:rsidTr="000A156F">
        <w:tc>
          <w:tcPr>
            <w:tcW w:w="0" w:type="auto"/>
            <w:vAlign w:val="center"/>
          </w:tcPr>
          <w:p w:rsidR="000A156F" w:rsidRDefault="00A9721F">
            <w:pPr>
              <w:pStyle w:val="TableBodyText"/>
            </w:pPr>
            <w:r>
              <w:rPr>
                <w:i/>
              </w:rPr>
              <w:t>lineOrFill</w:t>
            </w:r>
          </w:p>
        </w:tc>
        <w:tc>
          <w:tcPr>
            <w:tcW w:w="0" w:type="auto"/>
            <w:vAlign w:val="center"/>
          </w:tcPr>
          <w:p w:rsidR="000A156F" w:rsidRDefault="00A9721F">
            <w:pPr>
              <w:pStyle w:val="TableBodyText"/>
            </w:pPr>
            <w:r>
              <w:t>Line color if specified, otherwise, the fill color</w:t>
            </w:r>
          </w:p>
        </w:tc>
      </w:tr>
      <w:tr w:rsidR="000A156F" w:rsidTr="000A156F">
        <w:tc>
          <w:tcPr>
            <w:tcW w:w="0" w:type="auto"/>
            <w:vAlign w:val="center"/>
          </w:tcPr>
          <w:p w:rsidR="000A156F" w:rsidRDefault="00A9721F">
            <w:pPr>
              <w:pStyle w:val="TableBodyText"/>
            </w:pPr>
            <w:r>
              <w:rPr>
                <w:i/>
              </w:rPr>
              <w:t>fillThenLine</w:t>
            </w:r>
          </w:p>
        </w:tc>
        <w:tc>
          <w:tcPr>
            <w:tcW w:w="0" w:type="auto"/>
            <w:vAlign w:val="center"/>
          </w:tcPr>
          <w:p w:rsidR="000A156F" w:rsidRDefault="00A9721F">
            <w:pPr>
              <w:pStyle w:val="TableBodyText"/>
            </w:pPr>
            <w:r>
              <w:t xml:space="preserve">Fill color if specified, otherwise, the line </w:t>
            </w:r>
            <w:r>
              <w:t>color</w:t>
            </w:r>
          </w:p>
        </w:tc>
      </w:tr>
      <w:tr w:rsidR="000A156F" w:rsidTr="000A156F">
        <w:tc>
          <w:tcPr>
            <w:tcW w:w="0" w:type="auto"/>
            <w:vAlign w:val="center"/>
          </w:tcPr>
          <w:p w:rsidR="000A156F" w:rsidRDefault="00A9721F">
            <w:pPr>
              <w:pStyle w:val="TableBodyText"/>
            </w:pPr>
            <w:r>
              <w:rPr>
                <w:i/>
              </w:rPr>
              <w:t>fillBack</w:t>
            </w:r>
          </w:p>
        </w:tc>
        <w:tc>
          <w:tcPr>
            <w:tcW w:w="0" w:type="auto"/>
            <w:vAlign w:val="center"/>
          </w:tcPr>
          <w:p w:rsidR="000A156F" w:rsidRDefault="00A9721F">
            <w:pPr>
              <w:pStyle w:val="TableBodyText"/>
            </w:pPr>
            <w:r>
              <w:t>Fill background color</w:t>
            </w:r>
          </w:p>
        </w:tc>
      </w:tr>
      <w:tr w:rsidR="000A156F" w:rsidTr="000A156F">
        <w:tc>
          <w:tcPr>
            <w:tcW w:w="0" w:type="auto"/>
            <w:vAlign w:val="center"/>
          </w:tcPr>
          <w:p w:rsidR="000A156F" w:rsidRDefault="00A9721F">
            <w:pPr>
              <w:pStyle w:val="TableBodyText"/>
            </w:pPr>
            <w:r>
              <w:rPr>
                <w:i/>
              </w:rPr>
              <w:t>lineBack</w:t>
            </w:r>
          </w:p>
        </w:tc>
        <w:tc>
          <w:tcPr>
            <w:tcW w:w="0" w:type="auto"/>
            <w:vAlign w:val="center"/>
          </w:tcPr>
          <w:p w:rsidR="000A156F" w:rsidRDefault="00A9721F">
            <w:pPr>
              <w:pStyle w:val="TableBodyText"/>
            </w:pPr>
            <w:r>
              <w:t>Line background color</w:t>
            </w:r>
          </w:p>
        </w:tc>
      </w:tr>
      <w:tr w:rsidR="000A156F" w:rsidTr="000A156F">
        <w:tc>
          <w:tcPr>
            <w:tcW w:w="0" w:type="auto"/>
            <w:vAlign w:val="center"/>
          </w:tcPr>
          <w:p w:rsidR="000A156F" w:rsidRDefault="00A9721F">
            <w:pPr>
              <w:pStyle w:val="TableBodyText"/>
            </w:pPr>
            <w:r>
              <w:rPr>
                <w:i/>
              </w:rPr>
              <w:t>shadow</w:t>
            </w:r>
          </w:p>
        </w:tc>
        <w:tc>
          <w:tcPr>
            <w:tcW w:w="0" w:type="auto"/>
            <w:vAlign w:val="center"/>
          </w:tcPr>
          <w:p w:rsidR="000A156F" w:rsidRDefault="00A9721F">
            <w:pPr>
              <w:pStyle w:val="TableBodyText"/>
            </w:pPr>
            <w:r>
              <w:t>Shadow color</w:t>
            </w:r>
          </w:p>
        </w:tc>
      </w:tr>
      <w:tr w:rsidR="000A156F" w:rsidTr="000A156F">
        <w:tc>
          <w:tcPr>
            <w:tcW w:w="0" w:type="auto"/>
            <w:vAlign w:val="center"/>
          </w:tcPr>
          <w:p w:rsidR="000A156F" w:rsidRDefault="00A9721F">
            <w:pPr>
              <w:pStyle w:val="TableBodyText"/>
            </w:pPr>
            <w:r>
              <w:rPr>
                <w:i/>
              </w:rPr>
              <w:t>none</w:t>
            </w:r>
          </w:p>
        </w:tc>
        <w:tc>
          <w:tcPr>
            <w:tcW w:w="0" w:type="auto"/>
            <w:vAlign w:val="center"/>
          </w:tcPr>
          <w:p w:rsidR="000A156F" w:rsidRDefault="00A9721F">
            <w:pPr>
              <w:pStyle w:val="TableBodyText"/>
            </w:pPr>
            <w:r>
              <w:t>No color</w:t>
            </w:r>
          </w:p>
        </w:tc>
      </w:tr>
    </w:tbl>
    <w:p w:rsidR="000A156F" w:rsidRDefault="000A156F"/>
    <w:p w:rsidR="000A156F" w:rsidRDefault="00A9721F">
      <w:r>
        <w:t xml:space="preserve"> [Example:</w:t>
      </w:r>
    </w:p>
    <w:p w:rsidR="000A156F" w:rsidRDefault="00A9721F">
      <w:pPr>
        <w:pStyle w:val="Code"/>
      </w:pPr>
      <w:r>
        <w:t>&lt;... color="lineOrFill" ... &gt;</w:t>
      </w:r>
    </w:p>
    <w:p w:rsidR="000A156F" w:rsidRDefault="00A9721F">
      <w:r>
        <w:t>end example]</w:t>
      </w:r>
    </w:p>
    <w:p w:rsidR="000A156F" w:rsidRDefault="00A9721F">
      <w:pPr>
        <w:pStyle w:val="Definition-Field"/>
      </w:pPr>
      <w:r>
        <w:t xml:space="preserve">h.   </w:t>
      </w:r>
      <w:r>
        <w:rPr>
          <w:i/>
        </w:rPr>
        <w:t>The standard indicates that the recoloring instruction behavior is application-specific.</w:t>
      </w:r>
    </w:p>
    <w:p w:rsidR="000A156F" w:rsidRDefault="00A9721F">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Instruction</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darken</w:t>
            </w:r>
          </w:p>
        </w:tc>
        <w:tc>
          <w:tcPr>
            <w:tcW w:w="0" w:type="auto"/>
            <w:vAlign w:val="center"/>
          </w:tcPr>
          <w:p w:rsidR="000A156F" w:rsidRDefault="00A9721F">
            <w:pPr>
              <w:pStyle w:val="TableBodyText"/>
            </w:pPr>
            <w:r>
              <w:t>Scale each color component by A/256.</w:t>
            </w:r>
          </w:p>
        </w:tc>
      </w:tr>
      <w:tr w:rsidR="000A156F" w:rsidTr="000A156F">
        <w:tc>
          <w:tcPr>
            <w:tcW w:w="0" w:type="auto"/>
            <w:vAlign w:val="center"/>
          </w:tcPr>
          <w:p w:rsidR="000A156F" w:rsidRDefault="00A9721F">
            <w:pPr>
              <w:pStyle w:val="TableBodyText"/>
            </w:pPr>
            <w:r>
              <w:rPr>
                <w:i/>
              </w:rPr>
              <w:t>lighten</w:t>
            </w:r>
          </w:p>
        </w:tc>
        <w:tc>
          <w:tcPr>
            <w:tcW w:w="0" w:type="auto"/>
            <w:vAlign w:val="center"/>
          </w:tcPr>
          <w:p w:rsidR="000A156F" w:rsidRDefault="00A9721F">
            <w:pPr>
              <w:pStyle w:val="TableBodyText"/>
            </w:pPr>
            <w:r>
              <w:t>Scale the inverse of each color component by A/2</w:t>
            </w:r>
            <w:r>
              <w:t>56, then invert the result.</w:t>
            </w:r>
          </w:p>
        </w:tc>
      </w:tr>
      <w:tr w:rsidR="000A156F" w:rsidTr="000A156F">
        <w:tc>
          <w:tcPr>
            <w:tcW w:w="0" w:type="auto"/>
            <w:vAlign w:val="center"/>
          </w:tcPr>
          <w:p w:rsidR="000A156F" w:rsidRDefault="00A9721F">
            <w:pPr>
              <w:pStyle w:val="TableBodyText"/>
            </w:pPr>
            <w:r>
              <w:rPr>
                <w:i/>
              </w:rPr>
              <w:t>add</w:t>
            </w:r>
          </w:p>
        </w:tc>
        <w:tc>
          <w:tcPr>
            <w:tcW w:w="0" w:type="auto"/>
            <w:vAlign w:val="center"/>
          </w:tcPr>
          <w:p w:rsidR="000A156F" w:rsidRDefault="00A9721F">
            <w:pPr>
              <w:pStyle w:val="TableBodyText"/>
            </w:pPr>
            <w:r>
              <w:t>Add A to each color component, limited to a maximum value of 255.</w:t>
            </w:r>
          </w:p>
        </w:tc>
      </w:tr>
      <w:tr w:rsidR="000A156F" w:rsidTr="000A156F">
        <w:tc>
          <w:tcPr>
            <w:tcW w:w="0" w:type="auto"/>
            <w:vAlign w:val="center"/>
          </w:tcPr>
          <w:p w:rsidR="000A156F" w:rsidRDefault="00A9721F">
            <w:pPr>
              <w:pStyle w:val="TableBodyText"/>
            </w:pPr>
            <w:r>
              <w:rPr>
                <w:i/>
              </w:rPr>
              <w:t>subtract</w:t>
            </w:r>
          </w:p>
        </w:tc>
        <w:tc>
          <w:tcPr>
            <w:tcW w:w="0" w:type="auto"/>
            <w:vAlign w:val="center"/>
          </w:tcPr>
          <w:p w:rsidR="000A156F" w:rsidRDefault="00A9721F">
            <w:pPr>
              <w:pStyle w:val="TableBodyText"/>
            </w:pPr>
            <w:r>
              <w:t>Subtract A from each color component, limited to a minimum value of 0.</w:t>
            </w:r>
          </w:p>
        </w:tc>
      </w:tr>
      <w:tr w:rsidR="000A156F" w:rsidTr="000A156F">
        <w:tc>
          <w:tcPr>
            <w:tcW w:w="0" w:type="auto"/>
            <w:vAlign w:val="center"/>
          </w:tcPr>
          <w:p w:rsidR="000A156F" w:rsidRDefault="00A9721F">
            <w:pPr>
              <w:pStyle w:val="TableBodyText"/>
            </w:pPr>
            <w:r>
              <w:rPr>
                <w:i/>
              </w:rPr>
              <w:t>reverseSubtract</w:t>
            </w:r>
          </w:p>
        </w:tc>
        <w:tc>
          <w:tcPr>
            <w:tcW w:w="0" w:type="auto"/>
            <w:vAlign w:val="center"/>
          </w:tcPr>
          <w:p w:rsidR="000A156F" w:rsidRDefault="00A9721F">
            <w:pPr>
              <w:pStyle w:val="TableBodyText"/>
            </w:pPr>
            <w:r>
              <w:t xml:space="preserve">Subtract each color component from A, limited to a minimum </w:t>
            </w:r>
            <w:r>
              <w:t xml:space="preserve">value of 0. </w:t>
            </w:r>
          </w:p>
        </w:tc>
      </w:tr>
      <w:tr w:rsidR="000A156F" w:rsidTr="000A156F">
        <w:tc>
          <w:tcPr>
            <w:tcW w:w="0" w:type="auto"/>
            <w:vAlign w:val="center"/>
          </w:tcPr>
          <w:p w:rsidR="000A156F" w:rsidRDefault="00A9721F">
            <w:pPr>
              <w:pStyle w:val="TableBodyText"/>
            </w:pPr>
            <w:r>
              <w:rPr>
                <w:i/>
              </w:rPr>
              <w:t>blackWhite</w:t>
            </w:r>
          </w:p>
        </w:tc>
        <w:tc>
          <w:tcPr>
            <w:tcW w:w="0" w:type="auto"/>
            <w:vAlign w:val="center"/>
          </w:tcPr>
          <w:p w:rsidR="000A156F" w:rsidRDefault="00A9721F">
            <w:pPr>
              <w:pStyle w:val="TableBodyText"/>
            </w:pPr>
            <w:r>
              <w:t>A color component is 0 if less than A, otherwise 255.</w:t>
            </w:r>
          </w:p>
        </w:tc>
      </w:tr>
      <w:tr w:rsidR="000A156F" w:rsidTr="000A156F">
        <w:tc>
          <w:tcPr>
            <w:tcW w:w="0" w:type="auto"/>
            <w:vAlign w:val="center"/>
          </w:tcPr>
          <w:p w:rsidR="000A156F" w:rsidRDefault="00A9721F">
            <w:pPr>
              <w:pStyle w:val="TableBodyText"/>
            </w:pPr>
            <w:r>
              <w:rPr>
                <w:i/>
              </w:rPr>
              <w:t>invert</w:t>
            </w:r>
          </w:p>
        </w:tc>
        <w:tc>
          <w:tcPr>
            <w:tcW w:w="0" w:type="auto"/>
            <w:vAlign w:val="center"/>
          </w:tcPr>
          <w:p w:rsidR="000A156F" w:rsidRDefault="00A9721F">
            <w:pPr>
              <w:pStyle w:val="TableBodyText"/>
            </w:pPr>
            <w:r>
              <w:t>Subtract each color component from 255.</w:t>
            </w:r>
          </w:p>
        </w:tc>
      </w:tr>
      <w:tr w:rsidR="000A156F" w:rsidTr="000A156F">
        <w:tc>
          <w:tcPr>
            <w:tcW w:w="0" w:type="auto"/>
            <w:vAlign w:val="center"/>
          </w:tcPr>
          <w:p w:rsidR="000A156F" w:rsidRDefault="00A9721F">
            <w:pPr>
              <w:pStyle w:val="TableBodyText"/>
            </w:pPr>
            <w:r>
              <w:rPr>
                <w:i/>
              </w:rPr>
              <w:t>invert128</w:t>
            </w:r>
          </w:p>
        </w:tc>
        <w:tc>
          <w:tcPr>
            <w:tcW w:w="0" w:type="auto"/>
            <w:vAlign w:val="center"/>
          </w:tcPr>
          <w:p w:rsidR="000A156F" w:rsidRDefault="00A9721F">
            <w:pPr>
              <w:pStyle w:val="TableBodyText"/>
            </w:pPr>
            <w:r>
              <w:t>For each color component less than 128, add 128 to it, otherwise subtract 128 from it.</w:t>
            </w:r>
          </w:p>
        </w:tc>
      </w:tr>
      <w:tr w:rsidR="000A156F" w:rsidTr="000A156F">
        <w:tc>
          <w:tcPr>
            <w:tcW w:w="0" w:type="auto"/>
            <w:vAlign w:val="center"/>
          </w:tcPr>
          <w:p w:rsidR="000A156F" w:rsidRDefault="00A9721F">
            <w:pPr>
              <w:pStyle w:val="TableBodyText"/>
            </w:pPr>
            <w:r>
              <w:rPr>
                <w:i/>
              </w:rPr>
              <w:t>grayScale</w:t>
            </w:r>
          </w:p>
        </w:tc>
        <w:tc>
          <w:tcPr>
            <w:tcW w:w="0" w:type="auto"/>
            <w:vAlign w:val="center"/>
          </w:tcPr>
          <w:p w:rsidR="000A156F" w:rsidRDefault="00A9721F">
            <w:pPr>
              <w:pStyle w:val="TableBodyText"/>
            </w:pPr>
            <w:r>
              <w:t>Convert the color to</w:t>
            </w:r>
            <w:r>
              <w:t xml:space="preserve"> a grayscale equivalent.</w:t>
            </w:r>
          </w:p>
        </w:tc>
      </w:tr>
    </w:tbl>
    <w:p w:rsidR="000A156F" w:rsidRDefault="000A156F"/>
    <w:p w:rsidR="000A156F" w:rsidRDefault="00A9721F">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0A156F" w:rsidRDefault="00A9721F">
      <w:pPr>
        <w:pStyle w:val="Definition-Field"/>
      </w:pPr>
      <w:r>
        <w:t xml:space="preserve">i.   </w:t>
      </w:r>
      <w:r>
        <w:rPr>
          <w:i/>
        </w:rPr>
        <w:t>The standard indicates how a recoloring instruction is formatted.</w:t>
      </w:r>
    </w:p>
    <w:p w:rsidR="000A156F" w:rsidRDefault="00A9721F">
      <w:pPr>
        <w:pStyle w:val="Definition-Field2"/>
      </w:pPr>
      <w:r>
        <w:t>Office does not save a recoloring amount argument for</w:t>
      </w:r>
      <w:r>
        <w:t xml:space="preserve"> the invert, invert128 and grayScale instructions.</w:t>
      </w:r>
    </w:p>
    <w:p w:rsidR="000A156F" w:rsidRDefault="00A9721F">
      <w:pPr>
        <w:pStyle w:val="Definition-Field"/>
      </w:pPr>
      <w:r>
        <w:lastRenderedPageBreak/>
        <w:t xml:space="preserve">j.   </w:t>
      </w:r>
      <w:r>
        <w:rPr>
          <w:i/>
        </w:rPr>
        <w:t>The standard indicates the kinds of values that the ST_ColorType simple type uses.</w:t>
      </w:r>
    </w:p>
    <w:p w:rsidR="000A156F" w:rsidRDefault="00A9721F">
      <w:r>
        <w:t>In Office, a color palette entry is specified using “wincolor” followed by a number in parentheses.  The number is th</w:t>
      </w:r>
      <w:r>
        <w:t>e zero-based index of a color in the supported color palette.</w:t>
      </w:r>
    </w:p>
    <w:p w:rsidR="000A156F" w:rsidRDefault="00A9721F">
      <w:r>
        <w:t>[Example:</w:t>
      </w:r>
    </w:p>
    <w:p w:rsidR="000A156F" w:rsidRDefault="00A9721F">
      <w:pPr>
        <w:pStyle w:val="Code"/>
      </w:pPr>
      <w:r>
        <w:t>&lt;... color="wincolor(11)" ... &gt;</w:t>
      </w:r>
    </w:p>
    <w:p w:rsidR="000A156F" w:rsidRDefault="00A9721F">
      <w:r>
        <w:t>end example]</w:t>
      </w:r>
    </w:p>
    <w:p w:rsidR="000A156F" w:rsidRDefault="00A9721F">
      <w:pPr>
        <w:pStyle w:val="Definition-Field"/>
      </w:pPr>
      <w:r>
        <w:t xml:space="preserve">k.   </w:t>
      </w:r>
      <w:r>
        <w:rPr>
          <w:i/>
        </w:rPr>
        <w:t>The standard indicates the kinds of values that the ST_ColorType simple type uses.</w:t>
      </w:r>
    </w:p>
    <w:p w:rsidR="000A156F" w:rsidRDefault="00A9721F">
      <w:r>
        <w:t xml:space="preserve">In Office, a shape property is specified using the </w:t>
      </w:r>
      <w:r>
        <w:t>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Property</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fill</w:t>
            </w:r>
          </w:p>
        </w:tc>
        <w:tc>
          <w:tcPr>
            <w:tcW w:w="0" w:type="auto"/>
            <w:vAlign w:val="center"/>
          </w:tcPr>
          <w:p w:rsidR="000A156F" w:rsidRDefault="00A9721F">
            <w:pPr>
              <w:pStyle w:val="TableBodyText"/>
            </w:pPr>
            <w:r>
              <w:t>Fill color</w:t>
            </w:r>
          </w:p>
        </w:tc>
      </w:tr>
      <w:tr w:rsidR="000A156F" w:rsidTr="000A156F">
        <w:tc>
          <w:tcPr>
            <w:tcW w:w="0" w:type="auto"/>
            <w:vAlign w:val="center"/>
          </w:tcPr>
          <w:p w:rsidR="000A156F" w:rsidRDefault="00A9721F">
            <w:pPr>
              <w:pStyle w:val="TableBodyText"/>
            </w:pPr>
            <w:r>
              <w:rPr>
                <w:i/>
              </w:rPr>
              <w:t>line</w:t>
            </w:r>
          </w:p>
        </w:tc>
        <w:tc>
          <w:tcPr>
            <w:tcW w:w="0" w:type="auto"/>
            <w:vAlign w:val="center"/>
          </w:tcPr>
          <w:p w:rsidR="000A156F" w:rsidRDefault="00A9721F">
            <w:pPr>
              <w:pStyle w:val="TableBodyText"/>
            </w:pPr>
            <w:r>
              <w:t>Line color</w:t>
            </w:r>
          </w:p>
        </w:tc>
      </w:tr>
      <w:tr w:rsidR="000A156F" w:rsidTr="000A156F">
        <w:tc>
          <w:tcPr>
            <w:tcW w:w="0" w:type="auto"/>
            <w:vAlign w:val="center"/>
          </w:tcPr>
          <w:p w:rsidR="000A156F" w:rsidRDefault="00A9721F">
            <w:pPr>
              <w:pStyle w:val="TableBodyText"/>
            </w:pPr>
            <w:r>
              <w:rPr>
                <w:i/>
              </w:rPr>
              <w:t>lineOrFill</w:t>
            </w:r>
          </w:p>
        </w:tc>
        <w:tc>
          <w:tcPr>
            <w:tcW w:w="0" w:type="auto"/>
            <w:vAlign w:val="center"/>
          </w:tcPr>
          <w:p w:rsidR="000A156F" w:rsidRDefault="00A9721F">
            <w:pPr>
              <w:pStyle w:val="TableBodyText"/>
            </w:pPr>
            <w:r>
              <w:t>Line color if specified, otherwise, the fill color</w:t>
            </w:r>
          </w:p>
        </w:tc>
      </w:tr>
      <w:tr w:rsidR="000A156F" w:rsidTr="000A156F">
        <w:tc>
          <w:tcPr>
            <w:tcW w:w="0" w:type="auto"/>
            <w:vAlign w:val="center"/>
          </w:tcPr>
          <w:p w:rsidR="000A156F" w:rsidRDefault="00A9721F">
            <w:pPr>
              <w:pStyle w:val="TableBodyText"/>
            </w:pPr>
            <w:r>
              <w:rPr>
                <w:i/>
              </w:rPr>
              <w:t>fillThenLine</w:t>
            </w:r>
          </w:p>
        </w:tc>
        <w:tc>
          <w:tcPr>
            <w:tcW w:w="0" w:type="auto"/>
            <w:vAlign w:val="center"/>
          </w:tcPr>
          <w:p w:rsidR="000A156F" w:rsidRDefault="00A9721F">
            <w:pPr>
              <w:pStyle w:val="TableBodyText"/>
            </w:pPr>
            <w:r>
              <w:t xml:space="preserve">Fill color if specified, otherwise, the line </w:t>
            </w:r>
            <w:r>
              <w:t>color</w:t>
            </w:r>
          </w:p>
        </w:tc>
      </w:tr>
      <w:tr w:rsidR="000A156F" w:rsidTr="000A156F">
        <w:tc>
          <w:tcPr>
            <w:tcW w:w="0" w:type="auto"/>
            <w:vAlign w:val="center"/>
          </w:tcPr>
          <w:p w:rsidR="000A156F" w:rsidRDefault="00A9721F">
            <w:pPr>
              <w:pStyle w:val="TableBodyText"/>
            </w:pPr>
            <w:r>
              <w:rPr>
                <w:i/>
              </w:rPr>
              <w:t>fillBack</w:t>
            </w:r>
          </w:p>
        </w:tc>
        <w:tc>
          <w:tcPr>
            <w:tcW w:w="0" w:type="auto"/>
            <w:vAlign w:val="center"/>
          </w:tcPr>
          <w:p w:rsidR="000A156F" w:rsidRDefault="00A9721F">
            <w:pPr>
              <w:pStyle w:val="TableBodyText"/>
            </w:pPr>
            <w:r>
              <w:t>Fill background color</w:t>
            </w:r>
          </w:p>
        </w:tc>
      </w:tr>
      <w:tr w:rsidR="000A156F" w:rsidTr="000A156F">
        <w:tc>
          <w:tcPr>
            <w:tcW w:w="0" w:type="auto"/>
            <w:vAlign w:val="center"/>
          </w:tcPr>
          <w:p w:rsidR="000A156F" w:rsidRDefault="00A9721F">
            <w:pPr>
              <w:pStyle w:val="TableBodyText"/>
            </w:pPr>
            <w:r>
              <w:rPr>
                <w:i/>
              </w:rPr>
              <w:t>lineBack</w:t>
            </w:r>
          </w:p>
        </w:tc>
        <w:tc>
          <w:tcPr>
            <w:tcW w:w="0" w:type="auto"/>
            <w:vAlign w:val="center"/>
          </w:tcPr>
          <w:p w:rsidR="000A156F" w:rsidRDefault="00A9721F">
            <w:pPr>
              <w:pStyle w:val="TableBodyText"/>
            </w:pPr>
            <w:r>
              <w:t>Line background color</w:t>
            </w:r>
          </w:p>
        </w:tc>
      </w:tr>
      <w:tr w:rsidR="000A156F" w:rsidTr="000A156F">
        <w:tc>
          <w:tcPr>
            <w:tcW w:w="0" w:type="auto"/>
            <w:vAlign w:val="center"/>
          </w:tcPr>
          <w:p w:rsidR="000A156F" w:rsidRDefault="00A9721F">
            <w:pPr>
              <w:pStyle w:val="TableBodyText"/>
            </w:pPr>
            <w:r>
              <w:rPr>
                <w:i/>
              </w:rPr>
              <w:t>shadow</w:t>
            </w:r>
          </w:p>
        </w:tc>
        <w:tc>
          <w:tcPr>
            <w:tcW w:w="0" w:type="auto"/>
            <w:vAlign w:val="center"/>
          </w:tcPr>
          <w:p w:rsidR="000A156F" w:rsidRDefault="00A9721F">
            <w:pPr>
              <w:pStyle w:val="TableBodyText"/>
            </w:pPr>
            <w:r>
              <w:t>Shadow color</w:t>
            </w:r>
          </w:p>
        </w:tc>
      </w:tr>
      <w:tr w:rsidR="000A156F" w:rsidTr="000A156F">
        <w:tc>
          <w:tcPr>
            <w:tcW w:w="0" w:type="auto"/>
            <w:vAlign w:val="center"/>
          </w:tcPr>
          <w:p w:rsidR="000A156F" w:rsidRDefault="00A9721F">
            <w:pPr>
              <w:pStyle w:val="TableBodyText"/>
            </w:pPr>
            <w:r>
              <w:rPr>
                <w:i/>
              </w:rPr>
              <w:t>none</w:t>
            </w:r>
          </w:p>
        </w:tc>
        <w:tc>
          <w:tcPr>
            <w:tcW w:w="0" w:type="auto"/>
            <w:vAlign w:val="center"/>
          </w:tcPr>
          <w:p w:rsidR="000A156F" w:rsidRDefault="00A9721F">
            <w:pPr>
              <w:pStyle w:val="TableBodyText"/>
            </w:pPr>
            <w:r>
              <w:t>No color</w:t>
            </w:r>
          </w:p>
        </w:tc>
      </w:tr>
    </w:tbl>
    <w:p w:rsidR="000A156F" w:rsidRDefault="000A156F"/>
    <w:p w:rsidR="000A156F" w:rsidRDefault="00A9721F">
      <w:r>
        <w:t>[Example:</w:t>
      </w:r>
    </w:p>
    <w:p w:rsidR="000A156F" w:rsidRDefault="00A9721F">
      <w:pPr>
        <w:pStyle w:val="Code"/>
      </w:pPr>
      <w:r>
        <w:t>&lt;... color="lineOrFill" ... &gt;</w:t>
      </w:r>
    </w:p>
    <w:p w:rsidR="000A156F" w:rsidRDefault="00A9721F">
      <w:r>
        <w:t>end example]</w:t>
      </w:r>
    </w:p>
    <w:p w:rsidR="000A156F" w:rsidRDefault="00A9721F">
      <w:pPr>
        <w:pStyle w:val="Definition-Field"/>
      </w:pPr>
      <w:r>
        <w:t xml:space="preserve">l.   </w:t>
      </w:r>
      <w:r>
        <w:rPr>
          <w:i/>
        </w:rPr>
        <w:t>The standard indicates the kinds of values that the ST_ColorType simple type uses.</w:t>
      </w:r>
    </w:p>
    <w:p w:rsidR="000A156F" w:rsidRDefault="00A9721F">
      <w:r>
        <w:t xml:space="preserve">In </w:t>
      </w:r>
      <w:r>
        <w:t>Office, recoloring instructions indicate that the given color is to be modified a particular amount.  The instruction consists of a named instruction followed by the amount, a number in the range 0-255, in parenthesis.  The instructions are:</w:t>
      </w:r>
    </w:p>
    <w:p w:rsidR="000A156F" w:rsidRDefault="00A9721F">
      <w:pPr>
        <w:pStyle w:val="ListParagraph"/>
        <w:numPr>
          <w:ilvl w:val="0"/>
          <w:numId w:val="192"/>
        </w:numPr>
        <w:contextualSpacing/>
      </w:pPr>
      <w:r>
        <w:rPr>
          <w:i/>
        </w:rPr>
        <w:t>darken</w:t>
      </w:r>
    </w:p>
    <w:p w:rsidR="000A156F" w:rsidRDefault="00A9721F">
      <w:pPr>
        <w:pStyle w:val="ListParagraph"/>
        <w:numPr>
          <w:ilvl w:val="0"/>
          <w:numId w:val="192"/>
        </w:numPr>
        <w:contextualSpacing/>
      </w:pPr>
      <w:r>
        <w:rPr>
          <w:i/>
        </w:rPr>
        <w:t>lighten</w:t>
      </w:r>
    </w:p>
    <w:p w:rsidR="000A156F" w:rsidRDefault="00A9721F">
      <w:pPr>
        <w:pStyle w:val="ListParagraph"/>
        <w:numPr>
          <w:ilvl w:val="0"/>
          <w:numId w:val="192"/>
        </w:numPr>
        <w:contextualSpacing/>
      </w:pPr>
      <w:r>
        <w:rPr>
          <w:i/>
        </w:rPr>
        <w:t>add</w:t>
      </w:r>
    </w:p>
    <w:p w:rsidR="000A156F" w:rsidRDefault="00A9721F">
      <w:pPr>
        <w:pStyle w:val="ListParagraph"/>
        <w:numPr>
          <w:ilvl w:val="0"/>
          <w:numId w:val="192"/>
        </w:numPr>
        <w:contextualSpacing/>
      </w:pPr>
      <w:r>
        <w:rPr>
          <w:i/>
        </w:rPr>
        <w:t>subtract</w:t>
      </w:r>
    </w:p>
    <w:p w:rsidR="000A156F" w:rsidRDefault="00A9721F">
      <w:pPr>
        <w:pStyle w:val="ListParagraph"/>
        <w:numPr>
          <w:ilvl w:val="0"/>
          <w:numId w:val="192"/>
        </w:numPr>
        <w:contextualSpacing/>
      </w:pPr>
      <w:r>
        <w:rPr>
          <w:i/>
        </w:rPr>
        <w:t>reverseSubtract</w:t>
      </w:r>
    </w:p>
    <w:p w:rsidR="000A156F" w:rsidRDefault="00A9721F">
      <w:pPr>
        <w:pStyle w:val="ListParagraph"/>
        <w:numPr>
          <w:ilvl w:val="0"/>
          <w:numId w:val="192"/>
        </w:numPr>
        <w:contextualSpacing/>
      </w:pPr>
      <w:r>
        <w:rPr>
          <w:i/>
        </w:rPr>
        <w:t>blackWhite</w:t>
      </w:r>
    </w:p>
    <w:p w:rsidR="000A156F" w:rsidRDefault="00A9721F">
      <w:pPr>
        <w:pStyle w:val="ListParagraph"/>
        <w:numPr>
          <w:ilvl w:val="0"/>
          <w:numId w:val="192"/>
        </w:numPr>
        <w:contextualSpacing/>
      </w:pPr>
      <w:r>
        <w:rPr>
          <w:i/>
        </w:rPr>
        <w:t>invert</w:t>
      </w:r>
    </w:p>
    <w:p w:rsidR="000A156F" w:rsidRDefault="00A9721F">
      <w:pPr>
        <w:pStyle w:val="ListParagraph"/>
        <w:numPr>
          <w:ilvl w:val="0"/>
          <w:numId w:val="192"/>
        </w:numPr>
        <w:contextualSpacing/>
      </w:pPr>
      <w:r>
        <w:rPr>
          <w:i/>
        </w:rPr>
        <w:t>invert128</w:t>
      </w:r>
    </w:p>
    <w:p w:rsidR="000A156F" w:rsidRDefault="00A9721F">
      <w:pPr>
        <w:pStyle w:val="ListParagraph"/>
        <w:numPr>
          <w:ilvl w:val="0"/>
          <w:numId w:val="192"/>
        </w:numPr>
      </w:pPr>
      <w:r>
        <w:rPr>
          <w:i/>
        </w:rPr>
        <w:t>grayScale</w:t>
      </w:r>
    </w:p>
    <w:p w:rsidR="000A156F" w:rsidRDefault="00A9721F">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Instruction</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darken</w:t>
            </w:r>
          </w:p>
        </w:tc>
        <w:tc>
          <w:tcPr>
            <w:tcW w:w="0" w:type="auto"/>
            <w:vAlign w:val="center"/>
          </w:tcPr>
          <w:p w:rsidR="000A156F" w:rsidRDefault="00A9721F">
            <w:pPr>
              <w:pStyle w:val="TableBodyText"/>
            </w:pPr>
            <w:r>
              <w:t>Scale each color component</w:t>
            </w:r>
            <w:r>
              <w:t xml:space="preserve"> by A/256.</w:t>
            </w:r>
          </w:p>
        </w:tc>
      </w:tr>
      <w:tr w:rsidR="000A156F" w:rsidTr="000A156F">
        <w:tc>
          <w:tcPr>
            <w:tcW w:w="0" w:type="auto"/>
            <w:vAlign w:val="center"/>
          </w:tcPr>
          <w:p w:rsidR="000A156F" w:rsidRDefault="00A9721F">
            <w:pPr>
              <w:pStyle w:val="TableBodyText"/>
            </w:pPr>
            <w:r>
              <w:rPr>
                <w:i/>
              </w:rPr>
              <w:t>lighten</w:t>
            </w:r>
          </w:p>
        </w:tc>
        <w:tc>
          <w:tcPr>
            <w:tcW w:w="0" w:type="auto"/>
            <w:vAlign w:val="center"/>
          </w:tcPr>
          <w:p w:rsidR="000A156F" w:rsidRDefault="00A9721F">
            <w:pPr>
              <w:pStyle w:val="TableBodyText"/>
            </w:pPr>
            <w:r>
              <w:t>Scale the inverse of each color component by A/256, then invert the result.</w:t>
            </w:r>
          </w:p>
        </w:tc>
      </w:tr>
      <w:tr w:rsidR="000A156F" w:rsidTr="000A156F">
        <w:tc>
          <w:tcPr>
            <w:tcW w:w="0" w:type="auto"/>
            <w:vAlign w:val="center"/>
          </w:tcPr>
          <w:p w:rsidR="000A156F" w:rsidRDefault="00A9721F">
            <w:pPr>
              <w:pStyle w:val="TableBodyText"/>
            </w:pPr>
            <w:r>
              <w:rPr>
                <w:i/>
              </w:rPr>
              <w:t>add</w:t>
            </w:r>
          </w:p>
        </w:tc>
        <w:tc>
          <w:tcPr>
            <w:tcW w:w="0" w:type="auto"/>
            <w:vAlign w:val="center"/>
          </w:tcPr>
          <w:p w:rsidR="000A156F" w:rsidRDefault="00A9721F">
            <w:pPr>
              <w:pStyle w:val="TableBodyText"/>
            </w:pPr>
            <w:r>
              <w:t>Add A to each color component, limited to a maximum value of 255.</w:t>
            </w:r>
          </w:p>
        </w:tc>
      </w:tr>
      <w:tr w:rsidR="000A156F" w:rsidTr="000A156F">
        <w:tc>
          <w:tcPr>
            <w:tcW w:w="0" w:type="auto"/>
            <w:vAlign w:val="center"/>
          </w:tcPr>
          <w:p w:rsidR="000A156F" w:rsidRDefault="00A9721F">
            <w:pPr>
              <w:pStyle w:val="TableBodyText"/>
            </w:pPr>
            <w:r>
              <w:rPr>
                <w:i/>
              </w:rPr>
              <w:t>subtract</w:t>
            </w:r>
          </w:p>
        </w:tc>
        <w:tc>
          <w:tcPr>
            <w:tcW w:w="0" w:type="auto"/>
            <w:vAlign w:val="center"/>
          </w:tcPr>
          <w:p w:rsidR="000A156F" w:rsidRDefault="00A9721F">
            <w:pPr>
              <w:pStyle w:val="TableBodyText"/>
            </w:pPr>
            <w:r>
              <w:t>Subtract A from each color component, limited to a minimum value of 0.</w:t>
            </w:r>
          </w:p>
        </w:tc>
      </w:tr>
      <w:tr w:rsidR="000A156F" w:rsidTr="000A156F">
        <w:tc>
          <w:tcPr>
            <w:tcW w:w="0" w:type="auto"/>
            <w:vAlign w:val="center"/>
          </w:tcPr>
          <w:p w:rsidR="000A156F" w:rsidRDefault="00A9721F">
            <w:pPr>
              <w:pStyle w:val="TableBodyText"/>
            </w:pPr>
            <w:r>
              <w:rPr>
                <w:i/>
              </w:rPr>
              <w:t>reverseSubtract</w:t>
            </w:r>
          </w:p>
        </w:tc>
        <w:tc>
          <w:tcPr>
            <w:tcW w:w="0" w:type="auto"/>
            <w:vAlign w:val="center"/>
          </w:tcPr>
          <w:p w:rsidR="000A156F" w:rsidRDefault="00A9721F">
            <w:pPr>
              <w:pStyle w:val="TableBodyText"/>
            </w:pPr>
            <w:r>
              <w:t xml:space="preserve">Subtract each color component from A, limited to a minimum value of 0. </w:t>
            </w:r>
          </w:p>
        </w:tc>
      </w:tr>
      <w:tr w:rsidR="000A156F" w:rsidTr="000A156F">
        <w:tc>
          <w:tcPr>
            <w:tcW w:w="0" w:type="auto"/>
            <w:vAlign w:val="center"/>
          </w:tcPr>
          <w:p w:rsidR="000A156F" w:rsidRDefault="00A9721F">
            <w:pPr>
              <w:pStyle w:val="TableBodyText"/>
            </w:pPr>
            <w:r>
              <w:rPr>
                <w:i/>
              </w:rPr>
              <w:t>blackWhite</w:t>
            </w:r>
          </w:p>
        </w:tc>
        <w:tc>
          <w:tcPr>
            <w:tcW w:w="0" w:type="auto"/>
            <w:vAlign w:val="center"/>
          </w:tcPr>
          <w:p w:rsidR="000A156F" w:rsidRDefault="00A9721F">
            <w:pPr>
              <w:pStyle w:val="TableBodyText"/>
            </w:pPr>
            <w:r>
              <w:t>A color component is 0 if less than A, otherwise 255.</w:t>
            </w:r>
          </w:p>
        </w:tc>
      </w:tr>
      <w:tr w:rsidR="000A156F" w:rsidTr="000A156F">
        <w:tc>
          <w:tcPr>
            <w:tcW w:w="0" w:type="auto"/>
            <w:vAlign w:val="center"/>
          </w:tcPr>
          <w:p w:rsidR="000A156F" w:rsidRDefault="00A9721F">
            <w:pPr>
              <w:pStyle w:val="TableBodyText"/>
            </w:pPr>
            <w:r>
              <w:rPr>
                <w:i/>
              </w:rPr>
              <w:t>invert</w:t>
            </w:r>
          </w:p>
        </w:tc>
        <w:tc>
          <w:tcPr>
            <w:tcW w:w="0" w:type="auto"/>
            <w:vAlign w:val="center"/>
          </w:tcPr>
          <w:p w:rsidR="000A156F" w:rsidRDefault="00A9721F">
            <w:pPr>
              <w:pStyle w:val="TableBodyText"/>
            </w:pPr>
            <w:r>
              <w:t>Subtract each color component from 255.</w:t>
            </w:r>
          </w:p>
        </w:tc>
      </w:tr>
      <w:tr w:rsidR="000A156F" w:rsidTr="000A156F">
        <w:tc>
          <w:tcPr>
            <w:tcW w:w="0" w:type="auto"/>
            <w:vAlign w:val="center"/>
          </w:tcPr>
          <w:p w:rsidR="000A156F" w:rsidRDefault="00A9721F">
            <w:pPr>
              <w:pStyle w:val="TableBodyText"/>
            </w:pPr>
            <w:r>
              <w:rPr>
                <w:i/>
              </w:rPr>
              <w:t>invert128</w:t>
            </w:r>
          </w:p>
        </w:tc>
        <w:tc>
          <w:tcPr>
            <w:tcW w:w="0" w:type="auto"/>
            <w:vAlign w:val="center"/>
          </w:tcPr>
          <w:p w:rsidR="000A156F" w:rsidRDefault="00A9721F">
            <w:pPr>
              <w:pStyle w:val="TableBodyText"/>
            </w:pPr>
            <w:r>
              <w:t xml:space="preserve">For each color component less than 128, </w:t>
            </w:r>
            <w:r>
              <w:t>subtract 128 from it, otherwise add 128 to it.</w:t>
            </w:r>
          </w:p>
        </w:tc>
      </w:tr>
      <w:tr w:rsidR="000A156F" w:rsidTr="000A156F">
        <w:tc>
          <w:tcPr>
            <w:tcW w:w="0" w:type="auto"/>
            <w:vAlign w:val="center"/>
          </w:tcPr>
          <w:p w:rsidR="000A156F" w:rsidRDefault="00A9721F">
            <w:pPr>
              <w:pStyle w:val="TableBodyText"/>
            </w:pPr>
            <w:r>
              <w:rPr>
                <w:i/>
              </w:rPr>
              <w:t>grayScale</w:t>
            </w:r>
          </w:p>
        </w:tc>
        <w:tc>
          <w:tcPr>
            <w:tcW w:w="0" w:type="auto"/>
            <w:vAlign w:val="center"/>
          </w:tcPr>
          <w:p w:rsidR="000A156F" w:rsidRDefault="00A9721F">
            <w:pPr>
              <w:pStyle w:val="TableBodyText"/>
            </w:pPr>
            <w:r>
              <w:t>Convert the color to a grayscale equivalent.</w:t>
            </w:r>
          </w:p>
        </w:tc>
      </w:tr>
    </w:tbl>
    <w:p w:rsidR="000A156F" w:rsidRDefault="000A156F"/>
    <w:p w:rsidR="000A156F" w:rsidRDefault="00A9721F">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instructions.</w:t>
      </w:r>
    </w:p>
    <w:p w:rsidR="000A156F" w:rsidRDefault="00A9721F">
      <w:r>
        <w:t>[</w:t>
      </w:r>
      <w:r>
        <w:rPr>
          <w:i/>
        </w:rPr>
        <w:t>Example:</w:t>
      </w:r>
      <w:r>
        <w:t xml:space="preserve"> The color is darker than the fill c</w:t>
      </w:r>
      <w:r>
        <w:t>olor by 50 units:</w:t>
      </w:r>
    </w:p>
    <w:p w:rsidR="000A156F" w:rsidRDefault="00A9721F">
      <w:pPr>
        <w:pStyle w:val="Code"/>
      </w:pPr>
      <w:r>
        <w:t>&lt;... color="fill darken(50)"&gt;</w:t>
      </w:r>
    </w:p>
    <w:p w:rsidR="000A156F" w:rsidRDefault="00A9721F">
      <w:r>
        <w:rPr>
          <w:i/>
        </w:rPr>
        <w:t>end example</w:t>
      </w:r>
      <w:r>
        <w:t>]</w:t>
      </w:r>
    </w:p>
    <w:p w:rsidR="000A156F" w:rsidRDefault="00A9721F">
      <w:pPr>
        <w:pStyle w:val="Heading3"/>
      </w:pPr>
      <w:bookmarkStart w:id="3809" w:name="section_c3aaaaf541984b30a06a526413997642"/>
      <w:bookmarkStart w:id="3810" w:name="_Toc181684930"/>
      <w:r>
        <w:t>Part 4 Section 20.1.2.6, ST_TrueFalseBlank (Boolean Value with Blank [False] State)</w:t>
      </w:r>
      <w:bookmarkEnd w:id="3809"/>
      <w:bookmarkEnd w:id="3810"/>
      <w:r>
        <w:fldChar w:fldCharType="begin"/>
      </w:r>
      <w:r>
        <w:instrText xml:space="preserve"> XE "ST_TrueFalseBlank (Boolean Value with Blank [False] State)" </w:instrText>
      </w:r>
      <w:r>
        <w:fldChar w:fldCharType="end"/>
      </w:r>
    </w:p>
    <w:p w:rsidR="000A156F" w:rsidRDefault="00A9721F">
      <w:pPr>
        <w:pStyle w:val="Definition-Field"/>
      </w:pPr>
      <w:r>
        <w:t xml:space="preserve">a.   </w:t>
      </w:r>
      <w:r>
        <w:rPr>
          <w:i/>
        </w:rPr>
        <w:t xml:space="preserve">The standard says that blank is to be </w:t>
      </w:r>
      <w:r>
        <w:rPr>
          <w:i/>
        </w:rPr>
        <w:t>treated as logical false.</w:t>
      </w:r>
    </w:p>
    <w:p w:rsidR="000A156F" w:rsidRDefault="00A9721F">
      <w:pPr>
        <w:pStyle w:val="Definition-Field2"/>
      </w:pPr>
      <w:r>
        <w:t>Office will use the default true or false value as defined by the element. If an element does not define a specific value for this state, it is assumed to be true.</w:t>
      </w:r>
    </w:p>
    <w:p w:rsidR="000A156F" w:rsidRDefault="00A9721F">
      <w:pPr>
        <w:pStyle w:val="Heading1"/>
      </w:pPr>
      <w:bookmarkStart w:id="3811" w:name="section_b6a41f5bf644411d827d292a4f827be4"/>
      <w:bookmarkStart w:id="3812" w:name="_Toc181684931"/>
      <w:r>
        <w:lastRenderedPageBreak/>
        <w:t>Appendix A: Additional Information</w:t>
      </w:r>
      <w:bookmarkEnd w:id="3811"/>
      <w:bookmarkEnd w:id="3812"/>
    </w:p>
    <w:p w:rsidR="000A156F" w:rsidRDefault="00A9721F">
      <w:pPr>
        <w:pStyle w:val="Heading2"/>
      </w:pPr>
      <w:bookmarkStart w:id="3813" w:name="section_7e6f9361139c47ebb40999f33fbe3b11"/>
      <w:bookmarkStart w:id="3814" w:name="_Toc181684932"/>
      <w:r>
        <w:t>Word</w:t>
      </w:r>
      <w:bookmarkEnd w:id="3813"/>
      <w:bookmarkEnd w:id="3814"/>
      <w:r>
        <w:fldChar w:fldCharType="begin"/>
      </w:r>
      <w:r>
        <w:instrText xml:space="preserve"> XE "Word (Additional Infor</w:instrText>
      </w:r>
      <w:r>
        <w:instrText xml:space="preserve">mation)" </w:instrText>
      </w:r>
      <w:r>
        <w:fldChar w:fldCharType="end"/>
      </w:r>
    </w:p>
    <w:p w:rsidR="000A156F" w:rsidRDefault="00A9721F">
      <w:r>
        <w:t xml:space="preserve">This section contains additional information used to describe more fully how Word implements Office Open XML File Formats </w:t>
      </w:r>
      <w:hyperlink r:id="rId284">
        <w:r>
          <w:rPr>
            <w:rStyle w:val="Hyperlink"/>
          </w:rPr>
          <w:t>[ISO/IEC-29500-1]</w:t>
        </w:r>
      </w:hyperlink>
      <w:r>
        <w:t>.</w:t>
      </w:r>
    </w:p>
    <w:p w:rsidR="000A156F" w:rsidRDefault="00A9721F">
      <w:pPr>
        <w:pStyle w:val="Heading3"/>
      </w:pPr>
      <w:bookmarkStart w:id="3815" w:name="section_cc2c9f8989204c0f94e5bbb8e3b48b52"/>
      <w:bookmarkStart w:id="3816" w:name="_Toc181684933"/>
      <w:r>
        <w:t>Additional Parts</w:t>
      </w:r>
      <w:bookmarkEnd w:id="3815"/>
      <w:bookmarkEnd w:id="3816"/>
      <w:r>
        <w:fldChar w:fldCharType="begin"/>
      </w:r>
      <w:r>
        <w:instrText xml:space="preserve"> XE "Additional Parts</w:instrText>
      </w:r>
      <w:r>
        <w:instrText xml:space="preserve">" </w:instrText>
      </w:r>
      <w:r>
        <w:fldChar w:fldCharType="end"/>
      </w:r>
    </w:p>
    <w:p w:rsidR="000A156F" w:rsidRDefault="00A9721F">
      <w:r>
        <w:t>The subclauses subordinate to this one describe in detail each of the part types specific to Word, in addition to those listed as part of Office Open XML File Formats ("</w:t>
      </w:r>
      <w:hyperlink r:id="rId285">
        <w:r>
          <w:rPr>
            <w:rStyle w:val="Hyperlink"/>
          </w:rPr>
          <w:t>[ISO/IEC-29500-1</w:t>
        </w:r>
        <w:r>
          <w:rPr>
            <w:rStyle w:val="Hyperlink"/>
          </w:rPr>
          <w:t>]</w:t>
        </w:r>
      </w:hyperlink>
      <w:r>
        <w:t xml:space="preserve"> §11").</w:t>
      </w:r>
    </w:p>
    <w:p w:rsidR="000A156F" w:rsidRDefault="00A9721F">
      <w:pPr>
        <w:pStyle w:val="Heading4"/>
      </w:pPr>
      <w:bookmarkStart w:id="3817" w:name="section_618afd53b3d54eb4836da647299f9e39"/>
      <w:bookmarkStart w:id="3818" w:name="_Toc181684934"/>
      <w:r>
        <w:t>Word Attached Toolbars Part</w:t>
      </w:r>
      <w:bookmarkEnd w:id="3817"/>
      <w:bookmarkEnd w:id="3818"/>
      <w:r>
        <w:fldChar w:fldCharType="begin"/>
      </w:r>
      <w:r>
        <w:instrText xml:space="preserve"> XE "Word Attached Toolbars Part" </w:instrText>
      </w:r>
      <w:r>
        <w:fldChar w:fldCharType="end"/>
      </w:r>
    </w:p>
    <w:p w:rsidR="000A156F" w:rsidRDefault="00A9721F">
      <w:r>
        <w:rPr>
          <w:b/>
          <w:i/>
        </w:rPr>
        <w:t>Content Type</w:t>
      </w:r>
    </w:p>
    <w:p w:rsidR="000A156F" w:rsidRDefault="00A9721F">
      <w:r>
        <w:rPr>
          <w:i/>
        </w:rPr>
        <w:t>application/vnd.ms-word.attachedToolbars</w:t>
      </w:r>
    </w:p>
    <w:p w:rsidR="000A156F" w:rsidRDefault="00A9721F">
      <w:r>
        <w:rPr>
          <w:b/>
          <w:i/>
        </w:rPr>
        <w:t>Root Namespace</w:t>
      </w:r>
    </w:p>
    <w:p w:rsidR="000A156F" w:rsidRDefault="00A9721F">
      <w:r>
        <w:rPr>
          <w:i/>
        </w:rPr>
        <w:t>Not applicable</w:t>
      </w:r>
    </w:p>
    <w:p w:rsidR="000A156F" w:rsidRDefault="00A9721F">
      <w:r>
        <w:rPr>
          <w:b/>
          <w:i/>
        </w:rPr>
        <w:t>Source Relationship</w:t>
      </w:r>
    </w:p>
    <w:p w:rsidR="000A156F" w:rsidRDefault="00A9721F">
      <w:r>
        <w:rPr>
          <w:i/>
        </w:rPr>
        <w:t>http://schemas.microsoft.com/office/2006/relationships/attachedToolbars</w:t>
      </w:r>
    </w:p>
    <w:p w:rsidR="000A156F" w:rsidRDefault="00A9721F">
      <w:r>
        <w:t>This bi</w:t>
      </w:r>
      <w:r>
        <w:t>nary part supports the storage of custom toolbars created by the user.</w:t>
      </w:r>
    </w:p>
    <w:p w:rsidR="000A156F" w:rsidRDefault="00A9721F">
      <w:r>
        <w:t>A package shall contain at most one Attached Toolbars part, and that part shall be the target of an implicit relationship from the Customizations part (</w:t>
      </w:r>
      <w:hyperlink w:anchor="Section_25472ee1074b4741b3bd5d72b5a55bdc">
        <w:r>
          <w:rPr>
            <w:rStyle w:val="Hyperlink"/>
          </w:rPr>
          <w:t>§3.1.1.2, Customizations Part</w:t>
        </w:r>
      </w:hyperlink>
      <w:r>
        <w:t>).</w:t>
      </w:r>
    </w:p>
    <w:p w:rsidR="000A156F" w:rsidRDefault="00A9721F">
      <w:r>
        <w:t>[Example: The following Customizations part-relationship item contains a relationship to the Attached Toolbars part, which is stored in the ZIP item attachedToolbars.bin:</w:t>
      </w:r>
    </w:p>
    <w:p w:rsidR="000A156F" w:rsidRDefault="00A9721F">
      <w:pPr>
        <w:pStyle w:val="Code"/>
      </w:pPr>
      <w:r>
        <w:t>&lt;Relationships xmlns="…</w:t>
      </w:r>
      <w:r>
        <w:t>"&gt;</w:t>
      </w:r>
    </w:p>
    <w:p w:rsidR="000A156F" w:rsidRDefault="00A9721F">
      <w:pPr>
        <w:pStyle w:val="Code"/>
      </w:pPr>
      <w:r>
        <w:t xml:space="preserve">  &lt;Relationship Id="rId1" </w:t>
      </w:r>
    </w:p>
    <w:p w:rsidR="000A156F" w:rsidRDefault="00A9721F">
      <w:pPr>
        <w:pStyle w:val="Code"/>
      </w:pPr>
      <w:r>
        <w:t xml:space="preserve">    Type="http://…/attachedToolbars" Target="attachedToolbars.bin"/&gt;</w:t>
      </w:r>
    </w:p>
    <w:p w:rsidR="000A156F" w:rsidRDefault="00A9721F">
      <w:pPr>
        <w:pStyle w:val="Code"/>
      </w:pPr>
      <w:r>
        <w:t>&lt;/Relationships&gt;</w:t>
      </w:r>
    </w:p>
    <w:p w:rsidR="000A156F" w:rsidRDefault="00A9721F">
      <w:r>
        <w:t>end example]</w:t>
      </w:r>
    </w:p>
    <w:p w:rsidR="000A156F" w:rsidRDefault="00A9721F">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A156F" w:rsidRDefault="00A9721F">
      <w:r>
        <w:t xml:space="preserve">An Attached Toolbars part shall not have implicit or explicit relationships to any part defined by Office Open XML File Formats </w:t>
      </w:r>
      <w:hyperlink r:id="rId286">
        <w:r>
          <w:rPr>
            <w:rStyle w:val="Hyperlink"/>
          </w:rPr>
          <w:t>[ISO/IEC-29500-1]</w:t>
        </w:r>
      </w:hyperlink>
      <w:r>
        <w:t>.</w:t>
      </w:r>
    </w:p>
    <w:p w:rsidR="000A156F" w:rsidRDefault="00A9721F">
      <w:r>
        <w:t>The ZIP item attachedToolbars.bin contains a single binary stream with a single CTBWRAPPER structure as specified in the Word 97-2003 Binary File Format (.doc) Structure Spe</w:t>
      </w:r>
      <w:r>
        <w:t>cification ("</w:t>
      </w:r>
      <w:hyperlink r:id="rId287" w:anchor="Section_ccd7b4867881484ca13751170af7cc22">
        <w:r>
          <w:rPr>
            <w:rStyle w:val="Hyperlink"/>
          </w:rPr>
          <w:t>[MS-DOC]</w:t>
        </w:r>
      </w:hyperlink>
      <w:r>
        <w:t xml:space="preserve"> section 2.9.49; CTBWRAPPER") book.</w:t>
      </w:r>
    </w:p>
    <w:p w:rsidR="000A156F" w:rsidRDefault="00A9721F">
      <w:pPr>
        <w:pStyle w:val="Heading4"/>
      </w:pPr>
      <w:bookmarkStart w:id="3819" w:name="section_25472ee1074b4741b3bd5d72b5a55bdc"/>
      <w:bookmarkStart w:id="3820" w:name="_Toc181684935"/>
      <w:r>
        <w:t>Customizations Part</w:t>
      </w:r>
      <w:bookmarkEnd w:id="3819"/>
      <w:bookmarkEnd w:id="3820"/>
      <w:r>
        <w:fldChar w:fldCharType="begin"/>
      </w:r>
      <w:r>
        <w:instrText xml:space="preserve"> XE "Customizations Part" </w:instrText>
      </w:r>
      <w:r>
        <w:fldChar w:fldCharType="end"/>
      </w:r>
    </w:p>
    <w:p w:rsidR="000A156F" w:rsidRDefault="00A9721F">
      <w:r>
        <w:rPr>
          <w:b/>
          <w:i/>
        </w:rPr>
        <w:t>Content Type</w:t>
      </w:r>
    </w:p>
    <w:p w:rsidR="000A156F" w:rsidRDefault="00A9721F">
      <w:r>
        <w:rPr>
          <w:i/>
        </w:rPr>
        <w:t>application/vnd.ms-word.keyMapCustomizations+xml</w:t>
      </w:r>
    </w:p>
    <w:p w:rsidR="000A156F" w:rsidRDefault="00A9721F">
      <w:r>
        <w:rPr>
          <w:b/>
          <w:i/>
        </w:rPr>
        <w:lastRenderedPageBreak/>
        <w:t xml:space="preserve">Root </w:t>
      </w:r>
      <w:r>
        <w:rPr>
          <w:b/>
          <w:i/>
        </w:rPr>
        <w:t>Namespace</w:t>
      </w:r>
    </w:p>
    <w:p w:rsidR="000A156F" w:rsidRDefault="00A9721F">
      <w:r>
        <w:rPr>
          <w:i/>
        </w:rPr>
        <w:t>http://schemas.openxmlformats.org/wordprocessingml/2006/main</w:t>
      </w:r>
    </w:p>
    <w:p w:rsidR="000A156F" w:rsidRDefault="00A9721F">
      <w:r>
        <w:rPr>
          <w:b/>
          <w:i/>
        </w:rPr>
        <w:t>Source Relationship</w:t>
      </w:r>
    </w:p>
    <w:p w:rsidR="000A156F" w:rsidRDefault="00A9721F">
      <w:r>
        <w:rPr>
          <w:i/>
        </w:rPr>
        <w:t>http://schemas.microsoft.com/office/2006/relationships/keyMapCustomizations</w:t>
      </w:r>
    </w:p>
    <w:p w:rsidR="000A156F" w:rsidRDefault="00A9721F">
      <w:r>
        <w:t>An instance of this part type contains the document's template command group (TCG), which</w:t>
      </w:r>
      <w:r>
        <w:t xml:space="preserve"> consists of key mapping and toolbar customizations.</w:t>
      </w:r>
    </w:p>
    <w:p w:rsidR="000A156F" w:rsidRDefault="00A9721F">
      <w:r>
        <w:t>A package shall contain no more than two Customizations parts. If it exists, one instance of that part shall be the target of an implicit relationship from the Main Document part ("</w:t>
      </w:r>
      <w:hyperlink r:id="rId288">
        <w:r>
          <w:rPr>
            <w:rStyle w:val="Hyperlink"/>
          </w:rPr>
          <w:t>[ISO/IEC-29500-1]</w:t>
        </w:r>
      </w:hyperlink>
      <w:r>
        <w:t xml:space="preserve"> §11.3.10"), and the other instance shall be the target of an implicit relationship from the Glossary Document part ("[ISO/IEC-29500-1] §11.3.8").</w:t>
      </w:r>
    </w:p>
    <w:p w:rsidR="000A156F" w:rsidRDefault="00A9721F">
      <w:r>
        <w:t>[Example: The following Main Document part-relat</w:t>
      </w:r>
      <w:r>
        <w:t>ionship item contains a relationship to a Customizations part, which is stored in the ZIP item customizations.xml:</w:t>
      </w:r>
    </w:p>
    <w:p w:rsidR="000A156F" w:rsidRDefault="00A9721F">
      <w:pPr>
        <w:pStyle w:val="Code"/>
      </w:pPr>
      <w:r>
        <w:t>&lt;Relationships xmlns="…"&gt;</w:t>
      </w:r>
    </w:p>
    <w:p w:rsidR="000A156F" w:rsidRDefault="00A9721F">
      <w:pPr>
        <w:pStyle w:val="Code"/>
      </w:pPr>
      <w:r>
        <w:t xml:space="preserve">  &lt;Relationship Id="rId4"</w:t>
      </w:r>
    </w:p>
    <w:p w:rsidR="000A156F" w:rsidRDefault="00A9721F">
      <w:pPr>
        <w:pStyle w:val="Code"/>
      </w:pPr>
      <w:r>
        <w:t xml:space="preserve">    Type="http://…/keyMapCustomizations" Target="customizations.xml"/&gt;</w:t>
      </w:r>
    </w:p>
    <w:p w:rsidR="000A156F" w:rsidRDefault="00A9721F">
      <w:pPr>
        <w:pStyle w:val="Code"/>
      </w:pPr>
      <w:r>
        <w:t>&lt;/Relationships&gt;</w:t>
      </w:r>
    </w:p>
    <w:p w:rsidR="000A156F" w:rsidRDefault="00A9721F">
      <w:r>
        <w:t>e</w:t>
      </w:r>
      <w:r>
        <w:t>nd example]</w:t>
      </w:r>
    </w:p>
    <w:p w:rsidR="000A156F" w:rsidRDefault="00A9721F">
      <w:r>
        <w:t xml:space="preserve">The root element for a part of this content type shall be </w:t>
      </w:r>
      <w:r>
        <w:rPr>
          <w:b/>
        </w:rPr>
        <w:t>tcg</w:t>
      </w:r>
      <w:r>
        <w:t>.</w:t>
      </w:r>
    </w:p>
    <w:p w:rsidR="000A156F" w:rsidRDefault="00A9721F">
      <w:r>
        <w:t>[Example:</w:t>
      </w:r>
    </w:p>
    <w:p w:rsidR="000A156F" w:rsidRDefault="00A9721F">
      <w:pPr>
        <w:pStyle w:val="Code"/>
      </w:pPr>
      <w:r>
        <w:t>&lt;wne:tcg …&gt;</w:t>
      </w:r>
    </w:p>
    <w:p w:rsidR="000A156F" w:rsidRDefault="00A9721F">
      <w:pPr>
        <w:pStyle w:val="Code"/>
      </w:pPr>
      <w:r>
        <w:t xml:space="preserve">    &lt;wne:keymaps&gt;</w:t>
      </w:r>
    </w:p>
    <w:p w:rsidR="000A156F" w:rsidRDefault="00A9721F">
      <w:pPr>
        <w:pStyle w:val="Code"/>
      </w:pPr>
      <w:r>
        <w:t xml:space="preserve">        &lt;wne:keymap wne:kcmPrimary="0341"&gt;</w:t>
      </w:r>
    </w:p>
    <w:p w:rsidR="000A156F" w:rsidRDefault="00A9721F">
      <w:pPr>
        <w:pStyle w:val="Code"/>
      </w:pPr>
      <w:r>
        <w:t xml:space="preserve">            &lt;wne:fci wne:fciName="CssLinks" wne:swArg="0000"/&gt;</w:t>
      </w:r>
    </w:p>
    <w:p w:rsidR="000A156F" w:rsidRDefault="00A9721F">
      <w:pPr>
        <w:pStyle w:val="Code"/>
      </w:pPr>
      <w:r>
        <w:t xml:space="preserve">        &lt;/wne:keymap&gt;</w:t>
      </w:r>
    </w:p>
    <w:p w:rsidR="000A156F" w:rsidRDefault="00A9721F">
      <w:pPr>
        <w:pStyle w:val="Code"/>
      </w:pPr>
      <w:r>
        <w:t xml:space="preserve">    &lt;/wne:key</w:t>
      </w:r>
      <w:r>
        <w:t>maps&gt;</w:t>
      </w:r>
    </w:p>
    <w:p w:rsidR="000A156F" w:rsidRDefault="00A9721F">
      <w:pPr>
        <w:pStyle w:val="Code"/>
      </w:pPr>
      <w:r>
        <w:t xml:space="preserve">    &lt;wne:toolbars&gt;</w:t>
      </w:r>
    </w:p>
    <w:p w:rsidR="000A156F" w:rsidRDefault="00A9721F">
      <w:pPr>
        <w:pStyle w:val="Code"/>
      </w:pPr>
      <w:r>
        <w:t xml:space="preserve">        &lt;wne:toolbarData r:id="rId1"/&gt;</w:t>
      </w:r>
    </w:p>
    <w:p w:rsidR="000A156F" w:rsidRDefault="00A9721F">
      <w:pPr>
        <w:pStyle w:val="Code"/>
      </w:pPr>
      <w:r>
        <w:t xml:space="preserve">    &lt;/wne:toolbars&gt;</w:t>
      </w:r>
    </w:p>
    <w:p w:rsidR="000A156F" w:rsidRDefault="00A9721F">
      <w:pPr>
        <w:pStyle w:val="Code"/>
      </w:pPr>
      <w:r>
        <w:t>&lt;/wne:tcg&gt;</w:t>
      </w:r>
    </w:p>
    <w:p w:rsidR="000A156F" w:rsidRDefault="00A9721F">
      <w:r>
        <w:t>end example]</w:t>
      </w:r>
    </w:p>
    <w:p w:rsidR="000A156F" w:rsidRDefault="00A9721F">
      <w:r>
        <w:t>A Customizations part is permitted to contain explicit relationships to the following parts defined by Office Open XML File Formats [ISO/IEC-29500-1</w:t>
      </w:r>
      <w:r>
        <w:t>]:</w:t>
      </w:r>
    </w:p>
    <w:p w:rsidR="000A156F" w:rsidRDefault="00A9721F">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0A156F" w:rsidRDefault="00A9721F">
      <w:r>
        <w:t>A Customizations part shall not have any implicit or explicit relationships to any other part defined by Office Open XML File Formats [ISO/IEC-29500-1].</w:t>
      </w:r>
    </w:p>
    <w:p w:rsidR="000A156F" w:rsidRDefault="00A9721F">
      <w:pPr>
        <w:pStyle w:val="Heading4"/>
      </w:pPr>
      <w:bookmarkStart w:id="3821" w:name="section_af3dc9138c084843ab40495a92170b96"/>
      <w:bookmarkStart w:id="3822" w:name="_Toc181684936"/>
      <w:r>
        <w:t>Mail Merge Recipient Data Part</w:t>
      </w:r>
      <w:bookmarkEnd w:id="3821"/>
      <w:bookmarkEnd w:id="3822"/>
      <w:r>
        <w:fldChar w:fldCharType="begin"/>
      </w:r>
      <w:r>
        <w:instrText xml:space="preserve"> XE "Mail Merge Recipient Data Part" </w:instrText>
      </w:r>
      <w:r>
        <w:fldChar w:fldCharType="end"/>
      </w:r>
    </w:p>
    <w:p w:rsidR="000A156F" w:rsidRDefault="00A9721F">
      <w:r>
        <w:rPr>
          <w:b/>
          <w:i/>
        </w:rPr>
        <w:t>Content Type</w:t>
      </w:r>
    </w:p>
    <w:p w:rsidR="000A156F" w:rsidRDefault="00A9721F">
      <w:r>
        <w:rPr>
          <w:i/>
        </w:rPr>
        <w:t>application/vnd.open</w:t>
      </w:r>
      <w:r>
        <w:rPr>
          <w:i/>
        </w:rPr>
        <w:t>xmlformats-officedocument.wordprocessingml.mailMergeRecipientData+xml</w:t>
      </w:r>
    </w:p>
    <w:p w:rsidR="000A156F" w:rsidRDefault="00A9721F">
      <w:r>
        <w:rPr>
          <w:i/>
        </w:rPr>
        <w:t>or</w:t>
      </w:r>
    </w:p>
    <w:p w:rsidR="000A156F" w:rsidRDefault="00A9721F">
      <w:r>
        <w:rPr>
          <w:i/>
        </w:rPr>
        <w:t>application/vnd.ms-word.mailMergeRecipientData+xml</w:t>
      </w:r>
    </w:p>
    <w:p w:rsidR="000A156F" w:rsidRDefault="00A9721F">
      <w:r>
        <w:rPr>
          <w:b/>
          <w:i/>
        </w:rPr>
        <w:lastRenderedPageBreak/>
        <w:t>Root Namespace</w:t>
      </w:r>
    </w:p>
    <w:p w:rsidR="000A156F" w:rsidRDefault="00A9721F">
      <w:r>
        <w:rPr>
          <w:i/>
        </w:rPr>
        <w:t>http://schemas.openxmlformats.org/wordprocessingml/2006/main</w:t>
      </w:r>
    </w:p>
    <w:p w:rsidR="000A156F" w:rsidRDefault="00A9721F">
      <w:r>
        <w:rPr>
          <w:i/>
        </w:rPr>
        <w:t>or</w:t>
      </w:r>
    </w:p>
    <w:p w:rsidR="000A156F" w:rsidRDefault="00A9721F">
      <w:r>
        <w:rPr>
          <w:i/>
        </w:rPr>
        <w:t>http://schemas.microsoft.com/office/word/2006/wordml</w:t>
      </w:r>
    </w:p>
    <w:p w:rsidR="000A156F" w:rsidRDefault="00A9721F">
      <w:r>
        <w:rPr>
          <w:b/>
          <w:i/>
        </w:rPr>
        <w:t>Source Relationship</w:t>
      </w:r>
    </w:p>
    <w:p w:rsidR="000A156F" w:rsidRDefault="00A9721F">
      <w:r>
        <w:rPr>
          <w:i/>
        </w:rPr>
        <w:t>http://schemas.openxmlformats.org/officeDocument/2006/relationships/recipientData</w:t>
      </w:r>
    </w:p>
    <w:p w:rsidR="000A156F" w:rsidRDefault="00A9721F">
      <w:r>
        <w:t xml:space="preserve">An instance of this part type contains the document’s Mail Merge Recipient Data. </w:t>
      </w:r>
    </w:p>
    <w:p w:rsidR="000A156F" w:rsidRDefault="00A9721F">
      <w:r>
        <w:t>A package shall contain no more than one Mail Merge Recipient Data part.</w:t>
      </w:r>
      <w:r>
        <w:t xml:space="preserve"> If it exists, the instance of that part shall be the target of an explicit relationship from the Document Settings part.</w:t>
      </w:r>
    </w:p>
    <w:p w:rsidR="000A156F" w:rsidRDefault="00A9721F">
      <w:r>
        <w:t>[Example:</w:t>
      </w:r>
    </w:p>
    <w:p w:rsidR="000A156F" w:rsidRDefault="00A9721F">
      <w:pPr>
        <w:pStyle w:val="Code"/>
      </w:pPr>
      <w:r>
        <w:t>&lt;Relationships xmlns="…"&gt;</w:t>
      </w:r>
    </w:p>
    <w:p w:rsidR="000A156F" w:rsidRDefault="00A9721F">
      <w:pPr>
        <w:pStyle w:val="Code"/>
      </w:pPr>
      <w:r>
        <w:t xml:space="preserve">  &lt;Relationship Id="rId2"</w:t>
      </w:r>
    </w:p>
    <w:p w:rsidR="000A156F" w:rsidRDefault="00A9721F">
      <w:pPr>
        <w:pStyle w:val="Code"/>
      </w:pPr>
      <w:r>
        <w:t xml:space="preserve">    Type="http://…/recipientData" Target="recipientData.xml"/&gt;</w:t>
      </w:r>
    </w:p>
    <w:p w:rsidR="000A156F" w:rsidRDefault="00A9721F">
      <w:pPr>
        <w:pStyle w:val="Code"/>
      </w:pPr>
      <w:r>
        <w:t>&lt;/Relatio</w:t>
      </w:r>
      <w:r>
        <w:t>nships&gt;</w:t>
      </w:r>
    </w:p>
    <w:p w:rsidR="000A156F" w:rsidRDefault="00A9721F">
      <w:r>
        <w:t>end example]</w:t>
      </w:r>
    </w:p>
    <w:p w:rsidR="000A156F" w:rsidRDefault="00A9721F">
      <w:r>
        <w:t xml:space="preserve">The root element for a Mail Merge Recipient Data part shall be </w:t>
      </w:r>
      <w:r>
        <w:rPr>
          <w:b/>
        </w:rPr>
        <w:t>recipients</w:t>
      </w:r>
      <w:r>
        <w:t>.</w:t>
      </w:r>
    </w:p>
    <w:p w:rsidR="000A156F" w:rsidRDefault="00A9721F">
      <w:r>
        <w:t>[Example:</w:t>
      </w:r>
    </w:p>
    <w:p w:rsidR="000A156F" w:rsidRDefault="00A9721F">
      <w:pPr>
        <w:pStyle w:val="Code"/>
      </w:pPr>
      <w:r>
        <w:t>&lt;w:recipients xmlns:w="http://schemas.openxmlformats.org/wordprocessingml/2006/main" …&gt;</w:t>
      </w:r>
    </w:p>
    <w:p w:rsidR="000A156F" w:rsidRDefault="00A9721F">
      <w:pPr>
        <w:pStyle w:val="Code"/>
      </w:pPr>
      <w:r>
        <w:t xml:space="preserve">  &lt;w:recipientData&gt;</w:t>
      </w:r>
    </w:p>
    <w:p w:rsidR="000A156F" w:rsidRDefault="00A9721F">
      <w:pPr>
        <w:pStyle w:val="Code"/>
      </w:pPr>
      <w:r>
        <w:t xml:space="preserve">    &lt;w:active w:val="0" /&gt;</w:t>
      </w:r>
    </w:p>
    <w:p w:rsidR="000A156F" w:rsidRDefault="00A9721F">
      <w:pPr>
        <w:pStyle w:val="Code"/>
      </w:pPr>
      <w:r>
        <w:t xml:space="preserve">    &lt;w:column w</w:t>
      </w:r>
      <w:r>
        <w:t>:val="62"&gt;</w:t>
      </w:r>
    </w:p>
    <w:p w:rsidR="000A156F" w:rsidRDefault="00A9721F">
      <w:pPr>
        <w:pStyle w:val="Code"/>
      </w:pPr>
      <w:r>
        <w:t xml:space="preserve">    &lt;w:uniqueTag w:val="KnmjIQAAAAAAAAAAAAAAAAAAAAAAAAAAAAAAAAAAAAAAAAAAAAAAAAAAAAAAAAAAAAAAAAAAAAAA&amp;#xA;</w:t>
      </w:r>
    </w:p>
    <w:p w:rsidR="000A156F" w:rsidRDefault="00A9721F">
      <w:pPr>
        <w:pStyle w:val="Code"/>
      </w:pPr>
      <w:r>
        <w:t>AAAAAAAAAAAAAAAAAAAAAAAAAAAAAAAAAAAAAAAAAAAAAAAAAAAAAAAAAAAAAAAAAAAAAAAAAAAA&amp;#xA;</w:t>
      </w:r>
    </w:p>
    <w:p w:rsidR="000A156F" w:rsidRDefault="00A9721F">
      <w:pPr>
        <w:pStyle w:val="Code"/>
      </w:pPr>
      <w:r>
        <w:t xml:space="preserve">AAAAAAAAAAAAAAAAAAA=" /&gt;   </w:t>
      </w:r>
    </w:p>
    <w:p w:rsidR="000A156F" w:rsidRDefault="00A9721F">
      <w:pPr>
        <w:pStyle w:val="Code"/>
      </w:pPr>
      <w:r>
        <w:t xml:space="preserve">  &lt;/wne:recipientData&gt;   </w:t>
      </w:r>
    </w:p>
    <w:p w:rsidR="000A156F" w:rsidRDefault="00A9721F">
      <w:pPr>
        <w:pStyle w:val="Code"/>
      </w:pPr>
      <w:r>
        <w:t xml:space="preserve">  …    </w:t>
      </w:r>
    </w:p>
    <w:p w:rsidR="000A156F" w:rsidRDefault="00A9721F">
      <w:pPr>
        <w:pStyle w:val="Code"/>
      </w:pPr>
      <w:r>
        <w:t>&lt;/wne:recipients&gt;</w:t>
      </w:r>
    </w:p>
    <w:p w:rsidR="000A156F" w:rsidRDefault="00A9721F">
      <w:r>
        <w:t>In this example, the content type is "application/vnd.openxmlformats-officedocument.wordprocessingml.mailMergeRecipientData+xml".</w:t>
      </w:r>
    </w:p>
    <w:p w:rsidR="000A156F" w:rsidRDefault="00A9721F">
      <w:r>
        <w:t>end example]</w:t>
      </w:r>
    </w:p>
    <w:p w:rsidR="000A156F" w:rsidRDefault="00A9721F">
      <w:r>
        <w:t>[Example:</w:t>
      </w:r>
    </w:p>
    <w:p w:rsidR="000A156F" w:rsidRDefault="00A9721F">
      <w:pPr>
        <w:pStyle w:val="Code"/>
      </w:pPr>
      <w:r>
        <w:t>&lt;wne:recipients xmlns:wne="http://schemas.microsoft.com/office/word/2006/word</w:t>
      </w:r>
      <w:r>
        <w:t>ml …&gt;</w:t>
      </w:r>
    </w:p>
    <w:p w:rsidR="000A156F" w:rsidRDefault="00A9721F">
      <w:pPr>
        <w:pStyle w:val="Code"/>
      </w:pPr>
      <w:r>
        <w:t xml:space="preserve">  &lt;wne:recipientData&gt;</w:t>
      </w:r>
    </w:p>
    <w:p w:rsidR="000A156F" w:rsidRDefault="00A9721F">
      <w:pPr>
        <w:pStyle w:val="Code"/>
      </w:pPr>
      <w:r>
        <w:t xml:space="preserve">    &lt;wne:active wne:val="1" /&gt;</w:t>
      </w:r>
    </w:p>
    <w:p w:rsidR="000A156F" w:rsidRDefault="00A9721F">
      <w:pPr>
        <w:pStyle w:val="Code"/>
      </w:pPr>
      <w:r>
        <w:t xml:space="preserve">    &lt;wne:hash wne:val="2094012985"&gt;</w:t>
      </w:r>
    </w:p>
    <w:p w:rsidR="000A156F" w:rsidRDefault="00A9721F">
      <w:pPr>
        <w:pStyle w:val="Code"/>
      </w:pPr>
      <w:r>
        <w:t xml:space="preserve">  &lt;/wne:recipientData&gt;   </w:t>
      </w:r>
    </w:p>
    <w:p w:rsidR="000A156F" w:rsidRDefault="00A9721F">
      <w:pPr>
        <w:pStyle w:val="Code"/>
      </w:pPr>
      <w:r>
        <w:t xml:space="preserve">  …    </w:t>
      </w:r>
    </w:p>
    <w:p w:rsidR="000A156F" w:rsidRDefault="00A9721F">
      <w:pPr>
        <w:pStyle w:val="Code"/>
      </w:pPr>
      <w:r>
        <w:t>&lt;/wne:recipients&gt;</w:t>
      </w:r>
    </w:p>
    <w:p w:rsidR="000A156F" w:rsidRDefault="00A9721F">
      <w:r>
        <w:t>In this example, the content type is "application/vnd.ms-word.mailMergeRecipientData+xml".</w:t>
      </w:r>
    </w:p>
    <w:p w:rsidR="000A156F" w:rsidRDefault="00A9721F">
      <w:r>
        <w:t>end example]</w:t>
      </w:r>
    </w:p>
    <w:p w:rsidR="000A156F" w:rsidRDefault="00A9721F">
      <w:r>
        <w:lastRenderedPageBreak/>
        <w:t>A Mai</w:t>
      </w:r>
      <w:r>
        <w:t xml:space="preserve">l Merge Recipient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A156F" w:rsidRDefault="00A9721F">
      <w:r>
        <w:t xml:space="preserve">A Mail Merge Recipient Data part shall not contain implicit or explicit relationships to any other part defined by Office Open XML File Formats </w:t>
      </w:r>
      <w:hyperlink r:id="rId289">
        <w:r>
          <w:rPr>
            <w:rStyle w:val="Hyperlink"/>
          </w:rPr>
          <w:t>[ISO/IEC-29500-1]</w:t>
        </w:r>
      </w:hyperlink>
      <w:r>
        <w:t>.</w:t>
      </w:r>
    </w:p>
    <w:p w:rsidR="000A156F" w:rsidRDefault="00A9721F">
      <w:pPr>
        <w:pStyle w:val="Heading3"/>
      </w:pPr>
      <w:bookmarkStart w:id="3823" w:name="section_52855f50318e404192e10d0ddd08ed3d"/>
      <w:bookmarkStart w:id="3824" w:name="_Toc181684937"/>
      <w:r>
        <w:t>Word Schema</w:t>
      </w:r>
      <w:bookmarkEnd w:id="3823"/>
      <w:bookmarkEnd w:id="3824"/>
      <w:r>
        <w:fldChar w:fldCharType="begin"/>
      </w:r>
      <w:r>
        <w:instrText xml:space="preserve"> XE "Word Schema</w:instrText>
      </w:r>
      <w:r>
        <w:instrText xml:space="preserve">" </w:instrText>
      </w:r>
      <w:r>
        <w:fldChar w:fldCharType="end"/>
      </w:r>
    </w:p>
    <w:p w:rsidR="000A156F" w:rsidRDefault="00A9721F">
      <w:r>
        <w:t xml:space="preserve">The following clauses define additional information used by Word to help implement Office Open XML File Formats </w:t>
      </w:r>
      <w:hyperlink r:id="rId290">
        <w:r>
          <w:rPr>
            <w:rStyle w:val="Hyperlink"/>
          </w:rPr>
          <w:t>[ISO/IEC-29500-1]</w:t>
        </w:r>
      </w:hyperlink>
      <w:r>
        <w:t xml:space="preserve">.  </w:t>
      </w:r>
    </w:p>
    <w:p w:rsidR="000A156F" w:rsidRDefault="00A9721F">
      <w:pPr>
        <w:pStyle w:val="Heading4"/>
      </w:pPr>
      <w:bookmarkStart w:id="3825" w:name="section_c4ba3f99a9684ad8ad70e7c38fa2e504"/>
      <w:bookmarkStart w:id="3826" w:name="_Toc181684938"/>
      <w:r>
        <w:t>Keyboard and Toolbar Customizations</w:t>
      </w:r>
      <w:bookmarkEnd w:id="3825"/>
      <w:bookmarkEnd w:id="3826"/>
      <w:r>
        <w:fldChar w:fldCharType="begin"/>
      </w:r>
      <w:r>
        <w:instrText xml:space="preserve"> XE "Keyboard and</w:instrText>
      </w:r>
      <w:r>
        <w:instrText xml:space="preserve"> Toolbar Customizations" </w:instrText>
      </w:r>
      <w:r>
        <w:fldChar w:fldCharType="end"/>
      </w:r>
    </w:p>
    <w:p w:rsidR="000A156F" w:rsidRDefault="00A9721F">
      <w:r>
        <w:t>The following clauses specify the semantics used by Word to customize keyboard and toolbar commands.</w:t>
      </w:r>
    </w:p>
    <w:p w:rsidR="000A156F" w:rsidRDefault="00A9721F">
      <w:pPr>
        <w:pStyle w:val="Heading5"/>
      </w:pPr>
      <w:bookmarkStart w:id="3827" w:name="section_cd54017577a44d06bcb8908533b89a6a"/>
      <w:bookmarkStart w:id="3828" w:name="_Toc181684939"/>
      <w:r>
        <w:t>Elements</w:t>
      </w:r>
      <w:bookmarkEnd w:id="3827"/>
      <w:bookmarkEnd w:id="3828"/>
    </w:p>
    <w:p w:rsidR="000A156F" w:rsidRDefault="00A9721F">
      <w:pPr>
        <w:pStyle w:val="Heading6"/>
      </w:pPr>
      <w:bookmarkStart w:id="3829" w:name="section_9bd9f7443f3a4ce88c48371c1bb6cd67"/>
      <w:bookmarkStart w:id="3830" w:name="_Toc181684940"/>
      <w:r>
        <w:t>acd (Allocated Command)</w:t>
      </w:r>
      <w:bookmarkEnd w:id="3829"/>
      <w:bookmarkEnd w:id="3830"/>
      <w:r>
        <w:fldChar w:fldCharType="begin"/>
      </w:r>
      <w:r>
        <w:instrText xml:space="preserve"> XE "acd (Allocated Command)" </w:instrText>
      </w:r>
      <w:r>
        <w:fldChar w:fldCharType="end"/>
      </w:r>
    </w:p>
    <w:p w:rsidR="000A156F" w:rsidRDefault="00A9721F">
      <w:r>
        <w:t>This element is used to declare an allocated command for use e</w:t>
      </w:r>
      <w:r>
        <w:t>lsewhere in the Keyboard and Toolbar customization XML part. While ordinary fixed commands (§</w:t>
      </w:r>
      <w:hyperlink w:anchor="Section_e7fbfaec48a0443e91cc16c53cefbd44">
        <w:r>
          <w:rPr>
            <w:rStyle w:val="Hyperlink"/>
          </w:rPr>
          <w:t>3.1.2.1.1.7, fci</w:t>
        </w:r>
      </w:hyperlink>
      <w:r>
        <w:t xml:space="preserve">) can take an optional numeric argument, allocated commands are fixed commands that </w:t>
      </w:r>
      <w:r>
        <w:t>take a Base64 MIME transfer content encoded argument.</w:t>
      </w:r>
    </w:p>
    <w:p w:rsidR="000A156F" w:rsidRDefault="00A9721F">
      <w:r>
        <w:t xml:space="preserve"> [Example: Consider the following allocated command declaration:</w:t>
      </w:r>
    </w:p>
    <w:p w:rsidR="000A156F" w:rsidRDefault="00A9721F">
      <w:pPr>
        <w:pStyle w:val="Code"/>
      </w:pPr>
      <w:r>
        <w:t xml:space="preserve"> &lt;wne:acd wne:argValue="AAA=" wne:acdName="acd0" wne:fciBasedOn="Color"/&gt; </w:t>
      </w:r>
    </w:p>
    <w:p w:rsidR="000A156F" w:rsidRDefault="00A9721F">
      <w:r>
        <w:t>In this example, the WordprocessingML declares that the alloca</w:t>
      </w:r>
      <w:r>
        <w:t xml:space="preserve">ted command identified as </w:t>
      </w:r>
      <w:r>
        <w:rPr>
          <w:rStyle w:val="InlineCode"/>
        </w:rPr>
        <w:t>acd0</w:t>
      </w:r>
      <w:r>
        <w:t xml:space="preserve"> is based on the </w:t>
      </w:r>
      <w:r>
        <w:rPr>
          <w:rStyle w:val="InlineCode"/>
        </w:rPr>
        <w:t>Color</w:t>
      </w:r>
      <w:r>
        <w:t xml:space="preserve"> fixed command and takes the Base64 encoded argument specified in the </w:t>
      </w:r>
      <w:r>
        <w:rPr>
          <w:i/>
        </w:rPr>
        <w:t>argValue</w:t>
      </w:r>
      <w:r>
        <w:t xml:space="preserve"> attribute that decodes to the integer value </w:t>
      </w:r>
      <w:r>
        <w:rPr>
          <w:rStyle w:val="InlineCode"/>
        </w:rPr>
        <w:t>0</w:t>
      </w:r>
      <w:r>
        <w:t>.  When this allocated command is executed, it has the effect of causing Word to</w:t>
      </w:r>
      <w:r>
        <w:t xml:space="preserve">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acds</w:t>
            </w:r>
            <w:r>
              <w:t xml:space="preserve"> (§</w:t>
            </w:r>
            <w:hyperlink w:anchor="Section_83ec8315581b46899d5e9db1d95ec41f">
              <w:r>
                <w:rPr>
                  <w:rStyle w:val="Hyperlink"/>
                </w:rPr>
                <w:t>3.1.2.1.1.5, acds</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2149"/>
        <w:gridCol w:w="732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acdName</w:t>
            </w:r>
            <w:r>
              <w:t xml:space="preserve"> (Allocated command name)</w:t>
            </w:r>
          </w:p>
        </w:tc>
        <w:tc>
          <w:tcPr>
            <w:tcW w:w="0" w:type="auto"/>
            <w:vAlign w:val="center"/>
          </w:tcPr>
          <w:p w:rsidR="000A156F" w:rsidRDefault="00A9721F">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0A156F" w:rsidRDefault="000A156F">
            <w:pPr>
              <w:pStyle w:val="TableBodyText"/>
            </w:pPr>
          </w:p>
          <w:p w:rsidR="000A156F" w:rsidRDefault="00A9721F">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0A156F" w:rsidTr="000A156F">
        <w:tc>
          <w:tcPr>
            <w:tcW w:w="0" w:type="auto"/>
            <w:vAlign w:val="center"/>
          </w:tcPr>
          <w:p w:rsidR="000A156F" w:rsidRDefault="00A9721F">
            <w:pPr>
              <w:pStyle w:val="TableBodyText"/>
            </w:pPr>
            <w:r>
              <w:rPr>
                <w:b/>
              </w:rPr>
              <w:t>argValue</w:t>
            </w:r>
            <w:r>
              <w:t xml:space="preserve"> (Allocated Command Arguments)</w:t>
            </w:r>
          </w:p>
        </w:tc>
        <w:tc>
          <w:tcPr>
            <w:tcW w:w="0" w:type="auto"/>
            <w:vAlign w:val="center"/>
          </w:tcPr>
          <w:p w:rsidR="000A156F" w:rsidRDefault="00A9721F">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Base64 MIME content </w:t>
            </w:r>
            <w:r>
              <w:lastRenderedPageBreak/>
              <w:t>transfer encoded. While there is no strict limit on the length of this Base64 encoded string, only the first 510 bytes of decoded data will be used. Invalid Base64 characters in the string (such as carriage</w:t>
            </w:r>
            <w:r>
              <w:t xml:space="preserve"> returns or white space) are ignored on read, but Word may produce them on write.</w:t>
            </w:r>
          </w:p>
          <w:p w:rsidR="000A156F" w:rsidRDefault="000A156F">
            <w:pPr>
              <w:pStyle w:val="TableBodyText"/>
            </w:pPr>
          </w:p>
          <w:p w:rsidR="000A156F" w:rsidRDefault="00A9721F">
            <w:pPr>
              <w:pStyle w:val="TableBodyText"/>
            </w:pPr>
            <w:r>
              <w:t>If this attribute is not specified, an empty argument is passed to the associated fixed command, which may cause the command to do nothing on execution.</w:t>
            </w:r>
          </w:p>
          <w:p w:rsidR="000A156F" w:rsidRDefault="000A156F">
            <w:pPr>
              <w:pStyle w:val="TableBodyText"/>
            </w:pPr>
          </w:p>
          <w:p w:rsidR="000A156F" w:rsidRDefault="00A9721F">
            <w:pPr>
              <w:pStyle w:val="TableBodyText"/>
            </w:pPr>
            <w:r>
              <w:t>The possible values</w:t>
            </w:r>
            <w:r>
              <w:t xml:space="preserve"> for this attribute are defined by the ST_String simple type (§3.1.2.3.5, ST_String).</w:t>
            </w:r>
          </w:p>
        </w:tc>
      </w:tr>
      <w:tr w:rsidR="000A156F" w:rsidTr="000A156F">
        <w:tc>
          <w:tcPr>
            <w:tcW w:w="0" w:type="auto"/>
            <w:vAlign w:val="center"/>
          </w:tcPr>
          <w:p w:rsidR="000A156F" w:rsidRDefault="00A9721F">
            <w:pPr>
              <w:pStyle w:val="TableBodyText"/>
            </w:pPr>
            <w:r>
              <w:rPr>
                <w:b/>
              </w:rPr>
              <w:lastRenderedPageBreak/>
              <w:t>fciBasedOn</w:t>
            </w:r>
            <w:r>
              <w:t xml:space="preserve"> (Fixed command based on)</w:t>
            </w:r>
          </w:p>
        </w:tc>
        <w:tc>
          <w:tcPr>
            <w:tcW w:w="0" w:type="auto"/>
            <w:vAlign w:val="center"/>
          </w:tcPr>
          <w:p w:rsidR="000A156F" w:rsidRDefault="00A9721F">
            <w:pPr>
              <w:pStyle w:val="TableBodyText"/>
            </w:pPr>
            <w:r>
              <w:t xml:space="preserve">Specifies the friendly name of the fixed command that shall be used for this allocated command. If both this attribute and </w:t>
            </w:r>
            <w:r>
              <w:rPr>
                <w:i/>
              </w:rPr>
              <w:t>fciIndexBa</w:t>
            </w:r>
            <w:r>
              <w:rPr>
                <w:i/>
              </w:rPr>
              <w:t>sedOn</w:t>
            </w:r>
            <w:r>
              <w:t xml:space="preserve"> are specified, this attribute will be used.</w:t>
            </w:r>
          </w:p>
          <w:p w:rsidR="000A156F" w:rsidRDefault="000A156F">
            <w:pPr>
              <w:pStyle w:val="TableBodyText"/>
            </w:pPr>
          </w:p>
          <w:p w:rsidR="000A156F" w:rsidRDefault="00A9721F">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0A156F" w:rsidRDefault="000A156F">
            <w:pPr>
              <w:pStyle w:val="TableBodyText"/>
            </w:pPr>
          </w:p>
          <w:p w:rsidR="000A156F" w:rsidRDefault="00A9721F">
            <w:pPr>
              <w:pStyle w:val="TableBodyText"/>
            </w:pPr>
            <w:r>
              <w:t xml:space="preserve">The possible values for this </w:t>
            </w:r>
            <w:r>
              <w:t>attribute are defined by the ST_String simple type (§3.1.2.3.5, ST_String).</w:t>
            </w:r>
          </w:p>
        </w:tc>
      </w:tr>
      <w:tr w:rsidR="000A156F" w:rsidTr="000A156F">
        <w:tc>
          <w:tcPr>
            <w:tcW w:w="0" w:type="auto"/>
            <w:vAlign w:val="center"/>
          </w:tcPr>
          <w:p w:rsidR="000A156F" w:rsidRDefault="00A9721F">
            <w:pPr>
              <w:pStyle w:val="TableBodyText"/>
            </w:pPr>
            <w:r>
              <w:rPr>
                <w:b/>
              </w:rPr>
              <w:t>fciIndexBasedOn</w:t>
            </w:r>
            <w:r>
              <w:t xml:space="preserve"> (Index of fixed command)</w:t>
            </w:r>
          </w:p>
        </w:tc>
        <w:tc>
          <w:tcPr>
            <w:tcW w:w="0" w:type="auto"/>
            <w:vAlign w:val="center"/>
          </w:tcPr>
          <w:p w:rsidR="000A156F" w:rsidRDefault="00A9721F">
            <w:pPr>
              <w:pStyle w:val="TableBodyText"/>
            </w:pPr>
            <w:r>
              <w:t xml:space="preserve">Specifies the numeric index of the fixed command that shall be used for this allocated command. A table mapping the friendly names of all </w:t>
            </w:r>
            <w:r>
              <w:t xml:space="preserve">fixed commands (including those mentioned in </w:t>
            </w:r>
            <w:r>
              <w:rPr>
                <w:i/>
              </w:rPr>
              <w:t>fciBasedOn</w:t>
            </w:r>
            <w:r>
              <w:t>--the only valid fixed commands that may be used for allocated commands) may be found in Fixed Commands (§</w:t>
            </w:r>
            <w:hyperlink w:anchor="Section_1ecf33cf360145f089fb0ab824739343">
              <w:r>
                <w:rPr>
                  <w:rStyle w:val="Hyperlink"/>
                </w:rPr>
                <w:t>3.1.2.1.2, Fixed Commands</w:t>
              </w:r>
            </w:hyperlink>
            <w:r>
              <w:t>).</w:t>
            </w:r>
          </w:p>
          <w:p w:rsidR="000A156F" w:rsidRDefault="000A156F">
            <w:pPr>
              <w:pStyle w:val="TableBodyText"/>
            </w:pPr>
          </w:p>
          <w:p w:rsidR="000A156F" w:rsidRDefault="00A9721F">
            <w:pPr>
              <w:pStyle w:val="TableBodyText"/>
            </w:pPr>
            <w:r>
              <w:t xml:space="preserve">If </w:t>
            </w:r>
            <w:r>
              <w:t xml:space="preserve">both this attribute and </w:t>
            </w:r>
            <w:r>
              <w:rPr>
                <w:i/>
              </w:rPr>
              <w:t>fciBasedOn</w:t>
            </w:r>
            <w:r>
              <w:t xml:space="preserve"> are specified, </w:t>
            </w:r>
            <w:r>
              <w:rPr>
                <w:i/>
              </w:rPr>
              <w:t>fciBasedOn</w:t>
            </w:r>
            <w:r>
              <w:t xml:space="preserve"> will be used. The </w:t>
            </w:r>
            <w:r>
              <w:rPr>
                <w:b/>
              </w:rPr>
              <w:t>fciIndexBasedOn</w:t>
            </w:r>
            <w:r>
              <w:t xml:space="preserve"> attribute may be converted to </w:t>
            </w:r>
            <w:r>
              <w:rPr>
                <w:b/>
              </w:rPr>
              <w:t>fciBasedOn</w:t>
            </w:r>
            <w:r>
              <w:t xml:space="preserve"> upon resaving of the document.</w:t>
            </w:r>
          </w:p>
          <w:p w:rsidR="000A156F" w:rsidRDefault="000A156F">
            <w:pPr>
              <w:pStyle w:val="TableBodyText"/>
            </w:pPr>
          </w:p>
          <w:p w:rsidR="000A156F" w:rsidRDefault="00A9721F">
            <w:pPr>
              <w:pStyle w:val="TableBodyText"/>
            </w:pPr>
            <w:r>
              <w:t xml:space="preserve">The possible values for this attribute are defined by the ST_ShortHexNumber simple type </w:t>
            </w:r>
            <w:r>
              <w:t>(§</w:t>
            </w:r>
            <w:hyperlink w:anchor="Section_b12e8ea4e85d4b4c94bf98db8427fcaa">
              <w:r>
                <w:rPr>
                  <w:rStyle w:val="Hyperlink"/>
                </w:rPr>
                <w:t>3.1.2.3.4, ST_ShortHexNumber</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&lt;complexType name="CT_Acd"&gt;</w:t>
      </w:r>
    </w:p>
    <w:p w:rsidR="000A156F" w:rsidRDefault="00A9721F">
      <w:pPr>
        <w:pStyle w:val="Code"/>
      </w:pPr>
      <w:r>
        <w:t xml:space="preserve">  &lt;attribute name="argValue" type="ST_String"/&gt;</w:t>
      </w:r>
    </w:p>
    <w:p w:rsidR="000A156F" w:rsidRDefault="00A9721F">
      <w:pPr>
        <w:pStyle w:val="Code"/>
      </w:pPr>
      <w:r>
        <w:t xml:space="preserve">  &lt;</w:t>
      </w:r>
      <w:r>
        <w:t>attribute name="fciBasedOn" type="ST_String"/&gt;</w:t>
      </w:r>
    </w:p>
    <w:p w:rsidR="000A156F" w:rsidRDefault="00A9721F">
      <w:pPr>
        <w:pStyle w:val="Code"/>
      </w:pPr>
      <w:r>
        <w:t xml:space="preserve">  &lt;attribute name="fciIndexBasedOn" type="ST_ShortHexNumber"/&gt;</w:t>
      </w:r>
    </w:p>
    <w:p w:rsidR="000A156F" w:rsidRDefault="00A9721F">
      <w:pPr>
        <w:pStyle w:val="Code"/>
      </w:pPr>
      <w:r>
        <w:t xml:space="preserve">  &lt;attribute name="acdName" type="ST_String" use="required"/&gt;</w:t>
      </w:r>
    </w:p>
    <w:p w:rsidR="000A156F" w:rsidRDefault="00A9721F">
      <w:pPr>
        <w:pStyle w:val="Code"/>
      </w:pPr>
      <w:r>
        <w:t>&lt;/complexType&gt;</w:t>
      </w:r>
    </w:p>
    <w:p w:rsidR="000A156F" w:rsidRDefault="00A9721F">
      <w:pPr>
        <w:pStyle w:val="Heading6"/>
      </w:pPr>
      <w:bookmarkStart w:id="3831" w:name="section_03e658016a2147d093503528064826ad"/>
      <w:bookmarkStart w:id="3832" w:name="_Toc181684941"/>
      <w:r>
        <w:t>acd (Allocated Command Keyboard Customization Action)</w:t>
      </w:r>
      <w:bookmarkEnd w:id="3831"/>
      <w:bookmarkEnd w:id="3832"/>
      <w:r>
        <w:fldChar w:fldCharType="begin"/>
      </w:r>
      <w:r>
        <w:instrText xml:space="preserve"> XE "acd (Alloca</w:instrText>
      </w:r>
      <w:r>
        <w:instrText xml:space="preserve">ted Command Keyboard Customization Action)" </w:instrText>
      </w:r>
      <w:r>
        <w:fldChar w:fldCharType="end"/>
      </w:r>
    </w:p>
    <w:p w:rsidR="000A156F" w:rsidRDefault="00A9721F">
      <w:r>
        <w:t>This element specifies that an allocated command should be executed by the enclosing key map.</w:t>
      </w:r>
    </w:p>
    <w:p w:rsidR="000A156F" w:rsidRDefault="00A9721F">
      <w:r>
        <w:t>[Example: Consider the following key map:</w:t>
      </w:r>
    </w:p>
    <w:p w:rsidR="000A156F" w:rsidRDefault="00A9721F">
      <w:pPr>
        <w:pStyle w:val="Code"/>
      </w:pPr>
      <w:r>
        <w:t xml:space="preserve">  &lt;wne:keymap wne:kcmPrimary="0238"&gt;</w:t>
      </w:r>
    </w:p>
    <w:p w:rsidR="000A156F" w:rsidRDefault="00A9721F">
      <w:pPr>
        <w:pStyle w:val="Code"/>
      </w:pPr>
      <w:r>
        <w:t xml:space="preserve">      &lt;wne:acd wne:acdName="acd0" /&gt;</w:t>
      </w:r>
    </w:p>
    <w:p w:rsidR="000A156F" w:rsidRDefault="00A9721F">
      <w:pPr>
        <w:pStyle w:val="Code"/>
      </w:pPr>
      <w:r>
        <w:t xml:space="preserve">  &lt;/wne:keymap&gt;</w:t>
      </w:r>
    </w:p>
    <w:p w:rsidR="000A156F" w:rsidRDefault="00A9721F">
      <w:r>
        <w:lastRenderedPageBreak/>
        <w:t xml:space="preserve">In this example, the WordprocessingML fragment specifies that pressing Control-8 (the meaning of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keymap</w:t>
            </w:r>
            <w:r>
              <w:t xml:space="preserve"> (§</w:t>
            </w:r>
            <w:hyperlink w:anchor="Section_d44dbd45cbbb4efba0903a85141d00fc">
              <w:r>
                <w:rPr>
                  <w:rStyle w:val="Hyperlink"/>
                </w:rPr>
                <w:t>3.1.2.1.1.8, keymap</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2781"/>
        <w:gridCol w:w="669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acdName</w:t>
            </w:r>
            <w:r>
              <w:t xml:space="preserve"> (Allocated command name)</w:t>
            </w:r>
          </w:p>
        </w:tc>
        <w:tc>
          <w:tcPr>
            <w:tcW w:w="0" w:type="auto"/>
            <w:vAlign w:val="center"/>
          </w:tcPr>
          <w:p w:rsidR="000A156F" w:rsidRDefault="00A9721F">
            <w:pPr>
              <w:pStyle w:val="TableBodyText"/>
            </w:pPr>
            <w:r>
              <w:t>Specifies the friendly name of the allocated command to execute.</w:t>
            </w:r>
          </w:p>
          <w:p w:rsidR="000A156F" w:rsidRDefault="000A156F">
            <w:pPr>
              <w:pStyle w:val="TableBodyText"/>
            </w:pPr>
          </w:p>
          <w:p w:rsidR="000A156F" w:rsidRDefault="00A9721F">
            <w:pPr>
              <w:pStyle w:val="TableBodyText"/>
            </w:pPr>
            <w:r>
              <w:t>The possible values for this attribute are defined by the ST_String simple type</w:t>
            </w:r>
            <w:r>
              <w:t xml:space="preserve"> (§</w:t>
            </w:r>
            <w:hyperlink w:anchor="Section_6af92020a61a492793209436f448f276">
              <w:r>
                <w:rPr>
                  <w:rStyle w:val="Hyperlink"/>
                </w:rPr>
                <w:t>3.1.2.3.5, ST_String</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&lt;complexType name="CT_AcdKeymap"&gt;</w:t>
      </w:r>
    </w:p>
    <w:p w:rsidR="000A156F" w:rsidRDefault="00A9721F">
      <w:pPr>
        <w:pStyle w:val="Code"/>
      </w:pPr>
      <w:r>
        <w:t xml:space="preserve">  &lt;attribute name="acdName" type="ST_String" use="required"</w:t>
      </w:r>
      <w:r>
        <w:t>/&gt;</w:t>
      </w:r>
    </w:p>
    <w:p w:rsidR="000A156F" w:rsidRDefault="00A9721F">
      <w:pPr>
        <w:pStyle w:val="Code"/>
      </w:pPr>
      <w:r>
        <w:t>&lt;/complexType&gt;</w:t>
      </w:r>
    </w:p>
    <w:p w:rsidR="000A156F" w:rsidRDefault="00A9721F">
      <w:pPr>
        <w:pStyle w:val="Heading6"/>
      </w:pPr>
      <w:bookmarkStart w:id="3833" w:name="section_030e50dc59a54f3f8f6c41168047f641"/>
      <w:bookmarkStart w:id="3834" w:name="_Toc181684942"/>
      <w:r>
        <w:t>acdEntry (Allocated Command Manifest Entry)</w:t>
      </w:r>
      <w:bookmarkEnd w:id="3833"/>
      <w:bookmarkEnd w:id="3834"/>
      <w:r>
        <w:fldChar w:fldCharType="begin"/>
      </w:r>
      <w:r>
        <w:instrText xml:space="preserve"> XE "acdEntry (Allocated Command Manifest Entry)" </w:instrText>
      </w:r>
      <w:r>
        <w:fldChar w:fldCharType="end"/>
      </w:r>
    </w:p>
    <w:p w:rsidR="000A156F" w:rsidRDefault="00A9721F">
      <w:r>
        <w:t xml:space="preserve">This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acdManifest</w:t>
            </w:r>
            <w:r>
              <w:t xml:space="preserve"> (§</w:t>
            </w:r>
            <w:hyperlink w:anchor="Section_196c6a38f97a4a93a3a1121090157f0b">
              <w:r>
                <w:rPr>
                  <w:rStyle w:val="Hyperlink"/>
                </w:rPr>
                <w:t>3.1.2.1.1.4, acdManifest</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2781"/>
        <w:gridCol w:w="669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acdName</w:t>
            </w:r>
            <w:r>
              <w:t xml:space="preserve"> (Allocated command name)</w:t>
            </w:r>
          </w:p>
        </w:tc>
        <w:tc>
          <w:tcPr>
            <w:tcW w:w="0" w:type="auto"/>
            <w:vAlign w:val="center"/>
          </w:tcPr>
          <w:p w:rsidR="000A156F" w:rsidRDefault="00A9721F">
            <w:pPr>
              <w:pStyle w:val="TableBodyText"/>
            </w:pPr>
            <w:r>
              <w:t>Specifies the friendly name of the allocated command to execute.</w:t>
            </w:r>
          </w:p>
          <w:p w:rsidR="000A156F" w:rsidRDefault="000A156F">
            <w:pPr>
              <w:pStyle w:val="TableBodyText"/>
            </w:pPr>
          </w:p>
          <w:p w:rsidR="000A156F" w:rsidRDefault="00A9721F">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 xml:space="preserve">&lt;complexType </w:t>
      </w:r>
      <w:r>
        <w:t>name="CT_AcdKeymap"&gt;</w:t>
      </w:r>
    </w:p>
    <w:p w:rsidR="000A156F" w:rsidRDefault="00A9721F">
      <w:pPr>
        <w:pStyle w:val="Code"/>
      </w:pPr>
      <w:r>
        <w:t xml:space="preserve">  &lt;attribute name="acdName" type="ST_String" use="required"/&gt;</w:t>
      </w:r>
    </w:p>
    <w:p w:rsidR="000A156F" w:rsidRDefault="00A9721F">
      <w:pPr>
        <w:pStyle w:val="Code"/>
      </w:pPr>
      <w:r>
        <w:t>&lt;/complexType&gt;</w:t>
      </w:r>
    </w:p>
    <w:p w:rsidR="000A156F" w:rsidRDefault="00A9721F">
      <w:pPr>
        <w:pStyle w:val="Heading6"/>
      </w:pPr>
      <w:bookmarkStart w:id="3835" w:name="section_196c6a38f97a4a93a3a1121090157f0b"/>
      <w:bookmarkStart w:id="3836" w:name="_Toc181684943"/>
      <w:r>
        <w:t>acdManifest (Allocated Command Manifest)</w:t>
      </w:r>
      <w:bookmarkEnd w:id="3835"/>
      <w:bookmarkEnd w:id="3836"/>
      <w:r>
        <w:fldChar w:fldCharType="begin"/>
      </w:r>
      <w:r>
        <w:instrText xml:space="preserve"> XE "acdManifest (Allocated Command Manifest)" </w:instrText>
      </w:r>
      <w:r>
        <w:fldChar w:fldCharType="end"/>
      </w:r>
    </w:p>
    <w:p w:rsidR="000A156F" w:rsidRDefault="00A9721F">
      <w:r>
        <w:lastRenderedPageBreak/>
        <w:t>The binary toolbar customization information identifies allocated co</w:t>
      </w:r>
      <w:r>
        <w:t>mmands by a numeric index while this XML file format identifies allocated commands by a friendly string-based name. This element provides a mapping between the numeric indices and friendly names for allocated commands. The order of an entry specifies its n</w:t>
      </w:r>
      <w:r>
        <w:t>umeric index for use in the attached binary toolbar data.</w:t>
      </w:r>
    </w:p>
    <w:p w:rsidR="000A156F" w:rsidRDefault="00A9721F">
      <w:r>
        <w:t>[Example: Consider the following allocated command manifest:</w:t>
      </w:r>
    </w:p>
    <w:p w:rsidR="000A156F" w:rsidRDefault="00A9721F">
      <w:pPr>
        <w:pStyle w:val="Code"/>
      </w:pPr>
      <w:r>
        <w:t xml:space="preserve">    &lt;wne:toolbars&gt;</w:t>
      </w:r>
    </w:p>
    <w:p w:rsidR="000A156F" w:rsidRDefault="00A9721F">
      <w:pPr>
        <w:pStyle w:val="Code"/>
      </w:pPr>
      <w:r>
        <w:t xml:space="preserve">        &lt;wne:acdManifest&gt;</w:t>
      </w:r>
    </w:p>
    <w:p w:rsidR="000A156F" w:rsidRDefault="00A9721F">
      <w:pPr>
        <w:pStyle w:val="Code"/>
      </w:pPr>
      <w:r>
        <w:t xml:space="preserve">            &lt;wne:acdEntry wne:acdName="acd2"/&gt;</w:t>
      </w:r>
    </w:p>
    <w:p w:rsidR="000A156F" w:rsidRDefault="00A9721F">
      <w:pPr>
        <w:pStyle w:val="Code"/>
      </w:pPr>
      <w:r>
        <w:t xml:space="preserve">            &lt;wne:acdEntry wne:acdName="acd3"/</w:t>
      </w:r>
      <w:r>
        <w:t>&gt;</w:t>
      </w:r>
    </w:p>
    <w:p w:rsidR="000A156F" w:rsidRDefault="00A9721F">
      <w:pPr>
        <w:pStyle w:val="Code"/>
      </w:pPr>
      <w:r>
        <w:t xml:space="preserve">        &lt;/wne:acdManifest&gt;</w:t>
      </w:r>
    </w:p>
    <w:p w:rsidR="000A156F" w:rsidRDefault="00A9721F">
      <w:pPr>
        <w:pStyle w:val="Code"/>
      </w:pPr>
      <w:r>
        <w:t xml:space="preserve">    &lt;/wne:toolbars&gt;</w:t>
      </w:r>
    </w:p>
    <w:p w:rsidR="000A156F" w:rsidRDefault="00A9721F">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toolbars</w:t>
            </w:r>
            <w:r>
              <w:t xml:space="preserve"> (§</w:t>
            </w:r>
            <w:hyperlink w:anchor="Section_7c98bf0e4eab43729ae628f1e61e1343">
              <w:r>
                <w:rPr>
                  <w:rStyle w:val="Hyperlink"/>
                </w:rPr>
                <w:t>3.1.2.1.1.14, toolbars</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4045"/>
        <w:gridCol w:w="20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acdEntry</w:t>
            </w:r>
            <w:r>
              <w:t xml:space="preserve"> (Allocated Command Manifest Entry)</w:t>
            </w:r>
          </w:p>
        </w:tc>
        <w:tc>
          <w:tcPr>
            <w:tcW w:w="0" w:type="auto"/>
            <w:vAlign w:val="center"/>
          </w:tcPr>
          <w:p w:rsidR="000A156F" w:rsidRDefault="00A9721F">
            <w:pPr>
              <w:pStyle w:val="TableBodyText"/>
            </w:pPr>
            <w:r>
              <w:t>§</w:t>
            </w:r>
            <w:hyperlink w:anchor="Section_030e50dc59a54f3f8f6c41168047f641">
              <w:r>
                <w:rPr>
                  <w:rStyle w:val="Hyperlink"/>
                </w:rPr>
                <w:t>3.1.2.1.1.3, acdEntry</w:t>
              </w:r>
            </w:hyperlink>
          </w:p>
        </w:tc>
      </w:tr>
    </w:tbl>
    <w:p w:rsidR="000A156F" w:rsidRDefault="000A156F"/>
    <w:p w:rsidR="000A156F" w:rsidRDefault="00A9721F">
      <w:r>
        <w:t>The follow</w:t>
      </w:r>
      <w:r>
        <w:t>ing XML Schema fragment defines the contents of this element:</w:t>
      </w:r>
    </w:p>
    <w:p w:rsidR="000A156F" w:rsidRDefault="00A9721F">
      <w:pPr>
        <w:pStyle w:val="Code"/>
      </w:pPr>
      <w:r>
        <w:t>&lt;complexType name="CT_AcdManifest"&gt;</w:t>
      </w:r>
    </w:p>
    <w:p w:rsidR="000A156F" w:rsidRDefault="00A9721F">
      <w:pPr>
        <w:pStyle w:val="Code"/>
      </w:pPr>
      <w:r>
        <w:t xml:space="preserve">  &lt;sequence&gt;</w:t>
      </w:r>
    </w:p>
    <w:p w:rsidR="000A156F" w:rsidRDefault="00A9721F">
      <w:pPr>
        <w:pStyle w:val="Code"/>
      </w:pPr>
      <w:r>
        <w:t xml:space="preserve">    &lt;element name="acdEntry" type="CT_AcdKeymap" minOccurs="1" maxOccurs="unbounded"/&gt;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3837" w:name="section_83ec8315581b46899d5e9db1d95ec41f"/>
      <w:bookmarkStart w:id="3838" w:name="_Toc181684944"/>
      <w:r>
        <w:t>acds (Allocated Commands)</w:t>
      </w:r>
      <w:bookmarkEnd w:id="3837"/>
      <w:bookmarkEnd w:id="3838"/>
      <w:r>
        <w:fldChar w:fldCharType="begin"/>
      </w:r>
      <w:r>
        <w:instrText xml:space="preserve"> XE "acds (Allocated Commands)" </w:instrText>
      </w:r>
      <w:r>
        <w:fldChar w:fldCharType="end"/>
      </w:r>
    </w:p>
    <w:p w:rsidR="000A156F" w:rsidRDefault="00A9721F">
      <w:r>
        <w:t>This element serves as a container for the declaration of allocated commands.</w:t>
      </w:r>
    </w:p>
    <w:tbl>
      <w:tblPr>
        <w:tblStyle w:val="Table-ShadedHeader"/>
        <w:tblW w:w="0" w:type="auto"/>
        <w:tblLook w:val="04A0" w:firstRow="1" w:lastRow="0" w:firstColumn="1" w:lastColumn="0" w:noHBand="0" w:noVBand="1"/>
      </w:tblPr>
      <w:tblGrid>
        <w:gridCol w:w="217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tcg</w:t>
            </w:r>
            <w:r>
              <w:t xml:space="preserve"> (§</w:t>
            </w:r>
            <w:hyperlink w:anchor="Section_611795947ec745d68a2df9ece7863986">
              <w:r>
                <w:rPr>
                  <w:rStyle w:val="Hyperlink"/>
                </w:rPr>
                <w:t>3.1.2.1.1.12, tcg</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2350"/>
        <w:gridCol w:w="162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acd</w:t>
            </w:r>
            <w:r>
              <w:t xml:space="preserve"> (Allocated Command)</w:t>
            </w:r>
          </w:p>
        </w:tc>
        <w:tc>
          <w:tcPr>
            <w:tcW w:w="0" w:type="auto"/>
            <w:vAlign w:val="center"/>
          </w:tcPr>
          <w:p w:rsidR="000A156F" w:rsidRDefault="00A9721F">
            <w:pPr>
              <w:pStyle w:val="TableBodyText"/>
            </w:pPr>
            <w:r>
              <w:t>§</w:t>
            </w:r>
            <w:hyperlink w:anchor="Section_9bd9f7443f3a4ce88c48371c1bb6cd67">
              <w:r>
                <w:rPr>
                  <w:rStyle w:val="Hyperlink"/>
                </w:rPr>
                <w:t>3.1.2.1.1.1, acd</w:t>
              </w:r>
            </w:hyperlink>
          </w:p>
        </w:tc>
      </w:tr>
    </w:tbl>
    <w:p w:rsidR="000A156F" w:rsidRDefault="000A156F"/>
    <w:p w:rsidR="000A156F" w:rsidRDefault="00A9721F">
      <w:r>
        <w:lastRenderedPageBreak/>
        <w:t>The following XML Schema fragment defines the contents of this element:</w:t>
      </w:r>
    </w:p>
    <w:p w:rsidR="000A156F" w:rsidRDefault="00A9721F">
      <w:pPr>
        <w:pStyle w:val="Code"/>
      </w:pPr>
      <w:r>
        <w:t>&lt;complexType name="CT_Acds"&gt;</w:t>
      </w:r>
    </w:p>
    <w:p w:rsidR="000A156F" w:rsidRDefault="00A9721F">
      <w:pPr>
        <w:pStyle w:val="Code"/>
      </w:pPr>
      <w:r>
        <w:t xml:space="preserve">  &lt;sequence&gt;</w:t>
      </w:r>
    </w:p>
    <w:p w:rsidR="000A156F" w:rsidRDefault="00A9721F">
      <w:pPr>
        <w:pStyle w:val="Code"/>
      </w:pPr>
      <w:r>
        <w:t xml:space="preserve">    &lt;element name="acd" type="CT_Acd" </w:t>
      </w:r>
      <w:r>
        <w:t>minOccurs="1" maxOccurs="unbounded"/&gt;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3839" w:name="section_7bbd9fb16181481db29c63842301455d"/>
      <w:bookmarkStart w:id="3840" w:name="_Toc181684945"/>
      <w:r>
        <w:t>active (Record Is Included in Mail Merge)</w:t>
      </w:r>
      <w:bookmarkEnd w:id="3839"/>
      <w:bookmarkEnd w:id="3840"/>
      <w:r>
        <w:fldChar w:fldCharType="begin"/>
      </w:r>
      <w:r>
        <w:instrText xml:space="preserve"> XE "active (Record Is Included in Mail Merge)" </w:instrText>
      </w:r>
      <w:r>
        <w:fldChar w:fldCharType="end"/>
      </w:r>
    </w:p>
    <w:p w:rsidR="000A156F" w:rsidRDefault="00A9721F">
      <w:r>
        <w:t xml:space="preserve">This element specifies whether a specific record from the specified external data source shall be imported into a merged WordprocessingML document when the mail merge defined for a source document is performed. If this element's </w:t>
      </w:r>
      <w:r>
        <w:rPr>
          <w:b/>
        </w:rPr>
        <w:t>val</w:t>
      </w:r>
      <w:r>
        <w:t xml:space="preserve"> attribute is </w:t>
      </w:r>
      <w:r>
        <w:rPr>
          <w:i/>
        </w:rPr>
        <w:t>false</w:t>
      </w:r>
      <w:r>
        <w:t>, the</w:t>
      </w:r>
      <w:r>
        <w:t>n the record specified by the parent element shall not be used to create a merged document.</w:t>
      </w:r>
    </w:p>
    <w:p w:rsidR="000A156F" w:rsidRDefault="00A9721F">
      <w:r>
        <w:t>If this element is omitted for a given record, the data record associated with it shall be imported into a merged WordprocessingML document when the mail merge is p</w:t>
      </w:r>
      <w:r>
        <w:t>erformed.</w:t>
      </w:r>
    </w:p>
    <w:p w:rsidR="000A156F" w:rsidRDefault="00A9721F">
      <w:r>
        <w:t>[Example: Consider the following fragment from a source WordprocessingML document that is connected to an external data source containing two records, one of which will not be imported into a merged WordprocessingML document when the conforming h</w:t>
      </w:r>
      <w:r>
        <w:t>osting application performs the data import.</w:t>
      </w:r>
    </w:p>
    <w:p w:rsidR="000A156F" w:rsidRDefault="00A9721F">
      <w:pPr>
        <w:pStyle w:val="Code"/>
      </w:pPr>
      <w:r>
        <w:t>&lt;w:recipients&gt;</w:t>
      </w:r>
    </w:p>
    <w:p w:rsidR="000A156F" w:rsidRDefault="00A9721F">
      <w:pPr>
        <w:pStyle w:val="Code"/>
      </w:pPr>
      <w:r>
        <w:t xml:space="preserve">  &lt;w:recipientData&gt;</w:t>
      </w:r>
    </w:p>
    <w:p w:rsidR="000A156F" w:rsidRDefault="00A9721F">
      <w:pPr>
        <w:pStyle w:val="Code"/>
      </w:pPr>
      <w:r>
        <w:t xml:space="preserve">    &lt;w:active w:val="false" /&gt;</w:t>
      </w:r>
    </w:p>
    <w:p w:rsidR="000A156F" w:rsidRDefault="00A9721F">
      <w:pPr>
        <w:pStyle w:val="Code"/>
      </w:pPr>
      <w:r>
        <w:t xml:space="preserve">    &lt;w:hash w:val="1126664175" /&gt;</w:t>
      </w:r>
    </w:p>
    <w:p w:rsidR="000A156F" w:rsidRDefault="00A9721F">
      <w:pPr>
        <w:pStyle w:val="Code"/>
      </w:pPr>
      <w:r>
        <w:t xml:space="preserve">  &lt;/w:recipientData&gt;</w:t>
      </w:r>
    </w:p>
    <w:p w:rsidR="000A156F" w:rsidRDefault="00A9721F">
      <w:pPr>
        <w:pStyle w:val="Code"/>
      </w:pPr>
      <w:r>
        <w:t xml:space="preserve">  &lt;w:recipientData&gt;</w:t>
      </w:r>
    </w:p>
    <w:p w:rsidR="000A156F" w:rsidRDefault="00A9721F">
      <w:pPr>
        <w:pStyle w:val="Code"/>
      </w:pPr>
      <w:r>
        <w:t xml:space="preserve">    &lt;w:hash w:val="1530576378" /&gt;</w:t>
      </w:r>
    </w:p>
    <w:p w:rsidR="000A156F" w:rsidRDefault="00A9721F">
      <w:pPr>
        <w:pStyle w:val="Code"/>
      </w:pPr>
      <w:r>
        <w:t xml:space="preserve">  &lt;/w:recipientData&gt;</w:t>
      </w:r>
    </w:p>
    <w:p w:rsidR="000A156F" w:rsidRDefault="00A9721F">
      <w:pPr>
        <w:pStyle w:val="Code"/>
      </w:pPr>
      <w:r>
        <w:t>&lt;/w:recipients&gt;</w:t>
      </w:r>
    </w:p>
    <w:p w:rsidR="000A156F" w:rsidRDefault="00A9721F">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imported i</w:t>
      </w:r>
      <w:r>
        <w:t xml:space="preserve">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recipientData</w:t>
            </w:r>
            <w:r>
              <w:t xml:space="preserve"> (§</w:t>
            </w:r>
            <w:hyperlink w:anchor="Section_cae9abfd7956464e9f841af5c3c4433d">
              <w:r>
                <w:rPr>
                  <w:rStyle w:val="Hyperlink"/>
                </w:rPr>
                <w:t>3.1.2.2.1.2, recipientData</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135"/>
        <w:gridCol w:w="834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w:t>
            </w:r>
            <w:r>
              <w:t>escription</w:t>
            </w:r>
          </w:p>
        </w:tc>
      </w:tr>
      <w:tr w:rsidR="000A156F" w:rsidTr="000A156F">
        <w:tc>
          <w:tcPr>
            <w:tcW w:w="0" w:type="auto"/>
            <w:vAlign w:val="center"/>
          </w:tcPr>
          <w:p w:rsidR="000A156F" w:rsidRDefault="00A9721F">
            <w:pPr>
              <w:pStyle w:val="TableBodyText"/>
            </w:pPr>
            <w:r>
              <w:rPr>
                <w:b/>
              </w:rPr>
              <w:t>val</w:t>
            </w:r>
            <w:r>
              <w:t xml:space="preserve"> ()</w:t>
            </w:r>
          </w:p>
        </w:tc>
        <w:tc>
          <w:tcPr>
            <w:tcW w:w="0" w:type="auto"/>
            <w:vAlign w:val="center"/>
          </w:tcPr>
          <w:p w:rsidR="000A156F" w:rsidRDefault="000A156F">
            <w:pPr>
              <w:pStyle w:val="TableBodyText"/>
            </w:pPr>
          </w:p>
          <w:p w:rsidR="000A156F" w:rsidRDefault="00A9721F">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0A156F" w:rsidRDefault="000A156F"/>
    <w:p w:rsidR="000A156F" w:rsidRDefault="00A9721F">
      <w:r>
        <w:t xml:space="preserve">The following XML Schema fragment defines the contents of this </w:t>
      </w:r>
      <w:r>
        <w:t>element:</w:t>
      </w:r>
    </w:p>
    <w:p w:rsidR="000A156F" w:rsidRDefault="00A9721F">
      <w:pPr>
        <w:pStyle w:val="Code"/>
      </w:pPr>
      <w:r>
        <w:lastRenderedPageBreak/>
        <w:t>&lt;complexType name="CT_OnOff"&gt;</w:t>
      </w:r>
    </w:p>
    <w:p w:rsidR="000A156F" w:rsidRDefault="00A9721F">
      <w:pPr>
        <w:pStyle w:val="Code"/>
      </w:pPr>
      <w:r>
        <w:t xml:space="preserve">  &lt;attribute name="val" type="ST_OnOff"/&gt;</w:t>
      </w:r>
    </w:p>
    <w:p w:rsidR="000A156F" w:rsidRDefault="00A9721F">
      <w:pPr>
        <w:pStyle w:val="Code"/>
      </w:pPr>
      <w:r>
        <w:t>&lt;/complexType&gt;</w:t>
      </w:r>
    </w:p>
    <w:p w:rsidR="000A156F" w:rsidRDefault="00A9721F">
      <w:pPr>
        <w:pStyle w:val="Heading6"/>
      </w:pPr>
      <w:bookmarkStart w:id="3841" w:name="section_e7fbfaec48a0443e91cc16c53cefbd44"/>
      <w:bookmarkStart w:id="3842" w:name="_Toc181684946"/>
      <w:r>
        <w:t>fci (Fixed Command Keyboard Customization Action)</w:t>
      </w:r>
      <w:bookmarkEnd w:id="3841"/>
      <w:bookmarkEnd w:id="3842"/>
      <w:r>
        <w:fldChar w:fldCharType="begin"/>
      </w:r>
      <w:r>
        <w:instrText xml:space="preserve"> XE "fci (Fixed Command Keyboard Customization Action)" </w:instrText>
      </w:r>
      <w:r>
        <w:fldChar w:fldCharType="end"/>
      </w:r>
    </w:p>
    <w:p w:rsidR="000A156F" w:rsidRDefault="00A9721F">
      <w:r>
        <w:t xml:space="preserve">The </w:t>
      </w:r>
      <w:r>
        <w:rPr>
          <w:b/>
        </w:rPr>
        <w:t>fci</w:t>
      </w:r>
      <w:r>
        <w:t xml:space="preserve"> element specifies the command that will be e</w:t>
      </w:r>
      <w:r>
        <w:t xml:space="preserv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0A156F" w:rsidRDefault="00A9721F">
      <w:r>
        <w:t>For a list of public fixed command names and</w:t>
      </w:r>
      <w:r>
        <w:t xml:space="preserve"> corresponding indices available in Word, refer to Fixed Commands (§</w:t>
      </w:r>
      <w:hyperlink w:anchor="Section_1ecf33cf360145f089fb0ab824739343">
        <w:r>
          <w:rPr>
            <w:rStyle w:val="Hyperlink"/>
          </w:rPr>
          <w:t>3.1.2.1.2, Fixed Commands</w:t>
        </w:r>
      </w:hyperlink>
      <w:r>
        <w:t>).</w:t>
      </w:r>
    </w:p>
    <w:p w:rsidR="000A156F" w:rsidRDefault="00A9721F">
      <w:r>
        <w:t>[Example: Consider the following key mapping fragment:</w:t>
      </w:r>
    </w:p>
    <w:p w:rsidR="000A156F" w:rsidRDefault="00A9721F">
      <w:pPr>
        <w:pStyle w:val="Code"/>
      </w:pPr>
      <w:r>
        <w:t xml:space="preserve">   &lt;wne:keymap wne:kcmPrimary="0342"&gt;</w:t>
      </w:r>
    </w:p>
    <w:p w:rsidR="000A156F" w:rsidRDefault="00A9721F">
      <w:pPr>
        <w:pStyle w:val="Code"/>
      </w:pPr>
      <w:r>
        <w:t xml:space="preserve">    </w:t>
      </w:r>
      <w:r>
        <w:t xml:space="preserve">  &lt;wne:fci wne:fciName="Bold" /&gt;</w:t>
      </w:r>
    </w:p>
    <w:p w:rsidR="000A156F" w:rsidRDefault="00A9721F">
      <w:pPr>
        <w:pStyle w:val="Code"/>
      </w:pPr>
      <w:r>
        <w:t xml:space="preserve">   &lt;/wne:keymap&gt;</w:t>
      </w:r>
    </w:p>
    <w:p w:rsidR="000A156F" w:rsidRDefault="00A9721F">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0A156F" w:rsidRDefault="00A9721F">
      <w:r>
        <w:t xml:space="preserve">Alternately, the same effect can be achieved using the </w:t>
      </w:r>
      <w:r>
        <w:rPr>
          <w:i/>
        </w:rPr>
        <w:t>fciIndex</w:t>
      </w:r>
      <w:r>
        <w:t xml:space="preserve"> instead of </w:t>
      </w:r>
      <w:r>
        <w:rPr>
          <w:i/>
        </w:rPr>
        <w:t>fciName</w:t>
      </w:r>
      <w:r>
        <w:t>:</w:t>
      </w:r>
    </w:p>
    <w:p w:rsidR="000A156F" w:rsidRDefault="00A9721F">
      <w:pPr>
        <w:pStyle w:val="Code"/>
      </w:pPr>
      <w:r>
        <w:t xml:space="preserve">  &lt;wne:keymap wne:kcmPrimary="0342"&gt;</w:t>
      </w:r>
    </w:p>
    <w:p w:rsidR="000A156F" w:rsidRDefault="00A9721F">
      <w:pPr>
        <w:pStyle w:val="Code"/>
      </w:pPr>
      <w:r>
        <w:t xml:space="preserve">   &lt;wne:fci wne:fciIndex="002D" /&gt;</w:t>
      </w:r>
    </w:p>
    <w:p w:rsidR="000A156F" w:rsidRDefault="00A9721F">
      <w:pPr>
        <w:pStyle w:val="Code"/>
      </w:pPr>
      <w:r>
        <w:t>&lt;/wne:keymap&gt;</w:t>
      </w:r>
    </w:p>
    <w:p w:rsidR="000A156F" w:rsidRDefault="00A9721F">
      <w:r>
        <w:t>end example]</w:t>
      </w:r>
    </w:p>
    <w:tbl>
      <w:tblPr>
        <w:tblStyle w:val="Table-ShadedHeader"/>
        <w:tblW w:w="0" w:type="auto"/>
        <w:tblLook w:val="04A0" w:firstRow="1" w:lastRow="0" w:firstColumn="1" w:lastColumn="0" w:noHBand="0" w:noVBand="1"/>
      </w:tblPr>
      <w:tblGrid>
        <w:gridCol w:w="289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keymap</w:t>
            </w:r>
            <w:r>
              <w:t xml:space="preserve"> (§</w:t>
            </w:r>
            <w:hyperlink w:anchor="Section_d44dbd45cbbb4efba0903a85141d00fc">
              <w:r>
                <w:rPr>
                  <w:rStyle w:val="Hyperlink"/>
                </w:rPr>
                <w:t>3.1.2.1.1.8, keymap</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955"/>
        <w:gridCol w:w="752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fciIndex</w:t>
            </w:r>
            <w:r>
              <w:t xml:space="preserve"> (Index of fixed command)</w:t>
            </w:r>
          </w:p>
        </w:tc>
        <w:tc>
          <w:tcPr>
            <w:tcW w:w="0" w:type="auto"/>
            <w:vAlign w:val="center"/>
          </w:tcPr>
          <w:p w:rsidR="000A156F" w:rsidRDefault="00A9721F">
            <w:pPr>
              <w:pStyle w:val="TableBodyText"/>
            </w:pPr>
            <w:r>
              <w:t>Specifies numeric identifier for a fixed command.</w:t>
            </w:r>
          </w:p>
          <w:p w:rsidR="000A156F" w:rsidRDefault="000A156F">
            <w:pPr>
              <w:pStyle w:val="TableBodyText"/>
            </w:pPr>
          </w:p>
          <w:p w:rsidR="000A156F" w:rsidRDefault="00A9721F">
            <w:pPr>
              <w:pStyle w:val="TableBodyText"/>
            </w:pPr>
            <w:r>
              <w:t>For a list of public fixed command names and their indices available in Word, refer to Fixed Commands (§3.1.2.1.2, Fixed Commands).</w:t>
            </w:r>
          </w:p>
          <w:p w:rsidR="000A156F" w:rsidRDefault="000A156F">
            <w:pPr>
              <w:pStyle w:val="TableBodyText"/>
            </w:pPr>
          </w:p>
          <w:p w:rsidR="000A156F" w:rsidRDefault="00A9721F">
            <w:pPr>
              <w:pStyle w:val="TableBodyText"/>
            </w:pPr>
            <w:r>
              <w:t>The possible values for this attribute are def</w:t>
            </w:r>
            <w:r>
              <w:t>ined by the ST_ShortHexNumber simple type (§</w:t>
            </w:r>
            <w:hyperlink w:anchor="Section_b12e8ea4e85d4b4c94bf98db8427fcaa">
              <w:r>
                <w:rPr>
                  <w:rStyle w:val="Hyperlink"/>
                </w:rPr>
                <w:t>3.1.2.3.4, ST_ShortHexNumber</w:t>
              </w:r>
            </w:hyperlink>
            <w:r>
              <w:t>).</w:t>
            </w:r>
          </w:p>
        </w:tc>
      </w:tr>
      <w:tr w:rsidR="000A156F" w:rsidTr="000A156F">
        <w:tc>
          <w:tcPr>
            <w:tcW w:w="0" w:type="auto"/>
            <w:vAlign w:val="center"/>
          </w:tcPr>
          <w:p w:rsidR="000A156F" w:rsidRDefault="00A9721F">
            <w:pPr>
              <w:pStyle w:val="TableBodyText"/>
            </w:pPr>
            <w:r>
              <w:rPr>
                <w:b/>
              </w:rPr>
              <w:t>fciName</w:t>
            </w:r>
            <w:r>
              <w:t xml:space="preserve"> (Fixed command name)</w:t>
            </w:r>
          </w:p>
        </w:tc>
        <w:tc>
          <w:tcPr>
            <w:tcW w:w="0" w:type="auto"/>
            <w:vAlign w:val="center"/>
          </w:tcPr>
          <w:p w:rsidR="000A156F" w:rsidRDefault="00A9721F">
            <w:pPr>
              <w:pStyle w:val="TableBodyText"/>
            </w:pPr>
            <w:r>
              <w:t>Specifies friendly identifier for a fixed command.</w:t>
            </w:r>
          </w:p>
          <w:p w:rsidR="000A156F" w:rsidRDefault="000A156F">
            <w:pPr>
              <w:pStyle w:val="TableBodyText"/>
            </w:pPr>
          </w:p>
          <w:p w:rsidR="000A156F" w:rsidRDefault="00A9721F">
            <w:pPr>
              <w:pStyle w:val="TableBodyText"/>
            </w:pPr>
            <w:r>
              <w:t xml:space="preserve">For a list of public fixed command </w:t>
            </w:r>
            <w:r>
              <w:t>names available in Word, refer to Fixed Commands (§3.1.2.1.2, Fixed Commands).</w:t>
            </w:r>
          </w:p>
          <w:p w:rsidR="000A156F" w:rsidRDefault="000A156F">
            <w:pPr>
              <w:pStyle w:val="TableBodyText"/>
            </w:pPr>
          </w:p>
          <w:p w:rsidR="000A156F" w:rsidRDefault="00A9721F">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0A156F" w:rsidTr="000A156F">
        <w:tc>
          <w:tcPr>
            <w:tcW w:w="0" w:type="auto"/>
            <w:vAlign w:val="center"/>
          </w:tcPr>
          <w:p w:rsidR="000A156F" w:rsidRDefault="00A9721F">
            <w:pPr>
              <w:pStyle w:val="TableBodyText"/>
            </w:pPr>
            <w:r>
              <w:rPr>
                <w:b/>
              </w:rPr>
              <w:lastRenderedPageBreak/>
              <w:t>swArg</w:t>
            </w:r>
            <w:r>
              <w:t xml:space="preserve"> (</w:t>
            </w:r>
            <w:r>
              <w:t>Fixed command argument)</w:t>
            </w:r>
          </w:p>
        </w:tc>
        <w:tc>
          <w:tcPr>
            <w:tcW w:w="0" w:type="auto"/>
            <w:vAlign w:val="center"/>
          </w:tcPr>
          <w:p w:rsidR="000A156F" w:rsidRDefault="00A9721F">
            <w:pPr>
              <w:pStyle w:val="TableBodyText"/>
            </w:pPr>
            <w:r>
              <w:t>Specifies an optional numeric argument for a fixed command, as specified in the Word 97-2003 Binary File Format (.doc) Structure Specification ("</w:t>
            </w:r>
            <w:hyperlink r:id="rId291" w:anchor="Section_ccd7b4867881484ca13751170af7cc22">
              <w:r>
                <w:rPr>
                  <w:rStyle w:val="Hyperlink"/>
                </w:rPr>
                <w:t>[MS-DOC]</w:t>
              </w:r>
            </w:hyperlink>
            <w:r>
              <w:t xml:space="preserve"> section 2.9.36; CidFci") book.</w:t>
            </w:r>
          </w:p>
          <w:p w:rsidR="000A156F" w:rsidRDefault="000A156F">
            <w:pPr>
              <w:pStyle w:val="TableBodyText"/>
            </w:pPr>
          </w:p>
          <w:p w:rsidR="000A156F" w:rsidRDefault="00A9721F">
            <w:pPr>
              <w:pStyle w:val="TableBodyText"/>
            </w:pPr>
            <w:r>
              <w:t>The possible values for this attribute are defined by the ST_ShortHexNumber simple type (§3.1.2.3.4, ST_ShortHexNumber).</w:t>
            </w:r>
          </w:p>
        </w:tc>
      </w:tr>
    </w:tbl>
    <w:p w:rsidR="000A156F" w:rsidRDefault="000A156F"/>
    <w:p w:rsidR="000A156F" w:rsidRDefault="00A9721F">
      <w:r>
        <w:t>The following XML Schema fragment defines the contents of this element:</w:t>
      </w:r>
    </w:p>
    <w:p w:rsidR="000A156F" w:rsidRDefault="00A9721F">
      <w:pPr>
        <w:pStyle w:val="Code"/>
      </w:pPr>
      <w:r>
        <w:t>&lt;complexType name="CT_Fci"&gt;</w:t>
      </w:r>
    </w:p>
    <w:p w:rsidR="000A156F" w:rsidRDefault="00A9721F">
      <w:pPr>
        <w:pStyle w:val="Code"/>
      </w:pPr>
      <w:r>
        <w:t xml:space="preserve">  &lt;attribute name="fciName" type="ST_String"/&gt;</w:t>
      </w:r>
    </w:p>
    <w:p w:rsidR="000A156F" w:rsidRDefault="00A9721F">
      <w:pPr>
        <w:pStyle w:val="Code"/>
      </w:pPr>
      <w:r>
        <w:t xml:space="preserve">  &lt;attribute name="fciIndex" type="ST_ShortHexNumber"/&gt;</w:t>
      </w:r>
    </w:p>
    <w:p w:rsidR="000A156F" w:rsidRDefault="00A9721F">
      <w:pPr>
        <w:pStyle w:val="Code"/>
      </w:pPr>
      <w:r>
        <w:t xml:space="preserve">  &lt;attribute name="swArg" type="ST_ShortHexNumber"/&gt;</w:t>
      </w:r>
    </w:p>
    <w:p w:rsidR="000A156F" w:rsidRDefault="00A9721F">
      <w:pPr>
        <w:pStyle w:val="Code"/>
      </w:pPr>
      <w:r>
        <w:t>&lt;/complexType&gt;</w:t>
      </w:r>
    </w:p>
    <w:p w:rsidR="000A156F" w:rsidRDefault="00A9721F">
      <w:pPr>
        <w:pStyle w:val="Heading6"/>
      </w:pPr>
      <w:bookmarkStart w:id="3843" w:name="section_d44dbd45cbbb4efba0903a85141d00fc"/>
      <w:bookmarkStart w:id="3844" w:name="_Toc181684947"/>
      <w:r>
        <w:t>keymap (Key Map Entry)</w:t>
      </w:r>
      <w:bookmarkEnd w:id="3843"/>
      <w:bookmarkEnd w:id="3844"/>
      <w:r>
        <w:fldChar w:fldCharType="begin"/>
      </w:r>
      <w:r>
        <w:instrText xml:space="preserve"> XE "keymap (Key Map Entry)" </w:instrText>
      </w:r>
      <w:r>
        <w:fldChar w:fldCharType="end"/>
      </w:r>
    </w:p>
    <w:p w:rsidR="000A156F" w:rsidRDefault="00A9721F">
      <w:r>
        <w:t>This element describes an indiv</w:t>
      </w:r>
      <w:r>
        <w:t xml:space="preserve">idual key mapping.  Its attributes collectively specify a sequence of key combinations that, when pressed, will cause the execution of an action such as a fixed command or macro. The action to execute is described by a single child element. A built-in key </w:t>
      </w:r>
      <w:r>
        <w:t>mapping can also be blocked.</w:t>
      </w:r>
    </w:p>
    <w:p w:rsidR="000A156F" w:rsidRDefault="00A9721F">
      <w:r>
        <w:t>The key combination for the mapping may be specified using KCM- (key code with modifiers) and CHM- (character with modifiers) based attributes. Both use a set of binary flags for the first (or left) byte to designate the modifi</w:t>
      </w:r>
      <w:r>
        <w:t>er keys for a key combination. Starting at the least significant bit, these take the order Shift, Control, Alt and Command (where the operating system distinguishes between Command and Control). These flags may be used individually or combined. For example</w:t>
      </w:r>
      <w:r>
        <w:t>, using Control as the only modifier would be represented by 02 (only the second bit is on) while using Control and Alt simultaneously would be 06 (the second and third bits are on).</w:t>
      </w:r>
    </w:p>
    <w:p w:rsidR="000A156F" w:rsidRDefault="00A9721F">
      <w:r>
        <w:t xml:space="preserve">If a secondary key combination attribute is omitted and a primary key </w:t>
      </w:r>
      <w:r>
        <w:t>combination has already been defined, the associated action will be executed as soon as the primary key combination has been pressed; otherwise, if both are specified, the action will not execute until both key combinations have been pressed in sequence.</w:t>
      </w:r>
    </w:p>
    <w:p w:rsidR="000A156F" w:rsidRDefault="00A9721F">
      <w:r>
        <w:t>[</w:t>
      </w:r>
      <w:r>
        <w:t>Example: Consider the following key mapping fragment:</w:t>
      </w:r>
    </w:p>
    <w:p w:rsidR="000A156F" w:rsidRDefault="00A9721F">
      <w:pPr>
        <w:pStyle w:val="Code"/>
      </w:pPr>
      <w:r>
        <w:t xml:space="preserve">   &lt;wne:keymap wne:kcmPrimary="0342" wne:kcmSecondary="0441"&gt;</w:t>
      </w:r>
    </w:p>
    <w:p w:rsidR="000A156F" w:rsidRDefault="00A9721F">
      <w:pPr>
        <w:pStyle w:val="Code"/>
      </w:pPr>
      <w:r>
        <w:t xml:space="preserve">      &lt;wne:fci … /&gt;</w:t>
      </w:r>
    </w:p>
    <w:p w:rsidR="000A156F" w:rsidRDefault="00A9721F">
      <w:pPr>
        <w:pStyle w:val="Code"/>
      </w:pPr>
      <w:r>
        <w:t xml:space="preserve">   &lt;/wne:keymap&gt;</w:t>
      </w:r>
    </w:p>
    <w:p w:rsidR="000A156F" w:rsidRDefault="00A9721F">
      <w:r>
        <w:t xml:space="preserve">In this example, the WordprocessingML describes a mapping for a sequence of two key combinations given </w:t>
      </w:r>
      <w:r>
        <w:t xml:space="preserve">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 this mapping's action. The </w:t>
      </w:r>
      <w:r>
        <w:rPr>
          <w:rStyle w:val="InlineCode"/>
        </w:rPr>
        <w:t>fci</w:t>
      </w:r>
      <w:r>
        <w:t xml:space="preserve"> child element signifies that a fixed command will</w:t>
      </w:r>
      <w:r>
        <w:t xml:space="preserve"> be executed when the specified key sequence is pressed. end example]</w:t>
      </w:r>
    </w:p>
    <w:p w:rsidR="000A156F" w:rsidRDefault="000A156F"/>
    <w:tbl>
      <w:tblPr>
        <w:tblStyle w:val="Table-ShadedHeader"/>
        <w:tblW w:w="0" w:type="auto"/>
        <w:tblLook w:val="04A0" w:firstRow="1" w:lastRow="0" w:firstColumn="1" w:lastColumn="0" w:noHBand="0" w:noVBand="1"/>
      </w:tblPr>
      <w:tblGrid>
        <w:gridCol w:w="678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Parent Elements</w:t>
            </w:r>
          </w:p>
        </w:tc>
      </w:tr>
      <w:tr w:rsidR="000A156F" w:rsidTr="000A156F">
        <w:tc>
          <w:tcPr>
            <w:tcW w:w="0" w:type="auto"/>
            <w:vAlign w:val="center"/>
          </w:tcPr>
          <w:p w:rsidR="000A156F" w:rsidRDefault="00A9721F">
            <w:pPr>
              <w:pStyle w:val="TableBodyText"/>
            </w:pPr>
            <w:r>
              <w:rPr>
                <w:b/>
              </w:rPr>
              <w:t>keymaps</w:t>
            </w:r>
            <w:r>
              <w:t xml:space="preserve"> (§</w:t>
            </w:r>
            <w:hyperlink w:anchor="Section_3e58e134a06a484aa45fd1bf83668891">
              <w:r>
                <w:rPr>
                  <w:rStyle w:val="Hyperlink"/>
                </w:rPr>
                <w:t>3.1.2.1.1.9, 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4927"/>
        <w:gridCol w:w="195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acd</w:t>
            </w:r>
            <w:r>
              <w:t xml:space="preserve"> (Allocated Command Keyboard Customization Action)</w:t>
            </w:r>
          </w:p>
        </w:tc>
        <w:tc>
          <w:tcPr>
            <w:tcW w:w="0" w:type="auto"/>
            <w:vAlign w:val="center"/>
          </w:tcPr>
          <w:p w:rsidR="000A156F" w:rsidRDefault="00A9721F">
            <w:pPr>
              <w:pStyle w:val="TableBodyText"/>
            </w:pPr>
            <w:r>
              <w:t>§</w:t>
            </w:r>
            <w:hyperlink w:anchor="Section_03e658016a2147d093503528064826ad">
              <w:r>
                <w:rPr>
                  <w:rStyle w:val="Hyperlink"/>
                </w:rPr>
                <w:t>3.1.2.1.1.2, acd</w:t>
              </w:r>
            </w:hyperlink>
          </w:p>
        </w:tc>
      </w:tr>
      <w:tr w:rsidR="000A156F" w:rsidTr="000A156F">
        <w:tc>
          <w:tcPr>
            <w:tcW w:w="0" w:type="auto"/>
            <w:vAlign w:val="center"/>
          </w:tcPr>
          <w:p w:rsidR="000A156F" w:rsidRDefault="00A9721F">
            <w:pPr>
              <w:pStyle w:val="TableBodyText"/>
            </w:pPr>
            <w:r>
              <w:rPr>
                <w:b/>
              </w:rPr>
              <w:t>fci</w:t>
            </w:r>
            <w:r>
              <w:t xml:space="preserve"> (Fixed Command Keyboard Customization Action)</w:t>
            </w:r>
          </w:p>
        </w:tc>
        <w:tc>
          <w:tcPr>
            <w:tcW w:w="0" w:type="auto"/>
            <w:vAlign w:val="center"/>
          </w:tcPr>
          <w:p w:rsidR="000A156F" w:rsidRDefault="00A9721F">
            <w:pPr>
              <w:pStyle w:val="TableBodyText"/>
            </w:pPr>
            <w:r>
              <w:t>§</w:t>
            </w:r>
            <w:hyperlink w:anchor="Section_e7fbfaec48a0443e91cc16c53cefbd44">
              <w:r>
                <w:rPr>
                  <w:rStyle w:val="Hyperlink"/>
                </w:rPr>
                <w:t>3.1.2.1.1.7, fci</w:t>
              </w:r>
            </w:hyperlink>
          </w:p>
        </w:tc>
      </w:tr>
      <w:tr w:rsidR="000A156F" w:rsidTr="000A156F">
        <w:tc>
          <w:tcPr>
            <w:tcW w:w="0" w:type="auto"/>
            <w:vAlign w:val="center"/>
          </w:tcPr>
          <w:p w:rsidR="000A156F" w:rsidRDefault="00A9721F">
            <w:pPr>
              <w:pStyle w:val="TableBodyText"/>
            </w:pPr>
            <w:r>
              <w:rPr>
                <w:b/>
              </w:rPr>
              <w:t>macro</w:t>
            </w:r>
            <w:r>
              <w:t xml:space="preserve"> (Macro Keyboard Customization Action)</w:t>
            </w:r>
          </w:p>
        </w:tc>
        <w:tc>
          <w:tcPr>
            <w:tcW w:w="0" w:type="auto"/>
            <w:vAlign w:val="center"/>
          </w:tcPr>
          <w:p w:rsidR="000A156F" w:rsidRDefault="00A9721F">
            <w:pPr>
              <w:pStyle w:val="TableBodyText"/>
            </w:pPr>
            <w:r>
              <w:t>§</w:t>
            </w:r>
            <w:hyperlink w:anchor="Section_0ab7a8b6842d4bda8c7262ac9dd16b0d">
              <w:r>
                <w:rPr>
                  <w:rStyle w:val="Hyperlink"/>
                </w:rPr>
                <w:t>3.1.2.1.1.11, macro</w:t>
              </w:r>
            </w:hyperlink>
          </w:p>
        </w:tc>
      </w:tr>
      <w:tr w:rsidR="000A156F" w:rsidTr="000A156F">
        <w:tc>
          <w:tcPr>
            <w:tcW w:w="0" w:type="auto"/>
            <w:vAlign w:val="center"/>
          </w:tcPr>
          <w:p w:rsidR="000A156F" w:rsidRDefault="00A9721F">
            <w:pPr>
              <w:pStyle w:val="TableBodyText"/>
            </w:pPr>
            <w:r>
              <w:rPr>
                <w:b/>
              </w:rPr>
              <w:t>wch</w:t>
            </w:r>
            <w:r>
              <w:t xml:space="preserve"> (Character Insertion Keyboard Customization Action)</w:t>
            </w:r>
          </w:p>
        </w:tc>
        <w:tc>
          <w:tcPr>
            <w:tcW w:w="0" w:type="auto"/>
            <w:vAlign w:val="center"/>
          </w:tcPr>
          <w:p w:rsidR="000A156F" w:rsidRDefault="00A9721F">
            <w:pPr>
              <w:pStyle w:val="TableBodyText"/>
            </w:pPr>
            <w:r>
              <w:t>§</w:t>
            </w:r>
            <w:hyperlink w:anchor="Section_342bac6cb42c45d7aae0b30f39357bc9">
              <w:r>
                <w:rPr>
                  <w:rStyle w:val="Hyperlink"/>
                </w:rPr>
                <w:t>3.1.2.1.1.15, wch</w:t>
              </w:r>
            </w:hyperlink>
          </w:p>
        </w:tc>
      </w:tr>
      <w:tr w:rsidR="000A156F" w:rsidTr="000A156F">
        <w:tc>
          <w:tcPr>
            <w:tcW w:w="0" w:type="auto"/>
            <w:vAlign w:val="center"/>
          </w:tcPr>
          <w:p w:rsidR="000A156F" w:rsidRDefault="00A9721F">
            <w:pPr>
              <w:pStyle w:val="TableBodyText"/>
            </w:pPr>
            <w:r>
              <w:rPr>
                <w:b/>
              </w:rPr>
              <w:t>wll</w:t>
            </w:r>
            <w:r>
              <w:t xml:space="preserve"> (WLL Macro Keyboard Customization Action)</w:t>
            </w:r>
          </w:p>
        </w:tc>
        <w:tc>
          <w:tcPr>
            <w:tcW w:w="0" w:type="auto"/>
            <w:vAlign w:val="center"/>
          </w:tcPr>
          <w:p w:rsidR="000A156F" w:rsidRDefault="00A9721F">
            <w:pPr>
              <w:pStyle w:val="TableBodyText"/>
            </w:pPr>
            <w:r>
              <w:t>§</w:t>
            </w:r>
            <w:hyperlink w:anchor="Section_bba0329034324d19ba214baa0944d9de">
              <w:r>
                <w:rPr>
                  <w:rStyle w:val="Hyperlink"/>
                </w:rPr>
                <w:t>3.1.2.1.1.</w:t>
              </w:r>
              <w:r>
                <w:rPr>
                  <w:rStyle w:val="Hyperlink"/>
                </w:rPr>
                <w:t>16, wll</w:t>
              </w:r>
            </w:hyperlink>
          </w:p>
        </w:tc>
      </w:tr>
    </w:tbl>
    <w:p w:rsidR="000A156F" w:rsidRDefault="000A156F"/>
    <w:p w:rsidR="000A156F" w:rsidRDefault="000A156F"/>
    <w:tbl>
      <w:tblPr>
        <w:tblStyle w:val="Table-ShadedHeader"/>
        <w:tblW w:w="0" w:type="auto"/>
        <w:tblLook w:val="04A0" w:firstRow="1" w:lastRow="0" w:firstColumn="1" w:lastColumn="0" w:noHBand="0" w:noVBand="1"/>
      </w:tblPr>
      <w:tblGrid>
        <w:gridCol w:w="2159"/>
        <w:gridCol w:w="731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chmPrimary</w:t>
            </w:r>
            <w:r>
              <w:t xml:space="preserve"> (Keyboard Shortcut Primary Character Code)</w:t>
            </w:r>
          </w:p>
        </w:tc>
        <w:tc>
          <w:tcPr>
            <w:tcW w:w="0" w:type="auto"/>
            <w:vAlign w:val="center"/>
          </w:tcPr>
          <w:p w:rsidR="000A156F" w:rsidRDefault="00A9721F">
            <w:pPr>
              <w:pStyle w:val="TableBodyText"/>
            </w:pPr>
            <w:r>
              <w:t>Specifies the first CHM key combination in the sequence.</w:t>
            </w:r>
          </w:p>
          <w:p w:rsidR="000A156F" w:rsidRDefault="000A156F">
            <w:pPr>
              <w:pStyle w:val="TableBodyText"/>
            </w:pPr>
          </w:p>
          <w:p w:rsidR="000A156F" w:rsidRDefault="00A9721F">
            <w:pPr>
              <w:pStyle w:val="TableBodyText"/>
            </w:pPr>
            <w:r>
              <w:t xml:space="preserve">The left byte contains modifiers described in keymap (§3.1.2.1.1.8, keymap) and the right byte specifies the </w:t>
            </w:r>
            <w:r>
              <w:t>ASCII value of the character of this key combination.</w:t>
            </w:r>
          </w:p>
          <w:p w:rsidR="000A156F" w:rsidRDefault="000A156F">
            <w:pPr>
              <w:pStyle w:val="TableBodyText"/>
            </w:pPr>
          </w:p>
          <w:p w:rsidR="000A156F" w:rsidRDefault="00A9721F">
            <w:pPr>
              <w:pStyle w:val="TableBodyText"/>
            </w:pPr>
            <w:r>
              <w:t>[Note: When specifying CHM values, the case of the letter is significant with respect to shift acting as a modifier or not.]</w:t>
            </w:r>
          </w:p>
          <w:p w:rsidR="000A156F" w:rsidRDefault="000A156F">
            <w:pPr>
              <w:pStyle w:val="TableBodyText"/>
            </w:pPr>
          </w:p>
          <w:p w:rsidR="000A156F" w:rsidRDefault="00A9721F">
            <w:pPr>
              <w:pStyle w:val="TableBodyText"/>
            </w:pPr>
            <w:r>
              <w:t>[Example: Consider this list of example key combinations and their correspo</w:t>
            </w:r>
            <w:r>
              <w:t>nding CHM in parentheses:</w:t>
            </w:r>
          </w:p>
          <w:p w:rsidR="000A156F" w:rsidRDefault="000A156F">
            <w:pPr>
              <w:pStyle w:val="TableBodyText"/>
            </w:pPr>
          </w:p>
          <w:p w:rsidR="000A156F" w:rsidRDefault="00A9721F">
            <w:pPr>
              <w:pStyle w:val="TableBodyText"/>
            </w:pPr>
            <w:r>
              <w:t>Shift-Control-Alt-C (0643)</w:t>
            </w:r>
          </w:p>
          <w:p w:rsidR="000A156F" w:rsidRDefault="00A9721F">
            <w:pPr>
              <w:pStyle w:val="TableBodyText"/>
            </w:pPr>
            <w:r>
              <w:t xml:space="preserve">Alt-C (0463) </w:t>
            </w:r>
          </w:p>
          <w:p w:rsidR="000A156F" w:rsidRDefault="00A9721F">
            <w:pPr>
              <w:pStyle w:val="TableBodyText"/>
            </w:pPr>
            <w:r>
              <w:t>Control-K (026B)</w:t>
            </w:r>
          </w:p>
          <w:p w:rsidR="000A156F" w:rsidRDefault="000A156F">
            <w:pPr>
              <w:pStyle w:val="TableBodyText"/>
            </w:pPr>
          </w:p>
          <w:p w:rsidR="000A156F" w:rsidRDefault="00A9721F">
            <w:pPr>
              <w:pStyle w:val="TableBodyText"/>
            </w:pPr>
            <w:r>
              <w:t>end example]</w:t>
            </w:r>
          </w:p>
          <w:p w:rsidR="000A156F" w:rsidRDefault="000A156F">
            <w:pPr>
              <w:pStyle w:val="TableBodyText"/>
            </w:pPr>
          </w:p>
          <w:p w:rsidR="000A156F" w:rsidRDefault="000A156F">
            <w:pPr>
              <w:pStyle w:val="TableBodyText"/>
            </w:pPr>
          </w:p>
          <w:p w:rsidR="000A156F" w:rsidRDefault="00A9721F">
            <w:pPr>
              <w:pStyle w:val="TableBodyText"/>
            </w:pPr>
            <w:r>
              <w:t>The possible values for this attribute are defined by the ST_ShortHexNumber simple type (§</w:t>
            </w:r>
            <w:hyperlink w:anchor="Section_b12e8ea4e85d4b4c94bf98db8427fcaa">
              <w:r>
                <w:rPr>
                  <w:rStyle w:val="Hyperlink"/>
                </w:rPr>
                <w:t>3.</w:t>
              </w:r>
              <w:r>
                <w:rPr>
                  <w:rStyle w:val="Hyperlink"/>
                </w:rPr>
                <w:t>1.2.3.4, ST_ShortHexNumber</w:t>
              </w:r>
            </w:hyperlink>
            <w:r>
              <w:t>).</w:t>
            </w:r>
          </w:p>
        </w:tc>
      </w:tr>
      <w:tr w:rsidR="000A156F" w:rsidTr="000A156F">
        <w:tc>
          <w:tcPr>
            <w:tcW w:w="0" w:type="auto"/>
            <w:vAlign w:val="center"/>
          </w:tcPr>
          <w:p w:rsidR="000A156F" w:rsidRDefault="00A9721F">
            <w:pPr>
              <w:pStyle w:val="TableBodyText"/>
            </w:pPr>
            <w:r>
              <w:rPr>
                <w:b/>
              </w:rPr>
              <w:t>chmSecondary</w:t>
            </w:r>
            <w:r>
              <w:t xml:space="preserve"> (Keyboard Shortcut Secondary Character Code)</w:t>
            </w:r>
          </w:p>
        </w:tc>
        <w:tc>
          <w:tcPr>
            <w:tcW w:w="0" w:type="auto"/>
            <w:vAlign w:val="center"/>
          </w:tcPr>
          <w:p w:rsidR="000A156F" w:rsidRDefault="00A9721F">
            <w:pPr>
              <w:pStyle w:val="TableBodyText"/>
            </w:pPr>
            <w:r>
              <w:t xml:space="preserve">Specifies the second CHM key combination in the sequence. </w:t>
            </w:r>
          </w:p>
          <w:p w:rsidR="000A156F" w:rsidRDefault="000A156F">
            <w:pPr>
              <w:pStyle w:val="TableBodyText"/>
            </w:pPr>
          </w:p>
          <w:p w:rsidR="000A156F" w:rsidRDefault="00A9721F">
            <w:pPr>
              <w:pStyle w:val="TableBodyText"/>
            </w:pPr>
            <w:r>
              <w:t xml:space="preserve">The CHM value here is defined the same as for </w:t>
            </w:r>
            <w:r>
              <w:rPr>
                <w:b/>
              </w:rPr>
              <w:t>chmPrimary</w:t>
            </w:r>
            <w:r>
              <w:t>.</w:t>
            </w:r>
          </w:p>
          <w:p w:rsidR="000A156F" w:rsidRDefault="000A156F">
            <w:pPr>
              <w:pStyle w:val="TableBodyText"/>
            </w:pPr>
          </w:p>
          <w:p w:rsidR="000A156F" w:rsidRDefault="00A9721F">
            <w:pPr>
              <w:pStyle w:val="TableBodyText"/>
            </w:pPr>
            <w:r>
              <w:t xml:space="preserve">The possible values for this attribute are </w:t>
            </w:r>
            <w:r>
              <w:t>defined by the ST_ShortHexNumber simple type (§3.1.2.3.4, ST_ShortHexNumber).</w:t>
            </w:r>
          </w:p>
        </w:tc>
      </w:tr>
      <w:tr w:rsidR="000A156F" w:rsidTr="000A156F">
        <w:tc>
          <w:tcPr>
            <w:tcW w:w="0" w:type="auto"/>
            <w:vAlign w:val="center"/>
          </w:tcPr>
          <w:p w:rsidR="000A156F" w:rsidRDefault="00A9721F">
            <w:pPr>
              <w:pStyle w:val="TableBodyText"/>
            </w:pPr>
            <w:r>
              <w:rPr>
                <w:b/>
              </w:rPr>
              <w:t>kcmPrimary</w:t>
            </w:r>
            <w:r>
              <w:t xml:space="preserve"> (Primary keycode with modifier)</w:t>
            </w:r>
          </w:p>
        </w:tc>
        <w:tc>
          <w:tcPr>
            <w:tcW w:w="0" w:type="auto"/>
            <w:vAlign w:val="center"/>
          </w:tcPr>
          <w:p w:rsidR="000A156F" w:rsidRDefault="00A9721F">
            <w:pPr>
              <w:pStyle w:val="TableBodyText"/>
            </w:pPr>
            <w:r>
              <w:t>Specifies the first key combination in the sequence.</w:t>
            </w:r>
          </w:p>
          <w:p w:rsidR="000A156F" w:rsidRDefault="000A156F">
            <w:pPr>
              <w:pStyle w:val="TableBodyText"/>
            </w:pPr>
          </w:p>
          <w:p w:rsidR="000A156F" w:rsidRDefault="00A9721F">
            <w:pPr>
              <w:pStyle w:val="TableBodyText"/>
            </w:pPr>
            <w:r>
              <w:lastRenderedPageBreak/>
              <w:t>The left byte contains modifiers described in keymap (§3.1.2.1.1.8, keymap), and</w:t>
            </w:r>
            <w:r>
              <w:t xml:space="preserve"> the right byte specifies the standard Windows virtual key code of this key combination.</w:t>
            </w:r>
          </w:p>
          <w:p w:rsidR="000A156F" w:rsidRDefault="000A156F">
            <w:pPr>
              <w:pStyle w:val="TableBodyText"/>
            </w:pPr>
          </w:p>
          <w:p w:rsidR="000A156F" w:rsidRDefault="00A9721F">
            <w:pPr>
              <w:pStyle w:val="TableBodyText"/>
            </w:pPr>
            <w:r>
              <w:t>[Example: Consider this list of example key combinations and their corresponding KCM in parentheses:</w:t>
            </w:r>
          </w:p>
          <w:p w:rsidR="000A156F" w:rsidRDefault="000A156F">
            <w:pPr>
              <w:pStyle w:val="TableBodyText"/>
            </w:pPr>
          </w:p>
          <w:p w:rsidR="000A156F" w:rsidRDefault="00A9721F">
            <w:pPr>
              <w:pStyle w:val="TableBodyText"/>
            </w:pPr>
            <w:r>
              <w:t>Shift-Control-Alt-C (0743)</w:t>
            </w:r>
          </w:p>
          <w:p w:rsidR="000A156F" w:rsidRDefault="00A9721F">
            <w:pPr>
              <w:pStyle w:val="TableBodyText"/>
            </w:pPr>
            <w:r>
              <w:t>Alt-F9 (0478)</w:t>
            </w:r>
          </w:p>
          <w:p w:rsidR="000A156F" w:rsidRDefault="00A9721F">
            <w:pPr>
              <w:pStyle w:val="TableBodyText"/>
            </w:pPr>
            <w:r>
              <w:t>Control-K (024B)</w:t>
            </w:r>
          </w:p>
          <w:p w:rsidR="000A156F" w:rsidRDefault="000A156F">
            <w:pPr>
              <w:pStyle w:val="TableBodyText"/>
            </w:pPr>
          </w:p>
          <w:p w:rsidR="000A156F" w:rsidRDefault="00A9721F">
            <w:pPr>
              <w:pStyle w:val="TableBodyText"/>
            </w:pPr>
            <w:r>
              <w:t>end e</w:t>
            </w:r>
            <w:r>
              <w:t>xample]</w:t>
            </w:r>
          </w:p>
          <w:p w:rsidR="000A156F" w:rsidRDefault="000A156F">
            <w:pPr>
              <w:pStyle w:val="TableBodyText"/>
            </w:pPr>
          </w:p>
          <w:p w:rsidR="000A156F" w:rsidRDefault="000A156F">
            <w:pPr>
              <w:pStyle w:val="TableBodyText"/>
            </w:pPr>
          </w:p>
          <w:p w:rsidR="000A156F" w:rsidRDefault="00A9721F">
            <w:pPr>
              <w:pStyle w:val="TableBodyText"/>
            </w:pPr>
            <w:r>
              <w:t>The possible values for this attribute are defined by the ST_ShortHexNumber simple type (§3.1.2.3.4, ST_ShortHexNumber).</w:t>
            </w:r>
          </w:p>
        </w:tc>
      </w:tr>
      <w:tr w:rsidR="000A156F" w:rsidTr="000A156F">
        <w:tc>
          <w:tcPr>
            <w:tcW w:w="0" w:type="auto"/>
            <w:vAlign w:val="center"/>
          </w:tcPr>
          <w:p w:rsidR="000A156F" w:rsidRDefault="00A9721F">
            <w:pPr>
              <w:pStyle w:val="TableBodyText"/>
            </w:pPr>
            <w:r>
              <w:rPr>
                <w:b/>
              </w:rPr>
              <w:lastRenderedPageBreak/>
              <w:t>kcmSecondary</w:t>
            </w:r>
            <w:r>
              <w:t xml:space="preserve"> (Secondary keycode with modifier)</w:t>
            </w:r>
          </w:p>
        </w:tc>
        <w:tc>
          <w:tcPr>
            <w:tcW w:w="0" w:type="auto"/>
            <w:vAlign w:val="center"/>
          </w:tcPr>
          <w:p w:rsidR="000A156F" w:rsidRDefault="00A9721F">
            <w:pPr>
              <w:pStyle w:val="TableBodyText"/>
            </w:pPr>
            <w:r>
              <w:t>Specifies the second key combination in the sequence.</w:t>
            </w:r>
          </w:p>
          <w:p w:rsidR="000A156F" w:rsidRDefault="000A156F">
            <w:pPr>
              <w:pStyle w:val="TableBodyText"/>
            </w:pPr>
          </w:p>
          <w:p w:rsidR="000A156F" w:rsidRDefault="00A9721F">
            <w:pPr>
              <w:pStyle w:val="TableBodyText"/>
            </w:pPr>
            <w:r>
              <w:t xml:space="preserve">The KCM value here is defined the same as for </w:t>
            </w:r>
            <w:r>
              <w:rPr>
                <w:b/>
              </w:rPr>
              <w:t>kcmPrimary</w:t>
            </w:r>
            <w:r>
              <w:t>.</w:t>
            </w:r>
          </w:p>
          <w:p w:rsidR="000A156F" w:rsidRDefault="000A156F">
            <w:pPr>
              <w:pStyle w:val="TableBodyText"/>
            </w:pPr>
          </w:p>
          <w:p w:rsidR="000A156F" w:rsidRDefault="00A9721F">
            <w:pPr>
              <w:pStyle w:val="TableBodyText"/>
            </w:pPr>
            <w:r>
              <w:t>The possible values for this attribute are defined by the ST_ShortHexNumber simple type (§3.1.2.3.4, ST_ShortHexNumber).</w:t>
            </w:r>
          </w:p>
        </w:tc>
      </w:tr>
      <w:tr w:rsidR="000A156F" w:rsidTr="000A156F">
        <w:tc>
          <w:tcPr>
            <w:tcW w:w="0" w:type="auto"/>
            <w:vAlign w:val="center"/>
          </w:tcPr>
          <w:p w:rsidR="000A156F" w:rsidRDefault="00A9721F">
            <w:pPr>
              <w:pStyle w:val="TableBodyText"/>
            </w:pPr>
            <w:r>
              <w:rPr>
                <w:b/>
              </w:rPr>
              <w:t>mask</w:t>
            </w:r>
            <w:r>
              <w:t xml:space="preserve"> (Built-in Command Masking Flag)</w:t>
            </w:r>
          </w:p>
        </w:tc>
        <w:tc>
          <w:tcPr>
            <w:tcW w:w="0" w:type="auto"/>
            <w:vAlign w:val="center"/>
          </w:tcPr>
          <w:p w:rsidR="000A156F" w:rsidRDefault="00A9721F">
            <w:pPr>
              <w:pStyle w:val="TableBodyText"/>
            </w:pPr>
            <w:r>
              <w:t>If this Boolean attribute is set to an</w:t>
            </w:r>
            <w:r>
              <w:t xml:space="preserve"> on value, the specified built-in key mapping will be masked out. In such a case, any child element specified shall be ignored because the masking of a key mapping does not involve specifying either a replacement action or the action being blocked.  If thi</w:t>
            </w:r>
            <w:r>
              <w:t>s attribute is omitted or given an off value, a child element must be specified or the key map will be ignored.</w:t>
            </w:r>
          </w:p>
          <w:p w:rsidR="000A156F" w:rsidRDefault="000A156F">
            <w:pPr>
              <w:pStyle w:val="TableBodyText"/>
            </w:pPr>
          </w:p>
          <w:p w:rsidR="000A156F" w:rsidRDefault="00A9721F">
            <w:pPr>
              <w:pStyle w:val="TableBodyText"/>
            </w:pPr>
            <w:r>
              <w:t>[Example: Consider the case where Control-B (the built-in key mapping for the Bold fixed command) has been masked:</w:t>
            </w:r>
          </w:p>
          <w:p w:rsidR="000A156F" w:rsidRDefault="000A156F">
            <w:pPr>
              <w:pStyle w:val="TableBodyText"/>
            </w:pPr>
          </w:p>
          <w:p w:rsidR="000A156F" w:rsidRDefault="00A9721F">
            <w:pPr>
              <w:pStyle w:val="Code"/>
            </w:pPr>
            <w:r>
              <w:t xml:space="preserve">    &lt;wne:keymaps&gt;</w:t>
            </w:r>
          </w:p>
          <w:p w:rsidR="000A156F" w:rsidRDefault="00A9721F">
            <w:pPr>
              <w:pStyle w:val="Code"/>
            </w:pPr>
            <w:r>
              <w:t xml:space="preserve">        &lt;</w:t>
            </w:r>
            <w:r>
              <w:t>wne:keymap wne:mask="1" wne:kcmPrimary="0242"/&gt;</w:t>
            </w:r>
          </w:p>
          <w:p w:rsidR="000A156F" w:rsidRDefault="00A9721F">
            <w:pPr>
              <w:pStyle w:val="Code"/>
            </w:pPr>
            <w:r>
              <w:t xml:space="preserve">    &lt;/wne:keymaps&gt;</w:t>
            </w:r>
          </w:p>
          <w:p w:rsidR="000A156F" w:rsidRDefault="000A156F">
            <w:pPr>
              <w:pStyle w:val="TableBodyText"/>
            </w:pPr>
          </w:p>
          <w:p w:rsidR="000A156F" w:rsidRDefault="00A9721F">
            <w:pPr>
              <w:pStyle w:val="TableBodyText"/>
            </w:pPr>
            <w:r>
              <w:t>KCM 0242 has been masked or blocked from its built-in behavior.  The effect is that pressing Control-B will no longer execute the built-in command (in this case bold). end example]</w:t>
            </w:r>
          </w:p>
          <w:p w:rsidR="000A156F" w:rsidRDefault="000A156F">
            <w:pPr>
              <w:pStyle w:val="TableBodyText"/>
            </w:pPr>
          </w:p>
          <w:p w:rsidR="000A156F" w:rsidRDefault="000A156F">
            <w:pPr>
              <w:pStyle w:val="TableBodyText"/>
            </w:pPr>
          </w:p>
          <w:p w:rsidR="000A156F" w:rsidRDefault="00A9721F">
            <w:pPr>
              <w:pStyle w:val="TableBodyText"/>
            </w:pPr>
            <w:r>
              <w:t>The p</w:t>
            </w:r>
            <w:r>
              <w:t>ossible values for this attribute are defined by the ST_OnOff simple type (§</w:t>
            </w:r>
            <w:hyperlink w:anchor="Section_815fcc39dc6c44f8ad2787b1d9f21571">
              <w:r>
                <w:rPr>
                  <w:rStyle w:val="Hyperlink"/>
                </w:rPr>
                <w:t>3.1.2.3.3, ST_OnOff</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 xml:space="preserve">&lt;complexType </w:t>
      </w:r>
      <w:r>
        <w:t>name="CT_Keymap"&gt;</w:t>
      </w:r>
    </w:p>
    <w:p w:rsidR="000A156F" w:rsidRDefault="00A9721F">
      <w:pPr>
        <w:pStyle w:val="Code"/>
      </w:pPr>
      <w:r>
        <w:t xml:space="preserve">  &lt;choice minOccurs="0" maxOccurs="1"&gt;</w:t>
      </w:r>
    </w:p>
    <w:p w:rsidR="000A156F" w:rsidRDefault="00A9721F">
      <w:pPr>
        <w:pStyle w:val="Code"/>
      </w:pPr>
      <w:r>
        <w:t xml:space="preserve">    &lt;element name="fci" type="CT_Fci"/&gt;</w:t>
      </w:r>
    </w:p>
    <w:p w:rsidR="000A156F" w:rsidRDefault="00A9721F">
      <w:pPr>
        <w:pStyle w:val="Code"/>
      </w:pPr>
      <w:r>
        <w:t xml:space="preserve">    &lt;element name="macro" type="CT_MacroWll"/&gt;</w:t>
      </w:r>
    </w:p>
    <w:p w:rsidR="000A156F" w:rsidRDefault="00A9721F">
      <w:pPr>
        <w:pStyle w:val="Code"/>
      </w:pPr>
      <w:r>
        <w:lastRenderedPageBreak/>
        <w:t xml:space="preserve">    &lt;element name="acd" type="CT_AcdKeymap"/&gt;</w:t>
      </w:r>
    </w:p>
    <w:p w:rsidR="000A156F" w:rsidRDefault="00A9721F">
      <w:pPr>
        <w:pStyle w:val="Code"/>
      </w:pPr>
      <w:r>
        <w:t xml:space="preserve">    &lt;element name="wll" type="CT_MacroWll"/&gt;</w:t>
      </w:r>
    </w:p>
    <w:p w:rsidR="000A156F" w:rsidRDefault="00A9721F">
      <w:pPr>
        <w:pStyle w:val="Code"/>
      </w:pPr>
      <w:r>
        <w:t xml:space="preserve">    &lt;element name="wc</w:t>
      </w:r>
      <w:r>
        <w:t>h" type="CT_LongHexNumber"/&gt;</w:t>
      </w:r>
    </w:p>
    <w:p w:rsidR="000A156F" w:rsidRDefault="00A9721F">
      <w:pPr>
        <w:pStyle w:val="Code"/>
      </w:pPr>
      <w:r>
        <w:t xml:space="preserve">  &lt;/choice&gt;</w:t>
      </w:r>
    </w:p>
    <w:p w:rsidR="000A156F" w:rsidRDefault="00A9721F">
      <w:pPr>
        <w:pStyle w:val="Code"/>
      </w:pPr>
      <w:r>
        <w:t xml:space="preserve">  &lt;attribute name="chmPrimary" type="ST_ShortHexNumber"/&gt;</w:t>
      </w:r>
    </w:p>
    <w:p w:rsidR="000A156F" w:rsidRDefault="00A9721F">
      <w:pPr>
        <w:pStyle w:val="Code"/>
      </w:pPr>
      <w:r>
        <w:t xml:space="preserve">  &lt;attribute name="chmSecondary" type="ST_ShortHexNumber"/&gt;</w:t>
      </w:r>
    </w:p>
    <w:p w:rsidR="000A156F" w:rsidRDefault="00A9721F">
      <w:pPr>
        <w:pStyle w:val="Code"/>
      </w:pPr>
      <w:r>
        <w:t xml:space="preserve">  &lt;attribute name="kcmPrimary" type="ST_ShortHexNumber"/&gt;</w:t>
      </w:r>
    </w:p>
    <w:p w:rsidR="000A156F" w:rsidRDefault="00A9721F">
      <w:pPr>
        <w:pStyle w:val="Code"/>
      </w:pPr>
      <w:r>
        <w:t xml:space="preserve">  &lt;attribute name="kcmSecondary" type="</w:t>
      </w:r>
      <w:r>
        <w:t>ST_ShortHexNumber"/&gt;</w:t>
      </w:r>
    </w:p>
    <w:p w:rsidR="000A156F" w:rsidRDefault="00A9721F">
      <w:pPr>
        <w:pStyle w:val="Code"/>
      </w:pPr>
      <w:r>
        <w:t xml:space="preserve">  &lt;attribute name="mask" type="ST_OnOff"/&gt;</w:t>
      </w:r>
    </w:p>
    <w:p w:rsidR="000A156F" w:rsidRDefault="00A9721F">
      <w:pPr>
        <w:pStyle w:val="Code"/>
      </w:pPr>
      <w:r>
        <w:t>&lt;/complexType&gt;</w:t>
      </w:r>
    </w:p>
    <w:p w:rsidR="000A156F" w:rsidRDefault="00A9721F">
      <w:pPr>
        <w:pStyle w:val="Heading6"/>
      </w:pPr>
      <w:bookmarkStart w:id="3845" w:name="section_3e58e134a06a484aa45fd1bf83668891"/>
      <w:bookmarkStart w:id="3846" w:name="_Toc181684948"/>
      <w:r>
        <w:t>keymaps (Key Map Customizations)</w:t>
      </w:r>
      <w:bookmarkEnd w:id="3845"/>
      <w:bookmarkEnd w:id="3846"/>
      <w:r>
        <w:fldChar w:fldCharType="begin"/>
      </w:r>
      <w:r>
        <w:instrText xml:space="preserve"> XE "keymaps (Key Map Customizations)" </w:instrText>
      </w:r>
      <w:r>
        <w:fldChar w:fldCharType="end"/>
      </w:r>
    </w:p>
    <w:p w:rsidR="000A156F" w:rsidRDefault="00A9721F">
      <w:r>
        <w:t xml:space="preserve">This element serves as a container for individual </w:t>
      </w:r>
      <w:r>
        <w:rPr>
          <w:b/>
        </w:rPr>
        <w:t>key map</w:t>
      </w:r>
      <w:r>
        <w:t xml:space="preserve"> customization entries that can be described o</w:t>
      </w:r>
      <w:r>
        <w:t>n the current keyboard. See keymapsBad (§</w:t>
      </w:r>
      <w:hyperlink w:anchor="Section_c29a6b7a6315489f855aa807e12b712d">
        <w:r>
          <w:rPr>
            <w:rStyle w:val="Hyperlink"/>
          </w:rPr>
          <w:t>3.1.2.1.1.10, keymapsBad</w:t>
        </w:r>
      </w:hyperlink>
      <w:r>
        <w:t>) for more information on key map entries that cannot be described on the current keyboard.</w:t>
      </w:r>
    </w:p>
    <w:p w:rsidR="000A156F" w:rsidRDefault="00A9721F">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moved between these two parent elements depending on the current keyboard. Moreover, either type </w:t>
      </w:r>
      <w:r>
        <w:t>of key map may be validly defined under either element, but upon resaving each will be moved under the correct element.</w:t>
      </w:r>
    </w:p>
    <w:p w:rsidR="000A156F" w:rsidRDefault="00A9721F">
      <w:r>
        <w:t>If a conflict occurs between a KCM and CHM for a given key mapping, then the KCM will be used. Upon writing a file, Word will also add a</w:t>
      </w:r>
      <w:r>
        <w:t xml:space="preserve"> valid KCM attribute for any key map entries that have specified a CHM.</w:t>
      </w:r>
    </w:p>
    <w:p w:rsidR="000A156F" w:rsidRDefault="00A9721F">
      <w:r>
        <w:t>[Example: Consider the following key mapping fragment:</w:t>
      </w:r>
    </w:p>
    <w:p w:rsidR="000A156F" w:rsidRDefault="00A9721F">
      <w:pPr>
        <w:pStyle w:val="Code"/>
      </w:pPr>
      <w:r>
        <w:t xml:space="preserve">  &lt;wne:keymaps&gt;</w:t>
      </w:r>
    </w:p>
    <w:p w:rsidR="000A156F" w:rsidRDefault="00A9721F">
      <w:pPr>
        <w:pStyle w:val="Code"/>
      </w:pPr>
      <w:r>
        <w:t xml:space="preserve">     &lt;wne:keymap wne:kcmPrimary="0342"&gt;</w:t>
      </w:r>
    </w:p>
    <w:p w:rsidR="000A156F" w:rsidRDefault="00A9721F">
      <w:pPr>
        <w:pStyle w:val="Code"/>
      </w:pPr>
      <w:r>
        <w:t xml:space="preserve">        &lt;wne:fci wne:fciName="Bold" /&gt;</w:t>
      </w:r>
    </w:p>
    <w:p w:rsidR="000A156F" w:rsidRDefault="00A9721F">
      <w:pPr>
        <w:pStyle w:val="Code"/>
      </w:pPr>
      <w:r>
        <w:t xml:space="preserve">     &lt;/wne:keymap&gt;</w:t>
      </w:r>
    </w:p>
    <w:p w:rsidR="000A156F" w:rsidRDefault="00A9721F">
      <w:pPr>
        <w:pStyle w:val="Code"/>
      </w:pPr>
      <w:r>
        <w:t xml:space="preserve">     &lt;wne:keyma</w:t>
      </w:r>
      <w:r>
        <w:t>p wne:kcmPrimary="0237"&gt;</w:t>
      </w:r>
    </w:p>
    <w:p w:rsidR="000A156F" w:rsidRDefault="00A9721F">
      <w:pPr>
        <w:pStyle w:val="Code"/>
      </w:pPr>
      <w:r>
        <w:t xml:space="preserve">        &lt;wne:wch wne:val="000020AC" /&gt;</w:t>
      </w:r>
    </w:p>
    <w:p w:rsidR="000A156F" w:rsidRDefault="00A9721F">
      <w:pPr>
        <w:pStyle w:val="Code"/>
      </w:pPr>
      <w:r>
        <w:t xml:space="preserve">     &lt;/wne:keymap&gt;</w:t>
      </w:r>
    </w:p>
    <w:p w:rsidR="000A156F" w:rsidRDefault="00A9721F">
      <w:pPr>
        <w:pStyle w:val="Code"/>
      </w:pPr>
      <w:r>
        <w:t xml:space="preserve">  &lt;/wne:keymaps&gt;</w:t>
      </w:r>
    </w:p>
    <w:p w:rsidR="000A156F" w:rsidRDefault="00A9721F">
      <w:r>
        <w:t>In this example, the fragment specifies two key maps. The first will make the selected text bold when the key combination Control-Shift-B is pressed. The se</w:t>
      </w:r>
      <w:r>
        <w:t>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tcg</w:t>
            </w:r>
            <w:r>
              <w:t xml:space="preserve"> (§</w:t>
            </w:r>
            <w:hyperlink w:anchor="Section_611795947ec745d68a2df9ece7863986">
              <w:r>
                <w:rPr>
                  <w:rStyle w:val="Hyperlink"/>
                </w:rPr>
                <w:t>3.1.2.1.1.12, tcg</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2310"/>
        <w:gridCol w:w="198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keymap</w:t>
            </w:r>
            <w:r>
              <w:t xml:space="preserve"> (Key Map Entry)</w:t>
            </w:r>
          </w:p>
        </w:tc>
        <w:tc>
          <w:tcPr>
            <w:tcW w:w="0" w:type="auto"/>
            <w:vAlign w:val="center"/>
          </w:tcPr>
          <w:p w:rsidR="000A156F" w:rsidRDefault="00A9721F">
            <w:pPr>
              <w:pStyle w:val="TableBodyText"/>
            </w:pPr>
            <w:r>
              <w:t>§</w:t>
            </w:r>
            <w:hyperlink w:anchor="Section_d44dbd45cbbb4efba0903a85141d00fc">
              <w:r>
                <w:rPr>
                  <w:rStyle w:val="Hyperlink"/>
                </w:rPr>
                <w:t>3.1.2.1.1.8, keymap</w:t>
              </w:r>
            </w:hyperlink>
          </w:p>
        </w:tc>
      </w:tr>
    </w:tbl>
    <w:p w:rsidR="000A156F" w:rsidRDefault="000A156F"/>
    <w:p w:rsidR="000A156F" w:rsidRDefault="00A9721F">
      <w:r>
        <w:t>The following XML Schema fragment defines the contents of this element:</w:t>
      </w:r>
    </w:p>
    <w:p w:rsidR="000A156F" w:rsidRDefault="00A9721F">
      <w:pPr>
        <w:pStyle w:val="Code"/>
      </w:pPr>
      <w:r>
        <w:lastRenderedPageBreak/>
        <w:t>&lt;complexType name="CT_Keymaps"&gt;</w:t>
      </w:r>
    </w:p>
    <w:p w:rsidR="000A156F" w:rsidRDefault="00A9721F">
      <w:pPr>
        <w:pStyle w:val="Code"/>
      </w:pPr>
      <w:r>
        <w:t xml:space="preserve">  &lt;sequence&gt;</w:t>
      </w:r>
    </w:p>
    <w:p w:rsidR="000A156F" w:rsidRDefault="00A9721F">
      <w:pPr>
        <w:pStyle w:val="Code"/>
      </w:pPr>
      <w:r>
        <w:t xml:space="preserve">    &lt;</w:t>
      </w:r>
      <w:r>
        <w:t>element name="keymap" type="CT_Keymap" minOccurs="1" maxOccurs="unbounded"/&gt;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3847" w:name="section_c29a6b7a6315489f855aa807e12b712d"/>
      <w:bookmarkStart w:id="3848" w:name="_Toc181684949"/>
      <w:r>
        <w:t>keymapsBad (Key Map Customizations for Mismatched Keyboards)</w:t>
      </w:r>
      <w:bookmarkEnd w:id="3847"/>
      <w:bookmarkEnd w:id="3848"/>
      <w:r>
        <w:fldChar w:fldCharType="begin"/>
      </w:r>
      <w:r>
        <w:instrText xml:space="preserve"> XE "keymapsBad (Key Map Customizations for Mismatched Keyboards)" </w:instrText>
      </w:r>
      <w:r>
        <w:fldChar w:fldCharType="end"/>
      </w:r>
    </w:p>
    <w:p w:rsidR="000A156F" w:rsidRDefault="00A9721F">
      <w:r>
        <w:t xml:space="preserve">This element serves </w:t>
      </w:r>
      <w:r>
        <w:t xml:space="preserve">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for more information about ke</w:t>
      </w:r>
      <w:r>
        <w:t xml:space="preserve">y maps that can be described on the current keyboard. </w:t>
      </w:r>
    </w:p>
    <w:p w:rsidR="000A156F" w:rsidRDefault="00A9721F">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moved </w:t>
      </w:r>
      <w:r>
        <w:t>between these two parent elements depending on the current keyboard. Moreover, either type of key map may be validly defined under either element, but upon resaving each will be moved under the correct element.</w:t>
      </w:r>
    </w:p>
    <w:p w:rsidR="000A156F" w:rsidRDefault="00A9721F">
      <w:r>
        <w:t>The key combinations for key maps placed unde</w:t>
      </w:r>
      <w:r>
        <w:t xml:space="preserve">r the </w:t>
      </w:r>
      <w:r>
        <w:rPr>
          <w:b/>
        </w:rPr>
        <w:t>keymapsBad</w:t>
      </w:r>
      <w:r>
        <w:t xml:space="preserve"> element cannot be executed by Word. Key maps placed under the </w:t>
      </w:r>
      <w:r>
        <w:rPr>
          <w:b/>
        </w:rPr>
        <w:t>keymapsBad</w:t>
      </w:r>
      <w:r>
        <w:t xml:space="preserve"> element are not removed from the file, because they can become operational again when the document is opened on a computer where the specified characters are present </w:t>
      </w:r>
      <w:r>
        <w:t>on the current keyboard.</w:t>
      </w:r>
    </w:p>
    <w:p w:rsidR="000A156F" w:rsidRDefault="00A9721F">
      <w:r>
        <w:t>Because of their nature, CHM attributes will not be converted to KCM attributes if no such conversion is possible on the current keyboard.</w:t>
      </w:r>
    </w:p>
    <w:p w:rsidR="000A156F" w:rsidRDefault="00A9721F">
      <w:r>
        <w:t>[Example: Consider the following key mapping fragment:</w:t>
      </w:r>
    </w:p>
    <w:p w:rsidR="000A156F" w:rsidRDefault="00A9721F">
      <w:pPr>
        <w:pStyle w:val="Code"/>
      </w:pPr>
      <w:r>
        <w:t xml:space="preserve">    &lt;wne:keymapsBad&gt;</w:t>
      </w:r>
    </w:p>
    <w:p w:rsidR="000A156F" w:rsidRDefault="00A9721F">
      <w:pPr>
        <w:pStyle w:val="Code"/>
      </w:pPr>
      <w:r>
        <w:t xml:space="preserve">        &lt;wne:key</w:t>
      </w:r>
      <w:r>
        <w:t>map wne:chmPrimary="06DF"&gt;</w:t>
      </w:r>
    </w:p>
    <w:p w:rsidR="000A156F" w:rsidRDefault="00A9721F">
      <w:pPr>
        <w:pStyle w:val="Code"/>
      </w:pPr>
      <w:r>
        <w:t xml:space="preserve">            &lt;wne:fci wne:fciName="Bold" wne:swArg="0000"/&gt;</w:t>
      </w:r>
    </w:p>
    <w:p w:rsidR="000A156F" w:rsidRDefault="00A9721F">
      <w:pPr>
        <w:pStyle w:val="Code"/>
      </w:pPr>
      <w:r>
        <w:t xml:space="preserve">        &lt;/wne:keymap&gt;</w:t>
      </w:r>
    </w:p>
    <w:p w:rsidR="000A156F" w:rsidRDefault="00A9721F">
      <w:pPr>
        <w:pStyle w:val="Code"/>
      </w:pPr>
      <w:r>
        <w:t xml:space="preserve">    &lt;/wne:keymapsBad&gt;</w:t>
      </w:r>
    </w:p>
    <w:p w:rsidR="000A156F" w:rsidRDefault="00A9721F">
      <w:r>
        <w:t>In this example, the fragment specifies a single key map that executes the Bold fixed command when Control-Alt-ß is pressed. B</w:t>
      </w:r>
      <w:r>
        <w:t xml:space="preserve">ecause this character is typically only available on German-language keyboards, the key mapping will be under the </w:t>
      </w:r>
      <w:r>
        <w:rPr>
          <w:b/>
        </w:rPr>
        <w:t>keymapsBad</w:t>
      </w:r>
      <w:r>
        <w:t xml:space="preserve"> element on non-German-language keyboards.   end example]</w:t>
      </w:r>
    </w:p>
    <w:tbl>
      <w:tblPr>
        <w:tblStyle w:val="Table-ShadedHeader"/>
        <w:tblW w:w="0" w:type="auto"/>
        <w:tblLook w:val="04A0" w:firstRow="1" w:lastRow="0" w:firstColumn="1" w:lastColumn="0" w:noHBand="0" w:noVBand="1"/>
      </w:tblPr>
      <w:tblGrid>
        <w:gridCol w:w="217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tcg</w:t>
            </w:r>
            <w:r>
              <w:t xml:space="preserve"> (§</w:t>
            </w:r>
            <w:hyperlink w:anchor="Section_611795947ec745d68a2df9ece7863986">
              <w:r>
                <w:rPr>
                  <w:rStyle w:val="Hyperlink"/>
                </w:rPr>
                <w:t>3.1.2.1.1.12, tcg</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2310"/>
        <w:gridCol w:w="198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keymap</w:t>
            </w:r>
            <w:r>
              <w:t xml:space="preserve"> (Key Map Entry)</w:t>
            </w:r>
          </w:p>
        </w:tc>
        <w:tc>
          <w:tcPr>
            <w:tcW w:w="0" w:type="auto"/>
            <w:vAlign w:val="center"/>
          </w:tcPr>
          <w:p w:rsidR="000A156F" w:rsidRDefault="00A9721F">
            <w:pPr>
              <w:pStyle w:val="TableBodyText"/>
            </w:pPr>
            <w:r>
              <w:t>§</w:t>
            </w:r>
            <w:hyperlink w:anchor="Section_d44dbd45cbbb4efba0903a85141d00fc">
              <w:r>
                <w:rPr>
                  <w:rStyle w:val="Hyperlink"/>
                </w:rPr>
                <w:t>3.1.2.1.1.8, keymap</w:t>
              </w:r>
            </w:hyperlink>
          </w:p>
        </w:tc>
      </w:tr>
    </w:tbl>
    <w:p w:rsidR="000A156F" w:rsidRDefault="000A156F"/>
    <w:p w:rsidR="000A156F" w:rsidRDefault="00A9721F">
      <w:r>
        <w:t xml:space="preserve">The following XML Schema fragment </w:t>
      </w:r>
      <w:r>
        <w:t>defines the contents of this element:</w:t>
      </w:r>
    </w:p>
    <w:p w:rsidR="000A156F" w:rsidRDefault="00A9721F">
      <w:pPr>
        <w:pStyle w:val="Code"/>
      </w:pPr>
      <w:r>
        <w:t>&lt;complexType name="CT_Keymaps"&gt;</w:t>
      </w:r>
    </w:p>
    <w:p w:rsidR="000A156F" w:rsidRDefault="00A9721F">
      <w:pPr>
        <w:pStyle w:val="Code"/>
      </w:pPr>
      <w:r>
        <w:t xml:space="preserve">  &lt;sequence&gt;</w:t>
      </w:r>
    </w:p>
    <w:p w:rsidR="000A156F" w:rsidRDefault="00A9721F">
      <w:pPr>
        <w:pStyle w:val="Code"/>
      </w:pPr>
      <w:r>
        <w:t xml:space="preserve">    &lt;element name="keymap" type="CT_Keymap" minOccurs="1" maxOccurs="unbounded"/&gt;</w:t>
      </w:r>
    </w:p>
    <w:p w:rsidR="000A156F" w:rsidRDefault="00A9721F">
      <w:pPr>
        <w:pStyle w:val="Code"/>
      </w:pPr>
      <w:r>
        <w:lastRenderedPageBreak/>
        <w:t xml:space="preserve">  &lt;/sequence&gt;</w:t>
      </w:r>
    </w:p>
    <w:p w:rsidR="000A156F" w:rsidRDefault="00A9721F">
      <w:pPr>
        <w:pStyle w:val="Code"/>
      </w:pPr>
      <w:r>
        <w:t>&lt;/complexType&gt;</w:t>
      </w:r>
    </w:p>
    <w:p w:rsidR="000A156F" w:rsidRDefault="00A9721F">
      <w:pPr>
        <w:pStyle w:val="Heading6"/>
      </w:pPr>
      <w:bookmarkStart w:id="3849" w:name="section_0ab7a8b6842d4bda8c7262ac9dd16b0d"/>
      <w:bookmarkStart w:id="3850" w:name="_Toc181684950"/>
      <w:r>
        <w:t>macro (Macro Keyboard Customization Action)</w:t>
      </w:r>
      <w:bookmarkEnd w:id="3849"/>
      <w:bookmarkEnd w:id="3850"/>
      <w:r>
        <w:fldChar w:fldCharType="begin"/>
      </w:r>
      <w:r>
        <w:instrText xml:space="preserve"> XE "macro (Macro Keyboard Customization Action)" </w:instrText>
      </w:r>
      <w:r>
        <w:fldChar w:fldCharType="end"/>
      </w:r>
    </w:p>
    <w:p w:rsidR="000A156F" w:rsidRDefault="00A9721F">
      <w:r>
        <w:t>This element specifies that a macro should be executed by the enclosing key map.</w:t>
      </w:r>
    </w:p>
    <w:p w:rsidR="000A156F" w:rsidRDefault="00A9721F">
      <w:r>
        <w:t>[Example: Consider the following key map:</w:t>
      </w:r>
    </w:p>
    <w:p w:rsidR="000A156F" w:rsidRDefault="00A9721F">
      <w:pPr>
        <w:pStyle w:val="Code"/>
      </w:pPr>
      <w:r>
        <w:t xml:space="preserve">  &lt;wne:keymap wne:kcmPrimary="0238"&gt;</w:t>
      </w:r>
    </w:p>
    <w:p w:rsidR="000A156F" w:rsidRDefault="00A9721F">
      <w:pPr>
        <w:pStyle w:val="Code"/>
      </w:pPr>
      <w:r>
        <w:t xml:space="preserve">      &lt;wne:macro wne:macroName="PROJECT.NEW</w:t>
      </w:r>
      <w:r>
        <w:t>MACROS.SOMEMACRO"/&gt;</w:t>
      </w:r>
    </w:p>
    <w:p w:rsidR="000A156F" w:rsidRDefault="00A9721F">
      <w:pPr>
        <w:pStyle w:val="Code"/>
      </w:pPr>
      <w:r>
        <w:t xml:space="preserve">  &lt;/wne:keymap&gt;</w:t>
      </w:r>
    </w:p>
    <w:p w:rsidR="000A156F" w:rsidRDefault="00A9721F">
      <w:r>
        <w:t xml:space="preserve">In this example, the WordprocessingML fragment specifies that pressing 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keymap</w:t>
            </w:r>
            <w:r>
              <w:t xml:space="preserve"> (§</w:t>
            </w:r>
            <w:hyperlink w:anchor="Section_d44dbd45cbbb4efba0903a85141d00fc">
              <w:r>
                <w:rPr>
                  <w:rStyle w:val="Hyperlink"/>
                </w:rPr>
                <w:t>3.1.2.1.1.8, keymap</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2274"/>
        <w:gridCol w:w="720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macroName</w:t>
            </w:r>
            <w:r>
              <w:t xml:space="preserve"> (Macro name)</w:t>
            </w:r>
          </w:p>
        </w:tc>
        <w:tc>
          <w:tcPr>
            <w:tcW w:w="0" w:type="auto"/>
            <w:vAlign w:val="center"/>
          </w:tcPr>
          <w:p w:rsidR="000A156F" w:rsidRDefault="00A9721F">
            <w:pPr>
              <w:pStyle w:val="TableBodyText"/>
            </w:pPr>
            <w:r>
              <w:t>Specifies the name of the macro to run.</w:t>
            </w:r>
          </w:p>
          <w:p w:rsidR="000A156F" w:rsidRDefault="000A156F">
            <w:pPr>
              <w:pStyle w:val="TableBodyText"/>
            </w:pPr>
          </w:p>
          <w:p w:rsidR="000A156F" w:rsidRDefault="00A9721F">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&lt;complexType name="CT_MacroWll"&gt;</w:t>
      </w:r>
    </w:p>
    <w:p w:rsidR="000A156F" w:rsidRDefault="00A9721F">
      <w:pPr>
        <w:pStyle w:val="Code"/>
      </w:pPr>
      <w:r>
        <w:t xml:space="preserve">  &lt;attribute name="macroName" type="ST_String" use="required"/&gt;</w:t>
      </w:r>
    </w:p>
    <w:p w:rsidR="000A156F" w:rsidRDefault="00A9721F">
      <w:pPr>
        <w:pStyle w:val="Code"/>
      </w:pPr>
      <w:r>
        <w:t>&lt;</w:t>
      </w:r>
      <w:r>
        <w:t>/complexType&gt;</w:t>
      </w:r>
    </w:p>
    <w:p w:rsidR="000A156F" w:rsidRDefault="00A9721F">
      <w:pPr>
        <w:pStyle w:val="Heading6"/>
      </w:pPr>
      <w:bookmarkStart w:id="3851" w:name="section_611795947ec745d68a2df9ece7863986"/>
      <w:bookmarkStart w:id="3852" w:name="_Toc181684951"/>
      <w:r>
        <w:t>tcg (Keyboard and Toolbar Customizations)</w:t>
      </w:r>
      <w:bookmarkEnd w:id="3851"/>
      <w:bookmarkEnd w:id="3852"/>
      <w:r>
        <w:fldChar w:fldCharType="begin"/>
      </w:r>
      <w:r>
        <w:instrText xml:space="preserve"> XE "tcg (Keyboard and Toolbar Customizations)" </w:instrText>
      </w:r>
      <w:r>
        <w:fldChar w:fldCharType="end"/>
      </w:r>
    </w:p>
    <w:p w:rsidR="000A156F" w:rsidRDefault="00A9721F">
      <w:r>
        <w:t>This element specifies the document's template command group (TCG), which contains customizations for keyboard shortcuts and toolbars.</w:t>
      </w:r>
    </w:p>
    <w:p w:rsidR="000A156F" w:rsidRDefault="00A9721F">
      <w:r>
        <w:t>[Example: Consi</w:t>
      </w:r>
      <w:r>
        <w:t>der a document with both a toolbar customization and key map customization:</w:t>
      </w:r>
    </w:p>
    <w:p w:rsidR="000A156F" w:rsidRDefault="00A9721F">
      <w:pPr>
        <w:pStyle w:val="Code"/>
      </w:pPr>
      <w:r>
        <w:t>&lt;wne:tcg …&gt;</w:t>
      </w:r>
    </w:p>
    <w:p w:rsidR="000A156F" w:rsidRDefault="00A9721F">
      <w:pPr>
        <w:pStyle w:val="Code"/>
      </w:pPr>
      <w:r>
        <w:t xml:space="preserve">    &lt;wne:keymaps&gt;</w:t>
      </w:r>
    </w:p>
    <w:p w:rsidR="000A156F" w:rsidRDefault="00A9721F">
      <w:pPr>
        <w:pStyle w:val="Code"/>
      </w:pPr>
      <w:r>
        <w:t xml:space="preserve">        &lt;wne:keymap wne:kcmPrimary="0341"&gt;</w:t>
      </w:r>
    </w:p>
    <w:p w:rsidR="000A156F" w:rsidRDefault="00A9721F">
      <w:pPr>
        <w:pStyle w:val="Code"/>
      </w:pPr>
      <w:r>
        <w:t xml:space="preserve">            &lt;wne:fci wne:fciName="CssLinks" wne:swArg="0000"/&gt;</w:t>
      </w:r>
    </w:p>
    <w:p w:rsidR="000A156F" w:rsidRDefault="00A9721F">
      <w:pPr>
        <w:pStyle w:val="Code"/>
      </w:pPr>
      <w:r>
        <w:t xml:space="preserve">        &lt;/wne:keymap&gt;</w:t>
      </w:r>
    </w:p>
    <w:p w:rsidR="000A156F" w:rsidRDefault="00A9721F">
      <w:pPr>
        <w:pStyle w:val="Code"/>
      </w:pPr>
      <w:r>
        <w:t xml:space="preserve">    &lt;/wne:keymaps&gt;</w:t>
      </w:r>
    </w:p>
    <w:p w:rsidR="000A156F" w:rsidRDefault="00A9721F">
      <w:pPr>
        <w:pStyle w:val="Code"/>
      </w:pPr>
      <w:r>
        <w:t xml:space="preserve">   </w:t>
      </w:r>
      <w:r>
        <w:t xml:space="preserve"> &lt;wne:toolbars&gt;</w:t>
      </w:r>
    </w:p>
    <w:p w:rsidR="000A156F" w:rsidRDefault="00A9721F">
      <w:pPr>
        <w:pStyle w:val="Code"/>
      </w:pPr>
      <w:r>
        <w:t xml:space="preserve">        &lt;wne:toolbarData r:id="rId1"/&gt;</w:t>
      </w:r>
    </w:p>
    <w:p w:rsidR="000A156F" w:rsidRDefault="00A9721F">
      <w:pPr>
        <w:pStyle w:val="Code"/>
      </w:pPr>
      <w:r>
        <w:t xml:space="preserve">    &lt;/wne:toolbars&gt;</w:t>
      </w:r>
    </w:p>
    <w:p w:rsidR="000A156F" w:rsidRDefault="00A9721F">
      <w:pPr>
        <w:pStyle w:val="Code"/>
      </w:pPr>
      <w:r>
        <w:t>&lt;/wne:tcg&gt;</w:t>
      </w:r>
    </w:p>
    <w:p w:rsidR="000A156F" w:rsidRDefault="00A9721F">
      <w:r>
        <w:lastRenderedPageBreak/>
        <w:t xml:space="preserve">In this example, the WordprocessingML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acds</w:t>
            </w:r>
            <w:r>
              <w:t xml:space="preserve"> (Allocated Commands)</w:t>
            </w:r>
          </w:p>
        </w:tc>
        <w:tc>
          <w:tcPr>
            <w:tcW w:w="0" w:type="auto"/>
            <w:vAlign w:val="center"/>
          </w:tcPr>
          <w:p w:rsidR="000A156F" w:rsidRDefault="00A9721F">
            <w:pPr>
              <w:pStyle w:val="TableBodyText"/>
            </w:pPr>
            <w:r>
              <w:t>§</w:t>
            </w:r>
            <w:hyperlink w:anchor="Section_83ec8315581b46899d5e9db1d95ec41f">
              <w:r>
                <w:rPr>
                  <w:rStyle w:val="Hyperlink"/>
                </w:rPr>
                <w:t>3.1.2.1.1.5, acds</w:t>
              </w:r>
            </w:hyperlink>
          </w:p>
        </w:tc>
      </w:tr>
      <w:tr w:rsidR="000A156F" w:rsidTr="000A156F">
        <w:tc>
          <w:tcPr>
            <w:tcW w:w="0" w:type="auto"/>
            <w:vAlign w:val="center"/>
          </w:tcPr>
          <w:p w:rsidR="000A156F" w:rsidRDefault="00A9721F">
            <w:pPr>
              <w:pStyle w:val="TableBodyText"/>
            </w:pPr>
            <w:r>
              <w:rPr>
                <w:b/>
              </w:rPr>
              <w:t>keymaps</w:t>
            </w:r>
            <w:r>
              <w:t xml:space="preserve"> (Key Map Customizations)</w:t>
            </w:r>
          </w:p>
        </w:tc>
        <w:tc>
          <w:tcPr>
            <w:tcW w:w="0" w:type="auto"/>
            <w:vAlign w:val="center"/>
          </w:tcPr>
          <w:p w:rsidR="000A156F" w:rsidRDefault="00A9721F">
            <w:pPr>
              <w:pStyle w:val="TableBodyText"/>
            </w:pPr>
            <w:r>
              <w:t>§</w:t>
            </w:r>
            <w:hyperlink w:anchor="Section_3e58e134a06a484aa45fd1bf83668891">
              <w:r>
                <w:rPr>
                  <w:rStyle w:val="Hyperlink"/>
                </w:rPr>
                <w:t>3.1.2.1.1.9, keymaps</w:t>
              </w:r>
            </w:hyperlink>
          </w:p>
        </w:tc>
      </w:tr>
      <w:tr w:rsidR="000A156F" w:rsidTr="000A156F">
        <w:tc>
          <w:tcPr>
            <w:tcW w:w="0" w:type="auto"/>
            <w:vAlign w:val="center"/>
          </w:tcPr>
          <w:p w:rsidR="000A156F" w:rsidRDefault="00A9721F">
            <w:pPr>
              <w:pStyle w:val="TableBodyText"/>
            </w:pPr>
            <w:r>
              <w:rPr>
                <w:b/>
              </w:rPr>
              <w:t>keymapsBad</w:t>
            </w:r>
            <w:r>
              <w:t xml:space="preserve"> (Key Map Customizations for Mismatched Keyboards)</w:t>
            </w:r>
          </w:p>
        </w:tc>
        <w:tc>
          <w:tcPr>
            <w:tcW w:w="0" w:type="auto"/>
            <w:vAlign w:val="center"/>
          </w:tcPr>
          <w:p w:rsidR="000A156F" w:rsidRDefault="00A9721F">
            <w:pPr>
              <w:pStyle w:val="TableBodyText"/>
            </w:pPr>
            <w:r>
              <w:t>§</w:t>
            </w:r>
            <w:hyperlink w:anchor="Section_c29a6b7a6315489f855aa807e12b712d">
              <w:r>
                <w:rPr>
                  <w:rStyle w:val="Hyperlink"/>
                </w:rPr>
                <w:t>3.1.2.1.1.10, keymapsBad</w:t>
              </w:r>
            </w:hyperlink>
          </w:p>
        </w:tc>
      </w:tr>
      <w:tr w:rsidR="000A156F" w:rsidTr="000A156F">
        <w:tc>
          <w:tcPr>
            <w:tcW w:w="0" w:type="auto"/>
            <w:vAlign w:val="center"/>
          </w:tcPr>
          <w:p w:rsidR="000A156F" w:rsidRDefault="00A9721F">
            <w:pPr>
              <w:pStyle w:val="TableBodyText"/>
            </w:pPr>
            <w:r>
              <w:rPr>
                <w:b/>
              </w:rPr>
              <w:t>toolbars</w:t>
            </w:r>
            <w:r>
              <w:t xml:space="preserve"> (Legacy Toolbar Customizations)</w:t>
            </w:r>
          </w:p>
        </w:tc>
        <w:tc>
          <w:tcPr>
            <w:tcW w:w="0" w:type="auto"/>
            <w:vAlign w:val="center"/>
          </w:tcPr>
          <w:p w:rsidR="000A156F" w:rsidRDefault="00A9721F">
            <w:pPr>
              <w:pStyle w:val="TableBodyText"/>
            </w:pPr>
            <w:r>
              <w:t>§</w:t>
            </w:r>
            <w:hyperlink w:anchor="Section_7c98bf0e4eab43729ae628f1e61e1343">
              <w:r>
                <w:rPr>
                  <w:rStyle w:val="Hyperlink"/>
                </w:rPr>
                <w:t>3.1.2.1.1.14, toolbars</w:t>
              </w:r>
            </w:hyperlink>
          </w:p>
        </w:tc>
      </w:tr>
    </w:tbl>
    <w:p w:rsidR="000A156F" w:rsidRDefault="000A156F"/>
    <w:p w:rsidR="000A156F" w:rsidRDefault="00A9721F">
      <w:r>
        <w:t>The following XML Schema fragment defines the contents of this element:</w:t>
      </w:r>
    </w:p>
    <w:p w:rsidR="000A156F" w:rsidRDefault="00A9721F">
      <w:pPr>
        <w:pStyle w:val="Code"/>
      </w:pPr>
      <w:r>
        <w:t>&lt;complexType name="CT_Tcg"&gt;</w:t>
      </w:r>
    </w:p>
    <w:p w:rsidR="000A156F" w:rsidRDefault="00A9721F">
      <w:pPr>
        <w:pStyle w:val="Code"/>
      </w:pPr>
      <w:r>
        <w:t xml:space="preserve">  &lt;sequence&gt;</w:t>
      </w:r>
    </w:p>
    <w:p w:rsidR="000A156F" w:rsidRDefault="00A9721F">
      <w:pPr>
        <w:pStyle w:val="Code"/>
      </w:pPr>
      <w:r>
        <w:t xml:space="preserve">    &lt;element name="keymaps" type="CT_Keymaps" minOccurs="0" maxOccurs="1"/&gt;</w:t>
      </w:r>
    </w:p>
    <w:p w:rsidR="000A156F" w:rsidRDefault="00A9721F">
      <w:pPr>
        <w:pStyle w:val="Code"/>
      </w:pPr>
      <w:r>
        <w:t xml:space="preserve">    &lt;element name="keymapsBad" type="CT_Ke</w:t>
      </w:r>
      <w:r>
        <w:t>ymaps" minOccurs="0" maxOccurs="1"/&gt;</w:t>
      </w:r>
    </w:p>
    <w:p w:rsidR="000A156F" w:rsidRDefault="00A9721F">
      <w:pPr>
        <w:pStyle w:val="Code"/>
      </w:pPr>
      <w:r>
        <w:t xml:space="preserve">    &lt;element name="toolbars" type="CT_Toolbars" minOccurs="0" maxOccurs="1"/&gt;</w:t>
      </w:r>
    </w:p>
    <w:p w:rsidR="000A156F" w:rsidRDefault="00A9721F">
      <w:pPr>
        <w:pStyle w:val="Code"/>
      </w:pPr>
      <w:r>
        <w:t xml:space="preserve">    &lt;element name="acds" type="CT_Acds" minOccurs="0" maxOccurs="1"/&gt;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3853" w:name="section_8b07e421930a4c87b8f2e9879c6e70f6"/>
      <w:bookmarkStart w:id="3854" w:name="_Toc181684952"/>
      <w:r>
        <w:t>toolbarData (Toolbar data)</w:t>
      </w:r>
      <w:bookmarkEnd w:id="3853"/>
      <w:bookmarkEnd w:id="3854"/>
      <w:r>
        <w:fldChar w:fldCharType="begin"/>
      </w:r>
      <w:r>
        <w:instrText xml:space="preserve"> XE "toolbarData</w:instrText>
      </w:r>
      <w:r>
        <w:instrText xml:space="preserve"> (Toolbar data)" </w:instrText>
      </w:r>
      <w:r>
        <w:fldChar w:fldCharType="end"/>
      </w:r>
    </w:p>
    <w:p w:rsidR="000A156F" w:rsidRDefault="00A9721F">
      <w:r>
        <w:t xml:space="preserve">The </w:t>
      </w:r>
      <w:r>
        <w:rPr>
          <w:b/>
        </w:rPr>
        <w:t>toolbarData</w:t>
      </w:r>
      <w:r>
        <w:t xml:space="preserve"> element is used to reference a binary toolbar customization part.  </w:t>
      </w:r>
    </w:p>
    <w:p w:rsidR="000A156F" w:rsidRDefault="00A9721F">
      <w:r>
        <w:t>[Example: Consider a document with a toolbar customization:</w:t>
      </w:r>
    </w:p>
    <w:p w:rsidR="000A156F" w:rsidRDefault="00A9721F">
      <w:pPr>
        <w:pStyle w:val="Code"/>
      </w:pPr>
      <w:r>
        <w:t>&lt;wne:tcg …&gt;</w:t>
      </w:r>
    </w:p>
    <w:p w:rsidR="000A156F" w:rsidRDefault="00A9721F">
      <w:pPr>
        <w:pStyle w:val="Code"/>
      </w:pPr>
      <w:r>
        <w:t xml:space="preserve">    &lt;wne:toolbars&gt;</w:t>
      </w:r>
    </w:p>
    <w:p w:rsidR="000A156F" w:rsidRDefault="00A9721F">
      <w:pPr>
        <w:pStyle w:val="Code"/>
      </w:pPr>
      <w:r>
        <w:t xml:space="preserve">        &lt;wne:toolbarData r:id="rId1"/&gt;</w:t>
      </w:r>
    </w:p>
    <w:p w:rsidR="000A156F" w:rsidRDefault="00A9721F">
      <w:pPr>
        <w:pStyle w:val="Code"/>
      </w:pPr>
      <w:r>
        <w:t xml:space="preserve">    &lt;/wne:toolbars&gt;</w:t>
      </w:r>
    </w:p>
    <w:p w:rsidR="000A156F" w:rsidRDefault="00A9721F">
      <w:pPr>
        <w:pStyle w:val="Code"/>
      </w:pPr>
      <w:r>
        <w:t>&lt;</w:t>
      </w:r>
      <w:r>
        <w:t>/wne:tcg&gt;</w:t>
      </w:r>
    </w:p>
    <w:p w:rsidR="000A156F" w:rsidRDefault="00A9721F">
      <w:r>
        <w:t xml:space="preserve">Where </w:t>
      </w:r>
      <w:r>
        <w:rPr>
          <w:rStyle w:val="InlineCode"/>
        </w:rPr>
        <w:t>rId1</w:t>
      </w:r>
      <w:r>
        <w:t xml:space="preserve"> is defined in customization.xml.rels as:</w:t>
      </w:r>
    </w:p>
    <w:p w:rsidR="000A156F" w:rsidRDefault="00A9721F">
      <w:pPr>
        <w:pStyle w:val="Code"/>
      </w:pPr>
      <w:r>
        <w:t>&lt;Relationships …&gt;</w:t>
      </w:r>
    </w:p>
    <w:p w:rsidR="000A156F" w:rsidRDefault="00A9721F">
      <w:pPr>
        <w:pStyle w:val="Code"/>
      </w:pPr>
      <w:r>
        <w:t xml:space="preserve">    &lt;Relationship Id="rId1" … Target="attachedToolbars.bin"/&gt;</w:t>
      </w:r>
    </w:p>
    <w:p w:rsidR="000A156F" w:rsidRDefault="00A9721F">
      <w:pPr>
        <w:pStyle w:val="Code"/>
      </w:pPr>
      <w:r>
        <w:t>&lt;/Relationships&gt;</w:t>
      </w:r>
    </w:p>
    <w:p w:rsidR="000A156F" w:rsidRDefault="00A9721F">
      <w:r>
        <w:t xml:space="preserve">In this example, the WordprocessingML specifies that the information in the attachedToolbars.bin </w:t>
      </w:r>
      <w:r>
        <w:t>binary part should be used for toolbar customization purposes. end example]</w:t>
      </w:r>
    </w:p>
    <w:p w:rsidR="000A156F" w:rsidRDefault="000A156F"/>
    <w:tbl>
      <w:tblPr>
        <w:tblStyle w:val="Table-ShadedHeader"/>
        <w:tblW w:w="0" w:type="auto"/>
        <w:tblLook w:val="04A0" w:firstRow="1" w:lastRow="0" w:firstColumn="1" w:lastColumn="0" w:noHBand="0" w:noVBand="1"/>
      </w:tblPr>
      <w:tblGrid>
        <w:gridCol w:w="304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toolbars</w:t>
            </w:r>
            <w:r>
              <w:t xml:space="preserve"> (§</w:t>
            </w:r>
            <w:hyperlink w:anchor="Section_7c98bf0e4eab43729ae628f1e61e1343">
              <w:r>
                <w:rPr>
                  <w:rStyle w:val="Hyperlink"/>
                </w:rPr>
                <w:t>3.1.2.1.1.14, toolbars</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667"/>
        <w:gridCol w:w="580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id</w:t>
            </w:r>
            <w:r>
              <w:t xml:space="preserve"> (binary toolbar part relationship identifier)</w:t>
            </w:r>
          </w:p>
          <w:p w:rsidR="000A156F" w:rsidRDefault="000A156F">
            <w:pPr>
              <w:pStyle w:val="TableBodyText"/>
            </w:pPr>
          </w:p>
          <w:p w:rsidR="000A156F" w:rsidRDefault="00A9721F">
            <w:pPr>
              <w:pStyle w:val="TableBodyText"/>
            </w:pPr>
            <w:r>
              <w:t>Namespace: .../officeDocument/2006/relationships</w:t>
            </w:r>
          </w:p>
        </w:tc>
        <w:tc>
          <w:tcPr>
            <w:tcW w:w="0" w:type="auto"/>
            <w:vAlign w:val="center"/>
          </w:tcPr>
          <w:p w:rsidR="000A156F" w:rsidRDefault="00A9721F">
            <w:pPr>
              <w:pStyle w:val="TableBodyText"/>
            </w:pPr>
            <w:r>
              <w:t>Specifies the relationship identifier associated with a binary toolbar customization part as described in the relationships file for the part in which this att</w:t>
            </w:r>
            <w:r>
              <w:t>ribute is used.</w:t>
            </w:r>
          </w:p>
          <w:p w:rsidR="000A156F" w:rsidRDefault="000A156F">
            <w:pPr>
              <w:pStyle w:val="TableBodyText"/>
            </w:pPr>
          </w:p>
          <w:p w:rsidR="000A156F" w:rsidRDefault="00A9721F">
            <w:pPr>
              <w:pStyle w:val="TableBodyText"/>
            </w:pPr>
            <w:r>
              <w:t>The possible values for this attribute are defined by the ST_RelationshipId simple type ("</w:t>
            </w:r>
            <w:hyperlink r:id="rId292">
              <w:r>
                <w:rPr>
                  <w:rStyle w:val="Hyperlink"/>
                </w:rPr>
                <w:t>[ISO/IEC-29500-1]</w:t>
              </w:r>
            </w:hyperlink>
            <w:r>
              <w:t xml:space="preserve"> §22.8.2.1").</w:t>
            </w:r>
          </w:p>
        </w:tc>
      </w:tr>
    </w:tbl>
    <w:p w:rsidR="000A156F" w:rsidRDefault="000A156F"/>
    <w:p w:rsidR="000A156F" w:rsidRDefault="00A9721F">
      <w:r>
        <w:t>The following XML Schema fragment defines the cont</w:t>
      </w:r>
      <w:r>
        <w:t>ents of this element:</w:t>
      </w:r>
    </w:p>
    <w:p w:rsidR="000A156F" w:rsidRDefault="00A9721F">
      <w:pPr>
        <w:pStyle w:val="Code"/>
      </w:pPr>
      <w:r>
        <w:t>&lt;complexType name="CT_Rel"&gt;</w:t>
      </w:r>
    </w:p>
    <w:p w:rsidR="000A156F" w:rsidRDefault="00A9721F">
      <w:pPr>
        <w:pStyle w:val="Code"/>
      </w:pPr>
      <w:r>
        <w:t xml:space="preserve">  &lt;attribute ref="r:id" use="required"/&gt;</w:t>
      </w:r>
    </w:p>
    <w:p w:rsidR="000A156F" w:rsidRDefault="00A9721F">
      <w:pPr>
        <w:pStyle w:val="Code"/>
      </w:pPr>
      <w:r>
        <w:t>&lt;/complexType&gt;</w:t>
      </w:r>
    </w:p>
    <w:p w:rsidR="000A156F" w:rsidRDefault="00A9721F">
      <w:pPr>
        <w:pStyle w:val="Heading6"/>
      </w:pPr>
      <w:bookmarkStart w:id="3855" w:name="section_7c98bf0e4eab43729ae628f1e61e1343"/>
      <w:bookmarkStart w:id="3856" w:name="_Toc181684953"/>
      <w:r>
        <w:t>toolbars (Legacy Toolbar Customizations)</w:t>
      </w:r>
      <w:bookmarkEnd w:id="3855"/>
      <w:bookmarkEnd w:id="3856"/>
      <w:r>
        <w:fldChar w:fldCharType="begin"/>
      </w:r>
      <w:r>
        <w:instrText xml:space="preserve"> XE "toolbars (Legacy Toolbar Customizations)" </w:instrText>
      </w:r>
      <w:r>
        <w:fldChar w:fldCharType="end"/>
      </w:r>
    </w:p>
    <w:p w:rsidR="000A156F" w:rsidRDefault="00A9721F">
      <w:r>
        <w:t xml:space="preserve">The </w:t>
      </w:r>
      <w:r>
        <w:rPr>
          <w:b/>
        </w:rPr>
        <w:t>toolbars</w:t>
      </w:r>
      <w:r>
        <w:t xml:space="preserve"> element is used as a container for </w:t>
      </w:r>
      <w:r>
        <w:rPr>
          <w:b/>
        </w:rPr>
        <w:t>toolbarData</w:t>
      </w:r>
      <w:r>
        <w:t xml:space="preserve"> </w:t>
      </w:r>
      <w:r>
        <w:t xml:space="preserve">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tcg</w:t>
            </w:r>
            <w:r>
              <w:t xml:space="preserve"> (§</w:t>
            </w:r>
            <w:hyperlink w:anchor="Section_611795947ec745d68a2df9ece7863986">
              <w:r>
                <w:rPr>
                  <w:rStyle w:val="Hyperlink"/>
                </w:rPr>
                <w:t>3.1.2.1.1.12, tcg</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849"/>
        <w:gridCol w:w="239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acdManifest</w:t>
            </w:r>
            <w:r>
              <w:t xml:space="preserve"> (Allocated Command Manifest)</w:t>
            </w:r>
          </w:p>
        </w:tc>
        <w:tc>
          <w:tcPr>
            <w:tcW w:w="0" w:type="auto"/>
            <w:vAlign w:val="center"/>
          </w:tcPr>
          <w:p w:rsidR="000A156F" w:rsidRDefault="00A9721F">
            <w:pPr>
              <w:pStyle w:val="TableBodyText"/>
            </w:pPr>
            <w:r>
              <w:t>§</w:t>
            </w:r>
            <w:hyperlink w:anchor="Section_196c6a38f97a4a93a3a1121090157f0b">
              <w:r>
                <w:rPr>
                  <w:rStyle w:val="Hyperlink"/>
                </w:rPr>
                <w:t>3.1.2.1.1.4, acdManifest</w:t>
              </w:r>
            </w:hyperlink>
          </w:p>
        </w:tc>
      </w:tr>
      <w:tr w:rsidR="000A156F" w:rsidTr="000A156F">
        <w:tc>
          <w:tcPr>
            <w:tcW w:w="0" w:type="auto"/>
            <w:vAlign w:val="center"/>
          </w:tcPr>
          <w:p w:rsidR="000A156F" w:rsidRDefault="00A9721F">
            <w:pPr>
              <w:pStyle w:val="TableBodyText"/>
            </w:pPr>
            <w:r>
              <w:rPr>
                <w:b/>
              </w:rPr>
              <w:t>toolbarData</w:t>
            </w:r>
            <w:r>
              <w:t xml:space="preserve"> (Toolbar data)</w:t>
            </w:r>
          </w:p>
        </w:tc>
        <w:tc>
          <w:tcPr>
            <w:tcW w:w="0" w:type="auto"/>
            <w:vAlign w:val="center"/>
          </w:tcPr>
          <w:p w:rsidR="000A156F" w:rsidRDefault="00A9721F">
            <w:pPr>
              <w:pStyle w:val="TableBodyText"/>
            </w:pPr>
            <w:r>
              <w:t>§</w:t>
            </w:r>
            <w:hyperlink w:anchor="Section_8b07e421930a4c87b8f2e9879c6e70f6">
              <w:r>
                <w:rPr>
                  <w:rStyle w:val="Hyperlink"/>
                </w:rPr>
                <w:t>3.1.2.1.1.13, toolbarData</w:t>
              </w:r>
            </w:hyperlink>
          </w:p>
        </w:tc>
      </w:tr>
    </w:tbl>
    <w:p w:rsidR="000A156F" w:rsidRDefault="000A156F"/>
    <w:p w:rsidR="000A156F" w:rsidRDefault="00A9721F">
      <w:r>
        <w:t xml:space="preserve">The following XML Schema fragment defines the </w:t>
      </w:r>
      <w:r>
        <w:t>contents of this element:</w:t>
      </w:r>
    </w:p>
    <w:p w:rsidR="000A156F" w:rsidRDefault="00A9721F">
      <w:pPr>
        <w:pStyle w:val="Code"/>
      </w:pPr>
      <w:r>
        <w:t>&lt;complexType name="CT_Toolbars"&gt;</w:t>
      </w:r>
    </w:p>
    <w:p w:rsidR="000A156F" w:rsidRDefault="00A9721F">
      <w:pPr>
        <w:pStyle w:val="Code"/>
      </w:pPr>
      <w:r>
        <w:t xml:space="preserve">  &lt;sequence&gt;</w:t>
      </w:r>
    </w:p>
    <w:p w:rsidR="000A156F" w:rsidRDefault="00A9721F">
      <w:pPr>
        <w:pStyle w:val="Code"/>
      </w:pPr>
      <w:r>
        <w:t xml:space="preserve">    &lt;element name="acdManifest" minOccurs="0" maxOccurs="1" type="CT_AcdManifest"/&gt;</w:t>
      </w:r>
    </w:p>
    <w:p w:rsidR="000A156F" w:rsidRDefault="00A9721F">
      <w:pPr>
        <w:pStyle w:val="Code"/>
      </w:pPr>
      <w:r>
        <w:t xml:space="preserve">    &lt;element name="toolbarData" minOccurs="0" maxOccurs="1" type="CT_Rel"/&gt;</w:t>
      </w:r>
    </w:p>
    <w:p w:rsidR="000A156F" w:rsidRDefault="00A9721F">
      <w:pPr>
        <w:pStyle w:val="Code"/>
      </w:pPr>
      <w:r>
        <w:t xml:space="preserve">  &lt;/sequence&gt;</w:t>
      </w:r>
    </w:p>
    <w:p w:rsidR="000A156F" w:rsidRDefault="00A9721F">
      <w:pPr>
        <w:pStyle w:val="Code"/>
      </w:pPr>
      <w:r>
        <w:t>&lt;/complexT</w:t>
      </w:r>
      <w:r>
        <w:t>ype&gt;</w:t>
      </w:r>
    </w:p>
    <w:p w:rsidR="000A156F" w:rsidRDefault="00A9721F">
      <w:pPr>
        <w:pStyle w:val="Heading6"/>
      </w:pPr>
      <w:bookmarkStart w:id="3857" w:name="section_342bac6cb42c45d7aae0b30f39357bc9"/>
      <w:bookmarkStart w:id="3858" w:name="_Toc181684954"/>
      <w:r>
        <w:t>wch (Character Insertion Keyboard Customization Action)</w:t>
      </w:r>
      <w:bookmarkEnd w:id="3857"/>
      <w:bookmarkEnd w:id="3858"/>
      <w:r>
        <w:fldChar w:fldCharType="begin"/>
      </w:r>
      <w:r>
        <w:instrText xml:space="preserve"> XE "wch (Character Insertion Keyboard Customization Action)" </w:instrText>
      </w:r>
      <w:r>
        <w:fldChar w:fldCharType="end"/>
      </w:r>
    </w:p>
    <w:p w:rsidR="000A156F" w:rsidRDefault="00A9721F">
      <w:r>
        <w:t>This element specifies that the action for an enclosed key map is to insert a certain character into the document.</w:t>
      </w:r>
    </w:p>
    <w:p w:rsidR="000A156F" w:rsidRDefault="00A9721F">
      <w:r>
        <w:t>[Example: Consid</w:t>
      </w:r>
      <w:r>
        <w:t>er the following key map:</w:t>
      </w:r>
    </w:p>
    <w:p w:rsidR="000A156F" w:rsidRDefault="00A9721F">
      <w:pPr>
        <w:pStyle w:val="Code"/>
      </w:pPr>
      <w:r>
        <w:t xml:space="preserve">   &lt;wne:keymap wne:kcmPrimary="0237"&gt;</w:t>
      </w:r>
    </w:p>
    <w:p w:rsidR="000A156F" w:rsidRDefault="00A9721F">
      <w:pPr>
        <w:pStyle w:val="Code"/>
      </w:pPr>
      <w:r>
        <w:t xml:space="preserve">    &lt;wne:wch wne:val="000020AC" /&gt;</w:t>
      </w:r>
    </w:p>
    <w:p w:rsidR="000A156F" w:rsidRDefault="00A9721F">
      <w:pPr>
        <w:pStyle w:val="Code"/>
      </w:pPr>
      <w:r>
        <w:t xml:space="preserve"> &lt;/wne:keymap&gt;</w:t>
      </w:r>
    </w:p>
    <w:p w:rsidR="000A156F" w:rsidRDefault="00A9721F">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keymap</w:t>
            </w:r>
            <w:r>
              <w:t xml:space="preserve"> (§</w:t>
            </w:r>
            <w:hyperlink w:anchor="Section_d44dbd45cbbb4efba0903a85141d00fc">
              <w:r>
                <w:rPr>
                  <w:rStyle w:val="Hyperlink"/>
                </w:rPr>
                <w:t>3.1.2.1.1.8, keymap</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847"/>
        <w:gridCol w:w="762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val</w:t>
            </w:r>
            <w:r>
              <w:t xml:space="preserve"> (character to insert)</w:t>
            </w:r>
          </w:p>
        </w:tc>
        <w:tc>
          <w:tcPr>
            <w:tcW w:w="0" w:type="auto"/>
            <w:vAlign w:val="center"/>
          </w:tcPr>
          <w:p w:rsidR="000A156F" w:rsidRDefault="00A9721F">
            <w:pPr>
              <w:pStyle w:val="TableBodyText"/>
            </w:pPr>
            <w:r>
              <w:t>This attribute specifies the hexadecimal encoded 4-byte Unicode character that should be inserted into the document.</w:t>
            </w:r>
          </w:p>
          <w:p w:rsidR="000A156F" w:rsidRDefault="000A156F">
            <w:pPr>
              <w:pStyle w:val="TableBodyText"/>
            </w:pPr>
          </w:p>
          <w:p w:rsidR="000A156F" w:rsidRDefault="00A9721F">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&lt;complexType name="CT_LongHexNumber"&gt;</w:t>
      </w:r>
    </w:p>
    <w:p w:rsidR="000A156F" w:rsidRDefault="00A9721F">
      <w:pPr>
        <w:pStyle w:val="Code"/>
      </w:pPr>
      <w:r>
        <w:t xml:space="preserve">  &lt;</w:t>
      </w:r>
      <w:r>
        <w:t>attribute name="val" type="ST_LongHexNumber" use="required"/&gt;</w:t>
      </w:r>
    </w:p>
    <w:p w:rsidR="000A156F" w:rsidRDefault="00A9721F">
      <w:pPr>
        <w:pStyle w:val="Code"/>
      </w:pPr>
      <w:r>
        <w:t>&lt;/complexType&gt;</w:t>
      </w:r>
    </w:p>
    <w:p w:rsidR="000A156F" w:rsidRDefault="00A9721F">
      <w:pPr>
        <w:pStyle w:val="Heading6"/>
      </w:pPr>
      <w:bookmarkStart w:id="3859" w:name="section_bba0329034324d19ba214baa0944d9de"/>
      <w:bookmarkStart w:id="3860" w:name="_Toc181684955"/>
      <w:r>
        <w:t>wll (WLL Macro Keyboard Customization Action)</w:t>
      </w:r>
      <w:bookmarkEnd w:id="3859"/>
      <w:bookmarkEnd w:id="3860"/>
      <w:r>
        <w:fldChar w:fldCharType="begin"/>
      </w:r>
      <w:r>
        <w:instrText xml:space="preserve"> XE "wll (WLL Macro Keyboard Customization Action)" </w:instrText>
      </w:r>
      <w:r>
        <w:fldChar w:fldCharType="end"/>
      </w:r>
    </w:p>
    <w:p w:rsidR="000A156F" w:rsidRDefault="00A9721F">
      <w:r>
        <w:t>This element specifies that a macro defined in a WLL (a legacy Word DLL add-in)</w:t>
      </w:r>
      <w:r>
        <w:t xml:space="preserve"> should be run by the enclosing key map.</w:t>
      </w:r>
    </w:p>
    <w:tbl>
      <w:tblPr>
        <w:tblStyle w:val="Table-ShadedHeader"/>
        <w:tblW w:w="0" w:type="auto"/>
        <w:tblLook w:val="04A0" w:firstRow="1" w:lastRow="0" w:firstColumn="1" w:lastColumn="0" w:noHBand="0" w:noVBand="1"/>
      </w:tblPr>
      <w:tblGrid>
        <w:gridCol w:w="289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keymap</w:t>
            </w:r>
            <w:r>
              <w:t xml:space="preserve"> (§</w:t>
            </w:r>
            <w:hyperlink w:anchor="Section_d44dbd45cbbb4efba0903a85141d00fc">
              <w:r>
                <w:rPr>
                  <w:rStyle w:val="Hyperlink"/>
                </w:rPr>
                <w:t>3.1.2.1.1.8, keymap</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2274"/>
        <w:gridCol w:w="720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macroName</w:t>
            </w:r>
            <w:r>
              <w:t xml:space="preserve"> (Macro name)</w:t>
            </w:r>
          </w:p>
        </w:tc>
        <w:tc>
          <w:tcPr>
            <w:tcW w:w="0" w:type="auto"/>
            <w:vAlign w:val="center"/>
          </w:tcPr>
          <w:p w:rsidR="000A156F" w:rsidRDefault="00A9721F">
            <w:pPr>
              <w:pStyle w:val="TableBodyText"/>
            </w:pPr>
            <w:r>
              <w:t>Specifies the name of the macro to run.</w:t>
            </w:r>
          </w:p>
          <w:p w:rsidR="000A156F" w:rsidRDefault="000A156F">
            <w:pPr>
              <w:pStyle w:val="TableBodyText"/>
            </w:pPr>
          </w:p>
          <w:p w:rsidR="000A156F" w:rsidRDefault="00A9721F">
            <w:pPr>
              <w:pStyle w:val="TableBodyText"/>
            </w:pPr>
            <w:r>
              <w:t xml:space="preserve">The possible </w:t>
            </w:r>
            <w:r>
              <w:t>values for this attribute are defined by the ST_String simple type (§</w:t>
            </w:r>
            <w:hyperlink w:anchor="Section_6af92020a61a492793209436f448f276">
              <w:r>
                <w:rPr>
                  <w:rStyle w:val="Hyperlink"/>
                </w:rPr>
                <w:t>3.1.2.3.5, ST_String</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&lt;complexType name="CT_Macro</w:t>
      </w:r>
      <w:r>
        <w:t>Wll"&gt;</w:t>
      </w:r>
    </w:p>
    <w:p w:rsidR="000A156F" w:rsidRDefault="00A9721F">
      <w:pPr>
        <w:pStyle w:val="Code"/>
      </w:pPr>
      <w:r>
        <w:t xml:space="preserve">  &lt;attribute name="macroName" type="ST_String" use="required"/&gt;</w:t>
      </w:r>
    </w:p>
    <w:p w:rsidR="000A156F" w:rsidRDefault="00A9721F">
      <w:pPr>
        <w:pStyle w:val="Code"/>
      </w:pPr>
      <w:r>
        <w:t>&lt;/complexType&gt;</w:t>
      </w:r>
    </w:p>
    <w:p w:rsidR="000A156F" w:rsidRDefault="00A9721F">
      <w:pPr>
        <w:pStyle w:val="Heading5"/>
      </w:pPr>
      <w:bookmarkStart w:id="3861" w:name="section_1ecf33cf360145f089fb0ab824739343"/>
      <w:bookmarkStart w:id="3862" w:name="_Toc181684956"/>
      <w:r>
        <w:lastRenderedPageBreak/>
        <w:t>Fixed Commands</w:t>
      </w:r>
      <w:bookmarkEnd w:id="3861"/>
      <w:bookmarkEnd w:id="3862"/>
      <w:r>
        <w:fldChar w:fldCharType="begin"/>
      </w:r>
      <w:r>
        <w:instrText xml:space="preserve"> XE "Fixed Commands" </w:instrText>
      </w:r>
      <w:r>
        <w:fldChar w:fldCharType="end"/>
      </w:r>
    </w:p>
    <w:p w:rsidR="000A156F" w:rsidRDefault="00A9721F">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Fixed Command Name</w:t>
            </w:r>
          </w:p>
        </w:tc>
        <w:tc>
          <w:tcPr>
            <w:tcW w:w="0" w:type="auto"/>
            <w:vAlign w:val="center"/>
          </w:tcPr>
          <w:p w:rsidR="000A156F" w:rsidRDefault="00A9721F">
            <w:pPr>
              <w:pStyle w:val="TableHeaderText"/>
            </w:pPr>
            <w:r>
              <w:t>Fixed Command Index</w:t>
            </w:r>
          </w:p>
        </w:tc>
      </w:tr>
      <w:tr w:rsidR="000A156F" w:rsidTr="000A156F">
        <w:tc>
          <w:tcPr>
            <w:tcW w:w="0" w:type="auto"/>
            <w:vAlign w:val="center"/>
          </w:tcPr>
          <w:p w:rsidR="000A156F" w:rsidRDefault="00A9721F">
            <w:pPr>
              <w:pStyle w:val="TableBodyText"/>
            </w:pPr>
            <w:r>
              <w:t>AcceptAllChangesInDoc</w:t>
            </w:r>
          </w:p>
        </w:tc>
        <w:tc>
          <w:tcPr>
            <w:tcW w:w="0" w:type="auto"/>
            <w:vAlign w:val="center"/>
          </w:tcPr>
          <w:p w:rsidR="000A156F" w:rsidRDefault="00A9721F">
            <w:pPr>
              <w:pStyle w:val="TableBodyText"/>
            </w:pPr>
            <w:r>
              <w:t>0511</w:t>
            </w:r>
          </w:p>
        </w:tc>
      </w:tr>
      <w:tr w:rsidR="000A156F" w:rsidTr="000A156F">
        <w:tc>
          <w:tcPr>
            <w:tcW w:w="0" w:type="auto"/>
            <w:vAlign w:val="center"/>
          </w:tcPr>
          <w:p w:rsidR="000A156F" w:rsidRDefault="00A9721F">
            <w:pPr>
              <w:pStyle w:val="TableBodyText"/>
            </w:pPr>
            <w:r>
              <w:t>AcceptAllChangesShown</w:t>
            </w:r>
          </w:p>
        </w:tc>
        <w:tc>
          <w:tcPr>
            <w:tcW w:w="0" w:type="auto"/>
            <w:vAlign w:val="center"/>
          </w:tcPr>
          <w:p w:rsidR="000A156F" w:rsidRDefault="00A9721F">
            <w:pPr>
              <w:pStyle w:val="TableBodyText"/>
            </w:pPr>
            <w:r>
              <w:t>0510</w:t>
            </w:r>
          </w:p>
        </w:tc>
      </w:tr>
      <w:tr w:rsidR="000A156F" w:rsidTr="000A156F">
        <w:tc>
          <w:tcPr>
            <w:tcW w:w="0" w:type="auto"/>
            <w:vAlign w:val="center"/>
          </w:tcPr>
          <w:p w:rsidR="000A156F" w:rsidRDefault="00A9721F">
            <w:pPr>
              <w:pStyle w:val="TableBodyText"/>
            </w:pPr>
            <w:r>
              <w:t>AcceptChangesAndAdvance</w:t>
            </w:r>
          </w:p>
        </w:tc>
        <w:tc>
          <w:tcPr>
            <w:tcW w:w="0" w:type="auto"/>
            <w:vAlign w:val="center"/>
          </w:tcPr>
          <w:p w:rsidR="000A156F" w:rsidRDefault="00A9721F">
            <w:pPr>
              <w:pStyle w:val="TableBodyText"/>
            </w:pPr>
            <w:r>
              <w:t>0837</w:t>
            </w:r>
          </w:p>
        </w:tc>
      </w:tr>
      <w:tr w:rsidR="000A156F" w:rsidTr="000A156F">
        <w:tc>
          <w:tcPr>
            <w:tcW w:w="0" w:type="auto"/>
            <w:vAlign w:val="center"/>
          </w:tcPr>
          <w:p w:rsidR="000A156F" w:rsidRDefault="00A9721F">
            <w:pPr>
              <w:pStyle w:val="TableBodyText"/>
            </w:pPr>
            <w:r>
              <w:t>AcceptChangesOrAdvance</w:t>
            </w:r>
          </w:p>
        </w:tc>
        <w:tc>
          <w:tcPr>
            <w:tcW w:w="0" w:type="auto"/>
            <w:vAlign w:val="center"/>
          </w:tcPr>
          <w:p w:rsidR="000A156F" w:rsidRDefault="00A9721F">
            <w:pPr>
              <w:pStyle w:val="TableBodyText"/>
            </w:pPr>
            <w:r>
              <w:t>0989</w:t>
            </w:r>
          </w:p>
        </w:tc>
      </w:tr>
      <w:tr w:rsidR="000A156F" w:rsidTr="000A156F">
        <w:tc>
          <w:tcPr>
            <w:tcW w:w="0" w:type="auto"/>
            <w:vAlign w:val="center"/>
          </w:tcPr>
          <w:p w:rsidR="000A156F" w:rsidRDefault="00A9721F">
            <w:pPr>
              <w:pStyle w:val="TableBodyText"/>
            </w:pPr>
            <w:r>
              <w:t>AcceptChangesSelected</w:t>
            </w:r>
          </w:p>
        </w:tc>
        <w:tc>
          <w:tcPr>
            <w:tcW w:w="0" w:type="auto"/>
            <w:vAlign w:val="center"/>
          </w:tcPr>
          <w:p w:rsidR="000A156F" w:rsidRDefault="00A9721F">
            <w:pPr>
              <w:pStyle w:val="TableBodyText"/>
            </w:pPr>
            <w:r>
              <w:t>050F</w:t>
            </w:r>
          </w:p>
        </w:tc>
      </w:tr>
      <w:tr w:rsidR="000A156F" w:rsidTr="000A156F">
        <w:tc>
          <w:tcPr>
            <w:tcW w:w="0" w:type="auto"/>
            <w:vAlign w:val="center"/>
          </w:tcPr>
          <w:p w:rsidR="000A156F" w:rsidRDefault="00A9721F">
            <w:pPr>
              <w:pStyle w:val="TableBodyText"/>
            </w:pPr>
            <w:r>
              <w:t>ActivateObject</w:t>
            </w:r>
          </w:p>
        </w:tc>
        <w:tc>
          <w:tcPr>
            <w:tcW w:w="0" w:type="auto"/>
            <w:vAlign w:val="center"/>
          </w:tcPr>
          <w:p w:rsidR="000A156F" w:rsidRDefault="00A9721F">
            <w:pPr>
              <w:pStyle w:val="TableBodyText"/>
            </w:pPr>
            <w:r>
              <w:t>007E</w:t>
            </w:r>
          </w:p>
        </w:tc>
      </w:tr>
      <w:tr w:rsidR="000A156F" w:rsidTr="000A156F">
        <w:tc>
          <w:tcPr>
            <w:tcW w:w="0" w:type="auto"/>
            <w:vAlign w:val="center"/>
          </w:tcPr>
          <w:p w:rsidR="000A156F" w:rsidRDefault="00A9721F">
            <w:pPr>
              <w:pStyle w:val="TableBodyText"/>
            </w:pPr>
            <w:r>
              <w:t>AddDigitalSignature</w:t>
            </w:r>
          </w:p>
        </w:tc>
        <w:tc>
          <w:tcPr>
            <w:tcW w:w="0" w:type="auto"/>
            <w:vAlign w:val="center"/>
          </w:tcPr>
          <w:p w:rsidR="000A156F" w:rsidRDefault="00A9721F">
            <w:pPr>
              <w:pStyle w:val="TableBodyText"/>
            </w:pPr>
            <w:r>
              <w:t>0845</w:t>
            </w:r>
          </w:p>
        </w:tc>
      </w:tr>
      <w:tr w:rsidR="000A156F" w:rsidTr="000A156F">
        <w:tc>
          <w:tcPr>
            <w:tcW w:w="0" w:type="auto"/>
            <w:vAlign w:val="center"/>
          </w:tcPr>
          <w:p w:rsidR="000A156F" w:rsidRDefault="00A9721F">
            <w:pPr>
              <w:pStyle w:val="TableBodyText"/>
            </w:pPr>
            <w:r>
              <w:t>AddToContacts</w:t>
            </w:r>
          </w:p>
        </w:tc>
        <w:tc>
          <w:tcPr>
            <w:tcW w:w="0" w:type="auto"/>
            <w:vAlign w:val="center"/>
          </w:tcPr>
          <w:p w:rsidR="000A156F" w:rsidRDefault="00A9721F">
            <w:pPr>
              <w:pStyle w:val="TableBodyText"/>
            </w:pPr>
            <w:r>
              <w:t>087C</w:t>
            </w:r>
          </w:p>
        </w:tc>
      </w:tr>
      <w:tr w:rsidR="000A156F" w:rsidTr="000A156F">
        <w:tc>
          <w:tcPr>
            <w:tcW w:w="0" w:type="auto"/>
            <w:vAlign w:val="center"/>
          </w:tcPr>
          <w:p w:rsidR="000A156F" w:rsidRDefault="00A9721F">
            <w:pPr>
              <w:pStyle w:val="TableBodyText"/>
            </w:pPr>
            <w:r>
              <w:t>AdjustListIndents</w:t>
            </w:r>
          </w:p>
        </w:tc>
        <w:tc>
          <w:tcPr>
            <w:tcW w:w="0" w:type="auto"/>
            <w:vAlign w:val="center"/>
          </w:tcPr>
          <w:p w:rsidR="000A156F" w:rsidRDefault="00A9721F">
            <w:pPr>
              <w:pStyle w:val="TableBodyText"/>
            </w:pPr>
            <w:r>
              <w:t>0778</w:t>
            </w:r>
          </w:p>
        </w:tc>
      </w:tr>
      <w:tr w:rsidR="000A156F" w:rsidTr="000A156F">
        <w:tc>
          <w:tcPr>
            <w:tcW w:w="0" w:type="auto"/>
            <w:vAlign w:val="center"/>
          </w:tcPr>
          <w:p w:rsidR="000A156F" w:rsidRDefault="00A9721F">
            <w:pPr>
              <w:pStyle w:val="TableBodyText"/>
            </w:pPr>
            <w:r>
              <w:t>AdvancedBrightnessContrast</w:t>
            </w:r>
          </w:p>
        </w:tc>
        <w:tc>
          <w:tcPr>
            <w:tcW w:w="0" w:type="auto"/>
            <w:vAlign w:val="center"/>
          </w:tcPr>
          <w:p w:rsidR="000A156F" w:rsidRDefault="00A9721F">
            <w:pPr>
              <w:pStyle w:val="TableBodyText"/>
            </w:pPr>
            <w:r>
              <w:t>08C5</w:t>
            </w:r>
          </w:p>
        </w:tc>
      </w:tr>
      <w:tr w:rsidR="000A156F" w:rsidTr="000A156F">
        <w:tc>
          <w:tcPr>
            <w:tcW w:w="0" w:type="auto"/>
            <w:vAlign w:val="center"/>
          </w:tcPr>
          <w:p w:rsidR="000A156F" w:rsidRDefault="00A9721F">
            <w:pPr>
              <w:pStyle w:val="TableBodyText"/>
            </w:pPr>
            <w:r>
              <w:t>AdvertisePublishAs</w:t>
            </w:r>
          </w:p>
        </w:tc>
        <w:tc>
          <w:tcPr>
            <w:tcW w:w="0" w:type="auto"/>
            <w:vAlign w:val="center"/>
          </w:tcPr>
          <w:p w:rsidR="000A156F" w:rsidRDefault="00A9721F">
            <w:pPr>
              <w:pStyle w:val="TableBodyText"/>
            </w:pPr>
            <w:r>
              <w:t>0790</w:t>
            </w:r>
          </w:p>
        </w:tc>
      </w:tr>
      <w:tr w:rsidR="000A156F" w:rsidTr="000A156F">
        <w:tc>
          <w:tcPr>
            <w:tcW w:w="0" w:type="auto"/>
            <w:vAlign w:val="center"/>
          </w:tcPr>
          <w:p w:rsidR="000A156F" w:rsidRDefault="00A9721F">
            <w:pPr>
              <w:pStyle w:val="TableBodyText"/>
            </w:pPr>
            <w:r>
              <w:t>AlignBottom</w:t>
            </w:r>
          </w:p>
        </w:tc>
        <w:tc>
          <w:tcPr>
            <w:tcW w:w="0" w:type="auto"/>
            <w:vAlign w:val="center"/>
          </w:tcPr>
          <w:p w:rsidR="000A156F" w:rsidRDefault="00A9721F">
            <w:pPr>
              <w:pStyle w:val="TableBodyText"/>
            </w:pPr>
            <w:r>
              <w:t>1BE2</w:t>
            </w:r>
          </w:p>
        </w:tc>
      </w:tr>
      <w:tr w:rsidR="000A156F" w:rsidTr="000A156F">
        <w:tc>
          <w:tcPr>
            <w:tcW w:w="0" w:type="auto"/>
            <w:vAlign w:val="center"/>
          </w:tcPr>
          <w:p w:rsidR="000A156F" w:rsidRDefault="00A9721F">
            <w:pPr>
              <w:pStyle w:val="TableBodyText"/>
            </w:pPr>
            <w:r>
              <w:t>AlignCenterHorizontal</w:t>
            </w:r>
          </w:p>
        </w:tc>
        <w:tc>
          <w:tcPr>
            <w:tcW w:w="0" w:type="auto"/>
            <w:vAlign w:val="center"/>
          </w:tcPr>
          <w:p w:rsidR="000A156F" w:rsidRDefault="00A9721F">
            <w:pPr>
              <w:pStyle w:val="TableBodyText"/>
            </w:pPr>
            <w:r>
              <w:t>1BDE</w:t>
            </w:r>
          </w:p>
        </w:tc>
      </w:tr>
      <w:tr w:rsidR="000A156F" w:rsidTr="000A156F">
        <w:tc>
          <w:tcPr>
            <w:tcW w:w="0" w:type="auto"/>
            <w:vAlign w:val="center"/>
          </w:tcPr>
          <w:p w:rsidR="000A156F" w:rsidRDefault="00A9721F">
            <w:pPr>
              <w:pStyle w:val="TableBodyText"/>
            </w:pPr>
            <w:r>
              <w:t>AlignCenterVertical</w:t>
            </w:r>
          </w:p>
        </w:tc>
        <w:tc>
          <w:tcPr>
            <w:tcW w:w="0" w:type="auto"/>
            <w:vAlign w:val="center"/>
          </w:tcPr>
          <w:p w:rsidR="000A156F" w:rsidRDefault="00A9721F">
            <w:pPr>
              <w:pStyle w:val="TableBodyText"/>
            </w:pPr>
            <w:r>
              <w:t>1BE1</w:t>
            </w:r>
          </w:p>
        </w:tc>
      </w:tr>
      <w:tr w:rsidR="000A156F" w:rsidTr="000A156F">
        <w:tc>
          <w:tcPr>
            <w:tcW w:w="0" w:type="auto"/>
            <w:vAlign w:val="center"/>
          </w:tcPr>
          <w:p w:rsidR="000A156F" w:rsidRDefault="00A9721F">
            <w:pPr>
              <w:pStyle w:val="TableBodyText"/>
            </w:pPr>
            <w:r>
              <w:t>AlignLeft</w:t>
            </w:r>
          </w:p>
        </w:tc>
        <w:tc>
          <w:tcPr>
            <w:tcW w:w="0" w:type="auto"/>
            <w:vAlign w:val="center"/>
          </w:tcPr>
          <w:p w:rsidR="000A156F" w:rsidRDefault="00A9721F">
            <w:pPr>
              <w:pStyle w:val="TableBodyText"/>
            </w:pPr>
            <w:r>
              <w:t>1BDD</w:t>
            </w:r>
          </w:p>
        </w:tc>
      </w:tr>
      <w:tr w:rsidR="000A156F" w:rsidTr="000A156F">
        <w:tc>
          <w:tcPr>
            <w:tcW w:w="0" w:type="auto"/>
            <w:vAlign w:val="center"/>
          </w:tcPr>
          <w:p w:rsidR="000A156F" w:rsidRDefault="00A9721F">
            <w:pPr>
              <w:pStyle w:val="TableBodyText"/>
            </w:pPr>
            <w:r>
              <w:t>AlignRight</w:t>
            </w:r>
          </w:p>
        </w:tc>
        <w:tc>
          <w:tcPr>
            <w:tcW w:w="0" w:type="auto"/>
            <w:vAlign w:val="center"/>
          </w:tcPr>
          <w:p w:rsidR="000A156F" w:rsidRDefault="00A9721F">
            <w:pPr>
              <w:pStyle w:val="TableBodyText"/>
            </w:pPr>
            <w:r>
              <w:t>1BDF</w:t>
            </w:r>
          </w:p>
        </w:tc>
      </w:tr>
      <w:tr w:rsidR="000A156F" w:rsidTr="000A156F">
        <w:tc>
          <w:tcPr>
            <w:tcW w:w="0" w:type="auto"/>
            <w:vAlign w:val="center"/>
          </w:tcPr>
          <w:p w:rsidR="000A156F" w:rsidRDefault="00A9721F">
            <w:pPr>
              <w:pStyle w:val="TableBodyText"/>
            </w:pPr>
            <w:r>
              <w:t>AlignTop</w:t>
            </w:r>
          </w:p>
        </w:tc>
        <w:tc>
          <w:tcPr>
            <w:tcW w:w="0" w:type="auto"/>
            <w:vAlign w:val="center"/>
          </w:tcPr>
          <w:p w:rsidR="000A156F" w:rsidRDefault="00A9721F">
            <w:pPr>
              <w:pStyle w:val="TableBodyText"/>
            </w:pPr>
            <w:r>
              <w:t>1BE0</w:t>
            </w:r>
          </w:p>
        </w:tc>
      </w:tr>
      <w:tr w:rsidR="000A156F" w:rsidTr="000A156F">
        <w:tc>
          <w:tcPr>
            <w:tcW w:w="0" w:type="auto"/>
            <w:vAlign w:val="center"/>
          </w:tcPr>
          <w:p w:rsidR="000A156F" w:rsidRDefault="00A9721F">
            <w:pPr>
              <w:pStyle w:val="TableBodyText"/>
            </w:pPr>
            <w:r>
              <w:t>AllCaps</w:t>
            </w:r>
          </w:p>
        </w:tc>
        <w:tc>
          <w:tcPr>
            <w:tcW w:w="0" w:type="auto"/>
            <w:vAlign w:val="center"/>
          </w:tcPr>
          <w:p w:rsidR="000A156F" w:rsidRDefault="00A9721F">
            <w:pPr>
              <w:pStyle w:val="TableBodyText"/>
            </w:pPr>
            <w:r>
              <w:t>0030</w:t>
            </w:r>
          </w:p>
        </w:tc>
      </w:tr>
      <w:tr w:rsidR="000A156F" w:rsidTr="000A156F">
        <w:tc>
          <w:tcPr>
            <w:tcW w:w="0" w:type="auto"/>
            <w:vAlign w:val="center"/>
          </w:tcPr>
          <w:p w:rsidR="000A156F" w:rsidRDefault="00A9721F">
            <w:pPr>
              <w:pStyle w:val="TableBodyText"/>
            </w:pPr>
            <w:r>
              <w:t>AllShapesGallery</w:t>
            </w:r>
          </w:p>
        </w:tc>
        <w:tc>
          <w:tcPr>
            <w:tcW w:w="0" w:type="auto"/>
            <w:vAlign w:val="center"/>
          </w:tcPr>
          <w:p w:rsidR="000A156F" w:rsidRDefault="00A9721F">
            <w:pPr>
              <w:pStyle w:val="TableBodyText"/>
            </w:pPr>
            <w:r>
              <w:t>07B4</w:t>
            </w:r>
          </w:p>
        </w:tc>
      </w:tr>
      <w:tr w:rsidR="000A156F" w:rsidTr="000A156F">
        <w:tc>
          <w:tcPr>
            <w:tcW w:w="0" w:type="auto"/>
            <w:vAlign w:val="center"/>
          </w:tcPr>
          <w:p w:rsidR="000A156F" w:rsidRDefault="00A9721F">
            <w:pPr>
              <w:pStyle w:val="TableBodyText"/>
            </w:pPr>
            <w:r>
              <w:t>AnnotInkEraser</w:t>
            </w:r>
          </w:p>
        </w:tc>
        <w:tc>
          <w:tcPr>
            <w:tcW w:w="0" w:type="auto"/>
            <w:vAlign w:val="center"/>
          </w:tcPr>
          <w:p w:rsidR="000A156F" w:rsidRDefault="00A9721F">
            <w:pPr>
              <w:pStyle w:val="TableBodyText"/>
            </w:pPr>
            <w:r>
              <w:t>05C1</w:t>
            </w:r>
          </w:p>
        </w:tc>
      </w:tr>
      <w:tr w:rsidR="000A156F" w:rsidTr="000A156F">
        <w:tc>
          <w:tcPr>
            <w:tcW w:w="0" w:type="auto"/>
            <w:vAlign w:val="center"/>
          </w:tcPr>
          <w:p w:rsidR="000A156F" w:rsidRDefault="00A9721F">
            <w:pPr>
              <w:pStyle w:val="TableBodyText"/>
            </w:pPr>
            <w:r>
              <w:t>AnnotInkPen</w:t>
            </w:r>
          </w:p>
        </w:tc>
        <w:tc>
          <w:tcPr>
            <w:tcW w:w="0" w:type="auto"/>
            <w:vAlign w:val="center"/>
          </w:tcPr>
          <w:p w:rsidR="000A156F" w:rsidRDefault="00A9721F">
            <w:pPr>
              <w:pStyle w:val="TableBodyText"/>
            </w:pPr>
            <w:r>
              <w:t>05C0</w:t>
            </w:r>
          </w:p>
        </w:tc>
      </w:tr>
      <w:tr w:rsidR="000A156F" w:rsidTr="000A156F">
        <w:tc>
          <w:tcPr>
            <w:tcW w:w="0" w:type="auto"/>
            <w:vAlign w:val="center"/>
          </w:tcPr>
          <w:p w:rsidR="000A156F" w:rsidRDefault="00A9721F">
            <w:pPr>
              <w:pStyle w:val="TableBodyText"/>
            </w:pPr>
            <w:r>
              <w:t>AnnotationEdit</w:t>
            </w:r>
          </w:p>
        </w:tc>
        <w:tc>
          <w:tcPr>
            <w:tcW w:w="0" w:type="auto"/>
            <w:vAlign w:val="center"/>
          </w:tcPr>
          <w:p w:rsidR="000A156F" w:rsidRDefault="00A9721F">
            <w:pPr>
              <w:pStyle w:val="TableBodyText"/>
            </w:pPr>
            <w:r>
              <w:t>0535</w:t>
            </w:r>
          </w:p>
        </w:tc>
      </w:tr>
      <w:tr w:rsidR="000A156F" w:rsidTr="000A156F">
        <w:tc>
          <w:tcPr>
            <w:tcW w:w="0" w:type="auto"/>
            <w:vAlign w:val="center"/>
          </w:tcPr>
          <w:p w:rsidR="000A156F" w:rsidRDefault="00A9721F">
            <w:pPr>
              <w:pStyle w:val="TableBodyText"/>
            </w:pPr>
            <w:r>
              <w:t>AppMaximize</w:t>
            </w:r>
          </w:p>
        </w:tc>
        <w:tc>
          <w:tcPr>
            <w:tcW w:w="0" w:type="auto"/>
            <w:vAlign w:val="center"/>
          </w:tcPr>
          <w:p w:rsidR="000A156F" w:rsidRDefault="00A9721F">
            <w:pPr>
              <w:pStyle w:val="TableBodyText"/>
            </w:pPr>
            <w:r>
              <w:t>0118</w:t>
            </w:r>
          </w:p>
        </w:tc>
      </w:tr>
      <w:tr w:rsidR="000A156F" w:rsidTr="000A156F">
        <w:tc>
          <w:tcPr>
            <w:tcW w:w="0" w:type="auto"/>
            <w:vAlign w:val="center"/>
          </w:tcPr>
          <w:p w:rsidR="000A156F" w:rsidRDefault="00A9721F">
            <w:pPr>
              <w:pStyle w:val="TableBodyText"/>
            </w:pPr>
            <w:r>
              <w:t>AppMinimize</w:t>
            </w:r>
          </w:p>
        </w:tc>
        <w:tc>
          <w:tcPr>
            <w:tcW w:w="0" w:type="auto"/>
            <w:vAlign w:val="center"/>
          </w:tcPr>
          <w:p w:rsidR="000A156F" w:rsidRDefault="00A9721F">
            <w:pPr>
              <w:pStyle w:val="TableBodyText"/>
            </w:pPr>
            <w:r>
              <w:t>0117</w:t>
            </w:r>
          </w:p>
        </w:tc>
      </w:tr>
      <w:tr w:rsidR="000A156F" w:rsidTr="000A156F">
        <w:tc>
          <w:tcPr>
            <w:tcW w:w="0" w:type="auto"/>
            <w:vAlign w:val="center"/>
          </w:tcPr>
          <w:p w:rsidR="000A156F" w:rsidRDefault="00A9721F">
            <w:pPr>
              <w:pStyle w:val="TableBodyText"/>
            </w:pPr>
            <w:r>
              <w:t>AppMove</w:t>
            </w:r>
          </w:p>
        </w:tc>
        <w:tc>
          <w:tcPr>
            <w:tcW w:w="0" w:type="auto"/>
            <w:vAlign w:val="center"/>
          </w:tcPr>
          <w:p w:rsidR="000A156F" w:rsidRDefault="00A9721F">
            <w:pPr>
              <w:pStyle w:val="TableBodyText"/>
            </w:pPr>
            <w:r>
              <w:t>01A2</w:t>
            </w:r>
          </w:p>
        </w:tc>
      </w:tr>
      <w:tr w:rsidR="000A156F" w:rsidTr="000A156F">
        <w:tc>
          <w:tcPr>
            <w:tcW w:w="0" w:type="auto"/>
            <w:vAlign w:val="center"/>
          </w:tcPr>
          <w:p w:rsidR="000A156F" w:rsidRDefault="00A9721F">
            <w:pPr>
              <w:pStyle w:val="TableBodyText"/>
            </w:pPr>
            <w:r>
              <w:t>AppRestore</w:t>
            </w:r>
          </w:p>
        </w:tc>
        <w:tc>
          <w:tcPr>
            <w:tcW w:w="0" w:type="auto"/>
            <w:vAlign w:val="center"/>
          </w:tcPr>
          <w:p w:rsidR="000A156F" w:rsidRDefault="00A9721F">
            <w:pPr>
              <w:pStyle w:val="TableBodyText"/>
            </w:pPr>
            <w:r>
              <w:t>0119</w:t>
            </w:r>
          </w:p>
        </w:tc>
      </w:tr>
      <w:tr w:rsidR="000A156F" w:rsidTr="000A156F">
        <w:tc>
          <w:tcPr>
            <w:tcW w:w="0" w:type="auto"/>
            <w:vAlign w:val="center"/>
          </w:tcPr>
          <w:p w:rsidR="000A156F" w:rsidRDefault="00A9721F">
            <w:pPr>
              <w:pStyle w:val="TableBodyText"/>
            </w:pPr>
            <w:r>
              <w:t>AppSize</w:t>
            </w:r>
          </w:p>
        </w:tc>
        <w:tc>
          <w:tcPr>
            <w:tcW w:w="0" w:type="auto"/>
            <w:vAlign w:val="center"/>
          </w:tcPr>
          <w:p w:rsidR="000A156F" w:rsidRDefault="00A9721F">
            <w:pPr>
              <w:pStyle w:val="TableBodyText"/>
            </w:pPr>
            <w:r>
              <w:t>01A3</w:t>
            </w:r>
          </w:p>
        </w:tc>
      </w:tr>
      <w:tr w:rsidR="000A156F" w:rsidTr="000A156F">
        <w:tc>
          <w:tcPr>
            <w:tcW w:w="0" w:type="auto"/>
            <w:vAlign w:val="center"/>
          </w:tcPr>
          <w:p w:rsidR="000A156F" w:rsidRDefault="00A9721F">
            <w:pPr>
              <w:pStyle w:val="TableBodyText"/>
            </w:pPr>
            <w:r>
              <w:t>ApplyFormattingOfOriginal</w:t>
            </w:r>
          </w:p>
        </w:tc>
        <w:tc>
          <w:tcPr>
            <w:tcW w:w="0" w:type="auto"/>
            <w:vAlign w:val="center"/>
          </w:tcPr>
          <w:p w:rsidR="000A156F" w:rsidRDefault="00A9721F">
            <w:pPr>
              <w:pStyle w:val="TableBodyText"/>
            </w:pPr>
            <w:r>
              <w:t>052A</w:t>
            </w:r>
          </w:p>
        </w:tc>
      </w:tr>
      <w:tr w:rsidR="000A156F" w:rsidTr="000A156F">
        <w:tc>
          <w:tcPr>
            <w:tcW w:w="0" w:type="auto"/>
            <w:vAlign w:val="center"/>
          </w:tcPr>
          <w:p w:rsidR="000A156F" w:rsidRDefault="00A9721F">
            <w:pPr>
              <w:pStyle w:val="TableBodyText"/>
            </w:pPr>
            <w:r>
              <w:t>ApplyFormattingOfSurrounding</w:t>
            </w:r>
          </w:p>
        </w:tc>
        <w:tc>
          <w:tcPr>
            <w:tcW w:w="0" w:type="auto"/>
            <w:vAlign w:val="center"/>
          </w:tcPr>
          <w:p w:rsidR="000A156F" w:rsidRDefault="00A9721F">
            <w:pPr>
              <w:pStyle w:val="TableBodyText"/>
            </w:pPr>
            <w:r>
              <w:t>0529</w:t>
            </w:r>
          </w:p>
        </w:tc>
      </w:tr>
      <w:tr w:rsidR="000A156F" w:rsidTr="000A156F">
        <w:tc>
          <w:tcPr>
            <w:tcW w:w="0" w:type="auto"/>
            <w:vAlign w:val="center"/>
          </w:tcPr>
          <w:p w:rsidR="000A156F" w:rsidRDefault="00A9721F">
            <w:pPr>
              <w:pStyle w:val="TableBodyText"/>
            </w:pPr>
            <w:r>
              <w:t>ApplyHeading1</w:t>
            </w:r>
          </w:p>
        </w:tc>
        <w:tc>
          <w:tcPr>
            <w:tcW w:w="0" w:type="auto"/>
            <w:vAlign w:val="center"/>
          </w:tcPr>
          <w:p w:rsidR="000A156F" w:rsidRDefault="00A9721F">
            <w:pPr>
              <w:pStyle w:val="TableBodyText"/>
            </w:pPr>
            <w:r>
              <w:t>0251</w:t>
            </w:r>
          </w:p>
        </w:tc>
      </w:tr>
      <w:tr w:rsidR="000A156F" w:rsidTr="000A156F">
        <w:tc>
          <w:tcPr>
            <w:tcW w:w="0" w:type="auto"/>
            <w:vAlign w:val="center"/>
          </w:tcPr>
          <w:p w:rsidR="000A156F" w:rsidRDefault="00A9721F">
            <w:pPr>
              <w:pStyle w:val="TableBodyText"/>
            </w:pPr>
            <w:r>
              <w:lastRenderedPageBreak/>
              <w:t>ApplyHeading2</w:t>
            </w:r>
          </w:p>
        </w:tc>
        <w:tc>
          <w:tcPr>
            <w:tcW w:w="0" w:type="auto"/>
            <w:vAlign w:val="center"/>
          </w:tcPr>
          <w:p w:rsidR="000A156F" w:rsidRDefault="00A9721F">
            <w:pPr>
              <w:pStyle w:val="TableBodyText"/>
            </w:pPr>
            <w:r>
              <w:t>0252</w:t>
            </w:r>
          </w:p>
        </w:tc>
      </w:tr>
      <w:tr w:rsidR="000A156F" w:rsidTr="000A156F">
        <w:tc>
          <w:tcPr>
            <w:tcW w:w="0" w:type="auto"/>
            <w:vAlign w:val="center"/>
          </w:tcPr>
          <w:p w:rsidR="000A156F" w:rsidRDefault="00A9721F">
            <w:pPr>
              <w:pStyle w:val="TableBodyText"/>
            </w:pPr>
            <w:r>
              <w:t>ApplyHeading3</w:t>
            </w:r>
          </w:p>
        </w:tc>
        <w:tc>
          <w:tcPr>
            <w:tcW w:w="0" w:type="auto"/>
            <w:vAlign w:val="center"/>
          </w:tcPr>
          <w:p w:rsidR="000A156F" w:rsidRDefault="00A9721F">
            <w:pPr>
              <w:pStyle w:val="TableBodyText"/>
            </w:pPr>
            <w:r>
              <w:t>0253</w:t>
            </w:r>
          </w:p>
        </w:tc>
      </w:tr>
      <w:tr w:rsidR="000A156F" w:rsidTr="000A156F">
        <w:tc>
          <w:tcPr>
            <w:tcW w:w="0" w:type="auto"/>
            <w:vAlign w:val="center"/>
          </w:tcPr>
          <w:p w:rsidR="000A156F" w:rsidRDefault="00A9721F">
            <w:pPr>
              <w:pStyle w:val="TableBodyText"/>
            </w:pPr>
            <w:r>
              <w:t>ApplyListBullet</w:t>
            </w:r>
          </w:p>
        </w:tc>
        <w:tc>
          <w:tcPr>
            <w:tcW w:w="0" w:type="auto"/>
            <w:vAlign w:val="center"/>
          </w:tcPr>
          <w:p w:rsidR="000A156F" w:rsidRDefault="00A9721F">
            <w:pPr>
              <w:pStyle w:val="TableBodyText"/>
            </w:pPr>
            <w:r>
              <w:t>0254</w:t>
            </w:r>
          </w:p>
        </w:tc>
      </w:tr>
      <w:tr w:rsidR="000A156F" w:rsidTr="000A156F">
        <w:tc>
          <w:tcPr>
            <w:tcW w:w="0" w:type="auto"/>
            <w:vAlign w:val="center"/>
          </w:tcPr>
          <w:p w:rsidR="000A156F" w:rsidRDefault="00A9721F">
            <w:pPr>
              <w:pStyle w:val="TableBodyText"/>
            </w:pPr>
            <w:r>
              <w:t>ApplyQFSetInitial</w:t>
            </w:r>
          </w:p>
        </w:tc>
        <w:tc>
          <w:tcPr>
            <w:tcW w:w="0" w:type="auto"/>
            <w:vAlign w:val="center"/>
          </w:tcPr>
          <w:p w:rsidR="000A156F" w:rsidRDefault="00A9721F">
            <w:pPr>
              <w:pStyle w:val="TableBodyText"/>
            </w:pPr>
            <w:r>
              <w:t>0935</w:t>
            </w:r>
          </w:p>
        </w:tc>
      </w:tr>
      <w:tr w:rsidR="000A156F" w:rsidTr="000A156F">
        <w:tc>
          <w:tcPr>
            <w:tcW w:w="0" w:type="auto"/>
            <w:vAlign w:val="center"/>
          </w:tcPr>
          <w:p w:rsidR="000A156F" w:rsidRDefault="00A9721F">
            <w:pPr>
              <w:pStyle w:val="TableBodyText"/>
            </w:pPr>
            <w:r>
              <w:t>ApplyQFSetTemplate</w:t>
            </w:r>
          </w:p>
        </w:tc>
        <w:tc>
          <w:tcPr>
            <w:tcW w:w="0" w:type="auto"/>
            <w:vAlign w:val="center"/>
          </w:tcPr>
          <w:p w:rsidR="000A156F" w:rsidRDefault="00A9721F">
            <w:pPr>
              <w:pStyle w:val="TableBodyText"/>
            </w:pPr>
            <w:r>
              <w:t>0936</w:t>
            </w:r>
          </w:p>
        </w:tc>
      </w:tr>
      <w:tr w:rsidR="000A156F" w:rsidTr="000A156F">
        <w:tc>
          <w:tcPr>
            <w:tcW w:w="0" w:type="auto"/>
            <w:vAlign w:val="center"/>
          </w:tcPr>
          <w:p w:rsidR="000A156F" w:rsidRDefault="00A9721F">
            <w:pPr>
              <w:pStyle w:val="TableBodyText"/>
            </w:pPr>
            <w:r>
              <w:t>ApplyQuickFormat</w:t>
            </w:r>
          </w:p>
        </w:tc>
        <w:tc>
          <w:tcPr>
            <w:tcW w:w="0" w:type="auto"/>
            <w:vAlign w:val="center"/>
          </w:tcPr>
          <w:p w:rsidR="000A156F" w:rsidRDefault="00A9721F">
            <w:pPr>
              <w:pStyle w:val="TableBodyText"/>
            </w:pPr>
            <w:r>
              <w:t>0887</w:t>
            </w:r>
          </w:p>
        </w:tc>
      </w:tr>
      <w:tr w:rsidR="000A156F" w:rsidTr="000A156F">
        <w:tc>
          <w:tcPr>
            <w:tcW w:w="0" w:type="auto"/>
            <w:vAlign w:val="center"/>
          </w:tcPr>
          <w:p w:rsidR="000A156F" w:rsidRDefault="00A9721F">
            <w:pPr>
              <w:pStyle w:val="TableBodyText"/>
            </w:pPr>
            <w:r>
              <w:t>ApplyQuickStyleSet</w:t>
            </w:r>
          </w:p>
        </w:tc>
        <w:tc>
          <w:tcPr>
            <w:tcW w:w="0" w:type="auto"/>
            <w:vAlign w:val="center"/>
          </w:tcPr>
          <w:p w:rsidR="000A156F" w:rsidRDefault="00A9721F">
            <w:pPr>
              <w:pStyle w:val="TableBodyText"/>
            </w:pPr>
            <w:r>
              <w:t>0888</w:t>
            </w:r>
          </w:p>
        </w:tc>
      </w:tr>
      <w:tr w:rsidR="000A156F" w:rsidTr="000A156F">
        <w:tc>
          <w:tcPr>
            <w:tcW w:w="0" w:type="auto"/>
            <w:vAlign w:val="center"/>
          </w:tcPr>
          <w:p w:rsidR="000A156F" w:rsidRDefault="00A9721F">
            <w:pPr>
              <w:pStyle w:val="TableBodyText"/>
            </w:pPr>
            <w:r>
              <w:t>ApplyStructure</w:t>
            </w:r>
          </w:p>
        </w:tc>
        <w:tc>
          <w:tcPr>
            <w:tcW w:w="0" w:type="auto"/>
            <w:vAlign w:val="center"/>
          </w:tcPr>
          <w:p w:rsidR="000A156F" w:rsidRDefault="00A9721F">
            <w:pPr>
              <w:pStyle w:val="TableBodyText"/>
            </w:pPr>
            <w:r>
              <w:t>05B2</w:t>
            </w:r>
          </w:p>
        </w:tc>
      </w:tr>
      <w:tr w:rsidR="000A156F" w:rsidTr="000A156F">
        <w:tc>
          <w:tcPr>
            <w:tcW w:w="0" w:type="auto"/>
            <w:vAlign w:val="center"/>
          </w:tcPr>
          <w:p w:rsidR="000A156F" w:rsidRDefault="00A9721F">
            <w:pPr>
              <w:pStyle w:val="TableBodyText"/>
            </w:pPr>
            <w:r>
              <w:t>ApplyTableStyle</w:t>
            </w:r>
          </w:p>
        </w:tc>
        <w:tc>
          <w:tcPr>
            <w:tcW w:w="0" w:type="auto"/>
            <w:vAlign w:val="center"/>
          </w:tcPr>
          <w:p w:rsidR="000A156F" w:rsidRDefault="00A9721F">
            <w:pPr>
              <w:pStyle w:val="TableBodyText"/>
            </w:pPr>
            <w:r>
              <w:t>08F7</w:t>
            </w:r>
          </w:p>
        </w:tc>
      </w:tr>
      <w:tr w:rsidR="000A156F" w:rsidTr="000A156F">
        <w:tc>
          <w:tcPr>
            <w:tcW w:w="0" w:type="auto"/>
            <w:vAlign w:val="center"/>
          </w:tcPr>
          <w:p w:rsidR="000A156F" w:rsidRDefault="00A9721F">
            <w:pPr>
              <w:pStyle w:val="TableBodyText"/>
            </w:pPr>
            <w:r>
              <w:t>ApplyXMLStructureMenu</w:t>
            </w:r>
          </w:p>
        </w:tc>
        <w:tc>
          <w:tcPr>
            <w:tcW w:w="0" w:type="auto"/>
            <w:vAlign w:val="center"/>
          </w:tcPr>
          <w:p w:rsidR="000A156F" w:rsidRDefault="00A9721F">
            <w:pPr>
              <w:pStyle w:val="TableBodyText"/>
            </w:pPr>
            <w:r>
              <w:t>16B8</w:t>
            </w:r>
          </w:p>
        </w:tc>
      </w:tr>
      <w:tr w:rsidR="000A156F" w:rsidTr="000A156F">
        <w:tc>
          <w:tcPr>
            <w:tcW w:w="0" w:type="auto"/>
            <w:vAlign w:val="center"/>
          </w:tcPr>
          <w:p w:rsidR="000A156F" w:rsidRDefault="00A9721F">
            <w:pPr>
              <w:pStyle w:val="TableBodyText"/>
            </w:pPr>
            <w:r>
              <w:t>ArrowStyleGallery</w:t>
            </w:r>
          </w:p>
        </w:tc>
        <w:tc>
          <w:tcPr>
            <w:tcW w:w="0" w:type="auto"/>
            <w:vAlign w:val="center"/>
          </w:tcPr>
          <w:p w:rsidR="000A156F" w:rsidRDefault="00A9721F">
            <w:pPr>
              <w:pStyle w:val="TableBodyText"/>
            </w:pPr>
            <w:r>
              <w:t>07B8</w:t>
            </w:r>
          </w:p>
        </w:tc>
      </w:tr>
      <w:tr w:rsidR="000A156F" w:rsidTr="000A156F">
        <w:tc>
          <w:tcPr>
            <w:tcW w:w="0" w:type="auto"/>
            <w:vAlign w:val="center"/>
          </w:tcPr>
          <w:p w:rsidR="000A156F" w:rsidRDefault="00A9721F">
            <w:pPr>
              <w:pStyle w:val="TableBodyText"/>
            </w:pPr>
            <w:r>
              <w:t>AsianLayoutFlyout</w:t>
            </w:r>
          </w:p>
        </w:tc>
        <w:tc>
          <w:tcPr>
            <w:tcW w:w="0" w:type="auto"/>
            <w:vAlign w:val="center"/>
          </w:tcPr>
          <w:p w:rsidR="000A156F" w:rsidRDefault="00A9721F">
            <w:pPr>
              <w:pStyle w:val="TableBodyText"/>
            </w:pPr>
            <w:r>
              <w:t>08A4</w:t>
            </w:r>
          </w:p>
        </w:tc>
      </w:tr>
      <w:tr w:rsidR="000A156F" w:rsidTr="000A156F">
        <w:tc>
          <w:tcPr>
            <w:tcW w:w="0" w:type="auto"/>
            <w:vAlign w:val="center"/>
          </w:tcPr>
          <w:p w:rsidR="000A156F" w:rsidRDefault="00A9721F">
            <w:pPr>
              <w:pStyle w:val="TableBodyText"/>
            </w:pPr>
            <w:r>
              <w:t>AutoFitContent</w:t>
            </w:r>
          </w:p>
        </w:tc>
        <w:tc>
          <w:tcPr>
            <w:tcW w:w="0" w:type="auto"/>
            <w:vAlign w:val="center"/>
          </w:tcPr>
          <w:p w:rsidR="000A156F" w:rsidRDefault="00A9721F">
            <w:pPr>
              <w:pStyle w:val="TableBodyText"/>
            </w:pPr>
            <w:r>
              <w:t>0475</w:t>
            </w:r>
          </w:p>
        </w:tc>
      </w:tr>
      <w:tr w:rsidR="000A156F" w:rsidTr="000A156F">
        <w:tc>
          <w:tcPr>
            <w:tcW w:w="0" w:type="auto"/>
            <w:vAlign w:val="center"/>
          </w:tcPr>
          <w:p w:rsidR="000A156F" w:rsidRDefault="00A9721F">
            <w:pPr>
              <w:pStyle w:val="TableBodyText"/>
            </w:pPr>
            <w:r>
              <w:t>AutoFitFixed</w:t>
            </w:r>
          </w:p>
        </w:tc>
        <w:tc>
          <w:tcPr>
            <w:tcW w:w="0" w:type="auto"/>
            <w:vAlign w:val="center"/>
          </w:tcPr>
          <w:p w:rsidR="000A156F" w:rsidRDefault="00A9721F">
            <w:pPr>
              <w:pStyle w:val="TableBodyText"/>
            </w:pPr>
            <w:r>
              <w:t>0478</w:t>
            </w:r>
          </w:p>
        </w:tc>
      </w:tr>
      <w:tr w:rsidR="000A156F" w:rsidTr="000A156F">
        <w:tc>
          <w:tcPr>
            <w:tcW w:w="0" w:type="auto"/>
            <w:vAlign w:val="center"/>
          </w:tcPr>
          <w:p w:rsidR="000A156F" w:rsidRDefault="00A9721F">
            <w:pPr>
              <w:pStyle w:val="TableBodyText"/>
            </w:pPr>
            <w:r>
              <w:t>AutoFitWindow</w:t>
            </w:r>
          </w:p>
        </w:tc>
        <w:tc>
          <w:tcPr>
            <w:tcW w:w="0" w:type="auto"/>
            <w:vAlign w:val="center"/>
          </w:tcPr>
          <w:p w:rsidR="000A156F" w:rsidRDefault="00A9721F">
            <w:pPr>
              <w:pStyle w:val="TableBodyText"/>
            </w:pPr>
            <w:r>
              <w:t>0476</w:t>
            </w:r>
          </w:p>
        </w:tc>
      </w:tr>
      <w:tr w:rsidR="000A156F" w:rsidTr="000A156F">
        <w:tc>
          <w:tcPr>
            <w:tcW w:w="0" w:type="auto"/>
            <w:vAlign w:val="center"/>
          </w:tcPr>
          <w:p w:rsidR="000A156F" w:rsidRDefault="00A9721F">
            <w:pPr>
              <w:pStyle w:val="TableBodyText"/>
            </w:pPr>
            <w:r>
              <w:t>AutoMarkIndexEntries</w:t>
            </w:r>
          </w:p>
        </w:tc>
        <w:tc>
          <w:tcPr>
            <w:tcW w:w="0" w:type="auto"/>
            <w:vAlign w:val="center"/>
          </w:tcPr>
          <w:p w:rsidR="000A156F" w:rsidRDefault="00A9721F">
            <w:pPr>
              <w:pStyle w:val="TableBodyText"/>
            </w:pPr>
            <w:r>
              <w:t>0268</w:t>
            </w:r>
          </w:p>
        </w:tc>
      </w:tr>
      <w:tr w:rsidR="000A156F" w:rsidTr="000A156F">
        <w:tc>
          <w:tcPr>
            <w:tcW w:w="0" w:type="auto"/>
            <w:vAlign w:val="center"/>
          </w:tcPr>
          <w:p w:rsidR="000A156F" w:rsidRDefault="00A9721F">
            <w:pPr>
              <w:pStyle w:val="TableBodyText"/>
            </w:pPr>
            <w:r>
              <w:t>AutoScroll</w:t>
            </w:r>
          </w:p>
        </w:tc>
        <w:tc>
          <w:tcPr>
            <w:tcW w:w="0" w:type="auto"/>
            <w:vAlign w:val="center"/>
          </w:tcPr>
          <w:p w:rsidR="000A156F" w:rsidRDefault="00A9721F">
            <w:pPr>
              <w:pStyle w:val="TableBodyText"/>
            </w:pPr>
            <w:r>
              <w:t>03E2</w:t>
            </w:r>
          </w:p>
        </w:tc>
      </w:tr>
      <w:tr w:rsidR="000A156F" w:rsidTr="000A156F">
        <w:tc>
          <w:tcPr>
            <w:tcW w:w="0" w:type="auto"/>
            <w:vAlign w:val="center"/>
          </w:tcPr>
          <w:p w:rsidR="000A156F" w:rsidRDefault="00A9721F">
            <w:pPr>
              <w:pStyle w:val="TableBodyText"/>
            </w:pPr>
            <w:r>
              <w:t>AutoSignatureList</w:t>
            </w:r>
          </w:p>
        </w:tc>
        <w:tc>
          <w:tcPr>
            <w:tcW w:w="0" w:type="auto"/>
            <w:vAlign w:val="center"/>
          </w:tcPr>
          <w:p w:rsidR="000A156F" w:rsidRDefault="00A9721F">
            <w:pPr>
              <w:pStyle w:val="TableBodyText"/>
            </w:pPr>
            <w:r>
              <w:t>167D</w:t>
            </w:r>
          </w:p>
        </w:tc>
      </w:tr>
      <w:tr w:rsidR="000A156F" w:rsidTr="000A156F">
        <w:tc>
          <w:tcPr>
            <w:tcW w:w="0" w:type="auto"/>
            <w:vAlign w:val="center"/>
          </w:tcPr>
          <w:p w:rsidR="000A156F" w:rsidRDefault="00A9721F">
            <w:pPr>
              <w:pStyle w:val="TableBodyText"/>
            </w:pPr>
            <w:r>
              <w:t>AutoSummarizeClose</w:t>
            </w:r>
          </w:p>
        </w:tc>
        <w:tc>
          <w:tcPr>
            <w:tcW w:w="0" w:type="auto"/>
            <w:vAlign w:val="center"/>
          </w:tcPr>
          <w:p w:rsidR="000A156F" w:rsidRDefault="00A9721F">
            <w:pPr>
              <w:pStyle w:val="TableBodyText"/>
            </w:pPr>
            <w:r>
              <w:t>038A</w:t>
            </w:r>
          </w:p>
        </w:tc>
      </w:tr>
      <w:tr w:rsidR="000A156F" w:rsidTr="000A156F">
        <w:tc>
          <w:tcPr>
            <w:tcW w:w="0" w:type="auto"/>
            <w:vAlign w:val="center"/>
          </w:tcPr>
          <w:p w:rsidR="000A156F" w:rsidRDefault="00A9721F">
            <w:pPr>
              <w:pStyle w:val="TableBodyText"/>
            </w:pPr>
            <w:r>
              <w:t>AutoSummarizePercentOfOriginal</w:t>
            </w:r>
          </w:p>
        </w:tc>
        <w:tc>
          <w:tcPr>
            <w:tcW w:w="0" w:type="auto"/>
            <w:vAlign w:val="center"/>
          </w:tcPr>
          <w:p w:rsidR="000A156F" w:rsidRDefault="00A9721F">
            <w:pPr>
              <w:pStyle w:val="TableBodyText"/>
            </w:pPr>
            <w:r>
              <w:t>038D</w:t>
            </w:r>
          </w:p>
        </w:tc>
      </w:tr>
      <w:tr w:rsidR="000A156F" w:rsidTr="000A156F">
        <w:tc>
          <w:tcPr>
            <w:tcW w:w="0" w:type="auto"/>
            <w:vAlign w:val="center"/>
          </w:tcPr>
          <w:p w:rsidR="000A156F" w:rsidRDefault="00A9721F">
            <w:pPr>
              <w:pStyle w:val="TableBodyText"/>
            </w:pPr>
            <w:r>
              <w:t>AutoSummarizeToggleView</w:t>
            </w:r>
          </w:p>
        </w:tc>
        <w:tc>
          <w:tcPr>
            <w:tcW w:w="0" w:type="auto"/>
            <w:vAlign w:val="center"/>
          </w:tcPr>
          <w:p w:rsidR="000A156F" w:rsidRDefault="00A9721F">
            <w:pPr>
              <w:pStyle w:val="TableBodyText"/>
            </w:pPr>
            <w:r>
              <w:t>038E</w:t>
            </w:r>
          </w:p>
        </w:tc>
      </w:tr>
      <w:tr w:rsidR="000A156F" w:rsidTr="000A156F">
        <w:tc>
          <w:tcPr>
            <w:tcW w:w="0" w:type="auto"/>
            <w:vAlign w:val="center"/>
          </w:tcPr>
          <w:p w:rsidR="000A156F" w:rsidRDefault="00A9721F">
            <w:pPr>
              <w:pStyle w:val="TableBodyText"/>
            </w:pPr>
            <w:r>
              <w:t>AutoSummarizeUpdateFileProperties</w:t>
            </w:r>
          </w:p>
        </w:tc>
        <w:tc>
          <w:tcPr>
            <w:tcW w:w="0" w:type="auto"/>
            <w:vAlign w:val="center"/>
          </w:tcPr>
          <w:p w:rsidR="000A156F" w:rsidRDefault="00A9721F">
            <w:pPr>
              <w:pStyle w:val="TableBodyText"/>
            </w:pPr>
            <w:r>
              <w:t>038C</w:t>
            </w:r>
          </w:p>
        </w:tc>
      </w:tr>
      <w:tr w:rsidR="000A156F" w:rsidTr="000A156F">
        <w:tc>
          <w:tcPr>
            <w:tcW w:w="0" w:type="auto"/>
            <w:vAlign w:val="center"/>
          </w:tcPr>
          <w:p w:rsidR="000A156F" w:rsidRDefault="00A9721F">
            <w:pPr>
              <w:pStyle w:val="TableBodyText"/>
            </w:pPr>
            <w:r>
              <w:t>AutoText</w:t>
            </w:r>
          </w:p>
        </w:tc>
        <w:tc>
          <w:tcPr>
            <w:tcW w:w="0" w:type="auto"/>
            <w:vAlign w:val="center"/>
          </w:tcPr>
          <w:p w:rsidR="000A156F" w:rsidRDefault="00A9721F">
            <w:pPr>
              <w:pStyle w:val="TableBodyText"/>
            </w:pPr>
            <w:r>
              <w:t>028D</w:t>
            </w:r>
          </w:p>
        </w:tc>
      </w:tr>
      <w:tr w:rsidR="000A156F" w:rsidTr="000A156F">
        <w:tc>
          <w:tcPr>
            <w:tcW w:w="0" w:type="auto"/>
            <w:vAlign w:val="center"/>
          </w:tcPr>
          <w:p w:rsidR="000A156F" w:rsidRDefault="00A9721F">
            <w:pPr>
              <w:pStyle w:val="TableBodyText"/>
            </w:pPr>
            <w:r>
              <w:t>AutoTextGallery</w:t>
            </w:r>
          </w:p>
        </w:tc>
        <w:tc>
          <w:tcPr>
            <w:tcW w:w="0" w:type="auto"/>
            <w:vAlign w:val="center"/>
          </w:tcPr>
          <w:p w:rsidR="000A156F" w:rsidRDefault="00A9721F">
            <w:pPr>
              <w:pStyle w:val="TableBodyText"/>
            </w:pPr>
            <w:r>
              <w:t>08DE</w:t>
            </w:r>
          </w:p>
        </w:tc>
      </w:tr>
      <w:tr w:rsidR="000A156F" w:rsidTr="000A156F">
        <w:tc>
          <w:tcPr>
            <w:tcW w:w="0" w:type="auto"/>
            <w:vAlign w:val="center"/>
          </w:tcPr>
          <w:p w:rsidR="000A156F" w:rsidRDefault="00A9721F">
            <w:pPr>
              <w:pStyle w:val="TableBodyText"/>
            </w:pPr>
            <w:r>
              <w:t>AutomaticChange</w:t>
            </w:r>
          </w:p>
        </w:tc>
        <w:tc>
          <w:tcPr>
            <w:tcW w:w="0" w:type="auto"/>
            <w:vAlign w:val="center"/>
          </w:tcPr>
          <w:p w:rsidR="000A156F" w:rsidRDefault="00A9721F">
            <w:pPr>
              <w:pStyle w:val="TableBodyText"/>
            </w:pPr>
            <w:r>
              <w:t>0FE6</w:t>
            </w:r>
          </w:p>
        </w:tc>
      </w:tr>
      <w:tr w:rsidR="000A156F" w:rsidTr="000A156F">
        <w:tc>
          <w:tcPr>
            <w:tcW w:w="0" w:type="auto"/>
            <w:vAlign w:val="center"/>
          </w:tcPr>
          <w:p w:rsidR="000A156F" w:rsidRDefault="00A9721F">
            <w:pPr>
              <w:pStyle w:val="TableBodyText"/>
            </w:pPr>
            <w:r>
              <w:t>BBPropertiesDlg</w:t>
            </w:r>
          </w:p>
        </w:tc>
        <w:tc>
          <w:tcPr>
            <w:tcW w:w="0" w:type="auto"/>
            <w:vAlign w:val="center"/>
          </w:tcPr>
          <w:p w:rsidR="000A156F" w:rsidRDefault="00A9721F">
            <w:pPr>
              <w:pStyle w:val="TableBodyText"/>
            </w:pPr>
            <w:r>
              <w:t>095A</w:t>
            </w:r>
          </w:p>
        </w:tc>
      </w:tr>
      <w:tr w:rsidR="000A156F" w:rsidTr="000A156F">
        <w:tc>
          <w:tcPr>
            <w:tcW w:w="0" w:type="auto"/>
            <w:vAlign w:val="center"/>
          </w:tcPr>
          <w:p w:rsidR="000A156F" w:rsidRDefault="00A9721F">
            <w:pPr>
              <w:pStyle w:val="TableBodyText"/>
            </w:pPr>
            <w:r>
              <w:t>BackHistoryItem</w:t>
            </w:r>
          </w:p>
        </w:tc>
        <w:tc>
          <w:tcPr>
            <w:tcW w:w="0" w:type="auto"/>
            <w:vAlign w:val="center"/>
          </w:tcPr>
          <w:p w:rsidR="000A156F" w:rsidRDefault="00A9721F">
            <w:pPr>
              <w:pStyle w:val="TableBodyText"/>
            </w:pPr>
            <w:r>
              <w:t>05CE</w:t>
            </w:r>
          </w:p>
        </w:tc>
      </w:tr>
      <w:tr w:rsidR="000A156F" w:rsidTr="000A156F">
        <w:tc>
          <w:tcPr>
            <w:tcW w:w="0" w:type="auto"/>
            <w:vAlign w:val="center"/>
          </w:tcPr>
          <w:p w:rsidR="000A156F" w:rsidRDefault="00A9721F">
            <w:pPr>
              <w:pStyle w:val="TableBodyText"/>
            </w:pPr>
            <w:r>
              <w:t>BackgroundColorPicker</w:t>
            </w:r>
          </w:p>
        </w:tc>
        <w:tc>
          <w:tcPr>
            <w:tcW w:w="0" w:type="auto"/>
            <w:vAlign w:val="center"/>
          </w:tcPr>
          <w:p w:rsidR="000A156F" w:rsidRDefault="00A9721F">
            <w:pPr>
              <w:pStyle w:val="TableBodyText"/>
            </w:pPr>
            <w:r>
              <w:t>08BA</w:t>
            </w:r>
          </w:p>
        </w:tc>
      </w:tr>
      <w:tr w:rsidR="000A156F" w:rsidTr="000A156F">
        <w:tc>
          <w:tcPr>
            <w:tcW w:w="0" w:type="auto"/>
            <w:vAlign w:val="center"/>
          </w:tcPr>
          <w:p w:rsidR="000A156F" w:rsidRDefault="00A9721F">
            <w:pPr>
              <w:pStyle w:val="TableBodyText"/>
            </w:pPr>
            <w:r>
              <w:t>BarCodeGroup</w:t>
            </w:r>
          </w:p>
        </w:tc>
        <w:tc>
          <w:tcPr>
            <w:tcW w:w="0" w:type="auto"/>
            <w:vAlign w:val="center"/>
          </w:tcPr>
          <w:p w:rsidR="000A156F" w:rsidRDefault="00A9721F">
            <w:pPr>
              <w:pStyle w:val="TableBodyText"/>
            </w:pPr>
            <w:r>
              <w:t>08A3</w:t>
            </w:r>
          </w:p>
        </w:tc>
      </w:tr>
      <w:tr w:rsidR="000A156F" w:rsidTr="000A156F">
        <w:tc>
          <w:tcPr>
            <w:tcW w:w="0" w:type="auto"/>
            <w:vAlign w:val="center"/>
          </w:tcPr>
          <w:p w:rsidR="000A156F" w:rsidRDefault="00A9721F">
            <w:pPr>
              <w:pStyle w:val="TableBodyText"/>
            </w:pPr>
            <w:r>
              <w:t>BibInsertSource</w:t>
            </w:r>
          </w:p>
        </w:tc>
        <w:tc>
          <w:tcPr>
            <w:tcW w:w="0" w:type="auto"/>
            <w:vAlign w:val="center"/>
          </w:tcPr>
          <w:p w:rsidR="000A156F" w:rsidRDefault="00A9721F">
            <w:pPr>
              <w:pStyle w:val="TableBodyText"/>
            </w:pPr>
            <w:r>
              <w:t>0848</w:t>
            </w:r>
          </w:p>
        </w:tc>
      </w:tr>
      <w:tr w:rsidR="000A156F" w:rsidTr="000A156F">
        <w:tc>
          <w:tcPr>
            <w:tcW w:w="0" w:type="auto"/>
            <w:vAlign w:val="center"/>
          </w:tcPr>
          <w:p w:rsidR="000A156F" w:rsidRDefault="00A9721F">
            <w:pPr>
              <w:pStyle w:val="TableBodyText"/>
            </w:pPr>
            <w:r>
              <w:t>BibUpdateLang</w:t>
            </w:r>
          </w:p>
        </w:tc>
        <w:tc>
          <w:tcPr>
            <w:tcW w:w="0" w:type="auto"/>
            <w:vAlign w:val="center"/>
          </w:tcPr>
          <w:p w:rsidR="000A156F" w:rsidRDefault="00A9721F">
            <w:pPr>
              <w:pStyle w:val="TableBodyText"/>
            </w:pPr>
            <w:r>
              <w:t>09A1</w:t>
            </w:r>
          </w:p>
        </w:tc>
      </w:tr>
      <w:tr w:rsidR="000A156F" w:rsidTr="000A156F">
        <w:tc>
          <w:tcPr>
            <w:tcW w:w="0" w:type="auto"/>
            <w:vAlign w:val="center"/>
          </w:tcPr>
          <w:p w:rsidR="000A156F" w:rsidRDefault="00A9721F">
            <w:pPr>
              <w:pStyle w:val="TableBodyText"/>
            </w:pPr>
            <w:r>
              <w:t>BibliographyBibliographyToText</w:t>
            </w:r>
          </w:p>
        </w:tc>
        <w:tc>
          <w:tcPr>
            <w:tcW w:w="0" w:type="auto"/>
            <w:vAlign w:val="center"/>
          </w:tcPr>
          <w:p w:rsidR="000A156F" w:rsidRDefault="00A9721F">
            <w:pPr>
              <w:pStyle w:val="TableBodyText"/>
            </w:pPr>
            <w:r>
              <w:t>0985</w:t>
            </w:r>
          </w:p>
        </w:tc>
      </w:tr>
      <w:tr w:rsidR="000A156F" w:rsidTr="000A156F">
        <w:tc>
          <w:tcPr>
            <w:tcW w:w="0" w:type="auto"/>
            <w:vAlign w:val="center"/>
          </w:tcPr>
          <w:p w:rsidR="000A156F" w:rsidRDefault="00A9721F">
            <w:pPr>
              <w:pStyle w:val="TableBodyText"/>
            </w:pPr>
            <w:r>
              <w:lastRenderedPageBreak/>
              <w:t>BibliographyCitationToText</w:t>
            </w:r>
          </w:p>
        </w:tc>
        <w:tc>
          <w:tcPr>
            <w:tcW w:w="0" w:type="auto"/>
            <w:vAlign w:val="center"/>
          </w:tcPr>
          <w:p w:rsidR="000A156F" w:rsidRDefault="00A9721F">
            <w:pPr>
              <w:pStyle w:val="TableBodyText"/>
            </w:pPr>
            <w:r>
              <w:t>093B</w:t>
            </w:r>
          </w:p>
        </w:tc>
      </w:tr>
      <w:tr w:rsidR="000A156F" w:rsidTr="000A156F">
        <w:tc>
          <w:tcPr>
            <w:tcW w:w="0" w:type="auto"/>
            <w:vAlign w:val="center"/>
          </w:tcPr>
          <w:p w:rsidR="000A156F" w:rsidRDefault="00A9721F">
            <w:pPr>
              <w:pStyle w:val="TableBodyText"/>
            </w:pPr>
            <w:r>
              <w:t>BibliographyCreateSource</w:t>
            </w:r>
          </w:p>
        </w:tc>
        <w:tc>
          <w:tcPr>
            <w:tcW w:w="0" w:type="auto"/>
            <w:vAlign w:val="center"/>
          </w:tcPr>
          <w:p w:rsidR="000A156F" w:rsidRDefault="00A9721F">
            <w:pPr>
              <w:pStyle w:val="TableBodyText"/>
            </w:pPr>
            <w:r>
              <w:t>0782</w:t>
            </w:r>
          </w:p>
        </w:tc>
      </w:tr>
      <w:tr w:rsidR="000A156F" w:rsidTr="000A156F">
        <w:tc>
          <w:tcPr>
            <w:tcW w:w="0" w:type="auto"/>
            <w:vAlign w:val="center"/>
          </w:tcPr>
          <w:p w:rsidR="000A156F" w:rsidRDefault="00A9721F">
            <w:pPr>
              <w:pStyle w:val="TableBodyText"/>
            </w:pPr>
            <w:r>
              <w:t>BibliographyEditCitationButton</w:t>
            </w:r>
          </w:p>
        </w:tc>
        <w:tc>
          <w:tcPr>
            <w:tcW w:w="0" w:type="auto"/>
            <w:vAlign w:val="center"/>
          </w:tcPr>
          <w:p w:rsidR="000A156F" w:rsidRDefault="00A9721F">
            <w:pPr>
              <w:pStyle w:val="TableBodyText"/>
            </w:pPr>
            <w:r>
              <w:t>0979</w:t>
            </w:r>
          </w:p>
        </w:tc>
      </w:tr>
      <w:tr w:rsidR="000A156F" w:rsidTr="000A156F">
        <w:tc>
          <w:tcPr>
            <w:tcW w:w="0" w:type="auto"/>
            <w:vAlign w:val="center"/>
          </w:tcPr>
          <w:p w:rsidR="000A156F" w:rsidRDefault="00A9721F">
            <w:pPr>
              <w:pStyle w:val="TableBodyText"/>
            </w:pPr>
            <w:r>
              <w:t>BibliographyEditCitationToolbar</w:t>
            </w:r>
          </w:p>
        </w:tc>
        <w:tc>
          <w:tcPr>
            <w:tcW w:w="0" w:type="auto"/>
            <w:vAlign w:val="center"/>
          </w:tcPr>
          <w:p w:rsidR="000A156F" w:rsidRDefault="00A9721F">
            <w:pPr>
              <w:pStyle w:val="TableBodyText"/>
            </w:pPr>
            <w:r>
              <w:t>097B</w:t>
            </w:r>
          </w:p>
        </w:tc>
      </w:tr>
      <w:tr w:rsidR="000A156F" w:rsidTr="000A156F">
        <w:tc>
          <w:tcPr>
            <w:tcW w:w="0" w:type="auto"/>
            <w:vAlign w:val="center"/>
          </w:tcPr>
          <w:p w:rsidR="000A156F" w:rsidRDefault="00A9721F">
            <w:pPr>
              <w:pStyle w:val="TableBodyText"/>
            </w:pPr>
            <w:r>
              <w:t>BibliographyEditSource</w:t>
            </w:r>
          </w:p>
        </w:tc>
        <w:tc>
          <w:tcPr>
            <w:tcW w:w="0" w:type="auto"/>
            <w:vAlign w:val="center"/>
          </w:tcPr>
          <w:p w:rsidR="000A156F" w:rsidRDefault="00A9721F">
            <w:pPr>
              <w:pStyle w:val="TableBodyText"/>
            </w:pPr>
            <w:r>
              <w:t>093C</w:t>
            </w:r>
          </w:p>
        </w:tc>
      </w:tr>
      <w:tr w:rsidR="000A156F" w:rsidTr="000A156F">
        <w:tc>
          <w:tcPr>
            <w:tcW w:w="0" w:type="auto"/>
            <w:vAlign w:val="center"/>
          </w:tcPr>
          <w:p w:rsidR="000A156F" w:rsidRDefault="00A9721F">
            <w:pPr>
              <w:pStyle w:val="TableBodyText"/>
            </w:pPr>
            <w:r>
              <w:t>BibliographyEditSourceButton</w:t>
            </w:r>
          </w:p>
        </w:tc>
        <w:tc>
          <w:tcPr>
            <w:tcW w:w="0" w:type="auto"/>
            <w:vAlign w:val="center"/>
          </w:tcPr>
          <w:p w:rsidR="000A156F" w:rsidRDefault="00A9721F">
            <w:pPr>
              <w:pStyle w:val="TableBodyText"/>
            </w:pPr>
            <w:r>
              <w:t>097A</w:t>
            </w:r>
          </w:p>
        </w:tc>
      </w:tr>
      <w:tr w:rsidR="000A156F" w:rsidTr="000A156F">
        <w:tc>
          <w:tcPr>
            <w:tcW w:w="0" w:type="auto"/>
            <w:vAlign w:val="center"/>
          </w:tcPr>
          <w:p w:rsidR="000A156F" w:rsidRDefault="00A9721F">
            <w:pPr>
              <w:pStyle w:val="TableBodyText"/>
            </w:pPr>
            <w:r>
              <w:t>BibliographyEditSourceToolbar</w:t>
            </w:r>
          </w:p>
        </w:tc>
        <w:tc>
          <w:tcPr>
            <w:tcW w:w="0" w:type="auto"/>
            <w:vAlign w:val="center"/>
          </w:tcPr>
          <w:p w:rsidR="000A156F" w:rsidRDefault="00A9721F">
            <w:pPr>
              <w:pStyle w:val="TableBodyText"/>
            </w:pPr>
            <w:r>
              <w:t>097C</w:t>
            </w:r>
          </w:p>
        </w:tc>
      </w:tr>
      <w:tr w:rsidR="000A156F" w:rsidTr="000A156F">
        <w:tc>
          <w:tcPr>
            <w:tcW w:w="0" w:type="auto"/>
            <w:vAlign w:val="center"/>
          </w:tcPr>
          <w:p w:rsidR="000A156F" w:rsidRDefault="00A9721F">
            <w:pPr>
              <w:pStyle w:val="TableBodyText"/>
            </w:pPr>
            <w:r>
              <w:t>BibliographyFilterLanguages</w:t>
            </w:r>
          </w:p>
        </w:tc>
        <w:tc>
          <w:tcPr>
            <w:tcW w:w="0" w:type="auto"/>
            <w:vAlign w:val="center"/>
          </w:tcPr>
          <w:p w:rsidR="000A156F" w:rsidRDefault="00A9721F">
            <w:pPr>
              <w:pStyle w:val="TableBodyText"/>
            </w:pPr>
            <w:r>
              <w:t>099C</w:t>
            </w:r>
          </w:p>
        </w:tc>
      </w:tr>
      <w:tr w:rsidR="000A156F" w:rsidTr="000A156F">
        <w:tc>
          <w:tcPr>
            <w:tcW w:w="0" w:type="auto"/>
            <w:vAlign w:val="center"/>
          </w:tcPr>
          <w:p w:rsidR="000A156F" w:rsidRDefault="00A9721F">
            <w:pPr>
              <w:pStyle w:val="TableBodyText"/>
            </w:pPr>
            <w:r>
              <w:t>BibliographyGallery</w:t>
            </w:r>
          </w:p>
        </w:tc>
        <w:tc>
          <w:tcPr>
            <w:tcW w:w="0" w:type="auto"/>
            <w:vAlign w:val="center"/>
          </w:tcPr>
          <w:p w:rsidR="000A156F" w:rsidRDefault="00A9721F">
            <w:pPr>
              <w:pStyle w:val="TableBodyText"/>
            </w:pPr>
            <w:r>
              <w:t>08E0</w:t>
            </w:r>
          </w:p>
        </w:tc>
      </w:tr>
      <w:tr w:rsidR="000A156F" w:rsidTr="000A156F">
        <w:tc>
          <w:tcPr>
            <w:tcW w:w="0" w:type="auto"/>
            <w:vAlign w:val="center"/>
          </w:tcPr>
          <w:p w:rsidR="000A156F" w:rsidRDefault="00A9721F">
            <w:pPr>
              <w:pStyle w:val="TableBodyText"/>
            </w:pPr>
            <w:r>
              <w:t>BibliographySourceMan</w:t>
            </w:r>
            <w:r>
              <w:t>ager</w:t>
            </w:r>
          </w:p>
        </w:tc>
        <w:tc>
          <w:tcPr>
            <w:tcW w:w="0" w:type="auto"/>
            <w:vAlign w:val="center"/>
          </w:tcPr>
          <w:p w:rsidR="000A156F" w:rsidRDefault="00A9721F">
            <w:pPr>
              <w:pStyle w:val="TableBodyText"/>
            </w:pPr>
            <w:r>
              <w:t>0780</w:t>
            </w:r>
          </w:p>
        </w:tc>
      </w:tr>
      <w:tr w:rsidR="000A156F" w:rsidTr="000A156F">
        <w:tc>
          <w:tcPr>
            <w:tcW w:w="0" w:type="auto"/>
            <w:vAlign w:val="center"/>
          </w:tcPr>
          <w:p w:rsidR="000A156F" w:rsidRDefault="00A9721F">
            <w:pPr>
              <w:pStyle w:val="TableBodyText"/>
            </w:pPr>
            <w:r>
              <w:t>BlogBlogAccountOptionsDlg</w:t>
            </w:r>
          </w:p>
        </w:tc>
        <w:tc>
          <w:tcPr>
            <w:tcW w:w="0" w:type="auto"/>
            <w:vAlign w:val="center"/>
          </w:tcPr>
          <w:p w:rsidR="000A156F" w:rsidRDefault="00A9721F">
            <w:pPr>
              <w:pStyle w:val="TableBodyText"/>
            </w:pPr>
            <w:r>
              <w:t>07C1</w:t>
            </w:r>
          </w:p>
        </w:tc>
      </w:tr>
      <w:tr w:rsidR="000A156F" w:rsidTr="000A156F">
        <w:tc>
          <w:tcPr>
            <w:tcW w:w="0" w:type="auto"/>
            <w:vAlign w:val="center"/>
          </w:tcPr>
          <w:p w:rsidR="000A156F" w:rsidRDefault="00A9721F">
            <w:pPr>
              <w:pStyle w:val="TableBodyText"/>
            </w:pPr>
            <w:r>
              <w:t>BlogBlogInsertCategories</w:t>
            </w:r>
          </w:p>
        </w:tc>
        <w:tc>
          <w:tcPr>
            <w:tcW w:w="0" w:type="auto"/>
            <w:vAlign w:val="center"/>
          </w:tcPr>
          <w:p w:rsidR="000A156F" w:rsidRDefault="00A9721F">
            <w:pPr>
              <w:pStyle w:val="TableBodyText"/>
            </w:pPr>
            <w:r>
              <w:t>05AF</w:t>
            </w:r>
          </w:p>
        </w:tc>
      </w:tr>
      <w:tr w:rsidR="000A156F" w:rsidTr="000A156F">
        <w:tc>
          <w:tcPr>
            <w:tcW w:w="0" w:type="auto"/>
            <w:vAlign w:val="center"/>
          </w:tcPr>
          <w:p w:rsidR="000A156F" w:rsidRDefault="00A9721F">
            <w:pPr>
              <w:pStyle w:val="TableBodyText"/>
            </w:pPr>
            <w:r>
              <w:t>BlogBlogInsertCategory</w:t>
            </w:r>
          </w:p>
        </w:tc>
        <w:tc>
          <w:tcPr>
            <w:tcW w:w="0" w:type="auto"/>
            <w:vAlign w:val="center"/>
          </w:tcPr>
          <w:p w:rsidR="000A156F" w:rsidRDefault="00A9721F">
            <w:pPr>
              <w:pStyle w:val="TableBodyText"/>
            </w:pPr>
            <w:r>
              <w:t>0355</w:t>
            </w:r>
          </w:p>
        </w:tc>
      </w:tr>
      <w:tr w:rsidR="000A156F" w:rsidTr="000A156F">
        <w:tc>
          <w:tcPr>
            <w:tcW w:w="0" w:type="auto"/>
            <w:vAlign w:val="center"/>
          </w:tcPr>
          <w:p w:rsidR="000A156F" w:rsidRDefault="00A9721F">
            <w:pPr>
              <w:pStyle w:val="TableBodyText"/>
            </w:pPr>
            <w:r>
              <w:t>BlogBlogOpenBlogSite</w:t>
            </w:r>
          </w:p>
        </w:tc>
        <w:tc>
          <w:tcPr>
            <w:tcW w:w="0" w:type="auto"/>
            <w:vAlign w:val="center"/>
          </w:tcPr>
          <w:p w:rsidR="000A156F" w:rsidRDefault="00A9721F">
            <w:pPr>
              <w:pStyle w:val="TableBodyText"/>
            </w:pPr>
            <w:r>
              <w:t>0826</w:t>
            </w:r>
          </w:p>
        </w:tc>
      </w:tr>
      <w:tr w:rsidR="000A156F" w:rsidTr="000A156F">
        <w:tc>
          <w:tcPr>
            <w:tcW w:w="0" w:type="auto"/>
            <w:vAlign w:val="center"/>
          </w:tcPr>
          <w:p w:rsidR="000A156F" w:rsidRDefault="00A9721F">
            <w:pPr>
              <w:pStyle w:val="TableBodyText"/>
            </w:pPr>
            <w:r>
              <w:t>BlogBlogOpenExistingDlg</w:t>
            </w:r>
          </w:p>
        </w:tc>
        <w:tc>
          <w:tcPr>
            <w:tcW w:w="0" w:type="auto"/>
            <w:vAlign w:val="center"/>
          </w:tcPr>
          <w:p w:rsidR="000A156F" w:rsidRDefault="00A9721F">
            <w:pPr>
              <w:pStyle w:val="TableBodyText"/>
            </w:pPr>
            <w:r>
              <w:t>0354</w:t>
            </w:r>
          </w:p>
        </w:tc>
      </w:tr>
      <w:tr w:rsidR="000A156F" w:rsidTr="000A156F">
        <w:tc>
          <w:tcPr>
            <w:tcW w:w="0" w:type="auto"/>
            <w:vAlign w:val="center"/>
          </w:tcPr>
          <w:p w:rsidR="000A156F" w:rsidRDefault="00A9721F">
            <w:pPr>
              <w:pStyle w:val="TableBodyText"/>
            </w:pPr>
            <w:r>
              <w:t>BlogBlogPublish</w:t>
            </w:r>
          </w:p>
        </w:tc>
        <w:tc>
          <w:tcPr>
            <w:tcW w:w="0" w:type="auto"/>
            <w:vAlign w:val="center"/>
          </w:tcPr>
          <w:p w:rsidR="000A156F" w:rsidRDefault="00A9721F">
            <w:pPr>
              <w:pStyle w:val="TableBodyText"/>
            </w:pPr>
            <w:r>
              <w:t>0352</w:t>
            </w:r>
          </w:p>
        </w:tc>
      </w:tr>
      <w:tr w:rsidR="000A156F" w:rsidTr="000A156F">
        <w:tc>
          <w:tcPr>
            <w:tcW w:w="0" w:type="auto"/>
            <w:vAlign w:val="center"/>
          </w:tcPr>
          <w:p w:rsidR="000A156F" w:rsidRDefault="00A9721F">
            <w:pPr>
              <w:pStyle w:val="TableBodyText"/>
            </w:pPr>
            <w:r>
              <w:t>BlogBlogPublishDraft</w:t>
            </w:r>
          </w:p>
        </w:tc>
        <w:tc>
          <w:tcPr>
            <w:tcW w:w="0" w:type="auto"/>
            <w:vAlign w:val="center"/>
          </w:tcPr>
          <w:p w:rsidR="000A156F" w:rsidRDefault="00A9721F">
            <w:pPr>
              <w:pStyle w:val="TableBodyText"/>
            </w:pPr>
            <w:r>
              <w:t>0353</w:t>
            </w:r>
          </w:p>
        </w:tc>
      </w:tr>
      <w:tr w:rsidR="000A156F" w:rsidTr="000A156F">
        <w:tc>
          <w:tcPr>
            <w:tcW w:w="0" w:type="auto"/>
            <w:vAlign w:val="center"/>
          </w:tcPr>
          <w:p w:rsidR="000A156F" w:rsidRDefault="00A9721F">
            <w:pPr>
              <w:pStyle w:val="TableBodyText"/>
            </w:pPr>
            <w:r>
              <w:t>Bold</w:t>
            </w:r>
          </w:p>
        </w:tc>
        <w:tc>
          <w:tcPr>
            <w:tcW w:w="0" w:type="auto"/>
            <w:vAlign w:val="center"/>
          </w:tcPr>
          <w:p w:rsidR="000A156F" w:rsidRDefault="00A9721F">
            <w:pPr>
              <w:pStyle w:val="TableBodyText"/>
            </w:pPr>
            <w:r>
              <w:t>002D</w:t>
            </w:r>
          </w:p>
        </w:tc>
      </w:tr>
      <w:tr w:rsidR="000A156F" w:rsidTr="000A156F">
        <w:tc>
          <w:tcPr>
            <w:tcW w:w="0" w:type="auto"/>
            <w:vAlign w:val="center"/>
          </w:tcPr>
          <w:p w:rsidR="000A156F" w:rsidRDefault="00A9721F">
            <w:pPr>
              <w:pStyle w:val="TableBodyText"/>
            </w:pPr>
            <w:r>
              <w:t>BoldRun</w:t>
            </w:r>
          </w:p>
        </w:tc>
        <w:tc>
          <w:tcPr>
            <w:tcW w:w="0" w:type="auto"/>
            <w:vAlign w:val="center"/>
          </w:tcPr>
          <w:p w:rsidR="000A156F" w:rsidRDefault="00A9721F">
            <w:pPr>
              <w:pStyle w:val="TableBodyText"/>
            </w:pPr>
            <w:r>
              <w:t>0424</w:t>
            </w:r>
          </w:p>
        </w:tc>
      </w:tr>
      <w:tr w:rsidR="000A156F" w:rsidTr="000A156F">
        <w:tc>
          <w:tcPr>
            <w:tcW w:w="0" w:type="auto"/>
            <w:vAlign w:val="center"/>
          </w:tcPr>
          <w:p w:rsidR="000A156F" w:rsidRDefault="00A9721F">
            <w:pPr>
              <w:pStyle w:val="TableBodyText"/>
            </w:pPr>
            <w:r>
              <w:t>BorderAll</w:t>
            </w:r>
          </w:p>
        </w:tc>
        <w:tc>
          <w:tcPr>
            <w:tcW w:w="0" w:type="auto"/>
            <w:vAlign w:val="center"/>
          </w:tcPr>
          <w:p w:rsidR="000A156F" w:rsidRDefault="00A9721F">
            <w:pPr>
              <w:pStyle w:val="TableBodyText"/>
            </w:pPr>
            <w:r>
              <w:t>03D1</w:t>
            </w:r>
          </w:p>
        </w:tc>
      </w:tr>
      <w:tr w:rsidR="000A156F" w:rsidTr="000A156F">
        <w:tc>
          <w:tcPr>
            <w:tcW w:w="0" w:type="auto"/>
            <w:vAlign w:val="center"/>
          </w:tcPr>
          <w:p w:rsidR="000A156F" w:rsidRDefault="00A9721F">
            <w:pPr>
              <w:pStyle w:val="TableBodyText"/>
            </w:pPr>
            <w:r>
              <w:t>BorderBottom</w:t>
            </w:r>
          </w:p>
        </w:tc>
        <w:tc>
          <w:tcPr>
            <w:tcW w:w="0" w:type="auto"/>
            <w:vAlign w:val="center"/>
          </w:tcPr>
          <w:p w:rsidR="000A156F" w:rsidRDefault="00A9721F">
            <w:pPr>
              <w:pStyle w:val="TableBodyText"/>
            </w:pPr>
            <w:r>
              <w:t>0FE0</w:t>
            </w:r>
          </w:p>
        </w:tc>
      </w:tr>
      <w:tr w:rsidR="000A156F" w:rsidTr="000A156F">
        <w:tc>
          <w:tcPr>
            <w:tcW w:w="0" w:type="auto"/>
            <w:vAlign w:val="center"/>
          </w:tcPr>
          <w:p w:rsidR="000A156F" w:rsidRDefault="00A9721F">
            <w:pPr>
              <w:pStyle w:val="TableBodyText"/>
            </w:pPr>
            <w:r>
              <w:t>BorderColorPicker</w:t>
            </w:r>
          </w:p>
        </w:tc>
        <w:tc>
          <w:tcPr>
            <w:tcW w:w="0" w:type="auto"/>
            <w:vAlign w:val="center"/>
          </w:tcPr>
          <w:p w:rsidR="000A156F" w:rsidRDefault="00A9721F">
            <w:pPr>
              <w:pStyle w:val="TableBodyText"/>
            </w:pPr>
            <w:r>
              <w:t>08B9</w:t>
            </w:r>
          </w:p>
        </w:tc>
      </w:tr>
      <w:tr w:rsidR="000A156F" w:rsidTr="000A156F">
        <w:tc>
          <w:tcPr>
            <w:tcW w:w="0" w:type="auto"/>
            <w:vAlign w:val="center"/>
          </w:tcPr>
          <w:p w:rsidR="000A156F" w:rsidRDefault="00A9721F">
            <w:pPr>
              <w:pStyle w:val="TableBodyText"/>
            </w:pPr>
            <w:r>
              <w:t>BorderHoriz</w:t>
            </w:r>
          </w:p>
        </w:tc>
        <w:tc>
          <w:tcPr>
            <w:tcW w:w="0" w:type="auto"/>
            <w:vAlign w:val="center"/>
          </w:tcPr>
          <w:p w:rsidR="000A156F" w:rsidRDefault="00A9721F">
            <w:pPr>
              <w:pStyle w:val="TableBodyText"/>
            </w:pPr>
            <w:r>
              <w:t>03C2</w:t>
            </w:r>
          </w:p>
        </w:tc>
      </w:tr>
      <w:tr w:rsidR="000A156F" w:rsidTr="000A156F">
        <w:tc>
          <w:tcPr>
            <w:tcW w:w="0" w:type="auto"/>
            <w:vAlign w:val="center"/>
          </w:tcPr>
          <w:p w:rsidR="000A156F" w:rsidRDefault="00A9721F">
            <w:pPr>
              <w:pStyle w:val="TableBodyText"/>
            </w:pPr>
            <w:r>
              <w:t>BorderInside</w:t>
            </w:r>
          </w:p>
        </w:tc>
        <w:tc>
          <w:tcPr>
            <w:tcW w:w="0" w:type="auto"/>
            <w:vAlign w:val="center"/>
          </w:tcPr>
          <w:p w:rsidR="000A156F" w:rsidRDefault="00A9721F">
            <w:pPr>
              <w:pStyle w:val="TableBodyText"/>
            </w:pPr>
            <w:r>
              <w:t>0FE2</w:t>
            </w:r>
          </w:p>
        </w:tc>
      </w:tr>
      <w:tr w:rsidR="000A156F" w:rsidTr="000A156F">
        <w:tc>
          <w:tcPr>
            <w:tcW w:w="0" w:type="auto"/>
            <w:vAlign w:val="center"/>
          </w:tcPr>
          <w:p w:rsidR="000A156F" w:rsidRDefault="00A9721F">
            <w:pPr>
              <w:pStyle w:val="TableBodyText"/>
            </w:pPr>
            <w:r>
              <w:t>BorderLeft</w:t>
            </w:r>
          </w:p>
        </w:tc>
        <w:tc>
          <w:tcPr>
            <w:tcW w:w="0" w:type="auto"/>
            <w:vAlign w:val="center"/>
          </w:tcPr>
          <w:p w:rsidR="000A156F" w:rsidRDefault="00A9721F">
            <w:pPr>
              <w:pStyle w:val="TableBodyText"/>
            </w:pPr>
            <w:r>
              <w:t>0FDF</w:t>
            </w:r>
          </w:p>
        </w:tc>
      </w:tr>
      <w:tr w:rsidR="000A156F" w:rsidTr="000A156F">
        <w:tc>
          <w:tcPr>
            <w:tcW w:w="0" w:type="auto"/>
            <w:vAlign w:val="center"/>
          </w:tcPr>
          <w:p w:rsidR="000A156F" w:rsidRDefault="00A9721F">
            <w:pPr>
              <w:pStyle w:val="TableBodyText"/>
            </w:pPr>
            <w:r>
              <w:t>BorderLineColor</w:t>
            </w:r>
          </w:p>
        </w:tc>
        <w:tc>
          <w:tcPr>
            <w:tcW w:w="0" w:type="auto"/>
            <w:vAlign w:val="center"/>
          </w:tcPr>
          <w:p w:rsidR="000A156F" w:rsidRDefault="00A9721F">
            <w:pPr>
              <w:pStyle w:val="TableBodyText"/>
            </w:pPr>
            <w:r>
              <w:t>03C4</w:t>
            </w:r>
          </w:p>
        </w:tc>
      </w:tr>
      <w:tr w:rsidR="000A156F" w:rsidTr="000A156F">
        <w:tc>
          <w:tcPr>
            <w:tcW w:w="0" w:type="auto"/>
            <w:vAlign w:val="center"/>
          </w:tcPr>
          <w:p w:rsidR="000A156F" w:rsidRDefault="00A9721F">
            <w:pPr>
              <w:pStyle w:val="TableBodyText"/>
            </w:pPr>
            <w:r>
              <w:t>BorderLineStyle</w:t>
            </w:r>
          </w:p>
        </w:tc>
        <w:tc>
          <w:tcPr>
            <w:tcW w:w="0" w:type="auto"/>
            <w:vAlign w:val="center"/>
          </w:tcPr>
          <w:p w:rsidR="000A156F" w:rsidRDefault="00A9721F">
            <w:pPr>
              <w:pStyle w:val="TableBodyText"/>
            </w:pPr>
            <w:r>
              <w:t>01C3</w:t>
            </w:r>
          </w:p>
        </w:tc>
      </w:tr>
      <w:tr w:rsidR="000A156F" w:rsidTr="000A156F">
        <w:tc>
          <w:tcPr>
            <w:tcW w:w="0" w:type="auto"/>
            <w:vAlign w:val="center"/>
          </w:tcPr>
          <w:p w:rsidR="000A156F" w:rsidRDefault="00A9721F">
            <w:pPr>
              <w:pStyle w:val="TableBodyText"/>
            </w:pPr>
            <w:r>
              <w:t>BorderLineWeight</w:t>
            </w:r>
          </w:p>
        </w:tc>
        <w:tc>
          <w:tcPr>
            <w:tcW w:w="0" w:type="auto"/>
            <w:vAlign w:val="center"/>
          </w:tcPr>
          <w:p w:rsidR="000A156F" w:rsidRDefault="00A9721F">
            <w:pPr>
              <w:pStyle w:val="TableBodyText"/>
            </w:pPr>
            <w:r>
              <w:t>03C1</w:t>
            </w:r>
          </w:p>
        </w:tc>
      </w:tr>
      <w:tr w:rsidR="000A156F" w:rsidTr="000A156F">
        <w:tc>
          <w:tcPr>
            <w:tcW w:w="0" w:type="auto"/>
            <w:vAlign w:val="center"/>
          </w:tcPr>
          <w:p w:rsidR="000A156F" w:rsidRDefault="00A9721F">
            <w:pPr>
              <w:pStyle w:val="TableBodyText"/>
            </w:pPr>
            <w:r>
              <w:t>BorderNone</w:t>
            </w:r>
          </w:p>
        </w:tc>
        <w:tc>
          <w:tcPr>
            <w:tcW w:w="0" w:type="auto"/>
            <w:vAlign w:val="center"/>
          </w:tcPr>
          <w:p w:rsidR="000A156F" w:rsidRDefault="00A9721F">
            <w:pPr>
              <w:pStyle w:val="TableBodyText"/>
            </w:pPr>
            <w:r>
              <w:t>01C2</w:t>
            </w:r>
          </w:p>
        </w:tc>
      </w:tr>
      <w:tr w:rsidR="000A156F" w:rsidTr="000A156F">
        <w:tc>
          <w:tcPr>
            <w:tcW w:w="0" w:type="auto"/>
            <w:vAlign w:val="center"/>
          </w:tcPr>
          <w:p w:rsidR="000A156F" w:rsidRDefault="00A9721F">
            <w:pPr>
              <w:pStyle w:val="TableBodyText"/>
            </w:pPr>
            <w:r>
              <w:t>BorderOutside</w:t>
            </w:r>
          </w:p>
        </w:tc>
        <w:tc>
          <w:tcPr>
            <w:tcW w:w="0" w:type="auto"/>
            <w:vAlign w:val="center"/>
          </w:tcPr>
          <w:p w:rsidR="000A156F" w:rsidRDefault="00A9721F">
            <w:pPr>
              <w:pStyle w:val="TableBodyText"/>
            </w:pPr>
            <w:r>
              <w:t>01C1</w:t>
            </w:r>
          </w:p>
        </w:tc>
      </w:tr>
      <w:tr w:rsidR="000A156F" w:rsidTr="000A156F">
        <w:tc>
          <w:tcPr>
            <w:tcW w:w="0" w:type="auto"/>
            <w:vAlign w:val="center"/>
          </w:tcPr>
          <w:p w:rsidR="000A156F" w:rsidRDefault="00A9721F">
            <w:pPr>
              <w:pStyle w:val="TableBodyText"/>
            </w:pPr>
            <w:r>
              <w:t>BorderRight</w:t>
            </w:r>
          </w:p>
        </w:tc>
        <w:tc>
          <w:tcPr>
            <w:tcW w:w="0" w:type="auto"/>
            <w:vAlign w:val="center"/>
          </w:tcPr>
          <w:p w:rsidR="000A156F" w:rsidRDefault="00A9721F">
            <w:pPr>
              <w:pStyle w:val="TableBodyText"/>
            </w:pPr>
            <w:r>
              <w:t>0FE1</w:t>
            </w:r>
          </w:p>
        </w:tc>
      </w:tr>
      <w:tr w:rsidR="000A156F" w:rsidTr="000A156F">
        <w:tc>
          <w:tcPr>
            <w:tcW w:w="0" w:type="auto"/>
            <w:vAlign w:val="center"/>
          </w:tcPr>
          <w:p w:rsidR="000A156F" w:rsidRDefault="00A9721F">
            <w:pPr>
              <w:pStyle w:val="TableBodyText"/>
            </w:pPr>
            <w:r>
              <w:t>BorderTLtoBR</w:t>
            </w:r>
          </w:p>
        </w:tc>
        <w:tc>
          <w:tcPr>
            <w:tcW w:w="0" w:type="auto"/>
            <w:vAlign w:val="center"/>
          </w:tcPr>
          <w:p w:rsidR="000A156F" w:rsidRDefault="00A9721F">
            <w:pPr>
              <w:pStyle w:val="TableBodyText"/>
            </w:pPr>
            <w:r>
              <w:t>0314</w:t>
            </w:r>
          </w:p>
        </w:tc>
      </w:tr>
      <w:tr w:rsidR="000A156F" w:rsidTr="000A156F">
        <w:tc>
          <w:tcPr>
            <w:tcW w:w="0" w:type="auto"/>
            <w:vAlign w:val="center"/>
          </w:tcPr>
          <w:p w:rsidR="000A156F" w:rsidRDefault="00A9721F">
            <w:pPr>
              <w:pStyle w:val="TableBodyText"/>
            </w:pPr>
            <w:r>
              <w:lastRenderedPageBreak/>
              <w:t>BorderTRtoBL</w:t>
            </w:r>
          </w:p>
        </w:tc>
        <w:tc>
          <w:tcPr>
            <w:tcW w:w="0" w:type="auto"/>
            <w:vAlign w:val="center"/>
          </w:tcPr>
          <w:p w:rsidR="000A156F" w:rsidRDefault="00A9721F">
            <w:pPr>
              <w:pStyle w:val="TableBodyText"/>
            </w:pPr>
            <w:r>
              <w:t>0315</w:t>
            </w:r>
          </w:p>
        </w:tc>
      </w:tr>
      <w:tr w:rsidR="000A156F" w:rsidTr="000A156F">
        <w:tc>
          <w:tcPr>
            <w:tcW w:w="0" w:type="auto"/>
            <w:vAlign w:val="center"/>
          </w:tcPr>
          <w:p w:rsidR="000A156F" w:rsidRDefault="00A9721F">
            <w:pPr>
              <w:pStyle w:val="TableBodyText"/>
            </w:pPr>
            <w:r>
              <w:t>BorderTop</w:t>
            </w:r>
          </w:p>
        </w:tc>
        <w:tc>
          <w:tcPr>
            <w:tcW w:w="0" w:type="auto"/>
            <w:vAlign w:val="center"/>
          </w:tcPr>
          <w:p w:rsidR="000A156F" w:rsidRDefault="00A9721F">
            <w:pPr>
              <w:pStyle w:val="TableBodyText"/>
            </w:pPr>
            <w:r>
              <w:t>0FDE</w:t>
            </w:r>
          </w:p>
        </w:tc>
      </w:tr>
      <w:tr w:rsidR="000A156F" w:rsidTr="000A156F">
        <w:tc>
          <w:tcPr>
            <w:tcW w:w="0" w:type="auto"/>
            <w:vAlign w:val="center"/>
          </w:tcPr>
          <w:p w:rsidR="000A156F" w:rsidRDefault="00A9721F">
            <w:pPr>
              <w:pStyle w:val="TableBodyText"/>
            </w:pPr>
            <w:r>
              <w:t>BorderVert</w:t>
            </w:r>
          </w:p>
        </w:tc>
        <w:tc>
          <w:tcPr>
            <w:tcW w:w="0" w:type="auto"/>
            <w:vAlign w:val="center"/>
          </w:tcPr>
          <w:p w:rsidR="000A156F" w:rsidRDefault="00A9721F">
            <w:pPr>
              <w:pStyle w:val="TableBodyText"/>
            </w:pPr>
            <w:r>
              <w:t>03C3</w:t>
            </w:r>
          </w:p>
        </w:tc>
      </w:tr>
      <w:tr w:rsidR="000A156F" w:rsidTr="000A156F">
        <w:tc>
          <w:tcPr>
            <w:tcW w:w="0" w:type="auto"/>
            <w:vAlign w:val="center"/>
          </w:tcPr>
          <w:p w:rsidR="000A156F" w:rsidRDefault="00A9721F">
            <w:pPr>
              <w:pStyle w:val="TableBodyText"/>
            </w:pPr>
            <w:r>
              <w:t>Borders</w:t>
            </w:r>
          </w:p>
        </w:tc>
        <w:tc>
          <w:tcPr>
            <w:tcW w:w="0" w:type="auto"/>
            <w:vAlign w:val="center"/>
          </w:tcPr>
          <w:p w:rsidR="000A156F" w:rsidRDefault="00A9721F">
            <w:pPr>
              <w:pStyle w:val="TableBodyText"/>
            </w:pPr>
            <w:r>
              <w:t>0223</w:t>
            </w:r>
          </w:p>
        </w:tc>
      </w:tr>
      <w:tr w:rsidR="000A156F" w:rsidTr="000A156F">
        <w:tc>
          <w:tcPr>
            <w:tcW w:w="0" w:type="auto"/>
            <w:vAlign w:val="center"/>
          </w:tcPr>
          <w:p w:rsidR="000A156F" w:rsidRDefault="00A9721F">
            <w:pPr>
              <w:pStyle w:val="TableBodyText"/>
            </w:pPr>
            <w:r>
              <w:t>BottomAlign</w:t>
            </w:r>
          </w:p>
        </w:tc>
        <w:tc>
          <w:tcPr>
            <w:tcW w:w="0" w:type="auto"/>
            <w:vAlign w:val="center"/>
          </w:tcPr>
          <w:p w:rsidR="000A156F" w:rsidRDefault="00A9721F">
            <w:pPr>
              <w:pStyle w:val="TableBodyText"/>
            </w:pPr>
            <w:r>
              <w:t>0321</w:t>
            </w:r>
          </w:p>
        </w:tc>
      </w:tr>
      <w:tr w:rsidR="000A156F" w:rsidTr="000A156F">
        <w:tc>
          <w:tcPr>
            <w:tcW w:w="0" w:type="auto"/>
            <w:vAlign w:val="center"/>
          </w:tcPr>
          <w:p w:rsidR="000A156F" w:rsidRDefault="00A9721F">
            <w:pPr>
              <w:pStyle w:val="TableBodyText"/>
            </w:pPr>
            <w:r>
              <w:t>BottomCenterAlign</w:t>
            </w:r>
          </w:p>
        </w:tc>
        <w:tc>
          <w:tcPr>
            <w:tcW w:w="0" w:type="auto"/>
            <w:vAlign w:val="center"/>
          </w:tcPr>
          <w:p w:rsidR="000A156F" w:rsidRDefault="00A9721F">
            <w:pPr>
              <w:pStyle w:val="TableBodyText"/>
            </w:pPr>
            <w:r>
              <w:t>0480</w:t>
            </w:r>
          </w:p>
        </w:tc>
      </w:tr>
      <w:tr w:rsidR="000A156F" w:rsidTr="000A156F">
        <w:tc>
          <w:tcPr>
            <w:tcW w:w="0" w:type="auto"/>
            <w:vAlign w:val="center"/>
          </w:tcPr>
          <w:p w:rsidR="000A156F" w:rsidRDefault="00A9721F">
            <w:pPr>
              <w:pStyle w:val="TableBodyText"/>
            </w:pPr>
            <w:r>
              <w:t>BottomLeftAlign</w:t>
            </w:r>
          </w:p>
        </w:tc>
        <w:tc>
          <w:tcPr>
            <w:tcW w:w="0" w:type="auto"/>
            <w:vAlign w:val="center"/>
          </w:tcPr>
          <w:p w:rsidR="000A156F" w:rsidRDefault="00A9721F">
            <w:pPr>
              <w:pStyle w:val="TableBodyText"/>
            </w:pPr>
            <w:r>
              <w:t>0481</w:t>
            </w:r>
          </w:p>
        </w:tc>
      </w:tr>
      <w:tr w:rsidR="000A156F" w:rsidTr="000A156F">
        <w:tc>
          <w:tcPr>
            <w:tcW w:w="0" w:type="auto"/>
            <w:vAlign w:val="center"/>
          </w:tcPr>
          <w:p w:rsidR="000A156F" w:rsidRDefault="00A9721F">
            <w:pPr>
              <w:pStyle w:val="TableBodyText"/>
            </w:pPr>
            <w:r>
              <w:t>BottomRightAlign</w:t>
            </w:r>
          </w:p>
        </w:tc>
        <w:tc>
          <w:tcPr>
            <w:tcW w:w="0" w:type="auto"/>
            <w:vAlign w:val="center"/>
          </w:tcPr>
          <w:p w:rsidR="000A156F" w:rsidRDefault="00A9721F">
            <w:pPr>
              <w:pStyle w:val="TableBodyText"/>
            </w:pPr>
            <w:r>
              <w:t>047F</w:t>
            </w:r>
          </w:p>
        </w:tc>
      </w:tr>
      <w:tr w:rsidR="000A156F" w:rsidTr="000A156F">
        <w:tc>
          <w:tcPr>
            <w:tcW w:w="0" w:type="auto"/>
            <w:vAlign w:val="center"/>
          </w:tcPr>
          <w:p w:rsidR="000A156F" w:rsidRDefault="00A9721F">
            <w:pPr>
              <w:pStyle w:val="TableBodyText"/>
            </w:pPr>
            <w:r>
              <w:t>BreaksGallery</w:t>
            </w:r>
          </w:p>
        </w:tc>
        <w:tc>
          <w:tcPr>
            <w:tcW w:w="0" w:type="auto"/>
            <w:vAlign w:val="center"/>
          </w:tcPr>
          <w:p w:rsidR="000A156F" w:rsidRDefault="00A9721F">
            <w:pPr>
              <w:pStyle w:val="TableBodyText"/>
            </w:pPr>
            <w:r>
              <w:t>0830</w:t>
            </w:r>
          </w:p>
        </w:tc>
      </w:tr>
      <w:tr w:rsidR="000A156F" w:rsidTr="000A156F">
        <w:tc>
          <w:tcPr>
            <w:tcW w:w="0" w:type="auto"/>
            <w:vAlign w:val="center"/>
          </w:tcPr>
          <w:p w:rsidR="000A156F" w:rsidRDefault="00A9721F">
            <w:pPr>
              <w:pStyle w:val="TableBodyText"/>
            </w:pPr>
            <w:r>
              <w:t>BrightnessGallery</w:t>
            </w:r>
          </w:p>
        </w:tc>
        <w:tc>
          <w:tcPr>
            <w:tcW w:w="0" w:type="auto"/>
            <w:vAlign w:val="center"/>
          </w:tcPr>
          <w:p w:rsidR="000A156F" w:rsidRDefault="00A9721F">
            <w:pPr>
              <w:pStyle w:val="TableBodyText"/>
            </w:pPr>
            <w:r>
              <w:t>0851</w:t>
            </w:r>
          </w:p>
        </w:tc>
      </w:tr>
      <w:tr w:rsidR="000A156F" w:rsidTr="000A156F">
        <w:tc>
          <w:tcPr>
            <w:tcW w:w="0" w:type="auto"/>
            <w:vAlign w:val="center"/>
          </w:tcPr>
          <w:p w:rsidR="000A156F" w:rsidRDefault="00A9721F">
            <w:pPr>
              <w:pStyle w:val="TableBodyText"/>
            </w:pPr>
            <w:r>
              <w:t>BringForward</w:t>
            </w:r>
          </w:p>
        </w:tc>
        <w:tc>
          <w:tcPr>
            <w:tcW w:w="0" w:type="auto"/>
            <w:vAlign w:val="center"/>
          </w:tcPr>
          <w:p w:rsidR="000A156F" w:rsidRDefault="00A9721F">
            <w:pPr>
              <w:pStyle w:val="TableBodyText"/>
            </w:pPr>
            <w:r>
              <w:t>0857</w:t>
            </w:r>
          </w:p>
        </w:tc>
      </w:tr>
      <w:tr w:rsidR="000A156F" w:rsidTr="000A156F">
        <w:tc>
          <w:tcPr>
            <w:tcW w:w="0" w:type="auto"/>
            <w:vAlign w:val="center"/>
          </w:tcPr>
          <w:p w:rsidR="000A156F" w:rsidRDefault="00A9721F">
            <w:pPr>
              <w:pStyle w:val="TableBodyText"/>
            </w:pPr>
            <w:r>
              <w:t>BringToFront</w:t>
            </w:r>
          </w:p>
        </w:tc>
        <w:tc>
          <w:tcPr>
            <w:tcW w:w="0" w:type="auto"/>
            <w:vAlign w:val="center"/>
          </w:tcPr>
          <w:p w:rsidR="000A156F" w:rsidRDefault="00A9721F">
            <w:pPr>
              <w:pStyle w:val="TableBodyText"/>
            </w:pPr>
            <w:r>
              <w:t>0858</w:t>
            </w:r>
          </w:p>
        </w:tc>
      </w:tr>
      <w:tr w:rsidR="000A156F" w:rsidTr="000A156F">
        <w:tc>
          <w:tcPr>
            <w:tcW w:w="0" w:type="auto"/>
            <w:vAlign w:val="center"/>
          </w:tcPr>
          <w:p w:rsidR="000A156F" w:rsidRDefault="00A9721F">
            <w:pPr>
              <w:pStyle w:val="TableBodyText"/>
            </w:pPr>
            <w:r>
              <w:t>BrowseForThemes</w:t>
            </w:r>
          </w:p>
        </w:tc>
        <w:tc>
          <w:tcPr>
            <w:tcW w:w="0" w:type="auto"/>
            <w:vAlign w:val="center"/>
          </w:tcPr>
          <w:p w:rsidR="000A156F" w:rsidRDefault="00A9721F">
            <w:pPr>
              <w:pStyle w:val="TableBodyText"/>
            </w:pPr>
            <w:r>
              <w:t>0877</w:t>
            </w:r>
          </w:p>
        </w:tc>
      </w:tr>
      <w:tr w:rsidR="000A156F" w:rsidTr="000A156F">
        <w:tc>
          <w:tcPr>
            <w:tcW w:w="0" w:type="auto"/>
            <w:vAlign w:val="center"/>
          </w:tcPr>
          <w:p w:rsidR="000A156F" w:rsidRDefault="00A9721F">
            <w:pPr>
              <w:pStyle w:val="TableBodyText"/>
            </w:pPr>
            <w:r>
              <w:t>BrowseNext</w:t>
            </w:r>
          </w:p>
        </w:tc>
        <w:tc>
          <w:tcPr>
            <w:tcW w:w="0" w:type="auto"/>
            <w:vAlign w:val="center"/>
          </w:tcPr>
          <w:p w:rsidR="000A156F" w:rsidRDefault="00A9721F">
            <w:pPr>
              <w:pStyle w:val="TableBodyText"/>
            </w:pPr>
            <w:r>
              <w:t>0342</w:t>
            </w:r>
          </w:p>
        </w:tc>
      </w:tr>
      <w:tr w:rsidR="000A156F" w:rsidTr="000A156F">
        <w:tc>
          <w:tcPr>
            <w:tcW w:w="0" w:type="auto"/>
            <w:vAlign w:val="center"/>
          </w:tcPr>
          <w:p w:rsidR="000A156F" w:rsidRDefault="00A9721F">
            <w:pPr>
              <w:pStyle w:val="TableBodyText"/>
            </w:pPr>
            <w:r>
              <w:t>BrowsePrev</w:t>
            </w:r>
          </w:p>
        </w:tc>
        <w:tc>
          <w:tcPr>
            <w:tcW w:w="0" w:type="auto"/>
            <w:vAlign w:val="center"/>
          </w:tcPr>
          <w:p w:rsidR="000A156F" w:rsidRDefault="00A9721F">
            <w:pPr>
              <w:pStyle w:val="TableBodyText"/>
            </w:pPr>
            <w:r>
              <w:t>0337</w:t>
            </w:r>
          </w:p>
        </w:tc>
      </w:tr>
      <w:tr w:rsidR="000A156F" w:rsidTr="000A156F">
        <w:tc>
          <w:tcPr>
            <w:tcW w:w="0" w:type="auto"/>
            <w:vAlign w:val="center"/>
          </w:tcPr>
          <w:p w:rsidR="000A156F" w:rsidRDefault="00A9721F">
            <w:pPr>
              <w:pStyle w:val="TableBodyText"/>
            </w:pPr>
            <w:r>
              <w:t>BrowseSel</w:t>
            </w:r>
          </w:p>
        </w:tc>
        <w:tc>
          <w:tcPr>
            <w:tcW w:w="0" w:type="auto"/>
            <w:vAlign w:val="center"/>
          </w:tcPr>
          <w:p w:rsidR="000A156F" w:rsidRDefault="00A9721F">
            <w:pPr>
              <w:pStyle w:val="TableBodyText"/>
            </w:pPr>
            <w:r>
              <w:t>0336</w:t>
            </w:r>
          </w:p>
        </w:tc>
      </w:tr>
      <w:tr w:rsidR="000A156F" w:rsidTr="000A156F">
        <w:tc>
          <w:tcPr>
            <w:tcW w:w="0" w:type="auto"/>
            <w:vAlign w:val="center"/>
          </w:tcPr>
          <w:p w:rsidR="000A156F" w:rsidRDefault="00A9721F">
            <w:pPr>
              <w:pStyle w:val="TableBodyText"/>
            </w:pPr>
            <w:r>
              <w:t>BuildingBlockOrganizer</w:t>
            </w:r>
          </w:p>
        </w:tc>
        <w:tc>
          <w:tcPr>
            <w:tcW w:w="0" w:type="auto"/>
            <w:vAlign w:val="center"/>
          </w:tcPr>
          <w:p w:rsidR="000A156F" w:rsidRDefault="00A9721F">
            <w:pPr>
              <w:pStyle w:val="TableBodyText"/>
            </w:pPr>
            <w:r>
              <w:t>0813</w:t>
            </w:r>
          </w:p>
        </w:tc>
      </w:tr>
      <w:tr w:rsidR="000A156F" w:rsidTr="000A156F">
        <w:tc>
          <w:tcPr>
            <w:tcW w:w="0" w:type="auto"/>
            <w:vAlign w:val="center"/>
          </w:tcPr>
          <w:p w:rsidR="000A156F" w:rsidRDefault="00A9721F">
            <w:pPr>
              <w:pStyle w:val="TableBodyText"/>
            </w:pPr>
            <w:r>
              <w:t>BulletsGallery</w:t>
            </w:r>
          </w:p>
        </w:tc>
        <w:tc>
          <w:tcPr>
            <w:tcW w:w="0" w:type="auto"/>
            <w:vAlign w:val="center"/>
          </w:tcPr>
          <w:p w:rsidR="000A156F" w:rsidRDefault="00A9721F">
            <w:pPr>
              <w:pStyle w:val="TableBodyText"/>
            </w:pPr>
            <w:r>
              <w:t>07AB</w:t>
            </w:r>
          </w:p>
        </w:tc>
      </w:tr>
      <w:tr w:rsidR="000A156F" w:rsidTr="000A156F">
        <w:tc>
          <w:tcPr>
            <w:tcW w:w="0" w:type="auto"/>
            <w:vAlign w:val="center"/>
          </w:tcPr>
          <w:p w:rsidR="000A156F" w:rsidRDefault="00A9721F">
            <w:pPr>
              <w:pStyle w:val="TableBodyText"/>
            </w:pPr>
            <w:r>
              <w:t>BulletsNumberingStyleDialog</w:t>
            </w:r>
          </w:p>
        </w:tc>
        <w:tc>
          <w:tcPr>
            <w:tcW w:w="0" w:type="auto"/>
            <w:vAlign w:val="center"/>
          </w:tcPr>
          <w:p w:rsidR="000A156F" w:rsidRDefault="00A9721F">
            <w:pPr>
              <w:pStyle w:val="TableBodyText"/>
            </w:pPr>
            <w:r>
              <w:t>08DA</w:t>
            </w:r>
          </w:p>
        </w:tc>
      </w:tr>
      <w:tr w:rsidR="000A156F" w:rsidTr="000A156F">
        <w:tc>
          <w:tcPr>
            <w:tcW w:w="0" w:type="auto"/>
            <w:vAlign w:val="center"/>
          </w:tcPr>
          <w:p w:rsidR="000A156F" w:rsidRDefault="00A9721F">
            <w:pPr>
              <w:pStyle w:val="TableBodyText"/>
            </w:pPr>
            <w:r>
              <w:t>Cancel</w:t>
            </w:r>
          </w:p>
        </w:tc>
        <w:tc>
          <w:tcPr>
            <w:tcW w:w="0" w:type="auto"/>
            <w:vAlign w:val="center"/>
          </w:tcPr>
          <w:p w:rsidR="000A156F" w:rsidRDefault="00A9721F">
            <w:pPr>
              <w:pStyle w:val="TableBodyText"/>
            </w:pPr>
            <w:r>
              <w:t>0048</w:t>
            </w:r>
          </w:p>
        </w:tc>
      </w:tr>
      <w:tr w:rsidR="000A156F" w:rsidTr="000A156F">
        <w:tc>
          <w:tcPr>
            <w:tcW w:w="0" w:type="auto"/>
            <w:vAlign w:val="center"/>
          </w:tcPr>
          <w:p w:rsidR="000A156F" w:rsidRDefault="00A9721F">
            <w:pPr>
              <w:pStyle w:val="TableBodyText"/>
            </w:pPr>
            <w:r>
              <w:t>CancelHighlightMode</w:t>
            </w:r>
          </w:p>
        </w:tc>
        <w:tc>
          <w:tcPr>
            <w:tcW w:w="0" w:type="auto"/>
            <w:vAlign w:val="center"/>
          </w:tcPr>
          <w:p w:rsidR="000A156F" w:rsidRDefault="00A9721F">
            <w:pPr>
              <w:pStyle w:val="TableBodyText"/>
            </w:pPr>
            <w:r>
              <w:t>08BE</w:t>
            </w:r>
          </w:p>
        </w:tc>
      </w:tr>
      <w:tr w:rsidR="000A156F" w:rsidTr="000A156F">
        <w:tc>
          <w:tcPr>
            <w:tcW w:w="0" w:type="auto"/>
            <w:vAlign w:val="center"/>
          </w:tcPr>
          <w:p w:rsidR="000A156F" w:rsidRDefault="00A9721F">
            <w:pPr>
              <w:pStyle w:val="TableBodyText"/>
            </w:pPr>
            <w:r>
              <w:t>CellAlignmentGallery</w:t>
            </w:r>
          </w:p>
        </w:tc>
        <w:tc>
          <w:tcPr>
            <w:tcW w:w="0" w:type="auto"/>
            <w:vAlign w:val="center"/>
          </w:tcPr>
          <w:p w:rsidR="000A156F" w:rsidRDefault="00A9721F">
            <w:pPr>
              <w:pStyle w:val="TableBodyText"/>
            </w:pPr>
            <w:r>
              <w:t>08C2</w:t>
            </w:r>
          </w:p>
        </w:tc>
      </w:tr>
      <w:tr w:rsidR="000A156F" w:rsidTr="000A156F">
        <w:tc>
          <w:tcPr>
            <w:tcW w:w="0" w:type="auto"/>
            <w:vAlign w:val="center"/>
          </w:tcPr>
          <w:p w:rsidR="000A156F" w:rsidRDefault="00A9721F">
            <w:pPr>
              <w:pStyle w:val="TableBodyText"/>
            </w:pPr>
            <w:r>
              <w:t>CellOptions</w:t>
            </w:r>
          </w:p>
        </w:tc>
        <w:tc>
          <w:tcPr>
            <w:tcW w:w="0" w:type="auto"/>
            <w:vAlign w:val="center"/>
          </w:tcPr>
          <w:p w:rsidR="000A156F" w:rsidRDefault="00A9721F">
            <w:pPr>
              <w:pStyle w:val="TableBodyText"/>
            </w:pPr>
            <w:r>
              <w:t>0439</w:t>
            </w:r>
          </w:p>
        </w:tc>
      </w:tr>
      <w:tr w:rsidR="000A156F" w:rsidTr="000A156F">
        <w:tc>
          <w:tcPr>
            <w:tcW w:w="0" w:type="auto"/>
            <w:vAlign w:val="center"/>
          </w:tcPr>
          <w:p w:rsidR="000A156F" w:rsidRDefault="00A9721F">
            <w:pPr>
              <w:pStyle w:val="TableBodyText"/>
            </w:pPr>
            <w:r>
              <w:t>CenterAlign</w:t>
            </w:r>
          </w:p>
        </w:tc>
        <w:tc>
          <w:tcPr>
            <w:tcW w:w="0" w:type="auto"/>
            <w:vAlign w:val="center"/>
          </w:tcPr>
          <w:p w:rsidR="000A156F" w:rsidRDefault="00A9721F">
            <w:pPr>
              <w:pStyle w:val="TableBodyText"/>
            </w:pPr>
            <w:r>
              <w:t>0320</w:t>
            </w:r>
          </w:p>
        </w:tc>
      </w:tr>
      <w:tr w:rsidR="000A156F" w:rsidTr="000A156F">
        <w:tc>
          <w:tcPr>
            <w:tcW w:w="0" w:type="auto"/>
            <w:vAlign w:val="center"/>
          </w:tcPr>
          <w:p w:rsidR="000A156F" w:rsidRDefault="00A9721F">
            <w:pPr>
              <w:pStyle w:val="TableBodyText"/>
            </w:pPr>
            <w:r>
              <w:t>CenterPara</w:t>
            </w:r>
          </w:p>
        </w:tc>
        <w:tc>
          <w:tcPr>
            <w:tcW w:w="0" w:type="auto"/>
            <w:vAlign w:val="center"/>
          </w:tcPr>
          <w:p w:rsidR="000A156F" w:rsidRDefault="00A9721F">
            <w:pPr>
              <w:pStyle w:val="TableBodyText"/>
            </w:pPr>
            <w:r>
              <w:t>003B</w:t>
            </w:r>
          </w:p>
        </w:tc>
      </w:tr>
      <w:tr w:rsidR="000A156F" w:rsidTr="000A156F">
        <w:tc>
          <w:tcPr>
            <w:tcW w:w="0" w:type="auto"/>
            <w:vAlign w:val="center"/>
          </w:tcPr>
          <w:p w:rsidR="000A156F" w:rsidRDefault="00A9721F">
            <w:pPr>
              <w:pStyle w:val="TableBodyText"/>
            </w:pPr>
            <w:r>
              <w:t>ChangeByte</w:t>
            </w:r>
          </w:p>
        </w:tc>
        <w:tc>
          <w:tcPr>
            <w:tcW w:w="0" w:type="auto"/>
            <w:vAlign w:val="center"/>
          </w:tcPr>
          <w:p w:rsidR="000A156F" w:rsidRDefault="00A9721F">
            <w:pPr>
              <w:pStyle w:val="TableBodyText"/>
            </w:pPr>
            <w:r>
              <w:t>02DA</w:t>
            </w:r>
          </w:p>
        </w:tc>
      </w:tr>
      <w:tr w:rsidR="000A156F" w:rsidTr="000A156F">
        <w:tc>
          <w:tcPr>
            <w:tcW w:w="0" w:type="auto"/>
            <w:vAlign w:val="center"/>
          </w:tcPr>
          <w:p w:rsidR="000A156F" w:rsidRDefault="00A9721F">
            <w:pPr>
              <w:pStyle w:val="TableBodyText"/>
            </w:pPr>
            <w:r>
              <w:t>ChangeCase</w:t>
            </w:r>
          </w:p>
        </w:tc>
        <w:tc>
          <w:tcPr>
            <w:tcW w:w="0" w:type="auto"/>
            <w:vAlign w:val="center"/>
          </w:tcPr>
          <w:p w:rsidR="000A156F" w:rsidRDefault="00A9721F">
            <w:pPr>
              <w:pStyle w:val="TableBodyText"/>
            </w:pPr>
            <w:r>
              <w:t>0011</w:t>
            </w:r>
          </w:p>
        </w:tc>
      </w:tr>
      <w:tr w:rsidR="000A156F" w:rsidTr="000A156F">
        <w:tc>
          <w:tcPr>
            <w:tcW w:w="0" w:type="auto"/>
            <w:vAlign w:val="center"/>
          </w:tcPr>
          <w:p w:rsidR="000A156F" w:rsidRDefault="00A9721F">
            <w:pPr>
              <w:pStyle w:val="TableBodyText"/>
            </w:pPr>
            <w:r>
              <w:t>ChangeCaseGallery</w:t>
            </w:r>
          </w:p>
        </w:tc>
        <w:tc>
          <w:tcPr>
            <w:tcW w:w="0" w:type="auto"/>
            <w:vAlign w:val="center"/>
          </w:tcPr>
          <w:p w:rsidR="000A156F" w:rsidRDefault="00A9721F">
            <w:pPr>
              <w:pStyle w:val="TableBodyText"/>
            </w:pPr>
            <w:r>
              <w:t>0853</w:t>
            </w:r>
          </w:p>
        </w:tc>
      </w:tr>
      <w:tr w:rsidR="000A156F" w:rsidTr="000A156F">
        <w:tc>
          <w:tcPr>
            <w:tcW w:w="0" w:type="auto"/>
            <w:vAlign w:val="center"/>
          </w:tcPr>
          <w:p w:rsidR="000A156F" w:rsidRDefault="00A9721F">
            <w:pPr>
              <w:pStyle w:val="TableBodyText"/>
            </w:pPr>
            <w:r>
              <w:t>ChangeKana</w:t>
            </w:r>
          </w:p>
        </w:tc>
        <w:tc>
          <w:tcPr>
            <w:tcW w:w="0" w:type="auto"/>
            <w:vAlign w:val="center"/>
          </w:tcPr>
          <w:p w:rsidR="000A156F" w:rsidRDefault="00A9721F">
            <w:pPr>
              <w:pStyle w:val="TableBodyText"/>
            </w:pPr>
            <w:r>
              <w:t>02DB</w:t>
            </w:r>
          </w:p>
        </w:tc>
      </w:tr>
      <w:tr w:rsidR="000A156F" w:rsidTr="000A156F">
        <w:tc>
          <w:tcPr>
            <w:tcW w:w="0" w:type="auto"/>
            <w:vAlign w:val="center"/>
          </w:tcPr>
          <w:p w:rsidR="000A156F" w:rsidRDefault="00A9721F">
            <w:pPr>
              <w:pStyle w:val="TableBodyText"/>
            </w:pPr>
            <w:r>
              <w:t>ChangeMailFormat</w:t>
            </w:r>
          </w:p>
        </w:tc>
        <w:tc>
          <w:tcPr>
            <w:tcW w:w="0" w:type="auto"/>
            <w:vAlign w:val="center"/>
          </w:tcPr>
          <w:p w:rsidR="000A156F" w:rsidRDefault="00A9721F">
            <w:pPr>
              <w:pStyle w:val="TableBodyText"/>
            </w:pPr>
            <w:r>
              <w:t>1BC9</w:t>
            </w:r>
          </w:p>
        </w:tc>
      </w:tr>
      <w:tr w:rsidR="000A156F" w:rsidTr="000A156F">
        <w:tc>
          <w:tcPr>
            <w:tcW w:w="0" w:type="auto"/>
            <w:vAlign w:val="center"/>
          </w:tcPr>
          <w:p w:rsidR="000A156F" w:rsidRDefault="00A9721F">
            <w:pPr>
              <w:pStyle w:val="TableBodyText"/>
            </w:pPr>
            <w:r>
              <w:t>ChangeShapesGallery</w:t>
            </w:r>
          </w:p>
        </w:tc>
        <w:tc>
          <w:tcPr>
            <w:tcW w:w="0" w:type="auto"/>
            <w:vAlign w:val="center"/>
          </w:tcPr>
          <w:p w:rsidR="000A156F" w:rsidRDefault="00A9721F">
            <w:pPr>
              <w:pStyle w:val="TableBodyText"/>
            </w:pPr>
            <w:r>
              <w:t>07B9</w:t>
            </w:r>
          </w:p>
        </w:tc>
      </w:tr>
      <w:tr w:rsidR="000A156F" w:rsidTr="000A156F">
        <w:tc>
          <w:tcPr>
            <w:tcW w:w="0" w:type="auto"/>
            <w:vAlign w:val="center"/>
          </w:tcPr>
          <w:p w:rsidR="000A156F" w:rsidRDefault="00A9721F">
            <w:pPr>
              <w:pStyle w:val="TableBodyText"/>
            </w:pPr>
            <w:r>
              <w:t>CharColor</w:t>
            </w:r>
          </w:p>
        </w:tc>
        <w:tc>
          <w:tcPr>
            <w:tcW w:w="0" w:type="auto"/>
            <w:vAlign w:val="center"/>
          </w:tcPr>
          <w:p w:rsidR="000A156F" w:rsidRDefault="00A9721F">
            <w:pPr>
              <w:pStyle w:val="TableBodyText"/>
            </w:pPr>
            <w:r>
              <w:t>0039</w:t>
            </w:r>
          </w:p>
        </w:tc>
      </w:tr>
      <w:tr w:rsidR="000A156F" w:rsidTr="000A156F">
        <w:tc>
          <w:tcPr>
            <w:tcW w:w="0" w:type="auto"/>
            <w:vAlign w:val="center"/>
          </w:tcPr>
          <w:p w:rsidR="000A156F" w:rsidRDefault="00A9721F">
            <w:pPr>
              <w:pStyle w:val="TableBodyText"/>
            </w:pPr>
            <w:r>
              <w:lastRenderedPageBreak/>
              <w:t>CharLeft</w:t>
            </w:r>
          </w:p>
        </w:tc>
        <w:tc>
          <w:tcPr>
            <w:tcW w:w="0" w:type="auto"/>
            <w:vAlign w:val="center"/>
          </w:tcPr>
          <w:p w:rsidR="000A156F" w:rsidRDefault="00A9721F">
            <w:pPr>
              <w:pStyle w:val="TableBodyText"/>
            </w:pPr>
            <w:r>
              <w:t>0FA0</w:t>
            </w:r>
          </w:p>
        </w:tc>
      </w:tr>
      <w:tr w:rsidR="000A156F" w:rsidTr="000A156F">
        <w:tc>
          <w:tcPr>
            <w:tcW w:w="0" w:type="auto"/>
            <w:vAlign w:val="center"/>
          </w:tcPr>
          <w:p w:rsidR="000A156F" w:rsidRDefault="00A9721F">
            <w:pPr>
              <w:pStyle w:val="TableBodyText"/>
            </w:pPr>
            <w:r>
              <w:t>CharLeftExtend</w:t>
            </w:r>
          </w:p>
        </w:tc>
        <w:tc>
          <w:tcPr>
            <w:tcW w:w="0" w:type="auto"/>
            <w:vAlign w:val="center"/>
          </w:tcPr>
          <w:p w:rsidR="000A156F" w:rsidRDefault="00A9721F">
            <w:pPr>
              <w:pStyle w:val="TableBodyText"/>
            </w:pPr>
            <w:r>
              <w:t>0FB2</w:t>
            </w:r>
          </w:p>
        </w:tc>
      </w:tr>
      <w:tr w:rsidR="000A156F" w:rsidTr="000A156F">
        <w:tc>
          <w:tcPr>
            <w:tcW w:w="0" w:type="auto"/>
            <w:vAlign w:val="center"/>
          </w:tcPr>
          <w:p w:rsidR="000A156F" w:rsidRDefault="00A9721F">
            <w:pPr>
              <w:pStyle w:val="TableBodyText"/>
            </w:pPr>
            <w:r>
              <w:t>CharRight</w:t>
            </w:r>
          </w:p>
        </w:tc>
        <w:tc>
          <w:tcPr>
            <w:tcW w:w="0" w:type="auto"/>
            <w:vAlign w:val="center"/>
          </w:tcPr>
          <w:p w:rsidR="000A156F" w:rsidRDefault="00A9721F">
            <w:pPr>
              <w:pStyle w:val="TableBodyText"/>
            </w:pPr>
            <w:r>
              <w:t>0FA1</w:t>
            </w:r>
          </w:p>
        </w:tc>
      </w:tr>
      <w:tr w:rsidR="000A156F" w:rsidTr="000A156F">
        <w:tc>
          <w:tcPr>
            <w:tcW w:w="0" w:type="auto"/>
            <w:vAlign w:val="center"/>
          </w:tcPr>
          <w:p w:rsidR="000A156F" w:rsidRDefault="00A9721F">
            <w:pPr>
              <w:pStyle w:val="TableBodyText"/>
            </w:pPr>
            <w:r>
              <w:t>CharRightExtend</w:t>
            </w:r>
          </w:p>
        </w:tc>
        <w:tc>
          <w:tcPr>
            <w:tcW w:w="0" w:type="auto"/>
            <w:vAlign w:val="center"/>
          </w:tcPr>
          <w:p w:rsidR="000A156F" w:rsidRDefault="00A9721F">
            <w:pPr>
              <w:pStyle w:val="TableBodyText"/>
            </w:pPr>
            <w:r>
              <w:t>0FB3</w:t>
            </w:r>
          </w:p>
        </w:tc>
      </w:tr>
      <w:tr w:rsidR="000A156F" w:rsidTr="000A156F">
        <w:tc>
          <w:tcPr>
            <w:tcW w:w="0" w:type="auto"/>
            <w:vAlign w:val="center"/>
          </w:tcPr>
          <w:p w:rsidR="000A156F" w:rsidRDefault="00A9721F">
            <w:pPr>
              <w:pStyle w:val="TableBodyText"/>
            </w:pPr>
            <w:r>
              <w:t>CharScale</w:t>
            </w:r>
          </w:p>
        </w:tc>
        <w:tc>
          <w:tcPr>
            <w:tcW w:w="0" w:type="auto"/>
            <w:vAlign w:val="center"/>
          </w:tcPr>
          <w:p w:rsidR="000A156F" w:rsidRDefault="00A9721F">
            <w:pPr>
              <w:pStyle w:val="TableBodyText"/>
            </w:pPr>
            <w:r>
              <w:t>031D</w:t>
            </w:r>
          </w:p>
        </w:tc>
      </w:tr>
      <w:tr w:rsidR="000A156F" w:rsidTr="000A156F">
        <w:tc>
          <w:tcPr>
            <w:tcW w:w="0" w:type="auto"/>
            <w:vAlign w:val="center"/>
          </w:tcPr>
          <w:p w:rsidR="000A156F" w:rsidRDefault="00A9721F">
            <w:pPr>
              <w:pStyle w:val="TableBodyText"/>
            </w:pPr>
            <w:r>
              <w:t>CharScaleDialog</w:t>
            </w:r>
          </w:p>
        </w:tc>
        <w:tc>
          <w:tcPr>
            <w:tcW w:w="0" w:type="auto"/>
            <w:vAlign w:val="center"/>
          </w:tcPr>
          <w:p w:rsidR="000A156F" w:rsidRDefault="00A9721F">
            <w:pPr>
              <w:pStyle w:val="TableBodyText"/>
            </w:pPr>
            <w:r>
              <w:t>07B2</w:t>
            </w:r>
          </w:p>
        </w:tc>
      </w:tr>
      <w:tr w:rsidR="000A156F" w:rsidTr="000A156F">
        <w:tc>
          <w:tcPr>
            <w:tcW w:w="0" w:type="auto"/>
            <w:vAlign w:val="center"/>
          </w:tcPr>
          <w:p w:rsidR="000A156F" w:rsidRDefault="00A9721F">
            <w:pPr>
              <w:pStyle w:val="TableBodyText"/>
            </w:pPr>
            <w:r>
              <w:t>CharacterClearFormatting</w:t>
            </w:r>
          </w:p>
        </w:tc>
        <w:tc>
          <w:tcPr>
            <w:tcW w:w="0" w:type="auto"/>
            <w:vAlign w:val="center"/>
          </w:tcPr>
          <w:p w:rsidR="000A156F" w:rsidRDefault="00A9721F">
            <w:pPr>
              <w:pStyle w:val="TableBodyText"/>
            </w:pPr>
            <w:r>
              <w:t>076F</w:t>
            </w:r>
          </w:p>
        </w:tc>
      </w:tr>
      <w:tr w:rsidR="000A156F" w:rsidTr="000A156F">
        <w:tc>
          <w:tcPr>
            <w:tcW w:w="0" w:type="auto"/>
            <w:vAlign w:val="center"/>
          </w:tcPr>
          <w:p w:rsidR="000A156F" w:rsidRDefault="00A9721F">
            <w:pPr>
              <w:pStyle w:val="TableBodyText"/>
            </w:pPr>
            <w:r>
              <w:t>CharacterRemoveStyle</w:t>
            </w:r>
          </w:p>
        </w:tc>
        <w:tc>
          <w:tcPr>
            <w:tcW w:w="0" w:type="auto"/>
            <w:vAlign w:val="center"/>
          </w:tcPr>
          <w:p w:rsidR="000A156F" w:rsidRDefault="00A9721F">
            <w:pPr>
              <w:pStyle w:val="TableBodyText"/>
            </w:pPr>
            <w:r>
              <w:t>076D</w:t>
            </w:r>
          </w:p>
        </w:tc>
      </w:tr>
      <w:tr w:rsidR="000A156F" w:rsidTr="000A156F">
        <w:tc>
          <w:tcPr>
            <w:tcW w:w="0" w:type="auto"/>
            <w:vAlign w:val="center"/>
          </w:tcPr>
          <w:p w:rsidR="000A156F" w:rsidRDefault="00A9721F">
            <w:pPr>
              <w:pStyle w:val="TableBodyText"/>
            </w:pPr>
            <w:r>
              <w:t>CheckBoxFormField</w:t>
            </w:r>
          </w:p>
        </w:tc>
        <w:tc>
          <w:tcPr>
            <w:tcW w:w="0" w:type="auto"/>
            <w:vAlign w:val="center"/>
          </w:tcPr>
          <w:p w:rsidR="000A156F" w:rsidRDefault="00A9721F">
            <w:pPr>
              <w:pStyle w:val="TableBodyText"/>
            </w:pPr>
            <w:r>
              <w:t>015E</w:t>
            </w:r>
          </w:p>
        </w:tc>
      </w:tr>
      <w:tr w:rsidR="000A156F" w:rsidTr="000A156F">
        <w:tc>
          <w:tcPr>
            <w:tcW w:w="0" w:type="auto"/>
            <w:vAlign w:val="center"/>
          </w:tcPr>
          <w:p w:rsidR="000A156F" w:rsidRDefault="00A9721F">
            <w:pPr>
              <w:pStyle w:val="TableBodyText"/>
            </w:pPr>
            <w:r>
              <w:t>CheckCompatibility</w:t>
            </w:r>
          </w:p>
        </w:tc>
        <w:tc>
          <w:tcPr>
            <w:tcW w:w="0" w:type="auto"/>
            <w:vAlign w:val="center"/>
          </w:tcPr>
          <w:p w:rsidR="000A156F" w:rsidRDefault="00A9721F">
            <w:pPr>
              <w:pStyle w:val="TableBodyText"/>
            </w:pPr>
            <w:r>
              <w:t>08F9</w:t>
            </w:r>
          </w:p>
        </w:tc>
      </w:tr>
      <w:tr w:rsidR="000A156F" w:rsidTr="000A156F">
        <w:tc>
          <w:tcPr>
            <w:tcW w:w="0" w:type="auto"/>
            <w:vAlign w:val="center"/>
          </w:tcPr>
          <w:p w:rsidR="000A156F" w:rsidRDefault="00A9721F">
            <w:pPr>
              <w:pStyle w:val="TableBodyText"/>
            </w:pPr>
            <w:r>
              <w:t>CheckDocumentParts</w:t>
            </w:r>
          </w:p>
        </w:tc>
        <w:tc>
          <w:tcPr>
            <w:tcW w:w="0" w:type="auto"/>
            <w:vAlign w:val="center"/>
          </w:tcPr>
          <w:p w:rsidR="000A156F" w:rsidRDefault="00A9721F">
            <w:pPr>
              <w:pStyle w:val="TableBodyText"/>
            </w:pPr>
            <w:r>
              <w:t>099B</w:t>
            </w:r>
          </w:p>
        </w:tc>
      </w:tr>
      <w:tr w:rsidR="000A156F" w:rsidTr="000A156F">
        <w:tc>
          <w:tcPr>
            <w:tcW w:w="0" w:type="auto"/>
            <w:vAlign w:val="center"/>
          </w:tcPr>
          <w:p w:rsidR="000A156F" w:rsidRDefault="00A9721F">
            <w:pPr>
              <w:pStyle w:val="TableBodyText"/>
            </w:pPr>
            <w:r>
              <w:t>ChineseTranslationGroup</w:t>
            </w:r>
          </w:p>
        </w:tc>
        <w:tc>
          <w:tcPr>
            <w:tcW w:w="0" w:type="auto"/>
            <w:vAlign w:val="center"/>
          </w:tcPr>
          <w:p w:rsidR="000A156F" w:rsidRDefault="00A9721F">
            <w:pPr>
              <w:pStyle w:val="TableBodyText"/>
            </w:pPr>
            <w:r>
              <w:t>0976</w:t>
            </w:r>
          </w:p>
        </w:tc>
      </w:tr>
      <w:tr w:rsidR="000A156F" w:rsidTr="000A156F">
        <w:tc>
          <w:tcPr>
            <w:tcW w:w="0" w:type="auto"/>
            <w:vAlign w:val="center"/>
          </w:tcPr>
          <w:p w:rsidR="000A156F" w:rsidRDefault="00A9721F">
            <w:pPr>
              <w:pStyle w:val="TableBodyText"/>
            </w:pPr>
            <w:r>
              <w:t>ChooseButtonImage</w:t>
            </w:r>
          </w:p>
        </w:tc>
        <w:tc>
          <w:tcPr>
            <w:tcW w:w="0" w:type="auto"/>
            <w:vAlign w:val="center"/>
          </w:tcPr>
          <w:p w:rsidR="000A156F" w:rsidRDefault="00A9721F">
            <w:pPr>
              <w:pStyle w:val="TableBodyText"/>
            </w:pPr>
            <w:r>
              <w:t>0273</w:t>
            </w:r>
          </w:p>
        </w:tc>
      </w:tr>
      <w:tr w:rsidR="000A156F" w:rsidTr="000A156F">
        <w:tc>
          <w:tcPr>
            <w:tcW w:w="0" w:type="auto"/>
            <w:vAlign w:val="center"/>
          </w:tcPr>
          <w:p w:rsidR="000A156F" w:rsidRDefault="00A9721F">
            <w:pPr>
              <w:pStyle w:val="TableBodyText"/>
            </w:pPr>
            <w:r>
              <w:t>ClearAllFormatting</w:t>
            </w:r>
          </w:p>
        </w:tc>
        <w:tc>
          <w:tcPr>
            <w:tcW w:w="0" w:type="auto"/>
            <w:vAlign w:val="center"/>
          </w:tcPr>
          <w:p w:rsidR="000A156F" w:rsidRDefault="00A9721F">
            <w:pPr>
              <w:pStyle w:val="TableBodyText"/>
            </w:pPr>
            <w:r>
              <w:t>07A9</w:t>
            </w:r>
          </w:p>
        </w:tc>
      </w:tr>
      <w:tr w:rsidR="000A156F" w:rsidTr="000A156F">
        <w:tc>
          <w:tcPr>
            <w:tcW w:w="0" w:type="auto"/>
            <w:vAlign w:val="center"/>
          </w:tcPr>
          <w:p w:rsidR="000A156F" w:rsidRDefault="00A9721F">
            <w:pPr>
              <w:pStyle w:val="TableBodyText"/>
            </w:pPr>
            <w:r>
              <w:t>ClearFormField</w:t>
            </w:r>
          </w:p>
        </w:tc>
        <w:tc>
          <w:tcPr>
            <w:tcW w:w="0" w:type="auto"/>
            <w:vAlign w:val="center"/>
          </w:tcPr>
          <w:p w:rsidR="000A156F" w:rsidRDefault="00A9721F">
            <w:pPr>
              <w:pStyle w:val="TableBodyText"/>
            </w:pPr>
            <w:r>
              <w:t>02C2</w:t>
            </w:r>
          </w:p>
        </w:tc>
      </w:tr>
      <w:tr w:rsidR="000A156F" w:rsidTr="000A156F">
        <w:tc>
          <w:tcPr>
            <w:tcW w:w="0" w:type="auto"/>
            <w:vAlign w:val="center"/>
          </w:tcPr>
          <w:p w:rsidR="000A156F" w:rsidRDefault="00A9721F">
            <w:pPr>
              <w:pStyle w:val="TableBodyText"/>
            </w:pPr>
            <w:r>
              <w:t>ClearFormatting</w:t>
            </w:r>
          </w:p>
        </w:tc>
        <w:tc>
          <w:tcPr>
            <w:tcW w:w="0" w:type="auto"/>
            <w:vAlign w:val="center"/>
          </w:tcPr>
          <w:p w:rsidR="000A156F" w:rsidRDefault="00A9721F">
            <w:pPr>
              <w:pStyle w:val="TableBodyText"/>
            </w:pPr>
            <w:r>
              <w:t>054A</w:t>
            </w:r>
          </w:p>
        </w:tc>
      </w:tr>
      <w:tr w:rsidR="000A156F" w:rsidTr="000A156F">
        <w:tc>
          <w:tcPr>
            <w:tcW w:w="0" w:type="auto"/>
            <w:vAlign w:val="center"/>
          </w:tcPr>
          <w:p w:rsidR="000A156F" w:rsidRDefault="00A9721F">
            <w:pPr>
              <w:pStyle w:val="TableBodyText"/>
            </w:pPr>
            <w:r>
              <w:t>ClearTableStyle</w:t>
            </w:r>
          </w:p>
        </w:tc>
        <w:tc>
          <w:tcPr>
            <w:tcW w:w="0" w:type="auto"/>
            <w:vAlign w:val="center"/>
          </w:tcPr>
          <w:p w:rsidR="000A156F" w:rsidRDefault="00A9721F">
            <w:pPr>
              <w:pStyle w:val="TableBodyText"/>
            </w:pPr>
            <w:r>
              <w:t>08F6</w:t>
            </w:r>
          </w:p>
        </w:tc>
      </w:tr>
      <w:tr w:rsidR="000A156F" w:rsidTr="000A156F">
        <w:tc>
          <w:tcPr>
            <w:tcW w:w="0" w:type="auto"/>
            <w:vAlign w:val="center"/>
          </w:tcPr>
          <w:p w:rsidR="000A156F" w:rsidRDefault="00A9721F">
            <w:pPr>
              <w:pStyle w:val="TableBodyText"/>
            </w:pPr>
            <w:r>
              <w:t>ClosePane</w:t>
            </w:r>
          </w:p>
        </w:tc>
        <w:tc>
          <w:tcPr>
            <w:tcW w:w="0" w:type="auto"/>
            <w:vAlign w:val="center"/>
          </w:tcPr>
          <w:p w:rsidR="000A156F" w:rsidRDefault="00A9721F">
            <w:pPr>
              <w:pStyle w:val="TableBodyText"/>
            </w:pPr>
            <w:r>
              <w:t>00F3</w:t>
            </w:r>
          </w:p>
        </w:tc>
      </w:tr>
      <w:tr w:rsidR="000A156F" w:rsidTr="000A156F">
        <w:tc>
          <w:tcPr>
            <w:tcW w:w="0" w:type="auto"/>
            <w:vAlign w:val="center"/>
          </w:tcPr>
          <w:p w:rsidR="000A156F" w:rsidRDefault="00A9721F">
            <w:pPr>
              <w:pStyle w:val="TableBodyText"/>
            </w:pPr>
            <w:r>
              <w:t>CloseParaAbove</w:t>
            </w:r>
          </w:p>
        </w:tc>
        <w:tc>
          <w:tcPr>
            <w:tcW w:w="0" w:type="auto"/>
            <w:vAlign w:val="center"/>
          </w:tcPr>
          <w:p w:rsidR="000A156F" w:rsidRDefault="00A9721F">
            <w:pPr>
              <w:pStyle w:val="TableBodyText"/>
            </w:pPr>
            <w:r>
              <w:t>0995</w:t>
            </w:r>
          </w:p>
        </w:tc>
      </w:tr>
      <w:tr w:rsidR="000A156F" w:rsidTr="000A156F">
        <w:tc>
          <w:tcPr>
            <w:tcW w:w="0" w:type="auto"/>
            <w:vAlign w:val="center"/>
          </w:tcPr>
          <w:p w:rsidR="000A156F" w:rsidRDefault="00A9721F">
            <w:pPr>
              <w:pStyle w:val="TableBodyText"/>
            </w:pPr>
            <w:r>
              <w:t>CloseParaBelow</w:t>
            </w:r>
          </w:p>
        </w:tc>
        <w:tc>
          <w:tcPr>
            <w:tcW w:w="0" w:type="auto"/>
            <w:vAlign w:val="center"/>
          </w:tcPr>
          <w:p w:rsidR="000A156F" w:rsidRDefault="00A9721F">
            <w:pPr>
              <w:pStyle w:val="TableBodyText"/>
            </w:pPr>
            <w:r>
              <w:t>0997</w:t>
            </w:r>
          </w:p>
        </w:tc>
      </w:tr>
      <w:tr w:rsidR="000A156F" w:rsidTr="000A156F">
        <w:tc>
          <w:tcPr>
            <w:tcW w:w="0" w:type="auto"/>
            <w:vAlign w:val="center"/>
          </w:tcPr>
          <w:p w:rsidR="000A156F" w:rsidRDefault="00A9721F">
            <w:pPr>
              <w:pStyle w:val="TableBodyText"/>
            </w:pPr>
            <w:r>
              <w:t>ClosePreview</w:t>
            </w:r>
          </w:p>
        </w:tc>
        <w:tc>
          <w:tcPr>
            <w:tcW w:w="0" w:type="auto"/>
            <w:vAlign w:val="center"/>
          </w:tcPr>
          <w:p w:rsidR="000A156F" w:rsidRDefault="00A9721F">
            <w:pPr>
              <w:pStyle w:val="TableBodyText"/>
            </w:pPr>
            <w:r>
              <w:t>01B5</w:t>
            </w:r>
          </w:p>
        </w:tc>
      </w:tr>
      <w:tr w:rsidR="000A156F" w:rsidTr="000A156F">
        <w:tc>
          <w:tcPr>
            <w:tcW w:w="0" w:type="auto"/>
            <w:vAlign w:val="center"/>
          </w:tcPr>
          <w:p w:rsidR="000A156F" w:rsidRDefault="00A9721F">
            <w:pPr>
              <w:pStyle w:val="TableBodyText"/>
            </w:pPr>
            <w:r>
              <w:t>CloseReadingMode</w:t>
            </w:r>
          </w:p>
        </w:tc>
        <w:tc>
          <w:tcPr>
            <w:tcW w:w="0" w:type="auto"/>
            <w:vAlign w:val="center"/>
          </w:tcPr>
          <w:p w:rsidR="000A156F" w:rsidRDefault="00A9721F">
            <w:pPr>
              <w:pStyle w:val="TableBodyText"/>
            </w:pPr>
            <w:r>
              <w:t>05C8</w:t>
            </w:r>
          </w:p>
        </w:tc>
      </w:tr>
      <w:tr w:rsidR="000A156F" w:rsidTr="000A156F">
        <w:tc>
          <w:tcPr>
            <w:tcW w:w="0" w:type="auto"/>
            <w:vAlign w:val="center"/>
          </w:tcPr>
          <w:p w:rsidR="000A156F" w:rsidRDefault="00A9721F">
            <w:pPr>
              <w:pStyle w:val="TableBodyText"/>
            </w:pPr>
            <w:r>
              <w:t>CloseUpPara</w:t>
            </w:r>
          </w:p>
        </w:tc>
        <w:tc>
          <w:tcPr>
            <w:tcW w:w="0" w:type="auto"/>
            <w:vAlign w:val="center"/>
          </w:tcPr>
          <w:p w:rsidR="000A156F" w:rsidRDefault="00A9721F">
            <w:pPr>
              <w:pStyle w:val="TableBodyText"/>
            </w:pPr>
            <w:r>
              <w:t>0041</w:t>
            </w:r>
          </w:p>
        </w:tc>
      </w:tr>
      <w:tr w:rsidR="000A156F" w:rsidTr="000A156F">
        <w:tc>
          <w:tcPr>
            <w:tcW w:w="0" w:type="auto"/>
            <w:vAlign w:val="center"/>
          </w:tcPr>
          <w:p w:rsidR="000A156F" w:rsidRDefault="00A9721F">
            <w:pPr>
              <w:pStyle w:val="TableBodyText"/>
            </w:pPr>
            <w:r>
              <w:t>CloseViewHeaderFooter</w:t>
            </w:r>
          </w:p>
        </w:tc>
        <w:tc>
          <w:tcPr>
            <w:tcW w:w="0" w:type="auto"/>
            <w:vAlign w:val="center"/>
          </w:tcPr>
          <w:p w:rsidR="000A156F" w:rsidRDefault="00A9721F">
            <w:pPr>
              <w:pStyle w:val="TableBodyText"/>
            </w:pPr>
            <w:r>
              <w:t>0280</w:t>
            </w:r>
          </w:p>
        </w:tc>
      </w:tr>
      <w:tr w:rsidR="000A156F" w:rsidTr="000A156F">
        <w:tc>
          <w:tcPr>
            <w:tcW w:w="0" w:type="auto"/>
            <w:vAlign w:val="center"/>
          </w:tcPr>
          <w:p w:rsidR="000A156F" w:rsidRDefault="00A9721F">
            <w:pPr>
              <w:pStyle w:val="TableBodyText"/>
            </w:pPr>
            <w:r>
              <w:t>Color</w:t>
            </w:r>
          </w:p>
        </w:tc>
        <w:tc>
          <w:tcPr>
            <w:tcW w:w="0" w:type="auto"/>
            <w:vAlign w:val="center"/>
          </w:tcPr>
          <w:p w:rsidR="000A156F" w:rsidRDefault="00A9721F">
            <w:pPr>
              <w:pStyle w:val="TableBodyText"/>
            </w:pPr>
            <w:r>
              <w:t>0224</w:t>
            </w:r>
          </w:p>
        </w:tc>
      </w:tr>
      <w:tr w:rsidR="000A156F" w:rsidTr="000A156F">
        <w:tc>
          <w:tcPr>
            <w:tcW w:w="0" w:type="auto"/>
            <w:vAlign w:val="center"/>
          </w:tcPr>
          <w:p w:rsidR="000A156F" w:rsidRDefault="00A9721F">
            <w:pPr>
              <w:pStyle w:val="TableBodyText"/>
            </w:pPr>
            <w:r>
              <w:t>ColorPicker3DE1o</w:t>
            </w:r>
          </w:p>
        </w:tc>
        <w:tc>
          <w:tcPr>
            <w:tcW w:w="0" w:type="auto"/>
            <w:vAlign w:val="center"/>
          </w:tcPr>
          <w:p w:rsidR="000A156F" w:rsidRDefault="00A9721F">
            <w:pPr>
              <w:pStyle w:val="TableBodyText"/>
            </w:pPr>
            <w:r>
              <w:t>08A1</w:t>
            </w:r>
          </w:p>
        </w:tc>
      </w:tr>
      <w:tr w:rsidR="000A156F" w:rsidTr="000A156F">
        <w:tc>
          <w:tcPr>
            <w:tcW w:w="0" w:type="auto"/>
            <w:vAlign w:val="center"/>
          </w:tcPr>
          <w:p w:rsidR="000A156F" w:rsidRDefault="00A9721F">
            <w:pPr>
              <w:pStyle w:val="TableBodyText"/>
            </w:pPr>
            <w:r>
              <w:t>ColorPickerShadowE1o</w:t>
            </w:r>
          </w:p>
        </w:tc>
        <w:tc>
          <w:tcPr>
            <w:tcW w:w="0" w:type="auto"/>
            <w:vAlign w:val="center"/>
          </w:tcPr>
          <w:p w:rsidR="000A156F" w:rsidRDefault="00A9721F">
            <w:pPr>
              <w:pStyle w:val="TableBodyText"/>
            </w:pPr>
            <w:r>
              <w:t>08A0</w:t>
            </w:r>
          </w:p>
        </w:tc>
      </w:tr>
      <w:tr w:rsidR="000A156F" w:rsidTr="000A156F">
        <w:tc>
          <w:tcPr>
            <w:tcW w:w="0" w:type="auto"/>
            <w:vAlign w:val="center"/>
          </w:tcPr>
          <w:p w:rsidR="000A156F" w:rsidRDefault="00A9721F">
            <w:pPr>
              <w:pStyle w:val="TableBodyText"/>
            </w:pPr>
            <w:r>
              <w:t>ColorSchemePicker</w:t>
            </w:r>
          </w:p>
        </w:tc>
        <w:tc>
          <w:tcPr>
            <w:tcW w:w="0" w:type="auto"/>
            <w:vAlign w:val="center"/>
          </w:tcPr>
          <w:p w:rsidR="000A156F" w:rsidRDefault="00A9721F">
            <w:pPr>
              <w:pStyle w:val="TableBodyText"/>
            </w:pPr>
            <w:r>
              <w:t>08FC</w:t>
            </w:r>
          </w:p>
        </w:tc>
      </w:tr>
      <w:tr w:rsidR="000A156F" w:rsidTr="000A156F">
        <w:tc>
          <w:tcPr>
            <w:tcW w:w="0" w:type="auto"/>
            <w:vAlign w:val="center"/>
          </w:tcPr>
          <w:p w:rsidR="000A156F" w:rsidRDefault="00A9721F">
            <w:pPr>
              <w:pStyle w:val="TableBodyText"/>
            </w:pPr>
            <w:r>
              <w:t>ColumnSelect</w:t>
            </w:r>
          </w:p>
        </w:tc>
        <w:tc>
          <w:tcPr>
            <w:tcW w:w="0" w:type="auto"/>
            <w:vAlign w:val="center"/>
          </w:tcPr>
          <w:p w:rsidR="000A156F" w:rsidRDefault="00A9721F">
            <w:pPr>
              <w:pStyle w:val="TableBodyText"/>
            </w:pPr>
            <w:r>
              <w:t>001B</w:t>
            </w:r>
          </w:p>
        </w:tc>
      </w:tr>
      <w:tr w:rsidR="000A156F" w:rsidTr="000A156F">
        <w:tc>
          <w:tcPr>
            <w:tcW w:w="0" w:type="auto"/>
            <w:vAlign w:val="center"/>
          </w:tcPr>
          <w:p w:rsidR="000A156F" w:rsidRDefault="00A9721F">
            <w:pPr>
              <w:pStyle w:val="TableBodyText"/>
            </w:pPr>
            <w:r>
              <w:t>Columns</w:t>
            </w:r>
          </w:p>
        </w:tc>
        <w:tc>
          <w:tcPr>
            <w:tcW w:w="0" w:type="auto"/>
            <w:vAlign w:val="center"/>
          </w:tcPr>
          <w:p w:rsidR="000A156F" w:rsidRDefault="00A9721F">
            <w:pPr>
              <w:pStyle w:val="TableBodyText"/>
            </w:pPr>
            <w:r>
              <w:t>0212</w:t>
            </w:r>
          </w:p>
        </w:tc>
      </w:tr>
      <w:tr w:rsidR="000A156F" w:rsidTr="000A156F">
        <w:tc>
          <w:tcPr>
            <w:tcW w:w="0" w:type="auto"/>
            <w:vAlign w:val="center"/>
          </w:tcPr>
          <w:p w:rsidR="000A156F" w:rsidRDefault="00A9721F">
            <w:pPr>
              <w:pStyle w:val="TableBodyText"/>
            </w:pPr>
            <w:r>
              <w:t>ColumnsGallery</w:t>
            </w:r>
          </w:p>
        </w:tc>
        <w:tc>
          <w:tcPr>
            <w:tcW w:w="0" w:type="auto"/>
            <w:vAlign w:val="center"/>
          </w:tcPr>
          <w:p w:rsidR="000A156F" w:rsidRDefault="00A9721F">
            <w:pPr>
              <w:pStyle w:val="TableBodyText"/>
            </w:pPr>
            <w:r>
              <w:t>07BC</w:t>
            </w:r>
          </w:p>
        </w:tc>
      </w:tr>
      <w:tr w:rsidR="000A156F" w:rsidTr="000A156F">
        <w:tc>
          <w:tcPr>
            <w:tcW w:w="0" w:type="auto"/>
            <w:vAlign w:val="center"/>
          </w:tcPr>
          <w:p w:rsidR="000A156F" w:rsidRDefault="00A9721F">
            <w:pPr>
              <w:pStyle w:val="TableBodyText"/>
            </w:pPr>
            <w:r>
              <w:t>CommaAccent</w:t>
            </w:r>
          </w:p>
        </w:tc>
        <w:tc>
          <w:tcPr>
            <w:tcW w:w="0" w:type="auto"/>
            <w:vAlign w:val="center"/>
          </w:tcPr>
          <w:p w:rsidR="000A156F" w:rsidRDefault="00A9721F">
            <w:pPr>
              <w:pStyle w:val="TableBodyText"/>
            </w:pPr>
            <w:r>
              <w:t>02FE</w:t>
            </w:r>
          </w:p>
        </w:tc>
      </w:tr>
      <w:tr w:rsidR="000A156F" w:rsidTr="000A156F">
        <w:tc>
          <w:tcPr>
            <w:tcW w:w="0" w:type="auto"/>
            <w:vAlign w:val="center"/>
          </w:tcPr>
          <w:p w:rsidR="000A156F" w:rsidRDefault="00A9721F">
            <w:pPr>
              <w:pStyle w:val="TableBodyText"/>
            </w:pPr>
            <w:r>
              <w:lastRenderedPageBreak/>
              <w:t>CompareDocumentsCombine</w:t>
            </w:r>
          </w:p>
        </w:tc>
        <w:tc>
          <w:tcPr>
            <w:tcW w:w="0" w:type="auto"/>
            <w:vAlign w:val="center"/>
          </w:tcPr>
          <w:p w:rsidR="000A156F" w:rsidRDefault="00A9721F">
            <w:pPr>
              <w:pStyle w:val="TableBodyText"/>
            </w:pPr>
            <w:r>
              <w:t>0815</w:t>
            </w:r>
          </w:p>
        </w:tc>
      </w:tr>
      <w:tr w:rsidR="000A156F" w:rsidTr="000A156F">
        <w:tc>
          <w:tcPr>
            <w:tcW w:w="0" w:type="auto"/>
            <w:vAlign w:val="center"/>
          </w:tcPr>
          <w:p w:rsidR="000A156F" w:rsidRDefault="00A9721F">
            <w:pPr>
              <w:pStyle w:val="TableBodyText"/>
            </w:pPr>
            <w:r>
              <w:t>CompareDocumentsCompare</w:t>
            </w:r>
          </w:p>
        </w:tc>
        <w:tc>
          <w:tcPr>
            <w:tcW w:w="0" w:type="auto"/>
            <w:vAlign w:val="center"/>
          </w:tcPr>
          <w:p w:rsidR="000A156F" w:rsidRDefault="00A9721F">
            <w:pPr>
              <w:pStyle w:val="TableBodyText"/>
            </w:pPr>
            <w:r>
              <w:t>0814</w:t>
            </w:r>
          </w:p>
        </w:tc>
      </w:tr>
      <w:tr w:rsidR="000A156F" w:rsidTr="000A156F">
        <w:tc>
          <w:tcPr>
            <w:tcW w:w="0" w:type="auto"/>
            <w:vAlign w:val="center"/>
          </w:tcPr>
          <w:p w:rsidR="000A156F" w:rsidRDefault="00A9721F">
            <w:pPr>
              <w:pStyle w:val="TableBodyText"/>
            </w:pPr>
            <w:r>
              <w:t>CompareDocumentsLastMajor</w:t>
            </w:r>
          </w:p>
        </w:tc>
        <w:tc>
          <w:tcPr>
            <w:tcW w:w="0" w:type="auto"/>
            <w:vAlign w:val="center"/>
          </w:tcPr>
          <w:p w:rsidR="000A156F" w:rsidRDefault="00A9721F">
            <w:pPr>
              <w:pStyle w:val="TableBodyText"/>
            </w:pPr>
            <w:r>
              <w:t>0816</w:t>
            </w:r>
          </w:p>
        </w:tc>
      </w:tr>
      <w:tr w:rsidR="000A156F" w:rsidTr="000A156F">
        <w:tc>
          <w:tcPr>
            <w:tcW w:w="0" w:type="auto"/>
            <w:vAlign w:val="center"/>
          </w:tcPr>
          <w:p w:rsidR="000A156F" w:rsidRDefault="00A9721F">
            <w:pPr>
              <w:pStyle w:val="TableBodyText"/>
            </w:pPr>
            <w:r>
              <w:t>CompareDocumentsLastMinor</w:t>
            </w:r>
          </w:p>
        </w:tc>
        <w:tc>
          <w:tcPr>
            <w:tcW w:w="0" w:type="auto"/>
            <w:vAlign w:val="center"/>
          </w:tcPr>
          <w:p w:rsidR="000A156F" w:rsidRDefault="00A9721F">
            <w:pPr>
              <w:pStyle w:val="TableBodyText"/>
            </w:pPr>
            <w:r>
              <w:t>0817</w:t>
            </w:r>
          </w:p>
        </w:tc>
      </w:tr>
      <w:tr w:rsidR="000A156F" w:rsidTr="000A156F">
        <w:tc>
          <w:tcPr>
            <w:tcW w:w="0" w:type="auto"/>
            <w:vAlign w:val="center"/>
          </w:tcPr>
          <w:p w:rsidR="000A156F" w:rsidRDefault="00A9721F">
            <w:pPr>
              <w:pStyle w:val="TableBodyText"/>
            </w:pPr>
            <w:r>
              <w:t>CompareDocumentsVersion</w:t>
            </w:r>
          </w:p>
        </w:tc>
        <w:tc>
          <w:tcPr>
            <w:tcW w:w="0" w:type="auto"/>
            <w:vAlign w:val="center"/>
          </w:tcPr>
          <w:p w:rsidR="000A156F" w:rsidRDefault="00A9721F">
            <w:pPr>
              <w:pStyle w:val="TableBodyText"/>
            </w:pPr>
            <w:r>
              <w:t>0818</w:t>
            </w:r>
          </w:p>
        </w:tc>
      </w:tr>
      <w:tr w:rsidR="000A156F" w:rsidTr="000A156F">
        <w:tc>
          <w:tcPr>
            <w:tcW w:w="0" w:type="auto"/>
            <w:vAlign w:val="center"/>
          </w:tcPr>
          <w:p w:rsidR="000A156F" w:rsidRDefault="00A9721F">
            <w:pPr>
              <w:pStyle w:val="TableBodyText"/>
            </w:pPr>
            <w:r>
              <w:t>CompareTranslationBaseDocuments</w:t>
            </w:r>
          </w:p>
        </w:tc>
        <w:tc>
          <w:tcPr>
            <w:tcW w:w="0" w:type="auto"/>
            <w:vAlign w:val="center"/>
          </w:tcPr>
          <w:p w:rsidR="000A156F" w:rsidRDefault="00A9721F">
            <w:pPr>
              <w:pStyle w:val="TableBodyText"/>
            </w:pPr>
            <w:r>
              <w:t>08FA</w:t>
            </w:r>
          </w:p>
        </w:tc>
      </w:tr>
      <w:tr w:rsidR="000A156F" w:rsidTr="000A156F">
        <w:tc>
          <w:tcPr>
            <w:tcW w:w="0" w:type="auto"/>
            <w:vAlign w:val="center"/>
          </w:tcPr>
          <w:p w:rsidR="000A156F" w:rsidRDefault="00A9721F">
            <w:pPr>
              <w:pStyle w:val="TableBodyText"/>
            </w:pPr>
            <w:r>
              <w:t>CompatChkr</w:t>
            </w:r>
          </w:p>
        </w:tc>
        <w:tc>
          <w:tcPr>
            <w:tcW w:w="0" w:type="auto"/>
            <w:vAlign w:val="center"/>
          </w:tcPr>
          <w:p w:rsidR="000A156F" w:rsidRDefault="00A9721F">
            <w:pPr>
              <w:pStyle w:val="TableBodyText"/>
            </w:pPr>
            <w:r>
              <w:t>0987</w:t>
            </w:r>
          </w:p>
        </w:tc>
      </w:tr>
      <w:tr w:rsidR="000A156F" w:rsidTr="000A156F">
        <w:tc>
          <w:tcPr>
            <w:tcW w:w="0" w:type="auto"/>
            <w:vAlign w:val="center"/>
          </w:tcPr>
          <w:p w:rsidR="000A156F" w:rsidRDefault="00A9721F">
            <w:pPr>
              <w:pStyle w:val="TableBodyText"/>
            </w:pPr>
            <w:r>
              <w:t>Condensed</w:t>
            </w:r>
          </w:p>
        </w:tc>
        <w:tc>
          <w:tcPr>
            <w:tcW w:w="0" w:type="auto"/>
            <w:vAlign w:val="center"/>
          </w:tcPr>
          <w:p w:rsidR="000A156F" w:rsidRDefault="00A9721F">
            <w:pPr>
              <w:pStyle w:val="TableBodyText"/>
            </w:pPr>
            <w:r>
              <w:t>0213</w:t>
            </w:r>
          </w:p>
        </w:tc>
      </w:tr>
      <w:tr w:rsidR="000A156F" w:rsidTr="000A156F">
        <w:tc>
          <w:tcPr>
            <w:tcW w:w="0" w:type="auto"/>
            <w:vAlign w:val="center"/>
          </w:tcPr>
          <w:p w:rsidR="000A156F" w:rsidRDefault="00A9721F">
            <w:pPr>
              <w:pStyle w:val="TableBodyText"/>
            </w:pPr>
            <w:r>
              <w:t>Connect</w:t>
            </w:r>
          </w:p>
        </w:tc>
        <w:tc>
          <w:tcPr>
            <w:tcW w:w="0" w:type="auto"/>
            <w:vAlign w:val="center"/>
          </w:tcPr>
          <w:p w:rsidR="000A156F" w:rsidRDefault="00A9721F">
            <w:pPr>
              <w:pStyle w:val="TableBodyText"/>
            </w:pPr>
            <w:r>
              <w:t>01A4</w:t>
            </w:r>
          </w:p>
        </w:tc>
      </w:tr>
      <w:tr w:rsidR="000A156F" w:rsidTr="000A156F">
        <w:tc>
          <w:tcPr>
            <w:tcW w:w="0" w:type="auto"/>
            <w:vAlign w:val="center"/>
          </w:tcPr>
          <w:p w:rsidR="000A156F" w:rsidRDefault="00A9721F">
            <w:pPr>
              <w:pStyle w:val="TableBodyText"/>
            </w:pPr>
            <w:r>
              <w:t>ContentControlBuildingBlockGallery</w:t>
            </w:r>
          </w:p>
        </w:tc>
        <w:tc>
          <w:tcPr>
            <w:tcW w:w="0" w:type="auto"/>
            <w:vAlign w:val="center"/>
          </w:tcPr>
          <w:p w:rsidR="000A156F" w:rsidRDefault="00A9721F">
            <w:pPr>
              <w:pStyle w:val="TableBodyText"/>
            </w:pPr>
            <w:r>
              <w:t>0954</w:t>
            </w:r>
          </w:p>
        </w:tc>
      </w:tr>
      <w:tr w:rsidR="000A156F" w:rsidTr="000A156F">
        <w:tc>
          <w:tcPr>
            <w:tcW w:w="0" w:type="auto"/>
            <w:vAlign w:val="center"/>
          </w:tcPr>
          <w:p w:rsidR="000A156F" w:rsidRDefault="00A9721F">
            <w:pPr>
              <w:pStyle w:val="TableBodyText"/>
            </w:pPr>
            <w:r>
              <w:t>ContentControlComboBox</w:t>
            </w:r>
          </w:p>
        </w:tc>
        <w:tc>
          <w:tcPr>
            <w:tcW w:w="0" w:type="auto"/>
            <w:vAlign w:val="center"/>
          </w:tcPr>
          <w:p w:rsidR="000A156F" w:rsidRDefault="00A9721F">
            <w:pPr>
              <w:pStyle w:val="TableBodyText"/>
            </w:pPr>
            <w:r>
              <w:t>0952</w:t>
            </w:r>
          </w:p>
        </w:tc>
      </w:tr>
      <w:tr w:rsidR="000A156F" w:rsidTr="000A156F">
        <w:tc>
          <w:tcPr>
            <w:tcW w:w="0" w:type="auto"/>
            <w:vAlign w:val="center"/>
          </w:tcPr>
          <w:p w:rsidR="000A156F" w:rsidRDefault="00A9721F">
            <w:pPr>
              <w:pStyle w:val="TableBodyText"/>
            </w:pPr>
            <w:r>
              <w:t>ContentControlDate</w:t>
            </w:r>
          </w:p>
        </w:tc>
        <w:tc>
          <w:tcPr>
            <w:tcW w:w="0" w:type="auto"/>
            <w:vAlign w:val="center"/>
          </w:tcPr>
          <w:p w:rsidR="000A156F" w:rsidRDefault="00A9721F">
            <w:pPr>
              <w:pStyle w:val="TableBodyText"/>
            </w:pPr>
            <w:r>
              <w:t>0955</w:t>
            </w:r>
          </w:p>
        </w:tc>
      </w:tr>
      <w:tr w:rsidR="000A156F" w:rsidTr="000A156F">
        <w:tc>
          <w:tcPr>
            <w:tcW w:w="0" w:type="auto"/>
            <w:vAlign w:val="center"/>
          </w:tcPr>
          <w:p w:rsidR="000A156F" w:rsidRDefault="00A9721F">
            <w:pPr>
              <w:pStyle w:val="TableBodyText"/>
            </w:pPr>
            <w:r>
              <w:t>ContentControlDropdownList</w:t>
            </w:r>
          </w:p>
        </w:tc>
        <w:tc>
          <w:tcPr>
            <w:tcW w:w="0" w:type="auto"/>
            <w:vAlign w:val="center"/>
          </w:tcPr>
          <w:p w:rsidR="000A156F" w:rsidRDefault="00A9721F">
            <w:pPr>
              <w:pStyle w:val="TableBodyText"/>
            </w:pPr>
            <w:r>
              <w:t>0953</w:t>
            </w:r>
          </w:p>
        </w:tc>
      </w:tr>
      <w:tr w:rsidR="000A156F" w:rsidTr="000A156F">
        <w:tc>
          <w:tcPr>
            <w:tcW w:w="0" w:type="auto"/>
            <w:vAlign w:val="center"/>
          </w:tcPr>
          <w:p w:rsidR="000A156F" w:rsidRDefault="00A9721F">
            <w:pPr>
              <w:pStyle w:val="TableBodyText"/>
            </w:pPr>
            <w:r>
              <w:t>ContentControlGroup</w:t>
            </w:r>
          </w:p>
        </w:tc>
        <w:tc>
          <w:tcPr>
            <w:tcW w:w="0" w:type="auto"/>
            <w:vAlign w:val="center"/>
          </w:tcPr>
          <w:p w:rsidR="000A156F" w:rsidRDefault="00A9721F">
            <w:pPr>
              <w:pStyle w:val="TableBodyText"/>
            </w:pPr>
            <w:r>
              <w:t>094A</w:t>
            </w:r>
          </w:p>
        </w:tc>
      </w:tr>
      <w:tr w:rsidR="000A156F" w:rsidTr="000A156F">
        <w:tc>
          <w:tcPr>
            <w:tcW w:w="0" w:type="auto"/>
            <w:vAlign w:val="center"/>
          </w:tcPr>
          <w:p w:rsidR="000A156F" w:rsidRDefault="00A9721F">
            <w:pPr>
              <w:pStyle w:val="TableBodyText"/>
            </w:pPr>
            <w:r>
              <w:t>ContentControlPicture</w:t>
            </w:r>
          </w:p>
        </w:tc>
        <w:tc>
          <w:tcPr>
            <w:tcW w:w="0" w:type="auto"/>
            <w:vAlign w:val="center"/>
          </w:tcPr>
          <w:p w:rsidR="000A156F" w:rsidRDefault="00A9721F">
            <w:pPr>
              <w:pStyle w:val="TableBodyText"/>
            </w:pPr>
            <w:r>
              <w:t>0951</w:t>
            </w:r>
          </w:p>
        </w:tc>
      </w:tr>
      <w:tr w:rsidR="000A156F" w:rsidTr="000A156F">
        <w:tc>
          <w:tcPr>
            <w:tcW w:w="0" w:type="auto"/>
            <w:vAlign w:val="center"/>
          </w:tcPr>
          <w:p w:rsidR="000A156F" w:rsidRDefault="00A9721F">
            <w:pPr>
              <w:pStyle w:val="TableBodyText"/>
            </w:pPr>
            <w:r>
              <w:t>ContentControlRichText</w:t>
            </w:r>
          </w:p>
        </w:tc>
        <w:tc>
          <w:tcPr>
            <w:tcW w:w="0" w:type="auto"/>
            <w:vAlign w:val="center"/>
          </w:tcPr>
          <w:p w:rsidR="000A156F" w:rsidRDefault="00A9721F">
            <w:pPr>
              <w:pStyle w:val="TableBodyText"/>
            </w:pPr>
            <w:r>
              <w:t>094F</w:t>
            </w:r>
          </w:p>
        </w:tc>
      </w:tr>
      <w:tr w:rsidR="000A156F" w:rsidTr="000A156F">
        <w:tc>
          <w:tcPr>
            <w:tcW w:w="0" w:type="auto"/>
            <w:vAlign w:val="center"/>
          </w:tcPr>
          <w:p w:rsidR="000A156F" w:rsidRDefault="00A9721F">
            <w:pPr>
              <w:pStyle w:val="TableBodyText"/>
            </w:pPr>
            <w:r>
              <w:t>ContentControlText</w:t>
            </w:r>
          </w:p>
        </w:tc>
        <w:tc>
          <w:tcPr>
            <w:tcW w:w="0" w:type="auto"/>
            <w:vAlign w:val="center"/>
          </w:tcPr>
          <w:p w:rsidR="000A156F" w:rsidRDefault="00A9721F">
            <w:pPr>
              <w:pStyle w:val="TableBodyText"/>
            </w:pPr>
            <w:r>
              <w:t>0950</w:t>
            </w:r>
          </w:p>
        </w:tc>
      </w:tr>
      <w:tr w:rsidR="000A156F" w:rsidTr="000A156F">
        <w:tc>
          <w:tcPr>
            <w:tcW w:w="0" w:type="auto"/>
            <w:vAlign w:val="center"/>
          </w:tcPr>
          <w:p w:rsidR="000A156F" w:rsidRDefault="00A9721F">
            <w:pPr>
              <w:pStyle w:val="TableBodyText"/>
            </w:pPr>
            <w:r>
              <w:t>ContentControlUngroup</w:t>
            </w:r>
          </w:p>
        </w:tc>
        <w:tc>
          <w:tcPr>
            <w:tcW w:w="0" w:type="auto"/>
            <w:vAlign w:val="center"/>
          </w:tcPr>
          <w:p w:rsidR="000A156F" w:rsidRDefault="00A9721F">
            <w:pPr>
              <w:pStyle w:val="TableBodyText"/>
            </w:pPr>
            <w:r>
              <w:t>0978</w:t>
            </w:r>
          </w:p>
        </w:tc>
      </w:tr>
      <w:tr w:rsidR="000A156F" w:rsidTr="000A156F">
        <w:tc>
          <w:tcPr>
            <w:tcW w:w="0" w:type="auto"/>
            <w:vAlign w:val="center"/>
          </w:tcPr>
          <w:p w:rsidR="000A156F" w:rsidRDefault="00A9721F">
            <w:pPr>
              <w:pStyle w:val="TableBodyText"/>
            </w:pPr>
            <w:r>
              <w:t>ContextHelp</w:t>
            </w:r>
          </w:p>
        </w:tc>
        <w:tc>
          <w:tcPr>
            <w:tcW w:w="0" w:type="auto"/>
            <w:vAlign w:val="center"/>
          </w:tcPr>
          <w:p w:rsidR="000A156F" w:rsidRDefault="00A9721F">
            <w:pPr>
              <w:pStyle w:val="TableBodyText"/>
            </w:pPr>
            <w:r>
              <w:t>032D</w:t>
            </w:r>
          </w:p>
        </w:tc>
      </w:tr>
      <w:tr w:rsidR="000A156F" w:rsidTr="000A156F">
        <w:tc>
          <w:tcPr>
            <w:tcW w:w="0" w:type="auto"/>
            <w:vAlign w:val="center"/>
          </w:tcPr>
          <w:p w:rsidR="000A156F" w:rsidRDefault="00A9721F">
            <w:pPr>
              <w:pStyle w:val="TableBodyText"/>
            </w:pPr>
            <w:r>
              <w:t>ContinueMacro</w:t>
            </w:r>
          </w:p>
        </w:tc>
        <w:tc>
          <w:tcPr>
            <w:tcW w:w="0" w:type="auto"/>
            <w:vAlign w:val="center"/>
          </w:tcPr>
          <w:p w:rsidR="000A156F" w:rsidRDefault="00A9721F">
            <w:pPr>
              <w:pStyle w:val="TableBodyText"/>
            </w:pPr>
            <w:r>
              <w:t>010A</w:t>
            </w:r>
          </w:p>
        </w:tc>
      </w:tr>
      <w:tr w:rsidR="000A156F" w:rsidTr="000A156F">
        <w:tc>
          <w:tcPr>
            <w:tcW w:w="0" w:type="auto"/>
            <w:vAlign w:val="center"/>
          </w:tcPr>
          <w:p w:rsidR="000A156F" w:rsidRDefault="00A9721F">
            <w:pPr>
              <w:pStyle w:val="TableBodyText"/>
            </w:pPr>
            <w:r>
              <w:t>ContinueNumbering</w:t>
            </w:r>
          </w:p>
        </w:tc>
        <w:tc>
          <w:tcPr>
            <w:tcW w:w="0" w:type="auto"/>
            <w:vAlign w:val="center"/>
          </w:tcPr>
          <w:p w:rsidR="000A156F" w:rsidRDefault="00A9721F">
            <w:pPr>
              <w:pStyle w:val="TableBodyText"/>
            </w:pPr>
            <w:r>
              <w:t>04E7</w:t>
            </w:r>
          </w:p>
        </w:tc>
      </w:tr>
      <w:tr w:rsidR="000A156F" w:rsidTr="000A156F">
        <w:tc>
          <w:tcPr>
            <w:tcW w:w="0" w:type="auto"/>
            <w:vAlign w:val="center"/>
          </w:tcPr>
          <w:p w:rsidR="000A156F" w:rsidRDefault="00A9721F">
            <w:pPr>
              <w:pStyle w:val="TableBodyText"/>
            </w:pPr>
            <w:r>
              <w:t>ContrastGallery</w:t>
            </w:r>
          </w:p>
        </w:tc>
        <w:tc>
          <w:tcPr>
            <w:tcW w:w="0" w:type="auto"/>
            <w:vAlign w:val="center"/>
          </w:tcPr>
          <w:p w:rsidR="000A156F" w:rsidRDefault="00A9721F">
            <w:pPr>
              <w:pStyle w:val="TableBodyText"/>
            </w:pPr>
            <w:r>
              <w:t>0852</w:t>
            </w:r>
          </w:p>
        </w:tc>
      </w:tr>
      <w:tr w:rsidR="000A156F" w:rsidTr="000A156F">
        <w:tc>
          <w:tcPr>
            <w:tcW w:w="0" w:type="auto"/>
            <w:vAlign w:val="center"/>
          </w:tcPr>
          <w:p w:rsidR="000A156F" w:rsidRDefault="00A9721F">
            <w:pPr>
              <w:pStyle w:val="TableBodyText"/>
            </w:pPr>
            <w:r>
              <w:t>ControlProperties</w:t>
            </w:r>
          </w:p>
        </w:tc>
        <w:tc>
          <w:tcPr>
            <w:tcW w:w="0" w:type="auto"/>
            <w:vAlign w:val="center"/>
          </w:tcPr>
          <w:p w:rsidR="000A156F" w:rsidRDefault="00A9721F">
            <w:pPr>
              <w:pStyle w:val="TableBodyText"/>
            </w:pPr>
            <w:r>
              <w:t>0849</w:t>
            </w:r>
          </w:p>
        </w:tc>
      </w:tr>
      <w:tr w:rsidR="000A156F" w:rsidTr="000A156F">
        <w:tc>
          <w:tcPr>
            <w:tcW w:w="0" w:type="auto"/>
            <w:vAlign w:val="center"/>
          </w:tcPr>
          <w:p w:rsidR="000A156F" w:rsidRDefault="00A9721F">
            <w:pPr>
              <w:pStyle w:val="TableBodyText"/>
            </w:pPr>
            <w:r>
              <w:t>ControlRun</w:t>
            </w:r>
          </w:p>
        </w:tc>
        <w:tc>
          <w:tcPr>
            <w:tcW w:w="0" w:type="auto"/>
            <w:vAlign w:val="center"/>
          </w:tcPr>
          <w:p w:rsidR="000A156F" w:rsidRDefault="00A9721F">
            <w:pPr>
              <w:pStyle w:val="TableBodyText"/>
            </w:pPr>
            <w:r>
              <w:t>00EB</w:t>
            </w:r>
          </w:p>
        </w:tc>
      </w:tr>
      <w:tr w:rsidR="000A156F" w:rsidTr="000A156F">
        <w:tc>
          <w:tcPr>
            <w:tcW w:w="0" w:type="auto"/>
            <w:vAlign w:val="center"/>
          </w:tcPr>
          <w:p w:rsidR="000A156F" w:rsidRDefault="00A9721F">
            <w:pPr>
              <w:pStyle w:val="TableBodyText"/>
            </w:pPr>
            <w:r>
              <w:t>ConvertObject</w:t>
            </w:r>
          </w:p>
        </w:tc>
        <w:tc>
          <w:tcPr>
            <w:tcW w:w="0" w:type="auto"/>
            <w:vAlign w:val="center"/>
          </w:tcPr>
          <w:p w:rsidR="000A156F" w:rsidRDefault="00A9721F">
            <w:pPr>
              <w:pStyle w:val="TableBodyText"/>
            </w:pPr>
            <w:r>
              <w:t>0188</w:t>
            </w:r>
          </w:p>
        </w:tc>
      </w:tr>
      <w:tr w:rsidR="000A156F" w:rsidTr="000A156F">
        <w:tc>
          <w:tcPr>
            <w:tcW w:w="0" w:type="auto"/>
            <w:vAlign w:val="center"/>
          </w:tcPr>
          <w:p w:rsidR="000A156F" w:rsidRDefault="00A9721F">
            <w:pPr>
              <w:pStyle w:val="TableBodyText"/>
            </w:pPr>
            <w:r>
              <w:t>ConvertTextBoxToFrame</w:t>
            </w:r>
          </w:p>
        </w:tc>
        <w:tc>
          <w:tcPr>
            <w:tcW w:w="0" w:type="auto"/>
            <w:vAlign w:val="center"/>
          </w:tcPr>
          <w:p w:rsidR="000A156F" w:rsidRDefault="00A9721F">
            <w:pPr>
              <w:pStyle w:val="TableBodyText"/>
            </w:pPr>
            <w:r>
              <w:t>0394</w:t>
            </w:r>
          </w:p>
        </w:tc>
      </w:tr>
      <w:tr w:rsidR="000A156F" w:rsidTr="000A156F">
        <w:tc>
          <w:tcPr>
            <w:tcW w:w="0" w:type="auto"/>
            <w:vAlign w:val="center"/>
          </w:tcPr>
          <w:p w:rsidR="000A156F" w:rsidRDefault="00A9721F">
            <w:pPr>
              <w:pStyle w:val="TableBodyText"/>
            </w:pPr>
            <w:r>
              <w:t>CopyButtonImage</w:t>
            </w:r>
          </w:p>
        </w:tc>
        <w:tc>
          <w:tcPr>
            <w:tcW w:w="0" w:type="auto"/>
            <w:vAlign w:val="center"/>
          </w:tcPr>
          <w:p w:rsidR="000A156F" w:rsidRDefault="00A9721F">
            <w:pPr>
              <w:pStyle w:val="TableBodyText"/>
            </w:pPr>
            <w:r>
              <w:t>020E</w:t>
            </w:r>
          </w:p>
        </w:tc>
      </w:tr>
      <w:tr w:rsidR="000A156F" w:rsidTr="000A156F">
        <w:tc>
          <w:tcPr>
            <w:tcW w:w="0" w:type="auto"/>
            <w:vAlign w:val="center"/>
          </w:tcPr>
          <w:p w:rsidR="000A156F" w:rsidRDefault="00A9721F">
            <w:pPr>
              <w:pStyle w:val="TableBodyText"/>
            </w:pPr>
            <w:r>
              <w:t>CopyFile</w:t>
            </w:r>
          </w:p>
        </w:tc>
        <w:tc>
          <w:tcPr>
            <w:tcW w:w="0" w:type="auto"/>
            <w:vAlign w:val="center"/>
          </w:tcPr>
          <w:p w:rsidR="000A156F" w:rsidRDefault="00A9721F">
            <w:pPr>
              <w:pStyle w:val="TableBodyText"/>
            </w:pPr>
            <w:r>
              <w:t>012C</w:t>
            </w:r>
          </w:p>
        </w:tc>
      </w:tr>
      <w:tr w:rsidR="000A156F" w:rsidTr="000A156F">
        <w:tc>
          <w:tcPr>
            <w:tcW w:w="0" w:type="auto"/>
            <w:vAlign w:val="center"/>
          </w:tcPr>
          <w:p w:rsidR="000A156F" w:rsidRDefault="00A9721F">
            <w:pPr>
              <w:pStyle w:val="TableBodyText"/>
            </w:pPr>
            <w:r>
              <w:t>CopyFormat</w:t>
            </w:r>
          </w:p>
        </w:tc>
        <w:tc>
          <w:tcPr>
            <w:tcW w:w="0" w:type="auto"/>
            <w:vAlign w:val="center"/>
          </w:tcPr>
          <w:p w:rsidR="000A156F" w:rsidRDefault="00A9721F">
            <w:pPr>
              <w:pStyle w:val="TableBodyText"/>
            </w:pPr>
            <w:r>
              <w:t>0049</w:t>
            </w:r>
          </w:p>
        </w:tc>
      </w:tr>
      <w:tr w:rsidR="000A156F" w:rsidTr="000A156F">
        <w:tc>
          <w:tcPr>
            <w:tcW w:w="0" w:type="auto"/>
            <w:vAlign w:val="center"/>
          </w:tcPr>
          <w:p w:rsidR="000A156F" w:rsidRDefault="00A9721F">
            <w:pPr>
              <w:pStyle w:val="TableBodyText"/>
            </w:pPr>
            <w:r>
              <w:t>CopyInkAsText</w:t>
            </w:r>
          </w:p>
        </w:tc>
        <w:tc>
          <w:tcPr>
            <w:tcW w:w="0" w:type="auto"/>
            <w:vAlign w:val="center"/>
          </w:tcPr>
          <w:p w:rsidR="000A156F" w:rsidRDefault="00A9721F">
            <w:pPr>
              <w:pStyle w:val="TableBodyText"/>
            </w:pPr>
            <w:r>
              <w:t>05C2</w:t>
            </w:r>
          </w:p>
        </w:tc>
      </w:tr>
      <w:tr w:rsidR="000A156F" w:rsidTr="000A156F">
        <w:tc>
          <w:tcPr>
            <w:tcW w:w="0" w:type="auto"/>
            <w:vAlign w:val="center"/>
          </w:tcPr>
          <w:p w:rsidR="000A156F" w:rsidRDefault="00A9721F">
            <w:pPr>
              <w:pStyle w:val="TableBodyText"/>
            </w:pPr>
            <w:r>
              <w:t>CopyText</w:t>
            </w:r>
          </w:p>
        </w:tc>
        <w:tc>
          <w:tcPr>
            <w:tcW w:w="0" w:type="auto"/>
            <w:vAlign w:val="center"/>
          </w:tcPr>
          <w:p w:rsidR="000A156F" w:rsidRDefault="00A9721F">
            <w:pPr>
              <w:pStyle w:val="TableBodyText"/>
            </w:pPr>
            <w:r>
              <w:t>0013</w:t>
            </w:r>
          </w:p>
        </w:tc>
      </w:tr>
      <w:tr w:rsidR="000A156F" w:rsidTr="000A156F">
        <w:tc>
          <w:tcPr>
            <w:tcW w:w="0" w:type="auto"/>
            <w:vAlign w:val="center"/>
          </w:tcPr>
          <w:p w:rsidR="000A156F" w:rsidRDefault="00A9721F">
            <w:pPr>
              <w:pStyle w:val="TableBodyText"/>
            </w:pPr>
            <w:r>
              <w:t>CoverPageGallery</w:t>
            </w:r>
          </w:p>
        </w:tc>
        <w:tc>
          <w:tcPr>
            <w:tcW w:w="0" w:type="auto"/>
            <w:vAlign w:val="center"/>
          </w:tcPr>
          <w:p w:rsidR="000A156F" w:rsidRDefault="00A9721F">
            <w:pPr>
              <w:pStyle w:val="TableBodyText"/>
            </w:pPr>
            <w:r>
              <w:t>07E5</w:t>
            </w:r>
          </w:p>
        </w:tc>
      </w:tr>
      <w:tr w:rsidR="000A156F" w:rsidTr="000A156F">
        <w:tc>
          <w:tcPr>
            <w:tcW w:w="0" w:type="auto"/>
            <w:vAlign w:val="center"/>
          </w:tcPr>
          <w:p w:rsidR="000A156F" w:rsidRDefault="00A9721F">
            <w:pPr>
              <w:pStyle w:val="TableBodyText"/>
            </w:pPr>
            <w:r>
              <w:lastRenderedPageBreak/>
              <w:t>CreateAutoText</w:t>
            </w:r>
          </w:p>
        </w:tc>
        <w:tc>
          <w:tcPr>
            <w:tcW w:w="0" w:type="auto"/>
            <w:vAlign w:val="center"/>
          </w:tcPr>
          <w:p w:rsidR="000A156F" w:rsidRDefault="00A9721F">
            <w:pPr>
              <w:pStyle w:val="TableBodyText"/>
            </w:pPr>
            <w:r>
              <w:t>0368</w:t>
            </w:r>
          </w:p>
        </w:tc>
      </w:tr>
      <w:tr w:rsidR="000A156F" w:rsidTr="000A156F">
        <w:tc>
          <w:tcPr>
            <w:tcW w:w="0" w:type="auto"/>
            <w:vAlign w:val="center"/>
          </w:tcPr>
          <w:p w:rsidR="000A156F" w:rsidRDefault="00A9721F">
            <w:pPr>
              <w:pStyle w:val="TableBodyText"/>
            </w:pPr>
            <w:r>
              <w:t>CreateAutoTextBlockFromSel</w:t>
            </w:r>
          </w:p>
        </w:tc>
        <w:tc>
          <w:tcPr>
            <w:tcW w:w="0" w:type="auto"/>
            <w:vAlign w:val="center"/>
          </w:tcPr>
          <w:p w:rsidR="000A156F" w:rsidRDefault="00A9721F">
            <w:pPr>
              <w:pStyle w:val="TableBodyText"/>
            </w:pPr>
            <w:r>
              <w:t>08E1</w:t>
            </w:r>
          </w:p>
        </w:tc>
      </w:tr>
      <w:tr w:rsidR="000A156F" w:rsidTr="000A156F">
        <w:tc>
          <w:tcPr>
            <w:tcW w:w="0" w:type="auto"/>
            <w:vAlign w:val="center"/>
          </w:tcPr>
          <w:p w:rsidR="000A156F" w:rsidRDefault="00A9721F">
            <w:pPr>
              <w:pStyle w:val="TableBodyText"/>
            </w:pPr>
            <w:r>
              <w:t>CreateBibliographyFromSel</w:t>
            </w:r>
          </w:p>
        </w:tc>
        <w:tc>
          <w:tcPr>
            <w:tcW w:w="0" w:type="auto"/>
            <w:vAlign w:val="center"/>
          </w:tcPr>
          <w:p w:rsidR="000A156F" w:rsidRDefault="00A9721F">
            <w:pPr>
              <w:pStyle w:val="TableBodyText"/>
            </w:pPr>
            <w:r>
              <w:t>0971</w:t>
            </w:r>
          </w:p>
        </w:tc>
      </w:tr>
      <w:tr w:rsidR="000A156F" w:rsidTr="000A156F">
        <w:tc>
          <w:tcPr>
            <w:tcW w:w="0" w:type="auto"/>
            <w:vAlign w:val="center"/>
          </w:tcPr>
          <w:p w:rsidR="000A156F" w:rsidRDefault="00A9721F">
            <w:pPr>
              <w:pStyle w:val="TableBodyText"/>
            </w:pPr>
            <w:r>
              <w:t>CreateBuildingBlockFromSel</w:t>
            </w:r>
          </w:p>
        </w:tc>
        <w:tc>
          <w:tcPr>
            <w:tcW w:w="0" w:type="auto"/>
            <w:vAlign w:val="center"/>
          </w:tcPr>
          <w:p w:rsidR="000A156F" w:rsidRDefault="00A9721F">
            <w:pPr>
              <w:pStyle w:val="TableBodyText"/>
            </w:pPr>
            <w:r>
              <w:t>07E2</w:t>
            </w:r>
          </w:p>
        </w:tc>
      </w:tr>
      <w:tr w:rsidR="000A156F" w:rsidTr="000A156F">
        <w:tc>
          <w:tcPr>
            <w:tcW w:w="0" w:type="auto"/>
            <w:vAlign w:val="center"/>
          </w:tcPr>
          <w:p w:rsidR="000A156F" w:rsidRDefault="00A9721F">
            <w:pPr>
              <w:pStyle w:val="TableBodyText"/>
            </w:pPr>
            <w:r>
              <w:t>CreateCommonFieldBlockFromSel</w:t>
            </w:r>
          </w:p>
        </w:tc>
        <w:tc>
          <w:tcPr>
            <w:tcW w:w="0" w:type="auto"/>
            <w:vAlign w:val="center"/>
          </w:tcPr>
          <w:p w:rsidR="000A156F" w:rsidRDefault="00A9721F">
            <w:pPr>
              <w:pStyle w:val="TableBodyText"/>
            </w:pPr>
            <w:r>
              <w:t>07F3</w:t>
            </w:r>
          </w:p>
        </w:tc>
      </w:tr>
      <w:tr w:rsidR="000A156F" w:rsidTr="000A156F">
        <w:tc>
          <w:tcPr>
            <w:tcW w:w="0" w:type="auto"/>
            <w:vAlign w:val="center"/>
          </w:tcPr>
          <w:p w:rsidR="000A156F" w:rsidRDefault="00A9721F">
            <w:pPr>
              <w:pStyle w:val="TableBodyText"/>
            </w:pPr>
            <w:r>
              <w:t>CreateCoverPageBlockFromSel</w:t>
            </w:r>
          </w:p>
        </w:tc>
        <w:tc>
          <w:tcPr>
            <w:tcW w:w="0" w:type="auto"/>
            <w:vAlign w:val="center"/>
          </w:tcPr>
          <w:p w:rsidR="000A156F" w:rsidRDefault="00A9721F">
            <w:pPr>
              <w:pStyle w:val="TableBodyText"/>
            </w:pPr>
            <w:r>
              <w:t>07F4</w:t>
            </w:r>
          </w:p>
        </w:tc>
      </w:tr>
      <w:tr w:rsidR="000A156F" w:rsidTr="000A156F">
        <w:tc>
          <w:tcPr>
            <w:tcW w:w="0" w:type="auto"/>
            <w:vAlign w:val="center"/>
          </w:tcPr>
          <w:p w:rsidR="000A156F" w:rsidRDefault="00A9721F">
            <w:pPr>
              <w:pStyle w:val="TableBodyText"/>
            </w:pPr>
            <w:r>
              <w:t>CreateEquationBlockFromSel</w:t>
            </w:r>
          </w:p>
        </w:tc>
        <w:tc>
          <w:tcPr>
            <w:tcW w:w="0" w:type="auto"/>
            <w:vAlign w:val="center"/>
          </w:tcPr>
          <w:p w:rsidR="000A156F" w:rsidRDefault="00A9721F">
            <w:pPr>
              <w:pStyle w:val="TableBodyText"/>
            </w:pPr>
            <w:r>
              <w:t>07F5</w:t>
            </w:r>
          </w:p>
        </w:tc>
      </w:tr>
      <w:tr w:rsidR="000A156F" w:rsidTr="000A156F">
        <w:tc>
          <w:tcPr>
            <w:tcW w:w="0" w:type="auto"/>
            <w:vAlign w:val="center"/>
          </w:tcPr>
          <w:p w:rsidR="000A156F" w:rsidRDefault="00A9721F">
            <w:pPr>
              <w:pStyle w:val="TableBodyText"/>
            </w:pPr>
            <w:r>
              <w:t>CreateFooterBlockFromSel</w:t>
            </w:r>
          </w:p>
        </w:tc>
        <w:tc>
          <w:tcPr>
            <w:tcW w:w="0" w:type="auto"/>
            <w:vAlign w:val="center"/>
          </w:tcPr>
          <w:p w:rsidR="000A156F" w:rsidRDefault="00A9721F">
            <w:pPr>
              <w:pStyle w:val="TableBodyText"/>
            </w:pPr>
            <w:r>
              <w:t>07F6</w:t>
            </w:r>
          </w:p>
        </w:tc>
      </w:tr>
      <w:tr w:rsidR="000A156F" w:rsidTr="000A156F">
        <w:tc>
          <w:tcPr>
            <w:tcW w:w="0" w:type="auto"/>
            <w:vAlign w:val="center"/>
          </w:tcPr>
          <w:p w:rsidR="000A156F" w:rsidRDefault="00A9721F">
            <w:pPr>
              <w:pStyle w:val="TableBodyText"/>
            </w:pPr>
            <w:r>
              <w:t>CreateHeaderBlockFromSel</w:t>
            </w:r>
          </w:p>
        </w:tc>
        <w:tc>
          <w:tcPr>
            <w:tcW w:w="0" w:type="auto"/>
            <w:vAlign w:val="center"/>
          </w:tcPr>
          <w:p w:rsidR="000A156F" w:rsidRDefault="00A9721F">
            <w:pPr>
              <w:pStyle w:val="TableBodyText"/>
            </w:pPr>
            <w:r>
              <w:t>07F7</w:t>
            </w:r>
          </w:p>
        </w:tc>
      </w:tr>
      <w:tr w:rsidR="000A156F" w:rsidTr="000A156F">
        <w:tc>
          <w:tcPr>
            <w:tcW w:w="0" w:type="auto"/>
            <w:vAlign w:val="center"/>
          </w:tcPr>
          <w:p w:rsidR="000A156F" w:rsidRDefault="00A9721F">
            <w:pPr>
              <w:pStyle w:val="TableBodyText"/>
            </w:pPr>
            <w:r>
              <w:t>CreateLayoutBlockFromSel</w:t>
            </w:r>
          </w:p>
        </w:tc>
        <w:tc>
          <w:tcPr>
            <w:tcW w:w="0" w:type="auto"/>
            <w:vAlign w:val="center"/>
          </w:tcPr>
          <w:p w:rsidR="000A156F" w:rsidRDefault="00A9721F">
            <w:pPr>
              <w:pStyle w:val="TableBodyText"/>
            </w:pPr>
            <w:r>
              <w:t>08E3</w:t>
            </w:r>
          </w:p>
        </w:tc>
      </w:tr>
      <w:tr w:rsidR="000A156F" w:rsidTr="000A156F">
        <w:tc>
          <w:tcPr>
            <w:tcW w:w="0" w:type="auto"/>
            <w:vAlign w:val="center"/>
          </w:tcPr>
          <w:p w:rsidR="000A156F" w:rsidRDefault="00A9721F">
            <w:pPr>
              <w:pStyle w:val="TableBodyText"/>
            </w:pPr>
            <w:r>
              <w:t>CreateNewColorScheme</w:t>
            </w:r>
          </w:p>
        </w:tc>
        <w:tc>
          <w:tcPr>
            <w:tcW w:w="0" w:type="auto"/>
            <w:vAlign w:val="center"/>
          </w:tcPr>
          <w:p w:rsidR="000A156F" w:rsidRDefault="00A9721F">
            <w:pPr>
              <w:pStyle w:val="TableBodyText"/>
            </w:pPr>
            <w:r>
              <w:t>0909</w:t>
            </w:r>
          </w:p>
        </w:tc>
      </w:tr>
      <w:tr w:rsidR="000A156F" w:rsidTr="000A156F">
        <w:tc>
          <w:tcPr>
            <w:tcW w:w="0" w:type="auto"/>
            <w:vAlign w:val="center"/>
          </w:tcPr>
          <w:p w:rsidR="000A156F" w:rsidRDefault="00A9721F">
            <w:pPr>
              <w:pStyle w:val="TableBodyText"/>
            </w:pPr>
            <w:r>
              <w:t>CreateNewFontScheme</w:t>
            </w:r>
          </w:p>
        </w:tc>
        <w:tc>
          <w:tcPr>
            <w:tcW w:w="0" w:type="auto"/>
            <w:vAlign w:val="center"/>
          </w:tcPr>
          <w:p w:rsidR="000A156F" w:rsidRDefault="00A9721F">
            <w:pPr>
              <w:pStyle w:val="TableBodyText"/>
            </w:pPr>
            <w:r>
              <w:t>0937</w:t>
            </w:r>
          </w:p>
        </w:tc>
      </w:tr>
      <w:tr w:rsidR="000A156F" w:rsidTr="000A156F">
        <w:tc>
          <w:tcPr>
            <w:tcW w:w="0" w:type="auto"/>
            <w:vAlign w:val="center"/>
          </w:tcPr>
          <w:p w:rsidR="000A156F" w:rsidRDefault="00A9721F">
            <w:pPr>
              <w:pStyle w:val="TableBodyText"/>
            </w:pPr>
            <w:r>
              <w:t>CreatePageNumBottomFromSel</w:t>
            </w:r>
          </w:p>
        </w:tc>
        <w:tc>
          <w:tcPr>
            <w:tcW w:w="0" w:type="auto"/>
            <w:vAlign w:val="center"/>
          </w:tcPr>
          <w:p w:rsidR="000A156F" w:rsidRDefault="00A9721F">
            <w:pPr>
              <w:pStyle w:val="TableBodyText"/>
            </w:pPr>
            <w:r>
              <w:t>07FB</w:t>
            </w:r>
          </w:p>
        </w:tc>
      </w:tr>
      <w:tr w:rsidR="000A156F" w:rsidTr="000A156F">
        <w:tc>
          <w:tcPr>
            <w:tcW w:w="0" w:type="auto"/>
            <w:vAlign w:val="center"/>
          </w:tcPr>
          <w:p w:rsidR="000A156F" w:rsidRDefault="00A9721F">
            <w:pPr>
              <w:pStyle w:val="TableBodyText"/>
            </w:pPr>
            <w:r>
              <w:t>CreatePageNumFromSel</w:t>
            </w:r>
          </w:p>
        </w:tc>
        <w:tc>
          <w:tcPr>
            <w:tcW w:w="0" w:type="auto"/>
            <w:vAlign w:val="center"/>
          </w:tcPr>
          <w:p w:rsidR="000A156F" w:rsidRDefault="00A9721F">
            <w:pPr>
              <w:pStyle w:val="TableBodyText"/>
            </w:pPr>
            <w:r>
              <w:t>07F9</w:t>
            </w:r>
          </w:p>
        </w:tc>
      </w:tr>
      <w:tr w:rsidR="000A156F" w:rsidTr="000A156F">
        <w:tc>
          <w:tcPr>
            <w:tcW w:w="0" w:type="auto"/>
            <w:vAlign w:val="center"/>
          </w:tcPr>
          <w:p w:rsidR="000A156F" w:rsidRDefault="00A9721F">
            <w:pPr>
              <w:pStyle w:val="TableBodyText"/>
            </w:pPr>
            <w:r>
              <w:t>CreatePageNumPageBlockFromSel</w:t>
            </w:r>
          </w:p>
        </w:tc>
        <w:tc>
          <w:tcPr>
            <w:tcW w:w="0" w:type="auto"/>
            <w:vAlign w:val="center"/>
          </w:tcPr>
          <w:p w:rsidR="000A156F" w:rsidRDefault="00A9721F">
            <w:pPr>
              <w:pStyle w:val="TableBodyText"/>
            </w:pPr>
            <w:r>
              <w:t>07FD</w:t>
            </w:r>
          </w:p>
        </w:tc>
      </w:tr>
      <w:tr w:rsidR="000A156F" w:rsidTr="000A156F">
        <w:tc>
          <w:tcPr>
            <w:tcW w:w="0" w:type="auto"/>
            <w:vAlign w:val="center"/>
          </w:tcPr>
          <w:p w:rsidR="000A156F" w:rsidRDefault="00A9721F">
            <w:pPr>
              <w:pStyle w:val="TableBodyText"/>
            </w:pPr>
            <w:r>
              <w:t>CreatePageNumTopFromSel</w:t>
            </w:r>
          </w:p>
        </w:tc>
        <w:tc>
          <w:tcPr>
            <w:tcW w:w="0" w:type="auto"/>
            <w:vAlign w:val="center"/>
          </w:tcPr>
          <w:p w:rsidR="000A156F" w:rsidRDefault="00A9721F">
            <w:pPr>
              <w:pStyle w:val="TableBodyText"/>
            </w:pPr>
            <w:r>
              <w:t>07FA</w:t>
            </w:r>
          </w:p>
        </w:tc>
      </w:tr>
      <w:tr w:rsidR="000A156F" w:rsidTr="000A156F">
        <w:tc>
          <w:tcPr>
            <w:tcW w:w="0" w:type="auto"/>
            <w:vAlign w:val="center"/>
          </w:tcPr>
          <w:p w:rsidR="000A156F" w:rsidRDefault="00A9721F">
            <w:pPr>
              <w:pStyle w:val="TableBodyText"/>
            </w:pPr>
            <w:r>
              <w:t>CreateSharedWorkspace</w:t>
            </w:r>
          </w:p>
        </w:tc>
        <w:tc>
          <w:tcPr>
            <w:tcW w:w="0" w:type="auto"/>
            <w:vAlign w:val="center"/>
          </w:tcPr>
          <w:p w:rsidR="000A156F" w:rsidRDefault="00A9721F">
            <w:pPr>
              <w:pStyle w:val="TableBodyText"/>
            </w:pPr>
            <w:r>
              <w:t>0839</w:t>
            </w:r>
          </w:p>
        </w:tc>
      </w:tr>
      <w:tr w:rsidR="000A156F" w:rsidTr="000A156F">
        <w:tc>
          <w:tcPr>
            <w:tcW w:w="0" w:type="auto"/>
            <w:vAlign w:val="center"/>
          </w:tcPr>
          <w:p w:rsidR="000A156F" w:rsidRDefault="00A9721F">
            <w:pPr>
              <w:pStyle w:val="TableBodyText"/>
            </w:pPr>
            <w:r>
              <w:t>CreateSubdocument</w:t>
            </w:r>
          </w:p>
        </w:tc>
        <w:tc>
          <w:tcPr>
            <w:tcW w:w="0" w:type="auto"/>
            <w:vAlign w:val="center"/>
          </w:tcPr>
          <w:p w:rsidR="000A156F" w:rsidRDefault="00A9721F">
            <w:pPr>
              <w:pStyle w:val="TableBodyText"/>
            </w:pPr>
            <w:r>
              <w:t>01EB</w:t>
            </w:r>
          </w:p>
        </w:tc>
      </w:tr>
      <w:tr w:rsidR="000A156F" w:rsidTr="000A156F">
        <w:tc>
          <w:tcPr>
            <w:tcW w:w="0" w:type="auto"/>
            <w:vAlign w:val="center"/>
          </w:tcPr>
          <w:p w:rsidR="000A156F" w:rsidRDefault="00A9721F">
            <w:pPr>
              <w:pStyle w:val="TableBodyText"/>
            </w:pPr>
            <w:r>
              <w:t>CreateTable</w:t>
            </w:r>
          </w:p>
        </w:tc>
        <w:tc>
          <w:tcPr>
            <w:tcW w:w="0" w:type="auto"/>
            <w:vAlign w:val="center"/>
          </w:tcPr>
          <w:p w:rsidR="000A156F" w:rsidRDefault="00A9721F">
            <w:pPr>
              <w:pStyle w:val="TableBodyText"/>
            </w:pPr>
            <w:r>
              <w:t>031C</w:t>
            </w:r>
          </w:p>
        </w:tc>
      </w:tr>
      <w:tr w:rsidR="000A156F" w:rsidTr="000A156F">
        <w:tc>
          <w:tcPr>
            <w:tcW w:w="0" w:type="auto"/>
            <w:vAlign w:val="center"/>
          </w:tcPr>
          <w:p w:rsidR="000A156F" w:rsidRDefault="00A9721F">
            <w:pPr>
              <w:pStyle w:val="TableBodyText"/>
            </w:pPr>
            <w:r>
              <w:t>CreateTableBlockFromSel</w:t>
            </w:r>
          </w:p>
        </w:tc>
        <w:tc>
          <w:tcPr>
            <w:tcW w:w="0" w:type="auto"/>
            <w:vAlign w:val="center"/>
          </w:tcPr>
          <w:p w:rsidR="000A156F" w:rsidRDefault="00A9721F">
            <w:pPr>
              <w:pStyle w:val="TableBodyText"/>
            </w:pPr>
            <w:r>
              <w:t>07FC</w:t>
            </w:r>
          </w:p>
        </w:tc>
      </w:tr>
      <w:tr w:rsidR="000A156F" w:rsidTr="000A156F">
        <w:tc>
          <w:tcPr>
            <w:tcW w:w="0" w:type="auto"/>
            <w:vAlign w:val="center"/>
          </w:tcPr>
          <w:p w:rsidR="000A156F" w:rsidRDefault="00A9721F">
            <w:pPr>
              <w:pStyle w:val="TableBodyText"/>
            </w:pPr>
            <w:r>
              <w:t>CreateTableOfContentsFromSel</w:t>
            </w:r>
          </w:p>
        </w:tc>
        <w:tc>
          <w:tcPr>
            <w:tcW w:w="0" w:type="auto"/>
            <w:vAlign w:val="center"/>
          </w:tcPr>
          <w:p w:rsidR="000A156F" w:rsidRDefault="00A9721F">
            <w:pPr>
              <w:pStyle w:val="TableBodyText"/>
            </w:pPr>
            <w:r>
              <w:t>0915</w:t>
            </w:r>
          </w:p>
        </w:tc>
      </w:tr>
      <w:tr w:rsidR="000A156F" w:rsidTr="000A156F">
        <w:tc>
          <w:tcPr>
            <w:tcW w:w="0" w:type="auto"/>
            <w:vAlign w:val="center"/>
          </w:tcPr>
          <w:p w:rsidR="000A156F" w:rsidRDefault="00A9721F">
            <w:pPr>
              <w:pStyle w:val="TableBodyText"/>
            </w:pPr>
            <w:r>
              <w:t>CreateTask</w:t>
            </w:r>
          </w:p>
        </w:tc>
        <w:tc>
          <w:tcPr>
            <w:tcW w:w="0" w:type="auto"/>
            <w:vAlign w:val="center"/>
          </w:tcPr>
          <w:p w:rsidR="000A156F" w:rsidRDefault="00A9721F">
            <w:pPr>
              <w:pStyle w:val="TableBodyText"/>
            </w:pPr>
            <w:r>
              <w:t>0384</w:t>
            </w:r>
          </w:p>
        </w:tc>
      </w:tr>
      <w:tr w:rsidR="000A156F" w:rsidTr="000A156F">
        <w:tc>
          <w:tcPr>
            <w:tcW w:w="0" w:type="auto"/>
            <w:vAlign w:val="center"/>
          </w:tcPr>
          <w:p w:rsidR="000A156F" w:rsidRDefault="00A9721F">
            <w:pPr>
              <w:pStyle w:val="TableBodyText"/>
            </w:pPr>
            <w:r>
              <w:t>CreateTextBoxBlockFromSel</w:t>
            </w:r>
          </w:p>
        </w:tc>
        <w:tc>
          <w:tcPr>
            <w:tcW w:w="0" w:type="auto"/>
            <w:vAlign w:val="center"/>
          </w:tcPr>
          <w:p w:rsidR="000A156F" w:rsidRDefault="00A9721F">
            <w:pPr>
              <w:pStyle w:val="TableBodyText"/>
            </w:pPr>
            <w:r>
              <w:t>08E2</w:t>
            </w:r>
          </w:p>
        </w:tc>
      </w:tr>
      <w:tr w:rsidR="000A156F" w:rsidTr="000A156F">
        <w:tc>
          <w:tcPr>
            <w:tcW w:w="0" w:type="auto"/>
            <w:vAlign w:val="center"/>
          </w:tcPr>
          <w:p w:rsidR="000A156F" w:rsidRDefault="00A9721F">
            <w:pPr>
              <w:pStyle w:val="TableBodyText"/>
            </w:pPr>
            <w:r>
              <w:t>CreateWaterMarkBlockFromSel</w:t>
            </w:r>
          </w:p>
        </w:tc>
        <w:tc>
          <w:tcPr>
            <w:tcW w:w="0" w:type="auto"/>
            <w:vAlign w:val="center"/>
          </w:tcPr>
          <w:p w:rsidR="000A156F" w:rsidRDefault="00A9721F">
            <w:pPr>
              <w:pStyle w:val="TableBodyText"/>
            </w:pPr>
            <w:r>
              <w:t>07FF</w:t>
            </w:r>
          </w:p>
        </w:tc>
      </w:tr>
      <w:tr w:rsidR="000A156F" w:rsidTr="000A156F">
        <w:tc>
          <w:tcPr>
            <w:tcW w:w="0" w:type="auto"/>
            <w:vAlign w:val="center"/>
          </w:tcPr>
          <w:p w:rsidR="000A156F" w:rsidRDefault="00A9721F">
            <w:pPr>
              <w:pStyle w:val="TableBodyText"/>
            </w:pPr>
            <w:r>
              <w:t>CssLinks</w:t>
            </w:r>
          </w:p>
        </w:tc>
        <w:tc>
          <w:tcPr>
            <w:tcW w:w="0" w:type="auto"/>
            <w:vAlign w:val="center"/>
          </w:tcPr>
          <w:p w:rsidR="000A156F" w:rsidRDefault="00A9721F">
            <w:pPr>
              <w:pStyle w:val="TableBodyText"/>
            </w:pPr>
            <w:r>
              <w:t>04ED</w:t>
            </w:r>
          </w:p>
        </w:tc>
      </w:tr>
      <w:tr w:rsidR="000A156F" w:rsidTr="000A156F">
        <w:tc>
          <w:tcPr>
            <w:tcW w:w="0" w:type="auto"/>
            <w:vAlign w:val="center"/>
          </w:tcPr>
          <w:p w:rsidR="000A156F" w:rsidRDefault="00A9721F">
            <w:pPr>
              <w:pStyle w:val="TableBodyText"/>
            </w:pPr>
            <w:r>
              <w:t>Custom1Gallery</w:t>
            </w:r>
          </w:p>
        </w:tc>
        <w:tc>
          <w:tcPr>
            <w:tcW w:w="0" w:type="auto"/>
            <w:vAlign w:val="center"/>
          </w:tcPr>
          <w:p w:rsidR="000A156F" w:rsidRDefault="00A9721F">
            <w:pPr>
              <w:pStyle w:val="TableBodyText"/>
            </w:pPr>
            <w:r>
              <w:t>096C</w:t>
            </w:r>
          </w:p>
        </w:tc>
      </w:tr>
      <w:tr w:rsidR="000A156F" w:rsidTr="000A156F">
        <w:tc>
          <w:tcPr>
            <w:tcW w:w="0" w:type="auto"/>
            <w:vAlign w:val="center"/>
          </w:tcPr>
          <w:p w:rsidR="000A156F" w:rsidRDefault="00A9721F">
            <w:pPr>
              <w:pStyle w:val="TableBodyText"/>
            </w:pPr>
            <w:r>
              <w:t>Custom2Gallery</w:t>
            </w:r>
          </w:p>
        </w:tc>
        <w:tc>
          <w:tcPr>
            <w:tcW w:w="0" w:type="auto"/>
            <w:vAlign w:val="center"/>
          </w:tcPr>
          <w:p w:rsidR="000A156F" w:rsidRDefault="00A9721F">
            <w:pPr>
              <w:pStyle w:val="TableBodyText"/>
            </w:pPr>
            <w:r>
              <w:t>096D</w:t>
            </w:r>
          </w:p>
        </w:tc>
      </w:tr>
      <w:tr w:rsidR="000A156F" w:rsidTr="000A156F">
        <w:tc>
          <w:tcPr>
            <w:tcW w:w="0" w:type="auto"/>
            <w:vAlign w:val="center"/>
          </w:tcPr>
          <w:p w:rsidR="000A156F" w:rsidRDefault="00A9721F">
            <w:pPr>
              <w:pStyle w:val="TableBodyText"/>
            </w:pPr>
            <w:r>
              <w:t>Custom3Gallery</w:t>
            </w:r>
          </w:p>
        </w:tc>
        <w:tc>
          <w:tcPr>
            <w:tcW w:w="0" w:type="auto"/>
            <w:vAlign w:val="center"/>
          </w:tcPr>
          <w:p w:rsidR="000A156F" w:rsidRDefault="00A9721F">
            <w:pPr>
              <w:pStyle w:val="TableBodyText"/>
            </w:pPr>
            <w:r>
              <w:t>096E</w:t>
            </w:r>
          </w:p>
        </w:tc>
      </w:tr>
      <w:tr w:rsidR="000A156F" w:rsidTr="000A156F">
        <w:tc>
          <w:tcPr>
            <w:tcW w:w="0" w:type="auto"/>
            <w:vAlign w:val="center"/>
          </w:tcPr>
          <w:p w:rsidR="000A156F" w:rsidRDefault="00A9721F">
            <w:pPr>
              <w:pStyle w:val="TableBodyText"/>
            </w:pPr>
            <w:r>
              <w:t>Custom4Gallery</w:t>
            </w:r>
          </w:p>
        </w:tc>
        <w:tc>
          <w:tcPr>
            <w:tcW w:w="0" w:type="auto"/>
            <w:vAlign w:val="center"/>
          </w:tcPr>
          <w:p w:rsidR="000A156F" w:rsidRDefault="00A9721F">
            <w:pPr>
              <w:pStyle w:val="TableBodyText"/>
            </w:pPr>
            <w:r>
              <w:t>096F</w:t>
            </w:r>
          </w:p>
        </w:tc>
      </w:tr>
      <w:tr w:rsidR="000A156F" w:rsidTr="000A156F">
        <w:tc>
          <w:tcPr>
            <w:tcW w:w="0" w:type="auto"/>
            <w:vAlign w:val="center"/>
          </w:tcPr>
          <w:p w:rsidR="000A156F" w:rsidRDefault="00A9721F">
            <w:pPr>
              <w:pStyle w:val="TableBodyText"/>
            </w:pPr>
            <w:r>
              <w:t>Custom5Gallery</w:t>
            </w:r>
          </w:p>
        </w:tc>
        <w:tc>
          <w:tcPr>
            <w:tcW w:w="0" w:type="auto"/>
            <w:vAlign w:val="center"/>
          </w:tcPr>
          <w:p w:rsidR="000A156F" w:rsidRDefault="00A9721F">
            <w:pPr>
              <w:pStyle w:val="TableBodyText"/>
            </w:pPr>
            <w:r>
              <w:t>0970</w:t>
            </w:r>
          </w:p>
        </w:tc>
      </w:tr>
      <w:tr w:rsidR="000A156F" w:rsidTr="000A156F">
        <w:tc>
          <w:tcPr>
            <w:tcW w:w="0" w:type="auto"/>
            <w:vAlign w:val="center"/>
          </w:tcPr>
          <w:p w:rsidR="000A156F" w:rsidRDefault="00A9721F">
            <w:pPr>
              <w:pStyle w:val="TableBodyText"/>
            </w:pPr>
            <w:r>
              <w:t>CustomAutoTextGallery</w:t>
            </w:r>
          </w:p>
        </w:tc>
        <w:tc>
          <w:tcPr>
            <w:tcW w:w="0" w:type="auto"/>
            <w:vAlign w:val="center"/>
          </w:tcPr>
          <w:p w:rsidR="000A156F" w:rsidRDefault="00A9721F">
            <w:pPr>
              <w:pStyle w:val="TableBodyText"/>
            </w:pPr>
            <w:r>
              <w:t>0968</w:t>
            </w:r>
          </w:p>
        </w:tc>
      </w:tr>
      <w:tr w:rsidR="000A156F" w:rsidTr="000A156F">
        <w:tc>
          <w:tcPr>
            <w:tcW w:w="0" w:type="auto"/>
            <w:vAlign w:val="center"/>
          </w:tcPr>
          <w:p w:rsidR="000A156F" w:rsidRDefault="00A9721F">
            <w:pPr>
              <w:pStyle w:val="TableBodyText"/>
            </w:pPr>
            <w:r>
              <w:t>CustomBibliographyGallery</w:t>
            </w:r>
          </w:p>
        </w:tc>
        <w:tc>
          <w:tcPr>
            <w:tcW w:w="0" w:type="auto"/>
            <w:vAlign w:val="center"/>
          </w:tcPr>
          <w:p w:rsidR="000A156F" w:rsidRDefault="00A9721F">
            <w:pPr>
              <w:pStyle w:val="TableBodyText"/>
            </w:pPr>
            <w:r>
              <w:t>096B</w:t>
            </w:r>
          </w:p>
        </w:tc>
      </w:tr>
      <w:tr w:rsidR="000A156F" w:rsidTr="000A156F">
        <w:tc>
          <w:tcPr>
            <w:tcW w:w="0" w:type="auto"/>
            <w:vAlign w:val="center"/>
          </w:tcPr>
          <w:p w:rsidR="000A156F" w:rsidRDefault="00A9721F">
            <w:pPr>
              <w:pStyle w:val="TableBodyText"/>
            </w:pPr>
            <w:r>
              <w:lastRenderedPageBreak/>
              <w:t>CustomCoverPageGallery</w:t>
            </w:r>
          </w:p>
        </w:tc>
        <w:tc>
          <w:tcPr>
            <w:tcW w:w="0" w:type="auto"/>
            <w:vAlign w:val="center"/>
          </w:tcPr>
          <w:p w:rsidR="000A156F" w:rsidRDefault="00A9721F">
            <w:pPr>
              <w:pStyle w:val="TableBodyText"/>
            </w:pPr>
            <w:r>
              <w:t>095F</w:t>
            </w:r>
          </w:p>
        </w:tc>
      </w:tr>
      <w:tr w:rsidR="000A156F" w:rsidTr="000A156F">
        <w:tc>
          <w:tcPr>
            <w:tcW w:w="0" w:type="auto"/>
            <w:vAlign w:val="center"/>
          </w:tcPr>
          <w:p w:rsidR="000A156F" w:rsidRDefault="00A9721F">
            <w:pPr>
              <w:pStyle w:val="TableBodyText"/>
            </w:pPr>
            <w:r>
              <w:t>CustomEquationsGallery</w:t>
            </w:r>
          </w:p>
        </w:tc>
        <w:tc>
          <w:tcPr>
            <w:tcW w:w="0" w:type="auto"/>
            <w:vAlign w:val="center"/>
          </w:tcPr>
          <w:p w:rsidR="000A156F" w:rsidRDefault="00A9721F">
            <w:pPr>
              <w:pStyle w:val="TableBodyText"/>
            </w:pPr>
            <w:r>
              <w:t>0965</w:t>
            </w:r>
          </w:p>
        </w:tc>
      </w:tr>
      <w:tr w:rsidR="000A156F" w:rsidTr="000A156F">
        <w:tc>
          <w:tcPr>
            <w:tcW w:w="0" w:type="auto"/>
            <w:vAlign w:val="center"/>
          </w:tcPr>
          <w:p w:rsidR="000A156F" w:rsidRDefault="00A9721F">
            <w:pPr>
              <w:pStyle w:val="TableBodyText"/>
            </w:pPr>
            <w:r>
              <w:t>CustomFooterGallery</w:t>
            </w:r>
          </w:p>
        </w:tc>
        <w:tc>
          <w:tcPr>
            <w:tcW w:w="0" w:type="auto"/>
            <w:vAlign w:val="center"/>
          </w:tcPr>
          <w:p w:rsidR="000A156F" w:rsidRDefault="00A9721F">
            <w:pPr>
              <w:pStyle w:val="TableBodyText"/>
            </w:pPr>
            <w:r>
              <w:t>095E</w:t>
            </w:r>
          </w:p>
        </w:tc>
      </w:tr>
      <w:tr w:rsidR="000A156F" w:rsidTr="000A156F">
        <w:tc>
          <w:tcPr>
            <w:tcW w:w="0" w:type="auto"/>
            <w:vAlign w:val="center"/>
          </w:tcPr>
          <w:p w:rsidR="000A156F" w:rsidRDefault="00A9721F">
            <w:pPr>
              <w:pStyle w:val="TableBodyText"/>
            </w:pPr>
            <w:r>
              <w:t>CustomHeaderGallery</w:t>
            </w:r>
          </w:p>
        </w:tc>
        <w:tc>
          <w:tcPr>
            <w:tcW w:w="0" w:type="auto"/>
            <w:vAlign w:val="center"/>
          </w:tcPr>
          <w:p w:rsidR="000A156F" w:rsidRDefault="00A9721F">
            <w:pPr>
              <w:pStyle w:val="TableBodyText"/>
            </w:pPr>
            <w:r>
              <w:t>095D</w:t>
            </w:r>
          </w:p>
        </w:tc>
      </w:tr>
      <w:tr w:rsidR="000A156F" w:rsidTr="000A156F">
        <w:tc>
          <w:tcPr>
            <w:tcW w:w="0" w:type="auto"/>
            <w:vAlign w:val="center"/>
          </w:tcPr>
          <w:p w:rsidR="000A156F" w:rsidRDefault="00A9721F">
            <w:pPr>
              <w:pStyle w:val="TableBodyText"/>
            </w:pPr>
            <w:r>
              <w:t>CustomPageNumBottomGallery</w:t>
            </w:r>
          </w:p>
        </w:tc>
        <w:tc>
          <w:tcPr>
            <w:tcW w:w="0" w:type="auto"/>
            <w:vAlign w:val="center"/>
          </w:tcPr>
          <w:p w:rsidR="000A156F" w:rsidRDefault="00A9721F">
            <w:pPr>
              <w:pStyle w:val="TableBodyText"/>
            </w:pPr>
            <w:r>
              <w:t>0962</w:t>
            </w:r>
          </w:p>
        </w:tc>
      </w:tr>
      <w:tr w:rsidR="000A156F" w:rsidTr="000A156F">
        <w:tc>
          <w:tcPr>
            <w:tcW w:w="0" w:type="auto"/>
            <w:vAlign w:val="center"/>
          </w:tcPr>
          <w:p w:rsidR="000A156F" w:rsidRDefault="00A9721F">
            <w:pPr>
              <w:pStyle w:val="TableBodyText"/>
            </w:pPr>
            <w:r>
              <w:t>CustomPageNumGallery</w:t>
            </w:r>
          </w:p>
        </w:tc>
        <w:tc>
          <w:tcPr>
            <w:tcW w:w="0" w:type="auto"/>
            <w:vAlign w:val="center"/>
          </w:tcPr>
          <w:p w:rsidR="000A156F" w:rsidRDefault="00A9721F">
            <w:pPr>
              <w:pStyle w:val="TableBodyText"/>
            </w:pPr>
            <w:r>
              <w:t>0960</w:t>
            </w:r>
          </w:p>
        </w:tc>
      </w:tr>
      <w:tr w:rsidR="000A156F" w:rsidTr="000A156F">
        <w:tc>
          <w:tcPr>
            <w:tcW w:w="0" w:type="auto"/>
            <w:vAlign w:val="center"/>
          </w:tcPr>
          <w:p w:rsidR="000A156F" w:rsidRDefault="00A9721F">
            <w:pPr>
              <w:pStyle w:val="TableBodyText"/>
            </w:pPr>
            <w:r>
              <w:t>CustomPageNumPageGallery</w:t>
            </w:r>
          </w:p>
        </w:tc>
        <w:tc>
          <w:tcPr>
            <w:tcW w:w="0" w:type="auto"/>
            <w:vAlign w:val="center"/>
          </w:tcPr>
          <w:p w:rsidR="000A156F" w:rsidRDefault="00A9721F">
            <w:pPr>
              <w:pStyle w:val="TableBodyText"/>
            </w:pPr>
            <w:r>
              <w:t>0963</w:t>
            </w:r>
          </w:p>
        </w:tc>
      </w:tr>
      <w:tr w:rsidR="000A156F" w:rsidTr="000A156F">
        <w:tc>
          <w:tcPr>
            <w:tcW w:w="0" w:type="auto"/>
            <w:vAlign w:val="center"/>
          </w:tcPr>
          <w:p w:rsidR="000A156F" w:rsidRDefault="00A9721F">
            <w:pPr>
              <w:pStyle w:val="TableBodyText"/>
            </w:pPr>
            <w:r>
              <w:t>CustomPageNumTopGallery</w:t>
            </w:r>
          </w:p>
        </w:tc>
        <w:tc>
          <w:tcPr>
            <w:tcW w:w="0" w:type="auto"/>
            <w:vAlign w:val="center"/>
          </w:tcPr>
          <w:p w:rsidR="000A156F" w:rsidRDefault="00A9721F">
            <w:pPr>
              <w:pStyle w:val="TableBodyText"/>
            </w:pPr>
            <w:r>
              <w:t>0961</w:t>
            </w:r>
          </w:p>
        </w:tc>
      </w:tr>
      <w:tr w:rsidR="000A156F" w:rsidTr="000A156F">
        <w:tc>
          <w:tcPr>
            <w:tcW w:w="0" w:type="auto"/>
            <w:vAlign w:val="center"/>
          </w:tcPr>
          <w:p w:rsidR="000A156F" w:rsidRDefault="00A9721F">
            <w:pPr>
              <w:pStyle w:val="TableBodyText"/>
            </w:pPr>
            <w:r>
              <w:t>CustomQuickPartsGallery</w:t>
            </w:r>
          </w:p>
        </w:tc>
        <w:tc>
          <w:tcPr>
            <w:tcW w:w="0" w:type="auto"/>
            <w:vAlign w:val="center"/>
          </w:tcPr>
          <w:p w:rsidR="000A156F" w:rsidRDefault="00A9721F">
            <w:pPr>
              <w:pStyle w:val="TableBodyText"/>
            </w:pPr>
            <w:r>
              <w:t>0967</w:t>
            </w:r>
          </w:p>
        </w:tc>
      </w:tr>
      <w:tr w:rsidR="000A156F" w:rsidTr="000A156F">
        <w:tc>
          <w:tcPr>
            <w:tcW w:w="0" w:type="auto"/>
            <w:vAlign w:val="center"/>
          </w:tcPr>
          <w:p w:rsidR="000A156F" w:rsidRDefault="00A9721F">
            <w:pPr>
              <w:pStyle w:val="TableBodyText"/>
            </w:pPr>
            <w:r>
              <w:t>CustomTableOfContentsGallery</w:t>
            </w:r>
          </w:p>
        </w:tc>
        <w:tc>
          <w:tcPr>
            <w:tcW w:w="0" w:type="auto"/>
            <w:vAlign w:val="center"/>
          </w:tcPr>
          <w:p w:rsidR="000A156F" w:rsidRDefault="00A9721F">
            <w:pPr>
              <w:pStyle w:val="TableBodyText"/>
            </w:pPr>
            <w:r>
              <w:t>096A</w:t>
            </w:r>
          </w:p>
        </w:tc>
      </w:tr>
      <w:tr w:rsidR="000A156F" w:rsidTr="000A156F">
        <w:tc>
          <w:tcPr>
            <w:tcW w:w="0" w:type="auto"/>
            <w:vAlign w:val="center"/>
          </w:tcPr>
          <w:p w:rsidR="000A156F" w:rsidRDefault="00A9721F">
            <w:pPr>
              <w:pStyle w:val="TableBodyText"/>
            </w:pPr>
            <w:r>
              <w:t>CustomTablesGallery</w:t>
            </w:r>
          </w:p>
        </w:tc>
        <w:tc>
          <w:tcPr>
            <w:tcW w:w="0" w:type="auto"/>
            <w:vAlign w:val="center"/>
          </w:tcPr>
          <w:p w:rsidR="000A156F" w:rsidRDefault="00A9721F">
            <w:pPr>
              <w:pStyle w:val="TableBodyText"/>
            </w:pPr>
            <w:r>
              <w:t>0966</w:t>
            </w:r>
          </w:p>
        </w:tc>
      </w:tr>
      <w:tr w:rsidR="000A156F" w:rsidTr="000A156F">
        <w:tc>
          <w:tcPr>
            <w:tcW w:w="0" w:type="auto"/>
            <w:vAlign w:val="center"/>
          </w:tcPr>
          <w:p w:rsidR="000A156F" w:rsidRDefault="00A9721F">
            <w:pPr>
              <w:pStyle w:val="TableBodyText"/>
            </w:pPr>
            <w:r>
              <w:t>CustomTextBoxGallery</w:t>
            </w:r>
          </w:p>
        </w:tc>
        <w:tc>
          <w:tcPr>
            <w:tcW w:w="0" w:type="auto"/>
            <w:vAlign w:val="center"/>
          </w:tcPr>
          <w:p w:rsidR="000A156F" w:rsidRDefault="00A9721F">
            <w:pPr>
              <w:pStyle w:val="TableBodyText"/>
            </w:pPr>
            <w:r>
              <w:t>0969</w:t>
            </w:r>
          </w:p>
        </w:tc>
      </w:tr>
      <w:tr w:rsidR="000A156F" w:rsidTr="000A156F">
        <w:tc>
          <w:tcPr>
            <w:tcW w:w="0" w:type="auto"/>
            <w:vAlign w:val="center"/>
          </w:tcPr>
          <w:p w:rsidR="000A156F" w:rsidRDefault="00A9721F">
            <w:pPr>
              <w:pStyle w:val="TableBodyText"/>
            </w:pPr>
            <w:r>
              <w:t>CustomWatermarkGallery</w:t>
            </w:r>
          </w:p>
        </w:tc>
        <w:tc>
          <w:tcPr>
            <w:tcW w:w="0" w:type="auto"/>
            <w:vAlign w:val="center"/>
          </w:tcPr>
          <w:p w:rsidR="000A156F" w:rsidRDefault="00A9721F">
            <w:pPr>
              <w:pStyle w:val="TableBodyText"/>
            </w:pPr>
            <w:r>
              <w:t>0964</w:t>
            </w:r>
          </w:p>
        </w:tc>
      </w:tr>
      <w:tr w:rsidR="000A156F" w:rsidTr="000A156F">
        <w:tc>
          <w:tcPr>
            <w:tcW w:w="0" w:type="auto"/>
            <w:vAlign w:val="center"/>
          </w:tcPr>
          <w:p w:rsidR="000A156F" w:rsidRDefault="00A9721F">
            <w:pPr>
              <w:pStyle w:val="TableBodyText"/>
            </w:pPr>
            <w:r>
              <w:t>DecreaseIndent</w:t>
            </w:r>
          </w:p>
        </w:tc>
        <w:tc>
          <w:tcPr>
            <w:tcW w:w="0" w:type="auto"/>
            <w:vAlign w:val="center"/>
          </w:tcPr>
          <w:p w:rsidR="000A156F" w:rsidRDefault="00A9721F">
            <w:pPr>
              <w:pStyle w:val="TableBodyText"/>
            </w:pPr>
            <w:r>
              <w:t>03F3</w:t>
            </w:r>
          </w:p>
        </w:tc>
      </w:tr>
      <w:tr w:rsidR="000A156F" w:rsidTr="000A156F">
        <w:tc>
          <w:tcPr>
            <w:tcW w:w="0" w:type="auto"/>
            <w:vAlign w:val="center"/>
          </w:tcPr>
          <w:p w:rsidR="000A156F" w:rsidRDefault="00A9721F">
            <w:pPr>
              <w:pStyle w:val="TableBodyText"/>
            </w:pPr>
            <w:r>
              <w:t>DecreaseParagraphSpacing</w:t>
            </w:r>
          </w:p>
        </w:tc>
        <w:tc>
          <w:tcPr>
            <w:tcW w:w="0" w:type="auto"/>
            <w:vAlign w:val="center"/>
          </w:tcPr>
          <w:p w:rsidR="000A156F" w:rsidRDefault="00A9721F">
            <w:pPr>
              <w:pStyle w:val="TableBodyText"/>
            </w:pPr>
            <w:r>
              <w:t>053F</w:t>
            </w:r>
          </w:p>
        </w:tc>
      </w:tr>
      <w:tr w:rsidR="000A156F" w:rsidTr="000A156F">
        <w:tc>
          <w:tcPr>
            <w:tcW w:w="0" w:type="auto"/>
            <w:vAlign w:val="center"/>
          </w:tcPr>
          <w:p w:rsidR="000A156F" w:rsidRDefault="00A9721F">
            <w:pPr>
              <w:pStyle w:val="TableBodyText"/>
            </w:pPr>
            <w:r>
              <w:t>DefaultCharBorder</w:t>
            </w:r>
          </w:p>
        </w:tc>
        <w:tc>
          <w:tcPr>
            <w:tcW w:w="0" w:type="auto"/>
            <w:vAlign w:val="center"/>
          </w:tcPr>
          <w:p w:rsidR="000A156F" w:rsidRDefault="00A9721F">
            <w:pPr>
              <w:pStyle w:val="TableBodyText"/>
            </w:pPr>
            <w:r>
              <w:t>03E5</w:t>
            </w:r>
          </w:p>
        </w:tc>
      </w:tr>
      <w:tr w:rsidR="000A156F" w:rsidTr="000A156F">
        <w:tc>
          <w:tcPr>
            <w:tcW w:w="0" w:type="auto"/>
            <w:vAlign w:val="center"/>
          </w:tcPr>
          <w:p w:rsidR="000A156F" w:rsidRDefault="00A9721F">
            <w:pPr>
              <w:pStyle w:val="TableBodyText"/>
            </w:pPr>
            <w:r>
              <w:t>DefaultCharShading</w:t>
            </w:r>
          </w:p>
        </w:tc>
        <w:tc>
          <w:tcPr>
            <w:tcW w:w="0" w:type="auto"/>
            <w:vAlign w:val="center"/>
          </w:tcPr>
          <w:p w:rsidR="000A156F" w:rsidRDefault="00A9721F">
            <w:pPr>
              <w:pStyle w:val="TableBodyText"/>
            </w:pPr>
            <w:r>
              <w:t>03F7</w:t>
            </w:r>
          </w:p>
        </w:tc>
      </w:tr>
      <w:tr w:rsidR="000A156F" w:rsidTr="000A156F">
        <w:tc>
          <w:tcPr>
            <w:tcW w:w="0" w:type="auto"/>
            <w:vAlign w:val="center"/>
          </w:tcPr>
          <w:p w:rsidR="000A156F" w:rsidRDefault="00A9721F">
            <w:pPr>
              <w:pStyle w:val="TableBodyText"/>
            </w:pPr>
            <w:r>
              <w:t>DefaultCondensed</w:t>
            </w:r>
          </w:p>
        </w:tc>
        <w:tc>
          <w:tcPr>
            <w:tcW w:w="0" w:type="auto"/>
            <w:vAlign w:val="center"/>
          </w:tcPr>
          <w:p w:rsidR="000A156F" w:rsidRDefault="00A9721F">
            <w:pPr>
              <w:pStyle w:val="TableBodyText"/>
            </w:pPr>
            <w:r>
              <w:t>0801</w:t>
            </w:r>
          </w:p>
        </w:tc>
      </w:tr>
      <w:tr w:rsidR="000A156F" w:rsidTr="000A156F">
        <w:tc>
          <w:tcPr>
            <w:tcW w:w="0" w:type="auto"/>
            <w:vAlign w:val="center"/>
          </w:tcPr>
          <w:p w:rsidR="000A156F" w:rsidRDefault="00A9721F">
            <w:pPr>
              <w:pStyle w:val="TableBodyText"/>
            </w:pPr>
            <w:r>
              <w:t>DefaultExpanded</w:t>
            </w:r>
          </w:p>
        </w:tc>
        <w:tc>
          <w:tcPr>
            <w:tcW w:w="0" w:type="auto"/>
            <w:vAlign w:val="center"/>
          </w:tcPr>
          <w:p w:rsidR="000A156F" w:rsidRDefault="00A9721F">
            <w:pPr>
              <w:pStyle w:val="TableBodyText"/>
            </w:pPr>
            <w:r>
              <w:t>0802</w:t>
            </w:r>
          </w:p>
        </w:tc>
      </w:tr>
      <w:tr w:rsidR="000A156F" w:rsidTr="000A156F">
        <w:tc>
          <w:tcPr>
            <w:tcW w:w="0" w:type="auto"/>
            <w:vAlign w:val="center"/>
          </w:tcPr>
          <w:p w:rsidR="000A156F" w:rsidRDefault="00A9721F">
            <w:pPr>
              <w:pStyle w:val="TableBodyText"/>
            </w:pPr>
            <w:r>
              <w:t>DefineNewBullet</w:t>
            </w:r>
          </w:p>
        </w:tc>
        <w:tc>
          <w:tcPr>
            <w:tcW w:w="0" w:type="auto"/>
            <w:vAlign w:val="center"/>
          </w:tcPr>
          <w:p w:rsidR="000A156F" w:rsidRDefault="00A9721F">
            <w:pPr>
              <w:pStyle w:val="TableBodyText"/>
            </w:pPr>
            <w:r>
              <w:t>07E0</w:t>
            </w:r>
          </w:p>
        </w:tc>
      </w:tr>
      <w:tr w:rsidR="000A156F" w:rsidTr="000A156F">
        <w:tc>
          <w:tcPr>
            <w:tcW w:w="0" w:type="auto"/>
            <w:vAlign w:val="center"/>
          </w:tcPr>
          <w:p w:rsidR="000A156F" w:rsidRDefault="00A9721F">
            <w:pPr>
              <w:pStyle w:val="TableBodyText"/>
            </w:pPr>
            <w:r>
              <w:t>DefineNewList</w:t>
            </w:r>
          </w:p>
        </w:tc>
        <w:tc>
          <w:tcPr>
            <w:tcW w:w="0" w:type="auto"/>
            <w:vAlign w:val="center"/>
          </w:tcPr>
          <w:p w:rsidR="000A156F" w:rsidRDefault="00A9721F">
            <w:pPr>
              <w:pStyle w:val="TableBodyText"/>
            </w:pPr>
            <w:r>
              <w:t>087A</w:t>
            </w:r>
          </w:p>
        </w:tc>
      </w:tr>
      <w:tr w:rsidR="000A156F" w:rsidTr="000A156F">
        <w:tc>
          <w:tcPr>
            <w:tcW w:w="0" w:type="auto"/>
            <w:vAlign w:val="center"/>
          </w:tcPr>
          <w:p w:rsidR="000A156F" w:rsidRDefault="00A9721F">
            <w:pPr>
              <w:pStyle w:val="TableBodyText"/>
            </w:pPr>
            <w:r>
              <w:t>DefineNewListStyle</w:t>
            </w:r>
          </w:p>
        </w:tc>
        <w:tc>
          <w:tcPr>
            <w:tcW w:w="0" w:type="auto"/>
            <w:vAlign w:val="center"/>
          </w:tcPr>
          <w:p w:rsidR="000A156F" w:rsidRDefault="00A9721F">
            <w:pPr>
              <w:pStyle w:val="TableBodyText"/>
            </w:pPr>
            <w:r>
              <w:t>087B</w:t>
            </w:r>
          </w:p>
        </w:tc>
      </w:tr>
      <w:tr w:rsidR="000A156F" w:rsidTr="000A156F">
        <w:tc>
          <w:tcPr>
            <w:tcW w:w="0" w:type="auto"/>
            <w:vAlign w:val="center"/>
          </w:tcPr>
          <w:p w:rsidR="000A156F" w:rsidRDefault="00A9721F">
            <w:pPr>
              <w:pStyle w:val="TableBodyText"/>
            </w:pPr>
            <w:r>
              <w:t>DefineNewNumber</w:t>
            </w:r>
          </w:p>
        </w:tc>
        <w:tc>
          <w:tcPr>
            <w:tcW w:w="0" w:type="auto"/>
            <w:vAlign w:val="center"/>
          </w:tcPr>
          <w:p w:rsidR="000A156F" w:rsidRDefault="00A9721F">
            <w:pPr>
              <w:pStyle w:val="TableBodyText"/>
            </w:pPr>
            <w:r>
              <w:t>07E1</w:t>
            </w:r>
          </w:p>
        </w:tc>
      </w:tr>
      <w:tr w:rsidR="000A156F" w:rsidTr="000A156F">
        <w:tc>
          <w:tcPr>
            <w:tcW w:w="0" w:type="auto"/>
            <w:vAlign w:val="center"/>
          </w:tcPr>
          <w:p w:rsidR="000A156F" w:rsidRDefault="00A9721F">
            <w:pPr>
              <w:pStyle w:val="TableBodyText"/>
            </w:pPr>
            <w:r>
              <w:t>DeleteAllCommentsInDoc</w:t>
            </w:r>
          </w:p>
        </w:tc>
        <w:tc>
          <w:tcPr>
            <w:tcW w:w="0" w:type="auto"/>
            <w:vAlign w:val="center"/>
          </w:tcPr>
          <w:p w:rsidR="000A156F" w:rsidRDefault="00A9721F">
            <w:pPr>
              <w:pStyle w:val="TableBodyText"/>
            </w:pPr>
            <w:r>
              <w:t>0516</w:t>
            </w:r>
          </w:p>
        </w:tc>
      </w:tr>
      <w:tr w:rsidR="000A156F" w:rsidTr="000A156F">
        <w:tc>
          <w:tcPr>
            <w:tcW w:w="0" w:type="auto"/>
            <w:vAlign w:val="center"/>
          </w:tcPr>
          <w:p w:rsidR="000A156F" w:rsidRDefault="00A9721F">
            <w:pPr>
              <w:pStyle w:val="TableBodyText"/>
            </w:pPr>
            <w:r>
              <w:t>DeleteAllCommentsShown</w:t>
            </w:r>
          </w:p>
        </w:tc>
        <w:tc>
          <w:tcPr>
            <w:tcW w:w="0" w:type="auto"/>
            <w:vAlign w:val="center"/>
          </w:tcPr>
          <w:p w:rsidR="000A156F" w:rsidRDefault="00A9721F">
            <w:pPr>
              <w:pStyle w:val="TableBodyText"/>
            </w:pPr>
            <w:r>
              <w:t>0515</w:t>
            </w:r>
          </w:p>
        </w:tc>
      </w:tr>
      <w:tr w:rsidR="000A156F" w:rsidTr="000A156F">
        <w:tc>
          <w:tcPr>
            <w:tcW w:w="0" w:type="auto"/>
            <w:vAlign w:val="center"/>
          </w:tcPr>
          <w:p w:rsidR="000A156F" w:rsidRDefault="00A9721F">
            <w:pPr>
              <w:pStyle w:val="TableBodyText"/>
            </w:pPr>
            <w:r>
              <w:t>DeleteAllInkAnnotations</w:t>
            </w:r>
          </w:p>
        </w:tc>
        <w:tc>
          <w:tcPr>
            <w:tcW w:w="0" w:type="auto"/>
            <w:vAlign w:val="center"/>
          </w:tcPr>
          <w:p w:rsidR="000A156F" w:rsidRDefault="00A9721F">
            <w:pPr>
              <w:pStyle w:val="TableBodyText"/>
            </w:pPr>
            <w:r>
              <w:t>05AB</w:t>
            </w:r>
          </w:p>
        </w:tc>
      </w:tr>
      <w:tr w:rsidR="000A156F" w:rsidTr="000A156F">
        <w:tc>
          <w:tcPr>
            <w:tcW w:w="0" w:type="auto"/>
            <w:vAlign w:val="center"/>
          </w:tcPr>
          <w:p w:rsidR="000A156F" w:rsidRDefault="00A9721F">
            <w:pPr>
              <w:pStyle w:val="TableBodyText"/>
            </w:pPr>
            <w:r>
              <w:t>DeleteAnnotation</w:t>
            </w:r>
          </w:p>
        </w:tc>
        <w:tc>
          <w:tcPr>
            <w:tcW w:w="0" w:type="auto"/>
            <w:vAlign w:val="center"/>
          </w:tcPr>
          <w:p w:rsidR="000A156F" w:rsidRDefault="00A9721F">
            <w:pPr>
              <w:pStyle w:val="TableBodyText"/>
            </w:pPr>
            <w:r>
              <w:t>03CD</w:t>
            </w:r>
          </w:p>
        </w:tc>
      </w:tr>
      <w:tr w:rsidR="000A156F" w:rsidTr="000A156F">
        <w:tc>
          <w:tcPr>
            <w:tcW w:w="0" w:type="auto"/>
            <w:vAlign w:val="center"/>
          </w:tcPr>
          <w:p w:rsidR="000A156F" w:rsidRDefault="00A9721F">
            <w:pPr>
              <w:pStyle w:val="TableBodyText"/>
            </w:pPr>
            <w:r>
              <w:t>DeleteBackWord</w:t>
            </w:r>
          </w:p>
        </w:tc>
        <w:tc>
          <w:tcPr>
            <w:tcW w:w="0" w:type="auto"/>
            <w:vAlign w:val="center"/>
          </w:tcPr>
          <w:p w:rsidR="000A156F" w:rsidRDefault="00A9721F">
            <w:pPr>
              <w:pStyle w:val="TableBodyText"/>
            </w:pPr>
            <w:r>
              <w:t>001D</w:t>
            </w:r>
          </w:p>
        </w:tc>
      </w:tr>
      <w:tr w:rsidR="000A156F" w:rsidTr="000A156F">
        <w:tc>
          <w:tcPr>
            <w:tcW w:w="0" w:type="auto"/>
            <w:vAlign w:val="center"/>
          </w:tcPr>
          <w:p w:rsidR="000A156F" w:rsidRDefault="00A9721F">
            <w:pPr>
              <w:pStyle w:val="TableBodyText"/>
            </w:pPr>
            <w:r>
              <w:t>DeleteBuildingBlock</w:t>
            </w:r>
          </w:p>
        </w:tc>
        <w:tc>
          <w:tcPr>
            <w:tcW w:w="0" w:type="auto"/>
            <w:vAlign w:val="center"/>
          </w:tcPr>
          <w:p w:rsidR="000A156F" w:rsidRDefault="00A9721F">
            <w:pPr>
              <w:pStyle w:val="TableBodyText"/>
            </w:pPr>
            <w:r>
              <w:t>088A</w:t>
            </w:r>
          </w:p>
        </w:tc>
      </w:tr>
      <w:tr w:rsidR="000A156F" w:rsidTr="000A156F">
        <w:tc>
          <w:tcPr>
            <w:tcW w:w="0" w:type="auto"/>
            <w:vAlign w:val="center"/>
          </w:tcPr>
          <w:p w:rsidR="000A156F" w:rsidRDefault="00A9721F">
            <w:pPr>
              <w:pStyle w:val="TableBodyText"/>
            </w:pPr>
            <w:r>
              <w:t>DeleteHyperlink</w:t>
            </w:r>
          </w:p>
        </w:tc>
        <w:tc>
          <w:tcPr>
            <w:tcW w:w="0" w:type="auto"/>
            <w:vAlign w:val="center"/>
          </w:tcPr>
          <w:p w:rsidR="000A156F" w:rsidRDefault="00A9721F">
            <w:pPr>
              <w:pStyle w:val="TableBodyText"/>
            </w:pPr>
            <w:r>
              <w:t>0381</w:t>
            </w:r>
          </w:p>
        </w:tc>
      </w:tr>
      <w:tr w:rsidR="000A156F" w:rsidTr="000A156F">
        <w:tc>
          <w:tcPr>
            <w:tcW w:w="0" w:type="auto"/>
            <w:vAlign w:val="center"/>
          </w:tcPr>
          <w:p w:rsidR="000A156F" w:rsidRDefault="00A9721F">
            <w:pPr>
              <w:pStyle w:val="TableBodyText"/>
            </w:pPr>
            <w:r>
              <w:t>DeleteSchema</w:t>
            </w:r>
          </w:p>
        </w:tc>
        <w:tc>
          <w:tcPr>
            <w:tcW w:w="0" w:type="auto"/>
            <w:vAlign w:val="center"/>
          </w:tcPr>
          <w:p w:rsidR="000A156F" w:rsidRDefault="00A9721F">
            <w:pPr>
              <w:pStyle w:val="TableBodyText"/>
            </w:pPr>
            <w:r>
              <w:t>1BD1</w:t>
            </w:r>
          </w:p>
        </w:tc>
      </w:tr>
      <w:tr w:rsidR="000A156F" w:rsidTr="000A156F">
        <w:tc>
          <w:tcPr>
            <w:tcW w:w="0" w:type="auto"/>
            <w:vAlign w:val="center"/>
          </w:tcPr>
          <w:p w:rsidR="000A156F" w:rsidRDefault="00A9721F">
            <w:pPr>
              <w:pStyle w:val="TableBodyText"/>
            </w:pPr>
            <w:r>
              <w:t>DeleteStructure</w:t>
            </w:r>
          </w:p>
        </w:tc>
        <w:tc>
          <w:tcPr>
            <w:tcW w:w="0" w:type="auto"/>
            <w:vAlign w:val="center"/>
          </w:tcPr>
          <w:p w:rsidR="000A156F" w:rsidRDefault="00A9721F">
            <w:pPr>
              <w:pStyle w:val="TableBodyText"/>
            </w:pPr>
            <w:r>
              <w:t>0568</w:t>
            </w:r>
          </w:p>
        </w:tc>
      </w:tr>
      <w:tr w:rsidR="000A156F" w:rsidTr="000A156F">
        <w:tc>
          <w:tcPr>
            <w:tcW w:w="0" w:type="auto"/>
            <w:vAlign w:val="center"/>
          </w:tcPr>
          <w:p w:rsidR="000A156F" w:rsidRDefault="00A9721F">
            <w:pPr>
              <w:pStyle w:val="TableBodyText"/>
            </w:pPr>
            <w:r>
              <w:lastRenderedPageBreak/>
              <w:t>DeleteStyle</w:t>
            </w:r>
          </w:p>
        </w:tc>
        <w:tc>
          <w:tcPr>
            <w:tcW w:w="0" w:type="auto"/>
            <w:vAlign w:val="center"/>
          </w:tcPr>
          <w:p w:rsidR="000A156F" w:rsidRDefault="00A9721F">
            <w:pPr>
              <w:pStyle w:val="TableBodyText"/>
            </w:pPr>
            <w:r>
              <w:t>0555</w:t>
            </w:r>
          </w:p>
        </w:tc>
      </w:tr>
      <w:tr w:rsidR="000A156F" w:rsidTr="000A156F">
        <w:tc>
          <w:tcPr>
            <w:tcW w:w="0" w:type="auto"/>
            <w:vAlign w:val="center"/>
          </w:tcPr>
          <w:p w:rsidR="000A156F" w:rsidRDefault="00A9721F">
            <w:pPr>
              <w:pStyle w:val="TableBodyText"/>
            </w:pPr>
            <w:r>
              <w:t>DeleteWord</w:t>
            </w:r>
          </w:p>
        </w:tc>
        <w:tc>
          <w:tcPr>
            <w:tcW w:w="0" w:type="auto"/>
            <w:vAlign w:val="center"/>
          </w:tcPr>
          <w:p w:rsidR="000A156F" w:rsidRDefault="00A9721F">
            <w:pPr>
              <w:pStyle w:val="TableBodyText"/>
            </w:pPr>
            <w:r>
              <w:t>001C</w:t>
            </w:r>
          </w:p>
        </w:tc>
      </w:tr>
      <w:tr w:rsidR="000A156F" w:rsidTr="000A156F">
        <w:tc>
          <w:tcPr>
            <w:tcW w:w="0" w:type="auto"/>
            <w:vAlign w:val="center"/>
          </w:tcPr>
          <w:p w:rsidR="000A156F" w:rsidRDefault="00A9721F">
            <w:pPr>
              <w:pStyle w:val="TableBodyText"/>
            </w:pPr>
            <w:r>
              <w:t>DemoteList</w:t>
            </w:r>
          </w:p>
        </w:tc>
        <w:tc>
          <w:tcPr>
            <w:tcW w:w="0" w:type="auto"/>
            <w:vAlign w:val="center"/>
          </w:tcPr>
          <w:p w:rsidR="000A156F" w:rsidRDefault="00A9721F">
            <w:pPr>
              <w:pStyle w:val="TableBodyText"/>
            </w:pPr>
            <w:r>
              <w:t>0250</w:t>
            </w:r>
          </w:p>
        </w:tc>
      </w:tr>
      <w:tr w:rsidR="000A156F" w:rsidTr="000A156F">
        <w:tc>
          <w:tcPr>
            <w:tcW w:w="0" w:type="auto"/>
            <w:vAlign w:val="center"/>
          </w:tcPr>
          <w:p w:rsidR="000A156F" w:rsidRDefault="00A9721F">
            <w:pPr>
              <w:pStyle w:val="TableBodyText"/>
            </w:pPr>
            <w:r>
              <w:t>DemoteToBodyText</w:t>
            </w:r>
          </w:p>
        </w:tc>
        <w:tc>
          <w:tcPr>
            <w:tcW w:w="0" w:type="auto"/>
            <w:vAlign w:val="center"/>
          </w:tcPr>
          <w:p w:rsidR="000A156F" w:rsidRDefault="00A9721F">
            <w:pPr>
              <w:pStyle w:val="TableBodyText"/>
            </w:pPr>
            <w:r>
              <w:t>016E</w:t>
            </w:r>
          </w:p>
        </w:tc>
      </w:tr>
      <w:tr w:rsidR="000A156F" w:rsidTr="000A156F">
        <w:tc>
          <w:tcPr>
            <w:tcW w:w="0" w:type="auto"/>
            <w:vAlign w:val="center"/>
          </w:tcPr>
          <w:p w:rsidR="000A156F" w:rsidRDefault="00A9721F">
            <w:pPr>
              <w:pStyle w:val="TableBodyText"/>
            </w:pPr>
            <w:r>
              <w:t>DepthGallery</w:t>
            </w:r>
          </w:p>
        </w:tc>
        <w:tc>
          <w:tcPr>
            <w:tcW w:w="0" w:type="auto"/>
            <w:vAlign w:val="center"/>
          </w:tcPr>
          <w:p w:rsidR="000A156F" w:rsidRDefault="00A9721F">
            <w:pPr>
              <w:pStyle w:val="TableBodyText"/>
            </w:pPr>
            <w:r>
              <w:t>08CB</w:t>
            </w:r>
          </w:p>
        </w:tc>
      </w:tr>
      <w:tr w:rsidR="000A156F" w:rsidTr="000A156F">
        <w:tc>
          <w:tcPr>
            <w:tcW w:w="0" w:type="auto"/>
            <w:vAlign w:val="center"/>
          </w:tcPr>
          <w:p w:rsidR="000A156F" w:rsidRDefault="00A9721F">
            <w:pPr>
              <w:pStyle w:val="TableBodyText"/>
            </w:pPr>
            <w:r>
              <w:t>DiacriticColor</w:t>
            </w:r>
          </w:p>
        </w:tc>
        <w:tc>
          <w:tcPr>
            <w:tcW w:w="0" w:type="auto"/>
            <w:vAlign w:val="center"/>
          </w:tcPr>
          <w:p w:rsidR="000A156F" w:rsidRDefault="00A9721F">
            <w:pPr>
              <w:pStyle w:val="TableBodyText"/>
            </w:pPr>
            <w:r>
              <w:t>0458</w:t>
            </w:r>
          </w:p>
        </w:tc>
      </w:tr>
      <w:tr w:rsidR="000A156F" w:rsidTr="000A156F">
        <w:tc>
          <w:tcPr>
            <w:tcW w:w="0" w:type="auto"/>
            <w:vAlign w:val="center"/>
          </w:tcPr>
          <w:p w:rsidR="000A156F" w:rsidRDefault="00A9721F">
            <w:pPr>
              <w:pStyle w:val="TableBodyText"/>
            </w:pPr>
            <w:r>
              <w:t>DialogEditor</w:t>
            </w:r>
          </w:p>
        </w:tc>
        <w:tc>
          <w:tcPr>
            <w:tcW w:w="0" w:type="auto"/>
            <w:vAlign w:val="center"/>
          </w:tcPr>
          <w:p w:rsidR="000A156F" w:rsidRDefault="00A9721F">
            <w:pPr>
              <w:pStyle w:val="TableBodyText"/>
            </w:pPr>
            <w:r>
              <w:t>0228</w:t>
            </w:r>
          </w:p>
        </w:tc>
      </w:tr>
      <w:tr w:rsidR="000A156F" w:rsidTr="000A156F">
        <w:tc>
          <w:tcPr>
            <w:tcW w:w="0" w:type="auto"/>
            <w:vAlign w:val="center"/>
          </w:tcPr>
          <w:p w:rsidR="000A156F" w:rsidRDefault="00A9721F">
            <w:pPr>
              <w:pStyle w:val="TableBodyText"/>
            </w:pPr>
            <w:r>
              <w:t>Direction3DGallery</w:t>
            </w:r>
          </w:p>
        </w:tc>
        <w:tc>
          <w:tcPr>
            <w:tcW w:w="0" w:type="auto"/>
            <w:vAlign w:val="center"/>
          </w:tcPr>
          <w:p w:rsidR="000A156F" w:rsidRDefault="00A9721F">
            <w:pPr>
              <w:pStyle w:val="TableBodyText"/>
            </w:pPr>
            <w:r>
              <w:t>08CA</w:t>
            </w:r>
          </w:p>
        </w:tc>
      </w:tr>
      <w:tr w:rsidR="000A156F" w:rsidTr="000A156F">
        <w:tc>
          <w:tcPr>
            <w:tcW w:w="0" w:type="auto"/>
            <w:vAlign w:val="center"/>
          </w:tcPr>
          <w:p w:rsidR="000A156F" w:rsidRDefault="00A9721F">
            <w:pPr>
              <w:pStyle w:val="TableBodyText"/>
            </w:pPr>
            <w:r>
              <w:t>DisplayDetails</w:t>
            </w:r>
          </w:p>
        </w:tc>
        <w:tc>
          <w:tcPr>
            <w:tcW w:w="0" w:type="auto"/>
            <w:vAlign w:val="center"/>
          </w:tcPr>
          <w:p w:rsidR="000A156F" w:rsidRDefault="00A9721F">
            <w:pPr>
              <w:pStyle w:val="TableBodyText"/>
            </w:pPr>
            <w:r>
              <w:t>0385</w:t>
            </w:r>
          </w:p>
        </w:tc>
      </w:tr>
      <w:tr w:rsidR="000A156F" w:rsidTr="000A156F">
        <w:tc>
          <w:tcPr>
            <w:tcW w:w="0" w:type="auto"/>
            <w:vAlign w:val="center"/>
          </w:tcPr>
          <w:p w:rsidR="000A156F" w:rsidRDefault="00A9721F">
            <w:pPr>
              <w:pStyle w:val="TableBodyText"/>
            </w:pPr>
            <w:r>
              <w:t>DisplayDocumentManagementPane</w:t>
            </w:r>
          </w:p>
        </w:tc>
        <w:tc>
          <w:tcPr>
            <w:tcW w:w="0" w:type="auto"/>
            <w:vAlign w:val="center"/>
          </w:tcPr>
          <w:p w:rsidR="000A156F" w:rsidRDefault="00A9721F">
            <w:pPr>
              <w:pStyle w:val="TableBodyText"/>
            </w:pPr>
            <w:r>
              <w:t>083B</w:t>
            </w:r>
          </w:p>
        </w:tc>
      </w:tr>
      <w:tr w:rsidR="000A156F" w:rsidTr="000A156F">
        <w:tc>
          <w:tcPr>
            <w:tcW w:w="0" w:type="auto"/>
            <w:vAlign w:val="center"/>
          </w:tcPr>
          <w:p w:rsidR="000A156F" w:rsidRDefault="00A9721F">
            <w:pPr>
              <w:pStyle w:val="TableBodyText"/>
            </w:pPr>
            <w:r>
              <w:t>DisplayFinalDoc</w:t>
            </w:r>
          </w:p>
        </w:tc>
        <w:tc>
          <w:tcPr>
            <w:tcW w:w="0" w:type="auto"/>
            <w:vAlign w:val="center"/>
          </w:tcPr>
          <w:p w:rsidR="000A156F" w:rsidRDefault="00A9721F">
            <w:pPr>
              <w:pStyle w:val="TableBodyText"/>
            </w:pPr>
            <w:r>
              <w:t>0505</w:t>
            </w:r>
          </w:p>
        </w:tc>
      </w:tr>
      <w:tr w:rsidR="000A156F" w:rsidTr="000A156F">
        <w:tc>
          <w:tcPr>
            <w:tcW w:w="0" w:type="auto"/>
            <w:vAlign w:val="center"/>
          </w:tcPr>
          <w:p w:rsidR="000A156F" w:rsidRDefault="00A9721F">
            <w:pPr>
              <w:pStyle w:val="TableBodyText"/>
            </w:pPr>
            <w:r>
              <w:t>DisplayForReview</w:t>
            </w:r>
          </w:p>
        </w:tc>
        <w:tc>
          <w:tcPr>
            <w:tcW w:w="0" w:type="auto"/>
            <w:vAlign w:val="center"/>
          </w:tcPr>
          <w:p w:rsidR="000A156F" w:rsidRDefault="00A9721F">
            <w:pPr>
              <w:pStyle w:val="TableBodyText"/>
            </w:pPr>
            <w:r>
              <w:t>0534</w:t>
            </w:r>
          </w:p>
        </w:tc>
      </w:tr>
      <w:tr w:rsidR="000A156F" w:rsidTr="000A156F">
        <w:tc>
          <w:tcPr>
            <w:tcW w:w="0" w:type="auto"/>
            <w:vAlign w:val="center"/>
          </w:tcPr>
          <w:p w:rsidR="000A156F" w:rsidRDefault="00A9721F">
            <w:pPr>
              <w:pStyle w:val="TableBodyText"/>
            </w:pPr>
            <w:r>
              <w:t>DisplayOriginalDoc</w:t>
            </w:r>
          </w:p>
        </w:tc>
        <w:tc>
          <w:tcPr>
            <w:tcW w:w="0" w:type="auto"/>
            <w:vAlign w:val="center"/>
          </w:tcPr>
          <w:p w:rsidR="000A156F" w:rsidRDefault="00A9721F">
            <w:pPr>
              <w:pStyle w:val="TableBodyText"/>
            </w:pPr>
            <w:r>
              <w:t>0506</w:t>
            </w:r>
          </w:p>
        </w:tc>
      </w:tr>
      <w:tr w:rsidR="000A156F" w:rsidTr="000A156F">
        <w:tc>
          <w:tcPr>
            <w:tcW w:w="0" w:type="auto"/>
            <w:vAlign w:val="center"/>
          </w:tcPr>
          <w:p w:rsidR="000A156F" w:rsidRDefault="00A9721F">
            <w:pPr>
              <w:pStyle w:val="TableBodyText"/>
            </w:pPr>
            <w:r>
              <w:t>DisplaySharedWorkspacePane</w:t>
            </w:r>
          </w:p>
        </w:tc>
        <w:tc>
          <w:tcPr>
            <w:tcW w:w="0" w:type="auto"/>
            <w:vAlign w:val="center"/>
          </w:tcPr>
          <w:p w:rsidR="000A156F" w:rsidRDefault="00A9721F">
            <w:pPr>
              <w:pStyle w:val="TableBodyText"/>
            </w:pPr>
            <w:r>
              <w:t>0532</w:t>
            </w:r>
          </w:p>
        </w:tc>
      </w:tr>
      <w:tr w:rsidR="000A156F" w:rsidTr="000A156F">
        <w:tc>
          <w:tcPr>
            <w:tcW w:w="0" w:type="auto"/>
            <w:vAlign w:val="center"/>
          </w:tcPr>
          <w:p w:rsidR="000A156F" w:rsidRDefault="00A9721F">
            <w:pPr>
              <w:pStyle w:val="TableBodyText"/>
            </w:pPr>
            <w:r>
              <w:t>DistributeColumn</w:t>
            </w:r>
          </w:p>
        </w:tc>
        <w:tc>
          <w:tcPr>
            <w:tcW w:w="0" w:type="auto"/>
            <w:vAlign w:val="center"/>
          </w:tcPr>
          <w:p w:rsidR="000A156F" w:rsidRDefault="00A9721F">
            <w:pPr>
              <w:pStyle w:val="TableBodyText"/>
            </w:pPr>
            <w:r>
              <w:t>0327</w:t>
            </w:r>
          </w:p>
        </w:tc>
      </w:tr>
      <w:tr w:rsidR="000A156F" w:rsidTr="000A156F">
        <w:tc>
          <w:tcPr>
            <w:tcW w:w="0" w:type="auto"/>
            <w:vAlign w:val="center"/>
          </w:tcPr>
          <w:p w:rsidR="000A156F" w:rsidRDefault="00A9721F">
            <w:pPr>
              <w:pStyle w:val="TableBodyText"/>
            </w:pPr>
            <w:r>
              <w:t>DistributeGeneral</w:t>
            </w:r>
          </w:p>
        </w:tc>
        <w:tc>
          <w:tcPr>
            <w:tcW w:w="0" w:type="auto"/>
            <w:vAlign w:val="center"/>
          </w:tcPr>
          <w:p w:rsidR="000A156F" w:rsidRDefault="00A9721F">
            <w:pPr>
              <w:pStyle w:val="TableBodyText"/>
            </w:pPr>
            <w:r>
              <w:t>0362</w:t>
            </w:r>
          </w:p>
        </w:tc>
      </w:tr>
      <w:tr w:rsidR="000A156F" w:rsidTr="000A156F">
        <w:tc>
          <w:tcPr>
            <w:tcW w:w="0" w:type="auto"/>
            <w:vAlign w:val="center"/>
          </w:tcPr>
          <w:p w:rsidR="000A156F" w:rsidRDefault="00A9721F">
            <w:pPr>
              <w:pStyle w:val="TableBodyText"/>
            </w:pPr>
            <w:r>
              <w:t>DistributePara</w:t>
            </w:r>
          </w:p>
        </w:tc>
        <w:tc>
          <w:tcPr>
            <w:tcW w:w="0" w:type="auto"/>
            <w:vAlign w:val="center"/>
          </w:tcPr>
          <w:p w:rsidR="000A156F" w:rsidRDefault="00A9721F">
            <w:pPr>
              <w:pStyle w:val="TableBodyText"/>
            </w:pPr>
            <w:r>
              <w:t>02E4</w:t>
            </w:r>
          </w:p>
        </w:tc>
      </w:tr>
      <w:tr w:rsidR="000A156F" w:rsidTr="000A156F">
        <w:tc>
          <w:tcPr>
            <w:tcW w:w="0" w:type="auto"/>
            <w:vAlign w:val="center"/>
          </w:tcPr>
          <w:p w:rsidR="000A156F" w:rsidRDefault="00A9721F">
            <w:pPr>
              <w:pStyle w:val="TableBodyText"/>
            </w:pPr>
            <w:r>
              <w:t>DistributeRow</w:t>
            </w:r>
          </w:p>
        </w:tc>
        <w:tc>
          <w:tcPr>
            <w:tcW w:w="0" w:type="auto"/>
            <w:vAlign w:val="center"/>
          </w:tcPr>
          <w:p w:rsidR="000A156F" w:rsidRDefault="00A9721F">
            <w:pPr>
              <w:pStyle w:val="TableBodyText"/>
            </w:pPr>
            <w:r>
              <w:t>037D</w:t>
            </w:r>
          </w:p>
        </w:tc>
      </w:tr>
      <w:tr w:rsidR="000A156F" w:rsidTr="000A156F">
        <w:tc>
          <w:tcPr>
            <w:tcW w:w="0" w:type="auto"/>
            <w:vAlign w:val="center"/>
          </w:tcPr>
          <w:p w:rsidR="000A156F" w:rsidRDefault="00A9721F">
            <w:pPr>
              <w:pStyle w:val="TableBodyText"/>
            </w:pPr>
            <w:r>
              <w:t>DoFieldClick</w:t>
            </w:r>
          </w:p>
        </w:tc>
        <w:tc>
          <w:tcPr>
            <w:tcW w:w="0" w:type="auto"/>
            <w:vAlign w:val="center"/>
          </w:tcPr>
          <w:p w:rsidR="000A156F" w:rsidRDefault="00A9721F">
            <w:pPr>
              <w:pStyle w:val="TableBodyText"/>
            </w:pPr>
            <w:r>
              <w:t>011A</w:t>
            </w:r>
          </w:p>
        </w:tc>
      </w:tr>
      <w:tr w:rsidR="000A156F" w:rsidTr="000A156F">
        <w:tc>
          <w:tcPr>
            <w:tcW w:w="0" w:type="auto"/>
            <w:vAlign w:val="center"/>
          </w:tcPr>
          <w:p w:rsidR="000A156F" w:rsidRDefault="00A9721F">
            <w:pPr>
              <w:pStyle w:val="TableBodyText"/>
            </w:pPr>
            <w:r>
              <w:t>DoNotDistribute</w:t>
            </w:r>
          </w:p>
        </w:tc>
        <w:tc>
          <w:tcPr>
            <w:tcW w:w="0" w:type="auto"/>
            <w:vAlign w:val="center"/>
          </w:tcPr>
          <w:p w:rsidR="000A156F" w:rsidRDefault="00A9721F">
            <w:pPr>
              <w:pStyle w:val="TableBodyText"/>
            </w:pPr>
            <w:r>
              <w:t>05A0</w:t>
            </w:r>
          </w:p>
        </w:tc>
      </w:tr>
      <w:tr w:rsidR="000A156F" w:rsidTr="000A156F">
        <w:tc>
          <w:tcPr>
            <w:tcW w:w="0" w:type="auto"/>
            <w:vAlign w:val="center"/>
          </w:tcPr>
          <w:p w:rsidR="000A156F" w:rsidRDefault="00A9721F">
            <w:pPr>
              <w:pStyle w:val="TableBodyText"/>
            </w:pPr>
            <w:r>
              <w:t>DocClose</w:t>
            </w:r>
          </w:p>
        </w:tc>
        <w:tc>
          <w:tcPr>
            <w:tcW w:w="0" w:type="auto"/>
            <w:vAlign w:val="center"/>
          </w:tcPr>
          <w:p w:rsidR="000A156F" w:rsidRDefault="00A9721F">
            <w:pPr>
              <w:pStyle w:val="TableBodyText"/>
            </w:pPr>
            <w:r>
              <w:t>00EA</w:t>
            </w:r>
          </w:p>
        </w:tc>
      </w:tr>
      <w:tr w:rsidR="000A156F" w:rsidTr="000A156F">
        <w:tc>
          <w:tcPr>
            <w:tcW w:w="0" w:type="auto"/>
            <w:vAlign w:val="center"/>
          </w:tcPr>
          <w:p w:rsidR="000A156F" w:rsidRDefault="00A9721F">
            <w:pPr>
              <w:pStyle w:val="TableBodyText"/>
            </w:pPr>
            <w:r>
              <w:t>DocEncryption</w:t>
            </w:r>
          </w:p>
        </w:tc>
        <w:tc>
          <w:tcPr>
            <w:tcW w:w="0" w:type="auto"/>
            <w:vAlign w:val="center"/>
          </w:tcPr>
          <w:p w:rsidR="000A156F" w:rsidRDefault="00A9721F">
            <w:pPr>
              <w:pStyle w:val="TableBodyText"/>
            </w:pPr>
            <w:r>
              <w:t>07C0</w:t>
            </w:r>
          </w:p>
        </w:tc>
      </w:tr>
      <w:tr w:rsidR="000A156F" w:rsidTr="000A156F">
        <w:tc>
          <w:tcPr>
            <w:tcW w:w="0" w:type="auto"/>
            <w:vAlign w:val="center"/>
          </w:tcPr>
          <w:p w:rsidR="000A156F" w:rsidRDefault="00A9721F">
            <w:pPr>
              <w:pStyle w:val="TableBodyText"/>
            </w:pPr>
            <w:r>
              <w:t>DocExport</w:t>
            </w:r>
          </w:p>
        </w:tc>
        <w:tc>
          <w:tcPr>
            <w:tcW w:w="0" w:type="auto"/>
            <w:vAlign w:val="center"/>
          </w:tcPr>
          <w:p w:rsidR="000A156F" w:rsidRDefault="00A9721F">
            <w:pPr>
              <w:pStyle w:val="TableBodyText"/>
            </w:pPr>
            <w:r>
              <w:t>092D</w:t>
            </w:r>
          </w:p>
        </w:tc>
      </w:tr>
      <w:tr w:rsidR="000A156F" w:rsidTr="000A156F">
        <w:tc>
          <w:tcPr>
            <w:tcW w:w="0" w:type="auto"/>
            <w:vAlign w:val="center"/>
          </w:tcPr>
          <w:p w:rsidR="000A156F" w:rsidRDefault="00A9721F">
            <w:pPr>
              <w:pStyle w:val="TableBodyText"/>
            </w:pPr>
            <w:r>
              <w:t>DocInspector</w:t>
            </w:r>
          </w:p>
        </w:tc>
        <w:tc>
          <w:tcPr>
            <w:tcW w:w="0" w:type="auto"/>
            <w:vAlign w:val="center"/>
          </w:tcPr>
          <w:p w:rsidR="000A156F" w:rsidRDefault="00A9721F">
            <w:pPr>
              <w:pStyle w:val="TableBodyText"/>
            </w:pPr>
            <w:r>
              <w:t>05CA</w:t>
            </w:r>
          </w:p>
        </w:tc>
      </w:tr>
      <w:tr w:rsidR="000A156F" w:rsidTr="000A156F">
        <w:tc>
          <w:tcPr>
            <w:tcW w:w="0" w:type="auto"/>
            <w:vAlign w:val="center"/>
          </w:tcPr>
          <w:p w:rsidR="000A156F" w:rsidRDefault="00A9721F">
            <w:pPr>
              <w:pStyle w:val="TableBodyText"/>
            </w:pPr>
            <w:r>
              <w:t>DocMaximize</w:t>
            </w:r>
          </w:p>
        </w:tc>
        <w:tc>
          <w:tcPr>
            <w:tcW w:w="0" w:type="auto"/>
            <w:vAlign w:val="center"/>
          </w:tcPr>
          <w:p w:rsidR="000A156F" w:rsidRDefault="00A9721F">
            <w:pPr>
              <w:pStyle w:val="TableBodyText"/>
            </w:pPr>
            <w:r>
              <w:t>00E8</w:t>
            </w:r>
          </w:p>
        </w:tc>
      </w:tr>
      <w:tr w:rsidR="000A156F" w:rsidTr="000A156F">
        <w:tc>
          <w:tcPr>
            <w:tcW w:w="0" w:type="auto"/>
            <w:vAlign w:val="center"/>
          </w:tcPr>
          <w:p w:rsidR="000A156F" w:rsidRDefault="00A9721F">
            <w:pPr>
              <w:pStyle w:val="TableBodyText"/>
            </w:pPr>
            <w:r>
              <w:t>DocMinimize</w:t>
            </w:r>
          </w:p>
        </w:tc>
        <w:tc>
          <w:tcPr>
            <w:tcW w:w="0" w:type="auto"/>
            <w:vAlign w:val="center"/>
          </w:tcPr>
          <w:p w:rsidR="000A156F" w:rsidRDefault="00A9721F">
            <w:pPr>
              <w:pStyle w:val="TableBodyText"/>
            </w:pPr>
            <w:r>
              <w:t>0140</w:t>
            </w:r>
          </w:p>
        </w:tc>
      </w:tr>
      <w:tr w:rsidR="000A156F" w:rsidTr="000A156F">
        <w:tc>
          <w:tcPr>
            <w:tcW w:w="0" w:type="auto"/>
            <w:vAlign w:val="center"/>
          </w:tcPr>
          <w:p w:rsidR="000A156F" w:rsidRDefault="00A9721F">
            <w:pPr>
              <w:pStyle w:val="TableBodyText"/>
            </w:pPr>
            <w:r>
              <w:t>DocMove</w:t>
            </w:r>
          </w:p>
        </w:tc>
        <w:tc>
          <w:tcPr>
            <w:tcW w:w="0" w:type="auto"/>
            <w:vAlign w:val="center"/>
          </w:tcPr>
          <w:p w:rsidR="000A156F" w:rsidRDefault="00A9721F">
            <w:pPr>
              <w:pStyle w:val="TableBodyText"/>
            </w:pPr>
            <w:r>
              <w:t>00E7</w:t>
            </w:r>
          </w:p>
        </w:tc>
      </w:tr>
      <w:tr w:rsidR="000A156F" w:rsidTr="000A156F">
        <w:tc>
          <w:tcPr>
            <w:tcW w:w="0" w:type="auto"/>
            <w:vAlign w:val="center"/>
          </w:tcPr>
          <w:p w:rsidR="000A156F" w:rsidRDefault="00A9721F">
            <w:pPr>
              <w:pStyle w:val="TableBodyText"/>
            </w:pPr>
            <w:r>
              <w:t>DocRestore</w:t>
            </w:r>
          </w:p>
        </w:tc>
        <w:tc>
          <w:tcPr>
            <w:tcW w:w="0" w:type="auto"/>
            <w:vAlign w:val="center"/>
          </w:tcPr>
          <w:p w:rsidR="000A156F" w:rsidRDefault="00A9721F">
            <w:pPr>
              <w:pStyle w:val="TableBodyText"/>
            </w:pPr>
            <w:r>
              <w:t>00E9</w:t>
            </w:r>
          </w:p>
        </w:tc>
      </w:tr>
      <w:tr w:rsidR="000A156F" w:rsidTr="000A156F">
        <w:tc>
          <w:tcPr>
            <w:tcW w:w="0" w:type="auto"/>
            <w:vAlign w:val="center"/>
          </w:tcPr>
          <w:p w:rsidR="000A156F" w:rsidRDefault="00A9721F">
            <w:pPr>
              <w:pStyle w:val="TableBodyText"/>
            </w:pPr>
            <w:r>
              <w:t>DocSize</w:t>
            </w:r>
          </w:p>
        </w:tc>
        <w:tc>
          <w:tcPr>
            <w:tcW w:w="0" w:type="auto"/>
            <w:vAlign w:val="center"/>
          </w:tcPr>
          <w:p w:rsidR="000A156F" w:rsidRDefault="00A9721F">
            <w:pPr>
              <w:pStyle w:val="TableBodyText"/>
            </w:pPr>
            <w:r>
              <w:t>00E6</w:t>
            </w:r>
          </w:p>
        </w:tc>
      </w:tr>
      <w:tr w:rsidR="000A156F" w:rsidTr="000A156F">
        <w:tc>
          <w:tcPr>
            <w:tcW w:w="0" w:type="auto"/>
            <w:vAlign w:val="center"/>
          </w:tcPr>
          <w:p w:rsidR="000A156F" w:rsidRDefault="00A9721F">
            <w:pPr>
              <w:pStyle w:val="TableBodyText"/>
            </w:pPr>
            <w:r>
              <w:t>DocSplit</w:t>
            </w:r>
          </w:p>
        </w:tc>
        <w:tc>
          <w:tcPr>
            <w:tcW w:w="0" w:type="auto"/>
            <w:vAlign w:val="center"/>
          </w:tcPr>
          <w:p w:rsidR="000A156F" w:rsidRDefault="00A9721F">
            <w:pPr>
              <w:pStyle w:val="TableBodyText"/>
            </w:pPr>
            <w:r>
              <w:t>00E5</w:t>
            </w:r>
          </w:p>
        </w:tc>
      </w:tr>
      <w:tr w:rsidR="000A156F" w:rsidTr="000A156F">
        <w:tc>
          <w:tcPr>
            <w:tcW w:w="0" w:type="auto"/>
            <w:vAlign w:val="center"/>
          </w:tcPr>
          <w:p w:rsidR="000A156F" w:rsidRDefault="00A9721F">
            <w:pPr>
              <w:pStyle w:val="TableBodyText"/>
            </w:pPr>
            <w:r>
              <w:t>DocumentActionsPane</w:t>
            </w:r>
          </w:p>
        </w:tc>
        <w:tc>
          <w:tcPr>
            <w:tcW w:w="0" w:type="auto"/>
            <w:vAlign w:val="center"/>
          </w:tcPr>
          <w:p w:rsidR="000A156F" w:rsidRDefault="00A9721F">
            <w:pPr>
              <w:pStyle w:val="TableBodyText"/>
            </w:pPr>
            <w:r>
              <w:t>05BE</w:t>
            </w:r>
          </w:p>
        </w:tc>
      </w:tr>
      <w:tr w:rsidR="000A156F" w:rsidTr="000A156F">
        <w:tc>
          <w:tcPr>
            <w:tcW w:w="0" w:type="auto"/>
            <w:vAlign w:val="center"/>
          </w:tcPr>
          <w:p w:rsidR="000A156F" w:rsidRDefault="00A9721F">
            <w:pPr>
              <w:pStyle w:val="TableBodyText"/>
            </w:pPr>
            <w:r>
              <w:t>DocumentStatistics</w:t>
            </w:r>
          </w:p>
        </w:tc>
        <w:tc>
          <w:tcPr>
            <w:tcW w:w="0" w:type="auto"/>
            <w:vAlign w:val="center"/>
          </w:tcPr>
          <w:p w:rsidR="000A156F" w:rsidRDefault="00A9721F">
            <w:pPr>
              <w:pStyle w:val="TableBodyText"/>
            </w:pPr>
            <w:r>
              <w:t>004E</w:t>
            </w:r>
          </w:p>
        </w:tc>
      </w:tr>
      <w:tr w:rsidR="000A156F" w:rsidTr="000A156F">
        <w:tc>
          <w:tcPr>
            <w:tcW w:w="0" w:type="auto"/>
            <w:vAlign w:val="center"/>
          </w:tcPr>
          <w:p w:rsidR="000A156F" w:rsidRDefault="00A9721F">
            <w:pPr>
              <w:pStyle w:val="TableBodyText"/>
            </w:pPr>
            <w:r>
              <w:lastRenderedPageBreak/>
              <w:t>DotAccent</w:t>
            </w:r>
          </w:p>
        </w:tc>
        <w:tc>
          <w:tcPr>
            <w:tcW w:w="0" w:type="auto"/>
            <w:vAlign w:val="center"/>
          </w:tcPr>
          <w:p w:rsidR="000A156F" w:rsidRDefault="00A9721F">
            <w:pPr>
              <w:pStyle w:val="TableBodyText"/>
            </w:pPr>
            <w:r>
              <w:t>02FD</w:t>
            </w:r>
          </w:p>
        </w:tc>
      </w:tr>
      <w:tr w:rsidR="000A156F" w:rsidTr="000A156F">
        <w:tc>
          <w:tcPr>
            <w:tcW w:w="0" w:type="auto"/>
            <w:vAlign w:val="center"/>
          </w:tcPr>
          <w:p w:rsidR="000A156F" w:rsidRDefault="00A9721F">
            <w:pPr>
              <w:pStyle w:val="TableBodyText"/>
            </w:pPr>
            <w:r>
              <w:t>DottedUnderline</w:t>
            </w:r>
          </w:p>
        </w:tc>
        <w:tc>
          <w:tcPr>
            <w:tcW w:w="0" w:type="auto"/>
            <w:vAlign w:val="center"/>
          </w:tcPr>
          <w:p w:rsidR="000A156F" w:rsidRDefault="00A9721F">
            <w:pPr>
              <w:pStyle w:val="TableBodyText"/>
            </w:pPr>
            <w:r>
              <w:t>026C</w:t>
            </w:r>
          </w:p>
        </w:tc>
      </w:tr>
      <w:tr w:rsidR="000A156F" w:rsidTr="000A156F">
        <w:tc>
          <w:tcPr>
            <w:tcW w:w="0" w:type="auto"/>
            <w:vAlign w:val="center"/>
          </w:tcPr>
          <w:p w:rsidR="000A156F" w:rsidRDefault="00A9721F">
            <w:pPr>
              <w:pStyle w:val="TableBodyText"/>
            </w:pPr>
            <w:r>
              <w:t>DoubleStrikethrough</w:t>
            </w:r>
          </w:p>
        </w:tc>
        <w:tc>
          <w:tcPr>
            <w:tcW w:w="0" w:type="auto"/>
            <w:vAlign w:val="center"/>
          </w:tcPr>
          <w:p w:rsidR="000A156F" w:rsidRDefault="00A9721F">
            <w:pPr>
              <w:pStyle w:val="TableBodyText"/>
            </w:pPr>
            <w:r>
              <w:t>031E</w:t>
            </w:r>
          </w:p>
        </w:tc>
      </w:tr>
      <w:tr w:rsidR="000A156F" w:rsidTr="000A156F">
        <w:tc>
          <w:tcPr>
            <w:tcW w:w="0" w:type="auto"/>
            <w:vAlign w:val="center"/>
          </w:tcPr>
          <w:p w:rsidR="000A156F" w:rsidRDefault="00A9721F">
            <w:pPr>
              <w:pStyle w:val="TableBodyText"/>
            </w:pPr>
            <w:r>
              <w:t>DoubleUnderline</w:t>
            </w:r>
          </w:p>
        </w:tc>
        <w:tc>
          <w:tcPr>
            <w:tcW w:w="0" w:type="auto"/>
            <w:vAlign w:val="center"/>
          </w:tcPr>
          <w:p w:rsidR="000A156F" w:rsidRDefault="00A9721F">
            <w:pPr>
              <w:pStyle w:val="TableBodyText"/>
            </w:pPr>
            <w:r>
              <w:t>0034</w:t>
            </w:r>
          </w:p>
        </w:tc>
      </w:tr>
      <w:tr w:rsidR="000A156F" w:rsidTr="000A156F">
        <w:tc>
          <w:tcPr>
            <w:tcW w:w="0" w:type="auto"/>
            <w:vAlign w:val="center"/>
          </w:tcPr>
          <w:p w:rsidR="000A156F" w:rsidRDefault="00A9721F">
            <w:pPr>
              <w:pStyle w:val="TableBodyText"/>
            </w:pPr>
            <w:r>
              <w:t>DownloadPictures</w:t>
            </w:r>
          </w:p>
        </w:tc>
        <w:tc>
          <w:tcPr>
            <w:tcW w:w="0" w:type="auto"/>
            <w:vAlign w:val="center"/>
          </w:tcPr>
          <w:p w:rsidR="000A156F" w:rsidRDefault="00A9721F">
            <w:pPr>
              <w:pStyle w:val="TableBodyText"/>
            </w:pPr>
            <w:r>
              <w:t>07A2</w:t>
            </w:r>
          </w:p>
        </w:tc>
      </w:tr>
      <w:tr w:rsidR="000A156F" w:rsidTr="000A156F">
        <w:tc>
          <w:tcPr>
            <w:tcW w:w="0" w:type="auto"/>
            <w:vAlign w:val="center"/>
          </w:tcPr>
          <w:p w:rsidR="000A156F" w:rsidRDefault="00A9721F">
            <w:pPr>
              <w:pStyle w:val="TableBodyText"/>
            </w:pPr>
            <w:r>
              <w:t>DrawAlign</w:t>
            </w:r>
          </w:p>
        </w:tc>
        <w:tc>
          <w:tcPr>
            <w:tcW w:w="0" w:type="auto"/>
            <w:vAlign w:val="center"/>
          </w:tcPr>
          <w:p w:rsidR="000A156F" w:rsidRDefault="00A9721F">
            <w:pPr>
              <w:pStyle w:val="TableBodyText"/>
            </w:pPr>
            <w:r>
              <w:t>027A</w:t>
            </w:r>
          </w:p>
        </w:tc>
      </w:tr>
      <w:tr w:rsidR="000A156F" w:rsidTr="000A156F">
        <w:tc>
          <w:tcPr>
            <w:tcW w:w="0" w:type="auto"/>
            <w:vAlign w:val="center"/>
          </w:tcPr>
          <w:p w:rsidR="000A156F" w:rsidRDefault="00A9721F">
            <w:pPr>
              <w:pStyle w:val="TableBodyText"/>
            </w:pPr>
            <w:r>
              <w:t>DrawArc</w:t>
            </w:r>
          </w:p>
        </w:tc>
        <w:tc>
          <w:tcPr>
            <w:tcW w:w="0" w:type="auto"/>
            <w:vAlign w:val="center"/>
          </w:tcPr>
          <w:p w:rsidR="000A156F" w:rsidRDefault="00A9721F">
            <w:pPr>
              <w:pStyle w:val="TableBodyText"/>
            </w:pPr>
            <w:r>
              <w:t>01C7</w:t>
            </w:r>
          </w:p>
        </w:tc>
      </w:tr>
      <w:tr w:rsidR="000A156F" w:rsidTr="000A156F">
        <w:tc>
          <w:tcPr>
            <w:tcW w:w="0" w:type="auto"/>
            <w:vAlign w:val="center"/>
          </w:tcPr>
          <w:p w:rsidR="000A156F" w:rsidRDefault="00A9721F">
            <w:pPr>
              <w:pStyle w:val="TableBodyText"/>
            </w:pPr>
            <w:r>
              <w:t>DrawBrace</w:t>
            </w:r>
          </w:p>
        </w:tc>
        <w:tc>
          <w:tcPr>
            <w:tcW w:w="0" w:type="auto"/>
            <w:vAlign w:val="center"/>
          </w:tcPr>
          <w:p w:rsidR="000A156F" w:rsidRDefault="00A9721F">
            <w:pPr>
              <w:pStyle w:val="TableBodyText"/>
            </w:pPr>
            <w:r>
              <w:t>0317</w:t>
            </w:r>
          </w:p>
        </w:tc>
      </w:tr>
      <w:tr w:rsidR="000A156F" w:rsidTr="000A156F">
        <w:tc>
          <w:tcPr>
            <w:tcW w:w="0" w:type="auto"/>
            <w:vAlign w:val="center"/>
          </w:tcPr>
          <w:p w:rsidR="000A156F" w:rsidRDefault="00A9721F">
            <w:pPr>
              <w:pStyle w:val="TableBodyText"/>
            </w:pPr>
            <w:r>
              <w:t>DrawBracket</w:t>
            </w:r>
          </w:p>
        </w:tc>
        <w:tc>
          <w:tcPr>
            <w:tcW w:w="0" w:type="auto"/>
            <w:vAlign w:val="center"/>
          </w:tcPr>
          <w:p w:rsidR="000A156F" w:rsidRDefault="00A9721F">
            <w:pPr>
              <w:pStyle w:val="TableBodyText"/>
            </w:pPr>
            <w:r>
              <w:t>0318</w:t>
            </w:r>
          </w:p>
        </w:tc>
      </w:tr>
      <w:tr w:rsidR="000A156F" w:rsidTr="000A156F">
        <w:tc>
          <w:tcPr>
            <w:tcW w:w="0" w:type="auto"/>
            <w:vAlign w:val="center"/>
          </w:tcPr>
          <w:p w:rsidR="000A156F" w:rsidRDefault="00A9721F">
            <w:pPr>
              <w:pStyle w:val="TableBodyText"/>
            </w:pPr>
            <w:r>
              <w:t>DrawBringForward</w:t>
            </w:r>
          </w:p>
        </w:tc>
        <w:tc>
          <w:tcPr>
            <w:tcW w:w="0" w:type="auto"/>
            <w:vAlign w:val="center"/>
          </w:tcPr>
          <w:p w:rsidR="000A156F" w:rsidRDefault="00A9721F">
            <w:pPr>
              <w:pStyle w:val="TableBodyText"/>
            </w:pPr>
            <w:r>
              <w:t>01F4</w:t>
            </w:r>
          </w:p>
        </w:tc>
      </w:tr>
      <w:tr w:rsidR="000A156F" w:rsidTr="000A156F">
        <w:tc>
          <w:tcPr>
            <w:tcW w:w="0" w:type="auto"/>
            <w:vAlign w:val="center"/>
          </w:tcPr>
          <w:p w:rsidR="000A156F" w:rsidRDefault="00A9721F">
            <w:pPr>
              <w:pStyle w:val="TableBodyText"/>
            </w:pPr>
            <w:r>
              <w:t>DrawBringInFrontOfText</w:t>
            </w:r>
          </w:p>
        </w:tc>
        <w:tc>
          <w:tcPr>
            <w:tcW w:w="0" w:type="auto"/>
            <w:vAlign w:val="center"/>
          </w:tcPr>
          <w:p w:rsidR="000A156F" w:rsidRDefault="00A9721F">
            <w:pPr>
              <w:pStyle w:val="TableBodyText"/>
            </w:pPr>
            <w:r>
              <w:t>01D5</w:t>
            </w:r>
          </w:p>
        </w:tc>
      </w:tr>
      <w:tr w:rsidR="000A156F" w:rsidTr="000A156F">
        <w:tc>
          <w:tcPr>
            <w:tcW w:w="0" w:type="auto"/>
            <w:vAlign w:val="center"/>
          </w:tcPr>
          <w:p w:rsidR="000A156F" w:rsidRDefault="00A9721F">
            <w:pPr>
              <w:pStyle w:val="TableBodyText"/>
            </w:pPr>
            <w:r>
              <w:t>DrawBringToFront</w:t>
            </w:r>
          </w:p>
        </w:tc>
        <w:tc>
          <w:tcPr>
            <w:tcW w:w="0" w:type="auto"/>
            <w:vAlign w:val="center"/>
          </w:tcPr>
          <w:p w:rsidR="000A156F" w:rsidRDefault="00A9721F">
            <w:pPr>
              <w:pStyle w:val="TableBodyText"/>
            </w:pPr>
            <w:r>
              <w:t>01D2</w:t>
            </w:r>
          </w:p>
        </w:tc>
      </w:tr>
      <w:tr w:rsidR="000A156F" w:rsidTr="000A156F">
        <w:tc>
          <w:tcPr>
            <w:tcW w:w="0" w:type="auto"/>
            <w:vAlign w:val="center"/>
          </w:tcPr>
          <w:p w:rsidR="000A156F" w:rsidRDefault="00A9721F">
            <w:pPr>
              <w:pStyle w:val="TableBodyText"/>
            </w:pPr>
            <w:r>
              <w:t>DrawCallout</w:t>
            </w:r>
          </w:p>
        </w:tc>
        <w:tc>
          <w:tcPr>
            <w:tcW w:w="0" w:type="auto"/>
            <w:vAlign w:val="center"/>
          </w:tcPr>
          <w:p w:rsidR="000A156F" w:rsidRDefault="00A9721F">
            <w:pPr>
              <w:pStyle w:val="TableBodyText"/>
            </w:pPr>
            <w:r>
              <w:t>0263</w:t>
            </w:r>
          </w:p>
        </w:tc>
      </w:tr>
      <w:tr w:rsidR="000A156F" w:rsidTr="000A156F">
        <w:tc>
          <w:tcPr>
            <w:tcW w:w="0" w:type="auto"/>
            <w:vAlign w:val="center"/>
          </w:tcPr>
          <w:p w:rsidR="000A156F" w:rsidRDefault="00A9721F">
            <w:pPr>
              <w:pStyle w:val="TableBodyText"/>
            </w:pPr>
            <w:r>
              <w:t>DrawDisassemblePicture</w:t>
            </w:r>
          </w:p>
        </w:tc>
        <w:tc>
          <w:tcPr>
            <w:tcW w:w="0" w:type="auto"/>
            <w:vAlign w:val="center"/>
          </w:tcPr>
          <w:p w:rsidR="000A156F" w:rsidRDefault="00A9721F">
            <w:pPr>
              <w:pStyle w:val="TableBodyText"/>
            </w:pPr>
            <w:r>
              <w:t>023F</w:t>
            </w:r>
          </w:p>
        </w:tc>
      </w:tr>
      <w:tr w:rsidR="000A156F" w:rsidTr="000A156F">
        <w:tc>
          <w:tcPr>
            <w:tcW w:w="0" w:type="auto"/>
            <w:vAlign w:val="center"/>
          </w:tcPr>
          <w:p w:rsidR="000A156F" w:rsidRDefault="00A9721F">
            <w:pPr>
              <w:pStyle w:val="TableBodyText"/>
            </w:pPr>
            <w:r>
              <w:t>DrawDuplicate</w:t>
            </w:r>
          </w:p>
        </w:tc>
        <w:tc>
          <w:tcPr>
            <w:tcW w:w="0" w:type="auto"/>
            <w:vAlign w:val="center"/>
          </w:tcPr>
          <w:p w:rsidR="000A156F" w:rsidRDefault="00A9721F">
            <w:pPr>
              <w:pStyle w:val="TableBodyText"/>
            </w:pPr>
            <w:r>
              <w:t>03BB</w:t>
            </w:r>
          </w:p>
        </w:tc>
      </w:tr>
      <w:tr w:rsidR="000A156F" w:rsidTr="000A156F">
        <w:tc>
          <w:tcPr>
            <w:tcW w:w="0" w:type="auto"/>
            <w:vAlign w:val="center"/>
          </w:tcPr>
          <w:p w:rsidR="000A156F" w:rsidRDefault="00A9721F">
            <w:pPr>
              <w:pStyle w:val="TableBodyText"/>
            </w:pPr>
            <w:r>
              <w:t>DrawEllipse</w:t>
            </w:r>
          </w:p>
        </w:tc>
        <w:tc>
          <w:tcPr>
            <w:tcW w:w="0" w:type="auto"/>
            <w:vAlign w:val="center"/>
          </w:tcPr>
          <w:p w:rsidR="000A156F" w:rsidRDefault="00A9721F">
            <w:pPr>
              <w:pStyle w:val="TableBodyText"/>
            </w:pPr>
            <w:r>
              <w:t>01C6</w:t>
            </w:r>
          </w:p>
        </w:tc>
      </w:tr>
      <w:tr w:rsidR="000A156F" w:rsidTr="000A156F">
        <w:tc>
          <w:tcPr>
            <w:tcW w:w="0" w:type="auto"/>
            <w:vAlign w:val="center"/>
          </w:tcPr>
          <w:p w:rsidR="000A156F" w:rsidRDefault="00A9721F">
            <w:pPr>
              <w:pStyle w:val="TableBodyText"/>
            </w:pPr>
            <w:r>
              <w:t>DrawFlipHorizontal</w:t>
            </w:r>
          </w:p>
        </w:tc>
        <w:tc>
          <w:tcPr>
            <w:tcW w:w="0" w:type="auto"/>
            <w:vAlign w:val="center"/>
          </w:tcPr>
          <w:p w:rsidR="000A156F" w:rsidRDefault="00A9721F">
            <w:pPr>
              <w:pStyle w:val="TableBodyText"/>
            </w:pPr>
            <w:r>
              <w:t>022F</w:t>
            </w:r>
          </w:p>
        </w:tc>
      </w:tr>
      <w:tr w:rsidR="000A156F" w:rsidTr="000A156F">
        <w:tc>
          <w:tcPr>
            <w:tcW w:w="0" w:type="auto"/>
            <w:vAlign w:val="center"/>
          </w:tcPr>
          <w:p w:rsidR="000A156F" w:rsidRDefault="00A9721F">
            <w:pPr>
              <w:pStyle w:val="TableBodyText"/>
            </w:pPr>
            <w:r>
              <w:t>DrawFlipVertical</w:t>
            </w:r>
          </w:p>
        </w:tc>
        <w:tc>
          <w:tcPr>
            <w:tcW w:w="0" w:type="auto"/>
            <w:vAlign w:val="center"/>
          </w:tcPr>
          <w:p w:rsidR="000A156F" w:rsidRDefault="00A9721F">
            <w:pPr>
              <w:pStyle w:val="TableBodyText"/>
            </w:pPr>
            <w:r>
              <w:t>0230</w:t>
            </w:r>
          </w:p>
        </w:tc>
      </w:tr>
      <w:tr w:rsidR="000A156F" w:rsidTr="000A156F">
        <w:tc>
          <w:tcPr>
            <w:tcW w:w="0" w:type="auto"/>
            <w:vAlign w:val="center"/>
          </w:tcPr>
          <w:p w:rsidR="000A156F" w:rsidRDefault="00A9721F">
            <w:pPr>
              <w:pStyle w:val="TableBodyText"/>
            </w:pPr>
            <w:r>
              <w:t>DrawFreeformPolygon</w:t>
            </w:r>
          </w:p>
        </w:tc>
        <w:tc>
          <w:tcPr>
            <w:tcW w:w="0" w:type="auto"/>
            <w:vAlign w:val="center"/>
          </w:tcPr>
          <w:p w:rsidR="000A156F" w:rsidRDefault="00A9721F">
            <w:pPr>
              <w:pStyle w:val="TableBodyText"/>
            </w:pPr>
            <w:r>
              <w:t>021A</w:t>
            </w:r>
          </w:p>
        </w:tc>
      </w:tr>
      <w:tr w:rsidR="000A156F" w:rsidTr="000A156F">
        <w:tc>
          <w:tcPr>
            <w:tcW w:w="0" w:type="auto"/>
            <w:vAlign w:val="center"/>
          </w:tcPr>
          <w:p w:rsidR="000A156F" w:rsidRDefault="00A9721F">
            <w:pPr>
              <w:pStyle w:val="TableBodyText"/>
            </w:pPr>
            <w:r>
              <w:t>DrawGroup</w:t>
            </w:r>
          </w:p>
        </w:tc>
        <w:tc>
          <w:tcPr>
            <w:tcW w:w="0" w:type="auto"/>
            <w:vAlign w:val="center"/>
          </w:tcPr>
          <w:p w:rsidR="000A156F" w:rsidRDefault="00A9721F">
            <w:pPr>
              <w:pStyle w:val="TableBodyText"/>
            </w:pPr>
            <w:r>
              <w:t>01D1</w:t>
            </w:r>
          </w:p>
        </w:tc>
      </w:tr>
      <w:tr w:rsidR="000A156F" w:rsidTr="000A156F">
        <w:tc>
          <w:tcPr>
            <w:tcW w:w="0" w:type="auto"/>
            <w:vAlign w:val="center"/>
          </w:tcPr>
          <w:p w:rsidR="000A156F" w:rsidRDefault="00A9721F">
            <w:pPr>
              <w:pStyle w:val="TableBodyText"/>
            </w:pPr>
            <w:r>
              <w:t>DrawInsertWordPicture</w:t>
            </w:r>
          </w:p>
        </w:tc>
        <w:tc>
          <w:tcPr>
            <w:tcW w:w="0" w:type="auto"/>
            <w:vAlign w:val="center"/>
          </w:tcPr>
          <w:p w:rsidR="000A156F" w:rsidRDefault="00A9721F">
            <w:pPr>
              <w:pStyle w:val="TableBodyText"/>
            </w:pPr>
            <w:r>
              <w:t>0288</w:t>
            </w:r>
          </w:p>
        </w:tc>
      </w:tr>
      <w:tr w:rsidR="000A156F" w:rsidTr="000A156F">
        <w:tc>
          <w:tcPr>
            <w:tcW w:w="0" w:type="auto"/>
            <w:vAlign w:val="center"/>
          </w:tcPr>
          <w:p w:rsidR="000A156F" w:rsidRDefault="00A9721F">
            <w:pPr>
              <w:pStyle w:val="TableBodyText"/>
            </w:pPr>
            <w:r>
              <w:t>DrawLine</w:t>
            </w:r>
          </w:p>
        </w:tc>
        <w:tc>
          <w:tcPr>
            <w:tcW w:w="0" w:type="auto"/>
            <w:vAlign w:val="center"/>
          </w:tcPr>
          <w:p w:rsidR="000A156F" w:rsidRDefault="00A9721F">
            <w:pPr>
              <w:pStyle w:val="TableBodyText"/>
            </w:pPr>
            <w:r>
              <w:t>0178</w:t>
            </w:r>
          </w:p>
        </w:tc>
      </w:tr>
      <w:tr w:rsidR="000A156F" w:rsidTr="000A156F">
        <w:tc>
          <w:tcPr>
            <w:tcW w:w="0" w:type="auto"/>
            <w:vAlign w:val="center"/>
          </w:tcPr>
          <w:p w:rsidR="000A156F" w:rsidRDefault="00A9721F">
            <w:pPr>
              <w:pStyle w:val="TableBodyText"/>
            </w:pPr>
            <w:r>
              <w:t>DrawMenu3D</w:t>
            </w:r>
          </w:p>
        </w:tc>
        <w:tc>
          <w:tcPr>
            <w:tcW w:w="0" w:type="auto"/>
            <w:vAlign w:val="center"/>
          </w:tcPr>
          <w:p w:rsidR="000A156F" w:rsidRDefault="00A9721F">
            <w:pPr>
              <w:pStyle w:val="TableBodyText"/>
            </w:pPr>
            <w:r>
              <w:t>1662</w:t>
            </w:r>
          </w:p>
        </w:tc>
      </w:tr>
      <w:tr w:rsidR="000A156F" w:rsidTr="000A156F">
        <w:tc>
          <w:tcPr>
            <w:tcW w:w="0" w:type="auto"/>
            <w:vAlign w:val="center"/>
          </w:tcPr>
          <w:p w:rsidR="000A156F" w:rsidRDefault="00A9721F">
            <w:pPr>
              <w:pStyle w:val="TableBodyText"/>
            </w:pPr>
            <w:r>
              <w:t>DrawMenu3DColor</w:t>
            </w:r>
          </w:p>
        </w:tc>
        <w:tc>
          <w:tcPr>
            <w:tcW w:w="0" w:type="auto"/>
            <w:vAlign w:val="center"/>
          </w:tcPr>
          <w:p w:rsidR="000A156F" w:rsidRDefault="00A9721F">
            <w:pPr>
              <w:pStyle w:val="TableBodyText"/>
            </w:pPr>
            <w:r>
              <w:t>1677</w:t>
            </w:r>
          </w:p>
        </w:tc>
      </w:tr>
      <w:tr w:rsidR="000A156F" w:rsidTr="000A156F">
        <w:tc>
          <w:tcPr>
            <w:tcW w:w="0" w:type="auto"/>
            <w:vAlign w:val="center"/>
          </w:tcPr>
          <w:p w:rsidR="000A156F" w:rsidRDefault="00A9721F">
            <w:pPr>
              <w:pStyle w:val="TableBodyText"/>
            </w:pPr>
            <w:r>
              <w:t>DrawMenu3DDepth</w:t>
            </w:r>
          </w:p>
        </w:tc>
        <w:tc>
          <w:tcPr>
            <w:tcW w:w="0" w:type="auto"/>
            <w:vAlign w:val="center"/>
          </w:tcPr>
          <w:p w:rsidR="000A156F" w:rsidRDefault="00A9721F">
            <w:pPr>
              <w:pStyle w:val="TableBodyText"/>
            </w:pPr>
            <w:r>
              <w:t>1675</w:t>
            </w:r>
          </w:p>
        </w:tc>
      </w:tr>
      <w:tr w:rsidR="000A156F" w:rsidTr="000A156F">
        <w:tc>
          <w:tcPr>
            <w:tcW w:w="0" w:type="auto"/>
            <w:vAlign w:val="center"/>
          </w:tcPr>
          <w:p w:rsidR="000A156F" w:rsidRDefault="00A9721F">
            <w:pPr>
              <w:pStyle w:val="TableBodyText"/>
            </w:pPr>
            <w:r>
              <w:t>DrawMenu3DDirection</w:t>
            </w:r>
          </w:p>
        </w:tc>
        <w:tc>
          <w:tcPr>
            <w:tcW w:w="0" w:type="auto"/>
            <w:vAlign w:val="center"/>
          </w:tcPr>
          <w:p w:rsidR="000A156F" w:rsidRDefault="00A9721F">
            <w:pPr>
              <w:pStyle w:val="TableBodyText"/>
            </w:pPr>
            <w:r>
              <w:t>1676</w:t>
            </w:r>
          </w:p>
        </w:tc>
      </w:tr>
      <w:tr w:rsidR="000A156F" w:rsidTr="000A156F">
        <w:tc>
          <w:tcPr>
            <w:tcW w:w="0" w:type="auto"/>
            <w:vAlign w:val="center"/>
          </w:tcPr>
          <w:p w:rsidR="000A156F" w:rsidRDefault="00A9721F">
            <w:pPr>
              <w:pStyle w:val="TableBodyText"/>
            </w:pPr>
            <w:r>
              <w:t>DrawMenu3DLighting</w:t>
            </w:r>
          </w:p>
        </w:tc>
        <w:tc>
          <w:tcPr>
            <w:tcW w:w="0" w:type="auto"/>
            <w:vAlign w:val="center"/>
          </w:tcPr>
          <w:p w:rsidR="000A156F" w:rsidRDefault="00A9721F">
            <w:pPr>
              <w:pStyle w:val="TableBodyText"/>
            </w:pPr>
            <w:r>
              <w:t>1678</w:t>
            </w:r>
          </w:p>
        </w:tc>
      </w:tr>
      <w:tr w:rsidR="000A156F" w:rsidTr="000A156F">
        <w:tc>
          <w:tcPr>
            <w:tcW w:w="0" w:type="auto"/>
            <w:vAlign w:val="center"/>
          </w:tcPr>
          <w:p w:rsidR="000A156F" w:rsidRDefault="00A9721F">
            <w:pPr>
              <w:pStyle w:val="TableBodyText"/>
            </w:pPr>
            <w:r>
              <w:t>DrawMenu3DSurface</w:t>
            </w:r>
          </w:p>
        </w:tc>
        <w:tc>
          <w:tcPr>
            <w:tcW w:w="0" w:type="auto"/>
            <w:vAlign w:val="center"/>
          </w:tcPr>
          <w:p w:rsidR="000A156F" w:rsidRDefault="00A9721F">
            <w:pPr>
              <w:pStyle w:val="TableBodyText"/>
            </w:pPr>
            <w:r>
              <w:t>1679</w:t>
            </w:r>
          </w:p>
        </w:tc>
      </w:tr>
      <w:tr w:rsidR="000A156F" w:rsidTr="000A156F">
        <w:tc>
          <w:tcPr>
            <w:tcW w:w="0" w:type="auto"/>
            <w:vAlign w:val="center"/>
          </w:tcPr>
          <w:p w:rsidR="000A156F" w:rsidRDefault="00A9721F">
            <w:pPr>
              <w:pStyle w:val="TableBodyText"/>
            </w:pPr>
            <w:r>
              <w:t>DrawMenuAlignDistribute</w:t>
            </w:r>
          </w:p>
        </w:tc>
        <w:tc>
          <w:tcPr>
            <w:tcW w:w="0" w:type="auto"/>
            <w:vAlign w:val="center"/>
          </w:tcPr>
          <w:p w:rsidR="000A156F" w:rsidRDefault="00A9721F">
            <w:pPr>
              <w:pStyle w:val="TableBodyText"/>
            </w:pPr>
            <w:r>
              <w:t>1659</w:t>
            </w:r>
          </w:p>
        </w:tc>
      </w:tr>
      <w:tr w:rsidR="000A156F" w:rsidTr="000A156F">
        <w:tc>
          <w:tcPr>
            <w:tcW w:w="0" w:type="auto"/>
            <w:vAlign w:val="center"/>
          </w:tcPr>
          <w:p w:rsidR="000A156F" w:rsidRDefault="00A9721F">
            <w:pPr>
              <w:pStyle w:val="TableBodyText"/>
            </w:pPr>
            <w:r>
              <w:t>DrawMenuArrows</w:t>
            </w:r>
          </w:p>
        </w:tc>
        <w:tc>
          <w:tcPr>
            <w:tcW w:w="0" w:type="auto"/>
            <w:vAlign w:val="center"/>
          </w:tcPr>
          <w:p w:rsidR="000A156F" w:rsidRDefault="00A9721F">
            <w:pPr>
              <w:pStyle w:val="TableBodyText"/>
            </w:pPr>
            <w:r>
              <w:t>1661</w:t>
            </w:r>
          </w:p>
        </w:tc>
      </w:tr>
      <w:tr w:rsidR="000A156F" w:rsidTr="000A156F">
        <w:tc>
          <w:tcPr>
            <w:tcW w:w="0" w:type="auto"/>
            <w:vAlign w:val="center"/>
          </w:tcPr>
          <w:p w:rsidR="000A156F" w:rsidRDefault="00A9721F">
            <w:pPr>
              <w:pStyle w:val="TableBodyText"/>
            </w:pPr>
            <w:r>
              <w:t>DrawMenuAutoShapes</w:t>
            </w:r>
          </w:p>
        </w:tc>
        <w:tc>
          <w:tcPr>
            <w:tcW w:w="0" w:type="auto"/>
            <w:vAlign w:val="center"/>
          </w:tcPr>
          <w:p w:rsidR="000A156F" w:rsidRDefault="00A9721F">
            <w:pPr>
              <w:pStyle w:val="TableBodyText"/>
            </w:pPr>
            <w:r>
              <w:t>166B</w:t>
            </w:r>
          </w:p>
        </w:tc>
      </w:tr>
      <w:tr w:rsidR="000A156F" w:rsidTr="000A156F">
        <w:tc>
          <w:tcPr>
            <w:tcW w:w="0" w:type="auto"/>
            <w:vAlign w:val="center"/>
          </w:tcPr>
          <w:p w:rsidR="000A156F" w:rsidRDefault="00A9721F">
            <w:pPr>
              <w:pStyle w:val="TableBodyText"/>
            </w:pPr>
            <w:r>
              <w:t>DrawMenuChangeShape</w:t>
            </w:r>
          </w:p>
        </w:tc>
        <w:tc>
          <w:tcPr>
            <w:tcW w:w="0" w:type="auto"/>
            <w:vAlign w:val="center"/>
          </w:tcPr>
          <w:p w:rsidR="000A156F" w:rsidRDefault="00A9721F">
            <w:pPr>
              <w:pStyle w:val="TableBodyText"/>
            </w:pPr>
            <w:r>
              <w:t>1665</w:t>
            </w:r>
          </w:p>
        </w:tc>
      </w:tr>
      <w:tr w:rsidR="000A156F" w:rsidTr="000A156F">
        <w:tc>
          <w:tcPr>
            <w:tcW w:w="0" w:type="auto"/>
            <w:vAlign w:val="center"/>
          </w:tcPr>
          <w:p w:rsidR="000A156F" w:rsidRDefault="00A9721F">
            <w:pPr>
              <w:pStyle w:val="TableBodyText"/>
            </w:pPr>
            <w:r>
              <w:lastRenderedPageBreak/>
              <w:t>DrawMenuChangeShape0</w:t>
            </w:r>
          </w:p>
        </w:tc>
        <w:tc>
          <w:tcPr>
            <w:tcW w:w="0" w:type="auto"/>
            <w:vAlign w:val="center"/>
          </w:tcPr>
          <w:p w:rsidR="000A156F" w:rsidRDefault="00A9721F">
            <w:pPr>
              <w:pStyle w:val="TableBodyText"/>
            </w:pPr>
            <w:r>
              <w:t>1666</w:t>
            </w:r>
          </w:p>
        </w:tc>
      </w:tr>
      <w:tr w:rsidR="000A156F" w:rsidTr="000A156F">
        <w:tc>
          <w:tcPr>
            <w:tcW w:w="0" w:type="auto"/>
            <w:vAlign w:val="center"/>
          </w:tcPr>
          <w:p w:rsidR="000A156F" w:rsidRDefault="00A9721F">
            <w:pPr>
              <w:pStyle w:val="TableBodyText"/>
            </w:pPr>
            <w:r>
              <w:t>DrawMenuChangeShape1</w:t>
            </w:r>
          </w:p>
        </w:tc>
        <w:tc>
          <w:tcPr>
            <w:tcW w:w="0" w:type="auto"/>
            <w:vAlign w:val="center"/>
          </w:tcPr>
          <w:p w:rsidR="000A156F" w:rsidRDefault="00A9721F">
            <w:pPr>
              <w:pStyle w:val="TableBodyText"/>
            </w:pPr>
            <w:r>
              <w:t>1667</w:t>
            </w:r>
          </w:p>
        </w:tc>
      </w:tr>
      <w:tr w:rsidR="000A156F" w:rsidTr="000A156F">
        <w:tc>
          <w:tcPr>
            <w:tcW w:w="0" w:type="auto"/>
            <w:vAlign w:val="center"/>
          </w:tcPr>
          <w:p w:rsidR="000A156F" w:rsidRDefault="00A9721F">
            <w:pPr>
              <w:pStyle w:val="TableBodyText"/>
            </w:pPr>
            <w:r>
              <w:t>DrawMenuChangeShape2</w:t>
            </w:r>
          </w:p>
        </w:tc>
        <w:tc>
          <w:tcPr>
            <w:tcW w:w="0" w:type="auto"/>
            <w:vAlign w:val="center"/>
          </w:tcPr>
          <w:p w:rsidR="000A156F" w:rsidRDefault="00A9721F">
            <w:pPr>
              <w:pStyle w:val="TableBodyText"/>
            </w:pPr>
            <w:r>
              <w:t>1668</w:t>
            </w:r>
          </w:p>
        </w:tc>
      </w:tr>
      <w:tr w:rsidR="000A156F" w:rsidTr="000A156F">
        <w:tc>
          <w:tcPr>
            <w:tcW w:w="0" w:type="auto"/>
            <w:vAlign w:val="center"/>
          </w:tcPr>
          <w:p w:rsidR="000A156F" w:rsidRDefault="00A9721F">
            <w:pPr>
              <w:pStyle w:val="TableBodyText"/>
            </w:pPr>
            <w:r>
              <w:t>DrawMenuChangeShape3</w:t>
            </w:r>
          </w:p>
        </w:tc>
        <w:tc>
          <w:tcPr>
            <w:tcW w:w="0" w:type="auto"/>
            <w:vAlign w:val="center"/>
          </w:tcPr>
          <w:p w:rsidR="000A156F" w:rsidRDefault="00A9721F">
            <w:pPr>
              <w:pStyle w:val="TableBodyText"/>
            </w:pPr>
            <w:r>
              <w:t>1669</w:t>
            </w:r>
          </w:p>
        </w:tc>
      </w:tr>
      <w:tr w:rsidR="000A156F" w:rsidTr="000A156F">
        <w:tc>
          <w:tcPr>
            <w:tcW w:w="0" w:type="auto"/>
            <w:vAlign w:val="center"/>
          </w:tcPr>
          <w:p w:rsidR="000A156F" w:rsidRDefault="00A9721F">
            <w:pPr>
              <w:pStyle w:val="TableBodyText"/>
            </w:pPr>
            <w:r>
              <w:t>DrawMenuChangeShape4</w:t>
            </w:r>
          </w:p>
        </w:tc>
        <w:tc>
          <w:tcPr>
            <w:tcW w:w="0" w:type="auto"/>
            <w:vAlign w:val="center"/>
          </w:tcPr>
          <w:p w:rsidR="000A156F" w:rsidRDefault="00A9721F">
            <w:pPr>
              <w:pStyle w:val="TableBodyText"/>
            </w:pPr>
            <w:r>
              <w:t>166A</w:t>
            </w:r>
          </w:p>
        </w:tc>
      </w:tr>
      <w:tr w:rsidR="000A156F" w:rsidTr="000A156F">
        <w:tc>
          <w:tcPr>
            <w:tcW w:w="0" w:type="auto"/>
            <w:vAlign w:val="center"/>
          </w:tcPr>
          <w:p w:rsidR="000A156F" w:rsidRDefault="00A9721F">
            <w:pPr>
              <w:pStyle w:val="TableBodyText"/>
            </w:pPr>
            <w:r>
              <w:t>DrawMenuGrouping</w:t>
            </w:r>
          </w:p>
        </w:tc>
        <w:tc>
          <w:tcPr>
            <w:tcW w:w="0" w:type="auto"/>
            <w:vAlign w:val="center"/>
          </w:tcPr>
          <w:p w:rsidR="000A156F" w:rsidRDefault="00A9721F">
            <w:pPr>
              <w:pStyle w:val="TableBodyText"/>
            </w:pPr>
            <w:r>
              <w:t>1658</w:t>
            </w:r>
          </w:p>
        </w:tc>
      </w:tr>
      <w:tr w:rsidR="000A156F" w:rsidTr="000A156F">
        <w:tc>
          <w:tcPr>
            <w:tcW w:w="0" w:type="auto"/>
            <w:vAlign w:val="center"/>
          </w:tcPr>
          <w:p w:rsidR="000A156F" w:rsidRDefault="00A9721F">
            <w:pPr>
              <w:pStyle w:val="TableBodyText"/>
            </w:pPr>
            <w:r>
              <w:t>DrawMenuImageControl</w:t>
            </w:r>
          </w:p>
        </w:tc>
        <w:tc>
          <w:tcPr>
            <w:tcW w:w="0" w:type="auto"/>
            <w:vAlign w:val="center"/>
          </w:tcPr>
          <w:p w:rsidR="000A156F" w:rsidRDefault="00A9721F">
            <w:pPr>
              <w:pStyle w:val="TableBodyText"/>
            </w:pPr>
            <w:r>
              <w:t>1664</w:t>
            </w:r>
          </w:p>
        </w:tc>
      </w:tr>
      <w:tr w:rsidR="000A156F" w:rsidTr="000A156F">
        <w:tc>
          <w:tcPr>
            <w:tcW w:w="0" w:type="auto"/>
            <w:vAlign w:val="center"/>
          </w:tcPr>
          <w:p w:rsidR="000A156F" w:rsidRDefault="00A9721F">
            <w:pPr>
              <w:pStyle w:val="TableBodyText"/>
            </w:pPr>
            <w:r>
              <w:t>DrawMenuLineDash</w:t>
            </w:r>
          </w:p>
        </w:tc>
        <w:tc>
          <w:tcPr>
            <w:tcW w:w="0" w:type="auto"/>
            <w:vAlign w:val="center"/>
          </w:tcPr>
          <w:p w:rsidR="000A156F" w:rsidRDefault="00A9721F">
            <w:pPr>
              <w:pStyle w:val="TableBodyText"/>
            </w:pPr>
            <w:r>
              <w:t>1660</w:t>
            </w:r>
          </w:p>
        </w:tc>
      </w:tr>
      <w:tr w:rsidR="000A156F" w:rsidTr="000A156F">
        <w:tc>
          <w:tcPr>
            <w:tcW w:w="0" w:type="auto"/>
            <w:vAlign w:val="center"/>
          </w:tcPr>
          <w:p w:rsidR="000A156F" w:rsidRDefault="00A9721F">
            <w:pPr>
              <w:pStyle w:val="TableBodyText"/>
            </w:pPr>
            <w:r>
              <w:t>DrawMenuMoreShapes1</w:t>
            </w:r>
          </w:p>
        </w:tc>
        <w:tc>
          <w:tcPr>
            <w:tcW w:w="0" w:type="auto"/>
            <w:vAlign w:val="center"/>
          </w:tcPr>
          <w:p w:rsidR="000A156F" w:rsidRDefault="00A9721F">
            <w:pPr>
              <w:pStyle w:val="TableBodyText"/>
            </w:pPr>
            <w:r>
              <w:t>166C</w:t>
            </w:r>
          </w:p>
        </w:tc>
      </w:tr>
      <w:tr w:rsidR="000A156F" w:rsidTr="000A156F">
        <w:tc>
          <w:tcPr>
            <w:tcW w:w="0" w:type="auto"/>
            <w:vAlign w:val="center"/>
          </w:tcPr>
          <w:p w:rsidR="000A156F" w:rsidRDefault="00A9721F">
            <w:pPr>
              <w:pStyle w:val="TableBodyText"/>
            </w:pPr>
            <w:r>
              <w:t>DrawMenuMoreShapes2</w:t>
            </w:r>
          </w:p>
        </w:tc>
        <w:tc>
          <w:tcPr>
            <w:tcW w:w="0" w:type="auto"/>
            <w:vAlign w:val="center"/>
          </w:tcPr>
          <w:p w:rsidR="000A156F" w:rsidRDefault="00A9721F">
            <w:pPr>
              <w:pStyle w:val="TableBodyText"/>
            </w:pPr>
            <w:r>
              <w:t>166D</w:t>
            </w:r>
          </w:p>
        </w:tc>
      </w:tr>
      <w:tr w:rsidR="000A156F" w:rsidTr="000A156F">
        <w:tc>
          <w:tcPr>
            <w:tcW w:w="0" w:type="auto"/>
            <w:vAlign w:val="center"/>
          </w:tcPr>
          <w:p w:rsidR="000A156F" w:rsidRDefault="00A9721F">
            <w:pPr>
              <w:pStyle w:val="TableBodyText"/>
            </w:pPr>
            <w:r>
              <w:t>DrawMenuMoreShapes3</w:t>
            </w:r>
          </w:p>
        </w:tc>
        <w:tc>
          <w:tcPr>
            <w:tcW w:w="0" w:type="auto"/>
            <w:vAlign w:val="center"/>
          </w:tcPr>
          <w:p w:rsidR="000A156F" w:rsidRDefault="00A9721F">
            <w:pPr>
              <w:pStyle w:val="TableBodyText"/>
            </w:pPr>
            <w:r>
              <w:t>166E</w:t>
            </w:r>
          </w:p>
        </w:tc>
      </w:tr>
      <w:tr w:rsidR="000A156F" w:rsidTr="000A156F">
        <w:tc>
          <w:tcPr>
            <w:tcW w:w="0" w:type="auto"/>
            <w:vAlign w:val="center"/>
          </w:tcPr>
          <w:p w:rsidR="000A156F" w:rsidRDefault="00A9721F">
            <w:pPr>
              <w:pStyle w:val="TableBodyText"/>
            </w:pPr>
            <w:r>
              <w:t>DrawMenuMoreShapes4</w:t>
            </w:r>
          </w:p>
        </w:tc>
        <w:tc>
          <w:tcPr>
            <w:tcW w:w="0" w:type="auto"/>
            <w:vAlign w:val="center"/>
          </w:tcPr>
          <w:p w:rsidR="000A156F" w:rsidRDefault="00A9721F">
            <w:pPr>
              <w:pStyle w:val="TableBodyText"/>
            </w:pPr>
            <w:r>
              <w:t>166F</w:t>
            </w:r>
          </w:p>
        </w:tc>
      </w:tr>
      <w:tr w:rsidR="000A156F" w:rsidTr="000A156F">
        <w:tc>
          <w:tcPr>
            <w:tcW w:w="0" w:type="auto"/>
            <w:vAlign w:val="center"/>
          </w:tcPr>
          <w:p w:rsidR="000A156F" w:rsidRDefault="00A9721F">
            <w:pPr>
              <w:pStyle w:val="TableBodyText"/>
            </w:pPr>
            <w:r>
              <w:t>DrawMenuMoreShapes5</w:t>
            </w:r>
          </w:p>
        </w:tc>
        <w:tc>
          <w:tcPr>
            <w:tcW w:w="0" w:type="auto"/>
            <w:vAlign w:val="center"/>
          </w:tcPr>
          <w:p w:rsidR="000A156F" w:rsidRDefault="00A9721F">
            <w:pPr>
              <w:pStyle w:val="TableBodyText"/>
            </w:pPr>
            <w:r>
              <w:t>1670</w:t>
            </w:r>
          </w:p>
        </w:tc>
      </w:tr>
      <w:tr w:rsidR="000A156F" w:rsidTr="000A156F">
        <w:tc>
          <w:tcPr>
            <w:tcW w:w="0" w:type="auto"/>
            <w:vAlign w:val="center"/>
          </w:tcPr>
          <w:p w:rsidR="000A156F" w:rsidRDefault="00A9721F">
            <w:pPr>
              <w:pStyle w:val="TableBodyText"/>
            </w:pPr>
            <w:r>
              <w:t>DrawMenuMoreShapes6</w:t>
            </w:r>
          </w:p>
        </w:tc>
        <w:tc>
          <w:tcPr>
            <w:tcW w:w="0" w:type="auto"/>
            <w:vAlign w:val="center"/>
          </w:tcPr>
          <w:p w:rsidR="000A156F" w:rsidRDefault="00A9721F">
            <w:pPr>
              <w:pStyle w:val="TableBodyText"/>
            </w:pPr>
            <w:r>
              <w:t>1671</w:t>
            </w:r>
          </w:p>
        </w:tc>
      </w:tr>
      <w:tr w:rsidR="000A156F" w:rsidTr="000A156F">
        <w:tc>
          <w:tcPr>
            <w:tcW w:w="0" w:type="auto"/>
            <w:vAlign w:val="center"/>
          </w:tcPr>
          <w:p w:rsidR="000A156F" w:rsidRDefault="00A9721F">
            <w:pPr>
              <w:pStyle w:val="TableBodyText"/>
            </w:pPr>
            <w:r>
              <w:t>DrawMenuMoreShapes7</w:t>
            </w:r>
          </w:p>
        </w:tc>
        <w:tc>
          <w:tcPr>
            <w:tcW w:w="0" w:type="auto"/>
            <w:vAlign w:val="center"/>
          </w:tcPr>
          <w:p w:rsidR="000A156F" w:rsidRDefault="00A9721F">
            <w:pPr>
              <w:pStyle w:val="TableBodyText"/>
            </w:pPr>
            <w:r>
              <w:t>16AC</w:t>
            </w:r>
          </w:p>
        </w:tc>
      </w:tr>
      <w:tr w:rsidR="000A156F" w:rsidTr="000A156F">
        <w:tc>
          <w:tcPr>
            <w:tcW w:w="0" w:type="auto"/>
            <w:vAlign w:val="center"/>
          </w:tcPr>
          <w:p w:rsidR="000A156F" w:rsidRDefault="00A9721F">
            <w:pPr>
              <w:pStyle w:val="TableBodyText"/>
            </w:pPr>
            <w:r>
              <w:t>DrawMenuNudge</w:t>
            </w:r>
          </w:p>
        </w:tc>
        <w:tc>
          <w:tcPr>
            <w:tcW w:w="0" w:type="auto"/>
            <w:vAlign w:val="center"/>
          </w:tcPr>
          <w:p w:rsidR="000A156F" w:rsidRDefault="00A9721F">
            <w:pPr>
              <w:pStyle w:val="TableBodyText"/>
            </w:pPr>
            <w:r>
              <w:t>165B</w:t>
            </w:r>
          </w:p>
        </w:tc>
      </w:tr>
      <w:tr w:rsidR="000A156F" w:rsidTr="000A156F">
        <w:tc>
          <w:tcPr>
            <w:tcW w:w="0" w:type="auto"/>
            <w:vAlign w:val="center"/>
          </w:tcPr>
          <w:p w:rsidR="000A156F" w:rsidRDefault="00A9721F">
            <w:pPr>
              <w:pStyle w:val="TableBodyText"/>
            </w:pPr>
            <w:r>
              <w:t>DrawMenuOrder</w:t>
            </w:r>
          </w:p>
        </w:tc>
        <w:tc>
          <w:tcPr>
            <w:tcW w:w="0" w:type="auto"/>
            <w:vAlign w:val="center"/>
          </w:tcPr>
          <w:p w:rsidR="000A156F" w:rsidRDefault="00A9721F">
            <w:pPr>
              <w:pStyle w:val="TableBodyText"/>
            </w:pPr>
            <w:r>
              <w:t>1657</w:t>
            </w:r>
          </w:p>
        </w:tc>
      </w:tr>
      <w:tr w:rsidR="000A156F" w:rsidTr="000A156F">
        <w:tc>
          <w:tcPr>
            <w:tcW w:w="0" w:type="auto"/>
            <w:vAlign w:val="center"/>
          </w:tcPr>
          <w:p w:rsidR="000A156F" w:rsidRDefault="00A9721F">
            <w:pPr>
              <w:pStyle w:val="TableBodyText"/>
            </w:pPr>
            <w:r>
              <w:t>DrawMenuRotateFlip</w:t>
            </w:r>
          </w:p>
        </w:tc>
        <w:tc>
          <w:tcPr>
            <w:tcW w:w="0" w:type="auto"/>
            <w:vAlign w:val="center"/>
          </w:tcPr>
          <w:p w:rsidR="000A156F" w:rsidRDefault="00A9721F">
            <w:pPr>
              <w:pStyle w:val="TableBodyText"/>
            </w:pPr>
            <w:r>
              <w:t>165A</w:t>
            </w:r>
          </w:p>
        </w:tc>
      </w:tr>
      <w:tr w:rsidR="000A156F" w:rsidTr="000A156F">
        <w:tc>
          <w:tcPr>
            <w:tcW w:w="0" w:type="auto"/>
            <w:vAlign w:val="center"/>
          </w:tcPr>
          <w:p w:rsidR="000A156F" w:rsidRDefault="00A9721F">
            <w:pPr>
              <w:pStyle w:val="TableBodyText"/>
            </w:pPr>
            <w:r>
              <w:t>DrawMenuShadowColor</w:t>
            </w:r>
          </w:p>
        </w:tc>
        <w:tc>
          <w:tcPr>
            <w:tcW w:w="0" w:type="auto"/>
            <w:vAlign w:val="center"/>
          </w:tcPr>
          <w:p w:rsidR="000A156F" w:rsidRDefault="00A9721F">
            <w:pPr>
              <w:pStyle w:val="TableBodyText"/>
            </w:pPr>
            <w:r>
              <w:t>1663</w:t>
            </w:r>
          </w:p>
        </w:tc>
      </w:tr>
      <w:tr w:rsidR="000A156F" w:rsidTr="000A156F">
        <w:tc>
          <w:tcPr>
            <w:tcW w:w="0" w:type="auto"/>
            <w:vAlign w:val="center"/>
          </w:tcPr>
          <w:p w:rsidR="000A156F" w:rsidRDefault="00A9721F">
            <w:pPr>
              <w:pStyle w:val="TableBodyText"/>
            </w:pPr>
            <w:r>
              <w:t>DrawMenuShadows</w:t>
            </w:r>
          </w:p>
        </w:tc>
        <w:tc>
          <w:tcPr>
            <w:tcW w:w="0" w:type="auto"/>
            <w:vAlign w:val="center"/>
          </w:tcPr>
          <w:p w:rsidR="000A156F" w:rsidRDefault="00A9721F">
            <w:pPr>
              <w:pStyle w:val="TableBodyText"/>
            </w:pPr>
            <w:r>
              <w:t>165E</w:t>
            </w:r>
          </w:p>
        </w:tc>
      </w:tr>
      <w:tr w:rsidR="000A156F" w:rsidTr="000A156F">
        <w:tc>
          <w:tcPr>
            <w:tcW w:w="0" w:type="auto"/>
            <w:vAlign w:val="center"/>
          </w:tcPr>
          <w:p w:rsidR="000A156F" w:rsidRDefault="00A9721F">
            <w:pPr>
              <w:pStyle w:val="TableBodyText"/>
            </w:pPr>
            <w:r>
              <w:t>DrawMenuTextAlignment</w:t>
            </w:r>
          </w:p>
        </w:tc>
        <w:tc>
          <w:tcPr>
            <w:tcW w:w="0" w:type="auto"/>
            <w:vAlign w:val="center"/>
          </w:tcPr>
          <w:p w:rsidR="000A156F" w:rsidRDefault="00A9721F">
            <w:pPr>
              <w:pStyle w:val="TableBodyText"/>
            </w:pPr>
            <w:r>
              <w:t>1673</w:t>
            </w:r>
          </w:p>
        </w:tc>
      </w:tr>
      <w:tr w:rsidR="000A156F" w:rsidTr="000A156F">
        <w:tc>
          <w:tcPr>
            <w:tcW w:w="0" w:type="auto"/>
            <w:vAlign w:val="center"/>
          </w:tcPr>
          <w:p w:rsidR="000A156F" w:rsidRDefault="00A9721F">
            <w:pPr>
              <w:pStyle w:val="TableBodyText"/>
            </w:pPr>
            <w:r>
              <w:t>DrawMenuTextShape</w:t>
            </w:r>
          </w:p>
        </w:tc>
        <w:tc>
          <w:tcPr>
            <w:tcW w:w="0" w:type="auto"/>
            <w:vAlign w:val="center"/>
          </w:tcPr>
          <w:p w:rsidR="000A156F" w:rsidRDefault="00A9721F">
            <w:pPr>
              <w:pStyle w:val="TableBodyText"/>
            </w:pPr>
            <w:r>
              <w:t>1672</w:t>
            </w:r>
          </w:p>
        </w:tc>
      </w:tr>
      <w:tr w:rsidR="000A156F" w:rsidTr="000A156F">
        <w:tc>
          <w:tcPr>
            <w:tcW w:w="0" w:type="auto"/>
            <w:vAlign w:val="center"/>
          </w:tcPr>
          <w:p w:rsidR="000A156F" w:rsidRDefault="00A9721F">
            <w:pPr>
              <w:pStyle w:val="TableBodyText"/>
            </w:pPr>
            <w:r>
              <w:t>DrawMenuTextTracking</w:t>
            </w:r>
          </w:p>
        </w:tc>
        <w:tc>
          <w:tcPr>
            <w:tcW w:w="0" w:type="auto"/>
            <w:vAlign w:val="center"/>
          </w:tcPr>
          <w:p w:rsidR="000A156F" w:rsidRDefault="00A9721F">
            <w:pPr>
              <w:pStyle w:val="TableBodyText"/>
            </w:pPr>
            <w:r>
              <w:t>1674</w:t>
            </w:r>
          </w:p>
        </w:tc>
      </w:tr>
      <w:tr w:rsidR="000A156F" w:rsidTr="000A156F">
        <w:tc>
          <w:tcPr>
            <w:tcW w:w="0" w:type="auto"/>
            <w:vAlign w:val="center"/>
          </w:tcPr>
          <w:p w:rsidR="000A156F" w:rsidRDefault="00A9721F">
            <w:pPr>
              <w:pStyle w:val="TableBodyText"/>
            </w:pPr>
            <w:r>
              <w:t>DrawMenuTextWrapping</w:t>
            </w:r>
          </w:p>
        </w:tc>
        <w:tc>
          <w:tcPr>
            <w:tcW w:w="0" w:type="auto"/>
            <w:vAlign w:val="center"/>
          </w:tcPr>
          <w:p w:rsidR="000A156F" w:rsidRDefault="00A9721F">
            <w:pPr>
              <w:pStyle w:val="TableBodyText"/>
            </w:pPr>
            <w:r>
              <w:t>1656</w:t>
            </w:r>
          </w:p>
        </w:tc>
      </w:tr>
      <w:tr w:rsidR="000A156F" w:rsidTr="000A156F">
        <w:tc>
          <w:tcPr>
            <w:tcW w:w="0" w:type="auto"/>
            <w:vAlign w:val="center"/>
          </w:tcPr>
          <w:p w:rsidR="000A156F" w:rsidRDefault="00A9721F">
            <w:pPr>
              <w:pStyle w:val="TableBodyText"/>
            </w:pPr>
            <w:r>
              <w:t>DrawNudgeDown</w:t>
            </w:r>
          </w:p>
        </w:tc>
        <w:tc>
          <w:tcPr>
            <w:tcW w:w="0" w:type="auto"/>
            <w:vAlign w:val="center"/>
          </w:tcPr>
          <w:p w:rsidR="000A156F" w:rsidRDefault="00A9721F">
            <w:pPr>
              <w:pStyle w:val="TableBodyText"/>
            </w:pPr>
            <w:r>
              <w:t>029F</w:t>
            </w:r>
          </w:p>
        </w:tc>
      </w:tr>
      <w:tr w:rsidR="000A156F" w:rsidTr="000A156F">
        <w:tc>
          <w:tcPr>
            <w:tcW w:w="0" w:type="auto"/>
            <w:vAlign w:val="center"/>
          </w:tcPr>
          <w:p w:rsidR="000A156F" w:rsidRDefault="00A9721F">
            <w:pPr>
              <w:pStyle w:val="TableBodyText"/>
            </w:pPr>
            <w:r>
              <w:t>DrawNudgeDownPixel</w:t>
            </w:r>
          </w:p>
        </w:tc>
        <w:tc>
          <w:tcPr>
            <w:tcW w:w="0" w:type="auto"/>
            <w:vAlign w:val="center"/>
          </w:tcPr>
          <w:p w:rsidR="000A156F" w:rsidRDefault="00A9721F">
            <w:pPr>
              <w:pStyle w:val="TableBodyText"/>
            </w:pPr>
            <w:r>
              <w:t>02BD</w:t>
            </w:r>
          </w:p>
        </w:tc>
      </w:tr>
      <w:tr w:rsidR="000A156F" w:rsidTr="000A156F">
        <w:tc>
          <w:tcPr>
            <w:tcW w:w="0" w:type="auto"/>
            <w:vAlign w:val="center"/>
          </w:tcPr>
          <w:p w:rsidR="000A156F" w:rsidRDefault="00A9721F">
            <w:pPr>
              <w:pStyle w:val="TableBodyText"/>
            </w:pPr>
            <w:r>
              <w:t>DrawNudgeLeft</w:t>
            </w:r>
          </w:p>
        </w:tc>
        <w:tc>
          <w:tcPr>
            <w:tcW w:w="0" w:type="auto"/>
            <w:vAlign w:val="center"/>
          </w:tcPr>
          <w:p w:rsidR="000A156F" w:rsidRDefault="00A9721F">
            <w:pPr>
              <w:pStyle w:val="TableBodyText"/>
            </w:pPr>
            <w:r>
              <w:t>02A0</w:t>
            </w:r>
          </w:p>
        </w:tc>
      </w:tr>
      <w:tr w:rsidR="000A156F" w:rsidTr="000A156F">
        <w:tc>
          <w:tcPr>
            <w:tcW w:w="0" w:type="auto"/>
            <w:vAlign w:val="center"/>
          </w:tcPr>
          <w:p w:rsidR="000A156F" w:rsidRDefault="00A9721F">
            <w:pPr>
              <w:pStyle w:val="TableBodyText"/>
            </w:pPr>
            <w:r>
              <w:t>DrawNudgeLeftPixel</w:t>
            </w:r>
          </w:p>
        </w:tc>
        <w:tc>
          <w:tcPr>
            <w:tcW w:w="0" w:type="auto"/>
            <w:vAlign w:val="center"/>
          </w:tcPr>
          <w:p w:rsidR="000A156F" w:rsidRDefault="00A9721F">
            <w:pPr>
              <w:pStyle w:val="TableBodyText"/>
            </w:pPr>
            <w:r>
              <w:t>02BE</w:t>
            </w:r>
          </w:p>
        </w:tc>
      </w:tr>
      <w:tr w:rsidR="000A156F" w:rsidTr="000A156F">
        <w:tc>
          <w:tcPr>
            <w:tcW w:w="0" w:type="auto"/>
            <w:vAlign w:val="center"/>
          </w:tcPr>
          <w:p w:rsidR="000A156F" w:rsidRDefault="00A9721F">
            <w:pPr>
              <w:pStyle w:val="TableBodyText"/>
            </w:pPr>
            <w:r>
              <w:t>DrawNudgeRight</w:t>
            </w:r>
          </w:p>
        </w:tc>
        <w:tc>
          <w:tcPr>
            <w:tcW w:w="0" w:type="auto"/>
            <w:vAlign w:val="center"/>
          </w:tcPr>
          <w:p w:rsidR="000A156F" w:rsidRDefault="00A9721F">
            <w:pPr>
              <w:pStyle w:val="TableBodyText"/>
            </w:pPr>
            <w:r>
              <w:t>02A1</w:t>
            </w:r>
          </w:p>
        </w:tc>
      </w:tr>
      <w:tr w:rsidR="000A156F" w:rsidTr="000A156F">
        <w:tc>
          <w:tcPr>
            <w:tcW w:w="0" w:type="auto"/>
            <w:vAlign w:val="center"/>
          </w:tcPr>
          <w:p w:rsidR="000A156F" w:rsidRDefault="00A9721F">
            <w:pPr>
              <w:pStyle w:val="TableBodyText"/>
            </w:pPr>
            <w:r>
              <w:t>DrawNudgeRightPixel</w:t>
            </w:r>
          </w:p>
        </w:tc>
        <w:tc>
          <w:tcPr>
            <w:tcW w:w="0" w:type="auto"/>
            <w:vAlign w:val="center"/>
          </w:tcPr>
          <w:p w:rsidR="000A156F" w:rsidRDefault="00A9721F">
            <w:pPr>
              <w:pStyle w:val="TableBodyText"/>
            </w:pPr>
            <w:r>
              <w:t>02BF</w:t>
            </w:r>
          </w:p>
        </w:tc>
      </w:tr>
      <w:tr w:rsidR="000A156F" w:rsidTr="000A156F">
        <w:tc>
          <w:tcPr>
            <w:tcW w:w="0" w:type="auto"/>
            <w:vAlign w:val="center"/>
          </w:tcPr>
          <w:p w:rsidR="000A156F" w:rsidRDefault="00A9721F">
            <w:pPr>
              <w:pStyle w:val="TableBodyText"/>
            </w:pPr>
            <w:r>
              <w:t>DrawNudgeUp</w:t>
            </w:r>
          </w:p>
        </w:tc>
        <w:tc>
          <w:tcPr>
            <w:tcW w:w="0" w:type="auto"/>
            <w:vAlign w:val="center"/>
          </w:tcPr>
          <w:p w:rsidR="000A156F" w:rsidRDefault="00A9721F">
            <w:pPr>
              <w:pStyle w:val="TableBodyText"/>
            </w:pPr>
            <w:r>
              <w:t>029E</w:t>
            </w:r>
          </w:p>
        </w:tc>
      </w:tr>
      <w:tr w:rsidR="000A156F" w:rsidTr="000A156F">
        <w:tc>
          <w:tcPr>
            <w:tcW w:w="0" w:type="auto"/>
            <w:vAlign w:val="center"/>
          </w:tcPr>
          <w:p w:rsidR="000A156F" w:rsidRDefault="00A9721F">
            <w:pPr>
              <w:pStyle w:val="TableBodyText"/>
            </w:pPr>
            <w:r>
              <w:t>DrawNudgeUpPixel</w:t>
            </w:r>
          </w:p>
        </w:tc>
        <w:tc>
          <w:tcPr>
            <w:tcW w:w="0" w:type="auto"/>
            <w:vAlign w:val="center"/>
          </w:tcPr>
          <w:p w:rsidR="000A156F" w:rsidRDefault="00A9721F">
            <w:pPr>
              <w:pStyle w:val="TableBodyText"/>
            </w:pPr>
            <w:r>
              <w:t>02BC</w:t>
            </w:r>
          </w:p>
        </w:tc>
      </w:tr>
      <w:tr w:rsidR="000A156F" w:rsidTr="000A156F">
        <w:tc>
          <w:tcPr>
            <w:tcW w:w="0" w:type="auto"/>
            <w:vAlign w:val="center"/>
          </w:tcPr>
          <w:p w:rsidR="000A156F" w:rsidRDefault="00A9721F">
            <w:pPr>
              <w:pStyle w:val="TableBodyText"/>
            </w:pPr>
            <w:r>
              <w:lastRenderedPageBreak/>
              <w:t>DrawRectangle</w:t>
            </w:r>
          </w:p>
        </w:tc>
        <w:tc>
          <w:tcPr>
            <w:tcW w:w="0" w:type="auto"/>
            <w:vAlign w:val="center"/>
          </w:tcPr>
          <w:p w:rsidR="000A156F" w:rsidRDefault="00A9721F">
            <w:pPr>
              <w:pStyle w:val="TableBodyText"/>
            </w:pPr>
            <w:r>
              <w:t>0179</w:t>
            </w:r>
          </w:p>
        </w:tc>
      </w:tr>
      <w:tr w:rsidR="000A156F" w:rsidTr="000A156F">
        <w:tc>
          <w:tcPr>
            <w:tcW w:w="0" w:type="auto"/>
            <w:vAlign w:val="center"/>
          </w:tcPr>
          <w:p w:rsidR="000A156F" w:rsidRDefault="00A9721F">
            <w:pPr>
              <w:pStyle w:val="TableBodyText"/>
            </w:pPr>
            <w:r>
              <w:t>DrawResetWordPicture</w:t>
            </w:r>
          </w:p>
        </w:tc>
        <w:tc>
          <w:tcPr>
            <w:tcW w:w="0" w:type="auto"/>
            <w:vAlign w:val="center"/>
          </w:tcPr>
          <w:p w:rsidR="000A156F" w:rsidRDefault="00A9721F">
            <w:pPr>
              <w:pStyle w:val="TableBodyText"/>
            </w:pPr>
            <w:r>
              <w:t>02B8</w:t>
            </w:r>
          </w:p>
        </w:tc>
      </w:tr>
      <w:tr w:rsidR="000A156F" w:rsidTr="000A156F">
        <w:tc>
          <w:tcPr>
            <w:tcW w:w="0" w:type="auto"/>
            <w:vAlign w:val="center"/>
          </w:tcPr>
          <w:p w:rsidR="000A156F" w:rsidRDefault="00A9721F">
            <w:pPr>
              <w:pStyle w:val="TableBodyText"/>
            </w:pPr>
            <w:r>
              <w:t>DrawReshape</w:t>
            </w:r>
          </w:p>
        </w:tc>
        <w:tc>
          <w:tcPr>
            <w:tcW w:w="0" w:type="auto"/>
            <w:vAlign w:val="center"/>
          </w:tcPr>
          <w:p w:rsidR="000A156F" w:rsidRDefault="00A9721F">
            <w:pPr>
              <w:pStyle w:val="TableBodyText"/>
            </w:pPr>
            <w:r>
              <w:t>0260</w:t>
            </w:r>
          </w:p>
        </w:tc>
      </w:tr>
      <w:tr w:rsidR="000A156F" w:rsidTr="000A156F">
        <w:tc>
          <w:tcPr>
            <w:tcW w:w="0" w:type="auto"/>
            <w:vAlign w:val="center"/>
          </w:tcPr>
          <w:p w:rsidR="000A156F" w:rsidRDefault="00A9721F">
            <w:pPr>
              <w:pStyle w:val="TableBodyText"/>
            </w:pPr>
            <w:r>
              <w:t>DrawRotateLeft</w:t>
            </w:r>
          </w:p>
        </w:tc>
        <w:tc>
          <w:tcPr>
            <w:tcW w:w="0" w:type="auto"/>
            <w:vAlign w:val="center"/>
          </w:tcPr>
          <w:p w:rsidR="000A156F" w:rsidRDefault="00A9721F">
            <w:pPr>
              <w:pStyle w:val="TableBodyText"/>
            </w:pPr>
            <w:r>
              <w:t>0232</w:t>
            </w:r>
          </w:p>
        </w:tc>
      </w:tr>
      <w:tr w:rsidR="000A156F" w:rsidTr="000A156F">
        <w:tc>
          <w:tcPr>
            <w:tcW w:w="0" w:type="auto"/>
            <w:vAlign w:val="center"/>
          </w:tcPr>
          <w:p w:rsidR="000A156F" w:rsidRDefault="00A9721F">
            <w:pPr>
              <w:pStyle w:val="TableBodyText"/>
            </w:pPr>
            <w:r>
              <w:t>DrawRotateRight</w:t>
            </w:r>
          </w:p>
        </w:tc>
        <w:tc>
          <w:tcPr>
            <w:tcW w:w="0" w:type="auto"/>
            <w:vAlign w:val="center"/>
          </w:tcPr>
          <w:p w:rsidR="000A156F" w:rsidRDefault="00A9721F">
            <w:pPr>
              <w:pStyle w:val="TableBodyText"/>
            </w:pPr>
            <w:r>
              <w:t>0231</w:t>
            </w:r>
          </w:p>
        </w:tc>
      </w:tr>
      <w:tr w:rsidR="000A156F" w:rsidTr="000A156F">
        <w:tc>
          <w:tcPr>
            <w:tcW w:w="0" w:type="auto"/>
            <w:vAlign w:val="center"/>
          </w:tcPr>
          <w:p w:rsidR="000A156F" w:rsidRDefault="00A9721F">
            <w:pPr>
              <w:pStyle w:val="TableBodyText"/>
            </w:pPr>
            <w:r>
              <w:t>DrawRoundRectangle</w:t>
            </w:r>
          </w:p>
        </w:tc>
        <w:tc>
          <w:tcPr>
            <w:tcW w:w="0" w:type="auto"/>
            <w:vAlign w:val="center"/>
          </w:tcPr>
          <w:p w:rsidR="000A156F" w:rsidRDefault="00A9721F">
            <w:pPr>
              <w:pStyle w:val="TableBodyText"/>
            </w:pPr>
            <w:r>
              <w:t>0219</w:t>
            </w:r>
          </w:p>
        </w:tc>
      </w:tr>
      <w:tr w:rsidR="000A156F" w:rsidTr="000A156F">
        <w:tc>
          <w:tcPr>
            <w:tcW w:w="0" w:type="auto"/>
            <w:vAlign w:val="center"/>
          </w:tcPr>
          <w:p w:rsidR="000A156F" w:rsidRDefault="00A9721F">
            <w:pPr>
              <w:pStyle w:val="TableBodyText"/>
            </w:pPr>
            <w:r>
              <w:t>DrawSelectNext</w:t>
            </w:r>
          </w:p>
        </w:tc>
        <w:tc>
          <w:tcPr>
            <w:tcW w:w="0" w:type="auto"/>
            <w:vAlign w:val="center"/>
          </w:tcPr>
          <w:p w:rsidR="000A156F" w:rsidRDefault="00A9721F">
            <w:pPr>
              <w:pStyle w:val="TableBodyText"/>
            </w:pPr>
            <w:r>
              <w:t>02C5</w:t>
            </w:r>
          </w:p>
        </w:tc>
      </w:tr>
      <w:tr w:rsidR="000A156F" w:rsidTr="000A156F">
        <w:tc>
          <w:tcPr>
            <w:tcW w:w="0" w:type="auto"/>
            <w:vAlign w:val="center"/>
          </w:tcPr>
          <w:p w:rsidR="000A156F" w:rsidRDefault="00A9721F">
            <w:pPr>
              <w:pStyle w:val="TableBodyText"/>
            </w:pPr>
            <w:r>
              <w:t>DrawSelectPrevious</w:t>
            </w:r>
          </w:p>
        </w:tc>
        <w:tc>
          <w:tcPr>
            <w:tcW w:w="0" w:type="auto"/>
            <w:vAlign w:val="center"/>
          </w:tcPr>
          <w:p w:rsidR="000A156F" w:rsidRDefault="00A9721F">
            <w:pPr>
              <w:pStyle w:val="TableBodyText"/>
            </w:pPr>
            <w:r>
              <w:t>02C6</w:t>
            </w:r>
          </w:p>
        </w:tc>
      </w:tr>
      <w:tr w:rsidR="000A156F" w:rsidTr="000A156F">
        <w:tc>
          <w:tcPr>
            <w:tcW w:w="0" w:type="auto"/>
            <w:vAlign w:val="center"/>
          </w:tcPr>
          <w:p w:rsidR="000A156F" w:rsidRDefault="00A9721F">
            <w:pPr>
              <w:pStyle w:val="TableBodyText"/>
            </w:pPr>
            <w:r>
              <w:t>DrawSendBackward</w:t>
            </w:r>
          </w:p>
        </w:tc>
        <w:tc>
          <w:tcPr>
            <w:tcW w:w="0" w:type="auto"/>
            <w:vAlign w:val="center"/>
          </w:tcPr>
          <w:p w:rsidR="000A156F" w:rsidRDefault="00A9721F">
            <w:pPr>
              <w:pStyle w:val="TableBodyText"/>
            </w:pPr>
            <w:r>
              <w:t>01F5</w:t>
            </w:r>
          </w:p>
        </w:tc>
      </w:tr>
      <w:tr w:rsidR="000A156F" w:rsidTr="000A156F">
        <w:tc>
          <w:tcPr>
            <w:tcW w:w="0" w:type="auto"/>
            <w:vAlign w:val="center"/>
          </w:tcPr>
          <w:p w:rsidR="000A156F" w:rsidRDefault="00A9721F">
            <w:pPr>
              <w:pStyle w:val="TableBodyText"/>
            </w:pPr>
            <w:r>
              <w:t>DrawSendBehindText</w:t>
            </w:r>
          </w:p>
        </w:tc>
        <w:tc>
          <w:tcPr>
            <w:tcW w:w="0" w:type="auto"/>
            <w:vAlign w:val="center"/>
          </w:tcPr>
          <w:p w:rsidR="000A156F" w:rsidRDefault="00A9721F">
            <w:pPr>
              <w:pStyle w:val="TableBodyText"/>
            </w:pPr>
            <w:r>
              <w:t>01D4</w:t>
            </w:r>
          </w:p>
        </w:tc>
      </w:tr>
      <w:tr w:rsidR="000A156F" w:rsidTr="000A156F">
        <w:tc>
          <w:tcPr>
            <w:tcW w:w="0" w:type="auto"/>
            <w:vAlign w:val="center"/>
          </w:tcPr>
          <w:p w:rsidR="000A156F" w:rsidRDefault="00A9721F">
            <w:pPr>
              <w:pStyle w:val="TableBodyText"/>
            </w:pPr>
            <w:r>
              <w:t>DrawSendToBack</w:t>
            </w:r>
          </w:p>
        </w:tc>
        <w:tc>
          <w:tcPr>
            <w:tcW w:w="0" w:type="auto"/>
            <w:vAlign w:val="center"/>
          </w:tcPr>
          <w:p w:rsidR="000A156F" w:rsidRDefault="00A9721F">
            <w:pPr>
              <w:pStyle w:val="TableBodyText"/>
            </w:pPr>
            <w:r>
              <w:t>01D3</w:t>
            </w:r>
          </w:p>
        </w:tc>
      </w:tr>
      <w:tr w:rsidR="000A156F" w:rsidTr="000A156F">
        <w:tc>
          <w:tcPr>
            <w:tcW w:w="0" w:type="auto"/>
            <w:vAlign w:val="center"/>
          </w:tcPr>
          <w:p w:rsidR="000A156F" w:rsidRDefault="00A9721F">
            <w:pPr>
              <w:pStyle w:val="TableBodyText"/>
            </w:pPr>
            <w:r>
              <w:t>DrawSnapToGrid</w:t>
            </w:r>
          </w:p>
        </w:tc>
        <w:tc>
          <w:tcPr>
            <w:tcW w:w="0" w:type="auto"/>
            <w:vAlign w:val="center"/>
          </w:tcPr>
          <w:p w:rsidR="000A156F" w:rsidRDefault="00A9721F">
            <w:pPr>
              <w:pStyle w:val="TableBodyText"/>
            </w:pPr>
            <w:r>
              <w:t>0279</w:t>
            </w:r>
          </w:p>
        </w:tc>
      </w:tr>
      <w:tr w:rsidR="000A156F" w:rsidTr="000A156F">
        <w:tc>
          <w:tcPr>
            <w:tcW w:w="0" w:type="auto"/>
            <w:vAlign w:val="center"/>
          </w:tcPr>
          <w:p w:rsidR="000A156F" w:rsidRDefault="00A9721F">
            <w:pPr>
              <w:pStyle w:val="TableBodyText"/>
            </w:pPr>
            <w:r>
              <w:t>DrawTextBox</w:t>
            </w:r>
          </w:p>
        </w:tc>
        <w:tc>
          <w:tcPr>
            <w:tcW w:w="0" w:type="auto"/>
            <w:vAlign w:val="center"/>
          </w:tcPr>
          <w:p w:rsidR="000A156F" w:rsidRDefault="00A9721F">
            <w:pPr>
              <w:pStyle w:val="TableBodyText"/>
            </w:pPr>
            <w:r>
              <w:t>03B3</w:t>
            </w:r>
          </w:p>
        </w:tc>
      </w:tr>
      <w:tr w:rsidR="000A156F" w:rsidTr="000A156F">
        <w:tc>
          <w:tcPr>
            <w:tcW w:w="0" w:type="auto"/>
            <w:vAlign w:val="center"/>
          </w:tcPr>
          <w:p w:rsidR="000A156F" w:rsidRDefault="00A9721F">
            <w:pPr>
              <w:pStyle w:val="TableBodyText"/>
            </w:pPr>
            <w:r>
              <w:t>DrawTextBox2</w:t>
            </w:r>
          </w:p>
        </w:tc>
        <w:tc>
          <w:tcPr>
            <w:tcW w:w="0" w:type="auto"/>
            <w:vAlign w:val="center"/>
          </w:tcPr>
          <w:p w:rsidR="000A156F" w:rsidRDefault="00A9721F">
            <w:pPr>
              <w:pStyle w:val="TableBodyText"/>
            </w:pPr>
            <w:r>
              <w:t>0959</w:t>
            </w:r>
          </w:p>
        </w:tc>
      </w:tr>
      <w:tr w:rsidR="000A156F" w:rsidTr="000A156F">
        <w:tc>
          <w:tcPr>
            <w:tcW w:w="0" w:type="auto"/>
            <w:vAlign w:val="center"/>
          </w:tcPr>
          <w:p w:rsidR="000A156F" w:rsidRDefault="00A9721F">
            <w:pPr>
              <w:pStyle w:val="TableBodyText"/>
            </w:pPr>
            <w:r>
              <w:t>DrawToggleLayer</w:t>
            </w:r>
          </w:p>
        </w:tc>
        <w:tc>
          <w:tcPr>
            <w:tcW w:w="0" w:type="auto"/>
            <w:vAlign w:val="center"/>
          </w:tcPr>
          <w:p w:rsidR="000A156F" w:rsidRDefault="00A9721F">
            <w:pPr>
              <w:pStyle w:val="TableBodyText"/>
            </w:pPr>
            <w:r>
              <w:t>022C</w:t>
            </w:r>
          </w:p>
        </w:tc>
      </w:tr>
      <w:tr w:rsidR="000A156F" w:rsidTr="000A156F">
        <w:tc>
          <w:tcPr>
            <w:tcW w:w="0" w:type="auto"/>
            <w:vAlign w:val="center"/>
          </w:tcPr>
          <w:p w:rsidR="000A156F" w:rsidRDefault="00A9721F">
            <w:pPr>
              <w:pStyle w:val="TableBodyText"/>
            </w:pPr>
            <w:r>
              <w:t>DrawUngroup</w:t>
            </w:r>
          </w:p>
        </w:tc>
        <w:tc>
          <w:tcPr>
            <w:tcW w:w="0" w:type="auto"/>
            <w:vAlign w:val="center"/>
          </w:tcPr>
          <w:p w:rsidR="000A156F" w:rsidRDefault="00A9721F">
            <w:pPr>
              <w:pStyle w:val="TableBodyText"/>
            </w:pPr>
            <w:r>
              <w:t>01E5</w:t>
            </w:r>
          </w:p>
        </w:tc>
      </w:tr>
      <w:tr w:rsidR="000A156F" w:rsidTr="000A156F">
        <w:tc>
          <w:tcPr>
            <w:tcW w:w="0" w:type="auto"/>
            <w:vAlign w:val="center"/>
          </w:tcPr>
          <w:p w:rsidR="000A156F" w:rsidRDefault="00A9721F">
            <w:pPr>
              <w:pStyle w:val="TableBodyText"/>
            </w:pPr>
            <w:r>
              <w:t>DrawUnselect</w:t>
            </w:r>
          </w:p>
        </w:tc>
        <w:tc>
          <w:tcPr>
            <w:tcW w:w="0" w:type="auto"/>
            <w:vAlign w:val="center"/>
          </w:tcPr>
          <w:p w:rsidR="000A156F" w:rsidRDefault="00A9721F">
            <w:pPr>
              <w:pStyle w:val="TableBodyText"/>
            </w:pPr>
            <w:r>
              <w:t>02C4</w:t>
            </w:r>
          </w:p>
        </w:tc>
      </w:tr>
      <w:tr w:rsidR="000A156F" w:rsidTr="000A156F">
        <w:tc>
          <w:tcPr>
            <w:tcW w:w="0" w:type="auto"/>
            <w:vAlign w:val="center"/>
          </w:tcPr>
          <w:p w:rsidR="000A156F" w:rsidRDefault="00A9721F">
            <w:pPr>
              <w:pStyle w:val="TableBodyText"/>
            </w:pPr>
            <w:r>
              <w:t>DrawVerticalTextBox</w:t>
            </w:r>
          </w:p>
        </w:tc>
        <w:tc>
          <w:tcPr>
            <w:tcW w:w="0" w:type="auto"/>
            <w:vAlign w:val="center"/>
          </w:tcPr>
          <w:p w:rsidR="000A156F" w:rsidRDefault="00A9721F">
            <w:pPr>
              <w:pStyle w:val="TableBodyText"/>
            </w:pPr>
            <w:r>
              <w:t>03E4</w:t>
            </w:r>
          </w:p>
        </w:tc>
      </w:tr>
      <w:tr w:rsidR="000A156F" w:rsidTr="000A156F">
        <w:tc>
          <w:tcPr>
            <w:tcW w:w="0" w:type="auto"/>
            <w:vAlign w:val="center"/>
          </w:tcPr>
          <w:p w:rsidR="000A156F" w:rsidRDefault="00A9721F">
            <w:pPr>
              <w:pStyle w:val="TableBodyText"/>
            </w:pPr>
            <w:r>
              <w:t>DrawVerticalTextBox2</w:t>
            </w:r>
          </w:p>
        </w:tc>
        <w:tc>
          <w:tcPr>
            <w:tcW w:w="0" w:type="auto"/>
            <w:vAlign w:val="center"/>
          </w:tcPr>
          <w:p w:rsidR="000A156F" w:rsidRDefault="00A9721F">
            <w:pPr>
              <w:pStyle w:val="TableBodyText"/>
            </w:pPr>
            <w:r>
              <w:t>094C</w:t>
            </w:r>
          </w:p>
        </w:tc>
      </w:tr>
      <w:tr w:rsidR="000A156F" w:rsidTr="000A156F">
        <w:tc>
          <w:tcPr>
            <w:tcW w:w="0" w:type="auto"/>
            <w:vAlign w:val="center"/>
          </w:tcPr>
          <w:p w:rsidR="000A156F" w:rsidRDefault="00A9721F">
            <w:pPr>
              <w:pStyle w:val="TableBodyText"/>
            </w:pPr>
            <w:r>
              <w:t>DrawingAdvancedLayout</w:t>
            </w:r>
          </w:p>
        </w:tc>
        <w:tc>
          <w:tcPr>
            <w:tcW w:w="0" w:type="auto"/>
            <w:vAlign w:val="center"/>
          </w:tcPr>
          <w:p w:rsidR="000A156F" w:rsidRDefault="00A9721F">
            <w:pPr>
              <w:pStyle w:val="TableBodyText"/>
            </w:pPr>
            <w:r>
              <w:t>0901</w:t>
            </w:r>
          </w:p>
        </w:tc>
      </w:tr>
      <w:tr w:rsidR="000A156F" w:rsidTr="000A156F">
        <w:tc>
          <w:tcPr>
            <w:tcW w:w="0" w:type="auto"/>
            <w:vAlign w:val="center"/>
          </w:tcPr>
          <w:p w:rsidR="000A156F" w:rsidRDefault="00A9721F">
            <w:pPr>
              <w:pStyle w:val="TableBodyText"/>
            </w:pPr>
            <w:r>
              <w:t>DrawingGrid</w:t>
            </w:r>
          </w:p>
        </w:tc>
        <w:tc>
          <w:tcPr>
            <w:tcW w:w="0" w:type="auto"/>
            <w:vAlign w:val="center"/>
          </w:tcPr>
          <w:p w:rsidR="000A156F" w:rsidRDefault="00A9721F">
            <w:pPr>
              <w:pStyle w:val="TableBodyText"/>
            </w:pPr>
            <w:r>
              <w:t>0490</w:t>
            </w:r>
          </w:p>
        </w:tc>
      </w:tr>
      <w:tr w:rsidR="000A156F" w:rsidTr="000A156F">
        <w:tc>
          <w:tcPr>
            <w:tcW w:w="0" w:type="auto"/>
            <w:vAlign w:val="center"/>
          </w:tcPr>
          <w:p w:rsidR="000A156F" w:rsidRDefault="00A9721F">
            <w:pPr>
              <w:pStyle w:val="TableBodyText"/>
            </w:pPr>
            <w:r>
              <w:t>DropCapGallery</w:t>
            </w:r>
          </w:p>
        </w:tc>
        <w:tc>
          <w:tcPr>
            <w:tcW w:w="0" w:type="auto"/>
            <w:vAlign w:val="center"/>
          </w:tcPr>
          <w:p w:rsidR="000A156F" w:rsidRDefault="00A9721F">
            <w:pPr>
              <w:pStyle w:val="TableBodyText"/>
            </w:pPr>
            <w:r>
              <w:t>0799</w:t>
            </w:r>
          </w:p>
        </w:tc>
      </w:tr>
      <w:tr w:rsidR="000A156F" w:rsidTr="000A156F">
        <w:tc>
          <w:tcPr>
            <w:tcW w:w="0" w:type="auto"/>
            <w:vAlign w:val="center"/>
          </w:tcPr>
          <w:p w:rsidR="000A156F" w:rsidRDefault="00A9721F">
            <w:pPr>
              <w:pStyle w:val="TableBodyText"/>
            </w:pPr>
            <w:r>
              <w:t>DropDownFormField</w:t>
            </w:r>
          </w:p>
        </w:tc>
        <w:tc>
          <w:tcPr>
            <w:tcW w:w="0" w:type="auto"/>
            <w:vAlign w:val="center"/>
          </w:tcPr>
          <w:p w:rsidR="000A156F" w:rsidRDefault="00A9721F">
            <w:pPr>
              <w:pStyle w:val="TableBodyText"/>
            </w:pPr>
            <w:r>
              <w:t>015F</w:t>
            </w:r>
          </w:p>
        </w:tc>
      </w:tr>
      <w:tr w:rsidR="000A156F" w:rsidTr="000A156F">
        <w:tc>
          <w:tcPr>
            <w:tcW w:w="0" w:type="auto"/>
            <w:vAlign w:val="center"/>
          </w:tcPr>
          <w:p w:rsidR="000A156F" w:rsidRDefault="00A9721F">
            <w:pPr>
              <w:pStyle w:val="TableBodyText"/>
            </w:pPr>
            <w:r>
              <w:t>EATextBoxMenu</w:t>
            </w:r>
          </w:p>
        </w:tc>
        <w:tc>
          <w:tcPr>
            <w:tcW w:w="0" w:type="auto"/>
            <w:vAlign w:val="center"/>
          </w:tcPr>
          <w:p w:rsidR="000A156F" w:rsidRDefault="00A9721F">
            <w:pPr>
              <w:pStyle w:val="TableBodyText"/>
            </w:pPr>
            <w:r>
              <w:t>0958</w:t>
            </w:r>
          </w:p>
        </w:tc>
      </w:tr>
      <w:tr w:rsidR="000A156F" w:rsidTr="000A156F">
        <w:tc>
          <w:tcPr>
            <w:tcW w:w="0" w:type="auto"/>
            <w:vAlign w:val="center"/>
          </w:tcPr>
          <w:p w:rsidR="000A156F" w:rsidRDefault="00A9721F">
            <w:pPr>
              <w:pStyle w:val="TableBodyText"/>
            </w:pPr>
            <w:r>
              <w:t>EditAutoText</w:t>
            </w:r>
          </w:p>
        </w:tc>
        <w:tc>
          <w:tcPr>
            <w:tcW w:w="0" w:type="auto"/>
            <w:vAlign w:val="center"/>
          </w:tcPr>
          <w:p w:rsidR="000A156F" w:rsidRDefault="00A9721F">
            <w:pPr>
              <w:pStyle w:val="TableBodyText"/>
            </w:pPr>
            <w:r>
              <w:t>03D9</w:t>
            </w:r>
          </w:p>
        </w:tc>
      </w:tr>
      <w:tr w:rsidR="000A156F" w:rsidTr="000A156F">
        <w:tc>
          <w:tcPr>
            <w:tcW w:w="0" w:type="auto"/>
            <w:vAlign w:val="center"/>
          </w:tcPr>
          <w:p w:rsidR="000A156F" w:rsidRDefault="00A9721F">
            <w:pPr>
              <w:pStyle w:val="TableBodyText"/>
            </w:pPr>
            <w:r>
              <w:t>EditBookmark</w:t>
            </w:r>
          </w:p>
        </w:tc>
        <w:tc>
          <w:tcPr>
            <w:tcW w:w="0" w:type="auto"/>
            <w:vAlign w:val="center"/>
          </w:tcPr>
          <w:p w:rsidR="000A156F" w:rsidRDefault="00A9721F">
            <w:pPr>
              <w:pStyle w:val="TableBodyText"/>
            </w:pPr>
            <w:r>
              <w:t>00A8</w:t>
            </w:r>
          </w:p>
        </w:tc>
      </w:tr>
      <w:tr w:rsidR="000A156F" w:rsidTr="000A156F">
        <w:tc>
          <w:tcPr>
            <w:tcW w:w="0" w:type="auto"/>
            <w:vAlign w:val="center"/>
          </w:tcPr>
          <w:p w:rsidR="000A156F" w:rsidRDefault="00A9721F">
            <w:pPr>
              <w:pStyle w:val="TableBodyText"/>
            </w:pPr>
            <w:r>
              <w:t>EditButtonImage</w:t>
            </w:r>
          </w:p>
        </w:tc>
        <w:tc>
          <w:tcPr>
            <w:tcW w:w="0" w:type="auto"/>
            <w:vAlign w:val="center"/>
          </w:tcPr>
          <w:p w:rsidR="000A156F" w:rsidRDefault="00A9721F">
            <w:pPr>
              <w:pStyle w:val="TableBodyText"/>
            </w:pPr>
            <w:r>
              <w:t>0266</w:t>
            </w:r>
          </w:p>
        </w:tc>
      </w:tr>
      <w:tr w:rsidR="000A156F" w:rsidTr="000A156F">
        <w:tc>
          <w:tcPr>
            <w:tcW w:w="0" w:type="auto"/>
            <w:vAlign w:val="center"/>
          </w:tcPr>
          <w:p w:rsidR="000A156F" w:rsidRDefault="00A9721F">
            <w:pPr>
              <w:pStyle w:val="TableBodyText"/>
            </w:pPr>
            <w:r>
              <w:t>EditCitation</w:t>
            </w:r>
          </w:p>
        </w:tc>
        <w:tc>
          <w:tcPr>
            <w:tcW w:w="0" w:type="auto"/>
            <w:vAlign w:val="center"/>
          </w:tcPr>
          <w:p w:rsidR="000A156F" w:rsidRDefault="00A9721F">
            <w:pPr>
              <w:pStyle w:val="TableBodyText"/>
            </w:pPr>
            <w:r>
              <w:t>0939</w:t>
            </w:r>
          </w:p>
        </w:tc>
      </w:tr>
      <w:tr w:rsidR="000A156F" w:rsidTr="000A156F">
        <w:tc>
          <w:tcPr>
            <w:tcW w:w="0" w:type="auto"/>
            <w:vAlign w:val="center"/>
          </w:tcPr>
          <w:p w:rsidR="000A156F" w:rsidRDefault="00A9721F">
            <w:pPr>
              <w:pStyle w:val="TableBodyText"/>
            </w:pPr>
            <w:r>
              <w:t>EditClear</w:t>
            </w:r>
          </w:p>
        </w:tc>
        <w:tc>
          <w:tcPr>
            <w:tcW w:w="0" w:type="auto"/>
            <w:vAlign w:val="center"/>
          </w:tcPr>
          <w:p w:rsidR="000A156F" w:rsidRDefault="00A9721F">
            <w:pPr>
              <w:pStyle w:val="TableBodyText"/>
            </w:pPr>
            <w:r>
              <w:t>001E</w:t>
            </w:r>
          </w:p>
        </w:tc>
      </w:tr>
      <w:tr w:rsidR="000A156F" w:rsidTr="000A156F">
        <w:tc>
          <w:tcPr>
            <w:tcW w:w="0" w:type="auto"/>
            <w:vAlign w:val="center"/>
          </w:tcPr>
          <w:p w:rsidR="000A156F" w:rsidRDefault="00A9721F">
            <w:pPr>
              <w:pStyle w:val="TableBodyText"/>
            </w:pPr>
            <w:r>
              <w:t>EditConvertAllEndnotes</w:t>
            </w:r>
          </w:p>
        </w:tc>
        <w:tc>
          <w:tcPr>
            <w:tcW w:w="0" w:type="auto"/>
            <w:vAlign w:val="center"/>
          </w:tcPr>
          <w:p w:rsidR="000A156F" w:rsidRDefault="00A9721F">
            <w:pPr>
              <w:pStyle w:val="TableBodyText"/>
            </w:pPr>
            <w:r>
              <w:t>01B8</w:t>
            </w:r>
          </w:p>
        </w:tc>
      </w:tr>
      <w:tr w:rsidR="000A156F" w:rsidTr="000A156F">
        <w:tc>
          <w:tcPr>
            <w:tcW w:w="0" w:type="auto"/>
            <w:vAlign w:val="center"/>
          </w:tcPr>
          <w:p w:rsidR="000A156F" w:rsidRDefault="00A9721F">
            <w:pPr>
              <w:pStyle w:val="TableBodyText"/>
            </w:pPr>
            <w:r>
              <w:t>EditConvertAllFootnotes</w:t>
            </w:r>
          </w:p>
        </w:tc>
        <w:tc>
          <w:tcPr>
            <w:tcW w:w="0" w:type="auto"/>
            <w:vAlign w:val="center"/>
          </w:tcPr>
          <w:p w:rsidR="000A156F" w:rsidRDefault="00A9721F">
            <w:pPr>
              <w:pStyle w:val="TableBodyText"/>
            </w:pPr>
            <w:r>
              <w:t>01B7</w:t>
            </w:r>
          </w:p>
        </w:tc>
      </w:tr>
      <w:tr w:rsidR="000A156F" w:rsidTr="000A156F">
        <w:tc>
          <w:tcPr>
            <w:tcW w:w="0" w:type="auto"/>
            <w:vAlign w:val="center"/>
          </w:tcPr>
          <w:p w:rsidR="000A156F" w:rsidRDefault="00A9721F">
            <w:pPr>
              <w:pStyle w:val="TableBodyText"/>
            </w:pPr>
            <w:r>
              <w:t>EditConvertNotes</w:t>
            </w:r>
          </w:p>
        </w:tc>
        <w:tc>
          <w:tcPr>
            <w:tcW w:w="0" w:type="auto"/>
            <w:vAlign w:val="center"/>
          </w:tcPr>
          <w:p w:rsidR="000A156F" w:rsidRDefault="00A9721F">
            <w:pPr>
              <w:pStyle w:val="TableBodyText"/>
            </w:pPr>
            <w:r>
              <w:t>01CE</w:t>
            </w:r>
          </w:p>
        </w:tc>
      </w:tr>
      <w:tr w:rsidR="000A156F" w:rsidTr="000A156F">
        <w:tc>
          <w:tcPr>
            <w:tcW w:w="0" w:type="auto"/>
            <w:vAlign w:val="center"/>
          </w:tcPr>
          <w:p w:rsidR="000A156F" w:rsidRDefault="00A9721F">
            <w:pPr>
              <w:pStyle w:val="TableBodyText"/>
            </w:pPr>
            <w:r>
              <w:lastRenderedPageBreak/>
              <w:t>EditCopy</w:t>
            </w:r>
          </w:p>
        </w:tc>
        <w:tc>
          <w:tcPr>
            <w:tcW w:w="0" w:type="auto"/>
            <w:vAlign w:val="center"/>
          </w:tcPr>
          <w:p w:rsidR="000A156F" w:rsidRDefault="00A9721F">
            <w:pPr>
              <w:pStyle w:val="TableBodyText"/>
            </w:pPr>
            <w:r>
              <w:t>006D</w:t>
            </w:r>
          </w:p>
        </w:tc>
      </w:tr>
      <w:tr w:rsidR="000A156F" w:rsidTr="000A156F">
        <w:tc>
          <w:tcPr>
            <w:tcW w:w="0" w:type="auto"/>
            <w:vAlign w:val="center"/>
          </w:tcPr>
          <w:p w:rsidR="000A156F" w:rsidRDefault="00A9721F">
            <w:pPr>
              <w:pStyle w:val="TableBodyText"/>
            </w:pPr>
            <w:r>
              <w:t>EditCopyAsPicture</w:t>
            </w:r>
          </w:p>
        </w:tc>
        <w:tc>
          <w:tcPr>
            <w:tcW w:w="0" w:type="auto"/>
            <w:vAlign w:val="center"/>
          </w:tcPr>
          <w:p w:rsidR="000A156F" w:rsidRDefault="00A9721F">
            <w:pPr>
              <w:pStyle w:val="TableBodyText"/>
            </w:pPr>
            <w:r>
              <w:t>02EF</w:t>
            </w:r>
          </w:p>
        </w:tc>
      </w:tr>
      <w:tr w:rsidR="000A156F" w:rsidTr="000A156F">
        <w:tc>
          <w:tcPr>
            <w:tcW w:w="0" w:type="auto"/>
            <w:vAlign w:val="center"/>
          </w:tcPr>
          <w:p w:rsidR="000A156F" w:rsidRDefault="00A9721F">
            <w:pPr>
              <w:pStyle w:val="TableBodyText"/>
            </w:pPr>
            <w:r>
              <w:t>EditCreatePublisher</w:t>
            </w:r>
          </w:p>
        </w:tc>
        <w:tc>
          <w:tcPr>
            <w:tcW w:w="0" w:type="auto"/>
            <w:vAlign w:val="center"/>
          </w:tcPr>
          <w:p w:rsidR="000A156F" w:rsidRDefault="00A9721F">
            <w:pPr>
              <w:pStyle w:val="TableBodyText"/>
            </w:pPr>
            <w:r>
              <w:t>02DC</w:t>
            </w:r>
          </w:p>
        </w:tc>
      </w:tr>
      <w:tr w:rsidR="000A156F" w:rsidTr="000A156F">
        <w:tc>
          <w:tcPr>
            <w:tcW w:w="0" w:type="auto"/>
            <w:vAlign w:val="center"/>
          </w:tcPr>
          <w:p w:rsidR="000A156F" w:rsidRDefault="00A9721F">
            <w:pPr>
              <w:pStyle w:val="TableBodyText"/>
            </w:pPr>
            <w:r>
              <w:t>EditCut</w:t>
            </w:r>
          </w:p>
        </w:tc>
        <w:tc>
          <w:tcPr>
            <w:tcW w:w="0" w:type="auto"/>
            <w:vAlign w:val="center"/>
          </w:tcPr>
          <w:p w:rsidR="000A156F" w:rsidRDefault="00A9721F">
            <w:pPr>
              <w:pStyle w:val="TableBodyText"/>
            </w:pPr>
            <w:r>
              <w:t>006C</w:t>
            </w:r>
          </w:p>
        </w:tc>
      </w:tr>
      <w:tr w:rsidR="000A156F" w:rsidTr="000A156F">
        <w:tc>
          <w:tcPr>
            <w:tcW w:w="0" w:type="auto"/>
            <w:vAlign w:val="center"/>
          </w:tcPr>
          <w:p w:rsidR="000A156F" w:rsidRDefault="00A9721F">
            <w:pPr>
              <w:pStyle w:val="TableBodyText"/>
            </w:pPr>
            <w:r>
              <w:t>EditFind</w:t>
            </w:r>
          </w:p>
        </w:tc>
        <w:tc>
          <w:tcPr>
            <w:tcW w:w="0" w:type="auto"/>
            <w:vAlign w:val="center"/>
          </w:tcPr>
          <w:p w:rsidR="000A156F" w:rsidRDefault="00A9721F">
            <w:pPr>
              <w:pStyle w:val="TableBodyText"/>
            </w:pPr>
            <w:r>
              <w:t>0070</w:t>
            </w:r>
          </w:p>
        </w:tc>
      </w:tr>
      <w:tr w:rsidR="000A156F" w:rsidTr="000A156F">
        <w:tc>
          <w:tcPr>
            <w:tcW w:w="0" w:type="auto"/>
            <w:vAlign w:val="center"/>
          </w:tcPr>
          <w:p w:rsidR="000A156F" w:rsidRDefault="00A9721F">
            <w:pPr>
              <w:pStyle w:val="TableBodyText"/>
            </w:pPr>
            <w:r>
              <w:t>EditFindBorder</w:t>
            </w:r>
          </w:p>
        </w:tc>
        <w:tc>
          <w:tcPr>
            <w:tcW w:w="0" w:type="auto"/>
            <w:vAlign w:val="center"/>
          </w:tcPr>
          <w:p w:rsidR="000A156F" w:rsidRDefault="00A9721F">
            <w:pPr>
              <w:pStyle w:val="TableBodyText"/>
            </w:pPr>
            <w:r>
              <w:t>01BF</w:t>
            </w:r>
          </w:p>
        </w:tc>
      </w:tr>
      <w:tr w:rsidR="000A156F" w:rsidTr="000A156F">
        <w:tc>
          <w:tcPr>
            <w:tcW w:w="0" w:type="auto"/>
            <w:vAlign w:val="center"/>
          </w:tcPr>
          <w:p w:rsidR="000A156F" w:rsidRDefault="00A9721F">
            <w:pPr>
              <w:pStyle w:val="TableBodyText"/>
            </w:pPr>
            <w:r>
              <w:t>EditFindClearFormatting</w:t>
            </w:r>
          </w:p>
        </w:tc>
        <w:tc>
          <w:tcPr>
            <w:tcW w:w="0" w:type="auto"/>
            <w:vAlign w:val="center"/>
          </w:tcPr>
          <w:p w:rsidR="000A156F" w:rsidRDefault="00A9721F">
            <w:pPr>
              <w:pStyle w:val="TableBodyText"/>
            </w:pPr>
            <w:r>
              <w:t>0074</w:t>
            </w:r>
          </w:p>
        </w:tc>
      </w:tr>
      <w:tr w:rsidR="000A156F" w:rsidTr="000A156F">
        <w:tc>
          <w:tcPr>
            <w:tcW w:w="0" w:type="auto"/>
            <w:vAlign w:val="center"/>
          </w:tcPr>
          <w:p w:rsidR="000A156F" w:rsidRDefault="00A9721F">
            <w:pPr>
              <w:pStyle w:val="TableBodyText"/>
            </w:pPr>
            <w:r>
              <w:t>EditFindFont</w:t>
            </w:r>
          </w:p>
        </w:tc>
        <w:tc>
          <w:tcPr>
            <w:tcW w:w="0" w:type="auto"/>
            <w:vAlign w:val="center"/>
          </w:tcPr>
          <w:p w:rsidR="000A156F" w:rsidRDefault="00A9721F">
            <w:pPr>
              <w:pStyle w:val="TableBodyText"/>
            </w:pPr>
            <w:r>
              <w:t>0071</w:t>
            </w:r>
          </w:p>
        </w:tc>
      </w:tr>
      <w:tr w:rsidR="000A156F" w:rsidTr="000A156F">
        <w:tc>
          <w:tcPr>
            <w:tcW w:w="0" w:type="auto"/>
            <w:vAlign w:val="center"/>
          </w:tcPr>
          <w:p w:rsidR="000A156F" w:rsidRDefault="00A9721F">
            <w:pPr>
              <w:pStyle w:val="TableBodyText"/>
            </w:pPr>
            <w:r>
              <w:t>EditFindFrame</w:t>
            </w:r>
          </w:p>
        </w:tc>
        <w:tc>
          <w:tcPr>
            <w:tcW w:w="0" w:type="auto"/>
            <w:vAlign w:val="center"/>
          </w:tcPr>
          <w:p w:rsidR="000A156F" w:rsidRDefault="00A9721F">
            <w:pPr>
              <w:pStyle w:val="TableBodyText"/>
            </w:pPr>
            <w:r>
              <w:t>01C0</w:t>
            </w:r>
          </w:p>
        </w:tc>
      </w:tr>
      <w:tr w:rsidR="000A156F" w:rsidTr="000A156F">
        <w:tc>
          <w:tcPr>
            <w:tcW w:w="0" w:type="auto"/>
            <w:vAlign w:val="center"/>
          </w:tcPr>
          <w:p w:rsidR="000A156F" w:rsidRDefault="00A9721F">
            <w:pPr>
              <w:pStyle w:val="TableBodyText"/>
            </w:pPr>
            <w:r>
              <w:t>EditFindHighlight</w:t>
            </w:r>
          </w:p>
        </w:tc>
        <w:tc>
          <w:tcPr>
            <w:tcW w:w="0" w:type="auto"/>
            <w:vAlign w:val="center"/>
          </w:tcPr>
          <w:p w:rsidR="000A156F" w:rsidRDefault="00A9721F">
            <w:pPr>
              <w:pStyle w:val="TableBodyText"/>
            </w:pPr>
            <w:r>
              <w:t>030C</w:t>
            </w:r>
          </w:p>
        </w:tc>
      </w:tr>
      <w:tr w:rsidR="000A156F" w:rsidTr="000A156F">
        <w:tc>
          <w:tcPr>
            <w:tcW w:w="0" w:type="auto"/>
            <w:vAlign w:val="center"/>
          </w:tcPr>
          <w:p w:rsidR="000A156F" w:rsidRDefault="00A9721F">
            <w:pPr>
              <w:pStyle w:val="TableBodyText"/>
            </w:pPr>
            <w:r>
              <w:t>EditFindLang</w:t>
            </w:r>
          </w:p>
        </w:tc>
        <w:tc>
          <w:tcPr>
            <w:tcW w:w="0" w:type="auto"/>
            <w:vAlign w:val="center"/>
          </w:tcPr>
          <w:p w:rsidR="000A156F" w:rsidRDefault="00A9721F">
            <w:pPr>
              <w:pStyle w:val="TableBodyText"/>
            </w:pPr>
            <w:r>
              <w:t>01AC</w:t>
            </w:r>
          </w:p>
        </w:tc>
      </w:tr>
      <w:tr w:rsidR="000A156F" w:rsidTr="000A156F">
        <w:tc>
          <w:tcPr>
            <w:tcW w:w="0" w:type="auto"/>
            <w:vAlign w:val="center"/>
          </w:tcPr>
          <w:p w:rsidR="000A156F" w:rsidRDefault="00A9721F">
            <w:pPr>
              <w:pStyle w:val="TableBodyText"/>
            </w:pPr>
            <w:r>
              <w:t>EditFindNotHighlight</w:t>
            </w:r>
          </w:p>
        </w:tc>
        <w:tc>
          <w:tcPr>
            <w:tcW w:w="0" w:type="auto"/>
            <w:vAlign w:val="center"/>
          </w:tcPr>
          <w:p w:rsidR="000A156F" w:rsidRDefault="00A9721F">
            <w:pPr>
              <w:pStyle w:val="TableBodyText"/>
            </w:pPr>
            <w:r>
              <w:t>030E</w:t>
            </w:r>
          </w:p>
        </w:tc>
      </w:tr>
      <w:tr w:rsidR="000A156F" w:rsidTr="000A156F">
        <w:tc>
          <w:tcPr>
            <w:tcW w:w="0" w:type="auto"/>
            <w:vAlign w:val="center"/>
          </w:tcPr>
          <w:p w:rsidR="000A156F" w:rsidRDefault="00A9721F">
            <w:pPr>
              <w:pStyle w:val="TableBodyText"/>
            </w:pPr>
            <w:r>
              <w:t>EditFindPara</w:t>
            </w:r>
          </w:p>
        </w:tc>
        <w:tc>
          <w:tcPr>
            <w:tcW w:w="0" w:type="auto"/>
            <w:vAlign w:val="center"/>
          </w:tcPr>
          <w:p w:rsidR="000A156F" w:rsidRDefault="00A9721F">
            <w:pPr>
              <w:pStyle w:val="TableBodyText"/>
            </w:pPr>
            <w:r>
              <w:t>0072</w:t>
            </w:r>
          </w:p>
        </w:tc>
      </w:tr>
      <w:tr w:rsidR="000A156F" w:rsidTr="000A156F">
        <w:tc>
          <w:tcPr>
            <w:tcW w:w="0" w:type="auto"/>
            <w:vAlign w:val="center"/>
          </w:tcPr>
          <w:p w:rsidR="000A156F" w:rsidRDefault="00A9721F">
            <w:pPr>
              <w:pStyle w:val="TableBodyText"/>
            </w:pPr>
            <w:r>
              <w:t>EditFindReadingMode</w:t>
            </w:r>
          </w:p>
        </w:tc>
        <w:tc>
          <w:tcPr>
            <w:tcW w:w="0" w:type="auto"/>
            <w:vAlign w:val="center"/>
          </w:tcPr>
          <w:p w:rsidR="000A156F" w:rsidRDefault="00A9721F">
            <w:pPr>
              <w:pStyle w:val="TableBodyText"/>
            </w:pPr>
            <w:r>
              <w:t>05A6</w:t>
            </w:r>
          </w:p>
        </w:tc>
      </w:tr>
      <w:tr w:rsidR="000A156F" w:rsidTr="000A156F">
        <w:tc>
          <w:tcPr>
            <w:tcW w:w="0" w:type="auto"/>
            <w:vAlign w:val="center"/>
          </w:tcPr>
          <w:p w:rsidR="000A156F" w:rsidRDefault="00A9721F">
            <w:pPr>
              <w:pStyle w:val="TableBodyText"/>
            </w:pPr>
            <w:r>
              <w:t>EditFindStyle</w:t>
            </w:r>
          </w:p>
        </w:tc>
        <w:tc>
          <w:tcPr>
            <w:tcW w:w="0" w:type="auto"/>
            <w:vAlign w:val="center"/>
          </w:tcPr>
          <w:p w:rsidR="000A156F" w:rsidRDefault="00A9721F">
            <w:pPr>
              <w:pStyle w:val="TableBodyText"/>
            </w:pPr>
            <w:r>
              <w:t>0073</w:t>
            </w:r>
          </w:p>
        </w:tc>
      </w:tr>
      <w:tr w:rsidR="000A156F" w:rsidTr="000A156F">
        <w:tc>
          <w:tcPr>
            <w:tcW w:w="0" w:type="auto"/>
            <w:vAlign w:val="center"/>
          </w:tcPr>
          <w:p w:rsidR="000A156F" w:rsidRDefault="00A9721F">
            <w:pPr>
              <w:pStyle w:val="TableBodyText"/>
            </w:pPr>
            <w:r>
              <w:t>EditFindTabs</w:t>
            </w:r>
          </w:p>
        </w:tc>
        <w:tc>
          <w:tcPr>
            <w:tcW w:w="0" w:type="auto"/>
            <w:vAlign w:val="center"/>
          </w:tcPr>
          <w:p w:rsidR="000A156F" w:rsidRDefault="00A9721F">
            <w:pPr>
              <w:pStyle w:val="TableBodyText"/>
            </w:pPr>
            <w:r>
              <w:t>01BE</w:t>
            </w:r>
          </w:p>
        </w:tc>
      </w:tr>
      <w:tr w:rsidR="000A156F" w:rsidTr="000A156F">
        <w:tc>
          <w:tcPr>
            <w:tcW w:w="0" w:type="auto"/>
            <w:vAlign w:val="center"/>
          </w:tcPr>
          <w:p w:rsidR="000A156F" w:rsidRDefault="00A9721F">
            <w:pPr>
              <w:pStyle w:val="TableBodyText"/>
            </w:pPr>
            <w:r>
              <w:t>EditGoTo</w:t>
            </w:r>
          </w:p>
        </w:tc>
        <w:tc>
          <w:tcPr>
            <w:tcW w:w="0" w:type="auto"/>
            <w:vAlign w:val="center"/>
          </w:tcPr>
          <w:p w:rsidR="000A156F" w:rsidRDefault="00A9721F">
            <w:pPr>
              <w:pStyle w:val="TableBodyText"/>
            </w:pPr>
            <w:r>
              <w:t>0380</w:t>
            </w:r>
          </w:p>
        </w:tc>
      </w:tr>
      <w:tr w:rsidR="000A156F" w:rsidTr="000A156F">
        <w:tc>
          <w:tcPr>
            <w:tcW w:w="0" w:type="auto"/>
            <w:vAlign w:val="center"/>
          </w:tcPr>
          <w:p w:rsidR="000A156F" w:rsidRDefault="00A9721F">
            <w:pPr>
              <w:pStyle w:val="TableBodyText"/>
            </w:pPr>
            <w:r>
              <w:t>EditHyperlink</w:t>
            </w:r>
          </w:p>
        </w:tc>
        <w:tc>
          <w:tcPr>
            <w:tcW w:w="0" w:type="auto"/>
            <w:vAlign w:val="center"/>
          </w:tcPr>
          <w:p w:rsidR="000A156F" w:rsidRDefault="00A9721F">
            <w:pPr>
              <w:pStyle w:val="TableBodyText"/>
            </w:pPr>
            <w:r>
              <w:t>039E</w:t>
            </w:r>
          </w:p>
        </w:tc>
      </w:tr>
      <w:tr w:rsidR="000A156F" w:rsidTr="000A156F">
        <w:tc>
          <w:tcPr>
            <w:tcW w:w="0" w:type="auto"/>
            <w:vAlign w:val="center"/>
          </w:tcPr>
          <w:p w:rsidR="000A156F" w:rsidRDefault="00A9721F">
            <w:pPr>
              <w:pStyle w:val="TableBodyText"/>
            </w:pPr>
            <w:r>
              <w:t>EditIMEReconversion</w:t>
            </w:r>
          </w:p>
        </w:tc>
        <w:tc>
          <w:tcPr>
            <w:tcW w:w="0" w:type="auto"/>
            <w:vAlign w:val="center"/>
          </w:tcPr>
          <w:p w:rsidR="000A156F" w:rsidRDefault="00A9721F">
            <w:pPr>
              <w:pStyle w:val="TableBodyText"/>
            </w:pPr>
            <w:r>
              <w:t>0359</w:t>
            </w:r>
          </w:p>
        </w:tc>
      </w:tr>
      <w:tr w:rsidR="000A156F" w:rsidTr="000A156F">
        <w:tc>
          <w:tcPr>
            <w:tcW w:w="0" w:type="auto"/>
            <w:vAlign w:val="center"/>
          </w:tcPr>
          <w:p w:rsidR="000A156F" w:rsidRDefault="00A9721F">
            <w:pPr>
              <w:pStyle w:val="TableBodyText"/>
            </w:pPr>
            <w:r>
              <w:t>EditLinks</w:t>
            </w:r>
          </w:p>
        </w:tc>
        <w:tc>
          <w:tcPr>
            <w:tcW w:w="0" w:type="auto"/>
            <w:vAlign w:val="center"/>
          </w:tcPr>
          <w:p w:rsidR="000A156F" w:rsidRDefault="00A9721F">
            <w:pPr>
              <w:pStyle w:val="TableBodyText"/>
            </w:pPr>
            <w:r>
              <w:t>007C</w:t>
            </w:r>
          </w:p>
        </w:tc>
      </w:tr>
      <w:tr w:rsidR="000A156F" w:rsidTr="000A156F">
        <w:tc>
          <w:tcPr>
            <w:tcW w:w="0" w:type="auto"/>
            <w:vAlign w:val="center"/>
          </w:tcPr>
          <w:p w:rsidR="000A156F" w:rsidRDefault="00A9721F">
            <w:pPr>
              <w:pStyle w:val="TableBodyText"/>
            </w:pPr>
            <w:r>
              <w:t>EditObject</w:t>
            </w:r>
          </w:p>
        </w:tc>
        <w:tc>
          <w:tcPr>
            <w:tcW w:w="0" w:type="auto"/>
            <w:vAlign w:val="center"/>
          </w:tcPr>
          <w:p w:rsidR="000A156F" w:rsidRDefault="00A9721F">
            <w:pPr>
              <w:pStyle w:val="TableBodyText"/>
            </w:pPr>
            <w:r>
              <w:t>007D</w:t>
            </w:r>
          </w:p>
        </w:tc>
      </w:tr>
      <w:tr w:rsidR="000A156F" w:rsidTr="000A156F">
        <w:tc>
          <w:tcPr>
            <w:tcW w:w="0" w:type="auto"/>
            <w:vAlign w:val="center"/>
          </w:tcPr>
          <w:p w:rsidR="000A156F" w:rsidRDefault="00A9721F">
            <w:pPr>
              <w:pStyle w:val="TableBodyText"/>
            </w:pPr>
            <w:r>
              <w:t>EditOfficeClipboard</w:t>
            </w:r>
          </w:p>
        </w:tc>
        <w:tc>
          <w:tcPr>
            <w:tcW w:w="0" w:type="auto"/>
            <w:vAlign w:val="center"/>
          </w:tcPr>
          <w:p w:rsidR="000A156F" w:rsidRDefault="00A9721F">
            <w:pPr>
              <w:pStyle w:val="TableBodyText"/>
            </w:pPr>
            <w:r>
              <w:t>01CB</w:t>
            </w:r>
          </w:p>
        </w:tc>
      </w:tr>
      <w:tr w:rsidR="000A156F" w:rsidTr="000A156F">
        <w:tc>
          <w:tcPr>
            <w:tcW w:w="0" w:type="auto"/>
            <w:vAlign w:val="center"/>
          </w:tcPr>
          <w:p w:rsidR="000A156F" w:rsidRDefault="00A9721F">
            <w:pPr>
              <w:pStyle w:val="TableBodyText"/>
            </w:pPr>
            <w:r>
              <w:t>EditPaste</w:t>
            </w:r>
          </w:p>
        </w:tc>
        <w:tc>
          <w:tcPr>
            <w:tcW w:w="0" w:type="auto"/>
            <w:vAlign w:val="center"/>
          </w:tcPr>
          <w:p w:rsidR="000A156F" w:rsidRDefault="00A9721F">
            <w:pPr>
              <w:pStyle w:val="TableBodyText"/>
            </w:pPr>
            <w:r>
              <w:t>006E</w:t>
            </w:r>
          </w:p>
        </w:tc>
      </w:tr>
      <w:tr w:rsidR="000A156F" w:rsidTr="000A156F">
        <w:tc>
          <w:tcPr>
            <w:tcW w:w="0" w:type="auto"/>
            <w:vAlign w:val="center"/>
          </w:tcPr>
          <w:p w:rsidR="000A156F" w:rsidRDefault="00A9721F">
            <w:pPr>
              <w:pStyle w:val="TableBodyText"/>
            </w:pPr>
            <w:r>
              <w:t>EditPaste2</w:t>
            </w:r>
          </w:p>
        </w:tc>
        <w:tc>
          <w:tcPr>
            <w:tcW w:w="0" w:type="auto"/>
            <w:vAlign w:val="center"/>
          </w:tcPr>
          <w:p w:rsidR="000A156F" w:rsidRDefault="00A9721F">
            <w:pPr>
              <w:pStyle w:val="TableBodyText"/>
            </w:pPr>
            <w:r>
              <w:t>049C</w:t>
            </w:r>
          </w:p>
        </w:tc>
      </w:tr>
      <w:tr w:rsidR="000A156F" w:rsidTr="000A156F">
        <w:tc>
          <w:tcPr>
            <w:tcW w:w="0" w:type="auto"/>
            <w:vAlign w:val="center"/>
          </w:tcPr>
          <w:p w:rsidR="000A156F" w:rsidRDefault="00A9721F">
            <w:pPr>
              <w:pStyle w:val="TableBodyText"/>
            </w:pPr>
            <w:r>
              <w:t>EditPasteAppendTable</w:t>
            </w:r>
          </w:p>
        </w:tc>
        <w:tc>
          <w:tcPr>
            <w:tcW w:w="0" w:type="auto"/>
            <w:vAlign w:val="center"/>
          </w:tcPr>
          <w:p w:rsidR="000A156F" w:rsidRDefault="00A9721F">
            <w:pPr>
              <w:pStyle w:val="TableBodyText"/>
            </w:pPr>
            <w:r>
              <w:t>054E</w:t>
            </w:r>
          </w:p>
        </w:tc>
      </w:tr>
      <w:tr w:rsidR="000A156F" w:rsidTr="000A156F">
        <w:tc>
          <w:tcPr>
            <w:tcW w:w="0" w:type="auto"/>
            <w:vAlign w:val="center"/>
          </w:tcPr>
          <w:p w:rsidR="000A156F" w:rsidRDefault="00A9721F">
            <w:pPr>
              <w:pStyle w:val="TableBodyText"/>
            </w:pPr>
            <w:r>
              <w:t>EditPasteAsHyperlink</w:t>
            </w:r>
          </w:p>
        </w:tc>
        <w:tc>
          <w:tcPr>
            <w:tcW w:w="0" w:type="auto"/>
            <w:vAlign w:val="center"/>
          </w:tcPr>
          <w:p w:rsidR="000A156F" w:rsidRDefault="00A9721F">
            <w:pPr>
              <w:pStyle w:val="TableBodyText"/>
            </w:pPr>
            <w:r>
              <w:t>03D0</w:t>
            </w:r>
          </w:p>
        </w:tc>
      </w:tr>
      <w:tr w:rsidR="000A156F" w:rsidTr="000A156F">
        <w:tc>
          <w:tcPr>
            <w:tcW w:w="0" w:type="auto"/>
            <w:vAlign w:val="center"/>
          </w:tcPr>
          <w:p w:rsidR="000A156F" w:rsidRDefault="00A9721F">
            <w:pPr>
              <w:pStyle w:val="TableBodyText"/>
            </w:pPr>
            <w:r>
              <w:t>EditPasteAsNestedTable</w:t>
            </w:r>
          </w:p>
        </w:tc>
        <w:tc>
          <w:tcPr>
            <w:tcW w:w="0" w:type="auto"/>
            <w:vAlign w:val="center"/>
          </w:tcPr>
          <w:p w:rsidR="000A156F" w:rsidRDefault="00A9721F">
            <w:pPr>
              <w:pStyle w:val="TableBodyText"/>
            </w:pPr>
            <w:r>
              <w:t>0388</w:t>
            </w:r>
          </w:p>
        </w:tc>
      </w:tr>
      <w:tr w:rsidR="000A156F" w:rsidTr="000A156F">
        <w:tc>
          <w:tcPr>
            <w:tcW w:w="0" w:type="auto"/>
            <w:vAlign w:val="center"/>
          </w:tcPr>
          <w:p w:rsidR="000A156F" w:rsidRDefault="00A9721F">
            <w:pPr>
              <w:pStyle w:val="TableBodyText"/>
            </w:pPr>
            <w:r>
              <w:t>EditPasteFromExcel</w:t>
            </w:r>
          </w:p>
        </w:tc>
        <w:tc>
          <w:tcPr>
            <w:tcW w:w="0" w:type="auto"/>
            <w:vAlign w:val="center"/>
          </w:tcPr>
          <w:p w:rsidR="000A156F" w:rsidRDefault="00A9721F">
            <w:pPr>
              <w:pStyle w:val="TableBodyText"/>
            </w:pPr>
            <w:r>
              <w:t>0575</w:t>
            </w:r>
          </w:p>
        </w:tc>
      </w:tr>
      <w:tr w:rsidR="000A156F" w:rsidTr="000A156F">
        <w:tc>
          <w:tcPr>
            <w:tcW w:w="0" w:type="auto"/>
            <w:vAlign w:val="center"/>
          </w:tcPr>
          <w:p w:rsidR="000A156F" w:rsidRDefault="00A9721F">
            <w:pPr>
              <w:pStyle w:val="TableBodyText"/>
            </w:pPr>
            <w:r>
              <w:t>EditPasteOption</w:t>
            </w:r>
          </w:p>
        </w:tc>
        <w:tc>
          <w:tcPr>
            <w:tcW w:w="0" w:type="auto"/>
            <w:vAlign w:val="center"/>
          </w:tcPr>
          <w:p w:rsidR="000A156F" w:rsidRDefault="00A9721F">
            <w:pPr>
              <w:pStyle w:val="TableBodyText"/>
            </w:pPr>
            <w:r>
              <w:t>04DF</w:t>
            </w:r>
          </w:p>
        </w:tc>
      </w:tr>
      <w:tr w:rsidR="000A156F" w:rsidTr="000A156F">
        <w:tc>
          <w:tcPr>
            <w:tcW w:w="0" w:type="auto"/>
            <w:vAlign w:val="center"/>
          </w:tcPr>
          <w:p w:rsidR="000A156F" w:rsidRDefault="00A9721F">
            <w:pPr>
              <w:pStyle w:val="TableBodyText"/>
            </w:pPr>
            <w:r>
              <w:t>EditPasteSpecial</w:t>
            </w:r>
          </w:p>
        </w:tc>
        <w:tc>
          <w:tcPr>
            <w:tcW w:w="0" w:type="auto"/>
            <w:vAlign w:val="center"/>
          </w:tcPr>
          <w:p w:rsidR="000A156F" w:rsidRDefault="00A9721F">
            <w:pPr>
              <w:pStyle w:val="TableBodyText"/>
            </w:pPr>
            <w:r>
              <w:t>006F</w:t>
            </w:r>
          </w:p>
        </w:tc>
      </w:tr>
      <w:tr w:rsidR="000A156F" w:rsidTr="000A156F">
        <w:tc>
          <w:tcPr>
            <w:tcW w:w="0" w:type="auto"/>
            <w:vAlign w:val="center"/>
          </w:tcPr>
          <w:p w:rsidR="000A156F" w:rsidRDefault="00A9721F">
            <w:pPr>
              <w:pStyle w:val="TableBodyText"/>
            </w:pPr>
            <w:r>
              <w:t>EditPicture</w:t>
            </w:r>
          </w:p>
        </w:tc>
        <w:tc>
          <w:tcPr>
            <w:tcW w:w="0" w:type="auto"/>
            <w:vAlign w:val="center"/>
          </w:tcPr>
          <w:p w:rsidR="000A156F" w:rsidRDefault="00A9721F">
            <w:pPr>
              <w:pStyle w:val="TableBodyText"/>
            </w:pPr>
            <w:r>
              <w:t>0128</w:t>
            </w:r>
          </w:p>
        </w:tc>
      </w:tr>
      <w:tr w:rsidR="000A156F" w:rsidTr="000A156F">
        <w:tc>
          <w:tcPr>
            <w:tcW w:w="0" w:type="auto"/>
            <w:vAlign w:val="center"/>
          </w:tcPr>
          <w:p w:rsidR="000A156F" w:rsidRDefault="00A9721F">
            <w:pPr>
              <w:pStyle w:val="TableBodyText"/>
            </w:pPr>
            <w:r>
              <w:t>EditPictureEdit</w:t>
            </w:r>
          </w:p>
        </w:tc>
        <w:tc>
          <w:tcPr>
            <w:tcW w:w="0" w:type="auto"/>
            <w:vAlign w:val="center"/>
          </w:tcPr>
          <w:p w:rsidR="000A156F" w:rsidRDefault="00A9721F">
            <w:pPr>
              <w:pStyle w:val="TableBodyText"/>
            </w:pPr>
            <w:r>
              <w:t>0500</w:t>
            </w:r>
          </w:p>
        </w:tc>
      </w:tr>
      <w:tr w:rsidR="000A156F" w:rsidTr="000A156F">
        <w:tc>
          <w:tcPr>
            <w:tcW w:w="0" w:type="auto"/>
            <w:vAlign w:val="center"/>
          </w:tcPr>
          <w:p w:rsidR="000A156F" w:rsidRDefault="00A9721F">
            <w:pPr>
              <w:pStyle w:val="TableBodyText"/>
            </w:pPr>
            <w:r>
              <w:lastRenderedPageBreak/>
              <w:t>EditPubOrSubOptions</w:t>
            </w:r>
          </w:p>
        </w:tc>
        <w:tc>
          <w:tcPr>
            <w:tcW w:w="0" w:type="auto"/>
            <w:vAlign w:val="center"/>
          </w:tcPr>
          <w:p w:rsidR="000A156F" w:rsidRDefault="00A9721F">
            <w:pPr>
              <w:pStyle w:val="TableBodyText"/>
            </w:pPr>
            <w:r>
              <w:t>02DE</w:t>
            </w:r>
          </w:p>
        </w:tc>
      </w:tr>
      <w:tr w:rsidR="000A156F" w:rsidTr="000A156F">
        <w:tc>
          <w:tcPr>
            <w:tcW w:w="0" w:type="auto"/>
            <w:vAlign w:val="center"/>
          </w:tcPr>
          <w:p w:rsidR="000A156F" w:rsidRDefault="00A9721F">
            <w:pPr>
              <w:pStyle w:val="TableBodyText"/>
            </w:pPr>
            <w:r>
              <w:t>EditPublishOptions</w:t>
            </w:r>
          </w:p>
        </w:tc>
        <w:tc>
          <w:tcPr>
            <w:tcW w:w="0" w:type="auto"/>
            <w:vAlign w:val="center"/>
          </w:tcPr>
          <w:p w:rsidR="000A156F" w:rsidRDefault="00A9721F">
            <w:pPr>
              <w:pStyle w:val="TableBodyText"/>
            </w:pPr>
            <w:r>
              <w:t>02DF</w:t>
            </w:r>
          </w:p>
        </w:tc>
      </w:tr>
      <w:tr w:rsidR="000A156F" w:rsidTr="000A156F">
        <w:tc>
          <w:tcPr>
            <w:tcW w:w="0" w:type="auto"/>
            <w:vAlign w:val="center"/>
          </w:tcPr>
          <w:p w:rsidR="000A156F" w:rsidRDefault="00A9721F">
            <w:pPr>
              <w:pStyle w:val="TableBodyText"/>
            </w:pPr>
            <w:r>
              <w:t>EditRedo</w:t>
            </w:r>
          </w:p>
        </w:tc>
        <w:tc>
          <w:tcPr>
            <w:tcW w:w="0" w:type="auto"/>
            <w:vAlign w:val="center"/>
          </w:tcPr>
          <w:p w:rsidR="000A156F" w:rsidRDefault="00A9721F">
            <w:pPr>
              <w:pStyle w:val="TableBodyText"/>
            </w:pPr>
            <w:r>
              <w:t>0149</w:t>
            </w:r>
          </w:p>
        </w:tc>
      </w:tr>
      <w:tr w:rsidR="000A156F" w:rsidTr="000A156F">
        <w:tc>
          <w:tcPr>
            <w:tcW w:w="0" w:type="auto"/>
            <w:vAlign w:val="center"/>
          </w:tcPr>
          <w:p w:rsidR="000A156F" w:rsidRDefault="00A9721F">
            <w:pPr>
              <w:pStyle w:val="TableBodyText"/>
            </w:pPr>
            <w:r>
              <w:t>EditRedoOrRepeat</w:t>
            </w:r>
          </w:p>
        </w:tc>
        <w:tc>
          <w:tcPr>
            <w:tcW w:w="0" w:type="auto"/>
            <w:vAlign w:val="center"/>
          </w:tcPr>
          <w:p w:rsidR="000A156F" w:rsidRDefault="00A9721F">
            <w:pPr>
              <w:pStyle w:val="TableBodyText"/>
            </w:pPr>
            <w:r>
              <w:t>014A</w:t>
            </w:r>
          </w:p>
        </w:tc>
      </w:tr>
      <w:tr w:rsidR="000A156F" w:rsidTr="000A156F">
        <w:tc>
          <w:tcPr>
            <w:tcW w:w="0" w:type="auto"/>
            <w:vAlign w:val="center"/>
          </w:tcPr>
          <w:p w:rsidR="000A156F" w:rsidRDefault="00A9721F">
            <w:pPr>
              <w:pStyle w:val="TableBodyText"/>
            </w:pPr>
            <w:r>
              <w:t>EditRepeat</w:t>
            </w:r>
          </w:p>
        </w:tc>
        <w:tc>
          <w:tcPr>
            <w:tcW w:w="0" w:type="auto"/>
            <w:vAlign w:val="center"/>
          </w:tcPr>
          <w:p w:rsidR="000A156F" w:rsidRDefault="00A9721F">
            <w:pPr>
              <w:pStyle w:val="TableBodyText"/>
            </w:pPr>
            <w:r>
              <w:t>0044</w:t>
            </w:r>
          </w:p>
        </w:tc>
      </w:tr>
      <w:tr w:rsidR="000A156F" w:rsidTr="000A156F">
        <w:tc>
          <w:tcPr>
            <w:tcW w:w="0" w:type="auto"/>
            <w:vAlign w:val="center"/>
          </w:tcPr>
          <w:p w:rsidR="000A156F" w:rsidRDefault="00A9721F">
            <w:pPr>
              <w:pStyle w:val="TableBodyText"/>
            </w:pPr>
            <w:r>
              <w:t>EditReplace</w:t>
            </w:r>
          </w:p>
        </w:tc>
        <w:tc>
          <w:tcPr>
            <w:tcW w:w="0" w:type="auto"/>
            <w:vAlign w:val="center"/>
          </w:tcPr>
          <w:p w:rsidR="000A156F" w:rsidRDefault="00A9721F">
            <w:pPr>
              <w:pStyle w:val="TableBodyText"/>
            </w:pPr>
            <w:r>
              <w:t>0075</w:t>
            </w:r>
          </w:p>
        </w:tc>
      </w:tr>
      <w:tr w:rsidR="000A156F" w:rsidTr="000A156F">
        <w:tc>
          <w:tcPr>
            <w:tcW w:w="0" w:type="auto"/>
            <w:vAlign w:val="center"/>
          </w:tcPr>
          <w:p w:rsidR="000A156F" w:rsidRDefault="00A9721F">
            <w:pPr>
              <w:pStyle w:val="TableBodyText"/>
            </w:pPr>
            <w:r>
              <w:t>EditReplaceBorder</w:t>
            </w:r>
          </w:p>
        </w:tc>
        <w:tc>
          <w:tcPr>
            <w:tcW w:w="0" w:type="auto"/>
            <w:vAlign w:val="center"/>
          </w:tcPr>
          <w:p w:rsidR="000A156F" w:rsidRDefault="00A9721F">
            <w:pPr>
              <w:pStyle w:val="TableBodyText"/>
            </w:pPr>
            <w:r>
              <w:t>01C9</w:t>
            </w:r>
          </w:p>
        </w:tc>
      </w:tr>
      <w:tr w:rsidR="000A156F" w:rsidTr="000A156F">
        <w:tc>
          <w:tcPr>
            <w:tcW w:w="0" w:type="auto"/>
            <w:vAlign w:val="center"/>
          </w:tcPr>
          <w:p w:rsidR="000A156F" w:rsidRDefault="00A9721F">
            <w:pPr>
              <w:pStyle w:val="TableBodyText"/>
            </w:pPr>
            <w:r>
              <w:t>EditReplaceClearFormatting</w:t>
            </w:r>
          </w:p>
        </w:tc>
        <w:tc>
          <w:tcPr>
            <w:tcW w:w="0" w:type="auto"/>
            <w:vAlign w:val="center"/>
          </w:tcPr>
          <w:p w:rsidR="000A156F" w:rsidRDefault="00A9721F">
            <w:pPr>
              <w:pStyle w:val="TableBodyText"/>
            </w:pPr>
            <w:r>
              <w:t>0079</w:t>
            </w:r>
          </w:p>
        </w:tc>
      </w:tr>
      <w:tr w:rsidR="000A156F" w:rsidTr="000A156F">
        <w:tc>
          <w:tcPr>
            <w:tcW w:w="0" w:type="auto"/>
            <w:vAlign w:val="center"/>
          </w:tcPr>
          <w:p w:rsidR="000A156F" w:rsidRDefault="00A9721F">
            <w:pPr>
              <w:pStyle w:val="TableBodyText"/>
            </w:pPr>
            <w:r>
              <w:t>EditReplaceFont</w:t>
            </w:r>
          </w:p>
        </w:tc>
        <w:tc>
          <w:tcPr>
            <w:tcW w:w="0" w:type="auto"/>
            <w:vAlign w:val="center"/>
          </w:tcPr>
          <w:p w:rsidR="000A156F" w:rsidRDefault="00A9721F">
            <w:pPr>
              <w:pStyle w:val="TableBodyText"/>
            </w:pPr>
            <w:r>
              <w:t>0076</w:t>
            </w:r>
          </w:p>
        </w:tc>
      </w:tr>
      <w:tr w:rsidR="000A156F" w:rsidTr="000A156F">
        <w:tc>
          <w:tcPr>
            <w:tcW w:w="0" w:type="auto"/>
            <w:vAlign w:val="center"/>
          </w:tcPr>
          <w:p w:rsidR="000A156F" w:rsidRDefault="00A9721F">
            <w:pPr>
              <w:pStyle w:val="TableBodyText"/>
            </w:pPr>
            <w:r>
              <w:t>EditReplaceFrame</w:t>
            </w:r>
          </w:p>
        </w:tc>
        <w:tc>
          <w:tcPr>
            <w:tcW w:w="0" w:type="auto"/>
            <w:vAlign w:val="center"/>
          </w:tcPr>
          <w:p w:rsidR="000A156F" w:rsidRDefault="00A9721F">
            <w:pPr>
              <w:pStyle w:val="TableBodyText"/>
            </w:pPr>
            <w:r>
              <w:t>01CA</w:t>
            </w:r>
          </w:p>
        </w:tc>
      </w:tr>
      <w:tr w:rsidR="000A156F" w:rsidTr="000A156F">
        <w:tc>
          <w:tcPr>
            <w:tcW w:w="0" w:type="auto"/>
            <w:vAlign w:val="center"/>
          </w:tcPr>
          <w:p w:rsidR="000A156F" w:rsidRDefault="00A9721F">
            <w:pPr>
              <w:pStyle w:val="TableBodyText"/>
            </w:pPr>
            <w:r>
              <w:t>EditReplaceHighlight</w:t>
            </w:r>
          </w:p>
        </w:tc>
        <w:tc>
          <w:tcPr>
            <w:tcW w:w="0" w:type="auto"/>
            <w:vAlign w:val="center"/>
          </w:tcPr>
          <w:p w:rsidR="000A156F" w:rsidRDefault="00A9721F">
            <w:pPr>
              <w:pStyle w:val="TableBodyText"/>
            </w:pPr>
            <w:r>
              <w:t>030D</w:t>
            </w:r>
          </w:p>
        </w:tc>
      </w:tr>
      <w:tr w:rsidR="000A156F" w:rsidTr="000A156F">
        <w:tc>
          <w:tcPr>
            <w:tcW w:w="0" w:type="auto"/>
            <w:vAlign w:val="center"/>
          </w:tcPr>
          <w:p w:rsidR="000A156F" w:rsidRDefault="00A9721F">
            <w:pPr>
              <w:pStyle w:val="TableBodyText"/>
            </w:pPr>
            <w:r>
              <w:t>EditReplaceLang</w:t>
            </w:r>
          </w:p>
        </w:tc>
        <w:tc>
          <w:tcPr>
            <w:tcW w:w="0" w:type="auto"/>
            <w:vAlign w:val="center"/>
          </w:tcPr>
          <w:p w:rsidR="000A156F" w:rsidRDefault="00A9721F">
            <w:pPr>
              <w:pStyle w:val="TableBodyText"/>
            </w:pPr>
            <w:r>
              <w:t>01AD</w:t>
            </w:r>
          </w:p>
        </w:tc>
      </w:tr>
      <w:tr w:rsidR="000A156F" w:rsidTr="000A156F">
        <w:tc>
          <w:tcPr>
            <w:tcW w:w="0" w:type="auto"/>
            <w:vAlign w:val="center"/>
          </w:tcPr>
          <w:p w:rsidR="000A156F" w:rsidRDefault="00A9721F">
            <w:pPr>
              <w:pStyle w:val="TableBodyText"/>
            </w:pPr>
            <w:r>
              <w:t>EditReplaceNotHighlight</w:t>
            </w:r>
          </w:p>
        </w:tc>
        <w:tc>
          <w:tcPr>
            <w:tcW w:w="0" w:type="auto"/>
            <w:vAlign w:val="center"/>
          </w:tcPr>
          <w:p w:rsidR="000A156F" w:rsidRDefault="00A9721F">
            <w:pPr>
              <w:pStyle w:val="TableBodyText"/>
            </w:pPr>
            <w:r>
              <w:t>030F</w:t>
            </w:r>
          </w:p>
        </w:tc>
      </w:tr>
      <w:tr w:rsidR="000A156F" w:rsidTr="000A156F">
        <w:tc>
          <w:tcPr>
            <w:tcW w:w="0" w:type="auto"/>
            <w:vAlign w:val="center"/>
          </w:tcPr>
          <w:p w:rsidR="000A156F" w:rsidRDefault="00A9721F">
            <w:pPr>
              <w:pStyle w:val="TableBodyText"/>
            </w:pPr>
            <w:r>
              <w:t>EditReplacePara</w:t>
            </w:r>
          </w:p>
        </w:tc>
        <w:tc>
          <w:tcPr>
            <w:tcW w:w="0" w:type="auto"/>
            <w:vAlign w:val="center"/>
          </w:tcPr>
          <w:p w:rsidR="000A156F" w:rsidRDefault="00A9721F">
            <w:pPr>
              <w:pStyle w:val="TableBodyText"/>
            </w:pPr>
            <w:r>
              <w:t>0077</w:t>
            </w:r>
          </w:p>
        </w:tc>
      </w:tr>
      <w:tr w:rsidR="000A156F" w:rsidTr="000A156F">
        <w:tc>
          <w:tcPr>
            <w:tcW w:w="0" w:type="auto"/>
            <w:vAlign w:val="center"/>
          </w:tcPr>
          <w:p w:rsidR="000A156F" w:rsidRDefault="00A9721F">
            <w:pPr>
              <w:pStyle w:val="TableBodyText"/>
            </w:pPr>
            <w:r>
              <w:t>EditReplaceStyle</w:t>
            </w:r>
          </w:p>
        </w:tc>
        <w:tc>
          <w:tcPr>
            <w:tcW w:w="0" w:type="auto"/>
            <w:vAlign w:val="center"/>
          </w:tcPr>
          <w:p w:rsidR="000A156F" w:rsidRDefault="00A9721F">
            <w:pPr>
              <w:pStyle w:val="TableBodyText"/>
            </w:pPr>
            <w:r>
              <w:t>0078</w:t>
            </w:r>
          </w:p>
        </w:tc>
      </w:tr>
      <w:tr w:rsidR="000A156F" w:rsidTr="000A156F">
        <w:tc>
          <w:tcPr>
            <w:tcW w:w="0" w:type="auto"/>
            <w:vAlign w:val="center"/>
          </w:tcPr>
          <w:p w:rsidR="000A156F" w:rsidRDefault="00A9721F">
            <w:pPr>
              <w:pStyle w:val="TableBodyText"/>
            </w:pPr>
            <w:r>
              <w:t>EditReplaceTabs</w:t>
            </w:r>
          </w:p>
        </w:tc>
        <w:tc>
          <w:tcPr>
            <w:tcW w:w="0" w:type="auto"/>
            <w:vAlign w:val="center"/>
          </w:tcPr>
          <w:p w:rsidR="000A156F" w:rsidRDefault="00A9721F">
            <w:pPr>
              <w:pStyle w:val="TableBodyText"/>
            </w:pPr>
            <w:r>
              <w:t>01C8</w:t>
            </w:r>
          </w:p>
        </w:tc>
      </w:tr>
      <w:tr w:rsidR="000A156F" w:rsidTr="000A156F">
        <w:tc>
          <w:tcPr>
            <w:tcW w:w="0" w:type="auto"/>
            <w:vAlign w:val="center"/>
          </w:tcPr>
          <w:p w:rsidR="000A156F" w:rsidRDefault="00A9721F">
            <w:pPr>
              <w:pStyle w:val="TableBodyText"/>
            </w:pPr>
            <w:r>
              <w:t>EditSelectAll</w:t>
            </w:r>
          </w:p>
        </w:tc>
        <w:tc>
          <w:tcPr>
            <w:tcW w:w="0" w:type="auto"/>
            <w:vAlign w:val="center"/>
          </w:tcPr>
          <w:p w:rsidR="000A156F" w:rsidRDefault="00A9721F">
            <w:pPr>
              <w:pStyle w:val="TableBodyText"/>
            </w:pPr>
            <w:r>
              <w:t>00ED</w:t>
            </w:r>
          </w:p>
        </w:tc>
      </w:tr>
      <w:tr w:rsidR="000A156F" w:rsidTr="000A156F">
        <w:tc>
          <w:tcPr>
            <w:tcW w:w="0" w:type="auto"/>
            <w:vAlign w:val="center"/>
          </w:tcPr>
          <w:p w:rsidR="000A156F" w:rsidRDefault="00A9721F">
            <w:pPr>
              <w:pStyle w:val="TableBodyText"/>
            </w:pPr>
            <w:r>
              <w:t>EditSource</w:t>
            </w:r>
          </w:p>
        </w:tc>
        <w:tc>
          <w:tcPr>
            <w:tcW w:w="0" w:type="auto"/>
            <w:vAlign w:val="center"/>
          </w:tcPr>
          <w:p w:rsidR="000A156F" w:rsidRDefault="00A9721F">
            <w:pPr>
              <w:pStyle w:val="TableBodyText"/>
            </w:pPr>
            <w:r>
              <w:t>093A</w:t>
            </w:r>
          </w:p>
        </w:tc>
      </w:tr>
      <w:tr w:rsidR="000A156F" w:rsidTr="000A156F">
        <w:tc>
          <w:tcPr>
            <w:tcW w:w="0" w:type="auto"/>
            <w:vAlign w:val="center"/>
          </w:tcPr>
          <w:p w:rsidR="000A156F" w:rsidRDefault="00A9721F">
            <w:pPr>
              <w:pStyle w:val="TableBodyText"/>
            </w:pPr>
            <w:r>
              <w:t>EditSubscribeOptions</w:t>
            </w:r>
          </w:p>
        </w:tc>
        <w:tc>
          <w:tcPr>
            <w:tcW w:w="0" w:type="auto"/>
            <w:vAlign w:val="center"/>
          </w:tcPr>
          <w:p w:rsidR="000A156F" w:rsidRDefault="00A9721F">
            <w:pPr>
              <w:pStyle w:val="TableBodyText"/>
            </w:pPr>
            <w:r>
              <w:t>02E0</w:t>
            </w:r>
          </w:p>
        </w:tc>
      </w:tr>
      <w:tr w:rsidR="000A156F" w:rsidTr="000A156F">
        <w:tc>
          <w:tcPr>
            <w:tcW w:w="0" w:type="auto"/>
            <w:vAlign w:val="center"/>
          </w:tcPr>
          <w:p w:rsidR="000A156F" w:rsidRDefault="00A9721F">
            <w:pPr>
              <w:pStyle w:val="TableBodyText"/>
            </w:pPr>
            <w:r>
              <w:t>EditSubscribeTo</w:t>
            </w:r>
          </w:p>
        </w:tc>
        <w:tc>
          <w:tcPr>
            <w:tcW w:w="0" w:type="auto"/>
            <w:vAlign w:val="center"/>
          </w:tcPr>
          <w:p w:rsidR="000A156F" w:rsidRDefault="00A9721F">
            <w:pPr>
              <w:pStyle w:val="TableBodyText"/>
            </w:pPr>
            <w:r>
              <w:t>02DD</w:t>
            </w:r>
          </w:p>
        </w:tc>
      </w:tr>
      <w:tr w:rsidR="000A156F" w:rsidTr="000A156F">
        <w:tc>
          <w:tcPr>
            <w:tcW w:w="0" w:type="auto"/>
            <w:vAlign w:val="center"/>
          </w:tcPr>
          <w:p w:rsidR="000A156F" w:rsidRDefault="00A9721F">
            <w:pPr>
              <w:pStyle w:val="TableBodyText"/>
            </w:pPr>
            <w:r>
              <w:t>EditSwapAllNotes</w:t>
            </w:r>
          </w:p>
        </w:tc>
        <w:tc>
          <w:tcPr>
            <w:tcW w:w="0" w:type="auto"/>
            <w:vAlign w:val="center"/>
          </w:tcPr>
          <w:p w:rsidR="000A156F" w:rsidRDefault="00A9721F">
            <w:pPr>
              <w:pStyle w:val="TableBodyText"/>
            </w:pPr>
            <w:r>
              <w:t>01B9</w:t>
            </w:r>
          </w:p>
        </w:tc>
      </w:tr>
      <w:tr w:rsidR="000A156F" w:rsidTr="000A156F">
        <w:tc>
          <w:tcPr>
            <w:tcW w:w="0" w:type="auto"/>
            <w:vAlign w:val="center"/>
          </w:tcPr>
          <w:p w:rsidR="000A156F" w:rsidRDefault="00A9721F">
            <w:pPr>
              <w:pStyle w:val="TableBodyText"/>
            </w:pPr>
            <w:r>
              <w:t>EditTOACategory</w:t>
            </w:r>
          </w:p>
        </w:tc>
        <w:tc>
          <w:tcPr>
            <w:tcW w:w="0" w:type="auto"/>
            <w:vAlign w:val="center"/>
          </w:tcPr>
          <w:p w:rsidR="000A156F" w:rsidRDefault="00A9721F">
            <w:pPr>
              <w:pStyle w:val="TableBodyText"/>
            </w:pPr>
            <w:r>
              <w:t>0271</w:t>
            </w:r>
          </w:p>
        </w:tc>
      </w:tr>
      <w:tr w:rsidR="000A156F" w:rsidTr="000A156F">
        <w:tc>
          <w:tcPr>
            <w:tcW w:w="0" w:type="auto"/>
            <w:vAlign w:val="center"/>
          </w:tcPr>
          <w:p w:rsidR="000A156F" w:rsidRDefault="00A9721F">
            <w:pPr>
              <w:pStyle w:val="TableBodyText"/>
            </w:pPr>
            <w:r>
              <w:t>EditUndo</w:t>
            </w:r>
          </w:p>
        </w:tc>
        <w:tc>
          <w:tcPr>
            <w:tcW w:w="0" w:type="auto"/>
            <w:vAlign w:val="center"/>
          </w:tcPr>
          <w:p w:rsidR="000A156F" w:rsidRDefault="00A9721F">
            <w:pPr>
              <w:pStyle w:val="TableBodyText"/>
            </w:pPr>
            <w:r>
              <w:t>006B</w:t>
            </w:r>
          </w:p>
        </w:tc>
      </w:tr>
      <w:tr w:rsidR="000A156F" w:rsidTr="000A156F">
        <w:tc>
          <w:tcPr>
            <w:tcW w:w="0" w:type="auto"/>
            <w:vAlign w:val="center"/>
          </w:tcPr>
          <w:p w:rsidR="000A156F" w:rsidRDefault="00A9721F">
            <w:pPr>
              <w:pStyle w:val="TableBodyText"/>
            </w:pPr>
            <w:r>
              <w:t>EditUpdateIMEDic</w:t>
            </w:r>
          </w:p>
        </w:tc>
        <w:tc>
          <w:tcPr>
            <w:tcW w:w="0" w:type="auto"/>
            <w:vAlign w:val="center"/>
          </w:tcPr>
          <w:p w:rsidR="000A156F" w:rsidRDefault="00A9721F">
            <w:pPr>
              <w:pStyle w:val="TableBodyText"/>
            </w:pPr>
            <w:r>
              <w:t>027E</w:t>
            </w:r>
          </w:p>
        </w:tc>
      </w:tr>
      <w:tr w:rsidR="000A156F" w:rsidTr="000A156F">
        <w:tc>
          <w:tcPr>
            <w:tcW w:w="0" w:type="auto"/>
            <w:vAlign w:val="center"/>
          </w:tcPr>
          <w:p w:rsidR="000A156F" w:rsidRDefault="00A9721F">
            <w:pPr>
              <w:pStyle w:val="TableBodyText"/>
            </w:pPr>
            <w:r>
              <w:t>EditWrapBoundary</w:t>
            </w:r>
          </w:p>
        </w:tc>
        <w:tc>
          <w:tcPr>
            <w:tcW w:w="0" w:type="auto"/>
            <w:vAlign w:val="center"/>
          </w:tcPr>
          <w:p w:rsidR="000A156F" w:rsidRDefault="00A9721F">
            <w:pPr>
              <w:pStyle w:val="TableBodyText"/>
            </w:pPr>
            <w:r>
              <w:t>03E3</w:t>
            </w:r>
          </w:p>
        </w:tc>
      </w:tr>
      <w:tr w:rsidR="000A156F" w:rsidTr="000A156F">
        <w:tc>
          <w:tcPr>
            <w:tcW w:w="0" w:type="auto"/>
            <w:vAlign w:val="center"/>
          </w:tcPr>
          <w:p w:rsidR="000A156F" w:rsidRDefault="00A9721F">
            <w:pPr>
              <w:pStyle w:val="TableBodyText"/>
            </w:pPr>
            <w:r>
              <w:t>EmailAttachmentOptions</w:t>
            </w:r>
          </w:p>
        </w:tc>
        <w:tc>
          <w:tcPr>
            <w:tcW w:w="0" w:type="auto"/>
            <w:vAlign w:val="center"/>
          </w:tcPr>
          <w:p w:rsidR="000A156F" w:rsidRDefault="00A9721F">
            <w:pPr>
              <w:pStyle w:val="TableBodyText"/>
            </w:pPr>
            <w:r>
              <w:t>05C5</w:t>
            </w:r>
          </w:p>
        </w:tc>
      </w:tr>
      <w:tr w:rsidR="000A156F" w:rsidTr="000A156F">
        <w:tc>
          <w:tcPr>
            <w:tcW w:w="0" w:type="auto"/>
            <w:vAlign w:val="center"/>
          </w:tcPr>
          <w:p w:rsidR="000A156F" w:rsidRDefault="00A9721F">
            <w:pPr>
              <w:pStyle w:val="TableBodyText"/>
            </w:pPr>
            <w:r>
              <w:t>EmailCheckNames</w:t>
            </w:r>
          </w:p>
        </w:tc>
        <w:tc>
          <w:tcPr>
            <w:tcW w:w="0" w:type="auto"/>
            <w:vAlign w:val="center"/>
          </w:tcPr>
          <w:p w:rsidR="000A156F" w:rsidRDefault="00A9721F">
            <w:pPr>
              <w:pStyle w:val="TableBodyText"/>
            </w:pPr>
            <w:r>
              <w:t>043C</w:t>
            </w:r>
          </w:p>
        </w:tc>
      </w:tr>
      <w:tr w:rsidR="000A156F" w:rsidTr="000A156F">
        <w:tc>
          <w:tcPr>
            <w:tcW w:w="0" w:type="auto"/>
            <w:vAlign w:val="center"/>
          </w:tcPr>
          <w:p w:rsidR="000A156F" w:rsidRDefault="00A9721F">
            <w:pPr>
              <w:pStyle w:val="TableBodyText"/>
            </w:pPr>
            <w:r>
              <w:t>EmailChooseAccount</w:t>
            </w:r>
          </w:p>
        </w:tc>
        <w:tc>
          <w:tcPr>
            <w:tcW w:w="0" w:type="auto"/>
            <w:vAlign w:val="center"/>
          </w:tcPr>
          <w:p w:rsidR="000A156F" w:rsidRDefault="00A9721F">
            <w:pPr>
              <w:pStyle w:val="TableBodyText"/>
            </w:pPr>
            <w:r>
              <w:t>05C4</w:t>
            </w:r>
          </w:p>
        </w:tc>
      </w:tr>
      <w:tr w:rsidR="000A156F" w:rsidTr="000A156F">
        <w:tc>
          <w:tcPr>
            <w:tcW w:w="0" w:type="auto"/>
            <w:vAlign w:val="center"/>
          </w:tcPr>
          <w:p w:rsidR="000A156F" w:rsidRDefault="00A9721F">
            <w:pPr>
              <w:pStyle w:val="TableBodyText"/>
            </w:pPr>
            <w:r>
              <w:t>EmailEnvelope</w:t>
            </w:r>
          </w:p>
        </w:tc>
        <w:tc>
          <w:tcPr>
            <w:tcW w:w="0" w:type="auto"/>
            <w:vAlign w:val="center"/>
          </w:tcPr>
          <w:p w:rsidR="000A156F" w:rsidRDefault="00A9721F">
            <w:pPr>
              <w:pStyle w:val="TableBodyText"/>
            </w:pPr>
            <w:r>
              <w:t>036B</w:t>
            </w:r>
          </w:p>
        </w:tc>
      </w:tr>
      <w:tr w:rsidR="000A156F" w:rsidTr="000A156F">
        <w:tc>
          <w:tcPr>
            <w:tcW w:w="0" w:type="auto"/>
            <w:vAlign w:val="center"/>
          </w:tcPr>
          <w:p w:rsidR="000A156F" w:rsidRDefault="00A9721F">
            <w:pPr>
              <w:pStyle w:val="TableBodyText"/>
            </w:pPr>
            <w:r>
              <w:t>EmailFlag</w:t>
            </w:r>
          </w:p>
        </w:tc>
        <w:tc>
          <w:tcPr>
            <w:tcW w:w="0" w:type="auto"/>
            <w:vAlign w:val="center"/>
          </w:tcPr>
          <w:p w:rsidR="000A156F" w:rsidRDefault="00A9721F">
            <w:pPr>
              <w:pStyle w:val="TableBodyText"/>
            </w:pPr>
            <w:r>
              <w:t>0442</w:t>
            </w:r>
          </w:p>
        </w:tc>
      </w:tr>
      <w:tr w:rsidR="000A156F" w:rsidTr="000A156F">
        <w:tc>
          <w:tcPr>
            <w:tcW w:w="0" w:type="auto"/>
            <w:vAlign w:val="center"/>
          </w:tcPr>
          <w:p w:rsidR="000A156F" w:rsidRDefault="00A9721F">
            <w:pPr>
              <w:pStyle w:val="TableBodyText"/>
            </w:pPr>
            <w:r>
              <w:t>EmailFocusIntroduction</w:t>
            </w:r>
          </w:p>
        </w:tc>
        <w:tc>
          <w:tcPr>
            <w:tcW w:w="0" w:type="auto"/>
            <w:vAlign w:val="center"/>
          </w:tcPr>
          <w:p w:rsidR="000A156F" w:rsidRDefault="00A9721F">
            <w:pPr>
              <w:pStyle w:val="TableBodyText"/>
            </w:pPr>
            <w:r>
              <w:t>0574</w:t>
            </w:r>
          </w:p>
        </w:tc>
      </w:tr>
      <w:tr w:rsidR="000A156F" w:rsidTr="000A156F">
        <w:tc>
          <w:tcPr>
            <w:tcW w:w="0" w:type="auto"/>
            <w:vAlign w:val="center"/>
          </w:tcPr>
          <w:p w:rsidR="000A156F" w:rsidRDefault="00A9721F">
            <w:pPr>
              <w:pStyle w:val="TableBodyText"/>
            </w:pPr>
            <w:r>
              <w:t>EmailFocusSubject</w:t>
            </w:r>
          </w:p>
        </w:tc>
        <w:tc>
          <w:tcPr>
            <w:tcW w:w="0" w:type="auto"/>
            <w:vAlign w:val="center"/>
          </w:tcPr>
          <w:p w:rsidR="000A156F" w:rsidRDefault="00A9721F">
            <w:pPr>
              <w:pStyle w:val="TableBodyText"/>
            </w:pPr>
            <w:r>
              <w:t>0440</w:t>
            </w:r>
          </w:p>
        </w:tc>
      </w:tr>
      <w:tr w:rsidR="000A156F" w:rsidTr="000A156F">
        <w:tc>
          <w:tcPr>
            <w:tcW w:w="0" w:type="auto"/>
            <w:vAlign w:val="center"/>
          </w:tcPr>
          <w:p w:rsidR="000A156F" w:rsidRDefault="00A9721F">
            <w:pPr>
              <w:pStyle w:val="TableBodyText"/>
            </w:pPr>
            <w:r>
              <w:lastRenderedPageBreak/>
              <w:t>EmailMessageOptions</w:t>
            </w:r>
          </w:p>
        </w:tc>
        <w:tc>
          <w:tcPr>
            <w:tcW w:w="0" w:type="auto"/>
            <w:vAlign w:val="center"/>
          </w:tcPr>
          <w:p w:rsidR="000A156F" w:rsidRDefault="00A9721F">
            <w:pPr>
              <w:pStyle w:val="TableBodyText"/>
            </w:pPr>
            <w:r>
              <w:t>0441</w:t>
            </w:r>
          </w:p>
        </w:tc>
      </w:tr>
      <w:tr w:rsidR="000A156F" w:rsidTr="000A156F">
        <w:tc>
          <w:tcPr>
            <w:tcW w:w="0" w:type="auto"/>
            <w:vAlign w:val="center"/>
          </w:tcPr>
          <w:p w:rsidR="000A156F" w:rsidRDefault="00A9721F">
            <w:pPr>
              <w:pStyle w:val="TableBodyText"/>
            </w:pPr>
            <w:r>
              <w:t>EmailOptions</w:t>
            </w:r>
          </w:p>
        </w:tc>
        <w:tc>
          <w:tcPr>
            <w:tcW w:w="0" w:type="auto"/>
            <w:vAlign w:val="center"/>
          </w:tcPr>
          <w:p w:rsidR="000A156F" w:rsidRDefault="00A9721F">
            <w:pPr>
              <w:pStyle w:val="TableBodyText"/>
            </w:pPr>
            <w:r>
              <w:t>035F</w:t>
            </w:r>
          </w:p>
        </w:tc>
      </w:tr>
      <w:tr w:rsidR="000A156F" w:rsidTr="000A156F">
        <w:tc>
          <w:tcPr>
            <w:tcW w:w="0" w:type="auto"/>
            <w:vAlign w:val="center"/>
          </w:tcPr>
          <w:p w:rsidR="000A156F" w:rsidRDefault="00A9721F">
            <w:pPr>
              <w:pStyle w:val="TableBodyText"/>
            </w:pPr>
            <w:r>
              <w:t>EmailSaveAttachment</w:t>
            </w:r>
          </w:p>
        </w:tc>
        <w:tc>
          <w:tcPr>
            <w:tcW w:w="0" w:type="auto"/>
            <w:vAlign w:val="center"/>
          </w:tcPr>
          <w:p w:rsidR="000A156F" w:rsidRDefault="00A9721F">
            <w:pPr>
              <w:pStyle w:val="TableBodyText"/>
            </w:pPr>
            <w:r>
              <w:t>0443</w:t>
            </w:r>
          </w:p>
        </w:tc>
      </w:tr>
      <w:tr w:rsidR="000A156F" w:rsidTr="000A156F">
        <w:tc>
          <w:tcPr>
            <w:tcW w:w="0" w:type="auto"/>
            <w:vAlign w:val="center"/>
          </w:tcPr>
          <w:p w:rsidR="000A156F" w:rsidRDefault="00A9721F">
            <w:pPr>
              <w:pStyle w:val="TableBodyText"/>
            </w:pPr>
            <w:r>
              <w:t>EmailSelectBccNames</w:t>
            </w:r>
          </w:p>
        </w:tc>
        <w:tc>
          <w:tcPr>
            <w:tcW w:w="0" w:type="auto"/>
            <w:vAlign w:val="center"/>
          </w:tcPr>
          <w:p w:rsidR="000A156F" w:rsidRDefault="00A9721F">
            <w:pPr>
              <w:pStyle w:val="TableBodyText"/>
            </w:pPr>
            <w:r>
              <w:t>043F</w:t>
            </w:r>
          </w:p>
        </w:tc>
      </w:tr>
      <w:tr w:rsidR="000A156F" w:rsidTr="000A156F">
        <w:tc>
          <w:tcPr>
            <w:tcW w:w="0" w:type="auto"/>
            <w:vAlign w:val="center"/>
          </w:tcPr>
          <w:p w:rsidR="000A156F" w:rsidRDefault="00A9721F">
            <w:pPr>
              <w:pStyle w:val="TableBodyText"/>
            </w:pPr>
            <w:r>
              <w:t>EmailSelectCcNames</w:t>
            </w:r>
          </w:p>
        </w:tc>
        <w:tc>
          <w:tcPr>
            <w:tcW w:w="0" w:type="auto"/>
            <w:vAlign w:val="center"/>
          </w:tcPr>
          <w:p w:rsidR="000A156F" w:rsidRDefault="00A9721F">
            <w:pPr>
              <w:pStyle w:val="TableBodyText"/>
            </w:pPr>
            <w:r>
              <w:t>043E</w:t>
            </w:r>
          </w:p>
        </w:tc>
      </w:tr>
      <w:tr w:rsidR="000A156F" w:rsidTr="000A156F">
        <w:tc>
          <w:tcPr>
            <w:tcW w:w="0" w:type="auto"/>
            <w:vAlign w:val="center"/>
          </w:tcPr>
          <w:p w:rsidR="000A156F" w:rsidRDefault="00A9721F">
            <w:pPr>
              <w:pStyle w:val="TableBodyText"/>
            </w:pPr>
            <w:r>
              <w:t>EmailSelectNames</w:t>
            </w:r>
          </w:p>
        </w:tc>
        <w:tc>
          <w:tcPr>
            <w:tcW w:w="0" w:type="auto"/>
            <w:vAlign w:val="center"/>
          </w:tcPr>
          <w:p w:rsidR="000A156F" w:rsidRDefault="00A9721F">
            <w:pPr>
              <w:pStyle w:val="TableBodyText"/>
            </w:pPr>
            <w:r>
              <w:t>043B</w:t>
            </w:r>
          </w:p>
        </w:tc>
      </w:tr>
      <w:tr w:rsidR="000A156F" w:rsidTr="000A156F">
        <w:tc>
          <w:tcPr>
            <w:tcW w:w="0" w:type="auto"/>
            <w:vAlign w:val="center"/>
          </w:tcPr>
          <w:p w:rsidR="000A156F" w:rsidRDefault="00A9721F">
            <w:pPr>
              <w:pStyle w:val="TableBodyText"/>
            </w:pPr>
            <w:r>
              <w:t>EmailSelectToNames</w:t>
            </w:r>
          </w:p>
        </w:tc>
        <w:tc>
          <w:tcPr>
            <w:tcW w:w="0" w:type="auto"/>
            <w:vAlign w:val="center"/>
          </w:tcPr>
          <w:p w:rsidR="000A156F" w:rsidRDefault="00A9721F">
            <w:pPr>
              <w:pStyle w:val="TableBodyText"/>
            </w:pPr>
            <w:r>
              <w:t>043D</w:t>
            </w:r>
          </w:p>
        </w:tc>
      </w:tr>
      <w:tr w:rsidR="000A156F" w:rsidTr="000A156F">
        <w:tc>
          <w:tcPr>
            <w:tcW w:w="0" w:type="auto"/>
            <w:vAlign w:val="center"/>
          </w:tcPr>
          <w:p w:rsidR="000A156F" w:rsidRDefault="00A9721F">
            <w:pPr>
              <w:pStyle w:val="TableBodyText"/>
            </w:pPr>
            <w:r>
              <w:t>EmailSend</w:t>
            </w:r>
          </w:p>
        </w:tc>
        <w:tc>
          <w:tcPr>
            <w:tcW w:w="0" w:type="auto"/>
            <w:vAlign w:val="center"/>
          </w:tcPr>
          <w:p w:rsidR="000A156F" w:rsidRDefault="00A9721F">
            <w:pPr>
              <w:pStyle w:val="TableBodyText"/>
            </w:pPr>
            <w:r>
              <w:t>043A</w:t>
            </w:r>
          </w:p>
        </w:tc>
      </w:tr>
      <w:tr w:rsidR="000A156F" w:rsidTr="000A156F">
        <w:tc>
          <w:tcPr>
            <w:tcW w:w="0" w:type="auto"/>
            <w:vAlign w:val="center"/>
          </w:tcPr>
          <w:p w:rsidR="000A156F" w:rsidRDefault="00A9721F">
            <w:pPr>
              <w:pStyle w:val="TableBodyText"/>
            </w:pPr>
            <w:r>
              <w:t>EmailSignatureOptions</w:t>
            </w:r>
          </w:p>
        </w:tc>
        <w:tc>
          <w:tcPr>
            <w:tcW w:w="0" w:type="auto"/>
            <w:vAlign w:val="center"/>
          </w:tcPr>
          <w:p w:rsidR="000A156F" w:rsidRDefault="00A9721F">
            <w:pPr>
              <w:pStyle w:val="TableBodyText"/>
            </w:pPr>
            <w:r>
              <w:t>035E</w:t>
            </w:r>
          </w:p>
        </w:tc>
      </w:tr>
      <w:tr w:rsidR="000A156F" w:rsidTr="000A156F">
        <w:tc>
          <w:tcPr>
            <w:tcW w:w="0" w:type="auto"/>
            <w:vAlign w:val="center"/>
          </w:tcPr>
          <w:p w:rsidR="000A156F" w:rsidRDefault="00A9721F">
            <w:pPr>
              <w:pStyle w:val="TableBodyText"/>
            </w:pPr>
            <w:r>
              <w:t>EmailStationeryOptions</w:t>
            </w:r>
          </w:p>
        </w:tc>
        <w:tc>
          <w:tcPr>
            <w:tcW w:w="0" w:type="auto"/>
            <w:vAlign w:val="center"/>
          </w:tcPr>
          <w:p w:rsidR="000A156F" w:rsidRDefault="00A9721F">
            <w:pPr>
              <w:pStyle w:val="TableBodyText"/>
            </w:pPr>
            <w:r>
              <w:t>0884</w:t>
            </w:r>
          </w:p>
        </w:tc>
      </w:tr>
      <w:tr w:rsidR="000A156F" w:rsidTr="000A156F">
        <w:tc>
          <w:tcPr>
            <w:tcW w:w="0" w:type="auto"/>
            <w:vAlign w:val="center"/>
          </w:tcPr>
          <w:p w:rsidR="000A156F" w:rsidRDefault="00A9721F">
            <w:pPr>
              <w:pStyle w:val="TableBodyText"/>
            </w:pPr>
            <w:r>
              <w:t>EndOfColumn</w:t>
            </w:r>
          </w:p>
        </w:tc>
        <w:tc>
          <w:tcPr>
            <w:tcW w:w="0" w:type="auto"/>
            <w:vAlign w:val="center"/>
          </w:tcPr>
          <w:p w:rsidR="000A156F" w:rsidRDefault="00A9721F">
            <w:pPr>
              <w:pStyle w:val="TableBodyText"/>
            </w:pPr>
            <w:r>
              <w:t>0113</w:t>
            </w:r>
          </w:p>
        </w:tc>
      </w:tr>
      <w:tr w:rsidR="000A156F" w:rsidTr="000A156F">
        <w:tc>
          <w:tcPr>
            <w:tcW w:w="0" w:type="auto"/>
            <w:vAlign w:val="center"/>
          </w:tcPr>
          <w:p w:rsidR="000A156F" w:rsidRDefault="00A9721F">
            <w:pPr>
              <w:pStyle w:val="TableBodyText"/>
            </w:pPr>
            <w:r>
              <w:t>EndOfDocExtend</w:t>
            </w:r>
          </w:p>
        </w:tc>
        <w:tc>
          <w:tcPr>
            <w:tcW w:w="0" w:type="auto"/>
            <w:vAlign w:val="center"/>
          </w:tcPr>
          <w:p w:rsidR="000A156F" w:rsidRDefault="00A9721F">
            <w:pPr>
              <w:pStyle w:val="TableBodyText"/>
            </w:pPr>
            <w:r>
              <w:t>0FC3</w:t>
            </w:r>
          </w:p>
        </w:tc>
      </w:tr>
      <w:tr w:rsidR="000A156F" w:rsidTr="000A156F">
        <w:tc>
          <w:tcPr>
            <w:tcW w:w="0" w:type="auto"/>
            <w:vAlign w:val="center"/>
          </w:tcPr>
          <w:p w:rsidR="000A156F" w:rsidRDefault="00A9721F">
            <w:pPr>
              <w:pStyle w:val="TableBodyText"/>
            </w:pPr>
            <w:r>
              <w:t>EndOfDocument</w:t>
            </w:r>
          </w:p>
        </w:tc>
        <w:tc>
          <w:tcPr>
            <w:tcW w:w="0" w:type="auto"/>
            <w:vAlign w:val="center"/>
          </w:tcPr>
          <w:p w:rsidR="000A156F" w:rsidRDefault="00A9721F">
            <w:pPr>
              <w:pStyle w:val="TableBodyText"/>
            </w:pPr>
            <w:r>
              <w:t>0FB1</w:t>
            </w:r>
          </w:p>
        </w:tc>
      </w:tr>
      <w:tr w:rsidR="000A156F" w:rsidTr="000A156F">
        <w:tc>
          <w:tcPr>
            <w:tcW w:w="0" w:type="auto"/>
            <w:vAlign w:val="center"/>
          </w:tcPr>
          <w:p w:rsidR="000A156F" w:rsidRDefault="00A9721F">
            <w:pPr>
              <w:pStyle w:val="TableBodyText"/>
            </w:pPr>
            <w:r>
              <w:t>EndOfLine</w:t>
            </w:r>
          </w:p>
        </w:tc>
        <w:tc>
          <w:tcPr>
            <w:tcW w:w="0" w:type="auto"/>
            <w:vAlign w:val="center"/>
          </w:tcPr>
          <w:p w:rsidR="000A156F" w:rsidRDefault="00A9721F">
            <w:pPr>
              <w:pStyle w:val="TableBodyText"/>
            </w:pPr>
            <w:r>
              <w:t>0FAD</w:t>
            </w:r>
          </w:p>
        </w:tc>
      </w:tr>
      <w:tr w:rsidR="000A156F" w:rsidTr="000A156F">
        <w:tc>
          <w:tcPr>
            <w:tcW w:w="0" w:type="auto"/>
            <w:vAlign w:val="center"/>
          </w:tcPr>
          <w:p w:rsidR="000A156F" w:rsidRDefault="00A9721F">
            <w:pPr>
              <w:pStyle w:val="TableBodyText"/>
            </w:pPr>
            <w:r>
              <w:t>EndOfLineExtend</w:t>
            </w:r>
          </w:p>
        </w:tc>
        <w:tc>
          <w:tcPr>
            <w:tcW w:w="0" w:type="auto"/>
            <w:vAlign w:val="center"/>
          </w:tcPr>
          <w:p w:rsidR="000A156F" w:rsidRDefault="00A9721F">
            <w:pPr>
              <w:pStyle w:val="TableBodyText"/>
            </w:pPr>
            <w:r>
              <w:t>0FBF</w:t>
            </w:r>
          </w:p>
        </w:tc>
      </w:tr>
      <w:tr w:rsidR="000A156F" w:rsidTr="000A156F">
        <w:tc>
          <w:tcPr>
            <w:tcW w:w="0" w:type="auto"/>
            <w:vAlign w:val="center"/>
          </w:tcPr>
          <w:p w:rsidR="000A156F" w:rsidRDefault="00A9721F">
            <w:pPr>
              <w:pStyle w:val="TableBodyText"/>
            </w:pPr>
            <w:r>
              <w:t>EndOfRow</w:t>
            </w:r>
          </w:p>
        </w:tc>
        <w:tc>
          <w:tcPr>
            <w:tcW w:w="0" w:type="auto"/>
            <w:vAlign w:val="center"/>
          </w:tcPr>
          <w:p w:rsidR="000A156F" w:rsidRDefault="00A9721F">
            <w:pPr>
              <w:pStyle w:val="TableBodyText"/>
            </w:pPr>
            <w:r>
              <w:t>0111</w:t>
            </w:r>
          </w:p>
        </w:tc>
      </w:tr>
      <w:tr w:rsidR="000A156F" w:rsidTr="000A156F">
        <w:tc>
          <w:tcPr>
            <w:tcW w:w="0" w:type="auto"/>
            <w:vAlign w:val="center"/>
          </w:tcPr>
          <w:p w:rsidR="000A156F" w:rsidRDefault="00A9721F">
            <w:pPr>
              <w:pStyle w:val="TableBodyText"/>
            </w:pPr>
            <w:r>
              <w:t>EndOfWindow</w:t>
            </w:r>
          </w:p>
        </w:tc>
        <w:tc>
          <w:tcPr>
            <w:tcW w:w="0" w:type="auto"/>
            <w:vAlign w:val="center"/>
          </w:tcPr>
          <w:p w:rsidR="000A156F" w:rsidRDefault="00A9721F">
            <w:pPr>
              <w:pStyle w:val="TableBodyText"/>
            </w:pPr>
            <w:r>
              <w:t>0FAF</w:t>
            </w:r>
          </w:p>
        </w:tc>
      </w:tr>
      <w:tr w:rsidR="000A156F" w:rsidTr="000A156F">
        <w:tc>
          <w:tcPr>
            <w:tcW w:w="0" w:type="auto"/>
            <w:vAlign w:val="center"/>
          </w:tcPr>
          <w:p w:rsidR="000A156F" w:rsidRDefault="00A9721F">
            <w:pPr>
              <w:pStyle w:val="TableBodyText"/>
            </w:pPr>
            <w:r>
              <w:t>EndOfWindowExtend</w:t>
            </w:r>
          </w:p>
        </w:tc>
        <w:tc>
          <w:tcPr>
            <w:tcW w:w="0" w:type="auto"/>
            <w:vAlign w:val="center"/>
          </w:tcPr>
          <w:p w:rsidR="000A156F" w:rsidRDefault="00A9721F">
            <w:pPr>
              <w:pStyle w:val="TableBodyText"/>
            </w:pPr>
            <w:r>
              <w:t>0FC1</w:t>
            </w:r>
          </w:p>
        </w:tc>
      </w:tr>
      <w:tr w:rsidR="000A156F" w:rsidTr="000A156F">
        <w:tc>
          <w:tcPr>
            <w:tcW w:w="0" w:type="auto"/>
            <w:vAlign w:val="center"/>
          </w:tcPr>
          <w:p w:rsidR="000A156F" w:rsidRDefault="00A9721F">
            <w:pPr>
              <w:pStyle w:val="TableBodyText"/>
            </w:pPr>
            <w:r>
              <w:t>EndReview</w:t>
            </w:r>
          </w:p>
        </w:tc>
        <w:tc>
          <w:tcPr>
            <w:tcW w:w="0" w:type="auto"/>
            <w:vAlign w:val="center"/>
          </w:tcPr>
          <w:p w:rsidR="000A156F" w:rsidRDefault="00A9721F">
            <w:pPr>
              <w:pStyle w:val="TableBodyText"/>
            </w:pPr>
            <w:r>
              <w:t>04F6</w:t>
            </w:r>
          </w:p>
        </w:tc>
      </w:tr>
      <w:tr w:rsidR="000A156F" w:rsidTr="000A156F">
        <w:tc>
          <w:tcPr>
            <w:tcW w:w="0" w:type="auto"/>
            <w:vAlign w:val="center"/>
          </w:tcPr>
          <w:p w:rsidR="000A156F" w:rsidRDefault="00A9721F">
            <w:pPr>
              <w:pStyle w:val="TableBodyText"/>
            </w:pPr>
            <w:r>
              <w:t>EngWritingAssistant</w:t>
            </w:r>
          </w:p>
        </w:tc>
        <w:tc>
          <w:tcPr>
            <w:tcW w:w="0" w:type="auto"/>
            <w:vAlign w:val="center"/>
          </w:tcPr>
          <w:p w:rsidR="000A156F" w:rsidRDefault="00A9721F">
            <w:pPr>
              <w:pStyle w:val="TableBodyText"/>
            </w:pPr>
            <w:r>
              <w:t>0910</w:t>
            </w:r>
          </w:p>
        </w:tc>
      </w:tr>
      <w:tr w:rsidR="000A156F" w:rsidTr="000A156F">
        <w:tc>
          <w:tcPr>
            <w:tcW w:w="0" w:type="auto"/>
            <w:vAlign w:val="center"/>
          </w:tcPr>
          <w:p w:rsidR="000A156F" w:rsidRDefault="00A9721F">
            <w:pPr>
              <w:pStyle w:val="TableBodyText"/>
            </w:pPr>
            <w:r>
              <w:t>EnvelopeSetup</w:t>
            </w:r>
          </w:p>
        </w:tc>
        <w:tc>
          <w:tcPr>
            <w:tcW w:w="0" w:type="auto"/>
            <w:vAlign w:val="center"/>
          </w:tcPr>
          <w:p w:rsidR="000A156F" w:rsidRDefault="00A9721F">
            <w:pPr>
              <w:pStyle w:val="TableBodyText"/>
            </w:pPr>
            <w:r>
              <w:t>0558</w:t>
            </w:r>
          </w:p>
        </w:tc>
      </w:tr>
      <w:tr w:rsidR="000A156F" w:rsidTr="000A156F">
        <w:tc>
          <w:tcPr>
            <w:tcW w:w="0" w:type="auto"/>
            <w:vAlign w:val="center"/>
          </w:tcPr>
          <w:p w:rsidR="000A156F" w:rsidRDefault="00A9721F">
            <w:pPr>
              <w:pStyle w:val="TableBodyText"/>
            </w:pPr>
            <w:r>
              <w:t>EnvelopeWizard</w:t>
            </w:r>
          </w:p>
        </w:tc>
        <w:tc>
          <w:tcPr>
            <w:tcW w:w="0" w:type="auto"/>
            <w:vAlign w:val="center"/>
          </w:tcPr>
          <w:p w:rsidR="000A156F" w:rsidRDefault="00A9721F">
            <w:pPr>
              <w:pStyle w:val="TableBodyText"/>
            </w:pPr>
            <w:r>
              <w:t>0497</w:t>
            </w:r>
          </w:p>
        </w:tc>
      </w:tr>
      <w:tr w:rsidR="000A156F" w:rsidTr="000A156F">
        <w:tc>
          <w:tcPr>
            <w:tcW w:w="0" w:type="auto"/>
            <w:vAlign w:val="center"/>
          </w:tcPr>
          <w:p w:rsidR="000A156F" w:rsidRDefault="00A9721F">
            <w:pPr>
              <w:pStyle w:val="TableBodyText"/>
            </w:pPr>
            <w:r>
              <w:t>EquationAccentGallery</w:t>
            </w:r>
          </w:p>
        </w:tc>
        <w:tc>
          <w:tcPr>
            <w:tcW w:w="0" w:type="auto"/>
            <w:vAlign w:val="center"/>
          </w:tcPr>
          <w:p w:rsidR="000A156F" w:rsidRDefault="00A9721F">
            <w:pPr>
              <w:pStyle w:val="TableBodyText"/>
            </w:pPr>
            <w:r>
              <w:t>088D</w:t>
            </w:r>
          </w:p>
        </w:tc>
      </w:tr>
      <w:tr w:rsidR="000A156F" w:rsidTr="000A156F">
        <w:tc>
          <w:tcPr>
            <w:tcW w:w="0" w:type="auto"/>
            <w:vAlign w:val="center"/>
          </w:tcPr>
          <w:p w:rsidR="000A156F" w:rsidRDefault="00A9721F">
            <w:pPr>
              <w:pStyle w:val="TableBodyText"/>
            </w:pPr>
            <w:r>
              <w:t>EquationAlignAtEquals</w:t>
            </w:r>
          </w:p>
        </w:tc>
        <w:tc>
          <w:tcPr>
            <w:tcW w:w="0" w:type="auto"/>
            <w:vAlign w:val="center"/>
          </w:tcPr>
          <w:p w:rsidR="000A156F" w:rsidRDefault="00A9721F">
            <w:pPr>
              <w:pStyle w:val="TableBodyText"/>
            </w:pPr>
            <w:r>
              <w:t>0883</w:t>
            </w:r>
          </w:p>
        </w:tc>
      </w:tr>
      <w:tr w:rsidR="000A156F" w:rsidTr="000A156F">
        <w:tc>
          <w:tcPr>
            <w:tcW w:w="0" w:type="auto"/>
            <w:vAlign w:val="center"/>
          </w:tcPr>
          <w:p w:rsidR="000A156F" w:rsidRDefault="00A9721F">
            <w:pPr>
              <w:pStyle w:val="TableBodyText"/>
            </w:pPr>
            <w:r>
              <w:t>EquationAlignThisCharacter</w:t>
            </w:r>
          </w:p>
        </w:tc>
        <w:tc>
          <w:tcPr>
            <w:tcW w:w="0" w:type="auto"/>
            <w:vAlign w:val="center"/>
          </w:tcPr>
          <w:p w:rsidR="000A156F" w:rsidRDefault="00A9721F">
            <w:pPr>
              <w:pStyle w:val="TableBodyText"/>
            </w:pPr>
            <w:r>
              <w:t>0882</w:t>
            </w:r>
          </w:p>
        </w:tc>
      </w:tr>
      <w:tr w:rsidR="000A156F" w:rsidTr="000A156F">
        <w:tc>
          <w:tcPr>
            <w:tcW w:w="0" w:type="auto"/>
            <w:vAlign w:val="center"/>
          </w:tcPr>
          <w:p w:rsidR="000A156F" w:rsidRDefault="00A9721F">
            <w:pPr>
              <w:pStyle w:val="TableBodyText"/>
            </w:pPr>
            <w:r>
              <w:t>EquationArrayExpansion</w:t>
            </w:r>
          </w:p>
        </w:tc>
        <w:tc>
          <w:tcPr>
            <w:tcW w:w="0" w:type="auto"/>
            <w:vAlign w:val="center"/>
          </w:tcPr>
          <w:p w:rsidR="000A156F" w:rsidRDefault="00A9721F">
            <w:pPr>
              <w:pStyle w:val="TableBodyText"/>
            </w:pPr>
            <w:r>
              <w:t>0871</w:t>
            </w:r>
          </w:p>
        </w:tc>
      </w:tr>
      <w:tr w:rsidR="000A156F" w:rsidTr="000A156F">
        <w:tc>
          <w:tcPr>
            <w:tcW w:w="0" w:type="auto"/>
            <w:vAlign w:val="center"/>
          </w:tcPr>
          <w:p w:rsidR="000A156F" w:rsidRDefault="00A9721F">
            <w:pPr>
              <w:pStyle w:val="TableBodyText"/>
            </w:pPr>
            <w:r>
              <w:t>EquationAutoProfessionalFormat</w:t>
            </w:r>
          </w:p>
        </w:tc>
        <w:tc>
          <w:tcPr>
            <w:tcW w:w="0" w:type="auto"/>
            <w:vAlign w:val="center"/>
          </w:tcPr>
          <w:p w:rsidR="000A156F" w:rsidRDefault="00A9721F">
            <w:pPr>
              <w:pStyle w:val="TableBodyText"/>
            </w:pPr>
            <w:r>
              <w:t>07D4</w:t>
            </w:r>
          </w:p>
        </w:tc>
      </w:tr>
      <w:tr w:rsidR="000A156F" w:rsidTr="000A156F">
        <w:tc>
          <w:tcPr>
            <w:tcW w:w="0" w:type="auto"/>
            <w:vAlign w:val="center"/>
          </w:tcPr>
          <w:p w:rsidR="000A156F" w:rsidRDefault="00A9721F">
            <w:pPr>
              <w:pStyle w:val="TableBodyText"/>
            </w:pPr>
            <w:r>
              <w:t>EquationBarLocation</w:t>
            </w:r>
          </w:p>
        </w:tc>
        <w:tc>
          <w:tcPr>
            <w:tcW w:w="0" w:type="auto"/>
            <w:vAlign w:val="center"/>
          </w:tcPr>
          <w:p w:rsidR="000A156F" w:rsidRDefault="00A9721F">
            <w:pPr>
              <w:pStyle w:val="TableBodyText"/>
            </w:pPr>
            <w:r>
              <w:t>086E</w:t>
            </w:r>
          </w:p>
        </w:tc>
      </w:tr>
      <w:tr w:rsidR="000A156F" w:rsidTr="000A156F">
        <w:tc>
          <w:tcPr>
            <w:tcW w:w="0" w:type="auto"/>
            <w:vAlign w:val="center"/>
          </w:tcPr>
          <w:p w:rsidR="000A156F" w:rsidRDefault="00A9721F">
            <w:pPr>
              <w:pStyle w:val="TableBodyText"/>
            </w:pPr>
            <w:r>
              <w:t>EquationBorderPropertiesMenu</w:t>
            </w:r>
          </w:p>
        </w:tc>
        <w:tc>
          <w:tcPr>
            <w:tcW w:w="0" w:type="auto"/>
            <w:vAlign w:val="center"/>
          </w:tcPr>
          <w:p w:rsidR="000A156F" w:rsidRDefault="00A9721F">
            <w:pPr>
              <w:pStyle w:val="TableBodyText"/>
            </w:pPr>
            <w:r>
              <w:t>16CA</w:t>
            </w:r>
          </w:p>
        </w:tc>
      </w:tr>
      <w:tr w:rsidR="000A156F" w:rsidTr="000A156F">
        <w:tc>
          <w:tcPr>
            <w:tcW w:w="0" w:type="auto"/>
            <w:vAlign w:val="center"/>
          </w:tcPr>
          <w:p w:rsidR="000A156F" w:rsidRDefault="00A9721F">
            <w:pPr>
              <w:pStyle w:val="TableBodyText"/>
            </w:pPr>
            <w:r>
              <w:t>EquationCenteredAsGroupJustification</w:t>
            </w:r>
          </w:p>
        </w:tc>
        <w:tc>
          <w:tcPr>
            <w:tcW w:w="0" w:type="auto"/>
            <w:vAlign w:val="center"/>
          </w:tcPr>
          <w:p w:rsidR="000A156F" w:rsidRDefault="00A9721F">
            <w:pPr>
              <w:pStyle w:val="TableBodyText"/>
            </w:pPr>
            <w:r>
              <w:t>08EE</w:t>
            </w:r>
          </w:p>
        </w:tc>
      </w:tr>
      <w:tr w:rsidR="000A156F" w:rsidTr="000A156F">
        <w:tc>
          <w:tcPr>
            <w:tcW w:w="0" w:type="auto"/>
            <w:vAlign w:val="center"/>
          </w:tcPr>
          <w:p w:rsidR="000A156F" w:rsidRDefault="00A9721F">
            <w:pPr>
              <w:pStyle w:val="TableBodyText"/>
            </w:pPr>
            <w:r>
              <w:t>EquationCenteredJustification</w:t>
            </w:r>
          </w:p>
        </w:tc>
        <w:tc>
          <w:tcPr>
            <w:tcW w:w="0" w:type="auto"/>
            <w:vAlign w:val="center"/>
          </w:tcPr>
          <w:p w:rsidR="000A156F" w:rsidRDefault="00A9721F">
            <w:pPr>
              <w:pStyle w:val="TableBodyText"/>
            </w:pPr>
            <w:r>
              <w:t>08ED</w:t>
            </w:r>
          </w:p>
        </w:tc>
      </w:tr>
      <w:tr w:rsidR="000A156F" w:rsidTr="000A156F">
        <w:tc>
          <w:tcPr>
            <w:tcW w:w="0" w:type="auto"/>
            <w:vAlign w:val="center"/>
          </w:tcPr>
          <w:p w:rsidR="000A156F" w:rsidRDefault="00A9721F">
            <w:pPr>
              <w:pStyle w:val="TableBodyText"/>
            </w:pPr>
            <w:r>
              <w:t>EquationChangeStyle</w:t>
            </w:r>
          </w:p>
        </w:tc>
        <w:tc>
          <w:tcPr>
            <w:tcW w:w="0" w:type="auto"/>
            <w:vAlign w:val="center"/>
          </w:tcPr>
          <w:p w:rsidR="000A156F" w:rsidRDefault="00A9721F">
            <w:pPr>
              <w:pStyle w:val="TableBodyText"/>
            </w:pPr>
            <w:r>
              <w:t>07BF</w:t>
            </w:r>
          </w:p>
        </w:tc>
      </w:tr>
      <w:tr w:rsidR="000A156F" w:rsidTr="000A156F">
        <w:tc>
          <w:tcPr>
            <w:tcW w:w="0" w:type="auto"/>
            <w:vAlign w:val="center"/>
          </w:tcPr>
          <w:p w:rsidR="000A156F" w:rsidRDefault="00A9721F">
            <w:pPr>
              <w:pStyle w:val="TableBodyText"/>
            </w:pPr>
            <w:r>
              <w:lastRenderedPageBreak/>
              <w:t>EquationDecreaseAlignment</w:t>
            </w:r>
          </w:p>
        </w:tc>
        <w:tc>
          <w:tcPr>
            <w:tcW w:w="0" w:type="auto"/>
            <w:vAlign w:val="center"/>
          </w:tcPr>
          <w:p w:rsidR="000A156F" w:rsidRDefault="00A9721F">
            <w:pPr>
              <w:pStyle w:val="TableBodyText"/>
            </w:pPr>
            <w:r>
              <w:t>07BE</w:t>
            </w:r>
          </w:p>
        </w:tc>
      </w:tr>
      <w:tr w:rsidR="000A156F" w:rsidTr="000A156F">
        <w:tc>
          <w:tcPr>
            <w:tcW w:w="0" w:type="auto"/>
            <w:vAlign w:val="center"/>
          </w:tcPr>
          <w:p w:rsidR="000A156F" w:rsidRDefault="00A9721F">
            <w:pPr>
              <w:pStyle w:val="TableBodyText"/>
            </w:pPr>
            <w:r>
              <w:t>EquationDecreaseArgumentSize</w:t>
            </w:r>
          </w:p>
        </w:tc>
        <w:tc>
          <w:tcPr>
            <w:tcW w:w="0" w:type="auto"/>
            <w:vAlign w:val="center"/>
          </w:tcPr>
          <w:p w:rsidR="000A156F" w:rsidRDefault="00A9721F">
            <w:pPr>
              <w:pStyle w:val="TableBodyText"/>
            </w:pPr>
            <w:r>
              <w:t>0874</w:t>
            </w:r>
          </w:p>
        </w:tc>
      </w:tr>
      <w:tr w:rsidR="000A156F" w:rsidTr="000A156F">
        <w:tc>
          <w:tcPr>
            <w:tcW w:w="0" w:type="auto"/>
            <w:vAlign w:val="center"/>
          </w:tcPr>
          <w:p w:rsidR="000A156F" w:rsidRDefault="00A9721F">
            <w:pPr>
              <w:pStyle w:val="TableBodyText"/>
            </w:pPr>
            <w:r>
              <w:t>EquationDeleteArgument</w:t>
            </w:r>
          </w:p>
        </w:tc>
        <w:tc>
          <w:tcPr>
            <w:tcW w:w="0" w:type="auto"/>
            <w:vAlign w:val="center"/>
          </w:tcPr>
          <w:p w:rsidR="000A156F" w:rsidRDefault="00A9721F">
            <w:pPr>
              <w:pStyle w:val="TableBodyText"/>
            </w:pPr>
            <w:r>
              <w:t>085E</w:t>
            </w:r>
          </w:p>
        </w:tc>
      </w:tr>
      <w:tr w:rsidR="000A156F" w:rsidTr="000A156F">
        <w:tc>
          <w:tcPr>
            <w:tcW w:w="0" w:type="auto"/>
            <w:vAlign w:val="center"/>
          </w:tcPr>
          <w:p w:rsidR="000A156F" w:rsidRDefault="00A9721F">
            <w:pPr>
              <w:pStyle w:val="TableBodyText"/>
            </w:pPr>
            <w:r>
              <w:t>EquationDeleteColumn</w:t>
            </w:r>
          </w:p>
        </w:tc>
        <w:tc>
          <w:tcPr>
            <w:tcW w:w="0" w:type="auto"/>
            <w:vAlign w:val="center"/>
          </w:tcPr>
          <w:p w:rsidR="000A156F" w:rsidRDefault="00A9721F">
            <w:pPr>
              <w:pStyle w:val="TableBodyText"/>
            </w:pPr>
            <w:r>
              <w:t>07C8</w:t>
            </w:r>
          </w:p>
        </w:tc>
      </w:tr>
      <w:tr w:rsidR="000A156F" w:rsidTr="000A156F">
        <w:tc>
          <w:tcPr>
            <w:tcW w:w="0" w:type="auto"/>
            <w:vAlign w:val="center"/>
          </w:tcPr>
          <w:p w:rsidR="000A156F" w:rsidRDefault="00A9721F">
            <w:pPr>
              <w:pStyle w:val="TableBodyText"/>
            </w:pPr>
            <w:r>
              <w:t>EquationDeleteMenu</w:t>
            </w:r>
          </w:p>
        </w:tc>
        <w:tc>
          <w:tcPr>
            <w:tcW w:w="0" w:type="auto"/>
            <w:vAlign w:val="center"/>
          </w:tcPr>
          <w:p w:rsidR="000A156F" w:rsidRDefault="00A9721F">
            <w:pPr>
              <w:pStyle w:val="TableBodyText"/>
            </w:pPr>
            <w:r>
              <w:t>16C9</w:t>
            </w:r>
          </w:p>
        </w:tc>
      </w:tr>
      <w:tr w:rsidR="000A156F" w:rsidTr="000A156F">
        <w:tc>
          <w:tcPr>
            <w:tcW w:w="0" w:type="auto"/>
            <w:vAlign w:val="center"/>
          </w:tcPr>
          <w:p w:rsidR="000A156F" w:rsidRDefault="00A9721F">
            <w:pPr>
              <w:pStyle w:val="TableBodyText"/>
            </w:pPr>
            <w:r>
              <w:t>EquationDeleteRow</w:t>
            </w:r>
          </w:p>
        </w:tc>
        <w:tc>
          <w:tcPr>
            <w:tcW w:w="0" w:type="auto"/>
            <w:vAlign w:val="center"/>
          </w:tcPr>
          <w:p w:rsidR="000A156F" w:rsidRDefault="00A9721F">
            <w:pPr>
              <w:pStyle w:val="TableBodyText"/>
            </w:pPr>
            <w:r>
              <w:t>07C7</w:t>
            </w:r>
          </w:p>
        </w:tc>
      </w:tr>
      <w:tr w:rsidR="000A156F" w:rsidTr="000A156F">
        <w:tc>
          <w:tcPr>
            <w:tcW w:w="0" w:type="auto"/>
            <w:vAlign w:val="center"/>
          </w:tcPr>
          <w:p w:rsidR="000A156F" w:rsidRDefault="00A9721F">
            <w:pPr>
              <w:pStyle w:val="TableBodyText"/>
            </w:pPr>
            <w:r>
              <w:t>EquationDelimiterGallery</w:t>
            </w:r>
          </w:p>
        </w:tc>
        <w:tc>
          <w:tcPr>
            <w:tcW w:w="0" w:type="auto"/>
            <w:vAlign w:val="center"/>
          </w:tcPr>
          <w:p w:rsidR="000A156F" w:rsidRDefault="00A9721F">
            <w:pPr>
              <w:pStyle w:val="TableBodyText"/>
            </w:pPr>
            <w:r>
              <w:t>07DC</w:t>
            </w:r>
          </w:p>
        </w:tc>
      </w:tr>
      <w:tr w:rsidR="000A156F" w:rsidTr="000A156F">
        <w:tc>
          <w:tcPr>
            <w:tcW w:w="0" w:type="auto"/>
            <w:vAlign w:val="center"/>
          </w:tcPr>
          <w:p w:rsidR="000A156F" w:rsidRDefault="00A9721F">
            <w:pPr>
              <w:pStyle w:val="TableBodyText"/>
            </w:pPr>
            <w:r>
              <w:t>EquationEdit</w:t>
            </w:r>
          </w:p>
        </w:tc>
        <w:tc>
          <w:tcPr>
            <w:tcW w:w="0" w:type="auto"/>
            <w:vAlign w:val="center"/>
          </w:tcPr>
          <w:p w:rsidR="000A156F" w:rsidRDefault="00A9721F">
            <w:pPr>
              <w:pStyle w:val="TableBodyText"/>
            </w:pPr>
            <w:r>
              <w:t>0800</w:t>
            </w:r>
          </w:p>
        </w:tc>
      </w:tr>
      <w:tr w:rsidR="000A156F" w:rsidTr="000A156F">
        <w:tc>
          <w:tcPr>
            <w:tcW w:w="0" w:type="auto"/>
            <w:vAlign w:val="center"/>
          </w:tcPr>
          <w:p w:rsidR="000A156F" w:rsidRDefault="00A9721F">
            <w:pPr>
              <w:pStyle w:val="TableBodyText"/>
            </w:pPr>
            <w:r>
              <w:t>EquationEquationArraySpacing</w:t>
            </w:r>
          </w:p>
        </w:tc>
        <w:tc>
          <w:tcPr>
            <w:tcW w:w="0" w:type="auto"/>
            <w:vAlign w:val="center"/>
          </w:tcPr>
          <w:p w:rsidR="000A156F" w:rsidRDefault="00A9721F">
            <w:pPr>
              <w:pStyle w:val="TableBodyText"/>
            </w:pPr>
            <w:r>
              <w:t>0900</w:t>
            </w:r>
          </w:p>
        </w:tc>
      </w:tr>
      <w:tr w:rsidR="000A156F" w:rsidTr="000A156F">
        <w:tc>
          <w:tcPr>
            <w:tcW w:w="0" w:type="auto"/>
            <w:vAlign w:val="center"/>
          </w:tcPr>
          <w:p w:rsidR="000A156F" w:rsidRDefault="00A9721F">
            <w:pPr>
              <w:pStyle w:val="TableBodyText"/>
            </w:pPr>
            <w:r>
              <w:t>EquationExpansion</w:t>
            </w:r>
          </w:p>
        </w:tc>
        <w:tc>
          <w:tcPr>
            <w:tcW w:w="0" w:type="auto"/>
            <w:vAlign w:val="center"/>
          </w:tcPr>
          <w:p w:rsidR="000A156F" w:rsidRDefault="00A9721F">
            <w:pPr>
              <w:pStyle w:val="TableBodyText"/>
            </w:pPr>
            <w:r>
              <w:t>0872</w:t>
            </w:r>
          </w:p>
        </w:tc>
      </w:tr>
      <w:tr w:rsidR="000A156F" w:rsidTr="000A156F">
        <w:tc>
          <w:tcPr>
            <w:tcW w:w="0" w:type="auto"/>
            <w:vAlign w:val="center"/>
          </w:tcPr>
          <w:p w:rsidR="000A156F" w:rsidRDefault="00A9721F">
            <w:pPr>
              <w:pStyle w:val="TableBodyText"/>
            </w:pPr>
            <w:r>
              <w:t>EquationFractionGallery</w:t>
            </w:r>
          </w:p>
        </w:tc>
        <w:tc>
          <w:tcPr>
            <w:tcW w:w="0" w:type="auto"/>
            <w:vAlign w:val="center"/>
          </w:tcPr>
          <w:p w:rsidR="000A156F" w:rsidRDefault="00A9721F">
            <w:pPr>
              <w:pStyle w:val="TableBodyText"/>
            </w:pPr>
            <w:r>
              <w:t>07D8</w:t>
            </w:r>
          </w:p>
        </w:tc>
      </w:tr>
      <w:tr w:rsidR="000A156F" w:rsidTr="000A156F">
        <w:tc>
          <w:tcPr>
            <w:tcW w:w="0" w:type="auto"/>
            <w:vAlign w:val="center"/>
          </w:tcPr>
          <w:p w:rsidR="000A156F" w:rsidRDefault="00A9721F">
            <w:pPr>
              <w:pStyle w:val="TableBodyText"/>
            </w:pPr>
            <w:r>
              <w:t>EquationFunctionGallery</w:t>
            </w:r>
          </w:p>
        </w:tc>
        <w:tc>
          <w:tcPr>
            <w:tcW w:w="0" w:type="auto"/>
            <w:vAlign w:val="center"/>
          </w:tcPr>
          <w:p w:rsidR="000A156F" w:rsidRDefault="00A9721F">
            <w:pPr>
              <w:pStyle w:val="TableBodyText"/>
            </w:pPr>
            <w:r>
              <w:t>088C</w:t>
            </w:r>
          </w:p>
        </w:tc>
      </w:tr>
      <w:tr w:rsidR="000A156F" w:rsidTr="000A156F">
        <w:tc>
          <w:tcPr>
            <w:tcW w:w="0" w:type="auto"/>
            <w:vAlign w:val="center"/>
          </w:tcPr>
          <w:p w:rsidR="000A156F" w:rsidRDefault="00A9721F">
            <w:pPr>
              <w:pStyle w:val="TableBodyText"/>
            </w:pPr>
            <w:r>
              <w:t>EquationGroupingCharacterLocation</w:t>
            </w:r>
          </w:p>
        </w:tc>
        <w:tc>
          <w:tcPr>
            <w:tcW w:w="0" w:type="auto"/>
            <w:vAlign w:val="center"/>
          </w:tcPr>
          <w:p w:rsidR="000A156F" w:rsidRDefault="00A9721F">
            <w:pPr>
              <w:pStyle w:val="TableBodyText"/>
            </w:pPr>
            <w:r>
              <w:t>0870</w:t>
            </w:r>
          </w:p>
        </w:tc>
      </w:tr>
      <w:tr w:rsidR="000A156F" w:rsidTr="000A156F">
        <w:tc>
          <w:tcPr>
            <w:tcW w:w="0" w:type="auto"/>
            <w:vAlign w:val="center"/>
          </w:tcPr>
          <w:p w:rsidR="000A156F" w:rsidRDefault="00A9721F">
            <w:pPr>
              <w:pStyle w:val="TableBodyText"/>
            </w:pPr>
            <w:r>
              <w:t>EquationHorizontalCenter</w:t>
            </w:r>
          </w:p>
        </w:tc>
        <w:tc>
          <w:tcPr>
            <w:tcW w:w="0" w:type="auto"/>
            <w:vAlign w:val="center"/>
          </w:tcPr>
          <w:p w:rsidR="000A156F" w:rsidRDefault="00A9721F">
            <w:pPr>
              <w:pStyle w:val="TableBodyText"/>
            </w:pPr>
            <w:r>
              <w:t>07CC</w:t>
            </w:r>
          </w:p>
        </w:tc>
      </w:tr>
      <w:tr w:rsidR="000A156F" w:rsidTr="000A156F">
        <w:tc>
          <w:tcPr>
            <w:tcW w:w="0" w:type="auto"/>
            <w:vAlign w:val="center"/>
          </w:tcPr>
          <w:p w:rsidR="000A156F" w:rsidRDefault="00A9721F">
            <w:pPr>
              <w:pStyle w:val="TableBodyText"/>
            </w:pPr>
            <w:r>
              <w:t>EquationHorizontalLeft</w:t>
            </w:r>
          </w:p>
        </w:tc>
        <w:tc>
          <w:tcPr>
            <w:tcW w:w="0" w:type="auto"/>
            <w:vAlign w:val="center"/>
          </w:tcPr>
          <w:p w:rsidR="000A156F" w:rsidRDefault="00A9721F">
            <w:pPr>
              <w:pStyle w:val="TableBodyText"/>
            </w:pPr>
            <w:r>
              <w:t>07CD</w:t>
            </w:r>
          </w:p>
        </w:tc>
      </w:tr>
      <w:tr w:rsidR="000A156F" w:rsidTr="000A156F">
        <w:tc>
          <w:tcPr>
            <w:tcW w:w="0" w:type="auto"/>
            <w:vAlign w:val="center"/>
          </w:tcPr>
          <w:p w:rsidR="000A156F" w:rsidRDefault="00A9721F">
            <w:pPr>
              <w:pStyle w:val="TableBodyText"/>
            </w:pPr>
            <w:r>
              <w:t>EquationHorizontalMenu</w:t>
            </w:r>
          </w:p>
        </w:tc>
        <w:tc>
          <w:tcPr>
            <w:tcW w:w="0" w:type="auto"/>
            <w:vAlign w:val="center"/>
          </w:tcPr>
          <w:p w:rsidR="000A156F" w:rsidRDefault="00A9721F">
            <w:pPr>
              <w:pStyle w:val="TableBodyText"/>
            </w:pPr>
            <w:r>
              <w:t>16C3</w:t>
            </w:r>
          </w:p>
        </w:tc>
      </w:tr>
      <w:tr w:rsidR="000A156F" w:rsidTr="000A156F">
        <w:tc>
          <w:tcPr>
            <w:tcW w:w="0" w:type="auto"/>
            <w:vAlign w:val="center"/>
          </w:tcPr>
          <w:p w:rsidR="000A156F" w:rsidRDefault="00A9721F">
            <w:pPr>
              <w:pStyle w:val="TableBodyText"/>
            </w:pPr>
            <w:r>
              <w:t>EquationHorizontalRight</w:t>
            </w:r>
          </w:p>
        </w:tc>
        <w:tc>
          <w:tcPr>
            <w:tcW w:w="0" w:type="auto"/>
            <w:vAlign w:val="center"/>
          </w:tcPr>
          <w:p w:rsidR="000A156F" w:rsidRDefault="00A9721F">
            <w:pPr>
              <w:pStyle w:val="TableBodyText"/>
            </w:pPr>
            <w:r>
              <w:t>07CE</w:t>
            </w:r>
          </w:p>
        </w:tc>
      </w:tr>
      <w:tr w:rsidR="000A156F" w:rsidTr="000A156F">
        <w:tc>
          <w:tcPr>
            <w:tcW w:w="0" w:type="auto"/>
            <w:vAlign w:val="center"/>
          </w:tcPr>
          <w:p w:rsidR="000A156F" w:rsidRDefault="00A9721F">
            <w:pPr>
              <w:pStyle w:val="TableBodyText"/>
            </w:pPr>
            <w:r>
              <w:t>EquationIncreaseAlignment</w:t>
            </w:r>
          </w:p>
        </w:tc>
        <w:tc>
          <w:tcPr>
            <w:tcW w:w="0" w:type="auto"/>
            <w:vAlign w:val="center"/>
          </w:tcPr>
          <w:p w:rsidR="000A156F" w:rsidRDefault="00A9721F">
            <w:pPr>
              <w:pStyle w:val="TableBodyText"/>
            </w:pPr>
            <w:r>
              <w:t>07BD</w:t>
            </w:r>
          </w:p>
        </w:tc>
      </w:tr>
      <w:tr w:rsidR="000A156F" w:rsidTr="000A156F">
        <w:tc>
          <w:tcPr>
            <w:tcW w:w="0" w:type="auto"/>
            <w:vAlign w:val="center"/>
          </w:tcPr>
          <w:p w:rsidR="000A156F" w:rsidRDefault="00A9721F">
            <w:pPr>
              <w:pStyle w:val="TableBodyText"/>
            </w:pPr>
            <w:r>
              <w:t>EquationIncreaseArgumentSize</w:t>
            </w:r>
          </w:p>
        </w:tc>
        <w:tc>
          <w:tcPr>
            <w:tcW w:w="0" w:type="auto"/>
            <w:vAlign w:val="center"/>
          </w:tcPr>
          <w:p w:rsidR="000A156F" w:rsidRDefault="00A9721F">
            <w:pPr>
              <w:pStyle w:val="TableBodyText"/>
            </w:pPr>
            <w:r>
              <w:t>0873</w:t>
            </w:r>
          </w:p>
        </w:tc>
      </w:tr>
      <w:tr w:rsidR="000A156F" w:rsidTr="000A156F">
        <w:tc>
          <w:tcPr>
            <w:tcW w:w="0" w:type="auto"/>
            <w:vAlign w:val="center"/>
          </w:tcPr>
          <w:p w:rsidR="000A156F" w:rsidRDefault="00A9721F">
            <w:pPr>
              <w:pStyle w:val="TableBodyText"/>
            </w:pPr>
            <w:r>
              <w:t>EquationInsert</w:t>
            </w:r>
          </w:p>
        </w:tc>
        <w:tc>
          <w:tcPr>
            <w:tcW w:w="0" w:type="auto"/>
            <w:vAlign w:val="center"/>
          </w:tcPr>
          <w:p w:rsidR="000A156F" w:rsidRDefault="00A9721F">
            <w:pPr>
              <w:pStyle w:val="TableBodyText"/>
            </w:pPr>
            <w:r>
              <w:t>0797</w:t>
            </w:r>
          </w:p>
        </w:tc>
      </w:tr>
      <w:tr w:rsidR="000A156F" w:rsidTr="000A156F">
        <w:tc>
          <w:tcPr>
            <w:tcW w:w="0" w:type="auto"/>
            <w:vAlign w:val="center"/>
          </w:tcPr>
          <w:p w:rsidR="000A156F" w:rsidRDefault="00A9721F">
            <w:pPr>
              <w:pStyle w:val="TableBodyText"/>
            </w:pPr>
            <w:r>
              <w:t>EquationInsertArgumentAfter</w:t>
            </w:r>
          </w:p>
        </w:tc>
        <w:tc>
          <w:tcPr>
            <w:tcW w:w="0" w:type="auto"/>
            <w:vAlign w:val="center"/>
          </w:tcPr>
          <w:p w:rsidR="000A156F" w:rsidRDefault="00A9721F">
            <w:pPr>
              <w:pStyle w:val="TableBodyText"/>
            </w:pPr>
            <w:r>
              <w:t>085D</w:t>
            </w:r>
          </w:p>
        </w:tc>
      </w:tr>
      <w:tr w:rsidR="000A156F" w:rsidTr="000A156F">
        <w:tc>
          <w:tcPr>
            <w:tcW w:w="0" w:type="auto"/>
            <w:vAlign w:val="center"/>
          </w:tcPr>
          <w:p w:rsidR="000A156F" w:rsidRDefault="00A9721F">
            <w:pPr>
              <w:pStyle w:val="TableBodyText"/>
            </w:pPr>
            <w:r>
              <w:t>EquationInsertArgumentBefore</w:t>
            </w:r>
          </w:p>
        </w:tc>
        <w:tc>
          <w:tcPr>
            <w:tcW w:w="0" w:type="auto"/>
            <w:vAlign w:val="center"/>
          </w:tcPr>
          <w:p w:rsidR="000A156F" w:rsidRDefault="00A9721F">
            <w:pPr>
              <w:pStyle w:val="TableBodyText"/>
            </w:pPr>
            <w:r>
              <w:t>085C</w:t>
            </w:r>
          </w:p>
        </w:tc>
      </w:tr>
      <w:tr w:rsidR="000A156F" w:rsidTr="000A156F">
        <w:tc>
          <w:tcPr>
            <w:tcW w:w="0" w:type="auto"/>
            <w:vAlign w:val="center"/>
          </w:tcPr>
          <w:p w:rsidR="000A156F" w:rsidRDefault="00A9721F">
            <w:pPr>
              <w:pStyle w:val="TableBodyText"/>
            </w:pPr>
            <w:r>
              <w:t>EquationInsertColumnAfter</w:t>
            </w:r>
          </w:p>
        </w:tc>
        <w:tc>
          <w:tcPr>
            <w:tcW w:w="0" w:type="auto"/>
            <w:vAlign w:val="center"/>
          </w:tcPr>
          <w:p w:rsidR="000A156F" w:rsidRDefault="00A9721F">
            <w:pPr>
              <w:pStyle w:val="TableBodyText"/>
            </w:pPr>
            <w:r>
              <w:t>07C6</w:t>
            </w:r>
          </w:p>
        </w:tc>
      </w:tr>
      <w:tr w:rsidR="000A156F" w:rsidTr="000A156F">
        <w:tc>
          <w:tcPr>
            <w:tcW w:w="0" w:type="auto"/>
            <w:vAlign w:val="center"/>
          </w:tcPr>
          <w:p w:rsidR="000A156F" w:rsidRDefault="00A9721F">
            <w:pPr>
              <w:pStyle w:val="TableBodyText"/>
            </w:pPr>
            <w:r>
              <w:t>EquationInsertColumnBefore</w:t>
            </w:r>
          </w:p>
        </w:tc>
        <w:tc>
          <w:tcPr>
            <w:tcW w:w="0" w:type="auto"/>
            <w:vAlign w:val="center"/>
          </w:tcPr>
          <w:p w:rsidR="000A156F" w:rsidRDefault="00A9721F">
            <w:pPr>
              <w:pStyle w:val="TableBodyText"/>
            </w:pPr>
            <w:r>
              <w:t>07C5</w:t>
            </w:r>
          </w:p>
        </w:tc>
      </w:tr>
      <w:tr w:rsidR="000A156F" w:rsidTr="000A156F">
        <w:tc>
          <w:tcPr>
            <w:tcW w:w="0" w:type="auto"/>
            <w:vAlign w:val="center"/>
          </w:tcPr>
          <w:p w:rsidR="000A156F" w:rsidRDefault="00A9721F">
            <w:pPr>
              <w:pStyle w:val="TableBodyText"/>
            </w:pPr>
            <w:r>
              <w:t>EquationInsertEmptyStructure</w:t>
            </w:r>
          </w:p>
        </w:tc>
        <w:tc>
          <w:tcPr>
            <w:tcW w:w="0" w:type="auto"/>
            <w:vAlign w:val="center"/>
          </w:tcPr>
          <w:p w:rsidR="000A156F" w:rsidRDefault="00A9721F">
            <w:pPr>
              <w:pStyle w:val="TableBodyText"/>
            </w:pPr>
            <w:r>
              <w:t>082C</w:t>
            </w:r>
          </w:p>
        </w:tc>
      </w:tr>
      <w:tr w:rsidR="000A156F" w:rsidTr="000A156F">
        <w:tc>
          <w:tcPr>
            <w:tcW w:w="0" w:type="auto"/>
            <w:vAlign w:val="center"/>
          </w:tcPr>
          <w:p w:rsidR="000A156F" w:rsidRDefault="00A9721F">
            <w:pPr>
              <w:pStyle w:val="TableBodyText"/>
            </w:pPr>
            <w:r>
              <w:t>EquationInsertMenu</w:t>
            </w:r>
          </w:p>
        </w:tc>
        <w:tc>
          <w:tcPr>
            <w:tcW w:w="0" w:type="auto"/>
            <w:vAlign w:val="center"/>
          </w:tcPr>
          <w:p w:rsidR="000A156F" w:rsidRDefault="00A9721F">
            <w:pPr>
              <w:pStyle w:val="TableBodyText"/>
            </w:pPr>
            <w:r>
              <w:t>16C8</w:t>
            </w:r>
          </w:p>
        </w:tc>
      </w:tr>
      <w:tr w:rsidR="000A156F" w:rsidTr="000A156F">
        <w:tc>
          <w:tcPr>
            <w:tcW w:w="0" w:type="auto"/>
            <w:vAlign w:val="center"/>
          </w:tcPr>
          <w:p w:rsidR="000A156F" w:rsidRDefault="00A9721F">
            <w:pPr>
              <w:pStyle w:val="TableBodyText"/>
            </w:pPr>
            <w:r>
              <w:t>EquationInsertRowAfter</w:t>
            </w:r>
          </w:p>
        </w:tc>
        <w:tc>
          <w:tcPr>
            <w:tcW w:w="0" w:type="auto"/>
            <w:vAlign w:val="center"/>
          </w:tcPr>
          <w:p w:rsidR="000A156F" w:rsidRDefault="00A9721F">
            <w:pPr>
              <w:pStyle w:val="TableBodyText"/>
            </w:pPr>
            <w:r>
              <w:t>07C3</w:t>
            </w:r>
          </w:p>
        </w:tc>
      </w:tr>
      <w:tr w:rsidR="000A156F" w:rsidTr="000A156F">
        <w:tc>
          <w:tcPr>
            <w:tcW w:w="0" w:type="auto"/>
            <w:vAlign w:val="center"/>
          </w:tcPr>
          <w:p w:rsidR="000A156F" w:rsidRDefault="00A9721F">
            <w:pPr>
              <w:pStyle w:val="TableBodyText"/>
            </w:pPr>
            <w:r>
              <w:t>EquationInsertRowBefore</w:t>
            </w:r>
          </w:p>
        </w:tc>
        <w:tc>
          <w:tcPr>
            <w:tcW w:w="0" w:type="auto"/>
            <w:vAlign w:val="center"/>
          </w:tcPr>
          <w:p w:rsidR="000A156F" w:rsidRDefault="00A9721F">
            <w:pPr>
              <w:pStyle w:val="TableBodyText"/>
            </w:pPr>
            <w:r>
              <w:t>07C2</w:t>
            </w:r>
          </w:p>
        </w:tc>
      </w:tr>
      <w:tr w:rsidR="000A156F" w:rsidTr="000A156F">
        <w:tc>
          <w:tcPr>
            <w:tcW w:w="0" w:type="auto"/>
            <w:vAlign w:val="center"/>
          </w:tcPr>
          <w:p w:rsidR="000A156F" w:rsidRDefault="00A9721F">
            <w:pPr>
              <w:pStyle w:val="TableBodyText"/>
            </w:pPr>
            <w:r>
              <w:t>EquationInsertStructure</w:t>
            </w:r>
          </w:p>
        </w:tc>
        <w:tc>
          <w:tcPr>
            <w:tcW w:w="0" w:type="auto"/>
            <w:vAlign w:val="center"/>
          </w:tcPr>
          <w:p w:rsidR="000A156F" w:rsidRDefault="00A9721F">
            <w:pPr>
              <w:pStyle w:val="TableBodyText"/>
            </w:pPr>
            <w:r>
              <w:t>08D9</w:t>
            </w:r>
          </w:p>
        </w:tc>
      </w:tr>
      <w:tr w:rsidR="000A156F" w:rsidTr="000A156F">
        <w:tc>
          <w:tcPr>
            <w:tcW w:w="0" w:type="auto"/>
            <w:vAlign w:val="center"/>
          </w:tcPr>
          <w:p w:rsidR="000A156F" w:rsidRDefault="00A9721F">
            <w:pPr>
              <w:pStyle w:val="TableBodyText"/>
            </w:pPr>
            <w:r>
              <w:t>EquationInsertSymbol</w:t>
            </w:r>
          </w:p>
        </w:tc>
        <w:tc>
          <w:tcPr>
            <w:tcW w:w="0" w:type="auto"/>
            <w:vAlign w:val="center"/>
          </w:tcPr>
          <w:p w:rsidR="000A156F" w:rsidRDefault="00A9721F">
            <w:pPr>
              <w:pStyle w:val="TableBodyText"/>
            </w:pPr>
            <w:r>
              <w:t>0781</w:t>
            </w:r>
          </w:p>
        </w:tc>
      </w:tr>
      <w:tr w:rsidR="000A156F" w:rsidTr="000A156F">
        <w:tc>
          <w:tcPr>
            <w:tcW w:w="0" w:type="auto"/>
            <w:vAlign w:val="center"/>
          </w:tcPr>
          <w:p w:rsidR="000A156F" w:rsidRDefault="00A9721F">
            <w:pPr>
              <w:pStyle w:val="TableBodyText"/>
            </w:pPr>
            <w:r>
              <w:t>EquationIntegralGallery</w:t>
            </w:r>
          </w:p>
        </w:tc>
        <w:tc>
          <w:tcPr>
            <w:tcW w:w="0" w:type="auto"/>
            <w:vAlign w:val="center"/>
          </w:tcPr>
          <w:p w:rsidR="000A156F" w:rsidRDefault="00A9721F">
            <w:pPr>
              <w:pStyle w:val="TableBodyText"/>
            </w:pPr>
            <w:r>
              <w:t>07D9</w:t>
            </w:r>
          </w:p>
        </w:tc>
      </w:tr>
      <w:tr w:rsidR="000A156F" w:rsidTr="000A156F">
        <w:tc>
          <w:tcPr>
            <w:tcW w:w="0" w:type="auto"/>
            <w:vAlign w:val="center"/>
          </w:tcPr>
          <w:p w:rsidR="000A156F" w:rsidRDefault="00A9721F">
            <w:pPr>
              <w:pStyle w:val="TableBodyText"/>
            </w:pPr>
            <w:r>
              <w:t>EquationJustificationMenu</w:t>
            </w:r>
          </w:p>
        </w:tc>
        <w:tc>
          <w:tcPr>
            <w:tcW w:w="0" w:type="auto"/>
            <w:vAlign w:val="center"/>
          </w:tcPr>
          <w:p w:rsidR="000A156F" w:rsidRDefault="00A9721F">
            <w:pPr>
              <w:pStyle w:val="TableBodyText"/>
            </w:pPr>
            <w:r>
              <w:t>16C7</w:t>
            </w:r>
          </w:p>
        </w:tc>
      </w:tr>
      <w:tr w:rsidR="000A156F" w:rsidTr="000A156F">
        <w:tc>
          <w:tcPr>
            <w:tcW w:w="0" w:type="auto"/>
            <w:vAlign w:val="center"/>
          </w:tcPr>
          <w:p w:rsidR="000A156F" w:rsidRDefault="00A9721F">
            <w:pPr>
              <w:pStyle w:val="TableBodyText"/>
            </w:pPr>
            <w:r>
              <w:lastRenderedPageBreak/>
              <w:t>EquationLeftJustification</w:t>
            </w:r>
          </w:p>
        </w:tc>
        <w:tc>
          <w:tcPr>
            <w:tcW w:w="0" w:type="auto"/>
            <w:vAlign w:val="center"/>
          </w:tcPr>
          <w:p w:rsidR="000A156F" w:rsidRDefault="00A9721F">
            <w:pPr>
              <w:pStyle w:val="TableBodyText"/>
            </w:pPr>
            <w:r>
              <w:t>08EB</w:t>
            </w:r>
          </w:p>
        </w:tc>
      </w:tr>
      <w:tr w:rsidR="000A156F" w:rsidTr="000A156F">
        <w:tc>
          <w:tcPr>
            <w:tcW w:w="0" w:type="auto"/>
            <w:vAlign w:val="center"/>
          </w:tcPr>
          <w:p w:rsidR="000A156F" w:rsidRDefault="00A9721F">
            <w:pPr>
              <w:pStyle w:val="TableBodyText"/>
            </w:pPr>
            <w:r>
              <w:t>EquationLimitGallery</w:t>
            </w:r>
          </w:p>
        </w:tc>
        <w:tc>
          <w:tcPr>
            <w:tcW w:w="0" w:type="auto"/>
            <w:vAlign w:val="center"/>
          </w:tcPr>
          <w:p w:rsidR="000A156F" w:rsidRDefault="00A9721F">
            <w:pPr>
              <w:pStyle w:val="TableBodyText"/>
            </w:pPr>
            <w:r>
              <w:t>088E</w:t>
            </w:r>
          </w:p>
        </w:tc>
      </w:tr>
      <w:tr w:rsidR="000A156F" w:rsidTr="000A156F">
        <w:tc>
          <w:tcPr>
            <w:tcW w:w="0" w:type="auto"/>
            <w:vAlign w:val="center"/>
          </w:tcPr>
          <w:p w:rsidR="000A156F" w:rsidRDefault="00A9721F">
            <w:pPr>
              <w:pStyle w:val="TableBodyText"/>
            </w:pPr>
            <w:r>
              <w:t>EquationLimitLocation</w:t>
            </w:r>
          </w:p>
        </w:tc>
        <w:tc>
          <w:tcPr>
            <w:tcW w:w="0" w:type="auto"/>
            <w:vAlign w:val="center"/>
          </w:tcPr>
          <w:p w:rsidR="000A156F" w:rsidRDefault="00A9721F">
            <w:pPr>
              <w:pStyle w:val="TableBodyText"/>
            </w:pPr>
            <w:r>
              <w:t>086C</w:t>
            </w:r>
          </w:p>
        </w:tc>
      </w:tr>
      <w:tr w:rsidR="000A156F" w:rsidTr="000A156F">
        <w:tc>
          <w:tcPr>
            <w:tcW w:w="0" w:type="auto"/>
            <w:vAlign w:val="center"/>
          </w:tcPr>
          <w:p w:rsidR="000A156F" w:rsidRDefault="00A9721F">
            <w:pPr>
              <w:pStyle w:val="TableBodyText"/>
            </w:pPr>
            <w:r>
              <w:t>EquationLinearFormat</w:t>
            </w:r>
          </w:p>
        </w:tc>
        <w:tc>
          <w:tcPr>
            <w:tcW w:w="0" w:type="auto"/>
            <w:vAlign w:val="center"/>
          </w:tcPr>
          <w:p w:rsidR="000A156F" w:rsidRDefault="00A9721F">
            <w:pPr>
              <w:pStyle w:val="TableBodyText"/>
            </w:pPr>
            <w:r>
              <w:t>0777</w:t>
            </w:r>
          </w:p>
        </w:tc>
      </w:tr>
      <w:tr w:rsidR="000A156F" w:rsidTr="000A156F">
        <w:tc>
          <w:tcPr>
            <w:tcW w:w="0" w:type="auto"/>
            <w:vAlign w:val="center"/>
          </w:tcPr>
          <w:p w:rsidR="000A156F" w:rsidRDefault="00A9721F">
            <w:pPr>
              <w:pStyle w:val="TableBodyText"/>
            </w:pPr>
            <w:r>
              <w:t>EquationLinearFraction</w:t>
            </w:r>
          </w:p>
        </w:tc>
        <w:tc>
          <w:tcPr>
            <w:tcW w:w="0" w:type="auto"/>
            <w:vAlign w:val="center"/>
          </w:tcPr>
          <w:p w:rsidR="000A156F" w:rsidRDefault="00A9721F">
            <w:pPr>
              <w:pStyle w:val="TableBodyText"/>
            </w:pPr>
            <w:r>
              <w:t>0865</w:t>
            </w:r>
          </w:p>
        </w:tc>
      </w:tr>
      <w:tr w:rsidR="000A156F" w:rsidTr="000A156F">
        <w:tc>
          <w:tcPr>
            <w:tcW w:w="0" w:type="auto"/>
            <w:vAlign w:val="center"/>
          </w:tcPr>
          <w:p w:rsidR="000A156F" w:rsidRDefault="00A9721F">
            <w:pPr>
              <w:pStyle w:val="TableBodyText"/>
            </w:pPr>
            <w:r>
              <w:t>EquationManualBreak</w:t>
            </w:r>
          </w:p>
        </w:tc>
        <w:tc>
          <w:tcPr>
            <w:tcW w:w="0" w:type="auto"/>
            <w:vAlign w:val="center"/>
          </w:tcPr>
          <w:p w:rsidR="000A156F" w:rsidRDefault="00A9721F">
            <w:pPr>
              <w:pStyle w:val="TableBodyText"/>
            </w:pPr>
            <w:r>
              <w:t>0881</w:t>
            </w:r>
          </w:p>
        </w:tc>
      </w:tr>
      <w:tr w:rsidR="000A156F" w:rsidTr="000A156F">
        <w:tc>
          <w:tcPr>
            <w:tcW w:w="0" w:type="auto"/>
            <w:vAlign w:val="center"/>
          </w:tcPr>
          <w:p w:rsidR="000A156F" w:rsidRDefault="00A9721F">
            <w:pPr>
              <w:pStyle w:val="TableBodyText"/>
            </w:pPr>
            <w:r>
              <w:t>EquationMatchDelimiters</w:t>
            </w:r>
          </w:p>
        </w:tc>
        <w:tc>
          <w:tcPr>
            <w:tcW w:w="0" w:type="auto"/>
            <w:vAlign w:val="center"/>
          </w:tcPr>
          <w:p w:rsidR="000A156F" w:rsidRDefault="00A9721F">
            <w:pPr>
              <w:pStyle w:val="TableBodyText"/>
            </w:pPr>
            <w:r>
              <w:t>086A</w:t>
            </w:r>
          </w:p>
        </w:tc>
      </w:tr>
      <w:tr w:rsidR="000A156F" w:rsidTr="000A156F">
        <w:tc>
          <w:tcPr>
            <w:tcW w:w="0" w:type="auto"/>
            <w:vAlign w:val="center"/>
          </w:tcPr>
          <w:p w:rsidR="000A156F" w:rsidRDefault="00A9721F">
            <w:pPr>
              <w:pStyle w:val="TableBodyText"/>
            </w:pPr>
            <w:r>
              <w:t>EquationMathAutoCorrect</w:t>
            </w:r>
          </w:p>
        </w:tc>
        <w:tc>
          <w:tcPr>
            <w:tcW w:w="0" w:type="auto"/>
            <w:vAlign w:val="center"/>
          </w:tcPr>
          <w:p w:rsidR="000A156F" w:rsidRDefault="00A9721F">
            <w:pPr>
              <w:pStyle w:val="TableBodyText"/>
            </w:pPr>
            <w:r>
              <w:t>077B</w:t>
            </w:r>
          </w:p>
        </w:tc>
      </w:tr>
      <w:tr w:rsidR="000A156F" w:rsidTr="000A156F">
        <w:tc>
          <w:tcPr>
            <w:tcW w:w="0" w:type="auto"/>
            <w:vAlign w:val="center"/>
          </w:tcPr>
          <w:p w:rsidR="000A156F" w:rsidRDefault="00A9721F">
            <w:pPr>
              <w:pStyle w:val="TableBodyText"/>
            </w:pPr>
            <w:r>
              <w:t>EquationMatrixGallery</w:t>
            </w:r>
          </w:p>
        </w:tc>
        <w:tc>
          <w:tcPr>
            <w:tcW w:w="0" w:type="auto"/>
            <w:vAlign w:val="center"/>
          </w:tcPr>
          <w:p w:rsidR="000A156F" w:rsidRDefault="00A9721F">
            <w:pPr>
              <w:pStyle w:val="TableBodyText"/>
            </w:pPr>
            <w:r>
              <w:t>0890</w:t>
            </w:r>
          </w:p>
        </w:tc>
      </w:tr>
      <w:tr w:rsidR="000A156F" w:rsidTr="000A156F">
        <w:tc>
          <w:tcPr>
            <w:tcW w:w="0" w:type="auto"/>
            <w:vAlign w:val="center"/>
          </w:tcPr>
          <w:p w:rsidR="000A156F" w:rsidRDefault="00A9721F">
            <w:pPr>
              <w:pStyle w:val="TableBodyText"/>
            </w:pPr>
            <w:r>
              <w:t>EquationMatrixSpacing</w:t>
            </w:r>
          </w:p>
        </w:tc>
        <w:tc>
          <w:tcPr>
            <w:tcW w:w="0" w:type="auto"/>
            <w:vAlign w:val="center"/>
          </w:tcPr>
          <w:p w:rsidR="000A156F" w:rsidRDefault="00A9721F">
            <w:pPr>
              <w:pStyle w:val="TableBodyText"/>
            </w:pPr>
            <w:r>
              <w:t>08FF</w:t>
            </w:r>
          </w:p>
        </w:tc>
      </w:tr>
      <w:tr w:rsidR="000A156F" w:rsidTr="000A156F">
        <w:tc>
          <w:tcPr>
            <w:tcW w:w="0" w:type="auto"/>
            <w:vAlign w:val="center"/>
          </w:tcPr>
          <w:p w:rsidR="000A156F" w:rsidRDefault="00A9721F">
            <w:pPr>
              <w:pStyle w:val="TableBodyText"/>
            </w:pPr>
            <w:r>
              <w:t>EquationNaryGallery</w:t>
            </w:r>
          </w:p>
        </w:tc>
        <w:tc>
          <w:tcPr>
            <w:tcW w:w="0" w:type="auto"/>
            <w:vAlign w:val="center"/>
          </w:tcPr>
          <w:p w:rsidR="000A156F" w:rsidRDefault="00A9721F">
            <w:pPr>
              <w:pStyle w:val="TableBodyText"/>
            </w:pPr>
            <w:r>
              <w:t>07DB</w:t>
            </w:r>
          </w:p>
        </w:tc>
      </w:tr>
      <w:tr w:rsidR="000A156F" w:rsidTr="000A156F">
        <w:tc>
          <w:tcPr>
            <w:tcW w:w="0" w:type="auto"/>
            <w:vAlign w:val="center"/>
          </w:tcPr>
          <w:p w:rsidR="000A156F" w:rsidRDefault="00A9721F">
            <w:pPr>
              <w:pStyle w:val="TableBodyText"/>
            </w:pPr>
            <w:r>
              <w:t>EquationNaryLimitLocation</w:t>
            </w:r>
          </w:p>
        </w:tc>
        <w:tc>
          <w:tcPr>
            <w:tcW w:w="0" w:type="auto"/>
            <w:vAlign w:val="center"/>
          </w:tcPr>
          <w:p w:rsidR="000A156F" w:rsidRDefault="00A9721F">
            <w:pPr>
              <w:pStyle w:val="TableBodyText"/>
            </w:pPr>
            <w:r>
              <w:t>086B</w:t>
            </w:r>
          </w:p>
        </w:tc>
      </w:tr>
      <w:tr w:rsidR="000A156F" w:rsidTr="000A156F">
        <w:tc>
          <w:tcPr>
            <w:tcW w:w="0" w:type="auto"/>
            <w:vAlign w:val="center"/>
          </w:tcPr>
          <w:p w:rsidR="000A156F" w:rsidRDefault="00A9721F">
            <w:pPr>
              <w:pStyle w:val="TableBodyText"/>
            </w:pPr>
            <w:r>
              <w:t>EquationNoBarFraction</w:t>
            </w:r>
          </w:p>
        </w:tc>
        <w:tc>
          <w:tcPr>
            <w:tcW w:w="0" w:type="auto"/>
            <w:vAlign w:val="center"/>
          </w:tcPr>
          <w:p w:rsidR="000A156F" w:rsidRDefault="00A9721F">
            <w:pPr>
              <w:pStyle w:val="TableBodyText"/>
            </w:pPr>
            <w:r>
              <w:t>0863</w:t>
            </w:r>
          </w:p>
        </w:tc>
      </w:tr>
      <w:tr w:rsidR="000A156F" w:rsidTr="000A156F">
        <w:tc>
          <w:tcPr>
            <w:tcW w:w="0" w:type="auto"/>
            <w:vAlign w:val="center"/>
          </w:tcPr>
          <w:p w:rsidR="000A156F" w:rsidRDefault="00A9721F">
            <w:pPr>
              <w:pStyle w:val="TableBodyText"/>
            </w:pPr>
            <w:r>
              <w:t>EquationNormalText</w:t>
            </w:r>
          </w:p>
        </w:tc>
        <w:tc>
          <w:tcPr>
            <w:tcW w:w="0" w:type="auto"/>
            <w:vAlign w:val="center"/>
          </w:tcPr>
          <w:p w:rsidR="000A156F" w:rsidRDefault="00A9721F">
            <w:pPr>
              <w:pStyle w:val="TableBodyText"/>
            </w:pPr>
            <w:r>
              <w:t>088B</w:t>
            </w:r>
          </w:p>
        </w:tc>
      </w:tr>
      <w:tr w:rsidR="000A156F" w:rsidTr="000A156F">
        <w:tc>
          <w:tcPr>
            <w:tcW w:w="0" w:type="auto"/>
            <w:vAlign w:val="center"/>
          </w:tcPr>
          <w:p w:rsidR="000A156F" w:rsidRDefault="00A9721F">
            <w:pPr>
              <w:pStyle w:val="TableBodyText"/>
            </w:pPr>
            <w:r>
              <w:t>EquationOperatorGallery</w:t>
            </w:r>
          </w:p>
        </w:tc>
        <w:tc>
          <w:tcPr>
            <w:tcW w:w="0" w:type="auto"/>
            <w:vAlign w:val="center"/>
          </w:tcPr>
          <w:p w:rsidR="000A156F" w:rsidRDefault="00A9721F">
            <w:pPr>
              <w:pStyle w:val="TableBodyText"/>
            </w:pPr>
            <w:r>
              <w:t>088F</w:t>
            </w:r>
          </w:p>
        </w:tc>
      </w:tr>
      <w:tr w:rsidR="000A156F" w:rsidTr="000A156F">
        <w:tc>
          <w:tcPr>
            <w:tcW w:w="0" w:type="auto"/>
            <w:vAlign w:val="center"/>
          </w:tcPr>
          <w:p w:rsidR="000A156F" w:rsidRDefault="00A9721F">
            <w:pPr>
              <w:pStyle w:val="TableBodyText"/>
            </w:pPr>
            <w:r>
              <w:t>EquationProfessionalFormat</w:t>
            </w:r>
          </w:p>
        </w:tc>
        <w:tc>
          <w:tcPr>
            <w:tcW w:w="0" w:type="auto"/>
            <w:vAlign w:val="center"/>
          </w:tcPr>
          <w:p w:rsidR="000A156F" w:rsidRDefault="00A9721F">
            <w:pPr>
              <w:pStyle w:val="TableBodyText"/>
            </w:pPr>
            <w:r>
              <w:t>0776</w:t>
            </w:r>
          </w:p>
        </w:tc>
      </w:tr>
      <w:tr w:rsidR="000A156F" w:rsidTr="000A156F">
        <w:tc>
          <w:tcPr>
            <w:tcW w:w="0" w:type="auto"/>
            <w:vAlign w:val="center"/>
          </w:tcPr>
          <w:p w:rsidR="000A156F" w:rsidRDefault="00A9721F">
            <w:pPr>
              <w:pStyle w:val="TableBodyText"/>
            </w:pPr>
            <w:r>
              <w:t>EquationRadicalGallery</w:t>
            </w:r>
          </w:p>
        </w:tc>
        <w:tc>
          <w:tcPr>
            <w:tcW w:w="0" w:type="auto"/>
            <w:vAlign w:val="center"/>
          </w:tcPr>
          <w:p w:rsidR="000A156F" w:rsidRDefault="00A9721F">
            <w:pPr>
              <w:pStyle w:val="TableBodyText"/>
            </w:pPr>
            <w:r>
              <w:t>07DA</w:t>
            </w:r>
          </w:p>
        </w:tc>
      </w:tr>
      <w:tr w:rsidR="000A156F" w:rsidTr="000A156F">
        <w:tc>
          <w:tcPr>
            <w:tcW w:w="0" w:type="auto"/>
            <w:vAlign w:val="center"/>
          </w:tcPr>
          <w:p w:rsidR="000A156F" w:rsidRDefault="00A9721F">
            <w:pPr>
              <w:pStyle w:val="TableBodyText"/>
            </w:pPr>
            <w:r>
              <w:t>EquationRecognizedFunctions</w:t>
            </w:r>
          </w:p>
        </w:tc>
        <w:tc>
          <w:tcPr>
            <w:tcW w:w="0" w:type="auto"/>
            <w:vAlign w:val="center"/>
          </w:tcPr>
          <w:p w:rsidR="000A156F" w:rsidRDefault="00A9721F">
            <w:pPr>
              <w:pStyle w:val="TableBodyText"/>
            </w:pPr>
            <w:r>
              <w:t>0875</w:t>
            </w:r>
          </w:p>
        </w:tc>
      </w:tr>
      <w:tr w:rsidR="000A156F" w:rsidTr="000A156F">
        <w:tc>
          <w:tcPr>
            <w:tcW w:w="0" w:type="auto"/>
            <w:vAlign w:val="center"/>
          </w:tcPr>
          <w:p w:rsidR="000A156F" w:rsidRDefault="00A9721F">
            <w:pPr>
              <w:pStyle w:val="TableBodyText"/>
            </w:pPr>
            <w:r>
              <w:t>EquationRemoveStructure</w:t>
            </w:r>
          </w:p>
        </w:tc>
        <w:tc>
          <w:tcPr>
            <w:tcW w:w="0" w:type="auto"/>
            <w:vAlign w:val="center"/>
          </w:tcPr>
          <w:p w:rsidR="000A156F" w:rsidRDefault="00A9721F">
            <w:pPr>
              <w:pStyle w:val="TableBodyText"/>
            </w:pPr>
            <w:r>
              <w:t>085F</w:t>
            </w:r>
          </w:p>
        </w:tc>
      </w:tr>
      <w:tr w:rsidR="000A156F" w:rsidTr="000A156F">
        <w:tc>
          <w:tcPr>
            <w:tcW w:w="0" w:type="auto"/>
            <w:vAlign w:val="center"/>
          </w:tcPr>
          <w:p w:rsidR="000A156F" w:rsidRDefault="00A9721F">
            <w:pPr>
              <w:pStyle w:val="TableBodyText"/>
            </w:pPr>
            <w:r>
              <w:t>EquationRemoveSubscript</w:t>
            </w:r>
          </w:p>
        </w:tc>
        <w:tc>
          <w:tcPr>
            <w:tcW w:w="0" w:type="auto"/>
            <w:vAlign w:val="center"/>
          </w:tcPr>
          <w:p w:rsidR="000A156F" w:rsidRDefault="00A9721F">
            <w:pPr>
              <w:pStyle w:val="TableBodyText"/>
            </w:pPr>
            <w:r>
              <w:t>0860</w:t>
            </w:r>
          </w:p>
        </w:tc>
      </w:tr>
      <w:tr w:rsidR="000A156F" w:rsidTr="000A156F">
        <w:tc>
          <w:tcPr>
            <w:tcW w:w="0" w:type="auto"/>
            <w:vAlign w:val="center"/>
          </w:tcPr>
          <w:p w:rsidR="000A156F" w:rsidRDefault="00A9721F">
            <w:pPr>
              <w:pStyle w:val="TableBodyText"/>
            </w:pPr>
            <w:r>
              <w:t>EquationRemoveSuperscript</w:t>
            </w:r>
          </w:p>
        </w:tc>
        <w:tc>
          <w:tcPr>
            <w:tcW w:w="0" w:type="auto"/>
            <w:vAlign w:val="center"/>
          </w:tcPr>
          <w:p w:rsidR="000A156F" w:rsidRDefault="00A9721F">
            <w:pPr>
              <w:pStyle w:val="TableBodyText"/>
            </w:pPr>
            <w:r>
              <w:t>0861</w:t>
            </w:r>
          </w:p>
        </w:tc>
      </w:tr>
      <w:tr w:rsidR="000A156F" w:rsidTr="000A156F">
        <w:tc>
          <w:tcPr>
            <w:tcW w:w="0" w:type="auto"/>
            <w:vAlign w:val="center"/>
          </w:tcPr>
          <w:p w:rsidR="000A156F" w:rsidRDefault="00A9721F">
            <w:pPr>
              <w:pStyle w:val="TableBodyText"/>
            </w:pPr>
            <w:r>
              <w:t>EquationRightJustification</w:t>
            </w:r>
          </w:p>
        </w:tc>
        <w:tc>
          <w:tcPr>
            <w:tcW w:w="0" w:type="auto"/>
            <w:vAlign w:val="center"/>
          </w:tcPr>
          <w:p w:rsidR="000A156F" w:rsidRDefault="00A9721F">
            <w:pPr>
              <w:pStyle w:val="TableBodyText"/>
            </w:pPr>
            <w:r>
              <w:t>08EC</w:t>
            </w:r>
          </w:p>
        </w:tc>
      </w:tr>
      <w:tr w:rsidR="000A156F" w:rsidTr="000A156F">
        <w:tc>
          <w:tcPr>
            <w:tcW w:w="0" w:type="auto"/>
            <w:vAlign w:val="center"/>
          </w:tcPr>
          <w:p w:rsidR="000A156F" w:rsidRDefault="00A9721F">
            <w:pPr>
              <w:pStyle w:val="TableBodyText"/>
            </w:pPr>
            <w:r>
              <w:t>EquationScriptAlignment</w:t>
            </w:r>
          </w:p>
        </w:tc>
        <w:tc>
          <w:tcPr>
            <w:tcW w:w="0" w:type="auto"/>
            <w:vAlign w:val="center"/>
          </w:tcPr>
          <w:p w:rsidR="000A156F" w:rsidRDefault="00A9721F">
            <w:pPr>
              <w:pStyle w:val="TableBodyText"/>
            </w:pPr>
            <w:r>
              <w:t>0868</w:t>
            </w:r>
          </w:p>
        </w:tc>
      </w:tr>
      <w:tr w:rsidR="000A156F" w:rsidTr="000A156F">
        <w:tc>
          <w:tcPr>
            <w:tcW w:w="0" w:type="auto"/>
            <w:vAlign w:val="center"/>
          </w:tcPr>
          <w:p w:rsidR="000A156F" w:rsidRDefault="00A9721F">
            <w:pPr>
              <w:pStyle w:val="TableBodyText"/>
            </w:pPr>
            <w:r>
              <w:t>EquationScriptGallery</w:t>
            </w:r>
          </w:p>
        </w:tc>
        <w:tc>
          <w:tcPr>
            <w:tcW w:w="0" w:type="auto"/>
            <w:vAlign w:val="center"/>
          </w:tcPr>
          <w:p w:rsidR="000A156F" w:rsidRDefault="00A9721F">
            <w:pPr>
              <w:pStyle w:val="TableBodyText"/>
            </w:pPr>
            <w:r>
              <w:t>07DD</w:t>
            </w:r>
          </w:p>
        </w:tc>
      </w:tr>
      <w:tr w:rsidR="000A156F" w:rsidTr="000A156F">
        <w:tc>
          <w:tcPr>
            <w:tcW w:w="0" w:type="auto"/>
            <w:vAlign w:val="center"/>
          </w:tcPr>
          <w:p w:rsidR="000A156F" w:rsidRDefault="00A9721F">
            <w:pPr>
              <w:pStyle w:val="TableBodyText"/>
            </w:pPr>
            <w:r>
              <w:t>EquationScriptLocation</w:t>
            </w:r>
          </w:p>
        </w:tc>
        <w:tc>
          <w:tcPr>
            <w:tcW w:w="0" w:type="auto"/>
            <w:vAlign w:val="center"/>
          </w:tcPr>
          <w:p w:rsidR="000A156F" w:rsidRDefault="00A9721F">
            <w:pPr>
              <w:pStyle w:val="TableBodyText"/>
            </w:pPr>
            <w:r>
              <w:t>08D8</w:t>
            </w:r>
          </w:p>
        </w:tc>
      </w:tr>
      <w:tr w:rsidR="000A156F" w:rsidTr="000A156F">
        <w:tc>
          <w:tcPr>
            <w:tcW w:w="0" w:type="auto"/>
            <w:vAlign w:val="center"/>
          </w:tcPr>
          <w:p w:rsidR="000A156F" w:rsidRDefault="00A9721F">
            <w:pPr>
              <w:pStyle w:val="TableBodyText"/>
            </w:pPr>
            <w:r>
              <w:t>EquationShowHideBorderBLTRStrike</w:t>
            </w:r>
          </w:p>
        </w:tc>
        <w:tc>
          <w:tcPr>
            <w:tcW w:w="0" w:type="auto"/>
            <w:vAlign w:val="center"/>
          </w:tcPr>
          <w:p w:rsidR="000A156F" w:rsidRDefault="00A9721F">
            <w:pPr>
              <w:pStyle w:val="TableBodyText"/>
            </w:pPr>
            <w:r>
              <w:t>0984</w:t>
            </w:r>
          </w:p>
        </w:tc>
      </w:tr>
      <w:tr w:rsidR="000A156F" w:rsidTr="000A156F">
        <w:tc>
          <w:tcPr>
            <w:tcW w:w="0" w:type="auto"/>
            <w:vAlign w:val="center"/>
          </w:tcPr>
          <w:p w:rsidR="000A156F" w:rsidRDefault="00A9721F">
            <w:pPr>
              <w:pStyle w:val="TableBodyText"/>
            </w:pPr>
            <w:r>
              <w:t>EquationShowHideBorderBottom</w:t>
            </w:r>
          </w:p>
        </w:tc>
        <w:tc>
          <w:tcPr>
            <w:tcW w:w="0" w:type="auto"/>
            <w:vAlign w:val="center"/>
          </w:tcPr>
          <w:p w:rsidR="000A156F" w:rsidRDefault="00A9721F">
            <w:pPr>
              <w:pStyle w:val="TableBodyText"/>
            </w:pPr>
            <w:r>
              <w:t>097E</w:t>
            </w:r>
          </w:p>
        </w:tc>
      </w:tr>
      <w:tr w:rsidR="000A156F" w:rsidTr="000A156F">
        <w:tc>
          <w:tcPr>
            <w:tcW w:w="0" w:type="auto"/>
            <w:vAlign w:val="center"/>
          </w:tcPr>
          <w:p w:rsidR="000A156F" w:rsidRDefault="00A9721F">
            <w:pPr>
              <w:pStyle w:val="TableBodyText"/>
            </w:pPr>
            <w:r>
              <w:t>EquationShowHideBorderHorizontalStrike</w:t>
            </w:r>
          </w:p>
        </w:tc>
        <w:tc>
          <w:tcPr>
            <w:tcW w:w="0" w:type="auto"/>
            <w:vAlign w:val="center"/>
          </w:tcPr>
          <w:p w:rsidR="000A156F" w:rsidRDefault="00A9721F">
            <w:pPr>
              <w:pStyle w:val="TableBodyText"/>
            </w:pPr>
            <w:r>
              <w:t>0981</w:t>
            </w:r>
          </w:p>
        </w:tc>
      </w:tr>
      <w:tr w:rsidR="000A156F" w:rsidTr="000A156F">
        <w:tc>
          <w:tcPr>
            <w:tcW w:w="0" w:type="auto"/>
            <w:vAlign w:val="center"/>
          </w:tcPr>
          <w:p w:rsidR="000A156F" w:rsidRDefault="00A9721F">
            <w:pPr>
              <w:pStyle w:val="TableBodyText"/>
            </w:pPr>
            <w:r>
              <w:t>EquationShowHideBorderLeft</w:t>
            </w:r>
          </w:p>
        </w:tc>
        <w:tc>
          <w:tcPr>
            <w:tcW w:w="0" w:type="auto"/>
            <w:vAlign w:val="center"/>
          </w:tcPr>
          <w:p w:rsidR="000A156F" w:rsidRDefault="00A9721F">
            <w:pPr>
              <w:pStyle w:val="TableBodyText"/>
            </w:pPr>
            <w:r>
              <w:t>097F</w:t>
            </w:r>
          </w:p>
        </w:tc>
      </w:tr>
      <w:tr w:rsidR="000A156F" w:rsidTr="000A156F">
        <w:tc>
          <w:tcPr>
            <w:tcW w:w="0" w:type="auto"/>
            <w:vAlign w:val="center"/>
          </w:tcPr>
          <w:p w:rsidR="000A156F" w:rsidRDefault="00A9721F">
            <w:pPr>
              <w:pStyle w:val="TableBodyText"/>
            </w:pPr>
            <w:r>
              <w:t>EquationShowHideBorderRight</w:t>
            </w:r>
          </w:p>
        </w:tc>
        <w:tc>
          <w:tcPr>
            <w:tcW w:w="0" w:type="auto"/>
            <w:vAlign w:val="center"/>
          </w:tcPr>
          <w:p w:rsidR="000A156F" w:rsidRDefault="00A9721F">
            <w:pPr>
              <w:pStyle w:val="TableBodyText"/>
            </w:pPr>
            <w:r>
              <w:t>0980</w:t>
            </w:r>
          </w:p>
        </w:tc>
      </w:tr>
      <w:tr w:rsidR="000A156F" w:rsidTr="000A156F">
        <w:tc>
          <w:tcPr>
            <w:tcW w:w="0" w:type="auto"/>
            <w:vAlign w:val="center"/>
          </w:tcPr>
          <w:p w:rsidR="000A156F" w:rsidRDefault="00A9721F">
            <w:pPr>
              <w:pStyle w:val="TableBodyText"/>
            </w:pPr>
            <w:r>
              <w:t>EquationShowHideBorderTLBRStrike</w:t>
            </w:r>
          </w:p>
        </w:tc>
        <w:tc>
          <w:tcPr>
            <w:tcW w:w="0" w:type="auto"/>
            <w:vAlign w:val="center"/>
          </w:tcPr>
          <w:p w:rsidR="000A156F" w:rsidRDefault="00A9721F">
            <w:pPr>
              <w:pStyle w:val="TableBodyText"/>
            </w:pPr>
            <w:r>
              <w:t>0983</w:t>
            </w:r>
          </w:p>
        </w:tc>
      </w:tr>
      <w:tr w:rsidR="000A156F" w:rsidTr="000A156F">
        <w:tc>
          <w:tcPr>
            <w:tcW w:w="0" w:type="auto"/>
            <w:vAlign w:val="center"/>
          </w:tcPr>
          <w:p w:rsidR="000A156F" w:rsidRDefault="00A9721F">
            <w:pPr>
              <w:pStyle w:val="TableBodyText"/>
            </w:pPr>
            <w:r>
              <w:t>EquationShowHideBorderTop</w:t>
            </w:r>
          </w:p>
        </w:tc>
        <w:tc>
          <w:tcPr>
            <w:tcW w:w="0" w:type="auto"/>
            <w:vAlign w:val="center"/>
          </w:tcPr>
          <w:p w:rsidR="000A156F" w:rsidRDefault="00A9721F">
            <w:pPr>
              <w:pStyle w:val="TableBodyText"/>
            </w:pPr>
            <w:r>
              <w:t>097D</w:t>
            </w:r>
          </w:p>
        </w:tc>
      </w:tr>
      <w:tr w:rsidR="000A156F" w:rsidTr="000A156F">
        <w:tc>
          <w:tcPr>
            <w:tcW w:w="0" w:type="auto"/>
            <w:vAlign w:val="center"/>
          </w:tcPr>
          <w:p w:rsidR="000A156F" w:rsidRDefault="00A9721F">
            <w:pPr>
              <w:pStyle w:val="TableBodyText"/>
            </w:pPr>
            <w:r>
              <w:lastRenderedPageBreak/>
              <w:t>EquationShowHideBorderVerticalStrike</w:t>
            </w:r>
          </w:p>
        </w:tc>
        <w:tc>
          <w:tcPr>
            <w:tcW w:w="0" w:type="auto"/>
            <w:vAlign w:val="center"/>
          </w:tcPr>
          <w:p w:rsidR="000A156F" w:rsidRDefault="00A9721F">
            <w:pPr>
              <w:pStyle w:val="TableBodyText"/>
            </w:pPr>
            <w:r>
              <w:t>0982</w:t>
            </w:r>
          </w:p>
        </w:tc>
      </w:tr>
      <w:tr w:rsidR="000A156F" w:rsidTr="000A156F">
        <w:tc>
          <w:tcPr>
            <w:tcW w:w="0" w:type="auto"/>
            <w:vAlign w:val="center"/>
          </w:tcPr>
          <w:p w:rsidR="000A156F" w:rsidRDefault="00A9721F">
            <w:pPr>
              <w:pStyle w:val="TableBodyText"/>
            </w:pPr>
            <w:r>
              <w:t>EquationShowHideClosingDelimiter</w:t>
            </w:r>
          </w:p>
        </w:tc>
        <w:tc>
          <w:tcPr>
            <w:tcW w:w="0" w:type="auto"/>
            <w:vAlign w:val="center"/>
          </w:tcPr>
          <w:p w:rsidR="000A156F" w:rsidRDefault="00A9721F">
            <w:pPr>
              <w:pStyle w:val="TableBodyText"/>
            </w:pPr>
            <w:r>
              <w:t>07D3</w:t>
            </w:r>
          </w:p>
        </w:tc>
      </w:tr>
      <w:tr w:rsidR="000A156F" w:rsidTr="000A156F">
        <w:tc>
          <w:tcPr>
            <w:tcW w:w="0" w:type="auto"/>
            <w:vAlign w:val="center"/>
          </w:tcPr>
          <w:p w:rsidR="000A156F" w:rsidRDefault="00A9721F">
            <w:pPr>
              <w:pStyle w:val="TableBodyText"/>
            </w:pPr>
            <w:r>
              <w:t>EquationShowHideLowerLimit</w:t>
            </w:r>
          </w:p>
        </w:tc>
        <w:tc>
          <w:tcPr>
            <w:tcW w:w="0" w:type="auto"/>
            <w:vAlign w:val="center"/>
          </w:tcPr>
          <w:p w:rsidR="000A156F" w:rsidRDefault="00A9721F">
            <w:pPr>
              <w:pStyle w:val="TableBodyText"/>
            </w:pPr>
            <w:r>
              <w:t>07CF</w:t>
            </w:r>
          </w:p>
        </w:tc>
      </w:tr>
      <w:tr w:rsidR="000A156F" w:rsidTr="000A156F">
        <w:tc>
          <w:tcPr>
            <w:tcW w:w="0" w:type="auto"/>
            <w:vAlign w:val="center"/>
          </w:tcPr>
          <w:p w:rsidR="000A156F" w:rsidRDefault="00A9721F">
            <w:pPr>
              <w:pStyle w:val="TableBodyText"/>
            </w:pPr>
            <w:r>
              <w:t>EquationShowHideOpeningDelimiter</w:t>
            </w:r>
          </w:p>
        </w:tc>
        <w:tc>
          <w:tcPr>
            <w:tcW w:w="0" w:type="auto"/>
            <w:vAlign w:val="center"/>
          </w:tcPr>
          <w:p w:rsidR="000A156F" w:rsidRDefault="00A9721F">
            <w:pPr>
              <w:pStyle w:val="TableBodyText"/>
            </w:pPr>
            <w:r>
              <w:t>07D2</w:t>
            </w:r>
          </w:p>
        </w:tc>
      </w:tr>
      <w:tr w:rsidR="000A156F" w:rsidTr="000A156F">
        <w:tc>
          <w:tcPr>
            <w:tcW w:w="0" w:type="auto"/>
            <w:vAlign w:val="center"/>
          </w:tcPr>
          <w:p w:rsidR="000A156F" w:rsidRDefault="00A9721F">
            <w:pPr>
              <w:pStyle w:val="TableBodyText"/>
            </w:pPr>
            <w:r>
              <w:t>EquationShowHidePlaceholders</w:t>
            </w:r>
          </w:p>
        </w:tc>
        <w:tc>
          <w:tcPr>
            <w:tcW w:w="0" w:type="auto"/>
            <w:vAlign w:val="center"/>
          </w:tcPr>
          <w:p w:rsidR="000A156F" w:rsidRDefault="00A9721F">
            <w:pPr>
              <w:pStyle w:val="TableBodyText"/>
            </w:pPr>
            <w:r>
              <w:t>0867</w:t>
            </w:r>
          </w:p>
        </w:tc>
      </w:tr>
      <w:tr w:rsidR="000A156F" w:rsidTr="000A156F">
        <w:tc>
          <w:tcPr>
            <w:tcW w:w="0" w:type="auto"/>
            <w:vAlign w:val="center"/>
          </w:tcPr>
          <w:p w:rsidR="000A156F" w:rsidRDefault="00A9721F">
            <w:pPr>
              <w:pStyle w:val="TableBodyText"/>
            </w:pPr>
            <w:r>
              <w:t>EquationShowHideRadicalDegree</w:t>
            </w:r>
          </w:p>
        </w:tc>
        <w:tc>
          <w:tcPr>
            <w:tcW w:w="0" w:type="auto"/>
            <w:vAlign w:val="center"/>
          </w:tcPr>
          <w:p w:rsidR="000A156F" w:rsidRDefault="00A9721F">
            <w:pPr>
              <w:pStyle w:val="TableBodyText"/>
            </w:pPr>
            <w:r>
              <w:t>07D1</w:t>
            </w:r>
          </w:p>
        </w:tc>
      </w:tr>
      <w:tr w:rsidR="000A156F" w:rsidTr="000A156F">
        <w:tc>
          <w:tcPr>
            <w:tcW w:w="0" w:type="auto"/>
            <w:vAlign w:val="center"/>
          </w:tcPr>
          <w:p w:rsidR="000A156F" w:rsidRDefault="00A9721F">
            <w:pPr>
              <w:pStyle w:val="TableBodyText"/>
            </w:pPr>
            <w:r>
              <w:t>EquationShowHideUpperLimit</w:t>
            </w:r>
          </w:p>
        </w:tc>
        <w:tc>
          <w:tcPr>
            <w:tcW w:w="0" w:type="auto"/>
            <w:vAlign w:val="center"/>
          </w:tcPr>
          <w:p w:rsidR="000A156F" w:rsidRDefault="00A9721F">
            <w:pPr>
              <w:pStyle w:val="TableBodyText"/>
            </w:pPr>
            <w:r>
              <w:t>07D0</w:t>
            </w:r>
          </w:p>
        </w:tc>
      </w:tr>
      <w:tr w:rsidR="000A156F" w:rsidTr="000A156F">
        <w:tc>
          <w:tcPr>
            <w:tcW w:w="0" w:type="auto"/>
            <w:vAlign w:val="center"/>
          </w:tcPr>
          <w:p w:rsidR="000A156F" w:rsidRDefault="00A9721F">
            <w:pPr>
              <w:pStyle w:val="TableBodyText"/>
            </w:pPr>
            <w:r>
              <w:t>EquationSkewedFraction</w:t>
            </w:r>
          </w:p>
        </w:tc>
        <w:tc>
          <w:tcPr>
            <w:tcW w:w="0" w:type="auto"/>
            <w:vAlign w:val="center"/>
          </w:tcPr>
          <w:p w:rsidR="000A156F" w:rsidRDefault="00A9721F">
            <w:pPr>
              <w:pStyle w:val="TableBodyText"/>
            </w:pPr>
            <w:r>
              <w:t>0864</w:t>
            </w:r>
          </w:p>
        </w:tc>
      </w:tr>
      <w:tr w:rsidR="000A156F" w:rsidTr="000A156F">
        <w:tc>
          <w:tcPr>
            <w:tcW w:w="0" w:type="auto"/>
            <w:vAlign w:val="center"/>
          </w:tcPr>
          <w:p w:rsidR="000A156F" w:rsidRDefault="00A9721F">
            <w:pPr>
              <w:pStyle w:val="TableBodyText"/>
            </w:pPr>
            <w:r>
              <w:t>EquationStackedFraction</w:t>
            </w:r>
          </w:p>
        </w:tc>
        <w:tc>
          <w:tcPr>
            <w:tcW w:w="0" w:type="auto"/>
            <w:vAlign w:val="center"/>
          </w:tcPr>
          <w:p w:rsidR="000A156F" w:rsidRDefault="00A9721F">
            <w:pPr>
              <w:pStyle w:val="TableBodyText"/>
            </w:pPr>
            <w:r>
              <w:t>0862</w:t>
            </w:r>
          </w:p>
        </w:tc>
      </w:tr>
      <w:tr w:rsidR="000A156F" w:rsidTr="000A156F">
        <w:tc>
          <w:tcPr>
            <w:tcW w:w="0" w:type="auto"/>
            <w:vAlign w:val="center"/>
          </w:tcPr>
          <w:p w:rsidR="000A156F" w:rsidRDefault="00A9721F">
            <w:pPr>
              <w:pStyle w:val="TableBodyText"/>
            </w:pPr>
            <w:r>
              <w:t>EquationStretchDelimiters</w:t>
            </w:r>
          </w:p>
        </w:tc>
        <w:tc>
          <w:tcPr>
            <w:tcW w:w="0" w:type="auto"/>
            <w:vAlign w:val="center"/>
          </w:tcPr>
          <w:p w:rsidR="000A156F" w:rsidRDefault="00A9721F">
            <w:pPr>
              <w:pStyle w:val="TableBodyText"/>
            </w:pPr>
            <w:r>
              <w:t>0866</w:t>
            </w:r>
          </w:p>
        </w:tc>
      </w:tr>
      <w:tr w:rsidR="000A156F" w:rsidTr="000A156F">
        <w:tc>
          <w:tcPr>
            <w:tcW w:w="0" w:type="auto"/>
            <w:vAlign w:val="center"/>
          </w:tcPr>
          <w:p w:rsidR="000A156F" w:rsidRDefault="00A9721F">
            <w:pPr>
              <w:pStyle w:val="TableBodyText"/>
            </w:pPr>
            <w:r>
              <w:t>EquationStretchNaryOperator</w:t>
            </w:r>
          </w:p>
        </w:tc>
        <w:tc>
          <w:tcPr>
            <w:tcW w:w="0" w:type="auto"/>
            <w:vAlign w:val="center"/>
          </w:tcPr>
          <w:p w:rsidR="000A156F" w:rsidRDefault="00A9721F">
            <w:pPr>
              <w:pStyle w:val="TableBodyText"/>
            </w:pPr>
            <w:r>
              <w:t>086F</w:t>
            </w:r>
          </w:p>
        </w:tc>
      </w:tr>
      <w:tr w:rsidR="000A156F" w:rsidTr="000A156F">
        <w:tc>
          <w:tcPr>
            <w:tcW w:w="0" w:type="auto"/>
            <w:vAlign w:val="center"/>
          </w:tcPr>
          <w:p w:rsidR="000A156F" w:rsidRDefault="00A9721F">
            <w:pPr>
              <w:pStyle w:val="TableBodyText"/>
            </w:pPr>
            <w:r>
              <w:t>EquationSymbolsGallery</w:t>
            </w:r>
          </w:p>
        </w:tc>
        <w:tc>
          <w:tcPr>
            <w:tcW w:w="0" w:type="auto"/>
            <w:vAlign w:val="center"/>
          </w:tcPr>
          <w:p w:rsidR="000A156F" w:rsidRDefault="00A9721F">
            <w:pPr>
              <w:pStyle w:val="TableBodyText"/>
            </w:pPr>
            <w:r>
              <w:t>0803</w:t>
            </w:r>
          </w:p>
        </w:tc>
      </w:tr>
      <w:tr w:rsidR="000A156F" w:rsidTr="000A156F">
        <w:tc>
          <w:tcPr>
            <w:tcW w:w="0" w:type="auto"/>
            <w:vAlign w:val="center"/>
          </w:tcPr>
          <w:p w:rsidR="000A156F" w:rsidRDefault="00A9721F">
            <w:pPr>
              <w:pStyle w:val="TableBodyText"/>
            </w:pPr>
            <w:r>
              <w:t>EquationToggle</w:t>
            </w:r>
          </w:p>
        </w:tc>
        <w:tc>
          <w:tcPr>
            <w:tcW w:w="0" w:type="auto"/>
            <w:vAlign w:val="center"/>
          </w:tcPr>
          <w:p w:rsidR="000A156F" w:rsidRDefault="00A9721F">
            <w:pPr>
              <w:pStyle w:val="TableBodyText"/>
            </w:pPr>
            <w:r>
              <w:t>0775</w:t>
            </w:r>
          </w:p>
        </w:tc>
      </w:tr>
      <w:tr w:rsidR="000A156F" w:rsidTr="000A156F">
        <w:tc>
          <w:tcPr>
            <w:tcW w:w="0" w:type="auto"/>
            <w:vAlign w:val="center"/>
          </w:tcPr>
          <w:p w:rsidR="000A156F" w:rsidRDefault="00A9721F">
            <w:pPr>
              <w:pStyle w:val="TableBodyText"/>
            </w:pPr>
            <w:r>
              <w:t>EquationVerticalBottom</w:t>
            </w:r>
          </w:p>
        </w:tc>
        <w:tc>
          <w:tcPr>
            <w:tcW w:w="0" w:type="auto"/>
            <w:vAlign w:val="center"/>
          </w:tcPr>
          <w:p w:rsidR="000A156F" w:rsidRDefault="00A9721F">
            <w:pPr>
              <w:pStyle w:val="TableBodyText"/>
            </w:pPr>
            <w:r>
              <w:t>07CB</w:t>
            </w:r>
          </w:p>
        </w:tc>
      </w:tr>
      <w:tr w:rsidR="000A156F" w:rsidTr="000A156F">
        <w:tc>
          <w:tcPr>
            <w:tcW w:w="0" w:type="auto"/>
            <w:vAlign w:val="center"/>
          </w:tcPr>
          <w:p w:rsidR="000A156F" w:rsidRDefault="00A9721F">
            <w:pPr>
              <w:pStyle w:val="TableBodyText"/>
            </w:pPr>
            <w:r>
              <w:t>EquationVerticalCenter</w:t>
            </w:r>
          </w:p>
        </w:tc>
        <w:tc>
          <w:tcPr>
            <w:tcW w:w="0" w:type="auto"/>
            <w:vAlign w:val="center"/>
          </w:tcPr>
          <w:p w:rsidR="000A156F" w:rsidRDefault="00A9721F">
            <w:pPr>
              <w:pStyle w:val="TableBodyText"/>
            </w:pPr>
            <w:r>
              <w:t>07C9</w:t>
            </w:r>
          </w:p>
        </w:tc>
      </w:tr>
      <w:tr w:rsidR="000A156F" w:rsidTr="000A156F">
        <w:tc>
          <w:tcPr>
            <w:tcW w:w="0" w:type="auto"/>
            <w:vAlign w:val="center"/>
          </w:tcPr>
          <w:p w:rsidR="000A156F" w:rsidRDefault="00A9721F">
            <w:pPr>
              <w:pStyle w:val="TableBodyText"/>
            </w:pPr>
            <w:r>
              <w:t>EquationVerticalMenu</w:t>
            </w:r>
          </w:p>
        </w:tc>
        <w:tc>
          <w:tcPr>
            <w:tcW w:w="0" w:type="auto"/>
            <w:vAlign w:val="center"/>
          </w:tcPr>
          <w:p w:rsidR="000A156F" w:rsidRDefault="00A9721F">
            <w:pPr>
              <w:pStyle w:val="TableBodyText"/>
            </w:pPr>
            <w:r>
              <w:t>16C2</w:t>
            </w:r>
          </w:p>
        </w:tc>
      </w:tr>
      <w:tr w:rsidR="000A156F" w:rsidTr="000A156F">
        <w:tc>
          <w:tcPr>
            <w:tcW w:w="0" w:type="auto"/>
            <w:vAlign w:val="center"/>
          </w:tcPr>
          <w:p w:rsidR="000A156F" w:rsidRDefault="00A9721F">
            <w:pPr>
              <w:pStyle w:val="TableBodyText"/>
            </w:pPr>
            <w:r>
              <w:t>EquationVerticalTop</w:t>
            </w:r>
          </w:p>
        </w:tc>
        <w:tc>
          <w:tcPr>
            <w:tcW w:w="0" w:type="auto"/>
            <w:vAlign w:val="center"/>
          </w:tcPr>
          <w:p w:rsidR="000A156F" w:rsidRDefault="00A9721F">
            <w:pPr>
              <w:pStyle w:val="TableBodyText"/>
            </w:pPr>
            <w:r>
              <w:t>07CA</w:t>
            </w:r>
          </w:p>
        </w:tc>
      </w:tr>
      <w:tr w:rsidR="000A156F" w:rsidTr="000A156F">
        <w:tc>
          <w:tcPr>
            <w:tcW w:w="0" w:type="auto"/>
            <w:vAlign w:val="center"/>
          </w:tcPr>
          <w:p w:rsidR="000A156F" w:rsidRDefault="00A9721F">
            <w:pPr>
              <w:pStyle w:val="TableBodyText"/>
            </w:pPr>
            <w:r>
              <w:t>EquationsOptions</w:t>
            </w:r>
          </w:p>
        </w:tc>
        <w:tc>
          <w:tcPr>
            <w:tcW w:w="0" w:type="auto"/>
            <w:vAlign w:val="center"/>
          </w:tcPr>
          <w:p w:rsidR="000A156F" w:rsidRDefault="00A9721F">
            <w:pPr>
              <w:pStyle w:val="TableBodyText"/>
            </w:pPr>
            <w:r>
              <w:t>095B</w:t>
            </w:r>
          </w:p>
        </w:tc>
      </w:tr>
      <w:tr w:rsidR="000A156F" w:rsidTr="000A156F">
        <w:tc>
          <w:tcPr>
            <w:tcW w:w="0" w:type="auto"/>
            <w:vAlign w:val="center"/>
          </w:tcPr>
          <w:p w:rsidR="000A156F" w:rsidRDefault="00A9721F">
            <w:pPr>
              <w:pStyle w:val="TableBodyText"/>
            </w:pPr>
            <w:r>
              <w:t>Expanded</w:t>
            </w:r>
          </w:p>
        </w:tc>
        <w:tc>
          <w:tcPr>
            <w:tcW w:w="0" w:type="auto"/>
            <w:vAlign w:val="center"/>
          </w:tcPr>
          <w:p w:rsidR="000A156F" w:rsidRDefault="00A9721F">
            <w:pPr>
              <w:pStyle w:val="TableBodyText"/>
            </w:pPr>
            <w:r>
              <w:t>0214</w:t>
            </w:r>
          </w:p>
        </w:tc>
      </w:tr>
      <w:tr w:rsidR="000A156F" w:rsidTr="000A156F">
        <w:tc>
          <w:tcPr>
            <w:tcW w:w="0" w:type="auto"/>
            <w:vAlign w:val="center"/>
          </w:tcPr>
          <w:p w:rsidR="000A156F" w:rsidRDefault="00A9721F">
            <w:pPr>
              <w:pStyle w:val="TableBodyText"/>
            </w:pPr>
            <w:r>
              <w:t>ExtendSelection</w:t>
            </w:r>
          </w:p>
        </w:tc>
        <w:tc>
          <w:tcPr>
            <w:tcW w:w="0" w:type="auto"/>
            <w:vAlign w:val="center"/>
          </w:tcPr>
          <w:p w:rsidR="000A156F" w:rsidRDefault="00A9721F">
            <w:pPr>
              <w:pStyle w:val="TableBodyText"/>
            </w:pPr>
            <w:r>
              <w:t>000E</w:t>
            </w:r>
          </w:p>
        </w:tc>
      </w:tr>
      <w:tr w:rsidR="000A156F" w:rsidTr="000A156F">
        <w:tc>
          <w:tcPr>
            <w:tcW w:w="0" w:type="auto"/>
            <w:vAlign w:val="center"/>
          </w:tcPr>
          <w:p w:rsidR="000A156F" w:rsidRDefault="00A9721F">
            <w:pPr>
              <w:pStyle w:val="TableBodyText"/>
            </w:pPr>
            <w:r>
              <w:t>FPConfidential</w:t>
            </w:r>
          </w:p>
        </w:tc>
        <w:tc>
          <w:tcPr>
            <w:tcW w:w="0" w:type="auto"/>
            <w:vAlign w:val="center"/>
          </w:tcPr>
          <w:p w:rsidR="000A156F" w:rsidRDefault="00A9721F">
            <w:pPr>
              <w:pStyle w:val="TableBodyText"/>
            </w:pPr>
            <w:r>
              <w:t>0598</w:t>
            </w:r>
          </w:p>
        </w:tc>
      </w:tr>
      <w:tr w:rsidR="000A156F" w:rsidTr="000A156F">
        <w:tc>
          <w:tcPr>
            <w:tcW w:w="0" w:type="auto"/>
            <w:vAlign w:val="center"/>
          </w:tcPr>
          <w:p w:rsidR="000A156F" w:rsidRDefault="00A9721F">
            <w:pPr>
              <w:pStyle w:val="TableBodyText"/>
            </w:pPr>
            <w:r>
              <w:t>FPSelectUser</w:t>
            </w:r>
          </w:p>
        </w:tc>
        <w:tc>
          <w:tcPr>
            <w:tcW w:w="0" w:type="auto"/>
            <w:vAlign w:val="center"/>
          </w:tcPr>
          <w:p w:rsidR="000A156F" w:rsidRDefault="00A9721F">
            <w:pPr>
              <w:pStyle w:val="TableBodyText"/>
            </w:pPr>
            <w:r>
              <w:t>05B5</w:t>
            </w:r>
          </w:p>
        </w:tc>
      </w:tr>
      <w:tr w:rsidR="000A156F" w:rsidTr="000A156F">
        <w:tc>
          <w:tcPr>
            <w:tcW w:w="0" w:type="auto"/>
            <w:vAlign w:val="center"/>
          </w:tcPr>
          <w:p w:rsidR="000A156F" w:rsidRDefault="00A9721F">
            <w:pPr>
              <w:pStyle w:val="TableBodyText"/>
            </w:pPr>
            <w:r>
              <w:t>FPUnprotected</w:t>
            </w:r>
          </w:p>
        </w:tc>
        <w:tc>
          <w:tcPr>
            <w:tcW w:w="0" w:type="auto"/>
            <w:vAlign w:val="center"/>
          </w:tcPr>
          <w:p w:rsidR="000A156F" w:rsidRDefault="00A9721F">
            <w:pPr>
              <w:pStyle w:val="TableBodyText"/>
            </w:pPr>
            <w:r>
              <w:t>0597</w:t>
            </w:r>
          </w:p>
        </w:tc>
      </w:tr>
      <w:tr w:rsidR="000A156F" w:rsidTr="000A156F">
        <w:tc>
          <w:tcPr>
            <w:tcW w:w="0" w:type="auto"/>
            <w:vAlign w:val="center"/>
          </w:tcPr>
          <w:p w:rsidR="000A156F" w:rsidRDefault="00A9721F">
            <w:pPr>
              <w:pStyle w:val="TableBodyText"/>
            </w:pPr>
            <w:r>
              <w:t>FaxService</w:t>
            </w:r>
          </w:p>
        </w:tc>
        <w:tc>
          <w:tcPr>
            <w:tcW w:w="0" w:type="auto"/>
            <w:vAlign w:val="center"/>
          </w:tcPr>
          <w:p w:rsidR="000A156F" w:rsidRDefault="00A9721F">
            <w:pPr>
              <w:pStyle w:val="TableBodyText"/>
            </w:pPr>
            <w:r>
              <w:t>05BB</w:t>
            </w:r>
          </w:p>
        </w:tc>
      </w:tr>
      <w:tr w:rsidR="000A156F" w:rsidTr="000A156F">
        <w:tc>
          <w:tcPr>
            <w:tcW w:w="0" w:type="auto"/>
            <w:vAlign w:val="center"/>
          </w:tcPr>
          <w:p w:rsidR="000A156F" w:rsidRDefault="00A9721F">
            <w:pPr>
              <w:pStyle w:val="TableBodyText"/>
            </w:pPr>
            <w:r>
              <w:t>File1</w:t>
            </w:r>
          </w:p>
        </w:tc>
        <w:tc>
          <w:tcPr>
            <w:tcW w:w="0" w:type="auto"/>
            <w:vAlign w:val="center"/>
          </w:tcPr>
          <w:p w:rsidR="000A156F" w:rsidRDefault="00A9721F">
            <w:pPr>
              <w:pStyle w:val="TableBodyText"/>
            </w:pPr>
            <w:r>
              <w:t>0FC5</w:t>
            </w:r>
          </w:p>
        </w:tc>
      </w:tr>
      <w:tr w:rsidR="000A156F" w:rsidTr="000A156F">
        <w:tc>
          <w:tcPr>
            <w:tcW w:w="0" w:type="auto"/>
            <w:vAlign w:val="center"/>
          </w:tcPr>
          <w:p w:rsidR="000A156F" w:rsidRDefault="00A9721F">
            <w:pPr>
              <w:pStyle w:val="TableBodyText"/>
            </w:pPr>
            <w:r>
              <w:t>File10</w:t>
            </w:r>
          </w:p>
        </w:tc>
        <w:tc>
          <w:tcPr>
            <w:tcW w:w="0" w:type="auto"/>
            <w:vAlign w:val="center"/>
          </w:tcPr>
          <w:p w:rsidR="000A156F" w:rsidRDefault="00A9721F">
            <w:pPr>
              <w:pStyle w:val="TableBodyText"/>
            </w:pPr>
            <w:r>
              <w:t>10CC</w:t>
            </w:r>
          </w:p>
        </w:tc>
      </w:tr>
      <w:tr w:rsidR="000A156F" w:rsidTr="000A156F">
        <w:tc>
          <w:tcPr>
            <w:tcW w:w="0" w:type="auto"/>
            <w:vAlign w:val="center"/>
          </w:tcPr>
          <w:p w:rsidR="000A156F" w:rsidRDefault="00A9721F">
            <w:pPr>
              <w:pStyle w:val="TableBodyText"/>
            </w:pPr>
            <w:r>
              <w:t>File11</w:t>
            </w:r>
          </w:p>
        </w:tc>
        <w:tc>
          <w:tcPr>
            <w:tcW w:w="0" w:type="auto"/>
            <w:vAlign w:val="center"/>
          </w:tcPr>
          <w:p w:rsidR="000A156F" w:rsidRDefault="00A9721F">
            <w:pPr>
              <w:pStyle w:val="TableBodyText"/>
            </w:pPr>
            <w:r>
              <w:t>10CD</w:t>
            </w:r>
          </w:p>
        </w:tc>
      </w:tr>
      <w:tr w:rsidR="000A156F" w:rsidTr="000A156F">
        <w:tc>
          <w:tcPr>
            <w:tcW w:w="0" w:type="auto"/>
            <w:vAlign w:val="center"/>
          </w:tcPr>
          <w:p w:rsidR="000A156F" w:rsidRDefault="00A9721F">
            <w:pPr>
              <w:pStyle w:val="TableBodyText"/>
            </w:pPr>
            <w:r>
              <w:t>File12</w:t>
            </w:r>
          </w:p>
        </w:tc>
        <w:tc>
          <w:tcPr>
            <w:tcW w:w="0" w:type="auto"/>
            <w:vAlign w:val="center"/>
          </w:tcPr>
          <w:p w:rsidR="000A156F" w:rsidRDefault="00A9721F">
            <w:pPr>
              <w:pStyle w:val="TableBodyText"/>
            </w:pPr>
            <w:r>
              <w:t>10CE</w:t>
            </w:r>
          </w:p>
        </w:tc>
      </w:tr>
      <w:tr w:rsidR="000A156F" w:rsidTr="000A156F">
        <w:tc>
          <w:tcPr>
            <w:tcW w:w="0" w:type="auto"/>
            <w:vAlign w:val="center"/>
          </w:tcPr>
          <w:p w:rsidR="000A156F" w:rsidRDefault="00A9721F">
            <w:pPr>
              <w:pStyle w:val="TableBodyText"/>
            </w:pPr>
            <w:r>
              <w:t>File13</w:t>
            </w:r>
          </w:p>
        </w:tc>
        <w:tc>
          <w:tcPr>
            <w:tcW w:w="0" w:type="auto"/>
            <w:vAlign w:val="center"/>
          </w:tcPr>
          <w:p w:rsidR="000A156F" w:rsidRDefault="00A9721F">
            <w:pPr>
              <w:pStyle w:val="TableBodyText"/>
            </w:pPr>
            <w:r>
              <w:t>10CF</w:t>
            </w:r>
          </w:p>
        </w:tc>
      </w:tr>
      <w:tr w:rsidR="000A156F" w:rsidTr="000A156F">
        <w:tc>
          <w:tcPr>
            <w:tcW w:w="0" w:type="auto"/>
            <w:vAlign w:val="center"/>
          </w:tcPr>
          <w:p w:rsidR="000A156F" w:rsidRDefault="00A9721F">
            <w:pPr>
              <w:pStyle w:val="TableBodyText"/>
            </w:pPr>
            <w:r>
              <w:t>File14</w:t>
            </w:r>
          </w:p>
        </w:tc>
        <w:tc>
          <w:tcPr>
            <w:tcW w:w="0" w:type="auto"/>
            <w:vAlign w:val="center"/>
          </w:tcPr>
          <w:p w:rsidR="000A156F" w:rsidRDefault="00A9721F">
            <w:pPr>
              <w:pStyle w:val="TableBodyText"/>
            </w:pPr>
            <w:r>
              <w:t>10D0</w:t>
            </w:r>
          </w:p>
        </w:tc>
      </w:tr>
      <w:tr w:rsidR="000A156F" w:rsidTr="000A156F">
        <w:tc>
          <w:tcPr>
            <w:tcW w:w="0" w:type="auto"/>
            <w:vAlign w:val="center"/>
          </w:tcPr>
          <w:p w:rsidR="000A156F" w:rsidRDefault="00A9721F">
            <w:pPr>
              <w:pStyle w:val="TableBodyText"/>
            </w:pPr>
            <w:r>
              <w:t>File15</w:t>
            </w:r>
          </w:p>
        </w:tc>
        <w:tc>
          <w:tcPr>
            <w:tcW w:w="0" w:type="auto"/>
            <w:vAlign w:val="center"/>
          </w:tcPr>
          <w:p w:rsidR="000A156F" w:rsidRDefault="00A9721F">
            <w:pPr>
              <w:pStyle w:val="TableBodyText"/>
            </w:pPr>
            <w:r>
              <w:t>10D1</w:t>
            </w:r>
          </w:p>
        </w:tc>
      </w:tr>
      <w:tr w:rsidR="000A156F" w:rsidTr="000A156F">
        <w:tc>
          <w:tcPr>
            <w:tcW w:w="0" w:type="auto"/>
            <w:vAlign w:val="center"/>
          </w:tcPr>
          <w:p w:rsidR="000A156F" w:rsidRDefault="00A9721F">
            <w:pPr>
              <w:pStyle w:val="TableBodyText"/>
            </w:pPr>
            <w:r>
              <w:t>File16</w:t>
            </w:r>
          </w:p>
        </w:tc>
        <w:tc>
          <w:tcPr>
            <w:tcW w:w="0" w:type="auto"/>
            <w:vAlign w:val="center"/>
          </w:tcPr>
          <w:p w:rsidR="000A156F" w:rsidRDefault="00A9721F">
            <w:pPr>
              <w:pStyle w:val="TableBodyText"/>
            </w:pPr>
            <w:r>
              <w:t>10D2</w:t>
            </w:r>
          </w:p>
        </w:tc>
      </w:tr>
      <w:tr w:rsidR="000A156F" w:rsidTr="000A156F">
        <w:tc>
          <w:tcPr>
            <w:tcW w:w="0" w:type="auto"/>
            <w:vAlign w:val="center"/>
          </w:tcPr>
          <w:p w:rsidR="000A156F" w:rsidRDefault="00A9721F">
            <w:pPr>
              <w:pStyle w:val="TableBodyText"/>
            </w:pPr>
            <w:r>
              <w:lastRenderedPageBreak/>
              <w:t>File17</w:t>
            </w:r>
          </w:p>
        </w:tc>
        <w:tc>
          <w:tcPr>
            <w:tcW w:w="0" w:type="auto"/>
            <w:vAlign w:val="center"/>
          </w:tcPr>
          <w:p w:rsidR="000A156F" w:rsidRDefault="00A9721F">
            <w:pPr>
              <w:pStyle w:val="TableBodyText"/>
            </w:pPr>
            <w:r>
              <w:t>10D3</w:t>
            </w:r>
          </w:p>
        </w:tc>
      </w:tr>
      <w:tr w:rsidR="000A156F" w:rsidTr="000A156F">
        <w:tc>
          <w:tcPr>
            <w:tcW w:w="0" w:type="auto"/>
            <w:vAlign w:val="center"/>
          </w:tcPr>
          <w:p w:rsidR="000A156F" w:rsidRDefault="00A9721F">
            <w:pPr>
              <w:pStyle w:val="TableBodyText"/>
            </w:pPr>
            <w:r>
              <w:t>File18</w:t>
            </w:r>
          </w:p>
        </w:tc>
        <w:tc>
          <w:tcPr>
            <w:tcW w:w="0" w:type="auto"/>
            <w:vAlign w:val="center"/>
          </w:tcPr>
          <w:p w:rsidR="000A156F" w:rsidRDefault="00A9721F">
            <w:pPr>
              <w:pStyle w:val="TableBodyText"/>
            </w:pPr>
            <w:r>
              <w:t>10D4</w:t>
            </w:r>
          </w:p>
        </w:tc>
      </w:tr>
      <w:tr w:rsidR="000A156F" w:rsidTr="000A156F">
        <w:tc>
          <w:tcPr>
            <w:tcW w:w="0" w:type="auto"/>
            <w:vAlign w:val="center"/>
          </w:tcPr>
          <w:p w:rsidR="000A156F" w:rsidRDefault="00A9721F">
            <w:pPr>
              <w:pStyle w:val="TableBodyText"/>
            </w:pPr>
            <w:r>
              <w:t>File19</w:t>
            </w:r>
          </w:p>
        </w:tc>
        <w:tc>
          <w:tcPr>
            <w:tcW w:w="0" w:type="auto"/>
            <w:vAlign w:val="center"/>
          </w:tcPr>
          <w:p w:rsidR="000A156F" w:rsidRDefault="00A9721F">
            <w:pPr>
              <w:pStyle w:val="TableBodyText"/>
            </w:pPr>
            <w:r>
              <w:t>10D5</w:t>
            </w:r>
          </w:p>
        </w:tc>
      </w:tr>
      <w:tr w:rsidR="000A156F" w:rsidTr="000A156F">
        <w:tc>
          <w:tcPr>
            <w:tcW w:w="0" w:type="auto"/>
            <w:vAlign w:val="center"/>
          </w:tcPr>
          <w:p w:rsidR="000A156F" w:rsidRDefault="00A9721F">
            <w:pPr>
              <w:pStyle w:val="TableBodyText"/>
            </w:pPr>
            <w:r>
              <w:t>File2</w:t>
            </w:r>
          </w:p>
        </w:tc>
        <w:tc>
          <w:tcPr>
            <w:tcW w:w="0" w:type="auto"/>
            <w:vAlign w:val="center"/>
          </w:tcPr>
          <w:p w:rsidR="000A156F" w:rsidRDefault="00A9721F">
            <w:pPr>
              <w:pStyle w:val="TableBodyText"/>
            </w:pPr>
            <w:r>
              <w:t>0FC6</w:t>
            </w:r>
          </w:p>
        </w:tc>
      </w:tr>
      <w:tr w:rsidR="000A156F" w:rsidTr="000A156F">
        <w:tc>
          <w:tcPr>
            <w:tcW w:w="0" w:type="auto"/>
            <w:vAlign w:val="center"/>
          </w:tcPr>
          <w:p w:rsidR="000A156F" w:rsidRDefault="00A9721F">
            <w:pPr>
              <w:pStyle w:val="TableBodyText"/>
            </w:pPr>
            <w:r>
              <w:t>File20</w:t>
            </w:r>
          </w:p>
        </w:tc>
        <w:tc>
          <w:tcPr>
            <w:tcW w:w="0" w:type="auto"/>
            <w:vAlign w:val="center"/>
          </w:tcPr>
          <w:p w:rsidR="000A156F" w:rsidRDefault="00A9721F">
            <w:pPr>
              <w:pStyle w:val="TableBodyText"/>
            </w:pPr>
            <w:r>
              <w:t>10D6</w:t>
            </w:r>
          </w:p>
        </w:tc>
      </w:tr>
      <w:tr w:rsidR="000A156F" w:rsidTr="000A156F">
        <w:tc>
          <w:tcPr>
            <w:tcW w:w="0" w:type="auto"/>
            <w:vAlign w:val="center"/>
          </w:tcPr>
          <w:p w:rsidR="000A156F" w:rsidRDefault="00A9721F">
            <w:pPr>
              <w:pStyle w:val="TableBodyText"/>
            </w:pPr>
            <w:r>
              <w:t>File21</w:t>
            </w:r>
          </w:p>
        </w:tc>
        <w:tc>
          <w:tcPr>
            <w:tcW w:w="0" w:type="auto"/>
            <w:vAlign w:val="center"/>
          </w:tcPr>
          <w:p w:rsidR="000A156F" w:rsidRDefault="00A9721F">
            <w:pPr>
              <w:pStyle w:val="TableBodyText"/>
            </w:pPr>
            <w:r>
              <w:t>10D7</w:t>
            </w:r>
          </w:p>
        </w:tc>
      </w:tr>
      <w:tr w:rsidR="000A156F" w:rsidTr="000A156F">
        <w:tc>
          <w:tcPr>
            <w:tcW w:w="0" w:type="auto"/>
            <w:vAlign w:val="center"/>
          </w:tcPr>
          <w:p w:rsidR="000A156F" w:rsidRDefault="00A9721F">
            <w:pPr>
              <w:pStyle w:val="TableBodyText"/>
            </w:pPr>
            <w:r>
              <w:t>File22</w:t>
            </w:r>
          </w:p>
        </w:tc>
        <w:tc>
          <w:tcPr>
            <w:tcW w:w="0" w:type="auto"/>
            <w:vAlign w:val="center"/>
          </w:tcPr>
          <w:p w:rsidR="000A156F" w:rsidRDefault="00A9721F">
            <w:pPr>
              <w:pStyle w:val="TableBodyText"/>
            </w:pPr>
            <w:r>
              <w:t>10D8</w:t>
            </w:r>
          </w:p>
        </w:tc>
      </w:tr>
      <w:tr w:rsidR="000A156F" w:rsidTr="000A156F">
        <w:tc>
          <w:tcPr>
            <w:tcW w:w="0" w:type="auto"/>
            <w:vAlign w:val="center"/>
          </w:tcPr>
          <w:p w:rsidR="000A156F" w:rsidRDefault="00A9721F">
            <w:pPr>
              <w:pStyle w:val="TableBodyText"/>
            </w:pPr>
            <w:r>
              <w:t>File23</w:t>
            </w:r>
          </w:p>
        </w:tc>
        <w:tc>
          <w:tcPr>
            <w:tcW w:w="0" w:type="auto"/>
            <w:vAlign w:val="center"/>
          </w:tcPr>
          <w:p w:rsidR="000A156F" w:rsidRDefault="00A9721F">
            <w:pPr>
              <w:pStyle w:val="TableBodyText"/>
            </w:pPr>
            <w:r>
              <w:t>10D9</w:t>
            </w:r>
          </w:p>
        </w:tc>
      </w:tr>
      <w:tr w:rsidR="000A156F" w:rsidTr="000A156F">
        <w:tc>
          <w:tcPr>
            <w:tcW w:w="0" w:type="auto"/>
            <w:vAlign w:val="center"/>
          </w:tcPr>
          <w:p w:rsidR="000A156F" w:rsidRDefault="00A9721F">
            <w:pPr>
              <w:pStyle w:val="TableBodyText"/>
            </w:pPr>
            <w:r>
              <w:t>File24</w:t>
            </w:r>
          </w:p>
        </w:tc>
        <w:tc>
          <w:tcPr>
            <w:tcW w:w="0" w:type="auto"/>
            <w:vAlign w:val="center"/>
          </w:tcPr>
          <w:p w:rsidR="000A156F" w:rsidRDefault="00A9721F">
            <w:pPr>
              <w:pStyle w:val="TableBodyText"/>
            </w:pPr>
            <w:r>
              <w:t>10DA</w:t>
            </w:r>
          </w:p>
        </w:tc>
      </w:tr>
      <w:tr w:rsidR="000A156F" w:rsidTr="000A156F">
        <w:tc>
          <w:tcPr>
            <w:tcW w:w="0" w:type="auto"/>
            <w:vAlign w:val="center"/>
          </w:tcPr>
          <w:p w:rsidR="000A156F" w:rsidRDefault="00A9721F">
            <w:pPr>
              <w:pStyle w:val="TableBodyText"/>
            </w:pPr>
            <w:r>
              <w:t>File25</w:t>
            </w:r>
          </w:p>
        </w:tc>
        <w:tc>
          <w:tcPr>
            <w:tcW w:w="0" w:type="auto"/>
            <w:vAlign w:val="center"/>
          </w:tcPr>
          <w:p w:rsidR="000A156F" w:rsidRDefault="00A9721F">
            <w:pPr>
              <w:pStyle w:val="TableBodyText"/>
            </w:pPr>
            <w:r>
              <w:t>10DB</w:t>
            </w:r>
          </w:p>
        </w:tc>
      </w:tr>
      <w:tr w:rsidR="000A156F" w:rsidTr="000A156F">
        <w:tc>
          <w:tcPr>
            <w:tcW w:w="0" w:type="auto"/>
            <w:vAlign w:val="center"/>
          </w:tcPr>
          <w:p w:rsidR="000A156F" w:rsidRDefault="00A9721F">
            <w:pPr>
              <w:pStyle w:val="TableBodyText"/>
            </w:pPr>
            <w:r>
              <w:t>File26</w:t>
            </w:r>
          </w:p>
        </w:tc>
        <w:tc>
          <w:tcPr>
            <w:tcW w:w="0" w:type="auto"/>
            <w:vAlign w:val="center"/>
          </w:tcPr>
          <w:p w:rsidR="000A156F" w:rsidRDefault="00A9721F">
            <w:pPr>
              <w:pStyle w:val="TableBodyText"/>
            </w:pPr>
            <w:r>
              <w:t>10DC</w:t>
            </w:r>
          </w:p>
        </w:tc>
      </w:tr>
      <w:tr w:rsidR="000A156F" w:rsidTr="000A156F">
        <w:tc>
          <w:tcPr>
            <w:tcW w:w="0" w:type="auto"/>
            <w:vAlign w:val="center"/>
          </w:tcPr>
          <w:p w:rsidR="000A156F" w:rsidRDefault="00A9721F">
            <w:pPr>
              <w:pStyle w:val="TableBodyText"/>
            </w:pPr>
            <w:r>
              <w:t>File27</w:t>
            </w:r>
          </w:p>
        </w:tc>
        <w:tc>
          <w:tcPr>
            <w:tcW w:w="0" w:type="auto"/>
            <w:vAlign w:val="center"/>
          </w:tcPr>
          <w:p w:rsidR="000A156F" w:rsidRDefault="00A9721F">
            <w:pPr>
              <w:pStyle w:val="TableBodyText"/>
            </w:pPr>
            <w:r>
              <w:t>10DD</w:t>
            </w:r>
          </w:p>
        </w:tc>
      </w:tr>
      <w:tr w:rsidR="000A156F" w:rsidTr="000A156F">
        <w:tc>
          <w:tcPr>
            <w:tcW w:w="0" w:type="auto"/>
            <w:vAlign w:val="center"/>
          </w:tcPr>
          <w:p w:rsidR="000A156F" w:rsidRDefault="00A9721F">
            <w:pPr>
              <w:pStyle w:val="TableBodyText"/>
            </w:pPr>
            <w:r>
              <w:t>File28</w:t>
            </w:r>
          </w:p>
        </w:tc>
        <w:tc>
          <w:tcPr>
            <w:tcW w:w="0" w:type="auto"/>
            <w:vAlign w:val="center"/>
          </w:tcPr>
          <w:p w:rsidR="000A156F" w:rsidRDefault="00A9721F">
            <w:pPr>
              <w:pStyle w:val="TableBodyText"/>
            </w:pPr>
            <w:r>
              <w:t>10DE</w:t>
            </w:r>
          </w:p>
        </w:tc>
      </w:tr>
      <w:tr w:rsidR="000A156F" w:rsidTr="000A156F">
        <w:tc>
          <w:tcPr>
            <w:tcW w:w="0" w:type="auto"/>
            <w:vAlign w:val="center"/>
          </w:tcPr>
          <w:p w:rsidR="000A156F" w:rsidRDefault="00A9721F">
            <w:pPr>
              <w:pStyle w:val="TableBodyText"/>
            </w:pPr>
            <w:r>
              <w:t>File29</w:t>
            </w:r>
          </w:p>
        </w:tc>
        <w:tc>
          <w:tcPr>
            <w:tcW w:w="0" w:type="auto"/>
            <w:vAlign w:val="center"/>
          </w:tcPr>
          <w:p w:rsidR="000A156F" w:rsidRDefault="00A9721F">
            <w:pPr>
              <w:pStyle w:val="TableBodyText"/>
            </w:pPr>
            <w:r>
              <w:t>10DF</w:t>
            </w:r>
          </w:p>
        </w:tc>
      </w:tr>
      <w:tr w:rsidR="000A156F" w:rsidTr="000A156F">
        <w:tc>
          <w:tcPr>
            <w:tcW w:w="0" w:type="auto"/>
            <w:vAlign w:val="center"/>
          </w:tcPr>
          <w:p w:rsidR="000A156F" w:rsidRDefault="00A9721F">
            <w:pPr>
              <w:pStyle w:val="TableBodyText"/>
            </w:pPr>
            <w:r>
              <w:t>File3</w:t>
            </w:r>
          </w:p>
        </w:tc>
        <w:tc>
          <w:tcPr>
            <w:tcW w:w="0" w:type="auto"/>
            <w:vAlign w:val="center"/>
          </w:tcPr>
          <w:p w:rsidR="000A156F" w:rsidRDefault="00A9721F">
            <w:pPr>
              <w:pStyle w:val="TableBodyText"/>
            </w:pPr>
            <w:r>
              <w:t>0FC7</w:t>
            </w:r>
          </w:p>
        </w:tc>
      </w:tr>
      <w:tr w:rsidR="000A156F" w:rsidTr="000A156F">
        <w:tc>
          <w:tcPr>
            <w:tcW w:w="0" w:type="auto"/>
            <w:vAlign w:val="center"/>
          </w:tcPr>
          <w:p w:rsidR="000A156F" w:rsidRDefault="00A9721F">
            <w:pPr>
              <w:pStyle w:val="TableBodyText"/>
            </w:pPr>
            <w:r>
              <w:t>File30</w:t>
            </w:r>
          </w:p>
        </w:tc>
        <w:tc>
          <w:tcPr>
            <w:tcW w:w="0" w:type="auto"/>
            <w:vAlign w:val="center"/>
          </w:tcPr>
          <w:p w:rsidR="000A156F" w:rsidRDefault="00A9721F">
            <w:pPr>
              <w:pStyle w:val="TableBodyText"/>
            </w:pPr>
            <w:r>
              <w:t>10E0</w:t>
            </w:r>
          </w:p>
        </w:tc>
      </w:tr>
      <w:tr w:rsidR="000A156F" w:rsidTr="000A156F">
        <w:tc>
          <w:tcPr>
            <w:tcW w:w="0" w:type="auto"/>
            <w:vAlign w:val="center"/>
          </w:tcPr>
          <w:p w:rsidR="000A156F" w:rsidRDefault="00A9721F">
            <w:pPr>
              <w:pStyle w:val="TableBodyText"/>
            </w:pPr>
            <w:r>
              <w:t>File31</w:t>
            </w:r>
          </w:p>
        </w:tc>
        <w:tc>
          <w:tcPr>
            <w:tcW w:w="0" w:type="auto"/>
            <w:vAlign w:val="center"/>
          </w:tcPr>
          <w:p w:rsidR="000A156F" w:rsidRDefault="00A9721F">
            <w:pPr>
              <w:pStyle w:val="TableBodyText"/>
            </w:pPr>
            <w:r>
              <w:t>10E1</w:t>
            </w:r>
          </w:p>
        </w:tc>
      </w:tr>
      <w:tr w:rsidR="000A156F" w:rsidTr="000A156F">
        <w:tc>
          <w:tcPr>
            <w:tcW w:w="0" w:type="auto"/>
            <w:vAlign w:val="center"/>
          </w:tcPr>
          <w:p w:rsidR="000A156F" w:rsidRDefault="00A9721F">
            <w:pPr>
              <w:pStyle w:val="TableBodyText"/>
            </w:pPr>
            <w:r>
              <w:t>File32</w:t>
            </w:r>
          </w:p>
        </w:tc>
        <w:tc>
          <w:tcPr>
            <w:tcW w:w="0" w:type="auto"/>
            <w:vAlign w:val="center"/>
          </w:tcPr>
          <w:p w:rsidR="000A156F" w:rsidRDefault="00A9721F">
            <w:pPr>
              <w:pStyle w:val="TableBodyText"/>
            </w:pPr>
            <w:r>
              <w:t>10E2</w:t>
            </w:r>
          </w:p>
        </w:tc>
      </w:tr>
      <w:tr w:rsidR="000A156F" w:rsidTr="000A156F">
        <w:tc>
          <w:tcPr>
            <w:tcW w:w="0" w:type="auto"/>
            <w:vAlign w:val="center"/>
          </w:tcPr>
          <w:p w:rsidR="000A156F" w:rsidRDefault="00A9721F">
            <w:pPr>
              <w:pStyle w:val="TableBodyText"/>
            </w:pPr>
            <w:r>
              <w:t>File33</w:t>
            </w:r>
          </w:p>
        </w:tc>
        <w:tc>
          <w:tcPr>
            <w:tcW w:w="0" w:type="auto"/>
            <w:vAlign w:val="center"/>
          </w:tcPr>
          <w:p w:rsidR="000A156F" w:rsidRDefault="00A9721F">
            <w:pPr>
              <w:pStyle w:val="TableBodyText"/>
            </w:pPr>
            <w:r>
              <w:t>10E3</w:t>
            </w:r>
          </w:p>
        </w:tc>
      </w:tr>
      <w:tr w:rsidR="000A156F" w:rsidTr="000A156F">
        <w:tc>
          <w:tcPr>
            <w:tcW w:w="0" w:type="auto"/>
            <w:vAlign w:val="center"/>
          </w:tcPr>
          <w:p w:rsidR="000A156F" w:rsidRDefault="00A9721F">
            <w:pPr>
              <w:pStyle w:val="TableBodyText"/>
            </w:pPr>
            <w:r>
              <w:t>File34</w:t>
            </w:r>
          </w:p>
        </w:tc>
        <w:tc>
          <w:tcPr>
            <w:tcW w:w="0" w:type="auto"/>
            <w:vAlign w:val="center"/>
          </w:tcPr>
          <w:p w:rsidR="000A156F" w:rsidRDefault="00A9721F">
            <w:pPr>
              <w:pStyle w:val="TableBodyText"/>
            </w:pPr>
            <w:r>
              <w:t>10E4</w:t>
            </w:r>
          </w:p>
        </w:tc>
      </w:tr>
      <w:tr w:rsidR="000A156F" w:rsidTr="000A156F">
        <w:tc>
          <w:tcPr>
            <w:tcW w:w="0" w:type="auto"/>
            <w:vAlign w:val="center"/>
          </w:tcPr>
          <w:p w:rsidR="000A156F" w:rsidRDefault="00A9721F">
            <w:pPr>
              <w:pStyle w:val="TableBodyText"/>
            </w:pPr>
            <w:r>
              <w:t>File35</w:t>
            </w:r>
          </w:p>
        </w:tc>
        <w:tc>
          <w:tcPr>
            <w:tcW w:w="0" w:type="auto"/>
            <w:vAlign w:val="center"/>
          </w:tcPr>
          <w:p w:rsidR="000A156F" w:rsidRDefault="00A9721F">
            <w:pPr>
              <w:pStyle w:val="TableBodyText"/>
            </w:pPr>
            <w:r>
              <w:t>10E5</w:t>
            </w:r>
          </w:p>
        </w:tc>
      </w:tr>
      <w:tr w:rsidR="000A156F" w:rsidTr="000A156F">
        <w:tc>
          <w:tcPr>
            <w:tcW w:w="0" w:type="auto"/>
            <w:vAlign w:val="center"/>
          </w:tcPr>
          <w:p w:rsidR="000A156F" w:rsidRDefault="00A9721F">
            <w:pPr>
              <w:pStyle w:val="TableBodyText"/>
            </w:pPr>
            <w:r>
              <w:t>File36</w:t>
            </w:r>
          </w:p>
        </w:tc>
        <w:tc>
          <w:tcPr>
            <w:tcW w:w="0" w:type="auto"/>
            <w:vAlign w:val="center"/>
          </w:tcPr>
          <w:p w:rsidR="000A156F" w:rsidRDefault="00A9721F">
            <w:pPr>
              <w:pStyle w:val="TableBodyText"/>
            </w:pPr>
            <w:r>
              <w:t>10E6</w:t>
            </w:r>
          </w:p>
        </w:tc>
      </w:tr>
      <w:tr w:rsidR="000A156F" w:rsidTr="000A156F">
        <w:tc>
          <w:tcPr>
            <w:tcW w:w="0" w:type="auto"/>
            <w:vAlign w:val="center"/>
          </w:tcPr>
          <w:p w:rsidR="000A156F" w:rsidRDefault="00A9721F">
            <w:pPr>
              <w:pStyle w:val="TableBodyText"/>
            </w:pPr>
            <w:r>
              <w:t>File37</w:t>
            </w:r>
          </w:p>
        </w:tc>
        <w:tc>
          <w:tcPr>
            <w:tcW w:w="0" w:type="auto"/>
            <w:vAlign w:val="center"/>
          </w:tcPr>
          <w:p w:rsidR="000A156F" w:rsidRDefault="00A9721F">
            <w:pPr>
              <w:pStyle w:val="TableBodyText"/>
            </w:pPr>
            <w:r>
              <w:t>10E7</w:t>
            </w:r>
          </w:p>
        </w:tc>
      </w:tr>
      <w:tr w:rsidR="000A156F" w:rsidTr="000A156F">
        <w:tc>
          <w:tcPr>
            <w:tcW w:w="0" w:type="auto"/>
            <w:vAlign w:val="center"/>
          </w:tcPr>
          <w:p w:rsidR="000A156F" w:rsidRDefault="00A9721F">
            <w:pPr>
              <w:pStyle w:val="TableBodyText"/>
            </w:pPr>
            <w:r>
              <w:t>File38</w:t>
            </w:r>
          </w:p>
        </w:tc>
        <w:tc>
          <w:tcPr>
            <w:tcW w:w="0" w:type="auto"/>
            <w:vAlign w:val="center"/>
          </w:tcPr>
          <w:p w:rsidR="000A156F" w:rsidRDefault="00A9721F">
            <w:pPr>
              <w:pStyle w:val="TableBodyText"/>
            </w:pPr>
            <w:r>
              <w:t>10E8</w:t>
            </w:r>
          </w:p>
        </w:tc>
      </w:tr>
      <w:tr w:rsidR="000A156F" w:rsidTr="000A156F">
        <w:tc>
          <w:tcPr>
            <w:tcW w:w="0" w:type="auto"/>
            <w:vAlign w:val="center"/>
          </w:tcPr>
          <w:p w:rsidR="000A156F" w:rsidRDefault="00A9721F">
            <w:pPr>
              <w:pStyle w:val="TableBodyText"/>
            </w:pPr>
            <w:r>
              <w:t>File39</w:t>
            </w:r>
          </w:p>
        </w:tc>
        <w:tc>
          <w:tcPr>
            <w:tcW w:w="0" w:type="auto"/>
            <w:vAlign w:val="center"/>
          </w:tcPr>
          <w:p w:rsidR="000A156F" w:rsidRDefault="00A9721F">
            <w:pPr>
              <w:pStyle w:val="TableBodyText"/>
            </w:pPr>
            <w:r>
              <w:t>10E9</w:t>
            </w:r>
          </w:p>
        </w:tc>
      </w:tr>
      <w:tr w:rsidR="000A156F" w:rsidTr="000A156F">
        <w:tc>
          <w:tcPr>
            <w:tcW w:w="0" w:type="auto"/>
            <w:vAlign w:val="center"/>
          </w:tcPr>
          <w:p w:rsidR="000A156F" w:rsidRDefault="00A9721F">
            <w:pPr>
              <w:pStyle w:val="TableBodyText"/>
            </w:pPr>
            <w:r>
              <w:t>File4</w:t>
            </w:r>
          </w:p>
        </w:tc>
        <w:tc>
          <w:tcPr>
            <w:tcW w:w="0" w:type="auto"/>
            <w:vAlign w:val="center"/>
          </w:tcPr>
          <w:p w:rsidR="000A156F" w:rsidRDefault="00A9721F">
            <w:pPr>
              <w:pStyle w:val="TableBodyText"/>
            </w:pPr>
            <w:r>
              <w:t>0FC8</w:t>
            </w:r>
          </w:p>
        </w:tc>
      </w:tr>
      <w:tr w:rsidR="000A156F" w:rsidTr="000A156F">
        <w:tc>
          <w:tcPr>
            <w:tcW w:w="0" w:type="auto"/>
            <w:vAlign w:val="center"/>
          </w:tcPr>
          <w:p w:rsidR="000A156F" w:rsidRDefault="00A9721F">
            <w:pPr>
              <w:pStyle w:val="TableBodyText"/>
            </w:pPr>
            <w:r>
              <w:t>File40</w:t>
            </w:r>
          </w:p>
        </w:tc>
        <w:tc>
          <w:tcPr>
            <w:tcW w:w="0" w:type="auto"/>
            <w:vAlign w:val="center"/>
          </w:tcPr>
          <w:p w:rsidR="000A156F" w:rsidRDefault="00A9721F">
            <w:pPr>
              <w:pStyle w:val="TableBodyText"/>
            </w:pPr>
            <w:r>
              <w:t>10EA</w:t>
            </w:r>
          </w:p>
        </w:tc>
      </w:tr>
      <w:tr w:rsidR="000A156F" w:rsidTr="000A156F">
        <w:tc>
          <w:tcPr>
            <w:tcW w:w="0" w:type="auto"/>
            <w:vAlign w:val="center"/>
          </w:tcPr>
          <w:p w:rsidR="000A156F" w:rsidRDefault="00A9721F">
            <w:pPr>
              <w:pStyle w:val="TableBodyText"/>
            </w:pPr>
            <w:r>
              <w:t>File41</w:t>
            </w:r>
          </w:p>
        </w:tc>
        <w:tc>
          <w:tcPr>
            <w:tcW w:w="0" w:type="auto"/>
            <w:vAlign w:val="center"/>
          </w:tcPr>
          <w:p w:rsidR="000A156F" w:rsidRDefault="00A9721F">
            <w:pPr>
              <w:pStyle w:val="TableBodyText"/>
            </w:pPr>
            <w:r>
              <w:t>10EB</w:t>
            </w:r>
          </w:p>
        </w:tc>
      </w:tr>
      <w:tr w:rsidR="000A156F" w:rsidTr="000A156F">
        <w:tc>
          <w:tcPr>
            <w:tcW w:w="0" w:type="auto"/>
            <w:vAlign w:val="center"/>
          </w:tcPr>
          <w:p w:rsidR="000A156F" w:rsidRDefault="00A9721F">
            <w:pPr>
              <w:pStyle w:val="TableBodyText"/>
            </w:pPr>
            <w:r>
              <w:t>File42</w:t>
            </w:r>
          </w:p>
        </w:tc>
        <w:tc>
          <w:tcPr>
            <w:tcW w:w="0" w:type="auto"/>
            <w:vAlign w:val="center"/>
          </w:tcPr>
          <w:p w:rsidR="000A156F" w:rsidRDefault="00A9721F">
            <w:pPr>
              <w:pStyle w:val="TableBodyText"/>
            </w:pPr>
            <w:r>
              <w:t>10EC</w:t>
            </w:r>
          </w:p>
        </w:tc>
      </w:tr>
      <w:tr w:rsidR="000A156F" w:rsidTr="000A156F">
        <w:tc>
          <w:tcPr>
            <w:tcW w:w="0" w:type="auto"/>
            <w:vAlign w:val="center"/>
          </w:tcPr>
          <w:p w:rsidR="000A156F" w:rsidRDefault="00A9721F">
            <w:pPr>
              <w:pStyle w:val="TableBodyText"/>
            </w:pPr>
            <w:r>
              <w:t>File43</w:t>
            </w:r>
          </w:p>
        </w:tc>
        <w:tc>
          <w:tcPr>
            <w:tcW w:w="0" w:type="auto"/>
            <w:vAlign w:val="center"/>
          </w:tcPr>
          <w:p w:rsidR="000A156F" w:rsidRDefault="00A9721F">
            <w:pPr>
              <w:pStyle w:val="TableBodyText"/>
            </w:pPr>
            <w:r>
              <w:t>10ED</w:t>
            </w:r>
          </w:p>
        </w:tc>
      </w:tr>
      <w:tr w:rsidR="000A156F" w:rsidTr="000A156F">
        <w:tc>
          <w:tcPr>
            <w:tcW w:w="0" w:type="auto"/>
            <w:vAlign w:val="center"/>
          </w:tcPr>
          <w:p w:rsidR="000A156F" w:rsidRDefault="00A9721F">
            <w:pPr>
              <w:pStyle w:val="TableBodyText"/>
            </w:pPr>
            <w:r>
              <w:t>File44</w:t>
            </w:r>
          </w:p>
        </w:tc>
        <w:tc>
          <w:tcPr>
            <w:tcW w:w="0" w:type="auto"/>
            <w:vAlign w:val="center"/>
          </w:tcPr>
          <w:p w:rsidR="000A156F" w:rsidRDefault="00A9721F">
            <w:pPr>
              <w:pStyle w:val="TableBodyText"/>
            </w:pPr>
            <w:r>
              <w:t>10EE</w:t>
            </w:r>
          </w:p>
        </w:tc>
      </w:tr>
      <w:tr w:rsidR="000A156F" w:rsidTr="000A156F">
        <w:tc>
          <w:tcPr>
            <w:tcW w:w="0" w:type="auto"/>
            <w:vAlign w:val="center"/>
          </w:tcPr>
          <w:p w:rsidR="000A156F" w:rsidRDefault="00A9721F">
            <w:pPr>
              <w:pStyle w:val="TableBodyText"/>
            </w:pPr>
            <w:r>
              <w:t>File45</w:t>
            </w:r>
          </w:p>
        </w:tc>
        <w:tc>
          <w:tcPr>
            <w:tcW w:w="0" w:type="auto"/>
            <w:vAlign w:val="center"/>
          </w:tcPr>
          <w:p w:rsidR="000A156F" w:rsidRDefault="00A9721F">
            <w:pPr>
              <w:pStyle w:val="TableBodyText"/>
            </w:pPr>
            <w:r>
              <w:t>10EF</w:t>
            </w:r>
          </w:p>
        </w:tc>
      </w:tr>
      <w:tr w:rsidR="000A156F" w:rsidTr="000A156F">
        <w:tc>
          <w:tcPr>
            <w:tcW w:w="0" w:type="auto"/>
            <w:vAlign w:val="center"/>
          </w:tcPr>
          <w:p w:rsidR="000A156F" w:rsidRDefault="00A9721F">
            <w:pPr>
              <w:pStyle w:val="TableBodyText"/>
            </w:pPr>
            <w:r>
              <w:lastRenderedPageBreak/>
              <w:t>File46</w:t>
            </w:r>
          </w:p>
        </w:tc>
        <w:tc>
          <w:tcPr>
            <w:tcW w:w="0" w:type="auto"/>
            <w:vAlign w:val="center"/>
          </w:tcPr>
          <w:p w:rsidR="000A156F" w:rsidRDefault="00A9721F">
            <w:pPr>
              <w:pStyle w:val="TableBodyText"/>
            </w:pPr>
            <w:r>
              <w:t>10F0</w:t>
            </w:r>
          </w:p>
        </w:tc>
      </w:tr>
      <w:tr w:rsidR="000A156F" w:rsidTr="000A156F">
        <w:tc>
          <w:tcPr>
            <w:tcW w:w="0" w:type="auto"/>
            <w:vAlign w:val="center"/>
          </w:tcPr>
          <w:p w:rsidR="000A156F" w:rsidRDefault="00A9721F">
            <w:pPr>
              <w:pStyle w:val="TableBodyText"/>
            </w:pPr>
            <w:r>
              <w:t>File47</w:t>
            </w:r>
          </w:p>
        </w:tc>
        <w:tc>
          <w:tcPr>
            <w:tcW w:w="0" w:type="auto"/>
            <w:vAlign w:val="center"/>
          </w:tcPr>
          <w:p w:rsidR="000A156F" w:rsidRDefault="00A9721F">
            <w:pPr>
              <w:pStyle w:val="TableBodyText"/>
            </w:pPr>
            <w:r>
              <w:t>10F1</w:t>
            </w:r>
          </w:p>
        </w:tc>
      </w:tr>
      <w:tr w:rsidR="000A156F" w:rsidTr="000A156F">
        <w:tc>
          <w:tcPr>
            <w:tcW w:w="0" w:type="auto"/>
            <w:vAlign w:val="center"/>
          </w:tcPr>
          <w:p w:rsidR="000A156F" w:rsidRDefault="00A9721F">
            <w:pPr>
              <w:pStyle w:val="TableBodyText"/>
            </w:pPr>
            <w:r>
              <w:t>File48</w:t>
            </w:r>
          </w:p>
        </w:tc>
        <w:tc>
          <w:tcPr>
            <w:tcW w:w="0" w:type="auto"/>
            <w:vAlign w:val="center"/>
          </w:tcPr>
          <w:p w:rsidR="000A156F" w:rsidRDefault="00A9721F">
            <w:pPr>
              <w:pStyle w:val="TableBodyText"/>
            </w:pPr>
            <w:r>
              <w:t>10F2</w:t>
            </w:r>
          </w:p>
        </w:tc>
      </w:tr>
      <w:tr w:rsidR="000A156F" w:rsidTr="000A156F">
        <w:tc>
          <w:tcPr>
            <w:tcW w:w="0" w:type="auto"/>
            <w:vAlign w:val="center"/>
          </w:tcPr>
          <w:p w:rsidR="000A156F" w:rsidRDefault="00A9721F">
            <w:pPr>
              <w:pStyle w:val="TableBodyText"/>
            </w:pPr>
            <w:r>
              <w:t>File49</w:t>
            </w:r>
          </w:p>
        </w:tc>
        <w:tc>
          <w:tcPr>
            <w:tcW w:w="0" w:type="auto"/>
            <w:vAlign w:val="center"/>
          </w:tcPr>
          <w:p w:rsidR="000A156F" w:rsidRDefault="00A9721F">
            <w:pPr>
              <w:pStyle w:val="TableBodyText"/>
            </w:pPr>
            <w:r>
              <w:t>10F3</w:t>
            </w:r>
          </w:p>
        </w:tc>
      </w:tr>
      <w:tr w:rsidR="000A156F" w:rsidTr="000A156F">
        <w:tc>
          <w:tcPr>
            <w:tcW w:w="0" w:type="auto"/>
            <w:vAlign w:val="center"/>
          </w:tcPr>
          <w:p w:rsidR="000A156F" w:rsidRDefault="00A9721F">
            <w:pPr>
              <w:pStyle w:val="TableBodyText"/>
            </w:pPr>
            <w:r>
              <w:t>File5</w:t>
            </w:r>
          </w:p>
        </w:tc>
        <w:tc>
          <w:tcPr>
            <w:tcW w:w="0" w:type="auto"/>
            <w:vAlign w:val="center"/>
          </w:tcPr>
          <w:p w:rsidR="000A156F" w:rsidRDefault="00A9721F">
            <w:pPr>
              <w:pStyle w:val="TableBodyText"/>
            </w:pPr>
            <w:r>
              <w:t>0FC9</w:t>
            </w:r>
          </w:p>
        </w:tc>
      </w:tr>
      <w:tr w:rsidR="000A156F" w:rsidTr="000A156F">
        <w:tc>
          <w:tcPr>
            <w:tcW w:w="0" w:type="auto"/>
            <w:vAlign w:val="center"/>
          </w:tcPr>
          <w:p w:rsidR="000A156F" w:rsidRDefault="00A9721F">
            <w:pPr>
              <w:pStyle w:val="TableBodyText"/>
            </w:pPr>
            <w:r>
              <w:t>File50</w:t>
            </w:r>
          </w:p>
        </w:tc>
        <w:tc>
          <w:tcPr>
            <w:tcW w:w="0" w:type="auto"/>
            <w:vAlign w:val="center"/>
          </w:tcPr>
          <w:p w:rsidR="000A156F" w:rsidRDefault="00A9721F">
            <w:pPr>
              <w:pStyle w:val="TableBodyText"/>
            </w:pPr>
            <w:r>
              <w:t>10F4</w:t>
            </w:r>
          </w:p>
        </w:tc>
      </w:tr>
      <w:tr w:rsidR="000A156F" w:rsidTr="000A156F">
        <w:tc>
          <w:tcPr>
            <w:tcW w:w="0" w:type="auto"/>
            <w:vAlign w:val="center"/>
          </w:tcPr>
          <w:p w:rsidR="000A156F" w:rsidRDefault="00A9721F">
            <w:pPr>
              <w:pStyle w:val="TableBodyText"/>
            </w:pPr>
            <w:r>
              <w:t>File6</w:t>
            </w:r>
          </w:p>
        </w:tc>
        <w:tc>
          <w:tcPr>
            <w:tcW w:w="0" w:type="auto"/>
            <w:vAlign w:val="center"/>
          </w:tcPr>
          <w:p w:rsidR="000A156F" w:rsidRDefault="00A9721F">
            <w:pPr>
              <w:pStyle w:val="TableBodyText"/>
            </w:pPr>
            <w:r>
              <w:t>0FCA</w:t>
            </w:r>
          </w:p>
        </w:tc>
      </w:tr>
      <w:tr w:rsidR="000A156F" w:rsidTr="000A156F">
        <w:tc>
          <w:tcPr>
            <w:tcW w:w="0" w:type="auto"/>
            <w:vAlign w:val="center"/>
          </w:tcPr>
          <w:p w:rsidR="000A156F" w:rsidRDefault="00A9721F">
            <w:pPr>
              <w:pStyle w:val="TableBodyText"/>
            </w:pPr>
            <w:r>
              <w:t>File7</w:t>
            </w:r>
          </w:p>
        </w:tc>
        <w:tc>
          <w:tcPr>
            <w:tcW w:w="0" w:type="auto"/>
            <w:vAlign w:val="center"/>
          </w:tcPr>
          <w:p w:rsidR="000A156F" w:rsidRDefault="00A9721F">
            <w:pPr>
              <w:pStyle w:val="TableBodyText"/>
            </w:pPr>
            <w:r>
              <w:t>0FCB</w:t>
            </w:r>
          </w:p>
        </w:tc>
      </w:tr>
      <w:tr w:rsidR="000A156F" w:rsidTr="000A156F">
        <w:tc>
          <w:tcPr>
            <w:tcW w:w="0" w:type="auto"/>
            <w:vAlign w:val="center"/>
          </w:tcPr>
          <w:p w:rsidR="000A156F" w:rsidRDefault="00A9721F">
            <w:pPr>
              <w:pStyle w:val="TableBodyText"/>
            </w:pPr>
            <w:r>
              <w:t>File8</w:t>
            </w:r>
          </w:p>
        </w:tc>
        <w:tc>
          <w:tcPr>
            <w:tcW w:w="0" w:type="auto"/>
            <w:vAlign w:val="center"/>
          </w:tcPr>
          <w:p w:rsidR="000A156F" w:rsidRDefault="00A9721F">
            <w:pPr>
              <w:pStyle w:val="TableBodyText"/>
            </w:pPr>
            <w:r>
              <w:t>0FCC</w:t>
            </w:r>
          </w:p>
        </w:tc>
      </w:tr>
      <w:tr w:rsidR="000A156F" w:rsidTr="000A156F">
        <w:tc>
          <w:tcPr>
            <w:tcW w:w="0" w:type="auto"/>
            <w:vAlign w:val="center"/>
          </w:tcPr>
          <w:p w:rsidR="000A156F" w:rsidRDefault="00A9721F">
            <w:pPr>
              <w:pStyle w:val="TableBodyText"/>
            </w:pPr>
            <w:r>
              <w:t>File9</w:t>
            </w:r>
          </w:p>
        </w:tc>
        <w:tc>
          <w:tcPr>
            <w:tcW w:w="0" w:type="auto"/>
            <w:vAlign w:val="center"/>
          </w:tcPr>
          <w:p w:rsidR="000A156F" w:rsidRDefault="00A9721F">
            <w:pPr>
              <w:pStyle w:val="TableBodyText"/>
            </w:pPr>
            <w:r>
              <w:t>0FCD</w:t>
            </w:r>
          </w:p>
        </w:tc>
      </w:tr>
      <w:tr w:rsidR="000A156F" w:rsidTr="000A156F">
        <w:tc>
          <w:tcPr>
            <w:tcW w:w="0" w:type="auto"/>
            <w:vAlign w:val="center"/>
          </w:tcPr>
          <w:p w:rsidR="000A156F" w:rsidRDefault="00A9721F">
            <w:pPr>
              <w:pStyle w:val="TableBodyText"/>
            </w:pPr>
            <w:r>
              <w:t>FileAOCEAddMailer</w:t>
            </w:r>
          </w:p>
        </w:tc>
        <w:tc>
          <w:tcPr>
            <w:tcW w:w="0" w:type="auto"/>
            <w:vAlign w:val="center"/>
          </w:tcPr>
          <w:p w:rsidR="000A156F" w:rsidRDefault="00A9721F">
            <w:pPr>
              <w:pStyle w:val="TableBodyText"/>
            </w:pPr>
            <w:r>
              <w:t>0137</w:t>
            </w:r>
          </w:p>
        </w:tc>
      </w:tr>
      <w:tr w:rsidR="000A156F" w:rsidTr="000A156F">
        <w:tc>
          <w:tcPr>
            <w:tcW w:w="0" w:type="auto"/>
            <w:vAlign w:val="center"/>
          </w:tcPr>
          <w:p w:rsidR="000A156F" w:rsidRDefault="00A9721F">
            <w:pPr>
              <w:pStyle w:val="TableBodyText"/>
            </w:pPr>
            <w:r>
              <w:t>FileAOCEDeleteMailer</w:t>
            </w:r>
          </w:p>
        </w:tc>
        <w:tc>
          <w:tcPr>
            <w:tcW w:w="0" w:type="auto"/>
            <w:vAlign w:val="center"/>
          </w:tcPr>
          <w:p w:rsidR="000A156F" w:rsidRDefault="00A9721F">
            <w:pPr>
              <w:pStyle w:val="TableBodyText"/>
            </w:pPr>
            <w:r>
              <w:t>0138</w:t>
            </w:r>
          </w:p>
        </w:tc>
      </w:tr>
      <w:tr w:rsidR="000A156F" w:rsidTr="000A156F">
        <w:tc>
          <w:tcPr>
            <w:tcW w:w="0" w:type="auto"/>
            <w:vAlign w:val="center"/>
          </w:tcPr>
          <w:p w:rsidR="000A156F" w:rsidRDefault="00A9721F">
            <w:pPr>
              <w:pStyle w:val="TableBodyText"/>
            </w:pPr>
            <w:r>
              <w:t>FileAOCEExpandMailer</w:t>
            </w:r>
          </w:p>
        </w:tc>
        <w:tc>
          <w:tcPr>
            <w:tcW w:w="0" w:type="auto"/>
            <w:vAlign w:val="center"/>
          </w:tcPr>
          <w:p w:rsidR="000A156F" w:rsidRDefault="00A9721F">
            <w:pPr>
              <w:pStyle w:val="TableBodyText"/>
            </w:pPr>
            <w:r>
              <w:t>0139</w:t>
            </w:r>
          </w:p>
        </w:tc>
      </w:tr>
      <w:tr w:rsidR="000A156F" w:rsidTr="000A156F">
        <w:tc>
          <w:tcPr>
            <w:tcW w:w="0" w:type="auto"/>
            <w:vAlign w:val="center"/>
          </w:tcPr>
          <w:p w:rsidR="000A156F" w:rsidRDefault="00A9721F">
            <w:pPr>
              <w:pStyle w:val="TableBodyText"/>
            </w:pPr>
            <w:r>
              <w:t>FileAOCEForwardMail</w:t>
            </w:r>
          </w:p>
        </w:tc>
        <w:tc>
          <w:tcPr>
            <w:tcW w:w="0" w:type="auto"/>
            <w:vAlign w:val="center"/>
          </w:tcPr>
          <w:p w:rsidR="000A156F" w:rsidRDefault="00A9721F">
            <w:pPr>
              <w:pStyle w:val="TableBodyText"/>
            </w:pPr>
            <w:r>
              <w:t>013E</w:t>
            </w:r>
          </w:p>
        </w:tc>
      </w:tr>
      <w:tr w:rsidR="000A156F" w:rsidTr="000A156F">
        <w:tc>
          <w:tcPr>
            <w:tcW w:w="0" w:type="auto"/>
            <w:vAlign w:val="center"/>
          </w:tcPr>
          <w:p w:rsidR="000A156F" w:rsidRDefault="00A9721F">
            <w:pPr>
              <w:pStyle w:val="TableBodyText"/>
            </w:pPr>
            <w:r>
              <w:t>FileAOCENextLetter</w:t>
            </w:r>
          </w:p>
        </w:tc>
        <w:tc>
          <w:tcPr>
            <w:tcW w:w="0" w:type="auto"/>
            <w:vAlign w:val="center"/>
          </w:tcPr>
          <w:p w:rsidR="000A156F" w:rsidRDefault="00A9721F">
            <w:pPr>
              <w:pStyle w:val="TableBodyText"/>
            </w:pPr>
            <w:r>
              <w:t>013F</w:t>
            </w:r>
          </w:p>
        </w:tc>
      </w:tr>
      <w:tr w:rsidR="000A156F" w:rsidTr="000A156F">
        <w:tc>
          <w:tcPr>
            <w:tcW w:w="0" w:type="auto"/>
            <w:vAlign w:val="center"/>
          </w:tcPr>
          <w:p w:rsidR="000A156F" w:rsidRDefault="00A9721F">
            <w:pPr>
              <w:pStyle w:val="TableBodyText"/>
            </w:pPr>
            <w:r>
              <w:t>FileAOCEReplyAllMail</w:t>
            </w:r>
          </w:p>
        </w:tc>
        <w:tc>
          <w:tcPr>
            <w:tcW w:w="0" w:type="auto"/>
            <w:vAlign w:val="center"/>
          </w:tcPr>
          <w:p w:rsidR="000A156F" w:rsidRDefault="00A9721F">
            <w:pPr>
              <w:pStyle w:val="TableBodyText"/>
            </w:pPr>
            <w:r>
              <w:t>013D</w:t>
            </w:r>
          </w:p>
        </w:tc>
      </w:tr>
      <w:tr w:rsidR="000A156F" w:rsidTr="000A156F">
        <w:tc>
          <w:tcPr>
            <w:tcW w:w="0" w:type="auto"/>
            <w:vAlign w:val="center"/>
          </w:tcPr>
          <w:p w:rsidR="000A156F" w:rsidRDefault="00A9721F">
            <w:pPr>
              <w:pStyle w:val="TableBodyText"/>
            </w:pPr>
            <w:r>
              <w:t>FileAOCEReplyMail</w:t>
            </w:r>
          </w:p>
        </w:tc>
        <w:tc>
          <w:tcPr>
            <w:tcW w:w="0" w:type="auto"/>
            <w:vAlign w:val="center"/>
          </w:tcPr>
          <w:p w:rsidR="000A156F" w:rsidRDefault="00A9721F">
            <w:pPr>
              <w:pStyle w:val="TableBodyText"/>
            </w:pPr>
            <w:r>
              <w:t>013C</w:t>
            </w:r>
          </w:p>
        </w:tc>
      </w:tr>
      <w:tr w:rsidR="000A156F" w:rsidTr="000A156F">
        <w:tc>
          <w:tcPr>
            <w:tcW w:w="0" w:type="auto"/>
            <w:vAlign w:val="center"/>
          </w:tcPr>
          <w:p w:rsidR="000A156F" w:rsidRDefault="00A9721F">
            <w:pPr>
              <w:pStyle w:val="TableBodyText"/>
            </w:pPr>
            <w:r>
              <w:t>FileAOCESendMail</w:t>
            </w:r>
          </w:p>
        </w:tc>
        <w:tc>
          <w:tcPr>
            <w:tcW w:w="0" w:type="auto"/>
            <w:vAlign w:val="center"/>
          </w:tcPr>
          <w:p w:rsidR="000A156F" w:rsidRDefault="00A9721F">
            <w:pPr>
              <w:pStyle w:val="TableBodyText"/>
            </w:pPr>
            <w:r>
              <w:t>013B</w:t>
            </w:r>
          </w:p>
        </w:tc>
      </w:tr>
      <w:tr w:rsidR="000A156F" w:rsidTr="000A156F">
        <w:tc>
          <w:tcPr>
            <w:tcW w:w="0" w:type="auto"/>
            <w:vAlign w:val="center"/>
          </w:tcPr>
          <w:p w:rsidR="000A156F" w:rsidRDefault="00A9721F">
            <w:pPr>
              <w:pStyle w:val="TableBodyText"/>
            </w:pPr>
            <w:r>
              <w:t>FileCheckin</w:t>
            </w:r>
          </w:p>
        </w:tc>
        <w:tc>
          <w:tcPr>
            <w:tcW w:w="0" w:type="auto"/>
            <w:vAlign w:val="center"/>
          </w:tcPr>
          <w:p w:rsidR="000A156F" w:rsidRDefault="00A9721F">
            <w:pPr>
              <w:pStyle w:val="TableBodyText"/>
            </w:pPr>
            <w:r>
              <w:t>04FE</w:t>
            </w:r>
          </w:p>
        </w:tc>
      </w:tr>
      <w:tr w:rsidR="000A156F" w:rsidTr="000A156F">
        <w:tc>
          <w:tcPr>
            <w:tcW w:w="0" w:type="auto"/>
            <w:vAlign w:val="center"/>
          </w:tcPr>
          <w:p w:rsidR="000A156F" w:rsidRDefault="00A9721F">
            <w:pPr>
              <w:pStyle w:val="TableBodyText"/>
            </w:pPr>
            <w:r>
              <w:t>FileCheckout</w:t>
            </w:r>
          </w:p>
        </w:tc>
        <w:tc>
          <w:tcPr>
            <w:tcW w:w="0" w:type="auto"/>
            <w:vAlign w:val="center"/>
          </w:tcPr>
          <w:p w:rsidR="000A156F" w:rsidRDefault="00A9721F">
            <w:pPr>
              <w:pStyle w:val="TableBodyText"/>
            </w:pPr>
            <w:r>
              <w:t>04FD</w:t>
            </w:r>
          </w:p>
        </w:tc>
      </w:tr>
      <w:tr w:rsidR="000A156F" w:rsidTr="000A156F">
        <w:tc>
          <w:tcPr>
            <w:tcW w:w="0" w:type="auto"/>
            <w:vAlign w:val="center"/>
          </w:tcPr>
          <w:p w:rsidR="000A156F" w:rsidRDefault="00A9721F">
            <w:pPr>
              <w:pStyle w:val="TableBodyText"/>
            </w:pPr>
            <w:r>
              <w:t>FileClose</w:t>
            </w:r>
          </w:p>
        </w:tc>
        <w:tc>
          <w:tcPr>
            <w:tcW w:w="0" w:type="auto"/>
            <w:vAlign w:val="center"/>
          </w:tcPr>
          <w:p w:rsidR="000A156F" w:rsidRDefault="00A9721F">
            <w:pPr>
              <w:pStyle w:val="TableBodyText"/>
            </w:pPr>
            <w:r>
              <w:t>011B</w:t>
            </w:r>
          </w:p>
        </w:tc>
      </w:tr>
      <w:tr w:rsidR="000A156F" w:rsidTr="000A156F">
        <w:tc>
          <w:tcPr>
            <w:tcW w:w="0" w:type="auto"/>
            <w:vAlign w:val="center"/>
          </w:tcPr>
          <w:p w:rsidR="000A156F" w:rsidRDefault="00A9721F">
            <w:pPr>
              <w:pStyle w:val="TableBodyText"/>
            </w:pPr>
            <w:r>
              <w:t>FileCloseAll</w:t>
            </w:r>
          </w:p>
        </w:tc>
        <w:tc>
          <w:tcPr>
            <w:tcW w:w="0" w:type="auto"/>
            <w:vAlign w:val="center"/>
          </w:tcPr>
          <w:p w:rsidR="000A156F" w:rsidRDefault="00A9721F">
            <w:pPr>
              <w:pStyle w:val="TableBodyText"/>
            </w:pPr>
            <w:r>
              <w:t>020C</w:t>
            </w:r>
          </w:p>
        </w:tc>
      </w:tr>
      <w:tr w:rsidR="000A156F" w:rsidTr="000A156F">
        <w:tc>
          <w:tcPr>
            <w:tcW w:w="0" w:type="auto"/>
            <w:vAlign w:val="center"/>
          </w:tcPr>
          <w:p w:rsidR="000A156F" w:rsidRDefault="00A9721F">
            <w:pPr>
              <w:pStyle w:val="TableBodyText"/>
            </w:pPr>
            <w:r>
              <w:t>FileCloseOrCloseAll</w:t>
            </w:r>
          </w:p>
        </w:tc>
        <w:tc>
          <w:tcPr>
            <w:tcW w:w="0" w:type="auto"/>
            <w:vAlign w:val="center"/>
          </w:tcPr>
          <w:p w:rsidR="000A156F" w:rsidRDefault="00A9721F">
            <w:pPr>
              <w:pStyle w:val="TableBodyText"/>
            </w:pPr>
            <w:r>
              <w:t>020B</w:t>
            </w:r>
          </w:p>
        </w:tc>
      </w:tr>
      <w:tr w:rsidR="000A156F" w:rsidTr="000A156F">
        <w:tc>
          <w:tcPr>
            <w:tcW w:w="0" w:type="auto"/>
            <w:vAlign w:val="center"/>
          </w:tcPr>
          <w:p w:rsidR="000A156F" w:rsidRDefault="00A9721F">
            <w:pPr>
              <w:pStyle w:val="TableBodyText"/>
            </w:pPr>
            <w:r>
              <w:t>FileCloseOrExit</w:t>
            </w:r>
          </w:p>
        </w:tc>
        <w:tc>
          <w:tcPr>
            <w:tcW w:w="0" w:type="auto"/>
            <w:vAlign w:val="center"/>
          </w:tcPr>
          <w:p w:rsidR="000A156F" w:rsidRDefault="00A9721F">
            <w:pPr>
              <w:pStyle w:val="TableBodyText"/>
            </w:pPr>
            <w:r>
              <w:t>03A4</w:t>
            </w:r>
          </w:p>
        </w:tc>
      </w:tr>
      <w:tr w:rsidR="000A156F" w:rsidTr="000A156F">
        <w:tc>
          <w:tcPr>
            <w:tcW w:w="0" w:type="auto"/>
            <w:vAlign w:val="center"/>
          </w:tcPr>
          <w:p w:rsidR="000A156F" w:rsidRDefault="00A9721F">
            <w:pPr>
              <w:pStyle w:val="TableBodyText"/>
            </w:pPr>
            <w:r>
              <w:t>FileClosePicture</w:t>
            </w:r>
          </w:p>
        </w:tc>
        <w:tc>
          <w:tcPr>
            <w:tcW w:w="0" w:type="auto"/>
            <w:vAlign w:val="center"/>
          </w:tcPr>
          <w:p w:rsidR="000A156F" w:rsidRDefault="00A9721F">
            <w:pPr>
              <w:pStyle w:val="TableBodyText"/>
            </w:pPr>
            <w:r>
              <w:t>02B6</w:t>
            </w:r>
          </w:p>
        </w:tc>
      </w:tr>
      <w:tr w:rsidR="000A156F" w:rsidTr="000A156F">
        <w:tc>
          <w:tcPr>
            <w:tcW w:w="0" w:type="auto"/>
            <w:vAlign w:val="center"/>
          </w:tcPr>
          <w:p w:rsidR="000A156F" w:rsidRDefault="00A9721F">
            <w:pPr>
              <w:pStyle w:val="TableBodyText"/>
            </w:pPr>
            <w:r>
              <w:t>FileConfirmConversions</w:t>
            </w:r>
          </w:p>
        </w:tc>
        <w:tc>
          <w:tcPr>
            <w:tcW w:w="0" w:type="auto"/>
            <w:vAlign w:val="center"/>
          </w:tcPr>
          <w:p w:rsidR="000A156F" w:rsidRDefault="00A9721F">
            <w:pPr>
              <w:pStyle w:val="TableBodyText"/>
            </w:pPr>
            <w:r>
              <w:t>02AF</w:t>
            </w:r>
          </w:p>
        </w:tc>
      </w:tr>
      <w:tr w:rsidR="000A156F" w:rsidTr="000A156F">
        <w:tc>
          <w:tcPr>
            <w:tcW w:w="0" w:type="auto"/>
            <w:vAlign w:val="center"/>
          </w:tcPr>
          <w:p w:rsidR="000A156F" w:rsidRDefault="00A9721F">
            <w:pPr>
              <w:pStyle w:val="TableBodyText"/>
            </w:pPr>
            <w:r>
              <w:t>FileExit</w:t>
            </w:r>
          </w:p>
        </w:tc>
        <w:tc>
          <w:tcPr>
            <w:tcW w:w="0" w:type="auto"/>
            <w:vAlign w:val="center"/>
          </w:tcPr>
          <w:p w:rsidR="000A156F" w:rsidRDefault="00A9721F">
            <w:pPr>
              <w:pStyle w:val="TableBodyText"/>
            </w:pPr>
            <w:r>
              <w:t>0062</w:t>
            </w:r>
          </w:p>
        </w:tc>
      </w:tr>
      <w:tr w:rsidR="000A156F" w:rsidTr="000A156F">
        <w:tc>
          <w:tcPr>
            <w:tcW w:w="0" w:type="auto"/>
            <w:vAlign w:val="center"/>
          </w:tcPr>
          <w:p w:rsidR="000A156F" w:rsidRDefault="00A9721F">
            <w:pPr>
              <w:pStyle w:val="TableBodyText"/>
            </w:pPr>
            <w:r>
              <w:t>FileFind</w:t>
            </w:r>
          </w:p>
        </w:tc>
        <w:tc>
          <w:tcPr>
            <w:tcW w:w="0" w:type="auto"/>
            <w:vAlign w:val="center"/>
          </w:tcPr>
          <w:p w:rsidR="000A156F" w:rsidRDefault="00A9721F">
            <w:pPr>
              <w:pStyle w:val="TableBodyText"/>
            </w:pPr>
            <w:r>
              <w:t>0063</w:t>
            </w:r>
          </w:p>
        </w:tc>
      </w:tr>
      <w:tr w:rsidR="000A156F" w:rsidTr="000A156F">
        <w:tc>
          <w:tcPr>
            <w:tcW w:w="0" w:type="auto"/>
            <w:vAlign w:val="center"/>
          </w:tcPr>
          <w:p w:rsidR="000A156F" w:rsidRDefault="00A9721F">
            <w:pPr>
              <w:pStyle w:val="TableBodyText"/>
            </w:pPr>
            <w:r>
              <w:t>FileMacPageSetup</w:t>
            </w:r>
          </w:p>
        </w:tc>
        <w:tc>
          <w:tcPr>
            <w:tcW w:w="0" w:type="auto"/>
            <w:vAlign w:val="center"/>
          </w:tcPr>
          <w:p w:rsidR="000A156F" w:rsidRDefault="00A9721F">
            <w:pPr>
              <w:pStyle w:val="TableBodyText"/>
            </w:pPr>
            <w:r>
              <w:t>02AD</w:t>
            </w:r>
          </w:p>
        </w:tc>
      </w:tr>
      <w:tr w:rsidR="000A156F" w:rsidTr="000A156F">
        <w:tc>
          <w:tcPr>
            <w:tcW w:w="0" w:type="auto"/>
            <w:vAlign w:val="center"/>
          </w:tcPr>
          <w:p w:rsidR="000A156F" w:rsidRDefault="00A9721F">
            <w:pPr>
              <w:pStyle w:val="TableBodyText"/>
            </w:pPr>
            <w:r>
              <w:t>FileNew</w:t>
            </w:r>
          </w:p>
        </w:tc>
        <w:tc>
          <w:tcPr>
            <w:tcW w:w="0" w:type="auto"/>
            <w:vAlign w:val="center"/>
          </w:tcPr>
          <w:p w:rsidR="000A156F" w:rsidRDefault="00A9721F">
            <w:pPr>
              <w:pStyle w:val="TableBodyText"/>
            </w:pPr>
            <w:r>
              <w:t>004F</w:t>
            </w:r>
          </w:p>
        </w:tc>
      </w:tr>
      <w:tr w:rsidR="000A156F" w:rsidTr="000A156F">
        <w:tc>
          <w:tcPr>
            <w:tcW w:w="0" w:type="auto"/>
            <w:vAlign w:val="center"/>
          </w:tcPr>
          <w:p w:rsidR="000A156F" w:rsidRDefault="00A9721F">
            <w:pPr>
              <w:pStyle w:val="TableBodyText"/>
            </w:pPr>
            <w:r>
              <w:t>FileNewContext</w:t>
            </w:r>
          </w:p>
        </w:tc>
        <w:tc>
          <w:tcPr>
            <w:tcW w:w="0" w:type="auto"/>
            <w:vAlign w:val="center"/>
          </w:tcPr>
          <w:p w:rsidR="000A156F" w:rsidRDefault="00A9721F">
            <w:pPr>
              <w:pStyle w:val="TableBodyText"/>
            </w:pPr>
            <w:r>
              <w:t>04F1</w:t>
            </w:r>
          </w:p>
        </w:tc>
      </w:tr>
      <w:tr w:rsidR="000A156F" w:rsidTr="000A156F">
        <w:tc>
          <w:tcPr>
            <w:tcW w:w="0" w:type="auto"/>
            <w:vAlign w:val="center"/>
          </w:tcPr>
          <w:p w:rsidR="000A156F" w:rsidRDefault="00A9721F">
            <w:pPr>
              <w:pStyle w:val="TableBodyText"/>
            </w:pPr>
            <w:r>
              <w:t>FileNewDefault</w:t>
            </w:r>
          </w:p>
        </w:tc>
        <w:tc>
          <w:tcPr>
            <w:tcW w:w="0" w:type="auto"/>
            <w:vAlign w:val="center"/>
          </w:tcPr>
          <w:p w:rsidR="000A156F" w:rsidRDefault="00A9721F">
            <w:pPr>
              <w:pStyle w:val="TableBodyText"/>
            </w:pPr>
            <w:r>
              <w:t>012D</w:t>
            </w:r>
          </w:p>
        </w:tc>
      </w:tr>
      <w:tr w:rsidR="000A156F" w:rsidTr="000A156F">
        <w:tc>
          <w:tcPr>
            <w:tcW w:w="0" w:type="auto"/>
            <w:vAlign w:val="center"/>
          </w:tcPr>
          <w:p w:rsidR="000A156F" w:rsidRDefault="00A9721F">
            <w:pPr>
              <w:pStyle w:val="TableBodyText"/>
            </w:pPr>
            <w:r>
              <w:lastRenderedPageBreak/>
              <w:t>FileNewDialog</w:t>
            </w:r>
          </w:p>
        </w:tc>
        <w:tc>
          <w:tcPr>
            <w:tcW w:w="0" w:type="auto"/>
            <w:vAlign w:val="center"/>
          </w:tcPr>
          <w:p w:rsidR="000A156F" w:rsidRDefault="00A9721F">
            <w:pPr>
              <w:pStyle w:val="TableBodyText"/>
            </w:pPr>
            <w:r>
              <w:t>045C</w:t>
            </w:r>
          </w:p>
        </w:tc>
      </w:tr>
      <w:tr w:rsidR="000A156F" w:rsidTr="000A156F">
        <w:tc>
          <w:tcPr>
            <w:tcW w:w="0" w:type="auto"/>
            <w:vAlign w:val="center"/>
          </w:tcPr>
          <w:p w:rsidR="000A156F" w:rsidRDefault="00A9721F">
            <w:pPr>
              <w:pStyle w:val="TableBodyText"/>
            </w:pPr>
            <w:r>
              <w:t>FileNewEmail</w:t>
            </w:r>
          </w:p>
        </w:tc>
        <w:tc>
          <w:tcPr>
            <w:tcW w:w="0" w:type="auto"/>
            <w:vAlign w:val="center"/>
          </w:tcPr>
          <w:p w:rsidR="000A156F" w:rsidRDefault="00A9721F">
            <w:pPr>
              <w:pStyle w:val="TableBodyText"/>
            </w:pPr>
            <w:r>
              <w:t>0444</w:t>
            </w:r>
          </w:p>
        </w:tc>
      </w:tr>
      <w:tr w:rsidR="000A156F" w:rsidTr="000A156F">
        <w:tc>
          <w:tcPr>
            <w:tcW w:w="0" w:type="auto"/>
            <w:vAlign w:val="center"/>
          </w:tcPr>
          <w:p w:rsidR="000A156F" w:rsidRDefault="00A9721F">
            <w:pPr>
              <w:pStyle w:val="TableBodyText"/>
            </w:pPr>
            <w:r>
              <w:t>FileNewPrint</w:t>
            </w:r>
          </w:p>
        </w:tc>
        <w:tc>
          <w:tcPr>
            <w:tcW w:w="0" w:type="auto"/>
            <w:vAlign w:val="center"/>
          </w:tcPr>
          <w:p w:rsidR="000A156F" w:rsidRDefault="00A9721F">
            <w:pPr>
              <w:pStyle w:val="TableBodyText"/>
            </w:pPr>
            <w:r>
              <w:t>045B</w:t>
            </w:r>
          </w:p>
        </w:tc>
      </w:tr>
      <w:tr w:rsidR="000A156F" w:rsidTr="000A156F">
        <w:tc>
          <w:tcPr>
            <w:tcW w:w="0" w:type="auto"/>
            <w:vAlign w:val="center"/>
          </w:tcPr>
          <w:p w:rsidR="000A156F" w:rsidRDefault="00A9721F">
            <w:pPr>
              <w:pStyle w:val="TableBodyText"/>
            </w:pPr>
            <w:r>
              <w:t>FileNewWeb</w:t>
            </w:r>
          </w:p>
        </w:tc>
        <w:tc>
          <w:tcPr>
            <w:tcW w:w="0" w:type="auto"/>
            <w:vAlign w:val="center"/>
          </w:tcPr>
          <w:p w:rsidR="000A156F" w:rsidRDefault="00A9721F">
            <w:pPr>
              <w:pStyle w:val="TableBodyText"/>
            </w:pPr>
            <w:r>
              <w:t>0459</w:t>
            </w:r>
          </w:p>
        </w:tc>
      </w:tr>
      <w:tr w:rsidR="000A156F" w:rsidTr="000A156F">
        <w:tc>
          <w:tcPr>
            <w:tcW w:w="0" w:type="auto"/>
            <w:vAlign w:val="center"/>
          </w:tcPr>
          <w:p w:rsidR="000A156F" w:rsidRDefault="00A9721F">
            <w:pPr>
              <w:pStyle w:val="TableBodyText"/>
            </w:pPr>
            <w:r>
              <w:t>FileOpen</w:t>
            </w:r>
          </w:p>
        </w:tc>
        <w:tc>
          <w:tcPr>
            <w:tcW w:w="0" w:type="auto"/>
            <w:vAlign w:val="center"/>
          </w:tcPr>
          <w:p w:rsidR="000A156F" w:rsidRDefault="00A9721F">
            <w:pPr>
              <w:pStyle w:val="TableBodyText"/>
            </w:pPr>
            <w:r>
              <w:t>0050</w:t>
            </w:r>
          </w:p>
        </w:tc>
      </w:tr>
      <w:tr w:rsidR="000A156F" w:rsidTr="000A156F">
        <w:tc>
          <w:tcPr>
            <w:tcW w:w="0" w:type="auto"/>
            <w:vAlign w:val="center"/>
          </w:tcPr>
          <w:p w:rsidR="000A156F" w:rsidRDefault="00A9721F">
            <w:pPr>
              <w:pStyle w:val="TableBodyText"/>
            </w:pPr>
            <w:r>
              <w:t>FileOpenFile</w:t>
            </w:r>
          </w:p>
        </w:tc>
        <w:tc>
          <w:tcPr>
            <w:tcW w:w="0" w:type="auto"/>
            <w:vAlign w:val="center"/>
          </w:tcPr>
          <w:p w:rsidR="000A156F" w:rsidRDefault="00A9721F">
            <w:pPr>
              <w:pStyle w:val="TableBodyText"/>
            </w:pPr>
            <w:r>
              <w:t>0218</w:t>
            </w:r>
          </w:p>
        </w:tc>
      </w:tr>
      <w:tr w:rsidR="000A156F" w:rsidTr="000A156F">
        <w:tc>
          <w:tcPr>
            <w:tcW w:w="0" w:type="auto"/>
            <w:vAlign w:val="center"/>
          </w:tcPr>
          <w:p w:rsidR="000A156F" w:rsidRDefault="00A9721F">
            <w:pPr>
              <w:pStyle w:val="TableBodyText"/>
            </w:pPr>
            <w:r>
              <w:t>FilePageSetup</w:t>
            </w:r>
          </w:p>
        </w:tc>
        <w:tc>
          <w:tcPr>
            <w:tcW w:w="0" w:type="auto"/>
            <w:vAlign w:val="center"/>
          </w:tcPr>
          <w:p w:rsidR="000A156F" w:rsidRDefault="00A9721F">
            <w:pPr>
              <w:pStyle w:val="TableBodyText"/>
            </w:pPr>
            <w:r>
              <w:t>00B2</w:t>
            </w:r>
          </w:p>
        </w:tc>
      </w:tr>
      <w:tr w:rsidR="000A156F" w:rsidTr="000A156F">
        <w:tc>
          <w:tcPr>
            <w:tcW w:w="0" w:type="auto"/>
            <w:vAlign w:val="center"/>
          </w:tcPr>
          <w:p w:rsidR="000A156F" w:rsidRDefault="00A9721F">
            <w:pPr>
              <w:pStyle w:val="TableBodyText"/>
            </w:pPr>
            <w:r>
              <w:t>FilePermission</w:t>
            </w:r>
          </w:p>
        </w:tc>
        <w:tc>
          <w:tcPr>
            <w:tcW w:w="0" w:type="auto"/>
            <w:vAlign w:val="center"/>
          </w:tcPr>
          <w:p w:rsidR="000A156F" w:rsidRDefault="00A9721F">
            <w:pPr>
              <w:pStyle w:val="TableBodyText"/>
            </w:pPr>
            <w:r>
              <w:t>05BD</w:t>
            </w:r>
          </w:p>
        </w:tc>
      </w:tr>
      <w:tr w:rsidR="000A156F" w:rsidTr="000A156F">
        <w:tc>
          <w:tcPr>
            <w:tcW w:w="0" w:type="auto"/>
            <w:vAlign w:val="center"/>
          </w:tcPr>
          <w:p w:rsidR="000A156F" w:rsidRDefault="00A9721F">
            <w:pPr>
              <w:pStyle w:val="TableBodyText"/>
            </w:pPr>
            <w:r>
              <w:t>FilePermissionMenu</w:t>
            </w:r>
          </w:p>
        </w:tc>
        <w:tc>
          <w:tcPr>
            <w:tcW w:w="0" w:type="auto"/>
            <w:vAlign w:val="center"/>
          </w:tcPr>
          <w:p w:rsidR="000A156F" w:rsidRDefault="00A9721F">
            <w:pPr>
              <w:pStyle w:val="TableBodyText"/>
            </w:pPr>
            <w:r>
              <w:t>0596</w:t>
            </w:r>
          </w:p>
        </w:tc>
      </w:tr>
      <w:tr w:rsidR="000A156F" w:rsidTr="000A156F">
        <w:tc>
          <w:tcPr>
            <w:tcW w:w="0" w:type="auto"/>
            <w:vAlign w:val="center"/>
          </w:tcPr>
          <w:p w:rsidR="000A156F" w:rsidRDefault="00A9721F">
            <w:pPr>
              <w:pStyle w:val="TableBodyText"/>
            </w:pPr>
            <w:r>
              <w:t>FilePost</w:t>
            </w:r>
          </w:p>
        </w:tc>
        <w:tc>
          <w:tcPr>
            <w:tcW w:w="0" w:type="auto"/>
            <w:vAlign w:val="center"/>
          </w:tcPr>
          <w:p w:rsidR="000A156F" w:rsidRDefault="00A9721F">
            <w:pPr>
              <w:pStyle w:val="TableBodyText"/>
            </w:pPr>
            <w:r>
              <w:t>02F8</w:t>
            </w:r>
          </w:p>
        </w:tc>
      </w:tr>
      <w:tr w:rsidR="000A156F" w:rsidTr="000A156F">
        <w:tc>
          <w:tcPr>
            <w:tcW w:w="0" w:type="auto"/>
            <w:vAlign w:val="center"/>
          </w:tcPr>
          <w:p w:rsidR="000A156F" w:rsidRDefault="00A9721F">
            <w:pPr>
              <w:pStyle w:val="TableBodyText"/>
            </w:pPr>
            <w:r>
              <w:t>FilePreview</w:t>
            </w:r>
          </w:p>
        </w:tc>
        <w:tc>
          <w:tcPr>
            <w:tcW w:w="0" w:type="auto"/>
            <w:vAlign w:val="center"/>
          </w:tcPr>
          <w:p w:rsidR="000A156F" w:rsidRDefault="00A9721F">
            <w:pPr>
              <w:pStyle w:val="TableBodyText"/>
            </w:pPr>
            <w:r>
              <w:t>167F</w:t>
            </w:r>
          </w:p>
        </w:tc>
      </w:tr>
      <w:tr w:rsidR="000A156F" w:rsidTr="000A156F">
        <w:tc>
          <w:tcPr>
            <w:tcW w:w="0" w:type="auto"/>
            <w:vAlign w:val="center"/>
          </w:tcPr>
          <w:p w:rsidR="000A156F" w:rsidRDefault="00A9721F">
            <w:pPr>
              <w:pStyle w:val="TableBodyText"/>
            </w:pPr>
            <w:r>
              <w:t>FilePrint</w:t>
            </w:r>
          </w:p>
        </w:tc>
        <w:tc>
          <w:tcPr>
            <w:tcW w:w="0" w:type="auto"/>
            <w:vAlign w:val="center"/>
          </w:tcPr>
          <w:p w:rsidR="000A156F" w:rsidRDefault="00A9721F">
            <w:pPr>
              <w:pStyle w:val="TableBodyText"/>
            </w:pPr>
            <w:r>
              <w:t>0058</w:t>
            </w:r>
          </w:p>
        </w:tc>
      </w:tr>
      <w:tr w:rsidR="000A156F" w:rsidTr="000A156F">
        <w:tc>
          <w:tcPr>
            <w:tcW w:w="0" w:type="auto"/>
            <w:vAlign w:val="center"/>
          </w:tcPr>
          <w:p w:rsidR="000A156F" w:rsidRDefault="00A9721F">
            <w:pPr>
              <w:pStyle w:val="TableBodyText"/>
            </w:pPr>
            <w:r>
              <w:t>FilePrintDefault</w:t>
            </w:r>
          </w:p>
        </w:tc>
        <w:tc>
          <w:tcPr>
            <w:tcW w:w="0" w:type="auto"/>
            <w:vAlign w:val="center"/>
          </w:tcPr>
          <w:p w:rsidR="000A156F" w:rsidRDefault="00A9721F">
            <w:pPr>
              <w:pStyle w:val="TableBodyText"/>
            </w:pPr>
            <w:r>
              <w:t>012E</w:t>
            </w:r>
          </w:p>
        </w:tc>
      </w:tr>
      <w:tr w:rsidR="000A156F" w:rsidTr="000A156F">
        <w:tc>
          <w:tcPr>
            <w:tcW w:w="0" w:type="auto"/>
            <w:vAlign w:val="center"/>
          </w:tcPr>
          <w:p w:rsidR="000A156F" w:rsidRDefault="00A9721F">
            <w:pPr>
              <w:pStyle w:val="TableBodyText"/>
            </w:pPr>
            <w:r>
              <w:t>FilePrintPreview</w:t>
            </w:r>
          </w:p>
        </w:tc>
        <w:tc>
          <w:tcPr>
            <w:tcW w:w="0" w:type="auto"/>
            <w:vAlign w:val="center"/>
          </w:tcPr>
          <w:p w:rsidR="000A156F" w:rsidRDefault="00A9721F">
            <w:pPr>
              <w:pStyle w:val="TableBodyText"/>
            </w:pPr>
            <w:r>
              <w:t>0059</w:t>
            </w:r>
          </w:p>
        </w:tc>
      </w:tr>
      <w:tr w:rsidR="000A156F" w:rsidTr="000A156F">
        <w:tc>
          <w:tcPr>
            <w:tcW w:w="0" w:type="auto"/>
            <w:vAlign w:val="center"/>
          </w:tcPr>
          <w:p w:rsidR="000A156F" w:rsidRDefault="00A9721F">
            <w:pPr>
              <w:pStyle w:val="TableBodyText"/>
            </w:pPr>
            <w:r>
              <w:t>FilePrintPreviewFullScreen</w:t>
            </w:r>
          </w:p>
        </w:tc>
        <w:tc>
          <w:tcPr>
            <w:tcW w:w="0" w:type="auto"/>
            <w:vAlign w:val="center"/>
          </w:tcPr>
          <w:p w:rsidR="000A156F" w:rsidRDefault="00A9721F">
            <w:pPr>
              <w:pStyle w:val="TableBodyText"/>
            </w:pPr>
            <w:r>
              <w:t>0204</w:t>
            </w:r>
          </w:p>
        </w:tc>
      </w:tr>
      <w:tr w:rsidR="000A156F" w:rsidTr="000A156F">
        <w:tc>
          <w:tcPr>
            <w:tcW w:w="0" w:type="auto"/>
            <w:vAlign w:val="center"/>
          </w:tcPr>
          <w:p w:rsidR="000A156F" w:rsidRDefault="00A9721F">
            <w:pPr>
              <w:pStyle w:val="TableBodyText"/>
            </w:pPr>
            <w:r>
              <w:t>FilePrintSetup</w:t>
            </w:r>
          </w:p>
        </w:tc>
        <w:tc>
          <w:tcPr>
            <w:tcW w:w="0" w:type="auto"/>
            <w:vAlign w:val="center"/>
          </w:tcPr>
          <w:p w:rsidR="000A156F" w:rsidRDefault="00A9721F">
            <w:pPr>
              <w:pStyle w:val="TableBodyText"/>
            </w:pPr>
            <w:r>
              <w:t>0061</w:t>
            </w:r>
          </w:p>
        </w:tc>
      </w:tr>
      <w:tr w:rsidR="000A156F" w:rsidTr="000A156F">
        <w:tc>
          <w:tcPr>
            <w:tcW w:w="0" w:type="auto"/>
            <w:vAlign w:val="center"/>
          </w:tcPr>
          <w:p w:rsidR="000A156F" w:rsidRDefault="00A9721F">
            <w:pPr>
              <w:pStyle w:val="TableBodyText"/>
            </w:pPr>
            <w:r>
              <w:t>FileProperties</w:t>
            </w:r>
          </w:p>
        </w:tc>
        <w:tc>
          <w:tcPr>
            <w:tcW w:w="0" w:type="auto"/>
            <w:vAlign w:val="center"/>
          </w:tcPr>
          <w:p w:rsidR="000A156F" w:rsidRDefault="00A9721F">
            <w:pPr>
              <w:pStyle w:val="TableBodyText"/>
            </w:pPr>
            <w:r>
              <w:t>02EE</w:t>
            </w:r>
          </w:p>
        </w:tc>
      </w:tr>
      <w:tr w:rsidR="000A156F" w:rsidTr="000A156F">
        <w:tc>
          <w:tcPr>
            <w:tcW w:w="0" w:type="auto"/>
            <w:vAlign w:val="center"/>
          </w:tcPr>
          <w:p w:rsidR="000A156F" w:rsidRDefault="00A9721F">
            <w:pPr>
              <w:pStyle w:val="TableBodyText"/>
            </w:pPr>
            <w:r>
              <w:t>FileRoutingSlip</w:t>
            </w:r>
          </w:p>
        </w:tc>
        <w:tc>
          <w:tcPr>
            <w:tcW w:w="0" w:type="auto"/>
            <w:vAlign w:val="center"/>
          </w:tcPr>
          <w:p w:rsidR="000A156F" w:rsidRDefault="00A9721F">
            <w:pPr>
              <w:pStyle w:val="TableBodyText"/>
            </w:pPr>
            <w:r>
              <w:t>0270</w:t>
            </w:r>
          </w:p>
        </w:tc>
      </w:tr>
      <w:tr w:rsidR="000A156F" w:rsidTr="000A156F">
        <w:tc>
          <w:tcPr>
            <w:tcW w:w="0" w:type="auto"/>
            <w:vAlign w:val="center"/>
          </w:tcPr>
          <w:p w:rsidR="000A156F" w:rsidRDefault="00A9721F">
            <w:pPr>
              <w:pStyle w:val="TableBodyText"/>
            </w:pPr>
            <w:r>
              <w:t>FileSave</w:t>
            </w:r>
          </w:p>
        </w:tc>
        <w:tc>
          <w:tcPr>
            <w:tcW w:w="0" w:type="auto"/>
            <w:vAlign w:val="center"/>
          </w:tcPr>
          <w:p w:rsidR="000A156F" w:rsidRDefault="00A9721F">
            <w:pPr>
              <w:pStyle w:val="TableBodyText"/>
            </w:pPr>
            <w:r>
              <w:t>0053</w:t>
            </w:r>
          </w:p>
        </w:tc>
      </w:tr>
      <w:tr w:rsidR="000A156F" w:rsidTr="000A156F">
        <w:tc>
          <w:tcPr>
            <w:tcW w:w="0" w:type="auto"/>
            <w:vAlign w:val="center"/>
          </w:tcPr>
          <w:p w:rsidR="000A156F" w:rsidRDefault="00A9721F">
            <w:pPr>
              <w:pStyle w:val="TableBodyText"/>
            </w:pPr>
            <w:r>
              <w:t>FileSaveAll</w:t>
            </w:r>
          </w:p>
        </w:tc>
        <w:tc>
          <w:tcPr>
            <w:tcW w:w="0" w:type="auto"/>
            <w:vAlign w:val="center"/>
          </w:tcPr>
          <w:p w:rsidR="000A156F" w:rsidRDefault="00A9721F">
            <w:pPr>
              <w:pStyle w:val="TableBodyText"/>
            </w:pPr>
            <w:r>
              <w:t>0055</w:t>
            </w:r>
          </w:p>
        </w:tc>
      </w:tr>
      <w:tr w:rsidR="000A156F" w:rsidTr="000A156F">
        <w:tc>
          <w:tcPr>
            <w:tcW w:w="0" w:type="auto"/>
            <w:vAlign w:val="center"/>
          </w:tcPr>
          <w:p w:rsidR="000A156F" w:rsidRDefault="00A9721F">
            <w:pPr>
              <w:pStyle w:val="TableBodyText"/>
            </w:pPr>
            <w:r>
              <w:t>FileSaveAs</w:t>
            </w:r>
          </w:p>
        </w:tc>
        <w:tc>
          <w:tcPr>
            <w:tcW w:w="0" w:type="auto"/>
            <w:vAlign w:val="center"/>
          </w:tcPr>
          <w:p w:rsidR="000A156F" w:rsidRDefault="00A9721F">
            <w:pPr>
              <w:pStyle w:val="TableBodyText"/>
            </w:pPr>
            <w:r>
              <w:t>0054</w:t>
            </w:r>
          </w:p>
        </w:tc>
      </w:tr>
      <w:tr w:rsidR="000A156F" w:rsidTr="000A156F">
        <w:tc>
          <w:tcPr>
            <w:tcW w:w="0" w:type="auto"/>
            <w:vAlign w:val="center"/>
          </w:tcPr>
          <w:p w:rsidR="000A156F" w:rsidRDefault="00A9721F">
            <w:pPr>
              <w:pStyle w:val="TableBodyText"/>
            </w:pPr>
            <w:r>
              <w:t>FileSaveAsOtherFormats</w:t>
            </w:r>
          </w:p>
        </w:tc>
        <w:tc>
          <w:tcPr>
            <w:tcW w:w="0" w:type="auto"/>
            <w:vAlign w:val="center"/>
          </w:tcPr>
          <w:p w:rsidR="000A156F" w:rsidRDefault="00A9721F">
            <w:pPr>
              <w:pStyle w:val="TableBodyText"/>
            </w:pPr>
            <w:r>
              <w:t>0912</w:t>
            </w:r>
          </w:p>
        </w:tc>
      </w:tr>
      <w:tr w:rsidR="000A156F" w:rsidTr="000A156F">
        <w:tc>
          <w:tcPr>
            <w:tcW w:w="0" w:type="auto"/>
            <w:vAlign w:val="center"/>
          </w:tcPr>
          <w:p w:rsidR="000A156F" w:rsidRDefault="00A9721F">
            <w:pPr>
              <w:pStyle w:val="TableBodyText"/>
            </w:pPr>
            <w:r>
              <w:t>FileSaveAsWebPage</w:t>
            </w:r>
          </w:p>
        </w:tc>
        <w:tc>
          <w:tcPr>
            <w:tcW w:w="0" w:type="auto"/>
            <w:vAlign w:val="center"/>
          </w:tcPr>
          <w:p w:rsidR="000A156F" w:rsidRDefault="00A9721F">
            <w:pPr>
              <w:pStyle w:val="TableBodyText"/>
            </w:pPr>
            <w:r>
              <w:t>048C</w:t>
            </w:r>
          </w:p>
        </w:tc>
      </w:tr>
      <w:tr w:rsidR="000A156F" w:rsidTr="000A156F">
        <w:tc>
          <w:tcPr>
            <w:tcW w:w="0" w:type="auto"/>
            <w:vAlign w:val="center"/>
          </w:tcPr>
          <w:p w:rsidR="000A156F" w:rsidRDefault="00A9721F">
            <w:pPr>
              <w:pStyle w:val="TableBodyText"/>
            </w:pPr>
            <w:r>
              <w:t>FileSaveFrameAs</w:t>
            </w:r>
          </w:p>
        </w:tc>
        <w:tc>
          <w:tcPr>
            <w:tcW w:w="0" w:type="auto"/>
            <w:vAlign w:val="center"/>
          </w:tcPr>
          <w:p w:rsidR="000A156F" w:rsidRDefault="00A9721F">
            <w:pPr>
              <w:pStyle w:val="TableBodyText"/>
            </w:pPr>
            <w:r>
              <w:t>0455</w:t>
            </w:r>
          </w:p>
        </w:tc>
      </w:tr>
      <w:tr w:rsidR="000A156F" w:rsidTr="000A156F">
        <w:tc>
          <w:tcPr>
            <w:tcW w:w="0" w:type="auto"/>
            <w:vAlign w:val="center"/>
          </w:tcPr>
          <w:p w:rsidR="000A156F" w:rsidRDefault="00A9721F">
            <w:pPr>
              <w:pStyle w:val="TableBodyText"/>
            </w:pPr>
            <w:r>
              <w:t>FileSaveHtml</w:t>
            </w:r>
          </w:p>
        </w:tc>
        <w:tc>
          <w:tcPr>
            <w:tcW w:w="0" w:type="auto"/>
            <w:vAlign w:val="center"/>
          </w:tcPr>
          <w:p w:rsidR="000A156F" w:rsidRDefault="00A9721F">
            <w:pPr>
              <w:pStyle w:val="TableBodyText"/>
            </w:pPr>
            <w:r>
              <w:t>03F4</w:t>
            </w:r>
          </w:p>
        </w:tc>
      </w:tr>
      <w:tr w:rsidR="000A156F" w:rsidTr="000A156F">
        <w:tc>
          <w:tcPr>
            <w:tcW w:w="0" w:type="auto"/>
            <w:vAlign w:val="center"/>
          </w:tcPr>
          <w:p w:rsidR="000A156F" w:rsidRDefault="00A9721F">
            <w:pPr>
              <w:pStyle w:val="TableBodyText"/>
            </w:pPr>
            <w:r>
              <w:t>FileSaveVersion</w:t>
            </w:r>
          </w:p>
        </w:tc>
        <w:tc>
          <w:tcPr>
            <w:tcW w:w="0" w:type="auto"/>
            <w:vAlign w:val="center"/>
          </w:tcPr>
          <w:p w:rsidR="000A156F" w:rsidRDefault="00A9721F">
            <w:pPr>
              <w:pStyle w:val="TableBodyText"/>
            </w:pPr>
            <w:r>
              <w:t>03EF</w:t>
            </w:r>
          </w:p>
        </w:tc>
      </w:tr>
      <w:tr w:rsidR="000A156F" w:rsidTr="000A156F">
        <w:tc>
          <w:tcPr>
            <w:tcW w:w="0" w:type="auto"/>
            <w:vAlign w:val="center"/>
          </w:tcPr>
          <w:p w:rsidR="000A156F" w:rsidRDefault="00A9721F">
            <w:pPr>
              <w:pStyle w:val="TableBodyText"/>
            </w:pPr>
            <w:r>
              <w:t>FileSaveWord11</w:t>
            </w:r>
          </w:p>
        </w:tc>
        <w:tc>
          <w:tcPr>
            <w:tcW w:w="0" w:type="auto"/>
            <w:vAlign w:val="center"/>
          </w:tcPr>
          <w:p w:rsidR="000A156F" w:rsidRDefault="00A9721F">
            <w:pPr>
              <w:pStyle w:val="TableBodyText"/>
            </w:pPr>
            <w:r>
              <w:t>090C</w:t>
            </w:r>
          </w:p>
        </w:tc>
      </w:tr>
      <w:tr w:rsidR="000A156F" w:rsidTr="000A156F">
        <w:tc>
          <w:tcPr>
            <w:tcW w:w="0" w:type="auto"/>
            <w:vAlign w:val="center"/>
          </w:tcPr>
          <w:p w:rsidR="000A156F" w:rsidRDefault="00A9721F">
            <w:pPr>
              <w:pStyle w:val="TableBodyText"/>
            </w:pPr>
            <w:r>
              <w:t>FileSaveWordDocx</w:t>
            </w:r>
          </w:p>
        </w:tc>
        <w:tc>
          <w:tcPr>
            <w:tcW w:w="0" w:type="auto"/>
            <w:vAlign w:val="center"/>
          </w:tcPr>
          <w:p w:rsidR="000A156F" w:rsidRDefault="00A9721F">
            <w:pPr>
              <w:pStyle w:val="TableBodyText"/>
            </w:pPr>
            <w:r>
              <w:t>090B</w:t>
            </w:r>
          </w:p>
        </w:tc>
      </w:tr>
      <w:tr w:rsidR="000A156F" w:rsidTr="000A156F">
        <w:tc>
          <w:tcPr>
            <w:tcW w:w="0" w:type="auto"/>
            <w:vAlign w:val="center"/>
          </w:tcPr>
          <w:p w:rsidR="000A156F" w:rsidRDefault="00A9721F">
            <w:pPr>
              <w:pStyle w:val="TableBodyText"/>
            </w:pPr>
            <w:r>
              <w:t>FileSaveWordDotx</w:t>
            </w:r>
          </w:p>
        </w:tc>
        <w:tc>
          <w:tcPr>
            <w:tcW w:w="0" w:type="auto"/>
            <w:vAlign w:val="center"/>
          </w:tcPr>
          <w:p w:rsidR="000A156F" w:rsidRDefault="00A9721F">
            <w:pPr>
              <w:pStyle w:val="TableBodyText"/>
            </w:pPr>
            <w:r>
              <w:t>090A</w:t>
            </w:r>
          </w:p>
        </w:tc>
      </w:tr>
      <w:tr w:rsidR="000A156F" w:rsidTr="000A156F">
        <w:tc>
          <w:tcPr>
            <w:tcW w:w="0" w:type="auto"/>
            <w:vAlign w:val="center"/>
          </w:tcPr>
          <w:p w:rsidR="000A156F" w:rsidRDefault="00A9721F">
            <w:pPr>
              <w:pStyle w:val="TableBodyText"/>
            </w:pPr>
            <w:r>
              <w:t>FileSearch</w:t>
            </w:r>
          </w:p>
        </w:tc>
        <w:tc>
          <w:tcPr>
            <w:tcW w:w="0" w:type="auto"/>
            <w:vAlign w:val="center"/>
          </w:tcPr>
          <w:p w:rsidR="000A156F" w:rsidRDefault="00A9721F">
            <w:pPr>
              <w:pStyle w:val="TableBodyText"/>
            </w:pPr>
            <w:r>
              <w:t>0553</w:t>
            </w:r>
          </w:p>
        </w:tc>
      </w:tr>
      <w:tr w:rsidR="000A156F" w:rsidTr="000A156F">
        <w:tc>
          <w:tcPr>
            <w:tcW w:w="0" w:type="auto"/>
            <w:vAlign w:val="center"/>
          </w:tcPr>
          <w:p w:rsidR="000A156F" w:rsidRDefault="00A9721F">
            <w:pPr>
              <w:pStyle w:val="TableBodyText"/>
            </w:pPr>
            <w:r>
              <w:t>FileSendBlog</w:t>
            </w:r>
          </w:p>
        </w:tc>
        <w:tc>
          <w:tcPr>
            <w:tcW w:w="0" w:type="auto"/>
            <w:vAlign w:val="center"/>
          </w:tcPr>
          <w:p w:rsidR="000A156F" w:rsidRDefault="00A9721F">
            <w:pPr>
              <w:pStyle w:val="TableBodyText"/>
            </w:pPr>
            <w:r>
              <w:t>07C4</w:t>
            </w:r>
          </w:p>
        </w:tc>
      </w:tr>
      <w:tr w:rsidR="000A156F" w:rsidTr="000A156F">
        <w:tc>
          <w:tcPr>
            <w:tcW w:w="0" w:type="auto"/>
            <w:vAlign w:val="center"/>
          </w:tcPr>
          <w:p w:rsidR="000A156F" w:rsidRDefault="00A9721F">
            <w:pPr>
              <w:pStyle w:val="TableBodyText"/>
            </w:pPr>
            <w:r>
              <w:t>FileSendMail</w:t>
            </w:r>
          </w:p>
        </w:tc>
        <w:tc>
          <w:tcPr>
            <w:tcW w:w="0" w:type="auto"/>
            <w:vAlign w:val="center"/>
          </w:tcPr>
          <w:p w:rsidR="000A156F" w:rsidRDefault="00A9721F">
            <w:pPr>
              <w:pStyle w:val="TableBodyText"/>
            </w:pPr>
            <w:r>
              <w:t>0265</w:t>
            </w:r>
          </w:p>
        </w:tc>
      </w:tr>
      <w:tr w:rsidR="000A156F" w:rsidTr="000A156F">
        <w:tc>
          <w:tcPr>
            <w:tcW w:w="0" w:type="auto"/>
            <w:vAlign w:val="center"/>
          </w:tcPr>
          <w:p w:rsidR="000A156F" w:rsidRDefault="00A9721F">
            <w:pPr>
              <w:pStyle w:val="TableBodyText"/>
            </w:pPr>
            <w:r>
              <w:lastRenderedPageBreak/>
              <w:t>FileSendPdf</w:t>
            </w:r>
          </w:p>
        </w:tc>
        <w:tc>
          <w:tcPr>
            <w:tcW w:w="0" w:type="auto"/>
            <w:vAlign w:val="center"/>
          </w:tcPr>
          <w:p w:rsidR="000A156F" w:rsidRDefault="00A9721F">
            <w:pPr>
              <w:pStyle w:val="TableBodyText"/>
            </w:pPr>
            <w:r>
              <w:t>0905</w:t>
            </w:r>
          </w:p>
        </w:tc>
      </w:tr>
      <w:tr w:rsidR="000A156F" w:rsidTr="000A156F">
        <w:tc>
          <w:tcPr>
            <w:tcW w:w="0" w:type="auto"/>
            <w:vAlign w:val="center"/>
          </w:tcPr>
          <w:p w:rsidR="000A156F" w:rsidRDefault="00A9721F">
            <w:pPr>
              <w:pStyle w:val="TableBodyText"/>
            </w:pPr>
            <w:r>
              <w:t>FileSendXps</w:t>
            </w:r>
          </w:p>
        </w:tc>
        <w:tc>
          <w:tcPr>
            <w:tcW w:w="0" w:type="auto"/>
            <w:vAlign w:val="center"/>
          </w:tcPr>
          <w:p w:rsidR="000A156F" w:rsidRDefault="00A9721F">
            <w:pPr>
              <w:pStyle w:val="TableBodyText"/>
            </w:pPr>
            <w:r>
              <w:t>0906</w:t>
            </w:r>
          </w:p>
        </w:tc>
      </w:tr>
      <w:tr w:rsidR="000A156F" w:rsidTr="000A156F">
        <w:tc>
          <w:tcPr>
            <w:tcW w:w="0" w:type="auto"/>
            <w:vAlign w:val="center"/>
          </w:tcPr>
          <w:p w:rsidR="000A156F" w:rsidRDefault="00A9721F">
            <w:pPr>
              <w:pStyle w:val="TableBodyText"/>
            </w:pPr>
            <w:r>
              <w:t>FileSummaryInfo</w:t>
            </w:r>
          </w:p>
        </w:tc>
        <w:tc>
          <w:tcPr>
            <w:tcW w:w="0" w:type="auto"/>
            <w:vAlign w:val="center"/>
          </w:tcPr>
          <w:p w:rsidR="000A156F" w:rsidRDefault="00A9721F">
            <w:pPr>
              <w:pStyle w:val="TableBodyText"/>
            </w:pPr>
            <w:r>
              <w:t>0056</w:t>
            </w:r>
          </w:p>
        </w:tc>
      </w:tr>
      <w:tr w:rsidR="000A156F" w:rsidTr="000A156F">
        <w:tc>
          <w:tcPr>
            <w:tcW w:w="0" w:type="auto"/>
            <w:vAlign w:val="center"/>
          </w:tcPr>
          <w:p w:rsidR="000A156F" w:rsidRDefault="00A9721F">
            <w:pPr>
              <w:pStyle w:val="TableBodyText"/>
            </w:pPr>
            <w:r>
              <w:t>FileTemplates</w:t>
            </w:r>
          </w:p>
        </w:tc>
        <w:tc>
          <w:tcPr>
            <w:tcW w:w="0" w:type="auto"/>
            <w:vAlign w:val="center"/>
          </w:tcPr>
          <w:p w:rsidR="000A156F" w:rsidRDefault="00A9721F">
            <w:pPr>
              <w:pStyle w:val="TableBodyText"/>
            </w:pPr>
            <w:r>
              <w:t>0057</w:t>
            </w:r>
          </w:p>
        </w:tc>
      </w:tr>
      <w:tr w:rsidR="000A156F" w:rsidTr="000A156F">
        <w:tc>
          <w:tcPr>
            <w:tcW w:w="0" w:type="auto"/>
            <w:vAlign w:val="center"/>
          </w:tcPr>
          <w:p w:rsidR="000A156F" w:rsidRDefault="00A9721F">
            <w:pPr>
              <w:pStyle w:val="TableBodyText"/>
            </w:pPr>
            <w:r>
              <w:t>FileUndoCheckout</w:t>
            </w:r>
          </w:p>
        </w:tc>
        <w:tc>
          <w:tcPr>
            <w:tcW w:w="0" w:type="auto"/>
            <w:vAlign w:val="center"/>
          </w:tcPr>
          <w:p w:rsidR="000A156F" w:rsidRDefault="00A9721F">
            <w:pPr>
              <w:pStyle w:val="TableBodyText"/>
            </w:pPr>
            <w:r>
              <w:t>04D9</w:t>
            </w:r>
          </w:p>
        </w:tc>
      </w:tr>
      <w:tr w:rsidR="000A156F" w:rsidTr="000A156F">
        <w:tc>
          <w:tcPr>
            <w:tcW w:w="0" w:type="auto"/>
            <w:vAlign w:val="center"/>
          </w:tcPr>
          <w:p w:rsidR="000A156F" w:rsidRDefault="00A9721F">
            <w:pPr>
              <w:pStyle w:val="TableBodyText"/>
            </w:pPr>
            <w:r>
              <w:t>FileVersions</w:t>
            </w:r>
          </w:p>
        </w:tc>
        <w:tc>
          <w:tcPr>
            <w:tcW w:w="0" w:type="auto"/>
            <w:vAlign w:val="center"/>
          </w:tcPr>
          <w:p w:rsidR="000A156F" w:rsidRDefault="00A9721F">
            <w:pPr>
              <w:pStyle w:val="TableBodyText"/>
            </w:pPr>
            <w:r>
              <w:t>03B1</w:t>
            </w:r>
          </w:p>
        </w:tc>
      </w:tr>
      <w:tr w:rsidR="000A156F" w:rsidTr="000A156F">
        <w:tc>
          <w:tcPr>
            <w:tcW w:w="0" w:type="auto"/>
            <w:vAlign w:val="center"/>
          </w:tcPr>
          <w:p w:rsidR="000A156F" w:rsidRDefault="00A9721F">
            <w:pPr>
              <w:pStyle w:val="TableBodyText"/>
            </w:pPr>
            <w:r>
              <w:t>FileVersionsLocal</w:t>
            </w:r>
          </w:p>
        </w:tc>
        <w:tc>
          <w:tcPr>
            <w:tcW w:w="0" w:type="auto"/>
            <w:vAlign w:val="center"/>
          </w:tcPr>
          <w:p w:rsidR="000A156F" w:rsidRDefault="00A9721F">
            <w:pPr>
              <w:pStyle w:val="TableBodyText"/>
            </w:pPr>
            <w:r>
              <w:t>04F5</w:t>
            </w:r>
          </w:p>
        </w:tc>
      </w:tr>
      <w:tr w:rsidR="000A156F" w:rsidTr="000A156F">
        <w:tc>
          <w:tcPr>
            <w:tcW w:w="0" w:type="auto"/>
            <w:vAlign w:val="center"/>
          </w:tcPr>
          <w:p w:rsidR="000A156F" w:rsidRDefault="00A9721F">
            <w:pPr>
              <w:pStyle w:val="TableBodyText"/>
            </w:pPr>
            <w:r>
              <w:t>FileVersionsServer</w:t>
            </w:r>
          </w:p>
        </w:tc>
        <w:tc>
          <w:tcPr>
            <w:tcW w:w="0" w:type="auto"/>
            <w:vAlign w:val="center"/>
          </w:tcPr>
          <w:p w:rsidR="000A156F" w:rsidRDefault="00A9721F">
            <w:pPr>
              <w:pStyle w:val="TableBodyText"/>
            </w:pPr>
            <w:r>
              <w:t>0533</w:t>
            </w:r>
          </w:p>
        </w:tc>
      </w:tr>
      <w:tr w:rsidR="000A156F" w:rsidTr="000A156F">
        <w:tc>
          <w:tcPr>
            <w:tcW w:w="0" w:type="auto"/>
            <w:vAlign w:val="center"/>
          </w:tcPr>
          <w:p w:rsidR="000A156F" w:rsidRDefault="00A9721F">
            <w:pPr>
              <w:pStyle w:val="TableBodyText"/>
            </w:pPr>
            <w:r>
              <w:t>FillColorPicker</w:t>
            </w:r>
          </w:p>
        </w:tc>
        <w:tc>
          <w:tcPr>
            <w:tcW w:w="0" w:type="auto"/>
            <w:vAlign w:val="center"/>
          </w:tcPr>
          <w:p w:rsidR="000A156F" w:rsidRDefault="00A9721F">
            <w:pPr>
              <w:pStyle w:val="TableBodyText"/>
            </w:pPr>
            <w:r>
              <w:t>084A</w:t>
            </w:r>
          </w:p>
        </w:tc>
      </w:tr>
      <w:tr w:rsidR="000A156F" w:rsidTr="000A156F">
        <w:tc>
          <w:tcPr>
            <w:tcW w:w="0" w:type="auto"/>
            <w:vAlign w:val="center"/>
          </w:tcPr>
          <w:p w:rsidR="000A156F" w:rsidRDefault="00A9721F">
            <w:pPr>
              <w:pStyle w:val="TableBodyText"/>
            </w:pPr>
            <w:r>
              <w:t>FillPolicyLabel</w:t>
            </w:r>
          </w:p>
        </w:tc>
        <w:tc>
          <w:tcPr>
            <w:tcW w:w="0" w:type="auto"/>
            <w:vAlign w:val="center"/>
          </w:tcPr>
          <w:p w:rsidR="000A156F" w:rsidRDefault="00A9721F">
            <w:pPr>
              <w:pStyle w:val="TableBodyText"/>
            </w:pPr>
            <w:r>
              <w:t>0786</w:t>
            </w:r>
          </w:p>
        </w:tc>
      </w:tr>
      <w:tr w:rsidR="000A156F" w:rsidTr="000A156F">
        <w:tc>
          <w:tcPr>
            <w:tcW w:w="0" w:type="auto"/>
            <w:vAlign w:val="center"/>
          </w:tcPr>
          <w:p w:rsidR="000A156F" w:rsidRDefault="00A9721F">
            <w:pPr>
              <w:pStyle w:val="TableBodyText"/>
            </w:pPr>
            <w:r>
              <w:t>FixBrokenText</w:t>
            </w:r>
          </w:p>
        </w:tc>
        <w:tc>
          <w:tcPr>
            <w:tcW w:w="0" w:type="auto"/>
            <w:vAlign w:val="center"/>
          </w:tcPr>
          <w:p w:rsidR="000A156F" w:rsidRDefault="00A9721F">
            <w:pPr>
              <w:pStyle w:val="TableBodyText"/>
            </w:pPr>
            <w:r>
              <w:t>0577</w:t>
            </w:r>
          </w:p>
        </w:tc>
      </w:tr>
      <w:tr w:rsidR="000A156F" w:rsidTr="000A156F">
        <w:tc>
          <w:tcPr>
            <w:tcW w:w="0" w:type="auto"/>
            <w:vAlign w:val="center"/>
          </w:tcPr>
          <w:p w:rsidR="000A156F" w:rsidRDefault="00A9721F">
            <w:pPr>
              <w:pStyle w:val="TableBodyText"/>
            </w:pPr>
            <w:r>
              <w:t>FixHHCMenu</w:t>
            </w:r>
          </w:p>
        </w:tc>
        <w:tc>
          <w:tcPr>
            <w:tcW w:w="0" w:type="auto"/>
            <w:vAlign w:val="center"/>
          </w:tcPr>
          <w:p w:rsidR="000A156F" w:rsidRDefault="00A9721F">
            <w:pPr>
              <w:pStyle w:val="TableBodyText"/>
            </w:pPr>
            <w:r>
              <w:t>1699</w:t>
            </w:r>
          </w:p>
        </w:tc>
      </w:tr>
      <w:tr w:rsidR="000A156F" w:rsidTr="000A156F">
        <w:tc>
          <w:tcPr>
            <w:tcW w:w="0" w:type="auto"/>
            <w:vAlign w:val="center"/>
          </w:tcPr>
          <w:p w:rsidR="000A156F" w:rsidRDefault="00A9721F">
            <w:pPr>
              <w:pStyle w:val="TableBodyText"/>
            </w:pPr>
            <w:r>
              <w:t>FixMe</w:t>
            </w:r>
          </w:p>
        </w:tc>
        <w:tc>
          <w:tcPr>
            <w:tcW w:w="0" w:type="auto"/>
            <w:vAlign w:val="center"/>
          </w:tcPr>
          <w:p w:rsidR="000A156F" w:rsidRDefault="00A9721F">
            <w:pPr>
              <w:pStyle w:val="TableBodyText"/>
            </w:pPr>
            <w:r>
              <w:t>02C1</w:t>
            </w:r>
          </w:p>
        </w:tc>
      </w:tr>
      <w:tr w:rsidR="000A156F" w:rsidTr="000A156F">
        <w:tc>
          <w:tcPr>
            <w:tcW w:w="0" w:type="auto"/>
            <w:vAlign w:val="center"/>
          </w:tcPr>
          <w:p w:rsidR="000A156F" w:rsidRDefault="00A9721F">
            <w:pPr>
              <w:pStyle w:val="TableBodyText"/>
            </w:pPr>
            <w:r>
              <w:t>FixSpellingChange</w:t>
            </w:r>
          </w:p>
        </w:tc>
        <w:tc>
          <w:tcPr>
            <w:tcW w:w="0" w:type="auto"/>
            <w:vAlign w:val="center"/>
          </w:tcPr>
          <w:p w:rsidR="000A156F" w:rsidRDefault="00A9721F">
            <w:pPr>
              <w:pStyle w:val="TableBodyText"/>
            </w:pPr>
            <w:r>
              <w:t>02E8</w:t>
            </w:r>
          </w:p>
        </w:tc>
      </w:tr>
      <w:tr w:rsidR="000A156F" w:rsidTr="000A156F">
        <w:tc>
          <w:tcPr>
            <w:tcW w:w="0" w:type="auto"/>
            <w:vAlign w:val="center"/>
          </w:tcPr>
          <w:p w:rsidR="000A156F" w:rsidRDefault="00A9721F">
            <w:pPr>
              <w:pStyle w:val="TableBodyText"/>
            </w:pPr>
            <w:r>
              <w:t>FixSpellingLang</w:t>
            </w:r>
          </w:p>
        </w:tc>
        <w:tc>
          <w:tcPr>
            <w:tcW w:w="0" w:type="auto"/>
            <w:vAlign w:val="center"/>
          </w:tcPr>
          <w:p w:rsidR="000A156F" w:rsidRDefault="00A9721F">
            <w:pPr>
              <w:pStyle w:val="TableBodyText"/>
            </w:pPr>
            <w:r>
              <w:t>0383</w:t>
            </w:r>
          </w:p>
        </w:tc>
      </w:tr>
      <w:tr w:rsidR="000A156F" w:rsidTr="000A156F">
        <w:tc>
          <w:tcPr>
            <w:tcW w:w="0" w:type="auto"/>
            <w:vAlign w:val="center"/>
          </w:tcPr>
          <w:p w:rsidR="000A156F" w:rsidRDefault="00A9721F">
            <w:pPr>
              <w:pStyle w:val="TableBodyText"/>
            </w:pPr>
            <w:r>
              <w:t>FixSynonymMenu</w:t>
            </w:r>
          </w:p>
        </w:tc>
        <w:tc>
          <w:tcPr>
            <w:tcW w:w="0" w:type="auto"/>
            <w:vAlign w:val="center"/>
          </w:tcPr>
          <w:p w:rsidR="000A156F" w:rsidRDefault="00A9721F">
            <w:pPr>
              <w:pStyle w:val="TableBodyText"/>
            </w:pPr>
            <w:r>
              <w:t>16A0</w:t>
            </w:r>
          </w:p>
        </w:tc>
      </w:tr>
      <w:tr w:rsidR="000A156F" w:rsidTr="000A156F">
        <w:tc>
          <w:tcPr>
            <w:tcW w:w="0" w:type="auto"/>
            <w:vAlign w:val="center"/>
          </w:tcPr>
          <w:p w:rsidR="000A156F" w:rsidRDefault="00A9721F">
            <w:pPr>
              <w:pStyle w:val="TableBodyText"/>
            </w:pPr>
            <w:r>
              <w:t>FixUIMChange</w:t>
            </w:r>
          </w:p>
        </w:tc>
        <w:tc>
          <w:tcPr>
            <w:tcW w:w="0" w:type="auto"/>
            <w:vAlign w:val="center"/>
          </w:tcPr>
          <w:p w:rsidR="000A156F" w:rsidRDefault="00A9721F">
            <w:pPr>
              <w:pStyle w:val="TableBodyText"/>
            </w:pPr>
            <w:r>
              <w:t>0547</w:t>
            </w:r>
          </w:p>
        </w:tc>
      </w:tr>
      <w:tr w:rsidR="000A156F" w:rsidTr="000A156F">
        <w:tc>
          <w:tcPr>
            <w:tcW w:w="0" w:type="auto"/>
            <w:vAlign w:val="center"/>
          </w:tcPr>
          <w:p w:rsidR="000A156F" w:rsidRDefault="00A9721F">
            <w:pPr>
              <w:pStyle w:val="TableBodyText"/>
            </w:pPr>
            <w:r>
              <w:t>FixUIMDeleteWord</w:t>
            </w:r>
          </w:p>
        </w:tc>
        <w:tc>
          <w:tcPr>
            <w:tcW w:w="0" w:type="auto"/>
            <w:vAlign w:val="center"/>
          </w:tcPr>
          <w:p w:rsidR="000A156F" w:rsidRDefault="00A9721F">
            <w:pPr>
              <w:pStyle w:val="TableBodyText"/>
            </w:pPr>
            <w:r>
              <w:t>0549</w:t>
            </w:r>
          </w:p>
        </w:tc>
      </w:tr>
      <w:tr w:rsidR="000A156F" w:rsidTr="000A156F">
        <w:tc>
          <w:tcPr>
            <w:tcW w:w="0" w:type="auto"/>
            <w:vAlign w:val="center"/>
          </w:tcPr>
          <w:p w:rsidR="000A156F" w:rsidRDefault="00A9721F">
            <w:pPr>
              <w:pStyle w:val="TableBodyText"/>
            </w:pPr>
            <w:r>
              <w:t>Font</w:t>
            </w:r>
          </w:p>
        </w:tc>
        <w:tc>
          <w:tcPr>
            <w:tcW w:w="0" w:type="auto"/>
            <w:vAlign w:val="center"/>
          </w:tcPr>
          <w:p w:rsidR="000A156F" w:rsidRDefault="00A9721F">
            <w:pPr>
              <w:pStyle w:val="TableBodyText"/>
            </w:pPr>
            <w:r>
              <w:t>002A</w:t>
            </w:r>
          </w:p>
        </w:tc>
      </w:tr>
      <w:tr w:rsidR="000A156F" w:rsidTr="000A156F">
        <w:tc>
          <w:tcPr>
            <w:tcW w:w="0" w:type="auto"/>
            <w:vAlign w:val="center"/>
          </w:tcPr>
          <w:p w:rsidR="000A156F" w:rsidRDefault="00A9721F">
            <w:pPr>
              <w:pStyle w:val="TableBodyText"/>
            </w:pPr>
            <w:r>
              <w:t>FontColor</w:t>
            </w:r>
          </w:p>
        </w:tc>
        <w:tc>
          <w:tcPr>
            <w:tcW w:w="0" w:type="auto"/>
            <w:vAlign w:val="center"/>
          </w:tcPr>
          <w:p w:rsidR="000A156F" w:rsidRDefault="00A9721F">
            <w:pPr>
              <w:pStyle w:val="TableBodyText"/>
            </w:pPr>
            <w:r>
              <w:t>0372</w:t>
            </w:r>
          </w:p>
        </w:tc>
      </w:tr>
      <w:tr w:rsidR="000A156F" w:rsidTr="000A156F">
        <w:tc>
          <w:tcPr>
            <w:tcW w:w="0" w:type="auto"/>
            <w:vAlign w:val="center"/>
          </w:tcPr>
          <w:p w:rsidR="000A156F" w:rsidRDefault="00A9721F">
            <w:pPr>
              <w:pStyle w:val="TableBodyText"/>
            </w:pPr>
            <w:r>
              <w:t>FontColorPicker</w:t>
            </w:r>
          </w:p>
        </w:tc>
        <w:tc>
          <w:tcPr>
            <w:tcW w:w="0" w:type="auto"/>
            <w:vAlign w:val="center"/>
          </w:tcPr>
          <w:p w:rsidR="000A156F" w:rsidRDefault="00A9721F">
            <w:pPr>
              <w:pStyle w:val="TableBodyText"/>
            </w:pPr>
            <w:r>
              <w:t>07BB</w:t>
            </w:r>
          </w:p>
        </w:tc>
      </w:tr>
      <w:tr w:rsidR="000A156F" w:rsidTr="000A156F">
        <w:tc>
          <w:tcPr>
            <w:tcW w:w="0" w:type="auto"/>
            <w:vAlign w:val="center"/>
          </w:tcPr>
          <w:p w:rsidR="000A156F" w:rsidRDefault="00A9721F">
            <w:pPr>
              <w:pStyle w:val="TableBodyText"/>
            </w:pPr>
            <w:r>
              <w:t>FontSchemePicker</w:t>
            </w:r>
          </w:p>
        </w:tc>
        <w:tc>
          <w:tcPr>
            <w:tcW w:w="0" w:type="auto"/>
            <w:vAlign w:val="center"/>
          </w:tcPr>
          <w:p w:rsidR="000A156F" w:rsidRDefault="00A9721F">
            <w:pPr>
              <w:pStyle w:val="TableBodyText"/>
            </w:pPr>
            <w:r>
              <w:t>08FB</w:t>
            </w:r>
          </w:p>
        </w:tc>
      </w:tr>
      <w:tr w:rsidR="000A156F" w:rsidTr="000A156F">
        <w:tc>
          <w:tcPr>
            <w:tcW w:w="0" w:type="auto"/>
            <w:vAlign w:val="center"/>
          </w:tcPr>
          <w:p w:rsidR="000A156F" w:rsidRDefault="00A9721F">
            <w:pPr>
              <w:pStyle w:val="TableBodyText"/>
            </w:pPr>
            <w:r>
              <w:t>FontSize</w:t>
            </w:r>
          </w:p>
        </w:tc>
        <w:tc>
          <w:tcPr>
            <w:tcW w:w="0" w:type="auto"/>
            <w:vAlign w:val="center"/>
          </w:tcPr>
          <w:p w:rsidR="000A156F" w:rsidRDefault="00A9721F">
            <w:pPr>
              <w:pStyle w:val="TableBodyText"/>
            </w:pPr>
            <w:r>
              <w:t>0215</w:t>
            </w:r>
          </w:p>
        </w:tc>
      </w:tr>
      <w:tr w:rsidR="000A156F" w:rsidTr="000A156F">
        <w:tc>
          <w:tcPr>
            <w:tcW w:w="0" w:type="auto"/>
            <w:vAlign w:val="center"/>
          </w:tcPr>
          <w:p w:rsidR="000A156F" w:rsidRDefault="00A9721F">
            <w:pPr>
              <w:pStyle w:val="TableBodyText"/>
            </w:pPr>
            <w:r>
              <w:t>FontSizeSelect</w:t>
            </w:r>
          </w:p>
        </w:tc>
        <w:tc>
          <w:tcPr>
            <w:tcW w:w="0" w:type="auto"/>
            <w:vAlign w:val="center"/>
          </w:tcPr>
          <w:p w:rsidR="000A156F" w:rsidRDefault="00A9721F">
            <w:pPr>
              <w:pStyle w:val="TableBodyText"/>
            </w:pPr>
            <w:r>
              <w:t>002B</w:t>
            </w:r>
          </w:p>
        </w:tc>
      </w:tr>
      <w:tr w:rsidR="000A156F" w:rsidTr="000A156F">
        <w:tc>
          <w:tcPr>
            <w:tcW w:w="0" w:type="auto"/>
            <w:vAlign w:val="center"/>
          </w:tcPr>
          <w:p w:rsidR="000A156F" w:rsidRDefault="00A9721F">
            <w:pPr>
              <w:pStyle w:val="TableBodyText"/>
            </w:pPr>
            <w:r>
              <w:t>FontSubstitution</w:t>
            </w:r>
          </w:p>
        </w:tc>
        <w:tc>
          <w:tcPr>
            <w:tcW w:w="0" w:type="auto"/>
            <w:vAlign w:val="center"/>
          </w:tcPr>
          <w:p w:rsidR="000A156F" w:rsidRDefault="00A9721F">
            <w:pPr>
              <w:pStyle w:val="TableBodyText"/>
            </w:pPr>
            <w:r>
              <w:t>0245</w:t>
            </w:r>
          </w:p>
        </w:tc>
      </w:tr>
      <w:tr w:rsidR="000A156F" w:rsidTr="000A156F">
        <w:tc>
          <w:tcPr>
            <w:tcW w:w="0" w:type="auto"/>
            <w:vAlign w:val="center"/>
          </w:tcPr>
          <w:p w:rsidR="000A156F" w:rsidRDefault="00A9721F">
            <w:pPr>
              <w:pStyle w:val="TableBodyText"/>
            </w:pPr>
            <w:r>
              <w:t>FooterGallery</w:t>
            </w:r>
          </w:p>
        </w:tc>
        <w:tc>
          <w:tcPr>
            <w:tcW w:w="0" w:type="auto"/>
            <w:vAlign w:val="center"/>
          </w:tcPr>
          <w:p w:rsidR="000A156F" w:rsidRDefault="00A9721F">
            <w:pPr>
              <w:pStyle w:val="TableBodyText"/>
            </w:pPr>
            <w:r>
              <w:t>07E3</w:t>
            </w:r>
          </w:p>
        </w:tc>
      </w:tr>
      <w:tr w:rsidR="000A156F" w:rsidTr="000A156F">
        <w:tc>
          <w:tcPr>
            <w:tcW w:w="0" w:type="auto"/>
            <w:vAlign w:val="center"/>
          </w:tcPr>
          <w:p w:rsidR="000A156F" w:rsidRDefault="00A9721F">
            <w:pPr>
              <w:pStyle w:val="TableBodyText"/>
            </w:pPr>
            <w:r>
              <w:t>FooterPositionSpinner</w:t>
            </w:r>
          </w:p>
        </w:tc>
        <w:tc>
          <w:tcPr>
            <w:tcW w:w="0" w:type="auto"/>
            <w:vAlign w:val="center"/>
          </w:tcPr>
          <w:p w:rsidR="000A156F" w:rsidRDefault="00A9721F">
            <w:pPr>
              <w:pStyle w:val="TableBodyText"/>
            </w:pPr>
            <w:r>
              <w:t>08B2</w:t>
            </w:r>
          </w:p>
        </w:tc>
      </w:tr>
      <w:tr w:rsidR="000A156F" w:rsidTr="000A156F">
        <w:tc>
          <w:tcPr>
            <w:tcW w:w="0" w:type="auto"/>
            <w:vAlign w:val="center"/>
          </w:tcPr>
          <w:p w:rsidR="000A156F" w:rsidRDefault="00A9721F">
            <w:pPr>
              <w:pStyle w:val="TableBodyText"/>
            </w:pPr>
            <w:r>
              <w:t>FormFieldOptions</w:t>
            </w:r>
          </w:p>
        </w:tc>
        <w:tc>
          <w:tcPr>
            <w:tcW w:w="0" w:type="auto"/>
            <w:vAlign w:val="center"/>
          </w:tcPr>
          <w:p w:rsidR="000A156F" w:rsidRDefault="00A9721F">
            <w:pPr>
              <w:pStyle w:val="TableBodyText"/>
            </w:pPr>
            <w:r>
              <w:t>0161</w:t>
            </w:r>
          </w:p>
        </w:tc>
      </w:tr>
      <w:tr w:rsidR="000A156F" w:rsidTr="000A156F">
        <w:tc>
          <w:tcPr>
            <w:tcW w:w="0" w:type="auto"/>
            <w:vAlign w:val="center"/>
          </w:tcPr>
          <w:p w:rsidR="000A156F" w:rsidRDefault="00A9721F">
            <w:pPr>
              <w:pStyle w:val="TableBodyText"/>
            </w:pPr>
            <w:r>
              <w:t>FormShading</w:t>
            </w:r>
          </w:p>
        </w:tc>
        <w:tc>
          <w:tcPr>
            <w:tcW w:w="0" w:type="auto"/>
            <w:vAlign w:val="center"/>
          </w:tcPr>
          <w:p w:rsidR="000A156F" w:rsidRDefault="00A9721F">
            <w:pPr>
              <w:pStyle w:val="TableBodyText"/>
            </w:pPr>
            <w:r>
              <w:t>027C</w:t>
            </w:r>
          </w:p>
        </w:tc>
      </w:tr>
      <w:tr w:rsidR="000A156F" w:rsidTr="000A156F">
        <w:tc>
          <w:tcPr>
            <w:tcW w:w="0" w:type="auto"/>
            <w:vAlign w:val="center"/>
          </w:tcPr>
          <w:p w:rsidR="000A156F" w:rsidRDefault="00A9721F">
            <w:pPr>
              <w:pStyle w:val="TableBodyText"/>
            </w:pPr>
            <w:r>
              <w:t>FormatAddrFonts</w:t>
            </w:r>
          </w:p>
        </w:tc>
        <w:tc>
          <w:tcPr>
            <w:tcW w:w="0" w:type="auto"/>
            <w:vAlign w:val="center"/>
          </w:tcPr>
          <w:p w:rsidR="000A156F" w:rsidRDefault="00A9721F">
            <w:pPr>
              <w:pStyle w:val="TableBodyText"/>
            </w:pPr>
            <w:r>
              <w:t>0067</w:t>
            </w:r>
          </w:p>
        </w:tc>
      </w:tr>
      <w:tr w:rsidR="000A156F" w:rsidTr="000A156F">
        <w:tc>
          <w:tcPr>
            <w:tcW w:w="0" w:type="auto"/>
            <w:vAlign w:val="center"/>
          </w:tcPr>
          <w:p w:rsidR="000A156F" w:rsidRDefault="00A9721F">
            <w:pPr>
              <w:pStyle w:val="TableBodyText"/>
            </w:pPr>
            <w:r>
              <w:t>FormatAutoFormat</w:t>
            </w:r>
          </w:p>
        </w:tc>
        <w:tc>
          <w:tcPr>
            <w:tcW w:w="0" w:type="auto"/>
            <w:vAlign w:val="center"/>
          </w:tcPr>
          <w:p w:rsidR="000A156F" w:rsidRDefault="00A9721F">
            <w:pPr>
              <w:pStyle w:val="TableBodyText"/>
            </w:pPr>
            <w:r>
              <w:t>0181</w:t>
            </w:r>
          </w:p>
        </w:tc>
      </w:tr>
      <w:tr w:rsidR="000A156F" w:rsidTr="000A156F">
        <w:tc>
          <w:tcPr>
            <w:tcW w:w="0" w:type="auto"/>
            <w:vAlign w:val="center"/>
          </w:tcPr>
          <w:p w:rsidR="000A156F" w:rsidRDefault="00A9721F">
            <w:pPr>
              <w:pStyle w:val="TableBodyText"/>
            </w:pPr>
            <w:r>
              <w:t>FormatAutoFormatBegin</w:t>
            </w:r>
          </w:p>
        </w:tc>
        <w:tc>
          <w:tcPr>
            <w:tcW w:w="0" w:type="auto"/>
            <w:vAlign w:val="center"/>
          </w:tcPr>
          <w:p w:rsidR="000A156F" w:rsidRDefault="00A9721F">
            <w:pPr>
              <w:pStyle w:val="TableBodyText"/>
            </w:pPr>
            <w:r>
              <w:t>0141</w:t>
            </w:r>
          </w:p>
        </w:tc>
      </w:tr>
      <w:tr w:rsidR="000A156F" w:rsidTr="000A156F">
        <w:tc>
          <w:tcPr>
            <w:tcW w:w="0" w:type="auto"/>
            <w:vAlign w:val="center"/>
          </w:tcPr>
          <w:p w:rsidR="000A156F" w:rsidRDefault="00A9721F">
            <w:pPr>
              <w:pStyle w:val="TableBodyText"/>
            </w:pPr>
            <w:r>
              <w:lastRenderedPageBreak/>
              <w:t>FormatBackground</w:t>
            </w:r>
          </w:p>
        </w:tc>
        <w:tc>
          <w:tcPr>
            <w:tcW w:w="0" w:type="auto"/>
            <w:vAlign w:val="center"/>
          </w:tcPr>
          <w:p w:rsidR="000A156F" w:rsidRDefault="00A9721F">
            <w:pPr>
              <w:pStyle w:val="TableBodyText"/>
            </w:pPr>
            <w:r>
              <w:t>0392</w:t>
            </w:r>
          </w:p>
        </w:tc>
      </w:tr>
      <w:tr w:rsidR="000A156F" w:rsidTr="000A156F">
        <w:tc>
          <w:tcPr>
            <w:tcW w:w="0" w:type="auto"/>
            <w:vAlign w:val="center"/>
          </w:tcPr>
          <w:p w:rsidR="000A156F" w:rsidRDefault="00A9721F">
            <w:pPr>
              <w:pStyle w:val="TableBodyText"/>
            </w:pPr>
            <w:r>
              <w:t>FormatBackgroundColor</w:t>
            </w:r>
          </w:p>
        </w:tc>
        <w:tc>
          <w:tcPr>
            <w:tcW w:w="0" w:type="auto"/>
            <w:vAlign w:val="center"/>
          </w:tcPr>
          <w:p w:rsidR="000A156F" w:rsidRDefault="00A9721F">
            <w:pPr>
              <w:pStyle w:val="TableBodyText"/>
            </w:pPr>
            <w:r>
              <w:t>08BD</w:t>
            </w:r>
          </w:p>
        </w:tc>
      </w:tr>
      <w:tr w:rsidR="000A156F" w:rsidTr="000A156F">
        <w:tc>
          <w:tcPr>
            <w:tcW w:w="0" w:type="auto"/>
            <w:vAlign w:val="center"/>
          </w:tcPr>
          <w:p w:rsidR="000A156F" w:rsidRDefault="00A9721F">
            <w:pPr>
              <w:pStyle w:val="TableBodyText"/>
            </w:pPr>
            <w:r>
              <w:t>FormatBackgroundFillEffect</w:t>
            </w:r>
          </w:p>
        </w:tc>
        <w:tc>
          <w:tcPr>
            <w:tcW w:w="0" w:type="auto"/>
            <w:vAlign w:val="center"/>
          </w:tcPr>
          <w:p w:rsidR="000A156F" w:rsidRDefault="00A9721F">
            <w:pPr>
              <w:pStyle w:val="TableBodyText"/>
            </w:pPr>
            <w:r>
              <w:t>03EE</w:t>
            </w:r>
          </w:p>
        </w:tc>
      </w:tr>
      <w:tr w:rsidR="000A156F" w:rsidTr="000A156F">
        <w:tc>
          <w:tcPr>
            <w:tcW w:w="0" w:type="auto"/>
            <w:vAlign w:val="center"/>
          </w:tcPr>
          <w:p w:rsidR="000A156F" w:rsidRDefault="00A9721F">
            <w:pPr>
              <w:pStyle w:val="TableBodyText"/>
            </w:pPr>
            <w:r>
              <w:t>FormatBackgroundMoreColors</w:t>
            </w:r>
          </w:p>
        </w:tc>
        <w:tc>
          <w:tcPr>
            <w:tcW w:w="0" w:type="auto"/>
            <w:vAlign w:val="center"/>
          </w:tcPr>
          <w:p w:rsidR="000A156F" w:rsidRDefault="00A9721F">
            <w:pPr>
              <w:pStyle w:val="TableBodyText"/>
            </w:pPr>
            <w:r>
              <w:t>03ED</w:t>
            </w:r>
          </w:p>
        </w:tc>
      </w:tr>
      <w:tr w:rsidR="000A156F" w:rsidTr="000A156F">
        <w:tc>
          <w:tcPr>
            <w:tcW w:w="0" w:type="auto"/>
            <w:vAlign w:val="center"/>
          </w:tcPr>
          <w:p w:rsidR="000A156F" w:rsidRDefault="00A9721F">
            <w:pPr>
              <w:pStyle w:val="TableBodyText"/>
            </w:pPr>
            <w:r>
              <w:t>FormatBackgroundNone</w:t>
            </w:r>
          </w:p>
        </w:tc>
        <w:tc>
          <w:tcPr>
            <w:tcW w:w="0" w:type="auto"/>
            <w:vAlign w:val="center"/>
          </w:tcPr>
          <w:p w:rsidR="000A156F" w:rsidRDefault="00A9721F">
            <w:pPr>
              <w:pStyle w:val="TableBodyText"/>
            </w:pPr>
            <w:r>
              <w:t>03EC</w:t>
            </w:r>
          </w:p>
        </w:tc>
      </w:tr>
      <w:tr w:rsidR="000A156F" w:rsidTr="000A156F">
        <w:tc>
          <w:tcPr>
            <w:tcW w:w="0" w:type="auto"/>
            <w:vAlign w:val="center"/>
          </w:tcPr>
          <w:p w:rsidR="000A156F" w:rsidRDefault="00A9721F">
            <w:pPr>
              <w:pStyle w:val="TableBodyText"/>
            </w:pPr>
            <w:r>
              <w:t>FormatBackgroundSwatch</w:t>
            </w:r>
          </w:p>
        </w:tc>
        <w:tc>
          <w:tcPr>
            <w:tcW w:w="0" w:type="auto"/>
            <w:vAlign w:val="center"/>
          </w:tcPr>
          <w:p w:rsidR="000A156F" w:rsidRDefault="00A9721F">
            <w:pPr>
              <w:pStyle w:val="TableBodyText"/>
            </w:pPr>
            <w:r>
              <w:t>03EB</w:t>
            </w:r>
          </w:p>
        </w:tc>
      </w:tr>
      <w:tr w:rsidR="000A156F" w:rsidTr="000A156F">
        <w:tc>
          <w:tcPr>
            <w:tcW w:w="0" w:type="auto"/>
            <w:vAlign w:val="center"/>
          </w:tcPr>
          <w:p w:rsidR="000A156F" w:rsidRDefault="00A9721F">
            <w:pPr>
              <w:pStyle w:val="TableBodyText"/>
            </w:pPr>
            <w:r>
              <w:t>FormatBackgroundWatermark</w:t>
            </w:r>
          </w:p>
        </w:tc>
        <w:tc>
          <w:tcPr>
            <w:tcW w:w="0" w:type="auto"/>
            <w:vAlign w:val="center"/>
          </w:tcPr>
          <w:p w:rsidR="000A156F" w:rsidRDefault="00A9721F">
            <w:pPr>
              <w:pStyle w:val="TableBodyText"/>
            </w:pPr>
            <w:r>
              <w:t>03B2</w:t>
            </w:r>
          </w:p>
        </w:tc>
      </w:tr>
      <w:tr w:rsidR="000A156F" w:rsidTr="000A156F">
        <w:tc>
          <w:tcPr>
            <w:tcW w:w="0" w:type="auto"/>
            <w:vAlign w:val="center"/>
          </w:tcPr>
          <w:p w:rsidR="000A156F" w:rsidRDefault="00A9721F">
            <w:pPr>
              <w:pStyle w:val="TableBodyText"/>
            </w:pPr>
            <w:r>
              <w:t>FormatBordersAndShading</w:t>
            </w:r>
          </w:p>
        </w:tc>
        <w:tc>
          <w:tcPr>
            <w:tcW w:w="0" w:type="auto"/>
            <w:vAlign w:val="center"/>
          </w:tcPr>
          <w:p w:rsidR="000A156F" w:rsidRDefault="00A9721F">
            <w:pPr>
              <w:pStyle w:val="TableBodyText"/>
            </w:pPr>
            <w:r>
              <w:t>00BD</w:t>
            </w:r>
          </w:p>
        </w:tc>
      </w:tr>
      <w:tr w:rsidR="000A156F" w:rsidTr="000A156F">
        <w:tc>
          <w:tcPr>
            <w:tcW w:w="0" w:type="auto"/>
            <w:vAlign w:val="center"/>
          </w:tcPr>
          <w:p w:rsidR="000A156F" w:rsidRDefault="00A9721F">
            <w:pPr>
              <w:pStyle w:val="TableBodyText"/>
            </w:pPr>
            <w:r>
              <w:t>FormatBullet</w:t>
            </w:r>
          </w:p>
        </w:tc>
        <w:tc>
          <w:tcPr>
            <w:tcW w:w="0" w:type="auto"/>
            <w:vAlign w:val="center"/>
          </w:tcPr>
          <w:p w:rsidR="000A156F" w:rsidRDefault="00A9721F">
            <w:pPr>
              <w:pStyle w:val="TableBodyText"/>
            </w:pPr>
            <w:r>
              <w:t>0185</w:t>
            </w:r>
          </w:p>
        </w:tc>
      </w:tr>
      <w:tr w:rsidR="000A156F" w:rsidTr="000A156F">
        <w:tc>
          <w:tcPr>
            <w:tcW w:w="0" w:type="auto"/>
            <w:vAlign w:val="center"/>
          </w:tcPr>
          <w:p w:rsidR="000A156F" w:rsidRDefault="00A9721F">
            <w:pPr>
              <w:pStyle w:val="TableBodyText"/>
            </w:pPr>
            <w:r>
              <w:t>FormatBulletDefault</w:t>
            </w:r>
          </w:p>
        </w:tc>
        <w:tc>
          <w:tcPr>
            <w:tcW w:w="0" w:type="auto"/>
            <w:vAlign w:val="center"/>
          </w:tcPr>
          <w:p w:rsidR="000A156F" w:rsidRDefault="00A9721F">
            <w:pPr>
              <w:pStyle w:val="TableBodyText"/>
            </w:pPr>
            <w:r>
              <w:t>018F</w:t>
            </w:r>
          </w:p>
        </w:tc>
      </w:tr>
      <w:tr w:rsidR="000A156F" w:rsidTr="000A156F">
        <w:tc>
          <w:tcPr>
            <w:tcW w:w="0" w:type="auto"/>
            <w:vAlign w:val="center"/>
          </w:tcPr>
          <w:p w:rsidR="000A156F" w:rsidRDefault="00A9721F">
            <w:pPr>
              <w:pStyle w:val="TableBodyText"/>
            </w:pPr>
            <w:r>
              <w:t>FormatBulletsAndNumbering</w:t>
            </w:r>
          </w:p>
        </w:tc>
        <w:tc>
          <w:tcPr>
            <w:tcW w:w="0" w:type="auto"/>
            <w:vAlign w:val="center"/>
          </w:tcPr>
          <w:p w:rsidR="000A156F" w:rsidRDefault="00A9721F">
            <w:pPr>
              <w:pStyle w:val="TableBodyText"/>
            </w:pPr>
            <w:r>
              <w:t>0338</w:t>
            </w:r>
          </w:p>
        </w:tc>
      </w:tr>
      <w:tr w:rsidR="000A156F" w:rsidTr="000A156F">
        <w:tc>
          <w:tcPr>
            <w:tcW w:w="0" w:type="auto"/>
            <w:vAlign w:val="center"/>
          </w:tcPr>
          <w:p w:rsidR="000A156F" w:rsidRDefault="00A9721F">
            <w:pPr>
              <w:pStyle w:val="TableBodyText"/>
            </w:pPr>
            <w:r>
              <w:t>FormatCallout</w:t>
            </w:r>
          </w:p>
        </w:tc>
        <w:tc>
          <w:tcPr>
            <w:tcW w:w="0" w:type="auto"/>
            <w:vAlign w:val="center"/>
          </w:tcPr>
          <w:p w:rsidR="000A156F" w:rsidRDefault="00A9721F">
            <w:pPr>
              <w:pStyle w:val="TableBodyText"/>
            </w:pPr>
            <w:r>
              <w:t>0262</w:t>
            </w:r>
          </w:p>
        </w:tc>
      </w:tr>
      <w:tr w:rsidR="000A156F" w:rsidTr="000A156F">
        <w:tc>
          <w:tcPr>
            <w:tcW w:w="0" w:type="auto"/>
            <w:vAlign w:val="center"/>
          </w:tcPr>
          <w:p w:rsidR="000A156F" w:rsidRDefault="00A9721F">
            <w:pPr>
              <w:pStyle w:val="TableBodyText"/>
            </w:pPr>
            <w:r>
              <w:t>FormatChangeCase</w:t>
            </w:r>
          </w:p>
        </w:tc>
        <w:tc>
          <w:tcPr>
            <w:tcW w:w="0" w:type="auto"/>
            <w:vAlign w:val="center"/>
          </w:tcPr>
          <w:p w:rsidR="000A156F" w:rsidRDefault="00A9721F">
            <w:pPr>
              <w:pStyle w:val="TableBodyText"/>
            </w:pPr>
            <w:r>
              <w:t>0142</w:t>
            </w:r>
          </w:p>
        </w:tc>
      </w:tr>
      <w:tr w:rsidR="000A156F" w:rsidTr="000A156F">
        <w:tc>
          <w:tcPr>
            <w:tcW w:w="0" w:type="auto"/>
            <w:vAlign w:val="center"/>
          </w:tcPr>
          <w:p w:rsidR="000A156F" w:rsidRDefault="00A9721F">
            <w:pPr>
              <w:pStyle w:val="TableBodyText"/>
            </w:pPr>
            <w:r>
              <w:t>FormatChangeCaseFareast</w:t>
            </w:r>
          </w:p>
        </w:tc>
        <w:tc>
          <w:tcPr>
            <w:tcW w:w="0" w:type="auto"/>
            <w:vAlign w:val="center"/>
          </w:tcPr>
          <w:p w:rsidR="000A156F" w:rsidRDefault="00A9721F">
            <w:pPr>
              <w:pStyle w:val="TableBodyText"/>
            </w:pPr>
            <w:r>
              <w:t>03D4</w:t>
            </w:r>
          </w:p>
        </w:tc>
      </w:tr>
      <w:tr w:rsidR="000A156F" w:rsidTr="000A156F">
        <w:tc>
          <w:tcPr>
            <w:tcW w:w="0" w:type="auto"/>
            <w:vAlign w:val="center"/>
          </w:tcPr>
          <w:p w:rsidR="000A156F" w:rsidRDefault="00A9721F">
            <w:pPr>
              <w:pStyle w:val="TableBodyText"/>
            </w:pPr>
            <w:r>
              <w:t>FormatColumns</w:t>
            </w:r>
          </w:p>
        </w:tc>
        <w:tc>
          <w:tcPr>
            <w:tcW w:w="0" w:type="auto"/>
            <w:vAlign w:val="center"/>
          </w:tcPr>
          <w:p w:rsidR="000A156F" w:rsidRDefault="00A9721F">
            <w:pPr>
              <w:pStyle w:val="TableBodyText"/>
            </w:pPr>
            <w:r>
              <w:t>00B1</w:t>
            </w:r>
          </w:p>
        </w:tc>
      </w:tr>
      <w:tr w:rsidR="000A156F" w:rsidTr="000A156F">
        <w:tc>
          <w:tcPr>
            <w:tcW w:w="0" w:type="auto"/>
            <w:vAlign w:val="center"/>
          </w:tcPr>
          <w:p w:rsidR="000A156F" w:rsidRDefault="00A9721F">
            <w:pPr>
              <w:pStyle w:val="TableBodyText"/>
            </w:pPr>
            <w:r>
              <w:t>FormatCombineCharacters</w:t>
            </w:r>
          </w:p>
        </w:tc>
        <w:tc>
          <w:tcPr>
            <w:tcW w:w="0" w:type="auto"/>
            <w:vAlign w:val="center"/>
          </w:tcPr>
          <w:p w:rsidR="000A156F" w:rsidRDefault="00A9721F">
            <w:pPr>
              <w:pStyle w:val="TableBodyText"/>
            </w:pPr>
            <w:r>
              <w:t>03DB</w:t>
            </w:r>
          </w:p>
        </w:tc>
      </w:tr>
      <w:tr w:rsidR="000A156F" w:rsidTr="000A156F">
        <w:tc>
          <w:tcPr>
            <w:tcW w:w="0" w:type="auto"/>
            <w:vAlign w:val="center"/>
          </w:tcPr>
          <w:p w:rsidR="000A156F" w:rsidRDefault="00A9721F">
            <w:pPr>
              <w:pStyle w:val="TableBodyText"/>
            </w:pPr>
            <w:r>
              <w:t>FormatConsistencyCheck</w:t>
            </w:r>
          </w:p>
        </w:tc>
        <w:tc>
          <w:tcPr>
            <w:tcW w:w="0" w:type="auto"/>
            <w:vAlign w:val="center"/>
          </w:tcPr>
          <w:p w:rsidR="000A156F" w:rsidRDefault="00A9721F">
            <w:pPr>
              <w:pStyle w:val="TableBodyText"/>
            </w:pPr>
            <w:r>
              <w:t>0562</w:t>
            </w:r>
          </w:p>
        </w:tc>
      </w:tr>
      <w:tr w:rsidR="000A156F" w:rsidTr="000A156F">
        <w:tc>
          <w:tcPr>
            <w:tcW w:w="0" w:type="auto"/>
            <w:vAlign w:val="center"/>
          </w:tcPr>
          <w:p w:rsidR="000A156F" w:rsidRDefault="00A9721F">
            <w:pPr>
              <w:pStyle w:val="TableBodyText"/>
            </w:pPr>
            <w:r>
              <w:t>FormatDefineStyleBorders</w:t>
            </w:r>
          </w:p>
        </w:tc>
        <w:tc>
          <w:tcPr>
            <w:tcW w:w="0" w:type="auto"/>
            <w:vAlign w:val="center"/>
          </w:tcPr>
          <w:p w:rsidR="000A156F" w:rsidRDefault="00A9721F">
            <w:pPr>
              <w:pStyle w:val="TableBodyText"/>
            </w:pPr>
            <w:r>
              <w:t>00B9</w:t>
            </w:r>
          </w:p>
        </w:tc>
      </w:tr>
      <w:tr w:rsidR="000A156F" w:rsidTr="000A156F">
        <w:tc>
          <w:tcPr>
            <w:tcW w:w="0" w:type="auto"/>
            <w:vAlign w:val="center"/>
          </w:tcPr>
          <w:p w:rsidR="000A156F" w:rsidRDefault="00A9721F">
            <w:pPr>
              <w:pStyle w:val="TableBodyText"/>
            </w:pPr>
            <w:r>
              <w:t>FormatDefineStyleFont</w:t>
            </w:r>
          </w:p>
        </w:tc>
        <w:tc>
          <w:tcPr>
            <w:tcW w:w="0" w:type="auto"/>
            <w:vAlign w:val="center"/>
          </w:tcPr>
          <w:p w:rsidR="000A156F" w:rsidRDefault="00A9721F">
            <w:pPr>
              <w:pStyle w:val="TableBodyText"/>
            </w:pPr>
            <w:r>
              <w:t>00B5</w:t>
            </w:r>
          </w:p>
        </w:tc>
      </w:tr>
      <w:tr w:rsidR="000A156F" w:rsidTr="000A156F">
        <w:tc>
          <w:tcPr>
            <w:tcW w:w="0" w:type="auto"/>
            <w:vAlign w:val="center"/>
          </w:tcPr>
          <w:p w:rsidR="000A156F" w:rsidRDefault="00A9721F">
            <w:pPr>
              <w:pStyle w:val="TableBodyText"/>
            </w:pPr>
            <w:r>
              <w:t>FormatDefineStyleFrame</w:t>
            </w:r>
          </w:p>
        </w:tc>
        <w:tc>
          <w:tcPr>
            <w:tcW w:w="0" w:type="auto"/>
            <w:vAlign w:val="center"/>
          </w:tcPr>
          <w:p w:rsidR="000A156F" w:rsidRDefault="00A9721F">
            <w:pPr>
              <w:pStyle w:val="TableBodyText"/>
            </w:pPr>
            <w:r>
              <w:t>00B8</w:t>
            </w:r>
          </w:p>
        </w:tc>
      </w:tr>
      <w:tr w:rsidR="000A156F" w:rsidTr="000A156F">
        <w:tc>
          <w:tcPr>
            <w:tcW w:w="0" w:type="auto"/>
            <w:vAlign w:val="center"/>
          </w:tcPr>
          <w:p w:rsidR="000A156F" w:rsidRDefault="00A9721F">
            <w:pPr>
              <w:pStyle w:val="TableBodyText"/>
            </w:pPr>
            <w:r>
              <w:t>FormatDefineStyleLang</w:t>
            </w:r>
          </w:p>
        </w:tc>
        <w:tc>
          <w:tcPr>
            <w:tcW w:w="0" w:type="auto"/>
            <w:vAlign w:val="center"/>
          </w:tcPr>
          <w:p w:rsidR="000A156F" w:rsidRDefault="00A9721F">
            <w:pPr>
              <w:pStyle w:val="TableBodyText"/>
            </w:pPr>
            <w:r>
              <w:t>00BA</w:t>
            </w:r>
          </w:p>
        </w:tc>
      </w:tr>
      <w:tr w:rsidR="000A156F" w:rsidTr="000A156F">
        <w:tc>
          <w:tcPr>
            <w:tcW w:w="0" w:type="auto"/>
            <w:vAlign w:val="center"/>
          </w:tcPr>
          <w:p w:rsidR="000A156F" w:rsidRDefault="00A9721F">
            <w:pPr>
              <w:pStyle w:val="TableBodyText"/>
            </w:pPr>
            <w:r>
              <w:t>FormatDefineStyleNumbers</w:t>
            </w:r>
          </w:p>
        </w:tc>
        <w:tc>
          <w:tcPr>
            <w:tcW w:w="0" w:type="auto"/>
            <w:vAlign w:val="center"/>
          </w:tcPr>
          <w:p w:rsidR="000A156F" w:rsidRDefault="00A9721F">
            <w:pPr>
              <w:pStyle w:val="TableBodyText"/>
            </w:pPr>
            <w:r>
              <w:t>025A</w:t>
            </w:r>
          </w:p>
        </w:tc>
      </w:tr>
      <w:tr w:rsidR="000A156F" w:rsidTr="000A156F">
        <w:tc>
          <w:tcPr>
            <w:tcW w:w="0" w:type="auto"/>
            <w:vAlign w:val="center"/>
          </w:tcPr>
          <w:p w:rsidR="000A156F" w:rsidRDefault="00A9721F">
            <w:pPr>
              <w:pStyle w:val="TableBodyText"/>
            </w:pPr>
            <w:r>
              <w:t>FormatDefineStylePara</w:t>
            </w:r>
          </w:p>
        </w:tc>
        <w:tc>
          <w:tcPr>
            <w:tcW w:w="0" w:type="auto"/>
            <w:vAlign w:val="center"/>
          </w:tcPr>
          <w:p w:rsidR="000A156F" w:rsidRDefault="00A9721F">
            <w:pPr>
              <w:pStyle w:val="TableBodyText"/>
            </w:pPr>
            <w:r>
              <w:t>00B6</w:t>
            </w:r>
          </w:p>
        </w:tc>
      </w:tr>
      <w:tr w:rsidR="000A156F" w:rsidTr="000A156F">
        <w:tc>
          <w:tcPr>
            <w:tcW w:w="0" w:type="auto"/>
            <w:vAlign w:val="center"/>
          </w:tcPr>
          <w:p w:rsidR="000A156F" w:rsidRDefault="00A9721F">
            <w:pPr>
              <w:pStyle w:val="TableBodyText"/>
            </w:pPr>
            <w:r>
              <w:t>FormatDefineStyleStripes</w:t>
            </w:r>
          </w:p>
        </w:tc>
        <w:tc>
          <w:tcPr>
            <w:tcW w:w="0" w:type="auto"/>
            <w:vAlign w:val="center"/>
          </w:tcPr>
          <w:p w:rsidR="000A156F" w:rsidRDefault="00A9721F">
            <w:pPr>
              <w:pStyle w:val="TableBodyText"/>
            </w:pPr>
            <w:r>
              <w:t>0503</w:t>
            </w:r>
          </w:p>
        </w:tc>
      </w:tr>
      <w:tr w:rsidR="000A156F" w:rsidTr="000A156F">
        <w:tc>
          <w:tcPr>
            <w:tcW w:w="0" w:type="auto"/>
            <w:vAlign w:val="center"/>
          </w:tcPr>
          <w:p w:rsidR="000A156F" w:rsidRDefault="00A9721F">
            <w:pPr>
              <w:pStyle w:val="TableBodyText"/>
            </w:pPr>
            <w:r>
              <w:t>FormatDefineStyleTable</w:t>
            </w:r>
          </w:p>
        </w:tc>
        <w:tc>
          <w:tcPr>
            <w:tcW w:w="0" w:type="auto"/>
            <w:vAlign w:val="center"/>
          </w:tcPr>
          <w:p w:rsidR="000A156F" w:rsidRDefault="00A9721F">
            <w:pPr>
              <w:pStyle w:val="TableBodyText"/>
            </w:pPr>
            <w:r>
              <w:t>0502</w:t>
            </w:r>
          </w:p>
        </w:tc>
      </w:tr>
      <w:tr w:rsidR="000A156F" w:rsidTr="000A156F">
        <w:tc>
          <w:tcPr>
            <w:tcW w:w="0" w:type="auto"/>
            <w:vAlign w:val="center"/>
          </w:tcPr>
          <w:p w:rsidR="000A156F" w:rsidRDefault="00A9721F">
            <w:pPr>
              <w:pStyle w:val="TableBodyText"/>
            </w:pPr>
            <w:r>
              <w:t>FormatDefineStyleTabs</w:t>
            </w:r>
          </w:p>
        </w:tc>
        <w:tc>
          <w:tcPr>
            <w:tcW w:w="0" w:type="auto"/>
            <w:vAlign w:val="center"/>
          </w:tcPr>
          <w:p w:rsidR="000A156F" w:rsidRDefault="00A9721F">
            <w:pPr>
              <w:pStyle w:val="TableBodyText"/>
            </w:pPr>
            <w:r>
              <w:t>00B7</w:t>
            </w:r>
          </w:p>
        </w:tc>
      </w:tr>
      <w:tr w:rsidR="000A156F" w:rsidTr="000A156F">
        <w:tc>
          <w:tcPr>
            <w:tcW w:w="0" w:type="auto"/>
            <w:vAlign w:val="center"/>
          </w:tcPr>
          <w:p w:rsidR="000A156F" w:rsidRDefault="00A9721F">
            <w:pPr>
              <w:pStyle w:val="TableBodyText"/>
            </w:pPr>
            <w:r>
              <w:t>FormatDrawingObject</w:t>
            </w:r>
          </w:p>
        </w:tc>
        <w:tc>
          <w:tcPr>
            <w:tcW w:w="0" w:type="auto"/>
            <w:vAlign w:val="center"/>
          </w:tcPr>
          <w:p w:rsidR="000A156F" w:rsidRDefault="00A9721F">
            <w:pPr>
              <w:pStyle w:val="TableBodyText"/>
            </w:pPr>
            <w:r>
              <w:t>03C0</w:t>
            </w:r>
          </w:p>
        </w:tc>
      </w:tr>
      <w:tr w:rsidR="000A156F" w:rsidTr="000A156F">
        <w:tc>
          <w:tcPr>
            <w:tcW w:w="0" w:type="auto"/>
            <w:vAlign w:val="center"/>
          </w:tcPr>
          <w:p w:rsidR="000A156F" w:rsidRDefault="00A9721F">
            <w:pPr>
              <w:pStyle w:val="TableBodyText"/>
            </w:pPr>
            <w:r>
              <w:t>FormatDrawingObjectWrapBehind</w:t>
            </w:r>
          </w:p>
        </w:tc>
        <w:tc>
          <w:tcPr>
            <w:tcW w:w="0" w:type="auto"/>
            <w:vAlign w:val="center"/>
          </w:tcPr>
          <w:p w:rsidR="000A156F" w:rsidRDefault="00A9721F">
            <w:pPr>
              <w:pStyle w:val="TableBodyText"/>
            </w:pPr>
            <w:r>
              <w:t>1010</w:t>
            </w:r>
          </w:p>
        </w:tc>
      </w:tr>
      <w:tr w:rsidR="000A156F" w:rsidTr="000A156F">
        <w:tc>
          <w:tcPr>
            <w:tcW w:w="0" w:type="auto"/>
            <w:vAlign w:val="center"/>
          </w:tcPr>
          <w:p w:rsidR="000A156F" w:rsidRDefault="00A9721F">
            <w:pPr>
              <w:pStyle w:val="TableBodyText"/>
            </w:pPr>
            <w:r>
              <w:t>FormatDrawingObjectWrapFront</w:t>
            </w:r>
          </w:p>
        </w:tc>
        <w:tc>
          <w:tcPr>
            <w:tcW w:w="0" w:type="auto"/>
            <w:vAlign w:val="center"/>
          </w:tcPr>
          <w:p w:rsidR="000A156F" w:rsidRDefault="00A9721F">
            <w:pPr>
              <w:pStyle w:val="TableBodyText"/>
            </w:pPr>
            <w:r>
              <w:t>100F</w:t>
            </w:r>
          </w:p>
        </w:tc>
      </w:tr>
      <w:tr w:rsidR="000A156F" w:rsidTr="000A156F">
        <w:tc>
          <w:tcPr>
            <w:tcW w:w="0" w:type="auto"/>
            <w:vAlign w:val="center"/>
          </w:tcPr>
          <w:p w:rsidR="000A156F" w:rsidRDefault="00A9721F">
            <w:pPr>
              <w:pStyle w:val="TableBodyText"/>
            </w:pPr>
            <w:r>
              <w:t>FormatDrawingObjectWrapInline</w:t>
            </w:r>
          </w:p>
        </w:tc>
        <w:tc>
          <w:tcPr>
            <w:tcW w:w="0" w:type="auto"/>
            <w:vAlign w:val="center"/>
          </w:tcPr>
          <w:p w:rsidR="000A156F" w:rsidRDefault="00A9721F">
            <w:pPr>
              <w:pStyle w:val="TableBodyText"/>
            </w:pPr>
            <w:r>
              <w:t>1011</w:t>
            </w:r>
          </w:p>
        </w:tc>
      </w:tr>
      <w:tr w:rsidR="000A156F" w:rsidTr="000A156F">
        <w:tc>
          <w:tcPr>
            <w:tcW w:w="0" w:type="auto"/>
            <w:vAlign w:val="center"/>
          </w:tcPr>
          <w:p w:rsidR="000A156F" w:rsidRDefault="00A9721F">
            <w:pPr>
              <w:pStyle w:val="TableBodyText"/>
            </w:pPr>
            <w:r>
              <w:t>FormatDrawingObjectWrapNone</w:t>
            </w:r>
          </w:p>
        </w:tc>
        <w:tc>
          <w:tcPr>
            <w:tcW w:w="0" w:type="auto"/>
            <w:vAlign w:val="center"/>
          </w:tcPr>
          <w:p w:rsidR="000A156F" w:rsidRDefault="00A9721F">
            <w:pPr>
              <w:pStyle w:val="TableBodyText"/>
            </w:pPr>
            <w:r>
              <w:t>0FFB</w:t>
            </w:r>
          </w:p>
        </w:tc>
      </w:tr>
      <w:tr w:rsidR="000A156F" w:rsidTr="000A156F">
        <w:tc>
          <w:tcPr>
            <w:tcW w:w="0" w:type="auto"/>
            <w:vAlign w:val="center"/>
          </w:tcPr>
          <w:p w:rsidR="000A156F" w:rsidRDefault="00A9721F">
            <w:pPr>
              <w:pStyle w:val="TableBodyText"/>
            </w:pPr>
            <w:r>
              <w:t>FormatDrawingObjectWrapSquare</w:t>
            </w:r>
          </w:p>
        </w:tc>
        <w:tc>
          <w:tcPr>
            <w:tcW w:w="0" w:type="auto"/>
            <w:vAlign w:val="center"/>
          </w:tcPr>
          <w:p w:rsidR="000A156F" w:rsidRDefault="00A9721F">
            <w:pPr>
              <w:pStyle w:val="TableBodyText"/>
            </w:pPr>
            <w:r>
              <w:t>0FF8</w:t>
            </w:r>
          </w:p>
        </w:tc>
      </w:tr>
      <w:tr w:rsidR="000A156F" w:rsidTr="000A156F">
        <w:tc>
          <w:tcPr>
            <w:tcW w:w="0" w:type="auto"/>
            <w:vAlign w:val="center"/>
          </w:tcPr>
          <w:p w:rsidR="000A156F" w:rsidRDefault="00A9721F">
            <w:pPr>
              <w:pStyle w:val="TableBodyText"/>
            </w:pPr>
            <w:r>
              <w:lastRenderedPageBreak/>
              <w:t>FormatDrawingObjectWrapThrough</w:t>
            </w:r>
          </w:p>
        </w:tc>
        <w:tc>
          <w:tcPr>
            <w:tcW w:w="0" w:type="auto"/>
            <w:vAlign w:val="center"/>
          </w:tcPr>
          <w:p w:rsidR="000A156F" w:rsidRDefault="00A9721F">
            <w:pPr>
              <w:pStyle w:val="TableBodyText"/>
            </w:pPr>
            <w:r>
              <w:t>0FFA</w:t>
            </w:r>
          </w:p>
        </w:tc>
      </w:tr>
      <w:tr w:rsidR="000A156F" w:rsidTr="000A156F">
        <w:tc>
          <w:tcPr>
            <w:tcW w:w="0" w:type="auto"/>
            <w:vAlign w:val="center"/>
          </w:tcPr>
          <w:p w:rsidR="000A156F" w:rsidRDefault="00A9721F">
            <w:pPr>
              <w:pStyle w:val="TableBodyText"/>
            </w:pPr>
            <w:r>
              <w:t>FormatDrawingObjectWrapTight</w:t>
            </w:r>
          </w:p>
        </w:tc>
        <w:tc>
          <w:tcPr>
            <w:tcW w:w="0" w:type="auto"/>
            <w:vAlign w:val="center"/>
          </w:tcPr>
          <w:p w:rsidR="000A156F" w:rsidRDefault="00A9721F">
            <w:pPr>
              <w:pStyle w:val="TableBodyText"/>
            </w:pPr>
            <w:r>
              <w:t>0FF9</w:t>
            </w:r>
          </w:p>
        </w:tc>
      </w:tr>
      <w:tr w:rsidR="000A156F" w:rsidTr="000A156F">
        <w:tc>
          <w:tcPr>
            <w:tcW w:w="0" w:type="auto"/>
            <w:vAlign w:val="center"/>
          </w:tcPr>
          <w:p w:rsidR="000A156F" w:rsidRDefault="00A9721F">
            <w:pPr>
              <w:pStyle w:val="TableBodyText"/>
            </w:pPr>
            <w:r>
              <w:t>FormatDrawingObjectWrapTopBottom</w:t>
            </w:r>
          </w:p>
        </w:tc>
        <w:tc>
          <w:tcPr>
            <w:tcW w:w="0" w:type="auto"/>
            <w:vAlign w:val="center"/>
          </w:tcPr>
          <w:p w:rsidR="000A156F" w:rsidRDefault="00A9721F">
            <w:pPr>
              <w:pStyle w:val="TableBodyText"/>
            </w:pPr>
            <w:r>
              <w:t>0FFC</w:t>
            </w:r>
          </w:p>
        </w:tc>
      </w:tr>
      <w:tr w:rsidR="000A156F" w:rsidTr="000A156F">
        <w:tc>
          <w:tcPr>
            <w:tcW w:w="0" w:type="auto"/>
            <w:vAlign w:val="center"/>
          </w:tcPr>
          <w:p w:rsidR="000A156F" w:rsidRDefault="00A9721F">
            <w:pPr>
              <w:pStyle w:val="TableBodyText"/>
            </w:pPr>
            <w:r>
              <w:t>FormatDropCap</w:t>
            </w:r>
          </w:p>
        </w:tc>
        <w:tc>
          <w:tcPr>
            <w:tcW w:w="0" w:type="auto"/>
            <w:vAlign w:val="center"/>
          </w:tcPr>
          <w:p w:rsidR="000A156F" w:rsidRDefault="00A9721F">
            <w:pPr>
              <w:pStyle w:val="TableBodyText"/>
            </w:pPr>
            <w:r>
              <w:t>01E8</w:t>
            </w:r>
          </w:p>
        </w:tc>
      </w:tr>
      <w:tr w:rsidR="000A156F" w:rsidTr="000A156F">
        <w:tc>
          <w:tcPr>
            <w:tcW w:w="0" w:type="auto"/>
            <w:vAlign w:val="center"/>
          </w:tcPr>
          <w:p w:rsidR="000A156F" w:rsidRDefault="00A9721F">
            <w:pPr>
              <w:pStyle w:val="TableBodyText"/>
            </w:pPr>
            <w:r>
              <w:t>FormatEncloseCharacters</w:t>
            </w:r>
          </w:p>
        </w:tc>
        <w:tc>
          <w:tcPr>
            <w:tcW w:w="0" w:type="auto"/>
            <w:vAlign w:val="center"/>
          </w:tcPr>
          <w:p w:rsidR="000A156F" w:rsidRDefault="00A9721F">
            <w:pPr>
              <w:pStyle w:val="TableBodyText"/>
            </w:pPr>
            <w:r>
              <w:t>048A</w:t>
            </w:r>
          </w:p>
        </w:tc>
      </w:tr>
      <w:tr w:rsidR="000A156F" w:rsidTr="000A156F">
        <w:tc>
          <w:tcPr>
            <w:tcW w:w="0" w:type="auto"/>
            <w:vAlign w:val="center"/>
          </w:tcPr>
          <w:p w:rsidR="000A156F" w:rsidRDefault="00A9721F">
            <w:pPr>
              <w:pStyle w:val="TableBodyText"/>
            </w:pPr>
            <w:r>
              <w:t>FormatField</w:t>
            </w:r>
          </w:p>
        </w:tc>
        <w:tc>
          <w:tcPr>
            <w:tcW w:w="0" w:type="auto"/>
            <w:vAlign w:val="center"/>
          </w:tcPr>
          <w:p w:rsidR="000A156F" w:rsidRDefault="00A9721F">
            <w:pPr>
              <w:pStyle w:val="TableBodyText"/>
            </w:pPr>
            <w:r>
              <w:t>053C</w:t>
            </w:r>
          </w:p>
        </w:tc>
      </w:tr>
      <w:tr w:rsidR="000A156F" w:rsidTr="000A156F">
        <w:tc>
          <w:tcPr>
            <w:tcW w:w="0" w:type="auto"/>
            <w:vAlign w:val="center"/>
          </w:tcPr>
          <w:p w:rsidR="000A156F" w:rsidRDefault="00A9721F">
            <w:pPr>
              <w:pStyle w:val="TableBodyText"/>
            </w:pPr>
            <w:r>
              <w:t>FormatFillColor</w:t>
            </w:r>
          </w:p>
        </w:tc>
        <w:tc>
          <w:tcPr>
            <w:tcW w:w="0" w:type="auto"/>
            <w:vAlign w:val="center"/>
          </w:tcPr>
          <w:p w:rsidR="000A156F" w:rsidRDefault="00A9721F">
            <w:pPr>
              <w:pStyle w:val="TableBodyText"/>
            </w:pPr>
            <w:r>
              <w:t>165C</w:t>
            </w:r>
          </w:p>
        </w:tc>
      </w:tr>
      <w:tr w:rsidR="000A156F" w:rsidTr="000A156F">
        <w:tc>
          <w:tcPr>
            <w:tcW w:w="0" w:type="auto"/>
            <w:vAlign w:val="center"/>
          </w:tcPr>
          <w:p w:rsidR="000A156F" w:rsidRDefault="00A9721F">
            <w:pPr>
              <w:pStyle w:val="TableBodyText"/>
            </w:pPr>
            <w:r>
              <w:t>FormatFitText</w:t>
            </w:r>
          </w:p>
        </w:tc>
        <w:tc>
          <w:tcPr>
            <w:tcW w:w="0" w:type="auto"/>
            <w:vAlign w:val="center"/>
          </w:tcPr>
          <w:p w:rsidR="000A156F" w:rsidRDefault="00A9721F">
            <w:pPr>
              <w:pStyle w:val="TableBodyText"/>
            </w:pPr>
            <w:r>
              <w:t>03D7</w:t>
            </w:r>
          </w:p>
        </w:tc>
      </w:tr>
      <w:tr w:rsidR="000A156F" w:rsidTr="000A156F">
        <w:tc>
          <w:tcPr>
            <w:tcW w:w="0" w:type="auto"/>
            <w:vAlign w:val="center"/>
          </w:tcPr>
          <w:p w:rsidR="000A156F" w:rsidRDefault="00A9721F">
            <w:pPr>
              <w:pStyle w:val="TableBodyText"/>
            </w:pPr>
            <w:r>
              <w:t>FormatFont</w:t>
            </w:r>
          </w:p>
        </w:tc>
        <w:tc>
          <w:tcPr>
            <w:tcW w:w="0" w:type="auto"/>
            <w:vAlign w:val="center"/>
          </w:tcPr>
          <w:p w:rsidR="000A156F" w:rsidRDefault="00A9721F">
            <w:pPr>
              <w:pStyle w:val="TableBodyText"/>
            </w:pPr>
            <w:r>
              <w:t>00AE</w:t>
            </w:r>
          </w:p>
        </w:tc>
      </w:tr>
      <w:tr w:rsidR="000A156F" w:rsidTr="000A156F">
        <w:tc>
          <w:tcPr>
            <w:tcW w:w="0" w:type="auto"/>
            <w:vAlign w:val="center"/>
          </w:tcPr>
          <w:p w:rsidR="000A156F" w:rsidRDefault="00A9721F">
            <w:pPr>
              <w:pStyle w:val="TableBodyText"/>
            </w:pPr>
            <w:r>
              <w:t>FormatFrame</w:t>
            </w:r>
          </w:p>
        </w:tc>
        <w:tc>
          <w:tcPr>
            <w:tcW w:w="0" w:type="auto"/>
            <w:vAlign w:val="center"/>
          </w:tcPr>
          <w:p w:rsidR="000A156F" w:rsidRDefault="00A9721F">
            <w:pPr>
              <w:pStyle w:val="TableBodyText"/>
            </w:pPr>
            <w:r>
              <w:t>00BE</w:t>
            </w:r>
          </w:p>
        </w:tc>
      </w:tr>
      <w:tr w:rsidR="000A156F" w:rsidTr="000A156F">
        <w:tc>
          <w:tcPr>
            <w:tcW w:w="0" w:type="auto"/>
            <w:vAlign w:val="center"/>
          </w:tcPr>
          <w:p w:rsidR="000A156F" w:rsidRDefault="00A9721F">
            <w:pPr>
              <w:pStyle w:val="TableBodyText"/>
            </w:pPr>
            <w:r>
              <w:t>FormatFrameOrFramePicture</w:t>
            </w:r>
          </w:p>
        </w:tc>
        <w:tc>
          <w:tcPr>
            <w:tcW w:w="0" w:type="auto"/>
            <w:vAlign w:val="center"/>
          </w:tcPr>
          <w:p w:rsidR="000A156F" w:rsidRDefault="00A9721F">
            <w:pPr>
              <w:pStyle w:val="TableBodyText"/>
            </w:pPr>
            <w:r>
              <w:t>015A</w:t>
            </w:r>
          </w:p>
        </w:tc>
      </w:tr>
      <w:tr w:rsidR="000A156F" w:rsidTr="000A156F">
        <w:tc>
          <w:tcPr>
            <w:tcW w:w="0" w:type="auto"/>
            <w:vAlign w:val="center"/>
          </w:tcPr>
          <w:p w:rsidR="000A156F" w:rsidRDefault="00A9721F">
            <w:pPr>
              <w:pStyle w:val="TableBodyText"/>
            </w:pPr>
            <w:r>
              <w:t>FormatHeaderFooterLink</w:t>
            </w:r>
          </w:p>
        </w:tc>
        <w:tc>
          <w:tcPr>
            <w:tcW w:w="0" w:type="auto"/>
            <w:vAlign w:val="center"/>
          </w:tcPr>
          <w:p w:rsidR="000A156F" w:rsidRDefault="00A9721F">
            <w:pPr>
              <w:pStyle w:val="TableBodyText"/>
            </w:pPr>
            <w:r>
              <w:t>00F2</w:t>
            </w:r>
          </w:p>
        </w:tc>
      </w:tr>
      <w:tr w:rsidR="000A156F" w:rsidTr="000A156F">
        <w:tc>
          <w:tcPr>
            <w:tcW w:w="0" w:type="auto"/>
            <w:vAlign w:val="center"/>
          </w:tcPr>
          <w:p w:rsidR="000A156F" w:rsidRDefault="00A9721F">
            <w:pPr>
              <w:pStyle w:val="TableBodyText"/>
            </w:pPr>
            <w:r>
              <w:t>FormatHeadingNumber</w:t>
            </w:r>
          </w:p>
        </w:tc>
        <w:tc>
          <w:tcPr>
            <w:tcW w:w="0" w:type="auto"/>
            <w:vAlign w:val="center"/>
          </w:tcPr>
          <w:p w:rsidR="000A156F" w:rsidRDefault="00A9721F">
            <w:pPr>
              <w:pStyle w:val="TableBodyText"/>
            </w:pPr>
            <w:r>
              <w:t>025E</w:t>
            </w:r>
          </w:p>
        </w:tc>
      </w:tr>
      <w:tr w:rsidR="000A156F" w:rsidTr="000A156F">
        <w:tc>
          <w:tcPr>
            <w:tcW w:w="0" w:type="auto"/>
            <w:vAlign w:val="center"/>
          </w:tcPr>
          <w:p w:rsidR="000A156F" w:rsidRDefault="00A9721F">
            <w:pPr>
              <w:pStyle w:val="TableBodyText"/>
            </w:pPr>
            <w:r>
              <w:t>FormatHeadingNumbering</w:t>
            </w:r>
          </w:p>
        </w:tc>
        <w:tc>
          <w:tcPr>
            <w:tcW w:w="0" w:type="auto"/>
            <w:vAlign w:val="center"/>
          </w:tcPr>
          <w:p w:rsidR="000A156F" w:rsidRDefault="00A9721F">
            <w:pPr>
              <w:pStyle w:val="TableBodyText"/>
            </w:pPr>
            <w:r>
              <w:t>025B</w:t>
            </w:r>
          </w:p>
        </w:tc>
      </w:tr>
      <w:tr w:rsidR="000A156F" w:rsidTr="000A156F">
        <w:tc>
          <w:tcPr>
            <w:tcW w:w="0" w:type="auto"/>
            <w:vAlign w:val="center"/>
          </w:tcPr>
          <w:p w:rsidR="000A156F" w:rsidRDefault="00A9721F">
            <w:pPr>
              <w:pStyle w:val="TableBodyText"/>
            </w:pPr>
            <w:r>
              <w:t>FormatHorizontalInVertical</w:t>
            </w:r>
          </w:p>
        </w:tc>
        <w:tc>
          <w:tcPr>
            <w:tcW w:w="0" w:type="auto"/>
            <w:vAlign w:val="center"/>
          </w:tcPr>
          <w:p w:rsidR="000A156F" w:rsidRDefault="00A9721F">
            <w:pPr>
              <w:pStyle w:val="TableBodyText"/>
            </w:pPr>
            <w:r>
              <w:t>0488</w:t>
            </w:r>
          </w:p>
        </w:tc>
      </w:tr>
      <w:tr w:rsidR="000A156F" w:rsidTr="000A156F">
        <w:tc>
          <w:tcPr>
            <w:tcW w:w="0" w:type="auto"/>
            <w:vAlign w:val="center"/>
          </w:tcPr>
          <w:p w:rsidR="000A156F" w:rsidRDefault="00A9721F">
            <w:pPr>
              <w:pStyle w:val="TableBodyText"/>
            </w:pPr>
            <w:r>
              <w:t>FormatInkAnnotColor</w:t>
            </w:r>
          </w:p>
        </w:tc>
        <w:tc>
          <w:tcPr>
            <w:tcW w:w="0" w:type="auto"/>
            <w:vAlign w:val="center"/>
          </w:tcPr>
          <w:p w:rsidR="000A156F" w:rsidRDefault="00A9721F">
            <w:pPr>
              <w:pStyle w:val="TableBodyText"/>
            </w:pPr>
            <w:r>
              <w:t>16BB</w:t>
            </w:r>
          </w:p>
        </w:tc>
      </w:tr>
      <w:tr w:rsidR="000A156F" w:rsidTr="000A156F">
        <w:tc>
          <w:tcPr>
            <w:tcW w:w="0" w:type="auto"/>
            <w:vAlign w:val="center"/>
          </w:tcPr>
          <w:p w:rsidR="000A156F" w:rsidRDefault="00A9721F">
            <w:pPr>
              <w:pStyle w:val="TableBodyText"/>
            </w:pPr>
            <w:r>
              <w:t>FormatInkColor</w:t>
            </w:r>
          </w:p>
        </w:tc>
        <w:tc>
          <w:tcPr>
            <w:tcW w:w="0" w:type="auto"/>
            <w:vAlign w:val="center"/>
          </w:tcPr>
          <w:p w:rsidR="000A156F" w:rsidRDefault="00A9721F">
            <w:pPr>
              <w:pStyle w:val="TableBodyText"/>
            </w:pPr>
            <w:r>
              <w:t>16B9</w:t>
            </w:r>
          </w:p>
        </w:tc>
      </w:tr>
      <w:tr w:rsidR="000A156F" w:rsidTr="000A156F">
        <w:tc>
          <w:tcPr>
            <w:tcW w:w="0" w:type="auto"/>
            <w:vAlign w:val="center"/>
          </w:tcPr>
          <w:p w:rsidR="000A156F" w:rsidRDefault="00A9721F">
            <w:pPr>
              <w:pStyle w:val="TableBodyText"/>
            </w:pPr>
            <w:r>
              <w:t>FormatLineColor</w:t>
            </w:r>
          </w:p>
        </w:tc>
        <w:tc>
          <w:tcPr>
            <w:tcW w:w="0" w:type="auto"/>
            <w:vAlign w:val="center"/>
          </w:tcPr>
          <w:p w:rsidR="000A156F" w:rsidRDefault="00A9721F">
            <w:pPr>
              <w:pStyle w:val="TableBodyText"/>
            </w:pPr>
            <w:r>
              <w:t>165D</w:t>
            </w:r>
          </w:p>
        </w:tc>
      </w:tr>
      <w:tr w:rsidR="000A156F" w:rsidTr="000A156F">
        <w:tc>
          <w:tcPr>
            <w:tcW w:w="0" w:type="auto"/>
            <w:vAlign w:val="center"/>
          </w:tcPr>
          <w:p w:rsidR="000A156F" w:rsidRDefault="00A9721F">
            <w:pPr>
              <w:pStyle w:val="TableBodyText"/>
            </w:pPr>
            <w:r>
              <w:t>FormatLineStyle</w:t>
            </w:r>
          </w:p>
        </w:tc>
        <w:tc>
          <w:tcPr>
            <w:tcW w:w="0" w:type="auto"/>
            <w:vAlign w:val="center"/>
          </w:tcPr>
          <w:p w:rsidR="000A156F" w:rsidRDefault="00A9721F">
            <w:pPr>
              <w:pStyle w:val="TableBodyText"/>
            </w:pPr>
            <w:r>
              <w:t>165F</w:t>
            </w:r>
          </w:p>
        </w:tc>
      </w:tr>
      <w:tr w:rsidR="000A156F" w:rsidTr="000A156F">
        <w:tc>
          <w:tcPr>
            <w:tcW w:w="0" w:type="auto"/>
            <w:vAlign w:val="center"/>
          </w:tcPr>
          <w:p w:rsidR="000A156F" w:rsidRDefault="00A9721F">
            <w:pPr>
              <w:pStyle w:val="TableBodyText"/>
            </w:pPr>
            <w:r>
              <w:t>FormatMultilevel</w:t>
            </w:r>
          </w:p>
        </w:tc>
        <w:tc>
          <w:tcPr>
            <w:tcW w:w="0" w:type="auto"/>
            <w:vAlign w:val="center"/>
          </w:tcPr>
          <w:p w:rsidR="000A156F" w:rsidRDefault="00A9721F">
            <w:pPr>
              <w:pStyle w:val="TableBodyText"/>
            </w:pPr>
            <w:r>
              <w:t>0187</w:t>
            </w:r>
          </w:p>
        </w:tc>
      </w:tr>
      <w:tr w:rsidR="000A156F" w:rsidTr="000A156F">
        <w:tc>
          <w:tcPr>
            <w:tcW w:w="0" w:type="auto"/>
            <w:vAlign w:val="center"/>
          </w:tcPr>
          <w:p w:rsidR="000A156F" w:rsidRDefault="00A9721F">
            <w:pPr>
              <w:pStyle w:val="TableBodyText"/>
            </w:pPr>
            <w:r>
              <w:t>FormatMultilevelDefault</w:t>
            </w:r>
          </w:p>
        </w:tc>
        <w:tc>
          <w:tcPr>
            <w:tcW w:w="0" w:type="auto"/>
            <w:vAlign w:val="center"/>
          </w:tcPr>
          <w:p w:rsidR="000A156F" w:rsidRDefault="00A9721F">
            <w:pPr>
              <w:pStyle w:val="TableBodyText"/>
            </w:pPr>
            <w:r>
              <w:t>03B7</w:t>
            </w:r>
          </w:p>
        </w:tc>
      </w:tr>
      <w:tr w:rsidR="000A156F" w:rsidTr="000A156F">
        <w:tc>
          <w:tcPr>
            <w:tcW w:w="0" w:type="auto"/>
            <w:vAlign w:val="center"/>
          </w:tcPr>
          <w:p w:rsidR="000A156F" w:rsidRDefault="00A9721F">
            <w:pPr>
              <w:pStyle w:val="TableBodyText"/>
            </w:pPr>
            <w:r>
              <w:t>FormatNumber</w:t>
            </w:r>
          </w:p>
        </w:tc>
        <w:tc>
          <w:tcPr>
            <w:tcW w:w="0" w:type="auto"/>
            <w:vAlign w:val="center"/>
          </w:tcPr>
          <w:p w:rsidR="000A156F" w:rsidRDefault="00A9721F">
            <w:pPr>
              <w:pStyle w:val="TableBodyText"/>
            </w:pPr>
            <w:r>
              <w:t>0186</w:t>
            </w:r>
          </w:p>
        </w:tc>
      </w:tr>
      <w:tr w:rsidR="000A156F" w:rsidTr="000A156F">
        <w:tc>
          <w:tcPr>
            <w:tcW w:w="0" w:type="auto"/>
            <w:vAlign w:val="center"/>
          </w:tcPr>
          <w:p w:rsidR="000A156F" w:rsidRDefault="00A9721F">
            <w:pPr>
              <w:pStyle w:val="TableBodyText"/>
            </w:pPr>
            <w:r>
              <w:t>FormatNumberDefault</w:t>
            </w:r>
          </w:p>
        </w:tc>
        <w:tc>
          <w:tcPr>
            <w:tcW w:w="0" w:type="auto"/>
            <w:vAlign w:val="center"/>
          </w:tcPr>
          <w:p w:rsidR="000A156F" w:rsidRDefault="00A9721F">
            <w:pPr>
              <w:pStyle w:val="TableBodyText"/>
            </w:pPr>
            <w:r>
              <w:t>03B6</w:t>
            </w:r>
          </w:p>
        </w:tc>
      </w:tr>
      <w:tr w:rsidR="000A156F" w:rsidTr="000A156F">
        <w:tc>
          <w:tcPr>
            <w:tcW w:w="0" w:type="auto"/>
            <w:vAlign w:val="center"/>
          </w:tcPr>
          <w:p w:rsidR="000A156F" w:rsidRDefault="00A9721F">
            <w:pPr>
              <w:pStyle w:val="TableBodyText"/>
            </w:pPr>
            <w:r>
              <w:t>FormatObjectCore</w:t>
            </w:r>
          </w:p>
        </w:tc>
        <w:tc>
          <w:tcPr>
            <w:tcW w:w="0" w:type="auto"/>
            <w:vAlign w:val="center"/>
          </w:tcPr>
          <w:p w:rsidR="000A156F" w:rsidRDefault="00A9721F">
            <w:pPr>
              <w:pStyle w:val="TableBodyText"/>
            </w:pPr>
            <w:r>
              <w:t>0396</w:t>
            </w:r>
          </w:p>
        </w:tc>
      </w:tr>
      <w:tr w:rsidR="000A156F" w:rsidTr="000A156F">
        <w:tc>
          <w:tcPr>
            <w:tcW w:w="0" w:type="auto"/>
            <w:vAlign w:val="center"/>
          </w:tcPr>
          <w:p w:rsidR="000A156F" w:rsidRDefault="00A9721F">
            <w:pPr>
              <w:pStyle w:val="TableBodyText"/>
            </w:pPr>
            <w:r>
              <w:t>FormatPageBordersAndShading</w:t>
            </w:r>
          </w:p>
        </w:tc>
        <w:tc>
          <w:tcPr>
            <w:tcW w:w="0" w:type="auto"/>
            <w:vAlign w:val="center"/>
          </w:tcPr>
          <w:p w:rsidR="000A156F" w:rsidRDefault="00A9721F">
            <w:pPr>
              <w:pStyle w:val="TableBodyText"/>
            </w:pPr>
            <w:r>
              <w:t>094B</w:t>
            </w:r>
          </w:p>
        </w:tc>
      </w:tr>
      <w:tr w:rsidR="000A156F" w:rsidTr="000A156F">
        <w:tc>
          <w:tcPr>
            <w:tcW w:w="0" w:type="auto"/>
            <w:vAlign w:val="center"/>
          </w:tcPr>
          <w:p w:rsidR="000A156F" w:rsidRDefault="00A9721F">
            <w:pPr>
              <w:pStyle w:val="TableBodyText"/>
            </w:pPr>
            <w:r>
              <w:t>FormatPageNumber</w:t>
            </w:r>
          </w:p>
        </w:tc>
        <w:tc>
          <w:tcPr>
            <w:tcW w:w="0" w:type="auto"/>
            <w:vAlign w:val="center"/>
          </w:tcPr>
          <w:p w:rsidR="000A156F" w:rsidRDefault="00A9721F">
            <w:pPr>
              <w:pStyle w:val="TableBodyText"/>
            </w:pPr>
            <w:r>
              <w:t>012A</w:t>
            </w:r>
          </w:p>
        </w:tc>
      </w:tr>
      <w:tr w:rsidR="000A156F" w:rsidTr="000A156F">
        <w:tc>
          <w:tcPr>
            <w:tcW w:w="0" w:type="auto"/>
            <w:vAlign w:val="center"/>
          </w:tcPr>
          <w:p w:rsidR="000A156F" w:rsidRDefault="00A9721F">
            <w:pPr>
              <w:pStyle w:val="TableBodyText"/>
            </w:pPr>
            <w:r>
              <w:t>FormatParagraph</w:t>
            </w:r>
          </w:p>
        </w:tc>
        <w:tc>
          <w:tcPr>
            <w:tcW w:w="0" w:type="auto"/>
            <w:vAlign w:val="center"/>
          </w:tcPr>
          <w:p w:rsidR="000A156F" w:rsidRDefault="00A9721F">
            <w:pPr>
              <w:pStyle w:val="TableBodyText"/>
            </w:pPr>
            <w:r>
              <w:t>00AF</w:t>
            </w:r>
          </w:p>
        </w:tc>
      </w:tr>
      <w:tr w:rsidR="000A156F" w:rsidTr="000A156F">
        <w:tc>
          <w:tcPr>
            <w:tcW w:w="0" w:type="auto"/>
            <w:vAlign w:val="center"/>
          </w:tcPr>
          <w:p w:rsidR="000A156F" w:rsidRDefault="00A9721F">
            <w:pPr>
              <w:pStyle w:val="TableBodyText"/>
            </w:pPr>
            <w:r>
              <w:t>FormatPhoneticGuide</w:t>
            </w:r>
          </w:p>
        </w:tc>
        <w:tc>
          <w:tcPr>
            <w:tcW w:w="0" w:type="auto"/>
            <w:vAlign w:val="center"/>
          </w:tcPr>
          <w:p w:rsidR="000A156F" w:rsidRDefault="00A9721F">
            <w:pPr>
              <w:pStyle w:val="TableBodyText"/>
            </w:pPr>
            <w:r>
              <w:t>03DA</w:t>
            </w:r>
          </w:p>
        </w:tc>
      </w:tr>
      <w:tr w:rsidR="000A156F" w:rsidTr="000A156F">
        <w:tc>
          <w:tcPr>
            <w:tcW w:w="0" w:type="auto"/>
            <w:vAlign w:val="center"/>
          </w:tcPr>
          <w:p w:rsidR="000A156F" w:rsidRDefault="00A9721F">
            <w:pPr>
              <w:pStyle w:val="TableBodyText"/>
            </w:pPr>
            <w:r>
              <w:t>FormatPicture</w:t>
            </w:r>
          </w:p>
        </w:tc>
        <w:tc>
          <w:tcPr>
            <w:tcW w:w="0" w:type="auto"/>
            <w:vAlign w:val="center"/>
          </w:tcPr>
          <w:p w:rsidR="000A156F" w:rsidRDefault="00A9721F">
            <w:pPr>
              <w:pStyle w:val="TableBodyText"/>
            </w:pPr>
            <w:r>
              <w:t>00BB</w:t>
            </w:r>
          </w:p>
        </w:tc>
      </w:tr>
      <w:tr w:rsidR="000A156F" w:rsidTr="000A156F">
        <w:tc>
          <w:tcPr>
            <w:tcW w:w="0" w:type="auto"/>
            <w:vAlign w:val="center"/>
          </w:tcPr>
          <w:p w:rsidR="000A156F" w:rsidRDefault="00A9721F">
            <w:pPr>
              <w:pStyle w:val="TableBodyText"/>
            </w:pPr>
            <w:r>
              <w:t>FormatRetAddrFonts</w:t>
            </w:r>
          </w:p>
        </w:tc>
        <w:tc>
          <w:tcPr>
            <w:tcW w:w="0" w:type="auto"/>
            <w:vAlign w:val="center"/>
          </w:tcPr>
          <w:p w:rsidR="000A156F" w:rsidRDefault="00A9721F">
            <w:pPr>
              <w:pStyle w:val="TableBodyText"/>
            </w:pPr>
            <w:r>
              <w:t>00DD</w:t>
            </w:r>
          </w:p>
        </w:tc>
      </w:tr>
      <w:tr w:rsidR="000A156F" w:rsidTr="000A156F">
        <w:tc>
          <w:tcPr>
            <w:tcW w:w="0" w:type="auto"/>
            <w:vAlign w:val="center"/>
          </w:tcPr>
          <w:p w:rsidR="000A156F" w:rsidRDefault="00A9721F">
            <w:pPr>
              <w:pStyle w:val="TableBodyText"/>
            </w:pPr>
            <w:r>
              <w:t>FormatSectionLayout</w:t>
            </w:r>
          </w:p>
        </w:tc>
        <w:tc>
          <w:tcPr>
            <w:tcW w:w="0" w:type="auto"/>
            <w:vAlign w:val="center"/>
          </w:tcPr>
          <w:p w:rsidR="000A156F" w:rsidRDefault="00A9721F">
            <w:pPr>
              <w:pStyle w:val="TableBodyText"/>
            </w:pPr>
            <w:r>
              <w:t>00B0</w:t>
            </w:r>
          </w:p>
        </w:tc>
      </w:tr>
      <w:tr w:rsidR="000A156F" w:rsidTr="000A156F">
        <w:tc>
          <w:tcPr>
            <w:tcW w:w="0" w:type="auto"/>
            <w:vAlign w:val="center"/>
          </w:tcPr>
          <w:p w:rsidR="000A156F" w:rsidRDefault="00A9721F">
            <w:pPr>
              <w:pStyle w:val="TableBodyText"/>
            </w:pPr>
            <w:r>
              <w:t>FormatSimpleNumberDefault</w:t>
            </w:r>
          </w:p>
        </w:tc>
        <w:tc>
          <w:tcPr>
            <w:tcW w:w="0" w:type="auto"/>
            <w:vAlign w:val="center"/>
          </w:tcPr>
          <w:p w:rsidR="000A156F" w:rsidRDefault="00A9721F">
            <w:pPr>
              <w:pStyle w:val="TableBodyText"/>
            </w:pPr>
            <w:r>
              <w:t>018E</w:t>
            </w:r>
          </w:p>
        </w:tc>
      </w:tr>
      <w:tr w:rsidR="000A156F" w:rsidTr="000A156F">
        <w:tc>
          <w:tcPr>
            <w:tcW w:w="0" w:type="auto"/>
            <w:vAlign w:val="center"/>
          </w:tcPr>
          <w:p w:rsidR="000A156F" w:rsidRDefault="00A9721F">
            <w:pPr>
              <w:pStyle w:val="TableBodyText"/>
            </w:pPr>
            <w:r>
              <w:lastRenderedPageBreak/>
              <w:t>FormatStyle</w:t>
            </w:r>
          </w:p>
        </w:tc>
        <w:tc>
          <w:tcPr>
            <w:tcW w:w="0" w:type="auto"/>
            <w:vAlign w:val="center"/>
          </w:tcPr>
          <w:p w:rsidR="000A156F" w:rsidRDefault="00A9721F">
            <w:pPr>
              <w:pStyle w:val="TableBodyText"/>
            </w:pPr>
            <w:r>
              <w:t>00B4</w:t>
            </w:r>
          </w:p>
        </w:tc>
      </w:tr>
      <w:tr w:rsidR="000A156F" w:rsidTr="000A156F">
        <w:tc>
          <w:tcPr>
            <w:tcW w:w="0" w:type="auto"/>
            <w:vAlign w:val="center"/>
          </w:tcPr>
          <w:p w:rsidR="000A156F" w:rsidRDefault="00A9721F">
            <w:pPr>
              <w:pStyle w:val="TableBodyText"/>
            </w:pPr>
            <w:r>
              <w:t>FormatStyleByExample</w:t>
            </w:r>
          </w:p>
        </w:tc>
        <w:tc>
          <w:tcPr>
            <w:tcW w:w="0" w:type="auto"/>
            <w:vAlign w:val="center"/>
          </w:tcPr>
          <w:p w:rsidR="000A156F" w:rsidRDefault="00A9721F">
            <w:pPr>
              <w:pStyle w:val="TableBodyText"/>
            </w:pPr>
            <w:r>
              <w:t>0544</w:t>
            </w:r>
          </w:p>
        </w:tc>
      </w:tr>
      <w:tr w:rsidR="000A156F" w:rsidTr="000A156F">
        <w:tc>
          <w:tcPr>
            <w:tcW w:w="0" w:type="auto"/>
            <w:vAlign w:val="center"/>
          </w:tcPr>
          <w:p w:rsidR="000A156F" w:rsidRDefault="00A9721F">
            <w:pPr>
              <w:pStyle w:val="TableBodyText"/>
            </w:pPr>
            <w:r>
              <w:t>FormatStyleGallery</w:t>
            </w:r>
          </w:p>
        </w:tc>
        <w:tc>
          <w:tcPr>
            <w:tcW w:w="0" w:type="auto"/>
            <w:vAlign w:val="center"/>
          </w:tcPr>
          <w:p w:rsidR="000A156F" w:rsidRDefault="00A9721F">
            <w:pPr>
              <w:pStyle w:val="TableBodyText"/>
            </w:pPr>
            <w:r>
              <w:t>01F9</w:t>
            </w:r>
          </w:p>
        </w:tc>
      </w:tr>
      <w:tr w:rsidR="000A156F" w:rsidTr="000A156F">
        <w:tc>
          <w:tcPr>
            <w:tcW w:w="0" w:type="auto"/>
            <w:vAlign w:val="center"/>
          </w:tcPr>
          <w:p w:rsidR="000A156F" w:rsidRDefault="00A9721F">
            <w:pPr>
              <w:pStyle w:val="TableBodyText"/>
            </w:pPr>
            <w:r>
              <w:t>FormatStyleManagement</w:t>
            </w:r>
          </w:p>
        </w:tc>
        <w:tc>
          <w:tcPr>
            <w:tcW w:w="0" w:type="auto"/>
            <w:vAlign w:val="center"/>
          </w:tcPr>
          <w:p w:rsidR="000A156F" w:rsidRDefault="00A9721F">
            <w:pPr>
              <w:pStyle w:val="TableBodyText"/>
            </w:pPr>
            <w:r>
              <w:t>079C</w:t>
            </w:r>
          </w:p>
        </w:tc>
      </w:tr>
      <w:tr w:rsidR="000A156F" w:rsidTr="000A156F">
        <w:tc>
          <w:tcPr>
            <w:tcW w:w="0" w:type="auto"/>
            <w:vAlign w:val="center"/>
          </w:tcPr>
          <w:p w:rsidR="000A156F" w:rsidRDefault="00A9721F">
            <w:pPr>
              <w:pStyle w:val="TableBodyText"/>
            </w:pPr>
            <w:r>
              <w:t>FormatStyleModify</w:t>
            </w:r>
          </w:p>
        </w:tc>
        <w:tc>
          <w:tcPr>
            <w:tcW w:w="0" w:type="auto"/>
            <w:vAlign w:val="center"/>
          </w:tcPr>
          <w:p w:rsidR="000A156F" w:rsidRDefault="00A9721F">
            <w:pPr>
              <w:pStyle w:val="TableBodyText"/>
            </w:pPr>
            <w:r>
              <w:t>0543</w:t>
            </w:r>
          </w:p>
        </w:tc>
      </w:tr>
      <w:tr w:rsidR="000A156F" w:rsidTr="000A156F">
        <w:tc>
          <w:tcPr>
            <w:tcW w:w="0" w:type="auto"/>
            <w:vAlign w:val="center"/>
          </w:tcPr>
          <w:p w:rsidR="000A156F" w:rsidRDefault="00A9721F">
            <w:pPr>
              <w:pStyle w:val="TableBodyText"/>
            </w:pPr>
            <w:r>
              <w:t>FormatStyleVisibility</w:t>
            </w:r>
          </w:p>
        </w:tc>
        <w:tc>
          <w:tcPr>
            <w:tcW w:w="0" w:type="auto"/>
            <w:vAlign w:val="center"/>
          </w:tcPr>
          <w:p w:rsidR="000A156F" w:rsidRDefault="00A9721F">
            <w:pPr>
              <w:pStyle w:val="TableBodyText"/>
            </w:pPr>
            <w:r>
              <w:t>04E0</w:t>
            </w:r>
          </w:p>
        </w:tc>
      </w:tr>
      <w:tr w:rsidR="000A156F" w:rsidTr="000A156F">
        <w:tc>
          <w:tcPr>
            <w:tcW w:w="0" w:type="auto"/>
            <w:vAlign w:val="center"/>
          </w:tcPr>
          <w:p w:rsidR="000A156F" w:rsidRDefault="00A9721F">
            <w:pPr>
              <w:pStyle w:val="TableBodyText"/>
            </w:pPr>
            <w:r>
              <w:t>FormatTabs</w:t>
            </w:r>
          </w:p>
        </w:tc>
        <w:tc>
          <w:tcPr>
            <w:tcW w:w="0" w:type="auto"/>
            <w:vAlign w:val="center"/>
          </w:tcPr>
          <w:p w:rsidR="000A156F" w:rsidRDefault="00A9721F">
            <w:pPr>
              <w:pStyle w:val="TableBodyText"/>
            </w:pPr>
            <w:r>
              <w:t>00B3</w:t>
            </w:r>
          </w:p>
        </w:tc>
      </w:tr>
      <w:tr w:rsidR="000A156F" w:rsidTr="000A156F">
        <w:tc>
          <w:tcPr>
            <w:tcW w:w="0" w:type="auto"/>
            <w:vAlign w:val="center"/>
          </w:tcPr>
          <w:p w:rsidR="000A156F" w:rsidRDefault="00A9721F">
            <w:pPr>
              <w:pStyle w:val="TableBodyText"/>
            </w:pPr>
            <w:r>
              <w:t>FormatTextFlow</w:t>
            </w:r>
          </w:p>
        </w:tc>
        <w:tc>
          <w:tcPr>
            <w:tcW w:w="0" w:type="auto"/>
            <w:vAlign w:val="center"/>
          </w:tcPr>
          <w:p w:rsidR="000A156F" w:rsidRDefault="00A9721F">
            <w:pPr>
              <w:pStyle w:val="TableBodyText"/>
            </w:pPr>
            <w:r>
              <w:t>0234</w:t>
            </w:r>
          </w:p>
        </w:tc>
      </w:tr>
      <w:tr w:rsidR="000A156F" w:rsidTr="000A156F">
        <w:tc>
          <w:tcPr>
            <w:tcW w:w="0" w:type="auto"/>
            <w:vAlign w:val="center"/>
          </w:tcPr>
          <w:p w:rsidR="000A156F" w:rsidRDefault="00A9721F">
            <w:pPr>
              <w:pStyle w:val="TableBodyText"/>
            </w:pPr>
            <w:r>
              <w:t>FormatTheme</w:t>
            </w:r>
          </w:p>
        </w:tc>
        <w:tc>
          <w:tcPr>
            <w:tcW w:w="0" w:type="auto"/>
            <w:vAlign w:val="center"/>
          </w:tcPr>
          <w:p w:rsidR="000A156F" w:rsidRDefault="00A9721F">
            <w:pPr>
              <w:pStyle w:val="TableBodyText"/>
            </w:pPr>
            <w:r>
              <w:t>0357</w:t>
            </w:r>
          </w:p>
        </w:tc>
      </w:tr>
      <w:tr w:rsidR="000A156F" w:rsidTr="000A156F">
        <w:tc>
          <w:tcPr>
            <w:tcW w:w="0" w:type="auto"/>
            <w:vAlign w:val="center"/>
          </w:tcPr>
          <w:p w:rsidR="000A156F" w:rsidRDefault="00A9721F">
            <w:pPr>
              <w:pStyle w:val="TableBodyText"/>
            </w:pPr>
            <w:r>
              <w:t>FormatThemeName</w:t>
            </w:r>
          </w:p>
        </w:tc>
        <w:tc>
          <w:tcPr>
            <w:tcW w:w="0" w:type="auto"/>
            <w:vAlign w:val="center"/>
          </w:tcPr>
          <w:p w:rsidR="000A156F" w:rsidRDefault="00A9721F">
            <w:pPr>
              <w:pStyle w:val="TableBodyText"/>
            </w:pPr>
            <w:r>
              <w:t>045A</w:t>
            </w:r>
          </w:p>
        </w:tc>
      </w:tr>
      <w:tr w:rsidR="000A156F" w:rsidTr="000A156F">
        <w:tc>
          <w:tcPr>
            <w:tcW w:w="0" w:type="auto"/>
            <w:vAlign w:val="center"/>
          </w:tcPr>
          <w:p w:rsidR="000A156F" w:rsidRDefault="00A9721F">
            <w:pPr>
              <w:pStyle w:val="TableBodyText"/>
            </w:pPr>
            <w:r>
              <w:t>FormatTwoLinesInOne</w:t>
            </w:r>
          </w:p>
        </w:tc>
        <w:tc>
          <w:tcPr>
            <w:tcW w:w="0" w:type="auto"/>
            <w:vAlign w:val="center"/>
          </w:tcPr>
          <w:p w:rsidR="000A156F" w:rsidRDefault="00A9721F">
            <w:pPr>
              <w:pStyle w:val="TableBodyText"/>
            </w:pPr>
            <w:r>
              <w:t>0489</w:t>
            </w:r>
          </w:p>
        </w:tc>
      </w:tr>
      <w:tr w:rsidR="000A156F" w:rsidTr="000A156F">
        <w:tc>
          <w:tcPr>
            <w:tcW w:w="0" w:type="auto"/>
            <w:vAlign w:val="center"/>
          </w:tcPr>
          <w:p w:rsidR="000A156F" w:rsidRDefault="00A9721F">
            <w:pPr>
              <w:pStyle w:val="TableBodyText"/>
            </w:pPr>
            <w:r>
              <w:t>FormattingPane</w:t>
            </w:r>
          </w:p>
        </w:tc>
        <w:tc>
          <w:tcPr>
            <w:tcW w:w="0" w:type="auto"/>
            <w:vAlign w:val="center"/>
          </w:tcPr>
          <w:p w:rsidR="000A156F" w:rsidRDefault="00A9721F">
            <w:pPr>
              <w:pStyle w:val="TableBodyText"/>
            </w:pPr>
            <w:r>
              <w:t>0554</w:t>
            </w:r>
          </w:p>
        </w:tc>
      </w:tr>
      <w:tr w:rsidR="000A156F" w:rsidTr="000A156F">
        <w:tc>
          <w:tcPr>
            <w:tcW w:w="0" w:type="auto"/>
            <w:vAlign w:val="center"/>
          </w:tcPr>
          <w:p w:rsidR="000A156F" w:rsidRDefault="00A9721F">
            <w:pPr>
              <w:pStyle w:val="TableBodyText"/>
            </w:pPr>
            <w:r>
              <w:t>FormattingPaneCurrent</w:t>
            </w:r>
          </w:p>
        </w:tc>
        <w:tc>
          <w:tcPr>
            <w:tcW w:w="0" w:type="auto"/>
            <w:vAlign w:val="center"/>
          </w:tcPr>
          <w:p w:rsidR="000A156F" w:rsidRDefault="00A9721F">
            <w:pPr>
              <w:pStyle w:val="TableBodyText"/>
            </w:pPr>
            <w:r>
              <w:t>079F</w:t>
            </w:r>
          </w:p>
        </w:tc>
      </w:tr>
      <w:tr w:rsidR="000A156F" w:rsidTr="000A156F">
        <w:tc>
          <w:tcPr>
            <w:tcW w:w="0" w:type="auto"/>
            <w:vAlign w:val="center"/>
          </w:tcPr>
          <w:p w:rsidR="000A156F" w:rsidRDefault="00A9721F">
            <w:pPr>
              <w:pStyle w:val="TableBodyText"/>
            </w:pPr>
            <w:r>
              <w:t>FormattingProperties</w:t>
            </w:r>
          </w:p>
        </w:tc>
        <w:tc>
          <w:tcPr>
            <w:tcW w:w="0" w:type="auto"/>
            <w:vAlign w:val="center"/>
          </w:tcPr>
          <w:p w:rsidR="000A156F" w:rsidRDefault="00A9721F">
            <w:pPr>
              <w:pStyle w:val="TableBodyText"/>
            </w:pPr>
            <w:r>
              <w:t>0426</w:t>
            </w:r>
          </w:p>
        </w:tc>
      </w:tr>
      <w:tr w:rsidR="000A156F" w:rsidTr="000A156F">
        <w:tc>
          <w:tcPr>
            <w:tcW w:w="0" w:type="auto"/>
            <w:vAlign w:val="center"/>
          </w:tcPr>
          <w:p w:rsidR="000A156F" w:rsidRDefault="00A9721F">
            <w:pPr>
              <w:pStyle w:val="TableBodyText"/>
            </w:pPr>
            <w:r>
              <w:t>FormattingRestrictions</w:t>
            </w:r>
          </w:p>
        </w:tc>
        <w:tc>
          <w:tcPr>
            <w:tcW w:w="0" w:type="auto"/>
            <w:vAlign w:val="center"/>
          </w:tcPr>
          <w:p w:rsidR="000A156F" w:rsidRDefault="00A9721F">
            <w:pPr>
              <w:pStyle w:val="TableBodyText"/>
            </w:pPr>
            <w:r>
              <w:t>0593</w:t>
            </w:r>
          </w:p>
        </w:tc>
      </w:tr>
      <w:tr w:rsidR="000A156F" w:rsidTr="000A156F">
        <w:tc>
          <w:tcPr>
            <w:tcW w:w="0" w:type="auto"/>
            <w:vAlign w:val="center"/>
          </w:tcPr>
          <w:p w:rsidR="000A156F" w:rsidRDefault="00A9721F">
            <w:pPr>
              <w:pStyle w:val="TableBodyText"/>
            </w:pPr>
            <w:r>
              <w:t>ForwardHistoryItem</w:t>
            </w:r>
          </w:p>
        </w:tc>
        <w:tc>
          <w:tcPr>
            <w:tcW w:w="0" w:type="auto"/>
            <w:vAlign w:val="center"/>
          </w:tcPr>
          <w:p w:rsidR="000A156F" w:rsidRDefault="00A9721F">
            <w:pPr>
              <w:pStyle w:val="TableBodyText"/>
            </w:pPr>
            <w:r>
              <w:t>05CF</w:t>
            </w:r>
          </w:p>
        </w:tc>
      </w:tr>
      <w:tr w:rsidR="000A156F" w:rsidTr="000A156F">
        <w:tc>
          <w:tcPr>
            <w:tcW w:w="0" w:type="auto"/>
            <w:vAlign w:val="center"/>
          </w:tcPr>
          <w:p w:rsidR="000A156F" w:rsidRDefault="00A9721F">
            <w:pPr>
              <w:pStyle w:val="TableBodyText"/>
            </w:pPr>
            <w:r>
              <w:t>FrameProperties</w:t>
            </w:r>
          </w:p>
        </w:tc>
        <w:tc>
          <w:tcPr>
            <w:tcW w:w="0" w:type="auto"/>
            <w:vAlign w:val="center"/>
          </w:tcPr>
          <w:p w:rsidR="000A156F" w:rsidRDefault="00A9721F">
            <w:pPr>
              <w:pStyle w:val="TableBodyText"/>
            </w:pPr>
            <w:r>
              <w:t>0432</w:t>
            </w:r>
          </w:p>
        </w:tc>
      </w:tr>
      <w:tr w:rsidR="000A156F" w:rsidTr="000A156F">
        <w:tc>
          <w:tcPr>
            <w:tcW w:w="0" w:type="auto"/>
            <w:vAlign w:val="center"/>
          </w:tcPr>
          <w:p w:rsidR="000A156F" w:rsidRDefault="00A9721F">
            <w:pPr>
              <w:pStyle w:val="TableBodyText"/>
            </w:pPr>
            <w:r>
              <w:t>FrameRemoveSplit</w:t>
            </w:r>
          </w:p>
        </w:tc>
        <w:tc>
          <w:tcPr>
            <w:tcW w:w="0" w:type="auto"/>
            <w:vAlign w:val="center"/>
          </w:tcPr>
          <w:p w:rsidR="000A156F" w:rsidRDefault="00A9721F">
            <w:pPr>
              <w:pStyle w:val="TableBodyText"/>
            </w:pPr>
            <w:r>
              <w:t>0431</w:t>
            </w:r>
          </w:p>
        </w:tc>
      </w:tr>
      <w:tr w:rsidR="000A156F" w:rsidTr="000A156F">
        <w:tc>
          <w:tcPr>
            <w:tcW w:w="0" w:type="auto"/>
            <w:vAlign w:val="center"/>
          </w:tcPr>
          <w:p w:rsidR="000A156F" w:rsidRDefault="00A9721F">
            <w:pPr>
              <w:pStyle w:val="TableBodyText"/>
            </w:pPr>
            <w:r>
              <w:t>FrameSplitAbove</w:t>
            </w:r>
          </w:p>
        </w:tc>
        <w:tc>
          <w:tcPr>
            <w:tcW w:w="0" w:type="auto"/>
            <w:vAlign w:val="center"/>
          </w:tcPr>
          <w:p w:rsidR="000A156F" w:rsidRDefault="00A9721F">
            <w:pPr>
              <w:pStyle w:val="TableBodyText"/>
            </w:pPr>
            <w:r>
              <w:t>042D</w:t>
            </w:r>
          </w:p>
        </w:tc>
      </w:tr>
      <w:tr w:rsidR="000A156F" w:rsidTr="000A156F">
        <w:tc>
          <w:tcPr>
            <w:tcW w:w="0" w:type="auto"/>
            <w:vAlign w:val="center"/>
          </w:tcPr>
          <w:p w:rsidR="000A156F" w:rsidRDefault="00A9721F">
            <w:pPr>
              <w:pStyle w:val="TableBodyText"/>
            </w:pPr>
            <w:r>
              <w:t>FrameSplitBelow</w:t>
            </w:r>
          </w:p>
        </w:tc>
        <w:tc>
          <w:tcPr>
            <w:tcW w:w="0" w:type="auto"/>
            <w:vAlign w:val="center"/>
          </w:tcPr>
          <w:p w:rsidR="000A156F" w:rsidRDefault="00A9721F">
            <w:pPr>
              <w:pStyle w:val="TableBodyText"/>
            </w:pPr>
            <w:r>
              <w:t>042E</w:t>
            </w:r>
          </w:p>
        </w:tc>
      </w:tr>
      <w:tr w:rsidR="000A156F" w:rsidTr="000A156F">
        <w:tc>
          <w:tcPr>
            <w:tcW w:w="0" w:type="auto"/>
            <w:vAlign w:val="center"/>
          </w:tcPr>
          <w:p w:rsidR="000A156F" w:rsidRDefault="00A9721F">
            <w:pPr>
              <w:pStyle w:val="TableBodyText"/>
            </w:pPr>
            <w:r>
              <w:t>FrameSplitLeft</w:t>
            </w:r>
          </w:p>
        </w:tc>
        <w:tc>
          <w:tcPr>
            <w:tcW w:w="0" w:type="auto"/>
            <w:vAlign w:val="center"/>
          </w:tcPr>
          <w:p w:rsidR="000A156F" w:rsidRDefault="00A9721F">
            <w:pPr>
              <w:pStyle w:val="TableBodyText"/>
            </w:pPr>
            <w:r>
              <w:t>042F</w:t>
            </w:r>
          </w:p>
        </w:tc>
      </w:tr>
      <w:tr w:rsidR="000A156F" w:rsidTr="000A156F">
        <w:tc>
          <w:tcPr>
            <w:tcW w:w="0" w:type="auto"/>
            <w:vAlign w:val="center"/>
          </w:tcPr>
          <w:p w:rsidR="000A156F" w:rsidRDefault="00A9721F">
            <w:pPr>
              <w:pStyle w:val="TableBodyText"/>
            </w:pPr>
            <w:r>
              <w:t>FrameSplitRight</w:t>
            </w:r>
          </w:p>
        </w:tc>
        <w:tc>
          <w:tcPr>
            <w:tcW w:w="0" w:type="auto"/>
            <w:vAlign w:val="center"/>
          </w:tcPr>
          <w:p w:rsidR="000A156F" w:rsidRDefault="00A9721F">
            <w:pPr>
              <w:pStyle w:val="TableBodyText"/>
            </w:pPr>
            <w:r>
              <w:t>0430</w:t>
            </w:r>
          </w:p>
        </w:tc>
      </w:tr>
      <w:tr w:rsidR="000A156F" w:rsidTr="000A156F">
        <w:tc>
          <w:tcPr>
            <w:tcW w:w="0" w:type="auto"/>
            <w:vAlign w:val="center"/>
          </w:tcPr>
          <w:p w:rsidR="000A156F" w:rsidRDefault="00A9721F">
            <w:pPr>
              <w:pStyle w:val="TableBodyText"/>
            </w:pPr>
            <w:r>
              <w:t>FramesetTOC</w:t>
            </w:r>
          </w:p>
        </w:tc>
        <w:tc>
          <w:tcPr>
            <w:tcW w:w="0" w:type="auto"/>
            <w:vAlign w:val="center"/>
          </w:tcPr>
          <w:p w:rsidR="000A156F" w:rsidRDefault="00A9721F">
            <w:pPr>
              <w:pStyle w:val="TableBodyText"/>
            </w:pPr>
            <w:r>
              <w:t>0457</w:t>
            </w:r>
          </w:p>
        </w:tc>
      </w:tr>
      <w:tr w:rsidR="000A156F" w:rsidTr="000A156F">
        <w:tc>
          <w:tcPr>
            <w:tcW w:w="0" w:type="auto"/>
            <w:vAlign w:val="center"/>
          </w:tcPr>
          <w:p w:rsidR="000A156F" w:rsidRDefault="00A9721F">
            <w:pPr>
              <w:pStyle w:val="TableBodyText"/>
            </w:pPr>
            <w:r>
              <w:t>FramesetWizard</w:t>
            </w:r>
          </w:p>
        </w:tc>
        <w:tc>
          <w:tcPr>
            <w:tcW w:w="0" w:type="auto"/>
            <w:vAlign w:val="center"/>
          </w:tcPr>
          <w:p w:rsidR="000A156F" w:rsidRDefault="00A9721F">
            <w:pPr>
              <w:pStyle w:val="TableBodyText"/>
            </w:pPr>
            <w:r>
              <w:t>042C</w:t>
            </w:r>
          </w:p>
        </w:tc>
      </w:tr>
      <w:tr w:rsidR="000A156F" w:rsidTr="000A156F">
        <w:tc>
          <w:tcPr>
            <w:tcW w:w="0" w:type="auto"/>
            <w:vAlign w:val="center"/>
          </w:tcPr>
          <w:p w:rsidR="000A156F" w:rsidRDefault="00A9721F">
            <w:pPr>
              <w:pStyle w:val="TableBodyText"/>
            </w:pPr>
            <w:r>
              <w:t>FreezeLayout</w:t>
            </w:r>
          </w:p>
        </w:tc>
        <w:tc>
          <w:tcPr>
            <w:tcW w:w="0" w:type="auto"/>
            <w:vAlign w:val="center"/>
          </w:tcPr>
          <w:p w:rsidR="000A156F" w:rsidRDefault="00A9721F">
            <w:pPr>
              <w:pStyle w:val="TableBodyText"/>
            </w:pPr>
            <w:r>
              <w:t>083C</w:t>
            </w:r>
          </w:p>
        </w:tc>
      </w:tr>
      <w:tr w:rsidR="000A156F" w:rsidTr="000A156F">
        <w:tc>
          <w:tcPr>
            <w:tcW w:w="0" w:type="auto"/>
            <w:vAlign w:val="center"/>
          </w:tcPr>
          <w:p w:rsidR="000A156F" w:rsidRDefault="00A9721F">
            <w:pPr>
              <w:pStyle w:val="TableBodyText"/>
            </w:pPr>
            <w:r>
              <w:t>GettingStartedPane</w:t>
            </w:r>
          </w:p>
        </w:tc>
        <w:tc>
          <w:tcPr>
            <w:tcW w:w="0" w:type="auto"/>
            <w:vAlign w:val="center"/>
          </w:tcPr>
          <w:p w:rsidR="000A156F" w:rsidRDefault="00A9721F">
            <w:pPr>
              <w:pStyle w:val="TableBodyText"/>
            </w:pPr>
            <w:r>
              <w:t>05BC</w:t>
            </w:r>
          </w:p>
        </w:tc>
      </w:tr>
      <w:tr w:rsidR="000A156F" w:rsidTr="000A156F">
        <w:tc>
          <w:tcPr>
            <w:tcW w:w="0" w:type="auto"/>
            <w:vAlign w:val="center"/>
          </w:tcPr>
          <w:p w:rsidR="000A156F" w:rsidRDefault="00A9721F">
            <w:pPr>
              <w:pStyle w:val="TableBodyText"/>
            </w:pPr>
            <w:r>
              <w:t>GoBack</w:t>
            </w:r>
          </w:p>
        </w:tc>
        <w:tc>
          <w:tcPr>
            <w:tcW w:w="0" w:type="auto"/>
            <w:vAlign w:val="center"/>
          </w:tcPr>
          <w:p w:rsidR="000A156F" w:rsidRDefault="00A9721F">
            <w:pPr>
              <w:pStyle w:val="TableBodyText"/>
            </w:pPr>
            <w:r>
              <w:t>0045</w:t>
            </w:r>
          </w:p>
        </w:tc>
      </w:tr>
      <w:tr w:rsidR="000A156F" w:rsidTr="000A156F">
        <w:tc>
          <w:tcPr>
            <w:tcW w:w="0" w:type="auto"/>
            <w:vAlign w:val="center"/>
          </w:tcPr>
          <w:p w:rsidR="000A156F" w:rsidRDefault="00A9721F">
            <w:pPr>
              <w:pStyle w:val="TableBodyText"/>
            </w:pPr>
            <w:r>
              <w:t>GoToFirstPg</w:t>
            </w:r>
          </w:p>
        </w:tc>
        <w:tc>
          <w:tcPr>
            <w:tcW w:w="0" w:type="auto"/>
            <w:vAlign w:val="center"/>
          </w:tcPr>
          <w:p w:rsidR="000A156F" w:rsidRDefault="00A9721F">
            <w:pPr>
              <w:pStyle w:val="TableBodyText"/>
            </w:pPr>
            <w:r>
              <w:t>05CC</w:t>
            </w:r>
          </w:p>
        </w:tc>
      </w:tr>
      <w:tr w:rsidR="000A156F" w:rsidTr="000A156F">
        <w:tc>
          <w:tcPr>
            <w:tcW w:w="0" w:type="auto"/>
            <w:vAlign w:val="center"/>
          </w:tcPr>
          <w:p w:rsidR="000A156F" w:rsidRDefault="00A9721F">
            <w:pPr>
              <w:pStyle w:val="TableBodyText"/>
            </w:pPr>
            <w:r>
              <w:t>GoToFooter</w:t>
            </w:r>
          </w:p>
        </w:tc>
        <w:tc>
          <w:tcPr>
            <w:tcW w:w="0" w:type="auto"/>
            <w:vAlign w:val="center"/>
          </w:tcPr>
          <w:p w:rsidR="000A156F" w:rsidRDefault="00A9721F">
            <w:pPr>
              <w:pStyle w:val="TableBodyText"/>
            </w:pPr>
            <w:r>
              <w:t>08BC</w:t>
            </w:r>
          </w:p>
        </w:tc>
      </w:tr>
      <w:tr w:rsidR="000A156F" w:rsidTr="000A156F">
        <w:tc>
          <w:tcPr>
            <w:tcW w:w="0" w:type="auto"/>
            <w:vAlign w:val="center"/>
          </w:tcPr>
          <w:p w:rsidR="000A156F" w:rsidRDefault="00A9721F">
            <w:pPr>
              <w:pStyle w:val="TableBodyText"/>
            </w:pPr>
            <w:r>
              <w:t>GoToFurthestReadPg</w:t>
            </w:r>
          </w:p>
        </w:tc>
        <w:tc>
          <w:tcPr>
            <w:tcW w:w="0" w:type="auto"/>
            <w:vAlign w:val="center"/>
          </w:tcPr>
          <w:p w:rsidR="000A156F" w:rsidRDefault="00A9721F">
            <w:pPr>
              <w:pStyle w:val="TableBodyText"/>
            </w:pPr>
            <w:r>
              <w:t>05CB</w:t>
            </w:r>
          </w:p>
        </w:tc>
      </w:tr>
      <w:tr w:rsidR="000A156F" w:rsidTr="000A156F">
        <w:tc>
          <w:tcPr>
            <w:tcW w:w="0" w:type="auto"/>
            <w:vAlign w:val="center"/>
          </w:tcPr>
          <w:p w:rsidR="000A156F" w:rsidRDefault="00A9721F">
            <w:pPr>
              <w:pStyle w:val="TableBodyText"/>
            </w:pPr>
            <w:r>
              <w:t>GoToHeader</w:t>
            </w:r>
          </w:p>
        </w:tc>
        <w:tc>
          <w:tcPr>
            <w:tcW w:w="0" w:type="auto"/>
            <w:vAlign w:val="center"/>
          </w:tcPr>
          <w:p w:rsidR="000A156F" w:rsidRDefault="00A9721F">
            <w:pPr>
              <w:pStyle w:val="TableBodyText"/>
            </w:pPr>
            <w:r>
              <w:t>08BB</w:t>
            </w:r>
          </w:p>
        </w:tc>
      </w:tr>
      <w:tr w:rsidR="000A156F" w:rsidTr="000A156F">
        <w:tc>
          <w:tcPr>
            <w:tcW w:w="0" w:type="auto"/>
            <w:vAlign w:val="center"/>
          </w:tcPr>
          <w:p w:rsidR="000A156F" w:rsidRDefault="00A9721F">
            <w:pPr>
              <w:pStyle w:val="TableBodyText"/>
            </w:pPr>
            <w:r>
              <w:t>GoToHeaderFooter</w:t>
            </w:r>
          </w:p>
        </w:tc>
        <w:tc>
          <w:tcPr>
            <w:tcW w:w="0" w:type="auto"/>
            <w:vAlign w:val="center"/>
          </w:tcPr>
          <w:p w:rsidR="000A156F" w:rsidRDefault="00A9721F">
            <w:pPr>
              <w:pStyle w:val="TableBodyText"/>
            </w:pPr>
            <w:r>
              <w:t>024E</w:t>
            </w:r>
          </w:p>
        </w:tc>
      </w:tr>
      <w:tr w:rsidR="000A156F" w:rsidTr="000A156F">
        <w:tc>
          <w:tcPr>
            <w:tcW w:w="0" w:type="auto"/>
            <w:vAlign w:val="center"/>
          </w:tcPr>
          <w:p w:rsidR="000A156F" w:rsidRDefault="00A9721F">
            <w:pPr>
              <w:pStyle w:val="TableBodyText"/>
            </w:pPr>
            <w:r>
              <w:lastRenderedPageBreak/>
              <w:t>GoToLastPg</w:t>
            </w:r>
          </w:p>
        </w:tc>
        <w:tc>
          <w:tcPr>
            <w:tcW w:w="0" w:type="auto"/>
            <w:vAlign w:val="center"/>
          </w:tcPr>
          <w:p w:rsidR="000A156F" w:rsidRDefault="00A9721F">
            <w:pPr>
              <w:pStyle w:val="TableBodyText"/>
            </w:pPr>
            <w:r>
              <w:t>05CD</w:t>
            </w:r>
          </w:p>
        </w:tc>
      </w:tr>
      <w:tr w:rsidR="000A156F" w:rsidTr="000A156F">
        <w:tc>
          <w:tcPr>
            <w:tcW w:w="0" w:type="auto"/>
            <w:vAlign w:val="center"/>
          </w:tcPr>
          <w:p w:rsidR="000A156F" w:rsidRDefault="00A9721F">
            <w:pPr>
              <w:pStyle w:val="TableBodyText"/>
            </w:pPr>
            <w:r>
              <w:t>GoToNextComment</w:t>
            </w:r>
          </w:p>
        </w:tc>
        <w:tc>
          <w:tcPr>
            <w:tcW w:w="0" w:type="auto"/>
            <w:vAlign w:val="center"/>
          </w:tcPr>
          <w:p w:rsidR="000A156F" w:rsidRDefault="00A9721F">
            <w:pPr>
              <w:pStyle w:val="TableBodyText"/>
            </w:pPr>
            <w:r>
              <w:t>019C</w:t>
            </w:r>
          </w:p>
        </w:tc>
      </w:tr>
      <w:tr w:rsidR="000A156F" w:rsidTr="000A156F">
        <w:tc>
          <w:tcPr>
            <w:tcW w:w="0" w:type="auto"/>
            <w:vAlign w:val="center"/>
          </w:tcPr>
          <w:p w:rsidR="000A156F" w:rsidRDefault="00A9721F">
            <w:pPr>
              <w:pStyle w:val="TableBodyText"/>
            </w:pPr>
            <w:r>
              <w:t>GoToNextEndnote</w:t>
            </w:r>
          </w:p>
        </w:tc>
        <w:tc>
          <w:tcPr>
            <w:tcW w:w="0" w:type="auto"/>
            <w:vAlign w:val="center"/>
          </w:tcPr>
          <w:p w:rsidR="000A156F" w:rsidRDefault="00A9721F">
            <w:pPr>
              <w:pStyle w:val="TableBodyText"/>
            </w:pPr>
            <w:r>
              <w:t>019A</w:t>
            </w:r>
          </w:p>
        </w:tc>
      </w:tr>
      <w:tr w:rsidR="000A156F" w:rsidTr="000A156F">
        <w:tc>
          <w:tcPr>
            <w:tcW w:w="0" w:type="auto"/>
            <w:vAlign w:val="center"/>
          </w:tcPr>
          <w:p w:rsidR="000A156F" w:rsidRDefault="00A9721F">
            <w:pPr>
              <w:pStyle w:val="TableBodyText"/>
            </w:pPr>
            <w:r>
              <w:t>GoToNextFootnote</w:t>
            </w:r>
          </w:p>
        </w:tc>
        <w:tc>
          <w:tcPr>
            <w:tcW w:w="0" w:type="auto"/>
            <w:vAlign w:val="center"/>
          </w:tcPr>
          <w:p w:rsidR="000A156F" w:rsidRDefault="00A9721F">
            <w:pPr>
              <w:pStyle w:val="TableBodyText"/>
            </w:pPr>
            <w:r>
              <w:t>0198</w:t>
            </w:r>
          </w:p>
        </w:tc>
      </w:tr>
      <w:tr w:rsidR="000A156F" w:rsidTr="000A156F">
        <w:tc>
          <w:tcPr>
            <w:tcW w:w="0" w:type="auto"/>
            <w:vAlign w:val="center"/>
          </w:tcPr>
          <w:p w:rsidR="000A156F" w:rsidRDefault="00A9721F">
            <w:pPr>
              <w:pStyle w:val="TableBodyText"/>
            </w:pPr>
            <w:r>
              <w:t>GoToNextPage</w:t>
            </w:r>
          </w:p>
        </w:tc>
        <w:tc>
          <w:tcPr>
            <w:tcW w:w="0" w:type="auto"/>
            <w:vAlign w:val="center"/>
          </w:tcPr>
          <w:p w:rsidR="000A156F" w:rsidRDefault="00A9721F">
            <w:pPr>
              <w:pStyle w:val="TableBodyText"/>
            </w:pPr>
            <w:r>
              <w:t>0194</w:t>
            </w:r>
          </w:p>
        </w:tc>
      </w:tr>
      <w:tr w:rsidR="000A156F" w:rsidTr="000A156F">
        <w:tc>
          <w:tcPr>
            <w:tcW w:w="0" w:type="auto"/>
            <w:vAlign w:val="center"/>
          </w:tcPr>
          <w:p w:rsidR="000A156F" w:rsidRDefault="00A9721F">
            <w:pPr>
              <w:pStyle w:val="TableBodyText"/>
            </w:pPr>
            <w:r>
              <w:t>GoToNextReadingPage</w:t>
            </w:r>
          </w:p>
        </w:tc>
        <w:tc>
          <w:tcPr>
            <w:tcW w:w="0" w:type="auto"/>
            <w:vAlign w:val="center"/>
          </w:tcPr>
          <w:p w:rsidR="000A156F" w:rsidRDefault="00A9721F">
            <w:pPr>
              <w:pStyle w:val="TableBodyText"/>
            </w:pPr>
            <w:r>
              <w:t>0892</w:t>
            </w:r>
          </w:p>
        </w:tc>
      </w:tr>
      <w:tr w:rsidR="000A156F" w:rsidTr="000A156F">
        <w:tc>
          <w:tcPr>
            <w:tcW w:w="0" w:type="auto"/>
            <w:vAlign w:val="center"/>
          </w:tcPr>
          <w:p w:rsidR="000A156F" w:rsidRDefault="00A9721F">
            <w:pPr>
              <w:pStyle w:val="TableBodyText"/>
            </w:pPr>
            <w:r>
              <w:t>GoToNextSection</w:t>
            </w:r>
          </w:p>
        </w:tc>
        <w:tc>
          <w:tcPr>
            <w:tcW w:w="0" w:type="auto"/>
            <w:vAlign w:val="center"/>
          </w:tcPr>
          <w:p w:rsidR="000A156F" w:rsidRDefault="00A9721F">
            <w:pPr>
              <w:pStyle w:val="TableBodyText"/>
            </w:pPr>
            <w:r>
              <w:t>0196</w:t>
            </w:r>
          </w:p>
        </w:tc>
      </w:tr>
      <w:tr w:rsidR="000A156F" w:rsidTr="000A156F">
        <w:tc>
          <w:tcPr>
            <w:tcW w:w="0" w:type="auto"/>
            <w:vAlign w:val="center"/>
          </w:tcPr>
          <w:p w:rsidR="000A156F" w:rsidRDefault="00A9721F">
            <w:pPr>
              <w:pStyle w:val="TableBodyText"/>
            </w:pPr>
            <w:r>
              <w:t>GoToPrevReadingPage</w:t>
            </w:r>
          </w:p>
        </w:tc>
        <w:tc>
          <w:tcPr>
            <w:tcW w:w="0" w:type="auto"/>
            <w:vAlign w:val="center"/>
          </w:tcPr>
          <w:p w:rsidR="000A156F" w:rsidRDefault="00A9721F">
            <w:pPr>
              <w:pStyle w:val="TableBodyText"/>
            </w:pPr>
            <w:r>
              <w:t>0893</w:t>
            </w:r>
          </w:p>
        </w:tc>
      </w:tr>
      <w:tr w:rsidR="000A156F" w:rsidTr="000A156F">
        <w:tc>
          <w:tcPr>
            <w:tcW w:w="0" w:type="auto"/>
            <w:vAlign w:val="center"/>
          </w:tcPr>
          <w:p w:rsidR="000A156F" w:rsidRDefault="00A9721F">
            <w:pPr>
              <w:pStyle w:val="TableBodyText"/>
            </w:pPr>
            <w:r>
              <w:t>GoToPreviousComment</w:t>
            </w:r>
          </w:p>
        </w:tc>
        <w:tc>
          <w:tcPr>
            <w:tcW w:w="0" w:type="auto"/>
            <w:vAlign w:val="center"/>
          </w:tcPr>
          <w:p w:rsidR="000A156F" w:rsidRDefault="00A9721F">
            <w:pPr>
              <w:pStyle w:val="TableBodyText"/>
            </w:pPr>
            <w:r>
              <w:t>019D</w:t>
            </w:r>
          </w:p>
        </w:tc>
      </w:tr>
      <w:tr w:rsidR="000A156F" w:rsidTr="000A156F">
        <w:tc>
          <w:tcPr>
            <w:tcW w:w="0" w:type="auto"/>
            <w:vAlign w:val="center"/>
          </w:tcPr>
          <w:p w:rsidR="000A156F" w:rsidRDefault="00A9721F">
            <w:pPr>
              <w:pStyle w:val="TableBodyText"/>
            </w:pPr>
            <w:r>
              <w:t>GoToPreviousEndnote</w:t>
            </w:r>
          </w:p>
        </w:tc>
        <w:tc>
          <w:tcPr>
            <w:tcW w:w="0" w:type="auto"/>
            <w:vAlign w:val="center"/>
          </w:tcPr>
          <w:p w:rsidR="000A156F" w:rsidRDefault="00A9721F">
            <w:pPr>
              <w:pStyle w:val="TableBodyText"/>
            </w:pPr>
            <w:r>
              <w:t>019B</w:t>
            </w:r>
          </w:p>
        </w:tc>
      </w:tr>
      <w:tr w:rsidR="000A156F" w:rsidTr="000A156F">
        <w:tc>
          <w:tcPr>
            <w:tcW w:w="0" w:type="auto"/>
            <w:vAlign w:val="center"/>
          </w:tcPr>
          <w:p w:rsidR="000A156F" w:rsidRDefault="00A9721F">
            <w:pPr>
              <w:pStyle w:val="TableBodyText"/>
            </w:pPr>
            <w:r>
              <w:t>GoToPreviousFootnote</w:t>
            </w:r>
          </w:p>
        </w:tc>
        <w:tc>
          <w:tcPr>
            <w:tcW w:w="0" w:type="auto"/>
            <w:vAlign w:val="center"/>
          </w:tcPr>
          <w:p w:rsidR="000A156F" w:rsidRDefault="00A9721F">
            <w:pPr>
              <w:pStyle w:val="TableBodyText"/>
            </w:pPr>
            <w:r>
              <w:t>0199</w:t>
            </w:r>
          </w:p>
        </w:tc>
      </w:tr>
      <w:tr w:rsidR="000A156F" w:rsidTr="000A156F">
        <w:tc>
          <w:tcPr>
            <w:tcW w:w="0" w:type="auto"/>
            <w:vAlign w:val="center"/>
          </w:tcPr>
          <w:p w:rsidR="000A156F" w:rsidRDefault="00A9721F">
            <w:pPr>
              <w:pStyle w:val="TableBodyText"/>
            </w:pPr>
            <w:r>
              <w:t>GoToPreviousPage</w:t>
            </w:r>
          </w:p>
        </w:tc>
        <w:tc>
          <w:tcPr>
            <w:tcW w:w="0" w:type="auto"/>
            <w:vAlign w:val="center"/>
          </w:tcPr>
          <w:p w:rsidR="000A156F" w:rsidRDefault="00A9721F">
            <w:pPr>
              <w:pStyle w:val="TableBodyText"/>
            </w:pPr>
            <w:r>
              <w:t>0195</w:t>
            </w:r>
          </w:p>
        </w:tc>
      </w:tr>
      <w:tr w:rsidR="000A156F" w:rsidTr="000A156F">
        <w:tc>
          <w:tcPr>
            <w:tcW w:w="0" w:type="auto"/>
            <w:vAlign w:val="center"/>
          </w:tcPr>
          <w:p w:rsidR="000A156F" w:rsidRDefault="00A9721F">
            <w:pPr>
              <w:pStyle w:val="TableBodyText"/>
            </w:pPr>
            <w:r>
              <w:t>GoToPreviousSection</w:t>
            </w:r>
          </w:p>
        </w:tc>
        <w:tc>
          <w:tcPr>
            <w:tcW w:w="0" w:type="auto"/>
            <w:vAlign w:val="center"/>
          </w:tcPr>
          <w:p w:rsidR="000A156F" w:rsidRDefault="00A9721F">
            <w:pPr>
              <w:pStyle w:val="TableBodyText"/>
            </w:pPr>
            <w:r>
              <w:t>0197</w:t>
            </w:r>
          </w:p>
        </w:tc>
      </w:tr>
      <w:tr w:rsidR="000A156F" w:rsidTr="000A156F">
        <w:tc>
          <w:tcPr>
            <w:tcW w:w="0" w:type="auto"/>
            <w:vAlign w:val="center"/>
          </w:tcPr>
          <w:p w:rsidR="000A156F" w:rsidRDefault="00A9721F">
            <w:pPr>
              <w:pStyle w:val="TableBodyText"/>
            </w:pPr>
            <w:r>
              <w:t>GotoCommentScope</w:t>
            </w:r>
          </w:p>
        </w:tc>
        <w:tc>
          <w:tcPr>
            <w:tcW w:w="0" w:type="auto"/>
            <w:vAlign w:val="center"/>
          </w:tcPr>
          <w:p w:rsidR="000A156F" w:rsidRDefault="00A9721F">
            <w:pPr>
              <w:pStyle w:val="TableBodyText"/>
            </w:pPr>
            <w:r>
              <w:t>0255</w:t>
            </w:r>
          </w:p>
        </w:tc>
      </w:tr>
      <w:tr w:rsidR="000A156F" w:rsidTr="000A156F">
        <w:tc>
          <w:tcPr>
            <w:tcW w:w="0" w:type="auto"/>
            <w:vAlign w:val="center"/>
          </w:tcPr>
          <w:p w:rsidR="000A156F" w:rsidRDefault="00A9721F">
            <w:pPr>
              <w:pStyle w:val="TableBodyText"/>
            </w:pPr>
            <w:r>
              <w:t>GotoNextLinkedTextBox</w:t>
            </w:r>
          </w:p>
        </w:tc>
        <w:tc>
          <w:tcPr>
            <w:tcW w:w="0" w:type="auto"/>
            <w:vAlign w:val="center"/>
          </w:tcPr>
          <w:p w:rsidR="000A156F" w:rsidRDefault="00A9721F">
            <w:pPr>
              <w:pStyle w:val="TableBodyText"/>
            </w:pPr>
            <w:r>
              <w:t>034A</w:t>
            </w:r>
          </w:p>
        </w:tc>
      </w:tr>
      <w:tr w:rsidR="000A156F" w:rsidTr="000A156F">
        <w:tc>
          <w:tcPr>
            <w:tcW w:w="0" w:type="auto"/>
            <w:vAlign w:val="center"/>
          </w:tcPr>
          <w:p w:rsidR="000A156F" w:rsidRDefault="00A9721F">
            <w:pPr>
              <w:pStyle w:val="TableBodyText"/>
            </w:pPr>
            <w:r>
              <w:t>GotoPrevLinkedTextBox</w:t>
            </w:r>
          </w:p>
        </w:tc>
        <w:tc>
          <w:tcPr>
            <w:tcW w:w="0" w:type="auto"/>
            <w:vAlign w:val="center"/>
          </w:tcPr>
          <w:p w:rsidR="000A156F" w:rsidRDefault="00A9721F">
            <w:pPr>
              <w:pStyle w:val="TableBodyText"/>
            </w:pPr>
            <w:r>
              <w:t>034B</w:t>
            </w:r>
          </w:p>
        </w:tc>
      </w:tr>
      <w:tr w:rsidR="000A156F" w:rsidTr="000A156F">
        <w:tc>
          <w:tcPr>
            <w:tcW w:w="0" w:type="auto"/>
            <w:vAlign w:val="center"/>
          </w:tcPr>
          <w:p w:rsidR="000A156F" w:rsidRDefault="00A9721F">
            <w:pPr>
              <w:pStyle w:val="TableBodyText"/>
            </w:pPr>
            <w:r>
              <w:t>GotoTableOfContents</w:t>
            </w:r>
          </w:p>
        </w:tc>
        <w:tc>
          <w:tcPr>
            <w:tcW w:w="0" w:type="auto"/>
            <w:vAlign w:val="center"/>
          </w:tcPr>
          <w:p w:rsidR="000A156F" w:rsidRDefault="00A9721F">
            <w:pPr>
              <w:pStyle w:val="TableBodyText"/>
            </w:pPr>
            <w:r>
              <w:t>056D</w:t>
            </w:r>
          </w:p>
        </w:tc>
      </w:tr>
      <w:tr w:rsidR="000A156F" w:rsidTr="000A156F">
        <w:tc>
          <w:tcPr>
            <w:tcW w:w="0" w:type="auto"/>
            <w:vAlign w:val="center"/>
          </w:tcPr>
          <w:p w:rsidR="000A156F" w:rsidRDefault="00A9721F">
            <w:pPr>
              <w:pStyle w:val="TableBodyText"/>
            </w:pPr>
            <w:r>
              <w:t>GradientGallery</w:t>
            </w:r>
          </w:p>
        </w:tc>
        <w:tc>
          <w:tcPr>
            <w:tcW w:w="0" w:type="auto"/>
            <w:vAlign w:val="center"/>
          </w:tcPr>
          <w:p w:rsidR="000A156F" w:rsidRDefault="00A9721F">
            <w:pPr>
              <w:pStyle w:val="TableBodyText"/>
            </w:pPr>
            <w:r>
              <w:t>08A2</w:t>
            </w:r>
          </w:p>
        </w:tc>
      </w:tr>
      <w:tr w:rsidR="000A156F" w:rsidTr="000A156F">
        <w:tc>
          <w:tcPr>
            <w:tcW w:w="0" w:type="auto"/>
            <w:vAlign w:val="center"/>
          </w:tcPr>
          <w:p w:rsidR="000A156F" w:rsidRDefault="00A9721F">
            <w:pPr>
              <w:pStyle w:val="TableBodyText"/>
            </w:pPr>
            <w:r>
              <w:t>GreetingSentence</w:t>
            </w:r>
          </w:p>
        </w:tc>
        <w:tc>
          <w:tcPr>
            <w:tcW w:w="0" w:type="auto"/>
            <w:vAlign w:val="center"/>
          </w:tcPr>
          <w:p w:rsidR="000A156F" w:rsidRDefault="00A9721F">
            <w:pPr>
              <w:pStyle w:val="TableBodyText"/>
            </w:pPr>
            <w:r>
              <w:t>0498</w:t>
            </w:r>
          </w:p>
        </w:tc>
      </w:tr>
      <w:tr w:rsidR="000A156F" w:rsidTr="000A156F">
        <w:tc>
          <w:tcPr>
            <w:tcW w:w="0" w:type="auto"/>
            <w:vAlign w:val="center"/>
          </w:tcPr>
          <w:p w:rsidR="000A156F" w:rsidRDefault="00A9721F">
            <w:pPr>
              <w:pStyle w:val="TableBodyText"/>
            </w:pPr>
            <w:r>
              <w:t>GrowFont</w:t>
            </w:r>
          </w:p>
        </w:tc>
        <w:tc>
          <w:tcPr>
            <w:tcW w:w="0" w:type="auto"/>
            <w:vAlign w:val="center"/>
          </w:tcPr>
          <w:p w:rsidR="000A156F" w:rsidRDefault="00A9721F">
            <w:pPr>
              <w:pStyle w:val="TableBodyText"/>
            </w:pPr>
            <w:r>
              <w:t>000B</w:t>
            </w:r>
          </w:p>
        </w:tc>
      </w:tr>
      <w:tr w:rsidR="000A156F" w:rsidTr="000A156F">
        <w:tc>
          <w:tcPr>
            <w:tcW w:w="0" w:type="auto"/>
            <w:vAlign w:val="center"/>
          </w:tcPr>
          <w:p w:rsidR="000A156F" w:rsidRDefault="00A9721F">
            <w:pPr>
              <w:pStyle w:val="TableBodyText"/>
            </w:pPr>
            <w:r>
              <w:t>GrowFontOnePoint</w:t>
            </w:r>
          </w:p>
        </w:tc>
        <w:tc>
          <w:tcPr>
            <w:tcW w:w="0" w:type="auto"/>
            <w:vAlign w:val="center"/>
          </w:tcPr>
          <w:p w:rsidR="000A156F" w:rsidRDefault="00A9721F">
            <w:pPr>
              <w:pStyle w:val="TableBodyText"/>
            </w:pPr>
            <w:r>
              <w:t>0201</w:t>
            </w:r>
          </w:p>
        </w:tc>
      </w:tr>
      <w:tr w:rsidR="000A156F" w:rsidTr="000A156F">
        <w:tc>
          <w:tcPr>
            <w:tcW w:w="0" w:type="auto"/>
            <w:vAlign w:val="center"/>
          </w:tcPr>
          <w:p w:rsidR="000A156F" w:rsidRDefault="00A9721F">
            <w:pPr>
              <w:pStyle w:val="TableBodyText"/>
            </w:pPr>
            <w:r>
              <w:t>HTMLSourceDoNotRefresh</w:t>
            </w:r>
          </w:p>
        </w:tc>
        <w:tc>
          <w:tcPr>
            <w:tcW w:w="0" w:type="auto"/>
            <w:vAlign w:val="center"/>
          </w:tcPr>
          <w:p w:rsidR="000A156F" w:rsidRDefault="00A9721F">
            <w:pPr>
              <w:pStyle w:val="TableBodyText"/>
            </w:pPr>
            <w:r>
              <w:t>0460</w:t>
            </w:r>
          </w:p>
        </w:tc>
      </w:tr>
      <w:tr w:rsidR="000A156F" w:rsidTr="000A156F">
        <w:tc>
          <w:tcPr>
            <w:tcW w:w="0" w:type="auto"/>
            <w:vAlign w:val="center"/>
          </w:tcPr>
          <w:p w:rsidR="000A156F" w:rsidRDefault="00A9721F">
            <w:pPr>
              <w:pStyle w:val="TableBodyText"/>
            </w:pPr>
            <w:r>
              <w:t>HTMLSourceRefresh</w:t>
            </w:r>
          </w:p>
        </w:tc>
        <w:tc>
          <w:tcPr>
            <w:tcW w:w="0" w:type="auto"/>
            <w:vAlign w:val="center"/>
          </w:tcPr>
          <w:p w:rsidR="000A156F" w:rsidRDefault="00A9721F">
            <w:pPr>
              <w:pStyle w:val="TableBodyText"/>
            </w:pPr>
            <w:r>
              <w:t>045E</w:t>
            </w:r>
          </w:p>
        </w:tc>
      </w:tr>
      <w:tr w:rsidR="000A156F" w:rsidTr="000A156F">
        <w:tc>
          <w:tcPr>
            <w:tcW w:w="0" w:type="auto"/>
            <w:vAlign w:val="center"/>
          </w:tcPr>
          <w:p w:rsidR="000A156F" w:rsidRDefault="00A9721F">
            <w:pPr>
              <w:pStyle w:val="TableBodyText"/>
            </w:pPr>
            <w:r>
              <w:t>HangingIndent</w:t>
            </w:r>
          </w:p>
        </w:tc>
        <w:tc>
          <w:tcPr>
            <w:tcW w:w="0" w:type="auto"/>
            <w:vAlign w:val="center"/>
          </w:tcPr>
          <w:p w:rsidR="000A156F" w:rsidRDefault="00A9721F">
            <w:pPr>
              <w:pStyle w:val="TableBodyText"/>
            </w:pPr>
            <w:r>
              <w:t>0028</w:t>
            </w:r>
          </w:p>
        </w:tc>
      </w:tr>
      <w:tr w:rsidR="000A156F" w:rsidTr="000A156F">
        <w:tc>
          <w:tcPr>
            <w:tcW w:w="0" w:type="auto"/>
            <w:vAlign w:val="center"/>
          </w:tcPr>
          <w:p w:rsidR="000A156F" w:rsidRDefault="00A9721F">
            <w:pPr>
              <w:pStyle w:val="TableBodyText"/>
            </w:pPr>
            <w:r>
              <w:t>HanjaDictionary</w:t>
            </w:r>
          </w:p>
        </w:tc>
        <w:tc>
          <w:tcPr>
            <w:tcW w:w="0" w:type="auto"/>
            <w:vAlign w:val="center"/>
          </w:tcPr>
          <w:p w:rsidR="000A156F" w:rsidRDefault="00A9721F">
            <w:pPr>
              <w:pStyle w:val="TableBodyText"/>
            </w:pPr>
            <w:r>
              <w:t>0486</w:t>
            </w:r>
          </w:p>
        </w:tc>
      </w:tr>
      <w:tr w:rsidR="000A156F" w:rsidTr="000A156F">
        <w:tc>
          <w:tcPr>
            <w:tcW w:w="0" w:type="auto"/>
            <w:vAlign w:val="center"/>
          </w:tcPr>
          <w:p w:rsidR="000A156F" w:rsidRDefault="00A9721F">
            <w:pPr>
              <w:pStyle w:val="TableBodyText"/>
            </w:pPr>
            <w:r>
              <w:t>HeadFootDiffFirstPage</w:t>
            </w:r>
          </w:p>
        </w:tc>
        <w:tc>
          <w:tcPr>
            <w:tcW w:w="0" w:type="auto"/>
            <w:vAlign w:val="center"/>
          </w:tcPr>
          <w:p w:rsidR="000A156F" w:rsidRDefault="00A9721F">
            <w:pPr>
              <w:pStyle w:val="TableBodyText"/>
            </w:pPr>
            <w:r>
              <w:t>084D</w:t>
            </w:r>
          </w:p>
        </w:tc>
      </w:tr>
      <w:tr w:rsidR="000A156F" w:rsidTr="000A156F">
        <w:tc>
          <w:tcPr>
            <w:tcW w:w="0" w:type="auto"/>
            <w:vAlign w:val="center"/>
          </w:tcPr>
          <w:p w:rsidR="000A156F" w:rsidRDefault="00A9721F">
            <w:pPr>
              <w:pStyle w:val="TableBodyText"/>
            </w:pPr>
            <w:r>
              <w:t>HeadFootDiffOddEvenPage</w:t>
            </w:r>
          </w:p>
        </w:tc>
        <w:tc>
          <w:tcPr>
            <w:tcW w:w="0" w:type="auto"/>
            <w:vAlign w:val="center"/>
          </w:tcPr>
          <w:p w:rsidR="000A156F" w:rsidRDefault="00A9721F">
            <w:pPr>
              <w:pStyle w:val="TableBodyText"/>
            </w:pPr>
            <w:r>
              <w:t>084E</w:t>
            </w:r>
          </w:p>
        </w:tc>
      </w:tr>
      <w:tr w:rsidR="000A156F" w:rsidTr="000A156F">
        <w:tc>
          <w:tcPr>
            <w:tcW w:w="0" w:type="auto"/>
            <w:vAlign w:val="center"/>
          </w:tcPr>
          <w:p w:rsidR="000A156F" w:rsidRDefault="00A9721F">
            <w:pPr>
              <w:pStyle w:val="TableBodyText"/>
            </w:pPr>
            <w:r>
              <w:t>HeaderGallery</w:t>
            </w:r>
          </w:p>
        </w:tc>
        <w:tc>
          <w:tcPr>
            <w:tcW w:w="0" w:type="auto"/>
            <w:vAlign w:val="center"/>
          </w:tcPr>
          <w:p w:rsidR="000A156F" w:rsidRDefault="00A9721F">
            <w:pPr>
              <w:pStyle w:val="TableBodyText"/>
            </w:pPr>
            <w:r>
              <w:t>07E4</w:t>
            </w:r>
          </w:p>
        </w:tc>
      </w:tr>
      <w:tr w:rsidR="000A156F" w:rsidTr="000A156F">
        <w:tc>
          <w:tcPr>
            <w:tcW w:w="0" w:type="auto"/>
            <w:vAlign w:val="center"/>
          </w:tcPr>
          <w:p w:rsidR="000A156F" w:rsidRDefault="00A9721F">
            <w:pPr>
              <w:pStyle w:val="TableBodyText"/>
            </w:pPr>
            <w:r>
              <w:t>HeaderPositionSpinner</w:t>
            </w:r>
          </w:p>
        </w:tc>
        <w:tc>
          <w:tcPr>
            <w:tcW w:w="0" w:type="auto"/>
            <w:vAlign w:val="center"/>
          </w:tcPr>
          <w:p w:rsidR="000A156F" w:rsidRDefault="00A9721F">
            <w:pPr>
              <w:pStyle w:val="TableBodyText"/>
            </w:pPr>
            <w:r>
              <w:t>08B1</w:t>
            </w:r>
          </w:p>
        </w:tc>
      </w:tr>
      <w:tr w:rsidR="000A156F" w:rsidTr="000A156F">
        <w:tc>
          <w:tcPr>
            <w:tcW w:w="0" w:type="auto"/>
            <w:vAlign w:val="center"/>
          </w:tcPr>
          <w:p w:rsidR="000A156F" w:rsidRDefault="00A9721F">
            <w:pPr>
              <w:pStyle w:val="TableBodyText"/>
            </w:pPr>
            <w:r>
              <w:t>Help</w:t>
            </w:r>
          </w:p>
        </w:tc>
        <w:tc>
          <w:tcPr>
            <w:tcW w:w="0" w:type="auto"/>
            <w:vAlign w:val="center"/>
          </w:tcPr>
          <w:p w:rsidR="000A156F" w:rsidRDefault="00A9721F">
            <w:pPr>
              <w:pStyle w:val="TableBodyText"/>
            </w:pPr>
            <w:r>
              <w:t>0001</w:t>
            </w:r>
          </w:p>
        </w:tc>
      </w:tr>
      <w:tr w:rsidR="000A156F" w:rsidTr="000A156F">
        <w:tc>
          <w:tcPr>
            <w:tcW w:w="0" w:type="auto"/>
            <w:vAlign w:val="center"/>
          </w:tcPr>
          <w:p w:rsidR="000A156F" w:rsidRDefault="00A9721F">
            <w:pPr>
              <w:pStyle w:val="TableBodyText"/>
            </w:pPr>
            <w:r>
              <w:t>HelpAW</w:t>
            </w:r>
          </w:p>
        </w:tc>
        <w:tc>
          <w:tcPr>
            <w:tcW w:w="0" w:type="auto"/>
            <w:vAlign w:val="center"/>
          </w:tcPr>
          <w:p w:rsidR="000A156F" w:rsidRDefault="00A9721F">
            <w:pPr>
              <w:pStyle w:val="TableBodyText"/>
            </w:pPr>
            <w:r>
              <w:t>031A</w:t>
            </w:r>
          </w:p>
        </w:tc>
      </w:tr>
      <w:tr w:rsidR="000A156F" w:rsidTr="000A156F">
        <w:tc>
          <w:tcPr>
            <w:tcW w:w="0" w:type="auto"/>
            <w:vAlign w:val="center"/>
          </w:tcPr>
          <w:p w:rsidR="000A156F" w:rsidRDefault="00A9721F">
            <w:pPr>
              <w:pStyle w:val="TableBodyText"/>
            </w:pPr>
            <w:r>
              <w:t>HelpAbout</w:t>
            </w:r>
          </w:p>
        </w:tc>
        <w:tc>
          <w:tcPr>
            <w:tcW w:w="0" w:type="auto"/>
            <w:vAlign w:val="center"/>
          </w:tcPr>
          <w:p w:rsidR="000A156F" w:rsidRDefault="00A9721F">
            <w:pPr>
              <w:pStyle w:val="TableBodyText"/>
            </w:pPr>
            <w:r>
              <w:t>0009</w:t>
            </w:r>
          </w:p>
        </w:tc>
      </w:tr>
      <w:tr w:rsidR="000A156F" w:rsidTr="000A156F">
        <w:tc>
          <w:tcPr>
            <w:tcW w:w="0" w:type="auto"/>
            <w:vAlign w:val="center"/>
          </w:tcPr>
          <w:p w:rsidR="000A156F" w:rsidRDefault="00A9721F">
            <w:pPr>
              <w:pStyle w:val="TableBodyText"/>
            </w:pPr>
            <w:r>
              <w:lastRenderedPageBreak/>
              <w:t>HelpActiveWindow</w:t>
            </w:r>
          </w:p>
        </w:tc>
        <w:tc>
          <w:tcPr>
            <w:tcW w:w="0" w:type="auto"/>
            <w:vAlign w:val="center"/>
          </w:tcPr>
          <w:p w:rsidR="000A156F" w:rsidRDefault="00A9721F">
            <w:pPr>
              <w:pStyle w:val="TableBodyText"/>
            </w:pPr>
            <w:r>
              <w:t>0004</w:t>
            </w:r>
          </w:p>
        </w:tc>
      </w:tr>
      <w:tr w:rsidR="000A156F" w:rsidTr="000A156F">
        <w:tc>
          <w:tcPr>
            <w:tcW w:w="0" w:type="auto"/>
            <w:vAlign w:val="center"/>
          </w:tcPr>
          <w:p w:rsidR="000A156F" w:rsidRDefault="00A9721F">
            <w:pPr>
              <w:pStyle w:val="TableBodyText"/>
            </w:pPr>
            <w:r>
              <w:t>HelpCheckForUpdates</w:t>
            </w:r>
          </w:p>
        </w:tc>
        <w:tc>
          <w:tcPr>
            <w:tcW w:w="0" w:type="auto"/>
            <w:vAlign w:val="center"/>
          </w:tcPr>
          <w:p w:rsidR="000A156F" w:rsidRDefault="00A9721F">
            <w:pPr>
              <w:pStyle w:val="TableBodyText"/>
            </w:pPr>
            <w:r>
              <w:t>05AE</w:t>
            </w:r>
          </w:p>
        </w:tc>
      </w:tr>
      <w:tr w:rsidR="000A156F" w:rsidTr="000A156F">
        <w:tc>
          <w:tcPr>
            <w:tcW w:w="0" w:type="auto"/>
            <w:vAlign w:val="center"/>
          </w:tcPr>
          <w:p w:rsidR="000A156F" w:rsidRDefault="00A9721F">
            <w:pPr>
              <w:pStyle w:val="TableBodyText"/>
            </w:pPr>
            <w:r>
              <w:t>HelpContactUs</w:t>
            </w:r>
          </w:p>
        </w:tc>
        <w:tc>
          <w:tcPr>
            <w:tcW w:w="0" w:type="auto"/>
            <w:vAlign w:val="center"/>
          </w:tcPr>
          <w:p w:rsidR="000A156F" w:rsidRDefault="00A9721F">
            <w:pPr>
              <w:pStyle w:val="TableBodyText"/>
            </w:pPr>
            <w:r>
              <w:t>05AD</w:t>
            </w:r>
          </w:p>
        </w:tc>
      </w:tr>
      <w:tr w:rsidR="000A156F" w:rsidTr="000A156F">
        <w:tc>
          <w:tcPr>
            <w:tcW w:w="0" w:type="auto"/>
            <w:vAlign w:val="center"/>
          </w:tcPr>
          <w:p w:rsidR="000A156F" w:rsidRDefault="00A9721F">
            <w:pPr>
              <w:pStyle w:val="TableBodyText"/>
            </w:pPr>
            <w:r>
              <w:t>HelpContents</w:t>
            </w:r>
          </w:p>
        </w:tc>
        <w:tc>
          <w:tcPr>
            <w:tcW w:w="0" w:type="auto"/>
            <w:vAlign w:val="center"/>
          </w:tcPr>
          <w:p w:rsidR="000A156F" w:rsidRDefault="00A9721F">
            <w:pPr>
              <w:pStyle w:val="TableBodyText"/>
            </w:pPr>
            <w:r>
              <w:t>02B0</w:t>
            </w:r>
          </w:p>
        </w:tc>
      </w:tr>
      <w:tr w:rsidR="000A156F" w:rsidTr="000A156F">
        <w:tc>
          <w:tcPr>
            <w:tcW w:w="0" w:type="auto"/>
            <w:vAlign w:val="center"/>
          </w:tcPr>
          <w:p w:rsidR="000A156F" w:rsidRDefault="00A9721F">
            <w:pPr>
              <w:pStyle w:val="TableBodyText"/>
            </w:pPr>
            <w:r>
              <w:t>HelpContentsArabic</w:t>
            </w:r>
          </w:p>
        </w:tc>
        <w:tc>
          <w:tcPr>
            <w:tcW w:w="0" w:type="auto"/>
            <w:vAlign w:val="center"/>
          </w:tcPr>
          <w:p w:rsidR="000A156F" w:rsidRDefault="00A9721F">
            <w:pPr>
              <w:pStyle w:val="TableBodyText"/>
            </w:pPr>
            <w:r>
              <w:t>0427</w:t>
            </w:r>
          </w:p>
        </w:tc>
      </w:tr>
      <w:tr w:rsidR="000A156F" w:rsidTr="000A156F">
        <w:tc>
          <w:tcPr>
            <w:tcW w:w="0" w:type="auto"/>
            <w:vAlign w:val="center"/>
          </w:tcPr>
          <w:p w:rsidR="000A156F" w:rsidRDefault="00A9721F">
            <w:pPr>
              <w:pStyle w:val="TableBodyText"/>
            </w:pPr>
            <w:r>
              <w:t>HelpExamplesAndDemos</w:t>
            </w:r>
          </w:p>
        </w:tc>
        <w:tc>
          <w:tcPr>
            <w:tcW w:w="0" w:type="auto"/>
            <w:vAlign w:val="center"/>
          </w:tcPr>
          <w:p w:rsidR="000A156F" w:rsidRDefault="00A9721F">
            <w:pPr>
              <w:pStyle w:val="TableBodyText"/>
            </w:pPr>
            <w:r>
              <w:t>0008</w:t>
            </w:r>
          </w:p>
        </w:tc>
      </w:tr>
      <w:tr w:rsidR="000A156F" w:rsidTr="000A156F">
        <w:tc>
          <w:tcPr>
            <w:tcW w:w="0" w:type="auto"/>
            <w:vAlign w:val="center"/>
          </w:tcPr>
          <w:p w:rsidR="000A156F" w:rsidRDefault="00A9721F">
            <w:pPr>
              <w:pStyle w:val="TableBodyText"/>
            </w:pPr>
            <w:r>
              <w:t>HelpIchitaroHelp</w:t>
            </w:r>
          </w:p>
        </w:tc>
        <w:tc>
          <w:tcPr>
            <w:tcW w:w="0" w:type="auto"/>
            <w:vAlign w:val="center"/>
          </w:tcPr>
          <w:p w:rsidR="000A156F" w:rsidRDefault="00A9721F">
            <w:pPr>
              <w:pStyle w:val="TableBodyText"/>
            </w:pPr>
            <w:r>
              <w:t>02D8</w:t>
            </w:r>
          </w:p>
        </w:tc>
      </w:tr>
      <w:tr w:rsidR="000A156F" w:rsidTr="000A156F">
        <w:tc>
          <w:tcPr>
            <w:tcW w:w="0" w:type="auto"/>
            <w:vAlign w:val="center"/>
          </w:tcPr>
          <w:p w:rsidR="000A156F" w:rsidRDefault="00A9721F">
            <w:pPr>
              <w:pStyle w:val="TableBodyText"/>
            </w:pPr>
            <w:r>
              <w:t>HelpIndex</w:t>
            </w:r>
          </w:p>
        </w:tc>
        <w:tc>
          <w:tcPr>
            <w:tcW w:w="0" w:type="auto"/>
            <w:vAlign w:val="center"/>
          </w:tcPr>
          <w:p w:rsidR="000A156F" w:rsidRDefault="00A9721F">
            <w:pPr>
              <w:pStyle w:val="TableBodyText"/>
            </w:pPr>
            <w:r>
              <w:t>0006</w:t>
            </w:r>
          </w:p>
        </w:tc>
      </w:tr>
      <w:tr w:rsidR="000A156F" w:rsidTr="000A156F">
        <w:tc>
          <w:tcPr>
            <w:tcW w:w="0" w:type="auto"/>
            <w:vAlign w:val="center"/>
          </w:tcPr>
          <w:p w:rsidR="000A156F" w:rsidRDefault="00A9721F">
            <w:pPr>
              <w:pStyle w:val="TableBodyText"/>
            </w:pPr>
            <w:r>
              <w:t>HelpKeyboard</w:t>
            </w:r>
          </w:p>
        </w:tc>
        <w:tc>
          <w:tcPr>
            <w:tcW w:w="0" w:type="auto"/>
            <w:vAlign w:val="center"/>
          </w:tcPr>
          <w:p w:rsidR="000A156F" w:rsidRDefault="00A9721F">
            <w:pPr>
              <w:pStyle w:val="TableBodyText"/>
            </w:pPr>
            <w:r>
              <w:t>0005</w:t>
            </w:r>
          </w:p>
        </w:tc>
      </w:tr>
      <w:tr w:rsidR="000A156F" w:rsidTr="000A156F">
        <w:tc>
          <w:tcPr>
            <w:tcW w:w="0" w:type="auto"/>
            <w:vAlign w:val="center"/>
          </w:tcPr>
          <w:p w:rsidR="000A156F" w:rsidRDefault="00A9721F">
            <w:pPr>
              <w:pStyle w:val="TableBodyText"/>
            </w:pPr>
            <w:r>
              <w:t>HelpMSN</w:t>
            </w:r>
          </w:p>
        </w:tc>
        <w:tc>
          <w:tcPr>
            <w:tcW w:w="0" w:type="auto"/>
            <w:vAlign w:val="center"/>
          </w:tcPr>
          <w:p w:rsidR="000A156F" w:rsidRDefault="00A9721F">
            <w:pPr>
              <w:pStyle w:val="TableBodyText"/>
            </w:pPr>
            <w:r>
              <w:t>031B</w:t>
            </w:r>
          </w:p>
        </w:tc>
      </w:tr>
      <w:tr w:rsidR="000A156F" w:rsidTr="000A156F">
        <w:tc>
          <w:tcPr>
            <w:tcW w:w="0" w:type="auto"/>
            <w:vAlign w:val="center"/>
          </w:tcPr>
          <w:p w:rsidR="000A156F" w:rsidRDefault="00A9721F">
            <w:pPr>
              <w:pStyle w:val="TableBodyText"/>
            </w:pPr>
            <w:r>
              <w:t>HelpPSSHelp</w:t>
            </w:r>
          </w:p>
        </w:tc>
        <w:tc>
          <w:tcPr>
            <w:tcW w:w="0" w:type="auto"/>
            <w:vAlign w:val="center"/>
          </w:tcPr>
          <w:p w:rsidR="000A156F" w:rsidRDefault="00A9721F">
            <w:pPr>
              <w:pStyle w:val="TableBodyText"/>
            </w:pPr>
            <w:r>
              <w:t>0168</w:t>
            </w:r>
          </w:p>
        </w:tc>
      </w:tr>
      <w:tr w:rsidR="000A156F" w:rsidTr="000A156F">
        <w:tc>
          <w:tcPr>
            <w:tcW w:w="0" w:type="auto"/>
            <w:vAlign w:val="center"/>
          </w:tcPr>
          <w:p w:rsidR="000A156F" w:rsidRDefault="00A9721F">
            <w:pPr>
              <w:pStyle w:val="TableBodyText"/>
            </w:pPr>
            <w:r>
              <w:t>HelpQuickPreview</w:t>
            </w:r>
          </w:p>
        </w:tc>
        <w:tc>
          <w:tcPr>
            <w:tcW w:w="0" w:type="auto"/>
            <w:vAlign w:val="center"/>
          </w:tcPr>
          <w:p w:rsidR="000A156F" w:rsidRDefault="00A9721F">
            <w:pPr>
              <w:pStyle w:val="TableBodyText"/>
            </w:pPr>
            <w:r>
              <w:t>0007</w:t>
            </w:r>
          </w:p>
        </w:tc>
      </w:tr>
      <w:tr w:rsidR="000A156F" w:rsidTr="000A156F">
        <w:tc>
          <w:tcPr>
            <w:tcW w:w="0" w:type="auto"/>
            <w:vAlign w:val="center"/>
          </w:tcPr>
          <w:p w:rsidR="000A156F" w:rsidRDefault="00A9721F">
            <w:pPr>
              <w:pStyle w:val="TableBodyText"/>
            </w:pPr>
            <w:r>
              <w:t>HelpSearch</w:t>
            </w:r>
          </w:p>
        </w:tc>
        <w:tc>
          <w:tcPr>
            <w:tcW w:w="0" w:type="auto"/>
            <w:vAlign w:val="center"/>
          </w:tcPr>
          <w:p w:rsidR="000A156F" w:rsidRDefault="00A9721F">
            <w:pPr>
              <w:pStyle w:val="TableBodyText"/>
            </w:pPr>
            <w:r>
              <w:t>01FE</w:t>
            </w:r>
          </w:p>
        </w:tc>
      </w:tr>
      <w:tr w:rsidR="000A156F" w:rsidTr="000A156F">
        <w:tc>
          <w:tcPr>
            <w:tcW w:w="0" w:type="auto"/>
            <w:vAlign w:val="center"/>
          </w:tcPr>
          <w:p w:rsidR="000A156F" w:rsidRDefault="00A9721F">
            <w:pPr>
              <w:pStyle w:val="TableBodyText"/>
            </w:pPr>
            <w:r>
              <w:t>HelpShowHide</w:t>
            </w:r>
          </w:p>
        </w:tc>
        <w:tc>
          <w:tcPr>
            <w:tcW w:w="0" w:type="auto"/>
            <w:vAlign w:val="center"/>
          </w:tcPr>
          <w:p w:rsidR="000A156F" w:rsidRDefault="00A9721F">
            <w:pPr>
              <w:pStyle w:val="TableBodyText"/>
            </w:pPr>
            <w:r>
              <w:t>035A</w:t>
            </w:r>
          </w:p>
        </w:tc>
      </w:tr>
      <w:tr w:rsidR="000A156F" w:rsidTr="000A156F">
        <w:tc>
          <w:tcPr>
            <w:tcW w:w="0" w:type="auto"/>
            <w:vAlign w:val="center"/>
          </w:tcPr>
          <w:p w:rsidR="000A156F" w:rsidRDefault="00A9721F">
            <w:pPr>
              <w:pStyle w:val="TableBodyText"/>
            </w:pPr>
            <w:r>
              <w:t>HelpTipOfTheDay</w:t>
            </w:r>
          </w:p>
        </w:tc>
        <w:tc>
          <w:tcPr>
            <w:tcW w:w="0" w:type="auto"/>
            <w:vAlign w:val="center"/>
          </w:tcPr>
          <w:p w:rsidR="000A156F" w:rsidRDefault="00A9721F">
            <w:pPr>
              <w:pStyle w:val="TableBodyText"/>
            </w:pPr>
            <w:r>
              <w:t>027B</w:t>
            </w:r>
          </w:p>
        </w:tc>
      </w:tr>
      <w:tr w:rsidR="000A156F" w:rsidTr="000A156F">
        <w:tc>
          <w:tcPr>
            <w:tcW w:w="0" w:type="auto"/>
            <w:vAlign w:val="center"/>
          </w:tcPr>
          <w:p w:rsidR="000A156F" w:rsidRDefault="00A9721F">
            <w:pPr>
              <w:pStyle w:val="TableBodyText"/>
            </w:pPr>
            <w:r>
              <w:t>HelpTool</w:t>
            </w:r>
          </w:p>
        </w:tc>
        <w:tc>
          <w:tcPr>
            <w:tcW w:w="0" w:type="auto"/>
            <w:vAlign w:val="center"/>
          </w:tcPr>
          <w:p w:rsidR="000A156F" w:rsidRDefault="00A9721F">
            <w:pPr>
              <w:pStyle w:val="TableBodyText"/>
            </w:pPr>
            <w:r>
              <w:t>0002</w:t>
            </w:r>
          </w:p>
        </w:tc>
      </w:tr>
      <w:tr w:rsidR="000A156F" w:rsidTr="000A156F">
        <w:tc>
          <w:tcPr>
            <w:tcW w:w="0" w:type="auto"/>
            <w:vAlign w:val="center"/>
          </w:tcPr>
          <w:p w:rsidR="000A156F" w:rsidRDefault="00A9721F">
            <w:pPr>
              <w:pStyle w:val="TableBodyText"/>
            </w:pPr>
            <w:r>
              <w:t>HelpUsingHelp</w:t>
            </w:r>
          </w:p>
        </w:tc>
        <w:tc>
          <w:tcPr>
            <w:tcW w:w="0" w:type="auto"/>
            <w:vAlign w:val="center"/>
          </w:tcPr>
          <w:p w:rsidR="000A156F" w:rsidRDefault="00A9721F">
            <w:pPr>
              <w:pStyle w:val="TableBodyText"/>
            </w:pPr>
            <w:r>
              <w:t>0003</w:t>
            </w:r>
          </w:p>
        </w:tc>
      </w:tr>
      <w:tr w:rsidR="000A156F" w:rsidTr="000A156F">
        <w:tc>
          <w:tcPr>
            <w:tcW w:w="0" w:type="auto"/>
            <w:vAlign w:val="center"/>
          </w:tcPr>
          <w:p w:rsidR="000A156F" w:rsidRDefault="00A9721F">
            <w:pPr>
              <w:pStyle w:val="TableBodyText"/>
            </w:pPr>
            <w:r>
              <w:t>HelpWordPerfectHelp</w:t>
            </w:r>
          </w:p>
        </w:tc>
        <w:tc>
          <w:tcPr>
            <w:tcW w:w="0" w:type="auto"/>
            <w:vAlign w:val="center"/>
          </w:tcPr>
          <w:p w:rsidR="000A156F" w:rsidRDefault="00A9721F">
            <w:pPr>
              <w:pStyle w:val="TableBodyText"/>
            </w:pPr>
            <w:r>
              <w:t>000A</w:t>
            </w:r>
          </w:p>
        </w:tc>
      </w:tr>
      <w:tr w:rsidR="000A156F" w:rsidTr="000A156F">
        <w:tc>
          <w:tcPr>
            <w:tcW w:w="0" w:type="auto"/>
            <w:vAlign w:val="center"/>
          </w:tcPr>
          <w:p w:rsidR="000A156F" w:rsidRDefault="00A9721F">
            <w:pPr>
              <w:pStyle w:val="TableBodyText"/>
            </w:pPr>
            <w:r>
              <w:t>HelpWordPerfectHelpOptions</w:t>
            </w:r>
          </w:p>
        </w:tc>
        <w:tc>
          <w:tcPr>
            <w:tcW w:w="0" w:type="auto"/>
            <w:vAlign w:val="center"/>
          </w:tcPr>
          <w:p w:rsidR="000A156F" w:rsidRDefault="00A9721F">
            <w:pPr>
              <w:pStyle w:val="TableBodyText"/>
            </w:pPr>
            <w:r>
              <w:t>01FF</w:t>
            </w:r>
          </w:p>
        </w:tc>
      </w:tr>
      <w:tr w:rsidR="000A156F" w:rsidTr="000A156F">
        <w:tc>
          <w:tcPr>
            <w:tcW w:w="0" w:type="auto"/>
            <w:vAlign w:val="center"/>
          </w:tcPr>
          <w:p w:rsidR="000A156F" w:rsidRDefault="00A9721F">
            <w:pPr>
              <w:pStyle w:val="TableBodyText"/>
            </w:pPr>
            <w:r>
              <w:t>Hidden</w:t>
            </w:r>
          </w:p>
        </w:tc>
        <w:tc>
          <w:tcPr>
            <w:tcW w:w="0" w:type="auto"/>
            <w:vAlign w:val="center"/>
          </w:tcPr>
          <w:p w:rsidR="000A156F" w:rsidRDefault="00A9721F">
            <w:pPr>
              <w:pStyle w:val="TableBodyText"/>
            </w:pPr>
            <w:r>
              <w:t>0032</w:t>
            </w:r>
          </w:p>
        </w:tc>
      </w:tr>
      <w:tr w:rsidR="000A156F" w:rsidTr="000A156F">
        <w:tc>
          <w:tcPr>
            <w:tcW w:w="0" w:type="auto"/>
            <w:vAlign w:val="center"/>
          </w:tcPr>
          <w:p w:rsidR="000A156F" w:rsidRDefault="00A9721F">
            <w:pPr>
              <w:pStyle w:val="TableBodyText"/>
            </w:pPr>
            <w:r>
              <w:t>HideOutline</w:t>
            </w:r>
          </w:p>
        </w:tc>
        <w:tc>
          <w:tcPr>
            <w:tcW w:w="0" w:type="auto"/>
            <w:vAlign w:val="center"/>
          </w:tcPr>
          <w:p w:rsidR="000A156F" w:rsidRDefault="00A9721F">
            <w:pPr>
              <w:pStyle w:val="TableBodyText"/>
            </w:pPr>
            <w:r>
              <w:t>0850</w:t>
            </w:r>
          </w:p>
        </w:tc>
      </w:tr>
      <w:tr w:rsidR="000A156F" w:rsidTr="000A156F">
        <w:tc>
          <w:tcPr>
            <w:tcW w:w="0" w:type="auto"/>
            <w:vAlign w:val="center"/>
          </w:tcPr>
          <w:p w:rsidR="000A156F" w:rsidRDefault="00A9721F">
            <w:pPr>
              <w:pStyle w:val="TableBodyText"/>
            </w:pPr>
            <w:r>
              <w:t>Highlight</w:t>
            </w:r>
          </w:p>
        </w:tc>
        <w:tc>
          <w:tcPr>
            <w:tcW w:w="0" w:type="auto"/>
            <w:vAlign w:val="center"/>
          </w:tcPr>
          <w:p w:rsidR="000A156F" w:rsidRDefault="00A9721F">
            <w:pPr>
              <w:pStyle w:val="TableBodyText"/>
            </w:pPr>
            <w:r>
              <w:t>02E6</w:t>
            </w:r>
          </w:p>
        </w:tc>
      </w:tr>
      <w:tr w:rsidR="000A156F" w:rsidTr="000A156F">
        <w:tc>
          <w:tcPr>
            <w:tcW w:w="0" w:type="auto"/>
            <w:vAlign w:val="center"/>
          </w:tcPr>
          <w:p w:rsidR="000A156F" w:rsidRDefault="00A9721F">
            <w:pPr>
              <w:pStyle w:val="TableBodyText"/>
            </w:pPr>
            <w:r>
              <w:t>HighlightColorPicker</w:t>
            </w:r>
          </w:p>
        </w:tc>
        <w:tc>
          <w:tcPr>
            <w:tcW w:w="0" w:type="auto"/>
            <w:vAlign w:val="center"/>
          </w:tcPr>
          <w:p w:rsidR="000A156F" w:rsidRDefault="00A9721F">
            <w:pPr>
              <w:pStyle w:val="TableBodyText"/>
            </w:pPr>
            <w:r>
              <w:t>08B8</w:t>
            </w:r>
          </w:p>
        </w:tc>
      </w:tr>
      <w:tr w:rsidR="000A156F" w:rsidTr="000A156F">
        <w:tc>
          <w:tcPr>
            <w:tcW w:w="0" w:type="auto"/>
            <w:vAlign w:val="center"/>
          </w:tcPr>
          <w:p w:rsidR="000A156F" w:rsidRDefault="00A9721F">
            <w:pPr>
              <w:pStyle w:val="TableBodyText"/>
            </w:pPr>
            <w:r>
              <w:t>HtmlResAnchor</w:t>
            </w:r>
          </w:p>
        </w:tc>
        <w:tc>
          <w:tcPr>
            <w:tcW w:w="0" w:type="auto"/>
            <w:vAlign w:val="center"/>
          </w:tcPr>
          <w:p w:rsidR="000A156F" w:rsidRDefault="00A9721F">
            <w:pPr>
              <w:pStyle w:val="TableBodyText"/>
            </w:pPr>
            <w:r>
              <w:t>03C7</w:t>
            </w:r>
          </w:p>
        </w:tc>
      </w:tr>
      <w:tr w:rsidR="000A156F" w:rsidTr="000A156F">
        <w:tc>
          <w:tcPr>
            <w:tcW w:w="0" w:type="auto"/>
            <w:vAlign w:val="center"/>
          </w:tcPr>
          <w:p w:rsidR="000A156F" w:rsidRDefault="00A9721F">
            <w:pPr>
              <w:pStyle w:val="TableBodyText"/>
            </w:pPr>
            <w:r>
              <w:t>HyperlinkOpen</w:t>
            </w:r>
          </w:p>
        </w:tc>
        <w:tc>
          <w:tcPr>
            <w:tcW w:w="0" w:type="auto"/>
            <w:vAlign w:val="center"/>
          </w:tcPr>
          <w:p w:rsidR="000A156F" w:rsidRDefault="00A9721F">
            <w:pPr>
              <w:pStyle w:val="TableBodyText"/>
            </w:pPr>
            <w:r>
              <w:t>0398</w:t>
            </w:r>
          </w:p>
        </w:tc>
      </w:tr>
      <w:tr w:rsidR="000A156F" w:rsidTr="000A156F">
        <w:tc>
          <w:tcPr>
            <w:tcW w:w="0" w:type="auto"/>
            <w:vAlign w:val="center"/>
          </w:tcPr>
          <w:p w:rsidR="000A156F" w:rsidRDefault="00A9721F">
            <w:pPr>
              <w:pStyle w:val="TableBodyText"/>
            </w:pPr>
            <w:r>
              <w:t>IMEControl</w:t>
            </w:r>
          </w:p>
        </w:tc>
        <w:tc>
          <w:tcPr>
            <w:tcW w:w="0" w:type="auto"/>
            <w:vAlign w:val="center"/>
          </w:tcPr>
          <w:p w:rsidR="000A156F" w:rsidRDefault="00A9721F">
            <w:pPr>
              <w:pStyle w:val="TableBodyText"/>
            </w:pPr>
            <w:r>
              <w:t>0286</w:t>
            </w:r>
          </w:p>
        </w:tc>
      </w:tr>
      <w:tr w:rsidR="000A156F" w:rsidTr="000A156F">
        <w:tc>
          <w:tcPr>
            <w:tcW w:w="0" w:type="auto"/>
            <w:vAlign w:val="center"/>
          </w:tcPr>
          <w:p w:rsidR="000A156F" w:rsidRDefault="00A9721F">
            <w:pPr>
              <w:pStyle w:val="TableBodyText"/>
            </w:pPr>
            <w:r>
              <w:t>IgnoreAllConsistenceError</w:t>
            </w:r>
          </w:p>
        </w:tc>
        <w:tc>
          <w:tcPr>
            <w:tcW w:w="0" w:type="auto"/>
            <w:vAlign w:val="center"/>
          </w:tcPr>
          <w:p w:rsidR="000A156F" w:rsidRDefault="00A9721F">
            <w:pPr>
              <w:pStyle w:val="TableBodyText"/>
            </w:pPr>
            <w:r>
              <w:t>04FA</w:t>
            </w:r>
          </w:p>
        </w:tc>
      </w:tr>
      <w:tr w:rsidR="000A156F" w:rsidTr="000A156F">
        <w:tc>
          <w:tcPr>
            <w:tcW w:w="0" w:type="auto"/>
            <w:vAlign w:val="center"/>
          </w:tcPr>
          <w:p w:rsidR="000A156F" w:rsidRDefault="00A9721F">
            <w:pPr>
              <w:pStyle w:val="TableBodyText"/>
            </w:pPr>
            <w:r>
              <w:t>IgnoreConsistenceError</w:t>
            </w:r>
          </w:p>
        </w:tc>
        <w:tc>
          <w:tcPr>
            <w:tcW w:w="0" w:type="auto"/>
            <w:vAlign w:val="center"/>
          </w:tcPr>
          <w:p w:rsidR="000A156F" w:rsidRDefault="00A9721F">
            <w:pPr>
              <w:pStyle w:val="TableBodyText"/>
            </w:pPr>
            <w:r>
              <w:t>04F9</w:t>
            </w:r>
          </w:p>
        </w:tc>
      </w:tr>
      <w:tr w:rsidR="000A156F" w:rsidTr="000A156F">
        <w:tc>
          <w:tcPr>
            <w:tcW w:w="0" w:type="auto"/>
            <w:vAlign w:val="center"/>
          </w:tcPr>
          <w:p w:rsidR="000A156F" w:rsidRDefault="00A9721F">
            <w:pPr>
              <w:pStyle w:val="TableBodyText"/>
            </w:pPr>
            <w:r>
              <w:t>IncreaseIndent</w:t>
            </w:r>
          </w:p>
        </w:tc>
        <w:tc>
          <w:tcPr>
            <w:tcW w:w="0" w:type="auto"/>
            <w:vAlign w:val="center"/>
          </w:tcPr>
          <w:p w:rsidR="000A156F" w:rsidRDefault="00A9721F">
            <w:pPr>
              <w:pStyle w:val="TableBodyText"/>
            </w:pPr>
            <w:r>
              <w:t>03F2</w:t>
            </w:r>
          </w:p>
        </w:tc>
      </w:tr>
      <w:tr w:rsidR="000A156F" w:rsidTr="000A156F">
        <w:tc>
          <w:tcPr>
            <w:tcW w:w="0" w:type="auto"/>
            <w:vAlign w:val="center"/>
          </w:tcPr>
          <w:p w:rsidR="000A156F" w:rsidRDefault="00A9721F">
            <w:pPr>
              <w:pStyle w:val="TableBodyText"/>
            </w:pPr>
            <w:r>
              <w:t>IncreaseParagraphSpacing</w:t>
            </w:r>
          </w:p>
        </w:tc>
        <w:tc>
          <w:tcPr>
            <w:tcW w:w="0" w:type="auto"/>
            <w:vAlign w:val="center"/>
          </w:tcPr>
          <w:p w:rsidR="000A156F" w:rsidRDefault="00A9721F">
            <w:pPr>
              <w:pStyle w:val="TableBodyText"/>
            </w:pPr>
            <w:r>
              <w:t>053E</w:t>
            </w:r>
          </w:p>
        </w:tc>
      </w:tr>
      <w:tr w:rsidR="000A156F" w:rsidTr="000A156F">
        <w:tc>
          <w:tcPr>
            <w:tcW w:w="0" w:type="auto"/>
            <w:vAlign w:val="center"/>
          </w:tcPr>
          <w:p w:rsidR="000A156F" w:rsidRDefault="00A9721F">
            <w:pPr>
              <w:pStyle w:val="TableBodyText"/>
            </w:pPr>
            <w:r>
              <w:t>Indent</w:t>
            </w:r>
          </w:p>
        </w:tc>
        <w:tc>
          <w:tcPr>
            <w:tcW w:w="0" w:type="auto"/>
            <w:vAlign w:val="center"/>
          </w:tcPr>
          <w:p w:rsidR="000A156F" w:rsidRDefault="00A9721F">
            <w:pPr>
              <w:pStyle w:val="TableBodyText"/>
            </w:pPr>
            <w:r>
              <w:t>0026</w:t>
            </w:r>
          </w:p>
        </w:tc>
      </w:tr>
      <w:tr w:rsidR="000A156F" w:rsidTr="000A156F">
        <w:tc>
          <w:tcPr>
            <w:tcW w:w="0" w:type="auto"/>
            <w:vAlign w:val="center"/>
          </w:tcPr>
          <w:p w:rsidR="000A156F" w:rsidRDefault="00A9721F">
            <w:pPr>
              <w:pStyle w:val="TableBodyText"/>
            </w:pPr>
            <w:r>
              <w:t>IndentChar</w:t>
            </w:r>
          </w:p>
        </w:tc>
        <w:tc>
          <w:tcPr>
            <w:tcW w:w="0" w:type="auto"/>
            <w:vAlign w:val="center"/>
          </w:tcPr>
          <w:p w:rsidR="000A156F" w:rsidRDefault="00A9721F">
            <w:pPr>
              <w:pStyle w:val="TableBodyText"/>
            </w:pPr>
            <w:r>
              <w:t>02CF</w:t>
            </w:r>
          </w:p>
        </w:tc>
      </w:tr>
      <w:tr w:rsidR="000A156F" w:rsidTr="000A156F">
        <w:tc>
          <w:tcPr>
            <w:tcW w:w="0" w:type="auto"/>
            <w:vAlign w:val="center"/>
          </w:tcPr>
          <w:p w:rsidR="000A156F" w:rsidRDefault="00A9721F">
            <w:pPr>
              <w:pStyle w:val="TableBodyText"/>
            </w:pPr>
            <w:r>
              <w:lastRenderedPageBreak/>
              <w:t>IndentFirstChar</w:t>
            </w:r>
          </w:p>
        </w:tc>
        <w:tc>
          <w:tcPr>
            <w:tcW w:w="0" w:type="auto"/>
            <w:vAlign w:val="center"/>
          </w:tcPr>
          <w:p w:rsidR="000A156F" w:rsidRDefault="00A9721F">
            <w:pPr>
              <w:pStyle w:val="TableBodyText"/>
            </w:pPr>
            <w:r>
              <w:t>02D1</w:t>
            </w:r>
          </w:p>
        </w:tc>
      </w:tr>
      <w:tr w:rsidR="000A156F" w:rsidTr="000A156F">
        <w:tc>
          <w:tcPr>
            <w:tcW w:w="0" w:type="auto"/>
            <w:vAlign w:val="center"/>
          </w:tcPr>
          <w:p w:rsidR="000A156F" w:rsidRDefault="00A9721F">
            <w:pPr>
              <w:pStyle w:val="TableBodyText"/>
            </w:pPr>
            <w:r>
              <w:t>IndentFirstLine</w:t>
            </w:r>
          </w:p>
        </w:tc>
        <w:tc>
          <w:tcPr>
            <w:tcW w:w="0" w:type="auto"/>
            <w:vAlign w:val="center"/>
          </w:tcPr>
          <w:p w:rsidR="000A156F" w:rsidRDefault="00A9721F">
            <w:pPr>
              <w:pStyle w:val="TableBodyText"/>
            </w:pPr>
            <w:r>
              <w:t>02F2</w:t>
            </w:r>
          </w:p>
        </w:tc>
      </w:tr>
      <w:tr w:rsidR="000A156F" w:rsidTr="000A156F">
        <w:tc>
          <w:tcPr>
            <w:tcW w:w="0" w:type="auto"/>
            <w:vAlign w:val="center"/>
          </w:tcPr>
          <w:p w:rsidR="000A156F" w:rsidRDefault="00A9721F">
            <w:pPr>
              <w:pStyle w:val="TableBodyText"/>
            </w:pPr>
            <w:r>
              <w:t>IndentLabel</w:t>
            </w:r>
          </w:p>
        </w:tc>
        <w:tc>
          <w:tcPr>
            <w:tcW w:w="0" w:type="auto"/>
            <w:vAlign w:val="center"/>
          </w:tcPr>
          <w:p w:rsidR="000A156F" w:rsidRDefault="00A9721F">
            <w:pPr>
              <w:pStyle w:val="TableBodyText"/>
            </w:pPr>
            <w:r>
              <w:t>08B4</w:t>
            </w:r>
          </w:p>
        </w:tc>
      </w:tr>
      <w:tr w:rsidR="000A156F" w:rsidTr="000A156F">
        <w:tc>
          <w:tcPr>
            <w:tcW w:w="0" w:type="auto"/>
            <w:vAlign w:val="center"/>
          </w:tcPr>
          <w:p w:rsidR="000A156F" w:rsidRDefault="00A9721F">
            <w:pPr>
              <w:pStyle w:val="TableBodyText"/>
            </w:pPr>
            <w:r>
              <w:t>IndentLeftSpinner</w:t>
            </w:r>
          </w:p>
        </w:tc>
        <w:tc>
          <w:tcPr>
            <w:tcW w:w="0" w:type="auto"/>
            <w:vAlign w:val="center"/>
          </w:tcPr>
          <w:p w:rsidR="000A156F" w:rsidRDefault="00A9721F">
            <w:pPr>
              <w:pStyle w:val="TableBodyText"/>
            </w:pPr>
            <w:r>
              <w:t>08AD</w:t>
            </w:r>
          </w:p>
        </w:tc>
      </w:tr>
      <w:tr w:rsidR="000A156F" w:rsidTr="000A156F">
        <w:tc>
          <w:tcPr>
            <w:tcW w:w="0" w:type="auto"/>
            <w:vAlign w:val="center"/>
          </w:tcPr>
          <w:p w:rsidR="000A156F" w:rsidRDefault="00A9721F">
            <w:pPr>
              <w:pStyle w:val="TableBodyText"/>
            </w:pPr>
            <w:r>
              <w:t>IndentLine</w:t>
            </w:r>
          </w:p>
        </w:tc>
        <w:tc>
          <w:tcPr>
            <w:tcW w:w="0" w:type="auto"/>
            <w:vAlign w:val="center"/>
          </w:tcPr>
          <w:p w:rsidR="000A156F" w:rsidRDefault="00A9721F">
            <w:pPr>
              <w:pStyle w:val="TableBodyText"/>
            </w:pPr>
            <w:r>
              <w:t>02F4</w:t>
            </w:r>
          </w:p>
        </w:tc>
      </w:tr>
      <w:tr w:rsidR="000A156F" w:rsidTr="000A156F">
        <w:tc>
          <w:tcPr>
            <w:tcW w:w="0" w:type="auto"/>
            <w:vAlign w:val="center"/>
          </w:tcPr>
          <w:p w:rsidR="000A156F" w:rsidRDefault="00A9721F">
            <w:pPr>
              <w:pStyle w:val="TableBodyText"/>
            </w:pPr>
            <w:r>
              <w:t>IndentRightSpinner</w:t>
            </w:r>
          </w:p>
        </w:tc>
        <w:tc>
          <w:tcPr>
            <w:tcW w:w="0" w:type="auto"/>
            <w:vAlign w:val="center"/>
          </w:tcPr>
          <w:p w:rsidR="000A156F" w:rsidRDefault="00A9721F">
            <w:pPr>
              <w:pStyle w:val="TableBodyText"/>
            </w:pPr>
            <w:r>
              <w:t>08AE</w:t>
            </w:r>
          </w:p>
        </w:tc>
      </w:tr>
      <w:tr w:rsidR="000A156F" w:rsidTr="000A156F">
        <w:tc>
          <w:tcPr>
            <w:tcW w:w="0" w:type="auto"/>
            <w:vAlign w:val="center"/>
          </w:tcPr>
          <w:p w:rsidR="000A156F" w:rsidRDefault="00A9721F">
            <w:pPr>
              <w:pStyle w:val="TableBodyText"/>
            </w:pPr>
            <w:r>
              <w:t>InkAnnotationEraser</w:t>
            </w:r>
          </w:p>
        </w:tc>
        <w:tc>
          <w:tcPr>
            <w:tcW w:w="0" w:type="auto"/>
            <w:vAlign w:val="center"/>
          </w:tcPr>
          <w:p w:rsidR="000A156F" w:rsidRDefault="00A9721F">
            <w:pPr>
              <w:pStyle w:val="TableBodyText"/>
            </w:pPr>
            <w:r>
              <w:t>05C9</w:t>
            </w:r>
          </w:p>
        </w:tc>
      </w:tr>
      <w:tr w:rsidR="000A156F" w:rsidTr="000A156F">
        <w:tc>
          <w:tcPr>
            <w:tcW w:w="0" w:type="auto"/>
            <w:vAlign w:val="center"/>
          </w:tcPr>
          <w:p w:rsidR="000A156F" w:rsidRDefault="00A9721F">
            <w:pPr>
              <w:pStyle w:val="TableBodyText"/>
            </w:pPr>
            <w:r>
              <w:t>InkColorPicker</w:t>
            </w:r>
          </w:p>
        </w:tc>
        <w:tc>
          <w:tcPr>
            <w:tcW w:w="0" w:type="auto"/>
            <w:vAlign w:val="center"/>
          </w:tcPr>
          <w:p w:rsidR="000A156F" w:rsidRDefault="00A9721F">
            <w:pPr>
              <w:pStyle w:val="TableBodyText"/>
            </w:pPr>
            <w:r>
              <w:t>0957</w:t>
            </w:r>
          </w:p>
        </w:tc>
      </w:tr>
      <w:tr w:rsidR="000A156F" w:rsidTr="000A156F">
        <w:tc>
          <w:tcPr>
            <w:tcW w:w="0" w:type="auto"/>
            <w:vAlign w:val="center"/>
          </w:tcPr>
          <w:p w:rsidR="000A156F" w:rsidRDefault="00A9721F">
            <w:pPr>
              <w:pStyle w:val="TableBodyText"/>
            </w:pPr>
            <w:r>
              <w:t>InkEraser</w:t>
            </w:r>
          </w:p>
        </w:tc>
        <w:tc>
          <w:tcPr>
            <w:tcW w:w="0" w:type="auto"/>
            <w:vAlign w:val="center"/>
          </w:tcPr>
          <w:p w:rsidR="000A156F" w:rsidRDefault="00A9721F">
            <w:pPr>
              <w:pStyle w:val="TableBodyText"/>
            </w:pPr>
            <w:r>
              <w:t>05C6</w:t>
            </w:r>
          </w:p>
        </w:tc>
      </w:tr>
      <w:tr w:rsidR="000A156F" w:rsidTr="000A156F">
        <w:tc>
          <w:tcPr>
            <w:tcW w:w="0" w:type="auto"/>
            <w:vAlign w:val="center"/>
          </w:tcPr>
          <w:p w:rsidR="000A156F" w:rsidRDefault="00A9721F">
            <w:pPr>
              <w:pStyle w:val="TableBodyText"/>
            </w:pPr>
            <w:r>
              <w:t>InkingGroup</w:t>
            </w:r>
          </w:p>
        </w:tc>
        <w:tc>
          <w:tcPr>
            <w:tcW w:w="0" w:type="auto"/>
            <w:vAlign w:val="center"/>
          </w:tcPr>
          <w:p w:rsidR="000A156F" w:rsidRDefault="00A9721F">
            <w:pPr>
              <w:pStyle w:val="TableBodyText"/>
            </w:pPr>
            <w:r>
              <w:t>08C4</w:t>
            </w:r>
          </w:p>
        </w:tc>
      </w:tr>
      <w:tr w:rsidR="000A156F" w:rsidTr="000A156F">
        <w:tc>
          <w:tcPr>
            <w:tcW w:w="0" w:type="auto"/>
            <w:vAlign w:val="center"/>
          </w:tcPr>
          <w:p w:rsidR="000A156F" w:rsidRDefault="00A9721F">
            <w:pPr>
              <w:pStyle w:val="TableBodyText"/>
            </w:pPr>
            <w:r>
              <w:t>InsertAddCaption</w:t>
            </w:r>
          </w:p>
        </w:tc>
        <w:tc>
          <w:tcPr>
            <w:tcW w:w="0" w:type="auto"/>
            <w:vAlign w:val="center"/>
          </w:tcPr>
          <w:p w:rsidR="000A156F" w:rsidRDefault="00A9721F">
            <w:pPr>
              <w:pStyle w:val="TableBodyText"/>
            </w:pPr>
            <w:r>
              <w:t>0192</w:t>
            </w:r>
          </w:p>
        </w:tc>
      </w:tr>
      <w:tr w:rsidR="000A156F" w:rsidTr="000A156F">
        <w:tc>
          <w:tcPr>
            <w:tcW w:w="0" w:type="auto"/>
            <w:vAlign w:val="center"/>
          </w:tcPr>
          <w:p w:rsidR="000A156F" w:rsidRDefault="00A9721F">
            <w:pPr>
              <w:pStyle w:val="TableBodyText"/>
            </w:pPr>
            <w:r>
              <w:t>InsertAddress</w:t>
            </w:r>
          </w:p>
        </w:tc>
        <w:tc>
          <w:tcPr>
            <w:tcW w:w="0" w:type="auto"/>
            <w:vAlign w:val="center"/>
          </w:tcPr>
          <w:p w:rsidR="000A156F" w:rsidRDefault="00A9721F">
            <w:pPr>
              <w:pStyle w:val="TableBodyText"/>
            </w:pPr>
            <w:r>
              <w:t>02F6</w:t>
            </w:r>
          </w:p>
        </w:tc>
      </w:tr>
      <w:tr w:rsidR="000A156F" w:rsidTr="000A156F">
        <w:tc>
          <w:tcPr>
            <w:tcW w:w="0" w:type="auto"/>
            <w:vAlign w:val="center"/>
          </w:tcPr>
          <w:p w:rsidR="000A156F" w:rsidRDefault="00A9721F">
            <w:pPr>
              <w:pStyle w:val="TableBodyText"/>
            </w:pPr>
            <w:r>
              <w:t>InsertAlignmentTab</w:t>
            </w:r>
          </w:p>
        </w:tc>
        <w:tc>
          <w:tcPr>
            <w:tcW w:w="0" w:type="auto"/>
            <w:vAlign w:val="center"/>
          </w:tcPr>
          <w:p w:rsidR="000A156F" w:rsidRDefault="00A9721F">
            <w:pPr>
              <w:pStyle w:val="TableBodyText"/>
            </w:pPr>
            <w:r>
              <w:t>05DB</w:t>
            </w:r>
          </w:p>
        </w:tc>
      </w:tr>
      <w:tr w:rsidR="000A156F" w:rsidTr="000A156F">
        <w:tc>
          <w:tcPr>
            <w:tcW w:w="0" w:type="auto"/>
            <w:vAlign w:val="center"/>
          </w:tcPr>
          <w:p w:rsidR="000A156F" w:rsidRDefault="00A9721F">
            <w:pPr>
              <w:pStyle w:val="TableBodyText"/>
            </w:pPr>
            <w:r>
              <w:t>InsertAnnotation</w:t>
            </w:r>
          </w:p>
        </w:tc>
        <w:tc>
          <w:tcPr>
            <w:tcW w:w="0" w:type="auto"/>
            <w:vAlign w:val="center"/>
          </w:tcPr>
          <w:p w:rsidR="000A156F" w:rsidRDefault="00A9721F">
            <w:pPr>
              <w:pStyle w:val="TableBodyText"/>
            </w:pPr>
            <w:r>
              <w:t>00A1</w:t>
            </w:r>
          </w:p>
        </w:tc>
      </w:tr>
      <w:tr w:rsidR="000A156F" w:rsidTr="000A156F">
        <w:tc>
          <w:tcPr>
            <w:tcW w:w="0" w:type="auto"/>
            <w:vAlign w:val="center"/>
          </w:tcPr>
          <w:p w:rsidR="000A156F" w:rsidRDefault="00A9721F">
            <w:pPr>
              <w:pStyle w:val="TableBodyText"/>
            </w:pPr>
            <w:r>
              <w:t>InsertAutoCaption</w:t>
            </w:r>
          </w:p>
        </w:tc>
        <w:tc>
          <w:tcPr>
            <w:tcW w:w="0" w:type="auto"/>
            <w:vAlign w:val="center"/>
          </w:tcPr>
          <w:p w:rsidR="000A156F" w:rsidRDefault="00A9721F">
            <w:pPr>
              <w:pStyle w:val="TableBodyText"/>
            </w:pPr>
            <w:r>
              <w:t>0167</w:t>
            </w:r>
          </w:p>
        </w:tc>
      </w:tr>
      <w:tr w:rsidR="000A156F" w:rsidTr="000A156F">
        <w:tc>
          <w:tcPr>
            <w:tcW w:w="0" w:type="auto"/>
            <w:vAlign w:val="center"/>
          </w:tcPr>
          <w:p w:rsidR="000A156F" w:rsidRDefault="00A9721F">
            <w:pPr>
              <w:pStyle w:val="TableBodyText"/>
            </w:pPr>
            <w:r>
              <w:t>InsertAutoText</w:t>
            </w:r>
          </w:p>
        </w:tc>
        <w:tc>
          <w:tcPr>
            <w:tcW w:w="0" w:type="auto"/>
            <w:vAlign w:val="center"/>
          </w:tcPr>
          <w:p w:rsidR="000A156F" w:rsidRDefault="00A9721F">
            <w:pPr>
              <w:pStyle w:val="TableBodyText"/>
            </w:pPr>
            <w:r>
              <w:t>0014</w:t>
            </w:r>
          </w:p>
        </w:tc>
      </w:tr>
      <w:tr w:rsidR="000A156F" w:rsidTr="000A156F">
        <w:tc>
          <w:tcPr>
            <w:tcW w:w="0" w:type="auto"/>
            <w:vAlign w:val="center"/>
          </w:tcPr>
          <w:p w:rsidR="000A156F" w:rsidRDefault="00A9721F">
            <w:pPr>
              <w:pStyle w:val="TableBodyText"/>
            </w:pPr>
            <w:r>
              <w:t>InsertBibliography</w:t>
            </w:r>
          </w:p>
        </w:tc>
        <w:tc>
          <w:tcPr>
            <w:tcW w:w="0" w:type="auto"/>
            <w:vAlign w:val="center"/>
          </w:tcPr>
          <w:p w:rsidR="000A156F" w:rsidRDefault="00A9721F">
            <w:pPr>
              <w:pStyle w:val="TableBodyText"/>
            </w:pPr>
            <w:r>
              <w:t>077D</w:t>
            </w:r>
          </w:p>
        </w:tc>
      </w:tr>
      <w:tr w:rsidR="000A156F" w:rsidTr="000A156F">
        <w:tc>
          <w:tcPr>
            <w:tcW w:w="0" w:type="auto"/>
            <w:vAlign w:val="center"/>
          </w:tcPr>
          <w:p w:rsidR="000A156F" w:rsidRDefault="00A9721F">
            <w:pPr>
              <w:pStyle w:val="TableBodyText"/>
            </w:pPr>
            <w:r>
              <w:t>InsertBreak</w:t>
            </w:r>
          </w:p>
        </w:tc>
        <w:tc>
          <w:tcPr>
            <w:tcW w:w="0" w:type="auto"/>
            <w:vAlign w:val="center"/>
          </w:tcPr>
          <w:p w:rsidR="000A156F" w:rsidRDefault="00A9721F">
            <w:pPr>
              <w:pStyle w:val="TableBodyText"/>
            </w:pPr>
            <w:r>
              <w:t>009F</w:t>
            </w:r>
          </w:p>
        </w:tc>
      </w:tr>
      <w:tr w:rsidR="000A156F" w:rsidTr="000A156F">
        <w:tc>
          <w:tcPr>
            <w:tcW w:w="0" w:type="auto"/>
            <w:vAlign w:val="center"/>
          </w:tcPr>
          <w:p w:rsidR="000A156F" w:rsidRDefault="00A9721F">
            <w:pPr>
              <w:pStyle w:val="TableBodyText"/>
            </w:pPr>
            <w:r>
              <w:t>InsertBuildingBlockBeginDocument</w:t>
            </w:r>
          </w:p>
        </w:tc>
        <w:tc>
          <w:tcPr>
            <w:tcW w:w="0" w:type="auto"/>
            <w:vAlign w:val="center"/>
          </w:tcPr>
          <w:p w:rsidR="000A156F" w:rsidRDefault="00A9721F">
            <w:pPr>
              <w:pStyle w:val="TableBodyText"/>
            </w:pPr>
            <w:r>
              <w:t>078E</w:t>
            </w:r>
          </w:p>
        </w:tc>
      </w:tr>
      <w:tr w:rsidR="000A156F" w:rsidTr="000A156F">
        <w:tc>
          <w:tcPr>
            <w:tcW w:w="0" w:type="auto"/>
            <w:vAlign w:val="center"/>
          </w:tcPr>
          <w:p w:rsidR="000A156F" w:rsidRDefault="00A9721F">
            <w:pPr>
              <w:pStyle w:val="TableBodyText"/>
            </w:pPr>
            <w:r>
              <w:t>InsertBuildingBlockBeginSection</w:t>
            </w:r>
          </w:p>
        </w:tc>
        <w:tc>
          <w:tcPr>
            <w:tcW w:w="0" w:type="auto"/>
            <w:vAlign w:val="center"/>
          </w:tcPr>
          <w:p w:rsidR="000A156F" w:rsidRDefault="00A9721F">
            <w:pPr>
              <w:pStyle w:val="TableBodyText"/>
            </w:pPr>
            <w:r>
              <w:t>078C</w:t>
            </w:r>
          </w:p>
        </w:tc>
      </w:tr>
      <w:tr w:rsidR="000A156F" w:rsidTr="000A156F">
        <w:tc>
          <w:tcPr>
            <w:tcW w:w="0" w:type="auto"/>
            <w:vAlign w:val="center"/>
          </w:tcPr>
          <w:p w:rsidR="000A156F" w:rsidRDefault="00A9721F">
            <w:pPr>
              <w:pStyle w:val="TableBodyText"/>
            </w:pPr>
            <w:r>
              <w:t>InsertBuildingBlockEndDocument</w:t>
            </w:r>
          </w:p>
        </w:tc>
        <w:tc>
          <w:tcPr>
            <w:tcW w:w="0" w:type="auto"/>
            <w:vAlign w:val="center"/>
          </w:tcPr>
          <w:p w:rsidR="000A156F" w:rsidRDefault="00A9721F">
            <w:pPr>
              <w:pStyle w:val="TableBodyText"/>
            </w:pPr>
            <w:r>
              <w:t>078F</w:t>
            </w:r>
          </w:p>
        </w:tc>
      </w:tr>
      <w:tr w:rsidR="000A156F" w:rsidTr="000A156F">
        <w:tc>
          <w:tcPr>
            <w:tcW w:w="0" w:type="auto"/>
            <w:vAlign w:val="center"/>
          </w:tcPr>
          <w:p w:rsidR="000A156F" w:rsidRDefault="00A9721F">
            <w:pPr>
              <w:pStyle w:val="TableBodyText"/>
            </w:pPr>
            <w:r>
              <w:t>InsertBuildingBlockEndSection</w:t>
            </w:r>
          </w:p>
        </w:tc>
        <w:tc>
          <w:tcPr>
            <w:tcW w:w="0" w:type="auto"/>
            <w:vAlign w:val="center"/>
          </w:tcPr>
          <w:p w:rsidR="000A156F" w:rsidRDefault="00A9721F">
            <w:pPr>
              <w:pStyle w:val="TableBodyText"/>
            </w:pPr>
            <w:r>
              <w:t>078D</w:t>
            </w:r>
          </w:p>
        </w:tc>
      </w:tr>
      <w:tr w:rsidR="000A156F" w:rsidTr="000A156F">
        <w:tc>
          <w:tcPr>
            <w:tcW w:w="0" w:type="auto"/>
            <w:vAlign w:val="center"/>
          </w:tcPr>
          <w:p w:rsidR="000A156F" w:rsidRDefault="00A9721F">
            <w:pPr>
              <w:pStyle w:val="TableBodyText"/>
            </w:pPr>
            <w:r>
              <w:t>InsertBuildingBlockFooter</w:t>
            </w:r>
          </w:p>
        </w:tc>
        <w:tc>
          <w:tcPr>
            <w:tcW w:w="0" w:type="auto"/>
            <w:vAlign w:val="center"/>
          </w:tcPr>
          <w:p w:rsidR="000A156F" w:rsidRDefault="00A9721F">
            <w:pPr>
              <w:pStyle w:val="TableBodyText"/>
            </w:pPr>
            <w:r>
              <w:t>078B</w:t>
            </w:r>
          </w:p>
        </w:tc>
      </w:tr>
      <w:tr w:rsidR="000A156F" w:rsidTr="000A156F">
        <w:tc>
          <w:tcPr>
            <w:tcW w:w="0" w:type="auto"/>
            <w:vAlign w:val="center"/>
          </w:tcPr>
          <w:p w:rsidR="000A156F" w:rsidRDefault="00A9721F">
            <w:pPr>
              <w:pStyle w:val="TableBodyText"/>
            </w:pPr>
            <w:r>
              <w:t>InsertBuildingBlockHeader</w:t>
            </w:r>
          </w:p>
        </w:tc>
        <w:tc>
          <w:tcPr>
            <w:tcW w:w="0" w:type="auto"/>
            <w:vAlign w:val="center"/>
          </w:tcPr>
          <w:p w:rsidR="000A156F" w:rsidRDefault="00A9721F">
            <w:pPr>
              <w:pStyle w:val="TableBodyText"/>
            </w:pPr>
            <w:r>
              <w:t>078A</w:t>
            </w:r>
          </w:p>
        </w:tc>
      </w:tr>
      <w:tr w:rsidR="000A156F" w:rsidTr="000A156F">
        <w:tc>
          <w:tcPr>
            <w:tcW w:w="0" w:type="auto"/>
            <w:vAlign w:val="center"/>
          </w:tcPr>
          <w:p w:rsidR="000A156F" w:rsidRDefault="00A9721F">
            <w:pPr>
              <w:pStyle w:val="TableBodyText"/>
            </w:pPr>
            <w:r>
              <w:t>InsertBuildingBlockIP</w:t>
            </w:r>
          </w:p>
        </w:tc>
        <w:tc>
          <w:tcPr>
            <w:tcW w:w="0" w:type="auto"/>
            <w:vAlign w:val="center"/>
          </w:tcPr>
          <w:p w:rsidR="000A156F" w:rsidRDefault="00A9721F">
            <w:pPr>
              <w:pStyle w:val="TableBodyText"/>
            </w:pPr>
            <w:r>
              <w:t>0789</w:t>
            </w:r>
          </w:p>
        </w:tc>
      </w:tr>
      <w:tr w:rsidR="000A156F" w:rsidTr="000A156F">
        <w:tc>
          <w:tcPr>
            <w:tcW w:w="0" w:type="auto"/>
            <w:vAlign w:val="center"/>
          </w:tcPr>
          <w:p w:rsidR="000A156F" w:rsidRDefault="00A9721F">
            <w:pPr>
              <w:pStyle w:val="TableBodyText"/>
            </w:pPr>
            <w:r>
              <w:t>InsertCaption</w:t>
            </w:r>
          </w:p>
        </w:tc>
        <w:tc>
          <w:tcPr>
            <w:tcW w:w="0" w:type="auto"/>
            <w:vAlign w:val="center"/>
          </w:tcPr>
          <w:p w:rsidR="000A156F" w:rsidRDefault="00A9721F">
            <w:pPr>
              <w:pStyle w:val="TableBodyText"/>
            </w:pPr>
            <w:r>
              <w:t>0165</w:t>
            </w:r>
          </w:p>
        </w:tc>
      </w:tr>
      <w:tr w:rsidR="000A156F" w:rsidTr="000A156F">
        <w:tc>
          <w:tcPr>
            <w:tcW w:w="0" w:type="auto"/>
            <w:vAlign w:val="center"/>
          </w:tcPr>
          <w:p w:rsidR="000A156F" w:rsidRDefault="00A9721F">
            <w:pPr>
              <w:pStyle w:val="TableBodyText"/>
            </w:pPr>
            <w:r>
              <w:t>InsertCaptionNumbering</w:t>
            </w:r>
          </w:p>
        </w:tc>
        <w:tc>
          <w:tcPr>
            <w:tcW w:w="0" w:type="auto"/>
            <w:vAlign w:val="center"/>
          </w:tcPr>
          <w:p w:rsidR="000A156F" w:rsidRDefault="00A9721F">
            <w:pPr>
              <w:pStyle w:val="TableBodyText"/>
            </w:pPr>
            <w:r>
              <w:t>0166</w:t>
            </w:r>
          </w:p>
        </w:tc>
      </w:tr>
      <w:tr w:rsidR="000A156F" w:rsidTr="000A156F">
        <w:tc>
          <w:tcPr>
            <w:tcW w:w="0" w:type="auto"/>
            <w:vAlign w:val="center"/>
          </w:tcPr>
          <w:p w:rsidR="000A156F" w:rsidRDefault="00A9721F">
            <w:pPr>
              <w:pStyle w:val="TableBodyText"/>
            </w:pPr>
            <w:r>
              <w:t>InsertChart</w:t>
            </w:r>
          </w:p>
        </w:tc>
        <w:tc>
          <w:tcPr>
            <w:tcW w:w="0" w:type="auto"/>
            <w:vAlign w:val="center"/>
          </w:tcPr>
          <w:p w:rsidR="000A156F" w:rsidRDefault="00A9721F">
            <w:pPr>
              <w:pStyle w:val="TableBodyText"/>
            </w:pPr>
            <w:r>
              <w:t>011D</w:t>
            </w:r>
          </w:p>
        </w:tc>
      </w:tr>
      <w:tr w:rsidR="000A156F" w:rsidTr="000A156F">
        <w:tc>
          <w:tcPr>
            <w:tcW w:w="0" w:type="auto"/>
            <w:vAlign w:val="center"/>
          </w:tcPr>
          <w:p w:rsidR="000A156F" w:rsidRDefault="00A9721F">
            <w:pPr>
              <w:pStyle w:val="TableBodyText"/>
            </w:pPr>
            <w:r>
              <w:t>InsertCitation</w:t>
            </w:r>
          </w:p>
        </w:tc>
        <w:tc>
          <w:tcPr>
            <w:tcW w:w="0" w:type="auto"/>
            <w:vAlign w:val="center"/>
          </w:tcPr>
          <w:p w:rsidR="000A156F" w:rsidRDefault="00A9721F">
            <w:pPr>
              <w:pStyle w:val="TableBodyText"/>
            </w:pPr>
            <w:r>
              <w:t>077C</w:t>
            </w:r>
          </w:p>
        </w:tc>
      </w:tr>
      <w:tr w:rsidR="000A156F" w:rsidTr="000A156F">
        <w:tc>
          <w:tcPr>
            <w:tcW w:w="0" w:type="auto"/>
            <w:vAlign w:val="center"/>
          </w:tcPr>
          <w:p w:rsidR="000A156F" w:rsidRDefault="00A9721F">
            <w:pPr>
              <w:pStyle w:val="TableBodyText"/>
            </w:pPr>
            <w:r>
              <w:t>InsertColumnBreak</w:t>
            </w:r>
          </w:p>
        </w:tc>
        <w:tc>
          <w:tcPr>
            <w:tcW w:w="0" w:type="auto"/>
            <w:vAlign w:val="center"/>
          </w:tcPr>
          <w:p w:rsidR="000A156F" w:rsidRDefault="00A9721F">
            <w:pPr>
              <w:pStyle w:val="TableBodyText"/>
            </w:pPr>
            <w:r>
              <w:t>033F</w:t>
            </w:r>
          </w:p>
        </w:tc>
      </w:tr>
      <w:tr w:rsidR="000A156F" w:rsidTr="000A156F">
        <w:tc>
          <w:tcPr>
            <w:tcW w:w="0" w:type="auto"/>
            <w:vAlign w:val="center"/>
          </w:tcPr>
          <w:p w:rsidR="000A156F" w:rsidRDefault="00A9721F">
            <w:pPr>
              <w:pStyle w:val="TableBodyText"/>
            </w:pPr>
            <w:r>
              <w:t>InsertCrossReference</w:t>
            </w:r>
          </w:p>
        </w:tc>
        <w:tc>
          <w:tcPr>
            <w:tcW w:w="0" w:type="auto"/>
            <w:vAlign w:val="center"/>
          </w:tcPr>
          <w:p w:rsidR="000A156F" w:rsidRDefault="00A9721F">
            <w:pPr>
              <w:pStyle w:val="TableBodyText"/>
            </w:pPr>
            <w:r>
              <w:t>016F</w:t>
            </w:r>
          </w:p>
        </w:tc>
      </w:tr>
      <w:tr w:rsidR="000A156F" w:rsidTr="000A156F">
        <w:tc>
          <w:tcPr>
            <w:tcW w:w="0" w:type="auto"/>
            <w:vAlign w:val="center"/>
          </w:tcPr>
          <w:p w:rsidR="000A156F" w:rsidRDefault="00A9721F">
            <w:pPr>
              <w:pStyle w:val="TableBodyText"/>
            </w:pPr>
            <w:r>
              <w:t>InsertDatabase</w:t>
            </w:r>
          </w:p>
        </w:tc>
        <w:tc>
          <w:tcPr>
            <w:tcW w:w="0" w:type="auto"/>
            <w:vAlign w:val="center"/>
          </w:tcPr>
          <w:p w:rsidR="000A156F" w:rsidRDefault="00A9721F">
            <w:pPr>
              <w:pStyle w:val="TableBodyText"/>
            </w:pPr>
            <w:r>
              <w:t>0155</w:t>
            </w:r>
          </w:p>
        </w:tc>
      </w:tr>
      <w:tr w:rsidR="000A156F" w:rsidTr="000A156F">
        <w:tc>
          <w:tcPr>
            <w:tcW w:w="0" w:type="auto"/>
            <w:vAlign w:val="center"/>
          </w:tcPr>
          <w:p w:rsidR="000A156F" w:rsidRDefault="00A9721F">
            <w:pPr>
              <w:pStyle w:val="TableBodyText"/>
            </w:pPr>
            <w:r>
              <w:lastRenderedPageBreak/>
              <w:t>InsertDateField</w:t>
            </w:r>
          </w:p>
        </w:tc>
        <w:tc>
          <w:tcPr>
            <w:tcW w:w="0" w:type="auto"/>
            <w:vAlign w:val="center"/>
          </w:tcPr>
          <w:p w:rsidR="000A156F" w:rsidRDefault="00A9721F">
            <w:pPr>
              <w:pStyle w:val="TableBodyText"/>
            </w:pPr>
            <w:r>
              <w:t>00F0</w:t>
            </w:r>
          </w:p>
        </w:tc>
      </w:tr>
      <w:tr w:rsidR="000A156F" w:rsidTr="000A156F">
        <w:tc>
          <w:tcPr>
            <w:tcW w:w="0" w:type="auto"/>
            <w:vAlign w:val="center"/>
          </w:tcPr>
          <w:p w:rsidR="000A156F" w:rsidRDefault="00A9721F">
            <w:pPr>
              <w:pStyle w:val="TableBodyText"/>
            </w:pPr>
            <w:r>
              <w:t>InsertDateTime</w:t>
            </w:r>
          </w:p>
        </w:tc>
        <w:tc>
          <w:tcPr>
            <w:tcW w:w="0" w:type="auto"/>
            <w:vAlign w:val="center"/>
          </w:tcPr>
          <w:p w:rsidR="000A156F" w:rsidRDefault="00A9721F">
            <w:pPr>
              <w:pStyle w:val="TableBodyText"/>
            </w:pPr>
            <w:r>
              <w:t>00A5</w:t>
            </w:r>
          </w:p>
        </w:tc>
      </w:tr>
      <w:tr w:rsidR="000A156F" w:rsidTr="000A156F">
        <w:tc>
          <w:tcPr>
            <w:tcW w:w="0" w:type="auto"/>
            <w:vAlign w:val="center"/>
          </w:tcPr>
          <w:p w:rsidR="000A156F" w:rsidRDefault="00A9721F">
            <w:pPr>
              <w:pStyle w:val="TableBodyText"/>
            </w:pPr>
            <w:r>
              <w:t>InsertDrawing</w:t>
            </w:r>
          </w:p>
        </w:tc>
        <w:tc>
          <w:tcPr>
            <w:tcW w:w="0" w:type="auto"/>
            <w:vAlign w:val="center"/>
          </w:tcPr>
          <w:p w:rsidR="000A156F" w:rsidRDefault="00A9721F">
            <w:pPr>
              <w:pStyle w:val="TableBodyText"/>
            </w:pPr>
            <w:r>
              <w:t>011C</w:t>
            </w:r>
          </w:p>
        </w:tc>
      </w:tr>
      <w:tr w:rsidR="000A156F" w:rsidTr="000A156F">
        <w:tc>
          <w:tcPr>
            <w:tcW w:w="0" w:type="auto"/>
            <w:vAlign w:val="center"/>
          </w:tcPr>
          <w:p w:rsidR="000A156F" w:rsidRDefault="00A9721F">
            <w:pPr>
              <w:pStyle w:val="TableBodyText"/>
            </w:pPr>
            <w:r>
              <w:t>InsertEmSpace</w:t>
            </w:r>
          </w:p>
        </w:tc>
        <w:tc>
          <w:tcPr>
            <w:tcW w:w="0" w:type="auto"/>
            <w:vAlign w:val="center"/>
          </w:tcPr>
          <w:p w:rsidR="000A156F" w:rsidRDefault="00A9721F">
            <w:pPr>
              <w:pStyle w:val="TableBodyText"/>
            </w:pPr>
            <w:r>
              <w:t>026B</w:t>
            </w:r>
          </w:p>
        </w:tc>
      </w:tr>
      <w:tr w:rsidR="000A156F" w:rsidTr="000A156F">
        <w:tc>
          <w:tcPr>
            <w:tcW w:w="0" w:type="auto"/>
            <w:vAlign w:val="center"/>
          </w:tcPr>
          <w:p w:rsidR="000A156F" w:rsidRDefault="00A9721F">
            <w:pPr>
              <w:pStyle w:val="TableBodyText"/>
            </w:pPr>
            <w:r>
              <w:t>InsertEnSpace</w:t>
            </w:r>
          </w:p>
        </w:tc>
        <w:tc>
          <w:tcPr>
            <w:tcW w:w="0" w:type="auto"/>
            <w:vAlign w:val="center"/>
          </w:tcPr>
          <w:p w:rsidR="000A156F" w:rsidRDefault="00A9721F">
            <w:pPr>
              <w:pStyle w:val="TableBodyText"/>
            </w:pPr>
            <w:r>
              <w:t>026A</w:t>
            </w:r>
          </w:p>
        </w:tc>
      </w:tr>
      <w:tr w:rsidR="000A156F" w:rsidTr="000A156F">
        <w:tc>
          <w:tcPr>
            <w:tcW w:w="0" w:type="auto"/>
            <w:vAlign w:val="center"/>
          </w:tcPr>
          <w:p w:rsidR="000A156F" w:rsidRDefault="00A9721F">
            <w:pPr>
              <w:pStyle w:val="TableBodyText"/>
            </w:pPr>
            <w:r>
              <w:t>InsertEndnoteNow</w:t>
            </w:r>
          </w:p>
        </w:tc>
        <w:tc>
          <w:tcPr>
            <w:tcW w:w="0" w:type="auto"/>
            <w:vAlign w:val="center"/>
          </w:tcPr>
          <w:p w:rsidR="000A156F" w:rsidRDefault="00A9721F">
            <w:pPr>
              <w:pStyle w:val="TableBodyText"/>
            </w:pPr>
            <w:r>
              <w:t>0171</w:t>
            </w:r>
          </w:p>
        </w:tc>
      </w:tr>
      <w:tr w:rsidR="000A156F" w:rsidTr="000A156F">
        <w:tc>
          <w:tcPr>
            <w:tcW w:w="0" w:type="auto"/>
            <w:vAlign w:val="center"/>
          </w:tcPr>
          <w:p w:rsidR="000A156F" w:rsidRDefault="00A9721F">
            <w:pPr>
              <w:pStyle w:val="TableBodyText"/>
            </w:pPr>
            <w:r>
              <w:t>InsertEquation</w:t>
            </w:r>
          </w:p>
        </w:tc>
        <w:tc>
          <w:tcPr>
            <w:tcW w:w="0" w:type="auto"/>
            <w:vAlign w:val="center"/>
          </w:tcPr>
          <w:p w:rsidR="000A156F" w:rsidRDefault="00A9721F">
            <w:pPr>
              <w:pStyle w:val="TableBodyText"/>
            </w:pPr>
            <w:r>
              <w:t>02AB</w:t>
            </w:r>
          </w:p>
        </w:tc>
      </w:tr>
      <w:tr w:rsidR="000A156F" w:rsidTr="000A156F">
        <w:tc>
          <w:tcPr>
            <w:tcW w:w="0" w:type="auto"/>
            <w:vAlign w:val="center"/>
          </w:tcPr>
          <w:p w:rsidR="000A156F" w:rsidRDefault="00A9721F">
            <w:pPr>
              <w:pStyle w:val="TableBodyText"/>
            </w:pPr>
            <w:r>
              <w:t>InsertExcelTable</w:t>
            </w:r>
          </w:p>
        </w:tc>
        <w:tc>
          <w:tcPr>
            <w:tcW w:w="0" w:type="auto"/>
            <w:vAlign w:val="center"/>
          </w:tcPr>
          <w:p w:rsidR="000A156F" w:rsidRDefault="00A9721F">
            <w:pPr>
              <w:pStyle w:val="TableBodyText"/>
            </w:pPr>
            <w:r>
              <w:t>0237</w:t>
            </w:r>
          </w:p>
        </w:tc>
      </w:tr>
      <w:tr w:rsidR="000A156F" w:rsidTr="000A156F">
        <w:tc>
          <w:tcPr>
            <w:tcW w:w="0" w:type="auto"/>
            <w:vAlign w:val="center"/>
          </w:tcPr>
          <w:p w:rsidR="000A156F" w:rsidRDefault="00A9721F">
            <w:pPr>
              <w:pStyle w:val="TableBodyText"/>
            </w:pPr>
            <w:r>
              <w:t>InsertField</w:t>
            </w:r>
          </w:p>
        </w:tc>
        <w:tc>
          <w:tcPr>
            <w:tcW w:w="0" w:type="auto"/>
            <w:vAlign w:val="center"/>
          </w:tcPr>
          <w:p w:rsidR="000A156F" w:rsidRDefault="00A9721F">
            <w:pPr>
              <w:pStyle w:val="TableBodyText"/>
            </w:pPr>
            <w:r>
              <w:t>00A6</w:t>
            </w:r>
          </w:p>
        </w:tc>
      </w:tr>
      <w:tr w:rsidR="000A156F" w:rsidTr="000A156F">
        <w:tc>
          <w:tcPr>
            <w:tcW w:w="0" w:type="auto"/>
            <w:vAlign w:val="center"/>
          </w:tcPr>
          <w:p w:rsidR="000A156F" w:rsidRDefault="00A9721F">
            <w:pPr>
              <w:pStyle w:val="TableBodyText"/>
            </w:pPr>
            <w:r>
              <w:t>InsertFieldChars</w:t>
            </w:r>
          </w:p>
        </w:tc>
        <w:tc>
          <w:tcPr>
            <w:tcW w:w="0" w:type="auto"/>
            <w:vAlign w:val="center"/>
          </w:tcPr>
          <w:p w:rsidR="000A156F" w:rsidRDefault="00A9721F">
            <w:pPr>
              <w:pStyle w:val="TableBodyText"/>
            </w:pPr>
            <w:r>
              <w:t>001F</w:t>
            </w:r>
          </w:p>
        </w:tc>
      </w:tr>
      <w:tr w:rsidR="000A156F" w:rsidTr="000A156F">
        <w:tc>
          <w:tcPr>
            <w:tcW w:w="0" w:type="auto"/>
            <w:vAlign w:val="center"/>
          </w:tcPr>
          <w:p w:rsidR="000A156F" w:rsidRDefault="00A9721F">
            <w:pPr>
              <w:pStyle w:val="TableBodyText"/>
            </w:pPr>
            <w:r>
              <w:t>InsertFile</w:t>
            </w:r>
          </w:p>
        </w:tc>
        <w:tc>
          <w:tcPr>
            <w:tcW w:w="0" w:type="auto"/>
            <w:vAlign w:val="center"/>
          </w:tcPr>
          <w:p w:rsidR="000A156F" w:rsidRDefault="00A9721F">
            <w:pPr>
              <w:pStyle w:val="TableBodyText"/>
            </w:pPr>
            <w:r>
              <w:t>00A4</w:t>
            </w:r>
          </w:p>
        </w:tc>
      </w:tr>
      <w:tr w:rsidR="000A156F" w:rsidTr="000A156F">
        <w:tc>
          <w:tcPr>
            <w:tcW w:w="0" w:type="auto"/>
            <w:vAlign w:val="center"/>
          </w:tcPr>
          <w:p w:rsidR="000A156F" w:rsidRDefault="00A9721F">
            <w:pPr>
              <w:pStyle w:val="TableBodyText"/>
            </w:pPr>
            <w:r>
              <w:t>InsertFootnote</w:t>
            </w:r>
          </w:p>
        </w:tc>
        <w:tc>
          <w:tcPr>
            <w:tcW w:w="0" w:type="auto"/>
            <w:vAlign w:val="center"/>
          </w:tcPr>
          <w:p w:rsidR="000A156F" w:rsidRDefault="00A9721F">
            <w:pPr>
              <w:pStyle w:val="TableBodyText"/>
            </w:pPr>
            <w:r>
              <w:t>0172</w:t>
            </w:r>
          </w:p>
        </w:tc>
      </w:tr>
      <w:tr w:rsidR="000A156F" w:rsidTr="000A156F">
        <w:tc>
          <w:tcPr>
            <w:tcW w:w="0" w:type="auto"/>
            <w:vAlign w:val="center"/>
          </w:tcPr>
          <w:p w:rsidR="000A156F" w:rsidRDefault="00A9721F">
            <w:pPr>
              <w:pStyle w:val="TableBodyText"/>
            </w:pPr>
            <w:r>
              <w:t>InsertFootnoteNow</w:t>
            </w:r>
          </w:p>
        </w:tc>
        <w:tc>
          <w:tcPr>
            <w:tcW w:w="0" w:type="auto"/>
            <w:vAlign w:val="center"/>
          </w:tcPr>
          <w:p w:rsidR="000A156F" w:rsidRDefault="00A9721F">
            <w:pPr>
              <w:pStyle w:val="TableBodyText"/>
            </w:pPr>
            <w:r>
              <w:t>0170</w:t>
            </w:r>
          </w:p>
        </w:tc>
      </w:tr>
      <w:tr w:rsidR="000A156F" w:rsidTr="000A156F">
        <w:tc>
          <w:tcPr>
            <w:tcW w:w="0" w:type="auto"/>
            <w:vAlign w:val="center"/>
          </w:tcPr>
          <w:p w:rsidR="000A156F" w:rsidRDefault="00A9721F">
            <w:pPr>
              <w:pStyle w:val="TableBodyText"/>
            </w:pPr>
            <w:r>
              <w:t>InsertFormControlsGallery</w:t>
            </w:r>
          </w:p>
        </w:tc>
        <w:tc>
          <w:tcPr>
            <w:tcW w:w="0" w:type="auto"/>
            <w:vAlign w:val="center"/>
          </w:tcPr>
          <w:p w:rsidR="000A156F" w:rsidRDefault="00A9721F">
            <w:pPr>
              <w:pStyle w:val="TableBodyText"/>
            </w:pPr>
            <w:r>
              <w:t>08B5</w:t>
            </w:r>
          </w:p>
        </w:tc>
      </w:tr>
      <w:tr w:rsidR="000A156F" w:rsidTr="000A156F">
        <w:tc>
          <w:tcPr>
            <w:tcW w:w="0" w:type="auto"/>
            <w:vAlign w:val="center"/>
          </w:tcPr>
          <w:p w:rsidR="000A156F" w:rsidRDefault="00A9721F">
            <w:pPr>
              <w:pStyle w:val="TableBodyText"/>
            </w:pPr>
            <w:r>
              <w:t>InsertFormField</w:t>
            </w:r>
          </w:p>
        </w:tc>
        <w:tc>
          <w:tcPr>
            <w:tcW w:w="0" w:type="auto"/>
            <w:vAlign w:val="center"/>
          </w:tcPr>
          <w:p w:rsidR="000A156F" w:rsidRDefault="00A9721F">
            <w:pPr>
              <w:pStyle w:val="TableBodyText"/>
            </w:pPr>
            <w:r>
              <w:t>01E3</w:t>
            </w:r>
          </w:p>
        </w:tc>
      </w:tr>
      <w:tr w:rsidR="000A156F" w:rsidTr="000A156F">
        <w:tc>
          <w:tcPr>
            <w:tcW w:w="0" w:type="auto"/>
            <w:vAlign w:val="center"/>
          </w:tcPr>
          <w:p w:rsidR="000A156F" w:rsidRDefault="00A9721F">
            <w:pPr>
              <w:pStyle w:val="TableBodyText"/>
            </w:pPr>
            <w:r>
              <w:t>InsertFrame</w:t>
            </w:r>
          </w:p>
        </w:tc>
        <w:tc>
          <w:tcPr>
            <w:tcW w:w="0" w:type="auto"/>
            <w:vAlign w:val="center"/>
          </w:tcPr>
          <w:p w:rsidR="000A156F" w:rsidRDefault="00A9721F">
            <w:pPr>
              <w:pStyle w:val="TableBodyText"/>
            </w:pPr>
            <w:r>
              <w:t>009E</w:t>
            </w:r>
          </w:p>
        </w:tc>
      </w:tr>
      <w:tr w:rsidR="000A156F" w:rsidTr="000A156F">
        <w:tc>
          <w:tcPr>
            <w:tcW w:w="0" w:type="auto"/>
            <w:vAlign w:val="center"/>
          </w:tcPr>
          <w:p w:rsidR="000A156F" w:rsidRDefault="00A9721F">
            <w:pPr>
              <w:pStyle w:val="TableBodyText"/>
            </w:pPr>
            <w:r>
              <w:t>InsertGraphicalHorizontalLine</w:t>
            </w:r>
          </w:p>
        </w:tc>
        <w:tc>
          <w:tcPr>
            <w:tcW w:w="0" w:type="auto"/>
            <w:vAlign w:val="center"/>
          </w:tcPr>
          <w:p w:rsidR="000A156F" w:rsidRDefault="00A9721F">
            <w:pPr>
              <w:pStyle w:val="TableBodyText"/>
            </w:pPr>
            <w:r>
              <w:t>042B</w:t>
            </w:r>
          </w:p>
        </w:tc>
      </w:tr>
      <w:tr w:rsidR="000A156F" w:rsidTr="000A156F">
        <w:tc>
          <w:tcPr>
            <w:tcW w:w="0" w:type="auto"/>
            <w:vAlign w:val="center"/>
          </w:tcPr>
          <w:p w:rsidR="000A156F" w:rsidRDefault="00A9721F">
            <w:pPr>
              <w:pStyle w:val="TableBodyText"/>
            </w:pPr>
            <w:r>
              <w:t>InsertHTMLBGSound</w:t>
            </w:r>
          </w:p>
        </w:tc>
        <w:tc>
          <w:tcPr>
            <w:tcW w:w="0" w:type="auto"/>
            <w:vAlign w:val="center"/>
          </w:tcPr>
          <w:p w:rsidR="000A156F" w:rsidRDefault="00A9721F">
            <w:pPr>
              <w:pStyle w:val="TableBodyText"/>
            </w:pPr>
            <w:r>
              <w:t>046E</w:t>
            </w:r>
          </w:p>
        </w:tc>
      </w:tr>
      <w:tr w:rsidR="000A156F" w:rsidTr="000A156F">
        <w:tc>
          <w:tcPr>
            <w:tcW w:w="0" w:type="auto"/>
            <w:vAlign w:val="center"/>
          </w:tcPr>
          <w:p w:rsidR="000A156F" w:rsidRDefault="00A9721F">
            <w:pPr>
              <w:pStyle w:val="TableBodyText"/>
            </w:pPr>
            <w:r>
              <w:t>InsertHTMLCheckBox</w:t>
            </w:r>
          </w:p>
        </w:tc>
        <w:tc>
          <w:tcPr>
            <w:tcW w:w="0" w:type="auto"/>
            <w:vAlign w:val="center"/>
          </w:tcPr>
          <w:p w:rsidR="000A156F" w:rsidRDefault="00A9721F">
            <w:pPr>
              <w:pStyle w:val="TableBodyText"/>
            </w:pPr>
            <w:r>
              <w:t>0462</w:t>
            </w:r>
          </w:p>
        </w:tc>
      </w:tr>
      <w:tr w:rsidR="000A156F" w:rsidTr="000A156F">
        <w:tc>
          <w:tcPr>
            <w:tcW w:w="0" w:type="auto"/>
            <w:vAlign w:val="center"/>
          </w:tcPr>
          <w:p w:rsidR="000A156F" w:rsidRDefault="00A9721F">
            <w:pPr>
              <w:pStyle w:val="TableBodyText"/>
            </w:pPr>
            <w:r>
              <w:t>InsertHTMLDropdownBox</w:t>
            </w:r>
          </w:p>
        </w:tc>
        <w:tc>
          <w:tcPr>
            <w:tcW w:w="0" w:type="auto"/>
            <w:vAlign w:val="center"/>
          </w:tcPr>
          <w:p w:rsidR="000A156F" w:rsidRDefault="00A9721F">
            <w:pPr>
              <w:pStyle w:val="TableBodyText"/>
            </w:pPr>
            <w:r>
              <w:t>0464</w:t>
            </w:r>
          </w:p>
        </w:tc>
      </w:tr>
      <w:tr w:rsidR="000A156F" w:rsidTr="000A156F">
        <w:tc>
          <w:tcPr>
            <w:tcW w:w="0" w:type="auto"/>
            <w:vAlign w:val="center"/>
          </w:tcPr>
          <w:p w:rsidR="000A156F" w:rsidRDefault="00A9721F">
            <w:pPr>
              <w:pStyle w:val="TableBodyText"/>
            </w:pPr>
            <w:r>
              <w:t>InsertHTMLHidden</w:t>
            </w:r>
          </w:p>
        </w:tc>
        <w:tc>
          <w:tcPr>
            <w:tcW w:w="0" w:type="auto"/>
            <w:vAlign w:val="center"/>
          </w:tcPr>
          <w:p w:rsidR="000A156F" w:rsidRDefault="00A9721F">
            <w:pPr>
              <w:pStyle w:val="TableBodyText"/>
            </w:pPr>
            <w:r>
              <w:t>046B</w:t>
            </w:r>
          </w:p>
        </w:tc>
      </w:tr>
      <w:tr w:rsidR="000A156F" w:rsidTr="000A156F">
        <w:tc>
          <w:tcPr>
            <w:tcW w:w="0" w:type="auto"/>
            <w:vAlign w:val="center"/>
          </w:tcPr>
          <w:p w:rsidR="000A156F" w:rsidRDefault="00A9721F">
            <w:pPr>
              <w:pStyle w:val="TableBodyText"/>
            </w:pPr>
            <w:r>
              <w:t>InsertHTMLImageSubmit</w:t>
            </w:r>
          </w:p>
        </w:tc>
        <w:tc>
          <w:tcPr>
            <w:tcW w:w="0" w:type="auto"/>
            <w:vAlign w:val="center"/>
          </w:tcPr>
          <w:p w:rsidR="000A156F" w:rsidRDefault="00A9721F">
            <w:pPr>
              <w:pStyle w:val="TableBodyText"/>
            </w:pPr>
            <w:r>
              <w:t>0469</w:t>
            </w:r>
          </w:p>
        </w:tc>
      </w:tr>
      <w:tr w:rsidR="000A156F" w:rsidTr="000A156F">
        <w:tc>
          <w:tcPr>
            <w:tcW w:w="0" w:type="auto"/>
            <w:vAlign w:val="center"/>
          </w:tcPr>
          <w:p w:rsidR="000A156F" w:rsidRDefault="00A9721F">
            <w:pPr>
              <w:pStyle w:val="TableBodyText"/>
            </w:pPr>
            <w:r>
              <w:t>InsertHTMLListBox</w:t>
            </w:r>
          </w:p>
        </w:tc>
        <w:tc>
          <w:tcPr>
            <w:tcW w:w="0" w:type="auto"/>
            <w:vAlign w:val="center"/>
          </w:tcPr>
          <w:p w:rsidR="000A156F" w:rsidRDefault="00A9721F">
            <w:pPr>
              <w:pStyle w:val="TableBodyText"/>
            </w:pPr>
            <w:r>
              <w:t>0465</w:t>
            </w:r>
          </w:p>
        </w:tc>
      </w:tr>
      <w:tr w:rsidR="000A156F" w:rsidTr="000A156F">
        <w:tc>
          <w:tcPr>
            <w:tcW w:w="0" w:type="auto"/>
            <w:vAlign w:val="center"/>
          </w:tcPr>
          <w:p w:rsidR="000A156F" w:rsidRDefault="00A9721F">
            <w:pPr>
              <w:pStyle w:val="TableBodyText"/>
            </w:pPr>
            <w:r>
              <w:t>InsertHTMLMarquee</w:t>
            </w:r>
          </w:p>
        </w:tc>
        <w:tc>
          <w:tcPr>
            <w:tcW w:w="0" w:type="auto"/>
            <w:vAlign w:val="center"/>
          </w:tcPr>
          <w:p w:rsidR="000A156F" w:rsidRDefault="00A9721F">
            <w:pPr>
              <w:pStyle w:val="TableBodyText"/>
            </w:pPr>
            <w:r>
              <w:t>046F</w:t>
            </w:r>
          </w:p>
        </w:tc>
      </w:tr>
      <w:tr w:rsidR="000A156F" w:rsidTr="000A156F">
        <w:tc>
          <w:tcPr>
            <w:tcW w:w="0" w:type="auto"/>
            <w:vAlign w:val="center"/>
          </w:tcPr>
          <w:p w:rsidR="000A156F" w:rsidRDefault="00A9721F">
            <w:pPr>
              <w:pStyle w:val="TableBodyText"/>
            </w:pPr>
            <w:r>
              <w:t>InsertHTMLMovie</w:t>
            </w:r>
          </w:p>
        </w:tc>
        <w:tc>
          <w:tcPr>
            <w:tcW w:w="0" w:type="auto"/>
            <w:vAlign w:val="center"/>
          </w:tcPr>
          <w:p w:rsidR="000A156F" w:rsidRDefault="00A9721F">
            <w:pPr>
              <w:pStyle w:val="TableBodyText"/>
            </w:pPr>
            <w:r>
              <w:t>046D</w:t>
            </w:r>
          </w:p>
        </w:tc>
      </w:tr>
      <w:tr w:rsidR="000A156F" w:rsidTr="000A156F">
        <w:tc>
          <w:tcPr>
            <w:tcW w:w="0" w:type="auto"/>
            <w:vAlign w:val="center"/>
          </w:tcPr>
          <w:p w:rsidR="000A156F" w:rsidRDefault="00A9721F">
            <w:pPr>
              <w:pStyle w:val="TableBodyText"/>
            </w:pPr>
            <w:r>
              <w:t>InsertHTMLOptionButton</w:t>
            </w:r>
          </w:p>
        </w:tc>
        <w:tc>
          <w:tcPr>
            <w:tcW w:w="0" w:type="auto"/>
            <w:vAlign w:val="center"/>
          </w:tcPr>
          <w:p w:rsidR="000A156F" w:rsidRDefault="00A9721F">
            <w:pPr>
              <w:pStyle w:val="TableBodyText"/>
            </w:pPr>
            <w:r>
              <w:t>0463</w:t>
            </w:r>
          </w:p>
        </w:tc>
      </w:tr>
      <w:tr w:rsidR="000A156F" w:rsidTr="000A156F">
        <w:tc>
          <w:tcPr>
            <w:tcW w:w="0" w:type="auto"/>
            <w:vAlign w:val="center"/>
          </w:tcPr>
          <w:p w:rsidR="000A156F" w:rsidRDefault="00A9721F">
            <w:pPr>
              <w:pStyle w:val="TableBodyText"/>
            </w:pPr>
            <w:r>
              <w:t>InsertHTMLPassword</w:t>
            </w:r>
          </w:p>
        </w:tc>
        <w:tc>
          <w:tcPr>
            <w:tcW w:w="0" w:type="auto"/>
            <w:vAlign w:val="center"/>
          </w:tcPr>
          <w:p w:rsidR="000A156F" w:rsidRDefault="00A9721F">
            <w:pPr>
              <w:pStyle w:val="TableBodyText"/>
            </w:pPr>
            <w:r>
              <w:t>046C</w:t>
            </w:r>
          </w:p>
        </w:tc>
      </w:tr>
      <w:tr w:rsidR="000A156F" w:rsidTr="000A156F">
        <w:tc>
          <w:tcPr>
            <w:tcW w:w="0" w:type="auto"/>
            <w:vAlign w:val="center"/>
          </w:tcPr>
          <w:p w:rsidR="000A156F" w:rsidRDefault="00A9721F">
            <w:pPr>
              <w:pStyle w:val="TableBodyText"/>
            </w:pPr>
            <w:r>
              <w:t>InsertHTMLReset</w:t>
            </w:r>
          </w:p>
        </w:tc>
        <w:tc>
          <w:tcPr>
            <w:tcW w:w="0" w:type="auto"/>
            <w:vAlign w:val="center"/>
          </w:tcPr>
          <w:p w:rsidR="000A156F" w:rsidRDefault="00A9721F">
            <w:pPr>
              <w:pStyle w:val="TableBodyText"/>
            </w:pPr>
            <w:r>
              <w:t>046A</w:t>
            </w:r>
          </w:p>
        </w:tc>
      </w:tr>
      <w:tr w:rsidR="000A156F" w:rsidTr="000A156F">
        <w:tc>
          <w:tcPr>
            <w:tcW w:w="0" w:type="auto"/>
            <w:vAlign w:val="center"/>
          </w:tcPr>
          <w:p w:rsidR="000A156F" w:rsidRDefault="00A9721F">
            <w:pPr>
              <w:pStyle w:val="TableBodyText"/>
            </w:pPr>
            <w:r>
              <w:t>InsertHTMLSubmit</w:t>
            </w:r>
          </w:p>
        </w:tc>
        <w:tc>
          <w:tcPr>
            <w:tcW w:w="0" w:type="auto"/>
            <w:vAlign w:val="center"/>
          </w:tcPr>
          <w:p w:rsidR="000A156F" w:rsidRDefault="00A9721F">
            <w:pPr>
              <w:pStyle w:val="TableBodyText"/>
            </w:pPr>
            <w:r>
              <w:t>0468</w:t>
            </w:r>
          </w:p>
        </w:tc>
      </w:tr>
      <w:tr w:rsidR="000A156F" w:rsidTr="000A156F">
        <w:tc>
          <w:tcPr>
            <w:tcW w:w="0" w:type="auto"/>
            <w:vAlign w:val="center"/>
          </w:tcPr>
          <w:p w:rsidR="000A156F" w:rsidRDefault="00A9721F">
            <w:pPr>
              <w:pStyle w:val="TableBodyText"/>
            </w:pPr>
            <w:r>
              <w:t>InsertHTMLTextArea</w:t>
            </w:r>
          </w:p>
        </w:tc>
        <w:tc>
          <w:tcPr>
            <w:tcW w:w="0" w:type="auto"/>
            <w:vAlign w:val="center"/>
          </w:tcPr>
          <w:p w:rsidR="000A156F" w:rsidRDefault="00A9721F">
            <w:pPr>
              <w:pStyle w:val="TableBodyText"/>
            </w:pPr>
            <w:r>
              <w:t>0467</w:t>
            </w:r>
          </w:p>
        </w:tc>
      </w:tr>
      <w:tr w:rsidR="000A156F" w:rsidTr="000A156F">
        <w:tc>
          <w:tcPr>
            <w:tcW w:w="0" w:type="auto"/>
            <w:vAlign w:val="center"/>
          </w:tcPr>
          <w:p w:rsidR="000A156F" w:rsidRDefault="00A9721F">
            <w:pPr>
              <w:pStyle w:val="TableBodyText"/>
            </w:pPr>
            <w:r>
              <w:t>InsertHTMLTextBox</w:t>
            </w:r>
          </w:p>
        </w:tc>
        <w:tc>
          <w:tcPr>
            <w:tcW w:w="0" w:type="auto"/>
            <w:vAlign w:val="center"/>
          </w:tcPr>
          <w:p w:rsidR="000A156F" w:rsidRDefault="00A9721F">
            <w:pPr>
              <w:pStyle w:val="TableBodyText"/>
            </w:pPr>
            <w:r>
              <w:t>0466</w:t>
            </w:r>
          </w:p>
        </w:tc>
      </w:tr>
      <w:tr w:rsidR="000A156F" w:rsidTr="000A156F">
        <w:tc>
          <w:tcPr>
            <w:tcW w:w="0" w:type="auto"/>
            <w:vAlign w:val="center"/>
          </w:tcPr>
          <w:p w:rsidR="000A156F" w:rsidRDefault="00A9721F">
            <w:pPr>
              <w:pStyle w:val="TableBodyText"/>
            </w:pPr>
            <w:r>
              <w:t>InsertHorizontalLine</w:t>
            </w:r>
          </w:p>
        </w:tc>
        <w:tc>
          <w:tcPr>
            <w:tcW w:w="0" w:type="auto"/>
            <w:vAlign w:val="center"/>
          </w:tcPr>
          <w:p w:rsidR="000A156F" w:rsidRDefault="00A9721F">
            <w:pPr>
              <w:pStyle w:val="TableBodyText"/>
            </w:pPr>
            <w:r>
              <w:t>042A</w:t>
            </w:r>
          </w:p>
        </w:tc>
      </w:tr>
      <w:tr w:rsidR="000A156F" w:rsidTr="000A156F">
        <w:tc>
          <w:tcPr>
            <w:tcW w:w="0" w:type="auto"/>
            <w:vAlign w:val="center"/>
          </w:tcPr>
          <w:p w:rsidR="000A156F" w:rsidRDefault="00A9721F">
            <w:pPr>
              <w:pStyle w:val="TableBodyText"/>
            </w:pPr>
            <w:r>
              <w:lastRenderedPageBreak/>
              <w:t>InsertHyperlink</w:t>
            </w:r>
          </w:p>
        </w:tc>
        <w:tc>
          <w:tcPr>
            <w:tcW w:w="0" w:type="auto"/>
            <w:vAlign w:val="center"/>
          </w:tcPr>
          <w:p w:rsidR="000A156F" w:rsidRDefault="00A9721F">
            <w:pPr>
              <w:pStyle w:val="TableBodyText"/>
            </w:pPr>
            <w:r>
              <w:t>039D</w:t>
            </w:r>
          </w:p>
        </w:tc>
      </w:tr>
      <w:tr w:rsidR="000A156F" w:rsidTr="000A156F">
        <w:tc>
          <w:tcPr>
            <w:tcW w:w="0" w:type="auto"/>
            <w:vAlign w:val="center"/>
          </w:tcPr>
          <w:p w:rsidR="000A156F" w:rsidRDefault="00A9721F">
            <w:pPr>
              <w:pStyle w:val="TableBodyText"/>
            </w:pPr>
            <w:r>
              <w:t>InsertImagerScan</w:t>
            </w:r>
          </w:p>
        </w:tc>
        <w:tc>
          <w:tcPr>
            <w:tcW w:w="0" w:type="auto"/>
            <w:vAlign w:val="center"/>
          </w:tcPr>
          <w:p w:rsidR="000A156F" w:rsidRDefault="00A9721F">
            <w:pPr>
              <w:pStyle w:val="TableBodyText"/>
            </w:pPr>
            <w:r>
              <w:t>03D5</w:t>
            </w:r>
          </w:p>
        </w:tc>
      </w:tr>
      <w:tr w:rsidR="000A156F" w:rsidTr="000A156F">
        <w:tc>
          <w:tcPr>
            <w:tcW w:w="0" w:type="auto"/>
            <w:vAlign w:val="center"/>
          </w:tcPr>
          <w:p w:rsidR="000A156F" w:rsidRDefault="00A9721F">
            <w:pPr>
              <w:pStyle w:val="TableBodyText"/>
            </w:pPr>
            <w:r>
              <w:t>InsertIndex</w:t>
            </w:r>
          </w:p>
        </w:tc>
        <w:tc>
          <w:tcPr>
            <w:tcW w:w="0" w:type="auto"/>
            <w:vAlign w:val="center"/>
          </w:tcPr>
          <w:p w:rsidR="000A156F" w:rsidRDefault="00A9721F">
            <w:pPr>
              <w:pStyle w:val="TableBodyText"/>
            </w:pPr>
            <w:r>
              <w:t>00AA</w:t>
            </w:r>
          </w:p>
        </w:tc>
      </w:tr>
      <w:tr w:rsidR="000A156F" w:rsidTr="000A156F">
        <w:tc>
          <w:tcPr>
            <w:tcW w:w="0" w:type="auto"/>
            <w:vAlign w:val="center"/>
          </w:tcPr>
          <w:p w:rsidR="000A156F" w:rsidRDefault="00A9721F">
            <w:pPr>
              <w:pStyle w:val="TableBodyText"/>
            </w:pPr>
            <w:r>
              <w:t>InsertIndexAndTables</w:t>
            </w:r>
          </w:p>
        </w:tc>
        <w:tc>
          <w:tcPr>
            <w:tcW w:w="0" w:type="auto"/>
            <w:vAlign w:val="center"/>
          </w:tcPr>
          <w:p w:rsidR="000A156F" w:rsidRDefault="00A9721F">
            <w:pPr>
              <w:pStyle w:val="TableBodyText"/>
            </w:pPr>
            <w:r>
              <w:t>01D9</w:t>
            </w:r>
          </w:p>
        </w:tc>
      </w:tr>
      <w:tr w:rsidR="000A156F" w:rsidTr="000A156F">
        <w:tc>
          <w:tcPr>
            <w:tcW w:w="0" w:type="auto"/>
            <w:vAlign w:val="center"/>
          </w:tcPr>
          <w:p w:rsidR="000A156F" w:rsidRDefault="00A9721F">
            <w:pPr>
              <w:pStyle w:val="TableBodyText"/>
            </w:pPr>
            <w:r>
              <w:t>InsertInkAnnotations</w:t>
            </w:r>
          </w:p>
        </w:tc>
        <w:tc>
          <w:tcPr>
            <w:tcW w:w="0" w:type="auto"/>
            <w:vAlign w:val="center"/>
          </w:tcPr>
          <w:p w:rsidR="000A156F" w:rsidRDefault="00A9721F">
            <w:pPr>
              <w:pStyle w:val="TableBodyText"/>
            </w:pPr>
            <w:r>
              <w:t>05C3</w:t>
            </w:r>
          </w:p>
        </w:tc>
      </w:tr>
      <w:tr w:rsidR="000A156F" w:rsidTr="000A156F">
        <w:tc>
          <w:tcPr>
            <w:tcW w:w="0" w:type="auto"/>
            <w:vAlign w:val="center"/>
          </w:tcPr>
          <w:p w:rsidR="000A156F" w:rsidRDefault="00A9721F">
            <w:pPr>
              <w:pStyle w:val="TableBodyText"/>
            </w:pPr>
            <w:r>
              <w:t>InsertInkComment</w:t>
            </w:r>
          </w:p>
        </w:tc>
        <w:tc>
          <w:tcPr>
            <w:tcW w:w="0" w:type="auto"/>
            <w:vAlign w:val="center"/>
          </w:tcPr>
          <w:p w:rsidR="000A156F" w:rsidRDefault="00A9721F">
            <w:pPr>
              <w:pStyle w:val="TableBodyText"/>
            </w:pPr>
            <w:r>
              <w:t>058D</w:t>
            </w:r>
          </w:p>
        </w:tc>
      </w:tr>
      <w:tr w:rsidR="000A156F" w:rsidTr="000A156F">
        <w:tc>
          <w:tcPr>
            <w:tcW w:w="0" w:type="auto"/>
            <w:vAlign w:val="center"/>
          </w:tcPr>
          <w:p w:rsidR="000A156F" w:rsidRDefault="00A9721F">
            <w:pPr>
              <w:pStyle w:val="TableBodyText"/>
            </w:pPr>
            <w:r>
              <w:t>InsertInkSplitMenu</w:t>
            </w:r>
          </w:p>
        </w:tc>
        <w:tc>
          <w:tcPr>
            <w:tcW w:w="0" w:type="auto"/>
            <w:vAlign w:val="center"/>
          </w:tcPr>
          <w:p w:rsidR="000A156F" w:rsidRDefault="00A9721F">
            <w:pPr>
              <w:pStyle w:val="TableBodyText"/>
            </w:pPr>
            <w:r>
              <w:t>16BD</w:t>
            </w:r>
          </w:p>
        </w:tc>
      </w:tr>
      <w:tr w:rsidR="000A156F" w:rsidTr="000A156F">
        <w:tc>
          <w:tcPr>
            <w:tcW w:w="0" w:type="auto"/>
            <w:vAlign w:val="center"/>
          </w:tcPr>
          <w:p w:rsidR="000A156F" w:rsidRDefault="00A9721F">
            <w:pPr>
              <w:pStyle w:val="TableBodyText"/>
            </w:pPr>
            <w:r>
              <w:t>InsertListNumField</w:t>
            </w:r>
          </w:p>
        </w:tc>
        <w:tc>
          <w:tcPr>
            <w:tcW w:w="0" w:type="auto"/>
            <w:vAlign w:val="center"/>
          </w:tcPr>
          <w:p w:rsidR="000A156F" w:rsidRDefault="00A9721F">
            <w:pPr>
              <w:pStyle w:val="TableBodyText"/>
            </w:pPr>
            <w:r>
              <w:t>03C6</w:t>
            </w:r>
          </w:p>
        </w:tc>
      </w:tr>
      <w:tr w:rsidR="000A156F" w:rsidTr="000A156F">
        <w:tc>
          <w:tcPr>
            <w:tcW w:w="0" w:type="auto"/>
            <w:vAlign w:val="center"/>
          </w:tcPr>
          <w:p w:rsidR="000A156F" w:rsidRDefault="00A9721F">
            <w:pPr>
              <w:pStyle w:val="TableBodyText"/>
            </w:pPr>
            <w:r>
              <w:t>InsertMergeField</w:t>
            </w:r>
          </w:p>
        </w:tc>
        <w:tc>
          <w:tcPr>
            <w:tcW w:w="0" w:type="auto"/>
            <w:vAlign w:val="center"/>
          </w:tcPr>
          <w:p w:rsidR="000A156F" w:rsidRDefault="00A9721F">
            <w:pPr>
              <w:pStyle w:val="TableBodyText"/>
            </w:pPr>
            <w:r>
              <w:t>00A7</w:t>
            </w:r>
          </w:p>
        </w:tc>
      </w:tr>
      <w:tr w:rsidR="000A156F" w:rsidTr="000A156F">
        <w:tc>
          <w:tcPr>
            <w:tcW w:w="0" w:type="auto"/>
            <w:vAlign w:val="center"/>
          </w:tcPr>
          <w:p w:rsidR="000A156F" w:rsidRDefault="00A9721F">
            <w:pPr>
              <w:pStyle w:val="TableBodyText"/>
            </w:pPr>
            <w:r>
              <w:t>InsertNewComment</w:t>
            </w:r>
          </w:p>
        </w:tc>
        <w:tc>
          <w:tcPr>
            <w:tcW w:w="0" w:type="auto"/>
            <w:vAlign w:val="center"/>
          </w:tcPr>
          <w:p w:rsidR="000A156F" w:rsidRDefault="00A9721F">
            <w:pPr>
              <w:pStyle w:val="TableBodyText"/>
            </w:pPr>
            <w:r>
              <w:t>0517</w:t>
            </w:r>
          </w:p>
        </w:tc>
      </w:tr>
      <w:tr w:rsidR="000A156F" w:rsidTr="000A156F">
        <w:tc>
          <w:tcPr>
            <w:tcW w:w="0" w:type="auto"/>
            <w:vAlign w:val="center"/>
          </w:tcPr>
          <w:p w:rsidR="000A156F" w:rsidRDefault="00A9721F">
            <w:pPr>
              <w:pStyle w:val="TableBodyText"/>
            </w:pPr>
            <w:r>
              <w:t>InsertNewPage</w:t>
            </w:r>
          </w:p>
        </w:tc>
        <w:tc>
          <w:tcPr>
            <w:tcW w:w="0" w:type="auto"/>
            <w:vAlign w:val="center"/>
          </w:tcPr>
          <w:p w:rsidR="000A156F" w:rsidRDefault="00A9721F">
            <w:pPr>
              <w:pStyle w:val="TableBodyText"/>
            </w:pPr>
            <w:r>
              <w:t>084F</w:t>
            </w:r>
          </w:p>
        </w:tc>
      </w:tr>
      <w:tr w:rsidR="000A156F" w:rsidTr="000A156F">
        <w:tc>
          <w:tcPr>
            <w:tcW w:w="0" w:type="auto"/>
            <w:vAlign w:val="center"/>
          </w:tcPr>
          <w:p w:rsidR="000A156F" w:rsidRDefault="00A9721F">
            <w:pPr>
              <w:pStyle w:val="TableBodyText"/>
            </w:pPr>
            <w:r>
              <w:t>InsertNumber</w:t>
            </w:r>
          </w:p>
        </w:tc>
        <w:tc>
          <w:tcPr>
            <w:tcW w:w="0" w:type="auto"/>
            <w:vAlign w:val="center"/>
          </w:tcPr>
          <w:p w:rsidR="000A156F" w:rsidRDefault="00A9721F">
            <w:pPr>
              <w:pStyle w:val="TableBodyText"/>
            </w:pPr>
            <w:r>
              <w:t>032C</w:t>
            </w:r>
          </w:p>
        </w:tc>
      </w:tr>
      <w:tr w:rsidR="000A156F" w:rsidTr="000A156F">
        <w:tc>
          <w:tcPr>
            <w:tcW w:w="0" w:type="auto"/>
            <w:vAlign w:val="center"/>
          </w:tcPr>
          <w:p w:rsidR="000A156F" w:rsidRDefault="00A9721F">
            <w:pPr>
              <w:pStyle w:val="TableBodyText"/>
            </w:pPr>
            <w:r>
              <w:t>InsertNumberOfPages</w:t>
            </w:r>
          </w:p>
        </w:tc>
        <w:tc>
          <w:tcPr>
            <w:tcW w:w="0" w:type="auto"/>
            <w:vAlign w:val="center"/>
          </w:tcPr>
          <w:p w:rsidR="000A156F" w:rsidRDefault="00A9721F">
            <w:pPr>
              <w:pStyle w:val="TableBodyText"/>
            </w:pPr>
            <w:r>
              <w:t>0343</w:t>
            </w:r>
          </w:p>
        </w:tc>
      </w:tr>
      <w:tr w:rsidR="000A156F" w:rsidTr="000A156F">
        <w:tc>
          <w:tcPr>
            <w:tcW w:w="0" w:type="auto"/>
            <w:vAlign w:val="center"/>
          </w:tcPr>
          <w:p w:rsidR="000A156F" w:rsidRDefault="00A9721F">
            <w:pPr>
              <w:pStyle w:val="TableBodyText"/>
            </w:pPr>
            <w:r>
              <w:t>InsertOCX</w:t>
            </w:r>
          </w:p>
        </w:tc>
        <w:tc>
          <w:tcPr>
            <w:tcW w:w="0" w:type="auto"/>
            <w:vAlign w:val="center"/>
          </w:tcPr>
          <w:p w:rsidR="000A156F" w:rsidRDefault="00A9721F">
            <w:pPr>
              <w:pStyle w:val="TableBodyText"/>
            </w:pPr>
            <w:r>
              <w:t>0391</w:t>
            </w:r>
          </w:p>
        </w:tc>
      </w:tr>
      <w:tr w:rsidR="000A156F" w:rsidTr="000A156F">
        <w:tc>
          <w:tcPr>
            <w:tcW w:w="0" w:type="auto"/>
            <w:vAlign w:val="center"/>
          </w:tcPr>
          <w:p w:rsidR="000A156F" w:rsidRDefault="00A9721F">
            <w:pPr>
              <w:pStyle w:val="TableBodyText"/>
            </w:pPr>
            <w:r>
              <w:t>InsertOCXButton</w:t>
            </w:r>
          </w:p>
        </w:tc>
        <w:tc>
          <w:tcPr>
            <w:tcW w:w="0" w:type="auto"/>
            <w:vAlign w:val="center"/>
          </w:tcPr>
          <w:p w:rsidR="000A156F" w:rsidRDefault="00A9721F">
            <w:pPr>
              <w:pStyle w:val="TableBodyText"/>
            </w:pPr>
            <w:r>
              <w:t>1BAA</w:t>
            </w:r>
          </w:p>
        </w:tc>
      </w:tr>
      <w:tr w:rsidR="000A156F" w:rsidTr="000A156F">
        <w:tc>
          <w:tcPr>
            <w:tcW w:w="0" w:type="auto"/>
            <w:vAlign w:val="center"/>
          </w:tcPr>
          <w:p w:rsidR="000A156F" w:rsidRDefault="00A9721F">
            <w:pPr>
              <w:pStyle w:val="TableBodyText"/>
            </w:pPr>
            <w:r>
              <w:t>InsertOCXCheckbox</w:t>
            </w:r>
          </w:p>
        </w:tc>
        <w:tc>
          <w:tcPr>
            <w:tcW w:w="0" w:type="auto"/>
            <w:vAlign w:val="center"/>
          </w:tcPr>
          <w:p w:rsidR="000A156F" w:rsidRDefault="00A9721F">
            <w:pPr>
              <w:pStyle w:val="TableBodyText"/>
            </w:pPr>
            <w:r>
              <w:t>1BA5</w:t>
            </w:r>
          </w:p>
        </w:tc>
      </w:tr>
      <w:tr w:rsidR="000A156F" w:rsidTr="000A156F">
        <w:tc>
          <w:tcPr>
            <w:tcW w:w="0" w:type="auto"/>
            <w:vAlign w:val="center"/>
          </w:tcPr>
          <w:p w:rsidR="000A156F" w:rsidRDefault="00A9721F">
            <w:pPr>
              <w:pStyle w:val="TableBodyText"/>
            </w:pPr>
            <w:r>
              <w:t>InsertOCXDialog</w:t>
            </w:r>
          </w:p>
        </w:tc>
        <w:tc>
          <w:tcPr>
            <w:tcW w:w="0" w:type="auto"/>
            <w:vAlign w:val="center"/>
          </w:tcPr>
          <w:p w:rsidR="000A156F" w:rsidRDefault="00A9721F">
            <w:pPr>
              <w:pStyle w:val="TableBodyText"/>
            </w:pPr>
            <w:r>
              <w:t>080E</w:t>
            </w:r>
          </w:p>
        </w:tc>
      </w:tr>
      <w:tr w:rsidR="000A156F" w:rsidTr="000A156F">
        <w:tc>
          <w:tcPr>
            <w:tcW w:w="0" w:type="auto"/>
            <w:vAlign w:val="center"/>
          </w:tcPr>
          <w:p w:rsidR="000A156F" w:rsidRDefault="00A9721F">
            <w:pPr>
              <w:pStyle w:val="TableBodyText"/>
            </w:pPr>
            <w:r>
              <w:t>InsertOCXDropdownCombo</w:t>
            </w:r>
          </w:p>
        </w:tc>
        <w:tc>
          <w:tcPr>
            <w:tcW w:w="0" w:type="auto"/>
            <w:vAlign w:val="center"/>
          </w:tcPr>
          <w:p w:rsidR="000A156F" w:rsidRDefault="00A9721F">
            <w:pPr>
              <w:pStyle w:val="TableBodyText"/>
            </w:pPr>
            <w:r>
              <w:t>1BAD</w:t>
            </w:r>
          </w:p>
        </w:tc>
      </w:tr>
      <w:tr w:rsidR="000A156F" w:rsidTr="000A156F">
        <w:tc>
          <w:tcPr>
            <w:tcW w:w="0" w:type="auto"/>
            <w:vAlign w:val="center"/>
          </w:tcPr>
          <w:p w:rsidR="000A156F" w:rsidRDefault="00A9721F">
            <w:pPr>
              <w:pStyle w:val="TableBodyText"/>
            </w:pPr>
            <w:r>
              <w:t>InsertOCXFrame</w:t>
            </w:r>
          </w:p>
        </w:tc>
        <w:tc>
          <w:tcPr>
            <w:tcW w:w="0" w:type="auto"/>
            <w:vAlign w:val="center"/>
          </w:tcPr>
          <w:p w:rsidR="000A156F" w:rsidRDefault="00A9721F">
            <w:pPr>
              <w:pStyle w:val="TableBodyText"/>
            </w:pPr>
            <w:r>
              <w:t>1BB1</w:t>
            </w:r>
          </w:p>
        </w:tc>
      </w:tr>
      <w:tr w:rsidR="000A156F" w:rsidTr="000A156F">
        <w:tc>
          <w:tcPr>
            <w:tcW w:w="0" w:type="auto"/>
            <w:vAlign w:val="center"/>
          </w:tcPr>
          <w:p w:rsidR="000A156F" w:rsidRDefault="00A9721F">
            <w:pPr>
              <w:pStyle w:val="TableBodyText"/>
            </w:pPr>
            <w:r>
              <w:t>InsertOCXImage</w:t>
            </w:r>
          </w:p>
        </w:tc>
        <w:tc>
          <w:tcPr>
            <w:tcW w:w="0" w:type="auto"/>
            <w:vAlign w:val="center"/>
          </w:tcPr>
          <w:p w:rsidR="000A156F" w:rsidRDefault="00A9721F">
            <w:pPr>
              <w:pStyle w:val="TableBodyText"/>
            </w:pPr>
            <w:r>
              <w:t>1BB2</w:t>
            </w:r>
          </w:p>
        </w:tc>
      </w:tr>
      <w:tr w:rsidR="000A156F" w:rsidTr="000A156F">
        <w:tc>
          <w:tcPr>
            <w:tcW w:w="0" w:type="auto"/>
            <w:vAlign w:val="center"/>
          </w:tcPr>
          <w:p w:rsidR="000A156F" w:rsidRDefault="00A9721F">
            <w:pPr>
              <w:pStyle w:val="TableBodyText"/>
            </w:pPr>
            <w:r>
              <w:t>InsertOCXLabel</w:t>
            </w:r>
          </w:p>
        </w:tc>
        <w:tc>
          <w:tcPr>
            <w:tcW w:w="0" w:type="auto"/>
            <w:vAlign w:val="center"/>
          </w:tcPr>
          <w:p w:rsidR="000A156F" w:rsidRDefault="00A9721F">
            <w:pPr>
              <w:pStyle w:val="TableBodyText"/>
            </w:pPr>
            <w:r>
              <w:t>1BA8</w:t>
            </w:r>
          </w:p>
        </w:tc>
      </w:tr>
      <w:tr w:rsidR="000A156F" w:rsidTr="000A156F">
        <w:tc>
          <w:tcPr>
            <w:tcW w:w="0" w:type="auto"/>
            <w:vAlign w:val="center"/>
          </w:tcPr>
          <w:p w:rsidR="000A156F" w:rsidRDefault="00A9721F">
            <w:pPr>
              <w:pStyle w:val="TableBodyText"/>
            </w:pPr>
            <w:r>
              <w:t>InsertOCXListBox</w:t>
            </w:r>
          </w:p>
        </w:tc>
        <w:tc>
          <w:tcPr>
            <w:tcW w:w="0" w:type="auto"/>
            <w:vAlign w:val="center"/>
          </w:tcPr>
          <w:p w:rsidR="000A156F" w:rsidRDefault="00A9721F">
            <w:pPr>
              <w:pStyle w:val="TableBodyText"/>
            </w:pPr>
            <w:r>
              <w:t>1BAC</w:t>
            </w:r>
          </w:p>
        </w:tc>
      </w:tr>
      <w:tr w:rsidR="000A156F" w:rsidTr="000A156F">
        <w:tc>
          <w:tcPr>
            <w:tcW w:w="0" w:type="auto"/>
            <w:vAlign w:val="center"/>
          </w:tcPr>
          <w:p w:rsidR="000A156F" w:rsidRDefault="00A9721F">
            <w:pPr>
              <w:pStyle w:val="TableBodyText"/>
            </w:pPr>
            <w:r>
              <w:t>InsertOCXOptionButton</w:t>
            </w:r>
          </w:p>
        </w:tc>
        <w:tc>
          <w:tcPr>
            <w:tcW w:w="0" w:type="auto"/>
            <w:vAlign w:val="center"/>
          </w:tcPr>
          <w:p w:rsidR="000A156F" w:rsidRDefault="00A9721F">
            <w:pPr>
              <w:pStyle w:val="TableBodyText"/>
            </w:pPr>
            <w:r>
              <w:t>1BAB</w:t>
            </w:r>
          </w:p>
        </w:tc>
      </w:tr>
      <w:tr w:rsidR="000A156F" w:rsidTr="000A156F">
        <w:tc>
          <w:tcPr>
            <w:tcW w:w="0" w:type="auto"/>
            <w:vAlign w:val="center"/>
          </w:tcPr>
          <w:p w:rsidR="000A156F" w:rsidRDefault="00A9721F">
            <w:pPr>
              <w:pStyle w:val="TableBodyText"/>
            </w:pPr>
            <w:r>
              <w:t>InsertOCXScrollbar</w:t>
            </w:r>
          </w:p>
        </w:tc>
        <w:tc>
          <w:tcPr>
            <w:tcW w:w="0" w:type="auto"/>
            <w:vAlign w:val="center"/>
          </w:tcPr>
          <w:p w:rsidR="000A156F" w:rsidRDefault="00A9721F">
            <w:pPr>
              <w:pStyle w:val="TableBodyText"/>
            </w:pPr>
            <w:r>
              <w:t>1BA7</w:t>
            </w:r>
          </w:p>
        </w:tc>
      </w:tr>
      <w:tr w:rsidR="000A156F" w:rsidTr="000A156F">
        <w:tc>
          <w:tcPr>
            <w:tcW w:w="0" w:type="auto"/>
            <w:vAlign w:val="center"/>
          </w:tcPr>
          <w:p w:rsidR="000A156F" w:rsidRDefault="00A9721F">
            <w:pPr>
              <w:pStyle w:val="TableBodyText"/>
            </w:pPr>
            <w:r>
              <w:t>InsertOCXSpin</w:t>
            </w:r>
          </w:p>
        </w:tc>
        <w:tc>
          <w:tcPr>
            <w:tcW w:w="0" w:type="auto"/>
            <w:vAlign w:val="center"/>
          </w:tcPr>
          <w:p w:rsidR="000A156F" w:rsidRDefault="00A9721F">
            <w:pPr>
              <w:pStyle w:val="TableBodyText"/>
            </w:pPr>
            <w:r>
              <w:t>1BA6</w:t>
            </w:r>
          </w:p>
        </w:tc>
      </w:tr>
      <w:tr w:rsidR="000A156F" w:rsidTr="000A156F">
        <w:tc>
          <w:tcPr>
            <w:tcW w:w="0" w:type="auto"/>
            <w:vAlign w:val="center"/>
          </w:tcPr>
          <w:p w:rsidR="000A156F" w:rsidRDefault="00A9721F">
            <w:pPr>
              <w:pStyle w:val="TableBodyText"/>
            </w:pPr>
            <w:r>
              <w:t>InsertOCXTextBox</w:t>
            </w:r>
          </w:p>
        </w:tc>
        <w:tc>
          <w:tcPr>
            <w:tcW w:w="0" w:type="auto"/>
            <w:vAlign w:val="center"/>
          </w:tcPr>
          <w:p w:rsidR="000A156F" w:rsidRDefault="00A9721F">
            <w:pPr>
              <w:pStyle w:val="TableBodyText"/>
            </w:pPr>
            <w:r>
              <w:t>1BA9</w:t>
            </w:r>
          </w:p>
        </w:tc>
      </w:tr>
      <w:tr w:rsidR="000A156F" w:rsidTr="000A156F">
        <w:tc>
          <w:tcPr>
            <w:tcW w:w="0" w:type="auto"/>
            <w:vAlign w:val="center"/>
          </w:tcPr>
          <w:p w:rsidR="000A156F" w:rsidRDefault="00A9721F">
            <w:pPr>
              <w:pStyle w:val="TableBodyText"/>
            </w:pPr>
            <w:r>
              <w:t>InsertOCXToggleButton</w:t>
            </w:r>
          </w:p>
        </w:tc>
        <w:tc>
          <w:tcPr>
            <w:tcW w:w="0" w:type="auto"/>
            <w:vAlign w:val="center"/>
          </w:tcPr>
          <w:p w:rsidR="000A156F" w:rsidRDefault="00A9721F">
            <w:pPr>
              <w:pStyle w:val="TableBodyText"/>
            </w:pPr>
            <w:r>
              <w:t>1BAE</w:t>
            </w:r>
          </w:p>
        </w:tc>
      </w:tr>
      <w:tr w:rsidR="000A156F" w:rsidTr="000A156F">
        <w:tc>
          <w:tcPr>
            <w:tcW w:w="0" w:type="auto"/>
            <w:vAlign w:val="center"/>
          </w:tcPr>
          <w:p w:rsidR="000A156F" w:rsidRDefault="00A9721F">
            <w:pPr>
              <w:pStyle w:val="TableBodyText"/>
            </w:pPr>
            <w:r>
              <w:t>InsertObject</w:t>
            </w:r>
          </w:p>
        </w:tc>
        <w:tc>
          <w:tcPr>
            <w:tcW w:w="0" w:type="auto"/>
            <w:vAlign w:val="center"/>
          </w:tcPr>
          <w:p w:rsidR="000A156F" w:rsidRDefault="00A9721F">
            <w:pPr>
              <w:pStyle w:val="TableBodyText"/>
            </w:pPr>
            <w:r>
              <w:t>00AC</w:t>
            </w:r>
          </w:p>
        </w:tc>
      </w:tr>
      <w:tr w:rsidR="000A156F" w:rsidTr="000A156F">
        <w:tc>
          <w:tcPr>
            <w:tcW w:w="0" w:type="auto"/>
            <w:vAlign w:val="center"/>
          </w:tcPr>
          <w:p w:rsidR="000A156F" w:rsidRDefault="00A9721F">
            <w:pPr>
              <w:pStyle w:val="TableBodyText"/>
            </w:pPr>
            <w:r>
              <w:t>InsertOfficeDrawing</w:t>
            </w:r>
          </w:p>
        </w:tc>
        <w:tc>
          <w:tcPr>
            <w:tcW w:w="0" w:type="auto"/>
            <w:vAlign w:val="center"/>
          </w:tcPr>
          <w:p w:rsidR="000A156F" w:rsidRDefault="00A9721F">
            <w:pPr>
              <w:pStyle w:val="TableBodyText"/>
            </w:pPr>
            <w:r>
              <w:t>032F</w:t>
            </w:r>
          </w:p>
        </w:tc>
      </w:tr>
      <w:tr w:rsidR="000A156F" w:rsidTr="000A156F">
        <w:tc>
          <w:tcPr>
            <w:tcW w:w="0" w:type="auto"/>
            <w:vAlign w:val="center"/>
          </w:tcPr>
          <w:p w:rsidR="000A156F" w:rsidRDefault="00A9721F">
            <w:pPr>
              <w:pStyle w:val="TableBodyText"/>
            </w:pPr>
            <w:r>
              <w:t>InsertPageBreak</w:t>
            </w:r>
          </w:p>
        </w:tc>
        <w:tc>
          <w:tcPr>
            <w:tcW w:w="0" w:type="auto"/>
            <w:vAlign w:val="center"/>
          </w:tcPr>
          <w:p w:rsidR="000A156F" w:rsidRDefault="00A9721F">
            <w:pPr>
              <w:pStyle w:val="TableBodyText"/>
            </w:pPr>
            <w:r>
              <w:t>033E</w:t>
            </w:r>
          </w:p>
        </w:tc>
      </w:tr>
      <w:tr w:rsidR="000A156F" w:rsidTr="000A156F">
        <w:tc>
          <w:tcPr>
            <w:tcW w:w="0" w:type="auto"/>
            <w:vAlign w:val="center"/>
          </w:tcPr>
          <w:p w:rsidR="000A156F" w:rsidRDefault="00A9721F">
            <w:pPr>
              <w:pStyle w:val="TableBodyText"/>
            </w:pPr>
            <w:r>
              <w:t>InsertPageField</w:t>
            </w:r>
          </w:p>
        </w:tc>
        <w:tc>
          <w:tcPr>
            <w:tcW w:w="0" w:type="auto"/>
            <w:vAlign w:val="center"/>
          </w:tcPr>
          <w:p w:rsidR="000A156F" w:rsidRDefault="00A9721F">
            <w:pPr>
              <w:pStyle w:val="TableBodyText"/>
            </w:pPr>
            <w:r>
              <w:t>00EF</w:t>
            </w:r>
          </w:p>
        </w:tc>
      </w:tr>
      <w:tr w:rsidR="000A156F" w:rsidTr="000A156F">
        <w:tc>
          <w:tcPr>
            <w:tcW w:w="0" w:type="auto"/>
            <w:vAlign w:val="center"/>
          </w:tcPr>
          <w:p w:rsidR="000A156F" w:rsidRDefault="00A9721F">
            <w:pPr>
              <w:pStyle w:val="TableBodyText"/>
            </w:pPr>
            <w:r>
              <w:t>InsertPageNumbers</w:t>
            </w:r>
          </w:p>
        </w:tc>
        <w:tc>
          <w:tcPr>
            <w:tcW w:w="0" w:type="auto"/>
            <w:vAlign w:val="center"/>
          </w:tcPr>
          <w:p w:rsidR="000A156F" w:rsidRDefault="00A9721F">
            <w:pPr>
              <w:pStyle w:val="TableBodyText"/>
            </w:pPr>
            <w:r>
              <w:t>0126</w:t>
            </w:r>
          </w:p>
        </w:tc>
      </w:tr>
      <w:tr w:rsidR="000A156F" w:rsidTr="000A156F">
        <w:tc>
          <w:tcPr>
            <w:tcW w:w="0" w:type="auto"/>
            <w:vAlign w:val="center"/>
          </w:tcPr>
          <w:p w:rsidR="000A156F" w:rsidRDefault="00A9721F">
            <w:pPr>
              <w:pStyle w:val="TableBodyText"/>
            </w:pPr>
            <w:r>
              <w:lastRenderedPageBreak/>
              <w:t>InsertPicture</w:t>
            </w:r>
          </w:p>
        </w:tc>
        <w:tc>
          <w:tcPr>
            <w:tcW w:w="0" w:type="auto"/>
            <w:vAlign w:val="center"/>
          </w:tcPr>
          <w:p w:rsidR="000A156F" w:rsidRDefault="00A9721F">
            <w:pPr>
              <w:pStyle w:val="TableBodyText"/>
            </w:pPr>
            <w:r>
              <w:t>00A3</w:t>
            </w:r>
          </w:p>
        </w:tc>
      </w:tr>
      <w:tr w:rsidR="000A156F" w:rsidTr="000A156F">
        <w:tc>
          <w:tcPr>
            <w:tcW w:w="0" w:type="auto"/>
            <w:vAlign w:val="center"/>
          </w:tcPr>
          <w:p w:rsidR="000A156F" w:rsidRDefault="00A9721F">
            <w:pPr>
              <w:pStyle w:val="TableBodyText"/>
            </w:pPr>
            <w:r>
              <w:t>InsertPicture3</w:t>
            </w:r>
          </w:p>
        </w:tc>
        <w:tc>
          <w:tcPr>
            <w:tcW w:w="0" w:type="auto"/>
            <w:vAlign w:val="center"/>
          </w:tcPr>
          <w:p w:rsidR="000A156F" w:rsidRDefault="00A9721F">
            <w:pPr>
              <w:pStyle w:val="TableBodyText"/>
            </w:pPr>
            <w:r>
              <w:t>090D</w:t>
            </w:r>
          </w:p>
        </w:tc>
      </w:tr>
      <w:tr w:rsidR="000A156F" w:rsidTr="000A156F">
        <w:tc>
          <w:tcPr>
            <w:tcW w:w="0" w:type="auto"/>
            <w:vAlign w:val="center"/>
          </w:tcPr>
          <w:p w:rsidR="000A156F" w:rsidRDefault="00A9721F">
            <w:pPr>
              <w:pStyle w:val="TableBodyText"/>
            </w:pPr>
            <w:r>
              <w:t>InsertPictureBullet</w:t>
            </w:r>
          </w:p>
        </w:tc>
        <w:tc>
          <w:tcPr>
            <w:tcW w:w="0" w:type="auto"/>
            <w:vAlign w:val="center"/>
          </w:tcPr>
          <w:p w:rsidR="000A156F" w:rsidRDefault="00A9721F">
            <w:pPr>
              <w:pStyle w:val="TableBodyText"/>
            </w:pPr>
            <w:r>
              <w:t>035C</w:t>
            </w:r>
          </w:p>
        </w:tc>
      </w:tr>
      <w:tr w:rsidR="000A156F" w:rsidTr="000A156F">
        <w:tc>
          <w:tcPr>
            <w:tcW w:w="0" w:type="auto"/>
            <w:vAlign w:val="center"/>
          </w:tcPr>
          <w:p w:rsidR="000A156F" w:rsidRDefault="00A9721F">
            <w:pPr>
              <w:pStyle w:val="TableBodyText"/>
            </w:pPr>
            <w:r>
              <w:t>InsertPolicyBarcode</w:t>
            </w:r>
          </w:p>
        </w:tc>
        <w:tc>
          <w:tcPr>
            <w:tcW w:w="0" w:type="auto"/>
            <w:vAlign w:val="center"/>
          </w:tcPr>
          <w:p w:rsidR="000A156F" w:rsidRDefault="00A9721F">
            <w:pPr>
              <w:pStyle w:val="TableBodyText"/>
            </w:pPr>
            <w:r>
              <w:t>0787</w:t>
            </w:r>
          </w:p>
        </w:tc>
      </w:tr>
      <w:tr w:rsidR="000A156F" w:rsidTr="000A156F">
        <w:tc>
          <w:tcPr>
            <w:tcW w:w="0" w:type="auto"/>
            <w:vAlign w:val="center"/>
          </w:tcPr>
          <w:p w:rsidR="000A156F" w:rsidRDefault="00A9721F">
            <w:pPr>
              <w:pStyle w:val="TableBodyText"/>
            </w:pPr>
            <w:r>
              <w:t>InsertPolicyLabel</w:t>
            </w:r>
          </w:p>
        </w:tc>
        <w:tc>
          <w:tcPr>
            <w:tcW w:w="0" w:type="auto"/>
            <w:vAlign w:val="center"/>
          </w:tcPr>
          <w:p w:rsidR="000A156F" w:rsidRDefault="00A9721F">
            <w:pPr>
              <w:pStyle w:val="TableBodyText"/>
            </w:pPr>
            <w:r>
              <w:t>0785</w:t>
            </w:r>
          </w:p>
        </w:tc>
      </w:tr>
      <w:tr w:rsidR="000A156F" w:rsidTr="000A156F">
        <w:tc>
          <w:tcPr>
            <w:tcW w:w="0" w:type="auto"/>
            <w:vAlign w:val="center"/>
          </w:tcPr>
          <w:p w:rsidR="000A156F" w:rsidRDefault="00A9721F">
            <w:pPr>
              <w:pStyle w:val="TableBodyText"/>
            </w:pPr>
            <w:r>
              <w:t>InsertSectionBreak</w:t>
            </w:r>
          </w:p>
        </w:tc>
        <w:tc>
          <w:tcPr>
            <w:tcW w:w="0" w:type="auto"/>
            <w:vAlign w:val="center"/>
          </w:tcPr>
          <w:p w:rsidR="000A156F" w:rsidRDefault="00A9721F">
            <w:pPr>
              <w:pStyle w:val="TableBodyText"/>
            </w:pPr>
            <w:r>
              <w:t>02C3</w:t>
            </w:r>
          </w:p>
        </w:tc>
      </w:tr>
      <w:tr w:rsidR="000A156F" w:rsidTr="000A156F">
        <w:tc>
          <w:tcPr>
            <w:tcW w:w="0" w:type="auto"/>
            <w:vAlign w:val="center"/>
          </w:tcPr>
          <w:p w:rsidR="000A156F" w:rsidRDefault="00A9721F">
            <w:pPr>
              <w:pStyle w:val="TableBodyText"/>
            </w:pPr>
            <w:r>
              <w:t>InsertSignatureLine</w:t>
            </w:r>
          </w:p>
        </w:tc>
        <w:tc>
          <w:tcPr>
            <w:tcW w:w="0" w:type="auto"/>
            <w:vAlign w:val="center"/>
          </w:tcPr>
          <w:p w:rsidR="000A156F" w:rsidRDefault="00A9721F">
            <w:pPr>
              <w:pStyle w:val="TableBodyText"/>
            </w:pPr>
            <w:r>
              <w:t>077A</w:t>
            </w:r>
          </w:p>
        </w:tc>
      </w:tr>
      <w:tr w:rsidR="000A156F" w:rsidTr="000A156F">
        <w:tc>
          <w:tcPr>
            <w:tcW w:w="0" w:type="auto"/>
            <w:vAlign w:val="center"/>
          </w:tcPr>
          <w:p w:rsidR="000A156F" w:rsidRDefault="00A9721F">
            <w:pPr>
              <w:pStyle w:val="TableBodyText"/>
            </w:pPr>
            <w:r>
              <w:t>InsertSignatureLineMenuItem</w:t>
            </w:r>
          </w:p>
        </w:tc>
        <w:tc>
          <w:tcPr>
            <w:tcW w:w="0" w:type="auto"/>
            <w:vAlign w:val="center"/>
          </w:tcPr>
          <w:p w:rsidR="000A156F" w:rsidRDefault="00A9721F">
            <w:pPr>
              <w:pStyle w:val="TableBodyText"/>
            </w:pPr>
            <w:r>
              <w:t>0819</w:t>
            </w:r>
          </w:p>
        </w:tc>
      </w:tr>
      <w:tr w:rsidR="000A156F" w:rsidTr="000A156F">
        <w:tc>
          <w:tcPr>
            <w:tcW w:w="0" w:type="auto"/>
            <w:vAlign w:val="center"/>
          </w:tcPr>
          <w:p w:rsidR="000A156F" w:rsidRDefault="00A9721F">
            <w:pPr>
              <w:pStyle w:val="TableBodyText"/>
            </w:pPr>
            <w:r>
              <w:t>InsertSound</w:t>
            </w:r>
          </w:p>
        </w:tc>
        <w:tc>
          <w:tcPr>
            <w:tcW w:w="0" w:type="auto"/>
            <w:vAlign w:val="center"/>
          </w:tcPr>
          <w:p w:rsidR="000A156F" w:rsidRDefault="00A9721F">
            <w:pPr>
              <w:pStyle w:val="TableBodyText"/>
            </w:pPr>
            <w:r>
              <w:t>0207</w:t>
            </w:r>
          </w:p>
        </w:tc>
      </w:tr>
      <w:tr w:rsidR="000A156F" w:rsidTr="000A156F">
        <w:tc>
          <w:tcPr>
            <w:tcW w:w="0" w:type="auto"/>
            <w:vAlign w:val="center"/>
          </w:tcPr>
          <w:p w:rsidR="000A156F" w:rsidRDefault="00A9721F">
            <w:pPr>
              <w:pStyle w:val="TableBodyText"/>
            </w:pPr>
            <w:r>
              <w:t>InsertSoundComment</w:t>
            </w:r>
          </w:p>
        </w:tc>
        <w:tc>
          <w:tcPr>
            <w:tcW w:w="0" w:type="auto"/>
            <w:vAlign w:val="center"/>
          </w:tcPr>
          <w:p w:rsidR="000A156F" w:rsidRDefault="00A9721F">
            <w:pPr>
              <w:pStyle w:val="TableBodyText"/>
            </w:pPr>
            <w:r>
              <w:t>05A5</w:t>
            </w:r>
          </w:p>
        </w:tc>
      </w:tr>
      <w:tr w:rsidR="000A156F" w:rsidTr="000A156F">
        <w:tc>
          <w:tcPr>
            <w:tcW w:w="0" w:type="auto"/>
            <w:vAlign w:val="center"/>
          </w:tcPr>
          <w:p w:rsidR="000A156F" w:rsidRDefault="00A9721F">
            <w:pPr>
              <w:pStyle w:val="TableBodyText"/>
            </w:pPr>
            <w:r>
              <w:t>InsertSpike</w:t>
            </w:r>
          </w:p>
        </w:tc>
        <w:tc>
          <w:tcPr>
            <w:tcW w:w="0" w:type="auto"/>
            <w:vAlign w:val="center"/>
          </w:tcPr>
          <w:p w:rsidR="000A156F" w:rsidRDefault="00A9721F">
            <w:pPr>
              <w:pStyle w:val="TableBodyText"/>
            </w:pPr>
            <w:r>
              <w:t>0010</w:t>
            </w:r>
          </w:p>
        </w:tc>
      </w:tr>
      <w:tr w:rsidR="000A156F" w:rsidTr="000A156F">
        <w:tc>
          <w:tcPr>
            <w:tcW w:w="0" w:type="auto"/>
            <w:vAlign w:val="center"/>
          </w:tcPr>
          <w:p w:rsidR="000A156F" w:rsidRDefault="00A9721F">
            <w:pPr>
              <w:pStyle w:val="TableBodyText"/>
            </w:pPr>
            <w:r>
              <w:t>InsertStyleSeparator</w:t>
            </w:r>
          </w:p>
        </w:tc>
        <w:tc>
          <w:tcPr>
            <w:tcW w:w="0" w:type="auto"/>
            <w:vAlign w:val="center"/>
          </w:tcPr>
          <w:p w:rsidR="000A156F" w:rsidRDefault="00A9721F">
            <w:pPr>
              <w:pStyle w:val="TableBodyText"/>
            </w:pPr>
            <w:r>
              <w:t>0576</w:t>
            </w:r>
          </w:p>
        </w:tc>
      </w:tr>
      <w:tr w:rsidR="000A156F" w:rsidTr="000A156F">
        <w:tc>
          <w:tcPr>
            <w:tcW w:w="0" w:type="auto"/>
            <w:vAlign w:val="center"/>
          </w:tcPr>
          <w:p w:rsidR="000A156F" w:rsidRDefault="00A9721F">
            <w:pPr>
              <w:pStyle w:val="TableBodyText"/>
            </w:pPr>
            <w:r>
              <w:t>InsertSubdocument</w:t>
            </w:r>
          </w:p>
        </w:tc>
        <w:tc>
          <w:tcPr>
            <w:tcW w:w="0" w:type="auto"/>
            <w:vAlign w:val="center"/>
          </w:tcPr>
          <w:p w:rsidR="000A156F" w:rsidRDefault="00A9721F">
            <w:pPr>
              <w:pStyle w:val="TableBodyText"/>
            </w:pPr>
            <w:r>
              <w:t>0247</w:t>
            </w:r>
          </w:p>
        </w:tc>
      </w:tr>
      <w:tr w:rsidR="000A156F" w:rsidTr="000A156F">
        <w:tc>
          <w:tcPr>
            <w:tcW w:w="0" w:type="auto"/>
            <w:vAlign w:val="center"/>
          </w:tcPr>
          <w:p w:rsidR="000A156F" w:rsidRDefault="00A9721F">
            <w:pPr>
              <w:pStyle w:val="TableBodyText"/>
            </w:pPr>
            <w:r>
              <w:t>InsertSymbol</w:t>
            </w:r>
          </w:p>
        </w:tc>
        <w:tc>
          <w:tcPr>
            <w:tcW w:w="0" w:type="auto"/>
            <w:vAlign w:val="center"/>
          </w:tcPr>
          <w:p w:rsidR="000A156F" w:rsidRDefault="00A9721F">
            <w:pPr>
              <w:pStyle w:val="TableBodyText"/>
            </w:pPr>
            <w:r>
              <w:t>00A2</w:t>
            </w:r>
          </w:p>
        </w:tc>
      </w:tr>
      <w:tr w:rsidR="000A156F" w:rsidTr="000A156F">
        <w:tc>
          <w:tcPr>
            <w:tcW w:w="0" w:type="auto"/>
            <w:vAlign w:val="center"/>
          </w:tcPr>
          <w:p w:rsidR="000A156F" w:rsidRDefault="00A9721F">
            <w:pPr>
              <w:pStyle w:val="TableBodyText"/>
            </w:pPr>
            <w:r>
              <w:t>InsertTableGallery</w:t>
            </w:r>
          </w:p>
        </w:tc>
        <w:tc>
          <w:tcPr>
            <w:tcW w:w="0" w:type="auto"/>
            <w:vAlign w:val="center"/>
          </w:tcPr>
          <w:p w:rsidR="000A156F" w:rsidRDefault="00A9721F">
            <w:pPr>
              <w:pStyle w:val="TableBodyText"/>
            </w:pPr>
            <w:r>
              <w:t>08D1</w:t>
            </w:r>
          </w:p>
        </w:tc>
      </w:tr>
      <w:tr w:rsidR="000A156F" w:rsidTr="000A156F">
        <w:tc>
          <w:tcPr>
            <w:tcW w:w="0" w:type="auto"/>
            <w:vAlign w:val="center"/>
          </w:tcPr>
          <w:p w:rsidR="000A156F" w:rsidRDefault="00A9721F">
            <w:pPr>
              <w:pStyle w:val="TableBodyText"/>
            </w:pPr>
            <w:r>
              <w:t>InsertTableOfAuthorities</w:t>
            </w:r>
          </w:p>
        </w:tc>
        <w:tc>
          <w:tcPr>
            <w:tcW w:w="0" w:type="auto"/>
            <w:vAlign w:val="center"/>
          </w:tcPr>
          <w:p w:rsidR="000A156F" w:rsidRDefault="00A9721F">
            <w:pPr>
              <w:pStyle w:val="TableBodyText"/>
            </w:pPr>
            <w:r>
              <w:t>01D7</w:t>
            </w:r>
          </w:p>
        </w:tc>
      </w:tr>
      <w:tr w:rsidR="000A156F" w:rsidTr="000A156F">
        <w:tc>
          <w:tcPr>
            <w:tcW w:w="0" w:type="auto"/>
            <w:vAlign w:val="center"/>
          </w:tcPr>
          <w:p w:rsidR="000A156F" w:rsidRDefault="00A9721F">
            <w:pPr>
              <w:pStyle w:val="TableBodyText"/>
            </w:pPr>
            <w:r>
              <w:t>InsertTableOfContents</w:t>
            </w:r>
          </w:p>
        </w:tc>
        <w:tc>
          <w:tcPr>
            <w:tcW w:w="0" w:type="auto"/>
            <w:vAlign w:val="center"/>
          </w:tcPr>
          <w:p w:rsidR="000A156F" w:rsidRDefault="00A9721F">
            <w:pPr>
              <w:pStyle w:val="TableBodyText"/>
            </w:pPr>
            <w:r>
              <w:t>00AB</w:t>
            </w:r>
          </w:p>
        </w:tc>
      </w:tr>
      <w:tr w:rsidR="000A156F" w:rsidTr="000A156F">
        <w:tc>
          <w:tcPr>
            <w:tcW w:w="0" w:type="auto"/>
            <w:vAlign w:val="center"/>
          </w:tcPr>
          <w:p w:rsidR="000A156F" w:rsidRDefault="00A9721F">
            <w:pPr>
              <w:pStyle w:val="TableBodyText"/>
            </w:pPr>
            <w:r>
              <w:t>InsertTableOfContentsMenu</w:t>
            </w:r>
          </w:p>
        </w:tc>
        <w:tc>
          <w:tcPr>
            <w:tcW w:w="0" w:type="auto"/>
            <w:vAlign w:val="center"/>
          </w:tcPr>
          <w:p w:rsidR="000A156F" w:rsidRDefault="00A9721F">
            <w:pPr>
              <w:pStyle w:val="TableBodyText"/>
            </w:pPr>
            <w:r>
              <w:t>0923</w:t>
            </w:r>
          </w:p>
        </w:tc>
      </w:tr>
      <w:tr w:rsidR="000A156F" w:rsidTr="000A156F">
        <w:tc>
          <w:tcPr>
            <w:tcW w:w="0" w:type="auto"/>
            <w:vAlign w:val="center"/>
          </w:tcPr>
          <w:p w:rsidR="000A156F" w:rsidRDefault="00A9721F">
            <w:pPr>
              <w:pStyle w:val="TableBodyText"/>
            </w:pPr>
            <w:r>
              <w:t>InsertTableOfFigures</w:t>
            </w:r>
          </w:p>
        </w:tc>
        <w:tc>
          <w:tcPr>
            <w:tcW w:w="0" w:type="auto"/>
            <w:vAlign w:val="center"/>
          </w:tcPr>
          <w:p w:rsidR="000A156F" w:rsidRDefault="00A9721F">
            <w:pPr>
              <w:pStyle w:val="TableBodyText"/>
            </w:pPr>
            <w:r>
              <w:t>01D8</w:t>
            </w:r>
          </w:p>
        </w:tc>
      </w:tr>
      <w:tr w:rsidR="000A156F" w:rsidTr="000A156F">
        <w:tc>
          <w:tcPr>
            <w:tcW w:w="0" w:type="auto"/>
            <w:vAlign w:val="center"/>
          </w:tcPr>
          <w:p w:rsidR="000A156F" w:rsidRDefault="00A9721F">
            <w:pPr>
              <w:pStyle w:val="TableBodyText"/>
            </w:pPr>
            <w:r>
              <w:t>InsertTimeField</w:t>
            </w:r>
          </w:p>
        </w:tc>
        <w:tc>
          <w:tcPr>
            <w:tcW w:w="0" w:type="auto"/>
            <w:vAlign w:val="center"/>
          </w:tcPr>
          <w:p w:rsidR="000A156F" w:rsidRDefault="00A9721F">
            <w:pPr>
              <w:pStyle w:val="TableBodyText"/>
            </w:pPr>
            <w:r>
              <w:t>00F1</w:t>
            </w:r>
          </w:p>
        </w:tc>
      </w:tr>
      <w:tr w:rsidR="000A156F" w:rsidTr="000A156F">
        <w:tc>
          <w:tcPr>
            <w:tcW w:w="0" w:type="auto"/>
            <w:vAlign w:val="center"/>
          </w:tcPr>
          <w:p w:rsidR="000A156F" w:rsidRDefault="00A9721F">
            <w:pPr>
              <w:pStyle w:val="TableBodyText"/>
            </w:pPr>
            <w:r>
              <w:t>InsertVerticalFrame</w:t>
            </w:r>
          </w:p>
        </w:tc>
        <w:tc>
          <w:tcPr>
            <w:tcW w:w="0" w:type="auto"/>
            <w:vAlign w:val="center"/>
          </w:tcPr>
          <w:p w:rsidR="000A156F" w:rsidRDefault="00A9721F">
            <w:pPr>
              <w:pStyle w:val="TableBodyText"/>
            </w:pPr>
            <w:r>
              <w:t>0313</w:t>
            </w:r>
          </w:p>
        </w:tc>
      </w:tr>
      <w:tr w:rsidR="000A156F" w:rsidTr="000A156F">
        <w:tc>
          <w:tcPr>
            <w:tcW w:w="0" w:type="auto"/>
            <w:vAlign w:val="center"/>
          </w:tcPr>
          <w:p w:rsidR="000A156F" w:rsidRDefault="00A9721F">
            <w:pPr>
              <w:pStyle w:val="TableBodyText"/>
            </w:pPr>
            <w:r>
              <w:t>InsertWebComponent</w:t>
            </w:r>
          </w:p>
        </w:tc>
        <w:tc>
          <w:tcPr>
            <w:tcW w:w="0" w:type="auto"/>
            <w:vAlign w:val="center"/>
          </w:tcPr>
          <w:p w:rsidR="000A156F" w:rsidRDefault="00A9721F">
            <w:pPr>
              <w:pStyle w:val="TableBodyText"/>
            </w:pPr>
            <w:r>
              <w:t>052C</w:t>
            </w:r>
          </w:p>
        </w:tc>
      </w:tr>
      <w:tr w:rsidR="000A156F" w:rsidTr="000A156F">
        <w:tc>
          <w:tcPr>
            <w:tcW w:w="0" w:type="auto"/>
            <w:vAlign w:val="center"/>
          </w:tcPr>
          <w:p w:rsidR="000A156F" w:rsidRDefault="00A9721F">
            <w:pPr>
              <w:pStyle w:val="TableBodyText"/>
            </w:pPr>
            <w:r>
              <w:t>InsertWordArt</w:t>
            </w:r>
          </w:p>
        </w:tc>
        <w:tc>
          <w:tcPr>
            <w:tcW w:w="0" w:type="auto"/>
            <w:vAlign w:val="center"/>
          </w:tcPr>
          <w:p w:rsidR="000A156F" w:rsidRDefault="00A9721F">
            <w:pPr>
              <w:pStyle w:val="TableBodyText"/>
            </w:pPr>
            <w:r>
              <w:t>02AA</w:t>
            </w:r>
          </w:p>
        </w:tc>
      </w:tr>
      <w:tr w:rsidR="000A156F" w:rsidTr="000A156F">
        <w:tc>
          <w:tcPr>
            <w:tcW w:w="0" w:type="auto"/>
            <w:vAlign w:val="center"/>
          </w:tcPr>
          <w:p w:rsidR="000A156F" w:rsidRDefault="00A9721F">
            <w:pPr>
              <w:pStyle w:val="TableBodyText"/>
            </w:pPr>
            <w:r>
              <w:t>InsertWordArtGallery</w:t>
            </w:r>
          </w:p>
        </w:tc>
        <w:tc>
          <w:tcPr>
            <w:tcW w:w="0" w:type="auto"/>
            <w:vAlign w:val="center"/>
          </w:tcPr>
          <w:p w:rsidR="000A156F" w:rsidRDefault="00A9721F">
            <w:pPr>
              <w:pStyle w:val="TableBodyText"/>
            </w:pPr>
            <w:r>
              <w:t>08CF</w:t>
            </w:r>
          </w:p>
        </w:tc>
      </w:tr>
      <w:tr w:rsidR="000A156F" w:rsidTr="000A156F">
        <w:tc>
          <w:tcPr>
            <w:tcW w:w="0" w:type="auto"/>
            <w:vAlign w:val="center"/>
          </w:tcPr>
          <w:p w:rsidR="000A156F" w:rsidRDefault="00A9721F">
            <w:pPr>
              <w:pStyle w:val="TableBodyText"/>
            </w:pPr>
            <w:r>
              <w:t>Italic</w:t>
            </w:r>
          </w:p>
        </w:tc>
        <w:tc>
          <w:tcPr>
            <w:tcW w:w="0" w:type="auto"/>
            <w:vAlign w:val="center"/>
          </w:tcPr>
          <w:p w:rsidR="000A156F" w:rsidRDefault="00A9721F">
            <w:pPr>
              <w:pStyle w:val="TableBodyText"/>
            </w:pPr>
            <w:r>
              <w:t>002E</w:t>
            </w:r>
          </w:p>
        </w:tc>
      </w:tr>
      <w:tr w:rsidR="000A156F" w:rsidTr="000A156F">
        <w:tc>
          <w:tcPr>
            <w:tcW w:w="0" w:type="auto"/>
            <w:vAlign w:val="center"/>
          </w:tcPr>
          <w:p w:rsidR="000A156F" w:rsidRDefault="00A9721F">
            <w:pPr>
              <w:pStyle w:val="TableBodyText"/>
            </w:pPr>
            <w:r>
              <w:t>ItalicRun</w:t>
            </w:r>
          </w:p>
        </w:tc>
        <w:tc>
          <w:tcPr>
            <w:tcW w:w="0" w:type="auto"/>
            <w:vAlign w:val="center"/>
          </w:tcPr>
          <w:p w:rsidR="000A156F" w:rsidRDefault="00A9721F">
            <w:pPr>
              <w:pStyle w:val="TableBodyText"/>
            </w:pPr>
            <w:r>
              <w:t>0425</w:t>
            </w:r>
          </w:p>
        </w:tc>
      </w:tr>
      <w:tr w:rsidR="000A156F" w:rsidTr="000A156F">
        <w:tc>
          <w:tcPr>
            <w:tcW w:w="0" w:type="auto"/>
            <w:vAlign w:val="center"/>
          </w:tcPr>
          <w:p w:rsidR="000A156F" w:rsidRDefault="00A9721F">
            <w:pPr>
              <w:pStyle w:val="TableBodyText"/>
            </w:pPr>
            <w:r>
              <w:t>JapaneseGreetingClosingSentence</w:t>
            </w:r>
          </w:p>
        </w:tc>
        <w:tc>
          <w:tcPr>
            <w:tcW w:w="0" w:type="auto"/>
            <w:vAlign w:val="center"/>
          </w:tcPr>
          <w:p w:rsidR="000A156F" w:rsidRDefault="00A9721F">
            <w:pPr>
              <w:pStyle w:val="TableBodyText"/>
            </w:pPr>
            <w:r>
              <w:t>04E2</w:t>
            </w:r>
          </w:p>
        </w:tc>
      </w:tr>
      <w:tr w:rsidR="000A156F" w:rsidTr="000A156F">
        <w:tc>
          <w:tcPr>
            <w:tcW w:w="0" w:type="auto"/>
            <w:vAlign w:val="center"/>
          </w:tcPr>
          <w:p w:rsidR="000A156F" w:rsidRDefault="00A9721F">
            <w:pPr>
              <w:pStyle w:val="TableBodyText"/>
            </w:pPr>
            <w:r>
              <w:t>JapaneseGreetingFlyout</w:t>
            </w:r>
          </w:p>
        </w:tc>
        <w:tc>
          <w:tcPr>
            <w:tcW w:w="0" w:type="auto"/>
            <w:vAlign w:val="center"/>
          </w:tcPr>
          <w:p w:rsidR="000A156F" w:rsidRDefault="00A9721F">
            <w:pPr>
              <w:pStyle w:val="TableBodyText"/>
            </w:pPr>
            <w:r>
              <w:t>08A7</w:t>
            </w:r>
          </w:p>
        </w:tc>
      </w:tr>
      <w:tr w:rsidR="000A156F" w:rsidTr="000A156F">
        <w:tc>
          <w:tcPr>
            <w:tcW w:w="0" w:type="auto"/>
            <w:vAlign w:val="center"/>
          </w:tcPr>
          <w:p w:rsidR="000A156F" w:rsidRDefault="00A9721F">
            <w:pPr>
              <w:pStyle w:val="TableBodyText"/>
            </w:pPr>
            <w:r>
              <w:t>JapaneseGreetingOpeningSentence</w:t>
            </w:r>
          </w:p>
        </w:tc>
        <w:tc>
          <w:tcPr>
            <w:tcW w:w="0" w:type="auto"/>
            <w:vAlign w:val="center"/>
          </w:tcPr>
          <w:p w:rsidR="000A156F" w:rsidRDefault="00A9721F">
            <w:pPr>
              <w:pStyle w:val="TableBodyText"/>
            </w:pPr>
            <w:r>
              <w:t>04E1</w:t>
            </w:r>
          </w:p>
        </w:tc>
      </w:tr>
      <w:tr w:rsidR="000A156F" w:rsidTr="000A156F">
        <w:tc>
          <w:tcPr>
            <w:tcW w:w="0" w:type="auto"/>
            <w:vAlign w:val="center"/>
          </w:tcPr>
          <w:p w:rsidR="000A156F" w:rsidRDefault="00A9721F">
            <w:pPr>
              <w:pStyle w:val="TableBodyText"/>
            </w:pPr>
            <w:r>
              <w:t>JapaneseGreetingPreviousGreeting</w:t>
            </w:r>
          </w:p>
        </w:tc>
        <w:tc>
          <w:tcPr>
            <w:tcW w:w="0" w:type="auto"/>
            <w:vAlign w:val="center"/>
          </w:tcPr>
          <w:p w:rsidR="000A156F" w:rsidRDefault="00A9721F">
            <w:pPr>
              <w:pStyle w:val="TableBodyText"/>
            </w:pPr>
            <w:r>
              <w:t>04E3</w:t>
            </w:r>
          </w:p>
        </w:tc>
      </w:tr>
      <w:tr w:rsidR="000A156F" w:rsidTr="000A156F">
        <w:tc>
          <w:tcPr>
            <w:tcW w:w="0" w:type="auto"/>
            <w:vAlign w:val="center"/>
          </w:tcPr>
          <w:p w:rsidR="000A156F" w:rsidRDefault="00A9721F">
            <w:pPr>
              <w:pStyle w:val="TableBodyText"/>
            </w:pPr>
            <w:r>
              <w:t>JoinToPreviousList</w:t>
            </w:r>
          </w:p>
        </w:tc>
        <w:tc>
          <w:tcPr>
            <w:tcW w:w="0" w:type="auto"/>
            <w:vAlign w:val="center"/>
          </w:tcPr>
          <w:p w:rsidR="000A156F" w:rsidRDefault="00A9721F">
            <w:pPr>
              <w:pStyle w:val="TableBodyText"/>
            </w:pPr>
            <w:r>
              <w:t>0771</w:t>
            </w:r>
          </w:p>
        </w:tc>
      </w:tr>
      <w:tr w:rsidR="000A156F" w:rsidTr="000A156F">
        <w:tc>
          <w:tcPr>
            <w:tcW w:w="0" w:type="auto"/>
            <w:vAlign w:val="center"/>
          </w:tcPr>
          <w:p w:rsidR="000A156F" w:rsidRDefault="00A9721F">
            <w:pPr>
              <w:pStyle w:val="TableBodyText"/>
            </w:pPr>
            <w:r>
              <w:t>JumpToHeading</w:t>
            </w:r>
          </w:p>
        </w:tc>
        <w:tc>
          <w:tcPr>
            <w:tcW w:w="0" w:type="auto"/>
            <w:vAlign w:val="center"/>
          </w:tcPr>
          <w:p w:rsidR="000A156F" w:rsidRDefault="00A9721F">
            <w:pPr>
              <w:pStyle w:val="TableBodyText"/>
            </w:pPr>
            <w:r>
              <w:t>05D1</w:t>
            </w:r>
          </w:p>
        </w:tc>
      </w:tr>
      <w:tr w:rsidR="000A156F" w:rsidTr="000A156F">
        <w:tc>
          <w:tcPr>
            <w:tcW w:w="0" w:type="auto"/>
            <w:vAlign w:val="center"/>
          </w:tcPr>
          <w:p w:rsidR="000A156F" w:rsidRDefault="00A9721F">
            <w:pPr>
              <w:pStyle w:val="TableBodyText"/>
            </w:pPr>
            <w:r>
              <w:lastRenderedPageBreak/>
              <w:t>JumpToScrn</w:t>
            </w:r>
          </w:p>
        </w:tc>
        <w:tc>
          <w:tcPr>
            <w:tcW w:w="0" w:type="auto"/>
            <w:vAlign w:val="center"/>
          </w:tcPr>
          <w:p w:rsidR="000A156F" w:rsidRDefault="00A9721F">
            <w:pPr>
              <w:pStyle w:val="TableBodyText"/>
            </w:pPr>
            <w:r>
              <w:t>05D0</w:t>
            </w:r>
          </w:p>
        </w:tc>
      </w:tr>
      <w:tr w:rsidR="000A156F" w:rsidTr="000A156F">
        <w:tc>
          <w:tcPr>
            <w:tcW w:w="0" w:type="auto"/>
            <w:vAlign w:val="center"/>
          </w:tcPr>
          <w:p w:rsidR="000A156F" w:rsidRDefault="00A9721F">
            <w:pPr>
              <w:pStyle w:val="TableBodyText"/>
            </w:pPr>
            <w:r>
              <w:t>JustifyFlyout</w:t>
            </w:r>
          </w:p>
        </w:tc>
        <w:tc>
          <w:tcPr>
            <w:tcW w:w="0" w:type="auto"/>
            <w:vAlign w:val="center"/>
          </w:tcPr>
          <w:p w:rsidR="000A156F" w:rsidRDefault="00A9721F">
            <w:pPr>
              <w:pStyle w:val="TableBodyText"/>
            </w:pPr>
            <w:r>
              <w:t>08A5</w:t>
            </w:r>
          </w:p>
        </w:tc>
      </w:tr>
      <w:tr w:rsidR="000A156F" w:rsidTr="000A156F">
        <w:tc>
          <w:tcPr>
            <w:tcW w:w="0" w:type="auto"/>
            <w:vAlign w:val="center"/>
          </w:tcPr>
          <w:p w:rsidR="000A156F" w:rsidRDefault="00A9721F">
            <w:pPr>
              <w:pStyle w:val="TableBodyText"/>
            </w:pPr>
            <w:r>
              <w:t>JustifyPara</w:t>
            </w:r>
          </w:p>
        </w:tc>
        <w:tc>
          <w:tcPr>
            <w:tcW w:w="0" w:type="auto"/>
            <w:vAlign w:val="center"/>
          </w:tcPr>
          <w:p w:rsidR="000A156F" w:rsidRDefault="00A9721F">
            <w:pPr>
              <w:pStyle w:val="TableBodyText"/>
            </w:pPr>
            <w:r>
              <w:t>003D</w:t>
            </w:r>
          </w:p>
        </w:tc>
      </w:tr>
      <w:tr w:rsidR="000A156F" w:rsidTr="000A156F">
        <w:tc>
          <w:tcPr>
            <w:tcW w:w="0" w:type="auto"/>
            <w:vAlign w:val="center"/>
          </w:tcPr>
          <w:p w:rsidR="000A156F" w:rsidRDefault="00A9721F">
            <w:pPr>
              <w:pStyle w:val="TableBodyText"/>
            </w:pPr>
            <w:r>
              <w:t>JustifyParaHigh</w:t>
            </w:r>
          </w:p>
        </w:tc>
        <w:tc>
          <w:tcPr>
            <w:tcW w:w="0" w:type="auto"/>
            <w:vAlign w:val="center"/>
          </w:tcPr>
          <w:p w:rsidR="000A156F" w:rsidRDefault="00A9721F">
            <w:pPr>
              <w:pStyle w:val="TableBodyText"/>
            </w:pPr>
            <w:r>
              <w:t>08AB</w:t>
            </w:r>
          </w:p>
        </w:tc>
      </w:tr>
      <w:tr w:rsidR="000A156F" w:rsidTr="000A156F">
        <w:tc>
          <w:tcPr>
            <w:tcW w:w="0" w:type="auto"/>
            <w:vAlign w:val="center"/>
          </w:tcPr>
          <w:p w:rsidR="000A156F" w:rsidRDefault="00A9721F">
            <w:pPr>
              <w:pStyle w:val="TableBodyText"/>
            </w:pPr>
            <w:r>
              <w:t>JustifyParaLow</w:t>
            </w:r>
          </w:p>
        </w:tc>
        <w:tc>
          <w:tcPr>
            <w:tcW w:w="0" w:type="auto"/>
            <w:vAlign w:val="center"/>
          </w:tcPr>
          <w:p w:rsidR="000A156F" w:rsidRDefault="00A9721F">
            <w:pPr>
              <w:pStyle w:val="TableBodyText"/>
            </w:pPr>
            <w:r>
              <w:t>08A9</w:t>
            </w:r>
          </w:p>
        </w:tc>
      </w:tr>
      <w:tr w:rsidR="000A156F" w:rsidTr="000A156F">
        <w:tc>
          <w:tcPr>
            <w:tcW w:w="0" w:type="auto"/>
            <w:vAlign w:val="center"/>
          </w:tcPr>
          <w:p w:rsidR="000A156F" w:rsidRDefault="00A9721F">
            <w:pPr>
              <w:pStyle w:val="TableBodyText"/>
            </w:pPr>
            <w:r>
              <w:t>JustifyParaMedium</w:t>
            </w:r>
          </w:p>
        </w:tc>
        <w:tc>
          <w:tcPr>
            <w:tcW w:w="0" w:type="auto"/>
            <w:vAlign w:val="center"/>
          </w:tcPr>
          <w:p w:rsidR="000A156F" w:rsidRDefault="00A9721F">
            <w:pPr>
              <w:pStyle w:val="TableBodyText"/>
            </w:pPr>
            <w:r>
              <w:t>08AA</w:t>
            </w:r>
          </w:p>
        </w:tc>
      </w:tr>
      <w:tr w:rsidR="000A156F" w:rsidTr="000A156F">
        <w:tc>
          <w:tcPr>
            <w:tcW w:w="0" w:type="auto"/>
            <w:vAlign w:val="center"/>
          </w:tcPr>
          <w:p w:rsidR="000A156F" w:rsidRDefault="00A9721F">
            <w:pPr>
              <w:pStyle w:val="TableBodyText"/>
            </w:pPr>
            <w:r>
              <w:t>JustifyParaSpecial</w:t>
            </w:r>
          </w:p>
        </w:tc>
        <w:tc>
          <w:tcPr>
            <w:tcW w:w="0" w:type="auto"/>
            <w:vAlign w:val="center"/>
          </w:tcPr>
          <w:p w:rsidR="000A156F" w:rsidRDefault="00A9721F">
            <w:pPr>
              <w:pStyle w:val="TableBodyText"/>
            </w:pPr>
            <w:r>
              <w:t>08A8</w:t>
            </w:r>
          </w:p>
        </w:tc>
      </w:tr>
      <w:tr w:rsidR="000A156F" w:rsidTr="000A156F">
        <w:tc>
          <w:tcPr>
            <w:tcW w:w="0" w:type="auto"/>
            <w:vAlign w:val="center"/>
          </w:tcPr>
          <w:p w:rsidR="000A156F" w:rsidRDefault="00A9721F">
            <w:pPr>
              <w:pStyle w:val="TableBodyText"/>
            </w:pPr>
            <w:r>
              <w:t>JustifyParaThai</w:t>
            </w:r>
          </w:p>
        </w:tc>
        <w:tc>
          <w:tcPr>
            <w:tcW w:w="0" w:type="auto"/>
            <w:vAlign w:val="center"/>
          </w:tcPr>
          <w:p w:rsidR="000A156F" w:rsidRDefault="00A9721F">
            <w:pPr>
              <w:pStyle w:val="TableBodyText"/>
            </w:pPr>
            <w:r>
              <w:t>08AC</w:t>
            </w:r>
          </w:p>
        </w:tc>
      </w:tr>
      <w:tr w:rsidR="000A156F" w:rsidTr="000A156F">
        <w:tc>
          <w:tcPr>
            <w:tcW w:w="0" w:type="auto"/>
            <w:vAlign w:val="center"/>
          </w:tcPr>
          <w:p w:rsidR="000A156F" w:rsidRDefault="00A9721F">
            <w:pPr>
              <w:pStyle w:val="TableBodyText"/>
            </w:pPr>
            <w:r>
              <w:t>LTRMacroDialogs</w:t>
            </w:r>
          </w:p>
        </w:tc>
        <w:tc>
          <w:tcPr>
            <w:tcW w:w="0" w:type="auto"/>
            <w:vAlign w:val="center"/>
          </w:tcPr>
          <w:p w:rsidR="000A156F" w:rsidRDefault="00A9721F">
            <w:pPr>
              <w:pStyle w:val="TableBodyText"/>
            </w:pPr>
            <w:r>
              <w:t>0429</w:t>
            </w:r>
          </w:p>
        </w:tc>
      </w:tr>
      <w:tr w:rsidR="000A156F" w:rsidTr="000A156F">
        <w:tc>
          <w:tcPr>
            <w:tcW w:w="0" w:type="auto"/>
            <w:vAlign w:val="center"/>
          </w:tcPr>
          <w:p w:rsidR="000A156F" w:rsidRDefault="00A9721F">
            <w:pPr>
              <w:pStyle w:val="TableBodyText"/>
            </w:pPr>
            <w:r>
              <w:t>LabelOptions</w:t>
            </w:r>
          </w:p>
        </w:tc>
        <w:tc>
          <w:tcPr>
            <w:tcW w:w="0" w:type="auto"/>
            <w:vAlign w:val="center"/>
          </w:tcPr>
          <w:p w:rsidR="000A156F" w:rsidRDefault="00A9721F">
            <w:pPr>
              <w:pStyle w:val="TableBodyText"/>
            </w:pPr>
            <w:r>
              <w:t>0557</w:t>
            </w:r>
          </w:p>
        </w:tc>
      </w:tr>
      <w:tr w:rsidR="000A156F" w:rsidTr="000A156F">
        <w:tc>
          <w:tcPr>
            <w:tcW w:w="0" w:type="auto"/>
            <w:vAlign w:val="center"/>
          </w:tcPr>
          <w:p w:rsidR="000A156F" w:rsidRDefault="00A9721F">
            <w:pPr>
              <w:pStyle w:val="TableBodyText"/>
            </w:pPr>
            <w:r>
              <w:t>Language</w:t>
            </w:r>
          </w:p>
        </w:tc>
        <w:tc>
          <w:tcPr>
            <w:tcW w:w="0" w:type="auto"/>
            <w:vAlign w:val="center"/>
          </w:tcPr>
          <w:p w:rsidR="000A156F" w:rsidRDefault="00A9721F">
            <w:pPr>
              <w:pStyle w:val="TableBodyText"/>
            </w:pPr>
            <w:r>
              <w:t>0358</w:t>
            </w:r>
          </w:p>
        </w:tc>
      </w:tr>
      <w:tr w:rsidR="000A156F" w:rsidTr="000A156F">
        <w:tc>
          <w:tcPr>
            <w:tcW w:w="0" w:type="auto"/>
            <w:vAlign w:val="center"/>
          </w:tcPr>
          <w:p w:rsidR="000A156F" w:rsidRDefault="00A9721F">
            <w:pPr>
              <w:pStyle w:val="TableBodyText"/>
            </w:pPr>
            <w:r>
              <w:t>LearnWords</w:t>
            </w:r>
          </w:p>
        </w:tc>
        <w:tc>
          <w:tcPr>
            <w:tcW w:w="0" w:type="auto"/>
            <w:vAlign w:val="center"/>
          </w:tcPr>
          <w:p w:rsidR="000A156F" w:rsidRDefault="00A9721F">
            <w:pPr>
              <w:pStyle w:val="TableBodyText"/>
            </w:pPr>
            <w:r>
              <w:t>04FF</w:t>
            </w:r>
          </w:p>
        </w:tc>
      </w:tr>
      <w:tr w:rsidR="000A156F" w:rsidTr="000A156F">
        <w:tc>
          <w:tcPr>
            <w:tcW w:w="0" w:type="auto"/>
            <w:vAlign w:val="center"/>
          </w:tcPr>
          <w:p w:rsidR="000A156F" w:rsidRDefault="00A9721F">
            <w:pPr>
              <w:pStyle w:val="TableBodyText"/>
            </w:pPr>
            <w:r>
              <w:t>LeftPara</w:t>
            </w:r>
          </w:p>
        </w:tc>
        <w:tc>
          <w:tcPr>
            <w:tcW w:w="0" w:type="auto"/>
            <w:vAlign w:val="center"/>
          </w:tcPr>
          <w:p w:rsidR="000A156F" w:rsidRDefault="00A9721F">
            <w:pPr>
              <w:pStyle w:val="TableBodyText"/>
            </w:pPr>
            <w:r>
              <w:t>003A</w:t>
            </w:r>
          </w:p>
        </w:tc>
      </w:tr>
      <w:tr w:rsidR="000A156F" w:rsidTr="000A156F">
        <w:tc>
          <w:tcPr>
            <w:tcW w:w="0" w:type="auto"/>
            <w:vAlign w:val="center"/>
          </w:tcPr>
          <w:p w:rsidR="000A156F" w:rsidRDefault="00A9721F">
            <w:pPr>
              <w:pStyle w:val="TableBodyText"/>
            </w:pPr>
            <w:r>
              <w:t>LegoCommonPartsGallery</w:t>
            </w:r>
          </w:p>
        </w:tc>
        <w:tc>
          <w:tcPr>
            <w:tcW w:w="0" w:type="auto"/>
            <w:vAlign w:val="center"/>
          </w:tcPr>
          <w:p w:rsidR="000A156F" w:rsidRDefault="00A9721F">
            <w:pPr>
              <w:pStyle w:val="TableBodyText"/>
            </w:pPr>
            <w:r>
              <w:t>07F0</w:t>
            </w:r>
          </w:p>
        </w:tc>
      </w:tr>
      <w:tr w:rsidR="000A156F" w:rsidTr="000A156F">
        <w:tc>
          <w:tcPr>
            <w:tcW w:w="0" w:type="auto"/>
            <w:vAlign w:val="center"/>
          </w:tcPr>
          <w:p w:rsidR="000A156F" w:rsidRDefault="00A9721F">
            <w:pPr>
              <w:pStyle w:val="TableBodyText"/>
            </w:pPr>
            <w:r>
              <w:t>LegoEquationsGallery</w:t>
            </w:r>
          </w:p>
        </w:tc>
        <w:tc>
          <w:tcPr>
            <w:tcW w:w="0" w:type="auto"/>
            <w:vAlign w:val="center"/>
          </w:tcPr>
          <w:p w:rsidR="000A156F" w:rsidRDefault="00A9721F">
            <w:pPr>
              <w:pStyle w:val="TableBodyText"/>
            </w:pPr>
            <w:r>
              <w:t>07EC</w:t>
            </w:r>
          </w:p>
        </w:tc>
      </w:tr>
      <w:tr w:rsidR="000A156F" w:rsidTr="000A156F">
        <w:tc>
          <w:tcPr>
            <w:tcW w:w="0" w:type="auto"/>
            <w:vAlign w:val="center"/>
          </w:tcPr>
          <w:p w:rsidR="000A156F" w:rsidRDefault="00A9721F">
            <w:pPr>
              <w:pStyle w:val="TableBodyText"/>
            </w:pPr>
            <w:r>
              <w:t>LegoPageNumBottomGallery</w:t>
            </w:r>
          </w:p>
        </w:tc>
        <w:tc>
          <w:tcPr>
            <w:tcW w:w="0" w:type="auto"/>
            <w:vAlign w:val="center"/>
          </w:tcPr>
          <w:p w:rsidR="000A156F" w:rsidRDefault="00A9721F">
            <w:pPr>
              <w:pStyle w:val="TableBodyText"/>
            </w:pPr>
            <w:r>
              <w:t>07EB</w:t>
            </w:r>
          </w:p>
        </w:tc>
      </w:tr>
      <w:tr w:rsidR="000A156F" w:rsidTr="000A156F">
        <w:tc>
          <w:tcPr>
            <w:tcW w:w="0" w:type="auto"/>
            <w:vAlign w:val="center"/>
          </w:tcPr>
          <w:p w:rsidR="000A156F" w:rsidRDefault="00A9721F">
            <w:pPr>
              <w:pStyle w:val="TableBodyText"/>
            </w:pPr>
            <w:r>
              <w:t>LegoPageNumGallery</w:t>
            </w:r>
          </w:p>
        </w:tc>
        <w:tc>
          <w:tcPr>
            <w:tcW w:w="0" w:type="auto"/>
            <w:vAlign w:val="center"/>
          </w:tcPr>
          <w:p w:rsidR="000A156F" w:rsidRDefault="00A9721F">
            <w:pPr>
              <w:pStyle w:val="TableBodyText"/>
            </w:pPr>
            <w:r>
              <w:t>07E7</w:t>
            </w:r>
          </w:p>
        </w:tc>
      </w:tr>
      <w:tr w:rsidR="000A156F" w:rsidTr="000A156F">
        <w:tc>
          <w:tcPr>
            <w:tcW w:w="0" w:type="auto"/>
            <w:vAlign w:val="center"/>
          </w:tcPr>
          <w:p w:rsidR="000A156F" w:rsidRDefault="00A9721F">
            <w:pPr>
              <w:pStyle w:val="TableBodyText"/>
            </w:pPr>
            <w:r>
              <w:t>LegoPageNumPageGallery</w:t>
            </w:r>
          </w:p>
        </w:tc>
        <w:tc>
          <w:tcPr>
            <w:tcW w:w="0" w:type="auto"/>
            <w:vAlign w:val="center"/>
          </w:tcPr>
          <w:p w:rsidR="000A156F" w:rsidRDefault="00A9721F">
            <w:pPr>
              <w:pStyle w:val="TableBodyText"/>
            </w:pPr>
            <w:r>
              <w:t>07E8</w:t>
            </w:r>
          </w:p>
        </w:tc>
      </w:tr>
      <w:tr w:rsidR="000A156F" w:rsidTr="000A156F">
        <w:tc>
          <w:tcPr>
            <w:tcW w:w="0" w:type="auto"/>
            <w:vAlign w:val="center"/>
          </w:tcPr>
          <w:p w:rsidR="000A156F" w:rsidRDefault="00A9721F">
            <w:pPr>
              <w:pStyle w:val="TableBodyText"/>
            </w:pPr>
            <w:r>
              <w:t>LegoPageNumTopGallery</w:t>
            </w:r>
          </w:p>
        </w:tc>
        <w:tc>
          <w:tcPr>
            <w:tcW w:w="0" w:type="auto"/>
            <w:vAlign w:val="center"/>
          </w:tcPr>
          <w:p w:rsidR="000A156F" w:rsidRDefault="00A9721F">
            <w:pPr>
              <w:pStyle w:val="TableBodyText"/>
            </w:pPr>
            <w:r>
              <w:t>07EA</w:t>
            </w:r>
          </w:p>
        </w:tc>
      </w:tr>
      <w:tr w:rsidR="000A156F" w:rsidTr="000A156F">
        <w:tc>
          <w:tcPr>
            <w:tcW w:w="0" w:type="auto"/>
            <w:vAlign w:val="center"/>
          </w:tcPr>
          <w:p w:rsidR="000A156F" w:rsidRDefault="00A9721F">
            <w:pPr>
              <w:pStyle w:val="TableBodyText"/>
            </w:pPr>
            <w:r>
              <w:t>LegoTablesGallery</w:t>
            </w:r>
          </w:p>
        </w:tc>
        <w:tc>
          <w:tcPr>
            <w:tcW w:w="0" w:type="auto"/>
            <w:vAlign w:val="center"/>
          </w:tcPr>
          <w:p w:rsidR="000A156F" w:rsidRDefault="00A9721F">
            <w:pPr>
              <w:pStyle w:val="TableBodyText"/>
            </w:pPr>
            <w:r>
              <w:t>07EE</w:t>
            </w:r>
          </w:p>
        </w:tc>
      </w:tr>
      <w:tr w:rsidR="000A156F" w:rsidTr="000A156F">
        <w:tc>
          <w:tcPr>
            <w:tcW w:w="0" w:type="auto"/>
            <w:vAlign w:val="center"/>
          </w:tcPr>
          <w:p w:rsidR="000A156F" w:rsidRDefault="00A9721F">
            <w:pPr>
              <w:pStyle w:val="TableBodyText"/>
            </w:pPr>
            <w:r>
              <w:t>LegoWatermarkGallery</w:t>
            </w:r>
          </w:p>
        </w:tc>
        <w:tc>
          <w:tcPr>
            <w:tcW w:w="0" w:type="auto"/>
            <w:vAlign w:val="center"/>
          </w:tcPr>
          <w:p w:rsidR="000A156F" w:rsidRDefault="00A9721F">
            <w:pPr>
              <w:pStyle w:val="TableBodyText"/>
            </w:pPr>
            <w:r>
              <w:t>07E9</w:t>
            </w:r>
          </w:p>
        </w:tc>
      </w:tr>
      <w:tr w:rsidR="000A156F" w:rsidTr="000A156F">
        <w:tc>
          <w:tcPr>
            <w:tcW w:w="0" w:type="auto"/>
            <w:vAlign w:val="center"/>
          </w:tcPr>
          <w:p w:rsidR="000A156F" w:rsidRDefault="00A9721F">
            <w:pPr>
              <w:pStyle w:val="TableBodyText"/>
            </w:pPr>
            <w:r>
              <w:t>LettersWizardJToolbar</w:t>
            </w:r>
          </w:p>
        </w:tc>
        <w:tc>
          <w:tcPr>
            <w:tcW w:w="0" w:type="auto"/>
            <w:vAlign w:val="center"/>
          </w:tcPr>
          <w:p w:rsidR="000A156F" w:rsidRDefault="00A9721F">
            <w:pPr>
              <w:pStyle w:val="TableBodyText"/>
            </w:pPr>
            <w:r>
              <w:t>052B</w:t>
            </w:r>
          </w:p>
        </w:tc>
      </w:tr>
      <w:tr w:rsidR="000A156F" w:rsidTr="000A156F">
        <w:tc>
          <w:tcPr>
            <w:tcW w:w="0" w:type="auto"/>
            <w:vAlign w:val="center"/>
          </w:tcPr>
          <w:p w:rsidR="000A156F" w:rsidRDefault="00A9721F">
            <w:pPr>
              <w:pStyle w:val="TableBodyText"/>
            </w:pPr>
            <w:r>
              <w:t>LicenseVerification</w:t>
            </w:r>
          </w:p>
        </w:tc>
        <w:tc>
          <w:tcPr>
            <w:tcW w:w="0" w:type="auto"/>
            <w:vAlign w:val="center"/>
          </w:tcPr>
          <w:p w:rsidR="000A156F" w:rsidRDefault="00A9721F">
            <w:pPr>
              <w:pStyle w:val="TableBodyText"/>
            </w:pPr>
            <w:r>
              <w:t>0561</w:t>
            </w:r>
          </w:p>
        </w:tc>
      </w:tr>
      <w:tr w:rsidR="000A156F" w:rsidTr="000A156F">
        <w:tc>
          <w:tcPr>
            <w:tcW w:w="0" w:type="auto"/>
            <w:vAlign w:val="center"/>
          </w:tcPr>
          <w:p w:rsidR="000A156F" w:rsidRDefault="00A9721F">
            <w:pPr>
              <w:pStyle w:val="TableBodyText"/>
            </w:pPr>
            <w:r>
              <w:t>Lighting3DGallery</w:t>
            </w:r>
          </w:p>
        </w:tc>
        <w:tc>
          <w:tcPr>
            <w:tcW w:w="0" w:type="auto"/>
            <w:vAlign w:val="center"/>
          </w:tcPr>
          <w:p w:rsidR="000A156F" w:rsidRDefault="00A9721F">
            <w:pPr>
              <w:pStyle w:val="TableBodyText"/>
            </w:pPr>
            <w:r>
              <w:t>08CD</w:t>
            </w:r>
          </w:p>
        </w:tc>
      </w:tr>
      <w:tr w:rsidR="000A156F" w:rsidTr="000A156F">
        <w:tc>
          <w:tcPr>
            <w:tcW w:w="0" w:type="auto"/>
            <w:vAlign w:val="center"/>
          </w:tcPr>
          <w:p w:rsidR="000A156F" w:rsidRDefault="00A9721F">
            <w:pPr>
              <w:pStyle w:val="TableBodyText"/>
            </w:pPr>
            <w:r>
              <w:t>LineColorPicker</w:t>
            </w:r>
          </w:p>
        </w:tc>
        <w:tc>
          <w:tcPr>
            <w:tcW w:w="0" w:type="auto"/>
            <w:vAlign w:val="center"/>
          </w:tcPr>
          <w:p w:rsidR="000A156F" w:rsidRDefault="00A9721F">
            <w:pPr>
              <w:pStyle w:val="TableBodyText"/>
            </w:pPr>
            <w:r>
              <w:t>084B</w:t>
            </w:r>
          </w:p>
        </w:tc>
      </w:tr>
      <w:tr w:rsidR="000A156F" w:rsidTr="000A156F">
        <w:tc>
          <w:tcPr>
            <w:tcW w:w="0" w:type="auto"/>
            <w:vAlign w:val="center"/>
          </w:tcPr>
          <w:p w:rsidR="000A156F" w:rsidRDefault="00A9721F">
            <w:pPr>
              <w:pStyle w:val="TableBodyText"/>
            </w:pPr>
            <w:r>
              <w:t>LineDown</w:t>
            </w:r>
          </w:p>
        </w:tc>
        <w:tc>
          <w:tcPr>
            <w:tcW w:w="0" w:type="auto"/>
            <w:vAlign w:val="center"/>
          </w:tcPr>
          <w:p w:rsidR="000A156F" w:rsidRDefault="00A9721F">
            <w:pPr>
              <w:pStyle w:val="TableBodyText"/>
            </w:pPr>
            <w:r>
              <w:t>0FA9</w:t>
            </w:r>
          </w:p>
        </w:tc>
      </w:tr>
      <w:tr w:rsidR="000A156F" w:rsidTr="000A156F">
        <w:tc>
          <w:tcPr>
            <w:tcW w:w="0" w:type="auto"/>
            <w:vAlign w:val="center"/>
          </w:tcPr>
          <w:p w:rsidR="000A156F" w:rsidRDefault="00A9721F">
            <w:pPr>
              <w:pStyle w:val="TableBodyText"/>
            </w:pPr>
            <w:r>
              <w:t>LineDownExtend</w:t>
            </w:r>
          </w:p>
        </w:tc>
        <w:tc>
          <w:tcPr>
            <w:tcW w:w="0" w:type="auto"/>
            <w:vAlign w:val="center"/>
          </w:tcPr>
          <w:p w:rsidR="000A156F" w:rsidRDefault="00A9721F">
            <w:pPr>
              <w:pStyle w:val="TableBodyText"/>
            </w:pPr>
            <w:r>
              <w:t>0FBB</w:t>
            </w:r>
          </w:p>
        </w:tc>
      </w:tr>
      <w:tr w:rsidR="000A156F" w:rsidTr="000A156F">
        <w:tc>
          <w:tcPr>
            <w:tcW w:w="0" w:type="auto"/>
            <w:vAlign w:val="center"/>
          </w:tcPr>
          <w:p w:rsidR="000A156F" w:rsidRDefault="00A9721F">
            <w:pPr>
              <w:pStyle w:val="TableBodyText"/>
            </w:pPr>
            <w:r>
              <w:t>LineSpacing</w:t>
            </w:r>
          </w:p>
        </w:tc>
        <w:tc>
          <w:tcPr>
            <w:tcW w:w="0" w:type="auto"/>
            <w:vAlign w:val="center"/>
          </w:tcPr>
          <w:p w:rsidR="000A156F" w:rsidRDefault="00A9721F">
            <w:pPr>
              <w:pStyle w:val="TableBodyText"/>
            </w:pPr>
            <w:r>
              <w:t>04EF</w:t>
            </w:r>
          </w:p>
        </w:tc>
      </w:tr>
      <w:tr w:rsidR="000A156F" w:rsidTr="000A156F">
        <w:tc>
          <w:tcPr>
            <w:tcW w:w="0" w:type="auto"/>
            <w:vAlign w:val="center"/>
          </w:tcPr>
          <w:p w:rsidR="000A156F" w:rsidRDefault="00A9721F">
            <w:pPr>
              <w:pStyle w:val="TableBodyText"/>
            </w:pPr>
            <w:r>
              <w:t>LineSpacingMenu</w:t>
            </w:r>
          </w:p>
        </w:tc>
        <w:tc>
          <w:tcPr>
            <w:tcW w:w="0" w:type="auto"/>
            <w:vAlign w:val="center"/>
          </w:tcPr>
          <w:p w:rsidR="000A156F" w:rsidRDefault="00A9721F">
            <w:pPr>
              <w:pStyle w:val="TableBodyText"/>
            </w:pPr>
            <w:r>
              <w:t>0904</w:t>
            </w:r>
          </w:p>
        </w:tc>
      </w:tr>
      <w:tr w:rsidR="000A156F" w:rsidTr="000A156F">
        <w:tc>
          <w:tcPr>
            <w:tcW w:w="0" w:type="auto"/>
            <w:vAlign w:val="center"/>
          </w:tcPr>
          <w:p w:rsidR="000A156F" w:rsidRDefault="00A9721F">
            <w:pPr>
              <w:pStyle w:val="TableBodyText"/>
            </w:pPr>
            <w:r>
              <w:t>LineStyleGallery</w:t>
            </w:r>
          </w:p>
        </w:tc>
        <w:tc>
          <w:tcPr>
            <w:tcW w:w="0" w:type="auto"/>
            <w:vAlign w:val="center"/>
          </w:tcPr>
          <w:p w:rsidR="000A156F" w:rsidRDefault="00A9721F">
            <w:pPr>
              <w:pStyle w:val="TableBodyText"/>
            </w:pPr>
            <w:r>
              <w:t>07B6</w:t>
            </w:r>
          </w:p>
        </w:tc>
      </w:tr>
      <w:tr w:rsidR="000A156F" w:rsidTr="000A156F">
        <w:tc>
          <w:tcPr>
            <w:tcW w:w="0" w:type="auto"/>
            <w:vAlign w:val="center"/>
          </w:tcPr>
          <w:p w:rsidR="000A156F" w:rsidRDefault="00A9721F">
            <w:pPr>
              <w:pStyle w:val="TableBodyText"/>
            </w:pPr>
            <w:r>
              <w:t>LineUp</w:t>
            </w:r>
          </w:p>
        </w:tc>
        <w:tc>
          <w:tcPr>
            <w:tcW w:w="0" w:type="auto"/>
            <w:vAlign w:val="center"/>
          </w:tcPr>
          <w:p w:rsidR="000A156F" w:rsidRDefault="00A9721F">
            <w:pPr>
              <w:pStyle w:val="TableBodyText"/>
            </w:pPr>
            <w:r>
              <w:t>0FA8</w:t>
            </w:r>
          </w:p>
        </w:tc>
      </w:tr>
      <w:tr w:rsidR="000A156F" w:rsidTr="000A156F">
        <w:tc>
          <w:tcPr>
            <w:tcW w:w="0" w:type="auto"/>
            <w:vAlign w:val="center"/>
          </w:tcPr>
          <w:p w:rsidR="000A156F" w:rsidRDefault="00A9721F">
            <w:pPr>
              <w:pStyle w:val="TableBodyText"/>
            </w:pPr>
            <w:r>
              <w:t>LineUpExtend</w:t>
            </w:r>
          </w:p>
        </w:tc>
        <w:tc>
          <w:tcPr>
            <w:tcW w:w="0" w:type="auto"/>
            <w:vAlign w:val="center"/>
          </w:tcPr>
          <w:p w:rsidR="000A156F" w:rsidRDefault="00A9721F">
            <w:pPr>
              <w:pStyle w:val="TableBodyText"/>
            </w:pPr>
            <w:r>
              <w:t>0FBA</w:t>
            </w:r>
          </w:p>
        </w:tc>
      </w:tr>
      <w:tr w:rsidR="000A156F" w:rsidTr="000A156F">
        <w:tc>
          <w:tcPr>
            <w:tcW w:w="0" w:type="auto"/>
            <w:vAlign w:val="center"/>
          </w:tcPr>
          <w:p w:rsidR="000A156F" w:rsidRDefault="00A9721F">
            <w:pPr>
              <w:pStyle w:val="TableBodyText"/>
            </w:pPr>
            <w:r>
              <w:lastRenderedPageBreak/>
              <w:t>LineWidthGallery</w:t>
            </w:r>
          </w:p>
        </w:tc>
        <w:tc>
          <w:tcPr>
            <w:tcW w:w="0" w:type="auto"/>
            <w:vAlign w:val="center"/>
          </w:tcPr>
          <w:p w:rsidR="000A156F" w:rsidRDefault="00A9721F">
            <w:pPr>
              <w:pStyle w:val="TableBodyText"/>
            </w:pPr>
            <w:r>
              <w:t>07B7</w:t>
            </w:r>
          </w:p>
        </w:tc>
      </w:tr>
      <w:tr w:rsidR="000A156F" w:rsidTr="000A156F">
        <w:tc>
          <w:tcPr>
            <w:tcW w:w="0" w:type="auto"/>
            <w:vAlign w:val="center"/>
          </w:tcPr>
          <w:p w:rsidR="000A156F" w:rsidRDefault="00A9721F">
            <w:pPr>
              <w:pStyle w:val="TableBodyText"/>
            </w:pPr>
            <w:r>
              <w:t>ListAdvanceToVBA</w:t>
            </w:r>
          </w:p>
        </w:tc>
        <w:tc>
          <w:tcPr>
            <w:tcW w:w="0" w:type="auto"/>
            <w:vAlign w:val="center"/>
          </w:tcPr>
          <w:p w:rsidR="000A156F" w:rsidRDefault="00A9721F">
            <w:pPr>
              <w:pStyle w:val="TableBodyText"/>
            </w:pPr>
            <w:r>
              <w:t>07A0</w:t>
            </w:r>
          </w:p>
        </w:tc>
      </w:tr>
      <w:tr w:rsidR="000A156F" w:rsidTr="000A156F">
        <w:tc>
          <w:tcPr>
            <w:tcW w:w="0" w:type="auto"/>
            <w:vAlign w:val="center"/>
          </w:tcPr>
          <w:p w:rsidR="000A156F" w:rsidRDefault="00A9721F">
            <w:pPr>
              <w:pStyle w:val="TableBodyText"/>
            </w:pPr>
            <w:r>
              <w:t>ListCommands</w:t>
            </w:r>
          </w:p>
        </w:tc>
        <w:tc>
          <w:tcPr>
            <w:tcW w:w="0" w:type="auto"/>
            <w:vAlign w:val="center"/>
          </w:tcPr>
          <w:p w:rsidR="000A156F" w:rsidRDefault="00A9721F">
            <w:pPr>
              <w:pStyle w:val="TableBodyText"/>
            </w:pPr>
            <w:r>
              <w:t>02D3</w:t>
            </w:r>
          </w:p>
        </w:tc>
      </w:tr>
      <w:tr w:rsidR="000A156F" w:rsidTr="000A156F">
        <w:tc>
          <w:tcPr>
            <w:tcW w:w="0" w:type="auto"/>
            <w:vAlign w:val="center"/>
          </w:tcPr>
          <w:p w:rsidR="000A156F" w:rsidRDefault="00A9721F">
            <w:pPr>
              <w:pStyle w:val="TableBodyText"/>
            </w:pPr>
            <w:r>
              <w:t>ListIndent</w:t>
            </w:r>
          </w:p>
        </w:tc>
        <w:tc>
          <w:tcPr>
            <w:tcW w:w="0" w:type="auto"/>
            <w:vAlign w:val="center"/>
          </w:tcPr>
          <w:p w:rsidR="000A156F" w:rsidRDefault="00A9721F">
            <w:pPr>
              <w:pStyle w:val="TableBodyText"/>
            </w:pPr>
            <w:r>
              <w:t>033A</w:t>
            </w:r>
          </w:p>
        </w:tc>
      </w:tr>
      <w:tr w:rsidR="000A156F" w:rsidTr="000A156F">
        <w:tc>
          <w:tcPr>
            <w:tcW w:w="0" w:type="auto"/>
            <w:vAlign w:val="center"/>
          </w:tcPr>
          <w:p w:rsidR="000A156F" w:rsidRDefault="00A9721F">
            <w:pPr>
              <w:pStyle w:val="TableBodyText"/>
            </w:pPr>
            <w:r>
              <w:t>ListLevelGallery</w:t>
            </w:r>
          </w:p>
        </w:tc>
        <w:tc>
          <w:tcPr>
            <w:tcW w:w="0" w:type="auto"/>
            <w:vAlign w:val="center"/>
          </w:tcPr>
          <w:p w:rsidR="000A156F" w:rsidRDefault="00A9721F">
            <w:pPr>
              <w:pStyle w:val="TableBodyText"/>
            </w:pPr>
            <w:r>
              <w:t>0878</w:t>
            </w:r>
          </w:p>
        </w:tc>
      </w:tr>
      <w:tr w:rsidR="000A156F" w:rsidTr="000A156F">
        <w:tc>
          <w:tcPr>
            <w:tcW w:w="0" w:type="auto"/>
            <w:vAlign w:val="center"/>
          </w:tcPr>
          <w:p w:rsidR="000A156F" w:rsidRDefault="00A9721F">
            <w:pPr>
              <w:pStyle w:val="TableBodyText"/>
            </w:pPr>
            <w:r>
              <w:t>ListMacros</w:t>
            </w:r>
          </w:p>
        </w:tc>
        <w:tc>
          <w:tcPr>
            <w:tcW w:w="0" w:type="auto"/>
            <w:vAlign w:val="center"/>
          </w:tcPr>
          <w:p w:rsidR="000A156F" w:rsidRDefault="00A9721F">
            <w:pPr>
              <w:pStyle w:val="TableBodyText"/>
            </w:pPr>
            <w:r>
              <w:t>0298</w:t>
            </w:r>
          </w:p>
        </w:tc>
      </w:tr>
      <w:tr w:rsidR="000A156F" w:rsidTr="000A156F">
        <w:tc>
          <w:tcPr>
            <w:tcW w:w="0" w:type="auto"/>
            <w:vAlign w:val="center"/>
          </w:tcPr>
          <w:p w:rsidR="000A156F" w:rsidRDefault="00A9721F">
            <w:pPr>
              <w:pStyle w:val="TableBodyText"/>
            </w:pPr>
            <w:r>
              <w:t>ListOutdent</w:t>
            </w:r>
          </w:p>
        </w:tc>
        <w:tc>
          <w:tcPr>
            <w:tcW w:w="0" w:type="auto"/>
            <w:vAlign w:val="center"/>
          </w:tcPr>
          <w:p w:rsidR="000A156F" w:rsidRDefault="00A9721F">
            <w:pPr>
              <w:pStyle w:val="TableBodyText"/>
            </w:pPr>
            <w:r>
              <w:t>0339</w:t>
            </w:r>
          </w:p>
        </w:tc>
      </w:tr>
      <w:tr w:rsidR="000A156F" w:rsidTr="000A156F">
        <w:tc>
          <w:tcPr>
            <w:tcW w:w="0" w:type="auto"/>
            <w:vAlign w:val="center"/>
          </w:tcPr>
          <w:p w:rsidR="000A156F" w:rsidRDefault="00A9721F">
            <w:pPr>
              <w:pStyle w:val="TableBodyText"/>
            </w:pPr>
            <w:r>
              <w:t>LoadOssThemeFromTemplate</w:t>
            </w:r>
          </w:p>
        </w:tc>
        <w:tc>
          <w:tcPr>
            <w:tcW w:w="0" w:type="auto"/>
            <w:vAlign w:val="center"/>
          </w:tcPr>
          <w:p w:rsidR="000A156F" w:rsidRDefault="00A9721F">
            <w:pPr>
              <w:pStyle w:val="TableBodyText"/>
            </w:pPr>
            <w:r>
              <w:t>093E</w:t>
            </w:r>
          </w:p>
        </w:tc>
      </w:tr>
      <w:tr w:rsidR="000A156F" w:rsidTr="000A156F">
        <w:tc>
          <w:tcPr>
            <w:tcW w:w="0" w:type="auto"/>
            <w:vAlign w:val="center"/>
          </w:tcPr>
          <w:p w:rsidR="000A156F" w:rsidRDefault="00A9721F">
            <w:pPr>
              <w:pStyle w:val="TableBodyText"/>
            </w:pPr>
            <w:r>
              <w:t>LockDocument</w:t>
            </w:r>
          </w:p>
        </w:tc>
        <w:tc>
          <w:tcPr>
            <w:tcW w:w="0" w:type="auto"/>
            <w:vAlign w:val="center"/>
          </w:tcPr>
          <w:p w:rsidR="000A156F" w:rsidRDefault="00A9721F">
            <w:pPr>
              <w:pStyle w:val="TableBodyText"/>
            </w:pPr>
            <w:r>
              <w:t>0258</w:t>
            </w:r>
          </w:p>
        </w:tc>
      </w:tr>
      <w:tr w:rsidR="000A156F" w:rsidTr="000A156F">
        <w:tc>
          <w:tcPr>
            <w:tcW w:w="0" w:type="auto"/>
            <w:vAlign w:val="center"/>
          </w:tcPr>
          <w:p w:rsidR="000A156F" w:rsidRDefault="00A9721F">
            <w:pPr>
              <w:pStyle w:val="TableBodyText"/>
            </w:pPr>
            <w:r>
              <w:t>LockFields</w:t>
            </w:r>
          </w:p>
        </w:tc>
        <w:tc>
          <w:tcPr>
            <w:tcW w:w="0" w:type="auto"/>
            <w:vAlign w:val="center"/>
          </w:tcPr>
          <w:p w:rsidR="000A156F" w:rsidRDefault="00A9721F">
            <w:pPr>
              <w:pStyle w:val="TableBodyText"/>
            </w:pPr>
            <w:r>
              <w:t>0023</w:t>
            </w:r>
          </w:p>
        </w:tc>
      </w:tr>
      <w:tr w:rsidR="000A156F" w:rsidTr="000A156F">
        <w:tc>
          <w:tcPr>
            <w:tcW w:w="0" w:type="auto"/>
            <w:vAlign w:val="center"/>
          </w:tcPr>
          <w:p w:rsidR="000A156F" w:rsidRDefault="00A9721F">
            <w:pPr>
              <w:pStyle w:val="TableBodyText"/>
            </w:pPr>
            <w:r>
              <w:t>LockPolicyLabel</w:t>
            </w:r>
          </w:p>
        </w:tc>
        <w:tc>
          <w:tcPr>
            <w:tcW w:w="0" w:type="auto"/>
            <w:vAlign w:val="center"/>
          </w:tcPr>
          <w:p w:rsidR="000A156F" w:rsidRDefault="00A9721F">
            <w:pPr>
              <w:pStyle w:val="TableBodyText"/>
            </w:pPr>
            <w:r>
              <w:t>0783</w:t>
            </w:r>
          </w:p>
        </w:tc>
      </w:tr>
      <w:tr w:rsidR="000A156F" w:rsidTr="000A156F">
        <w:tc>
          <w:tcPr>
            <w:tcW w:w="0" w:type="auto"/>
            <w:vAlign w:val="center"/>
          </w:tcPr>
          <w:p w:rsidR="000A156F" w:rsidRDefault="00A9721F">
            <w:pPr>
              <w:pStyle w:val="TableBodyText"/>
            </w:pPr>
            <w:r>
              <w:t>LowerTextBaseline</w:t>
            </w:r>
          </w:p>
        </w:tc>
        <w:tc>
          <w:tcPr>
            <w:tcW w:w="0" w:type="auto"/>
            <w:vAlign w:val="center"/>
          </w:tcPr>
          <w:p w:rsidR="000A156F" w:rsidRDefault="00A9721F">
            <w:pPr>
              <w:pStyle w:val="TableBodyText"/>
            </w:pPr>
            <w:r>
              <w:t>09A0</w:t>
            </w:r>
          </w:p>
        </w:tc>
      </w:tr>
      <w:tr w:rsidR="000A156F" w:rsidTr="000A156F">
        <w:tc>
          <w:tcPr>
            <w:tcW w:w="0" w:type="auto"/>
            <w:vAlign w:val="center"/>
          </w:tcPr>
          <w:p w:rsidR="000A156F" w:rsidRDefault="00A9721F">
            <w:pPr>
              <w:pStyle w:val="TableBodyText"/>
            </w:pPr>
            <w:r>
              <w:t>Lowered</w:t>
            </w:r>
          </w:p>
        </w:tc>
        <w:tc>
          <w:tcPr>
            <w:tcW w:w="0" w:type="auto"/>
            <w:vAlign w:val="center"/>
          </w:tcPr>
          <w:p w:rsidR="000A156F" w:rsidRDefault="00A9721F">
            <w:pPr>
              <w:pStyle w:val="TableBodyText"/>
            </w:pPr>
            <w:r>
              <w:t>0216</w:t>
            </w:r>
          </w:p>
        </w:tc>
      </w:tr>
      <w:tr w:rsidR="000A156F" w:rsidTr="000A156F">
        <w:tc>
          <w:tcPr>
            <w:tcW w:w="0" w:type="auto"/>
            <w:vAlign w:val="center"/>
          </w:tcPr>
          <w:p w:rsidR="000A156F" w:rsidRDefault="00A9721F">
            <w:pPr>
              <w:pStyle w:val="TableBodyText"/>
            </w:pPr>
            <w:r>
              <w:t>LtrPara</w:t>
            </w:r>
          </w:p>
        </w:tc>
        <w:tc>
          <w:tcPr>
            <w:tcW w:w="0" w:type="auto"/>
            <w:vAlign w:val="center"/>
          </w:tcPr>
          <w:p w:rsidR="000A156F" w:rsidRDefault="00A9721F">
            <w:pPr>
              <w:pStyle w:val="TableBodyText"/>
            </w:pPr>
            <w:r>
              <w:t>041E</w:t>
            </w:r>
          </w:p>
        </w:tc>
      </w:tr>
      <w:tr w:rsidR="000A156F" w:rsidTr="000A156F">
        <w:tc>
          <w:tcPr>
            <w:tcW w:w="0" w:type="auto"/>
            <w:vAlign w:val="center"/>
          </w:tcPr>
          <w:p w:rsidR="000A156F" w:rsidRDefault="00A9721F">
            <w:pPr>
              <w:pStyle w:val="TableBodyText"/>
            </w:pPr>
            <w:r>
              <w:t>LtrRun</w:t>
            </w:r>
          </w:p>
        </w:tc>
        <w:tc>
          <w:tcPr>
            <w:tcW w:w="0" w:type="auto"/>
            <w:vAlign w:val="center"/>
          </w:tcPr>
          <w:p w:rsidR="000A156F" w:rsidRDefault="00A9721F">
            <w:pPr>
              <w:pStyle w:val="TableBodyText"/>
            </w:pPr>
            <w:r>
              <w:t>0423</w:t>
            </w:r>
          </w:p>
        </w:tc>
      </w:tr>
      <w:tr w:rsidR="000A156F" w:rsidTr="000A156F">
        <w:tc>
          <w:tcPr>
            <w:tcW w:w="0" w:type="auto"/>
            <w:vAlign w:val="center"/>
          </w:tcPr>
          <w:p w:rsidR="000A156F" w:rsidRDefault="00A9721F">
            <w:pPr>
              <w:pStyle w:val="TableBodyText"/>
            </w:pPr>
            <w:r>
              <w:t>MMEmailOptions</w:t>
            </w:r>
          </w:p>
        </w:tc>
        <w:tc>
          <w:tcPr>
            <w:tcW w:w="0" w:type="auto"/>
            <w:vAlign w:val="center"/>
          </w:tcPr>
          <w:p w:rsidR="000A156F" w:rsidRDefault="00A9721F">
            <w:pPr>
              <w:pStyle w:val="TableBodyText"/>
            </w:pPr>
            <w:r>
              <w:t>051D</w:t>
            </w:r>
          </w:p>
        </w:tc>
      </w:tr>
      <w:tr w:rsidR="000A156F" w:rsidTr="000A156F">
        <w:tc>
          <w:tcPr>
            <w:tcW w:w="0" w:type="auto"/>
            <w:vAlign w:val="center"/>
          </w:tcPr>
          <w:p w:rsidR="000A156F" w:rsidRDefault="00A9721F">
            <w:pPr>
              <w:pStyle w:val="TableBodyText"/>
            </w:pPr>
            <w:r>
              <w:t>MMFaxOptions</w:t>
            </w:r>
          </w:p>
        </w:tc>
        <w:tc>
          <w:tcPr>
            <w:tcW w:w="0" w:type="auto"/>
            <w:vAlign w:val="center"/>
          </w:tcPr>
          <w:p w:rsidR="000A156F" w:rsidRDefault="00A9721F">
            <w:pPr>
              <w:pStyle w:val="TableBodyText"/>
            </w:pPr>
            <w:r>
              <w:t>0520</w:t>
            </w:r>
          </w:p>
        </w:tc>
      </w:tr>
      <w:tr w:rsidR="000A156F" w:rsidTr="000A156F">
        <w:tc>
          <w:tcPr>
            <w:tcW w:w="0" w:type="auto"/>
            <w:vAlign w:val="center"/>
          </w:tcPr>
          <w:p w:rsidR="000A156F" w:rsidRDefault="00A9721F">
            <w:pPr>
              <w:pStyle w:val="TableBodyText"/>
            </w:pPr>
            <w:r>
              <w:t>MMNewDocOptions</w:t>
            </w:r>
          </w:p>
        </w:tc>
        <w:tc>
          <w:tcPr>
            <w:tcW w:w="0" w:type="auto"/>
            <w:vAlign w:val="center"/>
          </w:tcPr>
          <w:p w:rsidR="000A156F" w:rsidRDefault="00A9721F">
            <w:pPr>
              <w:pStyle w:val="TableBodyText"/>
            </w:pPr>
            <w:r>
              <w:t>051E</w:t>
            </w:r>
          </w:p>
        </w:tc>
      </w:tr>
      <w:tr w:rsidR="000A156F" w:rsidTr="000A156F">
        <w:tc>
          <w:tcPr>
            <w:tcW w:w="0" w:type="auto"/>
            <w:vAlign w:val="center"/>
          </w:tcPr>
          <w:p w:rsidR="000A156F" w:rsidRDefault="00A9721F">
            <w:pPr>
              <w:pStyle w:val="TableBodyText"/>
            </w:pPr>
            <w:r>
              <w:t>MMPrintOptions</w:t>
            </w:r>
          </w:p>
        </w:tc>
        <w:tc>
          <w:tcPr>
            <w:tcW w:w="0" w:type="auto"/>
            <w:vAlign w:val="center"/>
          </w:tcPr>
          <w:p w:rsidR="000A156F" w:rsidRDefault="00A9721F">
            <w:pPr>
              <w:pStyle w:val="TableBodyText"/>
            </w:pPr>
            <w:r>
              <w:t>051F</w:t>
            </w:r>
          </w:p>
        </w:tc>
      </w:tr>
      <w:tr w:rsidR="000A156F" w:rsidTr="000A156F">
        <w:tc>
          <w:tcPr>
            <w:tcW w:w="0" w:type="auto"/>
            <w:vAlign w:val="center"/>
          </w:tcPr>
          <w:p w:rsidR="000A156F" w:rsidRDefault="00A9721F">
            <w:pPr>
              <w:pStyle w:val="TableBodyText"/>
            </w:pPr>
            <w:r>
              <w:t>MSWordBibAddNewPlaceholder</w:t>
            </w:r>
          </w:p>
        </w:tc>
        <w:tc>
          <w:tcPr>
            <w:tcW w:w="0" w:type="auto"/>
            <w:vAlign w:val="center"/>
          </w:tcPr>
          <w:p w:rsidR="000A156F" w:rsidRDefault="00A9721F">
            <w:pPr>
              <w:pStyle w:val="TableBodyText"/>
            </w:pPr>
            <w:r>
              <w:t>092C</w:t>
            </w:r>
          </w:p>
        </w:tc>
      </w:tr>
      <w:tr w:rsidR="000A156F" w:rsidTr="000A156F">
        <w:tc>
          <w:tcPr>
            <w:tcW w:w="0" w:type="auto"/>
            <w:vAlign w:val="center"/>
          </w:tcPr>
          <w:p w:rsidR="000A156F" w:rsidRDefault="00A9721F">
            <w:pPr>
              <w:pStyle w:val="TableBodyText"/>
            </w:pPr>
            <w:r>
              <w:t>MacroREM</w:t>
            </w:r>
          </w:p>
        </w:tc>
        <w:tc>
          <w:tcPr>
            <w:tcW w:w="0" w:type="auto"/>
            <w:vAlign w:val="center"/>
          </w:tcPr>
          <w:p w:rsidR="000A156F" w:rsidRDefault="00A9721F">
            <w:pPr>
              <w:pStyle w:val="TableBodyText"/>
            </w:pPr>
            <w:r>
              <w:t>0229</w:t>
            </w:r>
          </w:p>
        </w:tc>
      </w:tr>
      <w:tr w:rsidR="000A156F" w:rsidTr="000A156F">
        <w:tc>
          <w:tcPr>
            <w:tcW w:w="0" w:type="auto"/>
            <w:vAlign w:val="center"/>
          </w:tcPr>
          <w:p w:rsidR="000A156F" w:rsidRDefault="00A9721F">
            <w:pPr>
              <w:pStyle w:val="TableBodyText"/>
            </w:pPr>
            <w:r>
              <w:t>Magnifier</w:t>
            </w:r>
          </w:p>
        </w:tc>
        <w:tc>
          <w:tcPr>
            <w:tcW w:w="0" w:type="auto"/>
            <w:vAlign w:val="center"/>
          </w:tcPr>
          <w:p w:rsidR="000A156F" w:rsidRDefault="00A9721F">
            <w:pPr>
              <w:pStyle w:val="TableBodyText"/>
            </w:pPr>
            <w:r>
              <w:t>0203</w:t>
            </w:r>
          </w:p>
        </w:tc>
      </w:tr>
      <w:tr w:rsidR="000A156F" w:rsidTr="000A156F">
        <w:tc>
          <w:tcPr>
            <w:tcW w:w="0" w:type="auto"/>
            <w:vAlign w:val="center"/>
          </w:tcPr>
          <w:p w:rsidR="000A156F" w:rsidRDefault="00A9721F">
            <w:pPr>
              <w:pStyle w:val="TableBodyText"/>
            </w:pPr>
            <w:r>
              <w:t>MailAsHTML</w:t>
            </w:r>
          </w:p>
        </w:tc>
        <w:tc>
          <w:tcPr>
            <w:tcW w:w="0" w:type="auto"/>
            <w:vAlign w:val="center"/>
          </w:tcPr>
          <w:p w:rsidR="000A156F" w:rsidRDefault="00A9721F">
            <w:pPr>
              <w:pStyle w:val="TableBodyText"/>
            </w:pPr>
            <w:r>
              <w:t>04EC</w:t>
            </w:r>
          </w:p>
        </w:tc>
      </w:tr>
      <w:tr w:rsidR="000A156F" w:rsidTr="000A156F">
        <w:tc>
          <w:tcPr>
            <w:tcW w:w="0" w:type="auto"/>
            <w:vAlign w:val="center"/>
          </w:tcPr>
          <w:p w:rsidR="000A156F" w:rsidRDefault="00A9721F">
            <w:pPr>
              <w:pStyle w:val="TableBodyText"/>
            </w:pPr>
            <w:r>
              <w:t>MailAsPlainText</w:t>
            </w:r>
          </w:p>
        </w:tc>
        <w:tc>
          <w:tcPr>
            <w:tcW w:w="0" w:type="auto"/>
            <w:vAlign w:val="center"/>
          </w:tcPr>
          <w:p w:rsidR="000A156F" w:rsidRDefault="00A9721F">
            <w:pPr>
              <w:pStyle w:val="TableBodyText"/>
            </w:pPr>
            <w:r>
              <w:t>04EB</w:t>
            </w:r>
          </w:p>
        </w:tc>
      </w:tr>
      <w:tr w:rsidR="000A156F" w:rsidTr="000A156F">
        <w:tc>
          <w:tcPr>
            <w:tcW w:w="0" w:type="auto"/>
            <w:vAlign w:val="center"/>
          </w:tcPr>
          <w:p w:rsidR="000A156F" w:rsidRDefault="00A9721F">
            <w:pPr>
              <w:pStyle w:val="TableBodyText"/>
            </w:pPr>
            <w:r>
              <w:t>MailAsRTF</w:t>
            </w:r>
          </w:p>
        </w:tc>
        <w:tc>
          <w:tcPr>
            <w:tcW w:w="0" w:type="auto"/>
            <w:vAlign w:val="center"/>
          </w:tcPr>
          <w:p w:rsidR="000A156F" w:rsidRDefault="00A9721F">
            <w:pPr>
              <w:pStyle w:val="TableBodyText"/>
            </w:pPr>
            <w:r>
              <w:t>04F0</w:t>
            </w:r>
          </w:p>
        </w:tc>
      </w:tr>
      <w:tr w:rsidR="000A156F" w:rsidTr="000A156F">
        <w:tc>
          <w:tcPr>
            <w:tcW w:w="0" w:type="auto"/>
            <w:vAlign w:val="center"/>
          </w:tcPr>
          <w:p w:rsidR="000A156F" w:rsidRDefault="00A9721F">
            <w:pPr>
              <w:pStyle w:val="TableBodyText"/>
            </w:pPr>
            <w:r>
              <w:t>MailCheckNames</w:t>
            </w:r>
          </w:p>
        </w:tc>
        <w:tc>
          <w:tcPr>
            <w:tcW w:w="0" w:type="auto"/>
            <w:vAlign w:val="center"/>
          </w:tcPr>
          <w:p w:rsidR="000A156F" w:rsidRDefault="00A9721F">
            <w:pPr>
              <w:pStyle w:val="TableBodyText"/>
            </w:pPr>
            <w:r>
              <w:t>0306</w:t>
            </w:r>
          </w:p>
        </w:tc>
      </w:tr>
      <w:tr w:rsidR="000A156F" w:rsidTr="000A156F">
        <w:tc>
          <w:tcPr>
            <w:tcW w:w="0" w:type="auto"/>
            <w:vAlign w:val="center"/>
          </w:tcPr>
          <w:p w:rsidR="000A156F" w:rsidRDefault="00A9721F">
            <w:pPr>
              <w:pStyle w:val="TableBodyText"/>
            </w:pPr>
            <w:r>
              <w:t>MailHideMessageHeader</w:t>
            </w:r>
          </w:p>
        </w:tc>
        <w:tc>
          <w:tcPr>
            <w:tcW w:w="0" w:type="auto"/>
            <w:vAlign w:val="center"/>
          </w:tcPr>
          <w:p w:rsidR="000A156F" w:rsidRDefault="00A9721F">
            <w:pPr>
              <w:pStyle w:val="TableBodyText"/>
            </w:pPr>
            <w:r>
              <w:t>02FB</w:t>
            </w:r>
          </w:p>
        </w:tc>
      </w:tr>
      <w:tr w:rsidR="000A156F" w:rsidTr="000A156F">
        <w:tc>
          <w:tcPr>
            <w:tcW w:w="0" w:type="auto"/>
            <w:vAlign w:val="center"/>
          </w:tcPr>
          <w:p w:rsidR="000A156F" w:rsidRDefault="00A9721F">
            <w:pPr>
              <w:pStyle w:val="TableBodyText"/>
            </w:pPr>
            <w:r>
              <w:t>MailMerge</w:t>
            </w:r>
          </w:p>
        </w:tc>
        <w:tc>
          <w:tcPr>
            <w:tcW w:w="0" w:type="auto"/>
            <w:vAlign w:val="center"/>
          </w:tcPr>
          <w:p w:rsidR="000A156F" w:rsidRDefault="00A9721F">
            <w:pPr>
              <w:pStyle w:val="TableBodyText"/>
            </w:pPr>
            <w:r>
              <w:t>02A4</w:t>
            </w:r>
          </w:p>
        </w:tc>
      </w:tr>
      <w:tr w:rsidR="000A156F" w:rsidTr="000A156F">
        <w:tc>
          <w:tcPr>
            <w:tcW w:w="0" w:type="auto"/>
            <w:vAlign w:val="center"/>
          </w:tcPr>
          <w:p w:rsidR="000A156F" w:rsidRDefault="00A9721F">
            <w:pPr>
              <w:pStyle w:val="TableBodyText"/>
            </w:pPr>
            <w:r>
              <w:t>MailMergeAddressBlock</w:t>
            </w:r>
          </w:p>
        </w:tc>
        <w:tc>
          <w:tcPr>
            <w:tcW w:w="0" w:type="auto"/>
            <w:vAlign w:val="center"/>
          </w:tcPr>
          <w:p w:rsidR="000A156F" w:rsidRDefault="00A9721F">
            <w:pPr>
              <w:pStyle w:val="TableBodyText"/>
            </w:pPr>
            <w:r>
              <w:t>0519</w:t>
            </w:r>
          </w:p>
        </w:tc>
      </w:tr>
      <w:tr w:rsidR="000A156F" w:rsidTr="000A156F">
        <w:tc>
          <w:tcPr>
            <w:tcW w:w="0" w:type="auto"/>
            <w:vAlign w:val="center"/>
          </w:tcPr>
          <w:p w:rsidR="000A156F" w:rsidRDefault="00A9721F">
            <w:pPr>
              <w:pStyle w:val="TableBodyText"/>
            </w:pPr>
            <w:r>
              <w:t>MailMergeAskToConvertChevrons</w:t>
            </w:r>
          </w:p>
        </w:tc>
        <w:tc>
          <w:tcPr>
            <w:tcW w:w="0" w:type="auto"/>
            <w:vAlign w:val="center"/>
          </w:tcPr>
          <w:p w:rsidR="000A156F" w:rsidRDefault="00A9721F">
            <w:pPr>
              <w:pStyle w:val="TableBodyText"/>
            </w:pPr>
            <w:r>
              <w:t>0261</w:t>
            </w:r>
          </w:p>
        </w:tc>
      </w:tr>
      <w:tr w:rsidR="000A156F" w:rsidTr="000A156F">
        <w:tc>
          <w:tcPr>
            <w:tcW w:w="0" w:type="auto"/>
            <w:vAlign w:val="center"/>
          </w:tcPr>
          <w:p w:rsidR="000A156F" w:rsidRDefault="00A9721F">
            <w:pPr>
              <w:pStyle w:val="TableBodyText"/>
            </w:pPr>
            <w:r>
              <w:t>MailMergeCheck</w:t>
            </w:r>
          </w:p>
        </w:tc>
        <w:tc>
          <w:tcPr>
            <w:tcW w:w="0" w:type="auto"/>
            <w:vAlign w:val="center"/>
          </w:tcPr>
          <w:p w:rsidR="000A156F" w:rsidRDefault="00A9721F">
            <w:pPr>
              <w:pStyle w:val="TableBodyText"/>
            </w:pPr>
            <w:r>
              <w:t>02A5</w:t>
            </w:r>
          </w:p>
        </w:tc>
      </w:tr>
      <w:tr w:rsidR="000A156F" w:rsidTr="000A156F">
        <w:tc>
          <w:tcPr>
            <w:tcW w:w="0" w:type="auto"/>
            <w:vAlign w:val="center"/>
          </w:tcPr>
          <w:p w:rsidR="000A156F" w:rsidRDefault="00A9721F">
            <w:pPr>
              <w:pStyle w:val="TableBodyText"/>
            </w:pPr>
            <w:r>
              <w:t>MailMergeClearDocumentType</w:t>
            </w:r>
          </w:p>
        </w:tc>
        <w:tc>
          <w:tcPr>
            <w:tcW w:w="0" w:type="auto"/>
            <w:vAlign w:val="center"/>
          </w:tcPr>
          <w:p w:rsidR="000A156F" w:rsidRDefault="00A9721F">
            <w:pPr>
              <w:pStyle w:val="TableBodyText"/>
            </w:pPr>
            <w:r>
              <w:t>081E</w:t>
            </w:r>
          </w:p>
        </w:tc>
      </w:tr>
      <w:tr w:rsidR="000A156F" w:rsidTr="000A156F">
        <w:tc>
          <w:tcPr>
            <w:tcW w:w="0" w:type="auto"/>
            <w:vAlign w:val="center"/>
          </w:tcPr>
          <w:p w:rsidR="000A156F" w:rsidRDefault="00A9721F">
            <w:pPr>
              <w:pStyle w:val="TableBodyText"/>
            </w:pPr>
            <w:r>
              <w:lastRenderedPageBreak/>
              <w:t>MailMergeConvertChevrons</w:t>
            </w:r>
          </w:p>
        </w:tc>
        <w:tc>
          <w:tcPr>
            <w:tcW w:w="0" w:type="auto"/>
            <w:vAlign w:val="center"/>
          </w:tcPr>
          <w:p w:rsidR="000A156F" w:rsidRDefault="00A9721F">
            <w:pPr>
              <w:pStyle w:val="TableBodyText"/>
            </w:pPr>
            <w:r>
              <w:t>0200</w:t>
            </w:r>
          </w:p>
        </w:tc>
      </w:tr>
      <w:tr w:rsidR="000A156F" w:rsidTr="000A156F">
        <w:tc>
          <w:tcPr>
            <w:tcW w:w="0" w:type="auto"/>
            <w:vAlign w:val="center"/>
          </w:tcPr>
          <w:p w:rsidR="000A156F" w:rsidRDefault="00A9721F">
            <w:pPr>
              <w:pStyle w:val="TableBodyText"/>
            </w:pPr>
            <w:r>
              <w:t>MailMergeCreateDataSource</w:t>
            </w:r>
          </w:p>
        </w:tc>
        <w:tc>
          <w:tcPr>
            <w:tcW w:w="0" w:type="auto"/>
            <w:vAlign w:val="center"/>
          </w:tcPr>
          <w:p w:rsidR="000A156F" w:rsidRDefault="00A9721F">
            <w:pPr>
              <w:pStyle w:val="TableBodyText"/>
            </w:pPr>
            <w:r>
              <w:t>0282</w:t>
            </w:r>
          </w:p>
        </w:tc>
      </w:tr>
      <w:tr w:rsidR="000A156F" w:rsidTr="000A156F">
        <w:tc>
          <w:tcPr>
            <w:tcW w:w="0" w:type="auto"/>
            <w:vAlign w:val="center"/>
          </w:tcPr>
          <w:p w:rsidR="000A156F" w:rsidRDefault="00A9721F">
            <w:pPr>
              <w:pStyle w:val="TableBodyText"/>
            </w:pPr>
            <w:r>
              <w:t>MailMergeCreateHeaderSource</w:t>
            </w:r>
          </w:p>
        </w:tc>
        <w:tc>
          <w:tcPr>
            <w:tcW w:w="0" w:type="auto"/>
            <w:vAlign w:val="center"/>
          </w:tcPr>
          <w:p w:rsidR="000A156F" w:rsidRDefault="00A9721F">
            <w:pPr>
              <w:pStyle w:val="TableBodyText"/>
            </w:pPr>
            <w:r>
              <w:t>0283</w:t>
            </w:r>
          </w:p>
        </w:tc>
      </w:tr>
      <w:tr w:rsidR="000A156F" w:rsidTr="000A156F">
        <w:tc>
          <w:tcPr>
            <w:tcW w:w="0" w:type="auto"/>
            <w:vAlign w:val="center"/>
          </w:tcPr>
          <w:p w:rsidR="000A156F" w:rsidRDefault="00A9721F">
            <w:pPr>
              <w:pStyle w:val="TableBodyText"/>
            </w:pPr>
            <w:r>
              <w:t>MailMergeCreateList</w:t>
            </w:r>
          </w:p>
        </w:tc>
        <w:tc>
          <w:tcPr>
            <w:tcW w:w="0" w:type="auto"/>
            <w:vAlign w:val="center"/>
          </w:tcPr>
          <w:p w:rsidR="000A156F" w:rsidRDefault="00A9721F">
            <w:pPr>
              <w:pStyle w:val="TableBodyText"/>
            </w:pPr>
            <w:r>
              <w:t>055C</w:t>
            </w:r>
          </w:p>
        </w:tc>
      </w:tr>
      <w:tr w:rsidR="000A156F" w:rsidTr="000A156F">
        <w:tc>
          <w:tcPr>
            <w:tcW w:w="0" w:type="auto"/>
            <w:vAlign w:val="center"/>
          </w:tcPr>
          <w:p w:rsidR="000A156F" w:rsidRDefault="00A9721F">
            <w:pPr>
              <w:pStyle w:val="TableBodyText"/>
            </w:pPr>
            <w:r>
              <w:t>MailMergeDataForm</w:t>
            </w:r>
          </w:p>
        </w:tc>
        <w:tc>
          <w:tcPr>
            <w:tcW w:w="0" w:type="auto"/>
            <w:vAlign w:val="center"/>
          </w:tcPr>
          <w:p w:rsidR="000A156F" w:rsidRDefault="00A9721F">
            <w:pPr>
              <w:pStyle w:val="TableBodyText"/>
            </w:pPr>
            <w:r>
              <w:t>0154</w:t>
            </w:r>
          </w:p>
        </w:tc>
      </w:tr>
      <w:tr w:rsidR="000A156F" w:rsidTr="000A156F">
        <w:tc>
          <w:tcPr>
            <w:tcW w:w="0" w:type="auto"/>
            <w:vAlign w:val="center"/>
          </w:tcPr>
          <w:p w:rsidR="000A156F" w:rsidRDefault="00A9721F">
            <w:pPr>
              <w:pStyle w:val="TableBodyText"/>
            </w:pPr>
            <w:r>
              <w:t>MailMergeEditAddressBlock</w:t>
            </w:r>
          </w:p>
        </w:tc>
        <w:tc>
          <w:tcPr>
            <w:tcW w:w="0" w:type="auto"/>
            <w:vAlign w:val="center"/>
          </w:tcPr>
          <w:p w:rsidR="000A156F" w:rsidRDefault="00A9721F">
            <w:pPr>
              <w:pStyle w:val="TableBodyText"/>
            </w:pPr>
            <w:r>
              <w:t>0523</w:t>
            </w:r>
          </w:p>
        </w:tc>
      </w:tr>
      <w:tr w:rsidR="000A156F" w:rsidTr="000A156F">
        <w:tc>
          <w:tcPr>
            <w:tcW w:w="0" w:type="auto"/>
            <w:vAlign w:val="center"/>
          </w:tcPr>
          <w:p w:rsidR="000A156F" w:rsidRDefault="00A9721F">
            <w:pPr>
              <w:pStyle w:val="TableBodyText"/>
            </w:pPr>
            <w:r>
              <w:t>MailMergeEditDataSource</w:t>
            </w:r>
          </w:p>
        </w:tc>
        <w:tc>
          <w:tcPr>
            <w:tcW w:w="0" w:type="auto"/>
            <w:vAlign w:val="center"/>
          </w:tcPr>
          <w:p w:rsidR="000A156F" w:rsidRDefault="00A9721F">
            <w:pPr>
              <w:pStyle w:val="TableBodyText"/>
            </w:pPr>
            <w:r>
              <w:t>0068</w:t>
            </w:r>
          </w:p>
        </w:tc>
      </w:tr>
      <w:tr w:rsidR="000A156F" w:rsidTr="000A156F">
        <w:tc>
          <w:tcPr>
            <w:tcW w:w="0" w:type="auto"/>
            <w:vAlign w:val="center"/>
          </w:tcPr>
          <w:p w:rsidR="000A156F" w:rsidRDefault="00A9721F">
            <w:pPr>
              <w:pStyle w:val="TableBodyText"/>
            </w:pPr>
            <w:r>
              <w:t>MailMergeEditGreetingLine</w:t>
            </w:r>
          </w:p>
        </w:tc>
        <w:tc>
          <w:tcPr>
            <w:tcW w:w="0" w:type="auto"/>
            <w:vAlign w:val="center"/>
          </w:tcPr>
          <w:p w:rsidR="000A156F" w:rsidRDefault="00A9721F">
            <w:pPr>
              <w:pStyle w:val="TableBodyText"/>
            </w:pPr>
            <w:r>
              <w:t>0524</w:t>
            </w:r>
          </w:p>
        </w:tc>
      </w:tr>
      <w:tr w:rsidR="000A156F" w:rsidTr="000A156F">
        <w:tc>
          <w:tcPr>
            <w:tcW w:w="0" w:type="auto"/>
            <w:vAlign w:val="center"/>
          </w:tcPr>
          <w:p w:rsidR="000A156F" w:rsidRDefault="00A9721F">
            <w:pPr>
              <w:pStyle w:val="TableBodyText"/>
            </w:pPr>
            <w:r>
              <w:t>MailMergeEditHeaderSource</w:t>
            </w:r>
          </w:p>
        </w:tc>
        <w:tc>
          <w:tcPr>
            <w:tcW w:w="0" w:type="auto"/>
            <w:vAlign w:val="center"/>
          </w:tcPr>
          <w:p w:rsidR="000A156F" w:rsidRDefault="00A9721F">
            <w:pPr>
              <w:pStyle w:val="TableBodyText"/>
            </w:pPr>
            <w:r>
              <w:t>02A3</w:t>
            </w:r>
          </w:p>
        </w:tc>
      </w:tr>
      <w:tr w:rsidR="000A156F" w:rsidTr="000A156F">
        <w:tc>
          <w:tcPr>
            <w:tcW w:w="0" w:type="auto"/>
            <w:vAlign w:val="center"/>
          </w:tcPr>
          <w:p w:rsidR="000A156F" w:rsidRDefault="00A9721F">
            <w:pPr>
              <w:pStyle w:val="TableBodyText"/>
            </w:pPr>
            <w:r>
              <w:t>MailMergeEditList</w:t>
            </w:r>
          </w:p>
        </w:tc>
        <w:tc>
          <w:tcPr>
            <w:tcW w:w="0" w:type="auto"/>
            <w:vAlign w:val="center"/>
          </w:tcPr>
          <w:p w:rsidR="000A156F" w:rsidRDefault="00A9721F">
            <w:pPr>
              <w:pStyle w:val="TableBodyText"/>
            </w:pPr>
            <w:r>
              <w:t>055D</w:t>
            </w:r>
          </w:p>
        </w:tc>
      </w:tr>
      <w:tr w:rsidR="000A156F" w:rsidTr="000A156F">
        <w:tc>
          <w:tcPr>
            <w:tcW w:w="0" w:type="auto"/>
            <w:vAlign w:val="center"/>
          </w:tcPr>
          <w:p w:rsidR="000A156F" w:rsidRDefault="00A9721F">
            <w:pPr>
              <w:pStyle w:val="TableBodyText"/>
            </w:pPr>
            <w:r>
              <w:t>MailMergeEditMainDocument</w:t>
            </w:r>
          </w:p>
        </w:tc>
        <w:tc>
          <w:tcPr>
            <w:tcW w:w="0" w:type="auto"/>
            <w:vAlign w:val="center"/>
          </w:tcPr>
          <w:p w:rsidR="000A156F" w:rsidRDefault="00A9721F">
            <w:pPr>
              <w:pStyle w:val="TableBodyText"/>
            </w:pPr>
            <w:r>
              <w:t>00DB</w:t>
            </w:r>
          </w:p>
        </w:tc>
      </w:tr>
      <w:tr w:rsidR="000A156F" w:rsidTr="000A156F">
        <w:tc>
          <w:tcPr>
            <w:tcW w:w="0" w:type="auto"/>
            <w:vAlign w:val="center"/>
          </w:tcPr>
          <w:p w:rsidR="000A156F" w:rsidRDefault="00A9721F">
            <w:pPr>
              <w:pStyle w:val="TableBodyText"/>
            </w:pPr>
            <w:r>
              <w:t>MailMergeFieldMapping</w:t>
            </w:r>
          </w:p>
        </w:tc>
        <w:tc>
          <w:tcPr>
            <w:tcW w:w="0" w:type="auto"/>
            <w:vAlign w:val="center"/>
          </w:tcPr>
          <w:p w:rsidR="000A156F" w:rsidRDefault="00A9721F">
            <w:pPr>
              <w:pStyle w:val="TableBodyText"/>
            </w:pPr>
            <w:r>
              <w:t>0518</w:t>
            </w:r>
          </w:p>
        </w:tc>
      </w:tr>
      <w:tr w:rsidR="000A156F" w:rsidTr="000A156F">
        <w:tc>
          <w:tcPr>
            <w:tcW w:w="0" w:type="auto"/>
            <w:vAlign w:val="center"/>
          </w:tcPr>
          <w:p w:rsidR="000A156F" w:rsidRDefault="00A9721F">
            <w:pPr>
              <w:pStyle w:val="TableBodyText"/>
            </w:pPr>
            <w:r>
              <w:t>MailMergeFindEntry</w:t>
            </w:r>
          </w:p>
        </w:tc>
        <w:tc>
          <w:tcPr>
            <w:tcW w:w="0" w:type="auto"/>
            <w:vAlign w:val="center"/>
          </w:tcPr>
          <w:p w:rsidR="000A156F" w:rsidRDefault="00A9721F">
            <w:pPr>
              <w:pStyle w:val="TableBodyText"/>
            </w:pPr>
            <w:r>
              <w:t>052E</w:t>
            </w:r>
          </w:p>
        </w:tc>
      </w:tr>
      <w:tr w:rsidR="000A156F" w:rsidTr="000A156F">
        <w:tc>
          <w:tcPr>
            <w:tcW w:w="0" w:type="auto"/>
            <w:vAlign w:val="center"/>
          </w:tcPr>
          <w:p w:rsidR="000A156F" w:rsidRDefault="00A9721F">
            <w:pPr>
              <w:pStyle w:val="TableBodyText"/>
            </w:pPr>
            <w:r>
              <w:t>MailMergeFindRecord</w:t>
            </w:r>
          </w:p>
        </w:tc>
        <w:tc>
          <w:tcPr>
            <w:tcW w:w="0" w:type="auto"/>
            <w:vAlign w:val="center"/>
          </w:tcPr>
          <w:p w:rsidR="000A156F" w:rsidRDefault="00A9721F">
            <w:pPr>
              <w:pStyle w:val="TableBodyText"/>
            </w:pPr>
            <w:r>
              <w:t>0239</w:t>
            </w:r>
          </w:p>
        </w:tc>
      </w:tr>
      <w:tr w:rsidR="000A156F" w:rsidTr="000A156F">
        <w:tc>
          <w:tcPr>
            <w:tcW w:w="0" w:type="auto"/>
            <w:vAlign w:val="center"/>
          </w:tcPr>
          <w:p w:rsidR="000A156F" w:rsidRDefault="00A9721F">
            <w:pPr>
              <w:pStyle w:val="TableBodyText"/>
            </w:pPr>
            <w:r>
              <w:t>MailMergeFirstRecord</w:t>
            </w:r>
          </w:p>
        </w:tc>
        <w:tc>
          <w:tcPr>
            <w:tcW w:w="0" w:type="auto"/>
            <w:vAlign w:val="center"/>
          </w:tcPr>
          <w:p w:rsidR="000A156F" w:rsidRDefault="00A9721F">
            <w:pPr>
              <w:pStyle w:val="TableBodyText"/>
            </w:pPr>
            <w:r>
              <w:t>01E0</w:t>
            </w:r>
          </w:p>
        </w:tc>
      </w:tr>
      <w:tr w:rsidR="000A156F" w:rsidTr="000A156F">
        <w:tc>
          <w:tcPr>
            <w:tcW w:w="0" w:type="auto"/>
            <w:vAlign w:val="center"/>
          </w:tcPr>
          <w:p w:rsidR="000A156F" w:rsidRDefault="00A9721F">
            <w:pPr>
              <w:pStyle w:val="TableBodyText"/>
            </w:pPr>
            <w:r>
              <w:t>MailMergeGoToRecord</w:t>
            </w:r>
          </w:p>
        </w:tc>
        <w:tc>
          <w:tcPr>
            <w:tcW w:w="0" w:type="auto"/>
            <w:vAlign w:val="center"/>
          </w:tcPr>
          <w:p w:rsidR="000A156F" w:rsidRDefault="00A9721F">
            <w:pPr>
              <w:pStyle w:val="TableBodyText"/>
            </w:pPr>
            <w:r>
              <w:t>01E2</w:t>
            </w:r>
          </w:p>
        </w:tc>
      </w:tr>
      <w:tr w:rsidR="000A156F" w:rsidTr="000A156F">
        <w:tc>
          <w:tcPr>
            <w:tcW w:w="0" w:type="auto"/>
            <w:vAlign w:val="center"/>
          </w:tcPr>
          <w:p w:rsidR="000A156F" w:rsidRDefault="00A9721F">
            <w:pPr>
              <w:pStyle w:val="TableBodyText"/>
            </w:pPr>
            <w:r>
              <w:t>MailMergeGreetingLine</w:t>
            </w:r>
          </w:p>
        </w:tc>
        <w:tc>
          <w:tcPr>
            <w:tcW w:w="0" w:type="auto"/>
            <w:vAlign w:val="center"/>
          </w:tcPr>
          <w:p w:rsidR="000A156F" w:rsidRDefault="00A9721F">
            <w:pPr>
              <w:pStyle w:val="TableBodyText"/>
            </w:pPr>
            <w:r>
              <w:t>051A</w:t>
            </w:r>
          </w:p>
        </w:tc>
      </w:tr>
      <w:tr w:rsidR="000A156F" w:rsidTr="000A156F">
        <w:tc>
          <w:tcPr>
            <w:tcW w:w="0" w:type="auto"/>
            <w:vAlign w:val="center"/>
          </w:tcPr>
          <w:p w:rsidR="000A156F" w:rsidRDefault="00A9721F">
            <w:pPr>
              <w:pStyle w:val="TableBodyText"/>
            </w:pPr>
            <w:r>
              <w:t>MailMergeHelper</w:t>
            </w:r>
          </w:p>
        </w:tc>
        <w:tc>
          <w:tcPr>
            <w:tcW w:w="0" w:type="auto"/>
            <w:vAlign w:val="center"/>
          </w:tcPr>
          <w:p w:rsidR="000A156F" w:rsidRDefault="00A9721F">
            <w:pPr>
              <w:pStyle w:val="TableBodyText"/>
            </w:pPr>
            <w:r>
              <w:t>02A8</w:t>
            </w:r>
          </w:p>
        </w:tc>
      </w:tr>
      <w:tr w:rsidR="000A156F" w:rsidTr="000A156F">
        <w:tc>
          <w:tcPr>
            <w:tcW w:w="0" w:type="auto"/>
            <w:vAlign w:val="center"/>
          </w:tcPr>
          <w:p w:rsidR="000A156F" w:rsidRDefault="00A9721F">
            <w:pPr>
              <w:pStyle w:val="TableBodyText"/>
            </w:pPr>
            <w:r>
              <w:t>MailMergeInsertAsk</w:t>
            </w:r>
          </w:p>
        </w:tc>
        <w:tc>
          <w:tcPr>
            <w:tcW w:w="0" w:type="auto"/>
            <w:vAlign w:val="center"/>
          </w:tcPr>
          <w:p w:rsidR="000A156F" w:rsidRDefault="00A9721F">
            <w:pPr>
              <w:pStyle w:val="TableBodyText"/>
            </w:pPr>
            <w:r>
              <w:t>0FCF</w:t>
            </w:r>
          </w:p>
        </w:tc>
      </w:tr>
      <w:tr w:rsidR="000A156F" w:rsidTr="000A156F">
        <w:tc>
          <w:tcPr>
            <w:tcW w:w="0" w:type="auto"/>
            <w:vAlign w:val="center"/>
          </w:tcPr>
          <w:p w:rsidR="000A156F" w:rsidRDefault="00A9721F">
            <w:pPr>
              <w:pStyle w:val="TableBodyText"/>
            </w:pPr>
            <w:r>
              <w:t>MailMergeInsertFields</w:t>
            </w:r>
          </w:p>
        </w:tc>
        <w:tc>
          <w:tcPr>
            <w:tcW w:w="0" w:type="auto"/>
            <w:vAlign w:val="center"/>
          </w:tcPr>
          <w:p w:rsidR="000A156F" w:rsidRDefault="00A9721F">
            <w:pPr>
              <w:pStyle w:val="TableBodyText"/>
            </w:pPr>
            <w:r>
              <w:t>051B</w:t>
            </w:r>
          </w:p>
        </w:tc>
      </w:tr>
      <w:tr w:rsidR="000A156F" w:rsidTr="000A156F">
        <w:tc>
          <w:tcPr>
            <w:tcW w:w="0" w:type="auto"/>
            <w:vAlign w:val="center"/>
          </w:tcPr>
          <w:p w:rsidR="000A156F" w:rsidRDefault="00A9721F">
            <w:pPr>
              <w:pStyle w:val="TableBodyText"/>
            </w:pPr>
            <w:r>
              <w:t>MailMergeInsertFieldsFlyout</w:t>
            </w:r>
          </w:p>
        </w:tc>
        <w:tc>
          <w:tcPr>
            <w:tcW w:w="0" w:type="auto"/>
            <w:vAlign w:val="center"/>
          </w:tcPr>
          <w:p w:rsidR="000A156F" w:rsidRDefault="00A9721F">
            <w:pPr>
              <w:pStyle w:val="TableBodyText"/>
            </w:pPr>
            <w:r>
              <w:t>0988</w:t>
            </w:r>
          </w:p>
        </w:tc>
      </w:tr>
      <w:tr w:rsidR="000A156F" w:rsidTr="000A156F">
        <w:tc>
          <w:tcPr>
            <w:tcW w:w="0" w:type="auto"/>
            <w:vAlign w:val="center"/>
          </w:tcPr>
          <w:p w:rsidR="000A156F" w:rsidRDefault="00A9721F">
            <w:pPr>
              <w:pStyle w:val="TableBodyText"/>
            </w:pPr>
            <w:r>
              <w:t>MailMergeInsertFillIn</w:t>
            </w:r>
          </w:p>
        </w:tc>
        <w:tc>
          <w:tcPr>
            <w:tcW w:w="0" w:type="auto"/>
            <w:vAlign w:val="center"/>
          </w:tcPr>
          <w:p w:rsidR="000A156F" w:rsidRDefault="00A9721F">
            <w:pPr>
              <w:pStyle w:val="TableBodyText"/>
            </w:pPr>
            <w:r>
              <w:t>0FD0</w:t>
            </w:r>
          </w:p>
        </w:tc>
      </w:tr>
      <w:tr w:rsidR="000A156F" w:rsidTr="000A156F">
        <w:tc>
          <w:tcPr>
            <w:tcW w:w="0" w:type="auto"/>
            <w:vAlign w:val="center"/>
          </w:tcPr>
          <w:p w:rsidR="000A156F" w:rsidRDefault="00A9721F">
            <w:pPr>
              <w:pStyle w:val="TableBodyText"/>
            </w:pPr>
            <w:r>
              <w:t>MailMergeInsertIf</w:t>
            </w:r>
          </w:p>
        </w:tc>
        <w:tc>
          <w:tcPr>
            <w:tcW w:w="0" w:type="auto"/>
            <w:vAlign w:val="center"/>
          </w:tcPr>
          <w:p w:rsidR="000A156F" w:rsidRDefault="00A9721F">
            <w:pPr>
              <w:pStyle w:val="TableBodyText"/>
            </w:pPr>
            <w:r>
              <w:t>0FD1</w:t>
            </w:r>
          </w:p>
        </w:tc>
      </w:tr>
      <w:tr w:rsidR="000A156F" w:rsidTr="000A156F">
        <w:tc>
          <w:tcPr>
            <w:tcW w:w="0" w:type="auto"/>
            <w:vAlign w:val="center"/>
          </w:tcPr>
          <w:p w:rsidR="000A156F" w:rsidRDefault="00A9721F">
            <w:pPr>
              <w:pStyle w:val="TableBodyText"/>
            </w:pPr>
            <w:r>
              <w:t>MailMergeInsertMergeKeyword</w:t>
            </w:r>
          </w:p>
        </w:tc>
        <w:tc>
          <w:tcPr>
            <w:tcW w:w="0" w:type="auto"/>
            <w:vAlign w:val="center"/>
          </w:tcPr>
          <w:p w:rsidR="000A156F" w:rsidRDefault="00A9721F">
            <w:pPr>
              <w:pStyle w:val="TableBodyText"/>
            </w:pPr>
            <w:r>
              <w:t>0922</w:t>
            </w:r>
          </w:p>
        </w:tc>
      </w:tr>
      <w:tr w:rsidR="000A156F" w:rsidTr="000A156F">
        <w:tc>
          <w:tcPr>
            <w:tcW w:w="0" w:type="auto"/>
            <w:vAlign w:val="center"/>
          </w:tcPr>
          <w:p w:rsidR="000A156F" w:rsidRDefault="00A9721F">
            <w:pPr>
              <w:pStyle w:val="TableBodyText"/>
            </w:pPr>
            <w:r>
              <w:t>MailMergeInsertMergeRec</w:t>
            </w:r>
          </w:p>
        </w:tc>
        <w:tc>
          <w:tcPr>
            <w:tcW w:w="0" w:type="auto"/>
            <w:vAlign w:val="center"/>
          </w:tcPr>
          <w:p w:rsidR="000A156F" w:rsidRDefault="00A9721F">
            <w:pPr>
              <w:pStyle w:val="TableBodyText"/>
            </w:pPr>
            <w:r>
              <w:t>0FD2</w:t>
            </w:r>
          </w:p>
        </w:tc>
      </w:tr>
      <w:tr w:rsidR="000A156F" w:rsidTr="000A156F">
        <w:tc>
          <w:tcPr>
            <w:tcW w:w="0" w:type="auto"/>
            <w:vAlign w:val="center"/>
          </w:tcPr>
          <w:p w:rsidR="000A156F" w:rsidRDefault="00A9721F">
            <w:pPr>
              <w:pStyle w:val="TableBodyText"/>
            </w:pPr>
            <w:r>
              <w:t>MailMergeInsertMergeSeq</w:t>
            </w:r>
          </w:p>
        </w:tc>
        <w:tc>
          <w:tcPr>
            <w:tcW w:w="0" w:type="auto"/>
            <w:vAlign w:val="center"/>
          </w:tcPr>
          <w:p w:rsidR="000A156F" w:rsidRDefault="00A9721F">
            <w:pPr>
              <w:pStyle w:val="TableBodyText"/>
            </w:pPr>
            <w:r>
              <w:t>0FD3</w:t>
            </w:r>
          </w:p>
        </w:tc>
      </w:tr>
      <w:tr w:rsidR="000A156F" w:rsidTr="000A156F">
        <w:tc>
          <w:tcPr>
            <w:tcW w:w="0" w:type="auto"/>
            <w:vAlign w:val="center"/>
          </w:tcPr>
          <w:p w:rsidR="000A156F" w:rsidRDefault="00A9721F">
            <w:pPr>
              <w:pStyle w:val="TableBodyText"/>
            </w:pPr>
            <w:r>
              <w:t>MailMergeInsertNext</w:t>
            </w:r>
          </w:p>
        </w:tc>
        <w:tc>
          <w:tcPr>
            <w:tcW w:w="0" w:type="auto"/>
            <w:vAlign w:val="center"/>
          </w:tcPr>
          <w:p w:rsidR="000A156F" w:rsidRDefault="00A9721F">
            <w:pPr>
              <w:pStyle w:val="TableBodyText"/>
            </w:pPr>
            <w:r>
              <w:t>0FD4</w:t>
            </w:r>
          </w:p>
        </w:tc>
      </w:tr>
      <w:tr w:rsidR="000A156F" w:rsidTr="000A156F">
        <w:tc>
          <w:tcPr>
            <w:tcW w:w="0" w:type="auto"/>
            <w:vAlign w:val="center"/>
          </w:tcPr>
          <w:p w:rsidR="000A156F" w:rsidRDefault="00A9721F">
            <w:pPr>
              <w:pStyle w:val="TableBodyText"/>
            </w:pPr>
            <w:r>
              <w:t>MailMergeInsertNextIf</w:t>
            </w:r>
          </w:p>
        </w:tc>
        <w:tc>
          <w:tcPr>
            <w:tcW w:w="0" w:type="auto"/>
            <w:vAlign w:val="center"/>
          </w:tcPr>
          <w:p w:rsidR="000A156F" w:rsidRDefault="00A9721F">
            <w:pPr>
              <w:pStyle w:val="TableBodyText"/>
            </w:pPr>
            <w:r>
              <w:t>0FD5</w:t>
            </w:r>
          </w:p>
        </w:tc>
      </w:tr>
      <w:tr w:rsidR="000A156F" w:rsidTr="000A156F">
        <w:tc>
          <w:tcPr>
            <w:tcW w:w="0" w:type="auto"/>
            <w:vAlign w:val="center"/>
          </w:tcPr>
          <w:p w:rsidR="000A156F" w:rsidRDefault="00A9721F">
            <w:pPr>
              <w:pStyle w:val="TableBodyText"/>
            </w:pPr>
            <w:r>
              <w:t>MailMergeInsertSet</w:t>
            </w:r>
          </w:p>
        </w:tc>
        <w:tc>
          <w:tcPr>
            <w:tcW w:w="0" w:type="auto"/>
            <w:vAlign w:val="center"/>
          </w:tcPr>
          <w:p w:rsidR="000A156F" w:rsidRDefault="00A9721F">
            <w:pPr>
              <w:pStyle w:val="TableBodyText"/>
            </w:pPr>
            <w:r>
              <w:t>0FD6</w:t>
            </w:r>
          </w:p>
        </w:tc>
      </w:tr>
      <w:tr w:rsidR="000A156F" w:rsidTr="000A156F">
        <w:tc>
          <w:tcPr>
            <w:tcW w:w="0" w:type="auto"/>
            <w:vAlign w:val="center"/>
          </w:tcPr>
          <w:p w:rsidR="000A156F" w:rsidRDefault="00A9721F">
            <w:pPr>
              <w:pStyle w:val="TableBodyText"/>
            </w:pPr>
            <w:r>
              <w:t>MailMergeInsertSkipIf</w:t>
            </w:r>
          </w:p>
        </w:tc>
        <w:tc>
          <w:tcPr>
            <w:tcW w:w="0" w:type="auto"/>
            <w:vAlign w:val="center"/>
          </w:tcPr>
          <w:p w:rsidR="000A156F" w:rsidRDefault="00A9721F">
            <w:pPr>
              <w:pStyle w:val="TableBodyText"/>
            </w:pPr>
            <w:r>
              <w:t>0FD7</w:t>
            </w:r>
          </w:p>
        </w:tc>
      </w:tr>
      <w:tr w:rsidR="000A156F" w:rsidTr="000A156F">
        <w:tc>
          <w:tcPr>
            <w:tcW w:w="0" w:type="auto"/>
            <w:vAlign w:val="center"/>
          </w:tcPr>
          <w:p w:rsidR="000A156F" w:rsidRDefault="00A9721F">
            <w:pPr>
              <w:pStyle w:val="TableBodyText"/>
            </w:pPr>
            <w:r>
              <w:t>MailMergeLastRecord</w:t>
            </w:r>
          </w:p>
        </w:tc>
        <w:tc>
          <w:tcPr>
            <w:tcW w:w="0" w:type="auto"/>
            <w:vAlign w:val="center"/>
          </w:tcPr>
          <w:p w:rsidR="000A156F" w:rsidRDefault="00A9721F">
            <w:pPr>
              <w:pStyle w:val="TableBodyText"/>
            </w:pPr>
            <w:r>
              <w:t>01E1</w:t>
            </w:r>
          </w:p>
        </w:tc>
      </w:tr>
      <w:tr w:rsidR="000A156F" w:rsidTr="000A156F">
        <w:tc>
          <w:tcPr>
            <w:tcW w:w="0" w:type="auto"/>
            <w:vAlign w:val="center"/>
          </w:tcPr>
          <w:p w:rsidR="000A156F" w:rsidRDefault="00A9721F">
            <w:pPr>
              <w:pStyle w:val="TableBodyText"/>
            </w:pPr>
            <w:r>
              <w:t>MailMergeListWordFields</w:t>
            </w:r>
          </w:p>
        </w:tc>
        <w:tc>
          <w:tcPr>
            <w:tcW w:w="0" w:type="auto"/>
            <w:vAlign w:val="center"/>
          </w:tcPr>
          <w:p w:rsidR="000A156F" w:rsidRDefault="00A9721F">
            <w:pPr>
              <w:pStyle w:val="TableBodyText"/>
            </w:pPr>
            <w:r>
              <w:t>0238</w:t>
            </w:r>
          </w:p>
        </w:tc>
      </w:tr>
      <w:tr w:rsidR="000A156F" w:rsidTr="000A156F">
        <w:tc>
          <w:tcPr>
            <w:tcW w:w="0" w:type="auto"/>
            <w:vAlign w:val="center"/>
          </w:tcPr>
          <w:p w:rsidR="000A156F" w:rsidRDefault="00A9721F">
            <w:pPr>
              <w:pStyle w:val="TableBodyText"/>
            </w:pPr>
            <w:r>
              <w:lastRenderedPageBreak/>
              <w:t>MailMergeNextRecord</w:t>
            </w:r>
          </w:p>
        </w:tc>
        <w:tc>
          <w:tcPr>
            <w:tcW w:w="0" w:type="auto"/>
            <w:vAlign w:val="center"/>
          </w:tcPr>
          <w:p w:rsidR="000A156F" w:rsidRDefault="00A9721F">
            <w:pPr>
              <w:pStyle w:val="TableBodyText"/>
            </w:pPr>
            <w:r>
              <w:t>01DE</w:t>
            </w:r>
          </w:p>
        </w:tc>
      </w:tr>
      <w:tr w:rsidR="000A156F" w:rsidTr="000A156F">
        <w:tc>
          <w:tcPr>
            <w:tcW w:w="0" w:type="auto"/>
            <w:vAlign w:val="center"/>
          </w:tcPr>
          <w:p w:rsidR="000A156F" w:rsidRDefault="00A9721F">
            <w:pPr>
              <w:pStyle w:val="TableBodyText"/>
            </w:pPr>
            <w:r>
              <w:t>MailMergeOpenDataSource</w:t>
            </w:r>
          </w:p>
        </w:tc>
        <w:tc>
          <w:tcPr>
            <w:tcW w:w="0" w:type="auto"/>
            <w:vAlign w:val="center"/>
          </w:tcPr>
          <w:p w:rsidR="000A156F" w:rsidRDefault="00A9721F">
            <w:pPr>
              <w:pStyle w:val="TableBodyText"/>
            </w:pPr>
            <w:r>
              <w:t>0051</w:t>
            </w:r>
          </w:p>
        </w:tc>
      </w:tr>
      <w:tr w:rsidR="000A156F" w:rsidTr="000A156F">
        <w:tc>
          <w:tcPr>
            <w:tcW w:w="0" w:type="auto"/>
            <w:vAlign w:val="center"/>
          </w:tcPr>
          <w:p w:rsidR="000A156F" w:rsidRDefault="00A9721F">
            <w:pPr>
              <w:pStyle w:val="TableBodyText"/>
            </w:pPr>
            <w:r>
              <w:t>MailMergeOpenHeaderSource</w:t>
            </w:r>
          </w:p>
        </w:tc>
        <w:tc>
          <w:tcPr>
            <w:tcW w:w="0" w:type="auto"/>
            <w:vAlign w:val="center"/>
          </w:tcPr>
          <w:p w:rsidR="000A156F" w:rsidRDefault="00A9721F">
            <w:pPr>
              <w:pStyle w:val="TableBodyText"/>
            </w:pPr>
            <w:r>
              <w:t>0052</w:t>
            </w:r>
          </w:p>
        </w:tc>
      </w:tr>
      <w:tr w:rsidR="000A156F" w:rsidTr="000A156F">
        <w:tc>
          <w:tcPr>
            <w:tcW w:w="0" w:type="auto"/>
            <w:vAlign w:val="center"/>
          </w:tcPr>
          <w:p w:rsidR="000A156F" w:rsidRDefault="00A9721F">
            <w:pPr>
              <w:pStyle w:val="TableBodyText"/>
            </w:pPr>
            <w:r>
              <w:t>MailMergePrevRecord</w:t>
            </w:r>
          </w:p>
        </w:tc>
        <w:tc>
          <w:tcPr>
            <w:tcW w:w="0" w:type="auto"/>
            <w:vAlign w:val="center"/>
          </w:tcPr>
          <w:p w:rsidR="000A156F" w:rsidRDefault="00A9721F">
            <w:pPr>
              <w:pStyle w:val="TableBodyText"/>
            </w:pPr>
            <w:r>
              <w:t>01DF</w:t>
            </w:r>
          </w:p>
        </w:tc>
      </w:tr>
      <w:tr w:rsidR="000A156F" w:rsidTr="000A156F">
        <w:tc>
          <w:tcPr>
            <w:tcW w:w="0" w:type="auto"/>
            <w:vAlign w:val="center"/>
          </w:tcPr>
          <w:p w:rsidR="000A156F" w:rsidRDefault="00A9721F">
            <w:pPr>
              <w:pStyle w:val="TableBodyText"/>
            </w:pPr>
            <w:r>
              <w:t>MailMergePropagateLabel</w:t>
            </w:r>
          </w:p>
        </w:tc>
        <w:tc>
          <w:tcPr>
            <w:tcW w:w="0" w:type="auto"/>
            <w:vAlign w:val="center"/>
          </w:tcPr>
          <w:p w:rsidR="000A156F" w:rsidRDefault="00A9721F">
            <w:pPr>
              <w:pStyle w:val="TableBodyText"/>
            </w:pPr>
            <w:r>
              <w:t>052D</w:t>
            </w:r>
          </w:p>
        </w:tc>
      </w:tr>
      <w:tr w:rsidR="000A156F" w:rsidTr="000A156F">
        <w:tc>
          <w:tcPr>
            <w:tcW w:w="0" w:type="auto"/>
            <w:vAlign w:val="center"/>
          </w:tcPr>
          <w:p w:rsidR="000A156F" w:rsidRDefault="00A9721F">
            <w:pPr>
              <w:pStyle w:val="TableBodyText"/>
            </w:pPr>
            <w:r>
              <w:t>MailMergeQueryOptions</w:t>
            </w:r>
          </w:p>
        </w:tc>
        <w:tc>
          <w:tcPr>
            <w:tcW w:w="0" w:type="auto"/>
            <w:vAlign w:val="center"/>
          </w:tcPr>
          <w:p w:rsidR="000A156F" w:rsidRDefault="00A9721F">
            <w:pPr>
              <w:pStyle w:val="TableBodyText"/>
            </w:pPr>
            <w:r>
              <w:t>02A9</w:t>
            </w:r>
          </w:p>
        </w:tc>
      </w:tr>
      <w:tr w:rsidR="000A156F" w:rsidTr="000A156F">
        <w:tc>
          <w:tcPr>
            <w:tcW w:w="0" w:type="auto"/>
            <w:vAlign w:val="center"/>
          </w:tcPr>
          <w:p w:rsidR="000A156F" w:rsidRDefault="00A9721F">
            <w:pPr>
              <w:pStyle w:val="TableBodyText"/>
            </w:pPr>
            <w:r>
              <w:t>MailMergeRecipients</w:t>
            </w:r>
          </w:p>
        </w:tc>
        <w:tc>
          <w:tcPr>
            <w:tcW w:w="0" w:type="auto"/>
            <w:vAlign w:val="center"/>
          </w:tcPr>
          <w:p w:rsidR="000A156F" w:rsidRDefault="00A9721F">
            <w:pPr>
              <w:pStyle w:val="TableBodyText"/>
            </w:pPr>
            <w:r>
              <w:t>051C</w:t>
            </w:r>
          </w:p>
        </w:tc>
      </w:tr>
      <w:tr w:rsidR="000A156F" w:rsidTr="000A156F">
        <w:tc>
          <w:tcPr>
            <w:tcW w:w="0" w:type="auto"/>
            <w:vAlign w:val="center"/>
          </w:tcPr>
          <w:p w:rsidR="000A156F" w:rsidRDefault="00A9721F">
            <w:pPr>
              <w:pStyle w:val="TableBodyText"/>
            </w:pPr>
            <w:r>
              <w:t>MailMergeReset</w:t>
            </w:r>
          </w:p>
        </w:tc>
        <w:tc>
          <w:tcPr>
            <w:tcW w:w="0" w:type="auto"/>
            <w:vAlign w:val="center"/>
          </w:tcPr>
          <w:p w:rsidR="000A156F" w:rsidRDefault="00A9721F">
            <w:pPr>
              <w:pStyle w:val="TableBodyText"/>
            </w:pPr>
            <w:r>
              <w:t>0060</w:t>
            </w:r>
          </w:p>
        </w:tc>
      </w:tr>
      <w:tr w:rsidR="000A156F" w:rsidTr="000A156F">
        <w:tc>
          <w:tcPr>
            <w:tcW w:w="0" w:type="auto"/>
            <w:vAlign w:val="center"/>
          </w:tcPr>
          <w:p w:rsidR="000A156F" w:rsidRDefault="00A9721F">
            <w:pPr>
              <w:pStyle w:val="TableBodyText"/>
            </w:pPr>
            <w:r>
              <w:t>MailMergeSetDocTypeDirectory</w:t>
            </w:r>
          </w:p>
        </w:tc>
        <w:tc>
          <w:tcPr>
            <w:tcW w:w="0" w:type="auto"/>
            <w:vAlign w:val="center"/>
          </w:tcPr>
          <w:p w:rsidR="000A156F" w:rsidRDefault="00A9721F">
            <w:pPr>
              <w:pStyle w:val="TableBodyText"/>
            </w:pPr>
            <w:r>
              <w:t>0824</w:t>
            </w:r>
          </w:p>
        </w:tc>
      </w:tr>
      <w:tr w:rsidR="000A156F" w:rsidTr="000A156F">
        <w:tc>
          <w:tcPr>
            <w:tcW w:w="0" w:type="auto"/>
            <w:vAlign w:val="center"/>
          </w:tcPr>
          <w:p w:rsidR="000A156F" w:rsidRDefault="00A9721F">
            <w:pPr>
              <w:pStyle w:val="TableBodyText"/>
            </w:pPr>
            <w:r>
              <w:t>MailMergeSetDocTypeEmail</w:t>
            </w:r>
          </w:p>
        </w:tc>
        <w:tc>
          <w:tcPr>
            <w:tcW w:w="0" w:type="auto"/>
            <w:vAlign w:val="center"/>
          </w:tcPr>
          <w:p w:rsidR="000A156F" w:rsidRDefault="00A9721F">
            <w:pPr>
              <w:pStyle w:val="TableBodyText"/>
            </w:pPr>
            <w:r>
              <w:t>0820</w:t>
            </w:r>
          </w:p>
        </w:tc>
      </w:tr>
      <w:tr w:rsidR="000A156F" w:rsidTr="000A156F">
        <w:tc>
          <w:tcPr>
            <w:tcW w:w="0" w:type="auto"/>
            <w:vAlign w:val="center"/>
          </w:tcPr>
          <w:p w:rsidR="000A156F" w:rsidRDefault="00A9721F">
            <w:pPr>
              <w:pStyle w:val="TableBodyText"/>
            </w:pPr>
            <w:r>
              <w:t>MailMergeSetDocTypeEnvelope</w:t>
            </w:r>
          </w:p>
        </w:tc>
        <w:tc>
          <w:tcPr>
            <w:tcW w:w="0" w:type="auto"/>
            <w:vAlign w:val="center"/>
          </w:tcPr>
          <w:p w:rsidR="000A156F" w:rsidRDefault="00A9721F">
            <w:pPr>
              <w:pStyle w:val="TableBodyText"/>
            </w:pPr>
            <w:r>
              <w:t>0822</w:t>
            </w:r>
          </w:p>
        </w:tc>
      </w:tr>
      <w:tr w:rsidR="000A156F" w:rsidTr="000A156F">
        <w:tc>
          <w:tcPr>
            <w:tcW w:w="0" w:type="auto"/>
            <w:vAlign w:val="center"/>
          </w:tcPr>
          <w:p w:rsidR="000A156F" w:rsidRDefault="00A9721F">
            <w:pPr>
              <w:pStyle w:val="TableBodyText"/>
            </w:pPr>
            <w:r>
              <w:t>MailMergeSetDocTypeFax</w:t>
            </w:r>
          </w:p>
        </w:tc>
        <w:tc>
          <w:tcPr>
            <w:tcW w:w="0" w:type="auto"/>
            <w:vAlign w:val="center"/>
          </w:tcPr>
          <w:p w:rsidR="000A156F" w:rsidRDefault="00A9721F">
            <w:pPr>
              <w:pStyle w:val="TableBodyText"/>
            </w:pPr>
            <w:r>
              <w:t>0821</w:t>
            </w:r>
          </w:p>
        </w:tc>
      </w:tr>
      <w:tr w:rsidR="000A156F" w:rsidTr="000A156F">
        <w:tc>
          <w:tcPr>
            <w:tcW w:w="0" w:type="auto"/>
            <w:vAlign w:val="center"/>
          </w:tcPr>
          <w:p w:rsidR="000A156F" w:rsidRDefault="00A9721F">
            <w:pPr>
              <w:pStyle w:val="TableBodyText"/>
            </w:pPr>
            <w:r>
              <w:t>MailMergeSetDocTypeFormLetter</w:t>
            </w:r>
          </w:p>
        </w:tc>
        <w:tc>
          <w:tcPr>
            <w:tcW w:w="0" w:type="auto"/>
            <w:vAlign w:val="center"/>
          </w:tcPr>
          <w:p w:rsidR="000A156F" w:rsidRDefault="00A9721F">
            <w:pPr>
              <w:pStyle w:val="TableBodyText"/>
            </w:pPr>
            <w:r>
              <w:t>081F</w:t>
            </w:r>
          </w:p>
        </w:tc>
      </w:tr>
      <w:tr w:rsidR="000A156F" w:rsidTr="000A156F">
        <w:tc>
          <w:tcPr>
            <w:tcW w:w="0" w:type="auto"/>
            <w:vAlign w:val="center"/>
          </w:tcPr>
          <w:p w:rsidR="000A156F" w:rsidRDefault="00A9721F">
            <w:pPr>
              <w:pStyle w:val="TableBodyText"/>
            </w:pPr>
            <w:r>
              <w:t>MailMergeSetDocTypeLabel</w:t>
            </w:r>
          </w:p>
        </w:tc>
        <w:tc>
          <w:tcPr>
            <w:tcW w:w="0" w:type="auto"/>
            <w:vAlign w:val="center"/>
          </w:tcPr>
          <w:p w:rsidR="000A156F" w:rsidRDefault="00A9721F">
            <w:pPr>
              <w:pStyle w:val="TableBodyText"/>
            </w:pPr>
            <w:r>
              <w:t>0823</w:t>
            </w:r>
          </w:p>
        </w:tc>
      </w:tr>
      <w:tr w:rsidR="000A156F" w:rsidTr="000A156F">
        <w:tc>
          <w:tcPr>
            <w:tcW w:w="0" w:type="auto"/>
            <w:vAlign w:val="center"/>
          </w:tcPr>
          <w:p w:rsidR="000A156F" w:rsidRDefault="00A9721F">
            <w:pPr>
              <w:pStyle w:val="TableBodyText"/>
            </w:pPr>
            <w:r>
              <w:t>MailMergeSetDocumentType</w:t>
            </w:r>
          </w:p>
        </w:tc>
        <w:tc>
          <w:tcPr>
            <w:tcW w:w="0" w:type="auto"/>
            <w:vAlign w:val="center"/>
          </w:tcPr>
          <w:p w:rsidR="000A156F" w:rsidRDefault="00A9721F">
            <w:pPr>
              <w:pStyle w:val="TableBodyText"/>
            </w:pPr>
            <w:r>
              <w:t>053B</w:t>
            </w:r>
          </w:p>
        </w:tc>
      </w:tr>
      <w:tr w:rsidR="000A156F" w:rsidTr="000A156F">
        <w:tc>
          <w:tcPr>
            <w:tcW w:w="0" w:type="auto"/>
            <w:vAlign w:val="center"/>
          </w:tcPr>
          <w:p w:rsidR="000A156F" w:rsidRDefault="00A9721F">
            <w:pPr>
              <w:pStyle w:val="TableBodyText"/>
            </w:pPr>
            <w:r>
              <w:t>MailMergeShadeFields</w:t>
            </w:r>
          </w:p>
        </w:tc>
        <w:tc>
          <w:tcPr>
            <w:tcW w:w="0" w:type="auto"/>
            <w:vAlign w:val="center"/>
          </w:tcPr>
          <w:p w:rsidR="000A156F" w:rsidRDefault="00A9721F">
            <w:pPr>
              <w:pStyle w:val="TableBodyText"/>
            </w:pPr>
            <w:r>
              <w:t>04DD</w:t>
            </w:r>
          </w:p>
        </w:tc>
      </w:tr>
      <w:tr w:rsidR="000A156F" w:rsidTr="000A156F">
        <w:tc>
          <w:tcPr>
            <w:tcW w:w="0" w:type="auto"/>
            <w:vAlign w:val="center"/>
          </w:tcPr>
          <w:p w:rsidR="000A156F" w:rsidRDefault="00A9721F">
            <w:pPr>
              <w:pStyle w:val="TableBodyText"/>
            </w:pPr>
            <w:r>
              <w:t>MailMergeToDoc</w:t>
            </w:r>
          </w:p>
        </w:tc>
        <w:tc>
          <w:tcPr>
            <w:tcW w:w="0" w:type="auto"/>
            <w:vAlign w:val="center"/>
          </w:tcPr>
          <w:p w:rsidR="000A156F" w:rsidRDefault="00A9721F">
            <w:pPr>
              <w:pStyle w:val="TableBodyText"/>
            </w:pPr>
            <w:r>
              <w:t>02A6</w:t>
            </w:r>
          </w:p>
        </w:tc>
      </w:tr>
      <w:tr w:rsidR="000A156F" w:rsidTr="000A156F">
        <w:tc>
          <w:tcPr>
            <w:tcW w:w="0" w:type="auto"/>
            <w:vAlign w:val="center"/>
          </w:tcPr>
          <w:p w:rsidR="000A156F" w:rsidRDefault="00A9721F">
            <w:pPr>
              <w:pStyle w:val="TableBodyText"/>
            </w:pPr>
            <w:r>
              <w:t>MailMergeToEMail</w:t>
            </w:r>
          </w:p>
        </w:tc>
        <w:tc>
          <w:tcPr>
            <w:tcW w:w="0" w:type="auto"/>
            <w:vAlign w:val="center"/>
          </w:tcPr>
          <w:p w:rsidR="000A156F" w:rsidRDefault="00A9721F">
            <w:pPr>
              <w:pStyle w:val="TableBodyText"/>
            </w:pPr>
            <w:r>
              <w:t>0559</w:t>
            </w:r>
          </w:p>
        </w:tc>
      </w:tr>
      <w:tr w:rsidR="000A156F" w:rsidTr="000A156F">
        <w:tc>
          <w:tcPr>
            <w:tcW w:w="0" w:type="auto"/>
            <w:vAlign w:val="center"/>
          </w:tcPr>
          <w:p w:rsidR="000A156F" w:rsidRDefault="00A9721F">
            <w:pPr>
              <w:pStyle w:val="TableBodyText"/>
            </w:pPr>
            <w:r>
              <w:t>MailMergeToFax</w:t>
            </w:r>
          </w:p>
        </w:tc>
        <w:tc>
          <w:tcPr>
            <w:tcW w:w="0" w:type="auto"/>
            <w:vAlign w:val="center"/>
          </w:tcPr>
          <w:p w:rsidR="000A156F" w:rsidRDefault="00A9721F">
            <w:pPr>
              <w:pStyle w:val="TableBodyText"/>
            </w:pPr>
            <w:r>
              <w:t>055A</w:t>
            </w:r>
          </w:p>
        </w:tc>
      </w:tr>
      <w:tr w:rsidR="000A156F" w:rsidTr="000A156F">
        <w:tc>
          <w:tcPr>
            <w:tcW w:w="0" w:type="auto"/>
            <w:vAlign w:val="center"/>
          </w:tcPr>
          <w:p w:rsidR="000A156F" w:rsidRDefault="00A9721F">
            <w:pPr>
              <w:pStyle w:val="TableBodyText"/>
            </w:pPr>
            <w:r>
              <w:t>MailMergeToPrinter</w:t>
            </w:r>
          </w:p>
        </w:tc>
        <w:tc>
          <w:tcPr>
            <w:tcW w:w="0" w:type="auto"/>
            <w:vAlign w:val="center"/>
          </w:tcPr>
          <w:p w:rsidR="000A156F" w:rsidRDefault="00A9721F">
            <w:pPr>
              <w:pStyle w:val="TableBodyText"/>
            </w:pPr>
            <w:r>
              <w:t>02A7</w:t>
            </w:r>
          </w:p>
        </w:tc>
      </w:tr>
      <w:tr w:rsidR="000A156F" w:rsidTr="000A156F">
        <w:tc>
          <w:tcPr>
            <w:tcW w:w="0" w:type="auto"/>
            <w:vAlign w:val="center"/>
          </w:tcPr>
          <w:p w:rsidR="000A156F" w:rsidRDefault="00A9721F">
            <w:pPr>
              <w:pStyle w:val="TableBodyText"/>
            </w:pPr>
            <w:r>
              <w:t>MailMergeToolbar</w:t>
            </w:r>
          </w:p>
        </w:tc>
        <w:tc>
          <w:tcPr>
            <w:tcW w:w="0" w:type="auto"/>
            <w:vAlign w:val="center"/>
          </w:tcPr>
          <w:p w:rsidR="000A156F" w:rsidRDefault="00A9721F">
            <w:pPr>
              <w:pStyle w:val="TableBodyText"/>
            </w:pPr>
            <w:r>
              <w:t>055B</w:t>
            </w:r>
          </w:p>
        </w:tc>
      </w:tr>
      <w:tr w:rsidR="000A156F" w:rsidTr="000A156F">
        <w:tc>
          <w:tcPr>
            <w:tcW w:w="0" w:type="auto"/>
            <w:vAlign w:val="center"/>
          </w:tcPr>
          <w:p w:rsidR="000A156F" w:rsidRDefault="00A9721F">
            <w:pPr>
              <w:pStyle w:val="TableBodyText"/>
            </w:pPr>
            <w:r>
              <w:t>MailMergeUseAddressBook</w:t>
            </w:r>
          </w:p>
        </w:tc>
        <w:tc>
          <w:tcPr>
            <w:tcW w:w="0" w:type="auto"/>
            <w:vAlign w:val="center"/>
          </w:tcPr>
          <w:p w:rsidR="000A156F" w:rsidRDefault="00A9721F">
            <w:pPr>
              <w:pStyle w:val="TableBodyText"/>
            </w:pPr>
            <w:r>
              <w:t>030B</w:t>
            </w:r>
          </w:p>
        </w:tc>
      </w:tr>
      <w:tr w:rsidR="000A156F" w:rsidTr="000A156F">
        <w:tc>
          <w:tcPr>
            <w:tcW w:w="0" w:type="auto"/>
            <w:vAlign w:val="center"/>
          </w:tcPr>
          <w:p w:rsidR="000A156F" w:rsidRDefault="00A9721F">
            <w:pPr>
              <w:pStyle w:val="TableBodyText"/>
            </w:pPr>
            <w:r>
              <w:t>MailMergeUseOutlookContacts</w:t>
            </w:r>
          </w:p>
        </w:tc>
        <w:tc>
          <w:tcPr>
            <w:tcW w:w="0" w:type="auto"/>
            <w:vAlign w:val="center"/>
          </w:tcPr>
          <w:p w:rsidR="000A156F" w:rsidRDefault="00A9721F">
            <w:pPr>
              <w:pStyle w:val="TableBodyText"/>
            </w:pPr>
            <w:r>
              <w:t>0974</w:t>
            </w:r>
          </w:p>
        </w:tc>
      </w:tr>
      <w:tr w:rsidR="000A156F" w:rsidTr="000A156F">
        <w:tc>
          <w:tcPr>
            <w:tcW w:w="0" w:type="auto"/>
            <w:vAlign w:val="center"/>
          </w:tcPr>
          <w:p w:rsidR="000A156F" w:rsidRDefault="00A9721F">
            <w:pPr>
              <w:pStyle w:val="TableBodyText"/>
            </w:pPr>
            <w:r>
              <w:t>MailMergeViewData</w:t>
            </w:r>
          </w:p>
        </w:tc>
        <w:tc>
          <w:tcPr>
            <w:tcW w:w="0" w:type="auto"/>
            <w:vAlign w:val="center"/>
          </w:tcPr>
          <w:p w:rsidR="000A156F" w:rsidRDefault="00A9721F">
            <w:pPr>
              <w:pStyle w:val="TableBodyText"/>
            </w:pPr>
            <w:r>
              <w:t>01AF</w:t>
            </w:r>
          </w:p>
        </w:tc>
      </w:tr>
      <w:tr w:rsidR="000A156F" w:rsidTr="000A156F">
        <w:tc>
          <w:tcPr>
            <w:tcW w:w="0" w:type="auto"/>
            <w:vAlign w:val="center"/>
          </w:tcPr>
          <w:p w:rsidR="000A156F" w:rsidRDefault="00A9721F">
            <w:pPr>
              <w:pStyle w:val="TableBodyText"/>
            </w:pPr>
            <w:r>
              <w:t>MailMergeWizard</w:t>
            </w:r>
          </w:p>
        </w:tc>
        <w:tc>
          <w:tcPr>
            <w:tcW w:w="0" w:type="auto"/>
            <w:vAlign w:val="center"/>
          </w:tcPr>
          <w:p w:rsidR="000A156F" w:rsidRDefault="00A9721F">
            <w:pPr>
              <w:pStyle w:val="TableBodyText"/>
            </w:pPr>
            <w:r>
              <w:t>04DE</w:t>
            </w:r>
          </w:p>
        </w:tc>
      </w:tr>
      <w:tr w:rsidR="000A156F" w:rsidTr="000A156F">
        <w:tc>
          <w:tcPr>
            <w:tcW w:w="0" w:type="auto"/>
            <w:vAlign w:val="center"/>
          </w:tcPr>
          <w:p w:rsidR="000A156F" w:rsidRDefault="00A9721F">
            <w:pPr>
              <w:pStyle w:val="TableBodyText"/>
            </w:pPr>
            <w:r>
              <w:t>MailMessageDelete</w:t>
            </w:r>
          </w:p>
        </w:tc>
        <w:tc>
          <w:tcPr>
            <w:tcW w:w="0" w:type="auto"/>
            <w:vAlign w:val="center"/>
          </w:tcPr>
          <w:p w:rsidR="000A156F" w:rsidRDefault="00A9721F">
            <w:pPr>
              <w:pStyle w:val="TableBodyText"/>
            </w:pPr>
            <w:r>
              <w:t>0303</w:t>
            </w:r>
          </w:p>
        </w:tc>
      </w:tr>
      <w:tr w:rsidR="000A156F" w:rsidTr="000A156F">
        <w:tc>
          <w:tcPr>
            <w:tcW w:w="0" w:type="auto"/>
            <w:vAlign w:val="center"/>
          </w:tcPr>
          <w:p w:rsidR="000A156F" w:rsidRDefault="00A9721F">
            <w:pPr>
              <w:pStyle w:val="TableBodyText"/>
            </w:pPr>
            <w:r>
              <w:t>MailMessageForward</w:t>
            </w:r>
          </w:p>
        </w:tc>
        <w:tc>
          <w:tcPr>
            <w:tcW w:w="0" w:type="auto"/>
            <w:vAlign w:val="center"/>
          </w:tcPr>
          <w:p w:rsidR="000A156F" w:rsidRDefault="00A9721F">
            <w:pPr>
              <w:pStyle w:val="TableBodyText"/>
            </w:pPr>
            <w:r>
              <w:t>0308</w:t>
            </w:r>
          </w:p>
        </w:tc>
      </w:tr>
      <w:tr w:rsidR="000A156F" w:rsidTr="000A156F">
        <w:tc>
          <w:tcPr>
            <w:tcW w:w="0" w:type="auto"/>
            <w:vAlign w:val="center"/>
          </w:tcPr>
          <w:p w:rsidR="000A156F" w:rsidRDefault="00A9721F">
            <w:pPr>
              <w:pStyle w:val="TableBodyText"/>
            </w:pPr>
            <w:r>
              <w:t>MailMessageMove</w:t>
            </w:r>
          </w:p>
        </w:tc>
        <w:tc>
          <w:tcPr>
            <w:tcW w:w="0" w:type="auto"/>
            <w:vAlign w:val="center"/>
          </w:tcPr>
          <w:p w:rsidR="000A156F" w:rsidRDefault="00A9721F">
            <w:pPr>
              <w:pStyle w:val="TableBodyText"/>
            </w:pPr>
            <w:r>
              <w:t>0302</w:t>
            </w:r>
          </w:p>
        </w:tc>
      </w:tr>
      <w:tr w:rsidR="000A156F" w:rsidTr="000A156F">
        <w:tc>
          <w:tcPr>
            <w:tcW w:w="0" w:type="auto"/>
            <w:vAlign w:val="center"/>
          </w:tcPr>
          <w:p w:rsidR="000A156F" w:rsidRDefault="00A9721F">
            <w:pPr>
              <w:pStyle w:val="TableBodyText"/>
            </w:pPr>
            <w:r>
              <w:t>MailMessageNext</w:t>
            </w:r>
          </w:p>
        </w:tc>
        <w:tc>
          <w:tcPr>
            <w:tcW w:w="0" w:type="auto"/>
            <w:vAlign w:val="center"/>
          </w:tcPr>
          <w:p w:rsidR="000A156F" w:rsidRDefault="00A9721F">
            <w:pPr>
              <w:pStyle w:val="TableBodyText"/>
            </w:pPr>
            <w:r>
              <w:t>0305</w:t>
            </w:r>
          </w:p>
        </w:tc>
      </w:tr>
      <w:tr w:rsidR="000A156F" w:rsidTr="000A156F">
        <w:tc>
          <w:tcPr>
            <w:tcW w:w="0" w:type="auto"/>
            <w:vAlign w:val="center"/>
          </w:tcPr>
          <w:p w:rsidR="000A156F" w:rsidRDefault="00A9721F">
            <w:pPr>
              <w:pStyle w:val="TableBodyText"/>
            </w:pPr>
            <w:r>
              <w:t>MailMessagePrevious</w:t>
            </w:r>
          </w:p>
        </w:tc>
        <w:tc>
          <w:tcPr>
            <w:tcW w:w="0" w:type="auto"/>
            <w:vAlign w:val="center"/>
          </w:tcPr>
          <w:p w:rsidR="000A156F" w:rsidRDefault="00A9721F">
            <w:pPr>
              <w:pStyle w:val="TableBodyText"/>
            </w:pPr>
            <w:r>
              <w:t>0304</w:t>
            </w:r>
          </w:p>
        </w:tc>
      </w:tr>
      <w:tr w:rsidR="000A156F" w:rsidTr="000A156F">
        <w:tc>
          <w:tcPr>
            <w:tcW w:w="0" w:type="auto"/>
            <w:vAlign w:val="center"/>
          </w:tcPr>
          <w:p w:rsidR="000A156F" w:rsidRDefault="00A9721F">
            <w:pPr>
              <w:pStyle w:val="TableBodyText"/>
            </w:pPr>
            <w:r>
              <w:t>MailMessageProperties</w:t>
            </w:r>
          </w:p>
        </w:tc>
        <w:tc>
          <w:tcPr>
            <w:tcW w:w="0" w:type="auto"/>
            <w:vAlign w:val="center"/>
          </w:tcPr>
          <w:p w:rsidR="000A156F" w:rsidRDefault="00A9721F">
            <w:pPr>
              <w:pStyle w:val="TableBodyText"/>
            </w:pPr>
            <w:r>
              <w:t>02FC</w:t>
            </w:r>
          </w:p>
        </w:tc>
      </w:tr>
      <w:tr w:rsidR="000A156F" w:rsidTr="000A156F">
        <w:tc>
          <w:tcPr>
            <w:tcW w:w="0" w:type="auto"/>
            <w:vAlign w:val="center"/>
          </w:tcPr>
          <w:p w:rsidR="000A156F" w:rsidRDefault="00A9721F">
            <w:pPr>
              <w:pStyle w:val="TableBodyText"/>
            </w:pPr>
            <w:r>
              <w:t>MailMessageReply</w:t>
            </w:r>
          </w:p>
        </w:tc>
        <w:tc>
          <w:tcPr>
            <w:tcW w:w="0" w:type="auto"/>
            <w:vAlign w:val="center"/>
          </w:tcPr>
          <w:p w:rsidR="000A156F" w:rsidRDefault="00A9721F">
            <w:pPr>
              <w:pStyle w:val="TableBodyText"/>
            </w:pPr>
            <w:r>
              <w:t>0300</w:t>
            </w:r>
          </w:p>
        </w:tc>
      </w:tr>
      <w:tr w:rsidR="000A156F" w:rsidTr="000A156F">
        <w:tc>
          <w:tcPr>
            <w:tcW w:w="0" w:type="auto"/>
            <w:vAlign w:val="center"/>
          </w:tcPr>
          <w:p w:rsidR="000A156F" w:rsidRDefault="00A9721F">
            <w:pPr>
              <w:pStyle w:val="TableBodyText"/>
            </w:pPr>
            <w:r>
              <w:lastRenderedPageBreak/>
              <w:t>MailMessageReplyAll</w:t>
            </w:r>
          </w:p>
        </w:tc>
        <w:tc>
          <w:tcPr>
            <w:tcW w:w="0" w:type="auto"/>
            <w:vAlign w:val="center"/>
          </w:tcPr>
          <w:p w:rsidR="000A156F" w:rsidRDefault="00A9721F">
            <w:pPr>
              <w:pStyle w:val="TableBodyText"/>
            </w:pPr>
            <w:r>
              <w:t>0301</w:t>
            </w:r>
          </w:p>
        </w:tc>
      </w:tr>
      <w:tr w:rsidR="000A156F" w:rsidTr="000A156F">
        <w:tc>
          <w:tcPr>
            <w:tcW w:w="0" w:type="auto"/>
            <w:vAlign w:val="center"/>
          </w:tcPr>
          <w:p w:rsidR="000A156F" w:rsidRDefault="00A9721F">
            <w:pPr>
              <w:pStyle w:val="TableBodyText"/>
            </w:pPr>
            <w:r>
              <w:t>MailSelectNames</w:t>
            </w:r>
          </w:p>
        </w:tc>
        <w:tc>
          <w:tcPr>
            <w:tcW w:w="0" w:type="auto"/>
            <w:vAlign w:val="center"/>
          </w:tcPr>
          <w:p w:rsidR="000A156F" w:rsidRDefault="00A9721F">
            <w:pPr>
              <w:pStyle w:val="TableBodyText"/>
            </w:pPr>
            <w:r>
              <w:t>0307</w:t>
            </w:r>
          </w:p>
        </w:tc>
      </w:tr>
      <w:tr w:rsidR="000A156F" w:rsidTr="000A156F">
        <w:tc>
          <w:tcPr>
            <w:tcW w:w="0" w:type="auto"/>
            <w:vAlign w:val="center"/>
          </w:tcPr>
          <w:p w:rsidR="000A156F" w:rsidRDefault="00A9721F">
            <w:pPr>
              <w:pStyle w:val="TableBodyText"/>
            </w:pPr>
            <w:r>
              <w:t>MarkAsReadOnly</w:t>
            </w:r>
          </w:p>
        </w:tc>
        <w:tc>
          <w:tcPr>
            <w:tcW w:w="0" w:type="auto"/>
            <w:vAlign w:val="center"/>
          </w:tcPr>
          <w:p w:rsidR="000A156F" w:rsidRDefault="00A9721F">
            <w:pPr>
              <w:pStyle w:val="TableBodyText"/>
            </w:pPr>
            <w:r>
              <w:t>0843</w:t>
            </w:r>
          </w:p>
        </w:tc>
      </w:tr>
      <w:tr w:rsidR="000A156F" w:rsidTr="000A156F">
        <w:tc>
          <w:tcPr>
            <w:tcW w:w="0" w:type="auto"/>
            <w:vAlign w:val="center"/>
          </w:tcPr>
          <w:p w:rsidR="000A156F" w:rsidRDefault="00A9721F">
            <w:pPr>
              <w:pStyle w:val="TableBodyText"/>
            </w:pPr>
            <w:r>
              <w:t>MarkCitation</w:t>
            </w:r>
          </w:p>
        </w:tc>
        <w:tc>
          <w:tcPr>
            <w:tcW w:w="0" w:type="auto"/>
            <w:vAlign w:val="center"/>
          </w:tcPr>
          <w:p w:rsidR="000A156F" w:rsidRDefault="00A9721F">
            <w:pPr>
              <w:pStyle w:val="TableBodyText"/>
            </w:pPr>
            <w:r>
              <w:t>01CF</w:t>
            </w:r>
          </w:p>
        </w:tc>
      </w:tr>
      <w:tr w:rsidR="000A156F" w:rsidTr="000A156F">
        <w:tc>
          <w:tcPr>
            <w:tcW w:w="0" w:type="auto"/>
            <w:vAlign w:val="center"/>
          </w:tcPr>
          <w:p w:rsidR="000A156F" w:rsidRDefault="00A9721F">
            <w:pPr>
              <w:pStyle w:val="TableBodyText"/>
            </w:pPr>
            <w:r>
              <w:t>MarkIndexEntry</w:t>
            </w:r>
          </w:p>
        </w:tc>
        <w:tc>
          <w:tcPr>
            <w:tcW w:w="0" w:type="auto"/>
            <w:vAlign w:val="center"/>
          </w:tcPr>
          <w:p w:rsidR="000A156F" w:rsidRDefault="00A9721F">
            <w:pPr>
              <w:pStyle w:val="TableBodyText"/>
            </w:pPr>
            <w:r>
              <w:t>00A9</w:t>
            </w:r>
          </w:p>
        </w:tc>
      </w:tr>
      <w:tr w:rsidR="000A156F" w:rsidTr="000A156F">
        <w:tc>
          <w:tcPr>
            <w:tcW w:w="0" w:type="auto"/>
            <w:vAlign w:val="center"/>
          </w:tcPr>
          <w:p w:rsidR="000A156F" w:rsidRDefault="00A9721F">
            <w:pPr>
              <w:pStyle w:val="TableBodyText"/>
            </w:pPr>
            <w:r>
              <w:t>MarkTableOfContentsEntry</w:t>
            </w:r>
          </w:p>
        </w:tc>
        <w:tc>
          <w:tcPr>
            <w:tcW w:w="0" w:type="auto"/>
            <w:vAlign w:val="center"/>
          </w:tcPr>
          <w:p w:rsidR="000A156F" w:rsidRDefault="00A9721F">
            <w:pPr>
              <w:pStyle w:val="TableBodyText"/>
            </w:pPr>
            <w:r>
              <w:t>01BA</w:t>
            </w:r>
          </w:p>
        </w:tc>
      </w:tr>
      <w:tr w:rsidR="000A156F" w:rsidTr="000A156F">
        <w:tc>
          <w:tcPr>
            <w:tcW w:w="0" w:type="auto"/>
            <w:vAlign w:val="center"/>
          </w:tcPr>
          <w:p w:rsidR="000A156F" w:rsidRDefault="00A9721F">
            <w:pPr>
              <w:pStyle w:val="TableBodyText"/>
            </w:pPr>
            <w:r>
              <w:t>MenuAsianLayout</w:t>
            </w:r>
          </w:p>
        </w:tc>
        <w:tc>
          <w:tcPr>
            <w:tcW w:w="0" w:type="auto"/>
            <w:vAlign w:val="center"/>
          </w:tcPr>
          <w:p w:rsidR="000A156F" w:rsidRDefault="00A9721F">
            <w:pPr>
              <w:pStyle w:val="TableBodyText"/>
            </w:pPr>
            <w:r>
              <w:t>169F</w:t>
            </w:r>
          </w:p>
        </w:tc>
      </w:tr>
      <w:tr w:rsidR="000A156F" w:rsidTr="000A156F">
        <w:tc>
          <w:tcPr>
            <w:tcW w:w="0" w:type="auto"/>
            <w:vAlign w:val="center"/>
          </w:tcPr>
          <w:p w:rsidR="000A156F" w:rsidRDefault="00A9721F">
            <w:pPr>
              <w:pStyle w:val="TableBodyText"/>
            </w:pPr>
            <w:r>
              <w:t>MenuAutoText</w:t>
            </w:r>
          </w:p>
        </w:tc>
        <w:tc>
          <w:tcPr>
            <w:tcW w:w="0" w:type="auto"/>
            <w:vAlign w:val="center"/>
          </w:tcPr>
          <w:p w:rsidR="000A156F" w:rsidRDefault="00A9721F">
            <w:pPr>
              <w:pStyle w:val="TableBodyText"/>
            </w:pPr>
            <w:r>
              <w:t>1685</w:t>
            </w:r>
          </w:p>
        </w:tc>
      </w:tr>
      <w:tr w:rsidR="000A156F" w:rsidTr="000A156F">
        <w:tc>
          <w:tcPr>
            <w:tcW w:w="0" w:type="auto"/>
            <w:vAlign w:val="center"/>
          </w:tcPr>
          <w:p w:rsidR="000A156F" w:rsidRDefault="00A9721F">
            <w:pPr>
              <w:pStyle w:val="TableBodyText"/>
            </w:pPr>
            <w:r>
              <w:t>MenuAutoTextList</w:t>
            </w:r>
          </w:p>
        </w:tc>
        <w:tc>
          <w:tcPr>
            <w:tcW w:w="0" w:type="auto"/>
            <w:vAlign w:val="center"/>
          </w:tcPr>
          <w:p w:rsidR="000A156F" w:rsidRDefault="00A9721F">
            <w:pPr>
              <w:pStyle w:val="TableBodyText"/>
            </w:pPr>
            <w:r>
              <w:t>168D</w:t>
            </w:r>
          </w:p>
        </w:tc>
      </w:tr>
      <w:tr w:rsidR="000A156F" w:rsidTr="000A156F">
        <w:tc>
          <w:tcPr>
            <w:tcW w:w="0" w:type="auto"/>
            <w:vAlign w:val="center"/>
          </w:tcPr>
          <w:p w:rsidR="000A156F" w:rsidRDefault="00A9721F">
            <w:pPr>
              <w:pStyle w:val="TableBodyText"/>
            </w:pPr>
            <w:r>
              <w:t>MenuBorder</w:t>
            </w:r>
          </w:p>
        </w:tc>
        <w:tc>
          <w:tcPr>
            <w:tcW w:w="0" w:type="auto"/>
            <w:vAlign w:val="center"/>
          </w:tcPr>
          <w:p w:rsidR="000A156F" w:rsidRDefault="00A9721F">
            <w:pPr>
              <w:pStyle w:val="TableBodyText"/>
            </w:pPr>
            <w:r>
              <w:t>1652</w:t>
            </w:r>
          </w:p>
        </w:tc>
      </w:tr>
      <w:tr w:rsidR="000A156F" w:rsidTr="000A156F">
        <w:tc>
          <w:tcPr>
            <w:tcW w:w="0" w:type="auto"/>
            <w:vAlign w:val="center"/>
          </w:tcPr>
          <w:p w:rsidR="000A156F" w:rsidRDefault="00A9721F">
            <w:pPr>
              <w:pStyle w:val="TableBodyText"/>
            </w:pPr>
            <w:r>
              <w:t>MenuCellAlignment</w:t>
            </w:r>
          </w:p>
        </w:tc>
        <w:tc>
          <w:tcPr>
            <w:tcW w:w="0" w:type="auto"/>
            <w:vAlign w:val="center"/>
          </w:tcPr>
          <w:p w:rsidR="000A156F" w:rsidRDefault="00A9721F">
            <w:pPr>
              <w:pStyle w:val="TableBodyText"/>
            </w:pPr>
            <w:r>
              <w:t>169C</w:t>
            </w:r>
          </w:p>
        </w:tc>
      </w:tr>
      <w:tr w:rsidR="000A156F" w:rsidTr="000A156F">
        <w:tc>
          <w:tcPr>
            <w:tcW w:w="0" w:type="auto"/>
            <w:vAlign w:val="center"/>
          </w:tcPr>
          <w:p w:rsidR="000A156F" w:rsidRDefault="00A9721F">
            <w:pPr>
              <w:pStyle w:val="TableBodyText"/>
            </w:pPr>
            <w:r>
              <w:t>MenuCellAlignmentNoTearoff</w:t>
            </w:r>
          </w:p>
        </w:tc>
        <w:tc>
          <w:tcPr>
            <w:tcW w:w="0" w:type="auto"/>
            <w:vAlign w:val="center"/>
          </w:tcPr>
          <w:p w:rsidR="000A156F" w:rsidRDefault="00A9721F">
            <w:pPr>
              <w:pStyle w:val="TableBodyText"/>
            </w:pPr>
            <w:r>
              <w:t>16C6</w:t>
            </w:r>
          </w:p>
        </w:tc>
      </w:tr>
      <w:tr w:rsidR="000A156F" w:rsidTr="000A156F">
        <w:tc>
          <w:tcPr>
            <w:tcW w:w="0" w:type="auto"/>
            <w:vAlign w:val="center"/>
          </w:tcPr>
          <w:p w:rsidR="000A156F" w:rsidRDefault="00A9721F">
            <w:pPr>
              <w:pStyle w:val="TableBodyText"/>
            </w:pPr>
            <w:r>
              <w:t>MenuCellVerticalAlign</w:t>
            </w:r>
          </w:p>
        </w:tc>
        <w:tc>
          <w:tcPr>
            <w:tcW w:w="0" w:type="auto"/>
            <w:vAlign w:val="center"/>
          </w:tcPr>
          <w:p w:rsidR="000A156F" w:rsidRDefault="00A9721F">
            <w:pPr>
              <w:pStyle w:val="TableBodyText"/>
            </w:pPr>
            <w:r>
              <w:t>1689</w:t>
            </w:r>
          </w:p>
        </w:tc>
      </w:tr>
      <w:tr w:rsidR="000A156F" w:rsidTr="000A156F">
        <w:tc>
          <w:tcPr>
            <w:tcW w:w="0" w:type="auto"/>
            <w:vAlign w:val="center"/>
          </w:tcPr>
          <w:p w:rsidR="000A156F" w:rsidRDefault="00A9721F">
            <w:pPr>
              <w:pStyle w:val="TableBodyText"/>
            </w:pPr>
            <w:r>
              <w:t>MenuClear</w:t>
            </w:r>
          </w:p>
        </w:tc>
        <w:tc>
          <w:tcPr>
            <w:tcW w:w="0" w:type="auto"/>
            <w:vAlign w:val="center"/>
          </w:tcPr>
          <w:p w:rsidR="000A156F" w:rsidRDefault="00A9721F">
            <w:pPr>
              <w:pStyle w:val="TableBodyText"/>
            </w:pPr>
            <w:r>
              <w:t>16B0</w:t>
            </w:r>
          </w:p>
        </w:tc>
      </w:tr>
      <w:tr w:rsidR="000A156F" w:rsidTr="000A156F">
        <w:tc>
          <w:tcPr>
            <w:tcW w:w="0" w:type="auto"/>
            <w:vAlign w:val="center"/>
          </w:tcPr>
          <w:p w:rsidR="000A156F" w:rsidRDefault="00A9721F">
            <w:pPr>
              <w:pStyle w:val="TableBodyText"/>
            </w:pPr>
            <w:r>
              <w:t>MenuDiagramConvertTo</w:t>
            </w:r>
          </w:p>
        </w:tc>
        <w:tc>
          <w:tcPr>
            <w:tcW w:w="0" w:type="auto"/>
            <w:vAlign w:val="center"/>
          </w:tcPr>
          <w:p w:rsidR="000A156F" w:rsidRDefault="00A9721F">
            <w:pPr>
              <w:pStyle w:val="TableBodyText"/>
            </w:pPr>
            <w:r>
              <w:t>16B7</w:t>
            </w:r>
          </w:p>
        </w:tc>
      </w:tr>
      <w:tr w:rsidR="000A156F" w:rsidTr="000A156F">
        <w:tc>
          <w:tcPr>
            <w:tcW w:w="0" w:type="auto"/>
            <w:vAlign w:val="center"/>
          </w:tcPr>
          <w:p w:rsidR="000A156F" w:rsidRDefault="00A9721F">
            <w:pPr>
              <w:pStyle w:val="TableBodyText"/>
            </w:pPr>
            <w:r>
              <w:t>MenuDiagramLayout</w:t>
            </w:r>
          </w:p>
        </w:tc>
        <w:tc>
          <w:tcPr>
            <w:tcW w:w="0" w:type="auto"/>
            <w:vAlign w:val="center"/>
          </w:tcPr>
          <w:p w:rsidR="000A156F" w:rsidRDefault="00A9721F">
            <w:pPr>
              <w:pStyle w:val="TableBodyText"/>
            </w:pPr>
            <w:r>
              <w:t>16B1</w:t>
            </w:r>
          </w:p>
        </w:tc>
      </w:tr>
      <w:tr w:rsidR="000A156F" w:rsidTr="000A156F">
        <w:tc>
          <w:tcPr>
            <w:tcW w:w="0" w:type="auto"/>
            <w:vAlign w:val="center"/>
          </w:tcPr>
          <w:p w:rsidR="000A156F" w:rsidRDefault="00A9721F">
            <w:pPr>
              <w:pStyle w:val="TableBodyText"/>
            </w:pPr>
            <w:r>
              <w:t>MenuDraw</w:t>
            </w:r>
          </w:p>
        </w:tc>
        <w:tc>
          <w:tcPr>
            <w:tcW w:w="0" w:type="auto"/>
            <w:vAlign w:val="center"/>
          </w:tcPr>
          <w:p w:rsidR="000A156F" w:rsidRDefault="00A9721F">
            <w:pPr>
              <w:pStyle w:val="TableBodyText"/>
            </w:pPr>
            <w:r>
              <w:t>1655</w:t>
            </w:r>
          </w:p>
        </w:tc>
      </w:tr>
      <w:tr w:rsidR="000A156F" w:rsidTr="000A156F">
        <w:tc>
          <w:tcPr>
            <w:tcW w:w="0" w:type="auto"/>
            <w:vAlign w:val="center"/>
          </w:tcPr>
          <w:p w:rsidR="000A156F" w:rsidRDefault="00A9721F">
            <w:pPr>
              <w:pStyle w:val="TableBodyText"/>
            </w:pPr>
            <w:r>
              <w:t>MenuEdit</w:t>
            </w:r>
          </w:p>
        </w:tc>
        <w:tc>
          <w:tcPr>
            <w:tcW w:w="0" w:type="auto"/>
            <w:vAlign w:val="center"/>
          </w:tcPr>
          <w:p w:rsidR="000A156F" w:rsidRDefault="00A9721F">
            <w:pPr>
              <w:pStyle w:val="TableBodyText"/>
            </w:pPr>
            <w:r>
              <w:t>1645</w:t>
            </w:r>
          </w:p>
        </w:tc>
      </w:tr>
      <w:tr w:rsidR="000A156F" w:rsidTr="000A156F">
        <w:tc>
          <w:tcPr>
            <w:tcW w:w="0" w:type="auto"/>
            <w:vAlign w:val="center"/>
          </w:tcPr>
          <w:p w:rsidR="000A156F" w:rsidRDefault="00A9721F">
            <w:pPr>
              <w:pStyle w:val="TableBodyText"/>
            </w:pPr>
            <w:r>
              <w:t>MenuEditObject</w:t>
            </w:r>
          </w:p>
        </w:tc>
        <w:tc>
          <w:tcPr>
            <w:tcW w:w="0" w:type="auto"/>
            <w:vAlign w:val="center"/>
          </w:tcPr>
          <w:p w:rsidR="000A156F" w:rsidRDefault="00A9721F">
            <w:pPr>
              <w:pStyle w:val="TableBodyText"/>
            </w:pPr>
            <w:r>
              <w:t>168A</w:t>
            </w:r>
          </w:p>
        </w:tc>
      </w:tr>
      <w:tr w:rsidR="000A156F" w:rsidTr="000A156F">
        <w:tc>
          <w:tcPr>
            <w:tcW w:w="0" w:type="auto"/>
            <w:vAlign w:val="center"/>
          </w:tcPr>
          <w:p w:rsidR="000A156F" w:rsidRDefault="00A9721F">
            <w:pPr>
              <w:pStyle w:val="TableBodyText"/>
            </w:pPr>
            <w:r>
              <w:t>MenuFile</w:t>
            </w:r>
          </w:p>
        </w:tc>
        <w:tc>
          <w:tcPr>
            <w:tcW w:w="0" w:type="auto"/>
            <w:vAlign w:val="center"/>
          </w:tcPr>
          <w:p w:rsidR="000A156F" w:rsidRDefault="00A9721F">
            <w:pPr>
              <w:pStyle w:val="TableBodyText"/>
            </w:pPr>
            <w:r>
              <w:t>1644</w:t>
            </w:r>
          </w:p>
        </w:tc>
      </w:tr>
      <w:tr w:rsidR="000A156F" w:rsidTr="000A156F">
        <w:tc>
          <w:tcPr>
            <w:tcW w:w="0" w:type="auto"/>
            <w:vAlign w:val="center"/>
          </w:tcPr>
          <w:p w:rsidR="000A156F" w:rsidRDefault="00A9721F">
            <w:pPr>
              <w:pStyle w:val="TableBodyText"/>
            </w:pPr>
            <w:r>
              <w:t>MenuFinalizeDocument</w:t>
            </w:r>
          </w:p>
        </w:tc>
        <w:tc>
          <w:tcPr>
            <w:tcW w:w="0" w:type="auto"/>
            <w:vAlign w:val="center"/>
          </w:tcPr>
          <w:p w:rsidR="000A156F" w:rsidRDefault="00A9721F">
            <w:pPr>
              <w:pStyle w:val="TableBodyText"/>
            </w:pPr>
            <w:r>
              <w:t>0841</w:t>
            </w:r>
          </w:p>
        </w:tc>
      </w:tr>
      <w:tr w:rsidR="000A156F" w:rsidTr="000A156F">
        <w:tc>
          <w:tcPr>
            <w:tcW w:w="0" w:type="auto"/>
            <w:vAlign w:val="center"/>
          </w:tcPr>
          <w:p w:rsidR="000A156F" w:rsidRDefault="00A9721F">
            <w:pPr>
              <w:pStyle w:val="TableBodyText"/>
            </w:pPr>
            <w:r>
              <w:t>MenuFixSpellingAC</w:t>
            </w:r>
          </w:p>
        </w:tc>
        <w:tc>
          <w:tcPr>
            <w:tcW w:w="0" w:type="auto"/>
            <w:vAlign w:val="center"/>
          </w:tcPr>
          <w:p w:rsidR="000A156F" w:rsidRDefault="00A9721F">
            <w:pPr>
              <w:pStyle w:val="TableBodyText"/>
            </w:pPr>
            <w:r>
              <w:t>1683</w:t>
            </w:r>
          </w:p>
        </w:tc>
      </w:tr>
      <w:tr w:rsidR="000A156F" w:rsidTr="000A156F">
        <w:tc>
          <w:tcPr>
            <w:tcW w:w="0" w:type="auto"/>
            <w:vAlign w:val="center"/>
          </w:tcPr>
          <w:p w:rsidR="000A156F" w:rsidRDefault="00A9721F">
            <w:pPr>
              <w:pStyle w:val="TableBodyText"/>
            </w:pPr>
            <w:r>
              <w:t>MenuFixSpellingLang</w:t>
            </w:r>
          </w:p>
        </w:tc>
        <w:tc>
          <w:tcPr>
            <w:tcW w:w="0" w:type="auto"/>
            <w:vAlign w:val="center"/>
          </w:tcPr>
          <w:p w:rsidR="000A156F" w:rsidRDefault="00A9721F">
            <w:pPr>
              <w:pStyle w:val="TableBodyText"/>
            </w:pPr>
            <w:r>
              <w:t>1680</w:t>
            </w:r>
          </w:p>
        </w:tc>
      </w:tr>
      <w:tr w:rsidR="000A156F" w:rsidTr="000A156F">
        <w:tc>
          <w:tcPr>
            <w:tcW w:w="0" w:type="auto"/>
            <w:vAlign w:val="center"/>
          </w:tcPr>
          <w:p w:rsidR="000A156F" w:rsidRDefault="00A9721F">
            <w:pPr>
              <w:pStyle w:val="TableBodyText"/>
            </w:pPr>
            <w:r>
              <w:t>MenuFont</w:t>
            </w:r>
          </w:p>
        </w:tc>
        <w:tc>
          <w:tcPr>
            <w:tcW w:w="0" w:type="auto"/>
            <w:vAlign w:val="center"/>
          </w:tcPr>
          <w:p w:rsidR="000A156F" w:rsidRDefault="00A9721F">
            <w:pPr>
              <w:pStyle w:val="TableBodyText"/>
            </w:pPr>
            <w:r>
              <w:t>164E</w:t>
            </w:r>
          </w:p>
        </w:tc>
      </w:tr>
      <w:tr w:rsidR="000A156F" w:rsidTr="000A156F">
        <w:tc>
          <w:tcPr>
            <w:tcW w:w="0" w:type="auto"/>
            <w:vAlign w:val="center"/>
          </w:tcPr>
          <w:p w:rsidR="000A156F" w:rsidRDefault="00A9721F">
            <w:pPr>
              <w:pStyle w:val="TableBodyText"/>
            </w:pPr>
            <w:r>
              <w:t>MenuFormat</w:t>
            </w:r>
          </w:p>
        </w:tc>
        <w:tc>
          <w:tcPr>
            <w:tcW w:w="0" w:type="auto"/>
            <w:vAlign w:val="center"/>
          </w:tcPr>
          <w:p w:rsidR="000A156F" w:rsidRDefault="00A9721F">
            <w:pPr>
              <w:pStyle w:val="TableBodyText"/>
            </w:pPr>
            <w:r>
              <w:t>1648</w:t>
            </w:r>
          </w:p>
        </w:tc>
      </w:tr>
      <w:tr w:rsidR="000A156F" w:rsidTr="000A156F">
        <w:tc>
          <w:tcPr>
            <w:tcW w:w="0" w:type="auto"/>
            <w:vAlign w:val="center"/>
          </w:tcPr>
          <w:p w:rsidR="000A156F" w:rsidRDefault="00A9721F">
            <w:pPr>
              <w:pStyle w:val="TableBodyText"/>
            </w:pPr>
            <w:r>
              <w:t>MenuFormatBackground</w:t>
            </w:r>
          </w:p>
        </w:tc>
        <w:tc>
          <w:tcPr>
            <w:tcW w:w="0" w:type="auto"/>
            <w:vAlign w:val="center"/>
          </w:tcPr>
          <w:p w:rsidR="000A156F" w:rsidRDefault="00A9721F">
            <w:pPr>
              <w:pStyle w:val="TableBodyText"/>
            </w:pPr>
            <w:r>
              <w:t>1682</w:t>
            </w:r>
          </w:p>
        </w:tc>
      </w:tr>
      <w:tr w:rsidR="000A156F" w:rsidTr="000A156F">
        <w:tc>
          <w:tcPr>
            <w:tcW w:w="0" w:type="auto"/>
            <w:vAlign w:val="center"/>
          </w:tcPr>
          <w:p w:rsidR="000A156F" w:rsidRDefault="00A9721F">
            <w:pPr>
              <w:pStyle w:val="TableBodyText"/>
            </w:pPr>
            <w:r>
              <w:t>MenuFrameset</w:t>
            </w:r>
          </w:p>
        </w:tc>
        <w:tc>
          <w:tcPr>
            <w:tcW w:w="0" w:type="auto"/>
            <w:vAlign w:val="center"/>
          </w:tcPr>
          <w:p w:rsidR="000A156F" w:rsidRDefault="00A9721F">
            <w:pPr>
              <w:pStyle w:val="TableBodyText"/>
            </w:pPr>
            <w:r>
              <w:t>167E</w:t>
            </w:r>
          </w:p>
        </w:tc>
      </w:tr>
      <w:tr w:rsidR="000A156F" w:rsidTr="000A156F">
        <w:tc>
          <w:tcPr>
            <w:tcW w:w="0" w:type="auto"/>
            <w:vAlign w:val="center"/>
          </w:tcPr>
          <w:p w:rsidR="000A156F" w:rsidRDefault="00A9721F">
            <w:pPr>
              <w:pStyle w:val="TableBodyText"/>
            </w:pPr>
            <w:r>
              <w:t>MenuHelp</w:t>
            </w:r>
          </w:p>
        </w:tc>
        <w:tc>
          <w:tcPr>
            <w:tcW w:w="0" w:type="auto"/>
            <w:vAlign w:val="center"/>
          </w:tcPr>
          <w:p w:rsidR="000A156F" w:rsidRDefault="00A9721F">
            <w:pPr>
              <w:pStyle w:val="TableBodyText"/>
            </w:pPr>
            <w:r>
              <w:t>164C</w:t>
            </w:r>
          </w:p>
        </w:tc>
      </w:tr>
      <w:tr w:rsidR="000A156F" w:rsidTr="000A156F">
        <w:tc>
          <w:tcPr>
            <w:tcW w:w="0" w:type="auto"/>
            <w:vAlign w:val="center"/>
          </w:tcPr>
          <w:p w:rsidR="000A156F" w:rsidRDefault="00A9721F">
            <w:pPr>
              <w:pStyle w:val="TableBodyText"/>
            </w:pPr>
            <w:r>
              <w:t>MenuHyperlinkSub</w:t>
            </w:r>
          </w:p>
        </w:tc>
        <w:tc>
          <w:tcPr>
            <w:tcW w:w="0" w:type="auto"/>
            <w:vAlign w:val="center"/>
          </w:tcPr>
          <w:p w:rsidR="000A156F" w:rsidRDefault="00A9721F">
            <w:pPr>
              <w:pStyle w:val="TableBodyText"/>
            </w:pPr>
            <w:r>
              <w:t>1688</w:t>
            </w:r>
          </w:p>
        </w:tc>
      </w:tr>
      <w:tr w:rsidR="000A156F" w:rsidTr="000A156F">
        <w:tc>
          <w:tcPr>
            <w:tcW w:w="0" w:type="auto"/>
            <w:vAlign w:val="center"/>
          </w:tcPr>
          <w:p w:rsidR="000A156F" w:rsidRDefault="00A9721F">
            <w:pPr>
              <w:pStyle w:val="TableBodyText"/>
            </w:pPr>
            <w:r>
              <w:t>MenuInsert</w:t>
            </w:r>
          </w:p>
        </w:tc>
        <w:tc>
          <w:tcPr>
            <w:tcW w:w="0" w:type="auto"/>
            <w:vAlign w:val="center"/>
          </w:tcPr>
          <w:p w:rsidR="000A156F" w:rsidRDefault="00A9721F">
            <w:pPr>
              <w:pStyle w:val="TableBodyText"/>
            </w:pPr>
            <w:r>
              <w:t>1647</w:t>
            </w:r>
          </w:p>
        </w:tc>
      </w:tr>
      <w:tr w:rsidR="000A156F" w:rsidTr="000A156F">
        <w:tc>
          <w:tcPr>
            <w:tcW w:w="0" w:type="auto"/>
            <w:vAlign w:val="center"/>
          </w:tcPr>
          <w:p w:rsidR="000A156F" w:rsidRDefault="00A9721F">
            <w:pPr>
              <w:pStyle w:val="TableBodyText"/>
            </w:pPr>
            <w:r>
              <w:t>MenuInsertFrame</w:t>
            </w:r>
          </w:p>
        </w:tc>
        <w:tc>
          <w:tcPr>
            <w:tcW w:w="0" w:type="auto"/>
            <w:vAlign w:val="center"/>
          </w:tcPr>
          <w:p w:rsidR="000A156F" w:rsidRDefault="00A9721F">
            <w:pPr>
              <w:pStyle w:val="TableBodyText"/>
            </w:pPr>
            <w:r>
              <w:t>1654</w:t>
            </w:r>
          </w:p>
        </w:tc>
      </w:tr>
      <w:tr w:rsidR="000A156F" w:rsidTr="000A156F">
        <w:tc>
          <w:tcPr>
            <w:tcW w:w="0" w:type="auto"/>
            <w:vAlign w:val="center"/>
          </w:tcPr>
          <w:p w:rsidR="000A156F" w:rsidRDefault="00A9721F">
            <w:pPr>
              <w:pStyle w:val="TableBodyText"/>
            </w:pPr>
            <w:r>
              <w:t>MenuLanguage</w:t>
            </w:r>
          </w:p>
        </w:tc>
        <w:tc>
          <w:tcPr>
            <w:tcW w:w="0" w:type="auto"/>
            <w:vAlign w:val="center"/>
          </w:tcPr>
          <w:p w:rsidR="000A156F" w:rsidRDefault="00A9721F">
            <w:pPr>
              <w:pStyle w:val="TableBodyText"/>
            </w:pPr>
            <w:r>
              <w:t>1650</w:t>
            </w:r>
          </w:p>
        </w:tc>
      </w:tr>
      <w:tr w:rsidR="000A156F" w:rsidTr="000A156F">
        <w:tc>
          <w:tcPr>
            <w:tcW w:w="0" w:type="auto"/>
            <w:vAlign w:val="center"/>
          </w:tcPr>
          <w:p w:rsidR="000A156F" w:rsidRDefault="00A9721F">
            <w:pPr>
              <w:pStyle w:val="TableBodyText"/>
            </w:pPr>
            <w:r>
              <w:lastRenderedPageBreak/>
              <w:t>MenuLettersMail</w:t>
            </w:r>
          </w:p>
        </w:tc>
        <w:tc>
          <w:tcPr>
            <w:tcW w:w="0" w:type="auto"/>
            <w:vAlign w:val="center"/>
          </w:tcPr>
          <w:p w:rsidR="000A156F" w:rsidRDefault="00A9721F">
            <w:pPr>
              <w:pStyle w:val="TableBodyText"/>
            </w:pPr>
            <w:r>
              <w:t>16AF</w:t>
            </w:r>
          </w:p>
        </w:tc>
      </w:tr>
      <w:tr w:rsidR="000A156F" w:rsidTr="000A156F">
        <w:tc>
          <w:tcPr>
            <w:tcW w:w="0" w:type="auto"/>
            <w:vAlign w:val="center"/>
          </w:tcPr>
          <w:p w:rsidR="000A156F" w:rsidRDefault="00A9721F">
            <w:pPr>
              <w:pStyle w:val="TableBodyText"/>
            </w:pPr>
            <w:r>
              <w:t>MenuMacro</w:t>
            </w:r>
          </w:p>
        </w:tc>
        <w:tc>
          <w:tcPr>
            <w:tcW w:w="0" w:type="auto"/>
            <w:vAlign w:val="center"/>
          </w:tcPr>
          <w:p w:rsidR="000A156F" w:rsidRDefault="00A9721F">
            <w:pPr>
              <w:pStyle w:val="TableBodyText"/>
            </w:pPr>
            <w:r>
              <w:t>1686</w:t>
            </w:r>
          </w:p>
        </w:tc>
      </w:tr>
      <w:tr w:rsidR="000A156F" w:rsidTr="000A156F">
        <w:tc>
          <w:tcPr>
            <w:tcW w:w="0" w:type="auto"/>
            <w:vAlign w:val="center"/>
          </w:tcPr>
          <w:p w:rsidR="000A156F" w:rsidRDefault="00A9721F">
            <w:pPr>
              <w:pStyle w:val="TableBodyText"/>
            </w:pPr>
            <w:r>
              <w:t>MenuManageDocument</w:t>
            </w:r>
          </w:p>
        </w:tc>
        <w:tc>
          <w:tcPr>
            <w:tcW w:w="0" w:type="auto"/>
            <w:vAlign w:val="center"/>
          </w:tcPr>
          <w:p w:rsidR="000A156F" w:rsidRDefault="00A9721F">
            <w:pPr>
              <w:pStyle w:val="TableBodyText"/>
            </w:pPr>
            <w:r>
              <w:t>083F</w:t>
            </w:r>
          </w:p>
        </w:tc>
      </w:tr>
      <w:tr w:rsidR="000A156F" w:rsidTr="000A156F">
        <w:tc>
          <w:tcPr>
            <w:tcW w:w="0" w:type="auto"/>
            <w:vAlign w:val="center"/>
          </w:tcPr>
          <w:p w:rsidR="000A156F" w:rsidRDefault="00A9721F">
            <w:pPr>
              <w:pStyle w:val="TableBodyText"/>
            </w:pPr>
            <w:r>
              <w:t>MenuMicrosoftOnTheWeb</w:t>
            </w:r>
          </w:p>
        </w:tc>
        <w:tc>
          <w:tcPr>
            <w:tcW w:w="0" w:type="auto"/>
            <w:vAlign w:val="center"/>
          </w:tcPr>
          <w:p w:rsidR="000A156F" w:rsidRDefault="00A9721F">
            <w:pPr>
              <w:pStyle w:val="TableBodyText"/>
            </w:pPr>
            <w:r>
              <w:t>1651</w:t>
            </w:r>
          </w:p>
        </w:tc>
      </w:tr>
      <w:tr w:rsidR="000A156F" w:rsidTr="000A156F">
        <w:tc>
          <w:tcPr>
            <w:tcW w:w="0" w:type="auto"/>
            <w:vAlign w:val="center"/>
          </w:tcPr>
          <w:p w:rsidR="000A156F" w:rsidRDefault="00A9721F">
            <w:pPr>
              <w:pStyle w:val="TableBodyText"/>
            </w:pPr>
            <w:r>
              <w:t>MenuMode</w:t>
            </w:r>
          </w:p>
        </w:tc>
        <w:tc>
          <w:tcPr>
            <w:tcW w:w="0" w:type="auto"/>
            <w:vAlign w:val="center"/>
          </w:tcPr>
          <w:p w:rsidR="000A156F" w:rsidRDefault="00A9721F">
            <w:pPr>
              <w:pStyle w:val="TableBodyText"/>
            </w:pPr>
            <w:r>
              <w:t>0125</w:t>
            </w:r>
          </w:p>
        </w:tc>
      </w:tr>
      <w:tr w:rsidR="000A156F" w:rsidTr="000A156F">
        <w:tc>
          <w:tcPr>
            <w:tcW w:w="0" w:type="auto"/>
            <w:vAlign w:val="center"/>
          </w:tcPr>
          <w:p w:rsidR="000A156F" w:rsidRDefault="00A9721F">
            <w:pPr>
              <w:pStyle w:val="TableBodyText"/>
            </w:pPr>
            <w:r>
              <w:t>MenuNotesFlow</w:t>
            </w:r>
          </w:p>
        </w:tc>
        <w:tc>
          <w:tcPr>
            <w:tcW w:w="0" w:type="auto"/>
            <w:vAlign w:val="center"/>
          </w:tcPr>
          <w:p w:rsidR="000A156F" w:rsidRDefault="00A9721F">
            <w:pPr>
              <w:pStyle w:val="TableBodyText"/>
            </w:pPr>
            <w:r>
              <w:t>036F</w:t>
            </w:r>
          </w:p>
        </w:tc>
      </w:tr>
      <w:tr w:rsidR="000A156F" w:rsidTr="000A156F">
        <w:tc>
          <w:tcPr>
            <w:tcW w:w="0" w:type="auto"/>
            <w:vAlign w:val="center"/>
          </w:tcPr>
          <w:p w:rsidR="000A156F" w:rsidRDefault="00A9721F">
            <w:pPr>
              <w:pStyle w:val="TableBodyText"/>
            </w:pPr>
            <w:r>
              <w:t>MenuOrgChartInsert</w:t>
            </w:r>
          </w:p>
        </w:tc>
        <w:tc>
          <w:tcPr>
            <w:tcW w:w="0" w:type="auto"/>
            <w:vAlign w:val="center"/>
          </w:tcPr>
          <w:p w:rsidR="000A156F" w:rsidRDefault="00A9721F">
            <w:pPr>
              <w:pStyle w:val="TableBodyText"/>
            </w:pPr>
            <w:r>
              <w:t>16B6</w:t>
            </w:r>
          </w:p>
        </w:tc>
      </w:tr>
      <w:tr w:rsidR="000A156F" w:rsidTr="000A156F">
        <w:tc>
          <w:tcPr>
            <w:tcW w:w="0" w:type="auto"/>
            <w:vAlign w:val="center"/>
          </w:tcPr>
          <w:p w:rsidR="000A156F" w:rsidRDefault="00A9721F">
            <w:pPr>
              <w:pStyle w:val="TableBodyText"/>
            </w:pPr>
            <w:r>
              <w:t>MenuOrgChartLayout</w:t>
            </w:r>
          </w:p>
        </w:tc>
        <w:tc>
          <w:tcPr>
            <w:tcW w:w="0" w:type="auto"/>
            <w:vAlign w:val="center"/>
          </w:tcPr>
          <w:p w:rsidR="000A156F" w:rsidRDefault="00A9721F">
            <w:pPr>
              <w:pStyle w:val="TableBodyText"/>
            </w:pPr>
            <w:r>
              <w:t>16AB</w:t>
            </w:r>
          </w:p>
        </w:tc>
      </w:tr>
      <w:tr w:rsidR="000A156F" w:rsidTr="000A156F">
        <w:tc>
          <w:tcPr>
            <w:tcW w:w="0" w:type="auto"/>
            <w:vAlign w:val="center"/>
          </w:tcPr>
          <w:p w:rsidR="000A156F" w:rsidRDefault="00A9721F">
            <w:pPr>
              <w:pStyle w:val="TableBodyText"/>
            </w:pPr>
            <w:r>
              <w:t>MenuOrgChartSelect</w:t>
            </w:r>
          </w:p>
        </w:tc>
        <w:tc>
          <w:tcPr>
            <w:tcW w:w="0" w:type="auto"/>
            <w:vAlign w:val="center"/>
          </w:tcPr>
          <w:p w:rsidR="000A156F" w:rsidRDefault="00A9721F">
            <w:pPr>
              <w:pStyle w:val="TableBodyText"/>
            </w:pPr>
            <w:r>
              <w:t>167A</w:t>
            </w:r>
          </w:p>
        </w:tc>
      </w:tr>
      <w:tr w:rsidR="000A156F" w:rsidTr="000A156F">
        <w:tc>
          <w:tcPr>
            <w:tcW w:w="0" w:type="auto"/>
            <w:vAlign w:val="center"/>
          </w:tcPr>
          <w:p w:rsidR="000A156F" w:rsidRDefault="00A9721F">
            <w:pPr>
              <w:pStyle w:val="TableBodyText"/>
            </w:pPr>
            <w:r>
              <w:t>MenuPicture</w:t>
            </w:r>
          </w:p>
        </w:tc>
        <w:tc>
          <w:tcPr>
            <w:tcW w:w="0" w:type="auto"/>
            <w:vAlign w:val="center"/>
          </w:tcPr>
          <w:p w:rsidR="000A156F" w:rsidRDefault="00A9721F">
            <w:pPr>
              <w:pStyle w:val="TableBodyText"/>
            </w:pPr>
            <w:r>
              <w:t>1684</w:t>
            </w:r>
          </w:p>
        </w:tc>
      </w:tr>
      <w:tr w:rsidR="000A156F" w:rsidTr="000A156F">
        <w:tc>
          <w:tcPr>
            <w:tcW w:w="0" w:type="auto"/>
            <w:vAlign w:val="center"/>
          </w:tcPr>
          <w:p w:rsidR="000A156F" w:rsidRDefault="00A9721F">
            <w:pPr>
              <w:pStyle w:val="TableBodyText"/>
            </w:pPr>
            <w:r>
              <w:t>MenuPowerTalk</w:t>
            </w:r>
          </w:p>
        </w:tc>
        <w:tc>
          <w:tcPr>
            <w:tcW w:w="0" w:type="auto"/>
            <w:vAlign w:val="center"/>
          </w:tcPr>
          <w:p w:rsidR="000A156F" w:rsidRDefault="00A9721F">
            <w:pPr>
              <w:pStyle w:val="TableBodyText"/>
            </w:pPr>
            <w:r>
              <w:t>1687</w:t>
            </w:r>
          </w:p>
        </w:tc>
      </w:tr>
      <w:tr w:rsidR="000A156F" w:rsidTr="000A156F">
        <w:tc>
          <w:tcPr>
            <w:tcW w:w="0" w:type="auto"/>
            <w:vAlign w:val="center"/>
          </w:tcPr>
          <w:p w:rsidR="000A156F" w:rsidRDefault="00A9721F">
            <w:pPr>
              <w:pStyle w:val="TableBodyText"/>
            </w:pPr>
            <w:r>
              <w:t>MenuReadingTools</w:t>
            </w:r>
          </w:p>
        </w:tc>
        <w:tc>
          <w:tcPr>
            <w:tcW w:w="0" w:type="auto"/>
            <w:vAlign w:val="center"/>
          </w:tcPr>
          <w:p w:rsidR="000A156F" w:rsidRDefault="00A9721F">
            <w:pPr>
              <w:pStyle w:val="TableBodyText"/>
            </w:pPr>
            <w:r>
              <w:t>0891</w:t>
            </w:r>
          </w:p>
        </w:tc>
      </w:tr>
      <w:tr w:rsidR="000A156F" w:rsidTr="000A156F">
        <w:tc>
          <w:tcPr>
            <w:tcW w:w="0" w:type="auto"/>
            <w:vAlign w:val="center"/>
          </w:tcPr>
          <w:p w:rsidR="000A156F" w:rsidRDefault="00A9721F">
            <w:pPr>
              <w:pStyle w:val="TableBodyText"/>
            </w:pPr>
            <w:r>
              <w:t>MenuReadingViewOptions</w:t>
            </w:r>
          </w:p>
        </w:tc>
        <w:tc>
          <w:tcPr>
            <w:tcW w:w="0" w:type="auto"/>
            <w:vAlign w:val="center"/>
          </w:tcPr>
          <w:p w:rsidR="000A156F" w:rsidRDefault="00A9721F">
            <w:pPr>
              <w:pStyle w:val="TableBodyText"/>
            </w:pPr>
            <w:r>
              <w:t>0896</w:t>
            </w:r>
          </w:p>
        </w:tc>
      </w:tr>
      <w:tr w:rsidR="000A156F" w:rsidTr="000A156F">
        <w:tc>
          <w:tcPr>
            <w:tcW w:w="0" w:type="auto"/>
            <w:vAlign w:val="center"/>
          </w:tcPr>
          <w:p w:rsidR="000A156F" w:rsidRDefault="00A9721F">
            <w:pPr>
              <w:pStyle w:val="TableBodyText"/>
            </w:pPr>
            <w:r>
              <w:t>MenuReference</w:t>
            </w:r>
          </w:p>
        </w:tc>
        <w:tc>
          <w:tcPr>
            <w:tcW w:w="0" w:type="auto"/>
            <w:vAlign w:val="center"/>
          </w:tcPr>
          <w:p w:rsidR="000A156F" w:rsidRDefault="00A9721F">
            <w:pPr>
              <w:pStyle w:val="TableBodyText"/>
            </w:pPr>
            <w:r>
              <w:t>16AE</w:t>
            </w:r>
          </w:p>
        </w:tc>
      </w:tr>
      <w:tr w:rsidR="000A156F" w:rsidTr="000A156F">
        <w:tc>
          <w:tcPr>
            <w:tcW w:w="0" w:type="auto"/>
            <w:vAlign w:val="center"/>
          </w:tcPr>
          <w:p w:rsidR="000A156F" w:rsidRDefault="00A9721F">
            <w:pPr>
              <w:pStyle w:val="TableBodyText"/>
            </w:pPr>
            <w:r>
              <w:t>MenuRevisions</w:t>
            </w:r>
          </w:p>
        </w:tc>
        <w:tc>
          <w:tcPr>
            <w:tcW w:w="0" w:type="auto"/>
            <w:vAlign w:val="center"/>
          </w:tcPr>
          <w:p w:rsidR="000A156F" w:rsidRDefault="00A9721F">
            <w:pPr>
              <w:pStyle w:val="TableBodyText"/>
            </w:pPr>
            <w:r>
              <w:t>1681</w:t>
            </w:r>
          </w:p>
        </w:tc>
      </w:tr>
      <w:tr w:rsidR="000A156F" w:rsidTr="000A156F">
        <w:tc>
          <w:tcPr>
            <w:tcW w:w="0" w:type="auto"/>
            <w:vAlign w:val="center"/>
          </w:tcPr>
          <w:p w:rsidR="000A156F" w:rsidRDefault="00A9721F">
            <w:pPr>
              <w:pStyle w:val="TableBodyText"/>
            </w:pPr>
            <w:r>
              <w:t>MenuSendTo</w:t>
            </w:r>
          </w:p>
        </w:tc>
        <w:tc>
          <w:tcPr>
            <w:tcW w:w="0" w:type="auto"/>
            <w:vAlign w:val="center"/>
          </w:tcPr>
          <w:p w:rsidR="000A156F" w:rsidRDefault="00A9721F">
            <w:pPr>
              <w:pStyle w:val="TableBodyText"/>
            </w:pPr>
            <w:r>
              <w:t>168B</w:t>
            </w:r>
          </w:p>
        </w:tc>
      </w:tr>
      <w:tr w:rsidR="000A156F" w:rsidTr="000A156F">
        <w:tc>
          <w:tcPr>
            <w:tcW w:w="0" w:type="auto"/>
            <w:vAlign w:val="center"/>
          </w:tcPr>
          <w:p w:rsidR="000A156F" w:rsidRDefault="00A9721F">
            <w:pPr>
              <w:pStyle w:val="TableBodyText"/>
            </w:pPr>
            <w:r>
              <w:t>MenuShareDocument</w:t>
            </w:r>
          </w:p>
        </w:tc>
        <w:tc>
          <w:tcPr>
            <w:tcW w:w="0" w:type="auto"/>
            <w:vAlign w:val="center"/>
          </w:tcPr>
          <w:p w:rsidR="000A156F" w:rsidRDefault="00A9721F">
            <w:pPr>
              <w:pStyle w:val="TableBodyText"/>
            </w:pPr>
            <w:r>
              <w:t>0840</w:t>
            </w:r>
          </w:p>
        </w:tc>
      </w:tr>
      <w:tr w:rsidR="000A156F" w:rsidTr="000A156F">
        <w:tc>
          <w:tcPr>
            <w:tcW w:w="0" w:type="auto"/>
            <w:vAlign w:val="center"/>
          </w:tcPr>
          <w:p w:rsidR="000A156F" w:rsidRDefault="00A9721F">
            <w:pPr>
              <w:pStyle w:val="TableBodyText"/>
            </w:pPr>
            <w:r>
              <w:t>MenuShowBalloons</w:t>
            </w:r>
          </w:p>
        </w:tc>
        <w:tc>
          <w:tcPr>
            <w:tcW w:w="0" w:type="auto"/>
            <w:vAlign w:val="center"/>
          </w:tcPr>
          <w:p w:rsidR="000A156F" w:rsidRDefault="00A9721F">
            <w:pPr>
              <w:pStyle w:val="TableBodyText"/>
            </w:pPr>
            <w:r>
              <w:t>16BC</w:t>
            </w:r>
          </w:p>
        </w:tc>
      </w:tr>
      <w:tr w:rsidR="000A156F" w:rsidTr="000A156F">
        <w:tc>
          <w:tcPr>
            <w:tcW w:w="0" w:type="auto"/>
            <w:vAlign w:val="center"/>
          </w:tcPr>
          <w:p w:rsidR="000A156F" w:rsidRDefault="00A9721F">
            <w:pPr>
              <w:pStyle w:val="TableBodyText"/>
            </w:pPr>
            <w:r>
              <w:t>MenuShowChanges</w:t>
            </w:r>
          </w:p>
        </w:tc>
        <w:tc>
          <w:tcPr>
            <w:tcW w:w="0" w:type="auto"/>
            <w:vAlign w:val="center"/>
          </w:tcPr>
          <w:p w:rsidR="000A156F" w:rsidRDefault="00A9721F">
            <w:pPr>
              <w:pStyle w:val="TableBodyText"/>
            </w:pPr>
            <w:r>
              <w:t>16B3</w:t>
            </w:r>
          </w:p>
        </w:tc>
      </w:tr>
      <w:tr w:rsidR="000A156F" w:rsidTr="000A156F">
        <w:tc>
          <w:tcPr>
            <w:tcW w:w="0" w:type="auto"/>
            <w:vAlign w:val="center"/>
          </w:tcPr>
          <w:p w:rsidR="000A156F" w:rsidRDefault="00A9721F">
            <w:pPr>
              <w:pStyle w:val="TableBodyText"/>
            </w:pPr>
            <w:r>
              <w:t>MenuShowSourceDocuments</w:t>
            </w:r>
          </w:p>
        </w:tc>
        <w:tc>
          <w:tcPr>
            <w:tcW w:w="0" w:type="auto"/>
            <w:vAlign w:val="center"/>
          </w:tcPr>
          <w:p w:rsidR="000A156F" w:rsidRDefault="00A9721F">
            <w:pPr>
              <w:pStyle w:val="TableBodyText"/>
            </w:pPr>
            <w:r>
              <w:t>07AD</w:t>
            </w:r>
          </w:p>
        </w:tc>
      </w:tr>
      <w:tr w:rsidR="000A156F" w:rsidTr="000A156F">
        <w:tc>
          <w:tcPr>
            <w:tcW w:w="0" w:type="auto"/>
            <w:vAlign w:val="center"/>
          </w:tcPr>
          <w:p w:rsidR="000A156F" w:rsidRDefault="00A9721F">
            <w:pPr>
              <w:pStyle w:val="TableBodyText"/>
            </w:pPr>
            <w:r>
              <w:t>MenuSignaturesDocument</w:t>
            </w:r>
          </w:p>
        </w:tc>
        <w:tc>
          <w:tcPr>
            <w:tcW w:w="0" w:type="auto"/>
            <w:vAlign w:val="center"/>
          </w:tcPr>
          <w:p w:rsidR="000A156F" w:rsidRDefault="00A9721F">
            <w:pPr>
              <w:pStyle w:val="TableBodyText"/>
            </w:pPr>
            <w:r>
              <w:t>0842</w:t>
            </w:r>
          </w:p>
        </w:tc>
      </w:tr>
      <w:tr w:rsidR="000A156F" w:rsidTr="000A156F">
        <w:tc>
          <w:tcPr>
            <w:tcW w:w="0" w:type="auto"/>
            <w:vAlign w:val="center"/>
          </w:tcPr>
          <w:p w:rsidR="000A156F" w:rsidRDefault="00A9721F">
            <w:pPr>
              <w:pStyle w:val="TableBodyText"/>
            </w:pPr>
            <w:r>
              <w:t>MenuTable</w:t>
            </w:r>
          </w:p>
        </w:tc>
        <w:tc>
          <w:tcPr>
            <w:tcW w:w="0" w:type="auto"/>
            <w:vAlign w:val="center"/>
          </w:tcPr>
          <w:p w:rsidR="000A156F" w:rsidRDefault="00A9721F">
            <w:pPr>
              <w:pStyle w:val="TableBodyText"/>
            </w:pPr>
            <w:r>
              <w:t>164A</w:t>
            </w:r>
          </w:p>
        </w:tc>
      </w:tr>
      <w:tr w:rsidR="000A156F" w:rsidTr="000A156F">
        <w:tc>
          <w:tcPr>
            <w:tcW w:w="0" w:type="auto"/>
            <w:vAlign w:val="center"/>
          </w:tcPr>
          <w:p w:rsidR="000A156F" w:rsidRDefault="00A9721F">
            <w:pPr>
              <w:pStyle w:val="TableBodyText"/>
            </w:pPr>
            <w:r>
              <w:t>MenuTableAutoFitLong</w:t>
            </w:r>
          </w:p>
        </w:tc>
        <w:tc>
          <w:tcPr>
            <w:tcW w:w="0" w:type="auto"/>
            <w:vAlign w:val="center"/>
          </w:tcPr>
          <w:p w:rsidR="000A156F" w:rsidRDefault="00A9721F">
            <w:pPr>
              <w:pStyle w:val="TableBodyText"/>
            </w:pPr>
            <w:r>
              <w:t>169B</w:t>
            </w:r>
          </w:p>
        </w:tc>
      </w:tr>
      <w:tr w:rsidR="000A156F" w:rsidTr="000A156F">
        <w:tc>
          <w:tcPr>
            <w:tcW w:w="0" w:type="auto"/>
            <w:vAlign w:val="center"/>
          </w:tcPr>
          <w:p w:rsidR="000A156F" w:rsidRDefault="00A9721F">
            <w:pPr>
              <w:pStyle w:val="TableBodyText"/>
            </w:pPr>
            <w:r>
              <w:t>MenuTableAutoFitShort</w:t>
            </w:r>
          </w:p>
        </w:tc>
        <w:tc>
          <w:tcPr>
            <w:tcW w:w="0" w:type="auto"/>
            <w:vAlign w:val="center"/>
          </w:tcPr>
          <w:p w:rsidR="000A156F" w:rsidRDefault="00A9721F">
            <w:pPr>
              <w:pStyle w:val="TableBodyText"/>
            </w:pPr>
            <w:r>
              <w:t>169A</w:t>
            </w:r>
          </w:p>
        </w:tc>
      </w:tr>
      <w:tr w:rsidR="000A156F" w:rsidTr="000A156F">
        <w:tc>
          <w:tcPr>
            <w:tcW w:w="0" w:type="auto"/>
            <w:vAlign w:val="center"/>
          </w:tcPr>
          <w:p w:rsidR="000A156F" w:rsidRDefault="00A9721F">
            <w:pPr>
              <w:pStyle w:val="TableBodyText"/>
            </w:pPr>
            <w:r>
              <w:t>MenuTableConvert</w:t>
            </w:r>
          </w:p>
        </w:tc>
        <w:tc>
          <w:tcPr>
            <w:tcW w:w="0" w:type="auto"/>
            <w:vAlign w:val="center"/>
          </w:tcPr>
          <w:p w:rsidR="000A156F" w:rsidRDefault="00A9721F">
            <w:pPr>
              <w:pStyle w:val="TableBodyText"/>
            </w:pPr>
            <w:r>
              <w:t>1697</w:t>
            </w:r>
          </w:p>
        </w:tc>
      </w:tr>
      <w:tr w:rsidR="000A156F" w:rsidTr="000A156F">
        <w:tc>
          <w:tcPr>
            <w:tcW w:w="0" w:type="auto"/>
            <w:vAlign w:val="center"/>
          </w:tcPr>
          <w:p w:rsidR="000A156F" w:rsidRDefault="00A9721F">
            <w:pPr>
              <w:pStyle w:val="TableBodyText"/>
            </w:pPr>
            <w:r>
              <w:t>MenuTableDelete</w:t>
            </w:r>
          </w:p>
        </w:tc>
        <w:tc>
          <w:tcPr>
            <w:tcW w:w="0" w:type="auto"/>
            <w:vAlign w:val="center"/>
          </w:tcPr>
          <w:p w:rsidR="000A156F" w:rsidRDefault="00A9721F">
            <w:pPr>
              <w:pStyle w:val="TableBodyText"/>
            </w:pPr>
            <w:r>
              <w:t>167C</w:t>
            </w:r>
          </w:p>
        </w:tc>
      </w:tr>
      <w:tr w:rsidR="000A156F" w:rsidTr="000A156F">
        <w:tc>
          <w:tcPr>
            <w:tcW w:w="0" w:type="auto"/>
            <w:vAlign w:val="center"/>
          </w:tcPr>
          <w:p w:rsidR="000A156F" w:rsidRDefault="00A9721F">
            <w:pPr>
              <w:pStyle w:val="TableBodyText"/>
            </w:pPr>
            <w:r>
              <w:t>MenuTableInsert</w:t>
            </w:r>
          </w:p>
        </w:tc>
        <w:tc>
          <w:tcPr>
            <w:tcW w:w="0" w:type="auto"/>
            <w:vAlign w:val="center"/>
          </w:tcPr>
          <w:p w:rsidR="000A156F" w:rsidRDefault="00A9721F">
            <w:pPr>
              <w:pStyle w:val="TableBodyText"/>
            </w:pPr>
            <w:r>
              <w:t>167B</w:t>
            </w:r>
          </w:p>
        </w:tc>
      </w:tr>
      <w:tr w:rsidR="000A156F" w:rsidTr="000A156F">
        <w:tc>
          <w:tcPr>
            <w:tcW w:w="0" w:type="auto"/>
            <w:vAlign w:val="center"/>
          </w:tcPr>
          <w:p w:rsidR="000A156F" w:rsidRDefault="00A9721F">
            <w:pPr>
              <w:pStyle w:val="TableBodyText"/>
            </w:pPr>
            <w:r>
              <w:t>MenuTableInsertIntoTable</w:t>
            </w:r>
          </w:p>
        </w:tc>
        <w:tc>
          <w:tcPr>
            <w:tcW w:w="0" w:type="auto"/>
            <w:vAlign w:val="center"/>
          </w:tcPr>
          <w:p w:rsidR="000A156F" w:rsidRDefault="00A9721F">
            <w:pPr>
              <w:pStyle w:val="TableBodyText"/>
            </w:pPr>
            <w:r>
              <w:t>16C5</w:t>
            </w:r>
          </w:p>
        </w:tc>
      </w:tr>
      <w:tr w:rsidR="000A156F" w:rsidTr="000A156F">
        <w:tc>
          <w:tcPr>
            <w:tcW w:w="0" w:type="auto"/>
            <w:vAlign w:val="center"/>
          </w:tcPr>
          <w:p w:rsidR="000A156F" w:rsidRDefault="00A9721F">
            <w:pPr>
              <w:pStyle w:val="TableBodyText"/>
            </w:pPr>
            <w:r>
              <w:t>MenuTableInsertLong</w:t>
            </w:r>
          </w:p>
        </w:tc>
        <w:tc>
          <w:tcPr>
            <w:tcW w:w="0" w:type="auto"/>
            <w:vAlign w:val="center"/>
          </w:tcPr>
          <w:p w:rsidR="000A156F" w:rsidRDefault="00A9721F">
            <w:pPr>
              <w:pStyle w:val="TableBodyText"/>
            </w:pPr>
            <w:r>
              <w:t>169D</w:t>
            </w:r>
          </w:p>
        </w:tc>
      </w:tr>
      <w:tr w:rsidR="000A156F" w:rsidTr="000A156F">
        <w:tc>
          <w:tcPr>
            <w:tcW w:w="0" w:type="auto"/>
            <w:vAlign w:val="center"/>
          </w:tcPr>
          <w:p w:rsidR="000A156F" w:rsidRDefault="00A9721F">
            <w:pPr>
              <w:pStyle w:val="TableBodyText"/>
            </w:pPr>
            <w:r>
              <w:t>MenuTableInsertPalette</w:t>
            </w:r>
          </w:p>
        </w:tc>
        <w:tc>
          <w:tcPr>
            <w:tcW w:w="0" w:type="auto"/>
            <w:vAlign w:val="center"/>
          </w:tcPr>
          <w:p w:rsidR="000A156F" w:rsidRDefault="00A9721F">
            <w:pPr>
              <w:pStyle w:val="TableBodyText"/>
            </w:pPr>
            <w:r>
              <w:t>1698</w:t>
            </w:r>
          </w:p>
        </w:tc>
      </w:tr>
      <w:tr w:rsidR="000A156F" w:rsidTr="000A156F">
        <w:tc>
          <w:tcPr>
            <w:tcW w:w="0" w:type="auto"/>
            <w:vAlign w:val="center"/>
          </w:tcPr>
          <w:p w:rsidR="000A156F" w:rsidRDefault="00A9721F">
            <w:pPr>
              <w:pStyle w:val="TableBodyText"/>
            </w:pPr>
            <w:r>
              <w:t>MenuTableSelect</w:t>
            </w:r>
          </w:p>
        </w:tc>
        <w:tc>
          <w:tcPr>
            <w:tcW w:w="0" w:type="auto"/>
            <w:vAlign w:val="center"/>
          </w:tcPr>
          <w:p w:rsidR="000A156F" w:rsidRDefault="00A9721F">
            <w:pPr>
              <w:pStyle w:val="TableBodyText"/>
            </w:pPr>
            <w:r>
              <w:t>1696</w:t>
            </w:r>
          </w:p>
        </w:tc>
      </w:tr>
      <w:tr w:rsidR="000A156F" w:rsidTr="000A156F">
        <w:tc>
          <w:tcPr>
            <w:tcW w:w="0" w:type="auto"/>
            <w:vAlign w:val="center"/>
          </w:tcPr>
          <w:p w:rsidR="000A156F" w:rsidRDefault="00A9721F">
            <w:pPr>
              <w:pStyle w:val="TableBodyText"/>
            </w:pPr>
            <w:r>
              <w:t>MenuTools</w:t>
            </w:r>
          </w:p>
        </w:tc>
        <w:tc>
          <w:tcPr>
            <w:tcW w:w="0" w:type="auto"/>
            <w:vAlign w:val="center"/>
          </w:tcPr>
          <w:p w:rsidR="000A156F" w:rsidRDefault="00A9721F">
            <w:pPr>
              <w:pStyle w:val="TableBodyText"/>
            </w:pPr>
            <w:r>
              <w:t>1649</w:t>
            </w:r>
          </w:p>
        </w:tc>
      </w:tr>
      <w:tr w:rsidR="000A156F" w:rsidTr="000A156F">
        <w:tc>
          <w:tcPr>
            <w:tcW w:w="0" w:type="auto"/>
            <w:vAlign w:val="center"/>
          </w:tcPr>
          <w:p w:rsidR="000A156F" w:rsidRDefault="00A9721F">
            <w:pPr>
              <w:pStyle w:val="TableBodyText"/>
            </w:pPr>
            <w:r>
              <w:lastRenderedPageBreak/>
              <w:t>MenuVersion</w:t>
            </w:r>
          </w:p>
        </w:tc>
        <w:tc>
          <w:tcPr>
            <w:tcW w:w="0" w:type="auto"/>
            <w:vAlign w:val="center"/>
          </w:tcPr>
          <w:p w:rsidR="000A156F" w:rsidRDefault="00A9721F">
            <w:pPr>
              <w:pStyle w:val="TableBodyText"/>
            </w:pPr>
            <w:r>
              <w:t>16BA</w:t>
            </w:r>
          </w:p>
        </w:tc>
      </w:tr>
      <w:tr w:rsidR="000A156F" w:rsidTr="000A156F">
        <w:tc>
          <w:tcPr>
            <w:tcW w:w="0" w:type="auto"/>
            <w:vAlign w:val="center"/>
          </w:tcPr>
          <w:p w:rsidR="000A156F" w:rsidRDefault="00A9721F">
            <w:pPr>
              <w:pStyle w:val="TableBodyText"/>
            </w:pPr>
            <w:r>
              <w:t>MenuView</w:t>
            </w:r>
          </w:p>
        </w:tc>
        <w:tc>
          <w:tcPr>
            <w:tcW w:w="0" w:type="auto"/>
            <w:vAlign w:val="center"/>
          </w:tcPr>
          <w:p w:rsidR="000A156F" w:rsidRDefault="00A9721F">
            <w:pPr>
              <w:pStyle w:val="TableBodyText"/>
            </w:pPr>
            <w:r>
              <w:t>1646</w:t>
            </w:r>
          </w:p>
        </w:tc>
      </w:tr>
      <w:tr w:rsidR="000A156F" w:rsidTr="000A156F">
        <w:tc>
          <w:tcPr>
            <w:tcW w:w="0" w:type="auto"/>
            <w:vAlign w:val="center"/>
          </w:tcPr>
          <w:p w:rsidR="000A156F" w:rsidRDefault="00A9721F">
            <w:pPr>
              <w:pStyle w:val="TableBodyText"/>
            </w:pPr>
            <w:r>
              <w:t>MenuWebFavorites</w:t>
            </w:r>
          </w:p>
        </w:tc>
        <w:tc>
          <w:tcPr>
            <w:tcW w:w="0" w:type="auto"/>
            <w:vAlign w:val="center"/>
          </w:tcPr>
          <w:p w:rsidR="000A156F" w:rsidRDefault="00A9721F">
            <w:pPr>
              <w:pStyle w:val="TableBodyText"/>
            </w:pPr>
            <w:r>
              <w:t>03A9</w:t>
            </w:r>
          </w:p>
        </w:tc>
      </w:tr>
      <w:tr w:rsidR="000A156F" w:rsidTr="000A156F">
        <w:tc>
          <w:tcPr>
            <w:tcW w:w="0" w:type="auto"/>
            <w:vAlign w:val="center"/>
          </w:tcPr>
          <w:p w:rsidR="000A156F" w:rsidRDefault="00A9721F">
            <w:pPr>
              <w:pStyle w:val="TableBodyText"/>
            </w:pPr>
            <w:r>
              <w:t>MenuWebGo</w:t>
            </w:r>
          </w:p>
        </w:tc>
        <w:tc>
          <w:tcPr>
            <w:tcW w:w="0" w:type="auto"/>
            <w:vAlign w:val="center"/>
          </w:tcPr>
          <w:p w:rsidR="000A156F" w:rsidRDefault="00A9721F">
            <w:pPr>
              <w:pStyle w:val="TableBodyText"/>
            </w:pPr>
            <w:r>
              <w:t>03E6</w:t>
            </w:r>
          </w:p>
        </w:tc>
      </w:tr>
      <w:tr w:rsidR="000A156F" w:rsidTr="000A156F">
        <w:tc>
          <w:tcPr>
            <w:tcW w:w="0" w:type="auto"/>
            <w:vAlign w:val="center"/>
          </w:tcPr>
          <w:p w:rsidR="000A156F" w:rsidRDefault="00A9721F">
            <w:pPr>
              <w:pStyle w:val="TableBodyText"/>
            </w:pPr>
            <w:r>
              <w:t>MenuWindow</w:t>
            </w:r>
          </w:p>
        </w:tc>
        <w:tc>
          <w:tcPr>
            <w:tcW w:w="0" w:type="auto"/>
            <w:vAlign w:val="center"/>
          </w:tcPr>
          <w:p w:rsidR="000A156F" w:rsidRDefault="00A9721F">
            <w:pPr>
              <w:pStyle w:val="TableBodyText"/>
            </w:pPr>
            <w:r>
              <w:t>164B</w:t>
            </w:r>
          </w:p>
        </w:tc>
      </w:tr>
      <w:tr w:rsidR="000A156F" w:rsidTr="000A156F">
        <w:tc>
          <w:tcPr>
            <w:tcW w:w="0" w:type="auto"/>
            <w:vAlign w:val="center"/>
          </w:tcPr>
          <w:p w:rsidR="000A156F" w:rsidRDefault="00A9721F">
            <w:pPr>
              <w:pStyle w:val="TableBodyText"/>
            </w:pPr>
            <w:r>
              <w:t>MenuWordQFStyles</w:t>
            </w:r>
          </w:p>
        </w:tc>
        <w:tc>
          <w:tcPr>
            <w:tcW w:w="0" w:type="auto"/>
            <w:vAlign w:val="center"/>
          </w:tcPr>
          <w:p w:rsidR="000A156F" w:rsidRDefault="00A9721F">
            <w:pPr>
              <w:pStyle w:val="TableBodyText"/>
            </w:pPr>
            <w:r>
              <w:t>16CB</w:t>
            </w:r>
          </w:p>
        </w:tc>
      </w:tr>
      <w:tr w:rsidR="000A156F" w:rsidTr="000A156F">
        <w:tc>
          <w:tcPr>
            <w:tcW w:w="0" w:type="auto"/>
            <w:vAlign w:val="center"/>
          </w:tcPr>
          <w:p w:rsidR="000A156F" w:rsidRDefault="00A9721F">
            <w:pPr>
              <w:pStyle w:val="TableBodyText"/>
            </w:pPr>
            <w:r>
              <w:t>MenuWork</w:t>
            </w:r>
          </w:p>
        </w:tc>
        <w:tc>
          <w:tcPr>
            <w:tcW w:w="0" w:type="auto"/>
            <w:vAlign w:val="center"/>
          </w:tcPr>
          <w:p w:rsidR="000A156F" w:rsidRDefault="00A9721F">
            <w:pPr>
              <w:pStyle w:val="TableBodyText"/>
            </w:pPr>
            <w:r>
              <w:t>164D</w:t>
            </w:r>
          </w:p>
        </w:tc>
      </w:tr>
      <w:tr w:rsidR="000A156F" w:rsidTr="000A156F">
        <w:tc>
          <w:tcPr>
            <w:tcW w:w="0" w:type="auto"/>
            <w:vAlign w:val="center"/>
          </w:tcPr>
          <w:p w:rsidR="000A156F" w:rsidRDefault="00A9721F">
            <w:pPr>
              <w:pStyle w:val="TableBodyText"/>
            </w:pPr>
            <w:r>
              <w:t>MergeSplitGeneral</w:t>
            </w:r>
          </w:p>
        </w:tc>
        <w:tc>
          <w:tcPr>
            <w:tcW w:w="0" w:type="auto"/>
            <w:vAlign w:val="center"/>
          </w:tcPr>
          <w:p w:rsidR="000A156F" w:rsidRDefault="00A9721F">
            <w:pPr>
              <w:pStyle w:val="TableBodyText"/>
            </w:pPr>
            <w:r>
              <w:t>0363</w:t>
            </w:r>
          </w:p>
        </w:tc>
      </w:tr>
      <w:tr w:rsidR="000A156F" w:rsidTr="000A156F">
        <w:tc>
          <w:tcPr>
            <w:tcW w:w="0" w:type="auto"/>
            <w:vAlign w:val="center"/>
          </w:tcPr>
          <w:p w:rsidR="000A156F" w:rsidRDefault="00A9721F">
            <w:pPr>
              <w:pStyle w:val="TableBodyText"/>
            </w:pPr>
            <w:r>
              <w:t>MergeSubdocument</w:t>
            </w:r>
          </w:p>
        </w:tc>
        <w:tc>
          <w:tcPr>
            <w:tcW w:w="0" w:type="auto"/>
            <w:vAlign w:val="center"/>
          </w:tcPr>
          <w:p w:rsidR="000A156F" w:rsidRDefault="00A9721F">
            <w:pPr>
              <w:pStyle w:val="TableBodyText"/>
            </w:pPr>
            <w:r>
              <w:t>0248</w:t>
            </w:r>
          </w:p>
        </w:tc>
      </w:tr>
      <w:tr w:rsidR="000A156F" w:rsidTr="000A156F">
        <w:tc>
          <w:tcPr>
            <w:tcW w:w="0" w:type="auto"/>
            <w:vAlign w:val="center"/>
          </w:tcPr>
          <w:p w:rsidR="000A156F" w:rsidRDefault="00A9721F">
            <w:pPr>
              <w:pStyle w:val="TableBodyText"/>
            </w:pPr>
            <w:r>
              <w:t>MicrosoftAccess</w:t>
            </w:r>
          </w:p>
        </w:tc>
        <w:tc>
          <w:tcPr>
            <w:tcW w:w="0" w:type="auto"/>
            <w:vAlign w:val="center"/>
          </w:tcPr>
          <w:p w:rsidR="000A156F" w:rsidRDefault="00A9721F">
            <w:pPr>
              <w:pStyle w:val="TableBodyText"/>
            </w:pPr>
            <w:r>
              <w:t>0292</w:t>
            </w:r>
          </w:p>
        </w:tc>
      </w:tr>
      <w:tr w:rsidR="000A156F" w:rsidTr="000A156F">
        <w:tc>
          <w:tcPr>
            <w:tcW w:w="0" w:type="auto"/>
            <w:vAlign w:val="center"/>
          </w:tcPr>
          <w:p w:rsidR="000A156F" w:rsidRDefault="00A9721F">
            <w:pPr>
              <w:pStyle w:val="TableBodyText"/>
            </w:pPr>
            <w:r>
              <w:t>MicrosoftExcel</w:t>
            </w:r>
          </w:p>
        </w:tc>
        <w:tc>
          <w:tcPr>
            <w:tcW w:w="0" w:type="auto"/>
            <w:vAlign w:val="center"/>
          </w:tcPr>
          <w:p w:rsidR="000A156F" w:rsidRDefault="00A9721F">
            <w:pPr>
              <w:pStyle w:val="TableBodyText"/>
            </w:pPr>
            <w:r>
              <w:t>0291</w:t>
            </w:r>
          </w:p>
        </w:tc>
      </w:tr>
      <w:tr w:rsidR="000A156F" w:rsidTr="000A156F">
        <w:tc>
          <w:tcPr>
            <w:tcW w:w="0" w:type="auto"/>
            <w:vAlign w:val="center"/>
          </w:tcPr>
          <w:p w:rsidR="000A156F" w:rsidRDefault="00A9721F">
            <w:pPr>
              <w:pStyle w:val="TableBodyText"/>
            </w:pPr>
            <w:r>
              <w:t>MicrosoftFoxPro</w:t>
            </w:r>
          </w:p>
        </w:tc>
        <w:tc>
          <w:tcPr>
            <w:tcW w:w="0" w:type="auto"/>
            <w:vAlign w:val="center"/>
          </w:tcPr>
          <w:p w:rsidR="000A156F" w:rsidRDefault="00A9721F">
            <w:pPr>
              <w:pStyle w:val="TableBodyText"/>
            </w:pPr>
            <w:r>
              <w:t>0294</w:t>
            </w:r>
          </w:p>
        </w:tc>
      </w:tr>
      <w:tr w:rsidR="000A156F" w:rsidTr="000A156F">
        <w:tc>
          <w:tcPr>
            <w:tcW w:w="0" w:type="auto"/>
            <w:vAlign w:val="center"/>
          </w:tcPr>
          <w:p w:rsidR="000A156F" w:rsidRDefault="00A9721F">
            <w:pPr>
              <w:pStyle w:val="TableBodyText"/>
            </w:pPr>
            <w:r>
              <w:t>MicrosoftMail</w:t>
            </w:r>
          </w:p>
        </w:tc>
        <w:tc>
          <w:tcPr>
            <w:tcW w:w="0" w:type="auto"/>
            <w:vAlign w:val="center"/>
          </w:tcPr>
          <w:p w:rsidR="000A156F" w:rsidRDefault="00A9721F">
            <w:pPr>
              <w:pStyle w:val="TableBodyText"/>
            </w:pPr>
            <w:r>
              <w:t>0290</w:t>
            </w:r>
          </w:p>
        </w:tc>
      </w:tr>
      <w:tr w:rsidR="000A156F" w:rsidTr="000A156F">
        <w:tc>
          <w:tcPr>
            <w:tcW w:w="0" w:type="auto"/>
            <w:vAlign w:val="center"/>
          </w:tcPr>
          <w:p w:rsidR="000A156F" w:rsidRDefault="00A9721F">
            <w:pPr>
              <w:pStyle w:val="TableBodyText"/>
            </w:pPr>
            <w:r>
              <w:t>MicrosoftOnTheWeb1</w:t>
            </w:r>
          </w:p>
        </w:tc>
        <w:tc>
          <w:tcPr>
            <w:tcW w:w="0" w:type="auto"/>
            <w:vAlign w:val="center"/>
          </w:tcPr>
          <w:p w:rsidR="000A156F" w:rsidRDefault="00A9721F">
            <w:pPr>
              <w:pStyle w:val="TableBodyText"/>
            </w:pPr>
            <w:r>
              <w:t>0FFE</w:t>
            </w:r>
          </w:p>
        </w:tc>
      </w:tr>
      <w:tr w:rsidR="000A156F" w:rsidTr="000A156F">
        <w:tc>
          <w:tcPr>
            <w:tcW w:w="0" w:type="auto"/>
            <w:vAlign w:val="center"/>
          </w:tcPr>
          <w:p w:rsidR="000A156F" w:rsidRDefault="00A9721F">
            <w:pPr>
              <w:pStyle w:val="TableBodyText"/>
            </w:pPr>
            <w:r>
              <w:t>MicrosoftOnTheWeb10</w:t>
            </w:r>
          </w:p>
        </w:tc>
        <w:tc>
          <w:tcPr>
            <w:tcW w:w="0" w:type="auto"/>
            <w:vAlign w:val="center"/>
          </w:tcPr>
          <w:p w:rsidR="000A156F" w:rsidRDefault="00A9721F">
            <w:pPr>
              <w:pStyle w:val="TableBodyText"/>
            </w:pPr>
            <w:r>
              <w:t>1007</w:t>
            </w:r>
          </w:p>
        </w:tc>
      </w:tr>
      <w:tr w:rsidR="000A156F" w:rsidTr="000A156F">
        <w:tc>
          <w:tcPr>
            <w:tcW w:w="0" w:type="auto"/>
            <w:vAlign w:val="center"/>
          </w:tcPr>
          <w:p w:rsidR="000A156F" w:rsidRDefault="00A9721F">
            <w:pPr>
              <w:pStyle w:val="TableBodyText"/>
            </w:pPr>
            <w:r>
              <w:t>MicrosoftOnTheWeb11</w:t>
            </w:r>
          </w:p>
        </w:tc>
        <w:tc>
          <w:tcPr>
            <w:tcW w:w="0" w:type="auto"/>
            <w:vAlign w:val="center"/>
          </w:tcPr>
          <w:p w:rsidR="000A156F" w:rsidRDefault="00A9721F">
            <w:pPr>
              <w:pStyle w:val="TableBodyText"/>
            </w:pPr>
            <w:r>
              <w:t>1008</w:t>
            </w:r>
          </w:p>
        </w:tc>
      </w:tr>
      <w:tr w:rsidR="000A156F" w:rsidTr="000A156F">
        <w:tc>
          <w:tcPr>
            <w:tcW w:w="0" w:type="auto"/>
            <w:vAlign w:val="center"/>
          </w:tcPr>
          <w:p w:rsidR="000A156F" w:rsidRDefault="00A9721F">
            <w:pPr>
              <w:pStyle w:val="TableBodyText"/>
            </w:pPr>
            <w:r>
              <w:t>MicrosoftOnTheWeb12</w:t>
            </w:r>
          </w:p>
        </w:tc>
        <w:tc>
          <w:tcPr>
            <w:tcW w:w="0" w:type="auto"/>
            <w:vAlign w:val="center"/>
          </w:tcPr>
          <w:p w:rsidR="000A156F" w:rsidRDefault="00A9721F">
            <w:pPr>
              <w:pStyle w:val="TableBodyText"/>
            </w:pPr>
            <w:r>
              <w:t>1009</w:t>
            </w:r>
          </w:p>
        </w:tc>
      </w:tr>
      <w:tr w:rsidR="000A156F" w:rsidTr="000A156F">
        <w:tc>
          <w:tcPr>
            <w:tcW w:w="0" w:type="auto"/>
            <w:vAlign w:val="center"/>
          </w:tcPr>
          <w:p w:rsidR="000A156F" w:rsidRDefault="00A9721F">
            <w:pPr>
              <w:pStyle w:val="TableBodyText"/>
            </w:pPr>
            <w:r>
              <w:t>MicrosoftOnTheWeb13</w:t>
            </w:r>
          </w:p>
        </w:tc>
        <w:tc>
          <w:tcPr>
            <w:tcW w:w="0" w:type="auto"/>
            <w:vAlign w:val="center"/>
          </w:tcPr>
          <w:p w:rsidR="000A156F" w:rsidRDefault="00A9721F">
            <w:pPr>
              <w:pStyle w:val="TableBodyText"/>
            </w:pPr>
            <w:r>
              <w:t>100A</w:t>
            </w:r>
          </w:p>
        </w:tc>
      </w:tr>
      <w:tr w:rsidR="000A156F" w:rsidTr="000A156F">
        <w:tc>
          <w:tcPr>
            <w:tcW w:w="0" w:type="auto"/>
            <w:vAlign w:val="center"/>
          </w:tcPr>
          <w:p w:rsidR="000A156F" w:rsidRDefault="00A9721F">
            <w:pPr>
              <w:pStyle w:val="TableBodyText"/>
            </w:pPr>
            <w:r>
              <w:t>MicrosoftOnTheWeb14</w:t>
            </w:r>
          </w:p>
        </w:tc>
        <w:tc>
          <w:tcPr>
            <w:tcW w:w="0" w:type="auto"/>
            <w:vAlign w:val="center"/>
          </w:tcPr>
          <w:p w:rsidR="000A156F" w:rsidRDefault="00A9721F">
            <w:pPr>
              <w:pStyle w:val="TableBodyText"/>
            </w:pPr>
            <w:r>
              <w:t>100B</w:t>
            </w:r>
          </w:p>
        </w:tc>
      </w:tr>
      <w:tr w:rsidR="000A156F" w:rsidTr="000A156F">
        <w:tc>
          <w:tcPr>
            <w:tcW w:w="0" w:type="auto"/>
            <w:vAlign w:val="center"/>
          </w:tcPr>
          <w:p w:rsidR="000A156F" w:rsidRDefault="00A9721F">
            <w:pPr>
              <w:pStyle w:val="TableBodyText"/>
            </w:pPr>
            <w:r>
              <w:t>MicrosoftOnTheWeb15</w:t>
            </w:r>
          </w:p>
        </w:tc>
        <w:tc>
          <w:tcPr>
            <w:tcW w:w="0" w:type="auto"/>
            <w:vAlign w:val="center"/>
          </w:tcPr>
          <w:p w:rsidR="000A156F" w:rsidRDefault="00A9721F">
            <w:pPr>
              <w:pStyle w:val="TableBodyText"/>
            </w:pPr>
            <w:r>
              <w:t>100C</w:t>
            </w:r>
          </w:p>
        </w:tc>
      </w:tr>
      <w:tr w:rsidR="000A156F" w:rsidTr="000A156F">
        <w:tc>
          <w:tcPr>
            <w:tcW w:w="0" w:type="auto"/>
            <w:vAlign w:val="center"/>
          </w:tcPr>
          <w:p w:rsidR="000A156F" w:rsidRDefault="00A9721F">
            <w:pPr>
              <w:pStyle w:val="TableBodyText"/>
            </w:pPr>
            <w:r>
              <w:t>MicrosoftOnTheWeb16</w:t>
            </w:r>
          </w:p>
        </w:tc>
        <w:tc>
          <w:tcPr>
            <w:tcW w:w="0" w:type="auto"/>
            <w:vAlign w:val="center"/>
          </w:tcPr>
          <w:p w:rsidR="000A156F" w:rsidRDefault="00A9721F">
            <w:pPr>
              <w:pStyle w:val="TableBodyText"/>
            </w:pPr>
            <w:r>
              <w:t>100D</w:t>
            </w:r>
          </w:p>
        </w:tc>
      </w:tr>
      <w:tr w:rsidR="000A156F" w:rsidTr="000A156F">
        <w:tc>
          <w:tcPr>
            <w:tcW w:w="0" w:type="auto"/>
            <w:vAlign w:val="center"/>
          </w:tcPr>
          <w:p w:rsidR="000A156F" w:rsidRDefault="00A9721F">
            <w:pPr>
              <w:pStyle w:val="TableBodyText"/>
            </w:pPr>
            <w:r>
              <w:t>MicrosoftOnTheWeb17</w:t>
            </w:r>
          </w:p>
        </w:tc>
        <w:tc>
          <w:tcPr>
            <w:tcW w:w="0" w:type="auto"/>
            <w:vAlign w:val="center"/>
          </w:tcPr>
          <w:p w:rsidR="000A156F" w:rsidRDefault="00A9721F">
            <w:pPr>
              <w:pStyle w:val="TableBodyText"/>
            </w:pPr>
            <w:r>
              <w:t>100E</w:t>
            </w:r>
          </w:p>
        </w:tc>
      </w:tr>
      <w:tr w:rsidR="000A156F" w:rsidTr="000A156F">
        <w:tc>
          <w:tcPr>
            <w:tcW w:w="0" w:type="auto"/>
            <w:vAlign w:val="center"/>
          </w:tcPr>
          <w:p w:rsidR="000A156F" w:rsidRDefault="00A9721F">
            <w:pPr>
              <w:pStyle w:val="TableBodyText"/>
            </w:pPr>
            <w:r>
              <w:t>MicrosoftOnTheWeb2</w:t>
            </w:r>
          </w:p>
        </w:tc>
        <w:tc>
          <w:tcPr>
            <w:tcW w:w="0" w:type="auto"/>
            <w:vAlign w:val="center"/>
          </w:tcPr>
          <w:p w:rsidR="000A156F" w:rsidRDefault="00A9721F">
            <w:pPr>
              <w:pStyle w:val="TableBodyText"/>
            </w:pPr>
            <w:r>
              <w:t>0FFF</w:t>
            </w:r>
          </w:p>
        </w:tc>
      </w:tr>
      <w:tr w:rsidR="000A156F" w:rsidTr="000A156F">
        <w:tc>
          <w:tcPr>
            <w:tcW w:w="0" w:type="auto"/>
            <w:vAlign w:val="center"/>
          </w:tcPr>
          <w:p w:rsidR="000A156F" w:rsidRDefault="00A9721F">
            <w:pPr>
              <w:pStyle w:val="TableBodyText"/>
            </w:pPr>
            <w:r>
              <w:t>MicrosoftOnTheWeb3</w:t>
            </w:r>
          </w:p>
        </w:tc>
        <w:tc>
          <w:tcPr>
            <w:tcW w:w="0" w:type="auto"/>
            <w:vAlign w:val="center"/>
          </w:tcPr>
          <w:p w:rsidR="000A156F" w:rsidRDefault="00A9721F">
            <w:pPr>
              <w:pStyle w:val="TableBodyText"/>
            </w:pPr>
            <w:r>
              <w:t>1000</w:t>
            </w:r>
          </w:p>
        </w:tc>
      </w:tr>
      <w:tr w:rsidR="000A156F" w:rsidTr="000A156F">
        <w:tc>
          <w:tcPr>
            <w:tcW w:w="0" w:type="auto"/>
            <w:vAlign w:val="center"/>
          </w:tcPr>
          <w:p w:rsidR="000A156F" w:rsidRDefault="00A9721F">
            <w:pPr>
              <w:pStyle w:val="TableBodyText"/>
            </w:pPr>
            <w:r>
              <w:t>MicrosoftOnTheWeb4</w:t>
            </w:r>
          </w:p>
        </w:tc>
        <w:tc>
          <w:tcPr>
            <w:tcW w:w="0" w:type="auto"/>
            <w:vAlign w:val="center"/>
          </w:tcPr>
          <w:p w:rsidR="000A156F" w:rsidRDefault="00A9721F">
            <w:pPr>
              <w:pStyle w:val="TableBodyText"/>
            </w:pPr>
            <w:r>
              <w:t>1001</w:t>
            </w:r>
          </w:p>
        </w:tc>
      </w:tr>
      <w:tr w:rsidR="000A156F" w:rsidTr="000A156F">
        <w:tc>
          <w:tcPr>
            <w:tcW w:w="0" w:type="auto"/>
            <w:vAlign w:val="center"/>
          </w:tcPr>
          <w:p w:rsidR="000A156F" w:rsidRDefault="00A9721F">
            <w:pPr>
              <w:pStyle w:val="TableBodyText"/>
            </w:pPr>
            <w:r>
              <w:t>MicrosoftOnTheWeb5</w:t>
            </w:r>
          </w:p>
        </w:tc>
        <w:tc>
          <w:tcPr>
            <w:tcW w:w="0" w:type="auto"/>
            <w:vAlign w:val="center"/>
          </w:tcPr>
          <w:p w:rsidR="000A156F" w:rsidRDefault="00A9721F">
            <w:pPr>
              <w:pStyle w:val="TableBodyText"/>
            </w:pPr>
            <w:r>
              <w:t>1002</w:t>
            </w:r>
          </w:p>
        </w:tc>
      </w:tr>
      <w:tr w:rsidR="000A156F" w:rsidTr="000A156F">
        <w:tc>
          <w:tcPr>
            <w:tcW w:w="0" w:type="auto"/>
            <w:vAlign w:val="center"/>
          </w:tcPr>
          <w:p w:rsidR="000A156F" w:rsidRDefault="00A9721F">
            <w:pPr>
              <w:pStyle w:val="TableBodyText"/>
            </w:pPr>
            <w:r>
              <w:t>MicrosoftOnTheWeb6</w:t>
            </w:r>
          </w:p>
        </w:tc>
        <w:tc>
          <w:tcPr>
            <w:tcW w:w="0" w:type="auto"/>
            <w:vAlign w:val="center"/>
          </w:tcPr>
          <w:p w:rsidR="000A156F" w:rsidRDefault="00A9721F">
            <w:pPr>
              <w:pStyle w:val="TableBodyText"/>
            </w:pPr>
            <w:r>
              <w:t>1003</w:t>
            </w:r>
          </w:p>
        </w:tc>
      </w:tr>
      <w:tr w:rsidR="000A156F" w:rsidTr="000A156F">
        <w:tc>
          <w:tcPr>
            <w:tcW w:w="0" w:type="auto"/>
            <w:vAlign w:val="center"/>
          </w:tcPr>
          <w:p w:rsidR="000A156F" w:rsidRDefault="00A9721F">
            <w:pPr>
              <w:pStyle w:val="TableBodyText"/>
            </w:pPr>
            <w:r>
              <w:t>MicrosoftOnTheWeb7</w:t>
            </w:r>
          </w:p>
        </w:tc>
        <w:tc>
          <w:tcPr>
            <w:tcW w:w="0" w:type="auto"/>
            <w:vAlign w:val="center"/>
          </w:tcPr>
          <w:p w:rsidR="000A156F" w:rsidRDefault="00A9721F">
            <w:pPr>
              <w:pStyle w:val="TableBodyText"/>
            </w:pPr>
            <w:r>
              <w:t>1004</w:t>
            </w:r>
          </w:p>
        </w:tc>
      </w:tr>
      <w:tr w:rsidR="000A156F" w:rsidTr="000A156F">
        <w:tc>
          <w:tcPr>
            <w:tcW w:w="0" w:type="auto"/>
            <w:vAlign w:val="center"/>
          </w:tcPr>
          <w:p w:rsidR="000A156F" w:rsidRDefault="00A9721F">
            <w:pPr>
              <w:pStyle w:val="TableBodyText"/>
            </w:pPr>
            <w:r>
              <w:t>MicrosoftOnTheWeb8</w:t>
            </w:r>
          </w:p>
        </w:tc>
        <w:tc>
          <w:tcPr>
            <w:tcW w:w="0" w:type="auto"/>
            <w:vAlign w:val="center"/>
          </w:tcPr>
          <w:p w:rsidR="000A156F" w:rsidRDefault="00A9721F">
            <w:pPr>
              <w:pStyle w:val="TableBodyText"/>
            </w:pPr>
            <w:r>
              <w:t>1005</w:t>
            </w:r>
          </w:p>
        </w:tc>
      </w:tr>
      <w:tr w:rsidR="000A156F" w:rsidTr="000A156F">
        <w:tc>
          <w:tcPr>
            <w:tcW w:w="0" w:type="auto"/>
            <w:vAlign w:val="center"/>
          </w:tcPr>
          <w:p w:rsidR="000A156F" w:rsidRDefault="00A9721F">
            <w:pPr>
              <w:pStyle w:val="TableBodyText"/>
            </w:pPr>
            <w:r>
              <w:t>MicrosoftOnTheWeb9</w:t>
            </w:r>
          </w:p>
        </w:tc>
        <w:tc>
          <w:tcPr>
            <w:tcW w:w="0" w:type="auto"/>
            <w:vAlign w:val="center"/>
          </w:tcPr>
          <w:p w:rsidR="000A156F" w:rsidRDefault="00A9721F">
            <w:pPr>
              <w:pStyle w:val="TableBodyText"/>
            </w:pPr>
            <w:r>
              <w:t>1006</w:t>
            </w:r>
          </w:p>
        </w:tc>
      </w:tr>
      <w:tr w:rsidR="000A156F" w:rsidTr="000A156F">
        <w:tc>
          <w:tcPr>
            <w:tcW w:w="0" w:type="auto"/>
            <w:vAlign w:val="center"/>
          </w:tcPr>
          <w:p w:rsidR="000A156F" w:rsidRDefault="00A9721F">
            <w:pPr>
              <w:pStyle w:val="TableBodyText"/>
            </w:pPr>
            <w:r>
              <w:t>MicrosoftPowerPoint</w:t>
            </w:r>
          </w:p>
        </w:tc>
        <w:tc>
          <w:tcPr>
            <w:tcW w:w="0" w:type="auto"/>
            <w:vAlign w:val="center"/>
          </w:tcPr>
          <w:p w:rsidR="000A156F" w:rsidRDefault="00A9721F">
            <w:pPr>
              <w:pStyle w:val="TableBodyText"/>
            </w:pPr>
            <w:r>
              <w:t>0295</w:t>
            </w:r>
          </w:p>
        </w:tc>
      </w:tr>
      <w:tr w:rsidR="000A156F" w:rsidTr="000A156F">
        <w:tc>
          <w:tcPr>
            <w:tcW w:w="0" w:type="auto"/>
            <w:vAlign w:val="center"/>
          </w:tcPr>
          <w:p w:rsidR="000A156F" w:rsidRDefault="00A9721F">
            <w:pPr>
              <w:pStyle w:val="TableBodyText"/>
            </w:pPr>
            <w:r>
              <w:t>MicrosoftProject</w:t>
            </w:r>
          </w:p>
        </w:tc>
        <w:tc>
          <w:tcPr>
            <w:tcW w:w="0" w:type="auto"/>
            <w:vAlign w:val="center"/>
          </w:tcPr>
          <w:p w:rsidR="000A156F" w:rsidRDefault="00A9721F">
            <w:pPr>
              <w:pStyle w:val="TableBodyText"/>
            </w:pPr>
            <w:r>
              <w:t>0297</w:t>
            </w:r>
          </w:p>
        </w:tc>
      </w:tr>
      <w:tr w:rsidR="000A156F" w:rsidTr="000A156F">
        <w:tc>
          <w:tcPr>
            <w:tcW w:w="0" w:type="auto"/>
            <w:vAlign w:val="center"/>
          </w:tcPr>
          <w:p w:rsidR="000A156F" w:rsidRDefault="00A9721F">
            <w:pPr>
              <w:pStyle w:val="TableBodyText"/>
            </w:pPr>
            <w:r>
              <w:lastRenderedPageBreak/>
              <w:t>MicrosoftPublisher</w:t>
            </w:r>
          </w:p>
        </w:tc>
        <w:tc>
          <w:tcPr>
            <w:tcW w:w="0" w:type="auto"/>
            <w:vAlign w:val="center"/>
          </w:tcPr>
          <w:p w:rsidR="000A156F" w:rsidRDefault="00A9721F">
            <w:pPr>
              <w:pStyle w:val="TableBodyText"/>
            </w:pPr>
            <w:r>
              <w:t>0296</w:t>
            </w:r>
          </w:p>
        </w:tc>
      </w:tr>
      <w:tr w:rsidR="000A156F" w:rsidTr="000A156F">
        <w:tc>
          <w:tcPr>
            <w:tcW w:w="0" w:type="auto"/>
            <w:vAlign w:val="center"/>
          </w:tcPr>
          <w:p w:rsidR="000A156F" w:rsidRDefault="00A9721F">
            <w:pPr>
              <w:pStyle w:val="TableBodyText"/>
            </w:pPr>
            <w:r>
              <w:t>MicrosoftSchedule</w:t>
            </w:r>
          </w:p>
        </w:tc>
        <w:tc>
          <w:tcPr>
            <w:tcW w:w="0" w:type="auto"/>
            <w:vAlign w:val="center"/>
          </w:tcPr>
          <w:p w:rsidR="000A156F" w:rsidRDefault="00A9721F">
            <w:pPr>
              <w:pStyle w:val="TableBodyText"/>
            </w:pPr>
            <w:r>
              <w:t>0293</w:t>
            </w:r>
          </w:p>
        </w:tc>
      </w:tr>
      <w:tr w:rsidR="000A156F" w:rsidTr="000A156F">
        <w:tc>
          <w:tcPr>
            <w:tcW w:w="0" w:type="auto"/>
            <w:vAlign w:val="center"/>
          </w:tcPr>
          <w:p w:rsidR="000A156F" w:rsidRDefault="00A9721F">
            <w:pPr>
              <w:pStyle w:val="TableBodyText"/>
            </w:pPr>
            <w:r>
              <w:t>MicrosoftScriptEditor</w:t>
            </w:r>
          </w:p>
        </w:tc>
        <w:tc>
          <w:tcPr>
            <w:tcW w:w="0" w:type="auto"/>
            <w:vAlign w:val="center"/>
          </w:tcPr>
          <w:p w:rsidR="000A156F" w:rsidRDefault="00A9721F">
            <w:pPr>
              <w:pStyle w:val="TableBodyText"/>
            </w:pPr>
            <w:r>
              <w:t>041C</w:t>
            </w:r>
          </w:p>
        </w:tc>
      </w:tr>
      <w:tr w:rsidR="000A156F" w:rsidTr="000A156F">
        <w:tc>
          <w:tcPr>
            <w:tcW w:w="0" w:type="auto"/>
            <w:vAlign w:val="center"/>
          </w:tcPr>
          <w:p w:rsidR="000A156F" w:rsidRDefault="00A9721F">
            <w:pPr>
              <w:pStyle w:val="TableBodyText"/>
            </w:pPr>
            <w:r>
              <w:t>MicrosoftSystemInfo</w:t>
            </w:r>
          </w:p>
        </w:tc>
        <w:tc>
          <w:tcPr>
            <w:tcW w:w="0" w:type="auto"/>
            <w:vAlign w:val="center"/>
          </w:tcPr>
          <w:p w:rsidR="000A156F" w:rsidRDefault="00A9721F">
            <w:pPr>
              <w:pStyle w:val="TableBodyText"/>
            </w:pPr>
            <w:r>
              <w:t>02C7</w:t>
            </w:r>
          </w:p>
        </w:tc>
      </w:tr>
      <w:tr w:rsidR="000A156F" w:rsidTr="000A156F">
        <w:tc>
          <w:tcPr>
            <w:tcW w:w="0" w:type="auto"/>
            <w:vAlign w:val="center"/>
          </w:tcPr>
          <w:p w:rsidR="000A156F" w:rsidRDefault="00A9721F">
            <w:pPr>
              <w:pStyle w:val="TableBodyText"/>
            </w:pPr>
            <w:r>
              <w:t>MiddleCenterAlign</w:t>
            </w:r>
          </w:p>
        </w:tc>
        <w:tc>
          <w:tcPr>
            <w:tcW w:w="0" w:type="auto"/>
            <w:vAlign w:val="center"/>
          </w:tcPr>
          <w:p w:rsidR="000A156F" w:rsidRDefault="00A9721F">
            <w:pPr>
              <w:pStyle w:val="TableBodyText"/>
            </w:pPr>
            <w:r>
              <w:t>047D</w:t>
            </w:r>
          </w:p>
        </w:tc>
      </w:tr>
      <w:tr w:rsidR="000A156F" w:rsidTr="000A156F">
        <w:tc>
          <w:tcPr>
            <w:tcW w:w="0" w:type="auto"/>
            <w:vAlign w:val="center"/>
          </w:tcPr>
          <w:p w:rsidR="000A156F" w:rsidRDefault="00A9721F">
            <w:pPr>
              <w:pStyle w:val="TableBodyText"/>
            </w:pPr>
            <w:r>
              <w:t>MiddleLeftAlign</w:t>
            </w:r>
          </w:p>
        </w:tc>
        <w:tc>
          <w:tcPr>
            <w:tcW w:w="0" w:type="auto"/>
            <w:vAlign w:val="center"/>
          </w:tcPr>
          <w:p w:rsidR="000A156F" w:rsidRDefault="00A9721F">
            <w:pPr>
              <w:pStyle w:val="TableBodyText"/>
            </w:pPr>
            <w:r>
              <w:t>047E</w:t>
            </w:r>
          </w:p>
        </w:tc>
      </w:tr>
      <w:tr w:rsidR="000A156F" w:rsidTr="000A156F">
        <w:tc>
          <w:tcPr>
            <w:tcW w:w="0" w:type="auto"/>
            <w:vAlign w:val="center"/>
          </w:tcPr>
          <w:p w:rsidR="000A156F" w:rsidRDefault="00A9721F">
            <w:pPr>
              <w:pStyle w:val="TableBodyText"/>
            </w:pPr>
            <w:r>
              <w:t>MiddleRightAlign</w:t>
            </w:r>
          </w:p>
        </w:tc>
        <w:tc>
          <w:tcPr>
            <w:tcW w:w="0" w:type="auto"/>
            <w:vAlign w:val="center"/>
          </w:tcPr>
          <w:p w:rsidR="000A156F" w:rsidRDefault="00A9721F">
            <w:pPr>
              <w:pStyle w:val="TableBodyText"/>
            </w:pPr>
            <w:r>
              <w:t>047C</w:t>
            </w:r>
          </w:p>
        </w:tc>
      </w:tr>
      <w:tr w:rsidR="000A156F" w:rsidTr="000A156F">
        <w:tc>
          <w:tcPr>
            <w:tcW w:w="0" w:type="auto"/>
            <w:vAlign w:val="center"/>
          </w:tcPr>
          <w:p w:rsidR="000A156F" w:rsidRDefault="00A9721F">
            <w:pPr>
              <w:pStyle w:val="TableBodyText"/>
            </w:pPr>
            <w:r>
              <w:t>ModifyTableStyle</w:t>
            </w:r>
          </w:p>
        </w:tc>
        <w:tc>
          <w:tcPr>
            <w:tcW w:w="0" w:type="auto"/>
            <w:vAlign w:val="center"/>
          </w:tcPr>
          <w:p w:rsidR="000A156F" w:rsidRDefault="00A9721F">
            <w:pPr>
              <w:pStyle w:val="TableBodyText"/>
            </w:pPr>
            <w:r>
              <w:t>08F8</w:t>
            </w:r>
          </w:p>
        </w:tc>
      </w:tr>
      <w:tr w:rsidR="000A156F" w:rsidTr="000A156F">
        <w:tc>
          <w:tcPr>
            <w:tcW w:w="0" w:type="auto"/>
            <w:vAlign w:val="center"/>
          </w:tcPr>
          <w:p w:rsidR="000A156F" w:rsidRDefault="00A9721F">
            <w:pPr>
              <w:pStyle w:val="TableBodyText"/>
            </w:pPr>
            <w:r>
              <w:t>MoveText</w:t>
            </w:r>
          </w:p>
        </w:tc>
        <w:tc>
          <w:tcPr>
            <w:tcW w:w="0" w:type="auto"/>
            <w:vAlign w:val="center"/>
          </w:tcPr>
          <w:p w:rsidR="000A156F" w:rsidRDefault="00A9721F">
            <w:pPr>
              <w:pStyle w:val="TableBodyText"/>
            </w:pPr>
            <w:r>
              <w:t>0012</w:t>
            </w:r>
          </w:p>
        </w:tc>
      </w:tr>
      <w:tr w:rsidR="000A156F" w:rsidTr="000A156F">
        <w:tc>
          <w:tcPr>
            <w:tcW w:w="0" w:type="auto"/>
            <w:vAlign w:val="center"/>
          </w:tcPr>
          <w:p w:rsidR="000A156F" w:rsidRDefault="00A9721F">
            <w:pPr>
              <w:pStyle w:val="TableBodyText"/>
            </w:pPr>
            <w:r>
              <w:t>MyPermission</w:t>
            </w:r>
          </w:p>
        </w:tc>
        <w:tc>
          <w:tcPr>
            <w:tcW w:w="0" w:type="auto"/>
            <w:vAlign w:val="center"/>
          </w:tcPr>
          <w:p w:rsidR="000A156F" w:rsidRDefault="00A9721F">
            <w:pPr>
              <w:pStyle w:val="TableBodyText"/>
            </w:pPr>
            <w:r>
              <w:t>059D</w:t>
            </w:r>
          </w:p>
        </w:tc>
      </w:tr>
      <w:tr w:rsidR="000A156F" w:rsidTr="000A156F">
        <w:tc>
          <w:tcPr>
            <w:tcW w:w="0" w:type="auto"/>
            <w:vAlign w:val="center"/>
          </w:tcPr>
          <w:p w:rsidR="000A156F" w:rsidRDefault="00A9721F">
            <w:pPr>
              <w:pStyle w:val="TableBodyText"/>
            </w:pPr>
            <w:r>
              <w:t>NavBack</w:t>
            </w:r>
          </w:p>
        </w:tc>
        <w:tc>
          <w:tcPr>
            <w:tcW w:w="0" w:type="auto"/>
            <w:vAlign w:val="center"/>
          </w:tcPr>
          <w:p w:rsidR="000A156F" w:rsidRDefault="00A9721F">
            <w:pPr>
              <w:pStyle w:val="TableBodyText"/>
            </w:pPr>
            <w:r>
              <w:t>083D</w:t>
            </w:r>
          </w:p>
        </w:tc>
      </w:tr>
      <w:tr w:rsidR="000A156F" w:rsidTr="000A156F">
        <w:tc>
          <w:tcPr>
            <w:tcW w:w="0" w:type="auto"/>
            <w:vAlign w:val="center"/>
          </w:tcPr>
          <w:p w:rsidR="000A156F" w:rsidRDefault="00A9721F">
            <w:pPr>
              <w:pStyle w:val="TableBodyText"/>
            </w:pPr>
            <w:r>
              <w:t>NavBackMenu</w:t>
            </w:r>
          </w:p>
        </w:tc>
        <w:tc>
          <w:tcPr>
            <w:tcW w:w="0" w:type="auto"/>
            <w:vAlign w:val="center"/>
          </w:tcPr>
          <w:p w:rsidR="000A156F" w:rsidRDefault="00A9721F">
            <w:pPr>
              <w:pStyle w:val="TableBodyText"/>
            </w:pPr>
            <w:r>
              <w:t>098B</w:t>
            </w:r>
          </w:p>
        </w:tc>
      </w:tr>
      <w:tr w:rsidR="000A156F" w:rsidTr="000A156F">
        <w:tc>
          <w:tcPr>
            <w:tcW w:w="0" w:type="auto"/>
            <w:vAlign w:val="center"/>
          </w:tcPr>
          <w:p w:rsidR="000A156F" w:rsidRDefault="00A9721F">
            <w:pPr>
              <w:pStyle w:val="TableBodyText"/>
            </w:pPr>
            <w:r>
              <w:t>NavForward</w:t>
            </w:r>
          </w:p>
        </w:tc>
        <w:tc>
          <w:tcPr>
            <w:tcW w:w="0" w:type="auto"/>
            <w:vAlign w:val="center"/>
          </w:tcPr>
          <w:p w:rsidR="000A156F" w:rsidRDefault="00A9721F">
            <w:pPr>
              <w:pStyle w:val="TableBodyText"/>
            </w:pPr>
            <w:r>
              <w:t>083E</w:t>
            </w:r>
          </w:p>
        </w:tc>
      </w:tr>
      <w:tr w:rsidR="000A156F" w:rsidTr="000A156F">
        <w:tc>
          <w:tcPr>
            <w:tcW w:w="0" w:type="auto"/>
            <w:vAlign w:val="center"/>
          </w:tcPr>
          <w:p w:rsidR="000A156F" w:rsidRDefault="00A9721F">
            <w:pPr>
              <w:pStyle w:val="TableBodyText"/>
            </w:pPr>
            <w:r>
              <w:t>NavForwardMenu</w:t>
            </w:r>
          </w:p>
        </w:tc>
        <w:tc>
          <w:tcPr>
            <w:tcW w:w="0" w:type="auto"/>
            <w:vAlign w:val="center"/>
          </w:tcPr>
          <w:p w:rsidR="000A156F" w:rsidRDefault="00A9721F">
            <w:pPr>
              <w:pStyle w:val="TableBodyText"/>
            </w:pPr>
            <w:r>
              <w:t>098C</w:t>
            </w:r>
          </w:p>
        </w:tc>
      </w:tr>
      <w:tr w:rsidR="000A156F" w:rsidTr="000A156F">
        <w:tc>
          <w:tcPr>
            <w:tcW w:w="0" w:type="auto"/>
            <w:vAlign w:val="center"/>
          </w:tcPr>
          <w:p w:rsidR="000A156F" w:rsidRDefault="00A9721F">
            <w:pPr>
              <w:pStyle w:val="TableBodyText"/>
            </w:pPr>
            <w:r>
              <w:t>NavigateMove</w:t>
            </w:r>
          </w:p>
        </w:tc>
        <w:tc>
          <w:tcPr>
            <w:tcW w:w="0" w:type="auto"/>
            <w:vAlign w:val="center"/>
          </w:tcPr>
          <w:p w:rsidR="000A156F" w:rsidRDefault="00A9721F">
            <w:pPr>
              <w:pStyle w:val="TableBodyText"/>
            </w:pPr>
            <w:r>
              <w:t>0949</w:t>
            </w:r>
          </w:p>
        </w:tc>
      </w:tr>
      <w:tr w:rsidR="000A156F" w:rsidTr="000A156F">
        <w:tc>
          <w:tcPr>
            <w:tcW w:w="0" w:type="auto"/>
            <w:vAlign w:val="center"/>
          </w:tcPr>
          <w:p w:rsidR="000A156F" w:rsidRDefault="00A9721F">
            <w:pPr>
              <w:pStyle w:val="TableBodyText"/>
            </w:pPr>
            <w:r>
              <w:t>NeverUseBalloons</w:t>
            </w:r>
          </w:p>
        </w:tc>
        <w:tc>
          <w:tcPr>
            <w:tcW w:w="0" w:type="auto"/>
            <w:vAlign w:val="center"/>
          </w:tcPr>
          <w:p w:rsidR="000A156F" w:rsidRDefault="00A9721F">
            <w:pPr>
              <w:pStyle w:val="TableBodyText"/>
            </w:pPr>
            <w:r>
              <w:t>05A8</w:t>
            </w:r>
          </w:p>
        </w:tc>
      </w:tr>
      <w:tr w:rsidR="000A156F" w:rsidTr="000A156F">
        <w:tc>
          <w:tcPr>
            <w:tcW w:w="0" w:type="auto"/>
            <w:vAlign w:val="center"/>
          </w:tcPr>
          <w:p w:rsidR="000A156F" w:rsidRDefault="00A9721F">
            <w:pPr>
              <w:pStyle w:val="TableBodyText"/>
            </w:pPr>
            <w:r>
              <w:t>NewStyle</w:t>
            </w:r>
          </w:p>
        </w:tc>
        <w:tc>
          <w:tcPr>
            <w:tcW w:w="0" w:type="auto"/>
            <w:vAlign w:val="center"/>
          </w:tcPr>
          <w:p w:rsidR="000A156F" w:rsidRDefault="00A9721F">
            <w:pPr>
              <w:pStyle w:val="TableBodyText"/>
            </w:pPr>
            <w:r>
              <w:t>079E</w:t>
            </w:r>
          </w:p>
        </w:tc>
      </w:tr>
      <w:tr w:rsidR="000A156F" w:rsidTr="000A156F">
        <w:tc>
          <w:tcPr>
            <w:tcW w:w="0" w:type="auto"/>
            <w:vAlign w:val="center"/>
          </w:tcPr>
          <w:p w:rsidR="000A156F" w:rsidRDefault="00A9721F">
            <w:pPr>
              <w:pStyle w:val="TableBodyText"/>
            </w:pPr>
            <w:r>
              <w:t>NewToolbar</w:t>
            </w:r>
          </w:p>
        </w:tc>
        <w:tc>
          <w:tcPr>
            <w:tcW w:w="0" w:type="auto"/>
            <w:vAlign w:val="center"/>
          </w:tcPr>
          <w:p w:rsidR="000A156F" w:rsidRDefault="00A9721F">
            <w:pPr>
              <w:pStyle w:val="TableBodyText"/>
            </w:pPr>
            <w:r>
              <w:t>024A</w:t>
            </w:r>
          </w:p>
        </w:tc>
      </w:tr>
      <w:tr w:rsidR="000A156F" w:rsidTr="000A156F">
        <w:tc>
          <w:tcPr>
            <w:tcW w:w="0" w:type="auto"/>
            <w:vAlign w:val="center"/>
          </w:tcPr>
          <w:p w:rsidR="000A156F" w:rsidRDefault="00A9721F">
            <w:pPr>
              <w:pStyle w:val="TableBodyText"/>
            </w:pPr>
            <w:r>
              <w:t>NextCell</w:t>
            </w:r>
          </w:p>
        </w:tc>
        <w:tc>
          <w:tcPr>
            <w:tcW w:w="0" w:type="auto"/>
            <w:vAlign w:val="center"/>
          </w:tcPr>
          <w:p w:rsidR="000A156F" w:rsidRDefault="00A9721F">
            <w:pPr>
              <w:pStyle w:val="TableBodyText"/>
            </w:pPr>
            <w:r>
              <w:t>010E</w:t>
            </w:r>
          </w:p>
        </w:tc>
      </w:tr>
      <w:tr w:rsidR="000A156F" w:rsidTr="000A156F">
        <w:tc>
          <w:tcPr>
            <w:tcW w:w="0" w:type="auto"/>
            <w:vAlign w:val="center"/>
          </w:tcPr>
          <w:p w:rsidR="000A156F" w:rsidRDefault="00A9721F">
            <w:pPr>
              <w:pStyle w:val="TableBodyText"/>
            </w:pPr>
            <w:r>
              <w:t>NextChangeOrComment</w:t>
            </w:r>
          </w:p>
        </w:tc>
        <w:tc>
          <w:tcPr>
            <w:tcW w:w="0" w:type="auto"/>
            <w:vAlign w:val="center"/>
          </w:tcPr>
          <w:p w:rsidR="000A156F" w:rsidRDefault="00A9721F">
            <w:pPr>
              <w:pStyle w:val="TableBodyText"/>
            </w:pPr>
            <w:r>
              <w:t>050E</w:t>
            </w:r>
          </w:p>
        </w:tc>
      </w:tr>
      <w:tr w:rsidR="000A156F" w:rsidTr="000A156F">
        <w:tc>
          <w:tcPr>
            <w:tcW w:w="0" w:type="auto"/>
            <w:vAlign w:val="center"/>
          </w:tcPr>
          <w:p w:rsidR="000A156F" w:rsidRDefault="00A9721F">
            <w:pPr>
              <w:pStyle w:val="TableBodyText"/>
            </w:pPr>
            <w:r>
              <w:t>NextComment</w:t>
            </w:r>
          </w:p>
        </w:tc>
        <w:tc>
          <w:tcPr>
            <w:tcW w:w="0" w:type="auto"/>
            <w:vAlign w:val="center"/>
          </w:tcPr>
          <w:p w:rsidR="000A156F" w:rsidRDefault="00A9721F">
            <w:pPr>
              <w:pStyle w:val="TableBodyText"/>
            </w:pPr>
            <w:r>
              <w:t>07DE</w:t>
            </w:r>
          </w:p>
        </w:tc>
      </w:tr>
      <w:tr w:rsidR="000A156F" w:rsidTr="000A156F">
        <w:tc>
          <w:tcPr>
            <w:tcW w:w="0" w:type="auto"/>
            <w:vAlign w:val="center"/>
          </w:tcPr>
          <w:p w:rsidR="000A156F" w:rsidRDefault="00A9721F">
            <w:pPr>
              <w:pStyle w:val="TableBodyText"/>
            </w:pPr>
            <w:r>
              <w:t>NextField</w:t>
            </w:r>
          </w:p>
        </w:tc>
        <w:tc>
          <w:tcPr>
            <w:tcW w:w="0" w:type="auto"/>
            <w:vAlign w:val="center"/>
          </w:tcPr>
          <w:p w:rsidR="000A156F" w:rsidRDefault="00A9721F">
            <w:pPr>
              <w:pStyle w:val="TableBodyText"/>
            </w:pPr>
            <w:r>
              <w:t>0019</w:t>
            </w:r>
          </w:p>
        </w:tc>
      </w:tr>
      <w:tr w:rsidR="000A156F" w:rsidTr="000A156F">
        <w:tc>
          <w:tcPr>
            <w:tcW w:w="0" w:type="auto"/>
            <w:vAlign w:val="center"/>
          </w:tcPr>
          <w:p w:rsidR="000A156F" w:rsidRDefault="00A9721F">
            <w:pPr>
              <w:pStyle w:val="TableBodyText"/>
            </w:pPr>
            <w:r>
              <w:t>NextInsert</w:t>
            </w:r>
          </w:p>
        </w:tc>
        <w:tc>
          <w:tcPr>
            <w:tcW w:w="0" w:type="auto"/>
            <w:vAlign w:val="center"/>
          </w:tcPr>
          <w:p w:rsidR="000A156F" w:rsidRDefault="00A9721F">
            <w:pPr>
              <w:pStyle w:val="TableBodyText"/>
            </w:pPr>
            <w:r>
              <w:t>0344</w:t>
            </w:r>
          </w:p>
        </w:tc>
      </w:tr>
      <w:tr w:rsidR="000A156F" w:rsidTr="000A156F">
        <w:tc>
          <w:tcPr>
            <w:tcW w:w="0" w:type="auto"/>
            <w:vAlign w:val="center"/>
          </w:tcPr>
          <w:p w:rsidR="000A156F" w:rsidRDefault="00A9721F">
            <w:pPr>
              <w:pStyle w:val="TableBodyText"/>
            </w:pPr>
            <w:r>
              <w:t>NextMisspelling</w:t>
            </w:r>
          </w:p>
        </w:tc>
        <w:tc>
          <w:tcPr>
            <w:tcW w:w="0" w:type="auto"/>
            <w:vAlign w:val="center"/>
          </w:tcPr>
          <w:p w:rsidR="000A156F" w:rsidRDefault="00A9721F">
            <w:pPr>
              <w:pStyle w:val="TableBodyText"/>
            </w:pPr>
            <w:r>
              <w:t>02F7</w:t>
            </w:r>
          </w:p>
        </w:tc>
      </w:tr>
      <w:tr w:rsidR="000A156F" w:rsidTr="000A156F">
        <w:tc>
          <w:tcPr>
            <w:tcW w:w="0" w:type="auto"/>
            <w:vAlign w:val="center"/>
          </w:tcPr>
          <w:p w:rsidR="000A156F" w:rsidRDefault="00A9721F">
            <w:pPr>
              <w:pStyle w:val="TableBodyText"/>
            </w:pPr>
            <w:r>
              <w:t>NextObject</w:t>
            </w:r>
          </w:p>
        </w:tc>
        <w:tc>
          <w:tcPr>
            <w:tcW w:w="0" w:type="auto"/>
            <w:vAlign w:val="center"/>
          </w:tcPr>
          <w:p w:rsidR="000A156F" w:rsidRDefault="00A9721F">
            <w:pPr>
              <w:pStyle w:val="TableBodyText"/>
            </w:pPr>
            <w:r>
              <w:t>004C</w:t>
            </w:r>
          </w:p>
        </w:tc>
      </w:tr>
      <w:tr w:rsidR="000A156F" w:rsidTr="000A156F">
        <w:tc>
          <w:tcPr>
            <w:tcW w:w="0" w:type="auto"/>
            <w:vAlign w:val="center"/>
          </w:tcPr>
          <w:p w:rsidR="000A156F" w:rsidRDefault="00A9721F">
            <w:pPr>
              <w:pStyle w:val="TableBodyText"/>
            </w:pPr>
            <w:r>
              <w:t>NextPage</w:t>
            </w:r>
          </w:p>
        </w:tc>
        <w:tc>
          <w:tcPr>
            <w:tcW w:w="0" w:type="auto"/>
            <w:vAlign w:val="center"/>
          </w:tcPr>
          <w:p w:rsidR="000A156F" w:rsidRDefault="00A9721F">
            <w:pPr>
              <w:pStyle w:val="TableBodyText"/>
            </w:pPr>
            <w:r>
              <w:t>004B</w:t>
            </w:r>
          </w:p>
        </w:tc>
      </w:tr>
      <w:tr w:rsidR="000A156F" w:rsidTr="000A156F">
        <w:tc>
          <w:tcPr>
            <w:tcW w:w="0" w:type="auto"/>
            <w:vAlign w:val="center"/>
          </w:tcPr>
          <w:p w:rsidR="000A156F" w:rsidRDefault="00A9721F">
            <w:pPr>
              <w:pStyle w:val="TableBodyText"/>
            </w:pPr>
            <w:r>
              <w:t>NextPane</w:t>
            </w:r>
          </w:p>
        </w:tc>
        <w:tc>
          <w:tcPr>
            <w:tcW w:w="0" w:type="auto"/>
            <w:vAlign w:val="center"/>
          </w:tcPr>
          <w:p w:rsidR="000A156F" w:rsidRDefault="00A9721F">
            <w:pPr>
              <w:pStyle w:val="TableBodyText"/>
            </w:pPr>
            <w:r>
              <w:t>0999</w:t>
            </w:r>
          </w:p>
        </w:tc>
      </w:tr>
      <w:tr w:rsidR="000A156F" w:rsidTr="000A156F">
        <w:tc>
          <w:tcPr>
            <w:tcW w:w="0" w:type="auto"/>
            <w:vAlign w:val="center"/>
          </w:tcPr>
          <w:p w:rsidR="000A156F" w:rsidRDefault="00A9721F">
            <w:pPr>
              <w:pStyle w:val="TableBodyText"/>
            </w:pPr>
            <w:r>
              <w:t>NextWindow</w:t>
            </w:r>
          </w:p>
        </w:tc>
        <w:tc>
          <w:tcPr>
            <w:tcW w:w="0" w:type="auto"/>
            <w:vAlign w:val="center"/>
          </w:tcPr>
          <w:p w:rsidR="000A156F" w:rsidRDefault="00A9721F">
            <w:pPr>
              <w:pStyle w:val="TableBodyText"/>
            </w:pPr>
            <w:r>
              <w:t>0016</w:t>
            </w:r>
          </w:p>
        </w:tc>
      </w:tr>
      <w:tr w:rsidR="000A156F" w:rsidTr="000A156F">
        <w:tc>
          <w:tcPr>
            <w:tcW w:w="0" w:type="auto"/>
            <w:vAlign w:val="center"/>
          </w:tcPr>
          <w:p w:rsidR="000A156F" w:rsidRDefault="00A9721F">
            <w:pPr>
              <w:pStyle w:val="TableBodyText"/>
            </w:pPr>
            <w:r>
              <w:t>NoInsertionDeletionBalloons</w:t>
            </w:r>
          </w:p>
        </w:tc>
        <w:tc>
          <w:tcPr>
            <w:tcW w:w="0" w:type="auto"/>
            <w:vAlign w:val="center"/>
          </w:tcPr>
          <w:p w:rsidR="000A156F" w:rsidRDefault="00A9721F">
            <w:pPr>
              <w:pStyle w:val="TableBodyText"/>
            </w:pPr>
            <w:r>
              <w:t>05A9</w:t>
            </w:r>
          </w:p>
        </w:tc>
      </w:tr>
      <w:tr w:rsidR="000A156F" w:rsidTr="000A156F">
        <w:tc>
          <w:tcPr>
            <w:tcW w:w="0" w:type="auto"/>
            <w:vAlign w:val="center"/>
          </w:tcPr>
          <w:p w:rsidR="000A156F" w:rsidRDefault="00A9721F">
            <w:pPr>
              <w:pStyle w:val="TableBodyText"/>
            </w:pPr>
            <w:r>
              <w:t>NormalFontPosition</w:t>
            </w:r>
          </w:p>
        </w:tc>
        <w:tc>
          <w:tcPr>
            <w:tcW w:w="0" w:type="auto"/>
            <w:vAlign w:val="center"/>
          </w:tcPr>
          <w:p w:rsidR="000A156F" w:rsidRDefault="00A9721F">
            <w:pPr>
              <w:pStyle w:val="TableBodyText"/>
            </w:pPr>
            <w:r>
              <w:t>023C</w:t>
            </w:r>
          </w:p>
        </w:tc>
      </w:tr>
      <w:tr w:rsidR="000A156F" w:rsidTr="000A156F">
        <w:tc>
          <w:tcPr>
            <w:tcW w:w="0" w:type="auto"/>
            <w:vAlign w:val="center"/>
          </w:tcPr>
          <w:p w:rsidR="000A156F" w:rsidRDefault="00A9721F">
            <w:pPr>
              <w:pStyle w:val="TableBodyText"/>
            </w:pPr>
            <w:r>
              <w:t>NormalFontSpacing</w:t>
            </w:r>
          </w:p>
        </w:tc>
        <w:tc>
          <w:tcPr>
            <w:tcW w:w="0" w:type="auto"/>
            <w:vAlign w:val="center"/>
          </w:tcPr>
          <w:p w:rsidR="000A156F" w:rsidRDefault="00A9721F">
            <w:pPr>
              <w:pStyle w:val="TableBodyText"/>
            </w:pPr>
            <w:r>
              <w:t>023B</w:t>
            </w:r>
          </w:p>
        </w:tc>
      </w:tr>
      <w:tr w:rsidR="000A156F" w:rsidTr="000A156F">
        <w:tc>
          <w:tcPr>
            <w:tcW w:w="0" w:type="auto"/>
            <w:vAlign w:val="center"/>
          </w:tcPr>
          <w:p w:rsidR="000A156F" w:rsidRDefault="00A9721F">
            <w:pPr>
              <w:pStyle w:val="TableBodyText"/>
            </w:pPr>
            <w:r>
              <w:t>NormalStyle</w:t>
            </w:r>
          </w:p>
        </w:tc>
        <w:tc>
          <w:tcPr>
            <w:tcW w:w="0" w:type="auto"/>
            <w:vAlign w:val="center"/>
          </w:tcPr>
          <w:p w:rsidR="000A156F" w:rsidRDefault="00A9721F">
            <w:pPr>
              <w:pStyle w:val="TableBodyText"/>
            </w:pPr>
            <w:r>
              <w:t>00F8</w:t>
            </w:r>
          </w:p>
        </w:tc>
      </w:tr>
      <w:tr w:rsidR="000A156F" w:rsidTr="000A156F">
        <w:tc>
          <w:tcPr>
            <w:tcW w:w="0" w:type="auto"/>
            <w:vAlign w:val="center"/>
          </w:tcPr>
          <w:p w:rsidR="000A156F" w:rsidRDefault="00A9721F">
            <w:pPr>
              <w:pStyle w:val="TableBodyText"/>
            </w:pPr>
            <w:r>
              <w:lastRenderedPageBreak/>
              <w:t>NormalViewHeaderArea</w:t>
            </w:r>
          </w:p>
        </w:tc>
        <w:tc>
          <w:tcPr>
            <w:tcW w:w="0" w:type="auto"/>
            <w:vAlign w:val="center"/>
          </w:tcPr>
          <w:p w:rsidR="000A156F" w:rsidRDefault="00A9721F">
            <w:pPr>
              <w:pStyle w:val="TableBodyText"/>
            </w:pPr>
            <w:r>
              <w:t>009B</w:t>
            </w:r>
          </w:p>
        </w:tc>
      </w:tr>
      <w:tr w:rsidR="000A156F" w:rsidTr="000A156F">
        <w:tc>
          <w:tcPr>
            <w:tcW w:w="0" w:type="auto"/>
            <w:vAlign w:val="center"/>
          </w:tcPr>
          <w:p w:rsidR="000A156F" w:rsidRDefault="00A9721F">
            <w:pPr>
              <w:pStyle w:val="TableBodyText"/>
            </w:pPr>
            <w:r>
              <w:t>NormalizeText</w:t>
            </w:r>
          </w:p>
        </w:tc>
        <w:tc>
          <w:tcPr>
            <w:tcW w:w="0" w:type="auto"/>
            <w:vAlign w:val="center"/>
          </w:tcPr>
          <w:p w:rsidR="000A156F" w:rsidRDefault="00A9721F">
            <w:pPr>
              <w:pStyle w:val="TableBodyText"/>
            </w:pPr>
            <w:r>
              <w:t>04F8</w:t>
            </w:r>
          </w:p>
        </w:tc>
      </w:tr>
      <w:tr w:rsidR="000A156F" w:rsidTr="000A156F">
        <w:tc>
          <w:tcPr>
            <w:tcW w:w="0" w:type="auto"/>
            <w:vAlign w:val="center"/>
          </w:tcPr>
          <w:p w:rsidR="000A156F" w:rsidRDefault="00A9721F">
            <w:pPr>
              <w:pStyle w:val="TableBodyText"/>
            </w:pPr>
            <w:r>
              <w:t>NoteOptions</w:t>
            </w:r>
          </w:p>
        </w:tc>
        <w:tc>
          <w:tcPr>
            <w:tcW w:w="0" w:type="auto"/>
            <w:vAlign w:val="center"/>
          </w:tcPr>
          <w:p w:rsidR="000A156F" w:rsidRDefault="00A9721F">
            <w:pPr>
              <w:pStyle w:val="TableBodyText"/>
            </w:pPr>
            <w:r>
              <w:t>0175</w:t>
            </w:r>
          </w:p>
        </w:tc>
      </w:tr>
      <w:tr w:rsidR="000A156F" w:rsidTr="000A156F">
        <w:tc>
          <w:tcPr>
            <w:tcW w:w="0" w:type="auto"/>
            <w:vAlign w:val="center"/>
          </w:tcPr>
          <w:p w:rsidR="000A156F" w:rsidRDefault="00A9721F">
            <w:pPr>
              <w:pStyle w:val="TableBodyText"/>
            </w:pPr>
            <w:r>
              <w:t>NumberingGallery</w:t>
            </w:r>
          </w:p>
        </w:tc>
        <w:tc>
          <w:tcPr>
            <w:tcW w:w="0" w:type="auto"/>
            <w:vAlign w:val="center"/>
          </w:tcPr>
          <w:p w:rsidR="000A156F" w:rsidRDefault="00A9721F">
            <w:pPr>
              <w:pStyle w:val="TableBodyText"/>
            </w:pPr>
            <w:r>
              <w:t>07AC</w:t>
            </w:r>
          </w:p>
        </w:tc>
      </w:tr>
      <w:tr w:rsidR="000A156F" w:rsidTr="000A156F">
        <w:tc>
          <w:tcPr>
            <w:tcW w:w="0" w:type="auto"/>
            <w:vAlign w:val="center"/>
          </w:tcPr>
          <w:p w:rsidR="000A156F" w:rsidRDefault="00A9721F">
            <w:pPr>
              <w:pStyle w:val="TableBodyText"/>
            </w:pPr>
            <w:r>
              <w:t>OK</w:t>
            </w:r>
          </w:p>
        </w:tc>
        <w:tc>
          <w:tcPr>
            <w:tcW w:w="0" w:type="auto"/>
            <w:vAlign w:val="center"/>
          </w:tcPr>
          <w:p w:rsidR="000A156F" w:rsidRDefault="00A9721F">
            <w:pPr>
              <w:pStyle w:val="TableBodyText"/>
            </w:pPr>
            <w:r>
              <w:t>0047</w:t>
            </w:r>
          </w:p>
        </w:tc>
      </w:tr>
      <w:tr w:rsidR="000A156F" w:rsidTr="000A156F">
        <w:tc>
          <w:tcPr>
            <w:tcW w:w="0" w:type="auto"/>
            <w:vAlign w:val="center"/>
          </w:tcPr>
          <w:p w:rsidR="000A156F" w:rsidRDefault="00A9721F">
            <w:pPr>
              <w:pStyle w:val="TableBodyText"/>
            </w:pPr>
            <w:r>
              <w:t>OartCommand</w:t>
            </w:r>
          </w:p>
        </w:tc>
        <w:tc>
          <w:tcPr>
            <w:tcW w:w="0" w:type="auto"/>
            <w:vAlign w:val="center"/>
          </w:tcPr>
          <w:p w:rsidR="000A156F" w:rsidRDefault="00A9721F">
            <w:pPr>
              <w:pStyle w:val="TableBodyText"/>
            </w:pPr>
            <w:r>
              <w:t>0812</w:t>
            </w:r>
          </w:p>
        </w:tc>
      </w:tr>
      <w:tr w:rsidR="000A156F" w:rsidTr="000A156F">
        <w:tc>
          <w:tcPr>
            <w:tcW w:w="0" w:type="auto"/>
            <w:vAlign w:val="center"/>
          </w:tcPr>
          <w:p w:rsidR="000A156F" w:rsidRDefault="00A9721F">
            <w:pPr>
              <w:pStyle w:val="TableBodyText"/>
            </w:pPr>
            <w:r>
              <w:t>OfficeCenter</w:t>
            </w:r>
          </w:p>
        </w:tc>
        <w:tc>
          <w:tcPr>
            <w:tcW w:w="0" w:type="auto"/>
            <w:vAlign w:val="center"/>
          </w:tcPr>
          <w:p w:rsidR="000A156F" w:rsidRDefault="00A9721F">
            <w:pPr>
              <w:pStyle w:val="TableBodyText"/>
            </w:pPr>
            <w:r>
              <w:t>17D0</w:t>
            </w:r>
          </w:p>
        </w:tc>
      </w:tr>
      <w:tr w:rsidR="000A156F" w:rsidTr="000A156F">
        <w:tc>
          <w:tcPr>
            <w:tcW w:w="0" w:type="auto"/>
            <w:vAlign w:val="center"/>
          </w:tcPr>
          <w:p w:rsidR="000A156F" w:rsidRDefault="00A9721F">
            <w:pPr>
              <w:pStyle w:val="TableBodyText"/>
            </w:pPr>
            <w:r>
              <w:t>OfficeDrawingCommand</w:t>
            </w:r>
          </w:p>
        </w:tc>
        <w:tc>
          <w:tcPr>
            <w:tcW w:w="0" w:type="auto"/>
            <w:vAlign w:val="center"/>
          </w:tcPr>
          <w:p w:rsidR="000A156F" w:rsidRDefault="00A9721F">
            <w:pPr>
              <w:pStyle w:val="TableBodyText"/>
            </w:pPr>
            <w:r>
              <w:t>0395</w:t>
            </w:r>
          </w:p>
        </w:tc>
      </w:tr>
      <w:tr w:rsidR="000A156F" w:rsidTr="000A156F">
        <w:tc>
          <w:tcPr>
            <w:tcW w:w="0" w:type="auto"/>
            <w:vAlign w:val="center"/>
          </w:tcPr>
          <w:p w:rsidR="000A156F" w:rsidRDefault="00A9721F">
            <w:pPr>
              <w:pStyle w:val="TableBodyText"/>
            </w:pPr>
            <w:r>
              <w:t>OfficeOnTheWeb</w:t>
            </w:r>
          </w:p>
        </w:tc>
        <w:tc>
          <w:tcPr>
            <w:tcW w:w="0" w:type="auto"/>
            <w:vAlign w:val="center"/>
          </w:tcPr>
          <w:p w:rsidR="000A156F" w:rsidRDefault="00A9721F">
            <w:pPr>
              <w:pStyle w:val="TableBodyText"/>
            </w:pPr>
            <w:r>
              <w:t>0243</w:t>
            </w:r>
          </w:p>
        </w:tc>
      </w:tr>
      <w:tr w:rsidR="000A156F" w:rsidTr="000A156F">
        <w:tc>
          <w:tcPr>
            <w:tcW w:w="0" w:type="auto"/>
            <w:vAlign w:val="center"/>
          </w:tcPr>
          <w:p w:rsidR="000A156F" w:rsidRDefault="00A9721F">
            <w:pPr>
              <w:pStyle w:val="TableBodyText"/>
            </w:pPr>
            <w:r>
              <w:t>OnlineMeeting</w:t>
            </w:r>
          </w:p>
        </w:tc>
        <w:tc>
          <w:tcPr>
            <w:tcW w:w="0" w:type="auto"/>
            <w:vAlign w:val="center"/>
          </w:tcPr>
          <w:p w:rsidR="000A156F" w:rsidRDefault="00A9721F">
            <w:pPr>
              <w:pStyle w:val="TableBodyText"/>
            </w:pPr>
            <w:r>
              <w:t>0470</w:t>
            </w:r>
          </w:p>
        </w:tc>
      </w:tr>
      <w:tr w:rsidR="000A156F" w:rsidTr="000A156F">
        <w:tc>
          <w:tcPr>
            <w:tcW w:w="0" w:type="auto"/>
            <w:vAlign w:val="center"/>
          </w:tcPr>
          <w:p w:rsidR="000A156F" w:rsidRDefault="00A9721F">
            <w:pPr>
              <w:pStyle w:val="TableBodyText"/>
            </w:pPr>
            <w:r>
              <w:t>OpenOrCloseParaAbove</w:t>
            </w:r>
          </w:p>
        </w:tc>
        <w:tc>
          <w:tcPr>
            <w:tcW w:w="0" w:type="auto"/>
            <w:vAlign w:val="center"/>
          </w:tcPr>
          <w:p w:rsidR="000A156F" w:rsidRDefault="00A9721F">
            <w:pPr>
              <w:pStyle w:val="TableBodyText"/>
            </w:pPr>
            <w:r>
              <w:t>0992</w:t>
            </w:r>
          </w:p>
        </w:tc>
      </w:tr>
      <w:tr w:rsidR="000A156F" w:rsidTr="000A156F">
        <w:tc>
          <w:tcPr>
            <w:tcW w:w="0" w:type="auto"/>
            <w:vAlign w:val="center"/>
          </w:tcPr>
          <w:p w:rsidR="000A156F" w:rsidRDefault="00A9721F">
            <w:pPr>
              <w:pStyle w:val="TableBodyText"/>
            </w:pPr>
            <w:r>
              <w:t>OpenOrCloseParaBelow</w:t>
            </w:r>
          </w:p>
        </w:tc>
        <w:tc>
          <w:tcPr>
            <w:tcW w:w="0" w:type="auto"/>
            <w:vAlign w:val="center"/>
          </w:tcPr>
          <w:p w:rsidR="000A156F" w:rsidRDefault="00A9721F">
            <w:pPr>
              <w:pStyle w:val="TableBodyText"/>
            </w:pPr>
            <w:r>
              <w:t>0993</w:t>
            </w:r>
          </w:p>
        </w:tc>
      </w:tr>
      <w:tr w:rsidR="000A156F" w:rsidTr="000A156F">
        <w:tc>
          <w:tcPr>
            <w:tcW w:w="0" w:type="auto"/>
            <w:vAlign w:val="center"/>
          </w:tcPr>
          <w:p w:rsidR="000A156F" w:rsidRDefault="00A9721F">
            <w:pPr>
              <w:pStyle w:val="TableBodyText"/>
            </w:pPr>
            <w:r>
              <w:t>OpenOrCloseUpPara</w:t>
            </w:r>
          </w:p>
        </w:tc>
        <w:tc>
          <w:tcPr>
            <w:tcW w:w="0" w:type="auto"/>
            <w:vAlign w:val="center"/>
          </w:tcPr>
          <w:p w:rsidR="000A156F" w:rsidRDefault="00A9721F">
            <w:pPr>
              <w:pStyle w:val="TableBodyText"/>
            </w:pPr>
            <w:r>
              <w:t>02BA</w:t>
            </w:r>
          </w:p>
        </w:tc>
      </w:tr>
      <w:tr w:rsidR="000A156F" w:rsidTr="000A156F">
        <w:tc>
          <w:tcPr>
            <w:tcW w:w="0" w:type="auto"/>
            <w:vAlign w:val="center"/>
          </w:tcPr>
          <w:p w:rsidR="000A156F" w:rsidRDefault="00A9721F">
            <w:pPr>
              <w:pStyle w:val="TableBodyText"/>
            </w:pPr>
            <w:r>
              <w:t>OpenParaAbove</w:t>
            </w:r>
          </w:p>
        </w:tc>
        <w:tc>
          <w:tcPr>
            <w:tcW w:w="0" w:type="auto"/>
            <w:vAlign w:val="center"/>
          </w:tcPr>
          <w:p w:rsidR="000A156F" w:rsidRDefault="00A9721F">
            <w:pPr>
              <w:pStyle w:val="TableBodyText"/>
            </w:pPr>
            <w:r>
              <w:t>0994</w:t>
            </w:r>
          </w:p>
        </w:tc>
      </w:tr>
      <w:tr w:rsidR="000A156F" w:rsidTr="000A156F">
        <w:tc>
          <w:tcPr>
            <w:tcW w:w="0" w:type="auto"/>
            <w:vAlign w:val="center"/>
          </w:tcPr>
          <w:p w:rsidR="000A156F" w:rsidRDefault="00A9721F">
            <w:pPr>
              <w:pStyle w:val="TableBodyText"/>
            </w:pPr>
            <w:r>
              <w:t>OpenParaBelow</w:t>
            </w:r>
          </w:p>
        </w:tc>
        <w:tc>
          <w:tcPr>
            <w:tcW w:w="0" w:type="auto"/>
            <w:vAlign w:val="center"/>
          </w:tcPr>
          <w:p w:rsidR="000A156F" w:rsidRDefault="00A9721F">
            <w:pPr>
              <w:pStyle w:val="TableBodyText"/>
            </w:pPr>
            <w:r>
              <w:t>0996</w:t>
            </w:r>
          </w:p>
        </w:tc>
      </w:tr>
      <w:tr w:rsidR="000A156F" w:rsidTr="000A156F">
        <w:tc>
          <w:tcPr>
            <w:tcW w:w="0" w:type="auto"/>
            <w:vAlign w:val="center"/>
          </w:tcPr>
          <w:p w:rsidR="000A156F" w:rsidRDefault="00A9721F">
            <w:pPr>
              <w:pStyle w:val="TableBodyText"/>
            </w:pPr>
            <w:r>
              <w:t>OpenSubdocument</w:t>
            </w:r>
          </w:p>
        </w:tc>
        <w:tc>
          <w:tcPr>
            <w:tcW w:w="0" w:type="auto"/>
            <w:vAlign w:val="center"/>
          </w:tcPr>
          <w:p w:rsidR="000A156F" w:rsidRDefault="00A9721F">
            <w:pPr>
              <w:pStyle w:val="TableBodyText"/>
            </w:pPr>
            <w:r>
              <w:t>0257</w:t>
            </w:r>
          </w:p>
        </w:tc>
      </w:tr>
      <w:tr w:rsidR="000A156F" w:rsidTr="000A156F">
        <w:tc>
          <w:tcPr>
            <w:tcW w:w="0" w:type="auto"/>
            <w:vAlign w:val="center"/>
          </w:tcPr>
          <w:p w:rsidR="000A156F" w:rsidRDefault="00A9721F">
            <w:pPr>
              <w:pStyle w:val="TableBodyText"/>
            </w:pPr>
            <w:r>
              <w:t>OpenUpPara</w:t>
            </w:r>
          </w:p>
        </w:tc>
        <w:tc>
          <w:tcPr>
            <w:tcW w:w="0" w:type="auto"/>
            <w:vAlign w:val="center"/>
          </w:tcPr>
          <w:p w:rsidR="000A156F" w:rsidRDefault="00A9721F">
            <w:pPr>
              <w:pStyle w:val="TableBodyText"/>
            </w:pPr>
            <w:r>
              <w:t>0042</w:t>
            </w:r>
          </w:p>
        </w:tc>
      </w:tr>
      <w:tr w:rsidR="000A156F" w:rsidTr="000A156F">
        <w:tc>
          <w:tcPr>
            <w:tcW w:w="0" w:type="auto"/>
            <w:vAlign w:val="center"/>
          </w:tcPr>
          <w:p w:rsidR="000A156F" w:rsidRDefault="00A9721F">
            <w:pPr>
              <w:pStyle w:val="TableBodyText"/>
            </w:pPr>
            <w:r>
              <w:t>Organizer</w:t>
            </w:r>
          </w:p>
        </w:tc>
        <w:tc>
          <w:tcPr>
            <w:tcW w:w="0" w:type="auto"/>
            <w:vAlign w:val="center"/>
          </w:tcPr>
          <w:p w:rsidR="000A156F" w:rsidRDefault="00A9721F">
            <w:pPr>
              <w:pStyle w:val="TableBodyText"/>
            </w:pPr>
            <w:r>
              <w:t>00DE</w:t>
            </w:r>
          </w:p>
        </w:tc>
      </w:tr>
      <w:tr w:rsidR="000A156F" w:rsidTr="000A156F">
        <w:tc>
          <w:tcPr>
            <w:tcW w:w="0" w:type="auto"/>
            <w:vAlign w:val="center"/>
          </w:tcPr>
          <w:p w:rsidR="000A156F" w:rsidRDefault="00A9721F">
            <w:pPr>
              <w:pStyle w:val="TableBodyText"/>
            </w:pPr>
            <w:r>
              <w:t>OtherPane</w:t>
            </w:r>
          </w:p>
        </w:tc>
        <w:tc>
          <w:tcPr>
            <w:tcW w:w="0" w:type="auto"/>
            <w:vAlign w:val="center"/>
          </w:tcPr>
          <w:p w:rsidR="000A156F" w:rsidRDefault="00A9721F">
            <w:pPr>
              <w:pStyle w:val="TableBodyText"/>
            </w:pPr>
            <w:r>
              <w:t>0015</w:t>
            </w:r>
          </w:p>
        </w:tc>
      </w:tr>
      <w:tr w:rsidR="000A156F" w:rsidTr="000A156F">
        <w:tc>
          <w:tcPr>
            <w:tcW w:w="0" w:type="auto"/>
            <w:vAlign w:val="center"/>
          </w:tcPr>
          <w:p w:rsidR="000A156F" w:rsidRDefault="00A9721F">
            <w:pPr>
              <w:pStyle w:val="TableBodyText"/>
            </w:pPr>
            <w:r>
              <w:t>OutlineCollapse</w:t>
            </w:r>
          </w:p>
        </w:tc>
        <w:tc>
          <w:tcPr>
            <w:tcW w:w="0" w:type="auto"/>
            <w:vAlign w:val="center"/>
          </w:tcPr>
          <w:p w:rsidR="000A156F" w:rsidRDefault="00A9721F">
            <w:pPr>
              <w:pStyle w:val="TableBodyText"/>
            </w:pPr>
            <w:r>
              <w:t>00FA</w:t>
            </w:r>
          </w:p>
        </w:tc>
      </w:tr>
      <w:tr w:rsidR="000A156F" w:rsidTr="000A156F">
        <w:tc>
          <w:tcPr>
            <w:tcW w:w="0" w:type="auto"/>
            <w:vAlign w:val="center"/>
          </w:tcPr>
          <w:p w:rsidR="000A156F" w:rsidRDefault="00A9721F">
            <w:pPr>
              <w:pStyle w:val="TableBodyText"/>
            </w:pPr>
            <w:r>
              <w:t>OutlineDemote</w:t>
            </w:r>
          </w:p>
        </w:tc>
        <w:tc>
          <w:tcPr>
            <w:tcW w:w="0" w:type="auto"/>
            <w:vAlign w:val="center"/>
          </w:tcPr>
          <w:p w:rsidR="000A156F" w:rsidRDefault="00A9721F">
            <w:pPr>
              <w:pStyle w:val="TableBodyText"/>
            </w:pPr>
            <w:r>
              <w:t>00F5</w:t>
            </w:r>
          </w:p>
        </w:tc>
      </w:tr>
      <w:tr w:rsidR="000A156F" w:rsidTr="000A156F">
        <w:tc>
          <w:tcPr>
            <w:tcW w:w="0" w:type="auto"/>
            <w:vAlign w:val="center"/>
          </w:tcPr>
          <w:p w:rsidR="000A156F" w:rsidRDefault="00A9721F">
            <w:pPr>
              <w:pStyle w:val="TableBodyText"/>
            </w:pPr>
            <w:r>
              <w:t>OutlineExpand</w:t>
            </w:r>
          </w:p>
        </w:tc>
        <w:tc>
          <w:tcPr>
            <w:tcW w:w="0" w:type="auto"/>
            <w:vAlign w:val="center"/>
          </w:tcPr>
          <w:p w:rsidR="000A156F" w:rsidRDefault="00A9721F">
            <w:pPr>
              <w:pStyle w:val="TableBodyText"/>
            </w:pPr>
            <w:r>
              <w:t>00F9</w:t>
            </w:r>
          </w:p>
        </w:tc>
      </w:tr>
      <w:tr w:rsidR="000A156F" w:rsidTr="000A156F">
        <w:tc>
          <w:tcPr>
            <w:tcW w:w="0" w:type="auto"/>
            <w:vAlign w:val="center"/>
          </w:tcPr>
          <w:p w:rsidR="000A156F" w:rsidRDefault="00A9721F">
            <w:pPr>
              <w:pStyle w:val="TableBodyText"/>
            </w:pPr>
            <w:r>
              <w:t>OutlineLevel</w:t>
            </w:r>
          </w:p>
        </w:tc>
        <w:tc>
          <w:tcPr>
            <w:tcW w:w="0" w:type="auto"/>
            <w:vAlign w:val="center"/>
          </w:tcPr>
          <w:p w:rsidR="000A156F" w:rsidRDefault="00A9721F">
            <w:pPr>
              <w:pStyle w:val="TableBodyText"/>
            </w:pPr>
            <w:r>
              <w:t>056F</w:t>
            </w:r>
          </w:p>
        </w:tc>
      </w:tr>
      <w:tr w:rsidR="000A156F" w:rsidTr="000A156F">
        <w:tc>
          <w:tcPr>
            <w:tcW w:w="0" w:type="auto"/>
            <w:vAlign w:val="center"/>
          </w:tcPr>
          <w:p w:rsidR="000A156F" w:rsidRDefault="00A9721F">
            <w:pPr>
              <w:pStyle w:val="TableBodyText"/>
            </w:pPr>
            <w:r>
              <w:t>OutlineLevelGallery</w:t>
            </w:r>
          </w:p>
        </w:tc>
        <w:tc>
          <w:tcPr>
            <w:tcW w:w="0" w:type="auto"/>
            <w:vAlign w:val="center"/>
          </w:tcPr>
          <w:p w:rsidR="000A156F" w:rsidRDefault="00A9721F">
            <w:pPr>
              <w:pStyle w:val="TableBodyText"/>
            </w:pPr>
            <w:r>
              <w:t>082F</w:t>
            </w:r>
          </w:p>
        </w:tc>
      </w:tr>
      <w:tr w:rsidR="000A156F" w:rsidTr="000A156F">
        <w:tc>
          <w:tcPr>
            <w:tcW w:w="0" w:type="auto"/>
            <w:vAlign w:val="center"/>
          </w:tcPr>
          <w:p w:rsidR="000A156F" w:rsidRDefault="00A9721F">
            <w:pPr>
              <w:pStyle w:val="TableBodyText"/>
            </w:pPr>
            <w:r>
              <w:t>OutlineMoveDown</w:t>
            </w:r>
          </w:p>
        </w:tc>
        <w:tc>
          <w:tcPr>
            <w:tcW w:w="0" w:type="auto"/>
            <w:vAlign w:val="center"/>
          </w:tcPr>
          <w:p w:rsidR="000A156F" w:rsidRDefault="00A9721F">
            <w:pPr>
              <w:pStyle w:val="TableBodyText"/>
            </w:pPr>
            <w:r>
              <w:t>00F7</w:t>
            </w:r>
          </w:p>
        </w:tc>
      </w:tr>
      <w:tr w:rsidR="000A156F" w:rsidTr="000A156F">
        <w:tc>
          <w:tcPr>
            <w:tcW w:w="0" w:type="auto"/>
            <w:vAlign w:val="center"/>
          </w:tcPr>
          <w:p w:rsidR="000A156F" w:rsidRDefault="00A9721F">
            <w:pPr>
              <w:pStyle w:val="TableBodyText"/>
            </w:pPr>
            <w:r>
              <w:t>OutlineMoveUp</w:t>
            </w:r>
          </w:p>
        </w:tc>
        <w:tc>
          <w:tcPr>
            <w:tcW w:w="0" w:type="auto"/>
            <w:vAlign w:val="center"/>
          </w:tcPr>
          <w:p w:rsidR="000A156F" w:rsidRDefault="00A9721F">
            <w:pPr>
              <w:pStyle w:val="TableBodyText"/>
            </w:pPr>
            <w:r>
              <w:t>00F6</w:t>
            </w:r>
          </w:p>
        </w:tc>
      </w:tr>
      <w:tr w:rsidR="000A156F" w:rsidTr="000A156F">
        <w:tc>
          <w:tcPr>
            <w:tcW w:w="0" w:type="auto"/>
            <w:vAlign w:val="center"/>
          </w:tcPr>
          <w:p w:rsidR="000A156F" w:rsidRDefault="00A9721F">
            <w:pPr>
              <w:pStyle w:val="TableBodyText"/>
            </w:pPr>
            <w:r>
              <w:t>OutlineNumberingGallery</w:t>
            </w:r>
          </w:p>
        </w:tc>
        <w:tc>
          <w:tcPr>
            <w:tcW w:w="0" w:type="auto"/>
            <w:vAlign w:val="center"/>
          </w:tcPr>
          <w:p w:rsidR="000A156F" w:rsidRDefault="00A9721F">
            <w:pPr>
              <w:pStyle w:val="TableBodyText"/>
            </w:pPr>
            <w:r>
              <w:t>0879</w:t>
            </w:r>
          </w:p>
        </w:tc>
      </w:tr>
      <w:tr w:rsidR="000A156F" w:rsidTr="000A156F">
        <w:tc>
          <w:tcPr>
            <w:tcW w:w="0" w:type="auto"/>
            <w:vAlign w:val="center"/>
          </w:tcPr>
          <w:p w:rsidR="000A156F" w:rsidRDefault="00A9721F">
            <w:pPr>
              <w:pStyle w:val="TableBodyText"/>
            </w:pPr>
            <w:r>
              <w:t>OutlinePromote</w:t>
            </w:r>
          </w:p>
        </w:tc>
        <w:tc>
          <w:tcPr>
            <w:tcW w:w="0" w:type="auto"/>
            <w:vAlign w:val="center"/>
          </w:tcPr>
          <w:p w:rsidR="000A156F" w:rsidRDefault="00A9721F">
            <w:pPr>
              <w:pStyle w:val="TableBodyText"/>
            </w:pPr>
            <w:r>
              <w:t>00F4</w:t>
            </w:r>
          </w:p>
        </w:tc>
      </w:tr>
      <w:tr w:rsidR="000A156F" w:rsidTr="000A156F">
        <w:tc>
          <w:tcPr>
            <w:tcW w:w="0" w:type="auto"/>
            <w:vAlign w:val="center"/>
          </w:tcPr>
          <w:p w:rsidR="000A156F" w:rsidRDefault="00A9721F">
            <w:pPr>
              <w:pStyle w:val="TableBodyText"/>
            </w:pPr>
            <w:r>
              <w:t>OutlinePromoteHeading1</w:t>
            </w:r>
          </w:p>
        </w:tc>
        <w:tc>
          <w:tcPr>
            <w:tcW w:w="0" w:type="auto"/>
            <w:vAlign w:val="center"/>
          </w:tcPr>
          <w:p w:rsidR="000A156F" w:rsidRDefault="00A9721F">
            <w:pPr>
              <w:pStyle w:val="TableBodyText"/>
            </w:pPr>
            <w:r>
              <w:t>0550</w:t>
            </w:r>
          </w:p>
        </w:tc>
      </w:tr>
      <w:tr w:rsidR="000A156F" w:rsidTr="000A156F">
        <w:tc>
          <w:tcPr>
            <w:tcW w:w="0" w:type="auto"/>
            <w:vAlign w:val="center"/>
          </w:tcPr>
          <w:p w:rsidR="000A156F" w:rsidRDefault="00A9721F">
            <w:pPr>
              <w:pStyle w:val="TableBodyText"/>
            </w:pPr>
            <w:r>
              <w:t>OutlineShowFirstLine</w:t>
            </w:r>
          </w:p>
        </w:tc>
        <w:tc>
          <w:tcPr>
            <w:tcW w:w="0" w:type="auto"/>
            <w:vAlign w:val="center"/>
          </w:tcPr>
          <w:p w:rsidR="000A156F" w:rsidRDefault="00A9721F">
            <w:pPr>
              <w:pStyle w:val="TableBodyText"/>
            </w:pPr>
            <w:r>
              <w:t>0105</w:t>
            </w:r>
          </w:p>
        </w:tc>
      </w:tr>
      <w:tr w:rsidR="000A156F" w:rsidTr="000A156F">
        <w:tc>
          <w:tcPr>
            <w:tcW w:w="0" w:type="auto"/>
            <w:vAlign w:val="center"/>
          </w:tcPr>
          <w:p w:rsidR="000A156F" w:rsidRDefault="00A9721F">
            <w:pPr>
              <w:pStyle w:val="TableBodyText"/>
            </w:pPr>
            <w:r>
              <w:t>OutlineShowFormat</w:t>
            </w:r>
          </w:p>
        </w:tc>
        <w:tc>
          <w:tcPr>
            <w:tcW w:w="0" w:type="auto"/>
            <w:vAlign w:val="center"/>
          </w:tcPr>
          <w:p w:rsidR="000A156F" w:rsidRDefault="00A9721F">
            <w:pPr>
              <w:pStyle w:val="TableBodyText"/>
            </w:pPr>
            <w:r>
              <w:t>0106</w:t>
            </w:r>
          </w:p>
        </w:tc>
      </w:tr>
      <w:tr w:rsidR="000A156F" w:rsidTr="000A156F">
        <w:tc>
          <w:tcPr>
            <w:tcW w:w="0" w:type="auto"/>
            <w:vAlign w:val="center"/>
          </w:tcPr>
          <w:p w:rsidR="000A156F" w:rsidRDefault="00A9721F">
            <w:pPr>
              <w:pStyle w:val="TableBodyText"/>
            </w:pPr>
            <w:r>
              <w:t>OutlookInsertFile</w:t>
            </w:r>
          </w:p>
        </w:tc>
        <w:tc>
          <w:tcPr>
            <w:tcW w:w="0" w:type="auto"/>
            <w:vAlign w:val="center"/>
          </w:tcPr>
          <w:p w:rsidR="000A156F" w:rsidRDefault="00A9721F">
            <w:pPr>
              <w:pStyle w:val="TableBodyText"/>
            </w:pPr>
            <w:r>
              <w:t>0869</w:t>
            </w:r>
          </w:p>
        </w:tc>
      </w:tr>
      <w:tr w:rsidR="000A156F" w:rsidTr="000A156F">
        <w:tc>
          <w:tcPr>
            <w:tcW w:w="0" w:type="auto"/>
            <w:vAlign w:val="center"/>
          </w:tcPr>
          <w:p w:rsidR="000A156F" w:rsidRDefault="00A9721F">
            <w:pPr>
              <w:pStyle w:val="TableBodyText"/>
            </w:pPr>
            <w:r>
              <w:lastRenderedPageBreak/>
              <w:t>OutlookInsertFile2</w:t>
            </w:r>
          </w:p>
        </w:tc>
        <w:tc>
          <w:tcPr>
            <w:tcW w:w="0" w:type="auto"/>
            <w:vAlign w:val="center"/>
          </w:tcPr>
          <w:p w:rsidR="000A156F" w:rsidRDefault="00A9721F">
            <w:pPr>
              <w:pStyle w:val="TableBodyText"/>
            </w:pPr>
            <w:r>
              <w:t>093F</w:t>
            </w:r>
          </w:p>
        </w:tc>
      </w:tr>
      <w:tr w:rsidR="000A156F" w:rsidTr="000A156F">
        <w:tc>
          <w:tcPr>
            <w:tcW w:w="0" w:type="auto"/>
            <w:vAlign w:val="center"/>
          </w:tcPr>
          <w:p w:rsidR="000A156F" w:rsidRDefault="00A9721F">
            <w:pPr>
              <w:pStyle w:val="TableBodyText"/>
            </w:pPr>
            <w:r>
              <w:t>OutlookViewZoom</w:t>
            </w:r>
          </w:p>
        </w:tc>
        <w:tc>
          <w:tcPr>
            <w:tcW w:w="0" w:type="auto"/>
            <w:vAlign w:val="center"/>
          </w:tcPr>
          <w:p w:rsidR="000A156F" w:rsidRDefault="00A9721F">
            <w:pPr>
              <w:pStyle w:val="TableBodyText"/>
            </w:pPr>
            <w:r>
              <w:t>0889</w:t>
            </w:r>
          </w:p>
        </w:tc>
      </w:tr>
      <w:tr w:rsidR="000A156F" w:rsidTr="000A156F">
        <w:tc>
          <w:tcPr>
            <w:tcW w:w="0" w:type="auto"/>
            <w:vAlign w:val="center"/>
          </w:tcPr>
          <w:p w:rsidR="000A156F" w:rsidRDefault="00A9721F">
            <w:pPr>
              <w:pStyle w:val="TableBodyText"/>
            </w:pPr>
            <w:r>
              <w:t>Overtype</w:t>
            </w:r>
          </w:p>
        </w:tc>
        <w:tc>
          <w:tcPr>
            <w:tcW w:w="0" w:type="auto"/>
            <w:vAlign w:val="center"/>
          </w:tcPr>
          <w:p w:rsidR="000A156F" w:rsidRDefault="00A9721F">
            <w:pPr>
              <w:pStyle w:val="TableBodyText"/>
            </w:pPr>
            <w:r>
              <w:t>000D</w:t>
            </w:r>
          </w:p>
        </w:tc>
      </w:tr>
      <w:tr w:rsidR="000A156F" w:rsidTr="000A156F">
        <w:tc>
          <w:tcPr>
            <w:tcW w:w="0" w:type="auto"/>
            <w:vAlign w:val="center"/>
          </w:tcPr>
          <w:p w:rsidR="000A156F" w:rsidRDefault="00A9721F">
            <w:pPr>
              <w:pStyle w:val="TableBodyText"/>
            </w:pPr>
            <w:r>
              <w:t>PPPropertyEditorDlg</w:t>
            </w:r>
          </w:p>
        </w:tc>
        <w:tc>
          <w:tcPr>
            <w:tcW w:w="0" w:type="auto"/>
            <w:vAlign w:val="center"/>
          </w:tcPr>
          <w:p w:rsidR="000A156F" w:rsidRDefault="00A9721F">
            <w:pPr>
              <w:pStyle w:val="TableBodyText"/>
            </w:pPr>
            <w:r>
              <w:t>1BE3</w:t>
            </w:r>
          </w:p>
        </w:tc>
      </w:tr>
      <w:tr w:rsidR="000A156F" w:rsidTr="000A156F">
        <w:tc>
          <w:tcPr>
            <w:tcW w:w="0" w:type="auto"/>
            <w:vAlign w:val="center"/>
          </w:tcPr>
          <w:p w:rsidR="000A156F" w:rsidRDefault="00A9721F">
            <w:pPr>
              <w:pStyle w:val="TableBodyText"/>
            </w:pPr>
            <w:r>
              <w:t>PageDown</w:t>
            </w:r>
          </w:p>
        </w:tc>
        <w:tc>
          <w:tcPr>
            <w:tcW w:w="0" w:type="auto"/>
            <w:vAlign w:val="center"/>
          </w:tcPr>
          <w:p w:rsidR="000A156F" w:rsidRDefault="00A9721F">
            <w:pPr>
              <w:pStyle w:val="TableBodyText"/>
            </w:pPr>
            <w:r>
              <w:t>0FAB</w:t>
            </w:r>
          </w:p>
        </w:tc>
      </w:tr>
      <w:tr w:rsidR="000A156F" w:rsidTr="000A156F">
        <w:tc>
          <w:tcPr>
            <w:tcW w:w="0" w:type="auto"/>
            <w:vAlign w:val="center"/>
          </w:tcPr>
          <w:p w:rsidR="000A156F" w:rsidRDefault="00A9721F">
            <w:pPr>
              <w:pStyle w:val="TableBodyText"/>
            </w:pPr>
            <w:r>
              <w:t>PageDownExtend</w:t>
            </w:r>
          </w:p>
        </w:tc>
        <w:tc>
          <w:tcPr>
            <w:tcW w:w="0" w:type="auto"/>
            <w:vAlign w:val="center"/>
          </w:tcPr>
          <w:p w:rsidR="000A156F" w:rsidRDefault="00A9721F">
            <w:pPr>
              <w:pStyle w:val="TableBodyText"/>
            </w:pPr>
            <w:r>
              <w:t>0FBD</w:t>
            </w:r>
          </w:p>
        </w:tc>
      </w:tr>
      <w:tr w:rsidR="000A156F" w:rsidTr="000A156F">
        <w:tc>
          <w:tcPr>
            <w:tcW w:w="0" w:type="auto"/>
            <w:vAlign w:val="center"/>
          </w:tcPr>
          <w:p w:rsidR="000A156F" w:rsidRDefault="00A9721F">
            <w:pPr>
              <w:pStyle w:val="TableBodyText"/>
            </w:pPr>
            <w:r>
              <w:t>PageMarginsGallery</w:t>
            </w:r>
          </w:p>
        </w:tc>
        <w:tc>
          <w:tcPr>
            <w:tcW w:w="0" w:type="auto"/>
            <w:vAlign w:val="center"/>
          </w:tcPr>
          <w:p w:rsidR="000A156F" w:rsidRDefault="00A9721F">
            <w:pPr>
              <w:pStyle w:val="TableBodyText"/>
            </w:pPr>
            <w:r>
              <w:t>07B1</w:t>
            </w:r>
          </w:p>
        </w:tc>
      </w:tr>
      <w:tr w:rsidR="000A156F" w:rsidTr="000A156F">
        <w:tc>
          <w:tcPr>
            <w:tcW w:w="0" w:type="auto"/>
            <w:vAlign w:val="center"/>
          </w:tcPr>
          <w:p w:rsidR="000A156F" w:rsidRDefault="00A9721F">
            <w:pPr>
              <w:pStyle w:val="TableBodyText"/>
            </w:pPr>
            <w:r>
              <w:t>PageOrientationGallery</w:t>
            </w:r>
          </w:p>
        </w:tc>
        <w:tc>
          <w:tcPr>
            <w:tcW w:w="0" w:type="auto"/>
            <w:vAlign w:val="center"/>
          </w:tcPr>
          <w:p w:rsidR="000A156F" w:rsidRDefault="00A9721F">
            <w:pPr>
              <w:pStyle w:val="TableBodyText"/>
            </w:pPr>
            <w:r>
              <w:t>079B</w:t>
            </w:r>
          </w:p>
        </w:tc>
      </w:tr>
      <w:tr w:rsidR="000A156F" w:rsidTr="000A156F">
        <w:tc>
          <w:tcPr>
            <w:tcW w:w="0" w:type="auto"/>
            <w:vAlign w:val="center"/>
          </w:tcPr>
          <w:p w:rsidR="000A156F" w:rsidRDefault="00A9721F">
            <w:pPr>
              <w:pStyle w:val="TableBodyText"/>
            </w:pPr>
            <w:r>
              <w:t>PageSetupLayout</w:t>
            </w:r>
          </w:p>
        </w:tc>
        <w:tc>
          <w:tcPr>
            <w:tcW w:w="0" w:type="auto"/>
            <w:vAlign w:val="center"/>
          </w:tcPr>
          <w:p w:rsidR="000A156F" w:rsidRDefault="00A9721F">
            <w:pPr>
              <w:pStyle w:val="TableBodyText"/>
            </w:pPr>
            <w:r>
              <w:t>10F7</w:t>
            </w:r>
          </w:p>
        </w:tc>
      </w:tr>
      <w:tr w:rsidR="000A156F" w:rsidTr="000A156F">
        <w:tc>
          <w:tcPr>
            <w:tcW w:w="0" w:type="auto"/>
            <w:vAlign w:val="center"/>
          </w:tcPr>
          <w:p w:rsidR="000A156F" w:rsidRDefault="00A9721F">
            <w:pPr>
              <w:pStyle w:val="TableBodyText"/>
            </w:pPr>
            <w:r>
              <w:t>PageSetupMargins</w:t>
            </w:r>
          </w:p>
        </w:tc>
        <w:tc>
          <w:tcPr>
            <w:tcW w:w="0" w:type="auto"/>
            <w:vAlign w:val="center"/>
          </w:tcPr>
          <w:p w:rsidR="000A156F" w:rsidRDefault="00A9721F">
            <w:pPr>
              <w:pStyle w:val="TableBodyText"/>
            </w:pPr>
            <w:r>
              <w:t>10F5</w:t>
            </w:r>
          </w:p>
        </w:tc>
      </w:tr>
      <w:tr w:rsidR="000A156F" w:rsidTr="000A156F">
        <w:tc>
          <w:tcPr>
            <w:tcW w:w="0" w:type="auto"/>
            <w:vAlign w:val="center"/>
          </w:tcPr>
          <w:p w:rsidR="000A156F" w:rsidRDefault="00A9721F">
            <w:pPr>
              <w:pStyle w:val="TableBodyText"/>
            </w:pPr>
            <w:r>
              <w:t>PageSetupPaper</w:t>
            </w:r>
          </w:p>
        </w:tc>
        <w:tc>
          <w:tcPr>
            <w:tcW w:w="0" w:type="auto"/>
            <w:vAlign w:val="center"/>
          </w:tcPr>
          <w:p w:rsidR="000A156F" w:rsidRDefault="00A9721F">
            <w:pPr>
              <w:pStyle w:val="TableBodyText"/>
            </w:pPr>
            <w:r>
              <w:t>10F6</w:t>
            </w:r>
          </w:p>
        </w:tc>
      </w:tr>
      <w:tr w:rsidR="000A156F" w:rsidTr="000A156F">
        <w:tc>
          <w:tcPr>
            <w:tcW w:w="0" w:type="auto"/>
            <w:vAlign w:val="center"/>
          </w:tcPr>
          <w:p w:rsidR="000A156F" w:rsidRDefault="00A9721F">
            <w:pPr>
              <w:pStyle w:val="TableBodyText"/>
            </w:pPr>
            <w:r>
              <w:t>PageSizeGallery</w:t>
            </w:r>
          </w:p>
        </w:tc>
        <w:tc>
          <w:tcPr>
            <w:tcW w:w="0" w:type="auto"/>
            <w:vAlign w:val="center"/>
          </w:tcPr>
          <w:p w:rsidR="000A156F" w:rsidRDefault="00A9721F">
            <w:pPr>
              <w:pStyle w:val="TableBodyText"/>
            </w:pPr>
            <w:r>
              <w:t>08D0</w:t>
            </w:r>
          </w:p>
        </w:tc>
      </w:tr>
      <w:tr w:rsidR="000A156F" w:rsidTr="000A156F">
        <w:tc>
          <w:tcPr>
            <w:tcW w:w="0" w:type="auto"/>
            <w:vAlign w:val="center"/>
          </w:tcPr>
          <w:p w:rsidR="000A156F" w:rsidRDefault="00A9721F">
            <w:pPr>
              <w:pStyle w:val="TableBodyText"/>
            </w:pPr>
            <w:r>
              <w:t>PageUp</w:t>
            </w:r>
          </w:p>
        </w:tc>
        <w:tc>
          <w:tcPr>
            <w:tcW w:w="0" w:type="auto"/>
            <w:vAlign w:val="center"/>
          </w:tcPr>
          <w:p w:rsidR="000A156F" w:rsidRDefault="00A9721F">
            <w:pPr>
              <w:pStyle w:val="TableBodyText"/>
            </w:pPr>
            <w:r>
              <w:t>0FAA</w:t>
            </w:r>
          </w:p>
        </w:tc>
      </w:tr>
      <w:tr w:rsidR="000A156F" w:rsidTr="000A156F">
        <w:tc>
          <w:tcPr>
            <w:tcW w:w="0" w:type="auto"/>
            <w:vAlign w:val="center"/>
          </w:tcPr>
          <w:p w:rsidR="000A156F" w:rsidRDefault="00A9721F">
            <w:pPr>
              <w:pStyle w:val="TableBodyText"/>
            </w:pPr>
            <w:r>
              <w:t>PageUpExtend</w:t>
            </w:r>
          </w:p>
        </w:tc>
        <w:tc>
          <w:tcPr>
            <w:tcW w:w="0" w:type="auto"/>
            <w:vAlign w:val="center"/>
          </w:tcPr>
          <w:p w:rsidR="000A156F" w:rsidRDefault="00A9721F">
            <w:pPr>
              <w:pStyle w:val="TableBodyText"/>
            </w:pPr>
            <w:r>
              <w:t>0FBC</w:t>
            </w:r>
          </w:p>
        </w:tc>
      </w:tr>
      <w:tr w:rsidR="000A156F" w:rsidTr="000A156F">
        <w:tc>
          <w:tcPr>
            <w:tcW w:w="0" w:type="auto"/>
            <w:vAlign w:val="center"/>
          </w:tcPr>
          <w:p w:rsidR="000A156F" w:rsidRDefault="00A9721F">
            <w:pPr>
              <w:pStyle w:val="TableBodyText"/>
            </w:pPr>
            <w:r>
              <w:t>ParaDown</w:t>
            </w:r>
          </w:p>
        </w:tc>
        <w:tc>
          <w:tcPr>
            <w:tcW w:w="0" w:type="auto"/>
            <w:vAlign w:val="center"/>
          </w:tcPr>
          <w:p w:rsidR="000A156F" w:rsidRDefault="00A9721F">
            <w:pPr>
              <w:pStyle w:val="TableBodyText"/>
            </w:pPr>
            <w:r>
              <w:t>0FA7</w:t>
            </w:r>
          </w:p>
        </w:tc>
      </w:tr>
      <w:tr w:rsidR="000A156F" w:rsidTr="000A156F">
        <w:tc>
          <w:tcPr>
            <w:tcW w:w="0" w:type="auto"/>
            <w:vAlign w:val="center"/>
          </w:tcPr>
          <w:p w:rsidR="000A156F" w:rsidRDefault="00A9721F">
            <w:pPr>
              <w:pStyle w:val="TableBodyText"/>
            </w:pPr>
            <w:r>
              <w:t>ParaDownExtend</w:t>
            </w:r>
          </w:p>
        </w:tc>
        <w:tc>
          <w:tcPr>
            <w:tcW w:w="0" w:type="auto"/>
            <w:vAlign w:val="center"/>
          </w:tcPr>
          <w:p w:rsidR="000A156F" w:rsidRDefault="00A9721F">
            <w:pPr>
              <w:pStyle w:val="TableBodyText"/>
            </w:pPr>
            <w:r>
              <w:t>0FB9</w:t>
            </w:r>
          </w:p>
        </w:tc>
      </w:tr>
      <w:tr w:rsidR="000A156F" w:rsidTr="000A156F">
        <w:tc>
          <w:tcPr>
            <w:tcW w:w="0" w:type="auto"/>
            <w:vAlign w:val="center"/>
          </w:tcPr>
          <w:p w:rsidR="000A156F" w:rsidRDefault="00A9721F">
            <w:pPr>
              <w:pStyle w:val="TableBodyText"/>
            </w:pPr>
            <w:r>
              <w:t>ParaKeepLinesTogether</w:t>
            </w:r>
          </w:p>
        </w:tc>
        <w:tc>
          <w:tcPr>
            <w:tcW w:w="0" w:type="auto"/>
            <w:vAlign w:val="center"/>
          </w:tcPr>
          <w:p w:rsidR="000A156F" w:rsidRDefault="00A9721F">
            <w:pPr>
              <w:pStyle w:val="TableBodyText"/>
            </w:pPr>
            <w:r>
              <w:t>026D</w:t>
            </w:r>
          </w:p>
        </w:tc>
      </w:tr>
      <w:tr w:rsidR="000A156F" w:rsidTr="000A156F">
        <w:tc>
          <w:tcPr>
            <w:tcW w:w="0" w:type="auto"/>
            <w:vAlign w:val="center"/>
          </w:tcPr>
          <w:p w:rsidR="000A156F" w:rsidRDefault="00A9721F">
            <w:pPr>
              <w:pStyle w:val="TableBodyText"/>
            </w:pPr>
            <w:r>
              <w:t>ParaKeepWithNext</w:t>
            </w:r>
          </w:p>
        </w:tc>
        <w:tc>
          <w:tcPr>
            <w:tcW w:w="0" w:type="auto"/>
            <w:vAlign w:val="center"/>
          </w:tcPr>
          <w:p w:rsidR="000A156F" w:rsidRDefault="00A9721F">
            <w:pPr>
              <w:pStyle w:val="TableBodyText"/>
            </w:pPr>
            <w:r>
              <w:t>026E</w:t>
            </w:r>
          </w:p>
        </w:tc>
      </w:tr>
      <w:tr w:rsidR="000A156F" w:rsidTr="000A156F">
        <w:tc>
          <w:tcPr>
            <w:tcW w:w="0" w:type="auto"/>
            <w:vAlign w:val="center"/>
          </w:tcPr>
          <w:p w:rsidR="000A156F" w:rsidRDefault="00A9721F">
            <w:pPr>
              <w:pStyle w:val="TableBodyText"/>
            </w:pPr>
            <w:r>
              <w:t>ParaPageBreakBefore</w:t>
            </w:r>
          </w:p>
        </w:tc>
        <w:tc>
          <w:tcPr>
            <w:tcW w:w="0" w:type="auto"/>
            <w:vAlign w:val="center"/>
          </w:tcPr>
          <w:p w:rsidR="000A156F" w:rsidRDefault="00A9721F">
            <w:pPr>
              <w:pStyle w:val="TableBodyText"/>
            </w:pPr>
            <w:r>
              <w:t>026F</w:t>
            </w:r>
          </w:p>
        </w:tc>
      </w:tr>
      <w:tr w:rsidR="000A156F" w:rsidTr="000A156F">
        <w:tc>
          <w:tcPr>
            <w:tcW w:w="0" w:type="auto"/>
            <w:vAlign w:val="center"/>
          </w:tcPr>
          <w:p w:rsidR="000A156F" w:rsidRDefault="00A9721F">
            <w:pPr>
              <w:pStyle w:val="TableBodyText"/>
            </w:pPr>
            <w:r>
              <w:t>ParaUp</w:t>
            </w:r>
          </w:p>
        </w:tc>
        <w:tc>
          <w:tcPr>
            <w:tcW w:w="0" w:type="auto"/>
            <w:vAlign w:val="center"/>
          </w:tcPr>
          <w:p w:rsidR="000A156F" w:rsidRDefault="00A9721F">
            <w:pPr>
              <w:pStyle w:val="TableBodyText"/>
            </w:pPr>
            <w:r>
              <w:t>0FA6</w:t>
            </w:r>
          </w:p>
        </w:tc>
      </w:tr>
      <w:tr w:rsidR="000A156F" w:rsidTr="000A156F">
        <w:tc>
          <w:tcPr>
            <w:tcW w:w="0" w:type="auto"/>
            <w:vAlign w:val="center"/>
          </w:tcPr>
          <w:p w:rsidR="000A156F" w:rsidRDefault="00A9721F">
            <w:pPr>
              <w:pStyle w:val="TableBodyText"/>
            </w:pPr>
            <w:r>
              <w:t>ParaUpExtend</w:t>
            </w:r>
          </w:p>
        </w:tc>
        <w:tc>
          <w:tcPr>
            <w:tcW w:w="0" w:type="auto"/>
            <w:vAlign w:val="center"/>
          </w:tcPr>
          <w:p w:rsidR="000A156F" w:rsidRDefault="00A9721F">
            <w:pPr>
              <w:pStyle w:val="TableBodyText"/>
            </w:pPr>
            <w:r>
              <w:t>0FB8</w:t>
            </w:r>
          </w:p>
        </w:tc>
      </w:tr>
      <w:tr w:rsidR="000A156F" w:rsidTr="000A156F">
        <w:tc>
          <w:tcPr>
            <w:tcW w:w="0" w:type="auto"/>
            <w:vAlign w:val="center"/>
          </w:tcPr>
          <w:p w:rsidR="000A156F" w:rsidRDefault="00A9721F">
            <w:pPr>
              <w:pStyle w:val="TableBodyText"/>
            </w:pPr>
            <w:r>
              <w:t>ParaWidowOrphanControl</w:t>
            </w:r>
          </w:p>
        </w:tc>
        <w:tc>
          <w:tcPr>
            <w:tcW w:w="0" w:type="auto"/>
            <w:vAlign w:val="center"/>
          </w:tcPr>
          <w:p w:rsidR="000A156F" w:rsidRDefault="00A9721F">
            <w:pPr>
              <w:pStyle w:val="TableBodyText"/>
            </w:pPr>
            <w:r>
              <w:t>0274</w:t>
            </w:r>
          </w:p>
        </w:tc>
      </w:tr>
      <w:tr w:rsidR="000A156F" w:rsidTr="000A156F">
        <w:tc>
          <w:tcPr>
            <w:tcW w:w="0" w:type="auto"/>
            <w:vAlign w:val="center"/>
          </w:tcPr>
          <w:p w:rsidR="000A156F" w:rsidRDefault="00A9721F">
            <w:pPr>
              <w:pStyle w:val="TableBodyText"/>
            </w:pPr>
            <w:r>
              <w:t>ParagraphRemoveStyle</w:t>
            </w:r>
          </w:p>
        </w:tc>
        <w:tc>
          <w:tcPr>
            <w:tcW w:w="0" w:type="auto"/>
            <w:vAlign w:val="center"/>
          </w:tcPr>
          <w:p w:rsidR="000A156F" w:rsidRDefault="00A9721F">
            <w:pPr>
              <w:pStyle w:val="TableBodyText"/>
            </w:pPr>
            <w:r>
              <w:t>092A</w:t>
            </w:r>
          </w:p>
        </w:tc>
      </w:tr>
      <w:tr w:rsidR="000A156F" w:rsidTr="000A156F">
        <w:tc>
          <w:tcPr>
            <w:tcW w:w="0" w:type="auto"/>
            <w:vAlign w:val="center"/>
          </w:tcPr>
          <w:p w:rsidR="000A156F" w:rsidRDefault="00A9721F">
            <w:pPr>
              <w:pStyle w:val="TableBodyText"/>
            </w:pPr>
            <w:r>
              <w:t>PasteButtonImage</w:t>
            </w:r>
          </w:p>
        </w:tc>
        <w:tc>
          <w:tcPr>
            <w:tcW w:w="0" w:type="auto"/>
            <w:vAlign w:val="center"/>
          </w:tcPr>
          <w:p w:rsidR="000A156F" w:rsidRDefault="00A9721F">
            <w:pPr>
              <w:pStyle w:val="TableBodyText"/>
            </w:pPr>
            <w:r>
              <w:t>020F</w:t>
            </w:r>
          </w:p>
        </w:tc>
      </w:tr>
      <w:tr w:rsidR="000A156F" w:rsidTr="000A156F">
        <w:tc>
          <w:tcPr>
            <w:tcW w:w="0" w:type="auto"/>
            <w:vAlign w:val="center"/>
          </w:tcPr>
          <w:p w:rsidR="000A156F" w:rsidRDefault="00A9721F">
            <w:pPr>
              <w:pStyle w:val="TableBodyText"/>
            </w:pPr>
            <w:r>
              <w:t>PasteFormat</w:t>
            </w:r>
          </w:p>
        </w:tc>
        <w:tc>
          <w:tcPr>
            <w:tcW w:w="0" w:type="auto"/>
            <w:vAlign w:val="center"/>
          </w:tcPr>
          <w:p w:rsidR="000A156F" w:rsidRDefault="00A9721F">
            <w:pPr>
              <w:pStyle w:val="TableBodyText"/>
            </w:pPr>
            <w:r>
              <w:t>01E6</w:t>
            </w:r>
          </w:p>
        </w:tc>
      </w:tr>
      <w:tr w:rsidR="000A156F" w:rsidTr="000A156F">
        <w:tc>
          <w:tcPr>
            <w:tcW w:w="0" w:type="auto"/>
            <w:vAlign w:val="center"/>
          </w:tcPr>
          <w:p w:rsidR="000A156F" w:rsidRDefault="00A9721F">
            <w:pPr>
              <w:pStyle w:val="TableBodyText"/>
            </w:pPr>
            <w:r>
              <w:t>PauseRecorder</w:t>
            </w:r>
          </w:p>
        </w:tc>
        <w:tc>
          <w:tcPr>
            <w:tcW w:w="0" w:type="auto"/>
            <w:vAlign w:val="center"/>
          </w:tcPr>
          <w:p w:rsidR="000A156F" w:rsidRDefault="00A9721F">
            <w:pPr>
              <w:pStyle w:val="TableBodyText"/>
            </w:pPr>
            <w:r>
              <w:t>00D8</w:t>
            </w:r>
          </w:p>
        </w:tc>
      </w:tr>
      <w:tr w:rsidR="000A156F" w:rsidTr="000A156F">
        <w:tc>
          <w:tcPr>
            <w:tcW w:w="0" w:type="auto"/>
            <w:vAlign w:val="center"/>
          </w:tcPr>
          <w:p w:rsidR="000A156F" w:rsidRDefault="00A9721F">
            <w:pPr>
              <w:pStyle w:val="TableBodyText"/>
            </w:pPr>
            <w:r>
              <w:t>PicturePositionGallery</w:t>
            </w:r>
          </w:p>
        </w:tc>
        <w:tc>
          <w:tcPr>
            <w:tcW w:w="0" w:type="auto"/>
            <w:vAlign w:val="center"/>
          </w:tcPr>
          <w:p w:rsidR="000A156F" w:rsidRDefault="00A9721F">
            <w:pPr>
              <w:pStyle w:val="TableBodyText"/>
            </w:pPr>
            <w:r>
              <w:t>08C3</w:t>
            </w:r>
          </w:p>
        </w:tc>
      </w:tr>
      <w:tr w:rsidR="000A156F" w:rsidTr="000A156F">
        <w:tc>
          <w:tcPr>
            <w:tcW w:w="0" w:type="auto"/>
            <w:vAlign w:val="center"/>
          </w:tcPr>
          <w:p w:rsidR="000A156F" w:rsidRDefault="00A9721F">
            <w:pPr>
              <w:pStyle w:val="TableBodyText"/>
            </w:pPr>
            <w:r>
              <w:t>PostcardWizard</w:t>
            </w:r>
          </w:p>
        </w:tc>
        <w:tc>
          <w:tcPr>
            <w:tcW w:w="0" w:type="auto"/>
            <w:vAlign w:val="center"/>
          </w:tcPr>
          <w:p w:rsidR="000A156F" w:rsidRDefault="00A9721F">
            <w:pPr>
              <w:pStyle w:val="TableBodyText"/>
            </w:pPr>
            <w:r>
              <w:t>03DC</w:t>
            </w:r>
          </w:p>
        </w:tc>
      </w:tr>
      <w:tr w:rsidR="000A156F" w:rsidTr="000A156F">
        <w:tc>
          <w:tcPr>
            <w:tcW w:w="0" w:type="auto"/>
            <w:vAlign w:val="center"/>
          </w:tcPr>
          <w:p w:rsidR="000A156F" w:rsidRDefault="00A9721F">
            <w:pPr>
              <w:pStyle w:val="TableBodyText"/>
            </w:pPr>
            <w:r>
              <w:t>PresentIt</w:t>
            </w:r>
          </w:p>
        </w:tc>
        <w:tc>
          <w:tcPr>
            <w:tcW w:w="0" w:type="auto"/>
            <w:vAlign w:val="center"/>
          </w:tcPr>
          <w:p w:rsidR="000A156F" w:rsidRDefault="00A9721F">
            <w:pPr>
              <w:pStyle w:val="TableBodyText"/>
            </w:pPr>
            <w:r>
              <w:t>03C9</w:t>
            </w:r>
          </w:p>
        </w:tc>
      </w:tr>
      <w:tr w:rsidR="000A156F" w:rsidTr="000A156F">
        <w:tc>
          <w:tcPr>
            <w:tcW w:w="0" w:type="auto"/>
            <w:vAlign w:val="center"/>
          </w:tcPr>
          <w:p w:rsidR="000A156F" w:rsidRDefault="00A9721F">
            <w:pPr>
              <w:pStyle w:val="TableBodyText"/>
            </w:pPr>
            <w:r>
              <w:t>PrevCell</w:t>
            </w:r>
          </w:p>
        </w:tc>
        <w:tc>
          <w:tcPr>
            <w:tcW w:w="0" w:type="auto"/>
            <w:vAlign w:val="center"/>
          </w:tcPr>
          <w:p w:rsidR="000A156F" w:rsidRDefault="00A9721F">
            <w:pPr>
              <w:pStyle w:val="TableBodyText"/>
            </w:pPr>
            <w:r>
              <w:t>010F</w:t>
            </w:r>
          </w:p>
        </w:tc>
      </w:tr>
      <w:tr w:rsidR="000A156F" w:rsidTr="000A156F">
        <w:tc>
          <w:tcPr>
            <w:tcW w:w="0" w:type="auto"/>
            <w:vAlign w:val="center"/>
          </w:tcPr>
          <w:p w:rsidR="000A156F" w:rsidRDefault="00A9721F">
            <w:pPr>
              <w:pStyle w:val="TableBodyText"/>
            </w:pPr>
            <w:r>
              <w:t>PrevField</w:t>
            </w:r>
          </w:p>
        </w:tc>
        <w:tc>
          <w:tcPr>
            <w:tcW w:w="0" w:type="auto"/>
            <w:vAlign w:val="center"/>
          </w:tcPr>
          <w:p w:rsidR="000A156F" w:rsidRDefault="00A9721F">
            <w:pPr>
              <w:pStyle w:val="TableBodyText"/>
            </w:pPr>
            <w:r>
              <w:t>001A</w:t>
            </w:r>
          </w:p>
        </w:tc>
      </w:tr>
      <w:tr w:rsidR="000A156F" w:rsidTr="000A156F">
        <w:tc>
          <w:tcPr>
            <w:tcW w:w="0" w:type="auto"/>
            <w:vAlign w:val="center"/>
          </w:tcPr>
          <w:p w:rsidR="000A156F" w:rsidRDefault="00A9721F">
            <w:pPr>
              <w:pStyle w:val="TableBodyText"/>
            </w:pPr>
            <w:r>
              <w:t>PrevObject</w:t>
            </w:r>
          </w:p>
        </w:tc>
        <w:tc>
          <w:tcPr>
            <w:tcW w:w="0" w:type="auto"/>
            <w:vAlign w:val="center"/>
          </w:tcPr>
          <w:p w:rsidR="000A156F" w:rsidRDefault="00A9721F">
            <w:pPr>
              <w:pStyle w:val="TableBodyText"/>
            </w:pPr>
            <w:r>
              <w:t>004D</w:t>
            </w:r>
          </w:p>
        </w:tc>
      </w:tr>
      <w:tr w:rsidR="000A156F" w:rsidTr="000A156F">
        <w:tc>
          <w:tcPr>
            <w:tcW w:w="0" w:type="auto"/>
            <w:vAlign w:val="center"/>
          </w:tcPr>
          <w:p w:rsidR="000A156F" w:rsidRDefault="00A9721F">
            <w:pPr>
              <w:pStyle w:val="TableBodyText"/>
            </w:pPr>
            <w:r>
              <w:lastRenderedPageBreak/>
              <w:t>PrevPage</w:t>
            </w:r>
          </w:p>
        </w:tc>
        <w:tc>
          <w:tcPr>
            <w:tcW w:w="0" w:type="auto"/>
            <w:vAlign w:val="center"/>
          </w:tcPr>
          <w:p w:rsidR="000A156F" w:rsidRDefault="00A9721F">
            <w:pPr>
              <w:pStyle w:val="TableBodyText"/>
            </w:pPr>
            <w:r>
              <w:t>004A</w:t>
            </w:r>
          </w:p>
        </w:tc>
      </w:tr>
      <w:tr w:rsidR="000A156F" w:rsidTr="000A156F">
        <w:tc>
          <w:tcPr>
            <w:tcW w:w="0" w:type="auto"/>
            <w:vAlign w:val="center"/>
          </w:tcPr>
          <w:p w:rsidR="000A156F" w:rsidRDefault="00A9721F">
            <w:pPr>
              <w:pStyle w:val="TableBodyText"/>
            </w:pPr>
            <w:r>
              <w:t>PrevPane</w:t>
            </w:r>
          </w:p>
        </w:tc>
        <w:tc>
          <w:tcPr>
            <w:tcW w:w="0" w:type="auto"/>
            <w:vAlign w:val="center"/>
          </w:tcPr>
          <w:p w:rsidR="000A156F" w:rsidRDefault="00A9721F">
            <w:pPr>
              <w:pStyle w:val="TableBodyText"/>
            </w:pPr>
            <w:r>
              <w:t>099A</w:t>
            </w:r>
          </w:p>
        </w:tc>
      </w:tr>
      <w:tr w:rsidR="000A156F" w:rsidTr="000A156F">
        <w:tc>
          <w:tcPr>
            <w:tcW w:w="0" w:type="auto"/>
            <w:vAlign w:val="center"/>
          </w:tcPr>
          <w:p w:rsidR="000A156F" w:rsidRDefault="00A9721F">
            <w:pPr>
              <w:pStyle w:val="TableBodyText"/>
            </w:pPr>
            <w:r>
              <w:t>PrevWindow</w:t>
            </w:r>
          </w:p>
        </w:tc>
        <w:tc>
          <w:tcPr>
            <w:tcW w:w="0" w:type="auto"/>
            <w:vAlign w:val="center"/>
          </w:tcPr>
          <w:p w:rsidR="000A156F" w:rsidRDefault="00A9721F">
            <w:pPr>
              <w:pStyle w:val="TableBodyText"/>
            </w:pPr>
            <w:r>
              <w:t>0017</w:t>
            </w:r>
          </w:p>
        </w:tc>
      </w:tr>
      <w:tr w:rsidR="000A156F" w:rsidTr="000A156F">
        <w:tc>
          <w:tcPr>
            <w:tcW w:w="0" w:type="auto"/>
            <w:vAlign w:val="center"/>
          </w:tcPr>
          <w:p w:rsidR="000A156F" w:rsidRDefault="00A9721F">
            <w:pPr>
              <w:pStyle w:val="TableBodyText"/>
            </w:pPr>
            <w:r>
              <w:t>PreviousChangeOrComment</w:t>
            </w:r>
          </w:p>
        </w:tc>
        <w:tc>
          <w:tcPr>
            <w:tcW w:w="0" w:type="auto"/>
            <w:vAlign w:val="center"/>
          </w:tcPr>
          <w:p w:rsidR="000A156F" w:rsidRDefault="00A9721F">
            <w:pPr>
              <w:pStyle w:val="TableBodyText"/>
            </w:pPr>
            <w:r>
              <w:t>050D</w:t>
            </w:r>
          </w:p>
        </w:tc>
      </w:tr>
      <w:tr w:rsidR="000A156F" w:rsidTr="000A156F">
        <w:tc>
          <w:tcPr>
            <w:tcW w:w="0" w:type="auto"/>
            <w:vAlign w:val="center"/>
          </w:tcPr>
          <w:p w:rsidR="000A156F" w:rsidRDefault="00A9721F">
            <w:pPr>
              <w:pStyle w:val="TableBodyText"/>
            </w:pPr>
            <w:r>
              <w:t>PreviousComment</w:t>
            </w:r>
          </w:p>
        </w:tc>
        <w:tc>
          <w:tcPr>
            <w:tcW w:w="0" w:type="auto"/>
            <w:vAlign w:val="center"/>
          </w:tcPr>
          <w:p w:rsidR="000A156F" w:rsidRDefault="00A9721F">
            <w:pPr>
              <w:pStyle w:val="TableBodyText"/>
            </w:pPr>
            <w:r>
              <w:t>07DF</w:t>
            </w:r>
          </w:p>
        </w:tc>
      </w:tr>
      <w:tr w:rsidR="000A156F" w:rsidTr="000A156F">
        <w:tc>
          <w:tcPr>
            <w:tcW w:w="0" w:type="auto"/>
            <w:vAlign w:val="center"/>
          </w:tcPr>
          <w:p w:rsidR="000A156F" w:rsidRDefault="00A9721F">
            <w:pPr>
              <w:pStyle w:val="TableBodyText"/>
            </w:pPr>
            <w:r>
              <w:t>PrivFunctionkey1</w:t>
            </w:r>
          </w:p>
        </w:tc>
        <w:tc>
          <w:tcPr>
            <w:tcW w:w="0" w:type="auto"/>
            <w:vAlign w:val="center"/>
          </w:tcPr>
          <w:p w:rsidR="000A156F" w:rsidRDefault="00A9721F">
            <w:pPr>
              <w:pStyle w:val="TableBodyText"/>
            </w:pPr>
            <w:r>
              <w:t>0449</w:t>
            </w:r>
          </w:p>
        </w:tc>
      </w:tr>
      <w:tr w:rsidR="000A156F" w:rsidTr="000A156F">
        <w:tc>
          <w:tcPr>
            <w:tcW w:w="0" w:type="auto"/>
            <w:vAlign w:val="center"/>
          </w:tcPr>
          <w:p w:rsidR="000A156F" w:rsidRDefault="00A9721F">
            <w:pPr>
              <w:pStyle w:val="TableBodyText"/>
            </w:pPr>
            <w:r>
              <w:t>PrivFunctionkey10</w:t>
            </w:r>
          </w:p>
        </w:tc>
        <w:tc>
          <w:tcPr>
            <w:tcW w:w="0" w:type="auto"/>
            <w:vAlign w:val="center"/>
          </w:tcPr>
          <w:p w:rsidR="000A156F" w:rsidRDefault="00A9721F">
            <w:pPr>
              <w:pStyle w:val="TableBodyText"/>
            </w:pPr>
            <w:r>
              <w:t>0452</w:t>
            </w:r>
          </w:p>
        </w:tc>
      </w:tr>
      <w:tr w:rsidR="000A156F" w:rsidTr="000A156F">
        <w:tc>
          <w:tcPr>
            <w:tcW w:w="0" w:type="auto"/>
            <w:vAlign w:val="center"/>
          </w:tcPr>
          <w:p w:rsidR="000A156F" w:rsidRDefault="00A9721F">
            <w:pPr>
              <w:pStyle w:val="TableBodyText"/>
            </w:pPr>
            <w:r>
              <w:t>PrivFunctionkey11</w:t>
            </w:r>
          </w:p>
        </w:tc>
        <w:tc>
          <w:tcPr>
            <w:tcW w:w="0" w:type="auto"/>
            <w:vAlign w:val="center"/>
          </w:tcPr>
          <w:p w:rsidR="000A156F" w:rsidRDefault="00A9721F">
            <w:pPr>
              <w:pStyle w:val="TableBodyText"/>
            </w:pPr>
            <w:r>
              <w:t>0453</w:t>
            </w:r>
          </w:p>
        </w:tc>
      </w:tr>
      <w:tr w:rsidR="000A156F" w:rsidTr="000A156F">
        <w:tc>
          <w:tcPr>
            <w:tcW w:w="0" w:type="auto"/>
            <w:vAlign w:val="center"/>
          </w:tcPr>
          <w:p w:rsidR="000A156F" w:rsidRDefault="00A9721F">
            <w:pPr>
              <w:pStyle w:val="TableBodyText"/>
            </w:pPr>
            <w:r>
              <w:t>PrivFunctionkey12</w:t>
            </w:r>
          </w:p>
        </w:tc>
        <w:tc>
          <w:tcPr>
            <w:tcW w:w="0" w:type="auto"/>
            <w:vAlign w:val="center"/>
          </w:tcPr>
          <w:p w:rsidR="000A156F" w:rsidRDefault="00A9721F">
            <w:pPr>
              <w:pStyle w:val="TableBodyText"/>
            </w:pPr>
            <w:r>
              <w:t>0454</w:t>
            </w:r>
          </w:p>
        </w:tc>
      </w:tr>
      <w:tr w:rsidR="000A156F" w:rsidTr="000A156F">
        <w:tc>
          <w:tcPr>
            <w:tcW w:w="0" w:type="auto"/>
            <w:vAlign w:val="center"/>
          </w:tcPr>
          <w:p w:rsidR="000A156F" w:rsidRDefault="00A9721F">
            <w:pPr>
              <w:pStyle w:val="TableBodyText"/>
            </w:pPr>
            <w:r>
              <w:t>PrivFunctionkey2</w:t>
            </w:r>
          </w:p>
        </w:tc>
        <w:tc>
          <w:tcPr>
            <w:tcW w:w="0" w:type="auto"/>
            <w:vAlign w:val="center"/>
          </w:tcPr>
          <w:p w:rsidR="000A156F" w:rsidRDefault="00A9721F">
            <w:pPr>
              <w:pStyle w:val="TableBodyText"/>
            </w:pPr>
            <w:r>
              <w:t>044A</w:t>
            </w:r>
          </w:p>
        </w:tc>
      </w:tr>
      <w:tr w:rsidR="000A156F" w:rsidTr="000A156F">
        <w:tc>
          <w:tcPr>
            <w:tcW w:w="0" w:type="auto"/>
            <w:vAlign w:val="center"/>
          </w:tcPr>
          <w:p w:rsidR="000A156F" w:rsidRDefault="00A9721F">
            <w:pPr>
              <w:pStyle w:val="TableBodyText"/>
            </w:pPr>
            <w:r>
              <w:t>PrivFunctionkey3</w:t>
            </w:r>
          </w:p>
        </w:tc>
        <w:tc>
          <w:tcPr>
            <w:tcW w:w="0" w:type="auto"/>
            <w:vAlign w:val="center"/>
          </w:tcPr>
          <w:p w:rsidR="000A156F" w:rsidRDefault="00A9721F">
            <w:pPr>
              <w:pStyle w:val="TableBodyText"/>
            </w:pPr>
            <w:r>
              <w:t>044B</w:t>
            </w:r>
          </w:p>
        </w:tc>
      </w:tr>
      <w:tr w:rsidR="000A156F" w:rsidTr="000A156F">
        <w:tc>
          <w:tcPr>
            <w:tcW w:w="0" w:type="auto"/>
            <w:vAlign w:val="center"/>
          </w:tcPr>
          <w:p w:rsidR="000A156F" w:rsidRDefault="00A9721F">
            <w:pPr>
              <w:pStyle w:val="TableBodyText"/>
            </w:pPr>
            <w:r>
              <w:t>PrivFunctionkey4</w:t>
            </w:r>
          </w:p>
        </w:tc>
        <w:tc>
          <w:tcPr>
            <w:tcW w:w="0" w:type="auto"/>
            <w:vAlign w:val="center"/>
          </w:tcPr>
          <w:p w:rsidR="000A156F" w:rsidRDefault="00A9721F">
            <w:pPr>
              <w:pStyle w:val="TableBodyText"/>
            </w:pPr>
            <w:r>
              <w:t>044C</w:t>
            </w:r>
          </w:p>
        </w:tc>
      </w:tr>
      <w:tr w:rsidR="000A156F" w:rsidTr="000A156F">
        <w:tc>
          <w:tcPr>
            <w:tcW w:w="0" w:type="auto"/>
            <w:vAlign w:val="center"/>
          </w:tcPr>
          <w:p w:rsidR="000A156F" w:rsidRDefault="00A9721F">
            <w:pPr>
              <w:pStyle w:val="TableBodyText"/>
            </w:pPr>
            <w:r>
              <w:t>PrivFunctionkey5</w:t>
            </w:r>
          </w:p>
        </w:tc>
        <w:tc>
          <w:tcPr>
            <w:tcW w:w="0" w:type="auto"/>
            <w:vAlign w:val="center"/>
          </w:tcPr>
          <w:p w:rsidR="000A156F" w:rsidRDefault="00A9721F">
            <w:pPr>
              <w:pStyle w:val="TableBodyText"/>
            </w:pPr>
            <w:r>
              <w:t>044D</w:t>
            </w:r>
          </w:p>
        </w:tc>
      </w:tr>
      <w:tr w:rsidR="000A156F" w:rsidTr="000A156F">
        <w:tc>
          <w:tcPr>
            <w:tcW w:w="0" w:type="auto"/>
            <w:vAlign w:val="center"/>
          </w:tcPr>
          <w:p w:rsidR="000A156F" w:rsidRDefault="00A9721F">
            <w:pPr>
              <w:pStyle w:val="TableBodyText"/>
            </w:pPr>
            <w:r>
              <w:t>PrivFunctionkey6</w:t>
            </w:r>
          </w:p>
        </w:tc>
        <w:tc>
          <w:tcPr>
            <w:tcW w:w="0" w:type="auto"/>
            <w:vAlign w:val="center"/>
          </w:tcPr>
          <w:p w:rsidR="000A156F" w:rsidRDefault="00A9721F">
            <w:pPr>
              <w:pStyle w:val="TableBodyText"/>
            </w:pPr>
            <w:r>
              <w:t>044E</w:t>
            </w:r>
          </w:p>
        </w:tc>
      </w:tr>
      <w:tr w:rsidR="000A156F" w:rsidTr="000A156F">
        <w:tc>
          <w:tcPr>
            <w:tcW w:w="0" w:type="auto"/>
            <w:vAlign w:val="center"/>
          </w:tcPr>
          <w:p w:rsidR="000A156F" w:rsidRDefault="00A9721F">
            <w:pPr>
              <w:pStyle w:val="TableBodyText"/>
            </w:pPr>
            <w:r>
              <w:t>PrivFunctionkey7</w:t>
            </w:r>
          </w:p>
        </w:tc>
        <w:tc>
          <w:tcPr>
            <w:tcW w:w="0" w:type="auto"/>
            <w:vAlign w:val="center"/>
          </w:tcPr>
          <w:p w:rsidR="000A156F" w:rsidRDefault="00A9721F">
            <w:pPr>
              <w:pStyle w:val="TableBodyText"/>
            </w:pPr>
            <w:r>
              <w:t>044F</w:t>
            </w:r>
          </w:p>
        </w:tc>
      </w:tr>
      <w:tr w:rsidR="000A156F" w:rsidTr="000A156F">
        <w:tc>
          <w:tcPr>
            <w:tcW w:w="0" w:type="auto"/>
            <w:vAlign w:val="center"/>
          </w:tcPr>
          <w:p w:rsidR="000A156F" w:rsidRDefault="00A9721F">
            <w:pPr>
              <w:pStyle w:val="TableBodyText"/>
            </w:pPr>
            <w:r>
              <w:t>PrivFunctionkey8</w:t>
            </w:r>
          </w:p>
        </w:tc>
        <w:tc>
          <w:tcPr>
            <w:tcW w:w="0" w:type="auto"/>
            <w:vAlign w:val="center"/>
          </w:tcPr>
          <w:p w:rsidR="000A156F" w:rsidRDefault="00A9721F">
            <w:pPr>
              <w:pStyle w:val="TableBodyText"/>
            </w:pPr>
            <w:r>
              <w:t>0450</w:t>
            </w:r>
          </w:p>
        </w:tc>
      </w:tr>
      <w:tr w:rsidR="000A156F" w:rsidTr="000A156F">
        <w:tc>
          <w:tcPr>
            <w:tcW w:w="0" w:type="auto"/>
            <w:vAlign w:val="center"/>
          </w:tcPr>
          <w:p w:rsidR="000A156F" w:rsidRDefault="00A9721F">
            <w:pPr>
              <w:pStyle w:val="TableBodyText"/>
            </w:pPr>
            <w:r>
              <w:t>PrivFunctionkey9</w:t>
            </w:r>
          </w:p>
        </w:tc>
        <w:tc>
          <w:tcPr>
            <w:tcW w:w="0" w:type="auto"/>
            <w:vAlign w:val="center"/>
          </w:tcPr>
          <w:p w:rsidR="000A156F" w:rsidRDefault="00A9721F">
            <w:pPr>
              <w:pStyle w:val="TableBodyText"/>
            </w:pPr>
            <w:r>
              <w:t>0451</w:t>
            </w:r>
          </w:p>
        </w:tc>
      </w:tr>
      <w:tr w:rsidR="000A156F" w:rsidTr="000A156F">
        <w:tc>
          <w:tcPr>
            <w:tcW w:w="0" w:type="auto"/>
            <w:vAlign w:val="center"/>
          </w:tcPr>
          <w:p w:rsidR="000A156F" w:rsidRDefault="00A9721F">
            <w:pPr>
              <w:pStyle w:val="TableBodyText"/>
            </w:pPr>
            <w:r>
              <w:t>PromoteList</w:t>
            </w:r>
          </w:p>
        </w:tc>
        <w:tc>
          <w:tcPr>
            <w:tcW w:w="0" w:type="auto"/>
            <w:vAlign w:val="center"/>
          </w:tcPr>
          <w:p w:rsidR="000A156F" w:rsidRDefault="00A9721F">
            <w:pPr>
              <w:pStyle w:val="TableBodyText"/>
            </w:pPr>
            <w:r>
              <w:t>024F</w:t>
            </w:r>
          </w:p>
        </w:tc>
      </w:tr>
      <w:tr w:rsidR="000A156F" w:rsidTr="000A156F">
        <w:tc>
          <w:tcPr>
            <w:tcW w:w="0" w:type="auto"/>
            <w:vAlign w:val="center"/>
          </w:tcPr>
          <w:p w:rsidR="000A156F" w:rsidRDefault="00A9721F">
            <w:pPr>
              <w:pStyle w:val="TableBodyText"/>
            </w:pPr>
            <w:r>
              <w:t>PropertiesGallery</w:t>
            </w:r>
          </w:p>
        </w:tc>
        <w:tc>
          <w:tcPr>
            <w:tcW w:w="0" w:type="auto"/>
            <w:vAlign w:val="center"/>
          </w:tcPr>
          <w:p w:rsidR="000A156F" w:rsidRDefault="00A9721F">
            <w:pPr>
              <w:pStyle w:val="TableBodyText"/>
            </w:pPr>
            <w:r>
              <w:t>087D</w:t>
            </w:r>
          </w:p>
        </w:tc>
      </w:tr>
      <w:tr w:rsidR="000A156F" w:rsidTr="000A156F">
        <w:tc>
          <w:tcPr>
            <w:tcW w:w="0" w:type="auto"/>
            <w:vAlign w:val="center"/>
          </w:tcPr>
          <w:p w:rsidR="000A156F" w:rsidRDefault="00A9721F">
            <w:pPr>
              <w:pStyle w:val="TableBodyText"/>
            </w:pPr>
            <w:r>
              <w:t>ProtectForm</w:t>
            </w:r>
          </w:p>
        </w:tc>
        <w:tc>
          <w:tcPr>
            <w:tcW w:w="0" w:type="auto"/>
            <w:vAlign w:val="center"/>
          </w:tcPr>
          <w:p w:rsidR="000A156F" w:rsidRDefault="00A9721F">
            <w:pPr>
              <w:pStyle w:val="TableBodyText"/>
            </w:pPr>
            <w:r>
              <w:t>0162</w:t>
            </w:r>
          </w:p>
        </w:tc>
      </w:tr>
      <w:tr w:rsidR="000A156F" w:rsidTr="000A156F">
        <w:tc>
          <w:tcPr>
            <w:tcW w:w="0" w:type="auto"/>
            <w:vAlign w:val="center"/>
          </w:tcPr>
          <w:p w:rsidR="000A156F" w:rsidRDefault="00A9721F">
            <w:pPr>
              <w:pStyle w:val="TableBodyText"/>
            </w:pPr>
            <w:r>
              <w:t>QFSetAsDefault</w:t>
            </w:r>
          </w:p>
        </w:tc>
        <w:tc>
          <w:tcPr>
            <w:tcW w:w="0" w:type="auto"/>
            <w:vAlign w:val="center"/>
          </w:tcPr>
          <w:p w:rsidR="000A156F" w:rsidRDefault="00A9721F">
            <w:pPr>
              <w:pStyle w:val="TableBodyText"/>
            </w:pPr>
            <w:r>
              <w:t>0986</w:t>
            </w:r>
          </w:p>
        </w:tc>
      </w:tr>
      <w:tr w:rsidR="000A156F" w:rsidTr="000A156F">
        <w:tc>
          <w:tcPr>
            <w:tcW w:w="0" w:type="auto"/>
            <w:vAlign w:val="center"/>
          </w:tcPr>
          <w:p w:rsidR="000A156F" w:rsidRDefault="00A9721F">
            <w:pPr>
              <w:pStyle w:val="TableBodyText"/>
            </w:pPr>
            <w:r>
              <w:t>QuickFormatsGallery</w:t>
            </w:r>
          </w:p>
        </w:tc>
        <w:tc>
          <w:tcPr>
            <w:tcW w:w="0" w:type="auto"/>
            <w:vAlign w:val="center"/>
          </w:tcPr>
          <w:p w:rsidR="000A156F" w:rsidRDefault="00A9721F">
            <w:pPr>
              <w:pStyle w:val="TableBodyText"/>
            </w:pPr>
            <w:r>
              <w:t>07A7</w:t>
            </w:r>
          </w:p>
        </w:tc>
      </w:tr>
      <w:tr w:rsidR="000A156F" w:rsidTr="000A156F">
        <w:tc>
          <w:tcPr>
            <w:tcW w:w="0" w:type="auto"/>
            <w:vAlign w:val="center"/>
          </w:tcPr>
          <w:p w:rsidR="000A156F" w:rsidRDefault="00A9721F">
            <w:pPr>
              <w:pStyle w:val="TableBodyText"/>
            </w:pPr>
            <w:r>
              <w:t>QuickFormatsThemeGallery</w:t>
            </w:r>
          </w:p>
        </w:tc>
        <w:tc>
          <w:tcPr>
            <w:tcW w:w="0" w:type="auto"/>
            <w:vAlign w:val="center"/>
          </w:tcPr>
          <w:p w:rsidR="000A156F" w:rsidRDefault="00A9721F">
            <w:pPr>
              <w:pStyle w:val="TableBodyText"/>
            </w:pPr>
            <w:r>
              <w:t>07A8</w:t>
            </w:r>
          </w:p>
        </w:tc>
      </w:tr>
      <w:tr w:rsidR="000A156F" w:rsidTr="000A156F">
        <w:tc>
          <w:tcPr>
            <w:tcW w:w="0" w:type="auto"/>
            <w:vAlign w:val="center"/>
          </w:tcPr>
          <w:p w:rsidR="000A156F" w:rsidRDefault="00A9721F">
            <w:pPr>
              <w:pStyle w:val="TableBodyText"/>
            </w:pPr>
            <w:r>
              <w:t>RTLMacroDialogs</w:t>
            </w:r>
          </w:p>
        </w:tc>
        <w:tc>
          <w:tcPr>
            <w:tcW w:w="0" w:type="auto"/>
            <w:vAlign w:val="center"/>
          </w:tcPr>
          <w:p w:rsidR="000A156F" w:rsidRDefault="00A9721F">
            <w:pPr>
              <w:pStyle w:val="TableBodyText"/>
            </w:pPr>
            <w:r>
              <w:t>0428</w:t>
            </w:r>
          </w:p>
        </w:tc>
      </w:tr>
      <w:tr w:rsidR="000A156F" w:rsidTr="000A156F">
        <w:tc>
          <w:tcPr>
            <w:tcW w:w="0" w:type="auto"/>
            <w:vAlign w:val="center"/>
          </w:tcPr>
          <w:p w:rsidR="000A156F" w:rsidRDefault="00A9721F">
            <w:pPr>
              <w:pStyle w:val="TableBodyText"/>
            </w:pPr>
            <w:r>
              <w:t>RaiseTextBaseline</w:t>
            </w:r>
          </w:p>
        </w:tc>
        <w:tc>
          <w:tcPr>
            <w:tcW w:w="0" w:type="auto"/>
            <w:vAlign w:val="center"/>
          </w:tcPr>
          <w:p w:rsidR="000A156F" w:rsidRDefault="00A9721F">
            <w:pPr>
              <w:pStyle w:val="TableBodyText"/>
            </w:pPr>
            <w:r>
              <w:t>099F</w:t>
            </w:r>
          </w:p>
        </w:tc>
      </w:tr>
      <w:tr w:rsidR="000A156F" w:rsidTr="000A156F">
        <w:tc>
          <w:tcPr>
            <w:tcW w:w="0" w:type="auto"/>
            <w:vAlign w:val="center"/>
          </w:tcPr>
          <w:p w:rsidR="000A156F" w:rsidRDefault="00A9721F">
            <w:pPr>
              <w:pStyle w:val="TableBodyText"/>
            </w:pPr>
            <w:r>
              <w:t>Raised</w:t>
            </w:r>
          </w:p>
        </w:tc>
        <w:tc>
          <w:tcPr>
            <w:tcW w:w="0" w:type="auto"/>
            <w:vAlign w:val="center"/>
          </w:tcPr>
          <w:p w:rsidR="000A156F" w:rsidRDefault="00A9721F">
            <w:pPr>
              <w:pStyle w:val="TableBodyText"/>
            </w:pPr>
            <w:r>
              <w:t>0217</w:t>
            </w:r>
          </w:p>
        </w:tc>
      </w:tr>
      <w:tr w:rsidR="000A156F" w:rsidTr="000A156F">
        <w:tc>
          <w:tcPr>
            <w:tcW w:w="0" w:type="auto"/>
            <w:vAlign w:val="center"/>
          </w:tcPr>
          <w:p w:rsidR="000A156F" w:rsidRDefault="00A9721F">
            <w:pPr>
              <w:pStyle w:val="TableBodyText"/>
            </w:pPr>
            <w:r>
              <w:t>ReadModeMarkupFinal</w:t>
            </w:r>
          </w:p>
        </w:tc>
        <w:tc>
          <w:tcPr>
            <w:tcW w:w="0" w:type="auto"/>
            <w:vAlign w:val="center"/>
          </w:tcPr>
          <w:p w:rsidR="000A156F" w:rsidRDefault="00A9721F">
            <w:pPr>
              <w:pStyle w:val="TableBodyText"/>
            </w:pPr>
            <w:r>
              <w:t>098E</w:t>
            </w:r>
          </w:p>
        </w:tc>
      </w:tr>
      <w:tr w:rsidR="000A156F" w:rsidTr="000A156F">
        <w:tc>
          <w:tcPr>
            <w:tcW w:w="0" w:type="auto"/>
            <w:vAlign w:val="center"/>
          </w:tcPr>
          <w:p w:rsidR="000A156F" w:rsidRDefault="00A9721F">
            <w:pPr>
              <w:pStyle w:val="TableBodyText"/>
            </w:pPr>
            <w:r>
              <w:t>ReadModeMarkupFinalMarkup</w:t>
            </w:r>
          </w:p>
        </w:tc>
        <w:tc>
          <w:tcPr>
            <w:tcW w:w="0" w:type="auto"/>
            <w:vAlign w:val="center"/>
          </w:tcPr>
          <w:p w:rsidR="000A156F" w:rsidRDefault="00A9721F">
            <w:pPr>
              <w:pStyle w:val="TableBodyText"/>
            </w:pPr>
            <w:r>
              <w:t>098F</w:t>
            </w:r>
          </w:p>
        </w:tc>
      </w:tr>
      <w:tr w:rsidR="000A156F" w:rsidTr="000A156F">
        <w:tc>
          <w:tcPr>
            <w:tcW w:w="0" w:type="auto"/>
            <w:vAlign w:val="center"/>
          </w:tcPr>
          <w:p w:rsidR="000A156F" w:rsidRDefault="00A9721F">
            <w:pPr>
              <w:pStyle w:val="TableBodyText"/>
            </w:pPr>
            <w:r>
              <w:t>ReadModeMarkupOriginal</w:t>
            </w:r>
          </w:p>
        </w:tc>
        <w:tc>
          <w:tcPr>
            <w:tcW w:w="0" w:type="auto"/>
            <w:vAlign w:val="center"/>
          </w:tcPr>
          <w:p w:rsidR="000A156F" w:rsidRDefault="00A9721F">
            <w:pPr>
              <w:pStyle w:val="TableBodyText"/>
            </w:pPr>
            <w:r>
              <w:t>0990</w:t>
            </w:r>
          </w:p>
        </w:tc>
      </w:tr>
      <w:tr w:rsidR="000A156F" w:rsidTr="000A156F">
        <w:tc>
          <w:tcPr>
            <w:tcW w:w="0" w:type="auto"/>
            <w:vAlign w:val="center"/>
          </w:tcPr>
          <w:p w:rsidR="000A156F" w:rsidRDefault="00A9721F">
            <w:pPr>
              <w:pStyle w:val="TableBodyText"/>
            </w:pPr>
            <w:r>
              <w:t>ReadModeMarkupOriginalMarkup</w:t>
            </w:r>
          </w:p>
        </w:tc>
        <w:tc>
          <w:tcPr>
            <w:tcW w:w="0" w:type="auto"/>
            <w:vAlign w:val="center"/>
          </w:tcPr>
          <w:p w:rsidR="000A156F" w:rsidRDefault="00A9721F">
            <w:pPr>
              <w:pStyle w:val="TableBodyText"/>
            </w:pPr>
            <w:r>
              <w:t>0991</w:t>
            </w:r>
          </w:p>
        </w:tc>
      </w:tr>
      <w:tr w:rsidR="000A156F" w:rsidTr="000A156F">
        <w:tc>
          <w:tcPr>
            <w:tcW w:w="0" w:type="auto"/>
            <w:vAlign w:val="center"/>
          </w:tcPr>
          <w:p w:rsidR="000A156F" w:rsidRDefault="00A9721F">
            <w:pPr>
              <w:pStyle w:val="TableBodyText"/>
            </w:pPr>
            <w:r>
              <w:t>ReadModeShowMarkup</w:t>
            </w:r>
          </w:p>
        </w:tc>
        <w:tc>
          <w:tcPr>
            <w:tcW w:w="0" w:type="auto"/>
            <w:vAlign w:val="center"/>
          </w:tcPr>
          <w:p w:rsidR="000A156F" w:rsidRDefault="00A9721F">
            <w:pPr>
              <w:pStyle w:val="TableBodyText"/>
            </w:pPr>
            <w:r>
              <w:t>098D</w:t>
            </w:r>
          </w:p>
        </w:tc>
      </w:tr>
      <w:tr w:rsidR="000A156F" w:rsidTr="000A156F">
        <w:tc>
          <w:tcPr>
            <w:tcW w:w="0" w:type="auto"/>
            <w:vAlign w:val="center"/>
          </w:tcPr>
          <w:p w:rsidR="000A156F" w:rsidRDefault="00A9721F">
            <w:pPr>
              <w:pStyle w:val="TableBodyText"/>
            </w:pPr>
            <w:r>
              <w:t>ReadingFlyoutAnchorShowAcetateMarkup</w:t>
            </w:r>
          </w:p>
        </w:tc>
        <w:tc>
          <w:tcPr>
            <w:tcW w:w="0" w:type="auto"/>
            <w:vAlign w:val="center"/>
          </w:tcPr>
          <w:p w:rsidR="000A156F" w:rsidRDefault="00A9721F">
            <w:pPr>
              <w:pStyle w:val="TableBodyText"/>
            </w:pPr>
            <w:r>
              <w:t>0927</w:t>
            </w:r>
          </w:p>
        </w:tc>
      </w:tr>
      <w:tr w:rsidR="000A156F" w:rsidTr="000A156F">
        <w:tc>
          <w:tcPr>
            <w:tcW w:w="0" w:type="auto"/>
            <w:vAlign w:val="center"/>
          </w:tcPr>
          <w:p w:rsidR="000A156F" w:rsidRDefault="00A9721F">
            <w:pPr>
              <w:pStyle w:val="TableBodyText"/>
            </w:pPr>
            <w:r>
              <w:lastRenderedPageBreak/>
              <w:t>ReadingInkTools</w:t>
            </w:r>
          </w:p>
        </w:tc>
        <w:tc>
          <w:tcPr>
            <w:tcW w:w="0" w:type="auto"/>
            <w:vAlign w:val="center"/>
          </w:tcPr>
          <w:p w:rsidR="000A156F" w:rsidRDefault="00A9721F">
            <w:pPr>
              <w:pStyle w:val="TableBodyText"/>
            </w:pPr>
            <w:r>
              <w:t>0928</w:t>
            </w:r>
          </w:p>
        </w:tc>
      </w:tr>
      <w:tr w:rsidR="000A156F" w:rsidTr="000A156F">
        <w:tc>
          <w:tcPr>
            <w:tcW w:w="0" w:type="auto"/>
            <w:vAlign w:val="center"/>
          </w:tcPr>
          <w:p w:rsidR="000A156F" w:rsidRDefault="00A9721F">
            <w:pPr>
              <w:pStyle w:val="TableBodyText"/>
            </w:pPr>
            <w:r>
              <w:t>ReadingMode</w:t>
            </w:r>
          </w:p>
        </w:tc>
        <w:tc>
          <w:tcPr>
            <w:tcW w:w="0" w:type="auto"/>
            <w:vAlign w:val="center"/>
          </w:tcPr>
          <w:p w:rsidR="000A156F" w:rsidRDefault="00A9721F">
            <w:pPr>
              <w:pStyle w:val="TableBodyText"/>
            </w:pPr>
            <w:r>
              <w:t>05B1</w:t>
            </w:r>
          </w:p>
        </w:tc>
      </w:tr>
      <w:tr w:rsidR="000A156F" w:rsidTr="000A156F">
        <w:tc>
          <w:tcPr>
            <w:tcW w:w="0" w:type="auto"/>
            <w:vAlign w:val="center"/>
          </w:tcPr>
          <w:p w:rsidR="000A156F" w:rsidRDefault="00A9721F">
            <w:pPr>
              <w:pStyle w:val="TableBodyText"/>
            </w:pPr>
            <w:r>
              <w:t>ReadingMode1Page</w:t>
            </w:r>
          </w:p>
        </w:tc>
        <w:tc>
          <w:tcPr>
            <w:tcW w:w="0" w:type="auto"/>
            <w:vAlign w:val="center"/>
          </w:tcPr>
          <w:p w:rsidR="000A156F" w:rsidRDefault="00A9721F">
            <w:pPr>
              <w:pStyle w:val="TableBodyText"/>
            </w:pPr>
            <w:r>
              <w:t>0894</w:t>
            </w:r>
          </w:p>
        </w:tc>
      </w:tr>
      <w:tr w:rsidR="000A156F" w:rsidTr="000A156F">
        <w:tc>
          <w:tcPr>
            <w:tcW w:w="0" w:type="auto"/>
            <w:vAlign w:val="center"/>
          </w:tcPr>
          <w:p w:rsidR="000A156F" w:rsidRDefault="00A9721F">
            <w:pPr>
              <w:pStyle w:val="TableBodyText"/>
            </w:pPr>
            <w:r>
              <w:t>ReadingMode2Pages</w:t>
            </w:r>
          </w:p>
        </w:tc>
        <w:tc>
          <w:tcPr>
            <w:tcW w:w="0" w:type="auto"/>
            <w:vAlign w:val="center"/>
          </w:tcPr>
          <w:p w:rsidR="000A156F" w:rsidRDefault="00A9721F">
            <w:pPr>
              <w:pStyle w:val="TableBodyText"/>
            </w:pPr>
            <w:r>
              <w:t>0895</w:t>
            </w:r>
          </w:p>
        </w:tc>
      </w:tr>
      <w:tr w:rsidR="000A156F" w:rsidTr="000A156F">
        <w:tc>
          <w:tcPr>
            <w:tcW w:w="0" w:type="auto"/>
            <w:vAlign w:val="center"/>
          </w:tcPr>
          <w:p w:rsidR="000A156F" w:rsidRDefault="00A9721F">
            <w:pPr>
              <w:pStyle w:val="TableBodyText"/>
            </w:pPr>
            <w:r>
              <w:t>ReadingModeAllowEditing</w:t>
            </w:r>
          </w:p>
        </w:tc>
        <w:tc>
          <w:tcPr>
            <w:tcW w:w="0" w:type="auto"/>
            <w:vAlign w:val="center"/>
          </w:tcPr>
          <w:p w:rsidR="000A156F" w:rsidRDefault="00A9721F">
            <w:pPr>
              <w:pStyle w:val="TableBodyText"/>
            </w:pPr>
            <w:r>
              <w:t>0795</w:t>
            </w:r>
          </w:p>
        </w:tc>
      </w:tr>
      <w:tr w:rsidR="000A156F" w:rsidTr="000A156F">
        <w:tc>
          <w:tcPr>
            <w:tcW w:w="0" w:type="auto"/>
            <w:vAlign w:val="center"/>
          </w:tcPr>
          <w:p w:rsidR="000A156F" w:rsidRDefault="00A9721F">
            <w:pPr>
              <w:pStyle w:val="TableBodyText"/>
            </w:pPr>
            <w:r>
              <w:t>ReadingModeGrowFont</w:t>
            </w:r>
          </w:p>
        </w:tc>
        <w:tc>
          <w:tcPr>
            <w:tcW w:w="0" w:type="auto"/>
            <w:vAlign w:val="center"/>
          </w:tcPr>
          <w:p w:rsidR="000A156F" w:rsidRDefault="00A9721F">
            <w:pPr>
              <w:pStyle w:val="TableBodyText"/>
            </w:pPr>
            <w:r>
              <w:t>05B9</w:t>
            </w:r>
          </w:p>
        </w:tc>
      </w:tr>
      <w:tr w:rsidR="000A156F" w:rsidTr="000A156F">
        <w:tc>
          <w:tcPr>
            <w:tcW w:w="0" w:type="auto"/>
            <w:vAlign w:val="center"/>
          </w:tcPr>
          <w:p w:rsidR="000A156F" w:rsidRDefault="00A9721F">
            <w:pPr>
              <w:pStyle w:val="TableBodyText"/>
            </w:pPr>
            <w:r>
              <w:t>ReadingModeInkOff</w:t>
            </w:r>
          </w:p>
        </w:tc>
        <w:tc>
          <w:tcPr>
            <w:tcW w:w="0" w:type="auto"/>
            <w:vAlign w:val="center"/>
          </w:tcPr>
          <w:p w:rsidR="000A156F" w:rsidRDefault="00A9721F">
            <w:pPr>
              <w:pStyle w:val="TableBodyText"/>
            </w:pPr>
            <w:r>
              <w:t>05A4</w:t>
            </w:r>
          </w:p>
        </w:tc>
      </w:tr>
      <w:tr w:rsidR="000A156F" w:rsidTr="000A156F">
        <w:tc>
          <w:tcPr>
            <w:tcW w:w="0" w:type="auto"/>
            <w:vAlign w:val="center"/>
          </w:tcPr>
          <w:p w:rsidR="000A156F" w:rsidRDefault="00A9721F">
            <w:pPr>
              <w:pStyle w:val="TableBodyText"/>
            </w:pPr>
            <w:r>
              <w:t>ReadingModeLayout</w:t>
            </w:r>
          </w:p>
        </w:tc>
        <w:tc>
          <w:tcPr>
            <w:tcW w:w="0" w:type="auto"/>
            <w:vAlign w:val="center"/>
          </w:tcPr>
          <w:p w:rsidR="000A156F" w:rsidRDefault="00A9721F">
            <w:pPr>
              <w:pStyle w:val="TableBodyText"/>
            </w:pPr>
            <w:r>
              <w:t>05BF</w:t>
            </w:r>
          </w:p>
        </w:tc>
      </w:tr>
      <w:tr w:rsidR="000A156F" w:rsidTr="000A156F">
        <w:tc>
          <w:tcPr>
            <w:tcW w:w="0" w:type="auto"/>
            <w:vAlign w:val="center"/>
          </w:tcPr>
          <w:p w:rsidR="000A156F" w:rsidRDefault="00A9721F">
            <w:pPr>
              <w:pStyle w:val="TableBodyText"/>
            </w:pPr>
            <w:r>
              <w:t>ReadingModeLookup</w:t>
            </w:r>
          </w:p>
        </w:tc>
        <w:tc>
          <w:tcPr>
            <w:tcW w:w="0" w:type="auto"/>
            <w:vAlign w:val="center"/>
          </w:tcPr>
          <w:p w:rsidR="000A156F" w:rsidRDefault="00A9721F">
            <w:pPr>
              <w:pStyle w:val="TableBodyText"/>
            </w:pPr>
            <w:r>
              <w:t>05B8</w:t>
            </w:r>
          </w:p>
        </w:tc>
      </w:tr>
      <w:tr w:rsidR="000A156F" w:rsidTr="000A156F">
        <w:tc>
          <w:tcPr>
            <w:tcW w:w="0" w:type="auto"/>
            <w:vAlign w:val="center"/>
          </w:tcPr>
          <w:p w:rsidR="000A156F" w:rsidRDefault="00A9721F">
            <w:pPr>
              <w:pStyle w:val="TableBodyText"/>
            </w:pPr>
            <w:r>
              <w:t>ReadingModeMini</w:t>
            </w:r>
          </w:p>
        </w:tc>
        <w:tc>
          <w:tcPr>
            <w:tcW w:w="0" w:type="auto"/>
            <w:vAlign w:val="center"/>
          </w:tcPr>
          <w:p w:rsidR="000A156F" w:rsidRDefault="00A9721F">
            <w:pPr>
              <w:pStyle w:val="TableBodyText"/>
            </w:pPr>
            <w:r>
              <w:t>05B7</w:t>
            </w:r>
          </w:p>
        </w:tc>
      </w:tr>
      <w:tr w:rsidR="000A156F" w:rsidTr="000A156F">
        <w:tc>
          <w:tcPr>
            <w:tcW w:w="0" w:type="auto"/>
            <w:vAlign w:val="center"/>
          </w:tcPr>
          <w:p w:rsidR="000A156F" w:rsidRDefault="00A9721F">
            <w:pPr>
              <w:pStyle w:val="TableBodyText"/>
            </w:pPr>
            <w:r>
              <w:t>ReadingModePageAutoMargins</w:t>
            </w:r>
          </w:p>
        </w:tc>
        <w:tc>
          <w:tcPr>
            <w:tcW w:w="0" w:type="auto"/>
            <w:vAlign w:val="center"/>
          </w:tcPr>
          <w:p w:rsidR="000A156F" w:rsidRDefault="00A9721F">
            <w:pPr>
              <w:pStyle w:val="TableBodyText"/>
            </w:pPr>
            <w:r>
              <w:t>089A</w:t>
            </w:r>
          </w:p>
        </w:tc>
      </w:tr>
      <w:tr w:rsidR="000A156F" w:rsidTr="000A156F">
        <w:tc>
          <w:tcPr>
            <w:tcW w:w="0" w:type="auto"/>
            <w:vAlign w:val="center"/>
          </w:tcPr>
          <w:p w:rsidR="000A156F" w:rsidRDefault="00A9721F">
            <w:pPr>
              <w:pStyle w:val="TableBodyText"/>
            </w:pPr>
            <w:r>
              <w:t>ReadingModePageMargins</w:t>
            </w:r>
          </w:p>
        </w:tc>
        <w:tc>
          <w:tcPr>
            <w:tcW w:w="0" w:type="auto"/>
            <w:vAlign w:val="center"/>
          </w:tcPr>
          <w:p w:rsidR="000A156F" w:rsidRDefault="00A9721F">
            <w:pPr>
              <w:pStyle w:val="TableBodyText"/>
            </w:pPr>
            <w:r>
              <w:t>0898</w:t>
            </w:r>
          </w:p>
        </w:tc>
      </w:tr>
      <w:tr w:rsidR="000A156F" w:rsidTr="000A156F">
        <w:tc>
          <w:tcPr>
            <w:tcW w:w="0" w:type="auto"/>
            <w:vAlign w:val="center"/>
          </w:tcPr>
          <w:p w:rsidR="000A156F" w:rsidRDefault="00A9721F">
            <w:pPr>
              <w:pStyle w:val="TableBodyText"/>
            </w:pPr>
            <w:r>
              <w:t>ReadingModePageMarginsType</w:t>
            </w:r>
          </w:p>
        </w:tc>
        <w:tc>
          <w:tcPr>
            <w:tcW w:w="0" w:type="auto"/>
            <w:vAlign w:val="center"/>
          </w:tcPr>
          <w:p w:rsidR="000A156F" w:rsidRDefault="00A9721F">
            <w:pPr>
              <w:pStyle w:val="TableBodyText"/>
            </w:pPr>
            <w:r>
              <w:t>0796</w:t>
            </w:r>
          </w:p>
        </w:tc>
      </w:tr>
      <w:tr w:rsidR="000A156F" w:rsidTr="000A156F">
        <w:tc>
          <w:tcPr>
            <w:tcW w:w="0" w:type="auto"/>
            <w:vAlign w:val="center"/>
          </w:tcPr>
          <w:p w:rsidR="000A156F" w:rsidRDefault="00A9721F">
            <w:pPr>
              <w:pStyle w:val="TableBodyText"/>
            </w:pPr>
            <w:r>
              <w:t>ReadingModePageNoMargins</w:t>
            </w:r>
          </w:p>
        </w:tc>
        <w:tc>
          <w:tcPr>
            <w:tcW w:w="0" w:type="auto"/>
            <w:vAlign w:val="center"/>
          </w:tcPr>
          <w:p w:rsidR="000A156F" w:rsidRDefault="00A9721F">
            <w:pPr>
              <w:pStyle w:val="TableBodyText"/>
            </w:pPr>
            <w:r>
              <w:t>0899</w:t>
            </w:r>
          </w:p>
        </w:tc>
      </w:tr>
      <w:tr w:rsidR="000A156F" w:rsidTr="000A156F">
        <w:tc>
          <w:tcPr>
            <w:tcW w:w="0" w:type="auto"/>
            <w:vAlign w:val="center"/>
          </w:tcPr>
          <w:p w:rsidR="000A156F" w:rsidRDefault="00A9721F">
            <w:pPr>
              <w:pStyle w:val="TableBodyText"/>
            </w:pPr>
            <w:r>
              <w:t>ReadingModePageview</w:t>
            </w:r>
          </w:p>
        </w:tc>
        <w:tc>
          <w:tcPr>
            <w:tcW w:w="0" w:type="auto"/>
            <w:vAlign w:val="center"/>
          </w:tcPr>
          <w:p w:rsidR="000A156F" w:rsidRDefault="00A9721F">
            <w:pPr>
              <w:pStyle w:val="TableBodyText"/>
            </w:pPr>
            <w:r>
              <w:t>0587</w:t>
            </w:r>
          </w:p>
        </w:tc>
      </w:tr>
      <w:tr w:rsidR="000A156F" w:rsidTr="000A156F">
        <w:tc>
          <w:tcPr>
            <w:tcW w:w="0" w:type="auto"/>
            <w:vAlign w:val="center"/>
          </w:tcPr>
          <w:p w:rsidR="000A156F" w:rsidRDefault="00A9721F">
            <w:pPr>
              <w:pStyle w:val="TableBodyText"/>
            </w:pPr>
            <w:r>
              <w:t>ReadingModeShrinkFont</w:t>
            </w:r>
          </w:p>
        </w:tc>
        <w:tc>
          <w:tcPr>
            <w:tcW w:w="0" w:type="auto"/>
            <w:vAlign w:val="center"/>
          </w:tcPr>
          <w:p w:rsidR="000A156F" w:rsidRDefault="00A9721F">
            <w:pPr>
              <w:pStyle w:val="TableBodyText"/>
            </w:pPr>
            <w:r>
              <w:t>05BA</w:t>
            </w:r>
          </w:p>
        </w:tc>
      </w:tr>
      <w:tr w:rsidR="000A156F" w:rsidTr="000A156F">
        <w:tc>
          <w:tcPr>
            <w:tcW w:w="0" w:type="auto"/>
            <w:vAlign w:val="center"/>
          </w:tcPr>
          <w:p w:rsidR="000A156F" w:rsidRDefault="00A9721F">
            <w:pPr>
              <w:pStyle w:val="TableBodyText"/>
            </w:pPr>
            <w:r>
              <w:t>ReadingModeToPrintView</w:t>
            </w:r>
          </w:p>
        </w:tc>
        <w:tc>
          <w:tcPr>
            <w:tcW w:w="0" w:type="auto"/>
            <w:vAlign w:val="center"/>
          </w:tcPr>
          <w:p w:rsidR="000A156F" w:rsidRDefault="00A9721F">
            <w:pPr>
              <w:pStyle w:val="TableBodyText"/>
            </w:pPr>
            <w:r>
              <w:t>0902</w:t>
            </w:r>
          </w:p>
        </w:tc>
      </w:tr>
      <w:tr w:rsidR="000A156F" w:rsidTr="000A156F">
        <w:tc>
          <w:tcPr>
            <w:tcW w:w="0" w:type="auto"/>
            <w:vAlign w:val="center"/>
          </w:tcPr>
          <w:p w:rsidR="000A156F" w:rsidRDefault="00A9721F">
            <w:pPr>
              <w:pStyle w:val="TableBodyText"/>
            </w:pPr>
            <w:r>
              <w:t>ReadingModeViewAllMenu</w:t>
            </w:r>
          </w:p>
        </w:tc>
        <w:tc>
          <w:tcPr>
            <w:tcW w:w="0" w:type="auto"/>
            <w:vAlign w:val="center"/>
          </w:tcPr>
          <w:p w:rsidR="000A156F" w:rsidRDefault="00A9721F">
            <w:pPr>
              <w:pStyle w:val="TableBodyText"/>
            </w:pPr>
            <w:r>
              <w:t>16C0</w:t>
            </w:r>
          </w:p>
        </w:tc>
      </w:tr>
      <w:tr w:rsidR="000A156F" w:rsidTr="000A156F">
        <w:tc>
          <w:tcPr>
            <w:tcW w:w="0" w:type="auto"/>
            <w:vAlign w:val="center"/>
          </w:tcPr>
          <w:p w:rsidR="000A156F" w:rsidRDefault="00A9721F">
            <w:pPr>
              <w:pStyle w:val="TableBodyText"/>
            </w:pPr>
            <w:r>
              <w:t>ReadingTrackChanges</w:t>
            </w:r>
          </w:p>
        </w:tc>
        <w:tc>
          <w:tcPr>
            <w:tcW w:w="0" w:type="auto"/>
            <w:vAlign w:val="center"/>
          </w:tcPr>
          <w:p w:rsidR="000A156F" w:rsidRDefault="00A9721F">
            <w:pPr>
              <w:pStyle w:val="TableBodyText"/>
            </w:pPr>
            <w:r>
              <w:t>0926</w:t>
            </w:r>
          </w:p>
        </w:tc>
      </w:tr>
      <w:tr w:rsidR="000A156F" w:rsidTr="000A156F">
        <w:tc>
          <w:tcPr>
            <w:tcW w:w="0" w:type="auto"/>
            <w:vAlign w:val="center"/>
          </w:tcPr>
          <w:p w:rsidR="000A156F" w:rsidRDefault="00A9721F">
            <w:pPr>
              <w:pStyle w:val="TableBodyText"/>
            </w:pPr>
            <w:r>
              <w:t>ReapplyTableStyle</w:t>
            </w:r>
          </w:p>
        </w:tc>
        <w:tc>
          <w:tcPr>
            <w:tcW w:w="0" w:type="auto"/>
            <w:vAlign w:val="center"/>
          </w:tcPr>
          <w:p w:rsidR="000A156F" w:rsidRDefault="00A9721F">
            <w:pPr>
              <w:pStyle w:val="TableBodyText"/>
            </w:pPr>
            <w:r>
              <w:t>095C</w:t>
            </w:r>
          </w:p>
        </w:tc>
      </w:tr>
      <w:tr w:rsidR="000A156F" w:rsidTr="000A156F">
        <w:tc>
          <w:tcPr>
            <w:tcW w:w="0" w:type="auto"/>
            <w:vAlign w:val="center"/>
          </w:tcPr>
          <w:p w:rsidR="000A156F" w:rsidRDefault="00A9721F">
            <w:pPr>
              <w:pStyle w:val="TableBodyText"/>
            </w:pPr>
            <w:r>
              <w:t>RecolorGallery</w:t>
            </w:r>
          </w:p>
        </w:tc>
        <w:tc>
          <w:tcPr>
            <w:tcW w:w="0" w:type="auto"/>
            <w:vAlign w:val="center"/>
          </w:tcPr>
          <w:p w:rsidR="000A156F" w:rsidRDefault="00A9721F">
            <w:pPr>
              <w:pStyle w:val="TableBodyText"/>
            </w:pPr>
            <w:r>
              <w:t>08C7</w:t>
            </w:r>
          </w:p>
        </w:tc>
      </w:tr>
      <w:tr w:rsidR="000A156F" w:rsidTr="000A156F">
        <w:tc>
          <w:tcPr>
            <w:tcW w:w="0" w:type="auto"/>
            <w:vAlign w:val="center"/>
          </w:tcPr>
          <w:p w:rsidR="000A156F" w:rsidRDefault="00A9721F">
            <w:pPr>
              <w:pStyle w:val="TableBodyText"/>
            </w:pPr>
            <w:r>
              <w:t>RecordNextCommand</w:t>
            </w:r>
          </w:p>
        </w:tc>
        <w:tc>
          <w:tcPr>
            <w:tcW w:w="0" w:type="auto"/>
            <w:vAlign w:val="center"/>
          </w:tcPr>
          <w:p w:rsidR="000A156F" w:rsidRDefault="00A9721F">
            <w:pPr>
              <w:pStyle w:val="TableBodyText"/>
            </w:pPr>
            <w:r>
              <w:t>00E2</w:t>
            </w:r>
          </w:p>
        </w:tc>
      </w:tr>
      <w:tr w:rsidR="000A156F" w:rsidTr="000A156F">
        <w:tc>
          <w:tcPr>
            <w:tcW w:w="0" w:type="auto"/>
            <w:vAlign w:val="center"/>
          </w:tcPr>
          <w:p w:rsidR="000A156F" w:rsidRDefault="00A9721F">
            <w:pPr>
              <w:pStyle w:val="TableBodyText"/>
            </w:pPr>
            <w:r>
              <w:t>RedefineStyle</w:t>
            </w:r>
          </w:p>
        </w:tc>
        <w:tc>
          <w:tcPr>
            <w:tcW w:w="0" w:type="auto"/>
            <w:vAlign w:val="center"/>
          </w:tcPr>
          <w:p w:rsidR="000A156F" w:rsidRDefault="00A9721F">
            <w:pPr>
              <w:pStyle w:val="TableBodyText"/>
            </w:pPr>
            <w:r>
              <w:t>0330</w:t>
            </w:r>
          </w:p>
        </w:tc>
      </w:tr>
      <w:tr w:rsidR="000A156F" w:rsidTr="000A156F">
        <w:tc>
          <w:tcPr>
            <w:tcW w:w="0" w:type="auto"/>
            <w:vAlign w:val="center"/>
          </w:tcPr>
          <w:p w:rsidR="000A156F" w:rsidRDefault="00A9721F">
            <w:pPr>
              <w:pStyle w:val="TableBodyText"/>
            </w:pPr>
            <w:r>
              <w:t>RefTipLangGallery</w:t>
            </w:r>
          </w:p>
        </w:tc>
        <w:tc>
          <w:tcPr>
            <w:tcW w:w="0" w:type="auto"/>
            <w:vAlign w:val="center"/>
          </w:tcPr>
          <w:p w:rsidR="000A156F" w:rsidRDefault="00A9721F">
            <w:pPr>
              <w:pStyle w:val="TableBodyText"/>
            </w:pPr>
            <w:r>
              <w:t>0828</w:t>
            </w:r>
          </w:p>
        </w:tc>
      </w:tr>
      <w:tr w:rsidR="000A156F" w:rsidTr="000A156F">
        <w:tc>
          <w:tcPr>
            <w:tcW w:w="0" w:type="auto"/>
            <w:vAlign w:val="center"/>
          </w:tcPr>
          <w:p w:rsidR="000A156F" w:rsidRDefault="00A9721F">
            <w:pPr>
              <w:pStyle w:val="TableBodyText"/>
            </w:pPr>
            <w:r>
              <w:t>RefTipLangMenu</w:t>
            </w:r>
          </w:p>
        </w:tc>
        <w:tc>
          <w:tcPr>
            <w:tcW w:w="0" w:type="auto"/>
            <w:vAlign w:val="center"/>
          </w:tcPr>
          <w:p w:rsidR="000A156F" w:rsidRDefault="00A9721F">
            <w:pPr>
              <w:pStyle w:val="TableBodyText"/>
            </w:pPr>
            <w:r>
              <w:t>16C4</w:t>
            </w:r>
          </w:p>
        </w:tc>
      </w:tr>
      <w:tr w:rsidR="000A156F" w:rsidTr="000A156F">
        <w:tc>
          <w:tcPr>
            <w:tcW w:w="0" w:type="auto"/>
            <w:vAlign w:val="center"/>
          </w:tcPr>
          <w:p w:rsidR="000A156F" w:rsidRDefault="00A9721F">
            <w:pPr>
              <w:pStyle w:val="TableBodyText"/>
            </w:pPr>
            <w:r>
              <w:t>RefTipSelectLang</w:t>
            </w:r>
          </w:p>
        </w:tc>
        <w:tc>
          <w:tcPr>
            <w:tcW w:w="0" w:type="auto"/>
            <w:vAlign w:val="center"/>
          </w:tcPr>
          <w:p w:rsidR="000A156F" w:rsidRDefault="00A9721F">
            <w:pPr>
              <w:pStyle w:val="TableBodyText"/>
            </w:pPr>
            <w:r>
              <w:t>0829</w:t>
            </w:r>
          </w:p>
        </w:tc>
      </w:tr>
      <w:tr w:rsidR="000A156F" w:rsidTr="000A156F">
        <w:tc>
          <w:tcPr>
            <w:tcW w:w="0" w:type="auto"/>
            <w:vAlign w:val="center"/>
          </w:tcPr>
          <w:p w:rsidR="000A156F" w:rsidRDefault="00A9721F">
            <w:pPr>
              <w:pStyle w:val="TableBodyText"/>
            </w:pPr>
            <w:r>
              <w:t>RejectAllChangesInDoc</w:t>
            </w:r>
          </w:p>
        </w:tc>
        <w:tc>
          <w:tcPr>
            <w:tcW w:w="0" w:type="auto"/>
            <w:vAlign w:val="center"/>
          </w:tcPr>
          <w:p w:rsidR="000A156F" w:rsidRDefault="00A9721F">
            <w:pPr>
              <w:pStyle w:val="TableBodyText"/>
            </w:pPr>
            <w:r>
              <w:t>0514</w:t>
            </w:r>
          </w:p>
        </w:tc>
      </w:tr>
      <w:tr w:rsidR="000A156F" w:rsidTr="000A156F">
        <w:tc>
          <w:tcPr>
            <w:tcW w:w="0" w:type="auto"/>
            <w:vAlign w:val="center"/>
          </w:tcPr>
          <w:p w:rsidR="000A156F" w:rsidRDefault="00A9721F">
            <w:pPr>
              <w:pStyle w:val="TableBodyText"/>
            </w:pPr>
            <w:r>
              <w:t>RejectAllChangesShown</w:t>
            </w:r>
          </w:p>
        </w:tc>
        <w:tc>
          <w:tcPr>
            <w:tcW w:w="0" w:type="auto"/>
            <w:vAlign w:val="center"/>
          </w:tcPr>
          <w:p w:rsidR="000A156F" w:rsidRDefault="00A9721F">
            <w:pPr>
              <w:pStyle w:val="TableBodyText"/>
            </w:pPr>
            <w:r>
              <w:t>0513</w:t>
            </w:r>
          </w:p>
        </w:tc>
      </w:tr>
      <w:tr w:rsidR="000A156F" w:rsidTr="000A156F">
        <w:tc>
          <w:tcPr>
            <w:tcW w:w="0" w:type="auto"/>
            <w:vAlign w:val="center"/>
          </w:tcPr>
          <w:p w:rsidR="000A156F" w:rsidRDefault="00A9721F">
            <w:pPr>
              <w:pStyle w:val="TableBodyText"/>
            </w:pPr>
            <w:r>
              <w:t>RejectChangesAndAdvance</w:t>
            </w:r>
          </w:p>
        </w:tc>
        <w:tc>
          <w:tcPr>
            <w:tcW w:w="0" w:type="auto"/>
            <w:vAlign w:val="center"/>
          </w:tcPr>
          <w:p w:rsidR="000A156F" w:rsidRDefault="00A9721F">
            <w:pPr>
              <w:pStyle w:val="TableBodyText"/>
            </w:pPr>
            <w:r>
              <w:t>0838</w:t>
            </w:r>
          </w:p>
        </w:tc>
      </w:tr>
      <w:tr w:rsidR="000A156F" w:rsidTr="000A156F">
        <w:tc>
          <w:tcPr>
            <w:tcW w:w="0" w:type="auto"/>
            <w:vAlign w:val="center"/>
          </w:tcPr>
          <w:p w:rsidR="000A156F" w:rsidRDefault="00A9721F">
            <w:pPr>
              <w:pStyle w:val="TableBodyText"/>
            </w:pPr>
            <w:r>
              <w:t>RejectChangesOrAdvance</w:t>
            </w:r>
          </w:p>
        </w:tc>
        <w:tc>
          <w:tcPr>
            <w:tcW w:w="0" w:type="auto"/>
            <w:vAlign w:val="center"/>
          </w:tcPr>
          <w:p w:rsidR="000A156F" w:rsidRDefault="00A9721F">
            <w:pPr>
              <w:pStyle w:val="TableBodyText"/>
            </w:pPr>
            <w:r>
              <w:t>098A</w:t>
            </w:r>
          </w:p>
        </w:tc>
      </w:tr>
      <w:tr w:rsidR="000A156F" w:rsidTr="000A156F">
        <w:tc>
          <w:tcPr>
            <w:tcW w:w="0" w:type="auto"/>
            <w:vAlign w:val="center"/>
          </w:tcPr>
          <w:p w:rsidR="000A156F" w:rsidRDefault="00A9721F">
            <w:pPr>
              <w:pStyle w:val="TableBodyText"/>
            </w:pPr>
            <w:r>
              <w:t>RejectChangesSelected</w:t>
            </w:r>
          </w:p>
        </w:tc>
        <w:tc>
          <w:tcPr>
            <w:tcW w:w="0" w:type="auto"/>
            <w:vAlign w:val="center"/>
          </w:tcPr>
          <w:p w:rsidR="000A156F" w:rsidRDefault="00A9721F">
            <w:pPr>
              <w:pStyle w:val="TableBodyText"/>
            </w:pPr>
            <w:r>
              <w:t>0512</w:t>
            </w:r>
          </w:p>
        </w:tc>
      </w:tr>
      <w:tr w:rsidR="000A156F" w:rsidTr="000A156F">
        <w:tc>
          <w:tcPr>
            <w:tcW w:w="0" w:type="auto"/>
            <w:vAlign w:val="center"/>
          </w:tcPr>
          <w:p w:rsidR="000A156F" w:rsidRDefault="00A9721F">
            <w:pPr>
              <w:pStyle w:val="TableBodyText"/>
            </w:pPr>
            <w:r>
              <w:t>RemoveAllScripts</w:t>
            </w:r>
          </w:p>
        </w:tc>
        <w:tc>
          <w:tcPr>
            <w:tcW w:w="0" w:type="auto"/>
            <w:vAlign w:val="center"/>
          </w:tcPr>
          <w:p w:rsidR="000A156F" w:rsidRDefault="00A9721F">
            <w:pPr>
              <w:pStyle w:val="TableBodyText"/>
            </w:pPr>
            <w:r>
              <w:t>041B</w:t>
            </w:r>
          </w:p>
        </w:tc>
      </w:tr>
      <w:tr w:rsidR="000A156F" w:rsidTr="000A156F">
        <w:tc>
          <w:tcPr>
            <w:tcW w:w="0" w:type="auto"/>
            <w:vAlign w:val="center"/>
          </w:tcPr>
          <w:p w:rsidR="000A156F" w:rsidRDefault="00A9721F">
            <w:pPr>
              <w:pStyle w:val="TableBodyText"/>
            </w:pPr>
            <w:r>
              <w:lastRenderedPageBreak/>
              <w:t>RemoveBulletsNumbers</w:t>
            </w:r>
          </w:p>
        </w:tc>
        <w:tc>
          <w:tcPr>
            <w:tcW w:w="0" w:type="auto"/>
            <w:vAlign w:val="center"/>
          </w:tcPr>
          <w:p w:rsidR="000A156F" w:rsidRDefault="00A9721F">
            <w:pPr>
              <w:pStyle w:val="TableBodyText"/>
            </w:pPr>
            <w:r>
              <w:t>020A</w:t>
            </w:r>
          </w:p>
        </w:tc>
      </w:tr>
      <w:tr w:rsidR="000A156F" w:rsidTr="000A156F">
        <w:tc>
          <w:tcPr>
            <w:tcW w:w="0" w:type="auto"/>
            <w:vAlign w:val="center"/>
          </w:tcPr>
          <w:p w:rsidR="000A156F" w:rsidRDefault="00A9721F">
            <w:pPr>
              <w:pStyle w:val="TableBodyText"/>
            </w:pPr>
            <w:r>
              <w:t>RemoveCellPartition</w:t>
            </w:r>
          </w:p>
        </w:tc>
        <w:tc>
          <w:tcPr>
            <w:tcW w:w="0" w:type="auto"/>
            <w:vAlign w:val="center"/>
          </w:tcPr>
          <w:p w:rsidR="000A156F" w:rsidRDefault="00A9721F">
            <w:pPr>
              <w:pStyle w:val="TableBodyText"/>
            </w:pPr>
            <w:r>
              <w:t>0378</w:t>
            </w:r>
          </w:p>
        </w:tc>
      </w:tr>
      <w:tr w:rsidR="000A156F" w:rsidTr="000A156F">
        <w:tc>
          <w:tcPr>
            <w:tcW w:w="0" w:type="auto"/>
            <w:vAlign w:val="center"/>
          </w:tcPr>
          <w:p w:rsidR="000A156F" w:rsidRDefault="00A9721F">
            <w:pPr>
              <w:pStyle w:val="TableBodyText"/>
            </w:pPr>
            <w:r>
              <w:t>RemoveCitation</w:t>
            </w:r>
          </w:p>
        </w:tc>
        <w:tc>
          <w:tcPr>
            <w:tcW w:w="0" w:type="auto"/>
            <w:vAlign w:val="center"/>
          </w:tcPr>
          <w:p w:rsidR="000A156F" w:rsidRDefault="00A9721F">
            <w:pPr>
              <w:pStyle w:val="TableBodyText"/>
            </w:pPr>
            <w:r>
              <w:t>0938</w:t>
            </w:r>
          </w:p>
        </w:tc>
      </w:tr>
      <w:tr w:rsidR="000A156F" w:rsidTr="000A156F">
        <w:tc>
          <w:tcPr>
            <w:tcW w:w="0" w:type="auto"/>
            <w:vAlign w:val="center"/>
          </w:tcPr>
          <w:p w:rsidR="000A156F" w:rsidRDefault="00A9721F">
            <w:pPr>
              <w:pStyle w:val="TableBodyText"/>
            </w:pPr>
            <w:r>
              <w:t>RemoveCoverPage</w:t>
            </w:r>
          </w:p>
        </w:tc>
        <w:tc>
          <w:tcPr>
            <w:tcW w:w="0" w:type="auto"/>
            <w:vAlign w:val="center"/>
          </w:tcPr>
          <w:p w:rsidR="000A156F" w:rsidRDefault="00A9721F">
            <w:pPr>
              <w:pStyle w:val="TableBodyText"/>
            </w:pPr>
            <w:r>
              <w:t>092F</w:t>
            </w:r>
          </w:p>
        </w:tc>
      </w:tr>
      <w:tr w:rsidR="000A156F" w:rsidTr="000A156F">
        <w:tc>
          <w:tcPr>
            <w:tcW w:w="0" w:type="auto"/>
            <w:vAlign w:val="center"/>
          </w:tcPr>
          <w:p w:rsidR="000A156F" w:rsidRDefault="00A9721F">
            <w:pPr>
              <w:pStyle w:val="TableBodyText"/>
            </w:pPr>
            <w:r>
              <w:t>RemoveCurrentBuildingBlock</w:t>
            </w:r>
          </w:p>
        </w:tc>
        <w:tc>
          <w:tcPr>
            <w:tcW w:w="0" w:type="auto"/>
            <w:vAlign w:val="center"/>
          </w:tcPr>
          <w:p w:rsidR="000A156F" w:rsidRDefault="00A9721F">
            <w:pPr>
              <w:pStyle w:val="TableBodyText"/>
            </w:pPr>
            <w:r>
              <w:t>0933</w:t>
            </w:r>
          </w:p>
        </w:tc>
      </w:tr>
      <w:tr w:rsidR="000A156F" w:rsidTr="000A156F">
        <w:tc>
          <w:tcPr>
            <w:tcW w:w="0" w:type="auto"/>
            <w:vAlign w:val="center"/>
          </w:tcPr>
          <w:p w:rsidR="000A156F" w:rsidRDefault="00A9721F">
            <w:pPr>
              <w:pStyle w:val="TableBodyText"/>
            </w:pPr>
            <w:r>
              <w:t>RemoveFooter</w:t>
            </w:r>
          </w:p>
        </w:tc>
        <w:tc>
          <w:tcPr>
            <w:tcW w:w="0" w:type="auto"/>
            <w:vAlign w:val="center"/>
          </w:tcPr>
          <w:p w:rsidR="000A156F" w:rsidRDefault="00A9721F">
            <w:pPr>
              <w:pStyle w:val="TableBodyText"/>
            </w:pPr>
            <w:r>
              <w:t>0931</w:t>
            </w:r>
          </w:p>
        </w:tc>
      </w:tr>
      <w:tr w:rsidR="000A156F" w:rsidTr="000A156F">
        <w:tc>
          <w:tcPr>
            <w:tcW w:w="0" w:type="auto"/>
            <w:vAlign w:val="center"/>
          </w:tcPr>
          <w:p w:rsidR="000A156F" w:rsidRDefault="00A9721F">
            <w:pPr>
              <w:pStyle w:val="TableBodyText"/>
            </w:pPr>
            <w:r>
              <w:t>RemoveFrames</w:t>
            </w:r>
          </w:p>
        </w:tc>
        <w:tc>
          <w:tcPr>
            <w:tcW w:w="0" w:type="auto"/>
            <w:vAlign w:val="center"/>
          </w:tcPr>
          <w:p w:rsidR="000A156F" w:rsidRDefault="00A9721F">
            <w:pPr>
              <w:pStyle w:val="TableBodyText"/>
            </w:pPr>
            <w:r>
              <w:t>0124</w:t>
            </w:r>
          </w:p>
        </w:tc>
      </w:tr>
      <w:tr w:rsidR="000A156F" w:rsidTr="000A156F">
        <w:tc>
          <w:tcPr>
            <w:tcW w:w="0" w:type="auto"/>
            <w:vAlign w:val="center"/>
          </w:tcPr>
          <w:p w:rsidR="000A156F" w:rsidRDefault="00A9721F">
            <w:pPr>
              <w:pStyle w:val="TableBodyText"/>
            </w:pPr>
            <w:r>
              <w:t>RemoveHeader</w:t>
            </w:r>
          </w:p>
        </w:tc>
        <w:tc>
          <w:tcPr>
            <w:tcW w:w="0" w:type="auto"/>
            <w:vAlign w:val="center"/>
          </w:tcPr>
          <w:p w:rsidR="000A156F" w:rsidRDefault="00A9721F">
            <w:pPr>
              <w:pStyle w:val="TableBodyText"/>
            </w:pPr>
            <w:r>
              <w:t>0930</w:t>
            </w:r>
          </w:p>
        </w:tc>
      </w:tr>
      <w:tr w:rsidR="000A156F" w:rsidTr="000A156F">
        <w:tc>
          <w:tcPr>
            <w:tcW w:w="0" w:type="auto"/>
            <w:vAlign w:val="center"/>
          </w:tcPr>
          <w:p w:rsidR="000A156F" w:rsidRDefault="00A9721F">
            <w:pPr>
              <w:pStyle w:val="TableBodyText"/>
            </w:pPr>
            <w:r>
              <w:t>RemovePageNumbers</w:t>
            </w:r>
          </w:p>
        </w:tc>
        <w:tc>
          <w:tcPr>
            <w:tcW w:w="0" w:type="auto"/>
            <w:vAlign w:val="center"/>
          </w:tcPr>
          <w:p w:rsidR="000A156F" w:rsidRDefault="00A9721F">
            <w:pPr>
              <w:pStyle w:val="TableBodyText"/>
            </w:pPr>
            <w:r>
              <w:t>0932</w:t>
            </w:r>
          </w:p>
        </w:tc>
      </w:tr>
      <w:tr w:rsidR="000A156F" w:rsidTr="000A156F">
        <w:tc>
          <w:tcPr>
            <w:tcW w:w="0" w:type="auto"/>
            <w:vAlign w:val="center"/>
          </w:tcPr>
          <w:p w:rsidR="000A156F" w:rsidRDefault="00A9721F">
            <w:pPr>
              <w:pStyle w:val="TableBodyText"/>
            </w:pPr>
            <w:r>
              <w:t>RemoveSimilarFormatting</w:t>
            </w:r>
          </w:p>
        </w:tc>
        <w:tc>
          <w:tcPr>
            <w:tcW w:w="0" w:type="auto"/>
            <w:vAlign w:val="center"/>
          </w:tcPr>
          <w:p w:rsidR="000A156F" w:rsidRDefault="00A9721F">
            <w:pPr>
              <w:pStyle w:val="TableBodyText"/>
            </w:pPr>
            <w:r>
              <w:t>082D</w:t>
            </w:r>
          </w:p>
        </w:tc>
      </w:tr>
      <w:tr w:rsidR="000A156F" w:rsidTr="000A156F">
        <w:tc>
          <w:tcPr>
            <w:tcW w:w="0" w:type="auto"/>
            <w:vAlign w:val="center"/>
          </w:tcPr>
          <w:p w:rsidR="000A156F" w:rsidRDefault="00A9721F">
            <w:pPr>
              <w:pStyle w:val="TableBodyText"/>
            </w:pPr>
            <w:r>
              <w:t>RemoveSubdocument</w:t>
            </w:r>
          </w:p>
        </w:tc>
        <w:tc>
          <w:tcPr>
            <w:tcW w:w="0" w:type="auto"/>
            <w:vAlign w:val="center"/>
          </w:tcPr>
          <w:p w:rsidR="000A156F" w:rsidRDefault="00A9721F">
            <w:pPr>
              <w:pStyle w:val="TableBodyText"/>
            </w:pPr>
            <w:r>
              <w:t>027F</w:t>
            </w:r>
          </w:p>
        </w:tc>
      </w:tr>
      <w:tr w:rsidR="000A156F" w:rsidTr="000A156F">
        <w:tc>
          <w:tcPr>
            <w:tcW w:w="0" w:type="auto"/>
            <w:vAlign w:val="center"/>
          </w:tcPr>
          <w:p w:rsidR="000A156F" w:rsidRDefault="00A9721F">
            <w:pPr>
              <w:pStyle w:val="TableBodyText"/>
            </w:pPr>
            <w:r>
              <w:t>RemoveTableOfContents</w:t>
            </w:r>
          </w:p>
        </w:tc>
        <w:tc>
          <w:tcPr>
            <w:tcW w:w="0" w:type="auto"/>
            <w:vAlign w:val="center"/>
          </w:tcPr>
          <w:p w:rsidR="000A156F" w:rsidRDefault="00A9721F">
            <w:pPr>
              <w:pStyle w:val="TableBodyText"/>
            </w:pPr>
            <w:r>
              <w:t>0934</w:t>
            </w:r>
          </w:p>
        </w:tc>
      </w:tr>
      <w:tr w:rsidR="000A156F" w:rsidTr="000A156F">
        <w:tc>
          <w:tcPr>
            <w:tcW w:w="0" w:type="auto"/>
            <w:vAlign w:val="center"/>
          </w:tcPr>
          <w:p w:rsidR="000A156F" w:rsidRDefault="00A9721F">
            <w:pPr>
              <w:pStyle w:val="TableBodyText"/>
            </w:pPr>
            <w:r>
              <w:t>RemoveWatermark</w:t>
            </w:r>
          </w:p>
        </w:tc>
        <w:tc>
          <w:tcPr>
            <w:tcW w:w="0" w:type="auto"/>
            <w:vAlign w:val="center"/>
          </w:tcPr>
          <w:p w:rsidR="000A156F" w:rsidRDefault="00A9721F">
            <w:pPr>
              <w:pStyle w:val="TableBodyText"/>
            </w:pPr>
            <w:r>
              <w:t>092E</w:t>
            </w:r>
          </w:p>
        </w:tc>
      </w:tr>
      <w:tr w:rsidR="000A156F" w:rsidTr="000A156F">
        <w:tc>
          <w:tcPr>
            <w:tcW w:w="0" w:type="auto"/>
            <w:vAlign w:val="center"/>
          </w:tcPr>
          <w:p w:rsidR="000A156F" w:rsidRDefault="00A9721F">
            <w:pPr>
              <w:pStyle w:val="TableBodyText"/>
            </w:pPr>
            <w:r>
              <w:t>RenameStyle</w:t>
            </w:r>
          </w:p>
        </w:tc>
        <w:tc>
          <w:tcPr>
            <w:tcW w:w="0" w:type="auto"/>
            <w:vAlign w:val="center"/>
          </w:tcPr>
          <w:p w:rsidR="000A156F" w:rsidRDefault="00A9721F">
            <w:pPr>
              <w:pStyle w:val="TableBodyText"/>
            </w:pPr>
            <w:r>
              <w:t>0556</w:t>
            </w:r>
          </w:p>
        </w:tc>
      </w:tr>
      <w:tr w:rsidR="000A156F" w:rsidTr="000A156F">
        <w:tc>
          <w:tcPr>
            <w:tcW w:w="0" w:type="auto"/>
            <w:vAlign w:val="center"/>
          </w:tcPr>
          <w:p w:rsidR="000A156F" w:rsidRDefault="00A9721F">
            <w:pPr>
              <w:pStyle w:val="TableBodyText"/>
            </w:pPr>
            <w:r>
              <w:t>RepeatFind</w:t>
            </w:r>
          </w:p>
        </w:tc>
        <w:tc>
          <w:tcPr>
            <w:tcW w:w="0" w:type="auto"/>
            <w:vAlign w:val="center"/>
          </w:tcPr>
          <w:p w:rsidR="000A156F" w:rsidRDefault="00A9721F">
            <w:pPr>
              <w:pStyle w:val="TableBodyText"/>
            </w:pPr>
            <w:r>
              <w:t>0018</w:t>
            </w:r>
          </w:p>
        </w:tc>
      </w:tr>
      <w:tr w:rsidR="000A156F" w:rsidTr="000A156F">
        <w:tc>
          <w:tcPr>
            <w:tcW w:w="0" w:type="auto"/>
            <w:vAlign w:val="center"/>
          </w:tcPr>
          <w:p w:rsidR="000A156F" w:rsidRDefault="00A9721F">
            <w:pPr>
              <w:pStyle w:val="TableBodyText"/>
            </w:pPr>
            <w:r>
              <w:t>ReplaceEmailSignature</w:t>
            </w:r>
          </w:p>
        </w:tc>
        <w:tc>
          <w:tcPr>
            <w:tcW w:w="0" w:type="auto"/>
            <w:vAlign w:val="center"/>
          </w:tcPr>
          <w:p w:rsidR="000A156F" w:rsidRDefault="00A9721F">
            <w:pPr>
              <w:pStyle w:val="TableBodyText"/>
            </w:pPr>
            <w:r>
              <w:t>053D</w:t>
            </w:r>
          </w:p>
        </w:tc>
      </w:tr>
      <w:tr w:rsidR="000A156F" w:rsidTr="000A156F">
        <w:tc>
          <w:tcPr>
            <w:tcW w:w="0" w:type="auto"/>
            <w:vAlign w:val="center"/>
          </w:tcPr>
          <w:p w:rsidR="000A156F" w:rsidRDefault="00A9721F">
            <w:pPr>
              <w:pStyle w:val="TableBodyText"/>
            </w:pPr>
            <w:r>
              <w:t>ReplyToAnnotation</w:t>
            </w:r>
          </w:p>
        </w:tc>
        <w:tc>
          <w:tcPr>
            <w:tcW w:w="0" w:type="auto"/>
            <w:vAlign w:val="center"/>
          </w:tcPr>
          <w:p w:rsidR="000A156F" w:rsidRDefault="00A9721F">
            <w:pPr>
              <w:pStyle w:val="TableBodyText"/>
            </w:pPr>
            <w:r>
              <w:t>0540</w:t>
            </w:r>
          </w:p>
        </w:tc>
      </w:tr>
      <w:tr w:rsidR="000A156F" w:rsidTr="000A156F">
        <w:tc>
          <w:tcPr>
            <w:tcW w:w="0" w:type="auto"/>
            <w:vAlign w:val="center"/>
          </w:tcPr>
          <w:p w:rsidR="000A156F" w:rsidRDefault="00A9721F">
            <w:pPr>
              <w:pStyle w:val="TableBodyText"/>
            </w:pPr>
            <w:r>
              <w:t>Research</w:t>
            </w:r>
          </w:p>
        </w:tc>
        <w:tc>
          <w:tcPr>
            <w:tcW w:w="0" w:type="auto"/>
            <w:vAlign w:val="center"/>
          </w:tcPr>
          <w:p w:rsidR="000A156F" w:rsidRDefault="00A9721F">
            <w:pPr>
              <w:pStyle w:val="TableBodyText"/>
            </w:pPr>
            <w:r>
              <w:t>05B3</w:t>
            </w:r>
          </w:p>
        </w:tc>
      </w:tr>
      <w:tr w:rsidR="000A156F" w:rsidTr="000A156F">
        <w:tc>
          <w:tcPr>
            <w:tcW w:w="0" w:type="auto"/>
            <w:vAlign w:val="center"/>
          </w:tcPr>
          <w:p w:rsidR="000A156F" w:rsidRDefault="00A9721F">
            <w:pPr>
              <w:pStyle w:val="TableBodyText"/>
            </w:pPr>
            <w:r>
              <w:t>ResearchLookup</w:t>
            </w:r>
          </w:p>
        </w:tc>
        <w:tc>
          <w:tcPr>
            <w:tcW w:w="0" w:type="auto"/>
            <w:vAlign w:val="center"/>
          </w:tcPr>
          <w:p w:rsidR="000A156F" w:rsidRDefault="00A9721F">
            <w:pPr>
              <w:pStyle w:val="TableBodyText"/>
            </w:pPr>
            <w:r>
              <w:t>058A</w:t>
            </w:r>
          </w:p>
        </w:tc>
      </w:tr>
      <w:tr w:rsidR="000A156F" w:rsidTr="000A156F">
        <w:tc>
          <w:tcPr>
            <w:tcW w:w="0" w:type="auto"/>
            <w:vAlign w:val="center"/>
          </w:tcPr>
          <w:p w:rsidR="000A156F" w:rsidRDefault="00A9721F">
            <w:pPr>
              <w:pStyle w:val="TableBodyText"/>
            </w:pPr>
            <w:r>
              <w:t>ResetAdvanceToVBA</w:t>
            </w:r>
          </w:p>
        </w:tc>
        <w:tc>
          <w:tcPr>
            <w:tcW w:w="0" w:type="auto"/>
            <w:vAlign w:val="center"/>
          </w:tcPr>
          <w:p w:rsidR="000A156F" w:rsidRDefault="00A9721F">
            <w:pPr>
              <w:pStyle w:val="TableBodyText"/>
            </w:pPr>
            <w:r>
              <w:t>07A1</w:t>
            </w:r>
          </w:p>
        </w:tc>
      </w:tr>
      <w:tr w:rsidR="000A156F" w:rsidTr="000A156F">
        <w:tc>
          <w:tcPr>
            <w:tcW w:w="0" w:type="auto"/>
            <w:vAlign w:val="center"/>
          </w:tcPr>
          <w:p w:rsidR="000A156F" w:rsidRDefault="00A9721F">
            <w:pPr>
              <w:pStyle w:val="TableBodyText"/>
            </w:pPr>
            <w:r>
              <w:t>ResetButtonImage</w:t>
            </w:r>
          </w:p>
        </w:tc>
        <w:tc>
          <w:tcPr>
            <w:tcW w:w="0" w:type="auto"/>
            <w:vAlign w:val="center"/>
          </w:tcPr>
          <w:p w:rsidR="000A156F" w:rsidRDefault="00A9721F">
            <w:pPr>
              <w:pStyle w:val="TableBodyText"/>
            </w:pPr>
            <w:r>
              <w:t>0210</w:t>
            </w:r>
          </w:p>
        </w:tc>
      </w:tr>
      <w:tr w:rsidR="000A156F" w:rsidTr="000A156F">
        <w:tc>
          <w:tcPr>
            <w:tcW w:w="0" w:type="auto"/>
            <w:vAlign w:val="center"/>
          </w:tcPr>
          <w:p w:rsidR="000A156F" w:rsidRDefault="00A9721F">
            <w:pPr>
              <w:pStyle w:val="TableBodyText"/>
            </w:pPr>
            <w:r>
              <w:t>ResetChar</w:t>
            </w:r>
          </w:p>
        </w:tc>
        <w:tc>
          <w:tcPr>
            <w:tcW w:w="0" w:type="auto"/>
            <w:vAlign w:val="center"/>
          </w:tcPr>
          <w:p w:rsidR="000A156F" w:rsidRDefault="00A9721F">
            <w:pPr>
              <w:pStyle w:val="TableBodyText"/>
            </w:pPr>
            <w:r>
              <w:t>0038</w:t>
            </w:r>
          </w:p>
        </w:tc>
      </w:tr>
      <w:tr w:rsidR="000A156F" w:rsidTr="000A156F">
        <w:tc>
          <w:tcPr>
            <w:tcW w:w="0" w:type="auto"/>
            <w:vAlign w:val="center"/>
          </w:tcPr>
          <w:p w:rsidR="000A156F" w:rsidRDefault="00A9721F">
            <w:pPr>
              <w:pStyle w:val="TableBodyText"/>
            </w:pPr>
            <w:r>
              <w:t>ResetFormField</w:t>
            </w:r>
          </w:p>
        </w:tc>
        <w:tc>
          <w:tcPr>
            <w:tcW w:w="0" w:type="auto"/>
            <w:vAlign w:val="center"/>
          </w:tcPr>
          <w:p w:rsidR="000A156F" w:rsidRDefault="00A9721F">
            <w:pPr>
              <w:pStyle w:val="TableBodyText"/>
            </w:pPr>
            <w:r>
              <w:t>0531</w:t>
            </w:r>
          </w:p>
        </w:tc>
      </w:tr>
      <w:tr w:rsidR="000A156F" w:rsidTr="000A156F">
        <w:tc>
          <w:tcPr>
            <w:tcW w:w="0" w:type="auto"/>
            <w:vAlign w:val="center"/>
          </w:tcPr>
          <w:p w:rsidR="000A156F" w:rsidRDefault="00A9721F">
            <w:pPr>
              <w:pStyle w:val="TableBodyText"/>
            </w:pPr>
            <w:r>
              <w:t>ResetNoteSepOrNotice</w:t>
            </w:r>
          </w:p>
        </w:tc>
        <w:tc>
          <w:tcPr>
            <w:tcW w:w="0" w:type="auto"/>
            <w:vAlign w:val="center"/>
          </w:tcPr>
          <w:p w:rsidR="000A156F" w:rsidRDefault="00A9721F">
            <w:pPr>
              <w:pStyle w:val="TableBodyText"/>
            </w:pPr>
            <w:r>
              <w:t>0184</w:t>
            </w:r>
          </w:p>
        </w:tc>
      </w:tr>
      <w:tr w:rsidR="000A156F" w:rsidTr="000A156F">
        <w:tc>
          <w:tcPr>
            <w:tcW w:w="0" w:type="auto"/>
            <w:vAlign w:val="center"/>
          </w:tcPr>
          <w:p w:rsidR="000A156F" w:rsidRDefault="00A9721F">
            <w:pPr>
              <w:pStyle w:val="TableBodyText"/>
            </w:pPr>
            <w:r>
              <w:t>ResetPara</w:t>
            </w:r>
          </w:p>
        </w:tc>
        <w:tc>
          <w:tcPr>
            <w:tcW w:w="0" w:type="auto"/>
            <w:vAlign w:val="center"/>
          </w:tcPr>
          <w:p w:rsidR="000A156F" w:rsidRDefault="00A9721F">
            <w:pPr>
              <w:pStyle w:val="TableBodyText"/>
            </w:pPr>
            <w:r>
              <w:t>0043</w:t>
            </w:r>
          </w:p>
        </w:tc>
      </w:tr>
      <w:tr w:rsidR="000A156F" w:rsidTr="000A156F">
        <w:tc>
          <w:tcPr>
            <w:tcW w:w="0" w:type="auto"/>
            <w:vAlign w:val="center"/>
          </w:tcPr>
          <w:p w:rsidR="000A156F" w:rsidRDefault="00A9721F">
            <w:pPr>
              <w:pStyle w:val="TableBodyText"/>
            </w:pPr>
            <w:r>
              <w:t>ResetParagraphFormatting</w:t>
            </w:r>
          </w:p>
        </w:tc>
        <w:tc>
          <w:tcPr>
            <w:tcW w:w="0" w:type="auto"/>
            <w:vAlign w:val="center"/>
          </w:tcPr>
          <w:p w:rsidR="000A156F" w:rsidRDefault="00A9721F">
            <w:pPr>
              <w:pStyle w:val="TableBodyText"/>
            </w:pPr>
            <w:r>
              <w:t>076C</w:t>
            </w:r>
          </w:p>
        </w:tc>
      </w:tr>
      <w:tr w:rsidR="000A156F" w:rsidTr="000A156F">
        <w:tc>
          <w:tcPr>
            <w:tcW w:w="0" w:type="auto"/>
            <w:vAlign w:val="center"/>
          </w:tcPr>
          <w:p w:rsidR="000A156F" w:rsidRDefault="00A9721F">
            <w:pPr>
              <w:pStyle w:val="TableBodyText"/>
            </w:pPr>
            <w:r>
              <w:t>ResetSideBySide</w:t>
            </w:r>
          </w:p>
        </w:tc>
        <w:tc>
          <w:tcPr>
            <w:tcW w:w="0" w:type="auto"/>
            <w:vAlign w:val="center"/>
          </w:tcPr>
          <w:p w:rsidR="000A156F" w:rsidRDefault="00A9721F">
            <w:pPr>
              <w:pStyle w:val="TableBodyText"/>
            </w:pPr>
            <w:r>
              <w:t>0590</w:t>
            </w:r>
          </w:p>
        </w:tc>
      </w:tr>
      <w:tr w:rsidR="000A156F" w:rsidTr="000A156F">
        <w:tc>
          <w:tcPr>
            <w:tcW w:w="0" w:type="auto"/>
            <w:vAlign w:val="center"/>
          </w:tcPr>
          <w:p w:rsidR="000A156F" w:rsidRDefault="00A9721F">
            <w:pPr>
              <w:pStyle w:val="TableBodyText"/>
            </w:pPr>
            <w:r>
              <w:t>ResolveMenu</w:t>
            </w:r>
          </w:p>
        </w:tc>
        <w:tc>
          <w:tcPr>
            <w:tcW w:w="0" w:type="auto"/>
            <w:vAlign w:val="center"/>
          </w:tcPr>
          <w:p w:rsidR="000A156F" w:rsidRDefault="00A9721F">
            <w:pPr>
              <w:pStyle w:val="TableBodyText"/>
            </w:pPr>
            <w:r>
              <w:t>16B5</w:t>
            </w:r>
          </w:p>
        </w:tc>
      </w:tr>
      <w:tr w:rsidR="000A156F" w:rsidTr="000A156F">
        <w:tc>
          <w:tcPr>
            <w:tcW w:w="0" w:type="auto"/>
            <w:vAlign w:val="center"/>
          </w:tcPr>
          <w:p w:rsidR="000A156F" w:rsidRDefault="00A9721F">
            <w:pPr>
              <w:pStyle w:val="TableBodyText"/>
            </w:pPr>
            <w:r>
              <w:t>RestartNumbering</w:t>
            </w:r>
          </w:p>
        </w:tc>
        <w:tc>
          <w:tcPr>
            <w:tcW w:w="0" w:type="auto"/>
            <w:vAlign w:val="center"/>
          </w:tcPr>
          <w:p w:rsidR="000A156F" w:rsidRDefault="00A9721F">
            <w:pPr>
              <w:pStyle w:val="TableBodyText"/>
            </w:pPr>
            <w:r>
              <w:t>0546</w:t>
            </w:r>
          </w:p>
        </w:tc>
      </w:tr>
      <w:tr w:rsidR="000A156F" w:rsidTr="000A156F">
        <w:tc>
          <w:tcPr>
            <w:tcW w:w="0" w:type="auto"/>
            <w:vAlign w:val="center"/>
          </w:tcPr>
          <w:p w:rsidR="000A156F" w:rsidRDefault="00A9721F">
            <w:pPr>
              <w:pStyle w:val="TableBodyText"/>
            </w:pPr>
            <w:r>
              <w:t>RestoreCharacterStyle</w:t>
            </w:r>
          </w:p>
        </w:tc>
        <w:tc>
          <w:tcPr>
            <w:tcW w:w="0" w:type="auto"/>
            <w:vAlign w:val="center"/>
          </w:tcPr>
          <w:p w:rsidR="000A156F" w:rsidRDefault="00A9721F">
            <w:pPr>
              <w:pStyle w:val="TableBodyText"/>
            </w:pPr>
            <w:r>
              <w:t>076E</w:t>
            </w:r>
          </w:p>
        </w:tc>
      </w:tr>
      <w:tr w:rsidR="000A156F" w:rsidTr="000A156F">
        <w:tc>
          <w:tcPr>
            <w:tcW w:w="0" w:type="auto"/>
            <w:vAlign w:val="center"/>
          </w:tcPr>
          <w:p w:rsidR="000A156F" w:rsidRDefault="00A9721F">
            <w:pPr>
              <w:pStyle w:val="TableBodyText"/>
            </w:pPr>
            <w:r>
              <w:t>RestoreParagraphStyle</w:t>
            </w:r>
          </w:p>
        </w:tc>
        <w:tc>
          <w:tcPr>
            <w:tcW w:w="0" w:type="auto"/>
            <w:vAlign w:val="center"/>
          </w:tcPr>
          <w:p w:rsidR="000A156F" w:rsidRDefault="00A9721F">
            <w:pPr>
              <w:pStyle w:val="TableBodyText"/>
            </w:pPr>
            <w:r>
              <w:t>092B</w:t>
            </w:r>
          </w:p>
        </w:tc>
      </w:tr>
      <w:tr w:rsidR="000A156F" w:rsidTr="000A156F">
        <w:tc>
          <w:tcPr>
            <w:tcW w:w="0" w:type="auto"/>
            <w:vAlign w:val="center"/>
          </w:tcPr>
          <w:p w:rsidR="000A156F" w:rsidRDefault="00A9721F">
            <w:pPr>
              <w:pStyle w:val="TableBodyText"/>
            </w:pPr>
            <w:r>
              <w:t>ReturnReview</w:t>
            </w:r>
          </w:p>
        </w:tc>
        <w:tc>
          <w:tcPr>
            <w:tcW w:w="0" w:type="auto"/>
            <w:vAlign w:val="center"/>
          </w:tcPr>
          <w:p w:rsidR="000A156F" w:rsidRDefault="00A9721F">
            <w:pPr>
              <w:pStyle w:val="TableBodyText"/>
            </w:pPr>
            <w:r>
              <w:t>04F4</w:t>
            </w:r>
          </w:p>
        </w:tc>
      </w:tr>
      <w:tr w:rsidR="000A156F" w:rsidTr="000A156F">
        <w:tc>
          <w:tcPr>
            <w:tcW w:w="0" w:type="auto"/>
            <w:vAlign w:val="center"/>
          </w:tcPr>
          <w:p w:rsidR="000A156F" w:rsidRDefault="00A9721F">
            <w:pPr>
              <w:pStyle w:val="TableBodyText"/>
            </w:pPr>
            <w:r>
              <w:lastRenderedPageBreak/>
              <w:t>ReviewingPane</w:t>
            </w:r>
          </w:p>
        </w:tc>
        <w:tc>
          <w:tcPr>
            <w:tcW w:w="0" w:type="auto"/>
            <w:vAlign w:val="center"/>
          </w:tcPr>
          <w:p w:rsidR="000A156F" w:rsidRDefault="00A9721F">
            <w:pPr>
              <w:pStyle w:val="TableBodyText"/>
            </w:pPr>
            <w:r>
              <w:t>054F</w:t>
            </w:r>
          </w:p>
        </w:tc>
      </w:tr>
      <w:tr w:rsidR="000A156F" w:rsidTr="000A156F">
        <w:tc>
          <w:tcPr>
            <w:tcW w:w="0" w:type="auto"/>
            <w:vAlign w:val="center"/>
          </w:tcPr>
          <w:p w:rsidR="000A156F" w:rsidRDefault="00A9721F">
            <w:pPr>
              <w:pStyle w:val="TableBodyText"/>
            </w:pPr>
            <w:r>
              <w:t>ReviewingPaneHorizontal</w:t>
            </w:r>
          </w:p>
        </w:tc>
        <w:tc>
          <w:tcPr>
            <w:tcW w:w="0" w:type="auto"/>
            <w:vAlign w:val="center"/>
          </w:tcPr>
          <w:p w:rsidR="000A156F" w:rsidRDefault="00A9721F">
            <w:pPr>
              <w:pStyle w:val="TableBodyText"/>
            </w:pPr>
            <w:r>
              <w:t>08D6</w:t>
            </w:r>
          </w:p>
        </w:tc>
      </w:tr>
      <w:tr w:rsidR="000A156F" w:rsidTr="000A156F">
        <w:tc>
          <w:tcPr>
            <w:tcW w:w="0" w:type="auto"/>
            <w:vAlign w:val="center"/>
          </w:tcPr>
          <w:p w:rsidR="000A156F" w:rsidRDefault="00A9721F">
            <w:pPr>
              <w:pStyle w:val="TableBodyText"/>
            </w:pPr>
            <w:r>
              <w:t>ReviewingPaneVertical</w:t>
            </w:r>
          </w:p>
        </w:tc>
        <w:tc>
          <w:tcPr>
            <w:tcW w:w="0" w:type="auto"/>
            <w:vAlign w:val="center"/>
          </w:tcPr>
          <w:p w:rsidR="000A156F" w:rsidRDefault="00A9721F">
            <w:pPr>
              <w:pStyle w:val="TableBodyText"/>
            </w:pPr>
            <w:r>
              <w:t>08D7</w:t>
            </w:r>
          </w:p>
        </w:tc>
      </w:tr>
      <w:tr w:rsidR="000A156F" w:rsidTr="000A156F">
        <w:tc>
          <w:tcPr>
            <w:tcW w:w="0" w:type="auto"/>
            <w:vAlign w:val="center"/>
          </w:tcPr>
          <w:p w:rsidR="000A156F" w:rsidRDefault="00A9721F">
            <w:pPr>
              <w:pStyle w:val="TableBodyText"/>
            </w:pPr>
            <w:r>
              <w:t>RibbonFilePermissionMenu</w:t>
            </w:r>
          </w:p>
        </w:tc>
        <w:tc>
          <w:tcPr>
            <w:tcW w:w="0" w:type="auto"/>
            <w:vAlign w:val="center"/>
          </w:tcPr>
          <w:p w:rsidR="000A156F" w:rsidRDefault="00A9721F">
            <w:pPr>
              <w:pStyle w:val="TableBodyText"/>
            </w:pPr>
            <w:r>
              <w:t>0921</w:t>
            </w:r>
          </w:p>
        </w:tc>
      </w:tr>
      <w:tr w:rsidR="000A156F" w:rsidTr="000A156F">
        <w:tc>
          <w:tcPr>
            <w:tcW w:w="0" w:type="auto"/>
            <w:vAlign w:val="center"/>
          </w:tcPr>
          <w:p w:rsidR="000A156F" w:rsidRDefault="00A9721F">
            <w:pPr>
              <w:pStyle w:val="TableBodyText"/>
            </w:pPr>
            <w:r>
              <w:t>RibbonReviewProtectDocumentMenu</w:t>
            </w:r>
          </w:p>
        </w:tc>
        <w:tc>
          <w:tcPr>
            <w:tcW w:w="0" w:type="auto"/>
            <w:vAlign w:val="center"/>
          </w:tcPr>
          <w:p w:rsidR="000A156F" w:rsidRDefault="00A9721F">
            <w:pPr>
              <w:pStyle w:val="TableBodyText"/>
            </w:pPr>
            <w:r>
              <w:t>09A7</w:t>
            </w:r>
          </w:p>
        </w:tc>
      </w:tr>
      <w:tr w:rsidR="000A156F" w:rsidTr="000A156F">
        <w:tc>
          <w:tcPr>
            <w:tcW w:w="0" w:type="auto"/>
            <w:vAlign w:val="center"/>
          </w:tcPr>
          <w:p w:rsidR="000A156F" w:rsidRDefault="00A9721F">
            <w:pPr>
              <w:pStyle w:val="TableBodyText"/>
            </w:pPr>
            <w:r>
              <w:t>RibbonReviewRestrictFormatting</w:t>
            </w:r>
          </w:p>
        </w:tc>
        <w:tc>
          <w:tcPr>
            <w:tcW w:w="0" w:type="auto"/>
            <w:vAlign w:val="center"/>
          </w:tcPr>
          <w:p w:rsidR="000A156F" w:rsidRDefault="00A9721F">
            <w:pPr>
              <w:pStyle w:val="TableBodyText"/>
            </w:pPr>
            <w:r>
              <w:t>09A8</w:t>
            </w:r>
          </w:p>
        </w:tc>
      </w:tr>
      <w:tr w:rsidR="000A156F" w:rsidTr="000A156F">
        <w:tc>
          <w:tcPr>
            <w:tcW w:w="0" w:type="auto"/>
            <w:vAlign w:val="center"/>
          </w:tcPr>
          <w:p w:rsidR="000A156F" w:rsidRDefault="00A9721F">
            <w:pPr>
              <w:pStyle w:val="TableBodyText"/>
            </w:pPr>
            <w:r>
              <w:t>RightPara</w:t>
            </w:r>
          </w:p>
        </w:tc>
        <w:tc>
          <w:tcPr>
            <w:tcW w:w="0" w:type="auto"/>
            <w:vAlign w:val="center"/>
          </w:tcPr>
          <w:p w:rsidR="000A156F" w:rsidRDefault="00A9721F">
            <w:pPr>
              <w:pStyle w:val="TableBodyText"/>
            </w:pPr>
            <w:r>
              <w:t>003C</w:t>
            </w:r>
          </w:p>
        </w:tc>
      </w:tr>
      <w:tr w:rsidR="000A156F" w:rsidTr="000A156F">
        <w:tc>
          <w:tcPr>
            <w:tcW w:w="0" w:type="auto"/>
            <w:vAlign w:val="center"/>
          </w:tcPr>
          <w:p w:rsidR="000A156F" w:rsidRDefault="00A9721F">
            <w:pPr>
              <w:pStyle w:val="TableBodyText"/>
            </w:pPr>
            <w:r>
              <w:t>RotateObjectGallery</w:t>
            </w:r>
          </w:p>
        </w:tc>
        <w:tc>
          <w:tcPr>
            <w:tcW w:w="0" w:type="auto"/>
            <w:vAlign w:val="center"/>
          </w:tcPr>
          <w:p w:rsidR="000A156F" w:rsidRDefault="00A9721F">
            <w:pPr>
              <w:pStyle w:val="TableBodyText"/>
            </w:pPr>
            <w:r>
              <w:t>07B5</w:t>
            </w:r>
          </w:p>
        </w:tc>
      </w:tr>
      <w:tr w:rsidR="000A156F" w:rsidTr="000A156F">
        <w:tc>
          <w:tcPr>
            <w:tcW w:w="0" w:type="auto"/>
            <w:vAlign w:val="center"/>
          </w:tcPr>
          <w:p w:rsidR="000A156F" w:rsidRDefault="00A9721F">
            <w:pPr>
              <w:pStyle w:val="TableBodyText"/>
            </w:pPr>
            <w:r>
              <w:t>RtlPara</w:t>
            </w:r>
          </w:p>
        </w:tc>
        <w:tc>
          <w:tcPr>
            <w:tcW w:w="0" w:type="auto"/>
            <w:vAlign w:val="center"/>
          </w:tcPr>
          <w:p w:rsidR="000A156F" w:rsidRDefault="00A9721F">
            <w:pPr>
              <w:pStyle w:val="TableBodyText"/>
            </w:pPr>
            <w:r>
              <w:t>041F</w:t>
            </w:r>
          </w:p>
        </w:tc>
      </w:tr>
      <w:tr w:rsidR="000A156F" w:rsidTr="000A156F">
        <w:tc>
          <w:tcPr>
            <w:tcW w:w="0" w:type="auto"/>
            <w:vAlign w:val="center"/>
          </w:tcPr>
          <w:p w:rsidR="000A156F" w:rsidRDefault="00A9721F">
            <w:pPr>
              <w:pStyle w:val="TableBodyText"/>
            </w:pPr>
            <w:r>
              <w:t>RtlRun</w:t>
            </w:r>
          </w:p>
        </w:tc>
        <w:tc>
          <w:tcPr>
            <w:tcW w:w="0" w:type="auto"/>
            <w:vAlign w:val="center"/>
          </w:tcPr>
          <w:p w:rsidR="000A156F" w:rsidRDefault="00A9721F">
            <w:pPr>
              <w:pStyle w:val="TableBodyText"/>
            </w:pPr>
            <w:r>
              <w:t>0422</w:t>
            </w:r>
          </w:p>
        </w:tc>
      </w:tr>
      <w:tr w:rsidR="000A156F" w:rsidTr="000A156F">
        <w:tc>
          <w:tcPr>
            <w:tcW w:w="0" w:type="auto"/>
            <w:vAlign w:val="center"/>
          </w:tcPr>
          <w:p w:rsidR="000A156F" w:rsidRDefault="00A9721F">
            <w:pPr>
              <w:pStyle w:val="TableBodyText"/>
            </w:pPr>
            <w:r>
              <w:t>RunPrintManager</w:t>
            </w:r>
          </w:p>
        </w:tc>
        <w:tc>
          <w:tcPr>
            <w:tcW w:w="0" w:type="auto"/>
            <w:vAlign w:val="center"/>
          </w:tcPr>
          <w:p w:rsidR="000A156F" w:rsidRDefault="00A9721F">
            <w:pPr>
              <w:pStyle w:val="TableBodyText"/>
            </w:pPr>
            <w:r>
              <w:t>02AC</w:t>
            </w:r>
          </w:p>
        </w:tc>
      </w:tr>
      <w:tr w:rsidR="000A156F" w:rsidTr="000A156F">
        <w:tc>
          <w:tcPr>
            <w:tcW w:w="0" w:type="auto"/>
            <w:vAlign w:val="center"/>
          </w:tcPr>
          <w:p w:rsidR="000A156F" w:rsidRDefault="00A9721F">
            <w:pPr>
              <w:pStyle w:val="TableBodyText"/>
            </w:pPr>
            <w:r>
              <w:t>RunToggle</w:t>
            </w:r>
          </w:p>
        </w:tc>
        <w:tc>
          <w:tcPr>
            <w:tcW w:w="0" w:type="auto"/>
            <w:vAlign w:val="center"/>
          </w:tcPr>
          <w:p w:rsidR="000A156F" w:rsidRDefault="00A9721F">
            <w:pPr>
              <w:pStyle w:val="TableBodyText"/>
            </w:pPr>
            <w:r>
              <w:t>041D</w:t>
            </w:r>
          </w:p>
        </w:tc>
      </w:tr>
      <w:tr w:rsidR="000A156F" w:rsidTr="000A156F">
        <w:tc>
          <w:tcPr>
            <w:tcW w:w="0" w:type="auto"/>
            <w:vAlign w:val="center"/>
          </w:tcPr>
          <w:p w:rsidR="000A156F" w:rsidRDefault="00A9721F">
            <w:pPr>
              <w:pStyle w:val="TableBodyText"/>
            </w:pPr>
            <w:r>
              <w:t>SaveAsQuickFormatSet</w:t>
            </w:r>
          </w:p>
        </w:tc>
        <w:tc>
          <w:tcPr>
            <w:tcW w:w="0" w:type="auto"/>
            <w:vAlign w:val="center"/>
          </w:tcPr>
          <w:p w:rsidR="000A156F" w:rsidRDefault="00A9721F">
            <w:pPr>
              <w:pStyle w:val="TableBodyText"/>
            </w:pPr>
            <w:r>
              <w:t>05D5</w:t>
            </w:r>
          </w:p>
        </w:tc>
      </w:tr>
      <w:tr w:rsidR="000A156F" w:rsidTr="000A156F">
        <w:tc>
          <w:tcPr>
            <w:tcW w:w="0" w:type="auto"/>
            <w:vAlign w:val="center"/>
          </w:tcPr>
          <w:p w:rsidR="000A156F" w:rsidRDefault="00A9721F">
            <w:pPr>
              <w:pStyle w:val="TableBodyText"/>
            </w:pPr>
            <w:r>
              <w:t>SaveBibliographyBlock</w:t>
            </w:r>
          </w:p>
        </w:tc>
        <w:tc>
          <w:tcPr>
            <w:tcW w:w="0" w:type="auto"/>
            <w:vAlign w:val="center"/>
          </w:tcPr>
          <w:p w:rsidR="000A156F" w:rsidRDefault="00A9721F">
            <w:pPr>
              <w:pStyle w:val="TableBodyText"/>
            </w:pPr>
            <w:r>
              <w:t>0972</w:t>
            </w:r>
          </w:p>
        </w:tc>
      </w:tr>
      <w:tr w:rsidR="000A156F" w:rsidTr="000A156F">
        <w:tc>
          <w:tcPr>
            <w:tcW w:w="0" w:type="auto"/>
            <w:vAlign w:val="center"/>
          </w:tcPr>
          <w:p w:rsidR="000A156F" w:rsidRDefault="00A9721F">
            <w:pPr>
              <w:pStyle w:val="TableBodyText"/>
            </w:pPr>
            <w:r>
              <w:t>SaveCoverPageBlock</w:t>
            </w:r>
          </w:p>
        </w:tc>
        <w:tc>
          <w:tcPr>
            <w:tcW w:w="0" w:type="auto"/>
            <w:vAlign w:val="center"/>
          </w:tcPr>
          <w:p w:rsidR="000A156F" w:rsidRDefault="00A9721F">
            <w:pPr>
              <w:pStyle w:val="TableBodyText"/>
            </w:pPr>
            <w:r>
              <w:t>08E4</w:t>
            </w:r>
          </w:p>
        </w:tc>
      </w:tr>
      <w:tr w:rsidR="000A156F" w:rsidTr="000A156F">
        <w:tc>
          <w:tcPr>
            <w:tcW w:w="0" w:type="auto"/>
            <w:vAlign w:val="center"/>
          </w:tcPr>
          <w:p w:rsidR="000A156F" w:rsidRDefault="00A9721F">
            <w:pPr>
              <w:pStyle w:val="TableBodyText"/>
            </w:pPr>
            <w:r>
              <w:t>SaveCurrentTheme</w:t>
            </w:r>
          </w:p>
        </w:tc>
        <w:tc>
          <w:tcPr>
            <w:tcW w:w="0" w:type="auto"/>
            <w:vAlign w:val="center"/>
          </w:tcPr>
          <w:p w:rsidR="000A156F" w:rsidRDefault="00A9721F">
            <w:pPr>
              <w:pStyle w:val="TableBodyText"/>
            </w:pPr>
            <w:r>
              <w:t>08DB</w:t>
            </w:r>
          </w:p>
        </w:tc>
      </w:tr>
      <w:tr w:rsidR="000A156F" w:rsidTr="000A156F">
        <w:tc>
          <w:tcPr>
            <w:tcW w:w="0" w:type="auto"/>
            <w:vAlign w:val="center"/>
          </w:tcPr>
          <w:p w:rsidR="000A156F" w:rsidRDefault="00A9721F">
            <w:pPr>
              <w:pStyle w:val="TableBodyText"/>
            </w:pPr>
            <w:r>
              <w:t>SaveEquation</w:t>
            </w:r>
          </w:p>
        </w:tc>
        <w:tc>
          <w:tcPr>
            <w:tcW w:w="0" w:type="auto"/>
            <w:vAlign w:val="center"/>
          </w:tcPr>
          <w:p w:rsidR="000A156F" w:rsidRDefault="00A9721F">
            <w:pPr>
              <w:pStyle w:val="TableBodyText"/>
            </w:pPr>
            <w:r>
              <w:t>090E</w:t>
            </w:r>
          </w:p>
        </w:tc>
      </w:tr>
      <w:tr w:rsidR="000A156F" w:rsidTr="000A156F">
        <w:tc>
          <w:tcPr>
            <w:tcW w:w="0" w:type="auto"/>
            <w:vAlign w:val="center"/>
          </w:tcPr>
          <w:p w:rsidR="000A156F" w:rsidRDefault="00A9721F">
            <w:pPr>
              <w:pStyle w:val="TableBodyText"/>
            </w:pPr>
            <w:r>
              <w:t>SaveFooterBlock</w:t>
            </w:r>
          </w:p>
        </w:tc>
        <w:tc>
          <w:tcPr>
            <w:tcW w:w="0" w:type="auto"/>
            <w:vAlign w:val="center"/>
          </w:tcPr>
          <w:p w:rsidR="000A156F" w:rsidRDefault="00A9721F">
            <w:pPr>
              <w:pStyle w:val="TableBodyText"/>
            </w:pPr>
            <w:r>
              <w:t>08E6</w:t>
            </w:r>
          </w:p>
        </w:tc>
      </w:tr>
      <w:tr w:rsidR="000A156F" w:rsidTr="000A156F">
        <w:tc>
          <w:tcPr>
            <w:tcW w:w="0" w:type="auto"/>
            <w:vAlign w:val="center"/>
          </w:tcPr>
          <w:p w:rsidR="000A156F" w:rsidRDefault="00A9721F">
            <w:pPr>
              <w:pStyle w:val="TableBodyText"/>
            </w:pPr>
            <w:r>
              <w:t>SaveHeaderBlock</w:t>
            </w:r>
          </w:p>
        </w:tc>
        <w:tc>
          <w:tcPr>
            <w:tcW w:w="0" w:type="auto"/>
            <w:vAlign w:val="center"/>
          </w:tcPr>
          <w:p w:rsidR="000A156F" w:rsidRDefault="00A9721F">
            <w:pPr>
              <w:pStyle w:val="TableBodyText"/>
            </w:pPr>
            <w:r>
              <w:t>08E5</w:t>
            </w:r>
          </w:p>
        </w:tc>
      </w:tr>
      <w:tr w:rsidR="000A156F" w:rsidTr="000A156F">
        <w:tc>
          <w:tcPr>
            <w:tcW w:w="0" w:type="auto"/>
            <w:vAlign w:val="center"/>
          </w:tcPr>
          <w:p w:rsidR="000A156F" w:rsidRDefault="00A9721F">
            <w:pPr>
              <w:pStyle w:val="TableBodyText"/>
            </w:pPr>
            <w:r>
              <w:t>SaveOssThemeToTemplate</w:t>
            </w:r>
          </w:p>
        </w:tc>
        <w:tc>
          <w:tcPr>
            <w:tcW w:w="0" w:type="auto"/>
            <w:vAlign w:val="center"/>
          </w:tcPr>
          <w:p w:rsidR="000A156F" w:rsidRDefault="00A9721F">
            <w:pPr>
              <w:pStyle w:val="TableBodyText"/>
            </w:pPr>
            <w:r>
              <w:t>093D</w:t>
            </w:r>
          </w:p>
        </w:tc>
      </w:tr>
      <w:tr w:rsidR="000A156F" w:rsidTr="000A156F">
        <w:tc>
          <w:tcPr>
            <w:tcW w:w="0" w:type="auto"/>
            <w:vAlign w:val="center"/>
          </w:tcPr>
          <w:p w:rsidR="000A156F" w:rsidRDefault="00A9721F">
            <w:pPr>
              <w:pStyle w:val="TableBodyText"/>
            </w:pPr>
            <w:r>
              <w:t>SavePageNumBlock</w:t>
            </w:r>
          </w:p>
        </w:tc>
        <w:tc>
          <w:tcPr>
            <w:tcW w:w="0" w:type="auto"/>
            <w:vAlign w:val="center"/>
          </w:tcPr>
          <w:p w:rsidR="000A156F" w:rsidRDefault="00A9721F">
            <w:pPr>
              <w:pStyle w:val="TableBodyText"/>
            </w:pPr>
            <w:r>
              <w:t>08E9</w:t>
            </w:r>
          </w:p>
        </w:tc>
      </w:tr>
      <w:tr w:rsidR="000A156F" w:rsidTr="000A156F">
        <w:tc>
          <w:tcPr>
            <w:tcW w:w="0" w:type="auto"/>
            <w:vAlign w:val="center"/>
          </w:tcPr>
          <w:p w:rsidR="000A156F" w:rsidRDefault="00A9721F">
            <w:pPr>
              <w:pStyle w:val="TableBodyText"/>
            </w:pPr>
            <w:r>
              <w:t>SavePageNumBottomBlock</w:t>
            </w:r>
          </w:p>
        </w:tc>
        <w:tc>
          <w:tcPr>
            <w:tcW w:w="0" w:type="auto"/>
            <w:vAlign w:val="center"/>
          </w:tcPr>
          <w:p w:rsidR="000A156F" w:rsidRDefault="00A9721F">
            <w:pPr>
              <w:pStyle w:val="TableBodyText"/>
            </w:pPr>
            <w:r>
              <w:t>08E8</w:t>
            </w:r>
          </w:p>
        </w:tc>
      </w:tr>
      <w:tr w:rsidR="000A156F" w:rsidTr="000A156F">
        <w:tc>
          <w:tcPr>
            <w:tcW w:w="0" w:type="auto"/>
            <w:vAlign w:val="center"/>
          </w:tcPr>
          <w:p w:rsidR="000A156F" w:rsidRDefault="00A9721F">
            <w:pPr>
              <w:pStyle w:val="TableBodyText"/>
            </w:pPr>
            <w:r>
              <w:t>SavePageNumTopBlock</w:t>
            </w:r>
          </w:p>
        </w:tc>
        <w:tc>
          <w:tcPr>
            <w:tcW w:w="0" w:type="auto"/>
            <w:vAlign w:val="center"/>
          </w:tcPr>
          <w:p w:rsidR="000A156F" w:rsidRDefault="00A9721F">
            <w:pPr>
              <w:pStyle w:val="TableBodyText"/>
            </w:pPr>
            <w:r>
              <w:t>08E7</w:t>
            </w:r>
          </w:p>
        </w:tc>
      </w:tr>
      <w:tr w:rsidR="000A156F" w:rsidTr="000A156F">
        <w:tc>
          <w:tcPr>
            <w:tcW w:w="0" w:type="auto"/>
            <w:vAlign w:val="center"/>
          </w:tcPr>
          <w:p w:rsidR="000A156F" w:rsidRDefault="00A9721F">
            <w:pPr>
              <w:pStyle w:val="TableBodyText"/>
            </w:pPr>
            <w:r>
              <w:t>SaveTableOfContentsBlock</w:t>
            </w:r>
          </w:p>
        </w:tc>
        <w:tc>
          <w:tcPr>
            <w:tcW w:w="0" w:type="auto"/>
            <w:vAlign w:val="center"/>
          </w:tcPr>
          <w:p w:rsidR="000A156F" w:rsidRDefault="00A9721F">
            <w:pPr>
              <w:pStyle w:val="TableBodyText"/>
            </w:pPr>
            <w:r>
              <w:t>0919</w:t>
            </w:r>
          </w:p>
        </w:tc>
      </w:tr>
      <w:tr w:rsidR="000A156F" w:rsidTr="000A156F">
        <w:tc>
          <w:tcPr>
            <w:tcW w:w="0" w:type="auto"/>
            <w:vAlign w:val="center"/>
          </w:tcPr>
          <w:p w:rsidR="000A156F" w:rsidRDefault="00A9721F">
            <w:pPr>
              <w:pStyle w:val="TableBodyText"/>
            </w:pPr>
            <w:r>
              <w:t>SaveTemplate</w:t>
            </w:r>
          </w:p>
        </w:tc>
        <w:tc>
          <w:tcPr>
            <w:tcW w:w="0" w:type="auto"/>
            <w:vAlign w:val="center"/>
          </w:tcPr>
          <w:p w:rsidR="000A156F" w:rsidRDefault="00A9721F">
            <w:pPr>
              <w:pStyle w:val="TableBodyText"/>
            </w:pPr>
            <w:r>
              <w:t>0046</w:t>
            </w:r>
          </w:p>
        </w:tc>
      </w:tr>
      <w:tr w:rsidR="000A156F" w:rsidTr="000A156F">
        <w:tc>
          <w:tcPr>
            <w:tcW w:w="0" w:type="auto"/>
            <w:vAlign w:val="center"/>
          </w:tcPr>
          <w:p w:rsidR="000A156F" w:rsidRDefault="00A9721F">
            <w:pPr>
              <w:pStyle w:val="TableBodyText"/>
            </w:pPr>
            <w:r>
              <w:t>SaveToDocMgmtServer</w:t>
            </w:r>
          </w:p>
        </w:tc>
        <w:tc>
          <w:tcPr>
            <w:tcW w:w="0" w:type="auto"/>
            <w:vAlign w:val="center"/>
          </w:tcPr>
          <w:p w:rsidR="000A156F" w:rsidRDefault="00A9721F">
            <w:pPr>
              <w:pStyle w:val="TableBodyText"/>
            </w:pPr>
            <w:r>
              <w:t>083A</w:t>
            </w:r>
          </w:p>
        </w:tc>
      </w:tr>
      <w:tr w:rsidR="000A156F" w:rsidTr="000A156F">
        <w:tc>
          <w:tcPr>
            <w:tcW w:w="0" w:type="auto"/>
            <w:vAlign w:val="center"/>
          </w:tcPr>
          <w:p w:rsidR="000A156F" w:rsidRDefault="00A9721F">
            <w:pPr>
              <w:pStyle w:val="TableBodyText"/>
            </w:pPr>
            <w:r>
              <w:t>ScheduleMeeting</w:t>
            </w:r>
          </w:p>
        </w:tc>
        <w:tc>
          <w:tcPr>
            <w:tcW w:w="0" w:type="auto"/>
            <w:vAlign w:val="center"/>
          </w:tcPr>
          <w:p w:rsidR="000A156F" w:rsidRDefault="00A9721F">
            <w:pPr>
              <w:pStyle w:val="TableBodyText"/>
            </w:pPr>
            <w:r>
              <w:t>049A</w:t>
            </w:r>
          </w:p>
        </w:tc>
      </w:tr>
      <w:tr w:rsidR="000A156F" w:rsidTr="000A156F">
        <w:tc>
          <w:tcPr>
            <w:tcW w:w="0" w:type="auto"/>
            <w:vAlign w:val="center"/>
          </w:tcPr>
          <w:p w:rsidR="000A156F" w:rsidRDefault="00A9721F">
            <w:pPr>
              <w:pStyle w:val="TableBodyText"/>
            </w:pPr>
            <w:r>
              <w:t>SchemaLibrary</w:t>
            </w:r>
          </w:p>
        </w:tc>
        <w:tc>
          <w:tcPr>
            <w:tcW w:w="0" w:type="auto"/>
            <w:vAlign w:val="center"/>
          </w:tcPr>
          <w:p w:rsidR="000A156F" w:rsidRDefault="00A9721F">
            <w:pPr>
              <w:pStyle w:val="TableBodyText"/>
            </w:pPr>
            <w:r>
              <w:t>0589</w:t>
            </w:r>
          </w:p>
        </w:tc>
      </w:tr>
      <w:tr w:rsidR="000A156F" w:rsidTr="000A156F">
        <w:tc>
          <w:tcPr>
            <w:tcW w:w="0" w:type="auto"/>
            <w:vAlign w:val="center"/>
          </w:tcPr>
          <w:p w:rsidR="000A156F" w:rsidRDefault="00A9721F">
            <w:pPr>
              <w:pStyle w:val="TableBodyText"/>
            </w:pPr>
            <w:r>
              <w:t>ScreenRefresh</w:t>
            </w:r>
          </w:p>
        </w:tc>
        <w:tc>
          <w:tcPr>
            <w:tcW w:w="0" w:type="auto"/>
            <w:vAlign w:val="center"/>
          </w:tcPr>
          <w:p w:rsidR="000A156F" w:rsidRDefault="00A9721F">
            <w:pPr>
              <w:pStyle w:val="TableBodyText"/>
            </w:pPr>
            <w:r>
              <w:t>0299</w:t>
            </w:r>
          </w:p>
        </w:tc>
      </w:tr>
      <w:tr w:rsidR="000A156F" w:rsidTr="000A156F">
        <w:tc>
          <w:tcPr>
            <w:tcW w:w="0" w:type="auto"/>
            <w:vAlign w:val="center"/>
          </w:tcPr>
          <w:p w:rsidR="000A156F" w:rsidRDefault="00A9721F">
            <w:pPr>
              <w:pStyle w:val="TableBodyText"/>
            </w:pPr>
            <w:r>
              <w:t>ScrnNav</w:t>
            </w:r>
          </w:p>
        </w:tc>
        <w:tc>
          <w:tcPr>
            <w:tcW w:w="0" w:type="auto"/>
            <w:vAlign w:val="center"/>
          </w:tcPr>
          <w:p w:rsidR="000A156F" w:rsidRDefault="00A9721F">
            <w:pPr>
              <w:pStyle w:val="TableBodyText"/>
            </w:pPr>
            <w:r>
              <w:t>0897</w:t>
            </w:r>
          </w:p>
        </w:tc>
      </w:tr>
      <w:tr w:rsidR="000A156F" w:rsidTr="000A156F">
        <w:tc>
          <w:tcPr>
            <w:tcW w:w="0" w:type="auto"/>
            <w:vAlign w:val="center"/>
          </w:tcPr>
          <w:p w:rsidR="000A156F" w:rsidRDefault="00A9721F">
            <w:pPr>
              <w:pStyle w:val="TableBodyText"/>
            </w:pPr>
            <w:r>
              <w:t>SearchOfficeOnline</w:t>
            </w:r>
          </w:p>
        </w:tc>
        <w:tc>
          <w:tcPr>
            <w:tcW w:w="0" w:type="auto"/>
            <w:vAlign w:val="center"/>
          </w:tcPr>
          <w:p w:rsidR="000A156F" w:rsidRDefault="00A9721F">
            <w:pPr>
              <w:pStyle w:val="TableBodyText"/>
            </w:pPr>
            <w:r>
              <w:t>0876</w:t>
            </w:r>
          </w:p>
        </w:tc>
      </w:tr>
      <w:tr w:rsidR="000A156F" w:rsidTr="000A156F">
        <w:tc>
          <w:tcPr>
            <w:tcW w:w="0" w:type="auto"/>
            <w:vAlign w:val="center"/>
          </w:tcPr>
          <w:p w:rsidR="000A156F" w:rsidRDefault="00A9721F">
            <w:pPr>
              <w:pStyle w:val="TableBodyText"/>
            </w:pPr>
            <w:r>
              <w:t>SelectBibliographyStyle</w:t>
            </w:r>
          </w:p>
        </w:tc>
        <w:tc>
          <w:tcPr>
            <w:tcW w:w="0" w:type="auto"/>
            <w:vAlign w:val="center"/>
          </w:tcPr>
          <w:p w:rsidR="000A156F" w:rsidRDefault="00A9721F">
            <w:pPr>
              <w:pStyle w:val="TableBodyText"/>
            </w:pPr>
            <w:r>
              <w:t>077E</w:t>
            </w:r>
          </w:p>
        </w:tc>
      </w:tr>
      <w:tr w:rsidR="000A156F" w:rsidTr="000A156F">
        <w:tc>
          <w:tcPr>
            <w:tcW w:w="0" w:type="auto"/>
            <w:vAlign w:val="center"/>
          </w:tcPr>
          <w:p w:rsidR="000A156F" w:rsidRDefault="00A9721F">
            <w:pPr>
              <w:pStyle w:val="TableBodyText"/>
            </w:pPr>
            <w:r>
              <w:lastRenderedPageBreak/>
              <w:t>SelectCurAlignment</w:t>
            </w:r>
          </w:p>
        </w:tc>
        <w:tc>
          <w:tcPr>
            <w:tcW w:w="0" w:type="auto"/>
            <w:vAlign w:val="center"/>
          </w:tcPr>
          <w:p w:rsidR="000A156F" w:rsidRDefault="00A9721F">
            <w:pPr>
              <w:pStyle w:val="TableBodyText"/>
            </w:pPr>
            <w:r>
              <w:t>011F</w:t>
            </w:r>
          </w:p>
        </w:tc>
      </w:tr>
      <w:tr w:rsidR="000A156F" w:rsidTr="000A156F">
        <w:tc>
          <w:tcPr>
            <w:tcW w:w="0" w:type="auto"/>
            <w:vAlign w:val="center"/>
          </w:tcPr>
          <w:p w:rsidR="000A156F" w:rsidRDefault="00A9721F">
            <w:pPr>
              <w:pStyle w:val="TableBodyText"/>
            </w:pPr>
            <w:r>
              <w:t>SelectCurColor</w:t>
            </w:r>
          </w:p>
        </w:tc>
        <w:tc>
          <w:tcPr>
            <w:tcW w:w="0" w:type="auto"/>
            <w:vAlign w:val="center"/>
          </w:tcPr>
          <w:p w:rsidR="000A156F" w:rsidRDefault="00A9721F">
            <w:pPr>
              <w:pStyle w:val="TableBodyText"/>
            </w:pPr>
            <w:r>
              <w:t>0123</w:t>
            </w:r>
          </w:p>
        </w:tc>
      </w:tr>
      <w:tr w:rsidR="000A156F" w:rsidTr="000A156F">
        <w:tc>
          <w:tcPr>
            <w:tcW w:w="0" w:type="auto"/>
            <w:vAlign w:val="center"/>
          </w:tcPr>
          <w:p w:rsidR="000A156F" w:rsidRDefault="00A9721F">
            <w:pPr>
              <w:pStyle w:val="TableBodyText"/>
            </w:pPr>
            <w:r>
              <w:t>SelectCurFont</w:t>
            </w:r>
          </w:p>
        </w:tc>
        <w:tc>
          <w:tcPr>
            <w:tcW w:w="0" w:type="auto"/>
            <w:vAlign w:val="center"/>
          </w:tcPr>
          <w:p w:rsidR="000A156F" w:rsidRDefault="00A9721F">
            <w:pPr>
              <w:pStyle w:val="TableBodyText"/>
            </w:pPr>
            <w:r>
              <w:t>011E</w:t>
            </w:r>
          </w:p>
        </w:tc>
      </w:tr>
      <w:tr w:rsidR="000A156F" w:rsidTr="000A156F">
        <w:tc>
          <w:tcPr>
            <w:tcW w:w="0" w:type="auto"/>
            <w:vAlign w:val="center"/>
          </w:tcPr>
          <w:p w:rsidR="000A156F" w:rsidRDefault="00A9721F">
            <w:pPr>
              <w:pStyle w:val="TableBodyText"/>
            </w:pPr>
            <w:r>
              <w:t>SelectCurIndent</w:t>
            </w:r>
          </w:p>
        </w:tc>
        <w:tc>
          <w:tcPr>
            <w:tcW w:w="0" w:type="auto"/>
            <w:vAlign w:val="center"/>
          </w:tcPr>
          <w:p w:rsidR="000A156F" w:rsidRDefault="00A9721F">
            <w:pPr>
              <w:pStyle w:val="TableBodyText"/>
            </w:pPr>
            <w:r>
              <w:t>0121</w:t>
            </w:r>
          </w:p>
        </w:tc>
      </w:tr>
      <w:tr w:rsidR="000A156F" w:rsidTr="000A156F">
        <w:tc>
          <w:tcPr>
            <w:tcW w:w="0" w:type="auto"/>
            <w:vAlign w:val="center"/>
          </w:tcPr>
          <w:p w:rsidR="000A156F" w:rsidRDefault="00A9721F">
            <w:pPr>
              <w:pStyle w:val="TableBodyText"/>
            </w:pPr>
            <w:r>
              <w:t>SelectCurSpacing</w:t>
            </w:r>
          </w:p>
        </w:tc>
        <w:tc>
          <w:tcPr>
            <w:tcW w:w="0" w:type="auto"/>
            <w:vAlign w:val="center"/>
          </w:tcPr>
          <w:p w:rsidR="000A156F" w:rsidRDefault="00A9721F">
            <w:pPr>
              <w:pStyle w:val="TableBodyText"/>
            </w:pPr>
            <w:r>
              <w:t>0120</w:t>
            </w:r>
          </w:p>
        </w:tc>
      </w:tr>
      <w:tr w:rsidR="000A156F" w:rsidTr="000A156F">
        <w:tc>
          <w:tcPr>
            <w:tcW w:w="0" w:type="auto"/>
            <w:vAlign w:val="center"/>
          </w:tcPr>
          <w:p w:rsidR="000A156F" w:rsidRDefault="00A9721F">
            <w:pPr>
              <w:pStyle w:val="TableBodyText"/>
            </w:pPr>
            <w:r>
              <w:t>SelectCurTabs</w:t>
            </w:r>
          </w:p>
        </w:tc>
        <w:tc>
          <w:tcPr>
            <w:tcW w:w="0" w:type="auto"/>
            <w:vAlign w:val="center"/>
          </w:tcPr>
          <w:p w:rsidR="000A156F" w:rsidRDefault="00A9721F">
            <w:pPr>
              <w:pStyle w:val="TableBodyText"/>
            </w:pPr>
            <w:r>
              <w:t>0122</w:t>
            </w:r>
          </w:p>
        </w:tc>
      </w:tr>
      <w:tr w:rsidR="000A156F" w:rsidTr="000A156F">
        <w:tc>
          <w:tcPr>
            <w:tcW w:w="0" w:type="auto"/>
            <w:vAlign w:val="center"/>
          </w:tcPr>
          <w:p w:rsidR="000A156F" w:rsidRDefault="00A9721F">
            <w:pPr>
              <w:pStyle w:val="TableBodyText"/>
            </w:pPr>
            <w:r>
              <w:t>SelectDrawingObjects</w:t>
            </w:r>
          </w:p>
        </w:tc>
        <w:tc>
          <w:tcPr>
            <w:tcW w:w="0" w:type="auto"/>
            <w:vAlign w:val="center"/>
          </w:tcPr>
          <w:p w:rsidR="000A156F" w:rsidRDefault="00A9721F">
            <w:pPr>
              <w:pStyle w:val="TableBodyText"/>
            </w:pPr>
            <w:r>
              <w:t>0221</w:t>
            </w:r>
          </w:p>
        </w:tc>
      </w:tr>
      <w:tr w:rsidR="000A156F" w:rsidTr="000A156F">
        <w:tc>
          <w:tcPr>
            <w:tcW w:w="0" w:type="auto"/>
            <w:vAlign w:val="center"/>
          </w:tcPr>
          <w:p w:rsidR="000A156F" w:rsidRDefault="00A9721F">
            <w:pPr>
              <w:pStyle w:val="TableBodyText"/>
            </w:pPr>
            <w:r>
              <w:t>SelectNumber</w:t>
            </w:r>
          </w:p>
        </w:tc>
        <w:tc>
          <w:tcPr>
            <w:tcW w:w="0" w:type="auto"/>
            <w:vAlign w:val="center"/>
          </w:tcPr>
          <w:p w:rsidR="000A156F" w:rsidRDefault="00A9721F">
            <w:pPr>
              <w:pStyle w:val="TableBodyText"/>
            </w:pPr>
            <w:r>
              <w:t>0545</w:t>
            </w:r>
          </w:p>
        </w:tc>
      </w:tr>
      <w:tr w:rsidR="000A156F" w:rsidTr="000A156F">
        <w:tc>
          <w:tcPr>
            <w:tcW w:w="0" w:type="auto"/>
            <w:vAlign w:val="center"/>
          </w:tcPr>
          <w:p w:rsidR="000A156F" w:rsidRDefault="00A9721F">
            <w:pPr>
              <w:pStyle w:val="TableBodyText"/>
            </w:pPr>
            <w:r>
              <w:t>SelectSimilarFormatting</w:t>
            </w:r>
          </w:p>
        </w:tc>
        <w:tc>
          <w:tcPr>
            <w:tcW w:w="0" w:type="auto"/>
            <w:vAlign w:val="center"/>
          </w:tcPr>
          <w:p w:rsidR="000A156F" w:rsidRDefault="00A9721F">
            <w:pPr>
              <w:pStyle w:val="TableBodyText"/>
            </w:pPr>
            <w:r>
              <w:t>04DC</w:t>
            </w:r>
          </w:p>
        </w:tc>
      </w:tr>
      <w:tr w:rsidR="000A156F" w:rsidTr="000A156F">
        <w:tc>
          <w:tcPr>
            <w:tcW w:w="0" w:type="auto"/>
            <w:vAlign w:val="center"/>
          </w:tcPr>
          <w:p w:rsidR="000A156F" w:rsidRDefault="00A9721F">
            <w:pPr>
              <w:pStyle w:val="TableBodyText"/>
            </w:pPr>
            <w:r>
              <w:t>SendBackward</w:t>
            </w:r>
          </w:p>
        </w:tc>
        <w:tc>
          <w:tcPr>
            <w:tcW w:w="0" w:type="auto"/>
            <w:vAlign w:val="center"/>
          </w:tcPr>
          <w:p w:rsidR="000A156F" w:rsidRDefault="00A9721F">
            <w:pPr>
              <w:pStyle w:val="TableBodyText"/>
            </w:pPr>
            <w:r>
              <w:t>0859</w:t>
            </w:r>
          </w:p>
        </w:tc>
      </w:tr>
      <w:tr w:rsidR="000A156F" w:rsidTr="000A156F">
        <w:tc>
          <w:tcPr>
            <w:tcW w:w="0" w:type="auto"/>
            <w:vAlign w:val="center"/>
          </w:tcPr>
          <w:p w:rsidR="000A156F" w:rsidRDefault="00A9721F">
            <w:pPr>
              <w:pStyle w:val="TableBodyText"/>
            </w:pPr>
            <w:r>
              <w:t>SendForReview</w:t>
            </w:r>
          </w:p>
        </w:tc>
        <w:tc>
          <w:tcPr>
            <w:tcW w:w="0" w:type="auto"/>
            <w:vAlign w:val="center"/>
          </w:tcPr>
          <w:p w:rsidR="000A156F" w:rsidRDefault="00A9721F">
            <w:pPr>
              <w:pStyle w:val="TableBodyText"/>
            </w:pPr>
            <w:r>
              <w:t>0563</w:t>
            </w:r>
          </w:p>
        </w:tc>
      </w:tr>
      <w:tr w:rsidR="000A156F" w:rsidTr="000A156F">
        <w:tc>
          <w:tcPr>
            <w:tcW w:w="0" w:type="auto"/>
            <w:vAlign w:val="center"/>
          </w:tcPr>
          <w:p w:rsidR="000A156F" w:rsidRDefault="00A9721F">
            <w:pPr>
              <w:pStyle w:val="TableBodyText"/>
            </w:pPr>
            <w:r>
              <w:t>SendToBack</w:t>
            </w:r>
          </w:p>
        </w:tc>
        <w:tc>
          <w:tcPr>
            <w:tcW w:w="0" w:type="auto"/>
            <w:vAlign w:val="center"/>
          </w:tcPr>
          <w:p w:rsidR="000A156F" w:rsidRDefault="00A9721F">
            <w:pPr>
              <w:pStyle w:val="TableBodyText"/>
            </w:pPr>
            <w:r>
              <w:t>085A</w:t>
            </w:r>
          </w:p>
        </w:tc>
      </w:tr>
      <w:tr w:rsidR="000A156F" w:rsidTr="000A156F">
        <w:tc>
          <w:tcPr>
            <w:tcW w:w="0" w:type="auto"/>
            <w:vAlign w:val="center"/>
          </w:tcPr>
          <w:p w:rsidR="000A156F" w:rsidRDefault="00A9721F">
            <w:pPr>
              <w:pStyle w:val="TableBodyText"/>
            </w:pPr>
            <w:r>
              <w:t>SendToFax</w:t>
            </w:r>
          </w:p>
        </w:tc>
        <w:tc>
          <w:tcPr>
            <w:tcW w:w="0" w:type="auto"/>
            <w:vAlign w:val="center"/>
          </w:tcPr>
          <w:p w:rsidR="000A156F" w:rsidRDefault="00A9721F">
            <w:pPr>
              <w:pStyle w:val="TableBodyText"/>
            </w:pPr>
            <w:r>
              <w:t>03AC</w:t>
            </w:r>
          </w:p>
        </w:tc>
      </w:tr>
      <w:tr w:rsidR="000A156F" w:rsidTr="000A156F">
        <w:tc>
          <w:tcPr>
            <w:tcW w:w="0" w:type="auto"/>
            <w:vAlign w:val="center"/>
          </w:tcPr>
          <w:p w:rsidR="000A156F" w:rsidRDefault="00A9721F">
            <w:pPr>
              <w:pStyle w:val="TableBodyText"/>
            </w:pPr>
            <w:r>
              <w:t>SendToOnlineMeetingParticipants</w:t>
            </w:r>
          </w:p>
        </w:tc>
        <w:tc>
          <w:tcPr>
            <w:tcW w:w="0" w:type="auto"/>
            <w:vAlign w:val="center"/>
          </w:tcPr>
          <w:p w:rsidR="000A156F" w:rsidRDefault="00A9721F">
            <w:pPr>
              <w:pStyle w:val="TableBodyText"/>
            </w:pPr>
            <w:r>
              <w:t>03CF</w:t>
            </w:r>
          </w:p>
        </w:tc>
      </w:tr>
      <w:tr w:rsidR="000A156F" w:rsidTr="000A156F">
        <w:tc>
          <w:tcPr>
            <w:tcW w:w="0" w:type="auto"/>
            <w:vAlign w:val="center"/>
          </w:tcPr>
          <w:p w:rsidR="000A156F" w:rsidRDefault="00A9721F">
            <w:pPr>
              <w:pStyle w:val="TableBodyText"/>
            </w:pPr>
            <w:r>
              <w:t>SentLeft</w:t>
            </w:r>
          </w:p>
        </w:tc>
        <w:tc>
          <w:tcPr>
            <w:tcW w:w="0" w:type="auto"/>
            <w:vAlign w:val="center"/>
          </w:tcPr>
          <w:p w:rsidR="000A156F" w:rsidRDefault="00A9721F">
            <w:pPr>
              <w:pStyle w:val="TableBodyText"/>
            </w:pPr>
            <w:r>
              <w:t>0FA4</w:t>
            </w:r>
          </w:p>
        </w:tc>
      </w:tr>
      <w:tr w:rsidR="000A156F" w:rsidTr="000A156F">
        <w:tc>
          <w:tcPr>
            <w:tcW w:w="0" w:type="auto"/>
            <w:vAlign w:val="center"/>
          </w:tcPr>
          <w:p w:rsidR="000A156F" w:rsidRDefault="00A9721F">
            <w:pPr>
              <w:pStyle w:val="TableBodyText"/>
            </w:pPr>
            <w:r>
              <w:t>SentLeftExtend</w:t>
            </w:r>
          </w:p>
        </w:tc>
        <w:tc>
          <w:tcPr>
            <w:tcW w:w="0" w:type="auto"/>
            <w:vAlign w:val="center"/>
          </w:tcPr>
          <w:p w:rsidR="000A156F" w:rsidRDefault="00A9721F">
            <w:pPr>
              <w:pStyle w:val="TableBodyText"/>
            </w:pPr>
            <w:r>
              <w:t>0FB6</w:t>
            </w:r>
          </w:p>
        </w:tc>
      </w:tr>
      <w:tr w:rsidR="000A156F" w:rsidTr="000A156F">
        <w:tc>
          <w:tcPr>
            <w:tcW w:w="0" w:type="auto"/>
            <w:vAlign w:val="center"/>
          </w:tcPr>
          <w:p w:rsidR="000A156F" w:rsidRDefault="00A9721F">
            <w:pPr>
              <w:pStyle w:val="TableBodyText"/>
            </w:pPr>
            <w:r>
              <w:t>SentRight</w:t>
            </w:r>
          </w:p>
        </w:tc>
        <w:tc>
          <w:tcPr>
            <w:tcW w:w="0" w:type="auto"/>
            <w:vAlign w:val="center"/>
          </w:tcPr>
          <w:p w:rsidR="000A156F" w:rsidRDefault="00A9721F">
            <w:pPr>
              <w:pStyle w:val="TableBodyText"/>
            </w:pPr>
            <w:r>
              <w:t>0FA5</w:t>
            </w:r>
          </w:p>
        </w:tc>
      </w:tr>
      <w:tr w:rsidR="000A156F" w:rsidTr="000A156F">
        <w:tc>
          <w:tcPr>
            <w:tcW w:w="0" w:type="auto"/>
            <w:vAlign w:val="center"/>
          </w:tcPr>
          <w:p w:rsidR="000A156F" w:rsidRDefault="00A9721F">
            <w:pPr>
              <w:pStyle w:val="TableBodyText"/>
            </w:pPr>
            <w:r>
              <w:t>SentRightExtend</w:t>
            </w:r>
          </w:p>
        </w:tc>
        <w:tc>
          <w:tcPr>
            <w:tcW w:w="0" w:type="auto"/>
            <w:vAlign w:val="center"/>
          </w:tcPr>
          <w:p w:rsidR="000A156F" w:rsidRDefault="00A9721F">
            <w:pPr>
              <w:pStyle w:val="TableBodyText"/>
            </w:pPr>
            <w:r>
              <w:t>0FB7</w:t>
            </w:r>
          </w:p>
        </w:tc>
      </w:tr>
      <w:tr w:rsidR="000A156F" w:rsidTr="000A156F">
        <w:tc>
          <w:tcPr>
            <w:tcW w:w="0" w:type="auto"/>
            <w:vAlign w:val="center"/>
          </w:tcPr>
          <w:p w:rsidR="000A156F" w:rsidRDefault="00A9721F">
            <w:pPr>
              <w:pStyle w:val="TableBodyText"/>
            </w:pPr>
            <w:r>
              <w:t>SeparateList</w:t>
            </w:r>
          </w:p>
        </w:tc>
        <w:tc>
          <w:tcPr>
            <w:tcW w:w="0" w:type="auto"/>
            <w:vAlign w:val="center"/>
          </w:tcPr>
          <w:p w:rsidR="000A156F" w:rsidRDefault="00A9721F">
            <w:pPr>
              <w:pStyle w:val="TableBodyText"/>
            </w:pPr>
            <w:r>
              <w:t>0770</w:t>
            </w:r>
          </w:p>
        </w:tc>
      </w:tr>
      <w:tr w:rsidR="000A156F" w:rsidTr="000A156F">
        <w:tc>
          <w:tcPr>
            <w:tcW w:w="0" w:type="auto"/>
            <w:vAlign w:val="center"/>
          </w:tcPr>
          <w:p w:rsidR="000A156F" w:rsidRDefault="00A9721F">
            <w:pPr>
              <w:pStyle w:val="TableBodyText"/>
            </w:pPr>
            <w:r>
              <w:t>SetDrawingDefaults</w:t>
            </w:r>
          </w:p>
        </w:tc>
        <w:tc>
          <w:tcPr>
            <w:tcW w:w="0" w:type="auto"/>
            <w:vAlign w:val="center"/>
          </w:tcPr>
          <w:p w:rsidR="000A156F" w:rsidRDefault="00A9721F">
            <w:pPr>
              <w:pStyle w:val="TableBodyText"/>
            </w:pPr>
            <w:r>
              <w:t>03E1</w:t>
            </w:r>
          </w:p>
        </w:tc>
      </w:tr>
      <w:tr w:rsidR="000A156F" w:rsidTr="000A156F">
        <w:tc>
          <w:tcPr>
            <w:tcW w:w="0" w:type="auto"/>
            <w:vAlign w:val="center"/>
          </w:tcPr>
          <w:p w:rsidR="000A156F" w:rsidRDefault="00A9721F">
            <w:pPr>
              <w:pStyle w:val="TableBodyText"/>
            </w:pPr>
            <w:r>
              <w:t>SetListLevelVBA</w:t>
            </w:r>
          </w:p>
        </w:tc>
        <w:tc>
          <w:tcPr>
            <w:tcW w:w="0" w:type="auto"/>
            <w:vAlign w:val="center"/>
          </w:tcPr>
          <w:p w:rsidR="000A156F" w:rsidRDefault="00A9721F">
            <w:pPr>
              <w:pStyle w:val="TableBodyText"/>
            </w:pPr>
            <w:r>
              <w:t>0885</w:t>
            </w:r>
          </w:p>
        </w:tc>
      </w:tr>
      <w:tr w:rsidR="000A156F" w:rsidTr="000A156F">
        <w:tc>
          <w:tcPr>
            <w:tcW w:w="0" w:type="auto"/>
            <w:vAlign w:val="center"/>
          </w:tcPr>
          <w:p w:rsidR="000A156F" w:rsidRDefault="00A9721F">
            <w:pPr>
              <w:pStyle w:val="TableBodyText"/>
            </w:pPr>
            <w:r>
              <w:t>SetNumberingValue</w:t>
            </w:r>
          </w:p>
        </w:tc>
        <w:tc>
          <w:tcPr>
            <w:tcW w:w="0" w:type="auto"/>
            <w:vAlign w:val="center"/>
          </w:tcPr>
          <w:p w:rsidR="000A156F" w:rsidRDefault="00A9721F">
            <w:pPr>
              <w:pStyle w:val="TableBodyText"/>
            </w:pPr>
            <w:r>
              <w:t>0774</w:t>
            </w:r>
          </w:p>
        </w:tc>
      </w:tr>
      <w:tr w:rsidR="000A156F" w:rsidTr="000A156F">
        <w:tc>
          <w:tcPr>
            <w:tcW w:w="0" w:type="auto"/>
            <w:vAlign w:val="center"/>
          </w:tcPr>
          <w:p w:rsidR="000A156F" w:rsidRDefault="00A9721F">
            <w:pPr>
              <w:pStyle w:val="TableBodyText"/>
            </w:pPr>
            <w:r>
              <w:t>Shading</w:t>
            </w:r>
          </w:p>
        </w:tc>
        <w:tc>
          <w:tcPr>
            <w:tcW w:w="0" w:type="auto"/>
            <w:vAlign w:val="center"/>
          </w:tcPr>
          <w:p w:rsidR="000A156F" w:rsidRDefault="00A9721F">
            <w:pPr>
              <w:pStyle w:val="TableBodyText"/>
            </w:pPr>
            <w:r>
              <w:t>0222</w:t>
            </w:r>
          </w:p>
        </w:tc>
      </w:tr>
      <w:tr w:rsidR="000A156F" w:rsidTr="000A156F">
        <w:tc>
          <w:tcPr>
            <w:tcW w:w="0" w:type="auto"/>
            <w:vAlign w:val="center"/>
          </w:tcPr>
          <w:p w:rsidR="000A156F" w:rsidRDefault="00A9721F">
            <w:pPr>
              <w:pStyle w:val="TableBodyText"/>
            </w:pPr>
            <w:r>
              <w:t>ShadingColor</w:t>
            </w:r>
          </w:p>
        </w:tc>
        <w:tc>
          <w:tcPr>
            <w:tcW w:w="0" w:type="auto"/>
            <w:vAlign w:val="center"/>
          </w:tcPr>
          <w:p w:rsidR="000A156F" w:rsidRDefault="00A9721F">
            <w:pPr>
              <w:pStyle w:val="TableBodyText"/>
            </w:pPr>
            <w:r>
              <w:t>0361</w:t>
            </w:r>
          </w:p>
        </w:tc>
      </w:tr>
      <w:tr w:rsidR="000A156F" w:rsidTr="000A156F">
        <w:tc>
          <w:tcPr>
            <w:tcW w:w="0" w:type="auto"/>
            <w:vAlign w:val="center"/>
          </w:tcPr>
          <w:p w:rsidR="000A156F" w:rsidRDefault="00A9721F">
            <w:pPr>
              <w:pStyle w:val="TableBodyText"/>
            </w:pPr>
            <w:r>
              <w:t>ShadingColorPicker</w:t>
            </w:r>
          </w:p>
        </w:tc>
        <w:tc>
          <w:tcPr>
            <w:tcW w:w="0" w:type="auto"/>
            <w:vAlign w:val="center"/>
          </w:tcPr>
          <w:p w:rsidR="000A156F" w:rsidRDefault="00A9721F">
            <w:pPr>
              <w:pStyle w:val="TableBodyText"/>
            </w:pPr>
            <w:r>
              <w:t>0856</w:t>
            </w:r>
          </w:p>
        </w:tc>
      </w:tr>
      <w:tr w:rsidR="000A156F" w:rsidTr="000A156F">
        <w:tc>
          <w:tcPr>
            <w:tcW w:w="0" w:type="auto"/>
            <w:vAlign w:val="center"/>
          </w:tcPr>
          <w:p w:rsidR="000A156F" w:rsidRDefault="00A9721F">
            <w:pPr>
              <w:pStyle w:val="TableBodyText"/>
            </w:pPr>
            <w:r>
              <w:t>ShadingPattern</w:t>
            </w:r>
          </w:p>
        </w:tc>
        <w:tc>
          <w:tcPr>
            <w:tcW w:w="0" w:type="auto"/>
            <w:vAlign w:val="center"/>
          </w:tcPr>
          <w:p w:rsidR="000A156F" w:rsidRDefault="00A9721F">
            <w:pPr>
              <w:pStyle w:val="TableBodyText"/>
            </w:pPr>
            <w:r>
              <w:t>01C4</w:t>
            </w:r>
          </w:p>
        </w:tc>
      </w:tr>
      <w:tr w:rsidR="000A156F" w:rsidTr="000A156F">
        <w:tc>
          <w:tcPr>
            <w:tcW w:w="0" w:type="auto"/>
            <w:vAlign w:val="center"/>
          </w:tcPr>
          <w:p w:rsidR="000A156F" w:rsidRDefault="00A9721F">
            <w:pPr>
              <w:pStyle w:val="TableBodyText"/>
            </w:pPr>
            <w:r>
              <w:t>ShadowStyleGallery</w:t>
            </w:r>
          </w:p>
        </w:tc>
        <w:tc>
          <w:tcPr>
            <w:tcW w:w="0" w:type="auto"/>
            <w:vAlign w:val="center"/>
          </w:tcPr>
          <w:p w:rsidR="000A156F" w:rsidRDefault="00A9721F">
            <w:pPr>
              <w:pStyle w:val="TableBodyText"/>
            </w:pPr>
            <w:r>
              <w:t>08C8</w:t>
            </w:r>
          </w:p>
        </w:tc>
      </w:tr>
      <w:tr w:rsidR="000A156F" w:rsidTr="000A156F">
        <w:tc>
          <w:tcPr>
            <w:tcW w:w="0" w:type="auto"/>
            <w:vAlign w:val="center"/>
          </w:tcPr>
          <w:p w:rsidR="000A156F" w:rsidRDefault="00A9721F">
            <w:pPr>
              <w:pStyle w:val="TableBodyText"/>
            </w:pPr>
            <w:r>
              <w:t>ShapeHeightSpinner</w:t>
            </w:r>
          </w:p>
        </w:tc>
        <w:tc>
          <w:tcPr>
            <w:tcW w:w="0" w:type="auto"/>
            <w:vAlign w:val="center"/>
          </w:tcPr>
          <w:p w:rsidR="000A156F" w:rsidRDefault="00A9721F">
            <w:pPr>
              <w:pStyle w:val="TableBodyText"/>
            </w:pPr>
            <w:r>
              <w:t>08B6</w:t>
            </w:r>
          </w:p>
        </w:tc>
      </w:tr>
      <w:tr w:rsidR="000A156F" w:rsidTr="000A156F">
        <w:tc>
          <w:tcPr>
            <w:tcW w:w="0" w:type="auto"/>
            <w:vAlign w:val="center"/>
          </w:tcPr>
          <w:p w:rsidR="000A156F" w:rsidRDefault="00A9721F">
            <w:pPr>
              <w:pStyle w:val="TableBodyText"/>
            </w:pPr>
            <w:r>
              <w:t>ShapeStyleGallery</w:t>
            </w:r>
          </w:p>
        </w:tc>
        <w:tc>
          <w:tcPr>
            <w:tcW w:w="0" w:type="auto"/>
            <w:vAlign w:val="center"/>
          </w:tcPr>
          <w:p w:rsidR="000A156F" w:rsidRDefault="00A9721F">
            <w:pPr>
              <w:pStyle w:val="TableBodyText"/>
            </w:pPr>
            <w:r>
              <w:t>08D2</w:t>
            </w:r>
          </w:p>
        </w:tc>
      </w:tr>
      <w:tr w:rsidR="000A156F" w:rsidTr="000A156F">
        <w:tc>
          <w:tcPr>
            <w:tcW w:w="0" w:type="auto"/>
            <w:vAlign w:val="center"/>
          </w:tcPr>
          <w:p w:rsidR="000A156F" w:rsidRDefault="00A9721F">
            <w:pPr>
              <w:pStyle w:val="TableBodyText"/>
            </w:pPr>
            <w:r>
              <w:t>ShapeWidthSpinner</w:t>
            </w:r>
          </w:p>
        </w:tc>
        <w:tc>
          <w:tcPr>
            <w:tcW w:w="0" w:type="auto"/>
            <w:vAlign w:val="center"/>
          </w:tcPr>
          <w:p w:rsidR="000A156F" w:rsidRDefault="00A9721F">
            <w:pPr>
              <w:pStyle w:val="TableBodyText"/>
            </w:pPr>
            <w:r>
              <w:t>08B7</w:t>
            </w:r>
          </w:p>
        </w:tc>
      </w:tr>
      <w:tr w:rsidR="000A156F" w:rsidTr="000A156F">
        <w:tc>
          <w:tcPr>
            <w:tcW w:w="0" w:type="auto"/>
            <w:vAlign w:val="center"/>
          </w:tcPr>
          <w:p w:rsidR="000A156F" w:rsidRDefault="00A9721F">
            <w:pPr>
              <w:pStyle w:val="TableBodyText"/>
            </w:pPr>
            <w:r>
              <w:t>ShowAddInsXDialog</w:t>
            </w:r>
          </w:p>
        </w:tc>
        <w:tc>
          <w:tcPr>
            <w:tcW w:w="0" w:type="auto"/>
            <w:vAlign w:val="center"/>
          </w:tcPr>
          <w:p w:rsidR="000A156F" w:rsidRDefault="00A9721F">
            <w:pPr>
              <w:pStyle w:val="TableBodyText"/>
            </w:pPr>
            <w:r>
              <w:t>03A8</w:t>
            </w:r>
          </w:p>
        </w:tc>
      </w:tr>
      <w:tr w:rsidR="000A156F" w:rsidTr="000A156F">
        <w:tc>
          <w:tcPr>
            <w:tcW w:w="0" w:type="auto"/>
            <w:vAlign w:val="center"/>
          </w:tcPr>
          <w:p w:rsidR="000A156F" w:rsidRDefault="00A9721F">
            <w:pPr>
              <w:pStyle w:val="TableBodyText"/>
            </w:pPr>
            <w:r>
              <w:t>ShowAll</w:t>
            </w:r>
          </w:p>
        </w:tc>
        <w:tc>
          <w:tcPr>
            <w:tcW w:w="0" w:type="auto"/>
            <w:vAlign w:val="center"/>
          </w:tcPr>
          <w:p w:rsidR="000A156F" w:rsidRDefault="00A9721F">
            <w:pPr>
              <w:pStyle w:val="TableBodyText"/>
            </w:pPr>
            <w:r>
              <w:t>0114</w:t>
            </w:r>
          </w:p>
        </w:tc>
      </w:tr>
      <w:tr w:rsidR="000A156F" w:rsidTr="000A156F">
        <w:tc>
          <w:tcPr>
            <w:tcW w:w="0" w:type="auto"/>
            <w:vAlign w:val="center"/>
          </w:tcPr>
          <w:p w:rsidR="000A156F" w:rsidRDefault="00A9721F">
            <w:pPr>
              <w:pStyle w:val="TableBodyText"/>
            </w:pPr>
            <w:r>
              <w:lastRenderedPageBreak/>
              <w:t>ShowAllAuthors</w:t>
            </w:r>
          </w:p>
        </w:tc>
        <w:tc>
          <w:tcPr>
            <w:tcW w:w="0" w:type="auto"/>
            <w:vAlign w:val="center"/>
          </w:tcPr>
          <w:p w:rsidR="000A156F" w:rsidRDefault="00A9721F">
            <w:pPr>
              <w:pStyle w:val="TableBodyText"/>
            </w:pPr>
            <w:r>
              <w:t>0539</w:t>
            </w:r>
          </w:p>
        </w:tc>
      </w:tr>
      <w:tr w:rsidR="000A156F" w:rsidTr="000A156F">
        <w:tc>
          <w:tcPr>
            <w:tcW w:w="0" w:type="auto"/>
            <w:vAlign w:val="center"/>
          </w:tcPr>
          <w:p w:rsidR="000A156F" w:rsidRDefault="00A9721F">
            <w:pPr>
              <w:pStyle w:val="TableBodyText"/>
            </w:pPr>
            <w:r>
              <w:t>ShowAllConsistency</w:t>
            </w:r>
          </w:p>
        </w:tc>
        <w:tc>
          <w:tcPr>
            <w:tcW w:w="0" w:type="auto"/>
            <w:vAlign w:val="center"/>
          </w:tcPr>
          <w:p w:rsidR="000A156F" w:rsidRDefault="00A9721F">
            <w:pPr>
              <w:pStyle w:val="TableBodyText"/>
            </w:pPr>
            <w:r>
              <w:t>0494</w:t>
            </w:r>
          </w:p>
        </w:tc>
      </w:tr>
      <w:tr w:rsidR="000A156F" w:rsidTr="000A156F">
        <w:tc>
          <w:tcPr>
            <w:tcW w:w="0" w:type="auto"/>
            <w:vAlign w:val="center"/>
          </w:tcPr>
          <w:p w:rsidR="000A156F" w:rsidRDefault="00A9721F">
            <w:pPr>
              <w:pStyle w:val="TableBodyText"/>
            </w:pPr>
            <w:r>
              <w:t>ShowAllHeadings</w:t>
            </w:r>
          </w:p>
        </w:tc>
        <w:tc>
          <w:tcPr>
            <w:tcW w:w="0" w:type="auto"/>
            <w:vAlign w:val="center"/>
          </w:tcPr>
          <w:p w:rsidR="000A156F" w:rsidRDefault="00A9721F">
            <w:pPr>
              <w:pStyle w:val="TableBodyText"/>
            </w:pPr>
            <w:r>
              <w:t>0104</w:t>
            </w:r>
          </w:p>
        </w:tc>
      </w:tr>
      <w:tr w:rsidR="000A156F" w:rsidTr="000A156F">
        <w:tc>
          <w:tcPr>
            <w:tcW w:w="0" w:type="auto"/>
            <w:vAlign w:val="center"/>
          </w:tcPr>
          <w:p w:rsidR="000A156F" w:rsidRDefault="00A9721F">
            <w:pPr>
              <w:pStyle w:val="TableBodyText"/>
            </w:pPr>
            <w:r>
              <w:t>ShowChangesAndComments</w:t>
            </w:r>
          </w:p>
        </w:tc>
        <w:tc>
          <w:tcPr>
            <w:tcW w:w="0" w:type="auto"/>
            <w:vAlign w:val="center"/>
          </w:tcPr>
          <w:p w:rsidR="000A156F" w:rsidRDefault="00A9721F">
            <w:pPr>
              <w:pStyle w:val="TableBodyText"/>
            </w:pPr>
            <w:r>
              <w:t>0508</w:t>
            </w:r>
          </w:p>
        </w:tc>
      </w:tr>
      <w:tr w:rsidR="000A156F" w:rsidTr="000A156F">
        <w:tc>
          <w:tcPr>
            <w:tcW w:w="0" w:type="auto"/>
            <w:vAlign w:val="center"/>
          </w:tcPr>
          <w:p w:rsidR="000A156F" w:rsidRDefault="00A9721F">
            <w:pPr>
              <w:pStyle w:val="TableBodyText"/>
            </w:pPr>
            <w:r>
              <w:t>ShowComments</w:t>
            </w:r>
          </w:p>
        </w:tc>
        <w:tc>
          <w:tcPr>
            <w:tcW w:w="0" w:type="auto"/>
            <w:vAlign w:val="center"/>
          </w:tcPr>
          <w:p w:rsidR="000A156F" w:rsidRDefault="00A9721F">
            <w:pPr>
              <w:pStyle w:val="TableBodyText"/>
            </w:pPr>
            <w:r>
              <w:t>0509</w:t>
            </w:r>
          </w:p>
        </w:tc>
      </w:tr>
      <w:tr w:rsidR="000A156F" w:rsidTr="000A156F">
        <w:tc>
          <w:tcPr>
            <w:tcW w:w="0" w:type="auto"/>
            <w:vAlign w:val="center"/>
          </w:tcPr>
          <w:p w:rsidR="000A156F" w:rsidRDefault="00A9721F">
            <w:pPr>
              <w:pStyle w:val="TableBodyText"/>
            </w:pPr>
            <w:r>
              <w:t>ShowConsistency</w:t>
            </w:r>
          </w:p>
        </w:tc>
        <w:tc>
          <w:tcPr>
            <w:tcW w:w="0" w:type="auto"/>
            <w:vAlign w:val="center"/>
          </w:tcPr>
          <w:p w:rsidR="000A156F" w:rsidRDefault="00A9721F">
            <w:pPr>
              <w:pStyle w:val="TableBodyText"/>
            </w:pPr>
            <w:r>
              <w:t>0461</w:t>
            </w:r>
          </w:p>
        </w:tc>
      </w:tr>
      <w:tr w:rsidR="000A156F" w:rsidTr="000A156F">
        <w:tc>
          <w:tcPr>
            <w:tcW w:w="0" w:type="auto"/>
            <w:vAlign w:val="center"/>
          </w:tcPr>
          <w:p w:rsidR="000A156F" w:rsidRDefault="00A9721F">
            <w:pPr>
              <w:pStyle w:val="TableBodyText"/>
            </w:pPr>
            <w:r>
              <w:t>ShowFormatting</w:t>
            </w:r>
          </w:p>
        </w:tc>
        <w:tc>
          <w:tcPr>
            <w:tcW w:w="0" w:type="auto"/>
            <w:vAlign w:val="center"/>
          </w:tcPr>
          <w:p w:rsidR="000A156F" w:rsidRDefault="00A9721F">
            <w:pPr>
              <w:pStyle w:val="TableBodyText"/>
            </w:pPr>
            <w:r>
              <w:t>050B</w:t>
            </w:r>
          </w:p>
        </w:tc>
      </w:tr>
      <w:tr w:rsidR="000A156F" w:rsidTr="000A156F">
        <w:tc>
          <w:tcPr>
            <w:tcW w:w="0" w:type="auto"/>
            <w:vAlign w:val="center"/>
          </w:tcPr>
          <w:p w:rsidR="000A156F" w:rsidRDefault="00A9721F">
            <w:pPr>
              <w:pStyle w:val="TableBodyText"/>
            </w:pPr>
            <w:r>
              <w:t>ShowHeading1</w:t>
            </w:r>
          </w:p>
        </w:tc>
        <w:tc>
          <w:tcPr>
            <w:tcW w:w="0" w:type="auto"/>
            <w:vAlign w:val="center"/>
          </w:tcPr>
          <w:p w:rsidR="000A156F" w:rsidRDefault="00A9721F">
            <w:pPr>
              <w:pStyle w:val="TableBodyText"/>
            </w:pPr>
            <w:r>
              <w:t>00FB</w:t>
            </w:r>
          </w:p>
        </w:tc>
      </w:tr>
      <w:tr w:rsidR="000A156F" w:rsidTr="000A156F">
        <w:tc>
          <w:tcPr>
            <w:tcW w:w="0" w:type="auto"/>
            <w:vAlign w:val="center"/>
          </w:tcPr>
          <w:p w:rsidR="000A156F" w:rsidRDefault="00A9721F">
            <w:pPr>
              <w:pStyle w:val="TableBodyText"/>
            </w:pPr>
            <w:r>
              <w:t>ShowHeading2</w:t>
            </w:r>
          </w:p>
        </w:tc>
        <w:tc>
          <w:tcPr>
            <w:tcW w:w="0" w:type="auto"/>
            <w:vAlign w:val="center"/>
          </w:tcPr>
          <w:p w:rsidR="000A156F" w:rsidRDefault="00A9721F">
            <w:pPr>
              <w:pStyle w:val="TableBodyText"/>
            </w:pPr>
            <w:r>
              <w:t>00FC</w:t>
            </w:r>
          </w:p>
        </w:tc>
      </w:tr>
      <w:tr w:rsidR="000A156F" w:rsidTr="000A156F">
        <w:tc>
          <w:tcPr>
            <w:tcW w:w="0" w:type="auto"/>
            <w:vAlign w:val="center"/>
          </w:tcPr>
          <w:p w:rsidR="000A156F" w:rsidRDefault="00A9721F">
            <w:pPr>
              <w:pStyle w:val="TableBodyText"/>
            </w:pPr>
            <w:r>
              <w:t>ShowHeading3</w:t>
            </w:r>
          </w:p>
        </w:tc>
        <w:tc>
          <w:tcPr>
            <w:tcW w:w="0" w:type="auto"/>
            <w:vAlign w:val="center"/>
          </w:tcPr>
          <w:p w:rsidR="000A156F" w:rsidRDefault="00A9721F">
            <w:pPr>
              <w:pStyle w:val="TableBodyText"/>
            </w:pPr>
            <w:r>
              <w:t>00FD</w:t>
            </w:r>
          </w:p>
        </w:tc>
      </w:tr>
      <w:tr w:rsidR="000A156F" w:rsidTr="000A156F">
        <w:tc>
          <w:tcPr>
            <w:tcW w:w="0" w:type="auto"/>
            <w:vAlign w:val="center"/>
          </w:tcPr>
          <w:p w:rsidR="000A156F" w:rsidRDefault="00A9721F">
            <w:pPr>
              <w:pStyle w:val="TableBodyText"/>
            </w:pPr>
            <w:r>
              <w:t>ShowHeading4</w:t>
            </w:r>
          </w:p>
        </w:tc>
        <w:tc>
          <w:tcPr>
            <w:tcW w:w="0" w:type="auto"/>
            <w:vAlign w:val="center"/>
          </w:tcPr>
          <w:p w:rsidR="000A156F" w:rsidRDefault="00A9721F">
            <w:pPr>
              <w:pStyle w:val="TableBodyText"/>
            </w:pPr>
            <w:r>
              <w:t>00FE</w:t>
            </w:r>
          </w:p>
        </w:tc>
      </w:tr>
      <w:tr w:rsidR="000A156F" w:rsidTr="000A156F">
        <w:tc>
          <w:tcPr>
            <w:tcW w:w="0" w:type="auto"/>
            <w:vAlign w:val="center"/>
          </w:tcPr>
          <w:p w:rsidR="000A156F" w:rsidRDefault="00A9721F">
            <w:pPr>
              <w:pStyle w:val="TableBodyText"/>
            </w:pPr>
            <w:r>
              <w:t>ShowHeading5</w:t>
            </w:r>
          </w:p>
        </w:tc>
        <w:tc>
          <w:tcPr>
            <w:tcW w:w="0" w:type="auto"/>
            <w:vAlign w:val="center"/>
          </w:tcPr>
          <w:p w:rsidR="000A156F" w:rsidRDefault="00A9721F">
            <w:pPr>
              <w:pStyle w:val="TableBodyText"/>
            </w:pPr>
            <w:r>
              <w:t>00FF</w:t>
            </w:r>
          </w:p>
        </w:tc>
      </w:tr>
      <w:tr w:rsidR="000A156F" w:rsidTr="000A156F">
        <w:tc>
          <w:tcPr>
            <w:tcW w:w="0" w:type="auto"/>
            <w:vAlign w:val="center"/>
          </w:tcPr>
          <w:p w:rsidR="000A156F" w:rsidRDefault="00A9721F">
            <w:pPr>
              <w:pStyle w:val="TableBodyText"/>
            </w:pPr>
            <w:r>
              <w:t>ShowHeading6</w:t>
            </w:r>
          </w:p>
        </w:tc>
        <w:tc>
          <w:tcPr>
            <w:tcW w:w="0" w:type="auto"/>
            <w:vAlign w:val="center"/>
          </w:tcPr>
          <w:p w:rsidR="000A156F" w:rsidRDefault="00A9721F">
            <w:pPr>
              <w:pStyle w:val="TableBodyText"/>
            </w:pPr>
            <w:r>
              <w:t>0100</w:t>
            </w:r>
          </w:p>
        </w:tc>
      </w:tr>
      <w:tr w:rsidR="000A156F" w:rsidTr="000A156F">
        <w:tc>
          <w:tcPr>
            <w:tcW w:w="0" w:type="auto"/>
            <w:vAlign w:val="center"/>
          </w:tcPr>
          <w:p w:rsidR="000A156F" w:rsidRDefault="00A9721F">
            <w:pPr>
              <w:pStyle w:val="TableBodyText"/>
            </w:pPr>
            <w:r>
              <w:t>ShowHeading7</w:t>
            </w:r>
          </w:p>
        </w:tc>
        <w:tc>
          <w:tcPr>
            <w:tcW w:w="0" w:type="auto"/>
            <w:vAlign w:val="center"/>
          </w:tcPr>
          <w:p w:rsidR="000A156F" w:rsidRDefault="00A9721F">
            <w:pPr>
              <w:pStyle w:val="TableBodyText"/>
            </w:pPr>
            <w:r>
              <w:t>0101</w:t>
            </w:r>
          </w:p>
        </w:tc>
      </w:tr>
      <w:tr w:rsidR="000A156F" w:rsidTr="000A156F">
        <w:tc>
          <w:tcPr>
            <w:tcW w:w="0" w:type="auto"/>
            <w:vAlign w:val="center"/>
          </w:tcPr>
          <w:p w:rsidR="000A156F" w:rsidRDefault="00A9721F">
            <w:pPr>
              <w:pStyle w:val="TableBodyText"/>
            </w:pPr>
            <w:r>
              <w:t>ShowHeading8</w:t>
            </w:r>
          </w:p>
        </w:tc>
        <w:tc>
          <w:tcPr>
            <w:tcW w:w="0" w:type="auto"/>
            <w:vAlign w:val="center"/>
          </w:tcPr>
          <w:p w:rsidR="000A156F" w:rsidRDefault="00A9721F">
            <w:pPr>
              <w:pStyle w:val="TableBodyText"/>
            </w:pPr>
            <w:r>
              <w:t>0102</w:t>
            </w:r>
          </w:p>
        </w:tc>
      </w:tr>
      <w:tr w:rsidR="000A156F" w:rsidTr="000A156F">
        <w:tc>
          <w:tcPr>
            <w:tcW w:w="0" w:type="auto"/>
            <w:vAlign w:val="center"/>
          </w:tcPr>
          <w:p w:rsidR="000A156F" w:rsidRDefault="00A9721F">
            <w:pPr>
              <w:pStyle w:val="TableBodyText"/>
            </w:pPr>
            <w:r>
              <w:t>ShowHeading9</w:t>
            </w:r>
          </w:p>
        </w:tc>
        <w:tc>
          <w:tcPr>
            <w:tcW w:w="0" w:type="auto"/>
            <w:vAlign w:val="center"/>
          </w:tcPr>
          <w:p w:rsidR="000A156F" w:rsidRDefault="00A9721F">
            <w:pPr>
              <w:pStyle w:val="TableBodyText"/>
            </w:pPr>
            <w:r>
              <w:t>0103</w:t>
            </w:r>
          </w:p>
        </w:tc>
      </w:tr>
      <w:tr w:rsidR="000A156F" w:rsidTr="000A156F">
        <w:tc>
          <w:tcPr>
            <w:tcW w:w="0" w:type="auto"/>
            <w:vAlign w:val="center"/>
          </w:tcPr>
          <w:p w:rsidR="000A156F" w:rsidRDefault="00A9721F">
            <w:pPr>
              <w:pStyle w:val="TableBodyText"/>
            </w:pPr>
            <w:r>
              <w:t>ShowInkAnnotations</w:t>
            </w:r>
          </w:p>
        </w:tc>
        <w:tc>
          <w:tcPr>
            <w:tcW w:w="0" w:type="auto"/>
            <w:vAlign w:val="center"/>
          </w:tcPr>
          <w:p w:rsidR="000A156F" w:rsidRDefault="00A9721F">
            <w:pPr>
              <w:pStyle w:val="TableBodyText"/>
            </w:pPr>
            <w:r>
              <w:t>05AA</w:t>
            </w:r>
          </w:p>
        </w:tc>
      </w:tr>
      <w:tr w:rsidR="000A156F" w:rsidTr="000A156F">
        <w:tc>
          <w:tcPr>
            <w:tcW w:w="0" w:type="auto"/>
            <w:vAlign w:val="center"/>
          </w:tcPr>
          <w:p w:rsidR="000A156F" w:rsidRDefault="00A9721F">
            <w:pPr>
              <w:pStyle w:val="TableBodyText"/>
            </w:pPr>
            <w:r>
              <w:t>ShowInsertionsAndDeletions</w:t>
            </w:r>
          </w:p>
        </w:tc>
        <w:tc>
          <w:tcPr>
            <w:tcW w:w="0" w:type="auto"/>
            <w:vAlign w:val="center"/>
          </w:tcPr>
          <w:p w:rsidR="000A156F" w:rsidRDefault="00A9721F">
            <w:pPr>
              <w:pStyle w:val="TableBodyText"/>
            </w:pPr>
            <w:r>
              <w:t>050A</w:t>
            </w:r>
          </w:p>
        </w:tc>
      </w:tr>
      <w:tr w:rsidR="000A156F" w:rsidTr="000A156F">
        <w:tc>
          <w:tcPr>
            <w:tcW w:w="0" w:type="auto"/>
            <w:vAlign w:val="center"/>
          </w:tcPr>
          <w:p w:rsidR="000A156F" w:rsidRDefault="00A9721F">
            <w:pPr>
              <w:pStyle w:val="TableBodyText"/>
            </w:pPr>
            <w:r>
              <w:t>ShowLevel</w:t>
            </w:r>
          </w:p>
        </w:tc>
        <w:tc>
          <w:tcPr>
            <w:tcW w:w="0" w:type="auto"/>
            <w:vAlign w:val="center"/>
          </w:tcPr>
          <w:p w:rsidR="000A156F" w:rsidRDefault="00A9721F">
            <w:pPr>
              <w:pStyle w:val="TableBodyText"/>
            </w:pPr>
            <w:r>
              <w:t>0570</w:t>
            </w:r>
          </w:p>
        </w:tc>
      </w:tr>
      <w:tr w:rsidR="000A156F" w:rsidTr="000A156F">
        <w:tc>
          <w:tcPr>
            <w:tcW w:w="0" w:type="auto"/>
            <w:vAlign w:val="center"/>
          </w:tcPr>
          <w:p w:rsidR="000A156F" w:rsidRDefault="00A9721F">
            <w:pPr>
              <w:pStyle w:val="TableBodyText"/>
            </w:pPr>
            <w:r>
              <w:t>ShowMarkupArea</w:t>
            </w:r>
          </w:p>
        </w:tc>
        <w:tc>
          <w:tcPr>
            <w:tcW w:w="0" w:type="auto"/>
            <w:vAlign w:val="center"/>
          </w:tcPr>
          <w:p w:rsidR="000A156F" w:rsidRDefault="00A9721F">
            <w:pPr>
              <w:pStyle w:val="TableBodyText"/>
            </w:pPr>
            <w:r>
              <w:t>0791</w:t>
            </w:r>
          </w:p>
        </w:tc>
      </w:tr>
      <w:tr w:rsidR="000A156F" w:rsidTr="000A156F">
        <w:tc>
          <w:tcPr>
            <w:tcW w:w="0" w:type="auto"/>
            <w:vAlign w:val="center"/>
          </w:tcPr>
          <w:p w:rsidR="000A156F" w:rsidRDefault="00A9721F">
            <w:pPr>
              <w:pStyle w:val="TableBodyText"/>
            </w:pPr>
            <w:r>
              <w:t>ShowMe</w:t>
            </w:r>
          </w:p>
        </w:tc>
        <w:tc>
          <w:tcPr>
            <w:tcW w:w="0" w:type="auto"/>
            <w:vAlign w:val="center"/>
          </w:tcPr>
          <w:p w:rsidR="000A156F" w:rsidRDefault="00A9721F">
            <w:pPr>
              <w:pStyle w:val="TableBodyText"/>
            </w:pPr>
            <w:r>
              <w:t>0FE4</w:t>
            </w:r>
          </w:p>
        </w:tc>
      </w:tr>
      <w:tr w:rsidR="000A156F" w:rsidTr="000A156F">
        <w:tc>
          <w:tcPr>
            <w:tcW w:w="0" w:type="auto"/>
            <w:vAlign w:val="center"/>
          </w:tcPr>
          <w:p w:rsidR="000A156F" w:rsidRDefault="00A9721F">
            <w:pPr>
              <w:pStyle w:val="TableBodyText"/>
            </w:pPr>
            <w:r>
              <w:t>ShowNextHeaderFooter</w:t>
            </w:r>
          </w:p>
        </w:tc>
        <w:tc>
          <w:tcPr>
            <w:tcW w:w="0" w:type="auto"/>
            <w:vAlign w:val="center"/>
          </w:tcPr>
          <w:p w:rsidR="000A156F" w:rsidRDefault="00A9721F">
            <w:pPr>
              <w:pStyle w:val="TableBodyText"/>
            </w:pPr>
            <w:r>
              <w:t>024D</w:t>
            </w:r>
          </w:p>
        </w:tc>
      </w:tr>
      <w:tr w:rsidR="000A156F" w:rsidTr="000A156F">
        <w:tc>
          <w:tcPr>
            <w:tcW w:w="0" w:type="auto"/>
            <w:vAlign w:val="center"/>
          </w:tcPr>
          <w:p w:rsidR="000A156F" w:rsidRDefault="00A9721F">
            <w:pPr>
              <w:pStyle w:val="TableBodyText"/>
            </w:pPr>
            <w:r>
              <w:t>ShowPara</w:t>
            </w:r>
          </w:p>
        </w:tc>
        <w:tc>
          <w:tcPr>
            <w:tcW w:w="0" w:type="auto"/>
            <w:vAlign w:val="center"/>
          </w:tcPr>
          <w:p w:rsidR="000A156F" w:rsidRDefault="00A9721F">
            <w:pPr>
              <w:pStyle w:val="TableBodyText"/>
            </w:pPr>
            <w:r>
              <w:t>037A</w:t>
            </w:r>
          </w:p>
        </w:tc>
      </w:tr>
      <w:tr w:rsidR="000A156F" w:rsidTr="000A156F">
        <w:tc>
          <w:tcPr>
            <w:tcW w:w="0" w:type="auto"/>
            <w:vAlign w:val="center"/>
          </w:tcPr>
          <w:p w:rsidR="000A156F" w:rsidRDefault="00A9721F">
            <w:pPr>
              <w:pStyle w:val="TableBodyText"/>
            </w:pPr>
            <w:r>
              <w:t>ShowPictureTools</w:t>
            </w:r>
          </w:p>
        </w:tc>
        <w:tc>
          <w:tcPr>
            <w:tcW w:w="0" w:type="auto"/>
            <w:vAlign w:val="center"/>
          </w:tcPr>
          <w:p w:rsidR="000A156F" w:rsidRDefault="00A9721F">
            <w:pPr>
              <w:pStyle w:val="TableBodyText"/>
            </w:pPr>
            <w:r>
              <w:t>04DB</w:t>
            </w:r>
          </w:p>
        </w:tc>
      </w:tr>
      <w:tr w:rsidR="000A156F" w:rsidTr="000A156F">
        <w:tc>
          <w:tcPr>
            <w:tcW w:w="0" w:type="auto"/>
            <w:vAlign w:val="center"/>
          </w:tcPr>
          <w:p w:rsidR="000A156F" w:rsidRDefault="00A9721F">
            <w:pPr>
              <w:pStyle w:val="TableBodyText"/>
            </w:pPr>
            <w:r>
              <w:t>ShowPrevHeaderFooter</w:t>
            </w:r>
          </w:p>
        </w:tc>
        <w:tc>
          <w:tcPr>
            <w:tcW w:w="0" w:type="auto"/>
            <w:vAlign w:val="center"/>
          </w:tcPr>
          <w:p w:rsidR="000A156F" w:rsidRDefault="00A9721F">
            <w:pPr>
              <w:pStyle w:val="TableBodyText"/>
            </w:pPr>
            <w:r>
              <w:t>024C</w:t>
            </w:r>
          </w:p>
        </w:tc>
      </w:tr>
      <w:tr w:rsidR="000A156F" w:rsidTr="000A156F">
        <w:tc>
          <w:tcPr>
            <w:tcW w:w="0" w:type="auto"/>
            <w:vAlign w:val="center"/>
          </w:tcPr>
          <w:p w:rsidR="000A156F" w:rsidRDefault="00A9721F">
            <w:pPr>
              <w:pStyle w:val="TableBodyText"/>
            </w:pPr>
            <w:r>
              <w:t>ShowPropertyBrowser</w:t>
            </w:r>
          </w:p>
        </w:tc>
        <w:tc>
          <w:tcPr>
            <w:tcW w:w="0" w:type="auto"/>
            <w:vAlign w:val="center"/>
          </w:tcPr>
          <w:p w:rsidR="000A156F" w:rsidRDefault="00A9721F">
            <w:pPr>
              <w:pStyle w:val="TableBodyText"/>
            </w:pPr>
            <w:r>
              <w:t>1BB0</w:t>
            </w:r>
          </w:p>
        </w:tc>
      </w:tr>
      <w:tr w:rsidR="000A156F" w:rsidTr="000A156F">
        <w:tc>
          <w:tcPr>
            <w:tcW w:w="0" w:type="auto"/>
            <w:vAlign w:val="center"/>
          </w:tcPr>
          <w:p w:rsidR="000A156F" w:rsidRDefault="00A9721F">
            <w:pPr>
              <w:pStyle w:val="TableBodyText"/>
            </w:pPr>
            <w:r>
              <w:t>ShowRepairs</w:t>
            </w:r>
          </w:p>
        </w:tc>
        <w:tc>
          <w:tcPr>
            <w:tcW w:w="0" w:type="auto"/>
            <w:vAlign w:val="center"/>
          </w:tcPr>
          <w:p w:rsidR="000A156F" w:rsidRDefault="00A9721F">
            <w:pPr>
              <w:pStyle w:val="TableBodyText"/>
            </w:pPr>
            <w:r>
              <w:t>0565</w:t>
            </w:r>
          </w:p>
        </w:tc>
      </w:tr>
      <w:tr w:rsidR="000A156F" w:rsidTr="000A156F">
        <w:tc>
          <w:tcPr>
            <w:tcW w:w="0" w:type="auto"/>
            <w:vAlign w:val="center"/>
          </w:tcPr>
          <w:p w:rsidR="000A156F" w:rsidRDefault="00A9721F">
            <w:pPr>
              <w:pStyle w:val="TableBodyText"/>
            </w:pPr>
            <w:r>
              <w:t>ShowReviewerFilter</w:t>
            </w:r>
          </w:p>
        </w:tc>
        <w:tc>
          <w:tcPr>
            <w:tcW w:w="0" w:type="auto"/>
            <w:vAlign w:val="center"/>
          </w:tcPr>
          <w:p w:rsidR="000A156F" w:rsidRDefault="00A9721F">
            <w:pPr>
              <w:pStyle w:val="TableBodyText"/>
            </w:pPr>
            <w:r>
              <w:t>0846</w:t>
            </w:r>
          </w:p>
        </w:tc>
      </w:tr>
      <w:tr w:rsidR="000A156F" w:rsidTr="000A156F">
        <w:tc>
          <w:tcPr>
            <w:tcW w:w="0" w:type="auto"/>
            <w:vAlign w:val="center"/>
          </w:tcPr>
          <w:p w:rsidR="000A156F" w:rsidRDefault="00A9721F">
            <w:pPr>
              <w:pStyle w:val="TableBodyText"/>
            </w:pPr>
            <w:r>
              <w:t>ShowScriptAnchor</w:t>
            </w:r>
          </w:p>
        </w:tc>
        <w:tc>
          <w:tcPr>
            <w:tcW w:w="0" w:type="auto"/>
            <w:vAlign w:val="center"/>
          </w:tcPr>
          <w:p w:rsidR="000A156F" w:rsidRDefault="00A9721F">
            <w:pPr>
              <w:pStyle w:val="TableBodyText"/>
            </w:pPr>
            <w:r>
              <w:t>0456</w:t>
            </w:r>
          </w:p>
        </w:tc>
      </w:tr>
      <w:tr w:rsidR="000A156F" w:rsidTr="000A156F">
        <w:tc>
          <w:tcPr>
            <w:tcW w:w="0" w:type="auto"/>
            <w:vAlign w:val="center"/>
          </w:tcPr>
          <w:p w:rsidR="000A156F" w:rsidRDefault="00A9721F">
            <w:pPr>
              <w:pStyle w:val="TableBodyText"/>
            </w:pPr>
            <w:r>
              <w:t>ShowSmPane</w:t>
            </w:r>
          </w:p>
        </w:tc>
        <w:tc>
          <w:tcPr>
            <w:tcW w:w="0" w:type="auto"/>
            <w:vAlign w:val="center"/>
          </w:tcPr>
          <w:p w:rsidR="000A156F" w:rsidRDefault="00A9721F">
            <w:pPr>
              <w:pStyle w:val="TableBodyText"/>
            </w:pPr>
            <w:r>
              <w:t>052F</w:t>
            </w:r>
          </w:p>
        </w:tc>
      </w:tr>
      <w:tr w:rsidR="000A156F" w:rsidTr="000A156F">
        <w:tc>
          <w:tcPr>
            <w:tcW w:w="0" w:type="auto"/>
            <w:vAlign w:val="center"/>
          </w:tcPr>
          <w:p w:rsidR="000A156F" w:rsidRDefault="00A9721F">
            <w:pPr>
              <w:pStyle w:val="TableBodyText"/>
            </w:pPr>
            <w:r>
              <w:t>ShowTableGridlines</w:t>
            </w:r>
          </w:p>
        </w:tc>
        <w:tc>
          <w:tcPr>
            <w:tcW w:w="0" w:type="auto"/>
            <w:vAlign w:val="center"/>
          </w:tcPr>
          <w:p w:rsidR="000A156F" w:rsidRDefault="00A9721F">
            <w:pPr>
              <w:pStyle w:val="TableBodyText"/>
            </w:pPr>
            <w:r>
              <w:t>0351</w:t>
            </w:r>
          </w:p>
        </w:tc>
      </w:tr>
      <w:tr w:rsidR="000A156F" w:rsidTr="000A156F">
        <w:tc>
          <w:tcPr>
            <w:tcW w:w="0" w:type="auto"/>
            <w:vAlign w:val="center"/>
          </w:tcPr>
          <w:p w:rsidR="000A156F" w:rsidRDefault="00A9721F">
            <w:pPr>
              <w:pStyle w:val="TableBodyText"/>
            </w:pPr>
            <w:r>
              <w:t>ShowTableTools</w:t>
            </w:r>
          </w:p>
        </w:tc>
        <w:tc>
          <w:tcPr>
            <w:tcW w:w="0" w:type="auto"/>
            <w:vAlign w:val="center"/>
          </w:tcPr>
          <w:p w:rsidR="000A156F" w:rsidRDefault="00A9721F">
            <w:pPr>
              <w:pStyle w:val="TableBodyText"/>
            </w:pPr>
            <w:r>
              <w:t>04DA</w:t>
            </w:r>
          </w:p>
        </w:tc>
      </w:tr>
      <w:tr w:rsidR="000A156F" w:rsidTr="000A156F">
        <w:tc>
          <w:tcPr>
            <w:tcW w:w="0" w:type="auto"/>
            <w:vAlign w:val="center"/>
          </w:tcPr>
          <w:p w:rsidR="000A156F" w:rsidRDefault="00A9721F">
            <w:pPr>
              <w:pStyle w:val="TableBodyText"/>
            </w:pPr>
            <w:r>
              <w:lastRenderedPageBreak/>
              <w:t>ShowTasks</w:t>
            </w:r>
          </w:p>
        </w:tc>
        <w:tc>
          <w:tcPr>
            <w:tcW w:w="0" w:type="auto"/>
            <w:vAlign w:val="center"/>
          </w:tcPr>
          <w:p w:rsidR="000A156F" w:rsidRDefault="00A9721F">
            <w:pPr>
              <w:pStyle w:val="TableBodyText"/>
            </w:pPr>
            <w:r>
              <w:t>0779</w:t>
            </w:r>
          </w:p>
        </w:tc>
      </w:tr>
      <w:tr w:rsidR="000A156F" w:rsidTr="000A156F">
        <w:tc>
          <w:tcPr>
            <w:tcW w:w="0" w:type="auto"/>
            <w:vAlign w:val="center"/>
          </w:tcPr>
          <w:p w:rsidR="000A156F" w:rsidRDefault="00A9721F">
            <w:pPr>
              <w:pStyle w:val="TableBodyText"/>
            </w:pPr>
            <w:r>
              <w:t>ShowVars</w:t>
            </w:r>
          </w:p>
        </w:tc>
        <w:tc>
          <w:tcPr>
            <w:tcW w:w="0" w:type="auto"/>
            <w:vAlign w:val="center"/>
          </w:tcPr>
          <w:p w:rsidR="000A156F" w:rsidRDefault="00A9721F">
            <w:pPr>
              <w:pStyle w:val="TableBodyText"/>
            </w:pPr>
            <w:r>
              <w:t>0107</w:t>
            </w:r>
          </w:p>
        </w:tc>
      </w:tr>
      <w:tr w:rsidR="000A156F" w:rsidTr="000A156F">
        <w:tc>
          <w:tcPr>
            <w:tcW w:w="0" w:type="auto"/>
            <w:vAlign w:val="center"/>
          </w:tcPr>
          <w:p w:rsidR="000A156F" w:rsidRDefault="00A9721F">
            <w:pPr>
              <w:pStyle w:val="TableBodyText"/>
            </w:pPr>
            <w:r>
              <w:t>ShrinkFont</w:t>
            </w:r>
          </w:p>
        </w:tc>
        <w:tc>
          <w:tcPr>
            <w:tcW w:w="0" w:type="auto"/>
            <w:vAlign w:val="center"/>
          </w:tcPr>
          <w:p w:rsidR="000A156F" w:rsidRDefault="00A9721F">
            <w:pPr>
              <w:pStyle w:val="TableBodyText"/>
            </w:pPr>
            <w:r>
              <w:t>000C</w:t>
            </w:r>
          </w:p>
        </w:tc>
      </w:tr>
      <w:tr w:rsidR="000A156F" w:rsidTr="000A156F">
        <w:tc>
          <w:tcPr>
            <w:tcW w:w="0" w:type="auto"/>
            <w:vAlign w:val="center"/>
          </w:tcPr>
          <w:p w:rsidR="000A156F" w:rsidRDefault="00A9721F">
            <w:pPr>
              <w:pStyle w:val="TableBodyText"/>
            </w:pPr>
            <w:r>
              <w:t>ShrinkFontOnePoint</w:t>
            </w:r>
          </w:p>
        </w:tc>
        <w:tc>
          <w:tcPr>
            <w:tcW w:w="0" w:type="auto"/>
            <w:vAlign w:val="center"/>
          </w:tcPr>
          <w:p w:rsidR="000A156F" w:rsidRDefault="00A9721F">
            <w:pPr>
              <w:pStyle w:val="TableBodyText"/>
            </w:pPr>
            <w:r>
              <w:t>0202</w:t>
            </w:r>
          </w:p>
        </w:tc>
      </w:tr>
      <w:tr w:rsidR="000A156F" w:rsidTr="000A156F">
        <w:tc>
          <w:tcPr>
            <w:tcW w:w="0" w:type="auto"/>
            <w:vAlign w:val="center"/>
          </w:tcPr>
          <w:p w:rsidR="000A156F" w:rsidRDefault="00A9721F">
            <w:pPr>
              <w:pStyle w:val="TableBodyText"/>
            </w:pPr>
            <w:r>
              <w:t>ShrinkMultiSel</w:t>
            </w:r>
          </w:p>
        </w:tc>
        <w:tc>
          <w:tcPr>
            <w:tcW w:w="0" w:type="auto"/>
            <w:vAlign w:val="center"/>
          </w:tcPr>
          <w:p w:rsidR="000A156F" w:rsidRDefault="00A9721F">
            <w:pPr>
              <w:pStyle w:val="TableBodyText"/>
            </w:pPr>
            <w:r>
              <w:t>04FB</w:t>
            </w:r>
          </w:p>
        </w:tc>
      </w:tr>
      <w:tr w:rsidR="000A156F" w:rsidTr="000A156F">
        <w:tc>
          <w:tcPr>
            <w:tcW w:w="0" w:type="auto"/>
            <w:vAlign w:val="center"/>
          </w:tcPr>
          <w:p w:rsidR="000A156F" w:rsidRDefault="00A9721F">
            <w:pPr>
              <w:pStyle w:val="TableBodyText"/>
            </w:pPr>
            <w:r>
              <w:t>ShrinkSelection</w:t>
            </w:r>
          </w:p>
        </w:tc>
        <w:tc>
          <w:tcPr>
            <w:tcW w:w="0" w:type="auto"/>
            <w:vAlign w:val="center"/>
          </w:tcPr>
          <w:p w:rsidR="000A156F" w:rsidRDefault="00A9721F">
            <w:pPr>
              <w:pStyle w:val="TableBodyText"/>
            </w:pPr>
            <w:r>
              <w:t>00EC</w:t>
            </w:r>
          </w:p>
        </w:tc>
      </w:tr>
      <w:tr w:rsidR="000A156F" w:rsidTr="000A156F">
        <w:tc>
          <w:tcPr>
            <w:tcW w:w="0" w:type="auto"/>
            <w:vAlign w:val="center"/>
          </w:tcPr>
          <w:p w:rsidR="000A156F" w:rsidRDefault="00A9721F">
            <w:pPr>
              <w:pStyle w:val="TableBodyText"/>
            </w:pPr>
            <w:r>
              <w:t>SignDocument</w:t>
            </w:r>
          </w:p>
        </w:tc>
        <w:tc>
          <w:tcPr>
            <w:tcW w:w="0" w:type="auto"/>
            <w:vAlign w:val="center"/>
          </w:tcPr>
          <w:p w:rsidR="000A156F" w:rsidRDefault="00A9721F">
            <w:pPr>
              <w:pStyle w:val="TableBodyText"/>
            </w:pPr>
            <w:r>
              <w:t>0844</w:t>
            </w:r>
          </w:p>
        </w:tc>
      </w:tr>
      <w:tr w:rsidR="000A156F" w:rsidTr="000A156F">
        <w:tc>
          <w:tcPr>
            <w:tcW w:w="0" w:type="auto"/>
            <w:vAlign w:val="center"/>
          </w:tcPr>
          <w:p w:rsidR="000A156F" w:rsidRDefault="00A9721F">
            <w:pPr>
              <w:pStyle w:val="TableBodyText"/>
            </w:pPr>
            <w:r>
              <w:t>SignOutOfPassport</w:t>
            </w:r>
          </w:p>
        </w:tc>
        <w:tc>
          <w:tcPr>
            <w:tcW w:w="0" w:type="auto"/>
            <w:vAlign w:val="center"/>
          </w:tcPr>
          <w:p w:rsidR="000A156F" w:rsidRDefault="00A9721F">
            <w:pPr>
              <w:pStyle w:val="TableBodyText"/>
            </w:pPr>
            <w:r>
              <w:t>0564</w:t>
            </w:r>
          </w:p>
        </w:tc>
      </w:tr>
      <w:tr w:rsidR="000A156F" w:rsidTr="000A156F">
        <w:tc>
          <w:tcPr>
            <w:tcW w:w="0" w:type="auto"/>
            <w:vAlign w:val="center"/>
          </w:tcPr>
          <w:p w:rsidR="000A156F" w:rsidRDefault="00A9721F">
            <w:pPr>
              <w:pStyle w:val="TableBodyText"/>
            </w:pPr>
            <w:r>
              <w:t>SigningServices</w:t>
            </w:r>
          </w:p>
        </w:tc>
        <w:tc>
          <w:tcPr>
            <w:tcW w:w="0" w:type="auto"/>
            <w:vAlign w:val="center"/>
          </w:tcPr>
          <w:p w:rsidR="000A156F" w:rsidRDefault="00A9721F">
            <w:pPr>
              <w:pStyle w:val="TableBodyText"/>
            </w:pPr>
            <w:r>
              <w:t>0847</w:t>
            </w:r>
          </w:p>
        </w:tc>
      </w:tr>
      <w:tr w:rsidR="000A156F" w:rsidTr="000A156F">
        <w:tc>
          <w:tcPr>
            <w:tcW w:w="0" w:type="auto"/>
            <w:vAlign w:val="center"/>
          </w:tcPr>
          <w:p w:rsidR="000A156F" w:rsidRDefault="00A9721F">
            <w:pPr>
              <w:pStyle w:val="TableBodyText"/>
            </w:pPr>
            <w:r>
              <w:t>SkipNumbering</w:t>
            </w:r>
          </w:p>
        </w:tc>
        <w:tc>
          <w:tcPr>
            <w:tcW w:w="0" w:type="auto"/>
            <w:vAlign w:val="center"/>
          </w:tcPr>
          <w:p w:rsidR="000A156F" w:rsidRDefault="00A9721F">
            <w:pPr>
              <w:pStyle w:val="TableBodyText"/>
            </w:pPr>
            <w:r>
              <w:t>01B6</w:t>
            </w:r>
          </w:p>
        </w:tc>
      </w:tr>
      <w:tr w:rsidR="000A156F" w:rsidTr="000A156F">
        <w:tc>
          <w:tcPr>
            <w:tcW w:w="0" w:type="auto"/>
            <w:vAlign w:val="center"/>
          </w:tcPr>
          <w:p w:rsidR="000A156F" w:rsidRDefault="00A9721F">
            <w:pPr>
              <w:pStyle w:val="TableBodyText"/>
            </w:pPr>
            <w:r>
              <w:t>SmallCaps</w:t>
            </w:r>
          </w:p>
        </w:tc>
        <w:tc>
          <w:tcPr>
            <w:tcW w:w="0" w:type="auto"/>
            <w:vAlign w:val="center"/>
          </w:tcPr>
          <w:p w:rsidR="000A156F" w:rsidRDefault="00A9721F">
            <w:pPr>
              <w:pStyle w:val="TableBodyText"/>
            </w:pPr>
            <w:r>
              <w:t>002F</w:t>
            </w:r>
          </w:p>
        </w:tc>
      </w:tr>
      <w:tr w:rsidR="000A156F" w:rsidTr="000A156F">
        <w:tc>
          <w:tcPr>
            <w:tcW w:w="0" w:type="auto"/>
            <w:vAlign w:val="center"/>
          </w:tcPr>
          <w:p w:rsidR="000A156F" w:rsidRDefault="00A9721F">
            <w:pPr>
              <w:pStyle w:val="TableBodyText"/>
            </w:pPr>
            <w:r>
              <w:t>SpacePara1</w:t>
            </w:r>
          </w:p>
        </w:tc>
        <w:tc>
          <w:tcPr>
            <w:tcW w:w="0" w:type="auto"/>
            <w:vAlign w:val="center"/>
          </w:tcPr>
          <w:p w:rsidR="000A156F" w:rsidRDefault="00A9721F">
            <w:pPr>
              <w:pStyle w:val="TableBodyText"/>
            </w:pPr>
            <w:r>
              <w:t>003E</w:t>
            </w:r>
          </w:p>
        </w:tc>
      </w:tr>
      <w:tr w:rsidR="000A156F" w:rsidTr="000A156F">
        <w:tc>
          <w:tcPr>
            <w:tcW w:w="0" w:type="auto"/>
            <w:vAlign w:val="center"/>
          </w:tcPr>
          <w:p w:rsidR="000A156F" w:rsidRDefault="00A9721F">
            <w:pPr>
              <w:pStyle w:val="TableBodyText"/>
            </w:pPr>
            <w:r>
              <w:t>SpacePara15</w:t>
            </w:r>
          </w:p>
        </w:tc>
        <w:tc>
          <w:tcPr>
            <w:tcW w:w="0" w:type="auto"/>
            <w:vAlign w:val="center"/>
          </w:tcPr>
          <w:p w:rsidR="000A156F" w:rsidRDefault="00A9721F">
            <w:pPr>
              <w:pStyle w:val="TableBodyText"/>
            </w:pPr>
            <w:r>
              <w:t>003F</w:t>
            </w:r>
          </w:p>
        </w:tc>
      </w:tr>
      <w:tr w:rsidR="000A156F" w:rsidTr="000A156F">
        <w:tc>
          <w:tcPr>
            <w:tcW w:w="0" w:type="auto"/>
            <w:vAlign w:val="center"/>
          </w:tcPr>
          <w:p w:rsidR="000A156F" w:rsidRDefault="00A9721F">
            <w:pPr>
              <w:pStyle w:val="TableBodyText"/>
            </w:pPr>
            <w:r>
              <w:t>SpacePara2</w:t>
            </w:r>
          </w:p>
        </w:tc>
        <w:tc>
          <w:tcPr>
            <w:tcW w:w="0" w:type="auto"/>
            <w:vAlign w:val="center"/>
          </w:tcPr>
          <w:p w:rsidR="000A156F" w:rsidRDefault="00A9721F">
            <w:pPr>
              <w:pStyle w:val="TableBodyText"/>
            </w:pPr>
            <w:r>
              <w:t>0040</w:t>
            </w:r>
          </w:p>
        </w:tc>
      </w:tr>
      <w:tr w:rsidR="000A156F" w:rsidTr="000A156F">
        <w:tc>
          <w:tcPr>
            <w:tcW w:w="0" w:type="auto"/>
            <w:vAlign w:val="center"/>
          </w:tcPr>
          <w:p w:rsidR="000A156F" w:rsidRDefault="00A9721F">
            <w:pPr>
              <w:pStyle w:val="TableBodyText"/>
            </w:pPr>
            <w:r>
              <w:t>SpacingAfterSpinner</w:t>
            </w:r>
          </w:p>
        </w:tc>
        <w:tc>
          <w:tcPr>
            <w:tcW w:w="0" w:type="auto"/>
            <w:vAlign w:val="center"/>
          </w:tcPr>
          <w:p w:rsidR="000A156F" w:rsidRDefault="00A9721F">
            <w:pPr>
              <w:pStyle w:val="TableBodyText"/>
            </w:pPr>
            <w:r>
              <w:t>08B0</w:t>
            </w:r>
          </w:p>
        </w:tc>
      </w:tr>
      <w:tr w:rsidR="000A156F" w:rsidTr="000A156F">
        <w:tc>
          <w:tcPr>
            <w:tcW w:w="0" w:type="auto"/>
            <w:vAlign w:val="center"/>
          </w:tcPr>
          <w:p w:rsidR="000A156F" w:rsidRDefault="00A9721F">
            <w:pPr>
              <w:pStyle w:val="TableBodyText"/>
            </w:pPr>
            <w:r>
              <w:t>SpacingBeforeSpinner</w:t>
            </w:r>
          </w:p>
        </w:tc>
        <w:tc>
          <w:tcPr>
            <w:tcW w:w="0" w:type="auto"/>
            <w:vAlign w:val="center"/>
          </w:tcPr>
          <w:p w:rsidR="000A156F" w:rsidRDefault="00A9721F">
            <w:pPr>
              <w:pStyle w:val="TableBodyText"/>
            </w:pPr>
            <w:r>
              <w:t>08AF</w:t>
            </w:r>
          </w:p>
        </w:tc>
      </w:tr>
      <w:tr w:rsidR="000A156F" w:rsidTr="000A156F">
        <w:tc>
          <w:tcPr>
            <w:tcW w:w="0" w:type="auto"/>
            <w:vAlign w:val="center"/>
          </w:tcPr>
          <w:p w:rsidR="000A156F" w:rsidRDefault="00A9721F">
            <w:pPr>
              <w:pStyle w:val="TableBodyText"/>
            </w:pPr>
            <w:r>
              <w:t>SpacingLabel</w:t>
            </w:r>
          </w:p>
        </w:tc>
        <w:tc>
          <w:tcPr>
            <w:tcW w:w="0" w:type="auto"/>
            <w:vAlign w:val="center"/>
          </w:tcPr>
          <w:p w:rsidR="000A156F" w:rsidRDefault="00A9721F">
            <w:pPr>
              <w:pStyle w:val="TableBodyText"/>
            </w:pPr>
            <w:r>
              <w:t>08B3</w:t>
            </w:r>
          </w:p>
        </w:tc>
      </w:tr>
      <w:tr w:rsidR="000A156F" w:rsidTr="000A156F">
        <w:tc>
          <w:tcPr>
            <w:tcW w:w="0" w:type="auto"/>
            <w:vAlign w:val="center"/>
          </w:tcPr>
          <w:p w:rsidR="000A156F" w:rsidRDefault="00A9721F">
            <w:pPr>
              <w:pStyle w:val="TableBodyText"/>
            </w:pPr>
            <w:r>
              <w:t>SpellingAndAutoCorrect</w:t>
            </w:r>
          </w:p>
        </w:tc>
        <w:tc>
          <w:tcPr>
            <w:tcW w:w="0" w:type="auto"/>
            <w:vAlign w:val="center"/>
          </w:tcPr>
          <w:p w:rsidR="000A156F" w:rsidRDefault="00A9721F">
            <w:pPr>
              <w:pStyle w:val="TableBodyText"/>
            </w:pPr>
            <w:r>
              <w:t>0387</w:t>
            </w:r>
          </w:p>
        </w:tc>
      </w:tr>
      <w:tr w:rsidR="000A156F" w:rsidTr="000A156F">
        <w:tc>
          <w:tcPr>
            <w:tcW w:w="0" w:type="auto"/>
            <w:vAlign w:val="center"/>
          </w:tcPr>
          <w:p w:rsidR="000A156F" w:rsidRDefault="00A9721F">
            <w:pPr>
              <w:pStyle w:val="TableBodyText"/>
            </w:pPr>
            <w:r>
              <w:t>Spike</w:t>
            </w:r>
          </w:p>
        </w:tc>
        <w:tc>
          <w:tcPr>
            <w:tcW w:w="0" w:type="auto"/>
            <w:vAlign w:val="center"/>
          </w:tcPr>
          <w:p w:rsidR="000A156F" w:rsidRDefault="00A9721F">
            <w:pPr>
              <w:pStyle w:val="TableBodyText"/>
            </w:pPr>
            <w:r>
              <w:t>000F</w:t>
            </w:r>
          </w:p>
        </w:tc>
      </w:tr>
      <w:tr w:rsidR="000A156F" w:rsidTr="000A156F">
        <w:tc>
          <w:tcPr>
            <w:tcW w:w="0" w:type="auto"/>
            <w:vAlign w:val="center"/>
          </w:tcPr>
          <w:p w:rsidR="000A156F" w:rsidRDefault="00A9721F">
            <w:pPr>
              <w:pStyle w:val="TableBodyText"/>
            </w:pPr>
            <w:r>
              <w:t>SplitSubdocument</w:t>
            </w:r>
          </w:p>
        </w:tc>
        <w:tc>
          <w:tcPr>
            <w:tcW w:w="0" w:type="auto"/>
            <w:vAlign w:val="center"/>
          </w:tcPr>
          <w:p w:rsidR="000A156F" w:rsidRDefault="00A9721F">
            <w:pPr>
              <w:pStyle w:val="TableBodyText"/>
            </w:pPr>
            <w:r>
              <w:t>0249</w:t>
            </w:r>
          </w:p>
        </w:tc>
      </w:tr>
      <w:tr w:rsidR="000A156F" w:rsidTr="000A156F">
        <w:tc>
          <w:tcPr>
            <w:tcW w:w="0" w:type="auto"/>
            <w:vAlign w:val="center"/>
          </w:tcPr>
          <w:p w:rsidR="000A156F" w:rsidRDefault="00A9721F">
            <w:pPr>
              <w:pStyle w:val="TableBodyText"/>
            </w:pPr>
            <w:r>
              <w:t>SqmDialog</w:t>
            </w:r>
          </w:p>
        </w:tc>
        <w:tc>
          <w:tcPr>
            <w:tcW w:w="0" w:type="auto"/>
            <w:vAlign w:val="center"/>
          </w:tcPr>
          <w:p w:rsidR="000A156F" w:rsidRDefault="00A9721F">
            <w:pPr>
              <w:pStyle w:val="TableBodyText"/>
            </w:pPr>
            <w:r>
              <w:t>058C</w:t>
            </w:r>
          </w:p>
        </w:tc>
      </w:tr>
      <w:tr w:rsidR="000A156F" w:rsidTr="000A156F">
        <w:tc>
          <w:tcPr>
            <w:tcW w:w="0" w:type="auto"/>
            <w:vAlign w:val="center"/>
          </w:tcPr>
          <w:p w:rsidR="000A156F" w:rsidRDefault="00A9721F">
            <w:pPr>
              <w:pStyle w:val="TableBodyText"/>
            </w:pPr>
            <w:r>
              <w:t>StartMacro</w:t>
            </w:r>
          </w:p>
        </w:tc>
        <w:tc>
          <w:tcPr>
            <w:tcW w:w="0" w:type="auto"/>
            <w:vAlign w:val="center"/>
          </w:tcPr>
          <w:p w:rsidR="000A156F" w:rsidRDefault="00A9721F">
            <w:pPr>
              <w:pStyle w:val="TableBodyText"/>
            </w:pPr>
            <w:r>
              <w:t>022A</w:t>
            </w:r>
          </w:p>
        </w:tc>
      </w:tr>
      <w:tr w:rsidR="000A156F" w:rsidTr="000A156F">
        <w:tc>
          <w:tcPr>
            <w:tcW w:w="0" w:type="auto"/>
            <w:vAlign w:val="center"/>
          </w:tcPr>
          <w:p w:rsidR="000A156F" w:rsidRDefault="00A9721F">
            <w:pPr>
              <w:pStyle w:val="TableBodyText"/>
            </w:pPr>
            <w:r>
              <w:t>StartOfColumn</w:t>
            </w:r>
          </w:p>
        </w:tc>
        <w:tc>
          <w:tcPr>
            <w:tcW w:w="0" w:type="auto"/>
            <w:vAlign w:val="center"/>
          </w:tcPr>
          <w:p w:rsidR="000A156F" w:rsidRDefault="00A9721F">
            <w:pPr>
              <w:pStyle w:val="TableBodyText"/>
            </w:pPr>
            <w:r>
              <w:t>0112</w:t>
            </w:r>
          </w:p>
        </w:tc>
      </w:tr>
      <w:tr w:rsidR="000A156F" w:rsidTr="000A156F">
        <w:tc>
          <w:tcPr>
            <w:tcW w:w="0" w:type="auto"/>
            <w:vAlign w:val="center"/>
          </w:tcPr>
          <w:p w:rsidR="000A156F" w:rsidRDefault="00A9721F">
            <w:pPr>
              <w:pStyle w:val="TableBodyText"/>
            </w:pPr>
            <w:r>
              <w:t>StartOfDocExtend</w:t>
            </w:r>
          </w:p>
        </w:tc>
        <w:tc>
          <w:tcPr>
            <w:tcW w:w="0" w:type="auto"/>
            <w:vAlign w:val="center"/>
          </w:tcPr>
          <w:p w:rsidR="000A156F" w:rsidRDefault="00A9721F">
            <w:pPr>
              <w:pStyle w:val="TableBodyText"/>
            </w:pPr>
            <w:r>
              <w:t>0FC2</w:t>
            </w:r>
          </w:p>
        </w:tc>
      </w:tr>
      <w:tr w:rsidR="000A156F" w:rsidTr="000A156F">
        <w:tc>
          <w:tcPr>
            <w:tcW w:w="0" w:type="auto"/>
            <w:vAlign w:val="center"/>
          </w:tcPr>
          <w:p w:rsidR="000A156F" w:rsidRDefault="00A9721F">
            <w:pPr>
              <w:pStyle w:val="TableBodyText"/>
            </w:pPr>
            <w:r>
              <w:t>StartOfDocument</w:t>
            </w:r>
          </w:p>
        </w:tc>
        <w:tc>
          <w:tcPr>
            <w:tcW w:w="0" w:type="auto"/>
            <w:vAlign w:val="center"/>
          </w:tcPr>
          <w:p w:rsidR="000A156F" w:rsidRDefault="00A9721F">
            <w:pPr>
              <w:pStyle w:val="TableBodyText"/>
            </w:pPr>
            <w:r>
              <w:t>0FB0</w:t>
            </w:r>
          </w:p>
        </w:tc>
      </w:tr>
      <w:tr w:rsidR="000A156F" w:rsidTr="000A156F">
        <w:tc>
          <w:tcPr>
            <w:tcW w:w="0" w:type="auto"/>
            <w:vAlign w:val="center"/>
          </w:tcPr>
          <w:p w:rsidR="000A156F" w:rsidRDefault="00A9721F">
            <w:pPr>
              <w:pStyle w:val="TableBodyText"/>
            </w:pPr>
            <w:r>
              <w:t>StartOfLine</w:t>
            </w:r>
          </w:p>
        </w:tc>
        <w:tc>
          <w:tcPr>
            <w:tcW w:w="0" w:type="auto"/>
            <w:vAlign w:val="center"/>
          </w:tcPr>
          <w:p w:rsidR="000A156F" w:rsidRDefault="00A9721F">
            <w:pPr>
              <w:pStyle w:val="TableBodyText"/>
            </w:pPr>
            <w:r>
              <w:t>0FAC</w:t>
            </w:r>
          </w:p>
        </w:tc>
      </w:tr>
      <w:tr w:rsidR="000A156F" w:rsidTr="000A156F">
        <w:tc>
          <w:tcPr>
            <w:tcW w:w="0" w:type="auto"/>
            <w:vAlign w:val="center"/>
          </w:tcPr>
          <w:p w:rsidR="000A156F" w:rsidRDefault="00A9721F">
            <w:pPr>
              <w:pStyle w:val="TableBodyText"/>
            </w:pPr>
            <w:r>
              <w:t>StartOfLineExtend</w:t>
            </w:r>
          </w:p>
        </w:tc>
        <w:tc>
          <w:tcPr>
            <w:tcW w:w="0" w:type="auto"/>
            <w:vAlign w:val="center"/>
          </w:tcPr>
          <w:p w:rsidR="000A156F" w:rsidRDefault="00A9721F">
            <w:pPr>
              <w:pStyle w:val="TableBodyText"/>
            </w:pPr>
            <w:r>
              <w:t>0FBE</w:t>
            </w:r>
          </w:p>
        </w:tc>
      </w:tr>
      <w:tr w:rsidR="000A156F" w:rsidTr="000A156F">
        <w:tc>
          <w:tcPr>
            <w:tcW w:w="0" w:type="auto"/>
            <w:vAlign w:val="center"/>
          </w:tcPr>
          <w:p w:rsidR="000A156F" w:rsidRDefault="00A9721F">
            <w:pPr>
              <w:pStyle w:val="TableBodyText"/>
            </w:pPr>
            <w:r>
              <w:t>StartOfRow</w:t>
            </w:r>
          </w:p>
        </w:tc>
        <w:tc>
          <w:tcPr>
            <w:tcW w:w="0" w:type="auto"/>
            <w:vAlign w:val="center"/>
          </w:tcPr>
          <w:p w:rsidR="000A156F" w:rsidRDefault="00A9721F">
            <w:pPr>
              <w:pStyle w:val="TableBodyText"/>
            </w:pPr>
            <w:r>
              <w:t>0110</w:t>
            </w:r>
          </w:p>
        </w:tc>
      </w:tr>
      <w:tr w:rsidR="000A156F" w:rsidTr="000A156F">
        <w:tc>
          <w:tcPr>
            <w:tcW w:w="0" w:type="auto"/>
            <w:vAlign w:val="center"/>
          </w:tcPr>
          <w:p w:rsidR="000A156F" w:rsidRDefault="00A9721F">
            <w:pPr>
              <w:pStyle w:val="TableBodyText"/>
            </w:pPr>
            <w:r>
              <w:t>StartOfWindow</w:t>
            </w:r>
          </w:p>
        </w:tc>
        <w:tc>
          <w:tcPr>
            <w:tcW w:w="0" w:type="auto"/>
            <w:vAlign w:val="center"/>
          </w:tcPr>
          <w:p w:rsidR="000A156F" w:rsidRDefault="00A9721F">
            <w:pPr>
              <w:pStyle w:val="TableBodyText"/>
            </w:pPr>
            <w:r>
              <w:t>0FAE</w:t>
            </w:r>
          </w:p>
        </w:tc>
      </w:tr>
      <w:tr w:rsidR="000A156F" w:rsidTr="000A156F">
        <w:tc>
          <w:tcPr>
            <w:tcW w:w="0" w:type="auto"/>
            <w:vAlign w:val="center"/>
          </w:tcPr>
          <w:p w:rsidR="000A156F" w:rsidRDefault="00A9721F">
            <w:pPr>
              <w:pStyle w:val="TableBodyText"/>
            </w:pPr>
            <w:r>
              <w:t>StartOfWindowExtend</w:t>
            </w:r>
          </w:p>
        </w:tc>
        <w:tc>
          <w:tcPr>
            <w:tcW w:w="0" w:type="auto"/>
            <w:vAlign w:val="center"/>
          </w:tcPr>
          <w:p w:rsidR="000A156F" w:rsidRDefault="00A9721F">
            <w:pPr>
              <w:pStyle w:val="TableBodyText"/>
            </w:pPr>
            <w:r>
              <w:t>0FC0</w:t>
            </w:r>
          </w:p>
        </w:tc>
      </w:tr>
      <w:tr w:rsidR="000A156F" w:rsidTr="000A156F">
        <w:tc>
          <w:tcPr>
            <w:tcW w:w="0" w:type="auto"/>
            <w:vAlign w:val="center"/>
          </w:tcPr>
          <w:p w:rsidR="000A156F" w:rsidRDefault="00A9721F">
            <w:pPr>
              <w:pStyle w:val="TableBodyText"/>
            </w:pPr>
            <w:r>
              <w:t>StartWorkflow</w:t>
            </w:r>
          </w:p>
        </w:tc>
        <w:tc>
          <w:tcPr>
            <w:tcW w:w="0" w:type="auto"/>
            <w:vAlign w:val="center"/>
          </w:tcPr>
          <w:p w:rsidR="000A156F" w:rsidRDefault="00A9721F">
            <w:pPr>
              <w:pStyle w:val="TableBodyText"/>
            </w:pPr>
            <w:r>
              <w:t>0798</w:t>
            </w:r>
          </w:p>
        </w:tc>
      </w:tr>
      <w:tr w:rsidR="000A156F" w:rsidTr="000A156F">
        <w:tc>
          <w:tcPr>
            <w:tcW w:w="0" w:type="auto"/>
            <w:vAlign w:val="center"/>
          </w:tcPr>
          <w:p w:rsidR="000A156F" w:rsidRDefault="00A9721F">
            <w:pPr>
              <w:pStyle w:val="TableBodyText"/>
            </w:pPr>
            <w:r>
              <w:t>StepIn</w:t>
            </w:r>
          </w:p>
        </w:tc>
        <w:tc>
          <w:tcPr>
            <w:tcW w:w="0" w:type="auto"/>
            <w:vAlign w:val="center"/>
          </w:tcPr>
          <w:p w:rsidR="000A156F" w:rsidRDefault="00A9721F">
            <w:pPr>
              <w:pStyle w:val="TableBodyText"/>
            </w:pPr>
            <w:r>
              <w:t>0109</w:t>
            </w:r>
          </w:p>
        </w:tc>
      </w:tr>
      <w:tr w:rsidR="000A156F" w:rsidTr="000A156F">
        <w:tc>
          <w:tcPr>
            <w:tcW w:w="0" w:type="auto"/>
            <w:vAlign w:val="center"/>
          </w:tcPr>
          <w:p w:rsidR="000A156F" w:rsidRDefault="00A9721F">
            <w:pPr>
              <w:pStyle w:val="TableBodyText"/>
            </w:pPr>
            <w:r>
              <w:lastRenderedPageBreak/>
              <w:t>StepOver</w:t>
            </w:r>
          </w:p>
        </w:tc>
        <w:tc>
          <w:tcPr>
            <w:tcW w:w="0" w:type="auto"/>
            <w:vAlign w:val="center"/>
          </w:tcPr>
          <w:p w:rsidR="000A156F" w:rsidRDefault="00A9721F">
            <w:pPr>
              <w:pStyle w:val="TableBodyText"/>
            </w:pPr>
            <w:r>
              <w:t>0108</w:t>
            </w:r>
          </w:p>
        </w:tc>
      </w:tr>
      <w:tr w:rsidR="000A156F" w:rsidTr="000A156F">
        <w:tc>
          <w:tcPr>
            <w:tcW w:w="0" w:type="auto"/>
            <w:vAlign w:val="center"/>
          </w:tcPr>
          <w:p w:rsidR="000A156F" w:rsidRDefault="00A9721F">
            <w:pPr>
              <w:pStyle w:val="TableBodyText"/>
            </w:pPr>
            <w:r>
              <w:t>StopMacro</w:t>
            </w:r>
          </w:p>
        </w:tc>
        <w:tc>
          <w:tcPr>
            <w:tcW w:w="0" w:type="auto"/>
            <w:vAlign w:val="center"/>
          </w:tcPr>
          <w:p w:rsidR="000A156F" w:rsidRDefault="00A9721F">
            <w:pPr>
              <w:pStyle w:val="TableBodyText"/>
            </w:pPr>
            <w:r>
              <w:t>029C</w:t>
            </w:r>
          </w:p>
        </w:tc>
      </w:tr>
      <w:tr w:rsidR="000A156F" w:rsidTr="000A156F">
        <w:tc>
          <w:tcPr>
            <w:tcW w:w="0" w:type="auto"/>
            <w:vAlign w:val="center"/>
          </w:tcPr>
          <w:p w:rsidR="000A156F" w:rsidRDefault="00A9721F">
            <w:pPr>
              <w:pStyle w:val="TableBodyText"/>
            </w:pPr>
            <w:r>
              <w:t>StopMacroRunning</w:t>
            </w:r>
          </w:p>
        </w:tc>
        <w:tc>
          <w:tcPr>
            <w:tcW w:w="0" w:type="auto"/>
            <w:vAlign w:val="center"/>
          </w:tcPr>
          <w:p w:rsidR="000A156F" w:rsidRDefault="00A9721F">
            <w:pPr>
              <w:pStyle w:val="TableBodyText"/>
            </w:pPr>
            <w:r>
              <w:t>0285</w:t>
            </w:r>
          </w:p>
        </w:tc>
      </w:tr>
      <w:tr w:rsidR="000A156F" w:rsidTr="000A156F">
        <w:tc>
          <w:tcPr>
            <w:tcW w:w="0" w:type="auto"/>
            <w:vAlign w:val="center"/>
          </w:tcPr>
          <w:p w:rsidR="000A156F" w:rsidRDefault="00A9721F">
            <w:pPr>
              <w:pStyle w:val="TableBodyText"/>
            </w:pPr>
            <w:r>
              <w:t>Strikethrough</w:t>
            </w:r>
          </w:p>
        </w:tc>
        <w:tc>
          <w:tcPr>
            <w:tcW w:w="0" w:type="auto"/>
            <w:vAlign w:val="center"/>
          </w:tcPr>
          <w:p w:rsidR="000A156F" w:rsidRDefault="00A9721F">
            <w:pPr>
              <w:pStyle w:val="TableBodyText"/>
            </w:pPr>
            <w:r>
              <w:t>0031</w:t>
            </w:r>
          </w:p>
        </w:tc>
      </w:tr>
      <w:tr w:rsidR="000A156F" w:rsidTr="000A156F">
        <w:tc>
          <w:tcPr>
            <w:tcW w:w="0" w:type="auto"/>
            <w:vAlign w:val="center"/>
          </w:tcPr>
          <w:p w:rsidR="000A156F" w:rsidRDefault="00A9721F">
            <w:pPr>
              <w:pStyle w:val="TableBodyText"/>
            </w:pPr>
            <w:r>
              <w:t>Style</w:t>
            </w:r>
          </w:p>
        </w:tc>
        <w:tc>
          <w:tcPr>
            <w:tcW w:w="0" w:type="auto"/>
            <w:vAlign w:val="center"/>
          </w:tcPr>
          <w:p w:rsidR="000A156F" w:rsidRDefault="00A9721F">
            <w:pPr>
              <w:pStyle w:val="TableBodyText"/>
            </w:pPr>
            <w:r>
              <w:t>0097</w:t>
            </w:r>
          </w:p>
        </w:tc>
      </w:tr>
      <w:tr w:rsidR="000A156F" w:rsidTr="000A156F">
        <w:tc>
          <w:tcPr>
            <w:tcW w:w="0" w:type="auto"/>
            <w:vAlign w:val="center"/>
          </w:tcPr>
          <w:p w:rsidR="000A156F" w:rsidRDefault="00A9721F">
            <w:pPr>
              <w:pStyle w:val="TableBodyText"/>
            </w:pPr>
            <w:r>
              <w:t>Style3DGallery</w:t>
            </w:r>
          </w:p>
        </w:tc>
        <w:tc>
          <w:tcPr>
            <w:tcW w:w="0" w:type="auto"/>
            <w:vAlign w:val="center"/>
          </w:tcPr>
          <w:p w:rsidR="000A156F" w:rsidRDefault="00A9721F">
            <w:pPr>
              <w:pStyle w:val="TableBodyText"/>
            </w:pPr>
            <w:r>
              <w:t>08C9</w:t>
            </w:r>
          </w:p>
        </w:tc>
      </w:tr>
      <w:tr w:rsidR="000A156F" w:rsidTr="000A156F">
        <w:tc>
          <w:tcPr>
            <w:tcW w:w="0" w:type="auto"/>
            <w:vAlign w:val="center"/>
          </w:tcPr>
          <w:p w:rsidR="000A156F" w:rsidRDefault="00A9721F">
            <w:pPr>
              <w:pStyle w:val="TableBodyText"/>
            </w:pPr>
            <w:r>
              <w:t>StyleApplyPane</w:t>
            </w:r>
          </w:p>
        </w:tc>
        <w:tc>
          <w:tcPr>
            <w:tcW w:w="0" w:type="auto"/>
            <w:vAlign w:val="center"/>
          </w:tcPr>
          <w:p w:rsidR="000A156F" w:rsidRDefault="00A9721F">
            <w:pPr>
              <w:pStyle w:val="TableBodyText"/>
            </w:pPr>
            <w:r>
              <w:t>087F</w:t>
            </w:r>
          </w:p>
        </w:tc>
      </w:tr>
      <w:tr w:rsidR="000A156F" w:rsidTr="000A156F">
        <w:tc>
          <w:tcPr>
            <w:tcW w:w="0" w:type="auto"/>
            <w:vAlign w:val="center"/>
          </w:tcPr>
          <w:p w:rsidR="000A156F" w:rsidRDefault="00A9721F">
            <w:pPr>
              <w:pStyle w:val="TableBodyText"/>
            </w:pPr>
            <w:r>
              <w:t>StyleLockDown</w:t>
            </w:r>
          </w:p>
        </w:tc>
        <w:tc>
          <w:tcPr>
            <w:tcW w:w="0" w:type="auto"/>
            <w:vAlign w:val="center"/>
          </w:tcPr>
          <w:p w:rsidR="000A156F" w:rsidRDefault="00A9721F">
            <w:pPr>
              <w:pStyle w:val="TableBodyText"/>
            </w:pPr>
            <w:r>
              <w:t>058E</w:t>
            </w:r>
          </w:p>
        </w:tc>
      </w:tr>
      <w:tr w:rsidR="000A156F" w:rsidTr="000A156F">
        <w:tc>
          <w:tcPr>
            <w:tcW w:w="0" w:type="auto"/>
            <w:vAlign w:val="center"/>
          </w:tcPr>
          <w:p w:rsidR="000A156F" w:rsidRDefault="00A9721F">
            <w:pPr>
              <w:pStyle w:val="TableBodyText"/>
            </w:pPr>
            <w:r>
              <w:t>StyleMatrixPicker</w:t>
            </w:r>
          </w:p>
        </w:tc>
        <w:tc>
          <w:tcPr>
            <w:tcW w:w="0" w:type="auto"/>
            <w:vAlign w:val="center"/>
          </w:tcPr>
          <w:p w:rsidR="000A156F" w:rsidRDefault="00A9721F">
            <w:pPr>
              <w:pStyle w:val="TableBodyText"/>
            </w:pPr>
            <w:r>
              <w:t>08FD</w:t>
            </w:r>
          </w:p>
        </w:tc>
      </w:tr>
      <w:tr w:rsidR="000A156F" w:rsidTr="000A156F">
        <w:tc>
          <w:tcPr>
            <w:tcW w:w="0" w:type="auto"/>
            <w:vAlign w:val="center"/>
          </w:tcPr>
          <w:p w:rsidR="000A156F" w:rsidRDefault="00A9721F">
            <w:pPr>
              <w:pStyle w:val="TableBodyText"/>
            </w:pPr>
            <w:r>
              <w:t>StylePaneNewStyle</w:t>
            </w:r>
          </w:p>
        </w:tc>
        <w:tc>
          <w:tcPr>
            <w:tcW w:w="0" w:type="auto"/>
            <w:vAlign w:val="center"/>
          </w:tcPr>
          <w:p w:rsidR="000A156F" w:rsidRDefault="00A9721F">
            <w:pPr>
              <w:pStyle w:val="TableBodyText"/>
            </w:pPr>
            <w:r>
              <w:t>094E</w:t>
            </w:r>
          </w:p>
        </w:tc>
      </w:tr>
      <w:tr w:rsidR="000A156F" w:rsidTr="000A156F">
        <w:tc>
          <w:tcPr>
            <w:tcW w:w="0" w:type="auto"/>
            <w:vAlign w:val="center"/>
          </w:tcPr>
          <w:p w:rsidR="000A156F" w:rsidRDefault="00A9721F">
            <w:pPr>
              <w:pStyle w:val="TableBodyText"/>
            </w:pPr>
            <w:r>
              <w:t>StyleQuickFormat</w:t>
            </w:r>
          </w:p>
        </w:tc>
        <w:tc>
          <w:tcPr>
            <w:tcW w:w="0" w:type="auto"/>
            <w:vAlign w:val="center"/>
          </w:tcPr>
          <w:p w:rsidR="000A156F" w:rsidRDefault="00A9721F">
            <w:pPr>
              <w:pStyle w:val="TableBodyText"/>
            </w:pPr>
            <w:r>
              <w:t>0827</w:t>
            </w:r>
          </w:p>
        </w:tc>
      </w:tr>
      <w:tr w:rsidR="000A156F" w:rsidTr="000A156F">
        <w:tc>
          <w:tcPr>
            <w:tcW w:w="0" w:type="auto"/>
            <w:vAlign w:val="center"/>
          </w:tcPr>
          <w:p w:rsidR="000A156F" w:rsidRDefault="00A9721F">
            <w:pPr>
              <w:pStyle w:val="TableBodyText"/>
            </w:pPr>
            <w:r>
              <w:t>Subscript</w:t>
            </w:r>
          </w:p>
        </w:tc>
        <w:tc>
          <w:tcPr>
            <w:tcW w:w="0" w:type="auto"/>
            <w:vAlign w:val="center"/>
          </w:tcPr>
          <w:p w:rsidR="000A156F" w:rsidRDefault="00A9721F">
            <w:pPr>
              <w:pStyle w:val="TableBodyText"/>
            </w:pPr>
            <w:r>
              <w:t>0037</w:t>
            </w:r>
          </w:p>
        </w:tc>
      </w:tr>
      <w:tr w:rsidR="000A156F" w:rsidTr="000A156F">
        <w:tc>
          <w:tcPr>
            <w:tcW w:w="0" w:type="auto"/>
            <w:vAlign w:val="center"/>
          </w:tcPr>
          <w:p w:rsidR="000A156F" w:rsidRDefault="00A9721F">
            <w:pPr>
              <w:pStyle w:val="TableBodyText"/>
            </w:pPr>
            <w:r>
              <w:t>Superscript</w:t>
            </w:r>
          </w:p>
        </w:tc>
        <w:tc>
          <w:tcPr>
            <w:tcW w:w="0" w:type="auto"/>
            <w:vAlign w:val="center"/>
          </w:tcPr>
          <w:p w:rsidR="000A156F" w:rsidRDefault="00A9721F">
            <w:pPr>
              <w:pStyle w:val="TableBodyText"/>
            </w:pPr>
            <w:r>
              <w:t>0036</w:t>
            </w:r>
          </w:p>
        </w:tc>
      </w:tr>
      <w:tr w:rsidR="000A156F" w:rsidTr="000A156F">
        <w:tc>
          <w:tcPr>
            <w:tcW w:w="0" w:type="auto"/>
            <w:vAlign w:val="center"/>
          </w:tcPr>
          <w:p w:rsidR="000A156F" w:rsidRDefault="00A9721F">
            <w:pPr>
              <w:pStyle w:val="TableBodyText"/>
            </w:pPr>
            <w:r>
              <w:t>SurfaceMatGallery</w:t>
            </w:r>
          </w:p>
        </w:tc>
        <w:tc>
          <w:tcPr>
            <w:tcW w:w="0" w:type="auto"/>
            <w:vAlign w:val="center"/>
          </w:tcPr>
          <w:p w:rsidR="000A156F" w:rsidRDefault="00A9721F">
            <w:pPr>
              <w:pStyle w:val="TableBodyText"/>
            </w:pPr>
            <w:r>
              <w:t>08CC</w:t>
            </w:r>
          </w:p>
        </w:tc>
      </w:tr>
      <w:tr w:rsidR="000A156F" w:rsidTr="000A156F">
        <w:tc>
          <w:tcPr>
            <w:tcW w:w="0" w:type="auto"/>
            <w:vAlign w:val="center"/>
          </w:tcPr>
          <w:p w:rsidR="000A156F" w:rsidRDefault="00A9721F">
            <w:pPr>
              <w:pStyle w:val="TableBodyText"/>
            </w:pPr>
            <w:r>
              <w:t>SwitchNavigationWindow</w:t>
            </w:r>
          </w:p>
        </w:tc>
        <w:tc>
          <w:tcPr>
            <w:tcW w:w="0" w:type="auto"/>
            <w:vAlign w:val="center"/>
          </w:tcPr>
          <w:p w:rsidR="000A156F" w:rsidRDefault="00A9721F">
            <w:pPr>
              <w:pStyle w:val="TableBodyText"/>
            </w:pPr>
            <w:r>
              <w:t>0793</w:t>
            </w:r>
          </w:p>
        </w:tc>
      </w:tr>
      <w:tr w:rsidR="000A156F" w:rsidTr="000A156F">
        <w:tc>
          <w:tcPr>
            <w:tcW w:w="0" w:type="auto"/>
            <w:vAlign w:val="center"/>
          </w:tcPr>
          <w:p w:rsidR="000A156F" w:rsidRDefault="00A9721F">
            <w:pPr>
              <w:pStyle w:val="TableBodyText"/>
            </w:pPr>
            <w:r>
              <w:t>Symbol</w:t>
            </w:r>
          </w:p>
        </w:tc>
        <w:tc>
          <w:tcPr>
            <w:tcW w:w="0" w:type="auto"/>
            <w:vAlign w:val="center"/>
          </w:tcPr>
          <w:p w:rsidR="000A156F" w:rsidRDefault="00A9721F">
            <w:pPr>
              <w:pStyle w:val="TableBodyText"/>
            </w:pPr>
            <w:r>
              <w:t>022B</w:t>
            </w:r>
          </w:p>
        </w:tc>
      </w:tr>
      <w:tr w:rsidR="000A156F" w:rsidTr="000A156F">
        <w:tc>
          <w:tcPr>
            <w:tcW w:w="0" w:type="auto"/>
            <w:vAlign w:val="center"/>
          </w:tcPr>
          <w:p w:rsidR="000A156F" w:rsidRDefault="00A9721F">
            <w:pPr>
              <w:pStyle w:val="TableBodyText"/>
            </w:pPr>
            <w:r>
              <w:t>SymbolFont</w:t>
            </w:r>
          </w:p>
        </w:tc>
        <w:tc>
          <w:tcPr>
            <w:tcW w:w="0" w:type="auto"/>
            <w:vAlign w:val="center"/>
          </w:tcPr>
          <w:p w:rsidR="000A156F" w:rsidRDefault="00A9721F">
            <w:pPr>
              <w:pStyle w:val="TableBodyText"/>
            </w:pPr>
            <w:r>
              <w:t>028B</w:t>
            </w:r>
          </w:p>
        </w:tc>
      </w:tr>
      <w:tr w:rsidR="000A156F" w:rsidTr="000A156F">
        <w:tc>
          <w:tcPr>
            <w:tcW w:w="0" w:type="auto"/>
            <w:vAlign w:val="center"/>
          </w:tcPr>
          <w:p w:rsidR="000A156F" w:rsidRDefault="00A9721F">
            <w:pPr>
              <w:pStyle w:val="TableBodyText"/>
            </w:pPr>
            <w:r>
              <w:t>SymbolMRUGallery</w:t>
            </w:r>
          </w:p>
        </w:tc>
        <w:tc>
          <w:tcPr>
            <w:tcW w:w="0" w:type="auto"/>
            <w:vAlign w:val="center"/>
          </w:tcPr>
          <w:p w:rsidR="000A156F" w:rsidRDefault="00A9721F">
            <w:pPr>
              <w:pStyle w:val="TableBodyText"/>
            </w:pPr>
            <w:r>
              <w:t>07A6</w:t>
            </w:r>
          </w:p>
        </w:tc>
      </w:tr>
      <w:tr w:rsidR="000A156F" w:rsidTr="000A156F">
        <w:tc>
          <w:tcPr>
            <w:tcW w:w="0" w:type="auto"/>
            <w:vAlign w:val="center"/>
          </w:tcPr>
          <w:p w:rsidR="000A156F" w:rsidRDefault="00A9721F">
            <w:pPr>
              <w:pStyle w:val="TableBodyText"/>
            </w:pPr>
            <w:r>
              <w:t>SyncScrollSideBySide</w:t>
            </w:r>
          </w:p>
        </w:tc>
        <w:tc>
          <w:tcPr>
            <w:tcW w:w="0" w:type="auto"/>
            <w:vAlign w:val="center"/>
          </w:tcPr>
          <w:p w:rsidR="000A156F" w:rsidRDefault="00A9721F">
            <w:pPr>
              <w:pStyle w:val="TableBodyText"/>
            </w:pPr>
            <w:r>
              <w:t>058F</w:t>
            </w:r>
          </w:p>
        </w:tc>
      </w:tr>
      <w:tr w:rsidR="000A156F" w:rsidTr="000A156F">
        <w:tc>
          <w:tcPr>
            <w:tcW w:w="0" w:type="auto"/>
            <w:vAlign w:val="center"/>
          </w:tcPr>
          <w:p w:rsidR="000A156F" w:rsidRDefault="00A9721F">
            <w:pPr>
              <w:pStyle w:val="TableBodyText"/>
            </w:pPr>
            <w:r>
              <w:t>TOAGroup</w:t>
            </w:r>
          </w:p>
        </w:tc>
        <w:tc>
          <w:tcPr>
            <w:tcW w:w="0" w:type="auto"/>
            <w:vAlign w:val="center"/>
          </w:tcPr>
          <w:p w:rsidR="000A156F" w:rsidRDefault="00A9721F">
            <w:pPr>
              <w:pStyle w:val="TableBodyText"/>
            </w:pPr>
            <w:r>
              <w:t>08A6</w:t>
            </w:r>
          </w:p>
        </w:tc>
      </w:tr>
      <w:tr w:rsidR="000A156F" w:rsidTr="000A156F">
        <w:tc>
          <w:tcPr>
            <w:tcW w:w="0" w:type="auto"/>
            <w:vAlign w:val="center"/>
          </w:tcPr>
          <w:p w:rsidR="000A156F" w:rsidRDefault="00A9721F">
            <w:pPr>
              <w:pStyle w:val="TableBodyText"/>
            </w:pPr>
            <w:r>
              <w:t>TableAutoFormat</w:t>
            </w:r>
          </w:p>
        </w:tc>
        <w:tc>
          <w:tcPr>
            <w:tcW w:w="0" w:type="auto"/>
            <w:vAlign w:val="center"/>
          </w:tcPr>
          <w:p w:rsidR="000A156F" w:rsidRDefault="00A9721F">
            <w:pPr>
              <w:pStyle w:val="TableBodyText"/>
            </w:pPr>
            <w:r>
              <w:t>0233</w:t>
            </w:r>
          </w:p>
        </w:tc>
      </w:tr>
      <w:tr w:rsidR="000A156F" w:rsidTr="000A156F">
        <w:tc>
          <w:tcPr>
            <w:tcW w:w="0" w:type="auto"/>
            <w:vAlign w:val="center"/>
          </w:tcPr>
          <w:p w:rsidR="000A156F" w:rsidRDefault="00A9721F">
            <w:pPr>
              <w:pStyle w:val="TableBodyText"/>
            </w:pPr>
            <w:r>
              <w:t>TableAutoFormatStyle</w:t>
            </w:r>
          </w:p>
        </w:tc>
        <w:tc>
          <w:tcPr>
            <w:tcW w:w="0" w:type="auto"/>
            <w:vAlign w:val="center"/>
          </w:tcPr>
          <w:p w:rsidR="000A156F" w:rsidRDefault="00A9721F">
            <w:pPr>
              <w:pStyle w:val="TableBodyText"/>
            </w:pPr>
            <w:r>
              <w:t>055F</w:t>
            </w:r>
          </w:p>
        </w:tc>
      </w:tr>
      <w:tr w:rsidR="000A156F" w:rsidTr="000A156F">
        <w:tc>
          <w:tcPr>
            <w:tcW w:w="0" w:type="auto"/>
            <w:vAlign w:val="center"/>
          </w:tcPr>
          <w:p w:rsidR="000A156F" w:rsidRDefault="00A9721F">
            <w:pPr>
              <w:pStyle w:val="TableBodyText"/>
            </w:pPr>
            <w:r>
              <w:t>TableAutoSum</w:t>
            </w:r>
          </w:p>
        </w:tc>
        <w:tc>
          <w:tcPr>
            <w:tcW w:w="0" w:type="auto"/>
            <w:vAlign w:val="center"/>
          </w:tcPr>
          <w:p w:rsidR="000A156F" w:rsidRDefault="00A9721F">
            <w:pPr>
              <w:pStyle w:val="TableBodyText"/>
            </w:pPr>
            <w:r>
              <w:t>0281</w:t>
            </w:r>
          </w:p>
        </w:tc>
      </w:tr>
      <w:tr w:rsidR="000A156F" w:rsidTr="000A156F">
        <w:tc>
          <w:tcPr>
            <w:tcW w:w="0" w:type="auto"/>
            <w:vAlign w:val="center"/>
          </w:tcPr>
          <w:p w:rsidR="000A156F" w:rsidRDefault="00A9721F">
            <w:pPr>
              <w:pStyle w:val="TableBodyText"/>
            </w:pPr>
            <w:r>
              <w:t>TableColumnWidth</w:t>
            </w:r>
          </w:p>
        </w:tc>
        <w:tc>
          <w:tcPr>
            <w:tcW w:w="0" w:type="auto"/>
            <w:vAlign w:val="center"/>
          </w:tcPr>
          <w:p w:rsidR="000A156F" w:rsidRDefault="00A9721F">
            <w:pPr>
              <w:pStyle w:val="TableBodyText"/>
            </w:pPr>
            <w:r>
              <w:t>008F</w:t>
            </w:r>
          </w:p>
        </w:tc>
      </w:tr>
      <w:tr w:rsidR="000A156F" w:rsidTr="000A156F">
        <w:tc>
          <w:tcPr>
            <w:tcW w:w="0" w:type="auto"/>
            <w:vAlign w:val="center"/>
          </w:tcPr>
          <w:p w:rsidR="000A156F" w:rsidRDefault="00A9721F">
            <w:pPr>
              <w:pStyle w:val="TableBodyText"/>
            </w:pPr>
            <w:r>
              <w:t>TableColumnWidthSpinner</w:t>
            </w:r>
          </w:p>
        </w:tc>
        <w:tc>
          <w:tcPr>
            <w:tcW w:w="0" w:type="auto"/>
            <w:vAlign w:val="center"/>
          </w:tcPr>
          <w:p w:rsidR="000A156F" w:rsidRDefault="00A9721F">
            <w:pPr>
              <w:pStyle w:val="TableBodyText"/>
            </w:pPr>
            <w:r>
              <w:t>091F</w:t>
            </w:r>
          </w:p>
        </w:tc>
      </w:tr>
      <w:tr w:rsidR="000A156F" w:rsidTr="000A156F">
        <w:tc>
          <w:tcPr>
            <w:tcW w:w="0" w:type="auto"/>
            <w:vAlign w:val="center"/>
          </w:tcPr>
          <w:p w:rsidR="000A156F" w:rsidRDefault="00A9721F">
            <w:pPr>
              <w:pStyle w:val="TableBodyText"/>
            </w:pPr>
            <w:r>
              <w:t>TableDeleteCells</w:t>
            </w:r>
          </w:p>
        </w:tc>
        <w:tc>
          <w:tcPr>
            <w:tcW w:w="0" w:type="auto"/>
            <w:vAlign w:val="center"/>
          </w:tcPr>
          <w:p w:rsidR="000A156F" w:rsidRDefault="00A9721F">
            <w:pPr>
              <w:pStyle w:val="TableBodyText"/>
            </w:pPr>
            <w:r>
              <w:t>0085</w:t>
            </w:r>
          </w:p>
        </w:tc>
      </w:tr>
      <w:tr w:rsidR="000A156F" w:rsidTr="000A156F">
        <w:tc>
          <w:tcPr>
            <w:tcW w:w="0" w:type="auto"/>
            <w:vAlign w:val="center"/>
          </w:tcPr>
          <w:p w:rsidR="000A156F" w:rsidRDefault="00A9721F">
            <w:pPr>
              <w:pStyle w:val="TableBodyText"/>
            </w:pPr>
            <w:r>
              <w:t>TableDeleteColumn</w:t>
            </w:r>
          </w:p>
        </w:tc>
        <w:tc>
          <w:tcPr>
            <w:tcW w:w="0" w:type="auto"/>
            <w:vAlign w:val="center"/>
          </w:tcPr>
          <w:p w:rsidR="000A156F" w:rsidRDefault="00A9721F">
            <w:pPr>
              <w:pStyle w:val="TableBodyText"/>
            </w:pPr>
            <w:r>
              <w:t>0087</w:t>
            </w:r>
          </w:p>
        </w:tc>
      </w:tr>
      <w:tr w:rsidR="000A156F" w:rsidTr="000A156F">
        <w:tc>
          <w:tcPr>
            <w:tcW w:w="0" w:type="auto"/>
            <w:vAlign w:val="center"/>
          </w:tcPr>
          <w:p w:rsidR="000A156F" w:rsidRDefault="00A9721F">
            <w:pPr>
              <w:pStyle w:val="TableBodyText"/>
            </w:pPr>
            <w:r>
              <w:t>TableDeleteGeneral</w:t>
            </w:r>
          </w:p>
        </w:tc>
        <w:tc>
          <w:tcPr>
            <w:tcW w:w="0" w:type="auto"/>
            <w:vAlign w:val="center"/>
          </w:tcPr>
          <w:p w:rsidR="000A156F" w:rsidRDefault="00A9721F">
            <w:pPr>
              <w:pStyle w:val="TableBodyText"/>
            </w:pPr>
            <w:r>
              <w:t>0145</w:t>
            </w:r>
          </w:p>
        </w:tc>
      </w:tr>
      <w:tr w:rsidR="000A156F" w:rsidTr="000A156F">
        <w:tc>
          <w:tcPr>
            <w:tcW w:w="0" w:type="auto"/>
            <w:vAlign w:val="center"/>
          </w:tcPr>
          <w:p w:rsidR="000A156F" w:rsidRDefault="00A9721F">
            <w:pPr>
              <w:pStyle w:val="TableBodyText"/>
            </w:pPr>
            <w:r>
              <w:t>TableDeleteRow</w:t>
            </w:r>
          </w:p>
        </w:tc>
        <w:tc>
          <w:tcPr>
            <w:tcW w:w="0" w:type="auto"/>
            <w:vAlign w:val="center"/>
          </w:tcPr>
          <w:p w:rsidR="000A156F" w:rsidRDefault="00A9721F">
            <w:pPr>
              <w:pStyle w:val="TableBodyText"/>
            </w:pPr>
            <w:r>
              <w:t>0086</w:t>
            </w:r>
          </w:p>
        </w:tc>
      </w:tr>
      <w:tr w:rsidR="000A156F" w:rsidTr="000A156F">
        <w:tc>
          <w:tcPr>
            <w:tcW w:w="0" w:type="auto"/>
            <w:vAlign w:val="center"/>
          </w:tcPr>
          <w:p w:rsidR="000A156F" w:rsidRDefault="00A9721F">
            <w:pPr>
              <w:pStyle w:val="TableBodyText"/>
            </w:pPr>
            <w:r>
              <w:t>TableDeleteTable</w:t>
            </w:r>
          </w:p>
        </w:tc>
        <w:tc>
          <w:tcPr>
            <w:tcW w:w="0" w:type="auto"/>
            <w:vAlign w:val="center"/>
          </w:tcPr>
          <w:p w:rsidR="000A156F" w:rsidRDefault="00A9721F">
            <w:pPr>
              <w:pStyle w:val="TableBodyText"/>
            </w:pPr>
            <w:r>
              <w:t>0436</w:t>
            </w:r>
          </w:p>
        </w:tc>
      </w:tr>
      <w:tr w:rsidR="000A156F" w:rsidTr="000A156F">
        <w:tc>
          <w:tcPr>
            <w:tcW w:w="0" w:type="auto"/>
            <w:vAlign w:val="center"/>
          </w:tcPr>
          <w:p w:rsidR="000A156F" w:rsidRDefault="00A9721F">
            <w:pPr>
              <w:pStyle w:val="TableBodyText"/>
            </w:pPr>
            <w:r>
              <w:t>TableFormatCell</w:t>
            </w:r>
          </w:p>
        </w:tc>
        <w:tc>
          <w:tcPr>
            <w:tcW w:w="0" w:type="auto"/>
            <w:vAlign w:val="center"/>
          </w:tcPr>
          <w:p w:rsidR="000A156F" w:rsidRDefault="00A9721F">
            <w:pPr>
              <w:pStyle w:val="TableBodyText"/>
            </w:pPr>
            <w:r>
              <w:t>0264</w:t>
            </w:r>
          </w:p>
        </w:tc>
      </w:tr>
      <w:tr w:rsidR="000A156F" w:rsidTr="000A156F">
        <w:tc>
          <w:tcPr>
            <w:tcW w:w="0" w:type="auto"/>
            <w:vAlign w:val="center"/>
          </w:tcPr>
          <w:p w:rsidR="000A156F" w:rsidRDefault="00A9721F">
            <w:pPr>
              <w:pStyle w:val="TableBodyText"/>
            </w:pPr>
            <w:r>
              <w:t>TableFormula</w:t>
            </w:r>
          </w:p>
        </w:tc>
        <w:tc>
          <w:tcPr>
            <w:tcW w:w="0" w:type="auto"/>
            <w:vAlign w:val="center"/>
          </w:tcPr>
          <w:p w:rsidR="000A156F" w:rsidRDefault="00A9721F">
            <w:pPr>
              <w:pStyle w:val="TableBodyText"/>
            </w:pPr>
            <w:r>
              <w:t>015C</w:t>
            </w:r>
          </w:p>
        </w:tc>
      </w:tr>
      <w:tr w:rsidR="000A156F" w:rsidTr="000A156F">
        <w:tc>
          <w:tcPr>
            <w:tcW w:w="0" w:type="auto"/>
            <w:vAlign w:val="center"/>
          </w:tcPr>
          <w:p w:rsidR="000A156F" w:rsidRDefault="00A9721F">
            <w:pPr>
              <w:pStyle w:val="TableBodyText"/>
            </w:pPr>
            <w:r>
              <w:lastRenderedPageBreak/>
              <w:t>TableGridlines</w:t>
            </w:r>
          </w:p>
        </w:tc>
        <w:tc>
          <w:tcPr>
            <w:tcW w:w="0" w:type="auto"/>
            <w:vAlign w:val="center"/>
          </w:tcPr>
          <w:p w:rsidR="000A156F" w:rsidRDefault="00A9721F">
            <w:pPr>
              <w:pStyle w:val="TableBodyText"/>
            </w:pPr>
            <w:r>
              <w:t>0090</w:t>
            </w:r>
          </w:p>
        </w:tc>
      </w:tr>
      <w:tr w:rsidR="000A156F" w:rsidTr="000A156F">
        <w:tc>
          <w:tcPr>
            <w:tcW w:w="0" w:type="auto"/>
            <w:vAlign w:val="center"/>
          </w:tcPr>
          <w:p w:rsidR="000A156F" w:rsidRDefault="00A9721F">
            <w:pPr>
              <w:pStyle w:val="TableBodyText"/>
            </w:pPr>
            <w:r>
              <w:t>TableHeadings</w:t>
            </w:r>
          </w:p>
        </w:tc>
        <w:tc>
          <w:tcPr>
            <w:tcW w:w="0" w:type="auto"/>
            <w:vAlign w:val="center"/>
          </w:tcPr>
          <w:p w:rsidR="000A156F" w:rsidRDefault="00A9721F">
            <w:pPr>
              <w:pStyle w:val="TableBodyText"/>
            </w:pPr>
            <w:r>
              <w:t>0256</w:t>
            </w:r>
          </w:p>
        </w:tc>
      </w:tr>
      <w:tr w:rsidR="000A156F" w:rsidTr="000A156F">
        <w:tc>
          <w:tcPr>
            <w:tcW w:w="0" w:type="auto"/>
            <w:vAlign w:val="center"/>
          </w:tcPr>
          <w:p w:rsidR="000A156F" w:rsidRDefault="00A9721F">
            <w:pPr>
              <w:pStyle w:val="TableBodyText"/>
            </w:pPr>
            <w:r>
              <w:t>TableInsertCells</w:t>
            </w:r>
          </w:p>
        </w:tc>
        <w:tc>
          <w:tcPr>
            <w:tcW w:w="0" w:type="auto"/>
            <w:vAlign w:val="center"/>
          </w:tcPr>
          <w:p w:rsidR="000A156F" w:rsidRDefault="00A9721F">
            <w:pPr>
              <w:pStyle w:val="TableBodyText"/>
            </w:pPr>
            <w:r>
              <w:t>0082</w:t>
            </w:r>
          </w:p>
        </w:tc>
      </w:tr>
      <w:tr w:rsidR="000A156F" w:rsidTr="000A156F">
        <w:tc>
          <w:tcPr>
            <w:tcW w:w="0" w:type="auto"/>
            <w:vAlign w:val="center"/>
          </w:tcPr>
          <w:p w:rsidR="000A156F" w:rsidRDefault="00A9721F">
            <w:pPr>
              <w:pStyle w:val="TableBodyText"/>
            </w:pPr>
            <w:r>
              <w:t>TableInsertCells2</w:t>
            </w:r>
          </w:p>
        </w:tc>
        <w:tc>
          <w:tcPr>
            <w:tcW w:w="0" w:type="auto"/>
            <w:vAlign w:val="center"/>
          </w:tcPr>
          <w:p w:rsidR="000A156F" w:rsidRDefault="00A9721F">
            <w:pPr>
              <w:pStyle w:val="TableBodyText"/>
            </w:pPr>
            <w:r>
              <w:t>0977</w:t>
            </w:r>
          </w:p>
        </w:tc>
      </w:tr>
      <w:tr w:rsidR="000A156F" w:rsidTr="000A156F">
        <w:tc>
          <w:tcPr>
            <w:tcW w:w="0" w:type="auto"/>
            <w:vAlign w:val="center"/>
          </w:tcPr>
          <w:p w:rsidR="000A156F" w:rsidRDefault="00A9721F">
            <w:pPr>
              <w:pStyle w:val="TableBodyText"/>
            </w:pPr>
            <w:r>
              <w:t>TableInsertColumn</w:t>
            </w:r>
          </w:p>
        </w:tc>
        <w:tc>
          <w:tcPr>
            <w:tcW w:w="0" w:type="auto"/>
            <w:vAlign w:val="center"/>
          </w:tcPr>
          <w:p w:rsidR="000A156F" w:rsidRDefault="00A9721F">
            <w:pPr>
              <w:pStyle w:val="TableBodyText"/>
            </w:pPr>
            <w:r>
              <w:t>0084</w:t>
            </w:r>
          </w:p>
        </w:tc>
      </w:tr>
      <w:tr w:rsidR="000A156F" w:rsidTr="000A156F">
        <w:tc>
          <w:tcPr>
            <w:tcW w:w="0" w:type="auto"/>
            <w:vAlign w:val="center"/>
          </w:tcPr>
          <w:p w:rsidR="000A156F" w:rsidRDefault="00A9721F">
            <w:pPr>
              <w:pStyle w:val="TableBodyText"/>
            </w:pPr>
            <w:r>
              <w:t>TableInsertColumnRight</w:t>
            </w:r>
          </w:p>
        </w:tc>
        <w:tc>
          <w:tcPr>
            <w:tcW w:w="0" w:type="auto"/>
            <w:vAlign w:val="center"/>
          </w:tcPr>
          <w:p w:rsidR="000A156F" w:rsidRDefault="00A9721F">
            <w:pPr>
              <w:pStyle w:val="TableBodyText"/>
            </w:pPr>
            <w:r>
              <w:t>0435</w:t>
            </w:r>
          </w:p>
        </w:tc>
      </w:tr>
      <w:tr w:rsidR="000A156F" w:rsidTr="000A156F">
        <w:tc>
          <w:tcPr>
            <w:tcW w:w="0" w:type="auto"/>
            <w:vAlign w:val="center"/>
          </w:tcPr>
          <w:p w:rsidR="000A156F" w:rsidRDefault="00A9721F">
            <w:pPr>
              <w:pStyle w:val="TableBodyText"/>
            </w:pPr>
            <w:r>
              <w:t>TableInsertGeneral</w:t>
            </w:r>
          </w:p>
        </w:tc>
        <w:tc>
          <w:tcPr>
            <w:tcW w:w="0" w:type="auto"/>
            <w:vAlign w:val="center"/>
          </w:tcPr>
          <w:p w:rsidR="000A156F" w:rsidRDefault="00A9721F">
            <w:pPr>
              <w:pStyle w:val="TableBodyText"/>
            </w:pPr>
            <w:r>
              <w:t>0144</w:t>
            </w:r>
          </w:p>
        </w:tc>
      </w:tr>
      <w:tr w:rsidR="000A156F" w:rsidTr="000A156F">
        <w:tc>
          <w:tcPr>
            <w:tcW w:w="0" w:type="auto"/>
            <w:vAlign w:val="center"/>
          </w:tcPr>
          <w:p w:rsidR="000A156F" w:rsidRDefault="00A9721F">
            <w:pPr>
              <w:pStyle w:val="TableBodyText"/>
            </w:pPr>
            <w:r>
              <w:t>TableInsertRow</w:t>
            </w:r>
          </w:p>
        </w:tc>
        <w:tc>
          <w:tcPr>
            <w:tcW w:w="0" w:type="auto"/>
            <w:vAlign w:val="center"/>
          </w:tcPr>
          <w:p w:rsidR="000A156F" w:rsidRDefault="00A9721F">
            <w:pPr>
              <w:pStyle w:val="TableBodyText"/>
            </w:pPr>
            <w:r>
              <w:t>0083</w:t>
            </w:r>
          </w:p>
        </w:tc>
      </w:tr>
      <w:tr w:rsidR="000A156F" w:rsidTr="000A156F">
        <w:tc>
          <w:tcPr>
            <w:tcW w:w="0" w:type="auto"/>
            <w:vAlign w:val="center"/>
          </w:tcPr>
          <w:p w:rsidR="000A156F" w:rsidRDefault="00A9721F">
            <w:pPr>
              <w:pStyle w:val="TableBodyText"/>
            </w:pPr>
            <w:r>
              <w:t>TableInsertRowAbove</w:t>
            </w:r>
          </w:p>
        </w:tc>
        <w:tc>
          <w:tcPr>
            <w:tcW w:w="0" w:type="auto"/>
            <w:vAlign w:val="center"/>
          </w:tcPr>
          <w:p w:rsidR="000A156F" w:rsidRDefault="00A9721F">
            <w:pPr>
              <w:pStyle w:val="TableBodyText"/>
            </w:pPr>
            <w:r>
              <w:t>0448</w:t>
            </w:r>
          </w:p>
        </w:tc>
      </w:tr>
      <w:tr w:rsidR="000A156F" w:rsidTr="000A156F">
        <w:tc>
          <w:tcPr>
            <w:tcW w:w="0" w:type="auto"/>
            <w:vAlign w:val="center"/>
          </w:tcPr>
          <w:p w:rsidR="000A156F" w:rsidRDefault="00A9721F">
            <w:pPr>
              <w:pStyle w:val="TableBodyText"/>
            </w:pPr>
            <w:r>
              <w:t>TableInsertRowBelow</w:t>
            </w:r>
          </w:p>
        </w:tc>
        <w:tc>
          <w:tcPr>
            <w:tcW w:w="0" w:type="auto"/>
            <w:vAlign w:val="center"/>
          </w:tcPr>
          <w:p w:rsidR="000A156F" w:rsidRDefault="00A9721F">
            <w:pPr>
              <w:pStyle w:val="TableBodyText"/>
            </w:pPr>
            <w:r>
              <w:t>0434</w:t>
            </w:r>
          </w:p>
        </w:tc>
      </w:tr>
      <w:tr w:rsidR="000A156F" w:rsidTr="000A156F">
        <w:tc>
          <w:tcPr>
            <w:tcW w:w="0" w:type="auto"/>
            <w:vAlign w:val="center"/>
          </w:tcPr>
          <w:p w:rsidR="000A156F" w:rsidRDefault="00A9721F">
            <w:pPr>
              <w:pStyle w:val="TableBodyText"/>
            </w:pPr>
            <w:r>
              <w:t>TableInsertTable</w:t>
            </w:r>
          </w:p>
        </w:tc>
        <w:tc>
          <w:tcPr>
            <w:tcW w:w="0" w:type="auto"/>
            <w:vAlign w:val="center"/>
          </w:tcPr>
          <w:p w:rsidR="000A156F" w:rsidRDefault="00A9721F">
            <w:pPr>
              <w:pStyle w:val="TableBodyText"/>
            </w:pPr>
            <w:r>
              <w:t>0081</w:t>
            </w:r>
          </w:p>
        </w:tc>
      </w:tr>
      <w:tr w:rsidR="000A156F" w:rsidTr="000A156F">
        <w:tc>
          <w:tcPr>
            <w:tcW w:w="0" w:type="auto"/>
            <w:vAlign w:val="center"/>
          </w:tcPr>
          <w:p w:rsidR="000A156F" w:rsidRDefault="00A9721F">
            <w:pPr>
              <w:pStyle w:val="TableBodyText"/>
            </w:pPr>
            <w:r>
              <w:t>TableInsertTableEG</w:t>
            </w:r>
          </w:p>
        </w:tc>
        <w:tc>
          <w:tcPr>
            <w:tcW w:w="0" w:type="auto"/>
            <w:vAlign w:val="center"/>
          </w:tcPr>
          <w:p w:rsidR="000A156F" w:rsidRDefault="00A9721F">
            <w:pPr>
              <w:pStyle w:val="TableBodyText"/>
            </w:pPr>
            <w:r>
              <w:t>0437</w:t>
            </w:r>
          </w:p>
        </w:tc>
      </w:tr>
      <w:tr w:rsidR="000A156F" w:rsidTr="000A156F">
        <w:tc>
          <w:tcPr>
            <w:tcW w:w="0" w:type="auto"/>
            <w:vAlign w:val="center"/>
          </w:tcPr>
          <w:p w:rsidR="000A156F" w:rsidRDefault="00A9721F">
            <w:pPr>
              <w:pStyle w:val="TableBodyText"/>
            </w:pPr>
            <w:r>
              <w:t>TableMergeCells</w:t>
            </w:r>
          </w:p>
        </w:tc>
        <w:tc>
          <w:tcPr>
            <w:tcW w:w="0" w:type="auto"/>
            <w:vAlign w:val="center"/>
          </w:tcPr>
          <w:p w:rsidR="000A156F" w:rsidRDefault="00A9721F">
            <w:pPr>
              <w:pStyle w:val="TableBodyText"/>
            </w:pPr>
            <w:r>
              <w:t>0088</w:t>
            </w:r>
          </w:p>
        </w:tc>
      </w:tr>
      <w:tr w:rsidR="000A156F" w:rsidTr="000A156F">
        <w:tc>
          <w:tcPr>
            <w:tcW w:w="0" w:type="auto"/>
            <w:vAlign w:val="center"/>
          </w:tcPr>
          <w:p w:rsidR="000A156F" w:rsidRDefault="00A9721F">
            <w:pPr>
              <w:pStyle w:val="TableBodyText"/>
            </w:pPr>
            <w:r>
              <w:t>TableOfContentsGallery</w:t>
            </w:r>
          </w:p>
        </w:tc>
        <w:tc>
          <w:tcPr>
            <w:tcW w:w="0" w:type="auto"/>
            <w:vAlign w:val="center"/>
          </w:tcPr>
          <w:p w:rsidR="000A156F" w:rsidRDefault="00A9721F">
            <w:pPr>
              <w:pStyle w:val="TableBodyText"/>
            </w:pPr>
            <w:r>
              <w:t>0911</w:t>
            </w:r>
          </w:p>
        </w:tc>
      </w:tr>
      <w:tr w:rsidR="000A156F" w:rsidTr="000A156F">
        <w:tc>
          <w:tcPr>
            <w:tcW w:w="0" w:type="auto"/>
            <w:vAlign w:val="center"/>
          </w:tcPr>
          <w:p w:rsidR="000A156F" w:rsidRDefault="00A9721F">
            <w:pPr>
              <w:pStyle w:val="TableBodyText"/>
            </w:pPr>
            <w:r>
              <w:t>TableOptions</w:t>
            </w:r>
          </w:p>
        </w:tc>
        <w:tc>
          <w:tcPr>
            <w:tcW w:w="0" w:type="auto"/>
            <w:vAlign w:val="center"/>
          </w:tcPr>
          <w:p w:rsidR="000A156F" w:rsidRDefault="00A9721F">
            <w:pPr>
              <w:pStyle w:val="TableBodyText"/>
            </w:pPr>
            <w:r>
              <w:t>0438</w:t>
            </w:r>
          </w:p>
        </w:tc>
      </w:tr>
      <w:tr w:rsidR="000A156F" w:rsidTr="000A156F">
        <w:tc>
          <w:tcPr>
            <w:tcW w:w="0" w:type="auto"/>
            <w:vAlign w:val="center"/>
          </w:tcPr>
          <w:p w:rsidR="000A156F" w:rsidRDefault="00A9721F">
            <w:pPr>
              <w:pStyle w:val="TableBodyText"/>
            </w:pPr>
            <w:r>
              <w:t>TableProperties</w:t>
            </w:r>
          </w:p>
        </w:tc>
        <w:tc>
          <w:tcPr>
            <w:tcW w:w="0" w:type="auto"/>
            <w:vAlign w:val="center"/>
          </w:tcPr>
          <w:p w:rsidR="000A156F" w:rsidRDefault="00A9721F">
            <w:pPr>
              <w:pStyle w:val="TableBodyText"/>
            </w:pPr>
            <w:r>
              <w:t>035D</w:t>
            </w:r>
          </w:p>
        </w:tc>
      </w:tr>
      <w:tr w:rsidR="000A156F" w:rsidTr="000A156F">
        <w:tc>
          <w:tcPr>
            <w:tcW w:w="0" w:type="auto"/>
            <w:vAlign w:val="center"/>
          </w:tcPr>
          <w:p w:rsidR="000A156F" w:rsidRDefault="00A9721F">
            <w:pPr>
              <w:pStyle w:val="TableBodyText"/>
            </w:pPr>
            <w:r>
              <w:t>TableRowHeight</w:t>
            </w:r>
          </w:p>
        </w:tc>
        <w:tc>
          <w:tcPr>
            <w:tcW w:w="0" w:type="auto"/>
            <w:vAlign w:val="center"/>
          </w:tcPr>
          <w:p w:rsidR="000A156F" w:rsidRDefault="00A9721F">
            <w:pPr>
              <w:pStyle w:val="TableBodyText"/>
            </w:pPr>
            <w:r>
              <w:t>008E</w:t>
            </w:r>
          </w:p>
        </w:tc>
      </w:tr>
      <w:tr w:rsidR="000A156F" w:rsidTr="000A156F">
        <w:tc>
          <w:tcPr>
            <w:tcW w:w="0" w:type="auto"/>
            <w:vAlign w:val="center"/>
          </w:tcPr>
          <w:p w:rsidR="000A156F" w:rsidRDefault="00A9721F">
            <w:pPr>
              <w:pStyle w:val="TableBodyText"/>
            </w:pPr>
            <w:r>
              <w:t>TableRowHeightSpinner</w:t>
            </w:r>
          </w:p>
        </w:tc>
        <w:tc>
          <w:tcPr>
            <w:tcW w:w="0" w:type="auto"/>
            <w:vAlign w:val="center"/>
          </w:tcPr>
          <w:p w:rsidR="000A156F" w:rsidRDefault="00A9721F">
            <w:pPr>
              <w:pStyle w:val="TableBodyText"/>
            </w:pPr>
            <w:r>
              <w:t>0920</w:t>
            </w:r>
          </w:p>
        </w:tc>
      </w:tr>
      <w:tr w:rsidR="000A156F" w:rsidTr="000A156F">
        <w:tc>
          <w:tcPr>
            <w:tcW w:w="0" w:type="auto"/>
            <w:vAlign w:val="center"/>
          </w:tcPr>
          <w:p w:rsidR="000A156F" w:rsidRDefault="00A9721F">
            <w:pPr>
              <w:pStyle w:val="TableBodyText"/>
            </w:pPr>
            <w:r>
              <w:t>TableSelectCell</w:t>
            </w:r>
          </w:p>
        </w:tc>
        <w:tc>
          <w:tcPr>
            <w:tcW w:w="0" w:type="auto"/>
            <w:vAlign w:val="center"/>
          </w:tcPr>
          <w:p w:rsidR="000A156F" w:rsidRDefault="00A9721F">
            <w:pPr>
              <w:pStyle w:val="TableBodyText"/>
            </w:pPr>
            <w:r>
              <w:t>0433</w:t>
            </w:r>
          </w:p>
        </w:tc>
      </w:tr>
      <w:tr w:rsidR="000A156F" w:rsidTr="000A156F">
        <w:tc>
          <w:tcPr>
            <w:tcW w:w="0" w:type="auto"/>
            <w:vAlign w:val="center"/>
          </w:tcPr>
          <w:p w:rsidR="000A156F" w:rsidRDefault="00A9721F">
            <w:pPr>
              <w:pStyle w:val="TableBodyText"/>
            </w:pPr>
            <w:r>
              <w:t>TableSelectColumn</w:t>
            </w:r>
          </w:p>
        </w:tc>
        <w:tc>
          <w:tcPr>
            <w:tcW w:w="0" w:type="auto"/>
            <w:vAlign w:val="center"/>
          </w:tcPr>
          <w:p w:rsidR="000A156F" w:rsidRDefault="00A9721F">
            <w:pPr>
              <w:pStyle w:val="TableBodyText"/>
            </w:pPr>
            <w:r>
              <w:t>008D</w:t>
            </w:r>
          </w:p>
        </w:tc>
      </w:tr>
      <w:tr w:rsidR="000A156F" w:rsidTr="000A156F">
        <w:tc>
          <w:tcPr>
            <w:tcW w:w="0" w:type="auto"/>
            <w:vAlign w:val="center"/>
          </w:tcPr>
          <w:p w:rsidR="000A156F" w:rsidRDefault="00A9721F">
            <w:pPr>
              <w:pStyle w:val="TableBodyText"/>
            </w:pPr>
            <w:r>
              <w:t>TableSelectRow</w:t>
            </w:r>
          </w:p>
        </w:tc>
        <w:tc>
          <w:tcPr>
            <w:tcW w:w="0" w:type="auto"/>
            <w:vAlign w:val="center"/>
          </w:tcPr>
          <w:p w:rsidR="000A156F" w:rsidRDefault="00A9721F">
            <w:pPr>
              <w:pStyle w:val="TableBodyText"/>
            </w:pPr>
            <w:r>
              <w:t>008C</w:t>
            </w:r>
          </w:p>
        </w:tc>
      </w:tr>
      <w:tr w:rsidR="000A156F" w:rsidTr="000A156F">
        <w:tc>
          <w:tcPr>
            <w:tcW w:w="0" w:type="auto"/>
            <w:vAlign w:val="center"/>
          </w:tcPr>
          <w:p w:rsidR="000A156F" w:rsidRDefault="00A9721F">
            <w:pPr>
              <w:pStyle w:val="TableBodyText"/>
            </w:pPr>
            <w:r>
              <w:t>TableSelectTable</w:t>
            </w:r>
          </w:p>
        </w:tc>
        <w:tc>
          <w:tcPr>
            <w:tcW w:w="0" w:type="auto"/>
            <w:vAlign w:val="center"/>
          </w:tcPr>
          <w:p w:rsidR="000A156F" w:rsidRDefault="00A9721F">
            <w:pPr>
              <w:pStyle w:val="TableBodyText"/>
            </w:pPr>
            <w:r>
              <w:t>008B</w:t>
            </w:r>
          </w:p>
        </w:tc>
      </w:tr>
      <w:tr w:rsidR="000A156F" w:rsidTr="000A156F">
        <w:tc>
          <w:tcPr>
            <w:tcW w:w="0" w:type="auto"/>
            <w:vAlign w:val="center"/>
          </w:tcPr>
          <w:p w:rsidR="000A156F" w:rsidRDefault="00A9721F">
            <w:pPr>
              <w:pStyle w:val="TableBodyText"/>
            </w:pPr>
            <w:r>
              <w:t>TableSort</w:t>
            </w:r>
          </w:p>
        </w:tc>
        <w:tc>
          <w:tcPr>
            <w:tcW w:w="0" w:type="auto"/>
            <w:vAlign w:val="center"/>
          </w:tcPr>
          <w:p w:rsidR="000A156F" w:rsidRDefault="00A9721F">
            <w:pPr>
              <w:pStyle w:val="TableBodyText"/>
            </w:pPr>
            <w:r>
              <w:t>00C7</w:t>
            </w:r>
          </w:p>
        </w:tc>
      </w:tr>
      <w:tr w:rsidR="000A156F" w:rsidTr="000A156F">
        <w:tc>
          <w:tcPr>
            <w:tcW w:w="0" w:type="auto"/>
            <w:vAlign w:val="center"/>
          </w:tcPr>
          <w:p w:rsidR="000A156F" w:rsidRDefault="00A9721F">
            <w:pPr>
              <w:pStyle w:val="TableBodyText"/>
            </w:pPr>
            <w:r>
              <w:t>TableSortAToZ</w:t>
            </w:r>
          </w:p>
        </w:tc>
        <w:tc>
          <w:tcPr>
            <w:tcW w:w="0" w:type="auto"/>
            <w:vAlign w:val="center"/>
          </w:tcPr>
          <w:p w:rsidR="000A156F" w:rsidRDefault="00A9721F">
            <w:pPr>
              <w:pStyle w:val="TableBodyText"/>
            </w:pPr>
            <w:r>
              <w:t>0189</w:t>
            </w:r>
          </w:p>
        </w:tc>
      </w:tr>
      <w:tr w:rsidR="000A156F" w:rsidTr="000A156F">
        <w:tc>
          <w:tcPr>
            <w:tcW w:w="0" w:type="auto"/>
            <w:vAlign w:val="center"/>
          </w:tcPr>
          <w:p w:rsidR="000A156F" w:rsidRDefault="00A9721F">
            <w:pPr>
              <w:pStyle w:val="TableBodyText"/>
            </w:pPr>
            <w:r>
              <w:t>TableSortZToA</w:t>
            </w:r>
          </w:p>
        </w:tc>
        <w:tc>
          <w:tcPr>
            <w:tcW w:w="0" w:type="auto"/>
            <w:vAlign w:val="center"/>
          </w:tcPr>
          <w:p w:rsidR="000A156F" w:rsidRDefault="00A9721F">
            <w:pPr>
              <w:pStyle w:val="TableBodyText"/>
            </w:pPr>
            <w:r>
              <w:t>018A</w:t>
            </w:r>
          </w:p>
        </w:tc>
      </w:tr>
      <w:tr w:rsidR="000A156F" w:rsidTr="000A156F">
        <w:tc>
          <w:tcPr>
            <w:tcW w:w="0" w:type="auto"/>
            <w:vAlign w:val="center"/>
          </w:tcPr>
          <w:p w:rsidR="000A156F" w:rsidRDefault="00A9721F">
            <w:pPr>
              <w:pStyle w:val="TableBodyText"/>
            </w:pPr>
            <w:r>
              <w:t>TableSplit</w:t>
            </w:r>
          </w:p>
        </w:tc>
        <w:tc>
          <w:tcPr>
            <w:tcW w:w="0" w:type="auto"/>
            <w:vAlign w:val="center"/>
          </w:tcPr>
          <w:p w:rsidR="000A156F" w:rsidRDefault="00A9721F">
            <w:pPr>
              <w:pStyle w:val="TableBodyText"/>
            </w:pPr>
            <w:r>
              <w:t>008A</w:t>
            </w:r>
          </w:p>
        </w:tc>
      </w:tr>
      <w:tr w:rsidR="000A156F" w:rsidTr="000A156F">
        <w:tc>
          <w:tcPr>
            <w:tcW w:w="0" w:type="auto"/>
            <w:vAlign w:val="center"/>
          </w:tcPr>
          <w:p w:rsidR="000A156F" w:rsidRDefault="00A9721F">
            <w:pPr>
              <w:pStyle w:val="TableBodyText"/>
            </w:pPr>
            <w:r>
              <w:t>TableSplitCells</w:t>
            </w:r>
          </w:p>
        </w:tc>
        <w:tc>
          <w:tcPr>
            <w:tcW w:w="0" w:type="auto"/>
            <w:vAlign w:val="center"/>
          </w:tcPr>
          <w:p w:rsidR="000A156F" w:rsidRDefault="00A9721F">
            <w:pPr>
              <w:pStyle w:val="TableBodyText"/>
            </w:pPr>
            <w:r>
              <w:t>0089</w:t>
            </w:r>
          </w:p>
        </w:tc>
      </w:tr>
      <w:tr w:rsidR="000A156F" w:rsidTr="000A156F">
        <w:tc>
          <w:tcPr>
            <w:tcW w:w="0" w:type="auto"/>
            <w:vAlign w:val="center"/>
          </w:tcPr>
          <w:p w:rsidR="000A156F" w:rsidRDefault="00A9721F">
            <w:pPr>
              <w:pStyle w:val="TableBodyText"/>
            </w:pPr>
            <w:r>
              <w:t>TableStyleNew</w:t>
            </w:r>
          </w:p>
        </w:tc>
        <w:tc>
          <w:tcPr>
            <w:tcW w:w="0" w:type="auto"/>
            <w:vAlign w:val="center"/>
          </w:tcPr>
          <w:p w:rsidR="000A156F" w:rsidRDefault="00A9721F">
            <w:pPr>
              <w:pStyle w:val="TableBodyText"/>
            </w:pPr>
            <w:r>
              <w:t>09A2</w:t>
            </w:r>
          </w:p>
        </w:tc>
      </w:tr>
      <w:tr w:rsidR="000A156F" w:rsidTr="000A156F">
        <w:tc>
          <w:tcPr>
            <w:tcW w:w="0" w:type="auto"/>
            <w:vAlign w:val="center"/>
          </w:tcPr>
          <w:p w:rsidR="000A156F" w:rsidRDefault="00A9721F">
            <w:pPr>
              <w:pStyle w:val="TableBodyText"/>
            </w:pPr>
            <w:r>
              <w:t>TableToOrFromText</w:t>
            </w:r>
          </w:p>
        </w:tc>
        <w:tc>
          <w:tcPr>
            <w:tcW w:w="0" w:type="auto"/>
            <w:vAlign w:val="center"/>
          </w:tcPr>
          <w:p w:rsidR="000A156F" w:rsidRDefault="00A9721F">
            <w:pPr>
              <w:pStyle w:val="TableBodyText"/>
            </w:pPr>
            <w:r>
              <w:t>0147</w:t>
            </w:r>
          </w:p>
        </w:tc>
      </w:tr>
      <w:tr w:rsidR="000A156F" w:rsidTr="000A156F">
        <w:tc>
          <w:tcPr>
            <w:tcW w:w="0" w:type="auto"/>
            <w:vAlign w:val="center"/>
          </w:tcPr>
          <w:p w:rsidR="000A156F" w:rsidRDefault="00A9721F">
            <w:pPr>
              <w:pStyle w:val="TableBodyText"/>
            </w:pPr>
            <w:r>
              <w:t>TableToText</w:t>
            </w:r>
          </w:p>
        </w:tc>
        <w:tc>
          <w:tcPr>
            <w:tcW w:w="0" w:type="auto"/>
            <w:vAlign w:val="center"/>
          </w:tcPr>
          <w:p w:rsidR="000A156F" w:rsidRDefault="00A9721F">
            <w:pPr>
              <w:pStyle w:val="TableBodyText"/>
            </w:pPr>
            <w:r>
              <w:t>0080</w:t>
            </w:r>
          </w:p>
        </w:tc>
      </w:tr>
      <w:tr w:rsidR="000A156F" w:rsidTr="000A156F">
        <w:tc>
          <w:tcPr>
            <w:tcW w:w="0" w:type="auto"/>
            <w:vAlign w:val="center"/>
          </w:tcPr>
          <w:p w:rsidR="000A156F" w:rsidRDefault="00A9721F">
            <w:pPr>
              <w:pStyle w:val="TableBodyText"/>
            </w:pPr>
            <w:r>
              <w:t>TableUpdateAutoFormat</w:t>
            </w:r>
          </w:p>
        </w:tc>
        <w:tc>
          <w:tcPr>
            <w:tcW w:w="0" w:type="auto"/>
            <w:vAlign w:val="center"/>
          </w:tcPr>
          <w:p w:rsidR="000A156F" w:rsidRDefault="00A9721F">
            <w:pPr>
              <w:pStyle w:val="TableBodyText"/>
            </w:pPr>
            <w:r>
              <w:t>0272</w:t>
            </w:r>
          </w:p>
        </w:tc>
      </w:tr>
      <w:tr w:rsidR="000A156F" w:rsidTr="000A156F">
        <w:tc>
          <w:tcPr>
            <w:tcW w:w="0" w:type="auto"/>
            <w:vAlign w:val="center"/>
          </w:tcPr>
          <w:p w:rsidR="000A156F" w:rsidRDefault="00A9721F">
            <w:pPr>
              <w:pStyle w:val="TableBodyText"/>
            </w:pPr>
            <w:r>
              <w:t>TableWizard</w:t>
            </w:r>
          </w:p>
        </w:tc>
        <w:tc>
          <w:tcPr>
            <w:tcW w:w="0" w:type="auto"/>
            <w:vAlign w:val="center"/>
          </w:tcPr>
          <w:p w:rsidR="000A156F" w:rsidRDefault="00A9721F">
            <w:pPr>
              <w:pStyle w:val="TableBodyText"/>
            </w:pPr>
            <w:r>
              <w:t>0485</w:t>
            </w:r>
          </w:p>
        </w:tc>
      </w:tr>
      <w:tr w:rsidR="000A156F" w:rsidTr="000A156F">
        <w:tc>
          <w:tcPr>
            <w:tcW w:w="0" w:type="auto"/>
            <w:vAlign w:val="center"/>
          </w:tcPr>
          <w:p w:rsidR="000A156F" w:rsidRDefault="00A9721F">
            <w:pPr>
              <w:pStyle w:val="TableBodyText"/>
            </w:pPr>
            <w:r>
              <w:lastRenderedPageBreak/>
              <w:t>TableWrapping</w:t>
            </w:r>
          </w:p>
        </w:tc>
        <w:tc>
          <w:tcPr>
            <w:tcW w:w="0" w:type="auto"/>
            <w:vAlign w:val="center"/>
          </w:tcPr>
          <w:p w:rsidR="000A156F" w:rsidRDefault="00A9721F">
            <w:pPr>
              <w:pStyle w:val="TableBodyText"/>
            </w:pPr>
            <w:r>
              <w:t>0356</w:t>
            </w:r>
          </w:p>
        </w:tc>
      </w:tr>
      <w:tr w:rsidR="000A156F" w:rsidTr="000A156F">
        <w:tc>
          <w:tcPr>
            <w:tcW w:w="0" w:type="auto"/>
            <w:vAlign w:val="center"/>
          </w:tcPr>
          <w:p w:rsidR="000A156F" w:rsidRDefault="00A9721F">
            <w:pPr>
              <w:pStyle w:val="TableBodyText"/>
            </w:pPr>
            <w:r>
              <w:t>TextBoxGallery</w:t>
            </w:r>
          </w:p>
        </w:tc>
        <w:tc>
          <w:tcPr>
            <w:tcW w:w="0" w:type="auto"/>
            <w:vAlign w:val="center"/>
          </w:tcPr>
          <w:p w:rsidR="000A156F" w:rsidRDefault="00A9721F">
            <w:pPr>
              <w:pStyle w:val="TableBodyText"/>
            </w:pPr>
            <w:r>
              <w:t>08DF</w:t>
            </w:r>
          </w:p>
        </w:tc>
      </w:tr>
      <w:tr w:rsidR="000A156F" w:rsidTr="000A156F">
        <w:tc>
          <w:tcPr>
            <w:tcW w:w="0" w:type="auto"/>
            <w:vAlign w:val="center"/>
          </w:tcPr>
          <w:p w:rsidR="000A156F" w:rsidRDefault="00A9721F">
            <w:pPr>
              <w:pStyle w:val="TableBodyText"/>
            </w:pPr>
            <w:r>
              <w:t>TextBoxLinking</w:t>
            </w:r>
          </w:p>
        </w:tc>
        <w:tc>
          <w:tcPr>
            <w:tcW w:w="0" w:type="auto"/>
            <w:vAlign w:val="center"/>
          </w:tcPr>
          <w:p w:rsidR="000A156F" w:rsidRDefault="00A9721F">
            <w:pPr>
              <w:pStyle w:val="TableBodyText"/>
            </w:pPr>
            <w:r>
              <w:t>0348</w:t>
            </w:r>
          </w:p>
        </w:tc>
      </w:tr>
      <w:tr w:rsidR="000A156F" w:rsidTr="000A156F">
        <w:tc>
          <w:tcPr>
            <w:tcW w:w="0" w:type="auto"/>
            <w:vAlign w:val="center"/>
          </w:tcPr>
          <w:p w:rsidR="000A156F" w:rsidRDefault="00A9721F">
            <w:pPr>
              <w:pStyle w:val="TableBodyText"/>
            </w:pPr>
            <w:r>
              <w:t>TextBoxUnlinking</w:t>
            </w:r>
          </w:p>
        </w:tc>
        <w:tc>
          <w:tcPr>
            <w:tcW w:w="0" w:type="auto"/>
            <w:vAlign w:val="center"/>
          </w:tcPr>
          <w:p w:rsidR="000A156F" w:rsidRDefault="00A9721F">
            <w:pPr>
              <w:pStyle w:val="TableBodyText"/>
            </w:pPr>
            <w:r>
              <w:t>0349</w:t>
            </w:r>
          </w:p>
        </w:tc>
      </w:tr>
      <w:tr w:rsidR="000A156F" w:rsidTr="000A156F">
        <w:tc>
          <w:tcPr>
            <w:tcW w:w="0" w:type="auto"/>
            <w:vAlign w:val="center"/>
          </w:tcPr>
          <w:p w:rsidR="000A156F" w:rsidRDefault="00A9721F">
            <w:pPr>
              <w:pStyle w:val="TableBodyText"/>
            </w:pPr>
            <w:r>
              <w:t>TextFlowGallery</w:t>
            </w:r>
          </w:p>
        </w:tc>
        <w:tc>
          <w:tcPr>
            <w:tcW w:w="0" w:type="auto"/>
            <w:vAlign w:val="center"/>
          </w:tcPr>
          <w:p w:rsidR="000A156F" w:rsidRDefault="00A9721F">
            <w:pPr>
              <w:pStyle w:val="TableBodyText"/>
            </w:pPr>
            <w:r>
              <w:t>08C1</w:t>
            </w:r>
          </w:p>
        </w:tc>
      </w:tr>
      <w:tr w:rsidR="000A156F" w:rsidTr="000A156F">
        <w:tc>
          <w:tcPr>
            <w:tcW w:w="0" w:type="auto"/>
            <w:vAlign w:val="center"/>
          </w:tcPr>
          <w:p w:rsidR="000A156F" w:rsidRDefault="00A9721F">
            <w:pPr>
              <w:pStyle w:val="TableBodyText"/>
            </w:pPr>
            <w:r>
              <w:t>TextFormField</w:t>
            </w:r>
          </w:p>
        </w:tc>
        <w:tc>
          <w:tcPr>
            <w:tcW w:w="0" w:type="auto"/>
            <w:vAlign w:val="center"/>
          </w:tcPr>
          <w:p w:rsidR="000A156F" w:rsidRDefault="00A9721F">
            <w:pPr>
              <w:pStyle w:val="TableBodyText"/>
            </w:pPr>
            <w:r>
              <w:t>015D</w:t>
            </w:r>
          </w:p>
        </w:tc>
      </w:tr>
      <w:tr w:rsidR="000A156F" w:rsidTr="000A156F">
        <w:tc>
          <w:tcPr>
            <w:tcW w:w="0" w:type="auto"/>
            <w:vAlign w:val="center"/>
          </w:tcPr>
          <w:p w:rsidR="000A156F" w:rsidRDefault="00A9721F">
            <w:pPr>
              <w:pStyle w:val="TableBodyText"/>
            </w:pPr>
            <w:r>
              <w:t>TextToTable</w:t>
            </w:r>
          </w:p>
        </w:tc>
        <w:tc>
          <w:tcPr>
            <w:tcW w:w="0" w:type="auto"/>
            <w:vAlign w:val="center"/>
          </w:tcPr>
          <w:p w:rsidR="000A156F" w:rsidRDefault="00A9721F">
            <w:pPr>
              <w:pStyle w:val="TableBodyText"/>
            </w:pPr>
            <w:r>
              <w:t>007F</w:t>
            </w:r>
          </w:p>
        </w:tc>
      </w:tr>
      <w:tr w:rsidR="000A156F" w:rsidTr="000A156F">
        <w:tc>
          <w:tcPr>
            <w:tcW w:w="0" w:type="auto"/>
            <w:vAlign w:val="center"/>
          </w:tcPr>
          <w:p w:rsidR="000A156F" w:rsidRDefault="00A9721F">
            <w:pPr>
              <w:pStyle w:val="TableBodyText"/>
            </w:pPr>
            <w:r>
              <w:t>TextboxPositionGallery</w:t>
            </w:r>
          </w:p>
        </w:tc>
        <w:tc>
          <w:tcPr>
            <w:tcW w:w="0" w:type="auto"/>
            <w:vAlign w:val="center"/>
          </w:tcPr>
          <w:p w:rsidR="000A156F" w:rsidRDefault="00A9721F">
            <w:pPr>
              <w:pStyle w:val="TableBodyText"/>
            </w:pPr>
            <w:r>
              <w:t>091D</w:t>
            </w:r>
          </w:p>
        </w:tc>
      </w:tr>
      <w:tr w:rsidR="000A156F" w:rsidTr="000A156F">
        <w:tc>
          <w:tcPr>
            <w:tcW w:w="0" w:type="auto"/>
            <w:vAlign w:val="center"/>
          </w:tcPr>
          <w:p w:rsidR="000A156F" w:rsidRDefault="00A9721F">
            <w:pPr>
              <w:pStyle w:val="TableBodyText"/>
            </w:pPr>
            <w:r>
              <w:t>TextboxStyleGallery</w:t>
            </w:r>
          </w:p>
        </w:tc>
        <w:tc>
          <w:tcPr>
            <w:tcW w:w="0" w:type="auto"/>
            <w:vAlign w:val="center"/>
          </w:tcPr>
          <w:p w:rsidR="000A156F" w:rsidRDefault="00A9721F">
            <w:pPr>
              <w:pStyle w:val="TableBodyText"/>
            </w:pPr>
            <w:r>
              <w:t>091E</w:t>
            </w:r>
          </w:p>
        </w:tc>
      </w:tr>
      <w:tr w:rsidR="000A156F" w:rsidTr="000A156F">
        <w:tc>
          <w:tcPr>
            <w:tcW w:w="0" w:type="auto"/>
            <w:vAlign w:val="center"/>
          </w:tcPr>
          <w:p w:rsidR="000A156F" w:rsidRDefault="00A9721F">
            <w:pPr>
              <w:pStyle w:val="TableBodyText"/>
            </w:pPr>
            <w:r>
              <w:t>TexturesGallery</w:t>
            </w:r>
          </w:p>
        </w:tc>
        <w:tc>
          <w:tcPr>
            <w:tcW w:w="0" w:type="auto"/>
            <w:vAlign w:val="center"/>
          </w:tcPr>
          <w:p w:rsidR="000A156F" w:rsidRDefault="00A9721F">
            <w:pPr>
              <w:pStyle w:val="TableBodyText"/>
            </w:pPr>
            <w:r>
              <w:t>07BA</w:t>
            </w:r>
          </w:p>
        </w:tc>
      </w:tr>
      <w:tr w:rsidR="000A156F" w:rsidTr="000A156F">
        <w:tc>
          <w:tcPr>
            <w:tcW w:w="0" w:type="auto"/>
            <w:vAlign w:val="center"/>
          </w:tcPr>
          <w:p w:rsidR="000A156F" w:rsidRDefault="00A9721F">
            <w:pPr>
              <w:pStyle w:val="TableBodyText"/>
            </w:pPr>
            <w:r>
              <w:t>ThemeGallery</w:t>
            </w:r>
          </w:p>
        </w:tc>
        <w:tc>
          <w:tcPr>
            <w:tcW w:w="0" w:type="auto"/>
            <w:vAlign w:val="center"/>
          </w:tcPr>
          <w:p w:rsidR="000A156F" w:rsidRDefault="00A9721F">
            <w:pPr>
              <w:pStyle w:val="TableBodyText"/>
            </w:pPr>
            <w:r>
              <w:t>08FE</w:t>
            </w:r>
          </w:p>
        </w:tc>
      </w:tr>
      <w:tr w:rsidR="000A156F" w:rsidTr="000A156F">
        <w:tc>
          <w:tcPr>
            <w:tcW w:w="0" w:type="auto"/>
            <w:vAlign w:val="center"/>
          </w:tcPr>
          <w:p w:rsidR="000A156F" w:rsidRDefault="00A9721F">
            <w:pPr>
              <w:pStyle w:val="TableBodyText"/>
            </w:pPr>
            <w:r>
              <w:t>TocOutlineLevelGallery</w:t>
            </w:r>
          </w:p>
        </w:tc>
        <w:tc>
          <w:tcPr>
            <w:tcW w:w="0" w:type="auto"/>
            <w:vAlign w:val="center"/>
          </w:tcPr>
          <w:p w:rsidR="000A156F" w:rsidRDefault="00A9721F">
            <w:pPr>
              <w:pStyle w:val="TableBodyText"/>
            </w:pPr>
            <w:r>
              <w:t>0836</w:t>
            </w:r>
          </w:p>
        </w:tc>
      </w:tr>
      <w:tr w:rsidR="000A156F" w:rsidTr="000A156F">
        <w:tc>
          <w:tcPr>
            <w:tcW w:w="0" w:type="auto"/>
            <w:vAlign w:val="center"/>
          </w:tcPr>
          <w:p w:rsidR="000A156F" w:rsidRDefault="00A9721F">
            <w:pPr>
              <w:pStyle w:val="TableBodyText"/>
            </w:pPr>
            <w:r>
              <w:t>ToggleCharacterCode</w:t>
            </w:r>
          </w:p>
        </w:tc>
        <w:tc>
          <w:tcPr>
            <w:tcW w:w="0" w:type="auto"/>
            <w:vAlign w:val="center"/>
          </w:tcPr>
          <w:p w:rsidR="000A156F" w:rsidRDefault="00A9721F">
            <w:pPr>
              <w:pStyle w:val="TableBodyText"/>
            </w:pPr>
            <w:r>
              <w:t>0571</w:t>
            </w:r>
          </w:p>
        </w:tc>
      </w:tr>
      <w:tr w:rsidR="000A156F" w:rsidTr="000A156F">
        <w:tc>
          <w:tcPr>
            <w:tcW w:w="0" w:type="auto"/>
            <w:vAlign w:val="center"/>
          </w:tcPr>
          <w:p w:rsidR="000A156F" w:rsidRDefault="00A9721F">
            <w:pPr>
              <w:pStyle w:val="TableBodyText"/>
            </w:pPr>
            <w:r>
              <w:t>ToggleDocumentActionBar</w:t>
            </w:r>
          </w:p>
        </w:tc>
        <w:tc>
          <w:tcPr>
            <w:tcW w:w="0" w:type="auto"/>
            <w:vAlign w:val="center"/>
          </w:tcPr>
          <w:p w:rsidR="000A156F" w:rsidRDefault="00A9721F">
            <w:pPr>
              <w:pStyle w:val="TableBodyText"/>
            </w:pPr>
            <w:r>
              <w:t>087E</w:t>
            </w:r>
          </w:p>
        </w:tc>
      </w:tr>
      <w:tr w:rsidR="000A156F" w:rsidTr="000A156F">
        <w:tc>
          <w:tcPr>
            <w:tcW w:w="0" w:type="auto"/>
            <w:vAlign w:val="center"/>
          </w:tcPr>
          <w:p w:rsidR="000A156F" w:rsidRDefault="00A9721F">
            <w:pPr>
              <w:pStyle w:val="TableBodyText"/>
            </w:pPr>
            <w:r>
              <w:t>ToggleDocumentText</w:t>
            </w:r>
          </w:p>
        </w:tc>
        <w:tc>
          <w:tcPr>
            <w:tcW w:w="0" w:type="auto"/>
            <w:vAlign w:val="center"/>
          </w:tcPr>
          <w:p w:rsidR="000A156F" w:rsidRDefault="00A9721F">
            <w:pPr>
              <w:pStyle w:val="TableBodyText"/>
            </w:pPr>
            <w:r>
              <w:t>084C</w:t>
            </w:r>
          </w:p>
        </w:tc>
      </w:tr>
      <w:tr w:rsidR="000A156F" w:rsidTr="000A156F">
        <w:tc>
          <w:tcPr>
            <w:tcW w:w="0" w:type="auto"/>
            <w:vAlign w:val="center"/>
          </w:tcPr>
          <w:p w:rsidR="000A156F" w:rsidRDefault="00A9721F">
            <w:pPr>
              <w:pStyle w:val="TableBodyText"/>
            </w:pPr>
            <w:r>
              <w:t>ToggleDontOpenAttachInFullScreen</w:t>
            </w:r>
          </w:p>
        </w:tc>
        <w:tc>
          <w:tcPr>
            <w:tcW w:w="0" w:type="auto"/>
            <w:vAlign w:val="center"/>
          </w:tcPr>
          <w:p w:rsidR="000A156F" w:rsidRDefault="00A9721F">
            <w:pPr>
              <w:pStyle w:val="TableBodyText"/>
            </w:pPr>
            <w:r>
              <w:t>089C</w:t>
            </w:r>
          </w:p>
        </w:tc>
      </w:tr>
      <w:tr w:rsidR="000A156F" w:rsidTr="000A156F">
        <w:tc>
          <w:tcPr>
            <w:tcW w:w="0" w:type="auto"/>
            <w:vAlign w:val="center"/>
          </w:tcPr>
          <w:p w:rsidR="000A156F" w:rsidRDefault="00A9721F">
            <w:pPr>
              <w:pStyle w:val="TableBodyText"/>
            </w:pPr>
            <w:r>
              <w:t>ToggleFieldDisplay</w:t>
            </w:r>
          </w:p>
        </w:tc>
        <w:tc>
          <w:tcPr>
            <w:tcW w:w="0" w:type="auto"/>
            <w:vAlign w:val="center"/>
          </w:tcPr>
          <w:p w:rsidR="000A156F" w:rsidRDefault="00A9721F">
            <w:pPr>
              <w:pStyle w:val="TableBodyText"/>
            </w:pPr>
            <w:r>
              <w:t>0022</w:t>
            </w:r>
          </w:p>
        </w:tc>
      </w:tr>
      <w:tr w:rsidR="000A156F" w:rsidTr="000A156F">
        <w:tc>
          <w:tcPr>
            <w:tcW w:w="0" w:type="auto"/>
            <w:vAlign w:val="center"/>
          </w:tcPr>
          <w:p w:rsidR="000A156F" w:rsidRDefault="00A9721F">
            <w:pPr>
              <w:pStyle w:val="TableBodyText"/>
            </w:pPr>
            <w:r>
              <w:t>ToggleFormsDesign</w:t>
            </w:r>
          </w:p>
        </w:tc>
        <w:tc>
          <w:tcPr>
            <w:tcW w:w="0" w:type="auto"/>
            <w:vAlign w:val="center"/>
          </w:tcPr>
          <w:p w:rsidR="000A156F" w:rsidRDefault="00A9721F">
            <w:pPr>
              <w:pStyle w:val="TableBodyText"/>
            </w:pPr>
            <w:r>
              <w:t>0369</w:t>
            </w:r>
          </w:p>
        </w:tc>
      </w:tr>
      <w:tr w:rsidR="000A156F" w:rsidTr="000A156F">
        <w:tc>
          <w:tcPr>
            <w:tcW w:w="0" w:type="auto"/>
            <w:vAlign w:val="center"/>
          </w:tcPr>
          <w:p w:rsidR="000A156F" w:rsidRDefault="00A9721F">
            <w:pPr>
              <w:pStyle w:val="TableBodyText"/>
            </w:pPr>
            <w:r>
              <w:t>ToggleFull</w:t>
            </w:r>
          </w:p>
        </w:tc>
        <w:tc>
          <w:tcPr>
            <w:tcW w:w="0" w:type="auto"/>
            <w:vAlign w:val="center"/>
          </w:tcPr>
          <w:p w:rsidR="000A156F" w:rsidRDefault="00A9721F">
            <w:pPr>
              <w:pStyle w:val="TableBodyText"/>
            </w:pPr>
            <w:r>
              <w:t>0246</w:t>
            </w:r>
          </w:p>
        </w:tc>
      </w:tr>
      <w:tr w:rsidR="000A156F" w:rsidTr="000A156F">
        <w:tc>
          <w:tcPr>
            <w:tcW w:w="0" w:type="auto"/>
            <w:vAlign w:val="center"/>
          </w:tcPr>
          <w:p w:rsidR="000A156F" w:rsidRDefault="00A9721F">
            <w:pPr>
              <w:pStyle w:val="TableBodyText"/>
            </w:pPr>
            <w:r>
              <w:t>ToggleHeaderFooterLink</w:t>
            </w:r>
          </w:p>
        </w:tc>
        <w:tc>
          <w:tcPr>
            <w:tcW w:w="0" w:type="auto"/>
            <w:vAlign w:val="center"/>
          </w:tcPr>
          <w:p w:rsidR="000A156F" w:rsidRDefault="00A9721F">
            <w:pPr>
              <w:pStyle w:val="TableBodyText"/>
            </w:pPr>
            <w:r>
              <w:t>028C</w:t>
            </w:r>
          </w:p>
        </w:tc>
      </w:tr>
      <w:tr w:rsidR="000A156F" w:rsidTr="000A156F">
        <w:tc>
          <w:tcPr>
            <w:tcW w:w="0" w:type="auto"/>
            <w:vAlign w:val="center"/>
          </w:tcPr>
          <w:p w:rsidR="000A156F" w:rsidRDefault="00A9721F">
            <w:pPr>
              <w:pStyle w:val="TableBodyText"/>
            </w:pPr>
            <w:r>
              <w:t>ToggleMacroRun</w:t>
            </w:r>
          </w:p>
        </w:tc>
        <w:tc>
          <w:tcPr>
            <w:tcW w:w="0" w:type="auto"/>
            <w:vAlign w:val="center"/>
          </w:tcPr>
          <w:p w:rsidR="000A156F" w:rsidRDefault="00A9721F">
            <w:pPr>
              <w:pStyle w:val="TableBodyText"/>
            </w:pPr>
            <w:r>
              <w:t>029D</w:t>
            </w:r>
          </w:p>
        </w:tc>
      </w:tr>
      <w:tr w:rsidR="000A156F" w:rsidTr="000A156F">
        <w:tc>
          <w:tcPr>
            <w:tcW w:w="0" w:type="auto"/>
            <w:vAlign w:val="center"/>
          </w:tcPr>
          <w:p w:rsidR="000A156F" w:rsidRDefault="00A9721F">
            <w:pPr>
              <w:pStyle w:val="TableBodyText"/>
            </w:pPr>
            <w:r>
              <w:t>ToggleMainTextLayer</w:t>
            </w:r>
          </w:p>
        </w:tc>
        <w:tc>
          <w:tcPr>
            <w:tcW w:w="0" w:type="auto"/>
            <w:vAlign w:val="center"/>
          </w:tcPr>
          <w:p w:rsidR="000A156F" w:rsidRDefault="00A9721F">
            <w:pPr>
              <w:pStyle w:val="TableBodyText"/>
            </w:pPr>
            <w:r>
              <w:t>024B</w:t>
            </w:r>
          </w:p>
        </w:tc>
      </w:tr>
      <w:tr w:rsidR="000A156F" w:rsidTr="000A156F">
        <w:tc>
          <w:tcPr>
            <w:tcW w:w="0" w:type="auto"/>
            <w:vAlign w:val="center"/>
          </w:tcPr>
          <w:p w:rsidR="000A156F" w:rsidRDefault="00A9721F">
            <w:pPr>
              <w:pStyle w:val="TableBodyText"/>
            </w:pPr>
            <w:r>
              <w:t>ToggleMasterSubdocs</w:t>
            </w:r>
          </w:p>
        </w:tc>
        <w:tc>
          <w:tcPr>
            <w:tcW w:w="0" w:type="auto"/>
            <w:vAlign w:val="center"/>
          </w:tcPr>
          <w:p w:rsidR="000A156F" w:rsidRDefault="00A9721F">
            <w:pPr>
              <w:pStyle w:val="TableBodyText"/>
            </w:pPr>
            <w:r>
              <w:t>0374</w:t>
            </w:r>
          </w:p>
        </w:tc>
      </w:tr>
      <w:tr w:rsidR="000A156F" w:rsidTr="000A156F">
        <w:tc>
          <w:tcPr>
            <w:tcW w:w="0" w:type="auto"/>
            <w:vAlign w:val="center"/>
          </w:tcPr>
          <w:p w:rsidR="000A156F" w:rsidRDefault="00A9721F">
            <w:pPr>
              <w:pStyle w:val="TableBodyText"/>
            </w:pPr>
            <w:r>
              <w:t>ToggleOptimizeForLayout</w:t>
            </w:r>
          </w:p>
        </w:tc>
        <w:tc>
          <w:tcPr>
            <w:tcW w:w="0" w:type="auto"/>
            <w:vAlign w:val="center"/>
          </w:tcPr>
          <w:p w:rsidR="000A156F" w:rsidRDefault="00A9721F">
            <w:pPr>
              <w:pStyle w:val="TableBodyText"/>
            </w:pPr>
            <w:r>
              <w:t>09A9</w:t>
            </w:r>
          </w:p>
        </w:tc>
      </w:tr>
      <w:tr w:rsidR="000A156F" w:rsidTr="000A156F">
        <w:tc>
          <w:tcPr>
            <w:tcW w:w="0" w:type="auto"/>
            <w:vAlign w:val="center"/>
          </w:tcPr>
          <w:p w:rsidR="000A156F" w:rsidRDefault="00A9721F">
            <w:pPr>
              <w:pStyle w:val="TableBodyText"/>
            </w:pPr>
            <w:r>
              <w:t>TogglePanningHand</w:t>
            </w:r>
          </w:p>
        </w:tc>
        <w:tc>
          <w:tcPr>
            <w:tcW w:w="0" w:type="auto"/>
            <w:vAlign w:val="center"/>
          </w:tcPr>
          <w:p w:rsidR="000A156F" w:rsidRDefault="00A9721F">
            <w:pPr>
              <w:pStyle w:val="TableBodyText"/>
            </w:pPr>
            <w:r>
              <w:t>07AA</w:t>
            </w:r>
          </w:p>
        </w:tc>
      </w:tr>
      <w:tr w:rsidR="000A156F" w:rsidTr="000A156F">
        <w:tc>
          <w:tcPr>
            <w:tcW w:w="0" w:type="auto"/>
            <w:vAlign w:val="center"/>
          </w:tcPr>
          <w:p w:rsidR="000A156F" w:rsidRDefault="00A9721F">
            <w:pPr>
              <w:pStyle w:val="TableBodyText"/>
            </w:pPr>
            <w:r>
              <w:t>TogglePortrait</w:t>
            </w:r>
          </w:p>
        </w:tc>
        <w:tc>
          <w:tcPr>
            <w:tcW w:w="0" w:type="auto"/>
            <w:vAlign w:val="center"/>
          </w:tcPr>
          <w:p w:rsidR="000A156F" w:rsidRDefault="00A9721F">
            <w:pPr>
              <w:pStyle w:val="TableBodyText"/>
            </w:pPr>
            <w:r>
              <w:t>0132</w:t>
            </w:r>
          </w:p>
        </w:tc>
      </w:tr>
      <w:tr w:rsidR="000A156F" w:rsidTr="000A156F">
        <w:tc>
          <w:tcPr>
            <w:tcW w:w="0" w:type="auto"/>
            <w:vAlign w:val="center"/>
          </w:tcPr>
          <w:p w:rsidR="000A156F" w:rsidRDefault="00A9721F">
            <w:pPr>
              <w:pStyle w:val="TableBodyText"/>
            </w:pPr>
            <w:r>
              <w:t>TogglePropertyPanel</w:t>
            </w:r>
          </w:p>
        </w:tc>
        <w:tc>
          <w:tcPr>
            <w:tcW w:w="0" w:type="auto"/>
            <w:vAlign w:val="center"/>
          </w:tcPr>
          <w:p w:rsidR="000A156F" w:rsidRDefault="00A9721F">
            <w:pPr>
              <w:pStyle w:val="TableBodyText"/>
            </w:pPr>
            <w:r>
              <w:t>082E</w:t>
            </w:r>
          </w:p>
        </w:tc>
      </w:tr>
      <w:tr w:rsidR="000A156F" w:rsidTr="000A156F">
        <w:tc>
          <w:tcPr>
            <w:tcW w:w="0" w:type="auto"/>
            <w:vAlign w:val="center"/>
          </w:tcPr>
          <w:p w:rsidR="000A156F" w:rsidRDefault="00A9721F">
            <w:pPr>
              <w:pStyle w:val="TableBodyText"/>
            </w:pPr>
            <w:r>
              <w:t>ToggleReadingMode2Pages</w:t>
            </w:r>
          </w:p>
        </w:tc>
        <w:tc>
          <w:tcPr>
            <w:tcW w:w="0" w:type="auto"/>
            <w:vAlign w:val="center"/>
          </w:tcPr>
          <w:p w:rsidR="000A156F" w:rsidRDefault="00A9721F">
            <w:pPr>
              <w:pStyle w:val="TableBodyText"/>
            </w:pPr>
            <w:r>
              <w:t>05A2</w:t>
            </w:r>
          </w:p>
        </w:tc>
      </w:tr>
      <w:tr w:rsidR="000A156F" w:rsidTr="000A156F">
        <w:tc>
          <w:tcPr>
            <w:tcW w:w="0" w:type="auto"/>
            <w:vAlign w:val="center"/>
          </w:tcPr>
          <w:p w:rsidR="000A156F" w:rsidRDefault="00A9721F">
            <w:pPr>
              <w:pStyle w:val="TableBodyText"/>
            </w:pPr>
            <w:r>
              <w:t>ToggleReadingModeHelp</w:t>
            </w:r>
          </w:p>
        </w:tc>
        <w:tc>
          <w:tcPr>
            <w:tcW w:w="0" w:type="auto"/>
            <w:vAlign w:val="center"/>
          </w:tcPr>
          <w:p w:rsidR="000A156F" w:rsidRDefault="00A9721F">
            <w:pPr>
              <w:pStyle w:val="TableBodyText"/>
            </w:pPr>
            <w:r>
              <w:t>05AC</w:t>
            </w:r>
          </w:p>
        </w:tc>
      </w:tr>
      <w:tr w:rsidR="000A156F" w:rsidTr="000A156F">
        <w:tc>
          <w:tcPr>
            <w:tcW w:w="0" w:type="auto"/>
            <w:vAlign w:val="center"/>
          </w:tcPr>
          <w:p w:rsidR="000A156F" w:rsidRDefault="00A9721F">
            <w:pPr>
              <w:pStyle w:val="TableBodyText"/>
            </w:pPr>
            <w:r>
              <w:t>ToggleReadingModeInk</w:t>
            </w:r>
          </w:p>
        </w:tc>
        <w:tc>
          <w:tcPr>
            <w:tcW w:w="0" w:type="auto"/>
            <w:vAlign w:val="center"/>
          </w:tcPr>
          <w:p w:rsidR="000A156F" w:rsidRDefault="00A9721F">
            <w:pPr>
              <w:pStyle w:val="TableBodyText"/>
            </w:pPr>
            <w:r>
              <w:t>05A3</w:t>
            </w:r>
          </w:p>
        </w:tc>
      </w:tr>
      <w:tr w:rsidR="000A156F" w:rsidTr="000A156F">
        <w:tc>
          <w:tcPr>
            <w:tcW w:w="0" w:type="auto"/>
            <w:vAlign w:val="center"/>
          </w:tcPr>
          <w:p w:rsidR="000A156F" w:rsidRDefault="00A9721F">
            <w:pPr>
              <w:pStyle w:val="TableBodyText"/>
            </w:pPr>
            <w:r>
              <w:t>ToggleRibbon</w:t>
            </w:r>
          </w:p>
        </w:tc>
        <w:tc>
          <w:tcPr>
            <w:tcW w:w="0" w:type="auto"/>
            <w:vAlign w:val="center"/>
          </w:tcPr>
          <w:p w:rsidR="000A156F" w:rsidRDefault="00A9721F">
            <w:pPr>
              <w:pStyle w:val="TableBodyText"/>
            </w:pPr>
            <w:r>
              <w:t>0956</w:t>
            </w:r>
          </w:p>
        </w:tc>
      </w:tr>
      <w:tr w:rsidR="000A156F" w:rsidTr="000A156F">
        <w:tc>
          <w:tcPr>
            <w:tcW w:w="0" w:type="auto"/>
            <w:vAlign w:val="center"/>
          </w:tcPr>
          <w:p w:rsidR="000A156F" w:rsidRDefault="00A9721F">
            <w:pPr>
              <w:pStyle w:val="TableBodyText"/>
            </w:pPr>
            <w:r>
              <w:t>ToggleScribbleMode</w:t>
            </w:r>
          </w:p>
        </w:tc>
        <w:tc>
          <w:tcPr>
            <w:tcW w:w="0" w:type="auto"/>
            <w:vAlign w:val="center"/>
          </w:tcPr>
          <w:p w:rsidR="000A156F" w:rsidRDefault="00A9721F">
            <w:pPr>
              <w:pStyle w:val="TableBodyText"/>
            </w:pPr>
            <w:r>
              <w:t>0134</w:t>
            </w:r>
          </w:p>
        </w:tc>
      </w:tr>
      <w:tr w:rsidR="000A156F" w:rsidTr="000A156F">
        <w:tc>
          <w:tcPr>
            <w:tcW w:w="0" w:type="auto"/>
            <w:vAlign w:val="center"/>
          </w:tcPr>
          <w:p w:rsidR="000A156F" w:rsidRDefault="00A9721F">
            <w:pPr>
              <w:pStyle w:val="TableBodyText"/>
            </w:pPr>
            <w:r>
              <w:lastRenderedPageBreak/>
              <w:t>ToggleTextFlow</w:t>
            </w:r>
          </w:p>
        </w:tc>
        <w:tc>
          <w:tcPr>
            <w:tcW w:w="0" w:type="auto"/>
            <w:vAlign w:val="center"/>
          </w:tcPr>
          <w:p w:rsidR="000A156F" w:rsidRDefault="00A9721F">
            <w:pPr>
              <w:pStyle w:val="TableBodyText"/>
            </w:pPr>
            <w:r>
              <w:t>03F1</w:t>
            </w:r>
          </w:p>
        </w:tc>
      </w:tr>
      <w:tr w:rsidR="000A156F" w:rsidTr="000A156F">
        <w:tc>
          <w:tcPr>
            <w:tcW w:w="0" w:type="auto"/>
            <w:vAlign w:val="center"/>
          </w:tcPr>
          <w:p w:rsidR="000A156F" w:rsidRDefault="00A9721F">
            <w:pPr>
              <w:pStyle w:val="TableBodyText"/>
            </w:pPr>
            <w:r>
              <w:t>ToggleThumbnail</w:t>
            </w:r>
          </w:p>
        </w:tc>
        <w:tc>
          <w:tcPr>
            <w:tcW w:w="0" w:type="auto"/>
            <w:vAlign w:val="center"/>
          </w:tcPr>
          <w:p w:rsidR="000A156F" w:rsidRDefault="00A9721F">
            <w:pPr>
              <w:pStyle w:val="TableBodyText"/>
            </w:pPr>
            <w:r>
              <w:t>059E</w:t>
            </w:r>
          </w:p>
        </w:tc>
      </w:tr>
      <w:tr w:rsidR="000A156F" w:rsidTr="000A156F">
        <w:tc>
          <w:tcPr>
            <w:tcW w:w="0" w:type="auto"/>
            <w:vAlign w:val="center"/>
          </w:tcPr>
          <w:p w:rsidR="000A156F" w:rsidRDefault="00A9721F">
            <w:pPr>
              <w:pStyle w:val="TableBodyText"/>
            </w:pPr>
            <w:r>
              <w:t>ToggleToolbars</w:t>
            </w:r>
          </w:p>
        </w:tc>
        <w:tc>
          <w:tcPr>
            <w:tcW w:w="0" w:type="auto"/>
            <w:vAlign w:val="center"/>
          </w:tcPr>
          <w:p w:rsidR="000A156F" w:rsidRDefault="00A9721F">
            <w:pPr>
              <w:pStyle w:val="TableBodyText"/>
            </w:pPr>
            <w:r>
              <w:t>05B0</w:t>
            </w:r>
          </w:p>
        </w:tc>
      </w:tr>
      <w:tr w:rsidR="000A156F" w:rsidTr="000A156F">
        <w:tc>
          <w:tcPr>
            <w:tcW w:w="0" w:type="auto"/>
            <w:vAlign w:val="center"/>
          </w:tcPr>
          <w:p w:rsidR="000A156F" w:rsidRDefault="00A9721F">
            <w:pPr>
              <w:pStyle w:val="TableBodyText"/>
            </w:pPr>
            <w:r>
              <w:t>ToggleWebDesign</w:t>
            </w:r>
          </w:p>
        </w:tc>
        <w:tc>
          <w:tcPr>
            <w:tcW w:w="0" w:type="auto"/>
            <w:vAlign w:val="center"/>
          </w:tcPr>
          <w:p w:rsidR="000A156F" w:rsidRDefault="00A9721F">
            <w:pPr>
              <w:pStyle w:val="TableBodyText"/>
            </w:pPr>
            <w:r>
              <w:t>045F</w:t>
            </w:r>
          </w:p>
        </w:tc>
      </w:tr>
      <w:tr w:rsidR="000A156F" w:rsidTr="000A156F">
        <w:tc>
          <w:tcPr>
            <w:tcW w:w="0" w:type="auto"/>
            <w:vAlign w:val="center"/>
          </w:tcPr>
          <w:p w:rsidR="000A156F" w:rsidRDefault="00A9721F">
            <w:pPr>
              <w:pStyle w:val="TableBodyText"/>
            </w:pPr>
            <w:r>
              <w:t>ToggleXMLStructure</w:t>
            </w:r>
          </w:p>
        </w:tc>
        <w:tc>
          <w:tcPr>
            <w:tcW w:w="0" w:type="auto"/>
            <w:vAlign w:val="center"/>
          </w:tcPr>
          <w:p w:rsidR="000A156F" w:rsidRDefault="00A9721F">
            <w:pPr>
              <w:pStyle w:val="TableBodyText"/>
            </w:pPr>
            <w:r>
              <w:t>080F</w:t>
            </w:r>
          </w:p>
        </w:tc>
      </w:tr>
      <w:tr w:rsidR="000A156F" w:rsidTr="000A156F">
        <w:tc>
          <w:tcPr>
            <w:tcW w:w="0" w:type="auto"/>
            <w:vAlign w:val="center"/>
          </w:tcPr>
          <w:p w:rsidR="000A156F" w:rsidRDefault="00A9721F">
            <w:pPr>
              <w:pStyle w:val="TableBodyText"/>
            </w:pPr>
            <w:r>
              <w:t>ToggleXMLTagView</w:t>
            </w:r>
          </w:p>
        </w:tc>
        <w:tc>
          <w:tcPr>
            <w:tcW w:w="0" w:type="auto"/>
            <w:vAlign w:val="center"/>
          </w:tcPr>
          <w:p w:rsidR="000A156F" w:rsidRDefault="00A9721F">
            <w:pPr>
              <w:pStyle w:val="TableBodyText"/>
            </w:pPr>
            <w:r>
              <w:t>0588</w:t>
            </w:r>
          </w:p>
        </w:tc>
      </w:tr>
      <w:tr w:rsidR="000A156F" w:rsidTr="000A156F">
        <w:tc>
          <w:tcPr>
            <w:tcW w:w="0" w:type="auto"/>
            <w:vAlign w:val="center"/>
          </w:tcPr>
          <w:p w:rsidR="000A156F" w:rsidRDefault="00A9721F">
            <w:pPr>
              <w:pStyle w:val="TableBodyText"/>
            </w:pPr>
            <w:r>
              <w:t>ToolsAddRecordDefault</w:t>
            </w:r>
          </w:p>
        </w:tc>
        <w:tc>
          <w:tcPr>
            <w:tcW w:w="0" w:type="auto"/>
            <w:vAlign w:val="center"/>
          </w:tcPr>
          <w:p w:rsidR="000A156F" w:rsidRDefault="00A9721F">
            <w:pPr>
              <w:pStyle w:val="TableBodyText"/>
            </w:pPr>
            <w:r>
              <w:t>0275</w:t>
            </w:r>
          </w:p>
        </w:tc>
      </w:tr>
      <w:tr w:rsidR="000A156F" w:rsidTr="000A156F">
        <w:tc>
          <w:tcPr>
            <w:tcW w:w="0" w:type="auto"/>
            <w:vAlign w:val="center"/>
          </w:tcPr>
          <w:p w:rsidR="000A156F" w:rsidRDefault="00A9721F">
            <w:pPr>
              <w:pStyle w:val="TableBodyText"/>
            </w:pPr>
            <w:r>
              <w:t>ToolsAdvancedSettings</w:t>
            </w:r>
          </w:p>
        </w:tc>
        <w:tc>
          <w:tcPr>
            <w:tcW w:w="0" w:type="auto"/>
            <w:vAlign w:val="center"/>
          </w:tcPr>
          <w:p w:rsidR="000A156F" w:rsidRDefault="00A9721F">
            <w:pPr>
              <w:pStyle w:val="TableBodyText"/>
            </w:pPr>
            <w:r>
              <w:t>00CE</w:t>
            </w:r>
          </w:p>
        </w:tc>
      </w:tr>
      <w:tr w:rsidR="000A156F" w:rsidTr="000A156F">
        <w:tc>
          <w:tcPr>
            <w:tcW w:w="0" w:type="auto"/>
            <w:vAlign w:val="center"/>
          </w:tcPr>
          <w:p w:rsidR="000A156F" w:rsidRDefault="00A9721F">
            <w:pPr>
              <w:pStyle w:val="TableBodyText"/>
            </w:pPr>
            <w:r>
              <w:t>ToolsAutoCorrect</w:t>
            </w:r>
          </w:p>
        </w:tc>
        <w:tc>
          <w:tcPr>
            <w:tcW w:w="0" w:type="auto"/>
            <w:vAlign w:val="center"/>
          </w:tcPr>
          <w:p w:rsidR="000A156F" w:rsidRDefault="00A9721F">
            <w:pPr>
              <w:pStyle w:val="TableBodyText"/>
            </w:pPr>
            <w:r>
              <w:t>017A</w:t>
            </w:r>
          </w:p>
        </w:tc>
      </w:tr>
      <w:tr w:rsidR="000A156F" w:rsidTr="000A156F">
        <w:tc>
          <w:tcPr>
            <w:tcW w:w="0" w:type="auto"/>
            <w:vAlign w:val="center"/>
          </w:tcPr>
          <w:p w:rsidR="000A156F" w:rsidRDefault="00A9721F">
            <w:pPr>
              <w:pStyle w:val="TableBodyText"/>
            </w:pPr>
            <w:r>
              <w:t>ToolsAutoCorrectCapsLockOff</w:t>
            </w:r>
          </w:p>
        </w:tc>
        <w:tc>
          <w:tcPr>
            <w:tcW w:w="0" w:type="auto"/>
            <w:vAlign w:val="center"/>
          </w:tcPr>
          <w:p w:rsidR="000A156F" w:rsidRDefault="00A9721F">
            <w:pPr>
              <w:pStyle w:val="TableBodyText"/>
            </w:pPr>
            <w:r>
              <w:t>02FF</w:t>
            </w:r>
          </w:p>
        </w:tc>
      </w:tr>
      <w:tr w:rsidR="000A156F" w:rsidTr="000A156F">
        <w:tc>
          <w:tcPr>
            <w:tcW w:w="0" w:type="auto"/>
            <w:vAlign w:val="center"/>
          </w:tcPr>
          <w:p w:rsidR="000A156F" w:rsidRDefault="00A9721F">
            <w:pPr>
              <w:pStyle w:val="TableBodyText"/>
            </w:pPr>
            <w:r>
              <w:t>ToolsAutoCorrectDays</w:t>
            </w:r>
          </w:p>
        </w:tc>
        <w:tc>
          <w:tcPr>
            <w:tcW w:w="0" w:type="auto"/>
            <w:vAlign w:val="center"/>
          </w:tcPr>
          <w:p w:rsidR="000A156F" w:rsidRDefault="00A9721F">
            <w:pPr>
              <w:pStyle w:val="TableBodyText"/>
            </w:pPr>
            <w:r>
              <w:t>0180</w:t>
            </w:r>
          </w:p>
        </w:tc>
      </w:tr>
      <w:tr w:rsidR="000A156F" w:rsidTr="000A156F">
        <w:tc>
          <w:tcPr>
            <w:tcW w:w="0" w:type="auto"/>
            <w:vAlign w:val="center"/>
          </w:tcPr>
          <w:p w:rsidR="000A156F" w:rsidRDefault="00A9721F">
            <w:pPr>
              <w:pStyle w:val="TableBodyText"/>
            </w:pPr>
            <w:r>
              <w:t>ToolsAutoCorrectExceptions</w:t>
            </w:r>
          </w:p>
        </w:tc>
        <w:tc>
          <w:tcPr>
            <w:tcW w:w="0" w:type="auto"/>
            <w:vAlign w:val="center"/>
          </w:tcPr>
          <w:p w:rsidR="000A156F" w:rsidRDefault="00A9721F">
            <w:pPr>
              <w:pStyle w:val="TableBodyText"/>
            </w:pPr>
            <w:r>
              <w:t>02FA</w:t>
            </w:r>
          </w:p>
        </w:tc>
      </w:tr>
      <w:tr w:rsidR="000A156F" w:rsidTr="000A156F">
        <w:tc>
          <w:tcPr>
            <w:tcW w:w="0" w:type="auto"/>
            <w:vAlign w:val="center"/>
          </w:tcPr>
          <w:p w:rsidR="000A156F" w:rsidRDefault="00A9721F">
            <w:pPr>
              <w:pStyle w:val="TableBodyText"/>
            </w:pPr>
            <w:r>
              <w:t>ToolsAutoCorrectHECorrect</w:t>
            </w:r>
          </w:p>
        </w:tc>
        <w:tc>
          <w:tcPr>
            <w:tcW w:w="0" w:type="auto"/>
            <w:vAlign w:val="center"/>
          </w:tcPr>
          <w:p w:rsidR="000A156F" w:rsidRDefault="00A9721F">
            <w:pPr>
              <w:pStyle w:val="TableBodyText"/>
            </w:pPr>
            <w:r>
              <w:t>03E9</w:t>
            </w:r>
          </w:p>
        </w:tc>
      </w:tr>
      <w:tr w:rsidR="000A156F" w:rsidTr="000A156F">
        <w:tc>
          <w:tcPr>
            <w:tcW w:w="0" w:type="auto"/>
            <w:vAlign w:val="center"/>
          </w:tcPr>
          <w:p w:rsidR="000A156F" w:rsidRDefault="00A9721F">
            <w:pPr>
              <w:pStyle w:val="TableBodyText"/>
            </w:pPr>
            <w:r>
              <w:t>ToolsAutoCorrectInitialCaps</w:t>
            </w:r>
          </w:p>
        </w:tc>
        <w:tc>
          <w:tcPr>
            <w:tcW w:w="0" w:type="auto"/>
            <w:vAlign w:val="center"/>
          </w:tcPr>
          <w:p w:rsidR="000A156F" w:rsidRDefault="00A9721F">
            <w:pPr>
              <w:pStyle w:val="TableBodyText"/>
            </w:pPr>
            <w:r>
              <w:t>017D</w:t>
            </w:r>
          </w:p>
        </w:tc>
      </w:tr>
      <w:tr w:rsidR="000A156F" w:rsidTr="000A156F">
        <w:tc>
          <w:tcPr>
            <w:tcW w:w="0" w:type="auto"/>
            <w:vAlign w:val="center"/>
          </w:tcPr>
          <w:p w:rsidR="000A156F" w:rsidRDefault="00A9721F">
            <w:pPr>
              <w:pStyle w:val="TableBodyText"/>
            </w:pPr>
            <w:r>
              <w:t>ToolsAutoCorrectManager</w:t>
            </w:r>
          </w:p>
        </w:tc>
        <w:tc>
          <w:tcPr>
            <w:tcW w:w="0" w:type="auto"/>
            <w:vAlign w:val="center"/>
          </w:tcPr>
          <w:p w:rsidR="000A156F" w:rsidRDefault="00A9721F">
            <w:pPr>
              <w:pStyle w:val="TableBodyText"/>
            </w:pPr>
            <w:r>
              <w:t>0794</w:t>
            </w:r>
          </w:p>
        </w:tc>
      </w:tr>
      <w:tr w:rsidR="000A156F" w:rsidTr="000A156F">
        <w:tc>
          <w:tcPr>
            <w:tcW w:w="0" w:type="auto"/>
            <w:vAlign w:val="center"/>
          </w:tcPr>
          <w:p w:rsidR="000A156F" w:rsidRDefault="00A9721F">
            <w:pPr>
              <w:pStyle w:val="TableBodyText"/>
            </w:pPr>
            <w:r>
              <w:t>ToolsAutoCorrectReplaceText</w:t>
            </w:r>
          </w:p>
        </w:tc>
        <w:tc>
          <w:tcPr>
            <w:tcW w:w="0" w:type="auto"/>
            <w:vAlign w:val="center"/>
          </w:tcPr>
          <w:p w:rsidR="000A156F" w:rsidRDefault="00A9721F">
            <w:pPr>
              <w:pStyle w:val="TableBodyText"/>
            </w:pPr>
            <w:r>
              <w:t>017C</w:t>
            </w:r>
          </w:p>
        </w:tc>
      </w:tr>
      <w:tr w:rsidR="000A156F" w:rsidTr="000A156F">
        <w:tc>
          <w:tcPr>
            <w:tcW w:w="0" w:type="auto"/>
            <w:vAlign w:val="center"/>
          </w:tcPr>
          <w:p w:rsidR="000A156F" w:rsidRDefault="00A9721F">
            <w:pPr>
              <w:pStyle w:val="TableBodyText"/>
            </w:pPr>
            <w:r>
              <w:t>ToolsAutoCorrectSentenceCaps</w:t>
            </w:r>
          </w:p>
        </w:tc>
        <w:tc>
          <w:tcPr>
            <w:tcW w:w="0" w:type="auto"/>
            <w:vAlign w:val="center"/>
          </w:tcPr>
          <w:p w:rsidR="000A156F" w:rsidRDefault="00A9721F">
            <w:pPr>
              <w:pStyle w:val="TableBodyText"/>
            </w:pPr>
            <w:r>
              <w:t>017F</w:t>
            </w:r>
          </w:p>
        </w:tc>
      </w:tr>
      <w:tr w:rsidR="000A156F" w:rsidTr="000A156F">
        <w:tc>
          <w:tcPr>
            <w:tcW w:w="0" w:type="auto"/>
            <w:vAlign w:val="center"/>
          </w:tcPr>
          <w:p w:rsidR="000A156F" w:rsidRDefault="00A9721F">
            <w:pPr>
              <w:pStyle w:val="TableBodyText"/>
            </w:pPr>
            <w:r>
              <w:t>ToolsAutoCorrectSmartQuotes</w:t>
            </w:r>
          </w:p>
        </w:tc>
        <w:tc>
          <w:tcPr>
            <w:tcW w:w="0" w:type="auto"/>
            <w:vAlign w:val="center"/>
          </w:tcPr>
          <w:p w:rsidR="000A156F" w:rsidRDefault="00A9721F">
            <w:pPr>
              <w:pStyle w:val="TableBodyText"/>
            </w:pPr>
            <w:r>
              <w:t>00E3</w:t>
            </w:r>
          </w:p>
        </w:tc>
      </w:tr>
      <w:tr w:rsidR="000A156F" w:rsidTr="000A156F">
        <w:tc>
          <w:tcPr>
            <w:tcW w:w="0" w:type="auto"/>
            <w:vAlign w:val="center"/>
          </w:tcPr>
          <w:p w:rsidR="000A156F" w:rsidRDefault="00A9721F">
            <w:pPr>
              <w:pStyle w:val="TableBodyText"/>
            </w:pPr>
            <w:r>
              <w:t>ToolsAutoManager</w:t>
            </w:r>
          </w:p>
        </w:tc>
        <w:tc>
          <w:tcPr>
            <w:tcW w:w="0" w:type="auto"/>
            <w:vAlign w:val="center"/>
          </w:tcPr>
          <w:p w:rsidR="000A156F" w:rsidRDefault="00A9721F">
            <w:pPr>
              <w:pStyle w:val="TableBodyText"/>
            </w:pPr>
            <w:r>
              <w:t>0393</w:t>
            </w:r>
          </w:p>
        </w:tc>
      </w:tr>
      <w:tr w:rsidR="000A156F" w:rsidTr="000A156F">
        <w:tc>
          <w:tcPr>
            <w:tcW w:w="0" w:type="auto"/>
            <w:vAlign w:val="center"/>
          </w:tcPr>
          <w:p w:rsidR="000A156F" w:rsidRDefault="00A9721F">
            <w:pPr>
              <w:pStyle w:val="TableBodyText"/>
            </w:pPr>
            <w:r>
              <w:t>ToolsAutoSummarize</w:t>
            </w:r>
          </w:p>
        </w:tc>
        <w:tc>
          <w:tcPr>
            <w:tcW w:w="0" w:type="auto"/>
            <w:vAlign w:val="center"/>
          </w:tcPr>
          <w:p w:rsidR="000A156F" w:rsidRDefault="00A9721F">
            <w:pPr>
              <w:pStyle w:val="TableBodyText"/>
            </w:pPr>
            <w:r>
              <w:t>0389</w:t>
            </w:r>
          </w:p>
        </w:tc>
      </w:tr>
      <w:tr w:rsidR="000A156F" w:rsidTr="000A156F">
        <w:tc>
          <w:tcPr>
            <w:tcW w:w="0" w:type="auto"/>
            <w:vAlign w:val="center"/>
          </w:tcPr>
          <w:p w:rsidR="000A156F" w:rsidRDefault="00A9721F">
            <w:pPr>
              <w:pStyle w:val="TableBodyText"/>
            </w:pPr>
            <w:r>
              <w:t>ToolsAutoSummarizeBegin</w:t>
            </w:r>
          </w:p>
        </w:tc>
        <w:tc>
          <w:tcPr>
            <w:tcW w:w="0" w:type="auto"/>
            <w:vAlign w:val="center"/>
          </w:tcPr>
          <w:p w:rsidR="000A156F" w:rsidRDefault="00A9721F">
            <w:pPr>
              <w:pStyle w:val="TableBodyText"/>
            </w:pPr>
            <w:r>
              <w:t>036A</w:t>
            </w:r>
          </w:p>
        </w:tc>
      </w:tr>
      <w:tr w:rsidR="000A156F" w:rsidTr="000A156F">
        <w:tc>
          <w:tcPr>
            <w:tcW w:w="0" w:type="auto"/>
            <w:vAlign w:val="center"/>
          </w:tcPr>
          <w:p w:rsidR="000A156F" w:rsidRDefault="00A9721F">
            <w:pPr>
              <w:pStyle w:val="TableBodyText"/>
            </w:pPr>
            <w:r>
              <w:t>ToolsBookshelfDefineReference</w:t>
            </w:r>
          </w:p>
        </w:tc>
        <w:tc>
          <w:tcPr>
            <w:tcW w:w="0" w:type="auto"/>
            <w:vAlign w:val="center"/>
          </w:tcPr>
          <w:p w:rsidR="000A156F" w:rsidRDefault="00A9721F">
            <w:pPr>
              <w:pStyle w:val="TableBodyText"/>
            </w:pPr>
            <w:r>
              <w:t>03BE</w:t>
            </w:r>
          </w:p>
        </w:tc>
      </w:tr>
      <w:tr w:rsidR="000A156F" w:rsidTr="000A156F">
        <w:tc>
          <w:tcPr>
            <w:tcW w:w="0" w:type="auto"/>
            <w:vAlign w:val="center"/>
          </w:tcPr>
          <w:p w:rsidR="000A156F" w:rsidRDefault="00A9721F">
            <w:pPr>
              <w:pStyle w:val="TableBodyText"/>
            </w:pPr>
            <w:r>
              <w:t>ToolsBookshelfLookupReference</w:t>
            </w:r>
          </w:p>
        </w:tc>
        <w:tc>
          <w:tcPr>
            <w:tcW w:w="0" w:type="auto"/>
            <w:vAlign w:val="center"/>
          </w:tcPr>
          <w:p w:rsidR="000A156F" w:rsidRDefault="00A9721F">
            <w:pPr>
              <w:pStyle w:val="TableBodyText"/>
            </w:pPr>
            <w:r>
              <w:t>03BD</w:t>
            </w:r>
          </w:p>
        </w:tc>
      </w:tr>
      <w:tr w:rsidR="000A156F" w:rsidTr="000A156F">
        <w:tc>
          <w:tcPr>
            <w:tcW w:w="0" w:type="auto"/>
            <w:vAlign w:val="center"/>
          </w:tcPr>
          <w:p w:rsidR="000A156F" w:rsidRDefault="00A9721F">
            <w:pPr>
              <w:pStyle w:val="TableBodyText"/>
            </w:pPr>
            <w:r>
              <w:t>ToolsBulletListDefault</w:t>
            </w:r>
          </w:p>
        </w:tc>
        <w:tc>
          <w:tcPr>
            <w:tcW w:w="0" w:type="auto"/>
            <w:vAlign w:val="center"/>
          </w:tcPr>
          <w:p w:rsidR="000A156F" w:rsidRDefault="00A9721F">
            <w:pPr>
              <w:pStyle w:val="TableBodyText"/>
            </w:pPr>
            <w:r>
              <w:t>0133</w:t>
            </w:r>
          </w:p>
        </w:tc>
      </w:tr>
      <w:tr w:rsidR="000A156F" w:rsidTr="000A156F">
        <w:tc>
          <w:tcPr>
            <w:tcW w:w="0" w:type="auto"/>
            <w:vAlign w:val="center"/>
          </w:tcPr>
          <w:p w:rsidR="000A156F" w:rsidRDefault="00A9721F">
            <w:pPr>
              <w:pStyle w:val="TableBodyText"/>
            </w:pPr>
            <w:r>
              <w:t>ToolsBulletsNumbers</w:t>
            </w:r>
          </w:p>
        </w:tc>
        <w:tc>
          <w:tcPr>
            <w:tcW w:w="0" w:type="auto"/>
            <w:vAlign w:val="center"/>
          </w:tcPr>
          <w:p w:rsidR="000A156F" w:rsidRDefault="00A9721F">
            <w:pPr>
              <w:pStyle w:val="TableBodyText"/>
            </w:pPr>
            <w:r>
              <w:t>00C4</w:t>
            </w:r>
          </w:p>
        </w:tc>
      </w:tr>
      <w:tr w:rsidR="000A156F" w:rsidTr="000A156F">
        <w:tc>
          <w:tcPr>
            <w:tcW w:w="0" w:type="auto"/>
            <w:vAlign w:val="center"/>
          </w:tcPr>
          <w:p w:rsidR="000A156F" w:rsidRDefault="00A9721F">
            <w:pPr>
              <w:pStyle w:val="TableBodyText"/>
            </w:pPr>
            <w:r>
              <w:t>ToolsBusu</w:t>
            </w:r>
          </w:p>
        </w:tc>
        <w:tc>
          <w:tcPr>
            <w:tcW w:w="0" w:type="auto"/>
            <w:vAlign w:val="center"/>
          </w:tcPr>
          <w:p w:rsidR="000A156F" w:rsidRDefault="00A9721F">
            <w:pPr>
              <w:pStyle w:val="TableBodyText"/>
            </w:pPr>
            <w:r>
              <w:t>03AB</w:t>
            </w:r>
          </w:p>
        </w:tc>
      </w:tr>
      <w:tr w:rsidR="000A156F" w:rsidTr="000A156F">
        <w:tc>
          <w:tcPr>
            <w:tcW w:w="0" w:type="auto"/>
            <w:vAlign w:val="center"/>
          </w:tcPr>
          <w:p w:rsidR="000A156F" w:rsidRDefault="00A9721F">
            <w:pPr>
              <w:pStyle w:val="TableBodyText"/>
            </w:pPr>
            <w:r>
              <w:t>ToolsCalculate</w:t>
            </w:r>
          </w:p>
        </w:tc>
        <w:tc>
          <w:tcPr>
            <w:tcW w:w="0" w:type="auto"/>
            <w:vAlign w:val="center"/>
          </w:tcPr>
          <w:p w:rsidR="000A156F" w:rsidRDefault="00A9721F">
            <w:pPr>
              <w:pStyle w:val="TableBodyText"/>
            </w:pPr>
            <w:r>
              <w:t>00C8</w:t>
            </w:r>
          </w:p>
        </w:tc>
      </w:tr>
      <w:tr w:rsidR="000A156F" w:rsidTr="000A156F">
        <w:tc>
          <w:tcPr>
            <w:tcW w:w="0" w:type="auto"/>
            <w:vAlign w:val="center"/>
          </w:tcPr>
          <w:p w:rsidR="000A156F" w:rsidRDefault="00A9721F">
            <w:pPr>
              <w:pStyle w:val="TableBodyText"/>
            </w:pPr>
            <w:r>
              <w:t>ToolsCompareVersions</w:t>
            </w:r>
          </w:p>
        </w:tc>
        <w:tc>
          <w:tcPr>
            <w:tcW w:w="0" w:type="auto"/>
            <w:vAlign w:val="center"/>
          </w:tcPr>
          <w:p w:rsidR="000A156F" w:rsidRDefault="00A9721F">
            <w:pPr>
              <w:pStyle w:val="TableBodyText"/>
            </w:pPr>
            <w:r>
              <w:t>00C6</w:t>
            </w:r>
          </w:p>
        </w:tc>
      </w:tr>
      <w:tr w:rsidR="000A156F" w:rsidTr="000A156F">
        <w:tc>
          <w:tcPr>
            <w:tcW w:w="0" w:type="auto"/>
            <w:vAlign w:val="center"/>
          </w:tcPr>
          <w:p w:rsidR="000A156F" w:rsidRDefault="00A9721F">
            <w:pPr>
              <w:pStyle w:val="TableBodyText"/>
            </w:pPr>
            <w:r>
              <w:t>ToolsConsistency</w:t>
            </w:r>
          </w:p>
        </w:tc>
        <w:tc>
          <w:tcPr>
            <w:tcW w:w="0" w:type="auto"/>
            <w:vAlign w:val="center"/>
          </w:tcPr>
          <w:p w:rsidR="000A156F" w:rsidRDefault="00A9721F">
            <w:pPr>
              <w:pStyle w:val="TableBodyText"/>
            </w:pPr>
            <w:r>
              <w:t>03E0</w:t>
            </w:r>
          </w:p>
        </w:tc>
      </w:tr>
      <w:tr w:rsidR="000A156F" w:rsidTr="000A156F">
        <w:tc>
          <w:tcPr>
            <w:tcW w:w="0" w:type="auto"/>
            <w:vAlign w:val="center"/>
          </w:tcPr>
          <w:p w:rsidR="000A156F" w:rsidRDefault="00A9721F">
            <w:pPr>
              <w:pStyle w:val="TableBodyText"/>
            </w:pPr>
            <w:r>
              <w:t>ToolsCreateDirectory</w:t>
            </w:r>
          </w:p>
        </w:tc>
        <w:tc>
          <w:tcPr>
            <w:tcW w:w="0" w:type="auto"/>
            <w:vAlign w:val="center"/>
          </w:tcPr>
          <w:p w:rsidR="000A156F" w:rsidRDefault="00A9721F">
            <w:pPr>
              <w:pStyle w:val="TableBodyText"/>
            </w:pPr>
            <w:r>
              <w:t>0341</w:t>
            </w:r>
          </w:p>
        </w:tc>
      </w:tr>
      <w:tr w:rsidR="000A156F" w:rsidTr="000A156F">
        <w:tc>
          <w:tcPr>
            <w:tcW w:w="0" w:type="auto"/>
            <w:vAlign w:val="center"/>
          </w:tcPr>
          <w:p w:rsidR="000A156F" w:rsidRDefault="00A9721F">
            <w:pPr>
              <w:pStyle w:val="TableBodyText"/>
            </w:pPr>
            <w:r>
              <w:t>ToolsCreateEnvelope</w:t>
            </w:r>
          </w:p>
        </w:tc>
        <w:tc>
          <w:tcPr>
            <w:tcW w:w="0" w:type="auto"/>
            <w:vAlign w:val="center"/>
          </w:tcPr>
          <w:p w:rsidR="000A156F" w:rsidRDefault="00A9721F">
            <w:pPr>
              <w:pStyle w:val="TableBodyText"/>
            </w:pPr>
            <w:r>
              <w:t>00AD</w:t>
            </w:r>
          </w:p>
        </w:tc>
      </w:tr>
      <w:tr w:rsidR="000A156F" w:rsidTr="000A156F">
        <w:tc>
          <w:tcPr>
            <w:tcW w:w="0" w:type="auto"/>
            <w:vAlign w:val="center"/>
          </w:tcPr>
          <w:p w:rsidR="000A156F" w:rsidRDefault="00A9721F">
            <w:pPr>
              <w:pStyle w:val="TableBodyText"/>
            </w:pPr>
            <w:r>
              <w:t>ToolsCreateLabels</w:t>
            </w:r>
          </w:p>
        </w:tc>
        <w:tc>
          <w:tcPr>
            <w:tcW w:w="0" w:type="auto"/>
            <w:vAlign w:val="center"/>
          </w:tcPr>
          <w:p w:rsidR="000A156F" w:rsidRDefault="00A9721F">
            <w:pPr>
              <w:pStyle w:val="TableBodyText"/>
            </w:pPr>
            <w:r>
              <w:t>01E9</w:t>
            </w:r>
          </w:p>
        </w:tc>
      </w:tr>
      <w:tr w:rsidR="000A156F" w:rsidTr="000A156F">
        <w:tc>
          <w:tcPr>
            <w:tcW w:w="0" w:type="auto"/>
            <w:vAlign w:val="center"/>
          </w:tcPr>
          <w:p w:rsidR="000A156F" w:rsidRDefault="00A9721F">
            <w:pPr>
              <w:pStyle w:val="TableBodyText"/>
            </w:pPr>
            <w:r>
              <w:lastRenderedPageBreak/>
              <w:t>ToolsCustomize</w:t>
            </w:r>
          </w:p>
        </w:tc>
        <w:tc>
          <w:tcPr>
            <w:tcW w:w="0" w:type="auto"/>
            <w:vAlign w:val="center"/>
          </w:tcPr>
          <w:p w:rsidR="000A156F" w:rsidRDefault="00A9721F">
            <w:pPr>
              <w:pStyle w:val="TableBodyText"/>
            </w:pPr>
            <w:r>
              <w:t>0098</w:t>
            </w:r>
          </w:p>
        </w:tc>
      </w:tr>
      <w:tr w:rsidR="000A156F" w:rsidTr="000A156F">
        <w:tc>
          <w:tcPr>
            <w:tcW w:w="0" w:type="auto"/>
            <w:vAlign w:val="center"/>
          </w:tcPr>
          <w:p w:rsidR="000A156F" w:rsidRDefault="00A9721F">
            <w:pPr>
              <w:pStyle w:val="TableBodyText"/>
            </w:pPr>
            <w:r>
              <w:t>ToolsCustomizeAddMenuShortcut</w:t>
            </w:r>
          </w:p>
        </w:tc>
        <w:tc>
          <w:tcPr>
            <w:tcW w:w="0" w:type="auto"/>
            <w:vAlign w:val="center"/>
          </w:tcPr>
          <w:p w:rsidR="000A156F" w:rsidRDefault="00A9721F">
            <w:pPr>
              <w:pStyle w:val="TableBodyText"/>
            </w:pPr>
            <w:r>
              <w:t>022E</w:t>
            </w:r>
          </w:p>
        </w:tc>
      </w:tr>
      <w:tr w:rsidR="000A156F" w:rsidTr="000A156F">
        <w:tc>
          <w:tcPr>
            <w:tcW w:w="0" w:type="auto"/>
            <w:vAlign w:val="center"/>
          </w:tcPr>
          <w:p w:rsidR="000A156F" w:rsidRDefault="00A9721F">
            <w:pPr>
              <w:pStyle w:val="TableBodyText"/>
            </w:pPr>
            <w:r>
              <w:t>ToolsCustomizeKeyboard</w:t>
            </w:r>
          </w:p>
        </w:tc>
        <w:tc>
          <w:tcPr>
            <w:tcW w:w="0" w:type="auto"/>
            <w:vAlign w:val="center"/>
          </w:tcPr>
          <w:p w:rsidR="000A156F" w:rsidRDefault="00A9721F">
            <w:pPr>
              <w:pStyle w:val="TableBodyText"/>
            </w:pPr>
            <w:r>
              <w:t>01B0</w:t>
            </w:r>
          </w:p>
        </w:tc>
      </w:tr>
      <w:tr w:rsidR="000A156F" w:rsidTr="000A156F">
        <w:tc>
          <w:tcPr>
            <w:tcW w:w="0" w:type="auto"/>
            <w:vAlign w:val="center"/>
          </w:tcPr>
          <w:p w:rsidR="000A156F" w:rsidRDefault="00A9721F">
            <w:pPr>
              <w:pStyle w:val="TableBodyText"/>
            </w:pPr>
            <w:r>
              <w:t>ToolsCustomizeKeyboardShortcut</w:t>
            </w:r>
          </w:p>
        </w:tc>
        <w:tc>
          <w:tcPr>
            <w:tcW w:w="0" w:type="auto"/>
            <w:vAlign w:val="center"/>
          </w:tcPr>
          <w:p w:rsidR="000A156F" w:rsidRDefault="00A9721F">
            <w:pPr>
              <w:pStyle w:val="TableBodyText"/>
            </w:pPr>
            <w:r>
              <w:t>022D</w:t>
            </w:r>
          </w:p>
        </w:tc>
      </w:tr>
      <w:tr w:rsidR="000A156F" w:rsidTr="000A156F">
        <w:tc>
          <w:tcPr>
            <w:tcW w:w="0" w:type="auto"/>
            <w:vAlign w:val="center"/>
          </w:tcPr>
          <w:p w:rsidR="000A156F" w:rsidRDefault="00A9721F">
            <w:pPr>
              <w:pStyle w:val="TableBodyText"/>
            </w:pPr>
            <w:r>
              <w:t>ToolsCustomizeMenuBar</w:t>
            </w:r>
          </w:p>
        </w:tc>
        <w:tc>
          <w:tcPr>
            <w:tcW w:w="0" w:type="auto"/>
            <w:vAlign w:val="center"/>
          </w:tcPr>
          <w:p w:rsidR="000A156F" w:rsidRDefault="00A9721F">
            <w:pPr>
              <w:pStyle w:val="TableBodyText"/>
            </w:pPr>
            <w:r>
              <w:t>0267</w:t>
            </w:r>
          </w:p>
        </w:tc>
      </w:tr>
      <w:tr w:rsidR="000A156F" w:rsidTr="000A156F">
        <w:tc>
          <w:tcPr>
            <w:tcW w:w="0" w:type="auto"/>
            <w:vAlign w:val="center"/>
          </w:tcPr>
          <w:p w:rsidR="000A156F" w:rsidRDefault="00A9721F">
            <w:pPr>
              <w:pStyle w:val="TableBodyText"/>
            </w:pPr>
            <w:r>
              <w:t>ToolsCustomizeMenus</w:t>
            </w:r>
          </w:p>
        </w:tc>
        <w:tc>
          <w:tcPr>
            <w:tcW w:w="0" w:type="auto"/>
            <w:vAlign w:val="center"/>
          </w:tcPr>
          <w:p w:rsidR="000A156F" w:rsidRDefault="00A9721F">
            <w:pPr>
              <w:pStyle w:val="TableBodyText"/>
            </w:pPr>
            <w:r>
              <w:t>01B1</w:t>
            </w:r>
          </w:p>
        </w:tc>
      </w:tr>
      <w:tr w:rsidR="000A156F" w:rsidTr="000A156F">
        <w:tc>
          <w:tcPr>
            <w:tcW w:w="0" w:type="auto"/>
            <w:vAlign w:val="center"/>
          </w:tcPr>
          <w:p w:rsidR="000A156F" w:rsidRDefault="00A9721F">
            <w:pPr>
              <w:pStyle w:val="TableBodyText"/>
            </w:pPr>
            <w:r>
              <w:t>ToolsCustomizeRemoveMenuShortcut</w:t>
            </w:r>
          </w:p>
        </w:tc>
        <w:tc>
          <w:tcPr>
            <w:tcW w:w="0" w:type="auto"/>
            <w:vAlign w:val="center"/>
          </w:tcPr>
          <w:p w:rsidR="000A156F" w:rsidRDefault="00A9721F">
            <w:pPr>
              <w:pStyle w:val="TableBodyText"/>
            </w:pPr>
            <w:r>
              <w:t>0259</w:t>
            </w:r>
          </w:p>
        </w:tc>
      </w:tr>
      <w:tr w:rsidR="000A156F" w:rsidTr="000A156F">
        <w:tc>
          <w:tcPr>
            <w:tcW w:w="0" w:type="auto"/>
            <w:vAlign w:val="center"/>
          </w:tcPr>
          <w:p w:rsidR="000A156F" w:rsidRDefault="00A9721F">
            <w:pPr>
              <w:pStyle w:val="TableBodyText"/>
            </w:pPr>
            <w:r>
              <w:t>ToolsCustomizeToolbar</w:t>
            </w:r>
          </w:p>
        </w:tc>
        <w:tc>
          <w:tcPr>
            <w:tcW w:w="0" w:type="auto"/>
            <w:vAlign w:val="center"/>
          </w:tcPr>
          <w:p w:rsidR="000A156F" w:rsidRDefault="00A9721F">
            <w:pPr>
              <w:pStyle w:val="TableBodyText"/>
            </w:pPr>
            <w:r>
              <w:t>02CC</w:t>
            </w:r>
          </w:p>
        </w:tc>
      </w:tr>
      <w:tr w:rsidR="000A156F" w:rsidTr="000A156F">
        <w:tc>
          <w:tcPr>
            <w:tcW w:w="0" w:type="auto"/>
            <w:vAlign w:val="center"/>
          </w:tcPr>
          <w:p w:rsidR="000A156F" w:rsidRDefault="00A9721F">
            <w:pPr>
              <w:pStyle w:val="TableBodyText"/>
            </w:pPr>
            <w:r>
              <w:t>ToolsDictionary</w:t>
            </w:r>
          </w:p>
        </w:tc>
        <w:tc>
          <w:tcPr>
            <w:tcW w:w="0" w:type="auto"/>
            <w:vAlign w:val="center"/>
          </w:tcPr>
          <w:p w:rsidR="000A156F" w:rsidRDefault="00A9721F">
            <w:pPr>
              <w:pStyle w:val="TableBodyText"/>
            </w:pPr>
            <w:r>
              <w:t>03DD</w:t>
            </w:r>
          </w:p>
        </w:tc>
      </w:tr>
      <w:tr w:rsidR="000A156F" w:rsidTr="000A156F">
        <w:tc>
          <w:tcPr>
            <w:tcW w:w="0" w:type="auto"/>
            <w:vAlign w:val="center"/>
          </w:tcPr>
          <w:p w:rsidR="000A156F" w:rsidRDefault="00A9721F">
            <w:pPr>
              <w:pStyle w:val="TableBodyText"/>
            </w:pPr>
            <w:r>
              <w:t>ToolsEServices</w:t>
            </w:r>
          </w:p>
        </w:tc>
        <w:tc>
          <w:tcPr>
            <w:tcW w:w="0" w:type="auto"/>
            <w:vAlign w:val="center"/>
          </w:tcPr>
          <w:p w:rsidR="000A156F" w:rsidRDefault="00A9721F">
            <w:pPr>
              <w:pStyle w:val="TableBodyText"/>
            </w:pPr>
            <w:r>
              <w:t>0567</w:t>
            </w:r>
          </w:p>
        </w:tc>
      </w:tr>
      <w:tr w:rsidR="000A156F" w:rsidTr="000A156F">
        <w:tc>
          <w:tcPr>
            <w:tcW w:w="0" w:type="auto"/>
            <w:vAlign w:val="center"/>
          </w:tcPr>
          <w:p w:rsidR="000A156F" w:rsidRDefault="00A9721F">
            <w:pPr>
              <w:pStyle w:val="TableBodyText"/>
            </w:pPr>
            <w:r>
              <w:t>ToolsEnvelopesAndLabels</w:t>
            </w:r>
          </w:p>
        </w:tc>
        <w:tc>
          <w:tcPr>
            <w:tcW w:w="0" w:type="auto"/>
            <w:vAlign w:val="center"/>
          </w:tcPr>
          <w:p w:rsidR="000A156F" w:rsidRDefault="00A9721F">
            <w:pPr>
              <w:pStyle w:val="TableBodyText"/>
            </w:pPr>
            <w:r>
              <w:t>025F</w:t>
            </w:r>
          </w:p>
        </w:tc>
      </w:tr>
      <w:tr w:rsidR="000A156F" w:rsidTr="000A156F">
        <w:tc>
          <w:tcPr>
            <w:tcW w:w="0" w:type="auto"/>
            <w:vAlign w:val="center"/>
          </w:tcPr>
          <w:p w:rsidR="000A156F" w:rsidRDefault="00A9721F">
            <w:pPr>
              <w:pStyle w:val="TableBodyText"/>
            </w:pPr>
            <w:r>
              <w:t>ToolsFixHHC</w:t>
            </w:r>
          </w:p>
        </w:tc>
        <w:tc>
          <w:tcPr>
            <w:tcW w:w="0" w:type="auto"/>
            <w:vAlign w:val="center"/>
          </w:tcPr>
          <w:p w:rsidR="000A156F" w:rsidRDefault="00A9721F">
            <w:pPr>
              <w:pStyle w:val="TableBodyText"/>
            </w:pPr>
            <w:r>
              <w:t>04EE</w:t>
            </w:r>
          </w:p>
        </w:tc>
      </w:tr>
      <w:tr w:rsidR="000A156F" w:rsidTr="000A156F">
        <w:tc>
          <w:tcPr>
            <w:tcW w:w="0" w:type="auto"/>
            <w:vAlign w:val="center"/>
          </w:tcPr>
          <w:p w:rsidR="000A156F" w:rsidRDefault="00A9721F">
            <w:pPr>
              <w:pStyle w:val="TableBodyText"/>
            </w:pPr>
            <w:r>
              <w:t>ToolsGramSettings</w:t>
            </w:r>
          </w:p>
        </w:tc>
        <w:tc>
          <w:tcPr>
            <w:tcW w:w="0" w:type="auto"/>
            <w:vAlign w:val="center"/>
          </w:tcPr>
          <w:p w:rsidR="000A156F" w:rsidRDefault="00A9721F">
            <w:pPr>
              <w:pStyle w:val="TableBodyText"/>
            </w:pPr>
            <w:r>
              <w:t>0375</w:t>
            </w:r>
          </w:p>
        </w:tc>
      </w:tr>
      <w:tr w:rsidR="000A156F" w:rsidTr="000A156F">
        <w:tc>
          <w:tcPr>
            <w:tcW w:w="0" w:type="auto"/>
            <w:vAlign w:val="center"/>
          </w:tcPr>
          <w:p w:rsidR="000A156F" w:rsidRDefault="00A9721F">
            <w:pPr>
              <w:pStyle w:val="TableBodyText"/>
            </w:pPr>
            <w:r>
              <w:t>ToolsGrammar</w:t>
            </w:r>
          </w:p>
        </w:tc>
        <w:tc>
          <w:tcPr>
            <w:tcW w:w="0" w:type="auto"/>
            <w:vAlign w:val="center"/>
          </w:tcPr>
          <w:p w:rsidR="000A156F" w:rsidRDefault="00A9721F">
            <w:pPr>
              <w:pStyle w:val="TableBodyText"/>
            </w:pPr>
            <w:r>
              <w:t>00C1</w:t>
            </w:r>
          </w:p>
        </w:tc>
      </w:tr>
      <w:tr w:rsidR="000A156F" w:rsidTr="000A156F">
        <w:tc>
          <w:tcPr>
            <w:tcW w:w="0" w:type="auto"/>
            <w:vAlign w:val="center"/>
          </w:tcPr>
          <w:p w:rsidR="000A156F" w:rsidRDefault="00A9721F">
            <w:pPr>
              <w:pStyle w:val="TableBodyText"/>
            </w:pPr>
            <w:r>
              <w:t>ToolsGrammarHide</w:t>
            </w:r>
          </w:p>
        </w:tc>
        <w:tc>
          <w:tcPr>
            <w:tcW w:w="0" w:type="auto"/>
            <w:vAlign w:val="center"/>
          </w:tcPr>
          <w:p w:rsidR="000A156F" w:rsidRDefault="00A9721F">
            <w:pPr>
              <w:pStyle w:val="TableBodyText"/>
            </w:pPr>
            <w:r>
              <w:t>03D3</w:t>
            </w:r>
          </w:p>
        </w:tc>
      </w:tr>
      <w:tr w:rsidR="000A156F" w:rsidTr="000A156F">
        <w:tc>
          <w:tcPr>
            <w:tcW w:w="0" w:type="auto"/>
            <w:vAlign w:val="center"/>
          </w:tcPr>
          <w:p w:rsidR="000A156F" w:rsidRDefault="00A9721F">
            <w:pPr>
              <w:pStyle w:val="TableBodyText"/>
            </w:pPr>
            <w:r>
              <w:t>ToolsGrammarRange</w:t>
            </w:r>
          </w:p>
        </w:tc>
        <w:tc>
          <w:tcPr>
            <w:tcW w:w="0" w:type="auto"/>
            <w:vAlign w:val="center"/>
          </w:tcPr>
          <w:p w:rsidR="000A156F" w:rsidRDefault="00A9721F">
            <w:pPr>
              <w:pStyle w:val="TableBodyText"/>
            </w:pPr>
            <w:r>
              <w:t>034F</w:t>
            </w:r>
          </w:p>
        </w:tc>
      </w:tr>
      <w:tr w:rsidR="000A156F" w:rsidTr="000A156F">
        <w:tc>
          <w:tcPr>
            <w:tcW w:w="0" w:type="auto"/>
            <w:vAlign w:val="center"/>
          </w:tcPr>
          <w:p w:rsidR="000A156F" w:rsidRDefault="00A9721F">
            <w:pPr>
              <w:pStyle w:val="TableBodyText"/>
            </w:pPr>
            <w:r>
              <w:t>ToolsHHC</w:t>
            </w:r>
          </w:p>
        </w:tc>
        <w:tc>
          <w:tcPr>
            <w:tcW w:w="0" w:type="auto"/>
            <w:vAlign w:val="center"/>
          </w:tcPr>
          <w:p w:rsidR="000A156F" w:rsidRDefault="00A9721F">
            <w:pPr>
              <w:pStyle w:val="TableBodyText"/>
            </w:pPr>
            <w:r>
              <w:t>0310</w:t>
            </w:r>
          </w:p>
        </w:tc>
      </w:tr>
      <w:tr w:rsidR="000A156F" w:rsidTr="000A156F">
        <w:tc>
          <w:tcPr>
            <w:tcW w:w="0" w:type="auto"/>
            <w:vAlign w:val="center"/>
          </w:tcPr>
          <w:p w:rsidR="000A156F" w:rsidRDefault="00A9721F">
            <w:pPr>
              <w:pStyle w:val="TableBodyText"/>
            </w:pPr>
            <w:r>
              <w:t>ToolsHyphenation</w:t>
            </w:r>
          </w:p>
        </w:tc>
        <w:tc>
          <w:tcPr>
            <w:tcW w:w="0" w:type="auto"/>
            <w:vAlign w:val="center"/>
          </w:tcPr>
          <w:p w:rsidR="000A156F" w:rsidRDefault="00A9721F">
            <w:pPr>
              <w:pStyle w:val="TableBodyText"/>
            </w:pPr>
            <w:r>
              <w:t>00C3</w:t>
            </w:r>
          </w:p>
        </w:tc>
      </w:tr>
      <w:tr w:rsidR="000A156F" w:rsidTr="000A156F">
        <w:tc>
          <w:tcPr>
            <w:tcW w:w="0" w:type="auto"/>
            <w:vAlign w:val="center"/>
          </w:tcPr>
          <w:p w:rsidR="000A156F" w:rsidRDefault="00A9721F">
            <w:pPr>
              <w:pStyle w:val="TableBodyText"/>
            </w:pPr>
            <w:r>
              <w:t>ToolsHyphenationAutoOff</w:t>
            </w:r>
          </w:p>
        </w:tc>
        <w:tc>
          <w:tcPr>
            <w:tcW w:w="0" w:type="auto"/>
            <w:vAlign w:val="center"/>
          </w:tcPr>
          <w:p w:rsidR="000A156F" w:rsidRDefault="00A9721F">
            <w:pPr>
              <w:pStyle w:val="TableBodyText"/>
            </w:pPr>
            <w:r>
              <w:t>081D</w:t>
            </w:r>
          </w:p>
        </w:tc>
      </w:tr>
      <w:tr w:rsidR="000A156F" w:rsidTr="000A156F">
        <w:tc>
          <w:tcPr>
            <w:tcW w:w="0" w:type="auto"/>
            <w:vAlign w:val="center"/>
          </w:tcPr>
          <w:p w:rsidR="000A156F" w:rsidRDefault="00A9721F">
            <w:pPr>
              <w:pStyle w:val="TableBodyText"/>
            </w:pPr>
            <w:r>
              <w:t>ToolsHyphenationAutoOn</w:t>
            </w:r>
          </w:p>
        </w:tc>
        <w:tc>
          <w:tcPr>
            <w:tcW w:w="0" w:type="auto"/>
            <w:vAlign w:val="center"/>
          </w:tcPr>
          <w:p w:rsidR="000A156F" w:rsidRDefault="00A9721F">
            <w:pPr>
              <w:pStyle w:val="TableBodyText"/>
            </w:pPr>
            <w:r>
              <w:t>081C</w:t>
            </w:r>
          </w:p>
        </w:tc>
      </w:tr>
      <w:tr w:rsidR="000A156F" w:rsidTr="000A156F">
        <w:tc>
          <w:tcPr>
            <w:tcW w:w="0" w:type="auto"/>
            <w:vAlign w:val="center"/>
          </w:tcPr>
          <w:p w:rsidR="000A156F" w:rsidRDefault="00A9721F">
            <w:pPr>
              <w:pStyle w:val="TableBodyText"/>
            </w:pPr>
            <w:r>
              <w:t>ToolsHyphenationManual</w:t>
            </w:r>
          </w:p>
        </w:tc>
        <w:tc>
          <w:tcPr>
            <w:tcW w:w="0" w:type="auto"/>
            <w:vAlign w:val="center"/>
          </w:tcPr>
          <w:p w:rsidR="000A156F" w:rsidRDefault="00A9721F">
            <w:pPr>
              <w:pStyle w:val="TableBodyText"/>
            </w:pPr>
            <w:r>
              <w:t>02C0</w:t>
            </w:r>
          </w:p>
        </w:tc>
      </w:tr>
      <w:tr w:rsidR="000A156F" w:rsidTr="000A156F">
        <w:tc>
          <w:tcPr>
            <w:tcW w:w="0" w:type="auto"/>
            <w:vAlign w:val="center"/>
          </w:tcPr>
          <w:p w:rsidR="000A156F" w:rsidRDefault="00A9721F">
            <w:pPr>
              <w:pStyle w:val="TableBodyText"/>
            </w:pPr>
            <w:r>
              <w:t>ToolsInsertScript</w:t>
            </w:r>
          </w:p>
        </w:tc>
        <w:tc>
          <w:tcPr>
            <w:tcW w:w="0" w:type="auto"/>
            <w:vAlign w:val="center"/>
          </w:tcPr>
          <w:p w:rsidR="000A156F" w:rsidRDefault="00A9721F">
            <w:pPr>
              <w:pStyle w:val="TableBodyText"/>
            </w:pPr>
            <w:r>
              <w:t>041A</w:t>
            </w:r>
          </w:p>
        </w:tc>
      </w:tr>
      <w:tr w:rsidR="000A156F" w:rsidTr="000A156F">
        <w:tc>
          <w:tcPr>
            <w:tcW w:w="0" w:type="auto"/>
            <w:vAlign w:val="center"/>
          </w:tcPr>
          <w:p w:rsidR="000A156F" w:rsidRDefault="00A9721F">
            <w:pPr>
              <w:pStyle w:val="TableBodyText"/>
            </w:pPr>
            <w:r>
              <w:t>ToolsLanguage</w:t>
            </w:r>
          </w:p>
        </w:tc>
        <w:tc>
          <w:tcPr>
            <w:tcW w:w="0" w:type="auto"/>
            <w:vAlign w:val="center"/>
          </w:tcPr>
          <w:p w:rsidR="000A156F" w:rsidRDefault="00A9721F">
            <w:pPr>
              <w:pStyle w:val="TableBodyText"/>
            </w:pPr>
            <w:r>
              <w:t>00BC</w:t>
            </w:r>
          </w:p>
        </w:tc>
      </w:tr>
      <w:tr w:rsidR="000A156F" w:rsidTr="000A156F">
        <w:tc>
          <w:tcPr>
            <w:tcW w:w="0" w:type="auto"/>
            <w:vAlign w:val="center"/>
          </w:tcPr>
          <w:p w:rsidR="000A156F" w:rsidRDefault="00A9721F">
            <w:pPr>
              <w:pStyle w:val="TableBodyText"/>
            </w:pPr>
            <w:r>
              <w:t>ToolsLineNumContinuous</w:t>
            </w:r>
          </w:p>
        </w:tc>
        <w:tc>
          <w:tcPr>
            <w:tcW w:w="0" w:type="auto"/>
            <w:vAlign w:val="center"/>
          </w:tcPr>
          <w:p w:rsidR="000A156F" w:rsidRDefault="00A9721F">
            <w:pPr>
              <w:pStyle w:val="TableBodyText"/>
            </w:pPr>
            <w:r>
              <w:t>0832</w:t>
            </w:r>
          </w:p>
        </w:tc>
      </w:tr>
      <w:tr w:rsidR="000A156F" w:rsidTr="000A156F">
        <w:tc>
          <w:tcPr>
            <w:tcW w:w="0" w:type="auto"/>
            <w:vAlign w:val="center"/>
          </w:tcPr>
          <w:p w:rsidR="000A156F" w:rsidRDefault="00A9721F">
            <w:pPr>
              <w:pStyle w:val="TableBodyText"/>
            </w:pPr>
            <w:r>
              <w:t>ToolsLineNumOff</w:t>
            </w:r>
          </w:p>
        </w:tc>
        <w:tc>
          <w:tcPr>
            <w:tcW w:w="0" w:type="auto"/>
            <w:vAlign w:val="center"/>
          </w:tcPr>
          <w:p w:rsidR="000A156F" w:rsidRDefault="00A9721F">
            <w:pPr>
              <w:pStyle w:val="TableBodyText"/>
            </w:pPr>
            <w:r>
              <w:t>0831</w:t>
            </w:r>
          </w:p>
        </w:tc>
      </w:tr>
      <w:tr w:rsidR="000A156F" w:rsidTr="000A156F">
        <w:tc>
          <w:tcPr>
            <w:tcW w:w="0" w:type="auto"/>
            <w:vAlign w:val="center"/>
          </w:tcPr>
          <w:p w:rsidR="000A156F" w:rsidRDefault="00A9721F">
            <w:pPr>
              <w:pStyle w:val="TableBodyText"/>
            </w:pPr>
            <w:r>
              <w:t>ToolsLineNumResetSection</w:t>
            </w:r>
          </w:p>
        </w:tc>
        <w:tc>
          <w:tcPr>
            <w:tcW w:w="0" w:type="auto"/>
            <w:vAlign w:val="center"/>
          </w:tcPr>
          <w:p w:rsidR="000A156F" w:rsidRDefault="00A9721F">
            <w:pPr>
              <w:pStyle w:val="TableBodyText"/>
            </w:pPr>
            <w:r>
              <w:t>0834</w:t>
            </w:r>
          </w:p>
        </w:tc>
      </w:tr>
      <w:tr w:rsidR="000A156F" w:rsidTr="000A156F">
        <w:tc>
          <w:tcPr>
            <w:tcW w:w="0" w:type="auto"/>
            <w:vAlign w:val="center"/>
          </w:tcPr>
          <w:p w:rsidR="000A156F" w:rsidRDefault="00A9721F">
            <w:pPr>
              <w:pStyle w:val="TableBodyText"/>
            </w:pPr>
            <w:r>
              <w:t>ToolsLineNumRestPage</w:t>
            </w:r>
          </w:p>
        </w:tc>
        <w:tc>
          <w:tcPr>
            <w:tcW w:w="0" w:type="auto"/>
            <w:vAlign w:val="center"/>
          </w:tcPr>
          <w:p w:rsidR="000A156F" w:rsidRDefault="00A9721F">
            <w:pPr>
              <w:pStyle w:val="TableBodyText"/>
            </w:pPr>
            <w:r>
              <w:t>0833</w:t>
            </w:r>
          </w:p>
        </w:tc>
      </w:tr>
      <w:tr w:rsidR="000A156F" w:rsidTr="000A156F">
        <w:tc>
          <w:tcPr>
            <w:tcW w:w="0" w:type="auto"/>
            <w:vAlign w:val="center"/>
          </w:tcPr>
          <w:p w:rsidR="000A156F" w:rsidRDefault="00A9721F">
            <w:pPr>
              <w:pStyle w:val="TableBodyText"/>
            </w:pPr>
            <w:r>
              <w:t>ToolsLineNumSuppress</w:t>
            </w:r>
          </w:p>
        </w:tc>
        <w:tc>
          <w:tcPr>
            <w:tcW w:w="0" w:type="auto"/>
            <w:vAlign w:val="center"/>
          </w:tcPr>
          <w:p w:rsidR="000A156F" w:rsidRDefault="00A9721F">
            <w:pPr>
              <w:pStyle w:val="TableBodyText"/>
            </w:pPr>
            <w:r>
              <w:t>0835</w:t>
            </w:r>
          </w:p>
        </w:tc>
      </w:tr>
      <w:tr w:rsidR="000A156F" w:rsidTr="000A156F">
        <w:tc>
          <w:tcPr>
            <w:tcW w:w="0" w:type="auto"/>
            <w:vAlign w:val="center"/>
          </w:tcPr>
          <w:p w:rsidR="000A156F" w:rsidRDefault="00A9721F">
            <w:pPr>
              <w:pStyle w:val="TableBodyText"/>
            </w:pPr>
            <w:r>
              <w:t>ToolsMacro</w:t>
            </w:r>
          </w:p>
        </w:tc>
        <w:tc>
          <w:tcPr>
            <w:tcW w:w="0" w:type="auto"/>
            <w:vAlign w:val="center"/>
          </w:tcPr>
          <w:p w:rsidR="000A156F" w:rsidRDefault="00A9721F">
            <w:pPr>
              <w:pStyle w:val="TableBodyText"/>
            </w:pPr>
            <w:r>
              <w:t>00D7</w:t>
            </w:r>
          </w:p>
        </w:tc>
      </w:tr>
      <w:tr w:rsidR="000A156F" w:rsidTr="000A156F">
        <w:tc>
          <w:tcPr>
            <w:tcW w:w="0" w:type="auto"/>
            <w:vAlign w:val="center"/>
          </w:tcPr>
          <w:p w:rsidR="000A156F" w:rsidRDefault="00A9721F">
            <w:pPr>
              <w:pStyle w:val="TableBodyText"/>
            </w:pPr>
            <w:r>
              <w:t>ToolsManageFields</w:t>
            </w:r>
          </w:p>
        </w:tc>
        <w:tc>
          <w:tcPr>
            <w:tcW w:w="0" w:type="auto"/>
            <w:vAlign w:val="center"/>
          </w:tcPr>
          <w:p w:rsidR="000A156F" w:rsidRDefault="00A9721F">
            <w:pPr>
              <w:pStyle w:val="TableBodyText"/>
            </w:pPr>
            <w:r>
              <w:t>0277</w:t>
            </w:r>
          </w:p>
        </w:tc>
      </w:tr>
      <w:tr w:rsidR="000A156F" w:rsidTr="000A156F">
        <w:tc>
          <w:tcPr>
            <w:tcW w:w="0" w:type="auto"/>
            <w:vAlign w:val="center"/>
          </w:tcPr>
          <w:p w:rsidR="000A156F" w:rsidRDefault="00A9721F">
            <w:pPr>
              <w:pStyle w:val="TableBodyText"/>
            </w:pPr>
            <w:r>
              <w:t>ToolsMergeRevisions</w:t>
            </w:r>
          </w:p>
        </w:tc>
        <w:tc>
          <w:tcPr>
            <w:tcW w:w="0" w:type="auto"/>
            <w:vAlign w:val="center"/>
          </w:tcPr>
          <w:p w:rsidR="000A156F" w:rsidRDefault="00A9721F">
            <w:pPr>
              <w:pStyle w:val="TableBodyText"/>
            </w:pPr>
            <w:r>
              <w:t>01B3</w:t>
            </w:r>
          </w:p>
        </w:tc>
      </w:tr>
      <w:tr w:rsidR="000A156F" w:rsidTr="000A156F">
        <w:tc>
          <w:tcPr>
            <w:tcW w:w="0" w:type="auto"/>
            <w:vAlign w:val="center"/>
          </w:tcPr>
          <w:p w:rsidR="000A156F" w:rsidRDefault="00A9721F">
            <w:pPr>
              <w:pStyle w:val="TableBodyText"/>
            </w:pPr>
            <w:r>
              <w:t>ToolsNumberListDefault</w:t>
            </w:r>
          </w:p>
        </w:tc>
        <w:tc>
          <w:tcPr>
            <w:tcW w:w="0" w:type="auto"/>
            <w:vAlign w:val="center"/>
          </w:tcPr>
          <w:p w:rsidR="000A156F" w:rsidRDefault="00A9721F">
            <w:pPr>
              <w:pStyle w:val="TableBodyText"/>
            </w:pPr>
            <w:r>
              <w:t>0135</w:t>
            </w:r>
          </w:p>
        </w:tc>
      </w:tr>
      <w:tr w:rsidR="000A156F" w:rsidTr="000A156F">
        <w:tc>
          <w:tcPr>
            <w:tcW w:w="0" w:type="auto"/>
            <w:vAlign w:val="center"/>
          </w:tcPr>
          <w:p w:rsidR="000A156F" w:rsidRDefault="00A9721F">
            <w:pPr>
              <w:pStyle w:val="TableBodyText"/>
            </w:pPr>
            <w:r>
              <w:lastRenderedPageBreak/>
              <w:t>ToolsOptions</w:t>
            </w:r>
          </w:p>
        </w:tc>
        <w:tc>
          <w:tcPr>
            <w:tcW w:w="0" w:type="auto"/>
            <w:vAlign w:val="center"/>
          </w:tcPr>
          <w:p w:rsidR="000A156F" w:rsidRDefault="00A9721F">
            <w:pPr>
              <w:pStyle w:val="TableBodyText"/>
            </w:pPr>
            <w:r>
              <w:t>03CE</w:t>
            </w:r>
          </w:p>
        </w:tc>
      </w:tr>
      <w:tr w:rsidR="000A156F" w:rsidTr="000A156F">
        <w:tc>
          <w:tcPr>
            <w:tcW w:w="0" w:type="auto"/>
            <w:vAlign w:val="center"/>
          </w:tcPr>
          <w:p w:rsidR="000A156F" w:rsidRDefault="00A9721F">
            <w:pPr>
              <w:pStyle w:val="TableBodyText"/>
            </w:pPr>
            <w:r>
              <w:t>ToolsOptionsAutoFormat</w:t>
            </w:r>
          </w:p>
        </w:tc>
        <w:tc>
          <w:tcPr>
            <w:tcW w:w="0" w:type="auto"/>
            <w:vAlign w:val="center"/>
          </w:tcPr>
          <w:p w:rsidR="000A156F" w:rsidRDefault="00A9721F">
            <w:pPr>
              <w:pStyle w:val="TableBodyText"/>
            </w:pPr>
            <w:r>
              <w:t>03BF</w:t>
            </w:r>
          </w:p>
        </w:tc>
      </w:tr>
      <w:tr w:rsidR="000A156F" w:rsidTr="000A156F">
        <w:tc>
          <w:tcPr>
            <w:tcW w:w="0" w:type="auto"/>
            <w:vAlign w:val="center"/>
          </w:tcPr>
          <w:p w:rsidR="000A156F" w:rsidRDefault="00A9721F">
            <w:pPr>
              <w:pStyle w:val="TableBodyText"/>
            </w:pPr>
            <w:r>
              <w:t>ToolsOptionsAutoFormatAsYouType</w:t>
            </w:r>
          </w:p>
        </w:tc>
        <w:tc>
          <w:tcPr>
            <w:tcW w:w="0" w:type="auto"/>
            <w:vAlign w:val="center"/>
          </w:tcPr>
          <w:p w:rsidR="000A156F" w:rsidRDefault="00A9721F">
            <w:pPr>
              <w:pStyle w:val="TableBodyText"/>
            </w:pPr>
            <w:r>
              <w:t>030A</w:t>
            </w:r>
          </w:p>
        </w:tc>
      </w:tr>
      <w:tr w:rsidR="000A156F" w:rsidTr="000A156F">
        <w:tc>
          <w:tcPr>
            <w:tcW w:w="0" w:type="auto"/>
            <w:vAlign w:val="center"/>
          </w:tcPr>
          <w:p w:rsidR="000A156F" w:rsidRDefault="00A9721F">
            <w:pPr>
              <w:pStyle w:val="TableBodyText"/>
            </w:pPr>
            <w:r>
              <w:t>ToolsOptionsBidi</w:t>
            </w:r>
          </w:p>
        </w:tc>
        <w:tc>
          <w:tcPr>
            <w:tcW w:w="0" w:type="auto"/>
            <w:vAlign w:val="center"/>
          </w:tcPr>
          <w:p w:rsidR="000A156F" w:rsidRDefault="00A9721F">
            <w:pPr>
              <w:pStyle w:val="TableBodyText"/>
            </w:pPr>
            <w:r>
              <w:t>0405</w:t>
            </w:r>
          </w:p>
        </w:tc>
      </w:tr>
      <w:tr w:rsidR="000A156F" w:rsidTr="000A156F">
        <w:tc>
          <w:tcPr>
            <w:tcW w:w="0" w:type="auto"/>
            <w:vAlign w:val="center"/>
          </w:tcPr>
          <w:p w:rsidR="000A156F" w:rsidRDefault="00A9721F">
            <w:pPr>
              <w:pStyle w:val="TableBodyText"/>
            </w:pPr>
            <w:r>
              <w:t>ToolsOptionsCompatibility</w:t>
            </w:r>
          </w:p>
        </w:tc>
        <w:tc>
          <w:tcPr>
            <w:tcW w:w="0" w:type="auto"/>
            <w:vAlign w:val="center"/>
          </w:tcPr>
          <w:p w:rsidR="000A156F" w:rsidRDefault="00A9721F">
            <w:pPr>
              <w:pStyle w:val="TableBodyText"/>
            </w:pPr>
            <w:r>
              <w:t>020D</w:t>
            </w:r>
          </w:p>
        </w:tc>
      </w:tr>
      <w:tr w:rsidR="000A156F" w:rsidTr="000A156F">
        <w:tc>
          <w:tcPr>
            <w:tcW w:w="0" w:type="auto"/>
            <w:vAlign w:val="center"/>
          </w:tcPr>
          <w:p w:rsidR="000A156F" w:rsidRDefault="00A9721F">
            <w:pPr>
              <w:pStyle w:val="TableBodyText"/>
            </w:pPr>
            <w:r>
              <w:t>ToolsOptionsEdit</w:t>
            </w:r>
          </w:p>
        </w:tc>
        <w:tc>
          <w:tcPr>
            <w:tcW w:w="0" w:type="auto"/>
            <w:vAlign w:val="center"/>
          </w:tcPr>
          <w:p w:rsidR="000A156F" w:rsidRDefault="00A9721F">
            <w:pPr>
              <w:pStyle w:val="TableBodyText"/>
            </w:pPr>
            <w:r>
              <w:t>00E0</w:t>
            </w:r>
          </w:p>
        </w:tc>
      </w:tr>
      <w:tr w:rsidR="000A156F" w:rsidTr="000A156F">
        <w:tc>
          <w:tcPr>
            <w:tcW w:w="0" w:type="auto"/>
            <w:vAlign w:val="center"/>
          </w:tcPr>
          <w:p w:rsidR="000A156F" w:rsidRDefault="00A9721F">
            <w:pPr>
              <w:pStyle w:val="TableBodyText"/>
            </w:pPr>
            <w:r>
              <w:t>ToolsOptionsEditCopyPaste</w:t>
            </w:r>
          </w:p>
        </w:tc>
        <w:tc>
          <w:tcPr>
            <w:tcW w:w="0" w:type="auto"/>
            <w:vAlign w:val="center"/>
          </w:tcPr>
          <w:p w:rsidR="000A156F" w:rsidRDefault="00A9721F">
            <w:pPr>
              <w:pStyle w:val="TableBodyText"/>
            </w:pPr>
            <w:r>
              <w:t>054C</w:t>
            </w:r>
          </w:p>
        </w:tc>
      </w:tr>
      <w:tr w:rsidR="000A156F" w:rsidTr="000A156F">
        <w:tc>
          <w:tcPr>
            <w:tcW w:w="0" w:type="auto"/>
            <w:vAlign w:val="center"/>
          </w:tcPr>
          <w:p w:rsidR="000A156F" w:rsidRDefault="00A9721F">
            <w:pPr>
              <w:pStyle w:val="TableBodyText"/>
            </w:pPr>
            <w:r>
              <w:t>ToolsOptionsFileLocations</w:t>
            </w:r>
          </w:p>
        </w:tc>
        <w:tc>
          <w:tcPr>
            <w:tcW w:w="0" w:type="auto"/>
            <w:vAlign w:val="center"/>
          </w:tcPr>
          <w:p w:rsidR="000A156F" w:rsidRDefault="00A9721F">
            <w:pPr>
              <w:pStyle w:val="TableBodyText"/>
            </w:pPr>
            <w:r>
              <w:t>00E1</w:t>
            </w:r>
          </w:p>
        </w:tc>
      </w:tr>
      <w:tr w:rsidR="000A156F" w:rsidTr="000A156F">
        <w:tc>
          <w:tcPr>
            <w:tcW w:w="0" w:type="auto"/>
            <w:vAlign w:val="center"/>
          </w:tcPr>
          <w:p w:rsidR="000A156F" w:rsidRDefault="00A9721F">
            <w:pPr>
              <w:pStyle w:val="TableBodyText"/>
            </w:pPr>
            <w:r>
              <w:t>ToolsOptionsFuzzy</w:t>
            </w:r>
          </w:p>
        </w:tc>
        <w:tc>
          <w:tcPr>
            <w:tcW w:w="0" w:type="auto"/>
            <w:vAlign w:val="center"/>
          </w:tcPr>
          <w:p w:rsidR="000A156F" w:rsidRDefault="00A9721F">
            <w:pPr>
              <w:pStyle w:val="TableBodyText"/>
            </w:pPr>
            <w:r>
              <w:t>0316</w:t>
            </w:r>
          </w:p>
        </w:tc>
      </w:tr>
      <w:tr w:rsidR="000A156F" w:rsidTr="000A156F">
        <w:tc>
          <w:tcPr>
            <w:tcW w:w="0" w:type="auto"/>
            <w:vAlign w:val="center"/>
          </w:tcPr>
          <w:p w:rsidR="000A156F" w:rsidRDefault="00A9721F">
            <w:pPr>
              <w:pStyle w:val="TableBodyText"/>
            </w:pPr>
            <w:r>
              <w:t>ToolsOptionsGeneral</w:t>
            </w:r>
          </w:p>
        </w:tc>
        <w:tc>
          <w:tcPr>
            <w:tcW w:w="0" w:type="auto"/>
            <w:vAlign w:val="center"/>
          </w:tcPr>
          <w:p w:rsidR="000A156F" w:rsidRDefault="00A9721F">
            <w:pPr>
              <w:pStyle w:val="TableBodyText"/>
            </w:pPr>
            <w:r>
              <w:t>00CB</w:t>
            </w:r>
          </w:p>
        </w:tc>
      </w:tr>
      <w:tr w:rsidR="000A156F" w:rsidTr="000A156F">
        <w:tc>
          <w:tcPr>
            <w:tcW w:w="0" w:type="auto"/>
            <w:vAlign w:val="center"/>
          </w:tcPr>
          <w:p w:rsidR="000A156F" w:rsidRDefault="00A9721F">
            <w:pPr>
              <w:pStyle w:val="TableBodyText"/>
            </w:pPr>
            <w:r>
              <w:t>ToolsOptionsGrammar</w:t>
            </w:r>
          </w:p>
        </w:tc>
        <w:tc>
          <w:tcPr>
            <w:tcW w:w="0" w:type="auto"/>
            <w:vAlign w:val="center"/>
          </w:tcPr>
          <w:p w:rsidR="000A156F" w:rsidRDefault="00A9721F">
            <w:pPr>
              <w:pStyle w:val="TableBodyText"/>
            </w:pPr>
            <w:r>
              <w:t>00D4</w:t>
            </w:r>
          </w:p>
        </w:tc>
      </w:tr>
      <w:tr w:rsidR="000A156F" w:rsidTr="000A156F">
        <w:tc>
          <w:tcPr>
            <w:tcW w:w="0" w:type="auto"/>
            <w:vAlign w:val="center"/>
          </w:tcPr>
          <w:p w:rsidR="000A156F" w:rsidRDefault="00A9721F">
            <w:pPr>
              <w:pStyle w:val="TableBodyText"/>
            </w:pPr>
            <w:r>
              <w:t>ToolsOptionsHHC</w:t>
            </w:r>
          </w:p>
        </w:tc>
        <w:tc>
          <w:tcPr>
            <w:tcW w:w="0" w:type="auto"/>
            <w:vAlign w:val="center"/>
          </w:tcPr>
          <w:p w:rsidR="000A156F" w:rsidRDefault="00A9721F">
            <w:pPr>
              <w:pStyle w:val="TableBodyText"/>
            </w:pPr>
            <w:r>
              <w:t>0312</w:t>
            </w:r>
          </w:p>
        </w:tc>
      </w:tr>
      <w:tr w:rsidR="000A156F" w:rsidTr="000A156F">
        <w:tc>
          <w:tcPr>
            <w:tcW w:w="0" w:type="auto"/>
            <w:vAlign w:val="center"/>
          </w:tcPr>
          <w:p w:rsidR="000A156F" w:rsidRDefault="00A9721F">
            <w:pPr>
              <w:pStyle w:val="TableBodyText"/>
            </w:pPr>
            <w:r>
              <w:t>ToolsOptionsPrint</w:t>
            </w:r>
          </w:p>
        </w:tc>
        <w:tc>
          <w:tcPr>
            <w:tcW w:w="0" w:type="auto"/>
            <w:vAlign w:val="center"/>
          </w:tcPr>
          <w:p w:rsidR="000A156F" w:rsidRDefault="00A9721F">
            <w:pPr>
              <w:pStyle w:val="TableBodyText"/>
            </w:pPr>
            <w:r>
              <w:t>00D0</w:t>
            </w:r>
          </w:p>
        </w:tc>
      </w:tr>
      <w:tr w:rsidR="000A156F" w:rsidTr="000A156F">
        <w:tc>
          <w:tcPr>
            <w:tcW w:w="0" w:type="auto"/>
            <w:vAlign w:val="center"/>
          </w:tcPr>
          <w:p w:rsidR="000A156F" w:rsidRDefault="00A9721F">
            <w:pPr>
              <w:pStyle w:val="TableBodyText"/>
            </w:pPr>
            <w:r>
              <w:t>ToolsOptionsRevisions</w:t>
            </w:r>
          </w:p>
        </w:tc>
        <w:tc>
          <w:tcPr>
            <w:tcW w:w="0" w:type="auto"/>
            <w:vAlign w:val="center"/>
          </w:tcPr>
          <w:p w:rsidR="000A156F" w:rsidRDefault="00A9721F">
            <w:pPr>
              <w:pStyle w:val="TableBodyText"/>
            </w:pPr>
            <w:r>
              <w:t>0182</w:t>
            </w:r>
          </w:p>
        </w:tc>
      </w:tr>
      <w:tr w:rsidR="000A156F" w:rsidTr="000A156F">
        <w:tc>
          <w:tcPr>
            <w:tcW w:w="0" w:type="auto"/>
            <w:vAlign w:val="center"/>
          </w:tcPr>
          <w:p w:rsidR="000A156F" w:rsidRDefault="00A9721F">
            <w:pPr>
              <w:pStyle w:val="TableBodyText"/>
            </w:pPr>
            <w:r>
              <w:t>ToolsOptionsSave</w:t>
            </w:r>
          </w:p>
        </w:tc>
        <w:tc>
          <w:tcPr>
            <w:tcW w:w="0" w:type="auto"/>
            <w:vAlign w:val="center"/>
          </w:tcPr>
          <w:p w:rsidR="000A156F" w:rsidRDefault="00A9721F">
            <w:pPr>
              <w:pStyle w:val="TableBodyText"/>
            </w:pPr>
            <w:r>
              <w:t>00D1</w:t>
            </w:r>
          </w:p>
        </w:tc>
      </w:tr>
      <w:tr w:rsidR="000A156F" w:rsidTr="000A156F">
        <w:tc>
          <w:tcPr>
            <w:tcW w:w="0" w:type="auto"/>
            <w:vAlign w:val="center"/>
          </w:tcPr>
          <w:p w:rsidR="000A156F" w:rsidRDefault="00A9721F">
            <w:pPr>
              <w:pStyle w:val="TableBodyText"/>
            </w:pPr>
            <w:r>
              <w:t>ToolsOptionsSecurity</w:t>
            </w:r>
          </w:p>
        </w:tc>
        <w:tc>
          <w:tcPr>
            <w:tcW w:w="0" w:type="auto"/>
            <w:vAlign w:val="center"/>
          </w:tcPr>
          <w:p w:rsidR="000A156F" w:rsidRDefault="00A9721F">
            <w:pPr>
              <w:pStyle w:val="TableBodyText"/>
            </w:pPr>
            <w:r>
              <w:t>0551</w:t>
            </w:r>
          </w:p>
        </w:tc>
      </w:tr>
      <w:tr w:rsidR="000A156F" w:rsidTr="000A156F">
        <w:tc>
          <w:tcPr>
            <w:tcW w:w="0" w:type="auto"/>
            <w:vAlign w:val="center"/>
          </w:tcPr>
          <w:p w:rsidR="000A156F" w:rsidRDefault="00A9721F">
            <w:pPr>
              <w:pStyle w:val="TableBodyText"/>
            </w:pPr>
            <w:r>
              <w:t>ToolsOptionsSmartTag</w:t>
            </w:r>
          </w:p>
        </w:tc>
        <w:tc>
          <w:tcPr>
            <w:tcW w:w="0" w:type="auto"/>
            <w:vAlign w:val="center"/>
          </w:tcPr>
          <w:p w:rsidR="000A156F" w:rsidRDefault="00A9721F">
            <w:pPr>
              <w:pStyle w:val="TableBodyText"/>
            </w:pPr>
            <w:r>
              <w:t>0573</w:t>
            </w:r>
          </w:p>
        </w:tc>
      </w:tr>
      <w:tr w:rsidR="000A156F" w:rsidTr="000A156F">
        <w:tc>
          <w:tcPr>
            <w:tcW w:w="0" w:type="auto"/>
            <w:vAlign w:val="center"/>
          </w:tcPr>
          <w:p w:rsidR="000A156F" w:rsidRDefault="00A9721F">
            <w:pPr>
              <w:pStyle w:val="TableBodyText"/>
            </w:pPr>
            <w:r>
              <w:t>ToolsOptionsSpelling</w:t>
            </w:r>
          </w:p>
        </w:tc>
        <w:tc>
          <w:tcPr>
            <w:tcW w:w="0" w:type="auto"/>
            <w:vAlign w:val="center"/>
          </w:tcPr>
          <w:p w:rsidR="000A156F" w:rsidRDefault="00A9721F">
            <w:pPr>
              <w:pStyle w:val="TableBodyText"/>
            </w:pPr>
            <w:r>
              <w:t>00D3</w:t>
            </w:r>
          </w:p>
        </w:tc>
      </w:tr>
      <w:tr w:rsidR="000A156F" w:rsidTr="000A156F">
        <w:tc>
          <w:tcPr>
            <w:tcW w:w="0" w:type="auto"/>
            <w:vAlign w:val="center"/>
          </w:tcPr>
          <w:p w:rsidR="000A156F" w:rsidRDefault="00A9721F">
            <w:pPr>
              <w:pStyle w:val="TableBodyText"/>
            </w:pPr>
            <w:r>
              <w:t>ToolsOptionsTypography</w:t>
            </w:r>
          </w:p>
        </w:tc>
        <w:tc>
          <w:tcPr>
            <w:tcW w:w="0" w:type="auto"/>
            <w:vAlign w:val="center"/>
          </w:tcPr>
          <w:p w:rsidR="000A156F" w:rsidRDefault="00A9721F">
            <w:pPr>
              <w:pStyle w:val="TableBodyText"/>
            </w:pPr>
            <w:r>
              <w:t>02E3</w:t>
            </w:r>
          </w:p>
        </w:tc>
      </w:tr>
      <w:tr w:rsidR="000A156F" w:rsidTr="000A156F">
        <w:tc>
          <w:tcPr>
            <w:tcW w:w="0" w:type="auto"/>
            <w:vAlign w:val="center"/>
          </w:tcPr>
          <w:p w:rsidR="000A156F" w:rsidRDefault="00A9721F">
            <w:pPr>
              <w:pStyle w:val="TableBodyText"/>
            </w:pPr>
            <w:r>
              <w:t>ToolsOptionsUserInfo</w:t>
            </w:r>
          </w:p>
        </w:tc>
        <w:tc>
          <w:tcPr>
            <w:tcW w:w="0" w:type="auto"/>
            <w:vAlign w:val="center"/>
          </w:tcPr>
          <w:p w:rsidR="000A156F" w:rsidRDefault="00A9721F">
            <w:pPr>
              <w:pStyle w:val="TableBodyText"/>
            </w:pPr>
            <w:r>
              <w:t>00D5</w:t>
            </w:r>
          </w:p>
        </w:tc>
      </w:tr>
      <w:tr w:rsidR="000A156F" w:rsidTr="000A156F">
        <w:tc>
          <w:tcPr>
            <w:tcW w:w="0" w:type="auto"/>
            <w:vAlign w:val="center"/>
          </w:tcPr>
          <w:p w:rsidR="000A156F" w:rsidRDefault="00A9721F">
            <w:pPr>
              <w:pStyle w:val="TableBodyText"/>
            </w:pPr>
            <w:r>
              <w:t>ToolsOptionsView</w:t>
            </w:r>
          </w:p>
        </w:tc>
        <w:tc>
          <w:tcPr>
            <w:tcW w:w="0" w:type="auto"/>
            <w:vAlign w:val="center"/>
          </w:tcPr>
          <w:p w:rsidR="000A156F" w:rsidRDefault="00A9721F">
            <w:pPr>
              <w:pStyle w:val="TableBodyText"/>
            </w:pPr>
            <w:r>
              <w:t>00CC</w:t>
            </w:r>
          </w:p>
        </w:tc>
      </w:tr>
      <w:tr w:rsidR="000A156F" w:rsidTr="000A156F">
        <w:tc>
          <w:tcPr>
            <w:tcW w:w="0" w:type="auto"/>
            <w:vAlign w:val="center"/>
          </w:tcPr>
          <w:p w:rsidR="000A156F" w:rsidRDefault="00A9721F">
            <w:pPr>
              <w:pStyle w:val="TableBodyText"/>
            </w:pPr>
            <w:r>
              <w:t>ToolsProofing</w:t>
            </w:r>
          </w:p>
        </w:tc>
        <w:tc>
          <w:tcPr>
            <w:tcW w:w="0" w:type="auto"/>
            <w:vAlign w:val="center"/>
          </w:tcPr>
          <w:p w:rsidR="000A156F" w:rsidRDefault="00A9721F">
            <w:pPr>
              <w:pStyle w:val="TableBodyText"/>
            </w:pPr>
            <w:r>
              <w:t>033C</w:t>
            </w:r>
          </w:p>
        </w:tc>
      </w:tr>
      <w:tr w:rsidR="000A156F" w:rsidTr="000A156F">
        <w:tc>
          <w:tcPr>
            <w:tcW w:w="0" w:type="auto"/>
            <w:vAlign w:val="center"/>
          </w:tcPr>
          <w:p w:rsidR="000A156F" w:rsidRDefault="00A9721F">
            <w:pPr>
              <w:pStyle w:val="TableBodyText"/>
            </w:pPr>
            <w:r>
              <w:t>ToolsProtect</w:t>
            </w:r>
          </w:p>
        </w:tc>
        <w:tc>
          <w:tcPr>
            <w:tcW w:w="0" w:type="auto"/>
            <w:vAlign w:val="center"/>
          </w:tcPr>
          <w:p w:rsidR="000A156F" w:rsidRDefault="00A9721F">
            <w:pPr>
              <w:pStyle w:val="TableBodyText"/>
            </w:pPr>
            <w:r>
              <w:t>04D8</w:t>
            </w:r>
          </w:p>
        </w:tc>
      </w:tr>
      <w:tr w:rsidR="000A156F" w:rsidTr="000A156F">
        <w:tc>
          <w:tcPr>
            <w:tcW w:w="0" w:type="auto"/>
            <w:vAlign w:val="center"/>
          </w:tcPr>
          <w:p w:rsidR="000A156F" w:rsidRDefault="00A9721F">
            <w:pPr>
              <w:pStyle w:val="TableBodyText"/>
            </w:pPr>
            <w:r>
              <w:t>ToolsProtectDocument</w:t>
            </w:r>
          </w:p>
        </w:tc>
        <w:tc>
          <w:tcPr>
            <w:tcW w:w="0" w:type="auto"/>
            <w:vAlign w:val="center"/>
          </w:tcPr>
          <w:p w:rsidR="000A156F" w:rsidRDefault="00A9721F">
            <w:pPr>
              <w:pStyle w:val="TableBodyText"/>
            </w:pPr>
            <w:r>
              <w:t>01F7</w:t>
            </w:r>
          </w:p>
        </w:tc>
      </w:tr>
      <w:tr w:rsidR="000A156F" w:rsidTr="000A156F">
        <w:tc>
          <w:tcPr>
            <w:tcW w:w="0" w:type="auto"/>
            <w:vAlign w:val="center"/>
          </w:tcPr>
          <w:p w:rsidR="000A156F" w:rsidRDefault="00A9721F">
            <w:pPr>
              <w:pStyle w:val="TableBodyText"/>
            </w:pPr>
            <w:r>
              <w:t>ToolsProtectSection</w:t>
            </w:r>
          </w:p>
        </w:tc>
        <w:tc>
          <w:tcPr>
            <w:tcW w:w="0" w:type="auto"/>
            <w:vAlign w:val="center"/>
          </w:tcPr>
          <w:p w:rsidR="000A156F" w:rsidRDefault="00A9721F">
            <w:pPr>
              <w:pStyle w:val="TableBodyText"/>
            </w:pPr>
            <w:r>
              <w:t>0242</w:t>
            </w:r>
          </w:p>
        </w:tc>
      </w:tr>
      <w:tr w:rsidR="000A156F" w:rsidTr="000A156F">
        <w:tc>
          <w:tcPr>
            <w:tcW w:w="0" w:type="auto"/>
            <w:vAlign w:val="center"/>
          </w:tcPr>
          <w:p w:rsidR="000A156F" w:rsidRDefault="00A9721F">
            <w:pPr>
              <w:pStyle w:val="TableBodyText"/>
            </w:pPr>
            <w:r>
              <w:t>ToolsProtectUnprotectDocument</w:t>
            </w:r>
          </w:p>
        </w:tc>
        <w:tc>
          <w:tcPr>
            <w:tcW w:w="0" w:type="auto"/>
            <w:vAlign w:val="center"/>
          </w:tcPr>
          <w:p w:rsidR="000A156F" w:rsidRDefault="00A9721F">
            <w:pPr>
              <w:pStyle w:val="TableBodyText"/>
            </w:pPr>
            <w:r>
              <w:t>0208</w:t>
            </w:r>
          </w:p>
        </w:tc>
      </w:tr>
      <w:tr w:rsidR="000A156F" w:rsidTr="000A156F">
        <w:tc>
          <w:tcPr>
            <w:tcW w:w="0" w:type="auto"/>
            <w:vAlign w:val="center"/>
          </w:tcPr>
          <w:p w:rsidR="000A156F" w:rsidRDefault="00A9721F">
            <w:pPr>
              <w:pStyle w:val="TableBodyText"/>
            </w:pPr>
            <w:r>
              <w:t>ToolsRecordMacroStart</w:t>
            </w:r>
          </w:p>
        </w:tc>
        <w:tc>
          <w:tcPr>
            <w:tcW w:w="0" w:type="auto"/>
            <w:vAlign w:val="center"/>
          </w:tcPr>
          <w:p w:rsidR="000A156F" w:rsidRDefault="00A9721F">
            <w:pPr>
              <w:pStyle w:val="TableBodyText"/>
            </w:pPr>
            <w:r>
              <w:t>029A</w:t>
            </w:r>
          </w:p>
        </w:tc>
      </w:tr>
      <w:tr w:rsidR="000A156F" w:rsidTr="000A156F">
        <w:tc>
          <w:tcPr>
            <w:tcW w:w="0" w:type="auto"/>
            <w:vAlign w:val="center"/>
          </w:tcPr>
          <w:p w:rsidR="000A156F" w:rsidRDefault="00A9721F">
            <w:pPr>
              <w:pStyle w:val="TableBodyText"/>
            </w:pPr>
            <w:r>
              <w:t>ToolsRecordMacroStop</w:t>
            </w:r>
          </w:p>
        </w:tc>
        <w:tc>
          <w:tcPr>
            <w:tcW w:w="0" w:type="auto"/>
            <w:vAlign w:val="center"/>
          </w:tcPr>
          <w:p w:rsidR="000A156F" w:rsidRDefault="00A9721F">
            <w:pPr>
              <w:pStyle w:val="TableBodyText"/>
            </w:pPr>
            <w:r>
              <w:t>029B</w:t>
            </w:r>
          </w:p>
        </w:tc>
      </w:tr>
      <w:tr w:rsidR="000A156F" w:rsidTr="000A156F">
        <w:tc>
          <w:tcPr>
            <w:tcW w:w="0" w:type="auto"/>
            <w:vAlign w:val="center"/>
          </w:tcPr>
          <w:p w:rsidR="000A156F" w:rsidRDefault="00A9721F">
            <w:pPr>
              <w:pStyle w:val="TableBodyText"/>
            </w:pPr>
            <w:r>
              <w:t>ToolsRecordMacroToggle</w:t>
            </w:r>
          </w:p>
        </w:tc>
        <w:tc>
          <w:tcPr>
            <w:tcW w:w="0" w:type="auto"/>
            <w:vAlign w:val="center"/>
          </w:tcPr>
          <w:p w:rsidR="000A156F" w:rsidRDefault="00A9721F">
            <w:pPr>
              <w:pStyle w:val="TableBodyText"/>
            </w:pPr>
            <w:r>
              <w:t>00D6</w:t>
            </w:r>
          </w:p>
        </w:tc>
      </w:tr>
      <w:tr w:rsidR="000A156F" w:rsidTr="000A156F">
        <w:tc>
          <w:tcPr>
            <w:tcW w:w="0" w:type="auto"/>
            <w:vAlign w:val="center"/>
          </w:tcPr>
          <w:p w:rsidR="000A156F" w:rsidRDefault="00A9721F">
            <w:pPr>
              <w:pStyle w:val="TableBodyText"/>
            </w:pPr>
            <w:r>
              <w:t>ToolsRemoveRecordDefault</w:t>
            </w:r>
          </w:p>
        </w:tc>
        <w:tc>
          <w:tcPr>
            <w:tcW w:w="0" w:type="auto"/>
            <w:vAlign w:val="center"/>
          </w:tcPr>
          <w:p w:rsidR="000A156F" w:rsidRDefault="00A9721F">
            <w:pPr>
              <w:pStyle w:val="TableBodyText"/>
            </w:pPr>
            <w:r>
              <w:t>0276</w:t>
            </w:r>
          </w:p>
        </w:tc>
      </w:tr>
      <w:tr w:rsidR="000A156F" w:rsidTr="000A156F">
        <w:tc>
          <w:tcPr>
            <w:tcW w:w="0" w:type="auto"/>
            <w:vAlign w:val="center"/>
          </w:tcPr>
          <w:p w:rsidR="000A156F" w:rsidRDefault="00A9721F">
            <w:pPr>
              <w:pStyle w:val="TableBodyText"/>
            </w:pPr>
            <w:r>
              <w:t>ToolsRepaginate</w:t>
            </w:r>
          </w:p>
        </w:tc>
        <w:tc>
          <w:tcPr>
            <w:tcW w:w="0" w:type="auto"/>
            <w:vAlign w:val="center"/>
          </w:tcPr>
          <w:p w:rsidR="000A156F" w:rsidRDefault="00A9721F">
            <w:pPr>
              <w:pStyle w:val="TableBodyText"/>
            </w:pPr>
            <w:r>
              <w:t>00C9</w:t>
            </w:r>
          </w:p>
        </w:tc>
      </w:tr>
      <w:tr w:rsidR="000A156F" w:rsidTr="000A156F">
        <w:tc>
          <w:tcPr>
            <w:tcW w:w="0" w:type="auto"/>
            <w:vAlign w:val="center"/>
          </w:tcPr>
          <w:p w:rsidR="000A156F" w:rsidRDefault="00A9721F">
            <w:pPr>
              <w:pStyle w:val="TableBodyText"/>
            </w:pPr>
            <w:r>
              <w:t>ToolsReviewRevisions</w:t>
            </w:r>
          </w:p>
        </w:tc>
        <w:tc>
          <w:tcPr>
            <w:tcW w:w="0" w:type="auto"/>
            <w:vAlign w:val="center"/>
          </w:tcPr>
          <w:p w:rsidR="000A156F" w:rsidRDefault="00A9721F">
            <w:pPr>
              <w:pStyle w:val="TableBodyText"/>
            </w:pPr>
            <w:r>
              <w:t>01FA</w:t>
            </w:r>
          </w:p>
        </w:tc>
      </w:tr>
      <w:tr w:rsidR="000A156F" w:rsidTr="000A156F">
        <w:tc>
          <w:tcPr>
            <w:tcW w:w="0" w:type="auto"/>
            <w:vAlign w:val="center"/>
          </w:tcPr>
          <w:p w:rsidR="000A156F" w:rsidRDefault="00A9721F">
            <w:pPr>
              <w:pStyle w:val="TableBodyText"/>
            </w:pPr>
            <w:r>
              <w:lastRenderedPageBreak/>
              <w:t>ToolsRevisionMarksAccept</w:t>
            </w:r>
          </w:p>
        </w:tc>
        <w:tc>
          <w:tcPr>
            <w:tcW w:w="0" w:type="auto"/>
            <w:vAlign w:val="center"/>
          </w:tcPr>
          <w:p w:rsidR="000A156F" w:rsidRDefault="00A9721F">
            <w:pPr>
              <w:pStyle w:val="TableBodyText"/>
            </w:pPr>
            <w:r>
              <w:t>03AE</w:t>
            </w:r>
          </w:p>
        </w:tc>
      </w:tr>
      <w:tr w:rsidR="000A156F" w:rsidTr="000A156F">
        <w:tc>
          <w:tcPr>
            <w:tcW w:w="0" w:type="auto"/>
            <w:vAlign w:val="center"/>
          </w:tcPr>
          <w:p w:rsidR="000A156F" w:rsidRDefault="00A9721F">
            <w:pPr>
              <w:pStyle w:val="TableBodyText"/>
            </w:pPr>
            <w:r>
              <w:t>ToolsRevisionMarksNext</w:t>
            </w:r>
          </w:p>
        </w:tc>
        <w:tc>
          <w:tcPr>
            <w:tcW w:w="0" w:type="auto"/>
            <w:vAlign w:val="center"/>
          </w:tcPr>
          <w:p w:rsidR="000A156F" w:rsidRDefault="00A9721F">
            <w:pPr>
              <w:pStyle w:val="TableBodyText"/>
            </w:pPr>
            <w:r>
              <w:t>03CB</w:t>
            </w:r>
          </w:p>
        </w:tc>
      </w:tr>
      <w:tr w:rsidR="000A156F" w:rsidTr="000A156F">
        <w:tc>
          <w:tcPr>
            <w:tcW w:w="0" w:type="auto"/>
            <w:vAlign w:val="center"/>
          </w:tcPr>
          <w:p w:rsidR="000A156F" w:rsidRDefault="00A9721F">
            <w:pPr>
              <w:pStyle w:val="TableBodyText"/>
            </w:pPr>
            <w:r>
              <w:t>ToolsRevisionMarksPrev</w:t>
            </w:r>
          </w:p>
        </w:tc>
        <w:tc>
          <w:tcPr>
            <w:tcW w:w="0" w:type="auto"/>
            <w:vAlign w:val="center"/>
          </w:tcPr>
          <w:p w:rsidR="000A156F" w:rsidRDefault="00A9721F">
            <w:pPr>
              <w:pStyle w:val="TableBodyText"/>
            </w:pPr>
            <w:r>
              <w:t>03CA</w:t>
            </w:r>
          </w:p>
        </w:tc>
      </w:tr>
      <w:tr w:rsidR="000A156F" w:rsidTr="000A156F">
        <w:tc>
          <w:tcPr>
            <w:tcW w:w="0" w:type="auto"/>
            <w:vAlign w:val="center"/>
          </w:tcPr>
          <w:p w:rsidR="000A156F" w:rsidRDefault="00A9721F">
            <w:pPr>
              <w:pStyle w:val="TableBodyText"/>
            </w:pPr>
            <w:r>
              <w:t>ToolsRevisionMarksReject</w:t>
            </w:r>
          </w:p>
        </w:tc>
        <w:tc>
          <w:tcPr>
            <w:tcW w:w="0" w:type="auto"/>
            <w:vAlign w:val="center"/>
          </w:tcPr>
          <w:p w:rsidR="000A156F" w:rsidRDefault="00A9721F">
            <w:pPr>
              <w:pStyle w:val="TableBodyText"/>
            </w:pPr>
            <w:r>
              <w:t>03AF</w:t>
            </w:r>
          </w:p>
        </w:tc>
      </w:tr>
      <w:tr w:rsidR="000A156F" w:rsidTr="000A156F">
        <w:tc>
          <w:tcPr>
            <w:tcW w:w="0" w:type="auto"/>
            <w:vAlign w:val="center"/>
          </w:tcPr>
          <w:p w:rsidR="000A156F" w:rsidRDefault="00A9721F">
            <w:pPr>
              <w:pStyle w:val="TableBodyText"/>
            </w:pPr>
            <w:r>
              <w:t>ToolsRevisionMarksToggle</w:t>
            </w:r>
          </w:p>
        </w:tc>
        <w:tc>
          <w:tcPr>
            <w:tcW w:w="0" w:type="auto"/>
            <w:vAlign w:val="center"/>
          </w:tcPr>
          <w:p w:rsidR="000A156F" w:rsidRDefault="00A9721F">
            <w:pPr>
              <w:pStyle w:val="TableBodyText"/>
            </w:pPr>
            <w:r>
              <w:t>03BC</w:t>
            </w:r>
          </w:p>
        </w:tc>
      </w:tr>
      <w:tr w:rsidR="000A156F" w:rsidTr="000A156F">
        <w:tc>
          <w:tcPr>
            <w:tcW w:w="0" w:type="auto"/>
            <w:vAlign w:val="center"/>
          </w:tcPr>
          <w:p w:rsidR="000A156F" w:rsidRDefault="00A9721F">
            <w:pPr>
              <w:pStyle w:val="TableBodyText"/>
            </w:pPr>
            <w:r>
              <w:t>ToolsRevisions</w:t>
            </w:r>
          </w:p>
        </w:tc>
        <w:tc>
          <w:tcPr>
            <w:tcW w:w="0" w:type="auto"/>
            <w:vAlign w:val="center"/>
          </w:tcPr>
          <w:p w:rsidR="000A156F" w:rsidRDefault="00A9721F">
            <w:pPr>
              <w:pStyle w:val="TableBodyText"/>
            </w:pPr>
            <w:r>
              <w:t>00C5</w:t>
            </w:r>
          </w:p>
        </w:tc>
      </w:tr>
      <w:tr w:rsidR="000A156F" w:rsidTr="000A156F">
        <w:tc>
          <w:tcPr>
            <w:tcW w:w="0" w:type="auto"/>
            <w:vAlign w:val="center"/>
          </w:tcPr>
          <w:p w:rsidR="000A156F" w:rsidRDefault="00A9721F">
            <w:pPr>
              <w:pStyle w:val="TableBodyText"/>
            </w:pPr>
            <w:r>
              <w:t>ToolsSCTCTranslate</w:t>
            </w:r>
          </w:p>
        </w:tc>
        <w:tc>
          <w:tcPr>
            <w:tcW w:w="0" w:type="auto"/>
            <w:vAlign w:val="center"/>
          </w:tcPr>
          <w:p w:rsidR="000A156F" w:rsidRDefault="00A9721F">
            <w:pPr>
              <w:pStyle w:val="TableBodyText"/>
            </w:pPr>
            <w:r>
              <w:t>0492</w:t>
            </w:r>
          </w:p>
        </w:tc>
      </w:tr>
      <w:tr w:rsidR="000A156F" w:rsidTr="000A156F">
        <w:tc>
          <w:tcPr>
            <w:tcW w:w="0" w:type="auto"/>
            <w:vAlign w:val="center"/>
          </w:tcPr>
          <w:p w:rsidR="000A156F" w:rsidRDefault="00A9721F">
            <w:pPr>
              <w:pStyle w:val="TableBodyText"/>
            </w:pPr>
            <w:r>
              <w:t>ToolsShrinkToFit</w:t>
            </w:r>
          </w:p>
        </w:tc>
        <w:tc>
          <w:tcPr>
            <w:tcW w:w="0" w:type="auto"/>
            <w:vAlign w:val="center"/>
          </w:tcPr>
          <w:p w:rsidR="000A156F" w:rsidRDefault="00A9721F">
            <w:pPr>
              <w:pStyle w:val="TableBodyText"/>
            </w:pPr>
            <w:r>
              <w:t>01F8</w:t>
            </w:r>
          </w:p>
        </w:tc>
      </w:tr>
      <w:tr w:rsidR="000A156F" w:rsidTr="000A156F">
        <w:tc>
          <w:tcPr>
            <w:tcW w:w="0" w:type="auto"/>
            <w:vAlign w:val="center"/>
          </w:tcPr>
          <w:p w:rsidR="000A156F" w:rsidRDefault="00A9721F">
            <w:pPr>
              <w:pStyle w:val="TableBodyText"/>
            </w:pPr>
            <w:r>
              <w:t>ToolsSpellSelection</w:t>
            </w:r>
          </w:p>
        </w:tc>
        <w:tc>
          <w:tcPr>
            <w:tcW w:w="0" w:type="auto"/>
            <w:vAlign w:val="center"/>
          </w:tcPr>
          <w:p w:rsidR="000A156F" w:rsidRDefault="00A9721F">
            <w:pPr>
              <w:pStyle w:val="TableBodyText"/>
            </w:pPr>
            <w:r>
              <w:t>00C0</w:t>
            </w:r>
          </w:p>
        </w:tc>
      </w:tr>
      <w:tr w:rsidR="000A156F" w:rsidTr="000A156F">
        <w:tc>
          <w:tcPr>
            <w:tcW w:w="0" w:type="auto"/>
            <w:vAlign w:val="center"/>
          </w:tcPr>
          <w:p w:rsidR="000A156F" w:rsidRDefault="00A9721F">
            <w:pPr>
              <w:pStyle w:val="TableBodyText"/>
            </w:pPr>
            <w:r>
              <w:t>ToolsSpelling</w:t>
            </w:r>
          </w:p>
        </w:tc>
        <w:tc>
          <w:tcPr>
            <w:tcW w:w="0" w:type="auto"/>
            <w:vAlign w:val="center"/>
          </w:tcPr>
          <w:p w:rsidR="000A156F" w:rsidRDefault="00A9721F">
            <w:pPr>
              <w:pStyle w:val="TableBodyText"/>
            </w:pPr>
            <w:r>
              <w:t>00BF</w:t>
            </w:r>
          </w:p>
        </w:tc>
      </w:tr>
      <w:tr w:rsidR="000A156F" w:rsidTr="000A156F">
        <w:tc>
          <w:tcPr>
            <w:tcW w:w="0" w:type="auto"/>
            <w:vAlign w:val="center"/>
          </w:tcPr>
          <w:p w:rsidR="000A156F" w:rsidRDefault="00A9721F">
            <w:pPr>
              <w:pStyle w:val="TableBodyText"/>
            </w:pPr>
            <w:r>
              <w:t>ToolsSpellingHide</w:t>
            </w:r>
          </w:p>
        </w:tc>
        <w:tc>
          <w:tcPr>
            <w:tcW w:w="0" w:type="auto"/>
            <w:vAlign w:val="center"/>
          </w:tcPr>
          <w:p w:rsidR="000A156F" w:rsidRDefault="00A9721F">
            <w:pPr>
              <w:pStyle w:val="TableBodyText"/>
            </w:pPr>
            <w:r>
              <w:t>03D2</w:t>
            </w:r>
          </w:p>
        </w:tc>
      </w:tr>
      <w:tr w:rsidR="000A156F" w:rsidTr="000A156F">
        <w:tc>
          <w:tcPr>
            <w:tcW w:w="0" w:type="auto"/>
            <w:vAlign w:val="center"/>
          </w:tcPr>
          <w:p w:rsidR="000A156F" w:rsidRDefault="00A9721F">
            <w:pPr>
              <w:pStyle w:val="TableBodyText"/>
            </w:pPr>
            <w:r>
              <w:t>ToolsSpellingRange</w:t>
            </w:r>
          </w:p>
        </w:tc>
        <w:tc>
          <w:tcPr>
            <w:tcW w:w="0" w:type="auto"/>
            <w:vAlign w:val="center"/>
          </w:tcPr>
          <w:p w:rsidR="000A156F" w:rsidRDefault="00A9721F">
            <w:pPr>
              <w:pStyle w:val="TableBodyText"/>
            </w:pPr>
            <w:r>
              <w:t>034E</w:t>
            </w:r>
          </w:p>
        </w:tc>
      </w:tr>
      <w:tr w:rsidR="000A156F" w:rsidTr="000A156F">
        <w:tc>
          <w:tcPr>
            <w:tcW w:w="0" w:type="auto"/>
            <w:vAlign w:val="center"/>
          </w:tcPr>
          <w:p w:rsidR="000A156F" w:rsidRDefault="00A9721F">
            <w:pPr>
              <w:pStyle w:val="TableBodyText"/>
            </w:pPr>
            <w:r>
              <w:t>ToolsSpellingRecheckDocument</w:t>
            </w:r>
          </w:p>
        </w:tc>
        <w:tc>
          <w:tcPr>
            <w:tcW w:w="0" w:type="auto"/>
            <w:vAlign w:val="center"/>
          </w:tcPr>
          <w:p w:rsidR="000A156F" w:rsidRDefault="00A9721F">
            <w:pPr>
              <w:pStyle w:val="TableBodyText"/>
            </w:pPr>
            <w:r>
              <w:t>0309</w:t>
            </w:r>
          </w:p>
        </w:tc>
      </w:tr>
      <w:tr w:rsidR="000A156F" w:rsidTr="000A156F">
        <w:tc>
          <w:tcPr>
            <w:tcW w:w="0" w:type="auto"/>
            <w:vAlign w:val="center"/>
          </w:tcPr>
          <w:p w:rsidR="000A156F" w:rsidRDefault="00A9721F">
            <w:pPr>
              <w:pStyle w:val="TableBodyText"/>
            </w:pPr>
            <w:r>
              <w:t>ToolsTCSCTranslate</w:t>
            </w:r>
          </w:p>
        </w:tc>
        <w:tc>
          <w:tcPr>
            <w:tcW w:w="0" w:type="auto"/>
            <w:vAlign w:val="center"/>
          </w:tcPr>
          <w:p w:rsidR="000A156F" w:rsidRDefault="00A9721F">
            <w:pPr>
              <w:pStyle w:val="TableBodyText"/>
            </w:pPr>
            <w:r>
              <w:t>0491</w:t>
            </w:r>
          </w:p>
        </w:tc>
      </w:tr>
      <w:tr w:rsidR="000A156F" w:rsidTr="000A156F">
        <w:tc>
          <w:tcPr>
            <w:tcW w:w="0" w:type="auto"/>
            <w:vAlign w:val="center"/>
          </w:tcPr>
          <w:p w:rsidR="000A156F" w:rsidRDefault="00A9721F">
            <w:pPr>
              <w:pStyle w:val="TableBodyText"/>
            </w:pPr>
            <w:r>
              <w:t>ToolsTCSCTranslation</w:t>
            </w:r>
          </w:p>
        </w:tc>
        <w:tc>
          <w:tcPr>
            <w:tcW w:w="0" w:type="auto"/>
            <w:vAlign w:val="center"/>
          </w:tcPr>
          <w:p w:rsidR="000A156F" w:rsidRDefault="00A9721F">
            <w:pPr>
              <w:pStyle w:val="TableBodyText"/>
            </w:pPr>
            <w:r>
              <w:t>0484</w:t>
            </w:r>
          </w:p>
        </w:tc>
      </w:tr>
      <w:tr w:rsidR="000A156F" w:rsidTr="000A156F">
        <w:tc>
          <w:tcPr>
            <w:tcW w:w="0" w:type="auto"/>
            <w:vAlign w:val="center"/>
          </w:tcPr>
          <w:p w:rsidR="000A156F" w:rsidRDefault="00A9721F">
            <w:pPr>
              <w:pStyle w:val="TableBodyText"/>
            </w:pPr>
            <w:r>
              <w:t>ToolsThesaurus</w:t>
            </w:r>
          </w:p>
        </w:tc>
        <w:tc>
          <w:tcPr>
            <w:tcW w:w="0" w:type="auto"/>
            <w:vAlign w:val="center"/>
          </w:tcPr>
          <w:p w:rsidR="000A156F" w:rsidRDefault="00A9721F">
            <w:pPr>
              <w:pStyle w:val="TableBodyText"/>
            </w:pPr>
            <w:r>
              <w:t>00C2</w:t>
            </w:r>
          </w:p>
        </w:tc>
      </w:tr>
      <w:tr w:rsidR="000A156F" w:rsidTr="000A156F">
        <w:tc>
          <w:tcPr>
            <w:tcW w:w="0" w:type="auto"/>
            <w:vAlign w:val="center"/>
          </w:tcPr>
          <w:p w:rsidR="000A156F" w:rsidRDefault="00A9721F">
            <w:pPr>
              <w:pStyle w:val="TableBodyText"/>
            </w:pPr>
            <w:r>
              <w:t>ToolsThesaurusRR</w:t>
            </w:r>
          </w:p>
        </w:tc>
        <w:tc>
          <w:tcPr>
            <w:tcW w:w="0" w:type="auto"/>
            <w:vAlign w:val="center"/>
          </w:tcPr>
          <w:p w:rsidR="000A156F" w:rsidRDefault="00A9721F">
            <w:pPr>
              <w:pStyle w:val="TableBodyText"/>
            </w:pPr>
            <w:r>
              <w:t>059F</w:t>
            </w:r>
          </w:p>
        </w:tc>
      </w:tr>
      <w:tr w:rsidR="000A156F" w:rsidTr="000A156F">
        <w:tc>
          <w:tcPr>
            <w:tcW w:w="0" w:type="auto"/>
            <w:vAlign w:val="center"/>
          </w:tcPr>
          <w:p w:rsidR="000A156F" w:rsidRDefault="00A9721F">
            <w:pPr>
              <w:pStyle w:val="TableBodyText"/>
            </w:pPr>
            <w:r>
              <w:t>ToolsTranslateChinese</w:t>
            </w:r>
          </w:p>
        </w:tc>
        <w:tc>
          <w:tcPr>
            <w:tcW w:w="0" w:type="auto"/>
            <w:vAlign w:val="center"/>
          </w:tcPr>
          <w:p w:rsidR="000A156F" w:rsidRDefault="00A9721F">
            <w:pPr>
              <w:pStyle w:val="TableBodyText"/>
            </w:pPr>
            <w:r>
              <w:t>0493</w:t>
            </w:r>
          </w:p>
        </w:tc>
      </w:tr>
      <w:tr w:rsidR="000A156F" w:rsidTr="000A156F">
        <w:tc>
          <w:tcPr>
            <w:tcW w:w="0" w:type="auto"/>
            <w:vAlign w:val="center"/>
          </w:tcPr>
          <w:p w:rsidR="000A156F" w:rsidRDefault="00A9721F">
            <w:pPr>
              <w:pStyle w:val="TableBodyText"/>
            </w:pPr>
            <w:r>
              <w:t>ToolsUnprotectDocument</w:t>
            </w:r>
          </w:p>
        </w:tc>
        <w:tc>
          <w:tcPr>
            <w:tcW w:w="0" w:type="auto"/>
            <w:vAlign w:val="center"/>
          </w:tcPr>
          <w:p w:rsidR="000A156F" w:rsidRDefault="00A9721F">
            <w:pPr>
              <w:pStyle w:val="TableBodyText"/>
            </w:pPr>
            <w:r>
              <w:t>0209</w:t>
            </w:r>
          </w:p>
        </w:tc>
      </w:tr>
      <w:tr w:rsidR="000A156F" w:rsidTr="000A156F">
        <w:tc>
          <w:tcPr>
            <w:tcW w:w="0" w:type="auto"/>
            <w:vAlign w:val="center"/>
          </w:tcPr>
          <w:p w:rsidR="000A156F" w:rsidRDefault="00A9721F">
            <w:pPr>
              <w:pStyle w:val="TableBodyText"/>
            </w:pPr>
            <w:r>
              <w:t>ToolsWordCount</w:t>
            </w:r>
          </w:p>
        </w:tc>
        <w:tc>
          <w:tcPr>
            <w:tcW w:w="0" w:type="auto"/>
            <w:vAlign w:val="center"/>
          </w:tcPr>
          <w:p w:rsidR="000A156F" w:rsidRDefault="00A9721F">
            <w:pPr>
              <w:pStyle w:val="TableBodyText"/>
            </w:pPr>
            <w:r>
              <w:t>00E4</w:t>
            </w:r>
          </w:p>
        </w:tc>
      </w:tr>
      <w:tr w:rsidR="000A156F" w:rsidTr="000A156F">
        <w:tc>
          <w:tcPr>
            <w:tcW w:w="0" w:type="auto"/>
            <w:vAlign w:val="center"/>
          </w:tcPr>
          <w:p w:rsidR="000A156F" w:rsidRDefault="00A9721F">
            <w:pPr>
              <w:pStyle w:val="TableBodyText"/>
            </w:pPr>
            <w:r>
              <w:t>ToolsWordCountList</w:t>
            </w:r>
          </w:p>
        </w:tc>
        <w:tc>
          <w:tcPr>
            <w:tcW w:w="0" w:type="auto"/>
            <w:vAlign w:val="center"/>
          </w:tcPr>
          <w:p w:rsidR="000A156F" w:rsidRDefault="00A9721F">
            <w:pPr>
              <w:pStyle w:val="TableBodyText"/>
            </w:pPr>
            <w:r>
              <w:t>0542</w:t>
            </w:r>
          </w:p>
        </w:tc>
      </w:tr>
      <w:tr w:rsidR="000A156F" w:rsidTr="000A156F">
        <w:tc>
          <w:tcPr>
            <w:tcW w:w="0" w:type="auto"/>
            <w:vAlign w:val="center"/>
          </w:tcPr>
          <w:p w:rsidR="000A156F" w:rsidRDefault="00A9721F">
            <w:pPr>
              <w:pStyle w:val="TableBodyText"/>
            </w:pPr>
            <w:r>
              <w:t>ToolsWordCountRecount</w:t>
            </w:r>
          </w:p>
        </w:tc>
        <w:tc>
          <w:tcPr>
            <w:tcW w:w="0" w:type="auto"/>
            <w:vAlign w:val="center"/>
          </w:tcPr>
          <w:p w:rsidR="000A156F" w:rsidRDefault="00A9721F">
            <w:pPr>
              <w:pStyle w:val="TableBodyText"/>
            </w:pPr>
            <w:r>
              <w:t>0541</w:t>
            </w:r>
          </w:p>
        </w:tc>
      </w:tr>
      <w:tr w:rsidR="000A156F" w:rsidTr="000A156F">
        <w:tc>
          <w:tcPr>
            <w:tcW w:w="0" w:type="auto"/>
            <w:vAlign w:val="center"/>
          </w:tcPr>
          <w:p w:rsidR="000A156F" w:rsidRDefault="00A9721F">
            <w:pPr>
              <w:pStyle w:val="TableBodyText"/>
            </w:pPr>
            <w:r>
              <w:t>TopAlign</w:t>
            </w:r>
          </w:p>
        </w:tc>
        <w:tc>
          <w:tcPr>
            <w:tcW w:w="0" w:type="auto"/>
            <w:vAlign w:val="center"/>
          </w:tcPr>
          <w:p w:rsidR="000A156F" w:rsidRDefault="00A9721F">
            <w:pPr>
              <w:pStyle w:val="TableBodyText"/>
            </w:pPr>
            <w:r>
              <w:t>031F</w:t>
            </w:r>
          </w:p>
        </w:tc>
      </w:tr>
      <w:tr w:rsidR="000A156F" w:rsidTr="000A156F">
        <w:tc>
          <w:tcPr>
            <w:tcW w:w="0" w:type="auto"/>
            <w:vAlign w:val="center"/>
          </w:tcPr>
          <w:p w:rsidR="000A156F" w:rsidRDefault="00A9721F">
            <w:pPr>
              <w:pStyle w:val="TableBodyText"/>
            </w:pPr>
            <w:r>
              <w:t>TopCenterAlign</w:t>
            </w:r>
          </w:p>
        </w:tc>
        <w:tc>
          <w:tcPr>
            <w:tcW w:w="0" w:type="auto"/>
            <w:vAlign w:val="center"/>
          </w:tcPr>
          <w:p w:rsidR="000A156F" w:rsidRDefault="00A9721F">
            <w:pPr>
              <w:pStyle w:val="TableBodyText"/>
            </w:pPr>
            <w:r>
              <w:t>047A</w:t>
            </w:r>
          </w:p>
        </w:tc>
      </w:tr>
      <w:tr w:rsidR="000A156F" w:rsidTr="000A156F">
        <w:tc>
          <w:tcPr>
            <w:tcW w:w="0" w:type="auto"/>
            <w:vAlign w:val="center"/>
          </w:tcPr>
          <w:p w:rsidR="000A156F" w:rsidRDefault="00A9721F">
            <w:pPr>
              <w:pStyle w:val="TableBodyText"/>
            </w:pPr>
            <w:r>
              <w:t>TopLeftAlign</w:t>
            </w:r>
          </w:p>
        </w:tc>
        <w:tc>
          <w:tcPr>
            <w:tcW w:w="0" w:type="auto"/>
            <w:vAlign w:val="center"/>
          </w:tcPr>
          <w:p w:rsidR="000A156F" w:rsidRDefault="00A9721F">
            <w:pPr>
              <w:pStyle w:val="TableBodyText"/>
            </w:pPr>
            <w:r>
              <w:t>047B</w:t>
            </w:r>
          </w:p>
        </w:tc>
      </w:tr>
      <w:tr w:rsidR="000A156F" w:rsidTr="000A156F">
        <w:tc>
          <w:tcPr>
            <w:tcW w:w="0" w:type="auto"/>
            <w:vAlign w:val="center"/>
          </w:tcPr>
          <w:p w:rsidR="000A156F" w:rsidRDefault="00A9721F">
            <w:pPr>
              <w:pStyle w:val="TableBodyText"/>
            </w:pPr>
            <w:r>
              <w:t>TopRightAlign</w:t>
            </w:r>
          </w:p>
        </w:tc>
        <w:tc>
          <w:tcPr>
            <w:tcW w:w="0" w:type="auto"/>
            <w:vAlign w:val="center"/>
          </w:tcPr>
          <w:p w:rsidR="000A156F" w:rsidRDefault="00A9721F">
            <w:pPr>
              <w:pStyle w:val="TableBodyText"/>
            </w:pPr>
            <w:r>
              <w:t>0479</w:t>
            </w:r>
          </w:p>
        </w:tc>
      </w:tr>
      <w:tr w:rsidR="000A156F" w:rsidTr="000A156F">
        <w:tc>
          <w:tcPr>
            <w:tcW w:w="0" w:type="auto"/>
            <w:vAlign w:val="center"/>
          </w:tcPr>
          <w:p w:rsidR="000A156F" w:rsidRDefault="00A9721F">
            <w:pPr>
              <w:pStyle w:val="TableBodyText"/>
            </w:pPr>
            <w:r>
              <w:t>TraceMacro</w:t>
            </w:r>
          </w:p>
        </w:tc>
        <w:tc>
          <w:tcPr>
            <w:tcW w:w="0" w:type="auto"/>
            <w:vAlign w:val="center"/>
          </w:tcPr>
          <w:p w:rsidR="000A156F" w:rsidRDefault="00A9721F">
            <w:pPr>
              <w:pStyle w:val="TableBodyText"/>
            </w:pPr>
            <w:r>
              <w:t>010B</w:t>
            </w:r>
          </w:p>
        </w:tc>
      </w:tr>
      <w:tr w:rsidR="000A156F" w:rsidTr="000A156F">
        <w:tc>
          <w:tcPr>
            <w:tcW w:w="0" w:type="auto"/>
            <w:vAlign w:val="center"/>
          </w:tcPr>
          <w:p w:rsidR="000A156F" w:rsidRDefault="00A9721F">
            <w:pPr>
              <w:pStyle w:val="TableBodyText"/>
            </w:pPr>
            <w:r>
              <w:t>TrackChangesOptions</w:t>
            </w:r>
          </w:p>
        </w:tc>
        <w:tc>
          <w:tcPr>
            <w:tcW w:w="0" w:type="auto"/>
            <w:vAlign w:val="center"/>
          </w:tcPr>
          <w:p w:rsidR="000A156F" w:rsidRDefault="00A9721F">
            <w:pPr>
              <w:pStyle w:val="TableBodyText"/>
            </w:pPr>
            <w:r>
              <w:t>089F</w:t>
            </w:r>
          </w:p>
        </w:tc>
      </w:tr>
      <w:tr w:rsidR="000A156F" w:rsidTr="000A156F">
        <w:tc>
          <w:tcPr>
            <w:tcW w:w="0" w:type="auto"/>
            <w:vAlign w:val="center"/>
          </w:tcPr>
          <w:p w:rsidR="000A156F" w:rsidRDefault="00A9721F">
            <w:pPr>
              <w:pStyle w:val="TableBodyText"/>
            </w:pPr>
            <w:r>
              <w:t>Translate</w:t>
            </w:r>
          </w:p>
        </w:tc>
        <w:tc>
          <w:tcPr>
            <w:tcW w:w="0" w:type="auto"/>
            <w:vAlign w:val="center"/>
          </w:tcPr>
          <w:p w:rsidR="000A156F" w:rsidRDefault="00A9721F">
            <w:pPr>
              <w:pStyle w:val="TableBodyText"/>
            </w:pPr>
            <w:r>
              <w:t>053A</w:t>
            </w:r>
          </w:p>
        </w:tc>
      </w:tr>
      <w:tr w:rsidR="000A156F" w:rsidTr="000A156F">
        <w:tc>
          <w:tcPr>
            <w:tcW w:w="0" w:type="auto"/>
            <w:vAlign w:val="center"/>
          </w:tcPr>
          <w:p w:rsidR="000A156F" w:rsidRDefault="00A9721F">
            <w:pPr>
              <w:pStyle w:val="TableBodyText"/>
            </w:pPr>
            <w:r>
              <w:t>TranslatePane</w:t>
            </w:r>
          </w:p>
        </w:tc>
        <w:tc>
          <w:tcPr>
            <w:tcW w:w="0" w:type="auto"/>
            <w:vAlign w:val="center"/>
          </w:tcPr>
          <w:p w:rsidR="000A156F" w:rsidRDefault="00A9721F">
            <w:pPr>
              <w:pStyle w:val="TableBodyText"/>
            </w:pPr>
            <w:r>
              <w:t>04E6</w:t>
            </w:r>
          </w:p>
        </w:tc>
      </w:tr>
      <w:tr w:rsidR="000A156F" w:rsidTr="000A156F">
        <w:tc>
          <w:tcPr>
            <w:tcW w:w="0" w:type="auto"/>
            <w:vAlign w:val="center"/>
          </w:tcPr>
          <w:p w:rsidR="000A156F" w:rsidRDefault="00A9721F">
            <w:pPr>
              <w:pStyle w:val="TableBodyText"/>
            </w:pPr>
            <w:r>
              <w:t>TrustCenter</w:t>
            </w:r>
          </w:p>
        </w:tc>
        <w:tc>
          <w:tcPr>
            <w:tcW w:w="0" w:type="auto"/>
            <w:vAlign w:val="center"/>
          </w:tcPr>
          <w:p w:rsidR="000A156F" w:rsidRDefault="00A9721F">
            <w:pPr>
              <w:pStyle w:val="TableBodyText"/>
            </w:pPr>
            <w:r>
              <w:t>17C7</w:t>
            </w:r>
          </w:p>
        </w:tc>
      </w:tr>
      <w:tr w:rsidR="000A156F" w:rsidTr="000A156F">
        <w:tc>
          <w:tcPr>
            <w:tcW w:w="0" w:type="auto"/>
            <w:vAlign w:val="center"/>
          </w:tcPr>
          <w:p w:rsidR="000A156F" w:rsidRDefault="00A9721F">
            <w:pPr>
              <w:pStyle w:val="TableBodyText"/>
            </w:pPr>
            <w:r>
              <w:t>TxbxAutosize</w:t>
            </w:r>
          </w:p>
        </w:tc>
        <w:tc>
          <w:tcPr>
            <w:tcW w:w="0" w:type="auto"/>
            <w:vAlign w:val="center"/>
          </w:tcPr>
          <w:p w:rsidR="000A156F" w:rsidRDefault="00A9721F">
            <w:pPr>
              <w:pStyle w:val="TableBodyText"/>
            </w:pPr>
            <w:r>
              <w:t>054D</w:t>
            </w:r>
          </w:p>
        </w:tc>
      </w:tr>
      <w:tr w:rsidR="000A156F" w:rsidTr="000A156F">
        <w:tc>
          <w:tcPr>
            <w:tcW w:w="0" w:type="auto"/>
            <w:vAlign w:val="center"/>
          </w:tcPr>
          <w:p w:rsidR="000A156F" w:rsidRDefault="00A9721F">
            <w:pPr>
              <w:pStyle w:val="TableBodyText"/>
            </w:pPr>
            <w:r>
              <w:lastRenderedPageBreak/>
              <w:t>UIMCorrectionUI</w:t>
            </w:r>
          </w:p>
        </w:tc>
        <w:tc>
          <w:tcPr>
            <w:tcW w:w="0" w:type="auto"/>
            <w:vAlign w:val="center"/>
          </w:tcPr>
          <w:p w:rsidR="000A156F" w:rsidRDefault="00A9721F">
            <w:pPr>
              <w:pStyle w:val="TableBodyText"/>
            </w:pPr>
            <w:r>
              <w:t>0548</w:t>
            </w:r>
          </w:p>
        </w:tc>
      </w:tr>
      <w:tr w:rsidR="000A156F" w:rsidTr="000A156F">
        <w:tc>
          <w:tcPr>
            <w:tcW w:w="0" w:type="auto"/>
            <w:vAlign w:val="center"/>
          </w:tcPr>
          <w:p w:rsidR="000A156F" w:rsidRDefault="00A9721F">
            <w:pPr>
              <w:pStyle w:val="TableBodyText"/>
            </w:pPr>
            <w:r>
              <w:t>UnHang</w:t>
            </w:r>
          </w:p>
        </w:tc>
        <w:tc>
          <w:tcPr>
            <w:tcW w:w="0" w:type="auto"/>
            <w:vAlign w:val="center"/>
          </w:tcPr>
          <w:p w:rsidR="000A156F" w:rsidRDefault="00A9721F">
            <w:pPr>
              <w:pStyle w:val="TableBodyText"/>
            </w:pPr>
            <w:r>
              <w:t>0029</w:t>
            </w:r>
          </w:p>
        </w:tc>
      </w:tr>
      <w:tr w:rsidR="000A156F" w:rsidTr="000A156F">
        <w:tc>
          <w:tcPr>
            <w:tcW w:w="0" w:type="auto"/>
            <w:vAlign w:val="center"/>
          </w:tcPr>
          <w:p w:rsidR="000A156F" w:rsidRDefault="00A9721F">
            <w:pPr>
              <w:pStyle w:val="TableBodyText"/>
            </w:pPr>
            <w:r>
              <w:t>UnIndent</w:t>
            </w:r>
          </w:p>
        </w:tc>
        <w:tc>
          <w:tcPr>
            <w:tcW w:w="0" w:type="auto"/>
            <w:vAlign w:val="center"/>
          </w:tcPr>
          <w:p w:rsidR="000A156F" w:rsidRDefault="00A9721F">
            <w:pPr>
              <w:pStyle w:val="TableBodyText"/>
            </w:pPr>
            <w:r>
              <w:t>0027</w:t>
            </w:r>
          </w:p>
        </w:tc>
      </w:tr>
      <w:tr w:rsidR="000A156F" w:rsidTr="000A156F">
        <w:tc>
          <w:tcPr>
            <w:tcW w:w="0" w:type="auto"/>
            <w:vAlign w:val="center"/>
          </w:tcPr>
          <w:p w:rsidR="000A156F" w:rsidRDefault="00A9721F">
            <w:pPr>
              <w:pStyle w:val="TableBodyText"/>
            </w:pPr>
            <w:r>
              <w:t>UnIndentChar</w:t>
            </w:r>
          </w:p>
        </w:tc>
        <w:tc>
          <w:tcPr>
            <w:tcW w:w="0" w:type="auto"/>
            <w:vAlign w:val="center"/>
          </w:tcPr>
          <w:p w:rsidR="000A156F" w:rsidRDefault="00A9721F">
            <w:pPr>
              <w:pStyle w:val="TableBodyText"/>
            </w:pPr>
            <w:r>
              <w:t>02D0</w:t>
            </w:r>
          </w:p>
        </w:tc>
      </w:tr>
      <w:tr w:rsidR="000A156F" w:rsidTr="000A156F">
        <w:tc>
          <w:tcPr>
            <w:tcW w:w="0" w:type="auto"/>
            <w:vAlign w:val="center"/>
          </w:tcPr>
          <w:p w:rsidR="000A156F" w:rsidRDefault="00A9721F">
            <w:pPr>
              <w:pStyle w:val="TableBodyText"/>
            </w:pPr>
            <w:r>
              <w:t>UnIndentFirstChar</w:t>
            </w:r>
          </w:p>
        </w:tc>
        <w:tc>
          <w:tcPr>
            <w:tcW w:w="0" w:type="auto"/>
            <w:vAlign w:val="center"/>
          </w:tcPr>
          <w:p w:rsidR="000A156F" w:rsidRDefault="00A9721F">
            <w:pPr>
              <w:pStyle w:val="TableBodyText"/>
            </w:pPr>
            <w:r>
              <w:t>02D2</w:t>
            </w:r>
          </w:p>
        </w:tc>
      </w:tr>
      <w:tr w:rsidR="000A156F" w:rsidTr="000A156F">
        <w:tc>
          <w:tcPr>
            <w:tcW w:w="0" w:type="auto"/>
            <w:vAlign w:val="center"/>
          </w:tcPr>
          <w:p w:rsidR="000A156F" w:rsidRDefault="00A9721F">
            <w:pPr>
              <w:pStyle w:val="TableBodyText"/>
            </w:pPr>
            <w:r>
              <w:t>UnIndentFirstLine</w:t>
            </w:r>
          </w:p>
        </w:tc>
        <w:tc>
          <w:tcPr>
            <w:tcW w:w="0" w:type="auto"/>
            <w:vAlign w:val="center"/>
          </w:tcPr>
          <w:p w:rsidR="000A156F" w:rsidRDefault="00A9721F">
            <w:pPr>
              <w:pStyle w:val="TableBodyText"/>
            </w:pPr>
            <w:r>
              <w:t>02F3</w:t>
            </w:r>
          </w:p>
        </w:tc>
      </w:tr>
      <w:tr w:rsidR="000A156F" w:rsidTr="000A156F">
        <w:tc>
          <w:tcPr>
            <w:tcW w:w="0" w:type="auto"/>
            <w:vAlign w:val="center"/>
          </w:tcPr>
          <w:p w:rsidR="000A156F" w:rsidRDefault="00A9721F">
            <w:pPr>
              <w:pStyle w:val="TableBodyText"/>
            </w:pPr>
            <w:r>
              <w:t>UnIndentLine</w:t>
            </w:r>
          </w:p>
        </w:tc>
        <w:tc>
          <w:tcPr>
            <w:tcW w:w="0" w:type="auto"/>
            <w:vAlign w:val="center"/>
          </w:tcPr>
          <w:p w:rsidR="000A156F" w:rsidRDefault="00A9721F">
            <w:pPr>
              <w:pStyle w:val="TableBodyText"/>
            </w:pPr>
            <w:r>
              <w:t>02F5</w:t>
            </w:r>
          </w:p>
        </w:tc>
      </w:tr>
      <w:tr w:rsidR="000A156F" w:rsidTr="000A156F">
        <w:tc>
          <w:tcPr>
            <w:tcW w:w="0" w:type="auto"/>
            <w:vAlign w:val="center"/>
          </w:tcPr>
          <w:p w:rsidR="000A156F" w:rsidRDefault="00A9721F">
            <w:pPr>
              <w:pStyle w:val="TableBodyText"/>
            </w:pPr>
            <w:r>
              <w:t>Underline</w:t>
            </w:r>
          </w:p>
        </w:tc>
        <w:tc>
          <w:tcPr>
            <w:tcW w:w="0" w:type="auto"/>
            <w:vAlign w:val="center"/>
          </w:tcPr>
          <w:p w:rsidR="000A156F" w:rsidRDefault="00A9721F">
            <w:pPr>
              <w:pStyle w:val="TableBodyText"/>
            </w:pPr>
            <w:r>
              <w:t>0033</w:t>
            </w:r>
          </w:p>
        </w:tc>
      </w:tr>
      <w:tr w:rsidR="000A156F" w:rsidTr="000A156F">
        <w:tc>
          <w:tcPr>
            <w:tcW w:w="0" w:type="auto"/>
            <w:vAlign w:val="center"/>
          </w:tcPr>
          <w:p w:rsidR="000A156F" w:rsidRDefault="00A9721F">
            <w:pPr>
              <w:pStyle w:val="TableBodyText"/>
            </w:pPr>
            <w:r>
              <w:t>UnderlineColor</w:t>
            </w:r>
          </w:p>
        </w:tc>
        <w:tc>
          <w:tcPr>
            <w:tcW w:w="0" w:type="auto"/>
            <w:vAlign w:val="center"/>
          </w:tcPr>
          <w:p w:rsidR="000A156F" w:rsidRDefault="00A9721F">
            <w:pPr>
              <w:pStyle w:val="TableBodyText"/>
            </w:pPr>
            <w:r>
              <w:t>0311</w:t>
            </w:r>
          </w:p>
        </w:tc>
      </w:tr>
      <w:tr w:rsidR="000A156F" w:rsidTr="000A156F">
        <w:tc>
          <w:tcPr>
            <w:tcW w:w="0" w:type="auto"/>
            <w:vAlign w:val="center"/>
          </w:tcPr>
          <w:p w:rsidR="000A156F" w:rsidRDefault="00A9721F">
            <w:pPr>
              <w:pStyle w:val="TableBodyText"/>
            </w:pPr>
            <w:r>
              <w:t>UnderlineColorPicker</w:t>
            </w:r>
          </w:p>
        </w:tc>
        <w:tc>
          <w:tcPr>
            <w:tcW w:w="0" w:type="auto"/>
            <w:vAlign w:val="center"/>
          </w:tcPr>
          <w:p w:rsidR="000A156F" w:rsidRDefault="00A9721F">
            <w:pPr>
              <w:pStyle w:val="TableBodyText"/>
            </w:pPr>
            <w:r>
              <w:t>08C0</w:t>
            </w:r>
          </w:p>
        </w:tc>
      </w:tr>
      <w:tr w:rsidR="000A156F" w:rsidTr="000A156F">
        <w:tc>
          <w:tcPr>
            <w:tcW w:w="0" w:type="auto"/>
            <w:vAlign w:val="center"/>
          </w:tcPr>
          <w:p w:rsidR="000A156F" w:rsidRDefault="00A9721F">
            <w:pPr>
              <w:pStyle w:val="TableBodyText"/>
            </w:pPr>
            <w:r>
              <w:t>UnderlineGallery</w:t>
            </w:r>
          </w:p>
        </w:tc>
        <w:tc>
          <w:tcPr>
            <w:tcW w:w="0" w:type="auto"/>
            <w:vAlign w:val="center"/>
          </w:tcPr>
          <w:p w:rsidR="000A156F" w:rsidRDefault="00A9721F">
            <w:pPr>
              <w:pStyle w:val="TableBodyText"/>
            </w:pPr>
            <w:r>
              <w:t>08BF</w:t>
            </w:r>
          </w:p>
        </w:tc>
      </w:tr>
      <w:tr w:rsidR="000A156F" w:rsidTr="000A156F">
        <w:tc>
          <w:tcPr>
            <w:tcW w:w="0" w:type="auto"/>
            <w:vAlign w:val="center"/>
          </w:tcPr>
          <w:p w:rsidR="000A156F" w:rsidRDefault="00A9721F">
            <w:pPr>
              <w:pStyle w:val="TableBodyText"/>
            </w:pPr>
            <w:r>
              <w:t>UnderlineStyle</w:t>
            </w:r>
          </w:p>
        </w:tc>
        <w:tc>
          <w:tcPr>
            <w:tcW w:w="0" w:type="auto"/>
            <w:vAlign w:val="center"/>
          </w:tcPr>
          <w:p w:rsidR="000A156F" w:rsidRDefault="00A9721F">
            <w:pPr>
              <w:pStyle w:val="TableBodyText"/>
            </w:pPr>
            <w:r>
              <w:t>048B</w:t>
            </w:r>
          </w:p>
        </w:tc>
      </w:tr>
      <w:tr w:rsidR="000A156F" w:rsidTr="000A156F">
        <w:tc>
          <w:tcPr>
            <w:tcW w:w="0" w:type="auto"/>
            <w:vAlign w:val="center"/>
          </w:tcPr>
          <w:p w:rsidR="000A156F" w:rsidRDefault="00A9721F">
            <w:pPr>
              <w:pStyle w:val="TableBodyText"/>
            </w:pPr>
            <w:r>
              <w:t>UnlinkFields</w:t>
            </w:r>
          </w:p>
        </w:tc>
        <w:tc>
          <w:tcPr>
            <w:tcW w:w="0" w:type="auto"/>
            <w:vAlign w:val="center"/>
          </w:tcPr>
          <w:p w:rsidR="000A156F" w:rsidRDefault="00A9721F">
            <w:pPr>
              <w:pStyle w:val="TableBodyText"/>
            </w:pPr>
            <w:r>
              <w:t>0021</w:t>
            </w:r>
          </w:p>
        </w:tc>
      </w:tr>
      <w:tr w:rsidR="000A156F" w:rsidTr="000A156F">
        <w:tc>
          <w:tcPr>
            <w:tcW w:w="0" w:type="auto"/>
            <w:vAlign w:val="center"/>
          </w:tcPr>
          <w:p w:rsidR="000A156F" w:rsidRDefault="00A9721F">
            <w:pPr>
              <w:pStyle w:val="TableBodyText"/>
            </w:pPr>
            <w:r>
              <w:t>UnlinkFieldsVBA</w:t>
            </w:r>
          </w:p>
        </w:tc>
        <w:tc>
          <w:tcPr>
            <w:tcW w:w="0" w:type="auto"/>
            <w:vAlign w:val="center"/>
          </w:tcPr>
          <w:p w:rsidR="000A156F" w:rsidRDefault="00A9721F">
            <w:pPr>
              <w:pStyle w:val="TableBodyText"/>
            </w:pPr>
            <w:r>
              <w:t>0373</w:t>
            </w:r>
          </w:p>
        </w:tc>
      </w:tr>
      <w:tr w:rsidR="000A156F" w:rsidTr="000A156F">
        <w:tc>
          <w:tcPr>
            <w:tcW w:w="0" w:type="auto"/>
            <w:vAlign w:val="center"/>
          </w:tcPr>
          <w:p w:rsidR="000A156F" w:rsidRDefault="00A9721F">
            <w:pPr>
              <w:pStyle w:val="TableBodyText"/>
            </w:pPr>
            <w:r>
              <w:t>UnlockFields</w:t>
            </w:r>
          </w:p>
        </w:tc>
        <w:tc>
          <w:tcPr>
            <w:tcW w:w="0" w:type="auto"/>
            <w:vAlign w:val="center"/>
          </w:tcPr>
          <w:p w:rsidR="000A156F" w:rsidRDefault="00A9721F">
            <w:pPr>
              <w:pStyle w:val="TableBodyText"/>
            </w:pPr>
            <w:r>
              <w:t>0024</w:t>
            </w:r>
          </w:p>
        </w:tc>
      </w:tr>
      <w:tr w:rsidR="000A156F" w:rsidTr="000A156F">
        <w:tc>
          <w:tcPr>
            <w:tcW w:w="0" w:type="auto"/>
            <w:vAlign w:val="center"/>
          </w:tcPr>
          <w:p w:rsidR="000A156F" w:rsidRDefault="00A9721F">
            <w:pPr>
              <w:pStyle w:val="TableBodyText"/>
            </w:pPr>
            <w:r>
              <w:t>UnlockPolicyLabel</w:t>
            </w:r>
          </w:p>
        </w:tc>
        <w:tc>
          <w:tcPr>
            <w:tcW w:w="0" w:type="auto"/>
            <w:vAlign w:val="center"/>
          </w:tcPr>
          <w:p w:rsidR="000A156F" w:rsidRDefault="00A9721F">
            <w:pPr>
              <w:pStyle w:val="TableBodyText"/>
            </w:pPr>
            <w:r>
              <w:t>0784</w:t>
            </w:r>
          </w:p>
        </w:tc>
      </w:tr>
      <w:tr w:rsidR="000A156F" w:rsidTr="000A156F">
        <w:tc>
          <w:tcPr>
            <w:tcW w:w="0" w:type="auto"/>
            <w:vAlign w:val="center"/>
          </w:tcPr>
          <w:p w:rsidR="000A156F" w:rsidRDefault="00A9721F">
            <w:pPr>
              <w:pStyle w:val="TableBodyText"/>
            </w:pPr>
            <w:r>
              <w:t>UpdateBibliography</w:t>
            </w:r>
          </w:p>
        </w:tc>
        <w:tc>
          <w:tcPr>
            <w:tcW w:w="0" w:type="auto"/>
            <w:vAlign w:val="center"/>
          </w:tcPr>
          <w:p w:rsidR="000A156F" w:rsidRDefault="00A9721F">
            <w:pPr>
              <w:pStyle w:val="TableBodyText"/>
            </w:pPr>
            <w:r>
              <w:t>09A6</w:t>
            </w:r>
          </w:p>
        </w:tc>
      </w:tr>
      <w:tr w:rsidR="000A156F" w:rsidTr="000A156F">
        <w:tc>
          <w:tcPr>
            <w:tcW w:w="0" w:type="auto"/>
            <w:vAlign w:val="center"/>
          </w:tcPr>
          <w:p w:rsidR="000A156F" w:rsidRDefault="00A9721F">
            <w:pPr>
              <w:pStyle w:val="TableBodyText"/>
            </w:pPr>
            <w:r>
              <w:t>UpdateFields</w:t>
            </w:r>
          </w:p>
        </w:tc>
        <w:tc>
          <w:tcPr>
            <w:tcW w:w="0" w:type="auto"/>
            <w:vAlign w:val="center"/>
          </w:tcPr>
          <w:p w:rsidR="000A156F" w:rsidRDefault="00A9721F">
            <w:pPr>
              <w:pStyle w:val="TableBodyText"/>
            </w:pPr>
            <w:r>
              <w:t>0020</w:t>
            </w:r>
          </w:p>
        </w:tc>
      </w:tr>
      <w:tr w:rsidR="000A156F" w:rsidTr="000A156F">
        <w:tc>
          <w:tcPr>
            <w:tcW w:w="0" w:type="auto"/>
            <w:vAlign w:val="center"/>
          </w:tcPr>
          <w:p w:rsidR="000A156F" w:rsidRDefault="00A9721F">
            <w:pPr>
              <w:pStyle w:val="TableBodyText"/>
            </w:pPr>
            <w:r>
              <w:t>UpdateFieldsIndex</w:t>
            </w:r>
          </w:p>
        </w:tc>
        <w:tc>
          <w:tcPr>
            <w:tcW w:w="0" w:type="auto"/>
            <w:vAlign w:val="center"/>
          </w:tcPr>
          <w:p w:rsidR="000A156F" w:rsidRDefault="00A9721F">
            <w:pPr>
              <w:pStyle w:val="TableBodyText"/>
            </w:pPr>
            <w:r>
              <w:t>081B</w:t>
            </w:r>
          </w:p>
        </w:tc>
      </w:tr>
      <w:tr w:rsidR="000A156F" w:rsidTr="000A156F">
        <w:tc>
          <w:tcPr>
            <w:tcW w:w="0" w:type="auto"/>
            <w:vAlign w:val="center"/>
          </w:tcPr>
          <w:p w:rsidR="000A156F" w:rsidRDefault="00A9721F">
            <w:pPr>
              <w:pStyle w:val="TableBodyText"/>
            </w:pPr>
            <w:r>
              <w:t>UpdateFieldsTable</w:t>
            </w:r>
          </w:p>
        </w:tc>
        <w:tc>
          <w:tcPr>
            <w:tcW w:w="0" w:type="auto"/>
            <w:vAlign w:val="center"/>
          </w:tcPr>
          <w:p w:rsidR="000A156F" w:rsidRDefault="00A9721F">
            <w:pPr>
              <w:pStyle w:val="TableBodyText"/>
            </w:pPr>
            <w:r>
              <w:t>081A</w:t>
            </w:r>
          </w:p>
        </w:tc>
      </w:tr>
      <w:tr w:rsidR="000A156F" w:rsidTr="000A156F">
        <w:tc>
          <w:tcPr>
            <w:tcW w:w="0" w:type="auto"/>
            <w:vAlign w:val="center"/>
          </w:tcPr>
          <w:p w:rsidR="000A156F" w:rsidRDefault="00A9721F">
            <w:pPr>
              <w:pStyle w:val="TableBodyText"/>
            </w:pPr>
            <w:r>
              <w:t>UpdateFieldsToa</w:t>
            </w:r>
          </w:p>
        </w:tc>
        <w:tc>
          <w:tcPr>
            <w:tcW w:w="0" w:type="auto"/>
            <w:vAlign w:val="center"/>
          </w:tcPr>
          <w:p w:rsidR="000A156F" w:rsidRDefault="00A9721F">
            <w:pPr>
              <w:pStyle w:val="TableBodyText"/>
            </w:pPr>
            <w:r>
              <w:t>0947</w:t>
            </w:r>
          </w:p>
        </w:tc>
      </w:tr>
      <w:tr w:rsidR="000A156F" w:rsidTr="000A156F">
        <w:tc>
          <w:tcPr>
            <w:tcW w:w="0" w:type="auto"/>
            <w:vAlign w:val="center"/>
          </w:tcPr>
          <w:p w:rsidR="000A156F" w:rsidRDefault="00A9721F">
            <w:pPr>
              <w:pStyle w:val="TableBodyText"/>
            </w:pPr>
            <w:r>
              <w:t>UpdateFieldsTof</w:t>
            </w:r>
          </w:p>
        </w:tc>
        <w:tc>
          <w:tcPr>
            <w:tcW w:w="0" w:type="auto"/>
            <w:vAlign w:val="center"/>
          </w:tcPr>
          <w:p w:rsidR="000A156F" w:rsidRDefault="00A9721F">
            <w:pPr>
              <w:pStyle w:val="TableBodyText"/>
            </w:pPr>
            <w:r>
              <w:t>0948</w:t>
            </w:r>
          </w:p>
        </w:tc>
      </w:tr>
      <w:tr w:rsidR="000A156F" w:rsidTr="000A156F">
        <w:tc>
          <w:tcPr>
            <w:tcW w:w="0" w:type="auto"/>
            <w:vAlign w:val="center"/>
          </w:tcPr>
          <w:p w:rsidR="000A156F" w:rsidRDefault="00A9721F">
            <w:pPr>
              <w:pStyle w:val="TableBodyText"/>
            </w:pPr>
            <w:r>
              <w:t>UpdateFieldsVBA</w:t>
            </w:r>
          </w:p>
        </w:tc>
        <w:tc>
          <w:tcPr>
            <w:tcW w:w="0" w:type="auto"/>
            <w:vAlign w:val="center"/>
          </w:tcPr>
          <w:p w:rsidR="000A156F" w:rsidRDefault="00A9721F">
            <w:pPr>
              <w:pStyle w:val="TableBodyText"/>
            </w:pPr>
            <w:r>
              <w:t>0370</w:t>
            </w:r>
          </w:p>
        </w:tc>
      </w:tr>
      <w:tr w:rsidR="000A156F" w:rsidTr="000A156F">
        <w:tc>
          <w:tcPr>
            <w:tcW w:w="0" w:type="auto"/>
            <w:vAlign w:val="center"/>
          </w:tcPr>
          <w:p w:rsidR="000A156F" w:rsidRDefault="00A9721F">
            <w:pPr>
              <w:pStyle w:val="TableBodyText"/>
            </w:pPr>
            <w:r>
              <w:t>UpdatePolicyLabels</w:t>
            </w:r>
          </w:p>
        </w:tc>
        <w:tc>
          <w:tcPr>
            <w:tcW w:w="0" w:type="auto"/>
            <w:vAlign w:val="center"/>
          </w:tcPr>
          <w:p w:rsidR="000A156F" w:rsidRDefault="00A9721F">
            <w:pPr>
              <w:pStyle w:val="TableBodyText"/>
            </w:pPr>
            <w:r>
              <w:t>0825</w:t>
            </w:r>
          </w:p>
        </w:tc>
      </w:tr>
      <w:tr w:rsidR="000A156F" w:rsidTr="000A156F">
        <w:tc>
          <w:tcPr>
            <w:tcW w:w="0" w:type="auto"/>
            <w:vAlign w:val="center"/>
          </w:tcPr>
          <w:p w:rsidR="000A156F" w:rsidRDefault="00A9721F">
            <w:pPr>
              <w:pStyle w:val="TableBodyText"/>
            </w:pPr>
            <w:r>
              <w:t>UpdateSource</w:t>
            </w:r>
          </w:p>
        </w:tc>
        <w:tc>
          <w:tcPr>
            <w:tcW w:w="0" w:type="auto"/>
            <w:vAlign w:val="center"/>
          </w:tcPr>
          <w:p w:rsidR="000A156F" w:rsidRDefault="00A9721F">
            <w:pPr>
              <w:pStyle w:val="TableBodyText"/>
            </w:pPr>
            <w:r>
              <w:t>0025</w:t>
            </w:r>
          </w:p>
        </w:tc>
      </w:tr>
      <w:tr w:rsidR="000A156F" w:rsidTr="000A156F">
        <w:tc>
          <w:tcPr>
            <w:tcW w:w="0" w:type="auto"/>
            <w:vAlign w:val="center"/>
          </w:tcPr>
          <w:p w:rsidR="000A156F" w:rsidRDefault="00A9721F">
            <w:pPr>
              <w:pStyle w:val="TableBodyText"/>
            </w:pPr>
            <w:r>
              <w:t>UpdateStyle</w:t>
            </w:r>
          </w:p>
        </w:tc>
        <w:tc>
          <w:tcPr>
            <w:tcW w:w="0" w:type="auto"/>
            <w:vAlign w:val="center"/>
          </w:tcPr>
          <w:p w:rsidR="000A156F" w:rsidRDefault="00A9721F">
            <w:pPr>
              <w:pStyle w:val="TableBodyText"/>
            </w:pPr>
            <w:r>
              <w:t>079D</w:t>
            </w:r>
          </w:p>
        </w:tc>
      </w:tr>
      <w:tr w:rsidR="000A156F" w:rsidTr="000A156F">
        <w:tc>
          <w:tcPr>
            <w:tcW w:w="0" w:type="auto"/>
            <w:vAlign w:val="center"/>
          </w:tcPr>
          <w:p w:rsidR="000A156F" w:rsidRDefault="00A9721F">
            <w:pPr>
              <w:pStyle w:val="TableBodyText"/>
            </w:pPr>
            <w:r>
              <w:t>UpdateTableOfContents</w:t>
            </w:r>
          </w:p>
        </w:tc>
        <w:tc>
          <w:tcPr>
            <w:tcW w:w="0" w:type="auto"/>
            <w:vAlign w:val="center"/>
          </w:tcPr>
          <w:p w:rsidR="000A156F" w:rsidRDefault="00A9721F">
            <w:pPr>
              <w:pStyle w:val="TableBodyText"/>
            </w:pPr>
            <w:r>
              <w:t>056E</w:t>
            </w:r>
          </w:p>
        </w:tc>
      </w:tr>
      <w:tr w:rsidR="000A156F" w:rsidTr="000A156F">
        <w:tc>
          <w:tcPr>
            <w:tcW w:w="0" w:type="auto"/>
            <w:vAlign w:val="center"/>
          </w:tcPr>
          <w:p w:rsidR="000A156F" w:rsidRDefault="00A9721F">
            <w:pPr>
              <w:pStyle w:val="TableBodyText"/>
            </w:pPr>
            <w:r>
              <w:t>UpdateToc</w:t>
            </w:r>
          </w:p>
        </w:tc>
        <w:tc>
          <w:tcPr>
            <w:tcW w:w="0" w:type="auto"/>
            <w:vAlign w:val="center"/>
          </w:tcPr>
          <w:p w:rsidR="000A156F" w:rsidRDefault="00A9721F">
            <w:pPr>
              <w:pStyle w:val="TableBodyText"/>
            </w:pPr>
            <w:r>
              <w:t>014B</w:t>
            </w:r>
          </w:p>
        </w:tc>
      </w:tr>
      <w:tr w:rsidR="000A156F" w:rsidTr="000A156F">
        <w:tc>
          <w:tcPr>
            <w:tcW w:w="0" w:type="auto"/>
            <w:vAlign w:val="center"/>
          </w:tcPr>
          <w:p w:rsidR="000A156F" w:rsidRDefault="00A9721F">
            <w:pPr>
              <w:pStyle w:val="TableBodyText"/>
            </w:pPr>
            <w:r>
              <w:t>UpdateTocFull</w:t>
            </w:r>
          </w:p>
        </w:tc>
        <w:tc>
          <w:tcPr>
            <w:tcW w:w="0" w:type="auto"/>
            <w:vAlign w:val="center"/>
          </w:tcPr>
          <w:p w:rsidR="000A156F" w:rsidRDefault="00A9721F">
            <w:pPr>
              <w:pStyle w:val="TableBodyText"/>
            </w:pPr>
            <w:r>
              <w:t>03AD</w:t>
            </w:r>
          </w:p>
        </w:tc>
      </w:tr>
      <w:tr w:rsidR="000A156F" w:rsidTr="000A156F">
        <w:tc>
          <w:tcPr>
            <w:tcW w:w="0" w:type="auto"/>
            <w:vAlign w:val="center"/>
          </w:tcPr>
          <w:p w:rsidR="000A156F" w:rsidRDefault="00A9721F">
            <w:pPr>
              <w:pStyle w:val="TableBodyText"/>
            </w:pPr>
            <w:r>
              <w:t>UpgradeDocument</w:t>
            </w:r>
          </w:p>
        </w:tc>
        <w:tc>
          <w:tcPr>
            <w:tcW w:w="0" w:type="auto"/>
            <w:vAlign w:val="center"/>
          </w:tcPr>
          <w:p w:rsidR="000A156F" w:rsidRDefault="00A9721F">
            <w:pPr>
              <w:pStyle w:val="TableBodyText"/>
            </w:pPr>
            <w:r>
              <w:t>0940</w:t>
            </w:r>
          </w:p>
        </w:tc>
      </w:tr>
      <w:tr w:rsidR="000A156F" w:rsidTr="000A156F">
        <w:tc>
          <w:tcPr>
            <w:tcW w:w="0" w:type="auto"/>
            <w:vAlign w:val="center"/>
          </w:tcPr>
          <w:p w:rsidR="000A156F" w:rsidRDefault="00A9721F">
            <w:pPr>
              <w:pStyle w:val="TableBodyText"/>
            </w:pPr>
            <w:r>
              <w:t>UseBalloons</w:t>
            </w:r>
          </w:p>
        </w:tc>
        <w:tc>
          <w:tcPr>
            <w:tcW w:w="0" w:type="auto"/>
            <w:vAlign w:val="center"/>
          </w:tcPr>
          <w:p w:rsidR="000A156F" w:rsidRDefault="00A9721F">
            <w:pPr>
              <w:pStyle w:val="TableBodyText"/>
            </w:pPr>
            <w:r>
              <w:t>05A7</w:t>
            </w:r>
          </w:p>
        </w:tc>
      </w:tr>
      <w:tr w:rsidR="000A156F" w:rsidTr="000A156F">
        <w:tc>
          <w:tcPr>
            <w:tcW w:w="0" w:type="auto"/>
            <w:vAlign w:val="center"/>
          </w:tcPr>
          <w:p w:rsidR="000A156F" w:rsidRDefault="00A9721F">
            <w:pPr>
              <w:pStyle w:val="TableBodyText"/>
            </w:pPr>
            <w:r>
              <w:t>UserDialog</w:t>
            </w:r>
          </w:p>
        </w:tc>
        <w:tc>
          <w:tcPr>
            <w:tcW w:w="0" w:type="auto"/>
            <w:vAlign w:val="center"/>
          </w:tcPr>
          <w:p w:rsidR="000A156F" w:rsidRDefault="00A9721F">
            <w:pPr>
              <w:pStyle w:val="TableBodyText"/>
            </w:pPr>
            <w:r>
              <w:t>0129</w:t>
            </w:r>
          </w:p>
        </w:tc>
      </w:tr>
      <w:tr w:rsidR="000A156F" w:rsidTr="000A156F">
        <w:tc>
          <w:tcPr>
            <w:tcW w:w="0" w:type="auto"/>
            <w:vAlign w:val="center"/>
          </w:tcPr>
          <w:p w:rsidR="000A156F" w:rsidRDefault="00A9721F">
            <w:pPr>
              <w:pStyle w:val="TableBodyText"/>
            </w:pPr>
            <w:r>
              <w:lastRenderedPageBreak/>
              <w:t>UxGalWordTableStyles</w:t>
            </w:r>
          </w:p>
        </w:tc>
        <w:tc>
          <w:tcPr>
            <w:tcW w:w="0" w:type="auto"/>
            <w:vAlign w:val="center"/>
          </w:tcPr>
          <w:p w:rsidR="000A156F" w:rsidRDefault="00A9721F">
            <w:pPr>
              <w:pStyle w:val="TableBodyText"/>
            </w:pPr>
            <w:r>
              <w:t>08EF</w:t>
            </w:r>
          </w:p>
        </w:tc>
      </w:tr>
      <w:tr w:rsidR="000A156F" w:rsidTr="000A156F">
        <w:tc>
          <w:tcPr>
            <w:tcW w:w="0" w:type="auto"/>
            <w:vAlign w:val="center"/>
          </w:tcPr>
          <w:p w:rsidR="000A156F" w:rsidRDefault="00A9721F">
            <w:pPr>
              <w:pStyle w:val="TableBodyText"/>
            </w:pPr>
            <w:r>
              <w:t>ViewAnnotations</w:t>
            </w:r>
          </w:p>
        </w:tc>
        <w:tc>
          <w:tcPr>
            <w:tcW w:w="0" w:type="auto"/>
            <w:vAlign w:val="center"/>
          </w:tcPr>
          <w:p w:rsidR="000A156F" w:rsidRDefault="00A9721F">
            <w:pPr>
              <w:pStyle w:val="TableBodyText"/>
            </w:pPr>
            <w:r>
              <w:t>009D</w:t>
            </w:r>
          </w:p>
        </w:tc>
      </w:tr>
      <w:tr w:rsidR="000A156F" w:rsidTr="000A156F">
        <w:tc>
          <w:tcPr>
            <w:tcW w:w="0" w:type="auto"/>
            <w:vAlign w:val="center"/>
          </w:tcPr>
          <w:p w:rsidR="000A156F" w:rsidRDefault="00A9721F">
            <w:pPr>
              <w:pStyle w:val="TableBodyText"/>
            </w:pPr>
            <w:r>
              <w:t>ViewBorderToolbar</w:t>
            </w:r>
          </w:p>
        </w:tc>
        <w:tc>
          <w:tcPr>
            <w:tcW w:w="0" w:type="auto"/>
            <w:vAlign w:val="center"/>
          </w:tcPr>
          <w:p w:rsidR="000A156F" w:rsidRDefault="00A9721F">
            <w:pPr>
              <w:pStyle w:val="TableBodyText"/>
            </w:pPr>
            <w:r>
              <w:t>025C</w:t>
            </w:r>
          </w:p>
        </w:tc>
      </w:tr>
      <w:tr w:rsidR="000A156F" w:rsidTr="000A156F">
        <w:tc>
          <w:tcPr>
            <w:tcW w:w="0" w:type="auto"/>
            <w:vAlign w:val="center"/>
          </w:tcPr>
          <w:p w:rsidR="000A156F" w:rsidRDefault="00A9721F">
            <w:pPr>
              <w:pStyle w:val="TableBodyText"/>
            </w:pPr>
            <w:r>
              <w:t>ViewChanges</w:t>
            </w:r>
          </w:p>
        </w:tc>
        <w:tc>
          <w:tcPr>
            <w:tcW w:w="0" w:type="auto"/>
            <w:vAlign w:val="center"/>
          </w:tcPr>
          <w:p w:rsidR="000A156F" w:rsidRDefault="00A9721F">
            <w:pPr>
              <w:pStyle w:val="TableBodyText"/>
            </w:pPr>
            <w:r>
              <w:t>0504</w:t>
            </w:r>
          </w:p>
        </w:tc>
      </w:tr>
      <w:tr w:rsidR="000A156F" w:rsidTr="000A156F">
        <w:tc>
          <w:tcPr>
            <w:tcW w:w="0" w:type="auto"/>
            <w:vAlign w:val="center"/>
          </w:tcPr>
          <w:p w:rsidR="000A156F" w:rsidRDefault="00A9721F">
            <w:pPr>
              <w:pStyle w:val="TableBodyText"/>
            </w:pPr>
            <w:r>
              <w:t>ViewCode</w:t>
            </w:r>
          </w:p>
        </w:tc>
        <w:tc>
          <w:tcPr>
            <w:tcW w:w="0" w:type="auto"/>
            <w:vAlign w:val="center"/>
          </w:tcPr>
          <w:p w:rsidR="000A156F" w:rsidRDefault="00A9721F">
            <w:pPr>
              <w:pStyle w:val="TableBodyText"/>
            </w:pPr>
            <w:r>
              <w:t>036E</w:t>
            </w:r>
          </w:p>
        </w:tc>
      </w:tr>
      <w:tr w:rsidR="000A156F" w:rsidTr="000A156F">
        <w:tc>
          <w:tcPr>
            <w:tcW w:w="0" w:type="auto"/>
            <w:vAlign w:val="center"/>
          </w:tcPr>
          <w:p w:rsidR="000A156F" w:rsidRDefault="00A9721F">
            <w:pPr>
              <w:pStyle w:val="TableBodyText"/>
            </w:pPr>
            <w:r>
              <w:t>ViewControlToolbox</w:t>
            </w:r>
          </w:p>
        </w:tc>
        <w:tc>
          <w:tcPr>
            <w:tcW w:w="0" w:type="auto"/>
            <w:vAlign w:val="center"/>
          </w:tcPr>
          <w:p w:rsidR="000A156F" w:rsidRDefault="00A9721F">
            <w:pPr>
              <w:pStyle w:val="TableBodyText"/>
            </w:pPr>
            <w:r>
              <w:t>1BAF</w:t>
            </w:r>
          </w:p>
        </w:tc>
      </w:tr>
      <w:tr w:rsidR="000A156F" w:rsidTr="000A156F">
        <w:tc>
          <w:tcPr>
            <w:tcW w:w="0" w:type="auto"/>
            <w:vAlign w:val="center"/>
          </w:tcPr>
          <w:p w:rsidR="000A156F" w:rsidRDefault="00A9721F">
            <w:pPr>
              <w:pStyle w:val="TableBodyText"/>
            </w:pPr>
            <w:r>
              <w:t>ViewDocumentMap</w:t>
            </w:r>
          </w:p>
        </w:tc>
        <w:tc>
          <w:tcPr>
            <w:tcW w:w="0" w:type="auto"/>
            <w:vAlign w:val="center"/>
          </w:tcPr>
          <w:p w:rsidR="000A156F" w:rsidRDefault="00A9721F">
            <w:pPr>
              <w:pStyle w:val="TableBodyText"/>
            </w:pPr>
            <w:r>
              <w:t>03B0</w:t>
            </w:r>
          </w:p>
        </w:tc>
      </w:tr>
      <w:tr w:rsidR="000A156F" w:rsidTr="000A156F">
        <w:tc>
          <w:tcPr>
            <w:tcW w:w="0" w:type="auto"/>
            <w:vAlign w:val="center"/>
          </w:tcPr>
          <w:p w:rsidR="000A156F" w:rsidRDefault="00A9721F">
            <w:pPr>
              <w:pStyle w:val="TableBodyText"/>
            </w:pPr>
            <w:r>
              <w:t>ViewDocumentMapReadingMode</w:t>
            </w:r>
          </w:p>
        </w:tc>
        <w:tc>
          <w:tcPr>
            <w:tcW w:w="0" w:type="auto"/>
            <w:vAlign w:val="center"/>
          </w:tcPr>
          <w:p w:rsidR="000A156F" w:rsidRDefault="00A9721F">
            <w:pPr>
              <w:pStyle w:val="TableBodyText"/>
            </w:pPr>
            <w:r>
              <w:t>05B6</w:t>
            </w:r>
          </w:p>
        </w:tc>
      </w:tr>
      <w:tr w:rsidR="000A156F" w:rsidTr="000A156F">
        <w:tc>
          <w:tcPr>
            <w:tcW w:w="0" w:type="auto"/>
            <w:vAlign w:val="center"/>
          </w:tcPr>
          <w:p w:rsidR="000A156F" w:rsidRDefault="00A9721F">
            <w:pPr>
              <w:pStyle w:val="TableBodyText"/>
            </w:pPr>
            <w:r>
              <w:t>ViewDraft</w:t>
            </w:r>
          </w:p>
        </w:tc>
        <w:tc>
          <w:tcPr>
            <w:tcW w:w="0" w:type="auto"/>
            <w:vAlign w:val="center"/>
          </w:tcPr>
          <w:p w:rsidR="000A156F" w:rsidRDefault="00A9721F">
            <w:pPr>
              <w:pStyle w:val="TableBodyText"/>
            </w:pPr>
            <w:r>
              <w:t>0095</w:t>
            </w:r>
          </w:p>
        </w:tc>
      </w:tr>
      <w:tr w:rsidR="000A156F" w:rsidTr="000A156F">
        <w:tc>
          <w:tcPr>
            <w:tcW w:w="0" w:type="auto"/>
            <w:vAlign w:val="center"/>
          </w:tcPr>
          <w:p w:rsidR="000A156F" w:rsidRDefault="00A9721F">
            <w:pPr>
              <w:pStyle w:val="TableBodyText"/>
            </w:pPr>
            <w:r>
              <w:t>ViewDrawingToolbar</w:t>
            </w:r>
          </w:p>
        </w:tc>
        <w:tc>
          <w:tcPr>
            <w:tcW w:w="0" w:type="auto"/>
            <w:vAlign w:val="center"/>
          </w:tcPr>
          <w:p w:rsidR="000A156F" w:rsidRDefault="00A9721F">
            <w:pPr>
              <w:pStyle w:val="TableBodyText"/>
            </w:pPr>
            <w:r>
              <w:t>025D</w:t>
            </w:r>
          </w:p>
        </w:tc>
      </w:tr>
      <w:tr w:rsidR="000A156F" w:rsidTr="000A156F">
        <w:tc>
          <w:tcPr>
            <w:tcW w:w="0" w:type="auto"/>
            <w:vAlign w:val="center"/>
          </w:tcPr>
          <w:p w:rsidR="000A156F" w:rsidRDefault="00A9721F">
            <w:pPr>
              <w:pStyle w:val="TableBodyText"/>
            </w:pPr>
            <w:r>
              <w:t>ViewEmailSource</w:t>
            </w:r>
          </w:p>
        </w:tc>
        <w:tc>
          <w:tcPr>
            <w:tcW w:w="0" w:type="auto"/>
            <w:vAlign w:val="center"/>
          </w:tcPr>
          <w:p w:rsidR="000A156F" w:rsidRDefault="00A9721F">
            <w:pPr>
              <w:pStyle w:val="TableBodyText"/>
            </w:pPr>
            <w:r>
              <w:t>0929</w:t>
            </w:r>
          </w:p>
        </w:tc>
      </w:tr>
      <w:tr w:rsidR="000A156F" w:rsidTr="000A156F">
        <w:tc>
          <w:tcPr>
            <w:tcW w:w="0" w:type="auto"/>
            <w:vAlign w:val="center"/>
          </w:tcPr>
          <w:p w:rsidR="000A156F" w:rsidRDefault="00A9721F">
            <w:pPr>
              <w:pStyle w:val="TableBodyText"/>
            </w:pPr>
            <w:r>
              <w:t>ViewEndnoteArea</w:t>
            </w:r>
          </w:p>
        </w:tc>
        <w:tc>
          <w:tcPr>
            <w:tcW w:w="0" w:type="auto"/>
            <w:vAlign w:val="center"/>
          </w:tcPr>
          <w:p w:rsidR="000A156F" w:rsidRDefault="00A9721F">
            <w:pPr>
              <w:pStyle w:val="TableBodyText"/>
            </w:pPr>
            <w:r>
              <w:t>0152</w:t>
            </w:r>
          </w:p>
        </w:tc>
      </w:tr>
      <w:tr w:rsidR="000A156F" w:rsidTr="000A156F">
        <w:tc>
          <w:tcPr>
            <w:tcW w:w="0" w:type="auto"/>
            <w:vAlign w:val="center"/>
          </w:tcPr>
          <w:p w:rsidR="000A156F" w:rsidRDefault="00A9721F">
            <w:pPr>
              <w:pStyle w:val="TableBodyText"/>
            </w:pPr>
            <w:r>
              <w:t>ViewEndnoteContNotice</w:t>
            </w:r>
          </w:p>
        </w:tc>
        <w:tc>
          <w:tcPr>
            <w:tcW w:w="0" w:type="auto"/>
            <w:vAlign w:val="center"/>
          </w:tcPr>
          <w:p w:rsidR="000A156F" w:rsidRDefault="00A9721F">
            <w:pPr>
              <w:pStyle w:val="TableBodyText"/>
            </w:pPr>
            <w:r>
              <w:t>01F2</w:t>
            </w:r>
          </w:p>
        </w:tc>
      </w:tr>
      <w:tr w:rsidR="000A156F" w:rsidTr="000A156F">
        <w:tc>
          <w:tcPr>
            <w:tcW w:w="0" w:type="auto"/>
            <w:vAlign w:val="center"/>
          </w:tcPr>
          <w:p w:rsidR="000A156F" w:rsidRDefault="00A9721F">
            <w:pPr>
              <w:pStyle w:val="TableBodyText"/>
            </w:pPr>
            <w:r>
              <w:t>ViewEndnoteContSeparator</w:t>
            </w:r>
          </w:p>
        </w:tc>
        <w:tc>
          <w:tcPr>
            <w:tcW w:w="0" w:type="auto"/>
            <w:vAlign w:val="center"/>
          </w:tcPr>
          <w:p w:rsidR="000A156F" w:rsidRDefault="00A9721F">
            <w:pPr>
              <w:pStyle w:val="TableBodyText"/>
            </w:pPr>
            <w:r>
              <w:t>01F1</w:t>
            </w:r>
          </w:p>
        </w:tc>
      </w:tr>
      <w:tr w:rsidR="000A156F" w:rsidTr="000A156F">
        <w:tc>
          <w:tcPr>
            <w:tcW w:w="0" w:type="auto"/>
            <w:vAlign w:val="center"/>
          </w:tcPr>
          <w:p w:rsidR="000A156F" w:rsidRDefault="00A9721F">
            <w:pPr>
              <w:pStyle w:val="TableBodyText"/>
            </w:pPr>
            <w:r>
              <w:t>ViewEndnoteSeparator</w:t>
            </w:r>
          </w:p>
        </w:tc>
        <w:tc>
          <w:tcPr>
            <w:tcW w:w="0" w:type="auto"/>
            <w:vAlign w:val="center"/>
          </w:tcPr>
          <w:p w:rsidR="000A156F" w:rsidRDefault="00A9721F">
            <w:pPr>
              <w:pStyle w:val="TableBodyText"/>
            </w:pPr>
            <w:r>
              <w:t>01F0</w:t>
            </w:r>
          </w:p>
        </w:tc>
      </w:tr>
      <w:tr w:rsidR="000A156F" w:rsidTr="000A156F">
        <w:tc>
          <w:tcPr>
            <w:tcW w:w="0" w:type="auto"/>
            <w:vAlign w:val="center"/>
          </w:tcPr>
          <w:p w:rsidR="000A156F" w:rsidRDefault="00A9721F">
            <w:pPr>
              <w:pStyle w:val="TableBodyText"/>
            </w:pPr>
            <w:r>
              <w:t>ViewFieldCodes</w:t>
            </w:r>
          </w:p>
        </w:tc>
        <w:tc>
          <w:tcPr>
            <w:tcW w:w="0" w:type="auto"/>
            <w:vAlign w:val="center"/>
          </w:tcPr>
          <w:p w:rsidR="000A156F" w:rsidRDefault="00A9721F">
            <w:pPr>
              <w:pStyle w:val="TableBodyText"/>
            </w:pPr>
            <w:r>
              <w:t>0096</w:t>
            </w:r>
          </w:p>
        </w:tc>
      </w:tr>
      <w:tr w:rsidR="000A156F" w:rsidTr="000A156F">
        <w:tc>
          <w:tcPr>
            <w:tcW w:w="0" w:type="auto"/>
            <w:vAlign w:val="center"/>
          </w:tcPr>
          <w:p w:rsidR="000A156F" w:rsidRDefault="00A9721F">
            <w:pPr>
              <w:pStyle w:val="TableBodyText"/>
            </w:pPr>
            <w:r>
              <w:t>ViewFooter</w:t>
            </w:r>
          </w:p>
        </w:tc>
        <w:tc>
          <w:tcPr>
            <w:tcW w:w="0" w:type="auto"/>
            <w:vAlign w:val="center"/>
          </w:tcPr>
          <w:p w:rsidR="000A156F" w:rsidRDefault="00A9721F">
            <w:pPr>
              <w:pStyle w:val="TableBodyText"/>
            </w:pPr>
            <w:r>
              <w:t>028E</w:t>
            </w:r>
          </w:p>
        </w:tc>
      </w:tr>
      <w:tr w:rsidR="000A156F" w:rsidTr="000A156F">
        <w:tc>
          <w:tcPr>
            <w:tcW w:w="0" w:type="auto"/>
            <w:vAlign w:val="center"/>
          </w:tcPr>
          <w:p w:rsidR="000A156F" w:rsidRDefault="00A9721F">
            <w:pPr>
              <w:pStyle w:val="TableBodyText"/>
            </w:pPr>
            <w:r>
              <w:t>ViewFooterOnly</w:t>
            </w:r>
          </w:p>
        </w:tc>
        <w:tc>
          <w:tcPr>
            <w:tcW w:w="0" w:type="auto"/>
            <w:vAlign w:val="center"/>
          </w:tcPr>
          <w:p w:rsidR="000A156F" w:rsidRDefault="00A9721F">
            <w:pPr>
              <w:pStyle w:val="TableBodyText"/>
            </w:pPr>
            <w:r>
              <w:t>090F</w:t>
            </w:r>
          </w:p>
        </w:tc>
      </w:tr>
      <w:tr w:rsidR="000A156F" w:rsidTr="000A156F">
        <w:tc>
          <w:tcPr>
            <w:tcW w:w="0" w:type="auto"/>
            <w:vAlign w:val="center"/>
          </w:tcPr>
          <w:p w:rsidR="000A156F" w:rsidRDefault="00A9721F">
            <w:pPr>
              <w:pStyle w:val="TableBodyText"/>
            </w:pPr>
            <w:r>
              <w:t>ViewFootnoteArea</w:t>
            </w:r>
          </w:p>
        </w:tc>
        <w:tc>
          <w:tcPr>
            <w:tcW w:w="0" w:type="auto"/>
            <w:vAlign w:val="center"/>
          </w:tcPr>
          <w:p w:rsidR="000A156F" w:rsidRDefault="00A9721F">
            <w:pPr>
              <w:pStyle w:val="TableBodyText"/>
            </w:pPr>
            <w:r>
              <w:t>009C</w:t>
            </w:r>
          </w:p>
        </w:tc>
      </w:tr>
      <w:tr w:rsidR="000A156F" w:rsidTr="000A156F">
        <w:tc>
          <w:tcPr>
            <w:tcW w:w="0" w:type="auto"/>
            <w:vAlign w:val="center"/>
          </w:tcPr>
          <w:p w:rsidR="000A156F" w:rsidRDefault="00A9721F">
            <w:pPr>
              <w:pStyle w:val="TableBodyText"/>
            </w:pPr>
            <w:r>
              <w:t>ViewFootnoteContNotice</w:t>
            </w:r>
          </w:p>
        </w:tc>
        <w:tc>
          <w:tcPr>
            <w:tcW w:w="0" w:type="auto"/>
            <w:vAlign w:val="center"/>
          </w:tcPr>
          <w:p w:rsidR="000A156F" w:rsidRDefault="00A9721F">
            <w:pPr>
              <w:pStyle w:val="TableBodyText"/>
            </w:pPr>
            <w:r>
              <w:t>01EF</w:t>
            </w:r>
          </w:p>
        </w:tc>
      </w:tr>
      <w:tr w:rsidR="000A156F" w:rsidTr="000A156F">
        <w:tc>
          <w:tcPr>
            <w:tcW w:w="0" w:type="auto"/>
            <w:vAlign w:val="center"/>
          </w:tcPr>
          <w:p w:rsidR="000A156F" w:rsidRDefault="00A9721F">
            <w:pPr>
              <w:pStyle w:val="TableBodyText"/>
            </w:pPr>
            <w:r>
              <w:t>ViewFootnoteContSeparator</w:t>
            </w:r>
          </w:p>
        </w:tc>
        <w:tc>
          <w:tcPr>
            <w:tcW w:w="0" w:type="auto"/>
            <w:vAlign w:val="center"/>
          </w:tcPr>
          <w:p w:rsidR="000A156F" w:rsidRDefault="00A9721F">
            <w:pPr>
              <w:pStyle w:val="TableBodyText"/>
            </w:pPr>
            <w:r>
              <w:t>01EE</w:t>
            </w:r>
          </w:p>
        </w:tc>
      </w:tr>
      <w:tr w:rsidR="000A156F" w:rsidTr="000A156F">
        <w:tc>
          <w:tcPr>
            <w:tcW w:w="0" w:type="auto"/>
            <w:vAlign w:val="center"/>
          </w:tcPr>
          <w:p w:rsidR="000A156F" w:rsidRDefault="00A9721F">
            <w:pPr>
              <w:pStyle w:val="TableBodyText"/>
            </w:pPr>
            <w:r>
              <w:t>ViewFootnoteSeparator</w:t>
            </w:r>
          </w:p>
        </w:tc>
        <w:tc>
          <w:tcPr>
            <w:tcW w:w="0" w:type="auto"/>
            <w:vAlign w:val="center"/>
          </w:tcPr>
          <w:p w:rsidR="000A156F" w:rsidRDefault="00A9721F">
            <w:pPr>
              <w:pStyle w:val="TableBodyText"/>
            </w:pPr>
            <w:r>
              <w:t>01ED</w:t>
            </w:r>
          </w:p>
        </w:tc>
      </w:tr>
      <w:tr w:rsidR="000A156F" w:rsidTr="000A156F">
        <w:tc>
          <w:tcPr>
            <w:tcW w:w="0" w:type="auto"/>
            <w:vAlign w:val="center"/>
          </w:tcPr>
          <w:p w:rsidR="000A156F" w:rsidRDefault="00A9721F">
            <w:pPr>
              <w:pStyle w:val="TableBodyText"/>
            </w:pPr>
            <w:r>
              <w:t>ViewFootnotes</w:t>
            </w:r>
          </w:p>
        </w:tc>
        <w:tc>
          <w:tcPr>
            <w:tcW w:w="0" w:type="auto"/>
            <w:vAlign w:val="center"/>
          </w:tcPr>
          <w:p w:rsidR="000A156F" w:rsidRDefault="00A9721F">
            <w:pPr>
              <w:pStyle w:val="TableBodyText"/>
            </w:pPr>
            <w:r>
              <w:t>01F6</w:t>
            </w:r>
          </w:p>
        </w:tc>
      </w:tr>
      <w:tr w:rsidR="000A156F" w:rsidTr="000A156F">
        <w:tc>
          <w:tcPr>
            <w:tcW w:w="0" w:type="auto"/>
            <w:vAlign w:val="center"/>
          </w:tcPr>
          <w:p w:rsidR="000A156F" w:rsidRDefault="00A9721F">
            <w:pPr>
              <w:pStyle w:val="TableBodyText"/>
            </w:pPr>
            <w:r>
              <w:t>ViewFormatExToolbar</w:t>
            </w:r>
          </w:p>
        </w:tc>
        <w:tc>
          <w:tcPr>
            <w:tcW w:w="0" w:type="auto"/>
            <w:vAlign w:val="center"/>
          </w:tcPr>
          <w:p w:rsidR="000A156F" w:rsidRDefault="00A9721F">
            <w:pPr>
              <w:pStyle w:val="TableBodyText"/>
            </w:pPr>
            <w:r>
              <w:t>032B</w:t>
            </w:r>
          </w:p>
        </w:tc>
      </w:tr>
      <w:tr w:rsidR="000A156F" w:rsidTr="000A156F">
        <w:tc>
          <w:tcPr>
            <w:tcW w:w="0" w:type="auto"/>
            <w:vAlign w:val="center"/>
          </w:tcPr>
          <w:p w:rsidR="000A156F" w:rsidRDefault="00A9721F">
            <w:pPr>
              <w:pStyle w:val="TableBodyText"/>
            </w:pPr>
            <w:r>
              <w:t>ViewGridlines</w:t>
            </w:r>
          </w:p>
        </w:tc>
        <w:tc>
          <w:tcPr>
            <w:tcW w:w="0" w:type="auto"/>
            <w:vAlign w:val="center"/>
          </w:tcPr>
          <w:p w:rsidR="000A156F" w:rsidRDefault="00A9721F">
            <w:pPr>
              <w:pStyle w:val="TableBodyText"/>
            </w:pPr>
            <w:r>
              <w:t>02E5</w:t>
            </w:r>
          </w:p>
        </w:tc>
      </w:tr>
      <w:tr w:rsidR="000A156F" w:rsidTr="000A156F">
        <w:tc>
          <w:tcPr>
            <w:tcW w:w="0" w:type="auto"/>
            <w:vAlign w:val="center"/>
          </w:tcPr>
          <w:p w:rsidR="000A156F" w:rsidRDefault="00A9721F">
            <w:pPr>
              <w:pStyle w:val="TableBodyText"/>
            </w:pPr>
            <w:r>
              <w:t>ViewHTMLSource</w:t>
            </w:r>
          </w:p>
        </w:tc>
        <w:tc>
          <w:tcPr>
            <w:tcW w:w="0" w:type="auto"/>
            <w:vAlign w:val="center"/>
          </w:tcPr>
          <w:p w:rsidR="000A156F" w:rsidRDefault="00A9721F">
            <w:pPr>
              <w:pStyle w:val="TableBodyText"/>
            </w:pPr>
            <w:r>
              <w:t>0482</w:t>
            </w:r>
          </w:p>
        </w:tc>
      </w:tr>
      <w:tr w:rsidR="000A156F" w:rsidTr="000A156F">
        <w:tc>
          <w:tcPr>
            <w:tcW w:w="0" w:type="auto"/>
            <w:vAlign w:val="center"/>
          </w:tcPr>
          <w:p w:rsidR="000A156F" w:rsidRDefault="00A9721F">
            <w:pPr>
              <w:pStyle w:val="TableBodyText"/>
            </w:pPr>
            <w:r>
              <w:t>ViewHeader</w:t>
            </w:r>
          </w:p>
        </w:tc>
        <w:tc>
          <w:tcPr>
            <w:tcW w:w="0" w:type="auto"/>
            <w:vAlign w:val="center"/>
          </w:tcPr>
          <w:p w:rsidR="000A156F" w:rsidRDefault="00A9721F">
            <w:pPr>
              <w:pStyle w:val="TableBodyText"/>
            </w:pPr>
            <w:r>
              <w:t>01E4</w:t>
            </w:r>
          </w:p>
        </w:tc>
      </w:tr>
      <w:tr w:rsidR="000A156F" w:rsidTr="000A156F">
        <w:tc>
          <w:tcPr>
            <w:tcW w:w="0" w:type="auto"/>
            <w:vAlign w:val="center"/>
          </w:tcPr>
          <w:p w:rsidR="000A156F" w:rsidRDefault="00A9721F">
            <w:pPr>
              <w:pStyle w:val="TableBodyText"/>
            </w:pPr>
            <w:r>
              <w:t>ViewHeaderOnly</w:t>
            </w:r>
          </w:p>
        </w:tc>
        <w:tc>
          <w:tcPr>
            <w:tcW w:w="0" w:type="auto"/>
            <w:vAlign w:val="center"/>
          </w:tcPr>
          <w:p w:rsidR="000A156F" w:rsidRDefault="00A9721F">
            <w:pPr>
              <w:pStyle w:val="TableBodyText"/>
            </w:pPr>
            <w:r>
              <w:t>08EA</w:t>
            </w:r>
          </w:p>
        </w:tc>
      </w:tr>
      <w:tr w:rsidR="000A156F" w:rsidTr="000A156F">
        <w:tc>
          <w:tcPr>
            <w:tcW w:w="0" w:type="auto"/>
            <w:vAlign w:val="center"/>
          </w:tcPr>
          <w:p w:rsidR="000A156F" w:rsidRDefault="00A9721F">
            <w:pPr>
              <w:pStyle w:val="TableBodyText"/>
            </w:pPr>
            <w:r>
              <w:t>ViewMasterDocument</w:t>
            </w:r>
          </w:p>
        </w:tc>
        <w:tc>
          <w:tcPr>
            <w:tcW w:w="0" w:type="auto"/>
            <w:vAlign w:val="center"/>
          </w:tcPr>
          <w:p w:rsidR="000A156F" w:rsidRDefault="00A9721F">
            <w:pPr>
              <w:pStyle w:val="TableBodyText"/>
            </w:pPr>
            <w:r>
              <w:t>01EA</w:t>
            </w:r>
          </w:p>
        </w:tc>
      </w:tr>
      <w:tr w:rsidR="000A156F" w:rsidTr="000A156F">
        <w:tc>
          <w:tcPr>
            <w:tcW w:w="0" w:type="auto"/>
            <w:vAlign w:val="center"/>
          </w:tcPr>
          <w:p w:rsidR="000A156F" w:rsidRDefault="00A9721F">
            <w:pPr>
              <w:pStyle w:val="TableBodyText"/>
            </w:pPr>
            <w:r>
              <w:t>ViewNormal</w:t>
            </w:r>
          </w:p>
        </w:tc>
        <w:tc>
          <w:tcPr>
            <w:tcW w:w="0" w:type="auto"/>
            <w:vAlign w:val="center"/>
          </w:tcPr>
          <w:p w:rsidR="000A156F" w:rsidRDefault="00A9721F">
            <w:pPr>
              <w:pStyle w:val="TableBodyText"/>
            </w:pPr>
            <w:r>
              <w:t>0091</w:t>
            </w:r>
          </w:p>
        </w:tc>
      </w:tr>
      <w:tr w:rsidR="000A156F" w:rsidTr="000A156F">
        <w:tc>
          <w:tcPr>
            <w:tcW w:w="0" w:type="auto"/>
            <w:vAlign w:val="center"/>
          </w:tcPr>
          <w:p w:rsidR="000A156F" w:rsidRDefault="00A9721F">
            <w:pPr>
              <w:pStyle w:val="TableBodyText"/>
            </w:pPr>
            <w:r>
              <w:t>ViewOnline</w:t>
            </w:r>
          </w:p>
        </w:tc>
        <w:tc>
          <w:tcPr>
            <w:tcW w:w="0" w:type="auto"/>
            <w:vAlign w:val="center"/>
          </w:tcPr>
          <w:p w:rsidR="000A156F" w:rsidRDefault="00A9721F">
            <w:pPr>
              <w:pStyle w:val="TableBodyText"/>
            </w:pPr>
            <w:r>
              <w:t>0334</w:t>
            </w:r>
          </w:p>
        </w:tc>
      </w:tr>
      <w:tr w:rsidR="000A156F" w:rsidTr="000A156F">
        <w:tc>
          <w:tcPr>
            <w:tcW w:w="0" w:type="auto"/>
            <w:vAlign w:val="center"/>
          </w:tcPr>
          <w:p w:rsidR="000A156F" w:rsidRDefault="00A9721F">
            <w:pPr>
              <w:pStyle w:val="TableBodyText"/>
            </w:pPr>
            <w:r>
              <w:t>ViewOutline</w:t>
            </w:r>
          </w:p>
        </w:tc>
        <w:tc>
          <w:tcPr>
            <w:tcW w:w="0" w:type="auto"/>
            <w:vAlign w:val="center"/>
          </w:tcPr>
          <w:p w:rsidR="000A156F" w:rsidRDefault="00A9721F">
            <w:pPr>
              <w:pStyle w:val="TableBodyText"/>
            </w:pPr>
            <w:r>
              <w:t>0092</w:t>
            </w:r>
          </w:p>
        </w:tc>
      </w:tr>
      <w:tr w:rsidR="000A156F" w:rsidTr="000A156F">
        <w:tc>
          <w:tcPr>
            <w:tcW w:w="0" w:type="auto"/>
            <w:vAlign w:val="center"/>
          </w:tcPr>
          <w:p w:rsidR="000A156F" w:rsidRDefault="00A9721F">
            <w:pPr>
              <w:pStyle w:val="TableBodyText"/>
            </w:pPr>
            <w:r>
              <w:lastRenderedPageBreak/>
              <w:t>ViewOutlineMaster</w:t>
            </w:r>
          </w:p>
        </w:tc>
        <w:tc>
          <w:tcPr>
            <w:tcW w:w="0" w:type="auto"/>
            <w:vAlign w:val="center"/>
          </w:tcPr>
          <w:p w:rsidR="000A156F" w:rsidRDefault="00A9721F">
            <w:pPr>
              <w:pStyle w:val="TableBodyText"/>
            </w:pPr>
            <w:r>
              <w:t>0499</w:t>
            </w:r>
          </w:p>
        </w:tc>
      </w:tr>
      <w:tr w:rsidR="000A156F" w:rsidTr="000A156F">
        <w:tc>
          <w:tcPr>
            <w:tcW w:w="0" w:type="auto"/>
            <w:vAlign w:val="center"/>
          </w:tcPr>
          <w:p w:rsidR="000A156F" w:rsidRDefault="00A9721F">
            <w:pPr>
              <w:pStyle w:val="TableBodyText"/>
            </w:pPr>
            <w:r>
              <w:t>ViewOutlineSplitToolbar</w:t>
            </w:r>
          </w:p>
        </w:tc>
        <w:tc>
          <w:tcPr>
            <w:tcW w:w="0" w:type="auto"/>
            <w:vAlign w:val="center"/>
          </w:tcPr>
          <w:p w:rsidR="000A156F" w:rsidRDefault="00A9721F">
            <w:pPr>
              <w:pStyle w:val="TableBodyText"/>
            </w:pPr>
            <w:r>
              <w:t>0324</w:t>
            </w:r>
          </w:p>
        </w:tc>
      </w:tr>
      <w:tr w:rsidR="000A156F" w:rsidTr="000A156F">
        <w:tc>
          <w:tcPr>
            <w:tcW w:w="0" w:type="auto"/>
            <w:vAlign w:val="center"/>
          </w:tcPr>
          <w:p w:rsidR="000A156F" w:rsidRDefault="00A9721F">
            <w:pPr>
              <w:pStyle w:val="TableBodyText"/>
            </w:pPr>
            <w:r>
              <w:t>ViewPage</w:t>
            </w:r>
          </w:p>
        </w:tc>
        <w:tc>
          <w:tcPr>
            <w:tcW w:w="0" w:type="auto"/>
            <w:vAlign w:val="center"/>
          </w:tcPr>
          <w:p w:rsidR="000A156F" w:rsidRDefault="00A9721F">
            <w:pPr>
              <w:pStyle w:val="TableBodyText"/>
            </w:pPr>
            <w:r>
              <w:t>0093</w:t>
            </w:r>
          </w:p>
        </w:tc>
      </w:tr>
      <w:tr w:rsidR="000A156F" w:rsidTr="000A156F">
        <w:tc>
          <w:tcPr>
            <w:tcW w:w="0" w:type="auto"/>
            <w:vAlign w:val="center"/>
          </w:tcPr>
          <w:p w:rsidR="000A156F" w:rsidRDefault="00A9721F">
            <w:pPr>
              <w:pStyle w:val="TableBodyText"/>
            </w:pPr>
            <w:r>
              <w:t>ViewPageFromOutline</w:t>
            </w:r>
          </w:p>
        </w:tc>
        <w:tc>
          <w:tcPr>
            <w:tcW w:w="0" w:type="auto"/>
            <w:vAlign w:val="center"/>
          </w:tcPr>
          <w:p w:rsidR="000A156F" w:rsidRDefault="00A9721F">
            <w:pPr>
              <w:pStyle w:val="TableBodyText"/>
            </w:pPr>
            <w:r>
              <w:t>094D</w:t>
            </w:r>
          </w:p>
        </w:tc>
      </w:tr>
      <w:tr w:rsidR="000A156F" w:rsidTr="000A156F">
        <w:tc>
          <w:tcPr>
            <w:tcW w:w="0" w:type="auto"/>
            <w:vAlign w:val="center"/>
          </w:tcPr>
          <w:p w:rsidR="000A156F" w:rsidRDefault="00A9721F">
            <w:pPr>
              <w:pStyle w:val="TableBodyText"/>
            </w:pPr>
            <w:r>
              <w:t>ViewRuler</w:t>
            </w:r>
          </w:p>
        </w:tc>
        <w:tc>
          <w:tcPr>
            <w:tcW w:w="0" w:type="auto"/>
            <w:vAlign w:val="center"/>
          </w:tcPr>
          <w:p w:rsidR="000A156F" w:rsidRDefault="00A9721F">
            <w:pPr>
              <w:pStyle w:val="TableBodyText"/>
            </w:pPr>
            <w:r>
              <w:t>0099</w:t>
            </w:r>
          </w:p>
        </w:tc>
      </w:tr>
      <w:tr w:rsidR="000A156F" w:rsidTr="000A156F">
        <w:tc>
          <w:tcPr>
            <w:tcW w:w="0" w:type="auto"/>
            <w:vAlign w:val="center"/>
          </w:tcPr>
          <w:p w:rsidR="000A156F" w:rsidRDefault="00A9721F">
            <w:pPr>
              <w:pStyle w:val="TableBodyText"/>
            </w:pPr>
            <w:r>
              <w:t>ViewSecurity</w:t>
            </w:r>
          </w:p>
        </w:tc>
        <w:tc>
          <w:tcPr>
            <w:tcW w:w="0" w:type="auto"/>
            <w:vAlign w:val="center"/>
          </w:tcPr>
          <w:p w:rsidR="000A156F" w:rsidRDefault="00A9721F">
            <w:pPr>
              <w:pStyle w:val="TableBodyText"/>
            </w:pPr>
            <w:r>
              <w:t>0419</w:t>
            </w:r>
          </w:p>
        </w:tc>
      </w:tr>
      <w:tr w:rsidR="000A156F" w:rsidTr="000A156F">
        <w:tc>
          <w:tcPr>
            <w:tcW w:w="0" w:type="auto"/>
            <w:vAlign w:val="center"/>
          </w:tcPr>
          <w:p w:rsidR="000A156F" w:rsidRDefault="00A9721F">
            <w:pPr>
              <w:pStyle w:val="TableBodyText"/>
            </w:pPr>
            <w:r>
              <w:t>ViewSignatures</w:t>
            </w:r>
          </w:p>
        </w:tc>
        <w:tc>
          <w:tcPr>
            <w:tcW w:w="0" w:type="auto"/>
            <w:vAlign w:val="center"/>
          </w:tcPr>
          <w:p w:rsidR="000A156F" w:rsidRDefault="00A9721F">
            <w:pPr>
              <w:pStyle w:val="TableBodyText"/>
            </w:pPr>
            <w:r>
              <w:t>04F3</w:t>
            </w:r>
          </w:p>
        </w:tc>
      </w:tr>
      <w:tr w:rsidR="000A156F" w:rsidTr="000A156F">
        <w:tc>
          <w:tcPr>
            <w:tcW w:w="0" w:type="auto"/>
            <w:vAlign w:val="center"/>
          </w:tcPr>
          <w:p w:rsidR="000A156F" w:rsidRDefault="00A9721F">
            <w:pPr>
              <w:pStyle w:val="TableBodyText"/>
            </w:pPr>
            <w:r>
              <w:t>ViewStatusBar</w:t>
            </w:r>
          </w:p>
        </w:tc>
        <w:tc>
          <w:tcPr>
            <w:tcW w:w="0" w:type="auto"/>
            <w:vAlign w:val="center"/>
          </w:tcPr>
          <w:p w:rsidR="000A156F" w:rsidRDefault="00A9721F">
            <w:pPr>
              <w:pStyle w:val="TableBodyText"/>
            </w:pPr>
            <w:r>
              <w:t>009A</w:t>
            </w:r>
          </w:p>
        </w:tc>
      </w:tr>
      <w:tr w:rsidR="000A156F" w:rsidTr="000A156F">
        <w:tc>
          <w:tcPr>
            <w:tcW w:w="0" w:type="auto"/>
            <w:vAlign w:val="center"/>
          </w:tcPr>
          <w:p w:rsidR="000A156F" w:rsidRDefault="00A9721F">
            <w:pPr>
              <w:pStyle w:val="TableBodyText"/>
            </w:pPr>
            <w:r>
              <w:t>ViewTaskPane</w:t>
            </w:r>
          </w:p>
        </w:tc>
        <w:tc>
          <w:tcPr>
            <w:tcW w:w="0" w:type="auto"/>
            <w:vAlign w:val="center"/>
          </w:tcPr>
          <w:p w:rsidR="000A156F" w:rsidRDefault="00A9721F">
            <w:pPr>
              <w:pStyle w:val="TableBodyText"/>
            </w:pPr>
            <w:r>
              <w:t>0521</w:t>
            </w:r>
          </w:p>
        </w:tc>
      </w:tr>
      <w:tr w:rsidR="000A156F" w:rsidTr="000A156F">
        <w:tc>
          <w:tcPr>
            <w:tcW w:w="0" w:type="auto"/>
            <w:vAlign w:val="center"/>
          </w:tcPr>
          <w:p w:rsidR="000A156F" w:rsidRDefault="00A9721F">
            <w:pPr>
              <w:pStyle w:val="TableBodyText"/>
            </w:pPr>
            <w:r>
              <w:t>ViewToggleMasterDocument</w:t>
            </w:r>
          </w:p>
        </w:tc>
        <w:tc>
          <w:tcPr>
            <w:tcW w:w="0" w:type="auto"/>
            <w:vAlign w:val="center"/>
          </w:tcPr>
          <w:p w:rsidR="000A156F" w:rsidRDefault="00A9721F">
            <w:pPr>
              <w:pStyle w:val="TableBodyText"/>
            </w:pPr>
            <w:r>
              <w:t>0278</w:t>
            </w:r>
          </w:p>
        </w:tc>
      </w:tr>
      <w:tr w:rsidR="000A156F" w:rsidTr="000A156F">
        <w:tc>
          <w:tcPr>
            <w:tcW w:w="0" w:type="auto"/>
            <w:vAlign w:val="center"/>
          </w:tcPr>
          <w:p w:rsidR="000A156F" w:rsidRDefault="00A9721F">
            <w:pPr>
              <w:pStyle w:val="TableBodyText"/>
            </w:pPr>
            <w:r>
              <w:t>ViewTogglePageBoundaries</w:t>
            </w:r>
          </w:p>
        </w:tc>
        <w:tc>
          <w:tcPr>
            <w:tcW w:w="0" w:type="auto"/>
            <w:vAlign w:val="center"/>
          </w:tcPr>
          <w:p w:rsidR="000A156F" w:rsidRDefault="00A9721F">
            <w:pPr>
              <w:pStyle w:val="TableBodyText"/>
            </w:pPr>
            <w:r>
              <w:t>0367</w:t>
            </w:r>
          </w:p>
        </w:tc>
      </w:tr>
      <w:tr w:rsidR="000A156F" w:rsidTr="000A156F">
        <w:tc>
          <w:tcPr>
            <w:tcW w:w="0" w:type="auto"/>
            <w:vAlign w:val="center"/>
          </w:tcPr>
          <w:p w:rsidR="000A156F" w:rsidRDefault="00A9721F">
            <w:pPr>
              <w:pStyle w:val="TableBodyText"/>
            </w:pPr>
            <w:r>
              <w:t>ViewToolbars</w:t>
            </w:r>
          </w:p>
        </w:tc>
        <w:tc>
          <w:tcPr>
            <w:tcW w:w="0" w:type="auto"/>
            <w:vAlign w:val="center"/>
          </w:tcPr>
          <w:p w:rsidR="000A156F" w:rsidRDefault="00A9721F">
            <w:pPr>
              <w:pStyle w:val="TableBodyText"/>
            </w:pPr>
            <w:r>
              <w:t>0143</w:t>
            </w:r>
          </w:p>
        </w:tc>
      </w:tr>
      <w:tr w:rsidR="000A156F" w:rsidTr="000A156F">
        <w:tc>
          <w:tcPr>
            <w:tcW w:w="0" w:type="auto"/>
            <w:vAlign w:val="center"/>
          </w:tcPr>
          <w:p w:rsidR="000A156F" w:rsidRDefault="00A9721F">
            <w:pPr>
              <w:pStyle w:val="TableBodyText"/>
            </w:pPr>
            <w:r>
              <w:t>ViewVBCode</w:t>
            </w:r>
          </w:p>
        </w:tc>
        <w:tc>
          <w:tcPr>
            <w:tcW w:w="0" w:type="auto"/>
            <w:vAlign w:val="center"/>
          </w:tcPr>
          <w:p w:rsidR="000A156F" w:rsidRDefault="00A9721F">
            <w:pPr>
              <w:pStyle w:val="TableBodyText"/>
            </w:pPr>
            <w:r>
              <w:t>03B4</w:t>
            </w:r>
          </w:p>
        </w:tc>
      </w:tr>
      <w:tr w:rsidR="000A156F" w:rsidTr="000A156F">
        <w:tc>
          <w:tcPr>
            <w:tcW w:w="0" w:type="auto"/>
            <w:vAlign w:val="center"/>
          </w:tcPr>
          <w:p w:rsidR="000A156F" w:rsidRDefault="00A9721F">
            <w:pPr>
              <w:pStyle w:val="TableBodyText"/>
            </w:pPr>
            <w:r>
              <w:t>ViewWeb</w:t>
            </w:r>
          </w:p>
        </w:tc>
        <w:tc>
          <w:tcPr>
            <w:tcW w:w="0" w:type="auto"/>
            <w:vAlign w:val="center"/>
          </w:tcPr>
          <w:p w:rsidR="000A156F" w:rsidRDefault="00A9721F">
            <w:pPr>
              <w:pStyle w:val="TableBodyText"/>
            </w:pPr>
            <w:r>
              <w:t>0350</w:t>
            </w:r>
          </w:p>
        </w:tc>
      </w:tr>
      <w:tr w:rsidR="000A156F" w:rsidTr="000A156F">
        <w:tc>
          <w:tcPr>
            <w:tcW w:w="0" w:type="auto"/>
            <w:vAlign w:val="center"/>
          </w:tcPr>
          <w:p w:rsidR="000A156F" w:rsidRDefault="00A9721F">
            <w:pPr>
              <w:pStyle w:val="TableBodyText"/>
            </w:pPr>
            <w:r>
              <w:t>ViewWebToolbox</w:t>
            </w:r>
          </w:p>
        </w:tc>
        <w:tc>
          <w:tcPr>
            <w:tcW w:w="0" w:type="auto"/>
            <w:vAlign w:val="center"/>
          </w:tcPr>
          <w:p w:rsidR="000A156F" w:rsidRDefault="00A9721F">
            <w:pPr>
              <w:pStyle w:val="TableBodyText"/>
            </w:pPr>
            <w:r>
              <w:t>1BC4</w:t>
            </w:r>
          </w:p>
        </w:tc>
      </w:tr>
      <w:tr w:rsidR="000A156F" w:rsidTr="000A156F">
        <w:tc>
          <w:tcPr>
            <w:tcW w:w="0" w:type="auto"/>
            <w:vAlign w:val="center"/>
          </w:tcPr>
          <w:p w:rsidR="000A156F" w:rsidRDefault="00A9721F">
            <w:pPr>
              <w:pStyle w:val="TableBodyText"/>
            </w:pPr>
            <w:r>
              <w:t>ViewXMLStructure</w:t>
            </w:r>
          </w:p>
        </w:tc>
        <w:tc>
          <w:tcPr>
            <w:tcW w:w="0" w:type="auto"/>
            <w:vAlign w:val="center"/>
          </w:tcPr>
          <w:p w:rsidR="000A156F" w:rsidRDefault="00A9721F">
            <w:pPr>
              <w:pStyle w:val="TableBodyText"/>
            </w:pPr>
            <w:r>
              <w:t>056C</w:t>
            </w:r>
          </w:p>
        </w:tc>
      </w:tr>
      <w:tr w:rsidR="000A156F" w:rsidTr="000A156F">
        <w:tc>
          <w:tcPr>
            <w:tcW w:w="0" w:type="auto"/>
            <w:vAlign w:val="center"/>
          </w:tcPr>
          <w:p w:rsidR="000A156F" w:rsidRDefault="00A9721F">
            <w:pPr>
              <w:pStyle w:val="TableBodyText"/>
            </w:pPr>
            <w:r>
              <w:t>ViewZoom</w:t>
            </w:r>
          </w:p>
        </w:tc>
        <w:tc>
          <w:tcPr>
            <w:tcW w:w="0" w:type="auto"/>
            <w:vAlign w:val="center"/>
          </w:tcPr>
          <w:p w:rsidR="000A156F" w:rsidRDefault="00A9721F">
            <w:pPr>
              <w:pStyle w:val="TableBodyText"/>
            </w:pPr>
            <w:r>
              <w:t>0241</w:t>
            </w:r>
          </w:p>
        </w:tc>
      </w:tr>
      <w:tr w:rsidR="000A156F" w:rsidTr="000A156F">
        <w:tc>
          <w:tcPr>
            <w:tcW w:w="0" w:type="auto"/>
            <w:vAlign w:val="center"/>
          </w:tcPr>
          <w:p w:rsidR="000A156F" w:rsidRDefault="00A9721F">
            <w:pPr>
              <w:pStyle w:val="TableBodyText"/>
            </w:pPr>
            <w:r>
              <w:t>ViewZoom100</w:t>
            </w:r>
          </w:p>
        </w:tc>
        <w:tc>
          <w:tcPr>
            <w:tcW w:w="0" w:type="auto"/>
            <w:vAlign w:val="center"/>
          </w:tcPr>
          <w:p w:rsidR="000A156F" w:rsidRDefault="00A9721F">
            <w:pPr>
              <w:pStyle w:val="TableBodyText"/>
            </w:pPr>
            <w:r>
              <w:t>0131</w:t>
            </w:r>
          </w:p>
        </w:tc>
      </w:tr>
      <w:tr w:rsidR="000A156F" w:rsidTr="000A156F">
        <w:tc>
          <w:tcPr>
            <w:tcW w:w="0" w:type="auto"/>
            <w:vAlign w:val="center"/>
          </w:tcPr>
          <w:p w:rsidR="000A156F" w:rsidRDefault="00A9721F">
            <w:pPr>
              <w:pStyle w:val="TableBodyText"/>
            </w:pPr>
            <w:r>
              <w:t>ViewZoom200</w:t>
            </w:r>
          </w:p>
        </w:tc>
        <w:tc>
          <w:tcPr>
            <w:tcW w:w="0" w:type="auto"/>
            <w:vAlign w:val="center"/>
          </w:tcPr>
          <w:p w:rsidR="000A156F" w:rsidRDefault="00A9721F">
            <w:pPr>
              <w:pStyle w:val="TableBodyText"/>
            </w:pPr>
            <w:r>
              <w:t>023D</w:t>
            </w:r>
          </w:p>
        </w:tc>
      </w:tr>
      <w:tr w:rsidR="000A156F" w:rsidTr="000A156F">
        <w:tc>
          <w:tcPr>
            <w:tcW w:w="0" w:type="auto"/>
            <w:vAlign w:val="center"/>
          </w:tcPr>
          <w:p w:rsidR="000A156F" w:rsidRDefault="00A9721F">
            <w:pPr>
              <w:pStyle w:val="TableBodyText"/>
            </w:pPr>
            <w:r>
              <w:t>ViewZoom75</w:t>
            </w:r>
          </w:p>
        </w:tc>
        <w:tc>
          <w:tcPr>
            <w:tcW w:w="0" w:type="auto"/>
            <w:vAlign w:val="center"/>
          </w:tcPr>
          <w:p w:rsidR="000A156F" w:rsidRDefault="00A9721F">
            <w:pPr>
              <w:pStyle w:val="TableBodyText"/>
            </w:pPr>
            <w:r>
              <w:t>023E</w:t>
            </w:r>
          </w:p>
        </w:tc>
      </w:tr>
      <w:tr w:rsidR="000A156F" w:rsidTr="000A156F">
        <w:tc>
          <w:tcPr>
            <w:tcW w:w="0" w:type="auto"/>
            <w:vAlign w:val="center"/>
          </w:tcPr>
          <w:p w:rsidR="000A156F" w:rsidRDefault="00A9721F">
            <w:pPr>
              <w:pStyle w:val="TableBodyText"/>
            </w:pPr>
            <w:r>
              <w:t>ViewZoomPageWidth</w:t>
            </w:r>
          </w:p>
        </w:tc>
        <w:tc>
          <w:tcPr>
            <w:tcW w:w="0" w:type="auto"/>
            <w:vAlign w:val="center"/>
          </w:tcPr>
          <w:p w:rsidR="000A156F" w:rsidRDefault="00A9721F">
            <w:pPr>
              <w:pStyle w:val="TableBodyText"/>
            </w:pPr>
            <w:r>
              <w:t>0130</w:t>
            </w:r>
          </w:p>
        </w:tc>
      </w:tr>
      <w:tr w:rsidR="000A156F" w:rsidTr="000A156F">
        <w:tc>
          <w:tcPr>
            <w:tcW w:w="0" w:type="auto"/>
            <w:vAlign w:val="center"/>
          </w:tcPr>
          <w:p w:rsidR="000A156F" w:rsidRDefault="00A9721F">
            <w:pPr>
              <w:pStyle w:val="TableBodyText"/>
            </w:pPr>
            <w:r>
              <w:t>ViewZoomTwoPage</w:t>
            </w:r>
          </w:p>
        </w:tc>
        <w:tc>
          <w:tcPr>
            <w:tcW w:w="0" w:type="auto"/>
            <w:vAlign w:val="center"/>
          </w:tcPr>
          <w:p w:rsidR="000A156F" w:rsidRDefault="00A9721F">
            <w:pPr>
              <w:pStyle w:val="TableBodyText"/>
            </w:pPr>
            <w:r>
              <w:t>07A3</w:t>
            </w:r>
          </w:p>
        </w:tc>
      </w:tr>
      <w:tr w:rsidR="000A156F" w:rsidTr="000A156F">
        <w:tc>
          <w:tcPr>
            <w:tcW w:w="0" w:type="auto"/>
            <w:vAlign w:val="center"/>
          </w:tcPr>
          <w:p w:rsidR="000A156F" w:rsidRDefault="00A9721F">
            <w:pPr>
              <w:pStyle w:val="TableBodyText"/>
            </w:pPr>
            <w:r>
              <w:t>ViewZoomWholePage</w:t>
            </w:r>
          </w:p>
        </w:tc>
        <w:tc>
          <w:tcPr>
            <w:tcW w:w="0" w:type="auto"/>
            <w:vAlign w:val="center"/>
          </w:tcPr>
          <w:p w:rsidR="000A156F" w:rsidRDefault="00A9721F">
            <w:pPr>
              <w:pStyle w:val="TableBodyText"/>
            </w:pPr>
            <w:r>
              <w:t>012F</w:t>
            </w:r>
          </w:p>
        </w:tc>
      </w:tr>
      <w:tr w:rsidR="000A156F" w:rsidTr="000A156F">
        <w:tc>
          <w:tcPr>
            <w:tcW w:w="0" w:type="auto"/>
            <w:vAlign w:val="center"/>
          </w:tcPr>
          <w:p w:rsidR="000A156F" w:rsidRDefault="00A9721F">
            <w:pPr>
              <w:pStyle w:val="TableBodyText"/>
            </w:pPr>
            <w:r>
              <w:t>WW2_ChangeRulerMode</w:t>
            </w:r>
          </w:p>
        </w:tc>
        <w:tc>
          <w:tcPr>
            <w:tcW w:w="0" w:type="auto"/>
            <w:vAlign w:val="center"/>
          </w:tcPr>
          <w:p w:rsidR="000A156F" w:rsidRDefault="00A9721F">
            <w:pPr>
              <w:pStyle w:val="TableBodyText"/>
            </w:pPr>
            <w:r>
              <w:t>0127</w:t>
            </w:r>
          </w:p>
        </w:tc>
      </w:tr>
      <w:tr w:rsidR="000A156F" w:rsidTr="000A156F">
        <w:tc>
          <w:tcPr>
            <w:tcW w:w="0" w:type="auto"/>
            <w:vAlign w:val="center"/>
          </w:tcPr>
          <w:p w:rsidR="000A156F" w:rsidRDefault="00A9721F">
            <w:pPr>
              <w:pStyle w:val="TableBodyText"/>
            </w:pPr>
            <w:r>
              <w:t>WW2_EditFind</w:t>
            </w:r>
          </w:p>
        </w:tc>
        <w:tc>
          <w:tcPr>
            <w:tcW w:w="0" w:type="auto"/>
            <w:vAlign w:val="center"/>
          </w:tcPr>
          <w:p w:rsidR="000A156F" w:rsidRDefault="00A9721F">
            <w:pPr>
              <w:pStyle w:val="TableBodyText"/>
            </w:pPr>
            <w:r>
              <w:t>01A5</w:t>
            </w:r>
          </w:p>
        </w:tc>
      </w:tr>
      <w:tr w:rsidR="000A156F" w:rsidTr="000A156F">
        <w:tc>
          <w:tcPr>
            <w:tcW w:w="0" w:type="auto"/>
            <w:vAlign w:val="center"/>
          </w:tcPr>
          <w:p w:rsidR="000A156F" w:rsidRDefault="00A9721F">
            <w:pPr>
              <w:pStyle w:val="TableBodyText"/>
            </w:pPr>
            <w:r>
              <w:t>WW2_EditFindChar</w:t>
            </w:r>
          </w:p>
        </w:tc>
        <w:tc>
          <w:tcPr>
            <w:tcW w:w="0" w:type="auto"/>
            <w:vAlign w:val="center"/>
          </w:tcPr>
          <w:p w:rsidR="000A156F" w:rsidRDefault="00A9721F">
            <w:pPr>
              <w:pStyle w:val="TableBodyText"/>
            </w:pPr>
            <w:r>
              <w:t>019F</w:t>
            </w:r>
          </w:p>
        </w:tc>
      </w:tr>
      <w:tr w:rsidR="000A156F" w:rsidTr="000A156F">
        <w:tc>
          <w:tcPr>
            <w:tcW w:w="0" w:type="auto"/>
            <w:vAlign w:val="center"/>
          </w:tcPr>
          <w:p w:rsidR="000A156F" w:rsidRDefault="00A9721F">
            <w:pPr>
              <w:pStyle w:val="TableBodyText"/>
            </w:pPr>
            <w:r>
              <w:t>WW2_EditReplace</w:t>
            </w:r>
          </w:p>
        </w:tc>
        <w:tc>
          <w:tcPr>
            <w:tcW w:w="0" w:type="auto"/>
            <w:vAlign w:val="center"/>
          </w:tcPr>
          <w:p w:rsidR="000A156F" w:rsidRDefault="00A9721F">
            <w:pPr>
              <w:pStyle w:val="TableBodyText"/>
            </w:pPr>
            <w:r>
              <w:t>01A6</w:t>
            </w:r>
          </w:p>
        </w:tc>
      </w:tr>
      <w:tr w:rsidR="000A156F" w:rsidTr="000A156F">
        <w:tc>
          <w:tcPr>
            <w:tcW w:w="0" w:type="auto"/>
            <w:vAlign w:val="center"/>
          </w:tcPr>
          <w:p w:rsidR="000A156F" w:rsidRDefault="00A9721F">
            <w:pPr>
              <w:pStyle w:val="TableBodyText"/>
            </w:pPr>
            <w:r>
              <w:t>WW2_EditReplaceChar</w:t>
            </w:r>
          </w:p>
        </w:tc>
        <w:tc>
          <w:tcPr>
            <w:tcW w:w="0" w:type="auto"/>
            <w:vAlign w:val="center"/>
          </w:tcPr>
          <w:p w:rsidR="000A156F" w:rsidRDefault="00A9721F">
            <w:pPr>
              <w:pStyle w:val="TableBodyText"/>
            </w:pPr>
            <w:r>
              <w:t>01A0</w:t>
            </w:r>
          </w:p>
        </w:tc>
      </w:tr>
      <w:tr w:rsidR="000A156F" w:rsidTr="000A156F">
        <w:tc>
          <w:tcPr>
            <w:tcW w:w="0" w:type="auto"/>
            <w:vAlign w:val="center"/>
          </w:tcPr>
          <w:p w:rsidR="000A156F" w:rsidRDefault="00A9721F">
            <w:pPr>
              <w:pStyle w:val="TableBodyText"/>
            </w:pPr>
            <w:r>
              <w:t>WW2_FileTemplates</w:t>
            </w:r>
          </w:p>
        </w:tc>
        <w:tc>
          <w:tcPr>
            <w:tcW w:w="0" w:type="auto"/>
            <w:vAlign w:val="center"/>
          </w:tcPr>
          <w:p w:rsidR="000A156F" w:rsidRDefault="00A9721F">
            <w:pPr>
              <w:pStyle w:val="TableBodyText"/>
            </w:pPr>
            <w:r>
              <w:t>17A6</w:t>
            </w:r>
          </w:p>
        </w:tc>
      </w:tr>
      <w:tr w:rsidR="000A156F" w:rsidTr="000A156F">
        <w:tc>
          <w:tcPr>
            <w:tcW w:w="0" w:type="auto"/>
            <w:vAlign w:val="center"/>
          </w:tcPr>
          <w:p w:rsidR="000A156F" w:rsidRDefault="00A9721F">
            <w:pPr>
              <w:pStyle w:val="TableBodyText"/>
            </w:pPr>
            <w:r>
              <w:t>WW2_FootnoteOptions</w:t>
            </w:r>
          </w:p>
        </w:tc>
        <w:tc>
          <w:tcPr>
            <w:tcW w:w="0" w:type="auto"/>
            <w:vAlign w:val="center"/>
          </w:tcPr>
          <w:p w:rsidR="000A156F" w:rsidRDefault="00A9721F">
            <w:pPr>
              <w:pStyle w:val="TableBodyText"/>
            </w:pPr>
            <w:r>
              <w:t>012B</w:t>
            </w:r>
          </w:p>
        </w:tc>
      </w:tr>
      <w:tr w:rsidR="000A156F" w:rsidTr="000A156F">
        <w:tc>
          <w:tcPr>
            <w:tcW w:w="0" w:type="auto"/>
            <w:vAlign w:val="center"/>
          </w:tcPr>
          <w:p w:rsidR="000A156F" w:rsidRDefault="00A9721F">
            <w:pPr>
              <w:pStyle w:val="TableBodyText"/>
            </w:pPr>
            <w:r>
              <w:t>WW2_FormatBordersAndShading</w:t>
            </w:r>
          </w:p>
        </w:tc>
        <w:tc>
          <w:tcPr>
            <w:tcW w:w="0" w:type="auto"/>
            <w:vAlign w:val="center"/>
          </w:tcPr>
          <w:p w:rsidR="000A156F" w:rsidRDefault="00A9721F">
            <w:pPr>
              <w:pStyle w:val="TableBodyText"/>
            </w:pPr>
            <w:r>
              <w:t>02B9</w:t>
            </w:r>
          </w:p>
        </w:tc>
      </w:tr>
      <w:tr w:rsidR="000A156F" w:rsidTr="000A156F">
        <w:tc>
          <w:tcPr>
            <w:tcW w:w="0" w:type="auto"/>
            <w:vAlign w:val="center"/>
          </w:tcPr>
          <w:p w:rsidR="000A156F" w:rsidRDefault="00A9721F">
            <w:pPr>
              <w:pStyle w:val="TableBodyText"/>
            </w:pPr>
            <w:r>
              <w:t>WW2_FormatCharacter</w:t>
            </w:r>
          </w:p>
        </w:tc>
        <w:tc>
          <w:tcPr>
            <w:tcW w:w="0" w:type="auto"/>
            <w:vAlign w:val="center"/>
          </w:tcPr>
          <w:p w:rsidR="000A156F" w:rsidRDefault="00A9721F">
            <w:pPr>
              <w:pStyle w:val="TableBodyText"/>
            </w:pPr>
            <w:r>
              <w:t>0176</w:t>
            </w:r>
          </w:p>
        </w:tc>
      </w:tr>
      <w:tr w:rsidR="000A156F" w:rsidTr="000A156F">
        <w:tc>
          <w:tcPr>
            <w:tcW w:w="0" w:type="auto"/>
            <w:vAlign w:val="center"/>
          </w:tcPr>
          <w:p w:rsidR="000A156F" w:rsidRDefault="00A9721F">
            <w:pPr>
              <w:pStyle w:val="TableBodyText"/>
            </w:pPr>
            <w:r>
              <w:lastRenderedPageBreak/>
              <w:t>WW2_FormatDefineStyleChar</w:t>
            </w:r>
          </w:p>
        </w:tc>
        <w:tc>
          <w:tcPr>
            <w:tcW w:w="0" w:type="auto"/>
            <w:vAlign w:val="center"/>
          </w:tcPr>
          <w:p w:rsidR="000A156F" w:rsidRDefault="00A9721F">
            <w:pPr>
              <w:pStyle w:val="TableBodyText"/>
            </w:pPr>
            <w:r>
              <w:t>019E</w:t>
            </w:r>
          </w:p>
        </w:tc>
      </w:tr>
      <w:tr w:rsidR="000A156F" w:rsidTr="000A156F">
        <w:tc>
          <w:tcPr>
            <w:tcW w:w="0" w:type="auto"/>
            <w:vAlign w:val="center"/>
          </w:tcPr>
          <w:p w:rsidR="000A156F" w:rsidRDefault="00A9721F">
            <w:pPr>
              <w:pStyle w:val="TableBodyText"/>
            </w:pPr>
            <w:r>
              <w:t>WW2_InsertFootnote</w:t>
            </w:r>
          </w:p>
        </w:tc>
        <w:tc>
          <w:tcPr>
            <w:tcW w:w="0" w:type="auto"/>
            <w:vAlign w:val="center"/>
          </w:tcPr>
          <w:p w:rsidR="000A156F" w:rsidRDefault="00A9721F">
            <w:pPr>
              <w:pStyle w:val="TableBodyText"/>
            </w:pPr>
            <w:r>
              <w:t>00A0</w:t>
            </w:r>
          </w:p>
        </w:tc>
      </w:tr>
      <w:tr w:rsidR="000A156F" w:rsidTr="000A156F">
        <w:tc>
          <w:tcPr>
            <w:tcW w:w="0" w:type="auto"/>
            <w:vAlign w:val="center"/>
          </w:tcPr>
          <w:p w:rsidR="000A156F" w:rsidRDefault="00A9721F">
            <w:pPr>
              <w:pStyle w:val="TableBodyText"/>
            </w:pPr>
            <w:r>
              <w:t>WW2_InsertIndex</w:t>
            </w:r>
          </w:p>
        </w:tc>
        <w:tc>
          <w:tcPr>
            <w:tcW w:w="0" w:type="auto"/>
            <w:vAlign w:val="center"/>
          </w:tcPr>
          <w:p w:rsidR="000A156F" w:rsidRDefault="00A9721F">
            <w:pPr>
              <w:pStyle w:val="TableBodyText"/>
            </w:pPr>
            <w:r>
              <w:t>02B7</w:t>
            </w:r>
          </w:p>
        </w:tc>
      </w:tr>
      <w:tr w:rsidR="000A156F" w:rsidTr="000A156F">
        <w:tc>
          <w:tcPr>
            <w:tcW w:w="0" w:type="auto"/>
            <w:vAlign w:val="center"/>
          </w:tcPr>
          <w:p w:rsidR="000A156F" w:rsidRDefault="00A9721F">
            <w:pPr>
              <w:pStyle w:val="TableBodyText"/>
            </w:pPr>
            <w:r>
              <w:t>WW2_InsertSymbol</w:t>
            </w:r>
          </w:p>
        </w:tc>
        <w:tc>
          <w:tcPr>
            <w:tcW w:w="0" w:type="auto"/>
            <w:vAlign w:val="center"/>
          </w:tcPr>
          <w:p w:rsidR="000A156F" w:rsidRDefault="00A9721F">
            <w:pPr>
              <w:pStyle w:val="TableBodyText"/>
            </w:pPr>
            <w:r>
              <w:t>02B5</w:t>
            </w:r>
          </w:p>
        </w:tc>
      </w:tr>
      <w:tr w:rsidR="000A156F" w:rsidTr="000A156F">
        <w:tc>
          <w:tcPr>
            <w:tcW w:w="0" w:type="auto"/>
            <w:vAlign w:val="center"/>
          </w:tcPr>
          <w:p w:rsidR="000A156F" w:rsidRDefault="00A9721F">
            <w:pPr>
              <w:pStyle w:val="TableBodyText"/>
            </w:pPr>
            <w:r>
              <w:t>WW2_InsertTableOfContents</w:t>
            </w:r>
          </w:p>
        </w:tc>
        <w:tc>
          <w:tcPr>
            <w:tcW w:w="0" w:type="auto"/>
            <w:vAlign w:val="center"/>
          </w:tcPr>
          <w:p w:rsidR="000A156F" w:rsidRDefault="00A9721F">
            <w:pPr>
              <w:pStyle w:val="TableBodyText"/>
            </w:pPr>
            <w:r>
              <w:t>0158</w:t>
            </w:r>
          </w:p>
        </w:tc>
      </w:tr>
      <w:tr w:rsidR="000A156F" w:rsidTr="000A156F">
        <w:tc>
          <w:tcPr>
            <w:tcW w:w="0" w:type="auto"/>
            <w:vAlign w:val="center"/>
          </w:tcPr>
          <w:p w:rsidR="000A156F" w:rsidRDefault="00A9721F">
            <w:pPr>
              <w:pStyle w:val="TableBodyText"/>
            </w:pPr>
            <w:r>
              <w:t>WW2_PrintMerge</w:t>
            </w:r>
          </w:p>
        </w:tc>
        <w:tc>
          <w:tcPr>
            <w:tcW w:w="0" w:type="auto"/>
            <w:vAlign w:val="center"/>
          </w:tcPr>
          <w:p w:rsidR="000A156F" w:rsidRDefault="00A9721F">
            <w:pPr>
              <w:pStyle w:val="TableBodyText"/>
            </w:pPr>
            <w:r>
              <w:t>005A</w:t>
            </w:r>
          </w:p>
        </w:tc>
      </w:tr>
      <w:tr w:rsidR="000A156F" w:rsidTr="000A156F">
        <w:tc>
          <w:tcPr>
            <w:tcW w:w="0" w:type="auto"/>
            <w:vAlign w:val="center"/>
          </w:tcPr>
          <w:p w:rsidR="000A156F" w:rsidRDefault="00A9721F">
            <w:pPr>
              <w:pStyle w:val="TableBodyText"/>
            </w:pPr>
            <w:r>
              <w:t>WW2_PrintMergeCheck</w:t>
            </w:r>
          </w:p>
        </w:tc>
        <w:tc>
          <w:tcPr>
            <w:tcW w:w="0" w:type="auto"/>
            <w:vAlign w:val="center"/>
          </w:tcPr>
          <w:p w:rsidR="000A156F" w:rsidRDefault="00A9721F">
            <w:pPr>
              <w:pStyle w:val="TableBodyText"/>
            </w:pPr>
            <w:r>
              <w:t>005B</w:t>
            </w:r>
          </w:p>
        </w:tc>
      </w:tr>
      <w:tr w:rsidR="000A156F" w:rsidTr="000A156F">
        <w:tc>
          <w:tcPr>
            <w:tcW w:w="0" w:type="auto"/>
            <w:vAlign w:val="center"/>
          </w:tcPr>
          <w:p w:rsidR="000A156F" w:rsidRDefault="00A9721F">
            <w:pPr>
              <w:pStyle w:val="TableBodyText"/>
            </w:pPr>
            <w:r>
              <w:t>WW2_PrintMergeCreateDataSource</w:t>
            </w:r>
          </w:p>
        </w:tc>
        <w:tc>
          <w:tcPr>
            <w:tcW w:w="0" w:type="auto"/>
            <w:vAlign w:val="center"/>
          </w:tcPr>
          <w:p w:rsidR="000A156F" w:rsidRDefault="00A9721F">
            <w:pPr>
              <w:pStyle w:val="TableBodyText"/>
            </w:pPr>
            <w:r>
              <w:t>0069</w:t>
            </w:r>
          </w:p>
        </w:tc>
      </w:tr>
      <w:tr w:rsidR="000A156F" w:rsidTr="000A156F">
        <w:tc>
          <w:tcPr>
            <w:tcW w:w="0" w:type="auto"/>
            <w:vAlign w:val="center"/>
          </w:tcPr>
          <w:p w:rsidR="000A156F" w:rsidRDefault="00A9721F">
            <w:pPr>
              <w:pStyle w:val="TableBodyText"/>
            </w:pPr>
            <w:r>
              <w:t>WW2_PrintMergeCreateHeaderSource</w:t>
            </w:r>
          </w:p>
        </w:tc>
        <w:tc>
          <w:tcPr>
            <w:tcW w:w="0" w:type="auto"/>
            <w:vAlign w:val="center"/>
          </w:tcPr>
          <w:p w:rsidR="000A156F" w:rsidRDefault="00A9721F">
            <w:pPr>
              <w:pStyle w:val="TableBodyText"/>
            </w:pPr>
            <w:r>
              <w:t>006A</w:t>
            </w:r>
          </w:p>
        </w:tc>
      </w:tr>
      <w:tr w:rsidR="000A156F" w:rsidTr="000A156F">
        <w:tc>
          <w:tcPr>
            <w:tcW w:w="0" w:type="auto"/>
            <w:vAlign w:val="center"/>
          </w:tcPr>
          <w:p w:rsidR="000A156F" w:rsidRDefault="00A9721F">
            <w:pPr>
              <w:pStyle w:val="TableBodyText"/>
            </w:pPr>
            <w:r>
              <w:t>WW2_PrintMergeHelper</w:t>
            </w:r>
          </w:p>
        </w:tc>
        <w:tc>
          <w:tcPr>
            <w:tcW w:w="0" w:type="auto"/>
            <w:vAlign w:val="center"/>
          </w:tcPr>
          <w:p w:rsidR="000A156F" w:rsidRDefault="00A9721F">
            <w:pPr>
              <w:pStyle w:val="TableBodyText"/>
            </w:pPr>
            <w:r>
              <w:t>005F</w:t>
            </w:r>
          </w:p>
        </w:tc>
      </w:tr>
      <w:tr w:rsidR="000A156F" w:rsidTr="000A156F">
        <w:tc>
          <w:tcPr>
            <w:tcW w:w="0" w:type="auto"/>
            <w:vAlign w:val="center"/>
          </w:tcPr>
          <w:p w:rsidR="000A156F" w:rsidRDefault="00A9721F">
            <w:pPr>
              <w:pStyle w:val="TableBodyText"/>
            </w:pPr>
            <w:r>
              <w:t>WW2_PrintMergeSelection</w:t>
            </w:r>
          </w:p>
        </w:tc>
        <w:tc>
          <w:tcPr>
            <w:tcW w:w="0" w:type="auto"/>
            <w:vAlign w:val="center"/>
          </w:tcPr>
          <w:p w:rsidR="000A156F" w:rsidRDefault="00A9721F">
            <w:pPr>
              <w:pStyle w:val="TableBodyText"/>
            </w:pPr>
            <w:r>
              <w:t>005E</w:t>
            </w:r>
          </w:p>
        </w:tc>
      </w:tr>
      <w:tr w:rsidR="000A156F" w:rsidTr="000A156F">
        <w:tc>
          <w:tcPr>
            <w:tcW w:w="0" w:type="auto"/>
            <w:vAlign w:val="center"/>
          </w:tcPr>
          <w:p w:rsidR="000A156F" w:rsidRDefault="00A9721F">
            <w:pPr>
              <w:pStyle w:val="TableBodyText"/>
            </w:pPr>
            <w:r>
              <w:t>WW2_PrintMergeToDoc</w:t>
            </w:r>
          </w:p>
        </w:tc>
        <w:tc>
          <w:tcPr>
            <w:tcW w:w="0" w:type="auto"/>
            <w:vAlign w:val="center"/>
          </w:tcPr>
          <w:p w:rsidR="000A156F" w:rsidRDefault="00A9721F">
            <w:pPr>
              <w:pStyle w:val="TableBodyText"/>
            </w:pPr>
            <w:r>
              <w:t>005C</w:t>
            </w:r>
          </w:p>
        </w:tc>
      </w:tr>
      <w:tr w:rsidR="000A156F" w:rsidTr="000A156F">
        <w:tc>
          <w:tcPr>
            <w:tcW w:w="0" w:type="auto"/>
            <w:vAlign w:val="center"/>
          </w:tcPr>
          <w:p w:rsidR="000A156F" w:rsidRDefault="00A9721F">
            <w:pPr>
              <w:pStyle w:val="TableBodyText"/>
            </w:pPr>
            <w:r>
              <w:t>WW2_PrintMergeToPrinter</w:t>
            </w:r>
          </w:p>
        </w:tc>
        <w:tc>
          <w:tcPr>
            <w:tcW w:w="0" w:type="auto"/>
            <w:vAlign w:val="center"/>
          </w:tcPr>
          <w:p w:rsidR="000A156F" w:rsidRDefault="00A9721F">
            <w:pPr>
              <w:pStyle w:val="TableBodyText"/>
            </w:pPr>
            <w:r>
              <w:t>005D</w:t>
            </w:r>
          </w:p>
        </w:tc>
      </w:tr>
      <w:tr w:rsidR="000A156F" w:rsidTr="000A156F">
        <w:tc>
          <w:tcPr>
            <w:tcW w:w="0" w:type="auto"/>
            <w:vAlign w:val="center"/>
          </w:tcPr>
          <w:p w:rsidR="000A156F" w:rsidRDefault="00A9721F">
            <w:pPr>
              <w:pStyle w:val="TableBodyText"/>
            </w:pPr>
            <w:r>
              <w:t>WW2_RulerMode</w:t>
            </w:r>
          </w:p>
        </w:tc>
        <w:tc>
          <w:tcPr>
            <w:tcW w:w="0" w:type="auto"/>
            <w:vAlign w:val="center"/>
          </w:tcPr>
          <w:p w:rsidR="000A156F" w:rsidRDefault="00A9721F">
            <w:pPr>
              <w:pStyle w:val="TableBodyText"/>
            </w:pPr>
            <w:r>
              <w:t>002C</w:t>
            </w:r>
          </w:p>
        </w:tc>
      </w:tr>
      <w:tr w:rsidR="000A156F" w:rsidTr="000A156F">
        <w:tc>
          <w:tcPr>
            <w:tcW w:w="0" w:type="auto"/>
            <w:vAlign w:val="center"/>
          </w:tcPr>
          <w:p w:rsidR="000A156F" w:rsidRDefault="00A9721F">
            <w:pPr>
              <w:pStyle w:val="TableBodyText"/>
            </w:pPr>
            <w:r>
              <w:t>WW2_TableColumnWidth</w:t>
            </w:r>
          </w:p>
        </w:tc>
        <w:tc>
          <w:tcPr>
            <w:tcW w:w="0" w:type="auto"/>
            <w:vAlign w:val="center"/>
          </w:tcPr>
          <w:p w:rsidR="000A156F" w:rsidRDefault="00A9721F">
            <w:pPr>
              <w:pStyle w:val="TableBodyText"/>
            </w:pPr>
            <w:r>
              <w:t>00DF</w:t>
            </w:r>
          </w:p>
        </w:tc>
      </w:tr>
      <w:tr w:rsidR="000A156F" w:rsidTr="000A156F">
        <w:tc>
          <w:tcPr>
            <w:tcW w:w="0" w:type="auto"/>
            <w:vAlign w:val="center"/>
          </w:tcPr>
          <w:p w:rsidR="000A156F" w:rsidRDefault="00A9721F">
            <w:pPr>
              <w:pStyle w:val="TableBodyText"/>
            </w:pPr>
            <w:r>
              <w:t>WW2_TableRowHeight</w:t>
            </w:r>
          </w:p>
        </w:tc>
        <w:tc>
          <w:tcPr>
            <w:tcW w:w="0" w:type="auto"/>
            <w:vAlign w:val="center"/>
          </w:tcPr>
          <w:p w:rsidR="000A156F" w:rsidRDefault="00A9721F">
            <w:pPr>
              <w:pStyle w:val="TableBodyText"/>
            </w:pPr>
            <w:r>
              <w:t>0146</w:t>
            </w:r>
          </w:p>
        </w:tc>
      </w:tr>
      <w:tr w:rsidR="000A156F" w:rsidTr="000A156F">
        <w:tc>
          <w:tcPr>
            <w:tcW w:w="0" w:type="auto"/>
            <w:vAlign w:val="center"/>
          </w:tcPr>
          <w:p w:rsidR="000A156F" w:rsidRDefault="00A9721F">
            <w:pPr>
              <w:pStyle w:val="TableBodyText"/>
            </w:pPr>
            <w:r>
              <w:t>WW2_ToolsHyphenation</w:t>
            </w:r>
          </w:p>
        </w:tc>
        <w:tc>
          <w:tcPr>
            <w:tcW w:w="0" w:type="auto"/>
            <w:vAlign w:val="center"/>
          </w:tcPr>
          <w:p w:rsidR="000A156F" w:rsidRDefault="00A9721F">
            <w:pPr>
              <w:pStyle w:val="TableBodyText"/>
            </w:pPr>
            <w:r>
              <w:t>0159</w:t>
            </w:r>
          </w:p>
        </w:tc>
      </w:tr>
      <w:tr w:rsidR="000A156F" w:rsidTr="000A156F">
        <w:tc>
          <w:tcPr>
            <w:tcW w:w="0" w:type="auto"/>
            <w:vAlign w:val="center"/>
          </w:tcPr>
          <w:p w:rsidR="000A156F" w:rsidRDefault="00A9721F">
            <w:pPr>
              <w:pStyle w:val="TableBodyText"/>
            </w:pPr>
            <w:r>
              <w:t>WW2_ToolsMacro</w:t>
            </w:r>
          </w:p>
        </w:tc>
        <w:tc>
          <w:tcPr>
            <w:tcW w:w="0" w:type="auto"/>
            <w:vAlign w:val="center"/>
          </w:tcPr>
          <w:p w:rsidR="000A156F" w:rsidRDefault="00A9721F">
            <w:pPr>
              <w:pStyle w:val="TableBodyText"/>
            </w:pPr>
            <w:r>
              <w:t>02A2</w:t>
            </w:r>
          </w:p>
        </w:tc>
      </w:tr>
      <w:tr w:rsidR="000A156F" w:rsidTr="000A156F">
        <w:tc>
          <w:tcPr>
            <w:tcW w:w="0" w:type="auto"/>
            <w:vAlign w:val="center"/>
          </w:tcPr>
          <w:p w:rsidR="000A156F" w:rsidRDefault="00A9721F">
            <w:pPr>
              <w:pStyle w:val="TableBodyText"/>
            </w:pPr>
            <w:r>
              <w:t>WW2_ToolsOptionsGeneral</w:t>
            </w:r>
          </w:p>
        </w:tc>
        <w:tc>
          <w:tcPr>
            <w:tcW w:w="0" w:type="auto"/>
            <w:vAlign w:val="center"/>
          </w:tcPr>
          <w:p w:rsidR="000A156F" w:rsidRDefault="00A9721F">
            <w:pPr>
              <w:pStyle w:val="TableBodyText"/>
            </w:pPr>
            <w:r>
              <w:t>0183</w:t>
            </w:r>
          </w:p>
        </w:tc>
      </w:tr>
      <w:tr w:rsidR="000A156F" w:rsidTr="000A156F">
        <w:tc>
          <w:tcPr>
            <w:tcW w:w="0" w:type="auto"/>
            <w:vAlign w:val="center"/>
          </w:tcPr>
          <w:p w:rsidR="000A156F" w:rsidRDefault="00A9721F">
            <w:pPr>
              <w:pStyle w:val="TableBodyText"/>
            </w:pPr>
            <w:r>
              <w:t>WW2_ToolsOptionsKeyboard</w:t>
            </w:r>
          </w:p>
        </w:tc>
        <w:tc>
          <w:tcPr>
            <w:tcW w:w="0" w:type="auto"/>
            <w:vAlign w:val="center"/>
          </w:tcPr>
          <w:p w:rsidR="000A156F" w:rsidRDefault="00A9721F">
            <w:pPr>
              <w:pStyle w:val="TableBodyText"/>
            </w:pPr>
            <w:r>
              <w:t>01B2</w:t>
            </w:r>
          </w:p>
        </w:tc>
      </w:tr>
      <w:tr w:rsidR="000A156F" w:rsidTr="000A156F">
        <w:tc>
          <w:tcPr>
            <w:tcW w:w="0" w:type="auto"/>
            <w:vAlign w:val="center"/>
          </w:tcPr>
          <w:p w:rsidR="000A156F" w:rsidRDefault="00A9721F">
            <w:pPr>
              <w:pStyle w:val="TableBodyText"/>
            </w:pPr>
            <w:r>
              <w:t>WW2_ToolsOptionsMenus</w:t>
            </w:r>
          </w:p>
        </w:tc>
        <w:tc>
          <w:tcPr>
            <w:tcW w:w="0" w:type="auto"/>
            <w:vAlign w:val="center"/>
          </w:tcPr>
          <w:p w:rsidR="000A156F" w:rsidRDefault="00A9721F">
            <w:pPr>
              <w:pStyle w:val="TableBodyText"/>
            </w:pPr>
            <w:r>
              <w:t>01E7</w:t>
            </w:r>
          </w:p>
        </w:tc>
      </w:tr>
      <w:tr w:rsidR="000A156F" w:rsidTr="000A156F">
        <w:tc>
          <w:tcPr>
            <w:tcW w:w="0" w:type="auto"/>
            <w:vAlign w:val="center"/>
          </w:tcPr>
          <w:p w:rsidR="000A156F" w:rsidRDefault="00A9721F">
            <w:pPr>
              <w:pStyle w:val="TableBodyText"/>
            </w:pPr>
            <w:r>
              <w:t>WW2_ToolsOptionsPrint</w:t>
            </w:r>
          </w:p>
        </w:tc>
        <w:tc>
          <w:tcPr>
            <w:tcW w:w="0" w:type="auto"/>
            <w:vAlign w:val="center"/>
          </w:tcPr>
          <w:p w:rsidR="000A156F" w:rsidRDefault="00A9721F">
            <w:pPr>
              <w:pStyle w:val="TableBodyText"/>
            </w:pPr>
            <w:r>
              <w:t>015B</w:t>
            </w:r>
          </w:p>
        </w:tc>
      </w:tr>
      <w:tr w:rsidR="000A156F" w:rsidTr="000A156F">
        <w:tc>
          <w:tcPr>
            <w:tcW w:w="0" w:type="auto"/>
            <w:vAlign w:val="center"/>
          </w:tcPr>
          <w:p w:rsidR="000A156F" w:rsidRDefault="00A9721F">
            <w:pPr>
              <w:pStyle w:val="TableBodyText"/>
            </w:pPr>
            <w:r>
              <w:t>WW2_ToolsOptionsToolbar</w:t>
            </w:r>
          </w:p>
        </w:tc>
        <w:tc>
          <w:tcPr>
            <w:tcW w:w="0" w:type="auto"/>
            <w:vAlign w:val="center"/>
          </w:tcPr>
          <w:p w:rsidR="000A156F" w:rsidRDefault="00A9721F">
            <w:pPr>
              <w:pStyle w:val="TableBodyText"/>
            </w:pPr>
            <w:r>
              <w:t>00D2</w:t>
            </w:r>
          </w:p>
        </w:tc>
      </w:tr>
      <w:tr w:rsidR="000A156F" w:rsidTr="000A156F">
        <w:tc>
          <w:tcPr>
            <w:tcW w:w="0" w:type="auto"/>
            <w:vAlign w:val="center"/>
          </w:tcPr>
          <w:p w:rsidR="000A156F" w:rsidRDefault="00A9721F">
            <w:pPr>
              <w:pStyle w:val="TableBodyText"/>
            </w:pPr>
            <w:r>
              <w:t>WW2_ToolsOptionsView</w:t>
            </w:r>
          </w:p>
        </w:tc>
        <w:tc>
          <w:tcPr>
            <w:tcW w:w="0" w:type="auto"/>
            <w:vAlign w:val="center"/>
          </w:tcPr>
          <w:p w:rsidR="000A156F" w:rsidRDefault="00A9721F">
            <w:pPr>
              <w:pStyle w:val="TableBodyText"/>
            </w:pPr>
            <w:r>
              <w:t>01F3</w:t>
            </w:r>
          </w:p>
        </w:tc>
      </w:tr>
      <w:tr w:rsidR="000A156F" w:rsidTr="000A156F">
        <w:tc>
          <w:tcPr>
            <w:tcW w:w="0" w:type="auto"/>
            <w:vAlign w:val="center"/>
          </w:tcPr>
          <w:p w:rsidR="000A156F" w:rsidRDefault="00A9721F">
            <w:pPr>
              <w:pStyle w:val="TableBodyText"/>
            </w:pPr>
            <w:r>
              <w:t>WW2_ToolsRevisionsMark</w:t>
            </w:r>
          </w:p>
        </w:tc>
        <w:tc>
          <w:tcPr>
            <w:tcW w:w="0" w:type="auto"/>
            <w:vAlign w:val="center"/>
          </w:tcPr>
          <w:p w:rsidR="000A156F" w:rsidRDefault="00A9721F">
            <w:pPr>
              <w:pStyle w:val="TableBodyText"/>
            </w:pPr>
            <w:r>
              <w:t>01D0</w:t>
            </w:r>
          </w:p>
        </w:tc>
      </w:tr>
      <w:tr w:rsidR="000A156F" w:rsidTr="000A156F">
        <w:tc>
          <w:tcPr>
            <w:tcW w:w="0" w:type="auto"/>
            <w:vAlign w:val="center"/>
          </w:tcPr>
          <w:p w:rsidR="000A156F" w:rsidRDefault="00A9721F">
            <w:pPr>
              <w:pStyle w:val="TableBodyText"/>
            </w:pPr>
            <w:r>
              <w:t>WW2_ViewZoom</w:t>
            </w:r>
          </w:p>
        </w:tc>
        <w:tc>
          <w:tcPr>
            <w:tcW w:w="0" w:type="auto"/>
            <w:vAlign w:val="center"/>
          </w:tcPr>
          <w:p w:rsidR="000A156F" w:rsidRDefault="00A9721F">
            <w:pPr>
              <w:pStyle w:val="TableBodyText"/>
            </w:pPr>
            <w:r>
              <w:t>0094</w:t>
            </w:r>
          </w:p>
        </w:tc>
      </w:tr>
      <w:tr w:rsidR="000A156F" w:rsidTr="000A156F">
        <w:tc>
          <w:tcPr>
            <w:tcW w:w="0" w:type="auto"/>
            <w:vAlign w:val="center"/>
          </w:tcPr>
          <w:p w:rsidR="000A156F" w:rsidRDefault="00A9721F">
            <w:pPr>
              <w:pStyle w:val="TableBodyText"/>
            </w:pPr>
            <w:r>
              <w:t>WW7_DecreaseIndent</w:t>
            </w:r>
          </w:p>
        </w:tc>
        <w:tc>
          <w:tcPr>
            <w:tcW w:w="0" w:type="auto"/>
            <w:vAlign w:val="center"/>
          </w:tcPr>
          <w:p w:rsidR="000A156F" w:rsidRDefault="00A9721F">
            <w:pPr>
              <w:pStyle w:val="TableBodyText"/>
            </w:pPr>
            <w:r>
              <w:t>028A</w:t>
            </w:r>
          </w:p>
        </w:tc>
      </w:tr>
      <w:tr w:rsidR="000A156F" w:rsidTr="000A156F">
        <w:tc>
          <w:tcPr>
            <w:tcW w:w="0" w:type="auto"/>
            <w:vAlign w:val="center"/>
          </w:tcPr>
          <w:p w:rsidR="000A156F" w:rsidRDefault="00A9721F">
            <w:pPr>
              <w:pStyle w:val="TableBodyText"/>
            </w:pPr>
            <w:r>
              <w:t>WW7_DrawTextBox</w:t>
            </w:r>
          </w:p>
        </w:tc>
        <w:tc>
          <w:tcPr>
            <w:tcW w:w="0" w:type="auto"/>
            <w:vAlign w:val="center"/>
          </w:tcPr>
          <w:p w:rsidR="000A156F" w:rsidRDefault="00A9721F">
            <w:pPr>
              <w:pStyle w:val="TableBodyText"/>
            </w:pPr>
            <w:r>
              <w:t>016B</w:t>
            </w:r>
          </w:p>
        </w:tc>
      </w:tr>
      <w:tr w:rsidR="000A156F" w:rsidTr="000A156F">
        <w:tc>
          <w:tcPr>
            <w:tcW w:w="0" w:type="auto"/>
            <w:vAlign w:val="center"/>
          </w:tcPr>
          <w:p w:rsidR="000A156F" w:rsidRDefault="00A9721F">
            <w:pPr>
              <w:pStyle w:val="TableBodyText"/>
            </w:pPr>
            <w:r>
              <w:t>WW7_DrawVerticalTextBox</w:t>
            </w:r>
          </w:p>
        </w:tc>
        <w:tc>
          <w:tcPr>
            <w:tcW w:w="0" w:type="auto"/>
            <w:vAlign w:val="center"/>
          </w:tcPr>
          <w:p w:rsidR="000A156F" w:rsidRDefault="00A9721F">
            <w:pPr>
              <w:pStyle w:val="TableBodyText"/>
            </w:pPr>
            <w:r>
              <w:t>02E2</w:t>
            </w:r>
          </w:p>
        </w:tc>
      </w:tr>
      <w:tr w:rsidR="000A156F" w:rsidTr="000A156F">
        <w:tc>
          <w:tcPr>
            <w:tcW w:w="0" w:type="auto"/>
            <w:vAlign w:val="center"/>
          </w:tcPr>
          <w:p w:rsidR="000A156F" w:rsidRDefault="00A9721F">
            <w:pPr>
              <w:pStyle w:val="TableBodyText"/>
            </w:pPr>
            <w:r>
              <w:t>WW7_EditAutoText</w:t>
            </w:r>
          </w:p>
        </w:tc>
        <w:tc>
          <w:tcPr>
            <w:tcW w:w="0" w:type="auto"/>
            <w:vAlign w:val="center"/>
          </w:tcPr>
          <w:p w:rsidR="000A156F" w:rsidRDefault="00A9721F">
            <w:pPr>
              <w:pStyle w:val="TableBodyText"/>
            </w:pPr>
            <w:r>
              <w:t>007B</w:t>
            </w:r>
          </w:p>
        </w:tc>
      </w:tr>
      <w:tr w:rsidR="000A156F" w:rsidTr="000A156F">
        <w:tc>
          <w:tcPr>
            <w:tcW w:w="0" w:type="auto"/>
            <w:vAlign w:val="center"/>
          </w:tcPr>
          <w:p w:rsidR="000A156F" w:rsidRDefault="00A9721F">
            <w:pPr>
              <w:pStyle w:val="TableBodyText"/>
            </w:pPr>
            <w:r>
              <w:t>WW7_EditGoTo</w:t>
            </w:r>
          </w:p>
        </w:tc>
        <w:tc>
          <w:tcPr>
            <w:tcW w:w="0" w:type="auto"/>
            <w:vAlign w:val="center"/>
          </w:tcPr>
          <w:p w:rsidR="000A156F" w:rsidRDefault="00A9721F">
            <w:pPr>
              <w:pStyle w:val="TableBodyText"/>
            </w:pPr>
            <w:r>
              <w:t>007A</w:t>
            </w:r>
          </w:p>
        </w:tc>
      </w:tr>
      <w:tr w:rsidR="000A156F" w:rsidTr="000A156F">
        <w:tc>
          <w:tcPr>
            <w:tcW w:w="0" w:type="auto"/>
            <w:vAlign w:val="center"/>
          </w:tcPr>
          <w:p w:rsidR="000A156F" w:rsidRDefault="00A9721F">
            <w:pPr>
              <w:pStyle w:val="TableBodyText"/>
            </w:pPr>
            <w:r>
              <w:t>WW7_FormatBulletsAndNumbering</w:t>
            </w:r>
          </w:p>
        </w:tc>
        <w:tc>
          <w:tcPr>
            <w:tcW w:w="0" w:type="auto"/>
            <w:vAlign w:val="center"/>
          </w:tcPr>
          <w:p w:rsidR="000A156F" w:rsidRDefault="00A9721F">
            <w:pPr>
              <w:pStyle w:val="TableBodyText"/>
            </w:pPr>
            <w:r>
              <w:t>018D</w:t>
            </w:r>
          </w:p>
        </w:tc>
      </w:tr>
      <w:tr w:rsidR="000A156F" w:rsidTr="000A156F">
        <w:tc>
          <w:tcPr>
            <w:tcW w:w="0" w:type="auto"/>
            <w:vAlign w:val="center"/>
          </w:tcPr>
          <w:p w:rsidR="000A156F" w:rsidRDefault="00A9721F">
            <w:pPr>
              <w:pStyle w:val="TableBodyText"/>
            </w:pPr>
            <w:r>
              <w:lastRenderedPageBreak/>
              <w:t>WW7_FormatDrawingObject</w:t>
            </w:r>
          </w:p>
        </w:tc>
        <w:tc>
          <w:tcPr>
            <w:tcW w:w="0" w:type="auto"/>
            <w:vAlign w:val="center"/>
          </w:tcPr>
          <w:p w:rsidR="000A156F" w:rsidRDefault="00A9721F">
            <w:pPr>
              <w:pStyle w:val="TableBodyText"/>
            </w:pPr>
            <w:r>
              <w:t>0235</w:t>
            </w:r>
          </w:p>
        </w:tc>
      </w:tr>
      <w:tr w:rsidR="000A156F" w:rsidTr="000A156F">
        <w:tc>
          <w:tcPr>
            <w:tcW w:w="0" w:type="auto"/>
            <w:vAlign w:val="center"/>
          </w:tcPr>
          <w:p w:rsidR="000A156F" w:rsidRDefault="00A9721F">
            <w:pPr>
              <w:pStyle w:val="TableBodyText"/>
            </w:pPr>
            <w:r>
              <w:t>WW7_IncreaseIndent</w:t>
            </w:r>
          </w:p>
        </w:tc>
        <w:tc>
          <w:tcPr>
            <w:tcW w:w="0" w:type="auto"/>
            <w:vAlign w:val="center"/>
          </w:tcPr>
          <w:p w:rsidR="000A156F" w:rsidRDefault="00A9721F">
            <w:pPr>
              <w:pStyle w:val="TableBodyText"/>
            </w:pPr>
            <w:r>
              <w:t>0289</w:t>
            </w:r>
          </w:p>
        </w:tc>
      </w:tr>
      <w:tr w:rsidR="000A156F" w:rsidTr="000A156F">
        <w:tc>
          <w:tcPr>
            <w:tcW w:w="0" w:type="auto"/>
            <w:vAlign w:val="center"/>
          </w:tcPr>
          <w:p w:rsidR="000A156F" w:rsidRDefault="00A9721F">
            <w:pPr>
              <w:pStyle w:val="TableBodyText"/>
            </w:pPr>
            <w:r>
              <w:t>WW7_InsertColumnBreak</w:t>
            </w:r>
          </w:p>
        </w:tc>
        <w:tc>
          <w:tcPr>
            <w:tcW w:w="0" w:type="auto"/>
            <w:vAlign w:val="center"/>
          </w:tcPr>
          <w:p w:rsidR="000A156F" w:rsidRDefault="00A9721F">
            <w:pPr>
              <w:pStyle w:val="TableBodyText"/>
            </w:pPr>
            <w:r>
              <w:t>0116</w:t>
            </w:r>
          </w:p>
        </w:tc>
      </w:tr>
      <w:tr w:rsidR="000A156F" w:rsidTr="000A156F">
        <w:tc>
          <w:tcPr>
            <w:tcW w:w="0" w:type="auto"/>
            <w:vAlign w:val="center"/>
          </w:tcPr>
          <w:p w:rsidR="000A156F" w:rsidRDefault="00A9721F">
            <w:pPr>
              <w:pStyle w:val="TableBodyText"/>
            </w:pPr>
            <w:r>
              <w:t>WW7_InsertPageBreak</w:t>
            </w:r>
          </w:p>
        </w:tc>
        <w:tc>
          <w:tcPr>
            <w:tcW w:w="0" w:type="auto"/>
            <w:vAlign w:val="center"/>
          </w:tcPr>
          <w:p w:rsidR="000A156F" w:rsidRDefault="00A9721F">
            <w:pPr>
              <w:pStyle w:val="TableBodyText"/>
            </w:pPr>
            <w:r>
              <w:t>0115</w:t>
            </w:r>
          </w:p>
        </w:tc>
      </w:tr>
      <w:tr w:rsidR="000A156F" w:rsidTr="000A156F">
        <w:tc>
          <w:tcPr>
            <w:tcW w:w="0" w:type="auto"/>
            <w:vAlign w:val="center"/>
          </w:tcPr>
          <w:p w:rsidR="000A156F" w:rsidRDefault="00A9721F">
            <w:pPr>
              <w:pStyle w:val="TableBodyText"/>
            </w:pPr>
            <w:r>
              <w:t>WW7_ToolsGrammar</w:t>
            </w:r>
          </w:p>
        </w:tc>
        <w:tc>
          <w:tcPr>
            <w:tcW w:w="0" w:type="auto"/>
            <w:vAlign w:val="center"/>
          </w:tcPr>
          <w:p w:rsidR="000A156F" w:rsidRDefault="00A9721F">
            <w:pPr>
              <w:pStyle w:val="TableBodyText"/>
            </w:pPr>
            <w:r>
              <w:t>03E8</w:t>
            </w:r>
          </w:p>
        </w:tc>
      </w:tr>
      <w:tr w:rsidR="000A156F" w:rsidTr="000A156F">
        <w:tc>
          <w:tcPr>
            <w:tcW w:w="0" w:type="auto"/>
            <w:vAlign w:val="center"/>
          </w:tcPr>
          <w:p w:rsidR="000A156F" w:rsidRDefault="00A9721F">
            <w:pPr>
              <w:pStyle w:val="TableBodyText"/>
            </w:pPr>
            <w:r>
              <w:t>WW7_ToolsOptions</w:t>
            </w:r>
          </w:p>
        </w:tc>
        <w:tc>
          <w:tcPr>
            <w:tcW w:w="0" w:type="auto"/>
            <w:vAlign w:val="center"/>
          </w:tcPr>
          <w:p w:rsidR="000A156F" w:rsidRDefault="00A9721F">
            <w:pPr>
              <w:pStyle w:val="TableBodyText"/>
            </w:pPr>
            <w:r>
              <w:t>00CA</w:t>
            </w:r>
          </w:p>
        </w:tc>
      </w:tr>
      <w:tr w:rsidR="000A156F" w:rsidTr="000A156F">
        <w:tc>
          <w:tcPr>
            <w:tcW w:w="0" w:type="auto"/>
            <w:vAlign w:val="center"/>
          </w:tcPr>
          <w:p w:rsidR="000A156F" w:rsidRDefault="00A9721F">
            <w:pPr>
              <w:pStyle w:val="TableBodyText"/>
            </w:pPr>
            <w:r>
              <w:t>WW7_ToolsOptionsAutoFormat</w:t>
            </w:r>
          </w:p>
        </w:tc>
        <w:tc>
          <w:tcPr>
            <w:tcW w:w="0" w:type="auto"/>
            <w:vAlign w:val="center"/>
          </w:tcPr>
          <w:p w:rsidR="000A156F" w:rsidRDefault="00A9721F">
            <w:pPr>
              <w:pStyle w:val="TableBodyText"/>
            </w:pPr>
            <w:r>
              <w:t>016D</w:t>
            </w:r>
          </w:p>
        </w:tc>
      </w:tr>
      <w:tr w:rsidR="000A156F" w:rsidTr="000A156F">
        <w:tc>
          <w:tcPr>
            <w:tcW w:w="0" w:type="auto"/>
            <w:vAlign w:val="center"/>
          </w:tcPr>
          <w:p w:rsidR="000A156F" w:rsidRDefault="00A9721F">
            <w:pPr>
              <w:pStyle w:val="TableBodyText"/>
            </w:pPr>
            <w:r>
              <w:t>WebAddHyperlnkToFavorites</w:t>
            </w:r>
          </w:p>
        </w:tc>
        <w:tc>
          <w:tcPr>
            <w:tcW w:w="0" w:type="auto"/>
            <w:vAlign w:val="center"/>
          </w:tcPr>
          <w:p w:rsidR="000A156F" w:rsidRDefault="00A9721F">
            <w:pPr>
              <w:pStyle w:val="TableBodyText"/>
            </w:pPr>
            <w:r>
              <w:t>03EA</w:t>
            </w:r>
          </w:p>
        </w:tc>
      </w:tr>
      <w:tr w:rsidR="000A156F" w:rsidTr="000A156F">
        <w:tc>
          <w:tcPr>
            <w:tcW w:w="0" w:type="auto"/>
            <w:vAlign w:val="center"/>
          </w:tcPr>
          <w:p w:rsidR="000A156F" w:rsidRDefault="00A9721F">
            <w:pPr>
              <w:pStyle w:val="TableBodyText"/>
            </w:pPr>
            <w:r>
              <w:t>WebAddToFavorites</w:t>
            </w:r>
          </w:p>
        </w:tc>
        <w:tc>
          <w:tcPr>
            <w:tcW w:w="0" w:type="auto"/>
            <w:vAlign w:val="center"/>
          </w:tcPr>
          <w:p w:rsidR="000A156F" w:rsidRDefault="00A9721F">
            <w:pPr>
              <w:pStyle w:val="TableBodyText"/>
            </w:pPr>
            <w:r>
              <w:t>039C</w:t>
            </w:r>
          </w:p>
        </w:tc>
      </w:tr>
      <w:tr w:rsidR="000A156F" w:rsidTr="000A156F">
        <w:tc>
          <w:tcPr>
            <w:tcW w:w="0" w:type="auto"/>
            <w:vAlign w:val="center"/>
          </w:tcPr>
          <w:p w:rsidR="000A156F" w:rsidRDefault="00A9721F">
            <w:pPr>
              <w:pStyle w:val="TableBodyText"/>
            </w:pPr>
            <w:r>
              <w:t>WebAddress</w:t>
            </w:r>
          </w:p>
        </w:tc>
        <w:tc>
          <w:tcPr>
            <w:tcW w:w="0" w:type="auto"/>
            <w:vAlign w:val="center"/>
          </w:tcPr>
          <w:p w:rsidR="000A156F" w:rsidRDefault="00A9721F">
            <w:pPr>
              <w:pStyle w:val="TableBodyText"/>
            </w:pPr>
            <w:r>
              <w:t>03AA</w:t>
            </w:r>
          </w:p>
        </w:tc>
      </w:tr>
      <w:tr w:rsidR="000A156F" w:rsidTr="000A156F">
        <w:tc>
          <w:tcPr>
            <w:tcW w:w="0" w:type="auto"/>
            <w:vAlign w:val="center"/>
          </w:tcPr>
          <w:p w:rsidR="000A156F" w:rsidRDefault="00A9721F">
            <w:pPr>
              <w:pStyle w:val="TableBodyText"/>
            </w:pPr>
            <w:r>
              <w:t>WebCopyHyperlink</w:t>
            </w:r>
          </w:p>
        </w:tc>
        <w:tc>
          <w:tcPr>
            <w:tcW w:w="0" w:type="auto"/>
            <w:vAlign w:val="center"/>
          </w:tcPr>
          <w:p w:rsidR="000A156F" w:rsidRDefault="00A9721F">
            <w:pPr>
              <w:pStyle w:val="TableBodyText"/>
            </w:pPr>
            <w:r>
              <w:t>039B</w:t>
            </w:r>
          </w:p>
        </w:tc>
      </w:tr>
      <w:tr w:rsidR="000A156F" w:rsidTr="000A156F">
        <w:tc>
          <w:tcPr>
            <w:tcW w:w="0" w:type="auto"/>
            <w:vAlign w:val="center"/>
          </w:tcPr>
          <w:p w:rsidR="000A156F" w:rsidRDefault="00A9721F">
            <w:pPr>
              <w:pStyle w:val="TableBodyText"/>
            </w:pPr>
            <w:r>
              <w:t>WebDiscussions</w:t>
            </w:r>
          </w:p>
        </w:tc>
        <w:tc>
          <w:tcPr>
            <w:tcW w:w="0" w:type="auto"/>
            <w:vAlign w:val="center"/>
          </w:tcPr>
          <w:p w:rsidR="000A156F" w:rsidRDefault="00A9721F">
            <w:pPr>
              <w:pStyle w:val="TableBodyText"/>
            </w:pPr>
            <w:r>
              <w:t>049B</w:t>
            </w:r>
          </w:p>
        </w:tc>
      </w:tr>
      <w:tr w:rsidR="000A156F" w:rsidTr="000A156F">
        <w:tc>
          <w:tcPr>
            <w:tcW w:w="0" w:type="auto"/>
            <w:vAlign w:val="center"/>
          </w:tcPr>
          <w:p w:rsidR="000A156F" w:rsidRDefault="00A9721F">
            <w:pPr>
              <w:pStyle w:val="TableBodyText"/>
            </w:pPr>
            <w:r>
              <w:t>WebGoBack</w:t>
            </w:r>
          </w:p>
        </w:tc>
        <w:tc>
          <w:tcPr>
            <w:tcW w:w="0" w:type="auto"/>
            <w:vAlign w:val="center"/>
          </w:tcPr>
          <w:p w:rsidR="000A156F" w:rsidRDefault="00A9721F">
            <w:pPr>
              <w:pStyle w:val="TableBodyText"/>
            </w:pPr>
            <w:r>
              <w:t>03A3</w:t>
            </w:r>
          </w:p>
        </w:tc>
      </w:tr>
      <w:tr w:rsidR="000A156F" w:rsidTr="000A156F">
        <w:tc>
          <w:tcPr>
            <w:tcW w:w="0" w:type="auto"/>
            <w:vAlign w:val="center"/>
          </w:tcPr>
          <w:p w:rsidR="000A156F" w:rsidRDefault="00A9721F">
            <w:pPr>
              <w:pStyle w:val="TableBodyText"/>
            </w:pPr>
            <w:r>
              <w:t>WebGoForward</w:t>
            </w:r>
          </w:p>
        </w:tc>
        <w:tc>
          <w:tcPr>
            <w:tcW w:w="0" w:type="auto"/>
            <w:vAlign w:val="center"/>
          </w:tcPr>
          <w:p w:rsidR="000A156F" w:rsidRDefault="00A9721F">
            <w:pPr>
              <w:pStyle w:val="TableBodyText"/>
            </w:pPr>
            <w:r>
              <w:t>03A5</w:t>
            </w:r>
          </w:p>
        </w:tc>
      </w:tr>
      <w:tr w:rsidR="000A156F" w:rsidTr="000A156F">
        <w:tc>
          <w:tcPr>
            <w:tcW w:w="0" w:type="auto"/>
            <w:vAlign w:val="center"/>
          </w:tcPr>
          <w:p w:rsidR="000A156F" w:rsidRDefault="00A9721F">
            <w:pPr>
              <w:pStyle w:val="TableBodyText"/>
            </w:pPr>
            <w:r>
              <w:t>WebHideToolbars</w:t>
            </w:r>
          </w:p>
        </w:tc>
        <w:tc>
          <w:tcPr>
            <w:tcW w:w="0" w:type="auto"/>
            <w:vAlign w:val="center"/>
          </w:tcPr>
          <w:p w:rsidR="000A156F" w:rsidRDefault="00A9721F">
            <w:pPr>
              <w:pStyle w:val="TableBodyText"/>
            </w:pPr>
            <w:r>
              <w:t>03A1</w:t>
            </w:r>
          </w:p>
        </w:tc>
      </w:tr>
      <w:tr w:rsidR="000A156F" w:rsidTr="000A156F">
        <w:tc>
          <w:tcPr>
            <w:tcW w:w="0" w:type="auto"/>
            <w:vAlign w:val="center"/>
          </w:tcPr>
          <w:p w:rsidR="000A156F" w:rsidRDefault="00A9721F">
            <w:pPr>
              <w:pStyle w:val="TableBodyText"/>
            </w:pPr>
            <w:r>
              <w:t>WebOpenFavorites</w:t>
            </w:r>
          </w:p>
        </w:tc>
        <w:tc>
          <w:tcPr>
            <w:tcW w:w="0" w:type="auto"/>
            <w:vAlign w:val="center"/>
          </w:tcPr>
          <w:p w:rsidR="000A156F" w:rsidRDefault="00A9721F">
            <w:pPr>
              <w:pStyle w:val="TableBodyText"/>
            </w:pPr>
            <w:r>
              <w:t>03A0</w:t>
            </w:r>
          </w:p>
        </w:tc>
      </w:tr>
      <w:tr w:rsidR="000A156F" w:rsidTr="000A156F">
        <w:tc>
          <w:tcPr>
            <w:tcW w:w="0" w:type="auto"/>
            <w:vAlign w:val="center"/>
          </w:tcPr>
          <w:p w:rsidR="000A156F" w:rsidRDefault="00A9721F">
            <w:pPr>
              <w:pStyle w:val="TableBodyText"/>
            </w:pPr>
            <w:r>
              <w:t>WebOpenHyperlink</w:t>
            </w:r>
          </w:p>
        </w:tc>
        <w:tc>
          <w:tcPr>
            <w:tcW w:w="0" w:type="auto"/>
            <w:vAlign w:val="center"/>
          </w:tcPr>
          <w:p w:rsidR="000A156F" w:rsidRDefault="00A9721F">
            <w:pPr>
              <w:pStyle w:val="TableBodyText"/>
            </w:pPr>
            <w:r>
              <w:t>0399</w:t>
            </w:r>
          </w:p>
        </w:tc>
      </w:tr>
      <w:tr w:rsidR="000A156F" w:rsidTr="000A156F">
        <w:tc>
          <w:tcPr>
            <w:tcW w:w="0" w:type="auto"/>
            <w:vAlign w:val="center"/>
          </w:tcPr>
          <w:p w:rsidR="000A156F" w:rsidRDefault="00A9721F">
            <w:pPr>
              <w:pStyle w:val="TableBodyText"/>
            </w:pPr>
            <w:r>
              <w:t>WebOpenInNewWindow</w:t>
            </w:r>
          </w:p>
        </w:tc>
        <w:tc>
          <w:tcPr>
            <w:tcW w:w="0" w:type="auto"/>
            <w:vAlign w:val="center"/>
          </w:tcPr>
          <w:p w:rsidR="000A156F" w:rsidRDefault="00A9721F">
            <w:pPr>
              <w:pStyle w:val="TableBodyText"/>
            </w:pPr>
            <w:r>
              <w:t>039A</w:t>
            </w:r>
          </w:p>
        </w:tc>
      </w:tr>
      <w:tr w:rsidR="000A156F" w:rsidTr="000A156F">
        <w:tc>
          <w:tcPr>
            <w:tcW w:w="0" w:type="auto"/>
            <w:vAlign w:val="center"/>
          </w:tcPr>
          <w:p w:rsidR="000A156F" w:rsidRDefault="00A9721F">
            <w:pPr>
              <w:pStyle w:val="TableBodyText"/>
            </w:pPr>
            <w:r>
              <w:t>WebOpenSearchPage</w:t>
            </w:r>
          </w:p>
        </w:tc>
        <w:tc>
          <w:tcPr>
            <w:tcW w:w="0" w:type="auto"/>
            <w:vAlign w:val="center"/>
          </w:tcPr>
          <w:p w:rsidR="000A156F" w:rsidRDefault="00A9721F">
            <w:pPr>
              <w:pStyle w:val="TableBodyText"/>
            </w:pPr>
            <w:r>
              <w:t>03C8</w:t>
            </w:r>
          </w:p>
        </w:tc>
      </w:tr>
      <w:tr w:rsidR="000A156F" w:rsidTr="000A156F">
        <w:tc>
          <w:tcPr>
            <w:tcW w:w="0" w:type="auto"/>
            <w:vAlign w:val="center"/>
          </w:tcPr>
          <w:p w:rsidR="000A156F" w:rsidRDefault="00A9721F">
            <w:pPr>
              <w:pStyle w:val="TableBodyText"/>
            </w:pPr>
            <w:r>
              <w:t>WebOpenStartPage</w:t>
            </w:r>
          </w:p>
        </w:tc>
        <w:tc>
          <w:tcPr>
            <w:tcW w:w="0" w:type="auto"/>
            <w:vAlign w:val="center"/>
          </w:tcPr>
          <w:p w:rsidR="000A156F" w:rsidRDefault="00A9721F">
            <w:pPr>
              <w:pStyle w:val="TableBodyText"/>
            </w:pPr>
            <w:r>
              <w:t>03A2</w:t>
            </w:r>
          </w:p>
        </w:tc>
      </w:tr>
      <w:tr w:rsidR="000A156F" w:rsidTr="000A156F">
        <w:tc>
          <w:tcPr>
            <w:tcW w:w="0" w:type="auto"/>
            <w:vAlign w:val="center"/>
          </w:tcPr>
          <w:p w:rsidR="000A156F" w:rsidRDefault="00A9721F">
            <w:pPr>
              <w:pStyle w:val="TableBodyText"/>
            </w:pPr>
            <w:r>
              <w:t>WebOptions</w:t>
            </w:r>
          </w:p>
        </w:tc>
        <w:tc>
          <w:tcPr>
            <w:tcW w:w="0" w:type="auto"/>
            <w:vAlign w:val="center"/>
          </w:tcPr>
          <w:p w:rsidR="000A156F" w:rsidRDefault="00A9721F">
            <w:pPr>
              <w:pStyle w:val="TableBodyText"/>
            </w:pPr>
            <w:r>
              <w:t>0382</w:t>
            </w:r>
          </w:p>
        </w:tc>
      </w:tr>
      <w:tr w:rsidR="000A156F" w:rsidTr="000A156F">
        <w:tc>
          <w:tcPr>
            <w:tcW w:w="0" w:type="auto"/>
            <w:vAlign w:val="center"/>
          </w:tcPr>
          <w:p w:rsidR="000A156F" w:rsidRDefault="00A9721F">
            <w:pPr>
              <w:pStyle w:val="TableBodyText"/>
            </w:pPr>
            <w:r>
              <w:t>WebPagePreview</w:t>
            </w:r>
          </w:p>
        </w:tc>
        <w:tc>
          <w:tcPr>
            <w:tcW w:w="0" w:type="auto"/>
            <w:vAlign w:val="center"/>
          </w:tcPr>
          <w:p w:rsidR="000A156F" w:rsidRDefault="00A9721F">
            <w:pPr>
              <w:pStyle w:val="TableBodyText"/>
            </w:pPr>
            <w:r>
              <w:t>0445</w:t>
            </w:r>
          </w:p>
        </w:tc>
      </w:tr>
      <w:tr w:rsidR="000A156F" w:rsidTr="000A156F">
        <w:tc>
          <w:tcPr>
            <w:tcW w:w="0" w:type="auto"/>
            <w:vAlign w:val="center"/>
          </w:tcPr>
          <w:p w:rsidR="000A156F" w:rsidRDefault="00A9721F">
            <w:pPr>
              <w:pStyle w:val="TableBodyText"/>
            </w:pPr>
            <w:r>
              <w:t>WebRefresh</w:t>
            </w:r>
          </w:p>
        </w:tc>
        <w:tc>
          <w:tcPr>
            <w:tcW w:w="0" w:type="auto"/>
            <w:vAlign w:val="center"/>
          </w:tcPr>
          <w:p w:rsidR="000A156F" w:rsidRDefault="00A9721F">
            <w:pPr>
              <w:pStyle w:val="TableBodyText"/>
            </w:pPr>
            <w:r>
              <w:t>03A7</w:t>
            </w:r>
          </w:p>
        </w:tc>
      </w:tr>
      <w:tr w:rsidR="000A156F" w:rsidTr="000A156F">
        <w:tc>
          <w:tcPr>
            <w:tcW w:w="0" w:type="auto"/>
            <w:vAlign w:val="center"/>
          </w:tcPr>
          <w:p w:rsidR="000A156F" w:rsidRDefault="00A9721F">
            <w:pPr>
              <w:pStyle w:val="TableBodyText"/>
            </w:pPr>
            <w:r>
              <w:t>WebSelectHyperlink</w:t>
            </w:r>
          </w:p>
        </w:tc>
        <w:tc>
          <w:tcPr>
            <w:tcW w:w="0" w:type="auto"/>
            <w:vAlign w:val="center"/>
          </w:tcPr>
          <w:p w:rsidR="000A156F" w:rsidRDefault="00A9721F">
            <w:pPr>
              <w:pStyle w:val="TableBodyText"/>
            </w:pPr>
            <w:r>
              <w:t>039F</w:t>
            </w:r>
          </w:p>
        </w:tc>
      </w:tr>
      <w:tr w:rsidR="000A156F" w:rsidTr="000A156F">
        <w:tc>
          <w:tcPr>
            <w:tcW w:w="0" w:type="auto"/>
            <w:vAlign w:val="center"/>
          </w:tcPr>
          <w:p w:rsidR="000A156F" w:rsidRDefault="00A9721F">
            <w:pPr>
              <w:pStyle w:val="TableBodyText"/>
            </w:pPr>
            <w:r>
              <w:t>WebStopLoading</w:t>
            </w:r>
          </w:p>
        </w:tc>
        <w:tc>
          <w:tcPr>
            <w:tcW w:w="0" w:type="auto"/>
            <w:vAlign w:val="center"/>
          </w:tcPr>
          <w:p w:rsidR="000A156F" w:rsidRDefault="00A9721F">
            <w:pPr>
              <w:pStyle w:val="TableBodyText"/>
            </w:pPr>
            <w:r>
              <w:t>03A6</w:t>
            </w:r>
          </w:p>
        </w:tc>
      </w:tr>
      <w:tr w:rsidR="000A156F" w:rsidTr="000A156F">
        <w:tc>
          <w:tcPr>
            <w:tcW w:w="0" w:type="auto"/>
            <w:vAlign w:val="center"/>
          </w:tcPr>
          <w:p w:rsidR="000A156F" w:rsidRDefault="00A9721F">
            <w:pPr>
              <w:pStyle w:val="TableBodyText"/>
            </w:pPr>
            <w:r>
              <w:t>WebToolbar</w:t>
            </w:r>
          </w:p>
        </w:tc>
        <w:tc>
          <w:tcPr>
            <w:tcW w:w="0" w:type="auto"/>
            <w:vAlign w:val="center"/>
          </w:tcPr>
          <w:p w:rsidR="000A156F" w:rsidRDefault="00A9721F">
            <w:pPr>
              <w:pStyle w:val="TableBodyText"/>
            </w:pPr>
            <w:r>
              <w:t>03F0</w:t>
            </w:r>
          </w:p>
        </w:tc>
      </w:tr>
      <w:tr w:rsidR="000A156F" w:rsidTr="000A156F">
        <w:tc>
          <w:tcPr>
            <w:tcW w:w="0" w:type="auto"/>
            <w:vAlign w:val="center"/>
          </w:tcPr>
          <w:p w:rsidR="000A156F" w:rsidRDefault="00A9721F">
            <w:pPr>
              <w:pStyle w:val="TableBodyText"/>
            </w:pPr>
            <w:r>
              <w:t>WindowArrangeAll</w:t>
            </w:r>
          </w:p>
        </w:tc>
        <w:tc>
          <w:tcPr>
            <w:tcW w:w="0" w:type="auto"/>
            <w:vAlign w:val="center"/>
          </w:tcPr>
          <w:p w:rsidR="000A156F" w:rsidRDefault="00A9721F">
            <w:pPr>
              <w:pStyle w:val="TableBodyText"/>
            </w:pPr>
            <w:r>
              <w:t>00DA</w:t>
            </w:r>
          </w:p>
        </w:tc>
      </w:tr>
      <w:tr w:rsidR="000A156F" w:rsidTr="000A156F">
        <w:tc>
          <w:tcPr>
            <w:tcW w:w="0" w:type="auto"/>
            <w:vAlign w:val="center"/>
          </w:tcPr>
          <w:p w:rsidR="000A156F" w:rsidRDefault="00A9721F">
            <w:pPr>
              <w:pStyle w:val="TableBodyText"/>
            </w:pPr>
            <w:r>
              <w:t>WindowArrangeSideBySide</w:t>
            </w:r>
          </w:p>
        </w:tc>
        <w:tc>
          <w:tcPr>
            <w:tcW w:w="0" w:type="auto"/>
            <w:vAlign w:val="center"/>
          </w:tcPr>
          <w:p w:rsidR="000A156F" w:rsidRDefault="00A9721F">
            <w:pPr>
              <w:pStyle w:val="TableBodyText"/>
            </w:pPr>
            <w:r>
              <w:t>058B</w:t>
            </w:r>
          </w:p>
        </w:tc>
      </w:tr>
      <w:tr w:rsidR="000A156F" w:rsidTr="000A156F">
        <w:tc>
          <w:tcPr>
            <w:tcW w:w="0" w:type="auto"/>
            <w:vAlign w:val="center"/>
          </w:tcPr>
          <w:p w:rsidR="000A156F" w:rsidRDefault="00A9721F">
            <w:pPr>
              <w:pStyle w:val="TableBodyText"/>
            </w:pPr>
            <w:r>
              <w:t>WindowList</w:t>
            </w:r>
          </w:p>
        </w:tc>
        <w:tc>
          <w:tcPr>
            <w:tcW w:w="0" w:type="auto"/>
            <w:vAlign w:val="center"/>
          </w:tcPr>
          <w:p w:rsidR="000A156F" w:rsidRDefault="00A9721F">
            <w:pPr>
              <w:pStyle w:val="TableBodyText"/>
            </w:pPr>
            <w:r>
              <w:t>00DC</w:t>
            </w:r>
          </w:p>
        </w:tc>
      </w:tr>
      <w:tr w:rsidR="000A156F" w:rsidTr="000A156F">
        <w:tc>
          <w:tcPr>
            <w:tcW w:w="0" w:type="auto"/>
            <w:vAlign w:val="center"/>
          </w:tcPr>
          <w:p w:rsidR="000A156F" w:rsidRDefault="00A9721F">
            <w:pPr>
              <w:pStyle w:val="TableBodyText"/>
            </w:pPr>
            <w:r>
              <w:t>WindowNewWindow</w:t>
            </w:r>
          </w:p>
        </w:tc>
        <w:tc>
          <w:tcPr>
            <w:tcW w:w="0" w:type="auto"/>
            <w:vAlign w:val="center"/>
          </w:tcPr>
          <w:p w:rsidR="000A156F" w:rsidRDefault="00A9721F">
            <w:pPr>
              <w:pStyle w:val="TableBodyText"/>
            </w:pPr>
            <w:r>
              <w:t>00D9</w:t>
            </w:r>
          </w:p>
        </w:tc>
      </w:tr>
      <w:tr w:rsidR="000A156F" w:rsidTr="000A156F">
        <w:tc>
          <w:tcPr>
            <w:tcW w:w="0" w:type="auto"/>
            <w:vAlign w:val="center"/>
          </w:tcPr>
          <w:p w:rsidR="000A156F" w:rsidRDefault="00A9721F">
            <w:pPr>
              <w:pStyle w:val="TableBodyText"/>
            </w:pPr>
            <w:r>
              <w:t>WordArtGallery</w:t>
            </w:r>
          </w:p>
        </w:tc>
        <w:tc>
          <w:tcPr>
            <w:tcW w:w="0" w:type="auto"/>
            <w:vAlign w:val="center"/>
          </w:tcPr>
          <w:p w:rsidR="000A156F" w:rsidRDefault="00A9721F">
            <w:pPr>
              <w:pStyle w:val="TableBodyText"/>
            </w:pPr>
            <w:r>
              <w:t>08CE</w:t>
            </w:r>
          </w:p>
        </w:tc>
      </w:tr>
      <w:tr w:rsidR="000A156F" w:rsidTr="000A156F">
        <w:tc>
          <w:tcPr>
            <w:tcW w:w="0" w:type="auto"/>
            <w:vAlign w:val="center"/>
          </w:tcPr>
          <w:p w:rsidR="000A156F" w:rsidRDefault="00A9721F">
            <w:pPr>
              <w:pStyle w:val="TableBodyText"/>
            </w:pPr>
            <w:r>
              <w:t>WordArtShapeGallery</w:t>
            </w:r>
          </w:p>
        </w:tc>
        <w:tc>
          <w:tcPr>
            <w:tcW w:w="0" w:type="auto"/>
            <w:vAlign w:val="center"/>
          </w:tcPr>
          <w:p w:rsidR="000A156F" w:rsidRDefault="00A9721F">
            <w:pPr>
              <w:pStyle w:val="TableBodyText"/>
            </w:pPr>
            <w:r>
              <w:t>08D3</w:t>
            </w:r>
          </w:p>
        </w:tc>
      </w:tr>
      <w:tr w:rsidR="000A156F" w:rsidTr="000A156F">
        <w:tc>
          <w:tcPr>
            <w:tcW w:w="0" w:type="auto"/>
            <w:vAlign w:val="center"/>
          </w:tcPr>
          <w:p w:rsidR="000A156F" w:rsidRDefault="00A9721F">
            <w:pPr>
              <w:pStyle w:val="TableBodyText"/>
            </w:pPr>
            <w:r>
              <w:lastRenderedPageBreak/>
              <w:t>WordLeft</w:t>
            </w:r>
          </w:p>
        </w:tc>
        <w:tc>
          <w:tcPr>
            <w:tcW w:w="0" w:type="auto"/>
            <w:vAlign w:val="center"/>
          </w:tcPr>
          <w:p w:rsidR="000A156F" w:rsidRDefault="00A9721F">
            <w:pPr>
              <w:pStyle w:val="TableBodyText"/>
            </w:pPr>
            <w:r>
              <w:t>0FA2</w:t>
            </w:r>
          </w:p>
        </w:tc>
      </w:tr>
      <w:tr w:rsidR="000A156F" w:rsidTr="000A156F">
        <w:tc>
          <w:tcPr>
            <w:tcW w:w="0" w:type="auto"/>
            <w:vAlign w:val="center"/>
          </w:tcPr>
          <w:p w:rsidR="000A156F" w:rsidRDefault="00A9721F">
            <w:pPr>
              <w:pStyle w:val="TableBodyText"/>
            </w:pPr>
            <w:r>
              <w:t>WordLeftExtend</w:t>
            </w:r>
          </w:p>
        </w:tc>
        <w:tc>
          <w:tcPr>
            <w:tcW w:w="0" w:type="auto"/>
            <w:vAlign w:val="center"/>
          </w:tcPr>
          <w:p w:rsidR="000A156F" w:rsidRDefault="00A9721F">
            <w:pPr>
              <w:pStyle w:val="TableBodyText"/>
            </w:pPr>
            <w:r>
              <w:t>0FB4</w:t>
            </w:r>
          </w:p>
        </w:tc>
      </w:tr>
      <w:tr w:rsidR="000A156F" w:rsidTr="000A156F">
        <w:tc>
          <w:tcPr>
            <w:tcW w:w="0" w:type="auto"/>
            <w:vAlign w:val="center"/>
          </w:tcPr>
          <w:p w:rsidR="000A156F" w:rsidRDefault="00A9721F">
            <w:pPr>
              <w:pStyle w:val="TableBodyText"/>
            </w:pPr>
            <w:r>
              <w:t>WordRight</w:t>
            </w:r>
          </w:p>
        </w:tc>
        <w:tc>
          <w:tcPr>
            <w:tcW w:w="0" w:type="auto"/>
            <w:vAlign w:val="center"/>
          </w:tcPr>
          <w:p w:rsidR="000A156F" w:rsidRDefault="00A9721F">
            <w:pPr>
              <w:pStyle w:val="TableBodyText"/>
            </w:pPr>
            <w:r>
              <w:t>0FA3</w:t>
            </w:r>
          </w:p>
        </w:tc>
      </w:tr>
      <w:tr w:rsidR="000A156F" w:rsidTr="000A156F">
        <w:tc>
          <w:tcPr>
            <w:tcW w:w="0" w:type="auto"/>
            <w:vAlign w:val="center"/>
          </w:tcPr>
          <w:p w:rsidR="000A156F" w:rsidRDefault="00A9721F">
            <w:pPr>
              <w:pStyle w:val="TableBodyText"/>
            </w:pPr>
            <w:r>
              <w:t>WordRightExtend</w:t>
            </w:r>
          </w:p>
        </w:tc>
        <w:tc>
          <w:tcPr>
            <w:tcW w:w="0" w:type="auto"/>
            <w:vAlign w:val="center"/>
          </w:tcPr>
          <w:p w:rsidR="000A156F" w:rsidRDefault="00A9721F">
            <w:pPr>
              <w:pStyle w:val="TableBodyText"/>
            </w:pPr>
            <w:r>
              <w:t>0FB5</w:t>
            </w:r>
          </w:p>
        </w:tc>
      </w:tr>
      <w:tr w:rsidR="000A156F" w:rsidTr="000A156F">
        <w:tc>
          <w:tcPr>
            <w:tcW w:w="0" w:type="auto"/>
            <w:vAlign w:val="center"/>
          </w:tcPr>
          <w:p w:rsidR="000A156F" w:rsidRDefault="00A9721F">
            <w:pPr>
              <w:pStyle w:val="TableBodyText"/>
            </w:pPr>
            <w:r>
              <w:t>WordSearchLibraries</w:t>
            </w:r>
          </w:p>
        </w:tc>
        <w:tc>
          <w:tcPr>
            <w:tcW w:w="0" w:type="auto"/>
            <w:vAlign w:val="center"/>
          </w:tcPr>
          <w:p w:rsidR="000A156F" w:rsidRDefault="00A9721F">
            <w:pPr>
              <w:pStyle w:val="TableBodyText"/>
            </w:pPr>
            <w:r>
              <w:t>080D</w:t>
            </w:r>
          </w:p>
        </w:tc>
      </w:tr>
      <w:tr w:rsidR="000A156F" w:rsidTr="000A156F">
        <w:tc>
          <w:tcPr>
            <w:tcW w:w="0" w:type="auto"/>
            <w:vAlign w:val="center"/>
          </w:tcPr>
          <w:p w:rsidR="000A156F" w:rsidRDefault="00A9721F">
            <w:pPr>
              <w:pStyle w:val="TableBodyText"/>
            </w:pPr>
            <w:r>
              <w:t>WordSetDefaultPaste</w:t>
            </w:r>
          </w:p>
        </w:tc>
        <w:tc>
          <w:tcPr>
            <w:tcW w:w="0" w:type="auto"/>
            <w:vAlign w:val="center"/>
          </w:tcPr>
          <w:p w:rsidR="000A156F" w:rsidRDefault="00A9721F">
            <w:pPr>
              <w:pStyle w:val="TableBodyText"/>
            </w:pPr>
            <w:r>
              <w:t>0924</w:t>
            </w:r>
          </w:p>
        </w:tc>
      </w:tr>
      <w:tr w:rsidR="000A156F" w:rsidTr="000A156F">
        <w:tc>
          <w:tcPr>
            <w:tcW w:w="0" w:type="auto"/>
            <w:vAlign w:val="center"/>
          </w:tcPr>
          <w:p w:rsidR="000A156F" w:rsidRDefault="00A9721F">
            <w:pPr>
              <w:pStyle w:val="TableBodyText"/>
            </w:pPr>
            <w:r>
              <w:t>WordTableStylesBandedColumns</w:t>
            </w:r>
          </w:p>
        </w:tc>
        <w:tc>
          <w:tcPr>
            <w:tcW w:w="0" w:type="auto"/>
            <w:vAlign w:val="center"/>
          </w:tcPr>
          <w:p w:rsidR="000A156F" w:rsidRDefault="00A9721F">
            <w:pPr>
              <w:pStyle w:val="TableBodyText"/>
            </w:pPr>
            <w:r>
              <w:t>08F5</w:t>
            </w:r>
          </w:p>
        </w:tc>
      </w:tr>
      <w:tr w:rsidR="000A156F" w:rsidTr="000A156F">
        <w:tc>
          <w:tcPr>
            <w:tcW w:w="0" w:type="auto"/>
            <w:vAlign w:val="center"/>
          </w:tcPr>
          <w:p w:rsidR="000A156F" w:rsidRDefault="00A9721F">
            <w:pPr>
              <w:pStyle w:val="TableBodyText"/>
            </w:pPr>
            <w:r>
              <w:t>WordTableStylesBandedRows</w:t>
            </w:r>
          </w:p>
        </w:tc>
        <w:tc>
          <w:tcPr>
            <w:tcW w:w="0" w:type="auto"/>
            <w:vAlign w:val="center"/>
          </w:tcPr>
          <w:p w:rsidR="000A156F" w:rsidRDefault="00A9721F">
            <w:pPr>
              <w:pStyle w:val="TableBodyText"/>
            </w:pPr>
            <w:r>
              <w:t>08F4</w:t>
            </w:r>
          </w:p>
        </w:tc>
      </w:tr>
      <w:tr w:rsidR="000A156F" w:rsidTr="000A156F">
        <w:tc>
          <w:tcPr>
            <w:tcW w:w="0" w:type="auto"/>
            <w:vAlign w:val="center"/>
          </w:tcPr>
          <w:p w:rsidR="000A156F" w:rsidRDefault="00A9721F">
            <w:pPr>
              <w:pStyle w:val="TableBodyText"/>
            </w:pPr>
            <w:r>
              <w:t>WordTableStylesFirstColumn</w:t>
            </w:r>
          </w:p>
        </w:tc>
        <w:tc>
          <w:tcPr>
            <w:tcW w:w="0" w:type="auto"/>
            <w:vAlign w:val="center"/>
          </w:tcPr>
          <w:p w:rsidR="000A156F" w:rsidRDefault="00A9721F">
            <w:pPr>
              <w:pStyle w:val="TableBodyText"/>
            </w:pPr>
            <w:r>
              <w:t>08F2</w:t>
            </w:r>
          </w:p>
        </w:tc>
      </w:tr>
      <w:tr w:rsidR="000A156F" w:rsidTr="000A156F">
        <w:tc>
          <w:tcPr>
            <w:tcW w:w="0" w:type="auto"/>
            <w:vAlign w:val="center"/>
          </w:tcPr>
          <w:p w:rsidR="000A156F" w:rsidRDefault="00A9721F">
            <w:pPr>
              <w:pStyle w:val="TableBodyText"/>
            </w:pPr>
            <w:r>
              <w:t>WordTableStylesHeaderRow</w:t>
            </w:r>
          </w:p>
        </w:tc>
        <w:tc>
          <w:tcPr>
            <w:tcW w:w="0" w:type="auto"/>
            <w:vAlign w:val="center"/>
          </w:tcPr>
          <w:p w:rsidR="000A156F" w:rsidRDefault="00A9721F">
            <w:pPr>
              <w:pStyle w:val="TableBodyText"/>
            </w:pPr>
            <w:r>
              <w:t>08F0</w:t>
            </w:r>
          </w:p>
        </w:tc>
      </w:tr>
      <w:tr w:rsidR="000A156F" w:rsidTr="000A156F">
        <w:tc>
          <w:tcPr>
            <w:tcW w:w="0" w:type="auto"/>
            <w:vAlign w:val="center"/>
          </w:tcPr>
          <w:p w:rsidR="000A156F" w:rsidRDefault="00A9721F">
            <w:pPr>
              <w:pStyle w:val="TableBodyText"/>
            </w:pPr>
            <w:r>
              <w:t>WordTableStylesLastColumn</w:t>
            </w:r>
          </w:p>
        </w:tc>
        <w:tc>
          <w:tcPr>
            <w:tcW w:w="0" w:type="auto"/>
            <w:vAlign w:val="center"/>
          </w:tcPr>
          <w:p w:rsidR="000A156F" w:rsidRDefault="00A9721F">
            <w:pPr>
              <w:pStyle w:val="TableBodyText"/>
            </w:pPr>
            <w:r>
              <w:t>08F3</w:t>
            </w:r>
          </w:p>
        </w:tc>
      </w:tr>
      <w:tr w:rsidR="000A156F" w:rsidTr="000A156F">
        <w:tc>
          <w:tcPr>
            <w:tcW w:w="0" w:type="auto"/>
            <w:vAlign w:val="center"/>
          </w:tcPr>
          <w:p w:rsidR="000A156F" w:rsidRDefault="00A9721F">
            <w:pPr>
              <w:pStyle w:val="TableBodyText"/>
            </w:pPr>
            <w:r>
              <w:t>WordTableStylesTotalRow</w:t>
            </w:r>
          </w:p>
        </w:tc>
        <w:tc>
          <w:tcPr>
            <w:tcW w:w="0" w:type="auto"/>
            <w:vAlign w:val="center"/>
          </w:tcPr>
          <w:p w:rsidR="000A156F" w:rsidRDefault="00A9721F">
            <w:pPr>
              <w:pStyle w:val="TableBodyText"/>
            </w:pPr>
            <w:r>
              <w:t>08F1</w:t>
            </w:r>
          </w:p>
        </w:tc>
      </w:tr>
      <w:tr w:rsidR="000A156F" w:rsidTr="000A156F">
        <w:tc>
          <w:tcPr>
            <w:tcW w:w="0" w:type="auto"/>
            <w:vAlign w:val="center"/>
          </w:tcPr>
          <w:p w:rsidR="000A156F" w:rsidRDefault="00A9721F">
            <w:pPr>
              <w:pStyle w:val="TableBodyText"/>
            </w:pPr>
            <w:r>
              <w:t>WordUnderline</w:t>
            </w:r>
          </w:p>
        </w:tc>
        <w:tc>
          <w:tcPr>
            <w:tcW w:w="0" w:type="auto"/>
            <w:vAlign w:val="center"/>
          </w:tcPr>
          <w:p w:rsidR="000A156F" w:rsidRDefault="00A9721F">
            <w:pPr>
              <w:pStyle w:val="TableBodyText"/>
            </w:pPr>
            <w:r>
              <w:t>0035</w:t>
            </w:r>
          </w:p>
        </w:tc>
      </w:tr>
      <w:tr w:rsidR="000A156F" w:rsidTr="000A156F">
        <w:tc>
          <w:tcPr>
            <w:tcW w:w="0" w:type="auto"/>
            <w:vAlign w:val="center"/>
          </w:tcPr>
          <w:p w:rsidR="000A156F" w:rsidRDefault="00A9721F">
            <w:pPr>
              <w:pStyle w:val="TableBodyText"/>
            </w:pPr>
            <w:r>
              <w:t>XMLDocument</w:t>
            </w:r>
          </w:p>
        </w:tc>
        <w:tc>
          <w:tcPr>
            <w:tcW w:w="0" w:type="auto"/>
            <w:vAlign w:val="center"/>
          </w:tcPr>
          <w:p w:rsidR="000A156F" w:rsidRDefault="00A9721F">
            <w:pPr>
              <w:pStyle w:val="TableBodyText"/>
            </w:pPr>
            <w:r>
              <w:t>0592</w:t>
            </w:r>
          </w:p>
        </w:tc>
      </w:tr>
      <w:tr w:rsidR="000A156F" w:rsidTr="000A156F">
        <w:tc>
          <w:tcPr>
            <w:tcW w:w="0" w:type="auto"/>
            <w:vAlign w:val="center"/>
          </w:tcPr>
          <w:p w:rsidR="000A156F" w:rsidRDefault="00A9721F">
            <w:pPr>
              <w:pStyle w:val="TableBodyText"/>
            </w:pPr>
            <w:r>
              <w:t>XMLGroup</w:t>
            </w:r>
          </w:p>
        </w:tc>
        <w:tc>
          <w:tcPr>
            <w:tcW w:w="0" w:type="auto"/>
            <w:vAlign w:val="center"/>
          </w:tcPr>
          <w:p w:rsidR="000A156F" w:rsidRDefault="00A9721F">
            <w:pPr>
              <w:pStyle w:val="TableBodyText"/>
            </w:pPr>
            <w:r>
              <w:t>08D4</w:t>
            </w:r>
          </w:p>
        </w:tc>
      </w:tr>
      <w:tr w:rsidR="000A156F" w:rsidTr="000A156F">
        <w:tc>
          <w:tcPr>
            <w:tcW w:w="0" w:type="auto"/>
            <w:vAlign w:val="center"/>
          </w:tcPr>
          <w:p w:rsidR="000A156F" w:rsidRDefault="00A9721F">
            <w:pPr>
              <w:pStyle w:val="TableBodyText"/>
            </w:pPr>
            <w:r>
              <w:t>XMLOptions</w:t>
            </w:r>
          </w:p>
        </w:tc>
        <w:tc>
          <w:tcPr>
            <w:tcW w:w="0" w:type="auto"/>
            <w:vAlign w:val="center"/>
          </w:tcPr>
          <w:p w:rsidR="000A156F" w:rsidRDefault="00A9721F">
            <w:pPr>
              <w:pStyle w:val="TableBodyText"/>
            </w:pPr>
            <w:r>
              <w:t>0591</w:t>
            </w:r>
          </w:p>
        </w:tc>
      </w:tr>
      <w:tr w:rsidR="000A156F" w:rsidTr="000A156F">
        <w:tc>
          <w:tcPr>
            <w:tcW w:w="0" w:type="auto"/>
            <w:vAlign w:val="center"/>
          </w:tcPr>
          <w:p w:rsidR="000A156F" w:rsidRDefault="00A9721F">
            <w:pPr>
              <w:pStyle w:val="TableBodyText"/>
            </w:pPr>
            <w:r>
              <w:t>XmlAttr</w:t>
            </w:r>
          </w:p>
        </w:tc>
        <w:tc>
          <w:tcPr>
            <w:tcW w:w="0" w:type="auto"/>
            <w:vAlign w:val="center"/>
          </w:tcPr>
          <w:p w:rsidR="000A156F" w:rsidRDefault="00A9721F">
            <w:pPr>
              <w:pStyle w:val="TableBodyText"/>
            </w:pPr>
            <w:r>
              <w:t>05B4</w:t>
            </w:r>
          </w:p>
        </w:tc>
      </w:tr>
      <w:tr w:rsidR="000A156F" w:rsidTr="000A156F">
        <w:tc>
          <w:tcPr>
            <w:tcW w:w="0" w:type="auto"/>
            <w:vAlign w:val="center"/>
          </w:tcPr>
          <w:p w:rsidR="000A156F" w:rsidRDefault="00A9721F">
            <w:pPr>
              <w:pStyle w:val="TableBodyText"/>
            </w:pPr>
            <w:r>
              <w:t>XmlExpansionPacks</w:t>
            </w:r>
          </w:p>
        </w:tc>
        <w:tc>
          <w:tcPr>
            <w:tcW w:w="0" w:type="auto"/>
            <w:vAlign w:val="center"/>
          </w:tcPr>
          <w:p w:rsidR="000A156F" w:rsidRDefault="00A9721F">
            <w:pPr>
              <w:pStyle w:val="TableBodyText"/>
            </w:pPr>
            <w:r>
              <w:t>0811</w:t>
            </w:r>
          </w:p>
        </w:tc>
      </w:tr>
      <w:tr w:rsidR="000A156F" w:rsidTr="000A156F">
        <w:tc>
          <w:tcPr>
            <w:tcW w:w="0" w:type="auto"/>
            <w:vAlign w:val="center"/>
          </w:tcPr>
          <w:p w:rsidR="000A156F" w:rsidRDefault="00A9721F">
            <w:pPr>
              <w:pStyle w:val="TableBodyText"/>
            </w:pPr>
            <w:r>
              <w:t>XmlSchema</w:t>
            </w:r>
          </w:p>
        </w:tc>
        <w:tc>
          <w:tcPr>
            <w:tcW w:w="0" w:type="auto"/>
            <w:vAlign w:val="center"/>
          </w:tcPr>
          <w:p w:rsidR="000A156F" w:rsidRDefault="00A9721F">
            <w:pPr>
              <w:pStyle w:val="TableBodyText"/>
            </w:pPr>
            <w:r>
              <w:t>0810</w:t>
            </w:r>
          </w:p>
        </w:tc>
      </w:tr>
      <w:tr w:rsidR="000A156F" w:rsidTr="000A156F">
        <w:tc>
          <w:tcPr>
            <w:tcW w:w="0" w:type="auto"/>
            <w:vAlign w:val="center"/>
          </w:tcPr>
          <w:p w:rsidR="000A156F" w:rsidRDefault="00A9721F">
            <w:pPr>
              <w:pStyle w:val="TableBodyText"/>
            </w:pPr>
            <w:r>
              <w:t>Zoom100</w:t>
            </w:r>
          </w:p>
        </w:tc>
        <w:tc>
          <w:tcPr>
            <w:tcW w:w="0" w:type="auto"/>
            <w:vAlign w:val="center"/>
          </w:tcPr>
          <w:p w:rsidR="000A156F" w:rsidRDefault="00A9721F">
            <w:pPr>
              <w:pStyle w:val="TableBodyText"/>
            </w:pPr>
            <w:r>
              <w:t>09A3</w:t>
            </w:r>
          </w:p>
        </w:tc>
      </w:tr>
    </w:tbl>
    <w:p w:rsidR="000A156F" w:rsidRDefault="000A156F"/>
    <w:p w:rsidR="000A156F" w:rsidRDefault="00A9721F">
      <w:pPr>
        <w:pStyle w:val="Heading5"/>
      </w:pPr>
      <w:bookmarkStart w:id="3863" w:name="section_c1f7dc7261034817b86d301051daeb73"/>
      <w:bookmarkStart w:id="3864" w:name="_Toc181684957"/>
      <w:r>
        <w:t>Statements</w:t>
      </w:r>
      <w:bookmarkEnd w:id="3863"/>
      <w:bookmarkEnd w:id="3864"/>
      <w:r>
        <w:fldChar w:fldCharType="begin"/>
      </w:r>
      <w:r>
        <w:instrText xml:space="preserve"> XE "Statements" </w:instrText>
      </w:r>
      <w:r>
        <w:fldChar w:fldCharType="end"/>
      </w:r>
    </w:p>
    <w:p w:rsidR="000A156F" w:rsidRDefault="00A9721F">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Statement Name</w:t>
            </w:r>
          </w:p>
        </w:tc>
      </w:tr>
      <w:tr w:rsidR="000A156F" w:rsidTr="000A156F">
        <w:tc>
          <w:tcPr>
            <w:tcW w:w="0" w:type="auto"/>
            <w:vAlign w:val="center"/>
          </w:tcPr>
          <w:p w:rsidR="000A156F" w:rsidRDefault="00A9721F">
            <w:pPr>
              <w:pStyle w:val="TableBodyText"/>
            </w:pPr>
            <w:r>
              <w:t>AOCEAddRecipient</w:t>
            </w:r>
          </w:p>
        </w:tc>
      </w:tr>
      <w:tr w:rsidR="000A156F" w:rsidTr="000A156F">
        <w:tc>
          <w:tcPr>
            <w:tcW w:w="0" w:type="auto"/>
            <w:vAlign w:val="center"/>
          </w:tcPr>
          <w:p w:rsidR="000A156F" w:rsidRDefault="00A9721F">
            <w:pPr>
              <w:pStyle w:val="TableBodyText"/>
            </w:pPr>
            <w:r>
              <w:t>AOCEAuthenticateUser</w:t>
            </w:r>
          </w:p>
        </w:tc>
      </w:tr>
      <w:tr w:rsidR="000A156F" w:rsidTr="000A156F">
        <w:tc>
          <w:tcPr>
            <w:tcW w:w="0" w:type="auto"/>
            <w:vAlign w:val="center"/>
          </w:tcPr>
          <w:p w:rsidR="000A156F" w:rsidRDefault="00A9721F">
            <w:pPr>
              <w:pStyle w:val="TableBodyText"/>
            </w:pPr>
            <w:r>
              <w:t>AOCEClearMailerField</w:t>
            </w:r>
          </w:p>
        </w:tc>
      </w:tr>
      <w:tr w:rsidR="000A156F" w:rsidTr="000A156F">
        <w:tc>
          <w:tcPr>
            <w:tcW w:w="0" w:type="auto"/>
            <w:vAlign w:val="center"/>
          </w:tcPr>
          <w:p w:rsidR="000A156F" w:rsidRDefault="00A9721F">
            <w:pPr>
              <w:pStyle w:val="TableBodyText"/>
            </w:pPr>
            <w:r>
              <w:t>AOCECountRecipients</w:t>
            </w:r>
          </w:p>
        </w:tc>
      </w:tr>
      <w:tr w:rsidR="000A156F" w:rsidTr="000A156F">
        <w:tc>
          <w:tcPr>
            <w:tcW w:w="0" w:type="auto"/>
            <w:vAlign w:val="center"/>
          </w:tcPr>
          <w:p w:rsidR="000A156F" w:rsidRDefault="00A9721F">
            <w:pPr>
              <w:pStyle w:val="TableBodyText"/>
            </w:pPr>
            <w:r>
              <w:t>AOCESendMail</w:t>
            </w:r>
          </w:p>
        </w:tc>
      </w:tr>
      <w:tr w:rsidR="000A156F" w:rsidTr="000A156F">
        <w:tc>
          <w:tcPr>
            <w:tcW w:w="0" w:type="auto"/>
            <w:vAlign w:val="center"/>
          </w:tcPr>
          <w:p w:rsidR="000A156F" w:rsidRDefault="00A9721F">
            <w:pPr>
              <w:pStyle w:val="TableBodyText"/>
            </w:pPr>
            <w:r>
              <w:t>AOCESetSubject</w:t>
            </w:r>
          </w:p>
        </w:tc>
      </w:tr>
      <w:tr w:rsidR="000A156F" w:rsidTr="000A156F">
        <w:tc>
          <w:tcPr>
            <w:tcW w:w="0" w:type="auto"/>
            <w:vAlign w:val="center"/>
          </w:tcPr>
          <w:p w:rsidR="000A156F" w:rsidRDefault="00A9721F">
            <w:pPr>
              <w:pStyle w:val="TableBodyText"/>
            </w:pPr>
            <w:r>
              <w:t>Abs</w:t>
            </w:r>
          </w:p>
        </w:tc>
      </w:tr>
      <w:tr w:rsidR="000A156F" w:rsidTr="000A156F">
        <w:tc>
          <w:tcPr>
            <w:tcW w:w="0" w:type="auto"/>
            <w:vAlign w:val="center"/>
          </w:tcPr>
          <w:p w:rsidR="000A156F" w:rsidRDefault="00A9721F">
            <w:pPr>
              <w:pStyle w:val="TableBodyText"/>
            </w:pPr>
            <w:r>
              <w:lastRenderedPageBreak/>
              <w:t>Activate</w:t>
            </w:r>
          </w:p>
        </w:tc>
      </w:tr>
      <w:tr w:rsidR="000A156F" w:rsidTr="000A156F">
        <w:tc>
          <w:tcPr>
            <w:tcW w:w="0" w:type="auto"/>
            <w:vAlign w:val="center"/>
          </w:tcPr>
          <w:p w:rsidR="000A156F" w:rsidRDefault="00A9721F">
            <w:pPr>
              <w:pStyle w:val="TableBodyText"/>
            </w:pPr>
            <w:r>
              <w:t>AddAddIn</w:t>
            </w:r>
          </w:p>
        </w:tc>
      </w:tr>
      <w:tr w:rsidR="000A156F" w:rsidTr="000A156F">
        <w:tc>
          <w:tcPr>
            <w:tcW w:w="0" w:type="auto"/>
            <w:vAlign w:val="center"/>
          </w:tcPr>
          <w:p w:rsidR="000A156F" w:rsidRDefault="00A9721F">
            <w:pPr>
              <w:pStyle w:val="TableBodyText"/>
            </w:pPr>
            <w:r>
              <w:t>AddAddress</w:t>
            </w:r>
          </w:p>
        </w:tc>
      </w:tr>
      <w:tr w:rsidR="000A156F" w:rsidTr="000A156F">
        <w:tc>
          <w:tcPr>
            <w:tcW w:w="0" w:type="auto"/>
            <w:vAlign w:val="center"/>
          </w:tcPr>
          <w:p w:rsidR="000A156F" w:rsidRDefault="00A9721F">
            <w:pPr>
              <w:pStyle w:val="TableBodyText"/>
            </w:pPr>
            <w:r>
              <w:t>AddAutoText</w:t>
            </w:r>
          </w:p>
        </w:tc>
      </w:tr>
      <w:tr w:rsidR="000A156F" w:rsidTr="000A156F">
        <w:tc>
          <w:tcPr>
            <w:tcW w:w="0" w:type="auto"/>
            <w:vAlign w:val="center"/>
          </w:tcPr>
          <w:p w:rsidR="000A156F" w:rsidRDefault="00A9721F">
            <w:pPr>
              <w:pStyle w:val="TableBodyText"/>
            </w:pPr>
            <w:r>
              <w:t>AddButton</w:t>
            </w:r>
          </w:p>
        </w:tc>
      </w:tr>
      <w:tr w:rsidR="000A156F" w:rsidTr="000A156F">
        <w:tc>
          <w:tcPr>
            <w:tcW w:w="0" w:type="auto"/>
            <w:vAlign w:val="center"/>
          </w:tcPr>
          <w:p w:rsidR="000A156F" w:rsidRDefault="00A9721F">
            <w:pPr>
              <w:pStyle w:val="TableBodyText"/>
            </w:pPr>
            <w:r>
              <w:t>AddDropDownItem</w:t>
            </w:r>
          </w:p>
        </w:tc>
      </w:tr>
      <w:tr w:rsidR="000A156F" w:rsidTr="000A156F">
        <w:tc>
          <w:tcPr>
            <w:tcW w:w="0" w:type="auto"/>
            <w:vAlign w:val="center"/>
          </w:tcPr>
          <w:p w:rsidR="000A156F" w:rsidRDefault="00A9721F">
            <w:pPr>
              <w:pStyle w:val="TableBodyText"/>
            </w:pPr>
            <w:r>
              <w:t>AddInState</w:t>
            </w:r>
          </w:p>
        </w:tc>
      </w:tr>
      <w:tr w:rsidR="000A156F" w:rsidTr="000A156F">
        <w:tc>
          <w:tcPr>
            <w:tcW w:w="0" w:type="auto"/>
            <w:vAlign w:val="center"/>
          </w:tcPr>
          <w:p w:rsidR="000A156F" w:rsidRDefault="00A9721F">
            <w:pPr>
              <w:pStyle w:val="TableBodyText"/>
            </w:pPr>
            <w:r>
              <w:t>AllCaps</w:t>
            </w:r>
          </w:p>
        </w:tc>
      </w:tr>
      <w:tr w:rsidR="000A156F" w:rsidTr="000A156F">
        <w:tc>
          <w:tcPr>
            <w:tcW w:w="0" w:type="auto"/>
            <w:vAlign w:val="center"/>
          </w:tcPr>
          <w:p w:rsidR="000A156F" w:rsidRDefault="00A9721F">
            <w:pPr>
              <w:pStyle w:val="TableBodyText"/>
            </w:pPr>
            <w:r>
              <w:t>AppActivate</w:t>
            </w:r>
          </w:p>
        </w:tc>
      </w:tr>
      <w:tr w:rsidR="000A156F" w:rsidTr="000A156F">
        <w:tc>
          <w:tcPr>
            <w:tcW w:w="0" w:type="auto"/>
            <w:vAlign w:val="center"/>
          </w:tcPr>
          <w:p w:rsidR="000A156F" w:rsidRDefault="00A9721F">
            <w:pPr>
              <w:pStyle w:val="TableBodyText"/>
            </w:pPr>
            <w:r>
              <w:t>AppClose</w:t>
            </w:r>
          </w:p>
        </w:tc>
      </w:tr>
      <w:tr w:rsidR="000A156F" w:rsidTr="000A156F">
        <w:tc>
          <w:tcPr>
            <w:tcW w:w="0" w:type="auto"/>
            <w:vAlign w:val="center"/>
          </w:tcPr>
          <w:p w:rsidR="000A156F" w:rsidRDefault="00A9721F">
            <w:pPr>
              <w:pStyle w:val="TableBodyText"/>
            </w:pPr>
            <w:r>
              <w:t>AppCount</w:t>
            </w:r>
          </w:p>
        </w:tc>
      </w:tr>
      <w:tr w:rsidR="000A156F" w:rsidTr="000A156F">
        <w:tc>
          <w:tcPr>
            <w:tcW w:w="0" w:type="auto"/>
            <w:vAlign w:val="center"/>
          </w:tcPr>
          <w:p w:rsidR="000A156F" w:rsidRDefault="00A9721F">
            <w:pPr>
              <w:pStyle w:val="TableBodyText"/>
            </w:pPr>
            <w:r>
              <w:t>AppGetNames</w:t>
            </w:r>
          </w:p>
        </w:tc>
      </w:tr>
      <w:tr w:rsidR="000A156F" w:rsidTr="000A156F">
        <w:tc>
          <w:tcPr>
            <w:tcW w:w="0" w:type="auto"/>
            <w:vAlign w:val="center"/>
          </w:tcPr>
          <w:p w:rsidR="000A156F" w:rsidRDefault="00A9721F">
            <w:pPr>
              <w:pStyle w:val="TableBodyText"/>
            </w:pPr>
            <w:r>
              <w:t>AppHide</w:t>
            </w:r>
          </w:p>
        </w:tc>
      </w:tr>
      <w:tr w:rsidR="000A156F" w:rsidTr="000A156F">
        <w:tc>
          <w:tcPr>
            <w:tcW w:w="0" w:type="auto"/>
            <w:vAlign w:val="center"/>
          </w:tcPr>
          <w:p w:rsidR="000A156F" w:rsidRDefault="00A9721F">
            <w:pPr>
              <w:pStyle w:val="TableBodyText"/>
            </w:pPr>
            <w:r>
              <w:t>AppIsRunning</w:t>
            </w:r>
          </w:p>
        </w:tc>
      </w:tr>
      <w:tr w:rsidR="000A156F" w:rsidTr="000A156F">
        <w:tc>
          <w:tcPr>
            <w:tcW w:w="0" w:type="auto"/>
            <w:vAlign w:val="center"/>
          </w:tcPr>
          <w:p w:rsidR="000A156F" w:rsidRDefault="00A9721F">
            <w:pPr>
              <w:pStyle w:val="TableBodyText"/>
            </w:pPr>
            <w:r>
              <w:t>AppMaximize</w:t>
            </w:r>
          </w:p>
        </w:tc>
      </w:tr>
      <w:tr w:rsidR="000A156F" w:rsidTr="000A156F">
        <w:tc>
          <w:tcPr>
            <w:tcW w:w="0" w:type="auto"/>
            <w:vAlign w:val="center"/>
          </w:tcPr>
          <w:p w:rsidR="000A156F" w:rsidRDefault="00A9721F">
            <w:pPr>
              <w:pStyle w:val="TableBodyText"/>
            </w:pPr>
            <w:r>
              <w:t>AppMinimize</w:t>
            </w:r>
          </w:p>
        </w:tc>
      </w:tr>
      <w:tr w:rsidR="000A156F" w:rsidTr="000A156F">
        <w:tc>
          <w:tcPr>
            <w:tcW w:w="0" w:type="auto"/>
            <w:vAlign w:val="center"/>
          </w:tcPr>
          <w:p w:rsidR="000A156F" w:rsidRDefault="00A9721F">
            <w:pPr>
              <w:pStyle w:val="TableBodyText"/>
            </w:pPr>
            <w:r>
              <w:t>AppMove</w:t>
            </w:r>
          </w:p>
        </w:tc>
      </w:tr>
      <w:tr w:rsidR="000A156F" w:rsidTr="000A156F">
        <w:tc>
          <w:tcPr>
            <w:tcW w:w="0" w:type="auto"/>
            <w:vAlign w:val="center"/>
          </w:tcPr>
          <w:p w:rsidR="000A156F" w:rsidRDefault="00A9721F">
            <w:pPr>
              <w:pStyle w:val="TableBodyText"/>
            </w:pPr>
            <w:r>
              <w:t>AppRestore</w:t>
            </w:r>
          </w:p>
        </w:tc>
      </w:tr>
      <w:tr w:rsidR="000A156F" w:rsidTr="000A156F">
        <w:tc>
          <w:tcPr>
            <w:tcW w:w="0" w:type="auto"/>
            <w:vAlign w:val="center"/>
          </w:tcPr>
          <w:p w:rsidR="000A156F" w:rsidRDefault="00A9721F">
            <w:pPr>
              <w:pStyle w:val="TableBodyText"/>
            </w:pPr>
            <w:r>
              <w:t>AppSendMessage</w:t>
            </w:r>
          </w:p>
        </w:tc>
      </w:tr>
      <w:tr w:rsidR="000A156F" w:rsidTr="000A156F">
        <w:tc>
          <w:tcPr>
            <w:tcW w:w="0" w:type="auto"/>
            <w:vAlign w:val="center"/>
          </w:tcPr>
          <w:p w:rsidR="000A156F" w:rsidRDefault="00A9721F">
            <w:pPr>
              <w:pStyle w:val="TableBodyText"/>
            </w:pPr>
            <w:r>
              <w:t>AppShow</w:t>
            </w:r>
          </w:p>
        </w:tc>
      </w:tr>
      <w:tr w:rsidR="000A156F" w:rsidTr="000A156F">
        <w:tc>
          <w:tcPr>
            <w:tcW w:w="0" w:type="auto"/>
            <w:vAlign w:val="center"/>
          </w:tcPr>
          <w:p w:rsidR="000A156F" w:rsidRDefault="00A9721F">
            <w:pPr>
              <w:pStyle w:val="TableBodyText"/>
            </w:pPr>
            <w:r>
              <w:t>AppSize</w:t>
            </w:r>
          </w:p>
        </w:tc>
      </w:tr>
      <w:tr w:rsidR="000A156F" w:rsidTr="000A156F">
        <w:tc>
          <w:tcPr>
            <w:tcW w:w="0" w:type="auto"/>
            <w:vAlign w:val="center"/>
          </w:tcPr>
          <w:p w:rsidR="000A156F" w:rsidRDefault="00A9721F">
            <w:pPr>
              <w:pStyle w:val="TableBodyText"/>
            </w:pPr>
            <w:r>
              <w:t>AppWindowHeight</w:t>
            </w:r>
          </w:p>
        </w:tc>
      </w:tr>
      <w:tr w:rsidR="000A156F" w:rsidTr="000A156F">
        <w:tc>
          <w:tcPr>
            <w:tcW w:w="0" w:type="auto"/>
            <w:vAlign w:val="center"/>
          </w:tcPr>
          <w:p w:rsidR="000A156F" w:rsidRDefault="00A9721F">
            <w:pPr>
              <w:pStyle w:val="TableBodyText"/>
            </w:pPr>
            <w:r>
              <w:t>AppWindowPosLeft</w:t>
            </w:r>
          </w:p>
        </w:tc>
      </w:tr>
      <w:tr w:rsidR="000A156F" w:rsidTr="000A156F">
        <w:tc>
          <w:tcPr>
            <w:tcW w:w="0" w:type="auto"/>
            <w:vAlign w:val="center"/>
          </w:tcPr>
          <w:p w:rsidR="000A156F" w:rsidRDefault="00A9721F">
            <w:pPr>
              <w:pStyle w:val="TableBodyText"/>
            </w:pPr>
            <w:r>
              <w:t>AppWindowPosTop</w:t>
            </w:r>
          </w:p>
        </w:tc>
      </w:tr>
      <w:tr w:rsidR="000A156F" w:rsidTr="000A156F">
        <w:tc>
          <w:tcPr>
            <w:tcW w:w="0" w:type="auto"/>
            <w:vAlign w:val="center"/>
          </w:tcPr>
          <w:p w:rsidR="000A156F" w:rsidRDefault="00A9721F">
            <w:pPr>
              <w:pStyle w:val="TableBodyText"/>
            </w:pPr>
            <w:r>
              <w:t>AppWindowWidth</w:t>
            </w:r>
          </w:p>
        </w:tc>
      </w:tr>
      <w:tr w:rsidR="000A156F" w:rsidTr="000A156F">
        <w:tc>
          <w:tcPr>
            <w:tcW w:w="0" w:type="auto"/>
            <w:vAlign w:val="center"/>
          </w:tcPr>
          <w:p w:rsidR="000A156F" w:rsidRDefault="00A9721F">
            <w:pPr>
              <w:pStyle w:val="TableBodyText"/>
            </w:pPr>
            <w:r>
              <w:t>Asc</w:t>
            </w:r>
          </w:p>
        </w:tc>
      </w:tr>
      <w:tr w:rsidR="000A156F" w:rsidTr="000A156F">
        <w:tc>
          <w:tcPr>
            <w:tcW w:w="0" w:type="auto"/>
            <w:vAlign w:val="center"/>
          </w:tcPr>
          <w:p w:rsidR="000A156F" w:rsidRDefault="00A9721F">
            <w:pPr>
              <w:pStyle w:val="TableBodyText"/>
            </w:pPr>
            <w:r>
              <w:t>AssertOutput</w:t>
            </w:r>
          </w:p>
        </w:tc>
      </w:tr>
      <w:tr w:rsidR="000A156F" w:rsidTr="000A156F">
        <w:tc>
          <w:tcPr>
            <w:tcW w:w="0" w:type="auto"/>
            <w:vAlign w:val="center"/>
          </w:tcPr>
          <w:p w:rsidR="000A156F" w:rsidRDefault="00A9721F">
            <w:pPr>
              <w:pStyle w:val="TableBodyText"/>
            </w:pPr>
            <w:r>
              <w:t>AtEndOfDocument</w:t>
            </w:r>
          </w:p>
        </w:tc>
      </w:tr>
      <w:tr w:rsidR="000A156F" w:rsidTr="000A156F">
        <w:tc>
          <w:tcPr>
            <w:tcW w:w="0" w:type="auto"/>
            <w:vAlign w:val="center"/>
          </w:tcPr>
          <w:p w:rsidR="000A156F" w:rsidRDefault="00A9721F">
            <w:pPr>
              <w:pStyle w:val="TableBodyText"/>
            </w:pPr>
            <w:r>
              <w:t>AtStartOfDocument</w:t>
            </w:r>
          </w:p>
        </w:tc>
      </w:tr>
      <w:tr w:rsidR="000A156F" w:rsidTr="000A156F">
        <w:tc>
          <w:tcPr>
            <w:tcW w:w="0" w:type="auto"/>
            <w:vAlign w:val="center"/>
          </w:tcPr>
          <w:p w:rsidR="000A156F" w:rsidRDefault="00A9721F">
            <w:pPr>
              <w:pStyle w:val="TableBodyText"/>
            </w:pPr>
            <w:r>
              <w:t>AutoMarkIndexEntries</w:t>
            </w:r>
          </w:p>
        </w:tc>
      </w:tr>
      <w:tr w:rsidR="000A156F" w:rsidTr="000A156F">
        <w:tc>
          <w:tcPr>
            <w:tcW w:w="0" w:type="auto"/>
            <w:vAlign w:val="center"/>
          </w:tcPr>
          <w:p w:rsidR="000A156F" w:rsidRDefault="00A9721F">
            <w:pPr>
              <w:pStyle w:val="TableBodyText"/>
            </w:pPr>
            <w:r>
              <w:t>BatchMode</w:t>
            </w:r>
          </w:p>
        </w:tc>
      </w:tr>
      <w:tr w:rsidR="000A156F" w:rsidTr="000A156F">
        <w:tc>
          <w:tcPr>
            <w:tcW w:w="0" w:type="auto"/>
            <w:vAlign w:val="center"/>
          </w:tcPr>
          <w:p w:rsidR="000A156F" w:rsidRDefault="00A9721F">
            <w:pPr>
              <w:pStyle w:val="TableBodyText"/>
            </w:pPr>
            <w:r>
              <w:t>Beep</w:t>
            </w:r>
          </w:p>
        </w:tc>
      </w:tr>
      <w:tr w:rsidR="000A156F" w:rsidTr="000A156F">
        <w:tc>
          <w:tcPr>
            <w:tcW w:w="0" w:type="auto"/>
            <w:vAlign w:val="center"/>
          </w:tcPr>
          <w:p w:rsidR="000A156F" w:rsidRDefault="00A9721F">
            <w:pPr>
              <w:pStyle w:val="TableBodyText"/>
            </w:pPr>
            <w:r>
              <w:lastRenderedPageBreak/>
              <w:t>Bold</w:t>
            </w:r>
          </w:p>
        </w:tc>
      </w:tr>
      <w:tr w:rsidR="000A156F" w:rsidTr="000A156F">
        <w:tc>
          <w:tcPr>
            <w:tcW w:w="0" w:type="auto"/>
            <w:vAlign w:val="center"/>
          </w:tcPr>
          <w:p w:rsidR="000A156F" w:rsidRDefault="00A9721F">
            <w:pPr>
              <w:pStyle w:val="TableBodyText"/>
            </w:pPr>
            <w:r>
              <w:t>BoldRun</w:t>
            </w:r>
          </w:p>
        </w:tc>
      </w:tr>
      <w:tr w:rsidR="000A156F" w:rsidTr="000A156F">
        <w:tc>
          <w:tcPr>
            <w:tcW w:w="0" w:type="auto"/>
            <w:vAlign w:val="center"/>
          </w:tcPr>
          <w:p w:rsidR="000A156F" w:rsidRDefault="00A9721F">
            <w:pPr>
              <w:pStyle w:val="TableBodyText"/>
            </w:pPr>
            <w:r>
              <w:t>BorderAll</w:t>
            </w:r>
          </w:p>
        </w:tc>
      </w:tr>
      <w:tr w:rsidR="000A156F" w:rsidTr="000A156F">
        <w:tc>
          <w:tcPr>
            <w:tcW w:w="0" w:type="auto"/>
            <w:vAlign w:val="center"/>
          </w:tcPr>
          <w:p w:rsidR="000A156F" w:rsidRDefault="00A9721F">
            <w:pPr>
              <w:pStyle w:val="TableBodyText"/>
            </w:pPr>
            <w:r>
              <w:t>BorderBottom</w:t>
            </w:r>
          </w:p>
        </w:tc>
      </w:tr>
      <w:tr w:rsidR="000A156F" w:rsidTr="000A156F">
        <w:tc>
          <w:tcPr>
            <w:tcW w:w="0" w:type="auto"/>
            <w:vAlign w:val="center"/>
          </w:tcPr>
          <w:p w:rsidR="000A156F" w:rsidRDefault="00A9721F">
            <w:pPr>
              <w:pStyle w:val="TableBodyText"/>
            </w:pPr>
            <w:r>
              <w:t>BorderInside</w:t>
            </w:r>
          </w:p>
        </w:tc>
      </w:tr>
      <w:tr w:rsidR="000A156F" w:rsidTr="000A156F">
        <w:tc>
          <w:tcPr>
            <w:tcW w:w="0" w:type="auto"/>
            <w:vAlign w:val="center"/>
          </w:tcPr>
          <w:p w:rsidR="000A156F" w:rsidRDefault="00A9721F">
            <w:pPr>
              <w:pStyle w:val="TableBodyText"/>
            </w:pPr>
            <w:r>
              <w:t>BorderLeft</w:t>
            </w:r>
          </w:p>
        </w:tc>
      </w:tr>
      <w:tr w:rsidR="000A156F" w:rsidTr="000A156F">
        <w:tc>
          <w:tcPr>
            <w:tcW w:w="0" w:type="auto"/>
            <w:vAlign w:val="center"/>
          </w:tcPr>
          <w:p w:rsidR="000A156F" w:rsidRDefault="00A9721F">
            <w:pPr>
              <w:pStyle w:val="TableBodyText"/>
            </w:pPr>
            <w:r>
              <w:t>BorderLineStyle</w:t>
            </w:r>
          </w:p>
        </w:tc>
      </w:tr>
      <w:tr w:rsidR="000A156F" w:rsidTr="000A156F">
        <w:tc>
          <w:tcPr>
            <w:tcW w:w="0" w:type="auto"/>
            <w:vAlign w:val="center"/>
          </w:tcPr>
          <w:p w:rsidR="000A156F" w:rsidRDefault="00A9721F">
            <w:pPr>
              <w:pStyle w:val="TableBodyText"/>
            </w:pPr>
            <w:r>
              <w:t>BorderLineWeight</w:t>
            </w:r>
          </w:p>
        </w:tc>
      </w:tr>
      <w:tr w:rsidR="000A156F" w:rsidTr="000A156F">
        <w:tc>
          <w:tcPr>
            <w:tcW w:w="0" w:type="auto"/>
            <w:vAlign w:val="center"/>
          </w:tcPr>
          <w:p w:rsidR="000A156F" w:rsidRDefault="00A9721F">
            <w:pPr>
              <w:pStyle w:val="TableBodyText"/>
            </w:pPr>
            <w:r>
              <w:t>BorderNone</w:t>
            </w:r>
          </w:p>
        </w:tc>
      </w:tr>
      <w:tr w:rsidR="000A156F" w:rsidTr="000A156F">
        <w:tc>
          <w:tcPr>
            <w:tcW w:w="0" w:type="auto"/>
            <w:vAlign w:val="center"/>
          </w:tcPr>
          <w:p w:rsidR="000A156F" w:rsidRDefault="00A9721F">
            <w:pPr>
              <w:pStyle w:val="TableBodyText"/>
            </w:pPr>
            <w:r>
              <w:t>BorderOutside</w:t>
            </w:r>
          </w:p>
        </w:tc>
      </w:tr>
      <w:tr w:rsidR="000A156F" w:rsidTr="000A156F">
        <w:tc>
          <w:tcPr>
            <w:tcW w:w="0" w:type="auto"/>
            <w:vAlign w:val="center"/>
          </w:tcPr>
          <w:p w:rsidR="000A156F" w:rsidRDefault="00A9721F">
            <w:pPr>
              <w:pStyle w:val="TableBodyText"/>
            </w:pPr>
            <w:r>
              <w:t>BorderRight</w:t>
            </w:r>
          </w:p>
        </w:tc>
      </w:tr>
      <w:tr w:rsidR="000A156F" w:rsidTr="000A156F">
        <w:tc>
          <w:tcPr>
            <w:tcW w:w="0" w:type="auto"/>
            <w:vAlign w:val="center"/>
          </w:tcPr>
          <w:p w:rsidR="000A156F" w:rsidRDefault="00A9721F">
            <w:pPr>
              <w:pStyle w:val="TableBodyText"/>
            </w:pPr>
            <w:r>
              <w:t>BorderTLtoBR</w:t>
            </w:r>
          </w:p>
        </w:tc>
      </w:tr>
      <w:tr w:rsidR="000A156F" w:rsidTr="000A156F">
        <w:tc>
          <w:tcPr>
            <w:tcW w:w="0" w:type="auto"/>
            <w:vAlign w:val="center"/>
          </w:tcPr>
          <w:p w:rsidR="000A156F" w:rsidRDefault="00A9721F">
            <w:pPr>
              <w:pStyle w:val="TableBodyText"/>
            </w:pPr>
            <w:r>
              <w:t>BorderTRtoBL</w:t>
            </w:r>
          </w:p>
        </w:tc>
      </w:tr>
      <w:tr w:rsidR="000A156F" w:rsidTr="000A156F">
        <w:tc>
          <w:tcPr>
            <w:tcW w:w="0" w:type="auto"/>
            <w:vAlign w:val="center"/>
          </w:tcPr>
          <w:p w:rsidR="000A156F" w:rsidRDefault="00A9721F">
            <w:pPr>
              <w:pStyle w:val="TableBodyText"/>
            </w:pPr>
            <w:r>
              <w:t>BorderTop</w:t>
            </w:r>
          </w:p>
        </w:tc>
      </w:tr>
      <w:tr w:rsidR="000A156F" w:rsidTr="000A156F">
        <w:tc>
          <w:tcPr>
            <w:tcW w:w="0" w:type="auto"/>
            <w:vAlign w:val="center"/>
          </w:tcPr>
          <w:p w:rsidR="000A156F" w:rsidRDefault="00A9721F">
            <w:pPr>
              <w:pStyle w:val="TableBodyText"/>
            </w:pPr>
            <w:r>
              <w:t>BytePos</w:t>
            </w:r>
          </w:p>
        </w:tc>
      </w:tr>
      <w:tr w:rsidR="000A156F" w:rsidTr="000A156F">
        <w:tc>
          <w:tcPr>
            <w:tcW w:w="0" w:type="auto"/>
            <w:vAlign w:val="center"/>
          </w:tcPr>
          <w:p w:rsidR="000A156F" w:rsidRDefault="00A9721F">
            <w:pPr>
              <w:pStyle w:val="TableBodyText"/>
            </w:pPr>
            <w:r>
              <w:t>CInsertDateField</w:t>
            </w:r>
          </w:p>
        </w:tc>
      </w:tr>
      <w:tr w:rsidR="000A156F" w:rsidTr="000A156F">
        <w:tc>
          <w:tcPr>
            <w:tcW w:w="0" w:type="auto"/>
            <w:vAlign w:val="center"/>
          </w:tcPr>
          <w:p w:rsidR="000A156F" w:rsidRDefault="00A9721F">
            <w:pPr>
              <w:pStyle w:val="TableBodyText"/>
            </w:pPr>
            <w:r>
              <w:t>CInsertTimeField</w:t>
            </w:r>
          </w:p>
        </w:tc>
      </w:tr>
      <w:tr w:rsidR="000A156F" w:rsidTr="000A156F">
        <w:tc>
          <w:tcPr>
            <w:tcW w:w="0" w:type="auto"/>
            <w:vAlign w:val="center"/>
          </w:tcPr>
          <w:p w:rsidR="000A156F" w:rsidRDefault="00A9721F">
            <w:pPr>
              <w:pStyle w:val="TableBodyText"/>
            </w:pPr>
            <w:r>
              <w:t>CancelButton</w:t>
            </w:r>
          </w:p>
        </w:tc>
      </w:tr>
      <w:tr w:rsidR="000A156F" w:rsidTr="000A156F">
        <w:tc>
          <w:tcPr>
            <w:tcW w:w="0" w:type="auto"/>
            <w:vAlign w:val="center"/>
          </w:tcPr>
          <w:p w:rsidR="000A156F" w:rsidRDefault="00A9721F">
            <w:pPr>
              <w:pStyle w:val="TableBodyText"/>
            </w:pPr>
            <w:r>
              <w:t>CenterPara</w:t>
            </w:r>
          </w:p>
        </w:tc>
      </w:tr>
      <w:tr w:rsidR="000A156F" w:rsidTr="000A156F">
        <w:tc>
          <w:tcPr>
            <w:tcW w:w="0" w:type="auto"/>
            <w:vAlign w:val="center"/>
          </w:tcPr>
          <w:p w:rsidR="000A156F" w:rsidRDefault="00A9721F">
            <w:pPr>
              <w:pStyle w:val="TableBodyText"/>
            </w:pPr>
            <w:r>
              <w:t>ChDefaultDir</w:t>
            </w:r>
          </w:p>
        </w:tc>
      </w:tr>
      <w:tr w:rsidR="000A156F" w:rsidTr="000A156F">
        <w:tc>
          <w:tcPr>
            <w:tcW w:w="0" w:type="auto"/>
            <w:vAlign w:val="center"/>
          </w:tcPr>
          <w:p w:rsidR="000A156F" w:rsidRDefault="00A9721F">
            <w:pPr>
              <w:pStyle w:val="TableBodyText"/>
            </w:pPr>
            <w:r>
              <w:t>ChDir</w:t>
            </w:r>
          </w:p>
        </w:tc>
      </w:tr>
      <w:tr w:rsidR="000A156F" w:rsidTr="000A156F">
        <w:tc>
          <w:tcPr>
            <w:tcW w:w="0" w:type="auto"/>
            <w:vAlign w:val="center"/>
          </w:tcPr>
          <w:p w:rsidR="000A156F" w:rsidRDefault="00A9721F">
            <w:pPr>
              <w:pStyle w:val="TableBodyText"/>
            </w:pPr>
            <w:r>
              <w:t>ChangeByte</w:t>
            </w:r>
          </w:p>
        </w:tc>
      </w:tr>
      <w:tr w:rsidR="000A156F" w:rsidTr="000A156F">
        <w:tc>
          <w:tcPr>
            <w:tcW w:w="0" w:type="auto"/>
            <w:vAlign w:val="center"/>
          </w:tcPr>
          <w:p w:rsidR="000A156F" w:rsidRDefault="00A9721F">
            <w:pPr>
              <w:pStyle w:val="TableBodyText"/>
            </w:pPr>
            <w:r>
              <w:t>ChangeCase</w:t>
            </w:r>
          </w:p>
        </w:tc>
      </w:tr>
      <w:tr w:rsidR="000A156F" w:rsidTr="000A156F">
        <w:tc>
          <w:tcPr>
            <w:tcW w:w="0" w:type="auto"/>
            <w:vAlign w:val="center"/>
          </w:tcPr>
          <w:p w:rsidR="000A156F" w:rsidRDefault="00A9721F">
            <w:pPr>
              <w:pStyle w:val="TableBodyText"/>
            </w:pPr>
            <w:r>
              <w:t>ChangeKana</w:t>
            </w:r>
          </w:p>
        </w:tc>
      </w:tr>
      <w:tr w:rsidR="000A156F" w:rsidTr="000A156F">
        <w:tc>
          <w:tcPr>
            <w:tcW w:w="0" w:type="auto"/>
            <w:vAlign w:val="center"/>
          </w:tcPr>
          <w:p w:rsidR="000A156F" w:rsidRDefault="00A9721F">
            <w:pPr>
              <w:pStyle w:val="TableBodyText"/>
            </w:pPr>
            <w:r>
              <w:t>CharColor</w:t>
            </w:r>
          </w:p>
        </w:tc>
      </w:tr>
      <w:tr w:rsidR="000A156F" w:rsidTr="000A156F">
        <w:tc>
          <w:tcPr>
            <w:tcW w:w="0" w:type="auto"/>
            <w:vAlign w:val="center"/>
          </w:tcPr>
          <w:p w:rsidR="000A156F" w:rsidRDefault="00A9721F">
            <w:pPr>
              <w:pStyle w:val="TableBodyText"/>
            </w:pPr>
            <w:r>
              <w:t>CharColorRGB</w:t>
            </w:r>
          </w:p>
        </w:tc>
      </w:tr>
      <w:tr w:rsidR="000A156F" w:rsidTr="000A156F">
        <w:tc>
          <w:tcPr>
            <w:tcW w:w="0" w:type="auto"/>
            <w:vAlign w:val="center"/>
          </w:tcPr>
          <w:p w:rsidR="000A156F" w:rsidRDefault="00A9721F">
            <w:pPr>
              <w:pStyle w:val="TableBodyText"/>
            </w:pPr>
            <w:r>
              <w:t>CharLeft</w:t>
            </w:r>
          </w:p>
        </w:tc>
      </w:tr>
      <w:tr w:rsidR="000A156F" w:rsidTr="000A156F">
        <w:tc>
          <w:tcPr>
            <w:tcW w:w="0" w:type="auto"/>
            <w:vAlign w:val="center"/>
          </w:tcPr>
          <w:p w:rsidR="000A156F" w:rsidRDefault="00A9721F">
            <w:pPr>
              <w:pStyle w:val="TableBodyText"/>
            </w:pPr>
            <w:r>
              <w:t>CharRight</w:t>
            </w:r>
          </w:p>
        </w:tc>
      </w:tr>
      <w:tr w:rsidR="000A156F" w:rsidTr="000A156F">
        <w:tc>
          <w:tcPr>
            <w:tcW w:w="0" w:type="auto"/>
            <w:vAlign w:val="center"/>
          </w:tcPr>
          <w:p w:rsidR="000A156F" w:rsidRDefault="00A9721F">
            <w:pPr>
              <w:pStyle w:val="TableBodyText"/>
            </w:pPr>
            <w:r>
              <w:t>CharScale</w:t>
            </w:r>
          </w:p>
        </w:tc>
      </w:tr>
      <w:tr w:rsidR="000A156F" w:rsidTr="000A156F">
        <w:tc>
          <w:tcPr>
            <w:tcW w:w="0" w:type="auto"/>
            <w:vAlign w:val="center"/>
          </w:tcPr>
          <w:p w:rsidR="000A156F" w:rsidRDefault="00A9721F">
            <w:pPr>
              <w:pStyle w:val="TableBodyText"/>
            </w:pPr>
            <w:r>
              <w:t>CheckBox</w:t>
            </w:r>
          </w:p>
        </w:tc>
      </w:tr>
      <w:tr w:rsidR="000A156F" w:rsidTr="000A156F">
        <w:tc>
          <w:tcPr>
            <w:tcW w:w="0" w:type="auto"/>
            <w:vAlign w:val="center"/>
          </w:tcPr>
          <w:p w:rsidR="000A156F" w:rsidRDefault="00A9721F">
            <w:pPr>
              <w:pStyle w:val="TableBodyText"/>
            </w:pPr>
            <w:r>
              <w:t>ClearAddIns</w:t>
            </w:r>
          </w:p>
        </w:tc>
      </w:tr>
      <w:tr w:rsidR="000A156F" w:rsidTr="000A156F">
        <w:tc>
          <w:tcPr>
            <w:tcW w:w="0" w:type="auto"/>
            <w:vAlign w:val="center"/>
          </w:tcPr>
          <w:p w:rsidR="000A156F" w:rsidRDefault="00A9721F">
            <w:pPr>
              <w:pStyle w:val="TableBodyText"/>
            </w:pPr>
            <w:r>
              <w:t>CloseUpPara</w:t>
            </w:r>
          </w:p>
        </w:tc>
      </w:tr>
      <w:tr w:rsidR="000A156F" w:rsidTr="000A156F">
        <w:tc>
          <w:tcPr>
            <w:tcW w:w="0" w:type="auto"/>
            <w:vAlign w:val="center"/>
          </w:tcPr>
          <w:p w:rsidR="000A156F" w:rsidRDefault="00A9721F">
            <w:pPr>
              <w:pStyle w:val="TableBodyText"/>
            </w:pPr>
            <w:r>
              <w:lastRenderedPageBreak/>
              <w:t>CmpBookmarks</w:t>
            </w:r>
          </w:p>
        </w:tc>
      </w:tr>
      <w:tr w:rsidR="000A156F" w:rsidTr="000A156F">
        <w:tc>
          <w:tcPr>
            <w:tcW w:w="0" w:type="auto"/>
            <w:vAlign w:val="center"/>
          </w:tcPr>
          <w:p w:rsidR="000A156F" w:rsidRDefault="00A9721F">
            <w:pPr>
              <w:pStyle w:val="TableBodyText"/>
            </w:pPr>
            <w:r>
              <w:t>ColumnSelect</w:t>
            </w:r>
          </w:p>
        </w:tc>
      </w:tr>
      <w:tr w:rsidR="000A156F" w:rsidTr="000A156F">
        <w:tc>
          <w:tcPr>
            <w:tcW w:w="0" w:type="auto"/>
            <w:vAlign w:val="center"/>
          </w:tcPr>
          <w:p w:rsidR="000A156F" w:rsidRDefault="00A9721F">
            <w:pPr>
              <w:pStyle w:val="TableBodyText"/>
            </w:pPr>
            <w:r>
              <w:t>ComboBox</w:t>
            </w:r>
          </w:p>
        </w:tc>
      </w:tr>
      <w:tr w:rsidR="000A156F" w:rsidTr="000A156F">
        <w:tc>
          <w:tcPr>
            <w:tcW w:w="0" w:type="auto"/>
            <w:vAlign w:val="center"/>
          </w:tcPr>
          <w:p w:rsidR="000A156F" w:rsidRDefault="00A9721F">
            <w:pPr>
              <w:pStyle w:val="TableBodyText"/>
            </w:pPr>
            <w:r>
              <w:t>CommaAccent</w:t>
            </w:r>
          </w:p>
        </w:tc>
      </w:tr>
      <w:tr w:rsidR="000A156F" w:rsidTr="000A156F">
        <w:tc>
          <w:tcPr>
            <w:tcW w:w="0" w:type="auto"/>
            <w:vAlign w:val="center"/>
          </w:tcPr>
          <w:p w:rsidR="000A156F" w:rsidRDefault="00A9721F">
            <w:pPr>
              <w:pStyle w:val="TableBodyText"/>
            </w:pPr>
            <w:r>
              <w:t>CommandValid</w:t>
            </w:r>
          </w:p>
        </w:tc>
      </w:tr>
      <w:tr w:rsidR="000A156F" w:rsidTr="000A156F">
        <w:tc>
          <w:tcPr>
            <w:tcW w:w="0" w:type="auto"/>
            <w:vAlign w:val="center"/>
          </w:tcPr>
          <w:p w:rsidR="000A156F" w:rsidRDefault="00A9721F">
            <w:pPr>
              <w:pStyle w:val="TableBodyText"/>
            </w:pPr>
            <w:r>
              <w:t>ContextHelp</w:t>
            </w:r>
          </w:p>
        </w:tc>
      </w:tr>
      <w:tr w:rsidR="000A156F" w:rsidTr="000A156F">
        <w:tc>
          <w:tcPr>
            <w:tcW w:w="0" w:type="auto"/>
            <w:vAlign w:val="center"/>
          </w:tcPr>
          <w:p w:rsidR="000A156F" w:rsidRDefault="00A9721F">
            <w:pPr>
              <w:pStyle w:val="TableBodyText"/>
            </w:pPr>
            <w:r>
              <w:t>ConverterLookup</w:t>
            </w:r>
          </w:p>
        </w:tc>
      </w:tr>
      <w:tr w:rsidR="000A156F" w:rsidTr="000A156F">
        <w:tc>
          <w:tcPr>
            <w:tcW w:w="0" w:type="auto"/>
            <w:vAlign w:val="center"/>
          </w:tcPr>
          <w:p w:rsidR="000A156F" w:rsidRDefault="00A9721F">
            <w:pPr>
              <w:pStyle w:val="TableBodyText"/>
            </w:pPr>
            <w:r>
              <w:t>CopyBookmark</w:t>
            </w:r>
          </w:p>
        </w:tc>
      </w:tr>
      <w:tr w:rsidR="000A156F" w:rsidTr="000A156F">
        <w:tc>
          <w:tcPr>
            <w:tcW w:w="0" w:type="auto"/>
            <w:vAlign w:val="center"/>
          </w:tcPr>
          <w:p w:rsidR="000A156F" w:rsidRDefault="00A9721F">
            <w:pPr>
              <w:pStyle w:val="TableBodyText"/>
            </w:pPr>
            <w:r>
              <w:t>CopyButtonImage</w:t>
            </w:r>
          </w:p>
        </w:tc>
      </w:tr>
      <w:tr w:rsidR="000A156F" w:rsidTr="000A156F">
        <w:tc>
          <w:tcPr>
            <w:tcW w:w="0" w:type="auto"/>
            <w:vAlign w:val="center"/>
          </w:tcPr>
          <w:p w:rsidR="000A156F" w:rsidRDefault="00A9721F">
            <w:pPr>
              <w:pStyle w:val="TableBodyText"/>
            </w:pPr>
            <w:r>
              <w:t>CountAddIns</w:t>
            </w:r>
          </w:p>
        </w:tc>
      </w:tr>
      <w:tr w:rsidR="000A156F" w:rsidTr="000A156F">
        <w:tc>
          <w:tcPr>
            <w:tcW w:w="0" w:type="auto"/>
            <w:vAlign w:val="center"/>
          </w:tcPr>
          <w:p w:rsidR="000A156F" w:rsidRDefault="00A9721F">
            <w:pPr>
              <w:pStyle w:val="TableBodyText"/>
            </w:pPr>
            <w:r>
              <w:t>CountAutoCorrectExceptions</w:t>
            </w:r>
          </w:p>
        </w:tc>
      </w:tr>
      <w:tr w:rsidR="000A156F" w:rsidTr="000A156F">
        <w:tc>
          <w:tcPr>
            <w:tcW w:w="0" w:type="auto"/>
            <w:vAlign w:val="center"/>
          </w:tcPr>
          <w:p w:rsidR="000A156F" w:rsidRDefault="00A9721F">
            <w:pPr>
              <w:pStyle w:val="TableBodyText"/>
            </w:pPr>
            <w:r>
              <w:t>CountAutoTextEntries</w:t>
            </w:r>
          </w:p>
        </w:tc>
      </w:tr>
      <w:tr w:rsidR="000A156F" w:rsidTr="000A156F">
        <w:tc>
          <w:tcPr>
            <w:tcW w:w="0" w:type="auto"/>
            <w:vAlign w:val="center"/>
          </w:tcPr>
          <w:p w:rsidR="000A156F" w:rsidRDefault="00A9721F">
            <w:pPr>
              <w:pStyle w:val="TableBodyText"/>
            </w:pPr>
            <w:r>
              <w:t>CountBookmarks</w:t>
            </w:r>
          </w:p>
        </w:tc>
      </w:tr>
      <w:tr w:rsidR="000A156F" w:rsidTr="000A156F">
        <w:tc>
          <w:tcPr>
            <w:tcW w:w="0" w:type="auto"/>
            <w:vAlign w:val="center"/>
          </w:tcPr>
          <w:p w:rsidR="000A156F" w:rsidRDefault="00A9721F">
            <w:pPr>
              <w:pStyle w:val="TableBodyText"/>
            </w:pPr>
            <w:r>
              <w:t>CountDirectories</w:t>
            </w:r>
          </w:p>
        </w:tc>
      </w:tr>
      <w:tr w:rsidR="000A156F" w:rsidTr="000A156F">
        <w:tc>
          <w:tcPr>
            <w:tcW w:w="0" w:type="auto"/>
            <w:vAlign w:val="center"/>
          </w:tcPr>
          <w:p w:rsidR="000A156F" w:rsidRDefault="00A9721F">
            <w:pPr>
              <w:pStyle w:val="TableBodyText"/>
            </w:pPr>
            <w:r>
              <w:t>CountDocumentProperties</w:t>
            </w:r>
          </w:p>
        </w:tc>
      </w:tr>
      <w:tr w:rsidR="000A156F" w:rsidTr="000A156F">
        <w:tc>
          <w:tcPr>
            <w:tcW w:w="0" w:type="auto"/>
            <w:vAlign w:val="center"/>
          </w:tcPr>
          <w:p w:rsidR="000A156F" w:rsidRDefault="00A9721F">
            <w:pPr>
              <w:pStyle w:val="TableBodyText"/>
            </w:pPr>
            <w:r>
              <w:t>CountDocumentVars</w:t>
            </w:r>
          </w:p>
        </w:tc>
      </w:tr>
      <w:tr w:rsidR="000A156F" w:rsidTr="000A156F">
        <w:tc>
          <w:tcPr>
            <w:tcW w:w="0" w:type="auto"/>
            <w:vAlign w:val="center"/>
          </w:tcPr>
          <w:p w:rsidR="000A156F" w:rsidRDefault="00A9721F">
            <w:pPr>
              <w:pStyle w:val="TableBodyText"/>
            </w:pPr>
            <w:r>
              <w:t>CountFiles</w:t>
            </w:r>
          </w:p>
        </w:tc>
      </w:tr>
      <w:tr w:rsidR="000A156F" w:rsidTr="000A156F">
        <w:tc>
          <w:tcPr>
            <w:tcW w:w="0" w:type="auto"/>
            <w:vAlign w:val="center"/>
          </w:tcPr>
          <w:p w:rsidR="000A156F" w:rsidRDefault="00A9721F">
            <w:pPr>
              <w:pStyle w:val="TableBodyText"/>
            </w:pPr>
            <w:r>
              <w:t>CountFonts</w:t>
            </w:r>
          </w:p>
        </w:tc>
      </w:tr>
      <w:tr w:rsidR="000A156F" w:rsidTr="000A156F">
        <w:tc>
          <w:tcPr>
            <w:tcW w:w="0" w:type="auto"/>
            <w:vAlign w:val="center"/>
          </w:tcPr>
          <w:p w:rsidR="000A156F" w:rsidRDefault="00A9721F">
            <w:pPr>
              <w:pStyle w:val="TableBodyText"/>
            </w:pPr>
            <w:r>
              <w:t>CountFoundFiles</w:t>
            </w:r>
          </w:p>
        </w:tc>
      </w:tr>
      <w:tr w:rsidR="000A156F" w:rsidTr="000A156F">
        <w:tc>
          <w:tcPr>
            <w:tcW w:w="0" w:type="auto"/>
            <w:vAlign w:val="center"/>
          </w:tcPr>
          <w:p w:rsidR="000A156F" w:rsidRDefault="00A9721F">
            <w:pPr>
              <w:pStyle w:val="TableBodyText"/>
            </w:pPr>
            <w:r>
              <w:t>CountKeys</w:t>
            </w:r>
          </w:p>
        </w:tc>
      </w:tr>
      <w:tr w:rsidR="000A156F" w:rsidTr="000A156F">
        <w:tc>
          <w:tcPr>
            <w:tcW w:w="0" w:type="auto"/>
            <w:vAlign w:val="center"/>
          </w:tcPr>
          <w:p w:rsidR="000A156F" w:rsidRDefault="00A9721F">
            <w:pPr>
              <w:pStyle w:val="TableBodyText"/>
            </w:pPr>
            <w:r>
              <w:t>CountLanguages</w:t>
            </w:r>
          </w:p>
        </w:tc>
      </w:tr>
      <w:tr w:rsidR="000A156F" w:rsidTr="000A156F">
        <w:tc>
          <w:tcPr>
            <w:tcW w:w="0" w:type="auto"/>
            <w:vAlign w:val="center"/>
          </w:tcPr>
          <w:p w:rsidR="000A156F" w:rsidRDefault="00A9721F">
            <w:pPr>
              <w:pStyle w:val="TableBodyText"/>
            </w:pPr>
            <w:r>
              <w:t>CountMacros</w:t>
            </w:r>
          </w:p>
        </w:tc>
      </w:tr>
      <w:tr w:rsidR="000A156F" w:rsidTr="000A156F">
        <w:tc>
          <w:tcPr>
            <w:tcW w:w="0" w:type="auto"/>
            <w:vAlign w:val="center"/>
          </w:tcPr>
          <w:p w:rsidR="000A156F" w:rsidRDefault="00A9721F">
            <w:pPr>
              <w:pStyle w:val="TableBodyText"/>
            </w:pPr>
            <w:r>
              <w:t>CountMenuItems</w:t>
            </w:r>
          </w:p>
        </w:tc>
      </w:tr>
      <w:tr w:rsidR="000A156F" w:rsidTr="000A156F">
        <w:tc>
          <w:tcPr>
            <w:tcW w:w="0" w:type="auto"/>
            <w:vAlign w:val="center"/>
          </w:tcPr>
          <w:p w:rsidR="000A156F" w:rsidRDefault="00A9721F">
            <w:pPr>
              <w:pStyle w:val="TableBodyText"/>
            </w:pPr>
            <w:r>
              <w:t>CountMenus</w:t>
            </w:r>
          </w:p>
        </w:tc>
      </w:tr>
      <w:tr w:rsidR="000A156F" w:rsidTr="000A156F">
        <w:tc>
          <w:tcPr>
            <w:tcW w:w="0" w:type="auto"/>
            <w:vAlign w:val="center"/>
          </w:tcPr>
          <w:p w:rsidR="000A156F" w:rsidRDefault="00A9721F">
            <w:pPr>
              <w:pStyle w:val="TableBodyText"/>
            </w:pPr>
            <w:r>
              <w:t>CountMergeFields</w:t>
            </w:r>
          </w:p>
        </w:tc>
      </w:tr>
      <w:tr w:rsidR="000A156F" w:rsidTr="000A156F">
        <w:tc>
          <w:tcPr>
            <w:tcW w:w="0" w:type="auto"/>
            <w:vAlign w:val="center"/>
          </w:tcPr>
          <w:p w:rsidR="000A156F" w:rsidRDefault="00A9721F">
            <w:pPr>
              <w:pStyle w:val="TableBodyText"/>
            </w:pPr>
            <w:r>
              <w:t>CountSdAlloc</w:t>
            </w:r>
          </w:p>
        </w:tc>
      </w:tr>
      <w:tr w:rsidR="000A156F" w:rsidTr="000A156F">
        <w:tc>
          <w:tcPr>
            <w:tcW w:w="0" w:type="auto"/>
            <w:vAlign w:val="center"/>
          </w:tcPr>
          <w:p w:rsidR="000A156F" w:rsidRDefault="00A9721F">
            <w:pPr>
              <w:pStyle w:val="TableBodyText"/>
            </w:pPr>
            <w:r>
              <w:t>CountStyles</w:t>
            </w:r>
          </w:p>
        </w:tc>
      </w:tr>
      <w:tr w:rsidR="000A156F" w:rsidTr="000A156F">
        <w:tc>
          <w:tcPr>
            <w:tcW w:w="0" w:type="auto"/>
            <w:vAlign w:val="center"/>
          </w:tcPr>
          <w:p w:rsidR="000A156F" w:rsidRDefault="00A9721F">
            <w:pPr>
              <w:pStyle w:val="TableBodyText"/>
            </w:pPr>
            <w:r>
              <w:t>CountToolbarButtons</w:t>
            </w:r>
          </w:p>
        </w:tc>
      </w:tr>
      <w:tr w:rsidR="000A156F" w:rsidTr="000A156F">
        <w:tc>
          <w:tcPr>
            <w:tcW w:w="0" w:type="auto"/>
            <w:vAlign w:val="center"/>
          </w:tcPr>
          <w:p w:rsidR="000A156F" w:rsidRDefault="00A9721F">
            <w:pPr>
              <w:pStyle w:val="TableBodyText"/>
            </w:pPr>
            <w:r>
              <w:t>CountToolbars</w:t>
            </w:r>
          </w:p>
        </w:tc>
      </w:tr>
      <w:tr w:rsidR="000A156F" w:rsidTr="000A156F">
        <w:tc>
          <w:tcPr>
            <w:tcW w:w="0" w:type="auto"/>
            <w:vAlign w:val="center"/>
          </w:tcPr>
          <w:p w:rsidR="000A156F" w:rsidRDefault="00A9721F">
            <w:pPr>
              <w:pStyle w:val="TableBodyText"/>
            </w:pPr>
            <w:r>
              <w:t>CountToolsGrammarStatistics</w:t>
            </w:r>
          </w:p>
        </w:tc>
      </w:tr>
      <w:tr w:rsidR="000A156F" w:rsidTr="000A156F">
        <w:tc>
          <w:tcPr>
            <w:tcW w:w="0" w:type="auto"/>
            <w:vAlign w:val="center"/>
          </w:tcPr>
          <w:p w:rsidR="000A156F" w:rsidRDefault="00A9721F">
            <w:pPr>
              <w:pStyle w:val="TableBodyText"/>
            </w:pPr>
            <w:r>
              <w:t>CountWindows</w:t>
            </w:r>
          </w:p>
        </w:tc>
      </w:tr>
      <w:tr w:rsidR="000A156F" w:rsidTr="000A156F">
        <w:tc>
          <w:tcPr>
            <w:tcW w:w="0" w:type="auto"/>
            <w:vAlign w:val="center"/>
          </w:tcPr>
          <w:p w:rsidR="000A156F" w:rsidRDefault="00A9721F">
            <w:pPr>
              <w:pStyle w:val="TableBodyText"/>
            </w:pPr>
            <w:r>
              <w:t>CrashOnNextEmailDisplay</w:t>
            </w:r>
          </w:p>
        </w:tc>
      </w:tr>
      <w:tr w:rsidR="000A156F" w:rsidTr="000A156F">
        <w:tc>
          <w:tcPr>
            <w:tcW w:w="0" w:type="auto"/>
            <w:vAlign w:val="center"/>
          </w:tcPr>
          <w:p w:rsidR="000A156F" w:rsidRDefault="00A9721F">
            <w:pPr>
              <w:pStyle w:val="TableBodyText"/>
            </w:pPr>
            <w:r>
              <w:lastRenderedPageBreak/>
              <w:t>CrashOnNextEmailLayout</w:t>
            </w:r>
          </w:p>
        </w:tc>
      </w:tr>
      <w:tr w:rsidR="000A156F" w:rsidTr="000A156F">
        <w:tc>
          <w:tcPr>
            <w:tcW w:w="0" w:type="auto"/>
            <w:vAlign w:val="center"/>
          </w:tcPr>
          <w:p w:rsidR="000A156F" w:rsidRDefault="00A9721F">
            <w:pPr>
              <w:pStyle w:val="TableBodyText"/>
            </w:pPr>
            <w:r>
              <w:t>CrashOnNextEmailLoad</w:t>
            </w:r>
          </w:p>
        </w:tc>
      </w:tr>
      <w:tr w:rsidR="000A156F" w:rsidTr="000A156F">
        <w:tc>
          <w:tcPr>
            <w:tcW w:w="0" w:type="auto"/>
            <w:vAlign w:val="center"/>
          </w:tcPr>
          <w:p w:rsidR="000A156F" w:rsidRDefault="00A9721F">
            <w:pPr>
              <w:pStyle w:val="TableBodyText"/>
            </w:pPr>
            <w:r>
              <w:t>DDEExecute</w:t>
            </w:r>
          </w:p>
        </w:tc>
      </w:tr>
      <w:tr w:rsidR="000A156F" w:rsidTr="000A156F">
        <w:tc>
          <w:tcPr>
            <w:tcW w:w="0" w:type="auto"/>
            <w:vAlign w:val="center"/>
          </w:tcPr>
          <w:p w:rsidR="000A156F" w:rsidRDefault="00A9721F">
            <w:pPr>
              <w:pStyle w:val="TableBodyText"/>
            </w:pPr>
            <w:r>
              <w:t>DDEInitiate</w:t>
            </w:r>
          </w:p>
        </w:tc>
      </w:tr>
      <w:tr w:rsidR="000A156F" w:rsidTr="000A156F">
        <w:tc>
          <w:tcPr>
            <w:tcW w:w="0" w:type="auto"/>
            <w:vAlign w:val="center"/>
          </w:tcPr>
          <w:p w:rsidR="000A156F" w:rsidRDefault="00A9721F">
            <w:pPr>
              <w:pStyle w:val="TableBodyText"/>
            </w:pPr>
            <w:r>
              <w:t>DDEPoke</w:t>
            </w:r>
          </w:p>
        </w:tc>
      </w:tr>
      <w:tr w:rsidR="000A156F" w:rsidTr="000A156F">
        <w:tc>
          <w:tcPr>
            <w:tcW w:w="0" w:type="auto"/>
            <w:vAlign w:val="center"/>
          </w:tcPr>
          <w:p w:rsidR="000A156F" w:rsidRDefault="00A9721F">
            <w:pPr>
              <w:pStyle w:val="TableBodyText"/>
            </w:pPr>
            <w:r>
              <w:t>DDETerminate</w:t>
            </w:r>
          </w:p>
        </w:tc>
      </w:tr>
      <w:tr w:rsidR="000A156F" w:rsidTr="000A156F">
        <w:tc>
          <w:tcPr>
            <w:tcW w:w="0" w:type="auto"/>
            <w:vAlign w:val="center"/>
          </w:tcPr>
          <w:p w:rsidR="000A156F" w:rsidRDefault="00A9721F">
            <w:pPr>
              <w:pStyle w:val="TableBodyText"/>
            </w:pPr>
            <w:r>
              <w:t>DDETerminateAll</w:t>
            </w:r>
          </w:p>
        </w:tc>
      </w:tr>
      <w:tr w:rsidR="000A156F" w:rsidTr="000A156F">
        <w:tc>
          <w:tcPr>
            <w:tcW w:w="0" w:type="auto"/>
            <w:vAlign w:val="center"/>
          </w:tcPr>
          <w:p w:rsidR="000A156F" w:rsidRDefault="00A9721F">
            <w:pPr>
              <w:pStyle w:val="TableBodyText"/>
            </w:pPr>
            <w:r>
              <w:t>DateSerial</w:t>
            </w:r>
          </w:p>
        </w:tc>
      </w:tr>
      <w:tr w:rsidR="000A156F" w:rsidTr="000A156F">
        <w:tc>
          <w:tcPr>
            <w:tcW w:w="0" w:type="auto"/>
            <w:vAlign w:val="center"/>
          </w:tcPr>
          <w:p w:rsidR="000A156F" w:rsidRDefault="00A9721F">
            <w:pPr>
              <w:pStyle w:val="TableBodyText"/>
            </w:pPr>
            <w:r>
              <w:t>DateValue</w:t>
            </w:r>
          </w:p>
        </w:tc>
      </w:tr>
      <w:tr w:rsidR="000A156F" w:rsidTr="000A156F">
        <w:tc>
          <w:tcPr>
            <w:tcW w:w="0" w:type="auto"/>
            <w:vAlign w:val="center"/>
          </w:tcPr>
          <w:p w:rsidR="000A156F" w:rsidRDefault="00A9721F">
            <w:pPr>
              <w:pStyle w:val="TableBodyText"/>
            </w:pPr>
            <w:r>
              <w:t>Day</w:t>
            </w:r>
          </w:p>
        </w:tc>
      </w:tr>
      <w:tr w:rsidR="000A156F" w:rsidTr="000A156F">
        <w:tc>
          <w:tcPr>
            <w:tcW w:w="0" w:type="auto"/>
            <w:vAlign w:val="center"/>
          </w:tcPr>
          <w:p w:rsidR="000A156F" w:rsidRDefault="00A9721F">
            <w:pPr>
              <w:pStyle w:val="TableBodyText"/>
            </w:pPr>
            <w:r>
              <w:t>Days360</w:t>
            </w:r>
          </w:p>
        </w:tc>
      </w:tr>
      <w:tr w:rsidR="000A156F" w:rsidTr="000A156F">
        <w:tc>
          <w:tcPr>
            <w:tcW w:w="0" w:type="auto"/>
            <w:vAlign w:val="center"/>
          </w:tcPr>
          <w:p w:rsidR="000A156F" w:rsidRDefault="00A9721F">
            <w:pPr>
              <w:pStyle w:val="TableBodyText"/>
            </w:pPr>
            <w:r>
              <w:t>DeleteAddIn</w:t>
            </w:r>
          </w:p>
        </w:tc>
      </w:tr>
      <w:tr w:rsidR="000A156F" w:rsidTr="000A156F">
        <w:tc>
          <w:tcPr>
            <w:tcW w:w="0" w:type="auto"/>
            <w:vAlign w:val="center"/>
          </w:tcPr>
          <w:p w:rsidR="000A156F" w:rsidRDefault="00A9721F">
            <w:pPr>
              <w:pStyle w:val="TableBodyText"/>
            </w:pPr>
            <w:r>
              <w:t>DeleteButton</w:t>
            </w:r>
          </w:p>
        </w:tc>
      </w:tr>
      <w:tr w:rsidR="000A156F" w:rsidTr="000A156F">
        <w:tc>
          <w:tcPr>
            <w:tcW w:w="0" w:type="auto"/>
            <w:vAlign w:val="center"/>
          </w:tcPr>
          <w:p w:rsidR="000A156F" w:rsidRDefault="00A9721F">
            <w:pPr>
              <w:pStyle w:val="TableBodyText"/>
            </w:pPr>
            <w:r>
              <w:t>DeleteDocumentProperty</w:t>
            </w:r>
          </w:p>
        </w:tc>
      </w:tr>
      <w:tr w:rsidR="000A156F" w:rsidTr="000A156F">
        <w:tc>
          <w:tcPr>
            <w:tcW w:w="0" w:type="auto"/>
            <w:vAlign w:val="center"/>
          </w:tcPr>
          <w:p w:rsidR="000A156F" w:rsidRDefault="00A9721F">
            <w:pPr>
              <w:pStyle w:val="TableBodyText"/>
            </w:pPr>
            <w:r>
              <w:t>DisableAutoMacros</w:t>
            </w:r>
          </w:p>
        </w:tc>
      </w:tr>
      <w:tr w:rsidR="000A156F" w:rsidTr="000A156F">
        <w:tc>
          <w:tcPr>
            <w:tcW w:w="0" w:type="auto"/>
            <w:vAlign w:val="center"/>
          </w:tcPr>
          <w:p w:rsidR="000A156F" w:rsidRDefault="00A9721F">
            <w:pPr>
              <w:pStyle w:val="TableBodyText"/>
            </w:pPr>
            <w:r>
              <w:t>DisableInput</w:t>
            </w:r>
          </w:p>
        </w:tc>
      </w:tr>
      <w:tr w:rsidR="000A156F" w:rsidTr="000A156F">
        <w:tc>
          <w:tcPr>
            <w:tcW w:w="0" w:type="auto"/>
            <w:vAlign w:val="center"/>
          </w:tcPr>
          <w:p w:rsidR="000A156F" w:rsidRDefault="00A9721F">
            <w:pPr>
              <w:pStyle w:val="TableBodyText"/>
            </w:pPr>
            <w:r>
              <w:t>DistributePara</w:t>
            </w:r>
          </w:p>
        </w:tc>
      </w:tr>
      <w:tr w:rsidR="000A156F" w:rsidTr="000A156F">
        <w:tc>
          <w:tcPr>
            <w:tcW w:w="0" w:type="auto"/>
            <w:vAlign w:val="center"/>
          </w:tcPr>
          <w:p w:rsidR="000A156F" w:rsidRDefault="00A9721F">
            <w:pPr>
              <w:pStyle w:val="TableBodyText"/>
            </w:pPr>
            <w:r>
              <w:t>DistributeRow</w:t>
            </w:r>
          </w:p>
        </w:tc>
      </w:tr>
      <w:tr w:rsidR="000A156F" w:rsidTr="000A156F">
        <w:tc>
          <w:tcPr>
            <w:tcW w:w="0" w:type="auto"/>
            <w:vAlign w:val="center"/>
          </w:tcPr>
          <w:p w:rsidR="000A156F" w:rsidRDefault="00A9721F">
            <w:pPr>
              <w:pStyle w:val="TableBodyText"/>
            </w:pPr>
            <w:r>
              <w:t>DlgControlId</w:t>
            </w:r>
          </w:p>
        </w:tc>
      </w:tr>
      <w:tr w:rsidR="000A156F" w:rsidTr="000A156F">
        <w:tc>
          <w:tcPr>
            <w:tcW w:w="0" w:type="auto"/>
            <w:vAlign w:val="center"/>
          </w:tcPr>
          <w:p w:rsidR="000A156F" w:rsidRDefault="00A9721F">
            <w:pPr>
              <w:pStyle w:val="TableBodyText"/>
            </w:pPr>
            <w:r>
              <w:t>DlgEnable</w:t>
            </w:r>
          </w:p>
        </w:tc>
      </w:tr>
      <w:tr w:rsidR="000A156F" w:rsidTr="000A156F">
        <w:tc>
          <w:tcPr>
            <w:tcW w:w="0" w:type="auto"/>
            <w:vAlign w:val="center"/>
          </w:tcPr>
          <w:p w:rsidR="000A156F" w:rsidRDefault="00A9721F">
            <w:pPr>
              <w:pStyle w:val="TableBodyText"/>
            </w:pPr>
            <w:r>
              <w:t>DlgFilePreview</w:t>
            </w:r>
          </w:p>
        </w:tc>
      </w:tr>
      <w:tr w:rsidR="000A156F" w:rsidTr="000A156F">
        <w:tc>
          <w:tcPr>
            <w:tcW w:w="0" w:type="auto"/>
            <w:vAlign w:val="center"/>
          </w:tcPr>
          <w:p w:rsidR="000A156F" w:rsidRDefault="00A9721F">
            <w:pPr>
              <w:pStyle w:val="TableBodyText"/>
            </w:pPr>
            <w:r>
              <w:t>DlgFocus</w:t>
            </w:r>
          </w:p>
        </w:tc>
      </w:tr>
      <w:tr w:rsidR="000A156F" w:rsidTr="000A156F">
        <w:tc>
          <w:tcPr>
            <w:tcW w:w="0" w:type="auto"/>
            <w:vAlign w:val="center"/>
          </w:tcPr>
          <w:p w:rsidR="000A156F" w:rsidRDefault="00A9721F">
            <w:pPr>
              <w:pStyle w:val="TableBodyText"/>
            </w:pPr>
            <w:r>
              <w:t>DlgListBoxArray</w:t>
            </w:r>
          </w:p>
        </w:tc>
      </w:tr>
      <w:tr w:rsidR="000A156F" w:rsidTr="000A156F">
        <w:tc>
          <w:tcPr>
            <w:tcW w:w="0" w:type="auto"/>
            <w:vAlign w:val="center"/>
          </w:tcPr>
          <w:p w:rsidR="000A156F" w:rsidRDefault="00A9721F">
            <w:pPr>
              <w:pStyle w:val="TableBodyText"/>
            </w:pPr>
            <w:r>
              <w:t>DlgLoadValues</w:t>
            </w:r>
          </w:p>
        </w:tc>
      </w:tr>
      <w:tr w:rsidR="000A156F" w:rsidTr="000A156F">
        <w:tc>
          <w:tcPr>
            <w:tcW w:w="0" w:type="auto"/>
            <w:vAlign w:val="center"/>
          </w:tcPr>
          <w:p w:rsidR="000A156F" w:rsidRDefault="00A9721F">
            <w:pPr>
              <w:pStyle w:val="TableBodyText"/>
            </w:pPr>
            <w:r>
              <w:t>DlgSetPicture</w:t>
            </w:r>
          </w:p>
        </w:tc>
      </w:tr>
      <w:tr w:rsidR="000A156F" w:rsidTr="000A156F">
        <w:tc>
          <w:tcPr>
            <w:tcW w:w="0" w:type="auto"/>
            <w:vAlign w:val="center"/>
          </w:tcPr>
          <w:p w:rsidR="000A156F" w:rsidRDefault="00A9721F">
            <w:pPr>
              <w:pStyle w:val="TableBodyText"/>
            </w:pPr>
            <w:r>
              <w:t>DlgStoreValues</w:t>
            </w:r>
          </w:p>
        </w:tc>
      </w:tr>
      <w:tr w:rsidR="000A156F" w:rsidTr="000A156F">
        <w:tc>
          <w:tcPr>
            <w:tcW w:w="0" w:type="auto"/>
            <w:vAlign w:val="center"/>
          </w:tcPr>
          <w:p w:rsidR="000A156F" w:rsidRDefault="00A9721F">
            <w:pPr>
              <w:pStyle w:val="TableBodyText"/>
            </w:pPr>
            <w:r>
              <w:t>DlgText</w:t>
            </w:r>
          </w:p>
        </w:tc>
      </w:tr>
      <w:tr w:rsidR="000A156F" w:rsidTr="000A156F">
        <w:tc>
          <w:tcPr>
            <w:tcW w:w="0" w:type="auto"/>
            <w:vAlign w:val="center"/>
          </w:tcPr>
          <w:p w:rsidR="000A156F" w:rsidRDefault="00A9721F">
            <w:pPr>
              <w:pStyle w:val="TableBodyText"/>
            </w:pPr>
            <w:r>
              <w:t>DlgUpdateFilePreview</w:t>
            </w:r>
          </w:p>
        </w:tc>
      </w:tr>
      <w:tr w:rsidR="000A156F" w:rsidTr="000A156F">
        <w:tc>
          <w:tcPr>
            <w:tcW w:w="0" w:type="auto"/>
            <w:vAlign w:val="center"/>
          </w:tcPr>
          <w:p w:rsidR="000A156F" w:rsidRDefault="00A9721F">
            <w:pPr>
              <w:pStyle w:val="TableBodyText"/>
            </w:pPr>
            <w:r>
              <w:t>DlgValue</w:t>
            </w:r>
          </w:p>
        </w:tc>
      </w:tr>
      <w:tr w:rsidR="000A156F" w:rsidTr="000A156F">
        <w:tc>
          <w:tcPr>
            <w:tcW w:w="0" w:type="auto"/>
            <w:vAlign w:val="center"/>
          </w:tcPr>
          <w:p w:rsidR="000A156F" w:rsidRDefault="00A9721F">
            <w:pPr>
              <w:pStyle w:val="TableBodyText"/>
            </w:pPr>
            <w:r>
              <w:t>DlgVisible</w:t>
            </w:r>
          </w:p>
        </w:tc>
      </w:tr>
      <w:tr w:rsidR="000A156F" w:rsidTr="000A156F">
        <w:tc>
          <w:tcPr>
            <w:tcW w:w="0" w:type="auto"/>
            <w:vAlign w:val="center"/>
          </w:tcPr>
          <w:p w:rsidR="000A156F" w:rsidRDefault="00A9721F">
            <w:pPr>
              <w:pStyle w:val="TableBodyText"/>
            </w:pPr>
            <w:r>
              <w:t>DocClose</w:t>
            </w:r>
          </w:p>
        </w:tc>
      </w:tr>
      <w:tr w:rsidR="000A156F" w:rsidTr="000A156F">
        <w:tc>
          <w:tcPr>
            <w:tcW w:w="0" w:type="auto"/>
            <w:vAlign w:val="center"/>
          </w:tcPr>
          <w:p w:rsidR="000A156F" w:rsidRDefault="00A9721F">
            <w:pPr>
              <w:pStyle w:val="TableBodyText"/>
            </w:pPr>
            <w:r>
              <w:t>DocMaximize</w:t>
            </w:r>
          </w:p>
        </w:tc>
      </w:tr>
      <w:tr w:rsidR="000A156F" w:rsidTr="000A156F">
        <w:tc>
          <w:tcPr>
            <w:tcW w:w="0" w:type="auto"/>
            <w:vAlign w:val="center"/>
          </w:tcPr>
          <w:p w:rsidR="000A156F" w:rsidRDefault="00A9721F">
            <w:pPr>
              <w:pStyle w:val="TableBodyText"/>
            </w:pPr>
            <w:r>
              <w:lastRenderedPageBreak/>
              <w:t>DocMinimize</w:t>
            </w:r>
          </w:p>
        </w:tc>
      </w:tr>
      <w:tr w:rsidR="000A156F" w:rsidTr="000A156F">
        <w:tc>
          <w:tcPr>
            <w:tcW w:w="0" w:type="auto"/>
            <w:vAlign w:val="center"/>
          </w:tcPr>
          <w:p w:rsidR="000A156F" w:rsidRDefault="00A9721F">
            <w:pPr>
              <w:pStyle w:val="TableBodyText"/>
            </w:pPr>
            <w:r>
              <w:t>DocMove</w:t>
            </w:r>
          </w:p>
        </w:tc>
      </w:tr>
      <w:tr w:rsidR="000A156F" w:rsidTr="000A156F">
        <w:tc>
          <w:tcPr>
            <w:tcW w:w="0" w:type="auto"/>
            <w:vAlign w:val="center"/>
          </w:tcPr>
          <w:p w:rsidR="000A156F" w:rsidRDefault="00A9721F">
            <w:pPr>
              <w:pStyle w:val="TableBodyText"/>
            </w:pPr>
            <w:r>
              <w:t>DocSize</w:t>
            </w:r>
          </w:p>
        </w:tc>
      </w:tr>
      <w:tr w:rsidR="000A156F" w:rsidTr="000A156F">
        <w:tc>
          <w:tcPr>
            <w:tcW w:w="0" w:type="auto"/>
            <w:vAlign w:val="center"/>
          </w:tcPr>
          <w:p w:rsidR="000A156F" w:rsidRDefault="00A9721F">
            <w:pPr>
              <w:pStyle w:val="TableBodyText"/>
            </w:pPr>
            <w:r>
              <w:t>DocSplit</w:t>
            </w:r>
          </w:p>
        </w:tc>
      </w:tr>
      <w:tr w:rsidR="000A156F" w:rsidTr="000A156F">
        <w:tc>
          <w:tcPr>
            <w:tcW w:w="0" w:type="auto"/>
            <w:vAlign w:val="center"/>
          </w:tcPr>
          <w:p w:rsidR="000A156F" w:rsidRDefault="00A9721F">
            <w:pPr>
              <w:pStyle w:val="TableBodyText"/>
            </w:pPr>
            <w:r>
              <w:t>DocWindowHeight</w:t>
            </w:r>
          </w:p>
        </w:tc>
      </w:tr>
      <w:tr w:rsidR="000A156F" w:rsidTr="000A156F">
        <w:tc>
          <w:tcPr>
            <w:tcW w:w="0" w:type="auto"/>
            <w:vAlign w:val="center"/>
          </w:tcPr>
          <w:p w:rsidR="000A156F" w:rsidRDefault="00A9721F">
            <w:pPr>
              <w:pStyle w:val="TableBodyText"/>
            </w:pPr>
            <w:r>
              <w:t>DocWindowPosLeft</w:t>
            </w:r>
          </w:p>
        </w:tc>
      </w:tr>
      <w:tr w:rsidR="000A156F" w:rsidTr="000A156F">
        <w:tc>
          <w:tcPr>
            <w:tcW w:w="0" w:type="auto"/>
            <w:vAlign w:val="center"/>
          </w:tcPr>
          <w:p w:rsidR="000A156F" w:rsidRDefault="00A9721F">
            <w:pPr>
              <w:pStyle w:val="TableBodyText"/>
            </w:pPr>
            <w:r>
              <w:t>DocWindowPosTop</w:t>
            </w:r>
          </w:p>
        </w:tc>
      </w:tr>
      <w:tr w:rsidR="000A156F" w:rsidTr="000A156F">
        <w:tc>
          <w:tcPr>
            <w:tcW w:w="0" w:type="auto"/>
            <w:vAlign w:val="center"/>
          </w:tcPr>
          <w:p w:rsidR="000A156F" w:rsidRDefault="00A9721F">
            <w:pPr>
              <w:pStyle w:val="TableBodyText"/>
            </w:pPr>
            <w:r>
              <w:t>DocWindowWidth</w:t>
            </w:r>
          </w:p>
        </w:tc>
      </w:tr>
      <w:tr w:rsidR="000A156F" w:rsidTr="000A156F">
        <w:tc>
          <w:tcPr>
            <w:tcW w:w="0" w:type="auto"/>
            <w:vAlign w:val="center"/>
          </w:tcPr>
          <w:p w:rsidR="000A156F" w:rsidRDefault="00A9721F">
            <w:pPr>
              <w:pStyle w:val="TableBodyText"/>
            </w:pPr>
            <w:r>
              <w:t>DocumentHasMisspellings</w:t>
            </w:r>
          </w:p>
        </w:tc>
      </w:tr>
      <w:tr w:rsidR="000A156F" w:rsidTr="000A156F">
        <w:tc>
          <w:tcPr>
            <w:tcW w:w="0" w:type="auto"/>
            <w:vAlign w:val="center"/>
          </w:tcPr>
          <w:p w:rsidR="000A156F" w:rsidRDefault="00A9721F">
            <w:pPr>
              <w:pStyle w:val="TableBodyText"/>
            </w:pPr>
            <w:r>
              <w:t>DocumentPropertyExists</w:t>
            </w:r>
          </w:p>
        </w:tc>
      </w:tr>
      <w:tr w:rsidR="000A156F" w:rsidTr="000A156F">
        <w:tc>
          <w:tcPr>
            <w:tcW w:w="0" w:type="auto"/>
            <w:vAlign w:val="center"/>
          </w:tcPr>
          <w:p w:rsidR="000A156F" w:rsidRDefault="00A9721F">
            <w:pPr>
              <w:pStyle w:val="TableBodyText"/>
            </w:pPr>
            <w:r>
              <w:t>DocumentPropertyType</w:t>
            </w:r>
          </w:p>
        </w:tc>
      </w:tr>
      <w:tr w:rsidR="000A156F" w:rsidTr="000A156F">
        <w:tc>
          <w:tcPr>
            <w:tcW w:w="0" w:type="auto"/>
            <w:vAlign w:val="center"/>
          </w:tcPr>
          <w:p w:rsidR="000A156F" w:rsidRDefault="00A9721F">
            <w:pPr>
              <w:pStyle w:val="TableBodyText"/>
            </w:pPr>
            <w:r>
              <w:t>DocumentProtection</w:t>
            </w:r>
          </w:p>
        </w:tc>
      </w:tr>
      <w:tr w:rsidR="000A156F" w:rsidTr="000A156F">
        <w:tc>
          <w:tcPr>
            <w:tcW w:w="0" w:type="auto"/>
            <w:vAlign w:val="center"/>
          </w:tcPr>
          <w:p w:rsidR="000A156F" w:rsidRDefault="00A9721F">
            <w:pPr>
              <w:pStyle w:val="TableBodyText"/>
            </w:pPr>
            <w:r>
              <w:t>DotAccent</w:t>
            </w:r>
          </w:p>
        </w:tc>
      </w:tr>
      <w:tr w:rsidR="000A156F" w:rsidTr="000A156F">
        <w:tc>
          <w:tcPr>
            <w:tcW w:w="0" w:type="auto"/>
            <w:vAlign w:val="center"/>
          </w:tcPr>
          <w:p w:rsidR="000A156F" w:rsidRDefault="00A9721F">
            <w:pPr>
              <w:pStyle w:val="TableBodyText"/>
            </w:pPr>
            <w:r>
              <w:t>DottedUnderline</w:t>
            </w:r>
          </w:p>
        </w:tc>
      </w:tr>
      <w:tr w:rsidR="000A156F" w:rsidTr="000A156F">
        <w:tc>
          <w:tcPr>
            <w:tcW w:w="0" w:type="auto"/>
            <w:vAlign w:val="center"/>
          </w:tcPr>
          <w:p w:rsidR="000A156F" w:rsidRDefault="00A9721F">
            <w:pPr>
              <w:pStyle w:val="TableBodyText"/>
            </w:pPr>
            <w:r>
              <w:t>DoubleStrikethrough</w:t>
            </w:r>
          </w:p>
        </w:tc>
      </w:tr>
      <w:tr w:rsidR="000A156F" w:rsidTr="000A156F">
        <w:tc>
          <w:tcPr>
            <w:tcW w:w="0" w:type="auto"/>
            <w:vAlign w:val="center"/>
          </w:tcPr>
          <w:p w:rsidR="000A156F" w:rsidRDefault="00A9721F">
            <w:pPr>
              <w:pStyle w:val="TableBodyText"/>
            </w:pPr>
            <w:r>
              <w:t>DoubleUnderline</w:t>
            </w:r>
          </w:p>
        </w:tc>
      </w:tr>
      <w:tr w:rsidR="000A156F" w:rsidTr="000A156F">
        <w:tc>
          <w:tcPr>
            <w:tcW w:w="0" w:type="auto"/>
            <w:vAlign w:val="center"/>
          </w:tcPr>
          <w:p w:rsidR="000A156F" w:rsidRDefault="00A9721F">
            <w:pPr>
              <w:pStyle w:val="TableBodyText"/>
            </w:pPr>
            <w:r>
              <w:t>DrawClearRange</w:t>
            </w:r>
          </w:p>
        </w:tc>
      </w:tr>
      <w:tr w:rsidR="000A156F" w:rsidTr="000A156F">
        <w:tc>
          <w:tcPr>
            <w:tcW w:w="0" w:type="auto"/>
            <w:vAlign w:val="center"/>
          </w:tcPr>
          <w:p w:rsidR="000A156F" w:rsidRDefault="00A9721F">
            <w:pPr>
              <w:pStyle w:val="TableBodyText"/>
            </w:pPr>
            <w:r>
              <w:t>DrawCount</w:t>
            </w:r>
          </w:p>
        </w:tc>
      </w:tr>
      <w:tr w:rsidR="000A156F" w:rsidTr="000A156F">
        <w:tc>
          <w:tcPr>
            <w:tcW w:w="0" w:type="auto"/>
            <w:vAlign w:val="center"/>
          </w:tcPr>
          <w:p w:rsidR="000A156F" w:rsidRDefault="00A9721F">
            <w:pPr>
              <w:pStyle w:val="TableBodyText"/>
            </w:pPr>
            <w:r>
              <w:t>DrawCountPolyPoints</w:t>
            </w:r>
          </w:p>
        </w:tc>
      </w:tr>
      <w:tr w:rsidR="000A156F" w:rsidTr="000A156F">
        <w:tc>
          <w:tcPr>
            <w:tcW w:w="0" w:type="auto"/>
            <w:vAlign w:val="center"/>
          </w:tcPr>
          <w:p w:rsidR="000A156F" w:rsidRDefault="00A9721F">
            <w:pPr>
              <w:pStyle w:val="TableBodyText"/>
            </w:pPr>
            <w:r>
              <w:t>DrawExtendSelect</w:t>
            </w:r>
          </w:p>
        </w:tc>
      </w:tr>
      <w:tr w:rsidR="000A156F" w:rsidTr="000A156F">
        <w:tc>
          <w:tcPr>
            <w:tcW w:w="0" w:type="auto"/>
            <w:vAlign w:val="center"/>
          </w:tcPr>
          <w:p w:rsidR="000A156F" w:rsidRDefault="00A9721F">
            <w:pPr>
              <w:pStyle w:val="TableBodyText"/>
            </w:pPr>
            <w:r>
              <w:t>DrawGetCalloutTextbox</w:t>
            </w:r>
          </w:p>
        </w:tc>
      </w:tr>
      <w:tr w:rsidR="000A156F" w:rsidTr="000A156F">
        <w:tc>
          <w:tcPr>
            <w:tcW w:w="0" w:type="auto"/>
            <w:vAlign w:val="center"/>
          </w:tcPr>
          <w:p w:rsidR="000A156F" w:rsidRDefault="00A9721F">
            <w:pPr>
              <w:pStyle w:val="TableBodyText"/>
            </w:pPr>
            <w:r>
              <w:t>DrawGetPolyPoints</w:t>
            </w:r>
          </w:p>
        </w:tc>
      </w:tr>
      <w:tr w:rsidR="000A156F" w:rsidTr="000A156F">
        <w:tc>
          <w:tcPr>
            <w:tcW w:w="0" w:type="auto"/>
            <w:vAlign w:val="center"/>
          </w:tcPr>
          <w:p w:rsidR="000A156F" w:rsidRDefault="00A9721F">
            <w:pPr>
              <w:pStyle w:val="TableBodyText"/>
            </w:pPr>
            <w:r>
              <w:t>DrawGetType</w:t>
            </w:r>
          </w:p>
        </w:tc>
      </w:tr>
      <w:tr w:rsidR="000A156F" w:rsidTr="000A156F">
        <w:tc>
          <w:tcPr>
            <w:tcW w:w="0" w:type="auto"/>
            <w:vAlign w:val="center"/>
          </w:tcPr>
          <w:p w:rsidR="000A156F" w:rsidRDefault="00A9721F">
            <w:pPr>
              <w:pStyle w:val="TableBodyText"/>
            </w:pPr>
            <w:r>
              <w:t>DrawSelect</w:t>
            </w:r>
          </w:p>
        </w:tc>
      </w:tr>
      <w:tr w:rsidR="000A156F" w:rsidTr="000A156F">
        <w:tc>
          <w:tcPr>
            <w:tcW w:w="0" w:type="auto"/>
            <w:vAlign w:val="center"/>
          </w:tcPr>
          <w:p w:rsidR="000A156F" w:rsidRDefault="00A9721F">
            <w:pPr>
              <w:pStyle w:val="TableBodyText"/>
            </w:pPr>
            <w:r>
              <w:t>DrawSetCalloutTextbox</w:t>
            </w:r>
          </w:p>
        </w:tc>
      </w:tr>
      <w:tr w:rsidR="000A156F" w:rsidTr="000A156F">
        <w:tc>
          <w:tcPr>
            <w:tcW w:w="0" w:type="auto"/>
            <w:vAlign w:val="center"/>
          </w:tcPr>
          <w:p w:rsidR="000A156F" w:rsidRDefault="00A9721F">
            <w:pPr>
              <w:pStyle w:val="TableBodyText"/>
            </w:pPr>
            <w:r>
              <w:t>DrawSetInsertToAnchor</w:t>
            </w:r>
          </w:p>
        </w:tc>
      </w:tr>
      <w:tr w:rsidR="000A156F" w:rsidTr="000A156F">
        <w:tc>
          <w:tcPr>
            <w:tcW w:w="0" w:type="auto"/>
            <w:vAlign w:val="center"/>
          </w:tcPr>
          <w:p w:rsidR="000A156F" w:rsidRDefault="00A9721F">
            <w:pPr>
              <w:pStyle w:val="TableBodyText"/>
            </w:pPr>
            <w:r>
              <w:t>DrawSetInsertToTextbox</w:t>
            </w:r>
          </w:p>
        </w:tc>
      </w:tr>
      <w:tr w:rsidR="000A156F" w:rsidTr="000A156F">
        <w:tc>
          <w:tcPr>
            <w:tcW w:w="0" w:type="auto"/>
            <w:vAlign w:val="center"/>
          </w:tcPr>
          <w:p w:rsidR="000A156F" w:rsidRDefault="00A9721F">
            <w:pPr>
              <w:pStyle w:val="TableBodyText"/>
            </w:pPr>
            <w:r>
              <w:t>DrawSetPolyPoints</w:t>
            </w:r>
          </w:p>
        </w:tc>
      </w:tr>
      <w:tr w:rsidR="000A156F" w:rsidTr="000A156F">
        <w:tc>
          <w:tcPr>
            <w:tcW w:w="0" w:type="auto"/>
            <w:vAlign w:val="center"/>
          </w:tcPr>
          <w:p w:rsidR="000A156F" w:rsidRDefault="00A9721F">
            <w:pPr>
              <w:pStyle w:val="TableBodyText"/>
            </w:pPr>
            <w:r>
              <w:t>DrawSetRange</w:t>
            </w:r>
          </w:p>
        </w:tc>
      </w:tr>
      <w:tr w:rsidR="000A156F" w:rsidTr="000A156F">
        <w:tc>
          <w:tcPr>
            <w:tcW w:w="0" w:type="auto"/>
            <w:vAlign w:val="center"/>
          </w:tcPr>
          <w:p w:rsidR="000A156F" w:rsidRDefault="00A9721F">
            <w:pPr>
              <w:pStyle w:val="TableBodyText"/>
            </w:pPr>
            <w:r>
              <w:t>DropListBox</w:t>
            </w:r>
          </w:p>
        </w:tc>
      </w:tr>
      <w:tr w:rsidR="000A156F" w:rsidTr="000A156F">
        <w:tc>
          <w:tcPr>
            <w:tcW w:w="0" w:type="auto"/>
            <w:vAlign w:val="center"/>
          </w:tcPr>
          <w:p w:rsidR="000A156F" w:rsidRDefault="00A9721F">
            <w:pPr>
              <w:pStyle w:val="TableBodyText"/>
            </w:pPr>
            <w:r>
              <w:t>EditButtonImage</w:t>
            </w:r>
          </w:p>
        </w:tc>
      </w:tr>
      <w:tr w:rsidR="000A156F" w:rsidTr="000A156F">
        <w:tc>
          <w:tcPr>
            <w:tcW w:w="0" w:type="auto"/>
            <w:vAlign w:val="center"/>
          </w:tcPr>
          <w:p w:rsidR="000A156F" w:rsidRDefault="00A9721F">
            <w:pPr>
              <w:pStyle w:val="TableBodyText"/>
            </w:pPr>
            <w:r>
              <w:t>EditClear</w:t>
            </w:r>
          </w:p>
        </w:tc>
      </w:tr>
      <w:tr w:rsidR="000A156F" w:rsidTr="000A156F">
        <w:tc>
          <w:tcPr>
            <w:tcW w:w="0" w:type="auto"/>
            <w:vAlign w:val="center"/>
          </w:tcPr>
          <w:p w:rsidR="000A156F" w:rsidRDefault="00A9721F">
            <w:pPr>
              <w:pStyle w:val="TableBodyText"/>
            </w:pPr>
            <w:r>
              <w:lastRenderedPageBreak/>
              <w:t>EditFindFound</w:t>
            </w:r>
          </w:p>
        </w:tc>
      </w:tr>
      <w:tr w:rsidR="000A156F" w:rsidTr="000A156F">
        <w:tc>
          <w:tcPr>
            <w:tcW w:w="0" w:type="auto"/>
            <w:vAlign w:val="center"/>
          </w:tcPr>
          <w:p w:rsidR="000A156F" w:rsidRDefault="00A9721F">
            <w:pPr>
              <w:pStyle w:val="TableBodyText"/>
            </w:pPr>
            <w:r>
              <w:t>EditRedo</w:t>
            </w:r>
          </w:p>
        </w:tc>
      </w:tr>
      <w:tr w:rsidR="000A156F" w:rsidTr="000A156F">
        <w:tc>
          <w:tcPr>
            <w:tcW w:w="0" w:type="auto"/>
            <w:vAlign w:val="center"/>
          </w:tcPr>
          <w:p w:rsidR="000A156F" w:rsidRDefault="00A9721F">
            <w:pPr>
              <w:pStyle w:val="TableBodyText"/>
            </w:pPr>
            <w:r>
              <w:t>EditUndo</w:t>
            </w:r>
          </w:p>
        </w:tc>
      </w:tr>
      <w:tr w:rsidR="000A156F" w:rsidTr="000A156F">
        <w:tc>
          <w:tcPr>
            <w:tcW w:w="0" w:type="auto"/>
            <w:vAlign w:val="center"/>
          </w:tcPr>
          <w:p w:rsidR="000A156F" w:rsidRDefault="00A9721F">
            <w:pPr>
              <w:pStyle w:val="TableBodyText"/>
            </w:pPr>
            <w:r>
              <w:t>EmptyBookmark</w:t>
            </w:r>
          </w:p>
        </w:tc>
      </w:tr>
      <w:tr w:rsidR="000A156F" w:rsidTr="000A156F">
        <w:tc>
          <w:tcPr>
            <w:tcW w:w="0" w:type="auto"/>
            <w:vAlign w:val="center"/>
          </w:tcPr>
          <w:p w:rsidR="000A156F" w:rsidRDefault="00A9721F">
            <w:pPr>
              <w:pStyle w:val="TableBodyText"/>
            </w:pPr>
            <w:r>
              <w:t>EnableFormField</w:t>
            </w:r>
          </w:p>
        </w:tc>
      </w:tr>
      <w:tr w:rsidR="000A156F" w:rsidTr="000A156F">
        <w:tc>
          <w:tcPr>
            <w:tcW w:w="0" w:type="auto"/>
            <w:vAlign w:val="center"/>
          </w:tcPr>
          <w:p w:rsidR="000A156F" w:rsidRDefault="00A9721F">
            <w:pPr>
              <w:pStyle w:val="TableBodyText"/>
            </w:pPr>
            <w:r>
              <w:t>EndOfColumn</w:t>
            </w:r>
          </w:p>
        </w:tc>
      </w:tr>
      <w:tr w:rsidR="000A156F" w:rsidTr="000A156F">
        <w:tc>
          <w:tcPr>
            <w:tcW w:w="0" w:type="auto"/>
            <w:vAlign w:val="center"/>
          </w:tcPr>
          <w:p w:rsidR="000A156F" w:rsidRDefault="00A9721F">
            <w:pPr>
              <w:pStyle w:val="TableBodyText"/>
            </w:pPr>
            <w:r>
              <w:t>EndOfDocument</w:t>
            </w:r>
          </w:p>
        </w:tc>
      </w:tr>
      <w:tr w:rsidR="000A156F" w:rsidTr="000A156F">
        <w:tc>
          <w:tcPr>
            <w:tcW w:w="0" w:type="auto"/>
            <w:vAlign w:val="center"/>
          </w:tcPr>
          <w:p w:rsidR="000A156F" w:rsidRDefault="00A9721F">
            <w:pPr>
              <w:pStyle w:val="TableBodyText"/>
            </w:pPr>
            <w:r>
              <w:t>EndOfLine</w:t>
            </w:r>
          </w:p>
        </w:tc>
      </w:tr>
      <w:tr w:rsidR="000A156F" w:rsidTr="000A156F">
        <w:tc>
          <w:tcPr>
            <w:tcW w:w="0" w:type="auto"/>
            <w:vAlign w:val="center"/>
          </w:tcPr>
          <w:p w:rsidR="000A156F" w:rsidRDefault="00A9721F">
            <w:pPr>
              <w:pStyle w:val="TableBodyText"/>
            </w:pPr>
            <w:r>
              <w:t>EndOfRow</w:t>
            </w:r>
          </w:p>
        </w:tc>
      </w:tr>
      <w:tr w:rsidR="000A156F" w:rsidTr="000A156F">
        <w:tc>
          <w:tcPr>
            <w:tcW w:w="0" w:type="auto"/>
            <w:vAlign w:val="center"/>
          </w:tcPr>
          <w:p w:rsidR="000A156F" w:rsidRDefault="00A9721F">
            <w:pPr>
              <w:pStyle w:val="TableBodyText"/>
            </w:pPr>
            <w:r>
              <w:t>EndOfWindow</w:t>
            </w:r>
          </w:p>
        </w:tc>
      </w:tr>
      <w:tr w:rsidR="000A156F" w:rsidTr="000A156F">
        <w:tc>
          <w:tcPr>
            <w:tcW w:w="0" w:type="auto"/>
            <w:vAlign w:val="center"/>
          </w:tcPr>
          <w:p w:rsidR="000A156F" w:rsidRDefault="00A9721F">
            <w:pPr>
              <w:pStyle w:val="TableBodyText"/>
            </w:pPr>
            <w:r>
              <w:t>Eof</w:t>
            </w:r>
          </w:p>
        </w:tc>
      </w:tr>
      <w:tr w:rsidR="000A156F" w:rsidTr="000A156F">
        <w:tc>
          <w:tcPr>
            <w:tcW w:w="0" w:type="auto"/>
            <w:vAlign w:val="center"/>
          </w:tcPr>
          <w:p w:rsidR="000A156F" w:rsidRDefault="00A9721F">
            <w:pPr>
              <w:pStyle w:val="TableBodyText"/>
            </w:pPr>
            <w:r>
              <w:t>ExistingBookmark</w:t>
            </w:r>
          </w:p>
        </w:tc>
      </w:tr>
      <w:tr w:rsidR="000A156F" w:rsidTr="000A156F">
        <w:tc>
          <w:tcPr>
            <w:tcW w:w="0" w:type="auto"/>
            <w:vAlign w:val="center"/>
          </w:tcPr>
          <w:p w:rsidR="000A156F" w:rsidRDefault="00A9721F">
            <w:pPr>
              <w:pStyle w:val="TableBodyText"/>
            </w:pPr>
            <w:r>
              <w:t>ExitWindows</w:t>
            </w:r>
          </w:p>
        </w:tc>
      </w:tr>
      <w:tr w:rsidR="000A156F" w:rsidTr="000A156F">
        <w:tc>
          <w:tcPr>
            <w:tcW w:w="0" w:type="auto"/>
            <w:vAlign w:val="center"/>
          </w:tcPr>
          <w:p w:rsidR="000A156F" w:rsidRDefault="00A9721F">
            <w:pPr>
              <w:pStyle w:val="TableBodyText"/>
            </w:pPr>
            <w:r>
              <w:t>ExtendMode</w:t>
            </w:r>
          </w:p>
        </w:tc>
      </w:tr>
      <w:tr w:rsidR="000A156F" w:rsidTr="000A156F">
        <w:tc>
          <w:tcPr>
            <w:tcW w:w="0" w:type="auto"/>
            <w:vAlign w:val="center"/>
          </w:tcPr>
          <w:p w:rsidR="000A156F" w:rsidRDefault="00A9721F">
            <w:pPr>
              <w:pStyle w:val="TableBodyText"/>
            </w:pPr>
            <w:r>
              <w:t>ExtendSelection</w:t>
            </w:r>
          </w:p>
        </w:tc>
      </w:tr>
      <w:tr w:rsidR="000A156F" w:rsidTr="000A156F">
        <w:tc>
          <w:tcPr>
            <w:tcW w:w="0" w:type="auto"/>
            <w:vAlign w:val="center"/>
          </w:tcPr>
          <w:p w:rsidR="000A156F" w:rsidRDefault="00A9721F">
            <w:pPr>
              <w:pStyle w:val="TableBodyText"/>
            </w:pPr>
            <w:r>
              <w:t>File1</w:t>
            </w:r>
          </w:p>
        </w:tc>
      </w:tr>
      <w:tr w:rsidR="000A156F" w:rsidTr="000A156F">
        <w:tc>
          <w:tcPr>
            <w:tcW w:w="0" w:type="auto"/>
            <w:vAlign w:val="center"/>
          </w:tcPr>
          <w:p w:rsidR="000A156F" w:rsidRDefault="00A9721F">
            <w:pPr>
              <w:pStyle w:val="TableBodyText"/>
            </w:pPr>
            <w:r>
              <w:t>File2</w:t>
            </w:r>
          </w:p>
        </w:tc>
      </w:tr>
      <w:tr w:rsidR="000A156F" w:rsidTr="000A156F">
        <w:tc>
          <w:tcPr>
            <w:tcW w:w="0" w:type="auto"/>
            <w:vAlign w:val="center"/>
          </w:tcPr>
          <w:p w:rsidR="000A156F" w:rsidRDefault="00A9721F">
            <w:pPr>
              <w:pStyle w:val="TableBodyText"/>
            </w:pPr>
            <w:r>
              <w:t>File3</w:t>
            </w:r>
          </w:p>
        </w:tc>
      </w:tr>
      <w:tr w:rsidR="000A156F" w:rsidTr="000A156F">
        <w:tc>
          <w:tcPr>
            <w:tcW w:w="0" w:type="auto"/>
            <w:vAlign w:val="center"/>
          </w:tcPr>
          <w:p w:rsidR="000A156F" w:rsidRDefault="00A9721F">
            <w:pPr>
              <w:pStyle w:val="TableBodyText"/>
            </w:pPr>
            <w:r>
              <w:t>File4</w:t>
            </w:r>
          </w:p>
        </w:tc>
      </w:tr>
      <w:tr w:rsidR="000A156F" w:rsidTr="000A156F">
        <w:tc>
          <w:tcPr>
            <w:tcW w:w="0" w:type="auto"/>
            <w:vAlign w:val="center"/>
          </w:tcPr>
          <w:p w:rsidR="000A156F" w:rsidRDefault="00A9721F">
            <w:pPr>
              <w:pStyle w:val="TableBodyText"/>
            </w:pPr>
            <w:r>
              <w:t>File5</w:t>
            </w:r>
          </w:p>
        </w:tc>
      </w:tr>
      <w:tr w:rsidR="000A156F" w:rsidTr="000A156F">
        <w:tc>
          <w:tcPr>
            <w:tcW w:w="0" w:type="auto"/>
            <w:vAlign w:val="center"/>
          </w:tcPr>
          <w:p w:rsidR="000A156F" w:rsidRDefault="00A9721F">
            <w:pPr>
              <w:pStyle w:val="TableBodyText"/>
            </w:pPr>
            <w:r>
              <w:t>File6</w:t>
            </w:r>
          </w:p>
        </w:tc>
      </w:tr>
      <w:tr w:rsidR="000A156F" w:rsidTr="000A156F">
        <w:tc>
          <w:tcPr>
            <w:tcW w:w="0" w:type="auto"/>
            <w:vAlign w:val="center"/>
          </w:tcPr>
          <w:p w:rsidR="000A156F" w:rsidRDefault="00A9721F">
            <w:pPr>
              <w:pStyle w:val="TableBodyText"/>
            </w:pPr>
            <w:r>
              <w:t>File7</w:t>
            </w:r>
          </w:p>
        </w:tc>
      </w:tr>
      <w:tr w:rsidR="000A156F" w:rsidTr="000A156F">
        <w:tc>
          <w:tcPr>
            <w:tcW w:w="0" w:type="auto"/>
            <w:vAlign w:val="center"/>
          </w:tcPr>
          <w:p w:rsidR="000A156F" w:rsidRDefault="00A9721F">
            <w:pPr>
              <w:pStyle w:val="TableBodyText"/>
            </w:pPr>
            <w:r>
              <w:t>File8</w:t>
            </w:r>
          </w:p>
        </w:tc>
      </w:tr>
      <w:tr w:rsidR="000A156F" w:rsidTr="000A156F">
        <w:tc>
          <w:tcPr>
            <w:tcW w:w="0" w:type="auto"/>
            <w:vAlign w:val="center"/>
          </w:tcPr>
          <w:p w:rsidR="000A156F" w:rsidRDefault="00A9721F">
            <w:pPr>
              <w:pStyle w:val="TableBodyText"/>
            </w:pPr>
            <w:r>
              <w:t>File9</w:t>
            </w:r>
          </w:p>
        </w:tc>
      </w:tr>
      <w:tr w:rsidR="000A156F" w:rsidTr="000A156F">
        <w:tc>
          <w:tcPr>
            <w:tcW w:w="0" w:type="auto"/>
            <w:vAlign w:val="center"/>
          </w:tcPr>
          <w:p w:rsidR="000A156F" w:rsidRDefault="00A9721F">
            <w:pPr>
              <w:pStyle w:val="TableBodyText"/>
            </w:pPr>
            <w:r>
              <w:t>FileClose</w:t>
            </w:r>
          </w:p>
        </w:tc>
      </w:tr>
      <w:tr w:rsidR="000A156F" w:rsidTr="000A156F">
        <w:tc>
          <w:tcPr>
            <w:tcW w:w="0" w:type="auto"/>
            <w:vAlign w:val="center"/>
          </w:tcPr>
          <w:p w:rsidR="000A156F" w:rsidRDefault="00A9721F">
            <w:pPr>
              <w:pStyle w:val="TableBodyText"/>
            </w:pPr>
            <w:r>
              <w:t>FileCloseAll</w:t>
            </w:r>
          </w:p>
        </w:tc>
      </w:tr>
      <w:tr w:rsidR="000A156F" w:rsidTr="000A156F">
        <w:tc>
          <w:tcPr>
            <w:tcW w:w="0" w:type="auto"/>
            <w:vAlign w:val="center"/>
          </w:tcPr>
          <w:p w:rsidR="000A156F" w:rsidRDefault="00A9721F">
            <w:pPr>
              <w:pStyle w:val="TableBodyText"/>
            </w:pPr>
            <w:r>
              <w:t>FileConfirmConversions</w:t>
            </w:r>
          </w:p>
        </w:tc>
      </w:tr>
      <w:tr w:rsidR="000A156F" w:rsidTr="000A156F">
        <w:tc>
          <w:tcPr>
            <w:tcW w:w="0" w:type="auto"/>
            <w:vAlign w:val="center"/>
          </w:tcPr>
          <w:p w:rsidR="000A156F" w:rsidRDefault="00A9721F">
            <w:pPr>
              <w:pStyle w:val="TableBodyText"/>
            </w:pPr>
            <w:r>
              <w:t>FileExit</w:t>
            </w:r>
          </w:p>
        </w:tc>
      </w:tr>
      <w:tr w:rsidR="000A156F" w:rsidTr="000A156F">
        <w:tc>
          <w:tcPr>
            <w:tcW w:w="0" w:type="auto"/>
            <w:vAlign w:val="center"/>
          </w:tcPr>
          <w:p w:rsidR="000A156F" w:rsidRDefault="00A9721F">
            <w:pPr>
              <w:pStyle w:val="TableBodyText"/>
            </w:pPr>
            <w:r>
              <w:t>FileList</w:t>
            </w:r>
          </w:p>
        </w:tc>
      </w:tr>
      <w:tr w:rsidR="000A156F" w:rsidTr="000A156F">
        <w:tc>
          <w:tcPr>
            <w:tcW w:w="0" w:type="auto"/>
            <w:vAlign w:val="center"/>
          </w:tcPr>
          <w:p w:rsidR="000A156F" w:rsidRDefault="00A9721F">
            <w:pPr>
              <w:pStyle w:val="TableBodyText"/>
            </w:pPr>
            <w:r>
              <w:t>FileNFib</w:t>
            </w:r>
          </w:p>
        </w:tc>
      </w:tr>
      <w:tr w:rsidR="000A156F" w:rsidTr="000A156F">
        <w:tc>
          <w:tcPr>
            <w:tcW w:w="0" w:type="auto"/>
            <w:vAlign w:val="center"/>
          </w:tcPr>
          <w:p w:rsidR="000A156F" w:rsidRDefault="00A9721F">
            <w:pPr>
              <w:pStyle w:val="TableBodyText"/>
            </w:pPr>
            <w:r>
              <w:t>FilePost</w:t>
            </w:r>
          </w:p>
        </w:tc>
      </w:tr>
      <w:tr w:rsidR="000A156F" w:rsidTr="000A156F">
        <w:tc>
          <w:tcPr>
            <w:tcW w:w="0" w:type="auto"/>
            <w:vAlign w:val="center"/>
          </w:tcPr>
          <w:p w:rsidR="000A156F" w:rsidRDefault="00A9721F">
            <w:pPr>
              <w:pStyle w:val="TableBodyText"/>
            </w:pPr>
            <w:r>
              <w:t>FilePreview</w:t>
            </w:r>
          </w:p>
        </w:tc>
      </w:tr>
      <w:tr w:rsidR="000A156F" w:rsidTr="000A156F">
        <w:tc>
          <w:tcPr>
            <w:tcW w:w="0" w:type="auto"/>
            <w:vAlign w:val="center"/>
          </w:tcPr>
          <w:p w:rsidR="000A156F" w:rsidRDefault="00A9721F">
            <w:pPr>
              <w:pStyle w:val="TableBodyText"/>
            </w:pPr>
            <w:r>
              <w:lastRenderedPageBreak/>
              <w:t>FilePrintPreview</w:t>
            </w:r>
          </w:p>
        </w:tc>
      </w:tr>
      <w:tr w:rsidR="000A156F" w:rsidTr="000A156F">
        <w:tc>
          <w:tcPr>
            <w:tcW w:w="0" w:type="auto"/>
            <w:vAlign w:val="center"/>
          </w:tcPr>
          <w:p w:rsidR="000A156F" w:rsidRDefault="00A9721F">
            <w:pPr>
              <w:pStyle w:val="TableBodyText"/>
            </w:pPr>
            <w:r>
              <w:t>FilePrintPreviewPages</w:t>
            </w:r>
          </w:p>
        </w:tc>
      </w:tr>
      <w:tr w:rsidR="000A156F" w:rsidTr="000A156F">
        <w:tc>
          <w:tcPr>
            <w:tcW w:w="0" w:type="auto"/>
            <w:vAlign w:val="center"/>
          </w:tcPr>
          <w:p w:rsidR="000A156F" w:rsidRDefault="00A9721F">
            <w:pPr>
              <w:pStyle w:val="TableBodyText"/>
            </w:pPr>
            <w:r>
              <w:t>FileQuit</w:t>
            </w:r>
          </w:p>
        </w:tc>
      </w:tr>
      <w:tr w:rsidR="000A156F" w:rsidTr="000A156F">
        <w:tc>
          <w:tcPr>
            <w:tcW w:w="0" w:type="auto"/>
            <w:vAlign w:val="center"/>
          </w:tcPr>
          <w:p w:rsidR="000A156F" w:rsidRDefault="00A9721F">
            <w:pPr>
              <w:pStyle w:val="TableBodyText"/>
            </w:pPr>
            <w:r>
              <w:t>FileSaveAll</w:t>
            </w:r>
          </w:p>
        </w:tc>
      </w:tr>
      <w:tr w:rsidR="000A156F" w:rsidTr="000A156F">
        <w:tc>
          <w:tcPr>
            <w:tcW w:w="0" w:type="auto"/>
            <w:vAlign w:val="center"/>
          </w:tcPr>
          <w:p w:rsidR="000A156F" w:rsidRDefault="00A9721F">
            <w:pPr>
              <w:pStyle w:val="TableBodyText"/>
            </w:pPr>
            <w:r>
              <w:t>Font</w:t>
            </w:r>
          </w:p>
        </w:tc>
      </w:tr>
      <w:tr w:rsidR="000A156F" w:rsidTr="000A156F">
        <w:tc>
          <w:tcPr>
            <w:tcW w:w="0" w:type="auto"/>
            <w:vAlign w:val="center"/>
          </w:tcPr>
          <w:p w:rsidR="000A156F" w:rsidRDefault="00A9721F">
            <w:pPr>
              <w:pStyle w:val="TableBodyText"/>
            </w:pPr>
            <w:r>
              <w:t>FontSize</w:t>
            </w:r>
          </w:p>
        </w:tc>
      </w:tr>
      <w:tr w:rsidR="000A156F" w:rsidTr="000A156F">
        <w:tc>
          <w:tcPr>
            <w:tcW w:w="0" w:type="auto"/>
            <w:vAlign w:val="center"/>
          </w:tcPr>
          <w:p w:rsidR="000A156F" w:rsidRDefault="00A9721F">
            <w:pPr>
              <w:pStyle w:val="TableBodyText"/>
            </w:pPr>
            <w:r>
              <w:t>FormShading</w:t>
            </w:r>
          </w:p>
        </w:tc>
      </w:tr>
      <w:tr w:rsidR="000A156F" w:rsidTr="000A156F">
        <w:tc>
          <w:tcPr>
            <w:tcW w:w="0" w:type="auto"/>
            <w:vAlign w:val="center"/>
          </w:tcPr>
          <w:p w:rsidR="000A156F" w:rsidRDefault="00A9721F">
            <w:pPr>
              <w:pStyle w:val="TableBodyText"/>
            </w:pPr>
            <w:r>
              <w:t>FormatBulletDefault</w:t>
            </w:r>
          </w:p>
        </w:tc>
      </w:tr>
      <w:tr w:rsidR="000A156F" w:rsidTr="000A156F">
        <w:tc>
          <w:tcPr>
            <w:tcW w:w="0" w:type="auto"/>
            <w:vAlign w:val="center"/>
          </w:tcPr>
          <w:p w:rsidR="000A156F" w:rsidRDefault="00A9721F">
            <w:pPr>
              <w:pStyle w:val="TableBodyText"/>
            </w:pPr>
            <w:r>
              <w:t>FormatNumberDefault</w:t>
            </w:r>
          </w:p>
        </w:tc>
      </w:tr>
      <w:tr w:rsidR="000A156F" w:rsidTr="000A156F">
        <w:tc>
          <w:tcPr>
            <w:tcW w:w="0" w:type="auto"/>
            <w:vAlign w:val="center"/>
          </w:tcPr>
          <w:p w:rsidR="000A156F" w:rsidRDefault="00A9721F">
            <w:pPr>
              <w:pStyle w:val="TableBodyText"/>
            </w:pPr>
            <w:r>
              <w:t>FuzzyCompare</w:t>
            </w:r>
          </w:p>
        </w:tc>
      </w:tr>
      <w:tr w:rsidR="000A156F" w:rsidTr="000A156F">
        <w:tc>
          <w:tcPr>
            <w:tcW w:w="0" w:type="auto"/>
            <w:vAlign w:val="center"/>
          </w:tcPr>
          <w:p w:rsidR="000A156F" w:rsidRDefault="00A9721F">
            <w:pPr>
              <w:pStyle w:val="TableBodyText"/>
            </w:pPr>
            <w:r>
              <w:t>GetAddInId</w:t>
            </w:r>
          </w:p>
        </w:tc>
      </w:tr>
      <w:tr w:rsidR="000A156F" w:rsidTr="000A156F">
        <w:tc>
          <w:tcPr>
            <w:tcW w:w="0" w:type="auto"/>
            <w:vAlign w:val="center"/>
          </w:tcPr>
          <w:p w:rsidR="000A156F" w:rsidRDefault="00A9721F">
            <w:pPr>
              <w:pStyle w:val="TableBodyText"/>
            </w:pPr>
            <w:r>
              <w:t>GetAttr</w:t>
            </w:r>
          </w:p>
        </w:tc>
      </w:tr>
      <w:tr w:rsidR="000A156F" w:rsidTr="000A156F">
        <w:tc>
          <w:tcPr>
            <w:tcW w:w="0" w:type="auto"/>
            <w:vAlign w:val="center"/>
          </w:tcPr>
          <w:p w:rsidR="000A156F" w:rsidRDefault="00A9721F">
            <w:pPr>
              <w:pStyle w:val="TableBodyText"/>
            </w:pPr>
            <w:r>
              <w:t>GetDocumentProperty</w:t>
            </w:r>
          </w:p>
        </w:tc>
      </w:tr>
      <w:tr w:rsidR="000A156F" w:rsidTr="000A156F">
        <w:tc>
          <w:tcPr>
            <w:tcW w:w="0" w:type="auto"/>
            <w:vAlign w:val="center"/>
          </w:tcPr>
          <w:p w:rsidR="000A156F" w:rsidRDefault="00A9721F">
            <w:pPr>
              <w:pStyle w:val="TableBodyText"/>
            </w:pPr>
            <w:r>
              <w:t>GetFormResult</w:t>
            </w:r>
          </w:p>
        </w:tc>
      </w:tr>
      <w:tr w:rsidR="000A156F" w:rsidTr="000A156F">
        <w:tc>
          <w:tcPr>
            <w:tcW w:w="0" w:type="auto"/>
            <w:vAlign w:val="center"/>
          </w:tcPr>
          <w:p w:rsidR="000A156F" w:rsidRDefault="00A9721F">
            <w:pPr>
              <w:pStyle w:val="TableBodyText"/>
            </w:pPr>
            <w:r>
              <w:t>GetSelEndPos</w:t>
            </w:r>
          </w:p>
        </w:tc>
      </w:tr>
      <w:tr w:rsidR="000A156F" w:rsidTr="000A156F">
        <w:tc>
          <w:tcPr>
            <w:tcW w:w="0" w:type="auto"/>
            <w:vAlign w:val="center"/>
          </w:tcPr>
          <w:p w:rsidR="000A156F" w:rsidRDefault="00A9721F">
            <w:pPr>
              <w:pStyle w:val="TableBodyText"/>
            </w:pPr>
            <w:r>
              <w:t>GetSelStartPos</w:t>
            </w:r>
          </w:p>
        </w:tc>
      </w:tr>
      <w:tr w:rsidR="000A156F" w:rsidTr="000A156F">
        <w:tc>
          <w:tcPr>
            <w:tcW w:w="0" w:type="auto"/>
            <w:vAlign w:val="center"/>
          </w:tcPr>
          <w:p w:rsidR="000A156F" w:rsidRDefault="00A9721F">
            <w:pPr>
              <w:pStyle w:val="TableBodyText"/>
            </w:pPr>
            <w:r>
              <w:t>GetSystemInfo</w:t>
            </w:r>
          </w:p>
        </w:tc>
      </w:tr>
      <w:tr w:rsidR="000A156F" w:rsidTr="000A156F">
        <w:tc>
          <w:tcPr>
            <w:tcW w:w="0" w:type="auto"/>
            <w:vAlign w:val="center"/>
          </w:tcPr>
          <w:p w:rsidR="000A156F" w:rsidRDefault="00A9721F">
            <w:pPr>
              <w:pStyle w:val="TableBodyText"/>
            </w:pPr>
            <w:r>
              <w:t>GoToNextSubdocument</w:t>
            </w:r>
          </w:p>
        </w:tc>
      </w:tr>
      <w:tr w:rsidR="000A156F" w:rsidTr="000A156F">
        <w:tc>
          <w:tcPr>
            <w:tcW w:w="0" w:type="auto"/>
            <w:vAlign w:val="center"/>
          </w:tcPr>
          <w:p w:rsidR="000A156F" w:rsidRDefault="00A9721F">
            <w:pPr>
              <w:pStyle w:val="TableBodyText"/>
            </w:pPr>
            <w:r>
              <w:t>GoToPreviousSubdocument</w:t>
            </w:r>
          </w:p>
        </w:tc>
      </w:tr>
      <w:tr w:rsidR="000A156F" w:rsidTr="000A156F">
        <w:tc>
          <w:tcPr>
            <w:tcW w:w="0" w:type="auto"/>
            <w:vAlign w:val="center"/>
          </w:tcPr>
          <w:p w:rsidR="000A156F" w:rsidRDefault="00A9721F">
            <w:pPr>
              <w:pStyle w:val="TableBodyText"/>
            </w:pPr>
            <w:r>
              <w:t>GroupBox</w:t>
            </w:r>
          </w:p>
        </w:tc>
      </w:tr>
      <w:tr w:rsidR="000A156F" w:rsidTr="000A156F">
        <w:tc>
          <w:tcPr>
            <w:tcW w:w="0" w:type="auto"/>
            <w:vAlign w:val="center"/>
          </w:tcPr>
          <w:p w:rsidR="000A156F" w:rsidRDefault="00A9721F">
            <w:pPr>
              <w:pStyle w:val="TableBodyText"/>
            </w:pPr>
            <w:r>
              <w:t>HLine</w:t>
            </w:r>
          </w:p>
        </w:tc>
      </w:tr>
      <w:tr w:rsidR="000A156F" w:rsidTr="000A156F">
        <w:tc>
          <w:tcPr>
            <w:tcW w:w="0" w:type="auto"/>
            <w:vAlign w:val="center"/>
          </w:tcPr>
          <w:p w:rsidR="000A156F" w:rsidRDefault="00A9721F">
            <w:pPr>
              <w:pStyle w:val="TableBodyText"/>
            </w:pPr>
            <w:r>
              <w:t>HPage</w:t>
            </w:r>
          </w:p>
        </w:tc>
      </w:tr>
      <w:tr w:rsidR="000A156F" w:rsidTr="000A156F">
        <w:tc>
          <w:tcPr>
            <w:tcW w:w="0" w:type="auto"/>
            <w:vAlign w:val="center"/>
          </w:tcPr>
          <w:p w:rsidR="000A156F" w:rsidRDefault="00A9721F">
            <w:pPr>
              <w:pStyle w:val="TableBodyText"/>
            </w:pPr>
            <w:r>
              <w:t>HScroll</w:t>
            </w:r>
          </w:p>
        </w:tc>
      </w:tr>
      <w:tr w:rsidR="000A156F" w:rsidTr="000A156F">
        <w:tc>
          <w:tcPr>
            <w:tcW w:w="0" w:type="auto"/>
            <w:vAlign w:val="center"/>
          </w:tcPr>
          <w:p w:rsidR="000A156F" w:rsidRDefault="00A9721F">
            <w:pPr>
              <w:pStyle w:val="TableBodyText"/>
            </w:pPr>
            <w:r>
              <w:t>Hidden</w:t>
            </w:r>
          </w:p>
        </w:tc>
      </w:tr>
      <w:tr w:rsidR="000A156F" w:rsidTr="000A156F">
        <w:tc>
          <w:tcPr>
            <w:tcW w:w="0" w:type="auto"/>
            <w:vAlign w:val="center"/>
          </w:tcPr>
          <w:p w:rsidR="000A156F" w:rsidRDefault="00A9721F">
            <w:pPr>
              <w:pStyle w:val="TableBodyText"/>
            </w:pPr>
            <w:r>
              <w:t>HighlightColor</w:t>
            </w:r>
          </w:p>
        </w:tc>
      </w:tr>
      <w:tr w:rsidR="000A156F" w:rsidTr="000A156F">
        <w:tc>
          <w:tcPr>
            <w:tcW w:w="0" w:type="auto"/>
            <w:vAlign w:val="center"/>
          </w:tcPr>
          <w:p w:rsidR="000A156F" w:rsidRDefault="00A9721F">
            <w:pPr>
              <w:pStyle w:val="TableBodyText"/>
            </w:pPr>
            <w:r>
              <w:t>Hour</w:t>
            </w:r>
          </w:p>
        </w:tc>
      </w:tr>
      <w:tr w:rsidR="000A156F" w:rsidTr="000A156F">
        <w:tc>
          <w:tcPr>
            <w:tcW w:w="0" w:type="auto"/>
            <w:vAlign w:val="center"/>
          </w:tcPr>
          <w:p w:rsidR="000A156F" w:rsidRDefault="00A9721F">
            <w:pPr>
              <w:pStyle w:val="TableBodyText"/>
            </w:pPr>
            <w:r>
              <w:t>IMEControl</w:t>
            </w:r>
          </w:p>
        </w:tc>
      </w:tr>
      <w:tr w:rsidR="000A156F" w:rsidTr="000A156F">
        <w:tc>
          <w:tcPr>
            <w:tcW w:w="0" w:type="auto"/>
            <w:vAlign w:val="center"/>
          </w:tcPr>
          <w:p w:rsidR="000A156F" w:rsidRDefault="00A9721F">
            <w:pPr>
              <w:pStyle w:val="TableBodyText"/>
            </w:pPr>
            <w:r>
              <w:t>InStr</w:t>
            </w:r>
          </w:p>
        </w:tc>
      </w:tr>
      <w:tr w:rsidR="000A156F" w:rsidTr="000A156F">
        <w:tc>
          <w:tcPr>
            <w:tcW w:w="0" w:type="auto"/>
            <w:vAlign w:val="center"/>
          </w:tcPr>
          <w:p w:rsidR="000A156F" w:rsidRDefault="00A9721F">
            <w:pPr>
              <w:pStyle w:val="TableBodyText"/>
            </w:pPr>
            <w:r>
              <w:t>InStrB</w:t>
            </w:r>
          </w:p>
        </w:tc>
      </w:tr>
      <w:tr w:rsidR="000A156F" w:rsidTr="000A156F">
        <w:tc>
          <w:tcPr>
            <w:tcW w:w="0" w:type="auto"/>
            <w:vAlign w:val="center"/>
          </w:tcPr>
          <w:p w:rsidR="000A156F" w:rsidRDefault="00A9721F">
            <w:pPr>
              <w:pStyle w:val="TableBodyText"/>
            </w:pPr>
            <w:r>
              <w:t>Insert</w:t>
            </w:r>
          </w:p>
        </w:tc>
      </w:tr>
      <w:tr w:rsidR="000A156F" w:rsidTr="000A156F">
        <w:tc>
          <w:tcPr>
            <w:tcW w:w="0" w:type="auto"/>
            <w:vAlign w:val="center"/>
          </w:tcPr>
          <w:p w:rsidR="000A156F" w:rsidRDefault="00A9721F">
            <w:pPr>
              <w:pStyle w:val="TableBodyText"/>
            </w:pPr>
            <w:r>
              <w:t>InsertPara</w:t>
            </w:r>
          </w:p>
        </w:tc>
      </w:tr>
      <w:tr w:rsidR="000A156F" w:rsidTr="000A156F">
        <w:tc>
          <w:tcPr>
            <w:tcW w:w="0" w:type="auto"/>
            <w:vAlign w:val="center"/>
          </w:tcPr>
          <w:p w:rsidR="000A156F" w:rsidRDefault="00A9721F">
            <w:pPr>
              <w:pStyle w:val="TableBodyText"/>
            </w:pPr>
            <w:r>
              <w:t>Int</w:t>
            </w:r>
          </w:p>
        </w:tc>
      </w:tr>
      <w:tr w:rsidR="000A156F" w:rsidTr="000A156F">
        <w:tc>
          <w:tcPr>
            <w:tcW w:w="0" w:type="auto"/>
            <w:vAlign w:val="center"/>
          </w:tcPr>
          <w:p w:rsidR="000A156F" w:rsidRDefault="00A9721F">
            <w:pPr>
              <w:pStyle w:val="TableBodyText"/>
            </w:pPr>
            <w:r>
              <w:lastRenderedPageBreak/>
              <w:t>InvalAllDocs</w:t>
            </w:r>
          </w:p>
        </w:tc>
      </w:tr>
      <w:tr w:rsidR="000A156F" w:rsidTr="000A156F">
        <w:tc>
          <w:tcPr>
            <w:tcW w:w="0" w:type="auto"/>
            <w:vAlign w:val="center"/>
          </w:tcPr>
          <w:p w:rsidR="000A156F" w:rsidRDefault="00A9721F">
            <w:pPr>
              <w:pStyle w:val="TableBodyText"/>
            </w:pPr>
            <w:r>
              <w:t>InvalAllDocsRepagOnly</w:t>
            </w:r>
          </w:p>
        </w:tc>
      </w:tr>
      <w:tr w:rsidR="000A156F" w:rsidTr="000A156F">
        <w:tc>
          <w:tcPr>
            <w:tcW w:w="0" w:type="auto"/>
            <w:vAlign w:val="center"/>
          </w:tcPr>
          <w:p w:rsidR="000A156F" w:rsidRDefault="00A9721F">
            <w:pPr>
              <w:pStyle w:val="TableBodyText"/>
            </w:pPr>
            <w:r>
              <w:t>IsAutoCorrectException</w:t>
            </w:r>
          </w:p>
        </w:tc>
      </w:tr>
      <w:tr w:rsidR="000A156F" w:rsidTr="000A156F">
        <w:tc>
          <w:tcPr>
            <w:tcW w:w="0" w:type="auto"/>
            <w:vAlign w:val="center"/>
          </w:tcPr>
          <w:p w:rsidR="000A156F" w:rsidRDefault="00A9721F">
            <w:pPr>
              <w:pStyle w:val="TableBodyText"/>
            </w:pPr>
            <w:r>
              <w:t>IsCustomDocumentProperty</w:t>
            </w:r>
          </w:p>
        </w:tc>
      </w:tr>
      <w:tr w:rsidR="000A156F" w:rsidTr="000A156F">
        <w:tc>
          <w:tcPr>
            <w:tcW w:w="0" w:type="auto"/>
            <w:vAlign w:val="center"/>
          </w:tcPr>
          <w:p w:rsidR="000A156F" w:rsidRDefault="00A9721F">
            <w:pPr>
              <w:pStyle w:val="TableBodyText"/>
            </w:pPr>
            <w:r>
              <w:t>IsDocumentDirty</w:t>
            </w:r>
          </w:p>
        </w:tc>
      </w:tr>
      <w:tr w:rsidR="000A156F" w:rsidTr="000A156F">
        <w:tc>
          <w:tcPr>
            <w:tcW w:w="0" w:type="auto"/>
            <w:vAlign w:val="center"/>
          </w:tcPr>
          <w:p w:rsidR="000A156F" w:rsidRDefault="00A9721F">
            <w:pPr>
              <w:pStyle w:val="TableBodyText"/>
            </w:pPr>
            <w:r>
              <w:t>IsDocumentPropertyReadOnly</w:t>
            </w:r>
          </w:p>
        </w:tc>
      </w:tr>
      <w:tr w:rsidR="000A156F" w:rsidTr="000A156F">
        <w:tc>
          <w:tcPr>
            <w:tcW w:w="0" w:type="auto"/>
            <w:vAlign w:val="center"/>
          </w:tcPr>
          <w:p w:rsidR="000A156F" w:rsidRDefault="00A9721F">
            <w:pPr>
              <w:pStyle w:val="TableBodyText"/>
            </w:pPr>
            <w:r>
              <w:t>IsExecuteOnly</w:t>
            </w:r>
          </w:p>
        </w:tc>
      </w:tr>
      <w:tr w:rsidR="000A156F" w:rsidTr="000A156F">
        <w:tc>
          <w:tcPr>
            <w:tcW w:w="0" w:type="auto"/>
            <w:vAlign w:val="center"/>
          </w:tcPr>
          <w:p w:rsidR="000A156F" w:rsidRDefault="00A9721F">
            <w:pPr>
              <w:pStyle w:val="TableBodyText"/>
            </w:pPr>
            <w:r>
              <w:t>IsMacro</w:t>
            </w:r>
          </w:p>
        </w:tc>
      </w:tr>
      <w:tr w:rsidR="000A156F" w:rsidTr="000A156F">
        <w:tc>
          <w:tcPr>
            <w:tcW w:w="0" w:type="auto"/>
            <w:vAlign w:val="center"/>
          </w:tcPr>
          <w:p w:rsidR="000A156F" w:rsidRDefault="00A9721F">
            <w:pPr>
              <w:pStyle w:val="TableBodyText"/>
            </w:pPr>
            <w:r>
              <w:t>IsTemplateDirty</w:t>
            </w:r>
          </w:p>
        </w:tc>
      </w:tr>
      <w:tr w:rsidR="000A156F" w:rsidTr="000A156F">
        <w:tc>
          <w:tcPr>
            <w:tcW w:w="0" w:type="auto"/>
            <w:vAlign w:val="center"/>
          </w:tcPr>
          <w:p w:rsidR="000A156F" w:rsidRDefault="00A9721F">
            <w:pPr>
              <w:pStyle w:val="TableBodyText"/>
            </w:pPr>
            <w:r>
              <w:t>Italic</w:t>
            </w:r>
          </w:p>
        </w:tc>
      </w:tr>
      <w:tr w:rsidR="000A156F" w:rsidTr="000A156F">
        <w:tc>
          <w:tcPr>
            <w:tcW w:w="0" w:type="auto"/>
            <w:vAlign w:val="center"/>
          </w:tcPr>
          <w:p w:rsidR="000A156F" w:rsidRDefault="00A9721F">
            <w:pPr>
              <w:pStyle w:val="TableBodyText"/>
            </w:pPr>
            <w:r>
              <w:t>ItalicRun</w:t>
            </w:r>
          </w:p>
        </w:tc>
      </w:tr>
      <w:tr w:rsidR="000A156F" w:rsidTr="000A156F">
        <w:tc>
          <w:tcPr>
            <w:tcW w:w="0" w:type="auto"/>
            <w:vAlign w:val="center"/>
          </w:tcPr>
          <w:p w:rsidR="000A156F" w:rsidRDefault="00A9721F">
            <w:pPr>
              <w:pStyle w:val="TableBodyText"/>
            </w:pPr>
            <w:r>
              <w:t>JustifyPara</w:t>
            </w:r>
          </w:p>
        </w:tc>
      </w:tr>
      <w:tr w:rsidR="000A156F" w:rsidTr="000A156F">
        <w:tc>
          <w:tcPr>
            <w:tcW w:w="0" w:type="auto"/>
            <w:vAlign w:val="center"/>
          </w:tcPr>
          <w:p w:rsidR="000A156F" w:rsidRDefault="00A9721F">
            <w:pPr>
              <w:pStyle w:val="TableBodyText"/>
            </w:pPr>
            <w:r>
              <w:t>KeyCode</w:t>
            </w:r>
          </w:p>
        </w:tc>
      </w:tr>
      <w:tr w:rsidR="000A156F" w:rsidTr="000A156F">
        <w:tc>
          <w:tcPr>
            <w:tcW w:w="0" w:type="auto"/>
            <w:vAlign w:val="center"/>
          </w:tcPr>
          <w:p w:rsidR="000A156F" w:rsidRDefault="00A9721F">
            <w:pPr>
              <w:pStyle w:val="TableBodyText"/>
            </w:pPr>
            <w:r>
              <w:t>Kill</w:t>
            </w:r>
          </w:p>
        </w:tc>
      </w:tr>
      <w:tr w:rsidR="000A156F" w:rsidTr="000A156F">
        <w:tc>
          <w:tcPr>
            <w:tcW w:w="0" w:type="auto"/>
            <w:vAlign w:val="center"/>
          </w:tcPr>
          <w:p w:rsidR="000A156F" w:rsidRDefault="00A9721F">
            <w:pPr>
              <w:pStyle w:val="TableBodyText"/>
            </w:pPr>
            <w:r>
              <w:t>Language</w:t>
            </w:r>
          </w:p>
        </w:tc>
      </w:tr>
      <w:tr w:rsidR="000A156F" w:rsidTr="000A156F">
        <w:tc>
          <w:tcPr>
            <w:tcW w:w="0" w:type="auto"/>
            <w:vAlign w:val="center"/>
          </w:tcPr>
          <w:p w:rsidR="000A156F" w:rsidRDefault="00A9721F">
            <w:pPr>
              <w:pStyle w:val="TableBodyText"/>
            </w:pPr>
            <w:r>
              <w:t>LeftPara</w:t>
            </w:r>
          </w:p>
        </w:tc>
      </w:tr>
      <w:tr w:rsidR="000A156F" w:rsidTr="000A156F">
        <w:tc>
          <w:tcPr>
            <w:tcW w:w="0" w:type="auto"/>
            <w:vAlign w:val="center"/>
          </w:tcPr>
          <w:p w:rsidR="000A156F" w:rsidRDefault="00A9721F">
            <w:pPr>
              <w:pStyle w:val="TableBodyText"/>
            </w:pPr>
            <w:r>
              <w:t>Len</w:t>
            </w:r>
          </w:p>
        </w:tc>
      </w:tr>
      <w:tr w:rsidR="000A156F" w:rsidTr="000A156F">
        <w:tc>
          <w:tcPr>
            <w:tcW w:w="0" w:type="auto"/>
            <w:vAlign w:val="center"/>
          </w:tcPr>
          <w:p w:rsidR="000A156F" w:rsidRDefault="00A9721F">
            <w:pPr>
              <w:pStyle w:val="TableBodyText"/>
            </w:pPr>
            <w:r>
              <w:t>LenB</w:t>
            </w:r>
          </w:p>
        </w:tc>
      </w:tr>
      <w:tr w:rsidR="000A156F" w:rsidTr="000A156F">
        <w:tc>
          <w:tcPr>
            <w:tcW w:w="0" w:type="auto"/>
            <w:vAlign w:val="center"/>
          </w:tcPr>
          <w:p w:rsidR="000A156F" w:rsidRDefault="00A9721F">
            <w:pPr>
              <w:pStyle w:val="TableBodyText"/>
            </w:pPr>
            <w:r>
              <w:t>LineDown</w:t>
            </w:r>
          </w:p>
        </w:tc>
      </w:tr>
      <w:tr w:rsidR="000A156F" w:rsidTr="000A156F">
        <w:tc>
          <w:tcPr>
            <w:tcW w:w="0" w:type="auto"/>
            <w:vAlign w:val="center"/>
          </w:tcPr>
          <w:p w:rsidR="000A156F" w:rsidRDefault="00A9721F">
            <w:pPr>
              <w:pStyle w:val="TableBodyText"/>
            </w:pPr>
            <w:r>
              <w:t>LineSpacing</w:t>
            </w:r>
          </w:p>
        </w:tc>
      </w:tr>
      <w:tr w:rsidR="000A156F" w:rsidTr="000A156F">
        <w:tc>
          <w:tcPr>
            <w:tcW w:w="0" w:type="auto"/>
            <w:vAlign w:val="center"/>
          </w:tcPr>
          <w:p w:rsidR="000A156F" w:rsidRDefault="00A9721F">
            <w:pPr>
              <w:pStyle w:val="TableBodyText"/>
            </w:pPr>
            <w:r>
              <w:t>LineUp</w:t>
            </w:r>
          </w:p>
        </w:tc>
      </w:tr>
      <w:tr w:rsidR="000A156F" w:rsidTr="000A156F">
        <w:tc>
          <w:tcPr>
            <w:tcW w:w="0" w:type="auto"/>
            <w:vAlign w:val="center"/>
          </w:tcPr>
          <w:p w:rsidR="000A156F" w:rsidRDefault="00A9721F">
            <w:pPr>
              <w:pStyle w:val="TableBodyText"/>
            </w:pPr>
            <w:r>
              <w:t>ListBox</w:t>
            </w:r>
          </w:p>
        </w:tc>
      </w:tr>
      <w:tr w:rsidR="000A156F" w:rsidTr="000A156F">
        <w:tc>
          <w:tcPr>
            <w:tcW w:w="0" w:type="auto"/>
            <w:vAlign w:val="center"/>
          </w:tcPr>
          <w:p w:rsidR="000A156F" w:rsidRDefault="00A9721F">
            <w:pPr>
              <w:pStyle w:val="TableBodyText"/>
            </w:pPr>
            <w:r>
              <w:t>LockDocument</w:t>
            </w:r>
          </w:p>
        </w:tc>
      </w:tr>
      <w:tr w:rsidR="000A156F" w:rsidTr="000A156F">
        <w:tc>
          <w:tcPr>
            <w:tcW w:w="0" w:type="auto"/>
            <w:vAlign w:val="center"/>
          </w:tcPr>
          <w:p w:rsidR="000A156F" w:rsidRDefault="00A9721F">
            <w:pPr>
              <w:pStyle w:val="TableBodyText"/>
            </w:pPr>
            <w:r>
              <w:t>Lof</w:t>
            </w:r>
          </w:p>
        </w:tc>
      </w:tr>
      <w:tr w:rsidR="000A156F" w:rsidTr="000A156F">
        <w:tc>
          <w:tcPr>
            <w:tcW w:w="0" w:type="auto"/>
            <w:vAlign w:val="center"/>
          </w:tcPr>
          <w:p w:rsidR="000A156F" w:rsidRDefault="00A9721F">
            <w:pPr>
              <w:pStyle w:val="TableBodyText"/>
            </w:pPr>
            <w:r>
              <w:t>LtrKeyb</w:t>
            </w:r>
          </w:p>
        </w:tc>
      </w:tr>
      <w:tr w:rsidR="000A156F" w:rsidTr="000A156F">
        <w:tc>
          <w:tcPr>
            <w:tcW w:w="0" w:type="auto"/>
            <w:vAlign w:val="center"/>
          </w:tcPr>
          <w:p w:rsidR="000A156F" w:rsidRDefault="00A9721F">
            <w:pPr>
              <w:pStyle w:val="TableBodyText"/>
            </w:pPr>
            <w:r>
              <w:t>LtrPara</w:t>
            </w:r>
          </w:p>
        </w:tc>
      </w:tr>
      <w:tr w:rsidR="000A156F" w:rsidTr="000A156F">
        <w:tc>
          <w:tcPr>
            <w:tcW w:w="0" w:type="auto"/>
            <w:vAlign w:val="center"/>
          </w:tcPr>
          <w:p w:rsidR="000A156F" w:rsidRDefault="00A9721F">
            <w:pPr>
              <w:pStyle w:val="TableBodyText"/>
            </w:pPr>
            <w:r>
              <w:t>LtrRun</w:t>
            </w:r>
          </w:p>
        </w:tc>
      </w:tr>
      <w:tr w:rsidR="000A156F" w:rsidTr="000A156F">
        <w:tc>
          <w:tcPr>
            <w:tcW w:w="0" w:type="auto"/>
            <w:vAlign w:val="center"/>
          </w:tcPr>
          <w:p w:rsidR="000A156F" w:rsidRDefault="00A9721F">
            <w:pPr>
              <w:pStyle w:val="TableBodyText"/>
            </w:pPr>
            <w:r>
              <w:t>MacScript</w:t>
            </w:r>
          </w:p>
        </w:tc>
      </w:tr>
      <w:tr w:rsidR="000A156F" w:rsidTr="000A156F">
        <w:tc>
          <w:tcPr>
            <w:tcW w:w="0" w:type="auto"/>
            <w:vAlign w:val="center"/>
          </w:tcPr>
          <w:p w:rsidR="000A156F" w:rsidRDefault="00A9721F">
            <w:pPr>
              <w:pStyle w:val="TableBodyText"/>
            </w:pPr>
            <w:r>
              <w:t>MacroCopy</w:t>
            </w:r>
          </w:p>
        </w:tc>
      </w:tr>
      <w:tr w:rsidR="000A156F" w:rsidTr="000A156F">
        <w:tc>
          <w:tcPr>
            <w:tcW w:w="0" w:type="auto"/>
            <w:vAlign w:val="center"/>
          </w:tcPr>
          <w:p w:rsidR="000A156F" w:rsidRDefault="00A9721F">
            <w:pPr>
              <w:pStyle w:val="TableBodyText"/>
            </w:pPr>
            <w:r>
              <w:t>Magnifier</w:t>
            </w:r>
          </w:p>
        </w:tc>
      </w:tr>
      <w:tr w:rsidR="000A156F" w:rsidTr="000A156F">
        <w:tc>
          <w:tcPr>
            <w:tcW w:w="0" w:type="auto"/>
            <w:vAlign w:val="center"/>
          </w:tcPr>
          <w:p w:rsidR="000A156F" w:rsidRDefault="00A9721F">
            <w:pPr>
              <w:pStyle w:val="TableBodyText"/>
            </w:pPr>
            <w:r>
              <w:t>MailMergeAskToConvertChevrons</w:t>
            </w:r>
          </w:p>
        </w:tc>
      </w:tr>
      <w:tr w:rsidR="000A156F" w:rsidTr="000A156F">
        <w:tc>
          <w:tcPr>
            <w:tcW w:w="0" w:type="auto"/>
            <w:vAlign w:val="center"/>
          </w:tcPr>
          <w:p w:rsidR="000A156F" w:rsidRDefault="00A9721F">
            <w:pPr>
              <w:pStyle w:val="TableBodyText"/>
            </w:pPr>
            <w:r>
              <w:t>MailMergeConvertChevrons</w:t>
            </w:r>
          </w:p>
        </w:tc>
      </w:tr>
      <w:tr w:rsidR="000A156F" w:rsidTr="000A156F">
        <w:tc>
          <w:tcPr>
            <w:tcW w:w="0" w:type="auto"/>
            <w:vAlign w:val="center"/>
          </w:tcPr>
          <w:p w:rsidR="000A156F" w:rsidRDefault="00A9721F">
            <w:pPr>
              <w:pStyle w:val="TableBodyText"/>
            </w:pPr>
            <w:r>
              <w:lastRenderedPageBreak/>
              <w:t>MailMergeFoundRecord</w:t>
            </w:r>
          </w:p>
        </w:tc>
      </w:tr>
      <w:tr w:rsidR="000A156F" w:rsidTr="000A156F">
        <w:tc>
          <w:tcPr>
            <w:tcW w:w="0" w:type="auto"/>
            <w:vAlign w:val="center"/>
          </w:tcPr>
          <w:p w:rsidR="000A156F" w:rsidRDefault="00A9721F">
            <w:pPr>
              <w:pStyle w:val="TableBodyText"/>
            </w:pPr>
            <w:r>
              <w:t>MailMergeGoToRecord</w:t>
            </w:r>
          </w:p>
        </w:tc>
      </w:tr>
      <w:tr w:rsidR="000A156F" w:rsidTr="000A156F">
        <w:tc>
          <w:tcPr>
            <w:tcW w:w="0" w:type="auto"/>
            <w:vAlign w:val="center"/>
          </w:tcPr>
          <w:p w:rsidR="000A156F" w:rsidRDefault="00A9721F">
            <w:pPr>
              <w:pStyle w:val="TableBodyText"/>
            </w:pPr>
            <w:r>
              <w:t>MailMergeMainDocumentType</w:t>
            </w:r>
          </w:p>
        </w:tc>
      </w:tr>
      <w:tr w:rsidR="000A156F" w:rsidTr="000A156F">
        <w:tc>
          <w:tcPr>
            <w:tcW w:w="0" w:type="auto"/>
            <w:vAlign w:val="center"/>
          </w:tcPr>
          <w:p w:rsidR="000A156F" w:rsidRDefault="00A9721F">
            <w:pPr>
              <w:pStyle w:val="TableBodyText"/>
            </w:pPr>
            <w:r>
              <w:t>MailMergeState</w:t>
            </w:r>
          </w:p>
        </w:tc>
      </w:tr>
      <w:tr w:rsidR="000A156F" w:rsidTr="000A156F">
        <w:tc>
          <w:tcPr>
            <w:tcW w:w="0" w:type="auto"/>
            <w:vAlign w:val="center"/>
          </w:tcPr>
          <w:p w:rsidR="000A156F" w:rsidRDefault="00A9721F">
            <w:pPr>
              <w:pStyle w:val="TableBodyText"/>
            </w:pPr>
            <w:r>
              <w:t>MailMergeViewData</w:t>
            </w:r>
          </w:p>
        </w:tc>
      </w:tr>
      <w:tr w:rsidR="000A156F" w:rsidTr="000A156F">
        <w:tc>
          <w:tcPr>
            <w:tcW w:w="0" w:type="auto"/>
            <w:vAlign w:val="center"/>
          </w:tcPr>
          <w:p w:rsidR="000A156F" w:rsidRDefault="00A9721F">
            <w:pPr>
              <w:pStyle w:val="TableBodyText"/>
            </w:pPr>
            <w:r>
              <w:t>MainTextFlow</w:t>
            </w:r>
          </w:p>
        </w:tc>
      </w:tr>
      <w:tr w:rsidR="000A156F" w:rsidTr="000A156F">
        <w:tc>
          <w:tcPr>
            <w:tcW w:w="0" w:type="auto"/>
            <w:vAlign w:val="center"/>
          </w:tcPr>
          <w:p w:rsidR="000A156F" w:rsidRDefault="00A9721F">
            <w:pPr>
              <w:pStyle w:val="TableBodyText"/>
            </w:pPr>
            <w:r>
              <w:t>MemAllocFail</w:t>
            </w:r>
          </w:p>
        </w:tc>
      </w:tr>
      <w:tr w:rsidR="000A156F" w:rsidTr="000A156F">
        <w:tc>
          <w:tcPr>
            <w:tcW w:w="0" w:type="auto"/>
            <w:vAlign w:val="center"/>
          </w:tcPr>
          <w:p w:rsidR="000A156F" w:rsidRDefault="00A9721F">
            <w:pPr>
              <w:pStyle w:val="TableBodyText"/>
            </w:pPr>
            <w:r>
              <w:t>MenuDirection</w:t>
            </w:r>
          </w:p>
        </w:tc>
      </w:tr>
      <w:tr w:rsidR="000A156F" w:rsidTr="000A156F">
        <w:tc>
          <w:tcPr>
            <w:tcW w:w="0" w:type="auto"/>
            <w:vAlign w:val="center"/>
          </w:tcPr>
          <w:p w:rsidR="000A156F" w:rsidRDefault="00A9721F">
            <w:pPr>
              <w:pStyle w:val="TableBodyText"/>
            </w:pPr>
            <w:r>
              <w:t>Minute</w:t>
            </w:r>
          </w:p>
        </w:tc>
      </w:tr>
      <w:tr w:rsidR="000A156F" w:rsidTr="000A156F">
        <w:tc>
          <w:tcPr>
            <w:tcW w:w="0" w:type="auto"/>
            <w:vAlign w:val="center"/>
          </w:tcPr>
          <w:p w:rsidR="000A156F" w:rsidRDefault="00A9721F">
            <w:pPr>
              <w:pStyle w:val="TableBodyText"/>
            </w:pPr>
            <w:r>
              <w:t>MkDir</w:t>
            </w:r>
          </w:p>
        </w:tc>
      </w:tr>
      <w:tr w:rsidR="000A156F" w:rsidTr="000A156F">
        <w:tc>
          <w:tcPr>
            <w:tcW w:w="0" w:type="auto"/>
            <w:vAlign w:val="center"/>
          </w:tcPr>
          <w:p w:rsidR="000A156F" w:rsidRDefault="00A9721F">
            <w:pPr>
              <w:pStyle w:val="TableBodyText"/>
            </w:pPr>
            <w:r>
              <w:t>Month</w:t>
            </w:r>
          </w:p>
        </w:tc>
      </w:tr>
      <w:tr w:rsidR="000A156F" w:rsidTr="000A156F">
        <w:tc>
          <w:tcPr>
            <w:tcW w:w="0" w:type="auto"/>
            <w:vAlign w:val="center"/>
          </w:tcPr>
          <w:p w:rsidR="000A156F" w:rsidRDefault="00A9721F">
            <w:pPr>
              <w:pStyle w:val="TableBodyText"/>
            </w:pPr>
            <w:r>
              <w:t>MountVolume</w:t>
            </w:r>
          </w:p>
        </w:tc>
      </w:tr>
      <w:tr w:rsidR="000A156F" w:rsidTr="000A156F">
        <w:tc>
          <w:tcPr>
            <w:tcW w:w="0" w:type="auto"/>
            <w:vAlign w:val="center"/>
          </w:tcPr>
          <w:p w:rsidR="000A156F" w:rsidRDefault="00A9721F">
            <w:pPr>
              <w:pStyle w:val="TableBodyText"/>
            </w:pPr>
            <w:r>
              <w:t>MoveButton</w:t>
            </w:r>
          </w:p>
        </w:tc>
      </w:tr>
      <w:tr w:rsidR="000A156F" w:rsidTr="000A156F">
        <w:tc>
          <w:tcPr>
            <w:tcW w:w="0" w:type="auto"/>
            <w:vAlign w:val="center"/>
          </w:tcPr>
          <w:p w:rsidR="000A156F" w:rsidRDefault="00A9721F">
            <w:pPr>
              <w:pStyle w:val="TableBodyText"/>
            </w:pPr>
            <w:r>
              <w:t>MoveToolbar</w:t>
            </w:r>
          </w:p>
        </w:tc>
      </w:tr>
      <w:tr w:rsidR="000A156F" w:rsidTr="000A156F">
        <w:tc>
          <w:tcPr>
            <w:tcW w:w="0" w:type="auto"/>
            <w:vAlign w:val="center"/>
          </w:tcPr>
          <w:p w:rsidR="000A156F" w:rsidRDefault="00A9721F">
            <w:pPr>
              <w:pStyle w:val="TableBodyText"/>
            </w:pPr>
            <w:r>
              <w:t>MsgBox</w:t>
            </w:r>
          </w:p>
        </w:tc>
      </w:tr>
      <w:tr w:rsidR="000A156F" w:rsidTr="000A156F">
        <w:tc>
          <w:tcPr>
            <w:tcW w:w="0" w:type="auto"/>
            <w:vAlign w:val="center"/>
          </w:tcPr>
          <w:p w:rsidR="000A156F" w:rsidRDefault="00A9721F">
            <w:pPr>
              <w:pStyle w:val="TableBodyText"/>
            </w:pPr>
            <w:r>
              <w:t>NextCell</w:t>
            </w:r>
          </w:p>
        </w:tc>
      </w:tr>
      <w:tr w:rsidR="000A156F" w:rsidTr="000A156F">
        <w:tc>
          <w:tcPr>
            <w:tcW w:w="0" w:type="auto"/>
            <w:vAlign w:val="center"/>
          </w:tcPr>
          <w:p w:rsidR="000A156F" w:rsidRDefault="00A9721F">
            <w:pPr>
              <w:pStyle w:val="TableBodyText"/>
            </w:pPr>
            <w:r>
              <w:t>NextField</w:t>
            </w:r>
          </w:p>
        </w:tc>
      </w:tr>
      <w:tr w:rsidR="000A156F" w:rsidTr="000A156F">
        <w:tc>
          <w:tcPr>
            <w:tcW w:w="0" w:type="auto"/>
            <w:vAlign w:val="center"/>
          </w:tcPr>
          <w:p w:rsidR="000A156F" w:rsidRDefault="00A9721F">
            <w:pPr>
              <w:pStyle w:val="TableBodyText"/>
            </w:pPr>
            <w:r>
              <w:t>NextObject</w:t>
            </w:r>
          </w:p>
        </w:tc>
      </w:tr>
      <w:tr w:rsidR="000A156F" w:rsidTr="000A156F">
        <w:tc>
          <w:tcPr>
            <w:tcW w:w="0" w:type="auto"/>
            <w:vAlign w:val="center"/>
          </w:tcPr>
          <w:p w:rsidR="000A156F" w:rsidRDefault="00A9721F">
            <w:pPr>
              <w:pStyle w:val="TableBodyText"/>
            </w:pPr>
            <w:r>
              <w:t>NextPage</w:t>
            </w:r>
          </w:p>
        </w:tc>
      </w:tr>
      <w:tr w:rsidR="000A156F" w:rsidTr="000A156F">
        <w:tc>
          <w:tcPr>
            <w:tcW w:w="0" w:type="auto"/>
            <w:vAlign w:val="center"/>
          </w:tcPr>
          <w:p w:rsidR="000A156F" w:rsidRDefault="00A9721F">
            <w:pPr>
              <w:pStyle w:val="TableBodyText"/>
            </w:pPr>
            <w:r>
              <w:t>NextTab</w:t>
            </w:r>
          </w:p>
        </w:tc>
      </w:tr>
      <w:tr w:rsidR="000A156F" w:rsidTr="000A156F">
        <w:tc>
          <w:tcPr>
            <w:tcW w:w="0" w:type="auto"/>
            <w:vAlign w:val="center"/>
          </w:tcPr>
          <w:p w:rsidR="000A156F" w:rsidRDefault="00A9721F">
            <w:pPr>
              <w:pStyle w:val="TableBodyText"/>
            </w:pPr>
            <w:r>
              <w:t>Now</w:t>
            </w:r>
          </w:p>
        </w:tc>
      </w:tr>
      <w:tr w:rsidR="000A156F" w:rsidTr="000A156F">
        <w:tc>
          <w:tcPr>
            <w:tcW w:w="0" w:type="auto"/>
            <w:vAlign w:val="center"/>
          </w:tcPr>
          <w:p w:rsidR="000A156F" w:rsidRDefault="00A9721F">
            <w:pPr>
              <w:pStyle w:val="TableBodyText"/>
            </w:pPr>
            <w:r>
              <w:t>OKButton</w:t>
            </w:r>
          </w:p>
        </w:tc>
      </w:tr>
      <w:tr w:rsidR="000A156F" w:rsidTr="000A156F">
        <w:tc>
          <w:tcPr>
            <w:tcW w:w="0" w:type="auto"/>
            <w:vAlign w:val="center"/>
          </w:tcPr>
          <w:p w:rsidR="000A156F" w:rsidRDefault="00A9721F">
            <w:pPr>
              <w:pStyle w:val="TableBodyText"/>
            </w:pPr>
            <w:r>
              <w:t>OnTime</w:t>
            </w:r>
          </w:p>
        </w:tc>
      </w:tr>
      <w:tr w:rsidR="000A156F" w:rsidTr="000A156F">
        <w:tc>
          <w:tcPr>
            <w:tcW w:w="0" w:type="auto"/>
            <w:vAlign w:val="center"/>
          </w:tcPr>
          <w:p w:rsidR="000A156F" w:rsidRDefault="00A9721F">
            <w:pPr>
              <w:pStyle w:val="TableBodyText"/>
            </w:pPr>
            <w:r>
              <w:t>OpenUpPara</w:t>
            </w:r>
          </w:p>
        </w:tc>
      </w:tr>
      <w:tr w:rsidR="000A156F" w:rsidTr="000A156F">
        <w:tc>
          <w:tcPr>
            <w:tcW w:w="0" w:type="auto"/>
            <w:vAlign w:val="center"/>
          </w:tcPr>
          <w:p w:rsidR="000A156F" w:rsidRDefault="00A9721F">
            <w:pPr>
              <w:pStyle w:val="TableBodyText"/>
            </w:pPr>
            <w:r>
              <w:t>OptionButton</w:t>
            </w:r>
          </w:p>
        </w:tc>
      </w:tr>
      <w:tr w:rsidR="000A156F" w:rsidTr="000A156F">
        <w:tc>
          <w:tcPr>
            <w:tcW w:w="0" w:type="auto"/>
            <w:vAlign w:val="center"/>
          </w:tcPr>
          <w:p w:rsidR="000A156F" w:rsidRDefault="00A9721F">
            <w:pPr>
              <w:pStyle w:val="TableBodyText"/>
            </w:pPr>
            <w:r>
              <w:t>OptionGroup</w:t>
            </w:r>
          </w:p>
        </w:tc>
      </w:tr>
      <w:tr w:rsidR="000A156F" w:rsidTr="000A156F">
        <w:tc>
          <w:tcPr>
            <w:tcW w:w="0" w:type="auto"/>
            <w:vAlign w:val="center"/>
          </w:tcPr>
          <w:p w:rsidR="000A156F" w:rsidRDefault="00A9721F">
            <w:pPr>
              <w:pStyle w:val="TableBodyText"/>
            </w:pPr>
            <w:r>
              <w:t>Outline</w:t>
            </w:r>
          </w:p>
        </w:tc>
      </w:tr>
      <w:tr w:rsidR="000A156F" w:rsidTr="000A156F">
        <w:tc>
          <w:tcPr>
            <w:tcW w:w="0" w:type="auto"/>
            <w:vAlign w:val="center"/>
          </w:tcPr>
          <w:p w:rsidR="000A156F" w:rsidRDefault="00A9721F">
            <w:pPr>
              <w:pStyle w:val="TableBodyText"/>
            </w:pPr>
            <w:r>
              <w:t>OutlineLevel</w:t>
            </w:r>
          </w:p>
        </w:tc>
      </w:tr>
      <w:tr w:rsidR="000A156F" w:rsidTr="000A156F">
        <w:tc>
          <w:tcPr>
            <w:tcW w:w="0" w:type="auto"/>
            <w:vAlign w:val="center"/>
          </w:tcPr>
          <w:p w:rsidR="000A156F" w:rsidRDefault="00A9721F">
            <w:pPr>
              <w:pStyle w:val="TableBodyText"/>
            </w:pPr>
            <w:r>
              <w:t>OutlineShowFirstLine</w:t>
            </w:r>
          </w:p>
        </w:tc>
      </w:tr>
      <w:tr w:rsidR="000A156F" w:rsidTr="000A156F">
        <w:tc>
          <w:tcPr>
            <w:tcW w:w="0" w:type="auto"/>
            <w:vAlign w:val="center"/>
          </w:tcPr>
          <w:p w:rsidR="000A156F" w:rsidRDefault="00A9721F">
            <w:pPr>
              <w:pStyle w:val="TableBodyText"/>
            </w:pPr>
            <w:r>
              <w:t>Overtype</w:t>
            </w:r>
          </w:p>
        </w:tc>
      </w:tr>
      <w:tr w:rsidR="000A156F" w:rsidTr="000A156F">
        <w:tc>
          <w:tcPr>
            <w:tcW w:w="0" w:type="auto"/>
            <w:vAlign w:val="center"/>
          </w:tcPr>
          <w:p w:rsidR="000A156F" w:rsidRDefault="00A9721F">
            <w:pPr>
              <w:pStyle w:val="TableBodyText"/>
            </w:pPr>
            <w:r>
              <w:t>PageDown</w:t>
            </w:r>
          </w:p>
        </w:tc>
      </w:tr>
      <w:tr w:rsidR="000A156F" w:rsidTr="000A156F">
        <w:tc>
          <w:tcPr>
            <w:tcW w:w="0" w:type="auto"/>
            <w:vAlign w:val="center"/>
          </w:tcPr>
          <w:p w:rsidR="000A156F" w:rsidRDefault="00A9721F">
            <w:pPr>
              <w:pStyle w:val="TableBodyText"/>
            </w:pPr>
            <w:r>
              <w:t>PageUp</w:t>
            </w:r>
          </w:p>
        </w:tc>
      </w:tr>
      <w:tr w:rsidR="000A156F" w:rsidTr="000A156F">
        <w:tc>
          <w:tcPr>
            <w:tcW w:w="0" w:type="auto"/>
            <w:vAlign w:val="center"/>
          </w:tcPr>
          <w:p w:rsidR="000A156F" w:rsidRDefault="00A9721F">
            <w:pPr>
              <w:pStyle w:val="TableBodyText"/>
            </w:pPr>
            <w:r>
              <w:lastRenderedPageBreak/>
              <w:t>ParaDown</w:t>
            </w:r>
          </w:p>
        </w:tc>
      </w:tr>
      <w:tr w:rsidR="000A156F" w:rsidTr="000A156F">
        <w:tc>
          <w:tcPr>
            <w:tcW w:w="0" w:type="auto"/>
            <w:vAlign w:val="center"/>
          </w:tcPr>
          <w:p w:rsidR="000A156F" w:rsidRDefault="00A9721F">
            <w:pPr>
              <w:pStyle w:val="TableBodyText"/>
            </w:pPr>
            <w:r>
              <w:t>ParaKeepLinesTogether</w:t>
            </w:r>
          </w:p>
        </w:tc>
      </w:tr>
      <w:tr w:rsidR="000A156F" w:rsidTr="000A156F">
        <w:tc>
          <w:tcPr>
            <w:tcW w:w="0" w:type="auto"/>
            <w:vAlign w:val="center"/>
          </w:tcPr>
          <w:p w:rsidR="000A156F" w:rsidRDefault="00A9721F">
            <w:pPr>
              <w:pStyle w:val="TableBodyText"/>
            </w:pPr>
            <w:r>
              <w:t>ParaKeepWithNext</w:t>
            </w:r>
          </w:p>
        </w:tc>
      </w:tr>
      <w:tr w:rsidR="000A156F" w:rsidTr="000A156F">
        <w:tc>
          <w:tcPr>
            <w:tcW w:w="0" w:type="auto"/>
            <w:vAlign w:val="center"/>
          </w:tcPr>
          <w:p w:rsidR="000A156F" w:rsidRDefault="00A9721F">
            <w:pPr>
              <w:pStyle w:val="TableBodyText"/>
            </w:pPr>
            <w:r>
              <w:t>ParaPageBreakBefore</w:t>
            </w:r>
          </w:p>
        </w:tc>
      </w:tr>
      <w:tr w:rsidR="000A156F" w:rsidTr="000A156F">
        <w:tc>
          <w:tcPr>
            <w:tcW w:w="0" w:type="auto"/>
            <w:vAlign w:val="center"/>
          </w:tcPr>
          <w:p w:rsidR="000A156F" w:rsidRDefault="00A9721F">
            <w:pPr>
              <w:pStyle w:val="TableBodyText"/>
            </w:pPr>
            <w:r>
              <w:t>ParaUp</w:t>
            </w:r>
          </w:p>
        </w:tc>
      </w:tr>
      <w:tr w:rsidR="000A156F" w:rsidTr="000A156F">
        <w:tc>
          <w:tcPr>
            <w:tcW w:w="0" w:type="auto"/>
            <w:vAlign w:val="center"/>
          </w:tcPr>
          <w:p w:rsidR="000A156F" w:rsidRDefault="00A9721F">
            <w:pPr>
              <w:pStyle w:val="TableBodyText"/>
            </w:pPr>
            <w:r>
              <w:t>ParaWidowOrphanControl</w:t>
            </w:r>
          </w:p>
        </w:tc>
      </w:tr>
      <w:tr w:rsidR="000A156F" w:rsidTr="000A156F">
        <w:tc>
          <w:tcPr>
            <w:tcW w:w="0" w:type="auto"/>
            <w:vAlign w:val="center"/>
          </w:tcPr>
          <w:p w:rsidR="000A156F" w:rsidRDefault="00A9721F">
            <w:pPr>
              <w:pStyle w:val="TableBodyText"/>
            </w:pPr>
            <w:r>
              <w:t>PasteButtonImage</w:t>
            </w:r>
          </w:p>
        </w:tc>
      </w:tr>
      <w:tr w:rsidR="000A156F" w:rsidTr="000A156F">
        <w:tc>
          <w:tcPr>
            <w:tcW w:w="0" w:type="auto"/>
            <w:vAlign w:val="center"/>
          </w:tcPr>
          <w:p w:rsidR="000A156F" w:rsidRDefault="00A9721F">
            <w:pPr>
              <w:pStyle w:val="TableBodyText"/>
            </w:pPr>
            <w:r>
              <w:t>Picture</w:t>
            </w:r>
          </w:p>
        </w:tc>
      </w:tr>
      <w:tr w:rsidR="000A156F" w:rsidTr="000A156F">
        <w:tc>
          <w:tcPr>
            <w:tcW w:w="0" w:type="auto"/>
            <w:vAlign w:val="center"/>
          </w:tcPr>
          <w:p w:rsidR="000A156F" w:rsidRDefault="00A9721F">
            <w:pPr>
              <w:pStyle w:val="TableBodyText"/>
            </w:pPr>
            <w:r>
              <w:t>PrevCell</w:t>
            </w:r>
          </w:p>
        </w:tc>
      </w:tr>
      <w:tr w:rsidR="000A156F" w:rsidTr="000A156F">
        <w:tc>
          <w:tcPr>
            <w:tcW w:w="0" w:type="auto"/>
            <w:vAlign w:val="center"/>
          </w:tcPr>
          <w:p w:rsidR="000A156F" w:rsidRDefault="00A9721F">
            <w:pPr>
              <w:pStyle w:val="TableBodyText"/>
            </w:pPr>
            <w:r>
              <w:t>PrevField</w:t>
            </w:r>
          </w:p>
        </w:tc>
      </w:tr>
      <w:tr w:rsidR="000A156F" w:rsidTr="000A156F">
        <w:tc>
          <w:tcPr>
            <w:tcW w:w="0" w:type="auto"/>
            <w:vAlign w:val="center"/>
          </w:tcPr>
          <w:p w:rsidR="000A156F" w:rsidRDefault="00A9721F">
            <w:pPr>
              <w:pStyle w:val="TableBodyText"/>
            </w:pPr>
            <w:r>
              <w:t>PrevObject</w:t>
            </w:r>
          </w:p>
        </w:tc>
      </w:tr>
      <w:tr w:rsidR="000A156F" w:rsidTr="000A156F">
        <w:tc>
          <w:tcPr>
            <w:tcW w:w="0" w:type="auto"/>
            <w:vAlign w:val="center"/>
          </w:tcPr>
          <w:p w:rsidR="000A156F" w:rsidRDefault="00A9721F">
            <w:pPr>
              <w:pStyle w:val="TableBodyText"/>
            </w:pPr>
            <w:r>
              <w:t>PrevPage</w:t>
            </w:r>
          </w:p>
        </w:tc>
      </w:tr>
      <w:tr w:rsidR="000A156F" w:rsidTr="000A156F">
        <w:tc>
          <w:tcPr>
            <w:tcW w:w="0" w:type="auto"/>
            <w:vAlign w:val="center"/>
          </w:tcPr>
          <w:p w:rsidR="000A156F" w:rsidRDefault="00A9721F">
            <w:pPr>
              <w:pStyle w:val="TableBodyText"/>
            </w:pPr>
            <w:r>
              <w:t>PrevTab</w:t>
            </w:r>
          </w:p>
        </w:tc>
      </w:tr>
      <w:tr w:rsidR="000A156F" w:rsidTr="000A156F">
        <w:tc>
          <w:tcPr>
            <w:tcW w:w="0" w:type="auto"/>
            <w:vAlign w:val="center"/>
          </w:tcPr>
          <w:p w:rsidR="000A156F" w:rsidRDefault="00A9721F">
            <w:pPr>
              <w:pStyle w:val="TableBodyText"/>
            </w:pPr>
            <w:r>
              <w:t>PushButton</w:t>
            </w:r>
          </w:p>
        </w:tc>
      </w:tr>
      <w:tr w:rsidR="000A156F" w:rsidTr="000A156F">
        <w:tc>
          <w:tcPr>
            <w:tcW w:w="0" w:type="auto"/>
            <w:vAlign w:val="center"/>
          </w:tcPr>
          <w:p w:rsidR="000A156F" w:rsidRDefault="00A9721F">
            <w:pPr>
              <w:pStyle w:val="TableBodyText"/>
            </w:pPr>
            <w:r>
              <w:t>PutFieldData</w:t>
            </w:r>
          </w:p>
        </w:tc>
      </w:tr>
      <w:tr w:rsidR="000A156F" w:rsidTr="000A156F">
        <w:tc>
          <w:tcPr>
            <w:tcW w:w="0" w:type="auto"/>
            <w:vAlign w:val="center"/>
          </w:tcPr>
          <w:p w:rsidR="000A156F" w:rsidRDefault="00A9721F">
            <w:pPr>
              <w:pStyle w:val="TableBodyText"/>
            </w:pPr>
            <w:r>
              <w:t>RefreshRate</w:t>
            </w:r>
          </w:p>
        </w:tc>
      </w:tr>
      <w:tr w:rsidR="000A156F" w:rsidTr="000A156F">
        <w:tc>
          <w:tcPr>
            <w:tcW w:w="0" w:type="auto"/>
            <w:vAlign w:val="center"/>
          </w:tcPr>
          <w:p w:rsidR="000A156F" w:rsidRDefault="00A9721F">
            <w:pPr>
              <w:pStyle w:val="TableBodyText"/>
            </w:pPr>
            <w:r>
              <w:t>RemoveAllDropDownItems</w:t>
            </w:r>
          </w:p>
        </w:tc>
      </w:tr>
      <w:tr w:rsidR="000A156F" w:rsidTr="000A156F">
        <w:tc>
          <w:tcPr>
            <w:tcW w:w="0" w:type="auto"/>
            <w:vAlign w:val="center"/>
          </w:tcPr>
          <w:p w:rsidR="000A156F" w:rsidRDefault="00A9721F">
            <w:pPr>
              <w:pStyle w:val="TableBodyText"/>
            </w:pPr>
            <w:r>
              <w:t>RemoveDropDownItem</w:t>
            </w:r>
          </w:p>
        </w:tc>
      </w:tr>
      <w:tr w:rsidR="000A156F" w:rsidTr="000A156F">
        <w:tc>
          <w:tcPr>
            <w:tcW w:w="0" w:type="auto"/>
            <w:vAlign w:val="center"/>
          </w:tcPr>
          <w:p w:rsidR="000A156F" w:rsidRDefault="00A9721F">
            <w:pPr>
              <w:pStyle w:val="TableBodyText"/>
            </w:pPr>
            <w:r>
              <w:t>Rename</w:t>
            </w:r>
          </w:p>
        </w:tc>
      </w:tr>
      <w:tr w:rsidR="000A156F" w:rsidTr="000A156F">
        <w:tc>
          <w:tcPr>
            <w:tcW w:w="0" w:type="auto"/>
            <w:vAlign w:val="center"/>
          </w:tcPr>
          <w:p w:rsidR="000A156F" w:rsidRDefault="00A9721F">
            <w:pPr>
              <w:pStyle w:val="TableBodyText"/>
            </w:pPr>
            <w:r>
              <w:t>RenameMenu</w:t>
            </w:r>
          </w:p>
        </w:tc>
      </w:tr>
      <w:tr w:rsidR="000A156F" w:rsidTr="000A156F">
        <w:tc>
          <w:tcPr>
            <w:tcW w:w="0" w:type="auto"/>
            <w:vAlign w:val="center"/>
          </w:tcPr>
          <w:p w:rsidR="000A156F" w:rsidRDefault="00A9721F">
            <w:pPr>
              <w:pStyle w:val="TableBodyText"/>
            </w:pPr>
            <w:r>
              <w:t>ResetButtonImage</w:t>
            </w:r>
          </w:p>
        </w:tc>
      </w:tr>
      <w:tr w:rsidR="000A156F" w:rsidTr="000A156F">
        <w:tc>
          <w:tcPr>
            <w:tcW w:w="0" w:type="auto"/>
            <w:vAlign w:val="center"/>
          </w:tcPr>
          <w:p w:rsidR="000A156F" w:rsidRDefault="00A9721F">
            <w:pPr>
              <w:pStyle w:val="TableBodyText"/>
            </w:pPr>
            <w:r>
              <w:t>ResetChar</w:t>
            </w:r>
          </w:p>
        </w:tc>
      </w:tr>
      <w:tr w:rsidR="000A156F" w:rsidTr="000A156F">
        <w:tc>
          <w:tcPr>
            <w:tcW w:w="0" w:type="auto"/>
            <w:vAlign w:val="center"/>
          </w:tcPr>
          <w:p w:rsidR="000A156F" w:rsidRDefault="00A9721F">
            <w:pPr>
              <w:pStyle w:val="TableBodyText"/>
            </w:pPr>
            <w:r>
              <w:t>ResetPara</w:t>
            </w:r>
          </w:p>
        </w:tc>
      </w:tr>
      <w:tr w:rsidR="000A156F" w:rsidTr="000A156F">
        <w:tc>
          <w:tcPr>
            <w:tcW w:w="0" w:type="auto"/>
            <w:vAlign w:val="center"/>
          </w:tcPr>
          <w:p w:rsidR="000A156F" w:rsidRDefault="00A9721F">
            <w:pPr>
              <w:pStyle w:val="TableBodyText"/>
            </w:pPr>
            <w:r>
              <w:t>RightPara</w:t>
            </w:r>
          </w:p>
        </w:tc>
      </w:tr>
      <w:tr w:rsidR="000A156F" w:rsidTr="000A156F">
        <w:tc>
          <w:tcPr>
            <w:tcW w:w="0" w:type="auto"/>
            <w:vAlign w:val="center"/>
          </w:tcPr>
          <w:p w:rsidR="000A156F" w:rsidRDefault="00A9721F">
            <w:pPr>
              <w:pStyle w:val="TableBodyText"/>
            </w:pPr>
            <w:r>
              <w:t>RmDir</w:t>
            </w:r>
          </w:p>
        </w:tc>
      </w:tr>
      <w:tr w:rsidR="000A156F" w:rsidTr="000A156F">
        <w:tc>
          <w:tcPr>
            <w:tcW w:w="0" w:type="auto"/>
            <w:vAlign w:val="center"/>
          </w:tcPr>
          <w:p w:rsidR="000A156F" w:rsidRDefault="00A9721F">
            <w:pPr>
              <w:pStyle w:val="TableBodyText"/>
            </w:pPr>
            <w:r>
              <w:t>Rnd</w:t>
            </w:r>
          </w:p>
        </w:tc>
      </w:tr>
      <w:tr w:rsidR="000A156F" w:rsidTr="000A156F">
        <w:tc>
          <w:tcPr>
            <w:tcW w:w="0" w:type="auto"/>
            <w:vAlign w:val="center"/>
          </w:tcPr>
          <w:p w:rsidR="000A156F" w:rsidRDefault="00A9721F">
            <w:pPr>
              <w:pStyle w:val="TableBodyText"/>
            </w:pPr>
            <w:r>
              <w:t>RtlKeyb</w:t>
            </w:r>
          </w:p>
        </w:tc>
      </w:tr>
      <w:tr w:rsidR="000A156F" w:rsidTr="000A156F">
        <w:tc>
          <w:tcPr>
            <w:tcW w:w="0" w:type="auto"/>
            <w:vAlign w:val="center"/>
          </w:tcPr>
          <w:p w:rsidR="000A156F" w:rsidRDefault="00A9721F">
            <w:pPr>
              <w:pStyle w:val="TableBodyText"/>
            </w:pPr>
            <w:r>
              <w:t>RtlPara</w:t>
            </w:r>
          </w:p>
        </w:tc>
      </w:tr>
      <w:tr w:rsidR="000A156F" w:rsidTr="000A156F">
        <w:tc>
          <w:tcPr>
            <w:tcW w:w="0" w:type="auto"/>
            <w:vAlign w:val="center"/>
          </w:tcPr>
          <w:p w:rsidR="000A156F" w:rsidRDefault="00A9721F">
            <w:pPr>
              <w:pStyle w:val="TableBodyText"/>
            </w:pPr>
            <w:r>
              <w:t>RtlRun</w:t>
            </w:r>
          </w:p>
        </w:tc>
      </w:tr>
      <w:tr w:rsidR="000A156F" w:rsidTr="000A156F">
        <w:tc>
          <w:tcPr>
            <w:tcW w:w="0" w:type="auto"/>
            <w:vAlign w:val="center"/>
          </w:tcPr>
          <w:p w:rsidR="000A156F" w:rsidRDefault="00A9721F">
            <w:pPr>
              <w:pStyle w:val="TableBodyText"/>
            </w:pPr>
            <w:r>
              <w:t>ScreenUpdating</w:t>
            </w:r>
          </w:p>
        </w:tc>
      </w:tr>
      <w:tr w:rsidR="000A156F" w:rsidTr="000A156F">
        <w:tc>
          <w:tcPr>
            <w:tcW w:w="0" w:type="auto"/>
            <w:vAlign w:val="center"/>
          </w:tcPr>
          <w:p w:rsidR="000A156F" w:rsidRDefault="00A9721F">
            <w:pPr>
              <w:pStyle w:val="TableBodyText"/>
            </w:pPr>
            <w:r>
              <w:t>Second</w:t>
            </w:r>
          </w:p>
        </w:tc>
      </w:tr>
      <w:tr w:rsidR="000A156F" w:rsidTr="000A156F">
        <w:tc>
          <w:tcPr>
            <w:tcW w:w="0" w:type="auto"/>
            <w:vAlign w:val="center"/>
          </w:tcPr>
          <w:p w:rsidR="000A156F" w:rsidRDefault="00A9721F">
            <w:pPr>
              <w:pStyle w:val="TableBodyText"/>
            </w:pPr>
            <w:r>
              <w:t>Seek</w:t>
            </w:r>
          </w:p>
        </w:tc>
      </w:tr>
      <w:tr w:rsidR="000A156F" w:rsidTr="000A156F">
        <w:tc>
          <w:tcPr>
            <w:tcW w:w="0" w:type="auto"/>
            <w:vAlign w:val="center"/>
          </w:tcPr>
          <w:p w:rsidR="000A156F" w:rsidRDefault="00A9721F">
            <w:pPr>
              <w:pStyle w:val="TableBodyText"/>
            </w:pPr>
            <w:r>
              <w:lastRenderedPageBreak/>
              <w:t>SelInfo</w:t>
            </w:r>
          </w:p>
        </w:tc>
      </w:tr>
      <w:tr w:rsidR="000A156F" w:rsidTr="000A156F">
        <w:tc>
          <w:tcPr>
            <w:tcW w:w="0" w:type="auto"/>
            <w:vAlign w:val="center"/>
          </w:tcPr>
          <w:p w:rsidR="000A156F" w:rsidRDefault="00A9721F">
            <w:pPr>
              <w:pStyle w:val="TableBodyText"/>
            </w:pPr>
            <w:r>
              <w:t>SelType</w:t>
            </w:r>
          </w:p>
        </w:tc>
      </w:tr>
      <w:tr w:rsidR="000A156F" w:rsidTr="000A156F">
        <w:tc>
          <w:tcPr>
            <w:tcW w:w="0" w:type="auto"/>
            <w:vAlign w:val="center"/>
          </w:tcPr>
          <w:p w:rsidR="000A156F" w:rsidRDefault="00A9721F">
            <w:pPr>
              <w:pStyle w:val="TableBodyText"/>
            </w:pPr>
            <w:r>
              <w:t>SelectCurLine</w:t>
            </w:r>
          </w:p>
        </w:tc>
      </w:tr>
      <w:tr w:rsidR="000A156F" w:rsidTr="000A156F">
        <w:tc>
          <w:tcPr>
            <w:tcW w:w="0" w:type="auto"/>
            <w:vAlign w:val="center"/>
          </w:tcPr>
          <w:p w:rsidR="000A156F" w:rsidRDefault="00A9721F">
            <w:pPr>
              <w:pStyle w:val="TableBodyText"/>
            </w:pPr>
            <w:r>
              <w:t>SelectCurPara</w:t>
            </w:r>
          </w:p>
        </w:tc>
      </w:tr>
      <w:tr w:rsidR="000A156F" w:rsidTr="000A156F">
        <w:tc>
          <w:tcPr>
            <w:tcW w:w="0" w:type="auto"/>
            <w:vAlign w:val="center"/>
          </w:tcPr>
          <w:p w:rsidR="000A156F" w:rsidRDefault="00A9721F">
            <w:pPr>
              <w:pStyle w:val="TableBodyText"/>
            </w:pPr>
            <w:r>
              <w:t>SelectCurSentence</w:t>
            </w:r>
          </w:p>
        </w:tc>
      </w:tr>
      <w:tr w:rsidR="000A156F" w:rsidTr="000A156F">
        <w:tc>
          <w:tcPr>
            <w:tcW w:w="0" w:type="auto"/>
            <w:vAlign w:val="center"/>
          </w:tcPr>
          <w:p w:rsidR="000A156F" w:rsidRDefault="00A9721F">
            <w:pPr>
              <w:pStyle w:val="TableBodyText"/>
            </w:pPr>
            <w:r>
              <w:t>SelectCurWord</w:t>
            </w:r>
          </w:p>
        </w:tc>
      </w:tr>
      <w:tr w:rsidR="000A156F" w:rsidTr="000A156F">
        <w:tc>
          <w:tcPr>
            <w:tcW w:w="0" w:type="auto"/>
            <w:vAlign w:val="center"/>
          </w:tcPr>
          <w:p w:rsidR="000A156F" w:rsidRDefault="00A9721F">
            <w:pPr>
              <w:pStyle w:val="TableBodyText"/>
            </w:pPr>
            <w:r>
              <w:t>SendKeys</w:t>
            </w:r>
          </w:p>
        </w:tc>
      </w:tr>
      <w:tr w:rsidR="000A156F" w:rsidTr="000A156F">
        <w:tc>
          <w:tcPr>
            <w:tcW w:w="0" w:type="auto"/>
            <w:vAlign w:val="center"/>
          </w:tcPr>
          <w:p w:rsidR="000A156F" w:rsidRDefault="00A9721F">
            <w:pPr>
              <w:pStyle w:val="TableBodyText"/>
            </w:pPr>
            <w:r>
              <w:t>SentLeft</w:t>
            </w:r>
          </w:p>
        </w:tc>
      </w:tr>
      <w:tr w:rsidR="000A156F" w:rsidTr="000A156F">
        <w:tc>
          <w:tcPr>
            <w:tcW w:w="0" w:type="auto"/>
            <w:vAlign w:val="center"/>
          </w:tcPr>
          <w:p w:rsidR="000A156F" w:rsidRDefault="00A9721F">
            <w:pPr>
              <w:pStyle w:val="TableBodyText"/>
            </w:pPr>
            <w:r>
              <w:t>SentRight</w:t>
            </w:r>
          </w:p>
        </w:tc>
      </w:tr>
      <w:tr w:rsidR="000A156F" w:rsidTr="000A156F">
        <w:tc>
          <w:tcPr>
            <w:tcW w:w="0" w:type="auto"/>
            <w:vAlign w:val="center"/>
          </w:tcPr>
          <w:p w:rsidR="000A156F" w:rsidRDefault="00A9721F">
            <w:pPr>
              <w:pStyle w:val="TableBodyText"/>
            </w:pPr>
            <w:r>
              <w:t>SetAttr</w:t>
            </w:r>
          </w:p>
        </w:tc>
      </w:tr>
      <w:tr w:rsidR="000A156F" w:rsidTr="000A156F">
        <w:tc>
          <w:tcPr>
            <w:tcW w:w="0" w:type="auto"/>
            <w:vAlign w:val="center"/>
          </w:tcPr>
          <w:p w:rsidR="000A156F" w:rsidRDefault="00A9721F">
            <w:pPr>
              <w:pStyle w:val="TableBodyText"/>
            </w:pPr>
            <w:r>
              <w:t>SetAutoText</w:t>
            </w:r>
          </w:p>
        </w:tc>
      </w:tr>
      <w:tr w:rsidR="000A156F" w:rsidTr="000A156F">
        <w:tc>
          <w:tcPr>
            <w:tcW w:w="0" w:type="auto"/>
            <w:vAlign w:val="center"/>
          </w:tcPr>
          <w:p w:rsidR="000A156F" w:rsidRDefault="00A9721F">
            <w:pPr>
              <w:pStyle w:val="TableBodyText"/>
            </w:pPr>
            <w:r>
              <w:t>SetDocumentDirty</w:t>
            </w:r>
          </w:p>
        </w:tc>
      </w:tr>
      <w:tr w:rsidR="000A156F" w:rsidTr="000A156F">
        <w:tc>
          <w:tcPr>
            <w:tcW w:w="0" w:type="auto"/>
            <w:vAlign w:val="center"/>
          </w:tcPr>
          <w:p w:rsidR="000A156F" w:rsidRDefault="00A9721F">
            <w:pPr>
              <w:pStyle w:val="TableBodyText"/>
            </w:pPr>
            <w:r>
              <w:t>SetDocumentProperty</w:t>
            </w:r>
          </w:p>
        </w:tc>
      </w:tr>
      <w:tr w:rsidR="000A156F" w:rsidTr="000A156F">
        <w:tc>
          <w:tcPr>
            <w:tcW w:w="0" w:type="auto"/>
            <w:vAlign w:val="center"/>
          </w:tcPr>
          <w:p w:rsidR="000A156F" w:rsidRDefault="00A9721F">
            <w:pPr>
              <w:pStyle w:val="TableBodyText"/>
            </w:pPr>
            <w:r>
              <w:t>SetDocumentPropertyLink</w:t>
            </w:r>
          </w:p>
        </w:tc>
      </w:tr>
      <w:tr w:rsidR="000A156F" w:rsidTr="000A156F">
        <w:tc>
          <w:tcPr>
            <w:tcW w:w="0" w:type="auto"/>
            <w:vAlign w:val="center"/>
          </w:tcPr>
          <w:p w:rsidR="000A156F" w:rsidRDefault="00A9721F">
            <w:pPr>
              <w:pStyle w:val="TableBodyText"/>
            </w:pPr>
            <w:r>
              <w:t>SetDocumentVar</w:t>
            </w:r>
          </w:p>
        </w:tc>
      </w:tr>
      <w:tr w:rsidR="000A156F" w:rsidTr="000A156F">
        <w:tc>
          <w:tcPr>
            <w:tcW w:w="0" w:type="auto"/>
            <w:vAlign w:val="center"/>
          </w:tcPr>
          <w:p w:rsidR="000A156F" w:rsidRDefault="00A9721F">
            <w:pPr>
              <w:pStyle w:val="TableBodyText"/>
            </w:pPr>
            <w:r>
              <w:t>SetEndOfBookmark</w:t>
            </w:r>
          </w:p>
        </w:tc>
      </w:tr>
      <w:tr w:rsidR="000A156F" w:rsidTr="000A156F">
        <w:tc>
          <w:tcPr>
            <w:tcW w:w="0" w:type="auto"/>
            <w:vAlign w:val="center"/>
          </w:tcPr>
          <w:p w:rsidR="000A156F" w:rsidRDefault="00A9721F">
            <w:pPr>
              <w:pStyle w:val="TableBodyText"/>
            </w:pPr>
            <w:r>
              <w:t>SetFileCreatorAndType</w:t>
            </w:r>
          </w:p>
        </w:tc>
      </w:tr>
      <w:tr w:rsidR="000A156F" w:rsidTr="000A156F">
        <w:tc>
          <w:tcPr>
            <w:tcW w:w="0" w:type="auto"/>
            <w:vAlign w:val="center"/>
          </w:tcPr>
          <w:p w:rsidR="000A156F" w:rsidRDefault="00A9721F">
            <w:pPr>
              <w:pStyle w:val="TableBodyText"/>
            </w:pPr>
            <w:r>
              <w:t>SetFormResult</w:t>
            </w:r>
          </w:p>
        </w:tc>
      </w:tr>
      <w:tr w:rsidR="000A156F" w:rsidTr="000A156F">
        <w:tc>
          <w:tcPr>
            <w:tcW w:w="0" w:type="auto"/>
            <w:vAlign w:val="center"/>
          </w:tcPr>
          <w:p w:rsidR="000A156F" w:rsidRDefault="00A9721F">
            <w:pPr>
              <w:pStyle w:val="TableBodyText"/>
            </w:pPr>
            <w:r>
              <w:t>SetPrivateProfileString</w:t>
            </w:r>
          </w:p>
        </w:tc>
      </w:tr>
      <w:tr w:rsidR="000A156F" w:rsidTr="000A156F">
        <w:tc>
          <w:tcPr>
            <w:tcW w:w="0" w:type="auto"/>
            <w:vAlign w:val="center"/>
          </w:tcPr>
          <w:p w:rsidR="000A156F" w:rsidRDefault="00A9721F">
            <w:pPr>
              <w:pStyle w:val="TableBodyText"/>
            </w:pPr>
            <w:r>
              <w:t>SetProfileString</w:t>
            </w:r>
          </w:p>
        </w:tc>
      </w:tr>
      <w:tr w:rsidR="000A156F" w:rsidTr="000A156F">
        <w:tc>
          <w:tcPr>
            <w:tcW w:w="0" w:type="auto"/>
            <w:vAlign w:val="center"/>
          </w:tcPr>
          <w:p w:rsidR="000A156F" w:rsidRDefault="00A9721F">
            <w:pPr>
              <w:pStyle w:val="TableBodyText"/>
            </w:pPr>
            <w:r>
              <w:t>SetSelRange</w:t>
            </w:r>
          </w:p>
        </w:tc>
      </w:tr>
      <w:tr w:rsidR="000A156F" w:rsidTr="000A156F">
        <w:tc>
          <w:tcPr>
            <w:tcW w:w="0" w:type="auto"/>
            <w:vAlign w:val="center"/>
          </w:tcPr>
          <w:p w:rsidR="000A156F" w:rsidRDefault="00A9721F">
            <w:pPr>
              <w:pStyle w:val="TableBodyText"/>
            </w:pPr>
            <w:r>
              <w:t>SetStartOfBookmark</w:t>
            </w:r>
          </w:p>
        </w:tc>
      </w:tr>
      <w:tr w:rsidR="000A156F" w:rsidTr="000A156F">
        <w:tc>
          <w:tcPr>
            <w:tcW w:w="0" w:type="auto"/>
            <w:vAlign w:val="center"/>
          </w:tcPr>
          <w:p w:rsidR="000A156F" w:rsidRDefault="00A9721F">
            <w:pPr>
              <w:pStyle w:val="TableBodyText"/>
            </w:pPr>
            <w:r>
              <w:t>SetTemplateDirty</w:t>
            </w:r>
          </w:p>
        </w:tc>
      </w:tr>
      <w:tr w:rsidR="000A156F" w:rsidTr="000A156F">
        <w:tc>
          <w:tcPr>
            <w:tcW w:w="0" w:type="auto"/>
            <w:vAlign w:val="center"/>
          </w:tcPr>
          <w:p w:rsidR="000A156F" w:rsidRDefault="00A9721F">
            <w:pPr>
              <w:pStyle w:val="TableBodyText"/>
            </w:pPr>
            <w:r>
              <w:t>Sgn</w:t>
            </w:r>
          </w:p>
        </w:tc>
      </w:tr>
      <w:tr w:rsidR="000A156F" w:rsidTr="000A156F">
        <w:tc>
          <w:tcPr>
            <w:tcW w:w="0" w:type="auto"/>
            <w:vAlign w:val="center"/>
          </w:tcPr>
          <w:p w:rsidR="000A156F" w:rsidRDefault="00A9721F">
            <w:pPr>
              <w:pStyle w:val="TableBodyText"/>
            </w:pPr>
            <w:r>
              <w:t>ShadingPattern</w:t>
            </w:r>
          </w:p>
        </w:tc>
      </w:tr>
      <w:tr w:rsidR="000A156F" w:rsidTr="000A156F">
        <w:tc>
          <w:tcPr>
            <w:tcW w:w="0" w:type="auto"/>
            <w:vAlign w:val="center"/>
          </w:tcPr>
          <w:p w:rsidR="000A156F" w:rsidRDefault="00A9721F">
            <w:pPr>
              <w:pStyle w:val="TableBodyText"/>
            </w:pPr>
            <w:r>
              <w:t>Shadow</w:t>
            </w:r>
          </w:p>
        </w:tc>
      </w:tr>
      <w:tr w:rsidR="000A156F" w:rsidTr="000A156F">
        <w:tc>
          <w:tcPr>
            <w:tcW w:w="0" w:type="auto"/>
            <w:vAlign w:val="center"/>
          </w:tcPr>
          <w:p w:rsidR="000A156F" w:rsidRDefault="00A9721F">
            <w:pPr>
              <w:pStyle w:val="TableBodyText"/>
            </w:pPr>
            <w:r>
              <w:t>Shell</w:t>
            </w:r>
          </w:p>
        </w:tc>
      </w:tr>
      <w:tr w:rsidR="000A156F" w:rsidTr="000A156F">
        <w:tc>
          <w:tcPr>
            <w:tcW w:w="0" w:type="auto"/>
            <w:vAlign w:val="center"/>
          </w:tcPr>
          <w:p w:rsidR="000A156F" w:rsidRDefault="00A9721F">
            <w:pPr>
              <w:pStyle w:val="TableBodyText"/>
            </w:pPr>
            <w:r>
              <w:t>ShowAlerts</w:t>
            </w:r>
          </w:p>
        </w:tc>
      </w:tr>
      <w:tr w:rsidR="000A156F" w:rsidTr="000A156F">
        <w:tc>
          <w:tcPr>
            <w:tcW w:w="0" w:type="auto"/>
            <w:vAlign w:val="center"/>
          </w:tcPr>
          <w:p w:rsidR="000A156F" w:rsidRDefault="00A9721F">
            <w:pPr>
              <w:pStyle w:val="TableBodyText"/>
            </w:pPr>
            <w:r>
              <w:t>ShowAll</w:t>
            </w:r>
          </w:p>
        </w:tc>
      </w:tr>
      <w:tr w:rsidR="000A156F" w:rsidTr="000A156F">
        <w:tc>
          <w:tcPr>
            <w:tcW w:w="0" w:type="auto"/>
            <w:vAlign w:val="center"/>
          </w:tcPr>
          <w:p w:rsidR="000A156F" w:rsidRDefault="00A9721F">
            <w:pPr>
              <w:pStyle w:val="TableBodyText"/>
            </w:pPr>
            <w:r>
              <w:t>ShowAnnotationBy</w:t>
            </w:r>
          </w:p>
        </w:tc>
      </w:tr>
      <w:tr w:rsidR="000A156F" w:rsidTr="000A156F">
        <w:tc>
          <w:tcPr>
            <w:tcW w:w="0" w:type="auto"/>
            <w:vAlign w:val="center"/>
          </w:tcPr>
          <w:p w:rsidR="000A156F" w:rsidRDefault="00A9721F">
            <w:pPr>
              <w:pStyle w:val="TableBodyText"/>
            </w:pPr>
            <w:r>
              <w:t>SizeToolbar</w:t>
            </w:r>
          </w:p>
        </w:tc>
      </w:tr>
      <w:tr w:rsidR="000A156F" w:rsidTr="000A156F">
        <w:tc>
          <w:tcPr>
            <w:tcW w:w="0" w:type="auto"/>
            <w:vAlign w:val="center"/>
          </w:tcPr>
          <w:p w:rsidR="000A156F" w:rsidRDefault="00A9721F">
            <w:pPr>
              <w:pStyle w:val="TableBodyText"/>
            </w:pPr>
            <w:r>
              <w:t>SkipNumbering</w:t>
            </w:r>
          </w:p>
        </w:tc>
      </w:tr>
      <w:tr w:rsidR="000A156F" w:rsidTr="000A156F">
        <w:tc>
          <w:tcPr>
            <w:tcW w:w="0" w:type="auto"/>
            <w:vAlign w:val="center"/>
          </w:tcPr>
          <w:p w:rsidR="000A156F" w:rsidRDefault="00A9721F">
            <w:pPr>
              <w:pStyle w:val="TableBodyText"/>
            </w:pPr>
            <w:r>
              <w:lastRenderedPageBreak/>
              <w:t>SmallCaps</w:t>
            </w:r>
          </w:p>
        </w:tc>
      </w:tr>
      <w:tr w:rsidR="000A156F" w:rsidTr="000A156F">
        <w:tc>
          <w:tcPr>
            <w:tcW w:w="0" w:type="auto"/>
            <w:vAlign w:val="center"/>
          </w:tcPr>
          <w:p w:rsidR="000A156F" w:rsidRDefault="00A9721F">
            <w:pPr>
              <w:pStyle w:val="TableBodyText"/>
            </w:pPr>
            <w:r>
              <w:t>SortArray</w:t>
            </w:r>
          </w:p>
        </w:tc>
      </w:tr>
      <w:tr w:rsidR="000A156F" w:rsidTr="000A156F">
        <w:tc>
          <w:tcPr>
            <w:tcW w:w="0" w:type="auto"/>
            <w:vAlign w:val="center"/>
          </w:tcPr>
          <w:p w:rsidR="000A156F" w:rsidRDefault="00A9721F">
            <w:pPr>
              <w:pStyle w:val="TableBodyText"/>
            </w:pPr>
            <w:r>
              <w:t>SpacePara1</w:t>
            </w:r>
          </w:p>
        </w:tc>
      </w:tr>
      <w:tr w:rsidR="000A156F" w:rsidTr="000A156F">
        <w:tc>
          <w:tcPr>
            <w:tcW w:w="0" w:type="auto"/>
            <w:vAlign w:val="center"/>
          </w:tcPr>
          <w:p w:rsidR="000A156F" w:rsidRDefault="00A9721F">
            <w:pPr>
              <w:pStyle w:val="TableBodyText"/>
            </w:pPr>
            <w:r>
              <w:t>SpacePara15</w:t>
            </w:r>
          </w:p>
        </w:tc>
      </w:tr>
      <w:tr w:rsidR="000A156F" w:rsidTr="000A156F">
        <w:tc>
          <w:tcPr>
            <w:tcW w:w="0" w:type="auto"/>
            <w:vAlign w:val="center"/>
          </w:tcPr>
          <w:p w:rsidR="000A156F" w:rsidRDefault="00A9721F">
            <w:pPr>
              <w:pStyle w:val="TableBodyText"/>
            </w:pPr>
            <w:r>
              <w:t>SpacePara2</w:t>
            </w:r>
          </w:p>
        </w:tc>
      </w:tr>
      <w:tr w:rsidR="000A156F" w:rsidTr="000A156F">
        <w:tc>
          <w:tcPr>
            <w:tcW w:w="0" w:type="auto"/>
            <w:vAlign w:val="center"/>
          </w:tcPr>
          <w:p w:rsidR="000A156F" w:rsidRDefault="00A9721F">
            <w:pPr>
              <w:pStyle w:val="TableBodyText"/>
            </w:pPr>
            <w:r>
              <w:t>SpellChecked</w:t>
            </w:r>
          </w:p>
        </w:tc>
      </w:tr>
      <w:tr w:rsidR="000A156F" w:rsidTr="000A156F">
        <w:tc>
          <w:tcPr>
            <w:tcW w:w="0" w:type="auto"/>
            <w:vAlign w:val="center"/>
          </w:tcPr>
          <w:p w:rsidR="000A156F" w:rsidRDefault="00A9721F">
            <w:pPr>
              <w:pStyle w:val="TableBodyText"/>
            </w:pPr>
            <w:r>
              <w:t>StartOfColumn</w:t>
            </w:r>
          </w:p>
        </w:tc>
      </w:tr>
      <w:tr w:rsidR="000A156F" w:rsidTr="000A156F">
        <w:tc>
          <w:tcPr>
            <w:tcW w:w="0" w:type="auto"/>
            <w:vAlign w:val="center"/>
          </w:tcPr>
          <w:p w:rsidR="000A156F" w:rsidRDefault="00A9721F">
            <w:pPr>
              <w:pStyle w:val="TableBodyText"/>
            </w:pPr>
            <w:r>
              <w:t>StartOfDocument</w:t>
            </w:r>
          </w:p>
        </w:tc>
      </w:tr>
      <w:tr w:rsidR="000A156F" w:rsidTr="000A156F">
        <w:tc>
          <w:tcPr>
            <w:tcW w:w="0" w:type="auto"/>
            <w:vAlign w:val="center"/>
          </w:tcPr>
          <w:p w:rsidR="000A156F" w:rsidRDefault="00A9721F">
            <w:pPr>
              <w:pStyle w:val="TableBodyText"/>
            </w:pPr>
            <w:r>
              <w:t>StartOfLine</w:t>
            </w:r>
          </w:p>
        </w:tc>
      </w:tr>
      <w:tr w:rsidR="000A156F" w:rsidTr="000A156F">
        <w:tc>
          <w:tcPr>
            <w:tcW w:w="0" w:type="auto"/>
            <w:vAlign w:val="center"/>
          </w:tcPr>
          <w:p w:rsidR="000A156F" w:rsidRDefault="00A9721F">
            <w:pPr>
              <w:pStyle w:val="TableBodyText"/>
            </w:pPr>
            <w:r>
              <w:t>StartOfRow</w:t>
            </w:r>
          </w:p>
        </w:tc>
      </w:tr>
      <w:tr w:rsidR="000A156F" w:rsidTr="000A156F">
        <w:tc>
          <w:tcPr>
            <w:tcW w:w="0" w:type="auto"/>
            <w:vAlign w:val="center"/>
          </w:tcPr>
          <w:p w:rsidR="000A156F" w:rsidRDefault="00A9721F">
            <w:pPr>
              <w:pStyle w:val="TableBodyText"/>
            </w:pPr>
            <w:r>
              <w:t>StartOfWindow</w:t>
            </w:r>
          </w:p>
        </w:tc>
      </w:tr>
      <w:tr w:rsidR="000A156F" w:rsidTr="000A156F">
        <w:tc>
          <w:tcPr>
            <w:tcW w:w="0" w:type="auto"/>
            <w:vAlign w:val="center"/>
          </w:tcPr>
          <w:p w:rsidR="000A156F" w:rsidRDefault="00A9721F">
            <w:pPr>
              <w:pStyle w:val="TableBodyText"/>
            </w:pPr>
            <w:r>
              <w:t>Stop</w:t>
            </w:r>
          </w:p>
        </w:tc>
      </w:tr>
      <w:tr w:rsidR="000A156F" w:rsidTr="000A156F">
        <w:tc>
          <w:tcPr>
            <w:tcW w:w="0" w:type="auto"/>
            <w:vAlign w:val="center"/>
          </w:tcPr>
          <w:p w:rsidR="000A156F" w:rsidRDefault="00A9721F">
            <w:pPr>
              <w:pStyle w:val="TableBodyText"/>
            </w:pPr>
            <w:r>
              <w:t>Strikethrough</w:t>
            </w:r>
          </w:p>
        </w:tc>
      </w:tr>
      <w:tr w:rsidR="000A156F" w:rsidTr="000A156F">
        <w:tc>
          <w:tcPr>
            <w:tcW w:w="0" w:type="auto"/>
            <w:vAlign w:val="center"/>
          </w:tcPr>
          <w:p w:rsidR="000A156F" w:rsidRDefault="00A9721F">
            <w:pPr>
              <w:pStyle w:val="TableBodyText"/>
            </w:pPr>
            <w:r>
              <w:t>Style</w:t>
            </w:r>
          </w:p>
        </w:tc>
      </w:tr>
      <w:tr w:rsidR="000A156F" w:rsidTr="000A156F">
        <w:tc>
          <w:tcPr>
            <w:tcW w:w="0" w:type="auto"/>
            <w:vAlign w:val="center"/>
          </w:tcPr>
          <w:p w:rsidR="000A156F" w:rsidRDefault="00A9721F">
            <w:pPr>
              <w:pStyle w:val="TableBodyText"/>
            </w:pPr>
            <w:r>
              <w:t>Subscript</w:t>
            </w:r>
          </w:p>
        </w:tc>
      </w:tr>
      <w:tr w:rsidR="000A156F" w:rsidTr="000A156F">
        <w:tc>
          <w:tcPr>
            <w:tcW w:w="0" w:type="auto"/>
            <w:vAlign w:val="center"/>
          </w:tcPr>
          <w:p w:rsidR="000A156F" w:rsidRDefault="00A9721F">
            <w:pPr>
              <w:pStyle w:val="TableBodyText"/>
            </w:pPr>
            <w:r>
              <w:t>Superscript</w:t>
            </w:r>
          </w:p>
        </w:tc>
      </w:tr>
      <w:tr w:rsidR="000A156F" w:rsidTr="000A156F">
        <w:tc>
          <w:tcPr>
            <w:tcW w:w="0" w:type="auto"/>
            <w:vAlign w:val="center"/>
          </w:tcPr>
          <w:p w:rsidR="000A156F" w:rsidRDefault="00A9721F">
            <w:pPr>
              <w:pStyle w:val="TableBodyText"/>
            </w:pPr>
            <w:r>
              <w:t>SymbolFont</w:t>
            </w:r>
          </w:p>
        </w:tc>
      </w:tr>
      <w:tr w:rsidR="000A156F" w:rsidTr="000A156F">
        <w:tc>
          <w:tcPr>
            <w:tcW w:w="0" w:type="auto"/>
            <w:vAlign w:val="center"/>
          </w:tcPr>
          <w:p w:rsidR="000A156F" w:rsidRDefault="00A9721F">
            <w:pPr>
              <w:pStyle w:val="TableBodyText"/>
            </w:pPr>
            <w:r>
              <w:t>TabType</w:t>
            </w:r>
          </w:p>
        </w:tc>
      </w:tr>
      <w:tr w:rsidR="000A156F" w:rsidTr="000A156F">
        <w:tc>
          <w:tcPr>
            <w:tcW w:w="0" w:type="auto"/>
            <w:vAlign w:val="center"/>
          </w:tcPr>
          <w:p w:rsidR="000A156F" w:rsidRDefault="00A9721F">
            <w:pPr>
              <w:pStyle w:val="TableBodyText"/>
            </w:pPr>
            <w:r>
              <w:t>TableGridlines</w:t>
            </w:r>
          </w:p>
        </w:tc>
      </w:tr>
      <w:tr w:rsidR="000A156F" w:rsidTr="000A156F">
        <w:tc>
          <w:tcPr>
            <w:tcW w:w="0" w:type="auto"/>
            <w:vAlign w:val="center"/>
          </w:tcPr>
          <w:p w:rsidR="000A156F" w:rsidRDefault="00A9721F">
            <w:pPr>
              <w:pStyle w:val="TableBodyText"/>
            </w:pPr>
            <w:r>
              <w:t>TableHeadings</w:t>
            </w:r>
          </w:p>
        </w:tc>
      </w:tr>
      <w:tr w:rsidR="000A156F" w:rsidTr="000A156F">
        <w:tc>
          <w:tcPr>
            <w:tcW w:w="0" w:type="auto"/>
            <w:vAlign w:val="center"/>
          </w:tcPr>
          <w:p w:rsidR="000A156F" w:rsidRDefault="00A9721F">
            <w:pPr>
              <w:pStyle w:val="TableBodyText"/>
            </w:pPr>
            <w:r>
              <w:t>Text</w:t>
            </w:r>
          </w:p>
        </w:tc>
      </w:tr>
      <w:tr w:rsidR="000A156F" w:rsidTr="000A156F">
        <w:tc>
          <w:tcPr>
            <w:tcW w:w="0" w:type="auto"/>
            <w:vAlign w:val="center"/>
          </w:tcPr>
          <w:p w:rsidR="000A156F" w:rsidRDefault="00A9721F">
            <w:pPr>
              <w:pStyle w:val="TableBodyText"/>
            </w:pPr>
            <w:r>
              <w:t>TextBox</w:t>
            </w:r>
          </w:p>
        </w:tc>
      </w:tr>
      <w:tr w:rsidR="000A156F" w:rsidTr="000A156F">
        <w:tc>
          <w:tcPr>
            <w:tcW w:w="0" w:type="auto"/>
            <w:vAlign w:val="center"/>
          </w:tcPr>
          <w:p w:rsidR="000A156F" w:rsidRDefault="00A9721F">
            <w:pPr>
              <w:pStyle w:val="TableBodyText"/>
            </w:pPr>
            <w:r>
              <w:t>TimeSerial</w:t>
            </w:r>
          </w:p>
        </w:tc>
      </w:tr>
      <w:tr w:rsidR="000A156F" w:rsidTr="000A156F">
        <w:tc>
          <w:tcPr>
            <w:tcW w:w="0" w:type="auto"/>
            <w:vAlign w:val="center"/>
          </w:tcPr>
          <w:p w:rsidR="000A156F" w:rsidRDefault="00A9721F">
            <w:pPr>
              <w:pStyle w:val="TableBodyText"/>
            </w:pPr>
            <w:r>
              <w:t>TimeValue</w:t>
            </w:r>
          </w:p>
        </w:tc>
      </w:tr>
      <w:tr w:rsidR="000A156F" w:rsidTr="000A156F">
        <w:tc>
          <w:tcPr>
            <w:tcW w:w="0" w:type="auto"/>
            <w:vAlign w:val="center"/>
          </w:tcPr>
          <w:p w:rsidR="000A156F" w:rsidRDefault="00A9721F">
            <w:pPr>
              <w:pStyle w:val="TableBodyText"/>
            </w:pPr>
            <w:r>
              <w:t>Today</w:t>
            </w:r>
          </w:p>
        </w:tc>
      </w:tr>
      <w:tr w:rsidR="000A156F" w:rsidTr="000A156F">
        <w:tc>
          <w:tcPr>
            <w:tcW w:w="0" w:type="auto"/>
            <w:vAlign w:val="center"/>
          </w:tcPr>
          <w:p w:rsidR="000A156F" w:rsidRDefault="00A9721F">
            <w:pPr>
              <w:pStyle w:val="TableBodyText"/>
            </w:pPr>
            <w:r>
              <w:t>ToolbarState</w:t>
            </w:r>
          </w:p>
        </w:tc>
      </w:tr>
      <w:tr w:rsidR="000A156F" w:rsidTr="000A156F">
        <w:tc>
          <w:tcPr>
            <w:tcW w:w="0" w:type="auto"/>
            <w:vAlign w:val="center"/>
          </w:tcPr>
          <w:p w:rsidR="000A156F" w:rsidRDefault="00A9721F">
            <w:pPr>
              <w:pStyle w:val="TableBodyText"/>
            </w:pPr>
            <w:r>
              <w:t>ToolsAutoCorrectCapsLockOff</w:t>
            </w:r>
          </w:p>
        </w:tc>
      </w:tr>
      <w:tr w:rsidR="000A156F" w:rsidTr="000A156F">
        <w:tc>
          <w:tcPr>
            <w:tcW w:w="0" w:type="auto"/>
            <w:vAlign w:val="center"/>
          </w:tcPr>
          <w:p w:rsidR="000A156F" w:rsidRDefault="00A9721F">
            <w:pPr>
              <w:pStyle w:val="TableBodyText"/>
            </w:pPr>
            <w:r>
              <w:t>ToolsAutoCorrectDays</w:t>
            </w:r>
          </w:p>
        </w:tc>
      </w:tr>
      <w:tr w:rsidR="000A156F" w:rsidTr="000A156F">
        <w:tc>
          <w:tcPr>
            <w:tcW w:w="0" w:type="auto"/>
            <w:vAlign w:val="center"/>
          </w:tcPr>
          <w:p w:rsidR="000A156F" w:rsidRDefault="00A9721F">
            <w:pPr>
              <w:pStyle w:val="TableBodyText"/>
            </w:pPr>
            <w:r>
              <w:t>ToolsAutoCorrectInitialCaps</w:t>
            </w:r>
          </w:p>
        </w:tc>
      </w:tr>
      <w:tr w:rsidR="000A156F" w:rsidTr="000A156F">
        <w:tc>
          <w:tcPr>
            <w:tcW w:w="0" w:type="auto"/>
            <w:vAlign w:val="center"/>
          </w:tcPr>
          <w:p w:rsidR="000A156F" w:rsidRDefault="00A9721F">
            <w:pPr>
              <w:pStyle w:val="TableBodyText"/>
            </w:pPr>
            <w:r>
              <w:t>ToolsAutoCorrectReplaceText</w:t>
            </w:r>
          </w:p>
        </w:tc>
      </w:tr>
      <w:tr w:rsidR="000A156F" w:rsidTr="000A156F">
        <w:tc>
          <w:tcPr>
            <w:tcW w:w="0" w:type="auto"/>
            <w:vAlign w:val="center"/>
          </w:tcPr>
          <w:p w:rsidR="000A156F" w:rsidRDefault="00A9721F">
            <w:pPr>
              <w:pStyle w:val="TableBodyText"/>
            </w:pPr>
            <w:r>
              <w:t>ToolsAutoCorrectReplaceTextFromSpellingChecker</w:t>
            </w:r>
          </w:p>
        </w:tc>
      </w:tr>
      <w:tr w:rsidR="000A156F" w:rsidTr="000A156F">
        <w:tc>
          <w:tcPr>
            <w:tcW w:w="0" w:type="auto"/>
            <w:vAlign w:val="center"/>
          </w:tcPr>
          <w:p w:rsidR="000A156F" w:rsidRDefault="00A9721F">
            <w:pPr>
              <w:pStyle w:val="TableBodyText"/>
            </w:pPr>
            <w:r>
              <w:t>ToolsAutoCorrectSentenceCaps</w:t>
            </w:r>
          </w:p>
        </w:tc>
      </w:tr>
      <w:tr w:rsidR="000A156F" w:rsidTr="000A156F">
        <w:tc>
          <w:tcPr>
            <w:tcW w:w="0" w:type="auto"/>
            <w:vAlign w:val="center"/>
          </w:tcPr>
          <w:p w:rsidR="000A156F" w:rsidRDefault="00A9721F">
            <w:pPr>
              <w:pStyle w:val="TableBodyText"/>
            </w:pPr>
            <w:r>
              <w:lastRenderedPageBreak/>
              <w:t>ToolsAutoCorrectSmartQuotes</w:t>
            </w:r>
          </w:p>
        </w:tc>
      </w:tr>
      <w:tr w:rsidR="000A156F" w:rsidTr="000A156F">
        <w:tc>
          <w:tcPr>
            <w:tcW w:w="0" w:type="auto"/>
            <w:vAlign w:val="center"/>
          </w:tcPr>
          <w:p w:rsidR="000A156F" w:rsidRDefault="00A9721F">
            <w:pPr>
              <w:pStyle w:val="TableBodyText"/>
            </w:pPr>
            <w:r>
              <w:t>ToolsCalculate</w:t>
            </w:r>
          </w:p>
        </w:tc>
      </w:tr>
      <w:tr w:rsidR="000A156F" w:rsidTr="000A156F">
        <w:tc>
          <w:tcPr>
            <w:tcW w:w="0" w:type="auto"/>
            <w:vAlign w:val="center"/>
          </w:tcPr>
          <w:p w:rsidR="000A156F" w:rsidRDefault="00A9721F">
            <w:pPr>
              <w:pStyle w:val="TableBodyText"/>
            </w:pPr>
            <w:r>
              <w:t>ToolsGrammarStatisticsArray</w:t>
            </w:r>
          </w:p>
        </w:tc>
      </w:tr>
      <w:tr w:rsidR="000A156F" w:rsidTr="000A156F">
        <w:tc>
          <w:tcPr>
            <w:tcW w:w="0" w:type="auto"/>
            <w:vAlign w:val="center"/>
          </w:tcPr>
          <w:p w:rsidR="000A156F" w:rsidRDefault="00A9721F">
            <w:pPr>
              <w:pStyle w:val="TableBodyText"/>
            </w:pPr>
            <w:r>
              <w:t>ToolsRevisionDate</w:t>
            </w:r>
          </w:p>
        </w:tc>
      </w:tr>
      <w:tr w:rsidR="000A156F" w:rsidTr="000A156F">
        <w:tc>
          <w:tcPr>
            <w:tcW w:w="0" w:type="auto"/>
            <w:vAlign w:val="center"/>
          </w:tcPr>
          <w:p w:rsidR="000A156F" w:rsidRDefault="00A9721F">
            <w:pPr>
              <w:pStyle w:val="TableBodyText"/>
            </w:pPr>
            <w:r>
              <w:t>ToolsRevisionType</w:t>
            </w:r>
          </w:p>
        </w:tc>
      </w:tr>
      <w:tr w:rsidR="000A156F" w:rsidTr="000A156F">
        <w:tc>
          <w:tcPr>
            <w:tcW w:w="0" w:type="auto"/>
            <w:vAlign w:val="center"/>
          </w:tcPr>
          <w:p w:rsidR="000A156F" w:rsidRDefault="00A9721F">
            <w:pPr>
              <w:pStyle w:val="TableBodyText"/>
            </w:pPr>
            <w:r>
              <w:t>Underline</w:t>
            </w:r>
          </w:p>
        </w:tc>
      </w:tr>
      <w:tr w:rsidR="000A156F" w:rsidTr="000A156F">
        <w:tc>
          <w:tcPr>
            <w:tcW w:w="0" w:type="auto"/>
            <w:vAlign w:val="center"/>
          </w:tcPr>
          <w:p w:rsidR="000A156F" w:rsidRDefault="00A9721F">
            <w:pPr>
              <w:pStyle w:val="TableBodyText"/>
            </w:pPr>
            <w:r>
              <w:t>UnderlineColor</w:t>
            </w:r>
          </w:p>
        </w:tc>
      </w:tr>
      <w:tr w:rsidR="000A156F" w:rsidTr="000A156F">
        <w:tc>
          <w:tcPr>
            <w:tcW w:w="0" w:type="auto"/>
            <w:vAlign w:val="center"/>
          </w:tcPr>
          <w:p w:rsidR="000A156F" w:rsidRDefault="00A9721F">
            <w:pPr>
              <w:pStyle w:val="TableBodyText"/>
            </w:pPr>
            <w:r>
              <w:t>UnderlineStyle</w:t>
            </w:r>
          </w:p>
        </w:tc>
      </w:tr>
      <w:tr w:rsidR="000A156F" w:rsidTr="000A156F">
        <w:tc>
          <w:tcPr>
            <w:tcW w:w="0" w:type="auto"/>
            <w:vAlign w:val="center"/>
          </w:tcPr>
          <w:p w:rsidR="000A156F" w:rsidRDefault="00A9721F">
            <w:pPr>
              <w:pStyle w:val="TableBodyText"/>
            </w:pPr>
            <w:r>
              <w:t>VLine</w:t>
            </w:r>
          </w:p>
        </w:tc>
      </w:tr>
      <w:tr w:rsidR="000A156F" w:rsidTr="000A156F">
        <w:tc>
          <w:tcPr>
            <w:tcW w:w="0" w:type="auto"/>
            <w:vAlign w:val="center"/>
          </w:tcPr>
          <w:p w:rsidR="000A156F" w:rsidRDefault="00A9721F">
            <w:pPr>
              <w:pStyle w:val="TableBodyText"/>
            </w:pPr>
            <w:r>
              <w:t>VPage</w:t>
            </w:r>
          </w:p>
        </w:tc>
      </w:tr>
      <w:tr w:rsidR="000A156F" w:rsidTr="000A156F">
        <w:tc>
          <w:tcPr>
            <w:tcW w:w="0" w:type="auto"/>
            <w:vAlign w:val="center"/>
          </w:tcPr>
          <w:p w:rsidR="000A156F" w:rsidRDefault="00A9721F">
            <w:pPr>
              <w:pStyle w:val="TableBodyText"/>
            </w:pPr>
            <w:r>
              <w:t>VScroll</w:t>
            </w:r>
          </w:p>
        </w:tc>
      </w:tr>
      <w:tr w:rsidR="000A156F" w:rsidTr="000A156F">
        <w:tc>
          <w:tcPr>
            <w:tcW w:w="0" w:type="auto"/>
            <w:vAlign w:val="center"/>
          </w:tcPr>
          <w:p w:rsidR="000A156F" w:rsidRDefault="00A9721F">
            <w:pPr>
              <w:pStyle w:val="TableBodyText"/>
            </w:pPr>
            <w:r>
              <w:t>Val</w:t>
            </w:r>
          </w:p>
        </w:tc>
      </w:tr>
      <w:tr w:rsidR="000A156F" w:rsidTr="000A156F">
        <w:tc>
          <w:tcPr>
            <w:tcW w:w="0" w:type="auto"/>
            <w:vAlign w:val="center"/>
          </w:tcPr>
          <w:p w:rsidR="000A156F" w:rsidRDefault="00A9721F">
            <w:pPr>
              <w:pStyle w:val="TableBodyText"/>
            </w:pPr>
            <w:r>
              <w:t>ViewAnnotations</w:t>
            </w:r>
          </w:p>
        </w:tc>
      </w:tr>
      <w:tr w:rsidR="000A156F" w:rsidTr="000A156F">
        <w:tc>
          <w:tcPr>
            <w:tcW w:w="0" w:type="auto"/>
            <w:vAlign w:val="center"/>
          </w:tcPr>
          <w:p w:rsidR="000A156F" w:rsidRDefault="00A9721F">
            <w:pPr>
              <w:pStyle w:val="TableBodyText"/>
            </w:pPr>
            <w:r>
              <w:t>ViewDraft</w:t>
            </w:r>
          </w:p>
        </w:tc>
      </w:tr>
      <w:tr w:rsidR="000A156F" w:rsidTr="000A156F">
        <w:tc>
          <w:tcPr>
            <w:tcW w:w="0" w:type="auto"/>
            <w:vAlign w:val="center"/>
          </w:tcPr>
          <w:p w:rsidR="000A156F" w:rsidRDefault="00A9721F">
            <w:pPr>
              <w:pStyle w:val="TableBodyText"/>
            </w:pPr>
            <w:r>
              <w:t>ViewEndnoteArea</w:t>
            </w:r>
          </w:p>
        </w:tc>
      </w:tr>
      <w:tr w:rsidR="000A156F" w:rsidTr="000A156F">
        <w:tc>
          <w:tcPr>
            <w:tcW w:w="0" w:type="auto"/>
            <w:vAlign w:val="center"/>
          </w:tcPr>
          <w:p w:rsidR="000A156F" w:rsidRDefault="00A9721F">
            <w:pPr>
              <w:pStyle w:val="TableBodyText"/>
            </w:pPr>
            <w:r>
              <w:t>ViewFieldCodes</w:t>
            </w:r>
          </w:p>
        </w:tc>
      </w:tr>
      <w:tr w:rsidR="000A156F" w:rsidTr="000A156F">
        <w:tc>
          <w:tcPr>
            <w:tcW w:w="0" w:type="auto"/>
            <w:vAlign w:val="center"/>
          </w:tcPr>
          <w:p w:rsidR="000A156F" w:rsidRDefault="00A9721F">
            <w:pPr>
              <w:pStyle w:val="TableBodyText"/>
            </w:pPr>
            <w:r>
              <w:t>ViewFooter</w:t>
            </w:r>
          </w:p>
        </w:tc>
      </w:tr>
      <w:tr w:rsidR="000A156F" w:rsidTr="000A156F">
        <w:tc>
          <w:tcPr>
            <w:tcW w:w="0" w:type="auto"/>
            <w:vAlign w:val="center"/>
          </w:tcPr>
          <w:p w:rsidR="000A156F" w:rsidRDefault="00A9721F">
            <w:pPr>
              <w:pStyle w:val="TableBodyText"/>
            </w:pPr>
            <w:r>
              <w:t>ViewFootnoteArea</w:t>
            </w:r>
          </w:p>
        </w:tc>
      </w:tr>
      <w:tr w:rsidR="000A156F" w:rsidTr="000A156F">
        <w:tc>
          <w:tcPr>
            <w:tcW w:w="0" w:type="auto"/>
            <w:vAlign w:val="center"/>
          </w:tcPr>
          <w:p w:rsidR="000A156F" w:rsidRDefault="00A9721F">
            <w:pPr>
              <w:pStyle w:val="TableBodyText"/>
            </w:pPr>
            <w:r>
              <w:t>ViewFootnotes</w:t>
            </w:r>
          </w:p>
        </w:tc>
      </w:tr>
      <w:tr w:rsidR="000A156F" w:rsidTr="000A156F">
        <w:tc>
          <w:tcPr>
            <w:tcW w:w="0" w:type="auto"/>
            <w:vAlign w:val="center"/>
          </w:tcPr>
          <w:p w:rsidR="000A156F" w:rsidRDefault="00A9721F">
            <w:pPr>
              <w:pStyle w:val="TableBodyText"/>
            </w:pPr>
            <w:r>
              <w:t>ViewGridlines</w:t>
            </w:r>
          </w:p>
        </w:tc>
      </w:tr>
      <w:tr w:rsidR="000A156F" w:rsidTr="000A156F">
        <w:tc>
          <w:tcPr>
            <w:tcW w:w="0" w:type="auto"/>
            <w:vAlign w:val="center"/>
          </w:tcPr>
          <w:p w:rsidR="000A156F" w:rsidRDefault="00A9721F">
            <w:pPr>
              <w:pStyle w:val="TableBodyText"/>
            </w:pPr>
            <w:r>
              <w:t>ViewHeader</w:t>
            </w:r>
          </w:p>
        </w:tc>
      </w:tr>
      <w:tr w:rsidR="000A156F" w:rsidTr="000A156F">
        <w:tc>
          <w:tcPr>
            <w:tcW w:w="0" w:type="auto"/>
            <w:vAlign w:val="center"/>
          </w:tcPr>
          <w:p w:rsidR="000A156F" w:rsidRDefault="00A9721F">
            <w:pPr>
              <w:pStyle w:val="TableBodyText"/>
            </w:pPr>
            <w:r>
              <w:t>ViewMasterDocument</w:t>
            </w:r>
          </w:p>
        </w:tc>
      </w:tr>
      <w:tr w:rsidR="000A156F" w:rsidTr="000A156F">
        <w:tc>
          <w:tcPr>
            <w:tcW w:w="0" w:type="auto"/>
            <w:vAlign w:val="center"/>
          </w:tcPr>
          <w:p w:rsidR="000A156F" w:rsidRDefault="00A9721F">
            <w:pPr>
              <w:pStyle w:val="TableBodyText"/>
            </w:pPr>
            <w:r>
              <w:t>ViewMenus</w:t>
            </w:r>
          </w:p>
        </w:tc>
      </w:tr>
      <w:tr w:rsidR="000A156F" w:rsidTr="000A156F">
        <w:tc>
          <w:tcPr>
            <w:tcW w:w="0" w:type="auto"/>
            <w:vAlign w:val="center"/>
          </w:tcPr>
          <w:p w:rsidR="000A156F" w:rsidRDefault="00A9721F">
            <w:pPr>
              <w:pStyle w:val="TableBodyText"/>
            </w:pPr>
            <w:r>
              <w:t>ViewNormal</w:t>
            </w:r>
          </w:p>
        </w:tc>
      </w:tr>
      <w:tr w:rsidR="000A156F" w:rsidTr="000A156F">
        <w:tc>
          <w:tcPr>
            <w:tcW w:w="0" w:type="auto"/>
            <w:vAlign w:val="center"/>
          </w:tcPr>
          <w:p w:rsidR="000A156F" w:rsidRDefault="00A9721F">
            <w:pPr>
              <w:pStyle w:val="TableBodyText"/>
            </w:pPr>
            <w:r>
              <w:t>ViewOutline</w:t>
            </w:r>
          </w:p>
        </w:tc>
      </w:tr>
      <w:tr w:rsidR="000A156F" w:rsidTr="000A156F">
        <w:tc>
          <w:tcPr>
            <w:tcW w:w="0" w:type="auto"/>
            <w:vAlign w:val="center"/>
          </w:tcPr>
          <w:p w:rsidR="000A156F" w:rsidRDefault="00A9721F">
            <w:pPr>
              <w:pStyle w:val="TableBodyText"/>
            </w:pPr>
            <w:r>
              <w:t>ViewPage</w:t>
            </w:r>
          </w:p>
        </w:tc>
      </w:tr>
      <w:tr w:rsidR="000A156F" w:rsidTr="000A156F">
        <w:tc>
          <w:tcPr>
            <w:tcW w:w="0" w:type="auto"/>
            <w:vAlign w:val="center"/>
          </w:tcPr>
          <w:p w:rsidR="000A156F" w:rsidRDefault="00A9721F">
            <w:pPr>
              <w:pStyle w:val="TableBodyText"/>
            </w:pPr>
            <w:r>
              <w:t>ViewRibbon</w:t>
            </w:r>
          </w:p>
        </w:tc>
      </w:tr>
      <w:tr w:rsidR="000A156F" w:rsidTr="000A156F">
        <w:tc>
          <w:tcPr>
            <w:tcW w:w="0" w:type="auto"/>
            <w:vAlign w:val="center"/>
          </w:tcPr>
          <w:p w:rsidR="000A156F" w:rsidRDefault="00A9721F">
            <w:pPr>
              <w:pStyle w:val="TableBodyText"/>
            </w:pPr>
            <w:r>
              <w:t>ViewRuler</w:t>
            </w:r>
          </w:p>
        </w:tc>
      </w:tr>
      <w:tr w:rsidR="000A156F" w:rsidTr="000A156F">
        <w:tc>
          <w:tcPr>
            <w:tcW w:w="0" w:type="auto"/>
            <w:vAlign w:val="center"/>
          </w:tcPr>
          <w:p w:rsidR="000A156F" w:rsidRDefault="00A9721F">
            <w:pPr>
              <w:pStyle w:val="TableBodyText"/>
            </w:pPr>
            <w:r>
              <w:t>ViewStatusBar</w:t>
            </w:r>
          </w:p>
        </w:tc>
      </w:tr>
      <w:tr w:rsidR="000A156F" w:rsidTr="000A156F">
        <w:tc>
          <w:tcPr>
            <w:tcW w:w="0" w:type="auto"/>
            <w:vAlign w:val="center"/>
          </w:tcPr>
          <w:p w:rsidR="000A156F" w:rsidRDefault="00A9721F">
            <w:pPr>
              <w:pStyle w:val="TableBodyText"/>
            </w:pPr>
            <w:r>
              <w:t>ViewToolbar</w:t>
            </w:r>
          </w:p>
        </w:tc>
      </w:tr>
      <w:tr w:rsidR="000A156F" w:rsidTr="000A156F">
        <w:tc>
          <w:tcPr>
            <w:tcW w:w="0" w:type="auto"/>
            <w:vAlign w:val="center"/>
          </w:tcPr>
          <w:p w:rsidR="000A156F" w:rsidRDefault="00A9721F">
            <w:pPr>
              <w:pStyle w:val="TableBodyText"/>
            </w:pPr>
            <w:r>
              <w:t>WW1_InsertPara</w:t>
            </w:r>
          </w:p>
        </w:tc>
      </w:tr>
      <w:tr w:rsidR="000A156F" w:rsidTr="000A156F">
        <w:tc>
          <w:tcPr>
            <w:tcW w:w="0" w:type="auto"/>
            <w:vAlign w:val="center"/>
          </w:tcPr>
          <w:p w:rsidR="000A156F" w:rsidRDefault="00A9721F">
            <w:pPr>
              <w:pStyle w:val="TableBodyText"/>
            </w:pPr>
            <w:r>
              <w:t>WW2CallingConvention</w:t>
            </w:r>
          </w:p>
        </w:tc>
      </w:tr>
      <w:tr w:rsidR="000A156F" w:rsidTr="000A156F">
        <w:tc>
          <w:tcPr>
            <w:tcW w:w="0" w:type="auto"/>
            <w:vAlign w:val="center"/>
          </w:tcPr>
          <w:p w:rsidR="000A156F" w:rsidRDefault="00A9721F">
            <w:pPr>
              <w:pStyle w:val="TableBodyText"/>
            </w:pPr>
            <w:r>
              <w:lastRenderedPageBreak/>
              <w:t>WW2_Asc</w:t>
            </w:r>
          </w:p>
        </w:tc>
      </w:tr>
      <w:tr w:rsidR="000A156F" w:rsidTr="000A156F">
        <w:tc>
          <w:tcPr>
            <w:tcW w:w="0" w:type="auto"/>
            <w:vAlign w:val="center"/>
          </w:tcPr>
          <w:p w:rsidR="000A156F" w:rsidRDefault="00A9721F">
            <w:pPr>
              <w:pStyle w:val="TableBodyText"/>
            </w:pPr>
            <w:r>
              <w:t>WW2_ChangeCase</w:t>
            </w:r>
          </w:p>
        </w:tc>
      </w:tr>
      <w:tr w:rsidR="000A156F" w:rsidTr="000A156F">
        <w:tc>
          <w:tcPr>
            <w:tcW w:w="0" w:type="auto"/>
            <w:vAlign w:val="center"/>
          </w:tcPr>
          <w:p w:rsidR="000A156F" w:rsidRDefault="00A9721F">
            <w:pPr>
              <w:pStyle w:val="TableBodyText"/>
            </w:pPr>
            <w:r>
              <w:t>WW2_CountMenuItems</w:t>
            </w:r>
          </w:p>
        </w:tc>
      </w:tr>
      <w:tr w:rsidR="000A156F" w:rsidTr="000A156F">
        <w:tc>
          <w:tcPr>
            <w:tcW w:w="0" w:type="auto"/>
            <w:vAlign w:val="center"/>
          </w:tcPr>
          <w:p w:rsidR="000A156F" w:rsidRDefault="00A9721F">
            <w:pPr>
              <w:pStyle w:val="TableBodyText"/>
            </w:pPr>
            <w:r>
              <w:t>WW2_GetToolButton</w:t>
            </w:r>
          </w:p>
        </w:tc>
      </w:tr>
      <w:tr w:rsidR="000A156F" w:rsidTr="000A156F">
        <w:tc>
          <w:tcPr>
            <w:tcW w:w="0" w:type="auto"/>
            <w:vAlign w:val="center"/>
          </w:tcPr>
          <w:p w:rsidR="000A156F" w:rsidRDefault="00A9721F">
            <w:pPr>
              <w:pStyle w:val="TableBodyText"/>
            </w:pPr>
            <w:r>
              <w:t>WW2_Insert</w:t>
            </w:r>
          </w:p>
        </w:tc>
      </w:tr>
      <w:tr w:rsidR="000A156F" w:rsidTr="000A156F">
        <w:tc>
          <w:tcPr>
            <w:tcW w:w="0" w:type="auto"/>
            <w:vAlign w:val="center"/>
          </w:tcPr>
          <w:p w:rsidR="000A156F" w:rsidRDefault="00A9721F">
            <w:pPr>
              <w:pStyle w:val="TableBodyText"/>
            </w:pPr>
            <w:r>
              <w:t>WW2_KeyCode</w:t>
            </w:r>
          </w:p>
        </w:tc>
      </w:tr>
      <w:tr w:rsidR="000A156F" w:rsidTr="000A156F">
        <w:tc>
          <w:tcPr>
            <w:tcW w:w="0" w:type="auto"/>
            <w:vAlign w:val="center"/>
          </w:tcPr>
          <w:p w:rsidR="000A156F" w:rsidRDefault="00A9721F">
            <w:pPr>
              <w:pStyle w:val="TableBodyText"/>
            </w:pPr>
            <w:r>
              <w:t>WW2_RenameMenu</w:t>
            </w:r>
          </w:p>
        </w:tc>
      </w:tr>
      <w:tr w:rsidR="000A156F" w:rsidTr="000A156F">
        <w:tc>
          <w:tcPr>
            <w:tcW w:w="0" w:type="auto"/>
            <w:vAlign w:val="center"/>
          </w:tcPr>
          <w:p w:rsidR="000A156F" w:rsidRDefault="00A9721F">
            <w:pPr>
              <w:pStyle w:val="TableBodyText"/>
            </w:pPr>
            <w:r>
              <w:t>WW2_Underlines</w:t>
            </w:r>
          </w:p>
        </w:tc>
      </w:tr>
      <w:tr w:rsidR="000A156F" w:rsidTr="000A156F">
        <w:tc>
          <w:tcPr>
            <w:tcW w:w="0" w:type="auto"/>
            <w:vAlign w:val="center"/>
          </w:tcPr>
          <w:p w:rsidR="000A156F" w:rsidRDefault="00A9721F">
            <w:pPr>
              <w:pStyle w:val="TableBodyText"/>
            </w:pPr>
            <w:r>
              <w:t>WW6_EditClear</w:t>
            </w:r>
          </w:p>
        </w:tc>
      </w:tr>
      <w:tr w:rsidR="000A156F" w:rsidTr="000A156F">
        <w:tc>
          <w:tcPr>
            <w:tcW w:w="0" w:type="auto"/>
            <w:vAlign w:val="center"/>
          </w:tcPr>
          <w:p w:rsidR="000A156F" w:rsidRDefault="00A9721F">
            <w:pPr>
              <w:pStyle w:val="TableBodyText"/>
            </w:pPr>
            <w:r>
              <w:t>WaitCursor</w:t>
            </w:r>
          </w:p>
        </w:tc>
      </w:tr>
      <w:tr w:rsidR="000A156F" w:rsidTr="000A156F">
        <w:tc>
          <w:tcPr>
            <w:tcW w:w="0" w:type="auto"/>
            <w:vAlign w:val="center"/>
          </w:tcPr>
          <w:p w:rsidR="000A156F" w:rsidRDefault="00A9721F">
            <w:pPr>
              <w:pStyle w:val="TableBodyText"/>
            </w:pPr>
            <w:r>
              <w:t>Weekday</w:t>
            </w:r>
          </w:p>
        </w:tc>
      </w:tr>
      <w:tr w:rsidR="000A156F" w:rsidTr="000A156F">
        <w:tc>
          <w:tcPr>
            <w:tcW w:w="0" w:type="auto"/>
            <w:vAlign w:val="center"/>
          </w:tcPr>
          <w:p w:rsidR="000A156F" w:rsidRDefault="00A9721F">
            <w:pPr>
              <w:pStyle w:val="TableBodyText"/>
            </w:pPr>
            <w:r>
              <w:t>WinAllocFail</w:t>
            </w:r>
          </w:p>
        </w:tc>
      </w:tr>
      <w:tr w:rsidR="000A156F" w:rsidTr="000A156F">
        <w:tc>
          <w:tcPr>
            <w:tcW w:w="0" w:type="auto"/>
            <w:vAlign w:val="center"/>
          </w:tcPr>
          <w:p w:rsidR="000A156F" w:rsidRDefault="00A9721F">
            <w:pPr>
              <w:pStyle w:val="TableBodyText"/>
            </w:pPr>
            <w:r>
              <w:t>Window</w:t>
            </w:r>
          </w:p>
        </w:tc>
      </w:tr>
      <w:tr w:rsidR="000A156F" w:rsidTr="000A156F">
        <w:tc>
          <w:tcPr>
            <w:tcW w:w="0" w:type="auto"/>
            <w:vAlign w:val="center"/>
          </w:tcPr>
          <w:p w:rsidR="000A156F" w:rsidRDefault="00A9721F">
            <w:pPr>
              <w:pStyle w:val="TableBodyText"/>
            </w:pPr>
            <w:r>
              <w:t>Window1</w:t>
            </w:r>
          </w:p>
        </w:tc>
      </w:tr>
      <w:tr w:rsidR="000A156F" w:rsidTr="000A156F">
        <w:tc>
          <w:tcPr>
            <w:tcW w:w="0" w:type="auto"/>
            <w:vAlign w:val="center"/>
          </w:tcPr>
          <w:p w:rsidR="000A156F" w:rsidRDefault="00A9721F">
            <w:pPr>
              <w:pStyle w:val="TableBodyText"/>
            </w:pPr>
            <w:r>
              <w:t>Window2</w:t>
            </w:r>
          </w:p>
        </w:tc>
      </w:tr>
      <w:tr w:rsidR="000A156F" w:rsidTr="000A156F">
        <w:tc>
          <w:tcPr>
            <w:tcW w:w="0" w:type="auto"/>
            <w:vAlign w:val="center"/>
          </w:tcPr>
          <w:p w:rsidR="000A156F" w:rsidRDefault="00A9721F">
            <w:pPr>
              <w:pStyle w:val="TableBodyText"/>
            </w:pPr>
            <w:r>
              <w:t>Window3</w:t>
            </w:r>
          </w:p>
        </w:tc>
      </w:tr>
      <w:tr w:rsidR="000A156F" w:rsidTr="000A156F">
        <w:tc>
          <w:tcPr>
            <w:tcW w:w="0" w:type="auto"/>
            <w:vAlign w:val="center"/>
          </w:tcPr>
          <w:p w:rsidR="000A156F" w:rsidRDefault="00A9721F">
            <w:pPr>
              <w:pStyle w:val="TableBodyText"/>
            </w:pPr>
            <w:r>
              <w:t>Window4</w:t>
            </w:r>
          </w:p>
        </w:tc>
      </w:tr>
      <w:tr w:rsidR="000A156F" w:rsidTr="000A156F">
        <w:tc>
          <w:tcPr>
            <w:tcW w:w="0" w:type="auto"/>
            <w:vAlign w:val="center"/>
          </w:tcPr>
          <w:p w:rsidR="000A156F" w:rsidRDefault="00A9721F">
            <w:pPr>
              <w:pStyle w:val="TableBodyText"/>
            </w:pPr>
            <w:r>
              <w:t>Window5</w:t>
            </w:r>
          </w:p>
        </w:tc>
      </w:tr>
      <w:tr w:rsidR="000A156F" w:rsidTr="000A156F">
        <w:tc>
          <w:tcPr>
            <w:tcW w:w="0" w:type="auto"/>
            <w:vAlign w:val="center"/>
          </w:tcPr>
          <w:p w:rsidR="000A156F" w:rsidRDefault="00A9721F">
            <w:pPr>
              <w:pStyle w:val="TableBodyText"/>
            </w:pPr>
            <w:r>
              <w:t>Window6</w:t>
            </w:r>
          </w:p>
        </w:tc>
      </w:tr>
      <w:tr w:rsidR="000A156F" w:rsidTr="000A156F">
        <w:tc>
          <w:tcPr>
            <w:tcW w:w="0" w:type="auto"/>
            <w:vAlign w:val="center"/>
          </w:tcPr>
          <w:p w:rsidR="000A156F" w:rsidRDefault="00A9721F">
            <w:pPr>
              <w:pStyle w:val="TableBodyText"/>
            </w:pPr>
            <w:r>
              <w:t>Window7</w:t>
            </w:r>
          </w:p>
        </w:tc>
      </w:tr>
      <w:tr w:rsidR="000A156F" w:rsidTr="000A156F">
        <w:tc>
          <w:tcPr>
            <w:tcW w:w="0" w:type="auto"/>
            <w:vAlign w:val="center"/>
          </w:tcPr>
          <w:p w:rsidR="000A156F" w:rsidRDefault="00A9721F">
            <w:pPr>
              <w:pStyle w:val="TableBodyText"/>
            </w:pPr>
            <w:r>
              <w:t>Window8</w:t>
            </w:r>
          </w:p>
        </w:tc>
      </w:tr>
      <w:tr w:rsidR="000A156F" w:rsidTr="000A156F">
        <w:tc>
          <w:tcPr>
            <w:tcW w:w="0" w:type="auto"/>
            <w:vAlign w:val="center"/>
          </w:tcPr>
          <w:p w:rsidR="000A156F" w:rsidRDefault="00A9721F">
            <w:pPr>
              <w:pStyle w:val="TableBodyText"/>
            </w:pPr>
            <w:r>
              <w:t>Window9</w:t>
            </w:r>
          </w:p>
        </w:tc>
      </w:tr>
      <w:tr w:rsidR="000A156F" w:rsidTr="000A156F">
        <w:tc>
          <w:tcPr>
            <w:tcW w:w="0" w:type="auto"/>
            <w:vAlign w:val="center"/>
          </w:tcPr>
          <w:p w:rsidR="000A156F" w:rsidRDefault="00A9721F">
            <w:pPr>
              <w:pStyle w:val="TableBodyText"/>
            </w:pPr>
            <w:r>
              <w:t>WindowList</w:t>
            </w:r>
          </w:p>
        </w:tc>
      </w:tr>
      <w:tr w:rsidR="000A156F" w:rsidTr="000A156F">
        <w:tc>
          <w:tcPr>
            <w:tcW w:w="0" w:type="auto"/>
            <w:vAlign w:val="center"/>
          </w:tcPr>
          <w:p w:rsidR="000A156F" w:rsidRDefault="00A9721F">
            <w:pPr>
              <w:pStyle w:val="TableBodyText"/>
            </w:pPr>
            <w:r>
              <w:t>WindowPane</w:t>
            </w:r>
          </w:p>
        </w:tc>
      </w:tr>
      <w:tr w:rsidR="000A156F" w:rsidTr="000A156F">
        <w:tc>
          <w:tcPr>
            <w:tcW w:w="0" w:type="auto"/>
            <w:vAlign w:val="center"/>
          </w:tcPr>
          <w:p w:rsidR="000A156F" w:rsidRDefault="00A9721F">
            <w:pPr>
              <w:pStyle w:val="TableBodyText"/>
            </w:pPr>
            <w:r>
              <w:t>WordLeft</w:t>
            </w:r>
          </w:p>
        </w:tc>
      </w:tr>
      <w:tr w:rsidR="000A156F" w:rsidTr="000A156F">
        <w:tc>
          <w:tcPr>
            <w:tcW w:w="0" w:type="auto"/>
            <w:vAlign w:val="center"/>
          </w:tcPr>
          <w:p w:rsidR="000A156F" w:rsidRDefault="00A9721F">
            <w:pPr>
              <w:pStyle w:val="TableBodyText"/>
            </w:pPr>
            <w:r>
              <w:t>WordRight</w:t>
            </w:r>
          </w:p>
        </w:tc>
      </w:tr>
      <w:tr w:rsidR="000A156F" w:rsidTr="000A156F">
        <w:tc>
          <w:tcPr>
            <w:tcW w:w="0" w:type="auto"/>
            <w:vAlign w:val="center"/>
          </w:tcPr>
          <w:p w:rsidR="000A156F" w:rsidRDefault="00A9721F">
            <w:pPr>
              <w:pStyle w:val="TableBodyText"/>
            </w:pPr>
            <w:r>
              <w:t>WordUnderline</w:t>
            </w:r>
          </w:p>
        </w:tc>
      </w:tr>
      <w:tr w:rsidR="000A156F" w:rsidTr="000A156F">
        <w:tc>
          <w:tcPr>
            <w:tcW w:w="0" w:type="auto"/>
            <w:vAlign w:val="center"/>
          </w:tcPr>
          <w:p w:rsidR="000A156F" w:rsidRDefault="00A9721F">
            <w:pPr>
              <w:pStyle w:val="TableBodyText"/>
            </w:pPr>
            <w:r>
              <w:t>WriteDBS</w:t>
            </w:r>
          </w:p>
        </w:tc>
      </w:tr>
      <w:tr w:rsidR="000A156F" w:rsidTr="000A156F">
        <w:tc>
          <w:tcPr>
            <w:tcW w:w="0" w:type="auto"/>
            <w:vAlign w:val="center"/>
          </w:tcPr>
          <w:p w:rsidR="000A156F" w:rsidRDefault="00A9721F">
            <w:pPr>
              <w:pStyle w:val="TableBodyText"/>
            </w:pPr>
            <w:r>
              <w:t>XAsc</w:t>
            </w:r>
          </w:p>
        </w:tc>
      </w:tr>
      <w:tr w:rsidR="000A156F" w:rsidTr="000A156F">
        <w:tc>
          <w:tcPr>
            <w:tcW w:w="0" w:type="auto"/>
            <w:vAlign w:val="center"/>
          </w:tcPr>
          <w:p w:rsidR="000A156F" w:rsidRDefault="00A9721F">
            <w:pPr>
              <w:pStyle w:val="TableBodyText"/>
            </w:pPr>
            <w:r>
              <w:t>Year</w:t>
            </w:r>
          </w:p>
        </w:tc>
      </w:tr>
      <w:tr w:rsidR="000A156F" w:rsidTr="000A156F">
        <w:tc>
          <w:tcPr>
            <w:tcW w:w="0" w:type="auto"/>
            <w:vAlign w:val="center"/>
          </w:tcPr>
          <w:p w:rsidR="000A156F" w:rsidRDefault="00A9721F">
            <w:pPr>
              <w:pStyle w:val="TableBodyText"/>
            </w:pPr>
            <w:r>
              <w:t>ZoomMouseSettings</w:t>
            </w:r>
          </w:p>
        </w:tc>
      </w:tr>
      <w:tr w:rsidR="000A156F" w:rsidTr="000A156F">
        <w:tc>
          <w:tcPr>
            <w:tcW w:w="0" w:type="auto"/>
            <w:vAlign w:val="center"/>
          </w:tcPr>
          <w:p w:rsidR="000A156F" w:rsidRDefault="00A9721F">
            <w:pPr>
              <w:pStyle w:val="TableBodyText"/>
            </w:pPr>
            <w:r>
              <w:t>wdAddCommand</w:t>
            </w:r>
          </w:p>
        </w:tc>
      </w:tr>
      <w:tr w:rsidR="000A156F" w:rsidTr="000A156F">
        <w:tc>
          <w:tcPr>
            <w:tcW w:w="0" w:type="auto"/>
            <w:vAlign w:val="center"/>
          </w:tcPr>
          <w:p w:rsidR="000A156F" w:rsidRDefault="00A9721F">
            <w:pPr>
              <w:pStyle w:val="TableBodyText"/>
            </w:pPr>
            <w:r>
              <w:lastRenderedPageBreak/>
              <w:t>wdCaptureKeyDown</w:t>
            </w:r>
          </w:p>
        </w:tc>
      </w:tr>
      <w:tr w:rsidR="000A156F" w:rsidTr="000A156F">
        <w:tc>
          <w:tcPr>
            <w:tcW w:w="0" w:type="auto"/>
            <w:vAlign w:val="center"/>
          </w:tcPr>
          <w:p w:rsidR="000A156F" w:rsidRDefault="00A9721F">
            <w:pPr>
              <w:pStyle w:val="TableBodyText"/>
            </w:pPr>
            <w:r>
              <w:t>wdCloseWindow</w:t>
            </w:r>
          </w:p>
        </w:tc>
      </w:tr>
      <w:tr w:rsidR="000A156F" w:rsidTr="000A156F">
        <w:tc>
          <w:tcPr>
            <w:tcW w:w="0" w:type="auto"/>
            <w:vAlign w:val="center"/>
          </w:tcPr>
          <w:p w:rsidR="000A156F" w:rsidRDefault="00A9721F">
            <w:pPr>
              <w:pStyle w:val="TableBodyText"/>
            </w:pPr>
            <w:r>
              <w:t>wdEndDialog</w:t>
            </w:r>
          </w:p>
        </w:tc>
      </w:tr>
      <w:tr w:rsidR="000A156F" w:rsidTr="000A156F">
        <w:tc>
          <w:tcPr>
            <w:tcW w:w="0" w:type="auto"/>
            <w:vAlign w:val="center"/>
          </w:tcPr>
          <w:p w:rsidR="000A156F" w:rsidRDefault="00A9721F">
            <w:pPr>
              <w:pStyle w:val="TableBodyText"/>
            </w:pPr>
            <w:r>
              <w:t>wdFontWidth</w:t>
            </w:r>
          </w:p>
        </w:tc>
      </w:tr>
      <w:tr w:rsidR="000A156F" w:rsidTr="000A156F">
        <w:tc>
          <w:tcPr>
            <w:tcW w:w="0" w:type="auto"/>
            <w:vAlign w:val="center"/>
          </w:tcPr>
          <w:p w:rsidR="000A156F" w:rsidRDefault="00A9721F">
            <w:pPr>
              <w:pStyle w:val="TableBodyText"/>
            </w:pPr>
            <w:r>
              <w:t>wdGetHwnd</w:t>
            </w:r>
          </w:p>
        </w:tc>
      </w:tr>
      <w:tr w:rsidR="000A156F" w:rsidTr="000A156F">
        <w:tc>
          <w:tcPr>
            <w:tcW w:w="0" w:type="auto"/>
            <w:vAlign w:val="center"/>
          </w:tcPr>
          <w:p w:rsidR="000A156F" w:rsidRDefault="00A9721F">
            <w:pPr>
              <w:pStyle w:val="TableBodyText"/>
            </w:pPr>
            <w:r>
              <w:t>wdGetInst</w:t>
            </w:r>
          </w:p>
        </w:tc>
      </w:tr>
      <w:tr w:rsidR="000A156F" w:rsidTr="000A156F">
        <w:tc>
          <w:tcPr>
            <w:tcW w:w="0" w:type="auto"/>
            <w:vAlign w:val="center"/>
          </w:tcPr>
          <w:p w:rsidR="000A156F" w:rsidRDefault="00A9721F">
            <w:pPr>
              <w:pStyle w:val="TableBodyText"/>
            </w:pPr>
            <w:r>
              <w:t>wdOpenWindow</w:t>
            </w:r>
          </w:p>
        </w:tc>
      </w:tr>
      <w:tr w:rsidR="000A156F" w:rsidTr="000A156F">
        <w:tc>
          <w:tcPr>
            <w:tcW w:w="0" w:type="auto"/>
            <w:vAlign w:val="center"/>
          </w:tcPr>
          <w:p w:rsidR="000A156F" w:rsidRDefault="00A9721F">
            <w:pPr>
              <w:pStyle w:val="TableBodyText"/>
            </w:pPr>
            <w:r>
              <w:t>wdPrint</w:t>
            </w:r>
          </w:p>
        </w:tc>
      </w:tr>
      <w:tr w:rsidR="000A156F" w:rsidTr="000A156F">
        <w:tc>
          <w:tcPr>
            <w:tcW w:w="0" w:type="auto"/>
            <w:vAlign w:val="center"/>
          </w:tcPr>
          <w:p w:rsidR="000A156F" w:rsidRDefault="00A9721F">
            <w:pPr>
              <w:pStyle w:val="TableBodyText"/>
            </w:pPr>
            <w:r>
              <w:t>wdReleaseKeyDown</w:t>
            </w:r>
          </w:p>
        </w:tc>
      </w:tr>
      <w:tr w:rsidR="000A156F" w:rsidTr="000A156F">
        <w:tc>
          <w:tcPr>
            <w:tcW w:w="0" w:type="auto"/>
            <w:vAlign w:val="center"/>
          </w:tcPr>
          <w:p w:rsidR="000A156F" w:rsidRDefault="00A9721F">
            <w:pPr>
              <w:pStyle w:val="TableBodyText"/>
            </w:pPr>
            <w:r>
              <w:t>wdSetTimer</w:t>
            </w:r>
          </w:p>
        </w:tc>
      </w:tr>
      <w:tr w:rsidR="000A156F" w:rsidTr="000A156F">
        <w:tc>
          <w:tcPr>
            <w:tcW w:w="0" w:type="auto"/>
            <w:vAlign w:val="center"/>
          </w:tcPr>
          <w:p w:rsidR="000A156F" w:rsidRDefault="00A9721F">
            <w:pPr>
              <w:pStyle w:val="TableBodyText"/>
            </w:pPr>
            <w:r>
              <w:t>wdToolsGetHHC</w:t>
            </w:r>
          </w:p>
        </w:tc>
      </w:tr>
      <w:tr w:rsidR="000A156F" w:rsidTr="000A156F">
        <w:tc>
          <w:tcPr>
            <w:tcW w:w="0" w:type="auto"/>
            <w:vAlign w:val="center"/>
          </w:tcPr>
          <w:p w:rsidR="000A156F" w:rsidRDefault="00A9721F">
            <w:pPr>
              <w:pStyle w:val="TableBodyText"/>
            </w:pPr>
            <w:r>
              <w:t>wdToolsGetSpelling</w:t>
            </w:r>
          </w:p>
        </w:tc>
      </w:tr>
      <w:tr w:rsidR="000A156F" w:rsidTr="000A156F">
        <w:tc>
          <w:tcPr>
            <w:tcW w:w="0" w:type="auto"/>
            <w:vAlign w:val="center"/>
          </w:tcPr>
          <w:p w:rsidR="000A156F" w:rsidRDefault="00A9721F">
            <w:pPr>
              <w:pStyle w:val="TableBodyText"/>
            </w:pPr>
            <w:r>
              <w:t>wdToolsGetSpellingXtra</w:t>
            </w:r>
          </w:p>
        </w:tc>
      </w:tr>
      <w:tr w:rsidR="000A156F" w:rsidTr="000A156F">
        <w:tc>
          <w:tcPr>
            <w:tcW w:w="0" w:type="auto"/>
            <w:vAlign w:val="center"/>
          </w:tcPr>
          <w:p w:rsidR="000A156F" w:rsidRDefault="00A9721F">
            <w:pPr>
              <w:pStyle w:val="TableBodyText"/>
            </w:pPr>
            <w:r>
              <w:t>wdToolsGetSynonyms</w:t>
            </w:r>
          </w:p>
        </w:tc>
      </w:tr>
    </w:tbl>
    <w:p w:rsidR="000A156F" w:rsidRDefault="000A156F"/>
    <w:p w:rsidR="000A156F" w:rsidRDefault="00A9721F">
      <w:pPr>
        <w:pStyle w:val="Heading4"/>
      </w:pPr>
      <w:bookmarkStart w:id="3865" w:name="section_f6ef0c485e3542599919c0351df4ad37"/>
      <w:bookmarkStart w:id="3866" w:name="_Toc181684958"/>
      <w:r>
        <w:t>Mail Merge</w:t>
      </w:r>
      <w:bookmarkEnd w:id="3865"/>
      <w:bookmarkEnd w:id="3866"/>
      <w:r>
        <w:fldChar w:fldCharType="begin"/>
      </w:r>
      <w:r>
        <w:instrText xml:space="preserve"> XE "Mail Merge" </w:instrText>
      </w:r>
      <w:r>
        <w:fldChar w:fldCharType="end"/>
      </w:r>
    </w:p>
    <w:p w:rsidR="000A156F" w:rsidRDefault="00A9721F">
      <w:r>
        <w:t>The following clauses specify the semantics used to facilitate the mail merge feature in Word.</w:t>
      </w:r>
    </w:p>
    <w:p w:rsidR="000A156F" w:rsidRDefault="00A9721F">
      <w:pPr>
        <w:pStyle w:val="Heading5"/>
      </w:pPr>
      <w:bookmarkStart w:id="3867" w:name="section_4d80b565c0b44930b0c2e350f8f1237c"/>
      <w:bookmarkStart w:id="3868" w:name="_Toc181684959"/>
      <w:r>
        <w:t>Elements</w:t>
      </w:r>
      <w:bookmarkEnd w:id="3867"/>
      <w:bookmarkEnd w:id="3868"/>
    </w:p>
    <w:p w:rsidR="000A156F" w:rsidRDefault="00A9721F">
      <w:pPr>
        <w:pStyle w:val="Heading6"/>
      </w:pPr>
      <w:bookmarkStart w:id="3869" w:name="section_b1588c0913964016a2ea78ce84a81a8e"/>
      <w:bookmarkStart w:id="3870" w:name="_Toc181684960"/>
      <w:r>
        <w:t>hash (Hash Code for Record)</w:t>
      </w:r>
      <w:bookmarkEnd w:id="3869"/>
      <w:bookmarkEnd w:id="3870"/>
      <w:r>
        <w:fldChar w:fldCharType="begin"/>
      </w:r>
      <w:r>
        <w:instrText xml:space="preserve"> XE "hash (Hash Code for Record)" </w:instrText>
      </w:r>
      <w:r>
        <w:fldChar w:fldCharType="end"/>
      </w:r>
    </w:p>
    <w:p w:rsidR="000A156F" w:rsidRDefault="00A9721F">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0A156F" w:rsidRDefault="00A9721F">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0A156F" w:rsidRDefault="00A9721F">
      <w:r>
        <w:t>Utility function 1:</w:t>
      </w:r>
    </w:p>
    <w:p w:rsidR="000A156F" w:rsidRDefault="00A9721F">
      <w:r>
        <w:t>#define nPrimeLast 4294967291</w:t>
      </w:r>
    </w:p>
    <w:p w:rsidR="000A156F" w:rsidRDefault="00A9721F">
      <w:r>
        <w:t>__int32 LHashMM( __int32 l, __int32 dl )</w:t>
      </w:r>
    </w:p>
    <w:p w:rsidR="000A156F" w:rsidRDefault="00A9721F">
      <w:r>
        <w:t>{</w:t>
      </w:r>
    </w:p>
    <w:p w:rsidR="000A156F" w:rsidRDefault="00A9721F">
      <w:r>
        <w:t xml:space="preserve">        l = 131 * l + dl;</w:t>
      </w:r>
    </w:p>
    <w:p w:rsidR="000A156F" w:rsidRDefault="00A9721F">
      <w:r>
        <w:t xml:space="preserve">        if (l &gt;= nPrimeLast) {</w:t>
      </w:r>
    </w:p>
    <w:p w:rsidR="000A156F" w:rsidRDefault="00A9721F">
      <w:r>
        <w:t xml:space="preserve">                l -= nPrimeLast;</w:t>
      </w:r>
    </w:p>
    <w:p w:rsidR="000A156F" w:rsidRDefault="00A9721F">
      <w:r>
        <w:t xml:space="preserve">        }</w:t>
      </w:r>
    </w:p>
    <w:p w:rsidR="000A156F" w:rsidRDefault="00A9721F">
      <w:r>
        <w:lastRenderedPageBreak/>
        <w:t xml:space="preserve">        return l;</w:t>
      </w:r>
    </w:p>
    <w:p w:rsidR="000A156F" w:rsidRDefault="00A9721F">
      <w:r>
        <w:t>}</w:t>
      </w:r>
    </w:p>
    <w:p w:rsidR="000A156F" w:rsidRDefault="00A9721F">
      <w:r>
        <w:t>Utility function 2:</w:t>
      </w:r>
    </w:p>
    <w:p w:rsidR="000A156F" w:rsidRDefault="00A9721F">
      <w:r>
        <w:t>__int32 LGetH</w:t>
      </w:r>
      <w:r>
        <w:t>ashWz(const WCHAR *wzText)</w:t>
      </w:r>
    </w:p>
    <w:p w:rsidR="000A156F" w:rsidRDefault="00A9721F">
      <w:r>
        <w:t>{</w:t>
      </w:r>
    </w:p>
    <w:p w:rsidR="000A156F" w:rsidRDefault="00A9721F">
      <w:r>
        <w:t xml:space="preserve">        int cch = lstrlen(wzText);</w:t>
      </w:r>
    </w:p>
    <w:p w:rsidR="000A156F" w:rsidRDefault="00A9721F">
      <w:r>
        <w:t xml:space="preserve">        __int32 lhash = 0L;</w:t>
      </w:r>
    </w:p>
    <w:p w:rsidR="000A156F" w:rsidRDefault="00A9721F">
      <w:r>
        <w:t xml:space="preserve">        for (int i = 0; i &lt; cch; i++) {</w:t>
      </w:r>
    </w:p>
    <w:p w:rsidR="000A156F" w:rsidRDefault="00A9721F">
      <w:r>
        <w:t xml:space="preserve">                lhash = LHashMM(lhash, wzText[i]);</w:t>
      </w:r>
    </w:p>
    <w:p w:rsidR="000A156F" w:rsidRDefault="00A9721F">
      <w:r>
        <w:t xml:space="preserve">        }</w:t>
      </w:r>
    </w:p>
    <w:p w:rsidR="000A156F" w:rsidRDefault="00A9721F">
      <w:r>
        <w:t xml:space="preserve">        return lhash;</w:t>
      </w:r>
    </w:p>
    <w:p w:rsidR="000A156F" w:rsidRDefault="00A9721F">
      <w:r>
        <w:t>}</w:t>
      </w:r>
    </w:p>
    <w:p w:rsidR="000A156F" w:rsidRDefault="00A9721F">
      <w:r>
        <w:t>Hash Algorithm:</w:t>
      </w:r>
    </w:p>
    <w:p w:rsidR="000A156F" w:rsidRDefault="00A9721F">
      <w:r>
        <w:t>__int32 lwHash = 0L;</w:t>
      </w:r>
    </w:p>
    <w:p w:rsidR="000A156F" w:rsidRDefault="00A9721F">
      <w:r>
        <w:t>for(int i = 0; i &lt; TotalNumberOfColumnsInTheDataSource; i++) {</w:t>
      </w:r>
    </w:p>
    <w:p w:rsidR="000A156F" w:rsidRDefault="00A9721F">
      <w:r>
        <w:t xml:space="preserve">        Retrieve the value in the i-th column of this record as a Unicode String wzData;</w:t>
      </w:r>
    </w:p>
    <w:p w:rsidR="000A156F" w:rsidRDefault="00A9721F">
      <w:r>
        <w:t xml:space="preserve">        __int32 l = LGetHashWz(wzData);</w:t>
      </w:r>
    </w:p>
    <w:p w:rsidR="000A156F" w:rsidRDefault="00A9721F">
      <w:r>
        <w:t xml:space="preserve">        if(l) {</w:t>
      </w:r>
    </w:p>
    <w:p w:rsidR="000A156F" w:rsidRDefault="00A9721F">
      <w:r>
        <w:t xml:space="preserve">                lwHash = LHashMM(lwHash, l);</w:t>
      </w:r>
    </w:p>
    <w:p w:rsidR="000A156F" w:rsidRDefault="00A9721F">
      <w:r>
        <w:t xml:space="preserve">   </w:t>
      </w:r>
      <w:r>
        <w:t xml:space="preserve">     }</w:t>
      </w:r>
    </w:p>
    <w:p w:rsidR="000A156F" w:rsidRDefault="00A9721F">
      <w:r>
        <w:t>}</w:t>
      </w:r>
    </w:p>
    <w:p w:rsidR="000A156F" w:rsidRDefault="00A9721F">
      <w:r>
        <w:t>return lwHash as the computed hash for this record;</w:t>
      </w:r>
    </w:p>
    <w:p w:rsidR="000A156F" w:rsidRDefault="00A9721F">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irrespecti</w:t>
      </w:r>
      <w:r>
        <w:t xml:space="preserve">ve of the ordering of the records within the external data source. end note] </w:t>
      </w:r>
    </w:p>
    <w:p w:rsidR="000A156F" w:rsidRDefault="00A9721F">
      <w:r>
        <w:t>[Example: Consider the following WordprocessingML fragment for the information about a single record in a source document for a mail merge:</w:t>
      </w:r>
    </w:p>
    <w:p w:rsidR="000A156F" w:rsidRDefault="00A9721F">
      <w:pPr>
        <w:pStyle w:val="Code"/>
      </w:pPr>
      <w:r>
        <w:t>&lt;w:recipientData&gt;</w:t>
      </w:r>
    </w:p>
    <w:p w:rsidR="000A156F" w:rsidRDefault="00A9721F">
      <w:pPr>
        <w:pStyle w:val="Code"/>
      </w:pPr>
      <w:r>
        <w:t>  &lt;w:active w:val="0</w:t>
      </w:r>
      <w:r>
        <w:t>" /&gt;</w:t>
      </w:r>
    </w:p>
    <w:p w:rsidR="000A156F" w:rsidRDefault="00A9721F">
      <w:pPr>
        <w:pStyle w:val="Code"/>
      </w:pPr>
      <w:r>
        <w:t xml:space="preserve">  &lt;w:hash w:val="258865469" /&gt; </w:t>
      </w:r>
    </w:p>
    <w:p w:rsidR="000A156F" w:rsidRDefault="00A9721F">
      <w:pPr>
        <w:pStyle w:val="Code"/>
      </w:pPr>
      <w:r>
        <w:t>&lt;/w:recipientData&gt;</w:t>
      </w:r>
    </w:p>
    <w:p w:rsidR="000A156F" w:rsidRDefault="00A9721F">
      <w:r>
        <w:t xml:space="preserve">The external data record associated with this information is specified via the hash value 258865469. This record will not be imported into the merged WordprocessingML document because the </w:t>
      </w:r>
      <w:r>
        <w:rPr>
          <w:b/>
        </w:rPr>
        <w:t>active</w:t>
      </w:r>
      <w:r>
        <w:t xml:space="preserve"> element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w:t>
      </w:r>
      <w:r>
        <w:t>ed fields in a merged document with data from that record. end example]</w:t>
      </w:r>
    </w:p>
    <w:tbl>
      <w:tblPr>
        <w:tblStyle w:val="Table-ShadedHeader"/>
        <w:tblW w:w="0" w:type="auto"/>
        <w:tblLook w:val="04A0" w:firstRow="1" w:lastRow="0" w:firstColumn="1" w:lastColumn="0" w:noHBand="0" w:noVBand="1"/>
      </w:tblPr>
      <w:tblGrid>
        <w:gridCol w:w="38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recipientData</w:t>
            </w:r>
            <w:r>
              <w:t xml:space="preserve"> (§</w:t>
            </w:r>
            <w:hyperlink w:anchor="Section_cae9abfd7956464e9f841af5c3c4433d">
              <w:r>
                <w:rPr>
                  <w:rStyle w:val="Hyperlink"/>
                </w:rPr>
                <w:t>3.1.2.2.1.2, recipientData</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135"/>
        <w:gridCol w:w="834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val</w:t>
            </w:r>
            <w:r>
              <w:t xml:space="preserve"> ()</w:t>
            </w:r>
          </w:p>
        </w:tc>
        <w:tc>
          <w:tcPr>
            <w:tcW w:w="0" w:type="auto"/>
            <w:vAlign w:val="center"/>
          </w:tcPr>
          <w:p w:rsidR="000A156F" w:rsidRDefault="000A156F">
            <w:pPr>
              <w:pStyle w:val="TableBodyText"/>
            </w:pPr>
          </w:p>
          <w:p w:rsidR="000A156F" w:rsidRDefault="00A9721F">
            <w:pPr>
              <w:pStyle w:val="TableBodyText"/>
            </w:pPr>
            <w:r>
              <w:t xml:space="preserve">The possible values for </w:t>
            </w:r>
            <w:r>
              <w:t>this attribute are defined by the ST_DecimalNumber simple type (§</w:t>
            </w:r>
            <w:hyperlink w:anchor="Section_9168633928aa4e54acbd77bc5c69d9d2">
              <w:r>
                <w:rPr>
                  <w:rStyle w:val="Hyperlink"/>
                </w:rPr>
                <w:t>3.1.2.3.1, ST_DecimalNumber</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&lt;complexType name="CT_De</w:t>
      </w:r>
      <w:r>
        <w:t>cimalNumber"&gt;</w:t>
      </w:r>
    </w:p>
    <w:p w:rsidR="000A156F" w:rsidRDefault="00A9721F">
      <w:pPr>
        <w:pStyle w:val="Code"/>
      </w:pPr>
      <w:r>
        <w:t xml:space="preserve">  &lt;attribute name="val" type="ST_DecimalNumber" use="required"/&gt;</w:t>
      </w:r>
    </w:p>
    <w:p w:rsidR="000A156F" w:rsidRDefault="00A9721F">
      <w:pPr>
        <w:pStyle w:val="Code"/>
      </w:pPr>
      <w:r>
        <w:t>&lt;/complexType&gt;</w:t>
      </w:r>
    </w:p>
    <w:p w:rsidR="000A156F" w:rsidRDefault="00A9721F">
      <w:pPr>
        <w:pStyle w:val="Heading6"/>
      </w:pPr>
      <w:bookmarkStart w:id="3871" w:name="section_cae9abfd7956464e9f841af5c3c4433d"/>
      <w:bookmarkStart w:id="3872" w:name="_Toc181684961"/>
      <w:r>
        <w:t>recipientData (Data About Single Data Source Record)</w:t>
      </w:r>
      <w:bookmarkEnd w:id="3871"/>
      <w:bookmarkEnd w:id="3872"/>
      <w:r>
        <w:fldChar w:fldCharType="begin"/>
      </w:r>
      <w:r>
        <w:instrText xml:space="preserve"> XE "recipientData (Data About Single Data Source Record)" </w:instrText>
      </w:r>
      <w:r>
        <w:fldChar w:fldCharType="end"/>
      </w:r>
    </w:p>
    <w:p w:rsidR="000A156F" w:rsidRDefault="00A9721F">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0A156F" w:rsidRDefault="00A9721F">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0A156F" w:rsidRDefault="00A9721F">
      <w:r>
        <w:t>[Example: Consider a mail merge source WordprocessingML document that:</w:t>
      </w:r>
    </w:p>
    <w:p w:rsidR="000A156F" w:rsidRDefault="00A9721F">
      <w:r>
        <w:t xml:space="preserve">Has been connected to a specified external data source containing three records; and </w:t>
      </w:r>
    </w:p>
    <w:p w:rsidR="000A156F" w:rsidRDefault="00A9721F">
      <w:r>
        <w:t>Has been configured by the hosting application to not populate a merged document with the recor</w:t>
      </w:r>
      <w:r>
        <w:t xml:space="preserve">d pertaining to </w:t>
      </w:r>
      <w:r>
        <w:rPr>
          <w:i/>
        </w:rPr>
        <w:t>John Smith</w:t>
      </w:r>
      <w:r>
        <w:t xml:space="preserve"> in the external data source.</w:t>
      </w:r>
    </w:p>
    <w:p w:rsidR="000A156F" w:rsidRDefault="00A9721F">
      <w:r>
        <w:t xml:space="preserve">Consider also that the first time the given WordprocessingML document was connected to the external data source, </w:t>
      </w:r>
      <w:r>
        <w:rPr>
          <w:i/>
        </w:rPr>
        <w:t>John Smith</w:t>
      </w:r>
      <w:r>
        <w:t xml:space="preserve">'s record was in the second record in the data source. </w:t>
      </w:r>
    </w:p>
    <w:p w:rsidR="000A156F" w:rsidRDefault="00A9721F">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0A156F" w:rsidRDefault="00A9721F">
      <w:pPr>
        <w:pStyle w:val="Code"/>
      </w:pPr>
      <w:r>
        <w:t>&lt;w:recipientData&gt;</w:t>
      </w:r>
    </w:p>
    <w:p w:rsidR="000A156F" w:rsidRDefault="00A9721F">
      <w:pPr>
        <w:pStyle w:val="Code"/>
      </w:pPr>
      <w:r>
        <w:t xml:space="preserve">  &lt;w:hash w:val="1408613399" /&gt; </w:t>
      </w:r>
    </w:p>
    <w:p w:rsidR="000A156F" w:rsidRDefault="00A9721F">
      <w:pPr>
        <w:pStyle w:val="Code"/>
      </w:pPr>
      <w:r>
        <w:t>&lt;/w:recipientData&gt;</w:t>
      </w:r>
    </w:p>
    <w:p w:rsidR="000A156F" w:rsidRDefault="00A9721F">
      <w:pPr>
        <w:pStyle w:val="Code"/>
      </w:pPr>
      <w:r>
        <w:t>&lt;w:recipientData&gt;</w:t>
      </w:r>
    </w:p>
    <w:p w:rsidR="000A156F" w:rsidRDefault="00A9721F">
      <w:pPr>
        <w:pStyle w:val="Code"/>
      </w:pPr>
      <w:r>
        <w:t xml:space="preserve">  &lt;w:active w:val="0" /&gt;</w:t>
      </w:r>
    </w:p>
    <w:p w:rsidR="000A156F" w:rsidRDefault="00A9721F">
      <w:pPr>
        <w:pStyle w:val="Code"/>
      </w:pPr>
      <w:r>
        <w:t>  &lt;w:hash w:val="87025469</w:t>
      </w:r>
      <w:r>
        <w:t xml:space="preserve">1" /&gt; </w:t>
      </w:r>
    </w:p>
    <w:p w:rsidR="000A156F" w:rsidRDefault="00A9721F">
      <w:pPr>
        <w:pStyle w:val="Code"/>
      </w:pPr>
      <w:r>
        <w:t>&lt;/w:recipientData&gt;</w:t>
      </w:r>
    </w:p>
    <w:p w:rsidR="000A156F" w:rsidRDefault="00A9721F">
      <w:pPr>
        <w:pStyle w:val="Code"/>
      </w:pPr>
      <w:r>
        <w:t>&lt;w:recipientData&gt;</w:t>
      </w:r>
    </w:p>
    <w:p w:rsidR="000A156F" w:rsidRDefault="00A9721F">
      <w:pPr>
        <w:pStyle w:val="Code"/>
      </w:pPr>
      <w:r>
        <w:t xml:space="preserve">  &lt;w:hash w:val="1107777181" /&gt; </w:t>
      </w:r>
    </w:p>
    <w:p w:rsidR="000A156F" w:rsidRDefault="00A9721F">
      <w:pPr>
        <w:pStyle w:val="Code"/>
      </w:pPr>
      <w:r>
        <w:t>&lt;/w:recipientData&gt;</w:t>
      </w:r>
    </w:p>
    <w:p w:rsidR="000A156F" w:rsidRDefault="00A9721F">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0A156F" w:rsidRDefault="00A9721F">
      <w:r>
        <w:t>With these associations in place, if a fou</w:t>
      </w:r>
      <w:r>
        <w:t>rth record is added to the given external data source and that record precedes John Smith's record, when the given merged WordprocessingML document is reconnected to the external data source, the hosting application will still know that John Smith's record</w:t>
      </w:r>
      <w:r>
        <w:t xml:space="preserve"> shall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recipients</w:t>
            </w:r>
            <w:r>
              <w:t xml:space="preserve"> (§</w:t>
            </w:r>
            <w:hyperlink w:anchor="Section_bf48d2d283e747cfa5e797caf8346fd8">
              <w:r>
                <w:rPr>
                  <w:rStyle w:val="Hyperlink"/>
                </w:rPr>
                <w:t>3.1.2.2.1.3, recipients</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607"/>
        <w:gridCol w:w="182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active</w:t>
            </w:r>
            <w:r>
              <w:t xml:space="preserve"> (Record Is Included in Mail Merge)</w:t>
            </w:r>
          </w:p>
        </w:tc>
        <w:tc>
          <w:tcPr>
            <w:tcW w:w="0" w:type="auto"/>
            <w:vAlign w:val="center"/>
          </w:tcPr>
          <w:p w:rsidR="000A156F" w:rsidRDefault="00A9721F">
            <w:pPr>
              <w:pStyle w:val="TableBodyText"/>
            </w:pPr>
            <w:r>
              <w:t>§3.1.2.1.1.6, active</w:t>
            </w:r>
          </w:p>
        </w:tc>
      </w:tr>
      <w:tr w:rsidR="000A156F" w:rsidTr="000A156F">
        <w:tc>
          <w:tcPr>
            <w:tcW w:w="0" w:type="auto"/>
            <w:vAlign w:val="center"/>
          </w:tcPr>
          <w:p w:rsidR="000A156F" w:rsidRDefault="00A9721F">
            <w:pPr>
              <w:pStyle w:val="TableBodyText"/>
            </w:pPr>
            <w:r>
              <w:rPr>
                <w:b/>
              </w:rPr>
              <w:t>hash</w:t>
            </w:r>
            <w:r>
              <w:t xml:space="preserve"> (Hash Code for Record)</w:t>
            </w:r>
          </w:p>
        </w:tc>
        <w:tc>
          <w:tcPr>
            <w:tcW w:w="0" w:type="auto"/>
            <w:vAlign w:val="center"/>
          </w:tcPr>
          <w:p w:rsidR="000A156F" w:rsidRDefault="00A9721F">
            <w:pPr>
              <w:pStyle w:val="TableBodyText"/>
            </w:pPr>
            <w:r>
              <w:t>§</w:t>
            </w:r>
            <w:hyperlink w:anchor="Section_b1588c0913964016a2ea78ce84a81a8e">
              <w:r>
                <w:rPr>
                  <w:rStyle w:val="Hyperlink"/>
                </w:rPr>
                <w:t>3.1.2.2.1.1, hash</w:t>
              </w:r>
            </w:hyperlink>
          </w:p>
        </w:tc>
      </w:tr>
    </w:tbl>
    <w:p w:rsidR="000A156F" w:rsidRDefault="000A156F"/>
    <w:p w:rsidR="000A156F" w:rsidRDefault="00A9721F">
      <w:r>
        <w:t>The following XML Schema fragment defines the contents of this element:</w:t>
      </w:r>
    </w:p>
    <w:p w:rsidR="000A156F" w:rsidRDefault="00A9721F">
      <w:pPr>
        <w:pStyle w:val="Code"/>
      </w:pPr>
      <w:r>
        <w:t>&lt;complexType name="CT_HashedRecipientData"&gt;</w:t>
      </w:r>
    </w:p>
    <w:p w:rsidR="000A156F" w:rsidRDefault="00A9721F">
      <w:pPr>
        <w:pStyle w:val="Code"/>
      </w:pPr>
      <w:r>
        <w:t xml:space="preserve">  &lt;sequence&gt;</w:t>
      </w:r>
    </w:p>
    <w:p w:rsidR="000A156F" w:rsidRDefault="00A9721F">
      <w:pPr>
        <w:pStyle w:val="Code"/>
      </w:pPr>
      <w:r>
        <w:t xml:space="preserve">    &lt;element name="active" type="CT_OnOff" minOccurs="0"/&gt;</w:t>
      </w:r>
    </w:p>
    <w:p w:rsidR="000A156F" w:rsidRDefault="00A9721F">
      <w:pPr>
        <w:pStyle w:val="Code"/>
      </w:pPr>
      <w:r>
        <w:t xml:space="preserve">    &lt;</w:t>
      </w:r>
      <w:r>
        <w:t>element name="hash" type="CT_DecimalNumber" minOccurs="1"/&gt;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3873" w:name="section_bf48d2d283e747cfa5e797caf8346fd8"/>
      <w:bookmarkStart w:id="3874" w:name="_Toc181684962"/>
      <w:r>
        <w:t>recipients (Inclusion/Exclusion Data for Data Source)</w:t>
      </w:r>
      <w:bookmarkEnd w:id="3873"/>
      <w:bookmarkEnd w:id="3874"/>
      <w:r>
        <w:fldChar w:fldCharType="begin"/>
      </w:r>
      <w:r>
        <w:instrText xml:space="preserve"> XE "recipients (Inclusion/Exclusion Data for Data Source)" </w:instrText>
      </w:r>
      <w:r>
        <w:fldChar w:fldCharType="end"/>
      </w:r>
    </w:p>
    <w:p w:rsidR="000A156F" w:rsidRDefault="00A9721F">
      <w:r>
        <w:t>This element specifies all of the inclusion/exclusi</w:t>
      </w:r>
      <w:r>
        <w:t>on data for the contents of the specified mail merge data source. It is the root element for the Mail Merge Recipient Data part.</w:t>
      </w:r>
    </w:p>
    <w:p w:rsidR="000A156F" w:rsidRDefault="00A9721F">
      <w:r>
        <w:t>[Example: Consider a document which is the source document for a mail merge operation. If two records of the three specified by</w:t>
      </w:r>
      <w:r>
        <w:t xml:space="preserve"> the data source were excluded from the mail merge, the resulting recipient data part would appear as follows:</w:t>
      </w:r>
    </w:p>
    <w:p w:rsidR="000A156F" w:rsidRDefault="00A9721F">
      <w:pPr>
        <w:pStyle w:val="Code"/>
      </w:pPr>
      <w:r>
        <w:lastRenderedPageBreak/>
        <w:t>&lt;w:recipients&gt;</w:t>
      </w:r>
    </w:p>
    <w:p w:rsidR="000A156F" w:rsidRDefault="00A9721F">
      <w:pPr>
        <w:pStyle w:val="Code"/>
      </w:pPr>
      <w:r>
        <w:t xml:space="preserve">  &lt;w:recipientData&gt;</w:t>
      </w:r>
    </w:p>
    <w:p w:rsidR="000A156F" w:rsidRDefault="00A9721F">
      <w:pPr>
        <w:pStyle w:val="Code"/>
      </w:pPr>
      <w:r>
        <w:t xml:space="preserve">    &lt;w:active w:val="false"/&gt;</w:t>
      </w:r>
    </w:p>
    <w:p w:rsidR="000A156F" w:rsidRDefault="00A9721F">
      <w:pPr>
        <w:pStyle w:val="Code"/>
      </w:pPr>
      <w:r>
        <w:t xml:space="preserve">    …</w:t>
      </w:r>
    </w:p>
    <w:p w:rsidR="000A156F" w:rsidRDefault="00A9721F">
      <w:pPr>
        <w:pStyle w:val="Code"/>
      </w:pPr>
      <w:r>
        <w:t xml:space="preserve">  &lt;/w:recipientData&gt;</w:t>
      </w:r>
    </w:p>
    <w:p w:rsidR="000A156F" w:rsidRDefault="00A9721F">
      <w:pPr>
        <w:pStyle w:val="Code"/>
      </w:pPr>
      <w:r>
        <w:t xml:space="preserve">  &lt;w:recipientData&gt;</w:t>
      </w:r>
    </w:p>
    <w:p w:rsidR="000A156F" w:rsidRDefault="00A9721F">
      <w:pPr>
        <w:pStyle w:val="Code"/>
      </w:pPr>
      <w:r>
        <w:t xml:space="preserve">    &lt;w:active w:val="false"/&gt;</w:t>
      </w:r>
    </w:p>
    <w:p w:rsidR="000A156F" w:rsidRDefault="00A9721F">
      <w:pPr>
        <w:pStyle w:val="Code"/>
      </w:pPr>
      <w:r>
        <w:t xml:space="preserve">   </w:t>
      </w:r>
      <w:r>
        <w:t xml:space="preserve"> …</w:t>
      </w:r>
    </w:p>
    <w:p w:rsidR="000A156F" w:rsidRDefault="00A9721F">
      <w:pPr>
        <w:pStyle w:val="Code"/>
      </w:pPr>
      <w:r>
        <w:t xml:space="preserve">  &lt;/w:recipientData&gt;</w:t>
      </w:r>
    </w:p>
    <w:p w:rsidR="000A156F" w:rsidRDefault="00A9721F">
      <w:pPr>
        <w:pStyle w:val="Code"/>
      </w:pPr>
      <w:r>
        <w:t xml:space="preserve">  &lt;w:recipientData&gt;</w:t>
      </w:r>
    </w:p>
    <w:p w:rsidR="000A156F" w:rsidRDefault="00A9721F">
      <w:pPr>
        <w:pStyle w:val="Code"/>
      </w:pPr>
      <w:r>
        <w:t xml:space="preserve">    …</w:t>
      </w:r>
    </w:p>
    <w:p w:rsidR="000A156F" w:rsidRDefault="00A9721F">
      <w:pPr>
        <w:pStyle w:val="Code"/>
      </w:pPr>
      <w:r>
        <w:t xml:space="preserve">  &lt;/w:recipientData&gt;</w:t>
      </w:r>
    </w:p>
    <w:p w:rsidR="000A156F" w:rsidRDefault="00A9721F">
      <w:pPr>
        <w:pStyle w:val="Code"/>
      </w:pPr>
      <w:r>
        <w:t>&lt;/w:recipients&gt;</w:t>
      </w:r>
    </w:p>
    <w:p w:rsidR="000A156F" w:rsidRDefault="00A9721F">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recipientData</w:t>
            </w:r>
            <w:r>
              <w:t xml:space="preserve"> (Data About Single Data Source Record)</w:t>
            </w:r>
          </w:p>
        </w:tc>
        <w:tc>
          <w:tcPr>
            <w:tcW w:w="0" w:type="auto"/>
            <w:vAlign w:val="center"/>
          </w:tcPr>
          <w:p w:rsidR="000A156F" w:rsidRDefault="00A9721F">
            <w:pPr>
              <w:pStyle w:val="TableBodyText"/>
            </w:pPr>
            <w:r>
              <w:t>§</w:t>
            </w:r>
            <w:hyperlink w:anchor="Section_cae9abfd7956464e9f841af5c3c4433d">
              <w:r>
                <w:rPr>
                  <w:rStyle w:val="Hyperlink"/>
                </w:rPr>
                <w:t>3.1.2.2.1.2, recipientData</w:t>
              </w:r>
            </w:hyperlink>
          </w:p>
        </w:tc>
      </w:tr>
    </w:tbl>
    <w:p w:rsidR="000A156F" w:rsidRDefault="000A156F"/>
    <w:p w:rsidR="000A156F" w:rsidRDefault="00A9721F">
      <w:r>
        <w:t>The following XML Schema fragment defines the contents of this element:</w:t>
      </w:r>
    </w:p>
    <w:p w:rsidR="000A156F" w:rsidRDefault="00A9721F">
      <w:pPr>
        <w:pStyle w:val="Code"/>
      </w:pPr>
      <w:r>
        <w:t>&lt;complexType name="CT_HashedRecipients"&gt;</w:t>
      </w:r>
    </w:p>
    <w:p w:rsidR="000A156F" w:rsidRDefault="00A9721F">
      <w:pPr>
        <w:pStyle w:val="Code"/>
      </w:pPr>
      <w:r>
        <w:t xml:space="preserve">  &lt;sequenc</w:t>
      </w:r>
      <w:r>
        <w:t>e&gt;</w:t>
      </w:r>
    </w:p>
    <w:p w:rsidR="000A156F" w:rsidRDefault="00A9721F">
      <w:pPr>
        <w:pStyle w:val="Code"/>
      </w:pPr>
      <w:r>
        <w:t xml:space="preserve">    &lt;element name="recipientData" type="CT_HashedRecipientData" minOccurs="1" maxOccurs="unbounded"/&gt;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4"/>
      </w:pPr>
      <w:bookmarkStart w:id="3875" w:name="section_176bd1fdfd4a4524a75256b44c1e2eac"/>
      <w:bookmarkStart w:id="3876" w:name="_Toc181684963"/>
      <w:r>
        <w:t>Simple Types</w:t>
      </w:r>
      <w:bookmarkEnd w:id="3875"/>
      <w:bookmarkEnd w:id="3876"/>
      <w:r>
        <w:fldChar w:fldCharType="begin"/>
      </w:r>
      <w:r>
        <w:instrText xml:space="preserve"> XE "Simple Types" </w:instrText>
      </w:r>
      <w:r>
        <w:fldChar w:fldCharType="end"/>
      </w:r>
    </w:p>
    <w:p w:rsidR="000A156F" w:rsidRDefault="00A9721F">
      <w:r>
        <w:t>This is the complete list of simple types in the http://schemas.microsoft.com/office/wor</w:t>
      </w:r>
      <w:r>
        <w:t>d/2006/wordml namespace.</w:t>
      </w:r>
    </w:p>
    <w:p w:rsidR="000A156F" w:rsidRDefault="00A9721F">
      <w:pPr>
        <w:pStyle w:val="Heading5"/>
      </w:pPr>
      <w:bookmarkStart w:id="3877" w:name="section_9168633928aa4e54acbd77bc5c69d9d2"/>
      <w:bookmarkStart w:id="3878" w:name="_Toc181684964"/>
      <w:r>
        <w:t>ST_DecimalNumber (Decimal Number Value)</w:t>
      </w:r>
      <w:bookmarkEnd w:id="3877"/>
      <w:bookmarkEnd w:id="3878"/>
      <w:r>
        <w:fldChar w:fldCharType="begin"/>
      </w:r>
      <w:r>
        <w:instrText xml:space="preserve"> XE "ST_DecimalNumber (Decimal Number Value)" </w:instrText>
      </w:r>
      <w:r>
        <w:fldChar w:fldCharType="end"/>
      </w:r>
    </w:p>
    <w:p w:rsidR="000A156F" w:rsidRDefault="00A9721F">
      <w:r>
        <w:t>This simple type specifies that its contents will contain a whole decimal number (positive or negative), whose contents are interpreted based o</w:t>
      </w:r>
      <w:r>
        <w:t>n the context of the parent XML element.</w:t>
      </w:r>
    </w:p>
    <w:p w:rsidR="000A156F" w:rsidRDefault="00A9721F">
      <w:r>
        <w:t>[Example: Consider the following WordprocessingML fragment:</w:t>
      </w:r>
    </w:p>
    <w:p w:rsidR="000A156F" w:rsidRDefault="00A9721F">
      <w:pPr>
        <w:pStyle w:val="Code"/>
      </w:pPr>
      <w:r>
        <w:t>&lt;w:pPr&gt;</w:t>
      </w:r>
    </w:p>
    <w:p w:rsidR="000A156F" w:rsidRDefault="00A9721F">
      <w:pPr>
        <w:pStyle w:val="Code"/>
      </w:pPr>
      <w:r>
        <w:t xml:space="preserve">  &lt;w:divId w:val="1512645511" /&gt; </w:t>
      </w:r>
    </w:p>
    <w:p w:rsidR="000A156F" w:rsidRDefault="00A9721F">
      <w:pPr>
        <w:pStyle w:val="Code"/>
      </w:pPr>
      <w:r>
        <w:t>&lt;/w:pPr&gt;</w:t>
      </w:r>
    </w:p>
    <w:p w:rsidR="000A156F" w:rsidRDefault="00A9721F">
      <w:r>
        <w:t xml:space="preserve">The value of the </w:t>
      </w:r>
      <w:r>
        <w:rPr>
          <w:b/>
        </w:rPr>
        <w:t>val</w:t>
      </w:r>
      <w:r>
        <w:t xml:space="preserve"> attribute is the ID of the associated HTML </w:t>
      </w:r>
      <w:r>
        <w:rPr>
          <w:rStyle w:val="InlineCode"/>
        </w:rPr>
        <w:t>div</w:t>
      </w:r>
      <w:r>
        <w:t xml:space="preserve">. </w:t>
      </w:r>
    </w:p>
    <w:p w:rsidR="000A156F" w:rsidRDefault="00A9721F">
      <w:r>
        <w:t xml:space="preserve">However, consider the following </w:t>
      </w:r>
      <w:r>
        <w:t>fragment:</w:t>
      </w:r>
    </w:p>
    <w:p w:rsidR="000A156F" w:rsidRDefault="00A9721F">
      <w:pPr>
        <w:pStyle w:val="Code"/>
      </w:pPr>
      <w:r>
        <w:t>&lt;w:ilvl w:val="1"&gt;</w:t>
      </w:r>
    </w:p>
    <w:p w:rsidR="000A156F" w:rsidRDefault="00A9721F">
      <w:pPr>
        <w:pStyle w:val="Code"/>
      </w:pPr>
      <w:r>
        <w:t xml:space="preserve">  ...</w:t>
      </w:r>
    </w:p>
    <w:p w:rsidR="000A156F" w:rsidRDefault="00A9721F">
      <w:pPr>
        <w:pStyle w:val="Code"/>
      </w:pPr>
      <w:r>
        <w:t>&lt;/w:ilvl&gt;</w:t>
      </w:r>
    </w:p>
    <w:p w:rsidR="000A156F" w:rsidRDefault="00A9721F">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rsidR="000A156F" w:rsidRDefault="00A9721F">
      <w:r>
        <w:t>This simple type's con</w:t>
      </w:r>
      <w:r>
        <w:t>tents are a restriction of the XML Schema int datatype.</w:t>
      </w:r>
    </w:p>
    <w:tbl>
      <w:tblPr>
        <w:tblStyle w:val="Table-ShadedHeader"/>
        <w:tblW w:w="0" w:type="auto"/>
        <w:tblLook w:val="04A0" w:firstRow="1" w:lastRow="0" w:firstColumn="1" w:lastColumn="0" w:noHBand="0" w:noVBand="1"/>
      </w:tblPr>
      <w:tblGrid>
        <w:gridCol w:w="278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hash@val</w:t>
            </w:r>
            <w:r>
              <w:t xml:space="preserve"> (§</w:t>
            </w:r>
            <w:hyperlink w:anchor="Section_b1588c0913964016a2ea78ce84a81a8e">
              <w:r>
                <w:rPr>
                  <w:rStyle w:val="Hyperlink"/>
                </w:rPr>
                <w:t>3.1.2.2.1.1, hash</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w:t>
      </w:r>
      <w:r>
        <w:t>me="ST_DecimalNumber"&gt;</w:t>
      </w:r>
    </w:p>
    <w:p w:rsidR="000A156F" w:rsidRDefault="00A9721F">
      <w:pPr>
        <w:pStyle w:val="Code"/>
      </w:pPr>
      <w:r>
        <w:t xml:space="preserve">  &lt;restriction base="xsd:int"/&gt;</w:t>
      </w:r>
    </w:p>
    <w:p w:rsidR="000A156F" w:rsidRDefault="00A9721F">
      <w:pPr>
        <w:pStyle w:val="Code"/>
      </w:pPr>
      <w:r>
        <w:t>&lt;/simpleType&gt;</w:t>
      </w:r>
    </w:p>
    <w:p w:rsidR="000A156F" w:rsidRDefault="00A9721F">
      <w:pPr>
        <w:pStyle w:val="Heading5"/>
      </w:pPr>
      <w:bookmarkStart w:id="3879" w:name="section_3050d73125fe410bb51ffd10c3d03b78"/>
      <w:bookmarkStart w:id="3880" w:name="_Toc181684965"/>
      <w:r>
        <w:t>ST_LongHexNumber (Four Digit Hexadecimal Number Value)</w:t>
      </w:r>
      <w:bookmarkEnd w:id="3879"/>
      <w:bookmarkEnd w:id="3880"/>
      <w:r>
        <w:fldChar w:fldCharType="begin"/>
      </w:r>
      <w:r>
        <w:instrText xml:space="preserve"> XE "ST_LongHexNumber (Four Digit Hexadecimal Number Value)" </w:instrText>
      </w:r>
      <w:r>
        <w:fldChar w:fldCharType="end"/>
      </w:r>
    </w:p>
    <w:p w:rsidR="000A156F" w:rsidRDefault="00A9721F">
      <w:r>
        <w:t>This simple type specifies a number value specified as a four-octet (</w:t>
      </w:r>
      <w:r>
        <w:t>eight-digit) hexadecimal number), whose contents are interpreted based on the context of the parent XML element.</w:t>
      </w:r>
    </w:p>
    <w:p w:rsidR="000A156F" w:rsidRDefault="00A9721F">
      <w:r>
        <w:t xml:space="preserve">[Example: Consider the following value for a node of type </w:t>
      </w:r>
      <w:r>
        <w:rPr>
          <w:b/>
        </w:rPr>
        <w:t>ST_LongHexNumber</w:t>
      </w:r>
      <w:r>
        <w:t xml:space="preserve">: </w:t>
      </w:r>
      <w:r>
        <w:rPr>
          <w:i/>
        </w:rPr>
        <w:t>00BE2C6C</w:t>
      </w:r>
      <w:r>
        <w:t xml:space="preserve">. </w:t>
      </w:r>
    </w:p>
    <w:p w:rsidR="000A156F" w:rsidRDefault="00A9721F">
      <w:r>
        <w:t xml:space="preserve">This value is valid, as it contains four hexadecimal </w:t>
      </w:r>
      <w:r>
        <w:t>octets, each an encoding of an octet of the actual decimal number value. end example]</w:t>
      </w:r>
    </w:p>
    <w:p w:rsidR="000A156F" w:rsidRDefault="00A9721F">
      <w:r>
        <w:t>This simple type's contents are a restriction of the XML Schema hexBinary datatype.</w:t>
      </w:r>
    </w:p>
    <w:p w:rsidR="000A156F" w:rsidRDefault="00A9721F">
      <w:r>
        <w:t>This simple type also specifies the following restrictions:</w:t>
      </w:r>
    </w:p>
    <w:p w:rsidR="000A156F" w:rsidRDefault="00A9721F">
      <w:pPr>
        <w:pStyle w:val="ListParagraph"/>
        <w:numPr>
          <w:ilvl w:val="0"/>
          <w:numId w:val="194"/>
        </w:numPr>
      </w:pPr>
      <w:r>
        <w:t>This simple type's content</w:t>
      </w:r>
      <w:r>
        <w:t>s have a length of exactly 8 hexadecimal digit(s).</w:t>
      </w:r>
    </w:p>
    <w:tbl>
      <w:tblPr>
        <w:tblStyle w:val="Table-ShadedHeader"/>
        <w:tblW w:w="0" w:type="auto"/>
        <w:tblLook w:val="04A0" w:firstRow="1" w:lastRow="0" w:firstColumn="1" w:lastColumn="0" w:noHBand="0" w:noVBand="1"/>
      </w:tblPr>
      <w:tblGrid>
        <w:gridCol w:w="275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wch@val</w:t>
            </w:r>
            <w:r>
              <w:t xml:space="preserve"> (§</w:t>
            </w:r>
            <w:hyperlink w:anchor="Section_342bac6cb42c45d7aae0b30f39357bc9">
              <w:r>
                <w:rPr>
                  <w:rStyle w:val="Hyperlink"/>
                </w:rPr>
                <w:t>3.1.2.1.1.15, wch</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w:t>
      </w:r>
      <w:r>
        <w:t>_LongHexNumber"&gt;</w:t>
      </w:r>
    </w:p>
    <w:p w:rsidR="000A156F" w:rsidRDefault="00A9721F">
      <w:pPr>
        <w:pStyle w:val="Code"/>
      </w:pPr>
      <w:r>
        <w:t xml:space="preserve">  &lt;restriction base="xsd:hexBinary"&gt;</w:t>
      </w:r>
    </w:p>
    <w:p w:rsidR="000A156F" w:rsidRDefault="00A9721F">
      <w:pPr>
        <w:pStyle w:val="Code"/>
      </w:pPr>
      <w:r>
        <w:t xml:space="preserve">    &lt;length value="4"/&gt;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5"/>
      </w:pPr>
      <w:bookmarkStart w:id="3881" w:name="section_815fcc39dc6c44f8ad2787b1d9f21571"/>
      <w:bookmarkStart w:id="3882" w:name="_Toc181684966"/>
      <w:r>
        <w:t>ST_OnOff (On/Off Value)</w:t>
      </w:r>
      <w:bookmarkEnd w:id="3881"/>
      <w:bookmarkEnd w:id="3882"/>
      <w:r>
        <w:fldChar w:fldCharType="begin"/>
      </w:r>
      <w:r>
        <w:instrText xml:space="preserve"> XE "ST_OnOff (On/Off Value)" </w:instrText>
      </w:r>
      <w:r>
        <w:fldChar w:fldCharType="end"/>
      </w:r>
    </w:p>
    <w:p w:rsidR="000A156F" w:rsidRDefault="00A9721F">
      <w:r>
        <w:t>This simple type specifies a set of values for any binary (on or off) property defined in a</w:t>
      </w:r>
      <w:r>
        <w:t xml:space="preserve"> WordprocessingML document.</w:t>
      </w:r>
    </w:p>
    <w:p w:rsidR="000A156F" w:rsidRDefault="00A9721F">
      <w:r>
        <w:t xml:space="preserve">A value of </w:t>
      </w:r>
      <w:r>
        <w:rPr>
          <w:i/>
        </w:rPr>
        <w:t>on</w:t>
      </w:r>
      <w:r>
        <w:t xml:space="preserve">, </w:t>
      </w:r>
      <w:r>
        <w:rPr>
          <w:i/>
        </w:rPr>
        <w:t>1</w:t>
      </w:r>
      <w:r>
        <w:t xml:space="preserve">, or </w:t>
      </w:r>
      <w:r>
        <w:rPr>
          <w:i/>
        </w:rPr>
        <w:t>true</w:t>
      </w:r>
      <w:r>
        <w:t xml:space="preserve"> specifies that the property shall be turned on.</w:t>
      </w:r>
    </w:p>
    <w:p w:rsidR="000A156F" w:rsidRDefault="00A9721F">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0A156F" w:rsidRDefault="00A9721F">
      <w:r>
        <w:t>This simple type's contents are a restriction of the XML Schema st</w:t>
      </w:r>
      <w:r>
        <w:t>ring datatype.</w:t>
      </w:r>
    </w:p>
    <w:p w:rsidR="000A156F" w:rsidRDefault="00A9721F">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0</w:t>
            </w:r>
            <w:r>
              <w:t xml:space="preserve"> ()</w:t>
            </w:r>
          </w:p>
        </w:tc>
        <w:tc>
          <w:tcPr>
            <w:tcW w:w="0" w:type="auto"/>
            <w:vAlign w:val="center"/>
          </w:tcPr>
          <w:p w:rsidR="000A156F" w:rsidRDefault="00A9721F">
            <w:pPr>
              <w:pStyle w:val="TableBodyText"/>
            </w:pPr>
            <w:r>
              <w:t>Specifies that the binary state of this property is off (parent property is explicitly not applied).</w:t>
            </w:r>
          </w:p>
        </w:tc>
      </w:tr>
      <w:tr w:rsidR="000A156F" w:rsidTr="000A156F">
        <w:tc>
          <w:tcPr>
            <w:tcW w:w="0" w:type="auto"/>
            <w:vAlign w:val="center"/>
          </w:tcPr>
          <w:p w:rsidR="000A156F" w:rsidRDefault="00A9721F">
            <w:pPr>
              <w:pStyle w:val="TableBodyText"/>
            </w:pPr>
            <w:r>
              <w:rPr>
                <w:b/>
              </w:rPr>
              <w:t>1</w:t>
            </w:r>
            <w:r>
              <w:t xml:space="preserve"> ()</w:t>
            </w:r>
          </w:p>
        </w:tc>
        <w:tc>
          <w:tcPr>
            <w:tcW w:w="0" w:type="auto"/>
            <w:vAlign w:val="center"/>
          </w:tcPr>
          <w:p w:rsidR="000A156F" w:rsidRDefault="00A9721F">
            <w:pPr>
              <w:pStyle w:val="TableBodyText"/>
            </w:pPr>
            <w:r>
              <w:t>Specifies that the binary state of th</w:t>
            </w:r>
            <w:r>
              <w:t>is property is on (parent property is explicitly applied).</w:t>
            </w:r>
          </w:p>
        </w:tc>
      </w:tr>
      <w:tr w:rsidR="000A156F" w:rsidTr="000A156F">
        <w:tc>
          <w:tcPr>
            <w:tcW w:w="0" w:type="auto"/>
            <w:vAlign w:val="center"/>
          </w:tcPr>
          <w:p w:rsidR="000A156F" w:rsidRDefault="00A9721F">
            <w:pPr>
              <w:pStyle w:val="TableBodyText"/>
            </w:pPr>
            <w:r>
              <w:rPr>
                <w:b/>
              </w:rPr>
              <w:t>false</w:t>
            </w:r>
            <w:r>
              <w:t xml:space="preserve"> ()</w:t>
            </w:r>
          </w:p>
        </w:tc>
        <w:tc>
          <w:tcPr>
            <w:tcW w:w="0" w:type="auto"/>
            <w:vAlign w:val="center"/>
          </w:tcPr>
          <w:p w:rsidR="000A156F" w:rsidRDefault="00A9721F">
            <w:pPr>
              <w:pStyle w:val="TableBodyText"/>
            </w:pPr>
            <w:r>
              <w:t>Specifies that the binary state of this property is off (parent property is explicitly not applied).</w:t>
            </w:r>
          </w:p>
        </w:tc>
      </w:tr>
      <w:tr w:rsidR="000A156F" w:rsidTr="000A156F">
        <w:tc>
          <w:tcPr>
            <w:tcW w:w="0" w:type="auto"/>
            <w:vAlign w:val="center"/>
          </w:tcPr>
          <w:p w:rsidR="000A156F" w:rsidRDefault="00A9721F">
            <w:pPr>
              <w:pStyle w:val="TableBodyText"/>
            </w:pPr>
            <w:r>
              <w:rPr>
                <w:b/>
              </w:rPr>
              <w:t>off</w:t>
            </w:r>
            <w:r>
              <w:t xml:space="preserve"> ()</w:t>
            </w:r>
          </w:p>
        </w:tc>
        <w:tc>
          <w:tcPr>
            <w:tcW w:w="0" w:type="auto"/>
            <w:vAlign w:val="center"/>
          </w:tcPr>
          <w:p w:rsidR="000A156F" w:rsidRDefault="00A9721F">
            <w:pPr>
              <w:pStyle w:val="TableBodyText"/>
            </w:pPr>
            <w:r>
              <w:t xml:space="preserve">Specifies that the binary state of this property is off (parent property is </w:t>
            </w:r>
            <w:r>
              <w:t>explicitly not applied).</w:t>
            </w:r>
          </w:p>
        </w:tc>
      </w:tr>
      <w:tr w:rsidR="000A156F" w:rsidTr="000A156F">
        <w:tc>
          <w:tcPr>
            <w:tcW w:w="0" w:type="auto"/>
            <w:vAlign w:val="center"/>
          </w:tcPr>
          <w:p w:rsidR="000A156F" w:rsidRDefault="00A9721F">
            <w:pPr>
              <w:pStyle w:val="TableBodyText"/>
            </w:pPr>
            <w:r>
              <w:rPr>
                <w:b/>
              </w:rPr>
              <w:t>on</w:t>
            </w:r>
            <w:r>
              <w:t xml:space="preserve"> ()</w:t>
            </w:r>
          </w:p>
        </w:tc>
        <w:tc>
          <w:tcPr>
            <w:tcW w:w="0" w:type="auto"/>
            <w:vAlign w:val="center"/>
          </w:tcPr>
          <w:p w:rsidR="000A156F" w:rsidRDefault="00A9721F">
            <w:pPr>
              <w:pStyle w:val="TableBodyText"/>
            </w:pPr>
            <w:r>
              <w:t>Specifies that the binary state of this property is on (parent property is explicitly applied).</w:t>
            </w:r>
          </w:p>
        </w:tc>
      </w:tr>
      <w:tr w:rsidR="000A156F" w:rsidTr="000A156F">
        <w:tc>
          <w:tcPr>
            <w:tcW w:w="0" w:type="auto"/>
            <w:vAlign w:val="center"/>
          </w:tcPr>
          <w:p w:rsidR="000A156F" w:rsidRDefault="00A9721F">
            <w:pPr>
              <w:pStyle w:val="TableBodyText"/>
            </w:pPr>
            <w:r>
              <w:rPr>
                <w:b/>
              </w:rPr>
              <w:t>true</w:t>
            </w:r>
            <w:r>
              <w:t xml:space="preserve"> ()</w:t>
            </w:r>
          </w:p>
        </w:tc>
        <w:tc>
          <w:tcPr>
            <w:tcW w:w="0" w:type="auto"/>
            <w:vAlign w:val="center"/>
          </w:tcPr>
          <w:p w:rsidR="000A156F" w:rsidRDefault="00A9721F">
            <w:pPr>
              <w:pStyle w:val="TableBodyText"/>
            </w:pPr>
            <w:r>
              <w:t>Specifies that the binary state of this property is on (parent property is explicitly applied).</w:t>
            </w:r>
          </w:p>
        </w:tc>
      </w:tr>
    </w:tbl>
    <w:p w:rsidR="000A156F" w:rsidRDefault="000A156F"/>
    <w:p w:rsidR="000A156F" w:rsidRDefault="000A156F"/>
    <w:tbl>
      <w:tblPr>
        <w:tblStyle w:val="Table-ShadedHeader"/>
        <w:tblW w:w="0" w:type="auto"/>
        <w:tblLook w:val="04A0" w:firstRow="1" w:lastRow="0" w:firstColumn="1" w:lastColumn="0" w:noHBand="0" w:noVBand="1"/>
      </w:tblPr>
      <w:tblGrid>
        <w:gridCol w:w="640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activ</w:t>
            </w:r>
            <w:r>
              <w:rPr>
                <w:b/>
              </w:rPr>
              <w:t>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0A156F" w:rsidRDefault="000A156F"/>
    <w:p w:rsidR="000A156F" w:rsidRDefault="00A9721F">
      <w:r>
        <w:t xml:space="preserve">The following XML Schema fragment defines the contents of this </w:t>
      </w:r>
      <w:r>
        <w:t>simple type:</w:t>
      </w:r>
    </w:p>
    <w:p w:rsidR="000A156F" w:rsidRDefault="00A9721F">
      <w:pPr>
        <w:pStyle w:val="Code"/>
      </w:pPr>
      <w:r>
        <w:t>&lt;simpleType name="ST_OnOff"&gt;</w:t>
      </w:r>
    </w:p>
    <w:p w:rsidR="000A156F" w:rsidRDefault="00A9721F">
      <w:pPr>
        <w:pStyle w:val="Code"/>
      </w:pPr>
      <w:r>
        <w:t xml:space="preserve">  &lt;restriction base="xsd:string"&gt;</w:t>
      </w:r>
    </w:p>
    <w:p w:rsidR="000A156F" w:rsidRDefault="00A9721F">
      <w:pPr>
        <w:pStyle w:val="Code"/>
      </w:pPr>
      <w:r>
        <w:t xml:space="preserve">    &lt;enumeration value="true"/&gt;</w:t>
      </w:r>
    </w:p>
    <w:p w:rsidR="000A156F" w:rsidRDefault="00A9721F">
      <w:pPr>
        <w:pStyle w:val="Code"/>
      </w:pPr>
      <w:r>
        <w:t xml:space="preserve">    &lt;enumeration value="false"/&gt;</w:t>
      </w:r>
    </w:p>
    <w:p w:rsidR="000A156F" w:rsidRDefault="00A9721F">
      <w:pPr>
        <w:pStyle w:val="Code"/>
      </w:pPr>
      <w:r>
        <w:t xml:space="preserve">    &lt;enumeration value="on"/&gt;</w:t>
      </w:r>
    </w:p>
    <w:p w:rsidR="000A156F" w:rsidRDefault="00A9721F">
      <w:pPr>
        <w:pStyle w:val="Code"/>
      </w:pPr>
      <w:r>
        <w:t xml:space="preserve">    &lt;enumeration value="off"/&gt;</w:t>
      </w:r>
    </w:p>
    <w:p w:rsidR="000A156F" w:rsidRDefault="00A9721F">
      <w:pPr>
        <w:pStyle w:val="Code"/>
      </w:pPr>
      <w:r>
        <w:t xml:space="preserve">    &lt;enumeration value="0"/&gt;</w:t>
      </w:r>
    </w:p>
    <w:p w:rsidR="000A156F" w:rsidRDefault="00A9721F">
      <w:pPr>
        <w:pStyle w:val="Code"/>
      </w:pPr>
      <w:r>
        <w:t xml:space="preserve">    &lt;enumeration value="1</w:t>
      </w:r>
      <w:r>
        <w:t>"/&gt;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5"/>
      </w:pPr>
      <w:bookmarkStart w:id="3883" w:name="section_b12e8ea4e85d4b4c94bf98db8427fcaa"/>
      <w:bookmarkStart w:id="3884" w:name="_Toc181684967"/>
      <w:r>
        <w:t>ST_ShortHexNumber (Two Digit Hexadecimal Number Value)</w:t>
      </w:r>
      <w:bookmarkEnd w:id="3883"/>
      <w:bookmarkEnd w:id="3884"/>
      <w:r>
        <w:fldChar w:fldCharType="begin"/>
      </w:r>
      <w:r>
        <w:instrText xml:space="preserve"> XE "ST_ShortHexNumber (Two Digit Hexadecimal Number Value)" </w:instrText>
      </w:r>
      <w:r>
        <w:fldChar w:fldCharType="end"/>
      </w:r>
    </w:p>
    <w:p w:rsidR="000A156F" w:rsidRDefault="00A9721F">
      <w:r>
        <w:t>This simple type specifies a two-octet hexadecimal number whose value is interpreted based on the conte</w:t>
      </w:r>
      <w:r>
        <w:t>xt of the parent XML element.</w:t>
      </w:r>
    </w:p>
    <w:p w:rsidR="000A156F" w:rsidRDefault="00A9721F">
      <w:r>
        <w:t xml:space="preserve">[Example: Consider the following value for a node of type </w:t>
      </w:r>
      <w:r>
        <w:rPr>
          <w:b/>
        </w:rPr>
        <w:t>ST_ShortHexNumber</w:t>
      </w:r>
      <w:r>
        <w:t xml:space="preserve">: </w:t>
      </w:r>
      <w:r>
        <w:rPr>
          <w:i/>
        </w:rPr>
        <w:t>2F6C</w:t>
      </w:r>
      <w:r>
        <w:t xml:space="preserve">. </w:t>
      </w:r>
    </w:p>
    <w:p w:rsidR="000A156F" w:rsidRDefault="00A9721F">
      <w:r>
        <w:t>This value is valid, as it contains two hexadecimal octets, each an encoding of an octet of the actual decimal number value. end example]</w:t>
      </w:r>
    </w:p>
    <w:p w:rsidR="000A156F" w:rsidRDefault="00A9721F">
      <w:r>
        <w:t>This</w:t>
      </w:r>
      <w:r>
        <w:t xml:space="preserve"> simple type's contents are a restriction of the XML Schema hexBinary datatype.</w:t>
      </w:r>
    </w:p>
    <w:p w:rsidR="000A156F" w:rsidRDefault="00A9721F">
      <w:r>
        <w:t>This simple type also specifies the following restrictions:</w:t>
      </w:r>
    </w:p>
    <w:p w:rsidR="000A156F" w:rsidRDefault="00A9721F">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Referenced By</w:t>
            </w:r>
          </w:p>
        </w:tc>
      </w:tr>
      <w:tr w:rsidR="000A156F" w:rsidTr="000A156F">
        <w:tc>
          <w:tcPr>
            <w:tcW w:w="0" w:type="auto"/>
            <w:vAlign w:val="center"/>
          </w:tcPr>
          <w:p w:rsidR="000A156F" w:rsidRDefault="00A9721F">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rsidR="000A156F" w:rsidRDefault="000A156F"/>
    <w:p w:rsidR="000A156F" w:rsidRDefault="00A9721F">
      <w:r>
        <w:t>The following XML Schema fragment defines the contents of this simpl</w:t>
      </w:r>
      <w:r>
        <w:t>e type:</w:t>
      </w:r>
    </w:p>
    <w:p w:rsidR="000A156F" w:rsidRDefault="00A9721F">
      <w:pPr>
        <w:pStyle w:val="Code"/>
      </w:pPr>
      <w:r>
        <w:t>&lt;simpleType name="ST_ShortHexNumber"&gt;</w:t>
      </w:r>
    </w:p>
    <w:p w:rsidR="000A156F" w:rsidRDefault="00A9721F">
      <w:pPr>
        <w:pStyle w:val="Code"/>
      </w:pPr>
      <w:r>
        <w:t xml:space="preserve">  &lt;restriction base="xsd:hexBinary"&gt;</w:t>
      </w:r>
    </w:p>
    <w:p w:rsidR="000A156F" w:rsidRDefault="00A9721F">
      <w:pPr>
        <w:pStyle w:val="Code"/>
      </w:pPr>
      <w:r>
        <w:t xml:space="preserve">    &lt;length value="2"/&gt;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5"/>
      </w:pPr>
      <w:bookmarkStart w:id="3885" w:name="section_6af92020a61a492793209436f448f276"/>
      <w:bookmarkStart w:id="3886" w:name="_Toc181684968"/>
      <w:r>
        <w:t>ST_String (String)</w:t>
      </w:r>
      <w:bookmarkEnd w:id="3885"/>
      <w:bookmarkEnd w:id="3886"/>
      <w:r>
        <w:fldChar w:fldCharType="begin"/>
      </w:r>
      <w:r>
        <w:instrText xml:space="preserve"> XE "ST_String (String)" </w:instrText>
      </w:r>
      <w:r>
        <w:fldChar w:fldCharType="end"/>
      </w:r>
    </w:p>
    <w:p w:rsidR="000A156F" w:rsidRDefault="00A9721F">
      <w:r>
        <w:t xml:space="preserve">This simple type specifies that its contents will contain a string. The </w:t>
      </w:r>
      <w:r>
        <w:t>contents of this string are interpreted based on the context of the parent XML element.</w:t>
      </w:r>
    </w:p>
    <w:p w:rsidR="000A156F" w:rsidRDefault="00A9721F">
      <w:r>
        <w:t>[Example: Consider the following WordprocessingML fragment:</w:t>
      </w:r>
    </w:p>
    <w:p w:rsidR="000A156F" w:rsidRDefault="00A9721F">
      <w:pPr>
        <w:pStyle w:val="Code"/>
      </w:pPr>
      <w:r>
        <w:t>&lt;w:pPr&gt;</w:t>
      </w:r>
    </w:p>
    <w:p w:rsidR="000A156F" w:rsidRDefault="00A9721F">
      <w:pPr>
        <w:pStyle w:val="Code"/>
      </w:pPr>
      <w:r>
        <w:t xml:space="preserve">  &lt;w:pStyle w:val="heading1" /&gt; </w:t>
      </w:r>
    </w:p>
    <w:p w:rsidR="000A156F" w:rsidRDefault="00A9721F">
      <w:pPr>
        <w:pStyle w:val="Code"/>
      </w:pPr>
      <w:r>
        <w:t>&lt;/w:pPr&gt;</w:t>
      </w:r>
    </w:p>
    <w:p w:rsidR="000A156F" w:rsidRDefault="00A9721F">
      <w:r>
        <w:t xml:space="preserve">The value of the </w:t>
      </w:r>
      <w:r>
        <w:rPr>
          <w:b/>
        </w:rPr>
        <w:t>val</w:t>
      </w:r>
      <w:r>
        <w:t xml:space="preserve"> attribute is the ID of the associated</w:t>
      </w:r>
      <w:r>
        <w:t xml:space="preserve"> paragraph style's </w:t>
      </w:r>
      <w:r>
        <w:rPr>
          <w:rStyle w:val="InlineCode"/>
        </w:rPr>
        <w:t>styleId</w:t>
      </w:r>
      <w:r>
        <w:t>. However, consider the following fragment:</w:t>
      </w:r>
    </w:p>
    <w:p w:rsidR="000A156F" w:rsidRDefault="00A9721F">
      <w:pPr>
        <w:pStyle w:val="Code"/>
      </w:pPr>
      <w:r>
        <w:t>&lt;w:sdtPr&gt;</w:t>
      </w:r>
    </w:p>
    <w:p w:rsidR="000A156F" w:rsidRDefault="00A9721F">
      <w:pPr>
        <w:pStyle w:val="Code"/>
      </w:pPr>
      <w:r>
        <w:t xml:space="preserve">  &lt;w:alias w:val="SDT Title Example" /&gt;</w:t>
      </w:r>
    </w:p>
    <w:p w:rsidR="000A156F" w:rsidRDefault="00A9721F">
      <w:pPr>
        <w:pStyle w:val="Code"/>
      </w:pPr>
      <w:r>
        <w:t xml:space="preserve">  ...</w:t>
      </w:r>
    </w:p>
    <w:p w:rsidR="000A156F" w:rsidRDefault="00A9721F">
      <w:pPr>
        <w:pStyle w:val="Code"/>
      </w:pPr>
      <w:r>
        <w:t>&lt;/w:sdtPr&gt;</w:t>
      </w:r>
    </w:p>
    <w:p w:rsidR="000A156F" w:rsidRDefault="00A9721F">
      <w:r>
        <w:t xml:space="preserve">In this case, the decimal number in the </w:t>
      </w:r>
      <w:r>
        <w:rPr>
          <w:b/>
        </w:rPr>
        <w:t>val</w:t>
      </w:r>
      <w:r>
        <w:t xml:space="preserve"> attribute is the caption of the parent-structured document tag. In each cas</w:t>
      </w:r>
      <w:r>
        <w:t xml:space="preserve">e, the value is of type </w:t>
      </w:r>
      <w:r>
        <w:rPr>
          <w:b/>
        </w:rPr>
        <w:t>ST_String</w:t>
      </w:r>
      <w:r>
        <w:t>, and therefore must be interpreted in the context of the parent element. end example]</w:t>
      </w:r>
    </w:p>
    <w:p w:rsidR="000A156F" w:rsidRDefault="00A9721F">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w:t>
            </w:r>
            <w:r>
              <w:rPr>
                <w:b/>
              </w:rPr>
              <w:t>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name="ST_String"&gt;</w:t>
      </w:r>
    </w:p>
    <w:p w:rsidR="000A156F" w:rsidRDefault="00A9721F">
      <w:pPr>
        <w:pStyle w:val="Code"/>
      </w:pPr>
      <w:r>
        <w:t xml:space="preserve">  &lt;restrict</w:t>
      </w:r>
      <w:r>
        <w:t>ion base="xsd:string"/&gt;</w:t>
      </w:r>
    </w:p>
    <w:p w:rsidR="000A156F" w:rsidRDefault="00A9721F">
      <w:pPr>
        <w:pStyle w:val="Code"/>
      </w:pPr>
      <w:r>
        <w:t>&lt;/simpleType&gt;</w:t>
      </w:r>
    </w:p>
    <w:p w:rsidR="000A156F" w:rsidRDefault="00A9721F">
      <w:pPr>
        <w:pStyle w:val="Heading3"/>
      </w:pPr>
      <w:bookmarkStart w:id="3887" w:name="section_f8e3c239322c488594094c0acc06b609"/>
      <w:bookmarkStart w:id="3888" w:name="_Toc181684969"/>
      <w:r>
        <w:lastRenderedPageBreak/>
        <w:t>Additional WordprocessingML Schema</w:t>
      </w:r>
      <w:bookmarkEnd w:id="3887"/>
      <w:bookmarkEnd w:id="3888"/>
      <w:r>
        <w:fldChar w:fldCharType="begin"/>
      </w:r>
      <w:r>
        <w:instrText xml:space="preserve"> XE "Additional WordprocessingML Schema" </w:instrText>
      </w:r>
      <w:r>
        <w:fldChar w:fldCharType="end"/>
      </w:r>
    </w:p>
    <w:p w:rsidR="000A156F" w:rsidRDefault="00A9721F">
      <w:r>
        <w:t xml:space="preserve">The subordinate clauses define additional information in the WordprocessingML schema used by Word.  </w:t>
      </w:r>
    </w:p>
    <w:p w:rsidR="000A156F" w:rsidRDefault="00A9721F">
      <w:pPr>
        <w:pStyle w:val="Heading4"/>
      </w:pPr>
      <w:bookmarkStart w:id="3889" w:name="section_83539449567440628f04a27990446e24"/>
      <w:bookmarkStart w:id="3890" w:name="_Toc181684970"/>
      <w:r>
        <w:t>Additional Elements</w:t>
      </w:r>
      <w:bookmarkEnd w:id="3889"/>
      <w:bookmarkEnd w:id="3890"/>
    </w:p>
    <w:p w:rsidR="000A156F" w:rsidRDefault="00A9721F">
      <w:pPr>
        <w:pStyle w:val="Heading5"/>
      </w:pPr>
      <w:bookmarkStart w:id="3891" w:name="section_d188da3eb34b4445b3a0118155f75ff3"/>
      <w:bookmarkStart w:id="3892" w:name="_Toc181684971"/>
      <w:r>
        <w:t>customXml (Ruby Inline-Level Custom XML Element)</w:t>
      </w:r>
      <w:bookmarkEnd w:id="3891"/>
      <w:bookmarkEnd w:id="3892"/>
      <w:r>
        <w:fldChar w:fldCharType="begin"/>
      </w:r>
      <w:r>
        <w:instrText xml:space="preserve"> XE "customXml (Ruby Inline-Level Custom XML Element)" </w:instrText>
      </w:r>
      <w:r>
        <w:fldChar w:fldCharType="end"/>
      </w:r>
    </w:p>
    <w:p w:rsidR="000A156F" w:rsidRDefault="00A9721F">
      <w:r>
        <w:t>This element specifies the presence of a custom XML element around one or more inline-level structures (runs, images, fields, and so on) within a para</w:t>
      </w:r>
      <w:r>
        <w:t>graph. The attributes on this element shall be used to specify the name and namespace URI of the current custom XML element.</w:t>
      </w:r>
    </w:p>
    <w:p w:rsidR="000A156F" w:rsidRDefault="00A9721F">
      <w:r>
        <w:t xml:space="preserve">[Example: Consider a custom XML element with the name </w:t>
      </w:r>
      <w:r>
        <w:rPr>
          <w:i/>
        </w:rPr>
        <w:t>firstName</w:t>
      </w:r>
      <w:r>
        <w:t xml:space="preserve"> that shall be located around two text runs in a WordprocessingML do</w:t>
      </w:r>
      <w:r>
        <w:t>cument. This requirement would be specified as follows in the WordprocessingML:</w:t>
      </w:r>
    </w:p>
    <w:p w:rsidR="000A156F" w:rsidRDefault="00A9721F">
      <w:pPr>
        <w:pStyle w:val="Code"/>
      </w:pPr>
      <w:r>
        <w:t>&lt;w:p&gt;</w:t>
      </w:r>
    </w:p>
    <w:p w:rsidR="000A156F" w:rsidRDefault="00A9721F">
      <w:pPr>
        <w:pStyle w:val="Code"/>
      </w:pPr>
      <w:r>
        <w:t xml:space="preserve">  &lt;w:customXml w:element="firstName" … &gt;</w:t>
      </w:r>
    </w:p>
    <w:p w:rsidR="000A156F" w:rsidRDefault="00A9721F">
      <w:pPr>
        <w:pStyle w:val="Code"/>
      </w:pPr>
      <w:r>
        <w:t xml:space="preserve">    &lt;w:r&gt;</w:t>
      </w:r>
    </w:p>
    <w:p w:rsidR="000A156F" w:rsidRDefault="00A9721F">
      <w:pPr>
        <w:pStyle w:val="Code"/>
      </w:pPr>
      <w:r>
        <w:t xml:space="preserve">      …</w:t>
      </w:r>
    </w:p>
    <w:p w:rsidR="000A156F" w:rsidRDefault="00A9721F">
      <w:pPr>
        <w:pStyle w:val="Code"/>
      </w:pPr>
      <w:r>
        <w:t xml:space="preserve">    &lt;/w:r&gt;</w:t>
      </w:r>
    </w:p>
    <w:p w:rsidR="000A156F" w:rsidRDefault="00A9721F">
      <w:pPr>
        <w:pStyle w:val="Code"/>
      </w:pPr>
      <w:r>
        <w:t xml:space="preserve">    &lt;w:r&gt;</w:t>
      </w:r>
    </w:p>
    <w:p w:rsidR="000A156F" w:rsidRDefault="00A9721F">
      <w:pPr>
        <w:pStyle w:val="Code"/>
      </w:pPr>
      <w:r>
        <w:t xml:space="preserve">      …</w:t>
      </w:r>
    </w:p>
    <w:p w:rsidR="000A156F" w:rsidRDefault="00A9721F">
      <w:pPr>
        <w:pStyle w:val="Code"/>
      </w:pPr>
      <w:r>
        <w:t xml:space="preserve">    &lt;/w:r&gt;</w:t>
      </w:r>
    </w:p>
    <w:p w:rsidR="000A156F" w:rsidRDefault="00A9721F">
      <w:pPr>
        <w:pStyle w:val="Code"/>
      </w:pPr>
      <w:r>
        <w:t xml:space="preserve">  &lt;/w:customXml&gt;</w:t>
      </w:r>
    </w:p>
    <w:p w:rsidR="000A156F" w:rsidRDefault="00A9721F">
      <w:pPr>
        <w:pStyle w:val="Code"/>
      </w:pPr>
      <w:r>
        <w:t xml:space="preserve">  …</w:t>
      </w:r>
    </w:p>
    <w:p w:rsidR="000A156F" w:rsidRDefault="00A9721F">
      <w:pPr>
        <w:pStyle w:val="Code"/>
      </w:pPr>
      <w:r>
        <w:t>&lt;/w:p&gt;</w:t>
      </w:r>
    </w:p>
    <w:p w:rsidR="000A156F" w:rsidRDefault="00A9721F">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3">
              <w:r>
                <w:rPr>
                  <w:rStyle w:val="Hyperlink"/>
                </w:rPr>
                <w:t>[ISO/IEC-29500-1]</w:t>
              </w:r>
            </w:hyperlink>
            <w:r>
              <w:t xml:space="preserve"> §17.3.</w:t>
            </w:r>
            <w:r>
              <w:t xml:space="preserve">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6758"/>
        <w:gridCol w:w="271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acc</w:t>
            </w:r>
            <w:r>
              <w:t xml:space="preserve"> (Accent)</w:t>
            </w:r>
          </w:p>
        </w:tc>
        <w:tc>
          <w:tcPr>
            <w:tcW w:w="0" w:type="auto"/>
            <w:vAlign w:val="center"/>
          </w:tcPr>
          <w:p w:rsidR="000A156F" w:rsidRDefault="00A9721F">
            <w:pPr>
              <w:pStyle w:val="TableBodyText"/>
            </w:pPr>
            <w:r>
              <w:t>"[ISO/IEC-29500-1] §22.1.2.1"</w:t>
            </w:r>
          </w:p>
        </w:tc>
      </w:tr>
      <w:tr w:rsidR="000A156F" w:rsidTr="000A156F">
        <w:tc>
          <w:tcPr>
            <w:tcW w:w="0" w:type="auto"/>
            <w:vAlign w:val="center"/>
          </w:tcPr>
          <w:p w:rsidR="000A156F" w:rsidRDefault="00A9721F">
            <w:pPr>
              <w:pStyle w:val="TableBodyText"/>
            </w:pPr>
            <w:r>
              <w:rPr>
                <w:b/>
              </w:rPr>
              <w:t>bar</w:t>
            </w:r>
            <w:r>
              <w:t xml:space="preserve"> (Bar)</w:t>
            </w:r>
          </w:p>
        </w:tc>
        <w:tc>
          <w:tcPr>
            <w:tcW w:w="0" w:type="auto"/>
            <w:vAlign w:val="center"/>
          </w:tcPr>
          <w:p w:rsidR="000A156F" w:rsidRDefault="00A9721F">
            <w:pPr>
              <w:pStyle w:val="TableBodyText"/>
            </w:pPr>
            <w:r>
              <w:t>"[ISO/IEC-29500-1]</w:t>
            </w:r>
            <w:r>
              <w:t xml:space="preserve"> §22.1.2.7"</w:t>
            </w:r>
          </w:p>
        </w:tc>
      </w:tr>
      <w:tr w:rsidR="000A156F" w:rsidTr="000A156F">
        <w:tc>
          <w:tcPr>
            <w:tcW w:w="0" w:type="auto"/>
            <w:vAlign w:val="center"/>
          </w:tcPr>
          <w:p w:rsidR="000A156F" w:rsidRDefault="00A9721F">
            <w:pPr>
              <w:pStyle w:val="TableBodyText"/>
            </w:pPr>
            <w:r>
              <w:rPr>
                <w:b/>
              </w:rPr>
              <w:t>bookmarkEnd</w:t>
            </w:r>
            <w:r>
              <w:t xml:space="preserve"> (Bookmark End)</w:t>
            </w:r>
          </w:p>
        </w:tc>
        <w:tc>
          <w:tcPr>
            <w:tcW w:w="0" w:type="auto"/>
            <w:vAlign w:val="center"/>
          </w:tcPr>
          <w:p w:rsidR="000A156F" w:rsidRDefault="00A9721F">
            <w:pPr>
              <w:pStyle w:val="TableBodyText"/>
            </w:pPr>
            <w:r>
              <w:t>"[ISO/IEC-29500-1] §17.13.6.1"</w:t>
            </w:r>
          </w:p>
        </w:tc>
      </w:tr>
      <w:tr w:rsidR="000A156F" w:rsidTr="000A156F">
        <w:tc>
          <w:tcPr>
            <w:tcW w:w="0" w:type="auto"/>
            <w:vAlign w:val="center"/>
          </w:tcPr>
          <w:p w:rsidR="000A156F" w:rsidRDefault="00A9721F">
            <w:pPr>
              <w:pStyle w:val="TableBodyText"/>
            </w:pPr>
            <w:r>
              <w:rPr>
                <w:b/>
              </w:rPr>
              <w:t>bookmarkStart</w:t>
            </w:r>
            <w:r>
              <w:t xml:space="preserve"> (Bookmark Start)</w:t>
            </w:r>
          </w:p>
        </w:tc>
        <w:tc>
          <w:tcPr>
            <w:tcW w:w="0" w:type="auto"/>
            <w:vAlign w:val="center"/>
          </w:tcPr>
          <w:p w:rsidR="000A156F" w:rsidRDefault="00A9721F">
            <w:pPr>
              <w:pStyle w:val="TableBodyText"/>
            </w:pPr>
            <w:r>
              <w:t>"[ISO/IEC-29500-1] §17.13.6.2"</w:t>
            </w:r>
          </w:p>
        </w:tc>
      </w:tr>
      <w:tr w:rsidR="000A156F" w:rsidTr="000A156F">
        <w:tc>
          <w:tcPr>
            <w:tcW w:w="0" w:type="auto"/>
            <w:vAlign w:val="center"/>
          </w:tcPr>
          <w:p w:rsidR="000A156F" w:rsidRDefault="00A9721F">
            <w:pPr>
              <w:pStyle w:val="TableBodyText"/>
            </w:pPr>
            <w:r>
              <w:rPr>
                <w:b/>
              </w:rPr>
              <w:t>borderBox</w:t>
            </w:r>
            <w:r>
              <w:t xml:space="preserve"> (Border-Box Object)</w:t>
            </w:r>
          </w:p>
        </w:tc>
        <w:tc>
          <w:tcPr>
            <w:tcW w:w="0" w:type="auto"/>
            <w:vAlign w:val="center"/>
          </w:tcPr>
          <w:p w:rsidR="000A156F" w:rsidRDefault="00A9721F">
            <w:pPr>
              <w:pStyle w:val="TableBodyText"/>
            </w:pPr>
            <w:r>
              <w:t>"[ISO/IEC-29500-1] §22.1.2.11"</w:t>
            </w:r>
          </w:p>
        </w:tc>
      </w:tr>
      <w:tr w:rsidR="000A156F" w:rsidTr="000A156F">
        <w:tc>
          <w:tcPr>
            <w:tcW w:w="0" w:type="auto"/>
            <w:vAlign w:val="center"/>
          </w:tcPr>
          <w:p w:rsidR="000A156F" w:rsidRDefault="00A9721F">
            <w:pPr>
              <w:pStyle w:val="TableBodyText"/>
            </w:pPr>
            <w:r>
              <w:rPr>
                <w:b/>
              </w:rPr>
              <w:t>box</w:t>
            </w:r>
            <w:r>
              <w:t xml:space="preserve"> (Box Object)</w:t>
            </w:r>
          </w:p>
        </w:tc>
        <w:tc>
          <w:tcPr>
            <w:tcW w:w="0" w:type="auto"/>
            <w:vAlign w:val="center"/>
          </w:tcPr>
          <w:p w:rsidR="000A156F" w:rsidRDefault="00A9721F">
            <w:pPr>
              <w:pStyle w:val="TableBodyText"/>
            </w:pPr>
            <w:r>
              <w:t>"[ISO/IEC-29500-1] §22.1.2.13"</w:t>
            </w:r>
          </w:p>
        </w:tc>
      </w:tr>
      <w:tr w:rsidR="000A156F" w:rsidTr="000A156F">
        <w:tc>
          <w:tcPr>
            <w:tcW w:w="0" w:type="auto"/>
            <w:vAlign w:val="center"/>
          </w:tcPr>
          <w:p w:rsidR="000A156F" w:rsidRDefault="00A9721F">
            <w:pPr>
              <w:pStyle w:val="TableBodyText"/>
            </w:pPr>
            <w:r>
              <w:rPr>
                <w:b/>
              </w:rPr>
              <w:lastRenderedPageBreak/>
              <w:t>commentRangeEnd</w:t>
            </w:r>
            <w:r>
              <w:t xml:space="preserve"> (Comment Anchor Range End)</w:t>
            </w:r>
          </w:p>
        </w:tc>
        <w:tc>
          <w:tcPr>
            <w:tcW w:w="0" w:type="auto"/>
            <w:vAlign w:val="center"/>
          </w:tcPr>
          <w:p w:rsidR="000A156F" w:rsidRDefault="00A9721F">
            <w:pPr>
              <w:pStyle w:val="TableBodyText"/>
            </w:pPr>
            <w:r>
              <w:t>"[ISO/IEC-29500-1] §17.13.4.3"</w:t>
            </w:r>
          </w:p>
        </w:tc>
      </w:tr>
      <w:tr w:rsidR="000A156F" w:rsidTr="000A156F">
        <w:tc>
          <w:tcPr>
            <w:tcW w:w="0" w:type="auto"/>
            <w:vAlign w:val="center"/>
          </w:tcPr>
          <w:p w:rsidR="000A156F" w:rsidRDefault="00A9721F">
            <w:pPr>
              <w:pStyle w:val="TableBodyText"/>
            </w:pPr>
            <w:r>
              <w:rPr>
                <w:b/>
              </w:rPr>
              <w:t>commentRangeStart</w:t>
            </w:r>
            <w:r>
              <w:t xml:space="preserve"> (Comment Anchor Range Start)</w:t>
            </w:r>
          </w:p>
        </w:tc>
        <w:tc>
          <w:tcPr>
            <w:tcW w:w="0" w:type="auto"/>
            <w:vAlign w:val="center"/>
          </w:tcPr>
          <w:p w:rsidR="000A156F" w:rsidRDefault="00A9721F">
            <w:pPr>
              <w:pStyle w:val="TableBodyText"/>
            </w:pPr>
            <w:r>
              <w:t>"[ISO/IEC-29500-1] §17.13.4.4"</w:t>
            </w:r>
          </w:p>
        </w:tc>
      </w:tr>
      <w:tr w:rsidR="000A156F" w:rsidTr="000A156F">
        <w:tc>
          <w:tcPr>
            <w:tcW w:w="0" w:type="auto"/>
            <w:vAlign w:val="center"/>
          </w:tcPr>
          <w:p w:rsidR="000A156F" w:rsidRDefault="00A9721F">
            <w:pPr>
              <w:pStyle w:val="TableBodyText"/>
            </w:pPr>
            <w:r>
              <w:rPr>
                <w:b/>
              </w:rPr>
              <w:t>customXml</w:t>
            </w:r>
            <w:r>
              <w:t xml:space="preserve"> (Ruby Inline-Level Custom XML Element)</w:t>
            </w:r>
          </w:p>
        </w:tc>
        <w:tc>
          <w:tcPr>
            <w:tcW w:w="0" w:type="auto"/>
            <w:vAlign w:val="center"/>
          </w:tcPr>
          <w:p w:rsidR="000A156F" w:rsidRDefault="00A9721F">
            <w:pPr>
              <w:pStyle w:val="TableBodyText"/>
            </w:pPr>
            <w:r>
              <w:t>§3.1.3.1.1, customXml</w:t>
            </w:r>
          </w:p>
        </w:tc>
      </w:tr>
      <w:tr w:rsidR="000A156F" w:rsidTr="000A156F">
        <w:tc>
          <w:tcPr>
            <w:tcW w:w="0" w:type="auto"/>
            <w:vAlign w:val="center"/>
          </w:tcPr>
          <w:p w:rsidR="000A156F" w:rsidRDefault="00A9721F">
            <w:pPr>
              <w:pStyle w:val="TableBodyText"/>
            </w:pPr>
            <w:r>
              <w:rPr>
                <w:b/>
              </w:rPr>
              <w:t>customXmlDelRangeEnd</w:t>
            </w:r>
            <w:r>
              <w:t xml:space="preserve"> (Custom XML Markup Deletion End)</w:t>
            </w:r>
          </w:p>
        </w:tc>
        <w:tc>
          <w:tcPr>
            <w:tcW w:w="0" w:type="auto"/>
            <w:vAlign w:val="center"/>
          </w:tcPr>
          <w:p w:rsidR="000A156F" w:rsidRDefault="00A9721F">
            <w:pPr>
              <w:pStyle w:val="TableBodyText"/>
            </w:pPr>
            <w:r>
              <w:t>"[ISO/IEC-29500-1] §17.13.5.4"</w:t>
            </w:r>
          </w:p>
        </w:tc>
      </w:tr>
      <w:tr w:rsidR="000A156F" w:rsidTr="000A156F">
        <w:tc>
          <w:tcPr>
            <w:tcW w:w="0" w:type="auto"/>
            <w:vAlign w:val="center"/>
          </w:tcPr>
          <w:p w:rsidR="000A156F" w:rsidRDefault="00A9721F">
            <w:pPr>
              <w:pStyle w:val="TableBodyText"/>
            </w:pPr>
            <w:r>
              <w:rPr>
                <w:b/>
              </w:rPr>
              <w:t>customXmlDelRangeStart</w:t>
            </w:r>
            <w:r>
              <w:t xml:space="preserve"> (Custom XML Markup Deletion Start)</w:t>
            </w:r>
          </w:p>
        </w:tc>
        <w:tc>
          <w:tcPr>
            <w:tcW w:w="0" w:type="auto"/>
            <w:vAlign w:val="center"/>
          </w:tcPr>
          <w:p w:rsidR="000A156F" w:rsidRDefault="00A9721F">
            <w:pPr>
              <w:pStyle w:val="TableBodyText"/>
            </w:pPr>
            <w:r>
              <w:t>"[ISO/IEC-29500-1] §17.13.5.5"</w:t>
            </w:r>
          </w:p>
        </w:tc>
      </w:tr>
      <w:tr w:rsidR="000A156F" w:rsidTr="000A156F">
        <w:tc>
          <w:tcPr>
            <w:tcW w:w="0" w:type="auto"/>
            <w:vAlign w:val="center"/>
          </w:tcPr>
          <w:p w:rsidR="000A156F" w:rsidRDefault="00A9721F">
            <w:pPr>
              <w:pStyle w:val="TableBodyText"/>
            </w:pPr>
            <w:r>
              <w:rPr>
                <w:b/>
              </w:rPr>
              <w:t>customXmlInsRangeEnd</w:t>
            </w:r>
            <w:r>
              <w:t xml:space="preserve"> (Custom XML Markup Insertion End)</w:t>
            </w:r>
          </w:p>
        </w:tc>
        <w:tc>
          <w:tcPr>
            <w:tcW w:w="0" w:type="auto"/>
            <w:vAlign w:val="center"/>
          </w:tcPr>
          <w:p w:rsidR="000A156F" w:rsidRDefault="00A9721F">
            <w:pPr>
              <w:pStyle w:val="TableBodyText"/>
            </w:pPr>
            <w:r>
              <w:t>"[ISO/IEC-29500-1] §17.13.5.6"</w:t>
            </w:r>
          </w:p>
        </w:tc>
      </w:tr>
      <w:tr w:rsidR="000A156F" w:rsidTr="000A156F">
        <w:tc>
          <w:tcPr>
            <w:tcW w:w="0" w:type="auto"/>
            <w:vAlign w:val="center"/>
          </w:tcPr>
          <w:p w:rsidR="000A156F" w:rsidRDefault="00A9721F">
            <w:pPr>
              <w:pStyle w:val="TableBodyText"/>
            </w:pPr>
            <w:r>
              <w:rPr>
                <w:b/>
              </w:rPr>
              <w:t>customXmlInsR</w:t>
            </w:r>
            <w:r>
              <w:rPr>
                <w:b/>
              </w:rPr>
              <w:t>angeStart</w:t>
            </w:r>
            <w:r>
              <w:t xml:space="preserve"> (Custom XML Markup Insertion Start)</w:t>
            </w:r>
          </w:p>
        </w:tc>
        <w:tc>
          <w:tcPr>
            <w:tcW w:w="0" w:type="auto"/>
            <w:vAlign w:val="center"/>
          </w:tcPr>
          <w:p w:rsidR="000A156F" w:rsidRDefault="00A9721F">
            <w:pPr>
              <w:pStyle w:val="TableBodyText"/>
            </w:pPr>
            <w:r>
              <w:t>"[ISO/IEC-29500-1] §17.13.5.7"</w:t>
            </w:r>
          </w:p>
        </w:tc>
      </w:tr>
      <w:tr w:rsidR="000A156F" w:rsidTr="000A156F">
        <w:tc>
          <w:tcPr>
            <w:tcW w:w="0" w:type="auto"/>
            <w:vAlign w:val="center"/>
          </w:tcPr>
          <w:p w:rsidR="000A156F" w:rsidRDefault="00A9721F">
            <w:pPr>
              <w:pStyle w:val="TableBodyText"/>
            </w:pPr>
            <w:r>
              <w:rPr>
                <w:b/>
              </w:rPr>
              <w:t>customXmlMoveFromRangeEnd</w:t>
            </w:r>
            <w:r>
              <w:t xml:space="preserve"> (Custom XML Markup Move Source End)</w:t>
            </w:r>
          </w:p>
        </w:tc>
        <w:tc>
          <w:tcPr>
            <w:tcW w:w="0" w:type="auto"/>
            <w:vAlign w:val="center"/>
          </w:tcPr>
          <w:p w:rsidR="000A156F" w:rsidRDefault="00A9721F">
            <w:pPr>
              <w:pStyle w:val="TableBodyText"/>
            </w:pPr>
            <w:r>
              <w:t>"[ISO/IEC-29500-1] §17.13.5.8"</w:t>
            </w:r>
          </w:p>
        </w:tc>
      </w:tr>
      <w:tr w:rsidR="000A156F" w:rsidTr="000A156F">
        <w:tc>
          <w:tcPr>
            <w:tcW w:w="0" w:type="auto"/>
            <w:vAlign w:val="center"/>
          </w:tcPr>
          <w:p w:rsidR="000A156F" w:rsidRDefault="00A9721F">
            <w:pPr>
              <w:pStyle w:val="TableBodyText"/>
            </w:pPr>
            <w:r>
              <w:rPr>
                <w:b/>
              </w:rPr>
              <w:t>customXmlMoveFromRangeStart</w:t>
            </w:r>
            <w:r>
              <w:t xml:space="preserve"> (Custom XML Markup Move Source Start)</w:t>
            </w:r>
          </w:p>
        </w:tc>
        <w:tc>
          <w:tcPr>
            <w:tcW w:w="0" w:type="auto"/>
            <w:vAlign w:val="center"/>
          </w:tcPr>
          <w:p w:rsidR="000A156F" w:rsidRDefault="00A9721F">
            <w:pPr>
              <w:pStyle w:val="TableBodyText"/>
            </w:pPr>
            <w:r>
              <w:t>"[ISO/IEC-29500-1]</w:t>
            </w:r>
            <w:r>
              <w:t xml:space="preserve"> §17.13.5.9"</w:t>
            </w:r>
          </w:p>
        </w:tc>
      </w:tr>
      <w:tr w:rsidR="000A156F" w:rsidTr="000A156F">
        <w:tc>
          <w:tcPr>
            <w:tcW w:w="0" w:type="auto"/>
            <w:vAlign w:val="center"/>
          </w:tcPr>
          <w:p w:rsidR="000A156F" w:rsidRDefault="00A9721F">
            <w:pPr>
              <w:pStyle w:val="TableBodyText"/>
            </w:pPr>
            <w:r>
              <w:rPr>
                <w:b/>
              </w:rPr>
              <w:t>customXmlMoveToRangeEnd</w:t>
            </w:r>
            <w:r>
              <w:t xml:space="preserve"> (Custom XML Markup Move Destination Location End)</w:t>
            </w:r>
          </w:p>
        </w:tc>
        <w:tc>
          <w:tcPr>
            <w:tcW w:w="0" w:type="auto"/>
            <w:vAlign w:val="center"/>
          </w:tcPr>
          <w:p w:rsidR="000A156F" w:rsidRDefault="00A9721F">
            <w:pPr>
              <w:pStyle w:val="TableBodyText"/>
            </w:pPr>
            <w:r>
              <w:t>"[ISO/IEC-29500-1] §17.13.5.10"</w:t>
            </w:r>
          </w:p>
        </w:tc>
      </w:tr>
      <w:tr w:rsidR="000A156F" w:rsidTr="000A156F">
        <w:tc>
          <w:tcPr>
            <w:tcW w:w="0" w:type="auto"/>
            <w:vAlign w:val="center"/>
          </w:tcPr>
          <w:p w:rsidR="000A156F" w:rsidRDefault="00A9721F">
            <w:pPr>
              <w:pStyle w:val="TableBodyText"/>
            </w:pPr>
            <w:r>
              <w:rPr>
                <w:b/>
              </w:rPr>
              <w:t>customXmlMoveToRangeStart</w:t>
            </w:r>
            <w:r>
              <w:t xml:space="preserve"> (Custom XML Markup Move Destination Location Start)</w:t>
            </w:r>
          </w:p>
        </w:tc>
        <w:tc>
          <w:tcPr>
            <w:tcW w:w="0" w:type="auto"/>
            <w:vAlign w:val="center"/>
          </w:tcPr>
          <w:p w:rsidR="000A156F" w:rsidRDefault="00A9721F">
            <w:pPr>
              <w:pStyle w:val="TableBodyText"/>
            </w:pPr>
            <w:r>
              <w:t>"[ISO/IEC-29500-1] §17.13.5.11"</w:t>
            </w:r>
          </w:p>
        </w:tc>
      </w:tr>
      <w:tr w:rsidR="000A156F" w:rsidTr="000A156F">
        <w:tc>
          <w:tcPr>
            <w:tcW w:w="0" w:type="auto"/>
            <w:vAlign w:val="center"/>
          </w:tcPr>
          <w:p w:rsidR="000A156F" w:rsidRDefault="00A9721F">
            <w:pPr>
              <w:pStyle w:val="TableBodyText"/>
            </w:pPr>
            <w:r>
              <w:rPr>
                <w:b/>
              </w:rPr>
              <w:t>customXmlPr</w:t>
            </w:r>
            <w:r>
              <w:t xml:space="preserve"> (Custom XML </w:t>
            </w:r>
            <w:r>
              <w:t>Element Properties)</w:t>
            </w:r>
          </w:p>
        </w:tc>
        <w:tc>
          <w:tcPr>
            <w:tcW w:w="0" w:type="auto"/>
            <w:vAlign w:val="center"/>
          </w:tcPr>
          <w:p w:rsidR="000A156F" w:rsidRDefault="00A9721F">
            <w:pPr>
              <w:pStyle w:val="TableBodyText"/>
            </w:pPr>
            <w:r>
              <w:t>"[ISO/IEC-29500-1] §17.5.1.7"</w:t>
            </w:r>
          </w:p>
        </w:tc>
      </w:tr>
      <w:tr w:rsidR="000A156F" w:rsidTr="000A156F">
        <w:tc>
          <w:tcPr>
            <w:tcW w:w="0" w:type="auto"/>
            <w:vAlign w:val="center"/>
          </w:tcPr>
          <w:p w:rsidR="000A156F" w:rsidRDefault="00A9721F">
            <w:pPr>
              <w:pStyle w:val="TableBodyText"/>
            </w:pPr>
            <w:r>
              <w:rPr>
                <w:b/>
              </w:rPr>
              <w:t>d</w:t>
            </w:r>
            <w:r>
              <w:t xml:space="preserve"> (Delimiter Object)</w:t>
            </w:r>
          </w:p>
        </w:tc>
        <w:tc>
          <w:tcPr>
            <w:tcW w:w="0" w:type="auto"/>
            <w:vAlign w:val="center"/>
          </w:tcPr>
          <w:p w:rsidR="000A156F" w:rsidRDefault="00A9721F">
            <w:pPr>
              <w:pStyle w:val="TableBodyText"/>
            </w:pPr>
            <w:r>
              <w:t>"[ISO/IEC-29500-1] §22.1.2.24"</w:t>
            </w:r>
          </w:p>
        </w:tc>
      </w:tr>
      <w:tr w:rsidR="000A156F" w:rsidTr="000A156F">
        <w:tc>
          <w:tcPr>
            <w:tcW w:w="0" w:type="auto"/>
            <w:vAlign w:val="center"/>
          </w:tcPr>
          <w:p w:rsidR="000A156F" w:rsidRDefault="00A9721F">
            <w:pPr>
              <w:pStyle w:val="TableBodyText"/>
            </w:pPr>
            <w:r>
              <w:rPr>
                <w:b/>
              </w:rPr>
              <w:t>del</w:t>
            </w:r>
            <w:r>
              <w:t xml:space="preserve"> (Deleted Run Content)</w:t>
            </w:r>
          </w:p>
        </w:tc>
        <w:tc>
          <w:tcPr>
            <w:tcW w:w="0" w:type="auto"/>
            <w:vAlign w:val="center"/>
          </w:tcPr>
          <w:p w:rsidR="000A156F" w:rsidRDefault="00A9721F">
            <w:pPr>
              <w:pStyle w:val="TableBodyText"/>
            </w:pPr>
            <w:r>
              <w:t>"[ISO/IEC-29500-1] §17.13.5.14"</w:t>
            </w:r>
          </w:p>
        </w:tc>
      </w:tr>
      <w:tr w:rsidR="000A156F" w:rsidTr="000A156F">
        <w:tc>
          <w:tcPr>
            <w:tcW w:w="0" w:type="auto"/>
            <w:vAlign w:val="center"/>
          </w:tcPr>
          <w:p w:rsidR="000A156F" w:rsidRDefault="00A9721F">
            <w:pPr>
              <w:pStyle w:val="TableBodyText"/>
            </w:pPr>
            <w:r>
              <w:rPr>
                <w:b/>
              </w:rPr>
              <w:t>eqArr</w:t>
            </w:r>
            <w:r>
              <w:t xml:space="preserve"> (Array Object)</w:t>
            </w:r>
          </w:p>
        </w:tc>
        <w:tc>
          <w:tcPr>
            <w:tcW w:w="0" w:type="auto"/>
            <w:vAlign w:val="center"/>
          </w:tcPr>
          <w:p w:rsidR="000A156F" w:rsidRDefault="00A9721F">
            <w:pPr>
              <w:pStyle w:val="TableBodyText"/>
            </w:pPr>
            <w:r>
              <w:t>"[ISO/IEC-29500-1] §22.1.2.34"</w:t>
            </w:r>
          </w:p>
        </w:tc>
      </w:tr>
      <w:tr w:rsidR="000A156F" w:rsidTr="000A156F">
        <w:tc>
          <w:tcPr>
            <w:tcW w:w="0" w:type="auto"/>
            <w:vAlign w:val="center"/>
          </w:tcPr>
          <w:p w:rsidR="000A156F" w:rsidRDefault="00A9721F">
            <w:pPr>
              <w:pStyle w:val="TableBodyText"/>
            </w:pPr>
            <w:r>
              <w:rPr>
                <w:b/>
              </w:rPr>
              <w:t>f</w:t>
            </w:r>
            <w:r>
              <w:t xml:space="preserve"> (Fraction Object)</w:t>
            </w:r>
          </w:p>
        </w:tc>
        <w:tc>
          <w:tcPr>
            <w:tcW w:w="0" w:type="auto"/>
            <w:vAlign w:val="center"/>
          </w:tcPr>
          <w:p w:rsidR="000A156F" w:rsidRDefault="00A9721F">
            <w:pPr>
              <w:pStyle w:val="TableBodyText"/>
            </w:pPr>
            <w:r>
              <w:t>"[ISO/IEC-29500-1]</w:t>
            </w:r>
            <w:r>
              <w:t xml:space="preserve"> §22.1.2.36"</w:t>
            </w:r>
          </w:p>
        </w:tc>
      </w:tr>
      <w:tr w:rsidR="000A156F" w:rsidTr="000A156F">
        <w:tc>
          <w:tcPr>
            <w:tcW w:w="0" w:type="auto"/>
            <w:vAlign w:val="center"/>
          </w:tcPr>
          <w:p w:rsidR="000A156F" w:rsidRDefault="00A9721F">
            <w:pPr>
              <w:pStyle w:val="TableBodyText"/>
            </w:pPr>
            <w:r>
              <w:rPr>
                <w:b/>
              </w:rPr>
              <w:t>fldSimple</w:t>
            </w:r>
            <w:r>
              <w:t xml:space="preserve"> (Ruby Simple Field)</w:t>
            </w:r>
          </w:p>
        </w:tc>
        <w:tc>
          <w:tcPr>
            <w:tcW w:w="0" w:type="auto"/>
            <w:vAlign w:val="center"/>
          </w:tcPr>
          <w:p w:rsidR="000A156F" w:rsidRDefault="00A9721F">
            <w:pPr>
              <w:pStyle w:val="TableBodyText"/>
            </w:pPr>
            <w:r>
              <w:t>§3.1.3.1.2, fldSimple</w:t>
            </w:r>
          </w:p>
        </w:tc>
      </w:tr>
      <w:tr w:rsidR="000A156F" w:rsidTr="000A156F">
        <w:tc>
          <w:tcPr>
            <w:tcW w:w="0" w:type="auto"/>
            <w:vAlign w:val="center"/>
          </w:tcPr>
          <w:p w:rsidR="000A156F" w:rsidRDefault="00A9721F">
            <w:pPr>
              <w:pStyle w:val="TableBodyText"/>
            </w:pPr>
            <w:r>
              <w:rPr>
                <w:b/>
              </w:rPr>
              <w:t>func</w:t>
            </w:r>
            <w:r>
              <w:t xml:space="preserve"> (Function Apply Object)</w:t>
            </w:r>
          </w:p>
        </w:tc>
        <w:tc>
          <w:tcPr>
            <w:tcW w:w="0" w:type="auto"/>
            <w:vAlign w:val="center"/>
          </w:tcPr>
          <w:p w:rsidR="000A156F" w:rsidRDefault="00A9721F">
            <w:pPr>
              <w:pStyle w:val="TableBodyText"/>
            </w:pPr>
            <w:r>
              <w:t>"[ISO/IEC-29500-1] §22.1.2.39"</w:t>
            </w:r>
          </w:p>
        </w:tc>
      </w:tr>
      <w:tr w:rsidR="000A156F" w:rsidTr="000A156F">
        <w:tc>
          <w:tcPr>
            <w:tcW w:w="0" w:type="auto"/>
            <w:vAlign w:val="center"/>
          </w:tcPr>
          <w:p w:rsidR="000A156F" w:rsidRDefault="00A9721F">
            <w:pPr>
              <w:pStyle w:val="TableBodyText"/>
            </w:pPr>
            <w:r>
              <w:rPr>
                <w:b/>
              </w:rPr>
              <w:t>groupChr</w:t>
            </w:r>
            <w:r>
              <w:t xml:space="preserve"> (Group-Character Object)</w:t>
            </w:r>
          </w:p>
        </w:tc>
        <w:tc>
          <w:tcPr>
            <w:tcW w:w="0" w:type="auto"/>
            <w:vAlign w:val="center"/>
          </w:tcPr>
          <w:p w:rsidR="000A156F" w:rsidRDefault="00A9721F">
            <w:pPr>
              <w:pStyle w:val="TableBodyText"/>
            </w:pPr>
            <w:r>
              <w:t>"[ISO/IEC-29500-1] §22.1.2.41"</w:t>
            </w:r>
          </w:p>
        </w:tc>
      </w:tr>
      <w:tr w:rsidR="000A156F" w:rsidTr="000A156F">
        <w:tc>
          <w:tcPr>
            <w:tcW w:w="0" w:type="auto"/>
            <w:vAlign w:val="center"/>
          </w:tcPr>
          <w:p w:rsidR="000A156F" w:rsidRDefault="00A9721F">
            <w:pPr>
              <w:pStyle w:val="TableBodyText"/>
            </w:pPr>
            <w:r>
              <w:rPr>
                <w:b/>
              </w:rPr>
              <w:t>hyperlink</w:t>
            </w:r>
            <w:r>
              <w:t xml:space="preserve"> (Ruby Hyperlink)</w:t>
            </w:r>
          </w:p>
        </w:tc>
        <w:tc>
          <w:tcPr>
            <w:tcW w:w="0" w:type="auto"/>
            <w:vAlign w:val="center"/>
          </w:tcPr>
          <w:p w:rsidR="000A156F" w:rsidRDefault="00A9721F">
            <w:pPr>
              <w:pStyle w:val="TableBodyText"/>
            </w:pPr>
            <w:r>
              <w:t>§3.1.3.1.3, hyperlink</w:t>
            </w:r>
          </w:p>
        </w:tc>
      </w:tr>
      <w:tr w:rsidR="000A156F" w:rsidTr="000A156F">
        <w:tc>
          <w:tcPr>
            <w:tcW w:w="0" w:type="auto"/>
            <w:vAlign w:val="center"/>
          </w:tcPr>
          <w:p w:rsidR="000A156F" w:rsidRDefault="00A9721F">
            <w:pPr>
              <w:pStyle w:val="TableBodyText"/>
            </w:pPr>
            <w:r>
              <w:rPr>
                <w:b/>
              </w:rPr>
              <w:t>ins</w:t>
            </w:r>
            <w:r>
              <w:t xml:space="preserve"> (Inserted Run Content)</w:t>
            </w:r>
          </w:p>
        </w:tc>
        <w:tc>
          <w:tcPr>
            <w:tcW w:w="0" w:type="auto"/>
            <w:vAlign w:val="center"/>
          </w:tcPr>
          <w:p w:rsidR="000A156F" w:rsidRDefault="00A9721F">
            <w:pPr>
              <w:pStyle w:val="TableBodyText"/>
            </w:pPr>
            <w:r>
              <w:t>"[ISO/IEC-29500-1] §17.13.5.18"</w:t>
            </w:r>
          </w:p>
        </w:tc>
      </w:tr>
      <w:tr w:rsidR="000A156F" w:rsidTr="000A156F">
        <w:tc>
          <w:tcPr>
            <w:tcW w:w="0" w:type="auto"/>
            <w:vAlign w:val="center"/>
          </w:tcPr>
          <w:p w:rsidR="000A156F" w:rsidRDefault="00A9721F">
            <w:pPr>
              <w:pStyle w:val="TableBodyText"/>
            </w:pPr>
            <w:r>
              <w:rPr>
                <w:b/>
              </w:rPr>
              <w:t>limLow</w:t>
            </w:r>
            <w:r>
              <w:t xml:space="preserve"> (Lower-Limit Object)</w:t>
            </w:r>
          </w:p>
        </w:tc>
        <w:tc>
          <w:tcPr>
            <w:tcW w:w="0" w:type="auto"/>
            <w:vAlign w:val="center"/>
          </w:tcPr>
          <w:p w:rsidR="000A156F" w:rsidRDefault="00A9721F">
            <w:pPr>
              <w:pStyle w:val="TableBodyText"/>
            </w:pPr>
            <w:r>
              <w:t>"[ISO/IEC-29500-1] §22.1.2.54"</w:t>
            </w:r>
          </w:p>
        </w:tc>
      </w:tr>
      <w:tr w:rsidR="000A156F" w:rsidTr="000A156F">
        <w:tc>
          <w:tcPr>
            <w:tcW w:w="0" w:type="auto"/>
            <w:vAlign w:val="center"/>
          </w:tcPr>
          <w:p w:rsidR="000A156F" w:rsidRDefault="00A9721F">
            <w:pPr>
              <w:pStyle w:val="TableBodyText"/>
            </w:pPr>
            <w:r>
              <w:rPr>
                <w:b/>
              </w:rPr>
              <w:lastRenderedPageBreak/>
              <w:t>limUpp</w:t>
            </w:r>
            <w:r>
              <w:t xml:space="preserve"> (Upper-Limit Object)</w:t>
            </w:r>
          </w:p>
        </w:tc>
        <w:tc>
          <w:tcPr>
            <w:tcW w:w="0" w:type="auto"/>
            <w:vAlign w:val="center"/>
          </w:tcPr>
          <w:p w:rsidR="000A156F" w:rsidRDefault="00A9721F">
            <w:pPr>
              <w:pStyle w:val="TableBodyText"/>
            </w:pPr>
            <w:r>
              <w:t>"[ISO/IEC-29500-1] §22.1.2.56"</w:t>
            </w:r>
          </w:p>
        </w:tc>
      </w:tr>
      <w:tr w:rsidR="000A156F" w:rsidTr="000A156F">
        <w:tc>
          <w:tcPr>
            <w:tcW w:w="0" w:type="auto"/>
            <w:vAlign w:val="center"/>
          </w:tcPr>
          <w:p w:rsidR="000A156F" w:rsidRDefault="00A9721F">
            <w:pPr>
              <w:pStyle w:val="TableBodyText"/>
            </w:pPr>
            <w:r>
              <w:rPr>
                <w:b/>
              </w:rPr>
              <w:t>m</w:t>
            </w:r>
            <w:r>
              <w:t xml:space="preserve"> (Matrix Object)</w:t>
            </w:r>
          </w:p>
        </w:tc>
        <w:tc>
          <w:tcPr>
            <w:tcW w:w="0" w:type="auto"/>
            <w:vAlign w:val="center"/>
          </w:tcPr>
          <w:p w:rsidR="000A156F" w:rsidRDefault="00A9721F">
            <w:pPr>
              <w:pStyle w:val="TableBodyText"/>
            </w:pPr>
            <w:r>
              <w:t>"[ISO/IEC-29500-1] §22.1.2.60"</w:t>
            </w:r>
          </w:p>
        </w:tc>
      </w:tr>
      <w:tr w:rsidR="000A156F" w:rsidTr="000A156F">
        <w:tc>
          <w:tcPr>
            <w:tcW w:w="0" w:type="auto"/>
            <w:vAlign w:val="center"/>
          </w:tcPr>
          <w:p w:rsidR="000A156F" w:rsidRDefault="00A9721F">
            <w:pPr>
              <w:pStyle w:val="TableBodyText"/>
            </w:pPr>
            <w:r>
              <w:rPr>
                <w:b/>
              </w:rPr>
              <w:t>moveFrom</w:t>
            </w:r>
            <w:r>
              <w:t xml:space="preserve"> (Move Source Run Con</w:t>
            </w:r>
            <w:r>
              <w:t>tent)</w:t>
            </w:r>
          </w:p>
        </w:tc>
        <w:tc>
          <w:tcPr>
            <w:tcW w:w="0" w:type="auto"/>
            <w:vAlign w:val="center"/>
          </w:tcPr>
          <w:p w:rsidR="000A156F" w:rsidRDefault="00A9721F">
            <w:pPr>
              <w:pStyle w:val="TableBodyText"/>
            </w:pPr>
            <w:r>
              <w:t>"[ISO/IEC-29500-1] §17.13.5.22"</w:t>
            </w:r>
          </w:p>
        </w:tc>
      </w:tr>
      <w:tr w:rsidR="000A156F" w:rsidTr="000A156F">
        <w:tc>
          <w:tcPr>
            <w:tcW w:w="0" w:type="auto"/>
            <w:vAlign w:val="center"/>
          </w:tcPr>
          <w:p w:rsidR="000A156F" w:rsidRDefault="00A9721F">
            <w:pPr>
              <w:pStyle w:val="TableBodyText"/>
            </w:pPr>
            <w:r>
              <w:rPr>
                <w:b/>
              </w:rPr>
              <w:t>moveFromRangeEnd</w:t>
            </w:r>
            <w:r>
              <w:t xml:space="preserve"> (Move Source Location Container - End)</w:t>
            </w:r>
          </w:p>
        </w:tc>
        <w:tc>
          <w:tcPr>
            <w:tcW w:w="0" w:type="auto"/>
            <w:vAlign w:val="center"/>
          </w:tcPr>
          <w:p w:rsidR="000A156F" w:rsidRDefault="00A9721F">
            <w:pPr>
              <w:pStyle w:val="TableBodyText"/>
            </w:pPr>
            <w:r>
              <w:t>"[ISO/IEC-29500-1] §17.13.5.23"</w:t>
            </w:r>
          </w:p>
        </w:tc>
      </w:tr>
      <w:tr w:rsidR="000A156F" w:rsidTr="000A156F">
        <w:tc>
          <w:tcPr>
            <w:tcW w:w="0" w:type="auto"/>
            <w:vAlign w:val="center"/>
          </w:tcPr>
          <w:p w:rsidR="000A156F" w:rsidRDefault="00A9721F">
            <w:pPr>
              <w:pStyle w:val="TableBodyText"/>
            </w:pPr>
            <w:r>
              <w:rPr>
                <w:b/>
              </w:rPr>
              <w:t>moveFromRangeStart</w:t>
            </w:r>
            <w:r>
              <w:t xml:space="preserve"> (Move Source Location Container - Start)</w:t>
            </w:r>
          </w:p>
        </w:tc>
        <w:tc>
          <w:tcPr>
            <w:tcW w:w="0" w:type="auto"/>
            <w:vAlign w:val="center"/>
          </w:tcPr>
          <w:p w:rsidR="000A156F" w:rsidRDefault="00A9721F">
            <w:pPr>
              <w:pStyle w:val="TableBodyText"/>
            </w:pPr>
            <w:r>
              <w:t>"[ISO/IEC-29500-1] §17.13.5.24"</w:t>
            </w:r>
          </w:p>
        </w:tc>
      </w:tr>
      <w:tr w:rsidR="000A156F" w:rsidTr="000A156F">
        <w:tc>
          <w:tcPr>
            <w:tcW w:w="0" w:type="auto"/>
            <w:vAlign w:val="center"/>
          </w:tcPr>
          <w:p w:rsidR="000A156F" w:rsidRDefault="00A9721F">
            <w:pPr>
              <w:pStyle w:val="TableBodyText"/>
            </w:pPr>
            <w:r>
              <w:rPr>
                <w:b/>
              </w:rPr>
              <w:t>moveTo</w:t>
            </w:r>
            <w:r>
              <w:t xml:space="preserve"> (Move Destination Run Content)</w:t>
            </w:r>
          </w:p>
        </w:tc>
        <w:tc>
          <w:tcPr>
            <w:tcW w:w="0" w:type="auto"/>
            <w:vAlign w:val="center"/>
          </w:tcPr>
          <w:p w:rsidR="000A156F" w:rsidRDefault="00A9721F">
            <w:pPr>
              <w:pStyle w:val="TableBodyText"/>
            </w:pPr>
            <w:r>
              <w:t>"[ISO/IEC-29500-1] §17.13.5.25"</w:t>
            </w:r>
          </w:p>
        </w:tc>
      </w:tr>
      <w:tr w:rsidR="000A156F" w:rsidTr="000A156F">
        <w:tc>
          <w:tcPr>
            <w:tcW w:w="0" w:type="auto"/>
            <w:vAlign w:val="center"/>
          </w:tcPr>
          <w:p w:rsidR="000A156F" w:rsidRDefault="00A9721F">
            <w:pPr>
              <w:pStyle w:val="TableBodyText"/>
            </w:pPr>
            <w:r>
              <w:rPr>
                <w:b/>
              </w:rPr>
              <w:t>moveToRangeEnd</w:t>
            </w:r>
            <w:r>
              <w:t xml:space="preserve"> (Move Destination Location Container - End)</w:t>
            </w:r>
          </w:p>
        </w:tc>
        <w:tc>
          <w:tcPr>
            <w:tcW w:w="0" w:type="auto"/>
            <w:vAlign w:val="center"/>
          </w:tcPr>
          <w:p w:rsidR="000A156F" w:rsidRDefault="00A9721F">
            <w:pPr>
              <w:pStyle w:val="TableBodyText"/>
            </w:pPr>
            <w:r>
              <w:t>"[ISO/IEC-29500-1] §17.13.5.27"</w:t>
            </w:r>
          </w:p>
        </w:tc>
      </w:tr>
      <w:tr w:rsidR="000A156F" w:rsidTr="000A156F">
        <w:tc>
          <w:tcPr>
            <w:tcW w:w="0" w:type="auto"/>
            <w:vAlign w:val="center"/>
          </w:tcPr>
          <w:p w:rsidR="000A156F" w:rsidRDefault="00A9721F">
            <w:pPr>
              <w:pStyle w:val="TableBodyText"/>
            </w:pPr>
            <w:r>
              <w:rPr>
                <w:b/>
              </w:rPr>
              <w:t>moveToRangeStart</w:t>
            </w:r>
            <w:r>
              <w:t xml:space="preserve"> (Move Destination Location Container - Start)</w:t>
            </w:r>
          </w:p>
        </w:tc>
        <w:tc>
          <w:tcPr>
            <w:tcW w:w="0" w:type="auto"/>
            <w:vAlign w:val="center"/>
          </w:tcPr>
          <w:p w:rsidR="000A156F" w:rsidRDefault="00A9721F">
            <w:pPr>
              <w:pStyle w:val="TableBodyText"/>
            </w:pPr>
            <w:r>
              <w:t>"[ISO/IEC-29500-1] §17.13.5.28"</w:t>
            </w:r>
          </w:p>
        </w:tc>
      </w:tr>
      <w:tr w:rsidR="000A156F" w:rsidTr="000A156F">
        <w:tc>
          <w:tcPr>
            <w:tcW w:w="0" w:type="auto"/>
            <w:vAlign w:val="center"/>
          </w:tcPr>
          <w:p w:rsidR="000A156F" w:rsidRDefault="00A9721F">
            <w:pPr>
              <w:pStyle w:val="TableBodyText"/>
            </w:pPr>
            <w:r>
              <w:rPr>
                <w:b/>
              </w:rPr>
              <w:t>nar</w:t>
            </w:r>
            <w:r>
              <w:rPr>
                <w:b/>
              </w:rPr>
              <w:t>y</w:t>
            </w:r>
            <w:r>
              <w:t xml:space="preserve"> (n-ary Operator Object)</w:t>
            </w:r>
          </w:p>
        </w:tc>
        <w:tc>
          <w:tcPr>
            <w:tcW w:w="0" w:type="auto"/>
            <w:vAlign w:val="center"/>
          </w:tcPr>
          <w:p w:rsidR="000A156F" w:rsidRDefault="00A9721F">
            <w:pPr>
              <w:pStyle w:val="TableBodyText"/>
            </w:pPr>
            <w:r>
              <w:t>"[ISO/IEC-29500-1] §22.1.2.70"</w:t>
            </w:r>
          </w:p>
        </w:tc>
      </w:tr>
      <w:tr w:rsidR="000A156F" w:rsidTr="000A156F">
        <w:tc>
          <w:tcPr>
            <w:tcW w:w="0" w:type="auto"/>
            <w:vAlign w:val="center"/>
          </w:tcPr>
          <w:p w:rsidR="000A156F" w:rsidRDefault="00A9721F">
            <w:pPr>
              <w:pStyle w:val="TableBodyText"/>
            </w:pPr>
            <w:r>
              <w:rPr>
                <w:b/>
              </w:rPr>
              <w:t>oMath</w:t>
            </w:r>
            <w:r>
              <w:t xml:space="preserve"> (Office Math)</w:t>
            </w:r>
          </w:p>
        </w:tc>
        <w:tc>
          <w:tcPr>
            <w:tcW w:w="0" w:type="auto"/>
            <w:vAlign w:val="center"/>
          </w:tcPr>
          <w:p w:rsidR="000A156F" w:rsidRDefault="00A9721F">
            <w:pPr>
              <w:pStyle w:val="TableBodyText"/>
            </w:pPr>
            <w:r>
              <w:t>"[ISO/IEC-29500-1] §22.1.2.77"</w:t>
            </w:r>
          </w:p>
        </w:tc>
      </w:tr>
      <w:tr w:rsidR="000A156F" w:rsidTr="000A156F">
        <w:tc>
          <w:tcPr>
            <w:tcW w:w="0" w:type="auto"/>
            <w:vAlign w:val="center"/>
          </w:tcPr>
          <w:p w:rsidR="000A156F" w:rsidRDefault="00A9721F">
            <w:pPr>
              <w:pStyle w:val="TableBodyText"/>
            </w:pPr>
            <w:r>
              <w:rPr>
                <w:b/>
              </w:rPr>
              <w:t>oMathPara</w:t>
            </w:r>
            <w:r>
              <w:t xml:space="preserve"> (Office Math Paragraph)</w:t>
            </w:r>
          </w:p>
        </w:tc>
        <w:tc>
          <w:tcPr>
            <w:tcW w:w="0" w:type="auto"/>
            <w:vAlign w:val="center"/>
          </w:tcPr>
          <w:p w:rsidR="000A156F" w:rsidRDefault="00A9721F">
            <w:pPr>
              <w:pStyle w:val="TableBodyText"/>
            </w:pPr>
            <w:r>
              <w:t>"[ISO/IEC-29500-1] §22.1.2.78"</w:t>
            </w:r>
          </w:p>
        </w:tc>
      </w:tr>
      <w:tr w:rsidR="000A156F" w:rsidTr="000A156F">
        <w:tc>
          <w:tcPr>
            <w:tcW w:w="0" w:type="auto"/>
            <w:vAlign w:val="center"/>
          </w:tcPr>
          <w:p w:rsidR="000A156F" w:rsidRDefault="00A9721F">
            <w:pPr>
              <w:pStyle w:val="TableBodyText"/>
            </w:pPr>
            <w:r>
              <w:rPr>
                <w:b/>
              </w:rPr>
              <w:t>permEnd</w:t>
            </w:r>
            <w:r>
              <w:t xml:space="preserve"> (Range Permission End)</w:t>
            </w:r>
          </w:p>
        </w:tc>
        <w:tc>
          <w:tcPr>
            <w:tcW w:w="0" w:type="auto"/>
            <w:vAlign w:val="center"/>
          </w:tcPr>
          <w:p w:rsidR="000A156F" w:rsidRDefault="00A9721F">
            <w:pPr>
              <w:pStyle w:val="TableBodyText"/>
            </w:pPr>
            <w:r>
              <w:t>"[ISO/IEC-29500-1] §17.13.7.1"</w:t>
            </w:r>
          </w:p>
        </w:tc>
      </w:tr>
      <w:tr w:rsidR="000A156F" w:rsidTr="000A156F">
        <w:tc>
          <w:tcPr>
            <w:tcW w:w="0" w:type="auto"/>
            <w:vAlign w:val="center"/>
          </w:tcPr>
          <w:p w:rsidR="000A156F" w:rsidRDefault="00A9721F">
            <w:pPr>
              <w:pStyle w:val="TableBodyText"/>
            </w:pPr>
            <w:r>
              <w:rPr>
                <w:b/>
              </w:rPr>
              <w:t>permStart</w:t>
            </w:r>
            <w:r>
              <w:t xml:space="preserve"> (Range Permission Start)</w:t>
            </w:r>
          </w:p>
        </w:tc>
        <w:tc>
          <w:tcPr>
            <w:tcW w:w="0" w:type="auto"/>
            <w:vAlign w:val="center"/>
          </w:tcPr>
          <w:p w:rsidR="000A156F" w:rsidRDefault="00A9721F">
            <w:pPr>
              <w:pStyle w:val="TableBodyText"/>
            </w:pPr>
            <w:r>
              <w:t>"[ISO/IEC-29500-1] §17.13.7.2"</w:t>
            </w:r>
          </w:p>
        </w:tc>
      </w:tr>
      <w:tr w:rsidR="000A156F" w:rsidTr="000A156F">
        <w:tc>
          <w:tcPr>
            <w:tcW w:w="0" w:type="auto"/>
            <w:vAlign w:val="center"/>
          </w:tcPr>
          <w:p w:rsidR="000A156F" w:rsidRDefault="00A9721F">
            <w:pPr>
              <w:pStyle w:val="TableBodyText"/>
            </w:pPr>
            <w:r>
              <w:rPr>
                <w:b/>
              </w:rPr>
              <w:t>phant</w:t>
            </w:r>
            <w:r>
              <w:t xml:space="preserve"> (Phantom Object)</w:t>
            </w:r>
          </w:p>
        </w:tc>
        <w:tc>
          <w:tcPr>
            <w:tcW w:w="0" w:type="auto"/>
            <w:vAlign w:val="center"/>
          </w:tcPr>
          <w:p w:rsidR="000A156F" w:rsidRDefault="00A9721F">
            <w:pPr>
              <w:pStyle w:val="TableBodyText"/>
            </w:pPr>
            <w:r>
              <w:t>"[ISO/IEC-29500-1] §22.1.2.81"</w:t>
            </w:r>
          </w:p>
        </w:tc>
      </w:tr>
      <w:tr w:rsidR="000A156F" w:rsidTr="000A156F">
        <w:tc>
          <w:tcPr>
            <w:tcW w:w="0" w:type="auto"/>
            <w:vAlign w:val="center"/>
          </w:tcPr>
          <w:p w:rsidR="000A156F" w:rsidRDefault="00A9721F">
            <w:pPr>
              <w:pStyle w:val="TableBodyText"/>
            </w:pPr>
            <w:r>
              <w:rPr>
                <w:b/>
              </w:rPr>
              <w:t>proofErr</w:t>
            </w:r>
            <w:r>
              <w:t xml:space="preserve"> (Proofing Error Anchor)</w:t>
            </w:r>
          </w:p>
        </w:tc>
        <w:tc>
          <w:tcPr>
            <w:tcW w:w="0" w:type="auto"/>
            <w:vAlign w:val="center"/>
          </w:tcPr>
          <w:p w:rsidR="000A156F" w:rsidRDefault="00A9721F">
            <w:pPr>
              <w:pStyle w:val="TableBodyText"/>
            </w:pPr>
            <w:r>
              <w:t>"[ISO/IEC-29500-1] §17.13.8.1"</w:t>
            </w:r>
          </w:p>
        </w:tc>
      </w:tr>
      <w:tr w:rsidR="000A156F" w:rsidTr="000A156F">
        <w:tc>
          <w:tcPr>
            <w:tcW w:w="0" w:type="auto"/>
            <w:vAlign w:val="center"/>
          </w:tcPr>
          <w:p w:rsidR="000A156F" w:rsidRDefault="00A9721F">
            <w:pPr>
              <w:pStyle w:val="TableBodyText"/>
            </w:pPr>
            <w:r>
              <w:rPr>
                <w:b/>
              </w:rPr>
              <w:t>r</w:t>
            </w:r>
            <w:r>
              <w:t xml:space="preserve"> (Run)</w:t>
            </w:r>
          </w:p>
        </w:tc>
        <w:tc>
          <w:tcPr>
            <w:tcW w:w="0" w:type="auto"/>
            <w:vAlign w:val="center"/>
          </w:tcPr>
          <w:p w:rsidR="000A156F" w:rsidRDefault="00A9721F">
            <w:pPr>
              <w:pStyle w:val="TableBodyText"/>
            </w:pPr>
            <w:r>
              <w:t>"[ISO/IEC-29500-1] §22.1.2.87"</w:t>
            </w:r>
          </w:p>
        </w:tc>
      </w:tr>
      <w:tr w:rsidR="000A156F" w:rsidTr="000A156F">
        <w:tc>
          <w:tcPr>
            <w:tcW w:w="0" w:type="auto"/>
            <w:vAlign w:val="center"/>
          </w:tcPr>
          <w:p w:rsidR="000A156F" w:rsidRDefault="00A9721F">
            <w:pPr>
              <w:pStyle w:val="TableBodyText"/>
            </w:pPr>
            <w:r>
              <w:rPr>
                <w:b/>
              </w:rPr>
              <w:t>r</w:t>
            </w:r>
            <w:r>
              <w:t xml:space="preserve"> (Text Run)</w:t>
            </w:r>
          </w:p>
        </w:tc>
        <w:tc>
          <w:tcPr>
            <w:tcW w:w="0" w:type="auto"/>
            <w:vAlign w:val="center"/>
          </w:tcPr>
          <w:p w:rsidR="000A156F" w:rsidRDefault="00A9721F">
            <w:pPr>
              <w:pStyle w:val="TableBodyText"/>
            </w:pPr>
            <w:r>
              <w:t>"[ISO/IEC-29500-1]</w:t>
            </w:r>
            <w:r>
              <w:t xml:space="preserve"> §17.3.2.25"</w:t>
            </w:r>
          </w:p>
        </w:tc>
      </w:tr>
      <w:tr w:rsidR="000A156F" w:rsidTr="000A156F">
        <w:tc>
          <w:tcPr>
            <w:tcW w:w="0" w:type="auto"/>
            <w:vAlign w:val="center"/>
          </w:tcPr>
          <w:p w:rsidR="000A156F" w:rsidRDefault="00A9721F">
            <w:pPr>
              <w:pStyle w:val="TableBodyText"/>
            </w:pPr>
            <w:r>
              <w:rPr>
                <w:b/>
              </w:rPr>
              <w:t>rad</w:t>
            </w:r>
            <w:r>
              <w:t xml:space="preserve"> (Radical Object)</w:t>
            </w:r>
          </w:p>
        </w:tc>
        <w:tc>
          <w:tcPr>
            <w:tcW w:w="0" w:type="auto"/>
            <w:vAlign w:val="center"/>
          </w:tcPr>
          <w:p w:rsidR="000A156F" w:rsidRDefault="00A9721F">
            <w:pPr>
              <w:pStyle w:val="TableBodyText"/>
            </w:pPr>
            <w:r>
              <w:t>"[ISO/IEC-29500-1] §22.1.2.88"</w:t>
            </w:r>
          </w:p>
        </w:tc>
      </w:tr>
      <w:tr w:rsidR="000A156F" w:rsidTr="000A156F">
        <w:tc>
          <w:tcPr>
            <w:tcW w:w="0" w:type="auto"/>
            <w:vAlign w:val="center"/>
          </w:tcPr>
          <w:p w:rsidR="000A156F" w:rsidRDefault="00A9721F">
            <w:pPr>
              <w:pStyle w:val="TableBodyText"/>
            </w:pPr>
            <w:r>
              <w:rPr>
                <w:b/>
              </w:rPr>
              <w:t>sdt</w:t>
            </w:r>
            <w:r>
              <w:t xml:space="preserve"> (Ruby Inline-Level Structured Document Tag)</w:t>
            </w:r>
          </w:p>
        </w:tc>
        <w:tc>
          <w:tcPr>
            <w:tcW w:w="0" w:type="auto"/>
            <w:vAlign w:val="center"/>
          </w:tcPr>
          <w:p w:rsidR="000A156F" w:rsidRDefault="00A9721F">
            <w:pPr>
              <w:pStyle w:val="TableBodyText"/>
            </w:pPr>
            <w:r>
              <w:t>§</w:t>
            </w:r>
            <w:hyperlink w:anchor="Section_808b32d8ad644c849fb585ad68be54b9">
              <w:r>
                <w:rPr>
                  <w:rStyle w:val="Hyperlink"/>
                </w:rPr>
                <w:t>3.1.3.1.6, sdt</w:t>
              </w:r>
            </w:hyperlink>
          </w:p>
        </w:tc>
      </w:tr>
      <w:tr w:rsidR="000A156F" w:rsidTr="000A156F">
        <w:tc>
          <w:tcPr>
            <w:tcW w:w="0" w:type="auto"/>
            <w:vAlign w:val="center"/>
          </w:tcPr>
          <w:p w:rsidR="000A156F" w:rsidRDefault="00A9721F">
            <w:pPr>
              <w:pStyle w:val="TableBodyText"/>
            </w:pPr>
            <w:r>
              <w:rPr>
                <w:b/>
              </w:rPr>
              <w:t>sPre</w:t>
            </w:r>
            <w:r>
              <w:t xml:space="preserve"> (Pre-Sub-Superscript Object)</w:t>
            </w:r>
          </w:p>
        </w:tc>
        <w:tc>
          <w:tcPr>
            <w:tcW w:w="0" w:type="auto"/>
            <w:vAlign w:val="center"/>
          </w:tcPr>
          <w:p w:rsidR="000A156F" w:rsidRDefault="00A9721F">
            <w:pPr>
              <w:pStyle w:val="TableBodyText"/>
            </w:pPr>
            <w:r>
              <w:t>"[ISO/IEC-29500-1]</w:t>
            </w:r>
            <w:r>
              <w:t xml:space="preserve"> §22.1.2.99"</w:t>
            </w:r>
          </w:p>
        </w:tc>
      </w:tr>
      <w:tr w:rsidR="000A156F" w:rsidTr="000A156F">
        <w:tc>
          <w:tcPr>
            <w:tcW w:w="0" w:type="auto"/>
            <w:vAlign w:val="center"/>
          </w:tcPr>
          <w:p w:rsidR="000A156F" w:rsidRDefault="00A9721F">
            <w:pPr>
              <w:pStyle w:val="TableBodyText"/>
            </w:pPr>
            <w:r>
              <w:rPr>
                <w:b/>
              </w:rPr>
              <w:t>sSub</w:t>
            </w:r>
            <w:r>
              <w:t xml:space="preserve"> (Subscript Object)</w:t>
            </w:r>
          </w:p>
        </w:tc>
        <w:tc>
          <w:tcPr>
            <w:tcW w:w="0" w:type="auto"/>
            <w:vAlign w:val="center"/>
          </w:tcPr>
          <w:p w:rsidR="000A156F" w:rsidRDefault="00A9721F">
            <w:pPr>
              <w:pStyle w:val="TableBodyText"/>
            </w:pPr>
            <w:r>
              <w:t>"[ISO/IEC-29500-1] §22.1.2.101"</w:t>
            </w:r>
          </w:p>
        </w:tc>
      </w:tr>
      <w:tr w:rsidR="000A156F" w:rsidTr="000A156F">
        <w:tc>
          <w:tcPr>
            <w:tcW w:w="0" w:type="auto"/>
            <w:vAlign w:val="center"/>
          </w:tcPr>
          <w:p w:rsidR="000A156F" w:rsidRDefault="00A9721F">
            <w:pPr>
              <w:pStyle w:val="TableBodyText"/>
            </w:pPr>
            <w:r>
              <w:rPr>
                <w:b/>
              </w:rPr>
              <w:t>sSubSup</w:t>
            </w:r>
            <w:r>
              <w:t xml:space="preserve"> (Sub-Superscript Object)</w:t>
            </w:r>
          </w:p>
        </w:tc>
        <w:tc>
          <w:tcPr>
            <w:tcW w:w="0" w:type="auto"/>
            <w:vAlign w:val="center"/>
          </w:tcPr>
          <w:p w:rsidR="000A156F" w:rsidRDefault="00A9721F">
            <w:pPr>
              <w:pStyle w:val="TableBodyText"/>
            </w:pPr>
            <w:r>
              <w:t xml:space="preserve">"[ISO/IEC-29500-1] </w:t>
            </w:r>
            <w:r>
              <w:lastRenderedPageBreak/>
              <w:t>§22.1.2.103"</w:t>
            </w:r>
          </w:p>
        </w:tc>
      </w:tr>
      <w:tr w:rsidR="000A156F" w:rsidTr="000A156F">
        <w:tc>
          <w:tcPr>
            <w:tcW w:w="0" w:type="auto"/>
            <w:vAlign w:val="center"/>
          </w:tcPr>
          <w:p w:rsidR="000A156F" w:rsidRDefault="00A9721F">
            <w:pPr>
              <w:pStyle w:val="TableBodyText"/>
            </w:pPr>
            <w:r>
              <w:rPr>
                <w:b/>
              </w:rPr>
              <w:lastRenderedPageBreak/>
              <w:t>sSup</w:t>
            </w:r>
            <w:r>
              <w:t xml:space="preserve"> (Superscript Object)</w:t>
            </w:r>
          </w:p>
        </w:tc>
        <w:tc>
          <w:tcPr>
            <w:tcW w:w="0" w:type="auto"/>
            <w:vAlign w:val="center"/>
          </w:tcPr>
          <w:p w:rsidR="000A156F" w:rsidRDefault="00A9721F">
            <w:pPr>
              <w:pStyle w:val="TableBodyText"/>
            </w:pPr>
            <w:r>
              <w:t>"[ISO/IEC-29500-1] §22.1.2.105"</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999"/>
        <w:gridCol w:w="747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element</w:t>
            </w:r>
            <w:r>
              <w:t xml:space="preserve"> (Custom XML Element)</w:t>
            </w:r>
          </w:p>
        </w:tc>
        <w:tc>
          <w:tcPr>
            <w:tcW w:w="0" w:type="auto"/>
            <w:vAlign w:val="center"/>
          </w:tcPr>
          <w:p w:rsidR="000A156F" w:rsidRDefault="00A9721F">
            <w:pPr>
              <w:pStyle w:val="TableBodyText"/>
            </w:pPr>
            <w:r>
              <w:t>Specifies the name of the current custom XML element or smart tag within the document.</w:t>
            </w:r>
          </w:p>
          <w:p w:rsidR="000A156F" w:rsidRDefault="000A156F">
            <w:pPr>
              <w:pStyle w:val="TableBodyText"/>
            </w:pPr>
          </w:p>
          <w:p w:rsidR="000A156F" w:rsidRDefault="00A9721F">
            <w:pPr>
              <w:pStyle w:val="TableBodyText"/>
            </w:pPr>
            <w:r>
              <w:t xml:space="preserve">[Example: Consider a custom XML element which shall have a name of </w:t>
            </w:r>
            <w:r>
              <w:rPr>
                <w:i/>
              </w:rPr>
              <w:t>companyName</w:t>
            </w:r>
            <w:r>
              <w:t>. This requirement would be specified using the following WordprocessingML:</w:t>
            </w:r>
          </w:p>
          <w:p w:rsidR="000A156F" w:rsidRDefault="000A156F">
            <w:pPr>
              <w:pStyle w:val="TableBodyText"/>
            </w:pPr>
          </w:p>
          <w:p w:rsidR="000A156F" w:rsidRDefault="00A9721F">
            <w:pPr>
              <w:pStyle w:val="Code"/>
            </w:pPr>
            <w:r>
              <w:t xml:space="preserve">&lt;w:customXml </w:t>
            </w:r>
            <w:r>
              <w:t>w:element="companyName" … &gt;</w:t>
            </w:r>
          </w:p>
          <w:p w:rsidR="000A156F" w:rsidRDefault="00A9721F">
            <w:pPr>
              <w:pStyle w:val="Code"/>
            </w:pPr>
            <w:r>
              <w:t xml:space="preserve">  …</w:t>
            </w:r>
          </w:p>
          <w:p w:rsidR="000A156F" w:rsidRDefault="00A9721F">
            <w:pPr>
              <w:pStyle w:val="Code"/>
            </w:pPr>
            <w:r>
              <w:t>&lt;/w:customXml&gt;</w:t>
            </w:r>
          </w:p>
          <w:p w:rsidR="000A156F" w:rsidRDefault="000A156F">
            <w:pPr>
              <w:pStyle w:val="TableBodyText"/>
            </w:pPr>
          </w:p>
          <w:p w:rsidR="000A156F" w:rsidRDefault="00A9721F">
            <w:pPr>
              <w:pStyle w:val="TableBodyText"/>
            </w:pPr>
            <w:r>
              <w:t xml:space="preserve">The </w:t>
            </w:r>
            <w:r>
              <w:rPr>
                <w:b/>
              </w:rPr>
              <w:t>element</w:t>
            </w:r>
            <w:r>
              <w:t xml:space="preserve"> attribute specifies that the name for this element shall be </w:t>
            </w:r>
            <w:r>
              <w:rPr>
                <w:i/>
              </w:rPr>
              <w:t>companyName</w:t>
            </w:r>
            <w:r>
              <w:t>. end example]</w:t>
            </w:r>
          </w:p>
          <w:p w:rsidR="000A156F" w:rsidRDefault="000A156F">
            <w:pPr>
              <w:pStyle w:val="TableBodyText"/>
            </w:pPr>
          </w:p>
          <w:p w:rsidR="000A156F" w:rsidRDefault="00A9721F">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0A156F" w:rsidTr="000A156F">
        <w:tc>
          <w:tcPr>
            <w:tcW w:w="0" w:type="auto"/>
            <w:vAlign w:val="center"/>
          </w:tcPr>
          <w:p w:rsidR="000A156F" w:rsidRDefault="00A9721F">
            <w:pPr>
              <w:pStyle w:val="TableBodyText"/>
            </w:pPr>
            <w:r>
              <w:rPr>
                <w:b/>
              </w:rPr>
              <w:t>uri</w:t>
            </w:r>
            <w:r>
              <w:t xml:space="preserve"> (Custom XML Element Namespace)</w:t>
            </w:r>
          </w:p>
        </w:tc>
        <w:tc>
          <w:tcPr>
            <w:tcW w:w="0" w:type="auto"/>
            <w:vAlign w:val="center"/>
          </w:tcPr>
          <w:p w:rsidR="000A156F" w:rsidRDefault="00A9721F">
            <w:pPr>
              <w:pStyle w:val="TableBodyText"/>
            </w:pPr>
            <w:r>
              <w:t>Specifies the namespace URI of the current custom XML element or smart tag.</w:t>
            </w:r>
          </w:p>
          <w:p w:rsidR="000A156F" w:rsidRDefault="000A156F">
            <w:pPr>
              <w:pStyle w:val="TableBodyText"/>
            </w:pPr>
          </w:p>
          <w:p w:rsidR="000A156F" w:rsidRDefault="00A9721F">
            <w:pPr>
              <w:pStyle w:val="TableBodyText"/>
            </w:pPr>
            <w:r>
              <w:t>If this attribute is omitted, the URI shall be assumed to be null (no associat</w:t>
            </w:r>
            <w:r>
              <w:t>ed URI).</w:t>
            </w:r>
          </w:p>
          <w:p w:rsidR="000A156F" w:rsidRDefault="000A156F">
            <w:pPr>
              <w:pStyle w:val="TableBodyText"/>
            </w:pPr>
          </w:p>
          <w:p w:rsidR="000A156F" w:rsidRDefault="00A9721F">
            <w:pPr>
              <w:pStyle w:val="TableBodyText"/>
            </w:pPr>
            <w:r>
              <w:t>[Example: Consider a custom XML element which shall have a namespace URI of</w:t>
            </w:r>
            <w:r>
              <w:rPr>
                <w:i/>
              </w:rPr>
              <w:t xml:space="preserve"> urn:customXmlExample</w:t>
            </w:r>
            <w:r>
              <w:t>. This requirement would be specified using the following WordprocessingML:</w:t>
            </w:r>
          </w:p>
          <w:p w:rsidR="000A156F" w:rsidRDefault="000A156F">
            <w:pPr>
              <w:pStyle w:val="TableBodyText"/>
            </w:pPr>
          </w:p>
          <w:p w:rsidR="000A156F" w:rsidRDefault="00A9721F">
            <w:pPr>
              <w:pStyle w:val="Code"/>
            </w:pPr>
            <w:r>
              <w:t>&lt;w:customXml … w:uri="urn:customXmlExample" /&gt;</w:t>
            </w:r>
          </w:p>
          <w:p w:rsidR="000A156F" w:rsidRDefault="00A9721F">
            <w:pPr>
              <w:pStyle w:val="Code"/>
            </w:pPr>
            <w:r>
              <w:t xml:space="preserve">  …</w:t>
            </w:r>
          </w:p>
          <w:p w:rsidR="000A156F" w:rsidRDefault="00A9721F">
            <w:pPr>
              <w:pStyle w:val="Code"/>
            </w:pPr>
            <w:r>
              <w:t>&lt;/w:customXml&gt;</w:t>
            </w:r>
          </w:p>
          <w:p w:rsidR="000A156F" w:rsidRDefault="000A156F">
            <w:pPr>
              <w:pStyle w:val="TableBodyText"/>
            </w:pPr>
          </w:p>
          <w:p w:rsidR="000A156F" w:rsidRDefault="00A9721F">
            <w:pPr>
              <w:pStyle w:val="TableBodyText"/>
            </w:pPr>
            <w:r>
              <w:t xml:space="preserve">The </w:t>
            </w:r>
            <w:r>
              <w:rPr>
                <w:b/>
              </w:rPr>
              <w:t>uri</w:t>
            </w:r>
            <w:r>
              <w:t xml:space="preserve"> attribute specifies that the namespace for this element shall be </w:t>
            </w:r>
            <w:r>
              <w:rPr>
                <w:i/>
              </w:rPr>
              <w:t>urn:customXmlExample</w:t>
            </w:r>
            <w:r>
              <w:t>. end example]</w:t>
            </w:r>
          </w:p>
          <w:p w:rsidR="000A156F" w:rsidRDefault="000A156F">
            <w:pPr>
              <w:pStyle w:val="TableBodyText"/>
            </w:pPr>
          </w:p>
          <w:p w:rsidR="000A156F" w:rsidRDefault="00A9721F">
            <w:pPr>
              <w:pStyle w:val="TableBodyText"/>
            </w:pPr>
            <w:r>
              <w:t>The possible values for this attribute are defined by the ST_CustomXmlURI simple type (§</w:t>
            </w:r>
            <w:hyperlink w:anchor="Section_04197af53c824a9d81393f1cec2b78eb">
              <w:r>
                <w:rPr>
                  <w:rStyle w:val="Hyperlink"/>
                </w:rPr>
                <w:t>3.1.3.3.1, ST_CustomXmlURI</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&lt;complexType name="CT_CustomXmlRuby"&gt;</w:t>
      </w:r>
    </w:p>
    <w:p w:rsidR="000A156F" w:rsidRDefault="00A9721F">
      <w:pPr>
        <w:pStyle w:val="Code"/>
      </w:pPr>
      <w:r>
        <w:t xml:space="preserve">  &lt;sequence&gt;</w:t>
      </w:r>
    </w:p>
    <w:p w:rsidR="000A156F" w:rsidRDefault="00A9721F">
      <w:pPr>
        <w:pStyle w:val="Code"/>
      </w:pPr>
      <w:r>
        <w:lastRenderedPageBreak/>
        <w:t xml:space="preserve">    &lt;element name="customXmlPr" type="CT_CustomXmlPr" minOccurs="0" maxOccurs="1"/&gt;</w:t>
      </w:r>
    </w:p>
    <w:p w:rsidR="000A156F" w:rsidRDefault="00A9721F">
      <w:pPr>
        <w:pStyle w:val="Code"/>
      </w:pPr>
      <w:r>
        <w:t xml:space="preserve">    &lt;group ref="EG</w:t>
      </w:r>
      <w:r>
        <w:t>_RubyContent" minOccurs="0" maxOccurs="unbounded"/&gt;</w:t>
      </w:r>
    </w:p>
    <w:p w:rsidR="000A156F" w:rsidRDefault="00A9721F">
      <w:pPr>
        <w:pStyle w:val="Code"/>
      </w:pPr>
      <w:r>
        <w:t xml:space="preserve">  &lt;/sequence&gt;</w:t>
      </w:r>
    </w:p>
    <w:p w:rsidR="000A156F" w:rsidRDefault="00A9721F">
      <w:pPr>
        <w:pStyle w:val="Code"/>
      </w:pPr>
      <w:r>
        <w:t xml:space="preserve">  &lt;attribute name="uri" type="ST_CustomXmlURI"/&gt;</w:t>
      </w:r>
    </w:p>
    <w:p w:rsidR="000A156F" w:rsidRDefault="00A9721F">
      <w:pPr>
        <w:pStyle w:val="Code"/>
      </w:pPr>
      <w:r>
        <w:t xml:space="preserve">  &lt;attribute name="element" type="ST_NcName255" use="required"/&gt;</w:t>
      </w:r>
    </w:p>
    <w:p w:rsidR="000A156F" w:rsidRDefault="00A9721F">
      <w:pPr>
        <w:pStyle w:val="Code"/>
      </w:pPr>
      <w:r>
        <w:t>&lt;/complexType&gt;</w:t>
      </w:r>
    </w:p>
    <w:p w:rsidR="000A156F" w:rsidRDefault="00A9721F">
      <w:pPr>
        <w:pStyle w:val="Heading5"/>
      </w:pPr>
      <w:bookmarkStart w:id="3893" w:name="section_34477fff355a497ea2bf4b9c3f80b093"/>
      <w:bookmarkStart w:id="3894" w:name="_Toc181684972"/>
      <w:r>
        <w:t>fldSimple (Ruby Simple Field)</w:t>
      </w:r>
      <w:bookmarkEnd w:id="3893"/>
      <w:bookmarkEnd w:id="3894"/>
      <w:r>
        <w:fldChar w:fldCharType="begin"/>
      </w:r>
      <w:r>
        <w:instrText xml:space="preserve"> XE "fldSimple (Ruby Simple Fiel</w:instrText>
      </w:r>
      <w:r>
        <w:instrText xml:space="preserve">d)" </w:instrText>
      </w:r>
      <w:r>
        <w:fldChar w:fldCharType="end"/>
      </w:r>
    </w:p>
    <w:p w:rsidR="000A156F" w:rsidRDefault="00A9721F">
      <w:r>
        <w:t>This element specifies the presence of a simple field at the current location in the document. The semantics of this field are defined via its field codes ("</w:t>
      </w:r>
      <w:hyperlink r:id="rId294">
        <w:r>
          <w:rPr>
            <w:rStyle w:val="Hyperlink"/>
          </w:rPr>
          <w:t>[ISO/IEC-29500-1]</w:t>
        </w:r>
      </w:hyperlink>
      <w:r>
        <w:t xml:space="preserve"> §17.16.5</w:t>
      </w:r>
      <w:r>
        <w:t>").</w:t>
      </w:r>
    </w:p>
    <w:p w:rsidR="000A156F" w:rsidRDefault="00A9721F">
      <w:r>
        <w:t>[Example: Consider the following WordprocessingML fragment for a simple field:</w:t>
      </w:r>
    </w:p>
    <w:p w:rsidR="000A156F" w:rsidRDefault="00A9721F">
      <w:pPr>
        <w:pStyle w:val="Code"/>
      </w:pPr>
      <w:r>
        <w:t>&lt;w:fldSimple w:instr="FILENAME"&gt;</w:t>
      </w:r>
    </w:p>
    <w:p w:rsidR="000A156F" w:rsidRDefault="00A9721F">
      <w:pPr>
        <w:pStyle w:val="Code"/>
      </w:pPr>
      <w:r>
        <w:t xml:space="preserve">  &lt;w:r&gt;</w:t>
      </w:r>
    </w:p>
    <w:p w:rsidR="000A156F" w:rsidRDefault="00A9721F">
      <w:pPr>
        <w:pStyle w:val="Code"/>
      </w:pPr>
      <w:r>
        <w:t xml:space="preserve">    &lt;w:t&gt;Example Document.docx&lt;/w:t&gt;</w:t>
      </w:r>
    </w:p>
    <w:p w:rsidR="000A156F" w:rsidRDefault="00A9721F">
      <w:pPr>
        <w:pStyle w:val="Code"/>
      </w:pPr>
      <w:r>
        <w:t xml:space="preserve">  &lt;/w:r&gt;</w:t>
      </w:r>
    </w:p>
    <w:p w:rsidR="000A156F" w:rsidRDefault="00A9721F">
      <w:pPr>
        <w:pStyle w:val="Code"/>
      </w:pPr>
      <w:r>
        <w:t>&lt;/w:fldSimple&gt;</w:t>
      </w:r>
    </w:p>
    <w:p w:rsidR="000A156F" w:rsidRDefault="00A9721F">
      <w:r>
        <w:t xml:space="preserve">The </w:t>
      </w:r>
      <w:r>
        <w:rPr>
          <w:b/>
        </w:rPr>
        <w:t>fldSimple</w:t>
      </w:r>
      <w:r>
        <w:t xml:space="preserve"> element defines a </w:t>
      </w:r>
      <w:r>
        <w:rPr>
          <w:i/>
        </w:rPr>
        <w:t>FILENAME</w:t>
      </w:r>
      <w:r>
        <w:t xml:space="preserve"> field ("[ISO/IEC-29500-1]</w:t>
      </w:r>
      <w:r>
        <w:t xml:space="preserve"> §17.16.5.17; FILENAME")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w:t>
            </w:r>
            <w:r>
              <w:rPr>
                <w:b/>
              </w:rPr>
              <w:t>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6758"/>
        <w:gridCol w:w="271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acc</w:t>
            </w:r>
            <w:r>
              <w:t xml:space="preserve"> (Accent)</w:t>
            </w:r>
          </w:p>
        </w:tc>
        <w:tc>
          <w:tcPr>
            <w:tcW w:w="0" w:type="auto"/>
            <w:vAlign w:val="center"/>
          </w:tcPr>
          <w:p w:rsidR="000A156F" w:rsidRDefault="00A9721F">
            <w:pPr>
              <w:pStyle w:val="TableBodyText"/>
            </w:pPr>
            <w:r>
              <w:t>"[ISO/IEC-29500-1] §22.1.2.1"</w:t>
            </w:r>
          </w:p>
        </w:tc>
      </w:tr>
      <w:tr w:rsidR="000A156F" w:rsidTr="000A156F">
        <w:tc>
          <w:tcPr>
            <w:tcW w:w="0" w:type="auto"/>
            <w:vAlign w:val="center"/>
          </w:tcPr>
          <w:p w:rsidR="000A156F" w:rsidRDefault="00A9721F">
            <w:pPr>
              <w:pStyle w:val="TableBodyText"/>
            </w:pPr>
            <w:r>
              <w:rPr>
                <w:b/>
              </w:rPr>
              <w:t>bar</w:t>
            </w:r>
            <w:r>
              <w:t xml:space="preserve"> (Bar)</w:t>
            </w:r>
          </w:p>
        </w:tc>
        <w:tc>
          <w:tcPr>
            <w:tcW w:w="0" w:type="auto"/>
            <w:vAlign w:val="center"/>
          </w:tcPr>
          <w:p w:rsidR="000A156F" w:rsidRDefault="00A9721F">
            <w:pPr>
              <w:pStyle w:val="TableBodyText"/>
            </w:pPr>
            <w:r>
              <w:t>"[ISO/IEC-29500-1] §22.1.2.7"</w:t>
            </w:r>
          </w:p>
        </w:tc>
      </w:tr>
      <w:tr w:rsidR="000A156F" w:rsidTr="000A156F">
        <w:tc>
          <w:tcPr>
            <w:tcW w:w="0" w:type="auto"/>
            <w:vAlign w:val="center"/>
          </w:tcPr>
          <w:p w:rsidR="000A156F" w:rsidRDefault="00A9721F">
            <w:pPr>
              <w:pStyle w:val="TableBodyText"/>
            </w:pPr>
            <w:r>
              <w:rPr>
                <w:b/>
              </w:rPr>
              <w:t>bookmarkEnd</w:t>
            </w:r>
            <w:r>
              <w:t xml:space="preserve"> (Bookmark End)</w:t>
            </w:r>
          </w:p>
        </w:tc>
        <w:tc>
          <w:tcPr>
            <w:tcW w:w="0" w:type="auto"/>
            <w:vAlign w:val="center"/>
          </w:tcPr>
          <w:p w:rsidR="000A156F" w:rsidRDefault="00A9721F">
            <w:pPr>
              <w:pStyle w:val="TableBodyText"/>
            </w:pPr>
            <w:r>
              <w:t>"[ISO/IEC-29500-1] §17.13.6.1"</w:t>
            </w:r>
          </w:p>
        </w:tc>
      </w:tr>
      <w:tr w:rsidR="000A156F" w:rsidTr="000A156F">
        <w:tc>
          <w:tcPr>
            <w:tcW w:w="0" w:type="auto"/>
            <w:vAlign w:val="center"/>
          </w:tcPr>
          <w:p w:rsidR="000A156F" w:rsidRDefault="00A9721F">
            <w:pPr>
              <w:pStyle w:val="TableBodyText"/>
            </w:pPr>
            <w:r>
              <w:rPr>
                <w:b/>
              </w:rPr>
              <w:t>bookmarkStart</w:t>
            </w:r>
            <w:r>
              <w:t xml:space="preserve"> (Bookmark Start)</w:t>
            </w:r>
          </w:p>
        </w:tc>
        <w:tc>
          <w:tcPr>
            <w:tcW w:w="0" w:type="auto"/>
            <w:vAlign w:val="center"/>
          </w:tcPr>
          <w:p w:rsidR="000A156F" w:rsidRDefault="00A9721F">
            <w:pPr>
              <w:pStyle w:val="TableBodyText"/>
            </w:pPr>
            <w:r>
              <w:t>"</w:t>
            </w:r>
            <w:r>
              <w:t>[ISO/IEC-29500-1] §17.13.6.2"</w:t>
            </w:r>
          </w:p>
        </w:tc>
      </w:tr>
      <w:tr w:rsidR="000A156F" w:rsidTr="000A156F">
        <w:tc>
          <w:tcPr>
            <w:tcW w:w="0" w:type="auto"/>
            <w:vAlign w:val="center"/>
          </w:tcPr>
          <w:p w:rsidR="000A156F" w:rsidRDefault="00A9721F">
            <w:pPr>
              <w:pStyle w:val="TableBodyText"/>
            </w:pPr>
            <w:r>
              <w:rPr>
                <w:b/>
              </w:rPr>
              <w:t>borderBox</w:t>
            </w:r>
            <w:r>
              <w:t xml:space="preserve"> (Border-Box Object)</w:t>
            </w:r>
          </w:p>
        </w:tc>
        <w:tc>
          <w:tcPr>
            <w:tcW w:w="0" w:type="auto"/>
            <w:vAlign w:val="center"/>
          </w:tcPr>
          <w:p w:rsidR="000A156F" w:rsidRDefault="00A9721F">
            <w:pPr>
              <w:pStyle w:val="TableBodyText"/>
            </w:pPr>
            <w:r>
              <w:t>"[ISO/IEC-29500-1] §22.1.2.11"</w:t>
            </w:r>
          </w:p>
        </w:tc>
      </w:tr>
      <w:tr w:rsidR="000A156F" w:rsidTr="000A156F">
        <w:tc>
          <w:tcPr>
            <w:tcW w:w="0" w:type="auto"/>
            <w:vAlign w:val="center"/>
          </w:tcPr>
          <w:p w:rsidR="000A156F" w:rsidRDefault="00A9721F">
            <w:pPr>
              <w:pStyle w:val="TableBodyText"/>
            </w:pPr>
            <w:r>
              <w:rPr>
                <w:b/>
              </w:rPr>
              <w:t>box</w:t>
            </w:r>
            <w:r>
              <w:t xml:space="preserve"> (Box Object)</w:t>
            </w:r>
          </w:p>
        </w:tc>
        <w:tc>
          <w:tcPr>
            <w:tcW w:w="0" w:type="auto"/>
            <w:vAlign w:val="center"/>
          </w:tcPr>
          <w:p w:rsidR="000A156F" w:rsidRDefault="00A9721F">
            <w:pPr>
              <w:pStyle w:val="TableBodyText"/>
            </w:pPr>
            <w:r>
              <w:t>"[ISO/IEC-29500-1] §22.1.2.13"</w:t>
            </w:r>
          </w:p>
        </w:tc>
      </w:tr>
      <w:tr w:rsidR="000A156F" w:rsidTr="000A156F">
        <w:tc>
          <w:tcPr>
            <w:tcW w:w="0" w:type="auto"/>
            <w:vAlign w:val="center"/>
          </w:tcPr>
          <w:p w:rsidR="000A156F" w:rsidRDefault="00A9721F">
            <w:pPr>
              <w:pStyle w:val="TableBodyText"/>
            </w:pPr>
            <w:r>
              <w:rPr>
                <w:b/>
              </w:rPr>
              <w:t>commentRangeEnd</w:t>
            </w:r>
            <w:r>
              <w:t xml:space="preserve"> (Comment Anchor Range End)</w:t>
            </w:r>
          </w:p>
        </w:tc>
        <w:tc>
          <w:tcPr>
            <w:tcW w:w="0" w:type="auto"/>
            <w:vAlign w:val="center"/>
          </w:tcPr>
          <w:p w:rsidR="000A156F" w:rsidRDefault="00A9721F">
            <w:pPr>
              <w:pStyle w:val="TableBodyText"/>
            </w:pPr>
            <w:r>
              <w:t>"[ISO/IEC-29500-1] §17.13.4.3"</w:t>
            </w:r>
          </w:p>
        </w:tc>
      </w:tr>
      <w:tr w:rsidR="000A156F" w:rsidTr="000A156F">
        <w:tc>
          <w:tcPr>
            <w:tcW w:w="0" w:type="auto"/>
            <w:vAlign w:val="center"/>
          </w:tcPr>
          <w:p w:rsidR="000A156F" w:rsidRDefault="00A9721F">
            <w:pPr>
              <w:pStyle w:val="TableBodyText"/>
            </w:pPr>
            <w:r>
              <w:rPr>
                <w:b/>
              </w:rPr>
              <w:t>commentRangeStart</w:t>
            </w:r>
            <w:r>
              <w:t xml:space="preserve"> (Comment Anchor Range Start)</w:t>
            </w:r>
          </w:p>
        </w:tc>
        <w:tc>
          <w:tcPr>
            <w:tcW w:w="0" w:type="auto"/>
            <w:vAlign w:val="center"/>
          </w:tcPr>
          <w:p w:rsidR="000A156F" w:rsidRDefault="00A9721F">
            <w:pPr>
              <w:pStyle w:val="TableBodyText"/>
            </w:pPr>
            <w:r>
              <w:t>"[ISO/IEC-29500-1] §17.13.4.4"</w:t>
            </w:r>
          </w:p>
        </w:tc>
      </w:tr>
      <w:tr w:rsidR="000A156F" w:rsidTr="000A156F">
        <w:tc>
          <w:tcPr>
            <w:tcW w:w="0" w:type="auto"/>
            <w:vAlign w:val="center"/>
          </w:tcPr>
          <w:p w:rsidR="000A156F" w:rsidRDefault="00A9721F">
            <w:pPr>
              <w:pStyle w:val="TableBodyText"/>
            </w:pPr>
            <w:r>
              <w:rPr>
                <w:b/>
              </w:rPr>
              <w:lastRenderedPageBreak/>
              <w:t>customXml</w:t>
            </w:r>
            <w:r>
              <w:t xml:space="preserve"> (Ruby Inline-Level Custom XML Element)</w:t>
            </w:r>
          </w:p>
        </w:tc>
        <w:tc>
          <w:tcPr>
            <w:tcW w:w="0" w:type="auto"/>
            <w:vAlign w:val="center"/>
          </w:tcPr>
          <w:p w:rsidR="000A156F" w:rsidRDefault="00A9721F">
            <w:pPr>
              <w:pStyle w:val="TableBodyText"/>
            </w:pPr>
            <w:r>
              <w:t>§3.1.3.1.1, customXml</w:t>
            </w:r>
          </w:p>
        </w:tc>
      </w:tr>
      <w:tr w:rsidR="000A156F" w:rsidTr="000A156F">
        <w:tc>
          <w:tcPr>
            <w:tcW w:w="0" w:type="auto"/>
            <w:vAlign w:val="center"/>
          </w:tcPr>
          <w:p w:rsidR="000A156F" w:rsidRDefault="00A9721F">
            <w:pPr>
              <w:pStyle w:val="TableBodyText"/>
            </w:pPr>
            <w:r>
              <w:rPr>
                <w:b/>
              </w:rPr>
              <w:t>customXmlDelRangeEnd</w:t>
            </w:r>
            <w:r>
              <w:t xml:space="preserve"> (Custom XML Markup Deletion End)</w:t>
            </w:r>
          </w:p>
        </w:tc>
        <w:tc>
          <w:tcPr>
            <w:tcW w:w="0" w:type="auto"/>
            <w:vAlign w:val="center"/>
          </w:tcPr>
          <w:p w:rsidR="000A156F" w:rsidRDefault="00A9721F">
            <w:pPr>
              <w:pStyle w:val="TableBodyText"/>
            </w:pPr>
            <w:r>
              <w:t>"[ISO/IEC-29500-1] §17.13.5.4"</w:t>
            </w:r>
          </w:p>
        </w:tc>
      </w:tr>
      <w:tr w:rsidR="000A156F" w:rsidTr="000A156F">
        <w:tc>
          <w:tcPr>
            <w:tcW w:w="0" w:type="auto"/>
            <w:vAlign w:val="center"/>
          </w:tcPr>
          <w:p w:rsidR="000A156F" w:rsidRDefault="00A9721F">
            <w:pPr>
              <w:pStyle w:val="TableBodyText"/>
            </w:pPr>
            <w:r>
              <w:rPr>
                <w:b/>
              </w:rPr>
              <w:t>customXmlDelRangeStart</w:t>
            </w:r>
            <w:r>
              <w:t xml:space="preserve"> (Custom XML M</w:t>
            </w:r>
            <w:r>
              <w:t>arkup Deletion Start)</w:t>
            </w:r>
          </w:p>
        </w:tc>
        <w:tc>
          <w:tcPr>
            <w:tcW w:w="0" w:type="auto"/>
            <w:vAlign w:val="center"/>
          </w:tcPr>
          <w:p w:rsidR="000A156F" w:rsidRDefault="00A9721F">
            <w:pPr>
              <w:pStyle w:val="TableBodyText"/>
            </w:pPr>
            <w:r>
              <w:t>"[ISO/IEC-29500-1] §17.13.5.5"</w:t>
            </w:r>
          </w:p>
        </w:tc>
      </w:tr>
      <w:tr w:rsidR="000A156F" w:rsidTr="000A156F">
        <w:tc>
          <w:tcPr>
            <w:tcW w:w="0" w:type="auto"/>
            <w:vAlign w:val="center"/>
          </w:tcPr>
          <w:p w:rsidR="000A156F" w:rsidRDefault="00A9721F">
            <w:pPr>
              <w:pStyle w:val="TableBodyText"/>
            </w:pPr>
            <w:r>
              <w:rPr>
                <w:b/>
              </w:rPr>
              <w:t>customXmlInsRangeEnd</w:t>
            </w:r>
            <w:r>
              <w:t xml:space="preserve"> (Custom XML Markup Insertion End)</w:t>
            </w:r>
          </w:p>
        </w:tc>
        <w:tc>
          <w:tcPr>
            <w:tcW w:w="0" w:type="auto"/>
            <w:vAlign w:val="center"/>
          </w:tcPr>
          <w:p w:rsidR="000A156F" w:rsidRDefault="00A9721F">
            <w:pPr>
              <w:pStyle w:val="TableBodyText"/>
            </w:pPr>
            <w:r>
              <w:t>"[ISO/IEC-29500-1] §17.13.5.6"</w:t>
            </w:r>
          </w:p>
        </w:tc>
      </w:tr>
      <w:tr w:rsidR="000A156F" w:rsidTr="000A156F">
        <w:tc>
          <w:tcPr>
            <w:tcW w:w="0" w:type="auto"/>
            <w:vAlign w:val="center"/>
          </w:tcPr>
          <w:p w:rsidR="000A156F" w:rsidRDefault="00A9721F">
            <w:pPr>
              <w:pStyle w:val="TableBodyText"/>
            </w:pPr>
            <w:r>
              <w:rPr>
                <w:b/>
              </w:rPr>
              <w:t>customXmlInsRangeStart</w:t>
            </w:r>
            <w:r>
              <w:t xml:space="preserve"> (Custom XML Markup Insertion Start)</w:t>
            </w:r>
          </w:p>
        </w:tc>
        <w:tc>
          <w:tcPr>
            <w:tcW w:w="0" w:type="auto"/>
            <w:vAlign w:val="center"/>
          </w:tcPr>
          <w:p w:rsidR="000A156F" w:rsidRDefault="00A9721F">
            <w:pPr>
              <w:pStyle w:val="TableBodyText"/>
            </w:pPr>
            <w:r>
              <w:t>"[ISO/IEC-29500-1] §17.13.5.7"</w:t>
            </w:r>
          </w:p>
        </w:tc>
      </w:tr>
      <w:tr w:rsidR="000A156F" w:rsidTr="000A156F">
        <w:tc>
          <w:tcPr>
            <w:tcW w:w="0" w:type="auto"/>
            <w:vAlign w:val="center"/>
          </w:tcPr>
          <w:p w:rsidR="000A156F" w:rsidRDefault="00A9721F">
            <w:pPr>
              <w:pStyle w:val="TableBodyText"/>
            </w:pPr>
            <w:r>
              <w:rPr>
                <w:b/>
              </w:rPr>
              <w:t>customXmlMoveFromRangeEn</w:t>
            </w:r>
            <w:r>
              <w:rPr>
                <w:b/>
              </w:rPr>
              <w:t>d</w:t>
            </w:r>
            <w:r>
              <w:t xml:space="preserve"> (Custom XML Markup Move Source End)</w:t>
            </w:r>
          </w:p>
        </w:tc>
        <w:tc>
          <w:tcPr>
            <w:tcW w:w="0" w:type="auto"/>
            <w:vAlign w:val="center"/>
          </w:tcPr>
          <w:p w:rsidR="000A156F" w:rsidRDefault="00A9721F">
            <w:pPr>
              <w:pStyle w:val="TableBodyText"/>
            </w:pPr>
            <w:r>
              <w:t>"[ISO/IEC-29500-1] §17.13.5.8"</w:t>
            </w:r>
          </w:p>
        </w:tc>
      </w:tr>
      <w:tr w:rsidR="000A156F" w:rsidTr="000A156F">
        <w:tc>
          <w:tcPr>
            <w:tcW w:w="0" w:type="auto"/>
            <w:vAlign w:val="center"/>
          </w:tcPr>
          <w:p w:rsidR="000A156F" w:rsidRDefault="00A9721F">
            <w:pPr>
              <w:pStyle w:val="TableBodyText"/>
            </w:pPr>
            <w:r>
              <w:rPr>
                <w:b/>
              </w:rPr>
              <w:t>customXmlMoveFromRangeStart</w:t>
            </w:r>
            <w:r>
              <w:t xml:space="preserve"> (Custom XML Markup Move Source Start)</w:t>
            </w:r>
          </w:p>
        </w:tc>
        <w:tc>
          <w:tcPr>
            <w:tcW w:w="0" w:type="auto"/>
            <w:vAlign w:val="center"/>
          </w:tcPr>
          <w:p w:rsidR="000A156F" w:rsidRDefault="00A9721F">
            <w:pPr>
              <w:pStyle w:val="TableBodyText"/>
            </w:pPr>
            <w:r>
              <w:t>"[ISO/IEC-29500-1] §17.13.5.9"</w:t>
            </w:r>
          </w:p>
        </w:tc>
      </w:tr>
      <w:tr w:rsidR="000A156F" w:rsidTr="000A156F">
        <w:tc>
          <w:tcPr>
            <w:tcW w:w="0" w:type="auto"/>
            <w:vAlign w:val="center"/>
          </w:tcPr>
          <w:p w:rsidR="000A156F" w:rsidRDefault="00A9721F">
            <w:pPr>
              <w:pStyle w:val="TableBodyText"/>
            </w:pPr>
            <w:r>
              <w:rPr>
                <w:b/>
              </w:rPr>
              <w:t>customXmlMoveToRangeEnd</w:t>
            </w:r>
            <w:r>
              <w:t xml:space="preserve"> (Custom XML Markup Move Destination Location End)</w:t>
            </w:r>
          </w:p>
        </w:tc>
        <w:tc>
          <w:tcPr>
            <w:tcW w:w="0" w:type="auto"/>
            <w:vAlign w:val="center"/>
          </w:tcPr>
          <w:p w:rsidR="000A156F" w:rsidRDefault="00A9721F">
            <w:pPr>
              <w:pStyle w:val="TableBodyText"/>
            </w:pPr>
            <w:r>
              <w:t>"</w:t>
            </w:r>
            <w:r>
              <w:t>[ISO/IEC-29500-1] §17.13.5.10"</w:t>
            </w:r>
          </w:p>
        </w:tc>
      </w:tr>
      <w:tr w:rsidR="000A156F" w:rsidTr="000A156F">
        <w:tc>
          <w:tcPr>
            <w:tcW w:w="0" w:type="auto"/>
            <w:vAlign w:val="center"/>
          </w:tcPr>
          <w:p w:rsidR="000A156F" w:rsidRDefault="00A9721F">
            <w:pPr>
              <w:pStyle w:val="TableBodyText"/>
            </w:pPr>
            <w:r>
              <w:rPr>
                <w:b/>
              </w:rPr>
              <w:t>customXmlMoveToRangeStart</w:t>
            </w:r>
            <w:r>
              <w:t xml:space="preserve"> (Custom XML Markup Move Destination Location Start)</w:t>
            </w:r>
          </w:p>
        </w:tc>
        <w:tc>
          <w:tcPr>
            <w:tcW w:w="0" w:type="auto"/>
            <w:vAlign w:val="center"/>
          </w:tcPr>
          <w:p w:rsidR="000A156F" w:rsidRDefault="00A9721F">
            <w:pPr>
              <w:pStyle w:val="TableBodyText"/>
            </w:pPr>
            <w:r>
              <w:t>"[ISO/IEC-29500-1] §17.13.5.11"</w:t>
            </w:r>
          </w:p>
        </w:tc>
      </w:tr>
      <w:tr w:rsidR="000A156F" w:rsidTr="000A156F">
        <w:tc>
          <w:tcPr>
            <w:tcW w:w="0" w:type="auto"/>
            <w:vAlign w:val="center"/>
          </w:tcPr>
          <w:p w:rsidR="000A156F" w:rsidRDefault="00A9721F">
            <w:pPr>
              <w:pStyle w:val="TableBodyText"/>
            </w:pPr>
            <w:r>
              <w:rPr>
                <w:b/>
              </w:rPr>
              <w:t>d</w:t>
            </w:r>
            <w:r>
              <w:t xml:space="preserve"> (Delimiter Object)</w:t>
            </w:r>
          </w:p>
        </w:tc>
        <w:tc>
          <w:tcPr>
            <w:tcW w:w="0" w:type="auto"/>
            <w:vAlign w:val="center"/>
          </w:tcPr>
          <w:p w:rsidR="000A156F" w:rsidRDefault="00A9721F">
            <w:pPr>
              <w:pStyle w:val="TableBodyText"/>
            </w:pPr>
            <w:r>
              <w:t>"[ISO/IEC-29500-1] §22.1.2.24"</w:t>
            </w:r>
          </w:p>
        </w:tc>
      </w:tr>
      <w:tr w:rsidR="000A156F" w:rsidTr="000A156F">
        <w:tc>
          <w:tcPr>
            <w:tcW w:w="0" w:type="auto"/>
            <w:vAlign w:val="center"/>
          </w:tcPr>
          <w:p w:rsidR="000A156F" w:rsidRDefault="00A9721F">
            <w:pPr>
              <w:pStyle w:val="TableBodyText"/>
            </w:pPr>
            <w:r>
              <w:rPr>
                <w:b/>
              </w:rPr>
              <w:t>del</w:t>
            </w:r>
            <w:r>
              <w:t xml:space="preserve"> (Deleted Run Content)</w:t>
            </w:r>
          </w:p>
        </w:tc>
        <w:tc>
          <w:tcPr>
            <w:tcW w:w="0" w:type="auto"/>
            <w:vAlign w:val="center"/>
          </w:tcPr>
          <w:p w:rsidR="000A156F" w:rsidRDefault="00A9721F">
            <w:pPr>
              <w:pStyle w:val="TableBodyText"/>
            </w:pPr>
            <w:r>
              <w:t>"[ISO/IEC-29500-1] §17.13.5.14"</w:t>
            </w:r>
          </w:p>
        </w:tc>
      </w:tr>
      <w:tr w:rsidR="000A156F" w:rsidTr="000A156F">
        <w:tc>
          <w:tcPr>
            <w:tcW w:w="0" w:type="auto"/>
            <w:vAlign w:val="center"/>
          </w:tcPr>
          <w:p w:rsidR="000A156F" w:rsidRDefault="00A9721F">
            <w:pPr>
              <w:pStyle w:val="TableBodyText"/>
            </w:pPr>
            <w:r>
              <w:rPr>
                <w:b/>
              </w:rPr>
              <w:t>eqArr</w:t>
            </w:r>
            <w:r>
              <w:t xml:space="preserve"> (Array Object)</w:t>
            </w:r>
          </w:p>
        </w:tc>
        <w:tc>
          <w:tcPr>
            <w:tcW w:w="0" w:type="auto"/>
            <w:vAlign w:val="center"/>
          </w:tcPr>
          <w:p w:rsidR="000A156F" w:rsidRDefault="00A9721F">
            <w:pPr>
              <w:pStyle w:val="TableBodyText"/>
            </w:pPr>
            <w:r>
              <w:t>"[ISO/IEC-29500-1] §22.1.2.34"</w:t>
            </w:r>
          </w:p>
        </w:tc>
      </w:tr>
      <w:tr w:rsidR="000A156F" w:rsidTr="000A156F">
        <w:tc>
          <w:tcPr>
            <w:tcW w:w="0" w:type="auto"/>
            <w:vAlign w:val="center"/>
          </w:tcPr>
          <w:p w:rsidR="000A156F" w:rsidRDefault="00A9721F">
            <w:pPr>
              <w:pStyle w:val="TableBodyText"/>
            </w:pPr>
            <w:r>
              <w:rPr>
                <w:b/>
              </w:rPr>
              <w:t>f</w:t>
            </w:r>
            <w:r>
              <w:t xml:space="preserve"> (Fraction Object)</w:t>
            </w:r>
          </w:p>
        </w:tc>
        <w:tc>
          <w:tcPr>
            <w:tcW w:w="0" w:type="auto"/>
            <w:vAlign w:val="center"/>
          </w:tcPr>
          <w:p w:rsidR="000A156F" w:rsidRDefault="00A9721F">
            <w:pPr>
              <w:pStyle w:val="TableBodyText"/>
            </w:pPr>
            <w:r>
              <w:t>"[ISO/IEC-29500-1] §22.1.2.36"</w:t>
            </w:r>
          </w:p>
        </w:tc>
      </w:tr>
      <w:tr w:rsidR="000A156F" w:rsidTr="000A156F">
        <w:tc>
          <w:tcPr>
            <w:tcW w:w="0" w:type="auto"/>
            <w:vAlign w:val="center"/>
          </w:tcPr>
          <w:p w:rsidR="000A156F" w:rsidRDefault="00A9721F">
            <w:pPr>
              <w:pStyle w:val="TableBodyText"/>
            </w:pPr>
            <w:r>
              <w:rPr>
                <w:b/>
              </w:rPr>
              <w:t>fldData</w:t>
            </w:r>
            <w:r>
              <w:t xml:space="preserve"> (Custom Field Data)</w:t>
            </w:r>
          </w:p>
        </w:tc>
        <w:tc>
          <w:tcPr>
            <w:tcW w:w="0" w:type="auto"/>
            <w:vAlign w:val="center"/>
          </w:tcPr>
          <w:p w:rsidR="000A156F" w:rsidRDefault="00A9721F">
            <w:pPr>
              <w:pStyle w:val="TableBodyText"/>
            </w:pPr>
            <w:r>
              <w:t>"</w:t>
            </w:r>
            <w:hyperlink r:id="rId295">
              <w:r>
                <w:rPr>
                  <w:rStyle w:val="Hyperlink"/>
                </w:rPr>
                <w:t>[ISO/IEC-29500-4]</w:t>
              </w:r>
            </w:hyperlink>
            <w:r>
              <w:t xml:space="preserve"> §14.9.6"</w:t>
            </w:r>
          </w:p>
        </w:tc>
      </w:tr>
      <w:tr w:rsidR="000A156F" w:rsidTr="000A156F">
        <w:tc>
          <w:tcPr>
            <w:tcW w:w="0" w:type="auto"/>
            <w:vAlign w:val="center"/>
          </w:tcPr>
          <w:p w:rsidR="000A156F" w:rsidRDefault="00A9721F">
            <w:pPr>
              <w:pStyle w:val="TableBodyText"/>
            </w:pPr>
            <w:r>
              <w:rPr>
                <w:b/>
              </w:rPr>
              <w:t>fldSimple</w:t>
            </w:r>
            <w:r>
              <w:t xml:space="preserve"> (Ruby Simple Field)</w:t>
            </w:r>
          </w:p>
        </w:tc>
        <w:tc>
          <w:tcPr>
            <w:tcW w:w="0" w:type="auto"/>
            <w:vAlign w:val="center"/>
          </w:tcPr>
          <w:p w:rsidR="000A156F" w:rsidRDefault="00A9721F">
            <w:pPr>
              <w:pStyle w:val="TableBodyText"/>
            </w:pPr>
            <w:r>
              <w:t>§3.1.3.1.2, fldSimple</w:t>
            </w:r>
          </w:p>
        </w:tc>
      </w:tr>
      <w:tr w:rsidR="000A156F" w:rsidTr="000A156F">
        <w:tc>
          <w:tcPr>
            <w:tcW w:w="0" w:type="auto"/>
            <w:vAlign w:val="center"/>
          </w:tcPr>
          <w:p w:rsidR="000A156F" w:rsidRDefault="00A9721F">
            <w:pPr>
              <w:pStyle w:val="TableBodyText"/>
            </w:pPr>
            <w:r>
              <w:rPr>
                <w:b/>
              </w:rPr>
              <w:t>func</w:t>
            </w:r>
            <w:r>
              <w:t xml:space="preserve"> (Function Apply Object)</w:t>
            </w:r>
          </w:p>
        </w:tc>
        <w:tc>
          <w:tcPr>
            <w:tcW w:w="0" w:type="auto"/>
            <w:vAlign w:val="center"/>
          </w:tcPr>
          <w:p w:rsidR="000A156F" w:rsidRDefault="00A9721F">
            <w:pPr>
              <w:pStyle w:val="TableBodyText"/>
            </w:pPr>
            <w:r>
              <w:t>"[ISO/IEC-29500-1] §22.1.2.39"</w:t>
            </w:r>
          </w:p>
        </w:tc>
      </w:tr>
      <w:tr w:rsidR="000A156F" w:rsidTr="000A156F">
        <w:tc>
          <w:tcPr>
            <w:tcW w:w="0" w:type="auto"/>
            <w:vAlign w:val="center"/>
          </w:tcPr>
          <w:p w:rsidR="000A156F" w:rsidRDefault="00A9721F">
            <w:pPr>
              <w:pStyle w:val="TableBodyText"/>
            </w:pPr>
            <w:r>
              <w:rPr>
                <w:b/>
              </w:rPr>
              <w:t>groupChr</w:t>
            </w:r>
            <w:r>
              <w:t xml:space="preserve"> (Group-Character Object)</w:t>
            </w:r>
          </w:p>
        </w:tc>
        <w:tc>
          <w:tcPr>
            <w:tcW w:w="0" w:type="auto"/>
            <w:vAlign w:val="center"/>
          </w:tcPr>
          <w:p w:rsidR="000A156F" w:rsidRDefault="00A9721F">
            <w:pPr>
              <w:pStyle w:val="TableBodyText"/>
            </w:pPr>
            <w:r>
              <w:t>"[ISO/IEC-29500-1] §22.1.2.41"</w:t>
            </w:r>
          </w:p>
        </w:tc>
      </w:tr>
      <w:tr w:rsidR="000A156F" w:rsidTr="000A156F">
        <w:tc>
          <w:tcPr>
            <w:tcW w:w="0" w:type="auto"/>
            <w:vAlign w:val="center"/>
          </w:tcPr>
          <w:p w:rsidR="000A156F" w:rsidRDefault="00A9721F">
            <w:pPr>
              <w:pStyle w:val="TableBodyText"/>
            </w:pPr>
            <w:r>
              <w:rPr>
                <w:b/>
              </w:rPr>
              <w:t>hyperlink</w:t>
            </w:r>
            <w:r>
              <w:t xml:space="preserve"> (Ruby Hyperlink)</w:t>
            </w:r>
          </w:p>
        </w:tc>
        <w:tc>
          <w:tcPr>
            <w:tcW w:w="0" w:type="auto"/>
            <w:vAlign w:val="center"/>
          </w:tcPr>
          <w:p w:rsidR="000A156F" w:rsidRDefault="00A9721F">
            <w:pPr>
              <w:pStyle w:val="TableBodyText"/>
            </w:pPr>
            <w:r>
              <w:t>§3.1.3.1.3, hyperlink</w:t>
            </w:r>
          </w:p>
        </w:tc>
      </w:tr>
      <w:tr w:rsidR="000A156F" w:rsidTr="000A156F">
        <w:tc>
          <w:tcPr>
            <w:tcW w:w="0" w:type="auto"/>
            <w:vAlign w:val="center"/>
          </w:tcPr>
          <w:p w:rsidR="000A156F" w:rsidRDefault="00A9721F">
            <w:pPr>
              <w:pStyle w:val="TableBodyText"/>
            </w:pPr>
            <w:r>
              <w:rPr>
                <w:b/>
              </w:rPr>
              <w:t>ins</w:t>
            </w:r>
            <w:r>
              <w:t xml:space="preserve"> (Inserted Run Content)</w:t>
            </w:r>
          </w:p>
        </w:tc>
        <w:tc>
          <w:tcPr>
            <w:tcW w:w="0" w:type="auto"/>
            <w:vAlign w:val="center"/>
          </w:tcPr>
          <w:p w:rsidR="000A156F" w:rsidRDefault="00A9721F">
            <w:pPr>
              <w:pStyle w:val="TableBodyText"/>
            </w:pPr>
            <w:r>
              <w:t>"[ISO/IE</w:t>
            </w:r>
            <w:r>
              <w:t>C-29500-1] §17.13.5.18"</w:t>
            </w:r>
          </w:p>
        </w:tc>
      </w:tr>
      <w:tr w:rsidR="000A156F" w:rsidTr="000A156F">
        <w:tc>
          <w:tcPr>
            <w:tcW w:w="0" w:type="auto"/>
            <w:vAlign w:val="center"/>
          </w:tcPr>
          <w:p w:rsidR="000A156F" w:rsidRDefault="00A9721F">
            <w:pPr>
              <w:pStyle w:val="TableBodyText"/>
            </w:pPr>
            <w:r>
              <w:rPr>
                <w:b/>
              </w:rPr>
              <w:t>limLow</w:t>
            </w:r>
            <w:r>
              <w:t xml:space="preserve"> (Lower-Limit Object)</w:t>
            </w:r>
          </w:p>
        </w:tc>
        <w:tc>
          <w:tcPr>
            <w:tcW w:w="0" w:type="auto"/>
            <w:vAlign w:val="center"/>
          </w:tcPr>
          <w:p w:rsidR="000A156F" w:rsidRDefault="00A9721F">
            <w:pPr>
              <w:pStyle w:val="TableBodyText"/>
            </w:pPr>
            <w:r>
              <w:t>"[ISO/IEC-29500-1] §22.1.2.54"</w:t>
            </w:r>
          </w:p>
        </w:tc>
      </w:tr>
      <w:tr w:rsidR="000A156F" w:rsidTr="000A156F">
        <w:tc>
          <w:tcPr>
            <w:tcW w:w="0" w:type="auto"/>
            <w:vAlign w:val="center"/>
          </w:tcPr>
          <w:p w:rsidR="000A156F" w:rsidRDefault="00A9721F">
            <w:pPr>
              <w:pStyle w:val="TableBodyText"/>
            </w:pPr>
            <w:r>
              <w:rPr>
                <w:b/>
              </w:rPr>
              <w:t>limUpp</w:t>
            </w:r>
            <w:r>
              <w:t xml:space="preserve"> (Upper-Limit Object)</w:t>
            </w:r>
          </w:p>
        </w:tc>
        <w:tc>
          <w:tcPr>
            <w:tcW w:w="0" w:type="auto"/>
            <w:vAlign w:val="center"/>
          </w:tcPr>
          <w:p w:rsidR="000A156F" w:rsidRDefault="00A9721F">
            <w:pPr>
              <w:pStyle w:val="TableBodyText"/>
            </w:pPr>
            <w:r>
              <w:t>"[ISO/IEC-29500-1] §22.1.2.56"</w:t>
            </w:r>
          </w:p>
        </w:tc>
      </w:tr>
      <w:tr w:rsidR="000A156F" w:rsidTr="000A156F">
        <w:tc>
          <w:tcPr>
            <w:tcW w:w="0" w:type="auto"/>
            <w:vAlign w:val="center"/>
          </w:tcPr>
          <w:p w:rsidR="000A156F" w:rsidRDefault="00A9721F">
            <w:pPr>
              <w:pStyle w:val="TableBodyText"/>
            </w:pPr>
            <w:r>
              <w:rPr>
                <w:b/>
              </w:rPr>
              <w:t>m</w:t>
            </w:r>
            <w:r>
              <w:t xml:space="preserve"> (Matrix Object)</w:t>
            </w:r>
          </w:p>
        </w:tc>
        <w:tc>
          <w:tcPr>
            <w:tcW w:w="0" w:type="auto"/>
            <w:vAlign w:val="center"/>
          </w:tcPr>
          <w:p w:rsidR="000A156F" w:rsidRDefault="00A9721F">
            <w:pPr>
              <w:pStyle w:val="TableBodyText"/>
            </w:pPr>
            <w:r>
              <w:t>"[ISO/IEC-29500-1] §22.1.2.60"</w:t>
            </w:r>
          </w:p>
        </w:tc>
      </w:tr>
      <w:tr w:rsidR="000A156F" w:rsidTr="000A156F">
        <w:tc>
          <w:tcPr>
            <w:tcW w:w="0" w:type="auto"/>
            <w:vAlign w:val="center"/>
          </w:tcPr>
          <w:p w:rsidR="000A156F" w:rsidRDefault="00A9721F">
            <w:pPr>
              <w:pStyle w:val="TableBodyText"/>
            </w:pPr>
            <w:r>
              <w:rPr>
                <w:b/>
              </w:rPr>
              <w:t>moveFrom</w:t>
            </w:r>
            <w:r>
              <w:t xml:space="preserve"> (Move Source Run Content)</w:t>
            </w:r>
          </w:p>
        </w:tc>
        <w:tc>
          <w:tcPr>
            <w:tcW w:w="0" w:type="auto"/>
            <w:vAlign w:val="center"/>
          </w:tcPr>
          <w:p w:rsidR="000A156F" w:rsidRDefault="00A9721F">
            <w:pPr>
              <w:pStyle w:val="TableBodyText"/>
            </w:pPr>
            <w:r>
              <w:t>"[ISO/IEC-29500-1]</w:t>
            </w:r>
            <w:r>
              <w:t xml:space="preserve"> </w:t>
            </w:r>
            <w:r>
              <w:lastRenderedPageBreak/>
              <w:t>§17.13.5.22"</w:t>
            </w:r>
          </w:p>
        </w:tc>
      </w:tr>
      <w:tr w:rsidR="000A156F" w:rsidTr="000A156F">
        <w:tc>
          <w:tcPr>
            <w:tcW w:w="0" w:type="auto"/>
            <w:vAlign w:val="center"/>
          </w:tcPr>
          <w:p w:rsidR="000A156F" w:rsidRDefault="00A9721F">
            <w:pPr>
              <w:pStyle w:val="TableBodyText"/>
            </w:pPr>
            <w:r>
              <w:rPr>
                <w:b/>
              </w:rPr>
              <w:lastRenderedPageBreak/>
              <w:t>moveFromRangeEnd</w:t>
            </w:r>
            <w:r>
              <w:t xml:space="preserve"> (Move Source Location Container - End)</w:t>
            </w:r>
          </w:p>
        </w:tc>
        <w:tc>
          <w:tcPr>
            <w:tcW w:w="0" w:type="auto"/>
            <w:vAlign w:val="center"/>
          </w:tcPr>
          <w:p w:rsidR="000A156F" w:rsidRDefault="00A9721F">
            <w:pPr>
              <w:pStyle w:val="TableBodyText"/>
            </w:pPr>
            <w:r>
              <w:t>"[ISO/IEC-29500-1] §17.13.5.23"</w:t>
            </w:r>
          </w:p>
        </w:tc>
      </w:tr>
      <w:tr w:rsidR="000A156F" w:rsidTr="000A156F">
        <w:tc>
          <w:tcPr>
            <w:tcW w:w="0" w:type="auto"/>
            <w:vAlign w:val="center"/>
          </w:tcPr>
          <w:p w:rsidR="000A156F" w:rsidRDefault="00A9721F">
            <w:pPr>
              <w:pStyle w:val="TableBodyText"/>
            </w:pPr>
            <w:r>
              <w:rPr>
                <w:b/>
              </w:rPr>
              <w:t>moveFromRangeStart</w:t>
            </w:r>
            <w:r>
              <w:t xml:space="preserve"> (Move Source Location Container - Start)</w:t>
            </w:r>
          </w:p>
        </w:tc>
        <w:tc>
          <w:tcPr>
            <w:tcW w:w="0" w:type="auto"/>
            <w:vAlign w:val="center"/>
          </w:tcPr>
          <w:p w:rsidR="000A156F" w:rsidRDefault="00A9721F">
            <w:pPr>
              <w:pStyle w:val="TableBodyText"/>
            </w:pPr>
            <w:r>
              <w:t>"[ISO/IEC-29500-1] §17.13.5.24"</w:t>
            </w:r>
          </w:p>
        </w:tc>
      </w:tr>
      <w:tr w:rsidR="000A156F" w:rsidTr="000A156F">
        <w:tc>
          <w:tcPr>
            <w:tcW w:w="0" w:type="auto"/>
            <w:vAlign w:val="center"/>
          </w:tcPr>
          <w:p w:rsidR="000A156F" w:rsidRDefault="00A9721F">
            <w:pPr>
              <w:pStyle w:val="TableBodyText"/>
            </w:pPr>
            <w:r>
              <w:rPr>
                <w:b/>
              </w:rPr>
              <w:t>moveTo</w:t>
            </w:r>
            <w:r>
              <w:t xml:space="preserve"> (Move Destination Run Content)</w:t>
            </w:r>
          </w:p>
        </w:tc>
        <w:tc>
          <w:tcPr>
            <w:tcW w:w="0" w:type="auto"/>
            <w:vAlign w:val="center"/>
          </w:tcPr>
          <w:p w:rsidR="000A156F" w:rsidRDefault="00A9721F">
            <w:pPr>
              <w:pStyle w:val="TableBodyText"/>
            </w:pPr>
            <w:r>
              <w:t>"[ISO/IEC-29500-1] §1</w:t>
            </w:r>
            <w:r>
              <w:t>7.13.5.25"</w:t>
            </w:r>
          </w:p>
        </w:tc>
      </w:tr>
      <w:tr w:rsidR="000A156F" w:rsidTr="000A156F">
        <w:tc>
          <w:tcPr>
            <w:tcW w:w="0" w:type="auto"/>
            <w:vAlign w:val="center"/>
          </w:tcPr>
          <w:p w:rsidR="000A156F" w:rsidRDefault="00A9721F">
            <w:pPr>
              <w:pStyle w:val="TableBodyText"/>
            </w:pPr>
            <w:r>
              <w:rPr>
                <w:b/>
              </w:rPr>
              <w:t>moveToRangeEnd</w:t>
            </w:r>
            <w:r>
              <w:t xml:space="preserve"> (Move Destination Location Container - End)</w:t>
            </w:r>
          </w:p>
        </w:tc>
        <w:tc>
          <w:tcPr>
            <w:tcW w:w="0" w:type="auto"/>
            <w:vAlign w:val="center"/>
          </w:tcPr>
          <w:p w:rsidR="000A156F" w:rsidRDefault="00A9721F">
            <w:pPr>
              <w:pStyle w:val="TableBodyText"/>
            </w:pPr>
            <w:r>
              <w:t>"[ISO/IEC-29500-1] §17.13.5.27"</w:t>
            </w:r>
          </w:p>
        </w:tc>
      </w:tr>
      <w:tr w:rsidR="000A156F" w:rsidTr="000A156F">
        <w:tc>
          <w:tcPr>
            <w:tcW w:w="0" w:type="auto"/>
            <w:vAlign w:val="center"/>
          </w:tcPr>
          <w:p w:rsidR="000A156F" w:rsidRDefault="00A9721F">
            <w:pPr>
              <w:pStyle w:val="TableBodyText"/>
            </w:pPr>
            <w:r>
              <w:rPr>
                <w:b/>
              </w:rPr>
              <w:t>moveToRangeStart</w:t>
            </w:r>
            <w:r>
              <w:t xml:space="preserve"> (Move Destination Location Container - Start)</w:t>
            </w:r>
          </w:p>
        </w:tc>
        <w:tc>
          <w:tcPr>
            <w:tcW w:w="0" w:type="auto"/>
            <w:vAlign w:val="center"/>
          </w:tcPr>
          <w:p w:rsidR="000A156F" w:rsidRDefault="00A9721F">
            <w:pPr>
              <w:pStyle w:val="TableBodyText"/>
            </w:pPr>
            <w:r>
              <w:t>"[ISO/IEC-29500-1] §17.13.5.28"</w:t>
            </w:r>
          </w:p>
        </w:tc>
      </w:tr>
      <w:tr w:rsidR="000A156F" w:rsidTr="000A156F">
        <w:tc>
          <w:tcPr>
            <w:tcW w:w="0" w:type="auto"/>
            <w:vAlign w:val="center"/>
          </w:tcPr>
          <w:p w:rsidR="000A156F" w:rsidRDefault="00A9721F">
            <w:pPr>
              <w:pStyle w:val="TableBodyText"/>
            </w:pPr>
            <w:r>
              <w:rPr>
                <w:b/>
              </w:rPr>
              <w:t>nary</w:t>
            </w:r>
            <w:r>
              <w:t xml:space="preserve"> (n-ary Operator Object)</w:t>
            </w:r>
          </w:p>
        </w:tc>
        <w:tc>
          <w:tcPr>
            <w:tcW w:w="0" w:type="auto"/>
            <w:vAlign w:val="center"/>
          </w:tcPr>
          <w:p w:rsidR="000A156F" w:rsidRDefault="00A9721F">
            <w:pPr>
              <w:pStyle w:val="TableBodyText"/>
            </w:pPr>
            <w:r>
              <w:t>"[ISO/IEC-29500-1]</w:t>
            </w:r>
            <w:r>
              <w:t xml:space="preserve"> §22.1.2.70"</w:t>
            </w:r>
          </w:p>
        </w:tc>
      </w:tr>
      <w:tr w:rsidR="000A156F" w:rsidTr="000A156F">
        <w:tc>
          <w:tcPr>
            <w:tcW w:w="0" w:type="auto"/>
            <w:vAlign w:val="center"/>
          </w:tcPr>
          <w:p w:rsidR="000A156F" w:rsidRDefault="00A9721F">
            <w:pPr>
              <w:pStyle w:val="TableBodyText"/>
            </w:pPr>
            <w:r>
              <w:rPr>
                <w:b/>
              </w:rPr>
              <w:t>oMath</w:t>
            </w:r>
            <w:r>
              <w:t xml:space="preserve"> (Office Math)</w:t>
            </w:r>
          </w:p>
        </w:tc>
        <w:tc>
          <w:tcPr>
            <w:tcW w:w="0" w:type="auto"/>
            <w:vAlign w:val="center"/>
          </w:tcPr>
          <w:p w:rsidR="000A156F" w:rsidRDefault="00A9721F">
            <w:pPr>
              <w:pStyle w:val="TableBodyText"/>
            </w:pPr>
            <w:r>
              <w:t>"[ISO/IEC-29500-1] §22.1.2.77"</w:t>
            </w:r>
          </w:p>
        </w:tc>
      </w:tr>
      <w:tr w:rsidR="000A156F" w:rsidTr="000A156F">
        <w:tc>
          <w:tcPr>
            <w:tcW w:w="0" w:type="auto"/>
            <w:vAlign w:val="center"/>
          </w:tcPr>
          <w:p w:rsidR="000A156F" w:rsidRDefault="00A9721F">
            <w:pPr>
              <w:pStyle w:val="TableBodyText"/>
            </w:pPr>
            <w:r>
              <w:rPr>
                <w:b/>
              </w:rPr>
              <w:t>oMathPara</w:t>
            </w:r>
            <w:r>
              <w:t xml:space="preserve"> (Office Math Paragraph)</w:t>
            </w:r>
          </w:p>
        </w:tc>
        <w:tc>
          <w:tcPr>
            <w:tcW w:w="0" w:type="auto"/>
            <w:vAlign w:val="center"/>
          </w:tcPr>
          <w:p w:rsidR="000A156F" w:rsidRDefault="00A9721F">
            <w:pPr>
              <w:pStyle w:val="TableBodyText"/>
            </w:pPr>
            <w:r>
              <w:t>"[ISO/IEC-29500-1] §22.1.2.78"</w:t>
            </w:r>
          </w:p>
        </w:tc>
      </w:tr>
      <w:tr w:rsidR="000A156F" w:rsidTr="000A156F">
        <w:tc>
          <w:tcPr>
            <w:tcW w:w="0" w:type="auto"/>
            <w:vAlign w:val="center"/>
          </w:tcPr>
          <w:p w:rsidR="000A156F" w:rsidRDefault="00A9721F">
            <w:pPr>
              <w:pStyle w:val="TableBodyText"/>
            </w:pPr>
            <w:r>
              <w:rPr>
                <w:b/>
              </w:rPr>
              <w:t>permEnd</w:t>
            </w:r>
            <w:r>
              <w:t xml:space="preserve"> (Range Permission End)</w:t>
            </w:r>
          </w:p>
        </w:tc>
        <w:tc>
          <w:tcPr>
            <w:tcW w:w="0" w:type="auto"/>
            <w:vAlign w:val="center"/>
          </w:tcPr>
          <w:p w:rsidR="000A156F" w:rsidRDefault="00A9721F">
            <w:pPr>
              <w:pStyle w:val="TableBodyText"/>
            </w:pPr>
            <w:r>
              <w:t>"[ISO/IEC-29500-1] §17.13.7.1"</w:t>
            </w:r>
          </w:p>
        </w:tc>
      </w:tr>
      <w:tr w:rsidR="000A156F" w:rsidTr="000A156F">
        <w:tc>
          <w:tcPr>
            <w:tcW w:w="0" w:type="auto"/>
            <w:vAlign w:val="center"/>
          </w:tcPr>
          <w:p w:rsidR="000A156F" w:rsidRDefault="00A9721F">
            <w:pPr>
              <w:pStyle w:val="TableBodyText"/>
            </w:pPr>
            <w:r>
              <w:rPr>
                <w:b/>
              </w:rPr>
              <w:t>permStart</w:t>
            </w:r>
            <w:r>
              <w:t xml:space="preserve"> (Range Permission Start)</w:t>
            </w:r>
          </w:p>
        </w:tc>
        <w:tc>
          <w:tcPr>
            <w:tcW w:w="0" w:type="auto"/>
            <w:vAlign w:val="center"/>
          </w:tcPr>
          <w:p w:rsidR="000A156F" w:rsidRDefault="00A9721F">
            <w:pPr>
              <w:pStyle w:val="TableBodyText"/>
            </w:pPr>
            <w:r>
              <w:t>"[ISO/IEC-29500-1]</w:t>
            </w:r>
            <w:r>
              <w:t xml:space="preserve"> §17.13.7.2"</w:t>
            </w:r>
          </w:p>
        </w:tc>
      </w:tr>
      <w:tr w:rsidR="000A156F" w:rsidTr="000A156F">
        <w:tc>
          <w:tcPr>
            <w:tcW w:w="0" w:type="auto"/>
            <w:vAlign w:val="center"/>
          </w:tcPr>
          <w:p w:rsidR="000A156F" w:rsidRDefault="00A9721F">
            <w:pPr>
              <w:pStyle w:val="TableBodyText"/>
            </w:pPr>
            <w:r>
              <w:rPr>
                <w:b/>
              </w:rPr>
              <w:t>phant</w:t>
            </w:r>
            <w:r>
              <w:t xml:space="preserve"> (Phantom Object)</w:t>
            </w:r>
          </w:p>
        </w:tc>
        <w:tc>
          <w:tcPr>
            <w:tcW w:w="0" w:type="auto"/>
            <w:vAlign w:val="center"/>
          </w:tcPr>
          <w:p w:rsidR="000A156F" w:rsidRDefault="00A9721F">
            <w:pPr>
              <w:pStyle w:val="TableBodyText"/>
            </w:pPr>
            <w:r>
              <w:t>"[ISO/IEC-29500-1] §22.1.2.81"</w:t>
            </w:r>
          </w:p>
        </w:tc>
      </w:tr>
      <w:tr w:rsidR="000A156F" w:rsidTr="000A156F">
        <w:tc>
          <w:tcPr>
            <w:tcW w:w="0" w:type="auto"/>
            <w:vAlign w:val="center"/>
          </w:tcPr>
          <w:p w:rsidR="000A156F" w:rsidRDefault="00A9721F">
            <w:pPr>
              <w:pStyle w:val="TableBodyText"/>
            </w:pPr>
            <w:r>
              <w:rPr>
                <w:b/>
              </w:rPr>
              <w:t>proofErr</w:t>
            </w:r>
            <w:r>
              <w:t xml:space="preserve"> (Proofing Error Anchor)</w:t>
            </w:r>
          </w:p>
        </w:tc>
        <w:tc>
          <w:tcPr>
            <w:tcW w:w="0" w:type="auto"/>
            <w:vAlign w:val="center"/>
          </w:tcPr>
          <w:p w:rsidR="000A156F" w:rsidRDefault="00A9721F">
            <w:pPr>
              <w:pStyle w:val="TableBodyText"/>
            </w:pPr>
            <w:r>
              <w:t>"[ISO/IEC-29500-1] §17.13.8.1"</w:t>
            </w:r>
          </w:p>
        </w:tc>
      </w:tr>
      <w:tr w:rsidR="000A156F" w:rsidTr="000A156F">
        <w:tc>
          <w:tcPr>
            <w:tcW w:w="0" w:type="auto"/>
            <w:vAlign w:val="center"/>
          </w:tcPr>
          <w:p w:rsidR="000A156F" w:rsidRDefault="00A9721F">
            <w:pPr>
              <w:pStyle w:val="TableBodyText"/>
            </w:pPr>
            <w:r>
              <w:rPr>
                <w:b/>
              </w:rPr>
              <w:t>r</w:t>
            </w:r>
            <w:r>
              <w:t xml:space="preserve"> (Run)</w:t>
            </w:r>
          </w:p>
        </w:tc>
        <w:tc>
          <w:tcPr>
            <w:tcW w:w="0" w:type="auto"/>
            <w:vAlign w:val="center"/>
          </w:tcPr>
          <w:p w:rsidR="000A156F" w:rsidRDefault="00A9721F">
            <w:pPr>
              <w:pStyle w:val="TableBodyText"/>
            </w:pPr>
            <w:r>
              <w:t>"[ISO/IEC-29500-1] §22.1.2.87"</w:t>
            </w:r>
          </w:p>
        </w:tc>
      </w:tr>
      <w:tr w:rsidR="000A156F" w:rsidTr="000A156F">
        <w:tc>
          <w:tcPr>
            <w:tcW w:w="0" w:type="auto"/>
            <w:vAlign w:val="center"/>
          </w:tcPr>
          <w:p w:rsidR="000A156F" w:rsidRDefault="00A9721F">
            <w:pPr>
              <w:pStyle w:val="TableBodyText"/>
            </w:pPr>
            <w:r>
              <w:rPr>
                <w:b/>
              </w:rPr>
              <w:t>r</w:t>
            </w:r>
            <w:r>
              <w:t xml:space="preserve"> (Text Run)</w:t>
            </w:r>
          </w:p>
        </w:tc>
        <w:tc>
          <w:tcPr>
            <w:tcW w:w="0" w:type="auto"/>
            <w:vAlign w:val="center"/>
          </w:tcPr>
          <w:p w:rsidR="000A156F" w:rsidRDefault="00A9721F">
            <w:pPr>
              <w:pStyle w:val="TableBodyText"/>
            </w:pPr>
            <w:r>
              <w:t>"[ISO/IEC-29500-1] §17.3.2.25"</w:t>
            </w:r>
          </w:p>
        </w:tc>
      </w:tr>
      <w:tr w:rsidR="000A156F" w:rsidTr="000A156F">
        <w:tc>
          <w:tcPr>
            <w:tcW w:w="0" w:type="auto"/>
            <w:vAlign w:val="center"/>
          </w:tcPr>
          <w:p w:rsidR="000A156F" w:rsidRDefault="00A9721F">
            <w:pPr>
              <w:pStyle w:val="TableBodyText"/>
            </w:pPr>
            <w:r>
              <w:rPr>
                <w:b/>
              </w:rPr>
              <w:t>rad</w:t>
            </w:r>
            <w:r>
              <w:t xml:space="preserve"> (Radical Object)</w:t>
            </w:r>
          </w:p>
        </w:tc>
        <w:tc>
          <w:tcPr>
            <w:tcW w:w="0" w:type="auto"/>
            <w:vAlign w:val="center"/>
          </w:tcPr>
          <w:p w:rsidR="000A156F" w:rsidRDefault="00A9721F">
            <w:pPr>
              <w:pStyle w:val="TableBodyText"/>
            </w:pPr>
            <w:r>
              <w:t>"[ISO/IEC-29500-</w:t>
            </w:r>
            <w:r>
              <w:t>1] §22.1.2.88"</w:t>
            </w:r>
          </w:p>
        </w:tc>
      </w:tr>
      <w:tr w:rsidR="000A156F" w:rsidTr="000A156F">
        <w:tc>
          <w:tcPr>
            <w:tcW w:w="0" w:type="auto"/>
            <w:vAlign w:val="center"/>
          </w:tcPr>
          <w:p w:rsidR="000A156F" w:rsidRDefault="00A9721F">
            <w:pPr>
              <w:pStyle w:val="TableBodyText"/>
            </w:pPr>
            <w:r>
              <w:rPr>
                <w:b/>
              </w:rPr>
              <w:t>sdt</w:t>
            </w:r>
            <w:r>
              <w:t xml:space="preserve"> (Ruby Inline-Level Structured Document Tag)</w:t>
            </w:r>
          </w:p>
        </w:tc>
        <w:tc>
          <w:tcPr>
            <w:tcW w:w="0" w:type="auto"/>
            <w:vAlign w:val="center"/>
          </w:tcPr>
          <w:p w:rsidR="000A156F" w:rsidRDefault="00A9721F">
            <w:pPr>
              <w:pStyle w:val="TableBodyText"/>
            </w:pPr>
            <w:r>
              <w:t>§</w:t>
            </w:r>
            <w:hyperlink w:anchor="Section_808b32d8ad644c849fb585ad68be54b9">
              <w:r>
                <w:rPr>
                  <w:rStyle w:val="Hyperlink"/>
                </w:rPr>
                <w:t>3.1.3.1.6, sdt</w:t>
              </w:r>
            </w:hyperlink>
          </w:p>
        </w:tc>
      </w:tr>
      <w:tr w:rsidR="000A156F" w:rsidTr="000A156F">
        <w:tc>
          <w:tcPr>
            <w:tcW w:w="0" w:type="auto"/>
            <w:vAlign w:val="center"/>
          </w:tcPr>
          <w:p w:rsidR="000A156F" w:rsidRDefault="00A9721F">
            <w:pPr>
              <w:pStyle w:val="TableBodyText"/>
            </w:pPr>
            <w:r>
              <w:rPr>
                <w:b/>
              </w:rPr>
              <w:t>sPre</w:t>
            </w:r>
            <w:r>
              <w:t xml:space="preserve"> (Pre-Sub-Superscript Object)</w:t>
            </w:r>
          </w:p>
        </w:tc>
        <w:tc>
          <w:tcPr>
            <w:tcW w:w="0" w:type="auto"/>
            <w:vAlign w:val="center"/>
          </w:tcPr>
          <w:p w:rsidR="000A156F" w:rsidRDefault="00A9721F">
            <w:pPr>
              <w:pStyle w:val="TableBodyText"/>
            </w:pPr>
            <w:r>
              <w:t>"[ISO/IEC-29500-1] §22.1.2.99"</w:t>
            </w:r>
          </w:p>
        </w:tc>
      </w:tr>
      <w:tr w:rsidR="000A156F" w:rsidTr="000A156F">
        <w:tc>
          <w:tcPr>
            <w:tcW w:w="0" w:type="auto"/>
            <w:vAlign w:val="center"/>
          </w:tcPr>
          <w:p w:rsidR="000A156F" w:rsidRDefault="00A9721F">
            <w:pPr>
              <w:pStyle w:val="TableBodyText"/>
            </w:pPr>
            <w:r>
              <w:rPr>
                <w:b/>
              </w:rPr>
              <w:t>sSub</w:t>
            </w:r>
            <w:r>
              <w:t xml:space="preserve"> (Subscript Object)</w:t>
            </w:r>
          </w:p>
        </w:tc>
        <w:tc>
          <w:tcPr>
            <w:tcW w:w="0" w:type="auto"/>
            <w:vAlign w:val="center"/>
          </w:tcPr>
          <w:p w:rsidR="000A156F" w:rsidRDefault="00A9721F">
            <w:pPr>
              <w:pStyle w:val="TableBodyText"/>
            </w:pPr>
            <w:r>
              <w:t>"[ISO/IEC-29500-1]</w:t>
            </w:r>
            <w:r>
              <w:t xml:space="preserve"> §22.1.2.101"</w:t>
            </w:r>
          </w:p>
        </w:tc>
      </w:tr>
      <w:tr w:rsidR="000A156F" w:rsidTr="000A156F">
        <w:tc>
          <w:tcPr>
            <w:tcW w:w="0" w:type="auto"/>
            <w:vAlign w:val="center"/>
          </w:tcPr>
          <w:p w:rsidR="000A156F" w:rsidRDefault="00A9721F">
            <w:pPr>
              <w:pStyle w:val="TableBodyText"/>
            </w:pPr>
            <w:r>
              <w:rPr>
                <w:b/>
              </w:rPr>
              <w:t>sSubSup</w:t>
            </w:r>
            <w:r>
              <w:t xml:space="preserve"> (Sub-Superscript Object)</w:t>
            </w:r>
          </w:p>
        </w:tc>
        <w:tc>
          <w:tcPr>
            <w:tcW w:w="0" w:type="auto"/>
            <w:vAlign w:val="center"/>
          </w:tcPr>
          <w:p w:rsidR="000A156F" w:rsidRDefault="00A9721F">
            <w:pPr>
              <w:pStyle w:val="TableBodyText"/>
            </w:pPr>
            <w:r>
              <w:t>"[ISO/IEC-29500-1] §22.1.2.103"</w:t>
            </w:r>
          </w:p>
        </w:tc>
      </w:tr>
      <w:tr w:rsidR="000A156F" w:rsidTr="000A156F">
        <w:tc>
          <w:tcPr>
            <w:tcW w:w="0" w:type="auto"/>
            <w:vAlign w:val="center"/>
          </w:tcPr>
          <w:p w:rsidR="000A156F" w:rsidRDefault="00A9721F">
            <w:pPr>
              <w:pStyle w:val="TableBodyText"/>
            </w:pPr>
            <w:r>
              <w:rPr>
                <w:b/>
              </w:rPr>
              <w:t>sSup</w:t>
            </w:r>
            <w:r>
              <w:t xml:space="preserve"> (Superscript Object)</w:t>
            </w:r>
          </w:p>
        </w:tc>
        <w:tc>
          <w:tcPr>
            <w:tcW w:w="0" w:type="auto"/>
            <w:vAlign w:val="center"/>
          </w:tcPr>
          <w:p w:rsidR="000A156F" w:rsidRDefault="00A9721F">
            <w:pPr>
              <w:pStyle w:val="TableBodyText"/>
            </w:pPr>
            <w:r>
              <w:t>"[ISO/IEC-29500-1] §22.1.2.105"</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906"/>
        <w:gridCol w:w="7569"/>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dirty</w:t>
            </w:r>
            <w:r>
              <w:t xml:space="preserve"> (Field Result Invalidated)</w:t>
            </w:r>
          </w:p>
        </w:tc>
        <w:tc>
          <w:tcPr>
            <w:tcW w:w="0" w:type="auto"/>
            <w:vAlign w:val="center"/>
          </w:tcPr>
          <w:p w:rsidR="000A156F" w:rsidRDefault="00A9721F">
            <w:pPr>
              <w:pStyle w:val="TableBodyText"/>
            </w:pPr>
            <w:r>
              <w:t xml:space="preserve">Specifies that this field has been flagged by an </w:t>
            </w:r>
            <w:r>
              <w:t>application to indicate that its current results are invalid (stale) due to other modifications made to the document, and these contents should be updated before they are displayed if this functionality is supported by the next processing application.</w:t>
            </w:r>
          </w:p>
          <w:p w:rsidR="000A156F" w:rsidRDefault="000A156F">
            <w:pPr>
              <w:pStyle w:val="TableBodyText"/>
            </w:pPr>
          </w:p>
          <w:p w:rsidR="000A156F" w:rsidRDefault="00A9721F">
            <w:pPr>
              <w:pStyle w:val="TableBodyText"/>
            </w:pPr>
            <w:r>
              <w:t>[Ra</w:t>
            </w:r>
            <w:r>
              <w:t>tionale: This functionality allows applications with limited subsets of the full functionality of ISO/IEC-29500 Office Open XML File Formats [ISO/IEC-29500-1] to process documents without needing to understand and update all fields based on the semantics f</w:t>
            </w:r>
            <w:r>
              <w:t>or their field codes.</w:t>
            </w:r>
          </w:p>
          <w:p w:rsidR="000A156F" w:rsidRDefault="000A156F">
            <w:pPr>
              <w:pStyle w:val="TableBodyText"/>
            </w:pPr>
          </w:p>
          <w:p w:rsidR="000A156F" w:rsidRDefault="00A9721F">
            <w:pPr>
              <w:pStyle w:val="TableBodyText"/>
            </w:pPr>
            <w:r>
              <w:t>For example, an application can add a new paragraph and flag the table of contents as dirty, without needing to understand anything about how to recalculate that field's content. end rationale]</w:t>
            </w:r>
          </w:p>
          <w:p w:rsidR="000A156F" w:rsidRDefault="000A156F">
            <w:pPr>
              <w:pStyle w:val="TableBodyText"/>
            </w:pPr>
          </w:p>
          <w:p w:rsidR="000A156F" w:rsidRDefault="00A9721F">
            <w:pPr>
              <w:pStyle w:val="TableBodyText"/>
            </w:pPr>
            <w:r>
              <w:t>If this attribute is omitted, then its</w:t>
            </w:r>
            <w:r>
              <w:t xml:space="preserve"> value shall be assumed to be </w:t>
            </w:r>
            <w:r>
              <w:rPr>
                <w:i/>
              </w:rPr>
              <w:t>false</w:t>
            </w:r>
            <w:r>
              <w:t>.</w:t>
            </w:r>
          </w:p>
          <w:p w:rsidR="000A156F" w:rsidRDefault="000A156F">
            <w:pPr>
              <w:pStyle w:val="TableBodyText"/>
            </w:pPr>
          </w:p>
          <w:p w:rsidR="000A156F" w:rsidRDefault="00A9721F">
            <w:pPr>
              <w:pStyle w:val="TableBodyText"/>
            </w:pPr>
            <w:r>
              <w:t>[Example: Consider the following WordprocessingML for a simple field:</w:t>
            </w:r>
          </w:p>
          <w:p w:rsidR="000A156F" w:rsidRDefault="000A156F">
            <w:pPr>
              <w:pStyle w:val="TableBodyText"/>
            </w:pPr>
          </w:p>
          <w:p w:rsidR="000A156F" w:rsidRDefault="00A9721F">
            <w:pPr>
              <w:pStyle w:val="Code"/>
            </w:pPr>
            <w:r>
              <w:t>&lt;w:fldSimple w:instr="AUTHOR" w:dirty="true"/&gt;</w:t>
            </w:r>
          </w:p>
          <w:p w:rsidR="000A156F" w:rsidRDefault="000A156F">
            <w:pPr>
              <w:pStyle w:val="Code"/>
            </w:pPr>
          </w:p>
          <w:p w:rsidR="000A156F" w:rsidRDefault="00A9721F">
            <w:pPr>
              <w:pStyle w:val="TableBodyText"/>
            </w:pPr>
            <w:r>
              <w:t xml:space="preserve">The </w:t>
            </w:r>
            <w:r>
              <w:rPr>
                <w:b/>
              </w:rPr>
              <w:t>dirty</w:t>
            </w:r>
            <w:r>
              <w:t xml:space="preserve"> attribute value of </w:t>
            </w:r>
            <w:r>
              <w:rPr>
                <w:i/>
              </w:rPr>
              <w:t>true</w:t>
            </w:r>
            <w:r>
              <w:t xml:space="preserve"> specifies that the contents of this field are no longer current based on the contents of the document, and should be recalculated whenever an application with this functionality reads the document. end example]</w:t>
            </w:r>
          </w:p>
          <w:p w:rsidR="000A156F" w:rsidRDefault="000A156F">
            <w:pPr>
              <w:pStyle w:val="TableBodyText"/>
            </w:pPr>
          </w:p>
          <w:p w:rsidR="000A156F" w:rsidRDefault="00A9721F">
            <w:pPr>
              <w:pStyle w:val="TableBodyText"/>
            </w:pPr>
            <w:r>
              <w:t xml:space="preserve">The possible values for this attribute are </w:t>
            </w:r>
            <w:r>
              <w:t>defined by the ST_OnOff simple type (§</w:t>
            </w:r>
            <w:hyperlink w:anchor="Section_79cbec698430479d88c056dd44369074">
              <w:r>
                <w:rPr>
                  <w:rStyle w:val="Hyperlink"/>
                </w:rPr>
                <w:t>3.1.3.3.6, ST_OnOff</w:t>
              </w:r>
            </w:hyperlink>
            <w:r>
              <w:t>).</w:t>
            </w:r>
          </w:p>
        </w:tc>
      </w:tr>
      <w:tr w:rsidR="000A156F" w:rsidTr="000A156F">
        <w:tc>
          <w:tcPr>
            <w:tcW w:w="0" w:type="auto"/>
            <w:vAlign w:val="center"/>
          </w:tcPr>
          <w:p w:rsidR="000A156F" w:rsidRDefault="00A9721F">
            <w:pPr>
              <w:pStyle w:val="TableBodyText"/>
            </w:pPr>
            <w:r>
              <w:rPr>
                <w:b/>
              </w:rPr>
              <w:t>fldLock</w:t>
            </w:r>
            <w:r>
              <w:t xml:space="preserve"> (Field Should Not be Recalculated)</w:t>
            </w:r>
          </w:p>
        </w:tc>
        <w:tc>
          <w:tcPr>
            <w:tcW w:w="0" w:type="auto"/>
            <w:vAlign w:val="center"/>
          </w:tcPr>
          <w:p w:rsidR="000A156F" w:rsidRDefault="00A9721F">
            <w:pPr>
              <w:pStyle w:val="TableBodyText"/>
            </w:pPr>
            <w:r>
              <w:t xml:space="preserve">Specifies that the parent field shall not have its field result recalculated, even if an </w:t>
            </w:r>
            <w:r>
              <w:t>application attempts to recalculate the results of all fields in the document or a recalculation is explicitly requested.</w:t>
            </w:r>
          </w:p>
          <w:p w:rsidR="000A156F" w:rsidRDefault="000A156F">
            <w:pPr>
              <w:pStyle w:val="TableBodyText"/>
            </w:pPr>
          </w:p>
          <w:p w:rsidR="000A156F" w:rsidRDefault="00A9721F">
            <w:pPr>
              <w:pStyle w:val="TableBodyText"/>
            </w:pPr>
            <w:r>
              <w:t xml:space="preserve">If this attribute is omitted, then its value shall be assumed to be </w:t>
            </w:r>
            <w:r>
              <w:rPr>
                <w:i/>
              </w:rPr>
              <w:t>false</w:t>
            </w:r>
            <w:r>
              <w:t>.</w:t>
            </w:r>
          </w:p>
          <w:p w:rsidR="000A156F" w:rsidRDefault="000A156F">
            <w:pPr>
              <w:pStyle w:val="TableBodyText"/>
            </w:pPr>
          </w:p>
          <w:p w:rsidR="000A156F" w:rsidRDefault="00A9721F">
            <w:pPr>
              <w:pStyle w:val="TableBodyText"/>
            </w:pPr>
            <w:r>
              <w:t>[Example: Consider the following WordprocessingML for a s</w:t>
            </w:r>
            <w:r>
              <w:t>imple field:</w:t>
            </w:r>
          </w:p>
          <w:p w:rsidR="000A156F" w:rsidRDefault="000A156F">
            <w:pPr>
              <w:pStyle w:val="TableBodyText"/>
            </w:pPr>
          </w:p>
          <w:p w:rsidR="000A156F" w:rsidRDefault="00A9721F">
            <w:pPr>
              <w:pStyle w:val="Code"/>
            </w:pPr>
            <w:r>
              <w:t>&lt;w:fldSimple w:instr="AUTHOR" w:fldLock="true"&gt;</w:t>
            </w:r>
          </w:p>
          <w:p w:rsidR="000A156F" w:rsidRDefault="00A9721F">
            <w:pPr>
              <w:pStyle w:val="Code"/>
            </w:pPr>
            <w:r>
              <w:t xml:space="preserve">  &lt;w:r&gt;</w:t>
            </w:r>
          </w:p>
          <w:p w:rsidR="000A156F" w:rsidRDefault="00A9721F">
            <w:pPr>
              <w:pStyle w:val="Code"/>
            </w:pPr>
            <w:r>
              <w:t xml:space="preserve">    &lt;w:t&gt;Rex Jaeschke&lt;/w:t&gt;</w:t>
            </w:r>
          </w:p>
          <w:p w:rsidR="000A156F" w:rsidRDefault="00A9721F">
            <w:pPr>
              <w:pStyle w:val="Code"/>
            </w:pPr>
            <w:r>
              <w:t xml:space="preserve">  &lt;/w:r&gt;</w:t>
            </w:r>
          </w:p>
          <w:p w:rsidR="000A156F" w:rsidRDefault="00A9721F">
            <w:pPr>
              <w:pStyle w:val="Code"/>
            </w:pPr>
            <w:r>
              <w:t>&lt;/w:fldSimple&gt;</w:t>
            </w:r>
          </w:p>
          <w:p w:rsidR="000A156F" w:rsidRDefault="000A156F">
            <w:pPr>
              <w:pStyle w:val="TableBodyText"/>
            </w:pPr>
          </w:p>
          <w:p w:rsidR="000A156F" w:rsidRDefault="00A9721F">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w:t>
            </w:r>
            <w:r>
              <w:t>lt of the current field codes. end example]</w:t>
            </w:r>
          </w:p>
          <w:p w:rsidR="000A156F" w:rsidRDefault="000A156F">
            <w:pPr>
              <w:pStyle w:val="TableBodyText"/>
            </w:pPr>
          </w:p>
          <w:p w:rsidR="000A156F" w:rsidRDefault="00A9721F">
            <w:pPr>
              <w:pStyle w:val="TableBodyText"/>
            </w:pPr>
            <w:r>
              <w:t>The possible values for this attribute are defined by the ST_OnOff simple type (§3.1.3.3.6, ST_OnOff).</w:t>
            </w:r>
          </w:p>
        </w:tc>
      </w:tr>
      <w:tr w:rsidR="000A156F" w:rsidTr="000A156F">
        <w:tc>
          <w:tcPr>
            <w:tcW w:w="0" w:type="auto"/>
            <w:vAlign w:val="center"/>
          </w:tcPr>
          <w:p w:rsidR="000A156F" w:rsidRDefault="00A9721F">
            <w:pPr>
              <w:pStyle w:val="TableBodyText"/>
            </w:pPr>
            <w:r>
              <w:rPr>
                <w:b/>
              </w:rPr>
              <w:t>instr</w:t>
            </w:r>
            <w:r>
              <w:t xml:space="preserve"> (Field Codes)</w:t>
            </w:r>
          </w:p>
        </w:tc>
        <w:tc>
          <w:tcPr>
            <w:tcW w:w="0" w:type="auto"/>
            <w:vAlign w:val="center"/>
          </w:tcPr>
          <w:p w:rsidR="000A156F" w:rsidRDefault="00A9721F">
            <w:pPr>
              <w:pStyle w:val="TableBodyText"/>
            </w:pPr>
            <w:r>
              <w:t>Specifies the field codes for the simple field. The possible field codes are defined in</w:t>
            </w:r>
            <w:r>
              <w:t xml:space="preserve"> "[ISO/IEC-29500-1] §17.16.5".</w:t>
            </w:r>
          </w:p>
          <w:p w:rsidR="000A156F" w:rsidRDefault="000A156F">
            <w:pPr>
              <w:pStyle w:val="TableBodyText"/>
            </w:pPr>
          </w:p>
          <w:p w:rsidR="000A156F" w:rsidRDefault="00A9721F">
            <w:pPr>
              <w:pStyle w:val="TableBodyText"/>
            </w:pPr>
            <w:r>
              <w:t>[Example: Consider the following WordprocessingML for a simple field:</w:t>
            </w:r>
          </w:p>
          <w:p w:rsidR="000A156F" w:rsidRDefault="000A156F">
            <w:pPr>
              <w:pStyle w:val="TableBodyText"/>
            </w:pPr>
          </w:p>
          <w:p w:rsidR="000A156F" w:rsidRDefault="00A9721F">
            <w:pPr>
              <w:pStyle w:val="Code"/>
            </w:pPr>
            <w:r>
              <w:t>&lt;w:fldSimple w:instr="AUTHOR" w:fldLock="true"&gt;</w:t>
            </w:r>
          </w:p>
          <w:p w:rsidR="000A156F" w:rsidRDefault="00A9721F">
            <w:pPr>
              <w:pStyle w:val="Code"/>
            </w:pPr>
            <w:r>
              <w:t xml:space="preserve">  &lt;w:r&gt;</w:t>
            </w:r>
          </w:p>
          <w:p w:rsidR="000A156F" w:rsidRDefault="00A9721F">
            <w:pPr>
              <w:pStyle w:val="Code"/>
            </w:pPr>
            <w:r>
              <w:t xml:space="preserve">    &lt;w:t&gt;Rex Jaeschke&lt;/w:t&gt;</w:t>
            </w:r>
          </w:p>
          <w:p w:rsidR="000A156F" w:rsidRDefault="00A9721F">
            <w:pPr>
              <w:pStyle w:val="Code"/>
            </w:pPr>
            <w:r>
              <w:t xml:space="preserve">  &lt;/w:r&gt;</w:t>
            </w:r>
          </w:p>
          <w:p w:rsidR="000A156F" w:rsidRDefault="00A9721F">
            <w:pPr>
              <w:pStyle w:val="Code"/>
            </w:pPr>
            <w:r>
              <w:t>&lt;/w:fldSimple&gt;</w:t>
            </w:r>
          </w:p>
          <w:p w:rsidR="000A156F" w:rsidRDefault="000A156F">
            <w:pPr>
              <w:pStyle w:val="TableBodyText"/>
            </w:pPr>
          </w:p>
          <w:p w:rsidR="000A156F" w:rsidRDefault="00A9721F">
            <w:pPr>
              <w:pStyle w:val="TableBodyText"/>
            </w:pPr>
            <w:r>
              <w:t xml:space="preserve">The </w:t>
            </w:r>
            <w:r>
              <w:rPr>
                <w:b/>
              </w:rPr>
              <w:t>instr</w:t>
            </w:r>
            <w:r>
              <w:t xml:space="preserve"> attribute specifies the field codes for this simple field to be </w:t>
            </w:r>
            <w:r>
              <w:rPr>
                <w:i/>
              </w:rPr>
              <w:t>AUTHOR</w:t>
            </w:r>
            <w:r>
              <w:t>. end example]</w:t>
            </w:r>
          </w:p>
          <w:p w:rsidR="000A156F" w:rsidRDefault="000A156F">
            <w:pPr>
              <w:pStyle w:val="TableBodyText"/>
            </w:pPr>
          </w:p>
          <w:p w:rsidR="000A156F" w:rsidRDefault="00A9721F">
            <w:pPr>
              <w:pStyle w:val="TableBodyText"/>
            </w:pPr>
            <w:r>
              <w:t>The possible values for this attribute are defined by the ST_String simple type (§</w:t>
            </w:r>
            <w:hyperlink w:anchor="Section_ed68652a69334080ac59a443946fa732">
              <w:r>
                <w:rPr>
                  <w:rStyle w:val="Hyperlink"/>
                </w:rPr>
                <w:t>3.1.3.3.8, ST_String</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&lt;complexType name="CT_SimpleFieldRuby"&gt;</w:t>
      </w:r>
    </w:p>
    <w:p w:rsidR="000A156F" w:rsidRDefault="00A9721F">
      <w:pPr>
        <w:pStyle w:val="Code"/>
      </w:pPr>
      <w:r>
        <w:t xml:space="preserve">  &lt;sequence&gt;</w:t>
      </w:r>
    </w:p>
    <w:p w:rsidR="000A156F" w:rsidRDefault="00A9721F">
      <w:pPr>
        <w:pStyle w:val="Code"/>
      </w:pPr>
      <w:r>
        <w:t xml:space="preserve">    &lt;element name="fldData" type="CT_Text" minOccurs="0" maxOccurs="1"/&gt;</w:t>
      </w:r>
    </w:p>
    <w:p w:rsidR="000A156F" w:rsidRDefault="00A9721F">
      <w:pPr>
        <w:pStyle w:val="Code"/>
      </w:pPr>
      <w:r>
        <w:t xml:space="preserve">    &lt;group ref="EG_RubyContent" minOccurs="0" maxOccurs="</w:t>
      </w:r>
      <w:r>
        <w:t>unbounded"/&gt;</w:t>
      </w:r>
    </w:p>
    <w:p w:rsidR="000A156F" w:rsidRDefault="00A9721F">
      <w:pPr>
        <w:pStyle w:val="Code"/>
      </w:pPr>
      <w:r>
        <w:t xml:space="preserve">  &lt;/sequence&gt;</w:t>
      </w:r>
    </w:p>
    <w:p w:rsidR="000A156F" w:rsidRDefault="00A9721F">
      <w:pPr>
        <w:pStyle w:val="Code"/>
      </w:pPr>
      <w:r>
        <w:t xml:space="preserve">  &lt;attribute name="instr" type="ST_String" use="required"/&gt;</w:t>
      </w:r>
    </w:p>
    <w:p w:rsidR="000A156F" w:rsidRDefault="00A9721F">
      <w:pPr>
        <w:pStyle w:val="Code"/>
      </w:pPr>
      <w:r>
        <w:t xml:space="preserve">  &lt;attribute name="fldLock" type="ST_OnOff"/&gt;</w:t>
      </w:r>
    </w:p>
    <w:p w:rsidR="000A156F" w:rsidRDefault="00A9721F">
      <w:pPr>
        <w:pStyle w:val="Code"/>
      </w:pPr>
      <w:r>
        <w:t xml:space="preserve">  &lt;attribute name="dirty" type="ST_OnOff"/&gt;</w:t>
      </w:r>
    </w:p>
    <w:p w:rsidR="000A156F" w:rsidRDefault="00A9721F">
      <w:pPr>
        <w:pStyle w:val="Code"/>
      </w:pPr>
      <w:r>
        <w:t>&lt;/complexType&gt;</w:t>
      </w:r>
    </w:p>
    <w:p w:rsidR="000A156F" w:rsidRDefault="00A9721F">
      <w:pPr>
        <w:pStyle w:val="Heading5"/>
      </w:pPr>
      <w:bookmarkStart w:id="3895" w:name="section_cc9e4bbd134f4d35b2c795fde8c633a7"/>
      <w:bookmarkStart w:id="3896" w:name="_Toc181684973"/>
      <w:r>
        <w:t>hyperlink (Ruby Hyperlink)</w:t>
      </w:r>
      <w:bookmarkEnd w:id="3895"/>
      <w:bookmarkEnd w:id="3896"/>
      <w:r>
        <w:fldChar w:fldCharType="begin"/>
      </w:r>
      <w:r>
        <w:instrText xml:space="preserve"> XE "hyperlink (Ruby Hyperlink)" </w:instrText>
      </w:r>
      <w:r>
        <w:fldChar w:fldCharType="end"/>
      </w:r>
    </w:p>
    <w:p w:rsidR="000A156F" w:rsidRDefault="00A9721F">
      <w:r>
        <w:t>This element specifies the presence of a hyperlink at the current location in the document.</w:t>
      </w:r>
    </w:p>
    <w:p w:rsidR="000A156F" w:rsidRDefault="00A9721F">
      <w:r>
        <w:t>[Example: Consider the following WordprocessingML fragment for a hyperlink:</w:t>
      </w:r>
    </w:p>
    <w:p w:rsidR="000A156F" w:rsidRDefault="00A9721F">
      <w:pPr>
        <w:pStyle w:val="Code"/>
      </w:pPr>
      <w:r>
        <w:t>&lt;w:hyperlink r:id="rId10"&gt;</w:t>
      </w:r>
    </w:p>
    <w:p w:rsidR="000A156F" w:rsidRDefault="00A9721F">
      <w:pPr>
        <w:pStyle w:val="Code"/>
      </w:pPr>
      <w:r>
        <w:t xml:space="preserve">  &lt;w:r&gt;</w:t>
      </w:r>
    </w:p>
    <w:p w:rsidR="000A156F" w:rsidRDefault="00A9721F">
      <w:pPr>
        <w:pStyle w:val="Code"/>
      </w:pPr>
      <w:r>
        <w:t xml:space="preserve">    &lt;w:t&gt;Click here&lt;/w:t&gt;</w:t>
      </w:r>
    </w:p>
    <w:p w:rsidR="000A156F" w:rsidRDefault="00A9721F">
      <w:pPr>
        <w:pStyle w:val="Code"/>
      </w:pPr>
      <w:r>
        <w:t xml:space="preserve">  &lt;/w:r&gt;</w:t>
      </w:r>
    </w:p>
    <w:p w:rsidR="000A156F" w:rsidRDefault="00A9721F">
      <w:pPr>
        <w:pStyle w:val="Code"/>
      </w:pPr>
      <w:r>
        <w:t>&lt;/w:hyperlink&gt;</w:t>
      </w:r>
    </w:p>
    <w:p w:rsidR="000A156F" w:rsidRDefault="00A9721F">
      <w:r>
        <w:t>The</w:t>
      </w:r>
      <w:r>
        <w:t xml:space="preserv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6">
              <w:r>
                <w:rPr>
                  <w:rStyle w:val="Hyperlink"/>
                </w:rPr>
                <w:t>[ISO/IEC-29500-1]</w:t>
              </w:r>
            </w:hyperlink>
            <w:r>
              <w:t xml:space="preserve"> §1</w:t>
            </w:r>
            <w:r>
              <w:t xml:space="preserve">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6758"/>
        <w:gridCol w:w="271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acc</w:t>
            </w:r>
            <w:r>
              <w:t xml:space="preserve"> (Accent)</w:t>
            </w:r>
          </w:p>
        </w:tc>
        <w:tc>
          <w:tcPr>
            <w:tcW w:w="0" w:type="auto"/>
            <w:vAlign w:val="center"/>
          </w:tcPr>
          <w:p w:rsidR="000A156F" w:rsidRDefault="00A9721F">
            <w:pPr>
              <w:pStyle w:val="TableBodyText"/>
            </w:pPr>
            <w:r>
              <w:t>"[ISO/IEC-29500-1] §22.1.2.1"</w:t>
            </w:r>
          </w:p>
        </w:tc>
      </w:tr>
      <w:tr w:rsidR="000A156F" w:rsidTr="000A156F">
        <w:tc>
          <w:tcPr>
            <w:tcW w:w="0" w:type="auto"/>
            <w:vAlign w:val="center"/>
          </w:tcPr>
          <w:p w:rsidR="000A156F" w:rsidRDefault="00A9721F">
            <w:pPr>
              <w:pStyle w:val="TableBodyText"/>
            </w:pPr>
            <w:r>
              <w:rPr>
                <w:b/>
              </w:rPr>
              <w:t>bar</w:t>
            </w:r>
            <w:r>
              <w:t xml:space="preserve"> (Bar)</w:t>
            </w:r>
          </w:p>
        </w:tc>
        <w:tc>
          <w:tcPr>
            <w:tcW w:w="0" w:type="auto"/>
            <w:vAlign w:val="center"/>
          </w:tcPr>
          <w:p w:rsidR="000A156F" w:rsidRDefault="00A9721F">
            <w:pPr>
              <w:pStyle w:val="TableBodyText"/>
            </w:pPr>
            <w:r>
              <w:t>"[ISO/IEC-29500-1]</w:t>
            </w:r>
            <w:r>
              <w:t xml:space="preserve"> §22.1.2.7"</w:t>
            </w:r>
          </w:p>
        </w:tc>
      </w:tr>
      <w:tr w:rsidR="000A156F" w:rsidTr="000A156F">
        <w:tc>
          <w:tcPr>
            <w:tcW w:w="0" w:type="auto"/>
            <w:vAlign w:val="center"/>
          </w:tcPr>
          <w:p w:rsidR="000A156F" w:rsidRDefault="00A9721F">
            <w:pPr>
              <w:pStyle w:val="TableBodyText"/>
            </w:pPr>
            <w:r>
              <w:rPr>
                <w:b/>
              </w:rPr>
              <w:t>bookmarkEnd</w:t>
            </w:r>
            <w:r>
              <w:t xml:space="preserve"> (Bookmark End)</w:t>
            </w:r>
          </w:p>
        </w:tc>
        <w:tc>
          <w:tcPr>
            <w:tcW w:w="0" w:type="auto"/>
            <w:vAlign w:val="center"/>
          </w:tcPr>
          <w:p w:rsidR="000A156F" w:rsidRDefault="00A9721F">
            <w:pPr>
              <w:pStyle w:val="TableBodyText"/>
            </w:pPr>
            <w:r>
              <w:t>"[ISO/IEC-29500-1] §17.13.6.1"</w:t>
            </w:r>
          </w:p>
        </w:tc>
      </w:tr>
      <w:tr w:rsidR="000A156F" w:rsidTr="000A156F">
        <w:tc>
          <w:tcPr>
            <w:tcW w:w="0" w:type="auto"/>
            <w:vAlign w:val="center"/>
          </w:tcPr>
          <w:p w:rsidR="000A156F" w:rsidRDefault="00A9721F">
            <w:pPr>
              <w:pStyle w:val="TableBodyText"/>
            </w:pPr>
            <w:r>
              <w:rPr>
                <w:b/>
              </w:rPr>
              <w:t>bookmarkStart</w:t>
            </w:r>
            <w:r>
              <w:t xml:space="preserve"> (Bookmark Start)</w:t>
            </w:r>
          </w:p>
        </w:tc>
        <w:tc>
          <w:tcPr>
            <w:tcW w:w="0" w:type="auto"/>
            <w:vAlign w:val="center"/>
          </w:tcPr>
          <w:p w:rsidR="000A156F" w:rsidRDefault="00A9721F">
            <w:pPr>
              <w:pStyle w:val="TableBodyText"/>
            </w:pPr>
            <w:r>
              <w:t>"[ISO/IEC-29500-1] §17.13.6.2"</w:t>
            </w:r>
          </w:p>
        </w:tc>
      </w:tr>
      <w:tr w:rsidR="000A156F" w:rsidTr="000A156F">
        <w:tc>
          <w:tcPr>
            <w:tcW w:w="0" w:type="auto"/>
            <w:vAlign w:val="center"/>
          </w:tcPr>
          <w:p w:rsidR="000A156F" w:rsidRDefault="00A9721F">
            <w:pPr>
              <w:pStyle w:val="TableBodyText"/>
            </w:pPr>
            <w:r>
              <w:rPr>
                <w:b/>
              </w:rPr>
              <w:t>borderBox</w:t>
            </w:r>
            <w:r>
              <w:t xml:space="preserve"> (Border-Box Object)</w:t>
            </w:r>
          </w:p>
        </w:tc>
        <w:tc>
          <w:tcPr>
            <w:tcW w:w="0" w:type="auto"/>
            <w:vAlign w:val="center"/>
          </w:tcPr>
          <w:p w:rsidR="000A156F" w:rsidRDefault="00A9721F">
            <w:pPr>
              <w:pStyle w:val="TableBodyText"/>
            </w:pPr>
            <w:r>
              <w:t>"[ISO/IEC-29500-1] §22.1.2.11"</w:t>
            </w:r>
          </w:p>
        </w:tc>
      </w:tr>
      <w:tr w:rsidR="000A156F" w:rsidTr="000A156F">
        <w:tc>
          <w:tcPr>
            <w:tcW w:w="0" w:type="auto"/>
            <w:vAlign w:val="center"/>
          </w:tcPr>
          <w:p w:rsidR="000A156F" w:rsidRDefault="00A9721F">
            <w:pPr>
              <w:pStyle w:val="TableBodyText"/>
            </w:pPr>
            <w:r>
              <w:rPr>
                <w:b/>
              </w:rPr>
              <w:t>box</w:t>
            </w:r>
            <w:r>
              <w:t xml:space="preserve"> (Box Object)</w:t>
            </w:r>
          </w:p>
        </w:tc>
        <w:tc>
          <w:tcPr>
            <w:tcW w:w="0" w:type="auto"/>
            <w:vAlign w:val="center"/>
          </w:tcPr>
          <w:p w:rsidR="000A156F" w:rsidRDefault="00A9721F">
            <w:pPr>
              <w:pStyle w:val="TableBodyText"/>
            </w:pPr>
            <w:r>
              <w:t>"[ISO/IEC-29500-1] §22.1.2.13"</w:t>
            </w:r>
          </w:p>
        </w:tc>
      </w:tr>
      <w:tr w:rsidR="000A156F" w:rsidTr="000A156F">
        <w:tc>
          <w:tcPr>
            <w:tcW w:w="0" w:type="auto"/>
            <w:vAlign w:val="center"/>
          </w:tcPr>
          <w:p w:rsidR="000A156F" w:rsidRDefault="00A9721F">
            <w:pPr>
              <w:pStyle w:val="TableBodyText"/>
            </w:pPr>
            <w:r>
              <w:rPr>
                <w:b/>
              </w:rPr>
              <w:t>commentRangeEnd</w:t>
            </w:r>
            <w:r>
              <w:t xml:space="preserve"> (Comment Anchor Range End)</w:t>
            </w:r>
          </w:p>
        </w:tc>
        <w:tc>
          <w:tcPr>
            <w:tcW w:w="0" w:type="auto"/>
            <w:vAlign w:val="center"/>
          </w:tcPr>
          <w:p w:rsidR="000A156F" w:rsidRDefault="00A9721F">
            <w:pPr>
              <w:pStyle w:val="TableBodyText"/>
            </w:pPr>
            <w:r>
              <w:t>"[ISO/IEC-29500-1] §17.13.4.3"</w:t>
            </w:r>
          </w:p>
        </w:tc>
      </w:tr>
      <w:tr w:rsidR="000A156F" w:rsidTr="000A156F">
        <w:tc>
          <w:tcPr>
            <w:tcW w:w="0" w:type="auto"/>
            <w:vAlign w:val="center"/>
          </w:tcPr>
          <w:p w:rsidR="000A156F" w:rsidRDefault="00A9721F">
            <w:pPr>
              <w:pStyle w:val="TableBodyText"/>
            </w:pPr>
            <w:r>
              <w:rPr>
                <w:b/>
              </w:rPr>
              <w:t>commentRangeStart</w:t>
            </w:r>
            <w:r>
              <w:t xml:space="preserve"> (Comment Anchor Range Start)</w:t>
            </w:r>
          </w:p>
        </w:tc>
        <w:tc>
          <w:tcPr>
            <w:tcW w:w="0" w:type="auto"/>
            <w:vAlign w:val="center"/>
          </w:tcPr>
          <w:p w:rsidR="000A156F" w:rsidRDefault="00A9721F">
            <w:pPr>
              <w:pStyle w:val="TableBodyText"/>
            </w:pPr>
            <w:r>
              <w:t>"[ISO/IEC-29500-1] §17.13.4.4"</w:t>
            </w:r>
          </w:p>
        </w:tc>
      </w:tr>
      <w:tr w:rsidR="000A156F" w:rsidTr="000A156F">
        <w:tc>
          <w:tcPr>
            <w:tcW w:w="0" w:type="auto"/>
            <w:vAlign w:val="center"/>
          </w:tcPr>
          <w:p w:rsidR="000A156F" w:rsidRDefault="00A9721F">
            <w:pPr>
              <w:pStyle w:val="TableBodyText"/>
            </w:pPr>
            <w:r>
              <w:rPr>
                <w:b/>
              </w:rPr>
              <w:t>customXml</w:t>
            </w:r>
            <w:r>
              <w:t xml:space="preserve"> (Ruby Inline-Level Custom XML Element)</w:t>
            </w:r>
          </w:p>
        </w:tc>
        <w:tc>
          <w:tcPr>
            <w:tcW w:w="0" w:type="auto"/>
            <w:vAlign w:val="center"/>
          </w:tcPr>
          <w:p w:rsidR="000A156F" w:rsidRDefault="00A9721F">
            <w:pPr>
              <w:pStyle w:val="TableBodyText"/>
            </w:pPr>
            <w:r>
              <w:t>§3.1.3.1.1, customXml</w:t>
            </w:r>
          </w:p>
        </w:tc>
      </w:tr>
      <w:tr w:rsidR="000A156F" w:rsidTr="000A156F">
        <w:tc>
          <w:tcPr>
            <w:tcW w:w="0" w:type="auto"/>
            <w:vAlign w:val="center"/>
          </w:tcPr>
          <w:p w:rsidR="000A156F" w:rsidRDefault="00A9721F">
            <w:pPr>
              <w:pStyle w:val="TableBodyText"/>
            </w:pPr>
            <w:r>
              <w:rPr>
                <w:b/>
              </w:rPr>
              <w:t>customXmlDelRangeEnd</w:t>
            </w:r>
            <w:r>
              <w:t xml:space="preserve"> (Custom XML Markup Deletion End)</w:t>
            </w:r>
          </w:p>
        </w:tc>
        <w:tc>
          <w:tcPr>
            <w:tcW w:w="0" w:type="auto"/>
            <w:vAlign w:val="center"/>
          </w:tcPr>
          <w:p w:rsidR="000A156F" w:rsidRDefault="00A9721F">
            <w:pPr>
              <w:pStyle w:val="TableBodyText"/>
            </w:pPr>
            <w:r>
              <w:t>"[ISO/IEC-29500-1] §17.13.5.4"</w:t>
            </w:r>
          </w:p>
        </w:tc>
      </w:tr>
      <w:tr w:rsidR="000A156F" w:rsidTr="000A156F">
        <w:tc>
          <w:tcPr>
            <w:tcW w:w="0" w:type="auto"/>
            <w:vAlign w:val="center"/>
          </w:tcPr>
          <w:p w:rsidR="000A156F" w:rsidRDefault="00A9721F">
            <w:pPr>
              <w:pStyle w:val="TableBodyText"/>
            </w:pPr>
            <w:r>
              <w:rPr>
                <w:b/>
              </w:rPr>
              <w:t>customXmlDelRangeStart</w:t>
            </w:r>
            <w:r>
              <w:t xml:space="preserve"> (Custom XML Markup Deletion Start)</w:t>
            </w:r>
          </w:p>
        </w:tc>
        <w:tc>
          <w:tcPr>
            <w:tcW w:w="0" w:type="auto"/>
            <w:vAlign w:val="center"/>
          </w:tcPr>
          <w:p w:rsidR="000A156F" w:rsidRDefault="00A9721F">
            <w:pPr>
              <w:pStyle w:val="TableBodyText"/>
            </w:pPr>
            <w:r>
              <w:t>"[ISO/IEC-29500-1] §17.13.5.5"</w:t>
            </w:r>
          </w:p>
        </w:tc>
      </w:tr>
      <w:tr w:rsidR="000A156F" w:rsidTr="000A156F">
        <w:tc>
          <w:tcPr>
            <w:tcW w:w="0" w:type="auto"/>
            <w:vAlign w:val="center"/>
          </w:tcPr>
          <w:p w:rsidR="000A156F" w:rsidRDefault="00A9721F">
            <w:pPr>
              <w:pStyle w:val="TableBodyText"/>
            </w:pPr>
            <w:r>
              <w:rPr>
                <w:b/>
              </w:rPr>
              <w:t>customXmlInsRangeEnd</w:t>
            </w:r>
            <w:r>
              <w:t xml:space="preserve"> (Custom XML Markup Insertion End)</w:t>
            </w:r>
          </w:p>
        </w:tc>
        <w:tc>
          <w:tcPr>
            <w:tcW w:w="0" w:type="auto"/>
            <w:vAlign w:val="center"/>
          </w:tcPr>
          <w:p w:rsidR="000A156F" w:rsidRDefault="00A9721F">
            <w:pPr>
              <w:pStyle w:val="TableBodyText"/>
            </w:pPr>
            <w:r>
              <w:t>"[ISO/IEC-29500-1] §17.13.5.6"</w:t>
            </w:r>
          </w:p>
        </w:tc>
      </w:tr>
      <w:tr w:rsidR="000A156F" w:rsidTr="000A156F">
        <w:tc>
          <w:tcPr>
            <w:tcW w:w="0" w:type="auto"/>
            <w:vAlign w:val="center"/>
          </w:tcPr>
          <w:p w:rsidR="000A156F" w:rsidRDefault="00A9721F">
            <w:pPr>
              <w:pStyle w:val="TableBodyText"/>
            </w:pPr>
            <w:r>
              <w:rPr>
                <w:b/>
              </w:rPr>
              <w:t>customXmlInsR</w:t>
            </w:r>
            <w:r>
              <w:rPr>
                <w:b/>
              </w:rPr>
              <w:t>angeStart</w:t>
            </w:r>
            <w:r>
              <w:t xml:space="preserve"> (Custom XML Markup Insertion Start)</w:t>
            </w:r>
          </w:p>
        </w:tc>
        <w:tc>
          <w:tcPr>
            <w:tcW w:w="0" w:type="auto"/>
            <w:vAlign w:val="center"/>
          </w:tcPr>
          <w:p w:rsidR="000A156F" w:rsidRDefault="00A9721F">
            <w:pPr>
              <w:pStyle w:val="TableBodyText"/>
            </w:pPr>
            <w:r>
              <w:t>"[ISO/IEC-29500-1] §17.13.5.7"</w:t>
            </w:r>
          </w:p>
        </w:tc>
      </w:tr>
      <w:tr w:rsidR="000A156F" w:rsidTr="000A156F">
        <w:tc>
          <w:tcPr>
            <w:tcW w:w="0" w:type="auto"/>
            <w:vAlign w:val="center"/>
          </w:tcPr>
          <w:p w:rsidR="000A156F" w:rsidRDefault="00A9721F">
            <w:pPr>
              <w:pStyle w:val="TableBodyText"/>
            </w:pPr>
            <w:r>
              <w:rPr>
                <w:b/>
              </w:rPr>
              <w:t>customXmlMoveFromRangeEnd</w:t>
            </w:r>
            <w:r>
              <w:t xml:space="preserve"> (Custom XML Markup Move Source End)</w:t>
            </w:r>
          </w:p>
        </w:tc>
        <w:tc>
          <w:tcPr>
            <w:tcW w:w="0" w:type="auto"/>
            <w:vAlign w:val="center"/>
          </w:tcPr>
          <w:p w:rsidR="000A156F" w:rsidRDefault="00A9721F">
            <w:pPr>
              <w:pStyle w:val="TableBodyText"/>
            </w:pPr>
            <w:r>
              <w:t>"[ISO/IEC-29500-1] §17.13.5.8"</w:t>
            </w:r>
          </w:p>
        </w:tc>
      </w:tr>
      <w:tr w:rsidR="000A156F" w:rsidTr="000A156F">
        <w:tc>
          <w:tcPr>
            <w:tcW w:w="0" w:type="auto"/>
            <w:vAlign w:val="center"/>
          </w:tcPr>
          <w:p w:rsidR="000A156F" w:rsidRDefault="00A9721F">
            <w:pPr>
              <w:pStyle w:val="TableBodyText"/>
            </w:pPr>
            <w:r>
              <w:rPr>
                <w:b/>
              </w:rPr>
              <w:t>customXmlMoveFromRangeStart</w:t>
            </w:r>
            <w:r>
              <w:t xml:space="preserve"> (Custom XML Markup Move Source Start)</w:t>
            </w:r>
          </w:p>
        </w:tc>
        <w:tc>
          <w:tcPr>
            <w:tcW w:w="0" w:type="auto"/>
            <w:vAlign w:val="center"/>
          </w:tcPr>
          <w:p w:rsidR="000A156F" w:rsidRDefault="00A9721F">
            <w:pPr>
              <w:pStyle w:val="TableBodyText"/>
            </w:pPr>
            <w:r>
              <w:t>"[ISO/IEC-29500-1]</w:t>
            </w:r>
            <w:r>
              <w:t xml:space="preserve"> §17.13.5.9"</w:t>
            </w:r>
          </w:p>
        </w:tc>
      </w:tr>
      <w:tr w:rsidR="000A156F" w:rsidTr="000A156F">
        <w:tc>
          <w:tcPr>
            <w:tcW w:w="0" w:type="auto"/>
            <w:vAlign w:val="center"/>
          </w:tcPr>
          <w:p w:rsidR="000A156F" w:rsidRDefault="00A9721F">
            <w:pPr>
              <w:pStyle w:val="TableBodyText"/>
            </w:pPr>
            <w:r>
              <w:rPr>
                <w:b/>
              </w:rPr>
              <w:t>customXmlMoveToRangeEnd</w:t>
            </w:r>
            <w:r>
              <w:t xml:space="preserve"> (Custom XML Markup Move Destination Location End)</w:t>
            </w:r>
          </w:p>
        </w:tc>
        <w:tc>
          <w:tcPr>
            <w:tcW w:w="0" w:type="auto"/>
            <w:vAlign w:val="center"/>
          </w:tcPr>
          <w:p w:rsidR="000A156F" w:rsidRDefault="00A9721F">
            <w:pPr>
              <w:pStyle w:val="TableBodyText"/>
            </w:pPr>
            <w:r>
              <w:t>"[ISO/IEC-29500-1] §17.13.5.10"</w:t>
            </w:r>
          </w:p>
        </w:tc>
      </w:tr>
      <w:tr w:rsidR="000A156F" w:rsidTr="000A156F">
        <w:tc>
          <w:tcPr>
            <w:tcW w:w="0" w:type="auto"/>
            <w:vAlign w:val="center"/>
          </w:tcPr>
          <w:p w:rsidR="000A156F" w:rsidRDefault="00A9721F">
            <w:pPr>
              <w:pStyle w:val="TableBodyText"/>
            </w:pPr>
            <w:r>
              <w:rPr>
                <w:b/>
              </w:rPr>
              <w:t>customXmlMoveToRangeStart</w:t>
            </w:r>
            <w:r>
              <w:t xml:space="preserve"> (Custom XML Markup Move Destination Location Start)</w:t>
            </w:r>
          </w:p>
        </w:tc>
        <w:tc>
          <w:tcPr>
            <w:tcW w:w="0" w:type="auto"/>
            <w:vAlign w:val="center"/>
          </w:tcPr>
          <w:p w:rsidR="000A156F" w:rsidRDefault="00A9721F">
            <w:pPr>
              <w:pStyle w:val="TableBodyText"/>
            </w:pPr>
            <w:r>
              <w:t>"[ISO/IEC-29500-1] §17.13.5.11"</w:t>
            </w:r>
          </w:p>
        </w:tc>
      </w:tr>
      <w:tr w:rsidR="000A156F" w:rsidTr="000A156F">
        <w:tc>
          <w:tcPr>
            <w:tcW w:w="0" w:type="auto"/>
            <w:vAlign w:val="center"/>
          </w:tcPr>
          <w:p w:rsidR="000A156F" w:rsidRDefault="00A9721F">
            <w:pPr>
              <w:pStyle w:val="TableBodyText"/>
            </w:pPr>
            <w:r>
              <w:rPr>
                <w:b/>
              </w:rPr>
              <w:t>d</w:t>
            </w:r>
            <w:r>
              <w:t xml:space="preserve"> (Delimiter Object)</w:t>
            </w:r>
          </w:p>
        </w:tc>
        <w:tc>
          <w:tcPr>
            <w:tcW w:w="0" w:type="auto"/>
            <w:vAlign w:val="center"/>
          </w:tcPr>
          <w:p w:rsidR="000A156F" w:rsidRDefault="00A9721F">
            <w:pPr>
              <w:pStyle w:val="TableBodyText"/>
            </w:pPr>
            <w:r>
              <w:t>"[I</w:t>
            </w:r>
            <w:r>
              <w:t>SO/IEC-29500-1] §22.1.2.24"</w:t>
            </w:r>
          </w:p>
        </w:tc>
      </w:tr>
      <w:tr w:rsidR="000A156F" w:rsidTr="000A156F">
        <w:tc>
          <w:tcPr>
            <w:tcW w:w="0" w:type="auto"/>
            <w:vAlign w:val="center"/>
          </w:tcPr>
          <w:p w:rsidR="000A156F" w:rsidRDefault="00A9721F">
            <w:pPr>
              <w:pStyle w:val="TableBodyText"/>
            </w:pPr>
            <w:r>
              <w:rPr>
                <w:b/>
              </w:rPr>
              <w:t>del</w:t>
            </w:r>
            <w:r>
              <w:t xml:space="preserve"> (Deleted Run Content)</w:t>
            </w:r>
          </w:p>
        </w:tc>
        <w:tc>
          <w:tcPr>
            <w:tcW w:w="0" w:type="auto"/>
            <w:vAlign w:val="center"/>
          </w:tcPr>
          <w:p w:rsidR="000A156F" w:rsidRDefault="00A9721F">
            <w:pPr>
              <w:pStyle w:val="TableBodyText"/>
            </w:pPr>
            <w:r>
              <w:t>"[ISO/IEC-29500-1] §17.13.5.14"</w:t>
            </w:r>
          </w:p>
        </w:tc>
      </w:tr>
      <w:tr w:rsidR="000A156F" w:rsidTr="000A156F">
        <w:tc>
          <w:tcPr>
            <w:tcW w:w="0" w:type="auto"/>
            <w:vAlign w:val="center"/>
          </w:tcPr>
          <w:p w:rsidR="000A156F" w:rsidRDefault="00A9721F">
            <w:pPr>
              <w:pStyle w:val="TableBodyText"/>
            </w:pPr>
            <w:r>
              <w:rPr>
                <w:b/>
              </w:rPr>
              <w:t>eqArr</w:t>
            </w:r>
            <w:r>
              <w:t xml:space="preserve"> (Array Object)</w:t>
            </w:r>
          </w:p>
        </w:tc>
        <w:tc>
          <w:tcPr>
            <w:tcW w:w="0" w:type="auto"/>
            <w:vAlign w:val="center"/>
          </w:tcPr>
          <w:p w:rsidR="000A156F" w:rsidRDefault="00A9721F">
            <w:pPr>
              <w:pStyle w:val="TableBodyText"/>
            </w:pPr>
            <w:r>
              <w:t>"[ISO/IEC-29500-1] §22.1.2.34"</w:t>
            </w:r>
          </w:p>
        </w:tc>
      </w:tr>
      <w:tr w:rsidR="000A156F" w:rsidTr="000A156F">
        <w:tc>
          <w:tcPr>
            <w:tcW w:w="0" w:type="auto"/>
            <w:vAlign w:val="center"/>
          </w:tcPr>
          <w:p w:rsidR="000A156F" w:rsidRDefault="00A9721F">
            <w:pPr>
              <w:pStyle w:val="TableBodyText"/>
            </w:pPr>
            <w:r>
              <w:rPr>
                <w:b/>
              </w:rPr>
              <w:t>f</w:t>
            </w:r>
            <w:r>
              <w:t xml:space="preserve"> (Fraction Object)</w:t>
            </w:r>
          </w:p>
        </w:tc>
        <w:tc>
          <w:tcPr>
            <w:tcW w:w="0" w:type="auto"/>
            <w:vAlign w:val="center"/>
          </w:tcPr>
          <w:p w:rsidR="000A156F" w:rsidRDefault="00A9721F">
            <w:pPr>
              <w:pStyle w:val="TableBodyText"/>
            </w:pPr>
            <w:r>
              <w:t>"[ISO/IEC-29500-1] §22.1.2.36"</w:t>
            </w:r>
          </w:p>
        </w:tc>
      </w:tr>
      <w:tr w:rsidR="000A156F" w:rsidTr="000A156F">
        <w:tc>
          <w:tcPr>
            <w:tcW w:w="0" w:type="auto"/>
            <w:vAlign w:val="center"/>
          </w:tcPr>
          <w:p w:rsidR="000A156F" w:rsidRDefault="00A9721F">
            <w:pPr>
              <w:pStyle w:val="TableBodyText"/>
            </w:pPr>
            <w:r>
              <w:rPr>
                <w:b/>
              </w:rPr>
              <w:t>fldSimple</w:t>
            </w:r>
            <w:r>
              <w:t xml:space="preserve"> (Ruby Simple Field)</w:t>
            </w:r>
          </w:p>
        </w:tc>
        <w:tc>
          <w:tcPr>
            <w:tcW w:w="0" w:type="auto"/>
            <w:vAlign w:val="center"/>
          </w:tcPr>
          <w:p w:rsidR="000A156F" w:rsidRDefault="00A9721F">
            <w:pPr>
              <w:pStyle w:val="TableBodyText"/>
            </w:pPr>
            <w:r>
              <w:t>§3.1.3.1.2, fldSimple</w:t>
            </w:r>
          </w:p>
        </w:tc>
      </w:tr>
      <w:tr w:rsidR="000A156F" w:rsidTr="000A156F">
        <w:tc>
          <w:tcPr>
            <w:tcW w:w="0" w:type="auto"/>
            <w:vAlign w:val="center"/>
          </w:tcPr>
          <w:p w:rsidR="000A156F" w:rsidRDefault="00A9721F">
            <w:pPr>
              <w:pStyle w:val="TableBodyText"/>
            </w:pPr>
            <w:r>
              <w:rPr>
                <w:b/>
              </w:rPr>
              <w:lastRenderedPageBreak/>
              <w:t>func</w:t>
            </w:r>
            <w:r>
              <w:t xml:space="preserve"> (Func</w:t>
            </w:r>
            <w:r>
              <w:t>tion Apply Object)</w:t>
            </w:r>
          </w:p>
        </w:tc>
        <w:tc>
          <w:tcPr>
            <w:tcW w:w="0" w:type="auto"/>
            <w:vAlign w:val="center"/>
          </w:tcPr>
          <w:p w:rsidR="000A156F" w:rsidRDefault="00A9721F">
            <w:pPr>
              <w:pStyle w:val="TableBodyText"/>
            </w:pPr>
            <w:r>
              <w:t>"[ISO/IEC-29500-1] §22.1.2.39"</w:t>
            </w:r>
          </w:p>
        </w:tc>
      </w:tr>
      <w:tr w:rsidR="000A156F" w:rsidTr="000A156F">
        <w:tc>
          <w:tcPr>
            <w:tcW w:w="0" w:type="auto"/>
            <w:vAlign w:val="center"/>
          </w:tcPr>
          <w:p w:rsidR="000A156F" w:rsidRDefault="00A9721F">
            <w:pPr>
              <w:pStyle w:val="TableBodyText"/>
            </w:pPr>
            <w:r>
              <w:rPr>
                <w:b/>
              </w:rPr>
              <w:t>groupChr</w:t>
            </w:r>
            <w:r>
              <w:t xml:space="preserve"> (Group-Character Object)</w:t>
            </w:r>
          </w:p>
        </w:tc>
        <w:tc>
          <w:tcPr>
            <w:tcW w:w="0" w:type="auto"/>
            <w:vAlign w:val="center"/>
          </w:tcPr>
          <w:p w:rsidR="000A156F" w:rsidRDefault="00A9721F">
            <w:pPr>
              <w:pStyle w:val="TableBodyText"/>
            </w:pPr>
            <w:r>
              <w:t>"[ISO/IEC-29500-1] §22.1.2.41"</w:t>
            </w:r>
          </w:p>
        </w:tc>
      </w:tr>
      <w:tr w:rsidR="000A156F" w:rsidTr="000A156F">
        <w:tc>
          <w:tcPr>
            <w:tcW w:w="0" w:type="auto"/>
            <w:vAlign w:val="center"/>
          </w:tcPr>
          <w:p w:rsidR="000A156F" w:rsidRDefault="00A9721F">
            <w:pPr>
              <w:pStyle w:val="TableBodyText"/>
            </w:pPr>
            <w:r>
              <w:rPr>
                <w:b/>
              </w:rPr>
              <w:t>hyperlink</w:t>
            </w:r>
            <w:r>
              <w:t xml:space="preserve"> (Ruby Hyperlink)</w:t>
            </w:r>
          </w:p>
        </w:tc>
        <w:tc>
          <w:tcPr>
            <w:tcW w:w="0" w:type="auto"/>
            <w:vAlign w:val="center"/>
          </w:tcPr>
          <w:p w:rsidR="000A156F" w:rsidRDefault="00A9721F">
            <w:pPr>
              <w:pStyle w:val="TableBodyText"/>
            </w:pPr>
            <w:r>
              <w:t>§3.1.3.1.3, hyperlink</w:t>
            </w:r>
          </w:p>
        </w:tc>
      </w:tr>
      <w:tr w:rsidR="000A156F" w:rsidTr="000A156F">
        <w:tc>
          <w:tcPr>
            <w:tcW w:w="0" w:type="auto"/>
            <w:vAlign w:val="center"/>
          </w:tcPr>
          <w:p w:rsidR="000A156F" w:rsidRDefault="00A9721F">
            <w:pPr>
              <w:pStyle w:val="TableBodyText"/>
            </w:pPr>
            <w:r>
              <w:rPr>
                <w:b/>
              </w:rPr>
              <w:t>ins</w:t>
            </w:r>
            <w:r>
              <w:t xml:space="preserve"> (Inserted Run Content)</w:t>
            </w:r>
          </w:p>
        </w:tc>
        <w:tc>
          <w:tcPr>
            <w:tcW w:w="0" w:type="auto"/>
            <w:vAlign w:val="center"/>
          </w:tcPr>
          <w:p w:rsidR="000A156F" w:rsidRDefault="00A9721F">
            <w:pPr>
              <w:pStyle w:val="TableBodyText"/>
            </w:pPr>
            <w:r>
              <w:t>"[ISO/IEC-29500-1] §17.13.5.18"</w:t>
            </w:r>
          </w:p>
        </w:tc>
      </w:tr>
      <w:tr w:rsidR="000A156F" w:rsidTr="000A156F">
        <w:tc>
          <w:tcPr>
            <w:tcW w:w="0" w:type="auto"/>
            <w:vAlign w:val="center"/>
          </w:tcPr>
          <w:p w:rsidR="000A156F" w:rsidRDefault="00A9721F">
            <w:pPr>
              <w:pStyle w:val="TableBodyText"/>
            </w:pPr>
            <w:r>
              <w:rPr>
                <w:b/>
              </w:rPr>
              <w:t>limLow</w:t>
            </w:r>
            <w:r>
              <w:t xml:space="preserve"> (Lower-Limit Object)</w:t>
            </w:r>
          </w:p>
        </w:tc>
        <w:tc>
          <w:tcPr>
            <w:tcW w:w="0" w:type="auto"/>
            <w:vAlign w:val="center"/>
          </w:tcPr>
          <w:p w:rsidR="000A156F" w:rsidRDefault="00A9721F">
            <w:pPr>
              <w:pStyle w:val="TableBodyText"/>
            </w:pPr>
            <w:r>
              <w:t>"</w:t>
            </w:r>
            <w:r>
              <w:t>[ISO/IEC-29500-1] §22.1.2.54"</w:t>
            </w:r>
          </w:p>
        </w:tc>
      </w:tr>
      <w:tr w:rsidR="000A156F" w:rsidTr="000A156F">
        <w:tc>
          <w:tcPr>
            <w:tcW w:w="0" w:type="auto"/>
            <w:vAlign w:val="center"/>
          </w:tcPr>
          <w:p w:rsidR="000A156F" w:rsidRDefault="00A9721F">
            <w:pPr>
              <w:pStyle w:val="TableBodyText"/>
            </w:pPr>
            <w:r>
              <w:rPr>
                <w:b/>
              </w:rPr>
              <w:t>limUpp</w:t>
            </w:r>
            <w:r>
              <w:t xml:space="preserve"> (Upper-Limit Object)</w:t>
            </w:r>
          </w:p>
        </w:tc>
        <w:tc>
          <w:tcPr>
            <w:tcW w:w="0" w:type="auto"/>
            <w:vAlign w:val="center"/>
          </w:tcPr>
          <w:p w:rsidR="000A156F" w:rsidRDefault="00A9721F">
            <w:pPr>
              <w:pStyle w:val="TableBodyText"/>
            </w:pPr>
            <w:r>
              <w:t>"[ISO/IEC-29500-1] §22.1.2.56"</w:t>
            </w:r>
          </w:p>
        </w:tc>
      </w:tr>
      <w:tr w:rsidR="000A156F" w:rsidTr="000A156F">
        <w:tc>
          <w:tcPr>
            <w:tcW w:w="0" w:type="auto"/>
            <w:vAlign w:val="center"/>
          </w:tcPr>
          <w:p w:rsidR="000A156F" w:rsidRDefault="00A9721F">
            <w:pPr>
              <w:pStyle w:val="TableBodyText"/>
            </w:pPr>
            <w:r>
              <w:rPr>
                <w:b/>
              </w:rPr>
              <w:t>m</w:t>
            </w:r>
            <w:r>
              <w:t xml:space="preserve"> (Matrix Object)</w:t>
            </w:r>
          </w:p>
        </w:tc>
        <w:tc>
          <w:tcPr>
            <w:tcW w:w="0" w:type="auto"/>
            <w:vAlign w:val="center"/>
          </w:tcPr>
          <w:p w:rsidR="000A156F" w:rsidRDefault="00A9721F">
            <w:pPr>
              <w:pStyle w:val="TableBodyText"/>
            </w:pPr>
            <w:r>
              <w:t>"[ISO/IEC-29500-1] §22.1.2.60"</w:t>
            </w:r>
          </w:p>
        </w:tc>
      </w:tr>
      <w:tr w:rsidR="000A156F" w:rsidTr="000A156F">
        <w:tc>
          <w:tcPr>
            <w:tcW w:w="0" w:type="auto"/>
            <w:vAlign w:val="center"/>
          </w:tcPr>
          <w:p w:rsidR="000A156F" w:rsidRDefault="00A9721F">
            <w:pPr>
              <w:pStyle w:val="TableBodyText"/>
            </w:pPr>
            <w:r>
              <w:rPr>
                <w:b/>
              </w:rPr>
              <w:t>moveFrom</w:t>
            </w:r>
            <w:r>
              <w:t xml:space="preserve"> (Move Source Run Content)</w:t>
            </w:r>
          </w:p>
        </w:tc>
        <w:tc>
          <w:tcPr>
            <w:tcW w:w="0" w:type="auto"/>
            <w:vAlign w:val="center"/>
          </w:tcPr>
          <w:p w:rsidR="000A156F" w:rsidRDefault="00A9721F">
            <w:pPr>
              <w:pStyle w:val="TableBodyText"/>
            </w:pPr>
            <w:r>
              <w:t>"[ISO/IEC-29500-1] §17.13.5.22"</w:t>
            </w:r>
          </w:p>
        </w:tc>
      </w:tr>
      <w:tr w:rsidR="000A156F" w:rsidTr="000A156F">
        <w:tc>
          <w:tcPr>
            <w:tcW w:w="0" w:type="auto"/>
            <w:vAlign w:val="center"/>
          </w:tcPr>
          <w:p w:rsidR="000A156F" w:rsidRDefault="00A9721F">
            <w:pPr>
              <w:pStyle w:val="TableBodyText"/>
            </w:pPr>
            <w:r>
              <w:rPr>
                <w:b/>
              </w:rPr>
              <w:t>moveFromRangeEnd</w:t>
            </w:r>
            <w:r>
              <w:t xml:space="preserve"> (Move Source Location Containe</w:t>
            </w:r>
            <w:r>
              <w:t>r - End)</w:t>
            </w:r>
          </w:p>
        </w:tc>
        <w:tc>
          <w:tcPr>
            <w:tcW w:w="0" w:type="auto"/>
            <w:vAlign w:val="center"/>
          </w:tcPr>
          <w:p w:rsidR="000A156F" w:rsidRDefault="00A9721F">
            <w:pPr>
              <w:pStyle w:val="TableBodyText"/>
            </w:pPr>
            <w:r>
              <w:t>"[ISO/IEC-29500-1] §17.13.5.23"</w:t>
            </w:r>
          </w:p>
        </w:tc>
      </w:tr>
      <w:tr w:rsidR="000A156F" w:rsidTr="000A156F">
        <w:tc>
          <w:tcPr>
            <w:tcW w:w="0" w:type="auto"/>
            <w:vAlign w:val="center"/>
          </w:tcPr>
          <w:p w:rsidR="000A156F" w:rsidRDefault="00A9721F">
            <w:pPr>
              <w:pStyle w:val="TableBodyText"/>
            </w:pPr>
            <w:r>
              <w:rPr>
                <w:b/>
              </w:rPr>
              <w:t>moveFromRangeStart</w:t>
            </w:r>
            <w:r>
              <w:t xml:space="preserve"> (Move Source Location Container - Start)</w:t>
            </w:r>
          </w:p>
        </w:tc>
        <w:tc>
          <w:tcPr>
            <w:tcW w:w="0" w:type="auto"/>
            <w:vAlign w:val="center"/>
          </w:tcPr>
          <w:p w:rsidR="000A156F" w:rsidRDefault="00A9721F">
            <w:pPr>
              <w:pStyle w:val="TableBodyText"/>
            </w:pPr>
            <w:r>
              <w:t>"[ISO/IEC-29500-1] §17.13.5.24"</w:t>
            </w:r>
          </w:p>
        </w:tc>
      </w:tr>
      <w:tr w:rsidR="000A156F" w:rsidTr="000A156F">
        <w:tc>
          <w:tcPr>
            <w:tcW w:w="0" w:type="auto"/>
            <w:vAlign w:val="center"/>
          </w:tcPr>
          <w:p w:rsidR="000A156F" w:rsidRDefault="00A9721F">
            <w:pPr>
              <w:pStyle w:val="TableBodyText"/>
            </w:pPr>
            <w:r>
              <w:rPr>
                <w:b/>
              </w:rPr>
              <w:t>moveTo</w:t>
            </w:r>
            <w:r>
              <w:t xml:space="preserve"> (Move Destination Run Content)</w:t>
            </w:r>
          </w:p>
        </w:tc>
        <w:tc>
          <w:tcPr>
            <w:tcW w:w="0" w:type="auto"/>
            <w:vAlign w:val="center"/>
          </w:tcPr>
          <w:p w:rsidR="000A156F" w:rsidRDefault="00A9721F">
            <w:pPr>
              <w:pStyle w:val="TableBodyText"/>
            </w:pPr>
            <w:r>
              <w:t>"[ISO/IEC-29500-1] §17.13.5.25"</w:t>
            </w:r>
          </w:p>
        </w:tc>
      </w:tr>
      <w:tr w:rsidR="000A156F" w:rsidTr="000A156F">
        <w:tc>
          <w:tcPr>
            <w:tcW w:w="0" w:type="auto"/>
            <w:vAlign w:val="center"/>
          </w:tcPr>
          <w:p w:rsidR="000A156F" w:rsidRDefault="00A9721F">
            <w:pPr>
              <w:pStyle w:val="TableBodyText"/>
            </w:pPr>
            <w:r>
              <w:rPr>
                <w:b/>
              </w:rPr>
              <w:t>moveToRangeEnd</w:t>
            </w:r>
            <w:r>
              <w:t xml:space="preserve"> (Move Destination Location Container - End)</w:t>
            </w:r>
          </w:p>
        </w:tc>
        <w:tc>
          <w:tcPr>
            <w:tcW w:w="0" w:type="auto"/>
            <w:vAlign w:val="center"/>
          </w:tcPr>
          <w:p w:rsidR="000A156F" w:rsidRDefault="00A9721F">
            <w:pPr>
              <w:pStyle w:val="TableBodyText"/>
            </w:pPr>
            <w:r>
              <w:t>"[ISO/IEC-29500-1] §17.13.5.27"</w:t>
            </w:r>
          </w:p>
        </w:tc>
      </w:tr>
      <w:tr w:rsidR="000A156F" w:rsidTr="000A156F">
        <w:tc>
          <w:tcPr>
            <w:tcW w:w="0" w:type="auto"/>
            <w:vAlign w:val="center"/>
          </w:tcPr>
          <w:p w:rsidR="000A156F" w:rsidRDefault="00A9721F">
            <w:pPr>
              <w:pStyle w:val="TableBodyText"/>
            </w:pPr>
            <w:r>
              <w:rPr>
                <w:b/>
              </w:rPr>
              <w:t>moveToRangeStart</w:t>
            </w:r>
            <w:r>
              <w:t xml:space="preserve"> (Move Destination Location Container - Start)</w:t>
            </w:r>
          </w:p>
        </w:tc>
        <w:tc>
          <w:tcPr>
            <w:tcW w:w="0" w:type="auto"/>
            <w:vAlign w:val="center"/>
          </w:tcPr>
          <w:p w:rsidR="000A156F" w:rsidRDefault="00A9721F">
            <w:pPr>
              <w:pStyle w:val="TableBodyText"/>
            </w:pPr>
            <w:r>
              <w:t>"[ISO/IEC-29500-1] §17.13.5.28"</w:t>
            </w:r>
          </w:p>
        </w:tc>
      </w:tr>
      <w:tr w:rsidR="000A156F" w:rsidTr="000A156F">
        <w:tc>
          <w:tcPr>
            <w:tcW w:w="0" w:type="auto"/>
            <w:vAlign w:val="center"/>
          </w:tcPr>
          <w:p w:rsidR="000A156F" w:rsidRDefault="00A9721F">
            <w:pPr>
              <w:pStyle w:val="TableBodyText"/>
            </w:pPr>
            <w:r>
              <w:rPr>
                <w:b/>
              </w:rPr>
              <w:t>nary</w:t>
            </w:r>
            <w:r>
              <w:t xml:space="preserve"> (n-ary Operator Object)</w:t>
            </w:r>
          </w:p>
        </w:tc>
        <w:tc>
          <w:tcPr>
            <w:tcW w:w="0" w:type="auto"/>
            <w:vAlign w:val="center"/>
          </w:tcPr>
          <w:p w:rsidR="000A156F" w:rsidRDefault="00A9721F">
            <w:pPr>
              <w:pStyle w:val="TableBodyText"/>
            </w:pPr>
            <w:r>
              <w:t>"[ISO/IEC-29500-1] §22.1.2.70"</w:t>
            </w:r>
          </w:p>
        </w:tc>
      </w:tr>
      <w:tr w:rsidR="000A156F" w:rsidTr="000A156F">
        <w:tc>
          <w:tcPr>
            <w:tcW w:w="0" w:type="auto"/>
            <w:vAlign w:val="center"/>
          </w:tcPr>
          <w:p w:rsidR="000A156F" w:rsidRDefault="00A9721F">
            <w:pPr>
              <w:pStyle w:val="TableBodyText"/>
            </w:pPr>
            <w:r>
              <w:rPr>
                <w:b/>
              </w:rPr>
              <w:t>oMath</w:t>
            </w:r>
            <w:r>
              <w:t xml:space="preserve"> (Office Math)</w:t>
            </w:r>
          </w:p>
        </w:tc>
        <w:tc>
          <w:tcPr>
            <w:tcW w:w="0" w:type="auto"/>
            <w:vAlign w:val="center"/>
          </w:tcPr>
          <w:p w:rsidR="000A156F" w:rsidRDefault="00A9721F">
            <w:pPr>
              <w:pStyle w:val="TableBodyText"/>
            </w:pPr>
            <w:r>
              <w:t>"</w:t>
            </w:r>
            <w:r>
              <w:t>[ISO/IEC-29500-1] §22.1.2.77"</w:t>
            </w:r>
          </w:p>
        </w:tc>
      </w:tr>
      <w:tr w:rsidR="000A156F" w:rsidTr="000A156F">
        <w:tc>
          <w:tcPr>
            <w:tcW w:w="0" w:type="auto"/>
            <w:vAlign w:val="center"/>
          </w:tcPr>
          <w:p w:rsidR="000A156F" w:rsidRDefault="00A9721F">
            <w:pPr>
              <w:pStyle w:val="TableBodyText"/>
            </w:pPr>
            <w:r>
              <w:rPr>
                <w:b/>
              </w:rPr>
              <w:t>oMathPara</w:t>
            </w:r>
            <w:r>
              <w:t xml:space="preserve"> (Office Math Paragraph)</w:t>
            </w:r>
          </w:p>
        </w:tc>
        <w:tc>
          <w:tcPr>
            <w:tcW w:w="0" w:type="auto"/>
            <w:vAlign w:val="center"/>
          </w:tcPr>
          <w:p w:rsidR="000A156F" w:rsidRDefault="00A9721F">
            <w:pPr>
              <w:pStyle w:val="TableBodyText"/>
            </w:pPr>
            <w:r>
              <w:t>"[ISO/IEC-29500-1] §22.1.2.78"</w:t>
            </w:r>
          </w:p>
        </w:tc>
      </w:tr>
      <w:tr w:rsidR="000A156F" w:rsidTr="000A156F">
        <w:tc>
          <w:tcPr>
            <w:tcW w:w="0" w:type="auto"/>
            <w:vAlign w:val="center"/>
          </w:tcPr>
          <w:p w:rsidR="000A156F" w:rsidRDefault="00A9721F">
            <w:pPr>
              <w:pStyle w:val="TableBodyText"/>
            </w:pPr>
            <w:r>
              <w:rPr>
                <w:b/>
              </w:rPr>
              <w:t>permEnd</w:t>
            </w:r>
            <w:r>
              <w:t xml:space="preserve"> (Range Permission End)</w:t>
            </w:r>
          </w:p>
        </w:tc>
        <w:tc>
          <w:tcPr>
            <w:tcW w:w="0" w:type="auto"/>
            <w:vAlign w:val="center"/>
          </w:tcPr>
          <w:p w:rsidR="000A156F" w:rsidRDefault="00A9721F">
            <w:pPr>
              <w:pStyle w:val="TableBodyText"/>
            </w:pPr>
            <w:r>
              <w:t>"[ISO/IEC-29500-1] §17.13.7.1"</w:t>
            </w:r>
          </w:p>
        </w:tc>
      </w:tr>
      <w:tr w:rsidR="000A156F" w:rsidTr="000A156F">
        <w:tc>
          <w:tcPr>
            <w:tcW w:w="0" w:type="auto"/>
            <w:vAlign w:val="center"/>
          </w:tcPr>
          <w:p w:rsidR="000A156F" w:rsidRDefault="00A9721F">
            <w:pPr>
              <w:pStyle w:val="TableBodyText"/>
            </w:pPr>
            <w:r>
              <w:rPr>
                <w:b/>
              </w:rPr>
              <w:t>permStart</w:t>
            </w:r>
            <w:r>
              <w:t xml:space="preserve"> (Range Permission Start)</w:t>
            </w:r>
          </w:p>
        </w:tc>
        <w:tc>
          <w:tcPr>
            <w:tcW w:w="0" w:type="auto"/>
            <w:vAlign w:val="center"/>
          </w:tcPr>
          <w:p w:rsidR="000A156F" w:rsidRDefault="00A9721F">
            <w:pPr>
              <w:pStyle w:val="TableBodyText"/>
            </w:pPr>
            <w:r>
              <w:t>"[ISO/IEC-29500-1] §17.13.7.2"</w:t>
            </w:r>
          </w:p>
        </w:tc>
      </w:tr>
      <w:tr w:rsidR="000A156F" w:rsidTr="000A156F">
        <w:tc>
          <w:tcPr>
            <w:tcW w:w="0" w:type="auto"/>
            <w:vAlign w:val="center"/>
          </w:tcPr>
          <w:p w:rsidR="000A156F" w:rsidRDefault="00A9721F">
            <w:pPr>
              <w:pStyle w:val="TableBodyText"/>
            </w:pPr>
            <w:r>
              <w:rPr>
                <w:b/>
              </w:rPr>
              <w:t>phant</w:t>
            </w:r>
            <w:r>
              <w:t xml:space="preserve"> (Phantom Object)</w:t>
            </w:r>
          </w:p>
        </w:tc>
        <w:tc>
          <w:tcPr>
            <w:tcW w:w="0" w:type="auto"/>
            <w:vAlign w:val="center"/>
          </w:tcPr>
          <w:p w:rsidR="000A156F" w:rsidRDefault="00A9721F">
            <w:pPr>
              <w:pStyle w:val="TableBodyText"/>
            </w:pPr>
            <w:r>
              <w:t>"</w:t>
            </w:r>
            <w:r>
              <w:t>[ISO/IEC-29500-1] §22.1.2.81"</w:t>
            </w:r>
          </w:p>
        </w:tc>
      </w:tr>
      <w:tr w:rsidR="000A156F" w:rsidTr="000A156F">
        <w:tc>
          <w:tcPr>
            <w:tcW w:w="0" w:type="auto"/>
            <w:vAlign w:val="center"/>
          </w:tcPr>
          <w:p w:rsidR="000A156F" w:rsidRDefault="00A9721F">
            <w:pPr>
              <w:pStyle w:val="TableBodyText"/>
            </w:pPr>
            <w:r>
              <w:rPr>
                <w:b/>
              </w:rPr>
              <w:t>proofErr</w:t>
            </w:r>
            <w:r>
              <w:t xml:space="preserve"> (Proofing Error Anchor)</w:t>
            </w:r>
          </w:p>
        </w:tc>
        <w:tc>
          <w:tcPr>
            <w:tcW w:w="0" w:type="auto"/>
            <w:vAlign w:val="center"/>
          </w:tcPr>
          <w:p w:rsidR="000A156F" w:rsidRDefault="00A9721F">
            <w:pPr>
              <w:pStyle w:val="TableBodyText"/>
            </w:pPr>
            <w:r>
              <w:t>"[ISO/IEC-29500-1] §17.13.8.1"</w:t>
            </w:r>
          </w:p>
        </w:tc>
      </w:tr>
      <w:tr w:rsidR="000A156F" w:rsidTr="000A156F">
        <w:tc>
          <w:tcPr>
            <w:tcW w:w="0" w:type="auto"/>
            <w:vAlign w:val="center"/>
          </w:tcPr>
          <w:p w:rsidR="000A156F" w:rsidRDefault="00A9721F">
            <w:pPr>
              <w:pStyle w:val="TableBodyText"/>
            </w:pPr>
            <w:r>
              <w:rPr>
                <w:b/>
              </w:rPr>
              <w:t>r</w:t>
            </w:r>
            <w:r>
              <w:t xml:space="preserve"> (Run)</w:t>
            </w:r>
          </w:p>
        </w:tc>
        <w:tc>
          <w:tcPr>
            <w:tcW w:w="0" w:type="auto"/>
            <w:vAlign w:val="center"/>
          </w:tcPr>
          <w:p w:rsidR="000A156F" w:rsidRDefault="00A9721F">
            <w:pPr>
              <w:pStyle w:val="TableBodyText"/>
            </w:pPr>
            <w:r>
              <w:t>"[ISO/IEC-29500-1] §22.1.2.87"</w:t>
            </w:r>
          </w:p>
        </w:tc>
      </w:tr>
      <w:tr w:rsidR="000A156F" w:rsidTr="000A156F">
        <w:tc>
          <w:tcPr>
            <w:tcW w:w="0" w:type="auto"/>
            <w:vAlign w:val="center"/>
          </w:tcPr>
          <w:p w:rsidR="000A156F" w:rsidRDefault="00A9721F">
            <w:pPr>
              <w:pStyle w:val="TableBodyText"/>
            </w:pPr>
            <w:r>
              <w:rPr>
                <w:b/>
              </w:rPr>
              <w:t>r</w:t>
            </w:r>
            <w:r>
              <w:t xml:space="preserve"> (Text Run)</w:t>
            </w:r>
          </w:p>
        </w:tc>
        <w:tc>
          <w:tcPr>
            <w:tcW w:w="0" w:type="auto"/>
            <w:vAlign w:val="center"/>
          </w:tcPr>
          <w:p w:rsidR="000A156F" w:rsidRDefault="00A9721F">
            <w:pPr>
              <w:pStyle w:val="TableBodyText"/>
            </w:pPr>
            <w:r>
              <w:t xml:space="preserve">"[ISO/IEC-29500-1] </w:t>
            </w:r>
            <w:r>
              <w:lastRenderedPageBreak/>
              <w:t>§17.3.2.25"</w:t>
            </w:r>
          </w:p>
        </w:tc>
      </w:tr>
      <w:tr w:rsidR="000A156F" w:rsidTr="000A156F">
        <w:tc>
          <w:tcPr>
            <w:tcW w:w="0" w:type="auto"/>
            <w:vAlign w:val="center"/>
          </w:tcPr>
          <w:p w:rsidR="000A156F" w:rsidRDefault="00A9721F">
            <w:pPr>
              <w:pStyle w:val="TableBodyText"/>
            </w:pPr>
            <w:r>
              <w:rPr>
                <w:b/>
              </w:rPr>
              <w:lastRenderedPageBreak/>
              <w:t>rad</w:t>
            </w:r>
            <w:r>
              <w:t xml:space="preserve"> (Radical Object)</w:t>
            </w:r>
          </w:p>
        </w:tc>
        <w:tc>
          <w:tcPr>
            <w:tcW w:w="0" w:type="auto"/>
            <w:vAlign w:val="center"/>
          </w:tcPr>
          <w:p w:rsidR="000A156F" w:rsidRDefault="00A9721F">
            <w:pPr>
              <w:pStyle w:val="TableBodyText"/>
            </w:pPr>
            <w:r>
              <w:t>"[ISO/IEC-29500-1] §22.1.2.88"</w:t>
            </w:r>
          </w:p>
        </w:tc>
      </w:tr>
      <w:tr w:rsidR="000A156F" w:rsidTr="000A156F">
        <w:tc>
          <w:tcPr>
            <w:tcW w:w="0" w:type="auto"/>
            <w:vAlign w:val="center"/>
          </w:tcPr>
          <w:p w:rsidR="000A156F" w:rsidRDefault="00A9721F">
            <w:pPr>
              <w:pStyle w:val="TableBodyText"/>
            </w:pPr>
            <w:r>
              <w:rPr>
                <w:b/>
              </w:rPr>
              <w:t>sdt</w:t>
            </w:r>
            <w:r>
              <w:t xml:space="preserve"> (Ruby Inline-Level Structured Document Tag)</w:t>
            </w:r>
          </w:p>
        </w:tc>
        <w:tc>
          <w:tcPr>
            <w:tcW w:w="0" w:type="auto"/>
            <w:vAlign w:val="center"/>
          </w:tcPr>
          <w:p w:rsidR="000A156F" w:rsidRDefault="00A9721F">
            <w:pPr>
              <w:pStyle w:val="TableBodyText"/>
            </w:pPr>
            <w:r>
              <w:t>§</w:t>
            </w:r>
            <w:hyperlink w:anchor="Section_808b32d8ad644c849fb585ad68be54b9">
              <w:r>
                <w:rPr>
                  <w:rStyle w:val="Hyperlink"/>
                </w:rPr>
                <w:t>3.1.3.1.6, sdt</w:t>
              </w:r>
            </w:hyperlink>
          </w:p>
        </w:tc>
      </w:tr>
      <w:tr w:rsidR="000A156F" w:rsidTr="000A156F">
        <w:tc>
          <w:tcPr>
            <w:tcW w:w="0" w:type="auto"/>
            <w:vAlign w:val="center"/>
          </w:tcPr>
          <w:p w:rsidR="000A156F" w:rsidRDefault="00A9721F">
            <w:pPr>
              <w:pStyle w:val="TableBodyText"/>
            </w:pPr>
            <w:r>
              <w:rPr>
                <w:b/>
              </w:rPr>
              <w:t>sPre</w:t>
            </w:r>
            <w:r>
              <w:t xml:space="preserve"> (Pre-Sub-Superscript Object)</w:t>
            </w:r>
          </w:p>
        </w:tc>
        <w:tc>
          <w:tcPr>
            <w:tcW w:w="0" w:type="auto"/>
            <w:vAlign w:val="center"/>
          </w:tcPr>
          <w:p w:rsidR="000A156F" w:rsidRDefault="00A9721F">
            <w:pPr>
              <w:pStyle w:val="TableBodyText"/>
            </w:pPr>
            <w:r>
              <w:t>"[ISO/IEC-29500-1] §22.1.2.99"</w:t>
            </w:r>
          </w:p>
        </w:tc>
      </w:tr>
      <w:tr w:rsidR="000A156F" w:rsidTr="000A156F">
        <w:tc>
          <w:tcPr>
            <w:tcW w:w="0" w:type="auto"/>
            <w:vAlign w:val="center"/>
          </w:tcPr>
          <w:p w:rsidR="000A156F" w:rsidRDefault="00A9721F">
            <w:pPr>
              <w:pStyle w:val="TableBodyText"/>
            </w:pPr>
            <w:r>
              <w:rPr>
                <w:b/>
              </w:rPr>
              <w:t>sSub</w:t>
            </w:r>
            <w:r>
              <w:t xml:space="preserve"> (Subscript Object)</w:t>
            </w:r>
          </w:p>
        </w:tc>
        <w:tc>
          <w:tcPr>
            <w:tcW w:w="0" w:type="auto"/>
            <w:vAlign w:val="center"/>
          </w:tcPr>
          <w:p w:rsidR="000A156F" w:rsidRDefault="00A9721F">
            <w:pPr>
              <w:pStyle w:val="TableBodyText"/>
            </w:pPr>
            <w:r>
              <w:t>"[ISO/IEC-29500-1] §22.1.2.101"</w:t>
            </w:r>
          </w:p>
        </w:tc>
      </w:tr>
      <w:tr w:rsidR="000A156F" w:rsidTr="000A156F">
        <w:tc>
          <w:tcPr>
            <w:tcW w:w="0" w:type="auto"/>
            <w:vAlign w:val="center"/>
          </w:tcPr>
          <w:p w:rsidR="000A156F" w:rsidRDefault="00A9721F">
            <w:pPr>
              <w:pStyle w:val="TableBodyText"/>
            </w:pPr>
            <w:r>
              <w:rPr>
                <w:b/>
              </w:rPr>
              <w:t>sSubSup</w:t>
            </w:r>
            <w:r>
              <w:t xml:space="preserve"> (Sub-Superscript Object)</w:t>
            </w:r>
          </w:p>
        </w:tc>
        <w:tc>
          <w:tcPr>
            <w:tcW w:w="0" w:type="auto"/>
            <w:vAlign w:val="center"/>
          </w:tcPr>
          <w:p w:rsidR="000A156F" w:rsidRDefault="00A9721F">
            <w:pPr>
              <w:pStyle w:val="TableBodyText"/>
            </w:pPr>
            <w:r>
              <w:t>"[ISO/IEC-29500-1] §22.1.2.103"</w:t>
            </w:r>
          </w:p>
        </w:tc>
      </w:tr>
      <w:tr w:rsidR="000A156F" w:rsidTr="000A156F">
        <w:tc>
          <w:tcPr>
            <w:tcW w:w="0" w:type="auto"/>
            <w:vAlign w:val="center"/>
          </w:tcPr>
          <w:p w:rsidR="000A156F" w:rsidRDefault="00A9721F">
            <w:pPr>
              <w:pStyle w:val="TableBodyText"/>
            </w:pPr>
            <w:r>
              <w:rPr>
                <w:b/>
              </w:rPr>
              <w:t>sSup</w:t>
            </w:r>
            <w:r>
              <w:t xml:space="preserve"> (Superscript Object)</w:t>
            </w:r>
          </w:p>
        </w:tc>
        <w:tc>
          <w:tcPr>
            <w:tcW w:w="0" w:type="auto"/>
            <w:vAlign w:val="center"/>
          </w:tcPr>
          <w:p w:rsidR="000A156F" w:rsidRDefault="00A9721F">
            <w:pPr>
              <w:pStyle w:val="TableBodyText"/>
            </w:pPr>
            <w:r>
              <w:t>"[ISO/IEC-29500-1] §22.1.2.105"</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414"/>
        <w:gridCol w:w="606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anchor</w:t>
            </w:r>
            <w:r>
              <w:t xml:space="preserve"> (Hyperlink Anchor)</w:t>
            </w:r>
          </w:p>
        </w:tc>
        <w:tc>
          <w:tcPr>
            <w:tcW w:w="0" w:type="auto"/>
            <w:vAlign w:val="center"/>
          </w:tcPr>
          <w:p w:rsidR="000A156F" w:rsidRDefault="00A9721F">
            <w:pPr>
              <w:pStyle w:val="TableBodyText"/>
            </w:pPr>
            <w:r>
              <w:t xml:space="preserve">Specifies the name of a bookmark in the current document which shall be the target of </w:t>
            </w:r>
            <w:r>
              <w:t xml:space="preserve">this hyperlink. </w:t>
            </w:r>
          </w:p>
          <w:p w:rsidR="000A156F" w:rsidRDefault="000A156F">
            <w:pPr>
              <w:pStyle w:val="TableBodyText"/>
            </w:pPr>
          </w:p>
          <w:p w:rsidR="000A156F" w:rsidRDefault="00A9721F">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0A156F" w:rsidRDefault="000A156F">
            <w:pPr>
              <w:pStyle w:val="TableBodyText"/>
            </w:pPr>
          </w:p>
          <w:p w:rsidR="000A156F" w:rsidRDefault="00A9721F">
            <w:pPr>
              <w:pStyle w:val="TableBodyText"/>
            </w:pPr>
            <w:r>
              <w:t>[Example: Consider the following WordprocessingML fr</w:t>
            </w:r>
            <w:r>
              <w:t>agment for a hyperlink:</w:t>
            </w:r>
          </w:p>
          <w:p w:rsidR="000A156F" w:rsidRDefault="000A156F">
            <w:pPr>
              <w:pStyle w:val="TableBodyText"/>
            </w:pPr>
          </w:p>
          <w:p w:rsidR="000A156F" w:rsidRDefault="00A9721F">
            <w:pPr>
              <w:pStyle w:val="Code"/>
            </w:pPr>
            <w:r>
              <w:t>&lt;w:hyperlink w:anchor="chapter3"&gt;</w:t>
            </w:r>
          </w:p>
          <w:p w:rsidR="000A156F" w:rsidRDefault="00A9721F">
            <w:pPr>
              <w:pStyle w:val="Code"/>
            </w:pPr>
            <w:r>
              <w:t xml:space="preserve">  &lt;w:r&gt;</w:t>
            </w:r>
          </w:p>
          <w:p w:rsidR="000A156F" w:rsidRDefault="00A9721F">
            <w:pPr>
              <w:pStyle w:val="Code"/>
            </w:pPr>
            <w:r>
              <w:t xml:space="preserve">    &lt;w:t&gt;Go to Chapter Three&lt;/w:t&gt;</w:t>
            </w:r>
          </w:p>
          <w:p w:rsidR="000A156F" w:rsidRDefault="00A9721F">
            <w:pPr>
              <w:pStyle w:val="Code"/>
            </w:pPr>
            <w:r>
              <w:t xml:space="preserve">  &lt;/w:r&gt;</w:t>
            </w:r>
          </w:p>
          <w:p w:rsidR="000A156F" w:rsidRDefault="00A9721F">
            <w:pPr>
              <w:pStyle w:val="Code"/>
            </w:pPr>
            <w:r>
              <w:t>&lt;/w:hyperlink&gt;</w:t>
            </w:r>
          </w:p>
          <w:p w:rsidR="000A156F" w:rsidRDefault="000A156F">
            <w:pPr>
              <w:pStyle w:val="TableBodyText"/>
            </w:pPr>
          </w:p>
          <w:p w:rsidR="000A156F" w:rsidRDefault="00A9721F">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t>
            </w:r>
            <w:r>
              <w:t>within the document. end example]</w:t>
            </w:r>
          </w:p>
          <w:p w:rsidR="000A156F" w:rsidRDefault="000A156F">
            <w:pPr>
              <w:pStyle w:val="TableBodyText"/>
            </w:pPr>
          </w:p>
          <w:p w:rsidR="000A156F" w:rsidRDefault="00A9721F">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0A156F" w:rsidTr="000A156F">
        <w:tc>
          <w:tcPr>
            <w:tcW w:w="0" w:type="auto"/>
            <w:vAlign w:val="center"/>
          </w:tcPr>
          <w:p w:rsidR="000A156F" w:rsidRDefault="00A9721F">
            <w:pPr>
              <w:pStyle w:val="TableBodyText"/>
            </w:pPr>
            <w:r>
              <w:rPr>
                <w:b/>
              </w:rPr>
              <w:t>docLocation</w:t>
            </w:r>
            <w:r>
              <w:t xml:space="preserve"> (Location in Target Document)</w:t>
            </w:r>
          </w:p>
        </w:tc>
        <w:tc>
          <w:tcPr>
            <w:tcW w:w="0" w:type="auto"/>
            <w:vAlign w:val="center"/>
          </w:tcPr>
          <w:p w:rsidR="000A156F" w:rsidRDefault="00A9721F">
            <w:pPr>
              <w:pStyle w:val="TableBodyText"/>
            </w:pPr>
            <w:r>
              <w:t>Spec</w:t>
            </w:r>
            <w:r>
              <w:t>ifies a location in the target of the hyperlink that has no bookmarks.</w:t>
            </w:r>
          </w:p>
          <w:p w:rsidR="000A156F" w:rsidRDefault="000A156F">
            <w:pPr>
              <w:pStyle w:val="TableBodyText"/>
            </w:pPr>
          </w:p>
          <w:p w:rsidR="000A156F" w:rsidRDefault="00A9721F">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hyp</w:t>
            </w:r>
            <w:r>
              <w:t>erlink is invoked.</w:t>
            </w:r>
          </w:p>
          <w:p w:rsidR="000A156F" w:rsidRDefault="000A156F">
            <w:pPr>
              <w:pStyle w:val="TableBodyText"/>
            </w:pPr>
          </w:p>
          <w:p w:rsidR="000A156F" w:rsidRDefault="00A9721F">
            <w:pPr>
              <w:pStyle w:val="TableBodyText"/>
            </w:pPr>
            <w:r>
              <w:t>[Example: Consider the following WordprocessingML fragment for a hyperlink:</w:t>
            </w:r>
          </w:p>
          <w:p w:rsidR="000A156F" w:rsidRDefault="000A156F">
            <w:pPr>
              <w:pStyle w:val="TableBodyText"/>
            </w:pPr>
          </w:p>
          <w:p w:rsidR="000A156F" w:rsidRDefault="00A9721F">
            <w:pPr>
              <w:pStyle w:val="Code"/>
            </w:pPr>
            <w:r>
              <w:t>&lt;w:hyperlink r:id="rId9" w:docLocation="table"&gt;</w:t>
            </w:r>
          </w:p>
          <w:p w:rsidR="000A156F" w:rsidRDefault="00A9721F">
            <w:pPr>
              <w:pStyle w:val="Code"/>
            </w:pPr>
            <w:r>
              <w:t xml:space="preserve">  &lt;w:r&gt;</w:t>
            </w:r>
          </w:p>
          <w:p w:rsidR="000A156F" w:rsidRDefault="00A9721F">
            <w:pPr>
              <w:pStyle w:val="Code"/>
            </w:pPr>
            <w:r>
              <w:t xml:space="preserve">    &lt;w:t&gt;Click Here&lt;/w:t&gt;</w:t>
            </w:r>
          </w:p>
          <w:p w:rsidR="000A156F" w:rsidRDefault="00A9721F">
            <w:pPr>
              <w:pStyle w:val="Code"/>
            </w:pPr>
            <w:r>
              <w:t xml:space="preserve">  &lt;/w:r&gt;</w:t>
            </w:r>
          </w:p>
          <w:p w:rsidR="000A156F" w:rsidRDefault="00A9721F">
            <w:pPr>
              <w:pStyle w:val="Code"/>
            </w:pPr>
            <w:r>
              <w:t>&lt;/w:hyperlink&gt;</w:t>
            </w:r>
          </w:p>
          <w:p w:rsidR="000A156F" w:rsidRDefault="000A156F">
            <w:pPr>
              <w:pStyle w:val="TableBodyText"/>
            </w:pPr>
          </w:p>
          <w:p w:rsidR="000A156F" w:rsidRDefault="00A9721F">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0A156F" w:rsidRDefault="000A156F">
            <w:pPr>
              <w:pStyle w:val="TableBodyText"/>
            </w:pPr>
          </w:p>
          <w:p w:rsidR="000A156F" w:rsidRDefault="00A9721F">
            <w:pPr>
              <w:pStyle w:val="TableBodyText"/>
            </w:pPr>
            <w:r>
              <w:t>The possible values for this attribute are defined by the ST_String255 simple type (§3.1.3.3.9, ST_String</w:t>
            </w:r>
            <w:r>
              <w:t>255).</w:t>
            </w:r>
          </w:p>
        </w:tc>
      </w:tr>
      <w:tr w:rsidR="000A156F" w:rsidTr="000A156F">
        <w:tc>
          <w:tcPr>
            <w:tcW w:w="0" w:type="auto"/>
            <w:vAlign w:val="center"/>
          </w:tcPr>
          <w:p w:rsidR="000A156F" w:rsidRDefault="00A9721F">
            <w:pPr>
              <w:pStyle w:val="TableBodyText"/>
            </w:pPr>
            <w:r>
              <w:rPr>
                <w:b/>
              </w:rPr>
              <w:lastRenderedPageBreak/>
              <w:t>history</w:t>
            </w:r>
            <w:r>
              <w:t xml:space="preserve"> (Add to Viewed Hyperlinks)</w:t>
            </w:r>
          </w:p>
        </w:tc>
        <w:tc>
          <w:tcPr>
            <w:tcW w:w="0" w:type="auto"/>
            <w:vAlign w:val="center"/>
          </w:tcPr>
          <w:p w:rsidR="000A156F" w:rsidRDefault="00A9721F">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0A156F" w:rsidRDefault="000A156F">
            <w:pPr>
              <w:pStyle w:val="TableBodyText"/>
            </w:pPr>
          </w:p>
          <w:p w:rsidR="000A156F" w:rsidRDefault="00A9721F">
            <w:pPr>
              <w:pStyle w:val="TableBodyText"/>
            </w:pPr>
            <w:r>
              <w:t xml:space="preserve">If this attribute is omitted, then its value shall be assumed to be </w:t>
            </w:r>
            <w:r>
              <w:rPr>
                <w:i/>
              </w:rPr>
              <w:t>false</w:t>
            </w:r>
            <w:r>
              <w:t>.</w:t>
            </w:r>
          </w:p>
          <w:p w:rsidR="000A156F" w:rsidRDefault="000A156F">
            <w:pPr>
              <w:pStyle w:val="TableBodyText"/>
            </w:pPr>
          </w:p>
          <w:p w:rsidR="000A156F" w:rsidRDefault="00A9721F">
            <w:pPr>
              <w:pStyle w:val="TableBodyText"/>
            </w:pPr>
            <w:r>
              <w:t>[Example: Consider the following WordprocessingML fragment for a hyperlink:</w:t>
            </w:r>
          </w:p>
          <w:p w:rsidR="000A156F" w:rsidRDefault="000A156F">
            <w:pPr>
              <w:pStyle w:val="TableBodyText"/>
            </w:pPr>
          </w:p>
          <w:p w:rsidR="000A156F" w:rsidRDefault="00A9721F">
            <w:pPr>
              <w:pStyle w:val="Code"/>
            </w:pPr>
            <w:r>
              <w:t>&lt;w:hyperlink r:id="rId9" w:history="true"&gt;</w:t>
            </w:r>
          </w:p>
          <w:p w:rsidR="000A156F" w:rsidRDefault="00A9721F">
            <w:pPr>
              <w:pStyle w:val="Code"/>
            </w:pPr>
            <w:r>
              <w:t xml:space="preserve">  &lt;w:r&gt;</w:t>
            </w:r>
          </w:p>
          <w:p w:rsidR="000A156F" w:rsidRDefault="00A9721F">
            <w:pPr>
              <w:pStyle w:val="Code"/>
            </w:pPr>
            <w:r>
              <w:t xml:space="preserve">    &lt;w:t&gt;http://example.com&lt;/w:t&gt;</w:t>
            </w:r>
          </w:p>
          <w:p w:rsidR="000A156F" w:rsidRDefault="00A9721F">
            <w:pPr>
              <w:pStyle w:val="Code"/>
            </w:pPr>
            <w:r>
              <w:t xml:space="preserve">  &lt;/w:r&gt;</w:t>
            </w:r>
          </w:p>
          <w:p w:rsidR="000A156F" w:rsidRDefault="00A9721F">
            <w:pPr>
              <w:pStyle w:val="Code"/>
            </w:pPr>
            <w:r>
              <w:t>&lt;/w:hyper</w:t>
            </w:r>
            <w:r>
              <w:t>link&gt;</w:t>
            </w:r>
          </w:p>
          <w:p w:rsidR="000A156F" w:rsidRDefault="000A156F">
            <w:pPr>
              <w:pStyle w:val="TableBodyText"/>
            </w:pPr>
          </w:p>
          <w:p w:rsidR="000A156F" w:rsidRDefault="00A9721F">
            <w:pPr>
              <w:pStyle w:val="TableBodyText"/>
            </w:pPr>
            <w:r>
              <w:t xml:space="preserve">The </w:t>
            </w:r>
            <w:r>
              <w:rPr>
                <w:b/>
              </w:rPr>
              <w:t>history</w:t>
            </w:r>
            <w:r>
              <w:t xml:space="preserve"> attribute value of </w:t>
            </w:r>
            <w:r>
              <w:rPr>
                <w:i/>
              </w:rPr>
              <w:t>true</w:t>
            </w:r>
            <w:r>
              <w:t xml:space="preserve"> specifies that the target of the current hyperlink shall be added to a list of visited hyperlinks when invoked within the document. end example]</w:t>
            </w:r>
          </w:p>
          <w:p w:rsidR="000A156F" w:rsidRDefault="000A156F">
            <w:pPr>
              <w:pStyle w:val="TableBodyText"/>
            </w:pPr>
          </w:p>
          <w:p w:rsidR="000A156F" w:rsidRDefault="00A9721F">
            <w:pPr>
              <w:pStyle w:val="TableBodyText"/>
            </w:pPr>
            <w:r>
              <w:t xml:space="preserve">The possible values for this attribute are defined by the ST_OnOff </w:t>
            </w:r>
            <w:r>
              <w:t>simple type (§</w:t>
            </w:r>
            <w:hyperlink w:anchor="Section_79cbec698430479d88c056dd44369074">
              <w:r>
                <w:rPr>
                  <w:rStyle w:val="Hyperlink"/>
                </w:rPr>
                <w:t>3.1.3.3.6, ST_OnOff</w:t>
              </w:r>
            </w:hyperlink>
            <w:r>
              <w:t>).</w:t>
            </w:r>
          </w:p>
        </w:tc>
      </w:tr>
      <w:tr w:rsidR="000A156F" w:rsidTr="000A156F">
        <w:tc>
          <w:tcPr>
            <w:tcW w:w="0" w:type="auto"/>
            <w:vAlign w:val="center"/>
          </w:tcPr>
          <w:p w:rsidR="000A156F" w:rsidRDefault="00A9721F">
            <w:pPr>
              <w:pStyle w:val="TableBodyText"/>
            </w:pPr>
            <w:r>
              <w:rPr>
                <w:b/>
              </w:rPr>
              <w:t>id</w:t>
            </w:r>
            <w:r>
              <w:t xml:space="preserve"> (Hyperlink Target)</w:t>
            </w:r>
          </w:p>
          <w:p w:rsidR="000A156F" w:rsidRDefault="000A156F">
            <w:pPr>
              <w:pStyle w:val="TableBodyText"/>
            </w:pPr>
          </w:p>
          <w:p w:rsidR="000A156F" w:rsidRDefault="00A9721F">
            <w:pPr>
              <w:pStyle w:val="TableBodyText"/>
            </w:pPr>
            <w:r>
              <w:t>Namespace: .../officeDocument/2006/relationships</w:t>
            </w:r>
          </w:p>
        </w:tc>
        <w:tc>
          <w:tcPr>
            <w:tcW w:w="0" w:type="auto"/>
            <w:vAlign w:val="center"/>
          </w:tcPr>
          <w:p w:rsidR="000A156F" w:rsidRDefault="00A9721F">
            <w:pPr>
              <w:pStyle w:val="TableBodyText"/>
            </w:pPr>
            <w:r>
              <w:t>Specifies the ID of the relationship whose target shall be used as the target for th</w:t>
            </w:r>
            <w:r>
              <w:t>is hyperlink.</w:t>
            </w:r>
          </w:p>
          <w:p w:rsidR="000A156F" w:rsidRDefault="000A156F">
            <w:pPr>
              <w:pStyle w:val="TableBodyText"/>
            </w:pPr>
          </w:p>
          <w:p w:rsidR="000A156F" w:rsidRDefault="00A9721F">
            <w:pPr>
              <w:pStyle w:val="TableBodyText"/>
            </w:pPr>
            <w:r>
              <w:t xml:space="preserve">If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w:t>
            </w:r>
            <w:r>
              <w:t xml:space="preserve">upersede the value in the </w:t>
            </w:r>
            <w:r>
              <w:rPr>
                <w:b/>
              </w:rPr>
              <w:t>anchor</w:t>
            </w:r>
            <w:r>
              <w:t xml:space="preserve"> attribute.</w:t>
            </w:r>
          </w:p>
          <w:p w:rsidR="000A156F" w:rsidRDefault="000A156F">
            <w:pPr>
              <w:pStyle w:val="TableBodyText"/>
            </w:pPr>
          </w:p>
          <w:p w:rsidR="000A156F" w:rsidRDefault="00A9721F">
            <w:pPr>
              <w:pStyle w:val="TableBodyText"/>
            </w:pPr>
            <w:r>
              <w:t>[Example: Consider the following WordprocessingML fragment for a hyperlink:</w:t>
            </w:r>
          </w:p>
          <w:p w:rsidR="000A156F" w:rsidRDefault="000A156F">
            <w:pPr>
              <w:pStyle w:val="TableBodyText"/>
            </w:pPr>
          </w:p>
          <w:p w:rsidR="000A156F" w:rsidRDefault="00A9721F">
            <w:pPr>
              <w:pStyle w:val="Code"/>
            </w:pPr>
            <w:r>
              <w:lastRenderedPageBreak/>
              <w:t>&lt;w:hyperlink r:id="rId9"&gt;</w:t>
            </w:r>
          </w:p>
          <w:p w:rsidR="000A156F" w:rsidRDefault="00A9721F">
            <w:pPr>
              <w:pStyle w:val="Code"/>
            </w:pPr>
            <w:r>
              <w:t xml:space="preserve">  &lt;w:r&gt;</w:t>
            </w:r>
          </w:p>
          <w:p w:rsidR="000A156F" w:rsidRDefault="00A9721F">
            <w:pPr>
              <w:pStyle w:val="Code"/>
            </w:pPr>
            <w:r>
              <w:t xml:space="preserve">    &lt;w:t&gt;http://example.com&lt;/w:t&gt;</w:t>
            </w:r>
          </w:p>
          <w:p w:rsidR="000A156F" w:rsidRDefault="00A9721F">
            <w:pPr>
              <w:pStyle w:val="Code"/>
            </w:pPr>
            <w:r>
              <w:t xml:space="preserve">  &lt;/w:r&gt;</w:t>
            </w:r>
          </w:p>
          <w:p w:rsidR="000A156F" w:rsidRDefault="00A9721F">
            <w:pPr>
              <w:pStyle w:val="Code"/>
            </w:pPr>
            <w:r>
              <w:t>&lt;/w:hyperlink&gt;</w:t>
            </w:r>
          </w:p>
          <w:p w:rsidR="000A156F" w:rsidRDefault="000A156F">
            <w:pPr>
              <w:pStyle w:val="TableBodyText"/>
            </w:pPr>
          </w:p>
          <w:p w:rsidR="000A156F" w:rsidRDefault="00A9721F">
            <w:pPr>
              <w:pStyle w:val="TableBodyText"/>
            </w:pPr>
            <w:r>
              <w:t xml:space="preserve">An </w:t>
            </w:r>
            <w:r>
              <w:rPr>
                <w:b/>
              </w:rPr>
              <w:t>id</w:t>
            </w:r>
            <w:r>
              <w:t xml:space="preserve"> attribute value of </w:t>
            </w:r>
            <w:r>
              <w:rPr>
                <w:i/>
              </w:rPr>
              <w:t>rId9</w:t>
            </w:r>
            <w:r>
              <w:t xml:space="preserve"> specifies t</w:t>
            </w:r>
            <w:r>
              <w:t xml:space="preserve">hat the relationship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0A156F" w:rsidRDefault="000A156F">
            <w:pPr>
              <w:pStyle w:val="TableBodyText"/>
            </w:pPr>
          </w:p>
          <w:p w:rsidR="000A156F" w:rsidRDefault="00A9721F">
            <w:pPr>
              <w:pStyle w:val="Code"/>
            </w:pPr>
            <w:r>
              <w:t>&lt;Relationshi</w:t>
            </w:r>
            <w:r>
              <w:t>ps xmlns="…"&gt;</w:t>
            </w:r>
          </w:p>
          <w:p w:rsidR="000A156F" w:rsidRDefault="00A9721F">
            <w:pPr>
              <w:pStyle w:val="Code"/>
            </w:pPr>
            <w:r>
              <w:t xml:space="preserve">  &lt;Relationship Id="rId9" Mode="External" Target=http://www.contoso.com /&gt;</w:t>
            </w:r>
          </w:p>
          <w:p w:rsidR="000A156F" w:rsidRDefault="00A9721F">
            <w:pPr>
              <w:pStyle w:val="Code"/>
            </w:pPr>
            <w:r>
              <w:t>&lt;/Relationships&gt;</w:t>
            </w:r>
          </w:p>
          <w:p w:rsidR="000A156F" w:rsidRDefault="000A156F">
            <w:pPr>
              <w:pStyle w:val="TableBodyText"/>
            </w:pPr>
          </w:p>
          <w:p w:rsidR="000A156F" w:rsidRDefault="00A9721F">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0A156F" w:rsidRDefault="000A156F">
            <w:pPr>
              <w:pStyle w:val="TableBodyText"/>
            </w:pPr>
          </w:p>
          <w:p w:rsidR="000A156F" w:rsidRDefault="00A9721F">
            <w:pPr>
              <w:pStyle w:val="TableBodyText"/>
            </w:pPr>
            <w:r>
              <w:t xml:space="preserve">The possible </w:t>
            </w:r>
            <w:r>
              <w:t>values for this attribute are defined by the ST_RelationshipId simple type ("[ISO/IEC-29500-1] §22.8.2.1").</w:t>
            </w:r>
          </w:p>
        </w:tc>
      </w:tr>
      <w:tr w:rsidR="000A156F" w:rsidTr="000A156F">
        <w:tc>
          <w:tcPr>
            <w:tcW w:w="0" w:type="auto"/>
            <w:vAlign w:val="center"/>
          </w:tcPr>
          <w:p w:rsidR="000A156F" w:rsidRDefault="00A9721F">
            <w:pPr>
              <w:pStyle w:val="TableBodyText"/>
            </w:pPr>
            <w:r>
              <w:rPr>
                <w:b/>
              </w:rPr>
              <w:lastRenderedPageBreak/>
              <w:t>tgtFrame</w:t>
            </w:r>
            <w:r>
              <w:t xml:space="preserve"> (Hyperlink Target Frame)</w:t>
            </w:r>
          </w:p>
        </w:tc>
        <w:tc>
          <w:tcPr>
            <w:tcW w:w="0" w:type="auto"/>
            <w:vAlign w:val="center"/>
          </w:tcPr>
          <w:p w:rsidR="000A156F" w:rsidRDefault="00A9721F">
            <w:pPr>
              <w:pStyle w:val="TableBodyText"/>
            </w:pPr>
            <w:r>
              <w:t xml:space="preserve">Specifies a frame within the parent HTML frameset for the target of the parent hyperlink when one exists. Values </w:t>
            </w:r>
            <w:r>
              <w:t>shall be handled as follows:</w:t>
            </w:r>
          </w:p>
          <w:p w:rsidR="000A156F" w:rsidRDefault="000A156F">
            <w:pPr>
              <w:pStyle w:val="TableBodyText"/>
            </w:pPr>
          </w:p>
          <w:p w:rsidR="000A156F" w:rsidRDefault="00A9721F">
            <w:pPr>
              <w:pStyle w:val="TableBodyText"/>
            </w:pPr>
            <w:r>
              <w:rPr>
                <w:rStyle w:val="InlineCode"/>
              </w:rPr>
              <w:t>_top</w:t>
            </w:r>
          </w:p>
          <w:p w:rsidR="000A156F" w:rsidRDefault="00A9721F">
            <w:pPr>
              <w:pStyle w:val="TableBodyText"/>
            </w:pPr>
            <w:r>
              <w:t>Open hyperlink target in the full region of the current window.</w:t>
            </w:r>
          </w:p>
          <w:p w:rsidR="000A156F" w:rsidRDefault="00A9721F">
            <w:pPr>
              <w:pStyle w:val="TableBodyText"/>
            </w:pPr>
            <w:r>
              <w:rPr>
                <w:rStyle w:val="InlineCode"/>
              </w:rPr>
              <w:t>_self</w:t>
            </w:r>
          </w:p>
          <w:p w:rsidR="000A156F" w:rsidRDefault="00A9721F">
            <w:pPr>
              <w:pStyle w:val="TableBodyText"/>
            </w:pPr>
            <w:r>
              <w:t>Open hyperlink target in the same frame as the hyperlink appears.</w:t>
            </w:r>
          </w:p>
          <w:p w:rsidR="000A156F" w:rsidRDefault="00A9721F">
            <w:pPr>
              <w:pStyle w:val="TableBodyText"/>
            </w:pPr>
            <w:r>
              <w:rPr>
                <w:rStyle w:val="InlineCode"/>
              </w:rPr>
              <w:t>_parent</w:t>
            </w:r>
          </w:p>
          <w:p w:rsidR="000A156F" w:rsidRDefault="00A9721F">
            <w:pPr>
              <w:pStyle w:val="TableBodyText"/>
            </w:pPr>
            <w:r>
              <w:t xml:space="preserve">Open hyperlink target in the parent of the current frame, or the current </w:t>
            </w:r>
            <w:r>
              <w:t>frame if this frame has no parent.</w:t>
            </w:r>
          </w:p>
          <w:p w:rsidR="000A156F" w:rsidRDefault="00A9721F">
            <w:pPr>
              <w:pStyle w:val="TableBodyText"/>
            </w:pPr>
            <w:r>
              <w:rPr>
                <w:rStyle w:val="InlineCode"/>
              </w:rPr>
              <w:t>_blank</w:t>
            </w:r>
          </w:p>
          <w:p w:rsidR="000A156F" w:rsidRDefault="00A9721F">
            <w:pPr>
              <w:pStyle w:val="TableBodyText"/>
            </w:pPr>
            <w:r>
              <w:t>Open hyperlink target in a new window.</w:t>
            </w:r>
          </w:p>
          <w:p w:rsidR="000A156F" w:rsidRDefault="00A9721F">
            <w:pPr>
              <w:pStyle w:val="TableBodyText"/>
            </w:pPr>
            <w:r>
              <w:t>all other values</w:t>
            </w:r>
          </w:p>
          <w:p w:rsidR="000A156F" w:rsidRDefault="00A9721F">
            <w:pPr>
              <w:pStyle w:val="TableBodyText"/>
            </w:pPr>
            <w:r>
              <w:t>Open hyperlink target in the frame with the specified name. If no frame exists with this name, open in the current frame.</w:t>
            </w:r>
          </w:p>
          <w:p w:rsidR="000A156F" w:rsidRDefault="000A156F">
            <w:pPr>
              <w:pStyle w:val="TableBodyText"/>
            </w:pPr>
          </w:p>
          <w:p w:rsidR="000A156F" w:rsidRDefault="00A9721F">
            <w:pPr>
              <w:pStyle w:val="TableBodyText"/>
            </w:pPr>
            <w:r>
              <w:t xml:space="preserve">If this string does not begin with </w:t>
            </w:r>
            <w:r>
              <w:t>an alphabetic character, it shall be ignored.</w:t>
            </w:r>
          </w:p>
          <w:p w:rsidR="000A156F" w:rsidRDefault="00A9721F">
            <w:pPr>
              <w:pStyle w:val="TableBodyText"/>
            </w:pPr>
            <w:r>
              <w:t>If this attribute is omitted, then no target frame information shall be associated with the parent hyperlink. If the current document is not part of a frameset, then this information may be ignored.</w:t>
            </w:r>
          </w:p>
          <w:p w:rsidR="000A156F" w:rsidRDefault="000A156F">
            <w:pPr>
              <w:pStyle w:val="TableBodyText"/>
            </w:pPr>
          </w:p>
          <w:p w:rsidR="000A156F" w:rsidRDefault="00A9721F">
            <w:pPr>
              <w:pStyle w:val="TableBodyText"/>
            </w:pPr>
            <w:r>
              <w:t xml:space="preserve">[Example: </w:t>
            </w:r>
            <w:r>
              <w:t>Consider the following WordprocessingML fragment for a hyperlink:</w:t>
            </w:r>
          </w:p>
          <w:p w:rsidR="000A156F" w:rsidRDefault="000A156F">
            <w:pPr>
              <w:pStyle w:val="TableBodyText"/>
            </w:pPr>
          </w:p>
          <w:p w:rsidR="000A156F" w:rsidRDefault="00A9721F">
            <w:pPr>
              <w:pStyle w:val="Code"/>
            </w:pPr>
            <w:r>
              <w:t>&lt;w:hyperlink r:id="rId9" w:tgtFrame="_top"&gt;</w:t>
            </w:r>
          </w:p>
          <w:p w:rsidR="000A156F" w:rsidRDefault="00A9721F">
            <w:pPr>
              <w:pStyle w:val="Code"/>
            </w:pPr>
            <w:r>
              <w:t xml:space="preserve">  &lt;w:r&gt;</w:t>
            </w:r>
          </w:p>
          <w:p w:rsidR="000A156F" w:rsidRDefault="00A9721F">
            <w:pPr>
              <w:pStyle w:val="Code"/>
            </w:pPr>
            <w:r>
              <w:lastRenderedPageBreak/>
              <w:t xml:space="preserve">    &lt;w:t&gt;http://example.com&lt;/w:t&gt;</w:t>
            </w:r>
          </w:p>
          <w:p w:rsidR="000A156F" w:rsidRDefault="00A9721F">
            <w:pPr>
              <w:pStyle w:val="Code"/>
            </w:pPr>
            <w:r>
              <w:t xml:space="preserve">  &lt;/w:r&gt;</w:t>
            </w:r>
          </w:p>
          <w:p w:rsidR="000A156F" w:rsidRDefault="00A9721F">
            <w:pPr>
              <w:pStyle w:val="Code"/>
            </w:pPr>
            <w:r>
              <w:t>&lt;/w:hyperlink&gt;</w:t>
            </w:r>
          </w:p>
          <w:p w:rsidR="000A156F" w:rsidRDefault="000A156F">
            <w:pPr>
              <w:pStyle w:val="TableBodyText"/>
            </w:pPr>
          </w:p>
          <w:p w:rsidR="000A156F" w:rsidRDefault="00A9721F">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0A156F" w:rsidRDefault="000A156F">
            <w:pPr>
              <w:pStyle w:val="TableBodyText"/>
            </w:pPr>
          </w:p>
          <w:p w:rsidR="000A156F" w:rsidRDefault="00A9721F">
            <w:pPr>
              <w:pStyle w:val="TableBodyText"/>
            </w:pPr>
            <w:r>
              <w:t>The possible values for this attribute are defined by the ST_String255 simple type (§3.1.3.3.9, ST_String255).</w:t>
            </w:r>
          </w:p>
        </w:tc>
      </w:tr>
      <w:tr w:rsidR="000A156F" w:rsidTr="000A156F">
        <w:tc>
          <w:tcPr>
            <w:tcW w:w="0" w:type="auto"/>
            <w:vAlign w:val="center"/>
          </w:tcPr>
          <w:p w:rsidR="000A156F" w:rsidRDefault="00A9721F">
            <w:pPr>
              <w:pStyle w:val="TableBodyText"/>
            </w:pPr>
            <w:r>
              <w:rPr>
                <w:b/>
              </w:rPr>
              <w:lastRenderedPageBreak/>
              <w:t>tooltip</w:t>
            </w:r>
            <w:r>
              <w:t xml:space="preserve"> (Associated Str</w:t>
            </w:r>
            <w:r>
              <w:t>ing)</w:t>
            </w:r>
          </w:p>
        </w:tc>
        <w:tc>
          <w:tcPr>
            <w:tcW w:w="0" w:type="auto"/>
            <w:vAlign w:val="center"/>
          </w:tcPr>
          <w:p w:rsidR="000A156F" w:rsidRDefault="00A9721F">
            <w:pPr>
              <w:pStyle w:val="TableBodyText"/>
            </w:pPr>
            <w:r>
              <w:t>Specifies a string that may be surfaced in a user interface as associated with the parent hyperlink.</w:t>
            </w:r>
          </w:p>
          <w:p w:rsidR="000A156F" w:rsidRDefault="000A156F">
            <w:pPr>
              <w:pStyle w:val="TableBodyText"/>
            </w:pPr>
          </w:p>
          <w:p w:rsidR="000A156F" w:rsidRDefault="00A9721F">
            <w:pPr>
              <w:pStyle w:val="TableBodyText"/>
            </w:pPr>
            <w:r>
              <w:t>If this attribute is omitted, then no associated string shall be linked to the parent hyperlink in the document.</w:t>
            </w:r>
          </w:p>
          <w:p w:rsidR="000A156F" w:rsidRDefault="000A156F">
            <w:pPr>
              <w:pStyle w:val="TableBodyText"/>
            </w:pPr>
          </w:p>
          <w:p w:rsidR="000A156F" w:rsidRDefault="00A9721F">
            <w:pPr>
              <w:pStyle w:val="TableBodyText"/>
            </w:pPr>
            <w:r>
              <w:t>[Example: Consider the following Wo</w:t>
            </w:r>
            <w:r>
              <w:t>rdprocessingML fragment for a hyperlink:</w:t>
            </w:r>
          </w:p>
          <w:p w:rsidR="000A156F" w:rsidRDefault="000A156F">
            <w:pPr>
              <w:pStyle w:val="TableBodyText"/>
            </w:pPr>
          </w:p>
          <w:p w:rsidR="000A156F" w:rsidRDefault="00A9721F">
            <w:pPr>
              <w:pStyle w:val="Code"/>
            </w:pPr>
            <w:r>
              <w:t>&lt;w:hyperlink r:id="rId9" w:tooltip="Click here!"&gt;</w:t>
            </w:r>
          </w:p>
          <w:p w:rsidR="000A156F" w:rsidRDefault="00A9721F">
            <w:pPr>
              <w:pStyle w:val="Code"/>
            </w:pPr>
            <w:r>
              <w:t xml:space="preserve">  &lt;w:r&gt;</w:t>
            </w:r>
          </w:p>
          <w:p w:rsidR="000A156F" w:rsidRDefault="00A9721F">
            <w:pPr>
              <w:pStyle w:val="Code"/>
            </w:pPr>
            <w:r>
              <w:t xml:space="preserve">    &lt;w:t&gt;http://example.com&lt;/w:t&gt;</w:t>
            </w:r>
          </w:p>
          <w:p w:rsidR="000A156F" w:rsidRDefault="00A9721F">
            <w:pPr>
              <w:pStyle w:val="Code"/>
            </w:pPr>
            <w:r>
              <w:t xml:space="preserve">  &lt;/w:r&gt;</w:t>
            </w:r>
          </w:p>
          <w:p w:rsidR="000A156F" w:rsidRDefault="00A9721F">
            <w:pPr>
              <w:pStyle w:val="Code"/>
            </w:pPr>
            <w:r>
              <w:t>&lt;/w:hyperlink&gt;</w:t>
            </w:r>
          </w:p>
          <w:p w:rsidR="000A156F" w:rsidRDefault="000A156F">
            <w:pPr>
              <w:pStyle w:val="TableBodyText"/>
            </w:pPr>
          </w:p>
          <w:p w:rsidR="000A156F" w:rsidRDefault="00A9721F">
            <w:pPr>
              <w:pStyle w:val="TableBodyText"/>
            </w:pPr>
            <w:r>
              <w:t xml:space="preserve">The value of this attribute specifies that the parent hyperlink has the associated string of </w:t>
            </w:r>
            <w:r>
              <w:rPr>
                <w:i/>
              </w:rPr>
              <w:t>Click here!</w:t>
            </w:r>
            <w:r>
              <w:t>, which may be used as desired. end example]</w:t>
            </w:r>
          </w:p>
          <w:p w:rsidR="000A156F" w:rsidRDefault="000A156F">
            <w:pPr>
              <w:pStyle w:val="TableBodyText"/>
            </w:pPr>
          </w:p>
          <w:p w:rsidR="000A156F" w:rsidRDefault="00A9721F">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0A156F" w:rsidRDefault="000A156F"/>
    <w:p w:rsidR="000A156F" w:rsidRDefault="00A9721F">
      <w:r>
        <w:t>The following XML Sche</w:t>
      </w:r>
      <w:r>
        <w:t>ma fragment defines the contents of this element:</w:t>
      </w:r>
    </w:p>
    <w:p w:rsidR="000A156F" w:rsidRDefault="00A9721F">
      <w:pPr>
        <w:pStyle w:val="Code"/>
      </w:pPr>
      <w:r>
        <w:t>&lt;complexType name="CT_HyperlinkRuby"&gt;</w:t>
      </w:r>
    </w:p>
    <w:p w:rsidR="000A156F" w:rsidRDefault="00A9721F">
      <w:pPr>
        <w:pStyle w:val="Code"/>
      </w:pPr>
      <w:r>
        <w:t xml:space="preserve">  &lt;group ref="EG_RubyContent" minOccurs="0" maxOccurs="unbounded"/&gt;</w:t>
      </w:r>
    </w:p>
    <w:p w:rsidR="000A156F" w:rsidRDefault="00A9721F">
      <w:pPr>
        <w:pStyle w:val="Code"/>
      </w:pPr>
      <w:r>
        <w:t xml:space="preserve">  &lt;attribute name="tgtFrame" type="ST_String255" use="optional"/&gt;</w:t>
      </w:r>
    </w:p>
    <w:p w:rsidR="000A156F" w:rsidRDefault="00A9721F">
      <w:pPr>
        <w:pStyle w:val="Code"/>
      </w:pPr>
      <w:r>
        <w:t xml:space="preserve">  &lt;attribute name="tooltip" type="</w:t>
      </w:r>
      <w:r>
        <w:t>ST_String260" use="optional"/&gt;</w:t>
      </w:r>
    </w:p>
    <w:p w:rsidR="000A156F" w:rsidRDefault="00A9721F">
      <w:pPr>
        <w:pStyle w:val="Code"/>
      </w:pPr>
      <w:r>
        <w:t xml:space="preserve">  &lt;attribute name="docLocation" type="ST_String255" use="optional"/&gt;</w:t>
      </w:r>
    </w:p>
    <w:p w:rsidR="000A156F" w:rsidRDefault="00A9721F">
      <w:pPr>
        <w:pStyle w:val="Code"/>
      </w:pPr>
      <w:r>
        <w:t xml:space="preserve">  &lt;attribute name="history" type="ST_OnOff" use="optional"/&gt;</w:t>
      </w:r>
    </w:p>
    <w:p w:rsidR="000A156F" w:rsidRDefault="00A9721F">
      <w:pPr>
        <w:pStyle w:val="Code"/>
      </w:pPr>
      <w:r>
        <w:t xml:space="preserve">  &lt;attribute name="anchor" type="ST_String255" use="optional"/&gt;</w:t>
      </w:r>
    </w:p>
    <w:p w:rsidR="000A156F" w:rsidRDefault="00A9721F">
      <w:pPr>
        <w:pStyle w:val="Code"/>
      </w:pPr>
      <w:r>
        <w:t xml:space="preserve">  &lt;attribute ref="r:id"/&gt;</w:t>
      </w:r>
    </w:p>
    <w:p w:rsidR="000A156F" w:rsidRDefault="00A9721F">
      <w:pPr>
        <w:pStyle w:val="Code"/>
      </w:pPr>
      <w:r>
        <w:t>&lt;/com</w:t>
      </w:r>
      <w:r>
        <w:t>plexType&gt;</w:t>
      </w:r>
    </w:p>
    <w:p w:rsidR="000A156F" w:rsidRDefault="00A9721F">
      <w:pPr>
        <w:pStyle w:val="Heading5"/>
      </w:pPr>
      <w:bookmarkStart w:id="3897" w:name="section_dcbcb32823db42abbb8081992b8e429e"/>
      <w:bookmarkStart w:id="3898" w:name="_Toc181684974"/>
      <w:r>
        <w:t>moveFrom (Move Source Math Control Character)</w:t>
      </w:r>
      <w:bookmarkEnd w:id="3897"/>
      <w:bookmarkEnd w:id="3898"/>
      <w:r>
        <w:fldChar w:fldCharType="begin"/>
      </w:r>
      <w:r>
        <w:instrText xml:space="preserve"> XE "moveFrom (Move Source Math Control Character)" </w:instrText>
      </w:r>
      <w:r>
        <w:fldChar w:fldCharType="end"/>
      </w:r>
    </w:p>
    <w:p w:rsidR="000A156F" w:rsidRDefault="00A9721F">
      <w:r>
        <w:t xml:space="preserve">This element specifies that the Office Open XML Math control character contained within it shall be treated as content that has been moved away </w:t>
      </w:r>
      <w:r>
        <w:t>from this location and tracked as a revision.</w:t>
      </w:r>
    </w:p>
    <w:p w:rsidR="000A156F" w:rsidRDefault="00A9721F">
      <w:r>
        <w:lastRenderedPageBreak/>
        <w:t>The following restrictions shall be applied to this content:</w:t>
      </w:r>
    </w:p>
    <w:p w:rsidR="000A156F" w:rsidRDefault="00A9721F">
      <w:pPr>
        <w:pStyle w:val="ListParagraph"/>
        <w:numPr>
          <w:ilvl w:val="0"/>
          <w:numId w:val="196"/>
        </w:numPr>
      </w:pPr>
      <w:r>
        <w:t>If this element occurs outside of a valid move source container (§"</w:t>
      </w:r>
      <w:hyperlink r:id="rId297">
        <w:r>
          <w:rPr>
            <w:rStyle w:val="Hyperlink"/>
          </w:rPr>
          <w:t>[ISO/IEC-29500-1</w:t>
        </w:r>
        <w:r>
          <w:rPr>
            <w:rStyle w:val="Hyperlink"/>
          </w:rPr>
          <w:t>]</w:t>
        </w:r>
      </w:hyperlink>
      <w:r>
        <w:t xml:space="preserve"> §17.13.5.24; moveFromRangeStart"; §"[ISO/IEC-29500-1] §17.13.5.23; moveFromRangeEnd") for which a matching move destination container (§"[ISO/IEC-29500-1] §17.13.5.28; moveToRangeStart"; §"[ISO/IEC-29500-1] §17.13.5.27; moveToRangeEnd") exists in the doc</w:t>
      </w:r>
      <w:r>
        <w:t>ument, then the math control character shall be treated as deleted, rather than moved.</w:t>
      </w:r>
    </w:p>
    <w:p w:rsidR="000A156F" w:rsidRDefault="00A9721F">
      <w:r>
        <w:t>Word ignores this element.</w:t>
      </w:r>
    </w:p>
    <w:tbl>
      <w:tblPr>
        <w:tblStyle w:val="Table-ShadedHeader"/>
        <w:tblW w:w="0" w:type="auto"/>
        <w:tblLook w:val="04A0" w:firstRow="1" w:lastRow="0" w:firstColumn="1" w:lastColumn="0" w:noHBand="0" w:noVBand="1"/>
      </w:tblPr>
      <w:tblGrid>
        <w:gridCol w:w="357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ctrlPr</w:t>
            </w:r>
            <w:r>
              <w:t xml:space="preserve"> ("[ISO/IEC-29500-1] §22.1.2.23")</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299"/>
        <w:gridCol w:w="297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del</w:t>
            </w:r>
            <w:r>
              <w:t xml:space="preserve"> (Deleted Math Control Character)</w:t>
            </w:r>
          </w:p>
        </w:tc>
        <w:tc>
          <w:tcPr>
            <w:tcW w:w="0" w:type="auto"/>
            <w:vAlign w:val="center"/>
          </w:tcPr>
          <w:p w:rsidR="000A156F" w:rsidRDefault="00A9721F">
            <w:pPr>
              <w:pStyle w:val="TableBodyText"/>
            </w:pPr>
            <w:r>
              <w:t>"[ISO/IEC-29500-1]</w:t>
            </w:r>
            <w:r>
              <w:t xml:space="preserve"> §17.13.5.13"</w:t>
            </w:r>
          </w:p>
        </w:tc>
      </w:tr>
      <w:tr w:rsidR="000A156F" w:rsidTr="000A156F">
        <w:tc>
          <w:tcPr>
            <w:tcW w:w="0" w:type="auto"/>
            <w:vAlign w:val="center"/>
          </w:tcPr>
          <w:p w:rsidR="000A156F" w:rsidRDefault="00A9721F">
            <w:pPr>
              <w:pStyle w:val="TableBodyText"/>
            </w:pPr>
            <w:r>
              <w:rPr>
                <w:b/>
              </w:rPr>
              <w:t>ins</w:t>
            </w:r>
            <w:r>
              <w:t xml:space="preserve"> (Inserted Math Control Character)</w:t>
            </w:r>
          </w:p>
        </w:tc>
        <w:tc>
          <w:tcPr>
            <w:tcW w:w="0" w:type="auto"/>
            <w:vAlign w:val="center"/>
          </w:tcPr>
          <w:p w:rsidR="000A156F" w:rsidRDefault="00A9721F">
            <w:pPr>
              <w:pStyle w:val="TableBodyText"/>
            </w:pPr>
            <w:r>
              <w:t>"[ISO/IEC-29500-1] §17.13.5.16"</w:t>
            </w:r>
          </w:p>
        </w:tc>
      </w:tr>
      <w:tr w:rsidR="000A156F" w:rsidTr="000A156F">
        <w:tc>
          <w:tcPr>
            <w:tcW w:w="0" w:type="auto"/>
            <w:vAlign w:val="center"/>
          </w:tcPr>
          <w:p w:rsidR="000A156F" w:rsidRDefault="00A9721F">
            <w:pPr>
              <w:pStyle w:val="TableBodyText"/>
            </w:pPr>
            <w:r>
              <w:rPr>
                <w:b/>
              </w:rPr>
              <w:t>rPr</w:t>
            </w:r>
            <w:r>
              <w:t xml:space="preserve"> (Run Properties)</w:t>
            </w:r>
          </w:p>
        </w:tc>
        <w:tc>
          <w:tcPr>
            <w:tcW w:w="0" w:type="auto"/>
            <w:vAlign w:val="center"/>
          </w:tcPr>
          <w:p w:rsidR="000A156F" w:rsidRDefault="00A9721F">
            <w:pPr>
              <w:pStyle w:val="TableBodyText"/>
            </w:pPr>
            <w:r>
              <w:t>"[ISO/IEC-29500-1] §17.3.2.28"</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800"/>
        <w:gridCol w:w="76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author</w:t>
            </w:r>
            <w:r>
              <w:t xml:space="preserve"> (Annotation Author)</w:t>
            </w:r>
          </w:p>
        </w:tc>
        <w:tc>
          <w:tcPr>
            <w:tcW w:w="0" w:type="auto"/>
            <w:vAlign w:val="center"/>
          </w:tcPr>
          <w:p w:rsidR="000A156F" w:rsidRDefault="00A9721F">
            <w:pPr>
              <w:pStyle w:val="TableBodyText"/>
            </w:pPr>
            <w:r>
              <w:t>Specifies the author for an annotation within a WordprocessingML</w:t>
            </w:r>
            <w:r>
              <w:t xml:space="preserve"> document.</w:t>
            </w:r>
          </w:p>
          <w:p w:rsidR="000A156F" w:rsidRDefault="000A156F">
            <w:pPr>
              <w:pStyle w:val="TableBodyText"/>
            </w:pPr>
          </w:p>
          <w:p w:rsidR="000A156F" w:rsidRDefault="00A9721F">
            <w:pPr>
              <w:pStyle w:val="TableBodyText"/>
            </w:pPr>
            <w:r>
              <w:t xml:space="preserve"> [Example: Consider a comment represented using the following WordprocessingML fragment:</w:t>
            </w:r>
          </w:p>
          <w:p w:rsidR="000A156F" w:rsidRDefault="000A156F">
            <w:pPr>
              <w:pStyle w:val="TableBodyText"/>
            </w:pPr>
          </w:p>
          <w:p w:rsidR="000A156F" w:rsidRDefault="00A9721F">
            <w:pPr>
              <w:pStyle w:val="Code"/>
            </w:pPr>
            <w:r>
              <w:t>&lt;w:… w:id="1" w:author="Example Author"&gt;</w:t>
            </w:r>
          </w:p>
          <w:p w:rsidR="000A156F" w:rsidRDefault="00A9721F">
            <w:pPr>
              <w:pStyle w:val="Code"/>
            </w:pPr>
            <w:r>
              <w:t xml:space="preserve">  …</w:t>
            </w:r>
          </w:p>
          <w:p w:rsidR="000A156F" w:rsidRDefault="00A9721F">
            <w:pPr>
              <w:pStyle w:val="Code"/>
            </w:pPr>
            <w:r>
              <w:t>&lt;/w:…&gt;</w:t>
            </w:r>
          </w:p>
          <w:p w:rsidR="000A156F" w:rsidRDefault="000A156F">
            <w:pPr>
              <w:pStyle w:val="TableBodyText"/>
            </w:pPr>
          </w:p>
          <w:p w:rsidR="000A156F" w:rsidRDefault="00A9721F">
            <w:pPr>
              <w:pStyle w:val="TableBodyText"/>
            </w:pPr>
            <w:r>
              <w:t xml:space="preserve">The </w:t>
            </w:r>
            <w:r>
              <w:rPr>
                <w:b/>
              </w:rPr>
              <w:t>author</w:t>
            </w:r>
            <w:r>
              <w:t xml:space="preserve"> attribute specifies that the author of the current annotation is </w:t>
            </w:r>
            <w:r>
              <w:rPr>
                <w:i/>
              </w:rPr>
              <w:t>Example Author</w:t>
            </w:r>
            <w:r>
              <w:t>, which may</w:t>
            </w:r>
            <w:r>
              <w:t xml:space="preserve"> be used as desired. end example]</w:t>
            </w:r>
          </w:p>
          <w:p w:rsidR="000A156F" w:rsidRDefault="000A156F">
            <w:pPr>
              <w:pStyle w:val="TableBodyText"/>
            </w:pPr>
          </w:p>
          <w:p w:rsidR="000A156F" w:rsidRDefault="00A9721F">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0A156F" w:rsidTr="000A156F">
        <w:tc>
          <w:tcPr>
            <w:tcW w:w="0" w:type="auto"/>
            <w:vAlign w:val="center"/>
          </w:tcPr>
          <w:p w:rsidR="000A156F" w:rsidRDefault="00A9721F">
            <w:pPr>
              <w:pStyle w:val="TableBodyText"/>
            </w:pPr>
            <w:r>
              <w:rPr>
                <w:b/>
              </w:rPr>
              <w:t>date</w:t>
            </w:r>
            <w:r>
              <w:t xml:space="preserve"> (Annotation Date)</w:t>
            </w:r>
          </w:p>
        </w:tc>
        <w:tc>
          <w:tcPr>
            <w:tcW w:w="0" w:type="auto"/>
            <w:vAlign w:val="center"/>
          </w:tcPr>
          <w:p w:rsidR="000A156F" w:rsidRDefault="00A9721F">
            <w:pPr>
              <w:pStyle w:val="TableBodyText"/>
            </w:pPr>
            <w:r>
              <w:t>Specifies the date info</w:t>
            </w:r>
            <w:r>
              <w:t>rmation for an annotation within a WordprocessingML document.</w:t>
            </w:r>
          </w:p>
          <w:p w:rsidR="000A156F" w:rsidRDefault="000A156F">
            <w:pPr>
              <w:pStyle w:val="TableBodyText"/>
            </w:pPr>
          </w:p>
          <w:p w:rsidR="000A156F" w:rsidRDefault="00A9721F">
            <w:pPr>
              <w:pStyle w:val="TableBodyText"/>
            </w:pPr>
            <w:r>
              <w:t>If this attribute is omitted, then no date information shall be associated with the parent annotation type.</w:t>
            </w:r>
          </w:p>
          <w:p w:rsidR="000A156F" w:rsidRDefault="000A156F">
            <w:pPr>
              <w:pStyle w:val="TableBodyText"/>
            </w:pPr>
          </w:p>
          <w:p w:rsidR="000A156F" w:rsidRDefault="00A9721F">
            <w:pPr>
              <w:pStyle w:val="TableBodyText"/>
            </w:pPr>
            <w:r>
              <w:t>[Example: Consider a comment represented using the following WordprocessingML fragme</w:t>
            </w:r>
            <w:r>
              <w:t>nt:</w:t>
            </w:r>
          </w:p>
          <w:p w:rsidR="000A156F" w:rsidRDefault="000A156F">
            <w:pPr>
              <w:pStyle w:val="TableBodyText"/>
            </w:pPr>
          </w:p>
          <w:p w:rsidR="000A156F" w:rsidRDefault="00A9721F">
            <w:pPr>
              <w:pStyle w:val="Code"/>
            </w:pPr>
            <w:r>
              <w:lastRenderedPageBreak/>
              <w:t>&lt;w:… w:id="1" w:date="2006-01-01T10:00:00"&gt;</w:t>
            </w:r>
          </w:p>
          <w:p w:rsidR="000A156F" w:rsidRDefault="00A9721F">
            <w:pPr>
              <w:pStyle w:val="Code"/>
            </w:pPr>
            <w:r>
              <w:t xml:space="preserve">  …</w:t>
            </w:r>
          </w:p>
          <w:p w:rsidR="000A156F" w:rsidRDefault="00A9721F">
            <w:pPr>
              <w:pStyle w:val="Code"/>
            </w:pPr>
            <w:r>
              <w:t>&lt;/w:…&gt;</w:t>
            </w:r>
          </w:p>
          <w:p w:rsidR="000A156F" w:rsidRDefault="000A156F">
            <w:pPr>
              <w:pStyle w:val="TableBodyText"/>
            </w:pPr>
          </w:p>
          <w:p w:rsidR="000A156F" w:rsidRDefault="00A9721F">
            <w:pPr>
              <w:pStyle w:val="TableBodyText"/>
            </w:pPr>
            <w:r>
              <w:t xml:space="preserve">The </w:t>
            </w:r>
            <w:r>
              <w:rPr>
                <w:b/>
              </w:rPr>
              <w:t>date</w:t>
            </w:r>
            <w:r>
              <w:t xml:space="preserve"> attribute specifies that the date of the current annotation is January 1st 2006 at 10:00 AM, which may be used as desired. end example]</w:t>
            </w:r>
          </w:p>
          <w:p w:rsidR="000A156F" w:rsidRDefault="000A156F">
            <w:pPr>
              <w:pStyle w:val="TableBodyText"/>
            </w:pPr>
          </w:p>
          <w:p w:rsidR="000A156F" w:rsidRDefault="00A9721F">
            <w:pPr>
              <w:pStyle w:val="TableBodyText"/>
            </w:pPr>
            <w:r>
              <w:t>The possible values for this attribute are define</w:t>
            </w:r>
            <w:r>
              <w:t>d by the ST_DateTime simple type (§</w:t>
            </w:r>
            <w:hyperlink w:anchor="Section_67feb752f108441eaca363fc2717117a">
              <w:r>
                <w:rPr>
                  <w:rStyle w:val="Hyperlink"/>
                </w:rPr>
                <w:t>3.1.3.3.2, ST_DateTime</w:t>
              </w:r>
            </w:hyperlink>
            <w:r>
              <w:t>).</w:t>
            </w:r>
          </w:p>
        </w:tc>
      </w:tr>
      <w:tr w:rsidR="000A156F" w:rsidTr="000A156F">
        <w:tc>
          <w:tcPr>
            <w:tcW w:w="0" w:type="auto"/>
            <w:vAlign w:val="center"/>
          </w:tcPr>
          <w:p w:rsidR="000A156F" w:rsidRDefault="00A9721F">
            <w:pPr>
              <w:pStyle w:val="TableBodyText"/>
            </w:pPr>
            <w:r>
              <w:rPr>
                <w:b/>
              </w:rPr>
              <w:lastRenderedPageBreak/>
              <w:t>id</w:t>
            </w:r>
            <w:r>
              <w:t xml:space="preserve"> (Annotation Identifier)</w:t>
            </w:r>
          </w:p>
        </w:tc>
        <w:tc>
          <w:tcPr>
            <w:tcW w:w="0" w:type="auto"/>
            <w:vAlign w:val="center"/>
          </w:tcPr>
          <w:p w:rsidR="000A156F" w:rsidRDefault="00A9721F">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0A156F" w:rsidRDefault="000A156F">
            <w:pPr>
              <w:pStyle w:val="TableBodyText"/>
            </w:pPr>
          </w:p>
          <w:p w:rsidR="000A156F" w:rsidRDefault="00A9721F">
            <w:pPr>
              <w:pStyle w:val="TableBodyText"/>
            </w:pPr>
            <w:r>
              <w:t>If this attribute is omitted, then the document is non-conformant.</w:t>
            </w:r>
          </w:p>
          <w:p w:rsidR="000A156F" w:rsidRDefault="000A156F">
            <w:pPr>
              <w:pStyle w:val="TableBodyText"/>
            </w:pPr>
          </w:p>
          <w:p w:rsidR="000A156F" w:rsidRDefault="00A9721F">
            <w:pPr>
              <w:pStyle w:val="TableBodyText"/>
            </w:pPr>
            <w:r>
              <w:t>[Example: Consider</w:t>
            </w:r>
            <w:r>
              <w:t xml:space="preserve"> an annotation represented using the following WordprocessingML fragment:</w:t>
            </w:r>
          </w:p>
          <w:p w:rsidR="000A156F" w:rsidRDefault="000A156F">
            <w:pPr>
              <w:pStyle w:val="TableBodyText"/>
            </w:pPr>
          </w:p>
          <w:p w:rsidR="000A156F" w:rsidRDefault="00A9721F">
            <w:pPr>
              <w:pStyle w:val="Code"/>
            </w:pPr>
            <w:r>
              <w:t>&lt;w:… w:id="1" … &gt;</w:t>
            </w:r>
          </w:p>
          <w:p w:rsidR="000A156F" w:rsidRDefault="00A9721F">
            <w:pPr>
              <w:pStyle w:val="Code"/>
            </w:pPr>
            <w:r>
              <w:t xml:space="preserve">  …</w:t>
            </w:r>
          </w:p>
          <w:p w:rsidR="000A156F" w:rsidRDefault="00A9721F">
            <w:pPr>
              <w:pStyle w:val="Code"/>
            </w:pPr>
            <w:r>
              <w:t>&lt;/w:…&gt;</w:t>
            </w:r>
          </w:p>
          <w:p w:rsidR="000A156F" w:rsidRDefault="000A156F">
            <w:pPr>
              <w:pStyle w:val="TableBodyText"/>
            </w:pPr>
          </w:p>
          <w:p w:rsidR="000A156F" w:rsidRDefault="00A9721F">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w:t>
            </w:r>
            <w:r>
              <w:t>ent. end example]</w:t>
            </w:r>
          </w:p>
          <w:p w:rsidR="000A156F" w:rsidRDefault="000A156F">
            <w:pPr>
              <w:pStyle w:val="TableBodyText"/>
            </w:pPr>
          </w:p>
          <w:p w:rsidR="000A156F" w:rsidRDefault="00A9721F">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0A156F" w:rsidRDefault="000A156F"/>
    <w:p w:rsidR="000A156F" w:rsidRDefault="00A9721F">
      <w:r>
        <w:t xml:space="preserve">The following XML Schema fragment defines the contents of this </w:t>
      </w:r>
      <w:r>
        <w:t>element:</w:t>
      </w:r>
    </w:p>
    <w:p w:rsidR="000A156F" w:rsidRDefault="00A9721F">
      <w:pPr>
        <w:pStyle w:val="Code"/>
      </w:pPr>
      <w:r>
        <w:t>&lt;complexType name="CT_MathCtrlMove"&gt;</w:t>
      </w:r>
    </w:p>
    <w:p w:rsidR="000A156F" w:rsidRDefault="00A9721F">
      <w:pPr>
        <w:pStyle w:val="Code"/>
      </w:pPr>
      <w:r>
        <w:t xml:space="preserve">  &lt;complexContent&gt;</w:t>
      </w:r>
    </w:p>
    <w:p w:rsidR="000A156F" w:rsidRDefault="00A9721F">
      <w:pPr>
        <w:pStyle w:val="Code"/>
      </w:pPr>
      <w:r>
        <w:t xml:space="preserve">    &lt;extension base="CT_TrackChange"&gt;</w:t>
      </w:r>
    </w:p>
    <w:p w:rsidR="000A156F" w:rsidRDefault="00A9721F">
      <w:pPr>
        <w:pStyle w:val="Code"/>
      </w:pPr>
      <w:r>
        <w:t xml:space="preserve">      &lt;choice minOccurs="0"&gt;</w:t>
      </w:r>
    </w:p>
    <w:p w:rsidR="000A156F" w:rsidRDefault="00A9721F">
      <w:pPr>
        <w:pStyle w:val="Code"/>
      </w:pPr>
      <w:r>
        <w:t xml:space="preserve">        &lt;group ref="EG_RPr"/&gt;</w:t>
      </w:r>
    </w:p>
    <w:p w:rsidR="000A156F" w:rsidRDefault="00A9721F">
      <w:pPr>
        <w:pStyle w:val="Code"/>
      </w:pPr>
      <w:r>
        <w:t xml:space="preserve">        &lt;group ref="EG_MathCtrlIns"/&gt;</w:t>
      </w:r>
    </w:p>
    <w:p w:rsidR="000A156F" w:rsidRDefault="00A9721F">
      <w:pPr>
        <w:pStyle w:val="Code"/>
      </w:pPr>
      <w:r>
        <w:t xml:space="preserve">        &lt;group ref="EG_MathCtrlDel"/&gt;</w:t>
      </w:r>
    </w:p>
    <w:p w:rsidR="000A156F" w:rsidRDefault="00A9721F">
      <w:pPr>
        <w:pStyle w:val="Code"/>
      </w:pPr>
      <w:r>
        <w:t xml:space="preserve">      &lt;/choice&gt;</w:t>
      </w:r>
    </w:p>
    <w:p w:rsidR="000A156F" w:rsidRDefault="00A9721F">
      <w:pPr>
        <w:pStyle w:val="Code"/>
      </w:pPr>
      <w:r>
        <w:t xml:space="preserve">    &lt;/extension&gt;</w:t>
      </w:r>
    </w:p>
    <w:p w:rsidR="000A156F" w:rsidRDefault="00A9721F">
      <w:pPr>
        <w:pStyle w:val="Code"/>
      </w:pPr>
      <w:r>
        <w:t xml:space="preserve">  &lt;/complexContent&gt;</w:t>
      </w:r>
    </w:p>
    <w:p w:rsidR="000A156F" w:rsidRDefault="00A9721F">
      <w:pPr>
        <w:pStyle w:val="Code"/>
      </w:pPr>
      <w:r>
        <w:t>&lt;/complexType&gt;</w:t>
      </w:r>
    </w:p>
    <w:p w:rsidR="000A156F" w:rsidRDefault="00A9721F">
      <w:pPr>
        <w:pStyle w:val="Heading5"/>
      </w:pPr>
      <w:bookmarkStart w:id="3899" w:name="section_9d27b8e63f8f4cf7a6e356e2fbf140b8"/>
      <w:bookmarkStart w:id="3900" w:name="_Toc181684975"/>
      <w:r>
        <w:t>moveTo (Move Destination Math Control Character)</w:t>
      </w:r>
      <w:bookmarkEnd w:id="3899"/>
      <w:bookmarkEnd w:id="3900"/>
      <w:r>
        <w:fldChar w:fldCharType="begin"/>
      </w:r>
      <w:r>
        <w:instrText xml:space="preserve"> XE "moveTo (Move Destination Math Control Character)" </w:instrText>
      </w:r>
      <w:r>
        <w:fldChar w:fldCharType="end"/>
      </w:r>
    </w:p>
    <w:p w:rsidR="000A156F" w:rsidRDefault="00A9721F">
      <w:r>
        <w:t>This element specifies that the Office Open XML Math control character contained within it shall b</w:t>
      </w:r>
      <w:r>
        <w:t>e treated as content that has been moved to this location and tracked as a revision.</w:t>
      </w:r>
    </w:p>
    <w:p w:rsidR="000A156F" w:rsidRDefault="00A9721F">
      <w:r>
        <w:t>The following restrictions shall be applied to this content:</w:t>
      </w:r>
    </w:p>
    <w:p w:rsidR="000A156F" w:rsidRDefault="00A9721F">
      <w:pPr>
        <w:pStyle w:val="ListParagraph"/>
        <w:numPr>
          <w:ilvl w:val="0"/>
          <w:numId w:val="197"/>
        </w:numPr>
      </w:pPr>
      <w:r>
        <w:lastRenderedPageBreak/>
        <w:t>If this element occurs outside of a valid move destination container (§"</w:t>
      </w:r>
      <w:hyperlink r:id="rId298">
        <w:r>
          <w:rPr>
            <w:rStyle w:val="Hyperlink"/>
          </w:rPr>
          <w:t>[ISO/IEC-29500-1]</w:t>
        </w:r>
      </w:hyperlink>
      <w:r>
        <w:t xml:space="preserve"> §17.13.5.28; moveToRangeStart"; §"[ISO/IEC-29500-1] §17.13.5.27; moveToRangeEnd") for which a matching move source container (§"[ISO/IEC-29500-1] §17.13.5.24; moveFromRangeStart"; §"[ISO/IEC-29500-1] §17.13.5.2</w:t>
      </w:r>
      <w:r>
        <w:t>3; moveFromRangeEnd") exists in the document, then content in this region shall be treated as inserted, rather than moved.</w:t>
      </w:r>
    </w:p>
    <w:p w:rsidR="000A156F" w:rsidRDefault="00A9721F">
      <w:r>
        <w:t>Word ignores this element.</w:t>
      </w:r>
    </w:p>
    <w:tbl>
      <w:tblPr>
        <w:tblStyle w:val="Table-ShadedHeader"/>
        <w:tblW w:w="0" w:type="auto"/>
        <w:tblLook w:val="04A0" w:firstRow="1" w:lastRow="0" w:firstColumn="1" w:lastColumn="0" w:noHBand="0" w:noVBand="1"/>
      </w:tblPr>
      <w:tblGrid>
        <w:gridCol w:w="357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ctrlPr</w:t>
            </w:r>
            <w:r>
              <w:t xml:space="preserve"> ("[ISO/IEC-29500-1] §22.1.2.23")</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299"/>
        <w:gridCol w:w="297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del</w:t>
            </w:r>
            <w:r>
              <w:t xml:space="preserve"> (Deleted Math Control Character)</w:t>
            </w:r>
          </w:p>
        </w:tc>
        <w:tc>
          <w:tcPr>
            <w:tcW w:w="0" w:type="auto"/>
            <w:vAlign w:val="center"/>
          </w:tcPr>
          <w:p w:rsidR="000A156F" w:rsidRDefault="00A9721F">
            <w:pPr>
              <w:pStyle w:val="TableBodyText"/>
            </w:pPr>
            <w:r>
              <w:t>"[ISO/IEC-29500-1] §17.13.5.13"</w:t>
            </w:r>
          </w:p>
        </w:tc>
      </w:tr>
      <w:tr w:rsidR="000A156F" w:rsidTr="000A156F">
        <w:tc>
          <w:tcPr>
            <w:tcW w:w="0" w:type="auto"/>
            <w:vAlign w:val="center"/>
          </w:tcPr>
          <w:p w:rsidR="000A156F" w:rsidRDefault="00A9721F">
            <w:pPr>
              <w:pStyle w:val="TableBodyText"/>
            </w:pPr>
            <w:r>
              <w:rPr>
                <w:b/>
              </w:rPr>
              <w:t>ins</w:t>
            </w:r>
            <w:r>
              <w:t xml:space="preserve"> (Inserted Math Control Character)</w:t>
            </w:r>
          </w:p>
        </w:tc>
        <w:tc>
          <w:tcPr>
            <w:tcW w:w="0" w:type="auto"/>
            <w:vAlign w:val="center"/>
          </w:tcPr>
          <w:p w:rsidR="000A156F" w:rsidRDefault="00A9721F">
            <w:pPr>
              <w:pStyle w:val="TableBodyText"/>
            </w:pPr>
            <w:r>
              <w:t>"[ISO/IEC-29500-1] §17.13.5.16"</w:t>
            </w:r>
          </w:p>
        </w:tc>
      </w:tr>
      <w:tr w:rsidR="000A156F" w:rsidTr="000A156F">
        <w:tc>
          <w:tcPr>
            <w:tcW w:w="0" w:type="auto"/>
            <w:vAlign w:val="center"/>
          </w:tcPr>
          <w:p w:rsidR="000A156F" w:rsidRDefault="00A9721F">
            <w:pPr>
              <w:pStyle w:val="TableBodyText"/>
            </w:pPr>
            <w:r>
              <w:rPr>
                <w:b/>
              </w:rPr>
              <w:t>rPr</w:t>
            </w:r>
            <w:r>
              <w:t xml:space="preserve"> (Run Properties)</w:t>
            </w:r>
          </w:p>
        </w:tc>
        <w:tc>
          <w:tcPr>
            <w:tcW w:w="0" w:type="auto"/>
            <w:vAlign w:val="center"/>
          </w:tcPr>
          <w:p w:rsidR="000A156F" w:rsidRDefault="00A9721F">
            <w:pPr>
              <w:pStyle w:val="TableBodyText"/>
            </w:pPr>
            <w:r>
              <w:t>"[ISO/IEC-29500-1] §17.3.2.28"</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800"/>
        <w:gridCol w:w="76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author</w:t>
            </w:r>
            <w:r>
              <w:t xml:space="preserve"> (Annotation Author)</w:t>
            </w:r>
          </w:p>
        </w:tc>
        <w:tc>
          <w:tcPr>
            <w:tcW w:w="0" w:type="auto"/>
            <w:vAlign w:val="center"/>
          </w:tcPr>
          <w:p w:rsidR="000A156F" w:rsidRDefault="00A9721F">
            <w:pPr>
              <w:pStyle w:val="TableBodyText"/>
            </w:pPr>
            <w:r>
              <w:t xml:space="preserve">Specifies </w:t>
            </w:r>
            <w:r>
              <w:t>the author for an annotation within a WordprocessingML document.</w:t>
            </w:r>
          </w:p>
          <w:p w:rsidR="000A156F" w:rsidRDefault="000A156F">
            <w:pPr>
              <w:pStyle w:val="TableBodyText"/>
            </w:pPr>
          </w:p>
          <w:p w:rsidR="000A156F" w:rsidRDefault="00A9721F">
            <w:pPr>
              <w:pStyle w:val="TableBodyText"/>
            </w:pPr>
            <w:r>
              <w:t xml:space="preserve"> [Example: Consider a comment represented using the following WordprocessingML fragment:</w:t>
            </w:r>
          </w:p>
          <w:p w:rsidR="000A156F" w:rsidRDefault="000A156F">
            <w:pPr>
              <w:pStyle w:val="TableBodyText"/>
            </w:pPr>
          </w:p>
          <w:p w:rsidR="000A156F" w:rsidRDefault="00A9721F">
            <w:pPr>
              <w:pStyle w:val="Code"/>
            </w:pPr>
            <w:r>
              <w:t>&lt;w:… w:id="1" w:author="Example Author"&gt;</w:t>
            </w:r>
          </w:p>
          <w:p w:rsidR="000A156F" w:rsidRDefault="00A9721F">
            <w:pPr>
              <w:pStyle w:val="Code"/>
            </w:pPr>
            <w:r>
              <w:t xml:space="preserve">  …</w:t>
            </w:r>
          </w:p>
          <w:p w:rsidR="000A156F" w:rsidRDefault="00A9721F">
            <w:pPr>
              <w:pStyle w:val="Code"/>
            </w:pPr>
            <w:r>
              <w:t>&lt;/w:…&gt;</w:t>
            </w:r>
          </w:p>
          <w:p w:rsidR="000A156F" w:rsidRDefault="000A156F">
            <w:pPr>
              <w:pStyle w:val="TableBodyText"/>
            </w:pPr>
          </w:p>
          <w:p w:rsidR="000A156F" w:rsidRDefault="00A9721F">
            <w:pPr>
              <w:pStyle w:val="TableBodyText"/>
            </w:pPr>
            <w:r>
              <w:t xml:space="preserve">The </w:t>
            </w:r>
            <w:r>
              <w:rPr>
                <w:b/>
              </w:rPr>
              <w:t>author</w:t>
            </w:r>
            <w:r>
              <w:t xml:space="preserve"> attribute specifies that the author </w:t>
            </w:r>
            <w:r>
              <w:t xml:space="preserve">of the current annotation is </w:t>
            </w:r>
            <w:r>
              <w:rPr>
                <w:i/>
              </w:rPr>
              <w:t>Example Author</w:t>
            </w:r>
            <w:r>
              <w:t>, which may be used as desired. end example]</w:t>
            </w:r>
          </w:p>
          <w:p w:rsidR="000A156F" w:rsidRDefault="000A156F">
            <w:pPr>
              <w:pStyle w:val="TableBodyText"/>
            </w:pPr>
          </w:p>
          <w:p w:rsidR="000A156F" w:rsidRDefault="00A9721F">
            <w:pPr>
              <w:pStyle w:val="TableBodyText"/>
            </w:pPr>
            <w:r>
              <w:t>The possible values for this attribute are defined by the ST_String255 simple type (§</w:t>
            </w:r>
            <w:hyperlink w:anchor="Section_73f2382235094ce4a27391e7e5a80c27">
              <w:r>
                <w:rPr>
                  <w:rStyle w:val="Hyperlink"/>
                </w:rPr>
                <w:t>3.1.3.3.9, ST_Strin</w:t>
              </w:r>
              <w:r>
                <w:rPr>
                  <w:rStyle w:val="Hyperlink"/>
                </w:rPr>
                <w:t>g255</w:t>
              </w:r>
            </w:hyperlink>
            <w:r>
              <w:t>).</w:t>
            </w:r>
          </w:p>
        </w:tc>
      </w:tr>
      <w:tr w:rsidR="000A156F" w:rsidTr="000A156F">
        <w:tc>
          <w:tcPr>
            <w:tcW w:w="0" w:type="auto"/>
            <w:vAlign w:val="center"/>
          </w:tcPr>
          <w:p w:rsidR="000A156F" w:rsidRDefault="00A9721F">
            <w:pPr>
              <w:pStyle w:val="TableBodyText"/>
            </w:pPr>
            <w:r>
              <w:rPr>
                <w:b/>
              </w:rPr>
              <w:t>date</w:t>
            </w:r>
            <w:r>
              <w:t xml:space="preserve"> (Annotation Date)</w:t>
            </w:r>
          </w:p>
        </w:tc>
        <w:tc>
          <w:tcPr>
            <w:tcW w:w="0" w:type="auto"/>
            <w:vAlign w:val="center"/>
          </w:tcPr>
          <w:p w:rsidR="000A156F" w:rsidRDefault="00A9721F">
            <w:pPr>
              <w:pStyle w:val="TableBodyText"/>
            </w:pPr>
            <w:r>
              <w:t>Specifies the date information for an annotation within a WordprocessingML document.</w:t>
            </w:r>
          </w:p>
          <w:p w:rsidR="000A156F" w:rsidRDefault="000A156F">
            <w:pPr>
              <w:pStyle w:val="TableBodyText"/>
            </w:pPr>
          </w:p>
          <w:p w:rsidR="000A156F" w:rsidRDefault="00A9721F">
            <w:pPr>
              <w:pStyle w:val="TableBodyText"/>
            </w:pPr>
            <w:r>
              <w:t>If this attribute is omitted, then no date information shall be associated with the parent annotation type.</w:t>
            </w:r>
          </w:p>
          <w:p w:rsidR="000A156F" w:rsidRDefault="000A156F">
            <w:pPr>
              <w:pStyle w:val="TableBodyText"/>
            </w:pPr>
          </w:p>
          <w:p w:rsidR="000A156F" w:rsidRDefault="00A9721F">
            <w:pPr>
              <w:pStyle w:val="TableBodyText"/>
            </w:pPr>
            <w:r>
              <w:t>[Example: Consider a comment r</w:t>
            </w:r>
            <w:r>
              <w:t>epresented using the following WordprocessingML fragment:</w:t>
            </w:r>
          </w:p>
          <w:p w:rsidR="000A156F" w:rsidRDefault="000A156F">
            <w:pPr>
              <w:pStyle w:val="TableBodyText"/>
            </w:pPr>
          </w:p>
          <w:p w:rsidR="000A156F" w:rsidRDefault="00A9721F">
            <w:pPr>
              <w:pStyle w:val="Code"/>
            </w:pPr>
            <w:r>
              <w:t>&lt;w:… w:id="1" w:date="2006-01-01T10:00:00"&gt;</w:t>
            </w:r>
          </w:p>
          <w:p w:rsidR="000A156F" w:rsidRDefault="00A9721F">
            <w:pPr>
              <w:pStyle w:val="Code"/>
            </w:pPr>
            <w:r>
              <w:t xml:space="preserve">  …</w:t>
            </w:r>
          </w:p>
          <w:p w:rsidR="000A156F" w:rsidRDefault="00A9721F">
            <w:pPr>
              <w:pStyle w:val="Code"/>
            </w:pPr>
            <w:r>
              <w:lastRenderedPageBreak/>
              <w:t>&lt;/w:…&gt;</w:t>
            </w:r>
          </w:p>
          <w:p w:rsidR="000A156F" w:rsidRDefault="000A156F">
            <w:pPr>
              <w:pStyle w:val="TableBodyText"/>
            </w:pPr>
          </w:p>
          <w:p w:rsidR="000A156F" w:rsidRDefault="00A9721F">
            <w:pPr>
              <w:pStyle w:val="TableBodyText"/>
            </w:pPr>
            <w:r>
              <w:t xml:space="preserve">The </w:t>
            </w:r>
            <w:r>
              <w:rPr>
                <w:b/>
              </w:rPr>
              <w:t>date</w:t>
            </w:r>
            <w:r>
              <w:t xml:space="preserve"> attribute specifies that the date of the current annotation is January 1st 2006 at 10:00 AM, which may be used as desired. end example]</w:t>
            </w:r>
          </w:p>
          <w:p w:rsidR="000A156F" w:rsidRDefault="000A156F">
            <w:pPr>
              <w:pStyle w:val="TableBodyText"/>
            </w:pPr>
          </w:p>
          <w:p w:rsidR="000A156F" w:rsidRDefault="00A9721F">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0A156F" w:rsidTr="000A156F">
        <w:tc>
          <w:tcPr>
            <w:tcW w:w="0" w:type="auto"/>
            <w:vAlign w:val="center"/>
          </w:tcPr>
          <w:p w:rsidR="000A156F" w:rsidRDefault="00A9721F">
            <w:pPr>
              <w:pStyle w:val="TableBodyText"/>
            </w:pPr>
            <w:r>
              <w:rPr>
                <w:b/>
              </w:rPr>
              <w:lastRenderedPageBreak/>
              <w:t>id</w:t>
            </w:r>
            <w:r>
              <w:t xml:space="preserve"> (Annotation Identifier)</w:t>
            </w:r>
          </w:p>
        </w:tc>
        <w:tc>
          <w:tcPr>
            <w:tcW w:w="0" w:type="auto"/>
            <w:vAlign w:val="center"/>
          </w:tcPr>
          <w:p w:rsidR="000A156F" w:rsidRDefault="00A9721F">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0A156F" w:rsidRDefault="000A156F">
            <w:pPr>
              <w:pStyle w:val="TableBodyText"/>
            </w:pPr>
          </w:p>
          <w:p w:rsidR="000A156F" w:rsidRDefault="00A9721F">
            <w:pPr>
              <w:pStyle w:val="TableBodyText"/>
            </w:pPr>
            <w:r>
              <w:t>If t</w:t>
            </w:r>
            <w:r>
              <w:t>his attribute is omitted, then the document is non-conformant.</w:t>
            </w:r>
          </w:p>
          <w:p w:rsidR="000A156F" w:rsidRDefault="000A156F">
            <w:pPr>
              <w:pStyle w:val="TableBodyText"/>
            </w:pPr>
          </w:p>
          <w:p w:rsidR="000A156F" w:rsidRDefault="00A9721F">
            <w:pPr>
              <w:pStyle w:val="TableBodyText"/>
            </w:pPr>
            <w:r>
              <w:t>[Example: Consider an annotation represented using the following WordprocessingML fragment:</w:t>
            </w:r>
          </w:p>
          <w:p w:rsidR="000A156F" w:rsidRDefault="000A156F">
            <w:pPr>
              <w:pStyle w:val="TableBodyText"/>
            </w:pPr>
          </w:p>
          <w:p w:rsidR="000A156F" w:rsidRDefault="00A9721F">
            <w:pPr>
              <w:pStyle w:val="Code"/>
            </w:pPr>
            <w:r>
              <w:t>&lt;w:… w:id="1" … &gt;</w:t>
            </w:r>
          </w:p>
          <w:p w:rsidR="000A156F" w:rsidRDefault="00A9721F">
            <w:pPr>
              <w:pStyle w:val="Code"/>
            </w:pPr>
            <w:r>
              <w:t xml:space="preserve">  …</w:t>
            </w:r>
          </w:p>
          <w:p w:rsidR="000A156F" w:rsidRDefault="00A9721F">
            <w:pPr>
              <w:pStyle w:val="Code"/>
            </w:pPr>
            <w:r>
              <w:t>&lt;/w:…&gt;</w:t>
            </w:r>
          </w:p>
          <w:p w:rsidR="000A156F" w:rsidRDefault="000A156F">
            <w:pPr>
              <w:pStyle w:val="TableBodyText"/>
            </w:pPr>
          </w:p>
          <w:p w:rsidR="000A156F" w:rsidRDefault="00A9721F">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0A156F" w:rsidRDefault="000A156F">
            <w:pPr>
              <w:pStyle w:val="TableBodyText"/>
            </w:pPr>
          </w:p>
          <w:p w:rsidR="000A156F" w:rsidRDefault="00A9721F">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&lt;complexType name="CT_MathCtrlMove"&gt;</w:t>
      </w:r>
    </w:p>
    <w:p w:rsidR="000A156F" w:rsidRDefault="00A9721F">
      <w:pPr>
        <w:pStyle w:val="Code"/>
      </w:pPr>
      <w:r>
        <w:t xml:space="preserve">  &lt;complexContent&gt;</w:t>
      </w:r>
    </w:p>
    <w:p w:rsidR="000A156F" w:rsidRDefault="00A9721F">
      <w:pPr>
        <w:pStyle w:val="Code"/>
      </w:pPr>
      <w:r>
        <w:t xml:space="preserve">    &lt;extension base="CT_TrackChange"&gt;</w:t>
      </w:r>
    </w:p>
    <w:p w:rsidR="000A156F" w:rsidRDefault="00A9721F">
      <w:pPr>
        <w:pStyle w:val="Code"/>
      </w:pPr>
      <w:r>
        <w:t xml:space="preserve">      &lt;choice minOccurs="0"&gt;</w:t>
      </w:r>
    </w:p>
    <w:p w:rsidR="000A156F" w:rsidRDefault="00A9721F">
      <w:pPr>
        <w:pStyle w:val="Code"/>
      </w:pPr>
      <w:r>
        <w:t xml:space="preserve">        &lt;group ref="EG_RPr"/&gt;</w:t>
      </w:r>
    </w:p>
    <w:p w:rsidR="000A156F" w:rsidRDefault="00A9721F">
      <w:pPr>
        <w:pStyle w:val="Code"/>
      </w:pPr>
      <w:r>
        <w:t xml:space="preserve">        &lt;</w:t>
      </w:r>
      <w:r>
        <w:t>group ref="EG_MathCtrlIns"/&gt;</w:t>
      </w:r>
    </w:p>
    <w:p w:rsidR="000A156F" w:rsidRDefault="00A9721F">
      <w:pPr>
        <w:pStyle w:val="Code"/>
      </w:pPr>
      <w:r>
        <w:t xml:space="preserve">        &lt;group ref="EG_MathCtrlDel"/&gt;</w:t>
      </w:r>
    </w:p>
    <w:p w:rsidR="000A156F" w:rsidRDefault="00A9721F">
      <w:pPr>
        <w:pStyle w:val="Code"/>
      </w:pPr>
      <w:r>
        <w:t xml:space="preserve">      &lt;/choice&gt;</w:t>
      </w:r>
    </w:p>
    <w:p w:rsidR="000A156F" w:rsidRDefault="00A9721F">
      <w:pPr>
        <w:pStyle w:val="Code"/>
      </w:pPr>
      <w:r>
        <w:t xml:space="preserve">    &lt;/extension&gt;</w:t>
      </w:r>
    </w:p>
    <w:p w:rsidR="000A156F" w:rsidRDefault="00A9721F">
      <w:pPr>
        <w:pStyle w:val="Code"/>
      </w:pPr>
      <w:r>
        <w:t xml:space="preserve">  &lt;/complexContent&gt;</w:t>
      </w:r>
    </w:p>
    <w:p w:rsidR="000A156F" w:rsidRDefault="00A9721F">
      <w:pPr>
        <w:pStyle w:val="Code"/>
      </w:pPr>
      <w:r>
        <w:t>&lt;/complexType&gt;</w:t>
      </w:r>
    </w:p>
    <w:p w:rsidR="000A156F" w:rsidRDefault="00A9721F">
      <w:pPr>
        <w:pStyle w:val="Heading5"/>
      </w:pPr>
      <w:bookmarkStart w:id="3901" w:name="section_808b32d8ad644c849fb585ad68be54b9"/>
      <w:bookmarkStart w:id="3902" w:name="_Toc181684976"/>
      <w:r>
        <w:t>sdt (Ruby Inline-Level Structured Document Tag)</w:t>
      </w:r>
      <w:bookmarkEnd w:id="3901"/>
      <w:bookmarkEnd w:id="3902"/>
      <w:r>
        <w:fldChar w:fldCharType="begin"/>
      </w:r>
      <w:r>
        <w:instrText xml:space="preserve"> XE "sdt (Ruby Inline-Level Structured Document Tag)" </w:instrText>
      </w:r>
      <w:r>
        <w:fldChar w:fldCharType="end"/>
      </w:r>
    </w:p>
    <w:p w:rsidR="000A156F" w:rsidRDefault="00A9721F">
      <w:r>
        <w:t>This element spec</w:t>
      </w:r>
      <w:r>
        <w:t xml:space="preserve">ifies the presence of a structured document tag around one or more inline-level structures (runs, DrawingML objects, fields, and so on) in the current paragraph. The two child elements of this element shall be used to specify the properties and content of </w:t>
      </w:r>
      <w:r>
        <w:t xml:space="preserve">the current structured document tag via the </w:t>
      </w:r>
      <w:r>
        <w:rPr>
          <w:b/>
        </w:rPr>
        <w:t>sdtPr</w:t>
      </w:r>
      <w:r>
        <w:t xml:space="preserve"> and </w:t>
      </w:r>
      <w:r>
        <w:rPr>
          <w:b/>
        </w:rPr>
        <w:t>sdtContent</w:t>
      </w:r>
      <w:r>
        <w:t xml:space="preserve"> elements, respectively.</w:t>
      </w:r>
    </w:p>
    <w:p w:rsidR="000A156F" w:rsidRDefault="00A9721F">
      <w:r>
        <w:t xml:space="preserve">[Example: Consider a structured document tag with the friendly name </w:t>
      </w:r>
      <w:r>
        <w:rPr>
          <w:i/>
        </w:rPr>
        <w:t>firstName</w:t>
      </w:r>
      <w:r>
        <w:t xml:space="preserve"> that shall be located around two runs in a WordprocessingML document. This requirement wo</w:t>
      </w:r>
      <w:r>
        <w:t>uld be specified as follows in the WordprocessingML:</w:t>
      </w:r>
    </w:p>
    <w:p w:rsidR="000A156F" w:rsidRDefault="00A9721F">
      <w:pPr>
        <w:pStyle w:val="Code"/>
      </w:pPr>
      <w:r>
        <w:lastRenderedPageBreak/>
        <w:t>&lt;w:p&gt;</w:t>
      </w:r>
    </w:p>
    <w:p w:rsidR="000A156F" w:rsidRDefault="00A9721F">
      <w:pPr>
        <w:pStyle w:val="Code"/>
      </w:pPr>
      <w:r>
        <w:t xml:space="preserve">  &lt;w:sdt&gt;</w:t>
      </w:r>
    </w:p>
    <w:p w:rsidR="000A156F" w:rsidRDefault="00A9721F">
      <w:pPr>
        <w:pStyle w:val="Code"/>
      </w:pPr>
      <w:r>
        <w:t xml:space="preserve">    &lt;w:sdtPr&gt;</w:t>
      </w:r>
    </w:p>
    <w:p w:rsidR="000A156F" w:rsidRDefault="00A9721F">
      <w:pPr>
        <w:pStyle w:val="Code"/>
      </w:pPr>
      <w:r>
        <w:t xml:space="preserve">      &lt;w:alias w:val="firstName"/&gt;</w:t>
      </w:r>
    </w:p>
    <w:p w:rsidR="000A156F" w:rsidRDefault="00A9721F">
      <w:pPr>
        <w:pStyle w:val="Code"/>
      </w:pPr>
      <w:r>
        <w:t xml:space="preserve">    &lt;/w:sdtPr&gt;</w:t>
      </w:r>
    </w:p>
    <w:p w:rsidR="000A156F" w:rsidRDefault="00A9721F">
      <w:pPr>
        <w:pStyle w:val="Code"/>
      </w:pPr>
      <w:r>
        <w:t xml:space="preserve">    &lt;w:sdtContent&gt;</w:t>
      </w:r>
    </w:p>
    <w:p w:rsidR="000A156F" w:rsidRDefault="00A9721F">
      <w:pPr>
        <w:pStyle w:val="Code"/>
      </w:pPr>
      <w:r>
        <w:t xml:space="preserve">      &lt;w:r&gt;</w:t>
      </w:r>
    </w:p>
    <w:p w:rsidR="000A156F" w:rsidRDefault="00A9721F">
      <w:pPr>
        <w:pStyle w:val="Code"/>
      </w:pPr>
      <w:r>
        <w:t xml:space="preserve">        …</w:t>
      </w:r>
    </w:p>
    <w:p w:rsidR="000A156F" w:rsidRDefault="00A9721F">
      <w:pPr>
        <w:pStyle w:val="Code"/>
      </w:pPr>
      <w:r>
        <w:t xml:space="preserve">      &lt;/w:r&gt;</w:t>
      </w:r>
    </w:p>
    <w:p w:rsidR="000A156F" w:rsidRDefault="00A9721F">
      <w:pPr>
        <w:pStyle w:val="Code"/>
      </w:pPr>
      <w:r>
        <w:t xml:space="preserve">      &lt;w:r&gt;</w:t>
      </w:r>
    </w:p>
    <w:p w:rsidR="000A156F" w:rsidRDefault="00A9721F">
      <w:pPr>
        <w:pStyle w:val="Code"/>
      </w:pPr>
      <w:r>
        <w:t xml:space="preserve">        …</w:t>
      </w:r>
    </w:p>
    <w:p w:rsidR="000A156F" w:rsidRDefault="00A9721F">
      <w:pPr>
        <w:pStyle w:val="Code"/>
      </w:pPr>
      <w:r>
        <w:t xml:space="preserve">      &lt;/w:r&gt;</w:t>
      </w:r>
    </w:p>
    <w:p w:rsidR="000A156F" w:rsidRDefault="00A9721F">
      <w:pPr>
        <w:pStyle w:val="Code"/>
      </w:pPr>
      <w:r>
        <w:t xml:space="preserve">    &lt;/w:sdtContent&gt;</w:t>
      </w:r>
    </w:p>
    <w:p w:rsidR="000A156F" w:rsidRDefault="00A9721F">
      <w:pPr>
        <w:pStyle w:val="Code"/>
      </w:pPr>
      <w:r>
        <w:t xml:space="preserve">  &lt;/w:sdt&gt;</w:t>
      </w:r>
    </w:p>
    <w:p w:rsidR="000A156F" w:rsidRDefault="00A9721F">
      <w:pPr>
        <w:pStyle w:val="Code"/>
      </w:pPr>
      <w:r>
        <w:t xml:space="preserve">  …</w:t>
      </w:r>
    </w:p>
    <w:p w:rsidR="000A156F" w:rsidRDefault="00A9721F">
      <w:pPr>
        <w:pStyle w:val="Code"/>
      </w:pPr>
      <w:r>
        <w:t>&lt;/w:tr&gt;</w:t>
      </w:r>
    </w:p>
    <w:p w:rsidR="000A156F" w:rsidRDefault="00A9721F">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 xml:space="preserve">Parent </w:t>
            </w:r>
            <w:r>
              <w:t>Elements</w:t>
            </w:r>
          </w:p>
        </w:tc>
      </w:tr>
      <w:tr w:rsidR="000A156F" w:rsidTr="000A156F">
        <w:tc>
          <w:tcPr>
            <w:tcW w:w="0" w:type="auto"/>
            <w:vAlign w:val="center"/>
          </w:tcPr>
          <w:p w:rsidR="000A156F" w:rsidRDefault="00A9721F">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9">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6758"/>
        <w:gridCol w:w="271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bookmarkEnd</w:t>
            </w:r>
            <w:r>
              <w:t xml:space="preserve"> (Bookmark End)</w:t>
            </w:r>
          </w:p>
        </w:tc>
        <w:tc>
          <w:tcPr>
            <w:tcW w:w="0" w:type="auto"/>
            <w:vAlign w:val="center"/>
          </w:tcPr>
          <w:p w:rsidR="000A156F" w:rsidRDefault="00A9721F">
            <w:pPr>
              <w:pStyle w:val="TableBodyText"/>
            </w:pPr>
            <w:r>
              <w:t>"[ISO/IEC-29500-1] §17.13.6.1"</w:t>
            </w:r>
          </w:p>
        </w:tc>
      </w:tr>
      <w:tr w:rsidR="000A156F" w:rsidTr="000A156F">
        <w:tc>
          <w:tcPr>
            <w:tcW w:w="0" w:type="auto"/>
            <w:vAlign w:val="center"/>
          </w:tcPr>
          <w:p w:rsidR="000A156F" w:rsidRDefault="00A9721F">
            <w:pPr>
              <w:pStyle w:val="TableBodyText"/>
            </w:pPr>
            <w:r>
              <w:rPr>
                <w:b/>
              </w:rPr>
              <w:t>bookmarkStart</w:t>
            </w:r>
            <w:r>
              <w:t xml:space="preserve"> (Bookmark Start)</w:t>
            </w:r>
          </w:p>
        </w:tc>
        <w:tc>
          <w:tcPr>
            <w:tcW w:w="0" w:type="auto"/>
            <w:vAlign w:val="center"/>
          </w:tcPr>
          <w:p w:rsidR="000A156F" w:rsidRDefault="00A9721F">
            <w:pPr>
              <w:pStyle w:val="TableBodyText"/>
            </w:pPr>
            <w:r>
              <w:t>"[ISO/IEC-29500-1] §17.13.6.2"</w:t>
            </w:r>
          </w:p>
        </w:tc>
      </w:tr>
      <w:tr w:rsidR="000A156F" w:rsidTr="000A156F">
        <w:tc>
          <w:tcPr>
            <w:tcW w:w="0" w:type="auto"/>
            <w:vAlign w:val="center"/>
          </w:tcPr>
          <w:p w:rsidR="000A156F" w:rsidRDefault="00A9721F">
            <w:pPr>
              <w:pStyle w:val="TableBodyText"/>
            </w:pPr>
            <w:r>
              <w:rPr>
                <w:b/>
              </w:rPr>
              <w:t>commentRangeEnd</w:t>
            </w:r>
            <w:r>
              <w:t xml:space="preserve"> (Comment Anchor Range End)</w:t>
            </w:r>
          </w:p>
        </w:tc>
        <w:tc>
          <w:tcPr>
            <w:tcW w:w="0" w:type="auto"/>
            <w:vAlign w:val="center"/>
          </w:tcPr>
          <w:p w:rsidR="000A156F" w:rsidRDefault="00A9721F">
            <w:pPr>
              <w:pStyle w:val="TableBodyText"/>
            </w:pPr>
            <w:r>
              <w:t>"[ISO/IEC-29500-1] §17.13.4.3"</w:t>
            </w:r>
          </w:p>
        </w:tc>
      </w:tr>
      <w:tr w:rsidR="000A156F" w:rsidTr="000A156F">
        <w:tc>
          <w:tcPr>
            <w:tcW w:w="0" w:type="auto"/>
            <w:vAlign w:val="center"/>
          </w:tcPr>
          <w:p w:rsidR="000A156F" w:rsidRDefault="00A9721F">
            <w:pPr>
              <w:pStyle w:val="TableBodyText"/>
            </w:pPr>
            <w:r>
              <w:rPr>
                <w:b/>
              </w:rPr>
              <w:t>commentRangeStart</w:t>
            </w:r>
            <w:r>
              <w:t xml:space="preserve"> (Comment Anchor Range Start)</w:t>
            </w:r>
          </w:p>
        </w:tc>
        <w:tc>
          <w:tcPr>
            <w:tcW w:w="0" w:type="auto"/>
            <w:vAlign w:val="center"/>
          </w:tcPr>
          <w:p w:rsidR="000A156F" w:rsidRDefault="00A9721F">
            <w:pPr>
              <w:pStyle w:val="TableBodyText"/>
            </w:pPr>
            <w:r>
              <w:t>"[ISO/IEC-29500-1] §17.13.4.4"</w:t>
            </w:r>
          </w:p>
        </w:tc>
      </w:tr>
      <w:tr w:rsidR="000A156F" w:rsidTr="000A156F">
        <w:tc>
          <w:tcPr>
            <w:tcW w:w="0" w:type="auto"/>
            <w:vAlign w:val="center"/>
          </w:tcPr>
          <w:p w:rsidR="000A156F" w:rsidRDefault="00A9721F">
            <w:pPr>
              <w:pStyle w:val="TableBodyText"/>
            </w:pPr>
            <w:r>
              <w:rPr>
                <w:b/>
              </w:rPr>
              <w:t>customXmlDelRangeEnd</w:t>
            </w:r>
            <w:r>
              <w:t xml:space="preserve"> (Custom XML Markup Deletion End)</w:t>
            </w:r>
          </w:p>
        </w:tc>
        <w:tc>
          <w:tcPr>
            <w:tcW w:w="0" w:type="auto"/>
            <w:vAlign w:val="center"/>
          </w:tcPr>
          <w:p w:rsidR="000A156F" w:rsidRDefault="00A9721F">
            <w:pPr>
              <w:pStyle w:val="TableBodyText"/>
            </w:pPr>
            <w:r>
              <w:t>"[ISO/IEC-29500-1] §17.13.5.4"</w:t>
            </w:r>
          </w:p>
        </w:tc>
      </w:tr>
      <w:tr w:rsidR="000A156F" w:rsidTr="000A156F">
        <w:tc>
          <w:tcPr>
            <w:tcW w:w="0" w:type="auto"/>
            <w:vAlign w:val="center"/>
          </w:tcPr>
          <w:p w:rsidR="000A156F" w:rsidRDefault="00A9721F">
            <w:pPr>
              <w:pStyle w:val="TableBodyText"/>
            </w:pPr>
            <w:r>
              <w:rPr>
                <w:b/>
              </w:rPr>
              <w:t>customXmlDelRangeStart</w:t>
            </w:r>
            <w:r>
              <w:t xml:space="preserve"> (Custom </w:t>
            </w:r>
            <w:r>
              <w:t>XML Markup Deletion Start)</w:t>
            </w:r>
          </w:p>
        </w:tc>
        <w:tc>
          <w:tcPr>
            <w:tcW w:w="0" w:type="auto"/>
            <w:vAlign w:val="center"/>
          </w:tcPr>
          <w:p w:rsidR="000A156F" w:rsidRDefault="00A9721F">
            <w:pPr>
              <w:pStyle w:val="TableBodyText"/>
            </w:pPr>
            <w:r>
              <w:t>"[ISO/IEC-29500-1] §17.13.5.5"</w:t>
            </w:r>
          </w:p>
        </w:tc>
      </w:tr>
      <w:tr w:rsidR="000A156F" w:rsidTr="000A156F">
        <w:tc>
          <w:tcPr>
            <w:tcW w:w="0" w:type="auto"/>
            <w:vAlign w:val="center"/>
          </w:tcPr>
          <w:p w:rsidR="000A156F" w:rsidRDefault="00A9721F">
            <w:pPr>
              <w:pStyle w:val="TableBodyText"/>
            </w:pPr>
            <w:r>
              <w:rPr>
                <w:b/>
              </w:rPr>
              <w:t>customXmlInsRangeEnd</w:t>
            </w:r>
            <w:r>
              <w:t xml:space="preserve"> (Custom XML Markup Insertion End)</w:t>
            </w:r>
          </w:p>
        </w:tc>
        <w:tc>
          <w:tcPr>
            <w:tcW w:w="0" w:type="auto"/>
            <w:vAlign w:val="center"/>
          </w:tcPr>
          <w:p w:rsidR="000A156F" w:rsidRDefault="00A9721F">
            <w:pPr>
              <w:pStyle w:val="TableBodyText"/>
            </w:pPr>
            <w:r>
              <w:t>"[ISO/IEC-29500-1] §17.13.5.6"</w:t>
            </w:r>
          </w:p>
        </w:tc>
      </w:tr>
      <w:tr w:rsidR="000A156F" w:rsidTr="000A156F">
        <w:tc>
          <w:tcPr>
            <w:tcW w:w="0" w:type="auto"/>
            <w:vAlign w:val="center"/>
          </w:tcPr>
          <w:p w:rsidR="000A156F" w:rsidRDefault="00A9721F">
            <w:pPr>
              <w:pStyle w:val="TableBodyText"/>
            </w:pPr>
            <w:r>
              <w:rPr>
                <w:b/>
              </w:rPr>
              <w:t>customXmlInsRangeStart</w:t>
            </w:r>
            <w:r>
              <w:t xml:space="preserve"> (Custom XML Markup Insertion Start)</w:t>
            </w:r>
          </w:p>
        </w:tc>
        <w:tc>
          <w:tcPr>
            <w:tcW w:w="0" w:type="auto"/>
            <w:vAlign w:val="center"/>
          </w:tcPr>
          <w:p w:rsidR="000A156F" w:rsidRDefault="00A9721F">
            <w:pPr>
              <w:pStyle w:val="TableBodyText"/>
            </w:pPr>
            <w:r>
              <w:t>"[ISO/IEC-29500-1] §17.13.5.7"</w:t>
            </w:r>
          </w:p>
        </w:tc>
      </w:tr>
      <w:tr w:rsidR="000A156F" w:rsidTr="000A156F">
        <w:tc>
          <w:tcPr>
            <w:tcW w:w="0" w:type="auto"/>
            <w:vAlign w:val="center"/>
          </w:tcPr>
          <w:p w:rsidR="000A156F" w:rsidRDefault="00A9721F">
            <w:pPr>
              <w:pStyle w:val="TableBodyText"/>
            </w:pPr>
            <w:r>
              <w:rPr>
                <w:b/>
              </w:rPr>
              <w:t>customXmlMoveFromRa</w:t>
            </w:r>
            <w:r>
              <w:rPr>
                <w:b/>
              </w:rPr>
              <w:t>ngeEnd</w:t>
            </w:r>
            <w:r>
              <w:t xml:space="preserve"> (Custom XML Markup Move Source End)</w:t>
            </w:r>
          </w:p>
        </w:tc>
        <w:tc>
          <w:tcPr>
            <w:tcW w:w="0" w:type="auto"/>
            <w:vAlign w:val="center"/>
          </w:tcPr>
          <w:p w:rsidR="000A156F" w:rsidRDefault="00A9721F">
            <w:pPr>
              <w:pStyle w:val="TableBodyText"/>
            </w:pPr>
            <w:r>
              <w:t>"[ISO/IEC-29500-1] §17.13.5.8"</w:t>
            </w:r>
          </w:p>
        </w:tc>
      </w:tr>
      <w:tr w:rsidR="000A156F" w:rsidTr="000A156F">
        <w:tc>
          <w:tcPr>
            <w:tcW w:w="0" w:type="auto"/>
            <w:vAlign w:val="center"/>
          </w:tcPr>
          <w:p w:rsidR="000A156F" w:rsidRDefault="00A9721F">
            <w:pPr>
              <w:pStyle w:val="TableBodyText"/>
            </w:pPr>
            <w:r>
              <w:rPr>
                <w:b/>
              </w:rPr>
              <w:t>customXmlMoveFromRangeStart</w:t>
            </w:r>
            <w:r>
              <w:t xml:space="preserve"> (Custom XML Markup Move Source Start)</w:t>
            </w:r>
          </w:p>
        </w:tc>
        <w:tc>
          <w:tcPr>
            <w:tcW w:w="0" w:type="auto"/>
            <w:vAlign w:val="center"/>
          </w:tcPr>
          <w:p w:rsidR="000A156F" w:rsidRDefault="00A9721F">
            <w:pPr>
              <w:pStyle w:val="TableBodyText"/>
            </w:pPr>
            <w:r>
              <w:t>"[ISO/IEC-29500-1] §17.13.5.9"</w:t>
            </w:r>
          </w:p>
        </w:tc>
      </w:tr>
      <w:tr w:rsidR="000A156F" w:rsidTr="000A156F">
        <w:tc>
          <w:tcPr>
            <w:tcW w:w="0" w:type="auto"/>
            <w:vAlign w:val="center"/>
          </w:tcPr>
          <w:p w:rsidR="000A156F" w:rsidRDefault="00A9721F">
            <w:pPr>
              <w:pStyle w:val="TableBodyText"/>
            </w:pPr>
            <w:r>
              <w:rPr>
                <w:b/>
              </w:rPr>
              <w:lastRenderedPageBreak/>
              <w:t>customXmlMoveToRangeEnd</w:t>
            </w:r>
            <w:r>
              <w:t xml:space="preserve"> (Custom XML Markup Move Destination Location End)</w:t>
            </w:r>
          </w:p>
        </w:tc>
        <w:tc>
          <w:tcPr>
            <w:tcW w:w="0" w:type="auto"/>
            <w:vAlign w:val="center"/>
          </w:tcPr>
          <w:p w:rsidR="000A156F" w:rsidRDefault="00A9721F">
            <w:pPr>
              <w:pStyle w:val="TableBodyText"/>
            </w:pPr>
            <w:r>
              <w:t>"</w:t>
            </w:r>
            <w:r>
              <w:t>[ISO/IEC-29500-1] §17.13.5.10"</w:t>
            </w:r>
          </w:p>
        </w:tc>
      </w:tr>
      <w:tr w:rsidR="000A156F" w:rsidTr="000A156F">
        <w:tc>
          <w:tcPr>
            <w:tcW w:w="0" w:type="auto"/>
            <w:vAlign w:val="center"/>
          </w:tcPr>
          <w:p w:rsidR="000A156F" w:rsidRDefault="00A9721F">
            <w:pPr>
              <w:pStyle w:val="TableBodyText"/>
            </w:pPr>
            <w:r>
              <w:rPr>
                <w:b/>
              </w:rPr>
              <w:t>customXmlMoveToRangeStart</w:t>
            </w:r>
            <w:r>
              <w:t xml:space="preserve"> (Custom XML Markup Move Destination Location Start)</w:t>
            </w:r>
          </w:p>
        </w:tc>
        <w:tc>
          <w:tcPr>
            <w:tcW w:w="0" w:type="auto"/>
            <w:vAlign w:val="center"/>
          </w:tcPr>
          <w:p w:rsidR="000A156F" w:rsidRDefault="00A9721F">
            <w:pPr>
              <w:pStyle w:val="TableBodyText"/>
            </w:pPr>
            <w:r>
              <w:t>"[ISO/IEC-29500-1] §17.13.5.11"</w:t>
            </w:r>
          </w:p>
        </w:tc>
      </w:tr>
      <w:tr w:rsidR="000A156F" w:rsidTr="000A156F">
        <w:tc>
          <w:tcPr>
            <w:tcW w:w="0" w:type="auto"/>
            <w:vAlign w:val="center"/>
          </w:tcPr>
          <w:p w:rsidR="000A156F" w:rsidRDefault="00A9721F">
            <w:pPr>
              <w:pStyle w:val="TableBodyText"/>
            </w:pPr>
            <w:r>
              <w:rPr>
                <w:b/>
              </w:rPr>
              <w:t>moveFromRangeEnd</w:t>
            </w:r>
            <w:r>
              <w:t xml:space="preserve"> (Move Source Location Container - End)</w:t>
            </w:r>
          </w:p>
        </w:tc>
        <w:tc>
          <w:tcPr>
            <w:tcW w:w="0" w:type="auto"/>
            <w:vAlign w:val="center"/>
          </w:tcPr>
          <w:p w:rsidR="000A156F" w:rsidRDefault="00A9721F">
            <w:pPr>
              <w:pStyle w:val="TableBodyText"/>
            </w:pPr>
            <w:r>
              <w:t>"[ISO/IEC-29500-1] §17.13.5.23"</w:t>
            </w:r>
          </w:p>
        </w:tc>
      </w:tr>
      <w:tr w:rsidR="000A156F" w:rsidTr="000A156F">
        <w:tc>
          <w:tcPr>
            <w:tcW w:w="0" w:type="auto"/>
            <w:vAlign w:val="center"/>
          </w:tcPr>
          <w:p w:rsidR="000A156F" w:rsidRDefault="00A9721F">
            <w:pPr>
              <w:pStyle w:val="TableBodyText"/>
            </w:pPr>
            <w:r>
              <w:rPr>
                <w:b/>
              </w:rPr>
              <w:t>moveFromRangeStart</w:t>
            </w:r>
            <w:r>
              <w:t xml:space="preserve"> (Move</w:t>
            </w:r>
            <w:r>
              <w:t xml:space="preserve"> Source Location Container - Start)</w:t>
            </w:r>
          </w:p>
        </w:tc>
        <w:tc>
          <w:tcPr>
            <w:tcW w:w="0" w:type="auto"/>
            <w:vAlign w:val="center"/>
          </w:tcPr>
          <w:p w:rsidR="000A156F" w:rsidRDefault="00A9721F">
            <w:pPr>
              <w:pStyle w:val="TableBodyText"/>
            </w:pPr>
            <w:r>
              <w:t>"[ISO/IEC-29500-1] §17.13.5.24"</w:t>
            </w:r>
          </w:p>
        </w:tc>
      </w:tr>
      <w:tr w:rsidR="000A156F" w:rsidTr="000A156F">
        <w:tc>
          <w:tcPr>
            <w:tcW w:w="0" w:type="auto"/>
            <w:vAlign w:val="center"/>
          </w:tcPr>
          <w:p w:rsidR="000A156F" w:rsidRDefault="00A9721F">
            <w:pPr>
              <w:pStyle w:val="TableBodyText"/>
            </w:pPr>
            <w:r>
              <w:rPr>
                <w:b/>
              </w:rPr>
              <w:t>moveToRangeEnd</w:t>
            </w:r>
            <w:r>
              <w:t xml:space="preserve"> (Move Destination Location Container - End)</w:t>
            </w:r>
          </w:p>
        </w:tc>
        <w:tc>
          <w:tcPr>
            <w:tcW w:w="0" w:type="auto"/>
            <w:vAlign w:val="center"/>
          </w:tcPr>
          <w:p w:rsidR="000A156F" w:rsidRDefault="00A9721F">
            <w:pPr>
              <w:pStyle w:val="TableBodyText"/>
            </w:pPr>
            <w:r>
              <w:t>"[ISO/IEC-29500-1] §17.13.5.27"</w:t>
            </w:r>
          </w:p>
        </w:tc>
      </w:tr>
      <w:tr w:rsidR="000A156F" w:rsidTr="000A156F">
        <w:tc>
          <w:tcPr>
            <w:tcW w:w="0" w:type="auto"/>
            <w:vAlign w:val="center"/>
          </w:tcPr>
          <w:p w:rsidR="000A156F" w:rsidRDefault="00A9721F">
            <w:pPr>
              <w:pStyle w:val="TableBodyText"/>
            </w:pPr>
            <w:r>
              <w:rPr>
                <w:b/>
              </w:rPr>
              <w:t>moveToRangeStart</w:t>
            </w:r>
            <w:r>
              <w:t xml:space="preserve"> (Move Destination Location Container - Start)</w:t>
            </w:r>
          </w:p>
        </w:tc>
        <w:tc>
          <w:tcPr>
            <w:tcW w:w="0" w:type="auto"/>
            <w:vAlign w:val="center"/>
          </w:tcPr>
          <w:p w:rsidR="000A156F" w:rsidRDefault="00A9721F">
            <w:pPr>
              <w:pStyle w:val="TableBodyText"/>
            </w:pPr>
            <w:r>
              <w:t>"[ISO/IEC-29500-1] §17.13.5.28"</w:t>
            </w:r>
          </w:p>
        </w:tc>
      </w:tr>
      <w:tr w:rsidR="000A156F" w:rsidTr="000A156F">
        <w:tc>
          <w:tcPr>
            <w:tcW w:w="0" w:type="auto"/>
            <w:vAlign w:val="center"/>
          </w:tcPr>
          <w:p w:rsidR="000A156F" w:rsidRDefault="00A9721F">
            <w:pPr>
              <w:pStyle w:val="TableBodyText"/>
            </w:pPr>
            <w:r>
              <w:rPr>
                <w:b/>
              </w:rPr>
              <w:t>sdtContent</w:t>
            </w:r>
            <w:r>
              <w:t xml:space="preserve"> (Ruby Inline-Level Structured Document Tag Content)</w:t>
            </w:r>
          </w:p>
        </w:tc>
        <w:tc>
          <w:tcPr>
            <w:tcW w:w="0" w:type="auto"/>
            <w:vAlign w:val="center"/>
          </w:tcPr>
          <w:p w:rsidR="000A156F" w:rsidRDefault="00A9721F">
            <w:pPr>
              <w:pStyle w:val="TableBodyText"/>
            </w:pPr>
            <w:r>
              <w:t>§3.1.3.1.7, sdtContent</w:t>
            </w:r>
          </w:p>
        </w:tc>
      </w:tr>
      <w:tr w:rsidR="000A156F" w:rsidTr="000A156F">
        <w:tc>
          <w:tcPr>
            <w:tcW w:w="0" w:type="auto"/>
            <w:vAlign w:val="center"/>
          </w:tcPr>
          <w:p w:rsidR="000A156F" w:rsidRDefault="00A9721F">
            <w:pPr>
              <w:pStyle w:val="TableBodyText"/>
            </w:pPr>
            <w:r>
              <w:rPr>
                <w:b/>
              </w:rPr>
              <w:t>sdtEndPr</w:t>
            </w:r>
            <w:r>
              <w:t xml:space="preserve"> (Structured Document Tag End Character Properties)</w:t>
            </w:r>
          </w:p>
        </w:tc>
        <w:tc>
          <w:tcPr>
            <w:tcW w:w="0" w:type="auto"/>
            <w:vAlign w:val="center"/>
          </w:tcPr>
          <w:p w:rsidR="000A156F" w:rsidRDefault="00A9721F">
            <w:pPr>
              <w:pStyle w:val="TableBodyText"/>
            </w:pPr>
            <w:r>
              <w:t>"[ISO/IEC-29500-1] §17.5.2.37"</w:t>
            </w:r>
          </w:p>
        </w:tc>
      </w:tr>
      <w:tr w:rsidR="000A156F" w:rsidTr="000A156F">
        <w:tc>
          <w:tcPr>
            <w:tcW w:w="0" w:type="auto"/>
            <w:vAlign w:val="center"/>
          </w:tcPr>
          <w:p w:rsidR="000A156F" w:rsidRDefault="00A9721F">
            <w:pPr>
              <w:pStyle w:val="TableBodyText"/>
            </w:pPr>
            <w:r>
              <w:rPr>
                <w:b/>
              </w:rPr>
              <w:t>sdtPr</w:t>
            </w:r>
            <w:r>
              <w:t xml:space="preserve"> (Structured Document Tag Properties)</w:t>
            </w:r>
          </w:p>
        </w:tc>
        <w:tc>
          <w:tcPr>
            <w:tcW w:w="0" w:type="auto"/>
            <w:vAlign w:val="center"/>
          </w:tcPr>
          <w:p w:rsidR="000A156F" w:rsidRDefault="00A9721F">
            <w:pPr>
              <w:pStyle w:val="TableBodyText"/>
            </w:pPr>
            <w:r>
              <w:t>"[ISO/IEC-29500-1] §17.5.2.38"</w:t>
            </w:r>
          </w:p>
        </w:tc>
      </w:tr>
    </w:tbl>
    <w:p w:rsidR="000A156F" w:rsidRDefault="000A156F"/>
    <w:p w:rsidR="000A156F" w:rsidRDefault="00A9721F">
      <w:r>
        <w:t>The following XML Schema fragment defines the contents of this element:</w:t>
      </w:r>
    </w:p>
    <w:p w:rsidR="000A156F" w:rsidRDefault="00A9721F">
      <w:pPr>
        <w:pStyle w:val="Code"/>
      </w:pPr>
      <w:r>
        <w:t>&lt;complexType name="CT_SdtRunRuby"&gt;</w:t>
      </w:r>
    </w:p>
    <w:p w:rsidR="000A156F" w:rsidRDefault="00A9721F">
      <w:pPr>
        <w:pStyle w:val="Code"/>
      </w:pPr>
      <w:r>
        <w:t xml:space="preserve">  &lt;sequence&gt;</w:t>
      </w:r>
    </w:p>
    <w:p w:rsidR="000A156F" w:rsidRDefault="00A9721F">
      <w:pPr>
        <w:pStyle w:val="Code"/>
      </w:pPr>
      <w:r>
        <w:t xml:space="preserve">    &lt;element name="sdtPr" type="CT_SdtPr" minOccurs="0" maxOccurs="1"/&gt;</w:t>
      </w:r>
    </w:p>
    <w:p w:rsidR="000A156F" w:rsidRDefault="00A9721F">
      <w:pPr>
        <w:pStyle w:val="Code"/>
      </w:pPr>
      <w:r>
        <w:t xml:space="preserve">    &lt;element name="sdtEndPr" type="CT_SdtEndPr" minOccurs="0" ma</w:t>
      </w:r>
      <w:r>
        <w:t>xOccurs="1"/&gt;</w:t>
      </w:r>
    </w:p>
    <w:p w:rsidR="000A156F" w:rsidRDefault="00A9721F">
      <w:pPr>
        <w:pStyle w:val="Code"/>
      </w:pPr>
      <w:r>
        <w:t xml:space="preserve">    &lt;element name="sdtContent" type="CT_SdtContentRunRuby" minOccurs="0" maxOccurs="1"/&gt;</w:t>
      </w:r>
    </w:p>
    <w:p w:rsidR="000A156F" w:rsidRDefault="00A9721F">
      <w:pPr>
        <w:pStyle w:val="Code"/>
      </w:pPr>
      <w:r>
        <w:t xml:space="preserve">    &lt;group ref="EG_RangeMarkupElements" minOccurs="0" maxOccurs="unbounded"/&gt;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5"/>
      </w:pPr>
      <w:bookmarkStart w:id="3903" w:name="section_a3757e691f9b4322b17edee4d308d29e"/>
      <w:bookmarkStart w:id="3904" w:name="_Toc181684977"/>
      <w:r>
        <w:t>sdtContent (Ruby Inline-Level Structured Docum</w:t>
      </w:r>
      <w:r>
        <w:t>ent Tag Content)</w:t>
      </w:r>
      <w:bookmarkEnd w:id="3903"/>
      <w:bookmarkEnd w:id="3904"/>
      <w:r>
        <w:fldChar w:fldCharType="begin"/>
      </w:r>
      <w:r>
        <w:instrText xml:space="preserve"> XE "sdtContent (Ruby Inline-Level Structured Document Tag Content)" </w:instrText>
      </w:r>
      <w:r>
        <w:fldChar w:fldCharType="end"/>
      </w:r>
    </w:p>
    <w:p w:rsidR="000A156F" w:rsidRDefault="00A9721F">
      <w:r>
        <w:t>This element specifies the last known contents of a structured document tag around one or more inline-level structures (runs, DrawingML objects, fields, and so on). Thi</w:t>
      </w:r>
      <w:r>
        <w:t>s element's contents shall be treated as a cache of the contents to be displayed in the structured document tag for the following reasons:</w:t>
      </w:r>
    </w:p>
    <w:p w:rsidR="000A156F" w:rsidRDefault="00A9721F">
      <w:pPr>
        <w:pStyle w:val="ListParagraph"/>
        <w:numPr>
          <w:ilvl w:val="0"/>
          <w:numId w:val="198"/>
        </w:numPr>
        <w:contextualSpacing/>
      </w:pPr>
      <w:r>
        <w:t xml:space="preserve">If the structured document tag specifies an XML mapping via the </w:t>
      </w:r>
      <w:r>
        <w:rPr>
          <w:b/>
        </w:rPr>
        <w:t>dataBinding</w:t>
      </w:r>
      <w:r>
        <w:t xml:space="preserve"> element (§"</w:t>
      </w:r>
      <w:hyperlink r:id="rId300">
        <w:r>
          <w:rPr>
            <w:rStyle w:val="Hyperlink"/>
          </w:rPr>
          <w:t>[ISO/IEC-29500-1]</w:t>
        </w:r>
      </w:hyperlink>
      <w:r>
        <w:t xml:space="preserve"> §17.5.2.6; dataBinding"), changes to the custom XML data part shall be reflected in the structured document tag as needed</w:t>
      </w:r>
    </w:p>
    <w:p w:rsidR="000A156F" w:rsidRDefault="00A9721F">
      <w:pPr>
        <w:pStyle w:val="ListParagraph"/>
        <w:numPr>
          <w:ilvl w:val="0"/>
          <w:numId w:val="198"/>
        </w:numPr>
      </w:pPr>
      <w:r>
        <w:t xml:space="preserve">If the contents of the structured document tag are placeholder text via the </w:t>
      </w:r>
      <w:r>
        <w:rPr>
          <w:b/>
        </w:rPr>
        <w:t>show</w:t>
      </w:r>
      <w:r>
        <w:rPr>
          <w:b/>
        </w:rPr>
        <w:t>ingPlcHdr</w:t>
      </w:r>
      <w:r>
        <w:t xml:space="preserve"> element (§"[ISO/IEC-29500-1] §17.5.2.39; showingPlcHdr"), then this content may be updated with the placeholder text stored in the Glossary Document part</w:t>
      </w:r>
    </w:p>
    <w:p w:rsidR="000A156F" w:rsidRDefault="00A9721F">
      <w:r>
        <w:t xml:space="preserve">[Example: Consider a structured document tag with the friendly name </w:t>
      </w:r>
      <w:r>
        <w:rPr>
          <w:i/>
        </w:rPr>
        <w:t>firstName</w:t>
      </w:r>
      <w:r>
        <w:t xml:space="preserve"> that shall be </w:t>
      </w:r>
      <w:r>
        <w:t>located around two runs in a WordprocessingML document. This requirement would be specified as follows in the WordprocessingML:</w:t>
      </w:r>
    </w:p>
    <w:p w:rsidR="000A156F" w:rsidRDefault="00A9721F">
      <w:pPr>
        <w:pStyle w:val="Code"/>
      </w:pPr>
      <w:r>
        <w:t>&lt;w:p&gt;</w:t>
      </w:r>
    </w:p>
    <w:p w:rsidR="000A156F" w:rsidRDefault="00A9721F">
      <w:pPr>
        <w:pStyle w:val="Code"/>
      </w:pPr>
      <w:r>
        <w:t xml:space="preserve">  &lt;w:sdt&gt;</w:t>
      </w:r>
    </w:p>
    <w:p w:rsidR="000A156F" w:rsidRDefault="00A9721F">
      <w:pPr>
        <w:pStyle w:val="Code"/>
      </w:pPr>
      <w:r>
        <w:lastRenderedPageBreak/>
        <w:t xml:space="preserve">    &lt;w:sdtPr&gt;</w:t>
      </w:r>
    </w:p>
    <w:p w:rsidR="000A156F" w:rsidRDefault="00A9721F">
      <w:pPr>
        <w:pStyle w:val="Code"/>
      </w:pPr>
      <w:r>
        <w:t xml:space="preserve">      &lt;w:alias w:val="firstName"/&gt;</w:t>
      </w:r>
    </w:p>
    <w:p w:rsidR="000A156F" w:rsidRDefault="00A9721F">
      <w:pPr>
        <w:pStyle w:val="Code"/>
      </w:pPr>
      <w:r>
        <w:t xml:space="preserve">    &lt;/w:sdtPr&gt;</w:t>
      </w:r>
    </w:p>
    <w:p w:rsidR="000A156F" w:rsidRDefault="00A9721F">
      <w:pPr>
        <w:pStyle w:val="Code"/>
      </w:pPr>
      <w:r>
        <w:t xml:space="preserve">    &lt;w:sdtContent&gt;</w:t>
      </w:r>
    </w:p>
    <w:p w:rsidR="000A156F" w:rsidRDefault="00A9721F">
      <w:pPr>
        <w:pStyle w:val="Code"/>
      </w:pPr>
      <w:r>
        <w:t xml:space="preserve">      &lt;w:r&gt;</w:t>
      </w:r>
    </w:p>
    <w:p w:rsidR="000A156F" w:rsidRDefault="00A9721F">
      <w:pPr>
        <w:pStyle w:val="Code"/>
      </w:pPr>
      <w:r>
        <w:t xml:space="preserve">        …</w:t>
      </w:r>
    </w:p>
    <w:p w:rsidR="000A156F" w:rsidRDefault="00A9721F">
      <w:pPr>
        <w:pStyle w:val="Code"/>
      </w:pPr>
      <w:r>
        <w:t xml:space="preserve">      &lt;</w:t>
      </w:r>
      <w:r>
        <w:t>/w:r&gt;</w:t>
      </w:r>
    </w:p>
    <w:p w:rsidR="000A156F" w:rsidRDefault="00A9721F">
      <w:pPr>
        <w:pStyle w:val="Code"/>
      </w:pPr>
      <w:r>
        <w:t xml:space="preserve">      &lt;w:r&gt;</w:t>
      </w:r>
    </w:p>
    <w:p w:rsidR="000A156F" w:rsidRDefault="00A9721F">
      <w:pPr>
        <w:pStyle w:val="Code"/>
      </w:pPr>
      <w:r>
        <w:t xml:space="preserve">        …</w:t>
      </w:r>
    </w:p>
    <w:p w:rsidR="000A156F" w:rsidRDefault="00A9721F">
      <w:pPr>
        <w:pStyle w:val="Code"/>
      </w:pPr>
      <w:r>
        <w:t xml:space="preserve">      &lt;/w:r&gt;</w:t>
      </w:r>
    </w:p>
    <w:p w:rsidR="000A156F" w:rsidRDefault="00A9721F">
      <w:pPr>
        <w:pStyle w:val="Code"/>
      </w:pPr>
      <w:r>
        <w:t xml:space="preserve">    &lt;/w:sdtContent&gt;</w:t>
      </w:r>
    </w:p>
    <w:p w:rsidR="000A156F" w:rsidRDefault="00A9721F">
      <w:pPr>
        <w:pStyle w:val="Code"/>
      </w:pPr>
      <w:r>
        <w:t xml:space="preserve">  &lt;/w:sdt&gt;</w:t>
      </w:r>
    </w:p>
    <w:p w:rsidR="000A156F" w:rsidRDefault="00A9721F">
      <w:pPr>
        <w:pStyle w:val="Code"/>
      </w:pPr>
      <w:r>
        <w:t xml:space="preserve">  …</w:t>
      </w:r>
    </w:p>
    <w:p w:rsidR="000A156F" w:rsidRDefault="00A9721F">
      <w:pPr>
        <w:pStyle w:val="Code"/>
      </w:pPr>
      <w:r>
        <w:t>&lt;/w:p&gt;</w:t>
      </w:r>
    </w:p>
    <w:p w:rsidR="000A156F" w:rsidRDefault="00A9721F">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sdt</w:t>
            </w:r>
            <w:r>
              <w:t xml:space="preserve"> (§</w:t>
            </w:r>
            <w:hyperlink w:anchor="Section_808b32d8ad644c849fb585ad68be54b9">
              <w:r>
                <w:rPr>
                  <w:rStyle w:val="Hyperlink"/>
                </w:rPr>
                <w:t>3.1.3.1.6, sdt</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6758"/>
        <w:gridCol w:w="271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acc</w:t>
            </w:r>
            <w:r>
              <w:t xml:space="preserve"> (Accent)</w:t>
            </w:r>
          </w:p>
        </w:tc>
        <w:tc>
          <w:tcPr>
            <w:tcW w:w="0" w:type="auto"/>
            <w:vAlign w:val="center"/>
          </w:tcPr>
          <w:p w:rsidR="000A156F" w:rsidRDefault="00A9721F">
            <w:pPr>
              <w:pStyle w:val="TableBodyText"/>
            </w:pPr>
            <w:r>
              <w:t>"[ISO/IEC-29500-1] §22.1.2.1"</w:t>
            </w:r>
          </w:p>
        </w:tc>
      </w:tr>
      <w:tr w:rsidR="000A156F" w:rsidTr="000A156F">
        <w:tc>
          <w:tcPr>
            <w:tcW w:w="0" w:type="auto"/>
            <w:vAlign w:val="center"/>
          </w:tcPr>
          <w:p w:rsidR="000A156F" w:rsidRDefault="00A9721F">
            <w:pPr>
              <w:pStyle w:val="TableBodyText"/>
            </w:pPr>
            <w:r>
              <w:rPr>
                <w:b/>
              </w:rPr>
              <w:t>bar</w:t>
            </w:r>
            <w:r>
              <w:t xml:space="preserve"> (Bar)</w:t>
            </w:r>
          </w:p>
        </w:tc>
        <w:tc>
          <w:tcPr>
            <w:tcW w:w="0" w:type="auto"/>
            <w:vAlign w:val="center"/>
          </w:tcPr>
          <w:p w:rsidR="000A156F" w:rsidRDefault="00A9721F">
            <w:pPr>
              <w:pStyle w:val="TableBodyText"/>
            </w:pPr>
            <w:r>
              <w:t>"[ISO/IEC-29500-1] §22.1.2.7"</w:t>
            </w:r>
          </w:p>
        </w:tc>
      </w:tr>
      <w:tr w:rsidR="000A156F" w:rsidTr="000A156F">
        <w:tc>
          <w:tcPr>
            <w:tcW w:w="0" w:type="auto"/>
            <w:vAlign w:val="center"/>
          </w:tcPr>
          <w:p w:rsidR="000A156F" w:rsidRDefault="00A9721F">
            <w:pPr>
              <w:pStyle w:val="TableBodyText"/>
            </w:pPr>
            <w:r>
              <w:rPr>
                <w:b/>
              </w:rPr>
              <w:t>bookmarkEnd</w:t>
            </w:r>
            <w:r>
              <w:t xml:space="preserve"> (Bookmark End)</w:t>
            </w:r>
          </w:p>
        </w:tc>
        <w:tc>
          <w:tcPr>
            <w:tcW w:w="0" w:type="auto"/>
            <w:vAlign w:val="center"/>
          </w:tcPr>
          <w:p w:rsidR="000A156F" w:rsidRDefault="00A9721F">
            <w:pPr>
              <w:pStyle w:val="TableBodyText"/>
            </w:pPr>
            <w:r>
              <w:t>"[ISO/IEC-29500-1] §17.13.6.1"</w:t>
            </w:r>
          </w:p>
        </w:tc>
      </w:tr>
      <w:tr w:rsidR="000A156F" w:rsidTr="000A156F">
        <w:tc>
          <w:tcPr>
            <w:tcW w:w="0" w:type="auto"/>
            <w:vAlign w:val="center"/>
          </w:tcPr>
          <w:p w:rsidR="000A156F" w:rsidRDefault="00A9721F">
            <w:pPr>
              <w:pStyle w:val="TableBodyText"/>
            </w:pPr>
            <w:r>
              <w:rPr>
                <w:b/>
              </w:rPr>
              <w:t>bookmarkStart</w:t>
            </w:r>
            <w:r>
              <w:t xml:space="preserve"> (Bookmark Start)</w:t>
            </w:r>
          </w:p>
        </w:tc>
        <w:tc>
          <w:tcPr>
            <w:tcW w:w="0" w:type="auto"/>
            <w:vAlign w:val="center"/>
          </w:tcPr>
          <w:p w:rsidR="000A156F" w:rsidRDefault="00A9721F">
            <w:pPr>
              <w:pStyle w:val="TableBodyText"/>
            </w:pPr>
            <w:r>
              <w:t>"[ISO/IEC-29500-1] §17.13.6.2"</w:t>
            </w:r>
          </w:p>
        </w:tc>
      </w:tr>
      <w:tr w:rsidR="000A156F" w:rsidTr="000A156F">
        <w:tc>
          <w:tcPr>
            <w:tcW w:w="0" w:type="auto"/>
            <w:vAlign w:val="center"/>
          </w:tcPr>
          <w:p w:rsidR="000A156F" w:rsidRDefault="00A9721F">
            <w:pPr>
              <w:pStyle w:val="TableBodyText"/>
            </w:pPr>
            <w:r>
              <w:rPr>
                <w:b/>
              </w:rPr>
              <w:t>borderBox</w:t>
            </w:r>
            <w:r>
              <w:t xml:space="preserve"> (Border-Box Object)</w:t>
            </w:r>
          </w:p>
        </w:tc>
        <w:tc>
          <w:tcPr>
            <w:tcW w:w="0" w:type="auto"/>
            <w:vAlign w:val="center"/>
          </w:tcPr>
          <w:p w:rsidR="000A156F" w:rsidRDefault="00A9721F">
            <w:pPr>
              <w:pStyle w:val="TableBodyText"/>
            </w:pPr>
            <w:r>
              <w:t>"[ISO/IEC-29500-1] §22.1.2.11"</w:t>
            </w:r>
          </w:p>
        </w:tc>
      </w:tr>
      <w:tr w:rsidR="000A156F" w:rsidTr="000A156F">
        <w:tc>
          <w:tcPr>
            <w:tcW w:w="0" w:type="auto"/>
            <w:vAlign w:val="center"/>
          </w:tcPr>
          <w:p w:rsidR="000A156F" w:rsidRDefault="00A9721F">
            <w:pPr>
              <w:pStyle w:val="TableBodyText"/>
            </w:pPr>
            <w:r>
              <w:rPr>
                <w:b/>
              </w:rPr>
              <w:t>box</w:t>
            </w:r>
            <w:r>
              <w:t xml:space="preserve"> (Box Object)</w:t>
            </w:r>
          </w:p>
        </w:tc>
        <w:tc>
          <w:tcPr>
            <w:tcW w:w="0" w:type="auto"/>
            <w:vAlign w:val="center"/>
          </w:tcPr>
          <w:p w:rsidR="000A156F" w:rsidRDefault="00A9721F">
            <w:pPr>
              <w:pStyle w:val="TableBodyText"/>
            </w:pPr>
            <w:r>
              <w:t>"[ISO/IEC-29500-1] §22.1.2.13"</w:t>
            </w:r>
          </w:p>
        </w:tc>
      </w:tr>
      <w:tr w:rsidR="000A156F" w:rsidTr="000A156F">
        <w:tc>
          <w:tcPr>
            <w:tcW w:w="0" w:type="auto"/>
            <w:vAlign w:val="center"/>
          </w:tcPr>
          <w:p w:rsidR="000A156F" w:rsidRDefault="00A9721F">
            <w:pPr>
              <w:pStyle w:val="TableBodyText"/>
            </w:pPr>
            <w:r>
              <w:rPr>
                <w:b/>
              </w:rPr>
              <w:t>commentRangeEnd</w:t>
            </w:r>
            <w:r>
              <w:t xml:space="preserve"> (Comment Anchor Range End)</w:t>
            </w:r>
          </w:p>
        </w:tc>
        <w:tc>
          <w:tcPr>
            <w:tcW w:w="0" w:type="auto"/>
            <w:vAlign w:val="center"/>
          </w:tcPr>
          <w:p w:rsidR="000A156F" w:rsidRDefault="00A9721F">
            <w:pPr>
              <w:pStyle w:val="TableBodyText"/>
            </w:pPr>
            <w:r>
              <w:t>"[ISO/IEC-29500-1] §17.13.4.3"</w:t>
            </w:r>
          </w:p>
        </w:tc>
      </w:tr>
      <w:tr w:rsidR="000A156F" w:rsidTr="000A156F">
        <w:tc>
          <w:tcPr>
            <w:tcW w:w="0" w:type="auto"/>
            <w:vAlign w:val="center"/>
          </w:tcPr>
          <w:p w:rsidR="000A156F" w:rsidRDefault="00A9721F">
            <w:pPr>
              <w:pStyle w:val="TableBodyText"/>
            </w:pPr>
            <w:r>
              <w:rPr>
                <w:b/>
              </w:rPr>
              <w:t>comment</w:t>
            </w:r>
            <w:r>
              <w:rPr>
                <w:b/>
              </w:rPr>
              <w:t>RangeStart</w:t>
            </w:r>
            <w:r>
              <w:t xml:space="preserve"> (Comment Anchor Range Start)</w:t>
            </w:r>
          </w:p>
        </w:tc>
        <w:tc>
          <w:tcPr>
            <w:tcW w:w="0" w:type="auto"/>
            <w:vAlign w:val="center"/>
          </w:tcPr>
          <w:p w:rsidR="000A156F" w:rsidRDefault="00A9721F">
            <w:pPr>
              <w:pStyle w:val="TableBodyText"/>
            </w:pPr>
            <w:r>
              <w:t>"[ISO/IEC-29500-1] §17.13.4.4"</w:t>
            </w:r>
          </w:p>
        </w:tc>
      </w:tr>
      <w:tr w:rsidR="000A156F" w:rsidTr="000A156F">
        <w:tc>
          <w:tcPr>
            <w:tcW w:w="0" w:type="auto"/>
            <w:vAlign w:val="center"/>
          </w:tcPr>
          <w:p w:rsidR="000A156F" w:rsidRDefault="00A9721F">
            <w:pPr>
              <w:pStyle w:val="TableBodyText"/>
            </w:pPr>
            <w:r>
              <w:rPr>
                <w:b/>
              </w:rPr>
              <w:t>customXml</w:t>
            </w:r>
            <w:r>
              <w:t xml:space="preserve"> (Ruby Inline-Level Custom XML Element)</w:t>
            </w:r>
          </w:p>
        </w:tc>
        <w:tc>
          <w:tcPr>
            <w:tcW w:w="0" w:type="auto"/>
            <w:vAlign w:val="center"/>
          </w:tcPr>
          <w:p w:rsidR="000A156F" w:rsidRDefault="00A9721F">
            <w:pPr>
              <w:pStyle w:val="TableBodyText"/>
            </w:pPr>
            <w:r>
              <w:t>§</w:t>
            </w:r>
            <w:hyperlink w:anchor="Section_d188da3eb34b4445b3a0118155f75ff3">
              <w:r>
                <w:rPr>
                  <w:rStyle w:val="Hyperlink"/>
                </w:rPr>
                <w:t>3.1.3.1.1, customXml</w:t>
              </w:r>
            </w:hyperlink>
          </w:p>
        </w:tc>
      </w:tr>
      <w:tr w:rsidR="000A156F" w:rsidTr="000A156F">
        <w:tc>
          <w:tcPr>
            <w:tcW w:w="0" w:type="auto"/>
            <w:vAlign w:val="center"/>
          </w:tcPr>
          <w:p w:rsidR="000A156F" w:rsidRDefault="00A9721F">
            <w:pPr>
              <w:pStyle w:val="TableBodyText"/>
            </w:pPr>
            <w:r>
              <w:rPr>
                <w:b/>
              </w:rPr>
              <w:t>customXmlDelRangeEnd</w:t>
            </w:r>
            <w:r>
              <w:t xml:space="preserve"> (Custom XML Markup Deletion </w:t>
            </w:r>
            <w:r>
              <w:t>End)</w:t>
            </w:r>
          </w:p>
        </w:tc>
        <w:tc>
          <w:tcPr>
            <w:tcW w:w="0" w:type="auto"/>
            <w:vAlign w:val="center"/>
          </w:tcPr>
          <w:p w:rsidR="000A156F" w:rsidRDefault="00A9721F">
            <w:pPr>
              <w:pStyle w:val="TableBodyText"/>
            </w:pPr>
            <w:r>
              <w:t>"[ISO/IEC-29500-1] §17.13.5.4"</w:t>
            </w:r>
          </w:p>
        </w:tc>
      </w:tr>
      <w:tr w:rsidR="000A156F" w:rsidTr="000A156F">
        <w:tc>
          <w:tcPr>
            <w:tcW w:w="0" w:type="auto"/>
            <w:vAlign w:val="center"/>
          </w:tcPr>
          <w:p w:rsidR="000A156F" w:rsidRDefault="00A9721F">
            <w:pPr>
              <w:pStyle w:val="TableBodyText"/>
            </w:pPr>
            <w:r>
              <w:rPr>
                <w:b/>
              </w:rPr>
              <w:t>customXmlDelRangeStart</w:t>
            </w:r>
            <w:r>
              <w:t xml:space="preserve"> (Custom XML Markup Deletion Start)</w:t>
            </w:r>
          </w:p>
        </w:tc>
        <w:tc>
          <w:tcPr>
            <w:tcW w:w="0" w:type="auto"/>
            <w:vAlign w:val="center"/>
          </w:tcPr>
          <w:p w:rsidR="000A156F" w:rsidRDefault="00A9721F">
            <w:pPr>
              <w:pStyle w:val="TableBodyText"/>
            </w:pPr>
            <w:r>
              <w:t>"[ISO/IEC-29500-1] §17.13.5.5"</w:t>
            </w:r>
          </w:p>
        </w:tc>
      </w:tr>
      <w:tr w:rsidR="000A156F" w:rsidTr="000A156F">
        <w:tc>
          <w:tcPr>
            <w:tcW w:w="0" w:type="auto"/>
            <w:vAlign w:val="center"/>
          </w:tcPr>
          <w:p w:rsidR="000A156F" w:rsidRDefault="00A9721F">
            <w:pPr>
              <w:pStyle w:val="TableBodyText"/>
            </w:pPr>
            <w:r>
              <w:rPr>
                <w:b/>
              </w:rPr>
              <w:t>customXmlInsRangeEnd</w:t>
            </w:r>
            <w:r>
              <w:t xml:space="preserve"> (Custom XML Markup Insertion End)</w:t>
            </w:r>
          </w:p>
        </w:tc>
        <w:tc>
          <w:tcPr>
            <w:tcW w:w="0" w:type="auto"/>
            <w:vAlign w:val="center"/>
          </w:tcPr>
          <w:p w:rsidR="000A156F" w:rsidRDefault="00A9721F">
            <w:pPr>
              <w:pStyle w:val="TableBodyText"/>
            </w:pPr>
            <w:r>
              <w:t>"[ISO/IEC-29500-1] §17.13.5.6"</w:t>
            </w:r>
          </w:p>
        </w:tc>
      </w:tr>
      <w:tr w:rsidR="000A156F" w:rsidTr="000A156F">
        <w:tc>
          <w:tcPr>
            <w:tcW w:w="0" w:type="auto"/>
            <w:vAlign w:val="center"/>
          </w:tcPr>
          <w:p w:rsidR="000A156F" w:rsidRDefault="00A9721F">
            <w:pPr>
              <w:pStyle w:val="TableBodyText"/>
            </w:pPr>
            <w:r>
              <w:rPr>
                <w:b/>
              </w:rPr>
              <w:lastRenderedPageBreak/>
              <w:t>customXmlInsRangeStart</w:t>
            </w:r>
            <w:r>
              <w:t xml:space="preserve"> (Custom XML Markup Insertion Start)</w:t>
            </w:r>
          </w:p>
        </w:tc>
        <w:tc>
          <w:tcPr>
            <w:tcW w:w="0" w:type="auto"/>
            <w:vAlign w:val="center"/>
          </w:tcPr>
          <w:p w:rsidR="000A156F" w:rsidRDefault="00A9721F">
            <w:pPr>
              <w:pStyle w:val="TableBodyText"/>
            </w:pPr>
            <w:r>
              <w:t>"[ISO/IEC-29500-1] §17.13.5.7"</w:t>
            </w:r>
          </w:p>
        </w:tc>
      </w:tr>
      <w:tr w:rsidR="000A156F" w:rsidTr="000A156F">
        <w:tc>
          <w:tcPr>
            <w:tcW w:w="0" w:type="auto"/>
            <w:vAlign w:val="center"/>
          </w:tcPr>
          <w:p w:rsidR="000A156F" w:rsidRDefault="00A9721F">
            <w:pPr>
              <w:pStyle w:val="TableBodyText"/>
            </w:pPr>
            <w:r>
              <w:rPr>
                <w:b/>
              </w:rPr>
              <w:t>customXmlMoveFromRangeEnd</w:t>
            </w:r>
            <w:r>
              <w:t xml:space="preserve"> (Custom XML Markup Move Source End)</w:t>
            </w:r>
          </w:p>
        </w:tc>
        <w:tc>
          <w:tcPr>
            <w:tcW w:w="0" w:type="auto"/>
            <w:vAlign w:val="center"/>
          </w:tcPr>
          <w:p w:rsidR="000A156F" w:rsidRDefault="00A9721F">
            <w:pPr>
              <w:pStyle w:val="TableBodyText"/>
            </w:pPr>
            <w:r>
              <w:t>"[ISO/IEC-29500-1] §17.13.5.8"</w:t>
            </w:r>
          </w:p>
        </w:tc>
      </w:tr>
      <w:tr w:rsidR="000A156F" w:rsidTr="000A156F">
        <w:tc>
          <w:tcPr>
            <w:tcW w:w="0" w:type="auto"/>
            <w:vAlign w:val="center"/>
          </w:tcPr>
          <w:p w:rsidR="000A156F" w:rsidRDefault="00A9721F">
            <w:pPr>
              <w:pStyle w:val="TableBodyText"/>
            </w:pPr>
            <w:r>
              <w:rPr>
                <w:b/>
              </w:rPr>
              <w:t>customXmlMoveFromRangeStart</w:t>
            </w:r>
            <w:r>
              <w:t xml:space="preserve"> (Custom XML Markup Move Source Start)</w:t>
            </w:r>
          </w:p>
        </w:tc>
        <w:tc>
          <w:tcPr>
            <w:tcW w:w="0" w:type="auto"/>
            <w:vAlign w:val="center"/>
          </w:tcPr>
          <w:p w:rsidR="000A156F" w:rsidRDefault="00A9721F">
            <w:pPr>
              <w:pStyle w:val="TableBodyText"/>
            </w:pPr>
            <w:r>
              <w:t>"[ISO/IEC-29500-1] §17.13.5</w:t>
            </w:r>
            <w:r>
              <w:t>.9"</w:t>
            </w:r>
          </w:p>
        </w:tc>
      </w:tr>
      <w:tr w:rsidR="000A156F" w:rsidTr="000A156F">
        <w:tc>
          <w:tcPr>
            <w:tcW w:w="0" w:type="auto"/>
            <w:vAlign w:val="center"/>
          </w:tcPr>
          <w:p w:rsidR="000A156F" w:rsidRDefault="00A9721F">
            <w:pPr>
              <w:pStyle w:val="TableBodyText"/>
            </w:pPr>
            <w:r>
              <w:rPr>
                <w:b/>
              </w:rPr>
              <w:t>customXmlMoveToRangeEnd</w:t>
            </w:r>
            <w:r>
              <w:t xml:space="preserve"> (Custom XML Markup Move Destination Location End)</w:t>
            </w:r>
          </w:p>
        </w:tc>
        <w:tc>
          <w:tcPr>
            <w:tcW w:w="0" w:type="auto"/>
            <w:vAlign w:val="center"/>
          </w:tcPr>
          <w:p w:rsidR="000A156F" w:rsidRDefault="00A9721F">
            <w:pPr>
              <w:pStyle w:val="TableBodyText"/>
            </w:pPr>
            <w:r>
              <w:t>"[ISO/IEC-29500-1] §17.13.5.10"</w:t>
            </w:r>
          </w:p>
        </w:tc>
      </w:tr>
      <w:tr w:rsidR="000A156F" w:rsidTr="000A156F">
        <w:tc>
          <w:tcPr>
            <w:tcW w:w="0" w:type="auto"/>
            <w:vAlign w:val="center"/>
          </w:tcPr>
          <w:p w:rsidR="000A156F" w:rsidRDefault="00A9721F">
            <w:pPr>
              <w:pStyle w:val="TableBodyText"/>
            </w:pPr>
            <w:r>
              <w:rPr>
                <w:b/>
              </w:rPr>
              <w:t>customXmlMoveToRangeStart</w:t>
            </w:r>
            <w:r>
              <w:t xml:space="preserve"> (Custom XML Markup Move Destination Location Start)</w:t>
            </w:r>
          </w:p>
        </w:tc>
        <w:tc>
          <w:tcPr>
            <w:tcW w:w="0" w:type="auto"/>
            <w:vAlign w:val="center"/>
          </w:tcPr>
          <w:p w:rsidR="000A156F" w:rsidRDefault="00A9721F">
            <w:pPr>
              <w:pStyle w:val="TableBodyText"/>
            </w:pPr>
            <w:r>
              <w:t>"[ISO/IEC-29500-1] §17.13.5.11"</w:t>
            </w:r>
          </w:p>
        </w:tc>
      </w:tr>
      <w:tr w:rsidR="000A156F" w:rsidTr="000A156F">
        <w:tc>
          <w:tcPr>
            <w:tcW w:w="0" w:type="auto"/>
            <w:vAlign w:val="center"/>
          </w:tcPr>
          <w:p w:rsidR="000A156F" w:rsidRDefault="00A9721F">
            <w:pPr>
              <w:pStyle w:val="TableBodyText"/>
            </w:pPr>
            <w:r>
              <w:rPr>
                <w:b/>
              </w:rPr>
              <w:t>d</w:t>
            </w:r>
            <w:r>
              <w:t xml:space="preserve"> (Delimiter Object)</w:t>
            </w:r>
          </w:p>
        </w:tc>
        <w:tc>
          <w:tcPr>
            <w:tcW w:w="0" w:type="auto"/>
            <w:vAlign w:val="center"/>
          </w:tcPr>
          <w:p w:rsidR="000A156F" w:rsidRDefault="00A9721F">
            <w:pPr>
              <w:pStyle w:val="TableBodyText"/>
            </w:pPr>
            <w:r>
              <w:t>"</w:t>
            </w:r>
            <w:r>
              <w:t>[ISO/IEC-29500-1] §22.1.2.24"</w:t>
            </w:r>
          </w:p>
        </w:tc>
      </w:tr>
      <w:tr w:rsidR="000A156F" w:rsidTr="000A156F">
        <w:tc>
          <w:tcPr>
            <w:tcW w:w="0" w:type="auto"/>
            <w:vAlign w:val="center"/>
          </w:tcPr>
          <w:p w:rsidR="000A156F" w:rsidRDefault="00A9721F">
            <w:pPr>
              <w:pStyle w:val="TableBodyText"/>
            </w:pPr>
            <w:r>
              <w:rPr>
                <w:b/>
              </w:rPr>
              <w:t>del</w:t>
            </w:r>
            <w:r>
              <w:t xml:space="preserve"> (Deleted Run Content)</w:t>
            </w:r>
          </w:p>
        </w:tc>
        <w:tc>
          <w:tcPr>
            <w:tcW w:w="0" w:type="auto"/>
            <w:vAlign w:val="center"/>
          </w:tcPr>
          <w:p w:rsidR="000A156F" w:rsidRDefault="00A9721F">
            <w:pPr>
              <w:pStyle w:val="TableBodyText"/>
            </w:pPr>
            <w:r>
              <w:t>"[ISO/IEC-29500-1] §17.13.5.14"</w:t>
            </w:r>
          </w:p>
        </w:tc>
      </w:tr>
      <w:tr w:rsidR="000A156F" w:rsidTr="000A156F">
        <w:tc>
          <w:tcPr>
            <w:tcW w:w="0" w:type="auto"/>
            <w:vAlign w:val="center"/>
          </w:tcPr>
          <w:p w:rsidR="000A156F" w:rsidRDefault="00A9721F">
            <w:pPr>
              <w:pStyle w:val="TableBodyText"/>
            </w:pPr>
            <w:r>
              <w:rPr>
                <w:b/>
              </w:rPr>
              <w:t>eqArr</w:t>
            </w:r>
            <w:r>
              <w:t xml:space="preserve"> (Array Object)</w:t>
            </w:r>
          </w:p>
        </w:tc>
        <w:tc>
          <w:tcPr>
            <w:tcW w:w="0" w:type="auto"/>
            <w:vAlign w:val="center"/>
          </w:tcPr>
          <w:p w:rsidR="000A156F" w:rsidRDefault="00A9721F">
            <w:pPr>
              <w:pStyle w:val="TableBodyText"/>
            </w:pPr>
            <w:r>
              <w:t>"[ISO/IEC-29500-1] §22.1.2.34"</w:t>
            </w:r>
          </w:p>
        </w:tc>
      </w:tr>
      <w:tr w:rsidR="000A156F" w:rsidTr="000A156F">
        <w:tc>
          <w:tcPr>
            <w:tcW w:w="0" w:type="auto"/>
            <w:vAlign w:val="center"/>
          </w:tcPr>
          <w:p w:rsidR="000A156F" w:rsidRDefault="00A9721F">
            <w:pPr>
              <w:pStyle w:val="TableBodyText"/>
            </w:pPr>
            <w:r>
              <w:rPr>
                <w:b/>
              </w:rPr>
              <w:t>f</w:t>
            </w:r>
            <w:r>
              <w:t xml:space="preserve"> (Fraction Object)</w:t>
            </w:r>
          </w:p>
        </w:tc>
        <w:tc>
          <w:tcPr>
            <w:tcW w:w="0" w:type="auto"/>
            <w:vAlign w:val="center"/>
          </w:tcPr>
          <w:p w:rsidR="000A156F" w:rsidRDefault="00A9721F">
            <w:pPr>
              <w:pStyle w:val="TableBodyText"/>
            </w:pPr>
            <w:r>
              <w:t>"[ISO/IEC-29500-1] §22.1.2.36"</w:t>
            </w:r>
          </w:p>
        </w:tc>
      </w:tr>
      <w:tr w:rsidR="000A156F" w:rsidTr="000A156F">
        <w:tc>
          <w:tcPr>
            <w:tcW w:w="0" w:type="auto"/>
            <w:vAlign w:val="center"/>
          </w:tcPr>
          <w:p w:rsidR="000A156F" w:rsidRDefault="00A9721F">
            <w:pPr>
              <w:pStyle w:val="TableBodyText"/>
            </w:pPr>
            <w:r>
              <w:rPr>
                <w:b/>
              </w:rPr>
              <w:t>fldSimple</w:t>
            </w:r>
            <w:r>
              <w:t xml:space="preserve"> (Ruby Simple Field)</w:t>
            </w:r>
          </w:p>
        </w:tc>
        <w:tc>
          <w:tcPr>
            <w:tcW w:w="0" w:type="auto"/>
            <w:vAlign w:val="center"/>
          </w:tcPr>
          <w:p w:rsidR="000A156F" w:rsidRDefault="00A9721F">
            <w:pPr>
              <w:pStyle w:val="TableBodyText"/>
            </w:pPr>
            <w:r>
              <w:t>§</w:t>
            </w:r>
            <w:hyperlink w:anchor="Section_34477fff355a497ea2bf4b9c3f80b093">
              <w:r>
                <w:rPr>
                  <w:rStyle w:val="Hyperlink"/>
                </w:rPr>
                <w:t>3.1.3.1.2, fldSimple</w:t>
              </w:r>
            </w:hyperlink>
          </w:p>
        </w:tc>
      </w:tr>
      <w:tr w:rsidR="000A156F" w:rsidTr="000A156F">
        <w:tc>
          <w:tcPr>
            <w:tcW w:w="0" w:type="auto"/>
            <w:vAlign w:val="center"/>
          </w:tcPr>
          <w:p w:rsidR="000A156F" w:rsidRDefault="00A9721F">
            <w:pPr>
              <w:pStyle w:val="TableBodyText"/>
            </w:pPr>
            <w:r>
              <w:rPr>
                <w:b/>
              </w:rPr>
              <w:t>func</w:t>
            </w:r>
            <w:r>
              <w:t xml:space="preserve"> (Function Apply Object)</w:t>
            </w:r>
          </w:p>
        </w:tc>
        <w:tc>
          <w:tcPr>
            <w:tcW w:w="0" w:type="auto"/>
            <w:vAlign w:val="center"/>
          </w:tcPr>
          <w:p w:rsidR="000A156F" w:rsidRDefault="00A9721F">
            <w:pPr>
              <w:pStyle w:val="TableBodyText"/>
            </w:pPr>
            <w:r>
              <w:t>"[ISO/IEC-29500-1] §22.1.2.39"</w:t>
            </w:r>
          </w:p>
        </w:tc>
      </w:tr>
      <w:tr w:rsidR="000A156F" w:rsidTr="000A156F">
        <w:tc>
          <w:tcPr>
            <w:tcW w:w="0" w:type="auto"/>
            <w:vAlign w:val="center"/>
          </w:tcPr>
          <w:p w:rsidR="000A156F" w:rsidRDefault="00A9721F">
            <w:pPr>
              <w:pStyle w:val="TableBodyText"/>
            </w:pPr>
            <w:r>
              <w:rPr>
                <w:b/>
              </w:rPr>
              <w:t>groupChr</w:t>
            </w:r>
            <w:r>
              <w:t xml:space="preserve"> (Group-Character Object)</w:t>
            </w:r>
          </w:p>
        </w:tc>
        <w:tc>
          <w:tcPr>
            <w:tcW w:w="0" w:type="auto"/>
            <w:vAlign w:val="center"/>
          </w:tcPr>
          <w:p w:rsidR="000A156F" w:rsidRDefault="00A9721F">
            <w:pPr>
              <w:pStyle w:val="TableBodyText"/>
            </w:pPr>
            <w:r>
              <w:t>"[ISO/IEC-29500-1] §22.1.2.41"</w:t>
            </w:r>
          </w:p>
        </w:tc>
      </w:tr>
      <w:tr w:rsidR="000A156F" w:rsidTr="000A156F">
        <w:tc>
          <w:tcPr>
            <w:tcW w:w="0" w:type="auto"/>
            <w:vAlign w:val="center"/>
          </w:tcPr>
          <w:p w:rsidR="000A156F" w:rsidRDefault="00A9721F">
            <w:pPr>
              <w:pStyle w:val="TableBodyText"/>
            </w:pPr>
            <w:r>
              <w:rPr>
                <w:b/>
              </w:rPr>
              <w:t>hyperlink</w:t>
            </w:r>
            <w:r>
              <w:t xml:space="preserve"> (Ruby Hyperlink)</w:t>
            </w:r>
          </w:p>
        </w:tc>
        <w:tc>
          <w:tcPr>
            <w:tcW w:w="0" w:type="auto"/>
            <w:vAlign w:val="center"/>
          </w:tcPr>
          <w:p w:rsidR="000A156F" w:rsidRDefault="00A9721F">
            <w:pPr>
              <w:pStyle w:val="TableBodyText"/>
            </w:pPr>
            <w:r>
              <w:t>§</w:t>
            </w:r>
            <w:hyperlink w:anchor="Section_cc9e4bbd134f4d35b2c795fde8c633a7">
              <w:r>
                <w:rPr>
                  <w:rStyle w:val="Hyperlink"/>
                </w:rPr>
                <w:t>3.1.3.1.3, hyperlink</w:t>
              </w:r>
            </w:hyperlink>
          </w:p>
        </w:tc>
      </w:tr>
      <w:tr w:rsidR="000A156F" w:rsidTr="000A156F">
        <w:tc>
          <w:tcPr>
            <w:tcW w:w="0" w:type="auto"/>
            <w:vAlign w:val="center"/>
          </w:tcPr>
          <w:p w:rsidR="000A156F" w:rsidRDefault="00A9721F">
            <w:pPr>
              <w:pStyle w:val="TableBodyText"/>
            </w:pPr>
            <w:r>
              <w:rPr>
                <w:b/>
              </w:rPr>
              <w:t>ins</w:t>
            </w:r>
            <w:r>
              <w:t xml:space="preserve"> (Inserted Run Content)</w:t>
            </w:r>
          </w:p>
        </w:tc>
        <w:tc>
          <w:tcPr>
            <w:tcW w:w="0" w:type="auto"/>
            <w:vAlign w:val="center"/>
          </w:tcPr>
          <w:p w:rsidR="000A156F" w:rsidRDefault="00A9721F">
            <w:pPr>
              <w:pStyle w:val="TableBodyText"/>
            </w:pPr>
            <w:r>
              <w:t>"[ISO/IEC-29500-1] §17.13.5.18"</w:t>
            </w:r>
          </w:p>
        </w:tc>
      </w:tr>
      <w:tr w:rsidR="000A156F" w:rsidTr="000A156F">
        <w:tc>
          <w:tcPr>
            <w:tcW w:w="0" w:type="auto"/>
            <w:vAlign w:val="center"/>
          </w:tcPr>
          <w:p w:rsidR="000A156F" w:rsidRDefault="00A9721F">
            <w:pPr>
              <w:pStyle w:val="TableBodyText"/>
            </w:pPr>
            <w:r>
              <w:rPr>
                <w:b/>
              </w:rPr>
              <w:t>limLow</w:t>
            </w:r>
            <w:r>
              <w:t xml:space="preserve"> (Lower-Limit Object)</w:t>
            </w:r>
          </w:p>
        </w:tc>
        <w:tc>
          <w:tcPr>
            <w:tcW w:w="0" w:type="auto"/>
            <w:vAlign w:val="center"/>
          </w:tcPr>
          <w:p w:rsidR="000A156F" w:rsidRDefault="00A9721F">
            <w:pPr>
              <w:pStyle w:val="TableBodyText"/>
            </w:pPr>
            <w:r>
              <w:t>"[ISO/IEC-29500-1] §22.1.2.54"</w:t>
            </w:r>
          </w:p>
        </w:tc>
      </w:tr>
      <w:tr w:rsidR="000A156F" w:rsidTr="000A156F">
        <w:tc>
          <w:tcPr>
            <w:tcW w:w="0" w:type="auto"/>
            <w:vAlign w:val="center"/>
          </w:tcPr>
          <w:p w:rsidR="000A156F" w:rsidRDefault="00A9721F">
            <w:pPr>
              <w:pStyle w:val="TableBodyText"/>
            </w:pPr>
            <w:r>
              <w:rPr>
                <w:b/>
              </w:rPr>
              <w:t>limUpp</w:t>
            </w:r>
            <w:r>
              <w:t xml:space="preserve"> (Upper-Limit Object)</w:t>
            </w:r>
          </w:p>
        </w:tc>
        <w:tc>
          <w:tcPr>
            <w:tcW w:w="0" w:type="auto"/>
            <w:vAlign w:val="center"/>
          </w:tcPr>
          <w:p w:rsidR="000A156F" w:rsidRDefault="00A9721F">
            <w:pPr>
              <w:pStyle w:val="TableBodyText"/>
            </w:pPr>
            <w:r>
              <w:t>"[ISO/IEC-29500-1] §22.1.2.56"</w:t>
            </w:r>
          </w:p>
        </w:tc>
      </w:tr>
      <w:tr w:rsidR="000A156F" w:rsidTr="000A156F">
        <w:tc>
          <w:tcPr>
            <w:tcW w:w="0" w:type="auto"/>
            <w:vAlign w:val="center"/>
          </w:tcPr>
          <w:p w:rsidR="000A156F" w:rsidRDefault="00A9721F">
            <w:pPr>
              <w:pStyle w:val="TableBodyText"/>
            </w:pPr>
            <w:r>
              <w:rPr>
                <w:b/>
              </w:rPr>
              <w:t>m</w:t>
            </w:r>
            <w:r>
              <w:t xml:space="preserve"> (Matrix Object)</w:t>
            </w:r>
          </w:p>
        </w:tc>
        <w:tc>
          <w:tcPr>
            <w:tcW w:w="0" w:type="auto"/>
            <w:vAlign w:val="center"/>
          </w:tcPr>
          <w:p w:rsidR="000A156F" w:rsidRDefault="00A9721F">
            <w:pPr>
              <w:pStyle w:val="TableBodyText"/>
            </w:pPr>
            <w:r>
              <w:t>"[ISO/IEC-29500-1] §22.1.2.60"</w:t>
            </w:r>
          </w:p>
        </w:tc>
      </w:tr>
      <w:tr w:rsidR="000A156F" w:rsidTr="000A156F">
        <w:tc>
          <w:tcPr>
            <w:tcW w:w="0" w:type="auto"/>
            <w:vAlign w:val="center"/>
          </w:tcPr>
          <w:p w:rsidR="000A156F" w:rsidRDefault="00A9721F">
            <w:pPr>
              <w:pStyle w:val="TableBodyText"/>
            </w:pPr>
            <w:r>
              <w:rPr>
                <w:b/>
              </w:rPr>
              <w:t>moveFrom</w:t>
            </w:r>
            <w:r>
              <w:t xml:space="preserve"> (Move Source Run Content)</w:t>
            </w:r>
          </w:p>
        </w:tc>
        <w:tc>
          <w:tcPr>
            <w:tcW w:w="0" w:type="auto"/>
            <w:vAlign w:val="center"/>
          </w:tcPr>
          <w:p w:rsidR="000A156F" w:rsidRDefault="00A9721F">
            <w:pPr>
              <w:pStyle w:val="TableBodyText"/>
            </w:pPr>
            <w:r>
              <w:t>"[ISO/IEC-29500-1] §17.13.5.22"</w:t>
            </w:r>
          </w:p>
        </w:tc>
      </w:tr>
      <w:tr w:rsidR="000A156F" w:rsidTr="000A156F">
        <w:tc>
          <w:tcPr>
            <w:tcW w:w="0" w:type="auto"/>
            <w:vAlign w:val="center"/>
          </w:tcPr>
          <w:p w:rsidR="000A156F" w:rsidRDefault="00A9721F">
            <w:pPr>
              <w:pStyle w:val="TableBodyText"/>
            </w:pPr>
            <w:r>
              <w:rPr>
                <w:b/>
              </w:rPr>
              <w:t>moveFromRangeEnd</w:t>
            </w:r>
            <w:r>
              <w:t xml:space="preserve"> (Move Source Location Container - End)</w:t>
            </w:r>
          </w:p>
        </w:tc>
        <w:tc>
          <w:tcPr>
            <w:tcW w:w="0" w:type="auto"/>
            <w:vAlign w:val="center"/>
          </w:tcPr>
          <w:p w:rsidR="000A156F" w:rsidRDefault="00A9721F">
            <w:pPr>
              <w:pStyle w:val="TableBodyText"/>
            </w:pPr>
            <w:r>
              <w:t>"[ISO/IEC-29500-1] §17.13.5.23"</w:t>
            </w:r>
          </w:p>
        </w:tc>
      </w:tr>
      <w:tr w:rsidR="000A156F" w:rsidTr="000A156F">
        <w:tc>
          <w:tcPr>
            <w:tcW w:w="0" w:type="auto"/>
            <w:vAlign w:val="center"/>
          </w:tcPr>
          <w:p w:rsidR="000A156F" w:rsidRDefault="00A9721F">
            <w:pPr>
              <w:pStyle w:val="TableBodyText"/>
            </w:pPr>
            <w:r>
              <w:rPr>
                <w:b/>
              </w:rPr>
              <w:t>moveFromRangeStart</w:t>
            </w:r>
            <w:r>
              <w:t xml:space="preserve"> (Move Source Location Container</w:t>
            </w:r>
            <w:r>
              <w:t xml:space="preserve"> - Start)</w:t>
            </w:r>
          </w:p>
        </w:tc>
        <w:tc>
          <w:tcPr>
            <w:tcW w:w="0" w:type="auto"/>
            <w:vAlign w:val="center"/>
          </w:tcPr>
          <w:p w:rsidR="000A156F" w:rsidRDefault="00A9721F">
            <w:pPr>
              <w:pStyle w:val="TableBodyText"/>
            </w:pPr>
            <w:r>
              <w:t>"[ISO/IEC-29500-1] §17.13.5.24"</w:t>
            </w:r>
          </w:p>
        </w:tc>
      </w:tr>
      <w:tr w:rsidR="000A156F" w:rsidTr="000A156F">
        <w:tc>
          <w:tcPr>
            <w:tcW w:w="0" w:type="auto"/>
            <w:vAlign w:val="center"/>
          </w:tcPr>
          <w:p w:rsidR="000A156F" w:rsidRDefault="00A9721F">
            <w:pPr>
              <w:pStyle w:val="TableBodyText"/>
            </w:pPr>
            <w:r>
              <w:rPr>
                <w:b/>
              </w:rPr>
              <w:t>moveTo</w:t>
            </w:r>
            <w:r>
              <w:t xml:space="preserve"> (Move Destination Run Content)</w:t>
            </w:r>
          </w:p>
        </w:tc>
        <w:tc>
          <w:tcPr>
            <w:tcW w:w="0" w:type="auto"/>
            <w:vAlign w:val="center"/>
          </w:tcPr>
          <w:p w:rsidR="000A156F" w:rsidRDefault="00A9721F">
            <w:pPr>
              <w:pStyle w:val="TableBodyText"/>
            </w:pPr>
            <w:r>
              <w:t>"[ISO/IEC-29500-1] §17.13.5.25"</w:t>
            </w:r>
          </w:p>
        </w:tc>
      </w:tr>
      <w:tr w:rsidR="000A156F" w:rsidTr="000A156F">
        <w:tc>
          <w:tcPr>
            <w:tcW w:w="0" w:type="auto"/>
            <w:vAlign w:val="center"/>
          </w:tcPr>
          <w:p w:rsidR="000A156F" w:rsidRDefault="00A9721F">
            <w:pPr>
              <w:pStyle w:val="TableBodyText"/>
            </w:pPr>
            <w:r>
              <w:rPr>
                <w:b/>
              </w:rPr>
              <w:t>moveToRangeEnd</w:t>
            </w:r>
            <w:r>
              <w:t xml:space="preserve"> (Move Destination Location Container - End)</w:t>
            </w:r>
          </w:p>
        </w:tc>
        <w:tc>
          <w:tcPr>
            <w:tcW w:w="0" w:type="auto"/>
            <w:vAlign w:val="center"/>
          </w:tcPr>
          <w:p w:rsidR="000A156F" w:rsidRDefault="00A9721F">
            <w:pPr>
              <w:pStyle w:val="TableBodyText"/>
            </w:pPr>
            <w:r>
              <w:t>"[ISO/IEC-29500-1] §17.13.5.27"</w:t>
            </w:r>
          </w:p>
        </w:tc>
      </w:tr>
      <w:tr w:rsidR="000A156F" w:rsidTr="000A156F">
        <w:tc>
          <w:tcPr>
            <w:tcW w:w="0" w:type="auto"/>
            <w:vAlign w:val="center"/>
          </w:tcPr>
          <w:p w:rsidR="000A156F" w:rsidRDefault="00A9721F">
            <w:pPr>
              <w:pStyle w:val="TableBodyText"/>
            </w:pPr>
            <w:r>
              <w:rPr>
                <w:b/>
              </w:rPr>
              <w:lastRenderedPageBreak/>
              <w:t>moveToRangeStart</w:t>
            </w:r>
            <w:r>
              <w:t xml:space="preserve"> (Move Destination Location Container - Start)</w:t>
            </w:r>
          </w:p>
        </w:tc>
        <w:tc>
          <w:tcPr>
            <w:tcW w:w="0" w:type="auto"/>
            <w:vAlign w:val="center"/>
          </w:tcPr>
          <w:p w:rsidR="000A156F" w:rsidRDefault="00A9721F">
            <w:pPr>
              <w:pStyle w:val="TableBodyText"/>
            </w:pPr>
            <w:r>
              <w:t>"[ISO/IEC-29500-1] §17.13.5.28"</w:t>
            </w:r>
          </w:p>
        </w:tc>
      </w:tr>
      <w:tr w:rsidR="000A156F" w:rsidTr="000A156F">
        <w:tc>
          <w:tcPr>
            <w:tcW w:w="0" w:type="auto"/>
            <w:vAlign w:val="center"/>
          </w:tcPr>
          <w:p w:rsidR="000A156F" w:rsidRDefault="00A9721F">
            <w:pPr>
              <w:pStyle w:val="TableBodyText"/>
            </w:pPr>
            <w:r>
              <w:rPr>
                <w:b/>
              </w:rPr>
              <w:t>nary</w:t>
            </w:r>
            <w:r>
              <w:t xml:space="preserve"> (n-ary Operator Object)</w:t>
            </w:r>
          </w:p>
        </w:tc>
        <w:tc>
          <w:tcPr>
            <w:tcW w:w="0" w:type="auto"/>
            <w:vAlign w:val="center"/>
          </w:tcPr>
          <w:p w:rsidR="000A156F" w:rsidRDefault="00A9721F">
            <w:pPr>
              <w:pStyle w:val="TableBodyText"/>
            </w:pPr>
            <w:r>
              <w:t>"[ISO/IEC-29500-1] §22.1.2.70"</w:t>
            </w:r>
          </w:p>
        </w:tc>
      </w:tr>
      <w:tr w:rsidR="000A156F" w:rsidTr="000A156F">
        <w:tc>
          <w:tcPr>
            <w:tcW w:w="0" w:type="auto"/>
            <w:vAlign w:val="center"/>
          </w:tcPr>
          <w:p w:rsidR="000A156F" w:rsidRDefault="00A9721F">
            <w:pPr>
              <w:pStyle w:val="TableBodyText"/>
            </w:pPr>
            <w:r>
              <w:rPr>
                <w:b/>
              </w:rPr>
              <w:t>oMath</w:t>
            </w:r>
            <w:r>
              <w:t xml:space="preserve"> (Office Math)</w:t>
            </w:r>
          </w:p>
        </w:tc>
        <w:tc>
          <w:tcPr>
            <w:tcW w:w="0" w:type="auto"/>
            <w:vAlign w:val="center"/>
          </w:tcPr>
          <w:p w:rsidR="000A156F" w:rsidRDefault="00A9721F">
            <w:pPr>
              <w:pStyle w:val="TableBodyText"/>
            </w:pPr>
            <w:r>
              <w:t>"[ISO/IEC-29500-1] §22.1.2.77"</w:t>
            </w:r>
          </w:p>
        </w:tc>
      </w:tr>
      <w:tr w:rsidR="000A156F" w:rsidTr="000A156F">
        <w:tc>
          <w:tcPr>
            <w:tcW w:w="0" w:type="auto"/>
            <w:vAlign w:val="center"/>
          </w:tcPr>
          <w:p w:rsidR="000A156F" w:rsidRDefault="00A9721F">
            <w:pPr>
              <w:pStyle w:val="TableBodyText"/>
            </w:pPr>
            <w:r>
              <w:rPr>
                <w:b/>
              </w:rPr>
              <w:t>oMathPara</w:t>
            </w:r>
            <w:r>
              <w:t xml:space="preserve"> (Office Math Paragraph)</w:t>
            </w:r>
          </w:p>
        </w:tc>
        <w:tc>
          <w:tcPr>
            <w:tcW w:w="0" w:type="auto"/>
            <w:vAlign w:val="center"/>
          </w:tcPr>
          <w:p w:rsidR="000A156F" w:rsidRDefault="00A9721F">
            <w:pPr>
              <w:pStyle w:val="TableBodyText"/>
            </w:pPr>
            <w:r>
              <w:t>"[ISO/IEC-29500-1]</w:t>
            </w:r>
            <w:r>
              <w:t xml:space="preserve"> §22.1.2.78"</w:t>
            </w:r>
          </w:p>
        </w:tc>
      </w:tr>
      <w:tr w:rsidR="000A156F" w:rsidTr="000A156F">
        <w:tc>
          <w:tcPr>
            <w:tcW w:w="0" w:type="auto"/>
            <w:vAlign w:val="center"/>
          </w:tcPr>
          <w:p w:rsidR="000A156F" w:rsidRDefault="00A9721F">
            <w:pPr>
              <w:pStyle w:val="TableBodyText"/>
            </w:pPr>
            <w:r>
              <w:rPr>
                <w:b/>
              </w:rPr>
              <w:t>permEnd</w:t>
            </w:r>
            <w:r>
              <w:t xml:space="preserve"> (Range Permission End)</w:t>
            </w:r>
          </w:p>
        </w:tc>
        <w:tc>
          <w:tcPr>
            <w:tcW w:w="0" w:type="auto"/>
            <w:vAlign w:val="center"/>
          </w:tcPr>
          <w:p w:rsidR="000A156F" w:rsidRDefault="00A9721F">
            <w:pPr>
              <w:pStyle w:val="TableBodyText"/>
            </w:pPr>
            <w:r>
              <w:t>"[ISO/IEC-29500-1] §17.13.7.1"</w:t>
            </w:r>
          </w:p>
        </w:tc>
      </w:tr>
      <w:tr w:rsidR="000A156F" w:rsidTr="000A156F">
        <w:tc>
          <w:tcPr>
            <w:tcW w:w="0" w:type="auto"/>
            <w:vAlign w:val="center"/>
          </w:tcPr>
          <w:p w:rsidR="000A156F" w:rsidRDefault="00A9721F">
            <w:pPr>
              <w:pStyle w:val="TableBodyText"/>
            </w:pPr>
            <w:r>
              <w:rPr>
                <w:b/>
              </w:rPr>
              <w:t>permStart</w:t>
            </w:r>
            <w:r>
              <w:t xml:space="preserve"> (Range Permission Start)</w:t>
            </w:r>
          </w:p>
        </w:tc>
        <w:tc>
          <w:tcPr>
            <w:tcW w:w="0" w:type="auto"/>
            <w:vAlign w:val="center"/>
          </w:tcPr>
          <w:p w:rsidR="000A156F" w:rsidRDefault="00A9721F">
            <w:pPr>
              <w:pStyle w:val="TableBodyText"/>
            </w:pPr>
            <w:r>
              <w:t>"[ISO/IEC-29500-1] §17.13.7.2"</w:t>
            </w:r>
          </w:p>
        </w:tc>
      </w:tr>
      <w:tr w:rsidR="000A156F" w:rsidTr="000A156F">
        <w:tc>
          <w:tcPr>
            <w:tcW w:w="0" w:type="auto"/>
            <w:vAlign w:val="center"/>
          </w:tcPr>
          <w:p w:rsidR="000A156F" w:rsidRDefault="00A9721F">
            <w:pPr>
              <w:pStyle w:val="TableBodyText"/>
            </w:pPr>
            <w:r>
              <w:rPr>
                <w:b/>
              </w:rPr>
              <w:t>phant</w:t>
            </w:r>
            <w:r>
              <w:t xml:space="preserve"> (Phantom Object)</w:t>
            </w:r>
          </w:p>
        </w:tc>
        <w:tc>
          <w:tcPr>
            <w:tcW w:w="0" w:type="auto"/>
            <w:vAlign w:val="center"/>
          </w:tcPr>
          <w:p w:rsidR="000A156F" w:rsidRDefault="00A9721F">
            <w:pPr>
              <w:pStyle w:val="TableBodyText"/>
            </w:pPr>
            <w:r>
              <w:t>"[ISO/IEC-29500-1] §22.1.2.81"</w:t>
            </w:r>
          </w:p>
        </w:tc>
      </w:tr>
      <w:tr w:rsidR="000A156F" w:rsidTr="000A156F">
        <w:tc>
          <w:tcPr>
            <w:tcW w:w="0" w:type="auto"/>
            <w:vAlign w:val="center"/>
          </w:tcPr>
          <w:p w:rsidR="000A156F" w:rsidRDefault="00A9721F">
            <w:pPr>
              <w:pStyle w:val="TableBodyText"/>
            </w:pPr>
            <w:r>
              <w:rPr>
                <w:b/>
              </w:rPr>
              <w:t>proofErr</w:t>
            </w:r>
            <w:r>
              <w:t xml:space="preserve"> (Proofing Error Anchor)</w:t>
            </w:r>
          </w:p>
        </w:tc>
        <w:tc>
          <w:tcPr>
            <w:tcW w:w="0" w:type="auto"/>
            <w:vAlign w:val="center"/>
          </w:tcPr>
          <w:p w:rsidR="000A156F" w:rsidRDefault="00A9721F">
            <w:pPr>
              <w:pStyle w:val="TableBodyText"/>
            </w:pPr>
            <w:r>
              <w:t>"[ISO/IEC-29500-1] §17.1</w:t>
            </w:r>
            <w:r>
              <w:t>3.8.1"</w:t>
            </w:r>
          </w:p>
        </w:tc>
      </w:tr>
      <w:tr w:rsidR="000A156F" w:rsidTr="000A156F">
        <w:tc>
          <w:tcPr>
            <w:tcW w:w="0" w:type="auto"/>
            <w:vAlign w:val="center"/>
          </w:tcPr>
          <w:p w:rsidR="000A156F" w:rsidRDefault="00A9721F">
            <w:pPr>
              <w:pStyle w:val="TableBodyText"/>
            </w:pPr>
            <w:r>
              <w:rPr>
                <w:b/>
              </w:rPr>
              <w:t>r</w:t>
            </w:r>
            <w:r>
              <w:t xml:space="preserve"> (Run)</w:t>
            </w:r>
          </w:p>
        </w:tc>
        <w:tc>
          <w:tcPr>
            <w:tcW w:w="0" w:type="auto"/>
            <w:vAlign w:val="center"/>
          </w:tcPr>
          <w:p w:rsidR="000A156F" w:rsidRDefault="00A9721F">
            <w:pPr>
              <w:pStyle w:val="TableBodyText"/>
            </w:pPr>
            <w:r>
              <w:t>"[ISO/IEC-29500-1] §22.1.2.87"</w:t>
            </w:r>
          </w:p>
        </w:tc>
      </w:tr>
      <w:tr w:rsidR="000A156F" w:rsidTr="000A156F">
        <w:tc>
          <w:tcPr>
            <w:tcW w:w="0" w:type="auto"/>
            <w:vAlign w:val="center"/>
          </w:tcPr>
          <w:p w:rsidR="000A156F" w:rsidRDefault="00A9721F">
            <w:pPr>
              <w:pStyle w:val="TableBodyText"/>
            </w:pPr>
            <w:r>
              <w:rPr>
                <w:b/>
              </w:rPr>
              <w:t>r</w:t>
            </w:r>
            <w:r>
              <w:t xml:space="preserve"> (Text Run)</w:t>
            </w:r>
          </w:p>
        </w:tc>
        <w:tc>
          <w:tcPr>
            <w:tcW w:w="0" w:type="auto"/>
            <w:vAlign w:val="center"/>
          </w:tcPr>
          <w:p w:rsidR="000A156F" w:rsidRDefault="00A9721F">
            <w:pPr>
              <w:pStyle w:val="TableBodyText"/>
            </w:pPr>
            <w:r>
              <w:t>"[ISO/IEC-29500-1] §17.3.2.25"</w:t>
            </w:r>
          </w:p>
        </w:tc>
      </w:tr>
      <w:tr w:rsidR="000A156F" w:rsidTr="000A156F">
        <w:tc>
          <w:tcPr>
            <w:tcW w:w="0" w:type="auto"/>
            <w:vAlign w:val="center"/>
          </w:tcPr>
          <w:p w:rsidR="000A156F" w:rsidRDefault="00A9721F">
            <w:pPr>
              <w:pStyle w:val="TableBodyText"/>
            </w:pPr>
            <w:r>
              <w:rPr>
                <w:b/>
              </w:rPr>
              <w:t>rad</w:t>
            </w:r>
            <w:r>
              <w:t xml:space="preserve"> (Radical Object)</w:t>
            </w:r>
          </w:p>
        </w:tc>
        <w:tc>
          <w:tcPr>
            <w:tcW w:w="0" w:type="auto"/>
            <w:vAlign w:val="center"/>
          </w:tcPr>
          <w:p w:rsidR="000A156F" w:rsidRDefault="00A9721F">
            <w:pPr>
              <w:pStyle w:val="TableBodyText"/>
            </w:pPr>
            <w:r>
              <w:t>"[ISO/IEC-29500-1] §22.1.2.88"</w:t>
            </w:r>
          </w:p>
        </w:tc>
      </w:tr>
      <w:tr w:rsidR="000A156F" w:rsidTr="000A156F">
        <w:tc>
          <w:tcPr>
            <w:tcW w:w="0" w:type="auto"/>
            <w:vAlign w:val="center"/>
          </w:tcPr>
          <w:p w:rsidR="000A156F" w:rsidRDefault="00A9721F">
            <w:pPr>
              <w:pStyle w:val="TableBodyText"/>
            </w:pPr>
            <w:r>
              <w:rPr>
                <w:b/>
              </w:rPr>
              <w:t>sdt</w:t>
            </w:r>
            <w:r>
              <w:t xml:space="preserve"> (Ruby Inline-Level Structured Document Tag)</w:t>
            </w:r>
          </w:p>
        </w:tc>
        <w:tc>
          <w:tcPr>
            <w:tcW w:w="0" w:type="auto"/>
            <w:vAlign w:val="center"/>
          </w:tcPr>
          <w:p w:rsidR="000A156F" w:rsidRDefault="00A9721F">
            <w:pPr>
              <w:pStyle w:val="TableBodyText"/>
            </w:pPr>
            <w:r>
              <w:t>§3.1.3.1.6, sdt</w:t>
            </w:r>
          </w:p>
        </w:tc>
      </w:tr>
      <w:tr w:rsidR="000A156F" w:rsidTr="000A156F">
        <w:tc>
          <w:tcPr>
            <w:tcW w:w="0" w:type="auto"/>
            <w:vAlign w:val="center"/>
          </w:tcPr>
          <w:p w:rsidR="000A156F" w:rsidRDefault="00A9721F">
            <w:pPr>
              <w:pStyle w:val="TableBodyText"/>
            </w:pPr>
            <w:r>
              <w:rPr>
                <w:b/>
              </w:rPr>
              <w:t>sPre</w:t>
            </w:r>
            <w:r>
              <w:t xml:space="preserve"> (Pre-Sub-Superscript Object)</w:t>
            </w:r>
          </w:p>
        </w:tc>
        <w:tc>
          <w:tcPr>
            <w:tcW w:w="0" w:type="auto"/>
            <w:vAlign w:val="center"/>
          </w:tcPr>
          <w:p w:rsidR="000A156F" w:rsidRDefault="00A9721F">
            <w:pPr>
              <w:pStyle w:val="TableBodyText"/>
            </w:pPr>
            <w:r>
              <w:t>"</w:t>
            </w:r>
            <w:r>
              <w:t>[ISO/IEC-29500-1] §22.1.2.99"</w:t>
            </w:r>
          </w:p>
        </w:tc>
      </w:tr>
      <w:tr w:rsidR="000A156F" w:rsidTr="000A156F">
        <w:tc>
          <w:tcPr>
            <w:tcW w:w="0" w:type="auto"/>
            <w:vAlign w:val="center"/>
          </w:tcPr>
          <w:p w:rsidR="000A156F" w:rsidRDefault="00A9721F">
            <w:pPr>
              <w:pStyle w:val="TableBodyText"/>
            </w:pPr>
            <w:r>
              <w:rPr>
                <w:b/>
              </w:rPr>
              <w:t>sSub</w:t>
            </w:r>
            <w:r>
              <w:t xml:space="preserve"> (Subscript Object)</w:t>
            </w:r>
          </w:p>
        </w:tc>
        <w:tc>
          <w:tcPr>
            <w:tcW w:w="0" w:type="auto"/>
            <w:vAlign w:val="center"/>
          </w:tcPr>
          <w:p w:rsidR="000A156F" w:rsidRDefault="00A9721F">
            <w:pPr>
              <w:pStyle w:val="TableBodyText"/>
            </w:pPr>
            <w:r>
              <w:t>"[ISO/IEC-29500-1] §22.1.2.101"</w:t>
            </w:r>
          </w:p>
        </w:tc>
      </w:tr>
      <w:tr w:rsidR="000A156F" w:rsidTr="000A156F">
        <w:tc>
          <w:tcPr>
            <w:tcW w:w="0" w:type="auto"/>
            <w:vAlign w:val="center"/>
          </w:tcPr>
          <w:p w:rsidR="000A156F" w:rsidRDefault="00A9721F">
            <w:pPr>
              <w:pStyle w:val="TableBodyText"/>
            </w:pPr>
            <w:r>
              <w:rPr>
                <w:b/>
              </w:rPr>
              <w:t>sSubSup</w:t>
            </w:r>
            <w:r>
              <w:t xml:space="preserve"> (Sub-Superscript Object)</w:t>
            </w:r>
          </w:p>
        </w:tc>
        <w:tc>
          <w:tcPr>
            <w:tcW w:w="0" w:type="auto"/>
            <w:vAlign w:val="center"/>
          </w:tcPr>
          <w:p w:rsidR="000A156F" w:rsidRDefault="00A9721F">
            <w:pPr>
              <w:pStyle w:val="TableBodyText"/>
            </w:pPr>
            <w:r>
              <w:t>"[ISO/IEC-29500-1] §22.1.2.103"</w:t>
            </w:r>
          </w:p>
        </w:tc>
      </w:tr>
      <w:tr w:rsidR="000A156F" w:rsidTr="000A156F">
        <w:tc>
          <w:tcPr>
            <w:tcW w:w="0" w:type="auto"/>
            <w:vAlign w:val="center"/>
          </w:tcPr>
          <w:p w:rsidR="000A156F" w:rsidRDefault="00A9721F">
            <w:pPr>
              <w:pStyle w:val="TableBodyText"/>
            </w:pPr>
            <w:r>
              <w:rPr>
                <w:b/>
              </w:rPr>
              <w:t>sSup</w:t>
            </w:r>
            <w:r>
              <w:t xml:space="preserve"> (Superscript Object)</w:t>
            </w:r>
          </w:p>
        </w:tc>
        <w:tc>
          <w:tcPr>
            <w:tcW w:w="0" w:type="auto"/>
            <w:vAlign w:val="center"/>
          </w:tcPr>
          <w:p w:rsidR="000A156F" w:rsidRDefault="00A9721F">
            <w:pPr>
              <w:pStyle w:val="TableBodyText"/>
            </w:pPr>
            <w:r>
              <w:t>"[ISO/IEC-29500-1] §22.1.2.105"</w:t>
            </w:r>
          </w:p>
        </w:tc>
      </w:tr>
    </w:tbl>
    <w:p w:rsidR="000A156F" w:rsidRDefault="000A156F"/>
    <w:p w:rsidR="000A156F" w:rsidRDefault="00A9721F">
      <w:r>
        <w:t xml:space="preserve">The following XML Schema fragment defines </w:t>
      </w:r>
      <w:r>
        <w:t>the contents of this element:</w:t>
      </w:r>
    </w:p>
    <w:p w:rsidR="000A156F" w:rsidRDefault="00A9721F">
      <w:pPr>
        <w:pStyle w:val="Code"/>
      </w:pPr>
      <w:r>
        <w:t>&lt;complexType name="CT_SdtContentRunRuby"&gt;</w:t>
      </w:r>
    </w:p>
    <w:p w:rsidR="000A156F" w:rsidRDefault="00A9721F">
      <w:pPr>
        <w:pStyle w:val="Code"/>
      </w:pPr>
      <w:r>
        <w:t xml:space="preserve">  &lt;group ref="EG_RubyContent" minOccurs="0" maxOccurs="unbounded"/&gt;</w:t>
      </w:r>
    </w:p>
    <w:p w:rsidR="000A156F" w:rsidRDefault="00A9721F">
      <w:pPr>
        <w:pStyle w:val="Code"/>
      </w:pPr>
      <w:r>
        <w:t>&lt;/complexType&gt;</w:t>
      </w:r>
    </w:p>
    <w:p w:rsidR="000A156F" w:rsidRDefault="00A9721F">
      <w:pPr>
        <w:pStyle w:val="Heading4"/>
      </w:pPr>
      <w:bookmarkStart w:id="3905" w:name="section_0f6b31f54bcc47ba918420810cfc304f"/>
      <w:bookmarkStart w:id="3906" w:name="_Toc181684978"/>
      <w:r>
        <w:t>Additional Fields</w:t>
      </w:r>
      <w:bookmarkEnd w:id="3905"/>
      <w:bookmarkEnd w:id="3906"/>
    </w:p>
    <w:p w:rsidR="000A156F" w:rsidRDefault="00A9721F">
      <w:pPr>
        <w:pStyle w:val="Heading5"/>
      </w:pPr>
      <w:bookmarkStart w:id="3907" w:name="section_a2c3a25a1dba40dabe7a47cf63c78d55"/>
      <w:bookmarkStart w:id="3908" w:name="_Toc181684979"/>
      <w:r>
        <w:t>DDE</w:t>
      </w:r>
      <w:bookmarkEnd w:id="3907"/>
      <w:bookmarkEnd w:id="3908"/>
      <w:r>
        <w:fldChar w:fldCharType="begin"/>
      </w:r>
      <w:r>
        <w:instrText xml:space="preserve"> XE "DDE" </w:instrText>
      </w:r>
      <w:r>
        <w:fldChar w:fldCharType="end"/>
      </w:r>
    </w:p>
    <w:p w:rsidR="000A156F" w:rsidRDefault="00A9721F">
      <w:r>
        <w:rPr>
          <w:b/>
        </w:rPr>
        <w:t>Syntax</w:t>
      </w:r>
      <w:r>
        <w:t>:</w:t>
      </w:r>
    </w:p>
    <w:p w:rsidR="000A156F" w:rsidRDefault="00A9721F">
      <w:r>
        <w:lastRenderedPageBreak/>
        <w:t xml:space="preserve">DDE field-argument-1  field-argument-2  [ field-argument-3 </w:t>
      </w:r>
      <w:r>
        <w:t>]  [ switches ]</w:t>
      </w:r>
    </w:p>
    <w:p w:rsidR="000A156F" w:rsidRDefault="00A9721F">
      <w:r>
        <w:t>field-argument-1:</w:t>
      </w:r>
    </w:p>
    <w:p w:rsidR="000A156F" w:rsidRDefault="00A9721F">
      <w:r>
        <w:t>field-argument</w:t>
      </w:r>
    </w:p>
    <w:p w:rsidR="000A156F" w:rsidRDefault="00A9721F">
      <w:r>
        <w:t>field-argument-2:</w:t>
      </w:r>
    </w:p>
    <w:p w:rsidR="000A156F" w:rsidRDefault="00A9721F">
      <w:r>
        <w:t>field-argument</w:t>
      </w:r>
    </w:p>
    <w:p w:rsidR="000A156F" w:rsidRDefault="00A9721F">
      <w:r>
        <w:t>field-argument-3:</w:t>
      </w:r>
    </w:p>
    <w:p w:rsidR="000A156F" w:rsidRDefault="00A9721F">
      <w:r>
        <w:t>field-argument</w:t>
      </w:r>
    </w:p>
    <w:p w:rsidR="000A156F" w:rsidRDefault="00A9721F">
      <w:r>
        <w:rPr>
          <w:b/>
        </w:rPr>
        <w:t>Description:</w:t>
      </w:r>
      <w:r>
        <w:t xml:space="preserve"> For information copied from another application, this field links that information to its original source file using DDE. The ap</w:t>
      </w:r>
      <w:r>
        <w:t>plication name shall be specified by field-argument-1; this application shall be running. The name and location of the source file is specified by field-argument-2. The portion of the source file that is being linked is specified by field-argument-3. [Note</w:t>
      </w:r>
      <w:r>
        <w:t xml:space="preserve">: This field is supported for legacy reasons, and it is recommended that </w:t>
      </w:r>
      <w:r>
        <w:rPr>
          <w:rStyle w:val="InlineCode"/>
        </w:rPr>
        <w:t>LINK</w:t>
      </w:r>
      <w:r>
        <w:t xml:space="preserve"> ("</w:t>
      </w:r>
      <w:hyperlink r:id="rId301">
        <w:r>
          <w:rPr>
            <w:rStyle w:val="Hyperlink"/>
          </w:rPr>
          <w:t>[ISO/IEC-29500-1]</w:t>
        </w:r>
      </w:hyperlink>
      <w:r>
        <w:t xml:space="preserve"> §17.16.5.32; LINK") be used instead. end note]</w:t>
      </w:r>
    </w:p>
    <w:p w:rsidR="000A156F" w:rsidRDefault="00A9721F">
      <w:r>
        <w:t>[Example: If the source file is a Spreadsheet</w:t>
      </w:r>
      <w:r>
        <w:t>ML document, the reference might be to a cell reference or a named range. For a WordprocessingML document, it might be a bookmark. end example]</w:t>
      </w:r>
    </w:p>
    <w:p w:rsidR="000A156F" w:rsidRDefault="00A9721F">
      <w:r>
        <w:rPr>
          <w:b/>
        </w:rPr>
        <w:t>Field Value</w:t>
      </w:r>
      <w:r>
        <w:t>: The DDE object representation of the linked file, or the contents of the file itself depending on t</w:t>
      </w:r>
      <w:r>
        <w:t>he switches used.</w:t>
      </w:r>
    </w:p>
    <w:p w:rsidR="000A156F" w:rsidRDefault="00A9721F">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A156F" w:rsidRDefault="00A9721F">
            <w:pPr>
              <w:pStyle w:val="TableHeaderText"/>
            </w:pPr>
            <w:r>
              <w:t>Field specific switches</w:t>
            </w:r>
          </w:p>
        </w:tc>
      </w:tr>
      <w:tr w:rsidR="000A156F" w:rsidTr="000A156F">
        <w:tc>
          <w:tcPr>
            <w:tcW w:w="0" w:type="auto"/>
            <w:vAlign w:val="center"/>
          </w:tcPr>
          <w:p w:rsidR="000A156F" w:rsidRDefault="00A9721F">
            <w:pPr>
              <w:pStyle w:val="TableBodyText"/>
            </w:pPr>
            <w:r>
              <w:rPr>
                <w:rStyle w:val="InlineCode"/>
              </w:rPr>
              <w:t>\a</w:t>
            </w:r>
          </w:p>
        </w:tc>
        <w:tc>
          <w:tcPr>
            <w:tcW w:w="0" w:type="auto"/>
            <w:vAlign w:val="center"/>
          </w:tcPr>
          <w:p w:rsidR="000A156F" w:rsidRDefault="00A9721F">
            <w:pPr>
              <w:pStyle w:val="TableBodyText"/>
            </w:pPr>
            <w:r>
              <w:t>Causes this field to be updated automatically.</w:t>
            </w:r>
          </w:p>
          <w:p w:rsidR="000A156F" w:rsidRDefault="00A9721F">
            <w:pPr>
              <w:pStyle w:val="TableBodyText"/>
            </w:pPr>
            <w:r>
              <w:t>Word does not support this switch.</w:t>
            </w:r>
          </w:p>
        </w:tc>
      </w:tr>
      <w:tr w:rsidR="000A156F" w:rsidTr="000A156F">
        <w:tc>
          <w:tcPr>
            <w:tcW w:w="0" w:type="auto"/>
            <w:vAlign w:val="center"/>
          </w:tcPr>
          <w:p w:rsidR="000A156F" w:rsidRDefault="00A9721F">
            <w:pPr>
              <w:pStyle w:val="TableBodyText"/>
            </w:pPr>
            <w:r>
              <w:rPr>
                <w:rStyle w:val="InlineCode"/>
              </w:rPr>
              <w:t>\b</w:t>
            </w:r>
          </w:p>
        </w:tc>
        <w:tc>
          <w:tcPr>
            <w:tcW w:w="0" w:type="auto"/>
            <w:vAlign w:val="center"/>
          </w:tcPr>
          <w:p w:rsidR="000A156F" w:rsidRDefault="00A9721F">
            <w:pPr>
              <w:pStyle w:val="TableBodyText"/>
            </w:pPr>
            <w:r>
              <w:t xml:space="preserve">Requests the linked object as a bitmap. This switch shall not be used in conjunction with any field-specific switches other than </w:t>
            </w:r>
            <w:r>
              <w:rPr>
                <w:rStyle w:val="InlineCode"/>
              </w:rPr>
              <w:t>\a</w:t>
            </w:r>
            <w:r>
              <w:t>.</w:t>
            </w:r>
          </w:p>
        </w:tc>
      </w:tr>
      <w:tr w:rsidR="000A156F" w:rsidTr="000A156F">
        <w:tc>
          <w:tcPr>
            <w:tcW w:w="0" w:type="auto"/>
            <w:vAlign w:val="center"/>
          </w:tcPr>
          <w:p w:rsidR="000A156F" w:rsidRDefault="00A9721F">
            <w:pPr>
              <w:pStyle w:val="TableBodyText"/>
            </w:pPr>
            <w:r>
              <w:rPr>
                <w:rStyle w:val="InlineCode"/>
              </w:rPr>
              <w:t>\d</w:t>
            </w:r>
          </w:p>
        </w:tc>
        <w:tc>
          <w:tcPr>
            <w:tcW w:w="0" w:type="auto"/>
            <w:vAlign w:val="center"/>
          </w:tcPr>
          <w:p w:rsidR="000A156F" w:rsidRDefault="00A9721F">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0A156F" w:rsidRDefault="00A9721F">
            <w:pPr>
              <w:pStyle w:val="TableBodyText"/>
            </w:pPr>
            <w:r>
              <w:t>Word does not support this switch.</w:t>
            </w:r>
          </w:p>
        </w:tc>
      </w:tr>
      <w:tr w:rsidR="000A156F" w:rsidTr="000A156F">
        <w:tc>
          <w:tcPr>
            <w:tcW w:w="0" w:type="auto"/>
            <w:vAlign w:val="center"/>
          </w:tcPr>
          <w:p w:rsidR="000A156F" w:rsidRDefault="00A9721F">
            <w:pPr>
              <w:pStyle w:val="TableBodyText"/>
            </w:pPr>
            <w:r>
              <w:rPr>
                <w:rStyle w:val="InlineCode"/>
              </w:rPr>
              <w:t>\h</w:t>
            </w:r>
          </w:p>
        </w:tc>
        <w:tc>
          <w:tcPr>
            <w:tcW w:w="0" w:type="auto"/>
            <w:vAlign w:val="center"/>
          </w:tcPr>
          <w:p w:rsidR="000A156F" w:rsidRDefault="00A9721F">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0A156F" w:rsidTr="000A156F">
        <w:tc>
          <w:tcPr>
            <w:tcW w:w="0" w:type="auto"/>
            <w:vAlign w:val="center"/>
          </w:tcPr>
          <w:p w:rsidR="000A156F" w:rsidRDefault="00A9721F">
            <w:pPr>
              <w:pStyle w:val="TableBodyText"/>
            </w:pPr>
            <w:r>
              <w:rPr>
                <w:rStyle w:val="InlineCode"/>
              </w:rPr>
              <w:t>\p</w:t>
            </w:r>
          </w:p>
        </w:tc>
        <w:tc>
          <w:tcPr>
            <w:tcW w:w="0" w:type="auto"/>
            <w:vAlign w:val="center"/>
          </w:tcPr>
          <w:p w:rsidR="000A156F" w:rsidRDefault="00A9721F">
            <w:pPr>
              <w:pStyle w:val="TableBodyText"/>
            </w:pPr>
            <w:r>
              <w:t xml:space="preserve">Requests the linked object as a picture. This switch shall not be used in conjunction with any field-specific switches other than </w:t>
            </w:r>
            <w:r>
              <w:rPr>
                <w:rStyle w:val="InlineCode"/>
              </w:rPr>
              <w:t>\a</w:t>
            </w:r>
            <w:r>
              <w:t>.</w:t>
            </w:r>
          </w:p>
        </w:tc>
      </w:tr>
      <w:tr w:rsidR="000A156F" w:rsidTr="000A156F">
        <w:tc>
          <w:tcPr>
            <w:tcW w:w="0" w:type="auto"/>
            <w:vAlign w:val="center"/>
          </w:tcPr>
          <w:p w:rsidR="000A156F" w:rsidRDefault="00A9721F">
            <w:pPr>
              <w:pStyle w:val="TableBodyText"/>
            </w:pPr>
            <w:r>
              <w:rPr>
                <w:rStyle w:val="InlineCode"/>
              </w:rPr>
              <w:t>\r</w:t>
            </w:r>
          </w:p>
        </w:tc>
        <w:tc>
          <w:tcPr>
            <w:tcW w:w="0" w:type="auto"/>
            <w:vAlign w:val="center"/>
          </w:tcPr>
          <w:p w:rsidR="000A156F" w:rsidRDefault="00A9721F">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0A156F" w:rsidTr="000A156F">
        <w:tc>
          <w:tcPr>
            <w:tcW w:w="0" w:type="auto"/>
            <w:vAlign w:val="center"/>
          </w:tcPr>
          <w:p w:rsidR="000A156F" w:rsidRDefault="00A9721F">
            <w:pPr>
              <w:pStyle w:val="TableBodyText"/>
            </w:pPr>
            <w:r>
              <w:rPr>
                <w:rStyle w:val="InlineCode"/>
              </w:rPr>
              <w:t>\t</w:t>
            </w:r>
          </w:p>
        </w:tc>
        <w:tc>
          <w:tcPr>
            <w:tcW w:w="0" w:type="auto"/>
            <w:vAlign w:val="center"/>
          </w:tcPr>
          <w:p w:rsidR="000A156F" w:rsidRDefault="00A9721F">
            <w:pPr>
              <w:pStyle w:val="TableBodyText"/>
            </w:pPr>
            <w:r>
              <w:t xml:space="preserve">Requests the linked object in text-only format. This switch shall not be used in conjunction with any field-specific switches other than </w:t>
            </w:r>
            <w:r>
              <w:rPr>
                <w:rStyle w:val="InlineCode"/>
              </w:rPr>
              <w:t>\a</w:t>
            </w:r>
            <w:r>
              <w:t>.</w:t>
            </w:r>
          </w:p>
        </w:tc>
      </w:tr>
      <w:tr w:rsidR="000A156F" w:rsidTr="000A156F">
        <w:tc>
          <w:tcPr>
            <w:tcW w:w="0" w:type="auto"/>
            <w:vAlign w:val="center"/>
          </w:tcPr>
          <w:p w:rsidR="000A156F" w:rsidRDefault="00A9721F">
            <w:pPr>
              <w:pStyle w:val="TableBodyText"/>
            </w:pPr>
            <w:r>
              <w:rPr>
                <w:rStyle w:val="InlineCode"/>
              </w:rPr>
              <w:t>\u</w:t>
            </w:r>
          </w:p>
        </w:tc>
        <w:tc>
          <w:tcPr>
            <w:tcW w:w="0" w:type="auto"/>
            <w:vAlign w:val="center"/>
          </w:tcPr>
          <w:p w:rsidR="000A156F" w:rsidRDefault="00A9721F">
            <w:pPr>
              <w:pStyle w:val="TableBodyText"/>
            </w:pPr>
            <w:r>
              <w:t>Requests the linked object as Unicode text. This switch shall not be used</w:t>
            </w:r>
            <w:r>
              <w:t xml:space="preserve"> in conjunction with any field-specific switches other than </w:t>
            </w:r>
            <w:r>
              <w:rPr>
                <w:rStyle w:val="InlineCode"/>
              </w:rPr>
              <w:t>\a</w:t>
            </w:r>
            <w:r>
              <w:t>.</w:t>
            </w:r>
          </w:p>
          <w:p w:rsidR="000A156F" w:rsidRDefault="00A9721F">
            <w:pPr>
              <w:pStyle w:val="TableBodyText"/>
            </w:pPr>
            <w:r>
              <w:t>Word does not support this switch.</w:t>
            </w:r>
          </w:p>
        </w:tc>
      </w:tr>
    </w:tbl>
    <w:p w:rsidR="000A156F" w:rsidRDefault="000A156F"/>
    <w:p w:rsidR="000A156F" w:rsidRDefault="00A9721F">
      <w:r>
        <w:t>[Example: The following example inserts a range of cells from a SpreadsheetML worksheet.</w:t>
      </w:r>
    </w:p>
    <w:p w:rsidR="000A156F" w:rsidRDefault="00A9721F">
      <w:pPr>
        <w:pStyle w:val="Code"/>
      </w:pPr>
      <w:r>
        <w:lastRenderedPageBreak/>
        <w:t>{ DDE excel "C:\\My Documents\\Profits.xls"</w:t>
      </w:r>
    </w:p>
    <w:p w:rsidR="000A156F" w:rsidRDefault="00A9721F">
      <w:pPr>
        <w:pStyle w:val="Code"/>
      </w:pPr>
      <w:r>
        <w:t xml:space="preserve">   "Sheet1!R1C1:R4C4" \a \p } </w:t>
      </w:r>
    </w:p>
    <w:p w:rsidR="000A156F" w:rsidRDefault="00A9721F">
      <w:r>
        <w:t>end example]</w:t>
      </w:r>
    </w:p>
    <w:p w:rsidR="000A156F" w:rsidRDefault="00A9721F">
      <w:pPr>
        <w:pStyle w:val="Heading5"/>
      </w:pPr>
      <w:bookmarkStart w:id="3909" w:name="section_4fe6d033f0d44d73ac81a7128522c5ff"/>
      <w:bookmarkStart w:id="3910" w:name="_Toc181684980"/>
      <w:r>
        <w:t>DDEAUTO</w:t>
      </w:r>
      <w:bookmarkEnd w:id="3909"/>
      <w:bookmarkEnd w:id="3910"/>
      <w:r>
        <w:fldChar w:fldCharType="begin"/>
      </w:r>
      <w:r>
        <w:instrText xml:space="preserve"> XE "DDEAUTO" </w:instrText>
      </w:r>
      <w:r>
        <w:fldChar w:fldCharType="end"/>
      </w:r>
    </w:p>
    <w:p w:rsidR="000A156F" w:rsidRDefault="00A9721F">
      <w:r>
        <w:rPr>
          <w:b/>
        </w:rPr>
        <w:t>Syntax</w:t>
      </w:r>
      <w:r>
        <w:t>:</w:t>
      </w:r>
    </w:p>
    <w:p w:rsidR="000A156F" w:rsidRDefault="00A9721F">
      <w:r>
        <w:t>DDEAUTO field-argument-1  field-argument-2  [ field-argument-3 ]  [ switches ]</w:t>
      </w:r>
    </w:p>
    <w:p w:rsidR="000A156F" w:rsidRDefault="00A9721F">
      <w:r>
        <w:t>field-argument-1:</w:t>
      </w:r>
    </w:p>
    <w:p w:rsidR="000A156F" w:rsidRDefault="00A9721F">
      <w:r>
        <w:t>field-argument</w:t>
      </w:r>
    </w:p>
    <w:p w:rsidR="000A156F" w:rsidRDefault="00A9721F">
      <w:r>
        <w:t>field-argument-2:</w:t>
      </w:r>
    </w:p>
    <w:p w:rsidR="000A156F" w:rsidRDefault="00A9721F">
      <w:r>
        <w:t>field-argument</w:t>
      </w:r>
    </w:p>
    <w:p w:rsidR="000A156F" w:rsidRDefault="00A9721F">
      <w:r>
        <w:t>field-argument-3:</w:t>
      </w:r>
    </w:p>
    <w:p w:rsidR="000A156F" w:rsidRDefault="00A9721F">
      <w:r>
        <w:t>field-argument</w:t>
      </w:r>
    </w:p>
    <w:p w:rsidR="000A156F" w:rsidRDefault="00A9721F">
      <w:r>
        <w:rPr>
          <w:b/>
        </w:rPr>
        <w:t>De</w:t>
      </w:r>
      <w:r>
        <w:rPr>
          <w:b/>
        </w:rPr>
        <w:t>scription:</w:t>
      </w:r>
      <w:r>
        <w:t xml:space="preserve"> For information copied from another application, this field links that information to its original source file using DDE and is updated automatically. The application name shall be specified in field-argument-1; this application must be running.</w:t>
      </w:r>
      <w:r>
        <w:t xml:space="preserve">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302">
        <w:r>
          <w:rPr>
            <w:rStyle w:val="Hyperlink"/>
          </w:rPr>
          <w:t>[ISO/IEC-29500-1]</w:t>
        </w:r>
      </w:hyperlink>
      <w:r>
        <w:t xml:space="preserve"> §17.16.5.32; LINK") be used instead. end note] [Example: If the source file is a SpreadsheetML document, the reference might be to a cell reference or a named range. For a Wordproce</w:t>
      </w:r>
      <w:r>
        <w:t>ssingML document, it might be a bookmark. end example]</w:t>
      </w:r>
    </w:p>
    <w:p w:rsidR="000A156F" w:rsidRDefault="00A9721F">
      <w:r>
        <w:rPr>
          <w:b/>
        </w:rPr>
        <w:t>Field Value</w:t>
      </w:r>
      <w:r>
        <w:t>: The DDE object representation of the linked file or the contents of the file itself, depending on the switches used.</w:t>
      </w:r>
    </w:p>
    <w:p w:rsidR="000A156F" w:rsidRDefault="00A9721F">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A156F" w:rsidRDefault="00A9721F">
            <w:pPr>
              <w:pStyle w:val="TableHeaderText"/>
            </w:pPr>
            <w:r>
              <w:t xml:space="preserve">Field </w:t>
            </w:r>
            <w:r>
              <w:t>specific switches</w:t>
            </w:r>
          </w:p>
        </w:tc>
      </w:tr>
      <w:tr w:rsidR="000A156F" w:rsidTr="000A156F">
        <w:tc>
          <w:tcPr>
            <w:tcW w:w="0" w:type="auto"/>
            <w:vAlign w:val="center"/>
          </w:tcPr>
          <w:p w:rsidR="000A156F" w:rsidRDefault="00A9721F">
            <w:pPr>
              <w:pStyle w:val="TableBodyText"/>
            </w:pPr>
            <w:r>
              <w:rPr>
                <w:rStyle w:val="InlineCode"/>
              </w:rPr>
              <w:t>\b</w:t>
            </w:r>
          </w:p>
        </w:tc>
        <w:tc>
          <w:tcPr>
            <w:tcW w:w="0" w:type="auto"/>
            <w:vAlign w:val="center"/>
          </w:tcPr>
          <w:p w:rsidR="000A156F" w:rsidRDefault="00A9721F">
            <w:pPr>
              <w:pStyle w:val="TableBodyText"/>
            </w:pPr>
            <w:r>
              <w:t>Requests the linked object as a bitmap. This switch shall not be used in conjunction with any field-specific switches.</w:t>
            </w:r>
          </w:p>
        </w:tc>
      </w:tr>
      <w:tr w:rsidR="000A156F" w:rsidTr="000A156F">
        <w:tc>
          <w:tcPr>
            <w:tcW w:w="0" w:type="auto"/>
            <w:vAlign w:val="center"/>
          </w:tcPr>
          <w:p w:rsidR="000A156F" w:rsidRDefault="00A9721F">
            <w:pPr>
              <w:pStyle w:val="TableBodyText"/>
            </w:pPr>
            <w:r>
              <w:rPr>
                <w:rStyle w:val="InlineCode"/>
              </w:rPr>
              <w:t>\d</w:t>
            </w:r>
          </w:p>
        </w:tc>
        <w:tc>
          <w:tcPr>
            <w:tcW w:w="0" w:type="auto"/>
            <w:vAlign w:val="center"/>
          </w:tcPr>
          <w:p w:rsidR="000A156F" w:rsidRDefault="00A9721F">
            <w:pPr>
              <w:pStyle w:val="TableBodyText"/>
            </w:pPr>
            <w:r>
              <w:t>Specifies that the graphic data shall not be stored with the document, thus reducing the file size. This switch</w:t>
            </w:r>
            <w:r>
              <w:t xml:space="preserve"> shall not be used in conjunction with any field-specific switches.</w:t>
            </w:r>
          </w:p>
          <w:p w:rsidR="000A156F" w:rsidRDefault="00A9721F">
            <w:pPr>
              <w:pStyle w:val="TableBodyText"/>
            </w:pPr>
            <w:r>
              <w:t>Word does not support this switch.</w:t>
            </w:r>
          </w:p>
        </w:tc>
      </w:tr>
      <w:tr w:rsidR="000A156F" w:rsidTr="000A156F">
        <w:tc>
          <w:tcPr>
            <w:tcW w:w="0" w:type="auto"/>
            <w:vAlign w:val="center"/>
          </w:tcPr>
          <w:p w:rsidR="000A156F" w:rsidRDefault="00A9721F">
            <w:pPr>
              <w:pStyle w:val="TableBodyText"/>
            </w:pPr>
            <w:r>
              <w:rPr>
                <w:rStyle w:val="InlineCode"/>
              </w:rPr>
              <w:t>\h</w:t>
            </w:r>
          </w:p>
        </w:tc>
        <w:tc>
          <w:tcPr>
            <w:tcW w:w="0" w:type="auto"/>
            <w:vAlign w:val="center"/>
          </w:tcPr>
          <w:p w:rsidR="000A156F" w:rsidRDefault="00A9721F">
            <w:pPr>
              <w:pStyle w:val="TableBodyText"/>
            </w:pPr>
            <w:r>
              <w:t>Requests the linked object as HTML-formatted text. This switch shall not be used in conjunction with any field-specific switches.</w:t>
            </w:r>
          </w:p>
        </w:tc>
      </w:tr>
      <w:tr w:rsidR="000A156F" w:rsidTr="000A156F">
        <w:tc>
          <w:tcPr>
            <w:tcW w:w="0" w:type="auto"/>
            <w:vAlign w:val="center"/>
          </w:tcPr>
          <w:p w:rsidR="000A156F" w:rsidRDefault="00A9721F">
            <w:pPr>
              <w:pStyle w:val="TableBodyText"/>
            </w:pPr>
            <w:r>
              <w:rPr>
                <w:rStyle w:val="InlineCode"/>
              </w:rPr>
              <w:t>\p</w:t>
            </w:r>
          </w:p>
        </w:tc>
        <w:tc>
          <w:tcPr>
            <w:tcW w:w="0" w:type="auto"/>
            <w:vAlign w:val="center"/>
          </w:tcPr>
          <w:p w:rsidR="000A156F" w:rsidRDefault="00A9721F">
            <w:pPr>
              <w:pStyle w:val="TableBodyText"/>
            </w:pPr>
            <w:r>
              <w:t>Requests the li</w:t>
            </w:r>
            <w:r>
              <w:t>nked object as a picture. This switch shall not be used in conjunction with any field-specific switches.</w:t>
            </w:r>
          </w:p>
        </w:tc>
      </w:tr>
      <w:tr w:rsidR="000A156F" w:rsidTr="000A156F">
        <w:tc>
          <w:tcPr>
            <w:tcW w:w="0" w:type="auto"/>
            <w:vAlign w:val="center"/>
          </w:tcPr>
          <w:p w:rsidR="000A156F" w:rsidRDefault="00A9721F">
            <w:pPr>
              <w:pStyle w:val="TableBodyText"/>
            </w:pPr>
            <w:r>
              <w:rPr>
                <w:rStyle w:val="InlineCode"/>
              </w:rPr>
              <w:t>\r</w:t>
            </w:r>
          </w:p>
        </w:tc>
        <w:tc>
          <w:tcPr>
            <w:tcW w:w="0" w:type="auto"/>
            <w:vAlign w:val="center"/>
          </w:tcPr>
          <w:p w:rsidR="000A156F" w:rsidRDefault="00A9721F">
            <w:pPr>
              <w:pStyle w:val="TableBodyText"/>
            </w:pPr>
            <w:r>
              <w:t>Requests the linked object in rich-text format (RTF). This switch shall not be used in conjunction with any field-specific switches.</w:t>
            </w:r>
          </w:p>
        </w:tc>
      </w:tr>
      <w:tr w:rsidR="000A156F" w:rsidTr="000A156F">
        <w:tc>
          <w:tcPr>
            <w:tcW w:w="0" w:type="auto"/>
            <w:vAlign w:val="center"/>
          </w:tcPr>
          <w:p w:rsidR="000A156F" w:rsidRDefault="00A9721F">
            <w:pPr>
              <w:pStyle w:val="TableBodyText"/>
            </w:pPr>
            <w:r>
              <w:rPr>
                <w:rStyle w:val="InlineCode"/>
              </w:rPr>
              <w:t>\t</w:t>
            </w:r>
          </w:p>
        </w:tc>
        <w:tc>
          <w:tcPr>
            <w:tcW w:w="0" w:type="auto"/>
            <w:vAlign w:val="center"/>
          </w:tcPr>
          <w:p w:rsidR="000A156F" w:rsidRDefault="00A9721F">
            <w:pPr>
              <w:pStyle w:val="TableBodyText"/>
            </w:pPr>
            <w:r>
              <w:t>Requests t</w:t>
            </w:r>
            <w:r>
              <w:t>he linked object in text-only format. This switch shall not be used in conjunction with any field-specific switches.</w:t>
            </w:r>
          </w:p>
        </w:tc>
      </w:tr>
      <w:tr w:rsidR="000A156F" w:rsidTr="000A156F">
        <w:tc>
          <w:tcPr>
            <w:tcW w:w="0" w:type="auto"/>
            <w:vAlign w:val="center"/>
          </w:tcPr>
          <w:p w:rsidR="000A156F" w:rsidRDefault="00A9721F">
            <w:pPr>
              <w:pStyle w:val="TableBodyText"/>
            </w:pPr>
            <w:r>
              <w:rPr>
                <w:rStyle w:val="InlineCode"/>
              </w:rPr>
              <w:t>\u</w:t>
            </w:r>
          </w:p>
        </w:tc>
        <w:tc>
          <w:tcPr>
            <w:tcW w:w="0" w:type="auto"/>
            <w:vAlign w:val="center"/>
          </w:tcPr>
          <w:p w:rsidR="000A156F" w:rsidRDefault="00A9721F">
            <w:pPr>
              <w:pStyle w:val="TableBodyText"/>
            </w:pPr>
            <w:r>
              <w:t>Requests the linked object as Unicode text. This switch shall not be used in conjunction with any field-specific switches.</w:t>
            </w:r>
          </w:p>
          <w:p w:rsidR="000A156F" w:rsidRDefault="00A9721F">
            <w:pPr>
              <w:pStyle w:val="TableBodyText"/>
            </w:pPr>
            <w:r>
              <w:lastRenderedPageBreak/>
              <w:t>Word does no</w:t>
            </w:r>
            <w:r>
              <w:t>t support this switch.</w:t>
            </w:r>
          </w:p>
        </w:tc>
      </w:tr>
    </w:tbl>
    <w:p w:rsidR="000A156F" w:rsidRDefault="000A156F"/>
    <w:p w:rsidR="000A156F" w:rsidRDefault="00A9721F">
      <w:r>
        <w:t xml:space="preserve">[Example: The following example inserts a range of cells from a SpreadsheetML worksheet. </w:t>
      </w:r>
    </w:p>
    <w:p w:rsidR="000A156F" w:rsidRDefault="00A9721F">
      <w:pPr>
        <w:pStyle w:val="Code"/>
      </w:pPr>
      <w:r>
        <w:t>{ DDEAUTO excel "C:\\My Documents\\Profits.xls"</w:t>
      </w:r>
    </w:p>
    <w:p w:rsidR="000A156F" w:rsidRDefault="00A9721F">
      <w:pPr>
        <w:pStyle w:val="Code"/>
      </w:pPr>
      <w:r>
        <w:t xml:space="preserve">   "Sheet1!R1C1:R4C4" \p } </w:t>
      </w:r>
    </w:p>
    <w:p w:rsidR="000A156F" w:rsidRDefault="00A9721F">
      <w:r>
        <w:t>end example]</w:t>
      </w:r>
    </w:p>
    <w:p w:rsidR="000A156F" w:rsidRDefault="00A9721F">
      <w:pPr>
        <w:pStyle w:val="Heading5"/>
      </w:pPr>
      <w:bookmarkStart w:id="3911" w:name="section_911a353b274e487b86d29c8271f7a2b5"/>
      <w:bookmarkStart w:id="3912" w:name="_Toc181684981"/>
      <w:r>
        <w:t>GLOSSARY</w:t>
      </w:r>
      <w:bookmarkEnd w:id="3911"/>
      <w:bookmarkEnd w:id="3912"/>
      <w:r>
        <w:fldChar w:fldCharType="begin"/>
      </w:r>
      <w:r>
        <w:instrText xml:space="preserve"> XE "GLOSSARY" </w:instrText>
      </w:r>
      <w:r>
        <w:fldChar w:fldCharType="end"/>
      </w:r>
    </w:p>
    <w:p w:rsidR="000A156F" w:rsidRDefault="00A9721F">
      <w:r>
        <w:rPr>
          <w:b/>
        </w:rPr>
        <w:t>Syntax</w:t>
      </w:r>
      <w:r>
        <w:t>:</w:t>
      </w:r>
    </w:p>
    <w:p w:rsidR="000A156F" w:rsidRDefault="00A9721F">
      <w:r>
        <w:t xml:space="preserve">GLOSSARY </w:t>
      </w:r>
      <w:r>
        <w:t>field-argument</w:t>
      </w:r>
    </w:p>
    <w:p w:rsidR="000A156F" w:rsidRDefault="00A9721F">
      <w:r>
        <w:rPr>
          <w:b/>
        </w:rPr>
        <w:t>Description:</w:t>
      </w:r>
      <w:r>
        <w:t xml:space="preserve"> Inserts the glossary entry whose name is specified by text in field-argument. </w:t>
      </w:r>
    </w:p>
    <w:p w:rsidR="000A156F" w:rsidRDefault="00A9721F">
      <w:r>
        <w:t>Regarding XML generation, the field result is the value of the glossary. [Note: This can be arbitrarily complex and involve VML. end note]</w:t>
      </w:r>
    </w:p>
    <w:p w:rsidR="000A156F" w:rsidRDefault="00A9721F">
      <w:r>
        <w:rPr>
          <w:b/>
        </w:rPr>
        <w:t xml:space="preserve">Field </w:t>
      </w:r>
      <w:r>
        <w:rPr>
          <w:b/>
        </w:rPr>
        <w:t>Value</w:t>
      </w:r>
      <w:r>
        <w:t>: The specified glossary entry.</w:t>
      </w:r>
    </w:p>
    <w:p w:rsidR="000A156F" w:rsidRDefault="00A9721F">
      <w:r>
        <w:rPr>
          <w:b/>
        </w:rPr>
        <w:t>Switches</w:t>
      </w:r>
      <w:r>
        <w:t>: None.</w:t>
      </w:r>
    </w:p>
    <w:p w:rsidR="000A156F" w:rsidRDefault="00A9721F">
      <w:r>
        <w:t>[Example: Assume the following entries are defined with values of current page number, salutation, and a notice:</w:t>
      </w:r>
    </w:p>
    <w:p w:rsidR="000A156F" w:rsidRDefault="00A9721F">
      <w:pPr>
        <w:pStyle w:val="Code"/>
      </w:pPr>
      <w:r>
        <w:t>GLOSSARY "- PAGE -"</w:t>
      </w:r>
    </w:p>
    <w:p w:rsidR="000A156F" w:rsidRDefault="00A9721F">
      <w:pPr>
        <w:pStyle w:val="Code"/>
      </w:pPr>
      <w:r>
        <w:t xml:space="preserve">GLOSSARY "Yours truly," </w:t>
      </w:r>
    </w:p>
    <w:p w:rsidR="000A156F" w:rsidRDefault="00A9721F">
      <w:pPr>
        <w:pStyle w:val="Code"/>
      </w:pPr>
      <w:r>
        <w:t>GLOSSARY Confidential</w:t>
      </w:r>
    </w:p>
    <w:p w:rsidR="000A156F" w:rsidRDefault="00A9721F">
      <w:r>
        <w:t>When evaluated, they mi</w:t>
      </w:r>
      <w:r>
        <w:t>ght produce the following results:</w:t>
      </w:r>
    </w:p>
    <w:p w:rsidR="000A156F" w:rsidRDefault="00A9721F">
      <w:pPr>
        <w:pStyle w:val="Code"/>
      </w:pPr>
      <w:r>
        <w:t xml:space="preserve"> - 13 -</w:t>
      </w:r>
    </w:p>
    <w:p w:rsidR="000A156F" w:rsidRDefault="00A9721F">
      <w:pPr>
        <w:pStyle w:val="Code"/>
      </w:pPr>
      <w:r>
        <w:t>Yours truly,</w:t>
      </w:r>
    </w:p>
    <w:p w:rsidR="000A156F" w:rsidRDefault="00A9721F">
      <w:pPr>
        <w:pStyle w:val="Code"/>
      </w:pPr>
      <w:r>
        <w:t>CONFIDENTIAL</w:t>
      </w:r>
    </w:p>
    <w:p w:rsidR="000A156F" w:rsidRDefault="00A9721F">
      <w:r>
        <w:t>end example]</w:t>
      </w:r>
    </w:p>
    <w:p w:rsidR="000A156F" w:rsidRDefault="00A9721F">
      <w:pPr>
        <w:pStyle w:val="Heading5"/>
      </w:pPr>
      <w:bookmarkStart w:id="3913" w:name="section_abc02456ec344da29bd1fccd0bee1ee0"/>
      <w:bookmarkStart w:id="3914" w:name="_Toc181684982"/>
      <w:r>
        <w:t>IMPORT</w:t>
      </w:r>
      <w:bookmarkEnd w:id="3913"/>
      <w:bookmarkEnd w:id="3914"/>
      <w:r>
        <w:fldChar w:fldCharType="begin"/>
      </w:r>
      <w:r>
        <w:instrText xml:space="preserve"> XE "IMPORT" </w:instrText>
      </w:r>
      <w:r>
        <w:fldChar w:fldCharType="end"/>
      </w:r>
    </w:p>
    <w:p w:rsidR="000A156F" w:rsidRDefault="00A9721F">
      <w:r>
        <w:rPr>
          <w:b/>
        </w:rPr>
        <w:t>Syntax</w:t>
      </w:r>
      <w:r>
        <w:t>:</w:t>
      </w:r>
    </w:p>
    <w:p w:rsidR="000A156F" w:rsidRDefault="00A9721F">
      <w:r>
        <w:t>IMPORT  field-argument  [ switches ]</w:t>
      </w:r>
    </w:p>
    <w:p w:rsidR="000A156F" w:rsidRDefault="00A9721F">
      <w:r>
        <w:rPr>
          <w:b/>
        </w:rPr>
        <w:t>Description:</w:t>
      </w:r>
      <w:r>
        <w:t xml:space="preserve"> Retrieves the picture contained in the document named by field-argument.</w:t>
      </w:r>
    </w:p>
    <w:p w:rsidR="000A156F" w:rsidRDefault="00A9721F">
      <w:r>
        <w:rPr>
          <w:b/>
        </w:rPr>
        <w:t>Field Value</w:t>
      </w:r>
      <w:r>
        <w:t>: The spec</w:t>
      </w:r>
      <w:r>
        <w:t>ified picture.</w:t>
      </w:r>
    </w:p>
    <w:p w:rsidR="000A156F" w:rsidRDefault="00A9721F">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A156F" w:rsidRDefault="00A9721F">
            <w:pPr>
              <w:pStyle w:val="TableHeaderText"/>
            </w:pPr>
            <w:r>
              <w:lastRenderedPageBreak/>
              <w:t>Field specific switches</w:t>
            </w:r>
          </w:p>
        </w:tc>
      </w:tr>
      <w:tr w:rsidR="000A156F" w:rsidTr="000A156F">
        <w:tc>
          <w:tcPr>
            <w:tcW w:w="0" w:type="auto"/>
            <w:vAlign w:val="center"/>
          </w:tcPr>
          <w:p w:rsidR="000A156F" w:rsidRDefault="00A9721F">
            <w:pPr>
              <w:pStyle w:val="TableBodyText"/>
            </w:pPr>
            <w:r>
              <w:rPr>
                <w:rStyle w:val="InlineCode"/>
              </w:rPr>
              <w:t xml:space="preserve">\c </w:t>
            </w:r>
            <w:r>
              <w:t>field-argument</w:t>
            </w:r>
          </w:p>
        </w:tc>
        <w:tc>
          <w:tcPr>
            <w:tcW w:w="0" w:type="auto"/>
            <w:vAlign w:val="center"/>
          </w:tcPr>
          <w:p w:rsidR="000A156F" w:rsidRDefault="00A9721F">
            <w:pPr>
              <w:pStyle w:val="TableBodyText"/>
            </w:pPr>
            <w:r>
              <w:t>If text in this switch's field-argument identifies the graphics filter to be used.</w:t>
            </w:r>
          </w:p>
        </w:tc>
      </w:tr>
      <w:tr w:rsidR="000A156F" w:rsidTr="000A156F">
        <w:tc>
          <w:tcPr>
            <w:tcW w:w="0" w:type="auto"/>
            <w:vAlign w:val="center"/>
          </w:tcPr>
          <w:p w:rsidR="000A156F" w:rsidRDefault="00A9721F">
            <w:pPr>
              <w:pStyle w:val="TableBodyText"/>
            </w:pPr>
            <w:r>
              <w:rPr>
                <w:rStyle w:val="InlineCode"/>
              </w:rPr>
              <w:t>\d</w:t>
            </w:r>
          </w:p>
        </w:tc>
        <w:tc>
          <w:tcPr>
            <w:tcW w:w="0" w:type="auto"/>
            <w:vAlign w:val="center"/>
          </w:tcPr>
          <w:p w:rsidR="000A156F" w:rsidRDefault="00A9721F">
            <w:pPr>
              <w:pStyle w:val="TableBodyText"/>
            </w:pPr>
            <w:r>
              <w:t xml:space="preserve">Reduce the file size by not storing graphics </w:t>
            </w:r>
            <w:r>
              <w:t>data with the document.</w:t>
            </w:r>
          </w:p>
        </w:tc>
      </w:tr>
    </w:tbl>
    <w:p w:rsidR="000A156F" w:rsidRDefault="000A156F"/>
    <w:p w:rsidR="000A156F" w:rsidRDefault="00A9721F">
      <w:r>
        <w:t xml:space="preserve">[Example: </w:t>
      </w:r>
    </w:p>
    <w:p w:rsidR="000A156F" w:rsidRDefault="00A9721F">
      <w:pPr>
        <w:pStyle w:val="Code"/>
      </w:pPr>
      <w:r>
        <w:t>IMPORT "G:\\Photos\\Ellen in Oslo.jpg"</w:t>
      </w:r>
    </w:p>
    <w:p w:rsidR="000A156F" w:rsidRDefault="00A9721F">
      <w:r>
        <w:t>end example]</w:t>
      </w:r>
    </w:p>
    <w:p w:rsidR="000A156F" w:rsidRDefault="00A9721F">
      <w:pPr>
        <w:pStyle w:val="Heading5"/>
      </w:pPr>
      <w:bookmarkStart w:id="3915" w:name="section_163bafc130cd4c6bb324326da7b283c7"/>
      <w:bookmarkStart w:id="3916" w:name="_Toc181684983"/>
      <w:r>
        <w:t>INCLUDE</w:t>
      </w:r>
      <w:bookmarkEnd w:id="3915"/>
      <w:bookmarkEnd w:id="3916"/>
      <w:r>
        <w:fldChar w:fldCharType="begin"/>
      </w:r>
      <w:r>
        <w:instrText xml:space="preserve"> XE "INCLUDE" </w:instrText>
      </w:r>
      <w:r>
        <w:fldChar w:fldCharType="end"/>
      </w:r>
    </w:p>
    <w:p w:rsidR="000A156F" w:rsidRDefault="00A9721F">
      <w:r>
        <w:rPr>
          <w:b/>
        </w:rPr>
        <w:t>Syntax</w:t>
      </w:r>
      <w:r>
        <w:t>:</w:t>
      </w:r>
    </w:p>
    <w:p w:rsidR="000A156F" w:rsidRDefault="00A9721F">
      <w:r>
        <w:t>INCLUDE  field-argument-1  [ field-argument-2 ]  [ switches ]</w:t>
      </w:r>
    </w:p>
    <w:p w:rsidR="000A156F" w:rsidRDefault="00A9721F">
      <w:r>
        <w:t>field-argument-1:</w:t>
      </w:r>
    </w:p>
    <w:p w:rsidR="000A156F" w:rsidRDefault="00A9721F">
      <w:r>
        <w:t>field-argument</w:t>
      </w:r>
    </w:p>
    <w:p w:rsidR="000A156F" w:rsidRDefault="00A9721F">
      <w:r>
        <w:t>field-argument-2:</w:t>
      </w:r>
    </w:p>
    <w:p w:rsidR="000A156F" w:rsidRDefault="00A9721F">
      <w:r>
        <w:t>field-argument</w:t>
      </w:r>
    </w:p>
    <w:p w:rsidR="000A156F" w:rsidRDefault="00A9721F">
      <w:r>
        <w:rPr>
          <w:b/>
        </w:rPr>
        <w:t>Descrip</w:t>
      </w:r>
      <w:r>
        <w:rPr>
          <w:b/>
        </w:rPr>
        <w:t>tion:</w:t>
      </w:r>
      <w:r>
        <w:t xml:space="preserve"> Inserts all or part of the text and graphics contained in the document named by field-argument-1. If the document is a WordprocessingML document, the portion marked by the optional bookmark field-argument-2 is inserted. If no such bookmark is specifi</w:t>
      </w:r>
      <w:r>
        <w:t xml:space="preserve">ed here, the whole document is inserted. </w:t>
      </w:r>
    </w:p>
    <w:p w:rsidR="000A156F" w:rsidRDefault="00A9721F">
      <w:r>
        <w:rPr>
          <w:b/>
        </w:rPr>
        <w:t>Field Value</w:t>
      </w:r>
      <w:r>
        <w:t>: The specified text and graphics.</w:t>
      </w:r>
    </w:p>
    <w:p w:rsidR="000A156F" w:rsidRDefault="00A9721F">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0A156F" w:rsidRDefault="00A9721F">
            <w:pPr>
              <w:pStyle w:val="TableHeaderText"/>
            </w:pPr>
            <w:r>
              <w:t>Field specific switches</w:t>
            </w:r>
          </w:p>
        </w:tc>
      </w:tr>
      <w:tr w:rsidR="000A156F" w:rsidTr="000A156F">
        <w:tc>
          <w:tcPr>
            <w:tcW w:w="0" w:type="auto"/>
            <w:vAlign w:val="center"/>
          </w:tcPr>
          <w:p w:rsidR="000A156F" w:rsidRDefault="00A9721F">
            <w:pPr>
              <w:pStyle w:val="TableBodyText"/>
            </w:pPr>
            <w:r>
              <w:rPr>
                <w:rStyle w:val="InlineCode"/>
              </w:rPr>
              <w:t>\!</w:t>
            </w:r>
          </w:p>
        </w:tc>
        <w:tc>
          <w:tcPr>
            <w:tcW w:w="0" w:type="auto"/>
            <w:vAlign w:val="center"/>
          </w:tcPr>
          <w:p w:rsidR="000A156F" w:rsidRDefault="00A9721F">
            <w:pPr>
              <w:pStyle w:val="TableBodyText"/>
            </w:pPr>
            <w:r>
              <w:t xml:space="preserve">Prevents this field from being updated unless all fields in the inserted </w:t>
            </w:r>
            <w:r>
              <w:t>text are first updated in their original document.</w:t>
            </w:r>
          </w:p>
        </w:tc>
      </w:tr>
      <w:tr w:rsidR="000A156F" w:rsidTr="000A156F">
        <w:tc>
          <w:tcPr>
            <w:tcW w:w="0" w:type="auto"/>
            <w:vAlign w:val="center"/>
          </w:tcPr>
          <w:p w:rsidR="000A156F" w:rsidRDefault="00A9721F">
            <w:pPr>
              <w:pStyle w:val="TableBodyText"/>
            </w:pPr>
            <w:r>
              <w:rPr>
                <w:rStyle w:val="InlineCode"/>
              </w:rPr>
              <w:t xml:space="preserve">\c </w:t>
            </w:r>
            <w:r>
              <w:t>field-argument</w:t>
            </w:r>
          </w:p>
        </w:tc>
        <w:tc>
          <w:tcPr>
            <w:tcW w:w="0" w:type="auto"/>
            <w:vAlign w:val="center"/>
          </w:tcPr>
          <w:p w:rsidR="000A156F" w:rsidRDefault="00A9721F">
            <w:pPr>
              <w:pStyle w:val="TableBodyText"/>
            </w:pPr>
            <w:r>
              <w:t>Specifies that the file specified by field-argument-2 shall be processed by a document filter whose name matches the corresponding field-argument value. Possible field-argument values ar</w:t>
            </w:r>
            <w:r>
              <w:t>e implementation-defined.</w:t>
            </w:r>
          </w:p>
        </w:tc>
      </w:tr>
    </w:tbl>
    <w:p w:rsidR="000A156F" w:rsidRDefault="000A156F"/>
    <w:p w:rsidR="000A156F" w:rsidRDefault="00A9721F">
      <w:r>
        <w:t xml:space="preserve">[Example: The following field inserts the portion of the WordprocessingML document referred to by the bookmark </w:t>
      </w:r>
      <w:r>
        <w:rPr>
          <w:rStyle w:val="InlineCode"/>
        </w:rPr>
        <w:t>Summary</w:t>
      </w:r>
      <w:r>
        <w:t>:</w:t>
      </w:r>
    </w:p>
    <w:p w:rsidR="000A156F" w:rsidRDefault="00A9721F">
      <w:pPr>
        <w:pStyle w:val="Code"/>
      </w:pPr>
      <w:r>
        <w:t>INCLUDE "C:\\Winword\\Port Development RFP" Summary</w:t>
      </w:r>
    </w:p>
    <w:p w:rsidR="000A156F" w:rsidRDefault="00A9721F">
      <w:r>
        <w:t>end example]</w:t>
      </w:r>
    </w:p>
    <w:p w:rsidR="000A156F" w:rsidRDefault="00A9721F">
      <w:pPr>
        <w:pStyle w:val="Heading5"/>
      </w:pPr>
      <w:bookmarkStart w:id="3917" w:name="section_a93caf1bfbe84ab38e3631b069f35d60"/>
      <w:bookmarkStart w:id="3918" w:name="_Toc181684984"/>
      <w:r>
        <w:t>SHAPE</w:t>
      </w:r>
      <w:bookmarkEnd w:id="3917"/>
      <w:bookmarkEnd w:id="3918"/>
      <w:r>
        <w:fldChar w:fldCharType="begin"/>
      </w:r>
      <w:r>
        <w:instrText xml:space="preserve"> XE "SHAPE" </w:instrText>
      </w:r>
      <w:r>
        <w:fldChar w:fldCharType="end"/>
      </w:r>
    </w:p>
    <w:p w:rsidR="000A156F" w:rsidRDefault="00A9721F">
      <w:r>
        <w:rPr>
          <w:b/>
        </w:rPr>
        <w:lastRenderedPageBreak/>
        <w:t>Syntax</w:t>
      </w:r>
      <w:r>
        <w:t>:</w:t>
      </w:r>
    </w:p>
    <w:p w:rsidR="000A156F" w:rsidRDefault="00A9721F">
      <w:r>
        <w:t xml:space="preserve">SHAPE </w:t>
      </w:r>
      <w:r>
        <w:t>field-argument</w:t>
      </w:r>
    </w:p>
    <w:p w:rsidR="000A156F" w:rsidRDefault="00A9721F">
      <w:r>
        <w:rPr>
          <w:b/>
        </w:rPr>
        <w:t>Description:</w:t>
      </w:r>
      <w:r>
        <w:t xml:space="preserve"> Retrieves the text specified by text in field-argument. The text may specify a character whose code point value is specified in decimal or hexadecimal. Three digits shall be used to specify a character using decimal numbers. Up </w:t>
      </w:r>
      <w:r>
        <w:t>to four digits shall be used to specify a character using hexadecimal (leading 0x or 0X).</w:t>
      </w:r>
    </w:p>
    <w:p w:rsidR="000A156F" w:rsidRDefault="00A9721F">
      <w:r>
        <w:t>Word does not allow insertion of the code point 13.</w:t>
      </w:r>
    </w:p>
    <w:p w:rsidR="000A156F" w:rsidRDefault="00A9721F">
      <w:r>
        <w:t xml:space="preserve">[Note: This field is supported for legacy reasons, and it is recommended that </w:t>
      </w:r>
      <w:r>
        <w:rPr>
          <w:rStyle w:val="InlineCode"/>
        </w:rPr>
        <w:t>QUOTE</w:t>
      </w:r>
      <w:r>
        <w:t xml:space="preserve"> ("</w:t>
      </w:r>
      <w:hyperlink r:id="rId303">
        <w:r>
          <w:rPr>
            <w:rStyle w:val="Hyperlink"/>
          </w:rPr>
          <w:t>[ISO/IEC-29500-1]</w:t>
        </w:r>
      </w:hyperlink>
      <w:r>
        <w:t xml:space="preserve"> §17.16.5.49; QUOTE") be used instead. end note]</w:t>
      </w:r>
    </w:p>
    <w:p w:rsidR="000A156F" w:rsidRDefault="00A9721F">
      <w:r>
        <w:rPr>
          <w:b/>
        </w:rPr>
        <w:t>Field Value</w:t>
      </w:r>
      <w:r>
        <w:t>: The specified text or character.</w:t>
      </w:r>
    </w:p>
    <w:p w:rsidR="000A156F" w:rsidRDefault="00A9721F">
      <w:r>
        <w:rPr>
          <w:b/>
        </w:rPr>
        <w:t>Switches</w:t>
      </w:r>
      <w:r>
        <w:t>: Zero or more of the date-and-time-formatting-switch, general-formattin</w:t>
      </w:r>
      <w:r>
        <w:t>g-switch, or numeric-formatting-switches, depending on the type of field-argument.</w:t>
      </w:r>
    </w:p>
    <w:p w:rsidR="000A156F" w:rsidRDefault="00A9721F">
      <w:r>
        <w:t>[Example: When the current month is January and the following field is updated:</w:t>
      </w:r>
    </w:p>
    <w:p w:rsidR="000A156F" w:rsidRDefault="00A9721F">
      <w:pPr>
        <w:pStyle w:val="Code"/>
      </w:pPr>
      <w:r>
        <w:t>Last month was SHAPE IF DATE \@ "M" = 1 "12" "= DATE \@ "M" - 1"/1/2000 \@ "MMMM".</w:t>
      </w:r>
    </w:p>
    <w:p w:rsidR="000A156F" w:rsidRDefault="00A9721F">
      <w:r>
        <w:t>the result</w:t>
      </w:r>
      <w:r>
        <w:t xml:space="preserve"> is:</w:t>
      </w:r>
    </w:p>
    <w:p w:rsidR="000A156F" w:rsidRDefault="00A9721F">
      <w:pPr>
        <w:pStyle w:val="Code"/>
      </w:pPr>
      <w:r>
        <w:t>Last month was December end example]</w:t>
      </w:r>
    </w:p>
    <w:p w:rsidR="000A156F" w:rsidRDefault="00A9721F">
      <w:r>
        <w:t>[Example: When the following field is updated:</w:t>
      </w:r>
    </w:p>
    <w:p w:rsidR="000A156F" w:rsidRDefault="00A9721F">
      <w:pPr>
        <w:pStyle w:val="Code"/>
      </w:pPr>
      <w:r>
        <w:t>SHAPE 063 " is code point 63."</w:t>
      </w:r>
    </w:p>
    <w:p w:rsidR="000A156F" w:rsidRDefault="00A9721F">
      <w:r>
        <w:t>the result is:</w:t>
      </w:r>
    </w:p>
    <w:p w:rsidR="000A156F" w:rsidRDefault="00A9721F">
      <w:pPr>
        <w:pStyle w:val="Code"/>
      </w:pPr>
      <w:r>
        <w:t>? is code point 63. end example]</w:t>
      </w:r>
    </w:p>
    <w:p w:rsidR="000A156F" w:rsidRDefault="00A9721F">
      <w:pPr>
        <w:pStyle w:val="Heading5"/>
      </w:pPr>
      <w:bookmarkStart w:id="3919" w:name="section_cbc893c09683416d84c6407a92451c19"/>
      <w:bookmarkStart w:id="3920" w:name="_Toc181684985"/>
      <w:r>
        <w:t>DISPLAYBARCODE</w:t>
      </w:r>
      <w:bookmarkEnd w:id="3919"/>
      <w:bookmarkEnd w:id="3920"/>
      <w:r>
        <w:fldChar w:fldCharType="begin"/>
      </w:r>
      <w:r>
        <w:instrText xml:space="preserve"> XE "DISPLAYBARCODE" </w:instrText>
      </w:r>
      <w:r>
        <w:fldChar w:fldCharType="end"/>
      </w:r>
    </w:p>
    <w:p w:rsidR="000A156F" w:rsidRDefault="00A9721F">
      <w:r>
        <w:rPr>
          <w:b/>
        </w:rPr>
        <w:t xml:space="preserve">NOTE: </w:t>
      </w:r>
      <w:r>
        <w:t>This section is not applicable to Word 2010.</w:t>
      </w:r>
    </w:p>
    <w:p w:rsidR="000A156F" w:rsidRDefault="00A9721F">
      <w:r>
        <w:rPr>
          <w:b/>
        </w:rPr>
        <w:t>Syntax:</w:t>
      </w:r>
    </w:p>
    <w:p w:rsidR="000A156F" w:rsidRDefault="00A9721F">
      <w:r>
        <w:t>DISPLAYBARCODE field-argument-1 field-argument-2 [ switches ]</w:t>
      </w:r>
    </w:p>
    <w:p w:rsidR="000A156F" w:rsidRDefault="00A9721F">
      <w:r>
        <w:t>field-argument-1:</w:t>
      </w:r>
    </w:p>
    <w:p w:rsidR="000A156F" w:rsidRDefault="00A9721F">
      <w:r>
        <w:t>field-argument</w:t>
      </w:r>
    </w:p>
    <w:p w:rsidR="000A156F" w:rsidRDefault="00A9721F">
      <w:r>
        <w:t>field-argument-2:</w:t>
      </w:r>
    </w:p>
    <w:p w:rsidR="000A156F" w:rsidRDefault="00A9721F">
      <w:r>
        <w:t>field-argument</w:t>
      </w:r>
    </w:p>
    <w:p w:rsidR="000A156F" w:rsidRDefault="00A9721F">
      <w:r>
        <w:rPr>
          <w:b/>
        </w:rPr>
        <w:t xml:space="preserve">Description: </w:t>
      </w:r>
      <w:r>
        <w:t xml:space="preserve">Renders a generated barcode symbol using the data in this display field. </w:t>
      </w:r>
    </w:p>
    <w:p w:rsidR="000A156F" w:rsidRDefault="00A9721F">
      <w:r>
        <w:rPr>
          <w:i/>
        </w:rPr>
        <w:t xml:space="preserve">field-argument-1 </w:t>
      </w:r>
      <w:r>
        <w:t>is a quoted str</w:t>
      </w:r>
      <w:r>
        <w:t>ing containing the data (barcode-data) used to generate the barcode symbol.</w:t>
      </w:r>
    </w:p>
    <w:p w:rsidR="000A156F" w:rsidRDefault="00A9721F">
      <w:r>
        <w:rPr>
          <w:i/>
        </w:rPr>
        <w:lastRenderedPageBreak/>
        <w:t xml:space="preserve">field-argument-2 </w:t>
      </w:r>
      <w:r>
        <w:t>is a text string containing the type of barcode (barcode-type) that will be generated.  The valid values (case-insensitive) are:  UPCA|UPCE|JAN13|JAN8|EAN13|EAN8|C</w:t>
      </w:r>
      <w:r>
        <w:t xml:space="preserve">ASE|ITF14|NW7|CODE39|CODE128|JPPOST|QR </w:t>
      </w:r>
    </w:p>
    <w:p w:rsidR="000A156F" w:rsidRDefault="00A9721F">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rPr>
                <w:i/>
              </w:rPr>
              <w:t>Field-argument-2</w:t>
            </w:r>
          </w:p>
        </w:tc>
        <w:tc>
          <w:tcPr>
            <w:tcW w:w="0" w:type="auto"/>
            <w:vAlign w:val="center"/>
          </w:tcPr>
          <w:p w:rsidR="000A156F" w:rsidRDefault="00A9721F">
            <w:pPr>
              <w:pStyle w:val="TableHeaderText"/>
            </w:pPr>
            <w:r>
              <w:t>Barcode Type Description</w:t>
            </w:r>
          </w:p>
        </w:tc>
      </w:tr>
      <w:tr w:rsidR="000A156F" w:rsidTr="000A156F">
        <w:tc>
          <w:tcPr>
            <w:tcW w:w="0" w:type="auto"/>
            <w:vAlign w:val="center"/>
          </w:tcPr>
          <w:p w:rsidR="000A156F" w:rsidRDefault="00A9721F">
            <w:pPr>
              <w:pStyle w:val="TableBodyText"/>
            </w:pPr>
            <w:r>
              <w:t>QR</w:t>
            </w:r>
          </w:p>
        </w:tc>
        <w:tc>
          <w:tcPr>
            <w:tcW w:w="0" w:type="auto"/>
            <w:vAlign w:val="center"/>
          </w:tcPr>
          <w:p w:rsidR="000A156F" w:rsidRDefault="00A9721F">
            <w:pPr>
              <w:pStyle w:val="TableBodyText"/>
            </w:pPr>
            <w:r>
              <w:t xml:space="preserve">A QR 2D bar code as specified by </w:t>
            </w:r>
            <w:hyperlink r:id="rId304">
              <w:r>
                <w:rPr>
                  <w:rStyle w:val="Hyperlink"/>
                </w:rPr>
                <w:t>[ISO/IEC18004:2006]</w:t>
              </w:r>
            </w:hyperlink>
            <w:r>
              <w:t>.</w:t>
            </w:r>
          </w:p>
        </w:tc>
      </w:tr>
      <w:tr w:rsidR="000A156F" w:rsidTr="000A156F">
        <w:tc>
          <w:tcPr>
            <w:tcW w:w="0" w:type="auto"/>
            <w:vAlign w:val="center"/>
          </w:tcPr>
          <w:p w:rsidR="000A156F" w:rsidRDefault="00A9721F">
            <w:pPr>
              <w:pStyle w:val="TableBodyText"/>
            </w:pPr>
            <w:r>
              <w:t>CODE128</w:t>
            </w:r>
          </w:p>
        </w:tc>
        <w:tc>
          <w:tcPr>
            <w:tcW w:w="0" w:type="auto"/>
            <w:vAlign w:val="center"/>
          </w:tcPr>
          <w:p w:rsidR="000A156F" w:rsidRDefault="00A9721F">
            <w:pPr>
              <w:pStyle w:val="TableBodyText"/>
            </w:pPr>
            <w:r>
              <w:t xml:space="preserve">A Code 128 linear bar code as specified by </w:t>
            </w:r>
            <w:hyperlink r:id="rId305">
              <w:r>
                <w:rPr>
                  <w:rStyle w:val="Hyperlink"/>
                </w:rPr>
                <w:t>[AIM-BC4-1995-Code128]</w:t>
              </w:r>
            </w:hyperlink>
            <w:r>
              <w:t>.</w:t>
            </w:r>
          </w:p>
        </w:tc>
      </w:tr>
      <w:tr w:rsidR="000A156F" w:rsidTr="000A156F">
        <w:tc>
          <w:tcPr>
            <w:tcW w:w="0" w:type="auto"/>
            <w:vAlign w:val="center"/>
          </w:tcPr>
          <w:p w:rsidR="000A156F" w:rsidRDefault="00A9721F">
            <w:pPr>
              <w:pStyle w:val="TableBodyText"/>
            </w:pPr>
            <w:r>
              <w:t>CODE39</w:t>
            </w:r>
          </w:p>
        </w:tc>
        <w:tc>
          <w:tcPr>
            <w:tcW w:w="0" w:type="auto"/>
            <w:vAlign w:val="center"/>
          </w:tcPr>
          <w:p w:rsidR="000A156F" w:rsidRDefault="00A9721F">
            <w:pPr>
              <w:pStyle w:val="TableBodyText"/>
            </w:pPr>
            <w:r>
              <w:t xml:space="preserve">A Code 39 linear bar code as specified by </w:t>
            </w:r>
            <w:hyperlink r:id="rId306">
              <w:r>
                <w:rPr>
                  <w:rStyle w:val="Hyperlink"/>
                </w:rPr>
                <w:t>[AIM-BC1-1995-Code39]</w:t>
              </w:r>
            </w:hyperlink>
            <w:r>
              <w:t>.</w:t>
            </w:r>
          </w:p>
        </w:tc>
      </w:tr>
      <w:tr w:rsidR="000A156F" w:rsidTr="000A156F">
        <w:tc>
          <w:tcPr>
            <w:tcW w:w="0" w:type="auto"/>
            <w:vAlign w:val="center"/>
          </w:tcPr>
          <w:p w:rsidR="000A156F" w:rsidRDefault="00A9721F">
            <w:pPr>
              <w:pStyle w:val="TableBodyText"/>
            </w:pPr>
            <w:r>
              <w:t>JPPOST</w:t>
            </w:r>
          </w:p>
        </w:tc>
        <w:tc>
          <w:tcPr>
            <w:tcW w:w="0" w:type="auto"/>
            <w:vAlign w:val="center"/>
          </w:tcPr>
          <w:p w:rsidR="000A156F" w:rsidRDefault="00A9721F">
            <w:pPr>
              <w:pStyle w:val="TableBodyText"/>
            </w:pPr>
            <w:r>
              <w:t>A Japanese Postal Service Customer barcode. JPPost is compliant with CBC (Customer Bar Code), which is also known as RM4SCC.</w:t>
            </w:r>
          </w:p>
        </w:tc>
      </w:tr>
      <w:tr w:rsidR="000A156F" w:rsidTr="000A156F">
        <w:tc>
          <w:tcPr>
            <w:tcW w:w="0" w:type="auto"/>
            <w:vAlign w:val="center"/>
          </w:tcPr>
          <w:p w:rsidR="000A156F" w:rsidRDefault="00A9721F">
            <w:pPr>
              <w:pStyle w:val="TableBodyText"/>
            </w:pPr>
            <w:r>
              <w:t>EAN8|EAN13</w:t>
            </w:r>
          </w:p>
        </w:tc>
        <w:tc>
          <w:tcPr>
            <w:tcW w:w="0" w:type="auto"/>
            <w:vAlign w:val="center"/>
          </w:tcPr>
          <w:p w:rsidR="000A156F" w:rsidRDefault="00A9721F">
            <w:pPr>
              <w:pStyle w:val="TableBodyText"/>
            </w:pPr>
            <w:r>
              <w:t>An EAN - International A</w:t>
            </w:r>
            <w:r>
              <w:t xml:space="preserve">rticle Number worldwide bar code for product ID’s (8 digit/13 digit) as specified in </w:t>
            </w:r>
            <w:hyperlink r:id="rId307">
              <w:r>
                <w:rPr>
                  <w:rStyle w:val="Hyperlink"/>
                </w:rPr>
                <w:t>[GS1-BARCODE]</w:t>
              </w:r>
            </w:hyperlink>
            <w:r>
              <w:t>.</w:t>
            </w:r>
          </w:p>
        </w:tc>
      </w:tr>
      <w:tr w:rsidR="000A156F" w:rsidTr="000A156F">
        <w:tc>
          <w:tcPr>
            <w:tcW w:w="0" w:type="auto"/>
            <w:vAlign w:val="center"/>
          </w:tcPr>
          <w:p w:rsidR="000A156F" w:rsidRDefault="00A9721F">
            <w:pPr>
              <w:pStyle w:val="TableBodyText"/>
            </w:pPr>
            <w:r>
              <w:t>JAN8|JAN13</w:t>
            </w:r>
          </w:p>
        </w:tc>
        <w:tc>
          <w:tcPr>
            <w:tcW w:w="0" w:type="auto"/>
            <w:vAlign w:val="center"/>
          </w:tcPr>
          <w:p w:rsidR="000A156F" w:rsidRDefault="00A9721F">
            <w:pPr>
              <w:pStyle w:val="TableBodyText"/>
            </w:pPr>
            <w:r>
              <w:t xml:space="preserve">A JAN: Japanese barcode for product ID’s (8 digit/13 digit). JAN8 is an alias </w:t>
            </w:r>
            <w:r>
              <w:t>of EAN8. JAN13 is an alias of EAN13.</w:t>
            </w:r>
          </w:p>
        </w:tc>
      </w:tr>
      <w:tr w:rsidR="000A156F" w:rsidTr="000A156F">
        <w:tc>
          <w:tcPr>
            <w:tcW w:w="0" w:type="auto"/>
            <w:vAlign w:val="center"/>
          </w:tcPr>
          <w:p w:rsidR="000A156F" w:rsidRDefault="00A9721F">
            <w:pPr>
              <w:pStyle w:val="TableBodyText"/>
            </w:pPr>
            <w:r>
              <w:t>UPCA|UPCE</w:t>
            </w:r>
          </w:p>
        </w:tc>
        <w:tc>
          <w:tcPr>
            <w:tcW w:w="0" w:type="auto"/>
            <w:vAlign w:val="center"/>
          </w:tcPr>
          <w:p w:rsidR="000A156F" w:rsidRDefault="00A9721F">
            <w:pPr>
              <w:pStyle w:val="TableBodyText"/>
            </w:pPr>
            <w:r>
              <w:t>A UPC (A&amp;E): US barcode for product ID’s as specified in [GS1-BARCODE].</w:t>
            </w:r>
          </w:p>
        </w:tc>
      </w:tr>
      <w:tr w:rsidR="000A156F" w:rsidTr="000A156F">
        <w:tc>
          <w:tcPr>
            <w:tcW w:w="0" w:type="auto"/>
            <w:vAlign w:val="center"/>
          </w:tcPr>
          <w:p w:rsidR="000A156F" w:rsidRDefault="00A9721F">
            <w:pPr>
              <w:pStyle w:val="TableBodyText"/>
            </w:pPr>
            <w:r>
              <w:t>ITF14</w:t>
            </w:r>
          </w:p>
        </w:tc>
        <w:tc>
          <w:tcPr>
            <w:tcW w:w="0" w:type="auto"/>
            <w:vAlign w:val="center"/>
          </w:tcPr>
          <w:p w:rsidR="000A156F" w:rsidRDefault="00A9721F">
            <w:pPr>
              <w:pStyle w:val="TableBodyText"/>
            </w:pPr>
            <w:r>
              <w:t>An ITF-14 item-tracking barcode for shipping as specified in [GS1-BARCODE].</w:t>
            </w:r>
          </w:p>
        </w:tc>
      </w:tr>
      <w:tr w:rsidR="000A156F" w:rsidTr="000A156F">
        <w:tc>
          <w:tcPr>
            <w:tcW w:w="0" w:type="auto"/>
            <w:vAlign w:val="center"/>
          </w:tcPr>
          <w:p w:rsidR="000A156F" w:rsidRDefault="00A9721F">
            <w:pPr>
              <w:pStyle w:val="TableBodyText"/>
            </w:pPr>
            <w:r>
              <w:t>NW7</w:t>
            </w:r>
          </w:p>
        </w:tc>
        <w:tc>
          <w:tcPr>
            <w:tcW w:w="0" w:type="auto"/>
            <w:vAlign w:val="center"/>
          </w:tcPr>
          <w:p w:rsidR="000A156F" w:rsidRDefault="00A9721F">
            <w:pPr>
              <w:pStyle w:val="TableBodyText"/>
            </w:pPr>
            <w:r>
              <w:t xml:space="preserve">A NW-7 (CODABAR) serial number bar code as specified by </w:t>
            </w:r>
            <w:hyperlink r:id="rId308">
              <w:r>
                <w:rPr>
                  <w:rStyle w:val="Hyperlink"/>
                </w:rPr>
                <w:t>[AIM-BC3-1995-Codabar]</w:t>
              </w:r>
            </w:hyperlink>
            <w:r>
              <w:t>.</w:t>
            </w:r>
          </w:p>
        </w:tc>
      </w:tr>
      <w:tr w:rsidR="000A156F" w:rsidTr="000A156F">
        <w:tc>
          <w:tcPr>
            <w:tcW w:w="0" w:type="auto"/>
            <w:vAlign w:val="center"/>
          </w:tcPr>
          <w:p w:rsidR="000A156F" w:rsidRDefault="00A9721F">
            <w:pPr>
              <w:pStyle w:val="TableBodyText"/>
            </w:pPr>
            <w:r>
              <w:t>CASE</w:t>
            </w:r>
          </w:p>
        </w:tc>
        <w:tc>
          <w:tcPr>
            <w:tcW w:w="0" w:type="auto"/>
            <w:vAlign w:val="center"/>
          </w:tcPr>
          <w:p w:rsidR="000A156F" w:rsidRDefault="00A9721F">
            <w:pPr>
              <w:pStyle w:val="TableBodyText"/>
            </w:pPr>
            <w:r>
              <w:t xml:space="preserve">USPS barcode – FIM/POSTNET (*2) - barcode for tracking USPS mail. CASE is an alias of ITF14. </w:t>
            </w:r>
          </w:p>
        </w:tc>
      </w:tr>
    </w:tbl>
    <w:p w:rsidR="000A156F" w:rsidRDefault="000A156F"/>
    <w:p w:rsidR="000A156F" w:rsidRDefault="00A9721F">
      <w:r>
        <w:rPr>
          <w:b/>
        </w:rPr>
        <w:t>Switches</w:t>
      </w:r>
      <w:r>
        <w:rPr>
          <w:b/>
        </w:rPr>
        <w:t xml:space="preserve">: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Field Switch</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 xml:space="preserve">\h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0A156F" w:rsidTr="000A156F">
        <w:tc>
          <w:tcPr>
            <w:tcW w:w="0" w:type="auto"/>
            <w:vAlign w:val="center"/>
          </w:tcPr>
          <w:p w:rsidR="000A156F" w:rsidRDefault="00A9721F">
            <w:pPr>
              <w:pStyle w:val="TableBodyText"/>
            </w:pPr>
            <w:r>
              <w:t xml:space="preserve">\s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0A156F" w:rsidTr="000A156F">
        <w:tc>
          <w:tcPr>
            <w:tcW w:w="0" w:type="auto"/>
            <w:vAlign w:val="center"/>
          </w:tcPr>
          <w:p w:rsidR="000A156F" w:rsidRDefault="00A9721F">
            <w:pPr>
              <w:pStyle w:val="TableBodyText"/>
            </w:pPr>
            <w:r>
              <w:t xml:space="preserve">\q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w:t>
            </w:r>
            <w:r>
              <w:t>t specifies the error correction level of QR Code.  Valid values (case insensitive) are [L|M|Q|H].</w:t>
            </w:r>
          </w:p>
          <w:p w:rsidR="000A156F" w:rsidRDefault="000A156F">
            <w:pPr>
              <w:pStyle w:val="TableBodyText"/>
            </w:pPr>
          </w:p>
        </w:tc>
      </w:tr>
      <w:tr w:rsidR="000A156F" w:rsidTr="000A156F">
        <w:tc>
          <w:tcPr>
            <w:tcW w:w="0" w:type="auto"/>
            <w:vAlign w:val="center"/>
          </w:tcPr>
          <w:p w:rsidR="000A156F" w:rsidRDefault="00A9721F">
            <w:pPr>
              <w:pStyle w:val="TableBodyText"/>
            </w:pPr>
            <w:r>
              <w:t xml:space="preserve">\p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specifies the style of a Point of Sale barcode (barcode types UPCA|UPCE|EAN13|EAN8).  The valid values (case insensitive) are [STD|SUP2|SUP5|CASE].</w:t>
            </w:r>
          </w:p>
          <w:p w:rsidR="000A156F" w:rsidRDefault="000A156F">
            <w:pPr>
              <w:pStyle w:val="TableBodyText"/>
            </w:pPr>
          </w:p>
        </w:tc>
      </w:tr>
      <w:tr w:rsidR="000A156F" w:rsidTr="000A156F">
        <w:tc>
          <w:tcPr>
            <w:tcW w:w="0" w:type="auto"/>
            <w:vAlign w:val="center"/>
          </w:tcPr>
          <w:p w:rsidR="000A156F" w:rsidRDefault="00A9721F">
            <w:pPr>
              <w:pStyle w:val="TableBodyText"/>
            </w:pPr>
            <w:r>
              <w:t>\x</w:t>
            </w:r>
          </w:p>
        </w:tc>
        <w:tc>
          <w:tcPr>
            <w:tcW w:w="0" w:type="auto"/>
            <w:vAlign w:val="center"/>
          </w:tcPr>
          <w:p w:rsidR="000A156F" w:rsidRDefault="00A9721F">
            <w:pPr>
              <w:pStyle w:val="TableBodyText"/>
            </w:pPr>
            <w:r>
              <w:t>Fixes the check digit if it’s invalid.</w:t>
            </w:r>
          </w:p>
          <w:p w:rsidR="000A156F" w:rsidRDefault="000A156F">
            <w:pPr>
              <w:pStyle w:val="TableBodyText"/>
            </w:pPr>
          </w:p>
        </w:tc>
      </w:tr>
      <w:tr w:rsidR="000A156F" w:rsidTr="000A156F">
        <w:tc>
          <w:tcPr>
            <w:tcW w:w="0" w:type="auto"/>
            <w:vAlign w:val="center"/>
          </w:tcPr>
          <w:p w:rsidR="000A156F" w:rsidRDefault="00A9721F">
            <w:pPr>
              <w:pStyle w:val="TableBodyText"/>
            </w:pPr>
            <w:r>
              <w:t>\d</w:t>
            </w:r>
          </w:p>
        </w:tc>
        <w:tc>
          <w:tcPr>
            <w:tcW w:w="0" w:type="auto"/>
            <w:vAlign w:val="center"/>
          </w:tcPr>
          <w:p w:rsidR="000A156F" w:rsidRDefault="00A9721F">
            <w:pPr>
              <w:pStyle w:val="TableBodyText"/>
            </w:pPr>
            <w:r>
              <w:t>Adds Start/Stop characters for barcode types NW7 and CODE3</w:t>
            </w:r>
            <w:r>
              <w:t>9</w:t>
            </w:r>
          </w:p>
          <w:p w:rsidR="000A156F" w:rsidRDefault="000A156F">
            <w:pPr>
              <w:pStyle w:val="TableBodyText"/>
            </w:pPr>
          </w:p>
        </w:tc>
      </w:tr>
      <w:tr w:rsidR="000A156F" w:rsidTr="000A156F">
        <w:tc>
          <w:tcPr>
            <w:tcW w:w="0" w:type="auto"/>
            <w:vAlign w:val="center"/>
          </w:tcPr>
          <w:p w:rsidR="000A156F" w:rsidRDefault="00A9721F">
            <w:pPr>
              <w:pStyle w:val="TableBodyText"/>
            </w:pPr>
            <w:r>
              <w:t xml:space="preserve">\c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 xml:space="preserve">\r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0A156F" w:rsidRDefault="000A156F">
            <w:pPr>
              <w:pStyle w:val="TableBodyText"/>
            </w:pPr>
          </w:p>
        </w:tc>
      </w:tr>
      <w:tr w:rsidR="000A156F" w:rsidTr="000A156F">
        <w:tc>
          <w:tcPr>
            <w:tcW w:w="0" w:type="auto"/>
            <w:vAlign w:val="center"/>
          </w:tcPr>
          <w:p w:rsidR="000A156F" w:rsidRDefault="00A9721F">
            <w:pPr>
              <w:pStyle w:val="TableBodyText"/>
            </w:pPr>
            <w:r>
              <w:t xml:space="preserve">\f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w:t>
            </w:r>
            <w:r>
              <w:t>[0, 0xFFFFFF]</w:t>
            </w:r>
          </w:p>
          <w:p w:rsidR="000A156F" w:rsidRDefault="000A156F">
            <w:pPr>
              <w:pStyle w:val="TableBodyText"/>
            </w:pPr>
          </w:p>
        </w:tc>
      </w:tr>
      <w:tr w:rsidR="000A156F" w:rsidTr="000A156F">
        <w:tc>
          <w:tcPr>
            <w:tcW w:w="0" w:type="auto"/>
            <w:vAlign w:val="center"/>
          </w:tcPr>
          <w:p w:rsidR="000A156F" w:rsidRDefault="00A9721F">
            <w:pPr>
              <w:pStyle w:val="TableBodyText"/>
            </w:pPr>
            <w:r>
              <w:t xml:space="preserve">\b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the background color of the barcode symbol.  Valid values are in the range [0, 0xFFFFFF]</w:t>
            </w:r>
          </w:p>
          <w:p w:rsidR="000A156F" w:rsidRDefault="000A156F">
            <w:pPr>
              <w:pStyle w:val="TableBodyText"/>
            </w:pPr>
          </w:p>
        </w:tc>
      </w:tr>
      <w:tr w:rsidR="000A156F" w:rsidTr="000A156F">
        <w:tc>
          <w:tcPr>
            <w:tcW w:w="0" w:type="auto"/>
            <w:vAlign w:val="center"/>
          </w:tcPr>
          <w:p w:rsidR="000A156F" w:rsidRDefault="00A9721F">
            <w:pPr>
              <w:pStyle w:val="TableBodyText"/>
            </w:pPr>
            <w:r>
              <w:t>\t</w:t>
            </w:r>
          </w:p>
        </w:tc>
        <w:tc>
          <w:tcPr>
            <w:tcW w:w="0" w:type="auto"/>
            <w:vAlign w:val="center"/>
          </w:tcPr>
          <w:p w:rsidR="000A156F" w:rsidRDefault="00A9721F">
            <w:pPr>
              <w:pStyle w:val="TableBodyText"/>
            </w:pPr>
            <w:r>
              <w:t>Display barcode data (text) along with image</w:t>
            </w:r>
          </w:p>
          <w:p w:rsidR="000A156F" w:rsidRDefault="000A156F">
            <w:pPr>
              <w:pStyle w:val="TableBodyText"/>
            </w:pPr>
          </w:p>
        </w:tc>
      </w:tr>
    </w:tbl>
    <w:p w:rsidR="000A156F" w:rsidRDefault="000A156F"/>
    <w:p w:rsidR="000A156F" w:rsidRDefault="00A9721F">
      <w:r>
        <w:t xml:space="preserve"> [Example:</w:t>
      </w:r>
      <w:r>
        <w:t xml:space="preserve"> The following field encodes 490123456789 into an EAN-13 barcode symbol:</w:t>
      </w:r>
    </w:p>
    <w:p w:rsidR="000A156F" w:rsidRDefault="00A9721F">
      <w:pPr>
        <w:pStyle w:val="Code"/>
      </w:pPr>
      <w:r>
        <w:t>DISPLAYBARCODE “490123456789” EAN13</w:t>
      </w:r>
    </w:p>
    <w:p w:rsidR="000A156F" w:rsidRDefault="00A9721F">
      <w:r>
        <w:t>end example]</w:t>
      </w:r>
    </w:p>
    <w:p w:rsidR="000A156F" w:rsidRDefault="00A9721F">
      <w:r>
        <w:t>[Example: The following field encodes “http://www.microsoft.com” into a QR Code symbol with highest error correction level:</w:t>
      </w:r>
    </w:p>
    <w:p w:rsidR="000A156F" w:rsidRDefault="00A9721F">
      <w:pPr>
        <w:pStyle w:val="Code"/>
      </w:pPr>
      <w:bookmarkStart w:id="3921" w:name="_Hlk24443736"/>
      <w:r>
        <w:t>DISPLAYBAR</w:t>
      </w:r>
      <w:r>
        <w:t>CODE “http://www.microsoft.com” QR \q h</w:t>
      </w:r>
    </w:p>
    <w:bookmarkEnd w:id="3921"/>
    <w:p w:rsidR="000A156F" w:rsidRDefault="00A9721F">
      <w:r>
        <w:t>end example]</w:t>
      </w:r>
    </w:p>
    <w:p w:rsidR="000A156F" w:rsidRDefault="00A9721F">
      <w:pPr>
        <w:pStyle w:val="Heading5"/>
      </w:pPr>
      <w:bookmarkStart w:id="3922" w:name="section_cc4b13c2c09b4545a6ae4509d943233e"/>
      <w:bookmarkStart w:id="3923" w:name="_Toc181684986"/>
      <w:r>
        <w:t>MERGEBARCODE</w:t>
      </w:r>
      <w:bookmarkEnd w:id="3922"/>
      <w:bookmarkEnd w:id="3923"/>
      <w:r>
        <w:fldChar w:fldCharType="begin"/>
      </w:r>
      <w:r>
        <w:instrText xml:space="preserve"> XE "MERGEBARCODE" </w:instrText>
      </w:r>
      <w:r>
        <w:fldChar w:fldCharType="end"/>
      </w:r>
    </w:p>
    <w:p w:rsidR="000A156F" w:rsidRDefault="00A9721F">
      <w:r>
        <w:rPr>
          <w:b/>
        </w:rPr>
        <w:t>NOTE:</w:t>
      </w:r>
      <w:r>
        <w:t xml:space="preserve"> This section is not applicable to Word 2010.</w:t>
      </w:r>
    </w:p>
    <w:p w:rsidR="000A156F" w:rsidRDefault="00A9721F">
      <w:r>
        <w:rPr>
          <w:b/>
        </w:rPr>
        <w:t>Syntax:</w:t>
      </w:r>
    </w:p>
    <w:p w:rsidR="000A156F" w:rsidRDefault="00A9721F">
      <w:r>
        <w:t>MERGEBARCODE field-argument-1 field-argument-2 [ switches ]</w:t>
      </w:r>
    </w:p>
    <w:p w:rsidR="000A156F" w:rsidRDefault="00A9721F">
      <w:r>
        <w:t>field-argument-1:</w:t>
      </w:r>
    </w:p>
    <w:p w:rsidR="000A156F" w:rsidRDefault="00A9721F">
      <w:r>
        <w:t>field-argument</w:t>
      </w:r>
    </w:p>
    <w:p w:rsidR="000A156F" w:rsidRDefault="00A9721F">
      <w:r>
        <w:t>field-argument-2:</w:t>
      </w:r>
    </w:p>
    <w:p w:rsidR="000A156F" w:rsidRDefault="00A9721F">
      <w:r>
        <w:t>field-argument</w:t>
      </w:r>
    </w:p>
    <w:p w:rsidR="000A156F" w:rsidRDefault="00A9721F">
      <w:r>
        <w:rPr>
          <w:b/>
        </w:rPr>
        <w:t>Description:</w:t>
      </w:r>
    </w:p>
    <w:p w:rsidR="000A156F" w:rsidRDefault="00A9721F">
      <w:r>
        <w:t>This field is analogous to the field code, MERGEFIELD. The main difference is that MERGEBARCODE generates a DISPLAYBARCODE field based on the merge result instead of showing it directly. The syntax of field instruction and supp</w:t>
      </w:r>
      <w:r>
        <w:t>orted switches is also different.</w:t>
      </w:r>
    </w:p>
    <w:p w:rsidR="000A156F" w:rsidRDefault="00A9721F">
      <w:r>
        <w:t>The use of field-argument-1</w:t>
      </w:r>
      <w:r>
        <w:rPr>
          <w:i/>
        </w:rPr>
        <w:t xml:space="preserve"> </w:t>
      </w:r>
      <w:r>
        <w:t xml:space="preserve">is the same as the data field in the MERGEFIELD field. </w:t>
      </w:r>
    </w:p>
    <w:p w:rsidR="000A156F" w:rsidRDefault="00A9721F">
      <w:r>
        <w:lastRenderedPageBreak/>
        <w:t>field-argument-2</w:t>
      </w:r>
      <w:r>
        <w:rPr>
          <w:i/>
        </w:rPr>
        <w:t xml:space="preserve"> </w:t>
      </w:r>
      <w:r>
        <w:t>is a text string containing the type of barcode (barcode-type) that will be generated.  The valid values (case-insensitiv</w:t>
      </w:r>
      <w:r>
        <w:t xml:space="preserve">e) are:  UPCA|UPCE|JAN13|JAN8|EAN13|EAN8|CASE|ITF14|NW7|CODE39|CODE128|JPPOST|QR </w:t>
      </w:r>
    </w:p>
    <w:p w:rsidR="000A156F" w:rsidRDefault="00A9721F">
      <w:r>
        <w:t>The meanings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rPr>
                <w:i/>
              </w:rPr>
              <w:t>Field-argument-2</w:t>
            </w:r>
          </w:p>
        </w:tc>
        <w:tc>
          <w:tcPr>
            <w:tcW w:w="0" w:type="auto"/>
            <w:vAlign w:val="center"/>
          </w:tcPr>
          <w:p w:rsidR="000A156F" w:rsidRDefault="00A9721F">
            <w:pPr>
              <w:pStyle w:val="TableHeaderText"/>
            </w:pPr>
            <w:r>
              <w:t>Barcode Type Description</w:t>
            </w:r>
          </w:p>
        </w:tc>
      </w:tr>
      <w:tr w:rsidR="000A156F" w:rsidTr="000A156F">
        <w:tc>
          <w:tcPr>
            <w:tcW w:w="0" w:type="auto"/>
            <w:vAlign w:val="center"/>
          </w:tcPr>
          <w:p w:rsidR="000A156F" w:rsidRDefault="00A9721F">
            <w:pPr>
              <w:pStyle w:val="TableBodyText"/>
            </w:pPr>
            <w:r>
              <w:t>QR</w:t>
            </w:r>
          </w:p>
        </w:tc>
        <w:tc>
          <w:tcPr>
            <w:tcW w:w="0" w:type="auto"/>
            <w:vAlign w:val="center"/>
          </w:tcPr>
          <w:p w:rsidR="000A156F" w:rsidRDefault="00A9721F">
            <w:pPr>
              <w:pStyle w:val="TableBodyText"/>
            </w:pPr>
            <w:r>
              <w:t xml:space="preserve">A QR 2D bar code as specified by </w:t>
            </w:r>
            <w:hyperlink r:id="rId309">
              <w:r>
                <w:rPr>
                  <w:rStyle w:val="Hyperlink"/>
                </w:rPr>
                <w:t>[ISO/IEC18004:2006]</w:t>
              </w:r>
            </w:hyperlink>
            <w:r>
              <w:t>.</w:t>
            </w:r>
          </w:p>
        </w:tc>
      </w:tr>
      <w:tr w:rsidR="000A156F" w:rsidTr="000A156F">
        <w:tc>
          <w:tcPr>
            <w:tcW w:w="0" w:type="auto"/>
            <w:vAlign w:val="center"/>
          </w:tcPr>
          <w:p w:rsidR="000A156F" w:rsidRDefault="00A9721F">
            <w:pPr>
              <w:pStyle w:val="TableBodyText"/>
            </w:pPr>
            <w:r>
              <w:t>CODE128</w:t>
            </w:r>
          </w:p>
        </w:tc>
        <w:tc>
          <w:tcPr>
            <w:tcW w:w="0" w:type="auto"/>
            <w:vAlign w:val="center"/>
          </w:tcPr>
          <w:p w:rsidR="000A156F" w:rsidRDefault="00A9721F">
            <w:pPr>
              <w:pStyle w:val="TableBodyText"/>
            </w:pPr>
            <w:r>
              <w:t xml:space="preserve">A Code 128 linear bar code as specified by </w:t>
            </w:r>
            <w:hyperlink r:id="rId310">
              <w:r>
                <w:rPr>
                  <w:rStyle w:val="Hyperlink"/>
                </w:rPr>
                <w:t>[AIM-BC4-1995-Code128]</w:t>
              </w:r>
            </w:hyperlink>
            <w:r>
              <w:t>.</w:t>
            </w:r>
          </w:p>
        </w:tc>
      </w:tr>
      <w:tr w:rsidR="000A156F" w:rsidTr="000A156F">
        <w:tc>
          <w:tcPr>
            <w:tcW w:w="0" w:type="auto"/>
            <w:vAlign w:val="center"/>
          </w:tcPr>
          <w:p w:rsidR="000A156F" w:rsidRDefault="00A9721F">
            <w:pPr>
              <w:pStyle w:val="TableBodyText"/>
            </w:pPr>
            <w:r>
              <w:t>CODE39</w:t>
            </w:r>
          </w:p>
        </w:tc>
        <w:tc>
          <w:tcPr>
            <w:tcW w:w="0" w:type="auto"/>
            <w:vAlign w:val="center"/>
          </w:tcPr>
          <w:p w:rsidR="000A156F" w:rsidRDefault="00A9721F">
            <w:pPr>
              <w:pStyle w:val="TableBodyText"/>
            </w:pPr>
            <w:r>
              <w:t xml:space="preserve">A Code 39 linear bar code as specified by </w:t>
            </w:r>
            <w:hyperlink r:id="rId311">
              <w:r>
                <w:rPr>
                  <w:rStyle w:val="Hyperlink"/>
                </w:rPr>
                <w:t>[AIM-BC1-1995-Code39]</w:t>
              </w:r>
            </w:hyperlink>
            <w:r>
              <w:t>.</w:t>
            </w:r>
          </w:p>
        </w:tc>
      </w:tr>
      <w:tr w:rsidR="000A156F" w:rsidTr="000A156F">
        <w:tc>
          <w:tcPr>
            <w:tcW w:w="0" w:type="auto"/>
            <w:vAlign w:val="center"/>
          </w:tcPr>
          <w:p w:rsidR="000A156F" w:rsidRDefault="00A9721F">
            <w:pPr>
              <w:pStyle w:val="TableBodyText"/>
            </w:pPr>
            <w:r>
              <w:t>JPPOST</w:t>
            </w:r>
          </w:p>
        </w:tc>
        <w:tc>
          <w:tcPr>
            <w:tcW w:w="0" w:type="auto"/>
            <w:vAlign w:val="center"/>
          </w:tcPr>
          <w:p w:rsidR="000A156F" w:rsidRDefault="00A9721F">
            <w:pPr>
              <w:pStyle w:val="TableBodyText"/>
            </w:pPr>
            <w:r>
              <w:t>Japanese Postal Service Customer barcode. JPPost is compliant with CBC (Customer Bar Code), which is also known as RM</w:t>
            </w:r>
            <w:r>
              <w:t>4SCC.</w:t>
            </w:r>
          </w:p>
        </w:tc>
      </w:tr>
      <w:tr w:rsidR="000A156F" w:rsidTr="000A156F">
        <w:tc>
          <w:tcPr>
            <w:tcW w:w="0" w:type="auto"/>
            <w:vAlign w:val="center"/>
          </w:tcPr>
          <w:p w:rsidR="000A156F" w:rsidRDefault="00A9721F">
            <w:pPr>
              <w:pStyle w:val="TableBodyText"/>
            </w:pPr>
            <w:r>
              <w:t>EAN8|EAN13</w:t>
            </w:r>
          </w:p>
        </w:tc>
        <w:tc>
          <w:tcPr>
            <w:tcW w:w="0" w:type="auto"/>
            <w:vAlign w:val="center"/>
          </w:tcPr>
          <w:p w:rsidR="000A156F" w:rsidRDefault="00A9721F">
            <w:pPr>
              <w:pStyle w:val="TableBodyText"/>
            </w:pPr>
            <w:r>
              <w:t xml:space="preserve">An EAN - International Article Number worldwide bar code for product ID’s (8 digit/13 digit) as specified in </w:t>
            </w:r>
            <w:hyperlink r:id="rId312">
              <w:r>
                <w:rPr>
                  <w:rStyle w:val="Hyperlink"/>
                </w:rPr>
                <w:t>[GS1-BARCODE]</w:t>
              </w:r>
            </w:hyperlink>
            <w:r>
              <w:t>.</w:t>
            </w:r>
          </w:p>
        </w:tc>
      </w:tr>
      <w:tr w:rsidR="000A156F" w:rsidTr="000A156F">
        <w:tc>
          <w:tcPr>
            <w:tcW w:w="0" w:type="auto"/>
            <w:vAlign w:val="center"/>
          </w:tcPr>
          <w:p w:rsidR="000A156F" w:rsidRDefault="00A9721F">
            <w:pPr>
              <w:pStyle w:val="TableBodyText"/>
            </w:pPr>
            <w:r>
              <w:t>JAN8|JAN13</w:t>
            </w:r>
          </w:p>
        </w:tc>
        <w:tc>
          <w:tcPr>
            <w:tcW w:w="0" w:type="auto"/>
            <w:vAlign w:val="center"/>
          </w:tcPr>
          <w:p w:rsidR="000A156F" w:rsidRDefault="00A9721F">
            <w:pPr>
              <w:pStyle w:val="TableBodyText"/>
            </w:pPr>
            <w:r>
              <w:t xml:space="preserve">A JAN: Japanese barcode for product </w:t>
            </w:r>
            <w:r>
              <w:t>ID’s (8 digit/13 digit). JAN8 is an alias of EAN8. JAN13 is an alias of EAN13.</w:t>
            </w:r>
          </w:p>
        </w:tc>
      </w:tr>
      <w:tr w:rsidR="000A156F" w:rsidTr="000A156F">
        <w:tc>
          <w:tcPr>
            <w:tcW w:w="0" w:type="auto"/>
            <w:vAlign w:val="center"/>
          </w:tcPr>
          <w:p w:rsidR="000A156F" w:rsidRDefault="00A9721F">
            <w:pPr>
              <w:pStyle w:val="TableBodyText"/>
            </w:pPr>
            <w:r>
              <w:t>UPCA|UPCE</w:t>
            </w:r>
          </w:p>
        </w:tc>
        <w:tc>
          <w:tcPr>
            <w:tcW w:w="0" w:type="auto"/>
            <w:vAlign w:val="center"/>
          </w:tcPr>
          <w:p w:rsidR="000A156F" w:rsidRDefault="00A9721F">
            <w:pPr>
              <w:pStyle w:val="TableBodyText"/>
            </w:pPr>
            <w:r>
              <w:t>A UPC (A&amp;E): US barcode for product ID’s as specified in [GS1-BARCODE].</w:t>
            </w:r>
          </w:p>
        </w:tc>
      </w:tr>
      <w:tr w:rsidR="000A156F" w:rsidTr="000A156F">
        <w:tc>
          <w:tcPr>
            <w:tcW w:w="0" w:type="auto"/>
            <w:vAlign w:val="center"/>
          </w:tcPr>
          <w:p w:rsidR="000A156F" w:rsidRDefault="00A9721F">
            <w:pPr>
              <w:pStyle w:val="TableBodyText"/>
            </w:pPr>
            <w:r>
              <w:t>ITF14</w:t>
            </w:r>
          </w:p>
        </w:tc>
        <w:tc>
          <w:tcPr>
            <w:tcW w:w="0" w:type="auto"/>
            <w:vAlign w:val="center"/>
          </w:tcPr>
          <w:p w:rsidR="000A156F" w:rsidRDefault="00A9721F">
            <w:pPr>
              <w:pStyle w:val="TableBodyText"/>
            </w:pPr>
            <w:r>
              <w:t>An ITF-14 item-tracking barcode for shipping as specified in [GS1-BARCODE].</w:t>
            </w:r>
          </w:p>
        </w:tc>
      </w:tr>
      <w:tr w:rsidR="000A156F" w:rsidTr="000A156F">
        <w:tc>
          <w:tcPr>
            <w:tcW w:w="0" w:type="auto"/>
            <w:vAlign w:val="center"/>
          </w:tcPr>
          <w:p w:rsidR="000A156F" w:rsidRDefault="00A9721F">
            <w:pPr>
              <w:pStyle w:val="TableBodyText"/>
            </w:pPr>
            <w:r>
              <w:t>NW7</w:t>
            </w:r>
          </w:p>
        </w:tc>
        <w:tc>
          <w:tcPr>
            <w:tcW w:w="0" w:type="auto"/>
            <w:vAlign w:val="center"/>
          </w:tcPr>
          <w:p w:rsidR="000A156F" w:rsidRDefault="00A9721F">
            <w:pPr>
              <w:pStyle w:val="TableBodyText"/>
            </w:pPr>
            <w:r>
              <w:t>A NW-7</w:t>
            </w:r>
            <w:r>
              <w:t xml:space="preserve"> (CODABAR) serial number bar code as specified by </w:t>
            </w:r>
            <w:hyperlink r:id="rId313">
              <w:r>
                <w:rPr>
                  <w:rStyle w:val="Hyperlink"/>
                </w:rPr>
                <w:t>[AIM-BC3-1995-Codabar]</w:t>
              </w:r>
            </w:hyperlink>
            <w:r>
              <w:t>.</w:t>
            </w:r>
          </w:p>
        </w:tc>
      </w:tr>
      <w:tr w:rsidR="000A156F" w:rsidTr="000A156F">
        <w:tc>
          <w:tcPr>
            <w:tcW w:w="0" w:type="auto"/>
            <w:vAlign w:val="center"/>
          </w:tcPr>
          <w:p w:rsidR="000A156F" w:rsidRDefault="00A9721F">
            <w:pPr>
              <w:pStyle w:val="TableBodyText"/>
            </w:pPr>
            <w:r>
              <w:t>CASE</w:t>
            </w:r>
          </w:p>
        </w:tc>
        <w:tc>
          <w:tcPr>
            <w:tcW w:w="0" w:type="auto"/>
            <w:vAlign w:val="center"/>
          </w:tcPr>
          <w:p w:rsidR="000A156F" w:rsidRDefault="00A9721F">
            <w:pPr>
              <w:pStyle w:val="TableBodyText"/>
            </w:pPr>
            <w:r>
              <w:t>USPS barcode – FIM/POSTNET (*2) - barcode for tracking USPS mail. CASE is an alias of ITF14.</w:t>
            </w:r>
          </w:p>
        </w:tc>
      </w:tr>
    </w:tbl>
    <w:p w:rsidR="000A156F" w:rsidRDefault="000A156F"/>
    <w:p w:rsidR="000A156F" w:rsidRDefault="00A9721F">
      <w:r>
        <w:rPr>
          <w:b/>
        </w:rPr>
        <w:t xml:space="preserve">Switches: </w:t>
      </w:r>
      <w:r>
        <w:t xml:space="preserve">Zero </w:t>
      </w:r>
      <w:r>
        <w:t>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Field Switch</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 xml:space="preserve">\h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0A156F" w:rsidTr="000A156F">
        <w:tc>
          <w:tcPr>
            <w:tcW w:w="0" w:type="auto"/>
            <w:vAlign w:val="center"/>
          </w:tcPr>
          <w:p w:rsidR="000A156F" w:rsidRDefault="00A9721F">
            <w:pPr>
              <w:pStyle w:val="TableBodyText"/>
            </w:pPr>
            <w:r>
              <w:t xml:space="preserve">\s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0A156F" w:rsidTr="000A156F">
        <w:tc>
          <w:tcPr>
            <w:tcW w:w="0" w:type="auto"/>
            <w:vAlign w:val="center"/>
          </w:tcPr>
          <w:p w:rsidR="000A156F" w:rsidRDefault="00A9721F">
            <w:pPr>
              <w:pStyle w:val="TableBodyText"/>
            </w:pPr>
            <w:r>
              <w:t xml:space="preserve">\q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the error correction level of QR Code.  Valid values are [L|M|Q|H].</w:t>
            </w:r>
          </w:p>
        </w:tc>
      </w:tr>
      <w:tr w:rsidR="000A156F" w:rsidTr="000A156F">
        <w:tc>
          <w:tcPr>
            <w:tcW w:w="0" w:type="auto"/>
            <w:vAlign w:val="center"/>
          </w:tcPr>
          <w:p w:rsidR="000A156F" w:rsidRDefault="00A9721F">
            <w:pPr>
              <w:pStyle w:val="TableBodyText"/>
            </w:pPr>
            <w:r>
              <w:t xml:space="preserve">\p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w:t>
            </w:r>
            <w:r>
              <w:t>STD|SUP2|SUP5|CASE].</w:t>
            </w:r>
          </w:p>
          <w:p w:rsidR="000A156F" w:rsidRDefault="000A156F">
            <w:pPr>
              <w:pStyle w:val="TableBodyText"/>
            </w:pPr>
          </w:p>
        </w:tc>
      </w:tr>
      <w:tr w:rsidR="000A156F" w:rsidTr="000A156F">
        <w:tc>
          <w:tcPr>
            <w:tcW w:w="0" w:type="auto"/>
            <w:vAlign w:val="center"/>
          </w:tcPr>
          <w:p w:rsidR="000A156F" w:rsidRDefault="00A9721F">
            <w:pPr>
              <w:pStyle w:val="TableBodyText"/>
            </w:pPr>
            <w:r>
              <w:t>\x</w:t>
            </w:r>
          </w:p>
        </w:tc>
        <w:tc>
          <w:tcPr>
            <w:tcW w:w="0" w:type="auto"/>
            <w:vAlign w:val="center"/>
          </w:tcPr>
          <w:p w:rsidR="000A156F" w:rsidRDefault="00A9721F">
            <w:pPr>
              <w:pStyle w:val="TableBodyText"/>
            </w:pPr>
            <w:r>
              <w:t>Fixes the check digit if it’s invalid.</w:t>
            </w:r>
          </w:p>
          <w:p w:rsidR="000A156F" w:rsidRDefault="000A156F">
            <w:pPr>
              <w:pStyle w:val="TableBodyText"/>
            </w:pPr>
          </w:p>
        </w:tc>
      </w:tr>
      <w:tr w:rsidR="000A156F" w:rsidTr="000A156F">
        <w:tc>
          <w:tcPr>
            <w:tcW w:w="0" w:type="auto"/>
            <w:vAlign w:val="center"/>
          </w:tcPr>
          <w:p w:rsidR="000A156F" w:rsidRDefault="00A9721F">
            <w:pPr>
              <w:pStyle w:val="TableBodyText"/>
            </w:pPr>
            <w:r>
              <w:t>\d</w:t>
            </w:r>
          </w:p>
        </w:tc>
        <w:tc>
          <w:tcPr>
            <w:tcW w:w="0" w:type="auto"/>
            <w:vAlign w:val="center"/>
          </w:tcPr>
          <w:p w:rsidR="000A156F" w:rsidRDefault="00A9721F">
            <w:pPr>
              <w:pStyle w:val="TableBodyText"/>
            </w:pPr>
            <w:r>
              <w:t>Adds Start/Stop characters for barcode types NW7 and CODE39</w:t>
            </w:r>
          </w:p>
          <w:p w:rsidR="000A156F" w:rsidRDefault="000A156F">
            <w:pPr>
              <w:pStyle w:val="TableBodyText"/>
            </w:pPr>
          </w:p>
        </w:tc>
      </w:tr>
      <w:tr w:rsidR="000A156F" w:rsidTr="000A156F">
        <w:tc>
          <w:tcPr>
            <w:tcW w:w="0" w:type="auto"/>
            <w:vAlign w:val="center"/>
          </w:tcPr>
          <w:p w:rsidR="000A156F" w:rsidRDefault="00A9721F">
            <w:pPr>
              <w:pStyle w:val="TableBodyText"/>
            </w:pPr>
            <w:r>
              <w:t xml:space="preserve">\c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specifies the style of a Case Code for barcode type ITF14.   The </w:t>
            </w:r>
            <w:r>
              <w:t>valid values are [STD|EXT|ADD]</w:t>
            </w:r>
          </w:p>
          <w:p w:rsidR="000A156F" w:rsidRDefault="000A156F">
            <w:pPr>
              <w:pStyle w:val="TableBodyText"/>
            </w:pPr>
          </w:p>
        </w:tc>
      </w:tr>
      <w:tr w:rsidR="000A156F" w:rsidTr="000A156F">
        <w:tc>
          <w:tcPr>
            <w:tcW w:w="0" w:type="auto"/>
            <w:vAlign w:val="center"/>
          </w:tcPr>
          <w:p w:rsidR="000A156F" w:rsidRDefault="00A9721F">
            <w:pPr>
              <w:pStyle w:val="TableBodyText"/>
            </w:pPr>
            <w:r>
              <w:lastRenderedPageBreak/>
              <w:t xml:space="preserve">\r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0A156F" w:rsidRDefault="000A156F">
            <w:pPr>
              <w:pStyle w:val="TableBodyText"/>
            </w:pPr>
          </w:p>
        </w:tc>
      </w:tr>
      <w:tr w:rsidR="000A156F" w:rsidTr="000A156F">
        <w:tc>
          <w:tcPr>
            <w:tcW w:w="0" w:type="auto"/>
            <w:vAlign w:val="center"/>
          </w:tcPr>
          <w:p w:rsidR="000A156F" w:rsidRDefault="00A9721F">
            <w:pPr>
              <w:pStyle w:val="TableBodyText"/>
            </w:pPr>
            <w:r>
              <w:t xml:space="preserve">\f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0A156F" w:rsidRDefault="000A156F">
            <w:pPr>
              <w:pStyle w:val="TableBodyText"/>
            </w:pPr>
          </w:p>
        </w:tc>
      </w:tr>
      <w:tr w:rsidR="000A156F" w:rsidTr="000A156F">
        <w:tc>
          <w:tcPr>
            <w:tcW w:w="0" w:type="auto"/>
            <w:vAlign w:val="center"/>
          </w:tcPr>
          <w:p w:rsidR="000A156F" w:rsidRDefault="00A9721F">
            <w:pPr>
              <w:pStyle w:val="TableBodyText"/>
            </w:pPr>
            <w:r>
              <w:t xml:space="preserve">\b </w:t>
            </w:r>
            <w:r>
              <w:rPr>
                <w:i/>
              </w:rPr>
              <w:t>field-argument</w:t>
            </w:r>
          </w:p>
        </w:tc>
        <w:tc>
          <w:tcPr>
            <w:tcW w:w="0" w:type="auto"/>
            <w:vAlign w:val="center"/>
          </w:tcPr>
          <w:p w:rsidR="000A156F" w:rsidRDefault="00A9721F">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0A156F" w:rsidRDefault="000A156F">
            <w:pPr>
              <w:pStyle w:val="TableBodyText"/>
            </w:pPr>
          </w:p>
        </w:tc>
      </w:tr>
      <w:tr w:rsidR="000A156F" w:rsidTr="000A156F">
        <w:tc>
          <w:tcPr>
            <w:tcW w:w="0" w:type="auto"/>
            <w:vAlign w:val="center"/>
          </w:tcPr>
          <w:p w:rsidR="000A156F" w:rsidRDefault="00A9721F">
            <w:pPr>
              <w:pStyle w:val="TableBodyText"/>
            </w:pPr>
            <w:r>
              <w:t>\t</w:t>
            </w:r>
          </w:p>
        </w:tc>
        <w:tc>
          <w:tcPr>
            <w:tcW w:w="0" w:type="auto"/>
            <w:vAlign w:val="center"/>
          </w:tcPr>
          <w:p w:rsidR="000A156F" w:rsidRDefault="00A9721F">
            <w:pPr>
              <w:pStyle w:val="TableBodyText"/>
            </w:pPr>
            <w:r>
              <w:t>Display barcode data (text) along with image</w:t>
            </w:r>
          </w:p>
          <w:p w:rsidR="000A156F" w:rsidRDefault="000A156F">
            <w:pPr>
              <w:pStyle w:val="TableBodyText"/>
            </w:pPr>
          </w:p>
        </w:tc>
      </w:tr>
      <w:tr w:rsidR="000A156F" w:rsidTr="000A156F">
        <w:tc>
          <w:tcPr>
            <w:tcW w:w="0" w:type="auto"/>
            <w:vAlign w:val="center"/>
          </w:tcPr>
          <w:p w:rsidR="000A156F" w:rsidRDefault="00A9721F">
            <w:pPr>
              <w:pStyle w:val="TableBodyText"/>
            </w:pPr>
            <w:r>
              <w:t>\a</w:t>
            </w:r>
          </w:p>
        </w:tc>
        <w:tc>
          <w:tcPr>
            <w:tcW w:w="0" w:type="auto"/>
            <w:vAlign w:val="center"/>
          </w:tcPr>
          <w:p w:rsidR="000A156F" w:rsidRDefault="00A9721F">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0A156F" w:rsidRDefault="000A156F">
            <w:pPr>
              <w:pStyle w:val="TableBodyText"/>
            </w:pPr>
          </w:p>
        </w:tc>
      </w:tr>
    </w:tbl>
    <w:p w:rsidR="000A156F" w:rsidRDefault="000A156F"/>
    <w:p w:rsidR="000A156F" w:rsidRDefault="00A9721F">
      <w:r>
        <w:t xml:space="preserve"> [Example: The following field uses the data in BarcodeData to generate an EAN-13 barcode with default style:</w:t>
      </w:r>
    </w:p>
    <w:p w:rsidR="000A156F" w:rsidRDefault="00A9721F">
      <w:pPr>
        <w:pStyle w:val="Code"/>
      </w:pPr>
      <w:r>
        <w:t>MERGEBARCODE BarcodeData EAN13</w:t>
      </w:r>
    </w:p>
    <w:p w:rsidR="000A156F" w:rsidRDefault="00A9721F">
      <w:r>
        <w:t>end example]</w:t>
      </w:r>
    </w:p>
    <w:p w:rsidR="000A156F" w:rsidRDefault="00A9721F">
      <w:r>
        <w:t xml:space="preserve">[Example: The following field uses the data in URL to generate a </w:t>
      </w:r>
      <w:r>
        <w:t>QR Code with highest error correction level:</w:t>
      </w:r>
    </w:p>
    <w:p w:rsidR="000A156F" w:rsidRDefault="00A9721F">
      <w:pPr>
        <w:pStyle w:val="Code"/>
      </w:pPr>
      <w:r>
        <w:t>MERGEBARCODE URL QR \q h</w:t>
      </w:r>
    </w:p>
    <w:p w:rsidR="000A156F" w:rsidRDefault="00A9721F">
      <w:r>
        <w:t>end example]</w:t>
      </w:r>
    </w:p>
    <w:p w:rsidR="000A156F" w:rsidRDefault="00A9721F">
      <w:r>
        <w:t>[Example: The following field concatenates all mapped address fields and uses that data to generate a Japanese Postal Customer Barcode:</w:t>
      </w:r>
    </w:p>
    <w:p w:rsidR="000A156F" w:rsidRDefault="00A9721F">
      <w:pPr>
        <w:pStyle w:val="Code"/>
      </w:pPr>
      <w:r>
        <w:t>MERGEBARCODE PLACEHOLDER JPPOST \a</w:t>
      </w:r>
    </w:p>
    <w:p w:rsidR="000A156F" w:rsidRDefault="00A9721F">
      <w:r>
        <w:t>end example]</w:t>
      </w:r>
    </w:p>
    <w:p w:rsidR="000A156F" w:rsidRDefault="00A9721F">
      <w:pPr>
        <w:pStyle w:val="Heading4"/>
      </w:pPr>
      <w:bookmarkStart w:id="3924" w:name="section_86f6d7c756104b598a6be11314b01c3c"/>
      <w:bookmarkStart w:id="3925" w:name="_Toc181684987"/>
      <w:r>
        <w:t>Simple Types</w:t>
      </w:r>
      <w:bookmarkEnd w:id="3924"/>
      <w:bookmarkEnd w:id="3925"/>
      <w:r>
        <w:fldChar w:fldCharType="begin"/>
      </w:r>
      <w:r>
        <w:instrText xml:space="preserve"> XE "Simple Types" </w:instrText>
      </w:r>
      <w:r>
        <w:fldChar w:fldCharType="end"/>
      </w:r>
    </w:p>
    <w:p w:rsidR="000A156F" w:rsidRDefault="00A9721F">
      <w:r>
        <w:t>This is the complete list of simple types in the http://schemas.openxmlformats.org/wordprocessingml/2006/main namespace.</w:t>
      </w:r>
    </w:p>
    <w:p w:rsidR="000A156F" w:rsidRDefault="00A9721F">
      <w:pPr>
        <w:pStyle w:val="Heading5"/>
      </w:pPr>
      <w:bookmarkStart w:id="3926" w:name="section_04197af53c824a9d81393f1cec2b78eb"/>
      <w:bookmarkStart w:id="3927" w:name="_Toc181684988"/>
      <w:r>
        <w:t>ST_CustomXmlURI (URI for Custom XML)</w:t>
      </w:r>
      <w:bookmarkEnd w:id="3926"/>
      <w:bookmarkEnd w:id="3927"/>
      <w:r>
        <w:fldChar w:fldCharType="begin"/>
      </w:r>
      <w:r>
        <w:instrText xml:space="preserve"> XE "ST_CustomXmlURI (URI for Custom XML)" </w:instrText>
      </w:r>
      <w:r>
        <w:fldChar w:fldCharType="end"/>
      </w:r>
    </w:p>
    <w:p w:rsidR="000A156F" w:rsidRDefault="00A9721F">
      <w:r>
        <w:lastRenderedPageBreak/>
        <w:t xml:space="preserve">This simple type specifies the URI of the current custom XML element. Word fails to load the document if the URI is not declared in any of the attached schemas via the element </w:t>
      </w:r>
      <w:r>
        <w:rPr>
          <w:b/>
        </w:rPr>
        <w:t>attachedSchema</w:t>
      </w:r>
      <w:r>
        <w:t xml:space="preserve"> ("</w:t>
      </w:r>
      <w:hyperlink r:id="rId314">
        <w:r>
          <w:rPr>
            <w:rStyle w:val="Hyperlink"/>
          </w:rPr>
          <w:t>[ISO/IEC-29500-1]</w:t>
        </w:r>
      </w:hyperlink>
      <w:r>
        <w:t xml:space="preserve"> §17.15.1.5; attachedSchema").</w:t>
      </w:r>
    </w:p>
    <w:p w:rsidR="000A156F" w:rsidRDefault="00A9721F">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customXml@uri</w:t>
            </w:r>
            <w:r>
              <w:t xml:space="preserve"> (§</w:t>
            </w:r>
            <w:hyperlink w:anchor="Section_d188da3eb34b4445b3a0118155f75ff3">
              <w:r>
                <w:rPr>
                  <w:rStyle w:val="Hyperlink"/>
                </w:rPr>
                <w:t>3.1.3.1.1, customXml</w:t>
              </w:r>
            </w:hyperlink>
            <w:r>
              <w:t>)</w:t>
            </w:r>
          </w:p>
        </w:tc>
      </w:tr>
    </w:tbl>
    <w:p w:rsidR="000A156F" w:rsidRDefault="000A156F"/>
    <w:p w:rsidR="000A156F" w:rsidRDefault="00A9721F">
      <w:r>
        <w:t>The fo</w:t>
      </w:r>
      <w:r>
        <w:t>llowing XML Schema fragment defines the contents of this simple type:</w:t>
      </w:r>
    </w:p>
    <w:p w:rsidR="000A156F" w:rsidRDefault="00A9721F">
      <w:pPr>
        <w:pStyle w:val="Code"/>
      </w:pPr>
      <w:r>
        <w:t>&lt;simpleType name="ST_CustomXmlURI"&gt;</w:t>
      </w:r>
    </w:p>
    <w:p w:rsidR="000A156F" w:rsidRDefault="00A9721F">
      <w:pPr>
        <w:pStyle w:val="Code"/>
      </w:pPr>
      <w:r>
        <w:t xml:space="preserve">  &lt;restriction base="xsd:string"/&gt;</w:t>
      </w:r>
    </w:p>
    <w:p w:rsidR="000A156F" w:rsidRDefault="00A9721F">
      <w:pPr>
        <w:pStyle w:val="Code"/>
      </w:pPr>
      <w:r>
        <w:t>&lt;/simpleType&gt;</w:t>
      </w:r>
    </w:p>
    <w:p w:rsidR="000A156F" w:rsidRDefault="00A9721F">
      <w:pPr>
        <w:pStyle w:val="Heading5"/>
      </w:pPr>
      <w:bookmarkStart w:id="3928" w:name="section_67feb752f108441eaca363fc2717117a"/>
      <w:bookmarkStart w:id="3929" w:name="_Toc181684989"/>
      <w:r>
        <w:t>ST_DateTime (Standard Date and Time Storage Format)</w:t>
      </w:r>
      <w:bookmarkEnd w:id="3928"/>
      <w:bookmarkEnd w:id="3929"/>
      <w:r>
        <w:fldChar w:fldCharType="begin"/>
      </w:r>
      <w:r>
        <w:instrText xml:space="preserve"> XE "ST_DateTime (Standard Date and Time Storage Format)" </w:instrText>
      </w:r>
      <w:r>
        <w:fldChar w:fldCharType="end"/>
      </w:r>
    </w:p>
    <w:p w:rsidR="000A156F" w:rsidRDefault="00A9721F">
      <w:r>
        <w:t>This simple type specifies that its contents will contain a date in the standard XML Schema xsd:dateTime format, whose contents are interpreted based on the context of the parent XML element.</w:t>
      </w:r>
    </w:p>
    <w:p w:rsidR="000A156F" w:rsidRDefault="00A9721F">
      <w:r>
        <w:t>[Ex</w:t>
      </w:r>
      <w:r>
        <w:t>ample: Consider the following WordprocessingML fragment:</w:t>
      </w:r>
    </w:p>
    <w:p w:rsidR="000A156F" w:rsidRDefault="00A9721F">
      <w:pPr>
        <w:pStyle w:val="Code"/>
      </w:pPr>
      <w:r>
        <w:t>&lt;w:date w:realDate="01-01-2006T12:00:00Z"&gt;</w:t>
      </w:r>
    </w:p>
    <w:p w:rsidR="000A156F" w:rsidRDefault="00A9721F">
      <w:pPr>
        <w:pStyle w:val="Code"/>
      </w:pPr>
      <w:r>
        <w:t xml:space="preserve">  …</w:t>
      </w:r>
    </w:p>
    <w:p w:rsidR="000A156F" w:rsidRDefault="00A9721F">
      <w:pPr>
        <w:pStyle w:val="Code"/>
      </w:pPr>
      <w:r>
        <w:t>&lt;/w:date&gt;</w:t>
      </w:r>
    </w:p>
    <w:p w:rsidR="000A156F" w:rsidRDefault="00A9721F">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0A156F" w:rsidRDefault="00A9721F">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name="ST_DateTime"&gt;</w:t>
      </w:r>
    </w:p>
    <w:p w:rsidR="000A156F" w:rsidRDefault="00A9721F">
      <w:pPr>
        <w:pStyle w:val="Code"/>
      </w:pPr>
      <w:r>
        <w:t xml:space="preserve">  &lt;res</w:t>
      </w:r>
      <w:r>
        <w:t>triction base="xsd:dateTime"/&gt;</w:t>
      </w:r>
    </w:p>
    <w:p w:rsidR="000A156F" w:rsidRDefault="00A9721F">
      <w:pPr>
        <w:pStyle w:val="Code"/>
      </w:pPr>
      <w:r>
        <w:t>&lt;/simpleType&gt;</w:t>
      </w:r>
    </w:p>
    <w:p w:rsidR="000A156F" w:rsidRDefault="00A9721F">
      <w:pPr>
        <w:pStyle w:val="Heading5"/>
      </w:pPr>
      <w:bookmarkStart w:id="3930" w:name="section_205e43f89d014953a67fd7c91ccd6ffd"/>
      <w:bookmarkStart w:id="3931" w:name="_Toc181684990"/>
      <w:r>
        <w:t>ST_MarkupId (Annotation Identifier)</w:t>
      </w:r>
      <w:bookmarkEnd w:id="3930"/>
      <w:bookmarkEnd w:id="3931"/>
      <w:r>
        <w:fldChar w:fldCharType="begin"/>
      </w:r>
      <w:r>
        <w:instrText xml:space="preserve"> XE "ST_MarkupId (Annotation Identifier)" </w:instrText>
      </w:r>
      <w:r>
        <w:fldChar w:fldCharType="end"/>
      </w:r>
    </w:p>
    <w:p w:rsidR="000A156F" w:rsidRDefault="00A9721F">
      <w:r>
        <w:t xml:space="preserve">This simple type specifies that its contents shall contain a whole number, whose contents are used to uniquely identify an </w:t>
      </w:r>
      <w:r>
        <w:t>annotation.</w:t>
      </w:r>
    </w:p>
    <w:p w:rsidR="000A156F" w:rsidRDefault="00A9721F">
      <w:r>
        <w:t xml:space="preserve">The contents of this identifier are interpreted based on the context of the parent XML element. </w:t>
      </w:r>
    </w:p>
    <w:p w:rsidR="000A156F" w:rsidRDefault="00A9721F">
      <w:r>
        <w:t>This simple type is a union of the following types:</w:t>
      </w:r>
    </w:p>
    <w:p w:rsidR="000A156F" w:rsidRDefault="00A9721F">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0A156F" w:rsidRDefault="00A9721F">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w:t>
      </w:r>
      <w:r>
        <w:t>simpleType name="ST_MarkupId"&gt;</w:t>
      </w:r>
    </w:p>
    <w:p w:rsidR="000A156F" w:rsidRDefault="00A9721F">
      <w:pPr>
        <w:pStyle w:val="Code"/>
      </w:pPr>
      <w:r>
        <w:t xml:space="preserve">  &lt;union memberTypes="ST_NonNegativeDecimalNumber ST_SignedDecimalNumberMax-2"/&gt;</w:t>
      </w:r>
    </w:p>
    <w:p w:rsidR="000A156F" w:rsidRDefault="00A9721F">
      <w:pPr>
        <w:pStyle w:val="Code"/>
      </w:pPr>
      <w:r>
        <w:t>&lt;/simpleType&gt;</w:t>
      </w:r>
    </w:p>
    <w:p w:rsidR="000A156F" w:rsidRDefault="00A9721F">
      <w:pPr>
        <w:pStyle w:val="Heading5"/>
      </w:pPr>
      <w:bookmarkStart w:id="3932" w:name="section_8ddb0e2037f84cb9a2e083d20de6fe2c"/>
      <w:bookmarkStart w:id="3933" w:name="_Toc181684991"/>
      <w:r>
        <w:t>ST_NcName255 (Non-colonized Name)</w:t>
      </w:r>
      <w:bookmarkEnd w:id="3932"/>
      <w:bookmarkEnd w:id="3933"/>
      <w:r>
        <w:fldChar w:fldCharType="begin"/>
      </w:r>
      <w:r>
        <w:instrText xml:space="preserve"> XE "ST_NcName255 (Non-colonized Name)" </w:instrText>
      </w:r>
      <w:r>
        <w:fldChar w:fldCharType="end"/>
      </w:r>
    </w:p>
    <w:p w:rsidR="000A156F" w:rsidRDefault="00A9721F">
      <w:r>
        <w:t>This simple type specifies that its content shall cont</w:t>
      </w:r>
      <w:r>
        <w:t>ain a namespace name. The contents of this name are interpreted based on the context of the parent element.</w:t>
      </w:r>
    </w:p>
    <w:p w:rsidR="000A156F" w:rsidRDefault="00A9721F">
      <w:r>
        <w:t>This simple type's contents are a restriction of the XML Schema NCName datatype.</w:t>
      </w:r>
    </w:p>
    <w:p w:rsidR="000A156F" w:rsidRDefault="00A9721F">
      <w:r>
        <w:t>This simple type also specifies the following restrictions:</w:t>
      </w:r>
    </w:p>
    <w:p w:rsidR="000A156F" w:rsidRDefault="00A9721F">
      <w:pPr>
        <w:pStyle w:val="ListParagraph"/>
        <w:numPr>
          <w:ilvl w:val="0"/>
          <w:numId w:val="200"/>
        </w:numPr>
      </w:pPr>
      <w:r>
        <w:t xml:space="preserve">This </w:t>
      </w:r>
      <w:r>
        <w:t>simple type's contents have a maximum length of 255 characters.</w:t>
      </w:r>
    </w:p>
    <w:tbl>
      <w:tblPr>
        <w:tblStyle w:val="Table-ShadedHeader"/>
        <w:tblW w:w="0" w:type="auto"/>
        <w:tblLook w:val="04A0" w:firstRow="1" w:lastRow="0" w:firstColumn="1" w:lastColumn="0" w:noHBand="0" w:noVBand="1"/>
      </w:tblPr>
      <w:tblGrid>
        <w:gridCol w:w="416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customXml@element</w:t>
            </w:r>
            <w:r>
              <w:t xml:space="preserve"> (§</w:t>
            </w:r>
            <w:hyperlink w:anchor="Section_d188da3eb34b4445b3a0118155f75ff3">
              <w:r>
                <w:rPr>
                  <w:rStyle w:val="Hyperlink"/>
                </w:rPr>
                <w:t>3.1.3.1.1, customXml</w:t>
              </w:r>
            </w:hyperlink>
            <w:r>
              <w:t>)</w:t>
            </w:r>
          </w:p>
        </w:tc>
      </w:tr>
    </w:tbl>
    <w:p w:rsidR="000A156F" w:rsidRDefault="000A156F"/>
    <w:p w:rsidR="000A156F" w:rsidRDefault="00A9721F">
      <w:r>
        <w:t xml:space="preserve">The following XML Schema fragment defines the contents of this simple </w:t>
      </w:r>
      <w:r>
        <w:t>type:</w:t>
      </w:r>
    </w:p>
    <w:p w:rsidR="000A156F" w:rsidRDefault="00A9721F">
      <w:pPr>
        <w:pStyle w:val="Code"/>
      </w:pPr>
      <w:r>
        <w:t>&lt;simpleType name="ST_NcName255"&gt;</w:t>
      </w:r>
    </w:p>
    <w:p w:rsidR="000A156F" w:rsidRDefault="00A9721F">
      <w:pPr>
        <w:pStyle w:val="Code"/>
      </w:pPr>
      <w:r>
        <w:t xml:space="preserve">  &lt;restriction base="xsd:NCName"&gt;</w:t>
      </w:r>
    </w:p>
    <w:p w:rsidR="000A156F" w:rsidRDefault="00A9721F">
      <w:pPr>
        <w:pStyle w:val="Code"/>
      </w:pPr>
      <w:r>
        <w:t xml:space="preserve">    &lt;maxLength value="255"/&gt;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5"/>
      </w:pPr>
      <w:bookmarkStart w:id="3934" w:name="section_9613ebd34b174f35b1931665d0e3b8a5"/>
      <w:bookmarkStart w:id="3935" w:name="_Toc181684992"/>
      <w:r>
        <w:t>ST_NonNegativeDecimalNumber (Non-Negative Decimal Number Value)</w:t>
      </w:r>
      <w:bookmarkEnd w:id="3934"/>
      <w:bookmarkEnd w:id="3935"/>
      <w:r>
        <w:fldChar w:fldCharType="begin"/>
      </w:r>
      <w:r>
        <w:instrText xml:space="preserve"> XE "ST_NonNegativeDecimalNumber (Non-Negative Decimal Numbe</w:instrText>
      </w:r>
      <w:r>
        <w:instrText xml:space="preserve">r Value)" </w:instrText>
      </w:r>
      <w:r>
        <w:fldChar w:fldCharType="end"/>
      </w:r>
    </w:p>
    <w:p w:rsidR="000A156F" w:rsidRDefault="00A9721F">
      <w:r>
        <w:t>This simple type specifies that its contents shall contain a number, whose contents are interpreted based on the context of the parent XML element.</w:t>
      </w:r>
    </w:p>
    <w:p w:rsidR="000A156F" w:rsidRDefault="00A9721F">
      <w:r>
        <w:t>This simple type's contents are a restriction of the XML Schema int datatype.</w:t>
      </w:r>
    </w:p>
    <w:p w:rsidR="000A156F" w:rsidRDefault="00A9721F">
      <w:r>
        <w:t xml:space="preserve">This simple type </w:t>
      </w:r>
      <w:r>
        <w:t>also specifies the following restrictions:</w:t>
      </w:r>
    </w:p>
    <w:p w:rsidR="000A156F" w:rsidRDefault="00A9721F">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ST_MarkupId</w:t>
            </w:r>
            <w:r>
              <w:t xml:space="preserve"> (§</w:t>
            </w:r>
            <w:hyperlink w:anchor="Section_205e43f89d014953a67fd7c91ccd6ffd">
              <w:r>
                <w:rPr>
                  <w:rStyle w:val="Hyperlink"/>
                </w:rPr>
                <w:t>3.1.3.3.3, ST_MarkupId</w:t>
              </w:r>
            </w:hyperlink>
            <w:r>
              <w:t>)</w:t>
            </w:r>
          </w:p>
        </w:tc>
      </w:tr>
    </w:tbl>
    <w:p w:rsidR="000A156F" w:rsidRDefault="000A156F"/>
    <w:p w:rsidR="000A156F" w:rsidRDefault="00A9721F">
      <w:r>
        <w:t>The following XML Schema fr</w:t>
      </w:r>
      <w:r>
        <w:t>agment defines the contents of this simple type:</w:t>
      </w:r>
    </w:p>
    <w:p w:rsidR="000A156F" w:rsidRDefault="00A9721F">
      <w:pPr>
        <w:pStyle w:val="Code"/>
      </w:pPr>
      <w:r>
        <w:lastRenderedPageBreak/>
        <w:t>&lt;simpleType name="ST_NonNegativeDecimalNumber"&gt;</w:t>
      </w:r>
    </w:p>
    <w:p w:rsidR="000A156F" w:rsidRDefault="00A9721F">
      <w:pPr>
        <w:pStyle w:val="Code"/>
      </w:pPr>
      <w:r>
        <w:t xml:space="preserve">  &lt;restriction base="xsd:int"&gt;</w:t>
      </w:r>
    </w:p>
    <w:p w:rsidR="000A156F" w:rsidRDefault="00A9721F">
      <w:pPr>
        <w:pStyle w:val="Code"/>
      </w:pPr>
      <w:r>
        <w:t xml:space="preserve">    &lt;minInclusive value="0"/&gt;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5"/>
      </w:pPr>
      <w:bookmarkStart w:id="3936" w:name="section_79cbec698430479d88c056dd44369074"/>
      <w:bookmarkStart w:id="3937" w:name="_Toc181684993"/>
      <w:r>
        <w:t>ST_OnOff (On/Off Value)</w:t>
      </w:r>
      <w:bookmarkEnd w:id="3936"/>
      <w:bookmarkEnd w:id="3937"/>
      <w:r>
        <w:fldChar w:fldCharType="begin"/>
      </w:r>
      <w:r>
        <w:instrText xml:space="preserve"> XE "ST_OnOff (On/Off Value)" </w:instrText>
      </w:r>
      <w:r>
        <w:fldChar w:fldCharType="end"/>
      </w:r>
    </w:p>
    <w:p w:rsidR="000A156F" w:rsidRDefault="00A9721F">
      <w:r>
        <w:t>This simple</w:t>
      </w:r>
      <w:r>
        <w:t xml:space="preserve"> type specifies a set of values for any binary (on or off) property defined in a WordprocessingML document.</w:t>
      </w:r>
    </w:p>
    <w:p w:rsidR="000A156F" w:rsidRDefault="00A9721F">
      <w:r>
        <w:t xml:space="preserve">A value of </w:t>
      </w:r>
      <w:r>
        <w:rPr>
          <w:i/>
        </w:rPr>
        <w:t>on</w:t>
      </w:r>
      <w:r>
        <w:t xml:space="preserve">, </w:t>
      </w:r>
      <w:r>
        <w:rPr>
          <w:i/>
        </w:rPr>
        <w:t>1</w:t>
      </w:r>
      <w:r>
        <w:t xml:space="preserve">, or </w:t>
      </w:r>
      <w:r>
        <w:rPr>
          <w:i/>
        </w:rPr>
        <w:t>true</w:t>
      </w:r>
      <w:r>
        <w:t xml:space="preserve"> specifies that the property shall be turned on.</w:t>
      </w:r>
    </w:p>
    <w:p w:rsidR="000A156F" w:rsidRDefault="00A9721F">
      <w:r>
        <w:t xml:space="preserve">A value of </w:t>
      </w:r>
      <w:r>
        <w:rPr>
          <w:i/>
        </w:rPr>
        <w:t>off</w:t>
      </w:r>
      <w:r>
        <w:t xml:space="preserve">, </w:t>
      </w:r>
      <w:r>
        <w:rPr>
          <w:i/>
        </w:rPr>
        <w:t>0</w:t>
      </w:r>
      <w:r>
        <w:t xml:space="preserve">, or </w:t>
      </w:r>
      <w:r>
        <w:rPr>
          <w:i/>
        </w:rPr>
        <w:t>false</w:t>
      </w:r>
      <w:r>
        <w:t xml:space="preserve"> specifies that the property shall be explicitl</w:t>
      </w:r>
      <w:r>
        <w:t>y turned off.</w:t>
      </w:r>
    </w:p>
    <w:p w:rsidR="000A156F" w:rsidRDefault="00A9721F">
      <w:r>
        <w:t>This simple type's contents are a restriction of the XML Schema string datatype.</w:t>
      </w:r>
    </w:p>
    <w:p w:rsidR="000A156F" w:rsidRDefault="00A9721F">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0</w:t>
            </w:r>
            <w:r>
              <w:t xml:space="preserve"> (False)</w:t>
            </w:r>
          </w:p>
        </w:tc>
        <w:tc>
          <w:tcPr>
            <w:tcW w:w="0" w:type="auto"/>
            <w:vAlign w:val="center"/>
          </w:tcPr>
          <w:p w:rsidR="000A156F" w:rsidRDefault="00A9721F">
            <w:pPr>
              <w:pStyle w:val="TableBodyText"/>
            </w:pPr>
            <w:r>
              <w:t xml:space="preserve">Specifies that the binary state of this property is off </w:t>
            </w:r>
            <w:r>
              <w:t>(parent property is explicitly not applied).</w:t>
            </w:r>
          </w:p>
        </w:tc>
      </w:tr>
      <w:tr w:rsidR="000A156F" w:rsidTr="000A156F">
        <w:tc>
          <w:tcPr>
            <w:tcW w:w="0" w:type="auto"/>
            <w:vAlign w:val="center"/>
          </w:tcPr>
          <w:p w:rsidR="000A156F" w:rsidRDefault="00A9721F">
            <w:pPr>
              <w:pStyle w:val="TableBodyText"/>
            </w:pPr>
            <w:r>
              <w:rPr>
                <w:b/>
              </w:rPr>
              <w:t>1</w:t>
            </w:r>
            <w:r>
              <w:t xml:space="preserve"> (True)</w:t>
            </w:r>
          </w:p>
        </w:tc>
        <w:tc>
          <w:tcPr>
            <w:tcW w:w="0" w:type="auto"/>
            <w:vAlign w:val="center"/>
          </w:tcPr>
          <w:p w:rsidR="000A156F" w:rsidRDefault="00A9721F">
            <w:pPr>
              <w:pStyle w:val="TableBodyText"/>
            </w:pPr>
            <w:r>
              <w:t>Specifies that the binary state of this property is on (parent property is explicitly applied).</w:t>
            </w:r>
          </w:p>
        </w:tc>
      </w:tr>
      <w:tr w:rsidR="000A156F" w:rsidTr="000A156F">
        <w:tc>
          <w:tcPr>
            <w:tcW w:w="0" w:type="auto"/>
            <w:vAlign w:val="center"/>
          </w:tcPr>
          <w:p w:rsidR="000A156F" w:rsidRDefault="00A9721F">
            <w:pPr>
              <w:pStyle w:val="TableBodyText"/>
            </w:pPr>
            <w:r>
              <w:rPr>
                <w:b/>
              </w:rPr>
              <w:t>false</w:t>
            </w:r>
            <w:r>
              <w:t xml:space="preserve"> (False)</w:t>
            </w:r>
          </w:p>
        </w:tc>
        <w:tc>
          <w:tcPr>
            <w:tcW w:w="0" w:type="auto"/>
            <w:vAlign w:val="center"/>
          </w:tcPr>
          <w:p w:rsidR="000A156F" w:rsidRDefault="00A9721F">
            <w:pPr>
              <w:pStyle w:val="TableBodyText"/>
            </w:pPr>
            <w:r>
              <w:t>Specifies that the binary state of this property is off (parent property is explicitly not</w:t>
            </w:r>
            <w:r>
              <w:t xml:space="preserve"> applied).</w:t>
            </w:r>
          </w:p>
        </w:tc>
      </w:tr>
      <w:tr w:rsidR="000A156F" w:rsidTr="000A156F">
        <w:tc>
          <w:tcPr>
            <w:tcW w:w="0" w:type="auto"/>
            <w:vAlign w:val="center"/>
          </w:tcPr>
          <w:p w:rsidR="000A156F" w:rsidRDefault="00A9721F">
            <w:pPr>
              <w:pStyle w:val="TableBodyText"/>
            </w:pPr>
            <w:r>
              <w:rPr>
                <w:b/>
              </w:rPr>
              <w:t>off</w:t>
            </w:r>
            <w:r>
              <w:t xml:space="preserve"> (False)</w:t>
            </w:r>
          </w:p>
        </w:tc>
        <w:tc>
          <w:tcPr>
            <w:tcW w:w="0" w:type="auto"/>
            <w:vAlign w:val="center"/>
          </w:tcPr>
          <w:p w:rsidR="000A156F" w:rsidRDefault="00A9721F">
            <w:pPr>
              <w:pStyle w:val="TableBodyText"/>
            </w:pPr>
            <w:r>
              <w:t>Specifies that the binary state of this property is off (parent property is explicitly not applied).</w:t>
            </w:r>
          </w:p>
        </w:tc>
      </w:tr>
      <w:tr w:rsidR="000A156F" w:rsidTr="000A156F">
        <w:tc>
          <w:tcPr>
            <w:tcW w:w="0" w:type="auto"/>
            <w:vAlign w:val="center"/>
          </w:tcPr>
          <w:p w:rsidR="000A156F" w:rsidRDefault="00A9721F">
            <w:pPr>
              <w:pStyle w:val="TableBodyText"/>
            </w:pPr>
            <w:r>
              <w:rPr>
                <w:b/>
              </w:rPr>
              <w:t>on</w:t>
            </w:r>
            <w:r>
              <w:t xml:space="preserve"> (True)</w:t>
            </w:r>
          </w:p>
        </w:tc>
        <w:tc>
          <w:tcPr>
            <w:tcW w:w="0" w:type="auto"/>
            <w:vAlign w:val="center"/>
          </w:tcPr>
          <w:p w:rsidR="000A156F" w:rsidRDefault="00A9721F">
            <w:pPr>
              <w:pStyle w:val="TableBodyText"/>
            </w:pPr>
            <w:r>
              <w:t>Specifies that the binary state of this property is on (parent property is explicitly applied).</w:t>
            </w:r>
          </w:p>
        </w:tc>
      </w:tr>
      <w:tr w:rsidR="000A156F" w:rsidTr="000A156F">
        <w:tc>
          <w:tcPr>
            <w:tcW w:w="0" w:type="auto"/>
            <w:vAlign w:val="center"/>
          </w:tcPr>
          <w:p w:rsidR="000A156F" w:rsidRDefault="00A9721F">
            <w:pPr>
              <w:pStyle w:val="TableBodyText"/>
            </w:pPr>
            <w:r>
              <w:rPr>
                <w:b/>
              </w:rPr>
              <w:t>true</w:t>
            </w:r>
            <w:r>
              <w:t xml:space="preserve"> (True)</w:t>
            </w:r>
          </w:p>
        </w:tc>
        <w:tc>
          <w:tcPr>
            <w:tcW w:w="0" w:type="auto"/>
            <w:vAlign w:val="center"/>
          </w:tcPr>
          <w:p w:rsidR="000A156F" w:rsidRDefault="00A9721F">
            <w:pPr>
              <w:pStyle w:val="TableBodyText"/>
            </w:pPr>
            <w:r>
              <w:t xml:space="preserve">Specifies </w:t>
            </w:r>
            <w:r>
              <w:t>that the binary state of this property is on (parent property is explicitly applied).</w:t>
            </w:r>
          </w:p>
        </w:tc>
      </w:tr>
    </w:tbl>
    <w:p w:rsidR="000A156F" w:rsidRDefault="000A156F"/>
    <w:p w:rsidR="000A156F" w:rsidRDefault="000A156F"/>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w:t>
            </w:r>
            <w:r>
              <w:rPr>
                <w:b/>
              </w:rPr>
              <w:t>link@history</w:t>
            </w:r>
            <w:r>
              <w:t xml:space="preserve"> (§</w:t>
            </w:r>
            <w:hyperlink w:anchor="Section_cc9e4bbd134f4d35b2c795fde8c633a7">
              <w:r>
                <w:rPr>
                  <w:rStyle w:val="Hyperlink"/>
                </w:rPr>
                <w:t>3.1.3.1.3, hyperlink</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name="ST_OnOff"&gt;</w:t>
      </w:r>
    </w:p>
    <w:p w:rsidR="000A156F" w:rsidRDefault="00A9721F">
      <w:pPr>
        <w:pStyle w:val="Code"/>
      </w:pPr>
      <w:r>
        <w:t xml:space="preserve">  &lt;restriction base="xsd:string"&gt;</w:t>
      </w:r>
    </w:p>
    <w:p w:rsidR="000A156F" w:rsidRDefault="00A9721F">
      <w:pPr>
        <w:pStyle w:val="Code"/>
      </w:pPr>
      <w:r>
        <w:t xml:space="preserve">    &lt;</w:t>
      </w:r>
      <w:r>
        <w:t>enumeration value="true"/&gt;</w:t>
      </w:r>
    </w:p>
    <w:p w:rsidR="000A156F" w:rsidRDefault="00A9721F">
      <w:pPr>
        <w:pStyle w:val="Code"/>
      </w:pPr>
      <w:r>
        <w:t xml:space="preserve">    &lt;enumeration value="false"/&gt;</w:t>
      </w:r>
    </w:p>
    <w:p w:rsidR="000A156F" w:rsidRDefault="00A9721F">
      <w:pPr>
        <w:pStyle w:val="Code"/>
      </w:pPr>
      <w:r>
        <w:t xml:space="preserve">    &lt;enumeration value="on"/&gt;</w:t>
      </w:r>
    </w:p>
    <w:p w:rsidR="000A156F" w:rsidRDefault="00A9721F">
      <w:pPr>
        <w:pStyle w:val="Code"/>
      </w:pPr>
      <w:r>
        <w:t xml:space="preserve">    &lt;enumeration value="off"/&gt;</w:t>
      </w:r>
    </w:p>
    <w:p w:rsidR="000A156F" w:rsidRDefault="00A9721F">
      <w:pPr>
        <w:pStyle w:val="Code"/>
      </w:pPr>
      <w:r>
        <w:t xml:space="preserve">    &lt;enumeration value="0"/&gt;</w:t>
      </w:r>
    </w:p>
    <w:p w:rsidR="000A156F" w:rsidRDefault="00A9721F">
      <w:pPr>
        <w:pStyle w:val="Code"/>
      </w:pPr>
      <w:r>
        <w:t xml:space="preserve">    &lt;enumeration value="1"/&gt;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5"/>
      </w:pPr>
      <w:bookmarkStart w:id="3938" w:name="section_e9dec6c502ac46a4941bbe63ccf1bbe2"/>
      <w:bookmarkStart w:id="3939" w:name="_Toc181684994"/>
      <w:r>
        <w:lastRenderedPageBreak/>
        <w:t>ST_SignedDecimalNumberMax-2 (Decimal Number Value Max -2)</w:t>
      </w:r>
      <w:bookmarkEnd w:id="3938"/>
      <w:bookmarkEnd w:id="3939"/>
      <w:r>
        <w:fldChar w:fldCharType="begin"/>
      </w:r>
      <w:r>
        <w:instrText xml:space="preserve"> XE "ST_SignedDecimalNumberMax-2 (Decimal Number Value Max -2)" </w:instrText>
      </w:r>
      <w:r>
        <w:fldChar w:fldCharType="end"/>
      </w:r>
    </w:p>
    <w:p w:rsidR="000A156F" w:rsidRDefault="00A9721F">
      <w:r>
        <w:t>This simple type specifies that its contents shall contain a number, whose contents are interpreted based on the context of the pare</w:t>
      </w:r>
      <w:r>
        <w:t>nt XML element.</w:t>
      </w:r>
    </w:p>
    <w:p w:rsidR="000A156F" w:rsidRDefault="00A9721F">
      <w:r>
        <w:t>This simple type's contents are a restriction of the XML Schema int datatype.</w:t>
      </w:r>
    </w:p>
    <w:p w:rsidR="000A156F" w:rsidRDefault="00A9721F">
      <w:r>
        <w:t>This simple type also specifies the following restrictions:</w:t>
      </w:r>
    </w:p>
    <w:p w:rsidR="000A156F" w:rsidRDefault="00A9721F">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ST_MarkupId</w:t>
            </w:r>
            <w:r>
              <w:t xml:space="preserve"> (§</w:t>
            </w:r>
            <w:hyperlink w:anchor="Section_205e43f89d014953a67fd7c91ccd6ffd">
              <w:r>
                <w:rPr>
                  <w:rStyle w:val="Hyperlink"/>
                </w:rPr>
                <w:t>3.1.3.3.3, ST_MarkupId</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name="ST_SignedDecimalNumberMax-2"&gt;</w:t>
      </w:r>
    </w:p>
    <w:p w:rsidR="000A156F" w:rsidRDefault="00A9721F">
      <w:pPr>
        <w:pStyle w:val="Code"/>
      </w:pPr>
      <w:r>
        <w:t xml:space="preserve">  &lt;restriction base="xsd:int"&gt;</w:t>
      </w:r>
    </w:p>
    <w:p w:rsidR="000A156F" w:rsidRDefault="00A9721F">
      <w:pPr>
        <w:pStyle w:val="Code"/>
      </w:pPr>
      <w:r>
        <w:t xml:space="preserve">    &lt;</w:t>
      </w:r>
      <w:r>
        <w:t>maxInclusive value="-2"/&gt;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5"/>
      </w:pPr>
      <w:bookmarkStart w:id="3940" w:name="section_ed68652a69334080ac59a443946fa732"/>
      <w:bookmarkStart w:id="3941" w:name="_Toc181684995"/>
      <w:r>
        <w:t>ST_String (String)</w:t>
      </w:r>
      <w:bookmarkEnd w:id="3940"/>
      <w:bookmarkEnd w:id="3941"/>
      <w:r>
        <w:fldChar w:fldCharType="begin"/>
      </w:r>
      <w:r>
        <w:instrText xml:space="preserve"> XE "ST_String (String)" </w:instrText>
      </w:r>
      <w:r>
        <w:fldChar w:fldCharType="end"/>
      </w:r>
    </w:p>
    <w:p w:rsidR="000A156F" w:rsidRDefault="00A9721F">
      <w:r>
        <w:t>This simple type specifies that its contents will contain a string. The contents of this string are interpreted based on the context of the parent XML el</w:t>
      </w:r>
      <w:r>
        <w:t>ement.</w:t>
      </w:r>
    </w:p>
    <w:p w:rsidR="000A156F" w:rsidRDefault="00A9721F">
      <w:r>
        <w:t>[Example: Consider the following WordprocessingML fragment:</w:t>
      </w:r>
    </w:p>
    <w:p w:rsidR="000A156F" w:rsidRDefault="00A9721F">
      <w:pPr>
        <w:pStyle w:val="Code"/>
      </w:pPr>
      <w:r>
        <w:t>&lt;w:pPr&gt;</w:t>
      </w:r>
    </w:p>
    <w:p w:rsidR="000A156F" w:rsidRDefault="00A9721F">
      <w:pPr>
        <w:pStyle w:val="Code"/>
      </w:pPr>
      <w:r>
        <w:t xml:space="preserve">  &lt;w:pStyle w:val="heading1" /&gt; </w:t>
      </w:r>
    </w:p>
    <w:p w:rsidR="000A156F" w:rsidRDefault="00A9721F">
      <w:pPr>
        <w:pStyle w:val="Code"/>
      </w:pPr>
      <w:r>
        <w:t>&lt;/w:pPr&gt;</w:t>
      </w:r>
    </w:p>
    <w:p w:rsidR="000A156F" w:rsidRDefault="00A9721F">
      <w:r>
        <w:t xml:space="preserve">The value of the </w:t>
      </w:r>
      <w:r>
        <w:rPr>
          <w:b/>
        </w:rPr>
        <w:t>val</w:t>
      </w:r>
      <w:r>
        <w:t xml:space="preserve"> attribute is the ID of the associated paragraph style's </w:t>
      </w:r>
      <w:r>
        <w:rPr>
          <w:rStyle w:val="InlineCode"/>
        </w:rPr>
        <w:t>styleId</w:t>
      </w:r>
      <w:r>
        <w:t>. However, consider the following fragment:</w:t>
      </w:r>
    </w:p>
    <w:p w:rsidR="000A156F" w:rsidRDefault="00A9721F">
      <w:pPr>
        <w:pStyle w:val="Code"/>
      </w:pPr>
      <w:r>
        <w:t>&lt;w:sdtPr&gt;</w:t>
      </w:r>
    </w:p>
    <w:p w:rsidR="000A156F" w:rsidRDefault="00A9721F">
      <w:pPr>
        <w:pStyle w:val="Code"/>
      </w:pPr>
      <w:r>
        <w:t xml:space="preserve"> </w:t>
      </w:r>
      <w:r>
        <w:t xml:space="preserve"> &lt;w:alias w:val="SDT Title Example" /&gt;</w:t>
      </w:r>
    </w:p>
    <w:p w:rsidR="000A156F" w:rsidRDefault="00A9721F">
      <w:pPr>
        <w:pStyle w:val="Code"/>
      </w:pPr>
      <w:r>
        <w:t xml:space="preserve">  ...</w:t>
      </w:r>
    </w:p>
    <w:p w:rsidR="000A156F" w:rsidRDefault="00A9721F">
      <w:pPr>
        <w:pStyle w:val="Code"/>
      </w:pPr>
      <w:r>
        <w:t>&lt;/w:sdtPr&gt;</w:t>
      </w:r>
    </w:p>
    <w:p w:rsidR="000A156F" w:rsidRDefault="00A9721F">
      <w:r>
        <w:t xml:space="preserve">In this case, the decimal number in the </w:t>
      </w:r>
      <w:r>
        <w:rPr>
          <w:b/>
        </w:rPr>
        <w:t>val</w:t>
      </w:r>
      <w:r>
        <w:t xml:space="preserve"> attribute is the caption of the parent structured document tag. In each case, the value is of type </w:t>
      </w:r>
      <w:r>
        <w:rPr>
          <w:b/>
        </w:rPr>
        <w:t>ST_String</w:t>
      </w:r>
      <w:r>
        <w:t>, and therefore must be interpreted in the conte</w:t>
      </w:r>
      <w:r>
        <w:t>xt of the parent element. end example]</w:t>
      </w:r>
    </w:p>
    <w:p w:rsidR="000A156F" w:rsidRDefault="00A9721F">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fldSimple@instr</w:t>
            </w:r>
            <w:r>
              <w:t xml:space="preserve"> (§</w:t>
            </w:r>
            <w:hyperlink w:anchor="Section_34477fff355a497ea2bf4b9c3f80b093">
              <w:r>
                <w:rPr>
                  <w:rStyle w:val="Hyperlink"/>
                </w:rPr>
                <w:t>3.1.3.1.2, fldSimple</w:t>
              </w:r>
            </w:hyperlink>
            <w:r>
              <w:t>)</w:t>
            </w:r>
          </w:p>
        </w:tc>
      </w:tr>
    </w:tbl>
    <w:p w:rsidR="000A156F" w:rsidRDefault="000A156F"/>
    <w:p w:rsidR="000A156F" w:rsidRDefault="00A9721F">
      <w:r>
        <w:lastRenderedPageBreak/>
        <w:t xml:space="preserve">The following </w:t>
      </w:r>
      <w:r>
        <w:t>XML Schema fragment defines the contents of this simple type:</w:t>
      </w:r>
    </w:p>
    <w:p w:rsidR="000A156F" w:rsidRDefault="00A9721F">
      <w:pPr>
        <w:pStyle w:val="Code"/>
      </w:pPr>
      <w:r>
        <w:t>&lt;simpleType name="ST_String"&gt;</w:t>
      </w:r>
    </w:p>
    <w:p w:rsidR="000A156F" w:rsidRDefault="00A9721F">
      <w:pPr>
        <w:pStyle w:val="Code"/>
      </w:pPr>
      <w:r>
        <w:t xml:space="preserve">  &lt;restriction base="xsd:string"/&gt;</w:t>
      </w:r>
    </w:p>
    <w:p w:rsidR="000A156F" w:rsidRDefault="00A9721F">
      <w:pPr>
        <w:pStyle w:val="Code"/>
      </w:pPr>
      <w:r>
        <w:t>&lt;/simpleType&gt;</w:t>
      </w:r>
    </w:p>
    <w:p w:rsidR="000A156F" w:rsidRDefault="00A9721F">
      <w:pPr>
        <w:pStyle w:val="Heading5"/>
      </w:pPr>
      <w:bookmarkStart w:id="3942" w:name="section_73f2382235094ce4a27391e7e5a80c27"/>
      <w:bookmarkStart w:id="3943" w:name="_Toc181684996"/>
      <w:r>
        <w:t>ST_String255 (String)</w:t>
      </w:r>
      <w:bookmarkEnd w:id="3942"/>
      <w:bookmarkEnd w:id="3943"/>
      <w:r>
        <w:fldChar w:fldCharType="begin"/>
      </w:r>
      <w:r>
        <w:instrText xml:space="preserve"> XE "ST_String255 (String)" </w:instrText>
      </w:r>
      <w:r>
        <w:fldChar w:fldCharType="end"/>
      </w:r>
    </w:p>
    <w:p w:rsidR="000A156F" w:rsidRDefault="00A9721F">
      <w:r>
        <w:t xml:space="preserve">This simple type specifies that its contents shall contain a </w:t>
      </w:r>
      <w:r>
        <w:t>string. The contents of this string are interpreted based on the context of the parent XML element.</w:t>
      </w:r>
    </w:p>
    <w:p w:rsidR="000A156F" w:rsidRDefault="00A9721F">
      <w:r>
        <w:t>This simple type's contents are a restriction of the XML Schema string datatype.</w:t>
      </w:r>
    </w:p>
    <w:p w:rsidR="000A156F" w:rsidRDefault="00A9721F">
      <w:r>
        <w:t>This simple type also specifies the following restrictions:</w:t>
      </w:r>
    </w:p>
    <w:p w:rsidR="000A156F" w:rsidRDefault="00A9721F">
      <w:pPr>
        <w:pStyle w:val="ListParagraph"/>
        <w:numPr>
          <w:ilvl w:val="0"/>
          <w:numId w:val="203"/>
        </w:numPr>
      </w:pPr>
      <w:r>
        <w:t>This simple typ</w:t>
      </w:r>
      <w:r>
        <w:t>e's contents have a maximum length of 255 characters.</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w:t>
            </w:r>
            <w:r>
              <w:t xml:space="preserve">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0A156F" w:rsidRDefault="000A156F"/>
    <w:p w:rsidR="000A156F" w:rsidRDefault="00A9721F">
      <w:r>
        <w:t xml:space="preserve">The following XML Schema fragment defines </w:t>
      </w:r>
      <w:r>
        <w:t>the contents of this simple type:</w:t>
      </w:r>
    </w:p>
    <w:p w:rsidR="000A156F" w:rsidRDefault="00A9721F">
      <w:pPr>
        <w:pStyle w:val="Code"/>
      </w:pPr>
      <w:r>
        <w:t>&lt;simpleType name="ST_String255"&gt;</w:t>
      </w:r>
    </w:p>
    <w:p w:rsidR="000A156F" w:rsidRDefault="00A9721F">
      <w:pPr>
        <w:pStyle w:val="Code"/>
      </w:pPr>
      <w:r>
        <w:t xml:space="preserve">  &lt;restriction base="xsd:string"&gt;</w:t>
      </w:r>
    </w:p>
    <w:p w:rsidR="000A156F" w:rsidRDefault="00A9721F">
      <w:pPr>
        <w:pStyle w:val="Code"/>
      </w:pPr>
      <w:r>
        <w:t xml:space="preserve">    &lt;maxLength value="255"/&gt;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5"/>
      </w:pPr>
      <w:bookmarkStart w:id="3944" w:name="section_b74c454c6c644828955971894d36105b"/>
      <w:bookmarkStart w:id="3945" w:name="_Toc181684997"/>
      <w:r>
        <w:t>ST_String260 (String)</w:t>
      </w:r>
      <w:bookmarkEnd w:id="3944"/>
      <w:bookmarkEnd w:id="3945"/>
      <w:r>
        <w:fldChar w:fldCharType="begin"/>
      </w:r>
      <w:r>
        <w:instrText xml:space="preserve"> XE "ST_String260 (String)" </w:instrText>
      </w:r>
      <w:r>
        <w:fldChar w:fldCharType="end"/>
      </w:r>
    </w:p>
    <w:p w:rsidR="000A156F" w:rsidRDefault="00A9721F">
      <w:r>
        <w:t>This simple type specifies that its content</w:t>
      </w:r>
      <w:r>
        <w:t>s shall contain a string. The contents of this string are interpreted based on the context of the parent XML element.</w:t>
      </w:r>
    </w:p>
    <w:p w:rsidR="000A156F" w:rsidRDefault="00A9721F">
      <w:r>
        <w:t>This simple type's contents are a restriction of the XML Schema string datatype.</w:t>
      </w:r>
    </w:p>
    <w:p w:rsidR="000A156F" w:rsidRDefault="00A9721F">
      <w:r>
        <w:t>This simple type also specifies the following restriction</w:t>
      </w:r>
      <w:r>
        <w:t>s:</w:t>
      </w:r>
    </w:p>
    <w:p w:rsidR="000A156F" w:rsidRDefault="00A9721F">
      <w:pPr>
        <w:pStyle w:val="ListParagraph"/>
        <w:numPr>
          <w:ilvl w:val="0"/>
          <w:numId w:val="204"/>
        </w:numPr>
      </w:pPr>
      <w:r>
        <w:t>This simple type's contents have a maximum length of 260 characters.</w:t>
      </w:r>
    </w:p>
    <w:tbl>
      <w:tblPr>
        <w:tblStyle w:val="Table-ShadedHeader"/>
        <w:tblW w:w="0" w:type="auto"/>
        <w:tblLook w:val="04A0" w:firstRow="1" w:lastRow="0" w:firstColumn="1" w:lastColumn="0" w:noHBand="0" w:noVBand="1"/>
      </w:tblPr>
      <w:tblGrid>
        <w:gridCol w:w="372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hyperlink@tooltip</w:t>
            </w:r>
            <w:r>
              <w:t xml:space="preserve"> (§</w:t>
            </w:r>
            <w:hyperlink w:anchor="Section_cc9e4bbd134f4d35b2c795fde8c633a7">
              <w:r>
                <w:rPr>
                  <w:rStyle w:val="Hyperlink"/>
                </w:rPr>
                <w:t>3.1.3.1.3, hyperlink</w:t>
              </w:r>
            </w:hyperlink>
            <w:r>
              <w:t>)</w:t>
            </w:r>
          </w:p>
        </w:tc>
      </w:tr>
    </w:tbl>
    <w:p w:rsidR="000A156F" w:rsidRDefault="000A156F"/>
    <w:p w:rsidR="000A156F" w:rsidRDefault="00A9721F">
      <w:r>
        <w:t>The following XML Schema fragment defines the contents of this</w:t>
      </w:r>
      <w:r>
        <w:t xml:space="preserve"> simple type:</w:t>
      </w:r>
    </w:p>
    <w:p w:rsidR="000A156F" w:rsidRDefault="00A9721F">
      <w:pPr>
        <w:pStyle w:val="Code"/>
      </w:pPr>
      <w:r>
        <w:t>&lt;simpleType name="ST_String260"&gt;</w:t>
      </w:r>
    </w:p>
    <w:p w:rsidR="000A156F" w:rsidRDefault="00A9721F">
      <w:pPr>
        <w:pStyle w:val="Code"/>
      </w:pPr>
      <w:r>
        <w:t xml:space="preserve">  &lt;restriction base="xsd:string"&gt;</w:t>
      </w:r>
    </w:p>
    <w:p w:rsidR="000A156F" w:rsidRDefault="00A9721F">
      <w:pPr>
        <w:pStyle w:val="Code"/>
      </w:pPr>
      <w:r>
        <w:t xml:space="preserve">    &lt;maxLength value="260"/&gt;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3"/>
      </w:pPr>
      <w:bookmarkStart w:id="3946" w:name="section_5f22f80d39f24ed6a6eb2dd92581ef97"/>
      <w:bookmarkStart w:id="3947" w:name="_Toc181684998"/>
      <w:r>
        <w:lastRenderedPageBreak/>
        <w:t>DrawingML Persistence Part</w:t>
      </w:r>
      <w:bookmarkEnd w:id="3946"/>
      <w:bookmarkEnd w:id="3947"/>
      <w:r>
        <w:fldChar w:fldCharType="begin"/>
      </w:r>
      <w:r>
        <w:instrText xml:space="preserve"> XE "DrawingML Persistence Part" </w:instrText>
      </w:r>
      <w:r>
        <w:fldChar w:fldCharType="end"/>
      </w:r>
    </w:p>
    <w:p w:rsidR="000A156F" w:rsidRDefault="00A9721F">
      <w:r>
        <w:t>When Word creates a legacy shape from an OfficeArt ob</w:t>
      </w:r>
      <w:r>
        <w:t xml:space="preserve">ject, additional information will be stored in the legacy shape to allow Word to reconstruct the original OfficeArt object at a later time.  This information is stored in the </w:t>
      </w:r>
      <w:r>
        <w:rPr>
          <w:b/>
        </w:rPr>
        <w:t>gfxdata</w:t>
      </w:r>
      <w:r>
        <w:t xml:space="preserve"> attribute ("</w:t>
      </w:r>
      <w:hyperlink r:id="rId315">
        <w:r>
          <w:rPr>
            <w:rStyle w:val="Hyperlink"/>
          </w:rPr>
          <w:t>[ISO/IEC-29500-4]</w:t>
        </w:r>
      </w:hyperlink>
      <w:r>
        <w:t xml:space="preserve"> §19.1.2.19; shape (Shape Definition)").</w:t>
      </w:r>
    </w:p>
    <w:p w:rsidR="000A156F" w:rsidRDefault="00A9721F">
      <w:r>
        <w:t>All this information will be deleted in case the legacy shape is modified after it is loaded by Office.</w:t>
      </w:r>
    </w:p>
    <w:p w:rsidR="000A156F" w:rsidRDefault="00A9721F">
      <w:r>
        <w:t xml:space="preserve">The contents of the </w:t>
      </w:r>
      <w:r>
        <w:rPr>
          <w:b/>
        </w:rPr>
        <w:t>gfxdata</w:t>
      </w:r>
      <w:r>
        <w:t xml:space="preserve"> attribute is an xsd:base64Binary representation of a Package ("</w:t>
      </w:r>
      <w:hyperlink r:id="rId316">
        <w:r>
          <w:rPr>
            <w:rStyle w:val="Hyperlink"/>
          </w:rPr>
          <w:t>[ISO/IEC-29500-2]</w:t>
        </w:r>
      </w:hyperlink>
      <w:r>
        <w:t xml:space="preserve"> Open Packaging Conventions").  This package contains information about the original OfficeArt object as well</w:t>
      </w:r>
      <w:r>
        <w:t xml:space="preserve"> as information about the characteristics of the legacy shape as it was originally created to represent the OfficeArt object.</w:t>
      </w:r>
    </w:p>
    <w:p w:rsidR="000A156F" w:rsidRDefault="00A9721F">
      <w:pPr>
        <w:pStyle w:val="Heading4"/>
      </w:pPr>
      <w:bookmarkStart w:id="3948" w:name="section_c98431745ffc464f8a9e408fcacb65b5"/>
      <w:bookmarkStart w:id="3949" w:name="_Toc181684999"/>
      <w:r>
        <w:t>DrawingML Persistence Parts</w:t>
      </w:r>
      <w:bookmarkEnd w:id="3948"/>
      <w:bookmarkEnd w:id="3949"/>
      <w:r>
        <w:fldChar w:fldCharType="begin"/>
      </w:r>
      <w:r>
        <w:instrText xml:space="preserve"> XE "DrawingML Persistence Parts" </w:instrText>
      </w:r>
      <w:r>
        <w:fldChar w:fldCharType="end"/>
      </w:r>
    </w:p>
    <w:p w:rsidR="000A156F" w:rsidRDefault="00A9721F">
      <w:r>
        <w:t>The DrawingML Persistence Package can contain any part described i</w:t>
      </w:r>
      <w:r>
        <w:t>n Office Open XML File Formats (</w:t>
      </w:r>
      <w:hyperlink r:id="rId317">
        <w:r>
          <w:rPr>
            <w:rStyle w:val="Hyperlink"/>
          </w:rPr>
          <w:t>[ISO/IEC-29500-1]</w:t>
        </w:r>
      </w:hyperlink>
      <w:r>
        <w:t>) as well as the parts described in the subclauses subordinate to this clause.</w:t>
      </w:r>
    </w:p>
    <w:p w:rsidR="000A156F" w:rsidRDefault="00A9721F">
      <w:r>
        <w:t>[Note: For convenience, information from those subclauses is s</w:t>
      </w:r>
      <w:r>
        <w:t>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Part</w:t>
            </w:r>
          </w:p>
        </w:tc>
        <w:tc>
          <w:tcPr>
            <w:tcW w:w="0" w:type="auto"/>
            <w:vAlign w:val="center"/>
          </w:tcPr>
          <w:p w:rsidR="000A156F" w:rsidRDefault="00A9721F">
            <w:pPr>
              <w:pStyle w:val="TableHeaderText"/>
            </w:pPr>
            <w:r>
              <w:t>Relationship Target of</w:t>
            </w:r>
          </w:p>
        </w:tc>
        <w:tc>
          <w:tcPr>
            <w:tcW w:w="0" w:type="auto"/>
            <w:vAlign w:val="center"/>
          </w:tcPr>
          <w:p w:rsidR="000A156F" w:rsidRDefault="00A9721F">
            <w:pPr>
              <w:pStyle w:val="TableHeaderText"/>
            </w:pPr>
            <w:r>
              <w:t>Root Element</w:t>
            </w:r>
          </w:p>
        </w:tc>
        <w:tc>
          <w:tcPr>
            <w:tcW w:w="0" w:type="auto"/>
            <w:vAlign w:val="center"/>
          </w:tcPr>
          <w:p w:rsidR="000A156F" w:rsidRDefault="00A9721F">
            <w:pPr>
              <w:pStyle w:val="TableHeaderText"/>
            </w:pPr>
            <w:r>
              <w:t>Ref.</w:t>
            </w:r>
          </w:p>
        </w:tc>
      </w:tr>
      <w:tr w:rsidR="000A156F" w:rsidTr="000A156F">
        <w:tc>
          <w:tcPr>
            <w:tcW w:w="0" w:type="auto"/>
            <w:vAlign w:val="center"/>
          </w:tcPr>
          <w:p w:rsidR="000A156F" w:rsidRDefault="00A9721F">
            <w:pPr>
              <w:pStyle w:val="TableBodyText"/>
            </w:pPr>
            <w:r>
              <w:t>Graphic Frame Doc</w:t>
            </w:r>
          </w:p>
        </w:tc>
        <w:tc>
          <w:tcPr>
            <w:tcW w:w="0" w:type="auto"/>
            <w:vAlign w:val="center"/>
          </w:tcPr>
          <w:p w:rsidR="000A156F" w:rsidRDefault="00A9721F">
            <w:pPr>
              <w:pStyle w:val="TableBodyText"/>
            </w:pPr>
            <w:r>
              <w:t>DrawingML Persistence Package</w:t>
            </w:r>
          </w:p>
        </w:tc>
        <w:tc>
          <w:tcPr>
            <w:tcW w:w="0" w:type="auto"/>
            <w:vAlign w:val="center"/>
          </w:tcPr>
          <w:p w:rsidR="000A156F" w:rsidRDefault="00A9721F">
            <w:pPr>
              <w:pStyle w:val="TableBodyText"/>
            </w:pPr>
            <w:r>
              <w:t>e2oholder</w:t>
            </w:r>
          </w:p>
        </w:tc>
        <w:tc>
          <w:tcPr>
            <w:tcW w:w="0" w:type="auto"/>
            <w:vAlign w:val="center"/>
          </w:tcPr>
          <w:p w:rsidR="000A156F" w:rsidRDefault="00A9721F">
            <w:pPr>
              <w:pStyle w:val="TableBodyText"/>
            </w:pPr>
            <w:hyperlink w:anchor="Section_093801fe80854aaaa44a78583b640385">
              <w:r>
                <w:rPr>
                  <w:rStyle w:val="Hyperlink"/>
                </w:rPr>
                <w:t>§3.1.4.3.1.1, e2oholder</w:t>
              </w:r>
            </w:hyperlink>
          </w:p>
        </w:tc>
      </w:tr>
      <w:tr w:rsidR="000A156F" w:rsidTr="000A156F">
        <w:tc>
          <w:tcPr>
            <w:tcW w:w="0" w:type="auto"/>
            <w:vAlign w:val="center"/>
          </w:tcPr>
          <w:p w:rsidR="000A156F" w:rsidRDefault="00A9721F">
            <w:pPr>
              <w:pStyle w:val="TableBodyText"/>
            </w:pPr>
            <w:r>
              <w:t>Downrev Storage</w:t>
            </w:r>
          </w:p>
        </w:tc>
        <w:tc>
          <w:tcPr>
            <w:tcW w:w="0" w:type="auto"/>
            <w:vAlign w:val="center"/>
          </w:tcPr>
          <w:p w:rsidR="000A156F" w:rsidRDefault="00A9721F">
            <w:pPr>
              <w:pStyle w:val="TableBodyText"/>
            </w:pPr>
            <w:r>
              <w:t xml:space="preserve">DrawingML </w:t>
            </w:r>
            <w:r>
              <w:t>Persistence Package</w:t>
            </w:r>
          </w:p>
        </w:tc>
        <w:tc>
          <w:tcPr>
            <w:tcW w:w="0" w:type="auto"/>
            <w:vAlign w:val="center"/>
          </w:tcPr>
          <w:p w:rsidR="000A156F" w:rsidRDefault="00A9721F">
            <w:pPr>
              <w:pStyle w:val="TableBodyText"/>
            </w:pPr>
            <w:r>
              <w:t>downRevStg</w:t>
            </w:r>
          </w:p>
        </w:tc>
        <w:tc>
          <w:tcPr>
            <w:tcW w:w="0" w:type="auto"/>
            <w:vAlign w:val="center"/>
          </w:tcPr>
          <w:p w:rsidR="000A156F" w:rsidRDefault="00A9721F">
            <w:pPr>
              <w:pStyle w:val="TableBodyText"/>
            </w:pPr>
            <w:hyperlink w:anchor="Section_28f2957da97840c8bc855a32ed0ae8e1">
              <w:r>
                <w:rPr>
                  <w:rStyle w:val="Hyperlink"/>
                </w:rPr>
                <w:t>§3.1.4.2.1.2, downRevStg</w:t>
              </w:r>
            </w:hyperlink>
          </w:p>
        </w:tc>
      </w:tr>
    </w:tbl>
    <w:p w:rsidR="000A156F" w:rsidRDefault="000A156F"/>
    <w:p w:rsidR="000A156F" w:rsidRDefault="00A9721F">
      <w:r>
        <w:t>end note]</w:t>
      </w:r>
    </w:p>
    <w:p w:rsidR="000A156F" w:rsidRDefault="00A9721F">
      <w:pPr>
        <w:pStyle w:val="Heading5"/>
      </w:pPr>
      <w:bookmarkStart w:id="3950" w:name="section_a76a4974881b4ca598fea758cda15e82"/>
      <w:bookmarkStart w:id="3951" w:name="_Toc181685000"/>
      <w:r>
        <w:t>Graphic Frame Doc</w:t>
      </w:r>
      <w:bookmarkEnd w:id="3950"/>
      <w:bookmarkEnd w:id="3951"/>
      <w:r>
        <w:fldChar w:fldCharType="begin"/>
      </w:r>
      <w:r>
        <w:instrText xml:space="preserve"> XE "Graphic Frame Doc" </w:instrText>
      </w:r>
      <w:r>
        <w:fldChar w:fldCharType="end"/>
      </w:r>
    </w:p>
    <w:p w:rsidR="000A156F" w:rsidRDefault="00A9721F">
      <w:r>
        <w:rPr>
          <w:b/>
          <w:i/>
        </w:rPr>
        <w:t>Content Type</w:t>
      </w:r>
    </w:p>
    <w:p w:rsidR="000A156F" w:rsidRDefault="00A9721F">
      <w:r>
        <w:rPr>
          <w:i/>
        </w:rPr>
        <w:t>application/vnd.ms-office.DrsE2oDoc+xml</w:t>
      </w:r>
    </w:p>
    <w:p w:rsidR="000A156F" w:rsidRDefault="00A9721F">
      <w:r>
        <w:rPr>
          <w:b/>
          <w:i/>
        </w:rPr>
        <w:t>Root Namespace</w:t>
      </w:r>
    </w:p>
    <w:p w:rsidR="000A156F" w:rsidRDefault="00A9721F">
      <w:r>
        <w:rPr>
          <w:i/>
        </w:rPr>
        <w:t>http://schema</w:t>
      </w:r>
      <w:r>
        <w:rPr>
          <w:i/>
        </w:rPr>
        <w:t>s.openxmlformats.org/drawingml/2006/wordprocessingDrawing</w:t>
      </w:r>
    </w:p>
    <w:p w:rsidR="000A156F" w:rsidRDefault="00A9721F">
      <w:r>
        <w:rPr>
          <w:b/>
          <w:i/>
        </w:rPr>
        <w:t>Source Relationship</w:t>
      </w:r>
    </w:p>
    <w:p w:rsidR="000A156F" w:rsidRDefault="00A9721F">
      <w:r>
        <w:rPr>
          <w:i/>
        </w:rPr>
        <w:t>http://schemas.microsoft.com/office/2006/relationships/graphicFrameDoc</w:t>
      </w:r>
    </w:p>
    <w:p w:rsidR="000A156F" w:rsidRDefault="00A9721F">
      <w:r>
        <w:t>An instance of this part type contains the information about an OfficeArt object and its effects.</w:t>
      </w:r>
    </w:p>
    <w:p w:rsidR="000A156F" w:rsidRDefault="00A9721F">
      <w:r>
        <w:t>A Drawing</w:t>
      </w:r>
      <w:r>
        <w:t>ML Persistence Package shall contain only 1 Graphic Frame Doc part.</w:t>
      </w:r>
    </w:p>
    <w:p w:rsidR="000A156F" w:rsidRDefault="00A9721F">
      <w:r>
        <w:t>The root element for a Graphic Frame Doc part shall be e2oholder (</w:t>
      </w:r>
      <w:hyperlink w:anchor="Section_093801fe80854aaaa44a78583b640385">
        <w:r>
          <w:rPr>
            <w:rStyle w:val="Hyperlink"/>
          </w:rPr>
          <w:t>§3.1.4.3.1.1, e2oholder</w:t>
        </w:r>
      </w:hyperlink>
      <w:r>
        <w:t xml:space="preserve">). </w:t>
      </w:r>
    </w:p>
    <w:p w:rsidR="000A156F" w:rsidRDefault="00A9721F">
      <w:r>
        <w:t xml:space="preserve">[Example: The following Graphic </w:t>
      </w:r>
      <w:r>
        <w:t>Frame Doc part contains information about a Diagram Object</w:t>
      </w:r>
    </w:p>
    <w:p w:rsidR="000A156F" w:rsidRDefault="00A9721F">
      <w:pPr>
        <w:pStyle w:val="Code"/>
      </w:pPr>
      <w:r>
        <w:t>&lt;wp:e2oholder …&gt;</w:t>
      </w:r>
    </w:p>
    <w:p w:rsidR="000A156F" w:rsidRDefault="00A9721F">
      <w:pPr>
        <w:pStyle w:val="Code"/>
      </w:pPr>
      <w:r>
        <w:t xml:space="preserve">    &lt;wp:effectOffset l="18288" t="0" r="12887" b="0"/&gt;</w:t>
      </w:r>
    </w:p>
    <w:p w:rsidR="000A156F" w:rsidRDefault="00A9721F">
      <w:pPr>
        <w:pStyle w:val="Code"/>
      </w:pPr>
      <w:r>
        <w:t xml:space="preserve">    &lt;a:graphic …&gt;</w:t>
      </w:r>
    </w:p>
    <w:p w:rsidR="000A156F" w:rsidRDefault="00A9721F">
      <w:pPr>
        <w:pStyle w:val="Code"/>
      </w:pPr>
      <w:r>
        <w:t xml:space="preserve">        &lt;a:graphicData uri="http://schemas.openxmlformats.org/drawingml/2006/diagram"&gt;</w:t>
      </w:r>
    </w:p>
    <w:p w:rsidR="000A156F" w:rsidRDefault="00A9721F">
      <w:pPr>
        <w:pStyle w:val="Code"/>
      </w:pPr>
      <w:r>
        <w:t xml:space="preserve">            &lt;</w:t>
      </w:r>
      <w:r>
        <w:t>dgm:relIds r:dm="rId1" r:lo="rId2" r:qs="rId3" r:cs="rId4" …/&gt;</w:t>
      </w:r>
    </w:p>
    <w:p w:rsidR="000A156F" w:rsidRDefault="00A9721F">
      <w:pPr>
        <w:pStyle w:val="Code"/>
      </w:pPr>
      <w:r>
        <w:t xml:space="preserve">        &lt;/a:graphicData&gt;</w:t>
      </w:r>
    </w:p>
    <w:p w:rsidR="000A156F" w:rsidRDefault="00A9721F">
      <w:pPr>
        <w:pStyle w:val="Code"/>
      </w:pPr>
      <w:r>
        <w:t xml:space="preserve">    &lt;/a:graphic&gt;</w:t>
      </w:r>
    </w:p>
    <w:p w:rsidR="000A156F" w:rsidRDefault="00A9721F">
      <w:pPr>
        <w:pStyle w:val="Code"/>
      </w:pPr>
      <w:r>
        <w:lastRenderedPageBreak/>
        <w:t>&lt;/wp:e2oholder&gt;</w:t>
      </w:r>
    </w:p>
    <w:p w:rsidR="000A156F" w:rsidRDefault="00A9721F">
      <w:r>
        <w:t>end example]</w:t>
      </w:r>
    </w:p>
    <w:p w:rsidR="000A156F" w:rsidRDefault="00A9721F">
      <w:r>
        <w:t xml:space="preserve">A Graphic Frame Doc part is permitted to contain explicit relationships to the following parts defined by Office Open XML File Formats </w:t>
      </w:r>
      <w:hyperlink r:id="rId318">
        <w:r>
          <w:rPr>
            <w:rStyle w:val="Hyperlink"/>
          </w:rPr>
          <w:t>[ISO/IEC-29500-1]</w:t>
        </w:r>
      </w:hyperlink>
      <w:r>
        <w:t>:</w:t>
      </w:r>
    </w:p>
    <w:p w:rsidR="000A156F" w:rsidRDefault="00A9721F">
      <w:pPr>
        <w:pStyle w:val="ListParagraph"/>
        <w:numPr>
          <w:ilvl w:val="0"/>
          <w:numId w:val="205"/>
        </w:numPr>
        <w:contextualSpacing/>
      </w:pPr>
      <w:r>
        <w:t>Chart ("[ISO/IEC-29500-1] §14.2.1")</w:t>
      </w:r>
    </w:p>
    <w:p w:rsidR="000A156F" w:rsidRDefault="00A9721F">
      <w:pPr>
        <w:pStyle w:val="ListParagraph"/>
        <w:numPr>
          <w:ilvl w:val="0"/>
          <w:numId w:val="205"/>
        </w:numPr>
        <w:contextualSpacing/>
      </w:pPr>
      <w:r>
        <w:t>Diagrams: Diagram Colors ("[ISO/IEC-29500-1] §14.2.3"), Diagram Data ("[ISO/IEC-29500-1] §14.2.4"), Diagram Layout Definition ("[ISO/IEC-29500-1] §14.2.5"), and Diagram Styles ("[ISO/IEC-29500-1] §14.2.6")</w:t>
      </w:r>
    </w:p>
    <w:p w:rsidR="000A156F" w:rsidRDefault="00A9721F">
      <w:pPr>
        <w:pStyle w:val="ListParagraph"/>
        <w:numPr>
          <w:ilvl w:val="0"/>
          <w:numId w:val="205"/>
        </w:numPr>
      </w:pPr>
      <w:r>
        <w:t>Images ("[ISO/IEC-29500-1] §15.2.13")</w:t>
      </w:r>
    </w:p>
    <w:p w:rsidR="000A156F" w:rsidRDefault="00A9721F">
      <w:r>
        <w:t>A Graphic Fr</w:t>
      </w:r>
      <w:r>
        <w:t>ame Doc part shall not have any implicit or explicit relationships to any other part defined by Office Open XML File Formats [ISO/IEC-29500-1].</w:t>
      </w:r>
    </w:p>
    <w:p w:rsidR="000A156F" w:rsidRDefault="00A9721F">
      <w:pPr>
        <w:pStyle w:val="Heading5"/>
      </w:pPr>
      <w:bookmarkStart w:id="3952" w:name="section_36f807adabe04525a208004943cb6847"/>
      <w:bookmarkStart w:id="3953" w:name="_Toc181685001"/>
      <w:r>
        <w:t>Downrev Storage</w:t>
      </w:r>
      <w:bookmarkEnd w:id="3952"/>
      <w:bookmarkEnd w:id="3953"/>
      <w:r>
        <w:fldChar w:fldCharType="begin"/>
      </w:r>
      <w:r>
        <w:instrText xml:space="preserve"> XE "Downrev Storage" </w:instrText>
      </w:r>
      <w:r>
        <w:fldChar w:fldCharType="end"/>
      </w:r>
    </w:p>
    <w:p w:rsidR="000A156F" w:rsidRDefault="00A9721F">
      <w:r>
        <w:rPr>
          <w:b/>
          <w:i/>
        </w:rPr>
        <w:t>Content Type</w:t>
      </w:r>
    </w:p>
    <w:p w:rsidR="000A156F" w:rsidRDefault="00A9721F">
      <w:r>
        <w:rPr>
          <w:i/>
        </w:rPr>
        <w:t>application/vnd.ms-office.DrsDownRev+xml</w:t>
      </w:r>
    </w:p>
    <w:p w:rsidR="000A156F" w:rsidRDefault="00A9721F">
      <w:r>
        <w:rPr>
          <w:b/>
          <w:i/>
        </w:rPr>
        <w:t>Root Namespace</w:t>
      </w:r>
    </w:p>
    <w:p w:rsidR="000A156F" w:rsidRDefault="00A9721F">
      <w:r>
        <w:rPr>
          <w:i/>
        </w:rPr>
        <w:t>htt</w:t>
      </w:r>
      <w:r>
        <w:rPr>
          <w:i/>
        </w:rPr>
        <w:t>p://schemas.openxmlformats.org/drawingml/2006/main</w:t>
      </w:r>
    </w:p>
    <w:p w:rsidR="000A156F" w:rsidRDefault="00A9721F">
      <w:r>
        <w:rPr>
          <w:b/>
          <w:i/>
        </w:rPr>
        <w:t>Source Relationship</w:t>
      </w:r>
    </w:p>
    <w:p w:rsidR="000A156F" w:rsidRDefault="00A9721F">
      <w:r>
        <w:rPr>
          <w:i/>
        </w:rPr>
        <w:t>http://schemas.microsoft.com/office/2006/relationships/downRev</w:t>
      </w:r>
    </w:p>
    <w:p w:rsidR="000A156F" w:rsidRDefault="00A9721F">
      <w:r>
        <w:t>An instance of this part type contains the information about an OfficeArt object’s bounds and checksum information for the</w:t>
      </w:r>
      <w:r>
        <w:t xml:space="preserve"> original legacy shape representation of the OfficeArt object represented in the Graphic Frame Doc part.</w:t>
      </w:r>
    </w:p>
    <w:p w:rsidR="000A156F" w:rsidRDefault="00A9721F">
      <w:r>
        <w:t>A DrawingML Persistence Package shall contain only 1 Downrev Storage part.</w:t>
      </w:r>
    </w:p>
    <w:p w:rsidR="000A156F" w:rsidRDefault="00A9721F">
      <w:r>
        <w:t>The root element for a Downrev Storage part shall be downRevStg (</w:t>
      </w:r>
      <w:hyperlink w:anchor="Section_28f2957da97840c8bc855a32ed0ae8e1">
        <w:r>
          <w:rPr>
            <w:rStyle w:val="Hyperlink"/>
          </w:rPr>
          <w:t>§3.1.4.2.1.2, downRevStg</w:t>
        </w:r>
      </w:hyperlink>
      <w:r>
        <w:t xml:space="preserve">). </w:t>
      </w:r>
    </w:p>
    <w:p w:rsidR="000A156F" w:rsidRDefault="00A9721F">
      <w:r>
        <w:t>[Example: The following Downrev Storage part contains information about a Diagram Object with no text</w:t>
      </w:r>
    </w:p>
    <w:p w:rsidR="000A156F" w:rsidRDefault="00A9721F">
      <w:pPr>
        <w:pStyle w:val="Code"/>
      </w:pPr>
      <w:r>
        <w:t>&lt;a:downRevStg shapeCheckSum="gcmnapp+jq1ZXL5rE1CguF==&amp;#xA;" textCheckSum="</w:t>
      </w:r>
      <w:r>
        <w:t>" ver="1" …&gt;</w:t>
      </w:r>
    </w:p>
    <w:p w:rsidR="000A156F" w:rsidRDefault="00A9721F">
      <w:pPr>
        <w:pStyle w:val="Code"/>
      </w:pPr>
      <w:r>
        <w:t xml:space="preserve">    &lt;a:bounds l="0" t="0" r="3405" b="3855"/&gt;</w:t>
      </w:r>
    </w:p>
    <w:p w:rsidR="000A156F" w:rsidRDefault="00A9721F">
      <w:pPr>
        <w:pStyle w:val="Code"/>
      </w:pPr>
      <w:r>
        <w:t>&lt;/a:downRevStg&gt;</w:t>
      </w:r>
    </w:p>
    <w:p w:rsidR="000A156F" w:rsidRDefault="00A9721F">
      <w:r>
        <w:t>end example]</w:t>
      </w:r>
    </w:p>
    <w:p w:rsidR="000A156F" w:rsidRDefault="00A9721F">
      <w:r>
        <w:t xml:space="preserve">A Downrev Storage part shall not have any implicit or explicit relationships to any parts defined by Office Open XML File Formats </w:t>
      </w:r>
      <w:hyperlink r:id="rId319">
        <w:r>
          <w:rPr>
            <w:rStyle w:val="Hyperlink"/>
          </w:rPr>
          <w:t>[ISO/IEC-29500-1]</w:t>
        </w:r>
      </w:hyperlink>
      <w:r>
        <w:t>.</w:t>
      </w:r>
    </w:p>
    <w:p w:rsidR="000A156F" w:rsidRDefault="00A9721F">
      <w:pPr>
        <w:pStyle w:val="Heading4"/>
      </w:pPr>
      <w:bookmarkStart w:id="3954" w:name="section_7ead7b1f2e7849cda5bd28b9560e7e71"/>
      <w:bookmarkStart w:id="3955" w:name="_Toc181685002"/>
      <w:r>
        <w:t>Additional DrawingML - Main Schema</w:t>
      </w:r>
      <w:bookmarkEnd w:id="3954"/>
      <w:bookmarkEnd w:id="3955"/>
    </w:p>
    <w:p w:rsidR="000A156F" w:rsidRDefault="00A9721F">
      <w:pPr>
        <w:pStyle w:val="Heading5"/>
      </w:pPr>
      <w:bookmarkStart w:id="3956" w:name="section_d822cddcbd7648b0911684c6009ebb96"/>
      <w:bookmarkStart w:id="3957" w:name="_Toc181685003"/>
      <w:r>
        <w:t>Additional Elements</w:t>
      </w:r>
      <w:bookmarkEnd w:id="3956"/>
      <w:bookmarkEnd w:id="3957"/>
      <w:r>
        <w:fldChar w:fldCharType="begin"/>
      </w:r>
      <w:r>
        <w:instrText xml:space="preserve"> XE "Additional Elements" </w:instrText>
      </w:r>
      <w:r>
        <w:fldChar w:fldCharType="end"/>
      </w:r>
    </w:p>
    <w:p w:rsidR="000A156F" w:rsidRDefault="00A9721F">
      <w:r>
        <w:t xml:space="preserve">This section specifies the structure of the VML embedded DrawingML (see also </w:t>
      </w:r>
      <w:r>
        <w:rPr>
          <w:b/>
        </w:rPr>
        <w:t>gfxdata</w:t>
      </w:r>
      <w:r>
        <w:t xml:space="preserve"> attri</w:t>
      </w:r>
      <w:r>
        <w:t>bute ([ "</w:t>
      </w:r>
      <w:hyperlink r:id="rId320">
        <w:r>
          <w:rPr>
            <w:rStyle w:val="Hyperlink"/>
          </w:rPr>
          <w:t>[ISO/IEC-29500-4]</w:t>
        </w:r>
      </w:hyperlink>
      <w:r>
        <w:t xml:space="preserve"> §19.1.2.19; shape (Shape Definition)" ])).</w:t>
      </w:r>
    </w:p>
    <w:p w:rsidR="000A156F" w:rsidRDefault="00A9721F">
      <w:pPr>
        <w:pStyle w:val="Heading6"/>
      </w:pPr>
      <w:bookmarkStart w:id="3958" w:name="section_6c82f95eeec145d1ac3a8e4a19eb716f"/>
      <w:bookmarkStart w:id="3959" w:name="_Toc181685004"/>
      <w:r>
        <w:lastRenderedPageBreak/>
        <w:t>bounds (Bounds)</w:t>
      </w:r>
      <w:bookmarkEnd w:id="3958"/>
      <w:bookmarkEnd w:id="3959"/>
      <w:r>
        <w:fldChar w:fldCharType="begin"/>
      </w:r>
      <w:r>
        <w:instrText xml:space="preserve"> XE "bounds (Bounds)" </w:instrText>
      </w:r>
      <w:r>
        <w:fldChar w:fldCharType="end"/>
      </w:r>
    </w:p>
    <w:p w:rsidR="000A156F" w:rsidRDefault="00A9721F">
      <w:r>
        <w:t>This element defines the size and position of the DrawingML graphical object (Of</w:t>
      </w:r>
      <w:r>
        <w:t>ficeArt object). If the OfficeArt object has an inline text wrapping mode, then the bounds shall be relative to the top-left corner of the OfficeArt object itself and the absolute position of the OfficeArt object is determined by its position in the text r</w:t>
      </w:r>
      <w:r>
        <w:t xml:space="preserve">un. For floating text-wrapping modes, the bounds shall be relative to the top-left corner of the page. </w:t>
      </w:r>
    </w:p>
    <w:p w:rsidR="000A156F" w:rsidRDefault="00A9721F">
      <w:r>
        <w:t xml:space="preserve">While the range of possible values is defined by the ST_Coordinate simple type, in Office the unit of measure for the attributes of this element is the </w:t>
      </w:r>
      <w:r>
        <w:t>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downRevStg</w:t>
            </w:r>
            <w:r>
              <w:t xml:space="preserve"> (§</w:t>
            </w:r>
            <w:hyperlink w:anchor="Section_28f2957da97840c8bc855a32ed0ae8e1">
              <w:r>
                <w:rPr>
                  <w:rStyle w:val="Hyperlink"/>
                </w:rPr>
                <w:t>3.1.4.2.1.2, downRevStg</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135"/>
        <w:gridCol w:w="834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b</w:t>
            </w:r>
            <w:r>
              <w:t xml:space="preserve"> (Bottom)</w:t>
            </w:r>
          </w:p>
        </w:tc>
        <w:tc>
          <w:tcPr>
            <w:tcW w:w="0" w:type="auto"/>
            <w:vAlign w:val="center"/>
          </w:tcPr>
          <w:p w:rsidR="000A156F" w:rsidRDefault="00A9721F">
            <w:pPr>
              <w:pStyle w:val="TableBodyText"/>
            </w:pPr>
            <w:r>
              <w:t>The position of the</w:t>
            </w:r>
            <w:r>
              <w:t xml:space="preserve"> bottom side of the OfficeArt object.</w:t>
            </w:r>
          </w:p>
          <w:p w:rsidR="000A156F" w:rsidRDefault="000A156F">
            <w:pPr>
              <w:pStyle w:val="TableBodyText"/>
            </w:pPr>
          </w:p>
          <w:p w:rsidR="000A156F" w:rsidRDefault="00A9721F">
            <w:pPr>
              <w:pStyle w:val="TableBodyText"/>
            </w:pPr>
            <w:r>
              <w:t>The possible values for this attribute are defined by the ST_CoordinateUnqualified simple type (§</w:t>
            </w:r>
            <w:hyperlink w:anchor="Section_afb7e140b25949018af4d4a514f50db9">
              <w:r>
                <w:rPr>
                  <w:rStyle w:val="Hyperlink"/>
                </w:rPr>
                <w:t>3.1.4.2.2.1, ST_CoordinateUnqualified</w:t>
              </w:r>
            </w:hyperlink>
            <w:r>
              <w:t>).</w:t>
            </w:r>
          </w:p>
        </w:tc>
      </w:tr>
      <w:tr w:rsidR="000A156F" w:rsidTr="000A156F">
        <w:tc>
          <w:tcPr>
            <w:tcW w:w="0" w:type="auto"/>
            <w:vAlign w:val="center"/>
          </w:tcPr>
          <w:p w:rsidR="000A156F" w:rsidRDefault="00A9721F">
            <w:pPr>
              <w:pStyle w:val="TableBodyText"/>
            </w:pPr>
            <w:r>
              <w:rPr>
                <w:b/>
              </w:rPr>
              <w:t>l</w:t>
            </w:r>
            <w:r>
              <w:t xml:space="preserve"> (Left)</w:t>
            </w:r>
          </w:p>
        </w:tc>
        <w:tc>
          <w:tcPr>
            <w:tcW w:w="0" w:type="auto"/>
            <w:vAlign w:val="center"/>
          </w:tcPr>
          <w:p w:rsidR="000A156F" w:rsidRDefault="00A9721F">
            <w:pPr>
              <w:pStyle w:val="TableBodyText"/>
            </w:pPr>
            <w:r>
              <w:t>The pos</w:t>
            </w:r>
            <w:r>
              <w:t xml:space="preserve">ition of the left side of the OfficeArt object. </w:t>
            </w:r>
          </w:p>
          <w:p w:rsidR="000A156F" w:rsidRDefault="000A156F">
            <w:pPr>
              <w:pStyle w:val="TableBodyText"/>
            </w:pPr>
          </w:p>
          <w:p w:rsidR="000A156F" w:rsidRDefault="00A9721F">
            <w:pPr>
              <w:pStyle w:val="TableBodyText"/>
            </w:pPr>
            <w:r>
              <w:t>The possible values for this attribute are defined by the ST_CoordinateUnqualified simple type (§3.1.4.2.2.1, ST_CoordinateUnqualified).</w:t>
            </w:r>
          </w:p>
        </w:tc>
      </w:tr>
      <w:tr w:rsidR="000A156F" w:rsidTr="000A156F">
        <w:tc>
          <w:tcPr>
            <w:tcW w:w="0" w:type="auto"/>
            <w:vAlign w:val="center"/>
          </w:tcPr>
          <w:p w:rsidR="000A156F" w:rsidRDefault="00A9721F">
            <w:pPr>
              <w:pStyle w:val="TableBodyText"/>
            </w:pPr>
            <w:r>
              <w:rPr>
                <w:b/>
              </w:rPr>
              <w:t>r</w:t>
            </w:r>
            <w:r>
              <w:t xml:space="preserve"> (Right)</w:t>
            </w:r>
          </w:p>
        </w:tc>
        <w:tc>
          <w:tcPr>
            <w:tcW w:w="0" w:type="auto"/>
            <w:vAlign w:val="center"/>
          </w:tcPr>
          <w:p w:rsidR="000A156F" w:rsidRDefault="00A9721F">
            <w:pPr>
              <w:pStyle w:val="TableBodyText"/>
            </w:pPr>
            <w:r>
              <w:t xml:space="preserve">The position of the right side of the OfficeArt object. </w:t>
            </w:r>
          </w:p>
          <w:p w:rsidR="000A156F" w:rsidRDefault="000A156F">
            <w:pPr>
              <w:pStyle w:val="TableBodyText"/>
            </w:pPr>
          </w:p>
          <w:p w:rsidR="000A156F" w:rsidRDefault="00A9721F">
            <w:pPr>
              <w:pStyle w:val="TableBodyText"/>
            </w:pPr>
            <w:r>
              <w:t>The possible values for this attribute are defined by the ST_CoordinateUnqualified simple type (§3.1.4.2.2.1, ST_CoordinateUnqualified).</w:t>
            </w:r>
          </w:p>
        </w:tc>
      </w:tr>
      <w:tr w:rsidR="000A156F" w:rsidTr="000A156F">
        <w:tc>
          <w:tcPr>
            <w:tcW w:w="0" w:type="auto"/>
            <w:vAlign w:val="center"/>
          </w:tcPr>
          <w:p w:rsidR="000A156F" w:rsidRDefault="00A9721F">
            <w:pPr>
              <w:pStyle w:val="TableBodyText"/>
            </w:pPr>
            <w:r>
              <w:rPr>
                <w:b/>
              </w:rPr>
              <w:t>t</w:t>
            </w:r>
            <w:r>
              <w:t xml:space="preserve"> (Top)</w:t>
            </w:r>
          </w:p>
        </w:tc>
        <w:tc>
          <w:tcPr>
            <w:tcW w:w="0" w:type="auto"/>
            <w:vAlign w:val="center"/>
          </w:tcPr>
          <w:p w:rsidR="000A156F" w:rsidRDefault="00A9721F">
            <w:pPr>
              <w:pStyle w:val="TableBodyText"/>
            </w:pPr>
            <w:r>
              <w:t xml:space="preserve">The position of the top side of the OfficeArt object. </w:t>
            </w:r>
          </w:p>
          <w:p w:rsidR="000A156F" w:rsidRDefault="000A156F">
            <w:pPr>
              <w:pStyle w:val="TableBodyText"/>
            </w:pPr>
          </w:p>
          <w:p w:rsidR="000A156F" w:rsidRDefault="00A9721F">
            <w:pPr>
              <w:pStyle w:val="TableBodyText"/>
            </w:pPr>
            <w:r>
              <w:t xml:space="preserve">The possible values for this attribute are defined by </w:t>
            </w:r>
            <w:r>
              <w:t>the ST_CoordinateUnqualified simple type (§3.1.4.2.2.1, ST_CoordinateUnqualified).</w:t>
            </w:r>
          </w:p>
        </w:tc>
      </w:tr>
    </w:tbl>
    <w:p w:rsidR="000A156F" w:rsidRDefault="000A156F"/>
    <w:p w:rsidR="000A156F" w:rsidRDefault="00A9721F">
      <w:r>
        <w:t>The following XML Schema fragment defines the contents of this element:</w:t>
      </w:r>
    </w:p>
    <w:p w:rsidR="000A156F" w:rsidRDefault="00A9721F">
      <w:pPr>
        <w:pStyle w:val="Code"/>
      </w:pPr>
      <w:r>
        <w:t>&lt;complexType name="CT_BoundRect"&gt;</w:t>
      </w:r>
    </w:p>
    <w:p w:rsidR="000A156F" w:rsidRDefault="00A9721F">
      <w:pPr>
        <w:pStyle w:val="Code"/>
      </w:pPr>
      <w:r>
        <w:t xml:space="preserve">  &lt;attribute name="l" type="ST_Coordinate" use="required"/&gt;</w:t>
      </w:r>
    </w:p>
    <w:p w:rsidR="000A156F" w:rsidRDefault="00A9721F">
      <w:pPr>
        <w:pStyle w:val="Code"/>
      </w:pPr>
      <w:r>
        <w:t xml:space="preserve">  &lt;</w:t>
      </w:r>
      <w:r>
        <w:t>attribute name="t" type="ST_Coordinate" use="required"/&gt;</w:t>
      </w:r>
    </w:p>
    <w:p w:rsidR="000A156F" w:rsidRDefault="00A9721F">
      <w:pPr>
        <w:pStyle w:val="Code"/>
      </w:pPr>
      <w:r>
        <w:t xml:space="preserve">  &lt;attribute name="r" type="ST_Coordinate" use="required"/&gt;</w:t>
      </w:r>
    </w:p>
    <w:p w:rsidR="000A156F" w:rsidRDefault="00A9721F">
      <w:pPr>
        <w:pStyle w:val="Code"/>
      </w:pPr>
      <w:r>
        <w:t xml:space="preserve">  &lt;attribute name="b" type="ST_Coordinate" use="required"/&gt;</w:t>
      </w:r>
    </w:p>
    <w:p w:rsidR="000A156F" w:rsidRDefault="00A9721F">
      <w:pPr>
        <w:pStyle w:val="Code"/>
      </w:pPr>
      <w:r>
        <w:t>&lt;/complexType&gt;</w:t>
      </w:r>
    </w:p>
    <w:p w:rsidR="000A156F" w:rsidRDefault="00A9721F">
      <w:pPr>
        <w:pStyle w:val="Heading6"/>
      </w:pPr>
      <w:bookmarkStart w:id="3960" w:name="section_28f2957da97840c8bc855a32ed0ae8e1"/>
      <w:bookmarkStart w:id="3961" w:name="_Toc181685005"/>
      <w:r>
        <w:t>downRevStg (DownRev Storage)</w:t>
      </w:r>
      <w:bookmarkEnd w:id="3960"/>
      <w:bookmarkEnd w:id="3961"/>
      <w:r>
        <w:fldChar w:fldCharType="begin"/>
      </w:r>
      <w:r>
        <w:instrText xml:space="preserve"> XE "downRevStg (DownRev Storage)" </w:instrText>
      </w:r>
      <w:r>
        <w:fldChar w:fldCharType="end"/>
      </w:r>
    </w:p>
    <w:p w:rsidR="000A156F" w:rsidRDefault="00A9721F">
      <w:r>
        <w:t>This is the root element of the VML embedded DrawingML, downrev part. It contains anchoring and other miscellaneous information for the embedded OfficeArt object.</w:t>
      </w:r>
    </w:p>
    <w:p w:rsidR="000A156F" w:rsidRDefault="00A9721F">
      <w:r>
        <w:lastRenderedPageBreak/>
        <w:t>All this information will be deleted in case the VML shape is modified after it is loaded b</w:t>
      </w:r>
      <w:r>
        <w:t>y Office.</w:t>
      </w:r>
    </w:p>
    <w:tbl>
      <w:tblPr>
        <w:tblStyle w:val="Table-ShadedHeader"/>
        <w:tblW w:w="0" w:type="auto"/>
        <w:tblLook w:val="04A0" w:firstRow="1" w:lastRow="0" w:firstColumn="1" w:lastColumn="0" w:noHBand="0" w:noVBand="1"/>
      </w:tblPr>
      <w:tblGrid>
        <w:gridCol w:w="1681"/>
        <w:gridCol w:w="193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bounds</w:t>
            </w:r>
            <w:r>
              <w:t xml:space="preserve"> (Bounds)</w:t>
            </w:r>
          </w:p>
        </w:tc>
        <w:tc>
          <w:tcPr>
            <w:tcW w:w="0" w:type="auto"/>
            <w:vAlign w:val="center"/>
          </w:tcPr>
          <w:p w:rsidR="000A156F" w:rsidRDefault="00A9721F">
            <w:pPr>
              <w:pStyle w:val="TableBodyText"/>
            </w:pPr>
            <w:r>
              <w:t>§</w:t>
            </w:r>
            <w:hyperlink w:anchor="Section_6c82f95eeec145d1ac3a8e4a19eb716f">
              <w:r>
                <w:rPr>
                  <w:rStyle w:val="Hyperlink"/>
                </w:rPr>
                <w:t>3.1.4.2.1.1, bounds</w:t>
              </w:r>
            </w:hyperlink>
          </w:p>
        </w:tc>
      </w:tr>
    </w:tbl>
    <w:p w:rsidR="000A156F" w:rsidRDefault="000A156F"/>
    <w:p w:rsidR="000A156F" w:rsidRDefault="000A156F"/>
    <w:tbl>
      <w:tblPr>
        <w:tblStyle w:val="Table-ShadedHeader"/>
        <w:tblW w:w="0" w:type="auto"/>
        <w:tblLook w:val="04A0" w:firstRow="1" w:lastRow="0" w:firstColumn="1" w:lastColumn="0" w:noHBand="0" w:noVBand="1"/>
      </w:tblPr>
      <w:tblGrid>
        <w:gridCol w:w="2413"/>
        <w:gridCol w:w="706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shapeCheckSum</w:t>
            </w:r>
            <w:r>
              <w:t xml:space="preserve"> (Shape Checksum)</w:t>
            </w:r>
          </w:p>
        </w:tc>
        <w:tc>
          <w:tcPr>
            <w:tcW w:w="0" w:type="auto"/>
            <w:vAlign w:val="center"/>
          </w:tcPr>
          <w:p w:rsidR="000A156F" w:rsidRDefault="00A9721F">
            <w:pPr>
              <w:pStyle w:val="TableBodyText"/>
            </w:pPr>
            <w:r>
              <w:t xml:space="preserve">Contains a base-64 encoded value of the MD4 hash of the shape </w:t>
            </w:r>
            <w:r>
              <w:t>properties. This value can be used to determine whether the associated VML shape has been modified.</w:t>
            </w:r>
          </w:p>
          <w:p w:rsidR="000A156F" w:rsidRDefault="000A156F">
            <w:pPr>
              <w:pStyle w:val="TableBodyText"/>
            </w:pPr>
          </w:p>
          <w:p w:rsidR="000A156F" w:rsidRDefault="00A9721F">
            <w:pPr>
              <w:pStyle w:val="TableBodyText"/>
            </w:pPr>
            <w:r>
              <w:t>If shapeCheckSum is empty Office will ignore the VML shape.</w:t>
            </w:r>
          </w:p>
          <w:p w:rsidR="000A156F" w:rsidRDefault="000A156F">
            <w:pPr>
              <w:pStyle w:val="TableBodyText"/>
            </w:pPr>
          </w:p>
          <w:p w:rsidR="000A156F" w:rsidRDefault="00A9721F">
            <w:pPr>
              <w:pStyle w:val="TableBodyText"/>
            </w:pPr>
            <w:r>
              <w:t>Third parties no longer need to generate the checksum.</w:t>
            </w:r>
          </w:p>
          <w:p w:rsidR="000A156F" w:rsidRDefault="000A156F">
            <w:pPr>
              <w:pStyle w:val="TableBodyText"/>
            </w:pPr>
          </w:p>
          <w:p w:rsidR="000A156F" w:rsidRDefault="00A9721F">
            <w:pPr>
              <w:pStyle w:val="TableBodyText"/>
            </w:pPr>
            <w:r>
              <w:t>The possible values for this attribute</w:t>
            </w:r>
            <w:r>
              <w:t xml:space="preserve"> are defined by the XML Schema string datatype.</w:t>
            </w:r>
          </w:p>
        </w:tc>
      </w:tr>
      <w:tr w:rsidR="000A156F" w:rsidTr="000A156F">
        <w:tc>
          <w:tcPr>
            <w:tcW w:w="0" w:type="auto"/>
            <w:vAlign w:val="center"/>
          </w:tcPr>
          <w:p w:rsidR="000A156F" w:rsidRDefault="00A9721F">
            <w:pPr>
              <w:pStyle w:val="TableBodyText"/>
            </w:pPr>
            <w:r>
              <w:rPr>
                <w:b/>
              </w:rPr>
              <w:t>textCheckSum</w:t>
            </w:r>
            <w:r>
              <w:t xml:space="preserve"> (Text Checksum)</w:t>
            </w:r>
          </w:p>
        </w:tc>
        <w:tc>
          <w:tcPr>
            <w:tcW w:w="0" w:type="auto"/>
            <w:vAlign w:val="center"/>
          </w:tcPr>
          <w:p w:rsidR="000A156F" w:rsidRDefault="00A9721F">
            <w:pPr>
              <w:pStyle w:val="TableBodyText"/>
            </w:pPr>
            <w:r>
              <w:t>Contains a base-64 encoded value of the MD4 hash of the text in the OfficeArt object.</w:t>
            </w:r>
          </w:p>
          <w:p w:rsidR="000A156F" w:rsidRDefault="000A156F">
            <w:pPr>
              <w:pStyle w:val="TableBodyText"/>
            </w:pPr>
          </w:p>
          <w:p w:rsidR="000A156F" w:rsidRDefault="00A9721F">
            <w:pPr>
              <w:pStyle w:val="TableBodyText"/>
            </w:pPr>
            <w:r>
              <w:t xml:space="preserve">Office always writes an empty string and ignores this attribute on load. </w:t>
            </w:r>
          </w:p>
          <w:p w:rsidR="000A156F" w:rsidRDefault="000A156F">
            <w:pPr>
              <w:pStyle w:val="TableBodyText"/>
            </w:pPr>
          </w:p>
          <w:p w:rsidR="000A156F" w:rsidRDefault="00A9721F">
            <w:pPr>
              <w:pStyle w:val="TableBodyText"/>
            </w:pPr>
            <w:r>
              <w:t xml:space="preserve">The possible </w:t>
            </w:r>
            <w:r>
              <w:t>values for this attribute are defined by the XML Schema string datatype.</w:t>
            </w:r>
          </w:p>
        </w:tc>
      </w:tr>
      <w:tr w:rsidR="000A156F" w:rsidTr="000A156F">
        <w:tc>
          <w:tcPr>
            <w:tcW w:w="0" w:type="auto"/>
            <w:vAlign w:val="center"/>
          </w:tcPr>
          <w:p w:rsidR="000A156F" w:rsidRDefault="00A9721F">
            <w:pPr>
              <w:pStyle w:val="TableBodyText"/>
            </w:pPr>
            <w:r>
              <w:rPr>
                <w:b/>
              </w:rPr>
              <w:t>ver</w:t>
            </w:r>
            <w:r>
              <w:t xml:space="preserve"> (Version Number)</w:t>
            </w:r>
          </w:p>
        </w:tc>
        <w:tc>
          <w:tcPr>
            <w:tcW w:w="0" w:type="auto"/>
            <w:vAlign w:val="center"/>
          </w:tcPr>
          <w:p w:rsidR="000A156F" w:rsidRDefault="00A9721F">
            <w:pPr>
              <w:pStyle w:val="TableBodyText"/>
            </w:pPr>
            <w:r>
              <w:t>Version number of this OfficeArt object. The value of this attribute is application-defined.</w:t>
            </w:r>
          </w:p>
          <w:p w:rsidR="000A156F" w:rsidRDefault="000A156F">
            <w:pPr>
              <w:pStyle w:val="TableBodyText"/>
            </w:pPr>
          </w:p>
          <w:p w:rsidR="000A156F" w:rsidRDefault="00A9721F">
            <w:pPr>
              <w:pStyle w:val="TableBodyText"/>
            </w:pPr>
            <w:r>
              <w:t xml:space="preserve">Office expects a value of 0 for Beta 2 files, and a value of 1 for RTM and subsequent versions. </w:t>
            </w:r>
          </w:p>
          <w:p w:rsidR="000A156F" w:rsidRDefault="000A156F">
            <w:pPr>
              <w:pStyle w:val="TableBodyText"/>
            </w:pPr>
          </w:p>
          <w:p w:rsidR="000A156F" w:rsidRDefault="00A9721F">
            <w:pPr>
              <w:pStyle w:val="TableBodyText"/>
            </w:pPr>
            <w:r>
              <w:t>The possible values for this attribute are defined by the XML Schema unsignedInt datatype.</w:t>
            </w:r>
          </w:p>
        </w:tc>
      </w:tr>
    </w:tbl>
    <w:p w:rsidR="000A156F" w:rsidRDefault="000A156F"/>
    <w:p w:rsidR="000A156F" w:rsidRDefault="00A9721F">
      <w:r>
        <w:t>The following XML Schema fragment defines the contents of this el</w:t>
      </w:r>
      <w:r>
        <w:t>ement:</w:t>
      </w:r>
    </w:p>
    <w:p w:rsidR="000A156F" w:rsidRDefault="00A9721F">
      <w:pPr>
        <w:pStyle w:val="Code"/>
      </w:pPr>
      <w:r>
        <w:t>&lt;complexType name="CT_DownRevStg"&gt;</w:t>
      </w:r>
    </w:p>
    <w:p w:rsidR="000A156F" w:rsidRDefault="00A9721F">
      <w:pPr>
        <w:pStyle w:val="Code"/>
      </w:pPr>
      <w:r>
        <w:t xml:space="preserve">  &lt;sequence&gt;</w:t>
      </w:r>
    </w:p>
    <w:p w:rsidR="000A156F" w:rsidRDefault="00A9721F">
      <w:pPr>
        <w:pStyle w:val="Code"/>
      </w:pPr>
      <w:r>
        <w:t xml:space="preserve">    &lt;choice minOccurs="0" maxOccurs="1"&gt;</w:t>
      </w:r>
    </w:p>
    <w:p w:rsidR="000A156F" w:rsidRDefault="00A9721F">
      <w:pPr>
        <w:pStyle w:val="Code"/>
      </w:pPr>
      <w:r>
        <w:t xml:space="preserve">      &lt;element name="bounds" type="CT_BoundRect"/&gt;</w:t>
      </w:r>
    </w:p>
    <w:p w:rsidR="000A156F" w:rsidRDefault="00A9721F">
      <w:pPr>
        <w:pStyle w:val="Code"/>
      </w:pPr>
      <w:r>
        <w:t xml:space="preserve">    &lt;/choice&gt;</w:t>
      </w:r>
    </w:p>
    <w:p w:rsidR="000A156F" w:rsidRDefault="00A9721F">
      <w:pPr>
        <w:pStyle w:val="Code"/>
      </w:pPr>
      <w:r>
        <w:t xml:space="preserve">  &lt;/sequence&gt;</w:t>
      </w:r>
    </w:p>
    <w:p w:rsidR="000A156F" w:rsidRDefault="00A9721F">
      <w:pPr>
        <w:pStyle w:val="Code"/>
      </w:pPr>
      <w:r>
        <w:t xml:space="preserve">  &lt;attribute name="shapeCheckSum" type="xsd:string" use="required"/&gt;</w:t>
      </w:r>
    </w:p>
    <w:p w:rsidR="000A156F" w:rsidRDefault="00A9721F">
      <w:pPr>
        <w:pStyle w:val="Code"/>
      </w:pPr>
      <w:r>
        <w:t xml:space="preserve">  &lt;</w:t>
      </w:r>
      <w:r>
        <w:t>attribute name="textCheckSum" type="xsd:string" use="optional"/&gt;</w:t>
      </w:r>
    </w:p>
    <w:p w:rsidR="000A156F" w:rsidRDefault="00A9721F">
      <w:pPr>
        <w:pStyle w:val="Code"/>
      </w:pPr>
      <w:r>
        <w:t xml:space="preserve">  &lt;attribute name="ver" type="xsd:unsignedInt" use="optional" default="0"/&gt;</w:t>
      </w:r>
    </w:p>
    <w:p w:rsidR="000A156F" w:rsidRDefault="00A9721F">
      <w:pPr>
        <w:pStyle w:val="Code"/>
      </w:pPr>
      <w:r>
        <w:t>&lt;/complexType&gt;</w:t>
      </w:r>
    </w:p>
    <w:p w:rsidR="000A156F" w:rsidRDefault="00A9721F">
      <w:pPr>
        <w:pStyle w:val="Heading5"/>
      </w:pPr>
      <w:bookmarkStart w:id="3962" w:name="section_a20f5177ac074c6292bf74b5c06124a7"/>
      <w:bookmarkStart w:id="3963" w:name="_Toc181685006"/>
      <w:r>
        <w:t>Simple Types</w:t>
      </w:r>
      <w:bookmarkEnd w:id="3962"/>
      <w:bookmarkEnd w:id="3963"/>
      <w:r>
        <w:fldChar w:fldCharType="begin"/>
      </w:r>
      <w:r>
        <w:instrText xml:space="preserve"> XE "Simple Types" </w:instrText>
      </w:r>
      <w:r>
        <w:fldChar w:fldCharType="end"/>
      </w:r>
    </w:p>
    <w:p w:rsidR="000A156F" w:rsidRDefault="00A9721F">
      <w:r>
        <w:lastRenderedPageBreak/>
        <w:t>This is the complete list of simple types in the http://schemas.op</w:t>
      </w:r>
      <w:r>
        <w:t>enxmlformats.org/drawingml/2006/main namespace.</w:t>
      </w:r>
    </w:p>
    <w:p w:rsidR="000A156F" w:rsidRDefault="00A9721F">
      <w:pPr>
        <w:pStyle w:val="Heading6"/>
      </w:pPr>
      <w:bookmarkStart w:id="3964" w:name="section_afb7e140b25949018af4d4a514f50db9"/>
      <w:bookmarkStart w:id="3965" w:name="_Toc181685007"/>
      <w:r>
        <w:t>ST_CoordinateUnqualified (Coordinate)</w:t>
      </w:r>
      <w:bookmarkEnd w:id="3964"/>
      <w:bookmarkEnd w:id="3965"/>
      <w:r>
        <w:fldChar w:fldCharType="begin"/>
      </w:r>
      <w:r>
        <w:instrText xml:space="preserve"> XE "ST_CoordinateUnqualified (Coordinate)" </w:instrText>
      </w:r>
      <w:r>
        <w:fldChar w:fldCharType="end"/>
      </w:r>
    </w:p>
    <w:p w:rsidR="000A156F" w:rsidRDefault="00A9721F">
      <w:r>
        <w:t>This simple type represents a one dimensional position or length in EMUs. EMUs (English Metric Units) are a high precision c</w:t>
      </w:r>
      <w:r>
        <w:t>oordinate space (914400 dpi / 360000 dpc).</w:t>
      </w:r>
    </w:p>
    <w:p w:rsidR="000A156F" w:rsidRDefault="00A9721F">
      <w:r>
        <w:t>The restrictions specified in the following section apply only to Excel® 2007. For Word 2007 and PowerPoint® 2007, the simple type has a minimum value of greater than or equal to -2147483648 and a maximum value of</w:t>
      </w:r>
      <w:r>
        <w:t xml:space="preserve"> less than or equal to 2147483647.</w:t>
      </w:r>
    </w:p>
    <w:p w:rsidR="000A156F" w:rsidRDefault="00A9721F">
      <w:r>
        <w:t>This simple type's contents are a restriction of the XML Schema long datatype.</w:t>
      </w:r>
    </w:p>
    <w:p w:rsidR="000A156F" w:rsidRDefault="00A9721F">
      <w:r>
        <w:t>This simple type also specifies the following restrictions:</w:t>
      </w:r>
    </w:p>
    <w:p w:rsidR="000A156F" w:rsidRDefault="00A9721F">
      <w:pPr>
        <w:pStyle w:val="ListParagraph"/>
        <w:numPr>
          <w:ilvl w:val="0"/>
          <w:numId w:val="206"/>
        </w:numPr>
        <w:contextualSpacing/>
      </w:pPr>
      <w:r>
        <w:t>This simple type has a minimum value of greater than or equal to -27273042329600.</w:t>
      </w:r>
    </w:p>
    <w:p w:rsidR="000A156F" w:rsidRDefault="00A9721F">
      <w:pPr>
        <w:pStyle w:val="ListParagraph"/>
        <w:numPr>
          <w:ilvl w:val="0"/>
          <w:numId w:val="206"/>
        </w:numPr>
      </w:pPr>
      <w:r>
        <w:t>This simple type has a maximum value of less than or equal to 27273042316900.</w:t>
      </w:r>
    </w:p>
    <w:p w:rsidR="000A156F" w:rsidRDefault="00A9721F">
      <w:r>
        <w:t xml:space="preserve">Note that Office treats these differently in some circumstances.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(§3.1.4.2.1.1, bounds); </w:t>
            </w:r>
            <w:r>
              <w:rPr>
                <w:b/>
              </w:rPr>
              <w:t>bounds@t</w:t>
            </w:r>
            <w:r>
              <w:t xml:space="preserve"> (§3.1.4.2.1.</w:t>
            </w:r>
            <w:r>
              <w:t xml:space="preserve">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effectOffset); </w:t>
            </w:r>
            <w:r>
              <w:rPr>
                <w:b/>
              </w:rPr>
              <w:t>effectOffset@t</w:t>
            </w:r>
            <w:r>
              <w:t xml:space="preserve"> (§3.1.4.3.1.2, effectOffset)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name="ST_Coordinate"&gt;</w:t>
      </w:r>
    </w:p>
    <w:p w:rsidR="000A156F" w:rsidRDefault="00A9721F">
      <w:pPr>
        <w:pStyle w:val="Code"/>
      </w:pPr>
      <w:r>
        <w:t xml:space="preserve">  &lt;restriction base="xsd:long"&gt;</w:t>
      </w:r>
    </w:p>
    <w:p w:rsidR="000A156F" w:rsidRDefault="00A9721F">
      <w:pPr>
        <w:pStyle w:val="Code"/>
      </w:pPr>
      <w:r>
        <w:t xml:space="preserve">    &lt;minInclusive value="-27273042329600"/&gt;</w:t>
      </w:r>
    </w:p>
    <w:p w:rsidR="000A156F" w:rsidRDefault="00A9721F">
      <w:pPr>
        <w:pStyle w:val="Code"/>
      </w:pPr>
      <w:r>
        <w:t xml:space="preserve">    &lt;maxInclusive value="27273042316900"/&gt;</w:t>
      </w:r>
    </w:p>
    <w:p w:rsidR="000A156F" w:rsidRDefault="00A9721F">
      <w:pPr>
        <w:pStyle w:val="Code"/>
      </w:pPr>
      <w:r>
        <w:t xml:space="preserve">  &lt;/restriction&gt;</w:t>
      </w:r>
    </w:p>
    <w:p w:rsidR="000A156F" w:rsidRDefault="00A9721F">
      <w:pPr>
        <w:pStyle w:val="Code"/>
      </w:pPr>
      <w:r>
        <w:t>&lt;</w:t>
      </w:r>
      <w:r>
        <w:t>/simpleType&gt;</w:t>
      </w:r>
    </w:p>
    <w:p w:rsidR="000A156F" w:rsidRDefault="00A9721F">
      <w:pPr>
        <w:pStyle w:val="Heading4"/>
      </w:pPr>
      <w:bookmarkStart w:id="3966" w:name="section_40c407b0705f4b09a49472666a6e0d47"/>
      <w:bookmarkStart w:id="3967" w:name="_Toc181685008"/>
      <w:r>
        <w:t>Additional DrawingML - WordprocessingML Schema</w:t>
      </w:r>
      <w:bookmarkEnd w:id="3966"/>
      <w:bookmarkEnd w:id="3967"/>
    </w:p>
    <w:p w:rsidR="000A156F" w:rsidRDefault="00A9721F">
      <w:pPr>
        <w:pStyle w:val="Heading5"/>
      </w:pPr>
      <w:bookmarkStart w:id="3968" w:name="section_9835e3800b30448a98bdf016c6a8b8d7"/>
      <w:bookmarkStart w:id="3969" w:name="_Toc181685009"/>
      <w:r>
        <w:t>Additional Elements</w:t>
      </w:r>
      <w:bookmarkEnd w:id="3968"/>
      <w:bookmarkEnd w:id="3969"/>
      <w:r>
        <w:fldChar w:fldCharType="begin"/>
      </w:r>
      <w:r>
        <w:instrText xml:space="preserve"> XE "Additional Elements" </w:instrText>
      </w:r>
      <w:r>
        <w:fldChar w:fldCharType="end"/>
      </w:r>
    </w:p>
    <w:p w:rsidR="000A156F" w:rsidRDefault="00A9721F">
      <w:r>
        <w:t>This section specifies the structure of the VML embedded DrawingML (see also gfxdata attribute ("</w:t>
      </w:r>
      <w:hyperlink r:id="rId321">
        <w:r>
          <w:rPr>
            <w:rStyle w:val="Hyperlink"/>
          </w:rPr>
          <w:t>[ISO/IEC-29500-4]</w:t>
        </w:r>
      </w:hyperlink>
      <w:r>
        <w:t xml:space="preserve"> §19.1.2.19; shape (Shape Definition)").</w:t>
      </w:r>
    </w:p>
    <w:p w:rsidR="000A156F" w:rsidRDefault="00A9721F">
      <w:pPr>
        <w:pStyle w:val="Heading6"/>
      </w:pPr>
      <w:bookmarkStart w:id="3970" w:name="section_093801fe80854aaaa44a78583b640385"/>
      <w:bookmarkStart w:id="3971" w:name="_Toc181685010"/>
      <w:r>
        <w:t>e2oholder (E2o Holder)</w:t>
      </w:r>
      <w:bookmarkEnd w:id="3970"/>
      <w:bookmarkEnd w:id="3971"/>
      <w:r>
        <w:fldChar w:fldCharType="begin"/>
      </w:r>
      <w:r>
        <w:instrText xml:space="preserve"> XE "e2oholder (E2o Holder)" </w:instrText>
      </w:r>
      <w:r>
        <w:fldChar w:fldCharType="end"/>
      </w:r>
    </w:p>
    <w:p w:rsidR="000A156F" w:rsidRDefault="00A9721F">
      <w:r>
        <w:t>This is the root element of the VML embedded DrawingML, Graphic Frame Doc part. It contains the actual DrawingML graphical object</w:t>
      </w:r>
      <w:r>
        <w:t xml:space="preserve"> (OfficeArt object) data.</w:t>
      </w:r>
    </w:p>
    <w:tbl>
      <w:tblPr>
        <w:tblStyle w:val="Table-ShadedHeader"/>
        <w:tblW w:w="0" w:type="auto"/>
        <w:tblLook w:val="04A0" w:firstRow="1" w:lastRow="0" w:firstColumn="1" w:lastColumn="0" w:noHBand="0" w:noVBand="1"/>
      </w:tblPr>
      <w:tblGrid>
        <w:gridCol w:w="2484"/>
        <w:gridCol w:w="303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effectOffset</w:t>
            </w:r>
            <w:r>
              <w:t xml:space="preserve"> (Effect Offset)</w:t>
            </w:r>
          </w:p>
        </w:tc>
        <w:tc>
          <w:tcPr>
            <w:tcW w:w="0" w:type="auto"/>
            <w:vAlign w:val="center"/>
          </w:tcPr>
          <w:p w:rsidR="000A156F" w:rsidRDefault="00A9721F">
            <w:pPr>
              <w:pStyle w:val="TableBodyText"/>
            </w:pPr>
            <w:r>
              <w:t>§</w:t>
            </w:r>
            <w:hyperlink w:anchor="Section_597fd3303f3a4f689f1394e06acddbe0">
              <w:r>
                <w:rPr>
                  <w:rStyle w:val="Hyperlink"/>
                </w:rPr>
                <w:t>3.1.4.3.1.2, effectOffset</w:t>
              </w:r>
            </w:hyperlink>
          </w:p>
        </w:tc>
      </w:tr>
      <w:tr w:rsidR="000A156F" w:rsidTr="000A156F">
        <w:tc>
          <w:tcPr>
            <w:tcW w:w="0" w:type="auto"/>
            <w:vAlign w:val="center"/>
          </w:tcPr>
          <w:p w:rsidR="000A156F" w:rsidRDefault="00A9721F">
            <w:pPr>
              <w:pStyle w:val="TableBodyText"/>
            </w:pPr>
            <w:r>
              <w:rPr>
                <w:b/>
              </w:rPr>
              <w:t>graphic</w:t>
            </w:r>
            <w:r>
              <w:t xml:space="preserve"> (Graphic Object)</w:t>
            </w:r>
          </w:p>
        </w:tc>
        <w:tc>
          <w:tcPr>
            <w:tcW w:w="0" w:type="auto"/>
            <w:vAlign w:val="center"/>
          </w:tcPr>
          <w:p w:rsidR="000A156F" w:rsidRDefault="00A9721F">
            <w:pPr>
              <w:pStyle w:val="TableBodyText"/>
            </w:pPr>
            <w:r>
              <w:t>"</w:t>
            </w:r>
            <w:hyperlink r:id="rId322">
              <w:r>
                <w:rPr>
                  <w:rStyle w:val="Hyperlink"/>
                </w:rPr>
                <w:t>[ISO/IEC-29500-1]</w:t>
              </w:r>
            </w:hyperlink>
            <w:r>
              <w:t xml:space="preserve"> §20.1.2.2.16"</w:t>
            </w:r>
          </w:p>
        </w:tc>
      </w:tr>
    </w:tbl>
    <w:p w:rsidR="000A156F" w:rsidRDefault="000A156F"/>
    <w:p w:rsidR="000A156F" w:rsidRDefault="00A9721F">
      <w:r>
        <w:lastRenderedPageBreak/>
        <w:t>The following XML Schema fragment defines the contents of this element:</w:t>
      </w:r>
    </w:p>
    <w:p w:rsidR="000A156F" w:rsidRDefault="00A9721F">
      <w:pPr>
        <w:pStyle w:val="Code"/>
      </w:pPr>
      <w:r>
        <w:t>&lt;complexType name="CT_GraphicalObjectWrapper"&gt;</w:t>
      </w:r>
    </w:p>
    <w:p w:rsidR="000A156F" w:rsidRDefault="00A9721F">
      <w:pPr>
        <w:pStyle w:val="Code"/>
      </w:pPr>
      <w:r>
        <w:t xml:space="preserve">  &lt;sequence&gt;</w:t>
      </w:r>
    </w:p>
    <w:p w:rsidR="000A156F" w:rsidRDefault="00A9721F">
      <w:pPr>
        <w:pStyle w:val="Code"/>
      </w:pPr>
      <w:r>
        <w:t xml:space="preserve">    &lt;element name="effectO</w:t>
      </w:r>
      <w:r>
        <w:t>ffset" type="CT_EffectOffsetStg" minOccurs="1" maxOccurs="1"/&gt;</w:t>
      </w:r>
    </w:p>
    <w:p w:rsidR="000A156F" w:rsidRDefault="00A9721F">
      <w:pPr>
        <w:pStyle w:val="Code"/>
      </w:pPr>
      <w:r>
        <w:t xml:space="preserve">    &lt;element ref="a:graphic" minOccurs="1" maxOccurs="1"/&gt;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3972" w:name="section_597fd3303f3a4f689f1394e06acddbe0"/>
      <w:bookmarkStart w:id="3973" w:name="_Toc181685011"/>
      <w:r>
        <w:t>effectOffset (Effect Offset)</w:t>
      </w:r>
      <w:bookmarkEnd w:id="3972"/>
      <w:bookmarkEnd w:id="3973"/>
      <w:r>
        <w:fldChar w:fldCharType="begin"/>
      </w:r>
      <w:r>
        <w:instrText xml:space="preserve"> XE "effectOffset (Effect Offset)" </w:instrText>
      </w:r>
      <w:r>
        <w:fldChar w:fldCharType="end"/>
      </w:r>
    </w:p>
    <w:p w:rsidR="000A156F" w:rsidRDefault="00A9721F">
      <w:r>
        <w:t>This element specifies the offset betwe</w:t>
      </w:r>
      <w:r>
        <w:t xml:space="preserv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e2oholder</w:t>
            </w:r>
            <w:r>
              <w:t xml:space="preserve"> (§</w:t>
            </w:r>
            <w:hyperlink w:anchor="Section_093801fe80854aaaa44a78583b640385">
              <w:r>
                <w:rPr>
                  <w:rStyle w:val="Hyperlink"/>
                </w:rPr>
                <w:t>3.1.4.3.1.1, e2oholder</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488"/>
        <w:gridCol w:w="798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b</w:t>
            </w:r>
            <w:r>
              <w:t xml:space="preserve"> (Bottom Offset)</w:t>
            </w:r>
          </w:p>
        </w:tc>
        <w:tc>
          <w:tcPr>
            <w:tcW w:w="0" w:type="auto"/>
            <w:vAlign w:val="center"/>
          </w:tcPr>
          <w:p w:rsidR="000A156F" w:rsidRDefault="00A9721F">
            <w:pPr>
              <w:pStyle w:val="TableBodyText"/>
            </w:pPr>
            <w:r>
              <w:t xml:space="preserve">The </w:t>
            </w:r>
            <w:r>
              <w:t>difference between the bottom border of the effect area and the bottom border of the OfficeArt object.</w:t>
            </w:r>
          </w:p>
          <w:p w:rsidR="000A156F" w:rsidRDefault="000A156F">
            <w:pPr>
              <w:pStyle w:val="TableBodyText"/>
            </w:pPr>
          </w:p>
          <w:p w:rsidR="000A156F" w:rsidRDefault="00A9721F">
            <w:pPr>
              <w:pStyle w:val="TableBodyText"/>
            </w:pPr>
            <w:r>
              <w:t>The possible values for this attribute are defined by the ST_CoordinateUnqualified simple type ("</w:t>
            </w:r>
            <w:hyperlink r:id="rId323">
              <w:r>
                <w:rPr>
                  <w:rStyle w:val="Hyperlink"/>
                </w:rPr>
                <w:t>[ISO/IEC-29500-1]</w:t>
              </w:r>
            </w:hyperlink>
            <w:r>
              <w:t xml:space="preserve"> §20.1.10.19").</w:t>
            </w:r>
          </w:p>
        </w:tc>
      </w:tr>
      <w:tr w:rsidR="000A156F" w:rsidTr="000A156F">
        <w:tc>
          <w:tcPr>
            <w:tcW w:w="0" w:type="auto"/>
            <w:vAlign w:val="center"/>
          </w:tcPr>
          <w:p w:rsidR="000A156F" w:rsidRDefault="00A9721F">
            <w:pPr>
              <w:pStyle w:val="TableBodyText"/>
            </w:pPr>
            <w:r>
              <w:rPr>
                <w:b/>
              </w:rPr>
              <w:t>l</w:t>
            </w:r>
            <w:r>
              <w:t xml:space="preserve"> (Left Offset)</w:t>
            </w:r>
          </w:p>
        </w:tc>
        <w:tc>
          <w:tcPr>
            <w:tcW w:w="0" w:type="auto"/>
            <w:vAlign w:val="center"/>
          </w:tcPr>
          <w:p w:rsidR="000A156F" w:rsidRDefault="00A9721F">
            <w:pPr>
              <w:pStyle w:val="TableBodyText"/>
            </w:pPr>
            <w:r>
              <w:t>The difference between left border of the OfficeArt object and the left border of the effect area.</w:t>
            </w:r>
          </w:p>
          <w:p w:rsidR="000A156F" w:rsidRDefault="000A156F">
            <w:pPr>
              <w:pStyle w:val="TableBodyText"/>
            </w:pPr>
          </w:p>
          <w:p w:rsidR="000A156F" w:rsidRDefault="00A9721F">
            <w:pPr>
              <w:pStyle w:val="TableBodyText"/>
            </w:pPr>
            <w:r>
              <w:t xml:space="preserve">The possible values for this attribute are defined by the ST_CoordinateUnqualified simple type </w:t>
            </w:r>
            <w:r>
              <w:t>("[ISO/IEC-29500-1] §20.1.10.19").</w:t>
            </w:r>
          </w:p>
        </w:tc>
      </w:tr>
      <w:tr w:rsidR="000A156F" w:rsidTr="000A156F">
        <w:tc>
          <w:tcPr>
            <w:tcW w:w="0" w:type="auto"/>
            <w:vAlign w:val="center"/>
          </w:tcPr>
          <w:p w:rsidR="000A156F" w:rsidRDefault="00A9721F">
            <w:pPr>
              <w:pStyle w:val="TableBodyText"/>
            </w:pPr>
            <w:r>
              <w:rPr>
                <w:b/>
              </w:rPr>
              <w:t>r</w:t>
            </w:r>
            <w:r>
              <w:t xml:space="preserve"> (Right Offset)</w:t>
            </w:r>
          </w:p>
        </w:tc>
        <w:tc>
          <w:tcPr>
            <w:tcW w:w="0" w:type="auto"/>
            <w:vAlign w:val="center"/>
          </w:tcPr>
          <w:p w:rsidR="000A156F" w:rsidRDefault="00A9721F">
            <w:pPr>
              <w:pStyle w:val="TableBodyText"/>
            </w:pPr>
            <w:r>
              <w:t>The difference between the right border of the effect area and the right border of the OfficeArt object.</w:t>
            </w:r>
          </w:p>
          <w:p w:rsidR="000A156F" w:rsidRDefault="000A156F">
            <w:pPr>
              <w:pStyle w:val="TableBodyText"/>
            </w:pPr>
          </w:p>
          <w:p w:rsidR="000A156F" w:rsidRDefault="00A9721F">
            <w:pPr>
              <w:pStyle w:val="TableBodyText"/>
            </w:pPr>
            <w:r>
              <w:t>The possible values for this attribute are defined by the ST_CoordinateUnqualified simple type ("</w:t>
            </w:r>
            <w:r>
              <w:t>[ISO/IEC-29500-1] §20.1.10.19").</w:t>
            </w:r>
          </w:p>
        </w:tc>
      </w:tr>
      <w:tr w:rsidR="000A156F" w:rsidTr="000A156F">
        <w:tc>
          <w:tcPr>
            <w:tcW w:w="0" w:type="auto"/>
            <w:vAlign w:val="center"/>
          </w:tcPr>
          <w:p w:rsidR="000A156F" w:rsidRDefault="00A9721F">
            <w:pPr>
              <w:pStyle w:val="TableBodyText"/>
            </w:pPr>
            <w:r>
              <w:rPr>
                <w:b/>
              </w:rPr>
              <w:t>t</w:t>
            </w:r>
            <w:r>
              <w:t xml:space="preserve"> (Top Offset)</w:t>
            </w:r>
          </w:p>
        </w:tc>
        <w:tc>
          <w:tcPr>
            <w:tcW w:w="0" w:type="auto"/>
            <w:vAlign w:val="center"/>
          </w:tcPr>
          <w:p w:rsidR="000A156F" w:rsidRDefault="00A9721F">
            <w:pPr>
              <w:pStyle w:val="TableBodyText"/>
            </w:pPr>
            <w:r>
              <w:t>The difference between the top border of the OfficeArt object and the top border of the effect area.</w:t>
            </w:r>
          </w:p>
          <w:p w:rsidR="000A156F" w:rsidRDefault="000A156F">
            <w:pPr>
              <w:pStyle w:val="TableBodyText"/>
            </w:pPr>
          </w:p>
          <w:p w:rsidR="000A156F" w:rsidRDefault="00A9721F">
            <w:pPr>
              <w:pStyle w:val="TableBodyText"/>
            </w:pPr>
            <w:r>
              <w:t>The possible values for this attribute are defined by the ST_CoordinateUnqualified simple type ("[ISO/IEC</w:t>
            </w:r>
            <w:r>
              <w:t>-29500-1] §20.1.10.19").</w:t>
            </w:r>
          </w:p>
        </w:tc>
      </w:tr>
    </w:tbl>
    <w:p w:rsidR="000A156F" w:rsidRDefault="000A156F"/>
    <w:p w:rsidR="000A156F" w:rsidRDefault="00A9721F">
      <w:r>
        <w:t>The following XML Schema fragment defines the contents of this element:</w:t>
      </w:r>
    </w:p>
    <w:p w:rsidR="000A156F" w:rsidRDefault="00A9721F">
      <w:pPr>
        <w:pStyle w:val="Code"/>
      </w:pPr>
      <w:r>
        <w:t>&lt;complexType name="CT_EffectOffsetStg"&gt;</w:t>
      </w:r>
    </w:p>
    <w:p w:rsidR="000A156F" w:rsidRDefault="00A9721F">
      <w:pPr>
        <w:pStyle w:val="Code"/>
      </w:pPr>
      <w:r>
        <w:t xml:space="preserve">  &lt;attribute name="l" type="a:ST_Coordinate" use="required"/&gt;</w:t>
      </w:r>
    </w:p>
    <w:p w:rsidR="000A156F" w:rsidRDefault="00A9721F">
      <w:pPr>
        <w:pStyle w:val="Code"/>
      </w:pPr>
      <w:r>
        <w:t xml:space="preserve">  &lt;attribute name="t" type="a:ST_Coordinate" use="requi</w:t>
      </w:r>
      <w:r>
        <w:t>red"/&gt;</w:t>
      </w:r>
    </w:p>
    <w:p w:rsidR="000A156F" w:rsidRDefault="00A9721F">
      <w:pPr>
        <w:pStyle w:val="Code"/>
      </w:pPr>
      <w:r>
        <w:t xml:space="preserve">  &lt;attribute name="r" type="a:ST_Coordinate" use="required"/&gt;</w:t>
      </w:r>
    </w:p>
    <w:p w:rsidR="000A156F" w:rsidRDefault="00A9721F">
      <w:pPr>
        <w:pStyle w:val="Code"/>
      </w:pPr>
      <w:r>
        <w:t xml:space="preserve">  &lt;attribute name="b" type="a:ST_Coordinate" use="required"/&gt;</w:t>
      </w:r>
    </w:p>
    <w:p w:rsidR="000A156F" w:rsidRDefault="00A9721F">
      <w:pPr>
        <w:pStyle w:val="Code"/>
      </w:pPr>
      <w:r>
        <w:t>&lt;/complexType&gt;</w:t>
      </w:r>
    </w:p>
    <w:p w:rsidR="000A156F" w:rsidRDefault="00A9721F">
      <w:pPr>
        <w:pStyle w:val="Heading2"/>
      </w:pPr>
      <w:bookmarkStart w:id="3974" w:name="section_b1446808a7f94a6cac4a1ae8175a5705"/>
      <w:bookmarkStart w:id="3975" w:name="_Toc181685012"/>
      <w:r>
        <w:lastRenderedPageBreak/>
        <w:t>Excel</w:t>
      </w:r>
      <w:bookmarkEnd w:id="3974"/>
      <w:bookmarkEnd w:id="3975"/>
      <w:r>
        <w:fldChar w:fldCharType="begin"/>
      </w:r>
      <w:r>
        <w:instrText xml:space="preserve"> XE "Excel (Additional Information)" </w:instrText>
      </w:r>
      <w:r>
        <w:fldChar w:fldCharType="end"/>
      </w:r>
    </w:p>
    <w:p w:rsidR="000A156F" w:rsidRDefault="00A9721F">
      <w:r>
        <w:t>This section contains additional information used to more fully d</w:t>
      </w:r>
      <w:r>
        <w:t xml:space="preserve">escribe how Excel implements Office Open XML File Formats </w:t>
      </w:r>
      <w:hyperlink r:id="rId324">
        <w:r>
          <w:rPr>
            <w:rStyle w:val="Hyperlink"/>
          </w:rPr>
          <w:t>[ISO/IEC-29500-1]</w:t>
        </w:r>
      </w:hyperlink>
      <w:r>
        <w:t>.</w:t>
      </w:r>
    </w:p>
    <w:p w:rsidR="000A156F" w:rsidRDefault="00A9721F">
      <w:pPr>
        <w:pStyle w:val="Heading3"/>
      </w:pPr>
      <w:bookmarkStart w:id="3976" w:name="section_8ce3f967210d4181927892e3411ebfc7"/>
      <w:bookmarkStart w:id="3977" w:name="_Toc181685013"/>
      <w:r>
        <w:t>Additional Parts</w:t>
      </w:r>
      <w:bookmarkEnd w:id="3976"/>
      <w:bookmarkEnd w:id="3977"/>
      <w:r>
        <w:fldChar w:fldCharType="begin"/>
      </w:r>
      <w:r>
        <w:instrText xml:space="preserve"> XE "Additional Parts" </w:instrText>
      </w:r>
      <w:r>
        <w:fldChar w:fldCharType="end"/>
      </w:r>
    </w:p>
    <w:p w:rsidR="000A156F" w:rsidRDefault="00A9721F">
      <w:r>
        <w:t xml:space="preserve">The subclauses subordinate to this one describe in detail each of the </w:t>
      </w:r>
      <w:r>
        <w:t>part types specific to Excel in addition to those listed as part of Office Open XML File Formats ("</w:t>
      </w:r>
      <w:hyperlink r:id="rId325">
        <w:r>
          <w:rPr>
            <w:rStyle w:val="Hyperlink"/>
          </w:rPr>
          <w:t>[ISO/IEC-29500-1]</w:t>
        </w:r>
      </w:hyperlink>
      <w:r>
        <w:t xml:space="preserve"> §12").</w:t>
      </w:r>
    </w:p>
    <w:p w:rsidR="000A156F" w:rsidRDefault="00A9721F">
      <w:pPr>
        <w:pStyle w:val="Heading4"/>
      </w:pPr>
      <w:bookmarkStart w:id="3978" w:name="section_693389eed71540f89ef4055de69fd6a8"/>
      <w:bookmarkStart w:id="3979" w:name="_Toc181685014"/>
      <w:r>
        <w:t>Excel Attached Toolbars Part</w:t>
      </w:r>
      <w:bookmarkEnd w:id="3978"/>
      <w:bookmarkEnd w:id="3979"/>
      <w:r>
        <w:fldChar w:fldCharType="begin"/>
      </w:r>
      <w:r>
        <w:instrText xml:space="preserve"> XE "Excel Attached Toolbars Part" </w:instrText>
      </w:r>
      <w:r>
        <w:fldChar w:fldCharType="end"/>
      </w:r>
    </w:p>
    <w:p w:rsidR="000A156F" w:rsidRDefault="00A9721F">
      <w:r>
        <w:rPr>
          <w:b/>
          <w:i/>
        </w:rPr>
        <w:t>Content Type</w:t>
      </w:r>
    </w:p>
    <w:p w:rsidR="000A156F" w:rsidRDefault="00A9721F">
      <w:r>
        <w:rPr>
          <w:i/>
        </w:rPr>
        <w:t>application/vnd.ms-excel.attachedToolbars</w:t>
      </w:r>
    </w:p>
    <w:p w:rsidR="000A156F" w:rsidRDefault="00A9721F">
      <w:r>
        <w:rPr>
          <w:b/>
          <w:i/>
        </w:rPr>
        <w:t>Root Namespace</w:t>
      </w:r>
    </w:p>
    <w:p w:rsidR="000A156F" w:rsidRDefault="00A9721F">
      <w:r>
        <w:rPr>
          <w:i/>
        </w:rPr>
        <w:t>Not applicable</w:t>
      </w:r>
    </w:p>
    <w:p w:rsidR="000A156F" w:rsidRDefault="00A9721F">
      <w:r>
        <w:rPr>
          <w:b/>
          <w:i/>
        </w:rPr>
        <w:t>Source Relationship</w:t>
      </w:r>
    </w:p>
    <w:p w:rsidR="000A156F" w:rsidRDefault="00A9721F">
      <w:r>
        <w:rPr>
          <w:i/>
        </w:rPr>
        <w:t>http://schemas.microsoft.com/office/2006/relationships/attachedToolbars</w:t>
      </w:r>
    </w:p>
    <w:p w:rsidR="000A156F" w:rsidRDefault="00A9721F">
      <w:r>
        <w:t>This binary part supports the storage of custom toolbars created by the user.</w:t>
      </w:r>
    </w:p>
    <w:p w:rsidR="000A156F" w:rsidRDefault="00A9721F">
      <w:r>
        <w:t>A</w:t>
      </w:r>
      <w:r>
        <w:t xml:space="preserve"> package shall contain at most one Attached Toolbars part, and that part shall be the target of an implicit relationship from the Workbook part ("</w:t>
      </w:r>
      <w:hyperlink r:id="rId326">
        <w:r>
          <w:rPr>
            <w:rStyle w:val="Hyperlink"/>
          </w:rPr>
          <w:t>[ISO/IEC-29500-1]</w:t>
        </w:r>
      </w:hyperlink>
      <w:r>
        <w:t xml:space="preserve"> §12.3.23").</w:t>
      </w:r>
    </w:p>
    <w:p w:rsidR="000A156F" w:rsidRDefault="00A9721F">
      <w:r>
        <w:t xml:space="preserve">[Example: The </w:t>
      </w:r>
      <w:r>
        <w:t>following Workbook part-relationship item contains a relationship to the Attached Toolbars part, which is stored in the ZIP item attachedToolbars.bin:</w:t>
      </w:r>
    </w:p>
    <w:p w:rsidR="000A156F" w:rsidRDefault="00A9721F">
      <w:pPr>
        <w:pStyle w:val="Code"/>
      </w:pPr>
      <w:r>
        <w:t>&lt;Relationships xmlns="…"&gt;</w:t>
      </w:r>
    </w:p>
    <w:p w:rsidR="000A156F" w:rsidRDefault="00A9721F">
      <w:pPr>
        <w:pStyle w:val="Code"/>
      </w:pPr>
      <w:r>
        <w:t xml:space="preserve">  &lt;Relationship Id="rId6" </w:t>
      </w:r>
    </w:p>
    <w:p w:rsidR="000A156F" w:rsidRDefault="00A9721F">
      <w:pPr>
        <w:pStyle w:val="Code"/>
      </w:pPr>
      <w:r>
        <w:t xml:space="preserve">    Type="http://…/attachedToolbars" Target="attache</w:t>
      </w:r>
      <w:r>
        <w:t>dToolbars.bin"/&gt;</w:t>
      </w:r>
    </w:p>
    <w:p w:rsidR="000A156F" w:rsidRDefault="00A9721F">
      <w:pPr>
        <w:pStyle w:val="Code"/>
      </w:pPr>
      <w:r>
        <w:t>&lt;/Relationships&gt;</w:t>
      </w:r>
    </w:p>
    <w:p w:rsidR="000A156F" w:rsidRDefault="00A9721F">
      <w:r>
        <w:t>end example]</w:t>
      </w:r>
    </w:p>
    <w:p w:rsidR="000A156F" w:rsidRDefault="00A9721F">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A156F" w:rsidRDefault="00A9721F">
      <w:r>
        <w:t>An Attached Toolbars part shall not have implicit or explicit relationships to any part defined by Office Open XML File Formats [ISO/IEC-29500-1].</w:t>
      </w:r>
    </w:p>
    <w:p w:rsidR="000A156F" w:rsidRDefault="00A9721F">
      <w:r>
        <w:t>The internal structure of the ZIP item attachedToolbars.bin is specified in the XCB section of the Excel 97-2</w:t>
      </w:r>
      <w:r>
        <w:t xml:space="preserve">003 Binary File Format (.xls) Structure Specification </w:t>
      </w:r>
      <w:hyperlink r:id="rId327" w:anchor="Section_cd03cb5fca024934a391bb674cb8aa06">
        <w:r>
          <w:rPr>
            <w:rStyle w:val="Hyperlink"/>
          </w:rPr>
          <w:t>[MS-XLS]</w:t>
        </w:r>
      </w:hyperlink>
      <w:r>
        <w:t xml:space="preserve"> book.</w:t>
      </w:r>
    </w:p>
    <w:p w:rsidR="000A156F" w:rsidRDefault="00A9721F">
      <w:pPr>
        <w:pStyle w:val="Heading4"/>
      </w:pPr>
      <w:bookmarkStart w:id="3980" w:name="section_c004bb57aaa44a8c9eca2cab3f574fe2"/>
      <w:bookmarkStart w:id="3981" w:name="_Toc181685015"/>
      <w:r>
        <w:t>Worksheet Sort Map Part</w:t>
      </w:r>
      <w:bookmarkEnd w:id="3980"/>
      <w:bookmarkEnd w:id="3981"/>
      <w:r>
        <w:fldChar w:fldCharType="begin"/>
      </w:r>
      <w:r>
        <w:instrText xml:space="preserve"> XE "Worksheet Sort Map Part" </w:instrText>
      </w:r>
      <w:r>
        <w:fldChar w:fldCharType="end"/>
      </w:r>
    </w:p>
    <w:p w:rsidR="000A156F" w:rsidRDefault="00A9721F">
      <w:r>
        <w:rPr>
          <w:b/>
          <w:i/>
        </w:rPr>
        <w:t>Content Type</w:t>
      </w:r>
    </w:p>
    <w:p w:rsidR="000A156F" w:rsidRDefault="00A9721F">
      <w:r>
        <w:rPr>
          <w:i/>
        </w:rPr>
        <w:t>application/vnd.ms-excel.wsSortMap+xml</w:t>
      </w:r>
    </w:p>
    <w:p w:rsidR="000A156F" w:rsidRDefault="00A9721F">
      <w:r>
        <w:rPr>
          <w:b/>
          <w:i/>
        </w:rPr>
        <w:t>R</w:t>
      </w:r>
      <w:r>
        <w:rPr>
          <w:b/>
          <w:i/>
        </w:rPr>
        <w:t>oot Namespace</w:t>
      </w:r>
    </w:p>
    <w:p w:rsidR="000A156F" w:rsidRDefault="00A9721F">
      <w:r>
        <w:rPr>
          <w:i/>
        </w:rPr>
        <w:t>http://schemas.microsoft.com/office/excel/2006/main</w:t>
      </w:r>
    </w:p>
    <w:p w:rsidR="000A156F" w:rsidRDefault="00A9721F">
      <w:r>
        <w:rPr>
          <w:b/>
          <w:i/>
        </w:rPr>
        <w:t>Source Relationship</w:t>
      </w:r>
    </w:p>
    <w:p w:rsidR="000A156F" w:rsidRDefault="00A9721F">
      <w:r>
        <w:rPr>
          <w:i/>
        </w:rPr>
        <w:lastRenderedPageBreak/>
        <w:t>http://schemas.microsoft.com/office/2006/relationships/wsSortMap</w:t>
      </w:r>
    </w:p>
    <w:p w:rsidR="000A156F" w:rsidRDefault="00A9721F">
      <w:r>
        <w:t>An instance of this part contains information about a series of before and after row or column mapping to</w:t>
      </w:r>
      <w:r>
        <w:t xml:space="preserve"> resolve different sort operations performed on the same range by different users when the workbook is shared.</w:t>
      </w:r>
    </w:p>
    <w:p w:rsidR="000A156F" w:rsidRDefault="00A9721F">
      <w:r>
        <w:t xml:space="preserve">A package is permitted to contain zero or one Worksheet Sort Map part for each worksheet, and that part shall be the target of an implicit </w:t>
      </w:r>
      <w:r>
        <w:t>relationship from the Worksheet part ("</w:t>
      </w:r>
      <w:hyperlink r:id="rId328">
        <w:r>
          <w:rPr>
            <w:rStyle w:val="Hyperlink"/>
          </w:rPr>
          <w:t>[ISO/IEC-29500-1]</w:t>
        </w:r>
      </w:hyperlink>
      <w:r>
        <w:t xml:space="preserve"> §12.3.24").</w:t>
      </w:r>
    </w:p>
    <w:p w:rsidR="000A156F" w:rsidRDefault="00A9721F">
      <w:r>
        <w:t>[Example: The following Worksheet part-relationship item contains a relationship to the Worksheet Sort Map part, which is</w:t>
      </w:r>
      <w:r>
        <w:t xml:space="preserve"> stored in the ZIP item wsSortMap1.xml:</w:t>
      </w:r>
    </w:p>
    <w:p w:rsidR="000A156F" w:rsidRDefault="00A9721F">
      <w:pPr>
        <w:pStyle w:val="Code"/>
      </w:pPr>
      <w:r>
        <w:t>&lt;Relationships xmlns="…"&gt;</w:t>
      </w:r>
    </w:p>
    <w:p w:rsidR="000A156F" w:rsidRDefault="00A9721F">
      <w:pPr>
        <w:pStyle w:val="Code"/>
      </w:pPr>
      <w:r>
        <w:t xml:space="preserve">  &lt;Relationship Id="rId1" </w:t>
      </w:r>
    </w:p>
    <w:p w:rsidR="000A156F" w:rsidRDefault="00A9721F">
      <w:pPr>
        <w:pStyle w:val="Code"/>
      </w:pPr>
      <w:r>
        <w:t xml:space="preserve">    Type="http://…/wsSortMap" Target="wsSortMap1.xml"/&gt;</w:t>
      </w:r>
    </w:p>
    <w:p w:rsidR="000A156F" w:rsidRDefault="00A9721F">
      <w:pPr>
        <w:pStyle w:val="Code"/>
      </w:pPr>
      <w:r>
        <w:t>&lt;/Relationships&gt;</w:t>
      </w:r>
    </w:p>
    <w:p w:rsidR="000A156F" w:rsidRDefault="00A9721F">
      <w:r>
        <w:t>end example]</w:t>
      </w:r>
    </w:p>
    <w:p w:rsidR="000A156F" w:rsidRDefault="00A9721F">
      <w:r>
        <w:t xml:space="preserve">The root element for a part of this content type shall be </w:t>
      </w:r>
      <w:r>
        <w:rPr>
          <w:b/>
        </w:rPr>
        <w:t>worksheetSortMap</w:t>
      </w:r>
      <w:r>
        <w:t>.</w:t>
      </w:r>
    </w:p>
    <w:p w:rsidR="000A156F" w:rsidRDefault="00A9721F">
      <w:r>
        <w:t>[</w:t>
      </w:r>
      <w:r>
        <w:t>Example: This Worksheet Sort Map part results from a row sort on a range containing 3 rows:</w:t>
      </w:r>
    </w:p>
    <w:p w:rsidR="000A156F" w:rsidRDefault="00A9721F">
      <w:pPr>
        <w:pStyle w:val="Code"/>
      </w:pPr>
      <w:r>
        <w:t>&lt;worksheetSortMap xmlns:st="…"&gt;</w:t>
      </w:r>
    </w:p>
    <w:p w:rsidR="000A156F" w:rsidRDefault="00A9721F">
      <w:pPr>
        <w:pStyle w:val="Code"/>
      </w:pPr>
      <w:r>
        <w:t xml:space="preserve">  &lt;rowSortMap ref="A1:XFD3" count="3"&gt;</w:t>
      </w:r>
    </w:p>
    <w:p w:rsidR="000A156F" w:rsidRDefault="00A9721F">
      <w:pPr>
        <w:pStyle w:val="Code"/>
      </w:pPr>
      <w:r>
        <w:t xml:space="preserve">    &lt;row newVal="0" oldVal="1"/&gt;</w:t>
      </w:r>
    </w:p>
    <w:p w:rsidR="000A156F" w:rsidRDefault="00A9721F">
      <w:pPr>
        <w:pStyle w:val="Code"/>
      </w:pPr>
      <w:r>
        <w:t xml:space="preserve">    &lt;row newVal="1" oldVal="2"/&gt;</w:t>
      </w:r>
    </w:p>
    <w:p w:rsidR="000A156F" w:rsidRDefault="00A9721F">
      <w:pPr>
        <w:pStyle w:val="Code"/>
      </w:pPr>
      <w:r>
        <w:t xml:space="preserve">    &lt;row newVal="2" oldVal=</w:t>
      </w:r>
      <w:r>
        <w:t>"0"/&gt;</w:t>
      </w:r>
    </w:p>
    <w:p w:rsidR="000A156F" w:rsidRDefault="00A9721F">
      <w:pPr>
        <w:pStyle w:val="Code"/>
      </w:pPr>
      <w:r>
        <w:t xml:space="preserve">  &lt;/rowSortMap&gt;</w:t>
      </w:r>
    </w:p>
    <w:p w:rsidR="000A156F" w:rsidRDefault="00A9721F">
      <w:pPr>
        <w:pStyle w:val="Code"/>
      </w:pPr>
      <w:r>
        <w:t>&lt;/worksheetSortMap&gt;</w:t>
      </w:r>
    </w:p>
    <w:p w:rsidR="000A156F" w:rsidRDefault="00A9721F">
      <w:r>
        <w:t>end example]</w:t>
      </w:r>
    </w:p>
    <w:p w:rsidR="000A156F" w:rsidRDefault="00A9721F">
      <w:r>
        <w:t xml:space="preserve">A Worksheet Sort Map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A156F" w:rsidRDefault="00A9721F">
      <w:r>
        <w:t>A Wor</w:t>
      </w:r>
      <w:r>
        <w:t xml:space="preserve">ksheet Sort Map part shall not have implicit or explicit relationships to any part defined by Office Open XML File Formats [ISO/IEC-29500-1]. </w:t>
      </w:r>
    </w:p>
    <w:p w:rsidR="000A156F" w:rsidRDefault="00A9721F">
      <w:pPr>
        <w:pStyle w:val="Heading3"/>
      </w:pPr>
      <w:bookmarkStart w:id="3982" w:name="section_a24b67311ed74c89ab5828431df113ee"/>
      <w:bookmarkStart w:id="3983" w:name="_Toc181685016"/>
      <w:r>
        <w:t>Microsoft Office Excel Sortmap</w:t>
      </w:r>
      <w:bookmarkEnd w:id="3982"/>
      <w:bookmarkEnd w:id="3983"/>
      <w:r>
        <w:fldChar w:fldCharType="begin"/>
      </w:r>
      <w:r>
        <w:instrText xml:space="preserve"> XE "Microsoft Office Excel Sortmap" </w:instrText>
      </w:r>
      <w:r>
        <w:fldChar w:fldCharType="end"/>
      </w:r>
    </w:p>
    <w:p w:rsidR="000A156F" w:rsidRDefault="00A9721F">
      <w:r>
        <w:t>This part specifies a Sort Map used by Exce</w:t>
      </w:r>
      <w:r>
        <w:t>l to recalculate a shared workbook. This part is present only in files created by Excel SP1 and later.</w:t>
      </w:r>
    </w:p>
    <w:p w:rsidR="000A156F" w:rsidRDefault="00A9721F">
      <w:pPr>
        <w:pStyle w:val="Heading4"/>
      </w:pPr>
      <w:bookmarkStart w:id="3984" w:name="section_e69cb44829e64c02bc6be920b0c46513"/>
      <w:bookmarkStart w:id="3985" w:name="_Toc181685017"/>
      <w:r>
        <w:t>Sortmap Elements</w:t>
      </w:r>
      <w:bookmarkEnd w:id="3984"/>
      <w:bookmarkEnd w:id="3985"/>
      <w:r>
        <w:fldChar w:fldCharType="begin"/>
      </w:r>
      <w:r>
        <w:instrText xml:space="preserve"> XE "Sortmap Elements" </w:instrText>
      </w:r>
      <w:r>
        <w:fldChar w:fldCharType="end"/>
      </w:r>
    </w:p>
    <w:p w:rsidR="000A156F" w:rsidRDefault="00A9721F">
      <w:r>
        <w:t xml:space="preserve">This subclause specifies the elements and simple types that comprise the Sort Map. </w:t>
      </w:r>
    </w:p>
    <w:p w:rsidR="000A156F" w:rsidRDefault="00A9721F">
      <w:r>
        <w:t>A sort map is used in the c</w:t>
      </w:r>
      <w:r>
        <w:t>ontext of a shared workbook to record the sort order of a range of cells. This information is used to correctly update cells and formulas that depend on the sort order when revision information is applied. There is one sort map per worksheet.</w:t>
      </w:r>
    </w:p>
    <w:p w:rsidR="000A156F" w:rsidRDefault="00A9721F">
      <w:r>
        <w:t xml:space="preserve">The sort map </w:t>
      </w:r>
      <w:r>
        <w:t>consists of two components:  The row sort map and the column sort map. The row sort map contains a list of row indices that need to be adjusted when revision information is applied. The row sort map is created when a range of cells is sorted top down or bo</w:t>
      </w:r>
      <w:r>
        <w:t>ttom up. The column sort map contains a list of column indices that need to be adjusted when revision information is applied. The column sort map is created when a range of cells is sorted left to right or right to left.</w:t>
      </w:r>
    </w:p>
    <w:p w:rsidR="000A156F" w:rsidRDefault="00A9721F">
      <w:r>
        <w:lastRenderedPageBreak/>
        <w:t>[Example: Consider the following sh</w:t>
      </w:r>
      <w:r>
        <w:t>ared workbook:</w:t>
      </w:r>
    </w:p>
    <w:p w:rsidR="000A156F" w:rsidRDefault="00A9721F">
      <w:r>
        <w:rPr>
          <w:noProof/>
        </w:rPr>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0A156F" w:rsidRDefault="00A9721F">
      <w:r>
        <w:t>The worksheet contains four rows of data. Once the data is sorted in descending order, the worksheet looks as follows:</w:t>
      </w:r>
    </w:p>
    <w:p w:rsidR="000A156F" w:rsidRDefault="00A9721F">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0A156F" w:rsidRDefault="00A9721F">
      <w:r>
        <w:t>When this worksheet is saved, the following sort map should be created and saved to the file:</w:t>
      </w:r>
    </w:p>
    <w:p w:rsidR="000A156F" w:rsidRDefault="00A9721F">
      <w:pPr>
        <w:pStyle w:val="Code"/>
      </w:pPr>
      <w:r>
        <w:t xml:space="preserve">&lt;worksheetSortMap </w:t>
      </w:r>
      <w:r>
        <w:t>xmlns="http://schemas.microsoft.com/office/excel/2006/main"&gt;</w:t>
      </w:r>
    </w:p>
    <w:p w:rsidR="000A156F" w:rsidRDefault="00A9721F">
      <w:pPr>
        <w:pStyle w:val="Code"/>
      </w:pPr>
      <w:r>
        <w:t xml:space="preserve">   &lt;rowSortMap ref="A2:XFD5" count="4"&gt;</w:t>
      </w:r>
    </w:p>
    <w:p w:rsidR="000A156F" w:rsidRDefault="00A9721F">
      <w:pPr>
        <w:pStyle w:val="Code"/>
      </w:pPr>
      <w:r>
        <w:t xml:space="preserve">      &lt;row newVal="1" oldVal="4"/&gt;</w:t>
      </w:r>
    </w:p>
    <w:p w:rsidR="000A156F" w:rsidRDefault="00A9721F">
      <w:pPr>
        <w:pStyle w:val="Code"/>
      </w:pPr>
      <w:r>
        <w:t xml:space="preserve">      &lt;row newVal="2" oldVal="3"/&gt;</w:t>
      </w:r>
    </w:p>
    <w:p w:rsidR="000A156F" w:rsidRDefault="00A9721F">
      <w:pPr>
        <w:pStyle w:val="Code"/>
      </w:pPr>
      <w:r>
        <w:t xml:space="preserve">      &lt;row newVal="3" oldVal="2"/&gt;</w:t>
      </w:r>
    </w:p>
    <w:p w:rsidR="000A156F" w:rsidRDefault="00A9721F">
      <w:pPr>
        <w:pStyle w:val="Code"/>
      </w:pPr>
      <w:r>
        <w:t xml:space="preserve">      &lt;row newVal="4" oldVal="1"/&gt;</w:t>
      </w:r>
    </w:p>
    <w:p w:rsidR="000A156F" w:rsidRDefault="00A9721F">
      <w:pPr>
        <w:pStyle w:val="Code"/>
      </w:pPr>
      <w:r>
        <w:t xml:space="preserve">   &lt;/rowSortMap</w:t>
      </w:r>
      <w:r>
        <w:t>&gt;</w:t>
      </w:r>
    </w:p>
    <w:p w:rsidR="000A156F" w:rsidRDefault="00A9721F">
      <w:pPr>
        <w:pStyle w:val="Code"/>
      </w:pPr>
      <w:r>
        <w:t>&lt;/worksheetSortMap&gt;</w:t>
      </w:r>
    </w:p>
    <w:p w:rsidR="000A156F" w:rsidRDefault="00A9721F">
      <w:r>
        <w:t>In the context of this example, the sort map implies that the contents of the second row should be replaced with the contents of the fifth row; contents of the third row should be replaced with the contents of the fourth row; and so o</w:t>
      </w:r>
      <w:r>
        <w:t xml:space="preserve">n. </w:t>
      </w:r>
    </w:p>
    <w:p w:rsidR="000A156F" w:rsidRDefault="00A9721F">
      <w:r>
        <w:t>Now consider the following worksheet:</w:t>
      </w:r>
    </w:p>
    <w:p w:rsidR="000A156F" w:rsidRDefault="00A9721F">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0A156F" w:rsidRDefault="00A9721F">
      <w:r>
        <w:t>This worksheet contains four columns of data. Once the data is sorted left to right in descending order, the worksheet looks as follows:</w:t>
      </w:r>
    </w:p>
    <w:p w:rsidR="000A156F" w:rsidRDefault="00A9721F">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0A156F" w:rsidRDefault="00A9721F">
      <w:r>
        <w:t>When this worksheet is saved, the following sort map should be created an</w:t>
      </w:r>
      <w:r>
        <w:t>d saved to the file:</w:t>
      </w:r>
    </w:p>
    <w:p w:rsidR="000A156F" w:rsidRDefault="00A9721F">
      <w:pPr>
        <w:pStyle w:val="Code"/>
      </w:pPr>
      <w:r>
        <w:t>&lt;worksheetSortMap xmlns="http://schemas.microsoft.com/office/excel/2006/main"&gt;</w:t>
      </w:r>
    </w:p>
    <w:p w:rsidR="000A156F" w:rsidRDefault="00A9721F">
      <w:pPr>
        <w:pStyle w:val="Code"/>
      </w:pPr>
      <w:r>
        <w:t xml:space="preserve">   &lt;colSortMap ref="A1:D1048576" count="4"&gt;</w:t>
      </w:r>
    </w:p>
    <w:p w:rsidR="000A156F" w:rsidRDefault="00A9721F">
      <w:pPr>
        <w:pStyle w:val="Code"/>
      </w:pPr>
      <w:r>
        <w:lastRenderedPageBreak/>
        <w:t xml:space="preserve">      &lt;col newVal="0" oldVal="3"/&gt;</w:t>
      </w:r>
    </w:p>
    <w:p w:rsidR="000A156F" w:rsidRDefault="00A9721F">
      <w:pPr>
        <w:pStyle w:val="Code"/>
      </w:pPr>
      <w:r>
        <w:t xml:space="preserve">      &lt;col newVal="1" oldVal="2"/&gt;</w:t>
      </w:r>
    </w:p>
    <w:p w:rsidR="000A156F" w:rsidRDefault="00A9721F">
      <w:pPr>
        <w:pStyle w:val="Code"/>
      </w:pPr>
      <w:r>
        <w:t xml:space="preserve">      &lt;col newVal="2" oldVal="1"/&gt;</w:t>
      </w:r>
    </w:p>
    <w:p w:rsidR="000A156F" w:rsidRDefault="00A9721F">
      <w:pPr>
        <w:pStyle w:val="Code"/>
      </w:pPr>
      <w:r>
        <w:t xml:space="preserve">      &lt;</w:t>
      </w:r>
      <w:r>
        <w:t>col newVal="3" oldVal="0"/&gt;</w:t>
      </w:r>
    </w:p>
    <w:p w:rsidR="000A156F" w:rsidRDefault="00A9721F">
      <w:pPr>
        <w:pStyle w:val="Code"/>
      </w:pPr>
      <w:r>
        <w:t xml:space="preserve">   &lt;/colSortMap&gt;</w:t>
      </w:r>
    </w:p>
    <w:p w:rsidR="000A156F" w:rsidRDefault="00A9721F">
      <w:pPr>
        <w:pStyle w:val="Code"/>
      </w:pPr>
      <w:r>
        <w:t>&lt;/worksheetSortMap&gt;</w:t>
      </w:r>
    </w:p>
    <w:p w:rsidR="000A156F" w:rsidRDefault="00A9721F">
      <w:r>
        <w:t>In the context of this example, the sort map implies that the contents of the first column should be replaced with the contents of the fourth column; contents of the second column should be r</w:t>
      </w:r>
      <w:r>
        <w:t>eplaced with the contents of the third column; and so on.</w:t>
      </w:r>
    </w:p>
    <w:p w:rsidR="000A156F" w:rsidRDefault="00A9721F">
      <w:r>
        <w:t>End Example]</w:t>
      </w:r>
    </w:p>
    <w:p w:rsidR="000A156F" w:rsidRDefault="00A9721F">
      <w:pPr>
        <w:pStyle w:val="Heading5"/>
      </w:pPr>
      <w:bookmarkStart w:id="3986" w:name="section_c8cc77d990164b81bc5c3afbeb39d0c9"/>
      <w:bookmarkStart w:id="3987" w:name="_Toc181685018"/>
      <w:r>
        <w:t>col (Column)</w:t>
      </w:r>
      <w:bookmarkEnd w:id="3986"/>
      <w:bookmarkEnd w:id="3987"/>
      <w:r>
        <w:fldChar w:fldCharType="begin"/>
      </w:r>
      <w:r>
        <w:instrText xml:space="preserve"> XE "col (Column)" </w:instrText>
      </w:r>
      <w:r>
        <w:fldChar w:fldCharType="end"/>
      </w:r>
    </w:p>
    <w:p w:rsidR="000A156F" w:rsidRDefault="00A9721F">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colSortMap</w:t>
            </w:r>
            <w:r>
              <w:t xml:space="preserve"> (§</w:t>
            </w:r>
            <w:hyperlink w:anchor="Section_73bbbbb0df814eccbc7a3e365fbe5fce">
              <w:r>
                <w:rPr>
                  <w:rStyle w:val="Hyperlink"/>
                </w:rPr>
                <w:t>3.2.2.1.2, colSortMap</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900"/>
        <w:gridCol w:w="75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newVal</w:t>
            </w:r>
            <w:r>
              <w:t xml:space="preserve"> (New Value)</w:t>
            </w:r>
          </w:p>
        </w:tc>
        <w:tc>
          <w:tcPr>
            <w:tcW w:w="0" w:type="auto"/>
            <w:vAlign w:val="center"/>
          </w:tcPr>
          <w:p w:rsidR="000A156F" w:rsidRDefault="00A9721F">
            <w:pPr>
              <w:pStyle w:val="TableBodyText"/>
            </w:pPr>
            <w:r>
              <w:t>Specifies the zero-based index of the column or row that contains data after a sort operation.</w:t>
            </w:r>
          </w:p>
          <w:p w:rsidR="000A156F" w:rsidRDefault="000A156F">
            <w:pPr>
              <w:pStyle w:val="TableBodyText"/>
            </w:pPr>
          </w:p>
          <w:p w:rsidR="000A156F" w:rsidRDefault="00A9721F">
            <w:pPr>
              <w:pStyle w:val="TableBodyText"/>
            </w:pPr>
            <w:r>
              <w:t xml:space="preserve">In the context of a </w:t>
            </w:r>
            <w:r>
              <w:rPr>
                <w:b/>
              </w:rPr>
              <w:t>row</w:t>
            </w:r>
            <w:r>
              <w:t xml:space="preserve"> elemen</w:t>
            </w:r>
            <w:r>
              <w:t xml:space="preserve">t, the value of this attribute shall be less than </w:t>
            </w:r>
            <w:r>
              <w:rPr>
                <w:i/>
              </w:rPr>
              <w:t>1048576</w:t>
            </w:r>
            <w:r>
              <w:t>.</w:t>
            </w:r>
          </w:p>
          <w:p w:rsidR="000A156F" w:rsidRDefault="000A156F">
            <w:pPr>
              <w:pStyle w:val="TableBodyText"/>
            </w:pPr>
          </w:p>
          <w:p w:rsidR="000A156F" w:rsidRDefault="00A9721F">
            <w:pPr>
              <w:pStyle w:val="TableBodyText"/>
            </w:pPr>
            <w:r>
              <w:t xml:space="preserve">In the context of a </w:t>
            </w:r>
            <w:r>
              <w:rPr>
                <w:b/>
              </w:rPr>
              <w:t>col</w:t>
            </w:r>
            <w:r>
              <w:t xml:space="preserve"> element, the value of this attribute shall be less than </w:t>
            </w:r>
            <w:r>
              <w:rPr>
                <w:i/>
              </w:rPr>
              <w:t>16384</w:t>
            </w:r>
            <w:r>
              <w:t>.</w:t>
            </w:r>
          </w:p>
          <w:p w:rsidR="000A156F" w:rsidRDefault="000A156F">
            <w:pPr>
              <w:pStyle w:val="TableBodyText"/>
            </w:pPr>
          </w:p>
          <w:p w:rsidR="000A156F" w:rsidRDefault="00A9721F">
            <w:pPr>
              <w:pStyle w:val="TableBodyText"/>
            </w:pPr>
            <w:r>
              <w:t>The possible values for this attribute are defined by the XML Schema unsignedInt datatype.</w:t>
            </w:r>
          </w:p>
        </w:tc>
      </w:tr>
      <w:tr w:rsidR="000A156F" w:rsidTr="000A156F">
        <w:tc>
          <w:tcPr>
            <w:tcW w:w="0" w:type="auto"/>
            <w:vAlign w:val="center"/>
          </w:tcPr>
          <w:p w:rsidR="000A156F" w:rsidRDefault="00A9721F">
            <w:pPr>
              <w:pStyle w:val="TableBodyText"/>
            </w:pPr>
            <w:r>
              <w:rPr>
                <w:b/>
              </w:rPr>
              <w:t>oldVal</w:t>
            </w:r>
            <w:r>
              <w:t xml:space="preserve"> (Old Value)</w:t>
            </w:r>
          </w:p>
        </w:tc>
        <w:tc>
          <w:tcPr>
            <w:tcW w:w="0" w:type="auto"/>
            <w:vAlign w:val="center"/>
          </w:tcPr>
          <w:p w:rsidR="000A156F" w:rsidRDefault="00A9721F">
            <w:pPr>
              <w:pStyle w:val="TableBodyText"/>
            </w:pPr>
            <w:r>
              <w:t>Specifies the zero-based index of the column or row that contains data before a sort operation.</w:t>
            </w:r>
          </w:p>
          <w:p w:rsidR="000A156F" w:rsidRDefault="000A156F">
            <w:pPr>
              <w:pStyle w:val="TableBodyText"/>
            </w:pPr>
          </w:p>
          <w:p w:rsidR="000A156F" w:rsidRDefault="00A9721F">
            <w:pPr>
              <w:pStyle w:val="TableBodyText"/>
            </w:pPr>
            <w:r>
              <w:t xml:space="preserve">In the context of a </w:t>
            </w:r>
            <w:r>
              <w:rPr>
                <w:b/>
              </w:rPr>
              <w:t>row</w:t>
            </w:r>
            <w:r>
              <w:t xml:space="preserve"> element, the value of this attribute shall be less than </w:t>
            </w:r>
            <w:r>
              <w:rPr>
                <w:i/>
              </w:rPr>
              <w:t>1048576</w:t>
            </w:r>
            <w:r>
              <w:t>.</w:t>
            </w:r>
          </w:p>
          <w:p w:rsidR="000A156F" w:rsidRDefault="000A156F">
            <w:pPr>
              <w:pStyle w:val="TableBodyText"/>
            </w:pPr>
          </w:p>
          <w:p w:rsidR="000A156F" w:rsidRDefault="00A9721F">
            <w:pPr>
              <w:pStyle w:val="TableBodyText"/>
            </w:pPr>
            <w:r>
              <w:t xml:space="preserve">In the context of a </w:t>
            </w:r>
            <w:r>
              <w:rPr>
                <w:b/>
              </w:rPr>
              <w:t>col</w:t>
            </w:r>
            <w:r>
              <w:t xml:space="preserve"> element, the value of this attri</w:t>
            </w:r>
            <w:r>
              <w:t xml:space="preserve">bute shall be less than </w:t>
            </w:r>
            <w:r>
              <w:rPr>
                <w:i/>
              </w:rPr>
              <w:t>16384</w:t>
            </w:r>
            <w:r>
              <w:t>.</w:t>
            </w:r>
          </w:p>
          <w:p w:rsidR="000A156F" w:rsidRDefault="000A156F">
            <w:pPr>
              <w:pStyle w:val="TableBodyText"/>
            </w:pPr>
          </w:p>
          <w:p w:rsidR="000A156F" w:rsidRDefault="00A9721F">
            <w:pPr>
              <w:pStyle w:val="TableBodyText"/>
            </w:pPr>
            <w:r>
              <w:t>The possible values for this attribute are defined by the XML Schema unsignedInt datatype.</w:t>
            </w:r>
          </w:p>
        </w:tc>
      </w:tr>
    </w:tbl>
    <w:p w:rsidR="000A156F" w:rsidRDefault="000A156F"/>
    <w:p w:rsidR="000A156F" w:rsidRDefault="00A9721F">
      <w:r>
        <w:t>The following XML Schema fragment defines the contents of this element:</w:t>
      </w:r>
    </w:p>
    <w:p w:rsidR="000A156F" w:rsidRDefault="00A9721F">
      <w:pPr>
        <w:pStyle w:val="Code"/>
      </w:pPr>
      <w:r>
        <w:t>&lt;complexType name="CT_SortMapItem"&gt;</w:t>
      </w:r>
    </w:p>
    <w:p w:rsidR="000A156F" w:rsidRDefault="00A9721F">
      <w:pPr>
        <w:pStyle w:val="Code"/>
      </w:pPr>
      <w:r>
        <w:t xml:space="preserve">  &lt;attribute name="newV</w:t>
      </w:r>
      <w:r>
        <w:t>al" type="xsd:unsignedInt" use="required"/&gt;</w:t>
      </w:r>
    </w:p>
    <w:p w:rsidR="000A156F" w:rsidRDefault="00A9721F">
      <w:pPr>
        <w:pStyle w:val="Code"/>
      </w:pPr>
      <w:r>
        <w:t xml:space="preserve">  &lt;attribute name="oldVal" type="xsd:unsignedInt" use="required"/&gt;</w:t>
      </w:r>
    </w:p>
    <w:p w:rsidR="000A156F" w:rsidRDefault="00A9721F">
      <w:pPr>
        <w:pStyle w:val="Code"/>
      </w:pPr>
      <w:r>
        <w:t>&lt;/complexType&gt;</w:t>
      </w:r>
    </w:p>
    <w:p w:rsidR="000A156F" w:rsidRDefault="00A9721F">
      <w:pPr>
        <w:pStyle w:val="Heading5"/>
      </w:pPr>
      <w:bookmarkStart w:id="3988" w:name="section_73bbbbb0df814eccbc7a3e365fbe5fce"/>
      <w:bookmarkStart w:id="3989" w:name="_Toc181685019"/>
      <w:r>
        <w:lastRenderedPageBreak/>
        <w:t>colSortMap (Column Sort Map)</w:t>
      </w:r>
      <w:bookmarkEnd w:id="3988"/>
      <w:bookmarkEnd w:id="3989"/>
      <w:r>
        <w:fldChar w:fldCharType="begin"/>
      </w:r>
      <w:r>
        <w:instrText xml:space="preserve"> XE "colSortMap (Column Sort Map)" </w:instrText>
      </w:r>
      <w:r>
        <w:fldChar w:fldCharType="end"/>
      </w:r>
    </w:p>
    <w:p w:rsidR="000A156F" w:rsidRDefault="00A9721F">
      <w:r>
        <w:t xml:space="preserve">This element represents the list of column mappings of the sort </w:t>
      </w:r>
      <w:r>
        <w:t xml:space="preserve">map. </w:t>
      </w:r>
    </w:p>
    <w:tbl>
      <w:tblPr>
        <w:tblStyle w:val="Table-ShadedHeader"/>
        <w:tblW w:w="0" w:type="auto"/>
        <w:tblLook w:val="04A0" w:firstRow="1" w:lastRow="0" w:firstColumn="1" w:lastColumn="0" w:noHBand="0" w:noVBand="1"/>
      </w:tblPr>
      <w:tblGrid>
        <w:gridCol w:w="458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worksheetSortMap</w:t>
            </w:r>
            <w:r>
              <w:t xml:space="preserve"> (§</w:t>
            </w:r>
            <w:hyperlink w:anchor="Section_04defc35b52c443181a649ed63fe943f">
              <w:r>
                <w:rPr>
                  <w:rStyle w:val="Hyperlink"/>
                </w:rPr>
                <w:t>3.2.2.1.5, worksheetSortMap</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564"/>
        <w:gridCol w:w="141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col</w:t>
            </w:r>
            <w:r>
              <w:t xml:space="preserve"> (Column)</w:t>
            </w:r>
          </w:p>
        </w:tc>
        <w:tc>
          <w:tcPr>
            <w:tcW w:w="0" w:type="auto"/>
            <w:vAlign w:val="center"/>
          </w:tcPr>
          <w:p w:rsidR="000A156F" w:rsidRDefault="00A9721F">
            <w:pPr>
              <w:pStyle w:val="TableBodyText"/>
            </w:pPr>
            <w:r>
              <w:t>§</w:t>
            </w:r>
            <w:hyperlink w:anchor="Section_c8cc77d990164b81bc5c3afbeb39d0c9">
              <w:r>
                <w:rPr>
                  <w:rStyle w:val="Hyperlink"/>
                </w:rPr>
                <w:t>3.2.2.1.1, col</w:t>
              </w:r>
            </w:hyperlink>
          </w:p>
        </w:tc>
      </w:tr>
    </w:tbl>
    <w:p w:rsidR="000A156F" w:rsidRDefault="000A156F"/>
    <w:p w:rsidR="000A156F" w:rsidRDefault="000A156F"/>
    <w:tbl>
      <w:tblPr>
        <w:tblStyle w:val="Table-ShadedHeader"/>
        <w:tblW w:w="0" w:type="auto"/>
        <w:tblLook w:val="04A0" w:firstRow="1" w:lastRow="0" w:firstColumn="1" w:lastColumn="0" w:noHBand="0" w:noVBand="1"/>
      </w:tblPr>
      <w:tblGrid>
        <w:gridCol w:w="1417"/>
        <w:gridCol w:w="805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count</w:t>
            </w:r>
            <w:r>
              <w:t xml:space="preserve"> (Count)</w:t>
            </w:r>
          </w:p>
        </w:tc>
        <w:tc>
          <w:tcPr>
            <w:tcW w:w="0" w:type="auto"/>
            <w:vAlign w:val="center"/>
          </w:tcPr>
          <w:p w:rsidR="000A156F" w:rsidRDefault="00A9721F">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0A156F" w:rsidRDefault="000A156F">
            <w:pPr>
              <w:pStyle w:val="TableBodyText"/>
            </w:pPr>
          </w:p>
          <w:p w:rsidR="000A156F" w:rsidRDefault="00A9721F">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0A156F" w:rsidTr="000A156F">
        <w:tc>
          <w:tcPr>
            <w:tcW w:w="0" w:type="auto"/>
            <w:vAlign w:val="center"/>
          </w:tcPr>
          <w:p w:rsidR="000A156F" w:rsidRDefault="00A9721F">
            <w:pPr>
              <w:pStyle w:val="TableBodyText"/>
            </w:pPr>
            <w:r>
              <w:rPr>
                <w:b/>
              </w:rPr>
              <w:t>ref</w:t>
            </w:r>
            <w:r>
              <w:t xml:space="preserve"> (Reference)</w:t>
            </w:r>
          </w:p>
        </w:tc>
        <w:tc>
          <w:tcPr>
            <w:tcW w:w="0" w:type="auto"/>
            <w:vAlign w:val="center"/>
          </w:tcPr>
          <w:p w:rsidR="000A156F" w:rsidRDefault="00A9721F">
            <w:pPr>
              <w:pStyle w:val="TableBodyText"/>
            </w:pPr>
            <w:r>
              <w:t>Specifies the row and column bounds of the sort map.</w:t>
            </w:r>
          </w:p>
          <w:p w:rsidR="000A156F" w:rsidRDefault="000A156F">
            <w:pPr>
              <w:pStyle w:val="TableBodyText"/>
            </w:pPr>
          </w:p>
          <w:p w:rsidR="000A156F" w:rsidRDefault="00A9721F">
            <w:pPr>
              <w:pStyle w:val="TableBodyText"/>
            </w:pPr>
            <w:r>
              <w:t>The possible values for this attribute are defined by the ST_Ref simple type ("</w:t>
            </w:r>
            <w:hyperlink r:id="rId333">
              <w:r>
                <w:rPr>
                  <w:rStyle w:val="Hyperlink"/>
                </w:rPr>
                <w:t>[ISO/IEC-29500-1]</w:t>
              </w:r>
            </w:hyperlink>
            <w:r>
              <w:t xml:space="preserve"> §18.18.62").</w:t>
            </w:r>
          </w:p>
        </w:tc>
      </w:tr>
    </w:tbl>
    <w:p w:rsidR="000A156F" w:rsidRDefault="000A156F"/>
    <w:p w:rsidR="000A156F" w:rsidRDefault="00A9721F">
      <w:r>
        <w:t>The following XML Schema fragment defines the contents of this element:</w:t>
      </w:r>
    </w:p>
    <w:p w:rsidR="000A156F" w:rsidRDefault="00A9721F">
      <w:pPr>
        <w:pStyle w:val="Code"/>
      </w:pPr>
      <w:r>
        <w:t>&lt;complexType name="CT_ColSortMap"&gt;</w:t>
      </w:r>
    </w:p>
    <w:p w:rsidR="000A156F" w:rsidRDefault="00A9721F">
      <w:pPr>
        <w:pStyle w:val="Code"/>
      </w:pPr>
      <w:r>
        <w:t xml:space="preserve">  &lt;sequence&gt;</w:t>
      </w:r>
    </w:p>
    <w:p w:rsidR="000A156F" w:rsidRDefault="00A9721F">
      <w:pPr>
        <w:pStyle w:val="Code"/>
      </w:pPr>
      <w:r>
        <w:t xml:space="preserve">    &lt;</w:t>
      </w:r>
      <w:r>
        <w:t>element name="col" type="CT_SortMapItem" minOccurs="1" maxOccurs="536870910"/&gt;</w:t>
      </w:r>
    </w:p>
    <w:p w:rsidR="000A156F" w:rsidRDefault="00A9721F">
      <w:pPr>
        <w:pStyle w:val="Code"/>
      </w:pPr>
      <w:r>
        <w:t xml:space="preserve">  &lt;/sequence&gt;</w:t>
      </w:r>
    </w:p>
    <w:p w:rsidR="000A156F" w:rsidRDefault="00A9721F">
      <w:pPr>
        <w:pStyle w:val="Code"/>
      </w:pPr>
      <w:r>
        <w:t xml:space="preserve">  &lt;attribute name="ref" type="x:ST_Ref" use="required"/&gt;</w:t>
      </w:r>
    </w:p>
    <w:p w:rsidR="000A156F" w:rsidRDefault="00A9721F">
      <w:pPr>
        <w:pStyle w:val="Code"/>
      </w:pPr>
      <w:r>
        <w:t xml:space="preserve">  &lt;attribute name="count" type="ST_SortMapCount" use="optional" default="20"/&gt;</w:t>
      </w:r>
    </w:p>
    <w:p w:rsidR="000A156F" w:rsidRDefault="00A9721F">
      <w:pPr>
        <w:pStyle w:val="Code"/>
      </w:pPr>
      <w:r>
        <w:t>&lt;/complexType&gt;</w:t>
      </w:r>
    </w:p>
    <w:p w:rsidR="000A156F" w:rsidRDefault="00A9721F">
      <w:pPr>
        <w:pStyle w:val="Heading5"/>
      </w:pPr>
      <w:bookmarkStart w:id="3990" w:name="section_4af995e554c94df0af2f9eeb39d61f58"/>
      <w:bookmarkStart w:id="3991" w:name="_Toc181685020"/>
      <w:r>
        <w:t>row (Row)</w:t>
      </w:r>
      <w:bookmarkEnd w:id="3990"/>
      <w:bookmarkEnd w:id="3991"/>
      <w:r>
        <w:fldChar w:fldCharType="begin"/>
      </w:r>
      <w:r>
        <w:instrText xml:space="preserve"> XE</w:instrText>
      </w:r>
      <w:r>
        <w:instrText xml:space="preserve"> "row (Row)" </w:instrText>
      </w:r>
      <w:r>
        <w:fldChar w:fldCharType="end"/>
      </w:r>
    </w:p>
    <w:p w:rsidR="000A156F" w:rsidRDefault="00A9721F">
      <w:r>
        <w:t>This element represents a single row mapping in the sort map.</w:t>
      </w:r>
    </w:p>
    <w:tbl>
      <w:tblPr>
        <w:tblStyle w:val="Table-ShadedHeader"/>
        <w:tblW w:w="0" w:type="auto"/>
        <w:tblLook w:val="04A0" w:firstRow="1" w:lastRow="0" w:firstColumn="1" w:lastColumn="0" w:noHBand="0" w:noVBand="1"/>
      </w:tblPr>
      <w:tblGrid>
        <w:gridCol w:w="344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rowSortMap</w:t>
            </w:r>
            <w:r>
              <w:t xml:space="preserve"> (§</w:t>
            </w:r>
            <w:hyperlink w:anchor="Section_72e63f852b6b4fa1ad68fe0187826156">
              <w:r>
                <w:rPr>
                  <w:rStyle w:val="Hyperlink"/>
                </w:rPr>
                <w:t>3.2.2.1.4, rowSortMap</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900"/>
        <w:gridCol w:w="75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newVal</w:t>
            </w:r>
            <w:r>
              <w:t xml:space="preserve"> (New Value)</w:t>
            </w:r>
          </w:p>
        </w:tc>
        <w:tc>
          <w:tcPr>
            <w:tcW w:w="0" w:type="auto"/>
            <w:vAlign w:val="center"/>
          </w:tcPr>
          <w:p w:rsidR="000A156F" w:rsidRDefault="00A9721F">
            <w:pPr>
              <w:pStyle w:val="TableBodyText"/>
            </w:pPr>
            <w:r>
              <w:t xml:space="preserve">Specifies the </w:t>
            </w:r>
            <w:r>
              <w:t>zero-based index of the column or row that contains data after a sort operation.</w:t>
            </w:r>
          </w:p>
          <w:p w:rsidR="000A156F" w:rsidRDefault="000A156F">
            <w:pPr>
              <w:pStyle w:val="TableBodyText"/>
            </w:pPr>
          </w:p>
          <w:p w:rsidR="000A156F" w:rsidRDefault="00A9721F">
            <w:pPr>
              <w:pStyle w:val="TableBodyText"/>
            </w:pPr>
            <w:r>
              <w:t xml:space="preserve">In the context of a </w:t>
            </w:r>
            <w:r>
              <w:rPr>
                <w:b/>
              </w:rPr>
              <w:t>row</w:t>
            </w:r>
            <w:r>
              <w:t xml:space="preserve"> element, the value of this attribute shall be less than </w:t>
            </w:r>
            <w:r>
              <w:rPr>
                <w:i/>
              </w:rPr>
              <w:t>1048576</w:t>
            </w:r>
            <w:r>
              <w:t>.</w:t>
            </w:r>
          </w:p>
          <w:p w:rsidR="000A156F" w:rsidRDefault="000A156F">
            <w:pPr>
              <w:pStyle w:val="TableBodyText"/>
            </w:pPr>
          </w:p>
          <w:p w:rsidR="000A156F" w:rsidRDefault="00A9721F">
            <w:pPr>
              <w:pStyle w:val="TableBodyText"/>
            </w:pPr>
            <w:r>
              <w:t xml:space="preserve">In the context of a </w:t>
            </w:r>
            <w:r>
              <w:rPr>
                <w:b/>
              </w:rPr>
              <w:t>col</w:t>
            </w:r>
            <w:r>
              <w:t xml:space="preserve"> element, the value of this attribute shall be less than </w:t>
            </w:r>
            <w:r>
              <w:rPr>
                <w:i/>
              </w:rPr>
              <w:t>1638</w:t>
            </w:r>
            <w:r>
              <w:rPr>
                <w:i/>
              </w:rPr>
              <w:t>4</w:t>
            </w:r>
            <w:r>
              <w:t>.</w:t>
            </w:r>
          </w:p>
          <w:p w:rsidR="000A156F" w:rsidRDefault="000A156F">
            <w:pPr>
              <w:pStyle w:val="TableBodyText"/>
            </w:pPr>
          </w:p>
          <w:p w:rsidR="000A156F" w:rsidRDefault="00A9721F">
            <w:pPr>
              <w:pStyle w:val="TableBodyText"/>
            </w:pPr>
            <w:r>
              <w:t>The possible values for this attribute are defined by the XML Schema unsignedInt datatype.</w:t>
            </w:r>
          </w:p>
        </w:tc>
      </w:tr>
      <w:tr w:rsidR="000A156F" w:rsidTr="000A156F">
        <w:tc>
          <w:tcPr>
            <w:tcW w:w="0" w:type="auto"/>
            <w:vAlign w:val="center"/>
          </w:tcPr>
          <w:p w:rsidR="000A156F" w:rsidRDefault="00A9721F">
            <w:pPr>
              <w:pStyle w:val="TableBodyText"/>
            </w:pPr>
            <w:r>
              <w:rPr>
                <w:b/>
              </w:rPr>
              <w:t>oldVal</w:t>
            </w:r>
            <w:r>
              <w:t xml:space="preserve"> (Old Value)</w:t>
            </w:r>
          </w:p>
        </w:tc>
        <w:tc>
          <w:tcPr>
            <w:tcW w:w="0" w:type="auto"/>
            <w:vAlign w:val="center"/>
          </w:tcPr>
          <w:p w:rsidR="000A156F" w:rsidRDefault="00A9721F">
            <w:pPr>
              <w:pStyle w:val="TableBodyText"/>
            </w:pPr>
            <w:r>
              <w:t>Specifies the zero-based index of the column or row that contains data before a sort operation.</w:t>
            </w:r>
          </w:p>
          <w:p w:rsidR="000A156F" w:rsidRDefault="000A156F">
            <w:pPr>
              <w:pStyle w:val="TableBodyText"/>
            </w:pPr>
          </w:p>
          <w:p w:rsidR="000A156F" w:rsidRDefault="00A9721F">
            <w:pPr>
              <w:pStyle w:val="TableBodyText"/>
            </w:pPr>
            <w:r>
              <w:t xml:space="preserve">In the context of a </w:t>
            </w:r>
            <w:r>
              <w:rPr>
                <w:b/>
              </w:rPr>
              <w:t>row</w:t>
            </w:r>
            <w:r>
              <w:t xml:space="preserve"> element, the value o</w:t>
            </w:r>
            <w:r>
              <w:t xml:space="preserve">f this attribute shall be less than </w:t>
            </w:r>
            <w:r>
              <w:rPr>
                <w:i/>
              </w:rPr>
              <w:t>1048576</w:t>
            </w:r>
            <w:r>
              <w:t>.</w:t>
            </w:r>
          </w:p>
          <w:p w:rsidR="000A156F" w:rsidRDefault="000A156F">
            <w:pPr>
              <w:pStyle w:val="TableBodyText"/>
            </w:pPr>
          </w:p>
          <w:p w:rsidR="000A156F" w:rsidRDefault="00A9721F">
            <w:pPr>
              <w:pStyle w:val="TableBodyText"/>
            </w:pPr>
            <w:r>
              <w:t xml:space="preserve">In the context of a </w:t>
            </w:r>
            <w:r>
              <w:rPr>
                <w:b/>
              </w:rPr>
              <w:t>col</w:t>
            </w:r>
            <w:r>
              <w:t xml:space="preserve"> element, the value of this attribute shall be less than </w:t>
            </w:r>
            <w:r>
              <w:rPr>
                <w:i/>
              </w:rPr>
              <w:t>16384</w:t>
            </w:r>
            <w:r>
              <w:t>.</w:t>
            </w:r>
          </w:p>
          <w:p w:rsidR="000A156F" w:rsidRDefault="000A156F">
            <w:pPr>
              <w:pStyle w:val="TableBodyText"/>
            </w:pPr>
          </w:p>
          <w:p w:rsidR="000A156F" w:rsidRDefault="00A9721F">
            <w:pPr>
              <w:pStyle w:val="TableBodyText"/>
            </w:pPr>
            <w:r>
              <w:t>The possible values for this attribute are defined by the XML Schema unsignedInt datatype.</w:t>
            </w:r>
          </w:p>
        </w:tc>
      </w:tr>
    </w:tbl>
    <w:p w:rsidR="000A156F" w:rsidRDefault="000A156F"/>
    <w:p w:rsidR="000A156F" w:rsidRDefault="00A9721F">
      <w:r>
        <w:t xml:space="preserve">The following XML Schema </w:t>
      </w:r>
      <w:r>
        <w:t>fragment defines the contents of this element:</w:t>
      </w:r>
    </w:p>
    <w:p w:rsidR="000A156F" w:rsidRDefault="00A9721F">
      <w:pPr>
        <w:pStyle w:val="Code"/>
      </w:pPr>
      <w:r>
        <w:t>&lt;complexType name="CT_SortMapItem"&gt;</w:t>
      </w:r>
    </w:p>
    <w:p w:rsidR="000A156F" w:rsidRDefault="00A9721F">
      <w:pPr>
        <w:pStyle w:val="Code"/>
      </w:pPr>
      <w:r>
        <w:t xml:space="preserve">  &lt;attribute name="newVal" type="xsd:unsignedInt" use="required"/&gt;</w:t>
      </w:r>
    </w:p>
    <w:p w:rsidR="000A156F" w:rsidRDefault="00A9721F">
      <w:pPr>
        <w:pStyle w:val="Code"/>
      </w:pPr>
      <w:r>
        <w:t xml:space="preserve">  &lt;attribute name="oldVal" type="xsd:unsignedInt" use="required"/&gt;</w:t>
      </w:r>
    </w:p>
    <w:p w:rsidR="000A156F" w:rsidRDefault="00A9721F">
      <w:pPr>
        <w:pStyle w:val="Code"/>
      </w:pPr>
      <w:r>
        <w:t>&lt;/complexType&gt;</w:t>
      </w:r>
    </w:p>
    <w:p w:rsidR="000A156F" w:rsidRDefault="00A9721F">
      <w:pPr>
        <w:pStyle w:val="Heading5"/>
      </w:pPr>
      <w:bookmarkStart w:id="3992" w:name="section_72e63f852b6b4fa1ad68fe0187826156"/>
      <w:bookmarkStart w:id="3993" w:name="_Toc181685021"/>
      <w:r>
        <w:t>rowSortMap (Row Sort Map</w:t>
      </w:r>
      <w:r>
        <w:t>)</w:t>
      </w:r>
      <w:bookmarkEnd w:id="3992"/>
      <w:bookmarkEnd w:id="3993"/>
      <w:r>
        <w:fldChar w:fldCharType="begin"/>
      </w:r>
      <w:r>
        <w:instrText xml:space="preserve"> XE "rowSortMap (Row Sort Map)" </w:instrText>
      </w:r>
      <w:r>
        <w:fldChar w:fldCharType="end"/>
      </w:r>
    </w:p>
    <w:p w:rsidR="000A156F" w:rsidRDefault="00A9721F">
      <w:r>
        <w:t>This element represents a list of row mappings of the sort map.</w:t>
      </w:r>
    </w:p>
    <w:tbl>
      <w:tblPr>
        <w:tblStyle w:val="Table-ShadedHeader"/>
        <w:tblW w:w="0" w:type="auto"/>
        <w:tblLook w:val="04A0" w:firstRow="1" w:lastRow="0" w:firstColumn="1" w:lastColumn="0" w:noHBand="0" w:noVBand="1"/>
      </w:tblPr>
      <w:tblGrid>
        <w:gridCol w:w="458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worksheetSortMap</w:t>
            </w:r>
            <w:r>
              <w:t xml:space="preserve"> (§</w:t>
            </w:r>
            <w:hyperlink w:anchor="Section_04defc35b52c443181a649ed63fe943f">
              <w:r>
                <w:rPr>
                  <w:rStyle w:val="Hyperlink"/>
                </w:rPr>
                <w:t>3.2.2.1.5, worksheetSortMap</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1564"/>
        <w:gridCol w:w="148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row</w:t>
            </w:r>
            <w:r>
              <w:t xml:space="preserve"> (Row)</w:t>
            </w:r>
          </w:p>
        </w:tc>
        <w:tc>
          <w:tcPr>
            <w:tcW w:w="0" w:type="auto"/>
            <w:vAlign w:val="center"/>
          </w:tcPr>
          <w:p w:rsidR="000A156F" w:rsidRDefault="00A9721F">
            <w:pPr>
              <w:pStyle w:val="TableBodyText"/>
            </w:pPr>
            <w:r>
              <w:t>§</w:t>
            </w:r>
            <w:hyperlink w:anchor="Section_4af995e554c94df0af2f9eeb39d61f58">
              <w:r>
                <w:rPr>
                  <w:rStyle w:val="Hyperlink"/>
                </w:rPr>
                <w:t>3.2.2.1.3, row</w:t>
              </w:r>
            </w:hyperlink>
          </w:p>
        </w:tc>
      </w:tr>
    </w:tbl>
    <w:p w:rsidR="000A156F" w:rsidRDefault="000A156F"/>
    <w:p w:rsidR="000A156F" w:rsidRDefault="000A156F"/>
    <w:tbl>
      <w:tblPr>
        <w:tblStyle w:val="Table-ShadedHeader"/>
        <w:tblW w:w="0" w:type="auto"/>
        <w:tblLook w:val="04A0" w:firstRow="1" w:lastRow="0" w:firstColumn="1" w:lastColumn="0" w:noHBand="0" w:noVBand="1"/>
      </w:tblPr>
      <w:tblGrid>
        <w:gridCol w:w="1417"/>
        <w:gridCol w:w="805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count</w:t>
            </w:r>
            <w:r>
              <w:t xml:space="preserve"> (Count)</w:t>
            </w:r>
          </w:p>
        </w:tc>
        <w:tc>
          <w:tcPr>
            <w:tcW w:w="0" w:type="auto"/>
            <w:vAlign w:val="center"/>
          </w:tcPr>
          <w:p w:rsidR="000A156F" w:rsidRDefault="00A9721F">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0A156F" w:rsidRDefault="000A156F">
            <w:pPr>
              <w:pStyle w:val="TableBodyText"/>
            </w:pPr>
          </w:p>
          <w:p w:rsidR="000A156F" w:rsidRDefault="00A9721F">
            <w:pPr>
              <w:pStyle w:val="TableBodyText"/>
            </w:pPr>
            <w:r>
              <w:t>The possible value</w:t>
            </w:r>
            <w:r>
              <w:t>s for this attribute are defined by the ST_SortMapCount simple type (§</w:t>
            </w:r>
            <w:hyperlink w:anchor="Section_7ed66a4ca69b4613b5fc70a7cd17e3ca">
              <w:r>
                <w:rPr>
                  <w:rStyle w:val="Hyperlink"/>
                </w:rPr>
                <w:t>3.2.2.2.1, ST_SortMapCount</w:t>
              </w:r>
            </w:hyperlink>
            <w:r>
              <w:t>).</w:t>
            </w:r>
          </w:p>
        </w:tc>
      </w:tr>
      <w:tr w:rsidR="000A156F" w:rsidTr="000A156F">
        <w:tc>
          <w:tcPr>
            <w:tcW w:w="0" w:type="auto"/>
            <w:vAlign w:val="center"/>
          </w:tcPr>
          <w:p w:rsidR="000A156F" w:rsidRDefault="00A9721F">
            <w:pPr>
              <w:pStyle w:val="TableBodyText"/>
            </w:pPr>
            <w:r>
              <w:rPr>
                <w:b/>
              </w:rPr>
              <w:lastRenderedPageBreak/>
              <w:t>ref</w:t>
            </w:r>
            <w:r>
              <w:t xml:space="preserve"> (Reference)</w:t>
            </w:r>
          </w:p>
        </w:tc>
        <w:tc>
          <w:tcPr>
            <w:tcW w:w="0" w:type="auto"/>
            <w:vAlign w:val="center"/>
          </w:tcPr>
          <w:p w:rsidR="000A156F" w:rsidRDefault="00A9721F">
            <w:pPr>
              <w:pStyle w:val="TableBodyText"/>
            </w:pPr>
            <w:r>
              <w:t>Specifies the row and column bounds of the sort map.</w:t>
            </w:r>
          </w:p>
          <w:p w:rsidR="000A156F" w:rsidRDefault="000A156F">
            <w:pPr>
              <w:pStyle w:val="TableBodyText"/>
            </w:pPr>
          </w:p>
          <w:p w:rsidR="000A156F" w:rsidRDefault="00A9721F">
            <w:pPr>
              <w:pStyle w:val="TableBodyText"/>
            </w:pPr>
            <w:r>
              <w:t>The possible values for</w:t>
            </w:r>
            <w:r>
              <w:t xml:space="preserve"> this attribute are defined by the ST_Ref simple type ("</w:t>
            </w:r>
            <w:hyperlink r:id="rId334">
              <w:r>
                <w:rPr>
                  <w:rStyle w:val="Hyperlink"/>
                </w:rPr>
                <w:t>[ISO/IEC-29500-1]</w:t>
              </w:r>
            </w:hyperlink>
            <w:r>
              <w:t xml:space="preserve"> §18.18.62").</w:t>
            </w:r>
          </w:p>
        </w:tc>
      </w:tr>
    </w:tbl>
    <w:p w:rsidR="000A156F" w:rsidRDefault="000A156F"/>
    <w:p w:rsidR="000A156F" w:rsidRDefault="00A9721F">
      <w:r>
        <w:t>The following XML Schema fragment defines the contents of this element:</w:t>
      </w:r>
    </w:p>
    <w:p w:rsidR="000A156F" w:rsidRDefault="00A9721F">
      <w:pPr>
        <w:pStyle w:val="Code"/>
      </w:pPr>
      <w:r>
        <w:t xml:space="preserve">&lt;complexType </w:t>
      </w:r>
      <w:r>
        <w:t>name="CT_RowSortMap"&gt;</w:t>
      </w:r>
    </w:p>
    <w:p w:rsidR="000A156F" w:rsidRDefault="00A9721F">
      <w:pPr>
        <w:pStyle w:val="Code"/>
      </w:pPr>
      <w:r>
        <w:t xml:space="preserve">  &lt;sequence&gt;</w:t>
      </w:r>
    </w:p>
    <w:p w:rsidR="000A156F" w:rsidRDefault="00A9721F">
      <w:pPr>
        <w:pStyle w:val="Code"/>
      </w:pPr>
      <w:r>
        <w:t xml:space="preserve">    &lt;element name="row" type="CT_SortMapItem" minOccurs="1" maxOccurs="536870910"/&gt;</w:t>
      </w:r>
    </w:p>
    <w:p w:rsidR="000A156F" w:rsidRDefault="00A9721F">
      <w:pPr>
        <w:pStyle w:val="Code"/>
      </w:pPr>
      <w:r>
        <w:t xml:space="preserve">  &lt;/sequence&gt;</w:t>
      </w:r>
    </w:p>
    <w:p w:rsidR="000A156F" w:rsidRDefault="00A9721F">
      <w:pPr>
        <w:pStyle w:val="Code"/>
      </w:pPr>
      <w:r>
        <w:t xml:space="preserve">  &lt;attribute name="ref" type="x:ST_Ref" use="required"/&gt;</w:t>
      </w:r>
    </w:p>
    <w:p w:rsidR="000A156F" w:rsidRDefault="00A9721F">
      <w:pPr>
        <w:pStyle w:val="Code"/>
      </w:pPr>
      <w:r>
        <w:t xml:space="preserve">  &lt;attribute name="count" type="ST_SortMapCount" use="optional" de</w:t>
      </w:r>
      <w:r>
        <w:t>fault="20"/&gt;</w:t>
      </w:r>
    </w:p>
    <w:p w:rsidR="000A156F" w:rsidRDefault="00A9721F">
      <w:pPr>
        <w:pStyle w:val="Code"/>
      </w:pPr>
      <w:r>
        <w:t>&lt;/complexType&gt;</w:t>
      </w:r>
    </w:p>
    <w:p w:rsidR="000A156F" w:rsidRDefault="00A9721F">
      <w:pPr>
        <w:pStyle w:val="Heading5"/>
      </w:pPr>
      <w:bookmarkStart w:id="3994" w:name="section_04defc35b52c443181a649ed63fe943f"/>
      <w:bookmarkStart w:id="3995" w:name="_Toc181685022"/>
      <w:r>
        <w:t>worksheetSortMap (Worksheet Sort Map)</w:t>
      </w:r>
      <w:bookmarkEnd w:id="3994"/>
      <w:bookmarkEnd w:id="3995"/>
      <w:r>
        <w:fldChar w:fldCharType="begin"/>
      </w:r>
      <w:r>
        <w:instrText xml:space="preserve"> XE "worksheetSortMap (Worksheet Sort Map)" </w:instrText>
      </w:r>
      <w:r>
        <w:fldChar w:fldCharType="end"/>
      </w:r>
    </w:p>
    <w:p w:rsidR="000A156F" w:rsidRDefault="00A9721F">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colSortMap</w:t>
            </w:r>
            <w:r>
              <w:t xml:space="preserve"> (Column Sort Map)</w:t>
            </w:r>
          </w:p>
        </w:tc>
        <w:tc>
          <w:tcPr>
            <w:tcW w:w="0" w:type="auto"/>
            <w:vAlign w:val="center"/>
          </w:tcPr>
          <w:p w:rsidR="000A156F" w:rsidRDefault="00A9721F">
            <w:pPr>
              <w:pStyle w:val="TableBodyText"/>
            </w:pPr>
            <w:r>
              <w:t>§</w:t>
            </w:r>
            <w:hyperlink w:anchor="Section_73bbbbb0df814eccbc7a3e365fbe5fce">
              <w:r>
                <w:rPr>
                  <w:rStyle w:val="Hyperlink"/>
                </w:rPr>
                <w:t>3.2.2.1.2, colSortMap</w:t>
              </w:r>
            </w:hyperlink>
          </w:p>
        </w:tc>
      </w:tr>
      <w:tr w:rsidR="000A156F" w:rsidTr="000A156F">
        <w:tc>
          <w:tcPr>
            <w:tcW w:w="0" w:type="auto"/>
            <w:vAlign w:val="center"/>
          </w:tcPr>
          <w:p w:rsidR="000A156F" w:rsidRDefault="00A9721F">
            <w:pPr>
              <w:pStyle w:val="TableBodyText"/>
            </w:pPr>
            <w:r>
              <w:rPr>
                <w:b/>
              </w:rPr>
              <w:t>rowSortMap</w:t>
            </w:r>
            <w:r>
              <w:t xml:space="preserve"> (Row Sort Map)</w:t>
            </w:r>
          </w:p>
        </w:tc>
        <w:tc>
          <w:tcPr>
            <w:tcW w:w="0" w:type="auto"/>
            <w:vAlign w:val="center"/>
          </w:tcPr>
          <w:p w:rsidR="000A156F" w:rsidRDefault="00A9721F">
            <w:pPr>
              <w:pStyle w:val="TableBodyText"/>
            </w:pPr>
            <w:r>
              <w:t>§</w:t>
            </w:r>
            <w:hyperlink w:anchor="Section_72e63f852b6b4fa1ad68fe0187826156">
              <w:r>
                <w:rPr>
                  <w:rStyle w:val="Hyperlink"/>
                </w:rPr>
                <w:t>3.2.2.1.4, rowSortMap</w:t>
              </w:r>
            </w:hyperlink>
          </w:p>
        </w:tc>
      </w:tr>
    </w:tbl>
    <w:p w:rsidR="000A156F" w:rsidRDefault="000A156F"/>
    <w:p w:rsidR="000A156F" w:rsidRDefault="00A9721F">
      <w:r>
        <w:t xml:space="preserve">The following XML Schema fragment defines the contents of </w:t>
      </w:r>
      <w:r>
        <w:t>this element:</w:t>
      </w:r>
    </w:p>
    <w:p w:rsidR="000A156F" w:rsidRDefault="00A9721F">
      <w:pPr>
        <w:pStyle w:val="Code"/>
      </w:pPr>
      <w:r>
        <w:t>&lt;complexType name="CT_WorksheetSortMap"&gt;</w:t>
      </w:r>
    </w:p>
    <w:p w:rsidR="000A156F" w:rsidRDefault="00A9721F">
      <w:pPr>
        <w:pStyle w:val="Code"/>
      </w:pPr>
      <w:r>
        <w:t xml:space="preserve">  &lt;sequence&gt;</w:t>
      </w:r>
    </w:p>
    <w:p w:rsidR="000A156F" w:rsidRDefault="00A9721F">
      <w:pPr>
        <w:pStyle w:val="Code"/>
      </w:pPr>
      <w:r>
        <w:t xml:space="preserve">    &lt;element name="rowSortMap" type="CT_RowSortMap" minOccurs="0" maxOccurs="1"/&gt;</w:t>
      </w:r>
    </w:p>
    <w:p w:rsidR="000A156F" w:rsidRDefault="00A9721F">
      <w:pPr>
        <w:pStyle w:val="Code"/>
      </w:pPr>
      <w:r>
        <w:t xml:space="preserve">    &lt;element name="colSortMap" type="CT_ColSortMap" minOccurs="0" maxOccurs="1"/&gt;</w:t>
      </w:r>
    </w:p>
    <w:p w:rsidR="000A156F" w:rsidRDefault="00A9721F">
      <w:pPr>
        <w:pStyle w:val="Code"/>
      </w:pPr>
      <w:r>
        <w:t xml:space="preserve">  &lt;/sequence&gt;</w:t>
      </w:r>
    </w:p>
    <w:p w:rsidR="000A156F" w:rsidRDefault="00A9721F">
      <w:pPr>
        <w:pStyle w:val="Code"/>
      </w:pPr>
      <w:r>
        <w:t>&lt;/complexT</w:t>
      </w:r>
      <w:r>
        <w:t>ype&gt;</w:t>
      </w:r>
    </w:p>
    <w:p w:rsidR="000A156F" w:rsidRDefault="00A9721F">
      <w:pPr>
        <w:pStyle w:val="Heading4"/>
      </w:pPr>
      <w:bookmarkStart w:id="3996" w:name="section_da76a61047af4705a9fd865189332ca7"/>
      <w:bookmarkStart w:id="3997" w:name="_Toc181685023"/>
      <w:r>
        <w:t>Simple Types</w:t>
      </w:r>
      <w:bookmarkEnd w:id="3996"/>
      <w:bookmarkEnd w:id="3997"/>
      <w:r>
        <w:fldChar w:fldCharType="begin"/>
      </w:r>
      <w:r>
        <w:instrText xml:space="preserve"> XE "Simple Types" </w:instrText>
      </w:r>
      <w:r>
        <w:fldChar w:fldCharType="end"/>
      </w:r>
    </w:p>
    <w:p w:rsidR="000A156F" w:rsidRDefault="00A9721F">
      <w:r>
        <w:t>This is the complete list of simple types in the http://schemas.microsoft.com/office/excel/2006/main namespace.</w:t>
      </w:r>
    </w:p>
    <w:p w:rsidR="000A156F" w:rsidRDefault="00A9721F">
      <w:pPr>
        <w:pStyle w:val="Heading5"/>
      </w:pPr>
      <w:bookmarkStart w:id="3998" w:name="section_7ed66a4ca69b4613b5fc70a7cd17e3ca"/>
      <w:bookmarkStart w:id="3999" w:name="_Toc181685024"/>
      <w:r>
        <w:t>ST_SortMapCount (Sort Map Count)</w:t>
      </w:r>
      <w:bookmarkEnd w:id="3998"/>
      <w:bookmarkEnd w:id="3999"/>
      <w:r>
        <w:fldChar w:fldCharType="begin"/>
      </w:r>
      <w:r>
        <w:instrText xml:space="preserve"> XE "ST_SortMapCount (Sort Map Count)" </w:instrText>
      </w:r>
      <w:r>
        <w:fldChar w:fldCharType="end"/>
      </w:r>
    </w:p>
    <w:p w:rsidR="000A156F" w:rsidRDefault="00A9721F">
      <w:r>
        <w:t>This simple type represents the</w:t>
      </w:r>
      <w:r>
        <w:t xml:space="preserve"> count of row or column sort map entries.</w:t>
      </w:r>
    </w:p>
    <w:p w:rsidR="000A156F" w:rsidRDefault="00A9721F">
      <w:r>
        <w:t>This simple type's contents are a restriction of the XML Schema unsignedInt datatype.</w:t>
      </w:r>
    </w:p>
    <w:p w:rsidR="000A156F" w:rsidRDefault="00A9721F">
      <w:r>
        <w:t>This simple type also specifies the following restrictions:</w:t>
      </w:r>
    </w:p>
    <w:p w:rsidR="000A156F" w:rsidRDefault="00A9721F">
      <w:pPr>
        <w:pStyle w:val="ListParagraph"/>
        <w:numPr>
          <w:ilvl w:val="0"/>
          <w:numId w:val="207"/>
        </w:numPr>
      </w:pPr>
      <w:r>
        <w:lastRenderedPageBreak/>
        <w:t>This simple type has a maximum value of less than or equal to 536870</w:t>
      </w:r>
      <w:r>
        <w:t>910.</w:t>
      </w:r>
    </w:p>
    <w:tbl>
      <w:tblPr>
        <w:tblStyle w:val="Table-ShadedHeader"/>
        <w:tblW w:w="0" w:type="auto"/>
        <w:tblLook w:val="04A0" w:firstRow="1" w:lastRow="0" w:firstColumn="1" w:lastColumn="0" w:noHBand="0" w:noVBand="1"/>
      </w:tblPr>
      <w:tblGrid>
        <w:gridCol w:w="795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0A156F" w:rsidRDefault="000A156F"/>
    <w:p w:rsidR="000A156F" w:rsidRDefault="00A9721F">
      <w:r>
        <w:t xml:space="preserve">The following XML </w:t>
      </w:r>
      <w:r>
        <w:t>Schema fragment defines the contents of this simple type:</w:t>
      </w:r>
    </w:p>
    <w:p w:rsidR="000A156F" w:rsidRDefault="00A9721F">
      <w:pPr>
        <w:pStyle w:val="Code"/>
      </w:pPr>
      <w:r>
        <w:t>&lt;simpleType name="ST_SortMapCount"&gt;</w:t>
      </w:r>
    </w:p>
    <w:p w:rsidR="000A156F" w:rsidRDefault="00A9721F">
      <w:pPr>
        <w:pStyle w:val="Code"/>
      </w:pPr>
      <w:r>
        <w:t xml:space="preserve">  &lt;restriction base="xsd:unsignedInt"&gt;</w:t>
      </w:r>
    </w:p>
    <w:p w:rsidR="000A156F" w:rsidRDefault="00A9721F">
      <w:pPr>
        <w:pStyle w:val="Code"/>
      </w:pPr>
      <w:r>
        <w:t xml:space="preserve">    &lt;maxInclusive value="536870910"/&gt;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3"/>
      </w:pPr>
      <w:bookmarkStart w:id="4000" w:name="section_96a4842c5e4940e1b9ac0c524e8b68e0"/>
      <w:bookmarkStart w:id="4001" w:name="_Toc181685025"/>
      <w:r>
        <w:t>Additional SpreadsheetML Schema</w:t>
      </w:r>
      <w:bookmarkEnd w:id="4000"/>
      <w:bookmarkEnd w:id="4001"/>
      <w:r>
        <w:fldChar w:fldCharType="begin"/>
      </w:r>
      <w:r>
        <w:instrText xml:space="preserve"> XE "Additional Spreads</w:instrText>
      </w:r>
      <w:r>
        <w:instrText xml:space="preserve">heetML Schema" </w:instrText>
      </w:r>
      <w:r>
        <w:fldChar w:fldCharType="end"/>
      </w:r>
    </w:p>
    <w:p w:rsidR="000A156F" w:rsidRDefault="00A9721F">
      <w:r>
        <w:t xml:space="preserve">The subordinate clauses define additional information in the SpreadsheetML schema used by Excel.  </w:t>
      </w:r>
    </w:p>
    <w:p w:rsidR="000A156F" w:rsidRDefault="00A9721F">
      <w:pPr>
        <w:pStyle w:val="Heading4"/>
      </w:pPr>
      <w:bookmarkStart w:id="4002" w:name="section_c53a9d05871f46f28ced6a59ab434fda"/>
      <w:bookmarkStart w:id="4003" w:name="_Toc181685026"/>
      <w:r>
        <w:t>Formulas</w:t>
      </w:r>
      <w:bookmarkEnd w:id="4002"/>
      <w:bookmarkEnd w:id="4003"/>
    </w:p>
    <w:p w:rsidR="000A156F" w:rsidRDefault="00A9721F">
      <w:pPr>
        <w:pStyle w:val="Heading5"/>
      </w:pPr>
      <w:bookmarkStart w:id="4004" w:name="section_089fbdefed494a149509794c95651b17"/>
      <w:bookmarkStart w:id="4005" w:name="_Toc181685027"/>
      <w:r>
        <w:t>Structure References</w:t>
      </w:r>
      <w:bookmarkEnd w:id="4004"/>
      <w:bookmarkEnd w:id="4005"/>
      <w:r>
        <w:fldChar w:fldCharType="begin"/>
      </w:r>
      <w:r>
        <w:instrText xml:space="preserve"> XE "Structure References" </w:instrText>
      </w:r>
      <w:r>
        <w:fldChar w:fldCharType="end"/>
      </w:r>
    </w:p>
    <w:p w:rsidR="000A156F" w:rsidRDefault="00A9721F">
      <w:r>
        <w:t xml:space="preserve">A structure reference has the following form: </w:t>
      </w:r>
    </w:p>
    <w:p w:rsidR="000A156F" w:rsidRDefault="00A9721F">
      <w:pPr>
        <w:pStyle w:val="Code"/>
      </w:pPr>
      <w:r>
        <w:t xml:space="preserve">structure-reference= </w:t>
      </w:r>
    </w:p>
    <w:p w:rsidR="000A156F" w:rsidRDefault="00A9721F">
      <w:pPr>
        <w:pStyle w:val="Code"/>
      </w:pPr>
      <w:r>
        <w:t>[table-iden</w:t>
      </w:r>
      <w:r>
        <w:t>tifier], intra-table-reference ;</w:t>
      </w:r>
    </w:p>
    <w:p w:rsidR="000A156F" w:rsidRDefault="00A9721F">
      <w:pPr>
        <w:pStyle w:val="Code"/>
      </w:pPr>
      <w:r>
        <w:t>table-identifier=</w:t>
      </w:r>
    </w:p>
    <w:p w:rsidR="000A156F" w:rsidRDefault="00A9721F">
      <w:pPr>
        <w:pStyle w:val="Code"/>
      </w:pPr>
      <w:r>
        <w:t>[book-prefix], table-name ;</w:t>
      </w:r>
    </w:p>
    <w:p w:rsidR="000A156F" w:rsidRDefault="00A9721F">
      <w:pPr>
        <w:pStyle w:val="Code"/>
      </w:pPr>
      <w:r>
        <w:t>table-name=</w:t>
      </w:r>
    </w:p>
    <w:p w:rsidR="000A156F" w:rsidRDefault="00A9721F">
      <w:pPr>
        <w:pStyle w:val="Code"/>
      </w:pPr>
      <w:r>
        <w:t>name ;</w:t>
      </w:r>
    </w:p>
    <w:p w:rsidR="000A156F" w:rsidRDefault="00A9721F">
      <w:pPr>
        <w:pStyle w:val="Code"/>
      </w:pPr>
      <w:r>
        <w:t>intra-table-reference=</w:t>
      </w:r>
    </w:p>
    <w:p w:rsidR="000A156F" w:rsidRDefault="00A9721F">
      <w:pPr>
        <w:pStyle w:val="Code"/>
      </w:pPr>
      <w:r>
        <w:t>spaced-lbracket, inner-reference, spaced-rbracket |</w:t>
      </w:r>
    </w:p>
    <w:p w:rsidR="000A156F" w:rsidRDefault="00A9721F">
      <w:pPr>
        <w:pStyle w:val="Code"/>
      </w:pPr>
      <w:r>
        <w:t>keyword |</w:t>
      </w:r>
    </w:p>
    <w:p w:rsidR="000A156F" w:rsidRDefault="00A9721F">
      <w:pPr>
        <w:pStyle w:val="Code"/>
      </w:pPr>
      <w:r>
        <w:t>'[', [simple-column-name], ']' ;</w:t>
      </w:r>
    </w:p>
    <w:p w:rsidR="000A156F" w:rsidRDefault="00A9721F">
      <w:pPr>
        <w:pStyle w:val="Code"/>
      </w:pPr>
      <w:r>
        <w:t>inner-reference=</w:t>
      </w:r>
    </w:p>
    <w:p w:rsidR="000A156F" w:rsidRDefault="00A9721F">
      <w:pPr>
        <w:pStyle w:val="Code"/>
      </w:pPr>
      <w:r>
        <w:t>keyword-list |</w:t>
      </w:r>
    </w:p>
    <w:p w:rsidR="000A156F" w:rsidRDefault="00A9721F">
      <w:pPr>
        <w:pStyle w:val="Code"/>
      </w:pPr>
      <w:r>
        <w:t>[keyword-list, spaced-comma], column-range ;</w:t>
      </w:r>
    </w:p>
    <w:p w:rsidR="000A156F" w:rsidRDefault="00A9721F">
      <w:pPr>
        <w:pStyle w:val="Code"/>
      </w:pPr>
      <w:r>
        <w:t>keyword=</w:t>
      </w:r>
    </w:p>
    <w:p w:rsidR="000A156F" w:rsidRDefault="00A9721F">
      <w:pPr>
        <w:pStyle w:val="Code"/>
      </w:pPr>
      <w:r>
        <w:t>"[#All]" | "[#Data]" | "[#Headers]" | "[#Totals]" | "[#This Row]" ;</w:t>
      </w:r>
    </w:p>
    <w:p w:rsidR="000A156F" w:rsidRDefault="00A9721F">
      <w:pPr>
        <w:pStyle w:val="Code"/>
      </w:pPr>
      <w:r>
        <w:t>keyword-list=</w:t>
      </w:r>
    </w:p>
    <w:p w:rsidR="000A156F" w:rsidRDefault="00A9721F">
      <w:pPr>
        <w:pStyle w:val="Code"/>
      </w:pPr>
      <w:r>
        <w:t>keyword |</w:t>
      </w:r>
    </w:p>
    <w:p w:rsidR="000A156F" w:rsidRDefault="00A9721F">
      <w:pPr>
        <w:pStyle w:val="Code"/>
      </w:pPr>
      <w:r>
        <w:t>"[#Headers]", spaced-comma, "[#Data]" |</w:t>
      </w:r>
    </w:p>
    <w:p w:rsidR="000A156F" w:rsidRDefault="00A9721F">
      <w:pPr>
        <w:pStyle w:val="Code"/>
      </w:pPr>
      <w:r>
        <w:t>"[#Data]", spaced-comma, "[#Totals]" ;</w:t>
      </w:r>
    </w:p>
    <w:p w:rsidR="000A156F" w:rsidRDefault="00A9721F">
      <w:pPr>
        <w:pStyle w:val="Code"/>
      </w:pPr>
      <w:r>
        <w:t>column-range=</w:t>
      </w:r>
    </w:p>
    <w:p w:rsidR="000A156F" w:rsidRDefault="00A9721F">
      <w:pPr>
        <w:pStyle w:val="Code"/>
      </w:pPr>
      <w:r>
        <w:t xml:space="preserve">column, [":", </w:t>
      </w:r>
      <w:r>
        <w:t>column] ;</w:t>
      </w:r>
    </w:p>
    <w:p w:rsidR="000A156F" w:rsidRDefault="00A9721F">
      <w:pPr>
        <w:pStyle w:val="Code"/>
      </w:pPr>
      <w:r>
        <w:t>column=</w:t>
      </w:r>
    </w:p>
    <w:p w:rsidR="000A156F" w:rsidRDefault="00A9721F">
      <w:pPr>
        <w:pStyle w:val="Code"/>
      </w:pPr>
      <w:r>
        <w:t>simple-column-name |</w:t>
      </w:r>
    </w:p>
    <w:p w:rsidR="000A156F" w:rsidRDefault="00A9721F">
      <w:pPr>
        <w:pStyle w:val="Code"/>
      </w:pPr>
      <w:r>
        <w:t>spaced-lbracket, {space}, simple-column-name, {space}, spaced-rbracket ;</w:t>
      </w:r>
    </w:p>
    <w:p w:rsidR="000A156F" w:rsidRDefault="00A9721F">
      <w:pPr>
        <w:pStyle w:val="Code"/>
      </w:pPr>
      <w:r>
        <w:t>simple-column-name=</w:t>
      </w:r>
    </w:p>
    <w:p w:rsidR="000A156F" w:rsidRDefault="00A9721F">
      <w:pPr>
        <w:pStyle w:val="Code"/>
      </w:pPr>
      <w:r>
        <w:t>[any-nospace-column-character, {any-column-character }], any-nospace-column-character ;</w:t>
      </w:r>
    </w:p>
    <w:p w:rsidR="000A156F" w:rsidRDefault="00A9721F">
      <w:pPr>
        <w:pStyle w:val="Code"/>
      </w:pPr>
      <w:r>
        <w:t>escape-column-character=</w:t>
      </w:r>
    </w:p>
    <w:p w:rsidR="000A156F" w:rsidRDefault="00A9721F">
      <w:pPr>
        <w:pStyle w:val="Code"/>
      </w:pPr>
      <w:r>
        <w:t>"'" | "[" |</w:t>
      </w:r>
      <w:r>
        <w:t xml:space="preserve"> "]" | "#" ;</w:t>
      </w:r>
    </w:p>
    <w:p w:rsidR="000A156F" w:rsidRDefault="00A9721F">
      <w:pPr>
        <w:pStyle w:val="Code"/>
      </w:pPr>
      <w:r>
        <w:t>any-column-character=</w:t>
      </w:r>
    </w:p>
    <w:p w:rsidR="000A156F" w:rsidRDefault="00A9721F">
      <w:pPr>
        <w:pStyle w:val="Code"/>
      </w:pPr>
      <w:r>
        <w:t xml:space="preserve">character - escape-column-character | </w:t>
      </w:r>
    </w:p>
    <w:p w:rsidR="000A156F" w:rsidRDefault="00A9721F">
      <w:pPr>
        <w:pStyle w:val="Code"/>
      </w:pPr>
      <w:r>
        <w:t>"'", escape-column-character ;</w:t>
      </w:r>
    </w:p>
    <w:p w:rsidR="000A156F" w:rsidRDefault="00A9721F">
      <w:pPr>
        <w:pStyle w:val="Code"/>
      </w:pPr>
      <w:r>
        <w:t>any-nospace-column-character=</w:t>
      </w:r>
    </w:p>
    <w:p w:rsidR="000A156F" w:rsidRDefault="00A9721F">
      <w:pPr>
        <w:pStyle w:val="Code"/>
      </w:pPr>
      <w:r>
        <w:t>any-column-character – space ;</w:t>
      </w:r>
    </w:p>
    <w:p w:rsidR="000A156F" w:rsidRDefault="00A9721F">
      <w:pPr>
        <w:pStyle w:val="Code"/>
      </w:pPr>
      <w:r>
        <w:t>spaced-comma=</w:t>
      </w:r>
    </w:p>
    <w:p w:rsidR="000A156F" w:rsidRDefault="00A9721F">
      <w:pPr>
        <w:pStyle w:val="Code"/>
      </w:pPr>
      <w:r>
        <w:t>[space], ",", [space] ;</w:t>
      </w:r>
    </w:p>
    <w:p w:rsidR="000A156F" w:rsidRDefault="00A9721F">
      <w:pPr>
        <w:pStyle w:val="Code"/>
      </w:pPr>
      <w:r>
        <w:lastRenderedPageBreak/>
        <w:t>spaced-lbracket=</w:t>
      </w:r>
    </w:p>
    <w:p w:rsidR="000A156F" w:rsidRDefault="00A9721F">
      <w:pPr>
        <w:pStyle w:val="Code"/>
      </w:pPr>
      <w:r>
        <w:t>"[", [space] ;</w:t>
      </w:r>
    </w:p>
    <w:p w:rsidR="000A156F" w:rsidRDefault="00A9721F">
      <w:pPr>
        <w:pStyle w:val="Code"/>
      </w:pPr>
      <w:r>
        <w:t>spaced-rbracket=</w:t>
      </w:r>
    </w:p>
    <w:p w:rsidR="000A156F" w:rsidRDefault="00A9721F">
      <w:pPr>
        <w:pStyle w:val="Code"/>
      </w:pPr>
      <w:r>
        <w:t>[space], "]" ;</w:t>
      </w:r>
    </w:p>
    <w:p w:rsidR="000A156F" w:rsidRDefault="00A9721F">
      <w:r>
        <w:t>Structure references define rectangular sections of tables using special syntax, table column names, and reserved keywords instead of relative or absolute references. Structure references do not need adjustment if tables they refer to have b</w:t>
      </w:r>
      <w:r>
        <w:t>een modified. They also provide a mechanism to define areas using meaningful table column names instead of less helpful cell references.</w:t>
      </w:r>
    </w:p>
    <w:p w:rsidR="000A156F" w:rsidRDefault="00A9721F">
      <w:r>
        <w:t>table-name is the name of the table the structure reference refers to. If it is missing, then the formula containing th</w:t>
      </w:r>
      <w:r>
        <w:t>e structure reference must be entered into a cell that belongs to a table, and that table’s name is used as the table-name. table-name must be a name of a table. It must not be any other user-defined name.</w:t>
      </w:r>
    </w:p>
    <w:p w:rsidR="000A156F" w:rsidRDefault="00A9721F">
      <w:r>
        <w:t>table-name[] refers to all cells in table-name exc</w:t>
      </w:r>
      <w:r>
        <w:t>ept Header Row and Total Row.</w:t>
      </w:r>
    </w:p>
    <w:p w:rsidR="000A156F" w:rsidRDefault="00A9721F">
      <w:r>
        <w:t>table-name[#Data] refers to all table-name’s cells except Header Row and Total Row. It is equivalent to the form table-name[].</w:t>
      </w:r>
    </w:p>
    <w:p w:rsidR="000A156F" w:rsidRDefault="00A9721F">
      <w:r>
        <w:t>table-name[#Headers] refers to all cells in table-name’s Header Row.</w:t>
      </w:r>
    </w:p>
    <w:p w:rsidR="000A156F" w:rsidRDefault="00A9721F">
      <w:r>
        <w:t xml:space="preserve">table-name[#Total Row] refers </w:t>
      </w:r>
      <w:r>
        <w:t>to all cells in the table-name’s Total Row</w:t>
      </w:r>
    </w:p>
    <w:p w:rsidR="000A156F" w:rsidRDefault="00A9721F">
      <w:r>
        <w:t>table-name[#All] refers to the entire table area. table-name[#All] is the union of table-name[#Headers], table-name[#Data], and table-name[#Total Row]</w:t>
      </w:r>
    </w:p>
    <w:p w:rsidR="000A156F" w:rsidRDefault="00A9721F">
      <w:r>
        <w:t>table-name[column-name] refers to all cells in the column name</w:t>
      </w:r>
      <w:r>
        <w:t>d column-name except the cells from Header Row and Total Row.</w:t>
      </w:r>
    </w:p>
    <w:p w:rsidR="000A156F" w:rsidRDefault="00A9721F">
      <w:r>
        <w:t>table-name[[column-name]] refers to all cells in the column named column-name except the cells from Header Row and Total Row.</w:t>
      </w:r>
    </w:p>
    <w:p w:rsidR="000A156F" w:rsidRDefault="00A9721F">
      <w:r>
        <w:t>table-name[[column-name1]:[column-name2]] refers to all cells from c</w:t>
      </w:r>
      <w:r>
        <w:t>olumn named column-name1 through column named column-name2 except the cells from Header Row and Total Row.</w:t>
      </w:r>
    </w:p>
    <w:p w:rsidR="000A156F" w:rsidRDefault="00A9721F">
      <w:r>
        <w:t>table-name[[keyword],[column-name]], where keyword is one of #Headers, #Total Row, #Data, #All, refers to the intersection of the area defined by tab</w:t>
      </w:r>
      <w:r>
        <w:t>le-name[keyword] and all cells from the column named column-name.</w:t>
      </w:r>
    </w:p>
    <w:p w:rsidR="000A156F" w:rsidRDefault="00A9721F">
      <w:r>
        <w:t>table-name[[#Data],[column-name]] is equivalent to table-name[column-name]</w:t>
      </w:r>
    </w:p>
    <w:p w:rsidR="000A156F" w:rsidRDefault="00A9721F">
      <w:r>
        <w:t>table-name[[keyword],[column-name1]:[column-name2]], where keyword is one of #Headers, #Total Row, #Data, #All, ref</w:t>
      </w:r>
      <w:r>
        <w:t>ers to the intersection of the area defined by table-name[keyword] and all cells from the table from column named column-name1 through column named coumn-name2.</w:t>
      </w:r>
    </w:p>
    <w:p w:rsidR="000A156F" w:rsidRDefault="00A9721F">
      <w:r>
        <w:t>table-name[[#Headers],[#Data],[column-name]] is the union of table-name[[#Headers],[column-name</w:t>
      </w:r>
      <w:r>
        <w:t>]] and table-name[[#Data],[column-name]]</w:t>
      </w:r>
    </w:p>
    <w:p w:rsidR="000A156F" w:rsidRDefault="00A9721F">
      <w:r>
        <w:t>table-name[[#Data],[#Total Row],[column-name]] is the union of table-name[[#Data],[column-name]] and table-name[[#Total Row],[column-name]]</w:t>
      </w:r>
    </w:p>
    <w:p w:rsidR="000A156F" w:rsidRDefault="00A9721F">
      <w:r>
        <w:t>table-name[[#Headers],[#Data],[column-name1]:[column-name2]] is the union o</w:t>
      </w:r>
      <w:r>
        <w:t>f table-name[[#Headers], [column-name1]:[column-name2]] and table-name[[#Data], [column-name1]:[column-name2]]</w:t>
      </w:r>
    </w:p>
    <w:p w:rsidR="000A156F" w:rsidRDefault="00A9721F">
      <w:r>
        <w:t>table-name[[#Data],[#Total Row], [column-name1]:[column-name2]] is the union of table-name[[#Data], [column-name1]:[column-name2]] and table-name</w:t>
      </w:r>
      <w:r>
        <w:t>[[#Total Row], [column-name1]:[column-name2]]</w:t>
      </w:r>
    </w:p>
    <w:p w:rsidR="000A156F" w:rsidRDefault="00A9721F">
      <w:r>
        <w:lastRenderedPageBreak/>
        <w:t>table-name[[#This Row],[column-name]] refers to the cell in the intersection of table-name[column-name] and the current row; for example, the row of the cell that contains the formula with the structure referen</w:t>
      </w:r>
      <w:r>
        <w:t>ce. table-name[[#This Row],[column-name1]:[column-name2]]refers to the cells in the intersection of table-name[[column-name]:[column-name2]] and the current row; for example, the row of the cell that contains the formula with such structure reference. Thes</w:t>
      </w:r>
      <w:r>
        <w:t xml:space="preserve">e two forms allow formulas to perform implicit intersection using structure references. </w:t>
      </w:r>
    </w:p>
    <w:p w:rsidR="000A156F" w:rsidRDefault="00A9721F">
      <w:r>
        <w:t>#This Row must not be combined with any of #Headers, #Total Row, #Data, #All.</w:t>
      </w:r>
    </w:p>
    <w:p w:rsidR="000A156F" w:rsidRDefault="00A9721F">
      <w:pPr>
        <w:pStyle w:val="Heading5"/>
      </w:pPr>
      <w:bookmarkStart w:id="4006" w:name="section_ed5fc677a2444bfca1488ac15a6a97db"/>
      <w:bookmarkStart w:id="4007" w:name="_Toc181685028"/>
      <w:r>
        <w:t>Conditional Formatting Formulas</w:t>
      </w:r>
      <w:bookmarkEnd w:id="4006"/>
      <w:bookmarkEnd w:id="4007"/>
      <w:r>
        <w:fldChar w:fldCharType="begin"/>
      </w:r>
      <w:r>
        <w:instrText xml:space="preserve"> XE "Conditional Formatting Formulas" </w:instrText>
      </w:r>
      <w:r>
        <w:fldChar w:fldCharType="end"/>
      </w:r>
    </w:p>
    <w:p w:rsidR="000A156F" w:rsidRDefault="00A9721F">
      <w:r>
        <w:t>Conditional forma</w:t>
      </w:r>
      <w:r>
        <w:t>tting formulas are part of conditional formatting rules.</w:t>
      </w:r>
    </w:p>
    <w:p w:rsidR="000A156F" w:rsidRDefault="00A9721F">
      <w:r>
        <w:t>A conditional formatting formula shall not use array constants.</w:t>
      </w:r>
    </w:p>
    <w:p w:rsidR="000A156F" w:rsidRDefault="00A9721F">
      <w:r>
        <w:t>A conditional formatting formula shall not use structure references.</w:t>
      </w:r>
    </w:p>
    <w:p w:rsidR="000A156F" w:rsidRDefault="00A9721F">
      <w:r>
        <w:t xml:space="preserve">A conditional formatting formula shall not use union and </w:t>
      </w:r>
      <w:r>
        <w:t>intersection binary operators.</w:t>
      </w:r>
    </w:p>
    <w:p w:rsidR="000A156F" w:rsidRDefault="00A9721F">
      <w:r>
        <w:t xml:space="preserve">A conditional formatting formula shall not use 3-D references. </w:t>
      </w:r>
    </w:p>
    <w:p w:rsidR="000A156F" w:rsidRDefault="00A9721F">
      <w:pPr>
        <w:pStyle w:val="Code"/>
      </w:pPr>
      <w:r>
        <w:t>CF-formula=</w:t>
      </w:r>
    </w:p>
    <w:p w:rsidR="000A156F" w:rsidRDefault="00A9721F">
      <w:pPr>
        <w:pStyle w:val="Code"/>
      </w:pPr>
      <w:r>
        <w:t>CF-expression ;</w:t>
      </w:r>
    </w:p>
    <w:p w:rsidR="000A156F" w:rsidRDefault="00A9721F">
      <w:pPr>
        <w:pStyle w:val="Code"/>
      </w:pPr>
      <w:r>
        <w:t>CF-expression= {space}, CF-nospace-expression, {space} ;</w:t>
      </w:r>
    </w:p>
    <w:p w:rsidR="000A156F" w:rsidRDefault="00A9721F">
      <w:pPr>
        <w:pStyle w:val="Code"/>
      </w:pPr>
      <w:r>
        <w:t xml:space="preserve">CF-nospace-expression= </w:t>
      </w:r>
    </w:p>
    <w:p w:rsidR="000A156F" w:rsidRDefault="00A9721F">
      <w:pPr>
        <w:pStyle w:val="Code"/>
      </w:pPr>
      <w:r>
        <w:t xml:space="preserve">"(", CF-expression, ")" | </w:t>
      </w:r>
    </w:p>
    <w:p w:rsidR="000A156F" w:rsidRDefault="00A9721F">
      <w:pPr>
        <w:pStyle w:val="Code"/>
      </w:pPr>
      <w:r>
        <w:t xml:space="preserve">CF-constant | </w:t>
      </w:r>
    </w:p>
    <w:p w:rsidR="000A156F" w:rsidRDefault="00A9721F">
      <w:pPr>
        <w:pStyle w:val="Code"/>
      </w:pPr>
      <w:r>
        <w:t>prefix-ope</w:t>
      </w:r>
      <w:r>
        <w:t xml:space="preserve">rator, CF-expression | </w:t>
      </w:r>
    </w:p>
    <w:p w:rsidR="000A156F" w:rsidRDefault="00A9721F">
      <w:pPr>
        <w:pStyle w:val="Code"/>
      </w:pPr>
      <w:r>
        <w:t xml:space="preserve">CF-expression, CF-infix-operator, CF-expression | </w:t>
      </w:r>
    </w:p>
    <w:p w:rsidR="000A156F" w:rsidRDefault="00A9721F">
      <w:pPr>
        <w:pStyle w:val="Code"/>
      </w:pPr>
      <w:r>
        <w:t xml:space="preserve">CF-expression, postfix-operator | </w:t>
      </w:r>
    </w:p>
    <w:p w:rsidR="000A156F" w:rsidRDefault="00A9721F">
      <w:pPr>
        <w:pStyle w:val="Code"/>
      </w:pPr>
      <w:r>
        <w:t>A1-reference |</w:t>
      </w:r>
    </w:p>
    <w:p w:rsidR="000A156F" w:rsidRDefault="00A9721F">
      <w:pPr>
        <w:pStyle w:val="Code"/>
      </w:pPr>
      <w:r>
        <w:t xml:space="preserve">CF-function-call | </w:t>
      </w:r>
    </w:p>
    <w:p w:rsidR="000A156F" w:rsidRDefault="00A9721F">
      <w:pPr>
        <w:pStyle w:val="Code"/>
      </w:pPr>
      <w:r>
        <w:t>name ;</w:t>
      </w:r>
    </w:p>
    <w:p w:rsidR="000A156F" w:rsidRDefault="00A9721F">
      <w:pPr>
        <w:pStyle w:val="Code"/>
      </w:pPr>
      <w:r>
        <w:t>CF-constant=</w:t>
      </w:r>
    </w:p>
    <w:p w:rsidR="000A156F" w:rsidRDefault="00A9721F">
      <w:pPr>
        <w:pStyle w:val="Code"/>
      </w:pPr>
      <w:r>
        <w:t xml:space="preserve">constant – array-constant ; </w:t>
      </w:r>
    </w:p>
    <w:p w:rsidR="000A156F" w:rsidRDefault="00A9721F">
      <w:pPr>
        <w:pStyle w:val="Code"/>
      </w:pPr>
      <w:r>
        <w:t>CF-infix-operator=</w:t>
      </w:r>
    </w:p>
    <w:p w:rsidR="000A156F" w:rsidRDefault="00A9721F">
      <w:pPr>
        <w:pStyle w:val="Code"/>
      </w:pPr>
      <w:r>
        <w:t xml:space="preserve">":" | "^" | "*" | "/" | "+" | "-" | "&amp;"| </w:t>
      </w:r>
    </w:p>
    <w:p w:rsidR="000A156F" w:rsidRDefault="00A9721F">
      <w:pPr>
        <w:pStyle w:val="Code"/>
      </w:pPr>
      <w:r>
        <w:t>"</w:t>
      </w:r>
      <w:r>
        <w:t>=" | "&lt;&gt;" | "&lt;" | "&lt;=" | "&gt;" | "&gt;=" ;</w:t>
      </w:r>
    </w:p>
    <w:p w:rsidR="000A156F" w:rsidRDefault="00A9721F">
      <w:pPr>
        <w:pStyle w:val="Code"/>
      </w:pPr>
      <w:r>
        <w:t>CF-function-call=</w:t>
      </w:r>
    </w:p>
    <w:p w:rsidR="000A156F" w:rsidRDefault="00A9721F">
      <w:pPr>
        <w:pStyle w:val="Code"/>
      </w:pPr>
      <w:r>
        <w:t>CF-function-name, "(", CF-function-argument-list, ")" ;</w:t>
      </w:r>
    </w:p>
    <w:p w:rsidR="000A156F" w:rsidRDefault="00A9721F">
      <w:pPr>
        <w:pStyle w:val="Code"/>
      </w:pPr>
      <w:r>
        <w:t>CF-function-name=</w:t>
      </w:r>
    </w:p>
    <w:p w:rsidR="000A156F" w:rsidRDefault="00A9721F">
      <w:pPr>
        <w:pStyle w:val="Code"/>
      </w:pPr>
      <w:r>
        <w:t xml:space="preserve">predefined-function-name | </w:t>
      </w:r>
    </w:p>
    <w:p w:rsidR="000A156F" w:rsidRDefault="00A9721F">
      <w:pPr>
        <w:pStyle w:val="Code"/>
      </w:pPr>
      <w:r>
        <w:t>name ;</w:t>
      </w:r>
    </w:p>
    <w:p w:rsidR="000A156F" w:rsidRDefault="00A9721F">
      <w:pPr>
        <w:pStyle w:val="Code"/>
      </w:pPr>
      <w:r>
        <w:t>CF-function-argument-list =</w:t>
      </w:r>
    </w:p>
    <w:p w:rsidR="000A156F" w:rsidRDefault="00A9721F">
      <w:pPr>
        <w:pStyle w:val="Code"/>
      </w:pPr>
      <w:r>
        <w:t>[CF-expression], { comma, CF-function-argument-list } ;</w:t>
      </w:r>
    </w:p>
    <w:p w:rsidR="000A156F" w:rsidRDefault="00A9721F">
      <w:pPr>
        <w:pStyle w:val="Heading5"/>
      </w:pPr>
      <w:bookmarkStart w:id="4008" w:name="section_26e0ceb25b9342dc838c9e15c1a8cd8b"/>
      <w:bookmarkStart w:id="4009" w:name="_Toc181685029"/>
      <w:r>
        <w:t>Data Va</w:t>
      </w:r>
      <w:r>
        <w:t>lidation Formulas</w:t>
      </w:r>
      <w:bookmarkEnd w:id="4008"/>
      <w:bookmarkEnd w:id="4009"/>
      <w:r>
        <w:fldChar w:fldCharType="begin"/>
      </w:r>
      <w:r>
        <w:instrText xml:space="preserve"> XE "Data Validation Formulas" </w:instrText>
      </w:r>
      <w:r>
        <w:fldChar w:fldCharType="end"/>
      </w:r>
    </w:p>
    <w:p w:rsidR="000A156F" w:rsidRDefault="00A9721F">
      <w:r>
        <w:t xml:space="preserve">Data validation formulas are part of Data Validation rules.  They shall not use array constants, structure references, or union or intersection binary operators. </w:t>
      </w:r>
    </w:p>
    <w:p w:rsidR="000A156F" w:rsidRDefault="00A9721F">
      <w:pPr>
        <w:pStyle w:val="Code"/>
      </w:pPr>
      <w:r>
        <w:t>DV-formula=</w:t>
      </w:r>
    </w:p>
    <w:p w:rsidR="000A156F" w:rsidRDefault="00A9721F">
      <w:pPr>
        <w:pStyle w:val="Code"/>
      </w:pPr>
      <w:r>
        <w:t>DV-expression ;</w:t>
      </w:r>
    </w:p>
    <w:p w:rsidR="000A156F" w:rsidRDefault="00A9721F">
      <w:pPr>
        <w:pStyle w:val="Code"/>
      </w:pPr>
      <w:r>
        <w:t>DV-expression=</w:t>
      </w:r>
      <w:r>
        <w:t xml:space="preserve"> {space}, DV-nospace-expression, {space} ;</w:t>
      </w:r>
    </w:p>
    <w:p w:rsidR="000A156F" w:rsidRDefault="00A9721F">
      <w:pPr>
        <w:pStyle w:val="Code"/>
      </w:pPr>
      <w:r>
        <w:t>DV-nospace-expression=</w:t>
      </w:r>
    </w:p>
    <w:p w:rsidR="000A156F" w:rsidRDefault="00A9721F">
      <w:pPr>
        <w:pStyle w:val="Code"/>
      </w:pPr>
      <w:r>
        <w:t xml:space="preserve">"(", DV-expression, ")" | </w:t>
      </w:r>
    </w:p>
    <w:p w:rsidR="000A156F" w:rsidRDefault="00A9721F">
      <w:pPr>
        <w:pStyle w:val="Code"/>
      </w:pPr>
      <w:r>
        <w:t xml:space="preserve">DV-constant | </w:t>
      </w:r>
    </w:p>
    <w:p w:rsidR="000A156F" w:rsidRDefault="00A9721F">
      <w:pPr>
        <w:pStyle w:val="Code"/>
      </w:pPr>
      <w:r>
        <w:t xml:space="preserve">prefix-operator, DV-expression | </w:t>
      </w:r>
    </w:p>
    <w:p w:rsidR="000A156F" w:rsidRDefault="00A9721F">
      <w:pPr>
        <w:pStyle w:val="Code"/>
      </w:pPr>
      <w:r>
        <w:t xml:space="preserve">DV-expression, DV-infix-operator, DV-expression | </w:t>
      </w:r>
    </w:p>
    <w:p w:rsidR="000A156F" w:rsidRDefault="00A9721F">
      <w:pPr>
        <w:pStyle w:val="Code"/>
      </w:pPr>
      <w:r>
        <w:t xml:space="preserve">DV-expression, postfix-operator | </w:t>
      </w:r>
    </w:p>
    <w:p w:rsidR="000A156F" w:rsidRDefault="00A9721F">
      <w:pPr>
        <w:pStyle w:val="Code"/>
      </w:pPr>
      <w:r>
        <w:t>A1-reference |</w:t>
      </w:r>
    </w:p>
    <w:p w:rsidR="000A156F" w:rsidRDefault="00A9721F">
      <w:pPr>
        <w:pStyle w:val="Code"/>
      </w:pPr>
      <w:r>
        <w:t>function-call</w:t>
      </w:r>
      <w:r>
        <w:t xml:space="preserve"> | </w:t>
      </w:r>
    </w:p>
    <w:p w:rsidR="000A156F" w:rsidRDefault="00A9721F">
      <w:pPr>
        <w:pStyle w:val="Code"/>
      </w:pPr>
      <w:r>
        <w:lastRenderedPageBreak/>
        <w:t>name ;</w:t>
      </w:r>
    </w:p>
    <w:p w:rsidR="000A156F" w:rsidRDefault="00A9721F">
      <w:pPr>
        <w:pStyle w:val="Code"/>
      </w:pPr>
      <w:r>
        <w:t>DV-constant=</w:t>
      </w:r>
    </w:p>
    <w:p w:rsidR="000A156F" w:rsidRDefault="00A9721F">
      <w:pPr>
        <w:pStyle w:val="Code"/>
      </w:pPr>
      <w:r>
        <w:t>constant – array-constant ;</w:t>
      </w:r>
    </w:p>
    <w:p w:rsidR="000A156F" w:rsidRDefault="00A9721F">
      <w:pPr>
        <w:pStyle w:val="Code"/>
      </w:pPr>
      <w:r>
        <w:t>DV-infix-operator=</w:t>
      </w:r>
    </w:p>
    <w:p w:rsidR="000A156F" w:rsidRDefault="00A9721F">
      <w:pPr>
        <w:pStyle w:val="Code"/>
      </w:pPr>
      <w:r>
        <w:t xml:space="preserve">":" | "^" | "*" | "/" | "+" | "-" | "&amp;"| </w:t>
      </w:r>
    </w:p>
    <w:p w:rsidR="000A156F" w:rsidRDefault="00A9721F">
      <w:pPr>
        <w:pStyle w:val="Code"/>
      </w:pPr>
      <w:r>
        <w:t xml:space="preserve">"=" | "&lt;&gt;" | "&lt;" | "&lt;=" | "&gt;" | "&gt;=" ; </w:t>
      </w:r>
    </w:p>
    <w:p w:rsidR="000A156F" w:rsidRDefault="00A9721F">
      <w:pPr>
        <w:pStyle w:val="Code"/>
      </w:pPr>
      <w:r>
        <w:t>DV-function-call=</w:t>
      </w:r>
    </w:p>
    <w:p w:rsidR="000A156F" w:rsidRDefault="00A9721F">
      <w:pPr>
        <w:pStyle w:val="Code"/>
      </w:pPr>
      <w:r>
        <w:t>DV-function-name, "(", DV-function-argument-list, ")" ;</w:t>
      </w:r>
    </w:p>
    <w:p w:rsidR="000A156F" w:rsidRDefault="00A9721F">
      <w:pPr>
        <w:pStyle w:val="Code"/>
      </w:pPr>
      <w:r>
        <w:t>DV-function-name=</w:t>
      </w:r>
    </w:p>
    <w:p w:rsidR="000A156F" w:rsidRDefault="00A9721F">
      <w:pPr>
        <w:pStyle w:val="Code"/>
      </w:pPr>
      <w:r>
        <w:t xml:space="preserve">predefined-function-name | </w:t>
      </w:r>
    </w:p>
    <w:p w:rsidR="000A156F" w:rsidRDefault="00A9721F">
      <w:pPr>
        <w:pStyle w:val="Code"/>
      </w:pPr>
      <w:r>
        <w:t>name ;</w:t>
      </w:r>
    </w:p>
    <w:p w:rsidR="000A156F" w:rsidRDefault="00A9721F">
      <w:pPr>
        <w:pStyle w:val="Code"/>
      </w:pPr>
      <w:r>
        <w:t>DV-function-argument-list=</w:t>
      </w:r>
    </w:p>
    <w:p w:rsidR="000A156F" w:rsidRDefault="00A9721F">
      <w:pPr>
        <w:pStyle w:val="Code"/>
      </w:pPr>
      <w:r>
        <w:t>[DV-expression], { comma, DV-function-argument-list } ;</w:t>
      </w:r>
    </w:p>
    <w:p w:rsidR="000A156F" w:rsidRDefault="00A9721F">
      <w:pPr>
        <w:pStyle w:val="Heading5"/>
      </w:pPr>
      <w:bookmarkStart w:id="4010" w:name="section_da7f42ad0083451a98cfb475b578d91d"/>
      <w:bookmarkStart w:id="4011" w:name="_Toc181685030"/>
      <w:r>
        <w:t>Name Formulas</w:t>
      </w:r>
      <w:bookmarkEnd w:id="4010"/>
      <w:bookmarkEnd w:id="4011"/>
      <w:r>
        <w:fldChar w:fldCharType="begin"/>
      </w:r>
      <w:r>
        <w:instrText xml:space="preserve"> XE "Name Formulas" </w:instrText>
      </w:r>
      <w:r>
        <w:fldChar w:fldCharType="end"/>
      </w:r>
    </w:p>
    <w:p w:rsidR="000A156F" w:rsidRDefault="00A9721F">
      <w:r>
        <w:t>If a name is defined as an alias for a formula then that formula shall contain 3-D references only.</w:t>
      </w:r>
    </w:p>
    <w:p w:rsidR="000A156F" w:rsidRDefault="00A9721F">
      <w:pPr>
        <w:pStyle w:val="Code"/>
      </w:pPr>
      <w:r>
        <w:t>na</w:t>
      </w:r>
      <w:r>
        <w:t>me-formula=</w:t>
      </w:r>
    </w:p>
    <w:p w:rsidR="000A156F" w:rsidRDefault="00A9721F">
      <w:pPr>
        <w:pStyle w:val="Code"/>
      </w:pPr>
      <w:r>
        <w:t xml:space="preserve">name-expression ; </w:t>
      </w:r>
    </w:p>
    <w:p w:rsidR="000A156F" w:rsidRDefault="00A9721F">
      <w:pPr>
        <w:pStyle w:val="Code"/>
      </w:pPr>
      <w:r>
        <w:t>name-expression= {space}, name-nospace-expression, {space} ;</w:t>
      </w:r>
    </w:p>
    <w:p w:rsidR="000A156F" w:rsidRDefault="00A9721F">
      <w:pPr>
        <w:pStyle w:val="Code"/>
      </w:pPr>
      <w:r>
        <w:t>name-nospace-expression=</w:t>
      </w:r>
    </w:p>
    <w:p w:rsidR="000A156F" w:rsidRDefault="00A9721F">
      <w:pPr>
        <w:pStyle w:val="Code"/>
      </w:pPr>
      <w:r>
        <w:t xml:space="preserve">"(", name-expression, ")" | </w:t>
      </w:r>
    </w:p>
    <w:p w:rsidR="000A156F" w:rsidRDefault="00A9721F">
      <w:pPr>
        <w:pStyle w:val="Code"/>
      </w:pPr>
      <w:r>
        <w:t xml:space="preserve">constant | </w:t>
      </w:r>
    </w:p>
    <w:p w:rsidR="000A156F" w:rsidRDefault="00A9721F">
      <w:pPr>
        <w:pStyle w:val="Code"/>
      </w:pPr>
      <w:r>
        <w:t xml:space="preserve">prefix-operator, name-expression | </w:t>
      </w:r>
    </w:p>
    <w:p w:rsidR="000A156F" w:rsidRDefault="00A9721F">
      <w:pPr>
        <w:pStyle w:val="Code"/>
      </w:pPr>
      <w:r>
        <w:t xml:space="preserve">name-expression, infix-operator, name-expression | </w:t>
      </w:r>
    </w:p>
    <w:p w:rsidR="000A156F" w:rsidRDefault="00A9721F">
      <w:pPr>
        <w:pStyle w:val="Code"/>
      </w:pPr>
      <w:r>
        <w:t xml:space="preserve">name-expression, postfix-operator | </w:t>
      </w:r>
    </w:p>
    <w:p w:rsidR="000A156F" w:rsidRDefault="00A9721F">
      <w:pPr>
        <w:pStyle w:val="Code"/>
      </w:pPr>
      <w:r>
        <w:t>external-cell-reference |</w:t>
      </w:r>
    </w:p>
    <w:p w:rsidR="000A156F" w:rsidRDefault="00A9721F">
      <w:pPr>
        <w:pStyle w:val="Code"/>
      </w:pPr>
      <w:r>
        <w:t>"!", A1-reference |</w:t>
      </w:r>
    </w:p>
    <w:p w:rsidR="000A156F" w:rsidRDefault="00A9721F">
      <w:pPr>
        <w:pStyle w:val="Code"/>
      </w:pPr>
      <w:r>
        <w:t xml:space="preserve">name-function-call | </w:t>
      </w:r>
    </w:p>
    <w:p w:rsidR="000A156F" w:rsidRDefault="00A9721F">
      <w:pPr>
        <w:pStyle w:val="Code"/>
      </w:pPr>
      <w:r>
        <w:t>name-reference |</w:t>
      </w:r>
    </w:p>
    <w:p w:rsidR="000A156F" w:rsidRDefault="00A9721F">
      <w:pPr>
        <w:pStyle w:val="Code"/>
      </w:pPr>
      <w:r>
        <w:t>"!", name |</w:t>
      </w:r>
    </w:p>
    <w:p w:rsidR="000A156F" w:rsidRDefault="00A9721F">
      <w:pPr>
        <w:pStyle w:val="Code"/>
      </w:pPr>
      <w:r>
        <w:t>structure-reference ;</w:t>
      </w:r>
    </w:p>
    <w:p w:rsidR="000A156F" w:rsidRDefault="00A9721F">
      <w:pPr>
        <w:pStyle w:val="Code"/>
      </w:pPr>
      <w:r>
        <w:t>name-function-call=</w:t>
      </w:r>
    </w:p>
    <w:p w:rsidR="000A156F" w:rsidRDefault="00A9721F">
      <w:pPr>
        <w:pStyle w:val="Code"/>
      </w:pPr>
      <w:r>
        <w:t>function-name, "(", name-function-argument-list, ")" ;</w:t>
      </w:r>
    </w:p>
    <w:p w:rsidR="000A156F" w:rsidRDefault="00A9721F">
      <w:pPr>
        <w:pStyle w:val="Code"/>
      </w:pPr>
      <w:r>
        <w:t>name-function-argument-li</w:t>
      </w:r>
      <w:r>
        <w:t>st=</w:t>
      </w:r>
    </w:p>
    <w:p w:rsidR="000A156F" w:rsidRDefault="00A9721F">
      <w:pPr>
        <w:pStyle w:val="Code"/>
      </w:pPr>
      <w:r>
        <w:t>[name-expression], { comma, name-function-argument-list } ;</w:t>
      </w:r>
    </w:p>
    <w:p w:rsidR="000A156F" w:rsidRDefault="00A9721F">
      <w:pPr>
        <w:pStyle w:val="Heading5"/>
      </w:pPr>
      <w:bookmarkStart w:id="4012" w:name="section_8a1616b2936d416fa5dee155de223008"/>
      <w:bookmarkStart w:id="4013" w:name="_Toc181685031"/>
      <w:r>
        <w:t>External Name Formulas</w:t>
      </w:r>
      <w:bookmarkEnd w:id="4012"/>
      <w:bookmarkEnd w:id="4013"/>
      <w:r>
        <w:fldChar w:fldCharType="begin"/>
      </w:r>
      <w:r>
        <w:instrText xml:space="preserve"> XE "External Name Formulas" </w:instrText>
      </w:r>
      <w:r>
        <w:fldChar w:fldCharType="end"/>
      </w:r>
    </w:p>
    <w:p w:rsidR="000A156F" w:rsidRDefault="00A9721F">
      <w:r>
        <w:t>External name formulas are restricted to cell references within the same external book.</w:t>
      </w:r>
    </w:p>
    <w:p w:rsidR="000A156F" w:rsidRDefault="00A9721F">
      <w:pPr>
        <w:pStyle w:val="Code"/>
      </w:pPr>
      <w:r>
        <w:t>external-name-formula=</w:t>
      </w:r>
    </w:p>
    <w:p w:rsidR="000A156F" w:rsidRDefault="00A9721F">
      <w:pPr>
        <w:pStyle w:val="Code"/>
      </w:pPr>
      <w:r>
        <w:t>["="], external-name-expres</w:t>
      </w:r>
      <w:r>
        <w:t xml:space="preserve">sion ; </w:t>
      </w:r>
    </w:p>
    <w:p w:rsidR="000A156F" w:rsidRDefault="00A9721F">
      <w:pPr>
        <w:pStyle w:val="Code"/>
      </w:pPr>
      <w:r>
        <w:t>external-name-expression=</w:t>
      </w:r>
    </w:p>
    <w:p w:rsidR="000A156F" w:rsidRDefault="00A9721F">
      <w:pPr>
        <w:pStyle w:val="Code"/>
      </w:pPr>
      <w:r>
        <w:t>same-book-prefix, A1-reference |</w:t>
      </w:r>
    </w:p>
    <w:p w:rsidR="000A156F" w:rsidRDefault="00A9721F">
      <w:pPr>
        <w:pStyle w:val="Code"/>
      </w:pPr>
      <w:r>
        <w:t>external-name-error-constant ;</w:t>
      </w:r>
    </w:p>
    <w:p w:rsidR="000A156F" w:rsidRDefault="00A9721F">
      <w:pPr>
        <w:pStyle w:val="Code"/>
      </w:pPr>
      <w:r>
        <w:t>same-book-prefix= same-book-single-sheet, "!" |</w:t>
      </w:r>
    </w:p>
    <w:p w:rsidR="000A156F" w:rsidRDefault="00A9721F">
      <w:pPr>
        <w:pStyle w:val="Code"/>
      </w:pPr>
      <w:r>
        <w:t xml:space="preserve">  same-book-sheet-range, "!" ; </w:t>
      </w:r>
    </w:p>
    <w:p w:rsidR="000A156F" w:rsidRDefault="00A9721F">
      <w:pPr>
        <w:pStyle w:val="Code"/>
      </w:pPr>
      <w:r>
        <w:t>same-book-single-sheet= sheet-name |</w:t>
      </w:r>
    </w:p>
    <w:p w:rsidR="000A156F" w:rsidRDefault="00A9721F">
      <w:pPr>
        <w:pStyle w:val="Code"/>
      </w:pPr>
      <w:r>
        <w:t xml:space="preserve">  apostrophe,  sheet-name-special,  apost</w:t>
      </w:r>
      <w:r>
        <w:t>rophe ;</w:t>
      </w:r>
    </w:p>
    <w:p w:rsidR="000A156F" w:rsidRDefault="00A9721F">
      <w:pPr>
        <w:pStyle w:val="Code"/>
      </w:pPr>
      <w:r>
        <w:t>same-book-sheet-range= sheet-name, ":", sheet-name |</w:t>
      </w:r>
    </w:p>
    <w:p w:rsidR="000A156F" w:rsidRDefault="00A9721F">
      <w:pPr>
        <w:pStyle w:val="Code"/>
      </w:pPr>
      <w:r>
        <w:t xml:space="preserve">apostrophe, sheet-name-special, ":", sheet-name-special,  apostrophe ; </w:t>
      </w:r>
    </w:p>
    <w:p w:rsidR="000A156F" w:rsidRDefault="000A156F">
      <w:pPr>
        <w:pStyle w:val="Code"/>
      </w:pPr>
    </w:p>
    <w:p w:rsidR="000A156F" w:rsidRDefault="00A9721F">
      <w:pPr>
        <w:pStyle w:val="Code"/>
      </w:pPr>
      <w:r>
        <w:t>external-name-error-constant=</w:t>
      </w:r>
    </w:p>
    <w:p w:rsidR="000A156F" w:rsidRDefault="00A9721F">
      <w:pPr>
        <w:pStyle w:val="Code"/>
      </w:pPr>
      <w:r>
        <w:t>"#REF!" ;</w:t>
      </w:r>
    </w:p>
    <w:p w:rsidR="000A156F" w:rsidRDefault="00A9721F">
      <w:pPr>
        <w:pStyle w:val="Heading5"/>
      </w:pPr>
      <w:bookmarkStart w:id="4014" w:name="section_a7f5e690608d4293affbcbe334eb4b62"/>
      <w:bookmarkStart w:id="4015" w:name="_Toc181685032"/>
      <w:r>
        <w:t>Chart formulas</w:t>
      </w:r>
      <w:bookmarkEnd w:id="4014"/>
      <w:bookmarkEnd w:id="4015"/>
      <w:r>
        <w:fldChar w:fldCharType="begin"/>
      </w:r>
      <w:r>
        <w:instrText xml:space="preserve"> XE "Chart formulas" </w:instrText>
      </w:r>
      <w:r>
        <w:fldChar w:fldCharType="end"/>
      </w:r>
    </w:p>
    <w:p w:rsidR="000A156F" w:rsidRDefault="00A9721F">
      <w:r>
        <w:t>Chart formulas define data ranges and values</w:t>
      </w:r>
      <w:r>
        <w:t xml:space="preserve"> used by charts, such as chart ranges, series ranges, series titles, and axis titles.</w:t>
      </w:r>
    </w:p>
    <w:p w:rsidR="000A156F" w:rsidRDefault="00A9721F">
      <w:r>
        <w:lastRenderedPageBreak/>
        <w:t>A chart formula shall be either a 3-D reference or a constant.</w:t>
      </w:r>
    </w:p>
    <w:p w:rsidR="000A156F" w:rsidRDefault="00A9721F">
      <w:pPr>
        <w:pStyle w:val="Code"/>
      </w:pPr>
      <w:r>
        <w:t>chart-formula=</w:t>
      </w:r>
    </w:p>
    <w:p w:rsidR="000A156F" w:rsidRDefault="00A9721F">
      <w:pPr>
        <w:pStyle w:val="Code"/>
      </w:pPr>
      <w:r>
        <w:t>chart_ref |</w:t>
      </w:r>
    </w:p>
    <w:p w:rsidR="000A156F" w:rsidRDefault="00A9721F">
      <w:pPr>
        <w:pStyle w:val="Code"/>
      </w:pPr>
      <w:r>
        <w:t>"(", chart-ref, ",", chart-ref, {",", chart-ref}, ")"</w:t>
      </w:r>
    </w:p>
    <w:p w:rsidR="000A156F" w:rsidRDefault="00A9721F">
      <w:pPr>
        <w:pStyle w:val="Code"/>
      </w:pPr>
      <w:r>
        <w:t xml:space="preserve">chart_ref = </w:t>
      </w:r>
    </w:p>
    <w:p w:rsidR="000A156F" w:rsidRDefault="00A9721F">
      <w:pPr>
        <w:pStyle w:val="Code"/>
      </w:pPr>
      <w:r>
        <w:t>external-cell-reference |</w:t>
      </w:r>
    </w:p>
    <w:p w:rsidR="000A156F" w:rsidRDefault="00A9721F">
      <w:pPr>
        <w:pStyle w:val="Code"/>
      </w:pPr>
      <w:r>
        <w:t>external-name ;</w:t>
      </w:r>
    </w:p>
    <w:p w:rsidR="000A156F" w:rsidRDefault="00A9721F">
      <w:pPr>
        <w:pStyle w:val="Heading5"/>
      </w:pPr>
      <w:bookmarkStart w:id="4016" w:name="section_85f4d41ff3d649c987c1d570f55b03cb"/>
      <w:bookmarkStart w:id="4017" w:name="_Toc181685033"/>
      <w:r>
        <w:t>R1C1 formulas</w:t>
      </w:r>
      <w:bookmarkEnd w:id="4016"/>
      <w:bookmarkEnd w:id="4017"/>
      <w:r>
        <w:fldChar w:fldCharType="begin"/>
      </w:r>
      <w:r>
        <w:instrText xml:space="preserve"> XE "R1C1 formulas" </w:instrText>
      </w:r>
      <w:r>
        <w:fldChar w:fldCharType="end"/>
      </w:r>
    </w:p>
    <w:p w:rsidR="000A156F" w:rsidRDefault="00A9721F">
      <w:r>
        <w:t>In R1C1 formulas, R1C1-style references shall be used instead of A1-style references.</w:t>
      </w:r>
    </w:p>
    <w:p w:rsidR="000A156F" w:rsidRDefault="00A9721F">
      <w:r>
        <w:t>An R1C1 formula has the following form:</w:t>
      </w:r>
    </w:p>
    <w:p w:rsidR="000A156F" w:rsidRDefault="00A9721F">
      <w:pPr>
        <w:pStyle w:val="Code"/>
      </w:pPr>
      <w:r>
        <w:t>R1C1-formula=</w:t>
      </w:r>
    </w:p>
    <w:p w:rsidR="000A156F" w:rsidRDefault="00A9721F">
      <w:pPr>
        <w:pStyle w:val="Code"/>
      </w:pPr>
      <w:r>
        <w:t>R1C1-expression ;</w:t>
      </w:r>
    </w:p>
    <w:p w:rsidR="000A156F" w:rsidRDefault="00A9721F">
      <w:pPr>
        <w:pStyle w:val="Code"/>
      </w:pPr>
      <w:r>
        <w:t>R1C1-expression=</w:t>
      </w:r>
    </w:p>
    <w:p w:rsidR="000A156F" w:rsidRDefault="00A9721F">
      <w:pPr>
        <w:pStyle w:val="Code"/>
      </w:pPr>
      <w:r>
        <w:t>{sp</w:t>
      </w:r>
      <w:r>
        <w:t>ace}, nospace-R1C1-expression, {space};</w:t>
      </w:r>
    </w:p>
    <w:p w:rsidR="000A156F" w:rsidRDefault="00A9721F">
      <w:pPr>
        <w:pStyle w:val="Code"/>
      </w:pPr>
      <w:r>
        <w:t>nospace-R1C1-expression=</w:t>
      </w:r>
    </w:p>
    <w:p w:rsidR="000A156F" w:rsidRDefault="00A9721F">
      <w:pPr>
        <w:pStyle w:val="Code"/>
      </w:pPr>
      <w:r>
        <w:t xml:space="preserve">"(", R1C1-expression,  ")"  | </w:t>
      </w:r>
    </w:p>
    <w:p w:rsidR="000A156F" w:rsidRDefault="00A9721F">
      <w:pPr>
        <w:pStyle w:val="Code"/>
      </w:pPr>
      <w:r>
        <w:t xml:space="preserve">constant  | </w:t>
      </w:r>
    </w:p>
    <w:p w:rsidR="000A156F" w:rsidRDefault="00A9721F">
      <w:pPr>
        <w:pStyle w:val="Code"/>
      </w:pPr>
      <w:r>
        <w:t xml:space="preserve">prefix-operator, R1C1-expression  | </w:t>
      </w:r>
    </w:p>
    <w:p w:rsidR="000A156F" w:rsidRDefault="00A9721F">
      <w:pPr>
        <w:pStyle w:val="Code"/>
      </w:pPr>
      <w:r>
        <w:t xml:space="preserve">R1C1-expression,  infix-operator, R1C1-expression  | </w:t>
      </w:r>
    </w:p>
    <w:p w:rsidR="000A156F" w:rsidRDefault="00A9721F">
      <w:pPr>
        <w:pStyle w:val="Code"/>
      </w:pPr>
      <w:r>
        <w:t xml:space="preserve">R1C1-expression,  postfix-operator  | </w:t>
      </w:r>
    </w:p>
    <w:p w:rsidR="000A156F" w:rsidRDefault="00A9721F">
      <w:pPr>
        <w:pStyle w:val="Code"/>
      </w:pPr>
      <w:r>
        <w:t>R1C1-cell-referen</w:t>
      </w:r>
      <w:r>
        <w:t>ce  |</w:t>
      </w:r>
    </w:p>
    <w:p w:rsidR="000A156F" w:rsidRDefault="00A9721F">
      <w:pPr>
        <w:pStyle w:val="Code"/>
      </w:pPr>
      <w:r>
        <w:t xml:space="preserve">R1C1-function-call  | </w:t>
      </w:r>
    </w:p>
    <w:p w:rsidR="000A156F" w:rsidRDefault="00A9721F">
      <w:pPr>
        <w:pStyle w:val="Code"/>
      </w:pPr>
      <w:r>
        <w:t>name-reference  |</w:t>
      </w:r>
    </w:p>
    <w:p w:rsidR="000A156F" w:rsidRDefault="00A9721F">
      <w:pPr>
        <w:pStyle w:val="Code"/>
      </w:pPr>
      <w:r>
        <w:t>structure-reference ;</w:t>
      </w:r>
    </w:p>
    <w:p w:rsidR="000A156F" w:rsidRDefault="00A9721F">
      <w:pPr>
        <w:pStyle w:val="Code"/>
      </w:pPr>
      <w:r>
        <w:t>R1C1-function-call=</w:t>
      </w:r>
    </w:p>
    <w:p w:rsidR="000A156F" w:rsidRDefault="00A9721F">
      <w:pPr>
        <w:pStyle w:val="Code"/>
      </w:pPr>
      <w:r>
        <w:t xml:space="preserve">  function-name,  "(",  R1C1-argument-list,  ")" ;</w:t>
      </w:r>
    </w:p>
    <w:p w:rsidR="000A156F" w:rsidRDefault="00A9721F">
      <w:pPr>
        <w:pStyle w:val="Code"/>
      </w:pPr>
      <w:r>
        <w:t>R1C1-argument-list=</w:t>
      </w:r>
    </w:p>
    <w:p w:rsidR="000A156F" w:rsidRDefault="00A9721F">
      <w:pPr>
        <w:pStyle w:val="Code"/>
      </w:pPr>
      <w:r>
        <w:t>R1C1-argument,  {  comma,  R1C1-argument  } ;</w:t>
      </w:r>
    </w:p>
    <w:p w:rsidR="000A156F" w:rsidRDefault="00A9721F">
      <w:pPr>
        <w:pStyle w:val="Code"/>
      </w:pPr>
      <w:r>
        <w:t>R1C1-argument=</w:t>
      </w:r>
    </w:p>
    <w:p w:rsidR="000A156F" w:rsidRDefault="00A9721F">
      <w:pPr>
        <w:pStyle w:val="Code"/>
      </w:pPr>
      <w:r>
        <w:t>[R1C1-expression] ;</w:t>
      </w:r>
    </w:p>
    <w:p w:rsidR="000A156F" w:rsidRDefault="00A9721F">
      <w:pPr>
        <w:pStyle w:val="Code"/>
      </w:pPr>
      <w:r>
        <w:t>R1C1-cell-reference=</w:t>
      </w:r>
    </w:p>
    <w:p w:rsidR="000A156F" w:rsidRDefault="00A9721F">
      <w:pPr>
        <w:pStyle w:val="Code"/>
      </w:pPr>
      <w:r>
        <w:t>[sheets-prefix]  R1C1-reference ;</w:t>
      </w:r>
    </w:p>
    <w:p w:rsidR="000A156F" w:rsidRDefault="000A156F">
      <w:pPr>
        <w:pStyle w:val="Code"/>
      </w:pPr>
    </w:p>
    <w:p w:rsidR="000A156F" w:rsidRDefault="00A9721F">
      <w:pPr>
        <w:pStyle w:val="Heading5"/>
      </w:pPr>
      <w:bookmarkStart w:id="4018" w:name="section_b23ed080d4e143a58259332e1bf85d08"/>
      <w:bookmarkStart w:id="4019" w:name="_Toc181685034"/>
      <w:r>
        <w:t>Pivot Formulas</w:t>
      </w:r>
      <w:bookmarkEnd w:id="4018"/>
      <w:bookmarkEnd w:id="4019"/>
      <w:r>
        <w:fldChar w:fldCharType="begin"/>
      </w:r>
      <w:r>
        <w:instrText xml:space="preserve"> XE "Pivot Formulas" </w:instrText>
      </w:r>
      <w:r>
        <w:fldChar w:fldCharType="end"/>
      </w:r>
    </w:p>
    <w:p w:rsidR="000A156F" w:rsidRDefault="00A9721F">
      <w:r>
        <w:t>Pivot formulas are used to define calculated items or calculated fields for PivotTables.</w:t>
      </w:r>
    </w:p>
    <w:p w:rsidR="000A156F" w:rsidRDefault="00A9721F">
      <w:r>
        <w:t xml:space="preserve">Pivot formulas shall not use user-defined names. </w:t>
      </w:r>
    </w:p>
    <w:p w:rsidR="000A156F" w:rsidRDefault="00A9721F">
      <w:r>
        <w:t>A pivot formula shall n</w:t>
      </w:r>
      <w:r>
        <w:t>ot use array constants.</w:t>
      </w:r>
    </w:p>
    <w:p w:rsidR="000A156F" w:rsidRDefault="00A9721F">
      <w:r>
        <w:t>A pivot formula shall not use cell references.</w:t>
      </w:r>
    </w:p>
    <w:p w:rsidR="000A156F" w:rsidRDefault="00A9721F">
      <w:r>
        <w:t>A pivot formula shall not use structure references.</w:t>
      </w:r>
    </w:p>
    <w:p w:rsidR="000A156F" w:rsidRDefault="00A9721F">
      <w:r>
        <w:t xml:space="preserve">A pivot formula shall not use calls to the following worksheet functions: GETPIVOTDATA, DCOUNT, DCOUNTA, DSUM, DAVERAGE, DMIN, DMAX, </w:t>
      </w:r>
      <w:r>
        <w:t xml:space="preserve">DPRODUCT, DSTDEV, DSTDEVP, DVAR, DVARP, INDEX, RAND, NOW, AREAS, ROWS, COLUMNS, OFFSET, CELL, INDIRECT, TODAY, INFO, and RANDBETWEEN. </w:t>
      </w:r>
    </w:p>
    <w:p w:rsidR="000A156F" w:rsidRDefault="00A9721F">
      <w:r>
        <w:t>A pivot formula shall not use calls to user-defined functions.</w:t>
      </w:r>
    </w:p>
    <w:p w:rsidR="000A156F" w:rsidRDefault="00A9721F">
      <w:pPr>
        <w:pStyle w:val="Heading6"/>
      </w:pPr>
      <w:bookmarkStart w:id="4020" w:name="section_4ab53f1cccd94ab282254a85dca99917"/>
      <w:bookmarkStart w:id="4021" w:name="_Toc181685035"/>
      <w:r>
        <w:t>Calculated Field Formulas</w:t>
      </w:r>
      <w:bookmarkEnd w:id="4020"/>
      <w:bookmarkEnd w:id="4021"/>
      <w:r>
        <w:fldChar w:fldCharType="begin"/>
      </w:r>
      <w:r>
        <w:instrText xml:space="preserve"> XE "Calculated Field Formulas" </w:instrText>
      </w:r>
      <w:r>
        <w:fldChar w:fldCharType="end"/>
      </w:r>
    </w:p>
    <w:p w:rsidR="000A156F" w:rsidRDefault="00A9721F">
      <w:r>
        <w:t xml:space="preserve">A calculated field formula defines calculations using the contents of fields in a PivotTable. </w:t>
      </w:r>
    </w:p>
    <w:p w:rsidR="000A156F" w:rsidRDefault="00A9721F">
      <w:r>
        <w:lastRenderedPageBreak/>
        <w:t>The only names a calculated field formula shall use are names of fields defined within the PivotTable the formula is used for.</w:t>
      </w:r>
    </w:p>
    <w:p w:rsidR="000A156F" w:rsidRDefault="00A9721F">
      <w:r>
        <w:t>A calculated field formula has t</w:t>
      </w:r>
      <w:r>
        <w:t xml:space="preserve">he following form: </w:t>
      </w:r>
    </w:p>
    <w:p w:rsidR="000A156F" w:rsidRDefault="00A9721F">
      <w:pPr>
        <w:pStyle w:val="Code"/>
      </w:pPr>
      <w:r>
        <w:t>pivot-field-formula=</w:t>
      </w:r>
    </w:p>
    <w:p w:rsidR="000A156F" w:rsidRDefault="00A9721F">
      <w:pPr>
        <w:pStyle w:val="Code"/>
      </w:pPr>
      <w:r>
        <w:t>pivot-field-expression ;</w:t>
      </w:r>
    </w:p>
    <w:p w:rsidR="000A156F" w:rsidRDefault="00A9721F">
      <w:pPr>
        <w:pStyle w:val="Code"/>
      </w:pPr>
      <w:r>
        <w:t xml:space="preserve">pivot-field-expression= </w:t>
      </w:r>
    </w:p>
    <w:p w:rsidR="000A156F" w:rsidRDefault="00A9721F">
      <w:pPr>
        <w:pStyle w:val="Code"/>
      </w:pPr>
      <w:r>
        <w:t>{space}, pivot-nospace-field-expression, {space} ;</w:t>
      </w:r>
    </w:p>
    <w:p w:rsidR="000A156F" w:rsidRDefault="00A9721F">
      <w:pPr>
        <w:pStyle w:val="Code"/>
      </w:pPr>
      <w:r>
        <w:t>pivot-nospace-field-expression=</w:t>
      </w:r>
    </w:p>
    <w:p w:rsidR="000A156F" w:rsidRDefault="00A9721F">
      <w:pPr>
        <w:pStyle w:val="Code"/>
      </w:pPr>
      <w:r>
        <w:t xml:space="preserve">"(", pivot-field-expression, ")" | </w:t>
      </w:r>
    </w:p>
    <w:p w:rsidR="000A156F" w:rsidRDefault="00A9721F">
      <w:pPr>
        <w:pStyle w:val="Code"/>
      </w:pPr>
      <w:r>
        <w:t xml:space="preserve">pivot-constant | </w:t>
      </w:r>
    </w:p>
    <w:p w:rsidR="000A156F" w:rsidRDefault="00A9721F">
      <w:pPr>
        <w:pStyle w:val="Code"/>
      </w:pPr>
      <w:r>
        <w:t>prefix-operator, pivot-field</w:t>
      </w:r>
      <w:r>
        <w:t xml:space="preserve">-expression | </w:t>
      </w:r>
    </w:p>
    <w:p w:rsidR="000A156F" w:rsidRDefault="00A9721F">
      <w:pPr>
        <w:pStyle w:val="Code"/>
      </w:pPr>
      <w:r>
        <w:t xml:space="preserve">pivot-field-expression, pivot-infix-operator, pivot-field-expression | </w:t>
      </w:r>
    </w:p>
    <w:p w:rsidR="000A156F" w:rsidRDefault="00A9721F">
      <w:pPr>
        <w:pStyle w:val="Code"/>
      </w:pPr>
      <w:r>
        <w:t xml:space="preserve">pivot-field-expression, postfix-operator | </w:t>
      </w:r>
    </w:p>
    <w:p w:rsidR="000A156F" w:rsidRDefault="00A9721F">
      <w:pPr>
        <w:pStyle w:val="Code"/>
      </w:pPr>
      <w:r>
        <w:t xml:space="preserve">pivot-field-function-call | </w:t>
      </w:r>
    </w:p>
    <w:p w:rsidR="000A156F" w:rsidRDefault="00A9721F">
      <w:pPr>
        <w:pStyle w:val="Code"/>
      </w:pPr>
      <w:r>
        <w:t>pivot-field-name ;</w:t>
      </w:r>
    </w:p>
    <w:p w:rsidR="000A156F" w:rsidRDefault="00A9721F">
      <w:pPr>
        <w:pStyle w:val="Code"/>
      </w:pPr>
      <w:r>
        <w:t>pivot-constant=</w:t>
      </w:r>
    </w:p>
    <w:p w:rsidR="000A156F" w:rsidRDefault="00A9721F">
      <w:pPr>
        <w:pStyle w:val="Code"/>
      </w:pPr>
      <w:r>
        <w:t>constant – array-constant ;</w:t>
      </w:r>
    </w:p>
    <w:p w:rsidR="000A156F" w:rsidRDefault="00A9721F">
      <w:pPr>
        <w:pStyle w:val="Code"/>
      </w:pPr>
      <w:r>
        <w:t>pivot-infix-operator=</w:t>
      </w:r>
    </w:p>
    <w:p w:rsidR="000A156F" w:rsidRDefault="00A9721F">
      <w:pPr>
        <w:pStyle w:val="Code"/>
      </w:pPr>
      <w:r>
        <w:t xml:space="preserve">"^" | "*" | "/" | "+" | "-" | "&amp;"| </w:t>
      </w:r>
    </w:p>
    <w:p w:rsidR="000A156F" w:rsidRDefault="00A9721F">
      <w:pPr>
        <w:pStyle w:val="Code"/>
      </w:pPr>
      <w:r>
        <w:t>"=" | "&lt;&gt;" | "&lt;" | "&lt;=" | "&gt;" | "&gt;=" ;</w:t>
      </w:r>
    </w:p>
    <w:p w:rsidR="000A156F" w:rsidRDefault="00A9721F">
      <w:pPr>
        <w:pStyle w:val="Code"/>
      </w:pPr>
      <w:r>
        <w:t>pivot-field-function-call=</w:t>
      </w:r>
    </w:p>
    <w:p w:rsidR="000A156F" w:rsidRDefault="00A9721F">
      <w:pPr>
        <w:pStyle w:val="Code"/>
      </w:pPr>
      <w:r>
        <w:t>pivot-function-name, "(", pivot-field-function-argument-list, ")" ;</w:t>
      </w:r>
    </w:p>
    <w:p w:rsidR="000A156F" w:rsidRDefault="00A9721F">
      <w:pPr>
        <w:pStyle w:val="Code"/>
      </w:pPr>
      <w:r>
        <w:t>pivot-field-function-argument-list =</w:t>
      </w:r>
    </w:p>
    <w:p w:rsidR="000A156F" w:rsidRDefault="00A9721F">
      <w:pPr>
        <w:pStyle w:val="Code"/>
      </w:pPr>
      <w:r>
        <w:t>[pivot-field-expression], { comma, pivot-field-fu</w:t>
      </w:r>
      <w:r>
        <w:t>nction-argument-list} ;</w:t>
      </w:r>
    </w:p>
    <w:p w:rsidR="000A156F" w:rsidRDefault="00A9721F">
      <w:pPr>
        <w:pStyle w:val="Code"/>
      </w:pPr>
      <w:r>
        <w:t xml:space="preserve">pivot-function-name= </w:t>
      </w:r>
    </w:p>
    <w:p w:rsidR="000A156F" w:rsidRDefault="00A9721F">
      <w:pPr>
        <w:pStyle w:val="Code"/>
      </w:pPr>
      <w:r>
        <w:t>predefined-function-name - pivot-function-invalid-name;</w:t>
      </w:r>
    </w:p>
    <w:p w:rsidR="000A156F" w:rsidRDefault="00A9721F">
      <w:pPr>
        <w:pStyle w:val="Code"/>
      </w:pPr>
      <w:r>
        <w:t>pivot-function-invalid-name=</w:t>
      </w:r>
    </w:p>
    <w:p w:rsidR="000A156F" w:rsidRDefault="00A9721F">
      <w:pPr>
        <w:pStyle w:val="Code"/>
      </w:pPr>
      <w:r>
        <w:t xml:space="preserve">"GETPIVOTDATA" | "DCOUNT" | "DCOUNTA" | "DSUM" | "DAVERAGE" | </w:t>
      </w:r>
    </w:p>
    <w:p w:rsidR="000A156F" w:rsidRDefault="00A9721F">
      <w:pPr>
        <w:pStyle w:val="Code"/>
      </w:pPr>
      <w:r>
        <w:t xml:space="preserve">"DMIN" | "MAX" | "DPRODUCT" | "DSTDEV" | "DSTDEVP" | "DVAR" | </w:t>
      </w:r>
    </w:p>
    <w:p w:rsidR="000A156F" w:rsidRDefault="00A9721F">
      <w:pPr>
        <w:pStyle w:val="Code"/>
      </w:pPr>
      <w:r>
        <w:t xml:space="preserve">"DVARP" | "INDEX" | "RAND" | "NOW" | "AREAS" | "ROWS" | "COLUMNS" | </w:t>
      </w:r>
    </w:p>
    <w:p w:rsidR="000A156F" w:rsidRDefault="00A9721F">
      <w:pPr>
        <w:pStyle w:val="Code"/>
      </w:pPr>
      <w:r>
        <w:t>"OFFSET" | "CELL" | "INDIRECT" | "TODAY" | "INFO" | "RANDBETWEEN" ;</w:t>
      </w:r>
    </w:p>
    <w:p w:rsidR="000A156F" w:rsidRDefault="00A9721F">
      <w:pPr>
        <w:pStyle w:val="Code"/>
      </w:pPr>
      <w:r>
        <w:t>pivot-field-name=</w:t>
      </w:r>
    </w:p>
    <w:p w:rsidR="000A156F" w:rsidRDefault="00A9721F">
      <w:pPr>
        <w:pStyle w:val="Code"/>
      </w:pPr>
      <w:r>
        <w:t>name – pivot-invalid-name |</w:t>
      </w:r>
    </w:p>
    <w:p w:rsidR="000A156F" w:rsidRDefault="00A9721F">
      <w:pPr>
        <w:pStyle w:val="Code"/>
      </w:pPr>
      <w:r>
        <w:t xml:space="preserve">"’" [pivot-field-string-chars] "’" ; </w:t>
      </w:r>
    </w:p>
    <w:p w:rsidR="000A156F" w:rsidRDefault="00A9721F">
      <w:pPr>
        <w:pStyle w:val="Code"/>
      </w:pPr>
      <w:r>
        <w:t>pivot-invalid-name=</w:t>
      </w:r>
    </w:p>
    <w:p w:rsidR="000A156F" w:rsidRDefault="00A9721F">
      <w:pPr>
        <w:pStyle w:val="Code"/>
      </w:pPr>
      <w:r>
        <w:t>"All" | "Blank</w:t>
      </w:r>
      <w:r>
        <w:t>" ;</w:t>
      </w:r>
    </w:p>
    <w:p w:rsidR="000A156F" w:rsidRDefault="00A9721F">
      <w:pPr>
        <w:pStyle w:val="Code"/>
      </w:pPr>
      <w:r>
        <w:t>pivot-field-string-chars=</w:t>
      </w:r>
    </w:p>
    <w:p w:rsidR="000A156F" w:rsidRDefault="00A9721F">
      <w:pPr>
        <w:pStyle w:val="Code"/>
      </w:pPr>
      <w:r>
        <w:t>pivot-field-string-char, { pivot-field-string-chars} ;</w:t>
      </w:r>
    </w:p>
    <w:p w:rsidR="000A156F" w:rsidRDefault="00A9721F">
      <w:pPr>
        <w:pStyle w:val="Code"/>
      </w:pPr>
      <w:r>
        <w:t>pivot-field-string-char=</w:t>
      </w:r>
    </w:p>
    <w:p w:rsidR="000A156F" w:rsidRDefault="00A9721F">
      <w:pPr>
        <w:pStyle w:val="Code"/>
      </w:pPr>
      <w:r>
        <w:t>"’’" |</w:t>
      </w:r>
    </w:p>
    <w:p w:rsidR="000A156F" w:rsidRDefault="00A9721F">
      <w:pPr>
        <w:pStyle w:val="Code"/>
      </w:pPr>
      <w:r>
        <w:t xml:space="preserve">character - "’" ; </w:t>
      </w:r>
    </w:p>
    <w:p w:rsidR="000A156F" w:rsidRDefault="00A9721F">
      <w:pPr>
        <w:pStyle w:val="Heading6"/>
      </w:pPr>
      <w:bookmarkStart w:id="4022" w:name="section_4f7eca6a309a4694aad918b5e4e30124"/>
      <w:bookmarkStart w:id="4023" w:name="_Toc181685036"/>
      <w:r>
        <w:t>Calculated Item Formulas</w:t>
      </w:r>
      <w:bookmarkEnd w:id="4022"/>
      <w:bookmarkEnd w:id="4023"/>
      <w:r>
        <w:fldChar w:fldCharType="begin"/>
      </w:r>
      <w:r>
        <w:instrText xml:space="preserve"> XE "Calculated Item Formulas" </w:instrText>
      </w:r>
      <w:r>
        <w:fldChar w:fldCharType="end"/>
      </w:r>
    </w:p>
    <w:p w:rsidR="000A156F" w:rsidRDefault="00A9721F">
      <w:r>
        <w:t xml:space="preserve">A calculated item formula defines calculations using the </w:t>
      </w:r>
      <w:r>
        <w:t>contents of items in a PivotTable.</w:t>
      </w:r>
    </w:p>
    <w:p w:rsidR="000A156F" w:rsidRDefault="00A9721F">
      <w:r>
        <w:t>The only names calculated item formula shall use are names of fields and items defined within the PivotTable the formula is used for.</w:t>
      </w:r>
    </w:p>
    <w:p w:rsidR="000A156F" w:rsidRDefault="00A9721F">
      <w:r>
        <w:t>A calculated item formula has the following form:</w:t>
      </w:r>
    </w:p>
    <w:p w:rsidR="000A156F" w:rsidRDefault="00A9721F">
      <w:pPr>
        <w:pStyle w:val="Code"/>
      </w:pPr>
      <w:r>
        <w:t>pivot-item-formula=</w:t>
      </w:r>
    </w:p>
    <w:p w:rsidR="000A156F" w:rsidRDefault="00A9721F">
      <w:pPr>
        <w:pStyle w:val="Code"/>
      </w:pPr>
      <w:r>
        <w:t>pivot-item-expres</w:t>
      </w:r>
      <w:r>
        <w:t>sion ;</w:t>
      </w:r>
    </w:p>
    <w:p w:rsidR="000A156F" w:rsidRDefault="00A9721F">
      <w:pPr>
        <w:pStyle w:val="Code"/>
      </w:pPr>
      <w:r>
        <w:t>pivot-item-expression= {space}, pivot-nospace-item-expression, {space} ;</w:t>
      </w:r>
    </w:p>
    <w:p w:rsidR="000A156F" w:rsidRDefault="00A9721F">
      <w:pPr>
        <w:pStyle w:val="Code"/>
      </w:pPr>
      <w:r>
        <w:t>pivot-nospace-item-expression=</w:t>
      </w:r>
    </w:p>
    <w:p w:rsidR="000A156F" w:rsidRDefault="00A9721F">
      <w:pPr>
        <w:pStyle w:val="Code"/>
      </w:pPr>
      <w:r>
        <w:t xml:space="preserve">"(", pivot-item-expression, ")" | </w:t>
      </w:r>
    </w:p>
    <w:p w:rsidR="000A156F" w:rsidRDefault="00A9721F">
      <w:pPr>
        <w:pStyle w:val="Code"/>
      </w:pPr>
      <w:r>
        <w:t xml:space="preserve">pivot-constant | </w:t>
      </w:r>
    </w:p>
    <w:p w:rsidR="000A156F" w:rsidRDefault="00A9721F">
      <w:pPr>
        <w:pStyle w:val="Code"/>
      </w:pPr>
      <w:r>
        <w:t xml:space="preserve">prefix-operator, pivot-item-expression | </w:t>
      </w:r>
    </w:p>
    <w:p w:rsidR="000A156F" w:rsidRDefault="00A9721F">
      <w:pPr>
        <w:pStyle w:val="Code"/>
      </w:pPr>
      <w:r>
        <w:t>pivot-item-expression, pivot-infix-operator, pivot</w:t>
      </w:r>
      <w:r>
        <w:t xml:space="preserve">-item-expression | </w:t>
      </w:r>
    </w:p>
    <w:p w:rsidR="000A156F" w:rsidRDefault="00A9721F">
      <w:pPr>
        <w:pStyle w:val="Code"/>
      </w:pPr>
      <w:r>
        <w:t xml:space="preserve">pivot-item-expression, postfix-operator | </w:t>
      </w:r>
    </w:p>
    <w:p w:rsidR="000A156F" w:rsidRDefault="00A9721F">
      <w:pPr>
        <w:pStyle w:val="Code"/>
      </w:pPr>
      <w:r>
        <w:t xml:space="preserve">pivot-item-function-call | </w:t>
      </w:r>
    </w:p>
    <w:p w:rsidR="000A156F" w:rsidRDefault="00A9721F">
      <w:pPr>
        <w:pStyle w:val="Code"/>
      </w:pPr>
      <w:r>
        <w:t>pivot-items ;</w:t>
      </w:r>
    </w:p>
    <w:p w:rsidR="000A156F" w:rsidRDefault="00A9721F">
      <w:pPr>
        <w:pStyle w:val="Code"/>
      </w:pPr>
      <w:r>
        <w:t>pivot-item-function-call=</w:t>
      </w:r>
    </w:p>
    <w:p w:rsidR="000A156F" w:rsidRDefault="00A9721F">
      <w:pPr>
        <w:pStyle w:val="Code"/>
      </w:pPr>
      <w:r>
        <w:lastRenderedPageBreak/>
        <w:t>pivot-function-name, "(", pivot-item-function-argument-list, ")" ;</w:t>
      </w:r>
    </w:p>
    <w:p w:rsidR="000A156F" w:rsidRDefault="00A9721F">
      <w:pPr>
        <w:pStyle w:val="Code"/>
      </w:pPr>
      <w:r>
        <w:t>pivot-item-function-argument-list=</w:t>
      </w:r>
    </w:p>
    <w:p w:rsidR="000A156F" w:rsidRDefault="00A9721F">
      <w:pPr>
        <w:pStyle w:val="Code"/>
      </w:pPr>
      <w:r>
        <w:t>[pivot-item-expression]</w:t>
      </w:r>
      <w:r>
        <w:t>, { comma, pivot-item-function-argument-list} ;</w:t>
      </w:r>
    </w:p>
    <w:p w:rsidR="000A156F" w:rsidRDefault="00A9721F">
      <w:pPr>
        <w:pStyle w:val="Code"/>
      </w:pPr>
      <w:r>
        <w:t>pivot-items=</w:t>
      </w:r>
    </w:p>
    <w:p w:rsidR="000A156F" w:rsidRDefault="00A9721F">
      <w:pPr>
        <w:pStyle w:val="Code"/>
      </w:pPr>
      <w:r>
        <w:t>pivot_item, [ space, {space}, pivot-items] ;</w:t>
      </w:r>
    </w:p>
    <w:p w:rsidR="000A156F" w:rsidRDefault="00A9721F">
      <w:pPr>
        <w:pStyle w:val="Code"/>
      </w:pPr>
      <w:r>
        <w:t>pivot-item=</w:t>
      </w:r>
    </w:p>
    <w:p w:rsidR="000A156F" w:rsidRDefault="00A9721F">
      <w:pPr>
        <w:pStyle w:val="Code"/>
      </w:pPr>
      <w:r>
        <w:t>pivot-item-name |</w:t>
      </w:r>
    </w:p>
    <w:p w:rsidR="000A156F" w:rsidRDefault="00A9721F">
      <w:pPr>
        <w:pStyle w:val="Code"/>
      </w:pPr>
      <w:r>
        <w:t>pivot-field-name, "[", pivot-item-value, "]" ;</w:t>
      </w:r>
    </w:p>
    <w:p w:rsidR="000A156F" w:rsidRDefault="00A9721F">
      <w:pPr>
        <w:pStyle w:val="Code"/>
      </w:pPr>
      <w:r>
        <w:t>pivot-item-name=</w:t>
      </w:r>
    </w:p>
    <w:p w:rsidR="000A156F" w:rsidRDefault="00A9721F">
      <w:pPr>
        <w:pStyle w:val="Code"/>
      </w:pPr>
      <w:r>
        <w:t>pivot-field-name</w:t>
      </w:r>
    </w:p>
    <w:p w:rsidR="000A156F" w:rsidRDefault="00A9721F">
      <w:pPr>
        <w:pStyle w:val="Code"/>
      </w:pPr>
      <w:r>
        <w:t>pivot-item-value=</w:t>
      </w:r>
    </w:p>
    <w:p w:rsidR="000A156F" w:rsidRDefault="00A9721F">
      <w:pPr>
        <w:pStyle w:val="Code"/>
      </w:pPr>
      <w:r>
        <w:t xml:space="preserve">pivot-item-name | </w:t>
      </w:r>
    </w:p>
    <w:p w:rsidR="000A156F" w:rsidRDefault="00A9721F">
      <w:pPr>
        <w:pStyle w:val="Code"/>
      </w:pPr>
      <w:r>
        <w:t>[sign], whole-number-part</w:t>
      </w:r>
    </w:p>
    <w:p w:rsidR="000A156F" w:rsidRDefault="00A9721F">
      <w:r>
        <w:t xml:space="preserve">pivot-item refers to an item either by its name or by position. </w:t>
      </w:r>
    </w:p>
    <w:p w:rsidR="000A156F" w:rsidRDefault="00A9721F">
      <w:r>
        <w:t>pivot-item-name refers to an item by its name.</w:t>
      </w:r>
    </w:p>
    <w:p w:rsidR="000A156F" w:rsidRDefault="00A9721F">
      <w:r>
        <w:t>pivot-field-name [pivot-item-name] refers to an item by its field name and its own name. This notation shall be used t</w:t>
      </w:r>
      <w:r>
        <w:t>o avoid #NAME? errors when two items in two different fields have the same name.</w:t>
      </w:r>
    </w:p>
    <w:p w:rsidR="000A156F" w:rsidRDefault="00A9721F">
      <w:r>
        <w:t>pivot-field-name[whole-number-part] refers to an item by its position in the PivotTable as currently sorted and displayed. The item referred to in this way can change whenever</w:t>
      </w:r>
      <w:r>
        <w:t xml:space="preserve"> the positions of items change or different items are displayed or hidden. Hidden items are not counted in this index. </w:t>
      </w:r>
    </w:p>
    <w:p w:rsidR="000A156F" w:rsidRDefault="00A9721F">
      <w:r>
        <w:t>pivot-field-name [sign whole-number-part] refers to an item using relative positions. The positions are determined relative to the calcu</w:t>
      </w:r>
      <w:r>
        <w:t xml:space="preserve">lated item that contains the formula. </w:t>
      </w:r>
    </w:p>
    <w:p w:rsidR="000A156F" w:rsidRDefault="00A9721F">
      <w:pPr>
        <w:pStyle w:val="Heading5"/>
      </w:pPr>
      <w:bookmarkStart w:id="4024" w:name="section_9892ca2173c94655b488f146c6dd5a94"/>
      <w:bookmarkStart w:id="4025" w:name="_Toc181685037"/>
      <w:r>
        <w:t>OLE Link Formulas</w:t>
      </w:r>
      <w:bookmarkEnd w:id="4024"/>
      <w:bookmarkEnd w:id="4025"/>
      <w:r>
        <w:fldChar w:fldCharType="begin"/>
      </w:r>
      <w:r>
        <w:instrText xml:space="preserve"> XE "OLE Link Formulas" </w:instrText>
      </w:r>
      <w:r>
        <w:fldChar w:fldCharType="end"/>
      </w:r>
    </w:p>
    <w:p w:rsidR="000A156F" w:rsidRDefault="00A9721F">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 oleItem"). The </w:t>
      </w:r>
      <w:r>
        <w:rPr>
          <w:b/>
        </w:rPr>
        <w:t>name</w:t>
      </w:r>
      <w:r>
        <w:t xml:space="preserve"> att</w:t>
      </w:r>
      <w:r>
        <w:t xml:space="preserve">ribute of the </w:t>
      </w:r>
      <w:r>
        <w:rPr>
          <w:b/>
        </w:rPr>
        <w:t>oleItem</w:t>
      </w:r>
      <w:r>
        <w:t xml:space="preserve"> element shall be "</w:t>
      </w:r>
      <w:r>
        <w:rPr>
          <w:i/>
        </w:rPr>
        <w:t>'</w:t>
      </w:r>
      <w:r>
        <w:t>" (apostrophe, 0x0027).</w:t>
      </w:r>
    </w:p>
    <w:p w:rsidR="000A156F" w:rsidRDefault="00A9721F">
      <w:pPr>
        <w:pStyle w:val="Code"/>
      </w:pPr>
      <w:r>
        <w:t>book-prefix, apostrophe, apostrophe, apostrophe, apostrophe ;</w:t>
      </w:r>
    </w:p>
    <w:p w:rsidR="000A156F" w:rsidRDefault="00A9721F">
      <w:r>
        <w:rPr>
          <w:rStyle w:val="InlineCode"/>
        </w:rPr>
        <w:t>book-prefix</w:t>
      </w:r>
      <w:r>
        <w:t xml:space="preserve"> refers to an </w:t>
      </w:r>
      <w:r>
        <w:rPr>
          <w:b/>
        </w:rPr>
        <w:t>externalLink</w:t>
      </w:r>
      <w:r>
        <w:t xml:space="preserve"> ("[ISO/IEC-29500-1] §18.14.8; externalLink") part containing the </w:t>
      </w:r>
      <w:r>
        <w:rPr>
          <w:b/>
        </w:rPr>
        <w:t>oleItem</w:t>
      </w:r>
      <w:r>
        <w:t xml:space="preserve"> element.</w:t>
      </w:r>
    </w:p>
    <w:p w:rsidR="000A156F" w:rsidRDefault="00A9721F">
      <w:pPr>
        <w:pStyle w:val="Heading2"/>
      </w:pPr>
      <w:bookmarkStart w:id="4026" w:name="section_e1dbdf0a99d84eb886db8675dfc45826"/>
      <w:bookmarkStart w:id="4027" w:name="_Toc181685038"/>
      <w:r>
        <w:t>PowerPoin</w:t>
      </w:r>
      <w:r>
        <w:t>t</w:t>
      </w:r>
      <w:bookmarkEnd w:id="4026"/>
      <w:bookmarkEnd w:id="4027"/>
      <w:r>
        <w:fldChar w:fldCharType="begin"/>
      </w:r>
      <w:r>
        <w:instrText xml:space="preserve"> XE "PowerPoint (Additional Information)" </w:instrText>
      </w:r>
      <w:r>
        <w:fldChar w:fldCharType="end"/>
      </w:r>
    </w:p>
    <w:p w:rsidR="000A156F" w:rsidRDefault="00A9721F">
      <w:r>
        <w:t xml:space="preserve">This section contains additional information used to more fully describe how PowerPoint implements Office Open XML File Formats </w:t>
      </w:r>
      <w:hyperlink r:id="rId336">
        <w:r>
          <w:rPr>
            <w:rStyle w:val="Hyperlink"/>
          </w:rPr>
          <w:t>[ISO/IEC-29500-1</w:t>
        </w:r>
        <w:r>
          <w:rPr>
            <w:rStyle w:val="Hyperlink"/>
          </w:rPr>
          <w:t>]</w:t>
        </w:r>
      </w:hyperlink>
      <w:r>
        <w:t>.</w:t>
      </w:r>
    </w:p>
    <w:p w:rsidR="000A156F" w:rsidRDefault="00A9721F">
      <w:pPr>
        <w:pStyle w:val="Heading3"/>
      </w:pPr>
      <w:bookmarkStart w:id="4028" w:name="section_f38134c7bd874b8fb4d48fc5c2b1ec2a"/>
      <w:bookmarkStart w:id="4029" w:name="_Toc181685039"/>
      <w:r>
        <w:t>Additional Parts</w:t>
      </w:r>
      <w:bookmarkEnd w:id="4028"/>
      <w:bookmarkEnd w:id="4029"/>
      <w:r>
        <w:fldChar w:fldCharType="begin"/>
      </w:r>
      <w:r>
        <w:instrText xml:space="preserve"> XE "Additional Parts" </w:instrText>
      </w:r>
      <w:r>
        <w:fldChar w:fldCharType="end"/>
      </w:r>
    </w:p>
    <w:p w:rsidR="000A156F" w:rsidRDefault="00A9721F">
      <w:r>
        <w:t>The subclauses subordinate to this one describe in detail each of the part types specific to PowerPoint in addition to those listed as part of Office Open XML File Formats ("</w:t>
      </w:r>
      <w:hyperlink r:id="rId337">
        <w:r>
          <w:rPr>
            <w:rStyle w:val="Hyperlink"/>
          </w:rPr>
          <w:t>[ISO/IEC-29500-1]</w:t>
        </w:r>
      </w:hyperlink>
      <w:r>
        <w:t xml:space="preserve"> §13").</w:t>
      </w:r>
    </w:p>
    <w:p w:rsidR="000A156F" w:rsidRDefault="00A9721F">
      <w:pPr>
        <w:pStyle w:val="Heading4"/>
      </w:pPr>
      <w:bookmarkStart w:id="4030" w:name="section_40b7fcb52a8347efb0a42ac4d13aa6e1"/>
      <w:bookmarkStart w:id="4031" w:name="_Toc181685040"/>
      <w:r>
        <w:t>Legacy Diagram Text part</w:t>
      </w:r>
      <w:bookmarkEnd w:id="4030"/>
      <w:bookmarkEnd w:id="4031"/>
      <w:r>
        <w:fldChar w:fldCharType="begin"/>
      </w:r>
      <w:r>
        <w:instrText xml:space="preserve"> XE "Legacy Diagram Text part" </w:instrText>
      </w:r>
      <w:r>
        <w:fldChar w:fldCharType="end"/>
      </w:r>
    </w:p>
    <w:p w:rsidR="000A156F" w:rsidRDefault="00A9721F">
      <w:r>
        <w:rPr>
          <w:b/>
          <w:i/>
        </w:rPr>
        <w:t>Content Type</w:t>
      </w:r>
    </w:p>
    <w:p w:rsidR="000A156F" w:rsidRDefault="00A9721F">
      <w:r>
        <w:rPr>
          <w:i/>
        </w:rPr>
        <w:t>application/vnd.ms-office.legacyDiagramText</w:t>
      </w:r>
    </w:p>
    <w:p w:rsidR="000A156F" w:rsidRDefault="00A9721F">
      <w:r>
        <w:rPr>
          <w:b/>
          <w:i/>
        </w:rPr>
        <w:t>Root Namespace</w:t>
      </w:r>
    </w:p>
    <w:p w:rsidR="000A156F" w:rsidRDefault="00A9721F">
      <w:r>
        <w:rPr>
          <w:i/>
        </w:rPr>
        <w:lastRenderedPageBreak/>
        <w:t>not applicable</w:t>
      </w:r>
    </w:p>
    <w:p w:rsidR="000A156F" w:rsidRDefault="00A9721F">
      <w:r>
        <w:rPr>
          <w:b/>
          <w:i/>
        </w:rPr>
        <w:t>Source Relationship</w:t>
      </w:r>
    </w:p>
    <w:p w:rsidR="000A156F" w:rsidRDefault="00A9721F">
      <w:r>
        <w:rPr>
          <w:i/>
        </w:rPr>
        <w:t>http://schemas.microsoft.com/office/2006/relationships/legacyDiagramText</w:t>
      </w:r>
    </w:p>
    <w:p w:rsidR="000A156F" w:rsidRDefault="00A9721F">
      <w:r>
        <w:t>An instance of this part type contains a portion of text within a legacy diagram. Each instance of this part type shall uniquely represent a portion of text within a single diagram co</w:t>
      </w:r>
      <w:r>
        <w:t>ntained within the presentation.</w:t>
      </w:r>
    </w:p>
    <w:p w:rsidR="000A156F" w:rsidRDefault="00A9721F">
      <w:r>
        <w:t>A package shall contain one Legacy Diagram Text part for each portion of legacy diagram text within the presentation. If they exist, those parts shall each be the target of an explicit relationship from the corresponding VM</w:t>
      </w:r>
      <w:r>
        <w:t>L Drawing part ("</w:t>
      </w:r>
      <w:hyperlink r:id="rId338">
        <w:r>
          <w:rPr>
            <w:rStyle w:val="Hyperlink"/>
          </w:rPr>
          <w:t>[ISO/IEC-29500-4]</w:t>
        </w:r>
      </w:hyperlink>
      <w:r>
        <w:t xml:space="preserve"> §8.1; VML Drawing Part").</w:t>
      </w:r>
    </w:p>
    <w:p w:rsidR="000A156F" w:rsidRDefault="00A9721F">
      <w:r>
        <w:t xml:space="preserve">The Legacy Diagram Text part is binary information that is defined in the PowerPoint 97-2003 Binary File Format (.ppt) Structure </w:t>
      </w:r>
      <w:r>
        <w:t>Specification (“</w:t>
      </w:r>
      <w:hyperlink r:id="rId339" w:anchor="Section_6be79dde33c14c1b8ccc4b2301c08662">
        <w:r>
          <w:rPr>
            <w:rStyle w:val="Hyperlink"/>
          </w:rPr>
          <w:t>[MS-PPT]</w:t>
        </w:r>
      </w:hyperlink>
      <w:r>
        <w:t xml:space="preserve"> Section 2.9.76; OfficeArtClientTextbox”).</w:t>
      </w:r>
    </w:p>
    <w:p w:rsidR="000A156F" w:rsidRDefault="00A9721F">
      <w:r>
        <w:t>A Legacy Diagram Text part shall be located within the package containing the source relationship (expressed sy</w:t>
      </w:r>
      <w:r>
        <w:t xml:space="preserve">ntactically, the </w:t>
      </w:r>
      <w:r>
        <w:rPr>
          <w:b/>
        </w:rPr>
        <w:t>TargetMode</w:t>
      </w:r>
      <w:r>
        <w:t xml:space="preserve"> attribute of the </w:t>
      </w:r>
      <w:r>
        <w:rPr>
          <w:b/>
        </w:rPr>
        <w:t>Relationship</w:t>
      </w:r>
      <w:r>
        <w:t xml:space="preserve"> element shall be </w:t>
      </w:r>
      <w:r>
        <w:rPr>
          <w:i/>
        </w:rPr>
        <w:t>Internal</w:t>
      </w:r>
      <w:r>
        <w:t>).</w:t>
      </w:r>
    </w:p>
    <w:p w:rsidR="000A156F" w:rsidRDefault="00A9721F">
      <w:r>
        <w:t xml:space="preserve">A Legacy Diagram Text part shall not have implicit or explicit relationships to any other part defined by Office Open XML File Formats </w:t>
      </w:r>
      <w:hyperlink r:id="rId340">
        <w:r>
          <w:rPr>
            <w:rStyle w:val="Hyperlink"/>
          </w:rPr>
          <w:t>[ISO/IEC-29500-1]</w:t>
        </w:r>
      </w:hyperlink>
      <w:r>
        <w:t>.</w:t>
      </w:r>
    </w:p>
    <w:p w:rsidR="000A156F" w:rsidRDefault="00A9721F">
      <w:pPr>
        <w:pStyle w:val="Heading4"/>
      </w:pPr>
      <w:bookmarkStart w:id="4032" w:name="section_7add4897f6cd429f8e0504ad5a270def"/>
      <w:bookmarkStart w:id="4033" w:name="_Toc181685041"/>
      <w:r>
        <w:t>Legacy Diagram Text Info part</w:t>
      </w:r>
      <w:bookmarkEnd w:id="4032"/>
      <w:bookmarkEnd w:id="4033"/>
      <w:r>
        <w:fldChar w:fldCharType="begin"/>
      </w:r>
      <w:r>
        <w:instrText xml:space="preserve"> XE "Legacy Diagram Text Info part" </w:instrText>
      </w:r>
      <w:r>
        <w:fldChar w:fldCharType="end"/>
      </w:r>
    </w:p>
    <w:p w:rsidR="000A156F" w:rsidRDefault="00A9721F">
      <w:r>
        <w:rPr>
          <w:b/>
          <w:i/>
        </w:rPr>
        <w:t>Content Type</w:t>
      </w:r>
    </w:p>
    <w:p w:rsidR="000A156F" w:rsidRDefault="00A9721F">
      <w:r>
        <w:rPr>
          <w:i/>
        </w:rPr>
        <w:t>application/vnd.ms-office.legacyDocTextInfo</w:t>
      </w:r>
    </w:p>
    <w:p w:rsidR="000A156F" w:rsidRDefault="00A9721F">
      <w:r>
        <w:rPr>
          <w:b/>
          <w:i/>
        </w:rPr>
        <w:t>Root Namespace</w:t>
      </w:r>
    </w:p>
    <w:p w:rsidR="000A156F" w:rsidRDefault="00A9721F">
      <w:r>
        <w:rPr>
          <w:i/>
        </w:rPr>
        <w:t>not applicable</w:t>
      </w:r>
    </w:p>
    <w:p w:rsidR="000A156F" w:rsidRDefault="00A9721F">
      <w:r>
        <w:rPr>
          <w:b/>
          <w:i/>
        </w:rPr>
        <w:t>Source Relationship</w:t>
      </w:r>
    </w:p>
    <w:p w:rsidR="000A156F" w:rsidRDefault="00A9721F">
      <w:r>
        <w:rPr>
          <w:i/>
        </w:rPr>
        <w:t>http://schemas.microsoft.com/office/2006/relationships/legacyDocTextInfo</w:t>
      </w:r>
    </w:p>
    <w:p w:rsidR="000A156F" w:rsidRDefault="00A9721F">
      <w:r>
        <w:t>An instance of this part type contains the text styling information for all legacy diagram text contained within the presentation.</w:t>
      </w:r>
    </w:p>
    <w:p w:rsidR="000A156F" w:rsidRDefault="00A9721F">
      <w:r>
        <w:t>A package shall contain at most one Legacy Diagram T</w:t>
      </w:r>
      <w:r>
        <w:t>ext Info part, and that part shall be the target of an implicit relationship from the Presentation part ("</w:t>
      </w:r>
      <w:hyperlink r:id="rId341">
        <w:r>
          <w:rPr>
            <w:rStyle w:val="Hyperlink"/>
          </w:rPr>
          <w:t>[ISO/IEC-29500-1]</w:t>
        </w:r>
      </w:hyperlink>
      <w:r>
        <w:t xml:space="preserve"> §13.3.6").</w:t>
      </w:r>
    </w:p>
    <w:p w:rsidR="000A156F" w:rsidRDefault="00A9721F">
      <w:r>
        <w:t>The Legacy Diagram Text Info part is binary information</w:t>
      </w:r>
      <w:r>
        <w:t xml:space="preserve">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rsidR="000A156F" w:rsidRDefault="00A9721F">
      <w:r>
        <w:t>A Legacy Diagram Text part sha</w:t>
      </w:r>
      <w:r>
        <w:t xml:space="preserve">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A156F" w:rsidRDefault="00A9721F">
      <w:r>
        <w:t>A Legacy Diagram Text part shall not have implicit or explicit relationships to any other</w:t>
      </w:r>
      <w:r>
        <w:t xml:space="preserve"> part defined by Office Open XML File Formats [ISO/IEC-29500-1].</w:t>
      </w:r>
    </w:p>
    <w:p w:rsidR="000A156F" w:rsidRDefault="00A9721F">
      <w:pPr>
        <w:pStyle w:val="Heading4"/>
      </w:pPr>
      <w:bookmarkStart w:id="4034" w:name="section_adb4ca1d99144d6aaf38755990ac9427"/>
      <w:bookmarkStart w:id="4035" w:name="_Toc181685042"/>
      <w:r>
        <w:t>SmartTags part</w:t>
      </w:r>
      <w:bookmarkEnd w:id="4034"/>
      <w:bookmarkEnd w:id="4035"/>
      <w:r>
        <w:fldChar w:fldCharType="begin"/>
      </w:r>
      <w:r>
        <w:instrText xml:space="preserve"> XE "SmartTags part" </w:instrText>
      </w:r>
      <w:r>
        <w:fldChar w:fldCharType="end"/>
      </w:r>
    </w:p>
    <w:p w:rsidR="000A156F" w:rsidRDefault="00A9721F">
      <w:r>
        <w:rPr>
          <w:b/>
          <w:i/>
        </w:rPr>
        <w:t>Content Type</w:t>
      </w:r>
    </w:p>
    <w:p w:rsidR="000A156F" w:rsidRDefault="00A9721F">
      <w:r>
        <w:rPr>
          <w:i/>
        </w:rPr>
        <w:t>application/vnd.ms-powerpoint.smartTags</w:t>
      </w:r>
    </w:p>
    <w:p w:rsidR="000A156F" w:rsidRDefault="00A9721F">
      <w:r>
        <w:rPr>
          <w:b/>
          <w:i/>
        </w:rPr>
        <w:t>Root Namespace</w:t>
      </w:r>
    </w:p>
    <w:p w:rsidR="000A156F" w:rsidRDefault="00A9721F">
      <w:r>
        <w:rPr>
          <w:i/>
        </w:rPr>
        <w:lastRenderedPageBreak/>
        <w:t>not applicable</w:t>
      </w:r>
    </w:p>
    <w:p w:rsidR="000A156F" w:rsidRDefault="00A9721F">
      <w:r>
        <w:rPr>
          <w:b/>
          <w:i/>
        </w:rPr>
        <w:t>Source Relationship</w:t>
      </w:r>
    </w:p>
    <w:p w:rsidR="000A156F" w:rsidRDefault="00A9721F">
      <w:r>
        <w:rPr>
          <w:i/>
        </w:rPr>
        <w:t>http://schemas.microsoft.com/office/2006/relations</w:t>
      </w:r>
      <w:r>
        <w:rPr>
          <w:i/>
        </w:rPr>
        <w:t>hips/smartTags</w:t>
      </w:r>
    </w:p>
    <w:p w:rsidR="000A156F" w:rsidRDefault="00A9721F">
      <w:r>
        <w:t>An instance of this part type contains the smart data information for all smart tag-referring text contained within the presentation.</w:t>
      </w:r>
    </w:p>
    <w:p w:rsidR="000A156F" w:rsidRDefault="00A9721F">
      <w:r>
        <w:t>A package shall contain at most one SmartTag part, and that part shall be the target of an explicit relatio</w:t>
      </w:r>
      <w:r>
        <w:t>nship from the Presentation part ("</w:t>
      </w:r>
      <w:hyperlink r:id="rId343">
        <w:r>
          <w:rPr>
            <w:rStyle w:val="Hyperlink"/>
          </w:rPr>
          <w:t>[ISO/IEC-29500-1]</w:t>
        </w:r>
      </w:hyperlink>
      <w:r>
        <w:t xml:space="preserve"> §13.3.6").</w:t>
      </w:r>
    </w:p>
    <w:p w:rsidR="000A156F" w:rsidRDefault="00A9721F">
      <w:r>
        <w:t xml:space="preserve">The SmartTags part is binary information that is defined in the PowerPoint 97-2003 Binary File Format (.ppt) Structure </w:t>
      </w:r>
      <w:r>
        <w:t>Specification (“</w:t>
      </w:r>
      <w:hyperlink r:id="rId344" w:anchor="Section_6be79dde33c14c1b8ccc4b2301c08662">
        <w:r>
          <w:rPr>
            <w:rStyle w:val="Hyperlink"/>
          </w:rPr>
          <w:t>[MS-PPT]</w:t>
        </w:r>
      </w:hyperlink>
      <w:r>
        <w:t xml:space="preserve"> Section 2.11.28; SmartTagStore11Container”).</w:t>
      </w:r>
    </w:p>
    <w:p w:rsidR="000A156F" w:rsidRDefault="00A9721F">
      <w:r>
        <w:t>A SmartTags part shall be located within the package containing the source relationship (expressed syntactic</w:t>
      </w:r>
      <w:r>
        <w:t xml:space="preserve">ally, the </w:t>
      </w:r>
      <w:r>
        <w:rPr>
          <w:b/>
        </w:rPr>
        <w:t>TargetMode</w:t>
      </w:r>
      <w:r>
        <w:t xml:space="preserve"> attribute of the </w:t>
      </w:r>
      <w:r>
        <w:rPr>
          <w:b/>
        </w:rPr>
        <w:t>Relationship</w:t>
      </w:r>
      <w:r>
        <w:t xml:space="preserve"> element shall be </w:t>
      </w:r>
      <w:r>
        <w:rPr>
          <w:i/>
        </w:rPr>
        <w:t>Internal</w:t>
      </w:r>
      <w:r>
        <w:t>).</w:t>
      </w:r>
    </w:p>
    <w:p w:rsidR="000A156F" w:rsidRDefault="00A9721F">
      <w:r>
        <w:t>A SmartTags part shall not have implicit or explicit relationships to any other part defined by Office Open XML File Formats [ISO/IEC-29500-1].</w:t>
      </w:r>
    </w:p>
    <w:p w:rsidR="000A156F" w:rsidRDefault="00A9721F">
      <w:pPr>
        <w:pStyle w:val="Heading2"/>
      </w:pPr>
      <w:bookmarkStart w:id="4036" w:name="section_e06f6ba680494bd3ae632fa63cd0536c"/>
      <w:bookmarkStart w:id="4037" w:name="_Toc181685043"/>
      <w:r>
        <w:t>Shared</w:t>
      </w:r>
      <w:bookmarkEnd w:id="4036"/>
      <w:bookmarkEnd w:id="4037"/>
      <w:r>
        <w:fldChar w:fldCharType="begin"/>
      </w:r>
      <w:r>
        <w:instrText xml:space="preserve"> XE "Shared (Additional Inf</w:instrText>
      </w:r>
      <w:r>
        <w:instrText xml:space="preserve">ormation)" </w:instrText>
      </w:r>
      <w:r>
        <w:fldChar w:fldCharType="end"/>
      </w:r>
    </w:p>
    <w:p w:rsidR="000A156F" w:rsidRDefault="00A9721F">
      <w:r>
        <w:t xml:space="preserve">This section contains additional information used to more fully describe how Office implements Office Open XML File Formats </w:t>
      </w:r>
      <w:hyperlink r:id="rId345">
        <w:r>
          <w:rPr>
            <w:rStyle w:val="Hyperlink"/>
          </w:rPr>
          <w:t>[ISO/IEC-29500-1]</w:t>
        </w:r>
      </w:hyperlink>
      <w:r>
        <w:t>.</w:t>
      </w:r>
    </w:p>
    <w:p w:rsidR="000A156F" w:rsidRDefault="00A9721F">
      <w:pPr>
        <w:pStyle w:val="Heading3"/>
      </w:pPr>
      <w:bookmarkStart w:id="4038" w:name="section_5c1cca76e68e452b921dd7e83877de45"/>
      <w:bookmarkStart w:id="4039" w:name="_Toc181685044"/>
      <w:r>
        <w:t>Additional Parts</w:t>
      </w:r>
      <w:bookmarkEnd w:id="4038"/>
      <w:bookmarkEnd w:id="4039"/>
      <w:r>
        <w:fldChar w:fldCharType="begin"/>
      </w:r>
      <w:r>
        <w:instrText xml:space="preserve"> XE "Additional P</w:instrText>
      </w:r>
      <w:r>
        <w:instrText xml:space="preserve">arts" </w:instrText>
      </w:r>
      <w:r>
        <w:fldChar w:fldCharType="end"/>
      </w:r>
    </w:p>
    <w:p w:rsidR="000A156F" w:rsidRDefault="00A9721F">
      <w:r>
        <w:t>The subclauses subordinate to this one describe in detail each of the shared part types in addition to those listed in Office Open XML File Formats ("</w:t>
      </w:r>
      <w:hyperlink r:id="rId346">
        <w:r>
          <w:rPr>
            <w:rStyle w:val="Hyperlink"/>
          </w:rPr>
          <w:t>[ISO/IEC-29500-1]</w:t>
        </w:r>
      </w:hyperlink>
      <w:r>
        <w:t xml:space="preserve"> §15").</w:t>
      </w:r>
    </w:p>
    <w:p w:rsidR="000A156F" w:rsidRDefault="00A9721F">
      <w:pPr>
        <w:pStyle w:val="Heading4"/>
      </w:pPr>
      <w:bookmarkStart w:id="4040" w:name="section_2c6688debe084ffaac5432d19ebc4ca3"/>
      <w:bookmarkStart w:id="4041" w:name="_Toc181685045"/>
      <w:r>
        <w:t>Embedd</w:t>
      </w:r>
      <w:r>
        <w:t>ed Control Persistence Binary Data Part</w:t>
      </w:r>
      <w:bookmarkEnd w:id="4040"/>
      <w:bookmarkEnd w:id="4041"/>
      <w:r>
        <w:fldChar w:fldCharType="begin"/>
      </w:r>
      <w:r>
        <w:instrText xml:space="preserve"> XE "Embedded Control Persistence Binary Data Part" </w:instrText>
      </w:r>
      <w:r>
        <w:fldChar w:fldCharType="end"/>
      </w:r>
    </w:p>
    <w:p w:rsidR="000A156F" w:rsidRDefault="00A9721F">
      <w:r>
        <w:rPr>
          <w:b/>
          <w:i/>
        </w:rPr>
        <w:t>Content Type</w:t>
      </w:r>
    </w:p>
    <w:p w:rsidR="000A156F" w:rsidRDefault="00A9721F">
      <w:r>
        <w:rPr>
          <w:i/>
        </w:rPr>
        <w:t xml:space="preserve">Binary data representing various properties of an ActiveX control, a standard COM picture object, or a standard COM font object which are persisted </w:t>
      </w:r>
      <w:r>
        <w:rPr>
          <w:i/>
        </w:rPr>
        <w:t>using persistStorage, persistStream, or persistStreamInit, as indicated by the persistence attribute of the corresponding Embedded Control Persistence part ("</w:t>
      </w:r>
      <w:hyperlink r:id="rId347">
        <w:r>
          <w:rPr>
            <w:rStyle w:val="Hyperlink"/>
          </w:rPr>
          <w:t>[ISO/IEC-29500-1]</w:t>
        </w:r>
      </w:hyperlink>
      <w:r>
        <w:rPr>
          <w:i/>
        </w:rPr>
        <w:t xml:space="preserve"> §15.2.9").</w:t>
      </w:r>
    </w:p>
    <w:p w:rsidR="000A156F" w:rsidRDefault="00A9721F">
      <w:r>
        <w:rPr>
          <w:i/>
        </w:rPr>
        <w:t>[No</w:t>
      </w:r>
      <w:r>
        <w:rPr>
          <w:i/>
        </w:rPr>
        <w:t>te: The content of the binary data shall be solely determined by the corresponding object. end note]</w:t>
      </w:r>
    </w:p>
    <w:p w:rsidR="000A156F" w:rsidRDefault="00A9721F">
      <w:r>
        <w:rPr>
          <w:b/>
          <w:i/>
        </w:rPr>
        <w:t>Root Namespace</w:t>
      </w:r>
    </w:p>
    <w:p w:rsidR="000A156F" w:rsidRDefault="00A9721F">
      <w:r>
        <w:rPr>
          <w:i/>
        </w:rPr>
        <w:t>not applicable</w:t>
      </w:r>
    </w:p>
    <w:p w:rsidR="000A156F" w:rsidRDefault="00A9721F">
      <w:r>
        <w:rPr>
          <w:b/>
          <w:i/>
        </w:rPr>
        <w:t>Source Relationship</w:t>
      </w:r>
    </w:p>
    <w:p w:rsidR="000A156F" w:rsidRDefault="00A9721F">
      <w:r>
        <w:rPr>
          <w:i/>
        </w:rPr>
        <w:t>http://schemas.microsoft.com/office/2006/relationships/activeXControlBinary</w:t>
      </w:r>
    </w:p>
    <w:p w:rsidR="000A156F" w:rsidRDefault="00A9721F">
      <w:r>
        <w:t>An instance of this part cont</w:t>
      </w:r>
      <w:r>
        <w:t>ains information about an embedded control in the package. This information is provided by the specified control when asked to persist.</w:t>
      </w:r>
    </w:p>
    <w:p w:rsidR="000A156F" w:rsidRDefault="00A9721F">
      <w:r>
        <w:t>A package is permitted to contain one or more Embedded Control Persistence Binary Data parts, and each such part shall b</w:t>
      </w:r>
      <w:r>
        <w:t xml:space="preserve">e the target of an explicit relationship in an Embedded Control Persistence ("[ISO/IEC-29500-1] §15.2.9") part-relationship item in a WordprocessingML package; a Worksheet part ("[ISO/IEC-29500-1] §12.3.24") in a SpreadsheetML package; or a Handout Master </w:t>
      </w:r>
      <w:r>
        <w:t xml:space="preserve">("[ISO/IEC-29500-1] §13.3.3"), Notes Master ("[ISO/IEC-29500-1] §13.3.4"), Notes Slide ("[ISO/IEC-29500-1] </w:t>
      </w:r>
      <w:r>
        <w:lastRenderedPageBreak/>
        <w:t>§13.3.5"), Slide ("[ISO/IEC-29500-1] §13.3.8"), Slide Layout ("[ISO/IEC-29500-1] §13.3.9"), or Slide Master ("[ISO/IEC-29500-1] §13.3.10") part-relat</w:t>
      </w:r>
      <w:r>
        <w:t>ionship item in a PresentationML package.</w:t>
      </w:r>
    </w:p>
    <w:p w:rsidR="000A156F" w:rsidRDefault="00A9721F">
      <w:r>
        <w:t>The content type of this part shall determine the internal format and contents of the embedded control.</w:t>
      </w:r>
    </w:p>
    <w:p w:rsidR="000A156F" w:rsidRDefault="00A9721F">
      <w:r>
        <w:t>[Example: The following example shows the persistence that could be used for an embedded ActiveX control withi</w:t>
      </w:r>
      <w:r>
        <w:t>n a WordprocessingML document:</w:t>
      </w:r>
    </w:p>
    <w:p w:rsidR="000A156F" w:rsidRDefault="00A9721F">
      <w:pPr>
        <w:pStyle w:val="Code"/>
      </w:pPr>
      <w:r>
        <w:t>&lt;ax:ocx ax:classid="{C74190B6-8589-11D1-B16A-00C0F0283628}" ax:license="9368265E-85FE-11d1-8BE3-0000F8754DA1" ax:persistence="persistStorage" r:id="rId1" xmlns:ax="http://schemas.microsoft.com/office/2006/activeX" xmlns:r="ht</w:t>
      </w:r>
      <w:r>
        <w:t>tp://schemas.openxmlformats.org/officeDocument/2006/relationships"/&gt;</w:t>
      </w:r>
    </w:p>
    <w:p w:rsidR="000A156F" w:rsidRDefault="00A9721F">
      <w:r>
        <w:t xml:space="preserve"> The relationship type for rId1 is: </w:t>
      </w:r>
      <w:r>
        <w:rPr>
          <w:rStyle w:val="InlineCode"/>
        </w:rPr>
        <w:t>http://schemas.microsoft.com/office/2006/relationships/activeXControlBinary</w:t>
      </w:r>
    </w:p>
    <w:p w:rsidR="000A156F" w:rsidRDefault="00A9721F">
      <w:r>
        <w:t>The content of the part referenced by rId1 could be any binary data that ca</w:t>
      </w:r>
      <w:r>
        <w:t>n be interpreted by the corresponding control. end example]</w:t>
      </w:r>
    </w:p>
    <w:p w:rsidR="000A156F" w:rsidRDefault="00A9721F">
      <w:r>
        <w:t xml:space="preserve">An Embedded Control Persistence Binary Data part shall be located within the package containing the source relationship (expressed syntactically, the </w:t>
      </w:r>
      <w:r>
        <w:rPr>
          <w:b/>
        </w:rPr>
        <w:t>TargetMode</w:t>
      </w:r>
      <w:r>
        <w:t xml:space="preserve"> attribute of the </w:t>
      </w:r>
      <w:r>
        <w:rPr>
          <w:b/>
        </w:rPr>
        <w:t>Relationship</w:t>
      </w:r>
      <w:r>
        <w:t xml:space="preserve"> eleme</w:t>
      </w:r>
      <w:r>
        <w:t xml:space="preserve">nt shall be </w:t>
      </w:r>
      <w:r>
        <w:rPr>
          <w:i/>
        </w:rPr>
        <w:t>Internal</w:t>
      </w:r>
      <w:r>
        <w:t>).</w:t>
      </w:r>
    </w:p>
    <w:p w:rsidR="000A156F" w:rsidRDefault="00A9721F">
      <w:r>
        <w:t>An Embedded Control Persistence Binary Data part shall not have any implicit or explicit relationships to other parts defined by Office Open XML File Formats [ISO/IEC-29500-1].</w:t>
      </w:r>
    </w:p>
    <w:p w:rsidR="000A156F" w:rsidRDefault="00A9721F">
      <w:pPr>
        <w:pStyle w:val="Heading4"/>
      </w:pPr>
      <w:bookmarkStart w:id="4042" w:name="section_55d273e4770e48bc883fc66dc2816d30"/>
      <w:bookmarkStart w:id="4043" w:name="_Toc181685046"/>
      <w:r>
        <w:t>Quick Access Toolbar Customizations Part</w:t>
      </w:r>
      <w:bookmarkEnd w:id="4042"/>
      <w:bookmarkEnd w:id="4043"/>
      <w:r>
        <w:fldChar w:fldCharType="begin"/>
      </w:r>
      <w:r>
        <w:instrText xml:space="preserve"> XE "Quick Acces</w:instrText>
      </w:r>
      <w:r>
        <w:instrText xml:space="preserve">s Toolbar Customizations Part" </w:instrText>
      </w:r>
      <w:r>
        <w:fldChar w:fldCharType="end"/>
      </w:r>
    </w:p>
    <w:p w:rsidR="000A156F" w:rsidRDefault="00A9721F">
      <w:r>
        <w:rPr>
          <w:b/>
          <w:i/>
        </w:rPr>
        <w:t>Content Type</w:t>
      </w:r>
    </w:p>
    <w:p w:rsidR="000A156F" w:rsidRDefault="00A9721F">
      <w:r>
        <w:rPr>
          <w:i/>
        </w:rPr>
        <w:t>application/xml</w:t>
      </w:r>
    </w:p>
    <w:p w:rsidR="000A156F" w:rsidRDefault="00A9721F">
      <w:r>
        <w:rPr>
          <w:b/>
          <w:i/>
        </w:rPr>
        <w:t>Root Namespace</w:t>
      </w:r>
    </w:p>
    <w:p w:rsidR="000A156F" w:rsidRDefault="00A9721F">
      <w:r>
        <w:rPr>
          <w:i/>
        </w:rPr>
        <w:t>http://schemas.microsoft.com/office/2006/01/customui</w:t>
      </w:r>
    </w:p>
    <w:p w:rsidR="000A156F" w:rsidRDefault="00A9721F">
      <w:r>
        <w:rPr>
          <w:b/>
          <w:i/>
        </w:rPr>
        <w:t>Source Relationship</w:t>
      </w:r>
    </w:p>
    <w:p w:rsidR="000A156F" w:rsidRDefault="00A9721F">
      <w:r>
        <w:rPr>
          <w:i/>
        </w:rPr>
        <w:t>http://schemas.microsoft.com/office/2006/relationships/ui/userCustomization</w:t>
      </w:r>
    </w:p>
    <w:p w:rsidR="000A156F" w:rsidRDefault="00A9721F">
      <w:r>
        <w:t>An instance of this part type</w:t>
      </w:r>
      <w:r>
        <w:t xml:space="preserve"> contains information about the quick access toolbar customizations (</w:t>
      </w:r>
      <w:hyperlink r:id="rId348" w:anchor="Section_31f152d62a5d4b50a8679dbc6d01aa43">
        <w:r>
          <w:rPr>
            <w:rStyle w:val="Hyperlink"/>
          </w:rPr>
          <w:t>[MS-CUSTOMUI]</w:t>
        </w:r>
      </w:hyperlink>
      <w:r>
        <w:t xml:space="preserve">) specific to this package. </w:t>
      </w:r>
    </w:p>
    <w:p w:rsidR="000A156F" w:rsidRDefault="00A9721F">
      <w:r>
        <w:t>[Example: A user customized the quick access toolbar for his W</w:t>
      </w:r>
      <w:r>
        <w:t>ordProcessingML document to contain the UI controls that they commonly use. end example]</w:t>
      </w:r>
    </w:p>
    <w:p w:rsidR="000A156F" w:rsidRDefault="00A9721F">
      <w:r>
        <w:t>A package is permitted to contain at most one Quick Access Toolbar Customizations part, and that part shall be the target of a relationship in the package-relationship</w:t>
      </w:r>
      <w:r>
        <w:t xml:space="preserve"> item for the document.</w:t>
      </w:r>
    </w:p>
    <w:p w:rsidR="000A156F" w:rsidRDefault="00A9721F">
      <w:r>
        <w:t>[Example: The following package part-relationship item contains a relationship to a Quick Access Toolbar Customizations part, which is stored in the ZIP item /userCustomization/customUI.xml:</w:t>
      </w:r>
    </w:p>
    <w:p w:rsidR="000A156F" w:rsidRDefault="00A9721F">
      <w:pPr>
        <w:pStyle w:val="Code"/>
      </w:pPr>
      <w:r>
        <w:t>&lt;Relationships xmlns="…"&gt;</w:t>
      </w:r>
    </w:p>
    <w:p w:rsidR="000A156F" w:rsidRDefault="00A9721F">
      <w:pPr>
        <w:pStyle w:val="Code"/>
      </w:pPr>
      <w:r>
        <w:t>&lt;Relationship I</w:t>
      </w:r>
      <w:r>
        <w:t xml:space="preserve">d="rId2" </w:t>
      </w:r>
    </w:p>
    <w:p w:rsidR="000A156F" w:rsidRDefault="00A9721F">
      <w:pPr>
        <w:pStyle w:val="Code"/>
      </w:pPr>
      <w:r>
        <w:t>Type="http://…/2006/relationships/ui/userCustomization"</w:t>
      </w:r>
    </w:p>
    <w:p w:rsidR="000A156F" w:rsidRDefault="00A9721F">
      <w:pPr>
        <w:pStyle w:val="Code"/>
      </w:pPr>
      <w:r>
        <w:t>Target="/userCustomization/customUI.xml" /&gt;</w:t>
      </w:r>
    </w:p>
    <w:p w:rsidR="000A156F" w:rsidRDefault="00A9721F">
      <w:pPr>
        <w:pStyle w:val="Code"/>
      </w:pPr>
      <w:r>
        <w:t>&lt;/Relationships&gt;</w:t>
      </w:r>
    </w:p>
    <w:p w:rsidR="000A156F" w:rsidRDefault="00A9721F">
      <w:r>
        <w:lastRenderedPageBreak/>
        <w:t>end example]</w:t>
      </w:r>
    </w:p>
    <w:p w:rsidR="000A156F" w:rsidRDefault="00A9721F">
      <w:r>
        <w:t xml:space="preserve">The root element for a part of this content type shall be </w:t>
      </w:r>
      <w:r>
        <w:rPr>
          <w:b/>
        </w:rPr>
        <w:t>customUI</w:t>
      </w:r>
      <w:r>
        <w:t>.</w:t>
      </w:r>
    </w:p>
    <w:p w:rsidR="000A156F" w:rsidRDefault="00A9721F">
      <w:r>
        <w:t xml:space="preserve">[Example: The following Quick Access Toolbar Customizations content markup would specify that the control with ID </w:t>
      </w:r>
      <w:r>
        <w:rPr>
          <w:i/>
        </w:rPr>
        <w:t xml:space="preserve">SpellingAndGrammar </w:t>
      </w:r>
      <w:r>
        <w:t>should be added to the quick access toolbar for the package:</w:t>
      </w:r>
    </w:p>
    <w:p w:rsidR="000A156F" w:rsidRDefault="00A9721F">
      <w:pPr>
        <w:pStyle w:val="Code"/>
      </w:pPr>
      <w:r>
        <w:t>&lt;mso:customUI xmlns:mso="http://schemas.microsoft.com/office/2</w:t>
      </w:r>
      <w:r>
        <w:t>006/01/customui"&gt;</w:t>
      </w:r>
    </w:p>
    <w:p w:rsidR="000A156F" w:rsidRDefault="00A9721F">
      <w:pPr>
        <w:pStyle w:val="Code"/>
      </w:pPr>
      <w:r>
        <w:t>&lt;mso:ribbon&gt;</w:t>
      </w:r>
    </w:p>
    <w:p w:rsidR="000A156F" w:rsidRDefault="00A9721F">
      <w:pPr>
        <w:pStyle w:val="Code"/>
      </w:pPr>
      <w:r>
        <w:t>&lt;mso:qat&gt;</w:t>
      </w:r>
    </w:p>
    <w:p w:rsidR="000A156F" w:rsidRDefault="00A9721F">
      <w:pPr>
        <w:pStyle w:val="Code"/>
      </w:pPr>
      <w:r>
        <w:t>&lt;mso:documentControls&gt;</w:t>
      </w:r>
    </w:p>
    <w:p w:rsidR="000A156F" w:rsidRDefault="00A9721F">
      <w:pPr>
        <w:pStyle w:val="Code"/>
      </w:pPr>
      <w:r>
        <w:t>&lt;mso:control idQ="mso:SpellingAndGrammar" visible="true" /&gt;</w:t>
      </w:r>
    </w:p>
    <w:p w:rsidR="000A156F" w:rsidRDefault="00A9721F">
      <w:pPr>
        <w:pStyle w:val="Code"/>
      </w:pPr>
      <w:r>
        <w:t>&lt;/mso:documentControls&gt;</w:t>
      </w:r>
    </w:p>
    <w:p w:rsidR="000A156F" w:rsidRDefault="00A9721F">
      <w:pPr>
        <w:pStyle w:val="Code"/>
      </w:pPr>
      <w:r>
        <w:t>&lt;/mso:qat&gt;</w:t>
      </w:r>
    </w:p>
    <w:p w:rsidR="000A156F" w:rsidRDefault="00A9721F">
      <w:pPr>
        <w:pStyle w:val="Code"/>
      </w:pPr>
      <w:r>
        <w:t>&lt;/mso:ribbon&gt;</w:t>
      </w:r>
    </w:p>
    <w:p w:rsidR="000A156F" w:rsidRDefault="00A9721F">
      <w:pPr>
        <w:pStyle w:val="Code"/>
      </w:pPr>
      <w:r>
        <w:t>&lt;/mso:customUI&gt;</w:t>
      </w:r>
    </w:p>
    <w:p w:rsidR="000A156F" w:rsidRDefault="00A9721F">
      <w:r>
        <w:t>end example]</w:t>
      </w:r>
    </w:p>
    <w:p w:rsidR="000A156F" w:rsidRDefault="00A9721F">
      <w:r>
        <w:t>A Quick Access Toolbar Customizations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A156F" w:rsidRDefault="00A9721F">
      <w:r>
        <w:t>A Quick Access Toolbar Customizations part shall not have implicit or explicit relationships to a</w:t>
      </w:r>
      <w:r>
        <w:t xml:space="preserve">ny other part defined by Office Open XML File Formats </w:t>
      </w:r>
      <w:hyperlink r:id="rId349">
        <w:r>
          <w:rPr>
            <w:rStyle w:val="Hyperlink"/>
          </w:rPr>
          <w:t>[ISO/IEC-29500-1]</w:t>
        </w:r>
      </w:hyperlink>
      <w:r>
        <w:t>.</w:t>
      </w:r>
    </w:p>
    <w:p w:rsidR="000A156F" w:rsidRDefault="00A9721F">
      <w:pPr>
        <w:pStyle w:val="Heading4"/>
      </w:pPr>
      <w:bookmarkStart w:id="4044" w:name="section_2d3ee2da8f774b08bc2b651e568af3ab"/>
      <w:bookmarkStart w:id="4045" w:name="_Toc181685047"/>
      <w:r>
        <w:t>CustomUI Part</w:t>
      </w:r>
      <w:bookmarkEnd w:id="4044"/>
      <w:bookmarkEnd w:id="4045"/>
      <w:r>
        <w:fldChar w:fldCharType="begin"/>
      </w:r>
      <w:r>
        <w:instrText xml:space="preserve"> XE "CustomUI Part" </w:instrText>
      </w:r>
      <w:r>
        <w:fldChar w:fldCharType="end"/>
      </w:r>
    </w:p>
    <w:p w:rsidR="000A156F" w:rsidRDefault="00A9721F">
      <w:r>
        <w:rPr>
          <w:b/>
          <w:i/>
        </w:rPr>
        <w:t>Content Type</w:t>
      </w:r>
    </w:p>
    <w:p w:rsidR="000A156F" w:rsidRDefault="00A9721F">
      <w:r>
        <w:rPr>
          <w:i/>
        </w:rPr>
        <w:t>application/xml</w:t>
      </w:r>
    </w:p>
    <w:p w:rsidR="000A156F" w:rsidRDefault="00A9721F">
      <w:r>
        <w:rPr>
          <w:b/>
          <w:i/>
        </w:rPr>
        <w:t>Root Namespace</w:t>
      </w:r>
    </w:p>
    <w:p w:rsidR="000A156F" w:rsidRDefault="00A9721F">
      <w:r>
        <w:rPr>
          <w:i/>
        </w:rPr>
        <w:t>http://schemas.microsoft.com/office/2</w:t>
      </w:r>
      <w:r>
        <w:rPr>
          <w:i/>
        </w:rPr>
        <w:t>006/01/customui</w:t>
      </w:r>
    </w:p>
    <w:p w:rsidR="000A156F" w:rsidRDefault="00A9721F">
      <w:r>
        <w:rPr>
          <w:b/>
          <w:i/>
        </w:rPr>
        <w:t>Source Relationship</w:t>
      </w:r>
    </w:p>
    <w:p w:rsidR="000A156F" w:rsidRDefault="00A9721F">
      <w:r>
        <w:rPr>
          <w:i/>
        </w:rPr>
        <w:t>http://schemas.microsoft.com/office/2006/relationships/ui/extensibility</w:t>
      </w:r>
    </w:p>
    <w:p w:rsidR="000A156F" w:rsidRDefault="00A9721F">
      <w:r>
        <w:t>An instance of this part type contains information about the Ribbon customizations (</w:t>
      </w:r>
      <w:hyperlink r:id="rId350" w:anchor="Section_31f152d62a5d4b50a8679dbc6d01aa43">
        <w:r>
          <w:rPr>
            <w:rStyle w:val="Hyperlink"/>
          </w:rPr>
          <w:t>[MS-CUSTOMUI]</w:t>
        </w:r>
      </w:hyperlink>
      <w:r>
        <w:t xml:space="preserve">) specific to this package. </w:t>
      </w:r>
    </w:p>
    <w:p w:rsidR="000A156F" w:rsidRDefault="00A9721F">
      <w:r>
        <w:t>[Example: A SpreadsheetML document that represents a timecard could contain custom UI controls to guide the user in filling out the t</w:t>
      </w:r>
      <w:r>
        <w:t>imecard. end example]</w:t>
      </w:r>
    </w:p>
    <w:p w:rsidR="000A156F" w:rsidRDefault="00A9721F">
      <w:r>
        <w:t>A package is permitted to contain at most one CustomUI part, and that part shall be the target of a relationship in the package-relationship item for the document.</w:t>
      </w:r>
    </w:p>
    <w:p w:rsidR="000A156F" w:rsidRDefault="00A9721F">
      <w:r>
        <w:t>[Example: The following package part-relationship item contains a rela</w:t>
      </w:r>
      <w:r>
        <w:t>tionship to a CustomUI part, which is stored in the ZIP item /customUI/customUI.xml:</w:t>
      </w:r>
    </w:p>
    <w:p w:rsidR="000A156F" w:rsidRDefault="00A9721F">
      <w:pPr>
        <w:pStyle w:val="Code"/>
      </w:pPr>
      <w:r>
        <w:t>&lt;Relationships xmlns="…"&gt;</w:t>
      </w:r>
    </w:p>
    <w:p w:rsidR="000A156F" w:rsidRDefault="00A9721F">
      <w:pPr>
        <w:pStyle w:val="Code"/>
      </w:pPr>
      <w:r>
        <w:t xml:space="preserve">&lt;Relationship Id="rId5"  </w:t>
      </w:r>
    </w:p>
    <w:p w:rsidR="000A156F" w:rsidRDefault="00A9721F">
      <w:pPr>
        <w:pStyle w:val="Code"/>
      </w:pPr>
      <w:r>
        <w:t>Type="http://…/2006/relationships/ui/extensibility"</w:t>
      </w:r>
    </w:p>
    <w:p w:rsidR="000A156F" w:rsidRDefault="00A9721F">
      <w:pPr>
        <w:pStyle w:val="Code"/>
      </w:pPr>
      <w:r>
        <w:t>Target="/customUI/customUI.xml" /&gt;</w:t>
      </w:r>
    </w:p>
    <w:p w:rsidR="000A156F" w:rsidRDefault="00A9721F">
      <w:pPr>
        <w:pStyle w:val="Code"/>
      </w:pPr>
      <w:r>
        <w:t>&lt;/Relationships&gt;</w:t>
      </w:r>
    </w:p>
    <w:p w:rsidR="000A156F" w:rsidRDefault="00A9721F">
      <w:r>
        <w:t>end example]</w:t>
      </w:r>
    </w:p>
    <w:p w:rsidR="000A156F" w:rsidRDefault="00A9721F">
      <w:r>
        <w:lastRenderedPageBreak/>
        <w:t xml:space="preserve">The root element for a part of this content type shall be </w:t>
      </w:r>
      <w:r>
        <w:rPr>
          <w:b/>
        </w:rPr>
        <w:t>customUI</w:t>
      </w:r>
      <w:r>
        <w:t>.</w:t>
      </w:r>
    </w:p>
    <w:p w:rsidR="000A156F" w:rsidRDefault="00A9721F">
      <w:r>
        <w:t xml:space="preserve">[Example: The following CustomUI content markup would specify that the ribbon tab with ID </w:t>
      </w:r>
      <w:r>
        <w:rPr>
          <w:i/>
        </w:rPr>
        <w:t>TabHome</w:t>
      </w:r>
      <w:r>
        <w:t xml:space="preserve"> should be hidden for the containing package:</w:t>
      </w:r>
    </w:p>
    <w:p w:rsidR="000A156F" w:rsidRDefault="00A9721F">
      <w:pPr>
        <w:pStyle w:val="Code"/>
      </w:pPr>
      <w:r>
        <w:t>&lt;customUI xmlns="http://schemas.microsoft.com</w:t>
      </w:r>
      <w:r>
        <w:t>/office/2006/01/customui"&gt;</w:t>
      </w:r>
    </w:p>
    <w:p w:rsidR="000A156F" w:rsidRDefault="00A9721F">
      <w:pPr>
        <w:pStyle w:val="Code"/>
      </w:pPr>
      <w:r>
        <w:t>&lt;ribbon&gt;</w:t>
      </w:r>
    </w:p>
    <w:p w:rsidR="000A156F" w:rsidRDefault="00A9721F">
      <w:pPr>
        <w:pStyle w:val="Code"/>
      </w:pPr>
      <w:r>
        <w:t>&lt;tabs&gt;</w:t>
      </w:r>
    </w:p>
    <w:p w:rsidR="000A156F" w:rsidRDefault="00A9721F">
      <w:pPr>
        <w:pStyle w:val="Code"/>
      </w:pPr>
      <w:r>
        <w:t>&lt;tab idMso="TabHome" visible="false" /&gt;</w:t>
      </w:r>
    </w:p>
    <w:p w:rsidR="000A156F" w:rsidRDefault="00A9721F">
      <w:pPr>
        <w:pStyle w:val="Code"/>
      </w:pPr>
      <w:r>
        <w:t>&lt;/tabs&gt;</w:t>
      </w:r>
    </w:p>
    <w:p w:rsidR="000A156F" w:rsidRDefault="00A9721F">
      <w:pPr>
        <w:pStyle w:val="Code"/>
      </w:pPr>
      <w:r>
        <w:t>&lt;/ribbon&gt;</w:t>
      </w:r>
    </w:p>
    <w:p w:rsidR="000A156F" w:rsidRDefault="00A9721F">
      <w:pPr>
        <w:pStyle w:val="Code"/>
      </w:pPr>
      <w:r>
        <w:t>&lt;/customUI&gt;</w:t>
      </w:r>
    </w:p>
    <w:p w:rsidR="000A156F" w:rsidRDefault="00A9721F">
      <w:r>
        <w:t>end example]</w:t>
      </w:r>
    </w:p>
    <w:p w:rsidR="000A156F" w:rsidRDefault="00A9721F">
      <w:r>
        <w:t xml:space="preserve">A CustomUI part shall be located within the package containing the source relationship (expressed syntactically, the </w:t>
      </w:r>
      <w:r>
        <w:rPr>
          <w:b/>
        </w:rPr>
        <w:t>TargetMode</w:t>
      </w:r>
      <w:r>
        <w:t xml:space="preserve"> at</w:t>
      </w:r>
      <w:r>
        <w:t xml:space="preserve">tribute of the </w:t>
      </w:r>
      <w:r>
        <w:rPr>
          <w:b/>
        </w:rPr>
        <w:t>Relationship</w:t>
      </w:r>
      <w:r>
        <w:t xml:space="preserve"> element shall be </w:t>
      </w:r>
      <w:r>
        <w:rPr>
          <w:i/>
        </w:rPr>
        <w:t>Internal</w:t>
      </w:r>
      <w:r>
        <w:t>).</w:t>
      </w:r>
    </w:p>
    <w:p w:rsidR="000A156F" w:rsidRDefault="00A9721F">
      <w:r>
        <w:t>A CustomUI part is permitted to have explicit relationships to the following parts defined by Office Open XML File Formats:</w:t>
      </w:r>
    </w:p>
    <w:p w:rsidR="000A156F" w:rsidRDefault="00A9721F">
      <w:pPr>
        <w:pStyle w:val="ListParagraph"/>
        <w:numPr>
          <w:ilvl w:val="0"/>
          <w:numId w:val="208"/>
        </w:numPr>
      </w:pPr>
      <w:r>
        <w:t>Image Part ("</w:t>
      </w:r>
      <w:hyperlink r:id="rId351">
        <w:r>
          <w:rPr>
            <w:rStyle w:val="Hyperlink"/>
          </w:rPr>
          <w:t>[ISO/IEC-29500-1]</w:t>
        </w:r>
      </w:hyperlink>
      <w:r>
        <w:t xml:space="preserve"> §15.2.14")</w:t>
      </w:r>
    </w:p>
    <w:p w:rsidR="000A156F" w:rsidRDefault="00A9721F">
      <w:pPr>
        <w:pStyle w:val="Heading4"/>
      </w:pPr>
      <w:bookmarkStart w:id="4046" w:name="section_12409b35ead94ff8a0815b6ffa64cc0f"/>
      <w:bookmarkStart w:id="4047" w:name="_Toc181685048"/>
      <w:r>
        <w:t>CustomUI2 Part</w:t>
      </w:r>
      <w:bookmarkEnd w:id="4046"/>
      <w:bookmarkEnd w:id="4047"/>
      <w:r>
        <w:fldChar w:fldCharType="begin"/>
      </w:r>
      <w:r>
        <w:instrText xml:space="preserve"> XE "CustomUI2 Part" </w:instrText>
      </w:r>
      <w:r>
        <w:fldChar w:fldCharType="end"/>
      </w:r>
    </w:p>
    <w:p w:rsidR="000A156F" w:rsidRDefault="00A9721F">
      <w:r>
        <w:rPr>
          <w:b/>
          <w:i/>
        </w:rPr>
        <w:t>Content Type</w:t>
      </w:r>
    </w:p>
    <w:p w:rsidR="000A156F" w:rsidRDefault="00A9721F">
      <w:r>
        <w:rPr>
          <w:i/>
        </w:rPr>
        <w:t>application/xml</w:t>
      </w:r>
    </w:p>
    <w:p w:rsidR="000A156F" w:rsidRDefault="00A9721F">
      <w:r>
        <w:rPr>
          <w:b/>
          <w:i/>
        </w:rPr>
        <w:t>Root Namespace</w:t>
      </w:r>
    </w:p>
    <w:p w:rsidR="000A156F" w:rsidRDefault="00A9721F">
      <w:r>
        <w:rPr>
          <w:i/>
        </w:rPr>
        <w:t>http://schemas.microsoft.com/office/2007/10/customui</w:t>
      </w:r>
    </w:p>
    <w:p w:rsidR="000A156F" w:rsidRDefault="00A9721F">
      <w:r>
        <w:rPr>
          <w:b/>
          <w:i/>
        </w:rPr>
        <w:t>Source Relationship</w:t>
      </w:r>
    </w:p>
    <w:p w:rsidR="000A156F" w:rsidRDefault="00A9721F">
      <w:r>
        <w:rPr>
          <w:i/>
        </w:rPr>
        <w:t>http://schemas.microsoft.com/office/2007/relationships/ui/extensibili</w:t>
      </w:r>
      <w:r>
        <w:rPr>
          <w:i/>
        </w:rPr>
        <w:t>ty</w:t>
      </w:r>
    </w:p>
    <w:p w:rsidR="000A156F" w:rsidRDefault="00A9721F">
      <w:r>
        <w:t>An instance of this part type contains information about the Ribbon and Backstage(TM) view customizations (</w:t>
      </w:r>
      <w:hyperlink r:id="rId352" w:anchor="Section_bad56c217b1541bcaf328b5afe6e922e">
        <w:r>
          <w:rPr>
            <w:rStyle w:val="Hyperlink"/>
          </w:rPr>
          <w:t>[MS-CUSTOMUI2]</w:t>
        </w:r>
      </w:hyperlink>
      <w:r>
        <w:t xml:space="preserve">) specific to this package. </w:t>
      </w:r>
    </w:p>
    <w:p w:rsidR="000A156F" w:rsidRDefault="00A9721F">
      <w:r>
        <w:t>[Example: A Spreads</w:t>
      </w:r>
      <w:r>
        <w:t>heetML document that is part of a document management system could contain Backstage controls to guide the user in the document workflow process. end example]</w:t>
      </w:r>
    </w:p>
    <w:p w:rsidR="000A156F" w:rsidRDefault="00A9721F">
      <w:r>
        <w:t>A package is permitted to contain at most one CustomUI2 part, and that part shall be the target o</w:t>
      </w:r>
      <w:r>
        <w:t>f a relationship in the package-relationship item for the document.  If a package contains both a CustomUI and CustomUI2 part then only the CustomUI2 part is applied.  If a package contains a CustomUI part and does not contain a CustomUI2 part then the Cus</w:t>
      </w:r>
      <w:r>
        <w:t>tomUI part is applied.</w:t>
      </w:r>
    </w:p>
    <w:p w:rsidR="000A156F" w:rsidRDefault="00A9721F">
      <w:r>
        <w:t>[Example: The following package part-relationship item contains a relationship to a CustomUI2 part, which is stored in the ZIP item /customUI/customUI2.xml:</w:t>
      </w:r>
    </w:p>
    <w:p w:rsidR="000A156F" w:rsidRDefault="00A9721F">
      <w:pPr>
        <w:pStyle w:val="Code"/>
      </w:pPr>
      <w:r>
        <w:t>&lt;Relationships xmlns="…"&gt;</w:t>
      </w:r>
    </w:p>
    <w:p w:rsidR="000A156F" w:rsidRDefault="00A9721F">
      <w:pPr>
        <w:pStyle w:val="Code"/>
      </w:pPr>
      <w:r>
        <w:t xml:space="preserve">&lt;Relationship Id="rId6"  </w:t>
      </w:r>
    </w:p>
    <w:p w:rsidR="000A156F" w:rsidRDefault="00A9721F">
      <w:pPr>
        <w:pStyle w:val="Code"/>
      </w:pPr>
      <w:r>
        <w:t>Type="http://…/2007/relationships/ui/extensibility"</w:t>
      </w:r>
    </w:p>
    <w:p w:rsidR="000A156F" w:rsidRDefault="00A9721F">
      <w:pPr>
        <w:pStyle w:val="Code"/>
      </w:pPr>
      <w:r>
        <w:t>Target="/customUI/customUI2.xml" /&gt;</w:t>
      </w:r>
    </w:p>
    <w:p w:rsidR="000A156F" w:rsidRDefault="00A9721F">
      <w:pPr>
        <w:pStyle w:val="Code"/>
      </w:pPr>
      <w:r>
        <w:t>&lt;/Relationships&gt;</w:t>
      </w:r>
    </w:p>
    <w:p w:rsidR="000A156F" w:rsidRDefault="00A9721F">
      <w:r>
        <w:t>end example]</w:t>
      </w:r>
    </w:p>
    <w:p w:rsidR="000A156F" w:rsidRDefault="00A9721F">
      <w:r>
        <w:lastRenderedPageBreak/>
        <w:t xml:space="preserve">The root element for a part of this content type shall be </w:t>
      </w:r>
      <w:r>
        <w:rPr>
          <w:b/>
        </w:rPr>
        <w:t>customUI</w:t>
      </w:r>
      <w:r>
        <w:t>.</w:t>
      </w:r>
    </w:p>
    <w:p w:rsidR="000A156F" w:rsidRDefault="00A9721F">
      <w:r>
        <w:t>[Example: The following CustomUI2 content markup would specify that th</w:t>
      </w:r>
      <w:r>
        <w:t xml:space="preserve">e print tab in the Backstage view with ID </w:t>
      </w:r>
      <w:r>
        <w:rPr>
          <w:i/>
        </w:rPr>
        <w:t>PlacePrint</w:t>
      </w:r>
      <w:r>
        <w:t xml:space="preserve"> should be hidden for the containing package:</w:t>
      </w:r>
    </w:p>
    <w:p w:rsidR="000A156F" w:rsidRDefault="00A9721F">
      <w:pPr>
        <w:pStyle w:val="Code"/>
      </w:pPr>
      <w:r>
        <w:t>&lt;customUI xmlns="http://schemas.microsoft.com/office/2007/10/customui"&gt;</w:t>
      </w:r>
    </w:p>
    <w:p w:rsidR="000A156F" w:rsidRDefault="00A9721F">
      <w:pPr>
        <w:pStyle w:val="Code"/>
      </w:pPr>
      <w:r>
        <w:t>&lt;outSpace&gt;</w:t>
      </w:r>
    </w:p>
    <w:p w:rsidR="000A156F" w:rsidRDefault="00A9721F">
      <w:pPr>
        <w:pStyle w:val="Code"/>
      </w:pPr>
      <w:r>
        <w:t>&lt;place idMso="PlacePrint" visible="false" /&gt;</w:t>
      </w:r>
    </w:p>
    <w:p w:rsidR="000A156F" w:rsidRDefault="00A9721F">
      <w:pPr>
        <w:pStyle w:val="Code"/>
      </w:pPr>
      <w:r>
        <w:t>&lt;/outSpace&gt;</w:t>
      </w:r>
    </w:p>
    <w:p w:rsidR="000A156F" w:rsidRDefault="00A9721F">
      <w:pPr>
        <w:pStyle w:val="Code"/>
      </w:pPr>
      <w:r>
        <w:t>&lt;/customUI&gt;</w:t>
      </w:r>
    </w:p>
    <w:p w:rsidR="000A156F" w:rsidRDefault="00A9721F">
      <w:r>
        <w:t>end ex</w:t>
      </w:r>
      <w:r>
        <w:t>ample]</w:t>
      </w:r>
    </w:p>
    <w:p w:rsidR="000A156F" w:rsidRDefault="00A9721F">
      <w:r>
        <w:t xml:space="preserve">A CustomUI2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0A156F" w:rsidRDefault="00A9721F">
      <w:r>
        <w:t>A CustomUI2 part is permitted to have explicit relationships t</w:t>
      </w:r>
      <w:r>
        <w:t>o the following parts defined by Office Open XML File Formats:</w:t>
      </w:r>
    </w:p>
    <w:p w:rsidR="000A156F" w:rsidRDefault="00A9721F">
      <w:pPr>
        <w:pStyle w:val="ListParagraph"/>
        <w:numPr>
          <w:ilvl w:val="0"/>
          <w:numId w:val="209"/>
        </w:numPr>
      </w:pPr>
      <w:r>
        <w:t>Image Part ("</w:t>
      </w:r>
      <w:hyperlink r:id="rId353">
        <w:r>
          <w:rPr>
            <w:rStyle w:val="Hyperlink"/>
          </w:rPr>
          <w:t>[ISO/IEC-29500-1]</w:t>
        </w:r>
      </w:hyperlink>
      <w:r>
        <w:t xml:space="preserve"> §15.2.14")</w:t>
      </w:r>
    </w:p>
    <w:p w:rsidR="000A156F" w:rsidRDefault="00A9721F">
      <w:pPr>
        <w:pStyle w:val="Heading4"/>
      </w:pPr>
      <w:bookmarkStart w:id="4048" w:name="section_c0599e21b77f475e99e0bd647f60bcbb"/>
      <w:bookmarkStart w:id="4049" w:name="_Toc181685049"/>
      <w:r>
        <w:t>Sensitivity Label Information Part</w:t>
      </w:r>
      <w:bookmarkEnd w:id="4048"/>
      <w:bookmarkEnd w:id="4049"/>
      <w:r>
        <w:fldChar w:fldCharType="begin"/>
      </w:r>
      <w:r>
        <w:instrText xml:space="preserve"> XE "Sensitivity Label Information Part" </w:instrText>
      </w:r>
      <w:r>
        <w:fldChar w:fldCharType="end"/>
      </w:r>
    </w:p>
    <w:p w:rsidR="000A156F" w:rsidRDefault="00A9721F">
      <w:r>
        <w:rPr>
          <w:b/>
          <w:i/>
        </w:rPr>
        <w:t>Content</w:t>
      </w:r>
      <w:r>
        <w:rPr>
          <w:b/>
          <w:i/>
        </w:rPr>
        <w:t xml:space="preserve"> Type</w:t>
      </w:r>
    </w:p>
    <w:p w:rsidR="000A156F" w:rsidRDefault="00A9721F">
      <w:r>
        <w:rPr>
          <w:i/>
        </w:rPr>
        <w:t>application/xml</w:t>
      </w:r>
    </w:p>
    <w:p w:rsidR="000A156F" w:rsidRDefault="00A9721F">
      <w:r>
        <w:rPr>
          <w:b/>
          <w:i/>
        </w:rPr>
        <w:t>Root Namespace</w:t>
      </w:r>
    </w:p>
    <w:p w:rsidR="000A156F" w:rsidRDefault="00A9721F">
      <w:pPr>
        <w:rPr>
          <w:i/>
        </w:rPr>
      </w:pPr>
      <w:r>
        <w:rPr>
          <w:i/>
        </w:rPr>
        <w:t>http://schemas.microsoft.com/office/2020/mipLabelMetadata</w:t>
      </w:r>
    </w:p>
    <w:p w:rsidR="000A156F" w:rsidRDefault="00A9721F">
      <w:r>
        <w:rPr>
          <w:b/>
          <w:i/>
        </w:rPr>
        <w:t>Source Relationship</w:t>
      </w:r>
    </w:p>
    <w:p w:rsidR="000A156F" w:rsidRDefault="00A9721F">
      <w:pPr>
        <w:rPr>
          <w:i/>
        </w:rPr>
      </w:pPr>
      <w:r>
        <w:rPr>
          <w:i/>
        </w:rPr>
        <w:t>http://schemas.microsoft.com/office/2020/02/relationships/classificationlabels</w:t>
      </w:r>
    </w:p>
    <w:p w:rsidR="000A156F" w:rsidRDefault="00A9721F">
      <w:r>
        <w:t xml:space="preserve">An instance of this part type contains </w:t>
      </w:r>
      <w:hyperlink w:anchor="gt_ae6b3334-fd18-48b8-81a1-70580357c7ea">
        <w:r>
          <w:rPr>
            <w:rStyle w:val="HyperlinkGreen"/>
            <w:b/>
          </w:rPr>
          <w:t>sensitivity label metadata</w:t>
        </w:r>
      </w:hyperlink>
      <w:r>
        <w:t xml:space="preserve"> specific to this package. </w:t>
      </w:r>
    </w:p>
    <w:p w:rsidR="000A156F" w:rsidRDefault="00A9721F">
      <w:r>
        <w:t>A package is permitted to contain at most one Sensitivity Label Information part, and that part shall be the target of a relationship in the package-relationship i</w:t>
      </w:r>
      <w:r>
        <w:t xml:space="preserve">tem for the document.  If a file contains both a LabelInfo </w:t>
      </w:r>
      <w:hyperlink w:anchor="gt_f3529cd8-50da-4f36-aa0b-66af455edbb6">
        <w:r>
          <w:rPr>
            <w:rStyle w:val="HyperlinkGreen"/>
            <w:b/>
          </w:rPr>
          <w:t>stream</w:t>
        </w:r>
      </w:hyperlink>
      <w:r>
        <w:t xml:space="preserve"> (</w:t>
      </w:r>
      <w:hyperlink r:id="rId354" w:anchor="Section_3c34d72a1a614b52a893196f9157f083">
        <w:r>
          <w:rPr>
            <w:rStyle w:val="Hyperlink"/>
          </w:rPr>
          <w:t>[MS-OFFCRYPTO]</w:t>
        </w:r>
      </w:hyperlink>
      <w:r>
        <w:t xml:space="preserve"> section 2.6.4) and Sensitivi</w:t>
      </w:r>
      <w:r>
        <w:t xml:space="preserve">ty Label Information part in the encrypted package ([MS-OFFCRYPTO] section 2.3.4.4) then only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(IRM)</w:t>
        </w:r>
      </w:hyperlink>
      <w:r>
        <w:t xml:space="preserve"> ([MS-OFFCRYPTO]) then the Sensitivity Label Information part is applied.</w:t>
      </w:r>
    </w:p>
    <w:p w:rsidR="000A156F" w:rsidRDefault="00A9721F">
      <w:r>
        <w:t xml:space="preserve">[Example: The following package part-relationship item contains a relationship to a </w:t>
      </w:r>
      <w:r>
        <w:t>Sensitivity Label Information part, which is stored in the ZIP item /docMetadata/LabelInfo.xml:</w:t>
      </w:r>
    </w:p>
    <w:p w:rsidR="000A156F" w:rsidRDefault="00A9721F">
      <w:pPr>
        <w:pStyle w:val="Code"/>
      </w:pPr>
      <w:r>
        <w:t>&lt;Relationships xmlns="..."&gt;</w:t>
      </w:r>
      <w:r>
        <w:br/>
        <w:t xml:space="preserve">&lt;Relationship Id="rId4" Type="http://schemas.microsoft.com/office/2020/02/relationships/classificationlabels" </w:t>
      </w:r>
      <w:r>
        <w:t>Target="docMetadata/LabelInfo.xml"/&gt;&lt;/Relationships&gt;</w:t>
      </w:r>
    </w:p>
    <w:p w:rsidR="000A156F" w:rsidRDefault="00A9721F">
      <w:r>
        <w:t>end example]</w:t>
      </w:r>
    </w:p>
    <w:p w:rsidR="000A156F" w:rsidRDefault="00A9721F">
      <w:r>
        <w:t xml:space="preserve">The root element for a part of this content type shall be </w:t>
      </w:r>
      <w:r>
        <w:rPr>
          <w:b/>
        </w:rPr>
        <w:t>labelList</w:t>
      </w:r>
      <w:r>
        <w:t xml:space="preserve"> ([MS-OFFCRYPTO] section 2.6.4.3).</w:t>
      </w:r>
    </w:p>
    <w:p w:rsidR="000A156F" w:rsidRDefault="00A9721F">
      <w:r>
        <w:t xml:space="preserve">Some workflows, for example advanced collaboration features using documents uploaded to </w:t>
      </w:r>
      <w:r>
        <w:t xml:space="preserve">Microsoft SharePoint Online, require that writers make the same change to the document. Different </w:t>
      </w:r>
      <w:r>
        <w:lastRenderedPageBreak/>
        <w:t xml:space="preserve">implementations can lead to subtle syntactic differences between the files. Even though the data represented in the parts are identical (and would resolve as </w:t>
      </w:r>
      <w:r>
        <w:t>such if read with a standard XML reader), the files would nonetheless fail to compare byte-for-byte. To solve this issue, the two writers involved must be written cooperatively to ensure stricter rules are followed to guarantee identical XML generation. Th</w:t>
      </w:r>
      <w:r>
        <w:t>ese stricter rules are not a requirement of this schema, but rather in the cooperative generation of XML between two endpoints in this situation. The Microsoft Information Protection SDK version 1.7 (</w:t>
      </w:r>
      <w:hyperlink r:id="rId355">
        <w:r>
          <w:rPr>
            <w:rStyle w:val="Hyperlink"/>
          </w:rPr>
          <w:t>[MSFT-MIPSDK]</w:t>
        </w:r>
      </w:hyperlink>
      <w:r>
        <w:t xml:space="preserve"> </w:t>
      </w:r>
      <w:r>
        <w:t xml:space="preserve">see class PolicyEngine) implements these stricter writing requirements in order to implement the cooperative XML writing necessary to avoid false conflicts when SharePoint Online and a client implementation both need to make the same edit to the part in a </w:t>
      </w:r>
      <w:r>
        <w:t>file in parallel.</w:t>
      </w:r>
    </w:p>
    <w:p w:rsidR="000A156F" w:rsidRDefault="00A9721F">
      <w:pPr>
        <w:pStyle w:val="Heading2"/>
      </w:pPr>
      <w:bookmarkStart w:id="4050" w:name="section_b5ea004721194ae594a163c27af037dd"/>
      <w:bookmarkStart w:id="4051" w:name="_Toc181685050"/>
      <w:r>
        <w:t>Office Well Defined Custom XML Parts</w:t>
      </w:r>
      <w:bookmarkEnd w:id="4050"/>
      <w:bookmarkEnd w:id="4051"/>
      <w:r>
        <w:fldChar w:fldCharType="begin"/>
      </w:r>
      <w:r>
        <w:instrText xml:space="preserve"> XE "Office Well Defined Custom XML Parts (Additional Information)" </w:instrText>
      </w:r>
      <w:r>
        <w:fldChar w:fldCharType="end"/>
      </w:r>
    </w:p>
    <w:p w:rsidR="000A156F" w:rsidRDefault="00A9721F">
      <w:r>
        <w:t>Office reads and writes a set of well-defined Custom XML Parts.  Custom XML Parts, in general, are described in Custom XML Data Sto</w:t>
      </w:r>
      <w:r>
        <w:t>rage Part ("</w:t>
      </w:r>
      <w:hyperlink r:id="rId356">
        <w:r>
          <w:rPr>
            <w:rStyle w:val="Hyperlink"/>
          </w:rPr>
          <w:t>[ISO/IEC-29500-1]</w:t>
        </w:r>
      </w:hyperlink>
      <w:r>
        <w:t xml:space="preserve"> §15.2.5") and Custom XML Data Properties ("[ISO/IEC-29500-1] §22.5"). In addition to implementing the relevant portions of Office Open XML File Formats [ISO/IEC</w:t>
      </w:r>
      <w:r>
        <w:t>-29500-1], Office understands a predefined set of schemas when applied to Custom XML Parts.</w:t>
      </w:r>
    </w:p>
    <w:p w:rsidR="000A156F" w:rsidRDefault="00A9721F">
      <w:r>
        <w:t xml:space="preserve">This clause and its subordinate subclauses describe the structure and content of these well-defined parts.  </w:t>
      </w:r>
    </w:p>
    <w:p w:rsidR="000A156F" w:rsidRDefault="00A9721F">
      <w:r>
        <w:t>[Note: For convenience, information from those subclaus</w:t>
      </w:r>
      <w:r>
        <w:t>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Part</w:t>
            </w:r>
          </w:p>
        </w:tc>
        <w:tc>
          <w:tcPr>
            <w:tcW w:w="0" w:type="auto"/>
            <w:vAlign w:val="center"/>
          </w:tcPr>
          <w:p w:rsidR="000A156F" w:rsidRDefault="00A9721F">
            <w:pPr>
              <w:pStyle w:val="TableHeaderText"/>
            </w:pPr>
            <w:r>
              <w:t>Root Element</w:t>
            </w:r>
          </w:p>
        </w:tc>
        <w:tc>
          <w:tcPr>
            <w:tcW w:w="0" w:type="auto"/>
            <w:vAlign w:val="center"/>
          </w:tcPr>
          <w:p w:rsidR="000A156F" w:rsidRDefault="00A9721F">
            <w:pPr>
              <w:pStyle w:val="TableHeaderText"/>
            </w:pPr>
            <w:r>
              <w:t>Namespace</w:t>
            </w:r>
          </w:p>
        </w:tc>
        <w:tc>
          <w:tcPr>
            <w:tcW w:w="0" w:type="auto"/>
            <w:vAlign w:val="center"/>
          </w:tcPr>
          <w:p w:rsidR="000A156F" w:rsidRDefault="00A9721F">
            <w:pPr>
              <w:pStyle w:val="TableHeaderText"/>
            </w:pPr>
            <w:r>
              <w:t>Ref</w:t>
            </w:r>
          </w:p>
        </w:tc>
      </w:tr>
      <w:tr w:rsidR="000A156F" w:rsidTr="000A156F">
        <w:tc>
          <w:tcPr>
            <w:tcW w:w="0" w:type="auto"/>
            <w:vAlign w:val="center"/>
          </w:tcPr>
          <w:p w:rsidR="000A156F" w:rsidRDefault="00A9721F">
            <w:pPr>
              <w:pStyle w:val="TableBodyText"/>
            </w:pPr>
            <w:r>
              <w:t>Cover Page Properties</w:t>
            </w:r>
          </w:p>
        </w:tc>
        <w:tc>
          <w:tcPr>
            <w:tcW w:w="0" w:type="auto"/>
            <w:vAlign w:val="center"/>
          </w:tcPr>
          <w:p w:rsidR="000A156F" w:rsidRDefault="00A9721F">
            <w:pPr>
              <w:pStyle w:val="TableBodyText"/>
            </w:pPr>
            <w:r>
              <w:t>coverPageProperties</w:t>
            </w:r>
          </w:p>
        </w:tc>
        <w:tc>
          <w:tcPr>
            <w:tcW w:w="0" w:type="auto"/>
            <w:vAlign w:val="center"/>
          </w:tcPr>
          <w:p w:rsidR="000A156F" w:rsidRDefault="00A9721F">
            <w:pPr>
              <w:pStyle w:val="TableBodyText"/>
            </w:pPr>
            <w:r>
              <w:t>http://schemas.microsoft.com/‌office/‌2006/‌coverPageProps</w:t>
            </w:r>
          </w:p>
        </w:tc>
        <w:tc>
          <w:tcPr>
            <w:tcW w:w="0" w:type="auto"/>
            <w:vAlign w:val="center"/>
          </w:tcPr>
          <w:p w:rsidR="000A156F" w:rsidRDefault="00A9721F">
            <w:pPr>
              <w:pStyle w:val="TableBodyText"/>
            </w:pPr>
            <w:hyperlink w:anchor="Section_f13db469a7624a039fbbb4d0fc4affc7">
              <w:r>
                <w:rPr>
                  <w:rStyle w:val="Hyperlink"/>
                </w:rPr>
                <w:t>§3.5.1, Cover Page</w:t>
              </w:r>
              <w:r>
                <w:rPr>
                  <w:rStyle w:val="Hyperlink"/>
                </w:rPr>
                <w:t xml:space="preserve"> Properties</w:t>
              </w:r>
            </w:hyperlink>
          </w:p>
        </w:tc>
      </w:tr>
      <w:tr w:rsidR="000A156F" w:rsidTr="000A156F">
        <w:tc>
          <w:tcPr>
            <w:tcW w:w="0" w:type="auto"/>
            <w:vAlign w:val="center"/>
          </w:tcPr>
          <w:p w:rsidR="000A156F" w:rsidRDefault="00A9721F">
            <w:pPr>
              <w:pStyle w:val="TableBodyText"/>
            </w:pPr>
            <w:r>
              <w:t>Content Type Schema</w:t>
            </w:r>
          </w:p>
        </w:tc>
        <w:tc>
          <w:tcPr>
            <w:tcW w:w="0" w:type="auto"/>
            <w:vAlign w:val="center"/>
          </w:tcPr>
          <w:p w:rsidR="000A156F" w:rsidRDefault="00A9721F">
            <w:pPr>
              <w:pStyle w:val="TableBodyText"/>
            </w:pPr>
            <w:r>
              <w:t>contentTypeSchema</w:t>
            </w:r>
          </w:p>
        </w:tc>
        <w:tc>
          <w:tcPr>
            <w:tcW w:w="0" w:type="auto"/>
            <w:vAlign w:val="center"/>
          </w:tcPr>
          <w:p w:rsidR="000A156F" w:rsidRDefault="00A9721F">
            <w:pPr>
              <w:pStyle w:val="TableBodyText"/>
            </w:pPr>
            <w:r>
              <w:t>http://schemas.microsoft.com/‌office/‌2006/‌metadata/‌contentType</w:t>
            </w:r>
          </w:p>
        </w:tc>
        <w:tc>
          <w:tcPr>
            <w:tcW w:w="0" w:type="auto"/>
            <w:vAlign w:val="center"/>
          </w:tcPr>
          <w:p w:rsidR="000A156F" w:rsidRDefault="00A9721F">
            <w:pPr>
              <w:pStyle w:val="TableBodyText"/>
            </w:pPr>
            <w:hyperlink w:anchor="Section_ccefd82e29684f0ca2db6b109fe3353c">
              <w:r>
                <w:rPr>
                  <w:rStyle w:val="Hyperlink"/>
                </w:rPr>
                <w:t>§3.5.2, Content Type Schemas</w:t>
              </w:r>
            </w:hyperlink>
          </w:p>
        </w:tc>
      </w:tr>
      <w:tr w:rsidR="000A156F" w:rsidTr="000A156F">
        <w:tc>
          <w:tcPr>
            <w:tcW w:w="0" w:type="auto"/>
            <w:vAlign w:val="center"/>
          </w:tcPr>
          <w:p w:rsidR="000A156F" w:rsidRDefault="00A9721F">
            <w:pPr>
              <w:pStyle w:val="TableBodyText"/>
            </w:pPr>
            <w:r>
              <w:t>Custom Document Information Panel</w:t>
            </w:r>
          </w:p>
        </w:tc>
        <w:tc>
          <w:tcPr>
            <w:tcW w:w="0" w:type="auto"/>
            <w:vAlign w:val="center"/>
          </w:tcPr>
          <w:p w:rsidR="000A156F" w:rsidRDefault="00A9721F">
            <w:pPr>
              <w:pStyle w:val="TableBodyText"/>
            </w:pPr>
            <w:r>
              <w:t>customPropertyEditors</w:t>
            </w:r>
          </w:p>
        </w:tc>
        <w:tc>
          <w:tcPr>
            <w:tcW w:w="0" w:type="auto"/>
            <w:vAlign w:val="center"/>
          </w:tcPr>
          <w:p w:rsidR="000A156F" w:rsidRDefault="00A9721F">
            <w:pPr>
              <w:pStyle w:val="TableBodyText"/>
            </w:pPr>
            <w:r>
              <w:t>http://schemas.microsoft.com/‌office/‌2006/‌customDocumentInformationPanel</w:t>
            </w:r>
          </w:p>
        </w:tc>
        <w:tc>
          <w:tcPr>
            <w:tcW w:w="0" w:type="auto"/>
            <w:vAlign w:val="center"/>
          </w:tcPr>
          <w:p w:rsidR="000A156F" w:rsidRDefault="00A9721F">
            <w:pPr>
              <w:pStyle w:val="TableBodyText"/>
            </w:pPr>
            <w:hyperlink w:anchor="Section_115a2521c18a49df82edf87e7941c25f">
              <w:r>
                <w:rPr>
                  <w:rStyle w:val="Hyperlink"/>
                </w:rPr>
                <w:t>§3.5.3, Custom Document Information Panel</w:t>
              </w:r>
            </w:hyperlink>
          </w:p>
        </w:tc>
      </w:tr>
      <w:tr w:rsidR="000A156F" w:rsidTr="000A156F">
        <w:tc>
          <w:tcPr>
            <w:tcW w:w="0" w:type="auto"/>
            <w:vAlign w:val="center"/>
          </w:tcPr>
          <w:p w:rsidR="000A156F" w:rsidRDefault="00A9721F">
            <w:pPr>
              <w:pStyle w:val="TableBodyText"/>
            </w:pPr>
            <w:r>
              <w:t>Custom XSN</w:t>
            </w:r>
          </w:p>
        </w:tc>
        <w:tc>
          <w:tcPr>
            <w:tcW w:w="0" w:type="auto"/>
            <w:vAlign w:val="center"/>
          </w:tcPr>
          <w:p w:rsidR="000A156F" w:rsidRDefault="00A9721F">
            <w:pPr>
              <w:pStyle w:val="TableBodyText"/>
            </w:pPr>
            <w:r>
              <w:t>customXsn</w:t>
            </w:r>
          </w:p>
        </w:tc>
        <w:tc>
          <w:tcPr>
            <w:tcW w:w="0" w:type="auto"/>
            <w:vAlign w:val="center"/>
          </w:tcPr>
          <w:p w:rsidR="000A156F" w:rsidRDefault="00A9721F">
            <w:pPr>
              <w:pStyle w:val="TableBodyText"/>
            </w:pPr>
            <w:r>
              <w:t>http://schemas.microsoft.com/‌of</w:t>
            </w:r>
            <w:r>
              <w:t>fice/‌2006/‌metadata/‌customXsn</w:t>
            </w:r>
          </w:p>
        </w:tc>
        <w:tc>
          <w:tcPr>
            <w:tcW w:w="0" w:type="auto"/>
            <w:vAlign w:val="center"/>
          </w:tcPr>
          <w:p w:rsidR="000A156F" w:rsidRDefault="00A9721F">
            <w:pPr>
              <w:pStyle w:val="TableBodyText"/>
            </w:pPr>
            <w:hyperlink w:anchor="Section_c26a68bdb8164d2eb84258bc92e4f6a2">
              <w:r>
                <w:rPr>
                  <w:rStyle w:val="Hyperlink"/>
                </w:rPr>
                <w:t>§3.5.4, Custom XSN</w:t>
              </w:r>
            </w:hyperlink>
          </w:p>
        </w:tc>
      </w:tr>
      <w:tr w:rsidR="000A156F" w:rsidTr="000A156F">
        <w:tc>
          <w:tcPr>
            <w:tcW w:w="0" w:type="auto"/>
            <w:vAlign w:val="center"/>
          </w:tcPr>
          <w:p w:rsidR="000A156F" w:rsidRDefault="00A9721F">
            <w:pPr>
              <w:pStyle w:val="TableBodyText"/>
            </w:pPr>
            <w:r>
              <w:t>Long Properties</w:t>
            </w:r>
          </w:p>
        </w:tc>
        <w:tc>
          <w:tcPr>
            <w:tcW w:w="0" w:type="auto"/>
            <w:vAlign w:val="center"/>
          </w:tcPr>
          <w:p w:rsidR="000A156F" w:rsidRDefault="00A9721F">
            <w:pPr>
              <w:pStyle w:val="TableBodyText"/>
            </w:pPr>
            <w:r>
              <w:t>longProperties</w:t>
            </w:r>
          </w:p>
        </w:tc>
        <w:tc>
          <w:tcPr>
            <w:tcW w:w="0" w:type="auto"/>
            <w:vAlign w:val="center"/>
          </w:tcPr>
          <w:p w:rsidR="000A156F" w:rsidRDefault="00A9721F">
            <w:pPr>
              <w:pStyle w:val="TableBodyText"/>
            </w:pPr>
            <w:r>
              <w:t>http://schemas.microsoft.com/‌office/‌2006/‌metadata/longProperties</w:t>
            </w:r>
          </w:p>
        </w:tc>
        <w:tc>
          <w:tcPr>
            <w:tcW w:w="0" w:type="auto"/>
            <w:vAlign w:val="center"/>
          </w:tcPr>
          <w:p w:rsidR="000A156F" w:rsidRDefault="00A9721F">
            <w:pPr>
              <w:pStyle w:val="TableBodyText"/>
            </w:pPr>
            <w:hyperlink w:anchor="Section_78d73854b7934cd682ef994e57d303db">
              <w:r>
                <w:rPr>
                  <w:rStyle w:val="Hyperlink"/>
                </w:rPr>
                <w:t>§3.5.5, Long Properties</w:t>
              </w:r>
            </w:hyperlink>
          </w:p>
        </w:tc>
      </w:tr>
    </w:tbl>
    <w:p w:rsidR="000A156F" w:rsidRDefault="000A156F"/>
    <w:p w:rsidR="000A156F" w:rsidRDefault="00A9721F">
      <w:r>
        <w:t>end note]</w:t>
      </w:r>
    </w:p>
    <w:p w:rsidR="000A156F" w:rsidRDefault="00A9721F">
      <w:pPr>
        <w:pStyle w:val="Heading3"/>
      </w:pPr>
      <w:bookmarkStart w:id="4052" w:name="section_f13db469a7624a039fbbb4d0fc4affc7"/>
      <w:bookmarkStart w:id="4053" w:name="_Toc181685051"/>
      <w:r>
        <w:t>Cover Page Properties</w:t>
      </w:r>
      <w:bookmarkEnd w:id="4052"/>
      <w:bookmarkEnd w:id="4053"/>
      <w:r>
        <w:fldChar w:fldCharType="begin"/>
      </w:r>
      <w:r>
        <w:instrText xml:space="preserve"> XE "Cover Page Properties" </w:instrText>
      </w:r>
      <w:r>
        <w:fldChar w:fldCharType="end"/>
      </w:r>
    </w:p>
    <w:p w:rsidR="000A156F" w:rsidRDefault="00A9721F">
      <w:r>
        <w:t>The Cover Page Properties is comprised of a Custom XML Data Storage Part ("</w:t>
      </w:r>
      <w:hyperlink r:id="rId357">
        <w:r>
          <w:rPr>
            <w:rStyle w:val="Hyperlink"/>
          </w:rPr>
          <w:t>[ISO/IEC-29500-1]</w:t>
        </w:r>
      </w:hyperlink>
      <w:r>
        <w:t xml:space="preserve"> §15.2.5") which contains the Cover Page Properties information, and a Custom XML Data Storage Properties Part ("[ISO/IEC-29500-1] §15.2.6") which contains the set of properties for the custom XML data. </w:t>
      </w:r>
    </w:p>
    <w:p w:rsidR="000A156F" w:rsidRDefault="00A9721F">
      <w:r>
        <w:t xml:space="preserve"> The XML contents of the data stora</w:t>
      </w:r>
      <w:r>
        <w:t>ge part conform to the schema defined in Cover Page Properties Schema (</w:t>
      </w:r>
      <w:hyperlink w:anchor="Section_f4d50e0ddbdb493d9c1f5e94acf656a1">
        <w:r>
          <w:rPr>
            <w:rStyle w:val="Hyperlink"/>
          </w:rPr>
          <w:t>§3.5.1.1, Cover Page Properties Schema</w:t>
        </w:r>
      </w:hyperlink>
      <w:r>
        <w:t>).</w:t>
      </w:r>
    </w:p>
    <w:p w:rsidR="000A156F" w:rsidRDefault="00A9721F">
      <w:r>
        <w:t>The root element of the Custom XML Data Storage Part shall be CoverPageProperties</w:t>
      </w:r>
      <w:r>
        <w:t xml:space="preserve"> (</w:t>
      </w:r>
      <w:hyperlink w:anchor="Section_81e7ee1c4eea44838a713ae2974e2a74">
        <w:r>
          <w:rPr>
            <w:rStyle w:val="Hyperlink"/>
          </w:rPr>
          <w:t>§3.5.1.1.1.6, CoverPageProperties</w:t>
        </w:r>
      </w:hyperlink>
      <w:r>
        <w:t>).</w:t>
      </w:r>
    </w:p>
    <w:p w:rsidR="000A156F" w:rsidRDefault="00A9721F">
      <w:r>
        <w:t>The Associated XML Schema ("[ISO/IEC-29500-1] §22.5.2.2; schemaRef") for this Custom XML Data Storage Part shall be “http://schemas.microsoft.com/office/20</w:t>
      </w:r>
      <w:r>
        <w:t xml:space="preserve">06/coverPageProps”. </w:t>
      </w:r>
    </w:p>
    <w:p w:rsidR="000A156F" w:rsidRDefault="00A9721F">
      <w:pPr>
        <w:pStyle w:val="Heading4"/>
      </w:pPr>
      <w:bookmarkStart w:id="4054" w:name="section_f4d50e0ddbdb493d9c1f5e94acf656a1"/>
      <w:bookmarkStart w:id="4055" w:name="_Toc181685052"/>
      <w:r>
        <w:lastRenderedPageBreak/>
        <w:t>Cover Page Properties Schema</w:t>
      </w:r>
      <w:bookmarkEnd w:id="4054"/>
      <w:bookmarkEnd w:id="4055"/>
      <w:r>
        <w:fldChar w:fldCharType="begin"/>
      </w:r>
      <w:r>
        <w:instrText xml:space="preserve"> XE "Cover Page Properties Schema" </w:instrText>
      </w:r>
      <w:r>
        <w:fldChar w:fldCharType="end"/>
      </w:r>
    </w:p>
    <w:p w:rsidR="000A156F" w:rsidRDefault="00A9721F">
      <w:r>
        <w:t>Cover page properties define a set of document properties available for use on a Word cover page.</w:t>
      </w:r>
    </w:p>
    <w:p w:rsidR="000A156F" w:rsidRDefault="00A9721F">
      <w:pPr>
        <w:pStyle w:val="Heading5"/>
      </w:pPr>
      <w:bookmarkStart w:id="4056" w:name="section_38d5c877b2044464883f6498cb7bc3e6"/>
      <w:bookmarkStart w:id="4057" w:name="_Toc181685053"/>
      <w:r>
        <w:t>Elements</w:t>
      </w:r>
      <w:bookmarkEnd w:id="4056"/>
      <w:bookmarkEnd w:id="4057"/>
    </w:p>
    <w:p w:rsidR="000A156F" w:rsidRDefault="00A9721F">
      <w:pPr>
        <w:pStyle w:val="Heading6"/>
      </w:pPr>
      <w:bookmarkStart w:id="4058" w:name="section_93eba06791a84e518377d509424e042a"/>
      <w:bookmarkStart w:id="4059" w:name="_Toc181685054"/>
      <w:r>
        <w:t>Abstract (Document Abstract)</w:t>
      </w:r>
      <w:bookmarkEnd w:id="4058"/>
      <w:bookmarkEnd w:id="4059"/>
      <w:r>
        <w:fldChar w:fldCharType="begin"/>
      </w:r>
      <w:r>
        <w:instrText xml:space="preserve"> XE "Abstract (Document Abstract)"</w:instrText>
      </w:r>
      <w:r>
        <w:instrText xml:space="preserve"> </w:instrText>
      </w:r>
      <w:r>
        <w:fldChar w:fldCharType="end"/>
      </w:r>
    </w:p>
    <w:p w:rsidR="000A156F" w:rsidRDefault="00A9721F">
      <w:r>
        <w:t>This element specifies an abstract of the document content.</w:t>
      </w:r>
    </w:p>
    <w:tbl>
      <w:tblPr>
        <w:tblStyle w:val="Table-ShadedHeader"/>
        <w:tblW w:w="0" w:type="auto"/>
        <w:tblLook w:val="04A0" w:firstRow="1" w:lastRow="0" w:firstColumn="1" w:lastColumn="0" w:noHBand="0" w:noVBand="1"/>
      </w:tblPr>
      <w:tblGrid>
        <w:gridCol w:w="510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A156F" w:rsidRDefault="000A156F"/>
    <w:p w:rsidR="000A156F" w:rsidRDefault="00A9721F">
      <w:pPr>
        <w:pStyle w:val="Heading6"/>
      </w:pPr>
      <w:bookmarkStart w:id="4060" w:name="section_4c06a3856e234dcbad867332f5fe073b"/>
      <w:bookmarkStart w:id="4061" w:name="_Toc181685055"/>
      <w:r>
        <w:t>CompanyAddress (Company Address)</w:t>
      </w:r>
      <w:bookmarkEnd w:id="4060"/>
      <w:bookmarkEnd w:id="4061"/>
      <w:r>
        <w:fldChar w:fldCharType="begin"/>
      </w:r>
      <w:r>
        <w:instrText xml:space="preserve"> XE "CompanyAddress (C</w:instrText>
      </w:r>
      <w:r>
        <w:instrText xml:space="preserve">ompany Address)" </w:instrText>
      </w:r>
      <w:r>
        <w:fldChar w:fldCharType="end"/>
      </w:r>
    </w:p>
    <w:p w:rsidR="000A156F" w:rsidRDefault="00A9721F">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A156F" w:rsidRDefault="000A156F"/>
    <w:p w:rsidR="000A156F" w:rsidRDefault="00A9721F">
      <w:pPr>
        <w:pStyle w:val="Heading6"/>
      </w:pPr>
      <w:bookmarkStart w:id="4062" w:name="section_a8ab7bdd714d4758b667a5a5bed5ae28"/>
      <w:bookmarkStart w:id="4063" w:name="_Toc181685056"/>
      <w:r>
        <w:t>CompanyEmail (Company Email Address)</w:t>
      </w:r>
      <w:bookmarkEnd w:id="4062"/>
      <w:bookmarkEnd w:id="4063"/>
      <w:r>
        <w:fldChar w:fldCharType="begin"/>
      </w:r>
      <w:r>
        <w:instrText xml:space="preserve"> XE "CompanyEmail (Company Email Address)" </w:instrText>
      </w:r>
      <w:r>
        <w:fldChar w:fldCharType="end"/>
      </w:r>
    </w:p>
    <w:p w:rsidR="000A156F" w:rsidRDefault="00A9721F">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A156F" w:rsidRDefault="000A156F"/>
    <w:p w:rsidR="000A156F" w:rsidRDefault="00A9721F">
      <w:pPr>
        <w:pStyle w:val="Heading6"/>
      </w:pPr>
      <w:bookmarkStart w:id="4064" w:name="section_a0ebde1b8d544dbebcbc8276d74f784a"/>
      <w:bookmarkStart w:id="4065" w:name="_Toc181685057"/>
      <w:r>
        <w:t>CompanyFax (Company Fax Number)</w:t>
      </w:r>
      <w:bookmarkEnd w:id="4064"/>
      <w:bookmarkEnd w:id="4065"/>
      <w:r>
        <w:fldChar w:fldCharType="begin"/>
      </w:r>
      <w:r>
        <w:instrText xml:space="preserve"> XE "CompanyFax (Company Fax Number)" </w:instrText>
      </w:r>
      <w:r>
        <w:fldChar w:fldCharType="end"/>
      </w:r>
    </w:p>
    <w:p w:rsidR="000A156F" w:rsidRDefault="00A9721F">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A156F" w:rsidRDefault="000A156F"/>
    <w:p w:rsidR="000A156F" w:rsidRDefault="00A9721F">
      <w:pPr>
        <w:pStyle w:val="Heading6"/>
      </w:pPr>
      <w:bookmarkStart w:id="4066" w:name="section_dc6bac686d824d31abafa4729eaba587"/>
      <w:bookmarkStart w:id="4067" w:name="_Toc181685058"/>
      <w:r>
        <w:t>CompanyPhone (Company Phone Number)</w:t>
      </w:r>
      <w:bookmarkEnd w:id="4066"/>
      <w:bookmarkEnd w:id="4067"/>
      <w:r>
        <w:fldChar w:fldCharType="begin"/>
      </w:r>
      <w:r>
        <w:instrText xml:space="preserve"> XE "CompanyPhone (Company Phone Number)" </w:instrText>
      </w:r>
      <w:r>
        <w:fldChar w:fldCharType="end"/>
      </w:r>
    </w:p>
    <w:p w:rsidR="000A156F" w:rsidRDefault="00A9721F">
      <w:r>
        <w:t>This element specifies the phone number of the company to be used in the document.</w:t>
      </w:r>
    </w:p>
    <w:tbl>
      <w:tblPr>
        <w:tblStyle w:val="Table-ShadedHeader"/>
        <w:tblW w:w="0" w:type="auto"/>
        <w:tblLook w:val="04A0" w:firstRow="1" w:lastRow="0" w:firstColumn="1" w:lastColumn="0" w:noHBand="0" w:noVBand="1"/>
      </w:tblPr>
      <w:tblGrid>
        <w:gridCol w:w="510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 xml:space="preserve">Parent </w:t>
            </w:r>
            <w:r>
              <w:t>Elements</w:t>
            </w:r>
          </w:p>
        </w:tc>
      </w:tr>
      <w:tr w:rsidR="000A156F" w:rsidTr="000A156F">
        <w:tc>
          <w:tcPr>
            <w:tcW w:w="0" w:type="auto"/>
            <w:vAlign w:val="center"/>
          </w:tcPr>
          <w:p w:rsidR="000A156F" w:rsidRDefault="00A9721F">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0A156F" w:rsidRDefault="000A156F"/>
    <w:p w:rsidR="000A156F" w:rsidRDefault="00A9721F">
      <w:pPr>
        <w:pStyle w:val="Heading6"/>
      </w:pPr>
      <w:bookmarkStart w:id="4068" w:name="section_81e7ee1c4eea44838a713ae2974e2a74"/>
      <w:bookmarkStart w:id="4069" w:name="_Toc181685059"/>
      <w:r>
        <w:lastRenderedPageBreak/>
        <w:t>CoverPageProperties (Cover Page Properties)</w:t>
      </w:r>
      <w:bookmarkEnd w:id="4068"/>
      <w:bookmarkEnd w:id="4069"/>
      <w:r>
        <w:fldChar w:fldCharType="begin"/>
      </w:r>
      <w:r>
        <w:instrText xml:space="preserve"> XE "CoverPageProperties (Cover Page Properties)" </w:instrText>
      </w:r>
      <w:r>
        <w:fldChar w:fldCharType="end"/>
      </w:r>
    </w:p>
    <w:p w:rsidR="000A156F" w:rsidRDefault="00A9721F">
      <w:r>
        <w:t>This element is the parent el</w:t>
      </w:r>
      <w:r>
        <w:t xml:space="preserve">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Abstract</w:t>
            </w:r>
            <w:r>
              <w:t xml:space="preserve"> (Document Abstract)</w:t>
            </w:r>
          </w:p>
        </w:tc>
        <w:tc>
          <w:tcPr>
            <w:tcW w:w="0" w:type="auto"/>
            <w:vAlign w:val="center"/>
          </w:tcPr>
          <w:p w:rsidR="000A156F" w:rsidRDefault="00A9721F">
            <w:pPr>
              <w:pStyle w:val="TableBodyText"/>
            </w:pPr>
            <w:r>
              <w:t>§</w:t>
            </w:r>
            <w:hyperlink w:anchor="Section_93eba06791a84e518377d509424e042a">
              <w:r>
                <w:rPr>
                  <w:rStyle w:val="Hyperlink"/>
                </w:rPr>
                <w:t>3.5.1.1.1.1, Abstract</w:t>
              </w:r>
            </w:hyperlink>
          </w:p>
        </w:tc>
      </w:tr>
      <w:tr w:rsidR="000A156F" w:rsidTr="000A156F">
        <w:tc>
          <w:tcPr>
            <w:tcW w:w="0" w:type="auto"/>
            <w:vAlign w:val="center"/>
          </w:tcPr>
          <w:p w:rsidR="000A156F" w:rsidRDefault="00A9721F">
            <w:pPr>
              <w:pStyle w:val="TableBodyText"/>
            </w:pPr>
            <w:r>
              <w:rPr>
                <w:b/>
              </w:rPr>
              <w:t>CompanyAddress</w:t>
            </w:r>
            <w:r>
              <w:t xml:space="preserve"> (Company Address)</w:t>
            </w:r>
          </w:p>
        </w:tc>
        <w:tc>
          <w:tcPr>
            <w:tcW w:w="0" w:type="auto"/>
            <w:vAlign w:val="center"/>
          </w:tcPr>
          <w:p w:rsidR="000A156F" w:rsidRDefault="00A9721F">
            <w:pPr>
              <w:pStyle w:val="TableBodyText"/>
            </w:pPr>
            <w:r>
              <w:t>§</w:t>
            </w:r>
            <w:hyperlink w:anchor="Section_4c06a3856e234dcbad867332f5fe073b">
              <w:r>
                <w:rPr>
                  <w:rStyle w:val="Hyperlink"/>
                </w:rPr>
                <w:t>3.5.1.1.1.2, CompanyAddress</w:t>
              </w:r>
            </w:hyperlink>
          </w:p>
        </w:tc>
      </w:tr>
      <w:tr w:rsidR="000A156F" w:rsidTr="000A156F">
        <w:tc>
          <w:tcPr>
            <w:tcW w:w="0" w:type="auto"/>
            <w:vAlign w:val="center"/>
          </w:tcPr>
          <w:p w:rsidR="000A156F" w:rsidRDefault="00A9721F">
            <w:pPr>
              <w:pStyle w:val="TableBodyText"/>
            </w:pPr>
            <w:r>
              <w:rPr>
                <w:b/>
              </w:rPr>
              <w:t>CompanyEmail</w:t>
            </w:r>
            <w:r>
              <w:t xml:space="preserve"> (Company Email Address)</w:t>
            </w:r>
          </w:p>
        </w:tc>
        <w:tc>
          <w:tcPr>
            <w:tcW w:w="0" w:type="auto"/>
            <w:vAlign w:val="center"/>
          </w:tcPr>
          <w:p w:rsidR="000A156F" w:rsidRDefault="00A9721F">
            <w:pPr>
              <w:pStyle w:val="TableBodyText"/>
            </w:pPr>
            <w:r>
              <w:t>§</w:t>
            </w:r>
            <w:hyperlink w:anchor="Section_a8ab7bdd714d4758b667a5a5bed5ae28">
              <w:r>
                <w:rPr>
                  <w:rStyle w:val="Hyperlink"/>
                </w:rPr>
                <w:t>3.5.1.1.1.3, CompanyEmail</w:t>
              </w:r>
            </w:hyperlink>
          </w:p>
        </w:tc>
      </w:tr>
      <w:tr w:rsidR="000A156F" w:rsidTr="000A156F">
        <w:tc>
          <w:tcPr>
            <w:tcW w:w="0" w:type="auto"/>
            <w:vAlign w:val="center"/>
          </w:tcPr>
          <w:p w:rsidR="000A156F" w:rsidRDefault="00A9721F">
            <w:pPr>
              <w:pStyle w:val="TableBodyText"/>
            </w:pPr>
            <w:r>
              <w:rPr>
                <w:b/>
              </w:rPr>
              <w:t>CompanyFax</w:t>
            </w:r>
            <w:r>
              <w:t xml:space="preserve"> (Company Fax Number)</w:t>
            </w:r>
          </w:p>
        </w:tc>
        <w:tc>
          <w:tcPr>
            <w:tcW w:w="0" w:type="auto"/>
            <w:vAlign w:val="center"/>
          </w:tcPr>
          <w:p w:rsidR="000A156F" w:rsidRDefault="00A9721F">
            <w:pPr>
              <w:pStyle w:val="TableBodyText"/>
            </w:pPr>
            <w:r>
              <w:t>§</w:t>
            </w:r>
            <w:hyperlink w:anchor="Section_a0ebde1b8d544dbebcbc8276d74f784a">
              <w:r>
                <w:rPr>
                  <w:rStyle w:val="Hyperlink"/>
                </w:rPr>
                <w:t>3.5.1.1.1.4, CompanyFax</w:t>
              </w:r>
            </w:hyperlink>
          </w:p>
        </w:tc>
      </w:tr>
      <w:tr w:rsidR="000A156F" w:rsidTr="000A156F">
        <w:tc>
          <w:tcPr>
            <w:tcW w:w="0" w:type="auto"/>
            <w:vAlign w:val="center"/>
          </w:tcPr>
          <w:p w:rsidR="000A156F" w:rsidRDefault="00A9721F">
            <w:pPr>
              <w:pStyle w:val="TableBodyText"/>
            </w:pPr>
            <w:r>
              <w:rPr>
                <w:b/>
              </w:rPr>
              <w:t>CompanyPhone</w:t>
            </w:r>
            <w:r>
              <w:t xml:space="preserve"> (Company Phone Number)</w:t>
            </w:r>
          </w:p>
        </w:tc>
        <w:tc>
          <w:tcPr>
            <w:tcW w:w="0" w:type="auto"/>
            <w:vAlign w:val="center"/>
          </w:tcPr>
          <w:p w:rsidR="000A156F" w:rsidRDefault="00A9721F">
            <w:pPr>
              <w:pStyle w:val="TableBodyText"/>
            </w:pPr>
            <w:r>
              <w:t>§</w:t>
            </w:r>
            <w:hyperlink w:anchor="Section_dc6bac686d824d31abafa4729eaba587">
              <w:r>
                <w:rPr>
                  <w:rStyle w:val="Hyperlink"/>
                </w:rPr>
                <w:t>3.5.1.1.1.5, CompanyPhone</w:t>
              </w:r>
            </w:hyperlink>
          </w:p>
        </w:tc>
      </w:tr>
      <w:tr w:rsidR="000A156F" w:rsidTr="000A156F">
        <w:tc>
          <w:tcPr>
            <w:tcW w:w="0" w:type="auto"/>
            <w:vAlign w:val="center"/>
          </w:tcPr>
          <w:p w:rsidR="000A156F" w:rsidRDefault="00A9721F">
            <w:pPr>
              <w:pStyle w:val="TableBodyText"/>
            </w:pPr>
            <w:r>
              <w:rPr>
                <w:b/>
              </w:rPr>
              <w:t>PublishDate</w:t>
            </w:r>
            <w:r>
              <w:t xml:space="preserve"> (Document Publish Date)</w:t>
            </w:r>
          </w:p>
        </w:tc>
        <w:tc>
          <w:tcPr>
            <w:tcW w:w="0" w:type="auto"/>
            <w:vAlign w:val="center"/>
          </w:tcPr>
          <w:p w:rsidR="000A156F" w:rsidRDefault="00A9721F">
            <w:pPr>
              <w:pStyle w:val="TableBodyText"/>
            </w:pPr>
            <w:r>
              <w:t>§</w:t>
            </w:r>
            <w:hyperlink w:anchor="Section_f7742a9e6b754404a61378ac041b7765">
              <w:r>
                <w:rPr>
                  <w:rStyle w:val="Hyperlink"/>
                </w:rPr>
                <w:t>3.5.1.1.1.7, PublishDate</w:t>
              </w:r>
            </w:hyperlink>
          </w:p>
        </w:tc>
      </w:tr>
    </w:tbl>
    <w:p w:rsidR="000A156F" w:rsidRDefault="000A156F"/>
    <w:p w:rsidR="000A156F" w:rsidRDefault="00A9721F">
      <w:r>
        <w:t>The following XML Schema fragment defines the contents of this element:</w:t>
      </w:r>
    </w:p>
    <w:p w:rsidR="000A156F" w:rsidRDefault="00A9721F">
      <w:pPr>
        <w:pStyle w:val="Code"/>
      </w:pPr>
      <w:r>
        <w:t>&lt;complexType name="CT_CoverPageProperties"&gt;</w:t>
      </w:r>
    </w:p>
    <w:p w:rsidR="000A156F" w:rsidRDefault="00A9721F">
      <w:pPr>
        <w:pStyle w:val="Code"/>
      </w:pPr>
      <w:r>
        <w:t xml:space="preserve">  &lt;sequence&gt;</w:t>
      </w:r>
    </w:p>
    <w:p w:rsidR="000A156F" w:rsidRDefault="00A9721F">
      <w:pPr>
        <w:pStyle w:val="Code"/>
      </w:pPr>
      <w:r>
        <w:t xml:space="preserve">    &lt;element name="PublishDate" type="ST_Publi</w:t>
      </w:r>
      <w:r>
        <w:t>shDate"/&gt;</w:t>
      </w:r>
    </w:p>
    <w:p w:rsidR="000A156F" w:rsidRDefault="00A9721F">
      <w:pPr>
        <w:pStyle w:val="Code"/>
      </w:pPr>
      <w:r>
        <w:t xml:space="preserve">    &lt;element name="Abstract" type="xsd:string"/&gt;</w:t>
      </w:r>
    </w:p>
    <w:p w:rsidR="000A156F" w:rsidRDefault="00A9721F">
      <w:pPr>
        <w:pStyle w:val="Code"/>
      </w:pPr>
      <w:r>
        <w:t xml:space="preserve">    &lt;element name="CompanyAddress" type="xsd:string"/&gt;</w:t>
      </w:r>
    </w:p>
    <w:p w:rsidR="000A156F" w:rsidRDefault="00A9721F">
      <w:pPr>
        <w:pStyle w:val="Code"/>
      </w:pPr>
      <w:r>
        <w:t xml:space="preserve">    &lt;element name="CompanyPhone" type="xsd:string"/&gt;</w:t>
      </w:r>
    </w:p>
    <w:p w:rsidR="000A156F" w:rsidRDefault="00A9721F">
      <w:pPr>
        <w:pStyle w:val="Code"/>
      </w:pPr>
      <w:r>
        <w:t xml:space="preserve">    &lt;element name="CompanyFax" type="xsd:string"/&gt;</w:t>
      </w:r>
    </w:p>
    <w:p w:rsidR="000A156F" w:rsidRDefault="00A9721F">
      <w:pPr>
        <w:pStyle w:val="Code"/>
      </w:pPr>
      <w:r>
        <w:t xml:space="preserve">    &lt;</w:t>
      </w:r>
      <w:r>
        <w:t>element name="CompanyEmail" type="xsd:string"/&gt;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4070" w:name="section_f7742a9e6b754404a61378ac041b7765"/>
      <w:bookmarkStart w:id="4071" w:name="_Toc181685060"/>
      <w:r>
        <w:t>PublishDate (Document Publish Date)</w:t>
      </w:r>
      <w:bookmarkEnd w:id="4070"/>
      <w:bookmarkEnd w:id="4071"/>
      <w:r>
        <w:fldChar w:fldCharType="begin"/>
      </w:r>
      <w:r>
        <w:instrText xml:space="preserve"> XE "PublishDate (Document Publish Date)" </w:instrText>
      </w:r>
      <w:r>
        <w:fldChar w:fldCharType="end"/>
      </w:r>
    </w:p>
    <w:p w:rsidR="000A156F" w:rsidRDefault="00A9721F">
      <w:r>
        <w:t xml:space="preserve">Specifies the date this document was published. </w:t>
      </w:r>
    </w:p>
    <w:p w:rsidR="000A156F" w:rsidRDefault="00A9721F">
      <w:r>
        <w:t xml:space="preserve">The possible values for this element are defined </w:t>
      </w:r>
      <w:r>
        <w:t>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CoverPageProperties</w:t>
            </w:r>
            <w:r>
              <w:t xml:space="preserve"> (§</w:t>
            </w:r>
            <w:hyperlink w:anchor="Section_81e7ee1c4eea44838a713ae2974e2a74">
              <w:r>
                <w:rPr>
                  <w:rStyle w:val="Hyperlink"/>
                </w:rPr>
                <w:t>3.5.1.1.1.6, CoverPagePro</w:t>
              </w:r>
              <w:r>
                <w:rPr>
                  <w:rStyle w:val="Hyperlink"/>
                </w:rPr>
                <w:t>perties</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name="ST_PublishDate"&gt;</w:t>
      </w:r>
    </w:p>
    <w:p w:rsidR="000A156F" w:rsidRDefault="00A9721F">
      <w:pPr>
        <w:pStyle w:val="Code"/>
      </w:pPr>
      <w:r>
        <w:t xml:space="preserve">  &lt;union memberTypes="xsd:date xsd:dateTime xsd:string"/&gt;</w:t>
      </w:r>
    </w:p>
    <w:p w:rsidR="000A156F" w:rsidRDefault="00A9721F">
      <w:pPr>
        <w:pStyle w:val="Code"/>
      </w:pPr>
      <w:r>
        <w:t>&lt;/simpleType&gt;</w:t>
      </w:r>
    </w:p>
    <w:p w:rsidR="000A156F" w:rsidRDefault="00A9721F">
      <w:pPr>
        <w:pStyle w:val="Heading5"/>
      </w:pPr>
      <w:bookmarkStart w:id="4072" w:name="section_e02f27204f8f4058bf5810a906dbfbdd"/>
      <w:bookmarkStart w:id="4073" w:name="_Toc181685061"/>
      <w:r>
        <w:t>Simple Types</w:t>
      </w:r>
      <w:bookmarkEnd w:id="4072"/>
      <w:bookmarkEnd w:id="4073"/>
      <w:r>
        <w:fldChar w:fldCharType="begin"/>
      </w:r>
      <w:r>
        <w:instrText xml:space="preserve"> XE "Simple Types" </w:instrText>
      </w:r>
      <w:r>
        <w:fldChar w:fldCharType="end"/>
      </w:r>
    </w:p>
    <w:p w:rsidR="000A156F" w:rsidRDefault="00A9721F">
      <w:r>
        <w:t xml:space="preserve">This is the complete list of </w:t>
      </w:r>
      <w:r>
        <w:t>simple types in the http://schemas.microsoft.com/office/2006/coverPageProps namespace.</w:t>
      </w:r>
    </w:p>
    <w:p w:rsidR="000A156F" w:rsidRDefault="00A9721F">
      <w:pPr>
        <w:pStyle w:val="Heading6"/>
      </w:pPr>
      <w:bookmarkStart w:id="4074" w:name="section_64a6c4180f5541f386f657565be81008"/>
      <w:bookmarkStart w:id="4075" w:name="_Toc181685062"/>
      <w:r>
        <w:t>ST_PublishDate (Publish Date Value)</w:t>
      </w:r>
      <w:bookmarkEnd w:id="4074"/>
      <w:bookmarkEnd w:id="4075"/>
      <w:r>
        <w:fldChar w:fldCharType="begin"/>
      </w:r>
      <w:r>
        <w:instrText xml:space="preserve"> XE "ST_PublishDate (Publish Date Value)" </w:instrText>
      </w:r>
      <w:r>
        <w:fldChar w:fldCharType="end"/>
      </w:r>
    </w:p>
    <w:p w:rsidR="000A156F" w:rsidRDefault="00A9721F">
      <w:r>
        <w:lastRenderedPageBreak/>
        <w:t>The publish date may be specified in either the XML Schema Date format, the XML Schema Da</w:t>
      </w:r>
      <w:r>
        <w:t>teTime format, or simply as a string.</w:t>
      </w:r>
    </w:p>
    <w:p w:rsidR="000A156F" w:rsidRDefault="00A9721F">
      <w:r>
        <w:t>This simple type is a union of the following types:</w:t>
      </w:r>
    </w:p>
    <w:p w:rsidR="000A156F" w:rsidRDefault="00A9721F">
      <w:pPr>
        <w:pStyle w:val="ListParagraph"/>
        <w:numPr>
          <w:ilvl w:val="0"/>
          <w:numId w:val="210"/>
        </w:numPr>
        <w:contextualSpacing/>
      </w:pPr>
      <w:r>
        <w:t>The XML Schema date datatype.</w:t>
      </w:r>
    </w:p>
    <w:p w:rsidR="000A156F" w:rsidRDefault="00A9721F">
      <w:pPr>
        <w:pStyle w:val="ListParagraph"/>
        <w:numPr>
          <w:ilvl w:val="0"/>
          <w:numId w:val="210"/>
        </w:numPr>
        <w:contextualSpacing/>
      </w:pPr>
      <w:r>
        <w:t>The XML Schema dateTime datatype.</w:t>
      </w:r>
    </w:p>
    <w:p w:rsidR="000A156F" w:rsidRDefault="00A9721F">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PublishDate</w:t>
            </w:r>
            <w:r>
              <w:t xml:space="preserve"> (§</w:t>
            </w:r>
            <w:hyperlink w:anchor="Section_f7742a9e6b754404a61378ac041b7765">
              <w:r>
                <w:rPr>
                  <w:rStyle w:val="Hyperlink"/>
                </w:rPr>
                <w:t>3.5.1.1.1.7, PublishDate</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name="ST_PublishDate"&gt;</w:t>
      </w:r>
    </w:p>
    <w:p w:rsidR="000A156F" w:rsidRDefault="00A9721F">
      <w:pPr>
        <w:pStyle w:val="Code"/>
      </w:pPr>
      <w:r>
        <w:t xml:space="preserve">  &lt;union memberTypes="xsd:date xsd:dateTime xsd:string"/&gt;</w:t>
      </w:r>
    </w:p>
    <w:p w:rsidR="000A156F" w:rsidRDefault="00A9721F">
      <w:pPr>
        <w:pStyle w:val="Code"/>
      </w:pPr>
      <w:r>
        <w:t>&lt;/simpleType&gt;</w:t>
      </w:r>
    </w:p>
    <w:p w:rsidR="000A156F" w:rsidRDefault="00A9721F">
      <w:pPr>
        <w:pStyle w:val="Heading3"/>
      </w:pPr>
      <w:bookmarkStart w:id="4076" w:name="section_ccefd82e29684f0ca2db6b109fe3353c"/>
      <w:bookmarkStart w:id="4077" w:name="_Toc181685063"/>
      <w:r>
        <w:t>Content Type Schemas</w:t>
      </w:r>
      <w:bookmarkEnd w:id="4076"/>
      <w:bookmarkEnd w:id="4077"/>
      <w:r>
        <w:fldChar w:fldCharType="begin"/>
      </w:r>
      <w:r>
        <w:instrText xml:space="preserve"> XE "Content Type Schemas" </w:instrText>
      </w:r>
      <w:r>
        <w:fldChar w:fldCharType="end"/>
      </w:r>
    </w:p>
    <w:p w:rsidR="000A156F" w:rsidRDefault="00A9721F">
      <w:r>
        <w:t>The Content Type Schemas is comprised of a Custom XML Data Storage Part ("</w:t>
      </w:r>
      <w:hyperlink r:id="rId358">
        <w:r>
          <w:rPr>
            <w:rStyle w:val="Hyperlink"/>
          </w:rPr>
          <w:t>[ISO/IEC-29500-1]</w:t>
        </w:r>
      </w:hyperlink>
      <w:r>
        <w:t xml:space="preserve"> §15.2.5") which contains the Content Type Schemas information, and a</w:t>
      </w:r>
      <w:r>
        <w:t xml:space="preserve"> Custom XML Data Storage Properties Part ("[ISO/IEC-29500-1] §15.2.6") which contains the set of properties for the custom XML data. </w:t>
      </w:r>
    </w:p>
    <w:p w:rsidR="000A156F" w:rsidRDefault="00A9721F">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0A156F" w:rsidRDefault="00A9721F">
      <w:r>
        <w:t>The root element of the Custom XML Data Storage Part shall be contentTypeSchema (</w:t>
      </w:r>
      <w:hyperlink w:anchor="Section_0365ee65da5b44769eaa73f1dda94db8">
        <w:r>
          <w:rPr>
            <w:rStyle w:val="Hyperlink"/>
          </w:rPr>
          <w:t>§3.5.2.1.1.1, contentTypeS</w:t>
        </w:r>
        <w:r>
          <w:rPr>
            <w:rStyle w:val="Hyperlink"/>
          </w:rPr>
          <w:t>chema</w:t>
        </w:r>
      </w:hyperlink>
      <w:r>
        <w:t>).</w:t>
      </w:r>
    </w:p>
    <w:p w:rsidR="000A156F" w:rsidRDefault="00A9721F">
      <w:r>
        <w:t xml:space="preserve">The Associated XML Schema ("[ISO/IEC-29500-1] §22.5.2.2; schemaRef") for this Custom XML Data Storage Part shall be “http://schemas.microsoft.com/‌office/‌2006/‌metadata/‌contentType”. </w:t>
      </w:r>
    </w:p>
    <w:p w:rsidR="000A156F" w:rsidRDefault="00A9721F">
      <w:pPr>
        <w:pStyle w:val="Heading4"/>
      </w:pPr>
      <w:bookmarkStart w:id="4078" w:name="section_acb43eb342e64ae998cacd04346b080a"/>
      <w:bookmarkStart w:id="4079" w:name="_Toc181685064"/>
      <w:r>
        <w:t>Content Type Schemas Schema</w:t>
      </w:r>
      <w:bookmarkEnd w:id="4078"/>
      <w:bookmarkEnd w:id="4079"/>
      <w:r>
        <w:fldChar w:fldCharType="begin"/>
      </w:r>
      <w:r>
        <w:instrText xml:space="preserve"> XE "Content Type Schemas Schema" </w:instrText>
      </w:r>
      <w:r>
        <w:fldChar w:fldCharType="end"/>
      </w:r>
    </w:p>
    <w:p w:rsidR="000A156F" w:rsidRDefault="00A9721F">
      <w:r>
        <w:t>Content Type Schemas define the general look and composition of UI elements presented in a Document Information Panel. Information in the content type schema is derived from a content type associated with documents on Windows SharePoint Services. A Conte</w:t>
      </w:r>
      <w:r>
        <w:t>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rsidR="000A156F" w:rsidRDefault="00A9721F">
      <w:pPr>
        <w:pStyle w:val="Heading5"/>
      </w:pPr>
      <w:bookmarkStart w:id="4080" w:name="section_21462389b3c94d13a07d6cf86d4fb4e5"/>
      <w:bookmarkStart w:id="4081" w:name="_Toc181685065"/>
      <w:r>
        <w:t>Elements</w:t>
      </w:r>
      <w:bookmarkEnd w:id="4080"/>
      <w:bookmarkEnd w:id="4081"/>
    </w:p>
    <w:p w:rsidR="000A156F" w:rsidRDefault="00A9721F">
      <w:pPr>
        <w:pStyle w:val="Heading6"/>
      </w:pPr>
      <w:bookmarkStart w:id="4082" w:name="section_0365ee65da5b44769eaa73f1dda94db8"/>
      <w:bookmarkStart w:id="4083" w:name="_Toc181685066"/>
      <w:r>
        <w:t>contentTypeSchema (Schema</w:t>
      </w:r>
      <w:r>
        <w:t xml:space="preserve"> for Content Type)</w:t>
      </w:r>
      <w:bookmarkEnd w:id="4082"/>
      <w:bookmarkEnd w:id="4083"/>
      <w:r>
        <w:fldChar w:fldCharType="begin"/>
      </w:r>
      <w:r>
        <w:instrText xml:space="preserve"> XE "contentTypeSchema (Schema for Content Type)" </w:instrText>
      </w:r>
      <w:r>
        <w:fldChar w:fldCharType="end"/>
      </w:r>
    </w:p>
    <w:p w:rsidR="000A156F" w:rsidRDefault="00A9721F">
      <w:r>
        <w:t>The attributes and children of this element collectively specify a schema for the custom XML data part that specifies properties related to the content type associated with the document</w:t>
      </w:r>
      <w:r>
        <w:t xml:space="preserve"> on Windows SharePoint Services. Each child of this element is an xsd:schema element, possibly decorated with attributes from the http://schemas.microsoft.com/office/2006/metadata/properties/metaAttributes namespace, that describes one or more elements tha</w:t>
      </w:r>
      <w:r>
        <w:t xml:space="preserve">t appear in that custom XML data part. </w:t>
      </w:r>
    </w:p>
    <w:p w:rsidR="000A156F" w:rsidRDefault="00A9721F">
      <w:r>
        <w:lastRenderedPageBreak/>
        <w:t>In the following description, let the term 'content type' refer specifically to the root element of the Content Type Definition Type as described in Collaborative Application Markup Language (CAML) Structure Specific</w:t>
      </w:r>
      <w:r>
        <w:t>ation (</w:t>
      </w:r>
      <w:hyperlink r:id="rId359" w:anchor="Section_8d6156fd646842949594644a946ed6a6">
        <w:r>
          <w:rPr>
            <w:rStyle w:val="Hyperlink"/>
          </w:rPr>
          <w:t>[MS-WSSCAML]</w:t>
        </w:r>
      </w:hyperlink>
      <w:r>
        <w:t xml:space="preserve"> Subclause 2.4.1.1).</w:t>
      </w:r>
    </w:p>
    <w:p w:rsidR="000A156F" w:rsidRDefault="00A9721F">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xml:space="preserve">. This </w:t>
      </w:r>
      <w:r>
        <w:rPr>
          <w:b/>
        </w:rPr>
        <w:t>xsd:schema</w:t>
      </w:r>
      <w:r>
        <w:t xml:space="preserve"> must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w:t>
      </w:r>
      <w:r>
        <w:t xml:space="preserve">import any namespaces used by its child elements. It must also have an </w:t>
      </w:r>
      <w:r>
        <w:rPr>
          <w:b/>
        </w:rPr>
        <w:t>ma:fieldsID</w:t>
      </w:r>
      <w:r>
        <w:t xml:space="preserve"> attribute (§3.5.2.2.1, Shared Attributes).</w:t>
      </w:r>
    </w:p>
    <w:p w:rsidR="000A156F" w:rsidRDefault="00A9721F">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w:t>
      </w:r>
      <w:r>
        <w:t xml:space="preserve">ollowing structure. The children of the </w:t>
      </w:r>
      <w:r>
        <w:rPr>
          <w:b/>
        </w:rPr>
        <w:t>xsd:all</w:t>
      </w:r>
      <w:r>
        <w:t xml:space="preserve"> element are not shown, but instead described by the text that follows.</w:t>
      </w:r>
    </w:p>
    <w:p w:rsidR="000A156F" w:rsidRDefault="00A9721F">
      <w:pPr>
        <w:pStyle w:val="Code"/>
      </w:pPr>
      <w:r>
        <w:t>&lt;xsd:element name="properties"&gt;</w:t>
      </w:r>
    </w:p>
    <w:p w:rsidR="000A156F" w:rsidRDefault="00A9721F">
      <w:pPr>
        <w:pStyle w:val="Code"/>
      </w:pPr>
      <w:r>
        <w:t xml:space="preserve">  &lt;xsd:complexType&gt;</w:t>
      </w:r>
    </w:p>
    <w:p w:rsidR="000A156F" w:rsidRDefault="00A9721F">
      <w:pPr>
        <w:pStyle w:val="Code"/>
      </w:pPr>
      <w:r>
        <w:t xml:space="preserve">    &lt;xsd:sequence&gt;</w:t>
      </w:r>
    </w:p>
    <w:p w:rsidR="000A156F" w:rsidRDefault="00A9721F">
      <w:pPr>
        <w:pStyle w:val="Code"/>
      </w:pPr>
      <w:r>
        <w:t xml:space="preserve">      &lt;xsd:element name="documentManagement"&gt;</w:t>
      </w:r>
    </w:p>
    <w:p w:rsidR="000A156F" w:rsidRDefault="00A9721F">
      <w:pPr>
        <w:pStyle w:val="Code"/>
      </w:pPr>
      <w:r>
        <w:t xml:space="preserve">        &lt;xsd:complex</w:t>
      </w:r>
      <w:r>
        <w:t>Type&gt;</w:t>
      </w:r>
    </w:p>
    <w:p w:rsidR="000A156F" w:rsidRDefault="00A9721F">
      <w:pPr>
        <w:pStyle w:val="Code"/>
      </w:pPr>
      <w:r>
        <w:t xml:space="preserve">          &lt;xsd:all&gt;</w:t>
      </w:r>
    </w:p>
    <w:p w:rsidR="000A156F" w:rsidRDefault="00A9721F">
      <w:pPr>
        <w:pStyle w:val="Code"/>
      </w:pPr>
      <w:r>
        <w:t xml:space="preserve">            ...</w:t>
      </w:r>
    </w:p>
    <w:p w:rsidR="000A156F" w:rsidRDefault="00A9721F">
      <w:pPr>
        <w:pStyle w:val="Code"/>
      </w:pPr>
      <w:r>
        <w:t xml:space="preserve">          &lt;/xsd:all&gt;</w:t>
      </w:r>
    </w:p>
    <w:p w:rsidR="000A156F" w:rsidRDefault="00A9721F">
      <w:pPr>
        <w:pStyle w:val="Code"/>
      </w:pPr>
      <w:r>
        <w:t xml:space="preserve">        &lt;/xsd:complexType&gt;</w:t>
      </w:r>
    </w:p>
    <w:p w:rsidR="000A156F" w:rsidRDefault="00A9721F">
      <w:pPr>
        <w:pStyle w:val="Code"/>
      </w:pPr>
      <w:r>
        <w:t xml:space="preserve">      &lt;/xsd:element&gt;</w:t>
      </w:r>
    </w:p>
    <w:p w:rsidR="000A156F" w:rsidRDefault="00A9721F">
      <w:pPr>
        <w:pStyle w:val="Code"/>
      </w:pPr>
      <w:r>
        <w:t xml:space="preserve">    &lt;/xsd:sequence&gt;</w:t>
      </w:r>
    </w:p>
    <w:p w:rsidR="000A156F" w:rsidRDefault="00A9721F">
      <w:pPr>
        <w:pStyle w:val="Code"/>
      </w:pPr>
      <w:r>
        <w:t xml:space="preserve">  &lt;/xsd:complexType&gt;</w:t>
      </w:r>
    </w:p>
    <w:p w:rsidR="000A156F" w:rsidRDefault="00A9721F">
      <w:pPr>
        <w:pStyle w:val="Code"/>
      </w:pPr>
      <w:r>
        <w:t>&lt;/xsd:element&gt;</w:t>
      </w:r>
    </w:p>
    <w:p w:rsidR="000A156F" w:rsidRDefault="00A9721F">
      <w:r>
        <w:t xml:space="preserve">Let the term "fields" denote the list of all </w:t>
      </w:r>
      <w:r>
        <w:rPr>
          <w:b/>
        </w:rPr>
        <w:t>Field</w:t>
      </w:r>
      <w:r>
        <w:t xml:space="preserve"> elements that are children of the </w:t>
      </w:r>
      <w:r>
        <w:rPr>
          <w:b/>
        </w:rPr>
        <w:t>Fiel</w:t>
      </w:r>
      <w:r>
        <w:rPr>
          <w:b/>
        </w:rPr>
        <w:t>ds</w:t>
      </w:r>
      <w:r>
        <w:t xml:space="preserve"> element, which is in turn a child of the </w:t>
      </w:r>
      <w:r>
        <w:rPr>
          <w:b/>
        </w:rPr>
        <w:t>ContentType</w:t>
      </w:r>
      <w:r>
        <w:t xml:space="preserve"> element in the content type. The </w:t>
      </w:r>
      <w:r>
        <w:rPr>
          <w:b/>
        </w:rPr>
        <w:t>Field</w:t>
      </w:r>
      <w:r>
        <w:t xml:space="preserve"> elements are the fields used in the content type, as described in Collaborative Application Markup Language (CAML) Structure Specification ([MS-WSSCAML] Subclaus</w:t>
      </w:r>
      <w:r>
        <w:t xml:space="preserve">e 2.3.2.6). Furthermore, let the term "filtered fields" denote the list of all filtered fields to be those </w:t>
      </w:r>
      <w:r>
        <w:rPr>
          <w:b/>
        </w:rPr>
        <w:t>Field</w:t>
      </w:r>
      <w:r>
        <w:t xml:space="preserve"> elements from the fields that satisfy all of the following conditions:</w:t>
      </w:r>
    </w:p>
    <w:p w:rsidR="000A156F" w:rsidRDefault="00A9721F">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0A156F" w:rsidRDefault="00A9721F">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FileLeafRef</w:t>
      </w:r>
      <w:r>
        <w:t>.</w:t>
      </w:r>
    </w:p>
    <w:p w:rsidR="000A156F" w:rsidRDefault="00A9721F">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0A156F" w:rsidRDefault="00A9721F">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w:t>
      </w:r>
      <w:r>
        <w:t xml:space="preserve"> name is the value of the </w:t>
      </w:r>
      <w:r>
        <w:rPr>
          <w:b/>
        </w:rPr>
        <w:t>StaticName</w:t>
      </w:r>
      <w:r>
        <w:t xml:space="preserve"> attribute of the </w:t>
      </w:r>
      <w:r>
        <w:rPr>
          <w:b/>
        </w:rPr>
        <w:t>Field</w:t>
      </w:r>
      <w:r>
        <w:t xml:space="preserve"> element and which resides in the namespace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w:t>
      </w:r>
      <w:r>
        <w:t xml:space="preserve">e is present but its value is not </w:t>
      </w:r>
      <w:r>
        <w:rPr>
          <w:i/>
        </w:rPr>
        <w:t>TRUE</w:t>
      </w:r>
      <w:r>
        <w:t xml:space="preserve">; or if the value of the Type attribute is </w:t>
      </w:r>
      <w:r>
        <w:rPr>
          <w:i/>
        </w:rPr>
        <w:t>MultiChoice</w:t>
      </w:r>
      <w:r>
        <w:t xml:space="preserve"> or </w:t>
      </w:r>
      <w:r>
        <w:rPr>
          <w:i/>
        </w:rPr>
        <w:t>LookupMulti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0A156F" w:rsidRDefault="00A9721F">
      <w:r>
        <w:t xml:space="preserve">For each unique string that appears as the value of the </w:t>
      </w:r>
      <w:r>
        <w:rPr>
          <w:b/>
        </w:rPr>
        <w:t>Sour</w:t>
      </w:r>
      <w:r>
        <w:rPr>
          <w:b/>
        </w:rPr>
        <w:t>ceID</w:t>
      </w:r>
      <w:r>
        <w:t xml:space="preserve"> attribute on a </w:t>
      </w:r>
      <w:r>
        <w:rPr>
          <w:b/>
        </w:rPr>
        <w:t>Field</w:t>
      </w:r>
      <w:r>
        <w:t xml:space="preserve"> element in the fields, the </w:t>
      </w:r>
      <w:r>
        <w:rPr>
          <w:b/>
        </w:rPr>
        <w:t>contentTypeSchema</w:t>
      </w:r>
      <w:r>
        <w:t xml:space="preserve"> element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w:t>
      </w:r>
      <w:r>
        <w:t xml:space="preserve">e matches the </w:t>
      </w:r>
      <w:r>
        <w:rPr>
          <w:b/>
        </w:rPr>
        <w:t>targetNamespace</w:t>
      </w:r>
      <w:r>
        <w:t xml:space="preserve"> attribute of the </w:t>
      </w:r>
      <w:r>
        <w:rPr>
          <w:b/>
        </w:rPr>
        <w:t>xsd:schema</w:t>
      </w:r>
      <w:r>
        <w:t xml:space="preserve">. </w:t>
      </w:r>
    </w:p>
    <w:p w:rsidR="000A156F" w:rsidRDefault="00A9721F">
      <w:r>
        <w:lastRenderedPageBreak/>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w:t>
      </w:r>
      <w:r>
        <w:rPr>
          <w:b/>
        </w:rPr>
        <w:t>equired</w:t>
      </w:r>
      <w:r>
        <w:t xml:space="preserve"> attribute is not present on the corresponding </w:t>
      </w:r>
      <w:r>
        <w:rPr>
          <w:b/>
        </w:rPr>
        <w:t>Field</w:t>
      </w:r>
      <w:r>
        <w:t xml:space="preserve"> element; the </w:t>
      </w:r>
      <w:r>
        <w:rPr>
          <w:b/>
        </w:rPr>
        <w:t>Required</w:t>
      </w:r>
      <w:r>
        <w:t xml:space="preserve"> attribute is present but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w:t>
      </w:r>
      <w:r>
        <w:t xml:space="preserve"> on the </w:t>
      </w:r>
      <w:r>
        <w:rPr>
          <w:b/>
        </w:rPr>
        <w:t xml:space="preserve">xsd:element </w:t>
      </w:r>
      <w:r>
        <w:t xml:space="preserve">element. </w:t>
      </w:r>
    </w:p>
    <w:p w:rsidR="000A156F" w:rsidRDefault="00A9721F">
      <w:r>
        <w:t xml:space="preserve">The following attributes can appear on each </w:t>
      </w:r>
      <w:r>
        <w:rPr>
          <w:b/>
        </w:rPr>
        <w:t>xsd:element</w:t>
      </w:r>
      <w:r>
        <w:t xml:space="preserve"> element: </w:t>
      </w:r>
      <w:r>
        <w:rPr>
          <w:b/>
        </w:rPr>
        <w:t>ma:displayName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w:t>
      </w:r>
      <w:r>
        <w:t xml:space="preserve">, Metadata Attributes); </w:t>
      </w:r>
      <w:r>
        <w:rPr>
          <w:b/>
        </w:rPr>
        <w:t>ma:format</w:t>
      </w:r>
      <w:r>
        <w:t xml:space="preserve"> (§3.5.2.2, Metadata Attributes); </w:t>
      </w:r>
      <w:r>
        <w:rPr>
          <w:b/>
        </w:rPr>
        <w:t>ma:hidden</w:t>
      </w:r>
      <w:r>
        <w:t xml:space="preserve"> (§3.5.2.2, Metadata Attributes); ma:LCID (§3.5.2.2, Metadata Attributes); ma:list (§3.5.2.2, Metadata Attributes); </w:t>
      </w:r>
      <w:r>
        <w:rPr>
          <w:b/>
        </w:rPr>
        <w:t>ma:internalName</w:t>
      </w:r>
      <w:r>
        <w:t xml:space="preserve"> (§3.5.2.2, Metadata Attributes); </w:t>
      </w:r>
      <w:r>
        <w:rPr>
          <w:b/>
        </w:rPr>
        <w:t>ma:readOnly</w:t>
      </w:r>
      <w:r>
        <w:t xml:space="preserve"> (§3</w:t>
      </w:r>
      <w:r>
        <w:t xml:space="preserve">.5.2.2, Metadata Attributes); </w:t>
      </w:r>
      <w:r>
        <w:rPr>
          <w:b/>
        </w:rPr>
        <w:t>ma:showField</w:t>
      </w:r>
      <w:r>
        <w:t xml:space="preserve"> (§3.5.2.2, Metadata Attributes); </w:t>
      </w:r>
      <w:r>
        <w:rPr>
          <w:b/>
        </w:rPr>
        <w:t>ma:percentage</w:t>
      </w:r>
      <w:r>
        <w:t xml:space="preserve"> (§3.5.2.2, Metadata Attributes); </w:t>
      </w:r>
      <w:r>
        <w:rPr>
          <w:b/>
        </w:rPr>
        <w:t>ma:web</w:t>
      </w:r>
      <w:r>
        <w:t xml:space="preserve"> (§3.5.2.2, Metadata Attributes); </w:t>
      </w:r>
      <w:r>
        <w:rPr>
          <w:b/>
        </w:rPr>
        <w:t>ma:requiredMultiChoice</w:t>
      </w:r>
      <w:r>
        <w:t xml:space="preserve"> (§3.5.2.2, Metadata Attributes).</w:t>
      </w:r>
    </w:p>
    <w:p w:rsidR="000A156F" w:rsidRDefault="00A9721F">
      <w:r>
        <w:t xml:space="preserve">The </w:t>
      </w:r>
      <w:r>
        <w:rPr>
          <w:b/>
        </w:rPr>
        <w:t>contentTypeSchema</w:t>
      </w:r>
      <w:r>
        <w:t xml:space="preserve"> element must ha</w:t>
      </w:r>
      <w:r>
        <w:t xml:space="preserve">ve an </w:t>
      </w:r>
      <w:r>
        <w:rPr>
          <w:b/>
        </w:rPr>
        <w:t>xsd:schema</w:t>
      </w:r>
      <w:r>
        <w:t xml:space="preserve"> child whose </w:t>
      </w:r>
      <w:r>
        <w:rPr>
          <w:b/>
        </w:rPr>
        <w:t>targetNamespace</w:t>
      </w:r>
      <w:r>
        <w:t xml:space="preserve"> attribute has the value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_</w:t>
            </w:r>
            <w:r>
              <w:t xml:space="preserve"> (Reserved)</w:t>
            </w:r>
          </w:p>
        </w:tc>
        <w:tc>
          <w:tcPr>
            <w:tcW w:w="0" w:type="auto"/>
            <w:vAlign w:val="center"/>
          </w:tcPr>
          <w:p w:rsidR="000A156F" w:rsidRDefault="00A9721F">
            <w:pPr>
              <w:pStyle w:val="TableBodyText"/>
            </w:pPr>
            <w:r>
              <w:t>Shall be empty.</w:t>
            </w:r>
          </w:p>
          <w:p w:rsidR="000A156F" w:rsidRDefault="000A156F">
            <w:pPr>
              <w:pStyle w:val="TableBodyText"/>
            </w:pPr>
          </w:p>
          <w:p w:rsidR="000A156F" w:rsidRDefault="00A9721F">
            <w:pPr>
              <w:pStyle w:val="TableBodyText"/>
            </w:pPr>
            <w:r>
              <w:t xml:space="preserve">The possible values for this attribute are defined by the </w:t>
            </w:r>
            <w:r>
              <w:t>XML Schema anySimpleType datatype.</w:t>
            </w:r>
          </w:p>
        </w:tc>
      </w:tr>
      <w:tr w:rsidR="000A156F" w:rsidTr="000A156F">
        <w:tc>
          <w:tcPr>
            <w:tcW w:w="0" w:type="auto"/>
            <w:vAlign w:val="center"/>
          </w:tcPr>
          <w:p w:rsidR="000A156F" w:rsidRDefault="00A9721F">
            <w:pPr>
              <w:pStyle w:val="TableBodyText"/>
            </w:pPr>
            <w:r>
              <w:rPr>
                <w:b/>
              </w:rPr>
              <w:t>_</w:t>
            </w:r>
            <w:r>
              <w:t xml:space="preserve"> (Reserved)</w:t>
            </w:r>
          </w:p>
          <w:p w:rsidR="000A156F" w:rsidRDefault="000A156F">
            <w:pPr>
              <w:pStyle w:val="TableBodyText"/>
            </w:pPr>
          </w:p>
          <w:p w:rsidR="000A156F" w:rsidRDefault="00A9721F">
            <w:pPr>
              <w:pStyle w:val="TableBodyText"/>
            </w:pPr>
            <w:r>
              <w:t>Namespace: http://schemas.microsoft.com/office/2006/metadata/properties/metaAttributes</w:t>
            </w:r>
          </w:p>
        </w:tc>
        <w:tc>
          <w:tcPr>
            <w:tcW w:w="0" w:type="auto"/>
            <w:vAlign w:val="center"/>
          </w:tcPr>
          <w:p w:rsidR="000A156F" w:rsidRDefault="00A9721F">
            <w:pPr>
              <w:pStyle w:val="TableBodyText"/>
            </w:pPr>
            <w:r>
              <w:t>Shall be empty.</w:t>
            </w:r>
          </w:p>
          <w:p w:rsidR="000A156F" w:rsidRDefault="000A156F">
            <w:pPr>
              <w:pStyle w:val="TableBodyText"/>
            </w:pPr>
          </w:p>
          <w:p w:rsidR="000A156F" w:rsidRDefault="00A9721F">
            <w:pPr>
              <w:pStyle w:val="TableBodyText"/>
            </w:pPr>
            <w:r>
              <w:t>The possible values for this attribute are defined by the XML Schema anySimpleType datatype.</w:t>
            </w:r>
          </w:p>
        </w:tc>
      </w:tr>
      <w:tr w:rsidR="000A156F" w:rsidTr="000A156F">
        <w:tc>
          <w:tcPr>
            <w:tcW w:w="0" w:type="auto"/>
            <w:vAlign w:val="center"/>
          </w:tcPr>
          <w:p w:rsidR="000A156F" w:rsidRDefault="00A9721F">
            <w:pPr>
              <w:pStyle w:val="TableBodyText"/>
            </w:pPr>
            <w:r>
              <w:rPr>
                <w:b/>
              </w:rPr>
              <w:t>contentTypeDescription</w:t>
            </w:r>
            <w:r>
              <w:t xml:space="preserve"> (Content Type Description)</w:t>
            </w:r>
          </w:p>
          <w:p w:rsidR="000A156F" w:rsidRDefault="000A156F">
            <w:pPr>
              <w:pStyle w:val="TableBodyText"/>
            </w:pPr>
          </w:p>
          <w:p w:rsidR="000A156F" w:rsidRDefault="00A9721F">
            <w:pPr>
              <w:pStyle w:val="TableBodyText"/>
            </w:pPr>
            <w:r>
              <w:t>Namespace: http://schemas.microsoft.com/office/2006/metadata/properties/metaAttributes</w:t>
            </w:r>
          </w:p>
        </w:tc>
        <w:tc>
          <w:tcPr>
            <w:tcW w:w="0" w:type="auto"/>
            <w:vAlign w:val="center"/>
          </w:tcPr>
          <w:p w:rsidR="000A156F" w:rsidRDefault="00A9721F">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w:t>
            </w:r>
            <w:r>
              <w:t>tion Markup Language (CAML) Structure Specification ([MS-WSSCAML] Subclause 2.4.1.1) for the content type associated with this document.</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t>contentTypeID</w:t>
            </w:r>
            <w:r>
              <w:t xml:space="preserve"> (Content Type ID)</w:t>
            </w:r>
          </w:p>
          <w:p w:rsidR="000A156F" w:rsidRDefault="000A156F">
            <w:pPr>
              <w:pStyle w:val="TableBodyText"/>
            </w:pPr>
          </w:p>
          <w:p w:rsidR="000A156F" w:rsidRDefault="00A9721F">
            <w:pPr>
              <w:pStyle w:val="TableBodyText"/>
            </w:pPr>
            <w:r>
              <w:t>Namespace: http://schemas.microsoft.com/office/2006/metadata/properties/metaAttributes</w:t>
            </w:r>
          </w:p>
        </w:tc>
        <w:tc>
          <w:tcPr>
            <w:tcW w:w="0" w:type="auto"/>
            <w:vAlign w:val="center"/>
          </w:tcPr>
          <w:p w:rsidR="000A156F" w:rsidRDefault="00A9721F">
            <w:pPr>
              <w:pStyle w:val="TableBodyText"/>
            </w:pPr>
            <w:r>
              <w:t>Identifies the content type associated with this document.</w:t>
            </w:r>
          </w:p>
          <w:p w:rsidR="000A156F" w:rsidRDefault="000A156F">
            <w:pPr>
              <w:pStyle w:val="TableBodyText"/>
            </w:pPr>
          </w:p>
          <w:p w:rsidR="000A156F" w:rsidRDefault="00A9721F">
            <w:pPr>
              <w:pStyle w:val="TableBodyText"/>
            </w:pPr>
            <w:r>
              <w:t>The possible values for this attribute are defined by the ST_ContentTypeId simple type (§</w:t>
            </w:r>
            <w:hyperlink w:anchor="Section_786223f9b8ff46fdade3b42236e6297f">
              <w:r>
                <w:rPr>
                  <w:rStyle w:val="Hyperlink"/>
                </w:rPr>
                <w:t>3.5.2.2.2.1, ST_ContentTypeId</w:t>
              </w:r>
            </w:hyperlink>
            <w:r>
              <w:t>).</w:t>
            </w:r>
          </w:p>
        </w:tc>
      </w:tr>
      <w:tr w:rsidR="000A156F" w:rsidTr="000A156F">
        <w:tc>
          <w:tcPr>
            <w:tcW w:w="0" w:type="auto"/>
            <w:vAlign w:val="center"/>
          </w:tcPr>
          <w:p w:rsidR="000A156F" w:rsidRDefault="00A9721F">
            <w:pPr>
              <w:pStyle w:val="TableBodyText"/>
            </w:pPr>
            <w:r>
              <w:rPr>
                <w:b/>
              </w:rPr>
              <w:t>contentTypeName</w:t>
            </w:r>
            <w:r>
              <w:t xml:space="preserve"> (Content Type Name)</w:t>
            </w:r>
          </w:p>
          <w:p w:rsidR="000A156F" w:rsidRDefault="000A156F">
            <w:pPr>
              <w:pStyle w:val="TableBodyText"/>
            </w:pPr>
          </w:p>
          <w:p w:rsidR="000A156F" w:rsidRDefault="00A9721F">
            <w:pPr>
              <w:pStyle w:val="TableBodyText"/>
            </w:pPr>
            <w:r>
              <w:t>Namespace: http://schemas.microsoft.com/office/2006/metadata/properties/metaAttributes</w:t>
            </w:r>
          </w:p>
        </w:tc>
        <w:tc>
          <w:tcPr>
            <w:tcW w:w="0" w:type="auto"/>
            <w:vAlign w:val="center"/>
          </w:tcPr>
          <w:p w:rsidR="000A156F" w:rsidRDefault="00A9721F">
            <w:pPr>
              <w:pStyle w:val="TableBodyText"/>
            </w:pPr>
            <w:r>
              <w:lastRenderedPageBreak/>
              <w:t xml:space="preserve">Must be the same value as the </w:t>
            </w:r>
            <w:r>
              <w:rPr>
                <w:b/>
              </w:rPr>
              <w:lastRenderedPageBreak/>
              <w:t>Name</w:t>
            </w:r>
            <w:r>
              <w:t xml:space="preserve"> attribute of the </w:t>
            </w:r>
            <w:r>
              <w:rPr>
                <w:b/>
              </w:rPr>
              <w:t>Co</w:t>
            </w:r>
            <w:r>
              <w:rPr>
                <w:b/>
              </w:rPr>
              <w:t>ntentType</w:t>
            </w:r>
            <w:r>
              <w:t xml:space="preserve"> element (as described in Collaborative Application Markup Language (CAML) Structure Specification ([MS-WSSCAML] Subclause 2.4.1.1)) for the content type associated with this document.</w:t>
            </w:r>
          </w:p>
          <w:p w:rsidR="000A156F" w:rsidRDefault="000A156F">
            <w:pPr>
              <w:pStyle w:val="TableBodyText"/>
            </w:pPr>
          </w:p>
          <w:p w:rsidR="000A156F" w:rsidRDefault="00A9721F">
            <w:pPr>
              <w:pStyle w:val="TableBodyText"/>
            </w:pPr>
            <w:r>
              <w:t>The possible values for this attribute are defined by the XML</w:t>
            </w:r>
            <w:r>
              <w:t xml:space="preserve"> Schema string datatype.</w:t>
            </w:r>
          </w:p>
        </w:tc>
      </w:tr>
      <w:tr w:rsidR="000A156F" w:rsidTr="000A156F">
        <w:tc>
          <w:tcPr>
            <w:tcW w:w="0" w:type="auto"/>
            <w:vAlign w:val="center"/>
          </w:tcPr>
          <w:p w:rsidR="000A156F" w:rsidRDefault="00A9721F">
            <w:pPr>
              <w:pStyle w:val="TableBodyText"/>
            </w:pPr>
            <w:r>
              <w:rPr>
                <w:b/>
              </w:rPr>
              <w:lastRenderedPageBreak/>
              <w:t>contentTypeScope</w:t>
            </w:r>
            <w:r>
              <w:t xml:space="preserve"> (Content Type Scope)</w:t>
            </w:r>
          </w:p>
          <w:p w:rsidR="000A156F" w:rsidRDefault="000A156F">
            <w:pPr>
              <w:pStyle w:val="TableBodyText"/>
            </w:pPr>
          </w:p>
          <w:p w:rsidR="000A156F" w:rsidRDefault="00A9721F">
            <w:pPr>
              <w:pStyle w:val="TableBodyText"/>
            </w:pPr>
            <w:r>
              <w:t>Namespace: http://schemas.microsoft.com/office/2006/metadata/properties/metaAttributes</w:t>
            </w:r>
          </w:p>
        </w:tc>
        <w:tc>
          <w:tcPr>
            <w:tcW w:w="0" w:type="auto"/>
            <w:vAlign w:val="center"/>
          </w:tcPr>
          <w:p w:rsidR="000A156F" w:rsidRDefault="00A9721F">
            <w:pPr>
              <w:pStyle w:val="TableBodyText"/>
            </w:pPr>
            <w:r>
              <w:t>Shall be empty.</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t>contentTypeVersion</w:t>
            </w:r>
            <w:r>
              <w:t xml:space="preserve"> (Content Type Version)</w:t>
            </w:r>
          </w:p>
          <w:p w:rsidR="000A156F" w:rsidRDefault="000A156F">
            <w:pPr>
              <w:pStyle w:val="TableBodyText"/>
            </w:pPr>
          </w:p>
          <w:p w:rsidR="000A156F" w:rsidRDefault="00A9721F">
            <w:pPr>
              <w:pStyle w:val="TableBodyText"/>
            </w:pPr>
            <w:r>
              <w:t>Namespace: http://schemas.microsoft.com/office/2006/metadata/properties/metaAttributes</w:t>
            </w:r>
          </w:p>
        </w:tc>
        <w:tc>
          <w:tcPr>
            <w:tcW w:w="0" w:type="auto"/>
            <w:vAlign w:val="center"/>
          </w:tcPr>
          <w:p w:rsidR="000A156F" w:rsidRDefault="00A9721F">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w:t>
            </w:r>
            <w:r>
              <w:t>Language (CAML) Structure Specification ([MS-WSSCAML] Subclause 2.4.1.1) for the content type associated with this document.</w:t>
            </w:r>
          </w:p>
          <w:p w:rsidR="000A156F" w:rsidRDefault="000A156F">
            <w:pPr>
              <w:pStyle w:val="TableBodyText"/>
            </w:pPr>
          </w:p>
          <w:p w:rsidR="000A156F" w:rsidRDefault="00A9721F">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0A156F" w:rsidTr="000A156F">
        <w:tc>
          <w:tcPr>
            <w:tcW w:w="0" w:type="auto"/>
            <w:vAlign w:val="center"/>
          </w:tcPr>
          <w:p w:rsidR="000A156F" w:rsidRDefault="00A9721F">
            <w:pPr>
              <w:pStyle w:val="TableBodyText"/>
            </w:pPr>
            <w:r>
              <w:rPr>
                <w:b/>
              </w:rPr>
              <w:t>versionID</w:t>
            </w:r>
            <w:r>
              <w:t xml:space="preserve"> (Version ID)</w:t>
            </w:r>
          </w:p>
          <w:p w:rsidR="000A156F" w:rsidRDefault="000A156F">
            <w:pPr>
              <w:pStyle w:val="TableBodyText"/>
            </w:pPr>
          </w:p>
          <w:p w:rsidR="000A156F" w:rsidRDefault="00A9721F">
            <w:pPr>
              <w:pStyle w:val="TableBodyText"/>
            </w:pPr>
            <w:r>
              <w:t>Namespace: http://schemas.microsoft.com/office/2006/metadata/properties/metaAttributes</w:t>
            </w:r>
          </w:p>
        </w:tc>
        <w:tc>
          <w:tcPr>
            <w:tcW w:w="0" w:type="auto"/>
            <w:vAlign w:val="center"/>
          </w:tcPr>
          <w:p w:rsidR="000A156F" w:rsidRDefault="00A9721F">
            <w:pPr>
              <w:pStyle w:val="TableBodyText"/>
            </w:pPr>
            <w:r>
              <w:t>A string hash used to determine if the definition of the content type associated with th</w:t>
            </w:r>
            <w:r>
              <w:t>is document has changed since the last time the content type was applied to the document.</w:t>
            </w:r>
          </w:p>
          <w:p w:rsidR="000A156F" w:rsidRDefault="000A156F">
            <w:pPr>
              <w:pStyle w:val="TableBodyText"/>
            </w:pPr>
          </w:p>
          <w:p w:rsidR="000A156F" w:rsidRDefault="00A9721F">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w:t>
            </w:r>
            <w:r>
              <w:t>t of the GetListContentType Web service request, as described in Lists Web Service Protocol Specification (</w:t>
            </w:r>
            <w:hyperlink r:id="rId360" w:anchor="Section_30b364cc38374e839ce81963292e2ee5">
              <w:r>
                <w:rPr>
                  <w:rStyle w:val="Hyperlink"/>
                </w:rPr>
                <w:t>[MS-LISTSWS]</w:t>
              </w:r>
            </w:hyperlink>
            <w:r>
              <w:t xml:space="preserve"> Subclause 3.1.4.17).</w:t>
            </w:r>
          </w:p>
          <w:p w:rsidR="000A156F" w:rsidRDefault="000A156F">
            <w:pPr>
              <w:pStyle w:val="TableBodyText"/>
            </w:pPr>
          </w:p>
          <w:p w:rsidR="000A156F" w:rsidRDefault="00A9721F">
            <w:pPr>
              <w:pStyle w:val="TableBodyText"/>
            </w:pPr>
            <w:r>
              <w:t xml:space="preserve">The possible values for this </w:t>
            </w:r>
            <w:r>
              <w:t>attribute are defined by the XML Schema string datatype.</w:t>
            </w:r>
          </w:p>
        </w:tc>
      </w:tr>
    </w:tbl>
    <w:p w:rsidR="000A156F" w:rsidRDefault="000A156F"/>
    <w:p w:rsidR="000A156F" w:rsidRDefault="00A9721F">
      <w:r>
        <w:t>The following XML Schema fragment defines the contents of this element:</w:t>
      </w:r>
    </w:p>
    <w:p w:rsidR="000A156F" w:rsidRDefault="00A9721F">
      <w:pPr>
        <w:pStyle w:val="Code"/>
      </w:pPr>
      <w:r>
        <w:t>&lt;complexType name="CT_ContentTypeSchema"&gt;</w:t>
      </w:r>
    </w:p>
    <w:p w:rsidR="000A156F" w:rsidRDefault="00A9721F">
      <w:pPr>
        <w:pStyle w:val="Code"/>
      </w:pPr>
      <w:r>
        <w:t xml:space="preserve">  &lt;sequence&gt;</w:t>
      </w:r>
    </w:p>
    <w:p w:rsidR="000A156F" w:rsidRDefault="00A9721F">
      <w:pPr>
        <w:pStyle w:val="Code"/>
      </w:pPr>
      <w:r>
        <w:t xml:space="preserve">    &lt;element ref="xsd:schema" maxOccurs="unbounded"/&gt;</w:t>
      </w:r>
    </w:p>
    <w:p w:rsidR="000A156F" w:rsidRDefault="00A9721F">
      <w:pPr>
        <w:pStyle w:val="Code"/>
      </w:pPr>
      <w:r>
        <w:t xml:space="preserve">  &lt;/sequence&gt;</w:t>
      </w:r>
    </w:p>
    <w:p w:rsidR="000A156F" w:rsidRDefault="00A9721F">
      <w:pPr>
        <w:pStyle w:val="Code"/>
      </w:pPr>
      <w:r>
        <w:t xml:space="preserve">  </w:t>
      </w:r>
      <w:r>
        <w:t>&lt;attribute name="_"/&gt;</w:t>
      </w:r>
    </w:p>
    <w:p w:rsidR="000A156F" w:rsidRDefault="00A9721F">
      <w:pPr>
        <w:pStyle w:val="Code"/>
      </w:pPr>
      <w:r>
        <w:t xml:space="preserve">  &lt;attribute ref="ma:_"/&gt;</w:t>
      </w:r>
    </w:p>
    <w:p w:rsidR="000A156F" w:rsidRDefault="00A9721F">
      <w:pPr>
        <w:pStyle w:val="Code"/>
      </w:pPr>
      <w:r>
        <w:t xml:space="preserve">  &lt;attribute ref="ma:contentTypeName"/&gt;</w:t>
      </w:r>
    </w:p>
    <w:p w:rsidR="000A156F" w:rsidRDefault="00A9721F">
      <w:pPr>
        <w:pStyle w:val="Code"/>
      </w:pPr>
      <w:r>
        <w:t xml:space="preserve">  &lt;attribute ref="ma:contentTypeID"/&gt;</w:t>
      </w:r>
    </w:p>
    <w:p w:rsidR="000A156F" w:rsidRDefault="00A9721F">
      <w:pPr>
        <w:pStyle w:val="Code"/>
      </w:pPr>
      <w:r>
        <w:t xml:space="preserve">  &lt;attribute ref="ma:contentTypeVersion"/&gt;</w:t>
      </w:r>
    </w:p>
    <w:p w:rsidR="000A156F" w:rsidRDefault="00A9721F">
      <w:pPr>
        <w:pStyle w:val="Code"/>
      </w:pPr>
      <w:r>
        <w:t xml:space="preserve">  &lt;attribute ref="ma:contentTypeDescription"/&gt;</w:t>
      </w:r>
    </w:p>
    <w:p w:rsidR="000A156F" w:rsidRDefault="00A9721F">
      <w:pPr>
        <w:pStyle w:val="Code"/>
      </w:pPr>
      <w:r>
        <w:t xml:space="preserve">  &lt;attribute ref="ma:contentTypeScope"/&gt;</w:t>
      </w:r>
    </w:p>
    <w:p w:rsidR="000A156F" w:rsidRDefault="00A9721F">
      <w:pPr>
        <w:pStyle w:val="Code"/>
      </w:pPr>
      <w:r>
        <w:t xml:space="preserve">  &lt;attribute ref="ma:versionID"/&gt;</w:t>
      </w:r>
    </w:p>
    <w:p w:rsidR="000A156F" w:rsidRDefault="00A9721F">
      <w:pPr>
        <w:pStyle w:val="Code"/>
      </w:pPr>
      <w:r>
        <w:t>&lt;/complexType&gt;</w:t>
      </w:r>
    </w:p>
    <w:p w:rsidR="000A156F" w:rsidRDefault="00A9721F">
      <w:pPr>
        <w:pStyle w:val="Heading4"/>
      </w:pPr>
      <w:bookmarkStart w:id="4084" w:name="section_e784c18d69eb486996da0afdd0001ef4"/>
      <w:bookmarkStart w:id="4085" w:name="_Toc181685067"/>
      <w:r>
        <w:t>Metadata Attributes</w:t>
      </w:r>
      <w:bookmarkEnd w:id="4084"/>
      <w:bookmarkEnd w:id="4085"/>
      <w:r>
        <w:fldChar w:fldCharType="begin"/>
      </w:r>
      <w:r>
        <w:instrText xml:space="preserve"> XE "Metadata Attributes" </w:instrText>
      </w:r>
      <w:r>
        <w:fldChar w:fldCharType="end"/>
      </w:r>
    </w:p>
    <w:p w:rsidR="000A156F" w:rsidRDefault="00A9721F">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0A156F" w:rsidRDefault="00A9721F">
      <w:pPr>
        <w:pStyle w:val="Heading5"/>
      </w:pPr>
      <w:bookmarkStart w:id="4086" w:name="section_83c200b15a6944308fe6adc3583034a2"/>
      <w:bookmarkStart w:id="4087" w:name="_Toc181685068"/>
      <w:r>
        <w:t>Shared Attributes (Content Type Schemas)</w:t>
      </w:r>
      <w:bookmarkEnd w:id="4086"/>
      <w:bookmarkEnd w:id="4087"/>
      <w:r>
        <w:fldChar w:fldCharType="begin"/>
      </w:r>
      <w:r>
        <w:instrText xml:space="preserve"> XE "Shared Attributes (Content Type Schemas)" </w:instrText>
      </w:r>
      <w:r>
        <w:fldChar w:fldCharType="end"/>
      </w:r>
    </w:p>
    <w:p w:rsidR="000A156F" w:rsidRDefault="00A9721F">
      <w:r>
        <w:t>The schemas referred to here (including the root schema and core schema) are the child schemas de</w:t>
      </w:r>
      <w:r>
        <w:t>scribed in Content Type Schemas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anchorId</w:t>
            </w:r>
            <w:r>
              <w:t xml:space="preserve"> (Anchor Term ID)</w:t>
            </w:r>
          </w:p>
        </w:tc>
        <w:tc>
          <w:tcPr>
            <w:tcW w:w="0" w:type="auto"/>
            <w:vAlign w:val="center"/>
          </w:tcPr>
          <w:p w:rsidR="000A156F" w:rsidRDefault="00A9721F">
            <w:pPr>
              <w:pStyle w:val="TableBodyText"/>
            </w:pPr>
            <w:r>
              <w:t>Specifies the term which parents</w:t>
            </w:r>
            <w:r>
              <w:t xml:space="preserve"> all terms that may be selected as a valid value for the property corresponding to this xsd:element.</w:t>
            </w:r>
          </w:p>
          <w:p w:rsidR="000A156F" w:rsidRDefault="000A156F">
            <w:pPr>
              <w:pStyle w:val="TableBodyText"/>
            </w:pPr>
          </w:p>
          <w:p w:rsidR="000A156F" w:rsidRDefault="00A9721F">
            <w:pPr>
              <w:pStyle w:val="TableBodyText"/>
            </w:pPr>
            <w:r>
              <w:t>If set to "00000000-0000-0000-0000-000000000000", specifies that all terms in the term set specified by the termSetId attribute MUST be treated as valid v</w:t>
            </w:r>
            <w:r>
              <w:t>alues for the property corresponding to this xsd:element.</w:t>
            </w:r>
          </w:p>
          <w:p w:rsidR="000A156F" w:rsidRDefault="000A156F">
            <w:pPr>
              <w:pStyle w:val="TableBodyText"/>
            </w:pPr>
          </w:p>
          <w:p w:rsidR="000A156F" w:rsidRDefault="00A9721F">
            <w:pPr>
              <w:pStyle w:val="TableBodyText"/>
            </w:pPr>
            <w:r>
              <w:t>MUST be present on xsd:elements for which the taxonomy attribute is set to "true".</w:t>
            </w:r>
          </w:p>
          <w:p w:rsidR="000A156F" w:rsidRDefault="00A9721F">
            <w:pPr>
              <w:pStyle w:val="TableBodyText"/>
            </w:pPr>
            <w:r>
              <w:t xml:space="preserve">If applied to any other element, this attribute MUST be ignored. </w:t>
            </w:r>
          </w:p>
          <w:p w:rsidR="000A156F" w:rsidRDefault="000A156F">
            <w:pPr>
              <w:pStyle w:val="TableBodyText"/>
            </w:pPr>
          </w:p>
          <w:p w:rsidR="000A156F" w:rsidRDefault="00A9721F">
            <w:pPr>
              <w:pStyle w:val="TableBodyText"/>
            </w:pPr>
            <w:r>
              <w:t>The possible values for this attribute are defi</w:t>
            </w:r>
            <w:r>
              <w:t>ned by the ST_UniqueIdentifierWithoutBraces simple type (§</w:t>
            </w:r>
            <w:hyperlink w:anchor="Section_ab99726155c24ba4b3b99819b200389d">
              <w:r>
                <w:rPr>
                  <w:rStyle w:val="Hyperlink"/>
                </w:rPr>
                <w:t>3.5.2.2.2.5, ST_UniqueIdentifierWithoutBraces</w:t>
              </w:r>
            </w:hyperlink>
            <w:r>
              <w:t>).</w:t>
            </w:r>
          </w:p>
        </w:tc>
      </w:tr>
      <w:tr w:rsidR="000A156F" w:rsidTr="000A156F">
        <w:tc>
          <w:tcPr>
            <w:tcW w:w="0" w:type="auto"/>
            <w:vAlign w:val="center"/>
          </w:tcPr>
          <w:p w:rsidR="000A156F" w:rsidRDefault="00A9721F">
            <w:pPr>
              <w:pStyle w:val="TableBodyText"/>
            </w:pPr>
            <w:r>
              <w:rPr>
                <w:b/>
              </w:rPr>
              <w:t>decimals</w:t>
            </w:r>
            <w:r>
              <w:t xml:space="preserve"> (Decimal Digits)</w:t>
            </w:r>
          </w:p>
        </w:tc>
        <w:tc>
          <w:tcPr>
            <w:tcW w:w="0" w:type="auto"/>
            <w:vAlign w:val="center"/>
          </w:tcPr>
          <w:p w:rsidR="000A156F" w:rsidRDefault="00A9721F">
            <w:pPr>
              <w:pStyle w:val="TableBodyText"/>
            </w:pPr>
            <w:r>
              <w:t xml:space="preserve">Specifies the number of fractional digits to display on the </w:t>
            </w:r>
            <w:r>
              <w:t xml:space="preserve">property editing surface for the property corresponding to an </w:t>
            </w:r>
            <w:r>
              <w:rPr>
                <w:b/>
              </w:rPr>
              <w:t>xsd:element</w:t>
            </w:r>
            <w:r>
              <w:t xml:space="preserve"> in a schema other than the root schema whose content model is an </w:t>
            </w:r>
            <w:r>
              <w:rPr>
                <w:b/>
              </w:rPr>
              <w:t>xsd:restriction</w:t>
            </w:r>
            <w:r>
              <w:t xml:space="preserve"> based on {http://schemas.microsoft.com/office/2006/documentManagement/types}Currency or {http://schem</w:t>
            </w:r>
            <w:r>
              <w:t>as.microsoft.com/office/2006/documentManagement/types}Number.</w:t>
            </w:r>
          </w:p>
          <w:p w:rsidR="000A156F" w:rsidRDefault="000A156F">
            <w:pPr>
              <w:pStyle w:val="TableBodyText"/>
            </w:pPr>
          </w:p>
          <w:p w:rsidR="000A156F" w:rsidRDefault="00A9721F">
            <w:pPr>
              <w:pStyle w:val="TableBodyText"/>
            </w:pPr>
            <w:r>
              <w:t xml:space="preserve">Office handles the integer values </w:t>
            </w:r>
            <w:r>
              <w:rPr>
                <w:i/>
              </w:rPr>
              <w:t>0</w:t>
            </w:r>
            <w:r>
              <w:t>-</w:t>
            </w:r>
            <w:r>
              <w:rPr>
                <w:i/>
              </w:rPr>
              <w:t>9</w:t>
            </w:r>
            <w:r>
              <w:t xml:space="preserve"> and </w:t>
            </w:r>
            <w:r>
              <w:rPr>
                <w:i/>
              </w:rPr>
              <w:t>auto</w:t>
            </w:r>
            <w:r>
              <w:t>.</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 xml:space="preserve">The possible values for this attribute are defined by the XML Schema string </w:t>
            </w:r>
            <w:r>
              <w:t>datatype.</w:t>
            </w:r>
          </w:p>
        </w:tc>
      </w:tr>
      <w:tr w:rsidR="000A156F" w:rsidTr="000A156F">
        <w:tc>
          <w:tcPr>
            <w:tcW w:w="0" w:type="auto"/>
            <w:vAlign w:val="center"/>
          </w:tcPr>
          <w:p w:rsidR="000A156F" w:rsidRDefault="00A9721F">
            <w:pPr>
              <w:pStyle w:val="TableBodyText"/>
            </w:pPr>
            <w:r>
              <w:rPr>
                <w:b/>
              </w:rPr>
              <w:t>default</w:t>
            </w:r>
            <w:r>
              <w:t xml:space="preserve"> (Default </w:t>
            </w:r>
            <w:r>
              <w:lastRenderedPageBreak/>
              <w:t>Value)</w:t>
            </w:r>
          </w:p>
        </w:tc>
        <w:tc>
          <w:tcPr>
            <w:tcW w:w="0" w:type="auto"/>
            <w:vAlign w:val="center"/>
          </w:tcPr>
          <w:p w:rsidR="000A156F" w:rsidRDefault="00A9721F">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xsd:element</w:t>
            </w:r>
            <w:r>
              <w:t>.</w:t>
            </w:r>
          </w:p>
          <w:p w:rsidR="000A156F" w:rsidRDefault="000A156F">
            <w:pPr>
              <w:pStyle w:val="TableBodyText"/>
            </w:pPr>
          </w:p>
          <w:p w:rsidR="000A156F" w:rsidRDefault="00A9721F">
            <w:pPr>
              <w:pStyle w:val="TableBodyText"/>
            </w:pPr>
            <w:r>
              <w:t xml:space="preserve">When applied to an </w:t>
            </w:r>
            <w:r>
              <w:rPr>
                <w:b/>
              </w:rPr>
              <w:t>xsd:element</w:t>
            </w:r>
            <w:r>
              <w:t xml:space="preserve"> in a schema other tha</w:t>
            </w:r>
            <w:r>
              <w:t xml:space="preserve">n the root schema or core schema whose content model is an </w:t>
            </w:r>
            <w:r>
              <w:rPr>
                <w:b/>
              </w:rPr>
              <w:t>xsd:restriction</w:t>
            </w:r>
            <w:r>
              <w:t xml:space="preserve"> based on {http://schemas.microsoft.com/office/2006/documentManagement/types}DateTime, if set to </w:t>
            </w:r>
            <w:r>
              <w:rPr>
                <w:i/>
              </w:rPr>
              <w:t>[today]</w:t>
            </w:r>
            <w:r>
              <w:t xml:space="preserve">, specifies that the initial value of the property corresponding to the </w:t>
            </w:r>
            <w:r>
              <w:rPr>
                <w:b/>
              </w:rPr>
              <w:t>xsd:el</w:t>
            </w:r>
            <w:r>
              <w:rPr>
                <w:b/>
              </w:rPr>
              <w:t>ement</w:t>
            </w:r>
            <w:r>
              <w:t xml:space="preserve"> should be set to the current date and time. </w:t>
            </w:r>
          </w:p>
          <w:p w:rsidR="000A156F" w:rsidRDefault="000A156F">
            <w:pPr>
              <w:pStyle w:val="TableBodyText"/>
            </w:pPr>
          </w:p>
          <w:p w:rsidR="000A156F" w:rsidRDefault="00A9721F">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corresponding to this xsd:element.</w:t>
            </w:r>
          </w:p>
          <w:p w:rsidR="000A156F" w:rsidRDefault="000A156F">
            <w:pPr>
              <w:pStyle w:val="TableBodyText"/>
            </w:pPr>
          </w:p>
          <w:p w:rsidR="000A156F" w:rsidRDefault="00A9721F">
            <w:pPr>
              <w:pStyle w:val="TableBodyText"/>
            </w:pPr>
            <w:r>
              <w:t xml:space="preserve">If applied </w:t>
            </w:r>
            <w:r>
              <w:t>to any other element, this attribute should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lastRenderedPageBreak/>
              <w:t>description</w:t>
            </w:r>
            <w:r>
              <w:t xml:space="preserve"> (Description)</w:t>
            </w:r>
          </w:p>
        </w:tc>
        <w:tc>
          <w:tcPr>
            <w:tcW w:w="0" w:type="auto"/>
            <w:vAlign w:val="center"/>
          </w:tcPr>
          <w:p w:rsidR="000A156F" w:rsidRDefault="00A9721F">
            <w:pPr>
              <w:pStyle w:val="TableBodyText"/>
            </w:pPr>
            <w:r>
              <w:t xml:space="preserve">When applied to an </w:t>
            </w:r>
            <w:r>
              <w:rPr>
                <w:b/>
              </w:rPr>
              <w:t>xsd:element</w:t>
            </w:r>
            <w:r>
              <w:t xml:space="preserve"> in a schema other than the root schema, specifies infor</w:t>
            </w:r>
            <w:r>
              <w:t xml:space="preserve">mation displayed as a part of the tooltip on the property editing surface for the property corresponding to this </w:t>
            </w:r>
            <w:r>
              <w:rPr>
                <w:b/>
              </w:rPr>
              <w:t>xsd:element</w:t>
            </w:r>
            <w:r>
              <w:t>.</w:t>
            </w:r>
          </w:p>
          <w:p w:rsidR="000A156F" w:rsidRDefault="000A156F">
            <w:pPr>
              <w:pStyle w:val="TableBodyText"/>
            </w:pPr>
          </w:p>
          <w:p w:rsidR="000A156F" w:rsidRDefault="00A9721F">
            <w:pPr>
              <w:pStyle w:val="TableBodyText"/>
            </w:pPr>
            <w:r>
              <w:t>Office displays the first 512 characters of the concatenation of the property name, the ": " delimiter, and the description as th</w:t>
            </w:r>
            <w:r>
              <w:t>e tooltip.</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t>displayName</w:t>
            </w:r>
            <w:r>
              <w:t xml:space="preserve"> (Display Name)</w:t>
            </w:r>
          </w:p>
        </w:tc>
        <w:tc>
          <w:tcPr>
            <w:tcW w:w="0" w:type="auto"/>
            <w:vAlign w:val="center"/>
          </w:tcPr>
          <w:p w:rsidR="000A156F" w:rsidRDefault="00A9721F">
            <w:pPr>
              <w:pStyle w:val="TableBodyText"/>
            </w:pPr>
            <w:r>
              <w:t xml:space="preserve">When applied to an </w:t>
            </w:r>
            <w:r>
              <w:rPr>
                <w:b/>
              </w:rPr>
              <w:t>xsd:element</w:t>
            </w:r>
            <w:r>
              <w:t xml:space="preserve"> in a schema other than the root</w:t>
            </w:r>
            <w:r>
              <w:t xml:space="preserve"> schema or core schema, specifies the text displayed on the property editing surface and as a part of the tooltip for the property corresponding to the </w:t>
            </w:r>
            <w:r>
              <w:rPr>
                <w:b/>
              </w:rPr>
              <w:t>xsd:element</w:t>
            </w:r>
            <w:r>
              <w:t>.</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The possible values fo</w:t>
            </w:r>
            <w:r>
              <w:t>r this attribute are defined by the XML Schema string datatype.</w:t>
            </w:r>
          </w:p>
        </w:tc>
      </w:tr>
      <w:tr w:rsidR="000A156F" w:rsidTr="000A156F">
        <w:tc>
          <w:tcPr>
            <w:tcW w:w="0" w:type="auto"/>
            <w:vAlign w:val="center"/>
          </w:tcPr>
          <w:p w:rsidR="000A156F" w:rsidRDefault="00A9721F">
            <w:pPr>
              <w:pStyle w:val="TableBodyText"/>
            </w:pPr>
            <w:r>
              <w:rPr>
                <w:b/>
              </w:rPr>
              <w:t>fieldId</w:t>
            </w:r>
            <w:r>
              <w:t xml:space="preserve"> (Taxonomy Field ID)</w:t>
            </w:r>
          </w:p>
        </w:tc>
        <w:tc>
          <w:tcPr>
            <w:tcW w:w="0" w:type="auto"/>
            <w:vAlign w:val="center"/>
          </w:tcPr>
          <w:p w:rsidR="000A156F" w:rsidRDefault="00A9721F">
            <w:pPr>
              <w:pStyle w:val="TableBodyText"/>
            </w:pPr>
            <w:r>
              <w:t>Specifies a unique identifier for the field.</w:t>
            </w:r>
          </w:p>
          <w:p w:rsidR="000A156F" w:rsidRDefault="000A156F">
            <w:pPr>
              <w:pStyle w:val="TableBodyText"/>
            </w:pPr>
          </w:p>
          <w:p w:rsidR="000A156F" w:rsidRDefault="00A9721F">
            <w:pPr>
              <w:pStyle w:val="TableBodyText"/>
            </w:pPr>
            <w:r>
              <w:t>MUST be present on xsd:elements for which the taxonomy attribute is set to "true".</w:t>
            </w:r>
          </w:p>
          <w:p w:rsidR="000A156F" w:rsidRDefault="000A156F">
            <w:pPr>
              <w:pStyle w:val="TableBodyText"/>
            </w:pPr>
          </w:p>
          <w:p w:rsidR="000A156F" w:rsidRDefault="00A9721F">
            <w:pPr>
              <w:pStyle w:val="TableBodyText"/>
            </w:pPr>
            <w:r>
              <w:t xml:space="preserve">If applied to any other element, </w:t>
            </w:r>
            <w:r>
              <w:t>this attribute MUST be ignored.</w:t>
            </w:r>
          </w:p>
          <w:p w:rsidR="000A156F" w:rsidRDefault="000A156F">
            <w:pPr>
              <w:pStyle w:val="TableBodyText"/>
            </w:pPr>
          </w:p>
          <w:p w:rsidR="000A156F" w:rsidRDefault="00A9721F">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0A156F" w:rsidTr="000A156F">
        <w:tc>
          <w:tcPr>
            <w:tcW w:w="0" w:type="auto"/>
            <w:vAlign w:val="center"/>
          </w:tcPr>
          <w:p w:rsidR="000A156F" w:rsidRDefault="00A9721F">
            <w:pPr>
              <w:pStyle w:val="TableBodyText"/>
            </w:pPr>
            <w:r>
              <w:rPr>
                <w:b/>
              </w:rPr>
              <w:t>fieldsID</w:t>
            </w:r>
            <w:r>
              <w:t xml:space="preserve"> (Fields ID)</w:t>
            </w:r>
          </w:p>
        </w:tc>
        <w:tc>
          <w:tcPr>
            <w:tcW w:w="0" w:type="auto"/>
            <w:vAlign w:val="center"/>
          </w:tcPr>
          <w:p w:rsidR="000A156F" w:rsidRDefault="00A9721F">
            <w:pPr>
              <w:pStyle w:val="TableBodyText"/>
            </w:pPr>
            <w:r>
              <w:t>This att</w:t>
            </w:r>
            <w:r>
              <w:t>ribute should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t>format</w:t>
            </w:r>
            <w:r>
              <w:t xml:space="preserve"> (Format)</w:t>
            </w:r>
          </w:p>
        </w:tc>
        <w:tc>
          <w:tcPr>
            <w:tcW w:w="0" w:type="auto"/>
            <w:vAlign w:val="center"/>
          </w:tcPr>
          <w:p w:rsidR="000A156F" w:rsidRDefault="00A9721F">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DateTime</w:t>
            </w:r>
            <w:r>
              <w:t xml:space="preserve">, specifies that the property value displayed in the property editing surface for the property corresponding to this </w:t>
            </w:r>
            <w:r>
              <w:rPr>
                <w:b/>
              </w:rPr>
              <w:t>xsd:element</w:t>
            </w:r>
            <w:r>
              <w:t xml:space="preserve"> should include both the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include only the date. </w:t>
            </w:r>
          </w:p>
          <w:p w:rsidR="000A156F" w:rsidRDefault="000A156F">
            <w:pPr>
              <w:pStyle w:val="TableBodyText"/>
            </w:pPr>
          </w:p>
          <w:p w:rsidR="000A156F" w:rsidRDefault="00A9721F">
            <w:pPr>
              <w:pStyle w:val="TableBodyText"/>
            </w:pPr>
            <w:r>
              <w:t xml:space="preserve">If applied </w:t>
            </w:r>
            <w:r>
              <w:t>to any other element, this attribute should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lastRenderedPageBreak/>
              <w:t>hidden</w:t>
            </w:r>
            <w:r>
              <w:t xml:space="preserve"> (Hidden)</w:t>
            </w:r>
          </w:p>
        </w:tc>
        <w:tc>
          <w:tcPr>
            <w:tcW w:w="0" w:type="auto"/>
            <w:vAlign w:val="center"/>
          </w:tcPr>
          <w:p w:rsidR="000A156F" w:rsidRDefault="00A9721F">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The possible values for this attribute are defined</w:t>
            </w:r>
            <w:r>
              <w:t xml:space="preserve"> by the XML Schema string datatype.</w:t>
            </w:r>
          </w:p>
        </w:tc>
      </w:tr>
      <w:tr w:rsidR="000A156F" w:rsidTr="000A156F">
        <w:tc>
          <w:tcPr>
            <w:tcW w:w="0" w:type="auto"/>
            <w:vAlign w:val="center"/>
          </w:tcPr>
          <w:p w:rsidR="000A156F" w:rsidRDefault="00A9721F">
            <w:pPr>
              <w:pStyle w:val="TableBodyText"/>
            </w:pPr>
            <w:r>
              <w:rPr>
                <w:b/>
              </w:rPr>
              <w:t>index</w:t>
            </w:r>
            <w:r>
              <w:t xml:space="preserve"> (Ordering Index)</w:t>
            </w:r>
          </w:p>
        </w:tc>
        <w:tc>
          <w:tcPr>
            <w:tcW w:w="0" w:type="auto"/>
            <w:vAlign w:val="center"/>
          </w:tcPr>
          <w:p w:rsidR="000A156F" w:rsidRDefault="00A9721F">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xsd:element</w:t>
            </w:r>
            <w:r>
              <w:t xml:space="preserve">s </w:t>
            </w:r>
            <w:r>
              <w:t xml:space="preserve">are broken into groups, as follows. The first group is composed of any </w:t>
            </w:r>
            <w:r>
              <w:rPr>
                <w:b/>
              </w:rPr>
              <w:t>xsd:element</w:t>
            </w:r>
            <w:r>
              <w:t xml:space="preserve"> that:</w:t>
            </w:r>
          </w:p>
          <w:p w:rsidR="000A156F" w:rsidRDefault="00A9721F">
            <w:pPr>
              <w:pStyle w:val="ListParagraph"/>
              <w:numPr>
                <w:ilvl w:val="0"/>
                <w:numId w:val="211"/>
              </w:numPr>
            </w:pPr>
            <w:r>
              <w:t xml:space="preserve">is not the </w:t>
            </w:r>
            <w:r>
              <w:rPr>
                <w:b/>
              </w:rPr>
              <w:t>description</w:t>
            </w:r>
            <w:r>
              <w:t xml:space="preserve"> element in the core properties, and</w:t>
            </w:r>
          </w:p>
          <w:p w:rsidR="000A156F" w:rsidRDefault="00A9721F">
            <w:pPr>
              <w:pStyle w:val="ListParagraph"/>
              <w:numPr>
                <w:ilvl w:val="0"/>
                <w:numId w:val="212"/>
              </w:numPr>
            </w:pPr>
            <w:r>
              <w:t>is not a simpleType restriction based on {http://schemas.microsoft.com/office/2006/documentManagement/types}</w:t>
            </w:r>
            <w:r>
              <w:t>Note, and</w:t>
            </w:r>
          </w:p>
          <w:p w:rsidR="000A156F" w:rsidRDefault="00A9721F">
            <w:pPr>
              <w:pStyle w:val="ListParagraph"/>
              <w:numPr>
                <w:ilvl w:val="0"/>
                <w:numId w:val="213"/>
              </w:numPr>
            </w:pPr>
            <w:r>
              <w:t>is not a complex content based on any of {http://schemas.microsoft.com/office/2006/documentManagement/types}MultiChoice, {http://schemas.microsoft.com/office/2006/documentManagement/types}MultiChoiceFillIn, or {http://schemas.microsoft.com/office</w:t>
            </w:r>
            <w:r>
              <w:t>/2006/documentManagement/types}MultiChoiceLookup.</w:t>
            </w:r>
          </w:p>
          <w:p w:rsidR="000A156F" w:rsidRDefault="00A9721F">
            <w:pPr>
              <w:pStyle w:val="TableBodyText"/>
            </w:pPr>
            <w:r>
              <w:t xml:space="preserve">The second group is composed of the remaining </w:t>
            </w:r>
            <w:r>
              <w:rPr>
                <w:b/>
              </w:rPr>
              <w:t>xsd:element</w:t>
            </w:r>
            <w:r>
              <w:t>s bearing this attribute from schemas other than the root schema. Within each group the order of the index attribute values is ascending.</w:t>
            </w:r>
          </w:p>
          <w:p w:rsidR="000A156F" w:rsidRDefault="000A156F">
            <w:pPr>
              <w:pStyle w:val="TableBodyText"/>
            </w:pPr>
          </w:p>
          <w:p w:rsidR="000A156F" w:rsidRDefault="00A9721F">
            <w:pPr>
              <w:pStyle w:val="TableBodyText"/>
            </w:pPr>
            <w:r>
              <w:t xml:space="preserve">If an </w:t>
            </w:r>
            <w:r>
              <w:rPr>
                <w:b/>
              </w:rPr>
              <w:t>xsd:</w:t>
            </w:r>
            <w:r>
              <w:rPr>
                <w:b/>
              </w:rPr>
              <w:t>element</w:t>
            </w:r>
            <w:r>
              <w:t xml:space="preserve"> in a schema other than the root schema or core schema does not have this attribute, it will not be presented to the user for editing on the property editing surface.</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 xml:space="preserve">The possible </w:t>
            </w:r>
            <w:r>
              <w:t>values for this attribute are defined by the ST_IntNonNegative simple type (§</w:t>
            </w:r>
            <w:hyperlink w:anchor="Section_fc63ec620566496f8ec8cb3ee90bdd9a">
              <w:r>
                <w:rPr>
                  <w:rStyle w:val="Hyperlink"/>
                </w:rPr>
                <w:t>3.5.2.2.2.2, ST_IntNonNegative</w:t>
              </w:r>
            </w:hyperlink>
            <w:r>
              <w:t>).</w:t>
            </w:r>
          </w:p>
        </w:tc>
      </w:tr>
      <w:tr w:rsidR="000A156F" w:rsidTr="000A156F">
        <w:tc>
          <w:tcPr>
            <w:tcW w:w="0" w:type="auto"/>
            <w:vAlign w:val="center"/>
          </w:tcPr>
          <w:p w:rsidR="000A156F" w:rsidRDefault="00A9721F">
            <w:pPr>
              <w:pStyle w:val="TableBodyText"/>
            </w:pPr>
            <w:r>
              <w:rPr>
                <w:b/>
              </w:rPr>
              <w:t>indexed</w:t>
            </w:r>
            <w:r>
              <w:t xml:space="preserve"> (Default Visibility of Taxonomy Field)</w:t>
            </w:r>
          </w:p>
        </w:tc>
        <w:tc>
          <w:tcPr>
            <w:tcW w:w="0" w:type="auto"/>
            <w:vAlign w:val="center"/>
          </w:tcPr>
          <w:p w:rsidR="000A156F" w:rsidRDefault="00A9721F">
            <w:pPr>
              <w:pStyle w:val="TableBodyText"/>
            </w:pPr>
            <w:r>
              <w:t xml:space="preserve">When applied to an xsd:element for </w:t>
            </w:r>
            <w:r>
              <w:t>which neither the hidden nor readOnly attributes are set to "true" in a schema other than the root schema or core schema, if set to "true”, specifies that the property corresponding to this xsd:element MUST be presented for editing.</w:t>
            </w:r>
          </w:p>
          <w:p w:rsidR="000A156F" w:rsidRDefault="000A156F">
            <w:pPr>
              <w:pStyle w:val="TableBodyText"/>
            </w:pPr>
          </w:p>
          <w:p w:rsidR="000A156F" w:rsidRDefault="00A9721F">
            <w:pPr>
              <w:pStyle w:val="TableBodyText"/>
            </w:pPr>
            <w:r>
              <w:t xml:space="preserve">If applied to any </w:t>
            </w:r>
            <w:r>
              <w:t>other element, this attribute MUST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t>internalName</w:t>
            </w:r>
            <w:r>
              <w:t xml:space="preserve"> </w:t>
            </w:r>
            <w:r>
              <w:lastRenderedPageBreak/>
              <w:t>(Internal Name)</w:t>
            </w:r>
          </w:p>
        </w:tc>
        <w:tc>
          <w:tcPr>
            <w:tcW w:w="0" w:type="auto"/>
            <w:vAlign w:val="center"/>
          </w:tcPr>
          <w:p w:rsidR="000A156F" w:rsidRDefault="00A9721F">
            <w:pPr>
              <w:pStyle w:val="TableBodyText"/>
            </w:pPr>
            <w:r>
              <w:lastRenderedPageBreak/>
              <w:t>Specifies an internal name.</w:t>
            </w:r>
          </w:p>
          <w:p w:rsidR="000A156F" w:rsidRDefault="000A156F">
            <w:pPr>
              <w:pStyle w:val="TableBodyText"/>
            </w:pPr>
          </w:p>
          <w:p w:rsidR="000A156F" w:rsidRDefault="00A9721F">
            <w:pPr>
              <w:pStyle w:val="TableBodyText"/>
            </w:pPr>
            <w:r>
              <w:t xml:space="preserve">This attribute shall be present on </w:t>
            </w:r>
            <w:r>
              <w:rPr>
                <w:b/>
              </w:rPr>
              <w:t>xsd:element</w:t>
            </w:r>
            <w:r>
              <w:t>s in a schema oth</w:t>
            </w:r>
            <w:r>
              <w:t>er than the root schema or core schema.  If applied to any other element, this attribute should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lastRenderedPageBreak/>
              <w:t>isKeyword</w:t>
            </w:r>
            <w:r>
              <w:t xml:space="preserve"> (Keyword Flag)</w:t>
            </w:r>
          </w:p>
        </w:tc>
        <w:tc>
          <w:tcPr>
            <w:tcW w:w="0" w:type="auto"/>
            <w:vAlign w:val="center"/>
          </w:tcPr>
          <w:p w:rsidR="000A156F" w:rsidRDefault="00A9721F">
            <w:pPr>
              <w:pStyle w:val="TableBodyText"/>
            </w:pPr>
            <w:r>
              <w:t>If set to "true", specifies that th</w:t>
            </w:r>
            <w:r>
              <w:t xml:space="preserve">e property editing UI for the property corresponding to this xsd:element uses all available term stores and term sets. If set to "false", specifies that the property editing UI for the property corresponding to this xsd:element uses the term set specified </w:t>
            </w:r>
            <w:r>
              <w:t>by the termSetId attribute.</w:t>
            </w:r>
          </w:p>
          <w:p w:rsidR="000A156F" w:rsidRDefault="000A156F">
            <w:pPr>
              <w:pStyle w:val="TableBodyText"/>
            </w:pPr>
          </w:p>
          <w:p w:rsidR="000A156F" w:rsidRDefault="00A9721F">
            <w:pPr>
              <w:pStyle w:val="TableBodyText"/>
            </w:pPr>
            <w:r>
              <w:t>MUST be present on xsd:elements for which the taxonomy attribute is set to "true".</w:t>
            </w:r>
          </w:p>
          <w:p w:rsidR="000A156F" w:rsidRDefault="000A156F">
            <w:pPr>
              <w:pStyle w:val="TableBodyText"/>
            </w:pPr>
          </w:p>
          <w:p w:rsidR="000A156F" w:rsidRDefault="00A9721F">
            <w:pPr>
              <w:pStyle w:val="TableBodyText"/>
            </w:pPr>
            <w:r>
              <w:t xml:space="preserve">If applied to any other element, this attribute MUST be ignored. </w:t>
            </w:r>
          </w:p>
          <w:p w:rsidR="000A156F" w:rsidRDefault="000A156F">
            <w:pPr>
              <w:pStyle w:val="TableBodyText"/>
            </w:pPr>
          </w:p>
          <w:p w:rsidR="000A156F" w:rsidRDefault="00A9721F">
            <w:pPr>
              <w:pStyle w:val="TableBodyText"/>
            </w:pPr>
            <w:r>
              <w:t xml:space="preserve">The possible values for this attribute are defined by the XML Schema string </w:t>
            </w:r>
            <w:r>
              <w:t>datatype.</w:t>
            </w:r>
          </w:p>
        </w:tc>
      </w:tr>
      <w:tr w:rsidR="000A156F" w:rsidTr="000A156F">
        <w:tc>
          <w:tcPr>
            <w:tcW w:w="0" w:type="auto"/>
            <w:vAlign w:val="center"/>
          </w:tcPr>
          <w:p w:rsidR="000A156F" w:rsidRDefault="00A9721F">
            <w:pPr>
              <w:pStyle w:val="TableBodyText"/>
            </w:pPr>
            <w:r>
              <w:rPr>
                <w:b/>
              </w:rPr>
              <w:t>LCID</w:t>
            </w:r>
            <w:r>
              <w:t xml:space="preserve"> (LCID)</w:t>
            </w:r>
          </w:p>
        </w:tc>
        <w:tc>
          <w:tcPr>
            <w:tcW w:w="0" w:type="auto"/>
            <w:vAlign w:val="center"/>
          </w:tcPr>
          <w:p w:rsidR="000A156F" w:rsidRDefault="00A9721F">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specifies the locale identifier as specified in the Windows Language Code Identifier (LCID) Reference </w:t>
            </w:r>
            <w:hyperlink r:id="rId361" w:anchor="Section_70feba9f294e491eb6eb56532684c37f">
              <w:r>
                <w:rPr>
                  <w:rStyle w:val="Hyperlink"/>
                </w:rPr>
                <w:t>[MS-LCID]</w:t>
              </w:r>
            </w:hyperlink>
            <w:r>
              <w:t xml:space="preserve"> to determine the currency symbol used in the display of the property corresponding to this </w:t>
            </w:r>
            <w:r>
              <w:rPr>
                <w:b/>
              </w:rPr>
              <w:t>xsd:element</w:t>
            </w:r>
            <w:r>
              <w:t xml:space="preserve"> in the property editing surface.</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 xml:space="preserve">The possible values for this </w:t>
            </w:r>
            <w:r>
              <w:t>attribute are defined by the XML Schema int datatype.</w:t>
            </w:r>
          </w:p>
        </w:tc>
      </w:tr>
      <w:tr w:rsidR="000A156F" w:rsidTr="000A156F">
        <w:tc>
          <w:tcPr>
            <w:tcW w:w="0" w:type="auto"/>
            <w:vAlign w:val="center"/>
          </w:tcPr>
          <w:p w:rsidR="000A156F" w:rsidRDefault="00A9721F">
            <w:pPr>
              <w:pStyle w:val="TableBodyText"/>
            </w:pPr>
            <w:r>
              <w:rPr>
                <w:b/>
              </w:rPr>
              <w:t>list</w:t>
            </w:r>
            <w:r>
              <w:t xml:space="preserve"> (List Identifier)</w:t>
            </w:r>
          </w:p>
        </w:tc>
        <w:tc>
          <w:tcPr>
            <w:tcW w:w="0" w:type="auto"/>
            <w:vAlign w:val="center"/>
          </w:tcPr>
          <w:p w:rsidR="000A156F" w:rsidRDefault="00A9721F">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w:t>
            </w:r>
            <w:r>
              <w:t xml:space="preserve">s an </w:t>
            </w:r>
            <w:r>
              <w:rPr>
                <w:b/>
              </w:rPr>
              <w:t>xsd:restriction</w:t>
            </w:r>
            <w:r>
              <w:t xml:space="preserve"> based on {http://schemas.microsoft.com/office/2006/documentManagement/types}Lookup or {http://schemas.microsoft.com/office/2006/documentManagement/types}MultiLookup.When present on such an element, specifies the list from which to get </w:t>
            </w:r>
            <w:r>
              <w:t xml:space="preserve">data for display of the property corresponding to this </w:t>
            </w:r>
            <w:r>
              <w:rPr>
                <w:b/>
              </w:rPr>
              <w:t>xsd:element</w:t>
            </w:r>
            <w:r>
              <w:t xml:space="preserve"> in the property editing surface.</w:t>
            </w:r>
          </w:p>
          <w:p w:rsidR="000A156F" w:rsidRDefault="000A156F">
            <w:pPr>
              <w:pStyle w:val="TableBodyText"/>
            </w:pPr>
          </w:p>
          <w:p w:rsidR="000A156F" w:rsidRDefault="00A9721F">
            <w:pPr>
              <w:pStyle w:val="TableBodyText"/>
            </w:pPr>
            <w:r>
              <w:t xml:space="preserve">Office will populate this data when the save location of the document is a site that implements the Lists Web Service Protocol Specification </w:t>
            </w:r>
            <w:hyperlink r:id="rId362" w:anchor="Section_30b364cc38374e839ce81963292e2ee5">
              <w:r>
                <w:rPr>
                  <w:rStyle w:val="Hyperlink"/>
                </w:rPr>
                <w:t>[MS-LISTSWS]</w:t>
              </w:r>
            </w:hyperlink>
            <w:r>
              <w:t xml:space="preserve"> and the value of this attribute is a valid GUID enclosed in braces corresponding to the ID of a list on the site. </w:t>
            </w:r>
          </w:p>
          <w:p w:rsidR="000A156F" w:rsidRDefault="000A156F">
            <w:pPr>
              <w:pStyle w:val="TableBodyText"/>
            </w:pPr>
          </w:p>
          <w:p w:rsidR="000A156F" w:rsidRDefault="00A9721F">
            <w:pPr>
              <w:pStyle w:val="TableBodyText"/>
            </w:pPr>
            <w:r>
              <w:t>If applied to any other element, this attribute should be i</w:t>
            </w:r>
            <w:r>
              <w:t>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t>open</w:t>
            </w:r>
            <w:r>
              <w:t xml:space="preserve"> (Term Set Open for Addition Flag)</w:t>
            </w:r>
          </w:p>
        </w:tc>
        <w:tc>
          <w:tcPr>
            <w:tcW w:w="0" w:type="auto"/>
            <w:vAlign w:val="center"/>
          </w:tcPr>
          <w:p w:rsidR="000A156F" w:rsidRDefault="00A9721F">
            <w:pPr>
              <w:pStyle w:val="TableBodyText"/>
            </w:pPr>
            <w:r>
              <w:t xml:space="preserve">If set to "true", specifies that new terms are allowed to be added to the term set specified by the termSetId attribute. </w:t>
            </w:r>
            <w:r>
              <w:t>If set to "false", the property editing UI MUST NOT allow new terms to be added to the term set specified by the termSetId attribute.</w:t>
            </w:r>
          </w:p>
          <w:p w:rsidR="000A156F" w:rsidRDefault="000A156F">
            <w:pPr>
              <w:pStyle w:val="TableBodyText"/>
            </w:pPr>
          </w:p>
          <w:p w:rsidR="000A156F" w:rsidRDefault="00A9721F">
            <w:pPr>
              <w:pStyle w:val="TableBodyText"/>
            </w:pPr>
            <w:r>
              <w:t>MUST be present on xsd:elements for which the taxonomy attribute is set to "true", and MUST be set to "true" if new terms</w:t>
            </w:r>
            <w:r>
              <w:t xml:space="preserve"> are allowed to be added to the term set specified by the termSetId attribute.  MUST be set to "false" otherwise.</w:t>
            </w:r>
          </w:p>
          <w:p w:rsidR="000A156F" w:rsidRDefault="000A156F">
            <w:pPr>
              <w:pStyle w:val="TableBodyText"/>
            </w:pPr>
          </w:p>
          <w:p w:rsidR="000A156F" w:rsidRDefault="00A9721F">
            <w:pPr>
              <w:pStyle w:val="TableBodyText"/>
            </w:pPr>
            <w:r>
              <w:t>If applied to any other element, this attribute MUST be ignored.</w:t>
            </w:r>
          </w:p>
          <w:p w:rsidR="000A156F" w:rsidRDefault="000A156F">
            <w:pPr>
              <w:pStyle w:val="TableBodyText"/>
            </w:pPr>
          </w:p>
          <w:p w:rsidR="000A156F" w:rsidRDefault="00A9721F">
            <w:pPr>
              <w:pStyle w:val="TableBodyText"/>
            </w:pPr>
            <w:r>
              <w:lastRenderedPageBreak/>
              <w:t>The possible values for this attribute are defined by the XML Schema string</w:t>
            </w:r>
            <w:r>
              <w:t xml:space="preserve"> datatype.</w:t>
            </w:r>
          </w:p>
        </w:tc>
      </w:tr>
      <w:tr w:rsidR="000A156F" w:rsidTr="000A156F">
        <w:tc>
          <w:tcPr>
            <w:tcW w:w="0" w:type="auto"/>
            <w:vAlign w:val="center"/>
          </w:tcPr>
          <w:p w:rsidR="000A156F" w:rsidRDefault="00A9721F">
            <w:pPr>
              <w:pStyle w:val="TableBodyText"/>
            </w:pPr>
            <w:r>
              <w:rPr>
                <w:b/>
              </w:rPr>
              <w:lastRenderedPageBreak/>
              <w:t>percentage</w:t>
            </w:r>
            <w:r>
              <w:t xml:space="preserve"> (Show as Percentage)</w:t>
            </w:r>
          </w:p>
        </w:tc>
        <w:tc>
          <w:tcPr>
            <w:tcW w:w="0" w:type="auto"/>
            <w:vAlign w:val="center"/>
          </w:tcPr>
          <w:p w:rsidR="000A156F" w:rsidRDefault="00A9721F">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w:t>
            </w:r>
            <w:r>
              <w:t xml:space="preserve">or {http://schemas.microsoft.com/office/2006/documentManagement/types}Number, if set to </w:t>
            </w:r>
            <w:r>
              <w:rPr>
                <w:i/>
              </w:rPr>
              <w:t>TRUE</w:t>
            </w:r>
            <w:r>
              <w:t xml:space="preserve">, specifies that the property corresponding to this </w:t>
            </w:r>
            <w:r>
              <w:rPr>
                <w:b/>
              </w:rPr>
              <w:t>xsd:element</w:t>
            </w:r>
            <w:r>
              <w:t xml:space="preserve"> should be displayed as a percentage in the property editing surface, and if not present or set to an</w:t>
            </w:r>
            <w:r>
              <w:t xml:space="preserve">y other value, specifies that the property corresponding to this </w:t>
            </w:r>
            <w:r>
              <w:rPr>
                <w:b/>
              </w:rPr>
              <w:t>xsd:element</w:t>
            </w:r>
            <w:r>
              <w:t xml:space="preserve"> should not be displayed as a percentage in the property editing surface.</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 xml:space="preserve">The possible values for this </w:t>
            </w:r>
            <w:r>
              <w:t>attribute are defined by the XML Schema string datatype.</w:t>
            </w:r>
          </w:p>
        </w:tc>
      </w:tr>
      <w:tr w:rsidR="000A156F" w:rsidTr="000A156F">
        <w:tc>
          <w:tcPr>
            <w:tcW w:w="0" w:type="auto"/>
            <w:vAlign w:val="center"/>
          </w:tcPr>
          <w:p w:rsidR="000A156F" w:rsidRDefault="00A9721F">
            <w:pPr>
              <w:pStyle w:val="TableBodyText"/>
            </w:pPr>
            <w:r>
              <w:rPr>
                <w:b/>
              </w:rPr>
              <w:t>readOnly</w:t>
            </w:r>
            <w:r>
              <w:t xml:space="preserve"> (Read Only)</w:t>
            </w:r>
          </w:p>
        </w:tc>
        <w:tc>
          <w:tcPr>
            <w:tcW w:w="0" w:type="auto"/>
            <w:vAlign w:val="center"/>
          </w:tcPr>
          <w:p w:rsidR="000A156F" w:rsidRDefault="00A9721F">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w:t>
            </w:r>
            <w:r>
              <w:t xml:space="preserve"> presented for editing on the property editing surface.</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t>requiredMultiChoice</w:t>
            </w:r>
            <w:r>
              <w:t xml:space="preserve"> (Required Multiple Choic</w:t>
            </w:r>
            <w:r>
              <w:t>e)</w:t>
            </w:r>
          </w:p>
        </w:tc>
        <w:tc>
          <w:tcPr>
            <w:tcW w:w="0" w:type="auto"/>
            <w:vAlign w:val="center"/>
          </w:tcPr>
          <w:p w:rsidR="000A156F" w:rsidRDefault="00A9721F">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{http://schemas.microsoft.com/office/2006/documentManagement/types}MultiChoice, {http://schemas.microsoft.com/office</w:t>
            </w:r>
            <w:r>
              <w:t>/2006/documentManagement/types}MultiChoiceFillIn, or {http://schemas.microsoft.com/office/2006/documentManagement/types}MultiChoiceLookup, if set to true, specifies that the property editing surface should indicate an error if no choices are selected for t</w:t>
            </w:r>
            <w:r>
              <w:t xml:space="preserve">he property corresponding to the </w:t>
            </w:r>
            <w:r>
              <w:rPr>
                <w:b/>
              </w:rPr>
              <w:t>xsd:element</w:t>
            </w:r>
            <w:r>
              <w:t>.</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t>root</w:t>
            </w:r>
            <w:r>
              <w:t xml:space="preserve"> (Root Schema)</w:t>
            </w:r>
          </w:p>
        </w:tc>
        <w:tc>
          <w:tcPr>
            <w:tcW w:w="0" w:type="auto"/>
            <w:vAlign w:val="center"/>
          </w:tcPr>
          <w:p w:rsidR="000A156F" w:rsidRDefault="00A9721F">
            <w:pPr>
              <w:pStyle w:val="TableBodyText"/>
            </w:pPr>
            <w:r>
              <w:t xml:space="preserve">Shall be set to </w:t>
            </w:r>
            <w:r>
              <w:rPr>
                <w:i/>
              </w:rPr>
              <w:t>true</w:t>
            </w:r>
            <w:r>
              <w:t xml:space="preserve"> on the root schema element described in Content Type Schemas (§3.5.2.1, Content Type Schemas Schema, 3.5.2.1, Content Type Schemas Schema) for the http://schemas.microsoft.com/office/2006/contentTypeSchema namespace and shall not be applied to any other e</w:t>
            </w:r>
            <w:r>
              <w:t>lement.</w:t>
            </w:r>
          </w:p>
          <w:p w:rsidR="000A156F" w:rsidRDefault="000A156F">
            <w:pPr>
              <w:pStyle w:val="TableBodyText"/>
            </w:pPr>
          </w:p>
          <w:p w:rsidR="000A156F" w:rsidRDefault="00A9721F">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0A156F" w:rsidTr="000A156F">
        <w:tc>
          <w:tcPr>
            <w:tcW w:w="0" w:type="auto"/>
            <w:vAlign w:val="center"/>
          </w:tcPr>
          <w:p w:rsidR="000A156F" w:rsidRDefault="00A9721F">
            <w:pPr>
              <w:pStyle w:val="TableBodyText"/>
            </w:pPr>
            <w:r>
              <w:rPr>
                <w:b/>
              </w:rPr>
              <w:t>showField</w:t>
            </w:r>
            <w:r>
              <w:t xml:space="preserve"> (Displayed Field)</w:t>
            </w:r>
          </w:p>
        </w:tc>
        <w:tc>
          <w:tcPr>
            <w:tcW w:w="0" w:type="auto"/>
            <w:vAlign w:val="center"/>
          </w:tcPr>
          <w:p w:rsidR="000A156F" w:rsidRDefault="00A9721F">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w:t>
            </w:r>
            <w:r>
              <w:t xml:space="preserve">ttp://schemas.microsoft.com/office/2006/documentManagement/types}MultiLookup. When applied to such an element, specifies the text displayed for the lookup options in the property editing surface for the property corresponding to the </w:t>
            </w:r>
            <w:r>
              <w:rPr>
                <w:b/>
              </w:rPr>
              <w:t>xsd:element</w:t>
            </w:r>
            <w:r>
              <w:t>.</w:t>
            </w:r>
          </w:p>
          <w:p w:rsidR="000A156F" w:rsidRDefault="000A156F">
            <w:pPr>
              <w:pStyle w:val="TableBodyText"/>
            </w:pPr>
          </w:p>
          <w:p w:rsidR="000A156F" w:rsidRDefault="00A9721F">
            <w:pPr>
              <w:pStyle w:val="TableBodyText"/>
            </w:pPr>
            <w:r>
              <w:t>Office ha</w:t>
            </w:r>
            <w:r>
              <w:t xml:space="preserve">ndles values corresponding to the </w:t>
            </w:r>
            <w:r>
              <w:rPr>
                <w:b/>
              </w:rPr>
              <w:t>Name</w:t>
            </w:r>
            <w:r>
              <w:t xml:space="preserve"> attribute of a field as specified in the response from a GetList request as specified in the Lists Web Service Protocol Specification ([MS-LISTSWS] Subclause 3.1.4.14).</w:t>
            </w:r>
          </w:p>
          <w:p w:rsidR="000A156F" w:rsidRDefault="000A156F">
            <w:pPr>
              <w:pStyle w:val="TableBodyText"/>
            </w:pPr>
          </w:p>
          <w:p w:rsidR="000A156F" w:rsidRDefault="00A9721F">
            <w:pPr>
              <w:pStyle w:val="TableBodyText"/>
            </w:pPr>
            <w:r>
              <w:t>If applied to any other element, this attribute</w:t>
            </w:r>
            <w:r>
              <w:t xml:space="preserve"> should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lastRenderedPageBreak/>
              <w:t>sspId</w:t>
            </w:r>
            <w:r>
              <w:t xml:space="preserve"> (Term Store ID)</w:t>
            </w:r>
          </w:p>
        </w:tc>
        <w:tc>
          <w:tcPr>
            <w:tcW w:w="0" w:type="auto"/>
            <w:vAlign w:val="center"/>
          </w:tcPr>
          <w:p w:rsidR="000A156F" w:rsidRDefault="00A9721F">
            <w:pPr>
              <w:pStyle w:val="TableBodyText"/>
            </w:pPr>
            <w:r>
              <w:t>Specifies the term store partition used in the property editing UI for the property corresponding to this xsd:element.</w:t>
            </w:r>
          </w:p>
          <w:p w:rsidR="000A156F" w:rsidRDefault="000A156F">
            <w:pPr>
              <w:pStyle w:val="TableBodyText"/>
            </w:pPr>
          </w:p>
          <w:p w:rsidR="000A156F" w:rsidRDefault="00A9721F">
            <w:pPr>
              <w:pStyle w:val="TableBodyText"/>
            </w:pPr>
            <w:r>
              <w:t>MUST b</w:t>
            </w:r>
            <w:r>
              <w:t>e present on xsd:elements for which the taxonomy attribute is set to "true", and MUST be set to "00000000-0000-0000-0000-000000000000" on xsd:elements for which the isKeyword attribute is set to "true".</w:t>
            </w:r>
          </w:p>
          <w:p w:rsidR="000A156F" w:rsidRDefault="000A156F">
            <w:pPr>
              <w:pStyle w:val="TableBodyText"/>
            </w:pPr>
          </w:p>
          <w:p w:rsidR="000A156F" w:rsidRDefault="00A9721F">
            <w:pPr>
              <w:pStyle w:val="TableBodyText"/>
            </w:pPr>
            <w:r>
              <w:t>If applied to any other element, this attribute MUST</w:t>
            </w:r>
            <w:r>
              <w:t xml:space="preserve"> be ignored.</w:t>
            </w:r>
          </w:p>
          <w:p w:rsidR="000A156F" w:rsidRDefault="000A156F">
            <w:pPr>
              <w:pStyle w:val="TableBodyText"/>
            </w:pPr>
          </w:p>
          <w:p w:rsidR="000A156F" w:rsidRDefault="00A9721F">
            <w:pPr>
              <w:pStyle w:val="TableBodyText"/>
            </w:pPr>
            <w:r>
              <w:t>The possible values for this attribute are defined by the ST_UniqueIdentifierWithoutBraces simple type (§3.5.2.2.2.5, ST_UniqueIdentifierWithoutBraces).</w:t>
            </w:r>
          </w:p>
        </w:tc>
      </w:tr>
      <w:tr w:rsidR="000A156F" w:rsidTr="000A156F">
        <w:tc>
          <w:tcPr>
            <w:tcW w:w="0" w:type="auto"/>
            <w:vAlign w:val="center"/>
          </w:tcPr>
          <w:p w:rsidR="000A156F" w:rsidRDefault="00A9721F">
            <w:pPr>
              <w:pStyle w:val="TableBodyText"/>
            </w:pPr>
            <w:r>
              <w:rPr>
                <w:b/>
              </w:rPr>
              <w:t>taxonomy</w:t>
            </w:r>
            <w:r>
              <w:t xml:space="preserve"> (Taxonomy Field Flag)</w:t>
            </w:r>
          </w:p>
        </w:tc>
        <w:tc>
          <w:tcPr>
            <w:tcW w:w="0" w:type="auto"/>
            <w:vAlign w:val="center"/>
          </w:tcPr>
          <w:p w:rsidR="000A156F" w:rsidRDefault="00A9721F">
            <w:pPr>
              <w:pStyle w:val="TableBodyText"/>
            </w:pPr>
            <w:r>
              <w:t>MUST be set to "true" on xsd:elements in a schema other t</w:t>
            </w:r>
            <w:r>
              <w:t>han the root schema or core schema whose content model has the following structure.</w:t>
            </w:r>
          </w:p>
          <w:p w:rsidR="000A156F" w:rsidRDefault="000A156F">
            <w:pPr>
              <w:pStyle w:val="TableBodyText"/>
            </w:pPr>
          </w:p>
          <w:p w:rsidR="000A156F" w:rsidRDefault="00A9721F">
            <w:pPr>
              <w:pStyle w:val="TableBodyText"/>
            </w:pPr>
            <w:r>
              <w:t>&lt;xsd:complexType&gt;</w:t>
            </w:r>
          </w:p>
          <w:p w:rsidR="000A156F" w:rsidRDefault="00A9721F">
            <w:pPr>
              <w:pStyle w:val="TableBodyText"/>
            </w:pPr>
            <w:r>
              <w:t>&lt;xsd:sequence&gt;</w:t>
            </w:r>
          </w:p>
          <w:p w:rsidR="000A156F" w:rsidRDefault="00A9721F">
            <w:pPr>
              <w:pStyle w:val="TableBodyText"/>
            </w:pPr>
            <w:r>
              <w:t>&lt;xsd:element ref="pc:Terms" minOccurs="0" maxOccurs="1"&gt;</w:t>
            </w:r>
          </w:p>
          <w:p w:rsidR="000A156F" w:rsidRDefault="00A9721F">
            <w:pPr>
              <w:pStyle w:val="TableBodyText"/>
            </w:pPr>
            <w:r>
              <w:t>&lt;/xsd:element&gt;</w:t>
            </w:r>
          </w:p>
          <w:p w:rsidR="000A156F" w:rsidRDefault="00A9721F">
            <w:pPr>
              <w:pStyle w:val="TableBodyText"/>
            </w:pPr>
            <w:r>
              <w:t>&lt;/xsd:sequence&gt;</w:t>
            </w:r>
          </w:p>
          <w:p w:rsidR="000A156F" w:rsidRDefault="00A9721F">
            <w:pPr>
              <w:pStyle w:val="TableBodyText"/>
            </w:pPr>
            <w:r>
              <w:t>&lt;/xsd:complexType&gt;</w:t>
            </w:r>
          </w:p>
          <w:p w:rsidR="000A156F" w:rsidRDefault="000A156F">
            <w:pPr>
              <w:pStyle w:val="TableBodyText"/>
            </w:pPr>
          </w:p>
          <w:p w:rsidR="000A156F" w:rsidRDefault="00A9721F">
            <w:pPr>
              <w:pStyle w:val="TableBodyText"/>
            </w:pPr>
            <w:r>
              <w:t xml:space="preserve">It MUST NOT be applied to any </w:t>
            </w:r>
            <w:r>
              <w:t>other element.</w:t>
            </w:r>
          </w:p>
          <w:p w:rsidR="000A156F" w:rsidRDefault="000A156F">
            <w:pPr>
              <w:pStyle w:val="TableBodyText"/>
            </w:pPr>
          </w:p>
          <w:p w:rsidR="000A156F" w:rsidRDefault="00A9721F">
            <w:pPr>
              <w:pStyle w:val="TableBodyText"/>
            </w:pPr>
            <w:r>
              <w:t>The possible values for this attribute are defined by the XML Schema boolean datatype.</w:t>
            </w:r>
          </w:p>
        </w:tc>
      </w:tr>
      <w:tr w:rsidR="000A156F" w:rsidTr="000A156F">
        <w:tc>
          <w:tcPr>
            <w:tcW w:w="0" w:type="auto"/>
            <w:vAlign w:val="center"/>
          </w:tcPr>
          <w:p w:rsidR="000A156F" w:rsidRDefault="00A9721F">
            <w:pPr>
              <w:pStyle w:val="TableBodyText"/>
            </w:pPr>
            <w:r>
              <w:rPr>
                <w:b/>
              </w:rPr>
              <w:t>taxonomyFieldName</w:t>
            </w:r>
            <w:r>
              <w:t xml:space="preserve"> (Taxonomy Field Name)</w:t>
            </w:r>
          </w:p>
        </w:tc>
        <w:tc>
          <w:tcPr>
            <w:tcW w:w="0" w:type="auto"/>
            <w:vAlign w:val="center"/>
          </w:tcPr>
          <w:p w:rsidR="000A156F" w:rsidRDefault="00A9721F">
            <w:pPr>
              <w:pStyle w:val="TableBodyText"/>
            </w:pPr>
            <w:r>
              <w:t xml:space="preserve">Specifies the name of a taxonomy field. </w:t>
            </w:r>
          </w:p>
          <w:p w:rsidR="000A156F" w:rsidRDefault="000A156F">
            <w:pPr>
              <w:pStyle w:val="TableBodyText"/>
            </w:pPr>
          </w:p>
          <w:p w:rsidR="000A156F" w:rsidRDefault="00A9721F">
            <w:pPr>
              <w:pStyle w:val="TableBodyText"/>
            </w:pPr>
            <w:r>
              <w:t>MUST be present on xsd:elements for which the taxonomy attribute is se</w:t>
            </w:r>
            <w:r>
              <w:t>t to "true".</w:t>
            </w:r>
          </w:p>
          <w:p w:rsidR="000A156F" w:rsidRDefault="000A156F">
            <w:pPr>
              <w:pStyle w:val="TableBodyText"/>
            </w:pPr>
          </w:p>
          <w:p w:rsidR="000A156F" w:rsidRDefault="00A9721F">
            <w:pPr>
              <w:pStyle w:val="TableBodyText"/>
            </w:pPr>
            <w:r>
              <w:t>If applied to any other element, this attribute MUST be ignored.</w:t>
            </w:r>
          </w:p>
          <w:p w:rsidR="000A156F" w:rsidRDefault="000A156F">
            <w:pPr>
              <w:pStyle w:val="TableBodyText"/>
            </w:pPr>
          </w:p>
          <w:p w:rsidR="000A156F" w:rsidRDefault="00A9721F">
            <w:pPr>
              <w:pStyle w:val="TableBodyText"/>
            </w:pPr>
            <w:r>
              <w:t>The possible values for this attribute are defined by the XML Schema string datatype.</w:t>
            </w:r>
          </w:p>
        </w:tc>
      </w:tr>
      <w:tr w:rsidR="000A156F" w:rsidTr="000A156F">
        <w:tc>
          <w:tcPr>
            <w:tcW w:w="0" w:type="auto"/>
            <w:vAlign w:val="center"/>
          </w:tcPr>
          <w:p w:rsidR="000A156F" w:rsidRDefault="00A9721F">
            <w:pPr>
              <w:pStyle w:val="TableBodyText"/>
            </w:pPr>
            <w:r>
              <w:rPr>
                <w:b/>
              </w:rPr>
              <w:t>taxonomyMulti</w:t>
            </w:r>
            <w:r>
              <w:t xml:space="preserve"> (Allow Multiple Value Flag)</w:t>
            </w:r>
          </w:p>
        </w:tc>
        <w:tc>
          <w:tcPr>
            <w:tcW w:w="0" w:type="auto"/>
            <w:vAlign w:val="center"/>
          </w:tcPr>
          <w:p w:rsidR="000A156F" w:rsidRDefault="00A9721F">
            <w:pPr>
              <w:pStyle w:val="TableBodyText"/>
            </w:pPr>
            <w:r>
              <w:t>If set to "false", specifies that only single v</w:t>
            </w:r>
            <w:r>
              <w:t>alues are displayed as valid in the property editing UI for the property corresponding to this xsd:element.</w:t>
            </w:r>
          </w:p>
          <w:p w:rsidR="000A156F" w:rsidRDefault="000A156F">
            <w:pPr>
              <w:pStyle w:val="TableBodyText"/>
            </w:pPr>
          </w:p>
          <w:p w:rsidR="000A156F" w:rsidRDefault="00A9721F">
            <w:pPr>
              <w:pStyle w:val="TableBodyText"/>
            </w:pPr>
            <w:r>
              <w:t>MUST be present on xsd:elements for which the taxonomy attribute is set to "true".</w:t>
            </w:r>
          </w:p>
          <w:p w:rsidR="000A156F" w:rsidRDefault="000A156F">
            <w:pPr>
              <w:pStyle w:val="TableBodyText"/>
            </w:pPr>
          </w:p>
          <w:p w:rsidR="000A156F" w:rsidRDefault="00A9721F">
            <w:pPr>
              <w:pStyle w:val="TableBodyText"/>
            </w:pPr>
            <w:r>
              <w:t>If applied to any other element, this attribute MUST be ignored</w:t>
            </w:r>
            <w:r>
              <w:t>.</w:t>
            </w:r>
          </w:p>
          <w:p w:rsidR="000A156F" w:rsidRDefault="000A156F">
            <w:pPr>
              <w:pStyle w:val="TableBodyText"/>
            </w:pPr>
          </w:p>
          <w:p w:rsidR="000A156F" w:rsidRDefault="00A9721F">
            <w:pPr>
              <w:pStyle w:val="TableBodyText"/>
            </w:pPr>
            <w:r>
              <w:t>The possible values for this attribute are defined by the XML Schema boolean datatype.</w:t>
            </w:r>
          </w:p>
        </w:tc>
      </w:tr>
      <w:tr w:rsidR="000A156F" w:rsidTr="000A156F">
        <w:tc>
          <w:tcPr>
            <w:tcW w:w="0" w:type="auto"/>
            <w:vAlign w:val="center"/>
          </w:tcPr>
          <w:p w:rsidR="000A156F" w:rsidRDefault="00A9721F">
            <w:pPr>
              <w:pStyle w:val="TableBodyText"/>
            </w:pPr>
            <w:r>
              <w:rPr>
                <w:b/>
              </w:rPr>
              <w:t>termSetId</w:t>
            </w:r>
            <w:r>
              <w:t xml:space="preserve"> (Term Set ID)</w:t>
            </w:r>
          </w:p>
        </w:tc>
        <w:tc>
          <w:tcPr>
            <w:tcW w:w="0" w:type="auto"/>
            <w:vAlign w:val="center"/>
          </w:tcPr>
          <w:p w:rsidR="000A156F" w:rsidRDefault="00A9721F">
            <w:pPr>
              <w:pStyle w:val="TableBodyText"/>
            </w:pPr>
            <w:r>
              <w:t>Specifies the term set used in the property editing UI for the property corresponding to this xsd:element.</w:t>
            </w:r>
          </w:p>
          <w:p w:rsidR="000A156F" w:rsidRDefault="000A156F">
            <w:pPr>
              <w:pStyle w:val="TableBodyText"/>
            </w:pPr>
          </w:p>
          <w:p w:rsidR="000A156F" w:rsidRDefault="00A9721F">
            <w:pPr>
              <w:pStyle w:val="TableBodyText"/>
            </w:pPr>
            <w:r>
              <w:t xml:space="preserve">MUST be present on xsd:elements </w:t>
            </w:r>
            <w:r>
              <w:t>for which the taxonomy attribute is set to "true", and MUST be set to "00000000-0000-0000-0000-000000000000" on xsd:elements for which the isKeyword attribute is set to "true".</w:t>
            </w:r>
          </w:p>
          <w:p w:rsidR="000A156F" w:rsidRDefault="000A156F">
            <w:pPr>
              <w:pStyle w:val="TableBodyText"/>
            </w:pPr>
          </w:p>
          <w:p w:rsidR="000A156F" w:rsidRDefault="00A9721F">
            <w:pPr>
              <w:pStyle w:val="TableBodyText"/>
            </w:pPr>
            <w:r>
              <w:t>If applied to any other element, this attribute MUST be ignored.</w:t>
            </w:r>
          </w:p>
          <w:p w:rsidR="000A156F" w:rsidRDefault="000A156F">
            <w:pPr>
              <w:pStyle w:val="TableBodyText"/>
            </w:pPr>
          </w:p>
          <w:p w:rsidR="000A156F" w:rsidRDefault="00A9721F">
            <w:pPr>
              <w:pStyle w:val="TableBodyText"/>
            </w:pPr>
            <w:r>
              <w:t>The possible</w:t>
            </w:r>
            <w:r>
              <w:t xml:space="preserve"> values for this attribute are defined by the ST_UniqueIdentifierWithoutBraces simple type (§3.5.2.2.2.5, ST_UniqueIdentifierWithoutBraces).</w:t>
            </w:r>
          </w:p>
        </w:tc>
      </w:tr>
      <w:tr w:rsidR="000A156F" w:rsidTr="000A156F">
        <w:tc>
          <w:tcPr>
            <w:tcW w:w="0" w:type="auto"/>
            <w:vAlign w:val="center"/>
          </w:tcPr>
          <w:p w:rsidR="000A156F" w:rsidRDefault="00A9721F">
            <w:pPr>
              <w:pStyle w:val="TableBodyText"/>
            </w:pPr>
            <w:r>
              <w:rPr>
                <w:b/>
              </w:rPr>
              <w:lastRenderedPageBreak/>
              <w:t>web</w:t>
            </w:r>
            <w:r>
              <w:t xml:space="preserve"> (Site Identifier)</w:t>
            </w:r>
          </w:p>
        </w:tc>
        <w:tc>
          <w:tcPr>
            <w:tcW w:w="0" w:type="auto"/>
            <w:vAlign w:val="center"/>
          </w:tcPr>
          <w:p w:rsidR="000A156F" w:rsidRDefault="00A9721F">
            <w:pPr>
              <w:pStyle w:val="TableBodyText"/>
            </w:pPr>
            <w:r>
              <w:t xml:space="preserve">When applied to an </w:t>
            </w:r>
            <w:r>
              <w:rPr>
                <w:b/>
              </w:rPr>
              <w:t>xsd:element</w:t>
            </w:r>
            <w:r>
              <w:t xml:space="preserve"> for which neither the hidden nor read-only attributes are set</w:t>
            </w:r>
            <w:r>
              <w:t xml:space="preserve">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w:t>
            </w:r>
            <w:r>
              <w:t xml:space="preserve">s}MultiLookup, specifies the site of the list from which to get data for display of the property corresponding to this </w:t>
            </w:r>
            <w:r>
              <w:rPr>
                <w:b/>
              </w:rPr>
              <w:t>xsd:element</w:t>
            </w:r>
            <w:r>
              <w:t xml:space="preserve"> in the property editing surface.</w:t>
            </w:r>
          </w:p>
          <w:p w:rsidR="000A156F" w:rsidRDefault="000A156F">
            <w:pPr>
              <w:pStyle w:val="TableBodyText"/>
            </w:pPr>
          </w:p>
          <w:p w:rsidR="000A156F" w:rsidRDefault="00A9721F">
            <w:pPr>
              <w:pStyle w:val="TableBodyText"/>
            </w:pPr>
            <w:r>
              <w:t>If applied to any other element, this attribute should be ignored.</w:t>
            </w:r>
          </w:p>
          <w:p w:rsidR="000A156F" w:rsidRDefault="000A156F">
            <w:pPr>
              <w:pStyle w:val="TableBodyText"/>
            </w:pPr>
          </w:p>
          <w:p w:rsidR="000A156F" w:rsidRDefault="00A9721F">
            <w:pPr>
              <w:pStyle w:val="TableBodyText"/>
            </w:pPr>
            <w:r>
              <w:t>The possible values for</w:t>
            </w:r>
            <w:r>
              <w:t xml:space="preserve"> this attribute are defined by the ST_UniqueIdentifierWithoutBraces simple type (§3.5.2.2.2.5, ST_UniqueIdentifierWithoutBraces).</w:t>
            </w:r>
          </w:p>
        </w:tc>
      </w:tr>
    </w:tbl>
    <w:p w:rsidR="000A156F" w:rsidRDefault="000A156F"/>
    <w:p w:rsidR="000A156F" w:rsidRDefault="00A9721F">
      <w:r>
        <w:t>The following XML Schema fragment defines the contents of this element:</w:t>
      </w:r>
    </w:p>
    <w:p w:rsidR="000A156F" w:rsidRDefault="00A9721F">
      <w:pPr>
        <w:pStyle w:val="Code"/>
      </w:pPr>
      <w:r>
        <w:t>&lt;complexType name="CT_Dummy"&gt;</w:t>
      </w:r>
    </w:p>
    <w:p w:rsidR="000A156F" w:rsidRDefault="00A9721F">
      <w:pPr>
        <w:pStyle w:val="Code"/>
      </w:pPr>
      <w:r>
        <w:t xml:space="preserve">  &lt;attribute name="anc</w:t>
      </w:r>
      <w:r>
        <w:t>horId" type="ST_UniqueIdentifierWithoutBraces"/&gt;</w:t>
      </w:r>
    </w:p>
    <w:p w:rsidR="000A156F" w:rsidRDefault="00A9721F">
      <w:pPr>
        <w:pStyle w:val="Code"/>
      </w:pPr>
      <w:r>
        <w:t xml:space="preserve">  &lt;attribute name="decimals" type="xsd:string"/&gt;</w:t>
      </w:r>
    </w:p>
    <w:p w:rsidR="000A156F" w:rsidRDefault="00A9721F">
      <w:pPr>
        <w:pStyle w:val="Code"/>
      </w:pPr>
      <w:r>
        <w:t xml:space="preserve">  &lt;attribute name="default" type="xsd:string"/&gt;</w:t>
      </w:r>
    </w:p>
    <w:p w:rsidR="000A156F" w:rsidRDefault="00A9721F">
      <w:pPr>
        <w:pStyle w:val="Code"/>
      </w:pPr>
      <w:r>
        <w:t xml:space="preserve">  &lt;attribute name="description" type="xsd:string"/&gt;</w:t>
      </w:r>
    </w:p>
    <w:p w:rsidR="000A156F" w:rsidRDefault="00A9721F">
      <w:pPr>
        <w:pStyle w:val="Code"/>
      </w:pPr>
      <w:r>
        <w:t xml:space="preserve">  &lt;attribute name="displayName" type="xsd:string"/&gt;</w:t>
      </w:r>
    </w:p>
    <w:p w:rsidR="000A156F" w:rsidRDefault="00A9721F">
      <w:pPr>
        <w:pStyle w:val="Code"/>
      </w:pPr>
      <w:r>
        <w:t xml:space="preserve">  &lt;</w:t>
      </w:r>
      <w:r>
        <w:t>attribute name="fieldId" type="ST_UniqueIdentifier"/&gt;</w:t>
      </w:r>
    </w:p>
    <w:p w:rsidR="000A156F" w:rsidRDefault="00A9721F">
      <w:pPr>
        <w:pStyle w:val="Code"/>
      </w:pPr>
      <w:r>
        <w:t xml:space="preserve">  &lt;attribute name="fieldsID" type="xsd:string"/&gt;</w:t>
      </w:r>
    </w:p>
    <w:p w:rsidR="000A156F" w:rsidRDefault="00A9721F">
      <w:pPr>
        <w:pStyle w:val="Code"/>
      </w:pPr>
      <w:r>
        <w:t xml:space="preserve">  &lt;attribute name="format" type="xsd:string"/&gt;</w:t>
      </w:r>
    </w:p>
    <w:p w:rsidR="000A156F" w:rsidRDefault="00A9721F">
      <w:pPr>
        <w:pStyle w:val="Code"/>
      </w:pPr>
      <w:r>
        <w:t xml:space="preserve">  &lt;attribute name="hidden" type="xsd:string"/&gt;</w:t>
      </w:r>
    </w:p>
    <w:p w:rsidR="000A156F" w:rsidRDefault="00A9721F">
      <w:pPr>
        <w:pStyle w:val="Code"/>
      </w:pPr>
      <w:r>
        <w:t xml:space="preserve">  &lt;attribute name="index" type="ST_IntNonNegative"/&gt;</w:t>
      </w:r>
    </w:p>
    <w:p w:rsidR="000A156F" w:rsidRDefault="00A9721F">
      <w:pPr>
        <w:pStyle w:val="Code"/>
      </w:pPr>
      <w:r>
        <w:t xml:space="preserve">  &lt;att</w:t>
      </w:r>
      <w:r>
        <w:t>ribute name="indexed" type="xsd:string"/&gt;</w:t>
      </w:r>
    </w:p>
    <w:p w:rsidR="000A156F" w:rsidRDefault="00A9721F">
      <w:pPr>
        <w:pStyle w:val="Code"/>
      </w:pPr>
      <w:r>
        <w:t xml:space="preserve">  &lt;attribute name="internalName" type="xsd:string"/&gt;</w:t>
      </w:r>
    </w:p>
    <w:p w:rsidR="000A156F" w:rsidRDefault="00A9721F">
      <w:pPr>
        <w:pStyle w:val="Code"/>
      </w:pPr>
      <w:r>
        <w:t xml:space="preserve">  &lt;attribute name="isKeyword" type="xsd:string"/&gt;</w:t>
      </w:r>
    </w:p>
    <w:p w:rsidR="000A156F" w:rsidRDefault="00A9721F">
      <w:pPr>
        <w:pStyle w:val="Code"/>
      </w:pPr>
      <w:r>
        <w:t xml:space="preserve">  &lt;attribute name="LCID" type="xsd:int"/&gt;</w:t>
      </w:r>
    </w:p>
    <w:p w:rsidR="000A156F" w:rsidRDefault="00A9721F">
      <w:pPr>
        <w:pStyle w:val="Code"/>
      </w:pPr>
      <w:r>
        <w:t xml:space="preserve">  &lt;attribute name="list" type="xsd:string"/&gt;</w:t>
      </w:r>
    </w:p>
    <w:p w:rsidR="000A156F" w:rsidRDefault="00A9721F">
      <w:pPr>
        <w:pStyle w:val="Code"/>
      </w:pPr>
      <w:r>
        <w:t xml:space="preserve">  &lt;attribute name="open"</w:t>
      </w:r>
      <w:r>
        <w:t xml:space="preserve"> type="xsd:string"/&gt;</w:t>
      </w:r>
    </w:p>
    <w:p w:rsidR="000A156F" w:rsidRDefault="00A9721F">
      <w:pPr>
        <w:pStyle w:val="Code"/>
      </w:pPr>
      <w:r>
        <w:t xml:space="preserve">  &lt;attribute name="percentage" type="xsd:string"/&gt;</w:t>
      </w:r>
    </w:p>
    <w:p w:rsidR="000A156F" w:rsidRDefault="00A9721F">
      <w:pPr>
        <w:pStyle w:val="Code"/>
      </w:pPr>
      <w:r>
        <w:t xml:space="preserve">  &lt;attribute name="readOnly" type="xsd:string"/&gt;</w:t>
      </w:r>
    </w:p>
    <w:p w:rsidR="000A156F" w:rsidRDefault="00A9721F">
      <w:pPr>
        <w:pStyle w:val="Code"/>
      </w:pPr>
      <w:r>
        <w:t xml:space="preserve">  &lt;attribute name="requiredMultiChoice" type="xsd:string"/&gt;</w:t>
      </w:r>
    </w:p>
    <w:p w:rsidR="000A156F" w:rsidRDefault="00A9721F">
      <w:pPr>
        <w:pStyle w:val="Code"/>
      </w:pPr>
      <w:r>
        <w:t xml:space="preserve">  &lt;attribute name="root" type="ST_TrueOnly"/&gt;</w:t>
      </w:r>
    </w:p>
    <w:p w:rsidR="000A156F" w:rsidRDefault="00A9721F">
      <w:pPr>
        <w:pStyle w:val="Code"/>
      </w:pPr>
      <w:r>
        <w:t xml:space="preserve">  &lt;attribute name="showField"</w:t>
      </w:r>
      <w:r>
        <w:t xml:space="preserve"> type="xsd:string"/&gt;</w:t>
      </w:r>
    </w:p>
    <w:p w:rsidR="000A156F" w:rsidRDefault="00A9721F">
      <w:pPr>
        <w:pStyle w:val="Code"/>
      </w:pPr>
      <w:r>
        <w:t xml:space="preserve">  &lt;attribute name="sspId" type="ST_UniqueIdentifierWithoutBraces"/&gt;</w:t>
      </w:r>
    </w:p>
    <w:p w:rsidR="000A156F" w:rsidRDefault="00A9721F">
      <w:pPr>
        <w:pStyle w:val="Code"/>
      </w:pPr>
      <w:r>
        <w:t xml:space="preserve">  &lt;attribute name="taxonomy" type="xsd:boolean"/&gt;</w:t>
      </w:r>
    </w:p>
    <w:p w:rsidR="000A156F" w:rsidRDefault="00A9721F">
      <w:pPr>
        <w:pStyle w:val="Code"/>
      </w:pPr>
      <w:r>
        <w:t xml:space="preserve">  &lt;attribute name="taxonomyFieldName" type="xsd:string"/&gt;</w:t>
      </w:r>
    </w:p>
    <w:p w:rsidR="000A156F" w:rsidRDefault="00A9721F">
      <w:pPr>
        <w:pStyle w:val="Code"/>
      </w:pPr>
      <w:r>
        <w:t xml:space="preserve">  &lt;attribute name="taxonomyMulti" type="xsd:boolean"/&gt;</w:t>
      </w:r>
    </w:p>
    <w:p w:rsidR="000A156F" w:rsidRDefault="00A9721F">
      <w:pPr>
        <w:pStyle w:val="Code"/>
      </w:pPr>
      <w:r>
        <w:t xml:space="preserve">  &lt;a</w:t>
      </w:r>
      <w:r>
        <w:t>ttribute name="termSetId" type="ST_UniqueIdentifierWithoutBraces"/&gt;</w:t>
      </w:r>
    </w:p>
    <w:p w:rsidR="000A156F" w:rsidRDefault="00A9721F">
      <w:pPr>
        <w:pStyle w:val="Code"/>
      </w:pPr>
      <w:r>
        <w:t xml:space="preserve">  &lt;attribute name="web" type="ST_UniqueIdentifierWithoutBraces"/&gt;</w:t>
      </w:r>
    </w:p>
    <w:p w:rsidR="000A156F" w:rsidRDefault="00A9721F">
      <w:pPr>
        <w:pStyle w:val="Code"/>
      </w:pPr>
      <w:r>
        <w:t>&lt;/complexType&gt;</w:t>
      </w:r>
    </w:p>
    <w:p w:rsidR="000A156F" w:rsidRDefault="00A9721F">
      <w:pPr>
        <w:pStyle w:val="Heading5"/>
      </w:pPr>
      <w:bookmarkStart w:id="4088" w:name="section_93cad72f9088475cad522414313896bd"/>
      <w:bookmarkStart w:id="4089" w:name="_Toc181685069"/>
      <w:r>
        <w:t>Simple Types</w:t>
      </w:r>
      <w:bookmarkEnd w:id="4088"/>
      <w:bookmarkEnd w:id="4089"/>
      <w:r>
        <w:fldChar w:fldCharType="begin"/>
      </w:r>
      <w:r>
        <w:instrText xml:space="preserve"> XE "Simple Types" </w:instrText>
      </w:r>
      <w:r>
        <w:fldChar w:fldCharType="end"/>
      </w:r>
    </w:p>
    <w:p w:rsidR="000A156F" w:rsidRDefault="00A9721F">
      <w:r>
        <w:t>This is the complete list of simple types in the http://schemas.microsoft</w:t>
      </w:r>
      <w:r>
        <w:t>.com/office/2006/metadata/properties/metaAttributes namespace.</w:t>
      </w:r>
    </w:p>
    <w:p w:rsidR="000A156F" w:rsidRDefault="00A9721F">
      <w:pPr>
        <w:pStyle w:val="Heading6"/>
      </w:pPr>
      <w:bookmarkStart w:id="4090" w:name="section_786223f9b8ff46fdade3b42236e6297f"/>
      <w:bookmarkStart w:id="4091" w:name="_Toc181685070"/>
      <w:r>
        <w:lastRenderedPageBreak/>
        <w:t>ST_ContentTypeId (Content Type ID)</w:t>
      </w:r>
      <w:bookmarkEnd w:id="4090"/>
      <w:bookmarkEnd w:id="4091"/>
      <w:r>
        <w:fldChar w:fldCharType="begin"/>
      </w:r>
      <w:r>
        <w:instrText xml:space="preserve"> XE "ST_ContentTypeId (Content Type ID)" </w:instrText>
      </w:r>
      <w:r>
        <w:fldChar w:fldCharType="end"/>
      </w:r>
    </w:p>
    <w:p w:rsidR="000A156F" w:rsidRDefault="00A9721F">
      <w:r>
        <w:t>This simple type's contents are a restriction of the XML Schema string datatype.</w:t>
      </w:r>
    </w:p>
    <w:p w:rsidR="000A156F" w:rsidRDefault="00A9721F">
      <w:r>
        <w:t xml:space="preserve">This simple type also specifies </w:t>
      </w:r>
      <w:r>
        <w:t>the following restrictions:</w:t>
      </w:r>
    </w:p>
    <w:p w:rsidR="000A156F" w:rsidRDefault="00A9721F">
      <w:pPr>
        <w:pStyle w:val="ListParagraph"/>
        <w:numPr>
          <w:ilvl w:val="0"/>
          <w:numId w:val="214"/>
        </w:numPr>
        <w:contextualSpacing/>
      </w:pPr>
      <w:r>
        <w:t>This simple type's contents shall match the following regular expression pattern: 0x([0-9A-Fa-f][1-9A-Fa-f]|[1-9A-Fa-f][0-9A-Fa-f]|00[0-9A-Fa-f]{32})*.</w:t>
      </w:r>
    </w:p>
    <w:p w:rsidR="000A156F" w:rsidRDefault="00A9721F">
      <w:pPr>
        <w:pStyle w:val="ListParagraph"/>
        <w:numPr>
          <w:ilvl w:val="0"/>
          <w:numId w:val="214"/>
        </w:numPr>
        <w:contextualSpacing/>
      </w:pPr>
      <w:r>
        <w:t>This simple type's contents have a maximum length of 1026 characters.</w:t>
      </w:r>
    </w:p>
    <w:p w:rsidR="000A156F" w:rsidRDefault="00A9721F">
      <w:pPr>
        <w:pStyle w:val="ListParagraph"/>
        <w:numPr>
          <w:ilvl w:val="0"/>
          <w:numId w:val="214"/>
        </w:numPr>
      </w:pPr>
      <w:r>
        <w:t>This s</w:t>
      </w:r>
      <w:r>
        <w:t>imple type's contents have a minimum length of 2 characters.</w:t>
      </w:r>
    </w:p>
    <w:tbl>
      <w:tblPr>
        <w:tblStyle w:val="Table-ShadedHeader"/>
        <w:tblW w:w="0" w:type="auto"/>
        <w:tblLook w:val="04A0" w:firstRow="1" w:lastRow="0" w:firstColumn="1" w:lastColumn="0" w:noHBand="0" w:noVBand="1"/>
      </w:tblPr>
      <w:tblGrid>
        <w:gridCol w:w="649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0A156F" w:rsidRDefault="000A156F"/>
    <w:p w:rsidR="000A156F" w:rsidRDefault="00A9721F">
      <w:r>
        <w:t>The following XML Schema fragment defines the con</w:t>
      </w:r>
      <w:r>
        <w:t>tents of this simple type:</w:t>
      </w:r>
    </w:p>
    <w:p w:rsidR="000A156F" w:rsidRDefault="00A9721F">
      <w:pPr>
        <w:pStyle w:val="Code"/>
      </w:pPr>
      <w:r>
        <w:t>&lt;simpleType name="ST_ContentTypeId"&gt;</w:t>
      </w:r>
    </w:p>
    <w:p w:rsidR="000A156F" w:rsidRDefault="00A9721F">
      <w:pPr>
        <w:pStyle w:val="Code"/>
      </w:pPr>
      <w:r>
        <w:t xml:space="preserve">  &lt;restriction base="xsd:string"&gt;</w:t>
      </w:r>
    </w:p>
    <w:p w:rsidR="000A156F" w:rsidRDefault="00A9721F">
      <w:pPr>
        <w:pStyle w:val="Code"/>
      </w:pPr>
      <w:r>
        <w:t xml:space="preserve">    &lt;pattern value="0x([0-9A-Fa-f][1-9A-Fa-f]|[1-9A-Fa-f][0-9A-Fa-f]|00[0-9A-Fa-f]{32})*"/&gt;</w:t>
      </w:r>
    </w:p>
    <w:p w:rsidR="000A156F" w:rsidRDefault="00A9721F">
      <w:pPr>
        <w:pStyle w:val="Code"/>
      </w:pPr>
      <w:r>
        <w:t xml:space="preserve">    &lt;minLength value="2"/&gt;</w:t>
      </w:r>
    </w:p>
    <w:p w:rsidR="000A156F" w:rsidRDefault="00A9721F">
      <w:pPr>
        <w:pStyle w:val="Code"/>
      </w:pPr>
      <w:r>
        <w:t xml:space="preserve">    &lt;maxLength value="1026"/&gt;</w:t>
      </w:r>
    </w:p>
    <w:p w:rsidR="000A156F" w:rsidRDefault="00A9721F">
      <w:pPr>
        <w:pStyle w:val="Code"/>
      </w:pPr>
      <w:r>
        <w:t xml:space="preserve">  &lt;/restr</w:t>
      </w:r>
      <w:r>
        <w:t>iction&gt;</w:t>
      </w:r>
    </w:p>
    <w:p w:rsidR="000A156F" w:rsidRDefault="00A9721F">
      <w:pPr>
        <w:pStyle w:val="Code"/>
      </w:pPr>
      <w:r>
        <w:t>&lt;/simpleType&gt;</w:t>
      </w:r>
    </w:p>
    <w:p w:rsidR="000A156F" w:rsidRDefault="00A9721F">
      <w:pPr>
        <w:pStyle w:val="Heading6"/>
      </w:pPr>
      <w:bookmarkStart w:id="4092" w:name="section_fc63ec620566496f8ec8cb3ee90bdd9a"/>
      <w:bookmarkStart w:id="4093" w:name="_Toc181685071"/>
      <w:r>
        <w:t>ST_IntNonNegative (Non-Negative Integer)</w:t>
      </w:r>
      <w:bookmarkEnd w:id="4092"/>
      <w:bookmarkEnd w:id="4093"/>
      <w:r>
        <w:fldChar w:fldCharType="begin"/>
      </w:r>
      <w:r>
        <w:instrText xml:space="preserve"> XE "ST_IntNonNegative (Non-Negative Integer)" </w:instrText>
      </w:r>
      <w:r>
        <w:fldChar w:fldCharType="end"/>
      </w:r>
    </w:p>
    <w:p w:rsidR="000A156F" w:rsidRDefault="00A9721F">
      <w:r>
        <w:t>This simple type's contents are a restriction of the XML Schema int datatype.</w:t>
      </w:r>
    </w:p>
    <w:p w:rsidR="000A156F" w:rsidRDefault="00A9721F">
      <w:r>
        <w:t>This simple type also specifies the following restrictions:</w:t>
      </w:r>
    </w:p>
    <w:p w:rsidR="000A156F" w:rsidRDefault="00A9721F">
      <w:pPr>
        <w:pStyle w:val="ListParagraph"/>
        <w:numPr>
          <w:ilvl w:val="0"/>
          <w:numId w:val="215"/>
        </w:numPr>
      </w:pPr>
      <w:r>
        <w:t xml:space="preserve">This </w:t>
      </w:r>
      <w:r>
        <w:t>simple type has a minimum value of greater than or equal to 0.</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name="ST_IntNonNegative"&gt;</w:t>
      </w:r>
    </w:p>
    <w:p w:rsidR="000A156F" w:rsidRDefault="00A9721F">
      <w:pPr>
        <w:pStyle w:val="Code"/>
      </w:pPr>
      <w:r>
        <w:t xml:space="preserve">  &lt;restriction base="xsd:int"&gt;</w:t>
      </w:r>
    </w:p>
    <w:p w:rsidR="000A156F" w:rsidRDefault="00A9721F">
      <w:pPr>
        <w:pStyle w:val="Code"/>
      </w:pPr>
      <w:r>
        <w:t xml:space="preserve">    &lt;minInclusive value="0"/&gt;</w:t>
      </w:r>
    </w:p>
    <w:p w:rsidR="000A156F" w:rsidRDefault="00A9721F">
      <w:pPr>
        <w:pStyle w:val="Code"/>
      </w:pPr>
      <w:r>
        <w:t xml:space="preserve">  &lt;</w:t>
      </w:r>
      <w:r>
        <w:t>/restriction&gt;</w:t>
      </w:r>
    </w:p>
    <w:p w:rsidR="000A156F" w:rsidRDefault="00A9721F">
      <w:pPr>
        <w:pStyle w:val="Code"/>
      </w:pPr>
      <w:r>
        <w:t>&lt;/simpleType&gt;</w:t>
      </w:r>
    </w:p>
    <w:p w:rsidR="000A156F" w:rsidRDefault="00A9721F">
      <w:pPr>
        <w:pStyle w:val="Heading6"/>
      </w:pPr>
      <w:bookmarkStart w:id="4094" w:name="section_f2dd832362924b9bbc07123e1aad7cc1"/>
      <w:bookmarkStart w:id="4095" w:name="_Toc181685072"/>
      <w:r>
        <w:t>ST_TrueOnly (True Only)</w:t>
      </w:r>
      <w:bookmarkEnd w:id="4094"/>
      <w:bookmarkEnd w:id="4095"/>
      <w:r>
        <w:fldChar w:fldCharType="begin"/>
      </w:r>
      <w:r>
        <w:instrText xml:space="preserve"> XE "ST_TrueOnly (True Only)" </w:instrText>
      </w:r>
      <w:r>
        <w:fldChar w:fldCharType="end"/>
      </w:r>
    </w:p>
    <w:p w:rsidR="000A156F" w:rsidRDefault="00A9721F">
      <w:r>
        <w:t>This simple type's contents are a restriction of the XML Schema string datatype.</w:t>
      </w:r>
    </w:p>
    <w:p w:rsidR="000A156F" w:rsidRDefault="00A9721F">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true</w:t>
            </w:r>
            <w:r>
              <w:t xml:space="preserve"> ()</w:t>
            </w:r>
          </w:p>
        </w:tc>
        <w:tc>
          <w:tcPr>
            <w:tcW w:w="0" w:type="auto"/>
            <w:vAlign w:val="center"/>
          </w:tcPr>
          <w:p w:rsidR="000A156F" w:rsidRDefault="000A156F">
            <w:pPr>
              <w:pStyle w:val="TableBodyText"/>
            </w:pPr>
          </w:p>
        </w:tc>
      </w:tr>
    </w:tbl>
    <w:p w:rsidR="000A156F" w:rsidRDefault="000A156F"/>
    <w:p w:rsidR="000A156F" w:rsidRDefault="000A156F"/>
    <w:tbl>
      <w:tblPr>
        <w:tblStyle w:val="Table-ShadedHeader"/>
        <w:tblW w:w="0" w:type="auto"/>
        <w:tblLook w:val="04A0" w:firstRow="1" w:lastRow="0" w:firstColumn="1" w:lastColumn="0" w:noHBand="0" w:noVBand="1"/>
      </w:tblPr>
      <w:tblGrid>
        <w:gridCol w:w="492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name="ST_TrueOnly"&gt;</w:t>
      </w:r>
    </w:p>
    <w:p w:rsidR="000A156F" w:rsidRDefault="00A9721F">
      <w:pPr>
        <w:pStyle w:val="Code"/>
      </w:pPr>
      <w:r>
        <w:t xml:space="preserve">  &lt;restriction base="xsd:string"&gt;</w:t>
      </w:r>
    </w:p>
    <w:p w:rsidR="000A156F" w:rsidRDefault="00A9721F">
      <w:pPr>
        <w:pStyle w:val="Code"/>
      </w:pPr>
      <w:r>
        <w:t xml:space="preserve">    &lt;enumeration value="true"/&gt;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6"/>
      </w:pPr>
      <w:bookmarkStart w:id="4096" w:name="section_248f1259824c4068a4ed5c90c1b17f5f"/>
      <w:bookmarkStart w:id="4097" w:name="_Toc181685073"/>
      <w:r>
        <w:t>ST_UniqueIdentifier ()</w:t>
      </w:r>
      <w:bookmarkEnd w:id="4096"/>
      <w:bookmarkEnd w:id="4097"/>
      <w:r>
        <w:fldChar w:fldCharType="begin"/>
      </w:r>
      <w:r>
        <w:instrText xml:space="preserve"> XE "ST_UniqueIdentifier ()" </w:instrText>
      </w:r>
      <w:r>
        <w:fldChar w:fldCharType="end"/>
      </w:r>
    </w:p>
    <w:p w:rsidR="000A156F" w:rsidRDefault="00A9721F">
      <w:r>
        <w:t>This simple type's contents are a restriction of the XML Schema string datatype.</w:t>
      </w:r>
    </w:p>
    <w:p w:rsidR="000A156F" w:rsidRDefault="00A9721F">
      <w:r>
        <w:t>This simple type also sp</w:t>
      </w:r>
      <w:r>
        <w:t>ecifies the following restrictions:</w:t>
      </w:r>
    </w:p>
    <w:p w:rsidR="000A156F" w:rsidRDefault="00A9721F">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name="ST_UniqueIdentifier"&gt;</w:t>
      </w:r>
    </w:p>
    <w:p w:rsidR="000A156F" w:rsidRDefault="00A9721F">
      <w:pPr>
        <w:pStyle w:val="Code"/>
      </w:pPr>
      <w:r>
        <w:t xml:space="preserve">  &lt;restriction base="xsd:string"&gt;</w:t>
      </w:r>
    </w:p>
    <w:p w:rsidR="000A156F" w:rsidRDefault="00A9721F">
      <w:pPr>
        <w:pStyle w:val="Code"/>
      </w:pPr>
      <w:r>
        <w:t xml:space="preserve">    &lt;</w:t>
      </w:r>
      <w:r>
        <w:t>pattern value="\{[0-9a-fA-F]{8}\-[0-9a-fA-F]{4}\-[0-9a-fA-F]{4}\-[0-9a-fA-F]{4}\-[0-9a-fA-F]{12}\}"/&gt;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6"/>
      </w:pPr>
      <w:bookmarkStart w:id="4098" w:name="section_ab99726155c24ba4b3b99819b200389d"/>
      <w:bookmarkStart w:id="4099" w:name="_Toc181685074"/>
      <w:r>
        <w:t>ST_UniqueIdentifierWithoutBraces (Unique Identifier without Braces)</w:t>
      </w:r>
      <w:bookmarkEnd w:id="4098"/>
      <w:bookmarkEnd w:id="4099"/>
      <w:r>
        <w:fldChar w:fldCharType="begin"/>
      </w:r>
      <w:r>
        <w:instrText xml:space="preserve"> XE "ST_UniqueIdentifierWithoutBraces (Unique Identifier</w:instrText>
      </w:r>
      <w:r>
        <w:instrText xml:space="preserve"> without Braces)" </w:instrText>
      </w:r>
      <w:r>
        <w:fldChar w:fldCharType="end"/>
      </w:r>
    </w:p>
    <w:p w:rsidR="000A156F" w:rsidRDefault="00A9721F">
      <w:r>
        <w:t>This simple type's contents are a restriction of the XML Schema string datatype.</w:t>
      </w:r>
    </w:p>
    <w:p w:rsidR="000A156F" w:rsidRDefault="00A9721F">
      <w:r>
        <w:t>This simple type also specifies the following restrictions:</w:t>
      </w:r>
    </w:p>
    <w:p w:rsidR="000A156F" w:rsidRDefault="00A9721F">
      <w:pPr>
        <w:pStyle w:val="ListParagraph"/>
        <w:numPr>
          <w:ilvl w:val="0"/>
          <w:numId w:val="217"/>
        </w:numPr>
      </w:pPr>
      <w:r>
        <w:t>This simple type's contents shall match the following regular expression pattern: [0-9a-fA-F]{</w:t>
      </w:r>
      <w:r>
        <w:t>8}\-[0-9a-fA-F]{4}\-[0-9a-fA-F]{4}\-[0-9a-fA-F]{4}\-[0-9a-fA-F]{12}.</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Shared </w:t>
            </w:r>
            <w:r>
              <w:lastRenderedPageBreak/>
              <w:t>Attri</w:t>
            </w:r>
            <w:r>
              <w:t xml:space="preserve">butes); </w:t>
            </w:r>
            <w:r>
              <w:rPr>
                <w:b/>
              </w:rPr>
              <w:t>Shared Attributes@termSetId</w:t>
            </w:r>
            <w:r>
              <w:t xml:space="preserve"> (§3.5.2.2.1, Shared Attributes); </w:t>
            </w:r>
            <w:r>
              <w:rPr>
                <w:b/>
              </w:rPr>
              <w:t>Shared Attributes@web</w:t>
            </w:r>
            <w:r>
              <w:t xml:space="preserve"> (§3.5.2.2.1, Shared Attributes)</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name="ST_UniqueIdentifierWithoutBraces"&gt;</w:t>
      </w:r>
    </w:p>
    <w:p w:rsidR="000A156F" w:rsidRDefault="00A9721F">
      <w:pPr>
        <w:pStyle w:val="Code"/>
      </w:pPr>
      <w:r>
        <w:t xml:space="preserve">  </w:t>
      </w:r>
      <w:r>
        <w:t>&lt;restriction base="xsd:string"&gt;</w:t>
      </w:r>
    </w:p>
    <w:p w:rsidR="000A156F" w:rsidRDefault="00A9721F">
      <w:pPr>
        <w:pStyle w:val="Code"/>
      </w:pPr>
      <w:r>
        <w:t xml:space="preserve">    &lt;pattern value="[0-9a-fA-F]{8}\-[0-9a-fA-F]{4}\-[0-9a-fA-F]{4}\-[0-9a-fA-F]{4}\-[0-9a-fA-F]{12}"/&gt;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3"/>
      </w:pPr>
      <w:bookmarkStart w:id="4100" w:name="section_115a2521c18a49df82edf87e7941c25f"/>
      <w:bookmarkStart w:id="4101" w:name="_Toc181685075"/>
      <w:r>
        <w:t>Custom Document Information Panel</w:t>
      </w:r>
      <w:bookmarkEnd w:id="4100"/>
      <w:bookmarkEnd w:id="4101"/>
      <w:r>
        <w:fldChar w:fldCharType="begin"/>
      </w:r>
      <w:r>
        <w:instrText xml:space="preserve"> XE "Custom Document Information Panel" </w:instrText>
      </w:r>
      <w:r>
        <w:fldChar w:fldCharType="end"/>
      </w:r>
    </w:p>
    <w:p w:rsidR="000A156F" w:rsidRDefault="00A9721F">
      <w:r>
        <w:t>The Custom Doc</w:t>
      </w:r>
      <w:r>
        <w:t>ument Information Panel is comprised of a Custom XML Data Storage Part ("</w:t>
      </w:r>
      <w:hyperlink r:id="rId363">
        <w:r>
          <w:rPr>
            <w:rStyle w:val="Hyperlink"/>
          </w:rPr>
          <w:t>[ISO/IEC-29500-1]</w:t>
        </w:r>
      </w:hyperlink>
      <w:r>
        <w:t xml:space="preserve"> §15.2.5") which contains the Custom Document Information Panel information, and a Custom XML Data S</w:t>
      </w:r>
      <w:r>
        <w:t xml:space="preserve">torage Properties Part ("[ISO/IEC-29500-1] §15.2.6") which contains the set of properties for the custom XML data. </w:t>
      </w:r>
    </w:p>
    <w:p w:rsidR="000A156F" w:rsidRDefault="00A9721F">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rsidR="000A156F" w:rsidRDefault="00A9721F">
      <w:r>
        <w:t>The root element of the Custom XML Data Storage Part shall be customPropertyEditors (</w:t>
      </w:r>
      <w:hyperlink w:anchor="Section_995299bfabca4268b73dcea9be1ff684">
        <w:r>
          <w:rPr>
            <w:rStyle w:val="Hyperlink"/>
          </w:rPr>
          <w:t>§3.5.3.1.1.2, customPropertyEditors</w:t>
        </w:r>
      </w:hyperlink>
      <w:r>
        <w:t>).</w:t>
      </w:r>
    </w:p>
    <w:p w:rsidR="000A156F" w:rsidRDefault="00A9721F">
      <w:r>
        <w:t xml:space="preserve">The Associated XML Schema ("[ISO/IEC-29500-1] §22.5.2.2; schemaRef") for this Custom XML Data Storage Part shall be “http://schemas.microsoft.com/‌office/‌2006/‌customDocumentInformationPanel”. </w:t>
      </w:r>
    </w:p>
    <w:p w:rsidR="000A156F" w:rsidRDefault="00A9721F">
      <w:pPr>
        <w:pStyle w:val="Heading4"/>
      </w:pPr>
      <w:bookmarkStart w:id="4102" w:name="section_471bacba8a3243149825ae9d444e1af9"/>
      <w:bookmarkStart w:id="4103" w:name="_Toc181685076"/>
      <w:r>
        <w:t>Custom Document I</w:t>
      </w:r>
      <w:r>
        <w:t>nformation Panel Schema</w:t>
      </w:r>
      <w:bookmarkEnd w:id="4102"/>
      <w:bookmarkEnd w:id="4103"/>
      <w:r>
        <w:fldChar w:fldCharType="begin"/>
      </w:r>
      <w:r>
        <w:instrText xml:space="preserve"> XE "Custom Document Information Panel Schema" </w:instrText>
      </w:r>
      <w:r>
        <w:fldChar w:fldCharType="end"/>
      </w:r>
    </w:p>
    <w:p w:rsidR="000A156F" w:rsidRDefault="00A9721F">
      <w:r>
        <w:t>Custom Document Information Panel information defines the location and behaviors for a customized Document Information Panel based on a standalone XSN file. Unlike a Document Informat</w:t>
      </w:r>
      <w:r>
        <w:t>ion Panel 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xml:space="preserve">), </w:t>
      </w:r>
      <w:r>
        <w:t>Custom Document Information Panels need not be associated directly with a server.</w:t>
      </w:r>
    </w:p>
    <w:p w:rsidR="000A156F" w:rsidRDefault="00A9721F">
      <w:pPr>
        <w:pStyle w:val="Heading5"/>
      </w:pPr>
      <w:bookmarkStart w:id="4104" w:name="section_84dab41e82ce484c80c4da334e583c62"/>
      <w:bookmarkStart w:id="4105" w:name="_Toc181685077"/>
      <w:r>
        <w:t>Elements</w:t>
      </w:r>
      <w:bookmarkEnd w:id="4104"/>
      <w:bookmarkEnd w:id="4105"/>
    </w:p>
    <w:p w:rsidR="000A156F" w:rsidRDefault="00A9721F">
      <w:pPr>
        <w:pStyle w:val="Heading6"/>
      </w:pPr>
      <w:bookmarkStart w:id="4106" w:name="section_518b6e0dd6114ebbbc77dda2706b18fb"/>
      <w:bookmarkStart w:id="4107" w:name="_Toc181685078"/>
      <w:r>
        <w:t>customPropertyEditor (Custom Property Editor)</w:t>
      </w:r>
      <w:bookmarkEnd w:id="4106"/>
      <w:bookmarkEnd w:id="4107"/>
      <w:r>
        <w:fldChar w:fldCharType="begin"/>
      </w:r>
      <w:r>
        <w:instrText xml:space="preserve"> XE "customPropertyEditor (Custom Property Editor)" </w:instrText>
      </w:r>
      <w:r>
        <w:fldChar w:fldCharType="end"/>
      </w:r>
    </w:p>
    <w:p w:rsidR="000A156F" w:rsidRDefault="00A9721F">
      <w:r>
        <w:t>This element associates a namespace with the location of an XSN f</w:t>
      </w:r>
      <w:r>
        <w:t xml:space="preserve">ile (as specified by InfoPath Form Template Format Structure Specification </w:t>
      </w:r>
      <w:hyperlink r:id="rId364" w:anchor="Section_93482ffc8be24c288de5324a835e66b1">
        <w:r>
          <w:rPr>
            <w:rStyle w:val="Hyperlink"/>
          </w:rPr>
          <w:t>[MS-IPFF]</w:t>
        </w:r>
      </w:hyperlink>
      <w:r>
        <w:t>). The specified XSN file can be used to visually edit the information in a custom XML data p</w:t>
      </w:r>
      <w:r>
        <w:t xml:space="preserve">art in this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4311"/>
        <w:gridCol w:w="260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XMLNamespace</w:t>
            </w:r>
            <w:r>
              <w:t xml:space="preserve"> (Namespace for Property Editor)</w:t>
            </w:r>
          </w:p>
        </w:tc>
        <w:tc>
          <w:tcPr>
            <w:tcW w:w="0" w:type="auto"/>
            <w:vAlign w:val="center"/>
          </w:tcPr>
          <w:p w:rsidR="000A156F" w:rsidRDefault="00A9721F">
            <w:pPr>
              <w:pStyle w:val="TableBodyText"/>
            </w:pPr>
            <w:r>
              <w:t>§</w:t>
            </w:r>
            <w:hyperlink w:anchor="Section_de9b88626c554161908f55ad7955eb6f">
              <w:r>
                <w:rPr>
                  <w:rStyle w:val="Hyperlink"/>
                </w:rPr>
                <w:t>3.5.3.1.1.5, XMLNamespace</w:t>
              </w:r>
            </w:hyperlink>
          </w:p>
        </w:tc>
      </w:tr>
      <w:tr w:rsidR="000A156F" w:rsidTr="000A156F">
        <w:tc>
          <w:tcPr>
            <w:tcW w:w="0" w:type="auto"/>
            <w:vAlign w:val="center"/>
          </w:tcPr>
          <w:p w:rsidR="000A156F" w:rsidRDefault="00A9721F">
            <w:pPr>
              <w:pStyle w:val="TableBodyText"/>
            </w:pPr>
            <w:r>
              <w:rPr>
                <w:b/>
              </w:rPr>
              <w:t>XSNLocation</w:t>
            </w:r>
            <w:r>
              <w:t xml:space="preserve"> (Location of XSN File)</w:t>
            </w:r>
          </w:p>
        </w:tc>
        <w:tc>
          <w:tcPr>
            <w:tcW w:w="0" w:type="auto"/>
            <w:vAlign w:val="center"/>
          </w:tcPr>
          <w:p w:rsidR="000A156F" w:rsidRDefault="00A9721F">
            <w:pPr>
              <w:pStyle w:val="TableBodyText"/>
            </w:pPr>
            <w:r>
              <w:t>§</w:t>
            </w:r>
            <w:hyperlink w:anchor="Section_60042665e00a4f749f86ad8bd478a614">
              <w:r>
                <w:rPr>
                  <w:rStyle w:val="Hyperlink"/>
                </w:rPr>
                <w:t>3.5.3.1.1.6, XSNLocation</w:t>
              </w:r>
            </w:hyperlink>
          </w:p>
        </w:tc>
      </w:tr>
    </w:tbl>
    <w:p w:rsidR="000A156F" w:rsidRDefault="000A156F"/>
    <w:p w:rsidR="000A156F" w:rsidRDefault="00A9721F">
      <w:r>
        <w:t>The following XML Schema fragment defines the contents of this element:</w:t>
      </w:r>
    </w:p>
    <w:p w:rsidR="000A156F" w:rsidRDefault="00A9721F">
      <w:pPr>
        <w:pStyle w:val="Code"/>
      </w:pPr>
      <w:r>
        <w:t>&lt;complexType name="CT_CustomPropertyEditor"&gt;</w:t>
      </w:r>
    </w:p>
    <w:p w:rsidR="000A156F" w:rsidRDefault="00A9721F">
      <w:pPr>
        <w:pStyle w:val="Code"/>
      </w:pPr>
      <w:r>
        <w:t xml:space="preserve">  &lt;sequence&gt;</w:t>
      </w:r>
    </w:p>
    <w:p w:rsidR="000A156F" w:rsidRDefault="00A9721F">
      <w:pPr>
        <w:pStyle w:val="Code"/>
      </w:pPr>
      <w:r>
        <w:t xml:space="preserve">    &lt;</w:t>
      </w:r>
      <w:r>
        <w:t>element name="XMLNamespace" type="xsd:anyURI"/&gt;</w:t>
      </w:r>
    </w:p>
    <w:p w:rsidR="000A156F" w:rsidRDefault="00A9721F">
      <w:pPr>
        <w:pStyle w:val="Code"/>
      </w:pPr>
      <w:r>
        <w:t xml:space="preserve">    &lt;element name="XSNLocation" type="xsd:string"/&gt;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4108" w:name="section_995299bfabca4268b73dcea9be1ff684"/>
      <w:bookmarkStart w:id="4109" w:name="_Toc181685079"/>
      <w:r>
        <w:t>customPropertyEditors (Custom Property Editors List)</w:t>
      </w:r>
      <w:bookmarkEnd w:id="4108"/>
      <w:bookmarkEnd w:id="4109"/>
      <w:r>
        <w:fldChar w:fldCharType="begin"/>
      </w:r>
      <w:r>
        <w:instrText xml:space="preserve"> XE "customPropertyEditors (Custom Property Editors List)" </w:instrText>
      </w:r>
      <w:r>
        <w:fldChar w:fldCharType="end"/>
      </w:r>
    </w:p>
    <w:p w:rsidR="000A156F" w:rsidRDefault="00A9721F">
      <w:r>
        <w:t xml:space="preserve">This element </w:t>
      </w:r>
      <w:r>
        <w:t xml:space="preserve">specifies the list of (and settings for) any XSN files (as specified by InfoPath Form Template Format Structure Specification </w:t>
      </w:r>
      <w:hyperlink r:id="rId365" w:anchor="Section_93482ffc8be24c288de5324a835e66b1">
        <w:r>
          <w:rPr>
            <w:rStyle w:val="Hyperlink"/>
          </w:rPr>
          <w:t>[MS-IPFF]</w:t>
        </w:r>
      </w:hyperlink>
      <w:r>
        <w:t xml:space="preserve">) that may be associated with this </w:t>
      </w:r>
      <w:r>
        <w:t>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customPropertyEditor</w:t>
            </w:r>
            <w:r>
              <w:t xml:space="preserve"> (Custom Property Editor)</w:t>
            </w:r>
          </w:p>
        </w:tc>
        <w:tc>
          <w:tcPr>
            <w:tcW w:w="0" w:type="auto"/>
            <w:vAlign w:val="center"/>
          </w:tcPr>
          <w:p w:rsidR="000A156F" w:rsidRDefault="00A9721F">
            <w:pPr>
              <w:pStyle w:val="TableBodyText"/>
            </w:pPr>
            <w:r>
              <w:t>§</w:t>
            </w:r>
            <w:hyperlink w:anchor="Section_518b6e0dd6114ebbbc77dda2706b18fb">
              <w:r>
                <w:rPr>
                  <w:rStyle w:val="Hyperlink"/>
                </w:rPr>
                <w:t>3.5.3.1.1.1, customPropertyEditor</w:t>
              </w:r>
            </w:hyperlink>
          </w:p>
        </w:tc>
      </w:tr>
      <w:tr w:rsidR="000A156F" w:rsidTr="000A156F">
        <w:tc>
          <w:tcPr>
            <w:tcW w:w="0" w:type="auto"/>
            <w:vAlign w:val="center"/>
          </w:tcPr>
          <w:p w:rsidR="000A156F" w:rsidRDefault="00A9721F">
            <w:pPr>
              <w:pStyle w:val="TableBodyText"/>
            </w:pPr>
            <w:r>
              <w:rPr>
                <w:b/>
              </w:rPr>
              <w:t>defaultPropertyEditorNames</w:t>
            </w:r>
            <w:r>
              <w:rPr>
                <w:b/>
              </w:rPr>
              <w:t>pace</w:t>
            </w:r>
            <w:r>
              <w:t xml:space="preserve"> (Default Namespace)</w:t>
            </w:r>
          </w:p>
        </w:tc>
        <w:tc>
          <w:tcPr>
            <w:tcW w:w="0" w:type="auto"/>
            <w:vAlign w:val="center"/>
          </w:tcPr>
          <w:p w:rsidR="000A156F" w:rsidRDefault="00A9721F">
            <w:pPr>
              <w:pStyle w:val="TableBodyText"/>
            </w:pPr>
            <w:r>
              <w:t>§</w:t>
            </w:r>
            <w:hyperlink w:anchor="Section_38b8d62c52f54927aba536320bff74e8">
              <w:r>
                <w:rPr>
                  <w:rStyle w:val="Hyperlink"/>
                </w:rPr>
                <w:t>3.5.3.1.1.3, defaultPropertyEditorNamespace</w:t>
              </w:r>
            </w:hyperlink>
          </w:p>
        </w:tc>
      </w:tr>
      <w:tr w:rsidR="000A156F" w:rsidTr="000A156F">
        <w:tc>
          <w:tcPr>
            <w:tcW w:w="0" w:type="auto"/>
            <w:vAlign w:val="center"/>
          </w:tcPr>
          <w:p w:rsidR="000A156F" w:rsidRDefault="00A9721F">
            <w:pPr>
              <w:pStyle w:val="TableBodyText"/>
            </w:pPr>
            <w:r>
              <w:rPr>
                <w:b/>
              </w:rPr>
              <w:t>showOnOpen</w:t>
            </w:r>
            <w:r>
              <w:t xml:space="preserve"> (Show On Open)</w:t>
            </w:r>
          </w:p>
        </w:tc>
        <w:tc>
          <w:tcPr>
            <w:tcW w:w="0" w:type="auto"/>
            <w:vAlign w:val="center"/>
          </w:tcPr>
          <w:p w:rsidR="000A156F" w:rsidRDefault="00A9721F">
            <w:pPr>
              <w:pStyle w:val="TableBodyText"/>
            </w:pPr>
            <w:r>
              <w:t>§</w:t>
            </w:r>
            <w:hyperlink w:anchor="Section_d80518f15c614cbabc0b467b7b9cdd95">
              <w:r>
                <w:rPr>
                  <w:rStyle w:val="Hyperlink"/>
                </w:rPr>
                <w:t>3.5.3.1.1.4, showOnOpen</w:t>
              </w:r>
            </w:hyperlink>
          </w:p>
        </w:tc>
      </w:tr>
    </w:tbl>
    <w:p w:rsidR="000A156F" w:rsidRDefault="000A156F"/>
    <w:p w:rsidR="000A156F" w:rsidRDefault="00A9721F">
      <w:r>
        <w:t xml:space="preserve">The </w:t>
      </w:r>
      <w:r>
        <w:t>following XML Schema fragment defines the contents of this element:</w:t>
      </w:r>
    </w:p>
    <w:p w:rsidR="000A156F" w:rsidRDefault="00A9721F">
      <w:pPr>
        <w:pStyle w:val="Code"/>
      </w:pPr>
      <w:r>
        <w:t>&lt;complexType name="CT_CustomPropertyEditors"&gt;</w:t>
      </w:r>
    </w:p>
    <w:p w:rsidR="000A156F" w:rsidRDefault="00A9721F">
      <w:pPr>
        <w:pStyle w:val="Code"/>
      </w:pPr>
      <w:r>
        <w:t xml:space="preserve">  &lt;sequence&gt;</w:t>
      </w:r>
    </w:p>
    <w:p w:rsidR="000A156F" w:rsidRDefault="00A9721F">
      <w:pPr>
        <w:pStyle w:val="Code"/>
      </w:pPr>
      <w:r>
        <w:t xml:space="preserve">    &lt;element name="showOnOpen" type="xsd:boolean"/&gt;</w:t>
      </w:r>
    </w:p>
    <w:p w:rsidR="000A156F" w:rsidRDefault="00A9721F">
      <w:pPr>
        <w:pStyle w:val="Code"/>
      </w:pPr>
      <w:r>
        <w:t xml:space="preserve">    &lt;element name="defaultPropertyEditorNamespace" type="xsd:anyURI"/&gt;</w:t>
      </w:r>
    </w:p>
    <w:p w:rsidR="000A156F" w:rsidRDefault="00A9721F">
      <w:pPr>
        <w:pStyle w:val="Code"/>
      </w:pPr>
      <w:r>
        <w:t xml:space="preserve">    &lt;e</w:t>
      </w:r>
      <w:r>
        <w:t>lement name="customPropertyEditor" type="CT_CustomPropertyEditor" maxOccurs="unbounded"/&gt;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4110" w:name="section_38b8d62c52f54927aba536320bff74e8"/>
      <w:bookmarkStart w:id="4111" w:name="_Toc181685080"/>
      <w:r>
        <w:t>defaultPropertyEditorNamespace (Default Namespace)</w:t>
      </w:r>
      <w:bookmarkEnd w:id="4110"/>
      <w:bookmarkEnd w:id="4111"/>
      <w:r>
        <w:fldChar w:fldCharType="begin"/>
      </w:r>
      <w:r>
        <w:instrText xml:space="preserve"> XE "defaultPropertyEditorNamespace (Default Namespace)" </w:instrText>
      </w:r>
      <w:r>
        <w:fldChar w:fldCharType="end"/>
      </w:r>
    </w:p>
    <w:p w:rsidR="000A156F" w:rsidRDefault="00A9721F">
      <w:r>
        <w:t xml:space="preserve">This element specifies the </w:t>
      </w:r>
      <w:r>
        <w:t>XML namespace that identifies which XSN is shown by default if the user chooses to edit properties contained in the custom XML data parts of this document. If this element is not present, or if the value of this element does not equal the namespace specifi</w:t>
      </w:r>
      <w:r>
        <w:t>ed in the 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0A156F" w:rsidRDefault="000A156F"/>
    <w:p w:rsidR="000A156F" w:rsidRDefault="00A9721F">
      <w:pPr>
        <w:pStyle w:val="Heading6"/>
      </w:pPr>
      <w:bookmarkStart w:id="4112" w:name="section_d80518f15c614cbabc0b467b7b9cdd95"/>
      <w:bookmarkStart w:id="4113" w:name="_Toc181685081"/>
      <w:r>
        <w:lastRenderedPageBreak/>
        <w:t>showOnOpen (Show On Open)</w:t>
      </w:r>
      <w:bookmarkEnd w:id="4112"/>
      <w:bookmarkEnd w:id="4113"/>
      <w:r>
        <w:fldChar w:fldCharType="begin"/>
      </w:r>
      <w:r>
        <w:instrText xml:space="preserve"> XE "showOnOpen (Show On Open)" </w:instrText>
      </w:r>
      <w:r>
        <w:fldChar w:fldCharType="end"/>
      </w:r>
    </w:p>
    <w:p w:rsidR="000A156F" w:rsidRDefault="00A9721F">
      <w:r>
        <w:t xml:space="preserve">This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w:t>
      </w:r>
      <w:r>
        <w:t xml:space="preserve">hat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0A156F" w:rsidRDefault="000A156F"/>
    <w:p w:rsidR="000A156F" w:rsidRDefault="00A9721F">
      <w:pPr>
        <w:pStyle w:val="Heading6"/>
      </w:pPr>
      <w:bookmarkStart w:id="4114" w:name="section_de9b88626c554161908f55ad7955eb6f"/>
      <w:bookmarkStart w:id="4115" w:name="_Toc181685082"/>
      <w:r>
        <w:t>XMLNamespace (Namespace for Property Editor)</w:t>
      </w:r>
      <w:bookmarkEnd w:id="4114"/>
      <w:bookmarkEnd w:id="4115"/>
      <w:r>
        <w:fldChar w:fldCharType="begin"/>
      </w:r>
      <w:r>
        <w:instrText xml:space="preserve"> XE "XMLNamespace (Namespace for Property Editor)" </w:instrText>
      </w:r>
      <w:r>
        <w:fldChar w:fldCharType="end"/>
      </w:r>
    </w:p>
    <w:p w:rsidR="000A156F" w:rsidRDefault="00A9721F">
      <w:r>
        <w:t>Specifies the root namespace of custom XML data parts that are appropriate for editing by the XSN specif</w:t>
      </w:r>
      <w:r>
        <w:t>ied in XSNLocation.</w:t>
      </w:r>
    </w:p>
    <w:tbl>
      <w:tblPr>
        <w:tblStyle w:val="Table-ShadedHeader"/>
        <w:tblW w:w="0" w:type="auto"/>
        <w:tblLook w:val="04A0" w:firstRow="1" w:lastRow="0" w:firstColumn="1" w:lastColumn="0" w:noHBand="0" w:noVBand="1"/>
      </w:tblPr>
      <w:tblGrid>
        <w:gridCol w:w="526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0A156F" w:rsidRDefault="000A156F"/>
    <w:p w:rsidR="000A156F" w:rsidRDefault="00A9721F">
      <w:pPr>
        <w:pStyle w:val="Heading6"/>
      </w:pPr>
      <w:bookmarkStart w:id="4116" w:name="section_60042665e00a4f749f86ad8bd478a614"/>
      <w:bookmarkStart w:id="4117" w:name="_Toc181685083"/>
      <w:r>
        <w:t>XSNLocation (Location of XSN File)</w:t>
      </w:r>
      <w:bookmarkEnd w:id="4116"/>
      <w:bookmarkEnd w:id="4117"/>
      <w:r>
        <w:fldChar w:fldCharType="begin"/>
      </w:r>
      <w:r>
        <w:instrText xml:space="preserve"> XE "XSNLocation (Location of XSN File)" </w:instrText>
      </w:r>
      <w:r>
        <w:fldChar w:fldCharType="end"/>
      </w:r>
    </w:p>
    <w:p w:rsidR="000A156F" w:rsidRDefault="00A9721F">
      <w:r>
        <w:t>Specifies the path</w:t>
      </w:r>
      <w:r>
        <w:t xml:space="preserve"> to the XSN file.</w:t>
      </w:r>
    </w:p>
    <w:tbl>
      <w:tblPr>
        <w:tblStyle w:val="Table-ShadedHeader"/>
        <w:tblW w:w="0" w:type="auto"/>
        <w:tblLook w:val="04A0" w:firstRow="1" w:lastRow="0" w:firstColumn="1" w:lastColumn="0" w:noHBand="0" w:noVBand="1"/>
      </w:tblPr>
      <w:tblGrid>
        <w:gridCol w:w="526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0A156F" w:rsidRDefault="000A156F"/>
    <w:p w:rsidR="000A156F" w:rsidRDefault="00A9721F">
      <w:pPr>
        <w:pStyle w:val="Heading3"/>
      </w:pPr>
      <w:bookmarkStart w:id="4118" w:name="section_c26a68bdb8164d2eb84258bc92e4f6a2"/>
      <w:bookmarkStart w:id="4119" w:name="_Toc181685084"/>
      <w:r>
        <w:t>Custom XSN</w:t>
      </w:r>
      <w:bookmarkEnd w:id="4118"/>
      <w:bookmarkEnd w:id="4119"/>
      <w:r>
        <w:fldChar w:fldCharType="begin"/>
      </w:r>
      <w:r>
        <w:instrText xml:space="preserve"> XE "Custom XSN" </w:instrText>
      </w:r>
      <w:r>
        <w:fldChar w:fldCharType="end"/>
      </w:r>
    </w:p>
    <w:p w:rsidR="000A156F" w:rsidRDefault="00A9721F">
      <w:r>
        <w:t>The Custom XSN is comprised of a Custom XML Data Storage Part ("</w:t>
      </w:r>
      <w:hyperlink r:id="rId366">
        <w:r>
          <w:rPr>
            <w:rStyle w:val="Hyperlink"/>
          </w:rPr>
          <w:t>[ISO/IEC-29500-1]</w:t>
        </w:r>
      </w:hyperlink>
      <w:r>
        <w:t xml:space="preserve"> §15.2.5") which contains the Custom XSN information, and a Custom XML Data Storage Properties Part ("[ISO/IEC-29500-1] §15.2.6") which contains the set of properties for the </w:t>
      </w:r>
      <w:r>
        <w:t xml:space="preserve">custom XML data. </w:t>
      </w:r>
    </w:p>
    <w:p w:rsidR="000A156F" w:rsidRDefault="00A9721F">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0A156F" w:rsidRDefault="00A9721F">
      <w:r>
        <w:t>The root element of the Custom XML Data Storage Pa</w:t>
      </w:r>
      <w:r>
        <w:t>rt shall be customXsn (</w:t>
      </w:r>
      <w:hyperlink w:anchor="Section_dff741e5b6874a57a0ea91144bd69a9c">
        <w:r>
          <w:rPr>
            <w:rStyle w:val="Hyperlink"/>
          </w:rPr>
          <w:t>§3.5.4.1.1.2, customXsn</w:t>
        </w:r>
      </w:hyperlink>
      <w:r>
        <w:t>).</w:t>
      </w:r>
    </w:p>
    <w:p w:rsidR="000A156F" w:rsidRDefault="00A9721F">
      <w:r>
        <w:t>The Associated XML Schema ("[ISO/IEC-29500-1] §22.5.2.2; schemaRef") for this Custom XML Data Storage Part shall be “http://schemas.microsoft.co</w:t>
      </w:r>
      <w:r>
        <w:t>m/‌office/‌2006/‌metadata/‌customXsn”.</w:t>
      </w:r>
    </w:p>
    <w:p w:rsidR="000A156F" w:rsidRDefault="00A9721F">
      <w:pPr>
        <w:pStyle w:val="Heading4"/>
      </w:pPr>
      <w:bookmarkStart w:id="4120" w:name="section_d9b4ba0ebe664084a162d0eac8fa85e9"/>
      <w:bookmarkStart w:id="4121" w:name="_Toc181685085"/>
      <w:r>
        <w:t>Custom XSN Schema</w:t>
      </w:r>
      <w:bookmarkEnd w:id="4120"/>
      <w:bookmarkEnd w:id="4121"/>
      <w:r>
        <w:fldChar w:fldCharType="begin"/>
      </w:r>
      <w:r>
        <w:instrText xml:space="preserve"> XE "Custom XSN Schema" </w:instrText>
      </w:r>
      <w:r>
        <w:fldChar w:fldCharType="end"/>
      </w:r>
    </w:p>
    <w:p w:rsidR="000A156F" w:rsidRDefault="00A9721F">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0A156F" w:rsidRDefault="00A9721F">
      <w:pPr>
        <w:pStyle w:val="Heading5"/>
      </w:pPr>
      <w:bookmarkStart w:id="4122" w:name="section_b5a5efac3fa447d881a473bad4c79d71"/>
      <w:bookmarkStart w:id="4123" w:name="_Toc181685086"/>
      <w:r>
        <w:t>Elements</w:t>
      </w:r>
      <w:bookmarkEnd w:id="4122"/>
      <w:bookmarkEnd w:id="4123"/>
    </w:p>
    <w:p w:rsidR="000A156F" w:rsidRDefault="00A9721F">
      <w:pPr>
        <w:pStyle w:val="Heading6"/>
      </w:pPr>
      <w:bookmarkStart w:id="4124" w:name="section_845c830c9d3b4d99be5cf95219b7e3ed"/>
      <w:bookmarkStart w:id="4125" w:name="_Toc181685087"/>
      <w:r>
        <w:lastRenderedPageBreak/>
        <w:t>cached (Cached View)</w:t>
      </w:r>
      <w:bookmarkEnd w:id="4124"/>
      <w:bookmarkEnd w:id="4125"/>
      <w:r>
        <w:fldChar w:fldCharType="begin"/>
      </w:r>
      <w:r>
        <w:instrText xml:space="preserve"> XE "cached (Cached View)" </w:instrText>
      </w:r>
      <w:r>
        <w:fldChar w:fldCharType="end"/>
      </w:r>
    </w:p>
    <w:p w:rsidR="000A156F" w:rsidRDefault="00A9721F">
      <w:r>
        <w:t>This element indicates whether the XSN specif</w:t>
      </w:r>
      <w:r>
        <w:t xml:space="preserve">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customXsn</w:t>
            </w:r>
            <w:r>
              <w:t xml:space="preserve"> (§</w:t>
            </w:r>
            <w:hyperlink w:anchor="Section_dff741e5b6874a57a0ea91144bd69a9c">
              <w:r>
                <w:rPr>
                  <w:rStyle w:val="Hyperlink"/>
                </w:rPr>
                <w:t>3.5.4.1.1.2, customXsn</w:t>
              </w:r>
            </w:hyperlink>
            <w:r>
              <w:t>)</w:t>
            </w:r>
          </w:p>
        </w:tc>
      </w:tr>
    </w:tbl>
    <w:p w:rsidR="000A156F" w:rsidRDefault="000A156F"/>
    <w:p w:rsidR="000A156F" w:rsidRDefault="00A9721F">
      <w:pPr>
        <w:pStyle w:val="Heading6"/>
      </w:pPr>
      <w:bookmarkStart w:id="4126" w:name="section_dff741e5b6874a57a0ea91144bd69a9c"/>
      <w:bookmarkStart w:id="4127" w:name="_Toc181685088"/>
      <w:r>
        <w:t>customXsn (Custom XSN)</w:t>
      </w:r>
      <w:bookmarkEnd w:id="4126"/>
      <w:bookmarkEnd w:id="4127"/>
      <w:r>
        <w:fldChar w:fldCharType="begin"/>
      </w:r>
      <w:r>
        <w:instrText xml:space="preserve"> XE "customXsn (Custom XSN)" </w:instrText>
      </w:r>
      <w:r>
        <w:fldChar w:fldCharType="end"/>
      </w:r>
    </w:p>
    <w:p w:rsidR="000A156F" w:rsidRDefault="00A9721F">
      <w:r>
        <w:t xml:space="preserve">This element specifies that an XSN file (as specified by InfoPath Form Template Format Structure Specification </w:t>
      </w:r>
      <w:hyperlink r:id="rId367" w:anchor="Section_93482ffc8be24c288de5324a835e66b1">
        <w:r>
          <w:rPr>
            <w:rStyle w:val="Hyperlink"/>
          </w:rPr>
          <w:t>[MS-IPFF]</w:t>
        </w:r>
      </w:hyperlink>
      <w:r>
        <w:t>) s</w:t>
      </w:r>
      <w:r>
        <w:t xml:space="preserve">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cached</w:t>
            </w:r>
            <w:r>
              <w:t xml:space="preserve"> (Cached View)</w:t>
            </w:r>
          </w:p>
        </w:tc>
        <w:tc>
          <w:tcPr>
            <w:tcW w:w="0" w:type="auto"/>
            <w:vAlign w:val="center"/>
          </w:tcPr>
          <w:p w:rsidR="000A156F" w:rsidRDefault="00A9721F">
            <w:pPr>
              <w:pStyle w:val="TableBodyText"/>
            </w:pPr>
            <w:r>
              <w:t>§</w:t>
            </w:r>
            <w:hyperlink w:anchor="Section_845c830c9d3b4d99be5cf95219b7e3ed">
              <w:r>
                <w:rPr>
                  <w:rStyle w:val="Hyperlink"/>
                </w:rPr>
                <w:t>3.5.4.1.1.1, cached</w:t>
              </w:r>
            </w:hyperlink>
          </w:p>
        </w:tc>
      </w:tr>
      <w:tr w:rsidR="000A156F" w:rsidTr="000A156F">
        <w:tc>
          <w:tcPr>
            <w:tcW w:w="0" w:type="auto"/>
            <w:vAlign w:val="center"/>
          </w:tcPr>
          <w:p w:rsidR="000A156F" w:rsidRDefault="00A9721F">
            <w:pPr>
              <w:pStyle w:val="TableBodyText"/>
            </w:pPr>
            <w:r>
              <w:rPr>
                <w:b/>
              </w:rPr>
              <w:t>openByDefault</w:t>
            </w:r>
            <w:r>
              <w:t xml:space="preserve"> (Open By Default)</w:t>
            </w:r>
          </w:p>
        </w:tc>
        <w:tc>
          <w:tcPr>
            <w:tcW w:w="0" w:type="auto"/>
            <w:vAlign w:val="center"/>
          </w:tcPr>
          <w:p w:rsidR="000A156F" w:rsidRDefault="00A9721F">
            <w:pPr>
              <w:pStyle w:val="TableBodyText"/>
            </w:pPr>
            <w:r>
              <w:t>§</w:t>
            </w:r>
            <w:hyperlink w:anchor="Section_a0fa9f9b49fb4e7198b7164aa6c8cb79">
              <w:r>
                <w:rPr>
                  <w:rStyle w:val="Hyperlink"/>
                </w:rPr>
                <w:t>3.5.4.1.1.3, openByDefault</w:t>
              </w:r>
            </w:hyperlink>
          </w:p>
        </w:tc>
      </w:tr>
      <w:tr w:rsidR="000A156F" w:rsidTr="000A156F">
        <w:tc>
          <w:tcPr>
            <w:tcW w:w="0" w:type="auto"/>
            <w:vAlign w:val="center"/>
          </w:tcPr>
          <w:p w:rsidR="000A156F" w:rsidRDefault="00A9721F">
            <w:pPr>
              <w:pStyle w:val="TableBodyText"/>
            </w:pPr>
            <w:r>
              <w:rPr>
                <w:b/>
              </w:rPr>
              <w:t>xsnLocation</w:t>
            </w:r>
            <w:r>
              <w:t xml:space="preserve"> (XSN Location)</w:t>
            </w:r>
          </w:p>
        </w:tc>
        <w:tc>
          <w:tcPr>
            <w:tcW w:w="0" w:type="auto"/>
            <w:vAlign w:val="center"/>
          </w:tcPr>
          <w:p w:rsidR="000A156F" w:rsidRDefault="00A9721F">
            <w:pPr>
              <w:pStyle w:val="TableBodyText"/>
            </w:pPr>
            <w:r>
              <w:t>§</w:t>
            </w:r>
            <w:hyperlink w:anchor="Section_1c088624367d43958dfe029913c009e8">
              <w:r>
                <w:rPr>
                  <w:rStyle w:val="Hyperlink"/>
                </w:rPr>
                <w:t>3.5.4.1.1.4, xsnLocation</w:t>
              </w:r>
            </w:hyperlink>
          </w:p>
        </w:tc>
      </w:tr>
      <w:tr w:rsidR="000A156F" w:rsidTr="000A156F">
        <w:tc>
          <w:tcPr>
            <w:tcW w:w="0" w:type="auto"/>
            <w:vAlign w:val="center"/>
          </w:tcPr>
          <w:p w:rsidR="000A156F" w:rsidRDefault="00A9721F">
            <w:pPr>
              <w:pStyle w:val="TableBodyText"/>
            </w:pPr>
            <w:r>
              <w:rPr>
                <w:b/>
              </w:rPr>
              <w:t>xsnScope</w:t>
            </w:r>
            <w:r>
              <w:t xml:space="preserve"> (Scope)</w:t>
            </w:r>
          </w:p>
        </w:tc>
        <w:tc>
          <w:tcPr>
            <w:tcW w:w="0" w:type="auto"/>
            <w:vAlign w:val="center"/>
          </w:tcPr>
          <w:p w:rsidR="000A156F" w:rsidRDefault="00A9721F">
            <w:pPr>
              <w:pStyle w:val="TableBodyText"/>
            </w:pPr>
            <w:r>
              <w:t>§</w:t>
            </w:r>
            <w:hyperlink w:anchor="Section_83b1d48efcc64adaaf9bba113335dc9c">
              <w:r>
                <w:rPr>
                  <w:rStyle w:val="Hyperlink"/>
                </w:rPr>
                <w:t>3.5.4.1.1.5, xsnScope</w:t>
              </w:r>
            </w:hyperlink>
          </w:p>
        </w:tc>
      </w:tr>
    </w:tbl>
    <w:p w:rsidR="000A156F" w:rsidRDefault="000A156F"/>
    <w:p w:rsidR="000A156F" w:rsidRDefault="00A9721F">
      <w:r>
        <w:t>The following XML Schema fragment defines the contents of this element:</w:t>
      </w:r>
    </w:p>
    <w:p w:rsidR="000A156F" w:rsidRDefault="00A9721F">
      <w:pPr>
        <w:pStyle w:val="Code"/>
      </w:pPr>
      <w:r>
        <w:t>&lt;complexType name="CT_CustomXsn"&gt;</w:t>
      </w:r>
    </w:p>
    <w:p w:rsidR="000A156F" w:rsidRDefault="00A9721F">
      <w:pPr>
        <w:pStyle w:val="Code"/>
      </w:pPr>
      <w:r>
        <w:t xml:space="preserve">  &lt;sequence&gt;</w:t>
      </w:r>
    </w:p>
    <w:p w:rsidR="000A156F" w:rsidRDefault="00A9721F">
      <w:pPr>
        <w:pStyle w:val="Code"/>
      </w:pPr>
      <w:r>
        <w:t xml:space="preserve">    &lt;element name="xsnLocation" type="xsd:string"/&gt;</w:t>
      </w:r>
    </w:p>
    <w:p w:rsidR="000A156F" w:rsidRDefault="00A9721F">
      <w:pPr>
        <w:pStyle w:val="Code"/>
      </w:pPr>
      <w:r>
        <w:t xml:space="preserve">    &lt;element name="cached" type="xsd:string"/&gt;</w:t>
      </w:r>
    </w:p>
    <w:p w:rsidR="000A156F" w:rsidRDefault="00A9721F">
      <w:pPr>
        <w:pStyle w:val="Code"/>
      </w:pPr>
      <w:r>
        <w:t xml:space="preserve">    &lt;element name="openByDefault" type="xsd:string"/&gt;</w:t>
      </w:r>
    </w:p>
    <w:p w:rsidR="000A156F" w:rsidRDefault="00A9721F">
      <w:pPr>
        <w:pStyle w:val="Code"/>
      </w:pPr>
      <w:r>
        <w:t xml:space="preserve">    &lt;element name="xsnScope" type="xsd:string"/&gt;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6"/>
      </w:pPr>
      <w:bookmarkStart w:id="4128" w:name="section_a0fa9f9b49fb4e7198b7164aa6c8cb79"/>
      <w:bookmarkStart w:id="4129" w:name="_Toc181685089"/>
      <w:r>
        <w:t>openByDefault (Open By Default)</w:t>
      </w:r>
      <w:bookmarkEnd w:id="4128"/>
      <w:bookmarkEnd w:id="4129"/>
      <w:r>
        <w:fldChar w:fldCharType="begin"/>
      </w:r>
      <w:r>
        <w:instrText xml:space="preserve"> XE "openByDefault (Open By Default)" </w:instrText>
      </w:r>
      <w:r>
        <w:fldChar w:fldCharType="end"/>
      </w:r>
    </w:p>
    <w:p w:rsidR="000A156F" w:rsidRDefault="00A9721F">
      <w:r>
        <w:t xml:space="preserve">This </w:t>
      </w:r>
      <w:r>
        <w:t xml:space="preserve">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not be </w:t>
      </w:r>
      <w:r>
        <w:t>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customXsn</w:t>
            </w:r>
            <w:r>
              <w:t xml:space="preserve"> (§</w:t>
            </w:r>
            <w:hyperlink w:anchor="Section_dff741e5b6874a57a0ea91144bd69a9c">
              <w:r>
                <w:rPr>
                  <w:rStyle w:val="Hyperlink"/>
                </w:rPr>
                <w:t>3.5.4.1.1.2, customXsn</w:t>
              </w:r>
            </w:hyperlink>
            <w:r>
              <w:t>)</w:t>
            </w:r>
          </w:p>
        </w:tc>
      </w:tr>
    </w:tbl>
    <w:p w:rsidR="000A156F" w:rsidRDefault="000A156F"/>
    <w:p w:rsidR="000A156F" w:rsidRDefault="00A9721F">
      <w:pPr>
        <w:pStyle w:val="Heading6"/>
      </w:pPr>
      <w:bookmarkStart w:id="4130" w:name="section_1c088624367d43958dfe029913c009e8"/>
      <w:bookmarkStart w:id="4131" w:name="_Toc181685090"/>
      <w:r>
        <w:t>xsnLocation (XSN Location)</w:t>
      </w:r>
      <w:bookmarkEnd w:id="4130"/>
      <w:bookmarkEnd w:id="4131"/>
      <w:r>
        <w:fldChar w:fldCharType="begin"/>
      </w:r>
      <w:r>
        <w:instrText xml:space="preserve"> XE "xsnLocation (XSN Location)" </w:instrText>
      </w:r>
      <w:r>
        <w:fldChar w:fldCharType="end"/>
      </w:r>
    </w:p>
    <w:p w:rsidR="000A156F" w:rsidRDefault="00A9721F">
      <w:r>
        <w:t xml:space="preserve">This element specifies the location of an XSN file (as specified by InfoPath Form Template Format Structure Specification </w:t>
      </w:r>
      <w:hyperlink r:id="rId368" w:anchor="Section_93482ffc8be24c288de5324a835e66b1">
        <w:r>
          <w:rPr>
            <w:rStyle w:val="Hyperlink"/>
          </w:rPr>
          <w:t>[MS-IPFF]</w:t>
        </w:r>
      </w:hyperlink>
      <w:r>
        <w:t>) to use for editing properties of this docume</w:t>
      </w:r>
      <w:r>
        <w:t>nt</w:t>
      </w:r>
    </w:p>
    <w:tbl>
      <w:tblPr>
        <w:tblStyle w:val="Table-ShadedHeader"/>
        <w:tblW w:w="0" w:type="auto"/>
        <w:tblLook w:val="04A0" w:firstRow="1" w:lastRow="0" w:firstColumn="1" w:lastColumn="0" w:noHBand="0" w:noVBand="1"/>
      </w:tblPr>
      <w:tblGrid>
        <w:gridCol w:w="341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Parent Elements</w:t>
            </w:r>
          </w:p>
        </w:tc>
      </w:tr>
      <w:tr w:rsidR="000A156F" w:rsidTr="000A156F">
        <w:tc>
          <w:tcPr>
            <w:tcW w:w="0" w:type="auto"/>
            <w:vAlign w:val="center"/>
          </w:tcPr>
          <w:p w:rsidR="000A156F" w:rsidRDefault="00A9721F">
            <w:pPr>
              <w:pStyle w:val="TableBodyText"/>
            </w:pPr>
            <w:r>
              <w:rPr>
                <w:b/>
              </w:rPr>
              <w:t>customXsn</w:t>
            </w:r>
            <w:r>
              <w:t xml:space="preserve"> (§</w:t>
            </w:r>
            <w:hyperlink w:anchor="Section_dff741e5b6874a57a0ea91144bd69a9c">
              <w:r>
                <w:rPr>
                  <w:rStyle w:val="Hyperlink"/>
                </w:rPr>
                <w:t>3.5.4.1.1.2, customXsn</w:t>
              </w:r>
            </w:hyperlink>
            <w:r>
              <w:t>)</w:t>
            </w:r>
          </w:p>
        </w:tc>
      </w:tr>
    </w:tbl>
    <w:p w:rsidR="000A156F" w:rsidRDefault="000A156F"/>
    <w:p w:rsidR="000A156F" w:rsidRDefault="00A9721F">
      <w:pPr>
        <w:pStyle w:val="Heading6"/>
      </w:pPr>
      <w:bookmarkStart w:id="4132" w:name="section_83b1d48efcc64adaaf9bba113335dc9c"/>
      <w:bookmarkStart w:id="4133" w:name="_Toc181685091"/>
      <w:r>
        <w:t>xsnScope (Scope)</w:t>
      </w:r>
      <w:bookmarkEnd w:id="4132"/>
      <w:bookmarkEnd w:id="4133"/>
      <w:r>
        <w:fldChar w:fldCharType="begin"/>
      </w:r>
      <w:r>
        <w:instrText xml:space="preserve"> XE "xsnScope (Scope)" </w:instrText>
      </w:r>
      <w:r>
        <w:fldChar w:fldCharType="end"/>
      </w:r>
    </w:p>
    <w:p w:rsidR="000A156F" w:rsidRDefault="00A9721F">
      <w:r>
        <w:t>Specifies a path to use when resolving any relative paths that appear within the specified XS</w:t>
      </w:r>
      <w:r>
        <w:t>N.</w:t>
      </w:r>
    </w:p>
    <w:tbl>
      <w:tblPr>
        <w:tblStyle w:val="Table-ShadedHeader"/>
        <w:tblW w:w="0" w:type="auto"/>
        <w:tblLook w:val="04A0" w:firstRow="1" w:lastRow="0" w:firstColumn="1" w:lastColumn="0" w:noHBand="0" w:noVBand="1"/>
      </w:tblPr>
      <w:tblGrid>
        <w:gridCol w:w="341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customXsn</w:t>
            </w:r>
            <w:r>
              <w:t xml:space="preserve"> (§</w:t>
            </w:r>
            <w:hyperlink w:anchor="Section_dff741e5b6874a57a0ea91144bd69a9c">
              <w:r>
                <w:rPr>
                  <w:rStyle w:val="Hyperlink"/>
                </w:rPr>
                <w:t>3.5.4.1.1.2, customXsn</w:t>
              </w:r>
            </w:hyperlink>
            <w:r>
              <w:t>)</w:t>
            </w:r>
          </w:p>
        </w:tc>
      </w:tr>
    </w:tbl>
    <w:p w:rsidR="000A156F" w:rsidRDefault="000A156F"/>
    <w:p w:rsidR="000A156F" w:rsidRDefault="00A9721F">
      <w:pPr>
        <w:pStyle w:val="Heading3"/>
      </w:pPr>
      <w:bookmarkStart w:id="4134" w:name="section_78d73854b7934cd682ef994e57d303db"/>
      <w:bookmarkStart w:id="4135" w:name="_Toc181685092"/>
      <w:r>
        <w:t>Long Properties</w:t>
      </w:r>
      <w:bookmarkEnd w:id="4134"/>
      <w:bookmarkEnd w:id="4135"/>
      <w:r>
        <w:fldChar w:fldCharType="begin"/>
      </w:r>
      <w:r>
        <w:instrText xml:space="preserve"> XE "Long Properties" </w:instrText>
      </w:r>
      <w:r>
        <w:fldChar w:fldCharType="end"/>
      </w:r>
    </w:p>
    <w:p w:rsidR="000A156F" w:rsidRDefault="00A9721F">
      <w:r>
        <w:t>The Long Properties is comprised of a Custom XML Data Storage Part ("</w:t>
      </w:r>
      <w:hyperlink r:id="rId369">
        <w:r>
          <w:rPr>
            <w:rStyle w:val="Hyperlink"/>
          </w:rPr>
          <w:t>[ISO/IEC-29500-1]</w:t>
        </w:r>
      </w:hyperlink>
      <w:r>
        <w:t xml:space="preserve"> §15.2.5") which contains the Long Properties information, and a Custom XML Data Storage Properties Part ("[ISO/IEC-29500-1] §15.2.6") which contains the set of properties for</w:t>
      </w:r>
      <w:r>
        <w:t xml:space="preserve"> the custom XML data. </w:t>
      </w:r>
    </w:p>
    <w:p w:rsidR="000A156F" w:rsidRDefault="00A9721F">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0A156F" w:rsidRDefault="00A9721F">
      <w:r>
        <w:t xml:space="preserve">The root element of the Custom XML </w:t>
      </w:r>
      <w:r>
        <w:t>Data Storage Part shall be LongProperties (</w:t>
      </w:r>
      <w:hyperlink w:anchor="Section_e142bd7e59954bcfaaa84317a6eb9396">
        <w:r>
          <w:rPr>
            <w:rStyle w:val="Hyperlink"/>
          </w:rPr>
          <w:t>§3.5.5.1.1.2, LongProperties</w:t>
        </w:r>
      </w:hyperlink>
      <w:r>
        <w:t>).</w:t>
      </w:r>
    </w:p>
    <w:p w:rsidR="000A156F" w:rsidRDefault="00A9721F">
      <w:r>
        <w:t>The Associated XML Schema ("[ISO/IEC-29500-1] §22.5.2.2; schemaRef") for this Custom XML Data Storage Part shall be “ht</w:t>
      </w:r>
      <w:r>
        <w:t>tp://schemas.microsoft.com/‌office/‌2006/‌metadata/longProperties”.</w:t>
      </w:r>
    </w:p>
    <w:p w:rsidR="000A156F" w:rsidRDefault="00A9721F">
      <w:pPr>
        <w:pStyle w:val="Heading4"/>
      </w:pPr>
      <w:bookmarkStart w:id="4136" w:name="section_03e16b150a6b4dc88574f27a056f37e5"/>
      <w:bookmarkStart w:id="4137" w:name="_Toc181685093"/>
      <w:r>
        <w:t>Long Properties Schema</w:t>
      </w:r>
      <w:bookmarkEnd w:id="4136"/>
      <w:bookmarkEnd w:id="4137"/>
      <w:r>
        <w:fldChar w:fldCharType="begin"/>
      </w:r>
      <w:r>
        <w:instrText xml:space="preserve"> XE "Long Properties Schema" </w:instrText>
      </w:r>
      <w:r>
        <w:fldChar w:fldCharType="end"/>
      </w:r>
    </w:p>
    <w:p w:rsidR="000A156F" w:rsidRDefault="00A9721F">
      <w:r>
        <w:t>Long properties define a set of properties used to store server property values exceeding 255 characters in length.</w:t>
      </w:r>
    </w:p>
    <w:p w:rsidR="000A156F" w:rsidRDefault="00A9721F">
      <w:pPr>
        <w:pStyle w:val="Heading5"/>
      </w:pPr>
      <w:bookmarkStart w:id="4138" w:name="section_d93aeb76c0144e47837cc9c7d33b5151"/>
      <w:bookmarkStart w:id="4139" w:name="_Toc181685094"/>
      <w:r>
        <w:t>Elements</w:t>
      </w:r>
      <w:bookmarkEnd w:id="4138"/>
      <w:bookmarkEnd w:id="4139"/>
    </w:p>
    <w:p w:rsidR="000A156F" w:rsidRDefault="00A9721F">
      <w:pPr>
        <w:pStyle w:val="Heading6"/>
      </w:pPr>
      <w:bookmarkStart w:id="4140" w:name="section_8f665f8d316b4f9b83d330a8520fb932"/>
      <w:bookmarkStart w:id="4141" w:name="_Toc181685095"/>
      <w:r>
        <w:t xml:space="preserve">LongProp </w:t>
      </w:r>
      <w:r>
        <w:t>(Custom XML Server Property - Long Property)</w:t>
      </w:r>
      <w:bookmarkEnd w:id="4140"/>
      <w:bookmarkEnd w:id="4141"/>
      <w:r>
        <w:fldChar w:fldCharType="begin"/>
      </w:r>
      <w:r>
        <w:instrText xml:space="preserve"> XE "LongProp (Custom XML Server Property - Long Property)" </w:instrText>
      </w:r>
      <w:r>
        <w:fldChar w:fldCharType="end"/>
      </w:r>
    </w:p>
    <w:p w:rsidR="000A156F" w:rsidRDefault="00A9721F">
      <w:r>
        <w:t>This element specifies the full value of a custom server property that exceeds 255 characters. This property is written out when a document is roundt</w:t>
      </w:r>
      <w:r>
        <w:t xml:space="preserve">ripped to binary and back, to ensure that the full value of the custom property is not lost. When the first 255 characters of the value of the </w:t>
      </w:r>
      <w:r>
        <w:rPr>
          <w:b/>
        </w:rPr>
        <w:t>LongProp</w:t>
      </w:r>
      <w:r>
        <w:t xml:space="preserve"> agrees with the value of the custom property with the corresponding name, it is assumed that the custom </w:t>
      </w:r>
      <w:r>
        <w:t xml:space="preserve">property was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custom property of the same name differ, the custom</w:t>
      </w:r>
      <w:r>
        <w:t xml:space="preserve">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LongProperties</w:t>
            </w:r>
            <w:r>
              <w:t xml:space="preserve"> (§</w:t>
            </w:r>
            <w:hyperlink w:anchor="Section_e142bd7e59954bcfaaa84317a6eb9396">
              <w:r>
                <w:rPr>
                  <w:rStyle w:val="Hyperlink"/>
                </w:rPr>
                <w:t>3.5.5.1.1.2, LongProperties</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334"/>
        <w:gridCol w:w="614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name</w:t>
            </w:r>
            <w:r>
              <w:t xml:space="preserve"> (Custom XML Server Property Name)</w:t>
            </w:r>
          </w:p>
        </w:tc>
        <w:tc>
          <w:tcPr>
            <w:tcW w:w="0" w:type="auto"/>
            <w:vAlign w:val="center"/>
          </w:tcPr>
          <w:p w:rsidR="000A156F" w:rsidRDefault="00A9721F">
            <w:pPr>
              <w:pStyle w:val="TableBodyText"/>
            </w:pPr>
            <w:r>
              <w:t>Specifies the name of the custom property.</w:t>
            </w:r>
          </w:p>
          <w:p w:rsidR="000A156F" w:rsidRDefault="000A156F">
            <w:pPr>
              <w:pStyle w:val="TableBodyText"/>
            </w:pPr>
          </w:p>
          <w:p w:rsidR="000A156F" w:rsidRDefault="00A9721F">
            <w:pPr>
              <w:pStyle w:val="TableBodyText"/>
            </w:pPr>
            <w:r>
              <w:t>The possible values for this attribute are defined by the XML Schema string datatype.</w:t>
            </w:r>
          </w:p>
        </w:tc>
      </w:tr>
    </w:tbl>
    <w:p w:rsidR="000A156F" w:rsidRDefault="000A156F"/>
    <w:p w:rsidR="000A156F" w:rsidRDefault="00A9721F">
      <w:pPr>
        <w:pStyle w:val="Heading6"/>
      </w:pPr>
      <w:bookmarkStart w:id="4142" w:name="section_e142bd7e59954bcfaaa84317a6eb9396"/>
      <w:bookmarkStart w:id="4143" w:name="_Toc181685096"/>
      <w:r>
        <w:t>LongProperties (Custom XML Server Properties - Long Properties)</w:t>
      </w:r>
      <w:bookmarkEnd w:id="4142"/>
      <w:bookmarkEnd w:id="4143"/>
      <w:r>
        <w:fldChar w:fldCharType="begin"/>
      </w:r>
      <w:r>
        <w:instrText xml:space="preserve"> XE "LongProperties (Custo</w:instrText>
      </w:r>
      <w:r>
        <w:instrText xml:space="preserve">m XML Server Properties - Long Properties)" </w:instrText>
      </w:r>
      <w:r>
        <w:fldChar w:fldCharType="end"/>
      </w:r>
    </w:p>
    <w:p w:rsidR="000A156F" w:rsidRDefault="00A9721F">
      <w:r>
        <w:t>This element specifies the full content of custom server properties whose values exceed 255 characters.  When a document containing custom server properties is roundtripped to binary and back, any server prope</w:t>
      </w:r>
      <w:r>
        <w:t xml:space="preserve">rties whose values exceed 255 characters can be written out as </w:t>
      </w:r>
      <w:r>
        <w:rPr>
          <w:b/>
        </w:rPr>
        <w:t>LongProperties</w:t>
      </w:r>
      <w:r>
        <w:t xml:space="preserve"> to ensure that no data are lost. These long properties are first written when the document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LongProp</w:t>
            </w:r>
            <w:r>
              <w:t xml:space="preserve"> (Custom XML Server Property - Long Property)</w:t>
            </w:r>
          </w:p>
        </w:tc>
        <w:tc>
          <w:tcPr>
            <w:tcW w:w="0" w:type="auto"/>
            <w:vAlign w:val="center"/>
          </w:tcPr>
          <w:p w:rsidR="000A156F" w:rsidRDefault="00A9721F">
            <w:pPr>
              <w:pStyle w:val="TableBodyText"/>
            </w:pPr>
            <w:r>
              <w:t>§</w:t>
            </w:r>
            <w:hyperlink w:anchor="Section_8f665f8d316b4f9b83d330a8520fb932">
              <w:r>
                <w:rPr>
                  <w:rStyle w:val="Hyperlink"/>
                </w:rPr>
                <w:t>3.5.5.1.1.1, LongProp</w:t>
              </w:r>
            </w:hyperlink>
          </w:p>
        </w:tc>
      </w:tr>
    </w:tbl>
    <w:p w:rsidR="000A156F" w:rsidRDefault="000A156F"/>
    <w:p w:rsidR="000A156F" w:rsidRDefault="00A9721F">
      <w:r>
        <w:t>The following XML Schema fragment defines the contents of this element:</w:t>
      </w:r>
    </w:p>
    <w:p w:rsidR="000A156F" w:rsidRDefault="00A9721F">
      <w:pPr>
        <w:pStyle w:val="Code"/>
      </w:pPr>
      <w:r>
        <w:t xml:space="preserve">&lt;complexType </w:t>
      </w:r>
      <w:r>
        <w:t>name="CT_LongProperties"&gt;</w:t>
      </w:r>
    </w:p>
    <w:p w:rsidR="000A156F" w:rsidRDefault="00A9721F">
      <w:pPr>
        <w:pStyle w:val="Code"/>
      </w:pPr>
      <w:r>
        <w:t xml:space="preserve">  &lt;sequence&gt;</w:t>
      </w:r>
    </w:p>
    <w:p w:rsidR="000A156F" w:rsidRDefault="00A9721F">
      <w:pPr>
        <w:pStyle w:val="Code"/>
      </w:pPr>
      <w:r>
        <w:t xml:space="preserve">    &lt;element name="LongProp" minOccurs="0" maxOccurs="unbounded"&gt;</w:t>
      </w:r>
    </w:p>
    <w:p w:rsidR="000A156F" w:rsidRDefault="00A9721F">
      <w:pPr>
        <w:pStyle w:val="Code"/>
      </w:pPr>
      <w:r>
        <w:t xml:space="preserve">      &lt;complexType&gt;</w:t>
      </w:r>
    </w:p>
    <w:p w:rsidR="000A156F" w:rsidRDefault="00A9721F">
      <w:pPr>
        <w:pStyle w:val="Code"/>
      </w:pPr>
      <w:r>
        <w:t xml:space="preserve">        &lt;simpleContent&gt;</w:t>
      </w:r>
    </w:p>
    <w:p w:rsidR="000A156F" w:rsidRDefault="00A9721F">
      <w:pPr>
        <w:pStyle w:val="Code"/>
      </w:pPr>
      <w:r>
        <w:t xml:space="preserve">          &lt;extension base="xsd:string"&gt;</w:t>
      </w:r>
    </w:p>
    <w:p w:rsidR="000A156F" w:rsidRDefault="00A9721F">
      <w:pPr>
        <w:pStyle w:val="Code"/>
      </w:pPr>
      <w:r>
        <w:t xml:space="preserve">            &lt;attribute name="name" type="xsd:string"/&gt;</w:t>
      </w:r>
    </w:p>
    <w:p w:rsidR="000A156F" w:rsidRDefault="00A9721F">
      <w:pPr>
        <w:pStyle w:val="Code"/>
      </w:pPr>
      <w:r>
        <w:t xml:space="preserve">          &lt;</w:t>
      </w:r>
      <w:r>
        <w:t>/extension&gt;</w:t>
      </w:r>
    </w:p>
    <w:p w:rsidR="000A156F" w:rsidRDefault="00A9721F">
      <w:pPr>
        <w:pStyle w:val="Code"/>
      </w:pPr>
      <w:r>
        <w:t xml:space="preserve">        &lt;/simpleContent&gt;</w:t>
      </w:r>
    </w:p>
    <w:p w:rsidR="000A156F" w:rsidRDefault="00A9721F">
      <w:pPr>
        <w:pStyle w:val="Code"/>
      </w:pPr>
      <w:r>
        <w:t xml:space="preserve">      &lt;/complexType&gt;</w:t>
      </w:r>
    </w:p>
    <w:p w:rsidR="000A156F" w:rsidRDefault="00A9721F">
      <w:pPr>
        <w:pStyle w:val="Code"/>
      </w:pPr>
      <w:r>
        <w:t xml:space="preserve">    &lt;/element&gt;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3"/>
      </w:pPr>
      <w:bookmarkStart w:id="4144" w:name="section_2d785b76be0f4a43a7b8eed4f5bd5206"/>
      <w:bookmarkStart w:id="4145" w:name="_Toc181685097"/>
      <w:r>
        <w:t>SharePoint Premium High Value Content Solution</w:t>
      </w:r>
      <w:bookmarkEnd w:id="4144"/>
      <w:bookmarkEnd w:id="4145"/>
      <w:r>
        <w:fldChar w:fldCharType="begin"/>
      </w:r>
      <w:r>
        <w:instrText xml:space="preserve"> XE "SharePoint Premium High Value Content Solution" </w:instrText>
      </w:r>
      <w:r>
        <w:fldChar w:fldCharType="end"/>
      </w:r>
    </w:p>
    <w:p w:rsidR="000A156F" w:rsidRDefault="00A9721F">
      <w:r>
        <w:t>SharePoint Premium High Value Content Solution is co</w:t>
      </w:r>
      <w:r>
        <w:t>mprised of a Custom XML Data Storage Part ("</w:t>
      </w:r>
      <w:hyperlink r:id="rId370">
        <w:r>
          <w:rPr>
            <w:rStyle w:val="Hyperlink"/>
          </w:rPr>
          <w:t>[ISO/IEC-29500-1]</w:t>
        </w:r>
      </w:hyperlink>
      <w:r>
        <w:t xml:space="preserve"> §15.2.5"), which contains High Value Content Solution information, and a Custom XML Data Storage Properties Part ("[ISO/IEC-2950</w:t>
      </w:r>
      <w:r>
        <w:t>0-1] §15.2.6"), which contains the set of properties for the custom XML data.</w:t>
      </w:r>
    </w:p>
    <w:p w:rsidR="000A156F" w:rsidRDefault="00A9721F">
      <w:r>
        <w:t>SharePoint Premium High Value Content Solution allows users to create/edit high value documents such as contracts, agreements, etc. It consists of various components like templat</w:t>
      </w:r>
      <w:r>
        <w:t>es, snippets, fields etc. Users can create fields, reusable snippets, and create templates using those fields and snippets. Once templates are published, they can be used to generate documents at scale.</w:t>
      </w:r>
    </w:p>
    <w:p w:rsidR="000A156F" w:rsidRDefault="00A9721F">
      <w:r>
        <w:t>The XML contents of the data storage conform to the s</w:t>
      </w:r>
      <w:r>
        <w:t>chema defined in SharePoint Premium High Value Content Solution Schema (</w:t>
      </w:r>
      <w:hyperlink w:anchor="Section_9fcd1e515d0e4d1db2815eec4336ced4" w:history="1">
        <w:r>
          <w:rPr>
            <w:rStyle w:val="Hyperlink"/>
          </w:rPr>
          <w:t>§3.5.6.1, SharePoint Premium High Value Content Solution Schema</w:t>
        </w:r>
      </w:hyperlink>
      <w:r>
        <w:t>).</w:t>
      </w:r>
    </w:p>
    <w:p w:rsidR="000A156F" w:rsidRDefault="00A9721F">
      <w:r>
        <w:t>The root element of the Custom XML Data Storage shall be A</w:t>
      </w:r>
      <w:r>
        <w:t>greements (</w:t>
      </w:r>
      <w:hyperlink w:anchor="Section_77414b44c8aa44f4a53d9193475e7dcb" w:history="1">
        <w:r>
          <w:rPr>
            <w:rStyle w:val="Hyperlink"/>
          </w:rPr>
          <w:t>§3.5.6.1.1.1, Agreements</w:t>
        </w:r>
      </w:hyperlink>
      <w:r>
        <w:t>).</w:t>
      </w:r>
    </w:p>
    <w:p w:rsidR="000A156F" w:rsidRDefault="00A9721F">
      <w:r>
        <w:t>The Associated XML schema ("[ISO/IEC-29500-1] §22.5.2.2; schemaRef") for this Custom XML Data Storage Part shall be “https://schemas.microsoft.com/sharepoint/</w:t>
      </w:r>
      <w:r>
        <w:t>2024/highvaluecontentsolution”.</w:t>
      </w:r>
    </w:p>
    <w:p w:rsidR="000A156F" w:rsidRDefault="00A9721F">
      <w:pPr>
        <w:pStyle w:val="Heading4"/>
      </w:pPr>
      <w:bookmarkStart w:id="4146" w:name="section_9fcd1e515d0e4d1db2815eec4336ced4"/>
      <w:bookmarkStart w:id="4147" w:name="_Toc181685098"/>
      <w:r>
        <w:lastRenderedPageBreak/>
        <w:t>SharePoint Premium High Value Content Solution Schema</w:t>
      </w:r>
      <w:bookmarkEnd w:id="4146"/>
      <w:bookmarkEnd w:id="4147"/>
      <w:r>
        <w:fldChar w:fldCharType="begin"/>
      </w:r>
      <w:r>
        <w:instrText xml:space="preserve"> XE "SharePoint Premium High Value Content Solution Schema" </w:instrText>
      </w:r>
      <w:r>
        <w:fldChar w:fldCharType="end"/>
      </w:r>
    </w:p>
    <w:p w:rsidR="000A156F" w:rsidRDefault="00A9721F">
      <w:r>
        <w:t xml:space="preserve">SharePoint Premium High Value Content Solution define a set of properties available for managing high value </w:t>
      </w:r>
      <w:r>
        <w:t xml:space="preserve">documents. </w:t>
      </w:r>
    </w:p>
    <w:p w:rsidR="000A156F" w:rsidRDefault="00A9721F">
      <w:pPr>
        <w:pStyle w:val="Heading5"/>
      </w:pPr>
      <w:bookmarkStart w:id="4148" w:name="section_8185d515fcf34f158c5a74345b0e054f"/>
      <w:bookmarkStart w:id="4149" w:name="_Toc181685099"/>
      <w:r>
        <w:t>Elements</w:t>
      </w:r>
      <w:bookmarkEnd w:id="4148"/>
      <w:bookmarkEnd w:id="4149"/>
    </w:p>
    <w:p w:rsidR="000A156F" w:rsidRDefault="00A9721F">
      <w:pPr>
        <w:pStyle w:val="Heading6"/>
      </w:pPr>
      <w:bookmarkStart w:id="4150" w:name="section_77414b44c8aa44f4a53d9193475e7dcb"/>
      <w:bookmarkStart w:id="4151" w:name="_Toc181685100"/>
      <w:r>
        <w:t>Agreements</w:t>
      </w:r>
      <w:bookmarkEnd w:id="4150"/>
      <w:bookmarkEnd w:id="4151"/>
      <w:r>
        <w:fldChar w:fldCharType="begin"/>
      </w:r>
      <w:r>
        <w:instrText xml:space="preserve"> XE "Agreements" </w:instrText>
      </w:r>
      <w:r>
        <w:fldChar w:fldCharType="end"/>
      </w:r>
    </w:p>
    <w:p w:rsidR="000A156F" w:rsidRDefault="00A9721F">
      <w:r>
        <w:t>This element is the parent element of properties that are typically used for a high value content solution.</w:t>
      </w:r>
    </w:p>
    <w:p w:rsidR="000A156F" w:rsidRDefault="00A9721F">
      <w:pPr>
        <w:pStyle w:val="Heading6"/>
      </w:pPr>
      <w:bookmarkStart w:id="4152" w:name="section_98206c165973459a84bdb36372d56ab6"/>
      <w:bookmarkStart w:id="4153" w:name="_Toc181685101"/>
      <w:r>
        <w:t>SyntexCAMode</w:t>
      </w:r>
      <w:bookmarkEnd w:id="4152"/>
      <w:bookmarkEnd w:id="4153"/>
      <w:r>
        <w:fldChar w:fldCharType="begin"/>
      </w:r>
      <w:r>
        <w:instrText xml:space="preserve"> XE "SyntexCAMode" </w:instrText>
      </w:r>
      <w:r>
        <w:fldChar w:fldCharType="end"/>
      </w:r>
    </w:p>
    <w:p w:rsidR="000A156F" w:rsidRDefault="00A9721F">
      <w:r>
        <w:t xml:space="preserve">This element specifies the document type in High Value Content </w:t>
      </w:r>
      <w:r>
        <w:t>Solution indicating Template, Snippet, Documents.</w:t>
      </w:r>
    </w:p>
    <w:p w:rsidR="000A156F" w:rsidRDefault="00A9721F">
      <w:pPr>
        <w:pStyle w:val="Heading6"/>
      </w:pPr>
      <w:bookmarkStart w:id="4154" w:name="section_8348719e9f8a4506a1f334c9e633c42f"/>
      <w:bookmarkStart w:id="4155" w:name="_Toc181685102"/>
      <w:r>
        <w:t>SourceTemplateUrl</w:t>
      </w:r>
      <w:bookmarkEnd w:id="4154"/>
      <w:bookmarkEnd w:id="4155"/>
      <w:r>
        <w:fldChar w:fldCharType="begin"/>
      </w:r>
      <w:r>
        <w:instrText xml:space="preserve"> XE "SourceTemplateUrl" </w:instrText>
      </w:r>
      <w:r>
        <w:fldChar w:fldCharType="end"/>
      </w:r>
    </w:p>
    <w:p w:rsidR="000A156F" w:rsidRDefault="00A9721F">
      <w:r>
        <w:t>This element specifies the source template URL of the contract file.</w:t>
      </w:r>
    </w:p>
    <w:p w:rsidR="000A156F" w:rsidRDefault="00A9721F">
      <w:pPr>
        <w:pStyle w:val="Heading6"/>
      </w:pPr>
      <w:bookmarkStart w:id="4156" w:name="section_daa97aafe36841899276cc4defe5e1c5"/>
      <w:bookmarkStart w:id="4157" w:name="_Toc181685103"/>
      <w:r>
        <w:t>CAAEPlaceholderMetaDataCustomPropertyName</w:t>
      </w:r>
      <w:bookmarkEnd w:id="4156"/>
      <w:bookmarkEnd w:id="4157"/>
      <w:r>
        <w:fldChar w:fldCharType="begin"/>
      </w:r>
      <w:r>
        <w:instrText xml:space="preserve"> XE "CAAEPlaceholderMetaDataCustomPropertyName" </w:instrText>
      </w:r>
      <w:r>
        <w:fldChar w:fldCharType="end"/>
      </w:r>
    </w:p>
    <w:p w:rsidR="000A156F" w:rsidRDefault="00A9721F">
      <w:r>
        <w:t>This element specified the user created fields information.</w:t>
      </w:r>
    </w:p>
    <w:p w:rsidR="000A156F" w:rsidRDefault="00A9721F">
      <w:pPr>
        <w:pStyle w:val="Heading6"/>
      </w:pPr>
      <w:bookmarkStart w:id="4158" w:name="section_ad5923e7251242c7ad0359906d972c25"/>
      <w:bookmarkStart w:id="4159" w:name="_Toc181685104"/>
      <w:r>
        <w:t>SyntexAgreementStates</w:t>
      </w:r>
      <w:bookmarkEnd w:id="4158"/>
      <w:bookmarkEnd w:id="4159"/>
      <w:r>
        <w:fldChar w:fldCharType="begin"/>
      </w:r>
      <w:r>
        <w:instrText xml:space="preserve"> XE "SyntexAgreementStates" </w:instrText>
      </w:r>
      <w:r>
        <w:fldChar w:fldCharType="end"/>
      </w:r>
    </w:p>
    <w:p w:rsidR="000A156F" w:rsidRDefault="00A9721F">
      <w:r>
        <w:t>This element specifies the configuration related to states that are applicable for a contract, i.e., Draft, Published, InApproval, Approved, Exe</w:t>
      </w:r>
      <w:r>
        <w:t>cuted, Terminated, Expired, Amended.</w:t>
      </w:r>
    </w:p>
    <w:p w:rsidR="000A156F" w:rsidRDefault="00A9721F">
      <w:pPr>
        <w:pStyle w:val="Heading6"/>
      </w:pPr>
      <w:bookmarkStart w:id="4160" w:name="section_53778d38413742daae90c4cccd4768f2"/>
      <w:bookmarkStart w:id="4161" w:name="_Toc181685105"/>
      <w:r>
        <w:t>SyntexCustomWorkflowsConfigured</w:t>
      </w:r>
      <w:bookmarkEnd w:id="4160"/>
      <w:bookmarkEnd w:id="4161"/>
      <w:r>
        <w:fldChar w:fldCharType="begin"/>
      </w:r>
      <w:r>
        <w:instrText xml:space="preserve"> XE "SyntexCustomWorkflowsConfigured" </w:instrText>
      </w:r>
      <w:r>
        <w:fldChar w:fldCharType="end"/>
      </w:r>
    </w:p>
    <w:p w:rsidR="000A156F" w:rsidRDefault="00A9721F">
      <w:r>
        <w:t>This element specifies whether the third-party workflows are configured in the templates for the corresponding generated documents.</w:t>
      </w:r>
    </w:p>
    <w:p w:rsidR="000A156F" w:rsidRDefault="00A9721F">
      <w:pPr>
        <w:pStyle w:val="Heading6"/>
      </w:pPr>
      <w:bookmarkStart w:id="4162" w:name="section_aec2d84699634c4d9c6e8c13a9956e55"/>
      <w:bookmarkStart w:id="4163" w:name="_Toc181685106"/>
      <w:r>
        <w:t>SyntexDocMandat</w:t>
      </w:r>
      <w:r>
        <w:t>oryApprovalReq</w:t>
      </w:r>
      <w:bookmarkEnd w:id="4162"/>
      <w:bookmarkEnd w:id="4163"/>
      <w:r>
        <w:fldChar w:fldCharType="begin"/>
      </w:r>
      <w:r>
        <w:instrText xml:space="preserve"> XE "SyntexDocMandatoryApprovalReq" </w:instrText>
      </w:r>
      <w:r>
        <w:fldChar w:fldCharType="end"/>
      </w:r>
    </w:p>
    <w:p w:rsidR="000A156F" w:rsidRDefault="00A9721F">
      <w:r>
        <w:t>This element specifies whether the mandatory approval workflow is configured in the template for the corresponding generated documents.</w:t>
      </w:r>
    </w:p>
    <w:p w:rsidR="000A156F" w:rsidRDefault="00A9721F">
      <w:pPr>
        <w:pStyle w:val="Heading6"/>
      </w:pPr>
      <w:bookmarkStart w:id="4164" w:name="section_eab7635939a249fa8cdd211ba90f9da5"/>
      <w:bookmarkStart w:id="4165" w:name="_Toc181685107"/>
      <w:r>
        <w:t>SyntexFieldAnswers</w:t>
      </w:r>
      <w:bookmarkEnd w:id="4164"/>
      <w:bookmarkEnd w:id="4165"/>
      <w:r>
        <w:fldChar w:fldCharType="begin"/>
      </w:r>
      <w:r>
        <w:instrText xml:space="preserve"> XE "SyntexFieldAnswers" </w:instrText>
      </w:r>
      <w:r>
        <w:fldChar w:fldCharType="end"/>
      </w:r>
    </w:p>
    <w:p w:rsidR="000A156F" w:rsidRDefault="00A9721F">
      <w:r>
        <w:t xml:space="preserve">This element </w:t>
      </w:r>
      <w:r>
        <w:t>specifies the information related to each filled-in field.</w:t>
      </w:r>
    </w:p>
    <w:p w:rsidR="000A156F" w:rsidRDefault="00A9721F">
      <w:pPr>
        <w:pStyle w:val="Heading6"/>
      </w:pPr>
      <w:bookmarkStart w:id="4166" w:name="section_e628834f08164ddca42ab47f0d9ee29b"/>
      <w:bookmarkStart w:id="4167" w:name="_Toc181685108"/>
      <w:r>
        <w:t>SyntexSnippetMetadata</w:t>
      </w:r>
      <w:bookmarkEnd w:id="4166"/>
      <w:bookmarkEnd w:id="4167"/>
      <w:r>
        <w:fldChar w:fldCharType="begin"/>
      </w:r>
      <w:r>
        <w:instrText xml:space="preserve"> XE "SyntexSnippetMetadata" </w:instrText>
      </w:r>
      <w:r>
        <w:fldChar w:fldCharType="end"/>
      </w:r>
    </w:p>
    <w:p w:rsidR="000A156F" w:rsidRDefault="00A9721F">
      <w:r>
        <w:t>This element specifies the information related to user created and pre-approved snippets.</w:t>
      </w:r>
    </w:p>
    <w:p w:rsidR="000A156F" w:rsidRDefault="00A9721F">
      <w:pPr>
        <w:pStyle w:val="Heading6"/>
      </w:pPr>
      <w:bookmarkStart w:id="4168" w:name="section_3ff8c635b5994dab9744244e82381d3e"/>
      <w:bookmarkStart w:id="4169" w:name="_Toc181685109"/>
      <w:r>
        <w:t>SyntexDocumentApprovalConfig</w:t>
      </w:r>
      <w:bookmarkEnd w:id="4168"/>
      <w:bookmarkEnd w:id="4169"/>
      <w:r>
        <w:fldChar w:fldCharType="begin"/>
      </w:r>
      <w:r>
        <w:instrText xml:space="preserve"> XE "SyntexDocumentApproval</w:instrText>
      </w:r>
      <w:r>
        <w:instrText xml:space="preserve">Config" </w:instrText>
      </w:r>
      <w:r>
        <w:fldChar w:fldCharType="end"/>
      </w:r>
    </w:p>
    <w:p w:rsidR="000A156F" w:rsidRDefault="00A9721F">
      <w:r>
        <w:t>This element specifies the configurations related to approvals for the generated documents.</w:t>
      </w:r>
    </w:p>
    <w:p w:rsidR="000A156F" w:rsidRDefault="00A9721F">
      <w:pPr>
        <w:pStyle w:val="Heading6"/>
      </w:pPr>
      <w:bookmarkStart w:id="4170" w:name="section_6dc8d472d7724e64a079a585275f5dad"/>
      <w:bookmarkStart w:id="4171" w:name="_Toc181685110"/>
      <w:r>
        <w:t>SyntexSnippetApprovalConfig</w:t>
      </w:r>
      <w:bookmarkEnd w:id="4170"/>
      <w:bookmarkEnd w:id="4171"/>
      <w:r>
        <w:fldChar w:fldCharType="begin"/>
      </w:r>
      <w:r>
        <w:instrText xml:space="preserve"> XE "SyntexSnippetApprovalConfig" </w:instrText>
      </w:r>
      <w:r>
        <w:fldChar w:fldCharType="end"/>
      </w:r>
    </w:p>
    <w:p w:rsidR="000A156F" w:rsidRDefault="00A9721F">
      <w:r>
        <w:t>This element specifies the configurations related to approvals for the snippets.</w:t>
      </w:r>
    </w:p>
    <w:p w:rsidR="000A156F" w:rsidRDefault="00A9721F">
      <w:pPr>
        <w:pStyle w:val="Heading6"/>
      </w:pPr>
      <w:bookmarkStart w:id="4172" w:name="section_52747da54e614cfbb49ef8f09de5f9ee"/>
      <w:bookmarkStart w:id="4173" w:name="_Toc181685111"/>
      <w:r>
        <w:t>SyntexTe</w:t>
      </w:r>
      <w:r>
        <w:t>mplateApprovalConfig</w:t>
      </w:r>
      <w:bookmarkEnd w:id="4172"/>
      <w:bookmarkEnd w:id="4173"/>
      <w:r>
        <w:fldChar w:fldCharType="begin"/>
      </w:r>
      <w:r>
        <w:instrText xml:space="preserve"> XE "SyntexTemplateApprovalConfig" </w:instrText>
      </w:r>
      <w:r>
        <w:fldChar w:fldCharType="end"/>
      </w:r>
    </w:p>
    <w:p w:rsidR="000A156F" w:rsidRDefault="00A9721F">
      <w:r>
        <w:lastRenderedPageBreak/>
        <w:t>This element specifies the configurations related to approvals for the templates.</w:t>
      </w:r>
    </w:p>
    <w:p w:rsidR="000A156F" w:rsidRDefault="00A9721F">
      <w:pPr>
        <w:pStyle w:val="Heading2"/>
      </w:pPr>
      <w:bookmarkStart w:id="4174" w:name="section_346f264b6403401a899a6e0d513f7313"/>
      <w:bookmarkStart w:id="4175" w:name="_Toc181685112"/>
      <w:r>
        <w:t>Office ActiveX Supplemental Information</w:t>
      </w:r>
      <w:bookmarkEnd w:id="4174"/>
      <w:bookmarkEnd w:id="4175"/>
      <w:r>
        <w:fldChar w:fldCharType="begin"/>
      </w:r>
      <w:r>
        <w:instrText xml:space="preserve"> XE "Office ActiveX Supplemental Information (Additional Information)" </w:instrText>
      </w:r>
      <w:r>
        <w:fldChar w:fldCharType="end"/>
      </w:r>
    </w:p>
    <w:p w:rsidR="000A156F" w:rsidRDefault="00A9721F">
      <w:r>
        <w:t>The</w:t>
      </w:r>
      <w:r>
        <w:t xml:space="preserve"> subordinate subclauses specify additional semantics written into the Embedded Control Persistence Part ("</w:t>
      </w:r>
      <w:hyperlink r:id="rId371">
        <w:r>
          <w:rPr>
            <w:rStyle w:val="Hyperlink"/>
          </w:rPr>
          <w:t>[ISO/IEC-29500-1]</w:t>
        </w:r>
      </w:hyperlink>
      <w:r>
        <w:t xml:space="preserve"> §15.2.9") used to implement ActiveX controls in a Word document.</w:t>
      </w:r>
    </w:p>
    <w:p w:rsidR="000A156F" w:rsidRDefault="00A9721F">
      <w:pPr>
        <w:pStyle w:val="Heading3"/>
      </w:pPr>
      <w:bookmarkStart w:id="4176" w:name="section_c6c425b5812d4a51a2733da7f078c036"/>
      <w:bookmarkStart w:id="4177" w:name="_Toc181685113"/>
      <w:r>
        <w:t>E</w:t>
      </w:r>
      <w:r>
        <w:t>lements</w:t>
      </w:r>
      <w:bookmarkEnd w:id="4176"/>
      <w:bookmarkEnd w:id="4177"/>
    </w:p>
    <w:p w:rsidR="000A156F" w:rsidRDefault="00A9721F">
      <w:pPr>
        <w:pStyle w:val="Heading4"/>
      </w:pPr>
      <w:bookmarkStart w:id="4178" w:name="section_22725205d8b548e98079c6cf815e6213"/>
      <w:bookmarkStart w:id="4179" w:name="_Toc181685114"/>
      <w:r>
        <w:t>font (Standard COM Font Object)</w:t>
      </w:r>
      <w:bookmarkEnd w:id="4178"/>
      <w:bookmarkEnd w:id="4179"/>
      <w:r>
        <w:fldChar w:fldCharType="begin"/>
      </w:r>
      <w:r>
        <w:instrText xml:space="preserve"> XE "font (Standard COM Font Object)" </w:instrText>
      </w:r>
      <w:r>
        <w:fldChar w:fldCharType="end"/>
      </w:r>
    </w:p>
    <w:p w:rsidR="000A156F" w:rsidRDefault="00A9721F">
      <w:r>
        <w:t>This element specifies the details of StdFont object (classid CLSID_StdFont, interface IFont) embedded in the property bag (IPersistPropertyBag interface) of an ActiveX control</w:t>
      </w:r>
      <w:r>
        <w:t>.</w:t>
      </w:r>
    </w:p>
    <w:p w:rsidR="000A156F" w:rsidRDefault="00A9721F">
      <w:r>
        <w:t xml:space="preserve">[Example: Consider a font object named "FontPropName" embedded in an ActiveX control. </w:t>
      </w:r>
    </w:p>
    <w:p w:rsidR="000A156F" w:rsidRDefault="00A9721F">
      <w:r>
        <w:t>&lt;ax:ocx ....&gt;</w:t>
      </w:r>
    </w:p>
    <w:p w:rsidR="000A156F" w:rsidRDefault="00A9721F">
      <w:r>
        <w:t xml:space="preserve">    &lt;ax:ocxPr name="FontPropName"&gt;</w:t>
      </w:r>
    </w:p>
    <w:p w:rsidR="000A156F" w:rsidRDefault="00A9721F">
      <w:r>
        <w:t xml:space="preserve">        &lt;ax:font ax:persistence="persistPropertyBag"&gt;</w:t>
      </w:r>
    </w:p>
    <w:p w:rsidR="000A156F" w:rsidRDefault="00A9721F">
      <w:r>
        <w:t xml:space="preserve">            &lt;ax:ocxPr ax:name="Name" ax:value="MS Shell Dlg"/&gt;</w:t>
      </w:r>
    </w:p>
    <w:p w:rsidR="000A156F" w:rsidRDefault="00A9721F">
      <w:r>
        <w:t xml:space="preserve">            &lt;ax:ocxPr ax:name="Size" ax:value="12"/&gt;</w:t>
      </w:r>
    </w:p>
    <w:p w:rsidR="000A156F" w:rsidRDefault="00A9721F">
      <w:r>
        <w:t xml:space="preserve">            &lt;ax:ocxPr ax:name="Charset" ax:value="0"/&gt;</w:t>
      </w:r>
    </w:p>
    <w:p w:rsidR="000A156F" w:rsidRDefault="00A9721F">
      <w:r>
        <w:t xml:space="preserve">            &lt;ax:ocxPr ax:name="Weight" ax:value="400"/&gt;</w:t>
      </w:r>
    </w:p>
    <w:p w:rsidR="000A156F" w:rsidRDefault="00A9721F">
      <w:r>
        <w:t xml:space="preserve">            &lt;ax:ocxPr ax:name="Underline" ax:value="0"/&gt;</w:t>
      </w:r>
    </w:p>
    <w:p w:rsidR="000A156F" w:rsidRDefault="00A9721F">
      <w:r>
        <w:t xml:space="preserve">            &lt;ax:ocxPr ax:name="Ital</w:t>
      </w:r>
      <w:r>
        <w:t>ic" ax:value="0"/&gt;</w:t>
      </w:r>
    </w:p>
    <w:p w:rsidR="000A156F" w:rsidRDefault="00A9721F">
      <w:r>
        <w:t xml:space="preserve">            &lt;ax:ocxPr ax:name="Strikethrough" ax:value="0"/&gt;</w:t>
      </w:r>
    </w:p>
    <w:p w:rsidR="000A156F" w:rsidRDefault="00A9721F">
      <w:r>
        <w:t xml:space="preserve">        &lt;/ax:font&gt;</w:t>
      </w:r>
    </w:p>
    <w:p w:rsidR="000A156F" w:rsidRDefault="00A9721F">
      <w:r>
        <w:t xml:space="preserve">    &lt;/ax:ocxPr&gt;    </w:t>
      </w:r>
    </w:p>
    <w:p w:rsidR="000A156F" w:rsidRDefault="00A9721F">
      <w:r>
        <w:t>&lt;/ax:ocx&gt;</w:t>
      </w:r>
    </w:p>
    <w:p w:rsidR="000A156F" w:rsidRDefault="00A9721F">
      <w:r>
        <w:t xml:space="preserve">In this example, the </w:t>
      </w:r>
      <w:r>
        <w:rPr>
          <w:b/>
        </w:rPr>
        <w:t>persistence</w:t>
      </w:r>
      <w:r>
        <w:t xml:space="preserve"> attribute specifies that various properties of the embedded font object are stored using the m</w:t>
      </w:r>
      <w:r>
        <w:t xml:space="preserve">ethod persistPropertyBag. The property bag is stored as a collection of child </w:t>
      </w:r>
      <w:r>
        <w:rPr>
          <w:b/>
        </w:rPr>
        <w:t>ocxPr</w:t>
      </w:r>
      <w:r>
        <w:t xml:space="preserve"> elements. Each </w:t>
      </w:r>
      <w:r>
        <w:rPr>
          <w:b/>
        </w:rPr>
        <w:t>ocxPr</w:t>
      </w:r>
      <w:r>
        <w:t xml:space="preserve"> element contains a single property. end example]</w:t>
      </w:r>
    </w:p>
    <w:p w:rsidR="000A156F" w:rsidRDefault="00A9721F">
      <w:r>
        <w:t>More information about the details of StdFont object can be found in the Office Forms Binary File Form</w:t>
      </w:r>
      <w:r>
        <w:t>at Structure Specification ("</w:t>
      </w:r>
      <w:hyperlink r:id="rId372"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ocxPr</w:t>
            </w:r>
            <w:r>
              <w:t xml:space="preserve"> (§</w:t>
            </w:r>
            <w:hyperlink w:anchor="Section_8d4ab600549c4dc7922c46ece32123ed">
              <w:r>
                <w:rPr>
                  <w:rStyle w:val="Hyperlink"/>
                </w:rPr>
                <w:t>3.6.1.3, ocxPr</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2201"/>
        <w:gridCol w:w="146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Child Elem</w:t>
            </w:r>
            <w:r>
              <w:t>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ocxPr</w:t>
            </w:r>
            <w:r>
              <w:t xml:space="preserve"> (Object Property)</w:t>
            </w:r>
          </w:p>
        </w:tc>
        <w:tc>
          <w:tcPr>
            <w:tcW w:w="0" w:type="auto"/>
            <w:vAlign w:val="center"/>
          </w:tcPr>
          <w:p w:rsidR="000A156F" w:rsidRDefault="00A9721F">
            <w:pPr>
              <w:pStyle w:val="TableBodyText"/>
            </w:pPr>
            <w:r>
              <w:t>§3.6.1.3, ocxPr</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175"/>
        <w:gridCol w:w="630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persistence</w:t>
            </w:r>
            <w:r>
              <w:t xml:space="preserve"> (Font Object Property Persistence Style (optional))</w:t>
            </w:r>
          </w:p>
        </w:tc>
        <w:tc>
          <w:tcPr>
            <w:tcW w:w="0" w:type="auto"/>
            <w:vAlign w:val="center"/>
          </w:tcPr>
          <w:p w:rsidR="000A156F" w:rsidRDefault="00A9721F">
            <w:pPr>
              <w:pStyle w:val="TableBodyText"/>
            </w:pPr>
            <w:r>
              <w:t>Specifies the method used to store properties of the parent element.</w:t>
            </w:r>
          </w:p>
          <w:p w:rsidR="000A156F" w:rsidRDefault="000A156F">
            <w:pPr>
              <w:pStyle w:val="TableBodyText"/>
            </w:pPr>
          </w:p>
          <w:p w:rsidR="000A156F" w:rsidRDefault="00A9721F">
            <w:pPr>
              <w:pStyle w:val="TableBodyText"/>
            </w:pPr>
            <w:r>
              <w:t xml:space="preserve">The possible values for this attribute </w:t>
            </w:r>
            <w:r>
              <w:t>are defined by the ST_Persistence simple type (§</w:t>
            </w:r>
            <w:hyperlink w:anchor="Section_6b964c2deff640fcbecc6116a4ad1458">
              <w:r>
                <w:rPr>
                  <w:rStyle w:val="Hyperlink"/>
                </w:rPr>
                <w:t>3.6.2.1, ST_Persistence</w:t>
              </w:r>
            </w:hyperlink>
            <w:r>
              <w:t>).</w:t>
            </w:r>
          </w:p>
        </w:tc>
      </w:tr>
      <w:tr w:rsidR="000A156F" w:rsidTr="000A156F">
        <w:tc>
          <w:tcPr>
            <w:tcW w:w="0" w:type="auto"/>
            <w:vAlign w:val="center"/>
          </w:tcPr>
          <w:p w:rsidR="000A156F" w:rsidRDefault="00A9721F">
            <w:pPr>
              <w:pStyle w:val="TableBodyText"/>
            </w:pPr>
            <w:r>
              <w:rPr>
                <w:b/>
              </w:rPr>
              <w:t>id</w:t>
            </w:r>
            <w:r>
              <w:t xml:space="preserve"> ()</w:t>
            </w:r>
          </w:p>
          <w:p w:rsidR="000A156F" w:rsidRDefault="000A156F">
            <w:pPr>
              <w:pStyle w:val="TableBodyText"/>
            </w:pPr>
          </w:p>
          <w:p w:rsidR="000A156F" w:rsidRDefault="00A9721F">
            <w:pPr>
              <w:pStyle w:val="TableBodyText"/>
            </w:pPr>
            <w:r>
              <w:t>Namespace: .../officeDocument/2006/relationships</w:t>
            </w:r>
          </w:p>
        </w:tc>
        <w:tc>
          <w:tcPr>
            <w:tcW w:w="0" w:type="auto"/>
            <w:vAlign w:val="center"/>
          </w:tcPr>
          <w:p w:rsidR="000A156F" w:rsidRDefault="00A9721F">
            <w:pPr>
              <w:pStyle w:val="TableBodyText"/>
            </w:pPr>
            <w:r>
              <w:t xml:space="preserve">Specifies the relationship ID of the relationship to the font </w:t>
            </w:r>
            <w:r>
              <w:t>object. The specified relationship shall be of type http://schemas.microsoft.com/office/2006/relationships/activeXControlBinary.</w:t>
            </w:r>
          </w:p>
          <w:p w:rsidR="000A156F" w:rsidRDefault="000A156F">
            <w:pPr>
              <w:pStyle w:val="TableBodyText"/>
            </w:pPr>
          </w:p>
          <w:p w:rsidR="000A156F" w:rsidRDefault="00A9721F">
            <w:pPr>
              <w:pStyle w:val="TableBodyText"/>
            </w:pPr>
            <w:r>
              <w:t>The target of the relationship points to the internal location where the persisted font data is stored using the IPersistStrea</w:t>
            </w:r>
            <w:r>
              <w:t xml:space="preserve">m, IPersistStreamInit, or IPersistStorage interface, as indicated by the </w:t>
            </w:r>
            <w:r>
              <w:rPr>
                <w:b/>
              </w:rPr>
              <w:t>persistence attribute or as determined by the default interface query sequence.</w:t>
            </w:r>
          </w:p>
          <w:p w:rsidR="000A156F" w:rsidRDefault="000A156F">
            <w:pPr>
              <w:pStyle w:val="TableBodyText"/>
            </w:pPr>
          </w:p>
          <w:p w:rsidR="000A156F" w:rsidRDefault="00A9721F">
            <w:pPr>
              <w:pStyle w:val="TableBodyText"/>
            </w:pPr>
            <w:r>
              <w:t>The possible values for this attribute are defined by the ST_RelationshipId simple type ("</w:t>
            </w:r>
            <w:hyperlink r:id="rId373">
              <w:r>
                <w:rPr>
                  <w:rStyle w:val="Hyperlink"/>
                </w:rPr>
                <w:t>[ISO/IEC-29500-1]</w:t>
              </w:r>
            </w:hyperlink>
            <w:r>
              <w:t xml:space="preserve"> §22.8.2.1").</w:t>
            </w:r>
          </w:p>
        </w:tc>
      </w:tr>
    </w:tbl>
    <w:p w:rsidR="000A156F" w:rsidRDefault="000A156F"/>
    <w:p w:rsidR="000A156F" w:rsidRDefault="00A9721F">
      <w:r>
        <w:t>The following XML Schema fragment defines the contents of this element:</w:t>
      </w:r>
    </w:p>
    <w:p w:rsidR="000A156F" w:rsidRDefault="00A9721F">
      <w:pPr>
        <w:pStyle w:val="Code"/>
      </w:pPr>
      <w:r>
        <w:t>&lt;complexType name="CT_Font"&gt;</w:t>
      </w:r>
    </w:p>
    <w:p w:rsidR="000A156F" w:rsidRDefault="00A9721F">
      <w:pPr>
        <w:pStyle w:val="Code"/>
      </w:pPr>
      <w:r>
        <w:t xml:space="preserve">  &lt;sequence&gt;</w:t>
      </w:r>
    </w:p>
    <w:p w:rsidR="000A156F" w:rsidRDefault="00A9721F">
      <w:pPr>
        <w:pStyle w:val="Code"/>
      </w:pPr>
      <w:r>
        <w:t xml:space="preserve">    &lt;element name="ocxPr" type="CT_OcxPr" minOccurs="0"</w:t>
      </w:r>
      <w:r>
        <w:t xml:space="preserve"> maxOccurs="unbounded"/&gt;</w:t>
      </w:r>
    </w:p>
    <w:p w:rsidR="000A156F" w:rsidRDefault="00A9721F">
      <w:pPr>
        <w:pStyle w:val="Code"/>
      </w:pPr>
      <w:r>
        <w:t xml:space="preserve">  &lt;/sequence&gt;</w:t>
      </w:r>
    </w:p>
    <w:p w:rsidR="000A156F" w:rsidRDefault="00A9721F">
      <w:pPr>
        <w:pStyle w:val="Code"/>
      </w:pPr>
      <w:r>
        <w:t xml:space="preserve">  &lt;attribute name="persistence" type="ST_Persistence"/&gt;</w:t>
      </w:r>
    </w:p>
    <w:p w:rsidR="000A156F" w:rsidRDefault="00A9721F">
      <w:pPr>
        <w:pStyle w:val="Code"/>
      </w:pPr>
      <w:r>
        <w:t xml:space="preserve">  &lt;attribute ref="r:id" use="optional"/&gt;</w:t>
      </w:r>
    </w:p>
    <w:p w:rsidR="000A156F" w:rsidRDefault="00A9721F">
      <w:pPr>
        <w:pStyle w:val="Code"/>
      </w:pPr>
      <w:r>
        <w:t>&lt;/complexType&gt;</w:t>
      </w:r>
    </w:p>
    <w:p w:rsidR="000A156F" w:rsidRDefault="00A9721F">
      <w:pPr>
        <w:pStyle w:val="Heading4"/>
      </w:pPr>
      <w:bookmarkStart w:id="4180" w:name="section_48c990726cf74e6984b13bea64f0ee3a"/>
      <w:bookmarkStart w:id="4181" w:name="_Toc181685115"/>
      <w:r>
        <w:t>ocx (ActiveX Control Data)</w:t>
      </w:r>
      <w:bookmarkEnd w:id="4180"/>
      <w:bookmarkEnd w:id="4181"/>
      <w:r>
        <w:fldChar w:fldCharType="begin"/>
      </w:r>
      <w:r>
        <w:instrText xml:space="preserve"> XE "ocx (ActiveX Control Data)" </w:instrText>
      </w:r>
      <w:r>
        <w:fldChar w:fldCharType="end"/>
      </w:r>
    </w:p>
    <w:p w:rsidR="000A156F" w:rsidRDefault="00A9721F">
      <w:r>
        <w:t xml:space="preserve">This element specifies various information </w:t>
      </w:r>
      <w:r>
        <w:t xml:space="preserve">of an ActiveX control embedded in a document. </w:t>
      </w:r>
    </w:p>
    <w:p w:rsidR="000A156F" w:rsidRDefault="00A9721F">
      <w:r>
        <w:t>[Note: This element does not contain placement or application extended properties. The properties stored in this element are those that the ActiveX control can use regardless of container. end note]</w:t>
      </w:r>
    </w:p>
    <w:p w:rsidR="000A156F" w:rsidRDefault="00A9721F">
      <w:r>
        <w:t xml:space="preserve">[Example: </w:t>
      </w:r>
      <w:r>
        <w:t>Consider an ActiveX control embedded in a WordprocessingML. Various pieces of information about that control will be specified using the following WordprocessingML:</w:t>
      </w:r>
    </w:p>
    <w:p w:rsidR="000A156F" w:rsidRDefault="00A9721F">
      <w:r>
        <w:t>&lt;ax:ocx ax:classid="{FDD0D569-5B7A-4E3D-820C-5C487DB7796C}" ax:persistence="persistProperty</w:t>
      </w:r>
      <w:r>
        <w:t>Bag" …&gt;</w:t>
      </w:r>
    </w:p>
    <w:p w:rsidR="000A156F" w:rsidRDefault="00A9721F">
      <w:r>
        <w:t xml:space="preserve">    &lt;ax:ocxPr ax:name="_Version" ax:value="65536"/&gt;</w:t>
      </w:r>
    </w:p>
    <w:p w:rsidR="000A156F" w:rsidRDefault="00A9721F">
      <w:r>
        <w:t xml:space="preserve">    &lt;ax:ocxPr ax:name="_ExtentX" ax:value="2646"/&gt;</w:t>
      </w:r>
    </w:p>
    <w:p w:rsidR="000A156F" w:rsidRDefault="00A9721F">
      <w:r>
        <w:t xml:space="preserve">    &lt;ax:ocxPr ax:name="_ExtentY" ax:value="1323"/&gt;</w:t>
      </w:r>
    </w:p>
    <w:p w:rsidR="000A156F" w:rsidRDefault="00A9721F">
      <w:r>
        <w:lastRenderedPageBreak/>
        <w:t xml:space="preserve">    &lt;ax:ocxPr ax:name="_StockProps" ax:value="0"/&gt;</w:t>
      </w:r>
    </w:p>
    <w:p w:rsidR="000A156F" w:rsidRDefault="00A9721F">
      <w:r>
        <w:t xml:space="preserve">    …</w:t>
      </w:r>
    </w:p>
    <w:p w:rsidR="000A156F" w:rsidRDefault="00A9721F">
      <w:r>
        <w:t>&lt;/ax:ocx&gt;</w:t>
      </w:r>
    </w:p>
    <w:p w:rsidR="000A156F" w:rsidRDefault="00A9721F">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w:t>
      </w:r>
      <w:r>
        <w:t xml:space="preserve">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ocxPr</w:t>
            </w:r>
            <w:r>
              <w:t xml:space="preserve"> (Object Property)</w:t>
            </w:r>
          </w:p>
        </w:tc>
        <w:tc>
          <w:tcPr>
            <w:tcW w:w="0" w:type="auto"/>
            <w:vAlign w:val="center"/>
          </w:tcPr>
          <w:p w:rsidR="000A156F" w:rsidRDefault="00A9721F">
            <w:pPr>
              <w:pStyle w:val="TableBodyText"/>
            </w:pPr>
            <w:r>
              <w:t>§</w:t>
            </w:r>
            <w:hyperlink w:anchor="Section_8d4ab600549c4dc7922c46ece32123ed">
              <w:r>
                <w:rPr>
                  <w:rStyle w:val="Hyperlink"/>
                </w:rPr>
                <w:t>3.6.1.3, ocxPr</w:t>
              </w:r>
            </w:hyperlink>
          </w:p>
        </w:tc>
      </w:tr>
    </w:tbl>
    <w:p w:rsidR="000A156F" w:rsidRDefault="000A156F"/>
    <w:p w:rsidR="000A156F" w:rsidRDefault="000A156F"/>
    <w:tbl>
      <w:tblPr>
        <w:tblStyle w:val="Table-ShadedHeader"/>
        <w:tblW w:w="0" w:type="auto"/>
        <w:tblLook w:val="04A0" w:firstRow="1" w:lastRow="0" w:firstColumn="1" w:lastColumn="0" w:noHBand="0" w:noVBand="1"/>
      </w:tblPr>
      <w:tblGrid>
        <w:gridCol w:w="3175"/>
        <w:gridCol w:w="630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classid</w:t>
            </w:r>
            <w:r>
              <w:t xml:space="preserve"> (ActiveX Control CLSID)</w:t>
            </w:r>
          </w:p>
        </w:tc>
        <w:tc>
          <w:tcPr>
            <w:tcW w:w="0" w:type="auto"/>
            <w:vAlign w:val="center"/>
          </w:tcPr>
          <w:p w:rsidR="000A156F" w:rsidRDefault="00A9721F">
            <w:pPr>
              <w:pStyle w:val="TableBodyText"/>
            </w:pPr>
            <w:r>
              <w:t>Specifies the GUID of the ClassID of the ActiveX control.</w:t>
            </w:r>
          </w:p>
          <w:p w:rsidR="000A156F" w:rsidRDefault="000A156F">
            <w:pPr>
              <w:pStyle w:val="TableBodyText"/>
            </w:pPr>
          </w:p>
          <w:p w:rsidR="000A156F" w:rsidRDefault="00A9721F">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0A156F" w:rsidTr="000A156F">
        <w:tc>
          <w:tcPr>
            <w:tcW w:w="0" w:type="auto"/>
            <w:vAlign w:val="center"/>
          </w:tcPr>
          <w:p w:rsidR="000A156F" w:rsidRDefault="00A9721F">
            <w:pPr>
              <w:pStyle w:val="TableBodyText"/>
            </w:pPr>
            <w:r>
              <w:rPr>
                <w:b/>
              </w:rPr>
              <w:t>license</w:t>
            </w:r>
            <w:r>
              <w:t xml:space="preserve"> (ActiveX Control License)</w:t>
            </w:r>
          </w:p>
        </w:tc>
        <w:tc>
          <w:tcPr>
            <w:tcW w:w="0" w:type="auto"/>
            <w:vAlign w:val="center"/>
          </w:tcPr>
          <w:p w:rsidR="000A156F" w:rsidRDefault="00A9721F">
            <w:pPr>
              <w:pStyle w:val="TableBodyText"/>
            </w:pPr>
            <w:r>
              <w:t>Specifies the license string for the ActiveX control. This string is retrieved from the IClassFactory2 interface of the control.</w:t>
            </w:r>
          </w:p>
          <w:p w:rsidR="000A156F" w:rsidRDefault="000A156F">
            <w:pPr>
              <w:pStyle w:val="TableBodyText"/>
            </w:pPr>
          </w:p>
          <w:p w:rsidR="000A156F" w:rsidRDefault="00A9721F">
            <w:pPr>
              <w:pStyle w:val="TableBodyText"/>
            </w:pPr>
            <w:r>
              <w:t>The possible values for this attribute are defined by the ST_String simple type (§3.6.2.2,</w:t>
            </w:r>
            <w:r>
              <w:t xml:space="preserve"> ST_String).</w:t>
            </w:r>
          </w:p>
        </w:tc>
      </w:tr>
      <w:tr w:rsidR="000A156F" w:rsidTr="000A156F">
        <w:tc>
          <w:tcPr>
            <w:tcW w:w="0" w:type="auto"/>
            <w:vAlign w:val="center"/>
          </w:tcPr>
          <w:p w:rsidR="000A156F" w:rsidRDefault="00A9721F">
            <w:pPr>
              <w:pStyle w:val="TableBodyText"/>
            </w:pPr>
            <w:r>
              <w:rPr>
                <w:b/>
              </w:rPr>
              <w:t>persistence</w:t>
            </w:r>
            <w:r>
              <w:t xml:space="preserve"> (ActiveX Control Property Persistence Style)</w:t>
            </w:r>
          </w:p>
        </w:tc>
        <w:tc>
          <w:tcPr>
            <w:tcW w:w="0" w:type="auto"/>
            <w:vAlign w:val="center"/>
          </w:tcPr>
          <w:p w:rsidR="000A156F" w:rsidRDefault="00A9721F">
            <w:pPr>
              <w:pStyle w:val="TableBodyText"/>
            </w:pPr>
            <w:r>
              <w:t xml:space="preserve">Specifies the explicit method used to persist the properties of the ActiveX control. </w:t>
            </w:r>
          </w:p>
          <w:p w:rsidR="000A156F" w:rsidRDefault="000A156F">
            <w:pPr>
              <w:pStyle w:val="TableBodyText"/>
            </w:pPr>
          </w:p>
          <w:p w:rsidR="000A156F" w:rsidRDefault="00A9721F">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0A156F" w:rsidTr="000A156F">
        <w:tc>
          <w:tcPr>
            <w:tcW w:w="0" w:type="auto"/>
            <w:vAlign w:val="center"/>
          </w:tcPr>
          <w:p w:rsidR="000A156F" w:rsidRDefault="00A9721F">
            <w:pPr>
              <w:pStyle w:val="TableBodyText"/>
            </w:pPr>
            <w:r>
              <w:rPr>
                <w:b/>
              </w:rPr>
              <w:t>id</w:t>
            </w:r>
            <w:r>
              <w:t xml:space="preserve"> (ActiveX Control Binary Data)</w:t>
            </w:r>
          </w:p>
          <w:p w:rsidR="000A156F" w:rsidRDefault="000A156F">
            <w:pPr>
              <w:pStyle w:val="TableBodyText"/>
            </w:pPr>
          </w:p>
          <w:p w:rsidR="000A156F" w:rsidRDefault="00A9721F">
            <w:pPr>
              <w:pStyle w:val="TableBodyText"/>
            </w:pPr>
            <w:r>
              <w:t>Namespace: .../officeDocument/2006/relationships</w:t>
            </w:r>
          </w:p>
        </w:tc>
        <w:tc>
          <w:tcPr>
            <w:tcW w:w="0" w:type="auto"/>
            <w:vAlign w:val="center"/>
          </w:tcPr>
          <w:p w:rsidR="000A156F" w:rsidRDefault="00A9721F">
            <w:pPr>
              <w:pStyle w:val="TableBodyText"/>
            </w:pPr>
            <w:r>
              <w:t>Specifies the relationship ID, the target of which points to the internal location where the b</w:t>
            </w:r>
            <w:r>
              <w:t xml:space="preserve">inary data part representing various properties of the ActiveX control is persisted using the </w:t>
            </w:r>
            <w:r>
              <w:rPr>
                <w:b/>
              </w:rPr>
              <w:t>persistStorage,</w:t>
            </w:r>
            <w:r>
              <w:t xml:space="preserve"> </w:t>
            </w:r>
            <w:r>
              <w:rPr>
                <w:b/>
              </w:rPr>
              <w:t>persistStream,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0A156F" w:rsidRDefault="000A156F">
            <w:pPr>
              <w:pStyle w:val="TableBodyText"/>
            </w:pPr>
          </w:p>
          <w:p w:rsidR="000A156F" w:rsidRDefault="00A9721F">
            <w:pPr>
              <w:pStyle w:val="TableBodyText"/>
            </w:pPr>
            <w:r>
              <w:t>The specified relationship shall</w:t>
            </w:r>
            <w:r>
              <w:t xml:space="preserve"> be of type http://schemas.microsoft.com/office/2006/relationships/activeXControlBinary.</w:t>
            </w:r>
          </w:p>
          <w:p w:rsidR="000A156F" w:rsidRDefault="000A156F">
            <w:pPr>
              <w:pStyle w:val="TableBodyText"/>
            </w:pPr>
          </w:p>
          <w:p w:rsidR="000A156F" w:rsidRDefault="00A9721F">
            <w:pPr>
              <w:pStyle w:val="TableBodyText"/>
            </w:pPr>
            <w:r>
              <w:t xml:space="preserve">[Note: The use of this attribute is mutually exclusive with the use of </w:t>
            </w:r>
            <w:r>
              <w:rPr>
                <w:b/>
              </w:rPr>
              <w:t>ocxPr</w:t>
            </w:r>
            <w:r>
              <w:t xml:space="preserve"> child elements. end note]</w:t>
            </w:r>
          </w:p>
          <w:p w:rsidR="000A156F" w:rsidRDefault="000A156F">
            <w:pPr>
              <w:pStyle w:val="TableBodyText"/>
            </w:pPr>
          </w:p>
          <w:p w:rsidR="000A156F" w:rsidRDefault="00A9721F">
            <w:pPr>
              <w:pStyle w:val="TableBodyText"/>
            </w:pPr>
            <w:r>
              <w:t>The possible values for this attribute are defined by the ST_R</w:t>
            </w:r>
            <w:r>
              <w:t>elationshipId simple type ("</w:t>
            </w:r>
            <w:hyperlink r:id="rId374">
              <w:r>
                <w:rPr>
                  <w:rStyle w:val="Hyperlink"/>
                </w:rPr>
                <w:t>[ISO/IEC-29500-1]</w:t>
              </w:r>
            </w:hyperlink>
            <w:r>
              <w:t xml:space="preserve"> §22.8.2.1").</w:t>
            </w:r>
          </w:p>
        </w:tc>
      </w:tr>
    </w:tbl>
    <w:p w:rsidR="000A156F" w:rsidRDefault="000A156F"/>
    <w:p w:rsidR="000A156F" w:rsidRDefault="00A9721F">
      <w:r>
        <w:t>The following XML Schema fragment defines the contents of this element:</w:t>
      </w:r>
    </w:p>
    <w:p w:rsidR="000A156F" w:rsidRDefault="00A9721F">
      <w:pPr>
        <w:pStyle w:val="Code"/>
      </w:pPr>
      <w:r>
        <w:lastRenderedPageBreak/>
        <w:t>&lt;complexType name="CT_Ocx"&gt;</w:t>
      </w:r>
    </w:p>
    <w:p w:rsidR="000A156F" w:rsidRDefault="00A9721F">
      <w:pPr>
        <w:pStyle w:val="Code"/>
      </w:pPr>
      <w:r>
        <w:t xml:space="preserve">  &lt;sequence&gt;</w:t>
      </w:r>
    </w:p>
    <w:p w:rsidR="000A156F" w:rsidRDefault="00A9721F">
      <w:pPr>
        <w:pStyle w:val="Code"/>
      </w:pPr>
      <w:r>
        <w:t xml:space="preserve">    &lt;</w:t>
      </w:r>
      <w:r>
        <w:t>element name="ocxPr" type="CT_OcxPr" minOccurs="0" maxOccurs="unbounded"/&gt;</w:t>
      </w:r>
    </w:p>
    <w:p w:rsidR="000A156F" w:rsidRDefault="00A9721F">
      <w:pPr>
        <w:pStyle w:val="Code"/>
      </w:pPr>
      <w:r>
        <w:t xml:space="preserve">  &lt;/sequence&gt;</w:t>
      </w:r>
    </w:p>
    <w:p w:rsidR="000A156F" w:rsidRDefault="00A9721F">
      <w:pPr>
        <w:pStyle w:val="Code"/>
      </w:pPr>
      <w:r>
        <w:t xml:space="preserve">  &lt;attribute name="classid" type="ST_String" use="required"/&gt;</w:t>
      </w:r>
    </w:p>
    <w:p w:rsidR="000A156F" w:rsidRDefault="00A9721F">
      <w:pPr>
        <w:pStyle w:val="Code"/>
      </w:pPr>
      <w:r>
        <w:t xml:space="preserve">  &lt;attribute name="license" type="ST_String"/&gt;</w:t>
      </w:r>
    </w:p>
    <w:p w:rsidR="000A156F" w:rsidRDefault="00A9721F">
      <w:pPr>
        <w:pStyle w:val="Code"/>
      </w:pPr>
      <w:r>
        <w:t xml:space="preserve">  &lt;attribute ref="r:id" use="optional"/&gt;</w:t>
      </w:r>
    </w:p>
    <w:p w:rsidR="000A156F" w:rsidRDefault="00A9721F">
      <w:pPr>
        <w:pStyle w:val="Code"/>
      </w:pPr>
      <w:r>
        <w:t xml:space="preserve">  &lt;attribute name</w:t>
      </w:r>
      <w:r>
        <w:t>="persistence" use="required" type="ST_Persistence"/&gt;</w:t>
      </w:r>
    </w:p>
    <w:p w:rsidR="000A156F" w:rsidRDefault="00A9721F">
      <w:pPr>
        <w:pStyle w:val="Code"/>
      </w:pPr>
      <w:r>
        <w:t>&lt;/complexType&gt;</w:t>
      </w:r>
    </w:p>
    <w:p w:rsidR="000A156F" w:rsidRDefault="00A9721F">
      <w:pPr>
        <w:pStyle w:val="Heading4"/>
      </w:pPr>
      <w:bookmarkStart w:id="4182" w:name="section_8d4ab600549c4dc7922c46ece32123ed"/>
      <w:bookmarkStart w:id="4183" w:name="_Toc181685116"/>
      <w:r>
        <w:t>ocxPr (Object Property)</w:t>
      </w:r>
      <w:bookmarkEnd w:id="4182"/>
      <w:bookmarkEnd w:id="4183"/>
      <w:r>
        <w:fldChar w:fldCharType="begin"/>
      </w:r>
      <w:r>
        <w:instrText xml:space="preserve"> XE "ocxPr (Object Property)" </w:instrText>
      </w:r>
      <w:r>
        <w:fldChar w:fldCharType="end"/>
      </w:r>
    </w:p>
    <w:p w:rsidR="000A156F" w:rsidRDefault="00A9721F">
      <w:r>
        <w:t xml:space="preserve">This element specifies the name and value of a persisting property of the parent object persisted using the method </w:t>
      </w:r>
      <w:r>
        <w:rPr>
          <w:b/>
        </w:rPr>
        <w:t xml:space="preserve">persistPropertyBag. Property values are converted into VT_BSTR using the Windows OLE API VariantChangeType() before getting stored in this element. </w:t>
      </w:r>
    </w:p>
    <w:tbl>
      <w:tblPr>
        <w:tblStyle w:val="Table-ShadedHeader"/>
        <w:tblW w:w="0" w:type="auto"/>
        <w:tblLook w:val="04A0" w:firstRow="1" w:lastRow="0" w:firstColumn="1" w:lastColumn="0" w:noHBand="0" w:noVBand="1"/>
      </w:tblPr>
      <w:tblGrid>
        <w:gridCol w:w="362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r>
              <w:t>(§</w:t>
            </w:r>
            <w:hyperlink w:anchor="Section_48c990726cf74e6984b13bea64f0ee3a">
              <w:r>
                <w:rPr>
                  <w:rStyle w:val="Hyperlink"/>
                </w:rPr>
                <w:t>3.6.1.2, ocx</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414"/>
        <w:gridCol w:w="158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font</w:t>
            </w:r>
            <w:r>
              <w:t xml:space="preserve"> (Standard COM Font Object)</w:t>
            </w:r>
          </w:p>
        </w:tc>
        <w:tc>
          <w:tcPr>
            <w:tcW w:w="0" w:type="auto"/>
            <w:vAlign w:val="center"/>
          </w:tcPr>
          <w:p w:rsidR="000A156F" w:rsidRDefault="00A9721F">
            <w:pPr>
              <w:pStyle w:val="TableBodyText"/>
            </w:pPr>
            <w:r>
              <w:t>§3.6.1.1, font</w:t>
            </w:r>
          </w:p>
        </w:tc>
      </w:tr>
      <w:tr w:rsidR="000A156F" w:rsidTr="000A156F">
        <w:tc>
          <w:tcPr>
            <w:tcW w:w="0" w:type="auto"/>
            <w:vAlign w:val="center"/>
          </w:tcPr>
          <w:p w:rsidR="000A156F" w:rsidRDefault="00A9721F">
            <w:pPr>
              <w:pStyle w:val="TableBodyText"/>
            </w:pPr>
            <w:r>
              <w:rPr>
                <w:b/>
              </w:rPr>
              <w:t>picture</w:t>
            </w:r>
            <w:r>
              <w:t xml:space="preserve"> (Standard COM Picture Object)</w:t>
            </w:r>
          </w:p>
        </w:tc>
        <w:tc>
          <w:tcPr>
            <w:tcW w:w="0" w:type="auto"/>
            <w:vAlign w:val="center"/>
          </w:tcPr>
          <w:p w:rsidR="000A156F" w:rsidRDefault="00A9721F">
            <w:pPr>
              <w:pStyle w:val="TableBodyText"/>
            </w:pPr>
            <w:r>
              <w:t>§</w:t>
            </w:r>
            <w:hyperlink w:anchor="Section_5499d4e25dcc4a22ab780ea8a5bb50ee">
              <w:r>
                <w:rPr>
                  <w:rStyle w:val="Hyperlink"/>
                </w:rPr>
                <w:t>3.6.1.4, picture</w:t>
              </w:r>
            </w:hyperlink>
          </w:p>
        </w:tc>
      </w:tr>
    </w:tbl>
    <w:p w:rsidR="000A156F" w:rsidRDefault="000A156F"/>
    <w:p w:rsidR="000A156F" w:rsidRDefault="000A156F"/>
    <w:tbl>
      <w:tblPr>
        <w:tblStyle w:val="Table-ShadedHeader"/>
        <w:tblW w:w="0" w:type="auto"/>
        <w:tblLook w:val="04A0" w:firstRow="1" w:lastRow="0" w:firstColumn="1" w:lastColumn="0" w:noHBand="0" w:noVBand="1"/>
      </w:tblPr>
      <w:tblGrid>
        <w:gridCol w:w="1828"/>
        <w:gridCol w:w="764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name</w:t>
            </w:r>
            <w:r>
              <w:t xml:space="preserve"> (ActiveX Control Property Name)</w:t>
            </w:r>
          </w:p>
        </w:tc>
        <w:tc>
          <w:tcPr>
            <w:tcW w:w="0" w:type="auto"/>
            <w:vAlign w:val="center"/>
          </w:tcPr>
          <w:p w:rsidR="000A156F" w:rsidRDefault="00A9721F">
            <w:pPr>
              <w:pStyle w:val="TableBodyText"/>
            </w:pPr>
            <w:r>
              <w:t>Specifies the name of the property. This name shall be unique in its collection.</w:t>
            </w:r>
          </w:p>
          <w:p w:rsidR="000A156F" w:rsidRDefault="000A156F">
            <w:pPr>
              <w:pStyle w:val="TableBodyText"/>
            </w:pPr>
          </w:p>
          <w:p w:rsidR="000A156F" w:rsidRDefault="00A9721F">
            <w:pPr>
              <w:pStyle w:val="TableBodyText"/>
            </w:pPr>
            <w:r>
              <w:t>The possible values for this att</w:t>
            </w:r>
            <w:r>
              <w:t>ribute are defined by the ST_String simple type (§</w:t>
            </w:r>
            <w:hyperlink w:anchor="Section_41d18506311343d991c44b4bb652115c">
              <w:r>
                <w:rPr>
                  <w:rStyle w:val="Hyperlink"/>
                </w:rPr>
                <w:t>3.6.2.2, ST_String</w:t>
              </w:r>
            </w:hyperlink>
            <w:r>
              <w:t>).</w:t>
            </w:r>
          </w:p>
        </w:tc>
      </w:tr>
      <w:tr w:rsidR="000A156F" w:rsidTr="000A156F">
        <w:tc>
          <w:tcPr>
            <w:tcW w:w="0" w:type="auto"/>
            <w:vAlign w:val="center"/>
          </w:tcPr>
          <w:p w:rsidR="000A156F" w:rsidRDefault="00A9721F">
            <w:pPr>
              <w:pStyle w:val="TableBodyText"/>
            </w:pPr>
            <w:r>
              <w:rPr>
                <w:b/>
              </w:rPr>
              <w:t>value</w:t>
            </w:r>
            <w:r>
              <w:t xml:space="preserve"> (ActiveX Control Property Value)</w:t>
            </w:r>
          </w:p>
        </w:tc>
        <w:tc>
          <w:tcPr>
            <w:tcW w:w="0" w:type="auto"/>
            <w:vAlign w:val="center"/>
          </w:tcPr>
          <w:p w:rsidR="000A156F" w:rsidRDefault="00A9721F">
            <w:pPr>
              <w:pStyle w:val="TableBodyText"/>
            </w:pPr>
            <w:r>
              <w:t>Specifies the value of the property. The actual p</w:t>
            </w:r>
            <w:r>
              <w:rPr>
                <w:b/>
              </w:rPr>
              <w:t>roperty values are converted into</w:t>
            </w:r>
            <w:r>
              <w:rPr>
                <w:b/>
              </w:rPr>
              <w:t xml:space="preserve"> VT_BSTR using the Windows OLE API VariantChangeType() before getting stored in this element. And corresponding string is stored as the value.</w:t>
            </w:r>
          </w:p>
          <w:p w:rsidR="000A156F" w:rsidRDefault="000A156F">
            <w:pPr>
              <w:pStyle w:val="TableBodyText"/>
            </w:pPr>
          </w:p>
          <w:p w:rsidR="000A156F" w:rsidRDefault="00A9721F">
            <w:pPr>
              <w:pStyle w:val="TableBodyText"/>
            </w:pPr>
            <w:r>
              <w:t>This is attribute is only permitted for ocxPr elements (§3.6.1.3, ocxPr) without a font (§3.6.1.1, font) or pict</w:t>
            </w:r>
            <w:r>
              <w:t>ure sub-element (§3.6.1.4, picture).</w:t>
            </w:r>
          </w:p>
          <w:p w:rsidR="000A156F" w:rsidRDefault="000A156F">
            <w:pPr>
              <w:pStyle w:val="TableBodyText"/>
            </w:pPr>
          </w:p>
          <w:p w:rsidR="000A156F" w:rsidRDefault="00A9721F">
            <w:pPr>
              <w:pStyle w:val="TableBodyText"/>
            </w:pPr>
            <w:r>
              <w:t>The possible values for this attribute are defined by the ST_String simple type (§3.6.2.2, ST_String).</w:t>
            </w:r>
          </w:p>
        </w:tc>
      </w:tr>
    </w:tbl>
    <w:p w:rsidR="000A156F" w:rsidRDefault="000A156F"/>
    <w:p w:rsidR="000A156F" w:rsidRDefault="00A9721F">
      <w:r>
        <w:t>The following XML Schema fragment defines the contents of this element:</w:t>
      </w:r>
    </w:p>
    <w:p w:rsidR="000A156F" w:rsidRDefault="00A9721F">
      <w:pPr>
        <w:pStyle w:val="Code"/>
      </w:pPr>
      <w:r>
        <w:t>&lt;complexType name="CT_OcxPr"&gt;</w:t>
      </w:r>
    </w:p>
    <w:p w:rsidR="000A156F" w:rsidRDefault="00A9721F">
      <w:pPr>
        <w:pStyle w:val="Code"/>
      </w:pPr>
      <w:r>
        <w:t xml:space="preserve">  &lt;sequence</w:t>
      </w:r>
      <w:r>
        <w:t>&gt;</w:t>
      </w:r>
    </w:p>
    <w:p w:rsidR="000A156F" w:rsidRDefault="00A9721F">
      <w:pPr>
        <w:pStyle w:val="Code"/>
      </w:pPr>
      <w:r>
        <w:t xml:space="preserve">    &lt;choice&gt;</w:t>
      </w:r>
    </w:p>
    <w:p w:rsidR="000A156F" w:rsidRDefault="00A9721F">
      <w:pPr>
        <w:pStyle w:val="Code"/>
      </w:pPr>
      <w:r>
        <w:lastRenderedPageBreak/>
        <w:t xml:space="preserve">      &lt;element name="font" type="CT_Font" maxOccurs="1" minOccurs="0"/&gt;</w:t>
      </w:r>
    </w:p>
    <w:p w:rsidR="000A156F" w:rsidRDefault="00A9721F">
      <w:pPr>
        <w:pStyle w:val="Code"/>
      </w:pPr>
      <w:r>
        <w:t xml:space="preserve">      &lt;element name="picture" type="CT_Picture" maxOccurs="1" minOccurs="0"/&gt;</w:t>
      </w:r>
    </w:p>
    <w:p w:rsidR="000A156F" w:rsidRDefault="00A9721F">
      <w:pPr>
        <w:pStyle w:val="Code"/>
      </w:pPr>
      <w:r>
        <w:t xml:space="preserve">    &lt;/choice&gt;</w:t>
      </w:r>
    </w:p>
    <w:p w:rsidR="000A156F" w:rsidRDefault="00A9721F">
      <w:pPr>
        <w:pStyle w:val="Code"/>
      </w:pPr>
      <w:r>
        <w:t xml:space="preserve">  &lt;/sequence&gt;</w:t>
      </w:r>
    </w:p>
    <w:p w:rsidR="000A156F" w:rsidRDefault="00A9721F">
      <w:pPr>
        <w:pStyle w:val="Code"/>
      </w:pPr>
      <w:r>
        <w:t xml:space="preserve">  &lt;attribute name="name" type="ST_String" use="required"/&gt;</w:t>
      </w:r>
    </w:p>
    <w:p w:rsidR="000A156F" w:rsidRDefault="00A9721F">
      <w:pPr>
        <w:pStyle w:val="Code"/>
      </w:pPr>
      <w:r>
        <w:t xml:space="preserve">  &lt;a</w:t>
      </w:r>
      <w:r>
        <w:t>ttribute name="value" type="ST_String"/&gt;</w:t>
      </w:r>
    </w:p>
    <w:p w:rsidR="000A156F" w:rsidRDefault="00A9721F">
      <w:pPr>
        <w:pStyle w:val="Code"/>
      </w:pPr>
      <w:r>
        <w:t>&lt;/complexType&gt;</w:t>
      </w:r>
    </w:p>
    <w:p w:rsidR="000A156F" w:rsidRDefault="00A9721F">
      <w:pPr>
        <w:pStyle w:val="Heading4"/>
      </w:pPr>
      <w:bookmarkStart w:id="4184" w:name="section_5499d4e25dcc4a22ab780ea8a5bb50ee"/>
      <w:bookmarkStart w:id="4185" w:name="_Toc181685117"/>
      <w:r>
        <w:t>picture (Standard COM Picture Object)</w:t>
      </w:r>
      <w:bookmarkEnd w:id="4184"/>
      <w:bookmarkEnd w:id="4185"/>
      <w:r>
        <w:fldChar w:fldCharType="begin"/>
      </w:r>
      <w:r>
        <w:instrText xml:space="preserve"> XE "picture (Standard COM Picture Object)" </w:instrText>
      </w:r>
      <w:r>
        <w:fldChar w:fldCharType="end"/>
      </w:r>
    </w:p>
    <w:p w:rsidR="000A156F" w:rsidRDefault="00A9721F">
      <w:r>
        <w:t>This element specifies the properties of the StdPicture (classid CLSID_StdPicture, interface IPicture) object embedd</w:t>
      </w:r>
      <w:r>
        <w:t>ed in the property bag (IPersistPropertyBag interface) of an ActiveX control.</w:t>
      </w:r>
    </w:p>
    <w:p w:rsidR="000A156F" w:rsidRDefault="00A9721F">
      <w:r>
        <w:t xml:space="preserve"> [Example: Consider an embedded picture object named "PicturePropName" embedded in an ActiveX control. </w:t>
      </w:r>
    </w:p>
    <w:p w:rsidR="000A156F" w:rsidRDefault="00A9721F">
      <w:r>
        <w:t>&lt;ax:ocx ...&gt;</w:t>
      </w:r>
    </w:p>
    <w:p w:rsidR="000A156F" w:rsidRDefault="00A9721F">
      <w:r>
        <w:t xml:space="preserve">    &lt;ax:ocxPr ax:name="PicturePropName"&gt;</w:t>
      </w:r>
    </w:p>
    <w:p w:rsidR="000A156F" w:rsidRDefault="00A9721F">
      <w:r>
        <w:t xml:space="preserve">        &lt;</w:t>
      </w:r>
      <w:r>
        <w:t>ax:picture r:id="rId1"/&gt;</w:t>
      </w:r>
    </w:p>
    <w:p w:rsidR="000A156F" w:rsidRDefault="00A9721F">
      <w:r>
        <w:t xml:space="preserve">    &lt;/ax:ocxPr&gt;</w:t>
      </w:r>
    </w:p>
    <w:p w:rsidR="000A156F" w:rsidRDefault="00A9721F">
      <w:r>
        <w:t>&lt;/ax:ocx&gt;</w:t>
      </w:r>
    </w:p>
    <w:p w:rsidR="000A156F" w:rsidRDefault="00A9721F">
      <w:r>
        <w:t xml:space="preserve">This example specifies that binary data representing the picture object can be found at the internal location pointed to by the relation </w:t>
      </w:r>
      <w:r>
        <w:rPr>
          <w:i/>
        </w:rPr>
        <w:t>rID1</w:t>
      </w:r>
      <w:r>
        <w:t>, and the data is persisted using an IPersist-derived interface.</w:t>
      </w:r>
      <w:r>
        <w:t xml:space="preserve"> end example]</w:t>
      </w:r>
    </w:p>
    <w:p w:rsidR="000A156F" w:rsidRDefault="00A9721F">
      <w:r>
        <w:t>More information about the details of the StdPicture object can be found in the Office Forms Binary File Format Structure Specification ("</w:t>
      </w:r>
      <w:hyperlink r:id="rId375" w:anchor="Section_9c79701a8c3e4429a139b60ac3a1d50a">
        <w:r>
          <w:rPr>
            <w:rStyle w:val="Hyperlink"/>
          </w:rPr>
          <w:t>[MS-OFORMS]</w:t>
        </w:r>
      </w:hyperlink>
      <w:r>
        <w:t xml:space="preserve"> Section 2.4</w:t>
      </w:r>
      <w:r>
        <w:t>.5").</w:t>
      </w:r>
    </w:p>
    <w:tbl>
      <w:tblPr>
        <w:tblStyle w:val="Table-ShadedHeader"/>
        <w:tblW w:w="0" w:type="auto"/>
        <w:tblLook w:val="04A0" w:firstRow="1" w:lastRow="0" w:firstColumn="1" w:lastColumn="0" w:noHBand="0" w:noVBand="1"/>
      </w:tblPr>
      <w:tblGrid>
        <w:gridCol w:w="217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ocxPr</w:t>
            </w:r>
            <w:r>
              <w:t xml:space="preserve"> (§</w:t>
            </w:r>
            <w:hyperlink w:anchor="Section_8d4ab600549c4dc7922c46ece32123ed">
              <w:r>
                <w:rPr>
                  <w:rStyle w:val="Hyperlink"/>
                </w:rPr>
                <w:t>3.6.1.3, ocxPr</w:t>
              </w:r>
            </w:hyperlink>
            <w:r>
              <w: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175"/>
        <w:gridCol w:w="630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Attributes</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id</w:t>
            </w:r>
            <w:r>
              <w:t xml:space="preserve"> ()</w:t>
            </w:r>
          </w:p>
          <w:p w:rsidR="000A156F" w:rsidRDefault="000A156F">
            <w:pPr>
              <w:pStyle w:val="TableBodyText"/>
            </w:pPr>
          </w:p>
          <w:p w:rsidR="000A156F" w:rsidRDefault="00A9721F">
            <w:pPr>
              <w:pStyle w:val="TableBodyText"/>
            </w:pPr>
            <w:r>
              <w:t>Namespace: .../officeDocument/2006/relationships</w:t>
            </w:r>
          </w:p>
        </w:tc>
        <w:tc>
          <w:tcPr>
            <w:tcW w:w="0" w:type="auto"/>
            <w:vAlign w:val="center"/>
          </w:tcPr>
          <w:p w:rsidR="000A156F" w:rsidRDefault="00A9721F">
            <w:pPr>
              <w:pStyle w:val="TableBodyText"/>
            </w:pPr>
            <w:r>
              <w:t xml:space="preserve">Specifies the relationship ID of the relationship to the </w:t>
            </w:r>
            <w:r>
              <w:t>picture. The specified relationship shall be of type http://schemas.microsoft.com/office/2006/relationships/activeXControlBinary.</w:t>
            </w:r>
          </w:p>
          <w:p w:rsidR="000A156F" w:rsidRDefault="000A156F">
            <w:pPr>
              <w:pStyle w:val="TableBodyText"/>
            </w:pPr>
          </w:p>
          <w:p w:rsidR="000A156F" w:rsidRDefault="00A9721F">
            <w:pPr>
              <w:pStyle w:val="TableBodyText"/>
            </w:pPr>
            <w:r>
              <w:t>The target of the relationship point to the internal location where the persisted picture data is stored using the IPersist i</w:t>
            </w:r>
            <w:r>
              <w:t>nterface.</w:t>
            </w:r>
          </w:p>
          <w:p w:rsidR="000A156F" w:rsidRDefault="000A156F">
            <w:pPr>
              <w:pStyle w:val="TableBodyText"/>
            </w:pPr>
          </w:p>
          <w:p w:rsidR="000A156F" w:rsidRDefault="00A9721F">
            <w:pPr>
              <w:pStyle w:val="TableBodyText"/>
            </w:pPr>
            <w:r>
              <w:t>The possible values for this attribute are defined by the ST_RelationshipId simple type ("</w:t>
            </w:r>
            <w:hyperlink r:id="rId376">
              <w:r>
                <w:rPr>
                  <w:rStyle w:val="Hyperlink"/>
                </w:rPr>
                <w:t>[ISO/IEC-29500-1]</w:t>
              </w:r>
            </w:hyperlink>
            <w:r>
              <w:t xml:space="preserve"> §22.8.2.1").</w:t>
            </w:r>
          </w:p>
        </w:tc>
      </w:tr>
    </w:tbl>
    <w:p w:rsidR="000A156F" w:rsidRDefault="000A156F"/>
    <w:p w:rsidR="000A156F" w:rsidRDefault="00A9721F">
      <w:r>
        <w:t>The following XML Schema fragment defines the contents o</w:t>
      </w:r>
      <w:r>
        <w:t>f this element:</w:t>
      </w:r>
    </w:p>
    <w:p w:rsidR="000A156F" w:rsidRDefault="00A9721F">
      <w:pPr>
        <w:pStyle w:val="Code"/>
      </w:pPr>
      <w:r>
        <w:lastRenderedPageBreak/>
        <w:t>&lt;complexType name="CT_Picture"&gt;</w:t>
      </w:r>
    </w:p>
    <w:p w:rsidR="000A156F" w:rsidRDefault="00A9721F">
      <w:pPr>
        <w:pStyle w:val="Code"/>
      </w:pPr>
      <w:r>
        <w:t xml:space="preserve">  &lt;attribute ref="r:id"/&gt;</w:t>
      </w:r>
    </w:p>
    <w:p w:rsidR="000A156F" w:rsidRDefault="00A9721F">
      <w:pPr>
        <w:pStyle w:val="Code"/>
      </w:pPr>
      <w:r>
        <w:t>&lt;/complexType&gt;</w:t>
      </w:r>
    </w:p>
    <w:p w:rsidR="000A156F" w:rsidRDefault="00A9721F">
      <w:pPr>
        <w:pStyle w:val="Heading3"/>
      </w:pPr>
      <w:bookmarkStart w:id="4186" w:name="section_400616b7500d47efae7ea5970329dfe1"/>
      <w:bookmarkStart w:id="4187" w:name="_Toc181685118"/>
      <w:r>
        <w:t>Simple Types</w:t>
      </w:r>
      <w:bookmarkEnd w:id="4186"/>
      <w:bookmarkEnd w:id="4187"/>
      <w:r>
        <w:fldChar w:fldCharType="begin"/>
      </w:r>
      <w:r>
        <w:instrText xml:space="preserve"> XE "Simple Types" </w:instrText>
      </w:r>
      <w:r>
        <w:fldChar w:fldCharType="end"/>
      </w:r>
    </w:p>
    <w:p w:rsidR="000A156F" w:rsidRDefault="00A9721F">
      <w:r>
        <w:t>This is the complete list of simple types in the http://schemas.microsoft.com/office/2006/activeX namespace.</w:t>
      </w:r>
    </w:p>
    <w:p w:rsidR="000A156F" w:rsidRDefault="00A9721F">
      <w:pPr>
        <w:pStyle w:val="Heading4"/>
      </w:pPr>
      <w:bookmarkStart w:id="4188" w:name="section_6b964c2deff640fcbecc6116a4ad1458"/>
      <w:bookmarkStart w:id="4189" w:name="_Toc181685119"/>
      <w:r>
        <w:t xml:space="preserve">ST_Persistence (Control </w:t>
      </w:r>
      <w:r>
        <w:t>Persistence Attribute Contents)</w:t>
      </w:r>
      <w:bookmarkEnd w:id="4188"/>
      <w:bookmarkEnd w:id="4189"/>
      <w:r>
        <w:fldChar w:fldCharType="begin"/>
      </w:r>
      <w:r>
        <w:instrText xml:space="preserve"> XE "ST_Persistence (Control Persistence Attribute Contents)" </w:instrText>
      </w:r>
      <w:r>
        <w:fldChar w:fldCharType="end"/>
      </w:r>
    </w:p>
    <w:p w:rsidR="000A156F" w:rsidRDefault="00A9721F">
      <w:r>
        <w:t>This simple type specifies the persistence method to persist an ActiveX control.</w:t>
      </w:r>
    </w:p>
    <w:p w:rsidR="000A156F" w:rsidRDefault="00A9721F">
      <w:r>
        <w:t>This simple type's contents are a restriction of the ST_String datatype (§</w:t>
      </w:r>
      <w:hyperlink w:anchor="Section_41d18506311343d991c44b4bb652115c">
        <w:r>
          <w:rPr>
            <w:rStyle w:val="Hyperlink"/>
          </w:rPr>
          <w:t>3.6.2.2, ST_String</w:t>
        </w:r>
      </w:hyperlink>
      <w:r>
        <w:t>).</w:t>
      </w:r>
    </w:p>
    <w:p w:rsidR="000A156F" w:rsidRDefault="00A9721F">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persistPropertyBag</w:t>
            </w:r>
            <w:r>
              <w:t xml:space="preserve"> (Control uses IPersistPropertyBag)</w:t>
            </w:r>
          </w:p>
        </w:tc>
        <w:tc>
          <w:tcPr>
            <w:tcW w:w="0" w:type="auto"/>
            <w:vAlign w:val="center"/>
          </w:tcPr>
          <w:p w:rsidR="000A156F" w:rsidRDefault="00A9721F">
            <w:pPr>
              <w:pStyle w:val="TableBodyText"/>
            </w:pPr>
            <w:r>
              <w:t>Specifies that the data is s</w:t>
            </w:r>
            <w:r>
              <w:t>tored using the IPersistPropertyBag interface.</w:t>
            </w:r>
          </w:p>
          <w:p w:rsidR="000A156F" w:rsidRDefault="000A156F">
            <w:pPr>
              <w:pStyle w:val="TableBodyText"/>
            </w:pPr>
          </w:p>
          <w:p w:rsidR="000A156F" w:rsidRDefault="00A9721F">
            <w:pPr>
              <w:pStyle w:val="TableBodyText"/>
            </w:pPr>
            <w:r>
              <w:t xml:space="preserve">If this value is used, then a child </w:t>
            </w:r>
            <w:r>
              <w:rPr>
                <w:b/>
              </w:rPr>
              <w:t>ocxPr</w:t>
            </w:r>
            <w:r>
              <w:t xml:space="preserve"> element shall appear within the parent element.</w:t>
            </w:r>
          </w:p>
        </w:tc>
      </w:tr>
      <w:tr w:rsidR="000A156F" w:rsidTr="000A156F">
        <w:tc>
          <w:tcPr>
            <w:tcW w:w="0" w:type="auto"/>
            <w:vAlign w:val="center"/>
          </w:tcPr>
          <w:p w:rsidR="000A156F" w:rsidRDefault="00A9721F">
            <w:pPr>
              <w:pStyle w:val="TableBodyText"/>
            </w:pPr>
            <w:r>
              <w:rPr>
                <w:b/>
              </w:rPr>
              <w:t>persistStorage</w:t>
            </w:r>
            <w:r>
              <w:t xml:space="preserve"> (Control uses IPersistStorage)</w:t>
            </w:r>
          </w:p>
        </w:tc>
        <w:tc>
          <w:tcPr>
            <w:tcW w:w="0" w:type="auto"/>
            <w:vAlign w:val="center"/>
          </w:tcPr>
          <w:p w:rsidR="000A156F" w:rsidRDefault="00A9721F">
            <w:pPr>
              <w:pStyle w:val="TableBodyText"/>
            </w:pPr>
            <w:r>
              <w:t>Specifies that the data is stored using the IPersistStorage interface.</w:t>
            </w:r>
          </w:p>
          <w:p w:rsidR="000A156F" w:rsidRDefault="000A156F">
            <w:pPr>
              <w:pStyle w:val="TableBodyText"/>
            </w:pPr>
          </w:p>
          <w:p w:rsidR="000A156F" w:rsidRDefault="00A9721F">
            <w:pPr>
              <w:pStyle w:val="TableBodyText"/>
            </w:pPr>
            <w:r>
              <w:t xml:space="preserve">If this value is used, then the parent element's </w:t>
            </w:r>
            <w:r>
              <w:rPr>
                <w:b/>
              </w:rPr>
              <w:t>id</w:t>
            </w:r>
            <w:r>
              <w:t xml:space="preserve"> attribute shall reference a relationship storing the necessary binary data. </w:t>
            </w:r>
          </w:p>
        </w:tc>
      </w:tr>
      <w:tr w:rsidR="000A156F" w:rsidTr="000A156F">
        <w:tc>
          <w:tcPr>
            <w:tcW w:w="0" w:type="auto"/>
            <w:vAlign w:val="center"/>
          </w:tcPr>
          <w:p w:rsidR="000A156F" w:rsidRDefault="00A9721F">
            <w:pPr>
              <w:pStyle w:val="TableBodyText"/>
            </w:pPr>
            <w:r>
              <w:rPr>
                <w:b/>
              </w:rPr>
              <w:t>persistStream</w:t>
            </w:r>
            <w:r>
              <w:t xml:space="preserve"> (Control uses IPersistStream)</w:t>
            </w:r>
          </w:p>
        </w:tc>
        <w:tc>
          <w:tcPr>
            <w:tcW w:w="0" w:type="auto"/>
            <w:vAlign w:val="center"/>
          </w:tcPr>
          <w:p w:rsidR="000A156F" w:rsidRDefault="00A9721F">
            <w:pPr>
              <w:pStyle w:val="TableBodyText"/>
            </w:pPr>
            <w:r>
              <w:t>Specifies that the data is stored using the IPersistStream interface.</w:t>
            </w:r>
          </w:p>
          <w:p w:rsidR="000A156F" w:rsidRDefault="000A156F">
            <w:pPr>
              <w:pStyle w:val="TableBodyText"/>
            </w:pPr>
          </w:p>
          <w:p w:rsidR="000A156F" w:rsidRDefault="00A9721F">
            <w:pPr>
              <w:pStyle w:val="TableBodyText"/>
            </w:pPr>
            <w:r>
              <w:t xml:space="preserve">If this value is used, then the parent element's </w:t>
            </w:r>
            <w:r>
              <w:rPr>
                <w:b/>
              </w:rPr>
              <w:t>id</w:t>
            </w:r>
            <w:r>
              <w:t xml:space="preserve"> attribute shall reference a relationship storing the necessary binary data.</w:t>
            </w:r>
          </w:p>
        </w:tc>
      </w:tr>
      <w:tr w:rsidR="000A156F" w:rsidTr="000A156F">
        <w:tc>
          <w:tcPr>
            <w:tcW w:w="0" w:type="auto"/>
            <w:vAlign w:val="center"/>
          </w:tcPr>
          <w:p w:rsidR="000A156F" w:rsidRDefault="00A9721F">
            <w:pPr>
              <w:pStyle w:val="TableBodyText"/>
            </w:pPr>
            <w:r>
              <w:rPr>
                <w:b/>
              </w:rPr>
              <w:t>persistStreamInit</w:t>
            </w:r>
            <w:r>
              <w:t xml:space="preserve"> (Control uses IPersistStreamInit)</w:t>
            </w:r>
          </w:p>
        </w:tc>
        <w:tc>
          <w:tcPr>
            <w:tcW w:w="0" w:type="auto"/>
            <w:vAlign w:val="center"/>
          </w:tcPr>
          <w:p w:rsidR="000A156F" w:rsidRDefault="00A9721F">
            <w:pPr>
              <w:pStyle w:val="TableBodyText"/>
            </w:pPr>
            <w:r>
              <w:t>Specifies that the data is stored using the IPersistStreamInit interface.</w:t>
            </w:r>
          </w:p>
          <w:p w:rsidR="000A156F" w:rsidRDefault="000A156F">
            <w:pPr>
              <w:pStyle w:val="TableBodyText"/>
            </w:pPr>
          </w:p>
          <w:p w:rsidR="000A156F" w:rsidRDefault="00A9721F">
            <w:pPr>
              <w:pStyle w:val="TableBodyText"/>
            </w:pPr>
            <w:r>
              <w:t xml:space="preserve">If this value is used, then the parent element's </w:t>
            </w:r>
            <w:r>
              <w:rPr>
                <w:b/>
              </w:rPr>
              <w:t>id</w:t>
            </w:r>
            <w:r>
              <w:t xml:space="preserve"> attribute shall reference a relationship storing the necessary binary data.</w:t>
            </w:r>
          </w:p>
        </w:tc>
      </w:tr>
    </w:tbl>
    <w:p w:rsidR="000A156F" w:rsidRDefault="000A156F"/>
    <w:p w:rsidR="000A156F" w:rsidRDefault="000A156F"/>
    <w:tbl>
      <w:tblPr>
        <w:tblStyle w:val="Table-ShadedHeader"/>
        <w:tblW w:w="0" w:type="auto"/>
        <w:tblLook w:val="04A0" w:firstRow="1" w:lastRow="0" w:firstColumn="1" w:lastColumn="0" w:noHBand="0" w:noVBand="1"/>
      </w:tblPr>
      <w:tblGrid>
        <w:gridCol w:w="6006"/>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w:t>
            </w:r>
            <w:r>
              <w:rPr>
                <w:b/>
              </w:rPr>
              <w:t>nce</w:t>
            </w:r>
            <w:r>
              <w:t xml:space="preserve"> (§</w:t>
            </w:r>
            <w:hyperlink w:anchor="Section_48c990726cf74e6984b13bea64f0ee3a">
              <w:r>
                <w:rPr>
                  <w:rStyle w:val="Hyperlink"/>
                </w:rPr>
                <w:t>3.6.1.2, ocx</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name="ST_Persistence"&gt;</w:t>
      </w:r>
    </w:p>
    <w:p w:rsidR="000A156F" w:rsidRDefault="00A9721F">
      <w:pPr>
        <w:pStyle w:val="Code"/>
      </w:pPr>
      <w:r>
        <w:t xml:space="preserve">  &lt;restriction base="ST_String"&gt;</w:t>
      </w:r>
    </w:p>
    <w:p w:rsidR="000A156F" w:rsidRDefault="00A9721F">
      <w:pPr>
        <w:pStyle w:val="Code"/>
      </w:pPr>
      <w:r>
        <w:t xml:space="preserve">    &lt;</w:t>
      </w:r>
      <w:r>
        <w:t>enumeration value="persistPropertyBag"/&gt;</w:t>
      </w:r>
    </w:p>
    <w:p w:rsidR="000A156F" w:rsidRDefault="00A9721F">
      <w:pPr>
        <w:pStyle w:val="Code"/>
      </w:pPr>
      <w:r>
        <w:t xml:space="preserve">    &lt;enumeration value="persistStream"/&gt;</w:t>
      </w:r>
    </w:p>
    <w:p w:rsidR="000A156F" w:rsidRDefault="00A9721F">
      <w:pPr>
        <w:pStyle w:val="Code"/>
      </w:pPr>
      <w:r>
        <w:t xml:space="preserve">    &lt;enumeration value="persistStreamInit"/&gt;</w:t>
      </w:r>
    </w:p>
    <w:p w:rsidR="000A156F" w:rsidRDefault="00A9721F">
      <w:pPr>
        <w:pStyle w:val="Code"/>
      </w:pPr>
      <w:r>
        <w:t xml:space="preserve">    &lt;enumeration value="persistStorage"/&gt;</w:t>
      </w:r>
    </w:p>
    <w:p w:rsidR="000A156F" w:rsidRDefault="00A9721F">
      <w:pPr>
        <w:pStyle w:val="Code"/>
      </w:pPr>
      <w:r>
        <w:lastRenderedPageBreak/>
        <w:t xml:space="preserve">  &lt;/restriction&gt;</w:t>
      </w:r>
    </w:p>
    <w:p w:rsidR="000A156F" w:rsidRDefault="00A9721F">
      <w:pPr>
        <w:pStyle w:val="Code"/>
      </w:pPr>
      <w:r>
        <w:t>&lt;/simpleType&gt;</w:t>
      </w:r>
    </w:p>
    <w:p w:rsidR="000A156F" w:rsidRDefault="00A9721F">
      <w:pPr>
        <w:pStyle w:val="Heading4"/>
      </w:pPr>
      <w:bookmarkStart w:id="4190" w:name="section_41d18506311343d991c44b4bb652115c"/>
      <w:bookmarkStart w:id="4191" w:name="_Toc181685120"/>
      <w:r>
        <w:t>ST_String (String Type)</w:t>
      </w:r>
      <w:bookmarkEnd w:id="4190"/>
      <w:bookmarkEnd w:id="4191"/>
      <w:r>
        <w:fldChar w:fldCharType="begin"/>
      </w:r>
      <w:r>
        <w:instrText xml:space="preserve"> XE "ST_String (String Type)" </w:instrText>
      </w:r>
      <w:r>
        <w:fldChar w:fldCharType="end"/>
      </w:r>
    </w:p>
    <w:p w:rsidR="000A156F" w:rsidRDefault="00A9721F">
      <w:r>
        <w:t>This simple type specifies that its contents will contain a string. The contents of this string are interpreted based on the context of the parent XML element.</w:t>
      </w:r>
    </w:p>
    <w:p w:rsidR="000A156F" w:rsidRDefault="00A9721F">
      <w:r>
        <w:t>[Example: Consider the following WordprocessingML fragment:</w:t>
      </w:r>
    </w:p>
    <w:p w:rsidR="000A156F" w:rsidRDefault="00A9721F">
      <w:pPr>
        <w:pStyle w:val="Code"/>
      </w:pPr>
      <w:r>
        <w:t>&lt;w:pPr&gt;</w:t>
      </w:r>
    </w:p>
    <w:p w:rsidR="000A156F" w:rsidRDefault="00A9721F">
      <w:pPr>
        <w:pStyle w:val="Code"/>
      </w:pPr>
      <w:r>
        <w:t xml:space="preserve">  &lt;w:pStyle w:val="heading1"</w:t>
      </w:r>
      <w:r>
        <w:t xml:space="preserve"> /&gt; </w:t>
      </w:r>
    </w:p>
    <w:p w:rsidR="000A156F" w:rsidRDefault="00A9721F">
      <w:pPr>
        <w:pStyle w:val="Code"/>
      </w:pPr>
      <w:r>
        <w:t>&lt;/w:pPr&gt;</w:t>
      </w:r>
    </w:p>
    <w:p w:rsidR="000A156F" w:rsidRDefault="00A9721F">
      <w:r>
        <w:t xml:space="preserve">The value of the </w:t>
      </w:r>
      <w:r>
        <w:rPr>
          <w:b/>
        </w:rPr>
        <w:t>val</w:t>
      </w:r>
      <w:r>
        <w:t xml:space="preserve"> attribute is the ID of the associated paragraph style's </w:t>
      </w:r>
      <w:r>
        <w:rPr>
          <w:b/>
        </w:rPr>
        <w:t>styleId</w:t>
      </w:r>
      <w:r>
        <w:t>. However, consider the following fragment:</w:t>
      </w:r>
    </w:p>
    <w:p w:rsidR="000A156F" w:rsidRDefault="00A9721F">
      <w:pPr>
        <w:pStyle w:val="Code"/>
      </w:pPr>
      <w:r>
        <w:t>&lt;w:sdtPr&gt;</w:t>
      </w:r>
    </w:p>
    <w:p w:rsidR="000A156F" w:rsidRDefault="00A9721F">
      <w:pPr>
        <w:pStyle w:val="Code"/>
      </w:pPr>
      <w:r>
        <w:t xml:space="preserve">  &lt;w:alias w:val="SDT Title Example" /&gt;</w:t>
      </w:r>
    </w:p>
    <w:p w:rsidR="000A156F" w:rsidRDefault="00A9721F">
      <w:pPr>
        <w:pStyle w:val="Code"/>
      </w:pPr>
      <w:r>
        <w:t xml:space="preserve">  ...</w:t>
      </w:r>
    </w:p>
    <w:p w:rsidR="000A156F" w:rsidRDefault="00A9721F">
      <w:pPr>
        <w:pStyle w:val="Code"/>
      </w:pPr>
      <w:r>
        <w:t>&lt;/w:sdtPr&gt;</w:t>
      </w:r>
    </w:p>
    <w:p w:rsidR="000A156F" w:rsidRDefault="00A9721F">
      <w:r>
        <w:t xml:space="preserve">In this case, the decimal number in the </w:t>
      </w:r>
      <w:r>
        <w:rPr>
          <w:b/>
        </w:rPr>
        <w:t>val</w:t>
      </w:r>
      <w:r>
        <w:t xml:space="preserve"> att</w:t>
      </w:r>
      <w:r>
        <w:t xml:space="preserve">ribute is the caption of the parent-structured document tag. In each case, the value is of type </w:t>
      </w:r>
      <w:r>
        <w:rPr>
          <w:b/>
        </w:rPr>
        <w:t>ST_String</w:t>
      </w:r>
      <w:r>
        <w:t>, and therefore must be interpreted in the context of the parent element. end example]</w:t>
      </w:r>
    </w:p>
    <w:p w:rsidR="000A156F" w:rsidRDefault="00A9721F">
      <w:r>
        <w:t xml:space="preserve">This simple type's contents are a restriction of the XML Schema </w:t>
      </w:r>
      <w:r>
        <w:t>string datatype.</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name="ST_String"&gt;</w:t>
      </w:r>
    </w:p>
    <w:p w:rsidR="000A156F" w:rsidRDefault="00A9721F">
      <w:pPr>
        <w:pStyle w:val="Code"/>
      </w:pPr>
      <w:r>
        <w:t xml:space="preserve">  &lt;restricti</w:t>
      </w:r>
      <w:r>
        <w:t>on base="xsd:string"/&gt;</w:t>
      </w:r>
    </w:p>
    <w:p w:rsidR="000A156F" w:rsidRDefault="00A9721F">
      <w:pPr>
        <w:pStyle w:val="Code"/>
      </w:pPr>
      <w:r>
        <w:t>&lt;/simpleType&gt;</w:t>
      </w:r>
    </w:p>
    <w:p w:rsidR="000A156F" w:rsidRDefault="00A9721F">
      <w:pPr>
        <w:pStyle w:val="Heading2"/>
      </w:pPr>
      <w:bookmarkStart w:id="4192" w:name="section_e8dafc63570a444fa0aedd1af1966d76"/>
      <w:bookmarkStart w:id="4193" w:name="_Toc181685121"/>
      <w:r>
        <w:t>Office Digital Signature</w:t>
      </w:r>
      <w:bookmarkEnd w:id="4192"/>
      <w:bookmarkEnd w:id="4193"/>
      <w:r>
        <w:fldChar w:fldCharType="begin"/>
      </w:r>
      <w:r>
        <w:instrText xml:space="preserve"> XE "Office Digital Signature (Additional Information)" </w:instrText>
      </w:r>
      <w:r>
        <w:fldChar w:fldCharType="end"/>
      </w:r>
    </w:p>
    <w:p w:rsidR="000A156F" w:rsidRDefault="00A9721F">
      <w:r>
        <w:t>The Office Digital Signature is a digital signature used by Office to certify the content of a document and to verify the authenticity o</w:t>
      </w:r>
      <w:r>
        <w:t>f its creator or sender.</w:t>
      </w:r>
    </w:p>
    <w:p w:rsidR="000A156F" w:rsidRDefault="00A9721F">
      <w:pPr>
        <w:pStyle w:val="Heading3"/>
      </w:pPr>
      <w:bookmarkStart w:id="4194" w:name="section_9b1199772ec9455a98aecb60f7bb0ed8"/>
      <w:bookmarkStart w:id="4195" w:name="_Toc181685122"/>
      <w:r>
        <w:t>Elements</w:t>
      </w:r>
      <w:bookmarkEnd w:id="4194"/>
      <w:bookmarkEnd w:id="4195"/>
      <w:r>
        <w:fldChar w:fldCharType="begin"/>
      </w:r>
      <w:r>
        <w:instrText xml:space="preserve"> XE "Elements" </w:instrText>
      </w:r>
      <w:r>
        <w:fldChar w:fldCharType="end"/>
      </w:r>
    </w:p>
    <w:p w:rsidR="000A156F" w:rsidRDefault="00A9721F">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0A156F" w:rsidRDefault="00A9721F">
      <w:pPr>
        <w:pStyle w:val="Heading4"/>
      </w:pPr>
      <w:bookmarkStart w:id="4196" w:name="section_38917d35404040a79ad61d6b07d983f4"/>
      <w:bookmarkStart w:id="4197" w:name="_Toc181685123"/>
      <w:r>
        <w:t>ApplicationVersion (Application Version)</w:t>
      </w:r>
      <w:bookmarkEnd w:id="4196"/>
      <w:bookmarkEnd w:id="4197"/>
      <w:r>
        <w:fldChar w:fldCharType="begin"/>
      </w:r>
      <w:r>
        <w:instrText xml:space="preserve"> XE</w:instrText>
      </w:r>
      <w:r>
        <w:instrText xml:space="preserve"> "ApplicationVersion (Application Version)" </w:instrText>
      </w:r>
      <w:r>
        <w:fldChar w:fldCharType="end"/>
      </w:r>
    </w:p>
    <w:p w:rsidR="000A156F" w:rsidRDefault="00A9721F">
      <w:r>
        <w:t>Specifies the version of the application which created the digital signature.</w:t>
      </w:r>
    </w:p>
    <w:p w:rsidR="000A156F" w:rsidRDefault="00A9721F">
      <w:r>
        <w:lastRenderedPageBreak/>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 xml:space="preserve">&lt;simpleType </w:t>
      </w:r>
      <w:r>
        <w:t>name="ST_Version"&gt;</w:t>
      </w:r>
    </w:p>
    <w:p w:rsidR="000A156F" w:rsidRDefault="00A9721F">
      <w:pPr>
        <w:pStyle w:val="Code"/>
      </w:pPr>
      <w:r>
        <w:t xml:space="preserve">  &lt;restriction base="xsd:string"&gt;</w:t>
      </w:r>
    </w:p>
    <w:p w:rsidR="000A156F" w:rsidRDefault="00A9721F">
      <w:pPr>
        <w:pStyle w:val="Code"/>
      </w:pPr>
      <w:r>
        <w:t xml:space="preserve">    &lt;maxLength value="64"/&gt;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198" w:name="section_6011f8a6fcf4490385398e0bae26b7e7"/>
      <w:bookmarkStart w:id="4199" w:name="_Toc181685124"/>
      <w:r>
        <w:t>ColorDepth (Color Depth)</w:t>
      </w:r>
      <w:bookmarkEnd w:id="4198"/>
      <w:bookmarkEnd w:id="4199"/>
      <w:r>
        <w:fldChar w:fldCharType="begin"/>
      </w:r>
      <w:r>
        <w:instrText xml:space="preserve"> XE "ColorDepth (Color Depth)" </w:instrText>
      </w:r>
      <w:r>
        <w:fldChar w:fldCharType="end"/>
      </w:r>
    </w:p>
    <w:p w:rsidR="000A156F" w:rsidRDefault="00A9721F">
      <w:r>
        <w:t>Specifies the color depth of the primary monitor of the machine on which the digital s</w:t>
      </w:r>
      <w:r>
        <w:t>ignature was created.</w:t>
      </w:r>
    </w:p>
    <w:p w:rsidR="000A156F" w:rsidRDefault="00A9721F">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name="ST_PositiveInteger"&gt;</w:t>
      </w:r>
    </w:p>
    <w:p w:rsidR="000A156F" w:rsidRDefault="00A9721F">
      <w:pPr>
        <w:pStyle w:val="Code"/>
      </w:pPr>
      <w:r>
        <w:t xml:space="preserve">  &lt;restriction base="xsd:int"&gt;</w:t>
      </w:r>
    </w:p>
    <w:p w:rsidR="000A156F" w:rsidRDefault="00A9721F">
      <w:pPr>
        <w:pStyle w:val="Code"/>
      </w:pPr>
      <w:r>
        <w:t xml:space="preserve">    &lt;</w:t>
      </w:r>
      <w:r>
        <w:t>minExclusive value="0"/&gt;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00" w:name="section_d88dc6d4480149dd842c429174b8837e"/>
      <w:bookmarkStart w:id="4201" w:name="_Toc181685125"/>
      <w:r>
        <w:t>DelegateSuggestedSigner (Delegate Suggested Signer)</w:t>
      </w:r>
      <w:bookmarkEnd w:id="4200"/>
      <w:bookmarkEnd w:id="4201"/>
      <w:r>
        <w:fldChar w:fldCharType="begin"/>
      </w:r>
      <w:r>
        <w:instrText xml:space="preserve"> XE "DelegateSuggestedSigner (Delegate Suggested Signer)" </w:instrText>
      </w:r>
      <w:r>
        <w:fldChar w:fldCharType="end"/>
      </w:r>
    </w:p>
    <w:p w:rsidR="000A156F" w:rsidRDefault="00A9721F">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pPr>
        <w:pStyle w:val="Heading4"/>
      </w:pPr>
      <w:bookmarkStart w:id="4202" w:name="section_841efc82d17b435cbc74a986769fdf50"/>
      <w:bookmarkStart w:id="4203" w:name="_Toc181685126"/>
      <w:r>
        <w:t>DelegateSuggestedSigner2 (Delegate Suggested Signer)</w:t>
      </w:r>
      <w:bookmarkEnd w:id="4202"/>
      <w:bookmarkEnd w:id="4203"/>
      <w:r>
        <w:fldChar w:fldCharType="begin"/>
      </w:r>
      <w:r>
        <w:instrText xml:space="preserve"> XE "DelegateSuggestedSigner2 (Delegate Suggested Signer)" </w:instrText>
      </w:r>
      <w:r>
        <w:fldChar w:fldCharType="end"/>
      </w:r>
    </w:p>
    <w:p w:rsidR="000A156F" w:rsidRDefault="00A9721F">
      <w:r>
        <w:t>Specifies the title of a perso</w:t>
      </w:r>
      <w:r>
        <w:t>n to whom the signature has been delegated.</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pPr>
        <w:pStyle w:val="Heading4"/>
      </w:pPr>
      <w:bookmarkStart w:id="4204" w:name="section_3615f32e2a2f49c7853b03b56fc48212"/>
      <w:bookmarkStart w:id="4205" w:name="_Toc181685127"/>
      <w:r>
        <w:t>DelegateSuggestedSignerEmail (Delegate Suggested Signer E-mail Address)</w:t>
      </w:r>
      <w:bookmarkEnd w:id="4204"/>
      <w:bookmarkEnd w:id="4205"/>
      <w:r>
        <w:fldChar w:fldCharType="begin"/>
      </w:r>
      <w:r>
        <w:instrText xml:space="preserve"> XE "DelegateSuggestedSignerEmail (Delegate Suggested Signer E-mail Address)" </w:instrText>
      </w:r>
      <w:r>
        <w:fldChar w:fldCharType="end"/>
      </w:r>
    </w:p>
    <w:p w:rsidR="000A156F" w:rsidRDefault="00A9721F">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pPr>
        <w:pStyle w:val="Heading4"/>
      </w:pPr>
      <w:bookmarkStart w:id="4206" w:name="section_ee1023c3257842ec982b0963e5328487"/>
      <w:bookmarkStart w:id="4207" w:name="_Toc181685128"/>
      <w:r>
        <w:t>HorizontalResolution (Horizontal Resolution)</w:t>
      </w:r>
      <w:bookmarkEnd w:id="4206"/>
      <w:bookmarkEnd w:id="4207"/>
      <w:r>
        <w:fldChar w:fldCharType="begin"/>
      </w:r>
      <w:r>
        <w:instrText xml:space="preserve"> XE "HorizontalResolution (Horizontal Resolution)" </w:instrText>
      </w:r>
      <w:r>
        <w:fldChar w:fldCharType="end"/>
      </w:r>
    </w:p>
    <w:p w:rsidR="000A156F" w:rsidRDefault="00A9721F">
      <w:r>
        <w:t xml:space="preserve">Specifies the horizontal resolution of the primary monitor of the machine on which the digital signature was created. </w:t>
      </w:r>
    </w:p>
    <w:p w:rsidR="000A156F" w:rsidRDefault="00A9721F">
      <w:r>
        <w:t xml:space="preserve">The </w:t>
      </w:r>
      <w:r>
        <w:t>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name="ST_PositiveInteger"&gt;</w:t>
      </w:r>
    </w:p>
    <w:p w:rsidR="000A156F" w:rsidRDefault="00A9721F">
      <w:pPr>
        <w:pStyle w:val="Code"/>
      </w:pPr>
      <w:r>
        <w:t xml:space="preserve">  &lt;restriction base="xsd:int"&gt;</w:t>
      </w:r>
    </w:p>
    <w:p w:rsidR="000A156F" w:rsidRDefault="00A9721F">
      <w:pPr>
        <w:pStyle w:val="Code"/>
      </w:pPr>
      <w:r>
        <w:t xml:space="preserve">    &lt;minExclusive value="0"/&gt;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08" w:name="section_72a51ea393964453ad0b70388cc87aaf"/>
      <w:bookmarkStart w:id="4209" w:name="_Toc181685129"/>
      <w:r>
        <w:t>ManifestHashAlgorithm (Manifest Hash Algorithm)</w:t>
      </w:r>
      <w:bookmarkEnd w:id="4208"/>
      <w:bookmarkEnd w:id="4209"/>
      <w:r>
        <w:fldChar w:fldCharType="begin"/>
      </w:r>
      <w:r>
        <w:instrText xml:space="preserve"> XE "ManifestHashAlgorithm (Manifest Hash Algorithm)" </w:instrText>
      </w:r>
      <w:r>
        <w:fldChar w:fldCharType="end"/>
      </w:r>
    </w:p>
    <w:p w:rsidR="000A156F" w:rsidRDefault="00A9721F">
      <w:r>
        <w:t xml:space="preserve">Specifies a URI that identifies the particular hash algorithm for the signature.  If the signature provider is Office, the algorithm shall be </w:t>
      </w:r>
      <w:r>
        <w:rPr>
          <w:i/>
        </w:rPr>
        <w:t>http://www</w:t>
      </w:r>
      <w:r>
        <w:rPr>
          <w:i/>
        </w:rPr>
        <w:t>.w3.org/2000/09/xmldsig#sha1</w:t>
      </w:r>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pPr>
        <w:pStyle w:val="Heading4"/>
      </w:pPr>
      <w:bookmarkStart w:id="4210" w:name="section_60d0016ce96e44b9907fad464b6d07c7"/>
      <w:bookmarkStart w:id="4211" w:name="_Toc181685130"/>
      <w:r>
        <w:t>Monitors (Monitor Count)</w:t>
      </w:r>
      <w:bookmarkEnd w:id="4210"/>
      <w:bookmarkEnd w:id="4211"/>
      <w:r>
        <w:fldChar w:fldCharType="begin"/>
      </w:r>
      <w:r>
        <w:instrText xml:space="preserve"> XE "Monitors (Monitor Count)" </w:instrText>
      </w:r>
      <w:r>
        <w:fldChar w:fldCharType="end"/>
      </w:r>
    </w:p>
    <w:p w:rsidR="000A156F" w:rsidRDefault="00A9721F">
      <w:r>
        <w:t>Specifies the count of monitors on the ma</w:t>
      </w:r>
      <w:r>
        <w:t>chine where the digital signature was created.</w:t>
      </w:r>
    </w:p>
    <w:p w:rsidR="000A156F" w:rsidRDefault="00A9721F">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Parent Elements</w:t>
            </w:r>
          </w:p>
        </w:tc>
      </w:tr>
      <w:tr w:rsidR="000A156F" w:rsidTr="000A156F">
        <w:tc>
          <w:tcPr>
            <w:tcW w:w="0" w:type="auto"/>
            <w:vAlign w:val="center"/>
          </w:tcPr>
          <w:p w:rsidR="000A156F" w:rsidRDefault="00A9721F">
            <w:pPr>
              <w:pStyle w:val="TableBodyText"/>
            </w:pPr>
            <w:r>
              <w:rPr>
                <w:b/>
              </w:rPr>
              <w:t>SignatureI</w:t>
            </w:r>
            <w:r>
              <w:rPr>
                <w:b/>
              </w:rPr>
              <w:t>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name="ST_PositiveInteger"&gt;</w:t>
      </w:r>
    </w:p>
    <w:p w:rsidR="000A156F" w:rsidRDefault="00A9721F">
      <w:pPr>
        <w:pStyle w:val="Code"/>
      </w:pPr>
      <w:r>
        <w:t xml:space="preserve">  &lt;restriction base="xsd:int"&gt;</w:t>
      </w:r>
    </w:p>
    <w:p w:rsidR="000A156F" w:rsidRDefault="00A9721F">
      <w:pPr>
        <w:pStyle w:val="Code"/>
      </w:pPr>
      <w:r>
        <w:t xml:space="preserve">    &lt;</w:t>
      </w:r>
      <w:r>
        <w:t>minExclusive value="0"/&gt;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12" w:name="section_23222e735ee349129a22bfb0fc14d075"/>
      <w:bookmarkStart w:id="4213" w:name="_Toc181685131"/>
      <w:r>
        <w:t>OfficeVersion (Office Version)</w:t>
      </w:r>
      <w:bookmarkEnd w:id="4212"/>
      <w:bookmarkEnd w:id="4213"/>
      <w:r>
        <w:fldChar w:fldCharType="begin"/>
      </w:r>
      <w:r>
        <w:instrText xml:space="preserve"> XE "OfficeVersion (Office Version)" </w:instrText>
      </w:r>
      <w:r>
        <w:fldChar w:fldCharType="end"/>
      </w:r>
    </w:p>
    <w:p w:rsidR="000A156F" w:rsidRDefault="00A9721F">
      <w:r>
        <w:t>Specifies the version of the application suite which created the digital signature.</w:t>
      </w:r>
    </w:p>
    <w:p w:rsidR="000A156F" w:rsidRDefault="00A9721F">
      <w:r>
        <w:t>The possible values for this element are defin</w:t>
      </w:r>
      <w:r>
        <w:t>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t>
      </w:r>
      <w:r>
        <w:t>wing XML Schema fragment defines the contents of this element:</w:t>
      </w:r>
    </w:p>
    <w:p w:rsidR="000A156F" w:rsidRDefault="00A9721F">
      <w:pPr>
        <w:pStyle w:val="Code"/>
      </w:pPr>
      <w:r>
        <w:t>&lt;simpleType name="ST_Version"&gt;</w:t>
      </w:r>
    </w:p>
    <w:p w:rsidR="000A156F" w:rsidRDefault="00A9721F">
      <w:pPr>
        <w:pStyle w:val="Code"/>
      </w:pPr>
      <w:r>
        <w:t xml:space="preserve">  &lt;restriction base="xsd:string"&gt;</w:t>
      </w:r>
    </w:p>
    <w:p w:rsidR="000A156F" w:rsidRDefault="00A9721F">
      <w:pPr>
        <w:pStyle w:val="Code"/>
      </w:pPr>
      <w:r>
        <w:t xml:space="preserve">    &lt;maxLength value="64"/&gt;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14" w:name="section_0bc6416855b2438bb0db2ffc5bb065de"/>
      <w:bookmarkStart w:id="4215" w:name="_Toc181685132"/>
      <w:r>
        <w:t>SetupID (Setup ID)</w:t>
      </w:r>
      <w:bookmarkEnd w:id="4214"/>
      <w:bookmarkEnd w:id="4215"/>
      <w:r>
        <w:fldChar w:fldCharType="begin"/>
      </w:r>
      <w:r>
        <w:instrText xml:space="preserve"> XE "SetupID (Setup ID)" </w:instrText>
      </w:r>
      <w:r>
        <w:fldChar w:fldCharType="end"/>
      </w:r>
    </w:p>
    <w:p w:rsidR="000A156F" w:rsidRDefault="00A9721F">
      <w:r>
        <w:t xml:space="preserve">Specifies a GUID which </w:t>
      </w:r>
      <w:r>
        <w:t>can be cross-referenced with the GUID of the signature line stored in the document content.</w:t>
      </w:r>
    </w:p>
    <w:p w:rsidR="000A156F" w:rsidRDefault="00A9721F">
      <w:r>
        <w:t>The possible values for this element are defined by the ST_UniqueIdentifierWithBraces simple type (§</w:t>
      </w:r>
      <w:hyperlink w:anchor="Section_6478af0db7b4409889c50d291a9cf0ce">
        <w:r>
          <w:rPr>
            <w:rStyle w:val="Hyperlink"/>
          </w:rPr>
          <w:t>3</w:t>
        </w:r>
        <w:r>
          <w:rPr>
            <w:rStyle w:val="Hyperlink"/>
          </w:rPr>
          <w:t>.7.2.6, ST_UniqueIdentifierWithBraces</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w:t>
      </w:r>
      <w:r>
        <w:t>"ST_UniqueIdentifierWithBraces"&gt;</w:t>
      </w:r>
    </w:p>
    <w:p w:rsidR="000A156F" w:rsidRDefault="00A9721F">
      <w:pPr>
        <w:pStyle w:val="Code"/>
      </w:pPr>
      <w:r>
        <w:t xml:space="preserve">  &lt;restriction base="xsd:string"&gt;</w:t>
      </w:r>
    </w:p>
    <w:p w:rsidR="000A156F" w:rsidRDefault="00A9721F">
      <w:pPr>
        <w:pStyle w:val="Code"/>
      </w:pPr>
      <w:r>
        <w:t xml:space="preserve">    &lt;pattern value="\{[0-9a-fA-F]{8}\-[0-9a-fA-F]{4}\-[0-9a-fA-F]{4}\-[0-9a-fA-F]{4}\-[0-9a-fA-F]{12}\}|"/&gt;</w:t>
      </w:r>
    </w:p>
    <w:p w:rsidR="000A156F" w:rsidRDefault="00A9721F">
      <w:pPr>
        <w:pStyle w:val="Code"/>
      </w:pPr>
      <w:r>
        <w:t xml:space="preserve">  &lt;/restriction&gt;</w:t>
      </w:r>
    </w:p>
    <w:p w:rsidR="000A156F" w:rsidRDefault="00A9721F">
      <w:pPr>
        <w:pStyle w:val="Code"/>
      </w:pPr>
      <w:r>
        <w:lastRenderedPageBreak/>
        <w:t>&lt;/simpleType&gt;</w:t>
      </w:r>
    </w:p>
    <w:p w:rsidR="000A156F" w:rsidRDefault="00A9721F">
      <w:pPr>
        <w:pStyle w:val="Heading4"/>
      </w:pPr>
      <w:bookmarkStart w:id="4216" w:name="section_ccba739517034b508c1eecb83dfa792b"/>
      <w:bookmarkStart w:id="4217" w:name="_Toc181685133"/>
      <w:r>
        <w:t>SignatureComments (Signature Comments)</w:t>
      </w:r>
      <w:bookmarkEnd w:id="4216"/>
      <w:bookmarkEnd w:id="4217"/>
      <w:r>
        <w:fldChar w:fldCharType="begin"/>
      </w:r>
      <w:r>
        <w:instrText xml:space="preserve"> XE "Signatu</w:instrText>
      </w:r>
      <w:r>
        <w:instrText xml:space="preserve">reComments (Signature Comments)" </w:instrText>
      </w:r>
      <w:r>
        <w:fldChar w:fldCharType="end"/>
      </w:r>
    </w:p>
    <w:p w:rsidR="000A156F" w:rsidRDefault="00A9721F">
      <w:r>
        <w:t>Specifies comments on the digital signature.</w:t>
      </w:r>
    </w:p>
    <w:p w:rsidR="000A156F" w:rsidRDefault="00A9721F">
      <w:r>
        <w:t>The possible values for this element are defined by the ST_SignatureComments simple type (§</w:t>
      </w:r>
      <w:hyperlink w:anchor="Section_4e92419771bc4dd7a396a223845eba27">
        <w:r>
          <w:rPr>
            <w:rStyle w:val="Hyperlink"/>
          </w:rPr>
          <w:t xml:space="preserve">3.7.2.2, </w:t>
        </w:r>
        <w:r>
          <w:rPr>
            <w:rStyle w:val="Hyperlink"/>
          </w:rPr>
          <w:t>ST_SignatureComments</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name="ST_SignatureComm</w:t>
      </w:r>
      <w:r>
        <w:t>ents"&gt;</w:t>
      </w:r>
    </w:p>
    <w:p w:rsidR="000A156F" w:rsidRDefault="00A9721F">
      <w:pPr>
        <w:pStyle w:val="Code"/>
      </w:pPr>
      <w:r>
        <w:t xml:space="preserve">  &lt;restriction base="xsd:string"&gt;</w:t>
      </w:r>
    </w:p>
    <w:p w:rsidR="000A156F" w:rsidRDefault="00A9721F">
      <w:pPr>
        <w:pStyle w:val="Code"/>
      </w:pPr>
      <w:r>
        <w:t xml:space="preserve">    &lt;maxLength value="255"/&gt;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18" w:name="section_0e70da4046be4ddab93009c8e7e5f116"/>
      <w:bookmarkStart w:id="4219" w:name="_Toc181685134"/>
      <w:r>
        <w:t>SignatureImage (Signature Image)</w:t>
      </w:r>
      <w:bookmarkEnd w:id="4218"/>
      <w:bookmarkEnd w:id="4219"/>
      <w:r>
        <w:fldChar w:fldCharType="begin"/>
      </w:r>
      <w:r>
        <w:instrText xml:space="preserve"> XE "SignatureImage (Signature Image)" </w:instrText>
      </w:r>
      <w:r>
        <w:fldChar w:fldCharType="end"/>
      </w:r>
    </w:p>
    <w:p w:rsidR="000A156F" w:rsidRDefault="00A9721F">
      <w:r>
        <w:t>Specifies an image for the digital signature.</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pPr>
        <w:pStyle w:val="Heading4"/>
      </w:pPr>
      <w:bookmarkStart w:id="4220" w:name="section_e1d590674b8849f19da10255d76b4ffa"/>
      <w:bookmarkStart w:id="4221" w:name="_Toc181685135"/>
      <w:r>
        <w:t>SignatureInfoV1 (Office Digital Signature V1 Info)</w:t>
      </w:r>
      <w:bookmarkEnd w:id="4220"/>
      <w:bookmarkEnd w:id="4221"/>
      <w:r>
        <w:fldChar w:fldCharType="begin"/>
      </w:r>
      <w:r>
        <w:instrText xml:space="preserve"> XE "SignatureInfoV1 (Office Digital Signature V1 Info)" </w:instrText>
      </w:r>
      <w:r>
        <w:fldChar w:fldCharType="end"/>
      </w:r>
    </w:p>
    <w:p w:rsidR="000A156F" w:rsidRDefault="00A9721F">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Child Elements</w:t>
            </w:r>
          </w:p>
        </w:tc>
        <w:tc>
          <w:tcPr>
            <w:tcW w:w="0" w:type="auto"/>
            <w:vAlign w:val="center"/>
          </w:tcPr>
          <w:p w:rsidR="000A156F" w:rsidRDefault="00A9721F">
            <w:pPr>
              <w:pStyle w:val="TableHeaderText"/>
            </w:pPr>
            <w:r>
              <w:t>Subclause</w:t>
            </w:r>
          </w:p>
        </w:tc>
      </w:tr>
      <w:tr w:rsidR="000A156F" w:rsidTr="000A156F">
        <w:tc>
          <w:tcPr>
            <w:tcW w:w="0" w:type="auto"/>
            <w:vAlign w:val="center"/>
          </w:tcPr>
          <w:p w:rsidR="000A156F" w:rsidRDefault="00A9721F">
            <w:pPr>
              <w:pStyle w:val="TableBodyText"/>
            </w:pPr>
            <w:r>
              <w:rPr>
                <w:b/>
              </w:rPr>
              <w:t>ApplicationVersion</w:t>
            </w:r>
            <w:r>
              <w:t xml:space="preserve"> (Application Version)</w:t>
            </w:r>
          </w:p>
        </w:tc>
        <w:tc>
          <w:tcPr>
            <w:tcW w:w="0" w:type="auto"/>
            <w:vAlign w:val="center"/>
          </w:tcPr>
          <w:p w:rsidR="000A156F" w:rsidRDefault="00A9721F">
            <w:pPr>
              <w:pStyle w:val="TableBodyText"/>
            </w:pPr>
            <w:r>
              <w:t>§</w:t>
            </w:r>
            <w:hyperlink w:anchor="Section_38917d35404040a79ad61d6b07d983f4">
              <w:r>
                <w:rPr>
                  <w:rStyle w:val="Hyperlink"/>
                </w:rPr>
                <w:t>3.7.1.1, ApplicationVersion</w:t>
              </w:r>
            </w:hyperlink>
          </w:p>
        </w:tc>
      </w:tr>
      <w:tr w:rsidR="000A156F" w:rsidTr="000A156F">
        <w:tc>
          <w:tcPr>
            <w:tcW w:w="0" w:type="auto"/>
            <w:vAlign w:val="center"/>
          </w:tcPr>
          <w:p w:rsidR="000A156F" w:rsidRDefault="00A9721F">
            <w:pPr>
              <w:pStyle w:val="TableBodyText"/>
            </w:pPr>
            <w:r>
              <w:rPr>
                <w:b/>
              </w:rPr>
              <w:t>ColorDepth</w:t>
            </w:r>
            <w:r>
              <w:t xml:space="preserve"> (Color Depth)</w:t>
            </w:r>
          </w:p>
        </w:tc>
        <w:tc>
          <w:tcPr>
            <w:tcW w:w="0" w:type="auto"/>
            <w:vAlign w:val="center"/>
          </w:tcPr>
          <w:p w:rsidR="000A156F" w:rsidRDefault="00A9721F">
            <w:pPr>
              <w:pStyle w:val="TableBodyText"/>
            </w:pPr>
            <w:r>
              <w:t>§</w:t>
            </w:r>
            <w:hyperlink w:anchor="Section_6011f8a6fcf4490385398e0bae26b7e7">
              <w:r>
                <w:rPr>
                  <w:rStyle w:val="Hyperlink"/>
                </w:rPr>
                <w:t>3.7.1.2, ColorDepth</w:t>
              </w:r>
            </w:hyperlink>
          </w:p>
        </w:tc>
      </w:tr>
      <w:tr w:rsidR="000A156F" w:rsidTr="000A156F">
        <w:tc>
          <w:tcPr>
            <w:tcW w:w="0" w:type="auto"/>
            <w:vAlign w:val="center"/>
          </w:tcPr>
          <w:p w:rsidR="000A156F" w:rsidRDefault="00A9721F">
            <w:pPr>
              <w:pStyle w:val="TableBodyText"/>
            </w:pPr>
            <w:r>
              <w:rPr>
                <w:b/>
              </w:rPr>
              <w:t>DelegateSuggestedSigner</w:t>
            </w:r>
            <w:r>
              <w:t xml:space="preserve"> (Delegate Suggested Signer)</w:t>
            </w:r>
          </w:p>
        </w:tc>
        <w:tc>
          <w:tcPr>
            <w:tcW w:w="0" w:type="auto"/>
            <w:vAlign w:val="center"/>
          </w:tcPr>
          <w:p w:rsidR="000A156F" w:rsidRDefault="00A9721F">
            <w:pPr>
              <w:pStyle w:val="TableBodyText"/>
            </w:pPr>
            <w:r>
              <w:t>§</w:t>
            </w:r>
            <w:hyperlink w:anchor="Section_d88dc6d4480149dd842c429174b8837e">
              <w:r>
                <w:rPr>
                  <w:rStyle w:val="Hyperlink"/>
                </w:rPr>
                <w:t>3.7.1.3, DelegateSuggestedSigner</w:t>
              </w:r>
            </w:hyperlink>
          </w:p>
        </w:tc>
      </w:tr>
      <w:tr w:rsidR="000A156F" w:rsidTr="000A156F">
        <w:tc>
          <w:tcPr>
            <w:tcW w:w="0" w:type="auto"/>
            <w:vAlign w:val="center"/>
          </w:tcPr>
          <w:p w:rsidR="000A156F" w:rsidRDefault="00A9721F">
            <w:pPr>
              <w:pStyle w:val="TableBodyText"/>
            </w:pPr>
            <w:r>
              <w:rPr>
                <w:b/>
              </w:rPr>
              <w:t>DelegateSuggestedSigner2</w:t>
            </w:r>
            <w:r>
              <w:t xml:space="preserve"> (Delegate Suggested Signer)</w:t>
            </w:r>
          </w:p>
        </w:tc>
        <w:tc>
          <w:tcPr>
            <w:tcW w:w="0" w:type="auto"/>
            <w:vAlign w:val="center"/>
          </w:tcPr>
          <w:p w:rsidR="000A156F" w:rsidRDefault="00A9721F">
            <w:pPr>
              <w:pStyle w:val="TableBodyText"/>
            </w:pPr>
            <w:r>
              <w:t>§</w:t>
            </w:r>
            <w:hyperlink w:anchor="Section_841efc82d17b435cbc74a986769fdf50">
              <w:r>
                <w:rPr>
                  <w:rStyle w:val="Hyperlink"/>
                </w:rPr>
                <w:t>3.7.1.4, DelegateSuggestedSigner2</w:t>
              </w:r>
            </w:hyperlink>
          </w:p>
        </w:tc>
      </w:tr>
      <w:tr w:rsidR="000A156F" w:rsidTr="000A156F">
        <w:tc>
          <w:tcPr>
            <w:tcW w:w="0" w:type="auto"/>
            <w:vAlign w:val="center"/>
          </w:tcPr>
          <w:p w:rsidR="000A156F" w:rsidRDefault="00A9721F">
            <w:pPr>
              <w:pStyle w:val="TableBodyText"/>
            </w:pPr>
            <w:r>
              <w:rPr>
                <w:b/>
              </w:rPr>
              <w:t>DelegateSuggestedSignerEmail</w:t>
            </w:r>
            <w:r>
              <w:t xml:space="preserve"> (Delegate Suggested Signer E-mail Address)</w:t>
            </w:r>
          </w:p>
        </w:tc>
        <w:tc>
          <w:tcPr>
            <w:tcW w:w="0" w:type="auto"/>
            <w:vAlign w:val="center"/>
          </w:tcPr>
          <w:p w:rsidR="000A156F" w:rsidRDefault="00A9721F">
            <w:pPr>
              <w:pStyle w:val="TableBodyText"/>
            </w:pPr>
            <w:r>
              <w:t>§</w:t>
            </w:r>
            <w:hyperlink w:anchor="Section_3615f32e2a2f49c7853b03b56fc48212">
              <w:r>
                <w:rPr>
                  <w:rStyle w:val="Hyperlink"/>
                </w:rPr>
                <w:t>3.7.1.5, DelegateSuggest</w:t>
              </w:r>
              <w:r>
                <w:rPr>
                  <w:rStyle w:val="Hyperlink"/>
                </w:rPr>
                <w:t>edSignerEmail</w:t>
              </w:r>
            </w:hyperlink>
          </w:p>
        </w:tc>
      </w:tr>
      <w:tr w:rsidR="000A156F" w:rsidTr="000A156F">
        <w:tc>
          <w:tcPr>
            <w:tcW w:w="0" w:type="auto"/>
            <w:vAlign w:val="center"/>
          </w:tcPr>
          <w:p w:rsidR="000A156F" w:rsidRDefault="00A9721F">
            <w:pPr>
              <w:pStyle w:val="TableBodyText"/>
            </w:pPr>
            <w:r>
              <w:rPr>
                <w:b/>
              </w:rPr>
              <w:t>HorizontalResolution</w:t>
            </w:r>
            <w:r>
              <w:t xml:space="preserve"> (Horizontal Resolution)</w:t>
            </w:r>
          </w:p>
        </w:tc>
        <w:tc>
          <w:tcPr>
            <w:tcW w:w="0" w:type="auto"/>
            <w:vAlign w:val="center"/>
          </w:tcPr>
          <w:p w:rsidR="000A156F" w:rsidRDefault="00A9721F">
            <w:pPr>
              <w:pStyle w:val="TableBodyText"/>
            </w:pPr>
            <w:r>
              <w:t>§</w:t>
            </w:r>
            <w:hyperlink w:anchor="Section_ee1023c3257842ec982b0963e5328487">
              <w:r>
                <w:rPr>
                  <w:rStyle w:val="Hyperlink"/>
                </w:rPr>
                <w:t>3.7.1.6, HorizontalResolution</w:t>
              </w:r>
            </w:hyperlink>
          </w:p>
        </w:tc>
      </w:tr>
      <w:tr w:rsidR="000A156F" w:rsidTr="000A156F">
        <w:tc>
          <w:tcPr>
            <w:tcW w:w="0" w:type="auto"/>
            <w:vAlign w:val="center"/>
          </w:tcPr>
          <w:p w:rsidR="000A156F" w:rsidRDefault="00A9721F">
            <w:pPr>
              <w:pStyle w:val="TableBodyText"/>
            </w:pPr>
            <w:r>
              <w:rPr>
                <w:b/>
              </w:rPr>
              <w:t>ManifestHashAlgorithm</w:t>
            </w:r>
            <w:r>
              <w:t xml:space="preserve"> (Manifest Hash Algorithm)</w:t>
            </w:r>
          </w:p>
        </w:tc>
        <w:tc>
          <w:tcPr>
            <w:tcW w:w="0" w:type="auto"/>
            <w:vAlign w:val="center"/>
          </w:tcPr>
          <w:p w:rsidR="000A156F" w:rsidRDefault="00A9721F">
            <w:pPr>
              <w:pStyle w:val="TableBodyText"/>
            </w:pPr>
            <w:r>
              <w:t>§</w:t>
            </w:r>
            <w:hyperlink w:anchor="Section_72a51ea393964453ad0b70388cc87aaf">
              <w:r>
                <w:rPr>
                  <w:rStyle w:val="Hyperlink"/>
                </w:rPr>
                <w:t>3.7.1.7, ManifestHashAlgorithm</w:t>
              </w:r>
            </w:hyperlink>
          </w:p>
        </w:tc>
      </w:tr>
      <w:tr w:rsidR="000A156F" w:rsidTr="000A156F">
        <w:tc>
          <w:tcPr>
            <w:tcW w:w="0" w:type="auto"/>
            <w:vAlign w:val="center"/>
          </w:tcPr>
          <w:p w:rsidR="000A156F" w:rsidRDefault="00A9721F">
            <w:pPr>
              <w:pStyle w:val="TableBodyText"/>
            </w:pPr>
            <w:r>
              <w:rPr>
                <w:b/>
              </w:rPr>
              <w:t>Monitors</w:t>
            </w:r>
            <w:r>
              <w:t xml:space="preserve"> (Monitor Count)</w:t>
            </w:r>
          </w:p>
        </w:tc>
        <w:tc>
          <w:tcPr>
            <w:tcW w:w="0" w:type="auto"/>
            <w:vAlign w:val="center"/>
          </w:tcPr>
          <w:p w:rsidR="000A156F" w:rsidRDefault="00A9721F">
            <w:pPr>
              <w:pStyle w:val="TableBodyText"/>
            </w:pPr>
            <w:r>
              <w:t>§</w:t>
            </w:r>
            <w:hyperlink w:anchor="Section_60d0016ce96e44b9907fad464b6d07c7">
              <w:r>
                <w:rPr>
                  <w:rStyle w:val="Hyperlink"/>
                </w:rPr>
                <w:t>3.7.1.8, Monitors</w:t>
              </w:r>
            </w:hyperlink>
          </w:p>
        </w:tc>
      </w:tr>
      <w:tr w:rsidR="000A156F" w:rsidTr="000A156F">
        <w:tc>
          <w:tcPr>
            <w:tcW w:w="0" w:type="auto"/>
            <w:vAlign w:val="center"/>
          </w:tcPr>
          <w:p w:rsidR="000A156F" w:rsidRDefault="00A9721F">
            <w:pPr>
              <w:pStyle w:val="TableBodyText"/>
            </w:pPr>
            <w:r>
              <w:rPr>
                <w:b/>
              </w:rPr>
              <w:t>OfficeVersion</w:t>
            </w:r>
            <w:r>
              <w:t xml:space="preserve"> (Office Version)</w:t>
            </w:r>
          </w:p>
        </w:tc>
        <w:tc>
          <w:tcPr>
            <w:tcW w:w="0" w:type="auto"/>
            <w:vAlign w:val="center"/>
          </w:tcPr>
          <w:p w:rsidR="000A156F" w:rsidRDefault="00A9721F">
            <w:pPr>
              <w:pStyle w:val="TableBodyText"/>
            </w:pPr>
            <w:r>
              <w:t>§</w:t>
            </w:r>
            <w:hyperlink w:anchor="Section_23222e735ee349129a22bfb0fc14d075">
              <w:r>
                <w:rPr>
                  <w:rStyle w:val="Hyperlink"/>
                </w:rPr>
                <w:t>3.7.1.9, O</w:t>
              </w:r>
              <w:r>
                <w:rPr>
                  <w:rStyle w:val="Hyperlink"/>
                </w:rPr>
                <w:t>fficeVersion</w:t>
              </w:r>
            </w:hyperlink>
          </w:p>
        </w:tc>
      </w:tr>
      <w:tr w:rsidR="000A156F" w:rsidTr="000A156F">
        <w:tc>
          <w:tcPr>
            <w:tcW w:w="0" w:type="auto"/>
            <w:vAlign w:val="center"/>
          </w:tcPr>
          <w:p w:rsidR="000A156F" w:rsidRDefault="00A9721F">
            <w:pPr>
              <w:pStyle w:val="TableBodyText"/>
            </w:pPr>
            <w:r>
              <w:rPr>
                <w:b/>
              </w:rPr>
              <w:lastRenderedPageBreak/>
              <w:t>SetupID</w:t>
            </w:r>
            <w:r>
              <w:t xml:space="preserve"> (Setup ID)</w:t>
            </w:r>
          </w:p>
        </w:tc>
        <w:tc>
          <w:tcPr>
            <w:tcW w:w="0" w:type="auto"/>
            <w:vAlign w:val="center"/>
          </w:tcPr>
          <w:p w:rsidR="000A156F" w:rsidRDefault="00A9721F">
            <w:pPr>
              <w:pStyle w:val="TableBodyText"/>
            </w:pPr>
            <w:r>
              <w:t>§</w:t>
            </w:r>
            <w:hyperlink w:anchor="Section_0bc6416855b2438bb0db2ffc5bb065de">
              <w:r>
                <w:rPr>
                  <w:rStyle w:val="Hyperlink"/>
                </w:rPr>
                <w:t>3.7.1.10, SetupID</w:t>
              </w:r>
            </w:hyperlink>
          </w:p>
        </w:tc>
      </w:tr>
      <w:tr w:rsidR="000A156F" w:rsidTr="000A156F">
        <w:tc>
          <w:tcPr>
            <w:tcW w:w="0" w:type="auto"/>
            <w:vAlign w:val="center"/>
          </w:tcPr>
          <w:p w:rsidR="000A156F" w:rsidRDefault="00A9721F">
            <w:pPr>
              <w:pStyle w:val="TableBodyText"/>
            </w:pPr>
            <w:r>
              <w:rPr>
                <w:b/>
              </w:rPr>
              <w:t>SignatureComments</w:t>
            </w:r>
            <w:r>
              <w:t xml:space="preserve"> (Signature Comments)</w:t>
            </w:r>
          </w:p>
        </w:tc>
        <w:tc>
          <w:tcPr>
            <w:tcW w:w="0" w:type="auto"/>
            <w:vAlign w:val="center"/>
          </w:tcPr>
          <w:p w:rsidR="000A156F" w:rsidRDefault="00A9721F">
            <w:pPr>
              <w:pStyle w:val="TableBodyText"/>
            </w:pPr>
            <w:r>
              <w:t>§</w:t>
            </w:r>
            <w:hyperlink w:anchor="Section_ccba739517034b508c1eecb83dfa792b">
              <w:r>
                <w:rPr>
                  <w:rStyle w:val="Hyperlink"/>
                </w:rPr>
                <w:t>3.7.1.11, SignatureComments</w:t>
              </w:r>
            </w:hyperlink>
          </w:p>
        </w:tc>
      </w:tr>
      <w:tr w:rsidR="000A156F" w:rsidTr="000A156F">
        <w:tc>
          <w:tcPr>
            <w:tcW w:w="0" w:type="auto"/>
            <w:vAlign w:val="center"/>
          </w:tcPr>
          <w:p w:rsidR="000A156F" w:rsidRDefault="00A9721F">
            <w:pPr>
              <w:pStyle w:val="TableBodyText"/>
            </w:pPr>
            <w:r>
              <w:rPr>
                <w:b/>
              </w:rPr>
              <w:t>SignatureImage</w:t>
            </w:r>
            <w:r>
              <w:t xml:space="preserve"> (Signature Image)</w:t>
            </w:r>
          </w:p>
        </w:tc>
        <w:tc>
          <w:tcPr>
            <w:tcW w:w="0" w:type="auto"/>
            <w:vAlign w:val="center"/>
          </w:tcPr>
          <w:p w:rsidR="000A156F" w:rsidRDefault="00A9721F">
            <w:pPr>
              <w:pStyle w:val="TableBodyText"/>
            </w:pPr>
            <w:r>
              <w:t>§</w:t>
            </w:r>
            <w:hyperlink w:anchor="Section_0e70da4046be4ddab93009c8e7e5f116">
              <w:r>
                <w:rPr>
                  <w:rStyle w:val="Hyperlink"/>
                </w:rPr>
                <w:t>3.7.1.12, SignatureImage</w:t>
              </w:r>
            </w:hyperlink>
          </w:p>
        </w:tc>
      </w:tr>
      <w:tr w:rsidR="000A156F" w:rsidTr="000A156F">
        <w:tc>
          <w:tcPr>
            <w:tcW w:w="0" w:type="auto"/>
            <w:vAlign w:val="center"/>
          </w:tcPr>
          <w:p w:rsidR="000A156F" w:rsidRDefault="00A9721F">
            <w:pPr>
              <w:pStyle w:val="TableBodyText"/>
            </w:pPr>
            <w:r>
              <w:rPr>
                <w:b/>
              </w:rPr>
              <w:t>SignatureProviderDetails</w:t>
            </w:r>
            <w:r>
              <w:t xml:space="preserve"> (Signature Provider Details)</w:t>
            </w:r>
          </w:p>
        </w:tc>
        <w:tc>
          <w:tcPr>
            <w:tcW w:w="0" w:type="auto"/>
            <w:vAlign w:val="center"/>
          </w:tcPr>
          <w:p w:rsidR="000A156F" w:rsidRDefault="00A9721F">
            <w:pPr>
              <w:pStyle w:val="TableBodyText"/>
            </w:pPr>
            <w:r>
              <w:t>§</w:t>
            </w:r>
            <w:hyperlink w:anchor="Section_817e07a284144dd8af897daef5636490">
              <w:r>
                <w:rPr>
                  <w:rStyle w:val="Hyperlink"/>
                </w:rPr>
                <w:t>3.7.1.14, Signa</w:t>
              </w:r>
              <w:r>
                <w:rPr>
                  <w:rStyle w:val="Hyperlink"/>
                </w:rPr>
                <w:t>tureProviderDetails</w:t>
              </w:r>
            </w:hyperlink>
          </w:p>
        </w:tc>
      </w:tr>
      <w:tr w:rsidR="000A156F" w:rsidTr="000A156F">
        <w:tc>
          <w:tcPr>
            <w:tcW w:w="0" w:type="auto"/>
            <w:vAlign w:val="center"/>
          </w:tcPr>
          <w:p w:rsidR="000A156F" w:rsidRDefault="00A9721F">
            <w:pPr>
              <w:pStyle w:val="TableBodyText"/>
            </w:pPr>
            <w:r>
              <w:rPr>
                <w:b/>
              </w:rPr>
              <w:t>SignatureProviderId</w:t>
            </w:r>
            <w:r>
              <w:t xml:space="preserve"> (Signature Provider ID)</w:t>
            </w:r>
          </w:p>
        </w:tc>
        <w:tc>
          <w:tcPr>
            <w:tcW w:w="0" w:type="auto"/>
            <w:vAlign w:val="center"/>
          </w:tcPr>
          <w:p w:rsidR="000A156F" w:rsidRDefault="00A9721F">
            <w:pPr>
              <w:pStyle w:val="TableBodyText"/>
            </w:pPr>
            <w:r>
              <w:t>§</w:t>
            </w:r>
            <w:hyperlink w:anchor="Section_67ad36eae0d24df6b7e1c3dc0d6b32ea">
              <w:r>
                <w:rPr>
                  <w:rStyle w:val="Hyperlink"/>
                </w:rPr>
                <w:t>3.7.1.15, SignatureProviderId</w:t>
              </w:r>
            </w:hyperlink>
          </w:p>
        </w:tc>
      </w:tr>
      <w:tr w:rsidR="000A156F" w:rsidTr="000A156F">
        <w:tc>
          <w:tcPr>
            <w:tcW w:w="0" w:type="auto"/>
            <w:vAlign w:val="center"/>
          </w:tcPr>
          <w:p w:rsidR="000A156F" w:rsidRDefault="00A9721F">
            <w:pPr>
              <w:pStyle w:val="TableBodyText"/>
            </w:pPr>
            <w:r>
              <w:rPr>
                <w:b/>
              </w:rPr>
              <w:t>SignatureProviderUrl</w:t>
            </w:r>
            <w:r>
              <w:t xml:space="preserve"> (Signature Provider URL)</w:t>
            </w:r>
          </w:p>
        </w:tc>
        <w:tc>
          <w:tcPr>
            <w:tcW w:w="0" w:type="auto"/>
            <w:vAlign w:val="center"/>
          </w:tcPr>
          <w:p w:rsidR="000A156F" w:rsidRDefault="00A9721F">
            <w:pPr>
              <w:pStyle w:val="TableBodyText"/>
            </w:pPr>
            <w:r>
              <w:t>§</w:t>
            </w:r>
            <w:hyperlink w:anchor="Section_74b29f9a7df748178e172d784aadffe9">
              <w:r>
                <w:rPr>
                  <w:rStyle w:val="Hyperlink"/>
                </w:rPr>
                <w:t>3.7.1.16, SignatureProviderUrl</w:t>
              </w:r>
            </w:hyperlink>
          </w:p>
        </w:tc>
      </w:tr>
      <w:tr w:rsidR="000A156F" w:rsidTr="000A156F">
        <w:tc>
          <w:tcPr>
            <w:tcW w:w="0" w:type="auto"/>
            <w:vAlign w:val="center"/>
          </w:tcPr>
          <w:p w:rsidR="000A156F" w:rsidRDefault="00A9721F">
            <w:pPr>
              <w:pStyle w:val="TableBodyText"/>
            </w:pPr>
            <w:r>
              <w:rPr>
                <w:b/>
              </w:rPr>
              <w:t>SignatureText</w:t>
            </w:r>
            <w:r>
              <w:t xml:space="preserve"> (Signature Text)</w:t>
            </w:r>
          </w:p>
        </w:tc>
        <w:tc>
          <w:tcPr>
            <w:tcW w:w="0" w:type="auto"/>
            <w:vAlign w:val="center"/>
          </w:tcPr>
          <w:p w:rsidR="000A156F" w:rsidRDefault="00A9721F">
            <w:pPr>
              <w:pStyle w:val="TableBodyText"/>
            </w:pPr>
            <w:r>
              <w:t>§</w:t>
            </w:r>
            <w:hyperlink w:anchor="Section_1821e4f974df4c2f83261b8cfbf05832">
              <w:r>
                <w:rPr>
                  <w:rStyle w:val="Hyperlink"/>
                </w:rPr>
                <w:t>3.7.1.17, SignatureText</w:t>
              </w:r>
            </w:hyperlink>
          </w:p>
        </w:tc>
      </w:tr>
      <w:tr w:rsidR="000A156F" w:rsidTr="000A156F">
        <w:tc>
          <w:tcPr>
            <w:tcW w:w="0" w:type="auto"/>
            <w:vAlign w:val="center"/>
          </w:tcPr>
          <w:p w:rsidR="000A156F" w:rsidRDefault="00A9721F">
            <w:pPr>
              <w:pStyle w:val="TableBodyText"/>
            </w:pPr>
            <w:r>
              <w:rPr>
                <w:b/>
              </w:rPr>
              <w:t>SignatureType</w:t>
            </w:r>
            <w:r>
              <w:t xml:space="preserve"> (Signature Type)</w:t>
            </w:r>
          </w:p>
        </w:tc>
        <w:tc>
          <w:tcPr>
            <w:tcW w:w="0" w:type="auto"/>
            <w:vAlign w:val="center"/>
          </w:tcPr>
          <w:p w:rsidR="000A156F" w:rsidRDefault="00A9721F">
            <w:pPr>
              <w:pStyle w:val="TableBodyText"/>
            </w:pPr>
            <w:r>
              <w:t>§</w:t>
            </w:r>
            <w:hyperlink w:anchor="Section_f57f4e24eab6408c9e521bdd530a42f2">
              <w:r>
                <w:rPr>
                  <w:rStyle w:val="Hyperlink"/>
                </w:rPr>
                <w:t>3.7.1.18, SignatureType</w:t>
              </w:r>
            </w:hyperlink>
          </w:p>
        </w:tc>
      </w:tr>
      <w:tr w:rsidR="000A156F" w:rsidTr="000A156F">
        <w:tc>
          <w:tcPr>
            <w:tcW w:w="0" w:type="auto"/>
            <w:vAlign w:val="center"/>
          </w:tcPr>
          <w:p w:rsidR="000A156F" w:rsidRDefault="00A9721F">
            <w:pPr>
              <w:pStyle w:val="TableBodyText"/>
            </w:pPr>
            <w:r>
              <w:rPr>
                <w:b/>
              </w:rPr>
              <w:t>VerticalResolution</w:t>
            </w:r>
            <w:r>
              <w:t xml:space="preserve"> (Vertical Resolution)</w:t>
            </w:r>
          </w:p>
        </w:tc>
        <w:tc>
          <w:tcPr>
            <w:tcW w:w="0" w:type="auto"/>
            <w:vAlign w:val="center"/>
          </w:tcPr>
          <w:p w:rsidR="000A156F" w:rsidRDefault="00A9721F">
            <w:pPr>
              <w:pStyle w:val="TableBodyText"/>
            </w:pPr>
            <w:r>
              <w:t>§</w:t>
            </w:r>
            <w:hyperlink w:anchor="Section_893fb101ec9d4f8c9153f02e1ab6312b">
              <w:r>
                <w:rPr>
                  <w:rStyle w:val="Hyperlink"/>
                </w:rPr>
                <w:t>3.7.1.19, VerticalResolution</w:t>
              </w:r>
            </w:hyperlink>
          </w:p>
        </w:tc>
      </w:tr>
      <w:tr w:rsidR="000A156F" w:rsidTr="000A156F">
        <w:tc>
          <w:tcPr>
            <w:tcW w:w="0" w:type="auto"/>
            <w:vAlign w:val="center"/>
          </w:tcPr>
          <w:p w:rsidR="000A156F" w:rsidRDefault="00A9721F">
            <w:pPr>
              <w:pStyle w:val="TableBodyText"/>
            </w:pPr>
            <w:r>
              <w:rPr>
                <w:b/>
              </w:rPr>
              <w:t>WindowsVersion</w:t>
            </w:r>
            <w:r>
              <w:t xml:space="preserve"> (Windows Version)</w:t>
            </w:r>
          </w:p>
        </w:tc>
        <w:tc>
          <w:tcPr>
            <w:tcW w:w="0" w:type="auto"/>
            <w:vAlign w:val="center"/>
          </w:tcPr>
          <w:p w:rsidR="000A156F" w:rsidRDefault="00A9721F">
            <w:pPr>
              <w:pStyle w:val="TableBodyText"/>
            </w:pPr>
            <w:r>
              <w:t>§</w:t>
            </w:r>
            <w:hyperlink w:anchor="Section_ae87853684e54213896f28ec7f70b4aa">
              <w:r>
                <w:rPr>
                  <w:rStyle w:val="Hyperlink"/>
                </w:rPr>
                <w:t>3.7.1.20, WindowsVersion</w:t>
              </w:r>
            </w:hyperlink>
          </w:p>
        </w:tc>
      </w:tr>
    </w:tbl>
    <w:p w:rsidR="000A156F" w:rsidRDefault="000A156F"/>
    <w:p w:rsidR="000A156F" w:rsidRDefault="00A9721F">
      <w:r>
        <w:t>The following XML Schema fragment defines the contents of this element:</w:t>
      </w:r>
    </w:p>
    <w:p w:rsidR="000A156F" w:rsidRDefault="00A9721F">
      <w:pPr>
        <w:pStyle w:val="Code"/>
      </w:pPr>
      <w:r>
        <w:t>&lt;complexType name="CT_SignatureInfoV1"&gt;</w:t>
      </w:r>
    </w:p>
    <w:p w:rsidR="000A156F" w:rsidRDefault="00A9721F">
      <w:pPr>
        <w:pStyle w:val="Code"/>
      </w:pPr>
      <w:r>
        <w:t xml:space="preserve">  &lt;sequence&gt;</w:t>
      </w:r>
    </w:p>
    <w:p w:rsidR="000A156F" w:rsidRDefault="00A9721F">
      <w:pPr>
        <w:pStyle w:val="Code"/>
      </w:pPr>
      <w:r>
        <w:t xml:space="preserve">    &lt;group ref="EG_RequiredChildren"/&gt;</w:t>
      </w:r>
    </w:p>
    <w:p w:rsidR="000A156F" w:rsidRDefault="00A9721F">
      <w:pPr>
        <w:pStyle w:val="Code"/>
      </w:pPr>
      <w:r>
        <w:t xml:space="preserve">    </w:t>
      </w:r>
      <w:r>
        <w:t>&lt;group ref="EG_OptionalChildren" minOccurs="0"/&gt;</w:t>
      </w:r>
    </w:p>
    <w:p w:rsidR="000A156F" w:rsidRDefault="00A9721F">
      <w:pPr>
        <w:pStyle w:val="Code"/>
      </w:pPr>
      <w:r>
        <w:t xml:space="preserve">  &lt;/sequence&gt;</w:t>
      </w:r>
    </w:p>
    <w:p w:rsidR="000A156F" w:rsidRDefault="00A9721F">
      <w:pPr>
        <w:pStyle w:val="Code"/>
      </w:pPr>
      <w:r>
        <w:t>&lt;/complexType&gt;</w:t>
      </w:r>
    </w:p>
    <w:p w:rsidR="000A156F" w:rsidRDefault="00A9721F">
      <w:pPr>
        <w:pStyle w:val="Heading4"/>
      </w:pPr>
      <w:bookmarkStart w:id="4222" w:name="section_817e07a284144dd8af897daef5636490"/>
      <w:bookmarkStart w:id="4223" w:name="_Toc181685136"/>
      <w:r>
        <w:t>SignatureProviderDetails (Signature Provider Details)</w:t>
      </w:r>
      <w:bookmarkEnd w:id="4222"/>
      <w:bookmarkEnd w:id="4223"/>
      <w:r>
        <w:fldChar w:fldCharType="begin"/>
      </w:r>
      <w:r>
        <w:instrText xml:space="preserve"> XE "SignatureProviderDetails (Signature Provider Details)" </w:instrText>
      </w:r>
      <w:r>
        <w:fldChar w:fldCharType="end"/>
      </w:r>
    </w:p>
    <w:p w:rsidR="000A156F" w:rsidRDefault="00A9721F">
      <w:r>
        <w:t xml:space="preserve">Specifies details of the signature provider.  The value shall </w:t>
      </w:r>
      <w:r>
        <w:t>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t>0x00000000</w:t>
            </w:r>
          </w:p>
        </w:tc>
        <w:tc>
          <w:tcPr>
            <w:tcW w:w="0" w:type="auto"/>
            <w:vAlign w:val="center"/>
          </w:tcPr>
          <w:p w:rsidR="000A156F" w:rsidRDefault="00A9721F">
            <w:pPr>
              <w:pStyle w:val="TableBodyText"/>
            </w:pPr>
            <w:r>
              <w:t>Specifies that there are no restrictions on the provider's usage.</w:t>
            </w:r>
          </w:p>
        </w:tc>
      </w:tr>
      <w:tr w:rsidR="000A156F" w:rsidTr="000A156F">
        <w:tc>
          <w:tcPr>
            <w:tcW w:w="0" w:type="auto"/>
            <w:vAlign w:val="center"/>
          </w:tcPr>
          <w:p w:rsidR="000A156F" w:rsidRDefault="00A9721F">
            <w:pPr>
              <w:pStyle w:val="TableBodyText"/>
            </w:pPr>
            <w:r>
              <w:t>0x00000001</w:t>
            </w:r>
          </w:p>
        </w:tc>
        <w:tc>
          <w:tcPr>
            <w:tcW w:w="0" w:type="auto"/>
            <w:vAlign w:val="center"/>
          </w:tcPr>
          <w:p w:rsidR="000A156F" w:rsidRDefault="00A9721F">
            <w:pPr>
              <w:pStyle w:val="TableBodyText"/>
            </w:pPr>
            <w:r>
              <w:t>Specifies that the provider shall only be used for the UI.</w:t>
            </w:r>
          </w:p>
        </w:tc>
      </w:tr>
      <w:tr w:rsidR="000A156F" w:rsidTr="000A156F">
        <w:tc>
          <w:tcPr>
            <w:tcW w:w="0" w:type="auto"/>
            <w:vAlign w:val="center"/>
          </w:tcPr>
          <w:p w:rsidR="000A156F" w:rsidRDefault="00A9721F">
            <w:pPr>
              <w:pStyle w:val="TableBodyText"/>
            </w:pPr>
            <w:r>
              <w:t>0x00000002</w:t>
            </w:r>
          </w:p>
        </w:tc>
        <w:tc>
          <w:tcPr>
            <w:tcW w:w="0" w:type="auto"/>
            <w:vAlign w:val="center"/>
          </w:tcPr>
          <w:p w:rsidR="000A156F" w:rsidRDefault="00A9721F">
            <w:pPr>
              <w:pStyle w:val="TableBodyText"/>
            </w:pPr>
            <w:r>
              <w:t xml:space="preserve">Specifies that the provider shall only be used for invisible signatures. </w:t>
            </w:r>
          </w:p>
        </w:tc>
      </w:tr>
      <w:tr w:rsidR="000A156F" w:rsidTr="000A156F">
        <w:tc>
          <w:tcPr>
            <w:tcW w:w="0" w:type="auto"/>
            <w:vAlign w:val="center"/>
          </w:tcPr>
          <w:p w:rsidR="000A156F" w:rsidRDefault="00A9721F">
            <w:pPr>
              <w:pStyle w:val="TableBodyText"/>
            </w:pPr>
            <w:r>
              <w:t>0x00000004</w:t>
            </w:r>
          </w:p>
        </w:tc>
        <w:tc>
          <w:tcPr>
            <w:tcW w:w="0" w:type="auto"/>
            <w:vAlign w:val="center"/>
          </w:tcPr>
          <w:p w:rsidR="000A156F" w:rsidRDefault="00A9721F">
            <w:pPr>
              <w:pStyle w:val="TableBodyText"/>
            </w:pPr>
            <w:r>
              <w:t>Specifies that the provider shall only be used for visible signatures.</w:t>
            </w:r>
          </w:p>
        </w:tc>
      </w:tr>
      <w:tr w:rsidR="000A156F" w:rsidTr="000A156F">
        <w:tc>
          <w:tcPr>
            <w:tcW w:w="0" w:type="auto"/>
            <w:vAlign w:val="center"/>
          </w:tcPr>
          <w:p w:rsidR="000A156F" w:rsidRDefault="00A9721F">
            <w:pPr>
              <w:pStyle w:val="TableBodyText"/>
            </w:pPr>
            <w:r>
              <w:t>0x00000008</w:t>
            </w:r>
          </w:p>
        </w:tc>
        <w:tc>
          <w:tcPr>
            <w:tcW w:w="0" w:type="auto"/>
            <w:vAlign w:val="center"/>
          </w:tcPr>
          <w:p w:rsidR="000A156F" w:rsidRDefault="00A9721F">
            <w:pPr>
              <w:pStyle w:val="TableBodyText"/>
            </w:pPr>
            <w:r>
              <w:t>Specifies that Office UI shall be used for the provider.</w:t>
            </w:r>
          </w:p>
        </w:tc>
      </w:tr>
      <w:tr w:rsidR="000A156F" w:rsidTr="000A156F">
        <w:tc>
          <w:tcPr>
            <w:tcW w:w="0" w:type="auto"/>
            <w:vAlign w:val="center"/>
          </w:tcPr>
          <w:p w:rsidR="000A156F" w:rsidRDefault="00A9721F">
            <w:pPr>
              <w:pStyle w:val="TableBodyText"/>
            </w:pPr>
            <w:r>
              <w:t>0x00000010</w:t>
            </w:r>
          </w:p>
        </w:tc>
        <w:tc>
          <w:tcPr>
            <w:tcW w:w="0" w:type="auto"/>
            <w:vAlign w:val="center"/>
          </w:tcPr>
          <w:p w:rsidR="000A156F" w:rsidRDefault="00A9721F">
            <w:pPr>
              <w:pStyle w:val="TableBodyText"/>
            </w:pPr>
            <w:r>
              <w:t>Specifies that Off</w:t>
            </w:r>
            <w:r>
              <w:t>ice stamp UI shall be used for the provider.</w:t>
            </w:r>
          </w:p>
        </w:tc>
      </w:tr>
    </w:tbl>
    <w:p w:rsidR="000A156F" w:rsidRDefault="000A156F"/>
    <w:p w:rsidR="000A156F" w:rsidRDefault="000A156F"/>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pPr>
        <w:pStyle w:val="Heading4"/>
      </w:pPr>
      <w:bookmarkStart w:id="4224" w:name="section_67ad36eae0d24df6b7e1c3dc0d6b32ea"/>
      <w:bookmarkStart w:id="4225" w:name="_Toc181685137"/>
      <w:r>
        <w:t>SignatureProviderId (Signature Provider ID)</w:t>
      </w:r>
      <w:bookmarkEnd w:id="4224"/>
      <w:bookmarkEnd w:id="4225"/>
      <w:r>
        <w:fldChar w:fldCharType="begin"/>
      </w:r>
      <w:r>
        <w:instrText xml:space="preserve"> XE "SignatureProviderId (Signature Provider ID)" </w:instrText>
      </w:r>
      <w:r>
        <w:fldChar w:fldCharType="end"/>
      </w:r>
    </w:p>
    <w:p w:rsidR="000A156F" w:rsidRDefault="00A9721F">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w:t>
      </w:r>
      <w:r>
        <w:t xml:space="preserve"> East Asian signature provider.</w:t>
      </w:r>
    </w:p>
    <w:p w:rsidR="000A156F" w:rsidRDefault="00A9721F">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w:t>
            </w:r>
            <w:r>
              <w:rPr>
                <w:b/>
              </w:rPr>
              <w:t>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name="ST_UniqueIdentifierWithBraces"&gt;</w:t>
      </w:r>
    </w:p>
    <w:p w:rsidR="000A156F" w:rsidRDefault="00A9721F">
      <w:pPr>
        <w:pStyle w:val="Code"/>
      </w:pPr>
      <w:r>
        <w:t xml:space="preserve">  &lt;restriction base="xsd:st</w:t>
      </w:r>
      <w:r>
        <w:t>ring"&gt;</w:t>
      </w:r>
    </w:p>
    <w:p w:rsidR="000A156F" w:rsidRDefault="00A9721F">
      <w:pPr>
        <w:pStyle w:val="Code"/>
      </w:pPr>
      <w:r>
        <w:t xml:space="preserve">    &lt;pattern value="\{[0-9a-fA-F]{8}\-[0-9a-fA-F]{4}\-[0-9a-fA-F]{4}\-[0-9a-fA-F]{4}\-[0-9a-fA-F]{12}\}|"/&gt;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26" w:name="section_74b29f9a7df748178e172d784aadffe9"/>
      <w:bookmarkStart w:id="4227" w:name="_Toc181685138"/>
      <w:r>
        <w:t>SignatureProviderUrl (Signature Provider URL)</w:t>
      </w:r>
      <w:bookmarkEnd w:id="4226"/>
      <w:bookmarkEnd w:id="4227"/>
      <w:r>
        <w:fldChar w:fldCharType="begin"/>
      </w:r>
      <w:r>
        <w:instrText xml:space="preserve"> XE "SignatureProviderUrl (Signature Provider URL)" </w:instrText>
      </w:r>
      <w:r>
        <w:fldChar w:fldCharType="end"/>
      </w:r>
    </w:p>
    <w:p w:rsidR="000A156F" w:rsidRDefault="00A9721F">
      <w:r>
        <w:t xml:space="preserve">Specifies </w:t>
      </w:r>
      <w:r>
        <w:t>the URL of the software used to generate the digital signature.</w:t>
      </w:r>
    </w:p>
    <w:p w:rsidR="000A156F" w:rsidRDefault="00A9721F">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name="ST_SignatureProviderUrl"&gt;</w:t>
      </w:r>
    </w:p>
    <w:p w:rsidR="000A156F" w:rsidRDefault="00A9721F">
      <w:pPr>
        <w:pStyle w:val="Code"/>
      </w:pPr>
      <w:r>
        <w:t xml:space="preserve">  &lt;</w:t>
      </w:r>
      <w:r>
        <w:t>restriction base="xsd:string"&gt;</w:t>
      </w:r>
    </w:p>
    <w:p w:rsidR="000A156F" w:rsidRDefault="00A9721F">
      <w:pPr>
        <w:pStyle w:val="Code"/>
      </w:pPr>
      <w:r>
        <w:t xml:space="preserve">    &lt;maxLength value="2083"/&gt;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28" w:name="section_1821e4f974df4c2f83261b8cfbf05832"/>
      <w:bookmarkStart w:id="4229" w:name="_Toc181685139"/>
      <w:r>
        <w:t>SignatureText (Signature Text)</w:t>
      </w:r>
      <w:bookmarkEnd w:id="4228"/>
      <w:bookmarkEnd w:id="4229"/>
      <w:r>
        <w:fldChar w:fldCharType="begin"/>
      </w:r>
      <w:r>
        <w:instrText xml:space="preserve"> XE "SignatureText (Signature Text)" </w:instrText>
      </w:r>
      <w:r>
        <w:fldChar w:fldCharType="end"/>
      </w:r>
    </w:p>
    <w:p w:rsidR="000A156F" w:rsidRDefault="00A9721F">
      <w:r>
        <w:t>Specifies the text of actual signature in the digital signature.</w:t>
      </w:r>
    </w:p>
    <w:p w:rsidR="000A156F" w:rsidRDefault="00A9721F">
      <w:r>
        <w:t xml:space="preserve">The possible values for this </w:t>
      </w:r>
      <w:r>
        <w:t>element are defined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lastRenderedPageBreak/>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w:t>
              </w:r>
              <w:r>
                <w:rPr>
                  <w:rStyle w:val="Hyperlink"/>
                </w:rPr>
                <w:t xml:space="preserve">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name="ST_SignatureText"&gt;</w:t>
      </w:r>
    </w:p>
    <w:p w:rsidR="000A156F" w:rsidRDefault="00A9721F">
      <w:pPr>
        <w:pStyle w:val="Code"/>
      </w:pPr>
      <w:r>
        <w:t xml:space="preserve">  &lt;restriction base="xsd:string"&gt;</w:t>
      </w:r>
    </w:p>
    <w:p w:rsidR="000A156F" w:rsidRDefault="00A9721F">
      <w:pPr>
        <w:pStyle w:val="Code"/>
      </w:pPr>
      <w:r>
        <w:t xml:space="preserve">    &lt;maxLength value="100"/&gt;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30" w:name="section_f57f4e24eab6408c9e521bdd530a42f2"/>
      <w:bookmarkStart w:id="4231" w:name="_Toc181685140"/>
      <w:r>
        <w:t>SignatureType (Signature Type)</w:t>
      </w:r>
      <w:bookmarkEnd w:id="4230"/>
      <w:bookmarkEnd w:id="4231"/>
      <w:r>
        <w:fldChar w:fldCharType="begin"/>
      </w:r>
      <w:r>
        <w:instrText xml:space="preserve"> XE</w:instrText>
      </w:r>
      <w:r>
        <w:instrText xml:space="preserve"> "SignatureType (Signature Type)" </w:instrText>
      </w:r>
      <w:r>
        <w:fldChar w:fldCharType="end"/>
      </w:r>
    </w:p>
    <w:p w:rsidR="000A156F" w:rsidRDefault="00A9721F">
      <w:r>
        <w:t>Specifies the type of the digital signature.</w:t>
      </w:r>
    </w:p>
    <w:p w:rsidR="000A156F" w:rsidRDefault="00A9721F">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xml:space="preserve">, whose value shall define </w:t>
      </w:r>
      <w:r>
        <w:t xml:space="preserve">the image of a valid signature; and one with an Id value of </w:t>
      </w:r>
      <w:r>
        <w:rPr>
          <w:i/>
        </w:rPr>
        <w:t>idInvalidSigLnImg</w:t>
      </w:r>
      <w:r>
        <w:t>, whose value shall define the image of an invalid signature.</w:t>
      </w:r>
    </w:p>
    <w:p w:rsidR="000A156F" w:rsidRDefault="00A9721F">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 xml:space="preserve">The following XML Schema fragment defines the contents of this </w:t>
      </w:r>
      <w:r>
        <w:t>element:</w:t>
      </w:r>
    </w:p>
    <w:p w:rsidR="000A156F" w:rsidRDefault="00A9721F">
      <w:pPr>
        <w:pStyle w:val="Code"/>
      </w:pPr>
      <w:r>
        <w:t>&lt;simpleType name="ST_SignatureType"&gt;</w:t>
      </w:r>
    </w:p>
    <w:p w:rsidR="000A156F" w:rsidRDefault="00A9721F">
      <w:pPr>
        <w:pStyle w:val="Code"/>
      </w:pPr>
      <w:r>
        <w:t xml:space="preserve">  &lt;restriction base="xsd:int"&gt;</w:t>
      </w:r>
    </w:p>
    <w:p w:rsidR="000A156F" w:rsidRDefault="00A9721F">
      <w:pPr>
        <w:pStyle w:val="Code"/>
      </w:pPr>
      <w:r>
        <w:t xml:space="preserve">    &lt;enumeration value="1"/&gt;</w:t>
      </w:r>
    </w:p>
    <w:p w:rsidR="000A156F" w:rsidRDefault="00A9721F">
      <w:pPr>
        <w:pStyle w:val="Code"/>
      </w:pPr>
      <w:r>
        <w:t xml:space="preserve">    &lt;enumeration value="2"/&gt;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32" w:name="section_893fb101ec9d4f8c9153f02e1ab6312b"/>
      <w:bookmarkStart w:id="4233" w:name="_Toc181685141"/>
      <w:r>
        <w:t>VerticalResolution (Vertical Resolution)</w:t>
      </w:r>
      <w:bookmarkEnd w:id="4232"/>
      <w:bookmarkEnd w:id="4233"/>
      <w:r>
        <w:fldChar w:fldCharType="begin"/>
      </w:r>
      <w:r>
        <w:instrText xml:space="preserve"> XE "VerticalResolution (Vertical Resolution)" </w:instrText>
      </w:r>
      <w:r>
        <w:fldChar w:fldCharType="end"/>
      </w:r>
    </w:p>
    <w:p w:rsidR="000A156F" w:rsidRDefault="00A9721F">
      <w:r>
        <w:t>Specifies the vertical resolution of the primary monitor of the machine on which the digital signature was created.</w:t>
      </w:r>
    </w:p>
    <w:p w:rsidR="000A156F" w:rsidRDefault="00A9721F">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w:t>
      </w:r>
      <w:r>
        <w:t>nes the contents of this element:</w:t>
      </w:r>
    </w:p>
    <w:p w:rsidR="000A156F" w:rsidRDefault="00A9721F">
      <w:pPr>
        <w:pStyle w:val="Code"/>
      </w:pPr>
      <w:r>
        <w:lastRenderedPageBreak/>
        <w:t>&lt;simpleType name="ST_PositiveInteger"&gt;</w:t>
      </w:r>
    </w:p>
    <w:p w:rsidR="000A156F" w:rsidRDefault="00A9721F">
      <w:pPr>
        <w:pStyle w:val="Code"/>
      </w:pPr>
      <w:r>
        <w:t xml:space="preserve">  &lt;restriction base="xsd:int"&gt;</w:t>
      </w:r>
    </w:p>
    <w:p w:rsidR="000A156F" w:rsidRDefault="00A9721F">
      <w:pPr>
        <w:pStyle w:val="Code"/>
      </w:pPr>
      <w:r>
        <w:t xml:space="preserve">    &lt;minExclusive value="0"/&gt;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34" w:name="section_ae87853684e54213896f28ec7f70b4aa"/>
      <w:bookmarkStart w:id="4235" w:name="_Toc181685142"/>
      <w:r>
        <w:t>WindowsVersion (Windows Version)</w:t>
      </w:r>
      <w:bookmarkEnd w:id="4234"/>
      <w:bookmarkEnd w:id="4235"/>
      <w:r>
        <w:fldChar w:fldCharType="begin"/>
      </w:r>
      <w:r>
        <w:instrText xml:space="preserve"> XE "WindowsVersion (Windows Version)" </w:instrText>
      </w:r>
      <w:r>
        <w:fldChar w:fldCharType="end"/>
      </w:r>
    </w:p>
    <w:p w:rsidR="000A156F" w:rsidRDefault="00A9721F">
      <w:r>
        <w:t xml:space="preserve">Specifies the </w:t>
      </w:r>
      <w:r>
        <w:t>version of the operating system on which the digital signature was created.</w:t>
      </w:r>
    </w:p>
    <w:p w:rsidR="000A156F" w:rsidRDefault="00A9721F">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Parent Element</w:t>
            </w:r>
            <w:r>
              <w:t>s</w:t>
            </w:r>
          </w:p>
        </w:tc>
      </w:tr>
      <w:tr w:rsidR="000A156F" w:rsidTr="000A156F">
        <w:tc>
          <w:tcPr>
            <w:tcW w:w="0" w:type="auto"/>
            <w:vAlign w:val="center"/>
          </w:tcPr>
          <w:p w:rsidR="000A156F" w:rsidRDefault="00A9721F">
            <w:pPr>
              <w:pStyle w:val="TableBodyText"/>
            </w:pPr>
            <w:r>
              <w:rPr>
                <w:b/>
              </w:rPr>
              <w:t>SignatureInfoV1</w:t>
            </w:r>
            <w:r>
              <w:t xml:space="preserve"> (§</w:t>
            </w:r>
            <w:hyperlink w:anchor="Section_e1d590674b8849f19da10255d76b4ffa">
              <w:r>
                <w:rPr>
                  <w:rStyle w:val="Hyperlink"/>
                </w:rPr>
                <w:t>3.7.1.13, SignatureInfoV1</w:t>
              </w:r>
            </w:hyperlink>
            <w:r>
              <w:t>)</w:t>
            </w:r>
          </w:p>
        </w:tc>
      </w:tr>
    </w:tbl>
    <w:p w:rsidR="000A156F" w:rsidRDefault="000A156F"/>
    <w:p w:rsidR="000A156F" w:rsidRDefault="00A9721F">
      <w:r>
        <w:t>The following XML Schema fragment defines the contents of this element:</w:t>
      </w:r>
    </w:p>
    <w:p w:rsidR="000A156F" w:rsidRDefault="00A9721F">
      <w:pPr>
        <w:pStyle w:val="Code"/>
      </w:pPr>
      <w:r>
        <w:t>&lt;simpleType name="ST_Version"&gt;</w:t>
      </w:r>
    </w:p>
    <w:p w:rsidR="000A156F" w:rsidRDefault="00A9721F">
      <w:pPr>
        <w:pStyle w:val="Code"/>
      </w:pPr>
      <w:r>
        <w:t xml:space="preserve">  &lt;restriction base="xsd:string"&gt;</w:t>
      </w:r>
    </w:p>
    <w:p w:rsidR="000A156F" w:rsidRDefault="00A9721F">
      <w:pPr>
        <w:pStyle w:val="Code"/>
      </w:pPr>
      <w:r>
        <w:t xml:space="preserve">    &lt;m</w:t>
      </w:r>
      <w:r>
        <w:t>axLength value="64"/&gt;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3"/>
      </w:pPr>
      <w:bookmarkStart w:id="4236" w:name="section_b4881ca5844b40749239281e24d3de66"/>
      <w:bookmarkStart w:id="4237" w:name="_Toc181685143"/>
      <w:r>
        <w:t>Simple Types</w:t>
      </w:r>
      <w:bookmarkEnd w:id="4236"/>
      <w:bookmarkEnd w:id="4237"/>
      <w:r>
        <w:fldChar w:fldCharType="begin"/>
      </w:r>
      <w:r>
        <w:instrText xml:space="preserve"> XE "Simple Types" </w:instrText>
      </w:r>
      <w:r>
        <w:fldChar w:fldCharType="end"/>
      </w:r>
    </w:p>
    <w:p w:rsidR="000A156F" w:rsidRDefault="00A9721F">
      <w:r>
        <w:t>This is the complete list of simple types in the http://schemas.microsoft.com/office/2006/digsig namespace.</w:t>
      </w:r>
    </w:p>
    <w:p w:rsidR="000A156F" w:rsidRDefault="00A9721F">
      <w:pPr>
        <w:pStyle w:val="Heading4"/>
      </w:pPr>
      <w:bookmarkStart w:id="4238" w:name="section_03aa848c942d469c817522d4948e0eb2"/>
      <w:bookmarkStart w:id="4239" w:name="_Toc181685144"/>
      <w:r>
        <w:t>ST_PositiveInteger (Positive Integer)</w:t>
      </w:r>
      <w:bookmarkEnd w:id="4238"/>
      <w:bookmarkEnd w:id="4239"/>
      <w:r>
        <w:fldChar w:fldCharType="begin"/>
      </w:r>
      <w:r>
        <w:instrText xml:space="preserve"> XE "ST_PositiveInteger (Positive Integer)" </w:instrText>
      </w:r>
      <w:r>
        <w:fldChar w:fldCharType="end"/>
      </w:r>
    </w:p>
    <w:p w:rsidR="000A156F" w:rsidRDefault="00A9721F">
      <w:r>
        <w:t>This simple type's contents are a restriction of the XML Schema int datatype.</w:t>
      </w:r>
    </w:p>
    <w:p w:rsidR="000A156F" w:rsidRDefault="00A9721F">
      <w:r>
        <w:t>This simple type also specifies the following restrictions:</w:t>
      </w:r>
    </w:p>
    <w:p w:rsidR="000A156F" w:rsidRDefault="00A9721F">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0A156F" w:rsidRDefault="000A156F"/>
    <w:p w:rsidR="000A156F" w:rsidRDefault="00A9721F">
      <w:r>
        <w:t>The following XML Schema fragment defines the contents of t</w:t>
      </w:r>
      <w:r>
        <w:t>his simple type:</w:t>
      </w:r>
    </w:p>
    <w:p w:rsidR="000A156F" w:rsidRDefault="00A9721F">
      <w:pPr>
        <w:pStyle w:val="Code"/>
      </w:pPr>
      <w:r>
        <w:t>&lt;simpleType name="ST_PositiveInteger"&gt;</w:t>
      </w:r>
    </w:p>
    <w:p w:rsidR="000A156F" w:rsidRDefault="00A9721F">
      <w:pPr>
        <w:pStyle w:val="Code"/>
      </w:pPr>
      <w:r>
        <w:t xml:space="preserve">  &lt;restriction base="xsd:int"&gt;</w:t>
      </w:r>
    </w:p>
    <w:p w:rsidR="000A156F" w:rsidRDefault="00A9721F">
      <w:pPr>
        <w:pStyle w:val="Code"/>
      </w:pPr>
      <w:r>
        <w:t xml:space="preserve">    &lt;minExclusive value="0"/&gt;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40" w:name="section_4e92419771bc4dd7a396a223845eba27"/>
      <w:bookmarkStart w:id="4241" w:name="_Toc181685145"/>
      <w:r>
        <w:lastRenderedPageBreak/>
        <w:t>ST_SignatureComments (Signature Comments)</w:t>
      </w:r>
      <w:bookmarkEnd w:id="4240"/>
      <w:bookmarkEnd w:id="4241"/>
      <w:r>
        <w:fldChar w:fldCharType="begin"/>
      </w:r>
      <w:r>
        <w:instrText xml:space="preserve"> XE "ST_SignatureComments (Signature Comments)" </w:instrText>
      </w:r>
      <w:r>
        <w:fldChar w:fldCharType="end"/>
      </w:r>
    </w:p>
    <w:p w:rsidR="000A156F" w:rsidRDefault="00A9721F">
      <w:r>
        <w:t xml:space="preserve">This simple </w:t>
      </w:r>
      <w:r>
        <w:t>type's contents are a restriction of the XML Schema string datatype.</w:t>
      </w:r>
    </w:p>
    <w:p w:rsidR="000A156F" w:rsidRDefault="00A9721F">
      <w:r>
        <w:t>This simple type also specifies the following restrictions:</w:t>
      </w:r>
    </w:p>
    <w:p w:rsidR="000A156F" w:rsidRDefault="00A9721F">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name="ST_SignatureComments"&gt;</w:t>
      </w:r>
    </w:p>
    <w:p w:rsidR="000A156F" w:rsidRDefault="00A9721F">
      <w:pPr>
        <w:pStyle w:val="Code"/>
      </w:pPr>
      <w:r>
        <w:t xml:space="preserve">  &lt;restriction base="xsd:string"&gt;</w:t>
      </w:r>
    </w:p>
    <w:p w:rsidR="000A156F" w:rsidRDefault="00A9721F">
      <w:pPr>
        <w:pStyle w:val="Code"/>
      </w:pPr>
      <w:r>
        <w:t xml:space="preserve">    &lt;maxLength value="255"/&gt;</w:t>
      </w:r>
    </w:p>
    <w:p w:rsidR="000A156F" w:rsidRDefault="00A9721F">
      <w:pPr>
        <w:pStyle w:val="Code"/>
      </w:pPr>
      <w:r>
        <w:t xml:space="preserve">  &lt;/r</w:t>
      </w:r>
      <w:r>
        <w:t>estriction&gt;</w:t>
      </w:r>
    </w:p>
    <w:p w:rsidR="000A156F" w:rsidRDefault="00A9721F">
      <w:pPr>
        <w:pStyle w:val="Code"/>
      </w:pPr>
      <w:r>
        <w:t>&lt;/simpleType&gt;</w:t>
      </w:r>
    </w:p>
    <w:p w:rsidR="000A156F" w:rsidRDefault="00A9721F">
      <w:pPr>
        <w:pStyle w:val="Heading4"/>
      </w:pPr>
      <w:bookmarkStart w:id="4242" w:name="section_2fdd7f10d23a40ee9431d04ec89bb73c"/>
      <w:bookmarkStart w:id="4243" w:name="_Toc181685146"/>
      <w:r>
        <w:t>ST_SignatureProviderUrl (Signature Provider URL)</w:t>
      </w:r>
      <w:bookmarkEnd w:id="4242"/>
      <w:bookmarkEnd w:id="4243"/>
      <w:r>
        <w:fldChar w:fldCharType="begin"/>
      </w:r>
      <w:r>
        <w:instrText xml:space="preserve"> XE "ST_SignatureProviderUrl (Signature Provider URL)" </w:instrText>
      </w:r>
      <w:r>
        <w:fldChar w:fldCharType="end"/>
      </w:r>
    </w:p>
    <w:p w:rsidR="000A156F" w:rsidRDefault="00A9721F">
      <w:r>
        <w:t>This simple type's contents are a restriction of the XML Schema string datatype.</w:t>
      </w:r>
    </w:p>
    <w:p w:rsidR="000A156F" w:rsidRDefault="00A9721F">
      <w:r>
        <w:t xml:space="preserve">This simple type also specifies the </w:t>
      </w:r>
      <w:r>
        <w:t>following restrictions:</w:t>
      </w:r>
    </w:p>
    <w:p w:rsidR="000A156F" w:rsidRDefault="00A9721F">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0A156F" w:rsidRDefault="000A156F"/>
    <w:p w:rsidR="000A156F" w:rsidRDefault="00A9721F">
      <w:r>
        <w:t>The following XML Schema fr</w:t>
      </w:r>
      <w:r>
        <w:t>agment defines the contents of this simple type:</w:t>
      </w:r>
    </w:p>
    <w:p w:rsidR="000A156F" w:rsidRDefault="00A9721F">
      <w:pPr>
        <w:pStyle w:val="Code"/>
      </w:pPr>
      <w:r>
        <w:t>&lt;simpleType name="ST_SignatureProviderUrl"&gt;</w:t>
      </w:r>
    </w:p>
    <w:p w:rsidR="000A156F" w:rsidRDefault="00A9721F">
      <w:pPr>
        <w:pStyle w:val="Code"/>
      </w:pPr>
      <w:r>
        <w:t xml:space="preserve">  &lt;restriction base="xsd:string"&gt;</w:t>
      </w:r>
    </w:p>
    <w:p w:rsidR="000A156F" w:rsidRDefault="00A9721F">
      <w:pPr>
        <w:pStyle w:val="Code"/>
      </w:pPr>
      <w:r>
        <w:t xml:space="preserve">    &lt;maxLength value="2083"/&gt;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44" w:name="section_4bac229a77b34557aa4ce93641da133d"/>
      <w:bookmarkStart w:id="4245" w:name="_Toc181685147"/>
      <w:r>
        <w:t>ST_SignatureText (Signature Text)</w:t>
      </w:r>
      <w:bookmarkEnd w:id="4244"/>
      <w:bookmarkEnd w:id="4245"/>
      <w:r>
        <w:fldChar w:fldCharType="begin"/>
      </w:r>
      <w:r>
        <w:instrText xml:space="preserve"> XE "ST_SignatureText (Signature Te</w:instrText>
      </w:r>
      <w:r>
        <w:instrText xml:space="preserve">xt)" </w:instrText>
      </w:r>
      <w:r>
        <w:fldChar w:fldCharType="end"/>
      </w:r>
    </w:p>
    <w:p w:rsidR="000A156F" w:rsidRDefault="00A9721F">
      <w:r>
        <w:t>This simple type's contents are a restriction of the XML Schema string datatype.</w:t>
      </w:r>
    </w:p>
    <w:p w:rsidR="000A156F" w:rsidRDefault="00A9721F">
      <w:r>
        <w:t>This simple type also specifies the following restrictions:</w:t>
      </w:r>
    </w:p>
    <w:p w:rsidR="000A156F" w:rsidRDefault="00A9721F">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SignatureText</w:t>
            </w:r>
            <w:r>
              <w:t xml:space="preserve"> (§</w:t>
            </w:r>
            <w:hyperlink w:anchor="Section_1821e4f974df4c2f83261b8cfbf05832">
              <w:r>
                <w:rPr>
                  <w:rStyle w:val="Hyperlink"/>
                </w:rPr>
                <w:t>3.7.1.17, SignatureText</w:t>
              </w:r>
            </w:hyperlink>
            <w:r>
              <w:t>)</w:t>
            </w:r>
          </w:p>
        </w:tc>
      </w:tr>
    </w:tbl>
    <w:p w:rsidR="000A156F" w:rsidRDefault="000A156F"/>
    <w:p w:rsidR="000A156F" w:rsidRDefault="00A9721F">
      <w:r>
        <w:lastRenderedPageBreak/>
        <w:t>The following XML Schema fragment defines the contents of this simple type:</w:t>
      </w:r>
    </w:p>
    <w:p w:rsidR="000A156F" w:rsidRDefault="00A9721F">
      <w:pPr>
        <w:pStyle w:val="Code"/>
      </w:pPr>
      <w:r>
        <w:t>&lt;simpleType name="ST_SignatureText"&gt;</w:t>
      </w:r>
    </w:p>
    <w:p w:rsidR="000A156F" w:rsidRDefault="00A9721F">
      <w:pPr>
        <w:pStyle w:val="Code"/>
      </w:pPr>
      <w:r>
        <w:t xml:space="preserve">  &lt;restriction base="xsd:string"&gt;</w:t>
      </w:r>
    </w:p>
    <w:p w:rsidR="000A156F" w:rsidRDefault="00A9721F">
      <w:pPr>
        <w:pStyle w:val="Code"/>
      </w:pPr>
      <w:r>
        <w:t xml:space="preserve">    &lt;maxLength value=</w:t>
      </w:r>
      <w:r>
        <w:t>"100"/&gt;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46" w:name="section_65d1befb272a48f59a5b3896300299ee"/>
      <w:bookmarkStart w:id="4247" w:name="_Toc181685148"/>
      <w:r>
        <w:t>ST_SignatureType (Signature Type)</w:t>
      </w:r>
      <w:bookmarkEnd w:id="4246"/>
      <w:bookmarkEnd w:id="4247"/>
      <w:r>
        <w:fldChar w:fldCharType="begin"/>
      </w:r>
      <w:r>
        <w:instrText xml:space="preserve"> XE "ST_SignatureType (Signature Type)" </w:instrText>
      </w:r>
      <w:r>
        <w:fldChar w:fldCharType="end"/>
      </w:r>
    </w:p>
    <w:p w:rsidR="000A156F" w:rsidRDefault="00A9721F">
      <w:r>
        <w:t>This simple type's contents are a restriction of the XML Schema int datatype.</w:t>
      </w:r>
    </w:p>
    <w:p w:rsidR="000A156F" w:rsidRDefault="00A9721F">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En</w:t>
            </w:r>
            <w:r>
              <w:t>umeration 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b/>
              </w:rPr>
              <w:t>1</w:t>
            </w:r>
            <w:r>
              <w:t xml:space="preserve"> (Invisible)</w:t>
            </w:r>
          </w:p>
        </w:tc>
        <w:tc>
          <w:tcPr>
            <w:tcW w:w="0" w:type="auto"/>
            <w:vAlign w:val="center"/>
          </w:tcPr>
          <w:p w:rsidR="000A156F" w:rsidRDefault="00A9721F">
            <w:pPr>
              <w:pStyle w:val="TableBodyText"/>
            </w:pPr>
            <w:r>
              <w:t>Specifies that there shall not be a visible representation of the digital signature.</w:t>
            </w:r>
          </w:p>
        </w:tc>
      </w:tr>
      <w:tr w:rsidR="000A156F" w:rsidTr="000A156F">
        <w:tc>
          <w:tcPr>
            <w:tcW w:w="0" w:type="auto"/>
            <w:vAlign w:val="center"/>
          </w:tcPr>
          <w:p w:rsidR="000A156F" w:rsidRDefault="00A9721F">
            <w:pPr>
              <w:pStyle w:val="TableBodyText"/>
            </w:pPr>
            <w:r>
              <w:rPr>
                <w:b/>
              </w:rPr>
              <w:t>2</w:t>
            </w:r>
            <w:r>
              <w:t xml:space="preserve"> (Signature Line)</w:t>
            </w:r>
          </w:p>
        </w:tc>
        <w:tc>
          <w:tcPr>
            <w:tcW w:w="0" w:type="auto"/>
            <w:vAlign w:val="center"/>
          </w:tcPr>
          <w:p w:rsidR="000A156F" w:rsidRDefault="00A9721F">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rsidR="000A156F" w:rsidRDefault="000A156F"/>
    <w:p w:rsidR="000A156F" w:rsidRDefault="000A156F"/>
    <w:tbl>
      <w:tblPr>
        <w:tblStyle w:val="Table-ShadedHeader"/>
        <w:tblW w:w="0" w:type="auto"/>
        <w:tblLook w:val="04A0" w:firstRow="1" w:lastRow="0" w:firstColumn="1" w:lastColumn="0" w:noHBand="0" w:noVBand="1"/>
      </w:tblPr>
      <w:tblGrid>
        <w:gridCol w:w="3803"/>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SignatureType</w:t>
            </w:r>
            <w:r>
              <w:t xml:space="preserve"> (§</w:t>
            </w:r>
            <w:hyperlink w:anchor="Section_f57f4e24eab6408c9e521bdd530a42f2">
              <w:r>
                <w:rPr>
                  <w:rStyle w:val="Hyperlink"/>
                </w:rPr>
                <w:t>3.7.1.18, SignatureType</w:t>
              </w:r>
            </w:hyperlink>
            <w:r>
              <w:t>)</w:t>
            </w:r>
          </w:p>
        </w:tc>
      </w:tr>
    </w:tbl>
    <w:p w:rsidR="000A156F" w:rsidRDefault="000A156F"/>
    <w:p w:rsidR="000A156F" w:rsidRDefault="00A9721F">
      <w:r>
        <w:t xml:space="preserve">The </w:t>
      </w:r>
      <w:r>
        <w:t>following XML Schema fragment defines the contents of this simple type:</w:t>
      </w:r>
    </w:p>
    <w:p w:rsidR="000A156F" w:rsidRDefault="00A9721F">
      <w:pPr>
        <w:pStyle w:val="Code"/>
      </w:pPr>
      <w:r>
        <w:t>&lt;simpleType name="ST_SignatureType"&gt;</w:t>
      </w:r>
    </w:p>
    <w:p w:rsidR="000A156F" w:rsidRDefault="00A9721F">
      <w:pPr>
        <w:pStyle w:val="Code"/>
      </w:pPr>
      <w:r>
        <w:t xml:space="preserve">  &lt;restriction base="xsd:int"&gt;</w:t>
      </w:r>
    </w:p>
    <w:p w:rsidR="000A156F" w:rsidRDefault="00A9721F">
      <w:pPr>
        <w:pStyle w:val="Code"/>
      </w:pPr>
      <w:r>
        <w:t xml:space="preserve">    &lt;enumeration value="1"/&gt;</w:t>
      </w:r>
    </w:p>
    <w:p w:rsidR="000A156F" w:rsidRDefault="00A9721F">
      <w:pPr>
        <w:pStyle w:val="Code"/>
      </w:pPr>
      <w:r>
        <w:t xml:space="preserve">    &lt;enumeration value="2"/&gt;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48" w:name="section_6478af0db7b4409889c50d291a9cf0ce"/>
      <w:bookmarkStart w:id="4249" w:name="_Toc181685149"/>
      <w:r>
        <w:t>ST_UniqueIdentifierWithBrac</w:t>
      </w:r>
      <w:r>
        <w:t>es (Unique Identifier with Braces)</w:t>
      </w:r>
      <w:bookmarkEnd w:id="4248"/>
      <w:bookmarkEnd w:id="4249"/>
      <w:r>
        <w:fldChar w:fldCharType="begin"/>
      </w:r>
      <w:r>
        <w:instrText xml:space="preserve"> XE "ST_UniqueIdentifierWithBraces (Unique Identifier with Braces)" </w:instrText>
      </w:r>
      <w:r>
        <w:fldChar w:fldCharType="end"/>
      </w:r>
    </w:p>
    <w:p w:rsidR="000A156F" w:rsidRDefault="00A9721F">
      <w:r>
        <w:t>This simple type's contents are a restriction of the XML Schema string datatype.</w:t>
      </w:r>
    </w:p>
    <w:p w:rsidR="000A156F" w:rsidRDefault="00A9721F">
      <w:r>
        <w:t>This simple type also specifies the following restrictions:</w:t>
      </w:r>
    </w:p>
    <w:p w:rsidR="000A156F" w:rsidRDefault="00A9721F">
      <w:pPr>
        <w:pStyle w:val="ListParagraph"/>
        <w:numPr>
          <w:ilvl w:val="0"/>
          <w:numId w:val="222"/>
        </w:numPr>
      </w:pPr>
      <w:r>
        <w:t>This simpl</w:t>
      </w:r>
      <w:r>
        <w:t>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7404"/>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SetupID</w:t>
            </w:r>
            <w:r>
              <w:t xml:space="preserve"> (§</w:t>
            </w:r>
            <w:hyperlink w:anchor="Section_0bc6416855b2438bb0db2ffc5bb065de">
              <w:r>
                <w:rPr>
                  <w:rStyle w:val="Hyperlink"/>
                </w:rPr>
                <w:t xml:space="preserve">3.7.1.10, </w:t>
              </w:r>
              <w:r>
                <w:rPr>
                  <w:rStyle w:val="Hyperlink"/>
                </w:rPr>
                <w:t>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lastRenderedPageBreak/>
        <w:t>&lt;simpleType name="ST_UniqueIdentifierWithBraces"&gt;</w:t>
      </w:r>
    </w:p>
    <w:p w:rsidR="000A156F" w:rsidRDefault="00A9721F">
      <w:pPr>
        <w:pStyle w:val="Code"/>
      </w:pPr>
      <w:r>
        <w:t xml:space="preserve">  </w:t>
      </w:r>
      <w:r>
        <w:t>&lt;restriction base="xsd:string"&gt;</w:t>
      </w:r>
    </w:p>
    <w:p w:rsidR="000A156F" w:rsidRDefault="00A9721F">
      <w:pPr>
        <w:pStyle w:val="Code"/>
      </w:pPr>
      <w:r>
        <w:t xml:space="preserve">    &lt;pattern value="\{[0-9a-fA-F]{8}\-[0-9a-fA-F]{4}\-[0-9a-fA-F]{4}\-[0-9a-fA-F]{4}\-[0-9a-fA-F]{12}\}|"/&gt;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4"/>
      </w:pPr>
      <w:bookmarkStart w:id="4250" w:name="section_9c80c836e9844ac89c825d2d5bf63221"/>
      <w:bookmarkStart w:id="4251" w:name="_Toc181685150"/>
      <w:r>
        <w:t>ST_Version (Version)</w:t>
      </w:r>
      <w:bookmarkEnd w:id="4250"/>
      <w:bookmarkEnd w:id="4251"/>
      <w:r>
        <w:fldChar w:fldCharType="begin"/>
      </w:r>
      <w:r>
        <w:instrText xml:space="preserve"> XE "ST_Version (Version)" </w:instrText>
      </w:r>
      <w:r>
        <w:fldChar w:fldCharType="end"/>
      </w:r>
    </w:p>
    <w:p w:rsidR="000A156F" w:rsidRDefault="00A9721F">
      <w:r>
        <w:t>Specifies a version number in the f</w:t>
      </w:r>
      <w:r>
        <w:t xml:space="preserve">orm </w:t>
      </w:r>
      <w:r>
        <w:rPr>
          <w:i/>
        </w:rPr>
        <w:t>X.Y</w:t>
      </w:r>
      <w:r>
        <w:t xml:space="preserve">, where </w:t>
      </w:r>
      <w:r>
        <w:rPr>
          <w:i/>
        </w:rPr>
        <w:t>X</w:t>
      </w:r>
      <w:r>
        <w:t xml:space="preserve"> is the major version number and </w:t>
      </w:r>
      <w:r>
        <w:rPr>
          <w:i/>
        </w:rPr>
        <w:t>Y</w:t>
      </w:r>
      <w:r>
        <w:t xml:space="preserve"> is the minor version number.</w:t>
      </w:r>
    </w:p>
    <w:p w:rsidR="000A156F" w:rsidRDefault="00A9721F">
      <w:r>
        <w:t>This simple type's contents are a restriction of the XML Schema string datatype.</w:t>
      </w:r>
    </w:p>
    <w:p w:rsidR="000A156F" w:rsidRDefault="00A9721F">
      <w:r>
        <w:t>This simple type also specifies the following restrictions:</w:t>
      </w:r>
    </w:p>
    <w:p w:rsidR="000A156F" w:rsidRDefault="00A9721F">
      <w:pPr>
        <w:pStyle w:val="ListParagraph"/>
        <w:numPr>
          <w:ilvl w:val="0"/>
          <w:numId w:val="223"/>
        </w:numPr>
      </w:pPr>
      <w:r>
        <w:t xml:space="preserve">This simple type's contents have a </w:t>
      </w:r>
      <w:r>
        <w:t>maximum length of 64 characters.</w:t>
      </w:r>
    </w:p>
    <w:tbl>
      <w:tblPr>
        <w:tblStyle w:val="Table-ShadedHeader"/>
        <w:tblW w:w="0" w:type="auto"/>
        <w:tblLook w:val="04A0" w:firstRow="1" w:lastRow="0" w:firstColumn="1" w:lastColumn="0" w:noHBand="0" w:noVBand="1"/>
      </w:tblPr>
      <w:tblGrid>
        <w:gridCol w:w="9475"/>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Referenced By</w:t>
            </w:r>
          </w:p>
        </w:tc>
      </w:tr>
      <w:tr w:rsidR="000A156F" w:rsidTr="000A156F">
        <w:tc>
          <w:tcPr>
            <w:tcW w:w="0" w:type="auto"/>
            <w:vAlign w:val="center"/>
          </w:tcPr>
          <w:p w:rsidR="000A156F" w:rsidRDefault="00A9721F">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w:t>
              </w:r>
              <w:r>
                <w:rPr>
                  <w:rStyle w:val="Hyperlink"/>
                </w:rPr>
                <w:t>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0A156F" w:rsidRDefault="000A156F"/>
    <w:p w:rsidR="000A156F" w:rsidRDefault="00A9721F">
      <w:r>
        <w:t>The following XML Schema fragment defines the contents of this simple type:</w:t>
      </w:r>
    </w:p>
    <w:p w:rsidR="000A156F" w:rsidRDefault="00A9721F">
      <w:pPr>
        <w:pStyle w:val="Code"/>
      </w:pPr>
      <w:r>
        <w:t>&lt;simpleType name="ST_Version"&gt;</w:t>
      </w:r>
    </w:p>
    <w:p w:rsidR="000A156F" w:rsidRDefault="00A9721F">
      <w:pPr>
        <w:pStyle w:val="Code"/>
      </w:pPr>
      <w:r>
        <w:t xml:space="preserve">  &lt;</w:t>
      </w:r>
      <w:r>
        <w:t>restriction base="xsd:string"&gt;</w:t>
      </w:r>
    </w:p>
    <w:p w:rsidR="000A156F" w:rsidRDefault="00A9721F">
      <w:pPr>
        <w:pStyle w:val="Code"/>
      </w:pPr>
      <w:r>
        <w:t xml:space="preserve">    &lt;maxLength value="64"/&gt;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2"/>
      </w:pPr>
      <w:bookmarkStart w:id="4252" w:name="section_f6bb45e674ca4e37a30b13a40d6ea3ff"/>
      <w:bookmarkStart w:id="4253" w:name="_Toc181685151"/>
      <w:r>
        <w:t>Equation XML</w:t>
      </w:r>
      <w:bookmarkEnd w:id="4252"/>
      <w:bookmarkEnd w:id="4253"/>
    </w:p>
    <w:p w:rsidR="000A156F" w:rsidRDefault="00A9721F">
      <w:pPr>
        <w:pStyle w:val="Heading3"/>
      </w:pPr>
      <w:bookmarkStart w:id="4254" w:name="section_d107771466614178b6dfaa3272635214"/>
      <w:bookmarkStart w:id="4255" w:name="_Toc181685152"/>
      <w:r>
        <w:t>Introduction</w:t>
      </w:r>
      <w:bookmarkEnd w:id="4254"/>
      <w:bookmarkEnd w:id="4255"/>
      <w:r>
        <w:fldChar w:fldCharType="begin"/>
      </w:r>
      <w:r>
        <w:instrText xml:space="preserve"> XE "Introduction" </w:instrText>
      </w:r>
      <w:r>
        <w:fldChar w:fldCharType="end"/>
      </w:r>
    </w:p>
    <w:p w:rsidR="000A156F" w:rsidRDefault="00A9721F">
      <w:r>
        <w:t>Word supports a Compatibility Mode in which it disables functionality not compatible with earlier versions of Word. Ver</w:t>
      </w:r>
      <w:r>
        <w:t>sions of Word prior to Word 2007 do not have native support for displaying Office Open XML Math.  Instances of Office Open XML Math in Word documents are converted to pictures to preserve their visual fidelity when opened in versions of Word earlier than W</w:t>
      </w:r>
      <w:r>
        <w:t xml:space="preserve">ord 2007. To do this, Word adds additional information to those pictures, using the </w:t>
      </w:r>
      <w:r>
        <w:rPr>
          <w:b/>
        </w:rPr>
        <w:t>equationxml</w:t>
      </w:r>
      <w:r>
        <w:t xml:space="preserve"> attribute present on the </w:t>
      </w:r>
      <w:r>
        <w:rPr>
          <w:b/>
        </w:rPr>
        <w:t>shape</w:t>
      </w:r>
      <w:r>
        <w:t xml:space="preserve"> element ("</w:t>
      </w:r>
      <w:hyperlink r:id="rId377">
        <w:r>
          <w:rPr>
            <w:rStyle w:val="Hyperlink"/>
          </w:rPr>
          <w:t>[ISO/IEC-29500-4]</w:t>
        </w:r>
      </w:hyperlink>
      <w:r>
        <w:t xml:space="preserve"> §19.1.2.19; shape (Shape Definition</w:t>
      </w:r>
      <w:r>
        <w:t>)"), to store the Office Open XML Math which represents the original equation/expression. If the document is removed from Compatibility Mode, the contents of this attribute are then used to replace the image with the specified equation/expression.</w:t>
      </w:r>
    </w:p>
    <w:p w:rsidR="000A156F" w:rsidRDefault="00A9721F">
      <w:r>
        <w:t>This doc</w:t>
      </w:r>
      <w:r>
        <w:t xml:space="preserve">ument describes the format in which Word 2007, Word 2010, or earlier versions of Word with the Compatibility Pack, store Office Open XML Math content inside the </w:t>
      </w:r>
      <w:r>
        <w:rPr>
          <w:b/>
        </w:rPr>
        <w:t>equationxml</w:t>
      </w:r>
      <w:r>
        <w:t xml:space="preserve"> attribute.</w:t>
      </w:r>
    </w:p>
    <w:p w:rsidR="000A156F" w:rsidRDefault="00A9721F">
      <w:pPr>
        <w:pStyle w:val="Heading3"/>
      </w:pPr>
      <w:bookmarkStart w:id="4256" w:name="section_3c14676e4afc4b11a492ca6c326c60c6"/>
      <w:bookmarkStart w:id="4257" w:name="_Toc181685153"/>
      <w:r>
        <w:t>Basic Format</w:t>
      </w:r>
      <w:bookmarkEnd w:id="4256"/>
      <w:bookmarkEnd w:id="4257"/>
      <w:r>
        <w:fldChar w:fldCharType="begin"/>
      </w:r>
      <w:r>
        <w:instrText xml:space="preserve"> XE "Basic Format" </w:instrText>
      </w:r>
      <w:r>
        <w:fldChar w:fldCharType="end"/>
      </w:r>
    </w:p>
    <w:p w:rsidR="000A156F" w:rsidRDefault="00A9721F">
      <w:r>
        <w:t xml:space="preserve">The </w:t>
      </w:r>
      <w:r>
        <w:rPr>
          <w:b/>
        </w:rPr>
        <w:t>equationXml</w:t>
      </w:r>
      <w:r>
        <w:t xml:space="preserve"> attribute’s content is</w:t>
      </w:r>
      <w:r>
        <w:t xml:space="preserve"> a complete Word 2003 XML document (defined here: http://msdn.microsoft.com/en-us/library/aa272680(office.11).aspx) containing Office Open XML Math elements ("</w:t>
      </w:r>
      <w:hyperlink r:id="rId378">
        <w:r>
          <w:rPr>
            <w:rStyle w:val="Hyperlink"/>
          </w:rPr>
          <w:t>[ISO/IEC-29500-1]</w:t>
        </w:r>
      </w:hyperlink>
      <w:r>
        <w:t xml:space="preserve"> §22.1"), and properly escaped as needed to be stored within an attribute value. </w:t>
      </w:r>
    </w:p>
    <w:p w:rsidR="000A156F" w:rsidRDefault="00A9721F">
      <w:r>
        <w:lastRenderedPageBreak/>
        <w:t>This document is subject to the following restrictions:</w:t>
      </w:r>
    </w:p>
    <w:p w:rsidR="000A156F" w:rsidRDefault="00A9721F">
      <w:pPr>
        <w:pStyle w:val="ListParagraph"/>
        <w:numPr>
          <w:ilvl w:val="0"/>
          <w:numId w:val="224"/>
        </w:numPr>
        <w:contextualSpacing/>
      </w:pPr>
      <w:r>
        <w:t>This Word 2003 XML document must not contain any comments, headers, footers, endnotes, footnotes, or textboxes.</w:t>
      </w:r>
    </w:p>
    <w:p w:rsidR="000A156F" w:rsidRDefault="00A9721F">
      <w:pPr>
        <w:pStyle w:val="ListParagraph"/>
        <w:numPr>
          <w:ilvl w:val="0"/>
          <w:numId w:val="224"/>
        </w:numPr>
      </w:pPr>
      <w:r>
        <w:t>This W</w:t>
      </w:r>
      <w:r>
        <w:t>ord 2003 XML document must contains a single paragraph (</w:t>
      </w:r>
      <w:r>
        <w:rPr>
          <w:b/>
        </w:rPr>
        <w:t>p element</w:t>
      </w:r>
      <w:r>
        <w:t>).</w:t>
      </w:r>
    </w:p>
    <w:p w:rsidR="000A156F" w:rsidRDefault="00A9721F">
      <w:r>
        <w:t xml:space="preserve">That p element must contain a single </w:t>
      </w:r>
      <w:r>
        <w:rPr>
          <w:b/>
        </w:rPr>
        <w:t>oMathPara</w:t>
      </w:r>
      <w:r>
        <w:t xml:space="preserve"> element ("[ISO/IEC-29500-1] §22.1.2.78; oMathPara") which in turn must contain a single </w:t>
      </w:r>
      <w:r>
        <w:rPr>
          <w:b/>
        </w:rPr>
        <w:t>oMath</w:t>
      </w:r>
      <w:r>
        <w:t xml:space="preserve"> element ("[ISO/IEC-29500-1] §22.1.2.77; oMath")</w:t>
      </w:r>
      <w:r>
        <w:t>.</w:t>
      </w:r>
    </w:p>
    <w:p w:rsidR="000A156F" w:rsidRDefault="00A9721F">
      <w:r>
        <w:t>The oMathPara element can contain any valid XML from the Office Open XML Math namespace, but must not contain any markup from any other Office Open XML namespace. Instead, it can contain various elements from the Word 2003 XML namespace (§3.8.5, Office O</w:t>
      </w:r>
      <w:r>
        <w:t xml:space="preserve">pen XML Math elements which can contain Word </w:t>
      </w:r>
      <w:hyperlink w:anchor="Section_3919289d82cf4eea9be62c8b176a267e">
        <w:r>
          <w:rPr>
            <w:rStyle w:val="Hyperlink"/>
          </w:rPr>
          <w:t>2003</w:t>
        </w:r>
      </w:hyperlink>
      <w:r>
        <w:t xml:space="preserve"> XML elements).</w:t>
      </w:r>
    </w:p>
    <w:p w:rsidR="000A156F" w:rsidRDefault="00A9721F">
      <w:r>
        <w:t xml:space="preserve">[Example: The following string value represents the encoded contents of the </w:t>
      </w:r>
      <w:r>
        <w:rPr>
          <w:b/>
        </w:rPr>
        <w:t>equationXml</w:t>
      </w:r>
      <w:r>
        <w:t xml:space="preserve"> attribute when it contains a mathematic </w:t>
      </w:r>
      <w:r>
        <w:t>al expression containing only the character x:</w:t>
      </w:r>
    </w:p>
    <w:p w:rsidR="000A156F" w:rsidRDefault="00A9721F">
      <w:pPr>
        <w:pStyle w:val="Code"/>
      </w:pPr>
      <w:r>
        <w:t>&amp;lt;w:wordDocument xmlns:m= &amp;quot;http://schemas.openxmlformats.org/officeDocument/2006/math&amp;quot; xmlns:w=&amp;quot;http://schemas.microsoft.com/office/word/2003/wordml&amp;quot; &amp;gt;&amp;lt;w:body&amp;gt;&amp;lt;w:p&amp;gt;&amp;lt;m:oM</w:t>
      </w:r>
      <w:r>
        <w:t>athPara&amp;gt;&amp;lt;m:oMath&amp;gt;&amp;lt;m:r&amp;gt; &amp;lt;w:rPr&amp;gt;&amp;lt;w:rFonts w:ascii=&amp;quot;Cambria Math&amp;quot; w:h-ansi= &amp;quot;Cambria Math&amp;quot;/&amp;gt;&amp;lt;w:i/&amp;gt;&amp;lt;/w:rPr&amp;gt;&amp;lt;m:t&amp;gt;x&amp;lt;/m:t &amp;gt;&amp;lt;/m:r&amp;gt;&amp;lt;/m:oMath&amp;gt;&amp;lt;/m:oMathPara&amp;gt;&amp;lt;/w:p &amp;gt;&amp;lt;/w:b</w:t>
      </w:r>
      <w:r>
        <w:t>ody&amp;gt;&amp;lt;/w:wordDocument&amp;gt;</w:t>
      </w:r>
    </w:p>
    <w:p w:rsidR="000A156F" w:rsidRDefault="00A9721F">
      <w:r>
        <w:t>end example]</w:t>
      </w:r>
    </w:p>
    <w:p w:rsidR="000A156F" w:rsidRDefault="00A9721F">
      <w:r>
        <w:t>The syntax and semantics of elements from Word 2003 XML and of Office Open XML Math are those specified in the corresponding file formats, with the following exceptions:</w:t>
      </w:r>
    </w:p>
    <w:p w:rsidR="000A156F" w:rsidRDefault="00A9721F">
      <w:pPr>
        <w:pStyle w:val="ListParagraph"/>
        <w:numPr>
          <w:ilvl w:val="0"/>
          <w:numId w:val="225"/>
        </w:numPr>
        <w:contextualSpacing/>
      </w:pPr>
      <w:r>
        <w:t xml:space="preserve">There is a specific list of elements from </w:t>
      </w:r>
      <w:r>
        <w:t xml:space="preserve">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0A156F" w:rsidRDefault="00A9721F">
      <w:pPr>
        <w:pStyle w:val="ListParagraph"/>
        <w:numPr>
          <w:ilvl w:val="0"/>
          <w:numId w:val="225"/>
        </w:numPr>
      </w:pPr>
      <w:r>
        <w:t>Office Ope</w:t>
      </w:r>
      <w:r>
        <w:t xml:space="preserve">n XML Math elements are not allowed to contain any markup from any other Office Open XML namespace. Instead, a specific set of elements from Office Open XML Math are allowed to contain a specific set of elements from Word 2003 XML (§3.8.5, Office Open XML </w:t>
      </w:r>
      <w:r>
        <w:t>Math elements which can contain Word 2003 XML elements).</w:t>
      </w:r>
    </w:p>
    <w:p w:rsidR="000A156F" w:rsidRDefault="00A9721F">
      <w:pPr>
        <w:pStyle w:val="Heading3"/>
      </w:pPr>
      <w:bookmarkStart w:id="4258" w:name="section_4f1a80c7cc9d4b2f8b038d89bc95662a"/>
      <w:bookmarkStart w:id="4259" w:name="_Toc181685154"/>
      <w:r>
        <w:t>Reading the equationXml attribute</w:t>
      </w:r>
      <w:bookmarkEnd w:id="4258"/>
      <w:bookmarkEnd w:id="4259"/>
      <w:r>
        <w:fldChar w:fldCharType="begin"/>
      </w:r>
      <w:r>
        <w:instrText xml:space="preserve"> XE "Reading the equationXml attribute" </w:instrText>
      </w:r>
      <w:r>
        <w:fldChar w:fldCharType="end"/>
      </w:r>
    </w:p>
    <w:p w:rsidR="000A156F" w:rsidRDefault="00A9721F">
      <w:r>
        <w:t xml:space="preserve">The contents of the </w:t>
      </w:r>
      <w:r>
        <w:rPr>
          <w:b/>
        </w:rPr>
        <w:t>equationXml</w:t>
      </w:r>
      <w:r>
        <w:t xml:space="preserve"> attribute, as written by Word 2007, Word 2010, or earlier versions of Word with the Compati</w:t>
      </w:r>
      <w:r>
        <w:t xml:space="preserve">bility Pack, can be read in two different ways to determine the mathematical equation associated with the image: </w:t>
      </w:r>
    </w:p>
    <w:p w:rsidR="000A156F" w:rsidRDefault="00A9721F">
      <w:r>
        <w:t>To determine the associated equation/expression, read only the Office Open XML Math elements and ignore all other elements.</w:t>
      </w:r>
    </w:p>
    <w:p w:rsidR="000A156F" w:rsidRDefault="00A9721F">
      <w:r>
        <w:t xml:space="preserve">To determine the </w:t>
      </w:r>
      <w:r>
        <w:t>associated equation/expression including any additional WordprocessingML formatting (the addition of a bookmark, for example), read all elements.</w:t>
      </w:r>
    </w:p>
    <w:p w:rsidR="000A156F" w:rsidRDefault="00A9721F">
      <w:r>
        <w:t xml:space="preserve">[Example: The following XML represents the value of the </w:t>
      </w:r>
      <w:r>
        <w:rPr>
          <w:b/>
        </w:rPr>
        <w:t>equationXml</w:t>
      </w:r>
      <w:r>
        <w:t xml:space="preserve"> attribute representing a mathematical equa</w:t>
      </w:r>
      <w:r>
        <w:t>tion containing a fraction with numerator x and denominator y where the numerator is formatted red and the denominator is enclosed in a bookmark with the name “bookmark_name”:</w:t>
      </w:r>
    </w:p>
    <w:p w:rsidR="000A156F" w:rsidRDefault="00A9721F">
      <w:pPr>
        <w:pStyle w:val="Code"/>
      </w:pPr>
      <w:r>
        <w:lastRenderedPageBreak/>
        <w:t>&amp;lt;w:wordDocument xmlns:aml=&amp;quot;http://schemas.microsoft.com/aml/2001/core&amp;qu</w:t>
      </w:r>
      <w:r>
        <w:t>ot; xmlns:m= &amp;quot;http://schemas.openxmlformats.org/officeDocument/2006/math&amp;quot; xmlns:w=&amp;quot;http://schemas.microsoft.com/office/word/2003/wordml&amp;quot; &amp;gt;&amp;lt;w:body&amp;gt;&amp;lt;w:p&amp;gt;&amp;lt;m:oMathPara&amp;gt;&amp;lt;m:oMath&amp;gt;&amp;lt;m:f &amp;gt;&amp;lt;m:fPr&amp;gt;&amp;lt;m:ctrlP</w:t>
      </w:r>
      <w:r>
        <w:t>r&amp;gt;&amp;lt;w:rPr&amp;gt;&amp;lt;w:rFonts w:ascii=&amp;quot;Cambria Math&amp;quot; w:h-ansi=&amp;quot;Cambria Math&amp;quot;/&amp;gt;&amp;lt;w:i/&amp;gt;&amp;lt;/w:rPr&amp;gt;&amp;lt;/m:ctrlPr &amp;gt;&amp;lt;/m:fPr&amp;gt;&amp;lt;m:num&amp;gt;&amp;lt;m:r&amp;gt;&amp;lt;w:rPr &amp;gt;&amp;lt;w:rFonts w:ascii=&amp;quot;Cambria Math&amp;quot; w:h-ansi=&amp;qu</w:t>
      </w:r>
      <w:r>
        <w:t>ot;Cambria Math&amp;quot;/&amp;gt;&amp;lt;w:i/&amp;gt;&amp;lt;w:color w:val=&amp;quot;FF0000&amp;quot;/&amp;gt;&amp;lt;/w:rPr&amp;gt;&amp;lt;m:t&amp;gt;x&amp;lt;/m:t &amp;gt;&amp;lt;/m:r&amp;gt;&amp;lt;/m:num&amp;gt;&amp;lt;m:den&amp;gt;&amp;lt;aml:annotation aml:id=&amp;quot;0&amp;quot; w:type=&amp;quot;Word.Bookmark.Start&amp;quot; w:name=&amp;quot;bookmar</w:t>
      </w:r>
      <w:r>
        <w:t>k_name&amp;quot;/&amp;gt;&amp;lt;m:r&amp;gt;&amp;lt;w:rPr &amp;gt;&amp;lt;w:rFonts w:ascii=&amp;quot;Cambria Math&amp;quot; w:h-ansi=&amp;quot;Cambria Math&amp;quot;/&amp;gt;&amp;lt;w:i/&amp;gt;&amp;lt;/w:rPr&amp;gt;&amp;lt;m:t&amp;gt;y&amp;lt;/m:t &amp;gt;&amp;lt;/m:r&amp;gt;&amp;lt;aml:annotation aml:id=&amp;quot;0&amp;quot; w:type=&amp;quot;Word.Bookmark.</w:t>
      </w:r>
      <w:r>
        <w:t>End&amp;quot;/&amp;gt;&amp;lt;/m:den&amp;gt;&amp;lt;/m:f &amp;gt;&amp;lt;/m:oMath&amp;gt;&amp;lt;/m:oMathPara&amp;gt;&amp;lt;/w:p&amp;gt;&amp;lt;/w:body &amp;gt;&amp;lt;/w:wordDocument&amp;gt;</w:t>
      </w:r>
    </w:p>
    <w:p w:rsidR="000A156F" w:rsidRDefault="00A9721F">
      <w:r>
        <w:t>An application might choose to read just the Office Open XML math elements, in which case it would display the fraction but wou</w:t>
      </w:r>
      <w:r>
        <w:t>ld lose the font color applied to the numerator and the bookmark located in the denominator:</w:t>
      </w:r>
    </w:p>
    <w:p w:rsidR="000A156F" w:rsidRDefault="00A9721F">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79"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0A156F" w:rsidRDefault="00A9721F">
      <w:r>
        <w:t>On the other hand, the application might choose to read all elements in which case it would display the font color and bookmark as well as the fraction:</w:t>
      </w:r>
    </w:p>
    <w:p w:rsidR="000A156F" w:rsidRDefault="00A9721F">
      <w:r>
        <w:rPr>
          <w:noProof/>
        </w:rPr>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79"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0A156F" w:rsidRDefault="00A9721F">
      <w:r>
        <w:t>end ex</w:t>
      </w:r>
      <w:r>
        <w:t>ample]</w:t>
      </w:r>
    </w:p>
    <w:p w:rsidR="000A156F" w:rsidRDefault="00A9721F">
      <w:pPr>
        <w:pStyle w:val="Heading3"/>
      </w:pPr>
      <w:bookmarkStart w:id="4260" w:name="section_bb90684b1471458ba752ef4f10560cfb"/>
      <w:bookmarkStart w:id="4261" w:name="_Toc181685155"/>
      <w:r>
        <w:t>Word 2003 XML elements which can contain Office Open XML Math elements</w:t>
      </w:r>
      <w:bookmarkEnd w:id="4260"/>
      <w:bookmarkEnd w:id="4261"/>
    </w:p>
    <w:p w:rsidR="000A156F" w:rsidRDefault="00A9721F">
      <w:pPr>
        <w:pStyle w:val="Heading4"/>
      </w:pPr>
      <w:bookmarkStart w:id="4262" w:name="section_45d55a2a0f404d0f802b5cdc65650590"/>
      <w:bookmarkStart w:id="4263" w:name="_Toc181685156"/>
      <w:r>
        <w:t>Containment of the oMathPara element</w:t>
      </w:r>
      <w:bookmarkEnd w:id="4262"/>
      <w:bookmarkEnd w:id="4263"/>
      <w:r>
        <w:fldChar w:fldCharType="begin"/>
      </w:r>
      <w:r>
        <w:instrText xml:space="preserve"> XE "Containment of the oMathPara element" </w:instrText>
      </w:r>
      <w:r>
        <w:fldChar w:fldCharType="end"/>
      </w:r>
    </w:p>
    <w:p w:rsidR="000A156F" w:rsidRDefault="00A9721F">
      <w:r>
        <w:t xml:space="preserve">The Word 2003 XML document must contain a single </w:t>
      </w:r>
      <w:r>
        <w:rPr>
          <w:b/>
        </w:rPr>
        <w:t>p</w:t>
      </w:r>
      <w:r>
        <w:t xml:space="preserve"> element which contains a single </w:t>
      </w:r>
      <w:r>
        <w:rPr>
          <w:b/>
        </w:rPr>
        <w:t>oMathPara</w:t>
      </w:r>
      <w:r>
        <w:t xml:space="preserve"> ele</w:t>
      </w:r>
      <w:r>
        <w:t>ment ("</w:t>
      </w:r>
      <w:hyperlink r:id="rId380">
        <w:r>
          <w:rPr>
            <w:rStyle w:val="Hyperlink"/>
          </w:rPr>
          <w:t>[ISO/IEC-29500-1]</w:t>
        </w:r>
      </w:hyperlink>
      <w:r>
        <w:t xml:space="preserve"> §22.1.2.78; oMathPara").</w:t>
      </w:r>
    </w:p>
    <w:p w:rsidR="000A156F" w:rsidRDefault="00A9721F">
      <w:pPr>
        <w:pStyle w:val="Heading4"/>
      </w:pPr>
      <w:bookmarkStart w:id="4264" w:name="section_9cf259ed1c6c441ca903066fc8955d64"/>
      <w:bookmarkStart w:id="4265" w:name="_Toc181685157"/>
      <w:r>
        <w:t>Containment of Math runs and Math functions and objects</w:t>
      </w:r>
      <w:bookmarkEnd w:id="4264"/>
      <w:bookmarkEnd w:id="4265"/>
      <w:r>
        <w:fldChar w:fldCharType="begin"/>
      </w:r>
      <w:r>
        <w:instrText xml:space="preserve"> XE "Containment of Math runs and Math functions and objects" </w:instrText>
      </w:r>
      <w:r>
        <w:fldChar w:fldCharType="end"/>
      </w:r>
    </w:p>
    <w:p w:rsidR="000A156F" w:rsidRDefault="00A9721F">
      <w:r>
        <w:t xml:space="preserve">The Word 2003 XML </w:t>
      </w:r>
      <w:r>
        <w:rPr>
          <w:b/>
        </w:rPr>
        <w:t>hl</w:t>
      </w:r>
      <w:r>
        <w:rPr>
          <w:b/>
        </w:rPr>
        <w:t>ink</w:t>
      </w:r>
      <w:r>
        <w:t xml:space="preserve"> element and the AML </w:t>
      </w:r>
      <w:r>
        <w:rPr>
          <w:b/>
        </w:rPr>
        <w:t>content</w:t>
      </w:r>
      <w:r>
        <w:t xml:space="preserve"> element can each contain an unbounded number of Office Open XML Math elements from the following list, which includes the Office Open XML Math </w:t>
      </w:r>
      <w:r>
        <w:rPr>
          <w:b/>
        </w:rPr>
        <w:t>r</w:t>
      </w:r>
      <w:r>
        <w:t xml:space="preserve"> element and all Office Open XML Math functions/objects:</w:t>
      </w:r>
    </w:p>
    <w:p w:rsidR="000A156F" w:rsidRDefault="00A9721F">
      <w:pPr>
        <w:pStyle w:val="ListParagraph"/>
        <w:numPr>
          <w:ilvl w:val="0"/>
          <w:numId w:val="226"/>
        </w:numPr>
        <w:contextualSpacing/>
      </w:pPr>
      <w:r>
        <w:rPr>
          <w:b/>
        </w:rPr>
        <w:t>acc</w:t>
      </w:r>
      <w:r>
        <w:t xml:space="preserve"> ("</w:t>
      </w:r>
      <w:hyperlink r:id="rId381">
        <w:r>
          <w:rPr>
            <w:rStyle w:val="Hyperlink"/>
          </w:rPr>
          <w:t>[ISO/IEC-29500-1]</w:t>
        </w:r>
      </w:hyperlink>
      <w:r>
        <w:t xml:space="preserve"> §22.1.2.1; acc")</w:t>
      </w:r>
    </w:p>
    <w:p w:rsidR="000A156F" w:rsidRDefault="00A9721F">
      <w:pPr>
        <w:pStyle w:val="ListParagraph"/>
        <w:numPr>
          <w:ilvl w:val="0"/>
          <w:numId w:val="226"/>
        </w:numPr>
        <w:contextualSpacing/>
      </w:pPr>
      <w:r>
        <w:rPr>
          <w:b/>
        </w:rPr>
        <w:t>bar</w:t>
      </w:r>
      <w:r>
        <w:t>("[ISO/IEC-29500-1] §22.1.2.7; bar")</w:t>
      </w:r>
    </w:p>
    <w:p w:rsidR="000A156F" w:rsidRDefault="00A9721F">
      <w:pPr>
        <w:pStyle w:val="ListParagraph"/>
        <w:numPr>
          <w:ilvl w:val="0"/>
          <w:numId w:val="226"/>
        </w:numPr>
        <w:contextualSpacing/>
      </w:pPr>
      <w:r>
        <w:rPr>
          <w:b/>
        </w:rPr>
        <w:t xml:space="preserve">borderBox </w:t>
      </w:r>
      <w:r>
        <w:t>("[ISO/IEC-29500-1] §22.1.2.11; borderBox")</w:t>
      </w:r>
    </w:p>
    <w:p w:rsidR="000A156F" w:rsidRDefault="00A9721F">
      <w:pPr>
        <w:pStyle w:val="ListParagraph"/>
        <w:numPr>
          <w:ilvl w:val="0"/>
          <w:numId w:val="226"/>
        </w:numPr>
        <w:contextualSpacing/>
      </w:pPr>
      <w:r>
        <w:rPr>
          <w:b/>
        </w:rPr>
        <w:t>box</w:t>
      </w:r>
      <w:r>
        <w:t xml:space="preserve"> ("[ISO/IEC-29500-1] §22.1.2.13; box")</w:t>
      </w:r>
    </w:p>
    <w:p w:rsidR="000A156F" w:rsidRDefault="00A9721F">
      <w:pPr>
        <w:pStyle w:val="ListParagraph"/>
        <w:numPr>
          <w:ilvl w:val="0"/>
          <w:numId w:val="226"/>
        </w:numPr>
        <w:contextualSpacing/>
      </w:pPr>
      <w:r>
        <w:rPr>
          <w:b/>
        </w:rPr>
        <w:t>d</w:t>
      </w:r>
      <w:r>
        <w:t xml:space="preserve"> ("[ISO/IEC-29500-1]</w:t>
      </w:r>
      <w:r>
        <w:t xml:space="preserve"> §22.1.2.24; d")</w:t>
      </w:r>
    </w:p>
    <w:p w:rsidR="000A156F" w:rsidRDefault="00A9721F">
      <w:pPr>
        <w:pStyle w:val="ListParagraph"/>
        <w:numPr>
          <w:ilvl w:val="0"/>
          <w:numId w:val="226"/>
        </w:numPr>
        <w:contextualSpacing/>
      </w:pPr>
      <w:r>
        <w:rPr>
          <w:b/>
        </w:rPr>
        <w:t>eqArr</w:t>
      </w:r>
      <w:r>
        <w:t xml:space="preserve"> ("[ISO/IEC-29500-1] §22.1.2.34; eqArr")</w:t>
      </w:r>
    </w:p>
    <w:p w:rsidR="000A156F" w:rsidRDefault="00A9721F">
      <w:pPr>
        <w:pStyle w:val="ListParagraph"/>
        <w:numPr>
          <w:ilvl w:val="0"/>
          <w:numId w:val="226"/>
        </w:numPr>
        <w:contextualSpacing/>
      </w:pPr>
      <w:r>
        <w:rPr>
          <w:b/>
        </w:rPr>
        <w:t>f</w:t>
      </w:r>
      <w:r>
        <w:t xml:space="preserve"> ("[ISO/IEC-29500-1] §22.1.2.36; f")</w:t>
      </w:r>
    </w:p>
    <w:p w:rsidR="000A156F" w:rsidRDefault="00A9721F">
      <w:pPr>
        <w:pStyle w:val="ListParagraph"/>
        <w:numPr>
          <w:ilvl w:val="0"/>
          <w:numId w:val="226"/>
        </w:numPr>
        <w:contextualSpacing/>
      </w:pPr>
      <w:r>
        <w:rPr>
          <w:b/>
        </w:rPr>
        <w:t>func</w:t>
      </w:r>
      <w:r>
        <w:t xml:space="preserve"> ("[ISO/IEC-29500-1] §22.1.2.39; func")</w:t>
      </w:r>
    </w:p>
    <w:p w:rsidR="000A156F" w:rsidRDefault="00A9721F">
      <w:pPr>
        <w:pStyle w:val="ListParagraph"/>
        <w:numPr>
          <w:ilvl w:val="0"/>
          <w:numId w:val="226"/>
        </w:numPr>
        <w:contextualSpacing/>
      </w:pPr>
      <w:r>
        <w:rPr>
          <w:b/>
        </w:rPr>
        <w:t>groupChr</w:t>
      </w:r>
      <w:r>
        <w:t xml:space="preserve"> ("[ISO/IEC-29500-1] §22.1.2.41; groupChr")</w:t>
      </w:r>
    </w:p>
    <w:p w:rsidR="000A156F" w:rsidRDefault="00A9721F">
      <w:pPr>
        <w:pStyle w:val="ListParagraph"/>
        <w:numPr>
          <w:ilvl w:val="0"/>
          <w:numId w:val="226"/>
        </w:numPr>
        <w:contextualSpacing/>
      </w:pPr>
      <w:r>
        <w:rPr>
          <w:b/>
        </w:rPr>
        <w:t>limLow</w:t>
      </w:r>
      <w:r>
        <w:t xml:space="preserve"> ("[ISO/IEC-29500-1] §22.1.2.54; limLow") </w:t>
      </w:r>
    </w:p>
    <w:p w:rsidR="000A156F" w:rsidRDefault="00A9721F">
      <w:pPr>
        <w:pStyle w:val="ListParagraph"/>
        <w:numPr>
          <w:ilvl w:val="0"/>
          <w:numId w:val="226"/>
        </w:numPr>
        <w:contextualSpacing/>
      </w:pPr>
      <w:r>
        <w:rPr>
          <w:b/>
        </w:rPr>
        <w:t>limUpp</w:t>
      </w:r>
      <w:r>
        <w:t xml:space="preserve"> ("[</w:t>
      </w:r>
      <w:r>
        <w:t xml:space="preserve">ISO/IEC-29500-1] §22.1.2.56; limUpp") </w:t>
      </w:r>
    </w:p>
    <w:p w:rsidR="000A156F" w:rsidRDefault="00A9721F">
      <w:pPr>
        <w:pStyle w:val="ListParagraph"/>
        <w:numPr>
          <w:ilvl w:val="0"/>
          <w:numId w:val="226"/>
        </w:numPr>
        <w:contextualSpacing/>
      </w:pPr>
      <w:r>
        <w:rPr>
          <w:b/>
        </w:rPr>
        <w:t>m</w:t>
      </w:r>
      <w:r>
        <w:t xml:space="preserve"> ("[ISO/IEC-29500-1] §22.1.2.60; m") </w:t>
      </w:r>
    </w:p>
    <w:p w:rsidR="000A156F" w:rsidRDefault="00A9721F">
      <w:pPr>
        <w:pStyle w:val="ListParagraph"/>
        <w:numPr>
          <w:ilvl w:val="0"/>
          <w:numId w:val="226"/>
        </w:numPr>
        <w:contextualSpacing/>
      </w:pPr>
      <w:r>
        <w:rPr>
          <w:b/>
        </w:rPr>
        <w:lastRenderedPageBreak/>
        <w:t>nary</w:t>
      </w:r>
      <w:r>
        <w:t xml:space="preserve"> ("[ISO/IEC-29500-1] §22.1.2.70; nary") </w:t>
      </w:r>
    </w:p>
    <w:p w:rsidR="000A156F" w:rsidRDefault="00A9721F">
      <w:pPr>
        <w:pStyle w:val="ListParagraph"/>
        <w:numPr>
          <w:ilvl w:val="0"/>
          <w:numId w:val="226"/>
        </w:numPr>
        <w:contextualSpacing/>
      </w:pPr>
      <w:r>
        <w:rPr>
          <w:b/>
        </w:rPr>
        <w:t>phant</w:t>
      </w:r>
      <w:r>
        <w:t xml:space="preserve"> ("[ISO/IEC-29500-1] §22.1.2.81; phant") </w:t>
      </w:r>
    </w:p>
    <w:p w:rsidR="000A156F" w:rsidRDefault="00A9721F">
      <w:pPr>
        <w:pStyle w:val="ListParagraph"/>
        <w:numPr>
          <w:ilvl w:val="0"/>
          <w:numId w:val="226"/>
        </w:numPr>
        <w:contextualSpacing/>
      </w:pPr>
      <w:r>
        <w:rPr>
          <w:b/>
        </w:rPr>
        <w:t>r</w:t>
      </w:r>
      <w:r>
        <w:t xml:space="preserve"> ("[ISO/IEC-29500-1] §22.1.2.87; r") </w:t>
      </w:r>
    </w:p>
    <w:p w:rsidR="000A156F" w:rsidRDefault="00A9721F">
      <w:pPr>
        <w:pStyle w:val="ListParagraph"/>
        <w:numPr>
          <w:ilvl w:val="0"/>
          <w:numId w:val="226"/>
        </w:numPr>
        <w:contextualSpacing/>
      </w:pPr>
      <w:r>
        <w:rPr>
          <w:b/>
        </w:rPr>
        <w:t>rad</w:t>
      </w:r>
      <w:r>
        <w:t xml:space="preserve"> ("[ISO/IEC-29500-1] §22.1.2.88; rad") </w:t>
      </w:r>
    </w:p>
    <w:p w:rsidR="000A156F" w:rsidRDefault="00A9721F">
      <w:pPr>
        <w:pStyle w:val="ListParagraph"/>
        <w:numPr>
          <w:ilvl w:val="0"/>
          <w:numId w:val="226"/>
        </w:numPr>
        <w:contextualSpacing/>
      </w:pPr>
      <w:r>
        <w:rPr>
          <w:b/>
        </w:rPr>
        <w:t>sPre</w:t>
      </w:r>
      <w:r>
        <w:t xml:space="preserve"> ("[ISO/IEC-29500-1] §22.1.2.99; sPre") </w:t>
      </w:r>
    </w:p>
    <w:p w:rsidR="000A156F" w:rsidRDefault="00A9721F">
      <w:pPr>
        <w:pStyle w:val="ListParagraph"/>
        <w:numPr>
          <w:ilvl w:val="0"/>
          <w:numId w:val="226"/>
        </w:numPr>
        <w:contextualSpacing/>
      </w:pPr>
      <w:r>
        <w:rPr>
          <w:b/>
        </w:rPr>
        <w:t>sSub</w:t>
      </w:r>
      <w:r>
        <w:t xml:space="preserve"> ("[ISO/IEC-29500-1] §22.1.2.101; sSub") </w:t>
      </w:r>
    </w:p>
    <w:p w:rsidR="000A156F" w:rsidRDefault="00A9721F">
      <w:pPr>
        <w:pStyle w:val="ListParagraph"/>
        <w:numPr>
          <w:ilvl w:val="0"/>
          <w:numId w:val="226"/>
        </w:numPr>
        <w:contextualSpacing/>
      </w:pPr>
      <w:r>
        <w:rPr>
          <w:b/>
        </w:rPr>
        <w:t>sSubSup</w:t>
      </w:r>
      <w:r>
        <w:t xml:space="preserve"> ("[ISO/IEC-29500-1] §22.1.2.103; sSubSup") </w:t>
      </w:r>
    </w:p>
    <w:p w:rsidR="000A156F" w:rsidRDefault="00A9721F">
      <w:pPr>
        <w:pStyle w:val="ListParagraph"/>
        <w:numPr>
          <w:ilvl w:val="0"/>
          <w:numId w:val="226"/>
        </w:numPr>
      </w:pPr>
      <w:r>
        <w:rPr>
          <w:b/>
        </w:rPr>
        <w:t>sSup</w:t>
      </w:r>
      <w:r>
        <w:t xml:space="preserve"> ("[ISO/IEC-29500-1] §22.1.2.105; sSup")</w:t>
      </w:r>
    </w:p>
    <w:p w:rsidR="000A156F" w:rsidRDefault="00A9721F">
      <w:pPr>
        <w:pStyle w:val="Heading3"/>
      </w:pPr>
      <w:bookmarkStart w:id="4266" w:name="section_3919289d82cf4eea9be62c8b176a267e"/>
      <w:bookmarkStart w:id="4267" w:name="_Toc181685158"/>
      <w:r>
        <w:t>Office Open XML Math elements which can contain Word 2003 XML elements</w:t>
      </w:r>
      <w:bookmarkEnd w:id="4266"/>
      <w:bookmarkEnd w:id="4267"/>
    </w:p>
    <w:p w:rsidR="000A156F" w:rsidRDefault="00A9721F">
      <w:pPr>
        <w:pStyle w:val="Heading4"/>
      </w:pPr>
      <w:bookmarkStart w:id="4268" w:name="section_d54ad5fce66f473282072e69571b58c0"/>
      <w:bookmarkStart w:id="4269" w:name="_Toc181685159"/>
      <w:r>
        <w:t>C</w:t>
      </w:r>
      <w:r>
        <w:t>ontrol Properties</w:t>
      </w:r>
      <w:bookmarkEnd w:id="4268"/>
      <w:bookmarkEnd w:id="4269"/>
      <w:r>
        <w:fldChar w:fldCharType="begin"/>
      </w:r>
      <w:r>
        <w:instrText xml:space="preserve"> XE "Control Properties" </w:instrText>
      </w:r>
      <w:r>
        <w:fldChar w:fldCharType="end"/>
      </w:r>
    </w:p>
    <w:p w:rsidR="000A156F" w:rsidRDefault="00A9721F">
      <w:r>
        <w:rPr>
          <w:b/>
        </w:rPr>
        <w:t>The ctrlPr</w:t>
      </w:r>
      <w:r>
        <w:t xml:space="preserve"> element ("</w:t>
      </w:r>
      <w:hyperlink r:id="rId382">
        <w:r>
          <w:rPr>
            <w:rStyle w:val="Hyperlink"/>
          </w:rPr>
          <w:t>[ISO/IEC-29500-1]</w:t>
        </w:r>
      </w:hyperlink>
      <w:r>
        <w:t xml:space="preserve"> §22.1.2.23; ctrlPr") can contain one of the following elements:</w:t>
      </w:r>
    </w:p>
    <w:p w:rsidR="000A156F" w:rsidRDefault="00A9721F">
      <w:pPr>
        <w:pStyle w:val="ListParagraph"/>
        <w:numPr>
          <w:ilvl w:val="0"/>
          <w:numId w:val="227"/>
        </w:numPr>
        <w:contextualSpacing/>
      </w:pPr>
      <w:r>
        <w:t xml:space="preserve">The AML </w:t>
      </w:r>
      <w:r>
        <w:rPr>
          <w:b/>
        </w:rPr>
        <w:t>annotation</w:t>
      </w:r>
      <w:r>
        <w:t xml:space="preserve"> element</w:t>
      </w:r>
    </w:p>
    <w:p w:rsidR="000A156F" w:rsidRDefault="00A9721F">
      <w:pPr>
        <w:pStyle w:val="ListParagraph"/>
        <w:numPr>
          <w:ilvl w:val="0"/>
          <w:numId w:val="227"/>
        </w:numPr>
      </w:pPr>
      <w:r>
        <w:t>The Word 2003 X</w:t>
      </w:r>
      <w:r>
        <w:t xml:space="preserve">ML </w:t>
      </w:r>
      <w:r>
        <w:rPr>
          <w:b/>
        </w:rPr>
        <w:t>rPr</w:t>
      </w:r>
      <w:r>
        <w:t xml:space="preserve"> element</w:t>
      </w:r>
    </w:p>
    <w:p w:rsidR="000A156F" w:rsidRDefault="00A9721F">
      <w:pPr>
        <w:pStyle w:val="Heading4"/>
      </w:pPr>
      <w:bookmarkStart w:id="4270" w:name="section_dbc60737c3cb43b18fe8cd591fa4472d"/>
      <w:bookmarkStart w:id="4271" w:name="_Toc181685160"/>
      <w:r>
        <w:t>oMath and Math Arguments</w:t>
      </w:r>
      <w:bookmarkEnd w:id="4270"/>
      <w:bookmarkEnd w:id="4271"/>
      <w:r>
        <w:fldChar w:fldCharType="begin"/>
      </w:r>
      <w:r>
        <w:instrText xml:space="preserve"> XE "oMath and Math Arguments" </w:instrText>
      </w:r>
      <w:r>
        <w:fldChar w:fldCharType="end"/>
      </w:r>
    </w:p>
    <w:p w:rsidR="000A156F" w:rsidRDefault="00A9721F">
      <w:r>
        <w:t xml:space="preserve">The </w:t>
      </w:r>
      <w:r>
        <w:rPr>
          <w:b/>
        </w:rPr>
        <w:t>oMath</w:t>
      </w:r>
      <w:r>
        <w:t xml:space="preserve"> element ("</w:t>
      </w:r>
      <w:hyperlink r:id="rId383">
        <w:r>
          <w:rPr>
            <w:rStyle w:val="Hyperlink"/>
          </w:rPr>
          <w:t>[ISO/IEC-29500-1]</w:t>
        </w:r>
      </w:hyperlink>
      <w:r>
        <w:t xml:space="preserve"> §22.1.2.78; oMathPara") and the math argument elements </w:t>
      </w:r>
      <w:r>
        <w:rPr>
          <w:b/>
        </w:rPr>
        <w:t>deg</w:t>
      </w:r>
      <w:r>
        <w:t xml:space="preserve"> ("[ISO/IEC-29500-1]</w:t>
      </w:r>
      <w:r>
        <w:t xml:space="preserve"> §22.1.2.26; deg"), </w:t>
      </w:r>
      <w:r>
        <w:rPr>
          <w:b/>
        </w:rPr>
        <w:t>den</w:t>
      </w:r>
      <w:r>
        <w:t xml:space="preserve"> ("[ISO/IEC-29500-1] §22.1.2.28; den"), </w:t>
      </w:r>
      <w:r>
        <w:rPr>
          <w:b/>
        </w:rPr>
        <w:t>e</w:t>
      </w:r>
      <w:r>
        <w:t xml:space="preserve"> ("[ISO/IEC-29500-1] §22.1.2.32; e"), </w:t>
      </w:r>
      <w:r>
        <w:rPr>
          <w:b/>
        </w:rPr>
        <w:t>fName</w:t>
      </w:r>
      <w:r>
        <w:t xml:space="preserve"> ("[ISO/IEC-29500-1] §22.1.2.37; fName"), </w:t>
      </w:r>
      <w:r>
        <w:rPr>
          <w:b/>
        </w:rPr>
        <w:t>lim</w:t>
      </w:r>
      <w:r>
        <w:t xml:space="preserve"> ("[ISO/IEC-29500-1] §22.1.2.52; lim"), </w:t>
      </w:r>
      <w:r>
        <w:rPr>
          <w:b/>
        </w:rPr>
        <w:t>num</w:t>
      </w:r>
      <w:r>
        <w:t xml:space="preserve"> ("[ISO/IEC-29500-1] §22.1.2.75; num"), </w:t>
      </w:r>
      <w:r>
        <w:rPr>
          <w:b/>
        </w:rPr>
        <w:t>sub</w:t>
      </w:r>
      <w:r>
        <w:t xml:space="preserve"> ("[ISO/IEC-29500-</w:t>
      </w:r>
      <w:r>
        <w:t xml:space="preserve">1] §22.1.2.112; sub"), and </w:t>
      </w:r>
      <w:r>
        <w:rPr>
          <w:b/>
        </w:rPr>
        <w:t>sup</w:t>
      </w:r>
      <w:r>
        <w:t xml:space="preserve"> ("[ISO/IEC-29500-1] §22.1.2.114; sup") can each contain an unbounded number of elements from the following list:</w:t>
      </w:r>
    </w:p>
    <w:p w:rsidR="000A156F" w:rsidRDefault="00A9721F">
      <w:pPr>
        <w:pStyle w:val="ListParagraph"/>
        <w:numPr>
          <w:ilvl w:val="0"/>
          <w:numId w:val="228"/>
        </w:numPr>
        <w:contextualSpacing/>
      </w:pPr>
      <w:r>
        <w:t xml:space="preserve">XML elements in any namespace not defined by Word 2003 XML (which can, in turn, hold any valid child element of </w:t>
      </w:r>
      <w:r>
        <w:t xml:space="preserve">the </w:t>
      </w:r>
      <w:r>
        <w:rPr>
          <w:b/>
        </w:rPr>
        <w:t>oMath</w:t>
      </w:r>
      <w:r>
        <w:t xml:space="preserve"> element ("[ISO/IEC-29500-1] §22.1.2.77; oMath"))</w:t>
      </w:r>
    </w:p>
    <w:p w:rsidR="000A156F" w:rsidRDefault="00A9721F">
      <w:pPr>
        <w:pStyle w:val="ListParagraph"/>
        <w:numPr>
          <w:ilvl w:val="0"/>
          <w:numId w:val="228"/>
        </w:numPr>
        <w:contextualSpacing/>
      </w:pPr>
      <w:r>
        <w:t xml:space="preserve">The AML </w:t>
      </w:r>
      <w:r>
        <w:rPr>
          <w:b/>
        </w:rPr>
        <w:t>annotation</w:t>
      </w:r>
      <w:r>
        <w:t xml:space="preserve"> element</w:t>
      </w:r>
    </w:p>
    <w:p w:rsidR="000A156F" w:rsidRDefault="00A9721F">
      <w:pPr>
        <w:pStyle w:val="ListParagraph"/>
        <w:numPr>
          <w:ilvl w:val="0"/>
          <w:numId w:val="228"/>
        </w:numPr>
        <w:contextualSpacing/>
      </w:pPr>
      <w:r>
        <w:t xml:space="preserve">The Word 2003 XML </w:t>
      </w:r>
      <w:r>
        <w:rPr>
          <w:b/>
        </w:rPr>
        <w:t>hlink</w:t>
      </w:r>
      <w:r>
        <w:t xml:space="preserve"> element</w:t>
      </w:r>
    </w:p>
    <w:p w:rsidR="000A156F" w:rsidRDefault="00A9721F">
      <w:pPr>
        <w:pStyle w:val="ListParagraph"/>
        <w:numPr>
          <w:ilvl w:val="0"/>
          <w:numId w:val="228"/>
        </w:numPr>
        <w:contextualSpacing/>
      </w:pPr>
      <w:r>
        <w:t xml:space="preserve">The Word 2003 XML </w:t>
      </w:r>
      <w:r>
        <w:rPr>
          <w:b/>
        </w:rPr>
        <w:t>permEnd</w:t>
      </w:r>
      <w:r>
        <w:t xml:space="preserve"> element</w:t>
      </w:r>
    </w:p>
    <w:p w:rsidR="000A156F" w:rsidRDefault="00A9721F">
      <w:pPr>
        <w:pStyle w:val="ListParagraph"/>
        <w:numPr>
          <w:ilvl w:val="0"/>
          <w:numId w:val="228"/>
        </w:numPr>
      </w:pPr>
      <w:r>
        <w:t xml:space="preserve">The Word 2003 XML </w:t>
      </w:r>
      <w:r>
        <w:rPr>
          <w:b/>
        </w:rPr>
        <w:t>permStart</w:t>
      </w:r>
      <w:r>
        <w:t xml:space="preserve"> element</w:t>
      </w:r>
    </w:p>
    <w:p w:rsidR="000A156F" w:rsidRDefault="00A9721F">
      <w:r>
        <w:t xml:space="preserve">When included as a child of a math argument element, those elements </w:t>
      </w:r>
      <w:r>
        <w:t xml:space="preserve">must occur after any Office Open XML Math </w:t>
      </w:r>
      <w:r>
        <w:rPr>
          <w:b/>
        </w:rPr>
        <w:t>argPr</w:t>
      </w:r>
      <w:r>
        <w:t xml:space="preserve"> element ("[ISO/IEC-29500-1] §22.1.2.5; argPr") and before any Office Open XML Math </w:t>
      </w:r>
      <w:r>
        <w:rPr>
          <w:b/>
        </w:rPr>
        <w:t>ctrlPr</w:t>
      </w:r>
      <w:r>
        <w:t xml:space="preserve"> element ("[ISO/IEC-29500-1] §22.1.2.23; ctrlPr") which is also a child of that math argument element.</w:t>
      </w:r>
    </w:p>
    <w:p w:rsidR="000A156F" w:rsidRDefault="00A9721F">
      <w:pPr>
        <w:pStyle w:val="Heading4"/>
      </w:pPr>
      <w:bookmarkStart w:id="4272" w:name="section_7bae4fa0ce3448d19b24651606579b08"/>
      <w:bookmarkStart w:id="4273" w:name="_Toc181685161"/>
      <w:r>
        <w:t>Math Run</w:t>
      </w:r>
      <w:bookmarkEnd w:id="4272"/>
      <w:bookmarkEnd w:id="4273"/>
      <w:r>
        <w:fldChar w:fldCharType="begin"/>
      </w:r>
      <w:r>
        <w:instrText xml:space="preserve"> XE "Mat</w:instrText>
      </w:r>
      <w:r>
        <w:instrText xml:space="preserve">h Run" </w:instrText>
      </w:r>
      <w:r>
        <w:fldChar w:fldCharType="end"/>
      </w:r>
    </w:p>
    <w:p w:rsidR="000A156F" w:rsidRDefault="00A9721F">
      <w:r>
        <w:t>The Office Open XML math run element r ("</w:t>
      </w:r>
      <w:hyperlink r:id="rId384">
        <w:r>
          <w:rPr>
            <w:rStyle w:val="Hyperlink"/>
          </w:rPr>
          <w:t>[ISO/IEC-29500-1]</w:t>
        </w:r>
      </w:hyperlink>
      <w:r>
        <w:t xml:space="preserve"> §22.1.2.87; r") can contain:</w:t>
      </w:r>
    </w:p>
    <w:p w:rsidR="000A156F" w:rsidRDefault="00A9721F">
      <w:pPr>
        <w:pStyle w:val="ListParagraph"/>
        <w:numPr>
          <w:ilvl w:val="0"/>
          <w:numId w:val="229"/>
        </w:numPr>
      </w:pPr>
      <w:r>
        <w:t xml:space="preserve">A single Word 2003 XML </w:t>
      </w:r>
      <w:r>
        <w:rPr>
          <w:b/>
        </w:rPr>
        <w:t>rPr</w:t>
      </w:r>
      <w:r>
        <w:t xml:space="preserve"> element</w:t>
      </w:r>
    </w:p>
    <w:p w:rsidR="000A156F" w:rsidRDefault="00A9721F">
      <w:r>
        <w:t xml:space="preserve">If the math run 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rsidR="000A156F" w:rsidRDefault="00A9721F">
      <w:r>
        <w:t xml:space="preserve">The Office Open XML math </w:t>
      </w:r>
      <w:r>
        <w:rPr>
          <w:b/>
        </w:rPr>
        <w:t>r</w:t>
      </w:r>
      <w:r>
        <w:t xml:space="preserve"> element can also contain an unbounded number of elements from the following list:</w:t>
      </w:r>
    </w:p>
    <w:p w:rsidR="000A156F" w:rsidRDefault="00A9721F">
      <w:pPr>
        <w:pStyle w:val="ListParagraph"/>
        <w:numPr>
          <w:ilvl w:val="0"/>
          <w:numId w:val="230"/>
        </w:numPr>
        <w:contextualSpacing/>
      </w:pPr>
      <w:r>
        <w:t xml:space="preserve">Word 2003 XML </w:t>
      </w:r>
      <w:r>
        <w:rPr>
          <w:b/>
        </w:rPr>
        <w:t>fldChar</w:t>
      </w:r>
      <w:r>
        <w:t xml:space="preserve"> element</w:t>
      </w:r>
    </w:p>
    <w:p w:rsidR="000A156F" w:rsidRDefault="00A9721F">
      <w:pPr>
        <w:pStyle w:val="ListParagraph"/>
        <w:numPr>
          <w:ilvl w:val="0"/>
          <w:numId w:val="230"/>
        </w:numPr>
        <w:contextualSpacing/>
      </w:pPr>
      <w:r>
        <w:t xml:space="preserve">Word 2003 XML </w:t>
      </w:r>
      <w:r>
        <w:rPr>
          <w:b/>
        </w:rPr>
        <w:t>noBreakHyphen</w:t>
      </w:r>
      <w:r>
        <w:t xml:space="preserve"> element</w:t>
      </w:r>
    </w:p>
    <w:p w:rsidR="000A156F" w:rsidRDefault="00A9721F">
      <w:pPr>
        <w:pStyle w:val="ListParagraph"/>
        <w:numPr>
          <w:ilvl w:val="0"/>
          <w:numId w:val="230"/>
        </w:numPr>
        <w:contextualSpacing/>
      </w:pPr>
      <w:r>
        <w:t xml:space="preserve">Word 2003 XML </w:t>
      </w:r>
      <w:r>
        <w:rPr>
          <w:b/>
        </w:rPr>
        <w:t>pgNum</w:t>
      </w:r>
      <w:r>
        <w:t xml:space="preserve"> element</w:t>
      </w:r>
    </w:p>
    <w:p w:rsidR="000A156F" w:rsidRDefault="00A9721F">
      <w:pPr>
        <w:pStyle w:val="ListParagraph"/>
        <w:numPr>
          <w:ilvl w:val="0"/>
          <w:numId w:val="230"/>
        </w:numPr>
      </w:pPr>
      <w:r>
        <w:t xml:space="preserve">Word 2003 XML </w:t>
      </w:r>
      <w:r>
        <w:rPr>
          <w:b/>
        </w:rPr>
        <w:t>pict</w:t>
      </w:r>
      <w:r>
        <w:t xml:space="preserve"> element.</w:t>
      </w:r>
    </w:p>
    <w:p w:rsidR="000A156F" w:rsidRDefault="00A9721F">
      <w:r>
        <w:lastRenderedPageBreak/>
        <w:t xml:space="preserve">Note: Word is unable to recover the contents of the </w:t>
      </w:r>
      <w:r>
        <w:rPr>
          <w:b/>
        </w:rPr>
        <w:t>equationxml</w:t>
      </w:r>
      <w:r>
        <w:t xml:space="preserve"> attribute if it includes a </w:t>
      </w:r>
      <w:r>
        <w:rPr>
          <w:b/>
        </w:rPr>
        <w:t>pict</w:t>
      </w:r>
      <w:r>
        <w:t xml:space="preserve"> element.</w:t>
      </w:r>
    </w:p>
    <w:p w:rsidR="000A156F" w:rsidRDefault="00A9721F">
      <w:pPr>
        <w:pStyle w:val="ListParagraph"/>
        <w:numPr>
          <w:ilvl w:val="0"/>
          <w:numId w:val="231"/>
        </w:numPr>
        <w:contextualSpacing/>
      </w:pPr>
      <w:r>
        <w:t xml:space="preserve">Word 2003 XML </w:t>
      </w:r>
      <w:r>
        <w:rPr>
          <w:b/>
        </w:rPr>
        <w:t>softHyphen</w:t>
      </w:r>
      <w:r>
        <w:t xml:space="preserve"> element</w:t>
      </w:r>
    </w:p>
    <w:p w:rsidR="000A156F" w:rsidRDefault="00A9721F">
      <w:pPr>
        <w:pStyle w:val="ListParagraph"/>
        <w:numPr>
          <w:ilvl w:val="0"/>
          <w:numId w:val="231"/>
        </w:numPr>
        <w:contextualSpacing/>
      </w:pPr>
      <w:r>
        <w:t xml:space="preserve">Word 2003 XML </w:t>
      </w:r>
      <w:r>
        <w:rPr>
          <w:b/>
        </w:rPr>
        <w:t>sym</w:t>
      </w:r>
      <w:r>
        <w:t xml:space="preserve"> element</w:t>
      </w:r>
    </w:p>
    <w:p w:rsidR="000A156F" w:rsidRDefault="00A9721F">
      <w:pPr>
        <w:pStyle w:val="ListParagraph"/>
        <w:numPr>
          <w:ilvl w:val="0"/>
          <w:numId w:val="231"/>
        </w:numPr>
      </w:pPr>
      <w:r>
        <w:t xml:space="preserve">Word 2003 XML </w:t>
      </w:r>
      <w:r>
        <w:rPr>
          <w:b/>
        </w:rPr>
        <w:t>tab</w:t>
      </w:r>
      <w:r>
        <w:t xml:space="preserve"> element</w:t>
      </w:r>
    </w:p>
    <w:p w:rsidR="000A156F" w:rsidRDefault="00A9721F">
      <w:r>
        <w:t xml:space="preserve">Those elements must occur after any </w:t>
      </w:r>
      <w:r>
        <w:rPr>
          <w:b/>
        </w:rPr>
        <w:t>rPr</w:t>
      </w:r>
      <w:r>
        <w:t xml:space="preserve"> elements.</w:t>
      </w:r>
    </w:p>
    <w:p w:rsidR="000A156F" w:rsidRDefault="00A9721F">
      <w:pPr>
        <w:pStyle w:val="Heading3"/>
      </w:pPr>
      <w:bookmarkStart w:id="4274" w:name="section_1f2eecd829294f2bb182d99c88b23b50"/>
      <w:bookmarkStart w:id="4275" w:name="_Toc181685162"/>
      <w:r>
        <w:t>Limitations in Word</w:t>
      </w:r>
      <w:bookmarkEnd w:id="4274"/>
      <w:bookmarkEnd w:id="4275"/>
      <w:r>
        <w:fldChar w:fldCharType="begin"/>
      </w:r>
      <w:r>
        <w:instrText xml:space="preserve"> XE "Limitations in Word" </w:instrText>
      </w:r>
      <w:r>
        <w:fldChar w:fldCharType="end"/>
      </w:r>
    </w:p>
    <w:p w:rsidR="000A156F" w:rsidRDefault="00A9721F">
      <w:r>
        <w:t xml:space="preserve">Word ignores character styles, specified using the Word 2003 XML </w:t>
      </w:r>
      <w:r>
        <w:rPr>
          <w:b/>
        </w:rPr>
        <w:t>rStyle</w:t>
      </w:r>
      <w:r>
        <w:t xml:space="preserve"> element, when converting the contents of the </w:t>
      </w:r>
      <w:r>
        <w:rPr>
          <w:b/>
        </w:rPr>
        <w:t>equationxml</w:t>
      </w:r>
      <w:r>
        <w:t xml:space="preserve"> attribute to Offi</w:t>
      </w:r>
      <w:r>
        <w:t>ce Open XML Math.</w:t>
      </w:r>
    </w:p>
    <w:p w:rsidR="000A156F" w:rsidRDefault="00A9721F">
      <w:r>
        <w:t xml:space="preserve">Word is unable to recover the contents of the </w:t>
      </w:r>
      <w:r>
        <w:rPr>
          <w:b/>
        </w:rPr>
        <w:t>equationxml</w:t>
      </w:r>
      <w:r>
        <w:t xml:space="preserve"> attribute if it includes the Word 2003 XML </w:t>
      </w:r>
      <w:r>
        <w:rPr>
          <w:b/>
        </w:rPr>
        <w:t>pict</w:t>
      </w:r>
      <w:r>
        <w:t xml:space="preserve"> element.</w:t>
      </w:r>
    </w:p>
    <w:p w:rsidR="000A156F" w:rsidRDefault="00A9721F">
      <w:r>
        <w:t xml:space="preserve">When Word recovers the contents of the </w:t>
      </w:r>
      <w:r>
        <w:rPr>
          <w:b/>
        </w:rPr>
        <w:t>equationxml</w:t>
      </w:r>
      <w:r>
        <w:t xml:space="preserve"> attribute and the picture with the </w:t>
      </w:r>
      <w:r>
        <w:rPr>
          <w:b/>
        </w:rPr>
        <w:t>equationxml</w:t>
      </w:r>
      <w:r>
        <w:t xml:space="preserve"> attribute is inside a </w:t>
      </w:r>
      <w:r>
        <w:rPr>
          <w:b/>
        </w:rPr>
        <w:t>QUO</w:t>
      </w:r>
      <w:r>
        <w:rPr>
          <w:b/>
        </w:rPr>
        <w:t>TE</w:t>
      </w:r>
      <w:r>
        <w:t xml:space="preserve"> field, Word will lose any bookmarks represented using AML annotation elements inside the </w:t>
      </w:r>
      <w:r>
        <w:rPr>
          <w:b/>
        </w:rPr>
        <w:t>equationxml attribute</w:t>
      </w:r>
      <w:r>
        <w:t>.</w:t>
      </w:r>
    </w:p>
    <w:p w:rsidR="000A156F" w:rsidRDefault="00A9721F">
      <w:pPr>
        <w:pStyle w:val="Heading2"/>
      </w:pPr>
      <w:bookmarkStart w:id="4276" w:name="section_9d3137ee53f64d7cb7e02f92cc2573a8"/>
      <w:bookmarkStart w:id="4277" w:name="_Toc181685163"/>
      <w:r>
        <w:t>Simple Types</w:t>
      </w:r>
      <w:bookmarkEnd w:id="4276"/>
      <w:bookmarkEnd w:id="4277"/>
      <w:r>
        <w:fldChar w:fldCharType="begin"/>
      </w:r>
      <w:r>
        <w:instrText xml:space="preserve"> XE "Simple Types (Additional Information)" </w:instrText>
      </w:r>
      <w:r>
        <w:fldChar w:fldCharType="end"/>
      </w:r>
    </w:p>
    <w:p w:rsidR="000A156F" w:rsidRDefault="00A9721F">
      <w:r>
        <w:t xml:space="preserve">The subordinate clauses describe XML simple types that are used by Office to read </w:t>
      </w:r>
      <w:r>
        <w:t>and write Office Open XML files.</w:t>
      </w:r>
    </w:p>
    <w:p w:rsidR="000A156F" w:rsidRDefault="00A9721F">
      <w:pPr>
        <w:pStyle w:val="Heading3"/>
      </w:pPr>
      <w:bookmarkStart w:id="4278" w:name="section_c96929a126d44fe4819f37727a9492e8"/>
      <w:bookmarkStart w:id="4279" w:name="_Toc181685164"/>
      <w:r>
        <w:t>ST_Fraction (Fraction Type)</w:t>
      </w:r>
      <w:bookmarkEnd w:id="4278"/>
      <w:bookmarkEnd w:id="4279"/>
      <w:r>
        <w:fldChar w:fldCharType="begin"/>
      </w:r>
      <w:r>
        <w:instrText xml:space="preserve"> XE "ST_Fraction (Fraction Type)" </w:instrText>
      </w:r>
      <w:r>
        <w:fldChar w:fldCharType="end"/>
      </w:r>
    </w:p>
    <w:p w:rsidR="000A156F" w:rsidRDefault="00A9721F">
      <w:r>
        <w:t>This simple type specifies numerical, floating point data in one of three ways.</w:t>
      </w:r>
    </w:p>
    <w:p w:rsidR="000A156F" w:rsidRDefault="00A9721F">
      <w:r>
        <w:t>The first form is the standard decimal form used by the XML Schema decimal data</w:t>
      </w:r>
      <w:r>
        <w:t>type.  Valid values for this form are all decimals in the range [-32768, 32767].</w:t>
      </w:r>
    </w:p>
    <w:p w:rsidR="000A156F" w:rsidRDefault="00A9721F">
      <w:r>
        <w:t>The second form is an integer number with a postfixed “f” character.  Each integer represents 1/65536 so that a value of “65536f” equates to a decimal value of 1.0.  Valid val</w:t>
      </w:r>
      <w:r>
        <w:t>ues for this form are all integers in the range [-2147483648, 2147418112] followed by the postfixed “f”.</w:t>
      </w:r>
    </w:p>
    <w:p w:rsidR="000A156F" w:rsidRDefault="00A9721F">
      <w:r>
        <w:t>The third form is equivalent to the second, except that the “f” postfixed character is replaced by the string “fd”.  This is used when expressing angul</w:t>
      </w:r>
      <w:r>
        <w:t>ar measurements.</w:t>
      </w:r>
    </w:p>
    <w:p w:rsidR="000A156F" w:rsidRDefault="00A9721F">
      <w:r>
        <w:t>This simple type's contents are a restriction of the XML Schema string datatype.</w:t>
      </w:r>
    </w:p>
    <w:p w:rsidR="000A156F" w:rsidRDefault="00A9721F">
      <w:r>
        <w:t>The following XML Schema fragment defines the contents of this simple type:</w:t>
      </w:r>
    </w:p>
    <w:p w:rsidR="000A156F" w:rsidRDefault="00A9721F">
      <w:pPr>
        <w:pStyle w:val="Code"/>
      </w:pPr>
      <w:r>
        <w:t>&lt;simpleType name="ST_Fraction"&gt;</w:t>
      </w:r>
    </w:p>
    <w:p w:rsidR="000A156F" w:rsidRDefault="00A9721F">
      <w:pPr>
        <w:pStyle w:val="Code"/>
      </w:pPr>
      <w:r>
        <w:t xml:space="preserve">  &lt;restriction base="xsd:string"/&gt;</w:t>
      </w:r>
    </w:p>
    <w:p w:rsidR="000A156F" w:rsidRDefault="00A9721F">
      <w:pPr>
        <w:pStyle w:val="Code"/>
      </w:pPr>
      <w:r>
        <w:t>&lt;/simpleType&gt;</w:t>
      </w:r>
    </w:p>
    <w:p w:rsidR="000A156F" w:rsidRDefault="00A9721F">
      <w:pPr>
        <w:pStyle w:val="Heading3"/>
      </w:pPr>
      <w:bookmarkStart w:id="4280" w:name="section_3a025d97fe484df0a51d7ab3e024b866"/>
      <w:bookmarkStart w:id="4281" w:name="_Toc181685165"/>
      <w:r>
        <w:t>S</w:t>
      </w:r>
      <w:r>
        <w:t>T_Macro (Custom Function Name Type)</w:t>
      </w:r>
      <w:bookmarkEnd w:id="4280"/>
      <w:bookmarkEnd w:id="4281"/>
      <w:r>
        <w:fldChar w:fldCharType="begin"/>
      </w:r>
      <w:r>
        <w:instrText xml:space="preserve"> XE "ST_Macro (Custom Function Name Type)" </w:instrText>
      </w:r>
      <w:r>
        <w:fldChar w:fldCharType="end"/>
      </w:r>
    </w:p>
    <w:p w:rsidR="000A156F" w:rsidRDefault="00A9721F">
      <w:r>
        <w:t>This simple type specifies the name of a custom function associated with the object. This string shall follow the same grammar as name-reference in section "</w:t>
      </w:r>
      <w:hyperlink r:id="rId385">
        <w:r>
          <w:rPr>
            <w:rStyle w:val="Hyperlink"/>
          </w:rPr>
          <w:t>[ISO/IEC-29500-1]</w:t>
        </w:r>
      </w:hyperlink>
      <w:r>
        <w:t xml:space="preserve"> §18.17.2.5".</w:t>
      </w:r>
    </w:p>
    <w:p w:rsidR="000A156F" w:rsidRDefault="00A9721F">
      <w:r>
        <w:t>This simple type's contents are a restriction of the XML Schema string datatype.</w:t>
      </w:r>
    </w:p>
    <w:p w:rsidR="000A156F" w:rsidRDefault="00A9721F">
      <w:r>
        <w:t>This simple type also specifies the following restrictions:</w:t>
      </w:r>
    </w:p>
    <w:p w:rsidR="000A156F" w:rsidRDefault="00A9721F">
      <w:pPr>
        <w:pStyle w:val="ListParagraph"/>
        <w:numPr>
          <w:ilvl w:val="0"/>
          <w:numId w:val="232"/>
        </w:numPr>
        <w:contextualSpacing/>
      </w:pPr>
      <w:r>
        <w:t>This simple type's c</w:t>
      </w:r>
      <w:r>
        <w:t>ontents have a minimum length of 0 characters.</w:t>
      </w:r>
    </w:p>
    <w:p w:rsidR="000A156F" w:rsidRDefault="00A9721F">
      <w:pPr>
        <w:pStyle w:val="ListParagraph"/>
        <w:numPr>
          <w:ilvl w:val="0"/>
          <w:numId w:val="232"/>
        </w:numPr>
      </w:pPr>
      <w:r>
        <w:lastRenderedPageBreak/>
        <w:t>This simple type's contents have a maximum length of 256 characters.</w:t>
      </w:r>
    </w:p>
    <w:p w:rsidR="000A156F" w:rsidRDefault="00A9721F">
      <w:r>
        <w:t>The following XML Schema fragment defines the contents of this simple type:</w:t>
      </w:r>
    </w:p>
    <w:p w:rsidR="000A156F" w:rsidRDefault="00A9721F">
      <w:pPr>
        <w:pStyle w:val="Code"/>
      </w:pPr>
      <w:r>
        <w:t>&lt;simpleType name="ST_Macro"&gt;</w:t>
      </w:r>
    </w:p>
    <w:p w:rsidR="000A156F" w:rsidRDefault="00A9721F">
      <w:pPr>
        <w:pStyle w:val="Code"/>
      </w:pPr>
      <w:r>
        <w:t xml:space="preserve">  &lt;restriction base="xsd:string"&gt;</w:t>
      </w:r>
    </w:p>
    <w:p w:rsidR="000A156F" w:rsidRDefault="00A9721F">
      <w:pPr>
        <w:pStyle w:val="Code"/>
      </w:pPr>
      <w:r>
        <w:t xml:space="preserve"> </w:t>
      </w:r>
      <w:r>
        <w:t xml:space="preserve">   &lt;minLength value="0"/&gt;</w:t>
      </w:r>
    </w:p>
    <w:p w:rsidR="000A156F" w:rsidRDefault="00A9721F">
      <w:pPr>
        <w:pStyle w:val="Code"/>
      </w:pPr>
      <w:r>
        <w:t xml:space="preserve">    &lt;maxLength value="256"/&gt;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3"/>
      </w:pPr>
      <w:bookmarkStart w:id="4282" w:name="section_bf23da8a2e1d4d268eb40ba002bd78f6"/>
      <w:bookmarkStart w:id="4283" w:name="_Toc181685166"/>
      <w:r>
        <w:t>ST_ObjID (Object ID)</w:t>
      </w:r>
      <w:bookmarkEnd w:id="4282"/>
      <w:bookmarkEnd w:id="4283"/>
      <w:r>
        <w:fldChar w:fldCharType="begin"/>
      </w:r>
      <w:r>
        <w:instrText xml:space="preserve"> XE "ST_ObjID (Object ID)" </w:instrText>
      </w:r>
      <w:r>
        <w:fldChar w:fldCharType="end"/>
      </w:r>
    </w:p>
    <w:p w:rsidR="000A156F" w:rsidRDefault="00A9721F">
      <w:r>
        <w:t xml:space="preserve">In Office 2007, Object IDs are either object names or an ID number. </w:t>
      </w:r>
    </w:p>
    <w:p w:rsidR="000A156F" w:rsidRDefault="00A9721F">
      <w:r>
        <w:t>An object name has the following characteristics:</w:t>
      </w:r>
    </w:p>
    <w:p w:rsidR="000A156F" w:rsidRDefault="00A9721F">
      <w:pPr>
        <w:pStyle w:val="ListParagraph"/>
        <w:numPr>
          <w:ilvl w:val="0"/>
          <w:numId w:val="233"/>
        </w:numPr>
        <w:contextualSpacing/>
      </w:pPr>
      <w:r>
        <w:t>It is not an ID number.</w:t>
      </w:r>
    </w:p>
    <w:p w:rsidR="000A156F" w:rsidRDefault="00A9721F">
      <w:pPr>
        <w:pStyle w:val="ListParagraph"/>
        <w:numPr>
          <w:ilvl w:val="0"/>
          <w:numId w:val="233"/>
        </w:numPr>
        <w:contextualSpacing/>
      </w:pPr>
      <w:r>
        <w:t>There is no shape with the same name in the:</w:t>
      </w:r>
    </w:p>
    <w:p w:rsidR="000A156F" w:rsidRDefault="00A9721F">
      <w:pPr>
        <w:pStyle w:val="ListParagraph"/>
        <w:numPr>
          <w:ilvl w:val="0"/>
          <w:numId w:val="233"/>
        </w:numPr>
        <w:contextualSpacing/>
      </w:pPr>
      <w:r>
        <w:t>same worksheet, for Excel.</w:t>
      </w:r>
    </w:p>
    <w:p w:rsidR="000A156F" w:rsidRDefault="00A9721F">
      <w:pPr>
        <w:pStyle w:val="ListParagraph"/>
        <w:numPr>
          <w:ilvl w:val="0"/>
          <w:numId w:val="233"/>
        </w:numPr>
        <w:contextualSpacing/>
      </w:pPr>
      <w:r>
        <w:t>same slide, for PowerPoint.</w:t>
      </w:r>
    </w:p>
    <w:p w:rsidR="000A156F" w:rsidRDefault="00A9721F">
      <w:pPr>
        <w:pStyle w:val="ListParagraph"/>
        <w:numPr>
          <w:ilvl w:val="0"/>
          <w:numId w:val="233"/>
        </w:numPr>
        <w:contextualSpacing/>
      </w:pPr>
      <w:r>
        <w:t>same document, for Word.</w:t>
      </w:r>
    </w:p>
    <w:p w:rsidR="000A156F" w:rsidRDefault="00A9721F">
      <w:pPr>
        <w:pStyle w:val="ListParagraph"/>
        <w:numPr>
          <w:ilvl w:val="0"/>
          <w:numId w:val="233"/>
        </w:numPr>
        <w:contextualSpacing/>
      </w:pPr>
      <w:r>
        <w:t>header, for Word.</w:t>
      </w:r>
    </w:p>
    <w:p w:rsidR="000A156F" w:rsidRDefault="00A9721F">
      <w:pPr>
        <w:pStyle w:val="ListParagraph"/>
        <w:numPr>
          <w:ilvl w:val="0"/>
          <w:numId w:val="233"/>
        </w:numPr>
      </w:pPr>
      <w:r>
        <w:t>It is not an embedded object, for Excel and Word.</w:t>
      </w:r>
    </w:p>
    <w:p w:rsidR="000A156F" w:rsidRDefault="00A9721F">
      <w:r>
        <w:t>If it is an object name and contains NC</w:t>
      </w:r>
      <w:r>
        <w:t xml:space="preserve">R (Numeric Character Reference) characters, they are escaped using the Unicode numerical character representation escape character format </w:t>
      </w:r>
      <w:r>
        <w:rPr>
          <w:rStyle w:val="InlineCode"/>
        </w:rPr>
        <w:t>_xHHHH_</w:t>
      </w:r>
      <w:r>
        <w:t>, where H represents a hexadecimal character. If the string already contains escaped characters in this format,</w:t>
      </w:r>
      <w:r>
        <w:t xml:space="preserve"> then the first underscore character (_) of the escape sequence shall be escaped.</w:t>
      </w:r>
    </w:p>
    <w:p w:rsidR="000A156F" w:rsidRDefault="00A9721F">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0A156F" w:rsidRDefault="00A9721F">
      <w:r>
        <w:t>This simple type's contents are a restric</w:t>
      </w:r>
      <w:r>
        <w:t>tion of the XML Schema token datatype.</w:t>
      </w:r>
    </w:p>
    <w:p w:rsidR="000A156F" w:rsidRDefault="00A9721F">
      <w:r>
        <w:t>This simple type also specifies the following restrictions:</w:t>
      </w:r>
    </w:p>
    <w:p w:rsidR="000A156F" w:rsidRDefault="00A9721F">
      <w:pPr>
        <w:pStyle w:val="ListParagraph"/>
        <w:numPr>
          <w:ilvl w:val="0"/>
          <w:numId w:val="234"/>
        </w:numPr>
      </w:pPr>
      <w:r>
        <w:t>This simple type's contents have a maximum length of 255 characters.</w:t>
      </w:r>
    </w:p>
    <w:p w:rsidR="000A156F" w:rsidRDefault="00A9721F">
      <w:r>
        <w:t>The following XML Schema fragment defines the contents of this simple type:</w:t>
      </w:r>
    </w:p>
    <w:p w:rsidR="000A156F" w:rsidRDefault="00A9721F">
      <w:pPr>
        <w:pStyle w:val="Code"/>
      </w:pPr>
      <w:r>
        <w:t xml:space="preserve">&lt;simpleType </w:t>
      </w:r>
      <w:r>
        <w:t>name="ST_ObjID"&gt;</w:t>
      </w:r>
    </w:p>
    <w:p w:rsidR="000A156F" w:rsidRDefault="00A9721F">
      <w:pPr>
        <w:pStyle w:val="Code"/>
      </w:pPr>
      <w:r>
        <w:t xml:space="preserve">  &lt;restriction base="xsd:token"&gt;</w:t>
      </w:r>
    </w:p>
    <w:p w:rsidR="000A156F" w:rsidRDefault="00A9721F">
      <w:pPr>
        <w:pStyle w:val="Code"/>
      </w:pPr>
      <w:r>
        <w:t xml:space="preserve">    &lt;maxLength value="255"/&gt;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3"/>
      </w:pPr>
      <w:bookmarkStart w:id="4284" w:name="section_9fa89b60c362417d97158382b70c6275"/>
      <w:bookmarkStart w:id="4285" w:name="_Toc181685167"/>
      <w:r>
        <w:t>ST_ObjIDRef (Object ID Reference)</w:t>
      </w:r>
      <w:bookmarkEnd w:id="4284"/>
      <w:bookmarkEnd w:id="4285"/>
      <w:r>
        <w:fldChar w:fldCharType="begin"/>
      </w:r>
      <w:r>
        <w:instrText xml:space="preserve"> XE "ST_ObjIDRef (Object ID Reference)" </w:instrText>
      </w:r>
      <w:r>
        <w:fldChar w:fldCharType="end"/>
      </w:r>
    </w:p>
    <w:p w:rsidR="000A156F" w:rsidRDefault="00A9721F">
      <w:r>
        <w:t>This simple type specifies a reference to an object ID.  It starts wit</w:t>
      </w:r>
      <w:r>
        <w:t>h an optional ‘#’ which is followed by an object ID number or an object name as described in the ST_ObjID simple type (</w:t>
      </w:r>
      <w:hyperlink w:anchor="Section_bf23da8a2e1d4d268eb40ba002bd78f6">
        <w:r>
          <w:rPr>
            <w:rStyle w:val="Hyperlink"/>
          </w:rPr>
          <w:t>§3.9.3, ST_ObjID</w:t>
        </w:r>
      </w:hyperlink>
      <w:r>
        <w:t>).</w:t>
      </w:r>
    </w:p>
    <w:p w:rsidR="000A156F" w:rsidRDefault="00A9721F">
      <w:r>
        <w:t>This simple type's contents are a restriction of the XM</w:t>
      </w:r>
      <w:r>
        <w:t>L Schema token datatype.</w:t>
      </w:r>
    </w:p>
    <w:p w:rsidR="000A156F" w:rsidRDefault="00A9721F">
      <w:r>
        <w:t>The following XML Schema fragment defines the contents of this simple type:</w:t>
      </w:r>
    </w:p>
    <w:p w:rsidR="000A156F" w:rsidRDefault="00A9721F">
      <w:pPr>
        <w:pStyle w:val="Code"/>
      </w:pPr>
      <w:r>
        <w:t>&lt;simpleType name="ST_ObjIDRef"&gt;</w:t>
      </w:r>
    </w:p>
    <w:p w:rsidR="000A156F" w:rsidRDefault="00A9721F">
      <w:pPr>
        <w:pStyle w:val="Code"/>
      </w:pPr>
      <w:r>
        <w:t xml:space="preserve">  &lt;restriction base="xsd:token"/&gt;</w:t>
      </w:r>
    </w:p>
    <w:p w:rsidR="000A156F" w:rsidRDefault="00A9721F">
      <w:pPr>
        <w:pStyle w:val="Code"/>
      </w:pPr>
      <w:r>
        <w:lastRenderedPageBreak/>
        <w:t>&lt;/simpleType&gt;</w:t>
      </w:r>
    </w:p>
    <w:p w:rsidR="000A156F" w:rsidRDefault="00A9721F">
      <w:pPr>
        <w:pStyle w:val="Heading3"/>
      </w:pPr>
      <w:bookmarkStart w:id="4286" w:name="section_d7f650a3a70647a88556121f9c7d0205"/>
      <w:bookmarkStart w:id="4287" w:name="_Toc181685168"/>
      <w:r>
        <w:t>ST_ShapeType (Shape Type)</w:t>
      </w:r>
      <w:bookmarkEnd w:id="4286"/>
      <w:bookmarkEnd w:id="4287"/>
      <w:r>
        <w:fldChar w:fldCharType="begin"/>
      </w:r>
      <w:r>
        <w:instrText xml:space="preserve"> XE "ST_ShapeType (Shape Type)" </w:instrText>
      </w:r>
      <w:r>
        <w:fldChar w:fldCharType="end"/>
      </w:r>
    </w:p>
    <w:p w:rsidR="000A156F" w:rsidRDefault="00A9721F">
      <w:r>
        <w:t>This simple typ</w:t>
      </w:r>
      <w:r>
        <w:t>e specifies the kinds of shapes a VML shape can represent.  [Rationale: An application may use this to indicate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A156F" w:rsidRDefault="00A9721F">
            <w:pPr>
              <w:pStyle w:val="TableHeaderText"/>
            </w:pPr>
            <w:r>
              <w:t>Value</w:t>
            </w:r>
          </w:p>
        </w:tc>
        <w:tc>
          <w:tcPr>
            <w:tcW w:w="0" w:type="auto"/>
            <w:vAlign w:val="center"/>
          </w:tcPr>
          <w:p w:rsidR="000A156F" w:rsidRDefault="00A9721F">
            <w:pPr>
              <w:pStyle w:val="TableHeaderText"/>
            </w:pPr>
            <w:r>
              <w:t>Description</w:t>
            </w:r>
          </w:p>
        </w:tc>
      </w:tr>
      <w:tr w:rsidR="000A156F" w:rsidTr="000A156F">
        <w:tc>
          <w:tcPr>
            <w:tcW w:w="0" w:type="auto"/>
            <w:vAlign w:val="center"/>
          </w:tcPr>
          <w:p w:rsidR="000A156F" w:rsidRDefault="00A9721F">
            <w:pPr>
              <w:pStyle w:val="TableBodyText"/>
            </w:pPr>
            <w:r>
              <w:rPr>
                <w:i/>
              </w:rPr>
              <w:t>0</w:t>
            </w:r>
          </w:p>
        </w:tc>
        <w:tc>
          <w:tcPr>
            <w:tcW w:w="0" w:type="auto"/>
            <w:vAlign w:val="center"/>
          </w:tcPr>
          <w:p w:rsidR="000A156F" w:rsidRDefault="00A9721F">
            <w:pPr>
              <w:pStyle w:val="TableBodyText"/>
            </w:pPr>
            <w:r>
              <w:t>User-defined shape</w:t>
            </w:r>
          </w:p>
        </w:tc>
      </w:tr>
      <w:tr w:rsidR="000A156F" w:rsidTr="000A156F">
        <w:tc>
          <w:tcPr>
            <w:tcW w:w="0" w:type="auto"/>
            <w:vAlign w:val="center"/>
          </w:tcPr>
          <w:p w:rsidR="000A156F" w:rsidRDefault="00A9721F">
            <w:pPr>
              <w:pStyle w:val="TableBodyText"/>
            </w:pPr>
            <w:r>
              <w:rPr>
                <w:i/>
              </w:rPr>
              <w:t>1</w:t>
            </w:r>
          </w:p>
        </w:tc>
        <w:tc>
          <w:tcPr>
            <w:tcW w:w="0" w:type="auto"/>
            <w:vAlign w:val="center"/>
          </w:tcPr>
          <w:p w:rsidR="000A156F" w:rsidRDefault="00A9721F">
            <w:pPr>
              <w:pStyle w:val="TableBodyText"/>
            </w:pPr>
            <w:r>
              <w:t>Rectangle</w:t>
            </w:r>
          </w:p>
        </w:tc>
      </w:tr>
      <w:tr w:rsidR="000A156F" w:rsidTr="000A156F">
        <w:tc>
          <w:tcPr>
            <w:tcW w:w="0" w:type="auto"/>
            <w:vAlign w:val="center"/>
          </w:tcPr>
          <w:p w:rsidR="000A156F" w:rsidRDefault="00A9721F">
            <w:pPr>
              <w:pStyle w:val="TableBodyText"/>
            </w:pPr>
            <w:r>
              <w:rPr>
                <w:i/>
              </w:rPr>
              <w:t>2</w:t>
            </w:r>
          </w:p>
        </w:tc>
        <w:tc>
          <w:tcPr>
            <w:tcW w:w="0" w:type="auto"/>
            <w:vAlign w:val="center"/>
          </w:tcPr>
          <w:p w:rsidR="000A156F" w:rsidRDefault="00A9721F">
            <w:pPr>
              <w:pStyle w:val="TableBodyText"/>
            </w:pPr>
            <w:r>
              <w:t xml:space="preserve">Rounded </w:t>
            </w:r>
            <w:r>
              <w:t>Rectangle</w:t>
            </w:r>
          </w:p>
        </w:tc>
      </w:tr>
      <w:tr w:rsidR="000A156F" w:rsidTr="000A156F">
        <w:tc>
          <w:tcPr>
            <w:tcW w:w="0" w:type="auto"/>
            <w:vAlign w:val="center"/>
          </w:tcPr>
          <w:p w:rsidR="000A156F" w:rsidRDefault="00A9721F">
            <w:pPr>
              <w:pStyle w:val="TableBodyText"/>
            </w:pPr>
            <w:r>
              <w:rPr>
                <w:i/>
              </w:rPr>
              <w:t>3</w:t>
            </w:r>
          </w:p>
        </w:tc>
        <w:tc>
          <w:tcPr>
            <w:tcW w:w="0" w:type="auto"/>
            <w:vAlign w:val="center"/>
          </w:tcPr>
          <w:p w:rsidR="000A156F" w:rsidRDefault="00A9721F">
            <w:pPr>
              <w:pStyle w:val="TableBodyText"/>
            </w:pPr>
            <w:r>
              <w:t>Ellipse</w:t>
            </w:r>
          </w:p>
        </w:tc>
      </w:tr>
      <w:tr w:rsidR="000A156F" w:rsidTr="000A156F">
        <w:tc>
          <w:tcPr>
            <w:tcW w:w="0" w:type="auto"/>
            <w:vAlign w:val="center"/>
          </w:tcPr>
          <w:p w:rsidR="000A156F" w:rsidRDefault="00A9721F">
            <w:pPr>
              <w:pStyle w:val="TableBodyText"/>
            </w:pPr>
            <w:r>
              <w:rPr>
                <w:i/>
              </w:rPr>
              <w:t>4</w:t>
            </w:r>
          </w:p>
        </w:tc>
        <w:tc>
          <w:tcPr>
            <w:tcW w:w="0" w:type="auto"/>
            <w:vAlign w:val="center"/>
          </w:tcPr>
          <w:p w:rsidR="000A156F" w:rsidRDefault="00A9721F">
            <w:pPr>
              <w:pStyle w:val="TableBodyText"/>
            </w:pPr>
            <w:r>
              <w:t>Diamond</w:t>
            </w:r>
          </w:p>
        </w:tc>
      </w:tr>
      <w:tr w:rsidR="000A156F" w:rsidTr="000A156F">
        <w:tc>
          <w:tcPr>
            <w:tcW w:w="0" w:type="auto"/>
            <w:vAlign w:val="center"/>
          </w:tcPr>
          <w:p w:rsidR="000A156F" w:rsidRDefault="00A9721F">
            <w:pPr>
              <w:pStyle w:val="TableBodyText"/>
            </w:pPr>
            <w:r>
              <w:rPr>
                <w:i/>
              </w:rPr>
              <w:t>5</w:t>
            </w:r>
          </w:p>
        </w:tc>
        <w:tc>
          <w:tcPr>
            <w:tcW w:w="0" w:type="auto"/>
            <w:vAlign w:val="center"/>
          </w:tcPr>
          <w:p w:rsidR="000A156F" w:rsidRDefault="00A9721F">
            <w:pPr>
              <w:pStyle w:val="TableBodyText"/>
            </w:pPr>
            <w:r>
              <w:t>Isosceles Triangle</w:t>
            </w:r>
          </w:p>
        </w:tc>
      </w:tr>
      <w:tr w:rsidR="000A156F" w:rsidTr="000A156F">
        <w:tc>
          <w:tcPr>
            <w:tcW w:w="0" w:type="auto"/>
            <w:vAlign w:val="center"/>
          </w:tcPr>
          <w:p w:rsidR="000A156F" w:rsidRDefault="00A9721F">
            <w:pPr>
              <w:pStyle w:val="TableBodyText"/>
            </w:pPr>
            <w:r>
              <w:rPr>
                <w:i/>
              </w:rPr>
              <w:t>6</w:t>
            </w:r>
          </w:p>
        </w:tc>
        <w:tc>
          <w:tcPr>
            <w:tcW w:w="0" w:type="auto"/>
            <w:vAlign w:val="center"/>
          </w:tcPr>
          <w:p w:rsidR="000A156F" w:rsidRDefault="00A9721F">
            <w:pPr>
              <w:pStyle w:val="TableBodyText"/>
            </w:pPr>
            <w:r>
              <w:t>Right Triangle</w:t>
            </w:r>
          </w:p>
        </w:tc>
      </w:tr>
      <w:tr w:rsidR="000A156F" w:rsidTr="000A156F">
        <w:tc>
          <w:tcPr>
            <w:tcW w:w="0" w:type="auto"/>
            <w:vAlign w:val="center"/>
          </w:tcPr>
          <w:p w:rsidR="000A156F" w:rsidRDefault="00A9721F">
            <w:pPr>
              <w:pStyle w:val="TableBodyText"/>
            </w:pPr>
            <w:r>
              <w:rPr>
                <w:i/>
              </w:rPr>
              <w:t>7</w:t>
            </w:r>
          </w:p>
        </w:tc>
        <w:tc>
          <w:tcPr>
            <w:tcW w:w="0" w:type="auto"/>
            <w:vAlign w:val="center"/>
          </w:tcPr>
          <w:p w:rsidR="000A156F" w:rsidRDefault="00A9721F">
            <w:pPr>
              <w:pStyle w:val="TableBodyText"/>
            </w:pPr>
            <w:r>
              <w:t>Parallelogram</w:t>
            </w:r>
          </w:p>
        </w:tc>
      </w:tr>
      <w:tr w:rsidR="000A156F" w:rsidTr="000A156F">
        <w:tc>
          <w:tcPr>
            <w:tcW w:w="0" w:type="auto"/>
            <w:vAlign w:val="center"/>
          </w:tcPr>
          <w:p w:rsidR="000A156F" w:rsidRDefault="00A9721F">
            <w:pPr>
              <w:pStyle w:val="TableBodyText"/>
            </w:pPr>
            <w:r>
              <w:rPr>
                <w:i/>
              </w:rPr>
              <w:t>8</w:t>
            </w:r>
          </w:p>
        </w:tc>
        <w:tc>
          <w:tcPr>
            <w:tcW w:w="0" w:type="auto"/>
            <w:vAlign w:val="center"/>
          </w:tcPr>
          <w:p w:rsidR="000A156F" w:rsidRDefault="00A9721F">
            <w:pPr>
              <w:pStyle w:val="TableBodyText"/>
            </w:pPr>
            <w:r>
              <w:t>Trapezoid</w:t>
            </w:r>
          </w:p>
        </w:tc>
      </w:tr>
      <w:tr w:rsidR="000A156F" w:rsidTr="000A156F">
        <w:tc>
          <w:tcPr>
            <w:tcW w:w="0" w:type="auto"/>
            <w:vAlign w:val="center"/>
          </w:tcPr>
          <w:p w:rsidR="000A156F" w:rsidRDefault="00A9721F">
            <w:pPr>
              <w:pStyle w:val="TableBodyText"/>
            </w:pPr>
            <w:r>
              <w:rPr>
                <w:i/>
              </w:rPr>
              <w:t>9</w:t>
            </w:r>
          </w:p>
        </w:tc>
        <w:tc>
          <w:tcPr>
            <w:tcW w:w="0" w:type="auto"/>
            <w:vAlign w:val="center"/>
          </w:tcPr>
          <w:p w:rsidR="000A156F" w:rsidRDefault="00A9721F">
            <w:pPr>
              <w:pStyle w:val="TableBodyText"/>
            </w:pPr>
            <w:r>
              <w:t>Hexagon</w:t>
            </w:r>
          </w:p>
        </w:tc>
      </w:tr>
      <w:tr w:rsidR="000A156F" w:rsidTr="000A156F">
        <w:tc>
          <w:tcPr>
            <w:tcW w:w="0" w:type="auto"/>
            <w:vAlign w:val="center"/>
          </w:tcPr>
          <w:p w:rsidR="000A156F" w:rsidRDefault="00A9721F">
            <w:pPr>
              <w:pStyle w:val="TableBodyText"/>
            </w:pPr>
            <w:r>
              <w:rPr>
                <w:i/>
              </w:rPr>
              <w:t>10</w:t>
            </w:r>
          </w:p>
        </w:tc>
        <w:tc>
          <w:tcPr>
            <w:tcW w:w="0" w:type="auto"/>
            <w:vAlign w:val="center"/>
          </w:tcPr>
          <w:p w:rsidR="000A156F" w:rsidRDefault="00A9721F">
            <w:pPr>
              <w:pStyle w:val="TableBodyText"/>
            </w:pPr>
            <w:r>
              <w:t>Octagon</w:t>
            </w:r>
          </w:p>
        </w:tc>
      </w:tr>
      <w:tr w:rsidR="000A156F" w:rsidTr="000A156F">
        <w:tc>
          <w:tcPr>
            <w:tcW w:w="0" w:type="auto"/>
            <w:vAlign w:val="center"/>
          </w:tcPr>
          <w:p w:rsidR="000A156F" w:rsidRDefault="00A9721F">
            <w:pPr>
              <w:pStyle w:val="TableBodyText"/>
            </w:pPr>
            <w:r>
              <w:rPr>
                <w:i/>
              </w:rPr>
              <w:t>11</w:t>
            </w:r>
          </w:p>
        </w:tc>
        <w:tc>
          <w:tcPr>
            <w:tcW w:w="0" w:type="auto"/>
            <w:vAlign w:val="center"/>
          </w:tcPr>
          <w:p w:rsidR="000A156F" w:rsidRDefault="00A9721F">
            <w:pPr>
              <w:pStyle w:val="TableBodyText"/>
            </w:pPr>
            <w:r>
              <w:t>Plus Sign</w:t>
            </w:r>
          </w:p>
        </w:tc>
      </w:tr>
      <w:tr w:rsidR="000A156F" w:rsidTr="000A156F">
        <w:tc>
          <w:tcPr>
            <w:tcW w:w="0" w:type="auto"/>
            <w:vAlign w:val="center"/>
          </w:tcPr>
          <w:p w:rsidR="000A156F" w:rsidRDefault="00A9721F">
            <w:pPr>
              <w:pStyle w:val="TableBodyText"/>
            </w:pPr>
            <w:r>
              <w:rPr>
                <w:i/>
              </w:rPr>
              <w:t>12</w:t>
            </w:r>
          </w:p>
        </w:tc>
        <w:tc>
          <w:tcPr>
            <w:tcW w:w="0" w:type="auto"/>
            <w:vAlign w:val="center"/>
          </w:tcPr>
          <w:p w:rsidR="000A156F" w:rsidRDefault="00A9721F">
            <w:pPr>
              <w:pStyle w:val="TableBodyText"/>
            </w:pPr>
            <w:r>
              <w:t>Star</w:t>
            </w:r>
          </w:p>
        </w:tc>
      </w:tr>
      <w:tr w:rsidR="000A156F" w:rsidTr="000A156F">
        <w:tc>
          <w:tcPr>
            <w:tcW w:w="0" w:type="auto"/>
            <w:vAlign w:val="center"/>
          </w:tcPr>
          <w:p w:rsidR="000A156F" w:rsidRDefault="00A9721F">
            <w:pPr>
              <w:pStyle w:val="TableBodyText"/>
            </w:pPr>
            <w:r>
              <w:rPr>
                <w:i/>
              </w:rPr>
              <w:t>13</w:t>
            </w:r>
          </w:p>
        </w:tc>
        <w:tc>
          <w:tcPr>
            <w:tcW w:w="0" w:type="auto"/>
            <w:vAlign w:val="center"/>
          </w:tcPr>
          <w:p w:rsidR="000A156F" w:rsidRDefault="00A9721F">
            <w:pPr>
              <w:pStyle w:val="TableBodyText"/>
            </w:pPr>
            <w:r>
              <w:t>Arrow</w:t>
            </w:r>
          </w:p>
        </w:tc>
      </w:tr>
      <w:tr w:rsidR="000A156F" w:rsidTr="000A156F">
        <w:tc>
          <w:tcPr>
            <w:tcW w:w="0" w:type="auto"/>
            <w:vAlign w:val="center"/>
          </w:tcPr>
          <w:p w:rsidR="000A156F" w:rsidRDefault="00A9721F">
            <w:pPr>
              <w:pStyle w:val="TableBodyText"/>
            </w:pPr>
            <w:r>
              <w:rPr>
                <w:i/>
              </w:rPr>
              <w:t>14</w:t>
            </w:r>
          </w:p>
        </w:tc>
        <w:tc>
          <w:tcPr>
            <w:tcW w:w="0" w:type="auto"/>
            <w:vAlign w:val="center"/>
          </w:tcPr>
          <w:p w:rsidR="000A156F" w:rsidRDefault="00A9721F">
            <w:pPr>
              <w:pStyle w:val="TableBodyText"/>
            </w:pPr>
            <w:r>
              <w:t>Thick Arrow</w:t>
            </w:r>
          </w:p>
        </w:tc>
      </w:tr>
      <w:tr w:rsidR="000A156F" w:rsidTr="000A156F">
        <w:tc>
          <w:tcPr>
            <w:tcW w:w="0" w:type="auto"/>
            <w:vAlign w:val="center"/>
          </w:tcPr>
          <w:p w:rsidR="000A156F" w:rsidRDefault="00A9721F">
            <w:pPr>
              <w:pStyle w:val="TableBodyText"/>
            </w:pPr>
            <w:r>
              <w:rPr>
                <w:i/>
              </w:rPr>
              <w:t>15</w:t>
            </w:r>
          </w:p>
        </w:tc>
        <w:tc>
          <w:tcPr>
            <w:tcW w:w="0" w:type="auto"/>
            <w:vAlign w:val="center"/>
          </w:tcPr>
          <w:p w:rsidR="000A156F" w:rsidRDefault="00A9721F">
            <w:pPr>
              <w:pStyle w:val="TableBodyText"/>
            </w:pPr>
            <w:r>
              <w:t>Home Plate</w:t>
            </w:r>
          </w:p>
        </w:tc>
      </w:tr>
      <w:tr w:rsidR="000A156F" w:rsidTr="000A156F">
        <w:tc>
          <w:tcPr>
            <w:tcW w:w="0" w:type="auto"/>
            <w:vAlign w:val="center"/>
          </w:tcPr>
          <w:p w:rsidR="000A156F" w:rsidRDefault="00A9721F">
            <w:pPr>
              <w:pStyle w:val="TableBodyText"/>
            </w:pPr>
            <w:r>
              <w:rPr>
                <w:i/>
              </w:rPr>
              <w:t>16</w:t>
            </w:r>
          </w:p>
        </w:tc>
        <w:tc>
          <w:tcPr>
            <w:tcW w:w="0" w:type="auto"/>
            <w:vAlign w:val="center"/>
          </w:tcPr>
          <w:p w:rsidR="000A156F" w:rsidRDefault="00A9721F">
            <w:pPr>
              <w:pStyle w:val="TableBodyText"/>
            </w:pPr>
            <w:r>
              <w:t>Cube</w:t>
            </w:r>
          </w:p>
        </w:tc>
      </w:tr>
      <w:tr w:rsidR="000A156F" w:rsidTr="000A156F">
        <w:tc>
          <w:tcPr>
            <w:tcW w:w="0" w:type="auto"/>
            <w:vAlign w:val="center"/>
          </w:tcPr>
          <w:p w:rsidR="000A156F" w:rsidRDefault="00A9721F">
            <w:pPr>
              <w:pStyle w:val="TableBodyText"/>
            </w:pPr>
            <w:r>
              <w:rPr>
                <w:i/>
              </w:rPr>
              <w:t>17</w:t>
            </w:r>
          </w:p>
        </w:tc>
        <w:tc>
          <w:tcPr>
            <w:tcW w:w="0" w:type="auto"/>
            <w:vAlign w:val="center"/>
          </w:tcPr>
          <w:p w:rsidR="000A156F" w:rsidRDefault="00A9721F">
            <w:pPr>
              <w:pStyle w:val="TableBodyText"/>
            </w:pPr>
            <w:r>
              <w:t>Balloon</w:t>
            </w:r>
          </w:p>
        </w:tc>
      </w:tr>
      <w:tr w:rsidR="000A156F" w:rsidTr="000A156F">
        <w:tc>
          <w:tcPr>
            <w:tcW w:w="0" w:type="auto"/>
            <w:vAlign w:val="center"/>
          </w:tcPr>
          <w:p w:rsidR="000A156F" w:rsidRDefault="00A9721F">
            <w:pPr>
              <w:pStyle w:val="TableBodyText"/>
            </w:pPr>
            <w:r>
              <w:rPr>
                <w:i/>
              </w:rPr>
              <w:t>18</w:t>
            </w:r>
          </w:p>
        </w:tc>
        <w:tc>
          <w:tcPr>
            <w:tcW w:w="0" w:type="auto"/>
            <w:vAlign w:val="center"/>
          </w:tcPr>
          <w:p w:rsidR="000A156F" w:rsidRDefault="00A9721F">
            <w:pPr>
              <w:pStyle w:val="TableBodyText"/>
            </w:pPr>
            <w:r>
              <w:t>Seal</w:t>
            </w:r>
          </w:p>
        </w:tc>
      </w:tr>
      <w:tr w:rsidR="000A156F" w:rsidTr="000A156F">
        <w:tc>
          <w:tcPr>
            <w:tcW w:w="0" w:type="auto"/>
            <w:vAlign w:val="center"/>
          </w:tcPr>
          <w:p w:rsidR="000A156F" w:rsidRDefault="00A9721F">
            <w:pPr>
              <w:pStyle w:val="TableBodyText"/>
            </w:pPr>
            <w:r>
              <w:rPr>
                <w:i/>
              </w:rPr>
              <w:t>19</w:t>
            </w:r>
          </w:p>
        </w:tc>
        <w:tc>
          <w:tcPr>
            <w:tcW w:w="0" w:type="auto"/>
            <w:vAlign w:val="center"/>
          </w:tcPr>
          <w:p w:rsidR="000A156F" w:rsidRDefault="00A9721F">
            <w:pPr>
              <w:pStyle w:val="TableBodyText"/>
            </w:pPr>
            <w:r>
              <w:t>Arc</w:t>
            </w:r>
          </w:p>
        </w:tc>
      </w:tr>
      <w:tr w:rsidR="000A156F" w:rsidTr="000A156F">
        <w:tc>
          <w:tcPr>
            <w:tcW w:w="0" w:type="auto"/>
            <w:vAlign w:val="center"/>
          </w:tcPr>
          <w:p w:rsidR="000A156F" w:rsidRDefault="00A9721F">
            <w:pPr>
              <w:pStyle w:val="TableBodyText"/>
            </w:pPr>
            <w:r>
              <w:rPr>
                <w:i/>
              </w:rPr>
              <w:t>20</w:t>
            </w:r>
          </w:p>
        </w:tc>
        <w:tc>
          <w:tcPr>
            <w:tcW w:w="0" w:type="auto"/>
            <w:vAlign w:val="center"/>
          </w:tcPr>
          <w:p w:rsidR="000A156F" w:rsidRDefault="00A9721F">
            <w:pPr>
              <w:pStyle w:val="TableBodyText"/>
            </w:pPr>
            <w:r>
              <w:t>Line</w:t>
            </w:r>
          </w:p>
        </w:tc>
      </w:tr>
      <w:tr w:rsidR="000A156F" w:rsidTr="000A156F">
        <w:tc>
          <w:tcPr>
            <w:tcW w:w="0" w:type="auto"/>
            <w:vAlign w:val="center"/>
          </w:tcPr>
          <w:p w:rsidR="000A156F" w:rsidRDefault="00A9721F">
            <w:pPr>
              <w:pStyle w:val="TableBodyText"/>
            </w:pPr>
            <w:r>
              <w:rPr>
                <w:i/>
              </w:rPr>
              <w:t>21</w:t>
            </w:r>
          </w:p>
        </w:tc>
        <w:tc>
          <w:tcPr>
            <w:tcW w:w="0" w:type="auto"/>
            <w:vAlign w:val="center"/>
          </w:tcPr>
          <w:p w:rsidR="000A156F" w:rsidRDefault="00A9721F">
            <w:pPr>
              <w:pStyle w:val="TableBodyText"/>
            </w:pPr>
            <w:r>
              <w:t>Plaque</w:t>
            </w:r>
          </w:p>
        </w:tc>
      </w:tr>
      <w:tr w:rsidR="000A156F" w:rsidTr="000A156F">
        <w:tc>
          <w:tcPr>
            <w:tcW w:w="0" w:type="auto"/>
            <w:vAlign w:val="center"/>
          </w:tcPr>
          <w:p w:rsidR="000A156F" w:rsidRDefault="00A9721F">
            <w:pPr>
              <w:pStyle w:val="TableBodyText"/>
            </w:pPr>
            <w:r>
              <w:rPr>
                <w:i/>
              </w:rPr>
              <w:t>22</w:t>
            </w:r>
          </w:p>
        </w:tc>
        <w:tc>
          <w:tcPr>
            <w:tcW w:w="0" w:type="auto"/>
            <w:vAlign w:val="center"/>
          </w:tcPr>
          <w:p w:rsidR="000A156F" w:rsidRDefault="00A9721F">
            <w:pPr>
              <w:pStyle w:val="TableBodyText"/>
            </w:pPr>
            <w:r>
              <w:t>Can</w:t>
            </w:r>
          </w:p>
        </w:tc>
      </w:tr>
      <w:tr w:rsidR="000A156F" w:rsidTr="000A156F">
        <w:tc>
          <w:tcPr>
            <w:tcW w:w="0" w:type="auto"/>
            <w:vAlign w:val="center"/>
          </w:tcPr>
          <w:p w:rsidR="000A156F" w:rsidRDefault="00A9721F">
            <w:pPr>
              <w:pStyle w:val="TableBodyText"/>
            </w:pPr>
            <w:r>
              <w:rPr>
                <w:i/>
              </w:rPr>
              <w:t>23</w:t>
            </w:r>
          </w:p>
        </w:tc>
        <w:tc>
          <w:tcPr>
            <w:tcW w:w="0" w:type="auto"/>
            <w:vAlign w:val="center"/>
          </w:tcPr>
          <w:p w:rsidR="000A156F" w:rsidRDefault="00A9721F">
            <w:pPr>
              <w:pStyle w:val="TableBodyText"/>
            </w:pPr>
            <w:r>
              <w:t>Donut</w:t>
            </w:r>
          </w:p>
        </w:tc>
      </w:tr>
      <w:tr w:rsidR="000A156F" w:rsidTr="000A156F">
        <w:tc>
          <w:tcPr>
            <w:tcW w:w="0" w:type="auto"/>
            <w:vAlign w:val="center"/>
          </w:tcPr>
          <w:p w:rsidR="000A156F" w:rsidRDefault="00A9721F">
            <w:pPr>
              <w:pStyle w:val="TableBodyText"/>
            </w:pPr>
            <w:r>
              <w:rPr>
                <w:i/>
              </w:rPr>
              <w:t>32</w:t>
            </w:r>
          </w:p>
        </w:tc>
        <w:tc>
          <w:tcPr>
            <w:tcW w:w="0" w:type="auto"/>
            <w:vAlign w:val="center"/>
          </w:tcPr>
          <w:p w:rsidR="000A156F" w:rsidRDefault="00A9721F">
            <w:pPr>
              <w:pStyle w:val="TableBodyText"/>
            </w:pPr>
            <w:r>
              <w:t>Straight Connector</w:t>
            </w:r>
          </w:p>
        </w:tc>
      </w:tr>
      <w:tr w:rsidR="000A156F" w:rsidTr="000A156F">
        <w:tc>
          <w:tcPr>
            <w:tcW w:w="0" w:type="auto"/>
            <w:vAlign w:val="center"/>
          </w:tcPr>
          <w:p w:rsidR="000A156F" w:rsidRDefault="00A9721F">
            <w:pPr>
              <w:pStyle w:val="TableBodyText"/>
            </w:pPr>
            <w:r>
              <w:rPr>
                <w:i/>
              </w:rPr>
              <w:t>33-36</w:t>
            </w:r>
          </w:p>
        </w:tc>
        <w:tc>
          <w:tcPr>
            <w:tcW w:w="0" w:type="auto"/>
            <w:vAlign w:val="center"/>
          </w:tcPr>
          <w:p w:rsidR="000A156F" w:rsidRDefault="00A9721F">
            <w:pPr>
              <w:pStyle w:val="TableBodyText"/>
            </w:pPr>
            <w:r>
              <w:t>Bent Connector</w:t>
            </w:r>
          </w:p>
        </w:tc>
      </w:tr>
      <w:tr w:rsidR="000A156F" w:rsidTr="000A156F">
        <w:tc>
          <w:tcPr>
            <w:tcW w:w="0" w:type="auto"/>
            <w:vAlign w:val="center"/>
          </w:tcPr>
          <w:p w:rsidR="000A156F" w:rsidRDefault="00A9721F">
            <w:pPr>
              <w:pStyle w:val="TableBodyText"/>
            </w:pPr>
            <w:r>
              <w:rPr>
                <w:i/>
              </w:rPr>
              <w:lastRenderedPageBreak/>
              <w:t>37-40</w:t>
            </w:r>
          </w:p>
        </w:tc>
        <w:tc>
          <w:tcPr>
            <w:tcW w:w="0" w:type="auto"/>
            <w:vAlign w:val="center"/>
          </w:tcPr>
          <w:p w:rsidR="000A156F" w:rsidRDefault="00A9721F">
            <w:pPr>
              <w:pStyle w:val="TableBodyText"/>
            </w:pPr>
            <w:r>
              <w:t>Curved Connector</w:t>
            </w:r>
          </w:p>
        </w:tc>
      </w:tr>
      <w:tr w:rsidR="000A156F" w:rsidTr="000A156F">
        <w:tc>
          <w:tcPr>
            <w:tcW w:w="0" w:type="auto"/>
            <w:vAlign w:val="center"/>
          </w:tcPr>
          <w:p w:rsidR="000A156F" w:rsidRDefault="00A9721F">
            <w:pPr>
              <w:pStyle w:val="TableBodyText"/>
            </w:pPr>
            <w:r>
              <w:rPr>
                <w:i/>
              </w:rPr>
              <w:t>41-43</w:t>
            </w:r>
          </w:p>
        </w:tc>
        <w:tc>
          <w:tcPr>
            <w:tcW w:w="0" w:type="auto"/>
            <w:vAlign w:val="center"/>
          </w:tcPr>
          <w:p w:rsidR="000A156F" w:rsidRDefault="00A9721F">
            <w:pPr>
              <w:pStyle w:val="TableBodyText"/>
            </w:pPr>
            <w:r>
              <w:t>Callout</w:t>
            </w:r>
          </w:p>
        </w:tc>
      </w:tr>
      <w:tr w:rsidR="000A156F" w:rsidTr="000A156F">
        <w:tc>
          <w:tcPr>
            <w:tcW w:w="0" w:type="auto"/>
            <w:vAlign w:val="center"/>
          </w:tcPr>
          <w:p w:rsidR="000A156F" w:rsidRDefault="00A9721F">
            <w:pPr>
              <w:pStyle w:val="TableBodyText"/>
            </w:pPr>
            <w:r>
              <w:rPr>
                <w:i/>
              </w:rPr>
              <w:t>44-46</w:t>
            </w:r>
          </w:p>
        </w:tc>
        <w:tc>
          <w:tcPr>
            <w:tcW w:w="0" w:type="auto"/>
            <w:vAlign w:val="center"/>
          </w:tcPr>
          <w:p w:rsidR="000A156F" w:rsidRDefault="00A9721F">
            <w:pPr>
              <w:pStyle w:val="TableBodyText"/>
            </w:pPr>
            <w:r>
              <w:t>Accent Callout</w:t>
            </w:r>
          </w:p>
        </w:tc>
      </w:tr>
      <w:tr w:rsidR="000A156F" w:rsidTr="000A156F">
        <w:tc>
          <w:tcPr>
            <w:tcW w:w="0" w:type="auto"/>
            <w:vAlign w:val="center"/>
          </w:tcPr>
          <w:p w:rsidR="000A156F" w:rsidRDefault="00A9721F">
            <w:pPr>
              <w:pStyle w:val="TableBodyText"/>
            </w:pPr>
            <w:r>
              <w:rPr>
                <w:i/>
              </w:rPr>
              <w:t>47-49</w:t>
            </w:r>
          </w:p>
        </w:tc>
        <w:tc>
          <w:tcPr>
            <w:tcW w:w="0" w:type="auto"/>
            <w:vAlign w:val="center"/>
          </w:tcPr>
          <w:p w:rsidR="000A156F" w:rsidRDefault="00A9721F">
            <w:pPr>
              <w:pStyle w:val="TableBodyText"/>
            </w:pPr>
            <w:r>
              <w:t>Border Callout</w:t>
            </w:r>
          </w:p>
        </w:tc>
      </w:tr>
      <w:tr w:rsidR="000A156F" w:rsidTr="000A156F">
        <w:tc>
          <w:tcPr>
            <w:tcW w:w="0" w:type="auto"/>
            <w:vAlign w:val="center"/>
          </w:tcPr>
          <w:p w:rsidR="000A156F" w:rsidRDefault="00A9721F">
            <w:pPr>
              <w:pStyle w:val="TableBodyText"/>
            </w:pPr>
            <w:r>
              <w:rPr>
                <w:i/>
              </w:rPr>
              <w:t>50-52</w:t>
            </w:r>
          </w:p>
        </w:tc>
        <w:tc>
          <w:tcPr>
            <w:tcW w:w="0" w:type="auto"/>
            <w:vAlign w:val="center"/>
          </w:tcPr>
          <w:p w:rsidR="000A156F" w:rsidRDefault="00A9721F">
            <w:pPr>
              <w:pStyle w:val="TableBodyText"/>
            </w:pPr>
            <w:r>
              <w:t>Accent Border Callout</w:t>
            </w:r>
          </w:p>
        </w:tc>
      </w:tr>
      <w:tr w:rsidR="000A156F" w:rsidTr="000A156F">
        <w:tc>
          <w:tcPr>
            <w:tcW w:w="0" w:type="auto"/>
            <w:vAlign w:val="center"/>
          </w:tcPr>
          <w:p w:rsidR="000A156F" w:rsidRDefault="00A9721F">
            <w:pPr>
              <w:pStyle w:val="TableBodyText"/>
            </w:pPr>
            <w:r>
              <w:rPr>
                <w:i/>
              </w:rPr>
              <w:t>53-54</w:t>
            </w:r>
          </w:p>
        </w:tc>
        <w:tc>
          <w:tcPr>
            <w:tcW w:w="0" w:type="auto"/>
            <w:vAlign w:val="center"/>
          </w:tcPr>
          <w:p w:rsidR="000A156F" w:rsidRDefault="00A9721F">
            <w:pPr>
              <w:pStyle w:val="TableBodyText"/>
            </w:pPr>
            <w:r>
              <w:t>Ribbon</w:t>
            </w:r>
          </w:p>
        </w:tc>
      </w:tr>
      <w:tr w:rsidR="000A156F" w:rsidTr="000A156F">
        <w:tc>
          <w:tcPr>
            <w:tcW w:w="0" w:type="auto"/>
            <w:vAlign w:val="center"/>
          </w:tcPr>
          <w:p w:rsidR="000A156F" w:rsidRDefault="00A9721F">
            <w:pPr>
              <w:pStyle w:val="TableBodyText"/>
            </w:pPr>
            <w:r>
              <w:rPr>
                <w:i/>
              </w:rPr>
              <w:t>55</w:t>
            </w:r>
          </w:p>
        </w:tc>
        <w:tc>
          <w:tcPr>
            <w:tcW w:w="0" w:type="auto"/>
            <w:vAlign w:val="center"/>
          </w:tcPr>
          <w:p w:rsidR="000A156F" w:rsidRDefault="00A9721F">
            <w:pPr>
              <w:pStyle w:val="TableBodyText"/>
            </w:pPr>
            <w:r>
              <w:t>Chevron</w:t>
            </w:r>
          </w:p>
        </w:tc>
      </w:tr>
      <w:tr w:rsidR="000A156F" w:rsidTr="000A156F">
        <w:tc>
          <w:tcPr>
            <w:tcW w:w="0" w:type="auto"/>
            <w:vAlign w:val="center"/>
          </w:tcPr>
          <w:p w:rsidR="000A156F" w:rsidRDefault="00A9721F">
            <w:pPr>
              <w:pStyle w:val="TableBodyText"/>
            </w:pPr>
            <w:r>
              <w:rPr>
                <w:i/>
              </w:rPr>
              <w:t>56</w:t>
            </w:r>
          </w:p>
        </w:tc>
        <w:tc>
          <w:tcPr>
            <w:tcW w:w="0" w:type="auto"/>
            <w:vAlign w:val="center"/>
          </w:tcPr>
          <w:p w:rsidR="000A156F" w:rsidRDefault="00A9721F">
            <w:pPr>
              <w:pStyle w:val="TableBodyText"/>
            </w:pPr>
            <w:r>
              <w:t>Pentagon</w:t>
            </w:r>
          </w:p>
        </w:tc>
      </w:tr>
      <w:tr w:rsidR="000A156F" w:rsidTr="000A156F">
        <w:tc>
          <w:tcPr>
            <w:tcW w:w="0" w:type="auto"/>
            <w:vAlign w:val="center"/>
          </w:tcPr>
          <w:p w:rsidR="000A156F" w:rsidRDefault="00A9721F">
            <w:pPr>
              <w:pStyle w:val="TableBodyText"/>
            </w:pPr>
            <w:r>
              <w:rPr>
                <w:i/>
              </w:rPr>
              <w:t>57</w:t>
            </w:r>
          </w:p>
        </w:tc>
        <w:tc>
          <w:tcPr>
            <w:tcW w:w="0" w:type="auto"/>
            <w:vAlign w:val="center"/>
          </w:tcPr>
          <w:p w:rsidR="000A156F" w:rsidRDefault="00A9721F">
            <w:pPr>
              <w:pStyle w:val="TableBodyText"/>
            </w:pPr>
            <w:r>
              <w:t>No Smoking</w:t>
            </w:r>
          </w:p>
        </w:tc>
      </w:tr>
      <w:tr w:rsidR="000A156F" w:rsidTr="000A156F">
        <w:tc>
          <w:tcPr>
            <w:tcW w:w="0" w:type="auto"/>
            <w:vAlign w:val="center"/>
          </w:tcPr>
          <w:p w:rsidR="000A156F" w:rsidRDefault="00A9721F">
            <w:pPr>
              <w:pStyle w:val="TableBodyText"/>
            </w:pPr>
            <w:r>
              <w:rPr>
                <w:i/>
              </w:rPr>
              <w:t>58</w:t>
            </w:r>
          </w:p>
        </w:tc>
        <w:tc>
          <w:tcPr>
            <w:tcW w:w="0" w:type="auto"/>
            <w:vAlign w:val="center"/>
          </w:tcPr>
          <w:p w:rsidR="000A156F" w:rsidRDefault="00A9721F">
            <w:pPr>
              <w:pStyle w:val="TableBodyText"/>
            </w:pPr>
            <w:r>
              <w:t>8 Pointed Seal</w:t>
            </w:r>
          </w:p>
        </w:tc>
      </w:tr>
      <w:tr w:rsidR="000A156F" w:rsidTr="000A156F">
        <w:tc>
          <w:tcPr>
            <w:tcW w:w="0" w:type="auto"/>
            <w:vAlign w:val="center"/>
          </w:tcPr>
          <w:p w:rsidR="000A156F" w:rsidRDefault="00A9721F">
            <w:pPr>
              <w:pStyle w:val="TableBodyText"/>
            </w:pPr>
            <w:r>
              <w:rPr>
                <w:i/>
              </w:rPr>
              <w:t>59</w:t>
            </w:r>
          </w:p>
        </w:tc>
        <w:tc>
          <w:tcPr>
            <w:tcW w:w="0" w:type="auto"/>
            <w:vAlign w:val="center"/>
          </w:tcPr>
          <w:p w:rsidR="000A156F" w:rsidRDefault="00A9721F">
            <w:pPr>
              <w:pStyle w:val="TableBodyText"/>
            </w:pPr>
            <w:r>
              <w:t xml:space="preserve">16 Pointed </w:t>
            </w:r>
            <w:r>
              <w:t>Seal</w:t>
            </w:r>
          </w:p>
        </w:tc>
      </w:tr>
      <w:tr w:rsidR="000A156F" w:rsidTr="000A156F">
        <w:tc>
          <w:tcPr>
            <w:tcW w:w="0" w:type="auto"/>
            <w:vAlign w:val="center"/>
          </w:tcPr>
          <w:p w:rsidR="000A156F" w:rsidRDefault="00A9721F">
            <w:pPr>
              <w:pStyle w:val="TableBodyText"/>
            </w:pPr>
            <w:r>
              <w:rPr>
                <w:i/>
              </w:rPr>
              <w:t>60</w:t>
            </w:r>
          </w:p>
        </w:tc>
        <w:tc>
          <w:tcPr>
            <w:tcW w:w="0" w:type="auto"/>
            <w:vAlign w:val="center"/>
          </w:tcPr>
          <w:p w:rsidR="000A156F" w:rsidRDefault="00A9721F">
            <w:pPr>
              <w:pStyle w:val="TableBodyText"/>
            </w:pPr>
            <w:r>
              <w:t>32 Pointed Seal</w:t>
            </w:r>
          </w:p>
        </w:tc>
      </w:tr>
      <w:tr w:rsidR="000A156F" w:rsidTr="000A156F">
        <w:tc>
          <w:tcPr>
            <w:tcW w:w="0" w:type="auto"/>
            <w:vAlign w:val="center"/>
          </w:tcPr>
          <w:p w:rsidR="000A156F" w:rsidRDefault="00A9721F">
            <w:pPr>
              <w:pStyle w:val="TableBodyText"/>
            </w:pPr>
            <w:r>
              <w:rPr>
                <w:i/>
              </w:rPr>
              <w:t>61</w:t>
            </w:r>
          </w:p>
        </w:tc>
        <w:tc>
          <w:tcPr>
            <w:tcW w:w="0" w:type="auto"/>
            <w:vAlign w:val="center"/>
          </w:tcPr>
          <w:p w:rsidR="000A156F" w:rsidRDefault="00A9721F">
            <w:pPr>
              <w:pStyle w:val="TableBodyText"/>
            </w:pPr>
            <w:r>
              <w:t>Wedge Rectangle Callout</w:t>
            </w:r>
          </w:p>
        </w:tc>
      </w:tr>
      <w:tr w:rsidR="000A156F" w:rsidTr="000A156F">
        <w:tc>
          <w:tcPr>
            <w:tcW w:w="0" w:type="auto"/>
            <w:vAlign w:val="center"/>
          </w:tcPr>
          <w:p w:rsidR="000A156F" w:rsidRDefault="00A9721F">
            <w:pPr>
              <w:pStyle w:val="TableBodyText"/>
            </w:pPr>
            <w:r>
              <w:rPr>
                <w:i/>
              </w:rPr>
              <w:t>62</w:t>
            </w:r>
          </w:p>
        </w:tc>
        <w:tc>
          <w:tcPr>
            <w:tcW w:w="0" w:type="auto"/>
            <w:vAlign w:val="center"/>
          </w:tcPr>
          <w:p w:rsidR="000A156F" w:rsidRDefault="00A9721F">
            <w:pPr>
              <w:pStyle w:val="TableBodyText"/>
            </w:pPr>
            <w:r>
              <w:t>Wedge Rounded Rectangle Callout</w:t>
            </w:r>
          </w:p>
        </w:tc>
      </w:tr>
      <w:tr w:rsidR="000A156F" w:rsidTr="000A156F">
        <w:tc>
          <w:tcPr>
            <w:tcW w:w="0" w:type="auto"/>
            <w:vAlign w:val="center"/>
          </w:tcPr>
          <w:p w:rsidR="000A156F" w:rsidRDefault="00A9721F">
            <w:pPr>
              <w:pStyle w:val="TableBodyText"/>
            </w:pPr>
            <w:r>
              <w:rPr>
                <w:i/>
              </w:rPr>
              <w:t>63</w:t>
            </w:r>
          </w:p>
        </w:tc>
        <w:tc>
          <w:tcPr>
            <w:tcW w:w="0" w:type="auto"/>
            <w:vAlign w:val="center"/>
          </w:tcPr>
          <w:p w:rsidR="000A156F" w:rsidRDefault="00A9721F">
            <w:pPr>
              <w:pStyle w:val="TableBodyText"/>
            </w:pPr>
            <w:r>
              <w:t>Wedge Ellipse Callout</w:t>
            </w:r>
          </w:p>
        </w:tc>
      </w:tr>
      <w:tr w:rsidR="000A156F" w:rsidTr="000A156F">
        <w:tc>
          <w:tcPr>
            <w:tcW w:w="0" w:type="auto"/>
            <w:vAlign w:val="center"/>
          </w:tcPr>
          <w:p w:rsidR="000A156F" w:rsidRDefault="00A9721F">
            <w:pPr>
              <w:pStyle w:val="TableBodyText"/>
            </w:pPr>
            <w:r>
              <w:rPr>
                <w:i/>
              </w:rPr>
              <w:t>64</w:t>
            </w:r>
          </w:p>
        </w:tc>
        <w:tc>
          <w:tcPr>
            <w:tcW w:w="0" w:type="auto"/>
            <w:vAlign w:val="center"/>
          </w:tcPr>
          <w:p w:rsidR="000A156F" w:rsidRDefault="00A9721F">
            <w:pPr>
              <w:pStyle w:val="TableBodyText"/>
            </w:pPr>
            <w:r>
              <w:t>Wave</w:t>
            </w:r>
          </w:p>
        </w:tc>
      </w:tr>
      <w:tr w:rsidR="000A156F" w:rsidTr="000A156F">
        <w:tc>
          <w:tcPr>
            <w:tcW w:w="0" w:type="auto"/>
            <w:vAlign w:val="center"/>
          </w:tcPr>
          <w:p w:rsidR="000A156F" w:rsidRDefault="00A9721F">
            <w:pPr>
              <w:pStyle w:val="TableBodyText"/>
            </w:pPr>
            <w:r>
              <w:rPr>
                <w:i/>
              </w:rPr>
              <w:t>65</w:t>
            </w:r>
          </w:p>
        </w:tc>
        <w:tc>
          <w:tcPr>
            <w:tcW w:w="0" w:type="auto"/>
            <w:vAlign w:val="center"/>
          </w:tcPr>
          <w:p w:rsidR="000A156F" w:rsidRDefault="00A9721F">
            <w:pPr>
              <w:pStyle w:val="TableBodyText"/>
            </w:pPr>
            <w:r>
              <w:t>Folded Corner</w:t>
            </w:r>
          </w:p>
        </w:tc>
      </w:tr>
      <w:tr w:rsidR="000A156F" w:rsidTr="000A156F">
        <w:tc>
          <w:tcPr>
            <w:tcW w:w="0" w:type="auto"/>
            <w:vAlign w:val="center"/>
          </w:tcPr>
          <w:p w:rsidR="000A156F" w:rsidRDefault="00A9721F">
            <w:pPr>
              <w:pStyle w:val="TableBodyText"/>
            </w:pPr>
            <w:r>
              <w:rPr>
                <w:i/>
              </w:rPr>
              <w:t>66</w:t>
            </w:r>
          </w:p>
        </w:tc>
        <w:tc>
          <w:tcPr>
            <w:tcW w:w="0" w:type="auto"/>
            <w:vAlign w:val="center"/>
          </w:tcPr>
          <w:p w:rsidR="000A156F" w:rsidRDefault="00A9721F">
            <w:pPr>
              <w:pStyle w:val="TableBodyText"/>
            </w:pPr>
            <w:r>
              <w:t>Left Arrow</w:t>
            </w:r>
          </w:p>
        </w:tc>
      </w:tr>
      <w:tr w:rsidR="000A156F" w:rsidTr="000A156F">
        <w:tc>
          <w:tcPr>
            <w:tcW w:w="0" w:type="auto"/>
            <w:vAlign w:val="center"/>
          </w:tcPr>
          <w:p w:rsidR="000A156F" w:rsidRDefault="00A9721F">
            <w:pPr>
              <w:pStyle w:val="TableBodyText"/>
            </w:pPr>
            <w:r>
              <w:rPr>
                <w:i/>
              </w:rPr>
              <w:t>67</w:t>
            </w:r>
          </w:p>
        </w:tc>
        <w:tc>
          <w:tcPr>
            <w:tcW w:w="0" w:type="auto"/>
            <w:vAlign w:val="center"/>
          </w:tcPr>
          <w:p w:rsidR="000A156F" w:rsidRDefault="00A9721F">
            <w:pPr>
              <w:pStyle w:val="TableBodyText"/>
            </w:pPr>
            <w:r>
              <w:t>Down Arrow</w:t>
            </w:r>
          </w:p>
        </w:tc>
      </w:tr>
      <w:tr w:rsidR="000A156F" w:rsidTr="000A156F">
        <w:tc>
          <w:tcPr>
            <w:tcW w:w="0" w:type="auto"/>
            <w:vAlign w:val="center"/>
          </w:tcPr>
          <w:p w:rsidR="000A156F" w:rsidRDefault="00A9721F">
            <w:pPr>
              <w:pStyle w:val="TableBodyText"/>
            </w:pPr>
            <w:r>
              <w:rPr>
                <w:i/>
              </w:rPr>
              <w:t>68</w:t>
            </w:r>
          </w:p>
        </w:tc>
        <w:tc>
          <w:tcPr>
            <w:tcW w:w="0" w:type="auto"/>
            <w:vAlign w:val="center"/>
          </w:tcPr>
          <w:p w:rsidR="000A156F" w:rsidRDefault="00A9721F">
            <w:pPr>
              <w:pStyle w:val="TableBodyText"/>
            </w:pPr>
            <w:r>
              <w:t>Up Arrow</w:t>
            </w:r>
          </w:p>
        </w:tc>
      </w:tr>
      <w:tr w:rsidR="000A156F" w:rsidTr="000A156F">
        <w:tc>
          <w:tcPr>
            <w:tcW w:w="0" w:type="auto"/>
            <w:vAlign w:val="center"/>
          </w:tcPr>
          <w:p w:rsidR="000A156F" w:rsidRDefault="00A9721F">
            <w:pPr>
              <w:pStyle w:val="TableBodyText"/>
            </w:pPr>
            <w:r>
              <w:rPr>
                <w:i/>
              </w:rPr>
              <w:t>69</w:t>
            </w:r>
          </w:p>
        </w:tc>
        <w:tc>
          <w:tcPr>
            <w:tcW w:w="0" w:type="auto"/>
            <w:vAlign w:val="center"/>
          </w:tcPr>
          <w:p w:rsidR="000A156F" w:rsidRDefault="00A9721F">
            <w:pPr>
              <w:pStyle w:val="TableBodyText"/>
            </w:pPr>
            <w:r>
              <w:t>Left-Right Arrow</w:t>
            </w:r>
          </w:p>
        </w:tc>
      </w:tr>
      <w:tr w:rsidR="000A156F" w:rsidTr="000A156F">
        <w:tc>
          <w:tcPr>
            <w:tcW w:w="0" w:type="auto"/>
            <w:vAlign w:val="center"/>
          </w:tcPr>
          <w:p w:rsidR="000A156F" w:rsidRDefault="00A9721F">
            <w:pPr>
              <w:pStyle w:val="TableBodyText"/>
            </w:pPr>
            <w:r>
              <w:rPr>
                <w:i/>
              </w:rPr>
              <w:t>70</w:t>
            </w:r>
          </w:p>
        </w:tc>
        <w:tc>
          <w:tcPr>
            <w:tcW w:w="0" w:type="auto"/>
            <w:vAlign w:val="center"/>
          </w:tcPr>
          <w:p w:rsidR="000A156F" w:rsidRDefault="00A9721F">
            <w:pPr>
              <w:pStyle w:val="TableBodyText"/>
            </w:pPr>
            <w:r>
              <w:t>Up-Down Arrow</w:t>
            </w:r>
          </w:p>
        </w:tc>
      </w:tr>
      <w:tr w:rsidR="000A156F" w:rsidTr="000A156F">
        <w:tc>
          <w:tcPr>
            <w:tcW w:w="0" w:type="auto"/>
            <w:vAlign w:val="center"/>
          </w:tcPr>
          <w:p w:rsidR="000A156F" w:rsidRDefault="00A9721F">
            <w:pPr>
              <w:pStyle w:val="TableBodyText"/>
            </w:pPr>
            <w:r>
              <w:rPr>
                <w:i/>
              </w:rPr>
              <w:t>71-72</w:t>
            </w:r>
          </w:p>
        </w:tc>
        <w:tc>
          <w:tcPr>
            <w:tcW w:w="0" w:type="auto"/>
            <w:vAlign w:val="center"/>
          </w:tcPr>
          <w:p w:rsidR="000A156F" w:rsidRDefault="00A9721F">
            <w:pPr>
              <w:pStyle w:val="TableBodyText"/>
            </w:pPr>
            <w:r>
              <w:t>Irregular Seal</w:t>
            </w:r>
          </w:p>
        </w:tc>
      </w:tr>
      <w:tr w:rsidR="000A156F" w:rsidTr="000A156F">
        <w:tc>
          <w:tcPr>
            <w:tcW w:w="0" w:type="auto"/>
            <w:vAlign w:val="center"/>
          </w:tcPr>
          <w:p w:rsidR="000A156F" w:rsidRDefault="00A9721F">
            <w:pPr>
              <w:pStyle w:val="TableBodyText"/>
            </w:pPr>
            <w:r>
              <w:rPr>
                <w:i/>
              </w:rPr>
              <w:t>73</w:t>
            </w:r>
          </w:p>
        </w:tc>
        <w:tc>
          <w:tcPr>
            <w:tcW w:w="0" w:type="auto"/>
            <w:vAlign w:val="center"/>
          </w:tcPr>
          <w:p w:rsidR="000A156F" w:rsidRDefault="00A9721F">
            <w:pPr>
              <w:pStyle w:val="TableBodyText"/>
            </w:pPr>
            <w:r>
              <w:t>Lightning Bolt</w:t>
            </w:r>
          </w:p>
        </w:tc>
      </w:tr>
      <w:tr w:rsidR="000A156F" w:rsidTr="000A156F">
        <w:tc>
          <w:tcPr>
            <w:tcW w:w="0" w:type="auto"/>
            <w:vAlign w:val="center"/>
          </w:tcPr>
          <w:p w:rsidR="000A156F" w:rsidRDefault="00A9721F">
            <w:pPr>
              <w:pStyle w:val="TableBodyText"/>
            </w:pPr>
            <w:r>
              <w:rPr>
                <w:i/>
              </w:rPr>
              <w:t>74</w:t>
            </w:r>
          </w:p>
        </w:tc>
        <w:tc>
          <w:tcPr>
            <w:tcW w:w="0" w:type="auto"/>
            <w:vAlign w:val="center"/>
          </w:tcPr>
          <w:p w:rsidR="000A156F" w:rsidRDefault="00A9721F">
            <w:pPr>
              <w:pStyle w:val="TableBodyText"/>
            </w:pPr>
            <w:r>
              <w:t>Heart</w:t>
            </w:r>
          </w:p>
        </w:tc>
      </w:tr>
      <w:tr w:rsidR="000A156F" w:rsidTr="000A156F">
        <w:tc>
          <w:tcPr>
            <w:tcW w:w="0" w:type="auto"/>
            <w:vAlign w:val="center"/>
          </w:tcPr>
          <w:p w:rsidR="000A156F" w:rsidRDefault="00A9721F">
            <w:pPr>
              <w:pStyle w:val="TableBodyText"/>
            </w:pPr>
            <w:r>
              <w:rPr>
                <w:i/>
              </w:rPr>
              <w:t>75</w:t>
            </w:r>
          </w:p>
        </w:tc>
        <w:tc>
          <w:tcPr>
            <w:tcW w:w="0" w:type="auto"/>
            <w:vAlign w:val="center"/>
          </w:tcPr>
          <w:p w:rsidR="000A156F" w:rsidRDefault="00A9721F">
            <w:pPr>
              <w:pStyle w:val="TableBodyText"/>
            </w:pPr>
            <w:r>
              <w:t>Picture Frame</w:t>
            </w:r>
          </w:p>
        </w:tc>
      </w:tr>
      <w:tr w:rsidR="000A156F" w:rsidTr="000A156F">
        <w:tc>
          <w:tcPr>
            <w:tcW w:w="0" w:type="auto"/>
            <w:vAlign w:val="center"/>
          </w:tcPr>
          <w:p w:rsidR="000A156F" w:rsidRDefault="00A9721F">
            <w:pPr>
              <w:pStyle w:val="TableBodyText"/>
            </w:pPr>
            <w:r>
              <w:rPr>
                <w:i/>
              </w:rPr>
              <w:t>76</w:t>
            </w:r>
          </w:p>
        </w:tc>
        <w:tc>
          <w:tcPr>
            <w:tcW w:w="0" w:type="auto"/>
            <w:vAlign w:val="center"/>
          </w:tcPr>
          <w:p w:rsidR="000A156F" w:rsidRDefault="00A9721F">
            <w:pPr>
              <w:pStyle w:val="TableBodyText"/>
            </w:pPr>
            <w:r>
              <w:t>Quad Arrow</w:t>
            </w:r>
          </w:p>
        </w:tc>
      </w:tr>
      <w:tr w:rsidR="000A156F" w:rsidTr="000A156F">
        <w:tc>
          <w:tcPr>
            <w:tcW w:w="0" w:type="auto"/>
            <w:vAlign w:val="center"/>
          </w:tcPr>
          <w:p w:rsidR="000A156F" w:rsidRDefault="00A9721F">
            <w:pPr>
              <w:pStyle w:val="TableBodyText"/>
            </w:pPr>
            <w:r>
              <w:rPr>
                <w:i/>
              </w:rPr>
              <w:t>77</w:t>
            </w:r>
          </w:p>
        </w:tc>
        <w:tc>
          <w:tcPr>
            <w:tcW w:w="0" w:type="auto"/>
            <w:vAlign w:val="center"/>
          </w:tcPr>
          <w:p w:rsidR="000A156F" w:rsidRDefault="00A9721F">
            <w:pPr>
              <w:pStyle w:val="TableBodyText"/>
            </w:pPr>
            <w:r>
              <w:t>Left Arrow Callout</w:t>
            </w:r>
          </w:p>
        </w:tc>
      </w:tr>
      <w:tr w:rsidR="000A156F" w:rsidTr="000A156F">
        <w:tc>
          <w:tcPr>
            <w:tcW w:w="0" w:type="auto"/>
            <w:vAlign w:val="center"/>
          </w:tcPr>
          <w:p w:rsidR="000A156F" w:rsidRDefault="00A9721F">
            <w:pPr>
              <w:pStyle w:val="TableBodyText"/>
            </w:pPr>
            <w:r>
              <w:rPr>
                <w:i/>
              </w:rPr>
              <w:t>78</w:t>
            </w:r>
          </w:p>
        </w:tc>
        <w:tc>
          <w:tcPr>
            <w:tcW w:w="0" w:type="auto"/>
            <w:vAlign w:val="center"/>
          </w:tcPr>
          <w:p w:rsidR="000A156F" w:rsidRDefault="00A9721F">
            <w:pPr>
              <w:pStyle w:val="TableBodyText"/>
            </w:pPr>
            <w:r>
              <w:t>Right Arrow Callout</w:t>
            </w:r>
          </w:p>
        </w:tc>
      </w:tr>
      <w:tr w:rsidR="000A156F" w:rsidTr="000A156F">
        <w:tc>
          <w:tcPr>
            <w:tcW w:w="0" w:type="auto"/>
            <w:vAlign w:val="center"/>
          </w:tcPr>
          <w:p w:rsidR="000A156F" w:rsidRDefault="00A9721F">
            <w:pPr>
              <w:pStyle w:val="TableBodyText"/>
            </w:pPr>
            <w:r>
              <w:rPr>
                <w:i/>
              </w:rPr>
              <w:t>79</w:t>
            </w:r>
          </w:p>
        </w:tc>
        <w:tc>
          <w:tcPr>
            <w:tcW w:w="0" w:type="auto"/>
            <w:vAlign w:val="center"/>
          </w:tcPr>
          <w:p w:rsidR="000A156F" w:rsidRDefault="00A9721F">
            <w:pPr>
              <w:pStyle w:val="TableBodyText"/>
            </w:pPr>
            <w:r>
              <w:t>Up Arrow Callout</w:t>
            </w:r>
          </w:p>
        </w:tc>
      </w:tr>
      <w:tr w:rsidR="000A156F" w:rsidTr="000A156F">
        <w:tc>
          <w:tcPr>
            <w:tcW w:w="0" w:type="auto"/>
            <w:vAlign w:val="center"/>
          </w:tcPr>
          <w:p w:rsidR="000A156F" w:rsidRDefault="00A9721F">
            <w:pPr>
              <w:pStyle w:val="TableBodyText"/>
            </w:pPr>
            <w:r>
              <w:rPr>
                <w:i/>
              </w:rPr>
              <w:t>80</w:t>
            </w:r>
          </w:p>
        </w:tc>
        <w:tc>
          <w:tcPr>
            <w:tcW w:w="0" w:type="auto"/>
            <w:vAlign w:val="center"/>
          </w:tcPr>
          <w:p w:rsidR="000A156F" w:rsidRDefault="00A9721F">
            <w:pPr>
              <w:pStyle w:val="TableBodyText"/>
            </w:pPr>
            <w:r>
              <w:t>Down Arrow Callout</w:t>
            </w:r>
          </w:p>
        </w:tc>
      </w:tr>
      <w:tr w:rsidR="000A156F" w:rsidTr="000A156F">
        <w:tc>
          <w:tcPr>
            <w:tcW w:w="0" w:type="auto"/>
            <w:vAlign w:val="center"/>
          </w:tcPr>
          <w:p w:rsidR="000A156F" w:rsidRDefault="00A9721F">
            <w:pPr>
              <w:pStyle w:val="TableBodyText"/>
            </w:pPr>
            <w:r>
              <w:rPr>
                <w:i/>
              </w:rPr>
              <w:t>81</w:t>
            </w:r>
          </w:p>
        </w:tc>
        <w:tc>
          <w:tcPr>
            <w:tcW w:w="0" w:type="auto"/>
            <w:vAlign w:val="center"/>
          </w:tcPr>
          <w:p w:rsidR="000A156F" w:rsidRDefault="00A9721F">
            <w:pPr>
              <w:pStyle w:val="TableBodyText"/>
            </w:pPr>
            <w:r>
              <w:t>Left-Right Arrow Callout</w:t>
            </w:r>
          </w:p>
        </w:tc>
      </w:tr>
      <w:tr w:rsidR="000A156F" w:rsidTr="000A156F">
        <w:tc>
          <w:tcPr>
            <w:tcW w:w="0" w:type="auto"/>
            <w:vAlign w:val="center"/>
          </w:tcPr>
          <w:p w:rsidR="000A156F" w:rsidRDefault="00A9721F">
            <w:pPr>
              <w:pStyle w:val="TableBodyText"/>
            </w:pPr>
            <w:r>
              <w:rPr>
                <w:i/>
              </w:rPr>
              <w:lastRenderedPageBreak/>
              <w:t>82</w:t>
            </w:r>
          </w:p>
        </w:tc>
        <w:tc>
          <w:tcPr>
            <w:tcW w:w="0" w:type="auto"/>
            <w:vAlign w:val="center"/>
          </w:tcPr>
          <w:p w:rsidR="000A156F" w:rsidRDefault="00A9721F">
            <w:pPr>
              <w:pStyle w:val="TableBodyText"/>
            </w:pPr>
            <w:r>
              <w:t>Up-Down Arrow Callout</w:t>
            </w:r>
          </w:p>
        </w:tc>
      </w:tr>
      <w:tr w:rsidR="000A156F" w:rsidTr="000A156F">
        <w:tc>
          <w:tcPr>
            <w:tcW w:w="0" w:type="auto"/>
            <w:vAlign w:val="center"/>
          </w:tcPr>
          <w:p w:rsidR="000A156F" w:rsidRDefault="00A9721F">
            <w:pPr>
              <w:pStyle w:val="TableBodyText"/>
            </w:pPr>
            <w:r>
              <w:rPr>
                <w:i/>
              </w:rPr>
              <w:t>83</w:t>
            </w:r>
          </w:p>
        </w:tc>
        <w:tc>
          <w:tcPr>
            <w:tcW w:w="0" w:type="auto"/>
            <w:vAlign w:val="center"/>
          </w:tcPr>
          <w:p w:rsidR="000A156F" w:rsidRDefault="00A9721F">
            <w:pPr>
              <w:pStyle w:val="TableBodyText"/>
            </w:pPr>
            <w:r>
              <w:t>Quad Arrow Callout</w:t>
            </w:r>
          </w:p>
        </w:tc>
      </w:tr>
      <w:tr w:rsidR="000A156F" w:rsidTr="000A156F">
        <w:tc>
          <w:tcPr>
            <w:tcW w:w="0" w:type="auto"/>
            <w:vAlign w:val="center"/>
          </w:tcPr>
          <w:p w:rsidR="000A156F" w:rsidRDefault="00A9721F">
            <w:pPr>
              <w:pStyle w:val="TableBodyText"/>
            </w:pPr>
            <w:r>
              <w:rPr>
                <w:i/>
              </w:rPr>
              <w:t>84</w:t>
            </w:r>
          </w:p>
        </w:tc>
        <w:tc>
          <w:tcPr>
            <w:tcW w:w="0" w:type="auto"/>
            <w:vAlign w:val="center"/>
          </w:tcPr>
          <w:p w:rsidR="000A156F" w:rsidRDefault="00A9721F">
            <w:pPr>
              <w:pStyle w:val="TableBodyText"/>
            </w:pPr>
            <w:r>
              <w:t>Bevel</w:t>
            </w:r>
          </w:p>
        </w:tc>
      </w:tr>
      <w:tr w:rsidR="000A156F" w:rsidTr="000A156F">
        <w:tc>
          <w:tcPr>
            <w:tcW w:w="0" w:type="auto"/>
            <w:vAlign w:val="center"/>
          </w:tcPr>
          <w:p w:rsidR="000A156F" w:rsidRDefault="00A9721F">
            <w:pPr>
              <w:pStyle w:val="TableBodyText"/>
            </w:pPr>
            <w:r>
              <w:rPr>
                <w:i/>
              </w:rPr>
              <w:t>85</w:t>
            </w:r>
          </w:p>
        </w:tc>
        <w:tc>
          <w:tcPr>
            <w:tcW w:w="0" w:type="auto"/>
            <w:vAlign w:val="center"/>
          </w:tcPr>
          <w:p w:rsidR="000A156F" w:rsidRDefault="00A9721F">
            <w:pPr>
              <w:pStyle w:val="TableBodyText"/>
            </w:pPr>
            <w:r>
              <w:t>Left Bracket</w:t>
            </w:r>
          </w:p>
        </w:tc>
      </w:tr>
      <w:tr w:rsidR="000A156F" w:rsidTr="000A156F">
        <w:tc>
          <w:tcPr>
            <w:tcW w:w="0" w:type="auto"/>
            <w:vAlign w:val="center"/>
          </w:tcPr>
          <w:p w:rsidR="000A156F" w:rsidRDefault="00A9721F">
            <w:pPr>
              <w:pStyle w:val="TableBodyText"/>
            </w:pPr>
            <w:r>
              <w:rPr>
                <w:i/>
              </w:rPr>
              <w:t>86</w:t>
            </w:r>
          </w:p>
        </w:tc>
        <w:tc>
          <w:tcPr>
            <w:tcW w:w="0" w:type="auto"/>
            <w:vAlign w:val="center"/>
          </w:tcPr>
          <w:p w:rsidR="000A156F" w:rsidRDefault="00A9721F">
            <w:pPr>
              <w:pStyle w:val="TableBodyText"/>
            </w:pPr>
            <w:r>
              <w:t>Right Bracket</w:t>
            </w:r>
          </w:p>
        </w:tc>
      </w:tr>
      <w:tr w:rsidR="000A156F" w:rsidTr="000A156F">
        <w:tc>
          <w:tcPr>
            <w:tcW w:w="0" w:type="auto"/>
            <w:vAlign w:val="center"/>
          </w:tcPr>
          <w:p w:rsidR="000A156F" w:rsidRDefault="00A9721F">
            <w:pPr>
              <w:pStyle w:val="TableBodyText"/>
            </w:pPr>
            <w:r>
              <w:rPr>
                <w:i/>
              </w:rPr>
              <w:t>87</w:t>
            </w:r>
          </w:p>
        </w:tc>
        <w:tc>
          <w:tcPr>
            <w:tcW w:w="0" w:type="auto"/>
            <w:vAlign w:val="center"/>
          </w:tcPr>
          <w:p w:rsidR="000A156F" w:rsidRDefault="00A9721F">
            <w:pPr>
              <w:pStyle w:val="TableBodyText"/>
            </w:pPr>
            <w:r>
              <w:t>Left Brace</w:t>
            </w:r>
          </w:p>
        </w:tc>
      </w:tr>
      <w:tr w:rsidR="000A156F" w:rsidTr="000A156F">
        <w:tc>
          <w:tcPr>
            <w:tcW w:w="0" w:type="auto"/>
            <w:vAlign w:val="center"/>
          </w:tcPr>
          <w:p w:rsidR="000A156F" w:rsidRDefault="00A9721F">
            <w:pPr>
              <w:pStyle w:val="TableBodyText"/>
            </w:pPr>
            <w:r>
              <w:rPr>
                <w:i/>
              </w:rPr>
              <w:t>88</w:t>
            </w:r>
          </w:p>
        </w:tc>
        <w:tc>
          <w:tcPr>
            <w:tcW w:w="0" w:type="auto"/>
            <w:vAlign w:val="center"/>
          </w:tcPr>
          <w:p w:rsidR="000A156F" w:rsidRDefault="00A9721F">
            <w:pPr>
              <w:pStyle w:val="TableBodyText"/>
            </w:pPr>
            <w:r>
              <w:t>Right Brace</w:t>
            </w:r>
          </w:p>
        </w:tc>
      </w:tr>
      <w:tr w:rsidR="000A156F" w:rsidTr="000A156F">
        <w:tc>
          <w:tcPr>
            <w:tcW w:w="0" w:type="auto"/>
            <w:vAlign w:val="center"/>
          </w:tcPr>
          <w:p w:rsidR="000A156F" w:rsidRDefault="00A9721F">
            <w:pPr>
              <w:pStyle w:val="TableBodyText"/>
            </w:pPr>
            <w:r>
              <w:rPr>
                <w:i/>
              </w:rPr>
              <w:t>89</w:t>
            </w:r>
          </w:p>
        </w:tc>
        <w:tc>
          <w:tcPr>
            <w:tcW w:w="0" w:type="auto"/>
            <w:vAlign w:val="center"/>
          </w:tcPr>
          <w:p w:rsidR="000A156F" w:rsidRDefault="00A9721F">
            <w:pPr>
              <w:pStyle w:val="TableBodyText"/>
            </w:pPr>
            <w:r>
              <w:t>Left-Up Arrow</w:t>
            </w:r>
          </w:p>
        </w:tc>
      </w:tr>
      <w:tr w:rsidR="000A156F" w:rsidTr="000A156F">
        <w:tc>
          <w:tcPr>
            <w:tcW w:w="0" w:type="auto"/>
            <w:vAlign w:val="center"/>
          </w:tcPr>
          <w:p w:rsidR="000A156F" w:rsidRDefault="00A9721F">
            <w:pPr>
              <w:pStyle w:val="TableBodyText"/>
            </w:pPr>
            <w:r>
              <w:rPr>
                <w:i/>
              </w:rPr>
              <w:t>90</w:t>
            </w:r>
          </w:p>
        </w:tc>
        <w:tc>
          <w:tcPr>
            <w:tcW w:w="0" w:type="auto"/>
            <w:vAlign w:val="center"/>
          </w:tcPr>
          <w:p w:rsidR="000A156F" w:rsidRDefault="00A9721F">
            <w:pPr>
              <w:pStyle w:val="TableBodyText"/>
            </w:pPr>
            <w:r>
              <w:t>Bent Up Arrow</w:t>
            </w:r>
          </w:p>
        </w:tc>
      </w:tr>
      <w:tr w:rsidR="000A156F" w:rsidTr="000A156F">
        <w:tc>
          <w:tcPr>
            <w:tcW w:w="0" w:type="auto"/>
            <w:vAlign w:val="center"/>
          </w:tcPr>
          <w:p w:rsidR="000A156F" w:rsidRDefault="00A9721F">
            <w:pPr>
              <w:pStyle w:val="TableBodyText"/>
            </w:pPr>
            <w:r>
              <w:rPr>
                <w:i/>
              </w:rPr>
              <w:t>91</w:t>
            </w:r>
          </w:p>
        </w:tc>
        <w:tc>
          <w:tcPr>
            <w:tcW w:w="0" w:type="auto"/>
            <w:vAlign w:val="center"/>
          </w:tcPr>
          <w:p w:rsidR="000A156F" w:rsidRDefault="00A9721F">
            <w:pPr>
              <w:pStyle w:val="TableBodyText"/>
            </w:pPr>
            <w:r>
              <w:t>Bent Arrow</w:t>
            </w:r>
          </w:p>
        </w:tc>
      </w:tr>
      <w:tr w:rsidR="000A156F" w:rsidTr="000A156F">
        <w:tc>
          <w:tcPr>
            <w:tcW w:w="0" w:type="auto"/>
            <w:vAlign w:val="center"/>
          </w:tcPr>
          <w:p w:rsidR="000A156F" w:rsidRDefault="00A9721F">
            <w:pPr>
              <w:pStyle w:val="TableBodyText"/>
            </w:pPr>
            <w:r>
              <w:rPr>
                <w:i/>
              </w:rPr>
              <w:t>92</w:t>
            </w:r>
          </w:p>
        </w:tc>
        <w:tc>
          <w:tcPr>
            <w:tcW w:w="0" w:type="auto"/>
            <w:vAlign w:val="center"/>
          </w:tcPr>
          <w:p w:rsidR="000A156F" w:rsidRDefault="00A9721F">
            <w:pPr>
              <w:pStyle w:val="TableBodyText"/>
            </w:pPr>
            <w:r>
              <w:t>24 Pointed Seal</w:t>
            </w:r>
          </w:p>
        </w:tc>
      </w:tr>
      <w:tr w:rsidR="000A156F" w:rsidTr="000A156F">
        <w:tc>
          <w:tcPr>
            <w:tcW w:w="0" w:type="auto"/>
            <w:vAlign w:val="center"/>
          </w:tcPr>
          <w:p w:rsidR="000A156F" w:rsidRDefault="00A9721F">
            <w:pPr>
              <w:pStyle w:val="TableBodyText"/>
            </w:pPr>
            <w:r>
              <w:rPr>
                <w:i/>
              </w:rPr>
              <w:t>93</w:t>
            </w:r>
          </w:p>
        </w:tc>
        <w:tc>
          <w:tcPr>
            <w:tcW w:w="0" w:type="auto"/>
            <w:vAlign w:val="center"/>
          </w:tcPr>
          <w:p w:rsidR="000A156F" w:rsidRDefault="00A9721F">
            <w:pPr>
              <w:pStyle w:val="TableBodyText"/>
            </w:pPr>
            <w:r>
              <w:t>Striped Right Arrow</w:t>
            </w:r>
          </w:p>
        </w:tc>
      </w:tr>
      <w:tr w:rsidR="000A156F" w:rsidTr="000A156F">
        <w:tc>
          <w:tcPr>
            <w:tcW w:w="0" w:type="auto"/>
            <w:vAlign w:val="center"/>
          </w:tcPr>
          <w:p w:rsidR="000A156F" w:rsidRDefault="00A9721F">
            <w:pPr>
              <w:pStyle w:val="TableBodyText"/>
            </w:pPr>
            <w:r>
              <w:rPr>
                <w:i/>
              </w:rPr>
              <w:t>94</w:t>
            </w:r>
          </w:p>
        </w:tc>
        <w:tc>
          <w:tcPr>
            <w:tcW w:w="0" w:type="auto"/>
            <w:vAlign w:val="center"/>
          </w:tcPr>
          <w:p w:rsidR="000A156F" w:rsidRDefault="00A9721F">
            <w:pPr>
              <w:pStyle w:val="TableBodyText"/>
            </w:pPr>
            <w:r>
              <w:t>Notched Right Arrow</w:t>
            </w:r>
          </w:p>
        </w:tc>
      </w:tr>
      <w:tr w:rsidR="000A156F" w:rsidTr="000A156F">
        <w:tc>
          <w:tcPr>
            <w:tcW w:w="0" w:type="auto"/>
            <w:vAlign w:val="center"/>
          </w:tcPr>
          <w:p w:rsidR="000A156F" w:rsidRDefault="00A9721F">
            <w:pPr>
              <w:pStyle w:val="TableBodyText"/>
            </w:pPr>
            <w:r>
              <w:rPr>
                <w:i/>
              </w:rPr>
              <w:t>95</w:t>
            </w:r>
          </w:p>
        </w:tc>
        <w:tc>
          <w:tcPr>
            <w:tcW w:w="0" w:type="auto"/>
            <w:vAlign w:val="center"/>
          </w:tcPr>
          <w:p w:rsidR="000A156F" w:rsidRDefault="00A9721F">
            <w:pPr>
              <w:pStyle w:val="TableBodyText"/>
            </w:pPr>
            <w:r>
              <w:t>Block Arc</w:t>
            </w:r>
          </w:p>
        </w:tc>
      </w:tr>
      <w:tr w:rsidR="000A156F" w:rsidTr="000A156F">
        <w:tc>
          <w:tcPr>
            <w:tcW w:w="0" w:type="auto"/>
            <w:vAlign w:val="center"/>
          </w:tcPr>
          <w:p w:rsidR="000A156F" w:rsidRDefault="00A9721F">
            <w:pPr>
              <w:pStyle w:val="TableBodyText"/>
            </w:pPr>
            <w:r>
              <w:rPr>
                <w:i/>
              </w:rPr>
              <w:t>96</w:t>
            </w:r>
          </w:p>
        </w:tc>
        <w:tc>
          <w:tcPr>
            <w:tcW w:w="0" w:type="auto"/>
            <w:vAlign w:val="center"/>
          </w:tcPr>
          <w:p w:rsidR="000A156F" w:rsidRDefault="00A9721F">
            <w:pPr>
              <w:pStyle w:val="TableBodyText"/>
            </w:pPr>
            <w:r>
              <w:t>Smiley Face</w:t>
            </w:r>
          </w:p>
        </w:tc>
      </w:tr>
      <w:tr w:rsidR="000A156F" w:rsidTr="000A156F">
        <w:tc>
          <w:tcPr>
            <w:tcW w:w="0" w:type="auto"/>
            <w:vAlign w:val="center"/>
          </w:tcPr>
          <w:p w:rsidR="000A156F" w:rsidRDefault="00A9721F">
            <w:pPr>
              <w:pStyle w:val="TableBodyText"/>
            </w:pPr>
            <w:r>
              <w:rPr>
                <w:i/>
              </w:rPr>
              <w:t>97</w:t>
            </w:r>
          </w:p>
        </w:tc>
        <w:tc>
          <w:tcPr>
            <w:tcW w:w="0" w:type="auto"/>
            <w:vAlign w:val="center"/>
          </w:tcPr>
          <w:p w:rsidR="000A156F" w:rsidRDefault="00A9721F">
            <w:pPr>
              <w:pStyle w:val="TableBodyText"/>
            </w:pPr>
            <w:r>
              <w:t>Vertical Scroll</w:t>
            </w:r>
          </w:p>
        </w:tc>
      </w:tr>
      <w:tr w:rsidR="000A156F" w:rsidTr="000A156F">
        <w:tc>
          <w:tcPr>
            <w:tcW w:w="0" w:type="auto"/>
            <w:vAlign w:val="center"/>
          </w:tcPr>
          <w:p w:rsidR="000A156F" w:rsidRDefault="00A9721F">
            <w:pPr>
              <w:pStyle w:val="TableBodyText"/>
            </w:pPr>
            <w:r>
              <w:rPr>
                <w:i/>
              </w:rPr>
              <w:t>98</w:t>
            </w:r>
          </w:p>
        </w:tc>
        <w:tc>
          <w:tcPr>
            <w:tcW w:w="0" w:type="auto"/>
            <w:vAlign w:val="center"/>
          </w:tcPr>
          <w:p w:rsidR="000A156F" w:rsidRDefault="00A9721F">
            <w:pPr>
              <w:pStyle w:val="TableBodyText"/>
            </w:pPr>
            <w:r>
              <w:t>Horizontal Scroll</w:t>
            </w:r>
          </w:p>
        </w:tc>
      </w:tr>
      <w:tr w:rsidR="000A156F" w:rsidTr="000A156F">
        <w:tc>
          <w:tcPr>
            <w:tcW w:w="0" w:type="auto"/>
            <w:vAlign w:val="center"/>
          </w:tcPr>
          <w:p w:rsidR="000A156F" w:rsidRDefault="00A9721F">
            <w:pPr>
              <w:pStyle w:val="TableBodyText"/>
            </w:pPr>
            <w:r>
              <w:rPr>
                <w:i/>
              </w:rPr>
              <w:t>99</w:t>
            </w:r>
          </w:p>
        </w:tc>
        <w:tc>
          <w:tcPr>
            <w:tcW w:w="0" w:type="auto"/>
            <w:vAlign w:val="center"/>
          </w:tcPr>
          <w:p w:rsidR="000A156F" w:rsidRDefault="00A9721F">
            <w:pPr>
              <w:pStyle w:val="TableBodyText"/>
            </w:pPr>
            <w:r>
              <w:t xml:space="preserve">Circular </w:t>
            </w:r>
            <w:r>
              <w:t>Arrow</w:t>
            </w:r>
          </w:p>
        </w:tc>
      </w:tr>
      <w:tr w:rsidR="000A156F" w:rsidTr="000A156F">
        <w:tc>
          <w:tcPr>
            <w:tcW w:w="0" w:type="auto"/>
            <w:vAlign w:val="center"/>
          </w:tcPr>
          <w:p w:rsidR="000A156F" w:rsidRDefault="00A9721F">
            <w:pPr>
              <w:pStyle w:val="TableBodyText"/>
            </w:pPr>
            <w:r>
              <w:rPr>
                <w:i/>
              </w:rPr>
              <w:t>100</w:t>
            </w:r>
          </w:p>
        </w:tc>
        <w:tc>
          <w:tcPr>
            <w:tcW w:w="0" w:type="auto"/>
            <w:vAlign w:val="center"/>
          </w:tcPr>
          <w:p w:rsidR="000A156F" w:rsidRDefault="00A9721F">
            <w:pPr>
              <w:pStyle w:val="TableBodyText"/>
            </w:pPr>
            <w:r>
              <w:t>Notched Circular Arrow</w:t>
            </w:r>
          </w:p>
        </w:tc>
      </w:tr>
      <w:tr w:rsidR="000A156F" w:rsidTr="000A156F">
        <w:tc>
          <w:tcPr>
            <w:tcW w:w="0" w:type="auto"/>
            <w:vAlign w:val="center"/>
          </w:tcPr>
          <w:p w:rsidR="000A156F" w:rsidRDefault="00A9721F">
            <w:pPr>
              <w:pStyle w:val="TableBodyText"/>
            </w:pPr>
            <w:r>
              <w:rPr>
                <w:i/>
              </w:rPr>
              <w:t>101</w:t>
            </w:r>
          </w:p>
        </w:tc>
        <w:tc>
          <w:tcPr>
            <w:tcW w:w="0" w:type="auto"/>
            <w:vAlign w:val="center"/>
          </w:tcPr>
          <w:p w:rsidR="000A156F" w:rsidRDefault="00A9721F">
            <w:pPr>
              <w:pStyle w:val="TableBodyText"/>
            </w:pPr>
            <w:r>
              <w:t>U-Turn Arrow</w:t>
            </w:r>
          </w:p>
        </w:tc>
      </w:tr>
      <w:tr w:rsidR="000A156F" w:rsidTr="000A156F">
        <w:tc>
          <w:tcPr>
            <w:tcW w:w="0" w:type="auto"/>
            <w:vAlign w:val="center"/>
          </w:tcPr>
          <w:p w:rsidR="000A156F" w:rsidRDefault="00A9721F">
            <w:pPr>
              <w:pStyle w:val="TableBodyText"/>
            </w:pPr>
            <w:r>
              <w:rPr>
                <w:i/>
              </w:rPr>
              <w:t>102</w:t>
            </w:r>
          </w:p>
        </w:tc>
        <w:tc>
          <w:tcPr>
            <w:tcW w:w="0" w:type="auto"/>
            <w:vAlign w:val="center"/>
          </w:tcPr>
          <w:p w:rsidR="000A156F" w:rsidRDefault="00A9721F">
            <w:pPr>
              <w:pStyle w:val="TableBodyText"/>
            </w:pPr>
            <w:r>
              <w:t>Curved Right Arrow</w:t>
            </w:r>
          </w:p>
        </w:tc>
      </w:tr>
      <w:tr w:rsidR="000A156F" w:rsidTr="000A156F">
        <w:tc>
          <w:tcPr>
            <w:tcW w:w="0" w:type="auto"/>
            <w:vAlign w:val="center"/>
          </w:tcPr>
          <w:p w:rsidR="000A156F" w:rsidRDefault="00A9721F">
            <w:pPr>
              <w:pStyle w:val="TableBodyText"/>
            </w:pPr>
            <w:r>
              <w:rPr>
                <w:i/>
              </w:rPr>
              <w:t>103</w:t>
            </w:r>
          </w:p>
        </w:tc>
        <w:tc>
          <w:tcPr>
            <w:tcW w:w="0" w:type="auto"/>
            <w:vAlign w:val="center"/>
          </w:tcPr>
          <w:p w:rsidR="000A156F" w:rsidRDefault="00A9721F">
            <w:pPr>
              <w:pStyle w:val="TableBodyText"/>
            </w:pPr>
            <w:r>
              <w:t>Curved Left arrow</w:t>
            </w:r>
          </w:p>
        </w:tc>
      </w:tr>
      <w:tr w:rsidR="000A156F" w:rsidTr="000A156F">
        <w:tc>
          <w:tcPr>
            <w:tcW w:w="0" w:type="auto"/>
            <w:vAlign w:val="center"/>
          </w:tcPr>
          <w:p w:rsidR="000A156F" w:rsidRDefault="00A9721F">
            <w:pPr>
              <w:pStyle w:val="TableBodyText"/>
            </w:pPr>
            <w:r>
              <w:rPr>
                <w:i/>
              </w:rPr>
              <w:t>104</w:t>
            </w:r>
          </w:p>
        </w:tc>
        <w:tc>
          <w:tcPr>
            <w:tcW w:w="0" w:type="auto"/>
            <w:vAlign w:val="center"/>
          </w:tcPr>
          <w:p w:rsidR="000A156F" w:rsidRDefault="00A9721F">
            <w:pPr>
              <w:pStyle w:val="TableBodyText"/>
            </w:pPr>
            <w:r>
              <w:t>Curved Up Arrow</w:t>
            </w:r>
          </w:p>
        </w:tc>
      </w:tr>
      <w:tr w:rsidR="000A156F" w:rsidTr="000A156F">
        <w:tc>
          <w:tcPr>
            <w:tcW w:w="0" w:type="auto"/>
            <w:vAlign w:val="center"/>
          </w:tcPr>
          <w:p w:rsidR="000A156F" w:rsidRDefault="00A9721F">
            <w:pPr>
              <w:pStyle w:val="TableBodyText"/>
            </w:pPr>
            <w:r>
              <w:rPr>
                <w:i/>
              </w:rPr>
              <w:t>105</w:t>
            </w:r>
          </w:p>
        </w:tc>
        <w:tc>
          <w:tcPr>
            <w:tcW w:w="0" w:type="auto"/>
            <w:vAlign w:val="center"/>
          </w:tcPr>
          <w:p w:rsidR="000A156F" w:rsidRDefault="00A9721F">
            <w:pPr>
              <w:pStyle w:val="TableBodyText"/>
            </w:pPr>
            <w:r>
              <w:t>Curved Down Arrow</w:t>
            </w:r>
          </w:p>
        </w:tc>
      </w:tr>
      <w:tr w:rsidR="000A156F" w:rsidTr="000A156F">
        <w:tc>
          <w:tcPr>
            <w:tcW w:w="0" w:type="auto"/>
            <w:vAlign w:val="center"/>
          </w:tcPr>
          <w:p w:rsidR="000A156F" w:rsidRDefault="00A9721F">
            <w:pPr>
              <w:pStyle w:val="TableBodyText"/>
            </w:pPr>
            <w:r>
              <w:rPr>
                <w:i/>
              </w:rPr>
              <w:t>106</w:t>
            </w:r>
          </w:p>
        </w:tc>
        <w:tc>
          <w:tcPr>
            <w:tcW w:w="0" w:type="auto"/>
            <w:vAlign w:val="center"/>
          </w:tcPr>
          <w:p w:rsidR="000A156F" w:rsidRDefault="00A9721F">
            <w:pPr>
              <w:pStyle w:val="TableBodyText"/>
            </w:pPr>
            <w:r>
              <w:t>Cloud Callout</w:t>
            </w:r>
          </w:p>
        </w:tc>
      </w:tr>
      <w:tr w:rsidR="000A156F" w:rsidTr="000A156F">
        <w:tc>
          <w:tcPr>
            <w:tcW w:w="0" w:type="auto"/>
            <w:vAlign w:val="center"/>
          </w:tcPr>
          <w:p w:rsidR="000A156F" w:rsidRDefault="00A9721F">
            <w:pPr>
              <w:pStyle w:val="TableBodyText"/>
            </w:pPr>
            <w:r>
              <w:rPr>
                <w:i/>
              </w:rPr>
              <w:t>107-108</w:t>
            </w:r>
          </w:p>
        </w:tc>
        <w:tc>
          <w:tcPr>
            <w:tcW w:w="0" w:type="auto"/>
            <w:vAlign w:val="center"/>
          </w:tcPr>
          <w:p w:rsidR="000A156F" w:rsidRDefault="00A9721F">
            <w:pPr>
              <w:pStyle w:val="TableBodyText"/>
            </w:pPr>
            <w:r>
              <w:t>Ellipse Ribbon</w:t>
            </w:r>
          </w:p>
        </w:tc>
      </w:tr>
      <w:tr w:rsidR="000A156F" w:rsidTr="000A156F">
        <w:tc>
          <w:tcPr>
            <w:tcW w:w="0" w:type="auto"/>
            <w:vAlign w:val="center"/>
          </w:tcPr>
          <w:p w:rsidR="000A156F" w:rsidRDefault="00A9721F">
            <w:pPr>
              <w:pStyle w:val="TableBodyText"/>
            </w:pPr>
            <w:r>
              <w:rPr>
                <w:i/>
              </w:rPr>
              <w:t>109</w:t>
            </w:r>
          </w:p>
        </w:tc>
        <w:tc>
          <w:tcPr>
            <w:tcW w:w="0" w:type="auto"/>
            <w:vAlign w:val="center"/>
          </w:tcPr>
          <w:p w:rsidR="000A156F" w:rsidRDefault="00A9721F">
            <w:pPr>
              <w:pStyle w:val="TableBodyText"/>
            </w:pPr>
            <w:r>
              <w:t>Flow Chart Process</w:t>
            </w:r>
          </w:p>
        </w:tc>
      </w:tr>
      <w:tr w:rsidR="000A156F" w:rsidTr="000A156F">
        <w:tc>
          <w:tcPr>
            <w:tcW w:w="0" w:type="auto"/>
            <w:vAlign w:val="center"/>
          </w:tcPr>
          <w:p w:rsidR="000A156F" w:rsidRDefault="00A9721F">
            <w:pPr>
              <w:pStyle w:val="TableBodyText"/>
            </w:pPr>
            <w:r>
              <w:rPr>
                <w:i/>
              </w:rPr>
              <w:t>110</w:t>
            </w:r>
          </w:p>
        </w:tc>
        <w:tc>
          <w:tcPr>
            <w:tcW w:w="0" w:type="auto"/>
            <w:vAlign w:val="center"/>
          </w:tcPr>
          <w:p w:rsidR="000A156F" w:rsidRDefault="00A9721F">
            <w:pPr>
              <w:pStyle w:val="TableBodyText"/>
            </w:pPr>
            <w:r>
              <w:t>Flow Chart Decision</w:t>
            </w:r>
          </w:p>
        </w:tc>
      </w:tr>
      <w:tr w:rsidR="000A156F" w:rsidTr="000A156F">
        <w:tc>
          <w:tcPr>
            <w:tcW w:w="0" w:type="auto"/>
            <w:vAlign w:val="center"/>
          </w:tcPr>
          <w:p w:rsidR="000A156F" w:rsidRDefault="00A9721F">
            <w:pPr>
              <w:pStyle w:val="TableBodyText"/>
            </w:pPr>
            <w:r>
              <w:rPr>
                <w:i/>
              </w:rPr>
              <w:t>111</w:t>
            </w:r>
          </w:p>
        </w:tc>
        <w:tc>
          <w:tcPr>
            <w:tcW w:w="0" w:type="auto"/>
            <w:vAlign w:val="center"/>
          </w:tcPr>
          <w:p w:rsidR="000A156F" w:rsidRDefault="00A9721F">
            <w:pPr>
              <w:pStyle w:val="TableBodyText"/>
            </w:pPr>
            <w:r>
              <w:t xml:space="preserve">Flow Chart </w:t>
            </w:r>
            <w:r>
              <w:t>Input/Output</w:t>
            </w:r>
          </w:p>
        </w:tc>
      </w:tr>
      <w:tr w:rsidR="000A156F" w:rsidTr="000A156F">
        <w:tc>
          <w:tcPr>
            <w:tcW w:w="0" w:type="auto"/>
            <w:vAlign w:val="center"/>
          </w:tcPr>
          <w:p w:rsidR="000A156F" w:rsidRDefault="00A9721F">
            <w:pPr>
              <w:pStyle w:val="TableBodyText"/>
            </w:pPr>
            <w:r>
              <w:rPr>
                <w:i/>
              </w:rPr>
              <w:t>112</w:t>
            </w:r>
          </w:p>
        </w:tc>
        <w:tc>
          <w:tcPr>
            <w:tcW w:w="0" w:type="auto"/>
            <w:vAlign w:val="center"/>
          </w:tcPr>
          <w:p w:rsidR="000A156F" w:rsidRDefault="00A9721F">
            <w:pPr>
              <w:pStyle w:val="TableBodyText"/>
            </w:pPr>
            <w:r>
              <w:t>Flow Chart Predefined Process</w:t>
            </w:r>
          </w:p>
        </w:tc>
      </w:tr>
      <w:tr w:rsidR="000A156F" w:rsidTr="000A156F">
        <w:tc>
          <w:tcPr>
            <w:tcW w:w="0" w:type="auto"/>
            <w:vAlign w:val="center"/>
          </w:tcPr>
          <w:p w:rsidR="000A156F" w:rsidRDefault="00A9721F">
            <w:pPr>
              <w:pStyle w:val="TableBodyText"/>
            </w:pPr>
            <w:r>
              <w:rPr>
                <w:i/>
              </w:rPr>
              <w:t>113</w:t>
            </w:r>
          </w:p>
        </w:tc>
        <w:tc>
          <w:tcPr>
            <w:tcW w:w="0" w:type="auto"/>
            <w:vAlign w:val="center"/>
          </w:tcPr>
          <w:p w:rsidR="000A156F" w:rsidRDefault="00A9721F">
            <w:pPr>
              <w:pStyle w:val="TableBodyText"/>
            </w:pPr>
            <w:r>
              <w:t>Flow Chart Internal Storage</w:t>
            </w:r>
          </w:p>
        </w:tc>
      </w:tr>
      <w:tr w:rsidR="000A156F" w:rsidTr="000A156F">
        <w:tc>
          <w:tcPr>
            <w:tcW w:w="0" w:type="auto"/>
            <w:vAlign w:val="center"/>
          </w:tcPr>
          <w:p w:rsidR="000A156F" w:rsidRDefault="00A9721F">
            <w:pPr>
              <w:pStyle w:val="TableBodyText"/>
            </w:pPr>
            <w:r>
              <w:rPr>
                <w:i/>
              </w:rPr>
              <w:t>114</w:t>
            </w:r>
          </w:p>
        </w:tc>
        <w:tc>
          <w:tcPr>
            <w:tcW w:w="0" w:type="auto"/>
            <w:vAlign w:val="center"/>
          </w:tcPr>
          <w:p w:rsidR="000A156F" w:rsidRDefault="00A9721F">
            <w:pPr>
              <w:pStyle w:val="TableBodyText"/>
            </w:pPr>
            <w:r>
              <w:t>Flow Chart Document</w:t>
            </w:r>
          </w:p>
        </w:tc>
      </w:tr>
      <w:tr w:rsidR="000A156F" w:rsidTr="000A156F">
        <w:tc>
          <w:tcPr>
            <w:tcW w:w="0" w:type="auto"/>
            <w:vAlign w:val="center"/>
          </w:tcPr>
          <w:p w:rsidR="000A156F" w:rsidRDefault="00A9721F">
            <w:pPr>
              <w:pStyle w:val="TableBodyText"/>
            </w:pPr>
            <w:r>
              <w:rPr>
                <w:i/>
              </w:rPr>
              <w:lastRenderedPageBreak/>
              <w:t>115</w:t>
            </w:r>
          </w:p>
        </w:tc>
        <w:tc>
          <w:tcPr>
            <w:tcW w:w="0" w:type="auto"/>
            <w:vAlign w:val="center"/>
          </w:tcPr>
          <w:p w:rsidR="000A156F" w:rsidRDefault="00A9721F">
            <w:pPr>
              <w:pStyle w:val="TableBodyText"/>
            </w:pPr>
            <w:r>
              <w:t>Flow Chart Multi-Document</w:t>
            </w:r>
          </w:p>
        </w:tc>
      </w:tr>
      <w:tr w:rsidR="000A156F" w:rsidTr="000A156F">
        <w:tc>
          <w:tcPr>
            <w:tcW w:w="0" w:type="auto"/>
            <w:vAlign w:val="center"/>
          </w:tcPr>
          <w:p w:rsidR="000A156F" w:rsidRDefault="00A9721F">
            <w:pPr>
              <w:pStyle w:val="TableBodyText"/>
            </w:pPr>
            <w:r>
              <w:rPr>
                <w:i/>
              </w:rPr>
              <w:t>116</w:t>
            </w:r>
          </w:p>
        </w:tc>
        <w:tc>
          <w:tcPr>
            <w:tcW w:w="0" w:type="auto"/>
            <w:vAlign w:val="center"/>
          </w:tcPr>
          <w:p w:rsidR="000A156F" w:rsidRDefault="00A9721F">
            <w:pPr>
              <w:pStyle w:val="TableBodyText"/>
            </w:pPr>
            <w:r>
              <w:t>Flow Chart Terminator</w:t>
            </w:r>
          </w:p>
        </w:tc>
      </w:tr>
      <w:tr w:rsidR="000A156F" w:rsidTr="000A156F">
        <w:tc>
          <w:tcPr>
            <w:tcW w:w="0" w:type="auto"/>
            <w:vAlign w:val="center"/>
          </w:tcPr>
          <w:p w:rsidR="000A156F" w:rsidRDefault="00A9721F">
            <w:pPr>
              <w:pStyle w:val="TableBodyText"/>
            </w:pPr>
            <w:r>
              <w:rPr>
                <w:i/>
              </w:rPr>
              <w:t>117</w:t>
            </w:r>
          </w:p>
        </w:tc>
        <w:tc>
          <w:tcPr>
            <w:tcW w:w="0" w:type="auto"/>
            <w:vAlign w:val="center"/>
          </w:tcPr>
          <w:p w:rsidR="000A156F" w:rsidRDefault="00A9721F">
            <w:pPr>
              <w:pStyle w:val="TableBodyText"/>
            </w:pPr>
            <w:r>
              <w:t>Flow Chart Preparation</w:t>
            </w:r>
          </w:p>
        </w:tc>
      </w:tr>
      <w:tr w:rsidR="000A156F" w:rsidTr="000A156F">
        <w:tc>
          <w:tcPr>
            <w:tcW w:w="0" w:type="auto"/>
            <w:vAlign w:val="center"/>
          </w:tcPr>
          <w:p w:rsidR="000A156F" w:rsidRDefault="00A9721F">
            <w:pPr>
              <w:pStyle w:val="TableBodyText"/>
            </w:pPr>
            <w:r>
              <w:rPr>
                <w:i/>
              </w:rPr>
              <w:t>118</w:t>
            </w:r>
          </w:p>
        </w:tc>
        <w:tc>
          <w:tcPr>
            <w:tcW w:w="0" w:type="auto"/>
            <w:vAlign w:val="center"/>
          </w:tcPr>
          <w:p w:rsidR="000A156F" w:rsidRDefault="00A9721F">
            <w:pPr>
              <w:pStyle w:val="TableBodyText"/>
            </w:pPr>
            <w:r>
              <w:t>Flow Chart Manual Input</w:t>
            </w:r>
          </w:p>
        </w:tc>
      </w:tr>
      <w:tr w:rsidR="000A156F" w:rsidTr="000A156F">
        <w:tc>
          <w:tcPr>
            <w:tcW w:w="0" w:type="auto"/>
            <w:vAlign w:val="center"/>
          </w:tcPr>
          <w:p w:rsidR="000A156F" w:rsidRDefault="00A9721F">
            <w:pPr>
              <w:pStyle w:val="TableBodyText"/>
            </w:pPr>
            <w:r>
              <w:rPr>
                <w:i/>
              </w:rPr>
              <w:t>119</w:t>
            </w:r>
          </w:p>
        </w:tc>
        <w:tc>
          <w:tcPr>
            <w:tcW w:w="0" w:type="auto"/>
            <w:vAlign w:val="center"/>
          </w:tcPr>
          <w:p w:rsidR="000A156F" w:rsidRDefault="00A9721F">
            <w:pPr>
              <w:pStyle w:val="TableBodyText"/>
            </w:pPr>
            <w:r>
              <w:t>Flow Chart Manual Operation</w:t>
            </w:r>
          </w:p>
        </w:tc>
      </w:tr>
      <w:tr w:rsidR="000A156F" w:rsidTr="000A156F">
        <w:tc>
          <w:tcPr>
            <w:tcW w:w="0" w:type="auto"/>
            <w:vAlign w:val="center"/>
          </w:tcPr>
          <w:p w:rsidR="000A156F" w:rsidRDefault="00A9721F">
            <w:pPr>
              <w:pStyle w:val="TableBodyText"/>
            </w:pPr>
            <w:r>
              <w:rPr>
                <w:i/>
              </w:rPr>
              <w:t>120</w:t>
            </w:r>
          </w:p>
        </w:tc>
        <w:tc>
          <w:tcPr>
            <w:tcW w:w="0" w:type="auto"/>
            <w:vAlign w:val="center"/>
          </w:tcPr>
          <w:p w:rsidR="000A156F" w:rsidRDefault="00A9721F">
            <w:pPr>
              <w:pStyle w:val="TableBodyText"/>
            </w:pPr>
            <w:r>
              <w:t>Flow Chart Connector</w:t>
            </w:r>
          </w:p>
        </w:tc>
      </w:tr>
      <w:tr w:rsidR="000A156F" w:rsidTr="000A156F">
        <w:tc>
          <w:tcPr>
            <w:tcW w:w="0" w:type="auto"/>
            <w:vAlign w:val="center"/>
          </w:tcPr>
          <w:p w:rsidR="000A156F" w:rsidRDefault="00A9721F">
            <w:pPr>
              <w:pStyle w:val="TableBodyText"/>
            </w:pPr>
            <w:r>
              <w:rPr>
                <w:i/>
              </w:rPr>
              <w:t>121</w:t>
            </w:r>
          </w:p>
        </w:tc>
        <w:tc>
          <w:tcPr>
            <w:tcW w:w="0" w:type="auto"/>
            <w:vAlign w:val="center"/>
          </w:tcPr>
          <w:p w:rsidR="000A156F" w:rsidRDefault="00A9721F">
            <w:pPr>
              <w:pStyle w:val="TableBodyText"/>
            </w:pPr>
            <w:r>
              <w:t>Flow Chart Punched Card</w:t>
            </w:r>
          </w:p>
        </w:tc>
      </w:tr>
      <w:tr w:rsidR="000A156F" w:rsidTr="000A156F">
        <w:tc>
          <w:tcPr>
            <w:tcW w:w="0" w:type="auto"/>
            <w:vAlign w:val="center"/>
          </w:tcPr>
          <w:p w:rsidR="000A156F" w:rsidRDefault="00A9721F">
            <w:pPr>
              <w:pStyle w:val="TableBodyText"/>
            </w:pPr>
            <w:r>
              <w:rPr>
                <w:i/>
              </w:rPr>
              <w:t>122</w:t>
            </w:r>
          </w:p>
        </w:tc>
        <w:tc>
          <w:tcPr>
            <w:tcW w:w="0" w:type="auto"/>
            <w:vAlign w:val="center"/>
          </w:tcPr>
          <w:p w:rsidR="000A156F" w:rsidRDefault="00A9721F">
            <w:pPr>
              <w:pStyle w:val="TableBodyText"/>
            </w:pPr>
            <w:r>
              <w:t>Flow Chart Punched Tape</w:t>
            </w:r>
          </w:p>
        </w:tc>
      </w:tr>
      <w:tr w:rsidR="000A156F" w:rsidTr="000A156F">
        <w:tc>
          <w:tcPr>
            <w:tcW w:w="0" w:type="auto"/>
            <w:vAlign w:val="center"/>
          </w:tcPr>
          <w:p w:rsidR="000A156F" w:rsidRDefault="00A9721F">
            <w:pPr>
              <w:pStyle w:val="TableBodyText"/>
            </w:pPr>
            <w:r>
              <w:rPr>
                <w:i/>
              </w:rPr>
              <w:t>123</w:t>
            </w:r>
          </w:p>
        </w:tc>
        <w:tc>
          <w:tcPr>
            <w:tcW w:w="0" w:type="auto"/>
            <w:vAlign w:val="center"/>
          </w:tcPr>
          <w:p w:rsidR="000A156F" w:rsidRDefault="00A9721F">
            <w:pPr>
              <w:pStyle w:val="TableBodyText"/>
            </w:pPr>
            <w:r>
              <w:t>Flow Chart Summing Junction</w:t>
            </w:r>
          </w:p>
        </w:tc>
      </w:tr>
      <w:tr w:rsidR="000A156F" w:rsidTr="000A156F">
        <w:tc>
          <w:tcPr>
            <w:tcW w:w="0" w:type="auto"/>
            <w:vAlign w:val="center"/>
          </w:tcPr>
          <w:p w:rsidR="000A156F" w:rsidRDefault="00A9721F">
            <w:pPr>
              <w:pStyle w:val="TableBodyText"/>
            </w:pPr>
            <w:r>
              <w:rPr>
                <w:i/>
              </w:rPr>
              <w:t>124</w:t>
            </w:r>
          </w:p>
        </w:tc>
        <w:tc>
          <w:tcPr>
            <w:tcW w:w="0" w:type="auto"/>
            <w:vAlign w:val="center"/>
          </w:tcPr>
          <w:p w:rsidR="000A156F" w:rsidRDefault="00A9721F">
            <w:pPr>
              <w:pStyle w:val="TableBodyText"/>
            </w:pPr>
            <w:r>
              <w:t>Flow Chart Or</w:t>
            </w:r>
          </w:p>
        </w:tc>
      </w:tr>
      <w:tr w:rsidR="000A156F" w:rsidTr="000A156F">
        <w:tc>
          <w:tcPr>
            <w:tcW w:w="0" w:type="auto"/>
            <w:vAlign w:val="center"/>
          </w:tcPr>
          <w:p w:rsidR="000A156F" w:rsidRDefault="00A9721F">
            <w:pPr>
              <w:pStyle w:val="TableBodyText"/>
            </w:pPr>
            <w:r>
              <w:rPr>
                <w:i/>
              </w:rPr>
              <w:t>125</w:t>
            </w:r>
          </w:p>
        </w:tc>
        <w:tc>
          <w:tcPr>
            <w:tcW w:w="0" w:type="auto"/>
            <w:vAlign w:val="center"/>
          </w:tcPr>
          <w:p w:rsidR="000A156F" w:rsidRDefault="00A9721F">
            <w:pPr>
              <w:pStyle w:val="TableBodyText"/>
            </w:pPr>
            <w:r>
              <w:t>Flow Chart Collate</w:t>
            </w:r>
          </w:p>
        </w:tc>
      </w:tr>
      <w:tr w:rsidR="000A156F" w:rsidTr="000A156F">
        <w:tc>
          <w:tcPr>
            <w:tcW w:w="0" w:type="auto"/>
            <w:vAlign w:val="center"/>
          </w:tcPr>
          <w:p w:rsidR="000A156F" w:rsidRDefault="00A9721F">
            <w:pPr>
              <w:pStyle w:val="TableBodyText"/>
            </w:pPr>
            <w:r>
              <w:rPr>
                <w:i/>
              </w:rPr>
              <w:t>126</w:t>
            </w:r>
          </w:p>
        </w:tc>
        <w:tc>
          <w:tcPr>
            <w:tcW w:w="0" w:type="auto"/>
            <w:vAlign w:val="center"/>
          </w:tcPr>
          <w:p w:rsidR="000A156F" w:rsidRDefault="00A9721F">
            <w:pPr>
              <w:pStyle w:val="TableBodyText"/>
            </w:pPr>
            <w:r>
              <w:t>Flow Chart Sort</w:t>
            </w:r>
          </w:p>
        </w:tc>
      </w:tr>
      <w:tr w:rsidR="000A156F" w:rsidTr="000A156F">
        <w:tc>
          <w:tcPr>
            <w:tcW w:w="0" w:type="auto"/>
            <w:vAlign w:val="center"/>
          </w:tcPr>
          <w:p w:rsidR="000A156F" w:rsidRDefault="00A9721F">
            <w:pPr>
              <w:pStyle w:val="TableBodyText"/>
            </w:pPr>
            <w:r>
              <w:rPr>
                <w:i/>
              </w:rPr>
              <w:t>127</w:t>
            </w:r>
          </w:p>
        </w:tc>
        <w:tc>
          <w:tcPr>
            <w:tcW w:w="0" w:type="auto"/>
            <w:vAlign w:val="center"/>
          </w:tcPr>
          <w:p w:rsidR="000A156F" w:rsidRDefault="00A9721F">
            <w:pPr>
              <w:pStyle w:val="TableBodyText"/>
            </w:pPr>
            <w:r>
              <w:t>Flow Chart Extract</w:t>
            </w:r>
          </w:p>
        </w:tc>
      </w:tr>
      <w:tr w:rsidR="000A156F" w:rsidTr="000A156F">
        <w:tc>
          <w:tcPr>
            <w:tcW w:w="0" w:type="auto"/>
            <w:vAlign w:val="center"/>
          </w:tcPr>
          <w:p w:rsidR="000A156F" w:rsidRDefault="00A9721F">
            <w:pPr>
              <w:pStyle w:val="TableBodyText"/>
            </w:pPr>
            <w:r>
              <w:rPr>
                <w:i/>
              </w:rPr>
              <w:t>128</w:t>
            </w:r>
          </w:p>
        </w:tc>
        <w:tc>
          <w:tcPr>
            <w:tcW w:w="0" w:type="auto"/>
            <w:vAlign w:val="center"/>
          </w:tcPr>
          <w:p w:rsidR="000A156F" w:rsidRDefault="00A9721F">
            <w:pPr>
              <w:pStyle w:val="TableBodyText"/>
            </w:pPr>
            <w:r>
              <w:t>Flow Chart Merge</w:t>
            </w:r>
          </w:p>
        </w:tc>
      </w:tr>
      <w:tr w:rsidR="000A156F" w:rsidTr="000A156F">
        <w:tc>
          <w:tcPr>
            <w:tcW w:w="0" w:type="auto"/>
            <w:vAlign w:val="center"/>
          </w:tcPr>
          <w:p w:rsidR="000A156F" w:rsidRDefault="00A9721F">
            <w:pPr>
              <w:pStyle w:val="TableBodyText"/>
            </w:pPr>
            <w:r>
              <w:rPr>
                <w:i/>
              </w:rPr>
              <w:t>129</w:t>
            </w:r>
          </w:p>
        </w:tc>
        <w:tc>
          <w:tcPr>
            <w:tcW w:w="0" w:type="auto"/>
            <w:vAlign w:val="center"/>
          </w:tcPr>
          <w:p w:rsidR="000A156F" w:rsidRDefault="00A9721F">
            <w:pPr>
              <w:pStyle w:val="TableBodyText"/>
            </w:pPr>
            <w:r>
              <w:t xml:space="preserve">Flow Chart Offline </w:t>
            </w:r>
            <w:r>
              <w:t>Storage</w:t>
            </w:r>
          </w:p>
        </w:tc>
      </w:tr>
      <w:tr w:rsidR="000A156F" w:rsidTr="000A156F">
        <w:tc>
          <w:tcPr>
            <w:tcW w:w="0" w:type="auto"/>
            <w:vAlign w:val="center"/>
          </w:tcPr>
          <w:p w:rsidR="000A156F" w:rsidRDefault="00A9721F">
            <w:pPr>
              <w:pStyle w:val="TableBodyText"/>
            </w:pPr>
            <w:r>
              <w:rPr>
                <w:i/>
              </w:rPr>
              <w:t>130</w:t>
            </w:r>
          </w:p>
        </w:tc>
        <w:tc>
          <w:tcPr>
            <w:tcW w:w="0" w:type="auto"/>
            <w:vAlign w:val="center"/>
          </w:tcPr>
          <w:p w:rsidR="000A156F" w:rsidRDefault="00A9721F">
            <w:pPr>
              <w:pStyle w:val="TableBodyText"/>
            </w:pPr>
            <w:r>
              <w:t>Flow Chart Online Storage</w:t>
            </w:r>
          </w:p>
        </w:tc>
      </w:tr>
      <w:tr w:rsidR="000A156F" w:rsidTr="000A156F">
        <w:tc>
          <w:tcPr>
            <w:tcW w:w="0" w:type="auto"/>
            <w:vAlign w:val="center"/>
          </w:tcPr>
          <w:p w:rsidR="000A156F" w:rsidRDefault="00A9721F">
            <w:pPr>
              <w:pStyle w:val="TableBodyText"/>
            </w:pPr>
            <w:r>
              <w:rPr>
                <w:i/>
              </w:rPr>
              <w:t>131</w:t>
            </w:r>
          </w:p>
        </w:tc>
        <w:tc>
          <w:tcPr>
            <w:tcW w:w="0" w:type="auto"/>
            <w:vAlign w:val="center"/>
          </w:tcPr>
          <w:p w:rsidR="000A156F" w:rsidRDefault="00A9721F">
            <w:pPr>
              <w:pStyle w:val="TableBodyText"/>
            </w:pPr>
            <w:r>
              <w:t>Flow Chart Magnetic Tape</w:t>
            </w:r>
          </w:p>
        </w:tc>
      </w:tr>
      <w:tr w:rsidR="000A156F" w:rsidTr="000A156F">
        <w:tc>
          <w:tcPr>
            <w:tcW w:w="0" w:type="auto"/>
            <w:vAlign w:val="center"/>
          </w:tcPr>
          <w:p w:rsidR="000A156F" w:rsidRDefault="00A9721F">
            <w:pPr>
              <w:pStyle w:val="TableBodyText"/>
            </w:pPr>
            <w:r>
              <w:rPr>
                <w:i/>
              </w:rPr>
              <w:t>132</w:t>
            </w:r>
          </w:p>
        </w:tc>
        <w:tc>
          <w:tcPr>
            <w:tcW w:w="0" w:type="auto"/>
            <w:vAlign w:val="center"/>
          </w:tcPr>
          <w:p w:rsidR="000A156F" w:rsidRDefault="00A9721F">
            <w:pPr>
              <w:pStyle w:val="TableBodyText"/>
            </w:pPr>
            <w:r>
              <w:t>Flow Chart Magnetic Disk</w:t>
            </w:r>
          </w:p>
        </w:tc>
      </w:tr>
      <w:tr w:rsidR="000A156F" w:rsidTr="000A156F">
        <w:tc>
          <w:tcPr>
            <w:tcW w:w="0" w:type="auto"/>
            <w:vAlign w:val="center"/>
          </w:tcPr>
          <w:p w:rsidR="000A156F" w:rsidRDefault="00A9721F">
            <w:pPr>
              <w:pStyle w:val="TableBodyText"/>
            </w:pPr>
            <w:r>
              <w:rPr>
                <w:i/>
              </w:rPr>
              <w:t>133</w:t>
            </w:r>
          </w:p>
        </w:tc>
        <w:tc>
          <w:tcPr>
            <w:tcW w:w="0" w:type="auto"/>
            <w:vAlign w:val="center"/>
          </w:tcPr>
          <w:p w:rsidR="000A156F" w:rsidRDefault="00A9721F">
            <w:pPr>
              <w:pStyle w:val="TableBodyText"/>
            </w:pPr>
            <w:r>
              <w:t>Flow Chart Magnetic Drum</w:t>
            </w:r>
          </w:p>
        </w:tc>
      </w:tr>
      <w:tr w:rsidR="000A156F" w:rsidTr="000A156F">
        <w:tc>
          <w:tcPr>
            <w:tcW w:w="0" w:type="auto"/>
            <w:vAlign w:val="center"/>
          </w:tcPr>
          <w:p w:rsidR="000A156F" w:rsidRDefault="00A9721F">
            <w:pPr>
              <w:pStyle w:val="TableBodyText"/>
            </w:pPr>
            <w:r>
              <w:rPr>
                <w:i/>
              </w:rPr>
              <w:t>134</w:t>
            </w:r>
          </w:p>
        </w:tc>
        <w:tc>
          <w:tcPr>
            <w:tcW w:w="0" w:type="auto"/>
            <w:vAlign w:val="center"/>
          </w:tcPr>
          <w:p w:rsidR="000A156F" w:rsidRDefault="00A9721F">
            <w:pPr>
              <w:pStyle w:val="TableBodyText"/>
            </w:pPr>
            <w:r>
              <w:t>Flow Chart Display</w:t>
            </w:r>
          </w:p>
        </w:tc>
      </w:tr>
      <w:tr w:rsidR="000A156F" w:rsidTr="000A156F">
        <w:tc>
          <w:tcPr>
            <w:tcW w:w="0" w:type="auto"/>
            <w:vAlign w:val="center"/>
          </w:tcPr>
          <w:p w:rsidR="000A156F" w:rsidRDefault="00A9721F">
            <w:pPr>
              <w:pStyle w:val="TableBodyText"/>
            </w:pPr>
            <w:r>
              <w:rPr>
                <w:i/>
              </w:rPr>
              <w:t>135</w:t>
            </w:r>
          </w:p>
        </w:tc>
        <w:tc>
          <w:tcPr>
            <w:tcW w:w="0" w:type="auto"/>
            <w:vAlign w:val="center"/>
          </w:tcPr>
          <w:p w:rsidR="000A156F" w:rsidRDefault="00A9721F">
            <w:pPr>
              <w:pStyle w:val="TableBodyText"/>
            </w:pPr>
            <w:r>
              <w:t>Flow Chart Delay</w:t>
            </w:r>
          </w:p>
        </w:tc>
      </w:tr>
      <w:tr w:rsidR="000A156F" w:rsidTr="000A156F">
        <w:tc>
          <w:tcPr>
            <w:tcW w:w="0" w:type="auto"/>
            <w:vAlign w:val="center"/>
          </w:tcPr>
          <w:p w:rsidR="000A156F" w:rsidRDefault="00A9721F">
            <w:pPr>
              <w:pStyle w:val="TableBodyText"/>
            </w:pPr>
            <w:r>
              <w:rPr>
                <w:i/>
              </w:rPr>
              <w:t>176</w:t>
            </w:r>
          </w:p>
        </w:tc>
        <w:tc>
          <w:tcPr>
            <w:tcW w:w="0" w:type="auto"/>
            <w:vAlign w:val="center"/>
          </w:tcPr>
          <w:p w:rsidR="000A156F" w:rsidRDefault="00A9721F">
            <w:pPr>
              <w:pStyle w:val="TableBodyText"/>
            </w:pPr>
            <w:r>
              <w:t>Flow Chart Alternate Process</w:t>
            </w:r>
          </w:p>
        </w:tc>
      </w:tr>
      <w:tr w:rsidR="000A156F" w:rsidTr="000A156F">
        <w:tc>
          <w:tcPr>
            <w:tcW w:w="0" w:type="auto"/>
            <w:vAlign w:val="center"/>
          </w:tcPr>
          <w:p w:rsidR="000A156F" w:rsidRDefault="00A9721F">
            <w:pPr>
              <w:pStyle w:val="TableBodyText"/>
            </w:pPr>
            <w:r>
              <w:rPr>
                <w:i/>
              </w:rPr>
              <w:t>177</w:t>
            </w:r>
          </w:p>
        </w:tc>
        <w:tc>
          <w:tcPr>
            <w:tcW w:w="0" w:type="auto"/>
            <w:vAlign w:val="center"/>
          </w:tcPr>
          <w:p w:rsidR="000A156F" w:rsidRDefault="00A9721F">
            <w:pPr>
              <w:pStyle w:val="TableBodyText"/>
            </w:pPr>
            <w:r>
              <w:t>Flow Chart Offpage Connector</w:t>
            </w:r>
          </w:p>
        </w:tc>
      </w:tr>
      <w:tr w:rsidR="000A156F" w:rsidTr="000A156F">
        <w:tc>
          <w:tcPr>
            <w:tcW w:w="0" w:type="auto"/>
            <w:vAlign w:val="center"/>
          </w:tcPr>
          <w:p w:rsidR="000A156F" w:rsidRDefault="00A9721F">
            <w:pPr>
              <w:pStyle w:val="TableBodyText"/>
            </w:pPr>
            <w:r>
              <w:rPr>
                <w:i/>
              </w:rPr>
              <w:t>178</w:t>
            </w:r>
          </w:p>
        </w:tc>
        <w:tc>
          <w:tcPr>
            <w:tcW w:w="0" w:type="auto"/>
            <w:vAlign w:val="center"/>
          </w:tcPr>
          <w:p w:rsidR="000A156F" w:rsidRDefault="00A9721F">
            <w:pPr>
              <w:pStyle w:val="TableBodyText"/>
            </w:pPr>
            <w:r>
              <w:t xml:space="preserve">Callout </w:t>
            </w:r>
            <w:r>
              <w:t>90</w:t>
            </w:r>
          </w:p>
        </w:tc>
      </w:tr>
      <w:tr w:rsidR="000A156F" w:rsidTr="000A156F">
        <w:tc>
          <w:tcPr>
            <w:tcW w:w="0" w:type="auto"/>
            <w:vAlign w:val="center"/>
          </w:tcPr>
          <w:p w:rsidR="000A156F" w:rsidRDefault="00A9721F">
            <w:pPr>
              <w:pStyle w:val="TableBodyText"/>
            </w:pPr>
            <w:r>
              <w:rPr>
                <w:i/>
              </w:rPr>
              <w:t>179</w:t>
            </w:r>
          </w:p>
        </w:tc>
        <w:tc>
          <w:tcPr>
            <w:tcW w:w="0" w:type="auto"/>
            <w:vAlign w:val="center"/>
          </w:tcPr>
          <w:p w:rsidR="000A156F" w:rsidRDefault="00A9721F">
            <w:pPr>
              <w:pStyle w:val="TableBodyText"/>
            </w:pPr>
            <w:r>
              <w:t>Accent Callout 90</w:t>
            </w:r>
          </w:p>
        </w:tc>
      </w:tr>
      <w:tr w:rsidR="000A156F" w:rsidTr="000A156F">
        <w:tc>
          <w:tcPr>
            <w:tcW w:w="0" w:type="auto"/>
            <w:vAlign w:val="center"/>
          </w:tcPr>
          <w:p w:rsidR="000A156F" w:rsidRDefault="00A9721F">
            <w:pPr>
              <w:pStyle w:val="TableBodyText"/>
            </w:pPr>
            <w:r>
              <w:rPr>
                <w:i/>
              </w:rPr>
              <w:t>180</w:t>
            </w:r>
          </w:p>
        </w:tc>
        <w:tc>
          <w:tcPr>
            <w:tcW w:w="0" w:type="auto"/>
            <w:vAlign w:val="center"/>
          </w:tcPr>
          <w:p w:rsidR="000A156F" w:rsidRDefault="00A9721F">
            <w:pPr>
              <w:pStyle w:val="TableBodyText"/>
            </w:pPr>
            <w:r>
              <w:t>Border Callout 90</w:t>
            </w:r>
          </w:p>
        </w:tc>
      </w:tr>
      <w:tr w:rsidR="000A156F" w:rsidTr="000A156F">
        <w:tc>
          <w:tcPr>
            <w:tcW w:w="0" w:type="auto"/>
            <w:vAlign w:val="center"/>
          </w:tcPr>
          <w:p w:rsidR="000A156F" w:rsidRDefault="00A9721F">
            <w:pPr>
              <w:pStyle w:val="TableBodyText"/>
            </w:pPr>
            <w:r>
              <w:rPr>
                <w:i/>
              </w:rPr>
              <w:t>181</w:t>
            </w:r>
          </w:p>
        </w:tc>
        <w:tc>
          <w:tcPr>
            <w:tcW w:w="0" w:type="auto"/>
            <w:vAlign w:val="center"/>
          </w:tcPr>
          <w:p w:rsidR="000A156F" w:rsidRDefault="00A9721F">
            <w:pPr>
              <w:pStyle w:val="TableBodyText"/>
            </w:pPr>
            <w:r>
              <w:t>Accent Border Callout 90</w:t>
            </w:r>
          </w:p>
        </w:tc>
      </w:tr>
      <w:tr w:rsidR="000A156F" w:rsidTr="000A156F">
        <w:tc>
          <w:tcPr>
            <w:tcW w:w="0" w:type="auto"/>
            <w:vAlign w:val="center"/>
          </w:tcPr>
          <w:p w:rsidR="000A156F" w:rsidRDefault="00A9721F">
            <w:pPr>
              <w:pStyle w:val="TableBodyText"/>
            </w:pPr>
            <w:r>
              <w:rPr>
                <w:i/>
              </w:rPr>
              <w:t>182</w:t>
            </w:r>
          </w:p>
        </w:tc>
        <w:tc>
          <w:tcPr>
            <w:tcW w:w="0" w:type="auto"/>
            <w:vAlign w:val="center"/>
          </w:tcPr>
          <w:p w:rsidR="000A156F" w:rsidRDefault="00A9721F">
            <w:pPr>
              <w:pStyle w:val="TableBodyText"/>
            </w:pPr>
            <w:r>
              <w:t>Left-Right-Up Arrow</w:t>
            </w:r>
          </w:p>
        </w:tc>
      </w:tr>
      <w:tr w:rsidR="000A156F" w:rsidTr="000A156F">
        <w:tc>
          <w:tcPr>
            <w:tcW w:w="0" w:type="auto"/>
            <w:vAlign w:val="center"/>
          </w:tcPr>
          <w:p w:rsidR="000A156F" w:rsidRDefault="00A9721F">
            <w:pPr>
              <w:pStyle w:val="TableBodyText"/>
            </w:pPr>
            <w:r>
              <w:rPr>
                <w:i/>
              </w:rPr>
              <w:t>183</w:t>
            </w:r>
          </w:p>
        </w:tc>
        <w:tc>
          <w:tcPr>
            <w:tcW w:w="0" w:type="auto"/>
            <w:vAlign w:val="center"/>
          </w:tcPr>
          <w:p w:rsidR="000A156F" w:rsidRDefault="00A9721F">
            <w:pPr>
              <w:pStyle w:val="TableBodyText"/>
            </w:pPr>
            <w:r>
              <w:t>Sun</w:t>
            </w:r>
          </w:p>
        </w:tc>
      </w:tr>
      <w:tr w:rsidR="000A156F" w:rsidTr="000A156F">
        <w:tc>
          <w:tcPr>
            <w:tcW w:w="0" w:type="auto"/>
            <w:vAlign w:val="center"/>
          </w:tcPr>
          <w:p w:rsidR="000A156F" w:rsidRDefault="00A9721F">
            <w:pPr>
              <w:pStyle w:val="TableBodyText"/>
            </w:pPr>
            <w:r>
              <w:rPr>
                <w:i/>
              </w:rPr>
              <w:t>184</w:t>
            </w:r>
          </w:p>
        </w:tc>
        <w:tc>
          <w:tcPr>
            <w:tcW w:w="0" w:type="auto"/>
            <w:vAlign w:val="center"/>
          </w:tcPr>
          <w:p w:rsidR="000A156F" w:rsidRDefault="00A9721F">
            <w:pPr>
              <w:pStyle w:val="TableBodyText"/>
            </w:pPr>
            <w:r>
              <w:t>Moon</w:t>
            </w:r>
          </w:p>
        </w:tc>
      </w:tr>
      <w:tr w:rsidR="000A156F" w:rsidTr="000A156F">
        <w:tc>
          <w:tcPr>
            <w:tcW w:w="0" w:type="auto"/>
            <w:vAlign w:val="center"/>
          </w:tcPr>
          <w:p w:rsidR="000A156F" w:rsidRDefault="00A9721F">
            <w:pPr>
              <w:pStyle w:val="TableBodyText"/>
            </w:pPr>
            <w:r>
              <w:rPr>
                <w:i/>
              </w:rPr>
              <w:t>185</w:t>
            </w:r>
          </w:p>
        </w:tc>
        <w:tc>
          <w:tcPr>
            <w:tcW w:w="0" w:type="auto"/>
            <w:vAlign w:val="center"/>
          </w:tcPr>
          <w:p w:rsidR="000A156F" w:rsidRDefault="00A9721F">
            <w:pPr>
              <w:pStyle w:val="TableBodyText"/>
            </w:pPr>
            <w:r>
              <w:t>Bracket Pair</w:t>
            </w:r>
          </w:p>
        </w:tc>
      </w:tr>
      <w:tr w:rsidR="000A156F" w:rsidTr="000A156F">
        <w:tc>
          <w:tcPr>
            <w:tcW w:w="0" w:type="auto"/>
            <w:vAlign w:val="center"/>
          </w:tcPr>
          <w:p w:rsidR="000A156F" w:rsidRDefault="00A9721F">
            <w:pPr>
              <w:pStyle w:val="TableBodyText"/>
            </w:pPr>
            <w:r>
              <w:rPr>
                <w:i/>
              </w:rPr>
              <w:t>186</w:t>
            </w:r>
          </w:p>
        </w:tc>
        <w:tc>
          <w:tcPr>
            <w:tcW w:w="0" w:type="auto"/>
            <w:vAlign w:val="center"/>
          </w:tcPr>
          <w:p w:rsidR="000A156F" w:rsidRDefault="00A9721F">
            <w:pPr>
              <w:pStyle w:val="TableBodyText"/>
            </w:pPr>
            <w:r>
              <w:t>Brace Pair</w:t>
            </w:r>
          </w:p>
        </w:tc>
      </w:tr>
      <w:tr w:rsidR="000A156F" w:rsidTr="000A156F">
        <w:tc>
          <w:tcPr>
            <w:tcW w:w="0" w:type="auto"/>
            <w:vAlign w:val="center"/>
          </w:tcPr>
          <w:p w:rsidR="000A156F" w:rsidRDefault="00A9721F">
            <w:pPr>
              <w:pStyle w:val="TableBodyText"/>
            </w:pPr>
            <w:r>
              <w:rPr>
                <w:i/>
              </w:rPr>
              <w:lastRenderedPageBreak/>
              <w:t>187</w:t>
            </w:r>
          </w:p>
        </w:tc>
        <w:tc>
          <w:tcPr>
            <w:tcW w:w="0" w:type="auto"/>
            <w:vAlign w:val="center"/>
          </w:tcPr>
          <w:p w:rsidR="000A156F" w:rsidRDefault="00A9721F">
            <w:pPr>
              <w:pStyle w:val="TableBodyText"/>
            </w:pPr>
            <w:r>
              <w:t>4 Pointed Seal</w:t>
            </w:r>
          </w:p>
        </w:tc>
      </w:tr>
      <w:tr w:rsidR="000A156F" w:rsidTr="000A156F">
        <w:tc>
          <w:tcPr>
            <w:tcW w:w="0" w:type="auto"/>
            <w:vAlign w:val="center"/>
          </w:tcPr>
          <w:p w:rsidR="000A156F" w:rsidRDefault="00A9721F">
            <w:pPr>
              <w:pStyle w:val="TableBodyText"/>
            </w:pPr>
            <w:r>
              <w:rPr>
                <w:i/>
              </w:rPr>
              <w:t>188</w:t>
            </w:r>
          </w:p>
        </w:tc>
        <w:tc>
          <w:tcPr>
            <w:tcW w:w="0" w:type="auto"/>
            <w:vAlign w:val="center"/>
          </w:tcPr>
          <w:p w:rsidR="000A156F" w:rsidRDefault="00A9721F">
            <w:pPr>
              <w:pStyle w:val="TableBodyText"/>
            </w:pPr>
            <w:r>
              <w:t>Double Wave</w:t>
            </w:r>
          </w:p>
        </w:tc>
      </w:tr>
      <w:tr w:rsidR="000A156F" w:rsidTr="000A156F">
        <w:tc>
          <w:tcPr>
            <w:tcW w:w="0" w:type="auto"/>
            <w:vAlign w:val="center"/>
          </w:tcPr>
          <w:p w:rsidR="000A156F" w:rsidRDefault="00A9721F">
            <w:pPr>
              <w:pStyle w:val="TableBodyText"/>
            </w:pPr>
            <w:r>
              <w:rPr>
                <w:i/>
              </w:rPr>
              <w:t>189</w:t>
            </w:r>
          </w:p>
        </w:tc>
        <w:tc>
          <w:tcPr>
            <w:tcW w:w="0" w:type="auto"/>
            <w:vAlign w:val="center"/>
          </w:tcPr>
          <w:p w:rsidR="000A156F" w:rsidRDefault="00A9721F">
            <w:pPr>
              <w:pStyle w:val="TableBodyText"/>
            </w:pPr>
            <w:r>
              <w:t>Action Button Blank</w:t>
            </w:r>
          </w:p>
        </w:tc>
      </w:tr>
      <w:tr w:rsidR="000A156F" w:rsidTr="000A156F">
        <w:tc>
          <w:tcPr>
            <w:tcW w:w="0" w:type="auto"/>
            <w:vAlign w:val="center"/>
          </w:tcPr>
          <w:p w:rsidR="000A156F" w:rsidRDefault="00A9721F">
            <w:pPr>
              <w:pStyle w:val="TableBodyText"/>
            </w:pPr>
            <w:r>
              <w:rPr>
                <w:i/>
              </w:rPr>
              <w:t>190</w:t>
            </w:r>
          </w:p>
        </w:tc>
        <w:tc>
          <w:tcPr>
            <w:tcW w:w="0" w:type="auto"/>
            <w:vAlign w:val="center"/>
          </w:tcPr>
          <w:p w:rsidR="000A156F" w:rsidRDefault="00A9721F">
            <w:pPr>
              <w:pStyle w:val="TableBodyText"/>
            </w:pPr>
            <w:r>
              <w:t>Action Button Home</w:t>
            </w:r>
          </w:p>
        </w:tc>
      </w:tr>
      <w:tr w:rsidR="000A156F" w:rsidTr="000A156F">
        <w:tc>
          <w:tcPr>
            <w:tcW w:w="0" w:type="auto"/>
            <w:vAlign w:val="center"/>
          </w:tcPr>
          <w:p w:rsidR="000A156F" w:rsidRDefault="00A9721F">
            <w:pPr>
              <w:pStyle w:val="TableBodyText"/>
            </w:pPr>
            <w:r>
              <w:rPr>
                <w:i/>
              </w:rPr>
              <w:t>191</w:t>
            </w:r>
          </w:p>
        </w:tc>
        <w:tc>
          <w:tcPr>
            <w:tcW w:w="0" w:type="auto"/>
            <w:vAlign w:val="center"/>
          </w:tcPr>
          <w:p w:rsidR="000A156F" w:rsidRDefault="00A9721F">
            <w:pPr>
              <w:pStyle w:val="TableBodyText"/>
            </w:pPr>
            <w:r>
              <w:t xml:space="preserve">Action </w:t>
            </w:r>
            <w:r>
              <w:t>Button Help</w:t>
            </w:r>
          </w:p>
        </w:tc>
      </w:tr>
      <w:tr w:rsidR="000A156F" w:rsidTr="000A156F">
        <w:tc>
          <w:tcPr>
            <w:tcW w:w="0" w:type="auto"/>
            <w:vAlign w:val="center"/>
          </w:tcPr>
          <w:p w:rsidR="000A156F" w:rsidRDefault="00A9721F">
            <w:pPr>
              <w:pStyle w:val="TableBodyText"/>
            </w:pPr>
            <w:r>
              <w:rPr>
                <w:i/>
              </w:rPr>
              <w:t>192</w:t>
            </w:r>
          </w:p>
        </w:tc>
        <w:tc>
          <w:tcPr>
            <w:tcW w:w="0" w:type="auto"/>
            <w:vAlign w:val="center"/>
          </w:tcPr>
          <w:p w:rsidR="000A156F" w:rsidRDefault="00A9721F">
            <w:pPr>
              <w:pStyle w:val="TableBodyText"/>
            </w:pPr>
            <w:r>
              <w:t>Action Button Information</w:t>
            </w:r>
          </w:p>
        </w:tc>
      </w:tr>
      <w:tr w:rsidR="000A156F" w:rsidTr="000A156F">
        <w:tc>
          <w:tcPr>
            <w:tcW w:w="0" w:type="auto"/>
            <w:vAlign w:val="center"/>
          </w:tcPr>
          <w:p w:rsidR="000A156F" w:rsidRDefault="00A9721F">
            <w:pPr>
              <w:pStyle w:val="TableBodyText"/>
            </w:pPr>
            <w:r>
              <w:rPr>
                <w:i/>
              </w:rPr>
              <w:t>193</w:t>
            </w:r>
          </w:p>
        </w:tc>
        <w:tc>
          <w:tcPr>
            <w:tcW w:w="0" w:type="auto"/>
            <w:vAlign w:val="center"/>
          </w:tcPr>
          <w:p w:rsidR="000A156F" w:rsidRDefault="00A9721F">
            <w:pPr>
              <w:pStyle w:val="TableBodyText"/>
            </w:pPr>
            <w:r>
              <w:t>Action Button Forward/Next</w:t>
            </w:r>
          </w:p>
        </w:tc>
      </w:tr>
      <w:tr w:rsidR="000A156F" w:rsidTr="000A156F">
        <w:tc>
          <w:tcPr>
            <w:tcW w:w="0" w:type="auto"/>
            <w:vAlign w:val="center"/>
          </w:tcPr>
          <w:p w:rsidR="000A156F" w:rsidRDefault="00A9721F">
            <w:pPr>
              <w:pStyle w:val="TableBodyText"/>
            </w:pPr>
            <w:r>
              <w:rPr>
                <w:i/>
              </w:rPr>
              <w:t>194</w:t>
            </w:r>
          </w:p>
        </w:tc>
        <w:tc>
          <w:tcPr>
            <w:tcW w:w="0" w:type="auto"/>
            <w:vAlign w:val="center"/>
          </w:tcPr>
          <w:p w:rsidR="000A156F" w:rsidRDefault="00A9721F">
            <w:pPr>
              <w:pStyle w:val="TableBodyText"/>
            </w:pPr>
            <w:r>
              <w:t>Action Button Back/Previous</w:t>
            </w:r>
          </w:p>
        </w:tc>
      </w:tr>
      <w:tr w:rsidR="000A156F" w:rsidTr="000A156F">
        <w:tc>
          <w:tcPr>
            <w:tcW w:w="0" w:type="auto"/>
            <w:vAlign w:val="center"/>
          </w:tcPr>
          <w:p w:rsidR="000A156F" w:rsidRDefault="00A9721F">
            <w:pPr>
              <w:pStyle w:val="TableBodyText"/>
            </w:pPr>
            <w:r>
              <w:rPr>
                <w:i/>
              </w:rPr>
              <w:t>195</w:t>
            </w:r>
          </w:p>
        </w:tc>
        <w:tc>
          <w:tcPr>
            <w:tcW w:w="0" w:type="auto"/>
            <w:vAlign w:val="center"/>
          </w:tcPr>
          <w:p w:rsidR="000A156F" w:rsidRDefault="00A9721F">
            <w:pPr>
              <w:pStyle w:val="TableBodyText"/>
            </w:pPr>
            <w:r>
              <w:t>Action Button End</w:t>
            </w:r>
          </w:p>
        </w:tc>
      </w:tr>
      <w:tr w:rsidR="000A156F" w:rsidTr="000A156F">
        <w:tc>
          <w:tcPr>
            <w:tcW w:w="0" w:type="auto"/>
            <w:vAlign w:val="center"/>
          </w:tcPr>
          <w:p w:rsidR="000A156F" w:rsidRDefault="00A9721F">
            <w:pPr>
              <w:pStyle w:val="TableBodyText"/>
            </w:pPr>
            <w:r>
              <w:rPr>
                <w:i/>
              </w:rPr>
              <w:t>196</w:t>
            </w:r>
          </w:p>
        </w:tc>
        <w:tc>
          <w:tcPr>
            <w:tcW w:w="0" w:type="auto"/>
            <w:vAlign w:val="center"/>
          </w:tcPr>
          <w:p w:rsidR="000A156F" w:rsidRDefault="00A9721F">
            <w:pPr>
              <w:pStyle w:val="TableBodyText"/>
            </w:pPr>
            <w:r>
              <w:t>Action Button Beginning</w:t>
            </w:r>
          </w:p>
        </w:tc>
      </w:tr>
      <w:tr w:rsidR="000A156F" w:rsidTr="000A156F">
        <w:tc>
          <w:tcPr>
            <w:tcW w:w="0" w:type="auto"/>
            <w:vAlign w:val="center"/>
          </w:tcPr>
          <w:p w:rsidR="000A156F" w:rsidRDefault="00A9721F">
            <w:pPr>
              <w:pStyle w:val="TableBodyText"/>
            </w:pPr>
            <w:r>
              <w:rPr>
                <w:i/>
              </w:rPr>
              <w:t>197</w:t>
            </w:r>
          </w:p>
        </w:tc>
        <w:tc>
          <w:tcPr>
            <w:tcW w:w="0" w:type="auto"/>
            <w:vAlign w:val="center"/>
          </w:tcPr>
          <w:p w:rsidR="000A156F" w:rsidRDefault="00A9721F">
            <w:pPr>
              <w:pStyle w:val="TableBodyText"/>
            </w:pPr>
            <w:r>
              <w:t>Action Button Return</w:t>
            </w:r>
          </w:p>
        </w:tc>
      </w:tr>
      <w:tr w:rsidR="000A156F" w:rsidTr="000A156F">
        <w:tc>
          <w:tcPr>
            <w:tcW w:w="0" w:type="auto"/>
            <w:vAlign w:val="center"/>
          </w:tcPr>
          <w:p w:rsidR="000A156F" w:rsidRDefault="00A9721F">
            <w:pPr>
              <w:pStyle w:val="TableBodyText"/>
            </w:pPr>
            <w:r>
              <w:rPr>
                <w:i/>
              </w:rPr>
              <w:t>198</w:t>
            </w:r>
          </w:p>
        </w:tc>
        <w:tc>
          <w:tcPr>
            <w:tcW w:w="0" w:type="auto"/>
            <w:vAlign w:val="center"/>
          </w:tcPr>
          <w:p w:rsidR="000A156F" w:rsidRDefault="00A9721F">
            <w:pPr>
              <w:pStyle w:val="TableBodyText"/>
            </w:pPr>
            <w:r>
              <w:t>Action Button Document</w:t>
            </w:r>
          </w:p>
        </w:tc>
      </w:tr>
      <w:tr w:rsidR="000A156F" w:rsidTr="000A156F">
        <w:tc>
          <w:tcPr>
            <w:tcW w:w="0" w:type="auto"/>
            <w:vAlign w:val="center"/>
          </w:tcPr>
          <w:p w:rsidR="000A156F" w:rsidRDefault="00A9721F">
            <w:pPr>
              <w:pStyle w:val="TableBodyText"/>
            </w:pPr>
            <w:r>
              <w:rPr>
                <w:i/>
              </w:rPr>
              <w:t>199</w:t>
            </w:r>
          </w:p>
        </w:tc>
        <w:tc>
          <w:tcPr>
            <w:tcW w:w="0" w:type="auto"/>
            <w:vAlign w:val="center"/>
          </w:tcPr>
          <w:p w:rsidR="000A156F" w:rsidRDefault="00A9721F">
            <w:pPr>
              <w:pStyle w:val="TableBodyText"/>
            </w:pPr>
            <w:r>
              <w:t>Action Button Sound</w:t>
            </w:r>
          </w:p>
        </w:tc>
      </w:tr>
      <w:tr w:rsidR="000A156F" w:rsidTr="000A156F">
        <w:tc>
          <w:tcPr>
            <w:tcW w:w="0" w:type="auto"/>
            <w:vAlign w:val="center"/>
          </w:tcPr>
          <w:p w:rsidR="000A156F" w:rsidRDefault="00A9721F">
            <w:pPr>
              <w:pStyle w:val="TableBodyText"/>
            </w:pPr>
            <w:r>
              <w:rPr>
                <w:i/>
              </w:rPr>
              <w:t>200</w:t>
            </w:r>
          </w:p>
        </w:tc>
        <w:tc>
          <w:tcPr>
            <w:tcW w:w="0" w:type="auto"/>
            <w:vAlign w:val="center"/>
          </w:tcPr>
          <w:p w:rsidR="000A156F" w:rsidRDefault="00A9721F">
            <w:pPr>
              <w:pStyle w:val="TableBodyText"/>
            </w:pPr>
            <w:r>
              <w:t xml:space="preserve">Action </w:t>
            </w:r>
            <w:r>
              <w:t>Button Movie</w:t>
            </w:r>
          </w:p>
        </w:tc>
      </w:tr>
      <w:tr w:rsidR="000A156F" w:rsidTr="000A156F">
        <w:tc>
          <w:tcPr>
            <w:tcW w:w="0" w:type="auto"/>
            <w:vAlign w:val="center"/>
          </w:tcPr>
          <w:p w:rsidR="000A156F" w:rsidRDefault="00A9721F">
            <w:pPr>
              <w:pStyle w:val="TableBodyText"/>
            </w:pPr>
            <w:r>
              <w:rPr>
                <w:i/>
              </w:rPr>
              <w:t>201</w:t>
            </w:r>
          </w:p>
        </w:tc>
        <w:tc>
          <w:tcPr>
            <w:tcW w:w="0" w:type="auto"/>
            <w:vAlign w:val="center"/>
          </w:tcPr>
          <w:p w:rsidR="000A156F" w:rsidRDefault="00A9721F">
            <w:pPr>
              <w:pStyle w:val="TableBodyText"/>
            </w:pPr>
            <w:r>
              <w:t>Host Control</w:t>
            </w:r>
          </w:p>
        </w:tc>
      </w:tr>
      <w:tr w:rsidR="000A156F" w:rsidTr="000A156F">
        <w:tc>
          <w:tcPr>
            <w:tcW w:w="0" w:type="auto"/>
            <w:vAlign w:val="center"/>
          </w:tcPr>
          <w:p w:rsidR="000A156F" w:rsidRDefault="00A9721F">
            <w:pPr>
              <w:pStyle w:val="TableBodyText"/>
            </w:pPr>
            <w:r>
              <w:rPr>
                <w:i/>
              </w:rPr>
              <w:t>202</w:t>
            </w:r>
          </w:p>
        </w:tc>
        <w:tc>
          <w:tcPr>
            <w:tcW w:w="0" w:type="auto"/>
            <w:vAlign w:val="center"/>
          </w:tcPr>
          <w:p w:rsidR="000A156F" w:rsidRDefault="00A9721F">
            <w:pPr>
              <w:pStyle w:val="TableBodyText"/>
            </w:pPr>
            <w:r>
              <w:t>Text Box</w:t>
            </w:r>
          </w:p>
        </w:tc>
      </w:tr>
    </w:tbl>
    <w:p w:rsidR="000A156F" w:rsidRDefault="000A156F"/>
    <w:p w:rsidR="000A156F" w:rsidRDefault="00A9721F">
      <w:r>
        <w:t>This simple type's contents are a restriction of the XML Schema int datatype.</w:t>
      </w:r>
    </w:p>
    <w:p w:rsidR="000A156F" w:rsidRDefault="00A9721F">
      <w:r>
        <w:t>This simple type also specifies the following restrictions:</w:t>
      </w:r>
    </w:p>
    <w:p w:rsidR="000A156F" w:rsidRDefault="00A9721F">
      <w:pPr>
        <w:pStyle w:val="ListParagraph"/>
        <w:numPr>
          <w:ilvl w:val="0"/>
          <w:numId w:val="235"/>
        </w:numPr>
        <w:contextualSpacing/>
      </w:pPr>
      <w:r>
        <w:t>This simple type has a minimum value of greater than or equal to 0.</w:t>
      </w:r>
    </w:p>
    <w:p w:rsidR="000A156F" w:rsidRDefault="00A9721F">
      <w:pPr>
        <w:pStyle w:val="ListParagraph"/>
        <w:numPr>
          <w:ilvl w:val="0"/>
          <w:numId w:val="235"/>
        </w:numPr>
      </w:pPr>
      <w:r>
        <w:t>This simple type has a maximum value of less than or equal to 202.</w:t>
      </w:r>
    </w:p>
    <w:p w:rsidR="000A156F" w:rsidRDefault="00A9721F">
      <w:r>
        <w:t>The following XML Schema fragment defines the contents of this simple type:</w:t>
      </w:r>
    </w:p>
    <w:p w:rsidR="000A156F" w:rsidRDefault="00A9721F">
      <w:pPr>
        <w:pStyle w:val="Code"/>
      </w:pPr>
      <w:r>
        <w:t>&lt;simpleType name="ST_ShapeType"&gt;</w:t>
      </w:r>
    </w:p>
    <w:p w:rsidR="000A156F" w:rsidRDefault="00A9721F">
      <w:pPr>
        <w:pStyle w:val="Code"/>
      </w:pPr>
      <w:r>
        <w:t xml:space="preserve">  &lt;restriction base="xsd:int"&gt;</w:t>
      </w:r>
    </w:p>
    <w:p w:rsidR="000A156F" w:rsidRDefault="00A9721F">
      <w:pPr>
        <w:pStyle w:val="Code"/>
      </w:pPr>
      <w:r>
        <w:t xml:space="preserve">    &lt;minInclusive value="0"/&gt;</w:t>
      </w:r>
    </w:p>
    <w:p w:rsidR="000A156F" w:rsidRDefault="00A9721F">
      <w:pPr>
        <w:pStyle w:val="Code"/>
      </w:pPr>
      <w:r>
        <w:t xml:space="preserve">    &lt;maxInclusive v</w:t>
      </w:r>
      <w:r>
        <w:t>alue="202"/&gt;</w:t>
      </w:r>
    </w:p>
    <w:p w:rsidR="000A156F" w:rsidRDefault="00A9721F">
      <w:pPr>
        <w:pStyle w:val="Code"/>
      </w:pPr>
      <w:r>
        <w:t xml:space="preserve">  &lt;/restriction&gt;</w:t>
      </w:r>
    </w:p>
    <w:p w:rsidR="000A156F" w:rsidRDefault="00A9721F">
      <w:pPr>
        <w:pStyle w:val="Code"/>
      </w:pPr>
      <w:r>
        <w:t>&lt;/simpleType&gt;</w:t>
      </w:r>
    </w:p>
    <w:p w:rsidR="000A156F" w:rsidRDefault="00A9721F">
      <w:pPr>
        <w:pStyle w:val="Heading3"/>
      </w:pPr>
      <w:bookmarkStart w:id="4288" w:name="section_97429d90d53344dfb1334f7a0171cae4"/>
      <w:bookmarkStart w:id="4289" w:name="_Toc181685169"/>
      <w:r>
        <w:t>ST_SpId (Shape ID Type)</w:t>
      </w:r>
      <w:bookmarkEnd w:id="4288"/>
      <w:bookmarkEnd w:id="4289"/>
      <w:r>
        <w:fldChar w:fldCharType="begin"/>
      </w:r>
      <w:r>
        <w:instrText xml:space="preserve"> XE "ST_SpId (Shape ID Type)" </w:instrText>
      </w:r>
      <w:r>
        <w:fldChar w:fldCharType="end"/>
      </w:r>
    </w:p>
    <w:p w:rsidR="000A156F" w:rsidRDefault="00A9721F">
      <w:r>
        <w:t>A shape ID has the following characteristics:</w:t>
      </w:r>
    </w:p>
    <w:p w:rsidR="000A156F" w:rsidRDefault="00A9721F">
      <w:pPr>
        <w:pStyle w:val="ListParagraph"/>
        <w:numPr>
          <w:ilvl w:val="0"/>
          <w:numId w:val="236"/>
        </w:numPr>
        <w:contextualSpacing/>
      </w:pPr>
      <w:r>
        <w:t>It begins with “</w:t>
      </w:r>
      <w:r>
        <w:rPr>
          <w:rStyle w:val="InlineCode"/>
        </w:rPr>
        <w:t>_x0000_</w:t>
      </w:r>
      <w:r>
        <w:t>” followed by 1 character and a number: _x0000_[c]&lt;num&gt;</w:t>
      </w:r>
    </w:p>
    <w:p w:rsidR="000A156F" w:rsidRDefault="00A9721F">
      <w:pPr>
        <w:pStyle w:val="ListParagraph"/>
        <w:numPr>
          <w:ilvl w:val="0"/>
          <w:numId w:val="236"/>
        </w:numPr>
        <w:contextualSpacing/>
      </w:pPr>
      <w:r>
        <w:t>The character [c] is:</w:t>
      </w:r>
    </w:p>
    <w:p w:rsidR="000A156F" w:rsidRDefault="00A9721F">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86">
        <w:r>
          <w:rPr>
            <w:rStyle w:val="Hyperlink"/>
          </w:rPr>
          <w:t>[ISO/IEC-29500-4]</w:t>
        </w:r>
      </w:hyperlink>
      <w:r>
        <w:t xml:space="preserve"> §19.1.2.20; shapetype (Shape Template)").</w:t>
      </w:r>
    </w:p>
    <w:p w:rsidR="000A156F" w:rsidRDefault="00A9721F">
      <w:pPr>
        <w:pStyle w:val="ListParagraph"/>
        <w:numPr>
          <w:ilvl w:val="0"/>
          <w:numId w:val="236"/>
        </w:numPr>
        <w:contextualSpacing/>
      </w:pPr>
      <w:r>
        <w:t>‘</w:t>
      </w:r>
      <w:r>
        <w:rPr>
          <w:rStyle w:val="InlineCode"/>
        </w:rPr>
        <w:t>s</w:t>
      </w:r>
      <w:r>
        <w:t>’ when used for a shape.</w:t>
      </w:r>
    </w:p>
    <w:p w:rsidR="000A156F" w:rsidRDefault="00A9721F">
      <w:pPr>
        <w:pStyle w:val="ListParagraph"/>
        <w:numPr>
          <w:ilvl w:val="0"/>
          <w:numId w:val="236"/>
        </w:numPr>
        <w:contextualSpacing/>
      </w:pPr>
      <w:r>
        <w:lastRenderedPageBreak/>
        <w:t>Shape IDs always start at 1025.</w:t>
      </w:r>
    </w:p>
    <w:p w:rsidR="000A156F" w:rsidRDefault="00A9721F">
      <w:pPr>
        <w:pStyle w:val="ListParagraph"/>
        <w:numPr>
          <w:ilvl w:val="0"/>
          <w:numId w:val="236"/>
        </w:numPr>
        <w:contextualSpacing/>
      </w:pPr>
      <w:r>
        <w:t xml:space="preserve">Shape IDs are clustered </w:t>
      </w:r>
      <w:r>
        <w:t>together, and each cluster has 1024 values.  The first cluster ranges from 1025 to 2048.</w:t>
      </w:r>
    </w:p>
    <w:p w:rsidR="000A156F" w:rsidRDefault="00A9721F">
      <w:pPr>
        <w:pStyle w:val="ListParagraph"/>
        <w:numPr>
          <w:ilvl w:val="0"/>
          <w:numId w:val="236"/>
        </w:numPr>
        <w:contextualSpacing/>
      </w:pPr>
      <w:r>
        <w:t>Shape IDs within the same cluster may only exist in:</w:t>
      </w:r>
    </w:p>
    <w:p w:rsidR="000A156F" w:rsidRDefault="00A9721F">
      <w:pPr>
        <w:pStyle w:val="ListParagraph"/>
        <w:numPr>
          <w:ilvl w:val="0"/>
          <w:numId w:val="236"/>
        </w:numPr>
        <w:contextualSpacing/>
      </w:pPr>
      <w:r>
        <w:t>one worksheet, for Excel.</w:t>
      </w:r>
    </w:p>
    <w:p w:rsidR="000A156F" w:rsidRDefault="00A9721F">
      <w:pPr>
        <w:pStyle w:val="ListParagraph"/>
        <w:numPr>
          <w:ilvl w:val="0"/>
          <w:numId w:val="236"/>
        </w:numPr>
        <w:contextualSpacing/>
      </w:pPr>
      <w:r>
        <w:t>one slide, for PowerPoint.</w:t>
      </w:r>
    </w:p>
    <w:p w:rsidR="000A156F" w:rsidRDefault="00A9721F">
      <w:pPr>
        <w:pStyle w:val="ListParagraph"/>
        <w:numPr>
          <w:ilvl w:val="0"/>
          <w:numId w:val="236"/>
        </w:numPr>
        <w:contextualSpacing/>
      </w:pPr>
      <w:r>
        <w:t>one document, for Word.</w:t>
      </w:r>
    </w:p>
    <w:p w:rsidR="000A156F" w:rsidRDefault="00A9721F">
      <w:pPr>
        <w:pStyle w:val="ListParagraph"/>
        <w:numPr>
          <w:ilvl w:val="0"/>
          <w:numId w:val="236"/>
        </w:numPr>
        <w:contextualSpacing/>
      </w:pPr>
      <w:r>
        <w:t>the header, for Word.</w:t>
      </w:r>
    </w:p>
    <w:p w:rsidR="000A156F" w:rsidRDefault="00A9721F">
      <w:pPr>
        <w:pStyle w:val="ListParagraph"/>
        <w:numPr>
          <w:ilvl w:val="0"/>
          <w:numId w:val="236"/>
        </w:numPr>
        <w:contextualSpacing/>
      </w:pPr>
      <w:r>
        <w:t>‘</w:t>
      </w:r>
      <w:r>
        <w:rPr>
          <w:rStyle w:val="InlineCode"/>
        </w:rPr>
        <w:t>s</w:t>
      </w:r>
      <w:r>
        <w:t>’ or ‘</w:t>
      </w:r>
      <w:r>
        <w:rPr>
          <w:rStyle w:val="InlineCode"/>
        </w:rPr>
        <w:t>i</w:t>
      </w:r>
      <w:r>
        <w:t xml:space="preserve">’ for </w:t>
      </w:r>
      <w:r>
        <w:t>shapes that are inline (not floating) in Word.</w:t>
      </w:r>
    </w:p>
    <w:p w:rsidR="000A156F" w:rsidRDefault="00A9721F">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0A156F" w:rsidRDefault="00A9721F">
      <w:pPr>
        <w:pStyle w:val="ListParagraph"/>
        <w:numPr>
          <w:ilvl w:val="0"/>
          <w:numId w:val="236"/>
        </w:numPr>
      </w:pPr>
      <w:r>
        <w:t>It does not contain NCR (Numeric Character Reference) characters.</w:t>
      </w:r>
    </w:p>
    <w:p w:rsidR="000A156F" w:rsidRDefault="00A9721F">
      <w:r>
        <w:t>Office 2007 does not guarantee that the same shape ID that is loaded is preserved on file save.</w:t>
      </w:r>
    </w:p>
    <w:p w:rsidR="000A156F" w:rsidRDefault="00A9721F">
      <w:r>
        <w:t>This si</w:t>
      </w:r>
      <w:r>
        <w:t>mple type's contents are a restriction of the XML Schema string datatype.</w:t>
      </w:r>
    </w:p>
    <w:p w:rsidR="000A156F" w:rsidRDefault="00A9721F">
      <w:r>
        <w:t>The following XML Schema fragment defines the contents of this simple type:</w:t>
      </w:r>
    </w:p>
    <w:p w:rsidR="000A156F" w:rsidRDefault="00A9721F">
      <w:pPr>
        <w:pStyle w:val="Code"/>
      </w:pPr>
      <w:r>
        <w:t>&lt;simpleType name="ST_SpId"&gt;</w:t>
      </w:r>
    </w:p>
    <w:p w:rsidR="000A156F" w:rsidRDefault="00A9721F">
      <w:pPr>
        <w:pStyle w:val="Code"/>
      </w:pPr>
      <w:r>
        <w:t xml:space="preserve">  &lt;restriction base="xsd:string"/&gt;</w:t>
      </w:r>
    </w:p>
    <w:p w:rsidR="000A156F" w:rsidRDefault="00A9721F">
      <w:pPr>
        <w:pStyle w:val="Code"/>
      </w:pPr>
      <w:r>
        <w:t>&lt;/simpleType&gt;</w:t>
      </w:r>
    </w:p>
    <w:p w:rsidR="000A156F" w:rsidRDefault="00A9721F">
      <w:pPr>
        <w:pStyle w:val="Heading2"/>
      </w:pPr>
      <w:bookmarkStart w:id="4290" w:name="section_32be961fd71a4812913fb675c79aa88a"/>
      <w:bookmarkStart w:id="4291" w:name="_Toc181685170"/>
      <w:r>
        <w:t xml:space="preserve">Activating embedded packages </w:t>
      </w:r>
      <w:r>
        <w:t>in Office (Part 1 Section L.7.2 Embeddings)</w:t>
      </w:r>
      <w:bookmarkEnd w:id="4290"/>
      <w:bookmarkEnd w:id="4291"/>
      <w:r>
        <w:fldChar w:fldCharType="begin"/>
      </w:r>
      <w:r>
        <w:instrText xml:space="preserve"> XE "Activating embedded packages in Office (Part 1 Section L.7.2 Embeddings) (Additional Information)" </w:instrText>
      </w:r>
      <w:r>
        <w:fldChar w:fldCharType="end"/>
      </w:r>
    </w:p>
    <w:p w:rsidR="000A156F" w:rsidRDefault="00A9721F">
      <w:pPr>
        <w:shd w:val="clear" w:color="auto" w:fill="FFFFFF"/>
        <w:spacing w:before="0" w:after="0"/>
      </w:pPr>
      <w:r>
        <w:t>When an embedded package (Part 1 Section L.7.2 Embeddings) is encountered and the user requests activation</w:t>
      </w:r>
      <w:r>
        <w:t xml:space="preserve"> of the object, the following procedure is followed:</w:t>
      </w:r>
    </w:p>
    <w:p w:rsidR="000A156F" w:rsidRDefault="00A9721F">
      <w:pPr>
        <w:numPr>
          <w:ilvl w:val="0"/>
          <w:numId w:val="237"/>
        </w:numPr>
        <w:shd w:val="clear" w:color="auto" w:fill="FFFFFF"/>
        <w:spacing w:before="100" w:beforeAutospacing="1" w:after="100" w:afterAutospacing="1"/>
      </w:pPr>
      <w:r>
        <w:t>The content-type for the embedded package is determined by interrogating \[Content_Types].xml in the containing package.</w:t>
      </w:r>
    </w:p>
    <w:p w:rsidR="000A156F" w:rsidRDefault="00A9721F">
      <w:pPr>
        <w:numPr>
          <w:ilvl w:val="0"/>
          <w:numId w:val="237"/>
        </w:numPr>
        <w:shd w:val="clear" w:color="auto" w:fill="FFFFFF"/>
        <w:spacing w:before="100" w:beforeAutospacing="1" w:after="100" w:afterAutospacing="1"/>
      </w:pPr>
      <w:r>
        <w:t>The registered file extension for the content-type is determined by enumerating th</w:t>
      </w:r>
      <w:r>
        <w:t>e Windows registry keys under "HKEY_CLASSES_ROOT\MIME\Database\Content Type" for a key value that matches the content-type.</w:t>
      </w:r>
    </w:p>
    <w:p w:rsidR="000A156F" w:rsidRDefault="00A9721F">
      <w:pPr>
        <w:numPr>
          <w:ilvl w:val="1"/>
          <w:numId w:val="237"/>
        </w:numPr>
        <w:shd w:val="clear" w:color="auto" w:fill="FFFFFF"/>
        <w:spacing w:before="100" w:beforeAutospacing="1" w:after="100" w:afterAutospacing="1"/>
      </w:pPr>
      <w:r>
        <w:t>If a matching key is found, then the value data for the REG_SZ value "Extension" is the extension for the embedded package.</w:t>
      </w:r>
    </w:p>
    <w:p w:rsidR="000A156F" w:rsidRDefault="00A9721F">
      <w:pPr>
        <w:numPr>
          <w:ilvl w:val="1"/>
          <w:numId w:val="237"/>
        </w:numPr>
        <w:shd w:val="clear" w:color="auto" w:fill="FFFFFF"/>
        <w:spacing w:before="100" w:beforeAutospacing="1" w:after="100" w:afterAutospacing="1"/>
      </w:pPr>
      <w:r>
        <w:t xml:space="preserve">If a </w:t>
      </w:r>
      <w:r>
        <w:t>matching key is not found, then the embedded package cannot be activated.</w:t>
      </w:r>
    </w:p>
    <w:p w:rsidR="000A156F" w:rsidRDefault="00A9721F">
      <w:pPr>
        <w:numPr>
          <w:ilvl w:val="0"/>
          <w:numId w:val="237"/>
        </w:numPr>
        <w:shd w:val="clear" w:color="auto" w:fill="FFFFFF"/>
        <w:spacing w:before="100" w:beforeAutospacing="1" w:after="100" w:afterAutospacing="1"/>
      </w:pPr>
      <w:r>
        <w:t>The PROG_ID for the content-type's extensions is determined by querying the Default REG_SZ value for the Windows registry key defined by concatenating HKEY_CLASSES_ROOT with the cont</w:t>
      </w:r>
      <w:r>
        <w:t>ent-type's extension value [Example: if the content-type's extension is ".xlsx", then the Windows registry key to query is "HKEY_CLASSES_ROOT\.xlsx". The Default REG_SZ value for this key is "Excel.Sheet.12". This is the PROG_ID for this content-type.]</w:t>
      </w:r>
    </w:p>
    <w:p w:rsidR="000A156F" w:rsidRDefault="00A9721F">
      <w:pPr>
        <w:numPr>
          <w:ilvl w:val="0"/>
          <w:numId w:val="237"/>
        </w:numPr>
        <w:shd w:val="clear" w:color="auto" w:fill="FFFFFF"/>
        <w:spacing w:before="100" w:beforeAutospacing="1" w:after="100" w:afterAutospacing="1"/>
      </w:pPr>
      <w:r>
        <w:t>The</w:t>
      </w:r>
      <w:r>
        <w:t xml:space="preserve"> CLSID for the content-type is determined by querying the Default REG_SZ value for the Windows registry key defined by concatenating HKEY_CLASSES_ROOT with the content-type's PROG_ID and "CLSID". [Example: if the content-type's PROG_ID is "Excel.Sheet.12",</w:t>
      </w:r>
      <w:r>
        <w:t xml:space="preserve"> then the Windows registry key to query is "HKEY_CLASSES_ROOT\Excel.Sheet.12\CLSID". The Default REG_SZ value for this key is "{00020830-0000-0000-C000-000000000046}".]</w:t>
      </w:r>
    </w:p>
    <w:p w:rsidR="000A156F" w:rsidRDefault="00A9721F">
      <w:pPr>
        <w:numPr>
          <w:ilvl w:val="1"/>
          <w:numId w:val="237"/>
        </w:numPr>
        <w:shd w:val="clear" w:color="auto" w:fill="FFFFFF"/>
        <w:spacing w:before="100" w:beforeAutospacing="1" w:after="100" w:afterAutospacing="1"/>
      </w:pPr>
      <w:r>
        <w:t>If the CLSID value is any of the following values, activation will fail:</w:t>
      </w:r>
    </w:p>
    <w:p w:rsidR="000A156F" w:rsidRDefault="00A9721F">
      <w:pPr>
        <w:numPr>
          <w:ilvl w:val="2"/>
          <w:numId w:val="237"/>
        </w:numPr>
        <w:shd w:val="clear" w:color="auto" w:fill="FFFFFF"/>
        <w:spacing w:before="100" w:beforeAutospacing="1" w:after="100" w:afterAutospacing="1"/>
      </w:pPr>
      <w:r>
        <w:t>"{000CEEDB-000</w:t>
      </w:r>
      <w:r>
        <w:t>0-0000-C000-000000000046}"</w:t>
      </w:r>
    </w:p>
    <w:p w:rsidR="000A156F" w:rsidRDefault="00A9721F">
      <w:pPr>
        <w:numPr>
          <w:ilvl w:val="2"/>
          <w:numId w:val="237"/>
        </w:numPr>
        <w:shd w:val="clear" w:color="auto" w:fill="FFFFFF"/>
        <w:spacing w:before="100" w:beforeAutospacing="1" w:after="100" w:afterAutospacing="1"/>
      </w:pPr>
      <w:r>
        <w:t>"{000CEEDA-0000-0000-C000-000000000046}"</w:t>
      </w:r>
    </w:p>
    <w:p w:rsidR="000A156F" w:rsidRDefault="00A9721F">
      <w:pPr>
        <w:numPr>
          <w:ilvl w:val="2"/>
          <w:numId w:val="237"/>
        </w:numPr>
        <w:shd w:val="clear" w:color="auto" w:fill="FFFFFF"/>
        <w:spacing w:before="100" w:beforeAutospacing="1" w:after="100" w:afterAutospacing="1"/>
      </w:pPr>
      <w:r>
        <w:t>"{637b1c13-8617-4985-8fe7-e66935ba677d}"</w:t>
      </w:r>
    </w:p>
    <w:p w:rsidR="000A156F" w:rsidRDefault="00A9721F">
      <w:pPr>
        <w:numPr>
          <w:ilvl w:val="0"/>
          <w:numId w:val="237"/>
        </w:numPr>
        <w:shd w:val="clear" w:color="auto" w:fill="FFFFFF"/>
        <w:spacing w:before="100" w:beforeAutospacing="1" w:after="100" w:afterAutospacing="1"/>
      </w:pPr>
      <w:r>
        <w:t>The MainPartContentType for the content-type is determined by querying the MainPartContentType registry value under the registry key defined by con</w:t>
      </w:r>
      <w:r>
        <w:t>catenating HKEY_CLASSES_ROOT\CLSID with the CLSID value for the content-type with "MainPartContentType". [Example: if the CLSID value for the content-type is "{00020830-0000-0000-C000-000000000046}", then the Windows registry value to query is "HKEY_CLASSE</w:t>
      </w:r>
      <w:r>
        <w:t>S_ROOT\CLSID\{00020830-0000-0000-C000-000000000046}\MainPartContentType".]</w:t>
      </w:r>
    </w:p>
    <w:p w:rsidR="000A156F" w:rsidRDefault="00A9721F">
      <w:pPr>
        <w:numPr>
          <w:ilvl w:val="1"/>
          <w:numId w:val="237"/>
        </w:numPr>
        <w:shd w:val="clear" w:color="auto" w:fill="FFFFFF"/>
        <w:spacing w:before="100" w:beforeAutospacing="1" w:after="100" w:afterAutospacing="1"/>
      </w:pPr>
      <w:r>
        <w:t>If this value does not exist, this step is skipped and activation will continue.</w:t>
      </w:r>
    </w:p>
    <w:p w:rsidR="000A156F" w:rsidRDefault="00A9721F">
      <w:pPr>
        <w:numPr>
          <w:ilvl w:val="1"/>
          <w:numId w:val="237"/>
        </w:numPr>
        <w:shd w:val="clear" w:color="auto" w:fill="FFFFFF"/>
        <w:spacing w:before="100" w:beforeAutospacing="1" w:after="100" w:afterAutospacing="1"/>
      </w:pPr>
      <w:r>
        <w:lastRenderedPageBreak/>
        <w:t>If this value does exist, then the embedded package MUST meet the following conditions. If any of th</w:t>
      </w:r>
      <w:r>
        <w:t>ese conditions are not true, then activation of the embedded package will fail.</w:t>
      </w:r>
    </w:p>
    <w:p w:rsidR="000A156F" w:rsidRDefault="00A9721F">
      <w:pPr>
        <w:numPr>
          <w:ilvl w:val="2"/>
          <w:numId w:val="237"/>
        </w:numPr>
        <w:shd w:val="clear" w:color="auto" w:fill="FFFFFF"/>
        <w:spacing w:before="100" w:beforeAutospacing="1" w:after="100" w:afterAutospacing="1"/>
      </w:pPr>
      <w:r>
        <w:t>A single relationship of type "http://purl.oclc.org/ooxml/officeDocument/relationships/officeDocument"  ("http://schemas.openxmlformats.org/officeDocument/2006/relationships/of</w:t>
      </w:r>
      <w:r>
        <w:t>ficeDocument" for packages conforming to Part 4, Transitional Migration Features) MUST exist from the root of the package (\_rels\.rels) to the part considered to be the Main Part for the package.</w:t>
      </w:r>
    </w:p>
    <w:p w:rsidR="000A156F" w:rsidRDefault="00A9721F">
      <w:pPr>
        <w:numPr>
          <w:ilvl w:val="2"/>
          <w:numId w:val="237"/>
        </w:numPr>
        <w:shd w:val="clear" w:color="auto" w:fill="FFFFFF"/>
        <w:spacing w:before="100" w:beforeAutospacing="1" w:after="100" w:afterAutospacing="1"/>
      </w:pPr>
      <w:r>
        <w:t>The content-type for the Main Part must be the same as the </w:t>
      </w:r>
      <w:r>
        <w:t>MainPartContentType determined in step 5.</w:t>
      </w:r>
    </w:p>
    <w:p w:rsidR="000A156F" w:rsidRDefault="00A9721F">
      <w:pPr>
        <w:numPr>
          <w:ilvl w:val="0"/>
          <w:numId w:val="237"/>
        </w:numPr>
        <w:shd w:val="clear" w:color="auto" w:fill="FFFFFF"/>
        <w:spacing w:before="100" w:beforeAutospacing="1" w:after="100" w:afterAutospacing="1"/>
      </w:pPr>
      <w:r>
        <w:t>With the CLSID identified for the embedded package, and the (optional) validation complete in Step 5, the application will activate the embedded package using Windows OLE technologies.</w:t>
      </w:r>
    </w:p>
    <w:p w:rsidR="000A156F" w:rsidRDefault="00A9721F">
      <w:pPr>
        <w:spacing w:before="0" w:after="0"/>
      </w:pPr>
      <w:r>
        <w:t>During Save, when an embedded</w:t>
      </w:r>
      <w:r>
        <w:t xml:space="preserve"> object is encountered, the following procedure is used:</w:t>
      </w:r>
    </w:p>
    <w:p w:rsidR="000A156F" w:rsidRDefault="00A9721F">
      <w:pPr>
        <w:numPr>
          <w:ilvl w:val="0"/>
          <w:numId w:val="238"/>
        </w:numPr>
        <w:shd w:val="clear" w:color="auto" w:fill="FFFFFF"/>
        <w:spacing w:before="100" w:beforeAutospacing="1" w:after="100" w:afterAutospacing="1"/>
      </w:pPr>
      <w:r>
        <w:t>The IPersistStorageType for the object is determined by querying the IPersistStorageType registry value under the registry key defined by concatenating HKEY_CLASSES_ROOT\CLSID with the CLSID value fo</w:t>
      </w:r>
      <w:r>
        <w:t>r the content-type with "IPersistStorageType". [Example: if the CLSID value for the content-type is "{00020830-0000-0000-C000-000000000046}", then the Windows registry value to query is "HKEY_CLASSES_ROOT\CLSID\{00020830-0000-0000-C000-000000000046}\IPersi</w:t>
      </w:r>
      <w:r>
        <w:t>stStorageType".]</w:t>
      </w:r>
    </w:p>
    <w:p w:rsidR="000A156F" w:rsidRDefault="00A9721F">
      <w:pPr>
        <w:numPr>
          <w:ilvl w:val="1"/>
          <w:numId w:val="238"/>
        </w:numPr>
        <w:shd w:val="clear" w:color="auto" w:fill="FFFFFF"/>
        <w:spacing w:before="100" w:beforeAutospacing="1" w:after="100" w:afterAutospacing="1"/>
      </w:pPr>
      <w:r>
        <w:t>If the value does not exist, this procedure is skipped and regular object save will continue.</w:t>
      </w:r>
    </w:p>
    <w:p w:rsidR="000A156F" w:rsidRDefault="00A9721F">
      <w:pPr>
        <w:numPr>
          <w:ilvl w:val="1"/>
          <w:numId w:val="238"/>
        </w:numPr>
        <w:shd w:val="clear" w:color="auto" w:fill="FFFFFF"/>
        <w:spacing w:before="100" w:beforeAutospacing="1" w:after="100" w:afterAutospacing="1"/>
      </w:pPr>
      <w:r>
        <w:t>If the value is not 2, this procedure does not apply and regular object save will continue.</w:t>
      </w:r>
    </w:p>
    <w:p w:rsidR="000A156F" w:rsidRDefault="00A9721F">
      <w:pPr>
        <w:numPr>
          <w:ilvl w:val="1"/>
          <w:numId w:val="238"/>
        </w:numPr>
        <w:shd w:val="clear" w:color="auto" w:fill="FFFFFF"/>
        <w:spacing w:before="100" w:beforeAutospacing="1" w:after="100" w:afterAutospacing="1"/>
      </w:pPr>
      <w:r>
        <w:t>The object MUST have a "Package" stream or saving the</w:t>
      </w:r>
      <w:r>
        <w:t xml:space="preserve"> document will fail.</w:t>
      </w:r>
    </w:p>
    <w:p w:rsidR="000A156F" w:rsidRDefault="00A9721F">
      <w:pPr>
        <w:numPr>
          <w:ilvl w:val="0"/>
          <w:numId w:val="238"/>
        </w:numPr>
        <w:shd w:val="clear" w:color="auto" w:fill="FFFFFF"/>
        <w:spacing w:before="100" w:beforeAutospacing="1" w:after="100" w:afterAutospacing="1"/>
      </w:pPr>
      <w:r>
        <w:t xml:space="preserve">The extension to use for the embedded package part will be determined by querying the (default) registry value under the DefaultExtension key under same CLSID path as above. [Example: if the CLSID value for the content-type is </w:t>
      </w:r>
      <w:r>
        <w:t>"{00020830-0000-0000-C000-000000000046}", then the Windows registry value to query is "HKEY_CLASSES_ROOT\CLSID\{00020830-0000-0000-C000-000000000046}\DefaultExtension\(default)".]</w:t>
      </w:r>
    </w:p>
    <w:p w:rsidR="000A156F" w:rsidRDefault="00A9721F">
      <w:pPr>
        <w:numPr>
          <w:ilvl w:val="1"/>
          <w:numId w:val="238"/>
        </w:numPr>
        <w:shd w:val="clear" w:color="auto" w:fill="FFFFFF"/>
        <w:spacing w:before="100" w:beforeAutospacing="1" w:after="100" w:afterAutospacing="1"/>
      </w:pPr>
      <w:r>
        <w:t>If the above value does not exist, saving the document will fail.</w:t>
      </w:r>
    </w:p>
    <w:p w:rsidR="000A156F" w:rsidRDefault="00A9721F">
      <w:pPr>
        <w:numPr>
          <w:ilvl w:val="1"/>
          <w:numId w:val="238"/>
        </w:numPr>
        <w:shd w:val="clear" w:color="auto" w:fill="FFFFFF"/>
        <w:spacing w:before="100" w:beforeAutospacing="1" w:after="100" w:afterAutospacing="1"/>
      </w:pPr>
      <w:r>
        <w:t>The regist</w:t>
      </w:r>
      <w:r>
        <w:t>ry value will be truncated at the first comma and the first char will be replaced with a '.'. [Example: if the registry value is ".docx, Word Document", the extension will be ".docx"]</w:t>
      </w:r>
    </w:p>
    <w:p w:rsidR="000A156F" w:rsidRDefault="00A9721F">
      <w:pPr>
        <w:numPr>
          <w:ilvl w:val="0"/>
          <w:numId w:val="238"/>
        </w:numPr>
        <w:shd w:val="clear" w:color="auto" w:fill="FFFFFF"/>
        <w:spacing w:before="100" w:beforeAutospacing="1" w:after="100" w:afterAutospacing="1"/>
      </w:pPr>
      <w:r>
        <w:t>The content-type to use for the embedded package part will be determined</w:t>
      </w:r>
      <w:r>
        <w:t xml:space="preserve"> by querying the "Content Type" registry value under the registry key defined by concatenating HKEY_CLASSES_ROOT with the extension determined above. [Example: if the extension is ".docx", then the Windows registry value to query is "HKEY_CLASSES_ROOT\.doc</w:t>
      </w:r>
      <w:r>
        <w:t>x\Content Type".]</w:t>
      </w:r>
    </w:p>
    <w:p w:rsidR="000A156F" w:rsidRDefault="00A9721F">
      <w:pPr>
        <w:numPr>
          <w:ilvl w:val="1"/>
          <w:numId w:val="238"/>
        </w:numPr>
        <w:shd w:val="clear" w:color="auto" w:fill="FFFFFF"/>
        <w:spacing w:before="100" w:beforeAutospacing="1" w:after="100" w:afterAutospacing="1"/>
      </w:pPr>
      <w:r>
        <w:t>If the above value does not exist, saving the document will fail.</w:t>
      </w:r>
    </w:p>
    <w:p w:rsidR="000A156F" w:rsidRDefault="00A9721F">
      <w:pPr>
        <w:pStyle w:val="ListParagraph"/>
        <w:numPr>
          <w:ilvl w:val="0"/>
          <w:numId w:val="238"/>
        </w:numPr>
        <w:spacing w:before="0" w:after="0"/>
      </w:pPr>
      <w:r>
        <w:t>The "Package" stream in the embedded object is copied into the embedded package part in the main document.</w:t>
      </w:r>
    </w:p>
    <w:p w:rsidR="000A156F" w:rsidRDefault="00A9721F">
      <w:pPr>
        <w:pStyle w:val="Heading2"/>
      </w:pPr>
      <w:bookmarkStart w:id="4292" w:name="section_96cf335c22d94dfca08a72558e12983b"/>
      <w:bookmarkStart w:id="4293" w:name="_Toc181685171"/>
      <w:r>
        <w:t>Reserved Custom File Properties</w:t>
      </w:r>
      <w:bookmarkEnd w:id="4292"/>
      <w:bookmarkEnd w:id="4293"/>
      <w:r>
        <w:fldChar w:fldCharType="begin"/>
      </w:r>
      <w:r>
        <w:instrText xml:space="preserve"> XE "Reserved Custom File Properti</w:instrText>
      </w:r>
      <w:r>
        <w:instrText xml:space="preserve">es (Additional Information)" </w:instrText>
      </w:r>
      <w:r>
        <w:fldChar w:fldCharType="end"/>
      </w:r>
    </w:p>
    <w:p w:rsidR="000A156F" w:rsidRDefault="00A9721F">
      <w:r>
        <w:t>The standard does not specify any predefined Custom File Properties (“</w:t>
      </w:r>
      <w:hyperlink r:id="rId387">
        <w:r>
          <w:rPr>
            <w:rStyle w:val="Hyperlink"/>
          </w:rPr>
          <w:t>[ISO/IEC-29500-1]</w:t>
        </w:r>
      </w:hyperlink>
      <w:r>
        <w:t xml:space="preserve"> §15.2.12.2; Custom File Properties Part"). A number of Custom File Pro</w:t>
      </w:r>
      <w:r>
        <w:t>perties are reserved for use by Excel, Word, and PowerPoint. These names must only be used to specify the data for which the names are reserved. All of these properties are optional and can be absent.</w:t>
      </w:r>
    </w:p>
    <w:p w:rsidR="000A156F" w:rsidRDefault="00A9721F">
      <w:pPr>
        <w:pStyle w:val="Heading3"/>
      </w:pPr>
      <w:bookmarkStart w:id="4294" w:name="section_4c51186afa0e45b39882fef8b3388cab"/>
      <w:bookmarkStart w:id="4295" w:name="_Toc181685172"/>
      <w:r>
        <w:t>Shared Reserved Properties</w:t>
      </w:r>
      <w:bookmarkEnd w:id="4294"/>
      <w:bookmarkEnd w:id="4295"/>
      <w:r>
        <w:fldChar w:fldCharType="begin"/>
      </w:r>
      <w:r>
        <w:instrText xml:space="preserve"> XE "Shared Reserved Properti</w:instrText>
      </w:r>
      <w:r>
        <w:instrText xml:space="preserve">es" </w:instrText>
      </w:r>
      <w:r>
        <w:fldChar w:fldCharType="end"/>
      </w:r>
    </w:p>
    <w:p w:rsidR="000A156F" w:rsidRDefault="00A9721F">
      <w:r>
        <w:t xml:space="preserve">Many of the properties reserved in documents conforming to the Office Open XML File Formats </w:t>
      </w:r>
      <w:hyperlink r:id="rId388">
        <w:r>
          <w:rPr>
            <w:rStyle w:val="Hyperlink"/>
          </w:rPr>
          <w:t>[ISO/IEC-29500-1]</w:t>
        </w:r>
      </w:hyperlink>
      <w:r>
        <w:t xml:space="preserve"> are also reserved in older file formats used by Microsoft Office. The pro</w:t>
      </w:r>
      <w:r>
        <w:t>perties enumerated in Reserved Properties (</w:t>
      </w:r>
      <w:hyperlink r:id="rId389" w:anchor="Section_d93502fa5b8f4f47a3fe5574046f4b8d">
        <w:r>
          <w:rPr>
            <w:rStyle w:val="Hyperlink"/>
          </w:rPr>
          <w:t>[MS-OSHARED]</w:t>
        </w:r>
      </w:hyperlink>
      <w:r>
        <w:t xml:space="preserve"> §2.3.3.2.3.2; Reserved Properties) are also reserved in documents conforming to [ISO/IEC-29500-1].</w:t>
      </w:r>
    </w:p>
    <w:p w:rsidR="000A156F" w:rsidRDefault="00A9721F">
      <w:pPr>
        <w:pStyle w:val="Heading3"/>
      </w:pPr>
      <w:bookmarkStart w:id="4296" w:name="section_85388ac6fb554017828c2680e3ab22ba"/>
      <w:bookmarkStart w:id="4297" w:name="_Toc181685173"/>
      <w:r>
        <w:lastRenderedPageBreak/>
        <w:t>Sensitivity Label P</w:t>
      </w:r>
      <w:r>
        <w:t>roperties</w:t>
      </w:r>
      <w:bookmarkEnd w:id="4296"/>
      <w:bookmarkEnd w:id="4297"/>
      <w:r>
        <w:fldChar w:fldCharType="begin"/>
      </w:r>
      <w:r>
        <w:instrText xml:space="preserve"> XE "Sensitivity Label Properties" </w:instrText>
      </w:r>
      <w:r>
        <w:fldChar w:fldCharType="end"/>
      </w:r>
    </w:p>
    <w:p w:rsidR="000A156F" w:rsidRDefault="00A9721F">
      <w:r>
        <w:t>Excel, Word, and PowerPoint may add specific Custom File Properties if a sensitivity label is applied.</w:t>
      </w:r>
    </w:p>
    <w:p w:rsidR="000A156F" w:rsidRDefault="00A9721F">
      <w:r>
        <w:t>Excel, Word, and PowerPoint may persist metadata from the Microsoft Information Protection Software Develo</w:t>
      </w:r>
      <w:r>
        <w:t>pment Kit to Custom File Properties. Additionally, the property name "Sensitivity" is written and set to the GUID of the label ID applied to the file. The label ID is given by the Microsoft Information Protection Software Development Kit corresponding to t</w:t>
      </w:r>
      <w:r>
        <w:t>he applied label.</w:t>
      </w:r>
    </w:p>
    <w:p w:rsidR="000A156F" w:rsidRDefault="00A9721F">
      <w:r>
        <w:t>Word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4768" w:type="dxa"/>
          </w:tcPr>
          <w:p w:rsidR="000A156F" w:rsidRDefault="00A9721F">
            <w:pPr>
              <w:pStyle w:val="TableHeaderText"/>
            </w:pPr>
            <w:r>
              <w:t>Custom Property Name</w:t>
            </w:r>
          </w:p>
        </w:tc>
        <w:tc>
          <w:tcPr>
            <w:tcW w:w="4707" w:type="dxa"/>
          </w:tcPr>
          <w:p w:rsidR="000A156F" w:rsidRDefault="00A9721F">
            <w:pPr>
              <w:pStyle w:val="TableHeaderText"/>
            </w:pPr>
            <w:r>
              <w:t>Value Description</w:t>
            </w:r>
          </w:p>
        </w:tc>
      </w:tr>
      <w:tr w:rsidR="000A156F" w:rsidTr="000A156F">
        <w:tc>
          <w:tcPr>
            <w:tcW w:w="4768" w:type="dxa"/>
          </w:tcPr>
          <w:p w:rsidR="000A156F" w:rsidRDefault="00A9721F">
            <w:pPr>
              <w:pStyle w:val="TableBodyText"/>
            </w:pPr>
            <w:r>
              <w:t>ClassificationContentMarkingHeaderFontProps</w:t>
            </w:r>
          </w:p>
        </w:tc>
        <w:tc>
          <w:tcPr>
            <w:tcW w:w="4707" w:type="dxa"/>
          </w:tcPr>
          <w:p w:rsidR="000A156F" w:rsidRDefault="00A9721F">
            <w:pPr>
              <w:pStyle w:val="TableBodyText"/>
            </w:pPr>
            <w:r>
              <w:t xml:space="preserve">Written if the sensitivity label </w:t>
            </w:r>
            <w:r>
              <w:t>applied indicates that a header should be applied. The value is a # followed by the header text color in RRGGBB format, where RR, GG, and BB each represent a hexadecimal number indicating the amount of red (RR), green (GG), and blue (BB) to display on a sc</w:t>
            </w:r>
            <w:r>
              <w:t>ale of 0 (none) to FF (all). For example, #000000 indicates black and #FFFFFF indicates white. This is followed by a comma and the text font size in points, another comma, and the text font face name.</w:t>
            </w:r>
          </w:p>
        </w:tc>
      </w:tr>
      <w:tr w:rsidR="000A156F" w:rsidTr="000A156F">
        <w:tc>
          <w:tcPr>
            <w:tcW w:w="4768" w:type="dxa"/>
          </w:tcPr>
          <w:p w:rsidR="000A156F" w:rsidRDefault="00A9721F">
            <w:pPr>
              <w:pStyle w:val="TableBodyText"/>
            </w:pPr>
            <w:r>
              <w:t>ClassificationContentMarkingHeaderShapeIds</w:t>
            </w:r>
          </w:p>
        </w:tc>
        <w:tc>
          <w:tcPr>
            <w:tcW w:w="4707" w:type="dxa"/>
          </w:tcPr>
          <w:p w:rsidR="000A156F" w:rsidRDefault="00A9721F">
            <w:pPr>
              <w:pStyle w:val="TableBodyText"/>
            </w:pPr>
            <w:r>
              <w:t xml:space="preserve">Written if </w:t>
            </w:r>
            <w:r>
              <w:t>the sensitivity label applied indicates that a header should be applied. The value is a comma separated list of shape IDs, written in hexadecimal without the leading 0x, which comprise the shapes which are used to render the headers.</w:t>
            </w:r>
          </w:p>
        </w:tc>
      </w:tr>
      <w:tr w:rsidR="000A156F" w:rsidTr="000A156F">
        <w:tc>
          <w:tcPr>
            <w:tcW w:w="4768" w:type="dxa"/>
          </w:tcPr>
          <w:p w:rsidR="000A156F" w:rsidRDefault="00A9721F">
            <w:pPr>
              <w:pStyle w:val="TableBodyText"/>
            </w:pPr>
            <w:r>
              <w:t>ClassificationContent</w:t>
            </w:r>
            <w:r>
              <w:t>MarkingHeaderShapeIds-</w:t>
            </w:r>
            <w:r>
              <w:rPr>
                <w:b/>
                <w:i/>
              </w:rPr>
              <w:t>&lt;suffix&gt;</w:t>
            </w:r>
          </w:p>
        </w:tc>
        <w:tc>
          <w:tcPr>
            <w:tcW w:w="4707" w:type="dxa"/>
          </w:tcPr>
          <w:p w:rsidR="000A156F" w:rsidRDefault="00A9721F">
            <w:pPr>
              <w:pStyle w:val="TableBodyText"/>
            </w:pPr>
            <w:r>
              <w:t xml:space="preserve">Written if the ClassificationContentMarkingHeaderShapeIds Custom File Property is written and the value grows too long because of the number of shapes inserted in the file. </w:t>
            </w:r>
            <w:r>
              <w:rPr>
                <w:b/>
                <w:i/>
              </w:rPr>
              <w:t>&lt;Suffix&gt;</w:t>
            </w:r>
            <w:r>
              <w:t xml:space="preserve"> is a hexadecimal number without the leading</w:t>
            </w:r>
            <w:r>
              <w:t xml:space="preserve"> 0x that starts with 1 and increments by 1. For example, ClassificationContentMarkingHeaderShapeIds-1 is written if ClassificationContentMarkingHeaderShapeIds Custom File Property is written and the value is too large because of the number of shapes insert</w:t>
            </w:r>
            <w:r>
              <w:t>ed in the file. ClassificationContentMarkingHeaderShapeIds-2 is written if ClassificationContentMarkingHeaderShapeIds-1 Custom File Property is written and the value is too large because of the number of shapes inserted in the file.</w:t>
            </w:r>
          </w:p>
        </w:tc>
      </w:tr>
      <w:tr w:rsidR="000A156F" w:rsidTr="000A156F">
        <w:tc>
          <w:tcPr>
            <w:tcW w:w="4768" w:type="dxa"/>
          </w:tcPr>
          <w:p w:rsidR="000A156F" w:rsidRDefault="00A9721F">
            <w:pPr>
              <w:pStyle w:val="TableBodyText"/>
            </w:pPr>
            <w:r>
              <w:t>ClassificationContentM</w:t>
            </w:r>
            <w:r>
              <w:t>arkingHeaderText</w:t>
            </w:r>
          </w:p>
        </w:tc>
        <w:tc>
          <w:tcPr>
            <w:tcW w:w="4707" w:type="dxa"/>
          </w:tcPr>
          <w:p w:rsidR="000A156F" w:rsidRDefault="00A9721F">
            <w:pPr>
              <w:pStyle w:val="TableBodyText"/>
            </w:pPr>
            <w:r>
              <w:t>Written if the sensitivity label applied indicates that a header should be applied. The value is the header text displayed in the document as part of applying the sensitivity label.</w:t>
            </w:r>
          </w:p>
        </w:tc>
      </w:tr>
      <w:tr w:rsidR="000A156F" w:rsidTr="000A156F">
        <w:tc>
          <w:tcPr>
            <w:tcW w:w="4768" w:type="dxa"/>
          </w:tcPr>
          <w:p w:rsidR="000A156F" w:rsidRDefault="00A9721F">
            <w:pPr>
              <w:pStyle w:val="TableBodyText"/>
            </w:pPr>
            <w:r>
              <w:t>ClassificationContentMarkingFooterFontProps</w:t>
            </w:r>
          </w:p>
        </w:tc>
        <w:tc>
          <w:tcPr>
            <w:tcW w:w="4707" w:type="dxa"/>
          </w:tcPr>
          <w:p w:rsidR="000A156F" w:rsidRDefault="00A9721F">
            <w:pPr>
              <w:pStyle w:val="TableBodyText"/>
            </w:pPr>
            <w:r>
              <w:t>Written if t</w:t>
            </w:r>
            <w:r>
              <w:t>he sensitivity label applied indicates that a footer should be applied. The value is a # followed by the footer text color in RRGGBB format, where RR, GG, and BB each represent a hexadecimal number indicating the amount of red (RR), green (GG), and blue (B</w:t>
            </w:r>
            <w:r>
              <w:t xml:space="preserve">B) to display on a scale of 0 (none) to FF (all). For example, #000000 indicates black and #FFFFFF indicates white. This is followed by a comma and the text font size in points, another comma, and the text </w:t>
            </w:r>
            <w:r>
              <w:lastRenderedPageBreak/>
              <w:t>font face name.</w:t>
            </w:r>
          </w:p>
        </w:tc>
      </w:tr>
      <w:tr w:rsidR="000A156F" w:rsidTr="000A156F">
        <w:tc>
          <w:tcPr>
            <w:tcW w:w="4768" w:type="dxa"/>
          </w:tcPr>
          <w:p w:rsidR="000A156F" w:rsidRDefault="00A9721F">
            <w:pPr>
              <w:pStyle w:val="TableBodyText"/>
            </w:pPr>
            <w:r>
              <w:lastRenderedPageBreak/>
              <w:t>ClassificationContentMarkingFoote</w:t>
            </w:r>
            <w:r>
              <w:t>rShapeIds</w:t>
            </w:r>
          </w:p>
        </w:tc>
        <w:tc>
          <w:tcPr>
            <w:tcW w:w="4707" w:type="dxa"/>
          </w:tcPr>
          <w:p w:rsidR="000A156F" w:rsidRDefault="00A9721F">
            <w:pPr>
              <w:pStyle w:val="TableBodyText"/>
            </w:pPr>
            <w:r>
              <w:t>Written if the sensitivity label applied indicates that a footer should be applied. The value is a comma separated list of shape IDs, written in hexadecimal without the leading 0x, which comprise the shapes which are used to render the footers.</w:t>
            </w:r>
          </w:p>
        </w:tc>
      </w:tr>
      <w:tr w:rsidR="000A156F" w:rsidTr="000A156F">
        <w:tc>
          <w:tcPr>
            <w:tcW w:w="4768" w:type="dxa"/>
          </w:tcPr>
          <w:p w:rsidR="000A156F" w:rsidRDefault="00A9721F">
            <w:pPr>
              <w:pStyle w:val="TableBodyText"/>
            </w:pPr>
            <w:r>
              <w:t>ClassificationContentMarkingFooterShapeIds-</w:t>
            </w:r>
            <w:r>
              <w:rPr>
                <w:b/>
                <w:i/>
              </w:rPr>
              <w:t>&lt;suffix&gt;</w:t>
            </w:r>
          </w:p>
        </w:tc>
        <w:tc>
          <w:tcPr>
            <w:tcW w:w="4707" w:type="dxa"/>
          </w:tcPr>
          <w:p w:rsidR="000A156F" w:rsidRDefault="00A9721F">
            <w:pPr>
              <w:pStyle w:val="TableBodyText"/>
            </w:pPr>
            <w:r>
              <w:t xml:space="preserve">Written if the ClassificationContentMarkingFooterShapeIds Custom File Property is written and the value grows too long because of the number of shapes inserted in the file. </w:t>
            </w:r>
            <w:r>
              <w:rPr>
                <w:b/>
                <w:i/>
              </w:rPr>
              <w:t>&lt;Suffix&gt;</w:t>
            </w:r>
            <w:r>
              <w:t xml:space="preserve"> is a hexadecimal numbe</w:t>
            </w:r>
            <w:r>
              <w:t>r without the leading 0x that starts with 1 and increments by 1. For example, ClassificationContentMarkingHeaderShapeIds-1 is written if ClassificationContentMarkingFooterShapeIds Custom File Property is written and the value is too large because of the nu</w:t>
            </w:r>
            <w:r>
              <w:t>mber of shapes inserted in the file. ClassificationContentMarkingFooterShapeIds-2 is written if ClassificationContentMarkingFooterShapeIds-1 Custom File Property is written and the value is too large because of the number of shapes inserted in the file.</w:t>
            </w:r>
          </w:p>
        </w:tc>
      </w:tr>
      <w:tr w:rsidR="000A156F" w:rsidTr="000A156F">
        <w:tc>
          <w:tcPr>
            <w:tcW w:w="4768" w:type="dxa"/>
          </w:tcPr>
          <w:p w:rsidR="000A156F" w:rsidRDefault="00A9721F">
            <w:pPr>
              <w:pStyle w:val="TableBodyText"/>
            </w:pPr>
            <w:r>
              <w:t>C</w:t>
            </w:r>
            <w:r>
              <w:t>lassificationContentMarkingFooterText</w:t>
            </w:r>
          </w:p>
        </w:tc>
        <w:tc>
          <w:tcPr>
            <w:tcW w:w="4707" w:type="dxa"/>
          </w:tcPr>
          <w:p w:rsidR="000A156F" w:rsidRDefault="00A9721F">
            <w:pPr>
              <w:pStyle w:val="TableBodyText"/>
            </w:pPr>
            <w:r>
              <w:t>Written if the sensitivity label applied indicates that a footer should be applied. The value is the footer text displayed in the document as part of applying the sensitivity label.</w:t>
            </w:r>
          </w:p>
        </w:tc>
      </w:tr>
      <w:tr w:rsidR="000A156F" w:rsidTr="000A156F">
        <w:tc>
          <w:tcPr>
            <w:tcW w:w="4768" w:type="dxa"/>
          </w:tcPr>
          <w:p w:rsidR="000A156F" w:rsidRDefault="00A9721F">
            <w:pPr>
              <w:pStyle w:val="TableBodyText"/>
            </w:pPr>
            <w:r>
              <w:t>ClassificationWatermarkFontProps</w:t>
            </w:r>
          </w:p>
        </w:tc>
        <w:tc>
          <w:tcPr>
            <w:tcW w:w="4707" w:type="dxa"/>
          </w:tcPr>
          <w:p w:rsidR="000A156F" w:rsidRDefault="00A9721F">
            <w:pPr>
              <w:pStyle w:val="TableBodyText"/>
            </w:pPr>
            <w:r>
              <w:t>Wr</w:t>
            </w:r>
            <w:r>
              <w:t>itten if the sensitivity label applied indicates that a watermark should be applied. The value is a # followed by the watermark text color in RRGGBB format, where RR, GG, and BB each represent a hexadecimal number indicating the amount of red (RR), green (</w:t>
            </w:r>
            <w:r>
              <w:t>GG), and blue (BB) to display on a scale of 0 (none) to FF (all). For example, #000000 indicates black and #FFFFFF indicates white. This is followed by a comma and the text font size in points, another comma, and the text font face name.</w:t>
            </w:r>
          </w:p>
        </w:tc>
      </w:tr>
      <w:tr w:rsidR="000A156F" w:rsidTr="000A156F">
        <w:tc>
          <w:tcPr>
            <w:tcW w:w="4768" w:type="dxa"/>
          </w:tcPr>
          <w:p w:rsidR="000A156F" w:rsidRDefault="00A9721F">
            <w:pPr>
              <w:pStyle w:val="TableBodyText"/>
            </w:pPr>
            <w:r>
              <w:t>ClassificationWat</w:t>
            </w:r>
            <w:r>
              <w:t>ermarkShapeIds</w:t>
            </w:r>
          </w:p>
        </w:tc>
        <w:tc>
          <w:tcPr>
            <w:tcW w:w="4707" w:type="dxa"/>
          </w:tcPr>
          <w:p w:rsidR="000A156F" w:rsidRDefault="00A9721F">
            <w:pPr>
              <w:pStyle w:val="TableBodyText"/>
            </w:pPr>
            <w:r>
              <w:t>Written if the sensitivity label applied indicates that a watermark should be applied. The value is a comma separated list of shape IDs, written in hexadecimal without the leading 0x, which comprise the shapes which are used to render the wa</w:t>
            </w:r>
            <w:r>
              <w:t>termarks.</w:t>
            </w:r>
          </w:p>
        </w:tc>
      </w:tr>
      <w:tr w:rsidR="000A156F" w:rsidTr="000A156F">
        <w:tc>
          <w:tcPr>
            <w:tcW w:w="4768" w:type="dxa"/>
          </w:tcPr>
          <w:p w:rsidR="000A156F" w:rsidRDefault="00A9721F">
            <w:pPr>
              <w:pStyle w:val="TableBodyText"/>
            </w:pPr>
            <w:r>
              <w:t>ClassificationWatermarkShapeIds-</w:t>
            </w:r>
            <w:r>
              <w:rPr>
                <w:b/>
                <w:i/>
              </w:rPr>
              <w:t>&lt;suffix&gt;</w:t>
            </w:r>
          </w:p>
        </w:tc>
        <w:tc>
          <w:tcPr>
            <w:tcW w:w="4707" w:type="dxa"/>
          </w:tcPr>
          <w:p w:rsidR="000A156F" w:rsidRDefault="00A9721F">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that starts with 1 and increments by 1. For example, ClassificationWatermarkShapeIds-1 is written if ClassificationWatermarkShapeIds Custom File Property is written and the value is too large because of the n</w:t>
            </w:r>
            <w:r>
              <w:t>umber of shapes inserted in the file. ClassificationWatermarkShapeIds-2 is written if ClassificationWatermarkShapeIds-1 Custom File Property is written and the value is too large because of the number of shapes inserted in the file.</w:t>
            </w:r>
          </w:p>
        </w:tc>
      </w:tr>
      <w:tr w:rsidR="000A156F" w:rsidTr="000A156F">
        <w:tc>
          <w:tcPr>
            <w:tcW w:w="4768" w:type="dxa"/>
          </w:tcPr>
          <w:p w:rsidR="000A156F" w:rsidRDefault="00A9721F">
            <w:pPr>
              <w:pStyle w:val="TableBodyText"/>
            </w:pPr>
            <w:r>
              <w:t>ClassificationWatermar</w:t>
            </w:r>
            <w:r>
              <w:t>kText</w:t>
            </w:r>
          </w:p>
        </w:tc>
        <w:tc>
          <w:tcPr>
            <w:tcW w:w="4707" w:type="dxa"/>
          </w:tcPr>
          <w:p w:rsidR="000A156F" w:rsidRDefault="00A9721F">
            <w:pPr>
              <w:pStyle w:val="TableBodyText"/>
            </w:pPr>
            <w:r>
              <w:t xml:space="preserve">Written if the sensitivity label applied indicates that a watermark should be applied. The value is the </w:t>
            </w:r>
            <w:r>
              <w:lastRenderedPageBreak/>
              <w:t>watermark text displayed in the document as part of applying the sensitivity label.</w:t>
            </w:r>
          </w:p>
        </w:tc>
      </w:tr>
    </w:tbl>
    <w:p w:rsidR="000A156F" w:rsidRDefault="00A9721F">
      <w:r>
        <w:lastRenderedPageBreak/>
        <w:t>PowerPoint may persist additional Custom File Properties if a</w:t>
      </w:r>
      <w:r>
        <w:t xml:space="preserve">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0A156F" w:rsidTr="000A156F">
        <w:trPr>
          <w:cnfStyle w:val="100000000000" w:firstRow="1" w:lastRow="0" w:firstColumn="0" w:lastColumn="0" w:oddVBand="0" w:evenVBand="0" w:oddHBand="0" w:evenHBand="0" w:firstRowFirstColumn="0" w:firstRowLastColumn="0" w:lastRowFirstColumn="0" w:lastRowLastColumn="0"/>
          <w:tblHeader/>
        </w:trPr>
        <w:tc>
          <w:tcPr>
            <w:tcW w:w="4788" w:type="dxa"/>
          </w:tcPr>
          <w:p w:rsidR="000A156F" w:rsidRDefault="00A9721F">
            <w:pPr>
              <w:pStyle w:val="TableHeaderText"/>
            </w:pPr>
            <w:r>
              <w:t>Custom Property Name</w:t>
            </w:r>
          </w:p>
        </w:tc>
        <w:tc>
          <w:tcPr>
            <w:tcW w:w="4788" w:type="dxa"/>
          </w:tcPr>
          <w:p w:rsidR="000A156F" w:rsidRDefault="00A9721F">
            <w:pPr>
              <w:pStyle w:val="TableHeaderText"/>
            </w:pPr>
            <w:r>
              <w:t>Value Description</w:t>
            </w:r>
          </w:p>
        </w:tc>
      </w:tr>
      <w:tr w:rsidR="000A156F" w:rsidTr="000A156F">
        <w:tc>
          <w:tcPr>
            <w:tcW w:w="4788" w:type="dxa"/>
          </w:tcPr>
          <w:p w:rsidR="000A156F" w:rsidRDefault="00A9721F">
            <w:pPr>
              <w:pStyle w:val="TableBodyText"/>
            </w:pPr>
            <w:r>
              <w:t>ClassificationContentMarkingHeaderText</w:t>
            </w:r>
          </w:p>
        </w:tc>
        <w:tc>
          <w:tcPr>
            <w:tcW w:w="4788" w:type="dxa"/>
          </w:tcPr>
          <w:p w:rsidR="000A156F" w:rsidRDefault="00A9721F">
            <w:pPr>
              <w:pStyle w:val="TableBodyText"/>
            </w:pPr>
            <w:r>
              <w:t>Written if the sensitivity label applied indicates that a header should be applied to the design master. The value is</w:t>
            </w:r>
            <w:r>
              <w:t xml:space="preserve"> the header text displayed in the presentation as part of applying the sensitivity label.</w:t>
            </w:r>
          </w:p>
        </w:tc>
      </w:tr>
      <w:tr w:rsidR="000A156F" w:rsidTr="000A156F">
        <w:tc>
          <w:tcPr>
            <w:tcW w:w="4788" w:type="dxa"/>
          </w:tcPr>
          <w:p w:rsidR="000A156F" w:rsidRDefault="00A9721F">
            <w:pPr>
              <w:pStyle w:val="TableBodyText"/>
            </w:pPr>
            <w:r>
              <w:t>ClassificationContentMarkingHeaderLocations</w:t>
            </w:r>
          </w:p>
        </w:tc>
        <w:tc>
          <w:tcPr>
            <w:tcW w:w="4788" w:type="dxa"/>
          </w:tcPr>
          <w:p w:rsidR="000A156F" w:rsidRDefault="00A9721F">
            <w:pPr>
              <w:pStyle w:val="TableBodyText"/>
            </w:pPr>
            <w:r>
              <w:t>Written if the sensitivity label applied indicates that a header should be applied to the design master. The value is the</w:t>
            </w:r>
            <w:r>
              <w:t xml:space="preserve"> design name, followed by a colon and the shape ID. If there are multiple design masters, they are all listed and are separated by a reverse solidus (\). Colon (:) and reverse solidus (\) characters in the design name are escaped with a reverse solidus to </w:t>
            </w:r>
            <w:r>
              <w:t>(\:) and (\\) respectively.</w:t>
            </w:r>
          </w:p>
        </w:tc>
      </w:tr>
      <w:tr w:rsidR="000A156F" w:rsidTr="000A156F">
        <w:tc>
          <w:tcPr>
            <w:tcW w:w="4788" w:type="dxa"/>
          </w:tcPr>
          <w:p w:rsidR="000A156F" w:rsidRDefault="00A9721F">
            <w:pPr>
              <w:pStyle w:val="TableBodyText"/>
            </w:pPr>
            <w:r>
              <w:t>ClassificationContentMarkingFooterText</w:t>
            </w:r>
          </w:p>
        </w:tc>
        <w:tc>
          <w:tcPr>
            <w:tcW w:w="4788" w:type="dxa"/>
          </w:tcPr>
          <w:p w:rsidR="000A156F" w:rsidRDefault="00A9721F">
            <w:pPr>
              <w:pStyle w:val="TableBodyText"/>
            </w:pPr>
            <w:r>
              <w:t xml:space="preserve">Written if the sensitivity label applied indicates that a footer should be applied to the design master. The value is the footer text displayed in the presentation as part of applying the </w:t>
            </w:r>
            <w:r>
              <w:t>sensitivity label.</w:t>
            </w:r>
          </w:p>
        </w:tc>
      </w:tr>
      <w:tr w:rsidR="000A156F" w:rsidTr="000A156F">
        <w:tc>
          <w:tcPr>
            <w:tcW w:w="4788" w:type="dxa"/>
          </w:tcPr>
          <w:p w:rsidR="000A156F" w:rsidRDefault="00A9721F">
            <w:pPr>
              <w:pStyle w:val="TableBodyText"/>
            </w:pPr>
            <w:r>
              <w:t>ClassificationContentMarkingFooterLocations</w:t>
            </w:r>
          </w:p>
        </w:tc>
        <w:tc>
          <w:tcPr>
            <w:tcW w:w="4788" w:type="dxa"/>
          </w:tcPr>
          <w:p w:rsidR="000A156F" w:rsidRDefault="00A9721F">
            <w:pPr>
              <w:pStyle w:val="TableBodyText"/>
            </w:pPr>
            <w:r>
              <w:t>Written if the sensitivity label applied indicates that a footer should be applied to the design master. The value is the design name, followed by a colon and the shape ID. If there are multip</w:t>
            </w:r>
            <w:r>
              <w:t>le design masters, they are all listed and are separated by a reverse solidus (\). Colon (:) and reverse solidus (\) characters in the design name are escaped with a reverse solidus to (\:) and (\\) respectively.</w:t>
            </w:r>
          </w:p>
        </w:tc>
      </w:tr>
      <w:tr w:rsidR="000A156F" w:rsidTr="000A156F">
        <w:tc>
          <w:tcPr>
            <w:tcW w:w="4788" w:type="dxa"/>
          </w:tcPr>
          <w:p w:rsidR="000A156F" w:rsidRDefault="00A9721F">
            <w:pPr>
              <w:pStyle w:val="TableBodyText"/>
            </w:pPr>
            <w:r>
              <w:t>ClassificationWatermarkText</w:t>
            </w:r>
          </w:p>
        </w:tc>
        <w:tc>
          <w:tcPr>
            <w:tcW w:w="4788" w:type="dxa"/>
          </w:tcPr>
          <w:p w:rsidR="000A156F" w:rsidRDefault="00A9721F">
            <w:pPr>
              <w:pStyle w:val="TableBodyText"/>
            </w:pPr>
            <w:r>
              <w:t>Written if the</w:t>
            </w:r>
            <w:r>
              <w:t xml:space="preserve"> sensitivity label applied indicates that a watermark should be applied to the design master. The value is the watermark text displayed in the presentation as part of applying the sensitivity label.</w:t>
            </w:r>
          </w:p>
        </w:tc>
      </w:tr>
      <w:tr w:rsidR="000A156F" w:rsidTr="000A156F">
        <w:tc>
          <w:tcPr>
            <w:tcW w:w="4788" w:type="dxa"/>
          </w:tcPr>
          <w:p w:rsidR="000A156F" w:rsidRDefault="00A9721F">
            <w:pPr>
              <w:pStyle w:val="TableBodyText"/>
            </w:pPr>
            <w:r>
              <w:t>ClassificationWatermarkLocations</w:t>
            </w:r>
          </w:p>
        </w:tc>
        <w:tc>
          <w:tcPr>
            <w:tcW w:w="4788" w:type="dxa"/>
          </w:tcPr>
          <w:p w:rsidR="000A156F" w:rsidRDefault="00A9721F">
            <w:pPr>
              <w:pStyle w:val="TableBodyText"/>
            </w:pPr>
            <w:r>
              <w:t>Written if the sensitiv</w:t>
            </w:r>
            <w:r>
              <w:t>ity label applied indicates that a watermark should be applied to the design master. The value is the watermark name, followed by a colon and the shape ID. If there are multiple design masters, they are all listed and are separated by a reverse solidus (\)</w:t>
            </w:r>
            <w:r>
              <w:t>. Colon (:) and reverse solidus (\) characters in the design name are escaped with a reverse solidus to (\:) and (\\) respectively.</w:t>
            </w:r>
          </w:p>
        </w:tc>
      </w:tr>
    </w:tbl>
    <w:p w:rsidR="000A156F" w:rsidRDefault="00A9721F">
      <w:pPr>
        <w:rPr>
          <w:b/>
        </w:rPr>
      </w:pPr>
      <w:r>
        <w:rPr>
          <w:b/>
        </w:rPr>
        <w:t>Examples of Custom File Properties</w:t>
      </w:r>
    </w:p>
    <w:p w:rsidR="000A156F" w:rsidRDefault="00A9721F">
      <w:r>
        <w:t>Excel</w:t>
      </w:r>
    </w:p>
    <w:p w:rsidR="000A156F" w:rsidRDefault="00A9721F">
      <w:pPr>
        <w:pStyle w:val="Code"/>
      </w:pPr>
      <w:r>
        <w:t xml:space="preserve">&lt;Properties </w:t>
      </w:r>
      <w:r>
        <w:t>xmlns="http://schemas.openxmlformats.org/officeDocument/2006/custom-properties" xmlns:vt="http://schemas.openxmlformats.org/officeDocument/2006/docPropsVTypes"&gt;</w:t>
      </w:r>
    </w:p>
    <w:p w:rsidR="000A156F" w:rsidRDefault="00A9721F">
      <w:pPr>
        <w:pStyle w:val="Code"/>
      </w:pPr>
      <w:r>
        <w:t xml:space="preserve"> &lt;property fmtid="{D5CDD505-2E9C-101B-9397-08002B2CF9AE}" pid="2" name="MSIP_Label_d9f23ae3-a23</w:t>
      </w:r>
      <w:r>
        <w:t>9-45ea-bf23-0123456789ab_Enabled"&gt;&lt;vt:lpwstr&gt;true&lt;/vt:lpwstr&gt;&lt;/property&gt;</w:t>
      </w:r>
    </w:p>
    <w:p w:rsidR="000A156F" w:rsidRDefault="00A9721F">
      <w:pPr>
        <w:pStyle w:val="Code"/>
      </w:pPr>
      <w:r>
        <w:t xml:space="preserve"> &lt;property fmtid="{D5CDD505-2E9C-101B-9397-08002B2CF9AE}" pid="3" name="MSIP_Label_d9f23ae3-a239-45ea-bf23-0123456789ab_SetDate"&gt;&lt;vt:lpwstr&gt;2018-09-24T21:38:47-0800&lt;/vt:lpwstr&gt;&lt;/prope</w:t>
      </w:r>
      <w:r>
        <w:t>rty&gt;</w:t>
      </w:r>
    </w:p>
    <w:p w:rsidR="000A156F" w:rsidRDefault="00A9721F">
      <w:pPr>
        <w:pStyle w:val="Code"/>
      </w:pPr>
      <w:r>
        <w:lastRenderedPageBreak/>
        <w:t xml:space="preserve"> &lt;property fmtid="{D5CDD505-2E9C-101B-9397-08002B2CF9AE}" pid="4" name="MSIP_Label_d9f23ae3-a239-45ea-bf23-0123456789ab_Method"&gt;&lt;vt:lpwstr&gt;Privileged&lt;/vt:lpwstr&gt;&lt;/property&gt;</w:t>
      </w:r>
    </w:p>
    <w:p w:rsidR="000A156F" w:rsidRDefault="00A9721F">
      <w:pPr>
        <w:pStyle w:val="Code"/>
      </w:pPr>
      <w:r>
        <w:t xml:space="preserve"> &lt;property fmtid="{D5CDD505-2E9C-101B-9397-08002B2CF9AE}" pid="5" name="MSIP_L</w:t>
      </w:r>
      <w:r>
        <w:t>abel_d9f23ae3-a239-45ea-bf23-0123456789ab_Name"&gt;&lt;vt:lpwstr&gt;Header, Footer, and Watermark&lt;/vt:lpwstr&gt;&lt;/property&gt;</w:t>
      </w:r>
    </w:p>
    <w:p w:rsidR="000A156F" w:rsidRDefault="00A9721F">
      <w:pPr>
        <w:pStyle w:val="Code"/>
      </w:pPr>
      <w:r>
        <w:t xml:space="preserve"> &lt;property fmtid="{D5CDD505-2E9C-101B-9397-08002B2CF9AE}" pid="6" name="MSIP_Label_d9f23ae3-a239-45ea-bf23-0123456789ab_SiteId"&gt;&lt;vt:lpwstr&gt;242d8</w:t>
      </w:r>
      <w:r>
        <w:t>63a-283c-5e0f-ae66-d99e8a20f526&lt;/vt:lpwstr&gt;&lt;/property&gt;</w:t>
      </w:r>
    </w:p>
    <w:p w:rsidR="000A156F" w:rsidRDefault="00A9721F">
      <w:pPr>
        <w:pStyle w:val="Code"/>
      </w:pPr>
      <w:r>
        <w:t xml:space="preserve"> &lt;property fmtid="{D5CDD505-2E9C-101B-9397-08002B2CF9AE}" pid="7" name="MSIP_Label_d9f23ae3-a239-45ea-bf23-0123456789ab_ActionId"&gt;&lt;vt:lpwstr&gt;9808f4bb-209e-4696-8307-00003bb82621&lt;/vt:lpwstr&gt;&lt;/property&gt;</w:t>
      </w:r>
    </w:p>
    <w:p w:rsidR="000A156F" w:rsidRDefault="00A9721F">
      <w:pPr>
        <w:pStyle w:val="Code"/>
      </w:pPr>
      <w:r>
        <w:t xml:space="preserve"> &lt;property fmtid="{D5CDD505-2E9C-101B-9397-08002B2CF9AE}" pid="8" name="MSIP_Label_d9f23ae3-a239-45ea-bf23-0123456789ab_ContentBits"&gt;&lt;vt:lpwstr&gt;7&lt;/vt:lpwstr&gt;&lt;/property&gt;</w:t>
      </w:r>
    </w:p>
    <w:p w:rsidR="000A156F" w:rsidRDefault="00A9721F">
      <w:pPr>
        <w:pStyle w:val="Code"/>
      </w:pPr>
      <w:r>
        <w:t xml:space="preserve"> &lt;property fmtid="{D5CDD505-2E9C-101B-9397-08002B2CF9AE}" pid="9" name="Sensitivity"&gt;&lt;v</w:t>
      </w:r>
      <w:r>
        <w:t>t:lpwstr&gt;d9f23ae3-a239-45ea-bf23-0123456789ab&lt;/vt:lpwstr&gt;&lt;/property&gt;</w:t>
      </w:r>
    </w:p>
    <w:p w:rsidR="000A156F" w:rsidRDefault="00A9721F">
      <w:pPr>
        <w:pStyle w:val="Code"/>
      </w:pPr>
      <w:r>
        <w:t>&lt;/Properties&gt;</w:t>
      </w:r>
    </w:p>
    <w:p w:rsidR="000A156F" w:rsidRDefault="00A9721F">
      <w:r>
        <w:t>PowerPoint</w:t>
      </w:r>
    </w:p>
    <w:p w:rsidR="000A156F" w:rsidRDefault="00A9721F">
      <w:pPr>
        <w:pStyle w:val="Code"/>
      </w:pPr>
      <w:r>
        <w:t>&lt;Properties xmlns="http://schemas.openxmlformats.org/officeDocument/2006/custom-properties" xmlns:vt="http://schemas.openxmlformats.org/officeDocument/2006/docPro</w:t>
      </w:r>
      <w:r>
        <w:t>psVTypes"&gt;</w:t>
      </w:r>
    </w:p>
    <w:p w:rsidR="000A156F" w:rsidRDefault="00A9721F">
      <w:pPr>
        <w:pStyle w:val="Code"/>
      </w:pPr>
      <w:r>
        <w:t xml:space="preserve"> &lt;property fmtid="{D5CDD505-2E9C-101B-9397-08002B2CF9AE}" pid="2" name="MSIP_Label_d9f23ae3-a239-45ea-bf23-0123456789ab_Enabled"&gt;&lt;vt:lpwstr&gt;true&lt;/vt:lpwstr&gt;&lt;/property&gt;</w:t>
      </w:r>
    </w:p>
    <w:p w:rsidR="000A156F" w:rsidRDefault="00A9721F">
      <w:pPr>
        <w:pStyle w:val="Code"/>
      </w:pPr>
      <w:r>
        <w:t xml:space="preserve"> &lt;property fmtid="{D5CDD505-2E9C-101B-9397-08002B2CF9AE}" pid="3" name="MSIP_</w:t>
      </w:r>
      <w:r>
        <w:t>Label_d9f23ae3-a239-45ea-bf23-0123456789ab_SetDate"&gt;&lt;vt:lpwstr&gt;2018-09-24T21:33:22-0800&lt;/vt:lpwstr&gt;&lt;/property&gt;</w:t>
      </w:r>
    </w:p>
    <w:p w:rsidR="000A156F" w:rsidRDefault="00A9721F">
      <w:pPr>
        <w:pStyle w:val="Code"/>
      </w:pPr>
      <w:r>
        <w:t xml:space="preserve"> &lt;property fmtid="{D5CDD505-2E9C-101B-9397-08002B2CF9AE}" pid="4" name="MSIP_Label_d9f23ae3-a239-45ea-bf23-0123456789ab_Method"&gt;&lt;vt:lpwstr&gt;Privil</w:t>
      </w:r>
      <w:r>
        <w:t>eged&lt;/vt:lpwstr&gt;&lt;/property&gt;</w:t>
      </w:r>
    </w:p>
    <w:p w:rsidR="000A156F" w:rsidRDefault="00A9721F">
      <w:pPr>
        <w:pStyle w:val="Code"/>
      </w:pPr>
      <w:r>
        <w:t xml:space="preserve"> &lt;property fmtid="{D5CDD505-2E9C-101B-9397-08002B2CF9AE}" pid="5" name="MSIP_Label_d9f23ae3-a239-45ea-bf23-0123456789ab_Name"&gt;&lt;vt:lpwstr&gt;Header, Footer, and Watermark&lt;/vt:lpwstr&gt;&lt;/property&gt;</w:t>
      </w:r>
    </w:p>
    <w:p w:rsidR="000A156F" w:rsidRDefault="00A9721F">
      <w:pPr>
        <w:pStyle w:val="Code"/>
      </w:pPr>
      <w:r>
        <w:t xml:space="preserve"> &lt;property fmtid="{D5CDD505-2E9C-101B-</w:t>
      </w:r>
      <w:r>
        <w:t>9397-08002B2CF9AE}" pid="6" name="MSIP_Label_d9f23ae3-a239-45ea-bf23-0123456789ab_SiteId"&gt;&lt;vt:lpwstr&gt;242d863a-283c-5e0f-ae66-d99e8a20f526&lt;/vt:lpwstr&gt;&lt;/property&gt;</w:t>
      </w:r>
    </w:p>
    <w:p w:rsidR="000A156F" w:rsidRDefault="00A9721F">
      <w:pPr>
        <w:pStyle w:val="Code"/>
      </w:pPr>
      <w:r>
        <w:t xml:space="preserve"> &lt;property fmtid="{D5CDD505-2E9C-101B-9397-08002B2CF9AE}" pid="7" name="MSIP_Label_d9f23ae3-a23</w:t>
      </w:r>
      <w:r>
        <w:t>9-45ea-bf23-0123456789ab_ActionId"&gt;&lt;vt:lpwstr&gt;fc4f85ef-4627-4002-800f-00005a208e8f&lt;/vt:lpwstr&gt;&lt;/property&gt;</w:t>
      </w:r>
    </w:p>
    <w:p w:rsidR="000A156F" w:rsidRDefault="00A9721F">
      <w:pPr>
        <w:pStyle w:val="Code"/>
      </w:pPr>
      <w:r>
        <w:t xml:space="preserve"> &lt;property fmtid="{D5CDD505-2E9C-101B-9397-08002B2CF9AE}" pid="8" name="MSIP_Label_d9f23ae3-a239-45ea-bf23-0123456789ab_ContentBits"&gt;&lt;vt:lpwstr&gt;7&lt;/vt:</w:t>
      </w:r>
      <w:r>
        <w:t>lpwstr&gt;&lt;/property&gt;</w:t>
      </w:r>
    </w:p>
    <w:p w:rsidR="000A156F" w:rsidRDefault="00A9721F">
      <w:pPr>
        <w:pStyle w:val="Code"/>
      </w:pPr>
      <w:r>
        <w:t xml:space="preserve"> &lt;property fmtid="{D5CDD505-2E9C-101B-9397-08002B2CF9AE}" pid="9" name="Sensitivity"&gt;&lt;vt:lpwstr&gt;d9f23ae3-a239-45ea-bf23-0123456789ab&lt;/vt:lpwstr&gt;&lt;/property&gt;</w:t>
      </w:r>
    </w:p>
    <w:p w:rsidR="000A156F" w:rsidRDefault="00A9721F">
      <w:pPr>
        <w:pStyle w:val="Code"/>
      </w:pPr>
      <w:r>
        <w:t xml:space="preserve"> &lt;property fmtid="{D5CDD505-2E9C-101B-9397-08002B2CF9AE}" pid="10" name="Classifi</w:t>
      </w:r>
      <w:r>
        <w:t>cationContentMarkingHeaderText"&gt;&lt;vt:lpwstr&gt; This is header text with a leading space.&lt;/vt:lpwstr&gt;&lt;/property&gt;</w:t>
      </w:r>
    </w:p>
    <w:p w:rsidR="000A156F" w:rsidRDefault="00A9721F">
      <w:pPr>
        <w:pStyle w:val="Code"/>
      </w:pPr>
      <w:r>
        <w:t xml:space="preserve"> &lt;property fmtid="{D5CDD505-2E9C-101B-9397-08002B2CF9AE}" pid="11" name="ClassificationContentMarkingHeaderLocations"&gt;&lt;vt:lpwstr&gt;Office Theme:10&lt;/v</w:t>
      </w:r>
      <w:r>
        <w:t>t:lpwstr&gt;&lt;/property&gt;</w:t>
      </w:r>
    </w:p>
    <w:p w:rsidR="000A156F" w:rsidRDefault="00A9721F">
      <w:pPr>
        <w:pStyle w:val="Code"/>
      </w:pPr>
      <w:r>
        <w:t xml:space="preserve"> &lt;property fmtid="{D5CDD505-2E9C-101B-9397-08002B2CF9AE}" pid="12" name="ClassificationContentMarkingFooterText"&gt;&lt;vt:lpwstr&gt;THIS is a FOOTER with a trailing space! &lt;/vt:lpwstr&gt;&lt;/property&gt;</w:t>
      </w:r>
    </w:p>
    <w:p w:rsidR="000A156F" w:rsidRDefault="00A9721F">
      <w:pPr>
        <w:pStyle w:val="Code"/>
      </w:pPr>
      <w:r>
        <w:t xml:space="preserve"> &lt;property fmtid="{D5CDD505-2E9C-101B-9397-0800</w:t>
      </w:r>
      <w:r>
        <w:t>2B2CF9AE}" pid="13" name="ClassificationContentMarkingFooterLocations"&gt;&lt;vt:lpwstr&gt;Office Theme:11&lt;/vt:lpwstr&gt;&lt;/property&gt;</w:t>
      </w:r>
    </w:p>
    <w:p w:rsidR="000A156F" w:rsidRDefault="00A9721F">
      <w:pPr>
        <w:pStyle w:val="Code"/>
      </w:pPr>
      <w:r>
        <w:t xml:space="preserve"> &lt;property fmtid="{D5CDD505-2E9C-101B-9397-08002B2CF9AE}" pid="14" name="ClassificationWatermarkText"&gt;&lt;vt:lpwstr&gt;</w:t>
      </w:r>
      <w:r>
        <w:t>Once upon a time, there was a watermark. The watermark was inserted in the document. The End.&lt;/vt:lpwstr&gt;&lt;/property&gt;</w:t>
      </w:r>
    </w:p>
    <w:p w:rsidR="000A156F" w:rsidRDefault="00A9721F">
      <w:pPr>
        <w:pStyle w:val="Code"/>
      </w:pPr>
      <w:r>
        <w:t xml:space="preserve"> &lt;property fmtid="{D5CDD505-2E9C-101B-9397-08002B2CF9AE}" pid="15" name="ClassificationWatermarkLocations"&gt;&lt;vt:lpwstr&gt;Office Theme:12&lt;/vt:l</w:t>
      </w:r>
      <w:r>
        <w:t>pwstr&gt;&lt;/property&gt;</w:t>
      </w:r>
    </w:p>
    <w:p w:rsidR="000A156F" w:rsidRDefault="00A9721F">
      <w:pPr>
        <w:pStyle w:val="Code"/>
      </w:pPr>
      <w:r>
        <w:t>&lt;/Properties&gt;</w:t>
      </w:r>
    </w:p>
    <w:p w:rsidR="000A156F" w:rsidRDefault="00A9721F">
      <w:r>
        <w:t>Word</w:t>
      </w:r>
    </w:p>
    <w:p w:rsidR="000A156F" w:rsidRDefault="00A9721F">
      <w:pPr>
        <w:pStyle w:val="Code"/>
      </w:pPr>
      <w:r>
        <w:t>&lt;Properties xmlns="http://schemas.openxmlformats.org/officeDocument/2006/custom-properties" xmlns:vt="http://schemas.openxmlformats.org/officeDocument/2006/docPropsVTypes"&gt;</w:t>
      </w:r>
    </w:p>
    <w:p w:rsidR="000A156F" w:rsidRDefault="00A9721F">
      <w:pPr>
        <w:pStyle w:val="Code"/>
      </w:pPr>
      <w:r>
        <w:lastRenderedPageBreak/>
        <w:t xml:space="preserve"> &lt;</w:t>
      </w:r>
      <w:r>
        <w:t>property fmtid="{D5CDD505-2E9C-101B-9397-08002B2CF9AE}" pid="2" name="ClassificationContentMarkingHeaderShapeIds"&gt;&lt;vt:lpwstr&gt;1,2,3&lt;/vt:lpwstr&gt;&lt;/property&gt;</w:t>
      </w:r>
    </w:p>
    <w:p w:rsidR="000A156F" w:rsidRDefault="00A9721F">
      <w:pPr>
        <w:pStyle w:val="Code"/>
      </w:pPr>
      <w:r>
        <w:t xml:space="preserve"> &lt;property fmtid="{D5CDD505-2E9C-101B-9397-08002B2CF9AE}" pid="3" name="ClassificationContentMarkingHe</w:t>
      </w:r>
      <w:r>
        <w:t>aderFontProps"&gt;&lt;vt:lpwstr&gt;#ffff00,23,Calibri&lt;/vt:lpwstr&gt;&lt;/property&gt;</w:t>
      </w:r>
    </w:p>
    <w:p w:rsidR="000A156F" w:rsidRDefault="00A9721F">
      <w:pPr>
        <w:pStyle w:val="Code"/>
      </w:pPr>
      <w:r>
        <w:t xml:space="preserve"> &lt;property fmtid="{D5CDD505-2E9C-101B-9397-08002B2CF9AE}" pid="4" name="ClassificationContentMarkingHeaderText"&gt;&lt;vt:lpwstr&gt; This is header text with a leading space.&lt;/vt:lpwstr&gt;&lt;/property&gt;</w:t>
      </w:r>
    </w:p>
    <w:p w:rsidR="000A156F" w:rsidRDefault="00A9721F">
      <w:pPr>
        <w:pStyle w:val="Code"/>
      </w:pPr>
      <w:r>
        <w:t xml:space="preserve"> &lt;property fmtid="{D5CDD505-2E9C-101B-9397-08002B2CF9AE}" pid="5" name="ClassificationContentMarkingFooterShapeIds"&gt;&lt;vt:lpwstr&gt;4,5,6&lt;/vt:lpwstr&gt;&lt;/property&gt;</w:t>
      </w:r>
    </w:p>
    <w:p w:rsidR="000A156F" w:rsidRDefault="00A9721F">
      <w:pPr>
        <w:pStyle w:val="Code"/>
      </w:pPr>
      <w:r>
        <w:t xml:space="preserve"> &lt;property fmtid="{D5CDD505-2E9C-101B-9397-08002B2CF9AE}" pid="6" name="ClassificationContentMarkin</w:t>
      </w:r>
      <w:r>
        <w:t>gFooterFontProps"&gt;&lt;vt:lpwstr&gt;#ff00ff,11,Calibri&lt;/vt:lpwstr&gt;&lt;/property&gt;</w:t>
      </w:r>
    </w:p>
    <w:p w:rsidR="000A156F" w:rsidRDefault="00A9721F">
      <w:pPr>
        <w:pStyle w:val="Code"/>
      </w:pPr>
      <w:r>
        <w:t xml:space="preserve"> &lt;property fmtid="{D5CDD505-2E9C-101B-9397-08002B2CF9AE}" pid="7" name="ClassificationContentMarkingFooterText"&gt;&lt;vt:lpwstr&gt;THIS is a FOOTER with a trailing space! &lt;/vt:lpwstr&gt;&lt;/property</w:t>
      </w:r>
      <w:r>
        <w:t>&gt;</w:t>
      </w:r>
    </w:p>
    <w:p w:rsidR="000A156F" w:rsidRDefault="00A9721F">
      <w:pPr>
        <w:pStyle w:val="Code"/>
      </w:pPr>
      <w:r>
        <w:t xml:space="preserve"> &lt;property fmtid="{D5CDD505-2E9C-101B-9397-08002B2CF9AE}" pid="8" name="ClassificationWatermarkShapeIds"&gt;&lt;vt:lpwstr&gt;7,8,9&lt;/vt:lpwstr&gt;&lt;/property&gt;</w:t>
      </w:r>
    </w:p>
    <w:p w:rsidR="000A156F" w:rsidRDefault="00A9721F">
      <w:pPr>
        <w:pStyle w:val="Code"/>
      </w:pPr>
      <w:r>
        <w:t xml:space="preserve"> &lt;property fmtid="{D5CDD505-2E9C-101B-9397-08002B2CF9AE}" pid="9" name="ClassificationWatermarkFontProps"&gt;&lt;vt</w:t>
      </w:r>
      <w:r>
        <w:t>:lpwstr&gt;#000000,13,Calibri&lt;/vt:lpwstr&gt;&lt;/property&gt;</w:t>
      </w:r>
    </w:p>
    <w:p w:rsidR="000A156F" w:rsidRDefault="00A9721F">
      <w:pPr>
        <w:pStyle w:val="Code"/>
      </w:pPr>
      <w:r>
        <w:t xml:space="preserve"> &lt;property fmtid="{D5CDD505-2E9C-101B-9397-08002B2CF9AE}" pid="10" name="ClassificationWatermarkText"&gt;&lt;vt:lpwstr&gt;Once upon a time, there was a watermark. The watermark was inserted in the document. The End.</w:t>
      </w:r>
      <w:r>
        <w:t>&lt;/vt:lpwstr&gt;&lt;/property&gt;</w:t>
      </w:r>
    </w:p>
    <w:p w:rsidR="000A156F" w:rsidRDefault="00A9721F">
      <w:pPr>
        <w:pStyle w:val="Code"/>
      </w:pPr>
      <w:r>
        <w:t xml:space="preserve"> &lt;property fmtid="{D5CDD505-2E9C-101B-9397-08002B2CF9AE}" pid="11" name="MSIP_Label_d9f23ae3-a239-45ea-bf23-0123456789ab_Enabled"&gt;&lt;vt:lpwstr&gt;true&lt;/vt:lpwstr&gt;&lt;/property&gt;</w:t>
      </w:r>
    </w:p>
    <w:p w:rsidR="000A156F" w:rsidRDefault="00A9721F">
      <w:pPr>
        <w:pStyle w:val="Code"/>
      </w:pPr>
      <w:r>
        <w:t xml:space="preserve"> &lt;property fmtid="{D5CDD505-2E9C-101B-9397-08002B2CF9AE}" pid="</w:t>
      </w:r>
      <w:r>
        <w:t>12" name="MSIP_Label_d9f23ae3-a239-45ea-bf23-0123456789ab_SetDate"&gt;&lt;vt:lpwstr&gt;2018-09-24T21:42:18-0800&lt;/vt:lpwstr&gt;&lt;/property&gt;</w:t>
      </w:r>
    </w:p>
    <w:p w:rsidR="000A156F" w:rsidRDefault="00A9721F">
      <w:pPr>
        <w:pStyle w:val="Code"/>
      </w:pPr>
      <w:r>
        <w:t xml:space="preserve"> &lt;property fmtid="{D5CDD505-2E9C-101B-9397-08002B2CF9AE}" pid="13" name="MSIP_Label_d9f23ae3-a239-45ea-bf23-0123456789ab_Method"&gt;&lt;</w:t>
      </w:r>
      <w:r>
        <w:t>vt:lpwstr&gt;Privileged&lt;/vt:lpwstr&gt;&lt;/property&gt;</w:t>
      </w:r>
    </w:p>
    <w:p w:rsidR="000A156F" w:rsidRDefault="00A9721F">
      <w:pPr>
        <w:pStyle w:val="Code"/>
      </w:pPr>
      <w:r>
        <w:t xml:space="preserve"> &lt;property fmtid="{D5CDD505-2E9C-101B-9397-08002B2CF9AE}" pid="14" name="MSIP_Label_d9f23ae3-a239-45ea-bf23-0123456789ab_Name"&gt;&lt;vt:lpwstr&gt;Header, Footer, and Watermark&lt;/vt:lpwstr&gt;&lt;/property&gt;</w:t>
      </w:r>
    </w:p>
    <w:p w:rsidR="000A156F" w:rsidRDefault="00A9721F">
      <w:pPr>
        <w:pStyle w:val="Code"/>
      </w:pPr>
      <w:r>
        <w:t xml:space="preserve"> &lt;property fmtid="{D5</w:t>
      </w:r>
      <w:r>
        <w:t>CDD505-2E9C-101B-9397-08002B2CF9AE}" pid="15" name="MSIP_Label_d9f23ae3-a239-45ea-bf23-0123456789ab_SiteId"&gt;&lt;vt:lpwstr&gt;242d863a-283c-5e0f-ae66-d99e8a20f526&lt;/vt:lpwstr&gt;&lt;/property&gt;</w:t>
      </w:r>
    </w:p>
    <w:p w:rsidR="000A156F" w:rsidRDefault="00A9721F">
      <w:pPr>
        <w:pStyle w:val="Code"/>
      </w:pPr>
      <w:r>
        <w:t xml:space="preserve"> &lt;property fmtid="{D5CDD505-2E9C-101B-9397-08002B2CF9AE}" pid="16" name="MSIP</w:t>
      </w:r>
      <w:r>
        <w:t>_Label_d9f23ae3-a239-45ea-bf23-0123456789ab_ActionId"&gt;&lt;vt:lpwstr&gt;e055f41b-dbb0-425c-a95a-00008352e3b4&lt;/vt:lpwstr&gt;&lt;/property&gt;</w:t>
      </w:r>
    </w:p>
    <w:p w:rsidR="000A156F" w:rsidRDefault="00A9721F">
      <w:pPr>
        <w:pStyle w:val="Code"/>
      </w:pPr>
      <w:r>
        <w:t xml:space="preserve"> &lt;property fmtid="{D5CDD505-2E9C-101B-9397-08002B2CF9AE}" pid="17" name="MSIP_Label_d9f23ae3-a239-45ea-bf23-0123456789ab_ContentBit</w:t>
      </w:r>
      <w:r>
        <w:t>s"&gt;&lt;vt:lpwstr&gt;7&lt;/vt:lpwstr&gt;&lt;/property&gt;</w:t>
      </w:r>
    </w:p>
    <w:p w:rsidR="000A156F" w:rsidRDefault="00A9721F">
      <w:pPr>
        <w:pStyle w:val="Code"/>
      </w:pPr>
      <w:r>
        <w:t xml:space="preserve"> &lt;property fmtid="{D5CDD505-2E9C-101B-9397-08002B2CF9AE}" pid="18" name="Sensitivity"&gt;&lt;vt:lpwstr&gt;d9f23ae3-a239-45ea-bf23-0123456789ab&lt;/vt:lpwstr&gt;&lt;/property&gt;</w:t>
      </w:r>
    </w:p>
    <w:p w:rsidR="000A156F" w:rsidRDefault="00A9721F">
      <w:pPr>
        <w:pStyle w:val="Code"/>
      </w:pPr>
      <w:r>
        <w:t>&lt;/Properties&gt;</w:t>
      </w:r>
    </w:p>
    <w:p w:rsidR="000A156F" w:rsidRDefault="00A9721F">
      <w:pPr>
        <w:pStyle w:val="Heading1"/>
      </w:pPr>
      <w:bookmarkStart w:id="4298" w:name="section_e4474de8f3b14dfeb6475bef678743ca"/>
      <w:bookmarkStart w:id="4299" w:name="_Toc181685174"/>
      <w:r>
        <w:lastRenderedPageBreak/>
        <w:t>Change Tracking</w:t>
      </w:r>
      <w:bookmarkEnd w:id="4298"/>
      <w:bookmarkEnd w:id="4299"/>
      <w:r>
        <w:fldChar w:fldCharType="begin"/>
      </w:r>
      <w:r>
        <w:instrText xml:space="preserve"> XE "Change tracking" </w:instrText>
      </w:r>
      <w:r>
        <w:fldChar w:fldCharType="end"/>
      </w:r>
      <w:r>
        <w:fldChar w:fldCharType="begin"/>
      </w:r>
      <w:r>
        <w:instrText xml:space="preserve"> XE "Tr</w:instrText>
      </w:r>
      <w:r>
        <w:instrText xml:space="preserve">acking changes" </w:instrText>
      </w:r>
      <w:r>
        <w:fldChar w:fldCharType="end"/>
      </w:r>
    </w:p>
    <w:p w:rsidR="000A156F" w:rsidRDefault="00A9721F">
      <w:r>
        <w:t>No table of changes is available. The document is either new or has had no changes since its last release.</w:t>
      </w:r>
    </w:p>
    <w:p w:rsidR="000A156F" w:rsidRDefault="00A9721F">
      <w:pPr>
        <w:pStyle w:val="Heading1"/>
        <w:sectPr w:rsidR="000A156F">
          <w:footerReference w:type="default" r:id="rId390"/>
          <w:endnotePr>
            <w:numFmt w:val="decimal"/>
          </w:endnotePr>
          <w:type w:val="continuous"/>
          <w:pgSz w:w="12240" w:h="15840"/>
          <w:pgMar w:top="1080" w:right="1440" w:bottom="2016" w:left="1440" w:header="720" w:footer="720" w:gutter="0"/>
          <w:cols w:space="720"/>
          <w:docGrid w:linePitch="360"/>
        </w:sectPr>
      </w:pPr>
      <w:bookmarkStart w:id="4300" w:name="section_a92471268b234297b15bfef61d56a43d"/>
      <w:bookmarkStart w:id="4301" w:name="_Toc181685175"/>
      <w:r>
        <w:lastRenderedPageBreak/>
        <w:t>Index</w:t>
      </w:r>
      <w:bookmarkEnd w:id="4300"/>
      <w:bookmarkEnd w:id="4301"/>
    </w:p>
    <w:p w:rsidR="000A156F" w:rsidRDefault="00A9721F">
      <w:pPr>
        <w:pStyle w:val="indexheader"/>
      </w:pPr>
      <w:r>
        <w:t>A</w:t>
      </w:r>
    </w:p>
    <w:p w:rsidR="000A156F" w:rsidRDefault="000A156F">
      <w:pPr>
        <w:spacing w:before="0" w:after="0"/>
        <w:rPr>
          <w:sz w:val="16"/>
        </w:rPr>
      </w:pPr>
    </w:p>
    <w:p w:rsidR="000A156F" w:rsidRDefault="00A9721F">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393</w:t>
      </w:r>
      <w:r>
        <w:fldChar w:fldCharType="end"/>
      </w:r>
    </w:p>
    <w:p w:rsidR="000A156F" w:rsidRDefault="00A9721F">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587</w:t>
      </w:r>
      <w:r>
        <w:fldChar w:fldCharType="end"/>
      </w:r>
    </w:p>
    <w:p w:rsidR="000A156F" w:rsidRDefault="00A9721F">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860</w:t>
      </w:r>
      <w:r>
        <w:fldChar w:fldCharType="end"/>
      </w:r>
    </w:p>
    <w:p w:rsidR="000A156F" w:rsidRDefault="00A9721F">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section_3140e0b043d54c06a42da8f1a6ad9b75</w:instrText>
      </w:r>
      <w:r>
        <w:fldChar w:fldCharType="separate"/>
      </w:r>
      <w:r>
        <w:rPr>
          <w:noProof/>
        </w:rPr>
        <w:t>122</w:t>
      </w:r>
      <w:r>
        <w:fldChar w:fldCharType="end"/>
      </w:r>
    </w:p>
    <w:p w:rsidR="000A156F" w:rsidRDefault="00A9721F">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123</w:t>
      </w:r>
      <w:r>
        <w:fldChar w:fldCharType="end"/>
      </w:r>
    </w:p>
    <w:p w:rsidR="000A156F" w:rsidRDefault="00A9721F">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600</w:t>
      </w:r>
      <w:r>
        <w:fldChar w:fldCharType="end"/>
      </w:r>
    </w:p>
    <w:p w:rsidR="000A156F" w:rsidRDefault="00A9721F">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section_e5f8531be5344502a1ef1280e78edf19</w:instrText>
      </w:r>
      <w:r>
        <w:fldChar w:fldCharType="separate"/>
      </w:r>
      <w:r>
        <w:rPr>
          <w:noProof/>
        </w:rPr>
        <w:t>682</w:t>
      </w:r>
      <w:r>
        <w:fldChar w:fldCharType="end"/>
      </w:r>
    </w:p>
    <w:p w:rsidR="000A156F" w:rsidRDefault="00A9721F">
      <w:pPr>
        <w:pStyle w:val="indexentry0"/>
      </w:pPr>
      <w:hyperlink w:anchor="section_deb182c9a9c0495e80688c51887faf02">
        <w:r>
          <w:rPr>
            <w:rStyle w:val="Hyperlink"/>
          </w:rPr>
          <w:t>Accel2 (Secondary Keyboard Accelerator)</w:t>
        </w:r>
      </w:hyperlink>
      <w:r>
        <w:t xml:space="preserve"> </w:t>
      </w:r>
      <w:r>
        <w:fldChar w:fldCharType="begin"/>
      </w:r>
      <w:r>
        <w:instrText>PAG</w:instrText>
      </w:r>
      <w:r>
        <w:instrText>EREF section_deb182c9a9c0495e80688c51887faf02</w:instrText>
      </w:r>
      <w:r>
        <w:fldChar w:fldCharType="separate"/>
      </w:r>
      <w:r>
        <w:rPr>
          <w:noProof/>
        </w:rPr>
        <w:t>682</w:t>
      </w:r>
      <w:r>
        <w:fldChar w:fldCharType="end"/>
      </w:r>
    </w:p>
    <w:p w:rsidR="000A156F" w:rsidRDefault="00A9721F">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505</w:t>
      </w:r>
      <w:r>
        <w:fldChar w:fldCharType="end"/>
      </w:r>
    </w:p>
    <w:p w:rsidR="000A156F" w:rsidRDefault="00A9721F">
      <w:pPr>
        <w:pStyle w:val="indexentry0"/>
      </w:pPr>
      <w:hyperlink w:anchor="section_ec6649f3feb54cbe86ad01f9e1778091">
        <w:r>
          <w:rPr>
            <w:rStyle w:val="Hyperlink"/>
          </w:rPr>
          <w:t>accent2 (Acc</w:t>
        </w:r>
        <w:r>
          <w:rPr>
            <w:rStyle w:val="Hyperlink"/>
          </w:rPr>
          <w:t>ent 2)</w:t>
        </w:r>
      </w:hyperlink>
      <w:r>
        <w:t xml:space="preserve"> </w:t>
      </w:r>
      <w:r>
        <w:fldChar w:fldCharType="begin"/>
      </w:r>
      <w:r>
        <w:instrText>PAGEREF section_ec6649f3feb54cbe86ad01f9e1778091</w:instrText>
      </w:r>
      <w:r>
        <w:fldChar w:fldCharType="separate"/>
      </w:r>
      <w:r>
        <w:rPr>
          <w:noProof/>
        </w:rPr>
        <w:t>505</w:t>
      </w:r>
      <w:r>
        <w:fldChar w:fldCharType="end"/>
      </w:r>
    </w:p>
    <w:p w:rsidR="000A156F" w:rsidRDefault="00A9721F">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505</w:t>
      </w:r>
      <w:r>
        <w:fldChar w:fldCharType="end"/>
      </w:r>
    </w:p>
    <w:p w:rsidR="000A156F" w:rsidRDefault="00A9721F">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505</w:t>
      </w:r>
      <w:r>
        <w:fldChar w:fldCharType="end"/>
      </w:r>
    </w:p>
    <w:p w:rsidR="000A156F" w:rsidRDefault="00A9721F">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505</w:t>
      </w:r>
      <w:r>
        <w:fldChar w:fldCharType="end"/>
      </w:r>
    </w:p>
    <w:p w:rsidR="000A156F" w:rsidRDefault="00A9721F">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505</w:t>
      </w:r>
      <w:r>
        <w:fldChar w:fldCharType="end"/>
      </w:r>
    </w:p>
    <w:p w:rsidR="000A156F" w:rsidRDefault="00A9721F">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396</w:t>
      </w:r>
      <w:r>
        <w:fldChar w:fldCharType="end"/>
      </w:r>
    </w:p>
    <w:p w:rsidR="000A156F" w:rsidRDefault="00A9721F">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397</w:t>
      </w:r>
      <w:r>
        <w:fldChar w:fldCharType="end"/>
      </w:r>
    </w:p>
    <w:p w:rsidR="000A156F" w:rsidRDefault="00A9721F">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w:instrText>
      </w:r>
      <w:r>
        <w:instrText>n_03e658016a2147d093503528064826ad</w:instrText>
      </w:r>
      <w:r>
        <w:fldChar w:fldCharType="separate"/>
      </w:r>
      <w:r>
        <w:rPr>
          <w:noProof/>
        </w:rPr>
        <w:t>698</w:t>
      </w:r>
      <w:r>
        <w:fldChar w:fldCharType="end"/>
      </w:r>
    </w:p>
    <w:p w:rsidR="000A156F" w:rsidRDefault="00A9721F">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697</w:t>
      </w:r>
      <w:r>
        <w:fldChar w:fldCharType="end"/>
      </w:r>
    </w:p>
    <w:p w:rsidR="000A156F" w:rsidRDefault="00A9721F">
      <w:pPr>
        <w:pStyle w:val="indexentry0"/>
      </w:pPr>
      <w:hyperlink w:anchor="section_030e50dc59a54f3f8f6c41168047f641">
        <w:r>
          <w:rPr>
            <w:rStyle w:val="Hyperlink"/>
          </w:rPr>
          <w:t>acdEntry (Allocate</w:t>
        </w:r>
        <w:r>
          <w:rPr>
            <w:rStyle w:val="Hyperlink"/>
          </w:rPr>
          <w:t>d Command Manifest Entry)</w:t>
        </w:r>
      </w:hyperlink>
      <w:r>
        <w:t xml:space="preserve"> </w:t>
      </w:r>
      <w:r>
        <w:fldChar w:fldCharType="begin"/>
      </w:r>
      <w:r>
        <w:instrText>PAGEREF section_030e50dc59a54f3f8f6c41168047f641</w:instrText>
      </w:r>
      <w:r>
        <w:fldChar w:fldCharType="separate"/>
      </w:r>
      <w:r>
        <w:rPr>
          <w:noProof/>
        </w:rPr>
        <w:t>699</w:t>
      </w:r>
      <w:r>
        <w:fldChar w:fldCharType="end"/>
      </w:r>
    </w:p>
    <w:p w:rsidR="000A156F" w:rsidRDefault="00A9721F">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699</w:t>
      </w:r>
      <w:r>
        <w:fldChar w:fldCharType="end"/>
      </w:r>
    </w:p>
    <w:p w:rsidR="000A156F" w:rsidRDefault="00A9721F">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700</w:t>
      </w:r>
      <w:r>
        <w:fldChar w:fldCharType="end"/>
      </w:r>
    </w:p>
    <w:p w:rsidR="000A156F" w:rsidRDefault="00A9721F">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398</w:t>
      </w:r>
      <w:r>
        <w:fldChar w:fldCharType="end"/>
      </w:r>
    </w:p>
    <w:p w:rsidR="000A156F" w:rsidRDefault="00A9721F">
      <w:pPr>
        <w:pStyle w:val="indexentry0"/>
      </w:pPr>
      <w:hyperlink w:anchor="section_32be961fd71a4812913fb675c79aa88a">
        <w:r>
          <w:rPr>
            <w:rStyle w:val="Hyperlink"/>
          </w:rPr>
          <w:t>Activating embedded packages in Office (Part 1 Section L.7.2 Embeddings) (Additional Information)</w:t>
        </w:r>
      </w:hyperlink>
      <w:r>
        <w:t xml:space="preserve"> </w:t>
      </w:r>
      <w:r>
        <w:fldChar w:fldCharType="begin"/>
      </w:r>
      <w:r>
        <w:instrText>PAGEREF section_32be961fd71a4812913fb675c79aa88a</w:instrText>
      </w:r>
      <w:r>
        <w:fldChar w:fldCharType="separate"/>
      </w:r>
      <w:r>
        <w:rPr>
          <w:noProof/>
        </w:rPr>
        <w:t>910</w:t>
      </w:r>
      <w:r>
        <w:fldChar w:fldCharType="end"/>
      </w:r>
    </w:p>
    <w:p w:rsidR="000A156F" w:rsidRDefault="00A9721F">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section_7bbd9fb16181481db29c63842301455d</w:instrText>
      </w:r>
      <w:r>
        <w:fldChar w:fldCharType="separate"/>
      </w:r>
      <w:r>
        <w:rPr>
          <w:noProof/>
        </w:rPr>
        <w:t>701</w:t>
      </w:r>
      <w:r>
        <w:fldChar w:fldCharType="end"/>
      </w:r>
    </w:p>
    <w:p w:rsidR="000A156F" w:rsidRDefault="00A9721F">
      <w:pPr>
        <w:pStyle w:val="indexentry0"/>
      </w:pPr>
      <w:hyperlink w:anchor="section_501412c497b647ea897fa4ba36e50324">
        <w:r>
          <w:rPr>
            <w:rStyle w:val="Hyperlink"/>
          </w:rPr>
          <w:t>activeRecord (Record Currently Display</w:t>
        </w:r>
        <w:r>
          <w:rPr>
            <w:rStyle w:val="Hyperlink"/>
          </w:rPr>
          <w:t>ed In Merged Document)</w:t>
        </w:r>
      </w:hyperlink>
      <w:r>
        <w:t xml:space="preserve"> </w:t>
      </w:r>
      <w:r>
        <w:fldChar w:fldCharType="begin"/>
      </w:r>
      <w:r>
        <w:instrText>PAGEREF section_501412c497b647ea897fa4ba36e50324</w:instrText>
      </w:r>
      <w:r>
        <w:fldChar w:fldCharType="separate"/>
      </w:r>
      <w:r>
        <w:rPr>
          <w:noProof/>
        </w:rPr>
        <w:t>141</w:t>
      </w:r>
      <w:r>
        <w:fldChar w:fldCharType="end"/>
      </w:r>
    </w:p>
    <w:p w:rsidR="000A156F" w:rsidRDefault="00A9721F">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147</w:t>
      </w:r>
      <w:r>
        <w:fldChar w:fldCharType="end"/>
      </w:r>
    </w:p>
    <w:p w:rsidR="000A156F" w:rsidRDefault="00A9721F">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section_2dbabd7b5bac4dea9f5477f6dc6e6707</w:instrText>
      </w:r>
      <w:r>
        <w:fldChar w:fldCharType="separate"/>
      </w:r>
      <w:r>
        <w:rPr>
          <w:noProof/>
        </w:rPr>
        <w:t>629</w:t>
      </w:r>
      <w:r>
        <w:fldChar w:fldCharType="end"/>
      </w:r>
    </w:p>
    <w:p w:rsidR="000A156F" w:rsidRDefault="00A9721F">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631</w:t>
      </w:r>
      <w:r>
        <w:fldChar w:fldCharType="end"/>
      </w:r>
    </w:p>
    <w:p w:rsidR="000A156F" w:rsidRDefault="00A9721F">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w:instrText>
      </w:r>
      <w:r>
        <w:instrText>b02e2eea54af1825aaaae9e79496c</w:instrText>
      </w:r>
      <w:r>
        <w:fldChar w:fldCharType="separate"/>
      </w:r>
      <w:r>
        <w:rPr>
          <w:noProof/>
        </w:rPr>
        <w:t>631</w:t>
      </w:r>
      <w:r>
        <w:fldChar w:fldCharType="end"/>
      </w:r>
    </w:p>
    <w:p w:rsidR="000A156F" w:rsidRDefault="00A9721F">
      <w:pPr>
        <w:pStyle w:val="indexentry0"/>
      </w:pPr>
      <w:hyperlink w:anchor="section_effb5b24826144ae9742ccf290c462ac">
        <w:r>
          <w:rPr>
            <w:rStyle w:val="Hyperlink"/>
          </w:rPr>
          <w:t>Additional attributes for writeProtection element (Part 1 - 17.15.1.93)</w:t>
        </w:r>
      </w:hyperlink>
      <w:r>
        <w:t xml:space="preserve"> </w:t>
      </w:r>
      <w:r>
        <w:fldChar w:fldCharType="begin"/>
      </w:r>
      <w:r>
        <w:instrText>PAGEREF section_effb5b24826144ae9742ccf290c462ac</w:instrText>
      </w:r>
      <w:r>
        <w:fldChar w:fldCharType="separate"/>
      </w:r>
      <w:r>
        <w:rPr>
          <w:noProof/>
        </w:rPr>
        <w:t>635</w:t>
      </w:r>
      <w:r>
        <w:fldChar w:fldCharType="end"/>
      </w:r>
    </w:p>
    <w:p w:rsidR="000A156F" w:rsidRDefault="00A9721F">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835</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837</w:t>
      </w:r>
      <w:r>
        <w:fldChar w:fldCharType="end"/>
      </w:r>
      <w:r>
        <w:t>)</w:t>
      </w:r>
    </w:p>
    <w:p w:rsidR="000A156F" w:rsidRDefault="00A9721F">
      <w:pPr>
        <w:pStyle w:val="indexentry0"/>
      </w:pPr>
      <w:hyperlink w:anchor="section_97a71be93d2143dbb1e3fe122b650d3b">
        <w:r>
          <w:rPr>
            <w:rStyle w:val="Hyperlink"/>
          </w:rPr>
          <w:t>Additional enumeration values for ST_StyleSort (Part 1 - 17.18.82)</w:t>
        </w:r>
      </w:hyperlink>
      <w:r>
        <w:t xml:space="preserve"> </w:t>
      </w:r>
      <w:r>
        <w:fldChar w:fldCharType="begin"/>
      </w:r>
      <w:r>
        <w:instrText>PAGEREF section_97a71be93d2143dbb1e3fe122b650d3b</w:instrText>
      </w:r>
      <w:r>
        <w:fldChar w:fldCharType="separate"/>
      </w:r>
      <w:r>
        <w:rPr>
          <w:noProof/>
        </w:rPr>
        <w:t>638</w:t>
      </w:r>
      <w:r>
        <w:fldChar w:fldCharType="end"/>
      </w:r>
    </w:p>
    <w:p w:rsidR="000A156F" w:rsidRDefault="00A9721F">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694</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839</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853</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w:instrText>
      </w:r>
      <w:r>
        <w:instrText>e45</w:instrText>
      </w:r>
      <w:r>
        <w:fldChar w:fldCharType="separate"/>
      </w:r>
      <w:r>
        <w:rPr>
          <w:noProof/>
        </w:rPr>
        <w:t>854</w:t>
      </w:r>
      <w:r>
        <w:fldChar w:fldCharType="end"/>
      </w:r>
      <w:r>
        <w:t>)</w:t>
      </w:r>
    </w:p>
    <w:p w:rsidR="000A156F" w:rsidRDefault="00A9721F">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846</w:t>
      </w:r>
      <w:r>
        <w:fldChar w:fldCharType="end"/>
      </w:r>
    </w:p>
    <w:p w:rsidR="000A156F" w:rsidRDefault="00A9721F">
      <w:pPr>
        <w:pStyle w:val="indexentry0"/>
      </w:pPr>
      <w:hyperlink w:anchor="section_f8e3c239322c488594094c0acc06b609">
        <w:r>
          <w:rPr>
            <w:rStyle w:val="Hyperlink"/>
          </w:rPr>
          <w:t>Additional WordprocessingML Schema</w:t>
        </w:r>
      </w:hyperlink>
      <w:r>
        <w:t xml:space="preserve"> </w:t>
      </w:r>
      <w:r>
        <w:fldChar w:fldCharType="begin"/>
      </w:r>
      <w:r>
        <w:instrText>PAG</w:instrText>
      </w:r>
      <w:r>
        <w:instrText>EREF section_f8e3c239322c488594094c0acc06b609</w:instrText>
      </w:r>
      <w:r>
        <w:fldChar w:fldCharType="separate"/>
      </w:r>
      <w:r>
        <w:rPr>
          <w:noProof/>
        </w:rPr>
        <w:t>795</w:t>
      </w:r>
      <w:r>
        <w:fldChar w:fldCharType="end"/>
      </w:r>
    </w:p>
    <w:p w:rsidR="000A156F" w:rsidRDefault="00A9721F">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398</w:t>
      </w:r>
      <w:r>
        <w:fldChar w:fldCharType="end"/>
      </w:r>
    </w:p>
    <w:p w:rsidR="000A156F" w:rsidRDefault="00A9721F">
      <w:pPr>
        <w:pStyle w:val="indexentry0"/>
      </w:pPr>
      <w:hyperlink w:anchor="section_9ca3f9d657da45608daac53116a60fa3">
        <w:r>
          <w:rPr>
            <w:rStyle w:val="Hyperlink"/>
          </w:rPr>
          <w:t>ADDRESSBLOCK</w:t>
        </w:r>
      </w:hyperlink>
      <w:r>
        <w:t xml:space="preserve"> </w:t>
      </w:r>
      <w:r>
        <w:fldChar w:fldCharType="begin"/>
      </w:r>
      <w:r>
        <w:instrText xml:space="preserve">PAGEREF </w:instrText>
      </w:r>
      <w:r>
        <w:instrText>section_9ca3f9d657da45608daac53116a60fa3</w:instrText>
      </w:r>
      <w:r>
        <w:fldChar w:fldCharType="separate"/>
      </w:r>
      <w:r>
        <w:rPr>
          <w:noProof/>
        </w:rPr>
        <w:t>166</w:t>
      </w:r>
      <w:r>
        <w:fldChar w:fldCharType="end"/>
      </w:r>
    </w:p>
    <w:p w:rsidR="000A156F" w:rsidRDefault="00A9721F">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section_a9b2a24bc8f94d7c90adfd2fda3d0aa1</w:instrText>
      </w:r>
      <w:r>
        <w:fldChar w:fldCharType="separate"/>
      </w:r>
      <w:r>
        <w:rPr>
          <w:noProof/>
        </w:rPr>
        <w:t>590</w:t>
      </w:r>
      <w:r>
        <w:fldChar w:fldCharType="end"/>
      </w:r>
    </w:p>
    <w:p w:rsidR="000A156F" w:rsidRDefault="00A9721F">
      <w:pPr>
        <w:pStyle w:val="indexentry0"/>
      </w:pPr>
      <w:hyperlink w:anchor="section_fc652f822fbf477887ff9b52fab9d600">
        <w:r>
          <w:rPr>
            <w:rStyle w:val="Hyperlink"/>
          </w:rPr>
          <w:t>ADVANCE</w:t>
        </w:r>
      </w:hyperlink>
      <w:r>
        <w:t xml:space="preserve"> </w:t>
      </w:r>
      <w:r>
        <w:fldChar w:fldCharType="begin"/>
      </w:r>
      <w:r>
        <w:instrText>PAGEREF</w:instrText>
      </w:r>
      <w:r>
        <w:instrText xml:space="preserve"> section_fc652f822fbf477887ff9b52fab9d600</w:instrText>
      </w:r>
      <w:r>
        <w:fldChar w:fldCharType="separate"/>
      </w:r>
      <w:r>
        <w:rPr>
          <w:noProof/>
        </w:rPr>
        <w:t>184</w:t>
      </w:r>
      <w:r>
        <w:fldChar w:fldCharType="end"/>
      </w:r>
    </w:p>
    <w:p w:rsidR="000A156F" w:rsidRDefault="00A9721F">
      <w:pPr>
        <w:pStyle w:val="indexentry0"/>
      </w:pPr>
      <w:hyperlink w:anchor="section_77414b44c8aa44f4a53d9193475e7dcb">
        <w:r>
          <w:rPr>
            <w:rStyle w:val="Hyperlink"/>
          </w:rPr>
          <w:t>Agreements</w:t>
        </w:r>
      </w:hyperlink>
      <w:r>
        <w:t xml:space="preserve"> </w:t>
      </w:r>
      <w:r>
        <w:fldChar w:fldCharType="begin"/>
      </w:r>
      <w:r>
        <w:instrText>PAGEREF section_77414b44c8aa44f4a53d9193475e7dcb</w:instrText>
      </w:r>
      <w:r>
        <w:fldChar w:fldCharType="separate"/>
      </w:r>
      <w:r>
        <w:rPr>
          <w:noProof/>
        </w:rPr>
        <w:t>881</w:t>
      </w:r>
      <w:r>
        <w:fldChar w:fldCharType="end"/>
      </w:r>
    </w:p>
    <w:p w:rsidR="000A156F" w:rsidRDefault="00A9721F">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519</w:t>
      </w:r>
      <w:r>
        <w:fldChar w:fldCharType="end"/>
      </w:r>
    </w:p>
    <w:p w:rsidR="000A156F" w:rsidRDefault="00A9721F">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519</w:t>
      </w:r>
      <w:r>
        <w:fldChar w:fldCharType="end"/>
      </w:r>
    </w:p>
    <w:p w:rsidR="000A156F" w:rsidRDefault="00A9721F">
      <w:pPr>
        <w:pStyle w:val="indexentry0"/>
      </w:pPr>
      <w:hyperlink w:anchor="section_a8bca340ed81482c84ca7f105a1a11cf">
        <w:r>
          <w:rPr>
            <w:rStyle w:val="Hyperlink"/>
          </w:rPr>
          <w:t>aliases (Alternate Style Names)</w:t>
        </w:r>
      </w:hyperlink>
      <w:r>
        <w:t xml:space="preserve"> </w:t>
      </w:r>
      <w:r>
        <w:fldChar w:fldCharType="begin"/>
      </w:r>
      <w:r>
        <w:instrText>PAGEREF section_a8bca340ed81482c84ca7f105a1a11cf</w:instrText>
      </w:r>
      <w:r>
        <w:fldChar w:fldCharType="separate"/>
      </w:r>
      <w:r>
        <w:rPr>
          <w:noProof/>
        </w:rPr>
        <w:t>105</w:t>
      </w:r>
      <w:r>
        <w:fldChar w:fldCharType="end"/>
      </w:r>
    </w:p>
    <w:p w:rsidR="000A156F" w:rsidRDefault="00A9721F">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295</w:t>
      </w:r>
      <w:r>
        <w:fldChar w:fldCharType="end"/>
      </w:r>
    </w:p>
    <w:p w:rsidR="000A156F" w:rsidRDefault="00A9721F">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160</w:t>
      </w:r>
      <w:r>
        <w:fldChar w:fldCharType="end"/>
      </w:r>
    </w:p>
    <w:p w:rsidR="000A156F" w:rsidRDefault="00A9721F">
      <w:pPr>
        <w:pStyle w:val="indexentry0"/>
      </w:pPr>
      <w:hyperlink w:anchor="section_2325459a45fc4ed481f209cf0696c03f">
        <w:r>
          <w:rPr>
            <w:rStyle w:val="Hyperlink"/>
          </w:rPr>
          <w:t>aln (Alignment)</w:t>
        </w:r>
      </w:hyperlink>
      <w:r>
        <w:t xml:space="preserve"> </w:t>
      </w:r>
      <w:r>
        <w:fldChar w:fldCharType="begin"/>
      </w:r>
      <w:r>
        <w:instrText>PAGEREF section_2325459a45fc4ed4</w:instrText>
      </w:r>
      <w:r>
        <w:instrText>81f209cf0696c03f</w:instrText>
      </w:r>
      <w:r>
        <w:fldChar w:fldCharType="separate"/>
      </w:r>
      <w:r>
        <w:rPr>
          <w:noProof/>
        </w:rPr>
        <w:t>601</w:t>
      </w:r>
      <w:r>
        <w:fldChar w:fldCharType="end"/>
      </w:r>
    </w:p>
    <w:p w:rsidR="000A156F" w:rsidRDefault="00A9721F">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499</w:t>
      </w:r>
      <w:r>
        <w:fldChar w:fldCharType="end"/>
      </w:r>
    </w:p>
    <w:p w:rsidR="000A156F" w:rsidRDefault="00A9721F">
      <w:pPr>
        <w:pStyle w:val="indexentry0"/>
      </w:pPr>
      <w:hyperlink w:anchor="section_88c6f94c01654e828f963694069f6361">
        <w:r>
          <w:rPr>
            <w:rStyle w:val="Hyperlink"/>
          </w:rPr>
          <w:t>alphaInv (Alpha Inverse Effect)</w:t>
        </w:r>
      </w:hyperlink>
      <w:r>
        <w:t xml:space="preserve"> </w:t>
      </w:r>
      <w:r>
        <w:fldChar w:fldCharType="begin"/>
      </w:r>
      <w:r>
        <w:instrText>PAGEREF sect</w:instrText>
      </w:r>
      <w:r>
        <w:instrText>ion_88c6f94c01654e828f963694069f6361</w:instrText>
      </w:r>
      <w:r>
        <w:fldChar w:fldCharType="separate"/>
      </w:r>
      <w:r>
        <w:rPr>
          <w:noProof/>
        </w:rPr>
        <w:t>514</w:t>
      </w:r>
      <w:r>
        <w:fldChar w:fldCharType="end"/>
      </w:r>
    </w:p>
    <w:p w:rsidR="000A156F" w:rsidRDefault="00A9721F">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515</w:t>
      </w:r>
      <w:r>
        <w:fldChar w:fldCharType="end"/>
      </w:r>
    </w:p>
    <w:p w:rsidR="000A156F" w:rsidRDefault="00A9721F">
      <w:pPr>
        <w:pStyle w:val="indexentry0"/>
      </w:pPr>
      <w:hyperlink w:anchor="section_82fa840c591d48d5b9300146192f4142">
        <w:r>
          <w:rPr>
            <w:rStyle w:val="Hyperlink"/>
          </w:rPr>
          <w:t>alphaMo</w:t>
        </w:r>
        <w:r>
          <w:rPr>
            <w:rStyle w:val="Hyperlink"/>
          </w:rPr>
          <w:t>d (Alpha Modulation)</w:t>
        </w:r>
      </w:hyperlink>
      <w:r>
        <w:t xml:space="preserve"> </w:t>
      </w:r>
      <w:r>
        <w:fldChar w:fldCharType="begin"/>
      </w:r>
      <w:r>
        <w:instrText>PAGEREF section_82fa840c591d48d5b9300146192f4142</w:instrText>
      </w:r>
      <w:r>
        <w:fldChar w:fldCharType="separate"/>
      </w:r>
      <w:r>
        <w:rPr>
          <w:noProof/>
        </w:rPr>
        <w:t>499</w:t>
      </w:r>
      <w:r>
        <w:fldChar w:fldCharType="end"/>
      </w:r>
    </w:p>
    <w:p w:rsidR="000A156F" w:rsidRDefault="00A9721F">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515</w:t>
      </w:r>
      <w:r>
        <w:fldChar w:fldCharType="end"/>
      </w:r>
    </w:p>
    <w:p w:rsidR="000A156F" w:rsidRDefault="00A9721F">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499</w:t>
      </w:r>
      <w:r>
        <w:fldChar w:fldCharType="end"/>
      </w:r>
    </w:p>
    <w:p w:rsidR="000A156F" w:rsidRDefault="00A9721F">
      <w:pPr>
        <w:pStyle w:val="indexentry0"/>
      </w:pPr>
      <w:hyperlink w:anchor="section_c391c28f1b034a21a4f84d9cddd4a95c">
        <w:r>
          <w:rPr>
            <w:rStyle w:val="Hyperlink"/>
          </w:rPr>
          <w:t>altChunk (Anchor for Imported External Content)</w:t>
        </w:r>
      </w:hyperlink>
      <w:r>
        <w:t xml:space="preserve"> </w:t>
      </w:r>
      <w:r>
        <w:fldChar w:fldCharType="begin"/>
      </w:r>
      <w:r>
        <w:instrText>PAGERE</w:instrText>
      </w:r>
      <w:r>
        <w:instrText>F section_c391c28f1b034a21a4f84d9cddd4a95c</w:instrText>
      </w:r>
      <w:r>
        <w:fldChar w:fldCharType="separate"/>
      </w:r>
      <w:r>
        <w:rPr>
          <w:noProof/>
        </w:rPr>
        <w:t>226</w:t>
      </w:r>
      <w:r>
        <w:fldChar w:fldCharType="end"/>
      </w:r>
    </w:p>
    <w:p w:rsidR="000A156F" w:rsidRDefault="00A9721F">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120</w:t>
      </w:r>
      <w:r>
        <w:fldChar w:fldCharType="end"/>
      </w:r>
    </w:p>
    <w:p w:rsidR="000A156F" w:rsidRDefault="00A9721F">
      <w:pPr>
        <w:pStyle w:val="indexentry0"/>
      </w:pPr>
      <w:hyperlink w:anchor="section_9f6e8efb597047108b6a26e75256d593">
        <w:r>
          <w:rPr>
            <w:rStyle w:val="Hyperlink"/>
          </w:rPr>
          <w:t>alwaysMergeEmptyNamespace (Do Not Mark Custom XML Elements With No Namespace As Invalid)</w:t>
        </w:r>
      </w:hyperlink>
      <w:r>
        <w:t xml:space="preserve"> </w:t>
      </w:r>
      <w:r>
        <w:fldChar w:fldCharType="begin"/>
      </w:r>
      <w:r>
        <w:instrText>PAGEREF section_9f6e8efb597047108b6a26e75256d593</w:instrText>
      </w:r>
      <w:r>
        <w:fldChar w:fldCharType="separate"/>
      </w:r>
      <w:r>
        <w:rPr>
          <w:noProof/>
        </w:rPr>
        <w:t>147</w:t>
      </w:r>
      <w:r>
        <w:fldChar w:fldCharType="end"/>
      </w:r>
    </w:p>
    <w:p w:rsidR="000A156F" w:rsidRDefault="00A9721F">
      <w:pPr>
        <w:pStyle w:val="indexentry0"/>
      </w:pPr>
      <w:hyperlink w:anchor="section_de52a81e371a46f5a1041dec10fc3df2">
        <w:r>
          <w:rPr>
            <w:rStyle w:val="Hyperlink"/>
          </w:rPr>
          <w:t>AMORDEGRC</w:t>
        </w:r>
      </w:hyperlink>
      <w:r>
        <w:t xml:space="preserve"> </w:t>
      </w:r>
      <w:r>
        <w:fldChar w:fldCharType="begin"/>
      </w:r>
      <w:r>
        <w:instrText>PAGEREF section_de52a81e371a46f5a1041de</w:instrText>
      </w:r>
      <w:r>
        <w:instrText>c10fc3df2</w:instrText>
      </w:r>
      <w:r>
        <w:fldChar w:fldCharType="separate"/>
      </w:r>
      <w:r>
        <w:rPr>
          <w:noProof/>
        </w:rPr>
        <w:t>398</w:t>
      </w:r>
      <w:r>
        <w:fldChar w:fldCharType="end"/>
      </w:r>
    </w:p>
    <w:p w:rsidR="000A156F" w:rsidRDefault="00A9721F">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399</w:t>
      </w:r>
      <w:r>
        <w:fldChar w:fldCharType="end"/>
      </w:r>
    </w:p>
    <w:p w:rsidR="000A156F" w:rsidRDefault="00A9721F">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section_21286105b705441b9cc5d423121ec06a</w:instrText>
      </w:r>
      <w:r>
        <w:fldChar w:fldCharType="separate"/>
      </w:r>
      <w:r>
        <w:rPr>
          <w:noProof/>
        </w:rPr>
        <w:t>531</w:t>
      </w:r>
      <w:r>
        <w:fldChar w:fldCharType="end"/>
      </w:r>
    </w:p>
    <w:p w:rsidR="000A156F" w:rsidRDefault="00A9721F">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507</w:t>
      </w:r>
      <w:r>
        <w:fldChar w:fldCharType="end"/>
      </w:r>
    </w:p>
    <w:p w:rsidR="000A156F" w:rsidRDefault="00A9721F">
      <w:pPr>
        <w:pStyle w:val="indexentry0"/>
      </w:pPr>
      <w:hyperlink w:anchor="section_200aa15e618e45e491d6daba55597a7d">
        <w:r>
          <w:rPr>
            <w:rStyle w:val="Hyperlink"/>
          </w:rPr>
          <w:t>Anchor</w:t>
        </w:r>
        <w:r>
          <w:rPr>
            <w:rStyle w:val="Hyperlink"/>
          </w:rPr>
          <w:t xml:space="preserve"> (Anchor)</w:t>
        </w:r>
      </w:hyperlink>
      <w:r>
        <w:t xml:space="preserve"> </w:t>
      </w:r>
      <w:r>
        <w:fldChar w:fldCharType="begin"/>
      </w:r>
      <w:r>
        <w:instrText>PAGEREF section_200aa15e618e45e491d6daba55597a7d</w:instrText>
      </w:r>
      <w:r>
        <w:fldChar w:fldCharType="separate"/>
      </w:r>
      <w:r>
        <w:rPr>
          <w:noProof/>
        </w:rPr>
        <w:t>683</w:t>
      </w:r>
      <w:r>
        <w:fldChar w:fldCharType="end"/>
      </w:r>
    </w:p>
    <w:p w:rsidR="000A156F" w:rsidRDefault="00A9721F">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250</w:t>
      </w:r>
      <w:r>
        <w:fldChar w:fldCharType="end"/>
      </w:r>
    </w:p>
    <w:p w:rsidR="000A156F" w:rsidRDefault="00A9721F">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471</w:t>
      </w:r>
      <w:r>
        <w:fldChar w:fldCharType="end"/>
      </w:r>
    </w:p>
    <w:p w:rsidR="000A156F" w:rsidRDefault="00A9721F">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w:instrText>
      </w:r>
      <w:r>
        <w:instrText>8d9880d0799fb26b0f</w:instrText>
      </w:r>
      <w:r>
        <w:fldChar w:fldCharType="separate"/>
      </w:r>
      <w:r>
        <w:rPr>
          <w:noProof/>
        </w:rPr>
        <w:t>472</w:t>
      </w:r>
      <w:r>
        <w:fldChar w:fldCharType="end"/>
      </w:r>
    </w:p>
    <w:p w:rsidR="000A156F" w:rsidRDefault="00A9721F">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472</w:t>
      </w:r>
      <w:r>
        <w:fldChar w:fldCharType="end"/>
      </w:r>
    </w:p>
    <w:p w:rsidR="000A156F" w:rsidRDefault="00A9721F">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473</w:t>
      </w:r>
      <w:r>
        <w:fldChar w:fldCharType="end"/>
      </w:r>
    </w:p>
    <w:p w:rsidR="000A156F" w:rsidRDefault="00A9721F">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474</w:t>
      </w:r>
      <w:r>
        <w:fldChar w:fldCharType="end"/>
      </w:r>
    </w:p>
    <w:p w:rsidR="000A156F" w:rsidRDefault="00A9721F">
      <w:pPr>
        <w:pStyle w:val="indexentry0"/>
      </w:pPr>
      <w:hyperlink w:anchor="section_358c6de32cd7459b8eb9b90f3721fd12">
        <w:r>
          <w:rPr>
            <w:rStyle w:val="Hyperlink"/>
          </w:rPr>
          <w:t>a</w:t>
        </w:r>
        <w:r>
          <w:rPr>
            <w:rStyle w:val="Hyperlink"/>
          </w:rPr>
          <w:t>nimScale (Animate Scale)</w:t>
        </w:r>
      </w:hyperlink>
      <w:r>
        <w:t xml:space="preserve"> </w:t>
      </w:r>
      <w:r>
        <w:fldChar w:fldCharType="begin"/>
      </w:r>
      <w:r>
        <w:instrText>PAGEREF section_358c6de32cd7459b8eb9b90f3721fd12</w:instrText>
      </w:r>
      <w:r>
        <w:fldChar w:fldCharType="separate"/>
      </w:r>
      <w:r>
        <w:rPr>
          <w:noProof/>
        </w:rPr>
        <w:t>475</w:t>
      </w:r>
      <w:r>
        <w:fldChar w:fldCharType="end"/>
      </w:r>
    </w:p>
    <w:p w:rsidR="000A156F" w:rsidRDefault="00A9721F">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49</w:t>
      </w:r>
      <w:r>
        <w:fldChar w:fldCharType="end"/>
      </w:r>
    </w:p>
    <w:p w:rsidR="000A156F" w:rsidRDefault="00A9721F">
      <w:pPr>
        <w:pStyle w:val="indexentry0"/>
      </w:pPr>
      <w:hyperlink w:anchor="section_38917d35404040a79ad61d6b07d983f4">
        <w:r>
          <w:rPr>
            <w:rStyle w:val="Hyperlink"/>
          </w:rPr>
          <w:t>ApplicationVersion (Application Version)</w:t>
        </w:r>
      </w:hyperlink>
      <w:r>
        <w:t xml:space="preserve"> </w:t>
      </w:r>
      <w:r>
        <w:fldChar w:fldCharType="begin"/>
      </w:r>
      <w:r>
        <w:instrText>PAGEREF section_38917d35404040a79ad61d6b07d983f4</w:instrText>
      </w:r>
      <w:r>
        <w:fldChar w:fldCharType="separate"/>
      </w:r>
      <w:r>
        <w:rPr>
          <w:noProof/>
        </w:rPr>
        <w:t>889</w:t>
      </w:r>
      <w:r>
        <w:fldChar w:fldCharType="end"/>
      </w:r>
    </w:p>
    <w:p w:rsidR="000A156F" w:rsidRDefault="00A9721F">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w:instrText>
      </w:r>
      <w:r>
        <w:instrText>GEREF section_61e2927d6fad483d9e933a00bb8620fb</w:instrText>
      </w:r>
      <w:r>
        <w:fldChar w:fldCharType="separate"/>
      </w:r>
      <w:r>
        <w:rPr>
          <w:noProof/>
        </w:rPr>
        <w:t>163</w:t>
      </w:r>
      <w:r>
        <w:fldChar w:fldCharType="end"/>
      </w:r>
    </w:p>
    <w:p w:rsidR="000A156F" w:rsidRDefault="00A9721F">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550</w:t>
      </w:r>
      <w:r>
        <w:fldChar w:fldCharType="end"/>
      </w:r>
    </w:p>
    <w:p w:rsidR="000A156F" w:rsidRDefault="00A9721F">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section_82ee2e510df44d6a86c46529093bae80</w:instrText>
      </w:r>
      <w:r>
        <w:fldChar w:fldCharType="separate"/>
      </w:r>
      <w:r>
        <w:rPr>
          <w:noProof/>
        </w:rPr>
        <w:t>551</w:t>
      </w:r>
      <w:r>
        <w:fldChar w:fldCharType="end"/>
      </w:r>
    </w:p>
    <w:p w:rsidR="000A156F" w:rsidRDefault="00A9721F">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612</w:t>
      </w:r>
      <w:r>
        <w:fldChar w:fldCharType="end"/>
      </w:r>
    </w:p>
    <w:p w:rsidR="000A156F" w:rsidRDefault="00A9721F">
      <w:pPr>
        <w:pStyle w:val="indexentry0"/>
      </w:pPr>
      <w:hyperlink w:anchor="section_d019f23f597743d8b46399ba8f6784eb">
        <w:r>
          <w:rPr>
            <w:rStyle w:val="Hyperlink"/>
          </w:rPr>
          <w:t>arc (Arc Segment)</w:t>
        </w:r>
      </w:hyperlink>
      <w:r>
        <w:t xml:space="preserve"> </w:t>
      </w:r>
      <w:r>
        <w:fldChar w:fldCharType="begin"/>
      </w:r>
      <w:r>
        <w:instrText>PAGEREF section_d019f23f597743d8b46399ba8f6784eb</w:instrText>
      </w:r>
      <w:r>
        <w:fldChar w:fldCharType="separate"/>
      </w:r>
      <w:r>
        <w:rPr>
          <w:noProof/>
        </w:rPr>
        <w:t>639</w:t>
      </w:r>
      <w:r>
        <w:fldChar w:fldCharType="end"/>
      </w:r>
    </w:p>
    <w:p w:rsidR="000A156F" w:rsidRDefault="00A9721F">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551</w:t>
      </w:r>
      <w:r>
        <w:fldChar w:fldCharType="end"/>
      </w:r>
    </w:p>
    <w:p w:rsidR="000A156F" w:rsidRDefault="00A9721F">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400</w:t>
      </w:r>
      <w:r>
        <w:fldChar w:fldCharType="end"/>
      </w:r>
    </w:p>
    <w:p w:rsidR="000A156F" w:rsidRDefault="00A9721F">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617</w:t>
      </w:r>
      <w:r>
        <w:fldChar w:fldCharType="end"/>
      </w:r>
    </w:p>
    <w:p w:rsidR="000A156F" w:rsidRDefault="00A9721F">
      <w:pPr>
        <w:pStyle w:val="indexentry0"/>
      </w:pPr>
      <w:hyperlink w:anchor="section_b2400668ba0d40b38365416d843e5aa4">
        <w:r>
          <w:rPr>
            <w:rStyle w:val="Hyperlink"/>
          </w:rPr>
          <w:t>Array Formulas</w:t>
        </w:r>
      </w:hyperlink>
      <w:r>
        <w:t xml:space="preserve"> </w:t>
      </w:r>
      <w:r>
        <w:fldChar w:fldCharType="begin"/>
      </w:r>
      <w:r>
        <w:instrText>PAGEREF section_b2400668ba0d40b38365416d843e5aa4</w:instrText>
      </w:r>
      <w:r>
        <w:fldChar w:fldCharType="separate"/>
      </w:r>
      <w:r>
        <w:rPr>
          <w:noProof/>
        </w:rPr>
        <w:t>396</w:t>
      </w:r>
      <w:r>
        <w:fldChar w:fldCharType="end"/>
      </w:r>
    </w:p>
    <w:p w:rsidR="000A156F" w:rsidRDefault="00A9721F">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400</w:t>
      </w:r>
      <w:r>
        <w:fldChar w:fldCharType="end"/>
      </w:r>
    </w:p>
    <w:p w:rsidR="000A156F" w:rsidRDefault="00A9721F">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400</w:t>
      </w:r>
      <w:r>
        <w:fldChar w:fldCharType="end"/>
      </w:r>
    </w:p>
    <w:p w:rsidR="000A156F" w:rsidRDefault="00A9721F">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400</w:t>
      </w:r>
      <w:r>
        <w:fldChar w:fldCharType="end"/>
      </w:r>
    </w:p>
    <w:p w:rsidR="000A156F" w:rsidRDefault="00A9721F">
      <w:pPr>
        <w:pStyle w:val="indexentry0"/>
      </w:pPr>
      <w:hyperlink w:anchor="section_ddf1af4005c3432881aa629658ddfbde">
        <w:r>
          <w:rPr>
            <w:rStyle w:val="Hyperlink"/>
          </w:rPr>
          <w:t>ATAN2</w:t>
        </w:r>
      </w:hyperlink>
      <w:r>
        <w:t xml:space="preserve"> </w:t>
      </w:r>
      <w:r>
        <w:fldChar w:fldCharType="begin"/>
      </w:r>
      <w:r>
        <w:instrText>PAGEREF section_ddf1af4005c3432881aa629658ddfbde</w:instrText>
      </w:r>
      <w:r>
        <w:fldChar w:fldCharType="separate"/>
      </w:r>
      <w:r>
        <w:rPr>
          <w:noProof/>
        </w:rPr>
        <w:t>400</w:t>
      </w:r>
      <w:r>
        <w:fldChar w:fldCharType="end"/>
      </w:r>
    </w:p>
    <w:p w:rsidR="000A156F" w:rsidRDefault="00A9721F">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w:instrText>
      </w:r>
      <w:r>
        <w:instrText>934498b4e5b0bc0abdf97d</w:instrText>
      </w:r>
      <w:r>
        <w:fldChar w:fldCharType="separate"/>
      </w:r>
      <w:r>
        <w:rPr>
          <w:noProof/>
        </w:rPr>
        <w:t>147</w:t>
      </w:r>
      <w:r>
        <w:fldChar w:fldCharType="end"/>
      </w:r>
    </w:p>
    <w:p w:rsidR="000A156F" w:rsidRDefault="00A9721F">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95</w:t>
      </w:r>
      <w:r>
        <w:fldChar w:fldCharType="end"/>
      </w:r>
    </w:p>
    <w:p w:rsidR="000A156F" w:rsidRDefault="00A9721F">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95</w:t>
      </w:r>
      <w:r>
        <w:fldChar w:fldCharType="end"/>
      </w:r>
    </w:p>
    <w:p w:rsidR="000A156F" w:rsidRDefault="00A9721F">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475</w:t>
      </w:r>
      <w:r>
        <w:fldChar w:fldCharType="end"/>
      </w:r>
    </w:p>
    <w:p w:rsidR="000A156F" w:rsidRDefault="00A9721F">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476</w:t>
      </w:r>
      <w:r>
        <w:fldChar w:fldCharType="end"/>
      </w:r>
    </w:p>
    <w:p w:rsidR="000A156F" w:rsidRDefault="00A9721F">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504</w:t>
      </w:r>
      <w:r>
        <w:fldChar w:fldCharType="end"/>
      </w:r>
    </w:p>
    <w:p w:rsidR="000A156F" w:rsidRDefault="00A9721F">
      <w:pPr>
        <w:pStyle w:val="indexentry0"/>
      </w:pPr>
      <w:hyperlink w:anchor="section_dc04613da39c452b8c1088e60dd06752">
        <w:r>
          <w:rPr>
            <w:rStyle w:val="Hyperlink"/>
          </w:rPr>
          <w:t>AUTHOR</w:t>
        </w:r>
      </w:hyperlink>
      <w:r>
        <w:t xml:space="preserve"> </w:t>
      </w:r>
      <w:r>
        <w:fldChar w:fldCharType="begin"/>
      </w:r>
      <w:r>
        <w:instrText>PAGEREF section_dc04613da39c452b8c1088e60dd06752</w:instrText>
      </w:r>
      <w:r>
        <w:fldChar w:fldCharType="separate"/>
      </w:r>
      <w:r>
        <w:rPr>
          <w:noProof/>
        </w:rPr>
        <w:t>184</w:t>
      </w:r>
      <w:r>
        <w:fldChar w:fldCharType="end"/>
      </w:r>
    </w:p>
    <w:p w:rsidR="000A156F" w:rsidRDefault="00A9721F">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295</w:t>
      </w:r>
      <w:r>
        <w:fldChar w:fldCharType="end"/>
      </w:r>
    </w:p>
    <w:p w:rsidR="000A156F" w:rsidRDefault="00A9721F">
      <w:pPr>
        <w:pStyle w:val="indexentry0"/>
      </w:pPr>
      <w:hyperlink w:anchor="section_d28cd33776744dc087ae1050611b4c38">
        <w:r>
          <w:rPr>
            <w:rStyle w:val="Hyperlink"/>
          </w:rPr>
          <w:t>Author (Contributors List)</w:t>
        </w:r>
      </w:hyperlink>
      <w:r>
        <w:t xml:space="preserve"> </w:t>
      </w:r>
      <w:r>
        <w:fldChar w:fldCharType="begin"/>
      </w:r>
      <w:r>
        <w:instrText>PAGEREF section_d28cd33776744dc087ae1050611b4c38</w:instrText>
      </w:r>
      <w:r>
        <w:fldChar w:fldCharType="separate"/>
      </w:r>
      <w:r>
        <w:rPr>
          <w:noProof/>
        </w:rPr>
        <w:t>619</w:t>
      </w:r>
      <w:r>
        <w:fldChar w:fldCharType="end"/>
      </w:r>
    </w:p>
    <w:p w:rsidR="000A156F" w:rsidRDefault="00A9721F">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148</w:t>
      </w:r>
      <w:r>
        <w:fldChar w:fldCharType="end"/>
      </w:r>
    </w:p>
    <w:p w:rsidR="000A156F" w:rsidRDefault="00A9721F">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148</w:t>
      </w:r>
      <w:r>
        <w:fldChar w:fldCharType="end"/>
      </w:r>
    </w:p>
    <w:p w:rsidR="000A156F" w:rsidRDefault="00A9721F">
      <w:pPr>
        <w:pStyle w:val="indexentry0"/>
      </w:pPr>
      <w:hyperlink w:anchor="section_63d742473a6643a9a08a3e59be0fdb06">
        <w:r>
          <w:rPr>
            <w:rStyle w:val="Hyperlink"/>
          </w:rPr>
          <w:t>AutoFill (AutoFill)</w:t>
        </w:r>
      </w:hyperlink>
      <w:r>
        <w:t xml:space="preserve"> </w:t>
      </w:r>
      <w:r>
        <w:fldChar w:fldCharType="begin"/>
      </w:r>
      <w:r>
        <w:instrText>PAGEREF se</w:instrText>
      </w:r>
      <w:r>
        <w:instrText>ction_63d742473a6643a9a08a3e59be0fdb06</w:instrText>
      </w:r>
      <w:r>
        <w:fldChar w:fldCharType="separate"/>
      </w:r>
      <w:r>
        <w:rPr>
          <w:noProof/>
        </w:rPr>
        <w:t>683</w:t>
      </w:r>
      <w:r>
        <w:fldChar w:fldCharType="end"/>
      </w:r>
    </w:p>
    <w:p w:rsidR="000A156F" w:rsidRDefault="00A9721F">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148</w:t>
      </w:r>
      <w:r>
        <w:fldChar w:fldCharType="end"/>
      </w:r>
    </w:p>
    <w:p w:rsidR="000A156F" w:rsidRDefault="00A9721F">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683</w:t>
      </w:r>
      <w:r>
        <w:fldChar w:fldCharType="end"/>
      </w:r>
    </w:p>
    <w:p w:rsidR="000A156F" w:rsidRDefault="00A9721F">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636</w:t>
      </w:r>
      <w:r>
        <w:fldChar w:fldCharType="end"/>
      </w:r>
    </w:p>
    <w:p w:rsidR="000A156F" w:rsidRDefault="00A9721F">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636</w:t>
      </w:r>
      <w:r>
        <w:fldChar w:fldCharType="end"/>
      </w:r>
    </w:p>
    <w:p w:rsidR="000A156F" w:rsidRDefault="00A9721F">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636</w:t>
      </w:r>
      <w:r>
        <w:fldChar w:fldCharType="end"/>
      </w:r>
    </w:p>
    <w:p w:rsidR="000A156F" w:rsidRDefault="00A9721F">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105</w:t>
      </w:r>
      <w:r>
        <w:fldChar w:fldCharType="end"/>
      </w:r>
    </w:p>
    <w:p w:rsidR="000A156F" w:rsidRDefault="00A9721F">
      <w:pPr>
        <w:pStyle w:val="indexentry0"/>
      </w:pPr>
      <w:hyperlink w:anchor="section_cb3929d36f594f6198a7bdf1698a2001">
        <w:r>
          <w:rPr>
            <w:rStyle w:val="Hyperlink"/>
          </w:rPr>
          <w:t>AutoScale (Font A</w:t>
        </w:r>
        <w:r>
          <w:rPr>
            <w:rStyle w:val="Hyperlink"/>
          </w:rPr>
          <w:t>utoScale)</w:t>
        </w:r>
      </w:hyperlink>
      <w:r>
        <w:t xml:space="preserve"> </w:t>
      </w:r>
      <w:r>
        <w:fldChar w:fldCharType="begin"/>
      </w:r>
      <w:r>
        <w:instrText>PAGEREF section_cb3929d36f594f6198a7bdf1698a2001</w:instrText>
      </w:r>
      <w:r>
        <w:fldChar w:fldCharType="separate"/>
      </w:r>
      <w:r>
        <w:rPr>
          <w:noProof/>
        </w:rPr>
        <w:t>683</w:t>
      </w:r>
      <w:r>
        <w:fldChar w:fldCharType="end"/>
      </w:r>
    </w:p>
    <w:p w:rsidR="000A156F" w:rsidRDefault="00A9721F">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326</w:t>
      </w:r>
      <w:r>
        <w:fldChar w:fldCharType="end"/>
      </w:r>
    </w:p>
    <w:p w:rsidR="000A156F" w:rsidRDefault="00A9721F">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551</w:t>
      </w:r>
      <w:r>
        <w:fldChar w:fldCharType="end"/>
      </w:r>
    </w:p>
    <w:p w:rsidR="000A156F" w:rsidRDefault="00A9721F">
      <w:pPr>
        <w:pStyle w:val="indexentry0"/>
      </w:pPr>
      <w:hyperlink w:anchor="section_87e066baf82f46a8b339df874e598d8b">
        <w:r>
          <w:rPr>
            <w:rStyle w:val="Hyperlink"/>
          </w:rPr>
          <w:t>AVEDEV</w:t>
        </w:r>
      </w:hyperlink>
      <w:r>
        <w:t xml:space="preserve"> </w:t>
      </w:r>
      <w:r>
        <w:fldChar w:fldCharType="begin"/>
      </w:r>
      <w:r>
        <w:instrText>PAGEREF section_87e066baf82f46</w:instrText>
      </w:r>
      <w:r>
        <w:instrText>a8b339df874e598d8b</w:instrText>
      </w:r>
      <w:r>
        <w:fldChar w:fldCharType="separate"/>
      </w:r>
      <w:r>
        <w:rPr>
          <w:noProof/>
        </w:rPr>
        <w:t>401</w:t>
      </w:r>
      <w:r>
        <w:fldChar w:fldCharType="end"/>
      </w:r>
    </w:p>
    <w:p w:rsidR="000A156F" w:rsidRDefault="00A9721F">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401</w:t>
      </w:r>
      <w:r>
        <w:fldChar w:fldCharType="end"/>
      </w:r>
    </w:p>
    <w:p w:rsidR="000A156F" w:rsidRDefault="00A9721F">
      <w:pPr>
        <w:pStyle w:val="indexentry0"/>
      </w:pPr>
      <w:hyperlink w:anchor="section_f1017281c95349629dde313dfc64d4c9">
        <w:r>
          <w:rPr>
            <w:rStyle w:val="Hyperlink"/>
          </w:rPr>
          <w:t>AVERAGEIF</w:t>
        </w:r>
      </w:hyperlink>
      <w:r>
        <w:t xml:space="preserve"> </w:t>
      </w:r>
      <w:r>
        <w:fldChar w:fldCharType="begin"/>
      </w:r>
      <w:r>
        <w:instrText>PAGEREF section_f1017281c95349629dde3</w:instrText>
      </w:r>
      <w:r>
        <w:instrText>13dfc64d4c9</w:instrText>
      </w:r>
      <w:r>
        <w:fldChar w:fldCharType="separate"/>
      </w:r>
      <w:r>
        <w:rPr>
          <w:noProof/>
        </w:rPr>
        <w:t>401</w:t>
      </w:r>
      <w:r>
        <w:fldChar w:fldCharType="end"/>
      </w:r>
    </w:p>
    <w:p w:rsidR="000A156F" w:rsidRDefault="00A9721F">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401</w:t>
      </w:r>
      <w:r>
        <w:fldChar w:fldCharType="end"/>
      </w:r>
    </w:p>
    <w:p w:rsidR="000A156F" w:rsidRDefault="00A9721F">
      <w:pPr>
        <w:pStyle w:val="indexentry0"/>
      </w:pPr>
      <w:hyperlink w:anchor="section_089f849ffcd64fa0a28135aa6a432a16">
        <w:r>
          <w:rPr>
            <w:rStyle w:val="Hyperlink"/>
          </w:rPr>
          <w:t>axId (Axis ID)</w:t>
        </w:r>
      </w:hyperlink>
      <w:r>
        <w:t xml:space="preserve"> </w:t>
      </w:r>
      <w:r>
        <w:fldChar w:fldCharType="begin"/>
      </w:r>
      <w:r>
        <w:instrText>PAGEREF section_089f849ffcd64fa0a2813</w:instrText>
      </w:r>
      <w:r>
        <w:instrText>5aa6a432a16</w:instrText>
      </w:r>
      <w:r>
        <w:fldChar w:fldCharType="separate"/>
      </w:r>
      <w:r>
        <w:rPr>
          <w:noProof/>
        </w:rPr>
        <w:t>551</w:t>
      </w:r>
      <w:r>
        <w:fldChar w:fldCharType="end"/>
      </w:r>
    </w:p>
    <w:p w:rsidR="000A156F" w:rsidRDefault="00A9721F">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551</w:t>
      </w:r>
      <w:r>
        <w:fldChar w:fldCharType="end"/>
      </w:r>
    </w:p>
    <w:p w:rsidR="000A156F" w:rsidRDefault="000A156F">
      <w:pPr>
        <w:spacing w:before="0" w:after="0"/>
        <w:rPr>
          <w:sz w:val="16"/>
        </w:rPr>
      </w:pPr>
    </w:p>
    <w:p w:rsidR="000A156F" w:rsidRDefault="00A9721F">
      <w:pPr>
        <w:pStyle w:val="indexheader"/>
      </w:pPr>
      <w:r>
        <w:t>B</w:t>
      </w:r>
    </w:p>
    <w:p w:rsidR="000A156F" w:rsidRDefault="000A156F">
      <w:pPr>
        <w:spacing w:before="0" w:after="0"/>
        <w:rPr>
          <w:sz w:val="16"/>
        </w:rPr>
      </w:pPr>
    </w:p>
    <w:p w:rsidR="000A156F" w:rsidRDefault="00A9721F">
      <w:pPr>
        <w:pStyle w:val="indexentry0"/>
      </w:pPr>
      <w:hyperlink w:anchor="section_03b9695ffd69435d90e6b1069aadf291">
        <w:r>
          <w:rPr>
            <w:rStyle w:val="Hyperlink"/>
          </w:rPr>
          <w:t>b (Bold)</w:t>
        </w:r>
      </w:hyperlink>
      <w:r>
        <w:t xml:space="preserve"> </w:t>
      </w:r>
      <w:r>
        <w:fldChar w:fldCharType="begin"/>
      </w:r>
      <w:r>
        <w:instrText>PAGEREF section_03b9695ffd69</w:instrText>
      </w:r>
      <w:r>
        <w:instrText>435d90e6b1069aadf291</w:instrText>
      </w:r>
      <w:r>
        <w:fldChar w:fldCharType="separate"/>
      </w:r>
      <w:r>
        <w:rPr>
          <w:noProof/>
        </w:rPr>
        <w:t>67</w:t>
      </w:r>
      <w:r>
        <w:fldChar w:fldCharType="end"/>
      </w:r>
    </w:p>
    <w:p w:rsidR="000A156F" w:rsidRDefault="00A9721F">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326</w:t>
      </w:r>
      <w:r>
        <w:fldChar w:fldCharType="end"/>
      </w:r>
    </w:p>
    <w:p w:rsidR="000A156F" w:rsidRDefault="00A9721F">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section_b46805cae0154353ae88e595d03e6249</w:instrText>
      </w:r>
      <w:r>
        <w:fldChar w:fldCharType="separate"/>
      </w:r>
      <w:r>
        <w:rPr>
          <w:noProof/>
        </w:rPr>
        <w:t>507</w:t>
      </w:r>
      <w:r>
        <w:fldChar w:fldCharType="end"/>
      </w:r>
    </w:p>
    <w:p w:rsidR="000A156F" w:rsidRDefault="00A9721F">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61</w:t>
      </w:r>
      <w:r>
        <w:fldChar w:fldCharType="end"/>
      </w:r>
      <w:r>
        <w:t xml:space="preserve">, </w:t>
      </w:r>
      <w:hyperlink w:anchor="section_96eb7103c6714831928122e64798c2e5">
        <w:r>
          <w:rPr>
            <w:rStyle w:val="Hyperlink"/>
          </w:rPr>
          <w:t>section 2.1.1791</w:t>
        </w:r>
      </w:hyperlink>
      <w:r>
        <w:t xml:space="preserve"> </w:t>
      </w:r>
      <w:r>
        <w:fldChar w:fldCharType="begin"/>
      </w:r>
      <w:r>
        <w:instrText>PAGEREF section_96eb7103c6714831928122e64798c2e5</w:instrText>
      </w:r>
      <w:r>
        <w:fldChar w:fldCharType="separate"/>
      </w:r>
      <w:r>
        <w:rPr>
          <w:noProof/>
        </w:rPr>
        <w:t>647</w:t>
      </w:r>
      <w:r>
        <w:fldChar w:fldCharType="end"/>
      </w:r>
      <w:r>
        <w:t>)</w:t>
      </w:r>
    </w:p>
    <w:p w:rsidR="000A156F" w:rsidRDefault="00A9721F">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551</w:t>
      </w:r>
      <w:r>
        <w:fldChar w:fldCharType="end"/>
      </w:r>
    </w:p>
    <w:p w:rsidR="000A156F" w:rsidRDefault="00A9721F">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551</w:t>
      </w:r>
      <w:r>
        <w:fldChar w:fldCharType="end"/>
      </w:r>
    </w:p>
    <w:p w:rsidR="000A156F" w:rsidRDefault="00A9721F">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506</w:t>
      </w:r>
      <w:r>
        <w:fldChar w:fldCharType="end"/>
      </w:r>
    </w:p>
    <w:p w:rsidR="000A156F" w:rsidRDefault="00A9721F">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506</w:t>
      </w:r>
      <w:r>
        <w:fldChar w:fldCharType="end"/>
      </w:r>
    </w:p>
    <w:p w:rsidR="000A156F" w:rsidRDefault="00A9721F">
      <w:pPr>
        <w:pStyle w:val="indexentry0"/>
      </w:pPr>
      <w:hyperlink w:anchor="section_7bcd4b6150c64a1a88cf5a29bdeb03cc">
        <w:r>
          <w:rPr>
            <w:rStyle w:val="Hyperlink"/>
          </w:rPr>
          <w:t>bandFmts (Band Formats)</w:t>
        </w:r>
      </w:hyperlink>
      <w:r>
        <w:t xml:space="preserve"> </w:t>
      </w:r>
      <w:r>
        <w:fldChar w:fldCharType="begin"/>
      </w:r>
      <w:r>
        <w:instrText>PAGEREF section_7bcd4b6150c64a1a88cf</w:instrText>
      </w:r>
      <w:r>
        <w:instrText>5a29bdeb03cc</w:instrText>
      </w:r>
      <w:r>
        <w:fldChar w:fldCharType="separate"/>
      </w:r>
      <w:r>
        <w:rPr>
          <w:noProof/>
        </w:rPr>
        <w:t>552</w:t>
      </w:r>
      <w:r>
        <w:fldChar w:fldCharType="end"/>
      </w:r>
    </w:p>
    <w:p w:rsidR="000A156F" w:rsidRDefault="00A9721F">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601</w:t>
      </w:r>
      <w:r>
        <w:fldChar w:fldCharType="end"/>
      </w:r>
    </w:p>
    <w:p w:rsidR="000A156F" w:rsidRDefault="00A9721F">
      <w:pPr>
        <w:pStyle w:val="indexentry0"/>
      </w:pPr>
      <w:hyperlink w:anchor="section_c2a35f2312704ca699140fa440d56fdf">
        <w:r>
          <w:rPr>
            <w:rStyle w:val="Hyperlink"/>
          </w:rPr>
          <w:t>bar (Paragraph Border Between Facing Pages)</w:t>
        </w:r>
      </w:hyperlink>
      <w:r>
        <w:t xml:space="preserve"> </w:t>
      </w:r>
      <w:r>
        <w:fldChar w:fldCharType="begin"/>
      </w:r>
      <w:r>
        <w:instrText xml:space="preserve">PAGEREF </w:instrText>
      </w:r>
      <w:r>
        <w:instrText>section_c2a35f2312704ca699140fa440d56fdf</w:instrText>
      </w:r>
      <w:r>
        <w:fldChar w:fldCharType="separate"/>
      </w:r>
      <w:r>
        <w:rPr>
          <w:noProof/>
        </w:rPr>
        <w:t>62</w:t>
      </w:r>
      <w:r>
        <w:fldChar w:fldCharType="end"/>
      </w:r>
    </w:p>
    <w:p w:rsidR="000A156F" w:rsidRDefault="00A9721F">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552</w:t>
      </w:r>
      <w:r>
        <w:fldChar w:fldCharType="end"/>
      </w:r>
    </w:p>
    <w:p w:rsidR="000A156F" w:rsidRDefault="00A9721F">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552</w:t>
      </w:r>
      <w:r>
        <w:fldChar w:fldCharType="end"/>
      </w:r>
    </w:p>
    <w:p w:rsidR="000A156F" w:rsidRDefault="00A9721F">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637</w:t>
      </w:r>
      <w:r>
        <w:fldChar w:fldCharType="end"/>
      </w:r>
    </w:p>
    <w:p w:rsidR="000A156F" w:rsidRDefault="00A9721F">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552</w:t>
      </w:r>
      <w:r>
        <w:fldChar w:fldCharType="end"/>
      </w:r>
    </w:p>
    <w:p w:rsidR="000A156F" w:rsidRDefault="00A9721F">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601</w:t>
      </w:r>
      <w:r>
        <w:fldChar w:fldCharType="end"/>
      </w:r>
    </w:p>
    <w:p w:rsidR="000A156F" w:rsidRDefault="00A9721F">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105</w:t>
      </w:r>
      <w:r>
        <w:fldChar w:fldCharType="end"/>
      </w:r>
    </w:p>
    <w:p w:rsidR="000A156F" w:rsidRDefault="00A9721F">
      <w:pPr>
        <w:pStyle w:val="indexentry0"/>
      </w:pPr>
      <w:hyperlink w:anchor="section_db8d16282e6c46e4962ed25e9bab147f">
        <w:r>
          <w:rPr>
            <w:rStyle w:val="Hyperlink"/>
          </w:rPr>
          <w:t>baseJc (Matrix Base Justification)</w:t>
        </w:r>
      </w:hyperlink>
      <w:r>
        <w:t xml:space="preserve"> </w:t>
      </w:r>
      <w:r>
        <w:fldChar w:fldCharType="begin"/>
      </w:r>
      <w:r>
        <w:instrText>PAGEREF section_db8d16282e6c46e4962ed25e9bab147f</w:instrText>
      </w:r>
      <w:r>
        <w:fldChar w:fldCharType="separate"/>
      </w:r>
      <w:r>
        <w:rPr>
          <w:noProof/>
        </w:rPr>
        <w:t>601</w:t>
      </w:r>
      <w:r>
        <w:fldChar w:fldCharType="end"/>
      </w:r>
    </w:p>
    <w:p w:rsidR="000A156F" w:rsidRDefault="00A9721F">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900</w:t>
      </w:r>
      <w:r>
        <w:fldChar w:fldCharType="end"/>
      </w:r>
    </w:p>
    <w:p w:rsidR="000A156F" w:rsidRDefault="00A9721F">
      <w:pPr>
        <w:pStyle w:val="indexentry0"/>
      </w:pPr>
      <w:hyperlink w:anchor="section_264d37471f124370b25cee2a812acf68">
        <w:r>
          <w:rPr>
            <w:rStyle w:val="Hyperlink"/>
          </w:rPr>
          <w:t>bCs (Complex Script Bold)</w:t>
        </w:r>
      </w:hyperlink>
      <w:r>
        <w:t xml:space="preserve"> </w:t>
      </w:r>
      <w:r>
        <w:fldChar w:fldCharType="begin"/>
      </w:r>
      <w:r>
        <w:instrText>PAGEREF section_264d37471f124370b25cee2a8</w:instrText>
      </w:r>
      <w:r>
        <w:instrText>12acf68</w:instrText>
      </w:r>
      <w:r>
        <w:fldChar w:fldCharType="separate"/>
      </w:r>
      <w:r>
        <w:rPr>
          <w:noProof/>
        </w:rPr>
        <w:t>67</w:t>
      </w:r>
      <w:r>
        <w:fldChar w:fldCharType="end"/>
      </w:r>
    </w:p>
    <w:p w:rsidR="000A156F" w:rsidRDefault="00A9721F">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67</w:t>
      </w:r>
      <w:r>
        <w:fldChar w:fldCharType="end"/>
      </w:r>
    </w:p>
    <w:p w:rsidR="000A156F" w:rsidRDefault="00A9721F">
      <w:pPr>
        <w:pStyle w:val="indexentry0"/>
      </w:pPr>
      <w:hyperlink w:anchor="section_f38eb4e2d0424a4eb8633fac712e250a">
        <w:r>
          <w:rPr>
            <w:rStyle w:val="Hyperlink"/>
          </w:rPr>
          <w:t>bdr (Text Border)</w:t>
        </w:r>
      </w:hyperlink>
      <w:r>
        <w:t xml:space="preserve"> </w:t>
      </w:r>
      <w:r>
        <w:fldChar w:fldCharType="begin"/>
      </w:r>
      <w:r>
        <w:instrText>PAGEREF section_f38e</w:instrText>
      </w:r>
      <w:r>
        <w:instrText>b4e2d0424a4eb8633fac712e250a</w:instrText>
      </w:r>
      <w:r>
        <w:fldChar w:fldCharType="separate"/>
      </w:r>
      <w:r>
        <w:rPr>
          <w:noProof/>
        </w:rPr>
        <w:t>67</w:t>
      </w:r>
      <w:r>
        <w:fldChar w:fldCharType="end"/>
      </w:r>
    </w:p>
    <w:p w:rsidR="000A156F" w:rsidRDefault="00A9721F">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401</w:t>
      </w:r>
      <w:r>
        <w:fldChar w:fldCharType="end"/>
      </w:r>
    </w:p>
    <w:p w:rsidR="000A156F" w:rsidRDefault="00A9721F">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401</w:t>
      </w:r>
      <w:r>
        <w:fldChar w:fldCharType="end"/>
      </w:r>
    </w:p>
    <w:p w:rsidR="000A156F" w:rsidRDefault="00A9721F">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402</w:t>
      </w:r>
      <w:r>
        <w:fldChar w:fldCharType="end"/>
      </w:r>
    </w:p>
    <w:p w:rsidR="000A156F" w:rsidRDefault="00A9721F">
      <w:pPr>
        <w:pStyle w:val="indexentry0"/>
      </w:pPr>
      <w:hyperlink w:anchor="section_29abcd8bb4a4493eb205654196e8be98">
        <w:r>
          <w:rPr>
            <w:rStyle w:val="Hyperlink"/>
          </w:rPr>
          <w:t>BESSELY</w:t>
        </w:r>
      </w:hyperlink>
      <w:r>
        <w:t xml:space="preserve"> </w:t>
      </w:r>
      <w:r>
        <w:fldChar w:fldCharType="begin"/>
      </w:r>
      <w:r>
        <w:instrText>PAGEREF se</w:instrText>
      </w:r>
      <w:r>
        <w:instrText>ction_29abcd8bb4a4493eb205654196e8be98</w:instrText>
      </w:r>
      <w:r>
        <w:fldChar w:fldCharType="separate"/>
      </w:r>
      <w:r>
        <w:rPr>
          <w:noProof/>
        </w:rPr>
        <w:t>402</w:t>
      </w:r>
      <w:r>
        <w:fldChar w:fldCharType="end"/>
      </w:r>
    </w:p>
    <w:p w:rsidR="000A156F" w:rsidRDefault="00A9721F">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402</w:t>
      </w:r>
      <w:r>
        <w:fldChar w:fldCharType="end"/>
      </w:r>
    </w:p>
    <w:p w:rsidR="000A156F" w:rsidRDefault="00A9721F">
      <w:pPr>
        <w:pStyle w:val="indexentry0"/>
      </w:pPr>
      <w:hyperlink w:anchor="section_d8f1b25b44f64d97a3de49aae9bc6e25">
        <w:r>
          <w:rPr>
            <w:rStyle w:val="Hyperlink"/>
          </w:rPr>
          <w:t>between (Paragraph Border Betw</w:t>
        </w:r>
        <w:r>
          <w:rPr>
            <w:rStyle w:val="Hyperlink"/>
          </w:rPr>
          <w:t>een Identical Paragraphs)</w:t>
        </w:r>
      </w:hyperlink>
      <w:r>
        <w:t xml:space="preserve"> </w:t>
      </w:r>
      <w:r>
        <w:fldChar w:fldCharType="begin"/>
      </w:r>
      <w:r>
        <w:instrText>PAGEREF section_d8f1b25b44f64d97a3de49aae9bc6e25</w:instrText>
      </w:r>
      <w:r>
        <w:fldChar w:fldCharType="separate"/>
      </w:r>
      <w:r>
        <w:rPr>
          <w:noProof/>
        </w:rPr>
        <w:t>62</w:t>
      </w:r>
      <w:r>
        <w:fldChar w:fldCharType="end"/>
      </w:r>
    </w:p>
    <w:p w:rsidR="000A156F" w:rsidRDefault="00A9721F">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507</w:t>
      </w:r>
      <w:r>
        <w:fldChar w:fldCharType="end"/>
      </w:r>
    </w:p>
    <w:p w:rsidR="000A156F" w:rsidRDefault="00A9721F">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507</w:t>
      </w:r>
      <w:r>
        <w:fldChar w:fldCharType="end"/>
      </w:r>
    </w:p>
    <w:p w:rsidR="000A156F" w:rsidRDefault="00A9721F">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section_71e8b4e0e70d416aa249c870d41e6d5e</w:instrText>
      </w:r>
      <w:r>
        <w:fldChar w:fldCharType="separate"/>
      </w:r>
      <w:r>
        <w:rPr>
          <w:noProof/>
        </w:rPr>
        <w:t>467</w:t>
      </w:r>
      <w:r>
        <w:fldChar w:fldCharType="end"/>
      </w:r>
    </w:p>
    <w:p w:rsidR="000A156F" w:rsidRDefault="00A9721F">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296</w:t>
      </w:r>
      <w:r>
        <w:fldChar w:fldCharType="end"/>
      </w:r>
    </w:p>
    <w:p w:rsidR="000A156F" w:rsidRDefault="00A9721F">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467</w:t>
      </w:r>
      <w:r>
        <w:fldChar w:fldCharType="end"/>
      </w:r>
    </w:p>
    <w:p w:rsidR="000A156F" w:rsidRDefault="00A9721F">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184</w:t>
      </w:r>
      <w:r>
        <w:fldChar w:fldCharType="end"/>
      </w:r>
    </w:p>
    <w:p w:rsidR="000A156F" w:rsidRDefault="00A9721F">
      <w:pPr>
        <w:pStyle w:val="indexentry0"/>
      </w:pPr>
      <w:hyperlink w:anchor="section_0180f12be6a54c2e8b69af24f35f9cb0">
        <w:r>
          <w:rPr>
            <w:rStyle w:val="Hyperlink"/>
          </w:rPr>
          <w:t>BIDIOUTLINE</w:t>
        </w:r>
      </w:hyperlink>
      <w:r>
        <w:t xml:space="preserve"> </w:t>
      </w:r>
      <w:r>
        <w:fldChar w:fldCharType="begin"/>
      </w:r>
      <w:r>
        <w:instrText>P</w:instrText>
      </w:r>
      <w:r>
        <w:instrText>AGEREF section_0180f12be6a54c2e8b69af24f35f9cb0</w:instrText>
      </w:r>
      <w:r>
        <w:fldChar w:fldCharType="separate"/>
      </w:r>
      <w:r>
        <w:rPr>
          <w:noProof/>
        </w:rPr>
        <w:t>637</w:t>
      </w:r>
      <w:r>
        <w:fldChar w:fldCharType="end"/>
      </w:r>
    </w:p>
    <w:p w:rsidR="000A156F" w:rsidRDefault="00A9721F">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80</w:t>
      </w:r>
      <w:r>
        <w:fldChar w:fldCharType="end"/>
      </w:r>
    </w:p>
    <w:p w:rsidR="000A156F" w:rsidRDefault="00A9721F">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402</w:t>
      </w:r>
      <w:r>
        <w:fldChar w:fldCharType="end"/>
      </w:r>
    </w:p>
    <w:p w:rsidR="000A156F" w:rsidRDefault="00A9721F">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313</w:t>
      </w:r>
      <w:r>
        <w:fldChar w:fldCharType="end"/>
      </w:r>
    </w:p>
    <w:p w:rsidR="000A156F" w:rsidRDefault="00A9721F">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495</w:t>
      </w:r>
      <w:r>
        <w:fldChar w:fldCharType="end"/>
      </w:r>
    </w:p>
    <w:p w:rsidR="000A156F" w:rsidRDefault="00A9721F">
      <w:pPr>
        <w:pStyle w:val="indexentry0"/>
      </w:pPr>
      <w:r>
        <w:t>bldDgm (Build Diagram) (</w:t>
      </w:r>
      <w:hyperlink w:anchor="section_da3302a59997444fbb688ed15c696eba">
        <w:r>
          <w:rPr>
            <w:rStyle w:val="Hyperlink"/>
          </w:rPr>
          <w:t>section 2.1.1146</w:t>
        </w:r>
      </w:hyperlink>
      <w:r>
        <w:t xml:space="preserve"> </w:t>
      </w:r>
      <w:r>
        <w:fldChar w:fldCharType="begin"/>
      </w:r>
      <w:r>
        <w:instrText>PAGEREF section_da3302a59997444fbb688ed15c696eba</w:instrText>
      </w:r>
      <w:r>
        <w:fldChar w:fldCharType="separate"/>
      </w:r>
      <w:r>
        <w:rPr>
          <w:noProof/>
        </w:rPr>
        <w:t>477</w:t>
      </w:r>
      <w:r>
        <w:fldChar w:fldCharType="end"/>
      </w:r>
      <w:r>
        <w:t xml:space="preserve">, </w:t>
      </w:r>
      <w:hyperlink w:anchor="section_b2f238f84a034f4bb63bfe1f3eac7f47">
        <w:r>
          <w:rPr>
            <w:rStyle w:val="Hyperlink"/>
          </w:rPr>
          <w:t>section 2.1.1199</w:t>
        </w:r>
      </w:hyperlink>
      <w:r>
        <w:t xml:space="preserve"> </w:t>
      </w:r>
      <w:r>
        <w:fldChar w:fldCharType="begin"/>
      </w:r>
      <w:r>
        <w:instrText>PAGEREF section_b2f238f84a034f4bb63bfe1f3eac7f47</w:instrText>
      </w:r>
      <w:r>
        <w:fldChar w:fldCharType="separate"/>
      </w:r>
      <w:r>
        <w:rPr>
          <w:noProof/>
        </w:rPr>
        <w:t>495</w:t>
      </w:r>
      <w:r>
        <w:fldChar w:fldCharType="end"/>
      </w:r>
      <w:r>
        <w:t>)</w:t>
      </w:r>
    </w:p>
    <w:p w:rsidR="000A156F" w:rsidRDefault="00A9721F">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section_ec82ed17db494761afc3d8e</w:instrText>
      </w:r>
      <w:r>
        <w:instrText>7d2930646</w:instrText>
      </w:r>
      <w:r>
        <w:fldChar w:fldCharType="separate"/>
      </w:r>
      <w:r>
        <w:rPr>
          <w:noProof/>
        </w:rPr>
        <w:t>477</w:t>
      </w:r>
      <w:r>
        <w:fldChar w:fldCharType="end"/>
      </w:r>
    </w:p>
    <w:p w:rsidR="000A156F" w:rsidRDefault="00A9721F">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477</w:t>
      </w:r>
      <w:r>
        <w:fldChar w:fldCharType="end"/>
      </w:r>
    </w:p>
    <w:p w:rsidR="000A156F" w:rsidRDefault="00A9721F">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478</w:t>
      </w:r>
      <w:r>
        <w:fldChar w:fldCharType="end"/>
      </w:r>
    </w:p>
    <w:p w:rsidR="000A156F" w:rsidRDefault="00A9721F">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478</w:t>
      </w:r>
      <w:r>
        <w:fldChar w:fldCharType="end"/>
      </w:r>
    </w:p>
    <w:p w:rsidR="000A156F" w:rsidRDefault="00A9721F">
      <w:pPr>
        <w:pStyle w:val="indexentry0"/>
      </w:pPr>
      <w:r>
        <w:t>blipFill (Picture Fill) (</w:t>
      </w:r>
      <w:hyperlink w:anchor="section_17c4667a47c248f69f112565d029009c">
        <w:r>
          <w:rPr>
            <w:rStyle w:val="Hyperlink"/>
          </w:rPr>
          <w:t>section 2.1.1120</w:t>
        </w:r>
      </w:hyperlink>
      <w:r>
        <w:t xml:space="preserve"> </w:t>
      </w:r>
      <w:r>
        <w:fldChar w:fldCharType="begin"/>
      </w:r>
      <w:r>
        <w:instrText>PAGEREF section_17c4667a47c248f69f112565d029009c</w:instrText>
      </w:r>
      <w:r>
        <w:fldChar w:fldCharType="separate"/>
      </w:r>
      <w:r>
        <w:rPr>
          <w:noProof/>
        </w:rPr>
        <w:t>467</w:t>
      </w:r>
      <w:r>
        <w:fldChar w:fldCharType="end"/>
      </w:r>
      <w:r>
        <w:t xml:space="preserve">, </w:t>
      </w:r>
      <w:hyperlink w:anchor="section_1cc844f4520f48d58ceb74e15342ab24">
        <w:r>
          <w:rPr>
            <w:rStyle w:val="Hyperlink"/>
          </w:rPr>
          <w:t>section 2.1.1288</w:t>
        </w:r>
      </w:hyperlink>
      <w:r>
        <w:t xml:space="preserve"> </w:t>
      </w:r>
      <w:r>
        <w:fldChar w:fldCharType="begin"/>
      </w:r>
      <w:r>
        <w:instrText>PAGEREF section_1cc844f4520f48d58ceb74e15342ab24</w:instrText>
      </w:r>
      <w:r>
        <w:fldChar w:fldCharType="separate"/>
      </w:r>
      <w:r>
        <w:rPr>
          <w:noProof/>
        </w:rPr>
        <w:t>515</w:t>
      </w:r>
      <w:r>
        <w:fldChar w:fldCharType="end"/>
      </w:r>
      <w:r>
        <w:t xml:space="preserve">, </w:t>
      </w:r>
      <w:hyperlink w:anchor="section_7a3dbb2768c744d2bf351eb7a2490a01">
        <w:r>
          <w:rPr>
            <w:rStyle w:val="Hyperlink"/>
          </w:rPr>
          <w:t>section 2.1.1348</w:t>
        </w:r>
      </w:hyperlink>
      <w:r>
        <w:t xml:space="preserve"> </w:t>
      </w:r>
      <w:r>
        <w:fldChar w:fldCharType="begin"/>
      </w:r>
      <w:r>
        <w:instrText>PAGEREF section_7a3dbb2768c744d2bf351eb7a2490a01</w:instrText>
      </w:r>
      <w:r>
        <w:fldChar w:fldCharType="separate"/>
      </w:r>
      <w:r>
        <w:rPr>
          <w:noProof/>
        </w:rPr>
        <w:t>531</w:t>
      </w:r>
      <w:r>
        <w:fldChar w:fldCharType="end"/>
      </w:r>
      <w:r>
        <w:t xml:space="preserve">, </w:t>
      </w:r>
      <w:hyperlink w:anchor="section_402ec9e26e424ba9a866742937152087">
        <w:r>
          <w:rPr>
            <w:rStyle w:val="Hyperlink"/>
          </w:rPr>
          <w:t>section 2.1.1358</w:t>
        </w:r>
      </w:hyperlink>
      <w:r>
        <w:t xml:space="preserve"> </w:t>
      </w:r>
      <w:r>
        <w:fldChar w:fldCharType="begin"/>
      </w:r>
      <w:r>
        <w:instrText>PAGEREF section_402ec9e26e424ba9a866742937152087</w:instrText>
      </w:r>
      <w:r>
        <w:fldChar w:fldCharType="separate"/>
      </w:r>
      <w:r>
        <w:rPr>
          <w:noProof/>
        </w:rPr>
        <w:t>532</w:t>
      </w:r>
      <w:r>
        <w:fldChar w:fldCharType="end"/>
      </w:r>
      <w:r>
        <w:t xml:space="preserve">, </w:t>
      </w:r>
      <w:hyperlink w:anchor="section_0329492820b44cdd9ecdac4d63dc4674">
        <w:r>
          <w:rPr>
            <w:rStyle w:val="Hyperlink"/>
          </w:rPr>
          <w:t>section 2.1.1601</w:t>
        </w:r>
      </w:hyperlink>
      <w:r>
        <w:t xml:space="preserve"> </w:t>
      </w:r>
      <w:r>
        <w:fldChar w:fldCharType="begin"/>
      </w:r>
      <w:r>
        <w:instrText>PAGEREF section_0329492820b44cdd9ecdac4d63dc4674</w:instrText>
      </w:r>
      <w:r>
        <w:fldChar w:fldCharType="separate"/>
      </w:r>
      <w:r>
        <w:rPr>
          <w:noProof/>
        </w:rPr>
        <w:t>587</w:t>
      </w:r>
      <w:r>
        <w:fldChar w:fldCharType="end"/>
      </w:r>
      <w:r>
        <w:t>)</w:t>
      </w:r>
    </w:p>
    <w:p w:rsidR="000A156F" w:rsidRDefault="00A9721F">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w:instrText>
      </w:r>
      <w:r>
        <w:instrText>2eb9d1acc7a2bb0e71</w:instrText>
      </w:r>
      <w:r>
        <w:fldChar w:fldCharType="separate"/>
      </w:r>
      <w:r>
        <w:rPr>
          <w:noProof/>
        </w:rPr>
        <w:t>160</w:t>
      </w:r>
      <w:r>
        <w:fldChar w:fldCharType="end"/>
      </w:r>
    </w:p>
    <w:p w:rsidR="000A156F" w:rsidRDefault="00A9721F">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499</w:t>
      </w:r>
      <w:r>
        <w:fldChar w:fldCharType="end"/>
      </w:r>
    </w:p>
    <w:p w:rsidR="000A156F" w:rsidRDefault="00A9721F">
      <w:pPr>
        <w:pStyle w:val="indexentry0"/>
      </w:pPr>
      <w:hyperlink w:anchor="section_fd5b54b2e28a4e6091986cffa60a0e77">
        <w:r>
          <w:rPr>
            <w:rStyle w:val="Hyperlink"/>
          </w:rPr>
          <w:t>blueMod (Blue Modification)</w:t>
        </w:r>
      </w:hyperlink>
      <w:r>
        <w:t xml:space="preserve"> </w:t>
      </w:r>
      <w:r>
        <w:fldChar w:fldCharType="begin"/>
      </w:r>
      <w:r>
        <w:instrText>PAGEREF section_</w:instrText>
      </w:r>
      <w:r>
        <w:instrText>fd5b54b2e28a4e6091986cffa60a0e77</w:instrText>
      </w:r>
      <w:r>
        <w:fldChar w:fldCharType="separate"/>
      </w:r>
      <w:r>
        <w:rPr>
          <w:noProof/>
        </w:rPr>
        <w:t>500</w:t>
      </w:r>
      <w:r>
        <w:fldChar w:fldCharType="end"/>
      </w:r>
    </w:p>
    <w:p w:rsidR="000A156F" w:rsidRDefault="00A9721F">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500</w:t>
      </w:r>
      <w:r>
        <w:fldChar w:fldCharType="end"/>
      </w:r>
    </w:p>
    <w:p w:rsidR="000A156F" w:rsidRDefault="00A9721F">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section_9847db85c8ee40f08c7ecdca7563544b</w:instrText>
      </w:r>
      <w:r>
        <w:fldChar w:fldCharType="separate"/>
      </w:r>
      <w:r>
        <w:rPr>
          <w:noProof/>
        </w:rPr>
        <w:t>515</w:t>
      </w:r>
      <w:r>
        <w:fldChar w:fldCharType="end"/>
      </w:r>
    </w:p>
    <w:p w:rsidR="000A156F" w:rsidRDefault="00A9721F">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section_8d43fabb714e4c4c9d9d854d046f1857</w:instrText>
      </w:r>
      <w:r>
        <w:fldChar w:fldCharType="separate"/>
      </w:r>
      <w:r>
        <w:rPr>
          <w:noProof/>
        </w:rPr>
        <w:t>62</w:t>
      </w:r>
      <w:r>
        <w:fldChar w:fldCharType="end"/>
      </w:r>
    </w:p>
    <w:p w:rsidR="000A156F" w:rsidRDefault="00A9721F">
      <w:pPr>
        <w:pStyle w:val="indexentry0"/>
      </w:pPr>
      <w:hyperlink w:anchor="section_72855a96a6b84efb89ed82550c7768c7">
        <w:r>
          <w:rPr>
            <w:rStyle w:val="Hyperlink"/>
          </w:rPr>
          <w:t>Body Fo</w:t>
        </w:r>
        <w:r>
          <w:rPr>
            <w:rStyle w:val="Hyperlink"/>
          </w:rPr>
          <w:t>rmatting</w:t>
        </w:r>
      </w:hyperlink>
      <w:r>
        <w:t xml:space="preserve"> </w:t>
      </w:r>
      <w:r>
        <w:fldChar w:fldCharType="begin"/>
      </w:r>
      <w:r>
        <w:instrText>PAGEREF section_72855a96a6b84efb89ed82550c7768c7</w:instrText>
      </w:r>
      <w:r>
        <w:fldChar w:fldCharType="separate"/>
      </w:r>
      <w:r>
        <w:rPr>
          <w:noProof/>
        </w:rPr>
        <w:t>535</w:t>
      </w:r>
      <w:r>
        <w:fldChar w:fldCharType="end"/>
      </w:r>
    </w:p>
    <w:p w:rsidR="000A156F" w:rsidRDefault="00A9721F">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160</w:t>
      </w:r>
      <w:r>
        <w:fldChar w:fldCharType="end"/>
      </w:r>
    </w:p>
    <w:p w:rsidR="000A156F" w:rsidRDefault="00A9721F">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536</w:t>
      </w:r>
      <w:r>
        <w:fldChar w:fldCharType="end"/>
      </w:r>
    </w:p>
    <w:p w:rsidR="000A156F" w:rsidRDefault="00A9721F">
      <w:pPr>
        <w:pStyle w:val="indexentry0"/>
      </w:pPr>
      <w:hyperlink w:anchor="section_a3f96a731cad4a64a7e3cf18ad747708">
        <w:r>
          <w:rPr>
            <w:rStyle w:val="Hyperlink"/>
          </w:rPr>
          <w:t>bookFoldPrinting (Book Fold Printing)</w:t>
        </w:r>
      </w:hyperlink>
      <w:r>
        <w:t xml:space="preserve"> </w:t>
      </w:r>
      <w:r>
        <w:fldChar w:fldCharType="begin"/>
      </w:r>
      <w:r>
        <w:instrText>PAGEREF section_a3f96a731cad4a64a7e3cf18ad747708</w:instrText>
      </w:r>
      <w:r>
        <w:fldChar w:fldCharType="separate"/>
      </w:r>
      <w:r>
        <w:rPr>
          <w:noProof/>
        </w:rPr>
        <w:t>148</w:t>
      </w:r>
      <w:r>
        <w:fldChar w:fldCharType="end"/>
      </w:r>
    </w:p>
    <w:p w:rsidR="000A156F" w:rsidRDefault="00A9721F">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148</w:t>
      </w:r>
      <w:r>
        <w:fldChar w:fldCharType="end"/>
      </w:r>
    </w:p>
    <w:p w:rsidR="000A156F" w:rsidRDefault="00A9721F">
      <w:pPr>
        <w:pStyle w:val="indexentry0"/>
      </w:pPr>
      <w:hyperlink w:anchor="section_4a4ba7698bc142b3b66208b23bd8e953">
        <w:r>
          <w:rPr>
            <w:rStyle w:val="Hyperlink"/>
          </w:rPr>
          <w:t>bookFoldRevPrinting (Reverse Bo</w:t>
        </w:r>
        <w:r>
          <w:rPr>
            <w:rStyle w:val="Hyperlink"/>
          </w:rPr>
          <w:t>ok Fold Printing)</w:t>
        </w:r>
      </w:hyperlink>
      <w:r>
        <w:t xml:space="preserve"> </w:t>
      </w:r>
      <w:r>
        <w:fldChar w:fldCharType="begin"/>
      </w:r>
      <w:r>
        <w:instrText>PAGEREF section_4a4ba7698bc142b3b66208b23bd8e953</w:instrText>
      </w:r>
      <w:r>
        <w:fldChar w:fldCharType="separate"/>
      </w:r>
      <w:r>
        <w:rPr>
          <w:noProof/>
        </w:rPr>
        <w:t>149</w:t>
      </w:r>
      <w:r>
        <w:fldChar w:fldCharType="end"/>
      </w:r>
    </w:p>
    <w:p w:rsidR="000A156F" w:rsidRDefault="00A9721F">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section_fa51f4d3bb2a4fac845f8368432e3174</w:instrText>
      </w:r>
      <w:r>
        <w:fldChar w:fldCharType="separate"/>
      </w:r>
      <w:r>
        <w:rPr>
          <w:noProof/>
        </w:rPr>
        <w:t>139</w:t>
      </w:r>
      <w:r>
        <w:fldChar w:fldCharType="end"/>
      </w:r>
    </w:p>
    <w:p w:rsidR="000A156F" w:rsidRDefault="00A9721F">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139</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section_0e7a01caa5cd40aea9c6248bfda82221</w:instrText>
      </w:r>
      <w:r>
        <w:fldChar w:fldCharType="separate"/>
      </w:r>
      <w:r>
        <w:rPr>
          <w:noProof/>
        </w:rPr>
        <w:t>165</w:t>
      </w:r>
      <w:r>
        <w:fldChar w:fldCharType="end"/>
      </w:r>
      <w:r>
        <w:t>)</w:t>
      </w:r>
    </w:p>
    <w:p w:rsidR="000A156F" w:rsidRDefault="00A9721F">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140</w:t>
      </w:r>
      <w:r>
        <w:fldChar w:fldCharType="end"/>
      </w:r>
    </w:p>
    <w:p w:rsidR="000A156F" w:rsidRDefault="00A9721F">
      <w:pPr>
        <w:pStyle w:val="indexentry0"/>
      </w:pPr>
      <w:hyperlink w:anchor="section_b48d891444844a4f843315a9a24c3dc9">
        <w:r>
          <w:rPr>
            <w:rStyle w:val="Hyperlink"/>
          </w:rPr>
          <w:t>bookViews (Workbook Views)</w:t>
        </w:r>
      </w:hyperlink>
      <w:r>
        <w:t xml:space="preserve"> </w:t>
      </w:r>
      <w:r>
        <w:fldChar w:fldCharType="begin"/>
      </w:r>
      <w:r>
        <w:instrText>PAGEREF section_b48d</w:instrText>
      </w:r>
      <w:r>
        <w:instrText>891444844a4f843315a9a24c3dc9</w:instrText>
      </w:r>
      <w:r>
        <w:fldChar w:fldCharType="separate"/>
      </w:r>
      <w:r>
        <w:rPr>
          <w:noProof/>
        </w:rPr>
        <w:t>237</w:t>
      </w:r>
      <w:r>
        <w:fldChar w:fldCharType="end"/>
      </w:r>
    </w:p>
    <w:p w:rsidR="000A156F" w:rsidRDefault="00A9721F">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296</w:t>
      </w:r>
      <w:r>
        <w:fldChar w:fldCharType="end"/>
      </w:r>
    </w:p>
    <w:p w:rsidR="000A156F" w:rsidRDefault="00A9721F">
      <w:pPr>
        <w:pStyle w:val="indexentry0"/>
      </w:pPr>
      <w:hyperlink w:anchor="section_d0a2b96f99034c8289c27e34cc52d020">
        <w:r>
          <w:rPr>
            <w:rStyle w:val="Hyperlink"/>
          </w:rPr>
          <w:t>borderbottom (Bottom Border)</w:t>
        </w:r>
      </w:hyperlink>
      <w:r>
        <w:t xml:space="preserve"> </w:t>
      </w:r>
      <w:r>
        <w:fldChar w:fldCharType="begin"/>
      </w:r>
      <w:r>
        <w:instrText>P</w:instrText>
      </w:r>
      <w:r>
        <w:instrText>AGEREF section_d0a2b96f99034c8289c27e34cc52d020</w:instrText>
      </w:r>
      <w:r>
        <w:fldChar w:fldCharType="separate"/>
      </w:r>
      <w:r>
        <w:rPr>
          <w:noProof/>
        </w:rPr>
        <w:t>682</w:t>
      </w:r>
      <w:r>
        <w:fldChar w:fldCharType="end"/>
      </w:r>
    </w:p>
    <w:p w:rsidR="000A156F" w:rsidRDefault="00A9721F">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601</w:t>
      </w:r>
      <w:r>
        <w:fldChar w:fldCharType="end"/>
      </w:r>
    </w:p>
    <w:p w:rsidR="000A156F" w:rsidRDefault="00A9721F">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682</w:t>
      </w:r>
      <w:r>
        <w:fldChar w:fldCharType="end"/>
      </w:r>
    </w:p>
    <w:p w:rsidR="000A156F" w:rsidRDefault="00A9721F">
      <w:pPr>
        <w:pStyle w:val="indexentry0"/>
      </w:pPr>
      <w:hyperlink w:anchor="section_6e4d3dcfc0e3410a84fa7a1ea06c6256">
        <w:r>
          <w:rPr>
            <w:rStyle w:val="Hyperlink"/>
          </w:rPr>
          <w:t>borderright (Right Border)</w:t>
        </w:r>
      </w:hyperlink>
      <w:r>
        <w:t xml:space="preserve"> </w:t>
      </w:r>
      <w:r>
        <w:fldChar w:fldCharType="begin"/>
      </w:r>
      <w:r>
        <w:instrText>PAGEREF section_6e4d3dcfc0e3410a84fa7a1ea06c6256</w:instrText>
      </w:r>
      <w:r>
        <w:fldChar w:fldCharType="separate"/>
      </w:r>
      <w:r>
        <w:rPr>
          <w:noProof/>
        </w:rPr>
        <w:t>682</w:t>
      </w:r>
      <w:r>
        <w:fldChar w:fldCharType="end"/>
      </w:r>
    </w:p>
    <w:p w:rsidR="000A156F" w:rsidRDefault="00A9721F">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296</w:t>
      </w:r>
      <w:r>
        <w:fldChar w:fldCharType="end"/>
      </w:r>
    </w:p>
    <w:p w:rsidR="000A156F" w:rsidRDefault="00A9721F">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682</w:t>
      </w:r>
      <w:r>
        <w:fldChar w:fldCharType="end"/>
      </w:r>
    </w:p>
    <w:p w:rsidR="000A156F" w:rsidRDefault="00A9721F">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160</w:t>
      </w:r>
      <w:r>
        <w:fldChar w:fldCharType="end"/>
      </w:r>
    </w:p>
    <w:p w:rsidR="000A156F" w:rsidRDefault="00A9721F">
      <w:pPr>
        <w:pStyle w:val="indexentry0"/>
      </w:pPr>
      <w:hyperlink w:anchor="section_98ca3cc91270454bbd1c41a7afc55ffc">
        <w:r>
          <w:rPr>
            <w:rStyle w:val="Hyperlink"/>
          </w:rPr>
          <w:t>bottom (Bottom Border)</w:t>
        </w:r>
      </w:hyperlink>
      <w:r>
        <w:t xml:space="preserve"> </w:t>
      </w:r>
      <w:r>
        <w:fldChar w:fldCharType="begin"/>
      </w:r>
      <w:r>
        <w:instrText>PAGEREF section_98c</w:instrText>
      </w:r>
      <w:r>
        <w:instrText>a3cc91270454bbd1c41a7afc55ffc</w:instrText>
      </w:r>
      <w:r>
        <w:fldChar w:fldCharType="separate"/>
      </w:r>
      <w:r>
        <w:rPr>
          <w:noProof/>
        </w:rPr>
        <w:t>101</w:t>
      </w:r>
      <w:r>
        <w:fldChar w:fldCharType="end"/>
      </w:r>
    </w:p>
    <w:p w:rsidR="000A156F" w:rsidRDefault="00A9721F">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section_51e18657b7924721833351f4e3aba8bf</w:instrText>
      </w:r>
      <w:r>
        <w:fldChar w:fldCharType="separate"/>
      </w:r>
      <w:r>
        <w:rPr>
          <w:noProof/>
        </w:rPr>
        <w:t>62</w:t>
      </w:r>
      <w:r>
        <w:fldChar w:fldCharType="end"/>
      </w:r>
    </w:p>
    <w:p w:rsidR="000A156F" w:rsidRDefault="00A9721F">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81</w:t>
      </w:r>
      <w:r>
        <w:fldChar w:fldCharType="end"/>
      </w:r>
    </w:p>
    <w:p w:rsidR="000A156F" w:rsidRDefault="00A9721F">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81</w:t>
      </w:r>
      <w:r>
        <w:fldChar w:fldCharType="end"/>
      </w:r>
    </w:p>
    <w:p w:rsidR="000A156F" w:rsidRDefault="00A9721F">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81</w:t>
      </w:r>
      <w:r>
        <w:fldChar w:fldCharType="end"/>
      </w:r>
    </w:p>
    <w:p w:rsidR="000A156F" w:rsidRDefault="00A9721F">
      <w:pPr>
        <w:pStyle w:val="indexentry0"/>
      </w:pPr>
      <w:hyperlink w:anchor="section_8301b45dae9045f18fcaf3e3bd7d9c49">
        <w:r>
          <w:rPr>
            <w:rStyle w:val="Hyperlink"/>
          </w:rPr>
          <w:t>bottom (Table Cell Bottom Margin Exception)</w:t>
        </w:r>
      </w:hyperlink>
      <w:r>
        <w:t xml:space="preserve"> </w:t>
      </w:r>
      <w:r>
        <w:fldChar w:fldCharType="begin"/>
      </w:r>
      <w:r>
        <w:instrText>PAGEREF se</w:instrText>
      </w:r>
      <w:r>
        <w:instrText>ction_8301b45dae9045f18fcaf3e3bd7d9c49</w:instrText>
      </w:r>
      <w:r>
        <w:fldChar w:fldCharType="separate"/>
      </w:r>
      <w:r>
        <w:rPr>
          <w:noProof/>
        </w:rPr>
        <w:t>81</w:t>
      </w:r>
      <w:r>
        <w:fldChar w:fldCharType="end"/>
      </w:r>
    </w:p>
    <w:p w:rsidR="000A156F" w:rsidRDefault="00A9721F">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666</w:t>
      </w:r>
      <w:r>
        <w:fldChar w:fldCharType="end"/>
      </w:r>
    </w:p>
    <w:p w:rsidR="000A156F" w:rsidRDefault="00A9721F">
      <w:pPr>
        <w:pStyle w:val="indexentry0"/>
      </w:pPr>
      <w:hyperlink w:anchor="section_6c82f95eeec145d1ac3a8e4a19eb716f">
        <w:r>
          <w:rPr>
            <w:rStyle w:val="Hyperlink"/>
          </w:rPr>
          <w:t>bounds</w:t>
        </w:r>
        <w:r>
          <w:rPr>
            <w:rStyle w:val="Hyperlink"/>
          </w:rPr>
          <w:t xml:space="preserve"> (Bounds)</w:t>
        </w:r>
      </w:hyperlink>
      <w:r>
        <w:t xml:space="preserve"> </w:t>
      </w:r>
      <w:r>
        <w:fldChar w:fldCharType="begin"/>
      </w:r>
      <w:r>
        <w:instrText>PAGEREF section_6c82f95eeec145d1ac3a8e4a19eb716f</w:instrText>
      </w:r>
      <w:r>
        <w:fldChar w:fldCharType="separate"/>
      </w:r>
      <w:r>
        <w:rPr>
          <w:noProof/>
        </w:rPr>
        <w:t>835</w:t>
      </w:r>
      <w:r>
        <w:fldChar w:fldCharType="end"/>
      </w:r>
    </w:p>
    <w:p w:rsidR="000A156F" w:rsidRDefault="00A9721F">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601</w:t>
      </w:r>
      <w:r>
        <w:fldChar w:fldCharType="end"/>
      </w:r>
    </w:p>
    <w:p w:rsidR="000A156F" w:rsidRDefault="00A9721F">
      <w:pPr>
        <w:pStyle w:val="indexentry0"/>
      </w:pPr>
      <w:r>
        <w:t>brk (Break) (</w:t>
      </w:r>
      <w:hyperlink w:anchor="section_77730f137af942e096c70b349853617e">
        <w:r>
          <w:rPr>
            <w:rStyle w:val="Hyperlink"/>
          </w:rPr>
          <w:t>section 2.1.589</w:t>
        </w:r>
      </w:hyperlink>
      <w:r>
        <w:t xml:space="preserve"> </w:t>
      </w:r>
      <w:r>
        <w:fldChar w:fldCharType="begin"/>
      </w:r>
      <w:r>
        <w:instrText>PAGEREF section_77730f137af942e096c70b349853617e</w:instrText>
      </w:r>
      <w:r>
        <w:fldChar w:fldCharType="separate"/>
      </w:r>
      <w:r>
        <w:rPr>
          <w:noProof/>
        </w:rPr>
        <w:t>250</w:t>
      </w:r>
      <w:r>
        <w:fldChar w:fldCharType="end"/>
      </w:r>
      <w:r>
        <w:t xml:space="preserve">, </w:t>
      </w:r>
      <w:hyperlink w:anchor="section_9742c999b0654a7091b509d6a6cf99f7">
        <w:r>
          <w:rPr>
            <w:rStyle w:val="Hyperlink"/>
          </w:rPr>
          <w:t>section 2.1.1650</w:t>
        </w:r>
      </w:hyperlink>
      <w:r>
        <w:t xml:space="preserve"> </w:t>
      </w:r>
      <w:r>
        <w:fldChar w:fldCharType="begin"/>
      </w:r>
      <w:r>
        <w:instrText>PAGEREF section_9742c999b0654a7091b509d6a6cf</w:instrText>
      </w:r>
      <w:r>
        <w:instrText>99f7</w:instrText>
      </w:r>
      <w:r>
        <w:fldChar w:fldCharType="separate"/>
      </w:r>
      <w:r>
        <w:rPr>
          <w:noProof/>
        </w:rPr>
        <w:t>601</w:t>
      </w:r>
      <w:r>
        <w:fldChar w:fldCharType="end"/>
      </w:r>
      <w:r>
        <w:t>)</w:t>
      </w:r>
    </w:p>
    <w:p w:rsidR="000A156F" w:rsidRDefault="00A9721F">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552</w:t>
      </w:r>
      <w:r>
        <w:fldChar w:fldCharType="end"/>
      </w:r>
    </w:p>
    <w:p w:rsidR="000A156F" w:rsidRDefault="00A9721F">
      <w:pPr>
        <w:pStyle w:val="indexentry0"/>
      </w:pPr>
      <w:hyperlink w:anchor="section_c99aee60a26e465486070e0411ea81eb">
        <w:r>
          <w:rPr>
            <w:rStyle w:val="Hyperlink"/>
          </w:rPr>
          <w:t>bubbleChart (Bubble Charts)</w:t>
        </w:r>
      </w:hyperlink>
      <w:r>
        <w:t xml:space="preserve"> </w:t>
      </w:r>
      <w:r>
        <w:fldChar w:fldCharType="begin"/>
      </w:r>
      <w:r>
        <w:instrText>PAGEREF section_c99a</w:instrText>
      </w:r>
      <w:r>
        <w:instrText>ee60a26e465486070e0411ea81eb</w:instrText>
      </w:r>
      <w:r>
        <w:fldChar w:fldCharType="separate"/>
      </w:r>
      <w:r>
        <w:rPr>
          <w:noProof/>
        </w:rPr>
        <w:t>552</w:t>
      </w:r>
      <w:r>
        <w:fldChar w:fldCharType="end"/>
      </w:r>
    </w:p>
    <w:p w:rsidR="000A156F" w:rsidRDefault="00A9721F">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546</w:t>
      </w:r>
      <w:r>
        <w:fldChar w:fldCharType="end"/>
      </w:r>
    </w:p>
    <w:p w:rsidR="000A156F" w:rsidRDefault="00A9721F">
      <w:pPr>
        <w:pStyle w:val="indexentry0"/>
      </w:pPr>
      <w:hyperlink w:anchor="section_cce3b3b3a43d4e95b9771428b377e670">
        <w:r>
          <w:rPr>
            <w:rStyle w:val="Hyperlink"/>
          </w:rPr>
          <w:t>builtInUnit (Built in Display</w:t>
        </w:r>
        <w:r>
          <w:rPr>
            <w:rStyle w:val="Hyperlink"/>
          </w:rPr>
          <w:t xml:space="preserve"> Unit Value)</w:t>
        </w:r>
      </w:hyperlink>
      <w:r>
        <w:t xml:space="preserve"> </w:t>
      </w:r>
      <w:r>
        <w:fldChar w:fldCharType="begin"/>
      </w:r>
      <w:r>
        <w:instrText>PAGEREF section_cce3b3b3a43d4e95b9771428b377e670</w:instrText>
      </w:r>
      <w:r>
        <w:fldChar w:fldCharType="separate"/>
      </w:r>
      <w:r>
        <w:rPr>
          <w:noProof/>
        </w:rPr>
        <w:t>552</w:t>
      </w:r>
      <w:r>
        <w:fldChar w:fldCharType="end"/>
      </w:r>
    </w:p>
    <w:p w:rsidR="000A156F" w:rsidRDefault="00A9721F">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546</w:t>
      </w:r>
      <w:r>
        <w:fldChar w:fldCharType="end"/>
      </w:r>
    </w:p>
    <w:p w:rsidR="000A156F" w:rsidRDefault="00A9721F">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546</w:t>
      </w:r>
      <w:r>
        <w:fldChar w:fldCharType="end"/>
      </w:r>
    </w:p>
    <w:p w:rsidR="000A156F" w:rsidRDefault="00A9721F">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478</w:t>
      </w:r>
      <w:r>
        <w:fldChar w:fldCharType="end"/>
      </w:r>
    </w:p>
    <w:p w:rsidR="000A156F" w:rsidRDefault="000A156F">
      <w:pPr>
        <w:spacing w:before="0" w:after="0"/>
        <w:rPr>
          <w:sz w:val="16"/>
        </w:rPr>
      </w:pPr>
    </w:p>
    <w:p w:rsidR="000A156F" w:rsidRDefault="00A9721F">
      <w:pPr>
        <w:pStyle w:val="indexheader"/>
      </w:pPr>
      <w:r>
        <w:t>C</w:t>
      </w:r>
    </w:p>
    <w:p w:rsidR="000A156F" w:rsidRDefault="000A156F">
      <w:pPr>
        <w:spacing w:before="0" w:after="0"/>
        <w:rPr>
          <w:sz w:val="16"/>
        </w:rPr>
      </w:pPr>
    </w:p>
    <w:p w:rsidR="000A156F" w:rsidRDefault="00A9721F">
      <w:pPr>
        <w:pStyle w:val="indexentry0"/>
      </w:pPr>
      <w:r>
        <w:t>c (Cell) (</w:t>
      </w:r>
      <w:hyperlink w:anchor="section_2fd4e47f09654c6095bdcff980b6c325">
        <w:r>
          <w:rPr>
            <w:rStyle w:val="Hyperlink"/>
          </w:rPr>
          <w:t>section 2.1.590</w:t>
        </w:r>
      </w:hyperlink>
      <w:r>
        <w:t xml:space="preserve"> </w:t>
      </w:r>
      <w:r>
        <w:fldChar w:fldCharType="begin"/>
      </w:r>
      <w:r>
        <w:instrText>PAGEREF section_2fd4e47f09654c6095bdcff980b6c325</w:instrText>
      </w:r>
      <w:r>
        <w:fldChar w:fldCharType="separate"/>
      </w:r>
      <w:r>
        <w:rPr>
          <w:noProof/>
        </w:rPr>
        <w:t>251</w:t>
      </w:r>
      <w:r>
        <w:fldChar w:fldCharType="end"/>
      </w:r>
      <w:r>
        <w:t xml:space="preserve">, </w:t>
      </w:r>
      <w:hyperlink w:anchor="section_67a432a81f584198aec477849c1684fd">
        <w:r>
          <w:rPr>
            <w:rStyle w:val="Hyperlink"/>
          </w:rPr>
          <w:t>section 2.1.688</w:t>
        </w:r>
      </w:hyperlink>
      <w:r>
        <w:t xml:space="preserve"> </w:t>
      </w:r>
      <w:r>
        <w:fldChar w:fldCharType="begin"/>
      </w:r>
      <w:r>
        <w:instrText>PAGEREF section_67a432a81f584198aec477849c1684fd</w:instrText>
      </w:r>
      <w:r>
        <w:fldChar w:fldCharType="separate"/>
      </w:r>
      <w:r>
        <w:rPr>
          <w:noProof/>
        </w:rPr>
        <w:t>294</w:t>
      </w:r>
      <w:r>
        <w:fldChar w:fldCharType="end"/>
      </w:r>
      <w:r>
        <w:t>)</w:t>
      </w:r>
    </w:p>
    <w:p w:rsidR="000A156F" w:rsidRDefault="00A9721F">
      <w:pPr>
        <w:pStyle w:val="indexentry0"/>
      </w:pPr>
      <w:hyperlink w:anchor="section_daa97aafe36841899276cc4defe5e1c5">
        <w:r>
          <w:rPr>
            <w:rStyle w:val="Hyperlink"/>
          </w:rPr>
          <w:t>CAAEPlaceholderMetaDataCustomPropertyName</w:t>
        </w:r>
      </w:hyperlink>
      <w:r>
        <w:t xml:space="preserve"> </w:t>
      </w:r>
      <w:r>
        <w:fldChar w:fldCharType="begin"/>
      </w:r>
      <w:r>
        <w:instrText>PAGEREF section_daa97aafe36841899276cc4defe5e1c5</w:instrText>
      </w:r>
      <w:r>
        <w:fldChar w:fldCharType="separate"/>
      </w:r>
      <w:r>
        <w:rPr>
          <w:noProof/>
        </w:rPr>
        <w:t>881</w:t>
      </w:r>
      <w:r>
        <w:fldChar w:fldCharType="end"/>
      </w:r>
    </w:p>
    <w:p w:rsidR="000A156F" w:rsidRDefault="00A9721F">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section_845c830c9d3b4d99be5cf95219b7e3ed</w:instrText>
      </w:r>
      <w:r>
        <w:fldChar w:fldCharType="separate"/>
      </w:r>
      <w:r>
        <w:rPr>
          <w:noProof/>
        </w:rPr>
        <w:t>878</w:t>
      </w:r>
      <w:r>
        <w:fldChar w:fldCharType="end"/>
      </w:r>
    </w:p>
    <w:p w:rsidR="000A156F" w:rsidRDefault="00A9721F">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326</w:t>
      </w:r>
      <w:r>
        <w:fldChar w:fldCharType="end"/>
      </w:r>
    </w:p>
    <w:p w:rsidR="000A156F" w:rsidRDefault="00A9721F">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327</w:t>
      </w:r>
      <w:r>
        <w:fldChar w:fldCharType="end"/>
      </w:r>
    </w:p>
    <w:p w:rsidR="000A156F" w:rsidRDefault="00A9721F">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w:instrText>
      </w:r>
      <w:r>
        <w:instrText>d464d52a8817969baf5c473</w:instrText>
      </w:r>
      <w:r>
        <w:fldChar w:fldCharType="separate"/>
      </w:r>
      <w:r>
        <w:rPr>
          <w:noProof/>
        </w:rPr>
        <w:t>327</w:t>
      </w:r>
      <w:r>
        <w:fldChar w:fldCharType="end"/>
      </w:r>
    </w:p>
    <w:p w:rsidR="000A156F" w:rsidRDefault="00A9721F">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328</w:t>
      </w:r>
      <w:r>
        <w:fldChar w:fldCharType="end"/>
      </w:r>
    </w:p>
    <w:p w:rsidR="000A156F" w:rsidRDefault="00A9721F">
      <w:pPr>
        <w:pStyle w:val="indexentry0"/>
      </w:pPr>
      <w:hyperlink w:anchor="section_4aff486b66ff4a1ea8529ea51026f79f">
        <w:r>
          <w:rPr>
            <w:rStyle w:val="Hyperlink"/>
          </w:rPr>
          <w:t>cacheSource (Pi</w:t>
        </w:r>
        <w:r>
          <w:rPr>
            <w:rStyle w:val="Hyperlink"/>
          </w:rPr>
          <w:t>votCache Source Description)</w:t>
        </w:r>
      </w:hyperlink>
      <w:r>
        <w:t xml:space="preserve"> </w:t>
      </w:r>
      <w:r>
        <w:fldChar w:fldCharType="begin"/>
      </w:r>
      <w:r>
        <w:instrText>PAGEREF section_4aff486b66ff4a1ea8529ea51026f79f</w:instrText>
      </w:r>
      <w:r>
        <w:fldChar w:fldCharType="separate"/>
      </w:r>
      <w:r>
        <w:rPr>
          <w:noProof/>
        </w:rPr>
        <w:t>329</w:t>
      </w:r>
      <w:r>
        <w:fldChar w:fldCharType="end"/>
      </w:r>
    </w:p>
    <w:p w:rsidR="000A156F" w:rsidRDefault="00A9721F">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237</w:t>
      </w:r>
      <w:r>
        <w:fldChar w:fldCharType="end"/>
      </w:r>
    </w:p>
    <w:p w:rsidR="000A156F" w:rsidRDefault="00A9721F">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851</w:t>
      </w:r>
      <w:r>
        <w:fldChar w:fldCharType="end"/>
      </w:r>
    </w:p>
    <w:p w:rsidR="000A156F" w:rsidRDefault="00A9721F">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851</w:t>
      </w:r>
      <w:r>
        <w:fldChar w:fldCharType="end"/>
      </w:r>
    </w:p>
    <w:p w:rsidR="000A156F" w:rsidRDefault="00A9721F">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section_128d23b57cee4fdf9d4f94103e1bc48f</w:instrText>
      </w:r>
      <w:r>
        <w:fldChar w:fldCharType="separate"/>
      </w:r>
      <w:r>
        <w:rPr>
          <w:noProof/>
        </w:rPr>
        <w:t>290</w:t>
      </w:r>
      <w:r>
        <w:fldChar w:fldCharType="end"/>
      </w:r>
    </w:p>
    <w:p w:rsidR="000A156F" w:rsidRDefault="00A9721F">
      <w:pPr>
        <w:pStyle w:val="indexentry0"/>
      </w:pPr>
      <w:hyperlink w:anchor="section_25596798a09d4c18a407e55532fb09f9">
        <w:r>
          <w:rPr>
            <w:rStyle w:val="Hyperlink"/>
          </w:rPr>
          <w:t>calculatedItem (Calculated I</w:t>
        </w:r>
        <w:r>
          <w:rPr>
            <w:rStyle w:val="Hyperlink"/>
          </w:rPr>
          <w:t>tem)</w:t>
        </w:r>
      </w:hyperlink>
      <w:r>
        <w:t xml:space="preserve"> </w:t>
      </w:r>
      <w:r>
        <w:fldChar w:fldCharType="begin"/>
      </w:r>
      <w:r>
        <w:instrText>PAGEREF section_25596798a09d4c18a407e55532fb09f9</w:instrText>
      </w:r>
      <w:r>
        <w:fldChar w:fldCharType="separate"/>
      </w:r>
      <w:r>
        <w:rPr>
          <w:noProof/>
        </w:rPr>
        <w:t>329</w:t>
      </w:r>
      <w:r>
        <w:fldChar w:fldCharType="end"/>
      </w:r>
    </w:p>
    <w:p w:rsidR="000A156F" w:rsidRDefault="00A9721F">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330</w:t>
      </w:r>
      <w:r>
        <w:fldChar w:fldCharType="end"/>
      </w:r>
    </w:p>
    <w:p w:rsidR="000A156F" w:rsidRDefault="00A9721F">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668</w:t>
      </w:r>
      <w:r>
        <w:fldChar w:fldCharType="end"/>
      </w:r>
    </w:p>
    <w:p w:rsidR="000A156F" w:rsidRDefault="00A9721F">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683</w:t>
      </w:r>
      <w:r>
        <w:fldChar w:fldCharType="end"/>
      </w:r>
    </w:p>
    <w:p w:rsidR="000A156F" w:rsidRDefault="00A9721F">
      <w:pPr>
        <w:pStyle w:val="indexentry0"/>
      </w:pPr>
      <w:hyperlink w:anchor="section_6c1de672ac3d4387a01d6788aa7f34fa">
        <w:r>
          <w:rPr>
            <w:rStyle w:val="Hyperlink"/>
          </w:rPr>
          <w:t>camera (Camera)</w:t>
        </w:r>
      </w:hyperlink>
      <w:r>
        <w:t xml:space="preserve"> </w:t>
      </w:r>
      <w:r>
        <w:fldChar w:fldCharType="begin"/>
      </w:r>
      <w:r>
        <w:instrText>PAGEREF section_6c1de672ac3d4387a01d6788aa7f34fa</w:instrText>
      </w:r>
      <w:r>
        <w:fldChar w:fldCharType="separate"/>
      </w:r>
      <w:r>
        <w:rPr>
          <w:noProof/>
        </w:rPr>
        <w:t>508</w:t>
      </w:r>
      <w:r>
        <w:fldChar w:fldCharType="end"/>
      </w:r>
    </w:p>
    <w:p w:rsidR="000A156F" w:rsidRDefault="00A9721F">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w:instrText>
      </w:r>
      <w:r>
        <w:instrText>b4</w:instrText>
      </w:r>
      <w:r>
        <w:fldChar w:fldCharType="separate"/>
      </w:r>
      <w:r>
        <w:rPr>
          <w:noProof/>
        </w:rPr>
        <w:t>81</w:t>
      </w:r>
      <w:r>
        <w:fldChar w:fldCharType="end"/>
      </w:r>
    </w:p>
    <w:p w:rsidR="000A156F" w:rsidRDefault="00A9721F">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149</w:t>
      </w:r>
      <w:r>
        <w:fldChar w:fldCharType="end"/>
      </w:r>
    </w:p>
    <w:p w:rsidR="000A156F" w:rsidRDefault="00A9721F">
      <w:pPr>
        <w:pStyle w:val="indexentry0"/>
      </w:pPr>
      <w:hyperlink w:anchor="section_6bef7b68188f4b29b696d9676810e906">
        <w:r>
          <w:rPr>
            <w:rStyle w:val="Hyperlink"/>
          </w:rPr>
          <w:t>captions (Caption Settings)</w:t>
        </w:r>
      </w:hyperlink>
      <w:r>
        <w:t xml:space="preserve"> </w:t>
      </w:r>
      <w:r>
        <w:fldChar w:fldCharType="begin"/>
      </w:r>
      <w:r>
        <w:instrText>PAG</w:instrText>
      </w:r>
      <w:r>
        <w:instrText>EREF section_6bef7b68188f4b29b696d9676810e906</w:instrText>
      </w:r>
      <w:r>
        <w:fldChar w:fldCharType="separate"/>
      </w:r>
      <w:r>
        <w:rPr>
          <w:noProof/>
        </w:rPr>
        <w:t>149</w:t>
      </w:r>
      <w:r>
        <w:fldChar w:fldCharType="end"/>
      </w:r>
    </w:p>
    <w:p w:rsidR="000A156F" w:rsidRDefault="00A9721F">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553</w:t>
      </w:r>
      <w:r>
        <w:fldChar w:fldCharType="end"/>
      </w:r>
    </w:p>
    <w:p w:rsidR="000A156F" w:rsidRDefault="00A9721F">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553</w:t>
      </w:r>
      <w:r>
        <w:fldChar w:fldCharType="end"/>
      </w:r>
    </w:p>
    <w:p w:rsidR="000A156F" w:rsidRDefault="00A9721F">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479</w:t>
      </w:r>
      <w:r>
        <w:fldChar w:fldCharType="end"/>
      </w:r>
    </w:p>
    <w:p w:rsidR="000A156F" w:rsidRDefault="00A9721F">
      <w:pPr>
        <w:pStyle w:val="indexentry0"/>
      </w:pPr>
      <w:hyperlink w:anchor="section_7e24f68ff81d4fa3852f9c7fe2152ea9">
        <w:r>
          <w:rPr>
            <w:rStyle w:val="Hyperlink"/>
          </w:rPr>
          <w:t>CEILING</w:t>
        </w:r>
      </w:hyperlink>
      <w:r>
        <w:t xml:space="preserve"> </w:t>
      </w:r>
      <w:r>
        <w:fldChar w:fldCharType="begin"/>
      </w:r>
      <w:r>
        <w:instrText>PAGEREF section_7e24f68ff81d4fa3852f9c7fe2152ea9</w:instrText>
      </w:r>
      <w:r>
        <w:fldChar w:fldCharType="separate"/>
      </w:r>
      <w:r>
        <w:rPr>
          <w:noProof/>
        </w:rPr>
        <w:t>402</w:t>
      </w:r>
      <w:r>
        <w:fldChar w:fldCharType="end"/>
      </w:r>
    </w:p>
    <w:p w:rsidR="000A156F" w:rsidRDefault="00A9721F">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402</w:t>
      </w:r>
      <w:r>
        <w:fldChar w:fldCharType="end"/>
      </w:r>
    </w:p>
    <w:p w:rsidR="000A156F" w:rsidRDefault="00A9721F">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379</w:t>
      </w:r>
      <w:r>
        <w:fldChar w:fldCharType="end"/>
      </w:r>
    </w:p>
    <w:p w:rsidR="000A156F" w:rsidRDefault="00A9721F">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392</w:t>
      </w:r>
      <w:r>
        <w:fldChar w:fldCharType="end"/>
      </w:r>
    </w:p>
    <w:p w:rsidR="000A156F" w:rsidRDefault="00A9721F">
      <w:pPr>
        <w:pStyle w:val="indexentry0"/>
      </w:pPr>
      <w:hyperlink w:anchor="section_04b8093a565e4c3c93f6496fd8601311">
        <w:r>
          <w:rPr>
            <w:rStyle w:val="Hyperlink"/>
          </w:rPr>
          <w:t>cell3D (Cell 3-D)</w:t>
        </w:r>
      </w:hyperlink>
      <w:r>
        <w:t xml:space="preserve"> </w:t>
      </w:r>
      <w:r>
        <w:fldChar w:fldCharType="begin"/>
      </w:r>
      <w:r>
        <w:instrText>PAGEREF section_04b8093a565e4c3c93f6496fd8601311</w:instrText>
      </w:r>
      <w:r>
        <w:fldChar w:fldCharType="separate"/>
      </w:r>
      <w:r>
        <w:rPr>
          <w:noProof/>
        </w:rPr>
        <w:t>548</w:t>
      </w:r>
      <w:r>
        <w:fldChar w:fldCharType="end"/>
      </w:r>
    </w:p>
    <w:p w:rsidR="000A156F" w:rsidRDefault="00A9721F">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w:instrText>
      </w:r>
      <w:r>
        <w:instrText>8e8fe7450a01f33d40</w:instrText>
      </w:r>
      <w:r>
        <w:fldChar w:fldCharType="separate"/>
      </w:r>
      <w:r>
        <w:rPr>
          <w:noProof/>
        </w:rPr>
        <w:t>132</w:t>
      </w:r>
      <w:r>
        <w:fldChar w:fldCharType="end"/>
      </w:r>
    </w:p>
    <w:p w:rsidR="000A156F" w:rsidRDefault="00A9721F">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132</w:t>
      </w:r>
      <w:r>
        <w:fldChar w:fldCharType="end"/>
      </w:r>
    </w:p>
    <w:p w:rsidR="000A156F" w:rsidRDefault="00A9721F">
      <w:pPr>
        <w:pStyle w:val="indexentry0"/>
      </w:pPr>
      <w:hyperlink w:anchor="section_bc72271d4fa2406eb84a000c6dcce4dd">
        <w:r>
          <w:rPr>
            <w:rStyle w:val="Hyperlink"/>
          </w:rPr>
          <w:t>cellMerge (Vertically Merge</w:t>
        </w:r>
        <w:r>
          <w:rPr>
            <w:rStyle w:val="Hyperlink"/>
          </w:rPr>
          <w:t>d/Split Table Cells)</w:t>
        </w:r>
      </w:hyperlink>
      <w:r>
        <w:t xml:space="preserve"> </w:t>
      </w:r>
      <w:r>
        <w:fldChar w:fldCharType="begin"/>
      </w:r>
      <w:r>
        <w:instrText>PAGEREF section_bc72271d4fa2406eb84a000c6dcce4dd</w:instrText>
      </w:r>
      <w:r>
        <w:fldChar w:fldCharType="separate"/>
      </w:r>
      <w:r>
        <w:rPr>
          <w:noProof/>
        </w:rPr>
        <w:t>132</w:t>
      </w:r>
      <w:r>
        <w:fldChar w:fldCharType="end"/>
      </w:r>
    </w:p>
    <w:p w:rsidR="000A156F" w:rsidRDefault="00A9721F">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313</w:t>
      </w:r>
      <w:r>
        <w:fldChar w:fldCharType="end"/>
      </w:r>
    </w:p>
    <w:p w:rsidR="000A156F" w:rsidRDefault="00A9721F">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251</w:t>
      </w:r>
      <w:r>
        <w:fldChar w:fldCharType="end"/>
      </w:r>
    </w:p>
    <w:p w:rsidR="000A156F" w:rsidRDefault="00A9721F">
      <w:pPr>
        <w:pStyle w:val="indexentry0"/>
      </w:pPr>
      <w:hyperlink w:anchor="section_f23f28336cf64bef83540b7f3e486b9b">
        <w:r>
          <w:rPr>
            <w:rStyle w:val="Hyperlink"/>
          </w:rPr>
          <w:t>cellSmartTagPr (Smart Tag Properties)</w:t>
        </w:r>
      </w:hyperlink>
      <w:r>
        <w:t xml:space="preserve"> </w:t>
      </w:r>
      <w:r>
        <w:fldChar w:fldCharType="begin"/>
      </w:r>
      <w:r>
        <w:instrText>PAGEREF se</w:instrText>
      </w:r>
      <w:r>
        <w:instrText>ction_f23f28336cf64bef83540b7f3e486b9b</w:instrText>
      </w:r>
      <w:r>
        <w:fldChar w:fldCharType="separate"/>
      </w:r>
      <w:r>
        <w:rPr>
          <w:noProof/>
        </w:rPr>
        <w:t>251</w:t>
      </w:r>
      <w:r>
        <w:fldChar w:fldCharType="end"/>
      </w:r>
    </w:p>
    <w:p w:rsidR="000A156F" w:rsidRDefault="00A9721F">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section_600a8463ba1f481cb30668cf2e39c541</w:instrText>
      </w:r>
      <w:r>
        <w:fldChar w:fldCharType="separate"/>
      </w:r>
      <w:r>
        <w:rPr>
          <w:noProof/>
        </w:rPr>
        <w:t>252</w:t>
      </w:r>
      <w:r>
        <w:fldChar w:fldCharType="end"/>
      </w:r>
    </w:p>
    <w:p w:rsidR="000A156F" w:rsidRDefault="00A9721F">
      <w:pPr>
        <w:pStyle w:val="indexentry0"/>
      </w:pPr>
      <w:hyperlink w:anchor="section_dff6242bddbe4a768d6567496b074576">
        <w:r>
          <w:rPr>
            <w:rStyle w:val="Hyperlink"/>
          </w:rPr>
          <w:t>cellSt</w:t>
        </w:r>
        <w:r>
          <w:rPr>
            <w:rStyle w:val="Hyperlink"/>
          </w:rPr>
          <w:t>yle (Cell Style)</w:t>
        </w:r>
      </w:hyperlink>
      <w:r>
        <w:t xml:space="preserve"> </w:t>
      </w:r>
      <w:r>
        <w:fldChar w:fldCharType="begin"/>
      </w:r>
      <w:r>
        <w:instrText>PAGEREF section_dff6242bddbe4a768d6567496b074576</w:instrText>
      </w:r>
      <w:r>
        <w:fldChar w:fldCharType="separate"/>
      </w:r>
      <w:r>
        <w:rPr>
          <w:noProof/>
        </w:rPr>
        <w:t>296</w:t>
      </w:r>
      <w:r>
        <w:fldChar w:fldCharType="end"/>
      </w:r>
    </w:p>
    <w:p w:rsidR="000A156F" w:rsidRDefault="00A9721F">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297</w:t>
      </w:r>
      <w:r>
        <w:fldChar w:fldCharType="end"/>
      </w:r>
    </w:p>
    <w:p w:rsidR="000A156F" w:rsidRDefault="00A9721F">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297</w:t>
      </w:r>
      <w:r>
        <w:fldChar w:fldCharType="end"/>
      </w:r>
    </w:p>
    <w:p w:rsidR="000A156F" w:rsidRDefault="00A9721F">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252</w:t>
      </w:r>
      <w:r>
        <w:fldChar w:fldCharType="end"/>
      </w:r>
    </w:p>
    <w:p w:rsidR="000A156F" w:rsidRDefault="00A9721F">
      <w:pPr>
        <w:pStyle w:val="indexentry0"/>
      </w:pPr>
      <w:hyperlink w:anchor="section_d0f88a45c7c3456b9e212fd5577e9898">
        <w:r>
          <w:rPr>
            <w:rStyle w:val="Hyperlink"/>
          </w:rPr>
          <w:t>cellXfs (Cell Formats)</w:t>
        </w:r>
      </w:hyperlink>
      <w:r>
        <w:t xml:space="preserve"> </w:t>
      </w:r>
      <w:r>
        <w:fldChar w:fldCharType="begin"/>
      </w:r>
      <w:r>
        <w:instrText>PAGEREF section_d0f88a45c7c3456b9e212fd5577e9898</w:instrText>
      </w:r>
      <w:r>
        <w:fldChar w:fldCharType="separate"/>
      </w:r>
      <w:r>
        <w:rPr>
          <w:noProof/>
        </w:rPr>
        <w:t>297</w:t>
      </w:r>
      <w:r>
        <w:fldChar w:fldCharType="end"/>
      </w:r>
    </w:p>
    <w:p w:rsidR="000A156F" w:rsidRDefault="00A9721F">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w:instrText>
      </w:r>
      <w:r>
        <w:instrText>73f4d1</w:instrText>
      </w:r>
      <w:r>
        <w:fldChar w:fldCharType="separate"/>
      </w:r>
      <w:r>
        <w:rPr>
          <w:noProof/>
        </w:rPr>
        <w:t>684</w:t>
      </w:r>
      <w:r>
        <w:fldChar w:fldCharType="end"/>
      </w:r>
    </w:p>
    <w:p w:rsidR="000A156F" w:rsidRDefault="00A9721F">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252</w:t>
      </w:r>
      <w:r>
        <w:fldChar w:fldCharType="end"/>
      </w:r>
    </w:p>
    <w:p w:rsidR="000A156F" w:rsidRDefault="00A9721F">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252</w:t>
      </w:r>
      <w:r>
        <w:fldChar w:fldCharType="end"/>
      </w:r>
    </w:p>
    <w:p w:rsidR="000A156F" w:rsidRDefault="00A9721F">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602</w:t>
      </w:r>
      <w:r>
        <w:fldChar w:fldCharType="end"/>
      </w:r>
    </w:p>
    <w:p w:rsidR="000A156F" w:rsidRDefault="00A9721F">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section_371c0b7677f1445f8546de0c5b1ada0d</w:instrText>
      </w:r>
      <w:r>
        <w:fldChar w:fldCharType="separate"/>
      </w:r>
      <w:r>
        <w:rPr>
          <w:noProof/>
        </w:rPr>
        <w:t>602</w:t>
      </w:r>
      <w:r>
        <w:fldChar w:fldCharType="end"/>
      </w:r>
    </w:p>
    <w:p w:rsidR="000A156F" w:rsidRDefault="00A9721F">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918</w:t>
      </w:r>
      <w:r>
        <w:fldChar w:fldCharType="end"/>
      </w:r>
    </w:p>
    <w:p w:rsidR="000A156F" w:rsidRDefault="00A9721F">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480</w:t>
      </w:r>
      <w:r>
        <w:fldChar w:fldCharType="end"/>
      </w:r>
    </w:p>
    <w:p w:rsidR="000A156F" w:rsidRDefault="00A9721F">
      <w:pPr>
        <w:pStyle w:val="indexentry0"/>
      </w:pPr>
      <w:hyperlink w:anchor="section_52357dd845fc4d83b9aa87787d22666a">
        <w:r>
          <w:rPr>
            <w:rStyle w:val="Hyperlink"/>
          </w:rPr>
          <w:t>charset (Character Set Supported By Font)</w:t>
        </w:r>
      </w:hyperlink>
      <w:r>
        <w:t xml:space="preserve"> </w:t>
      </w:r>
      <w:r>
        <w:fldChar w:fldCharType="begin"/>
      </w:r>
      <w:r>
        <w:instrText>PAGEREF sect</w:instrText>
      </w:r>
      <w:r>
        <w:instrText>ion_52357dd845fc4d83b9aa87787d22666a</w:instrText>
      </w:r>
      <w:r>
        <w:fldChar w:fldCharType="separate"/>
      </w:r>
      <w:r>
        <w:rPr>
          <w:noProof/>
        </w:rPr>
        <w:t>121</w:t>
      </w:r>
      <w:r>
        <w:fldChar w:fldCharType="end"/>
      </w:r>
    </w:p>
    <w:p w:rsidR="000A156F" w:rsidRDefault="00A9721F">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59</w:t>
      </w:r>
      <w:r>
        <w:fldChar w:fldCharType="end"/>
      </w:r>
    </w:p>
    <w:p w:rsidR="000A156F" w:rsidRDefault="00A9721F">
      <w:pPr>
        <w:pStyle w:val="indexentry0"/>
      </w:pPr>
      <w:hyperlink w:anchor="section_a7f5e690608d4293affbcbe334eb4b62">
        <w:r>
          <w:rPr>
            <w:rStyle w:val="Hyperlink"/>
          </w:rPr>
          <w:t>Chart formulas</w:t>
        </w:r>
      </w:hyperlink>
      <w:r>
        <w:t xml:space="preserve"> </w:t>
      </w:r>
      <w:r>
        <w:fldChar w:fldCharType="begin"/>
      </w:r>
      <w:r>
        <w:instrText>PAGE</w:instrText>
      </w:r>
      <w:r>
        <w:instrText>REF section_a7f5e690608d4293affbcbe334eb4b62</w:instrText>
      </w:r>
      <w:r>
        <w:fldChar w:fldCharType="separate"/>
      </w:r>
      <w:r>
        <w:rPr>
          <w:noProof/>
        </w:rPr>
        <w:t>850</w:t>
      </w:r>
      <w:r>
        <w:fldChar w:fldCharType="end"/>
      </w:r>
    </w:p>
    <w:p w:rsidR="000A156F" w:rsidRDefault="00A9721F">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58</w:t>
      </w:r>
      <w:r>
        <w:fldChar w:fldCharType="end"/>
      </w:r>
    </w:p>
    <w:p w:rsidR="000A156F" w:rsidRDefault="00A9721F">
      <w:pPr>
        <w:pStyle w:val="indexentry0"/>
      </w:pPr>
      <w:hyperlink w:anchor="section_9e183000e99d4de69b77a628dda03422">
        <w:r>
          <w:rPr>
            <w:rStyle w:val="Hyperlink"/>
          </w:rPr>
          <w:t>chartFormat (PivotCha</w:t>
        </w:r>
        <w:r>
          <w:rPr>
            <w:rStyle w:val="Hyperlink"/>
          </w:rPr>
          <w:t>rt Format)</w:t>
        </w:r>
      </w:hyperlink>
      <w:r>
        <w:t xml:space="preserve"> </w:t>
      </w:r>
      <w:r>
        <w:fldChar w:fldCharType="begin"/>
      </w:r>
      <w:r>
        <w:instrText>PAGEREF section_9e183000e99d4de69b77a628dda03422</w:instrText>
      </w:r>
      <w:r>
        <w:fldChar w:fldCharType="separate"/>
      </w:r>
      <w:r>
        <w:rPr>
          <w:noProof/>
        </w:rPr>
        <w:t>330</w:t>
      </w:r>
      <w:r>
        <w:fldChar w:fldCharType="end"/>
      </w:r>
    </w:p>
    <w:p w:rsidR="000A156F" w:rsidRDefault="00A9721F">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553</w:t>
      </w:r>
      <w:r>
        <w:fldChar w:fldCharType="end"/>
      </w:r>
    </w:p>
    <w:p w:rsidR="000A156F" w:rsidRDefault="00A9721F">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252</w:t>
      </w:r>
      <w:r>
        <w:fldChar w:fldCharType="end"/>
      </w:r>
    </w:p>
    <w:p w:rsidR="000A156F" w:rsidRDefault="00A9721F">
      <w:pPr>
        <w:pStyle w:val="indexentry0"/>
      </w:pPr>
      <w:hyperlink w:anchor="section_ad7b4b63522f4b6191bc56ec1602b872">
        <w:r>
          <w:rPr>
            <w:rStyle w:val="Hyperlink"/>
          </w:rPr>
          <w:t>Chartsheet Part</w:t>
        </w:r>
      </w:hyperlink>
      <w:r>
        <w:t xml:space="preserve"> </w:t>
      </w:r>
      <w:r>
        <w:fldChar w:fldCharType="begin"/>
      </w:r>
      <w:r>
        <w:instrText>PAGEREF section_ad7b4b63522f4b6191bc5</w:instrText>
      </w:r>
      <w:r>
        <w:instrText>6ec1602b872</w:instrText>
      </w:r>
      <w:r>
        <w:fldChar w:fldCharType="separate"/>
      </w:r>
      <w:r>
        <w:rPr>
          <w:noProof/>
        </w:rPr>
        <w:t>50</w:t>
      </w:r>
      <w:r>
        <w:fldChar w:fldCharType="end"/>
      </w:r>
    </w:p>
    <w:p w:rsidR="000A156F" w:rsidRDefault="00A9721F">
      <w:pPr>
        <w:pStyle w:val="indexentry0"/>
      </w:pPr>
      <w:hyperlink w:anchor="section_82e2e7bd829d475881e6caf57fea72d4">
        <w:r>
          <w:rPr>
            <w:rStyle w:val="Hyperlink"/>
          </w:rPr>
          <w:t>checkErrors (Mail Merge Error Reporting Setting)</w:t>
        </w:r>
      </w:hyperlink>
      <w:r>
        <w:t xml:space="preserve"> </w:t>
      </w:r>
      <w:r>
        <w:fldChar w:fldCharType="begin"/>
      </w:r>
      <w:r>
        <w:instrText>PAGEREF section_82e2e7bd829d475881e6caf57fea72d4</w:instrText>
      </w:r>
      <w:r>
        <w:fldChar w:fldCharType="separate"/>
      </w:r>
      <w:r>
        <w:rPr>
          <w:noProof/>
        </w:rPr>
        <w:t>141</w:t>
      </w:r>
      <w:r>
        <w:fldChar w:fldCharType="end"/>
      </w:r>
    </w:p>
    <w:p w:rsidR="000A156F" w:rsidRDefault="00A9721F">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512</w:t>
      </w:r>
      <w:r>
        <w:fldChar w:fldCharType="end"/>
      </w:r>
    </w:p>
    <w:p w:rsidR="000A156F" w:rsidRDefault="00A9721F">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407</w:t>
      </w:r>
      <w:r>
        <w:fldChar w:fldCharType="end"/>
      </w:r>
    </w:p>
    <w:p w:rsidR="000A156F" w:rsidRDefault="00A9721F">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512</w:t>
      </w:r>
      <w:r>
        <w:fldChar w:fldCharType="end"/>
      </w:r>
    </w:p>
    <w:p w:rsidR="000A156F" w:rsidRDefault="00A9721F">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185</w:t>
      </w:r>
      <w:r>
        <w:fldChar w:fldCharType="end"/>
      </w:r>
    </w:p>
    <w:p w:rsidR="000A156F" w:rsidRDefault="00A9721F">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407</w:t>
      </w:r>
      <w:r>
        <w:fldChar w:fldCharType="end"/>
      </w:r>
    </w:p>
    <w:p w:rsidR="000A156F" w:rsidRDefault="00A9721F">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w:instrText>
      </w:r>
      <w:r>
        <w:instrText>b110</w:instrText>
      </w:r>
      <w:r>
        <w:fldChar w:fldCharType="separate"/>
      </w:r>
      <w:r>
        <w:rPr>
          <w:noProof/>
        </w:rPr>
        <w:t>150</w:t>
      </w:r>
      <w:r>
        <w:fldChar w:fldCharType="end"/>
      </w:r>
    </w:p>
    <w:p w:rsidR="000A156F" w:rsidRDefault="00A9721F">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section_4ed4ba3ad2844c2f954abeeb4c0b45cf</w:instrText>
      </w:r>
      <w:r>
        <w:fldChar w:fldCharType="separate"/>
      </w:r>
      <w:r>
        <w:rPr>
          <w:noProof/>
        </w:rPr>
        <w:t>684</w:t>
      </w:r>
      <w:r>
        <w:fldChar w:fldCharType="end"/>
      </w:r>
    </w:p>
    <w:p w:rsidR="000A156F" w:rsidRDefault="00A9721F">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section_38d8fc638f7340688de735a4b20b55e3</w:instrText>
      </w:r>
      <w:r>
        <w:fldChar w:fldCharType="separate"/>
      </w:r>
      <w:r>
        <w:rPr>
          <w:noProof/>
        </w:rPr>
        <w:t>670</w:t>
      </w:r>
      <w:r>
        <w:fldChar w:fldCharType="end"/>
      </w:r>
    </w:p>
    <w:p w:rsidR="000A156F" w:rsidRDefault="00A9721F">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515</w:t>
      </w:r>
      <w:r>
        <w:fldChar w:fldCharType="end"/>
      </w:r>
    </w:p>
    <w:p w:rsidR="000A156F" w:rsidRDefault="00A9721F">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590</w:t>
      </w:r>
      <w:r>
        <w:fldChar w:fldCharType="end"/>
      </w:r>
    </w:p>
    <w:p w:rsidR="000A156F" w:rsidRDefault="00A9721F">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150</w:t>
      </w:r>
      <w:r>
        <w:fldChar w:fldCharType="end"/>
      </w:r>
    </w:p>
    <w:p w:rsidR="000A156F" w:rsidRDefault="00A9721F">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618</w:t>
      </w:r>
      <w:r>
        <w:fldChar w:fldCharType="end"/>
      </w:r>
    </w:p>
    <w:p w:rsidR="000A156F" w:rsidRDefault="00A9721F">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470</w:t>
      </w:r>
      <w:r>
        <w:fldChar w:fldCharType="end"/>
      </w:r>
    </w:p>
    <w:p w:rsidR="000A156F" w:rsidRDefault="00A9721F">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480</w:t>
      </w:r>
      <w:r>
        <w:fldChar w:fldCharType="end"/>
      </w:r>
    </w:p>
    <w:p w:rsidR="000A156F" w:rsidRDefault="00A9721F">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w:instrText>
      </w:r>
      <w:r>
        <w:instrText>dd5a14aae911fd0be67f559f3</w:instrText>
      </w:r>
      <w:r>
        <w:fldChar w:fldCharType="separate"/>
      </w:r>
      <w:r>
        <w:rPr>
          <w:noProof/>
        </w:rPr>
        <w:t>481</w:t>
      </w:r>
      <w:r>
        <w:fldChar w:fldCharType="end"/>
      </w:r>
    </w:p>
    <w:p w:rsidR="000A156F" w:rsidRDefault="00A9721F">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62</w:t>
      </w:r>
      <w:r>
        <w:fldChar w:fldCharType="end"/>
      </w:r>
    </w:p>
    <w:p w:rsidR="000A156F" w:rsidRDefault="00A9721F">
      <w:pPr>
        <w:pStyle w:val="indexentry0"/>
      </w:pPr>
      <w:hyperlink w:anchor="section_0a28293f8ae14ef889f29e0f11b6281f">
        <w:r>
          <w:rPr>
            <w:rStyle w:val="Hyperlink"/>
          </w:rPr>
          <w:t>cnfStyl</w:t>
        </w:r>
        <w:r>
          <w:rPr>
            <w:rStyle w:val="Hyperlink"/>
          </w:rPr>
          <w:t>e (Table Cell Conditional Formatting)</w:t>
        </w:r>
      </w:hyperlink>
      <w:r>
        <w:t xml:space="preserve"> </w:t>
      </w:r>
      <w:r>
        <w:fldChar w:fldCharType="begin"/>
      </w:r>
      <w:r>
        <w:instrText>PAGEREF section_0a28293f8ae14ef889f29e0f11b6281f</w:instrText>
      </w:r>
      <w:r>
        <w:fldChar w:fldCharType="separate"/>
      </w:r>
      <w:r>
        <w:rPr>
          <w:noProof/>
        </w:rPr>
        <w:t>81</w:t>
      </w:r>
      <w:r>
        <w:fldChar w:fldCharType="end"/>
      </w:r>
    </w:p>
    <w:p w:rsidR="000A156F" w:rsidRDefault="00A9721F">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81</w:t>
      </w:r>
      <w:r>
        <w:fldChar w:fldCharType="end"/>
      </w:r>
    </w:p>
    <w:p w:rsidR="000A156F" w:rsidRDefault="00A9721F">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section_b27c7603f2c646ed85f31ca87fc85510</w:instrText>
      </w:r>
      <w:r>
        <w:fldChar w:fldCharType="separate"/>
      </w:r>
      <w:r>
        <w:rPr>
          <w:noProof/>
        </w:rPr>
        <w:t>495</w:t>
      </w:r>
      <w:r>
        <w:fldChar w:fldCharType="end"/>
      </w:r>
    </w:p>
    <w:p w:rsidR="000A156F" w:rsidRDefault="00A9721F">
      <w:pPr>
        <w:pStyle w:val="indexentry0"/>
      </w:pPr>
      <w:hyperlink w:anchor="section_bc12d6f013324416aecd30dfeb62091b">
        <w:r>
          <w:rPr>
            <w:rStyle w:val="Hyperlink"/>
          </w:rPr>
          <w:t>cNvGraphicFramePr (No</w:t>
        </w:r>
        <w:r>
          <w:rPr>
            <w:rStyle w:val="Hyperlink"/>
          </w:rPr>
          <w:t>n-Visual Graphic Frame Drawing Properties)</w:t>
        </w:r>
      </w:hyperlink>
      <w:r>
        <w:t xml:space="preserve"> </w:t>
      </w:r>
      <w:r>
        <w:fldChar w:fldCharType="begin"/>
      </w:r>
      <w:r>
        <w:instrText>PAGEREF section_bc12d6f013324416aecd30dfeb62091b</w:instrText>
      </w:r>
      <w:r>
        <w:fldChar w:fldCharType="separate"/>
      </w:r>
      <w:r>
        <w:rPr>
          <w:noProof/>
        </w:rPr>
        <w:t>495</w:t>
      </w:r>
      <w:r>
        <w:fldChar w:fldCharType="end"/>
      </w:r>
    </w:p>
    <w:p w:rsidR="000A156F" w:rsidRDefault="00A9721F">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section_58cd5b4217c74759959b4c5a2</w:instrText>
      </w:r>
      <w:r>
        <w:instrText>f6bf763</w:instrText>
      </w:r>
      <w:r>
        <w:fldChar w:fldCharType="separate"/>
      </w:r>
      <w:r>
        <w:rPr>
          <w:noProof/>
        </w:rPr>
        <w:t>495</w:t>
      </w:r>
      <w:r>
        <w:fldChar w:fldCharType="end"/>
      </w:r>
    </w:p>
    <w:p w:rsidR="000A156F" w:rsidRDefault="00A9721F">
      <w:pPr>
        <w:pStyle w:val="indexentry0"/>
      </w:pPr>
      <w:r>
        <w:t>cNvPr (Non-Visual Drawing Properties) (</w:t>
      </w:r>
      <w:hyperlink w:anchor="section_3d4d8b5b07bd48f588194c8adae68ad3">
        <w:r>
          <w:rPr>
            <w:rStyle w:val="Hyperlink"/>
          </w:rPr>
          <w:t>section 2.1.1359</w:t>
        </w:r>
      </w:hyperlink>
      <w:r>
        <w:t xml:space="preserve"> </w:t>
      </w:r>
      <w:r>
        <w:fldChar w:fldCharType="begin"/>
      </w:r>
      <w:r>
        <w:instrText>PAGEREF section_3d4d8b5b07bd48f588194c8adae68ad3</w:instrText>
      </w:r>
      <w:r>
        <w:fldChar w:fldCharType="separate"/>
      </w:r>
      <w:r>
        <w:rPr>
          <w:noProof/>
        </w:rPr>
        <w:t>532</w:t>
      </w:r>
      <w:r>
        <w:fldChar w:fldCharType="end"/>
      </w:r>
      <w:r>
        <w:t xml:space="preserve">, </w:t>
      </w:r>
      <w:hyperlink w:anchor="section_dd2a08189ba74ba58a8c85431cac913f">
        <w:r>
          <w:rPr>
            <w:rStyle w:val="Hyperlink"/>
          </w:rPr>
          <w:t>section 2.1.</w:t>
        </w:r>
        <w:r>
          <w:rPr>
            <w:rStyle w:val="Hyperlink"/>
          </w:rPr>
          <w:t>1602</w:t>
        </w:r>
      </w:hyperlink>
      <w:r>
        <w:t xml:space="preserve"> </w:t>
      </w:r>
      <w:r>
        <w:fldChar w:fldCharType="begin"/>
      </w:r>
      <w:r>
        <w:instrText>PAGEREF section_dd2a08189ba74ba58a8c85431cac913f</w:instrText>
      </w:r>
      <w:r>
        <w:fldChar w:fldCharType="separate"/>
      </w:r>
      <w:r>
        <w:rPr>
          <w:noProof/>
        </w:rPr>
        <w:t>587</w:t>
      </w:r>
      <w:r>
        <w:fldChar w:fldCharType="end"/>
      </w:r>
      <w:r>
        <w:t>)</w:t>
      </w:r>
    </w:p>
    <w:p w:rsidR="000A156F" w:rsidRDefault="00A9721F">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532</w:t>
      </w:r>
      <w:r>
        <w:fldChar w:fldCharType="end"/>
      </w:r>
    </w:p>
    <w:p w:rsidR="000A156F" w:rsidRDefault="00A9721F">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253</w:t>
      </w:r>
      <w:r>
        <w:fldChar w:fldCharType="end"/>
      </w:r>
    </w:p>
    <w:p w:rsidR="000A156F" w:rsidRDefault="00A9721F">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842</w:t>
      </w:r>
      <w:r>
        <w:fldChar w:fldCharType="end"/>
      </w:r>
    </w:p>
    <w:p w:rsidR="000A156F" w:rsidRDefault="00A9721F">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532</w:t>
      </w:r>
      <w:r>
        <w:fldChar w:fldCharType="end"/>
      </w:r>
    </w:p>
    <w:p w:rsidR="000A156F" w:rsidRDefault="00A9721F">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101</w:t>
      </w:r>
      <w:r>
        <w:fldChar w:fldCharType="end"/>
      </w:r>
    </w:p>
    <w:p w:rsidR="000A156F" w:rsidRDefault="00A9721F">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253</w:t>
      </w:r>
      <w:r>
        <w:fldChar w:fldCharType="end"/>
      </w:r>
    </w:p>
    <w:p w:rsidR="000A156F" w:rsidRDefault="00A9721F">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141</w:t>
      </w:r>
      <w:r>
        <w:fldChar w:fldCharType="end"/>
      </w:r>
    </w:p>
    <w:p w:rsidR="000A156F" w:rsidRDefault="00A9721F">
      <w:pPr>
        <w:pStyle w:val="indexentry0"/>
      </w:pPr>
      <w:hyperlink w:anchor="section_c360ff36c63047a69a3c94164b365fba">
        <w:r>
          <w:rPr>
            <w:rStyle w:val="Hyperlink"/>
          </w:rPr>
          <w:t>ColHidden (Comment's Column is Hidde</w:t>
        </w:r>
        <w:r>
          <w:rPr>
            <w:rStyle w:val="Hyperlink"/>
          </w:rPr>
          <w:t>n)</w:t>
        </w:r>
      </w:hyperlink>
      <w:r>
        <w:t xml:space="preserve"> </w:t>
      </w:r>
      <w:r>
        <w:fldChar w:fldCharType="begin"/>
      </w:r>
      <w:r>
        <w:instrText>PAGEREF section_c360ff36c63047a69a3c94164b365fba</w:instrText>
      </w:r>
      <w:r>
        <w:fldChar w:fldCharType="separate"/>
      </w:r>
      <w:r>
        <w:rPr>
          <w:noProof/>
        </w:rPr>
        <w:t>684</w:t>
      </w:r>
      <w:r>
        <w:fldChar w:fldCharType="end"/>
      </w:r>
    </w:p>
    <w:p w:rsidR="000A156F" w:rsidRDefault="00A9721F">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331</w:t>
      </w:r>
      <w:r>
        <w:fldChar w:fldCharType="end"/>
      </w:r>
    </w:p>
    <w:p w:rsidR="000A156F" w:rsidRDefault="00A9721F">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331</w:t>
      </w:r>
      <w:r>
        <w:fldChar w:fldCharType="end"/>
      </w:r>
    </w:p>
    <w:p w:rsidR="000A156F" w:rsidRDefault="00A9721F">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w:instrText>
      </w:r>
      <w:r>
        <w:instrText>6229a342d</w:instrText>
      </w:r>
      <w:r>
        <w:fldChar w:fldCharType="separate"/>
      </w:r>
      <w:r>
        <w:rPr>
          <w:noProof/>
        </w:rPr>
        <w:t>331</w:t>
      </w:r>
      <w:r>
        <w:fldChar w:fldCharType="end"/>
      </w:r>
    </w:p>
    <w:p w:rsidR="000A156F" w:rsidRDefault="00A9721F">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533</w:t>
      </w:r>
      <w:r>
        <w:fldChar w:fldCharType="end"/>
      </w:r>
    </w:p>
    <w:p w:rsidR="000A156F" w:rsidRDefault="00A9721F">
      <w:pPr>
        <w:pStyle w:val="indexentry0"/>
      </w:pPr>
      <w:hyperlink w:anchor="section_903e02250adb44a3864f59cacf639a76">
        <w:r>
          <w:rPr>
            <w:rStyle w:val="Hyperlink"/>
          </w:rPr>
          <w:t>color (Data Bar Color)</w:t>
        </w:r>
      </w:hyperlink>
      <w:r>
        <w:t xml:space="preserve"> </w:t>
      </w:r>
      <w:r>
        <w:fldChar w:fldCharType="begin"/>
      </w:r>
      <w:r>
        <w:instrText>PAGEREF section_903</w:instrText>
      </w:r>
      <w:r>
        <w:instrText>e02250adb44a3864f59cacf639a76</w:instrText>
      </w:r>
      <w:r>
        <w:fldChar w:fldCharType="separate"/>
      </w:r>
      <w:r>
        <w:rPr>
          <w:noProof/>
        </w:rPr>
        <w:t>253</w:t>
      </w:r>
      <w:r>
        <w:fldChar w:fldCharType="end"/>
      </w:r>
    </w:p>
    <w:p w:rsidR="000A156F" w:rsidRDefault="00A9721F">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160</w:t>
      </w:r>
      <w:r>
        <w:fldChar w:fldCharType="end"/>
      </w:r>
    </w:p>
    <w:p w:rsidR="000A156F" w:rsidRDefault="00A9721F">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68</w:t>
      </w:r>
      <w:r>
        <w:fldChar w:fldCharType="end"/>
      </w:r>
    </w:p>
    <w:p w:rsidR="000A156F" w:rsidRDefault="00A9721F">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889</w:t>
      </w:r>
      <w:r>
        <w:fldChar w:fldCharType="end"/>
      </w:r>
    </w:p>
    <w:p w:rsidR="000A156F" w:rsidRDefault="00A9721F">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684</w:t>
      </w:r>
      <w:r>
        <w:fldChar w:fldCharType="end"/>
      </w:r>
    </w:p>
    <w:p w:rsidR="000A156F" w:rsidRDefault="00A9721F">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section_00d10ae34a454065822a7472be3831</w:instrText>
      </w:r>
      <w:r>
        <w:instrText>26</w:instrText>
      </w:r>
      <w:r>
        <w:fldChar w:fldCharType="separate"/>
      </w:r>
      <w:r>
        <w:rPr>
          <w:noProof/>
        </w:rPr>
        <w:t>287</w:t>
      </w:r>
      <w:r>
        <w:fldChar w:fldCharType="end"/>
      </w:r>
    </w:p>
    <w:p w:rsidR="000A156F" w:rsidRDefault="00A9721F">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670</w:t>
      </w:r>
      <w:r>
        <w:fldChar w:fldCharType="end"/>
      </w:r>
    </w:p>
    <w:p w:rsidR="000A156F" w:rsidRDefault="00A9721F">
      <w:pPr>
        <w:pStyle w:val="indexentry0"/>
      </w:pPr>
      <w:hyperlink w:anchor="section_62acf3ab86d0498faa7b266e0ef527dd">
        <w:r>
          <w:rPr>
            <w:rStyle w:val="Hyperlink"/>
          </w:rPr>
          <w:t>colormru (Most Recently Used Colors)</w:t>
        </w:r>
      </w:hyperlink>
      <w:r>
        <w:t xml:space="preserve"> </w:t>
      </w:r>
      <w:r>
        <w:fldChar w:fldCharType="begin"/>
      </w:r>
      <w:r>
        <w:instrText>PAGER</w:instrText>
      </w:r>
      <w:r>
        <w:instrText>EF section_62acf3ab86d0498faa7b266e0ef527dd</w:instrText>
      </w:r>
      <w:r>
        <w:fldChar w:fldCharType="separate"/>
      </w:r>
      <w:r>
        <w:rPr>
          <w:noProof/>
        </w:rPr>
        <w:t>670</w:t>
      </w:r>
      <w:r>
        <w:fldChar w:fldCharType="end"/>
      </w:r>
    </w:p>
    <w:p w:rsidR="000A156F" w:rsidRDefault="00A9721F">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254</w:t>
      </w:r>
      <w:r>
        <w:fldChar w:fldCharType="end"/>
      </w:r>
    </w:p>
    <w:p w:rsidR="000A156F" w:rsidRDefault="00A9721F">
      <w:pPr>
        <w:pStyle w:val="indexentry0"/>
      </w:pPr>
      <w:hyperlink w:anchor="section_159e85d0568f49d2b6e9a0b97ff50a0d">
        <w:r>
          <w:rPr>
            <w:rStyle w:val="Hyperlink"/>
          </w:rPr>
          <w:t>colorsDe</w:t>
        </w:r>
        <w:r>
          <w:rPr>
            <w:rStyle w:val="Hyperlink"/>
          </w:rPr>
          <w:t>f (Color Transform Definitions)</w:t>
        </w:r>
      </w:hyperlink>
      <w:r>
        <w:t xml:space="preserve"> </w:t>
      </w:r>
      <w:r>
        <w:fldChar w:fldCharType="begin"/>
      </w:r>
      <w:r>
        <w:instrText>PAGEREF section_159e85d0568f49d2b6e9a0b97ff50a0d</w:instrText>
      </w:r>
      <w:r>
        <w:fldChar w:fldCharType="separate"/>
      </w:r>
      <w:r>
        <w:rPr>
          <w:noProof/>
        </w:rPr>
        <w:t>592</w:t>
      </w:r>
      <w:r>
        <w:fldChar w:fldCharType="end"/>
      </w:r>
    </w:p>
    <w:p w:rsidR="000A156F" w:rsidRDefault="00A9721F">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101</w:t>
      </w:r>
      <w:r>
        <w:fldChar w:fldCharType="end"/>
      </w:r>
    </w:p>
    <w:p w:rsidR="000A156F" w:rsidRDefault="00A9721F">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843</w:t>
      </w:r>
      <w:r>
        <w:fldChar w:fldCharType="end"/>
      </w:r>
    </w:p>
    <w:p w:rsidR="000A156F" w:rsidRDefault="00A9721F">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141</w:t>
      </w:r>
      <w:r>
        <w:fldChar w:fldCharType="end"/>
      </w:r>
    </w:p>
    <w:p w:rsidR="000A156F" w:rsidRDefault="00A9721F">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142</w:t>
      </w:r>
      <w:r>
        <w:fldChar w:fldCharType="end"/>
      </w:r>
    </w:p>
    <w:p w:rsidR="000A156F" w:rsidRDefault="00A9721F">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671</w:t>
      </w:r>
      <w:r>
        <w:fldChar w:fldCharType="end"/>
      </w:r>
    </w:p>
    <w:p w:rsidR="000A156F" w:rsidRDefault="00A9721F">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w:instrText>
      </w:r>
      <w:r>
        <w:instrText>28</w:instrText>
      </w:r>
      <w:r>
        <w:fldChar w:fldCharType="separate"/>
      </w:r>
      <w:r>
        <w:rPr>
          <w:noProof/>
        </w:rPr>
        <w:t>129</w:t>
      </w:r>
      <w:r>
        <w:fldChar w:fldCharType="end"/>
      </w:r>
    </w:p>
    <w:p w:rsidR="000A156F" w:rsidRDefault="00A9721F">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295</w:t>
      </w:r>
      <w:r>
        <w:fldChar w:fldCharType="end"/>
      </w:r>
    </w:p>
    <w:p w:rsidR="000A156F" w:rsidRDefault="00A9721F">
      <w:pPr>
        <w:pStyle w:val="indexentry0"/>
      </w:pPr>
      <w:hyperlink w:anchor="section_e9edd17d6abd4eb4809926c53991de54">
        <w:r>
          <w:rPr>
            <w:rStyle w:val="Hyperlink"/>
          </w:rPr>
          <w:t>commentPr (Comment Properties)</w:t>
        </w:r>
      </w:hyperlink>
      <w:r>
        <w:t xml:space="preserve"> </w:t>
      </w:r>
      <w:r>
        <w:fldChar w:fldCharType="begin"/>
      </w:r>
      <w:r>
        <w:instrText>PAGEREF section_e9edd17</w:instrText>
      </w:r>
      <w:r>
        <w:instrText>d6abd4eb4809926c53991de54</w:instrText>
      </w:r>
      <w:r>
        <w:fldChar w:fldCharType="separate"/>
      </w:r>
      <w:r>
        <w:rPr>
          <w:noProof/>
        </w:rPr>
        <w:t>295</w:t>
      </w:r>
      <w:r>
        <w:fldChar w:fldCharType="end"/>
      </w:r>
    </w:p>
    <w:p w:rsidR="000A156F" w:rsidRDefault="00A9721F">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131</w:t>
      </w:r>
      <w:r>
        <w:fldChar w:fldCharType="end"/>
      </w:r>
    </w:p>
    <w:p w:rsidR="000A156F" w:rsidRDefault="00A9721F">
      <w:pPr>
        <w:pStyle w:val="indexentry0"/>
      </w:pPr>
      <w:hyperlink w:anchor="section_64b95366980f4c759519b745345ded9a">
        <w:r>
          <w:rPr>
            <w:rStyle w:val="Hyperlink"/>
          </w:rPr>
          <w:t>commentR</w:t>
        </w:r>
        <w:r>
          <w:rPr>
            <w:rStyle w:val="Hyperlink"/>
          </w:rPr>
          <w:t>angeStart (Comment Anchor Range Start)</w:t>
        </w:r>
      </w:hyperlink>
      <w:r>
        <w:t xml:space="preserve"> </w:t>
      </w:r>
      <w:r>
        <w:fldChar w:fldCharType="begin"/>
      </w:r>
      <w:r>
        <w:instrText>PAGEREF section_64b95366980f4c759519b745345ded9a</w:instrText>
      </w:r>
      <w:r>
        <w:fldChar w:fldCharType="separate"/>
      </w:r>
      <w:r>
        <w:rPr>
          <w:noProof/>
        </w:rPr>
        <w:t>131</w:t>
      </w:r>
      <w:r>
        <w:fldChar w:fldCharType="end"/>
      </w:r>
    </w:p>
    <w:p w:rsidR="000A156F" w:rsidRDefault="00A9721F">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132</w:t>
      </w:r>
      <w:r>
        <w:fldChar w:fldCharType="end"/>
      </w:r>
    </w:p>
    <w:p w:rsidR="000A156F" w:rsidRDefault="00A9721F">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185</w:t>
      </w:r>
      <w:r>
        <w:fldChar w:fldCharType="end"/>
      </w:r>
    </w:p>
    <w:p w:rsidR="000A156F" w:rsidRDefault="00A9721F">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w:instrText>
      </w:r>
      <w:r>
        <w:instrText>867332f5fe073b</w:instrText>
      </w:r>
      <w:r>
        <w:fldChar w:fldCharType="separate"/>
      </w:r>
      <w:r>
        <w:rPr>
          <w:noProof/>
        </w:rPr>
        <w:t>860</w:t>
      </w:r>
      <w:r>
        <w:fldChar w:fldCharType="end"/>
      </w:r>
    </w:p>
    <w:p w:rsidR="000A156F" w:rsidRDefault="00A9721F">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860</w:t>
      </w:r>
      <w:r>
        <w:fldChar w:fldCharType="end"/>
      </w:r>
    </w:p>
    <w:p w:rsidR="000A156F" w:rsidRDefault="00A9721F">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860</w:t>
      </w:r>
      <w:r>
        <w:fldChar w:fldCharType="end"/>
      </w:r>
    </w:p>
    <w:p w:rsidR="000A156F" w:rsidRDefault="00A9721F">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861</w:t>
      </w:r>
      <w:r>
        <w:fldChar w:fldCharType="end"/>
      </w:r>
    </w:p>
    <w:p w:rsidR="000A156F" w:rsidRDefault="00A9721F">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185</w:t>
      </w:r>
      <w:r>
        <w:fldChar w:fldCharType="end"/>
      </w:r>
    </w:p>
    <w:p w:rsidR="000A156F" w:rsidRDefault="00A9721F">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408</w:t>
      </w:r>
      <w:r>
        <w:fldChar w:fldCharType="end"/>
      </w:r>
    </w:p>
    <w:p w:rsidR="000A156F" w:rsidRDefault="00A9721F">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671</w:t>
      </w:r>
      <w:r>
        <w:fldChar w:fldCharType="end"/>
      </w:r>
    </w:p>
    <w:p w:rsidR="000A156F" w:rsidRDefault="00A9721F">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481</w:t>
      </w:r>
      <w:r>
        <w:fldChar w:fldCharType="end"/>
      </w:r>
    </w:p>
    <w:p w:rsidR="000A156F" w:rsidRDefault="00A9721F">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848</w:t>
      </w:r>
      <w:r>
        <w:fldChar w:fldCharType="end"/>
      </w:r>
    </w:p>
    <w:p w:rsidR="000A156F" w:rsidRDefault="00A9721F">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w:instrText>
      </w:r>
      <w:r>
        <w:instrText>d0bd140e1ab4ef468dd42dc0e</w:instrText>
      </w:r>
      <w:r>
        <w:fldChar w:fldCharType="separate"/>
      </w:r>
      <w:r>
        <w:rPr>
          <w:noProof/>
        </w:rPr>
        <w:t>331</w:t>
      </w:r>
      <w:r>
        <w:fldChar w:fldCharType="end"/>
      </w:r>
    </w:p>
    <w:p w:rsidR="000A156F" w:rsidRDefault="00A9721F">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254</w:t>
      </w:r>
      <w:r>
        <w:fldChar w:fldCharType="end"/>
      </w:r>
    </w:p>
    <w:p w:rsidR="000A156F" w:rsidRDefault="00A9721F">
      <w:pPr>
        <w:pStyle w:val="indexentry0"/>
      </w:pPr>
      <w:hyperlink w:anchor="section_aa6808c815784fff8c5fd2005b48dbda">
        <w:r>
          <w:rPr>
            <w:rStyle w:val="Hyperlink"/>
          </w:rPr>
          <w:t>CONF</w:t>
        </w:r>
        <w:r>
          <w:rPr>
            <w:rStyle w:val="Hyperlink"/>
          </w:rPr>
          <w:t>IDENCE</w:t>
        </w:r>
      </w:hyperlink>
      <w:r>
        <w:t xml:space="preserve"> </w:t>
      </w:r>
      <w:r>
        <w:fldChar w:fldCharType="begin"/>
      </w:r>
      <w:r>
        <w:instrText>PAGEREF section_aa6808c815784fff8c5fd2005b48dbda</w:instrText>
      </w:r>
      <w:r>
        <w:fldChar w:fldCharType="separate"/>
      </w:r>
      <w:r>
        <w:rPr>
          <w:noProof/>
        </w:rPr>
        <w:t>408</w:t>
      </w:r>
      <w:r>
        <w:fldChar w:fldCharType="end"/>
      </w:r>
    </w:p>
    <w:p w:rsidR="000A156F" w:rsidRDefault="00A9721F">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376</w:t>
      </w:r>
      <w:r>
        <w:fldChar w:fldCharType="end"/>
      </w:r>
    </w:p>
    <w:p w:rsidR="000A156F" w:rsidRDefault="00A9721F">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150</w:t>
      </w:r>
      <w:r>
        <w:fldChar w:fldCharType="end"/>
      </w:r>
    </w:p>
    <w:p w:rsidR="000A156F" w:rsidRDefault="00A9721F">
      <w:pPr>
        <w:pStyle w:val="indexentry0"/>
      </w:pPr>
      <w:hyperlink w:anchor="section_e7502ecf232e44a084eb1d391ff386b5">
        <w:r>
          <w:rPr>
            <w:rStyle w:val="Hyperlink"/>
          </w:rPr>
          <w:t>Consta</w:t>
        </w:r>
        <w:r>
          <w:rPr>
            <w:rStyle w:val="Hyperlink"/>
          </w:rPr>
          <w:t>nts</w:t>
        </w:r>
      </w:hyperlink>
      <w:r>
        <w:t xml:space="preserve"> </w:t>
      </w:r>
      <w:r>
        <w:fldChar w:fldCharType="begin"/>
      </w:r>
      <w:r>
        <w:instrText>PAGEREF section_e7502ecf232e44a084eb1d391ff386b5</w:instrText>
      </w:r>
      <w:r>
        <w:fldChar w:fldCharType="separate"/>
      </w:r>
      <w:r>
        <w:rPr>
          <w:noProof/>
        </w:rPr>
        <w:t>390</w:t>
      </w:r>
      <w:r>
        <w:fldChar w:fldCharType="end"/>
      </w:r>
    </w:p>
    <w:p w:rsidR="000A156F" w:rsidRDefault="00A9721F">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515</w:t>
      </w:r>
      <w:r>
        <w:fldChar w:fldCharType="end"/>
      </w:r>
    </w:p>
    <w:p w:rsidR="000A156F" w:rsidRDefault="00A9721F">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section_9cf259ed1c6c441ca903066fc8955d64</w:instrText>
      </w:r>
      <w:r>
        <w:fldChar w:fldCharType="separate"/>
      </w:r>
      <w:r>
        <w:rPr>
          <w:noProof/>
        </w:rPr>
        <w:t>902</w:t>
      </w:r>
      <w:r>
        <w:fldChar w:fldCharType="end"/>
      </w:r>
    </w:p>
    <w:p w:rsidR="000A156F" w:rsidRDefault="00A9721F">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w:instrText>
      </w:r>
      <w:r>
        <w:instrText>0590</w:instrText>
      </w:r>
      <w:r>
        <w:fldChar w:fldCharType="separate"/>
      </w:r>
      <w:r>
        <w:rPr>
          <w:noProof/>
        </w:rPr>
        <w:t>902</w:t>
      </w:r>
      <w:r>
        <w:fldChar w:fldCharType="end"/>
      </w:r>
    </w:p>
    <w:p w:rsidR="000A156F" w:rsidRDefault="00A9721F">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862</w:t>
      </w:r>
      <w:r>
        <w:fldChar w:fldCharType="end"/>
      </w:r>
    </w:p>
    <w:p w:rsidR="000A156F" w:rsidRDefault="00A9721F">
      <w:pPr>
        <w:pStyle w:val="indexentry0"/>
      </w:pPr>
      <w:hyperlink w:anchor="section_acb43eb342e64ae998cacd04346b080a">
        <w:r>
          <w:rPr>
            <w:rStyle w:val="Hyperlink"/>
          </w:rPr>
          <w:t>Content Type Schemas Schema</w:t>
        </w:r>
      </w:hyperlink>
      <w:r>
        <w:t xml:space="preserve"> </w:t>
      </w:r>
      <w:r>
        <w:fldChar w:fldCharType="begin"/>
      </w:r>
      <w:r>
        <w:instrText>PAGEREF section_acb43</w:instrText>
      </w:r>
      <w:r>
        <w:instrText>eb342e64ae998cacd04346b080a</w:instrText>
      </w:r>
      <w:r>
        <w:fldChar w:fldCharType="separate"/>
      </w:r>
      <w:r>
        <w:rPr>
          <w:noProof/>
        </w:rPr>
        <w:t>863</w:t>
      </w:r>
      <w:r>
        <w:fldChar w:fldCharType="end"/>
      </w:r>
    </w:p>
    <w:p w:rsidR="000A156F" w:rsidRDefault="00A9721F">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78</w:t>
      </w:r>
      <w:r>
        <w:fldChar w:fldCharType="end"/>
      </w:r>
    </w:p>
    <w:p w:rsidR="000A156F" w:rsidRDefault="00A9721F">
      <w:pPr>
        <w:pStyle w:val="indexentry0"/>
      </w:pPr>
      <w:hyperlink w:anchor="section_0365ee65da5b44769eaa73f1dda94db8">
        <w:r>
          <w:rPr>
            <w:rStyle w:val="Hyperlink"/>
          </w:rPr>
          <w:t>contentTypeSchema (Sch</w:t>
        </w:r>
        <w:r>
          <w:rPr>
            <w:rStyle w:val="Hyperlink"/>
          </w:rPr>
          <w:t>ema for Content Type)</w:t>
        </w:r>
      </w:hyperlink>
      <w:r>
        <w:t xml:space="preserve"> </w:t>
      </w:r>
      <w:r>
        <w:fldChar w:fldCharType="begin"/>
      </w:r>
      <w:r>
        <w:instrText>PAGEREF section_0365ee65da5b44769eaa73f1dda94db8</w:instrText>
      </w:r>
      <w:r>
        <w:fldChar w:fldCharType="separate"/>
      </w:r>
      <w:r>
        <w:rPr>
          <w:noProof/>
        </w:rPr>
        <w:t>863</w:t>
      </w:r>
      <w:r>
        <w:fldChar w:fldCharType="end"/>
      </w:r>
    </w:p>
    <w:p w:rsidR="000A156F" w:rsidRDefault="00A9721F">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508</w:t>
      </w:r>
      <w:r>
        <w:fldChar w:fldCharType="end"/>
      </w:r>
    </w:p>
    <w:p w:rsidR="000A156F" w:rsidRDefault="00A9721F">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78</w:t>
      </w:r>
      <w:r>
        <w:fldChar w:fldCharType="end"/>
      </w:r>
      <w:r>
        <w:t xml:space="preserve">, </w:t>
      </w:r>
      <w:hyperlink w:anchor="section_191c4c0c89ac45619cbf5b27a753beee">
        <w:r>
          <w:rPr>
            <w:rStyle w:val="Hyperlink"/>
          </w:rPr>
          <w:t>section 2.1.603</w:t>
        </w:r>
      </w:hyperlink>
      <w:r>
        <w:t xml:space="preserve"> </w:t>
      </w:r>
      <w:r>
        <w:fldChar w:fldCharType="begin"/>
      </w:r>
      <w:r>
        <w:instrText>PAGEREF section_191c4c0c89ac45619cbf5b27a753b</w:instrText>
      </w:r>
      <w:r>
        <w:instrText>eee</w:instrText>
      </w:r>
      <w:r>
        <w:fldChar w:fldCharType="separate"/>
      </w:r>
      <w:r>
        <w:rPr>
          <w:noProof/>
        </w:rPr>
        <w:t>254</w:t>
      </w:r>
      <w:r>
        <w:fldChar w:fldCharType="end"/>
      </w:r>
      <w:r>
        <w:t xml:space="preserve">, </w:t>
      </w:r>
      <w:hyperlink w:anchor="section_4a7566a1d53e40df8b001876715deeec">
        <w:r>
          <w:rPr>
            <w:rStyle w:val="Hyperlink"/>
          </w:rPr>
          <w:t>section 2.1.1131</w:t>
        </w:r>
      </w:hyperlink>
      <w:r>
        <w:t xml:space="preserve"> </w:t>
      </w:r>
      <w:r>
        <w:fldChar w:fldCharType="begin"/>
      </w:r>
      <w:r>
        <w:instrText>PAGEREF section_4a7566a1d53e40df8b001876715deeec</w:instrText>
      </w:r>
      <w:r>
        <w:fldChar w:fldCharType="separate"/>
      </w:r>
      <w:r>
        <w:rPr>
          <w:noProof/>
        </w:rPr>
        <w:t>469</w:t>
      </w:r>
      <w:r>
        <w:fldChar w:fldCharType="end"/>
      </w:r>
      <w:r>
        <w:t>)</w:t>
      </w:r>
    </w:p>
    <w:p w:rsidR="000A156F" w:rsidRDefault="00A9721F">
      <w:pPr>
        <w:pStyle w:val="indexentry0"/>
      </w:pPr>
      <w:hyperlink w:anchor="section_6fb2a0fdd9af44a4a0ed5dd4ad286134">
        <w:r>
          <w:rPr>
            <w:rStyle w:val="Hyperlink"/>
          </w:rPr>
          <w:t>control (Floating Embedded Control)</w:t>
        </w:r>
      </w:hyperlink>
      <w:r>
        <w:t xml:space="preserve"> </w:t>
      </w:r>
      <w:r>
        <w:fldChar w:fldCharType="begin"/>
      </w:r>
      <w:r>
        <w:instrText>PAGEREF section_</w:instrText>
      </w:r>
      <w:r>
        <w:instrText>6fb2a0fdd9af44a4a0ed5dd4ad286134</w:instrText>
      </w:r>
      <w:r>
        <w:fldChar w:fldCharType="separate"/>
      </w:r>
      <w:r>
        <w:rPr>
          <w:noProof/>
        </w:rPr>
        <w:t>629</w:t>
      </w:r>
      <w:r>
        <w:fldChar w:fldCharType="end"/>
      </w:r>
    </w:p>
    <w:p w:rsidR="000A156F" w:rsidRDefault="00A9721F">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902</w:t>
      </w:r>
      <w:r>
        <w:fldChar w:fldCharType="end"/>
      </w:r>
    </w:p>
    <w:p w:rsidR="000A156F" w:rsidRDefault="00A9721F">
      <w:pPr>
        <w:pStyle w:val="indexentry0"/>
      </w:pPr>
      <w:hyperlink w:anchor="section_ee6983cc1d544770b179a332e5bb8ffa">
        <w:r>
          <w:rPr>
            <w:rStyle w:val="Hyperlink"/>
          </w:rPr>
          <w:t>controlPr (Embedded Contr</w:t>
        </w:r>
        <w:r>
          <w:rPr>
            <w:rStyle w:val="Hyperlink"/>
          </w:rPr>
          <w:t>ol Properties)</w:t>
        </w:r>
      </w:hyperlink>
      <w:r>
        <w:t xml:space="preserve"> </w:t>
      </w:r>
      <w:r>
        <w:fldChar w:fldCharType="begin"/>
      </w:r>
      <w:r>
        <w:instrText>PAGEREF section_ee6983cc1d544770b179a332e5bb8ffa</w:instrText>
      </w:r>
      <w:r>
        <w:fldChar w:fldCharType="separate"/>
      </w:r>
      <w:r>
        <w:rPr>
          <w:noProof/>
        </w:rPr>
        <w:t>254</w:t>
      </w:r>
      <w:r>
        <w:fldChar w:fldCharType="end"/>
      </w:r>
    </w:p>
    <w:p w:rsidR="000A156F" w:rsidRDefault="00A9721F">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255</w:t>
      </w:r>
      <w:r>
        <w:fldChar w:fldCharType="end"/>
      </w:r>
    </w:p>
    <w:p w:rsidR="000A156F" w:rsidRDefault="00A9721F">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408</w:t>
      </w:r>
      <w:r>
        <w:fldChar w:fldCharType="end"/>
      </w:r>
    </w:p>
    <w:p w:rsidR="000A156F" w:rsidRDefault="00A9721F">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w:instrText>
      </w:r>
      <w:r>
        <w:instrText>ad9fcabebd0ea</w:instrText>
      </w:r>
      <w:r>
        <w:fldChar w:fldCharType="separate"/>
      </w:r>
      <w:r>
        <w:rPr>
          <w:noProof/>
        </w:rPr>
        <w:t>635</w:t>
      </w:r>
      <w:r>
        <w:fldChar w:fldCharType="end"/>
      </w:r>
    </w:p>
    <w:p w:rsidR="000A156F" w:rsidRDefault="00A9721F">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60</w:t>
      </w:r>
      <w:r>
        <w:fldChar w:fldCharType="end"/>
      </w:r>
    </w:p>
    <w:p w:rsidR="000A156F" w:rsidRDefault="00A9721F">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section_291e6d2a9ff949229a763771528eda9d</w:instrText>
      </w:r>
      <w:r>
        <w:fldChar w:fldCharType="separate"/>
      </w:r>
      <w:r>
        <w:rPr>
          <w:noProof/>
        </w:rPr>
        <w:t>629</w:t>
      </w:r>
      <w:r>
        <w:fldChar w:fldCharType="end"/>
      </w:r>
    </w:p>
    <w:p w:rsidR="000A156F" w:rsidRDefault="00A9721F">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408</w:t>
      </w:r>
      <w:r>
        <w:fldChar w:fldCharType="end"/>
      </w:r>
    </w:p>
    <w:p w:rsidR="000A156F" w:rsidRDefault="00A9721F">
      <w:pPr>
        <w:pStyle w:val="indexentry0"/>
      </w:pPr>
      <w:hyperlink w:anchor="section_fe40154b9eac4223a8660a77432aa3e5">
        <w:r>
          <w:rPr>
            <w:rStyle w:val="Hyperlink"/>
          </w:rPr>
          <w:t>COS</w:t>
        </w:r>
      </w:hyperlink>
      <w:r>
        <w:t xml:space="preserve"> </w:t>
      </w:r>
      <w:r>
        <w:fldChar w:fldCharType="begin"/>
      </w:r>
      <w:r>
        <w:instrText>PAGEREF section</w:instrText>
      </w:r>
      <w:r>
        <w:instrText>_fe40154b9eac4223a8660a77432aa3e5</w:instrText>
      </w:r>
      <w:r>
        <w:fldChar w:fldCharType="separate"/>
      </w:r>
      <w:r>
        <w:rPr>
          <w:noProof/>
        </w:rPr>
        <w:t>408</w:t>
      </w:r>
      <w:r>
        <w:fldChar w:fldCharType="end"/>
      </w:r>
    </w:p>
    <w:p w:rsidR="000A156F" w:rsidRDefault="00A9721F">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408</w:t>
      </w:r>
      <w:r>
        <w:fldChar w:fldCharType="end"/>
      </w:r>
    </w:p>
    <w:p w:rsidR="000A156F" w:rsidRDefault="00A9721F">
      <w:pPr>
        <w:pStyle w:val="indexentry0"/>
      </w:pPr>
      <w:hyperlink w:anchor="section_905f41bbce9847e0ad41446ce9012042">
        <w:r>
          <w:rPr>
            <w:rStyle w:val="Hyperlink"/>
          </w:rPr>
          <w:t>count (Matrix Column Count)</w:t>
        </w:r>
      </w:hyperlink>
      <w:r>
        <w:t xml:space="preserve"> </w:t>
      </w:r>
      <w:r>
        <w:fldChar w:fldCharType="begin"/>
      </w:r>
      <w:r>
        <w:instrText>PAGEREF</w:instrText>
      </w:r>
      <w:r>
        <w:instrText xml:space="preserve"> section_905f41bbce9847e0ad41446ce9012042</w:instrText>
      </w:r>
      <w:r>
        <w:fldChar w:fldCharType="separate"/>
      </w:r>
      <w:r>
        <w:rPr>
          <w:noProof/>
        </w:rPr>
        <w:t>602</w:t>
      </w:r>
      <w:r>
        <w:fldChar w:fldCharType="end"/>
      </w:r>
    </w:p>
    <w:p w:rsidR="000A156F" w:rsidRDefault="00A9721F">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409</w:t>
      </w:r>
      <w:r>
        <w:fldChar w:fldCharType="end"/>
      </w:r>
    </w:p>
    <w:p w:rsidR="000A156F" w:rsidRDefault="00A9721F">
      <w:pPr>
        <w:pStyle w:val="indexentry0"/>
      </w:pPr>
      <w:hyperlink w:anchor="section_e5e3e0c53ee54c0da41d171441efc56d">
        <w:r>
          <w:rPr>
            <w:rStyle w:val="Hyperlink"/>
          </w:rPr>
          <w:t>COUNTIFS</w:t>
        </w:r>
      </w:hyperlink>
      <w:r>
        <w:t xml:space="preserve"> </w:t>
      </w:r>
      <w:r>
        <w:fldChar w:fldCharType="begin"/>
      </w:r>
      <w:r>
        <w:instrText>PAGEREF section_e</w:instrText>
      </w:r>
      <w:r>
        <w:instrText>5e3e0c53ee54c0da41d171441efc56d</w:instrText>
      </w:r>
      <w:r>
        <w:fldChar w:fldCharType="separate"/>
      </w:r>
      <w:r>
        <w:rPr>
          <w:noProof/>
        </w:rPr>
        <w:t>409</w:t>
      </w:r>
      <w:r>
        <w:fldChar w:fldCharType="end"/>
      </w:r>
    </w:p>
    <w:p w:rsidR="000A156F" w:rsidRDefault="00A9721F">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409</w:t>
      </w:r>
      <w:r>
        <w:fldChar w:fldCharType="end"/>
      </w:r>
    </w:p>
    <w:p w:rsidR="000A156F" w:rsidRDefault="00A9721F">
      <w:pPr>
        <w:pStyle w:val="indexentry0"/>
      </w:pPr>
      <w:hyperlink w:anchor="section_220caf3eaaf3483f844a454abcf07bd2">
        <w:r>
          <w:rPr>
            <w:rStyle w:val="Hyperlink"/>
          </w:rPr>
          <w:t>COUPDAYS</w:t>
        </w:r>
      </w:hyperlink>
      <w:r>
        <w:t xml:space="preserve"> </w:t>
      </w:r>
      <w:r>
        <w:fldChar w:fldCharType="begin"/>
      </w:r>
      <w:r>
        <w:instrText>PAGEREF section_220caf3e</w:instrText>
      </w:r>
      <w:r>
        <w:instrText>aaf3483f844a454abcf07bd2</w:instrText>
      </w:r>
      <w:r>
        <w:fldChar w:fldCharType="separate"/>
      </w:r>
      <w:r>
        <w:rPr>
          <w:noProof/>
        </w:rPr>
        <w:t>410</w:t>
      </w:r>
      <w:r>
        <w:fldChar w:fldCharType="end"/>
      </w:r>
    </w:p>
    <w:p w:rsidR="000A156F" w:rsidRDefault="00A9721F">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410</w:t>
      </w:r>
      <w:r>
        <w:fldChar w:fldCharType="end"/>
      </w:r>
    </w:p>
    <w:p w:rsidR="000A156F" w:rsidRDefault="00A9721F">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411</w:t>
      </w:r>
      <w:r>
        <w:fldChar w:fldCharType="end"/>
      </w:r>
    </w:p>
    <w:p w:rsidR="000A156F" w:rsidRDefault="00A9721F">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412</w:t>
      </w:r>
      <w:r>
        <w:fldChar w:fldCharType="end"/>
      </w:r>
    </w:p>
    <w:p w:rsidR="000A156F" w:rsidRDefault="00A9721F">
      <w:pPr>
        <w:pStyle w:val="indexentry0"/>
      </w:pPr>
      <w:hyperlink w:anchor="section_c1984310e77840939b4d90e00b44ce89">
        <w:r>
          <w:rPr>
            <w:rStyle w:val="Hyperlink"/>
          </w:rPr>
          <w:t>COUPPCD</w:t>
        </w:r>
      </w:hyperlink>
      <w:r>
        <w:t xml:space="preserve"> </w:t>
      </w:r>
      <w:r>
        <w:fldChar w:fldCharType="begin"/>
      </w:r>
      <w:r>
        <w:instrText>PAGEREF se</w:instrText>
      </w:r>
      <w:r>
        <w:instrText>ction_c1984310e77840939b4d90e00b44ce89</w:instrText>
      </w:r>
      <w:r>
        <w:fldChar w:fldCharType="separate"/>
      </w:r>
      <w:r>
        <w:rPr>
          <w:noProof/>
        </w:rPr>
        <w:t>413</w:t>
      </w:r>
      <w:r>
        <w:fldChar w:fldCharType="end"/>
      </w:r>
    </w:p>
    <w:p w:rsidR="000A156F" w:rsidRDefault="00A9721F">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860</w:t>
      </w:r>
      <w:r>
        <w:fldChar w:fldCharType="end"/>
      </w:r>
    </w:p>
    <w:p w:rsidR="000A156F" w:rsidRDefault="00A9721F">
      <w:pPr>
        <w:pStyle w:val="indexentry0"/>
      </w:pPr>
      <w:hyperlink w:anchor="section_f4d50e0ddbdb493d9c1f5e94acf656a1">
        <w:r>
          <w:rPr>
            <w:rStyle w:val="Hyperlink"/>
          </w:rPr>
          <w:t>Cover Page Prope</w:t>
        </w:r>
        <w:r>
          <w:rPr>
            <w:rStyle w:val="Hyperlink"/>
          </w:rPr>
          <w:t>rties Schema</w:t>
        </w:r>
      </w:hyperlink>
      <w:r>
        <w:t xml:space="preserve"> </w:t>
      </w:r>
      <w:r>
        <w:fldChar w:fldCharType="begin"/>
      </w:r>
      <w:r>
        <w:instrText>PAGEREF section_f4d50e0ddbdb493d9c1f5e94acf656a1</w:instrText>
      </w:r>
      <w:r>
        <w:fldChar w:fldCharType="separate"/>
      </w:r>
      <w:r>
        <w:rPr>
          <w:noProof/>
        </w:rPr>
        <w:t>860</w:t>
      </w:r>
      <w:r>
        <w:fldChar w:fldCharType="end"/>
      </w:r>
    </w:p>
    <w:p w:rsidR="000A156F" w:rsidRDefault="00A9721F">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861</w:t>
      </w:r>
      <w:r>
        <w:fldChar w:fldCharType="end"/>
      </w:r>
    </w:p>
    <w:p w:rsidR="000A156F" w:rsidRDefault="00A9721F">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185</w:t>
      </w:r>
      <w:r>
        <w:fldChar w:fldCharType="end"/>
      </w:r>
    </w:p>
    <w:p w:rsidR="000A156F" w:rsidRDefault="00A9721F">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414</w:t>
      </w:r>
      <w:r>
        <w:fldChar w:fldCharType="end"/>
      </w:r>
    </w:p>
    <w:p w:rsidR="000A156F" w:rsidRDefault="00A9721F">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553</w:t>
      </w:r>
      <w:r>
        <w:fldChar w:fldCharType="end"/>
      </w:r>
    </w:p>
    <w:p w:rsidR="000A156F" w:rsidRDefault="00A9721F">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553</w:t>
      </w:r>
      <w:r>
        <w:fldChar w:fldCharType="end"/>
      </w:r>
    </w:p>
    <w:p w:rsidR="000A156F" w:rsidRDefault="00A9721F">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541</w:t>
      </w:r>
      <w:r>
        <w:fldChar w:fldCharType="end"/>
      </w:r>
    </w:p>
    <w:p w:rsidR="000A156F" w:rsidRDefault="00A9721F">
      <w:pPr>
        <w:pStyle w:val="indexentry0"/>
      </w:pPr>
      <w:hyperlink w:anchor="section_4f50ceb9013d4affa66144e88c4ae009">
        <w:r>
          <w:rPr>
            <w:rStyle w:val="Hyperlink"/>
          </w:rPr>
          <w:t>cs (Use Complex Script Formatting on Run)</w:t>
        </w:r>
      </w:hyperlink>
      <w:r>
        <w:t xml:space="preserve"> </w:t>
      </w:r>
      <w:r>
        <w:fldChar w:fldCharType="begin"/>
      </w:r>
      <w:r>
        <w:instrText>PAGEREF sec</w:instrText>
      </w:r>
      <w:r>
        <w:instrText>tion_4f50ceb9013d4affa66144e88c4ae009</w:instrText>
      </w:r>
      <w:r>
        <w:fldChar w:fldCharType="separate"/>
      </w:r>
      <w:r>
        <w:rPr>
          <w:noProof/>
        </w:rPr>
        <w:t>69</w:t>
      </w:r>
      <w:r>
        <w:fldChar w:fldCharType="end"/>
      </w:r>
    </w:p>
    <w:p w:rsidR="000A156F" w:rsidRDefault="00A9721F">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467</w:t>
      </w:r>
      <w:r>
        <w:fldChar w:fldCharType="end"/>
      </w:r>
    </w:p>
    <w:p w:rsidR="000A156F" w:rsidRDefault="00A9721F">
      <w:pPr>
        <w:pStyle w:val="indexentry0"/>
      </w:pPr>
      <w:hyperlink w:anchor="section_8c4a5c5e7e6349dd99fdfa57af3ab910">
        <w:r>
          <w:rPr>
            <w:rStyle w:val="Hyperlink"/>
          </w:rPr>
          <w:t>cSp (Minimum M</w:t>
        </w:r>
        <w:r>
          <w:rPr>
            <w:rStyle w:val="Hyperlink"/>
          </w:rPr>
          <w:t>atrix Column Width)</w:t>
        </w:r>
      </w:hyperlink>
      <w:r>
        <w:t xml:space="preserve"> </w:t>
      </w:r>
      <w:r>
        <w:fldChar w:fldCharType="begin"/>
      </w:r>
      <w:r>
        <w:instrText>PAGEREF section_8c4a5c5e7e6349dd99fdfa57af3ab910</w:instrText>
      </w:r>
      <w:r>
        <w:fldChar w:fldCharType="separate"/>
      </w:r>
      <w:r>
        <w:rPr>
          <w:noProof/>
        </w:rPr>
        <w:t>602</w:t>
      </w:r>
      <w:r>
        <w:fldChar w:fldCharType="end"/>
      </w:r>
    </w:p>
    <w:p w:rsidR="000A156F" w:rsidRDefault="00A9721F">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481</w:t>
      </w:r>
      <w:r>
        <w:fldChar w:fldCharType="end"/>
      </w:r>
    </w:p>
    <w:p w:rsidR="000A156F" w:rsidRDefault="00A9721F">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602</w:t>
      </w:r>
      <w:r>
        <w:fldChar w:fldCharType="end"/>
      </w:r>
    </w:p>
    <w:p w:rsidR="000A156F" w:rsidRDefault="00A9721F">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414</w:t>
      </w:r>
      <w:r>
        <w:fldChar w:fldCharType="end"/>
      </w:r>
    </w:p>
    <w:p w:rsidR="000A156F" w:rsidRDefault="00A9721F">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414</w:t>
      </w:r>
      <w:r>
        <w:fldChar w:fldCharType="end"/>
      </w:r>
    </w:p>
    <w:p w:rsidR="000A156F" w:rsidRDefault="00A9721F">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414</w:t>
      </w:r>
      <w:r>
        <w:fldChar w:fldCharType="end"/>
      </w:r>
    </w:p>
    <w:p w:rsidR="000A156F" w:rsidRDefault="00A9721F">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414</w:t>
      </w:r>
      <w:r>
        <w:fldChar w:fldCharType="end"/>
      </w:r>
    </w:p>
    <w:p w:rsidR="000A156F" w:rsidRDefault="00A9721F">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415</w:t>
      </w:r>
      <w:r>
        <w:fldChar w:fldCharType="end"/>
      </w:r>
    </w:p>
    <w:p w:rsidR="000A156F" w:rsidRDefault="00A9721F">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647</w:t>
      </w:r>
      <w:r>
        <w:fldChar w:fldCharType="end"/>
      </w:r>
    </w:p>
    <w:p w:rsidR="000A156F" w:rsidRDefault="00A9721F">
      <w:pPr>
        <w:pStyle w:val="indexentry0"/>
      </w:pPr>
      <w:hyperlink w:anchor="section_ded574023d5740a88662fa25bfffe329">
        <w:r>
          <w:rPr>
            <w:rStyle w:val="Hyperlink"/>
          </w:rPr>
          <w:t>custData (Customer Data)</w:t>
        </w:r>
      </w:hyperlink>
      <w:r>
        <w:t xml:space="preserve"> </w:t>
      </w:r>
      <w:r>
        <w:fldChar w:fldCharType="begin"/>
      </w:r>
      <w:r>
        <w:instrText>PAGEREF section_ded574023d5740a8</w:instrText>
      </w:r>
      <w:r>
        <w:instrText>8662fa25bfffe329</w:instrText>
      </w:r>
      <w:r>
        <w:fldChar w:fldCharType="separate"/>
      </w:r>
      <w:r>
        <w:rPr>
          <w:noProof/>
        </w:rPr>
        <w:t>467</w:t>
      </w:r>
      <w:r>
        <w:fldChar w:fldCharType="end"/>
      </w:r>
    </w:p>
    <w:p w:rsidR="000A156F" w:rsidRDefault="00A9721F">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875</w:t>
      </w:r>
      <w:r>
        <w:fldChar w:fldCharType="end"/>
      </w:r>
    </w:p>
    <w:p w:rsidR="000A156F" w:rsidRDefault="00A9721F">
      <w:pPr>
        <w:pStyle w:val="indexentry0"/>
      </w:pPr>
      <w:hyperlink w:anchor="section_471bacba8a3243149825ae9d444e1af9">
        <w:r>
          <w:rPr>
            <w:rStyle w:val="Hyperlink"/>
          </w:rPr>
          <w:t>Custom Document Informatio</w:t>
        </w:r>
        <w:r>
          <w:rPr>
            <w:rStyle w:val="Hyperlink"/>
          </w:rPr>
          <w:t>n Panel Schema</w:t>
        </w:r>
      </w:hyperlink>
      <w:r>
        <w:t xml:space="preserve"> </w:t>
      </w:r>
      <w:r>
        <w:fldChar w:fldCharType="begin"/>
      </w:r>
      <w:r>
        <w:instrText>PAGEREF section_471bacba8a3243149825ae9d444e1af9</w:instrText>
      </w:r>
      <w:r>
        <w:fldChar w:fldCharType="separate"/>
      </w:r>
      <w:r>
        <w:rPr>
          <w:noProof/>
        </w:rPr>
        <w:t>875</w:t>
      </w:r>
      <w:r>
        <w:fldChar w:fldCharType="end"/>
      </w:r>
    </w:p>
    <w:p w:rsidR="000A156F" w:rsidRDefault="00A9721F">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60</w:t>
      </w:r>
      <w:r>
        <w:fldChar w:fldCharType="end"/>
      </w:r>
    </w:p>
    <w:p w:rsidR="000A156F" w:rsidRDefault="00A9721F">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59</w:t>
      </w:r>
      <w:r>
        <w:fldChar w:fldCharType="end"/>
      </w:r>
    </w:p>
    <w:p w:rsidR="000A156F" w:rsidRDefault="00A9721F">
      <w:pPr>
        <w:pStyle w:val="indexentry0"/>
      </w:pPr>
      <w:hyperlink w:anchor="section_af4b5f43ab984970bd5ae569ff550042">
        <w:r>
          <w:rPr>
            <w:rStyle w:val="Hyperlink"/>
          </w:rPr>
          <w:t>Custom XML Mappings Part</w:t>
        </w:r>
      </w:hyperlink>
      <w:r>
        <w:t xml:space="preserve"> </w:t>
      </w:r>
      <w:r>
        <w:fldChar w:fldCharType="begin"/>
      </w:r>
      <w:r>
        <w:instrText>PAGEREF section_af4b5f43ab984970bd5ae569ff550042</w:instrText>
      </w:r>
      <w:r>
        <w:fldChar w:fldCharType="separate"/>
      </w:r>
      <w:r>
        <w:rPr>
          <w:noProof/>
        </w:rPr>
        <w:t>51</w:t>
      </w:r>
      <w:r>
        <w:fldChar w:fldCharType="end"/>
      </w:r>
    </w:p>
    <w:p w:rsidR="000A156F" w:rsidRDefault="00A9721F">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878</w:t>
      </w:r>
      <w:r>
        <w:fldChar w:fldCharType="end"/>
      </w:r>
    </w:p>
    <w:p w:rsidR="000A156F" w:rsidRDefault="00A9721F">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878</w:t>
      </w:r>
      <w:r>
        <w:fldChar w:fldCharType="end"/>
      </w:r>
    </w:p>
    <w:p w:rsidR="000A156F" w:rsidRDefault="00A9721F">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694</w:t>
      </w:r>
      <w:r>
        <w:fldChar w:fldCharType="end"/>
      </w:r>
    </w:p>
    <w:p w:rsidR="000A156F" w:rsidRDefault="00A9721F">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255</w:t>
      </w:r>
      <w:r>
        <w:fldChar w:fldCharType="end"/>
      </w:r>
    </w:p>
    <w:p w:rsidR="000A156F" w:rsidRDefault="00A9721F">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876</w:t>
      </w:r>
      <w:r>
        <w:fldChar w:fldCharType="end"/>
      </w:r>
    </w:p>
    <w:p w:rsidR="000A156F" w:rsidRDefault="00A9721F">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876</w:t>
      </w:r>
      <w:r>
        <w:fldChar w:fldCharType="end"/>
      </w:r>
    </w:p>
    <w:p w:rsidR="000A156F" w:rsidRDefault="00A9721F">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w:instrText>
      </w:r>
      <w:r>
        <w:instrText>e148b5b0ed333a3a7dbb81</w:instrText>
      </w:r>
      <w:r>
        <w:fldChar w:fldCharType="separate"/>
      </w:r>
      <w:r>
        <w:rPr>
          <w:noProof/>
        </w:rPr>
        <w:t>255</w:t>
      </w:r>
      <w:r>
        <w:fldChar w:fldCharType="end"/>
      </w:r>
    </w:p>
    <w:p w:rsidR="000A156F" w:rsidRDefault="00A9721F">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section_2d575d4956e24adf8f4713c09a3a8628</w:instrText>
      </w:r>
      <w:r>
        <w:fldChar w:fldCharType="separate"/>
      </w:r>
      <w:r>
        <w:rPr>
          <w:noProof/>
        </w:rPr>
        <w:t>255</w:t>
      </w:r>
      <w:r>
        <w:fldChar w:fldCharType="end"/>
      </w:r>
    </w:p>
    <w:p w:rsidR="000A156F" w:rsidRDefault="00A9721F">
      <w:pPr>
        <w:pStyle w:val="indexentry0"/>
      </w:pPr>
      <w:hyperlink w:anchor="section_648369e29fdb434b810c4b1ce737ea8a">
        <w:r>
          <w:rPr>
            <w:rStyle w:val="Hyperlink"/>
          </w:rPr>
          <w:t>customSheetViews (</w:t>
        </w:r>
        <w:r>
          <w:rPr>
            <w:rStyle w:val="Hyperlink"/>
          </w:rPr>
          <w:t>Custom Chart Sheet Views)</w:t>
        </w:r>
      </w:hyperlink>
      <w:r>
        <w:t xml:space="preserve"> </w:t>
      </w:r>
      <w:r>
        <w:fldChar w:fldCharType="begin"/>
      </w:r>
      <w:r>
        <w:instrText>PAGEREF section_648369e29fdb434b810c4b1ce737ea8a</w:instrText>
      </w:r>
      <w:r>
        <w:fldChar w:fldCharType="separate"/>
      </w:r>
      <w:r>
        <w:rPr>
          <w:noProof/>
        </w:rPr>
        <w:t>255</w:t>
      </w:r>
      <w:r>
        <w:fldChar w:fldCharType="end"/>
      </w:r>
    </w:p>
    <w:p w:rsidR="000A156F" w:rsidRDefault="00A9721F">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section_0c2fcd3d6c2d4e039e64366e977e6d5a</w:instrText>
      </w:r>
      <w:r>
        <w:fldChar w:fldCharType="separate"/>
      </w:r>
      <w:r>
        <w:rPr>
          <w:noProof/>
        </w:rPr>
        <w:t>256</w:t>
      </w:r>
      <w:r>
        <w:fldChar w:fldCharType="end"/>
      </w:r>
    </w:p>
    <w:p w:rsidR="000A156F" w:rsidRDefault="00A9721F">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856</w:t>
      </w:r>
      <w:r>
        <w:fldChar w:fldCharType="end"/>
      </w:r>
    </w:p>
    <w:p w:rsidR="000A156F" w:rsidRDefault="00A9721F">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section_12409b35ead94ff8a0815b6ffa64cc0f</w:instrText>
      </w:r>
      <w:r>
        <w:fldChar w:fldCharType="separate"/>
      </w:r>
      <w:r>
        <w:rPr>
          <w:noProof/>
        </w:rPr>
        <w:t>857</w:t>
      </w:r>
      <w:r>
        <w:fldChar w:fldCharType="end"/>
      </w:r>
    </w:p>
    <w:p w:rsidR="000A156F" w:rsidRDefault="00A9721F">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237</w:t>
      </w:r>
      <w:r>
        <w:fldChar w:fldCharType="end"/>
      </w:r>
    </w:p>
    <w:p w:rsidR="000A156F" w:rsidRDefault="00A9721F">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238</w:t>
      </w:r>
      <w:r>
        <w:fldChar w:fldCharType="end"/>
      </w:r>
    </w:p>
    <w:p w:rsidR="000A156F" w:rsidRDefault="00A9721F">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96</w:t>
      </w:r>
      <w:r>
        <w:fldChar w:fldCharType="end"/>
      </w:r>
    </w:p>
    <w:p w:rsidR="000A156F" w:rsidRDefault="00A9721F">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96</w:t>
      </w:r>
      <w:r>
        <w:fldChar w:fldCharType="end"/>
      </w:r>
    </w:p>
    <w:p w:rsidR="000A156F" w:rsidRDefault="00A9721F">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w:instrText>
      </w:r>
      <w:r>
        <w:instrText>fe9d946a61</w:instrText>
      </w:r>
      <w:r>
        <w:fldChar w:fldCharType="separate"/>
      </w:r>
      <w:r>
        <w:rPr>
          <w:noProof/>
        </w:rPr>
        <w:t>95</w:t>
      </w:r>
      <w:r>
        <w:fldChar w:fldCharType="end"/>
      </w:r>
    </w:p>
    <w:p w:rsidR="000A156F" w:rsidRDefault="00A9721F">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section_3188c7db7968430db14806b88ecc8038</w:instrText>
      </w:r>
      <w:r>
        <w:fldChar w:fldCharType="separate"/>
      </w:r>
      <w:r>
        <w:rPr>
          <w:noProof/>
        </w:rPr>
        <w:t>96</w:t>
      </w:r>
      <w:r>
        <w:fldChar w:fldCharType="end"/>
      </w:r>
    </w:p>
    <w:p w:rsidR="000A156F" w:rsidRDefault="00A9721F">
      <w:pPr>
        <w:pStyle w:val="indexentry0"/>
      </w:pPr>
      <w:hyperlink w:anchor="section_d188da3eb34b4445b3a0118155f75ff3">
        <w:r>
          <w:rPr>
            <w:rStyle w:val="Hyperlink"/>
          </w:rPr>
          <w:t>customXml (Ruby Inline-Le</w:t>
        </w:r>
        <w:r>
          <w:rPr>
            <w:rStyle w:val="Hyperlink"/>
          </w:rPr>
          <w:t>vel Custom XML Element)</w:t>
        </w:r>
      </w:hyperlink>
      <w:r>
        <w:t xml:space="preserve"> </w:t>
      </w:r>
      <w:r>
        <w:fldChar w:fldCharType="begin"/>
      </w:r>
      <w:r>
        <w:instrText>PAGEREF section_d188da3eb34b4445b3a0118155f75ff3</w:instrText>
      </w:r>
      <w:r>
        <w:fldChar w:fldCharType="separate"/>
      </w:r>
      <w:r>
        <w:rPr>
          <w:noProof/>
        </w:rPr>
        <w:t>795</w:t>
      </w:r>
      <w:r>
        <w:fldChar w:fldCharType="end"/>
      </w:r>
    </w:p>
    <w:p w:rsidR="000A156F" w:rsidRDefault="00A9721F">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section_09390857bdfc41548f0d3a034116fc17</w:instrText>
      </w:r>
      <w:r>
        <w:fldChar w:fldCharType="separate"/>
      </w:r>
      <w:r>
        <w:rPr>
          <w:noProof/>
        </w:rPr>
        <w:t>132</w:t>
      </w:r>
      <w:r>
        <w:fldChar w:fldCharType="end"/>
      </w:r>
    </w:p>
    <w:p w:rsidR="000A156F" w:rsidRDefault="00A9721F">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132</w:t>
      </w:r>
      <w:r>
        <w:fldChar w:fldCharType="end"/>
      </w:r>
    </w:p>
    <w:p w:rsidR="000A156F" w:rsidRDefault="00A9721F">
      <w:pPr>
        <w:pStyle w:val="indexentry0"/>
      </w:pPr>
      <w:hyperlink w:anchor="section_66213ef21f7b4e3092edf96e46b5b5cc">
        <w:r>
          <w:rPr>
            <w:rStyle w:val="Hyperlink"/>
          </w:rPr>
          <w:t>customXmlInsRangeEnd (</w:t>
        </w:r>
        <w:r>
          <w:rPr>
            <w:rStyle w:val="Hyperlink"/>
          </w:rPr>
          <w:t>Custom XML Markup Insertion End)</w:t>
        </w:r>
      </w:hyperlink>
      <w:r>
        <w:t xml:space="preserve"> </w:t>
      </w:r>
      <w:r>
        <w:fldChar w:fldCharType="begin"/>
      </w:r>
      <w:r>
        <w:instrText>PAGEREF section_66213ef21f7b4e3092edf96e46b5b5cc</w:instrText>
      </w:r>
      <w:r>
        <w:fldChar w:fldCharType="separate"/>
      </w:r>
      <w:r>
        <w:rPr>
          <w:noProof/>
        </w:rPr>
        <w:t>133</w:t>
      </w:r>
      <w:r>
        <w:fldChar w:fldCharType="end"/>
      </w:r>
    </w:p>
    <w:p w:rsidR="000A156F" w:rsidRDefault="00A9721F">
      <w:pPr>
        <w:pStyle w:val="indexentry0"/>
      </w:pPr>
      <w:hyperlink w:anchor="section_ca13fff5ae694458a26a848e9709382d">
        <w:r>
          <w:rPr>
            <w:rStyle w:val="Hyperlink"/>
          </w:rPr>
          <w:t>customXmlInsRangeStart (Custom XML Markup Insertion Start)</w:t>
        </w:r>
      </w:hyperlink>
      <w:r>
        <w:t xml:space="preserve"> </w:t>
      </w:r>
      <w:r>
        <w:fldChar w:fldCharType="begin"/>
      </w:r>
      <w:r>
        <w:instrText>PAGEREF section_ca13fff5ae694458a26a848e9709382</w:instrText>
      </w:r>
      <w:r>
        <w:instrText>d</w:instrText>
      </w:r>
      <w:r>
        <w:fldChar w:fldCharType="separate"/>
      </w:r>
      <w:r>
        <w:rPr>
          <w:noProof/>
        </w:rPr>
        <w:t>133</w:t>
      </w:r>
      <w:r>
        <w:fldChar w:fldCharType="end"/>
      </w:r>
    </w:p>
    <w:p w:rsidR="000A156F" w:rsidRDefault="00A9721F">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section_7174721fd51b496cb4e40a629713bef3</w:instrText>
      </w:r>
      <w:r>
        <w:fldChar w:fldCharType="separate"/>
      </w:r>
      <w:r>
        <w:rPr>
          <w:noProof/>
        </w:rPr>
        <w:t>133</w:t>
      </w:r>
      <w:r>
        <w:fldChar w:fldCharType="end"/>
      </w:r>
    </w:p>
    <w:p w:rsidR="000A156F" w:rsidRDefault="00A9721F">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134</w:t>
      </w:r>
      <w:r>
        <w:fldChar w:fldCharType="end"/>
      </w:r>
    </w:p>
    <w:p w:rsidR="000A156F" w:rsidRDefault="00A9721F">
      <w:pPr>
        <w:pStyle w:val="indexentry0"/>
      </w:pPr>
      <w:hyperlink w:anchor="section_f8238e0f99bf44689124e828a849cc16">
        <w:r>
          <w:rPr>
            <w:rStyle w:val="Hyperlink"/>
          </w:rPr>
          <w:t>customXmlMoveToRangeEnd (Custom XML Markup Move Destination Location End)</w:t>
        </w:r>
      </w:hyperlink>
      <w:r>
        <w:t xml:space="preserve"> </w:t>
      </w:r>
      <w:r>
        <w:fldChar w:fldCharType="begin"/>
      </w:r>
      <w:r>
        <w:instrText>PAGEREF section_f8238e0f99bf44689124e828a849cc16</w:instrText>
      </w:r>
      <w:r>
        <w:fldChar w:fldCharType="separate"/>
      </w:r>
      <w:r>
        <w:rPr>
          <w:noProof/>
        </w:rPr>
        <w:t>134</w:t>
      </w:r>
      <w:r>
        <w:fldChar w:fldCharType="end"/>
      </w:r>
    </w:p>
    <w:p w:rsidR="000A156F" w:rsidRDefault="00A9721F">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section_5aad40547dc943e0927ee80dd560511b</w:instrText>
      </w:r>
      <w:r>
        <w:fldChar w:fldCharType="separate"/>
      </w:r>
      <w:r>
        <w:rPr>
          <w:noProof/>
        </w:rPr>
        <w:t>134</w:t>
      </w:r>
      <w:r>
        <w:fldChar w:fldCharType="end"/>
      </w:r>
    </w:p>
    <w:p w:rsidR="000A156F" w:rsidRDefault="00A9721F">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878</w:t>
      </w:r>
      <w:r>
        <w:fldChar w:fldCharType="end"/>
      </w:r>
    </w:p>
    <w:p w:rsidR="000A156F" w:rsidRDefault="00A9721F">
      <w:pPr>
        <w:pStyle w:val="indexentry0"/>
      </w:pPr>
      <w:r>
        <w:t>custShow (Custom Show) (</w:t>
      </w:r>
      <w:hyperlink w:anchor="section_054574864bf84e099d276f74fcf68562">
        <w:r>
          <w:rPr>
            <w:rStyle w:val="Hyperlink"/>
          </w:rPr>
          <w:t>section 2.1.1098</w:t>
        </w:r>
      </w:hyperlink>
      <w:r>
        <w:t xml:space="preserve"> </w:t>
      </w:r>
      <w:r>
        <w:fldChar w:fldCharType="begin"/>
      </w:r>
      <w:r>
        <w:instrText>PAGEREF section_05457486</w:instrText>
      </w:r>
      <w:r>
        <w:instrText>4bf84e099d276f74fcf68562</w:instrText>
      </w:r>
      <w:r>
        <w:fldChar w:fldCharType="separate"/>
      </w:r>
      <w:r>
        <w:rPr>
          <w:noProof/>
        </w:rPr>
        <w:t>460</w:t>
      </w:r>
      <w:r>
        <w:fldChar w:fldCharType="end"/>
      </w:r>
      <w:r>
        <w:t xml:space="preserve">, </w:t>
      </w:r>
      <w:hyperlink w:anchor="section_41eb94ad9a8e4f7fb17eed9cc54b5fd7">
        <w:r>
          <w:rPr>
            <w:rStyle w:val="Hyperlink"/>
          </w:rPr>
          <w:t>section 2.1.1099</w:t>
        </w:r>
      </w:hyperlink>
      <w:r>
        <w:t xml:space="preserve"> </w:t>
      </w:r>
      <w:r>
        <w:fldChar w:fldCharType="begin"/>
      </w:r>
      <w:r>
        <w:instrText>PAGEREF section_41eb94ad9a8e4f7fb17eed9cc54b5fd7</w:instrText>
      </w:r>
      <w:r>
        <w:fldChar w:fldCharType="separate"/>
      </w:r>
      <w:r>
        <w:rPr>
          <w:noProof/>
        </w:rPr>
        <w:t>460</w:t>
      </w:r>
      <w:r>
        <w:fldChar w:fldCharType="end"/>
      </w:r>
      <w:r>
        <w:t>)</w:t>
      </w:r>
    </w:p>
    <w:p w:rsidR="000A156F" w:rsidRDefault="00A9721F">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554</w:t>
      </w:r>
      <w:r>
        <w:fldChar w:fldCharType="end"/>
      </w:r>
    </w:p>
    <w:p w:rsidR="000A156F" w:rsidRDefault="00A9721F">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591</w:t>
      </w:r>
      <w:r>
        <w:fldChar w:fldCharType="end"/>
      </w:r>
    </w:p>
    <w:p w:rsidR="000A156F" w:rsidRDefault="00A9721F">
      <w:pPr>
        <w:pStyle w:val="indexentry0"/>
      </w:pPr>
      <w:r>
        <w:t>cxnSp (Connection Shape) (</w:t>
      </w:r>
      <w:hyperlink w:anchor="section_c39b2737700f49d68c31f480ac51f5c6">
        <w:r>
          <w:rPr>
            <w:rStyle w:val="Hyperlink"/>
          </w:rPr>
          <w:t>section 2.1.1363</w:t>
        </w:r>
      </w:hyperlink>
      <w:r>
        <w:t xml:space="preserve"> </w:t>
      </w:r>
      <w:r>
        <w:fldChar w:fldCharType="begin"/>
      </w:r>
      <w:r>
        <w:instrText>PAGEREF section_c39b2737700f49d68c31f480ac51f5c6</w:instrText>
      </w:r>
      <w:r>
        <w:fldChar w:fldCharType="separate"/>
      </w:r>
      <w:r>
        <w:rPr>
          <w:noProof/>
        </w:rPr>
        <w:t>533</w:t>
      </w:r>
      <w:r>
        <w:fldChar w:fldCharType="end"/>
      </w:r>
      <w:r>
        <w:t xml:space="preserve">, </w:t>
      </w:r>
      <w:hyperlink w:anchor="section_1bfa7d2ded0848e8a2f023c93755d1da">
        <w:r>
          <w:rPr>
            <w:rStyle w:val="Hyperlink"/>
          </w:rPr>
          <w:t>section 2.1.1603</w:t>
        </w:r>
      </w:hyperlink>
      <w:r>
        <w:t xml:space="preserve"> </w:t>
      </w:r>
      <w:r>
        <w:fldChar w:fldCharType="begin"/>
      </w:r>
      <w:r>
        <w:instrText>PAGEREF section_1bfa7d2ded0848e8a2f023c93755d1da</w:instrText>
      </w:r>
      <w:r>
        <w:fldChar w:fldCharType="separate"/>
      </w:r>
      <w:r>
        <w:rPr>
          <w:noProof/>
        </w:rPr>
        <w:t>587</w:t>
      </w:r>
      <w:r>
        <w:fldChar w:fldCharType="end"/>
      </w:r>
      <w:r>
        <w:t>)</w:t>
      </w:r>
    </w:p>
    <w:p w:rsidR="000A156F" w:rsidRDefault="00A9721F">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495</w:t>
      </w:r>
      <w:r>
        <w:fldChar w:fldCharType="end"/>
      </w:r>
    </w:p>
    <w:p w:rsidR="000A156F" w:rsidRDefault="000A156F">
      <w:pPr>
        <w:spacing w:before="0" w:after="0"/>
        <w:rPr>
          <w:sz w:val="16"/>
        </w:rPr>
      </w:pPr>
    </w:p>
    <w:p w:rsidR="000A156F" w:rsidRDefault="00A9721F">
      <w:pPr>
        <w:pStyle w:val="indexheader"/>
      </w:pPr>
      <w:r>
        <w:t>D</w:t>
      </w:r>
    </w:p>
    <w:p w:rsidR="000A156F" w:rsidRDefault="000A156F">
      <w:pPr>
        <w:spacing w:before="0" w:after="0"/>
        <w:rPr>
          <w:sz w:val="16"/>
        </w:rPr>
      </w:pPr>
    </w:p>
    <w:p w:rsidR="000A156F" w:rsidRDefault="00A9721F">
      <w:pPr>
        <w:pStyle w:val="indexentry0"/>
      </w:pPr>
      <w:hyperlink w:anchor="section_11e2ac2dcf0a4db3b3f69bfae45fbce6">
        <w:r>
          <w:rPr>
            <w:rStyle w:val="Hyperlink"/>
          </w:rPr>
          <w:t>d (Date Time)</w:t>
        </w:r>
      </w:hyperlink>
      <w:r>
        <w:t xml:space="preserve"> </w:t>
      </w:r>
      <w:r>
        <w:fldChar w:fldCharType="begin"/>
      </w:r>
      <w:r>
        <w:instrText>PAGEREF section_11e2ac2d</w:instrText>
      </w:r>
      <w:r>
        <w:instrText>cf0a4db3b3f69bfae45fbce6</w:instrText>
      </w:r>
      <w:r>
        <w:fldChar w:fldCharType="separate"/>
      </w:r>
      <w:r>
        <w:rPr>
          <w:noProof/>
        </w:rPr>
        <w:t>331</w:t>
      </w:r>
      <w:r>
        <w:fldChar w:fldCharType="end"/>
      </w:r>
    </w:p>
    <w:p w:rsidR="000A156F" w:rsidRDefault="00A9721F">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602</w:t>
      </w:r>
      <w:r>
        <w:fldChar w:fldCharType="end"/>
      </w:r>
    </w:p>
    <w:p w:rsidR="000A156F" w:rsidRDefault="00A9721F">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554</w:t>
      </w:r>
      <w:r>
        <w:fldChar w:fldCharType="end"/>
      </w:r>
    </w:p>
    <w:p w:rsidR="000A156F" w:rsidRDefault="00A9721F">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849</w:t>
      </w:r>
      <w:r>
        <w:fldChar w:fldCharType="end"/>
      </w:r>
    </w:p>
    <w:p w:rsidR="000A156F" w:rsidRDefault="00A9721F">
      <w:pPr>
        <w:pStyle w:val="indexentry0"/>
      </w:pPr>
      <w:hyperlink w:anchor="section_ba8574f369804425b7e366b533340783">
        <w:r>
          <w:rPr>
            <w:rStyle w:val="Hyperlink"/>
          </w:rPr>
          <w:t>da</w:t>
        </w:r>
        <w:r>
          <w:rPr>
            <w:rStyle w:val="Hyperlink"/>
          </w:rPr>
          <w:t>taBar (Data Bar)</w:t>
        </w:r>
      </w:hyperlink>
      <w:r>
        <w:t xml:space="preserve"> </w:t>
      </w:r>
      <w:r>
        <w:fldChar w:fldCharType="begin"/>
      </w:r>
      <w:r>
        <w:instrText>PAGEREF section_ba8574f369804425b7e366b533340783</w:instrText>
      </w:r>
      <w:r>
        <w:fldChar w:fldCharType="separate"/>
      </w:r>
      <w:r>
        <w:rPr>
          <w:noProof/>
        </w:rPr>
        <w:t>256</w:t>
      </w:r>
      <w:r>
        <w:fldChar w:fldCharType="end"/>
      </w:r>
    </w:p>
    <w:p w:rsidR="000A156F" w:rsidRDefault="00A9721F">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185</w:t>
      </w:r>
      <w:r>
        <w:fldChar w:fldCharType="end"/>
      </w:r>
    </w:p>
    <w:p w:rsidR="000A156F" w:rsidRDefault="00A9721F">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97</w:t>
      </w:r>
      <w:r>
        <w:fldChar w:fldCharType="end"/>
      </w:r>
      <w:r>
        <w:t xml:space="preserve">, </w:t>
      </w:r>
      <w:hyperlink w:anchor="section_e46452807ae048c0b82ef72096eaca48">
        <w:r>
          <w:rPr>
            <w:rStyle w:val="Hyperlink"/>
          </w:rPr>
          <w:t>section 2.1.856</w:t>
        </w:r>
      </w:hyperlink>
      <w:r>
        <w:t xml:space="preserve"> </w:t>
      </w:r>
      <w:r>
        <w:fldChar w:fldCharType="begin"/>
      </w:r>
      <w:r>
        <w:instrText>PAGEREF section_e46452807ae048c0b82ef72096eaca48</w:instrText>
      </w:r>
      <w:r>
        <w:fldChar w:fldCharType="separate"/>
      </w:r>
      <w:r>
        <w:rPr>
          <w:noProof/>
        </w:rPr>
        <w:t>383</w:t>
      </w:r>
      <w:r>
        <w:fldChar w:fldCharType="end"/>
      </w:r>
      <w:r>
        <w:t>)</w:t>
      </w:r>
    </w:p>
    <w:p w:rsidR="000A156F" w:rsidRDefault="00A9721F">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256</w:t>
      </w:r>
      <w:r>
        <w:fldChar w:fldCharType="end"/>
      </w:r>
    </w:p>
    <w:p w:rsidR="000A156F" w:rsidRDefault="00A9721F">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332</w:t>
      </w:r>
      <w:r>
        <w:fldChar w:fldCharType="end"/>
      </w:r>
    </w:p>
    <w:p w:rsidR="000A156F" w:rsidRDefault="00A9721F">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142</w:t>
      </w:r>
      <w:r>
        <w:fldChar w:fldCharType="end"/>
      </w:r>
    </w:p>
    <w:p w:rsidR="000A156F" w:rsidRDefault="00A9721F">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256</w:t>
      </w:r>
      <w:r>
        <w:fldChar w:fldCharType="end"/>
      </w:r>
    </w:p>
    <w:p w:rsidR="000A156F" w:rsidRDefault="00A9721F">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256</w:t>
      </w:r>
      <w:r>
        <w:fldChar w:fldCharType="end"/>
      </w:r>
    </w:p>
    <w:p w:rsidR="000A156F" w:rsidRDefault="00A9721F">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213</w:t>
      </w:r>
      <w:r>
        <w:fldChar w:fldCharType="end"/>
      </w:r>
      <w:r>
        <w:t xml:space="preserve">, </w:t>
      </w:r>
      <w:hyperlink w:anchor="section_4bbbb410cf9c45ecb96d8aa62d0d8cfa">
        <w:r>
          <w:rPr>
            <w:rStyle w:val="Hyperlink"/>
          </w:rPr>
          <w:t>section 2.1.919</w:t>
        </w:r>
      </w:hyperlink>
      <w:r>
        <w:t xml:space="preserve"> </w:t>
      </w:r>
      <w:r>
        <w:fldChar w:fldCharType="begin"/>
      </w:r>
      <w:r>
        <w:instrText>PAGEREF section_4bbbb410cf9c45ecb96d8aa62d0d8</w:instrText>
      </w:r>
      <w:r>
        <w:instrText>cfa</w:instrText>
      </w:r>
      <w:r>
        <w:fldChar w:fldCharType="separate"/>
      </w:r>
      <w:r>
        <w:rPr>
          <w:noProof/>
        </w:rPr>
        <w:t>415</w:t>
      </w:r>
      <w:r>
        <w:fldChar w:fldCharType="end"/>
      </w:r>
      <w:r>
        <w:t>)</w:t>
      </w:r>
    </w:p>
    <w:p w:rsidR="000A156F" w:rsidRDefault="00A9721F">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618</w:t>
      </w:r>
      <w:r>
        <w:fldChar w:fldCharType="end"/>
      </w:r>
    </w:p>
    <w:p w:rsidR="000A156F" w:rsidRDefault="00A9721F">
      <w:pPr>
        <w:pStyle w:val="indexentry0"/>
      </w:pPr>
      <w:hyperlink w:anchor="section_5869560232ea4f2baca18c805192d742">
        <w:r>
          <w:rPr>
            <w:rStyle w:val="Hyperlink"/>
          </w:rPr>
          <w:t>date (Date Structured Document Tag)</w:t>
        </w:r>
      </w:hyperlink>
      <w:r>
        <w:t xml:space="preserve"> </w:t>
      </w:r>
      <w:r>
        <w:fldChar w:fldCharType="begin"/>
      </w:r>
      <w:r>
        <w:instrText>PAGEREF secti</w:instrText>
      </w:r>
      <w:r>
        <w:instrText>on_5869560232ea4f2baca18c805192d742</w:instrText>
      </w:r>
      <w:r>
        <w:fldChar w:fldCharType="separate"/>
      </w:r>
      <w:r>
        <w:rPr>
          <w:noProof/>
        </w:rPr>
        <w:t>97</w:t>
      </w:r>
      <w:r>
        <w:fldChar w:fldCharType="end"/>
      </w:r>
    </w:p>
    <w:p w:rsidR="000A156F" w:rsidRDefault="00A9721F">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165</w:t>
      </w:r>
      <w:r>
        <w:fldChar w:fldCharType="end"/>
      </w:r>
    </w:p>
    <w:p w:rsidR="000A156F" w:rsidRDefault="00A9721F">
      <w:pPr>
        <w:pStyle w:val="indexentry0"/>
      </w:pPr>
      <w:hyperlink w:anchor="section_6ef956354ff54794a80e60decf3acac7">
        <w:r>
          <w:rPr>
            <w:rStyle w:val="Hyperlink"/>
          </w:rPr>
          <w:t>dateAx (Date Axi</w:t>
        </w:r>
        <w:r>
          <w:rPr>
            <w:rStyle w:val="Hyperlink"/>
          </w:rPr>
          <w:t>s)</w:t>
        </w:r>
      </w:hyperlink>
      <w:r>
        <w:t xml:space="preserve"> </w:t>
      </w:r>
      <w:r>
        <w:fldChar w:fldCharType="begin"/>
      </w:r>
      <w:r>
        <w:instrText>PAGEREF section_6ef956354ff54794a80e60decf3acac7</w:instrText>
      </w:r>
      <w:r>
        <w:fldChar w:fldCharType="separate"/>
      </w:r>
      <w:r>
        <w:rPr>
          <w:noProof/>
        </w:rPr>
        <w:t>554</w:t>
      </w:r>
      <w:r>
        <w:fldChar w:fldCharType="end"/>
      </w:r>
    </w:p>
    <w:p w:rsidR="000A156F" w:rsidRDefault="00A9721F">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287</w:t>
      </w:r>
      <w:r>
        <w:fldChar w:fldCharType="end"/>
      </w:r>
    </w:p>
    <w:p w:rsidR="000A156F" w:rsidRDefault="00A9721F">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415</w:t>
      </w:r>
      <w:r>
        <w:fldChar w:fldCharType="end"/>
      </w:r>
    </w:p>
    <w:p w:rsidR="000A156F" w:rsidRDefault="00A9721F">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416</w:t>
      </w:r>
      <w:r>
        <w:fldChar w:fldCharType="end"/>
      </w:r>
    </w:p>
    <w:p w:rsidR="000A156F" w:rsidRDefault="00A9721F">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416</w:t>
      </w:r>
      <w:r>
        <w:fldChar w:fldCharType="end"/>
      </w:r>
    </w:p>
    <w:p w:rsidR="000A156F" w:rsidRDefault="00A9721F">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416</w:t>
      </w:r>
      <w:r>
        <w:fldChar w:fldCharType="end"/>
      </w:r>
    </w:p>
    <w:p w:rsidR="000A156F" w:rsidRDefault="00A9721F">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416</w:t>
      </w:r>
      <w:r>
        <w:fldChar w:fldCharType="end"/>
      </w:r>
    </w:p>
    <w:p w:rsidR="000A156F" w:rsidRDefault="00A9721F">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377</w:t>
      </w:r>
      <w:r>
        <w:fldChar w:fldCharType="end"/>
      </w:r>
    </w:p>
    <w:p w:rsidR="000A156F" w:rsidRDefault="00A9721F">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416</w:t>
      </w:r>
      <w:r>
        <w:fldChar w:fldCharType="end"/>
      </w:r>
    </w:p>
    <w:p w:rsidR="000A156F" w:rsidRDefault="00A9721F">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416</w:t>
      </w:r>
      <w:r>
        <w:fldChar w:fldCharType="end"/>
      </w:r>
    </w:p>
    <w:p w:rsidR="000A156F" w:rsidRDefault="00A9721F">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417</w:t>
      </w:r>
      <w:r>
        <w:fldChar w:fldCharType="end"/>
      </w:r>
    </w:p>
    <w:p w:rsidR="000A156F" w:rsidRDefault="00A9721F">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819</w:t>
      </w:r>
      <w:r>
        <w:fldChar w:fldCharType="end"/>
      </w:r>
    </w:p>
    <w:p w:rsidR="000A156F" w:rsidRDefault="00A9721F">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684</w:t>
      </w:r>
      <w:r>
        <w:fldChar w:fldCharType="end"/>
      </w:r>
    </w:p>
    <w:p w:rsidR="000A156F" w:rsidRDefault="00A9721F">
      <w:pPr>
        <w:pStyle w:val="indexentry0"/>
      </w:pPr>
      <w:hyperlink w:anchor="section_4fe6d033f0d44d73ac81a7128522c5ff">
        <w:r>
          <w:rPr>
            <w:rStyle w:val="Hyperlink"/>
          </w:rPr>
          <w:t>DDEAUTO</w:t>
        </w:r>
      </w:hyperlink>
      <w:r>
        <w:t xml:space="preserve"> </w:t>
      </w:r>
      <w:r>
        <w:fldChar w:fldCharType="begin"/>
      </w:r>
      <w:r>
        <w:instrText>PAGEREF section_4fe6d033f0d44d73ac81a71285</w:instrText>
      </w:r>
      <w:r>
        <w:instrText>22c5ff</w:instrText>
      </w:r>
      <w:r>
        <w:fldChar w:fldCharType="separate"/>
      </w:r>
      <w:r>
        <w:rPr>
          <w:noProof/>
        </w:rPr>
        <w:t>820</w:t>
      </w:r>
      <w:r>
        <w:fldChar w:fldCharType="end"/>
      </w:r>
    </w:p>
    <w:p w:rsidR="000A156F" w:rsidRDefault="00A9721F">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section_3de0d6c7878a401d996a9620685ac333</w:instrText>
      </w:r>
      <w:r>
        <w:fldChar w:fldCharType="separate"/>
      </w:r>
      <w:r>
        <w:rPr>
          <w:noProof/>
        </w:rPr>
        <w:t>380</w:t>
      </w:r>
      <w:r>
        <w:fldChar w:fldCharType="end"/>
      </w:r>
    </w:p>
    <w:p w:rsidR="000A156F" w:rsidRDefault="00A9721F">
      <w:pPr>
        <w:pStyle w:val="indexentry0"/>
      </w:pPr>
      <w:hyperlink w:anchor="section_9d35fcee49904fa78953e6a3ea450dd8">
        <w:r>
          <w:rPr>
            <w:rStyle w:val="Hyperlink"/>
          </w:rPr>
          <w:t>ddeLink (DDE Connection)</w:t>
        </w:r>
      </w:hyperlink>
      <w:r>
        <w:t xml:space="preserve"> </w:t>
      </w:r>
      <w:r>
        <w:fldChar w:fldCharType="begin"/>
      </w:r>
      <w:r>
        <w:instrText>PAGEREF secti</w:instrText>
      </w:r>
      <w:r>
        <w:instrText>on_9d35fcee49904fa78953e6a3ea450dd8</w:instrText>
      </w:r>
      <w:r>
        <w:fldChar w:fldCharType="separate"/>
      </w:r>
      <w:r>
        <w:rPr>
          <w:noProof/>
        </w:rPr>
        <w:t>380</w:t>
      </w:r>
      <w:r>
        <w:fldChar w:fldCharType="end"/>
      </w:r>
    </w:p>
    <w:p w:rsidR="000A156F" w:rsidRDefault="00A9721F">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224</w:t>
      </w:r>
      <w:r>
        <w:fldChar w:fldCharType="end"/>
      </w:r>
    </w:p>
    <w:p w:rsidR="000A156F" w:rsidRDefault="00A9721F">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417</w:t>
      </w:r>
      <w:r>
        <w:fldChar w:fldCharType="end"/>
      </w:r>
    </w:p>
    <w:p w:rsidR="000A156F" w:rsidRDefault="00A9721F">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417</w:t>
      </w:r>
      <w:r>
        <w:fldChar w:fldCharType="end"/>
      </w:r>
    </w:p>
    <w:p w:rsidR="000A156F" w:rsidRDefault="00A9721F">
      <w:pPr>
        <w:pStyle w:val="indexentry0"/>
      </w:pPr>
      <w:hyperlink w:anchor="section_7556f95cd5e84ceca3354ace0aa5ef09">
        <w:r>
          <w:rPr>
            <w:rStyle w:val="Hyperlink"/>
          </w:rPr>
          <w:t>DEC2O</w:t>
        </w:r>
        <w:r>
          <w:rPr>
            <w:rStyle w:val="Hyperlink"/>
          </w:rPr>
          <w:t>CT</w:t>
        </w:r>
      </w:hyperlink>
      <w:r>
        <w:t xml:space="preserve"> </w:t>
      </w:r>
      <w:r>
        <w:fldChar w:fldCharType="begin"/>
      </w:r>
      <w:r>
        <w:instrText>PAGEREF section_7556f95cd5e84ceca3354ace0aa5ef09</w:instrText>
      </w:r>
      <w:r>
        <w:fldChar w:fldCharType="separate"/>
      </w:r>
      <w:r>
        <w:rPr>
          <w:noProof/>
        </w:rPr>
        <w:t>417</w:t>
      </w:r>
      <w:r>
        <w:fldChar w:fldCharType="end"/>
      </w:r>
    </w:p>
    <w:p w:rsidR="000A156F" w:rsidRDefault="00A9721F">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150</w:t>
      </w:r>
      <w:r>
        <w:fldChar w:fldCharType="end"/>
      </w:r>
    </w:p>
    <w:p w:rsidR="000A156F" w:rsidRDefault="00A9721F">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section_f18e21fcb8d848a383b9c369bb3880b6</w:instrText>
      </w:r>
      <w:r>
        <w:fldChar w:fldCharType="separate"/>
      </w:r>
      <w:r>
        <w:rPr>
          <w:noProof/>
        </w:rPr>
        <w:t>225</w:t>
      </w:r>
      <w:r>
        <w:fldChar w:fldCharType="end"/>
      </w:r>
    </w:p>
    <w:p w:rsidR="000A156F" w:rsidRDefault="00A9721F">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224</w:t>
      </w:r>
      <w:r>
        <w:fldChar w:fldCharType="end"/>
      </w:r>
    </w:p>
    <w:p w:rsidR="000A156F" w:rsidRDefault="00A9721F">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224</w:t>
      </w:r>
      <w:r>
        <w:fldChar w:fldCharType="end"/>
      </w:r>
    </w:p>
    <w:p w:rsidR="000A156F" w:rsidRDefault="00A9721F">
      <w:pPr>
        <w:pStyle w:val="indexentry0"/>
      </w:pPr>
      <w:hyperlink w:anchor="section_38b8d62c52f54927aba536320bff74e8">
        <w:r>
          <w:rPr>
            <w:rStyle w:val="Hyperlink"/>
          </w:rPr>
          <w:t>defaultPropertyEditorNamespace (Default Namespace)</w:t>
        </w:r>
      </w:hyperlink>
      <w:r>
        <w:t xml:space="preserve"> </w:t>
      </w:r>
      <w:r>
        <w:fldChar w:fldCharType="begin"/>
      </w:r>
      <w:r>
        <w:instrText>PAGEREF section_38b8d62c52f54927aba536320bff74e8</w:instrText>
      </w:r>
      <w:r>
        <w:fldChar w:fldCharType="separate"/>
      </w:r>
      <w:r>
        <w:rPr>
          <w:noProof/>
        </w:rPr>
        <w:t>877</w:t>
      </w:r>
      <w:r>
        <w:fldChar w:fldCharType="end"/>
      </w:r>
    </w:p>
    <w:p w:rsidR="000A156F" w:rsidRDefault="00A9721F">
      <w:pPr>
        <w:pStyle w:val="indexentry0"/>
      </w:pPr>
      <w:hyperlink w:anchor="section_ce3122b7a1ad43e2a271f8e7fac1ae5f">
        <w:r>
          <w:rPr>
            <w:rStyle w:val="Hyperlink"/>
          </w:rPr>
          <w:t>DefaultSize (Default Size Tog</w:t>
        </w:r>
        <w:r>
          <w:rPr>
            <w:rStyle w:val="Hyperlink"/>
          </w:rPr>
          <w:t>gle)</w:t>
        </w:r>
      </w:hyperlink>
      <w:r>
        <w:t xml:space="preserve"> </w:t>
      </w:r>
      <w:r>
        <w:fldChar w:fldCharType="begin"/>
      </w:r>
      <w:r>
        <w:instrText>PAGEREF section_ce3122b7a1ad43e2a271f8e7fac1ae5f</w:instrText>
      </w:r>
      <w:r>
        <w:fldChar w:fldCharType="separate"/>
      </w:r>
      <w:r>
        <w:rPr>
          <w:noProof/>
        </w:rPr>
        <w:t>684</w:t>
      </w:r>
      <w:r>
        <w:fldChar w:fldCharType="end"/>
      </w:r>
    </w:p>
    <w:p w:rsidR="000A156F" w:rsidRDefault="00A9721F">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150</w:t>
      </w:r>
      <w:r>
        <w:fldChar w:fldCharType="end"/>
      </w:r>
    </w:p>
    <w:p w:rsidR="000A156F" w:rsidRDefault="00A9721F">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151</w:t>
      </w:r>
      <w:r>
        <w:fldChar w:fldCharType="end"/>
      </w:r>
    </w:p>
    <w:p w:rsidR="000A156F" w:rsidRDefault="00A9721F">
      <w:pPr>
        <w:pStyle w:val="indexentry0"/>
      </w:pPr>
      <w:r>
        <w:t>definedName (Defined Name) (</w:t>
      </w:r>
      <w:hyperlink w:anchor="section_16c3c118f358493da99f4c85ca834c00">
        <w:r>
          <w:rPr>
            <w:rStyle w:val="Hyperlink"/>
          </w:rPr>
          <w:t>section 2.1.56</w:t>
        </w:r>
        <w:r>
          <w:rPr>
            <w:rStyle w:val="Hyperlink"/>
          </w:rPr>
          <w:t>8</w:t>
        </w:r>
      </w:hyperlink>
      <w:r>
        <w:t xml:space="preserve"> </w:t>
      </w:r>
      <w:r>
        <w:fldChar w:fldCharType="begin"/>
      </w:r>
      <w:r>
        <w:instrText>PAGEREF section_16c3c118f358493da99f4c85ca834c00</w:instrText>
      </w:r>
      <w:r>
        <w:fldChar w:fldCharType="separate"/>
      </w:r>
      <w:r>
        <w:rPr>
          <w:noProof/>
        </w:rPr>
        <w:t>238</w:t>
      </w:r>
      <w:r>
        <w:fldChar w:fldCharType="end"/>
      </w:r>
      <w:r>
        <w:t xml:space="preserve">, </w:t>
      </w:r>
      <w:hyperlink w:anchor="section_74770f15dc8b4cc0bf1a4fbcefdee941">
        <w:r>
          <w:rPr>
            <w:rStyle w:val="Hyperlink"/>
          </w:rPr>
          <w:t>section 2.1.841</w:t>
        </w:r>
      </w:hyperlink>
      <w:r>
        <w:t xml:space="preserve"> </w:t>
      </w:r>
      <w:r>
        <w:fldChar w:fldCharType="begin"/>
      </w:r>
      <w:r>
        <w:instrText>PAGEREF section_74770f15dc8b4cc0bf1a4fbcefdee941</w:instrText>
      </w:r>
      <w:r>
        <w:fldChar w:fldCharType="separate"/>
      </w:r>
      <w:r>
        <w:rPr>
          <w:noProof/>
        </w:rPr>
        <w:t>380</w:t>
      </w:r>
      <w:r>
        <w:fldChar w:fldCharType="end"/>
      </w:r>
      <w:r>
        <w:t>)</w:t>
      </w:r>
    </w:p>
    <w:p w:rsidR="000A156F" w:rsidRDefault="00A9721F">
      <w:pPr>
        <w:pStyle w:val="indexentry0"/>
      </w:pPr>
      <w:hyperlink w:anchor="section_1aea93a7b20844b2a2e583dc2b635b41">
        <w:r>
          <w:rPr>
            <w:rStyle w:val="Hyperlink"/>
          </w:rPr>
          <w:t>define</w:t>
        </w:r>
        <w:r>
          <w:rPr>
            <w:rStyle w:val="Hyperlink"/>
          </w:rPr>
          <w:t>dNames (Defined Names)</w:t>
        </w:r>
      </w:hyperlink>
      <w:r>
        <w:t xml:space="preserve"> </w:t>
      </w:r>
      <w:r>
        <w:fldChar w:fldCharType="begin"/>
      </w:r>
      <w:r>
        <w:instrText>PAGEREF section_1aea93a7b20844b2a2e583dc2b635b41</w:instrText>
      </w:r>
      <w:r>
        <w:fldChar w:fldCharType="separate"/>
      </w:r>
      <w:r>
        <w:rPr>
          <w:noProof/>
        </w:rPr>
        <w:t>239</w:t>
      </w:r>
      <w:r>
        <w:fldChar w:fldCharType="end"/>
      </w:r>
    </w:p>
    <w:p w:rsidR="000A156F" w:rsidRDefault="00A9721F">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602</w:t>
      </w:r>
      <w:r>
        <w:fldChar w:fldCharType="end"/>
      </w:r>
    </w:p>
    <w:p w:rsidR="000A156F" w:rsidRDefault="00A9721F">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537</w:t>
      </w:r>
      <w:r>
        <w:fldChar w:fldCharType="end"/>
      </w:r>
    </w:p>
    <w:p w:rsidR="000A156F" w:rsidRDefault="00A9721F">
      <w:pPr>
        <w:pStyle w:val="indexentry0"/>
      </w:pPr>
      <w:hyperlink w:anchor="section_0bce0eae61a547dfa1c3c10b2f446fb5">
        <w:r>
          <w:rPr>
            <w:rStyle w:val="Hyperlink"/>
          </w:rPr>
          <w:t>defRPr (Default Text Run Properties)</w:t>
        </w:r>
      </w:hyperlink>
      <w:r>
        <w:t xml:space="preserve"> </w:t>
      </w:r>
      <w:r>
        <w:fldChar w:fldCharType="begin"/>
      </w:r>
      <w:r>
        <w:instrText xml:space="preserve">PAGEREF </w:instrText>
      </w:r>
      <w:r>
        <w:instrText>section_0bce0eae61a547dfa1c3c10b2f446fb5</w:instrText>
      </w:r>
      <w:r>
        <w:fldChar w:fldCharType="separate"/>
      </w:r>
      <w:r>
        <w:rPr>
          <w:noProof/>
        </w:rPr>
        <w:t>541</w:t>
      </w:r>
      <w:r>
        <w:fldChar w:fldCharType="end"/>
      </w:r>
    </w:p>
    <w:p w:rsidR="000A156F" w:rsidRDefault="00A9721F">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603</w:t>
      </w:r>
      <w:r>
        <w:fldChar w:fldCharType="end"/>
      </w:r>
    </w:p>
    <w:p w:rsidR="000A156F" w:rsidRDefault="00A9721F">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603</w:t>
      </w:r>
      <w:r>
        <w:fldChar w:fldCharType="end"/>
      </w:r>
    </w:p>
    <w:p w:rsidR="000A156F" w:rsidRDefault="00A9721F">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135</w:t>
      </w:r>
      <w:r>
        <w:fldChar w:fldCharType="end"/>
      </w:r>
    </w:p>
    <w:p w:rsidR="000A156F" w:rsidRDefault="00A9721F">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135</w:t>
      </w:r>
      <w:r>
        <w:fldChar w:fldCharType="end"/>
      </w:r>
    </w:p>
    <w:p w:rsidR="000A156F" w:rsidRDefault="00A9721F">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135</w:t>
      </w:r>
      <w:r>
        <w:fldChar w:fldCharType="end"/>
      </w:r>
    </w:p>
    <w:p w:rsidR="000A156F" w:rsidRDefault="00A9721F">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135</w:t>
      </w:r>
      <w:r>
        <w:fldChar w:fldCharType="end"/>
      </w:r>
    </w:p>
    <w:p w:rsidR="000A156F" w:rsidRDefault="00A9721F">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w:instrText>
      </w:r>
      <w:r>
        <w:instrText>9dd842c429174b8837e</w:instrText>
      </w:r>
      <w:r>
        <w:fldChar w:fldCharType="separate"/>
      </w:r>
      <w:r>
        <w:rPr>
          <w:noProof/>
        </w:rPr>
        <w:t>890</w:t>
      </w:r>
      <w:r>
        <w:fldChar w:fldCharType="end"/>
      </w:r>
    </w:p>
    <w:p w:rsidR="000A156F" w:rsidRDefault="00A9721F">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section_841efc82d17b435cbc74a986769fdf50</w:instrText>
      </w:r>
      <w:r>
        <w:fldChar w:fldCharType="separate"/>
      </w:r>
      <w:r>
        <w:rPr>
          <w:noProof/>
        </w:rPr>
        <w:t>890</w:t>
      </w:r>
      <w:r>
        <w:fldChar w:fldCharType="end"/>
      </w:r>
    </w:p>
    <w:p w:rsidR="000A156F" w:rsidRDefault="00A9721F">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section_3615f32e2a2f49c7853b03b56fc48212</w:instrText>
      </w:r>
      <w:r>
        <w:fldChar w:fldCharType="separate"/>
      </w:r>
      <w:r>
        <w:rPr>
          <w:noProof/>
        </w:rPr>
        <w:t>890</w:t>
      </w:r>
      <w:r>
        <w:fldChar w:fldCharType="end"/>
      </w:r>
    </w:p>
    <w:p w:rsidR="000A156F" w:rsidRDefault="00A9721F">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w:instrText>
      </w:r>
      <w:r>
        <w:instrText>2a93fa3abf</w:instrText>
      </w:r>
      <w:r>
        <w:fldChar w:fldCharType="separate"/>
      </w:r>
      <w:r>
        <w:rPr>
          <w:noProof/>
        </w:rPr>
        <w:t>374</w:t>
      </w:r>
      <w:r>
        <w:fldChar w:fldCharType="end"/>
      </w:r>
    </w:p>
    <w:p w:rsidR="000A156F" w:rsidRDefault="00A9721F">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603</w:t>
      </w:r>
      <w:r>
        <w:fldChar w:fldCharType="end"/>
      </w:r>
    </w:p>
    <w:p w:rsidR="000A156F" w:rsidRDefault="00A9721F">
      <w:pPr>
        <w:pStyle w:val="indexentry0"/>
      </w:pPr>
      <w:hyperlink w:anchor="section_2643b6345b714371b8d9b25715fe3ebb">
        <w:r>
          <w:rPr>
            <w:rStyle w:val="Hyperlink"/>
          </w:rPr>
          <w:t>depthPercent (Depth Percent)</w:t>
        </w:r>
      </w:hyperlink>
      <w:r>
        <w:t xml:space="preserve"> </w:t>
      </w:r>
      <w:r>
        <w:fldChar w:fldCharType="begin"/>
      </w:r>
      <w:r>
        <w:instrText>PAGEREF section_2</w:instrText>
      </w:r>
      <w:r>
        <w:instrText>643b6345b714371b8d9b25715fe3ebb</w:instrText>
      </w:r>
      <w:r>
        <w:fldChar w:fldCharType="separate"/>
      </w:r>
      <w:r>
        <w:rPr>
          <w:noProof/>
        </w:rPr>
        <w:t>554</w:t>
      </w:r>
      <w:r>
        <w:fldChar w:fldCharType="end"/>
      </w:r>
    </w:p>
    <w:p w:rsidR="000A156F" w:rsidRDefault="00A9721F">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417</w:t>
      </w:r>
      <w:r>
        <w:fldChar w:fldCharType="end"/>
      </w:r>
    </w:p>
    <w:p w:rsidR="000A156F" w:rsidRDefault="00A9721F">
      <w:pPr>
        <w:pStyle w:val="indexentry0"/>
      </w:pPr>
      <w:hyperlink w:anchor="section_53cd50963b4d41f8bb3566dd020960bb">
        <w:r>
          <w:rPr>
            <w:rStyle w:val="Hyperlink"/>
          </w:rPr>
          <w:t>DGET</w:t>
        </w:r>
      </w:hyperlink>
      <w:r>
        <w:t xml:space="preserve"> </w:t>
      </w:r>
      <w:r>
        <w:fldChar w:fldCharType="begin"/>
      </w:r>
      <w:r>
        <w:instrText>PAGEREF section_53cd50963b4d41f8</w:instrText>
      </w:r>
      <w:r>
        <w:instrText>bb3566dd020960bb</w:instrText>
      </w:r>
      <w:r>
        <w:fldChar w:fldCharType="separate"/>
      </w:r>
      <w:r>
        <w:rPr>
          <w:noProof/>
        </w:rPr>
        <w:t>417</w:t>
      </w:r>
      <w:r>
        <w:fldChar w:fldCharType="end"/>
      </w:r>
    </w:p>
    <w:p w:rsidR="000A156F" w:rsidRDefault="00A9721F">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496</w:t>
      </w:r>
      <w:r>
        <w:fldChar w:fldCharType="end"/>
      </w:r>
    </w:p>
    <w:p w:rsidR="000A156F" w:rsidRDefault="00A9721F">
      <w:pPr>
        <w:pStyle w:val="indexentry0"/>
      </w:pPr>
      <w:hyperlink w:anchor="section_d7ad8107054040ab96a6b62610ad55ce">
        <w:r>
          <w:rPr>
            <w:rStyle w:val="Hyperlink"/>
          </w:rPr>
          <w:t>diagram (VML Diagram)</w:t>
        </w:r>
      </w:hyperlink>
      <w:r>
        <w:t xml:space="preserve"> </w:t>
      </w:r>
      <w:r>
        <w:fldChar w:fldCharType="begin"/>
      </w:r>
      <w:r>
        <w:instrText>PAGEREF sec</w:instrText>
      </w:r>
      <w:r>
        <w:instrText>tion_d7ad8107054040ab96a6b62610ad55ce</w:instrText>
      </w:r>
      <w:r>
        <w:fldChar w:fldCharType="separate"/>
      </w:r>
      <w:r>
        <w:rPr>
          <w:noProof/>
        </w:rPr>
        <w:t>671</w:t>
      </w:r>
      <w:r>
        <w:fldChar w:fldCharType="end"/>
      </w:r>
    </w:p>
    <w:p w:rsidR="000A156F" w:rsidRDefault="00A9721F">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59</w:t>
      </w:r>
      <w:r>
        <w:fldChar w:fldCharType="end"/>
      </w:r>
    </w:p>
    <w:p w:rsidR="000A156F" w:rsidRDefault="00A9721F">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59</w:t>
      </w:r>
      <w:r>
        <w:fldChar w:fldCharType="end"/>
      </w:r>
    </w:p>
    <w:p w:rsidR="000A156F" w:rsidRDefault="00A9721F">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257</w:t>
      </w:r>
      <w:r>
        <w:fldChar w:fldCharType="end"/>
      </w:r>
    </w:p>
    <w:p w:rsidR="000A156F" w:rsidRDefault="00A9721F">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51</w:t>
      </w:r>
      <w:r>
        <w:fldChar w:fldCharType="end"/>
      </w:r>
    </w:p>
    <w:p w:rsidR="000A156F" w:rsidRDefault="00A9721F">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612</w:t>
      </w:r>
      <w:r>
        <w:fldChar w:fldCharType="end"/>
      </w:r>
    </w:p>
    <w:p w:rsidR="000A156F" w:rsidRDefault="00A9721F">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332</w:t>
      </w:r>
      <w:r>
        <w:fldChar w:fldCharType="end"/>
      </w:r>
    </w:p>
    <w:p w:rsidR="000A156F" w:rsidRDefault="00A9721F">
      <w:pPr>
        <w:pStyle w:val="indexentry0"/>
      </w:pPr>
      <w:hyperlink w:anchor="section_0c2fbdfee3c442339e5874bee9eac813">
        <w:r>
          <w:rPr>
            <w:rStyle w:val="Hyperlink"/>
          </w:rPr>
          <w:t>dir (Bidirectional Embedding Level)</w:t>
        </w:r>
      </w:hyperlink>
      <w:r>
        <w:t xml:space="preserve"> </w:t>
      </w:r>
      <w:r>
        <w:fldChar w:fldCharType="begin"/>
      </w:r>
      <w:r>
        <w:instrText>PAGEREF section</w:instrText>
      </w:r>
      <w:r>
        <w:instrText>_0c2fbdfee3c442339e5874bee9eac813</w:instrText>
      </w:r>
      <w:r>
        <w:fldChar w:fldCharType="separate"/>
      </w:r>
      <w:r>
        <w:rPr>
          <w:noProof/>
        </w:rPr>
        <w:t>69</w:t>
      </w:r>
      <w:r>
        <w:fldChar w:fldCharType="end"/>
      </w:r>
    </w:p>
    <w:p w:rsidR="000A156F" w:rsidRDefault="00A9721F">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417</w:t>
      </w:r>
      <w:r>
        <w:fldChar w:fldCharType="end"/>
      </w:r>
    </w:p>
    <w:p w:rsidR="000A156F" w:rsidRDefault="00A9721F">
      <w:pPr>
        <w:pStyle w:val="indexentry0"/>
      </w:pPr>
      <w:hyperlink w:anchor="section_9cd9d70220324faa8243174a28700755">
        <w:r>
          <w:rPr>
            <w:rStyle w:val="Hyperlink"/>
          </w:rPr>
          <w:t>discretePr (Discrete Grouping Properti</w:t>
        </w:r>
        <w:r>
          <w:rPr>
            <w:rStyle w:val="Hyperlink"/>
          </w:rPr>
          <w:t>es)</w:t>
        </w:r>
      </w:hyperlink>
      <w:r>
        <w:t xml:space="preserve"> </w:t>
      </w:r>
      <w:r>
        <w:fldChar w:fldCharType="begin"/>
      </w:r>
      <w:r>
        <w:instrText>PAGEREF section_9cd9d70220324faa8243174a28700755</w:instrText>
      </w:r>
      <w:r>
        <w:fldChar w:fldCharType="separate"/>
      </w:r>
      <w:r>
        <w:rPr>
          <w:noProof/>
        </w:rPr>
        <w:t>333</w:t>
      </w:r>
      <w:r>
        <w:fldChar w:fldCharType="end"/>
      </w:r>
    </w:p>
    <w:p w:rsidR="000A156F" w:rsidRDefault="00A9721F">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554</w:t>
      </w:r>
      <w:r>
        <w:fldChar w:fldCharType="end"/>
      </w:r>
    </w:p>
    <w:p w:rsidR="000A156F" w:rsidRDefault="00A9721F">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603</w:t>
      </w:r>
      <w:r>
        <w:fldChar w:fldCharType="end"/>
      </w:r>
    </w:p>
    <w:p w:rsidR="000A156F" w:rsidRDefault="00A9721F">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555</w:t>
      </w:r>
      <w:r>
        <w:fldChar w:fldCharType="end"/>
      </w:r>
    </w:p>
    <w:p w:rsidR="000A156F" w:rsidRDefault="00A9721F">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823</w:t>
      </w:r>
      <w:r>
        <w:fldChar w:fldCharType="end"/>
      </w:r>
    </w:p>
    <w:p w:rsidR="000A156F" w:rsidRDefault="00A9721F">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section_3556936a408d4c088893a61fd0754f5c</w:instrText>
      </w:r>
      <w:r>
        <w:fldChar w:fldCharType="separate"/>
      </w:r>
      <w:r>
        <w:rPr>
          <w:noProof/>
        </w:rPr>
        <w:t>151</w:t>
      </w:r>
      <w:r>
        <w:fldChar w:fldCharType="end"/>
      </w:r>
    </w:p>
    <w:p w:rsidR="000A156F" w:rsidRDefault="00A9721F">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section_73f2c4bc60754f1fa1f308a250abbdba</w:instrText>
      </w:r>
      <w:r>
        <w:fldChar w:fldCharType="separate"/>
      </w:r>
      <w:r>
        <w:rPr>
          <w:noProof/>
        </w:rPr>
        <w:t>151</w:t>
      </w:r>
      <w:r>
        <w:fldChar w:fldCharType="end"/>
      </w:r>
    </w:p>
    <w:p w:rsidR="000A156F" w:rsidRDefault="00A9721F">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555</w:t>
      </w:r>
      <w:r>
        <w:fldChar w:fldCharType="end"/>
      </w:r>
    </w:p>
    <w:p w:rsidR="000A156F" w:rsidRDefault="00A9721F">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w:instrText>
      </w:r>
      <w:r>
        <w:instrText>n_2740ab5f3c2b41ef954aff6f642e140f</w:instrText>
      </w:r>
      <w:r>
        <w:fldChar w:fldCharType="separate"/>
      </w:r>
      <w:r>
        <w:rPr>
          <w:noProof/>
        </w:rPr>
        <w:t>161</w:t>
      </w:r>
      <w:r>
        <w:fldChar w:fldCharType="end"/>
      </w:r>
    </w:p>
    <w:p w:rsidR="000A156F" w:rsidRDefault="00A9721F">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62</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81</w:t>
      </w:r>
      <w:r>
        <w:fldChar w:fldCharType="end"/>
      </w:r>
      <w:r>
        <w:t>)</w:t>
      </w:r>
    </w:p>
    <w:p w:rsidR="000A156F" w:rsidRDefault="00A9721F">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505</w:t>
      </w:r>
      <w:r>
        <w:fldChar w:fldCharType="end"/>
      </w:r>
    </w:p>
    <w:p w:rsidR="000A156F" w:rsidRDefault="00A9721F">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505</w:t>
      </w:r>
      <w:r>
        <w:fldChar w:fldCharType="end"/>
      </w:r>
    </w:p>
    <w:p w:rsidR="000A156F" w:rsidRDefault="00A9721F">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556</w:t>
      </w:r>
      <w:r>
        <w:fldChar w:fldCharType="end"/>
      </w:r>
    </w:p>
    <w:p w:rsidR="000A156F" w:rsidRDefault="00A9721F">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section_e2b1697c7adc463d90813daef72f656f</w:instrText>
      </w:r>
      <w:r>
        <w:fldChar w:fldCharType="separate"/>
      </w:r>
      <w:r>
        <w:rPr>
          <w:noProof/>
        </w:rPr>
        <w:t>556</w:t>
      </w:r>
      <w:r>
        <w:fldChar w:fldCharType="end"/>
      </w:r>
    </w:p>
    <w:p w:rsidR="000A156F" w:rsidRDefault="00A9721F">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557</w:t>
      </w:r>
      <w:r>
        <w:fldChar w:fldCharType="end"/>
      </w:r>
    </w:p>
    <w:p w:rsidR="000A156F" w:rsidRDefault="00A9721F">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418</w:t>
      </w:r>
      <w:r>
        <w:fldChar w:fldCharType="end"/>
      </w:r>
    </w:p>
    <w:p w:rsidR="000A156F" w:rsidRDefault="00A9721F">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418</w:t>
      </w:r>
      <w:r>
        <w:fldChar w:fldCharType="end"/>
      </w:r>
    </w:p>
    <w:p w:rsidR="000A156F" w:rsidRDefault="00A9721F">
      <w:pPr>
        <w:pStyle w:val="indexentry0"/>
      </w:pPr>
      <w:hyperlink w:anchor="section_3a5e135e0986496c90a772bf5238d43d">
        <w:r>
          <w:rPr>
            <w:rStyle w:val="Hyperlink"/>
          </w:rPr>
          <w:t>docPart (Document Part Reference)</w:t>
        </w:r>
      </w:hyperlink>
      <w:r>
        <w:t xml:space="preserve"> </w:t>
      </w:r>
      <w:r>
        <w:fldChar w:fldCharType="begin"/>
      </w:r>
      <w:r>
        <w:instrText>PAGEREF section_3a5e135e0986496c90a772bf5238d43d</w:instrText>
      </w:r>
      <w:r>
        <w:fldChar w:fldCharType="separate"/>
      </w:r>
      <w:r>
        <w:rPr>
          <w:noProof/>
        </w:rPr>
        <w:t>97</w:t>
      </w:r>
      <w:r>
        <w:fldChar w:fldCharType="end"/>
      </w:r>
    </w:p>
    <w:p w:rsidR="000A156F" w:rsidRDefault="00A9721F">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w:instrText>
      </w:r>
      <w:r>
        <w:instrText>ction_120023b2ce194bc79f3d619ff7e1d81e</w:instrText>
      </w:r>
      <w:r>
        <w:fldChar w:fldCharType="separate"/>
      </w:r>
      <w:r>
        <w:rPr>
          <w:noProof/>
        </w:rPr>
        <w:t>129</w:t>
      </w:r>
      <w:r>
        <w:fldChar w:fldCharType="end"/>
      </w:r>
    </w:p>
    <w:p w:rsidR="000A156F" w:rsidRDefault="00A9721F">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129</w:t>
      </w:r>
      <w:r>
        <w:fldChar w:fldCharType="end"/>
      </w:r>
    </w:p>
    <w:p w:rsidR="000A156F" w:rsidRDefault="00A9721F">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section_14fb7c6771444eb1baab7076dfd03d90</w:instrText>
      </w:r>
      <w:r>
        <w:fldChar w:fldCharType="separate"/>
      </w:r>
      <w:r>
        <w:rPr>
          <w:noProof/>
        </w:rPr>
        <w:t>129</w:t>
      </w:r>
      <w:r>
        <w:fldChar w:fldCharType="end"/>
      </w:r>
    </w:p>
    <w:p w:rsidR="000A156F" w:rsidRDefault="00A9721F">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w:instrText>
      </w:r>
      <w:r>
        <w:instrText>3b8fee37</w:instrText>
      </w:r>
      <w:r>
        <w:fldChar w:fldCharType="separate"/>
      </w:r>
      <w:r>
        <w:rPr>
          <w:noProof/>
        </w:rPr>
        <w:t>531</w:t>
      </w:r>
      <w:r>
        <w:fldChar w:fldCharType="end"/>
      </w:r>
    </w:p>
    <w:p w:rsidR="000A156F" w:rsidRDefault="00A9721F">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213</w:t>
      </w:r>
      <w:r>
        <w:fldChar w:fldCharType="end"/>
      </w:r>
    </w:p>
    <w:p w:rsidR="000A156F" w:rsidRDefault="00A9721F">
      <w:pPr>
        <w:pStyle w:val="indexentry0"/>
      </w:pPr>
      <w:hyperlink w:anchor="section_f0f1a882555d4c3db7514fe6cd1011af">
        <w:r>
          <w:rPr>
            <w:rStyle w:val="Hyperlink"/>
          </w:rPr>
          <w:t>DocSecurity (Document Security)</w:t>
        </w:r>
      </w:hyperlink>
      <w:r>
        <w:t xml:space="preserve"> </w:t>
      </w:r>
      <w:r>
        <w:fldChar w:fldCharType="begin"/>
      </w:r>
      <w:r>
        <w:instrText>PAGEREF section_f0f1a8</w:instrText>
      </w:r>
      <w:r>
        <w:instrText>82555d4c3db7514fe6cd1011af</w:instrText>
      </w:r>
      <w:r>
        <w:fldChar w:fldCharType="separate"/>
      </w:r>
      <w:r>
        <w:rPr>
          <w:noProof/>
        </w:rPr>
        <w:t>613</w:t>
      </w:r>
      <w:r>
        <w:fldChar w:fldCharType="end"/>
      </w:r>
    </w:p>
    <w:p w:rsidR="000A156F" w:rsidRDefault="00A9721F">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62</w:t>
      </w:r>
      <w:r>
        <w:fldChar w:fldCharType="end"/>
      </w:r>
    </w:p>
    <w:p w:rsidR="000A156F" w:rsidRDefault="00A9721F">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section_e12d2773e2d045bfb1c2b8f0548e156d</w:instrText>
      </w:r>
      <w:r>
        <w:fldChar w:fldCharType="separate"/>
      </w:r>
      <w:r>
        <w:rPr>
          <w:noProof/>
        </w:rPr>
        <w:t>151</w:t>
      </w:r>
      <w:r>
        <w:fldChar w:fldCharType="end"/>
      </w:r>
    </w:p>
    <w:p w:rsidR="000A156F" w:rsidRDefault="00A9721F">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153</w:t>
      </w:r>
      <w:r>
        <w:fldChar w:fldCharType="end"/>
      </w:r>
    </w:p>
    <w:p w:rsidR="000A156F" w:rsidRDefault="00A9721F">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419</w:t>
      </w:r>
      <w:r>
        <w:fldChar w:fldCharType="end"/>
      </w:r>
    </w:p>
    <w:p w:rsidR="000A156F" w:rsidRDefault="00A9721F">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419</w:t>
      </w:r>
      <w:r>
        <w:fldChar w:fldCharType="end"/>
      </w:r>
    </w:p>
    <w:p w:rsidR="000A156F" w:rsidRDefault="00A9721F">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419</w:t>
      </w:r>
      <w:r>
        <w:fldChar w:fldCharType="end"/>
      </w:r>
    </w:p>
    <w:p w:rsidR="000A156F" w:rsidRDefault="00A9721F">
      <w:pPr>
        <w:pStyle w:val="indexentry0"/>
      </w:pPr>
      <w:hyperlink w:anchor="section_491140ac216d46eda8797b430b295e95">
        <w:r>
          <w:rPr>
            <w:rStyle w:val="Hyperlink"/>
          </w:rPr>
          <w:t>doNotAutofitConstrainedTables (Do Not AutoFit Tables To Fit Next To Wrapped Objects</w:t>
        </w:r>
        <w:r>
          <w:rPr>
            <w:rStyle w:val="Hyperlink"/>
          </w:rPr>
          <w:t>)</w:t>
        </w:r>
      </w:hyperlink>
      <w:r>
        <w:t xml:space="preserve"> </w:t>
      </w:r>
      <w:r>
        <w:fldChar w:fldCharType="begin"/>
      </w:r>
      <w:r>
        <w:instrText>PAGEREF section_491140ac216d46eda8797b430b295e95</w:instrText>
      </w:r>
      <w:r>
        <w:fldChar w:fldCharType="separate"/>
      </w:r>
      <w:r>
        <w:rPr>
          <w:noProof/>
        </w:rPr>
        <w:t>635</w:t>
      </w:r>
      <w:r>
        <w:fldChar w:fldCharType="end"/>
      </w:r>
    </w:p>
    <w:p w:rsidR="000A156F" w:rsidRDefault="00A9721F">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164</w:t>
      </w:r>
      <w:r>
        <w:fldChar w:fldCharType="end"/>
      </w:r>
    </w:p>
    <w:p w:rsidR="000A156F" w:rsidRDefault="00A9721F">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161</w:t>
      </w:r>
      <w:r>
        <w:fldChar w:fldCharType="end"/>
      </w:r>
    </w:p>
    <w:p w:rsidR="000A156F" w:rsidRDefault="00A9721F">
      <w:pPr>
        <w:pStyle w:val="indexentry0"/>
      </w:pPr>
      <w:hyperlink w:anchor="section_e66cb7aa8ce74144a087a6cbae1d32e0">
        <w:r>
          <w:rPr>
            <w:rStyle w:val="Hyperlink"/>
          </w:rPr>
          <w:t xml:space="preserve">doNotSuppressBlankLines (Remove Blank </w:t>
        </w:r>
        <w:r>
          <w:rPr>
            <w:rStyle w:val="Hyperlink"/>
          </w:rPr>
          <w:t>Lines from Merged Documents)</w:t>
        </w:r>
      </w:hyperlink>
      <w:r>
        <w:t xml:space="preserve"> </w:t>
      </w:r>
      <w:r>
        <w:fldChar w:fldCharType="begin"/>
      </w:r>
      <w:r>
        <w:instrText>PAGEREF section_e66cb7aa8ce74144a087a6cbae1d32e0</w:instrText>
      </w:r>
      <w:r>
        <w:fldChar w:fldCharType="separate"/>
      </w:r>
      <w:r>
        <w:rPr>
          <w:noProof/>
        </w:rPr>
        <w:t>142</w:t>
      </w:r>
      <w:r>
        <w:fldChar w:fldCharType="end"/>
      </w:r>
    </w:p>
    <w:p w:rsidR="000A156F" w:rsidRDefault="00A9721F">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w:instrText>
      </w:r>
      <w:r>
        <w:instrText>b2f95a821369e8deaa7</w:instrText>
      </w:r>
      <w:r>
        <w:fldChar w:fldCharType="separate"/>
      </w:r>
      <w:r>
        <w:rPr>
          <w:noProof/>
        </w:rPr>
        <w:t>636</w:t>
      </w:r>
      <w:r>
        <w:fldChar w:fldCharType="end"/>
      </w:r>
    </w:p>
    <w:p w:rsidR="000A156F" w:rsidRDefault="00A9721F">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154</w:t>
      </w:r>
      <w:r>
        <w:fldChar w:fldCharType="end"/>
      </w:r>
    </w:p>
    <w:p w:rsidR="000A156F" w:rsidRDefault="00A9721F">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557</w:t>
      </w:r>
      <w:r>
        <w:fldChar w:fldCharType="end"/>
      </w:r>
    </w:p>
    <w:p w:rsidR="000A156F" w:rsidRDefault="00A9721F">
      <w:pPr>
        <w:pStyle w:val="indexentry0"/>
      </w:pPr>
      <w:hyperlink w:anchor="section_36f807adabe04525a208004943cb6847">
        <w:r>
          <w:rPr>
            <w:rStyle w:val="Hyperlink"/>
          </w:rPr>
          <w:t>Downrev Storage</w:t>
        </w:r>
      </w:hyperlink>
      <w:r>
        <w:t xml:space="preserve"> </w:t>
      </w:r>
      <w:r>
        <w:fldChar w:fldCharType="begin"/>
      </w:r>
      <w:r>
        <w:instrText>PAGEREF section_36f807adabe045</w:instrText>
      </w:r>
      <w:r>
        <w:instrText>25a208004943cb6847</w:instrText>
      </w:r>
      <w:r>
        <w:fldChar w:fldCharType="separate"/>
      </w:r>
      <w:r>
        <w:rPr>
          <w:noProof/>
        </w:rPr>
        <w:t>834</w:t>
      </w:r>
      <w:r>
        <w:fldChar w:fldCharType="end"/>
      </w:r>
    </w:p>
    <w:p w:rsidR="000A156F" w:rsidRDefault="00A9721F">
      <w:pPr>
        <w:pStyle w:val="indexentry0"/>
      </w:pPr>
      <w:hyperlink w:anchor="section_28f2957da97840c8bc855a32ed0ae8e1">
        <w:r>
          <w:rPr>
            <w:rStyle w:val="Hyperlink"/>
          </w:rPr>
          <w:t>downRevStg (DownRev Storage)</w:t>
        </w:r>
      </w:hyperlink>
      <w:r>
        <w:t xml:space="preserve"> </w:t>
      </w:r>
      <w:r>
        <w:fldChar w:fldCharType="begin"/>
      </w:r>
      <w:r>
        <w:instrText>PAGEREF section_28f2957da97840c8bc855a32ed0ae8e1</w:instrText>
      </w:r>
      <w:r>
        <w:fldChar w:fldCharType="separate"/>
      </w:r>
      <w:r>
        <w:rPr>
          <w:noProof/>
        </w:rPr>
        <w:t>836</w:t>
      </w:r>
      <w:r>
        <w:fldChar w:fldCharType="end"/>
      </w:r>
    </w:p>
    <w:p w:rsidR="000A156F" w:rsidRDefault="00A9721F">
      <w:pPr>
        <w:pStyle w:val="indexentry0"/>
      </w:pPr>
      <w:hyperlink w:anchor="section_10229973494b4cf4bcdbe6e1d4f7dff4">
        <w:r>
          <w:rPr>
            <w:rStyle w:val="Hyperlink"/>
          </w:rPr>
          <w:t>DPRODUCT</w:t>
        </w:r>
      </w:hyperlink>
      <w:r>
        <w:t xml:space="preserve"> </w:t>
      </w:r>
      <w:r>
        <w:fldChar w:fldCharType="begin"/>
      </w:r>
      <w:r>
        <w:instrText>PAGEREF section_10</w:instrText>
      </w:r>
      <w:r>
        <w:instrText>229973494b4cf4bcdbe6e1d4f7dff4</w:instrText>
      </w:r>
      <w:r>
        <w:fldChar w:fldCharType="separate"/>
      </w:r>
      <w:r>
        <w:rPr>
          <w:noProof/>
        </w:rPr>
        <w:t>419</w:t>
      </w:r>
      <w:r>
        <w:fldChar w:fldCharType="end"/>
      </w:r>
    </w:p>
    <w:p w:rsidR="000A156F" w:rsidRDefault="00A9721F">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257</w:t>
      </w:r>
      <w:r>
        <w:fldChar w:fldCharType="end"/>
      </w:r>
    </w:p>
    <w:p w:rsidR="000A156F" w:rsidRDefault="00A9721F">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78</w:t>
      </w:r>
      <w:r>
        <w:fldChar w:fldCharType="end"/>
      </w:r>
    </w:p>
    <w:p w:rsidR="000A156F" w:rsidRDefault="00A9721F">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154</w:t>
      </w:r>
      <w:r>
        <w:fldChar w:fldCharType="end"/>
      </w:r>
    </w:p>
    <w:p w:rsidR="000A156F" w:rsidRDefault="00A9721F">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154</w:t>
      </w:r>
      <w:r>
        <w:fldChar w:fldCharType="end"/>
      </w:r>
    </w:p>
    <w:p w:rsidR="000A156F" w:rsidRDefault="00A9721F">
      <w:pPr>
        <w:pStyle w:val="indexentry0"/>
      </w:pPr>
      <w:hyperlink w:anchor="section_654ae6202cb44d9caa31e2ae86f121fc">
        <w:r>
          <w:rPr>
            <w:rStyle w:val="Hyperlink"/>
          </w:rPr>
          <w:t>drawingHF (Drawing Reference in Header</w:t>
        </w:r>
        <w:r>
          <w:rPr>
            <w:rStyle w:val="Hyperlink"/>
          </w:rPr>
          <w:t xml:space="preserve"> Footer)</w:t>
        </w:r>
      </w:hyperlink>
      <w:r>
        <w:t xml:space="preserve"> </w:t>
      </w:r>
      <w:r>
        <w:fldChar w:fldCharType="begin"/>
      </w:r>
      <w:r>
        <w:instrText>PAGEREF section_654ae6202cb44d9caa31e2ae86f121fc</w:instrText>
      </w:r>
      <w:r>
        <w:fldChar w:fldCharType="separate"/>
      </w:r>
      <w:r>
        <w:rPr>
          <w:noProof/>
        </w:rPr>
        <w:t>257</w:t>
      </w:r>
      <w:r>
        <w:fldChar w:fldCharType="end"/>
      </w:r>
    </w:p>
    <w:p w:rsidR="000A156F" w:rsidRDefault="00A9721F">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833</w:t>
      </w:r>
      <w:r>
        <w:fldChar w:fldCharType="end"/>
      </w:r>
    </w:p>
    <w:p w:rsidR="000A156F" w:rsidRDefault="00A9721F">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833</w:t>
      </w:r>
      <w:r>
        <w:fldChar w:fldCharType="end"/>
      </w:r>
    </w:p>
    <w:p w:rsidR="000A156F" w:rsidRDefault="00A9721F">
      <w:pPr>
        <w:pStyle w:val="indexentry0"/>
      </w:pPr>
      <w:hyperlink w:anchor="section_be4c7afa1a9848fdac817039f3bf3a19">
        <w:r>
          <w:rPr>
            <w:rStyle w:val="Hyperlink"/>
          </w:rPr>
          <w:t>DropLines (Dropdown Maximum Lines)</w:t>
        </w:r>
      </w:hyperlink>
      <w:r>
        <w:t xml:space="preserve"> </w:t>
      </w:r>
      <w:r>
        <w:fldChar w:fldCharType="begin"/>
      </w:r>
      <w:r>
        <w:instrText>PAGEREF section</w:instrText>
      </w:r>
      <w:r>
        <w:instrText>_be4c7afa1a9848fdac817039f3bf3a19</w:instrText>
      </w:r>
      <w:r>
        <w:fldChar w:fldCharType="separate"/>
      </w:r>
      <w:r>
        <w:rPr>
          <w:noProof/>
        </w:rPr>
        <w:t>684</w:t>
      </w:r>
      <w:r>
        <w:fldChar w:fldCharType="end"/>
      </w:r>
    </w:p>
    <w:p w:rsidR="000A156F" w:rsidRDefault="00A9721F">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684</w:t>
      </w:r>
      <w:r>
        <w:fldChar w:fldCharType="end"/>
      </w:r>
    </w:p>
    <w:p w:rsidR="000A156F" w:rsidRDefault="00A9721F">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515</w:t>
      </w:r>
      <w:r>
        <w:fldChar w:fldCharType="end"/>
      </w:r>
    </w:p>
    <w:p w:rsidR="000A156F" w:rsidRDefault="00A9721F">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419</w:t>
      </w:r>
      <w:r>
        <w:fldChar w:fldCharType="end"/>
      </w:r>
    </w:p>
    <w:p w:rsidR="000A156F" w:rsidRDefault="00A9721F">
      <w:pPr>
        <w:pStyle w:val="indexentry0"/>
      </w:pPr>
      <w:hyperlink w:anchor="section_c516d215cc2a472f98e9a3e4d454084a">
        <w:r>
          <w:rPr>
            <w:rStyle w:val="Hyperlink"/>
          </w:rPr>
          <w:t>DSTDEVP</w:t>
        </w:r>
      </w:hyperlink>
      <w:r>
        <w:t xml:space="preserve"> </w:t>
      </w:r>
      <w:r>
        <w:fldChar w:fldCharType="begin"/>
      </w:r>
      <w:r>
        <w:instrText>PAGEREF se</w:instrText>
      </w:r>
      <w:r>
        <w:instrText>ction_c516d215cc2a472f98e9a3e4d454084a</w:instrText>
      </w:r>
      <w:r>
        <w:fldChar w:fldCharType="separate"/>
      </w:r>
      <w:r>
        <w:rPr>
          <w:noProof/>
        </w:rPr>
        <w:t>419</w:t>
      </w:r>
      <w:r>
        <w:fldChar w:fldCharType="end"/>
      </w:r>
    </w:p>
    <w:p w:rsidR="000A156F" w:rsidRDefault="00A9721F">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420</w:t>
      </w:r>
      <w:r>
        <w:fldChar w:fldCharType="end"/>
      </w:r>
    </w:p>
    <w:p w:rsidR="000A156F" w:rsidRDefault="00A9721F">
      <w:pPr>
        <w:pStyle w:val="indexentry0"/>
      </w:pPr>
      <w:hyperlink w:anchor="section_c4fb5e6e431f415291d23b48831d77af">
        <w:r>
          <w:rPr>
            <w:rStyle w:val="Hyperlink"/>
          </w:rPr>
          <w:t>duotone (Duotone Effect)</w:t>
        </w:r>
      </w:hyperlink>
      <w:r>
        <w:t xml:space="preserve"> </w:t>
      </w:r>
      <w:r>
        <w:fldChar w:fldCharType="begin"/>
      </w:r>
      <w:r>
        <w:instrText>PAGERE</w:instrText>
      </w:r>
      <w:r>
        <w:instrText>F section_c4fb5e6e431f415291d23b48831d77af</w:instrText>
      </w:r>
      <w:r>
        <w:fldChar w:fldCharType="separate"/>
      </w:r>
      <w:r>
        <w:rPr>
          <w:noProof/>
        </w:rPr>
        <w:t>516</w:t>
      </w:r>
      <w:r>
        <w:fldChar w:fldCharType="end"/>
      </w:r>
    </w:p>
    <w:p w:rsidR="000A156F" w:rsidRDefault="00A9721F">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420</w:t>
      </w:r>
      <w:r>
        <w:fldChar w:fldCharType="end"/>
      </w:r>
    </w:p>
    <w:p w:rsidR="000A156F" w:rsidRDefault="00A9721F">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421</w:t>
      </w:r>
      <w:r>
        <w:fldChar w:fldCharType="end"/>
      </w:r>
    </w:p>
    <w:p w:rsidR="000A156F" w:rsidRDefault="00A9721F">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421</w:t>
      </w:r>
      <w:r>
        <w:fldChar w:fldCharType="end"/>
      </w:r>
    </w:p>
    <w:p w:rsidR="000A156F" w:rsidRDefault="00A9721F">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685</w:t>
      </w:r>
      <w:r>
        <w:fldChar w:fldCharType="end"/>
      </w:r>
    </w:p>
    <w:p w:rsidR="000A156F" w:rsidRDefault="00A9721F">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298</w:t>
      </w:r>
      <w:r>
        <w:fldChar w:fldCharType="end"/>
      </w:r>
    </w:p>
    <w:p w:rsidR="000A156F" w:rsidRDefault="00A9721F">
      <w:pPr>
        <w:pStyle w:val="indexentry0"/>
      </w:pPr>
      <w:hyperlink w:anchor="section_02dec7e2a50549b3aa72334570ecbf26">
        <w:r>
          <w:rPr>
            <w:rStyle w:val="Hyperlink"/>
          </w:rPr>
          <w:t>dynamicAddr</w:t>
        </w:r>
        <w:r>
          <w:rPr>
            <w:rStyle w:val="Hyperlink"/>
          </w:rPr>
          <w:t>ess (Use Country-Based Address Field Ordering)</w:t>
        </w:r>
      </w:hyperlink>
      <w:r>
        <w:t xml:space="preserve"> </w:t>
      </w:r>
      <w:r>
        <w:fldChar w:fldCharType="begin"/>
      </w:r>
      <w:r>
        <w:instrText>PAGEREF section_02dec7e2a50549b3aa72334570ecbf26</w:instrText>
      </w:r>
      <w:r>
        <w:fldChar w:fldCharType="separate"/>
      </w:r>
      <w:r>
        <w:rPr>
          <w:noProof/>
        </w:rPr>
        <w:t>142</w:t>
      </w:r>
      <w:r>
        <w:fldChar w:fldCharType="end"/>
      </w:r>
    </w:p>
    <w:p w:rsidR="000A156F" w:rsidRDefault="00A9721F">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288</w:t>
      </w:r>
      <w:r>
        <w:fldChar w:fldCharType="end"/>
      </w:r>
    </w:p>
    <w:p w:rsidR="000A156F" w:rsidRDefault="000A156F">
      <w:pPr>
        <w:spacing w:before="0" w:after="0"/>
        <w:rPr>
          <w:sz w:val="16"/>
        </w:rPr>
      </w:pPr>
    </w:p>
    <w:p w:rsidR="000A156F" w:rsidRDefault="00A9721F">
      <w:pPr>
        <w:pStyle w:val="indexheader"/>
      </w:pPr>
      <w:r>
        <w:t>E</w:t>
      </w:r>
    </w:p>
    <w:p w:rsidR="000A156F" w:rsidRDefault="000A156F">
      <w:pPr>
        <w:spacing w:before="0" w:after="0"/>
        <w:rPr>
          <w:sz w:val="16"/>
        </w:rPr>
      </w:pPr>
    </w:p>
    <w:p w:rsidR="000A156F" w:rsidRDefault="00A9721F">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603</w:t>
      </w:r>
      <w:r>
        <w:fldChar w:fldCharType="end"/>
      </w:r>
    </w:p>
    <w:p w:rsidR="000A156F" w:rsidRDefault="00A9721F">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w:instrText>
      </w:r>
      <w:r>
        <w:instrText>fc5d</w:instrText>
      </w:r>
      <w:r>
        <w:fldChar w:fldCharType="separate"/>
      </w:r>
      <w:r>
        <w:rPr>
          <w:noProof/>
        </w:rPr>
        <w:t>333</w:t>
      </w:r>
      <w:r>
        <w:fldChar w:fldCharType="end"/>
      </w:r>
    </w:p>
    <w:p w:rsidR="000A156F" w:rsidRDefault="00A9721F">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838</w:t>
      </w:r>
      <w:r>
        <w:fldChar w:fldCharType="end"/>
      </w:r>
    </w:p>
    <w:p w:rsidR="000A156F" w:rsidRDefault="00A9721F">
      <w:pPr>
        <w:pStyle w:val="indexentry0"/>
      </w:pPr>
      <w:hyperlink w:anchor="section_0805d87ac1c945c0905e342f9b3a4473">
        <w:r>
          <w:rPr>
            <w:rStyle w:val="Hyperlink"/>
          </w:rPr>
          <w:t>ea (East Asian Font)</w:t>
        </w:r>
      </w:hyperlink>
      <w:r>
        <w:t xml:space="preserve"> </w:t>
      </w:r>
      <w:r>
        <w:fldChar w:fldCharType="begin"/>
      </w:r>
      <w:r>
        <w:instrText>PAGEREF section_0805d87ac1</w:instrText>
      </w:r>
      <w:r>
        <w:instrText>c945c0905e342f9b3a4473</w:instrText>
      </w:r>
      <w:r>
        <w:fldChar w:fldCharType="separate"/>
      </w:r>
      <w:r>
        <w:rPr>
          <w:noProof/>
        </w:rPr>
        <w:t>541</w:t>
      </w:r>
      <w:r>
        <w:fldChar w:fldCharType="end"/>
      </w:r>
    </w:p>
    <w:p w:rsidR="000A156F" w:rsidRDefault="00A9721F">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69</w:t>
      </w:r>
      <w:r>
        <w:fldChar w:fldCharType="end"/>
      </w:r>
    </w:p>
    <w:p w:rsidR="000A156F" w:rsidRDefault="00A9721F">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421</w:t>
      </w:r>
      <w:r>
        <w:fldChar w:fldCharType="end"/>
      </w:r>
    </w:p>
    <w:p w:rsidR="000A156F" w:rsidRDefault="00A9721F">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70</w:t>
      </w:r>
      <w:r>
        <w:fldChar w:fldCharType="end"/>
      </w:r>
    </w:p>
    <w:p w:rsidR="000A156F" w:rsidRDefault="00A9721F">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516</w:t>
      </w:r>
      <w:r>
        <w:fldChar w:fldCharType="end"/>
      </w:r>
    </w:p>
    <w:p w:rsidR="000A156F" w:rsidRDefault="00A9721F">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592</w:t>
      </w:r>
      <w:r>
        <w:fldChar w:fldCharType="end"/>
      </w:r>
    </w:p>
    <w:p w:rsidR="000A156F" w:rsidRDefault="00A9721F">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516</w:t>
      </w:r>
      <w:r>
        <w:fldChar w:fldCharType="end"/>
      </w:r>
    </w:p>
    <w:p w:rsidR="000A156F" w:rsidRDefault="00A9721F">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section_f1c2e75590484bdb96</w:instrText>
      </w:r>
      <w:r>
        <w:instrText>b5a6bf36caafcf</w:instrText>
      </w:r>
      <w:r>
        <w:fldChar w:fldCharType="separate"/>
      </w:r>
      <w:r>
        <w:rPr>
          <w:noProof/>
        </w:rPr>
        <w:t>531</w:t>
      </w:r>
      <w:r>
        <w:fldChar w:fldCharType="end"/>
      </w:r>
    </w:p>
    <w:p w:rsidR="000A156F" w:rsidRDefault="00A9721F">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838</w:t>
      </w:r>
      <w:r>
        <w:fldChar w:fldCharType="end"/>
      </w:r>
    </w:p>
    <w:p w:rsidR="000A156F" w:rsidRDefault="00A9721F">
      <w:pPr>
        <w:pStyle w:val="indexentry0"/>
      </w:pPr>
      <w:hyperlink w:anchor="section_9b1199772ec9455a98aecb60f7bb0ed8">
        <w:r>
          <w:rPr>
            <w:rStyle w:val="Hyperlink"/>
          </w:rPr>
          <w:t>Elements</w:t>
        </w:r>
      </w:hyperlink>
      <w:r>
        <w:t xml:space="preserve"> </w:t>
      </w:r>
      <w:r>
        <w:fldChar w:fldCharType="begin"/>
      </w:r>
      <w:r>
        <w:instrText>PAGEREF section_9b1199</w:instrText>
      </w:r>
      <w:r>
        <w:instrText>772ec9455a98aecb60f7bb0ed8</w:instrText>
      </w:r>
      <w:r>
        <w:fldChar w:fldCharType="separate"/>
      </w:r>
      <w:r>
        <w:rPr>
          <w:noProof/>
        </w:rPr>
        <w:t>889</w:t>
      </w:r>
      <w:r>
        <w:fldChar w:fldCharType="end"/>
      </w:r>
    </w:p>
    <w:p w:rsidR="000A156F" w:rsidRDefault="00A9721F">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469</w:t>
      </w:r>
      <w:r>
        <w:fldChar w:fldCharType="end"/>
      </w:r>
    </w:p>
    <w:p w:rsidR="000A156F" w:rsidRDefault="00A9721F">
      <w:pPr>
        <w:pStyle w:val="indexentry0"/>
      </w:pPr>
      <w:hyperlink w:anchor="section_6fbd8de94638407883b94c7a065baa9c">
        <w:r>
          <w:rPr>
            <w:rStyle w:val="Hyperlink"/>
          </w:rPr>
          <w:t>embedBold (Bold</w:t>
        </w:r>
        <w:r>
          <w:rPr>
            <w:rStyle w:val="Hyperlink"/>
          </w:rPr>
          <w:t xml:space="preserve"> Style Font Style Embedding)</w:t>
        </w:r>
      </w:hyperlink>
      <w:r>
        <w:t xml:space="preserve"> </w:t>
      </w:r>
      <w:r>
        <w:fldChar w:fldCharType="begin"/>
      </w:r>
      <w:r>
        <w:instrText>PAGEREF section_6fbd8de94638407883b94c7a065baa9c</w:instrText>
      </w:r>
      <w:r>
        <w:fldChar w:fldCharType="separate"/>
      </w:r>
      <w:r>
        <w:rPr>
          <w:noProof/>
        </w:rPr>
        <w:t>121</w:t>
      </w:r>
      <w:r>
        <w:fldChar w:fldCharType="end"/>
      </w:r>
    </w:p>
    <w:p w:rsidR="000A156F" w:rsidRDefault="00A9721F">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121</w:t>
      </w:r>
      <w:r>
        <w:fldChar w:fldCharType="end"/>
      </w:r>
    </w:p>
    <w:p w:rsidR="000A156F" w:rsidRDefault="00A9721F">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section_2c6688debe084ffaac5432d19ebc4ca3</w:instrText>
      </w:r>
      <w:r>
        <w:fldChar w:fldCharType="separate"/>
      </w:r>
      <w:r>
        <w:rPr>
          <w:noProof/>
        </w:rPr>
        <w:t>854</w:t>
      </w:r>
      <w:r>
        <w:fldChar w:fldCharType="end"/>
      </w:r>
    </w:p>
    <w:p w:rsidR="000A156F" w:rsidRDefault="00A9721F">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60</w:t>
      </w:r>
      <w:r>
        <w:fldChar w:fldCharType="end"/>
      </w:r>
    </w:p>
    <w:p w:rsidR="000A156F" w:rsidRDefault="00A9721F">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460</w:t>
      </w:r>
      <w:r>
        <w:fldChar w:fldCharType="end"/>
      </w:r>
    </w:p>
    <w:p w:rsidR="000A156F" w:rsidRDefault="00A9721F">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121</w:t>
      </w:r>
      <w:r>
        <w:fldChar w:fldCharType="end"/>
      </w:r>
    </w:p>
    <w:p w:rsidR="000A156F" w:rsidRDefault="00A9721F">
      <w:pPr>
        <w:pStyle w:val="indexentry0"/>
      </w:pPr>
      <w:hyperlink w:anchor="section_10b5df87a73f4b55ada6222da4780aba">
        <w:r>
          <w:rPr>
            <w:rStyle w:val="Hyperlink"/>
          </w:rPr>
          <w:t>embedRegular (Regular Font Style Embed</w:t>
        </w:r>
        <w:r>
          <w:rPr>
            <w:rStyle w:val="Hyperlink"/>
          </w:rPr>
          <w:t>ding)</w:t>
        </w:r>
      </w:hyperlink>
      <w:r>
        <w:t xml:space="preserve"> </w:t>
      </w:r>
      <w:r>
        <w:fldChar w:fldCharType="begin"/>
      </w:r>
      <w:r>
        <w:instrText>PAGEREF section_10b5df87a73f4b55ada6222da4780aba</w:instrText>
      </w:r>
      <w:r>
        <w:fldChar w:fldCharType="separate"/>
      </w:r>
      <w:r>
        <w:rPr>
          <w:noProof/>
        </w:rPr>
        <w:t>121</w:t>
      </w:r>
      <w:r>
        <w:fldChar w:fldCharType="end"/>
      </w:r>
    </w:p>
    <w:p w:rsidR="000A156F" w:rsidRDefault="00A9721F">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121</w:t>
      </w:r>
      <w:r>
        <w:fldChar w:fldCharType="end"/>
      </w:r>
    </w:p>
    <w:p w:rsidR="000A156F" w:rsidRDefault="00A9721F">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70</w:t>
      </w:r>
      <w:r>
        <w:fldChar w:fldCharType="end"/>
      </w:r>
    </w:p>
    <w:p w:rsidR="000A156F" w:rsidRDefault="00A9721F">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w:instrText>
      </w:r>
      <w:r>
        <w:instrText>c</w:instrText>
      </w:r>
      <w:r>
        <w:fldChar w:fldCharType="separate"/>
      </w:r>
      <w:r>
        <w:rPr>
          <w:noProof/>
        </w:rPr>
        <w:t>161</w:t>
      </w:r>
      <w:r>
        <w:fldChar w:fldCharType="end"/>
      </w:r>
    </w:p>
    <w:p w:rsidR="000A156F" w:rsidRDefault="00A9721F">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504</w:t>
      </w:r>
      <w:r>
        <w:fldChar w:fldCharType="end"/>
      </w:r>
    </w:p>
    <w:p w:rsidR="000A156F" w:rsidRDefault="00A9721F">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82</w:t>
      </w:r>
      <w:r>
        <w:fldChar w:fldCharType="end"/>
      </w:r>
    </w:p>
    <w:p w:rsidR="000A156F" w:rsidRDefault="00A9721F">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82</w:t>
      </w:r>
      <w:r>
        <w:fldChar w:fldCharType="end"/>
      </w:r>
    </w:p>
    <w:p w:rsidR="000A156F" w:rsidRDefault="00A9721F">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81</w:t>
      </w:r>
      <w:r>
        <w:fldChar w:fldCharType="end"/>
      </w:r>
    </w:p>
    <w:p w:rsidR="000A156F" w:rsidRDefault="00A9721F">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82</w:t>
      </w:r>
      <w:r>
        <w:fldChar w:fldCharType="end"/>
      </w:r>
    </w:p>
    <w:p w:rsidR="000A156F" w:rsidRDefault="00A9721F">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298</w:t>
      </w:r>
      <w:r>
        <w:fldChar w:fldCharType="end"/>
      </w:r>
    </w:p>
    <w:p w:rsidR="000A156F" w:rsidRDefault="00A9721F">
      <w:pPr>
        <w:pStyle w:val="indexentry0"/>
      </w:pPr>
      <w:hyperlink w:anchor="section_5e8ab39f0beb40b1bfb11aea60ce7e2b">
        <w:r>
          <w:rPr>
            <w:rStyle w:val="Hyperlink"/>
          </w:rPr>
          <w:t>endCxn (Connection End)</w:t>
        </w:r>
      </w:hyperlink>
      <w:r>
        <w:t xml:space="preserve"> </w:t>
      </w:r>
      <w:r>
        <w:fldChar w:fldCharType="begin"/>
      </w:r>
      <w:r>
        <w:instrText>PAGEREF section_5e8ab39f0</w:instrText>
      </w:r>
      <w:r>
        <w:instrText>beb40b1bfb11aea60ce7e2b</w:instrText>
      </w:r>
      <w:r>
        <w:fldChar w:fldCharType="separate"/>
      </w:r>
      <w:r>
        <w:rPr>
          <w:noProof/>
        </w:rPr>
        <w:t>496</w:t>
      </w:r>
      <w:r>
        <w:fldChar w:fldCharType="end"/>
      </w:r>
    </w:p>
    <w:p w:rsidR="000A156F" w:rsidRDefault="00A9721F">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127</w:t>
      </w:r>
      <w:r>
        <w:fldChar w:fldCharType="end"/>
      </w:r>
    </w:p>
    <w:p w:rsidR="000A156F" w:rsidRDefault="00A9721F">
      <w:pPr>
        <w:pStyle w:val="indexentry0"/>
      </w:pPr>
      <w:hyperlink w:anchor="section_35d669a8a0a04176acf26f206cac5d4d">
        <w:r>
          <w:rPr>
            <w:rStyle w:val="Hyperlink"/>
          </w:rPr>
          <w:t>endnote (Special Endnote Li</w:t>
        </w:r>
        <w:r>
          <w:rPr>
            <w:rStyle w:val="Hyperlink"/>
          </w:rPr>
          <w:t>st)</w:t>
        </w:r>
      </w:hyperlink>
      <w:r>
        <w:t xml:space="preserve"> </w:t>
      </w:r>
      <w:r>
        <w:fldChar w:fldCharType="begin"/>
      </w:r>
      <w:r>
        <w:instrText>PAGEREF section_35d669a8a0a04176acf26f206cac5d4d</w:instrText>
      </w:r>
      <w:r>
        <w:fldChar w:fldCharType="separate"/>
      </w:r>
      <w:r>
        <w:rPr>
          <w:noProof/>
        </w:rPr>
        <w:t>127</w:t>
      </w:r>
      <w:r>
        <w:fldChar w:fldCharType="end"/>
      </w:r>
    </w:p>
    <w:p w:rsidR="000A156F" w:rsidRDefault="00A9721F">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127</w:t>
      </w:r>
      <w:r>
        <w:fldChar w:fldCharType="end"/>
      </w:r>
    </w:p>
    <w:p w:rsidR="000A156F" w:rsidRDefault="00A9721F">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537</w:t>
      </w:r>
      <w:r>
        <w:fldChar w:fldCharType="end"/>
      </w:r>
    </w:p>
    <w:p w:rsidR="000A156F" w:rsidRDefault="00A9721F">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482</w:t>
      </w:r>
      <w:r>
        <w:fldChar w:fldCharType="end"/>
      </w:r>
    </w:p>
    <w:p w:rsidR="000A156F" w:rsidRDefault="00A9721F">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637</w:t>
      </w:r>
      <w:r>
        <w:fldChar w:fldCharType="end"/>
      </w:r>
    </w:p>
    <w:p w:rsidR="000A156F" w:rsidRDefault="00A9721F">
      <w:pPr>
        <w:pStyle w:val="indexentry0"/>
      </w:pPr>
      <w:hyperlink w:anchor="section_8f2b9c9aaf81400db9d2d86813102b3d">
        <w:r>
          <w:rPr>
            <w:rStyle w:val="Hyperlink"/>
          </w:rPr>
          <w:t>eqArr (Array Object)</w:t>
        </w:r>
      </w:hyperlink>
      <w:r>
        <w:t xml:space="preserve"> </w:t>
      </w:r>
      <w:r>
        <w:fldChar w:fldCharType="begin"/>
      </w:r>
      <w:r>
        <w:instrText>PAGEREF section_8f2b9c9aaf81400db9d2d86813102b3d</w:instrText>
      </w:r>
      <w:r>
        <w:fldChar w:fldCharType="separate"/>
      </w:r>
      <w:r>
        <w:rPr>
          <w:noProof/>
        </w:rPr>
        <w:t>603</w:t>
      </w:r>
      <w:r>
        <w:fldChar w:fldCharType="end"/>
      </w:r>
    </w:p>
    <w:p w:rsidR="000A156F" w:rsidRDefault="00A9721F">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421</w:t>
      </w:r>
      <w:r>
        <w:fldChar w:fldCharType="end"/>
      </w:r>
    </w:p>
    <w:p w:rsidR="000A156F" w:rsidRDefault="00A9721F">
      <w:pPr>
        <w:pStyle w:val="indexentry0"/>
      </w:pPr>
      <w:hyperlink w:anchor="section_b90dd1d8dd354137b8a059312734a7e2">
        <w:r>
          <w:rPr>
            <w:rStyle w:val="Hyperlink"/>
          </w:rPr>
          <w:t>ERFC</w:t>
        </w:r>
      </w:hyperlink>
      <w:r>
        <w:t xml:space="preserve"> </w:t>
      </w:r>
      <w:r>
        <w:fldChar w:fldCharType="begin"/>
      </w:r>
      <w:r>
        <w:instrText>PAGEREF section_b90dd1d8dd354137b8a059312734a7e2</w:instrText>
      </w:r>
      <w:r>
        <w:fldChar w:fldCharType="separate"/>
      </w:r>
      <w:r>
        <w:rPr>
          <w:noProof/>
        </w:rPr>
        <w:t>421</w:t>
      </w:r>
      <w:r>
        <w:fldChar w:fldCharType="end"/>
      </w:r>
    </w:p>
    <w:p w:rsidR="000A156F" w:rsidRDefault="00A9721F">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557</w:t>
      </w:r>
      <w:r>
        <w:fldChar w:fldCharType="end"/>
      </w:r>
    </w:p>
    <w:p w:rsidR="000A156F" w:rsidRDefault="00A9721F">
      <w:pPr>
        <w:pStyle w:val="indexentry0"/>
      </w:pPr>
      <w:hyperlink w:anchor="section_761c5fad51b2473984b9087b034ff117">
        <w:r>
          <w:rPr>
            <w:rStyle w:val="Hyperlink"/>
          </w:rPr>
          <w:t>errBarType (Error Bar Type)</w:t>
        </w:r>
      </w:hyperlink>
      <w:r>
        <w:t xml:space="preserve"> </w:t>
      </w:r>
      <w:r>
        <w:fldChar w:fldCharType="begin"/>
      </w:r>
      <w:r>
        <w:instrText>PAGEREF section_761c5fad51b2473984b9087b034ff117</w:instrText>
      </w:r>
      <w:r>
        <w:fldChar w:fldCharType="separate"/>
      </w:r>
      <w:r>
        <w:rPr>
          <w:noProof/>
        </w:rPr>
        <w:t>557</w:t>
      </w:r>
      <w:r>
        <w:fldChar w:fldCharType="end"/>
      </w:r>
    </w:p>
    <w:p w:rsidR="000A156F" w:rsidRDefault="00A9721F">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557</w:t>
      </w:r>
      <w:r>
        <w:fldChar w:fldCharType="end"/>
      </w:r>
    </w:p>
    <w:p w:rsidR="000A156F" w:rsidRDefault="00A9721F">
      <w:pPr>
        <w:pStyle w:val="indexentry0"/>
      </w:pPr>
      <w:hyperlink w:anchor="section_965edd08dd794418946b83294ec25770">
        <w:r>
          <w:rPr>
            <w:rStyle w:val="Hyperlink"/>
          </w:rPr>
          <w:t>Error values</w:t>
        </w:r>
      </w:hyperlink>
      <w:r>
        <w:t xml:space="preserve"> </w:t>
      </w:r>
      <w:r>
        <w:fldChar w:fldCharType="begin"/>
      </w:r>
      <w:r>
        <w:instrText>PAGEREF section_965edd08dd794418</w:instrText>
      </w:r>
      <w:r>
        <w:instrText>946b83294ec25770</w:instrText>
      </w:r>
      <w:r>
        <w:fldChar w:fldCharType="separate"/>
      </w:r>
      <w:r>
        <w:rPr>
          <w:noProof/>
        </w:rPr>
        <w:t>395</w:t>
      </w:r>
      <w:r>
        <w:fldChar w:fldCharType="end"/>
      </w:r>
    </w:p>
    <w:p w:rsidR="000A156F" w:rsidRDefault="00A9721F">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421</w:t>
      </w:r>
      <w:r>
        <w:fldChar w:fldCharType="end"/>
      </w:r>
    </w:p>
    <w:p w:rsidR="000A156F" w:rsidRDefault="00A9721F">
      <w:pPr>
        <w:pStyle w:val="indexentry0"/>
      </w:pPr>
      <w:hyperlink w:anchor="section_a8d73708564d4e71ba083b7b1f405ea8">
        <w:r>
          <w:rPr>
            <w:rStyle w:val="Hyperlink"/>
          </w:rPr>
          <w:t>errValType (Error Bar Value Type)</w:t>
        </w:r>
      </w:hyperlink>
      <w:r>
        <w:t xml:space="preserve"> </w:t>
      </w:r>
      <w:r>
        <w:fldChar w:fldCharType="begin"/>
      </w:r>
      <w:r>
        <w:instrText>PAGEREF secti</w:instrText>
      </w:r>
      <w:r>
        <w:instrText>on_a8d73708564d4e71ba083b7b1f405ea8</w:instrText>
      </w:r>
      <w:r>
        <w:fldChar w:fldCharType="separate"/>
      </w:r>
      <w:r>
        <w:rPr>
          <w:noProof/>
        </w:rPr>
        <w:t>557</w:t>
      </w:r>
      <w:r>
        <w:fldChar w:fldCharType="end"/>
      </w:r>
    </w:p>
    <w:p w:rsidR="000A156F" w:rsidRDefault="00A9721F">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126</w:t>
      </w:r>
      <w:r>
        <w:fldChar w:fldCharType="end"/>
      </w:r>
    </w:p>
    <w:p w:rsidR="000A156F" w:rsidRDefault="00A9721F">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558</w:t>
      </w:r>
      <w:r>
        <w:fldChar w:fldCharType="end"/>
      </w:r>
    </w:p>
    <w:p w:rsidR="000A156F" w:rsidRDefault="00A9721F">
      <w:pPr>
        <w:pStyle w:val="indexentry0"/>
      </w:pPr>
      <w:hyperlink w:anchor="section_7843ab18de4c4bf18c84b20a414d6e4f">
        <w:r>
          <w:rPr>
            <w:rStyle w:val="Hyperlink"/>
          </w:rPr>
          <w:t>evenFooter (Even Page Footer)</w:t>
        </w:r>
      </w:hyperlink>
      <w:r>
        <w:t xml:space="preserve"> </w:t>
      </w:r>
      <w:r>
        <w:fldChar w:fldCharType="begin"/>
      </w:r>
      <w:r>
        <w:instrText>PAGEREF section_7843ab1</w:instrText>
      </w:r>
      <w:r>
        <w:instrText>8de4c4bf18c84b20a414d6e4f</w:instrText>
      </w:r>
      <w:r>
        <w:fldChar w:fldCharType="separate"/>
      </w:r>
      <w:r>
        <w:rPr>
          <w:noProof/>
        </w:rPr>
        <w:t>257</w:t>
      </w:r>
      <w:r>
        <w:fldChar w:fldCharType="end"/>
      </w:r>
    </w:p>
    <w:p w:rsidR="000A156F" w:rsidRDefault="00A9721F">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558</w:t>
      </w:r>
      <w:r>
        <w:fldChar w:fldCharType="end"/>
      </w:r>
    </w:p>
    <w:p w:rsidR="000A156F" w:rsidRDefault="00A9721F">
      <w:pPr>
        <w:pStyle w:val="indexentry0"/>
      </w:pPr>
      <w:hyperlink w:anchor="section_c167a24345ad4def816e7032fb1adf5c">
        <w:r>
          <w:rPr>
            <w:rStyle w:val="Hyperlink"/>
          </w:rPr>
          <w:t>evenHeader (Even Page Head</w:t>
        </w:r>
        <w:r>
          <w:rPr>
            <w:rStyle w:val="Hyperlink"/>
          </w:rPr>
          <w:t>er)</w:t>
        </w:r>
      </w:hyperlink>
      <w:r>
        <w:t xml:space="preserve"> </w:t>
      </w:r>
      <w:r>
        <w:fldChar w:fldCharType="begin"/>
      </w:r>
      <w:r>
        <w:instrText>PAGEREF section_c167a24345ad4def816e7032fb1adf5c</w:instrText>
      </w:r>
      <w:r>
        <w:fldChar w:fldCharType="separate"/>
      </w:r>
      <w:r>
        <w:rPr>
          <w:noProof/>
        </w:rPr>
        <w:t>258</w:t>
      </w:r>
      <w:r>
        <w:fldChar w:fldCharType="end"/>
      </w:r>
    </w:p>
    <w:p w:rsidR="000A156F" w:rsidRDefault="00A9721F">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839</w:t>
      </w:r>
      <w:r>
        <w:fldChar w:fldCharType="end"/>
      </w:r>
    </w:p>
    <w:p w:rsidR="000A156F" w:rsidRDefault="00A9721F">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839</w:t>
      </w:r>
      <w:r>
        <w:fldChar w:fldCharType="end"/>
      </w:r>
    </w:p>
    <w:p w:rsidR="000A156F" w:rsidRDefault="00A9721F">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482</w:t>
      </w:r>
      <w:r>
        <w:fldChar w:fldCharType="end"/>
      </w:r>
    </w:p>
    <w:p w:rsidR="000A156F" w:rsidRDefault="00A9721F">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558</w:t>
      </w:r>
      <w:r>
        <w:fldChar w:fldCharType="end"/>
      </w:r>
    </w:p>
    <w:p w:rsidR="000A156F" w:rsidRDefault="00A9721F">
      <w:pPr>
        <w:pStyle w:val="indexentry0"/>
      </w:pPr>
      <w:r>
        <w:t>ext (Extension) (</w:t>
      </w:r>
      <w:hyperlink w:anchor="section_acddb526fd6c4835a83cbdc9f0924045">
        <w:r>
          <w:rPr>
            <w:rStyle w:val="Hyperlink"/>
          </w:rPr>
          <w:t>section 2.1.570</w:t>
        </w:r>
      </w:hyperlink>
      <w:r>
        <w:t xml:space="preserve"> </w:t>
      </w:r>
      <w:r>
        <w:fldChar w:fldCharType="begin"/>
      </w:r>
      <w:r>
        <w:instrText>PAGEREF section_acddb526fd6c4835a83cbdc9f0924045</w:instrText>
      </w:r>
      <w:r>
        <w:fldChar w:fldCharType="separate"/>
      </w:r>
      <w:r>
        <w:rPr>
          <w:noProof/>
        </w:rPr>
        <w:t>239</w:t>
      </w:r>
      <w:r>
        <w:fldChar w:fldCharType="end"/>
      </w:r>
      <w:r>
        <w:t xml:space="preserve">, </w:t>
      </w:r>
      <w:hyperlink w:anchor="section_5d37fa53ccfe40c2b255c6aecc584a0f">
        <w:r>
          <w:rPr>
            <w:rStyle w:val="Hyperlink"/>
          </w:rPr>
          <w:t>section 2.1.1101</w:t>
        </w:r>
      </w:hyperlink>
      <w:r>
        <w:t xml:space="preserve"> </w:t>
      </w:r>
      <w:r>
        <w:fldChar w:fldCharType="begin"/>
      </w:r>
      <w:r>
        <w:instrText>PAGEREF section_5d37fa53ccfe40c2b255c6aecc584a0f</w:instrText>
      </w:r>
      <w:r>
        <w:fldChar w:fldCharType="separate"/>
      </w:r>
      <w:r>
        <w:rPr>
          <w:noProof/>
        </w:rPr>
        <w:t>460</w:t>
      </w:r>
      <w:r>
        <w:fldChar w:fldCharType="end"/>
      </w:r>
      <w:r>
        <w:t xml:space="preserve">, </w:t>
      </w:r>
      <w:hyperlink w:anchor="section_eb76ce70bb7c4714b266be157ebbf2a3">
        <w:r>
          <w:rPr>
            <w:rStyle w:val="Hyperlink"/>
          </w:rPr>
          <w:t>section 2.1.1206</w:t>
        </w:r>
      </w:hyperlink>
      <w:r>
        <w:t xml:space="preserve"> </w:t>
      </w:r>
      <w:r>
        <w:fldChar w:fldCharType="begin"/>
      </w:r>
      <w:r>
        <w:instrText>PAGEREF section_eb76ce70bb7c4714b266be157ebbf2a3</w:instrText>
      </w:r>
      <w:r>
        <w:fldChar w:fldCharType="separate"/>
      </w:r>
      <w:r>
        <w:rPr>
          <w:noProof/>
        </w:rPr>
        <w:t>496</w:t>
      </w:r>
      <w:r>
        <w:fldChar w:fldCharType="end"/>
      </w:r>
      <w:r>
        <w:t>)</w:t>
      </w:r>
    </w:p>
    <w:p w:rsidR="000A156F" w:rsidRDefault="00A9721F">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512</w:t>
      </w:r>
      <w:r>
        <w:fldChar w:fldCharType="end"/>
      </w:r>
    </w:p>
    <w:p w:rsidR="000A156F" w:rsidRDefault="00A9721F">
      <w:pPr>
        <w:pStyle w:val="indexentry0"/>
      </w:pPr>
      <w:r>
        <w:t>ext (Shape Extent) (</w:t>
      </w:r>
      <w:hyperlink w:anchor="section_d0cb27de1bb348c392d04ce443c8073a">
        <w:r>
          <w:rPr>
            <w:rStyle w:val="Hyperlink"/>
          </w:rPr>
          <w:t>section 2.1.1364</w:t>
        </w:r>
      </w:hyperlink>
      <w:r>
        <w:t xml:space="preserve"> </w:t>
      </w:r>
      <w:r>
        <w:fldChar w:fldCharType="begin"/>
      </w:r>
      <w:r>
        <w:instrText>PAGEREF section_d0cb27de1bb348c392d04ce443c8073a</w:instrText>
      </w:r>
      <w:r>
        <w:fldChar w:fldCharType="separate"/>
      </w:r>
      <w:r>
        <w:rPr>
          <w:noProof/>
        </w:rPr>
        <w:t>533</w:t>
      </w:r>
      <w:r>
        <w:fldChar w:fldCharType="end"/>
      </w:r>
      <w:r>
        <w:t xml:space="preserve">, </w:t>
      </w:r>
      <w:hyperlink w:anchor="section_0e03e978d5d44dc1b3ada77bbb361cfe">
        <w:r>
          <w:rPr>
            <w:rStyle w:val="Hyperlink"/>
          </w:rPr>
          <w:t>section 2.1.1604</w:t>
        </w:r>
      </w:hyperlink>
      <w:r>
        <w:t xml:space="preserve"> </w:t>
      </w:r>
      <w:r>
        <w:fldChar w:fldCharType="begin"/>
      </w:r>
      <w:r>
        <w:instrText>PAGEREF section_0e03e978d5d44dc1b3ada77bbb361cfe</w:instrText>
      </w:r>
      <w:r>
        <w:fldChar w:fldCharType="separate"/>
      </w:r>
      <w:r>
        <w:rPr>
          <w:noProof/>
        </w:rPr>
        <w:t>587</w:t>
      </w:r>
      <w:r>
        <w:fldChar w:fldCharType="end"/>
      </w:r>
      <w:r>
        <w:t>)</w:t>
      </w:r>
    </w:p>
    <w:p w:rsidR="000A156F" w:rsidRDefault="00A9721F">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532</w:t>
      </w:r>
      <w:r>
        <w:fldChar w:fldCharType="end"/>
      </w:r>
    </w:p>
    <w:p w:rsidR="000A156F" w:rsidRDefault="00A9721F">
      <w:pPr>
        <w:pStyle w:val="indexentry0"/>
      </w:pPr>
      <w:hyperlink w:anchor="section_8a1616b2936d416fa5dee155de223008">
        <w:r>
          <w:rPr>
            <w:rStyle w:val="Hyperlink"/>
          </w:rPr>
          <w:t>External Name Formulas</w:t>
        </w:r>
      </w:hyperlink>
      <w:r>
        <w:t xml:space="preserve"> </w:t>
      </w:r>
      <w:r>
        <w:fldChar w:fldCharType="begin"/>
      </w:r>
      <w:r>
        <w:instrText>PAGEREF section_8a1616b2936d416fa5dee155de223008</w:instrText>
      </w:r>
      <w:r>
        <w:fldChar w:fldCharType="separate"/>
      </w:r>
      <w:r>
        <w:rPr>
          <w:noProof/>
        </w:rPr>
        <w:t>849</w:t>
      </w:r>
      <w:r>
        <w:fldChar w:fldCharType="end"/>
      </w:r>
    </w:p>
    <w:p w:rsidR="000A156F" w:rsidRDefault="00A9721F">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52</w:t>
      </w:r>
      <w:r>
        <w:fldChar w:fldCharType="end"/>
      </w:r>
    </w:p>
    <w:p w:rsidR="000A156F" w:rsidRDefault="00A9721F">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w:instrText>
      </w:r>
      <w:r>
        <w:instrText>acb98f767dd91</w:instrText>
      </w:r>
      <w:r>
        <w:fldChar w:fldCharType="separate"/>
      </w:r>
      <w:r>
        <w:rPr>
          <w:noProof/>
        </w:rPr>
        <w:t>558</w:t>
      </w:r>
      <w:r>
        <w:fldChar w:fldCharType="end"/>
      </w:r>
    </w:p>
    <w:p w:rsidR="000A156F" w:rsidRDefault="00A9721F">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381</w:t>
      </w:r>
      <w:r>
        <w:fldChar w:fldCharType="end"/>
      </w:r>
    </w:p>
    <w:p w:rsidR="000A156F" w:rsidRDefault="00A9721F">
      <w:pPr>
        <w:pStyle w:val="indexentry0"/>
      </w:pPr>
      <w:hyperlink w:anchor="section_5cc825ef81d54aae9f101106494252e6">
        <w:r>
          <w:rPr>
            <w:rStyle w:val="Hyperlink"/>
          </w:rPr>
          <w:t xml:space="preserve">externalReferences (External </w:t>
        </w:r>
        <w:r>
          <w:rPr>
            <w:rStyle w:val="Hyperlink"/>
          </w:rPr>
          <w:t>References)</w:t>
        </w:r>
      </w:hyperlink>
      <w:r>
        <w:t xml:space="preserve"> </w:t>
      </w:r>
      <w:r>
        <w:fldChar w:fldCharType="begin"/>
      </w:r>
      <w:r>
        <w:instrText>PAGEREF section_5cc825ef81d54aae9f101106494252e6</w:instrText>
      </w:r>
      <w:r>
        <w:fldChar w:fldCharType="separate"/>
      </w:r>
      <w:r>
        <w:rPr>
          <w:noProof/>
        </w:rPr>
        <w:t>239</w:t>
      </w:r>
      <w:r>
        <w:fldChar w:fldCharType="end"/>
      </w:r>
    </w:p>
    <w:p w:rsidR="000A156F" w:rsidRDefault="00A9721F">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590</w:t>
      </w:r>
      <w:r>
        <w:fldChar w:fldCharType="end"/>
      </w:r>
    </w:p>
    <w:p w:rsidR="000A156F" w:rsidRDefault="00A9721F">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672</w:t>
      </w:r>
      <w:r>
        <w:fldChar w:fldCharType="end"/>
      </w:r>
    </w:p>
    <w:p w:rsidR="000A156F" w:rsidRDefault="00A9721F">
      <w:pPr>
        <w:pStyle w:val="indexentry0"/>
      </w:pPr>
      <w:hyperlink w:anchor="section_eafb568b9dd04f2ea337b163dc1080df">
        <w:r>
          <w:rPr>
            <w:rStyle w:val="Hyperlink"/>
          </w:rPr>
          <w:t>extrusionClr (Extrusion Color)</w:t>
        </w:r>
      </w:hyperlink>
      <w:r>
        <w:t xml:space="preserve"> </w:t>
      </w:r>
      <w:r>
        <w:fldChar w:fldCharType="begin"/>
      </w:r>
      <w:r>
        <w:instrText>PAGEREF section_eafb56</w:instrText>
      </w:r>
      <w:r>
        <w:instrText>8b9dd04f2ea337b163dc1080df</w:instrText>
      </w:r>
      <w:r>
        <w:fldChar w:fldCharType="separate"/>
      </w:r>
      <w:r>
        <w:rPr>
          <w:noProof/>
        </w:rPr>
        <w:t>508</w:t>
      </w:r>
      <w:r>
        <w:fldChar w:fldCharType="end"/>
      </w:r>
    </w:p>
    <w:p w:rsidR="000A156F" w:rsidRDefault="000A156F">
      <w:pPr>
        <w:spacing w:before="0" w:after="0"/>
        <w:rPr>
          <w:sz w:val="16"/>
        </w:rPr>
      </w:pPr>
    </w:p>
    <w:p w:rsidR="000A156F" w:rsidRDefault="00A9721F">
      <w:pPr>
        <w:pStyle w:val="indexheader"/>
      </w:pPr>
      <w:r>
        <w:t>F</w:t>
      </w:r>
    </w:p>
    <w:p w:rsidR="000A156F" w:rsidRDefault="000A156F">
      <w:pPr>
        <w:spacing w:before="0" w:after="0"/>
        <w:rPr>
          <w:sz w:val="16"/>
        </w:rPr>
      </w:pPr>
    </w:p>
    <w:p w:rsidR="000A156F" w:rsidRDefault="00A9721F">
      <w:pPr>
        <w:pStyle w:val="indexentry0"/>
      </w:pPr>
      <w:r>
        <w:t>f (Formula) (</w:t>
      </w:r>
      <w:hyperlink w:anchor="section_b5d1f58cb1a14fcdaaa0ee7f4e8af9de">
        <w:r>
          <w:rPr>
            <w:rStyle w:val="Hyperlink"/>
          </w:rPr>
          <w:t>section 2.1.620</w:t>
        </w:r>
      </w:hyperlink>
      <w:r>
        <w:t xml:space="preserve"> </w:t>
      </w:r>
      <w:r>
        <w:fldChar w:fldCharType="begin"/>
      </w:r>
      <w:r>
        <w:instrText>PAGEREF section_b5d1f58cb1a14fcdaaa0ee7f4e8af9de</w:instrText>
      </w:r>
      <w:r>
        <w:fldChar w:fldCharType="separate"/>
      </w:r>
      <w:r>
        <w:rPr>
          <w:noProof/>
        </w:rPr>
        <w:t>260</w:t>
      </w:r>
      <w:r>
        <w:fldChar w:fldCharType="end"/>
      </w:r>
      <w:r>
        <w:t xml:space="preserve">, </w:t>
      </w:r>
      <w:hyperlink w:anchor="section_49f95e2f04914f4cb552091b1fb6d822">
        <w:r>
          <w:rPr>
            <w:rStyle w:val="Hyperlink"/>
          </w:rPr>
          <w:t>section 2.1.1467</w:t>
        </w:r>
      </w:hyperlink>
      <w:r>
        <w:t xml:space="preserve"> </w:t>
      </w:r>
      <w:r>
        <w:fldChar w:fldCharType="begin"/>
      </w:r>
      <w:r>
        <w:instrText>PAGEREF section_49f95e2f04914f4cb552091b1fb6d822</w:instrText>
      </w:r>
      <w:r>
        <w:fldChar w:fldCharType="separate"/>
      </w:r>
      <w:r>
        <w:rPr>
          <w:noProof/>
        </w:rPr>
        <w:t>558</w:t>
      </w:r>
      <w:r>
        <w:fldChar w:fldCharType="end"/>
      </w:r>
      <w:r>
        <w:t>)</w:t>
      </w:r>
    </w:p>
    <w:p w:rsidR="000A156F" w:rsidRDefault="00A9721F">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603</w:t>
      </w:r>
      <w:r>
        <w:fldChar w:fldCharType="end"/>
      </w:r>
    </w:p>
    <w:p w:rsidR="000A156F" w:rsidRDefault="00A9721F">
      <w:pPr>
        <w:pStyle w:val="indexentry0"/>
      </w:pPr>
      <w:hyperlink w:anchor="section_d0bb89e5efb44aeab0185307847172e1">
        <w:r>
          <w:rPr>
            <w:rStyle w:val="Hyperlink"/>
          </w:rPr>
          <w:t>f (S</w:t>
        </w:r>
        <w:r>
          <w:rPr>
            <w:rStyle w:val="Hyperlink"/>
          </w:rPr>
          <w:t>ingle Formula)</w:t>
        </w:r>
      </w:hyperlink>
      <w:r>
        <w:t xml:space="preserve"> </w:t>
      </w:r>
      <w:r>
        <w:fldChar w:fldCharType="begin"/>
      </w:r>
      <w:r>
        <w:instrText>PAGEREF section_d0bb89e5efb44aeab0185307847172e1</w:instrText>
      </w:r>
      <w:r>
        <w:fldChar w:fldCharType="separate"/>
      </w:r>
      <w:r>
        <w:rPr>
          <w:noProof/>
        </w:rPr>
        <w:t>648</w:t>
      </w:r>
      <w:r>
        <w:fldChar w:fldCharType="end"/>
      </w:r>
    </w:p>
    <w:p w:rsidR="000A156F" w:rsidRDefault="00A9721F">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121</w:t>
      </w:r>
      <w:r>
        <w:fldChar w:fldCharType="end"/>
      </w:r>
      <w:r>
        <w:t xml:space="preserve">, </w:t>
      </w:r>
      <w:hyperlink w:anchor="section_2b2b6126757449f8bbcf6335bb1f7026">
        <w:r>
          <w:rPr>
            <w:rStyle w:val="Hyperlink"/>
          </w:rPr>
          <w:t>section 2.1.703</w:t>
        </w:r>
      </w:hyperlink>
      <w:r>
        <w:t xml:space="preserve"> </w:t>
      </w:r>
      <w:r>
        <w:fldChar w:fldCharType="begin"/>
      </w:r>
      <w:r>
        <w:instrText>PAGEREF section_2b2b6126757449f8bbcf6335bb1f7026</w:instrText>
      </w:r>
      <w:r>
        <w:fldChar w:fldCharType="separate"/>
      </w:r>
      <w:r>
        <w:rPr>
          <w:noProof/>
        </w:rPr>
        <w:t>298</w:t>
      </w:r>
      <w:r>
        <w:fldChar w:fldCharType="end"/>
      </w:r>
      <w:r>
        <w:t>)</w:t>
      </w:r>
    </w:p>
    <w:p w:rsidR="000A156F" w:rsidRDefault="00A9721F">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702</w:t>
      </w:r>
      <w:r>
        <w:fldChar w:fldCharType="end"/>
      </w:r>
    </w:p>
    <w:p w:rsidR="000A156F" w:rsidRDefault="00A9721F">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225</w:t>
      </w:r>
      <w:r>
        <w:fldChar w:fldCharType="end"/>
      </w:r>
    </w:p>
    <w:p w:rsidR="000A156F" w:rsidRDefault="00A9721F">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298</w:t>
      </w:r>
      <w:r>
        <w:fldChar w:fldCharType="end"/>
      </w:r>
    </w:p>
    <w:p w:rsidR="000A156F" w:rsidRDefault="00A9721F">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142</w:t>
      </w:r>
      <w:r>
        <w:fldChar w:fldCharType="end"/>
      </w:r>
    </w:p>
    <w:p w:rsidR="000A156F" w:rsidRDefault="00A9721F">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334</w:t>
      </w:r>
      <w:r>
        <w:fldChar w:fldCharType="end"/>
      </w:r>
    </w:p>
    <w:p w:rsidR="000A156F" w:rsidRDefault="00A9721F">
      <w:pPr>
        <w:pStyle w:val="indexentry0"/>
      </w:pPr>
      <w:hyperlink w:anchor="section_093a3ca886ad4a0d89216b37ba1d2ce1">
        <w:r>
          <w:rPr>
            <w:rStyle w:val="Hyperlink"/>
          </w:rPr>
          <w:t xml:space="preserve">FieldCodes </w:t>
        </w:r>
        <w:r>
          <w:rPr>
            <w:rStyle w:val="Hyperlink"/>
          </w:rPr>
          <w:t>(WordprocessingML Field Switches)</w:t>
        </w:r>
      </w:hyperlink>
      <w:r>
        <w:t xml:space="preserve"> </w:t>
      </w:r>
      <w:r>
        <w:fldChar w:fldCharType="begin"/>
      </w:r>
      <w:r>
        <w:instrText>PAGEREF section_093a3ca886ad4a0d89216b37ba1d2ce1</w:instrText>
      </w:r>
      <w:r>
        <w:fldChar w:fldCharType="separate"/>
      </w:r>
      <w:r>
        <w:rPr>
          <w:noProof/>
        </w:rPr>
        <w:t>674</w:t>
      </w:r>
      <w:r>
        <w:fldChar w:fldCharType="end"/>
      </w:r>
    </w:p>
    <w:p w:rsidR="000A156F" w:rsidRDefault="00A9721F">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334</w:t>
      </w:r>
      <w:r>
        <w:fldChar w:fldCharType="end"/>
      </w:r>
    </w:p>
    <w:p w:rsidR="000A156F" w:rsidRDefault="00A9721F">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142</w:t>
      </w:r>
      <w:r>
        <w:fldChar w:fldCharType="end"/>
      </w:r>
    </w:p>
    <w:p w:rsidR="000A156F" w:rsidRDefault="00A9721F">
      <w:pPr>
        <w:pStyle w:val="indexentry0"/>
      </w:pPr>
      <w:hyperlink w:anchor="section_e3e39bfa42ef489a95f05a5b79682144">
        <w:r>
          <w:rPr>
            <w:rStyle w:val="Hyperlink"/>
          </w:rPr>
          <w:t>fieldsUsage (Fields Usage)</w:t>
        </w:r>
      </w:hyperlink>
      <w:r>
        <w:t xml:space="preserve"> </w:t>
      </w:r>
      <w:r>
        <w:fldChar w:fldCharType="begin"/>
      </w:r>
      <w:r>
        <w:instrText>PAGEREF s</w:instrText>
      </w:r>
      <w:r>
        <w:instrText>ection_e3e39bfa42ef489a95f05a5b79682144</w:instrText>
      </w:r>
      <w:r>
        <w:fldChar w:fldCharType="separate"/>
      </w:r>
      <w:r>
        <w:rPr>
          <w:noProof/>
        </w:rPr>
        <w:t>334</w:t>
      </w:r>
      <w:r>
        <w:fldChar w:fldCharType="end"/>
      </w:r>
    </w:p>
    <w:p w:rsidR="000A156F" w:rsidRDefault="00A9721F">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335</w:t>
      </w:r>
      <w:r>
        <w:fldChar w:fldCharType="end"/>
      </w:r>
    </w:p>
    <w:p w:rsidR="000A156F" w:rsidRDefault="00A9721F">
      <w:pPr>
        <w:pStyle w:val="indexentry0"/>
      </w:pPr>
      <w:hyperlink w:anchor="section_784e4943f18a405e8483182e618231a2">
        <w:r>
          <w:rPr>
            <w:rStyle w:val="Hyperlink"/>
          </w:rPr>
          <w:t>FILE</w:t>
        </w:r>
        <w:r>
          <w:rPr>
            <w:rStyle w:val="Hyperlink"/>
          </w:rPr>
          <w:t>NAME</w:t>
        </w:r>
      </w:hyperlink>
      <w:r>
        <w:t xml:space="preserve"> </w:t>
      </w:r>
      <w:r>
        <w:fldChar w:fldCharType="begin"/>
      </w:r>
      <w:r>
        <w:instrText>PAGEREF section_784e4943f18a405e8483182e618231a2</w:instrText>
      </w:r>
      <w:r>
        <w:fldChar w:fldCharType="separate"/>
      </w:r>
      <w:r>
        <w:rPr>
          <w:noProof/>
        </w:rPr>
        <w:t>213</w:t>
      </w:r>
      <w:r>
        <w:fldChar w:fldCharType="end"/>
      </w:r>
    </w:p>
    <w:p w:rsidR="000A156F" w:rsidRDefault="00A9721F">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240</w:t>
      </w:r>
      <w:r>
        <w:fldChar w:fldCharType="end"/>
      </w:r>
    </w:p>
    <w:p w:rsidR="000A156F" w:rsidRDefault="00A9721F">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240</w:t>
      </w:r>
      <w:r>
        <w:fldChar w:fldCharType="end"/>
      </w:r>
    </w:p>
    <w:p w:rsidR="000A156F" w:rsidRDefault="00A9721F">
      <w:pPr>
        <w:pStyle w:val="indexentry0"/>
      </w:pPr>
      <w:hyperlink w:anchor="section_25aa9afa28e246f0871e6dfdff199b11">
        <w:r>
          <w:rPr>
            <w:rStyle w:val="Hyperlink"/>
          </w:rPr>
          <w:t>FILESIZE</w:t>
        </w:r>
      </w:hyperlink>
      <w:r>
        <w:t xml:space="preserve"> </w:t>
      </w:r>
      <w:r>
        <w:fldChar w:fldCharType="begin"/>
      </w:r>
      <w:r>
        <w:instrText>PAGEREF section_25aa9afa28e246f0871e6dfdff</w:instrText>
      </w:r>
      <w:r>
        <w:instrText>199b11</w:instrText>
      </w:r>
      <w:r>
        <w:fldChar w:fldCharType="separate"/>
      </w:r>
      <w:r>
        <w:rPr>
          <w:noProof/>
        </w:rPr>
        <w:t>213</w:t>
      </w:r>
      <w:r>
        <w:fldChar w:fldCharType="end"/>
      </w:r>
    </w:p>
    <w:p w:rsidR="000A156F" w:rsidRDefault="00A9721F">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618</w:t>
      </w:r>
      <w:r>
        <w:fldChar w:fldCharType="end"/>
      </w:r>
    </w:p>
    <w:p w:rsidR="000A156F" w:rsidRDefault="00A9721F">
      <w:pPr>
        <w:pStyle w:val="indexentry0"/>
      </w:pPr>
      <w:hyperlink w:anchor="section_d27109432add493cb42a58667e060146">
        <w:r>
          <w:rPr>
            <w:rStyle w:val="Hyperlink"/>
          </w:rPr>
          <w:t>fileVersion (File Version)</w:t>
        </w:r>
      </w:hyperlink>
      <w:r>
        <w:t xml:space="preserve"> </w:t>
      </w:r>
      <w:r>
        <w:fldChar w:fldCharType="begin"/>
      </w:r>
      <w:r>
        <w:instrText>PAGEREF section_d271</w:instrText>
      </w:r>
      <w:r>
        <w:instrText>09432add493cb42a58667e060146</w:instrText>
      </w:r>
      <w:r>
        <w:fldChar w:fldCharType="separate"/>
      </w:r>
      <w:r>
        <w:rPr>
          <w:noProof/>
        </w:rPr>
        <w:t>242</w:t>
      </w:r>
      <w:r>
        <w:fldChar w:fldCharType="end"/>
      </w:r>
    </w:p>
    <w:p w:rsidR="000A156F" w:rsidRDefault="00A9721F">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506</w:t>
      </w:r>
      <w:r>
        <w:fldChar w:fldCharType="end"/>
      </w:r>
    </w:p>
    <w:p w:rsidR="000A156F" w:rsidRDefault="00A9721F">
      <w:pPr>
        <w:pStyle w:val="indexentry0"/>
      </w:pPr>
      <w:hyperlink w:anchor="section_88fe143befc34d2394b1bf137c015388">
        <w:r>
          <w:rPr>
            <w:rStyle w:val="Hyperlink"/>
          </w:rPr>
          <w:t>fill (Shape Fill Extended Properties</w:t>
        </w:r>
        <w:r>
          <w:rPr>
            <w:rStyle w:val="Hyperlink"/>
          </w:rPr>
          <w:t>)</w:t>
        </w:r>
      </w:hyperlink>
      <w:r>
        <w:t xml:space="preserve"> </w:t>
      </w:r>
      <w:r>
        <w:fldChar w:fldCharType="begin"/>
      </w:r>
      <w:r>
        <w:instrText>PAGEREF section_88fe143befc34d2394b1bf137c015388</w:instrText>
      </w:r>
      <w:r>
        <w:fldChar w:fldCharType="separate"/>
      </w:r>
      <w:r>
        <w:rPr>
          <w:noProof/>
        </w:rPr>
        <w:t>674</w:t>
      </w:r>
      <w:r>
        <w:fldChar w:fldCharType="end"/>
      </w:r>
    </w:p>
    <w:p w:rsidR="000A156F" w:rsidRDefault="00A9721F">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648</w:t>
      </w:r>
      <w:r>
        <w:fldChar w:fldCharType="end"/>
      </w:r>
    </w:p>
    <w:p w:rsidR="000A156F" w:rsidRDefault="00A9721F">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592</w:t>
      </w:r>
      <w:r>
        <w:fldChar w:fldCharType="end"/>
      </w:r>
    </w:p>
    <w:p w:rsidR="000A156F" w:rsidRDefault="00A9721F">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298</w:t>
      </w:r>
      <w:r>
        <w:fldChar w:fldCharType="end"/>
      </w:r>
    </w:p>
    <w:p w:rsidR="000A156F" w:rsidRDefault="00A9721F">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516</w:t>
      </w:r>
      <w:r>
        <w:fldChar w:fldCharType="end"/>
      </w:r>
    </w:p>
    <w:p w:rsidR="000A156F" w:rsidRDefault="00A9721F">
      <w:pPr>
        <w:pStyle w:val="indexentry0"/>
      </w:pPr>
      <w:hyperlink w:anchor="section_2d4504f3c3044e20b7542e0595c1d917">
        <w:r>
          <w:rPr>
            <w:rStyle w:val="Hyperlink"/>
          </w:rPr>
          <w:t>filter (Filter)</w:t>
        </w:r>
      </w:hyperlink>
      <w:r>
        <w:t xml:space="preserve"> </w:t>
      </w:r>
      <w:r>
        <w:fldChar w:fldCharType="begin"/>
      </w:r>
      <w:r>
        <w:instrText>PAGEREF section_2d4504f3c3044e2</w:instrText>
      </w:r>
      <w:r>
        <w:instrText>0b7542e0595c1d917</w:instrText>
      </w:r>
      <w:r>
        <w:fldChar w:fldCharType="separate"/>
      </w:r>
      <w:r>
        <w:rPr>
          <w:noProof/>
        </w:rPr>
        <w:t>288</w:t>
      </w:r>
      <w:r>
        <w:fldChar w:fldCharType="end"/>
      </w:r>
    </w:p>
    <w:p w:rsidR="000A156F" w:rsidRDefault="00A9721F">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335</w:t>
      </w:r>
      <w:r>
        <w:fldChar w:fldCharType="end"/>
      </w:r>
    </w:p>
    <w:p w:rsidR="000A156F" w:rsidRDefault="00A9721F">
      <w:pPr>
        <w:pStyle w:val="indexentry0"/>
      </w:pPr>
      <w:hyperlink w:anchor="section_fa72fc954ca54476bce45d0b756e667d">
        <w:r>
          <w:rPr>
            <w:rStyle w:val="Hyperlink"/>
          </w:rPr>
          <w:t>filterColumn (AutoFilte</w:t>
        </w:r>
        <w:r>
          <w:rPr>
            <w:rStyle w:val="Hyperlink"/>
          </w:rPr>
          <w:t>r Column)</w:t>
        </w:r>
      </w:hyperlink>
      <w:r>
        <w:t xml:space="preserve"> </w:t>
      </w:r>
      <w:r>
        <w:fldChar w:fldCharType="begin"/>
      </w:r>
      <w:r>
        <w:instrText>PAGEREF section_fa72fc954ca54476bce45d0b756e667d</w:instrText>
      </w:r>
      <w:r>
        <w:fldChar w:fldCharType="separate"/>
      </w:r>
      <w:r>
        <w:rPr>
          <w:noProof/>
        </w:rPr>
        <w:t>288</w:t>
      </w:r>
      <w:r>
        <w:fldChar w:fldCharType="end"/>
      </w:r>
    </w:p>
    <w:p w:rsidR="000A156F" w:rsidRDefault="00A9721F">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288</w:t>
      </w:r>
      <w:r>
        <w:fldChar w:fldCharType="end"/>
      </w:r>
    </w:p>
    <w:p w:rsidR="000A156F" w:rsidRDefault="00A9721F">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421</w:t>
      </w:r>
      <w:r>
        <w:fldChar w:fldCharType="end"/>
      </w:r>
    </w:p>
    <w:p w:rsidR="000A156F" w:rsidRDefault="00A9721F">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422</w:t>
      </w:r>
      <w:r>
        <w:fldChar w:fldCharType="end"/>
      </w:r>
    </w:p>
    <w:p w:rsidR="000A156F" w:rsidRDefault="00A9721F">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422</w:t>
      </w:r>
      <w:r>
        <w:fldChar w:fldCharType="end"/>
      </w:r>
    </w:p>
    <w:p w:rsidR="000A156F" w:rsidRDefault="00A9721F">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558</w:t>
      </w:r>
      <w:r>
        <w:fldChar w:fldCharType="end"/>
      </w:r>
    </w:p>
    <w:p w:rsidR="000A156F" w:rsidRDefault="00A9721F">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262</w:t>
      </w:r>
      <w:r>
        <w:fldChar w:fldCharType="end"/>
      </w:r>
    </w:p>
    <w:p w:rsidR="000A156F" w:rsidRDefault="00A9721F">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559</w:t>
      </w:r>
      <w:r>
        <w:fldChar w:fldCharType="end"/>
      </w:r>
    </w:p>
    <w:p w:rsidR="000A156F" w:rsidRDefault="00A9721F">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262</w:t>
      </w:r>
      <w:r>
        <w:fldChar w:fldCharType="end"/>
      </w:r>
    </w:p>
    <w:p w:rsidR="000A156F" w:rsidRDefault="00A9721F">
      <w:pPr>
        <w:pStyle w:val="indexentry0"/>
      </w:pPr>
      <w:hyperlink w:anchor="section_aec278824aa1491c9c00fbc9bb00c9f7">
        <w:r>
          <w:rPr>
            <w:rStyle w:val="Hyperlink"/>
          </w:rPr>
          <w:t>fitText (Manual Run Width)</w:t>
        </w:r>
      </w:hyperlink>
      <w:r>
        <w:t xml:space="preserve"> </w:t>
      </w:r>
      <w:r>
        <w:fldChar w:fldCharType="begin"/>
      </w:r>
      <w:r>
        <w:instrText>PAGEREF section_aec</w:instrText>
      </w:r>
      <w:r>
        <w:instrText>278824aa1491c9c00fbc9bb00c9f7</w:instrText>
      </w:r>
      <w:r>
        <w:fldChar w:fldCharType="separate"/>
      </w:r>
      <w:r>
        <w:rPr>
          <w:noProof/>
        </w:rPr>
        <w:t>70</w:t>
      </w:r>
      <w:r>
        <w:fldChar w:fldCharType="end"/>
      </w:r>
    </w:p>
    <w:p w:rsidR="000A156F" w:rsidRDefault="00A9721F">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422</w:t>
      </w:r>
      <w:r>
        <w:fldChar w:fldCharType="end"/>
      </w:r>
    </w:p>
    <w:p w:rsidR="000A156F" w:rsidRDefault="00A9721F">
      <w:pPr>
        <w:pStyle w:val="indexentry0"/>
      </w:pPr>
      <w:hyperlink w:anchor="section_1ecf33cf360145f089fb0ab824739343">
        <w:r>
          <w:rPr>
            <w:rStyle w:val="Hyperlink"/>
          </w:rPr>
          <w:t>Fixed Commands</w:t>
        </w:r>
      </w:hyperlink>
      <w:r>
        <w:t xml:space="preserve"> </w:t>
      </w:r>
      <w:r>
        <w:fldChar w:fldCharType="begin"/>
      </w:r>
      <w:r>
        <w:instrText>PAGEREF section_1ecf33cf</w:instrText>
      </w:r>
      <w:r>
        <w:instrText>360145f089fb0ab824739343</w:instrText>
      </w:r>
      <w:r>
        <w:fldChar w:fldCharType="separate"/>
      </w:r>
      <w:r>
        <w:rPr>
          <w:noProof/>
        </w:rPr>
        <w:t>712</w:t>
      </w:r>
      <w:r>
        <w:fldChar w:fldCharType="end"/>
      </w:r>
    </w:p>
    <w:p w:rsidR="000A156F" w:rsidRDefault="00A9721F">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508</w:t>
      </w:r>
      <w:r>
        <w:fldChar w:fldCharType="end"/>
      </w:r>
    </w:p>
    <w:p w:rsidR="000A156F" w:rsidRDefault="00A9721F">
      <w:pPr>
        <w:pStyle w:val="indexentry0"/>
      </w:pPr>
      <w:hyperlink w:anchor="section_209a8afb4ce64ad9ad6bf18da263502e">
        <w:r>
          <w:rPr>
            <w:rStyle w:val="Hyperlink"/>
          </w:rPr>
          <w:t>fld (Text Field)</w:t>
        </w:r>
      </w:hyperlink>
      <w:r>
        <w:t xml:space="preserve"> </w:t>
      </w:r>
      <w:r>
        <w:fldChar w:fldCharType="begin"/>
      </w:r>
      <w:r>
        <w:instrText>PAGE</w:instrText>
      </w:r>
      <w:r>
        <w:instrText>REF section_209a8afb4ce64ad9ad6bf18da263502e</w:instrText>
      </w:r>
      <w:r>
        <w:fldChar w:fldCharType="separate"/>
      </w:r>
      <w:r>
        <w:rPr>
          <w:noProof/>
        </w:rPr>
        <w:t>537</w:t>
      </w:r>
      <w:r>
        <w:fldChar w:fldCharType="end"/>
      </w:r>
    </w:p>
    <w:p w:rsidR="000A156F" w:rsidRDefault="00A9721F">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799</w:t>
      </w:r>
      <w:r>
        <w:fldChar w:fldCharType="end"/>
      </w:r>
    </w:p>
    <w:p w:rsidR="000A156F" w:rsidRDefault="00A9721F">
      <w:pPr>
        <w:pStyle w:val="indexentry0"/>
      </w:pPr>
      <w:hyperlink w:anchor="section_3ef1ff9c08084ef8a90c45eae43aa729">
        <w:r>
          <w:rPr>
            <w:rStyle w:val="Hyperlink"/>
          </w:rPr>
          <w:t>fl</w:t>
        </w:r>
        <w:r>
          <w:rPr>
            <w:rStyle w:val="Hyperlink"/>
          </w:rPr>
          <w:t>dSimple (Simple Field)</w:t>
        </w:r>
      </w:hyperlink>
      <w:r>
        <w:t xml:space="preserve"> </w:t>
      </w:r>
      <w:r>
        <w:fldChar w:fldCharType="begin"/>
      </w:r>
      <w:r>
        <w:instrText>PAGEREF section_3ef1ff9c08084ef8a90c45eae43aa729</w:instrText>
      </w:r>
      <w:r>
        <w:fldChar w:fldCharType="separate"/>
      </w:r>
      <w:r>
        <w:rPr>
          <w:noProof/>
        </w:rPr>
        <w:t>225</w:t>
      </w:r>
      <w:r>
        <w:fldChar w:fldCharType="end"/>
      </w:r>
    </w:p>
    <w:p w:rsidR="000A156F" w:rsidRDefault="00A9721F">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422</w:t>
      </w:r>
      <w:r>
        <w:fldChar w:fldCharType="end"/>
      </w:r>
    </w:p>
    <w:p w:rsidR="000A156F" w:rsidRDefault="00A9721F">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559</w:t>
      </w:r>
      <w:r>
        <w:fldChar w:fldCharType="end"/>
      </w:r>
    </w:p>
    <w:p w:rsidR="000A156F" w:rsidRDefault="00A9721F">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685</w:t>
      </w:r>
      <w:r>
        <w:fldChar w:fldCharType="end"/>
      </w:r>
    </w:p>
    <w:p w:rsidR="000A156F" w:rsidRDefault="00A9721F">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685</w:t>
      </w:r>
      <w:r>
        <w:fldChar w:fldCharType="end"/>
      </w:r>
    </w:p>
    <w:p w:rsidR="000A156F" w:rsidRDefault="00A9721F">
      <w:pPr>
        <w:pStyle w:val="indexentry0"/>
      </w:pPr>
      <w:hyperlink w:anchor="section_3d0c971688c54af3b63afeef60b8ebd8">
        <w:r>
          <w:rPr>
            <w:rStyle w:val="Hyperlink"/>
          </w:rPr>
          <w:t>FmlaRange (List Items Source Range)</w:t>
        </w:r>
      </w:hyperlink>
      <w:r>
        <w:t xml:space="preserve"> </w:t>
      </w:r>
      <w:r>
        <w:fldChar w:fldCharType="begin"/>
      </w:r>
      <w:r>
        <w:instrText>P</w:instrText>
      </w:r>
      <w:r>
        <w:instrText>AGEREF section_3d0c971688c54af3b63afeef60b8ebd8</w:instrText>
      </w:r>
      <w:r>
        <w:fldChar w:fldCharType="separate"/>
      </w:r>
      <w:r>
        <w:rPr>
          <w:noProof/>
        </w:rPr>
        <w:t>685</w:t>
      </w:r>
      <w:r>
        <w:fldChar w:fldCharType="end"/>
      </w:r>
    </w:p>
    <w:p w:rsidR="000A156F" w:rsidRDefault="00A9721F">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685</w:t>
      </w:r>
      <w:r>
        <w:fldChar w:fldCharType="end"/>
      </w:r>
    </w:p>
    <w:p w:rsidR="000A156F" w:rsidRDefault="00A9721F">
      <w:pPr>
        <w:pStyle w:val="indexentry0"/>
      </w:pPr>
      <w:hyperlink w:anchor="section_b1f80d650055495797e699d84ef6398a">
        <w:r>
          <w:rPr>
            <w:rStyle w:val="Hyperlink"/>
          </w:rPr>
          <w:t>fmtId</w:t>
        </w:r>
        <w:r>
          <w:rPr>
            <w:rStyle w:val="Hyperlink"/>
          </w:rPr>
          <w:t xml:space="preserve"> (Format ID)</w:t>
        </w:r>
      </w:hyperlink>
      <w:r>
        <w:t xml:space="preserve"> </w:t>
      </w:r>
      <w:r>
        <w:fldChar w:fldCharType="begin"/>
      </w:r>
      <w:r>
        <w:instrText>PAGEREF section_b1f80d650055495797e699d84ef6398a</w:instrText>
      </w:r>
      <w:r>
        <w:fldChar w:fldCharType="separate"/>
      </w:r>
      <w:r>
        <w:rPr>
          <w:noProof/>
        </w:rPr>
        <w:t>559</w:t>
      </w:r>
      <w:r>
        <w:fldChar w:fldCharType="end"/>
      </w:r>
    </w:p>
    <w:p w:rsidR="000A156F" w:rsidRDefault="00A9721F">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603</w:t>
      </w:r>
      <w:r>
        <w:fldChar w:fldCharType="end"/>
      </w:r>
    </w:p>
    <w:p w:rsidR="000A156F" w:rsidRDefault="00A9721F">
      <w:pPr>
        <w:pStyle w:val="indexentry0"/>
      </w:pPr>
      <w:hyperlink w:anchor="section_af9c792be9254afcbef47f031163f0f7">
        <w:r>
          <w:rPr>
            <w:rStyle w:val="Hyperlink"/>
          </w:rPr>
          <w:t>folHlink (Followed Hyperlink)</w:t>
        </w:r>
      </w:hyperlink>
      <w:r>
        <w:t xml:space="preserve"> </w:t>
      </w:r>
      <w:r>
        <w:fldChar w:fldCharType="begin"/>
      </w:r>
      <w:r>
        <w:instrText>PAGEREF section_af9c792be9254afcbef47f031163f0f7</w:instrText>
      </w:r>
      <w:r>
        <w:fldChar w:fldCharType="separate"/>
      </w:r>
      <w:r>
        <w:rPr>
          <w:noProof/>
        </w:rPr>
        <w:t>506</w:t>
      </w:r>
      <w:r>
        <w:fldChar w:fldCharType="end"/>
      </w:r>
    </w:p>
    <w:p w:rsidR="000A156F" w:rsidRDefault="00A9721F">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460</w:t>
      </w:r>
      <w:r>
        <w:fldChar w:fldCharType="end"/>
      </w:r>
    </w:p>
    <w:p w:rsidR="000A156F" w:rsidRDefault="00A9721F">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299</w:t>
      </w:r>
      <w:r>
        <w:fldChar w:fldCharType="end"/>
      </w:r>
    </w:p>
    <w:p w:rsidR="000A156F" w:rsidRDefault="00A9721F">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121</w:t>
      </w:r>
      <w:r>
        <w:fldChar w:fldCharType="end"/>
      </w:r>
    </w:p>
    <w:p w:rsidR="000A156F" w:rsidRDefault="00A9721F">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882</w:t>
      </w:r>
      <w:r>
        <w:fldChar w:fldCharType="end"/>
      </w:r>
    </w:p>
    <w:p w:rsidR="000A156F" w:rsidRDefault="00A9721F">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60</w:t>
      </w:r>
      <w:r>
        <w:fldChar w:fldCharType="end"/>
      </w:r>
    </w:p>
    <w:p w:rsidR="000A156F" w:rsidRDefault="00A9721F">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506</w:t>
      </w:r>
      <w:r>
        <w:fldChar w:fldCharType="end"/>
      </w:r>
    </w:p>
    <w:p w:rsidR="000A156F" w:rsidRDefault="00A9721F">
      <w:pPr>
        <w:pStyle w:val="indexentry0"/>
      </w:pPr>
      <w:hyperlink w:anchor="section_09b83e1530de481d8ddf777107d4122e">
        <w:r>
          <w:rPr>
            <w:rStyle w:val="Hyperlink"/>
          </w:rPr>
          <w:t>Fon</w:t>
        </w:r>
        <w:r>
          <w:rPr>
            <w:rStyle w:val="Hyperlink"/>
          </w:rPr>
          <w:t>ts</w:t>
        </w:r>
      </w:hyperlink>
      <w:r>
        <w:t xml:space="preserve"> </w:t>
      </w:r>
      <w:r>
        <w:fldChar w:fldCharType="begin"/>
      </w:r>
      <w:r>
        <w:instrText>PAGEREF section_09b83e1530de481d8ddf777107d4122e</w:instrText>
      </w:r>
      <w:r>
        <w:fldChar w:fldCharType="separate"/>
      </w:r>
      <w:r>
        <w:rPr>
          <w:noProof/>
        </w:rPr>
        <w:t>120</w:t>
      </w:r>
      <w:r>
        <w:fldChar w:fldCharType="end"/>
      </w:r>
    </w:p>
    <w:p w:rsidR="000A156F" w:rsidRDefault="00A9721F">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299</w:t>
      </w:r>
      <w:r>
        <w:fldChar w:fldCharType="end"/>
      </w:r>
    </w:p>
    <w:p w:rsidR="000A156F" w:rsidRDefault="00A9721F">
      <w:pPr>
        <w:pStyle w:val="indexentry0"/>
      </w:pPr>
      <w:hyperlink w:anchor="section_02af532c67914f63b4b2cd20e58dce91">
        <w:r>
          <w:rPr>
            <w:rStyle w:val="Hyperlink"/>
          </w:rPr>
          <w:t>footerRef</w:t>
        </w:r>
        <w:r>
          <w:rPr>
            <w:rStyle w:val="Hyperlink"/>
          </w:rPr>
          <w:t>erence (Footer Reference)</w:t>
        </w:r>
      </w:hyperlink>
      <w:r>
        <w:t xml:space="preserve"> </w:t>
      </w:r>
      <w:r>
        <w:fldChar w:fldCharType="begin"/>
      </w:r>
      <w:r>
        <w:instrText>PAGEREF section_02af532c67914f63b4b2cd20e58dce91</w:instrText>
      </w:r>
      <w:r>
        <w:fldChar w:fldCharType="separate"/>
      </w:r>
      <w:r>
        <w:rPr>
          <w:noProof/>
        </w:rPr>
        <w:t>126</w:t>
      </w:r>
      <w:r>
        <w:fldChar w:fldCharType="end"/>
      </w:r>
    </w:p>
    <w:p w:rsidR="000A156F" w:rsidRDefault="00A9721F">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128</w:t>
      </w:r>
      <w:r>
        <w:fldChar w:fldCharType="end"/>
      </w:r>
    </w:p>
    <w:p w:rsidR="000A156F" w:rsidRDefault="00A9721F">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127</w:t>
      </w:r>
      <w:r>
        <w:fldChar w:fldCharType="end"/>
      </w:r>
    </w:p>
    <w:p w:rsidR="000A156F" w:rsidRDefault="00A9721F">
      <w:pPr>
        <w:pStyle w:val="indexentry0"/>
      </w:pPr>
      <w:hyperlink w:anchor="section_d399b2b668ad4c7faba00d1b77a5aa60">
        <w:r>
          <w:rPr>
            <w:rStyle w:val="Hyperlink"/>
          </w:rPr>
          <w:t>footnoteReference (Footnote Reference)</w:t>
        </w:r>
      </w:hyperlink>
      <w:r>
        <w:t xml:space="preserve"> </w:t>
      </w:r>
      <w:r>
        <w:fldChar w:fldCharType="begin"/>
      </w:r>
      <w:r>
        <w:instrText>PAGERE</w:instrText>
      </w:r>
      <w:r>
        <w:instrText>F section_d399b2b668ad4c7faba00d1b77a5aa60</w:instrText>
      </w:r>
      <w:r>
        <w:fldChar w:fldCharType="separate"/>
      </w:r>
      <w:r>
        <w:rPr>
          <w:noProof/>
        </w:rPr>
        <w:t>128</w:t>
      </w:r>
      <w:r>
        <w:fldChar w:fldCharType="end"/>
      </w:r>
    </w:p>
    <w:p w:rsidR="000A156F" w:rsidRDefault="00A9721F">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590</w:t>
      </w:r>
      <w:r>
        <w:fldChar w:fldCharType="end"/>
      </w:r>
    </w:p>
    <w:p w:rsidR="000A156F" w:rsidRDefault="00A9721F">
      <w:pPr>
        <w:pStyle w:val="indexentry0"/>
      </w:pPr>
      <w:hyperlink w:anchor="section_b5664c5839084645bb1ad88250c33aa2">
        <w:r>
          <w:rPr>
            <w:rStyle w:val="Hyperlink"/>
          </w:rPr>
          <w:t>FORECAST</w:t>
        </w:r>
      </w:hyperlink>
      <w:r>
        <w:t xml:space="preserve"> </w:t>
      </w:r>
      <w:r>
        <w:fldChar w:fldCharType="begin"/>
      </w:r>
      <w:r>
        <w:instrText>PAGE</w:instrText>
      </w:r>
      <w:r>
        <w:instrText>REF section_b5664c5839084645bb1ad88250c33aa2</w:instrText>
      </w:r>
      <w:r>
        <w:fldChar w:fldCharType="separate"/>
      </w:r>
      <w:r>
        <w:rPr>
          <w:noProof/>
        </w:rPr>
        <w:t>422</w:t>
      </w:r>
      <w:r>
        <w:fldChar w:fldCharType="end"/>
      </w:r>
    </w:p>
    <w:p w:rsidR="000A156F" w:rsidRDefault="00A9721F">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section_f296125e31a94a82b171bb7c38652aa3</w:instrText>
      </w:r>
      <w:r>
        <w:fldChar w:fldCharType="separate"/>
      </w:r>
      <w:r>
        <w:rPr>
          <w:noProof/>
        </w:rPr>
        <w:t>335</w:t>
      </w:r>
      <w:r>
        <w:fldChar w:fldCharType="end"/>
      </w:r>
    </w:p>
    <w:p w:rsidR="000A156F" w:rsidRDefault="00A9721F">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225</w:t>
      </w:r>
      <w:r>
        <w:fldChar w:fldCharType="end"/>
      </w:r>
    </w:p>
    <w:p w:rsidR="000A156F" w:rsidRDefault="00A9721F">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559</w:t>
      </w:r>
      <w:r>
        <w:fldChar w:fldCharType="end"/>
      </w:r>
    </w:p>
    <w:p w:rsidR="000A156F" w:rsidRDefault="00A9721F">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213</w:t>
      </w:r>
      <w:r>
        <w:fldChar w:fldCharType="end"/>
      </w:r>
    </w:p>
    <w:p w:rsidR="000A156F" w:rsidRDefault="00A9721F">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213</w:t>
      </w:r>
      <w:r>
        <w:fldChar w:fldCharType="end"/>
      </w:r>
    </w:p>
    <w:p w:rsidR="000A156F" w:rsidRDefault="00A9721F">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262</w:t>
      </w:r>
      <w:r>
        <w:fldChar w:fldCharType="end"/>
      </w:r>
    </w:p>
    <w:p w:rsidR="000A156F" w:rsidRDefault="00A9721F">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262</w:t>
      </w:r>
      <w:r>
        <w:fldChar w:fldCharType="end"/>
      </w:r>
    </w:p>
    <w:p w:rsidR="000A156F" w:rsidRDefault="00A9721F">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263</w:t>
      </w:r>
      <w:r>
        <w:fldChar w:fldCharType="end"/>
      </w:r>
    </w:p>
    <w:p w:rsidR="000A156F" w:rsidRDefault="00A9721F">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385</w:t>
      </w:r>
      <w:r>
        <w:fldChar w:fldCharType="end"/>
      </w:r>
    </w:p>
    <w:p w:rsidR="000A156F" w:rsidRDefault="00A9721F">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section_b017fac7da0b4cdf821cff5f03d17238</w:instrText>
      </w:r>
      <w:r>
        <w:fldChar w:fldCharType="separate"/>
      </w:r>
      <w:r>
        <w:rPr>
          <w:noProof/>
        </w:rPr>
        <w:t>650</w:t>
      </w:r>
      <w:r>
        <w:fldChar w:fldCharType="end"/>
      </w:r>
    </w:p>
    <w:p w:rsidR="000A156F" w:rsidRDefault="00A9721F">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559</w:t>
      </w:r>
      <w:r>
        <w:fldChar w:fldCharType="end"/>
      </w:r>
    </w:p>
    <w:p w:rsidR="000A156F" w:rsidRDefault="00A9721F">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161</w:t>
      </w:r>
      <w:r>
        <w:fldChar w:fldCharType="end"/>
      </w:r>
    </w:p>
    <w:p w:rsidR="000A156F" w:rsidRDefault="00A9721F">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63</w:t>
      </w:r>
      <w:r>
        <w:fldChar w:fldCharType="end"/>
      </w:r>
    </w:p>
    <w:p w:rsidR="000A156F" w:rsidRDefault="00A9721F">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161</w:t>
      </w:r>
      <w:r>
        <w:fldChar w:fldCharType="end"/>
      </w:r>
    </w:p>
    <w:p w:rsidR="000A156F" w:rsidRDefault="00A9721F">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section_f7970f138896405eae5e7775aa04a053</w:instrText>
      </w:r>
      <w:r>
        <w:fldChar w:fldCharType="separate"/>
      </w:r>
      <w:r>
        <w:rPr>
          <w:noProof/>
        </w:rPr>
        <w:t>161</w:t>
      </w:r>
      <w:r>
        <w:fldChar w:fldCharType="end"/>
      </w:r>
    </w:p>
    <w:p w:rsidR="000A156F" w:rsidRDefault="00A9721F">
      <w:pPr>
        <w:pStyle w:val="indexentry0"/>
      </w:pPr>
      <w:r>
        <w:t>from (From) (</w:t>
      </w:r>
      <w:hyperlink w:anchor="section_9223eaea7e2540e7ba8af68d1796d48e">
        <w:r>
          <w:rPr>
            <w:rStyle w:val="Hyperlink"/>
          </w:rPr>
          <w:t>section 2.1.1160</w:t>
        </w:r>
      </w:hyperlink>
      <w:r>
        <w:t xml:space="preserve"> </w:t>
      </w:r>
      <w:r>
        <w:fldChar w:fldCharType="begin"/>
      </w:r>
      <w:r>
        <w:instrText>PAGEREF section_9223eaea7e2</w:instrText>
      </w:r>
      <w:r>
        <w:instrText>540e7ba8af68d1796d48e</w:instrText>
      </w:r>
      <w:r>
        <w:fldChar w:fldCharType="separate"/>
      </w:r>
      <w:r>
        <w:rPr>
          <w:noProof/>
        </w:rPr>
        <w:t>482</w:t>
      </w:r>
      <w:r>
        <w:fldChar w:fldCharType="end"/>
      </w:r>
      <w:r>
        <w:t xml:space="preserve">, </w:t>
      </w:r>
      <w:hyperlink w:anchor="section_0ce2da92a86343f5be088a600f8ba222">
        <w:r>
          <w:rPr>
            <w:rStyle w:val="Hyperlink"/>
          </w:rPr>
          <w:t>section 2.1.1161</w:t>
        </w:r>
      </w:hyperlink>
      <w:r>
        <w:t xml:space="preserve"> </w:t>
      </w:r>
      <w:r>
        <w:fldChar w:fldCharType="begin"/>
      </w:r>
      <w:r>
        <w:instrText>PAGEREF section_0ce2da92a86343f5be088a600f8ba222</w:instrText>
      </w:r>
      <w:r>
        <w:fldChar w:fldCharType="separate"/>
      </w:r>
      <w:r>
        <w:rPr>
          <w:noProof/>
        </w:rPr>
        <w:t>483</w:t>
      </w:r>
      <w:r>
        <w:fldChar w:fldCharType="end"/>
      </w:r>
      <w:r>
        <w:t>)</w:t>
      </w:r>
    </w:p>
    <w:p w:rsidR="000A156F" w:rsidRDefault="00A9721F">
      <w:pPr>
        <w:pStyle w:val="indexentry0"/>
      </w:pPr>
      <w:hyperlink w:anchor="section_e1dfdbace29c4c9e94769f52adaacd00">
        <w:r>
          <w:rPr>
            <w:rStyle w:val="Hyperlink"/>
          </w:rPr>
          <w:t>from (Starting Anchor Point)</w:t>
        </w:r>
      </w:hyperlink>
      <w:r>
        <w:t xml:space="preserve"> </w:t>
      </w:r>
      <w:r>
        <w:fldChar w:fldCharType="begin"/>
      </w:r>
      <w:r>
        <w:instrText>PAGER</w:instrText>
      </w:r>
      <w:r>
        <w:instrText>EF section_e1dfdbace29c4c9e94769f52adaacd00</w:instrText>
      </w:r>
      <w:r>
        <w:fldChar w:fldCharType="separate"/>
      </w:r>
      <w:r>
        <w:rPr>
          <w:noProof/>
        </w:rPr>
        <w:t>533</w:t>
      </w:r>
      <w:r>
        <w:fldChar w:fldCharType="end"/>
      </w:r>
    </w:p>
    <w:p w:rsidR="000A156F" w:rsidRDefault="00A9721F">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126</w:t>
      </w:r>
      <w:r>
        <w:fldChar w:fldCharType="end"/>
      </w:r>
    </w:p>
    <w:p w:rsidR="000A156F" w:rsidRDefault="00A9721F">
      <w:pPr>
        <w:pStyle w:val="indexentry0"/>
      </w:pPr>
      <w:hyperlink w:anchor="section_762ae7b5f1cd472aa836ebd7158c79ce">
        <w:r>
          <w:rPr>
            <w:rStyle w:val="Hyperlink"/>
          </w:rPr>
          <w:t>func (Function Apply</w:t>
        </w:r>
        <w:r>
          <w:rPr>
            <w:rStyle w:val="Hyperlink"/>
          </w:rPr>
          <w:t xml:space="preserve"> Object)</w:t>
        </w:r>
      </w:hyperlink>
      <w:r>
        <w:t xml:space="preserve"> </w:t>
      </w:r>
      <w:r>
        <w:fldChar w:fldCharType="begin"/>
      </w:r>
      <w:r>
        <w:instrText>PAGEREF section_762ae7b5f1cd472aa836ebd7158c79ce</w:instrText>
      </w:r>
      <w:r>
        <w:fldChar w:fldCharType="separate"/>
      </w:r>
      <w:r>
        <w:rPr>
          <w:noProof/>
        </w:rPr>
        <w:t>603</w:t>
      </w:r>
      <w:r>
        <w:fldChar w:fldCharType="end"/>
      </w:r>
    </w:p>
    <w:p w:rsidR="000A156F" w:rsidRDefault="00A9721F">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242</w:t>
      </w:r>
      <w:r>
        <w:fldChar w:fldCharType="end"/>
      </w:r>
    </w:p>
    <w:p w:rsidR="000A156F" w:rsidRDefault="00A9721F">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243</w:t>
      </w:r>
      <w:r>
        <w:fldChar w:fldCharType="end"/>
      </w:r>
    </w:p>
    <w:p w:rsidR="000A156F" w:rsidRDefault="00A9721F">
      <w:pPr>
        <w:pStyle w:val="indexentry0"/>
      </w:pPr>
      <w:hyperlink w:anchor="section_364a891349b546aa9cd5bc8180948a2a">
        <w:r>
          <w:rPr>
            <w:rStyle w:val="Hyperlink"/>
          </w:rPr>
          <w:t>Functions</w:t>
        </w:r>
      </w:hyperlink>
      <w:r>
        <w:t xml:space="preserve"> </w:t>
      </w:r>
      <w:r>
        <w:fldChar w:fldCharType="begin"/>
      </w:r>
      <w:r>
        <w:instrText>PAGEREF section_364a891349b546aa9cd</w:instrText>
      </w:r>
      <w:r>
        <w:instrText>5bc8180948a2a</w:instrText>
      </w:r>
      <w:r>
        <w:fldChar w:fldCharType="separate"/>
      </w:r>
      <w:r>
        <w:rPr>
          <w:noProof/>
        </w:rPr>
        <w:t>394</w:t>
      </w:r>
      <w:r>
        <w:fldChar w:fldCharType="end"/>
      </w:r>
    </w:p>
    <w:p w:rsidR="000A156F" w:rsidRDefault="00A9721F">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313</w:t>
      </w:r>
      <w:r>
        <w:fldChar w:fldCharType="end"/>
      </w:r>
    </w:p>
    <w:p w:rsidR="000A156F" w:rsidRDefault="00A9721F">
      <w:pPr>
        <w:pStyle w:val="indexentry0"/>
      </w:pPr>
      <w:hyperlink w:anchor="section_7eb63416dfd44087b2076372769e91d0">
        <w:r>
          <w:rPr>
            <w:rStyle w:val="Hyperlink"/>
          </w:rPr>
          <w:t>FV</w:t>
        </w:r>
      </w:hyperlink>
      <w:r>
        <w:t xml:space="preserve"> </w:t>
      </w:r>
      <w:r>
        <w:fldChar w:fldCharType="begin"/>
      </w:r>
      <w:r>
        <w:instrText>PAGEREF section_7eb63416d</w:instrText>
      </w:r>
      <w:r>
        <w:instrText>fd44087b2076372769e91d0</w:instrText>
      </w:r>
      <w:r>
        <w:fldChar w:fldCharType="separate"/>
      </w:r>
      <w:r>
        <w:rPr>
          <w:noProof/>
        </w:rPr>
        <w:t>423</w:t>
      </w:r>
      <w:r>
        <w:fldChar w:fldCharType="end"/>
      </w:r>
    </w:p>
    <w:p w:rsidR="000A156F" w:rsidRDefault="000A156F">
      <w:pPr>
        <w:spacing w:before="0" w:after="0"/>
        <w:rPr>
          <w:sz w:val="16"/>
        </w:rPr>
      </w:pPr>
    </w:p>
    <w:p w:rsidR="000A156F" w:rsidRDefault="00A9721F">
      <w:pPr>
        <w:pStyle w:val="indexheader"/>
      </w:pPr>
      <w:r>
        <w:t>G</w:t>
      </w:r>
    </w:p>
    <w:p w:rsidR="000A156F" w:rsidRDefault="000A156F">
      <w:pPr>
        <w:spacing w:before="0" w:after="0"/>
        <w:rPr>
          <w:sz w:val="16"/>
        </w:rPr>
      </w:pPr>
    </w:p>
    <w:p w:rsidR="000A156F" w:rsidRDefault="00A9721F">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423</w:t>
      </w:r>
      <w:r>
        <w:fldChar w:fldCharType="end"/>
      </w:r>
    </w:p>
    <w:p w:rsidR="000A156F" w:rsidRDefault="00A9721F">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559</w:t>
      </w:r>
      <w:r>
        <w:fldChar w:fldCharType="end"/>
      </w:r>
    </w:p>
    <w:p w:rsidR="000A156F" w:rsidRDefault="00A9721F">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559</w:t>
      </w:r>
      <w:r>
        <w:fldChar w:fldCharType="end"/>
      </w:r>
    </w:p>
    <w:p w:rsidR="000A156F" w:rsidRDefault="00A9721F">
      <w:pPr>
        <w:pStyle w:val="indexentry0"/>
      </w:pPr>
      <w:hyperlink w:anchor="section_851cc3e8ab224f5e86d123b0b06d5edd">
        <w:r>
          <w:rPr>
            <w:rStyle w:val="Hyperlink"/>
          </w:rPr>
          <w:t>gd (Sha</w:t>
        </w:r>
        <w:r>
          <w:rPr>
            <w:rStyle w:val="Hyperlink"/>
          </w:rPr>
          <w:t>pe Guide)</w:t>
        </w:r>
      </w:hyperlink>
      <w:r>
        <w:t xml:space="preserve"> </w:t>
      </w:r>
      <w:r>
        <w:fldChar w:fldCharType="begin"/>
      </w:r>
      <w:r>
        <w:instrText>PAGEREF section_851cc3e8ab224f5e86d123b0b06d5edd</w:instrText>
      </w:r>
      <w:r>
        <w:fldChar w:fldCharType="separate"/>
      </w:r>
      <w:r>
        <w:rPr>
          <w:noProof/>
        </w:rPr>
        <w:t>519</w:t>
      </w:r>
      <w:r>
        <w:fldChar w:fldCharType="end"/>
      </w:r>
    </w:p>
    <w:p w:rsidR="000A156F" w:rsidRDefault="00A9721F">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165</w:t>
      </w:r>
      <w:r>
        <w:fldChar w:fldCharType="end"/>
      </w:r>
    </w:p>
    <w:p w:rsidR="000A156F" w:rsidRDefault="00A9721F">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423</w:t>
      </w:r>
      <w:r>
        <w:fldChar w:fldCharType="end"/>
      </w:r>
    </w:p>
    <w:p w:rsidR="000A156F" w:rsidRDefault="00A9721F">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section_dad1aeafe2be4fbca86419ac8dba4ac9</w:instrText>
      </w:r>
      <w:r>
        <w:fldChar w:fldCharType="separate"/>
      </w:r>
      <w:r>
        <w:rPr>
          <w:noProof/>
        </w:rPr>
        <w:t>423</w:t>
      </w:r>
      <w:r>
        <w:fldChar w:fldCharType="end"/>
      </w:r>
    </w:p>
    <w:p w:rsidR="000A156F" w:rsidRDefault="00A9721F">
      <w:pPr>
        <w:pStyle w:val="indexentry0"/>
      </w:pPr>
      <w:r>
        <w:t>Glossar</w:t>
      </w:r>
      <w:r>
        <w:t>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45</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w:instrText>
      </w:r>
      <w:r>
        <w:instrText>f7a2b5</w:instrText>
      </w:r>
      <w:r>
        <w:fldChar w:fldCharType="separate"/>
      </w:r>
      <w:r>
        <w:rPr>
          <w:noProof/>
        </w:rPr>
        <w:t>821</w:t>
      </w:r>
      <w:r>
        <w:fldChar w:fldCharType="end"/>
      </w:r>
      <w:r>
        <w:t>)</w:t>
      </w:r>
    </w:p>
    <w:p w:rsidR="000A156F" w:rsidRDefault="00A9721F">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213</w:t>
      </w:r>
      <w:r>
        <w:fldChar w:fldCharType="end"/>
      </w:r>
    </w:p>
    <w:p w:rsidR="000A156F" w:rsidRDefault="00A9721F">
      <w:pPr>
        <w:pStyle w:val="indexentry0"/>
      </w:pPr>
      <w:hyperlink w:anchor="section_f43f30dfc82941f3ba6f52e9ac3b4e20">
        <w:r>
          <w:rPr>
            <w:rStyle w:val="Hyperlink"/>
          </w:rPr>
          <w:t>gradFill (Gradient Fill)</w:t>
        </w:r>
      </w:hyperlink>
      <w:r>
        <w:t xml:space="preserve"> </w:t>
      </w:r>
      <w:r>
        <w:fldChar w:fldCharType="begin"/>
      </w:r>
      <w:r>
        <w:instrText>PAGEREF section_f43f30dfc82941f</w:instrText>
      </w:r>
      <w:r>
        <w:instrText>3ba6f52e9ac3b4e20</w:instrText>
      </w:r>
      <w:r>
        <w:fldChar w:fldCharType="separate"/>
      </w:r>
      <w:r>
        <w:rPr>
          <w:noProof/>
        </w:rPr>
        <w:t>516</w:t>
      </w:r>
      <w:r>
        <w:fldChar w:fldCharType="end"/>
      </w:r>
    </w:p>
    <w:p w:rsidR="000A156F" w:rsidRDefault="00A9721F">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299</w:t>
      </w:r>
      <w:r>
        <w:fldChar w:fldCharType="end"/>
      </w:r>
    </w:p>
    <w:p w:rsidR="000A156F" w:rsidRDefault="00A9721F">
      <w:pPr>
        <w:pStyle w:val="indexentry0"/>
      </w:pPr>
      <w:hyperlink w:anchor="section_a76a4974881b4ca598fea758cda15e82">
        <w:r>
          <w:rPr>
            <w:rStyle w:val="Hyperlink"/>
          </w:rPr>
          <w:t>Graphic Frame Doc</w:t>
        </w:r>
      </w:hyperlink>
      <w:r>
        <w:t xml:space="preserve"> </w:t>
      </w:r>
      <w:r>
        <w:fldChar w:fldCharType="begin"/>
      </w:r>
      <w:r>
        <w:instrText>PAGEREF section</w:instrText>
      </w:r>
      <w:r>
        <w:instrText>_a76a4974881b4ca598fea758cda15e82</w:instrText>
      </w:r>
      <w:r>
        <w:fldChar w:fldCharType="separate"/>
      </w:r>
      <w:r>
        <w:rPr>
          <w:noProof/>
        </w:rPr>
        <w:t>833</w:t>
      </w:r>
      <w:r>
        <w:fldChar w:fldCharType="end"/>
      </w:r>
    </w:p>
    <w:p w:rsidR="000A156F" w:rsidRDefault="00A9721F">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496</w:t>
      </w:r>
      <w:r>
        <w:fldChar w:fldCharType="end"/>
      </w:r>
    </w:p>
    <w:p w:rsidR="000A156F" w:rsidRDefault="00A9721F">
      <w:pPr>
        <w:pStyle w:val="indexentry0"/>
      </w:pPr>
      <w:hyperlink w:anchor="section_34777b76de124a3381f75a9e2605d34f">
        <w:r>
          <w:rPr>
            <w:rStyle w:val="Hyperlink"/>
          </w:rPr>
          <w:t>graphicEl</w:t>
        </w:r>
        <w:r>
          <w:rPr>
            <w:rStyle w:val="Hyperlink"/>
          </w:rPr>
          <w:t xml:space="preserve"> (Graphic Element)</w:t>
        </w:r>
      </w:hyperlink>
      <w:r>
        <w:t xml:space="preserve"> </w:t>
      </w:r>
      <w:r>
        <w:fldChar w:fldCharType="begin"/>
      </w:r>
      <w:r>
        <w:instrText>PAGEREF section_34777b76de124a3381f75a9e2605d34f</w:instrText>
      </w:r>
      <w:r>
        <w:fldChar w:fldCharType="separate"/>
      </w:r>
      <w:r>
        <w:rPr>
          <w:noProof/>
        </w:rPr>
        <w:t>483</w:t>
      </w:r>
      <w:r>
        <w:fldChar w:fldCharType="end"/>
      </w:r>
    </w:p>
    <w:p w:rsidR="000A156F" w:rsidRDefault="00A9721F">
      <w:pPr>
        <w:pStyle w:val="indexentry0"/>
      </w:pPr>
      <w:r>
        <w:t>graphicFrame (Graphic Frame) (</w:t>
      </w:r>
      <w:hyperlink w:anchor="section_a64e434cd5194cec945b0cc428546308">
        <w:r>
          <w:rPr>
            <w:rStyle w:val="Hyperlink"/>
          </w:rPr>
          <w:t>section 2.1.1366</w:t>
        </w:r>
      </w:hyperlink>
      <w:r>
        <w:t xml:space="preserve"> </w:t>
      </w:r>
      <w:r>
        <w:fldChar w:fldCharType="begin"/>
      </w:r>
      <w:r>
        <w:instrText>PAGEREF section_a64e434cd5194cec945b0cc428546308</w:instrText>
      </w:r>
      <w:r>
        <w:fldChar w:fldCharType="separate"/>
      </w:r>
      <w:r>
        <w:rPr>
          <w:noProof/>
        </w:rPr>
        <w:t>533</w:t>
      </w:r>
      <w:r>
        <w:fldChar w:fldCharType="end"/>
      </w:r>
      <w:r>
        <w:t xml:space="preserve">, </w:t>
      </w:r>
      <w:hyperlink w:anchor="section_0cebfe7e9b5a4b468ee5cbaa422259da">
        <w:r>
          <w:rPr>
            <w:rStyle w:val="Hyperlink"/>
          </w:rPr>
          <w:t>section 2.1.1605</w:t>
        </w:r>
      </w:hyperlink>
      <w:r>
        <w:t xml:space="preserve"> </w:t>
      </w:r>
      <w:r>
        <w:fldChar w:fldCharType="begin"/>
      </w:r>
      <w:r>
        <w:instrText>PAGEREF section_0cebfe7e9b5a4b468ee5cbaa422259da</w:instrText>
      </w:r>
      <w:r>
        <w:fldChar w:fldCharType="separate"/>
      </w:r>
      <w:r>
        <w:rPr>
          <w:noProof/>
        </w:rPr>
        <w:t>587</w:t>
      </w:r>
      <w:r>
        <w:fldChar w:fldCharType="end"/>
      </w:r>
      <w:r>
        <w:t>)</w:t>
      </w:r>
    </w:p>
    <w:p w:rsidR="000A156F" w:rsidRDefault="00A9721F">
      <w:pPr>
        <w:pStyle w:val="indexentry0"/>
      </w:pPr>
      <w:hyperlink w:anchor="section_68cd339693e94244b7286ac467d7f626">
        <w:r>
          <w:rPr>
            <w:rStyle w:val="Hyperlink"/>
          </w:rPr>
          <w:t>graphicFrameLocks (Graphic Frame Locks)</w:t>
        </w:r>
      </w:hyperlink>
      <w:r>
        <w:t xml:space="preserve"> </w:t>
      </w:r>
      <w:r>
        <w:fldChar w:fldCharType="begin"/>
      </w:r>
      <w:r>
        <w:instrText>PAGEREF section_68cd</w:instrText>
      </w:r>
      <w:r>
        <w:instrText>339693e94244b7286ac467d7f626</w:instrText>
      </w:r>
      <w:r>
        <w:fldChar w:fldCharType="separate"/>
      </w:r>
      <w:r>
        <w:rPr>
          <w:noProof/>
        </w:rPr>
        <w:t>497</w:t>
      </w:r>
      <w:r>
        <w:fldChar w:fldCharType="end"/>
      </w:r>
    </w:p>
    <w:p w:rsidR="000A156F" w:rsidRDefault="00A9721F">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500</w:t>
      </w:r>
      <w:r>
        <w:fldChar w:fldCharType="end"/>
      </w:r>
    </w:p>
    <w:p w:rsidR="000A156F" w:rsidRDefault="00A9721F">
      <w:pPr>
        <w:pStyle w:val="indexentry0"/>
      </w:pPr>
      <w:hyperlink w:anchor="section_e372eb222ed34f6bbdc455f4c3379d83">
        <w:r>
          <w:rPr>
            <w:rStyle w:val="Hyperlink"/>
          </w:rPr>
          <w:t>greenMod (Green Modification)</w:t>
        </w:r>
      </w:hyperlink>
      <w:r>
        <w:t xml:space="preserve"> </w:t>
      </w:r>
      <w:r>
        <w:fldChar w:fldCharType="begin"/>
      </w:r>
      <w:r>
        <w:instrText>PA</w:instrText>
      </w:r>
      <w:r>
        <w:instrText>GEREF section_e372eb222ed34f6bbdc455f4c3379d83</w:instrText>
      </w:r>
      <w:r>
        <w:fldChar w:fldCharType="separate"/>
      </w:r>
      <w:r>
        <w:rPr>
          <w:noProof/>
        </w:rPr>
        <w:t>500</w:t>
      </w:r>
      <w:r>
        <w:fldChar w:fldCharType="end"/>
      </w:r>
    </w:p>
    <w:p w:rsidR="000A156F" w:rsidRDefault="00A9721F">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500</w:t>
      </w:r>
      <w:r>
        <w:fldChar w:fldCharType="end"/>
      </w:r>
    </w:p>
    <w:p w:rsidR="000A156F" w:rsidRDefault="00A9721F">
      <w:pPr>
        <w:pStyle w:val="indexentry0"/>
      </w:pPr>
      <w:hyperlink w:anchor="section_7c6c5a820257412fb723ee973a8febe9">
        <w:r>
          <w:rPr>
            <w:rStyle w:val="Hyperlink"/>
          </w:rPr>
          <w:t>GREETI</w:t>
        </w:r>
        <w:r>
          <w:rPr>
            <w:rStyle w:val="Hyperlink"/>
          </w:rPr>
          <w:t>NGLINE</w:t>
        </w:r>
      </w:hyperlink>
      <w:r>
        <w:t xml:space="preserve"> </w:t>
      </w:r>
      <w:r>
        <w:fldChar w:fldCharType="begin"/>
      </w:r>
      <w:r>
        <w:instrText>PAGEREF section_7c6c5a820257412fb723ee973a8febe9</w:instrText>
      </w:r>
      <w:r>
        <w:fldChar w:fldCharType="separate"/>
      </w:r>
      <w:r>
        <w:rPr>
          <w:noProof/>
        </w:rPr>
        <w:t>214</w:t>
      </w:r>
      <w:r>
        <w:fldChar w:fldCharType="end"/>
      </w:r>
    </w:p>
    <w:p w:rsidR="000A156F" w:rsidRDefault="00A9721F">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section_12e40cc181624abf985e412e9324e57c</w:instrText>
      </w:r>
      <w:r>
        <w:fldChar w:fldCharType="separate"/>
      </w:r>
      <w:r>
        <w:rPr>
          <w:noProof/>
        </w:rPr>
        <w:t>82</w:t>
      </w:r>
      <w:r>
        <w:fldChar w:fldCharType="end"/>
      </w:r>
    </w:p>
    <w:p w:rsidR="000A156F" w:rsidRDefault="00A9721F">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82</w:t>
      </w:r>
      <w:r>
        <w:fldChar w:fldCharType="end"/>
      </w:r>
    </w:p>
    <w:p w:rsidR="000A156F" w:rsidRDefault="00A9721F">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w:instrText>
      </w:r>
      <w:r>
        <w:instrText>b2a</w:instrText>
      </w:r>
      <w:r>
        <w:fldChar w:fldCharType="separate"/>
      </w:r>
      <w:r>
        <w:rPr>
          <w:noProof/>
        </w:rPr>
        <w:t>548</w:t>
      </w:r>
      <w:r>
        <w:fldChar w:fldCharType="end"/>
      </w:r>
    </w:p>
    <w:p w:rsidR="000A156F" w:rsidRDefault="00A9721F">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82</w:t>
      </w:r>
      <w:r>
        <w:fldChar w:fldCharType="end"/>
      </w:r>
    </w:p>
    <w:p w:rsidR="000A156F" w:rsidRDefault="00A9721F">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335</w:t>
      </w:r>
      <w:r>
        <w:fldChar w:fldCharType="end"/>
      </w:r>
    </w:p>
    <w:p w:rsidR="000A156F" w:rsidRDefault="00A9721F">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section_5dab8b917bfb495a9ed59068ef74998d</w:instrText>
      </w:r>
      <w:r>
        <w:fldChar w:fldCharType="separate"/>
      </w:r>
      <w:r>
        <w:rPr>
          <w:noProof/>
        </w:rPr>
        <w:t>650</w:t>
      </w:r>
      <w:r>
        <w:fldChar w:fldCharType="end"/>
      </w:r>
    </w:p>
    <w:p w:rsidR="000A156F" w:rsidRDefault="00A9721F">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604</w:t>
      </w:r>
      <w:r>
        <w:fldChar w:fldCharType="end"/>
      </w:r>
    </w:p>
    <w:p w:rsidR="000A156F" w:rsidRDefault="00A9721F">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560</w:t>
      </w:r>
      <w:r>
        <w:fldChar w:fldCharType="end"/>
      </w:r>
    </w:p>
    <w:p w:rsidR="000A156F" w:rsidRDefault="00A9721F">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336</w:t>
      </w:r>
      <w:r>
        <w:fldChar w:fldCharType="end"/>
      </w:r>
    </w:p>
    <w:p w:rsidR="000A156F" w:rsidRDefault="00A9721F">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w:instrText>
      </w:r>
      <w:r>
        <w:instrText>a</w:instrText>
      </w:r>
      <w:r>
        <w:fldChar w:fldCharType="separate"/>
      </w:r>
      <w:r>
        <w:rPr>
          <w:noProof/>
        </w:rPr>
        <w:t>336</w:t>
      </w:r>
      <w:r>
        <w:fldChar w:fldCharType="end"/>
      </w:r>
    </w:p>
    <w:p w:rsidR="000A156F" w:rsidRDefault="00A9721F">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336</w:t>
      </w:r>
      <w:r>
        <w:fldChar w:fldCharType="end"/>
      </w:r>
    </w:p>
    <w:p w:rsidR="000A156F" w:rsidRDefault="00A9721F">
      <w:pPr>
        <w:pStyle w:val="indexentry0"/>
      </w:pPr>
      <w:hyperlink w:anchor="section_9700c97afe254445b04a4d3604e64334">
        <w:r>
          <w:rPr>
            <w:rStyle w:val="Hyperlink"/>
          </w:rPr>
          <w:t>grow (n-ary Grow)</w:t>
        </w:r>
      </w:hyperlink>
      <w:r>
        <w:t xml:space="preserve"> </w:t>
      </w:r>
      <w:r>
        <w:fldChar w:fldCharType="begin"/>
      </w:r>
      <w:r>
        <w:instrText>PAGEREF section_9700c97</w:instrText>
      </w:r>
      <w:r>
        <w:instrText>afe254445b04a4d3604e64334</w:instrText>
      </w:r>
      <w:r>
        <w:fldChar w:fldCharType="separate"/>
      </w:r>
      <w:r>
        <w:rPr>
          <w:noProof/>
        </w:rPr>
        <w:t>604</w:t>
      </w:r>
      <w:r>
        <w:fldChar w:fldCharType="end"/>
      </w:r>
    </w:p>
    <w:p w:rsidR="000A156F" w:rsidRDefault="00A9721F">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517</w:t>
      </w:r>
      <w:r>
        <w:fldChar w:fldCharType="end"/>
      </w:r>
    </w:p>
    <w:p w:rsidR="000A156F" w:rsidRDefault="00A9721F">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497</w:t>
      </w:r>
      <w:r>
        <w:fldChar w:fldCharType="end"/>
      </w:r>
    </w:p>
    <w:p w:rsidR="000A156F" w:rsidRDefault="00A9721F">
      <w:pPr>
        <w:pStyle w:val="indexentry0"/>
      </w:pPr>
      <w:r>
        <w:t>grpSpPr (Group Shape Properties) (</w:t>
      </w:r>
      <w:hyperlink w:anchor="section_9ddba7fd39a643d3b232fb6d0de0047b">
        <w:r>
          <w:rPr>
            <w:rStyle w:val="Hyperlink"/>
          </w:rPr>
          <w:t>section 2.1.1123</w:t>
        </w:r>
      </w:hyperlink>
      <w:r>
        <w:t xml:space="preserve"> </w:t>
      </w:r>
      <w:r>
        <w:fldChar w:fldCharType="begin"/>
      </w:r>
      <w:r>
        <w:instrText>PAGEREF section_9ddba7fd39a643d3b232fb6d0de0047b</w:instrText>
      </w:r>
      <w:r>
        <w:fldChar w:fldCharType="separate"/>
      </w:r>
      <w:r>
        <w:rPr>
          <w:noProof/>
        </w:rPr>
        <w:t>467</w:t>
      </w:r>
      <w:r>
        <w:fldChar w:fldCharType="end"/>
      </w:r>
      <w:r>
        <w:t xml:space="preserve">, </w:t>
      </w:r>
      <w:hyperlink w:anchor="section_0b7e3dab028b4c2285e631bc3dc52e04">
        <w:r>
          <w:rPr>
            <w:rStyle w:val="Hyperlink"/>
          </w:rPr>
          <w:t>section 2.1.1367</w:t>
        </w:r>
      </w:hyperlink>
      <w:r>
        <w:t xml:space="preserve"> </w:t>
      </w:r>
      <w:r>
        <w:fldChar w:fldCharType="begin"/>
      </w:r>
      <w:r>
        <w:instrText>PAGEREF section_0b7e3dab028b4c2285e631bc3dc52e04</w:instrText>
      </w:r>
      <w:r>
        <w:fldChar w:fldCharType="separate"/>
      </w:r>
      <w:r>
        <w:rPr>
          <w:noProof/>
        </w:rPr>
        <w:t>533</w:t>
      </w:r>
      <w:r>
        <w:fldChar w:fldCharType="end"/>
      </w:r>
      <w:r>
        <w:t xml:space="preserve">, </w:t>
      </w:r>
      <w:hyperlink w:anchor="section_1c32c2fb9e614f02ad31b56fcf112462">
        <w:r>
          <w:rPr>
            <w:rStyle w:val="Hyperlink"/>
          </w:rPr>
          <w:t>section 2.1.1606</w:t>
        </w:r>
      </w:hyperlink>
      <w:r>
        <w:t xml:space="preserve"> </w:t>
      </w:r>
      <w:r>
        <w:fldChar w:fldCharType="begin"/>
      </w:r>
      <w:r>
        <w:instrText>PAGEREF section_1c32c2fb9e614f02ad31b56fcf1</w:instrText>
      </w:r>
      <w:r>
        <w:instrText>12462</w:instrText>
      </w:r>
      <w:r>
        <w:fldChar w:fldCharType="separate"/>
      </w:r>
      <w:r>
        <w:rPr>
          <w:noProof/>
        </w:rPr>
        <w:t>588</w:t>
      </w:r>
      <w:r>
        <w:fldChar w:fldCharType="end"/>
      </w:r>
      <w:r>
        <w:t>)</w:t>
      </w:r>
    </w:p>
    <w:p w:rsidR="000A156F" w:rsidRDefault="00A9721F">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497</w:t>
      </w:r>
      <w:r>
        <w:fldChar w:fldCharType="end"/>
      </w:r>
    </w:p>
    <w:p w:rsidR="000A156F" w:rsidRDefault="00A9721F">
      <w:pPr>
        <w:pStyle w:val="indexentry0"/>
      </w:pPr>
      <w:hyperlink w:anchor="section_309a71616dc747118a12d15a81e9214b">
        <w:r>
          <w:rPr>
            <w:rStyle w:val="Hyperlink"/>
          </w:rPr>
          <w:t>Guid (GUID)</w:t>
        </w:r>
      </w:hyperlink>
      <w:r>
        <w:t xml:space="preserve"> </w:t>
      </w:r>
      <w:r>
        <w:fldChar w:fldCharType="begin"/>
      </w:r>
      <w:r>
        <w:instrText>PAGEREF section_</w:instrText>
      </w:r>
      <w:r>
        <w:instrText>309a71616dc747118a12d15a81e9214b</w:instrText>
      </w:r>
      <w:r>
        <w:fldChar w:fldCharType="separate"/>
      </w:r>
      <w:r>
        <w:rPr>
          <w:noProof/>
        </w:rPr>
        <w:t>619</w:t>
      </w:r>
      <w:r>
        <w:fldChar w:fldCharType="end"/>
      </w:r>
    </w:p>
    <w:p w:rsidR="000A156F" w:rsidRDefault="00A9721F">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466</w:t>
      </w:r>
      <w:r>
        <w:fldChar w:fldCharType="end"/>
      </w:r>
    </w:p>
    <w:p w:rsidR="000A156F" w:rsidRDefault="000A156F">
      <w:pPr>
        <w:spacing w:before="0" w:after="0"/>
        <w:rPr>
          <w:sz w:val="16"/>
        </w:rPr>
      </w:pPr>
    </w:p>
    <w:p w:rsidR="000A156F" w:rsidRDefault="00A9721F">
      <w:pPr>
        <w:pStyle w:val="indexheader"/>
      </w:pPr>
      <w:r>
        <w:t>H</w:t>
      </w:r>
    </w:p>
    <w:p w:rsidR="000A156F" w:rsidRDefault="000A156F">
      <w:pPr>
        <w:spacing w:before="0" w:after="0"/>
        <w:rPr>
          <w:sz w:val="16"/>
        </w:rPr>
      </w:pPr>
    </w:p>
    <w:p w:rsidR="000A156F" w:rsidRDefault="00A9721F">
      <w:pPr>
        <w:pStyle w:val="indexentry0"/>
      </w:pPr>
      <w:hyperlink w:anchor="section_2492a099586a4b7599a539bb273e5c0a">
        <w:r>
          <w:rPr>
            <w:rStyle w:val="Hyperlink"/>
          </w:rPr>
          <w:t>h (Height)</w:t>
        </w:r>
      </w:hyperlink>
      <w:r>
        <w:t xml:space="preserve"> </w:t>
      </w:r>
      <w:r>
        <w:fldChar w:fldCharType="begin"/>
      </w:r>
      <w:r>
        <w:instrText>PAGEREF sec</w:instrText>
      </w:r>
      <w:r>
        <w:instrText>tion_2492a099586a4b7599a539bb273e5c0a</w:instrText>
      </w:r>
      <w:r>
        <w:fldChar w:fldCharType="separate"/>
      </w:r>
      <w:r>
        <w:rPr>
          <w:noProof/>
        </w:rPr>
        <w:t>560</w:t>
      </w:r>
      <w:r>
        <w:fldChar w:fldCharType="end"/>
      </w:r>
    </w:p>
    <w:p w:rsidR="000A156F" w:rsidRDefault="00A9721F">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650</w:t>
      </w:r>
      <w:r>
        <w:fldChar w:fldCharType="end"/>
      </w:r>
    </w:p>
    <w:p w:rsidR="000A156F" w:rsidRDefault="00A9721F">
      <w:pPr>
        <w:pStyle w:val="indexentry0"/>
      </w:pPr>
      <w:hyperlink w:anchor="section_2ab456f168374f4fabf9ba30693c31a1">
        <w:r>
          <w:rPr>
            <w:rStyle w:val="Hyperlink"/>
          </w:rPr>
          <w:t>handles (Set of Handle</w:t>
        </w:r>
        <w:r>
          <w:rPr>
            <w:rStyle w:val="Hyperlink"/>
          </w:rPr>
          <w:t>s)</w:t>
        </w:r>
      </w:hyperlink>
      <w:r>
        <w:t xml:space="preserve"> </w:t>
      </w:r>
      <w:r>
        <w:fldChar w:fldCharType="begin"/>
      </w:r>
      <w:r>
        <w:instrText>PAGEREF section_2ab456f168374f4fabf9ba30693c31a1</w:instrText>
      </w:r>
      <w:r>
        <w:fldChar w:fldCharType="separate"/>
      </w:r>
      <w:r>
        <w:rPr>
          <w:noProof/>
        </w:rPr>
        <w:t>651</w:t>
      </w:r>
      <w:r>
        <w:fldChar w:fldCharType="end"/>
      </w:r>
    </w:p>
    <w:p w:rsidR="000A156F" w:rsidRDefault="00A9721F">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section_6edd755f569e4d1dad791a16230b4fd8</w:instrText>
      </w:r>
      <w:r>
        <w:fldChar w:fldCharType="separate"/>
      </w:r>
      <w:r>
        <w:rPr>
          <w:noProof/>
        </w:rPr>
        <w:t>54</w:t>
      </w:r>
      <w:r>
        <w:fldChar w:fldCharType="end"/>
      </w:r>
    </w:p>
    <w:p w:rsidR="000A156F" w:rsidRDefault="00A9721F">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423</w:t>
      </w:r>
      <w:r>
        <w:fldChar w:fldCharType="end"/>
      </w:r>
    </w:p>
    <w:p w:rsidR="000A156F" w:rsidRDefault="00A9721F">
      <w:pPr>
        <w:pStyle w:val="indexentry0"/>
      </w:pPr>
      <w:hyperlink w:anchor="section_b1588c0913964016a2ea78ce84a81a8e">
        <w:r>
          <w:rPr>
            <w:rStyle w:val="Hyperlink"/>
          </w:rPr>
          <w:t>hash (Hash Code for Record)</w:t>
        </w:r>
      </w:hyperlink>
      <w:r>
        <w:t xml:space="preserve"> </w:t>
      </w:r>
      <w:r>
        <w:fldChar w:fldCharType="begin"/>
      </w:r>
      <w:r>
        <w:instrText>PAGEREF section_b1588c0913964016a2ea78ce84a81a8e</w:instrText>
      </w:r>
      <w:r>
        <w:fldChar w:fldCharType="separate"/>
      </w:r>
      <w:r>
        <w:rPr>
          <w:noProof/>
        </w:rPr>
        <w:t>787</w:t>
      </w:r>
      <w:r>
        <w:fldChar w:fldCharType="end"/>
      </w:r>
    </w:p>
    <w:p w:rsidR="000A156F" w:rsidRDefault="00A9721F">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126</w:t>
      </w:r>
      <w:r>
        <w:fldChar w:fldCharType="end"/>
      </w:r>
    </w:p>
    <w:p w:rsidR="000A156F" w:rsidRDefault="00A9721F">
      <w:pPr>
        <w:pStyle w:val="indexentry0"/>
      </w:pPr>
      <w:hyperlink w:anchor="section_b1d3a78aad5a41ed917f29cbeaa2c9bc">
        <w:r>
          <w:rPr>
            <w:rStyle w:val="Hyperlink"/>
          </w:rPr>
          <w:t>hdrShapeDefaults (Default Properties for VML Objects in Header and Footer)</w:t>
        </w:r>
      </w:hyperlink>
      <w:r>
        <w:t xml:space="preserve"> </w:t>
      </w:r>
      <w:r>
        <w:fldChar w:fldCharType="begin"/>
      </w:r>
      <w:r>
        <w:instrText>PAGEREF section_b1d3a78aad5a41ed917f29cbe</w:instrText>
      </w:r>
      <w:r>
        <w:instrText>aa2c9bc</w:instrText>
      </w:r>
      <w:r>
        <w:fldChar w:fldCharType="separate"/>
      </w:r>
      <w:r>
        <w:rPr>
          <w:noProof/>
        </w:rPr>
        <w:t>635</w:t>
      </w:r>
      <w:r>
        <w:fldChar w:fldCharType="end"/>
      </w:r>
    </w:p>
    <w:p w:rsidR="000A156F" w:rsidRDefault="00A9721F">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83</w:t>
      </w:r>
      <w:r>
        <w:fldChar w:fldCharType="end"/>
      </w:r>
    </w:p>
    <w:p w:rsidR="000A156F" w:rsidRDefault="00A9721F">
      <w:pPr>
        <w:pStyle w:val="indexentry0"/>
      </w:pPr>
      <w:hyperlink w:anchor="section_854db427e1714e5996a93cdd08117c36">
        <w:r>
          <w:rPr>
            <w:rStyle w:val="Hyperlink"/>
          </w:rPr>
          <w:t>header (Header)</w:t>
        </w:r>
      </w:hyperlink>
      <w:r>
        <w:t xml:space="preserve"> </w:t>
      </w:r>
      <w:r>
        <w:fldChar w:fldCharType="begin"/>
      </w:r>
      <w:r>
        <w:instrText>PAGEREF section_854d</w:instrText>
      </w:r>
      <w:r>
        <w:instrText>b427e1714e5996a93cdd08117c36</w:instrText>
      </w:r>
      <w:r>
        <w:fldChar w:fldCharType="separate"/>
      </w:r>
      <w:r>
        <w:rPr>
          <w:noProof/>
        </w:rPr>
        <w:t>368</w:t>
      </w:r>
      <w:r>
        <w:fldChar w:fldCharType="end"/>
      </w:r>
    </w:p>
    <w:p w:rsidR="000A156F" w:rsidRDefault="00A9721F">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560</w:t>
      </w:r>
      <w:r>
        <w:fldChar w:fldCharType="end"/>
      </w:r>
    </w:p>
    <w:p w:rsidR="000A156F" w:rsidRDefault="00A9721F">
      <w:pPr>
        <w:pStyle w:val="indexentry0"/>
      </w:pPr>
      <w:hyperlink w:anchor="section_5de15e593ec14f80aa4d00bdd447b86f">
        <w:r>
          <w:rPr>
            <w:rStyle w:val="Hyperlink"/>
          </w:rPr>
          <w:t>headerReference</w:t>
        </w:r>
        <w:r>
          <w:rPr>
            <w:rStyle w:val="Hyperlink"/>
          </w:rPr>
          <w:t xml:space="preserve"> (Header Reference)</w:t>
        </w:r>
      </w:hyperlink>
      <w:r>
        <w:t xml:space="preserve"> </w:t>
      </w:r>
      <w:r>
        <w:fldChar w:fldCharType="begin"/>
      </w:r>
      <w:r>
        <w:instrText>PAGEREF section_5de15e593ec14f80aa4d00bdd447b86f</w:instrText>
      </w:r>
      <w:r>
        <w:fldChar w:fldCharType="separate"/>
      </w:r>
      <w:r>
        <w:rPr>
          <w:noProof/>
        </w:rPr>
        <w:t>126</w:t>
      </w:r>
      <w:r>
        <w:fldChar w:fldCharType="end"/>
      </w:r>
    </w:p>
    <w:p w:rsidR="000A156F" w:rsidRDefault="00A9721F">
      <w:pPr>
        <w:pStyle w:val="indexentry0"/>
      </w:pPr>
      <w:hyperlink w:anchor="section_89821d899e9048f38b136c6f025b6657">
        <w:r>
          <w:rPr>
            <w:rStyle w:val="Hyperlink"/>
          </w:rPr>
          <w:t>headers (Header Cells Associated With Table Cell)</w:t>
        </w:r>
      </w:hyperlink>
      <w:r>
        <w:t xml:space="preserve"> </w:t>
      </w:r>
      <w:r>
        <w:fldChar w:fldCharType="begin"/>
      </w:r>
      <w:r>
        <w:instrText>PAGEREF section_89821d899e9048f38b136c6f025b6657</w:instrText>
      </w:r>
      <w:r>
        <w:fldChar w:fldCharType="separate"/>
      </w:r>
      <w:r>
        <w:rPr>
          <w:noProof/>
        </w:rPr>
        <w:t>83</w:t>
      </w:r>
      <w:r>
        <w:fldChar w:fldCharType="end"/>
      </w:r>
    </w:p>
    <w:p w:rsidR="000A156F" w:rsidRDefault="00A9721F">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368</w:t>
      </w:r>
      <w:r>
        <w:fldChar w:fldCharType="end"/>
      </w:r>
    </w:p>
    <w:p w:rsidR="000A156F" w:rsidRDefault="00A9721F">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143</w:t>
      </w:r>
      <w:r>
        <w:fldChar w:fldCharType="end"/>
      </w:r>
    </w:p>
    <w:p w:rsidR="000A156F" w:rsidRDefault="00A9721F">
      <w:pPr>
        <w:pStyle w:val="indexentry0"/>
      </w:pPr>
      <w:hyperlink w:anchor="section_7bbab4664477424b9c52cc9800547d7b">
        <w:r>
          <w:rPr>
            <w:rStyle w:val="Hyperlink"/>
          </w:rPr>
          <w:t>HeadingPairs (Heading Pairs)</w:t>
        </w:r>
      </w:hyperlink>
      <w:r>
        <w:t xml:space="preserve"> </w:t>
      </w:r>
      <w:r>
        <w:fldChar w:fldCharType="begin"/>
      </w:r>
      <w:r>
        <w:instrText>PAGEREF section_7bbab4664477424b9c52cc9800547d7b</w:instrText>
      </w:r>
      <w:r>
        <w:fldChar w:fldCharType="separate"/>
      </w:r>
      <w:r>
        <w:rPr>
          <w:noProof/>
        </w:rPr>
        <w:t>613</w:t>
      </w:r>
      <w:r>
        <w:fldChar w:fldCharType="end"/>
      </w:r>
    </w:p>
    <w:p w:rsidR="000A156F" w:rsidRDefault="00A9721F">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83</w:t>
      </w:r>
      <w:r>
        <w:fldChar w:fldCharType="end"/>
      </w:r>
    </w:p>
    <w:p w:rsidR="000A156F" w:rsidRDefault="00A9721F">
      <w:pPr>
        <w:pStyle w:val="indexentry0"/>
      </w:pPr>
      <w:hyperlink w:anchor="section_c0865addb937497b8bea368b654b6329">
        <w:r>
          <w:rPr>
            <w:rStyle w:val="Hyperlink"/>
          </w:rPr>
          <w:t>hideMark (Ignore End Of Cell Marker In Row Height Calculation)</w:t>
        </w:r>
      </w:hyperlink>
      <w:r>
        <w:t xml:space="preserve"> </w:t>
      </w:r>
      <w:r>
        <w:fldChar w:fldCharType="begin"/>
      </w:r>
      <w:r>
        <w:instrText>PAGEREF section_c0865addb937497b8bea368b65</w:instrText>
      </w:r>
      <w:r>
        <w:instrText>4b6329</w:instrText>
      </w:r>
      <w:r>
        <w:fldChar w:fldCharType="separate"/>
      </w:r>
      <w:r>
        <w:rPr>
          <w:noProof/>
        </w:rPr>
        <w:t>83</w:t>
      </w:r>
      <w:r>
        <w:fldChar w:fldCharType="end"/>
      </w:r>
    </w:p>
    <w:p w:rsidR="000A156F" w:rsidRDefault="00A9721F">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section_e07a90e276b547dd8bf4668a806177c7</w:instrText>
      </w:r>
      <w:r>
        <w:fldChar w:fldCharType="separate"/>
      </w:r>
      <w:r>
        <w:rPr>
          <w:noProof/>
        </w:rPr>
        <w:t>71</w:t>
      </w:r>
      <w:r>
        <w:fldChar w:fldCharType="end"/>
      </w:r>
    </w:p>
    <w:p w:rsidR="000A156F" w:rsidRDefault="00A9721F">
      <w:pPr>
        <w:pStyle w:val="indexentry0"/>
      </w:pPr>
      <w:hyperlink w:anchor="section_b3ef6d7b692d497c8c88e6cff3558e47">
        <w:r>
          <w:rPr>
            <w:rStyle w:val="Hyperlink"/>
          </w:rPr>
          <w:t>hlink (Hyperlink)</w:t>
        </w:r>
      </w:hyperlink>
      <w:r>
        <w:t xml:space="preserve"> </w:t>
      </w:r>
      <w:r>
        <w:fldChar w:fldCharType="begin"/>
      </w:r>
      <w:r>
        <w:instrText>PAGEREF section_b3ef</w:instrText>
      </w:r>
      <w:r>
        <w:instrText>6d7b692d497c8c88e6cff3558e47</w:instrText>
      </w:r>
      <w:r>
        <w:fldChar w:fldCharType="separate"/>
      </w:r>
      <w:r>
        <w:rPr>
          <w:noProof/>
        </w:rPr>
        <w:t>506</w:t>
      </w:r>
      <w:r>
        <w:fldChar w:fldCharType="end"/>
      </w:r>
    </w:p>
    <w:p w:rsidR="000A156F" w:rsidRDefault="00A9721F">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section_a65b76db6abc49898cd1baa9a3500f6f</w:instrText>
      </w:r>
      <w:r>
        <w:fldChar w:fldCharType="separate"/>
      </w:r>
      <w:r>
        <w:rPr>
          <w:noProof/>
        </w:rPr>
        <w:t>541</w:t>
      </w:r>
      <w:r>
        <w:fldChar w:fldCharType="end"/>
      </w:r>
    </w:p>
    <w:p w:rsidR="000A156F" w:rsidRDefault="00A9721F">
      <w:pPr>
        <w:pStyle w:val="indexentry0"/>
      </w:pPr>
      <w:hyperlink w:anchor="section_9ed01f1809cb47df94f37968e6f48bbf">
        <w:r>
          <w:rPr>
            <w:rStyle w:val="Hyperlink"/>
          </w:rPr>
          <w:t>hlinkHover (Hyperli</w:t>
        </w:r>
        <w:r>
          <w:rPr>
            <w:rStyle w:val="Hyperlink"/>
          </w:rPr>
          <w:t>nk for Hover)</w:t>
        </w:r>
      </w:hyperlink>
      <w:r>
        <w:t xml:space="preserve"> </w:t>
      </w:r>
      <w:r>
        <w:fldChar w:fldCharType="begin"/>
      </w:r>
      <w:r>
        <w:instrText>PAGEREF section_9ed01f1809cb47df94f37968e6f48bbf</w:instrText>
      </w:r>
      <w:r>
        <w:fldChar w:fldCharType="separate"/>
      </w:r>
      <w:r>
        <w:rPr>
          <w:noProof/>
        </w:rPr>
        <w:t>497</w:t>
      </w:r>
      <w:r>
        <w:fldChar w:fldCharType="end"/>
      </w:r>
    </w:p>
    <w:p w:rsidR="000A156F" w:rsidRDefault="00A9721F">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542</w:t>
      </w:r>
      <w:r>
        <w:fldChar w:fldCharType="end"/>
      </w:r>
    </w:p>
    <w:p w:rsidR="000A156F" w:rsidRDefault="00A9721F">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613</w:t>
      </w:r>
      <w:r>
        <w:fldChar w:fldCharType="end"/>
      </w:r>
    </w:p>
    <w:p w:rsidR="000A156F" w:rsidRDefault="00A9721F">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423</w:t>
      </w:r>
      <w:r>
        <w:fldChar w:fldCharType="end"/>
      </w:r>
    </w:p>
    <w:p w:rsidR="000A156F" w:rsidRDefault="00A9721F">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631</w:t>
      </w:r>
      <w:r>
        <w:fldChar w:fldCharType="end"/>
      </w:r>
    </w:p>
    <w:p w:rsidR="000A156F" w:rsidRDefault="00A9721F">
      <w:pPr>
        <w:pStyle w:val="indexentry0"/>
      </w:pPr>
      <w:hyperlink w:anchor="section_4d59213a27af49019006ff11f30589b4">
        <w:r>
          <w:rPr>
            <w:rStyle w:val="Hyperlink"/>
          </w:rPr>
          <w:t>hMode (Height Mode)</w:t>
        </w:r>
      </w:hyperlink>
      <w:r>
        <w:t xml:space="preserve"> </w:t>
      </w:r>
      <w:r>
        <w:fldChar w:fldCharType="begin"/>
      </w:r>
      <w:r>
        <w:instrText>PAGEREF section_4d59213a</w:instrText>
      </w:r>
      <w:r>
        <w:instrText>27af49019006ff11f30589b4</w:instrText>
      </w:r>
      <w:r>
        <w:fldChar w:fldCharType="separate"/>
      </w:r>
      <w:r>
        <w:rPr>
          <w:noProof/>
        </w:rPr>
        <w:t>560</w:t>
      </w:r>
      <w:r>
        <w:fldChar w:fldCharType="end"/>
      </w:r>
    </w:p>
    <w:p w:rsidR="000A156F" w:rsidRDefault="00A9721F">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section_21355c07074d42ba8c5e37e6f33692ac</w:instrText>
      </w:r>
      <w:r>
        <w:fldChar w:fldCharType="separate"/>
      </w:r>
      <w:r>
        <w:rPr>
          <w:noProof/>
        </w:rPr>
        <w:t>560</w:t>
      </w:r>
      <w:r>
        <w:fldChar w:fldCharType="end"/>
      </w:r>
    </w:p>
    <w:p w:rsidR="000A156F" w:rsidRDefault="00A9721F">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685</w:t>
      </w:r>
      <w:r>
        <w:fldChar w:fldCharType="end"/>
      </w:r>
    </w:p>
    <w:p w:rsidR="000A156F" w:rsidRDefault="00A9721F">
      <w:pPr>
        <w:pStyle w:val="indexentry0"/>
      </w:pPr>
      <w:hyperlink w:anchor="section_ee1023c3257842ec982b0963e5328487">
        <w:r>
          <w:rPr>
            <w:rStyle w:val="Hyperlink"/>
          </w:rPr>
          <w:t>HorizontalResolution (Horizontal Resolution)</w:t>
        </w:r>
      </w:hyperlink>
      <w:r>
        <w:t xml:space="preserve"> </w:t>
      </w:r>
      <w:r>
        <w:fldChar w:fldCharType="begin"/>
      </w:r>
      <w:r>
        <w:instrText>PAGEREF section_ee1023c3257842ec982b0963e5328487</w:instrText>
      </w:r>
      <w:r>
        <w:fldChar w:fldCharType="separate"/>
      </w:r>
      <w:r>
        <w:rPr>
          <w:noProof/>
        </w:rPr>
        <w:t>890</w:t>
      </w:r>
      <w:r>
        <w:fldChar w:fldCharType="end"/>
      </w:r>
    </w:p>
    <w:p w:rsidR="000A156F" w:rsidRDefault="00A9721F">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423</w:t>
      </w:r>
      <w:r>
        <w:fldChar w:fldCharType="end"/>
      </w:r>
    </w:p>
    <w:p w:rsidR="000A156F" w:rsidRDefault="00A9721F">
      <w:pPr>
        <w:pStyle w:val="indexentry0"/>
      </w:pPr>
      <w:hyperlink w:anchor="section_efdfd9b1197c426ba356d35c55a14eae">
        <w:r>
          <w:rPr>
            <w:rStyle w:val="Hyperlink"/>
          </w:rPr>
          <w:t>hPercent (Height Percent)</w:t>
        </w:r>
      </w:hyperlink>
      <w:r>
        <w:t xml:space="preserve"> </w:t>
      </w:r>
      <w:r>
        <w:fldChar w:fldCharType="begin"/>
      </w:r>
      <w:r>
        <w:instrText>PAGEREF section_efdfd9b1197c426ba356d35c55a14eae</w:instrText>
      </w:r>
      <w:r>
        <w:fldChar w:fldCharType="separate"/>
      </w:r>
      <w:r>
        <w:rPr>
          <w:noProof/>
        </w:rPr>
        <w:t>561</w:t>
      </w:r>
      <w:r>
        <w:fldChar w:fldCharType="end"/>
      </w:r>
    </w:p>
    <w:p w:rsidR="000A156F" w:rsidRDefault="00A9721F">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section_22f2ace97cdb4742a9ffcaf620a17baa</w:instrText>
      </w:r>
      <w:r>
        <w:fldChar w:fldCharType="separate"/>
      </w:r>
      <w:r>
        <w:rPr>
          <w:noProof/>
        </w:rPr>
        <w:t>79</w:t>
      </w:r>
      <w:r>
        <w:fldChar w:fldCharType="end"/>
      </w:r>
    </w:p>
    <w:p w:rsidR="000A156F" w:rsidRDefault="00A9721F">
      <w:pPr>
        <w:pStyle w:val="indexentry0"/>
      </w:pPr>
      <w:hyperlink w:anchor="section_83fd63d248604f1dbaa1a56f47841220">
        <w:r>
          <w:rPr>
            <w:rStyle w:val="Hyperlink"/>
          </w:rPr>
          <w:t>hsl (HSL)</w:t>
        </w:r>
      </w:hyperlink>
      <w:r>
        <w:t xml:space="preserve"> </w:t>
      </w:r>
      <w:r>
        <w:fldChar w:fldCharType="begin"/>
      </w:r>
      <w:r>
        <w:instrText>PAGEREF section_83fd63d24860</w:instrText>
      </w:r>
      <w:r>
        <w:instrText>4f1dbaa1a56f47841220</w:instrText>
      </w:r>
      <w:r>
        <w:fldChar w:fldCharType="separate"/>
      </w:r>
      <w:r>
        <w:rPr>
          <w:noProof/>
        </w:rPr>
        <w:t>483</w:t>
      </w:r>
      <w:r>
        <w:fldChar w:fldCharType="end"/>
      </w:r>
    </w:p>
    <w:p w:rsidR="000A156F" w:rsidRDefault="00A9721F">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section_d5976d9d9727403c8c483560f8a6f016</w:instrText>
      </w:r>
      <w:r>
        <w:fldChar w:fldCharType="separate"/>
      </w:r>
      <w:r>
        <w:rPr>
          <w:noProof/>
        </w:rPr>
        <w:t>518</w:t>
      </w:r>
      <w:r>
        <w:fldChar w:fldCharType="end"/>
      </w:r>
    </w:p>
    <w:p w:rsidR="000A156F" w:rsidRDefault="00A9721F">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501</w:t>
      </w:r>
      <w:r>
        <w:fldChar w:fldCharType="end"/>
      </w:r>
    </w:p>
    <w:p w:rsidR="000A156F" w:rsidRDefault="00A9721F">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501</w:t>
      </w:r>
      <w:r>
        <w:fldChar w:fldCharType="end"/>
      </w:r>
    </w:p>
    <w:p w:rsidR="000A156F" w:rsidRDefault="00A9721F">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501</w:t>
      </w:r>
      <w:r>
        <w:fldChar w:fldCharType="end"/>
      </w:r>
    </w:p>
    <w:p w:rsidR="000A156F" w:rsidRDefault="00A9721F">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501</w:t>
      </w:r>
      <w:r>
        <w:fldChar w:fldCharType="end"/>
      </w:r>
    </w:p>
    <w:p w:rsidR="000A156F" w:rsidRDefault="00A9721F">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215</w:t>
      </w:r>
      <w:r>
        <w:fldChar w:fldCharType="end"/>
      </w:r>
    </w:p>
    <w:p w:rsidR="000A156F" w:rsidRDefault="00A9721F">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w:instrText>
      </w:r>
      <w:r>
        <w:instrText>9e531781</w:instrText>
      </w:r>
      <w:r>
        <w:fldChar w:fldCharType="separate"/>
      </w:r>
      <w:r>
        <w:rPr>
          <w:noProof/>
        </w:rPr>
        <w:t>225</w:t>
      </w:r>
      <w:r>
        <w:fldChar w:fldCharType="end"/>
      </w:r>
      <w:r>
        <w:t xml:space="preserve">, </w:t>
      </w:r>
      <w:hyperlink w:anchor="section_842e6c5ecfaf4d168395a64547b5e22b">
        <w:r>
          <w:rPr>
            <w:rStyle w:val="Hyperlink"/>
          </w:rPr>
          <w:t>section 2.1.626</w:t>
        </w:r>
      </w:hyperlink>
      <w:r>
        <w:t xml:space="preserve"> </w:t>
      </w:r>
      <w:r>
        <w:fldChar w:fldCharType="begin"/>
      </w:r>
      <w:r>
        <w:instrText>PAGEREF section_842e6c5ecfaf4d168395a64547b5e22b</w:instrText>
      </w:r>
      <w:r>
        <w:fldChar w:fldCharType="separate"/>
      </w:r>
      <w:r>
        <w:rPr>
          <w:noProof/>
        </w:rPr>
        <w:t>263</w:t>
      </w:r>
      <w:r>
        <w:fldChar w:fldCharType="end"/>
      </w:r>
      <w:r>
        <w:t>)</w:t>
      </w:r>
    </w:p>
    <w:p w:rsidR="000A156F" w:rsidRDefault="00A9721F">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803</w:t>
      </w:r>
      <w:r>
        <w:fldChar w:fldCharType="end"/>
      </w:r>
    </w:p>
    <w:p w:rsidR="000A156F" w:rsidRDefault="00A9721F">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section_678b19e3244248e8968a61d46a51d2e0</w:instrText>
      </w:r>
      <w:r>
        <w:fldChar w:fldCharType="separate"/>
      </w:r>
      <w:r>
        <w:rPr>
          <w:noProof/>
        </w:rPr>
        <w:t>154</w:t>
      </w:r>
      <w:r>
        <w:fldChar w:fldCharType="end"/>
      </w:r>
    </w:p>
    <w:p w:rsidR="000A156F" w:rsidRDefault="000A156F">
      <w:pPr>
        <w:spacing w:before="0" w:after="0"/>
        <w:rPr>
          <w:sz w:val="16"/>
        </w:rPr>
      </w:pPr>
    </w:p>
    <w:p w:rsidR="000A156F" w:rsidRDefault="00A9721F">
      <w:pPr>
        <w:pStyle w:val="indexheader"/>
      </w:pPr>
      <w:r>
        <w:t>I</w:t>
      </w:r>
    </w:p>
    <w:p w:rsidR="000A156F" w:rsidRDefault="000A156F">
      <w:pPr>
        <w:spacing w:before="0" w:after="0"/>
        <w:rPr>
          <w:sz w:val="16"/>
        </w:rPr>
      </w:pPr>
    </w:p>
    <w:p w:rsidR="000A156F" w:rsidRDefault="00A9721F">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71</w:t>
      </w:r>
      <w:r>
        <w:fldChar w:fldCharType="end"/>
      </w:r>
    </w:p>
    <w:p w:rsidR="000A156F" w:rsidRDefault="00A9721F">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336</w:t>
      </w:r>
      <w:r>
        <w:fldChar w:fldCharType="end"/>
      </w:r>
    </w:p>
    <w:p w:rsidR="000A156F" w:rsidRDefault="00A9721F">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289</w:t>
      </w:r>
      <w:r>
        <w:fldChar w:fldCharType="end"/>
      </w:r>
    </w:p>
    <w:p w:rsidR="000A156F" w:rsidRDefault="00A9721F">
      <w:pPr>
        <w:pStyle w:val="indexentry0"/>
      </w:pPr>
      <w:hyperlink w:anchor="section_22f74ff1babf4b338095058fc001c105">
        <w:r>
          <w:rPr>
            <w:rStyle w:val="Hyperlink"/>
          </w:rPr>
          <w:t>iCs (Complex Script Italics)</w:t>
        </w:r>
      </w:hyperlink>
      <w:r>
        <w:t xml:space="preserve"> </w:t>
      </w:r>
      <w:r>
        <w:fldChar w:fldCharType="begin"/>
      </w:r>
      <w:r>
        <w:instrText>PAGEREF section_22f74ff1</w:instrText>
      </w:r>
      <w:r>
        <w:instrText>babf4b338095058fc001c105</w:instrText>
      </w:r>
      <w:r>
        <w:fldChar w:fldCharType="separate"/>
      </w:r>
      <w:r>
        <w:rPr>
          <w:noProof/>
        </w:rPr>
        <w:t>71</w:t>
      </w:r>
      <w:r>
        <w:fldChar w:fldCharType="end"/>
      </w:r>
    </w:p>
    <w:p w:rsidR="000A156F" w:rsidRDefault="00A9721F">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97</w:t>
      </w:r>
      <w:r>
        <w:fldChar w:fldCharType="end"/>
      </w:r>
    </w:p>
    <w:p w:rsidR="000A156F" w:rsidRDefault="00A9721F">
      <w:pPr>
        <w:pStyle w:val="indexentry0"/>
      </w:pPr>
      <w:hyperlink w:anchor="section_d6a35fd178c64d449ee9d71317adf673">
        <w:r>
          <w:rPr>
            <w:rStyle w:val="Hyperlink"/>
          </w:rPr>
          <w:t>idmap (Shape ID Map)</w:t>
        </w:r>
      </w:hyperlink>
      <w:r>
        <w:t xml:space="preserve"> </w:t>
      </w:r>
      <w:r>
        <w:fldChar w:fldCharType="begin"/>
      </w:r>
      <w:r>
        <w:instrText>PAGEREF sectio</w:instrText>
      </w:r>
      <w:r>
        <w:instrText>n_d6a35fd178c64d449ee9d71317adf673</w:instrText>
      </w:r>
      <w:r>
        <w:fldChar w:fldCharType="separate"/>
      </w:r>
      <w:r>
        <w:rPr>
          <w:noProof/>
        </w:rPr>
        <w:t>675</w:t>
      </w:r>
      <w:r>
        <w:fldChar w:fldCharType="end"/>
      </w:r>
    </w:p>
    <w:p w:rsidR="000A156F" w:rsidRDefault="00A9721F">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561</w:t>
      </w:r>
      <w:r>
        <w:fldChar w:fldCharType="end"/>
      </w:r>
    </w:p>
    <w:p w:rsidR="000A156F" w:rsidRDefault="00A9721F">
      <w:pPr>
        <w:pStyle w:val="indexentry0"/>
      </w:pPr>
      <w:r>
        <w:t>IF (</w:t>
      </w:r>
      <w:hyperlink w:anchor="section_e7feed5302724346ac5c26342d8dfdf5">
        <w:r>
          <w:rPr>
            <w:rStyle w:val="Hyperlink"/>
          </w:rPr>
          <w:t>section 2.1.478</w:t>
        </w:r>
      </w:hyperlink>
      <w:r>
        <w:t xml:space="preserve"> </w:t>
      </w:r>
      <w:r>
        <w:fldChar w:fldCharType="begin"/>
      </w:r>
      <w:r>
        <w:instrText xml:space="preserve">PAGEREF </w:instrText>
      </w:r>
      <w:r>
        <w:instrText>section_e7feed5302724346ac5c26342d8dfdf5</w:instrText>
      </w:r>
      <w:r>
        <w:fldChar w:fldCharType="separate"/>
      </w:r>
      <w:r>
        <w:rPr>
          <w:noProof/>
        </w:rPr>
        <w:t>215</w:t>
      </w:r>
      <w:r>
        <w:fldChar w:fldCharType="end"/>
      </w:r>
      <w:r>
        <w:t xml:space="preserve">, </w:t>
      </w:r>
      <w:hyperlink w:anchor="section_10cbd87900d34a2e9f3234b7ecab1d49">
        <w:r>
          <w:rPr>
            <w:rStyle w:val="Hyperlink"/>
          </w:rPr>
          <w:t>section 2.1.963</w:t>
        </w:r>
      </w:hyperlink>
      <w:r>
        <w:t xml:space="preserve"> </w:t>
      </w:r>
      <w:r>
        <w:fldChar w:fldCharType="begin"/>
      </w:r>
      <w:r>
        <w:instrText>PAGEREF section_10cbd87900d34a2e9f3234b7ecab1d49</w:instrText>
      </w:r>
      <w:r>
        <w:fldChar w:fldCharType="separate"/>
      </w:r>
      <w:r>
        <w:rPr>
          <w:noProof/>
        </w:rPr>
        <w:t>424</w:t>
      </w:r>
      <w:r>
        <w:fldChar w:fldCharType="end"/>
      </w:r>
      <w:r>
        <w:t>)</w:t>
      </w:r>
    </w:p>
    <w:p w:rsidR="000A156F" w:rsidRDefault="00A9721F">
      <w:pPr>
        <w:pStyle w:val="indexentry0"/>
      </w:pPr>
      <w:hyperlink w:anchor="section_7311ea9061a4418aa67ac5a29a456273">
        <w:r>
          <w:rPr>
            <w:rStyle w:val="Hyperlink"/>
          </w:rPr>
          <w:t>IFERROR</w:t>
        </w:r>
      </w:hyperlink>
      <w:r>
        <w:t xml:space="preserve"> </w:t>
      </w:r>
      <w:r>
        <w:fldChar w:fldCharType="begin"/>
      </w:r>
      <w:r>
        <w:instrText xml:space="preserve">PAGEREF </w:instrText>
      </w:r>
      <w:r>
        <w:instrText>section_7311ea9061a4418aa67ac5a29a456273</w:instrText>
      </w:r>
      <w:r>
        <w:fldChar w:fldCharType="separate"/>
      </w:r>
      <w:r>
        <w:rPr>
          <w:noProof/>
        </w:rPr>
        <w:t>424</w:t>
      </w:r>
      <w:r>
        <w:fldChar w:fldCharType="end"/>
      </w:r>
    </w:p>
    <w:p w:rsidR="000A156F" w:rsidRDefault="00A9721F">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section_68d330fe5d134f51a64f8fea06399023</w:instrText>
      </w:r>
      <w:r>
        <w:fldChar w:fldCharType="separate"/>
      </w:r>
      <w:r>
        <w:rPr>
          <w:noProof/>
        </w:rPr>
        <w:t>263</w:t>
      </w:r>
      <w:r>
        <w:fldChar w:fldCharType="end"/>
      </w:r>
    </w:p>
    <w:p w:rsidR="000A156F" w:rsidRDefault="00A9721F">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263</w:t>
      </w:r>
      <w:r>
        <w:fldChar w:fldCharType="end"/>
      </w:r>
    </w:p>
    <w:p w:rsidR="000A156F" w:rsidRDefault="00A9721F">
      <w:pPr>
        <w:pStyle w:val="indexentry0"/>
      </w:pPr>
      <w:hyperlink w:anchor="section_b7139e3b7f1f43d18df72022ec0c2c2d">
        <w:r>
          <w:rPr>
            <w:rStyle w:val="Hyperlink"/>
          </w:rPr>
          <w:t>ilvl (Numbering Level Reference)</w:t>
        </w:r>
      </w:hyperlink>
      <w:r>
        <w:t xml:space="preserve"> </w:t>
      </w:r>
      <w:r>
        <w:fldChar w:fldCharType="begin"/>
      </w:r>
      <w:r>
        <w:instrText>PAGEREF section_b7139e3b7f1f43d18df72022ec0c2c2d</w:instrText>
      </w:r>
      <w:r>
        <w:fldChar w:fldCharType="separate"/>
      </w:r>
      <w:r>
        <w:rPr>
          <w:noProof/>
        </w:rPr>
        <w:t>123</w:t>
      </w:r>
      <w:r>
        <w:fldChar w:fldCharType="end"/>
      </w:r>
    </w:p>
    <w:p w:rsidR="000A156F" w:rsidRDefault="00A9721F">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651</w:t>
      </w:r>
      <w:r>
        <w:fldChar w:fldCharType="end"/>
      </w:r>
    </w:p>
    <w:p w:rsidR="000A156F" w:rsidRDefault="00A9721F">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61</w:t>
      </w:r>
      <w:r>
        <w:fldChar w:fldCharType="end"/>
      </w:r>
    </w:p>
    <w:p w:rsidR="000A156F" w:rsidRDefault="00A9721F">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652</w:t>
      </w:r>
      <w:r>
        <w:fldChar w:fldCharType="end"/>
      </w:r>
    </w:p>
    <w:p w:rsidR="000A156F" w:rsidRDefault="00A9721F">
      <w:pPr>
        <w:pStyle w:val="indexentry0"/>
      </w:pPr>
      <w:hyperlink w:anchor="section_2367967f202d49569278f2ba1e5afe7f">
        <w:r>
          <w:rPr>
            <w:rStyle w:val="Hyperlink"/>
          </w:rPr>
          <w:t>IMARGUMENT</w:t>
        </w:r>
      </w:hyperlink>
      <w:r>
        <w:t xml:space="preserve"> </w:t>
      </w:r>
      <w:r>
        <w:fldChar w:fldCharType="begin"/>
      </w:r>
      <w:r>
        <w:instrText>PAGEREF section_2367967f202d49569278f2ba1e5afe7f</w:instrText>
      </w:r>
      <w:r>
        <w:fldChar w:fldCharType="separate"/>
      </w:r>
      <w:r>
        <w:rPr>
          <w:noProof/>
        </w:rPr>
        <w:t>424</w:t>
      </w:r>
      <w:r>
        <w:fldChar w:fldCharType="end"/>
      </w:r>
    </w:p>
    <w:p w:rsidR="000A156F" w:rsidRDefault="00A9721F">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424</w:t>
      </w:r>
      <w:r>
        <w:fldChar w:fldCharType="end"/>
      </w:r>
    </w:p>
    <w:p w:rsidR="000A156F" w:rsidRDefault="00A9721F">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424</w:t>
      </w:r>
      <w:r>
        <w:fldChar w:fldCharType="end"/>
      </w:r>
    </w:p>
    <w:p w:rsidR="000A156F" w:rsidRDefault="00A9721F">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424</w:t>
      </w:r>
      <w:r>
        <w:fldChar w:fldCharType="end"/>
      </w:r>
    </w:p>
    <w:p w:rsidR="000A156F" w:rsidRDefault="00A9721F">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425</w:t>
      </w:r>
      <w:r>
        <w:fldChar w:fldCharType="end"/>
      </w:r>
    </w:p>
    <w:p w:rsidR="000A156F" w:rsidRDefault="00A9721F">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822</w:t>
      </w:r>
      <w:r>
        <w:fldChar w:fldCharType="end"/>
      </w:r>
    </w:p>
    <w:p w:rsidR="000A156F" w:rsidRDefault="00A9721F">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425</w:t>
      </w:r>
      <w:r>
        <w:fldChar w:fldCharType="end"/>
      </w:r>
    </w:p>
    <w:p w:rsidR="000A156F" w:rsidRDefault="00A9721F">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71</w:t>
      </w:r>
      <w:r>
        <w:fldChar w:fldCharType="end"/>
      </w:r>
    </w:p>
    <w:p w:rsidR="000A156F" w:rsidRDefault="00A9721F">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425</w:t>
      </w:r>
      <w:r>
        <w:fldChar w:fldCharType="end"/>
      </w:r>
    </w:p>
    <w:p w:rsidR="000A156F" w:rsidRDefault="00A9721F">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425</w:t>
      </w:r>
      <w:r>
        <w:fldChar w:fldCharType="end"/>
      </w:r>
    </w:p>
    <w:p w:rsidR="000A156F" w:rsidRDefault="00A9721F">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w:instrText>
      </w:r>
      <w:r>
        <w:instrText>b169</w:instrText>
      </w:r>
      <w:r>
        <w:fldChar w:fldCharType="separate"/>
      </w:r>
      <w:r>
        <w:rPr>
          <w:noProof/>
        </w:rPr>
        <w:t>685</w:t>
      </w:r>
      <w:r>
        <w:fldChar w:fldCharType="end"/>
      </w:r>
    </w:p>
    <w:p w:rsidR="000A156F" w:rsidRDefault="00A9721F">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822</w:t>
      </w:r>
      <w:r>
        <w:fldChar w:fldCharType="end"/>
      </w:r>
    </w:p>
    <w:p w:rsidR="000A156F" w:rsidRDefault="00A9721F">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215</w:t>
      </w:r>
      <w:r>
        <w:fldChar w:fldCharType="end"/>
      </w:r>
    </w:p>
    <w:p w:rsidR="000A156F" w:rsidRDefault="00A9721F">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63</w:t>
      </w:r>
      <w:r>
        <w:fldChar w:fldCharType="end"/>
      </w:r>
    </w:p>
    <w:p w:rsidR="000A156F" w:rsidRDefault="00A9721F">
      <w:pPr>
        <w:pStyle w:val="indexentry0"/>
      </w:pPr>
      <w:r>
        <w:t>INDEX (</w:t>
      </w:r>
      <w:hyperlink w:anchor="section_9986087533d546d68d5276e0cdcd5da3">
        <w:r>
          <w:rPr>
            <w:rStyle w:val="Hyperlink"/>
          </w:rPr>
          <w:t>section 2.1.480</w:t>
        </w:r>
      </w:hyperlink>
      <w:r>
        <w:t xml:space="preserve"> </w:t>
      </w:r>
      <w:r>
        <w:fldChar w:fldCharType="begin"/>
      </w:r>
      <w:r>
        <w:instrText>PAGEREF section_998608753</w:instrText>
      </w:r>
      <w:r>
        <w:instrText>3d546d68d5276e0cdcd5da3</w:instrText>
      </w:r>
      <w:r>
        <w:fldChar w:fldCharType="separate"/>
      </w:r>
      <w:r>
        <w:rPr>
          <w:noProof/>
        </w:rPr>
        <w:t>216</w:t>
      </w:r>
      <w:r>
        <w:fldChar w:fldCharType="end"/>
      </w:r>
      <w:r>
        <w:t xml:space="preserve">, </w:t>
      </w:r>
      <w:hyperlink w:anchor="section_8a9e8a05d0934fe185658f8f6671995b">
        <w:r>
          <w:rPr>
            <w:rStyle w:val="Hyperlink"/>
          </w:rPr>
          <w:t>section 2.1.973</w:t>
        </w:r>
      </w:hyperlink>
      <w:r>
        <w:t xml:space="preserve"> </w:t>
      </w:r>
      <w:r>
        <w:fldChar w:fldCharType="begin"/>
      </w:r>
      <w:r>
        <w:instrText>PAGEREF section_8a9e8a05d0934fe185658f8f6671995b</w:instrText>
      </w:r>
      <w:r>
        <w:fldChar w:fldCharType="separate"/>
      </w:r>
      <w:r>
        <w:rPr>
          <w:noProof/>
        </w:rPr>
        <w:t>425</w:t>
      </w:r>
      <w:r>
        <w:fldChar w:fldCharType="end"/>
      </w:r>
      <w:r>
        <w:t>)</w:t>
      </w:r>
    </w:p>
    <w:p w:rsidR="000A156F" w:rsidRDefault="00A9721F">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299</w:t>
      </w:r>
      <w:r>
        <w:fldChar w:fldCharType="end"/>
      </w:r>
    </w:p>
    <w:p w:rsidR="000A156F" w:rsidRDefault="00A9721F">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425</w:t>
      </w:r>
      <w:r>
        <w:fldChar w:fldCharType="end"/>
      </w:r>
    </w:p>
    <w:p w:rsidR="000A156F" w:rsidRDefault="00A9721F">
      <w:pPr>
        <w:pStyle w:val="indexentry0"/>
      </w:pPr>
      <w:hyperlink w:anchor="section_ed33866d5a02492e87a6a1aca55d9d16">
        <w:r>
          <w:rPr>
            <w:rStyle w:val="Hyperlink"/>
          </w:rPr>
          <w:t>INFO</w:t>
        </w:r>
      </w:hyperlink>
      <w:r>
        <w:t xml:space="preserve"> </w:t>
      </w:r>
      <w:r>
        <w:fldChar w:fldCharType="begin"/>
      </w:r>
      <w:r>
        <w:instrText>PAGEREF sect</w:instrText>
      </w:r>
      <w:r>
        <w:instrText>ion_ed33866d5a02492e87a6a1aca55d9d16</w:instrText>
      </w:r>
      <w:r>
        <w:fldChar w:fldCharType="separate"/>
      </w:r>
      <w:r>
        <w:rPr>
          <w:noProof/>
        </w:rPr>
        <w:t>426</w:t>
      </w:r>
      <w:r>
        <w:fldChar w:fldCharType="end"/>
      </w:r>
    </w:p>
    <w:p w:rsidR="000A156F" w:rsidRDefault="00A9721F">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47</w:t>
      </w:r>
      <w:r>
        <w:fldChar w:fldCharType="end"/>
      </w:r>
    </w:p>
    <w:p w:rsidR="000A156F" w:rsidRDefault="00A9721F">
      <w:pPr>
        <w:pStyle w:val="indexentry0"/>
      </w:pPr>
      <w:hyperlink w:anchor="section_05ab37aee14e424c808e6748b131c121">
        <w:r>
          <w:rPr>
            <w:rStyle w:val="Hyperlink"/>
          </w:rPr>
          <w:t>ink (Ink)</w:t>
        </w:r>
      </w:hyperlink>
      <w:r>
        <w:t xml:space="preserve"> </w:t>
      </w:r>
      <w:r>
        <w:fldChar w:fldCharType="begin"/>
      </w:r>
      <w:r>
        <w:instrText>PAGER</w:instrText>
      </w:r>
      <w:r>
        <w:instrText>EF section_05ab37aee14e424c808e6748b131c121</w:instrText>
      </w:r>
      <w:r>
        <w:fldChar w:fldCharType="separate"/>
      </w:r>
      <w:r>
        <w:rPr>
          <w:noProof/>
        </w:rPr>
        <w:t>675</w:t>
      </w:r>
      <w:r>
        <w:fldChar w:fldCharType="end"/>
      </w:r>
    </w:p>
    <w:p w:rsidR="000A156F" w:rsidRDefault="00A9721F">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section_06a5cea1078b41cd8c26ef1db3ed3733</w:instrText>
      </w:r>
      <w:r>
        <w:fldChar w:fldCharType="separate"/>
      </w:r>
      <w:r>
        <w:rPr>
          <w:noProof/>
        </w:rPr>
        <w:t>483</w:t>
      </w:r>
      <w:r>
        <w:fldChar w:fldCharType="end"/>
      </w:r>
    </w:p>
    <w:p w:rsidR="000A156F" w:rsidRDefault="00A9721F">
      <w:pPr>
        <w:pStyle w:val="indexentry0"/>
      </w:pPr>
      <w:hyperlink w:anchor="section_40e26c9bb6f64409b138d7f40b112d15">
        <w:r>
          <w:rPr>
            <w:rStyle w:val="Hyperlink"/>
          </w:rPr>
          <w:t>innerShdw (In</w:t>
        </w:r>
        <w:r>
          <w:rPr>
            <w:rStyle w:val="Hyperlink"/>
          </w:rPr>
          <w:t>ner Shadow Effect)</w:t>
        </w:r>
      </w:hyperlink>
      <w:r>
        <w:t xml:space="preserve"> </w:t>
      </w:r>
      <w:r>
        <w:fldChar w:fldCharType="begin"/>
      </w:r>
      <w:r>
        <w:instrText>PAGEREF section_40e26c9bb6f64409b138d7f40b112d15</w:instrText>
      </w:r>
      <w:r>
        <w:fldChar w:fldCharType="separate"/>
      </w:r>
      <w:r>
        <w:rPr>
          <w:noProof/>
        </w:rPr>
        <w:t>518</w:t>
      </w:r>
      <w:r>
        <w:fldChar w:fldCharType="end"/>
      </w:r>
    </w:p>
    <w:p w:rsidR="000A156F" w:rsidRDefault="00A9721F">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263</w:t>
      </w:r>
      <w:r>
        <w:fldChar w:fldCharType="end"/>
      </w:r>
    </w:p>
    <w:p w:rsidR="000A156F" w:rsidRDefault="00A9721F">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136</w:t>
      </w:r>
      <w:r>
        <w:fldChar w:fldCharType="end"/>
      </w:r>
    </w:p>
    <w:p w:rsidR="000A156F" w:rsidRDefault="00A9721F">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136</w:t>
      </w:r>
      <w:r>
        <w:fldChar w:fldCharType="end"/>
      </w:r>
    </w:p>
    <w:p w:rsidR="000A156F" w:rsidRDefault="00A9721F">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136</w:t>
      </w:r>
      <w:r>
        <w:fldChar w:fldCharType="end"/>
      </w:r>
    </w:p>
    <w:p w:rsidR="000A156F" w:rsidRDefault="00A9721F">
      <w:pPr>
        <w:pStyle w:val="indexentry0"/>
      </w:pPr>
      <w:hyperlink w:anchor="section_960dd70180364eedb52a774caf7075d2">
        <w:r>
          <w:rPr>
            <w:rStyle w:val="Hyperlink"/>
          </w:rPr>
          <w:t>ins</w:t>
        </w:r>
        <w:r>
          <w:rPr>
            <w:rStyle w:val="Hyperlink"/>
          </w:rPr>
          <w:t xml:space="preserve"> (Inserted Run Content)</w:t>
        </w:r>
      </w:hyperlink>
      <w:r>
        <w:t xml:space="preserve"> </w:t>
      </w:r>
      <w:r>
        <w:fldChar w:fldCharType="begin"/>
      </w:r>
      <w:r>
        <w:instrText>PAGEREF section_960dd70180364eedb52a774caf7075d2</w:instrText>
      </w:r>
      <w:r>
        <w:fldChar w:fldCharType="separate"/>
      </w:r>
      <w:r>
        <w:rPr>
          <w:noProof/>
        </w:rPr>
        <w:t>136</w:t>
      </w:r>
      <w:r>
        <w:fldChar w:fldCharType="end"/>
      </w:r>
    </w:p>
    <w:p w:rsidR="000A156F" w:rsidRDefault="00A9721F">
      <w:pPr>
        <w:pStyle w:val="indexentry0"/>
      </w:pPr>
      <w:hyperlink w:anchor="section_70498abcdc0b4c418e8dd1bd5044ebe6">
        <w:r>
          <w:rPr>
            <w:rStyle w:val="Hyperlink"/>
          </w:rPr>
          <w:t>ins (Inserted Table Row)</w:t>
        </w:r>
      </w:hyperlink>
      <w:r>
        <w:t xml:space="preserve"> </w:t>
      </w:r>
      <w:r>
        <w:fldChar w:fldCharType="begin"/>
      </w:r>
      <w:r>
        <w:instrText>PAGEREF section_70498abcdc0b4c418e8dd1bd5044ebe6</w:instrText>
      </w:r>
      <w:r>
        <w:fldChar w:fldCharType="separate"/>
      </w:r>
      <w:r>
        <w:rPr>
          <w:noProof/>
        </w:rPr>
        <w:t>136</w:t>
      </w:r>
      <w:r>
        <w:fldChar w:fldCharType="end"/>
      </w:r>
    </w:p>
    <w:p w:rsidR="000A156F" w:rsidRDefault="00A9721F">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83</w:t>
      </w:r>
      <w:r>
        <w:fldChar w:fldCharType="end"/>
      </w:r>
    </w:p>
    <w:p w:rsidR="000A156F" w:rsidRDefault="00A9721F">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w:instrText>
      </w:r>
      <w:r>
        <w:instrText>afd824014e0455da0b3c6c90e2cde22</w:instrText>
      </w:r>
      <w:r>
        <w:fldChar w:fldCharType="separate"/>
      </w:r>
      <w:r>
        <w:rPr>
          <w:noProof/>
        </w:rPr>
        <w:t>83</w:t>
      </w:r>
      <w:r>
        <w:fldChar w:fldCharType="end"/>
      </w:r>
    </w:p>
    <w:p w:rsidR="000A156F" w:rsidRDefault="00A9721F">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section_f1da490f467b4fb4bfd63e97f4752417</w:instrText>
      </w:r>
      <w:r>
        <w:fldChar w:fldCharType="separate"/>
      </w:r>
      <w:r>
        <w:rPr>
          <w:noProof/>
        </w:rPr>
        <w:t>83</w:t>
      </w:r>
      <w:r>
        <w:fldChar w:fldCharType="end"/>
      </w:r>
    </w:p>
    <w:p w:rsidR="000A156F" w:rsidRDefault="00A9721F">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83</w:t>
      </w:r>
      <w:r>
        <w:fldChar w:fldCharType="end"/>
      </w:r>
    </w:p>
    <w:p w:rsidR="000A156F" w:rsidRDefault="00A9721F">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426</w:t>
      </w:r>
      <w:r>
        <w:fldChar w:fldCharType="end"/>
      </w:r>
    </w:p>
    <w:p w:rsidR="000A156F" w:rsidRDefault="00A9721F">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561</w:t>
      </w:r>
      <w:r>
        <w:fldChar w:fldCharType="end"/>
      </w:r>
    </w:p>
    <w:p w:rsidR="000A156F" w:rsidRDefault="00A9721F">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395</w:t>
      </w:r>
      <w:r>
        <w:fldChar w:fldCharType="end"/>
      </w:r>
    </w:p>
    <w:p w:rsidR="000A156F" w:rsidRDefault="00A9721F">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604</w:t>
      </w:r>
      <w:r>
        <w:fldChar w:fldCharType="end"/>
      </w:r>
    </w:p>
    <w:p w:rsidR="000A156F" w:rsidRDefault="00A9721F">
      <w:pPr>
        <w:pStyle w:val="indexentry0"/>
      </w:pPr>
      <w:hyperlink w:anchor="section_e300be7298e0421cb1c6a8d380e511a4">
        <w:r>
          <w:rPr>
            <w:rStyle w:val="Hyperlink"/>
          </w:rPr>
          <w:t>intLim (Integral Limit Locations)</w:t>
        </w:r>
      </w:hyperlink>
      <w:r>
        <w:t xml:space="preserve"> </w:t>
      </w:r>
      <w:r>
        <w:fldChar w:fldCharType="begin"/>
      </w:r>
      <w:r>
        <w:instrText>PAGEREF sec</w:instrText>
      </w:r>
      <w:r>
        <w:instrText>tion_e300be7298e0421cb1c6a8d380e511a4</w:instrText>
      </w:r>
      <w:r>
        <w:fldChar w:fldCharType="separate"/>
      </w:r>
      <w:r>
        <w:rPr>
          <w:noProof/>
        </w:rPr>
        <w:t>604</w:t>
      </w:r>
      <w:r>
        <w:fldChar w:fldCharType="end"/>
      </w:r>
    </w:p>
    <w:p w:rsidR="000A156F" w:rsidRDefault="00A9721F">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604</w:t>
      </w:r>
      <w:r>
        <w:fldChar w:fldCharType="end"/>
      </w:r>
    </w:p>
    <w:p w:rsidR="000A156F" w:rsidRDefault="00A9721F">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426</w:t>
      </w:r>
      <w:r>
        <w:fldChar w:fldCharType="end"/>
      </w:r>
    </w:p>
    <w:p w:rsidR="000A156F" w:rsidRDefault="00A9721F">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45</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900</w:t>
      </w:r>
      <w:r>
        <w:fldChar w:fldCharType="end"/>
      </w:r>
      <w:r>
        <w:t>)</w:t>
      </w:r>
    </w:p>
    <w:p w:rsidR="000A156F" w:rsidRDefault="00A9721F">
      <w:pPr>
        <w:pStyle w:val="indexentry0"/>
      </w:pPr>
      <w:hyperlink w:anchor="section_c26d486fa3ba4b87bcc18e10062f4c2f">
        <w:r>
          <w:rPr>
            <w:rStyle w:val="Hyperlink"/>
          </w:rPr>
          <w:t>invertIfNegative (Invert if Negative)</w:t>
        </w:r>
      </w:hyperlink>
      <w:r>
        <w:t xml:space="preserve"> </w:t>
      </w:r>
      <w:r>
        <w:fldChar w:fldCharType="begin"/>
      </w:r>
      <w:r>
        <w:instrText>PAGEREF section_c26d486fa3ba4b87bcc18e10062f4c2f</w:instrText>
      </w:r>
      <w:r>
        <w:fldChar w:fldCharType="separate"/>
      </w:r>
      <w:r>
        <w:rPr>
          <w:noProof/>
        </w:rPr>
        <w:t>561</w:t>
      </w:r>
      <w:r>
        <w:fldChar w:fldCharType="end"/>
      </w:r>
    </w:p>
    <w:p w:rsidR="000A156F" w:rsidRDefault="00A9721F">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427</w:t>
      </w:r>
      <w:r>
        <w:fldChar w:fldCharType="end"/>
      </w:r>
    </w:p>
    <w:p w:rsidR="000A156F" w:rsidRDefault="00A9721F">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428</w:t>
      </w:r>
      <w:r>
        <w:fldChar w:fldCharType="end"/>
      </w:r>
    </w:p>
    <w:p w:rsidR="000A156F" w:rsidRDefault="00A9721F">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264</w:t>
      </w:r>
      <w:r>
        <w:fldChar w:fldCharType="end"/>
      </w:r>
    </w:p>
    <w:p w:rsidR="000A156F" w:rsidRDefault="00A9721F">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123</w:t>
      </w:r>
      <w:r>
        <w:fldChar w:fldCharType="end"/>
      </w:r>
    </w:p>
    <w:p w:rsidR="000A156F" w:rsidRDefault="00A9721F">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428</w:t>
      </w:r>
      <w:r>
        <w:fldChar w:fldCharType="end"/>
      </w:r>
    </w:p>
    <w:p w:rsidR="000A156F" w:rsidRDefault="00A9721F">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w:instrText>
      </w:r>
      <w:r>
        <w:instrText>af0e91</w:instrText>
      </w:r>
      <w:r>
        <w:fldChar w:fldCharType="separate"/>
      </w:r>
      <w:r>
        <w:rPr>
          <w:noProof/>
        </w:rPr>
        <w:t>337</w:t>
      </w:r>
      <w:r>
        <w:fldChar w:fldCharType="end"/>
      </w:r>
    </w:p>
    <w:p w:rsidR="000A156F" w:rsidRDefault="00A9721F">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338</w:t>
      </w:r>
      <w:r>
        <w:fldChar w:fldCharType="end"/>
      </w:r>
    </w:p>
    <w:p w:rsidR="000A156F" w:rsidRDefault="00A9721F">
      <w:pPr>
        <w:pStyle w:val="indexentry0"/>
      </w:pPr>
      <w:hyperlink w:anchor="section_b0d3dac175dd42128c7daf9f432b5c24">
        <w:r>
          <w:rPr>
            <w:rStyle w:val="Hyperlink"/>
          </w:rPr>
          <w:t>iterate (Iterate)</w:t>
        </w:r>
      </w:hyperlink>
      <w:r>
        <w:t xml:space="preserve"> </w:t>
      </w:r>
      <w:r>
        <w:fldChar w:fldCharType="begin"/>
      </w:r>
      <w:r>
        <w:instrText>PAGEREF section_b0d3dac175dd42</w:instrText>
      </w:r>
      <w:r>
        <w:instrText>128c7daf9f432b5c24</w:instrText>
      </w:r>
      <w:r>
        <w:fldChar w:fldCharType="separate"/>
      </w:r>
      <w:r>
        <w:rPr>
          <w:noProof/>
        </w:rPr>
        <w:t>484</w:t>
      </w:r>
      <w:r>
        <w:fldChar w:fldCharType="end"/>
      </w:r>
    </w:p>
    <w:p w:rsidR="000A156F" w:rsidRDefault="000A156F">
      <w:pPr>
        <w:spacing w:before="0" w:after="0"/>
        <w:rPr>
          <w:sz w:val="16"/>
        </w:rPr>
      </w:pPr>
    </w:p>
    <w:p w:rsidR="000A156F" w:rsidRDefault="00A9721F">
      <w:pPr>
        <w:pStyle w:val="indexheader"/>
      </w:pPr>
      <w:r>
        <w:t>J</w:t>
      </w:r>
    </w:p>
    <w:p w:rsidR="000A156F" w:rsidRDefault="000A156F">
      <w:pPr>
        <w:spacing w:before="0" w:after="0"/>
        <w:rPr>
          <w:sz w:val="16"/>
        </w:rPr>
      </w:pPr>
    </w:p>
    <w:p w:rsidR="000A156F" w:rsidRDefault="00A9721F">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604</w:t>
      </w:r>
      <w:r>
        <w:fldChar w:fldCharType="end"/>
      </w:r>
    </w:p>
    <w:p w:rsidR="000A156F" w:rsidRDefault="00A9721F">
      <w:pPr>
        <w:pStyle w:val="indexentry0"/>
      </w:pPr>
      <w:hyperlink w:anchor="section_7e29304230364d9baaaa1cc714554db0">
        <w:r>
          <w:rPr>
            <w:rStyle w:val="Hyperlink"/>
          </w:rPr>
          <w:t>jc (Paragraph Alignment)</w:t>
        </w:r>
      </w:hyperlink>
      <w:r>
        <w:t xml:space="preserve"> </w:t>
      </w:r>
      <w:r>
        <w:fldChar w:fldCharType="begin"/>
      </w:r>
      <w:r>
        <w:instrText xml:space="preserve">PAGEREF </w:instrText>
      </w:r>
      <w:r>
        <w:instrText>section_7e29304230364d9baaaa1cc714554db0</w:instrText>
      </w:r>
      <w:r>
        <w:fldChar w:fldCharType="separate"/>
      </w:r>
      <w:r>
        <w:rPr>
          <w:noProof/>
        </w:rPr>
        <w:t>63</w:t>
      </w:r>
      <w:r>
        <w:fldChar w:fldCharType="end"/>
      </w:r>
    </w:p>
    <w:p w:rsidR="000A156F" w:rsidRDefault="00A9721F">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84</w:t>
      </w:r>
      <w:r>
        <w:fldChar w:fldCharType="end"/>
      </w:r>
    </w:p>
    <w:p w:rsidR="000A156F" w:rsidRDefault="00A9721F">
      <w:pPr>
        <w:pStyle w:val="indexentry0"/>
      </w:pPr>
      <w:hyperlink w:anchor="section_ae3c5af0e77f4428ba4162f8fd5fc7c6">
        <w:r>
          <w:rPr>
            <w:rStyle w:val="Hyperlink"/>
          </w:rPr>
          <w:t>jc (T</w:t>
        </w:r>
        <w:r>
          <w:rPr>
            <w:rStyle w:val="Hyperlink"/>
          </w:rPr>
          <w:t>able Alignment)</w:t>
        </w:r>
      </w:hyperlink>
      <w:r>
        <w:t xml:space="preserve"> </w:t>
      </w:r>
      <w:r>
        <w:fldChar w:fldCharType="begin"/>
      </w:r>
      <w:r>
        <w:instrText>PAGEREF section_ae3c5af0e77f4428ba4162f8fd5fc7c6</w:instrText>
      </w:r>
      <w:r>
        <w:fldChar w:fldCharType="separate"/>
      </w:r>
      <w:r>
        <w:rPr>
          <w:noProof/>
        </w:rPr>
        <w:t>84</w:t>
      </w:r>
      <w:r>
        <w:fldChar w:fldCharType="end"/>
      </w:r>
    </w:p>
    <w:p w:rsidR="000A156F" w:rsidRDefault="00A9721F">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section_e28be190a4304bd5a38b7145b3d6afe5</w:instrText>
      </w:r>
      <w:r>
        <w:fldChar w:fldCharType="separate"/>
      </w:r>
      <w:r>
        <w:rPr>
          <w:noProof/>
        </w:rPr>
        <w:t>84</w:t>
      </w:r>
      <w:r>
        <w:fldChar w:fldCharType="end"/>
      </w:r>
    </w:p>
    <w:p w:rsidR="000A156F" w:rsidRDefault="000A156F">
      <w:pPr>
        <w:spacing w:before="0" w:after="0"/>
        <w:rPr>
          <w:sz w:val="16"/>
        </w:rPr>
      </w:pPr>
    </w:p>
    <w:p w:rsidR="000A156F" w:rsidRDefault="00A9721F">
      <w:pPr>
        <w:pStyle w:val="indexheader"/>
      </w:pPr>
      <w:r>
        <w:t>K</w:t>
      </w:r>
    </w:p>
    <w:p w:rsidR="000A156F" w:rsidRDefault="000A156F">
      <w:pPr>
        <w:spacing w:before="0" w:after="0"/>
        <w:rPr>
          <w:sz w:val="16"/>
        </w:rPr>
      </w:pPr>
    </w:p>
    <w:p w:rsidR="000A156F" w:rsidRDefault="00A9721F">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313</w:t>
      </w:r>
      <w:r>
        <w:fldChar w:fldCharType="end"/>
      </w:r>
    </w:p>
    <w:p w:rsidR="000A156F" w:rsidRDefault="00A9721F">
      <w:pPr>
        <w:pStyle w:val="indexentry0"/>
      </w:pPr>
      <w:hyperlink w:anchor="section_6229412bf0c64019aabd260ee2f4145f">
        <w:r>
          <w:rPr>
            <w:rStyle w:val="Hyperlink"/>
          </w:rPr>
          <w:t>keepLines (Keep All Lines On One Page)</w:t>
        </w:r>
      </w:hyperlink>
      <w:r>
        <w:t xml:space="preserve"> </w:t>
      </w:r>
      <w:r>
        <w:fldChar w:fldCharType="begin"/>
      </w:r>
      <w:r>
        <w:instrText>PAGEREF section_62</w:instrText>
      </w:r>
      <w:r>
        <w:instrText>29412bf0c64019aabd260ee2f4145f</w:instrText>
      </w:r>
      <w:r>
        <w:fldChar w:fldCharType="separate"/>
      </w:r>
      <w:r>
        <w:rPr>
          <w:noProof/>
        </w:rPr>
        <w:t>64</w:t>
      </w:r>
      <w:r>
        <w:fldChar w:fldCharType="end"/>
      </w:r>
    </w:p>
    <w:p w:rsidR="000A156F" w:rsidRDefault="00A9721F">
      <w:pPr>
        <w:pStyle w:val="indexentry0"/>
      </w:pPr>
      <w:hyperlink w:anchor="section_f04d9c4e29ef45e18de4de8701e7b796">
        <w:r>
          <w:rPr>
            <w:rStyle w:val="Hyperlink"/>
          </w:rPr>
          <w:t>kern (Font Kerning)</w:t>
        </w:r>
      </w:hyperlink>
      <w:r>
        <w:t xml:space="preserve"> </w:t>
      </w:r>
      <w:r>
        <w:fldChar w:fldCharType="begin"/>
      </w:r>
      <w:r>
        <w:instrText>PAGEREF section_f04d9c4e29ef45e18de4de8701e7b796</w:instrText>
      </w:r>
      <w:r>
        <w:fldChar w:fldCharType="separate"/>
      </w:r>
      <w:r>
        <w:rPr>
          <w:noProof/>
        </w:rPr>
        <w:t>71</w:t>
      </w:r>
      <w:r>
        <w:fldChar w:fldCharType="end"/>
      </w:r>
    </w:p>
    <w:p w:rsidR="000A156F" w:rsidRDefault="00A9721F">
      <w:pPr>
        <w:pStyle w:val="indexentry0"/>
      </w:pPr>
      <w:hyperlink w:anchor="section_c4ba3f99a9684ad8ad70e7c38fa2e504">
        <w:r>
          <w:rPr>
            <w:rStyle w:val="Hyperlink"/>
          </w:rPr>
          <w:t>Keyboard and Toolbar Custo</w:t>
        </w:r>
        <w:r>
          <w:rPr>
            <w:rStyle w:val="Hyperlink"/>
          </w:rPr>
          <w:t>mizations</w:t>
        </w:r>
      </w:hyperlink>
      <w:r>
        <w:t xml:space="preserve"> </w:t>
      </w:r>
      <w:r>
        <w:fldChar w:fldCharType="begin"/>
      </w:r>
      <w:r>
        <w:instrText>PAGEREF section_c4ba3f99a9684ad8ad70e7c38fa2e504</w:instrText>
      </w:r>
      <w:r>
        <w:fldChar w:fldCharType="separate"/>
      </w:r>
      <w:r>
        <w:rPr>
          <w:noProof/>
        </w:rPr>
        <w:t>697</w:t>
      </w:r>
      <w:r>
        <w:fldChar w:fldCharType="end"/>
      </w:r>
    </w:p>
    <w:p w:rsidR="000A156F" w:rsidRDefault="00A9721F">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703</w:t>
      </w:r>
      <w:r>
        <w:fldChar w:fldCharType="end"/>
      </w:r>
    </w:p>
    <w:p w:rsidR="000A156F" w:rsidRDefault="00A9721F">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706</w:t>
      </w:r>
      <w:r>
        <w:fldChar w:fldCharType="end"/>
      </w:r>
    </w:p>
    <w:p w:rsidR="000A156F" w:rsidRDefault="00A9721F">
      <w:pPr>
        <w:pStyle w:val="indexentry0"/>
      </w:pPr>
      <w:hyperlink w:anchor="section_c29a6b7a6315489f855aa807e12b712d">
        <w:r>
          <w:rPr>
            <w:rStyle w:val="Hyperlink"/>
          </w:rPr>
          <w:t>keymapsBad (Key Map Customizations for Mismatch</w:t>
        </w:r>
        <w:r>
          <w:rPr>
            <w:rStyle w:val="Hyperlink"/>
          </w:rPr>
          <w:t>ed Keyboards)</w:t>
        </w:r>
      </w:hyperlink>
      <w:r>
        <w:t xml:space="preserve"> </w:t>
      </w:r>
      <w:r>
        <w:fldChar w:fldCharType="begin"/>
      </w:r>
      <w:r>
        <w:instrText>PAGEREF section_c29a6b7a6315489f855aa807e12b712d</w:instrText>
      </w:r>
      <w:r>
        <w:fldChar w:fldCharType="separate"/>
      </w:r>
      <w:r>
        <w:rPr>
          <w:noProof/>
        </w:rPr>
        <w:t>707</w:t>
      </w:r>
      <w:r>
        <w:fldChar w:fldCharType="end"/>
      </w:r>
    </w:p>
    <w:p w:rsidR="000A156F" w:rsidRDefault="00A9721F">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216</w:t>
      </w:r>
      <w:r>
        <w:fldChar w:fldCharType="end"/>
      </w:r>
    </w:p>
    <w:p w:rsidR="000A156F" w:rsidRDefault="00A9721F">
      <w:pPr>
        <w:pStyle w:val="indexentry0"/>
      </w:pPr>
      <w:hyperlink w:anchor="section_c02a5399b3584f4e8e42ad4fbb0e5261">
        <w:r>
          <w:rPr>
            <w:rStyle w:val="Hyperlink"/>
          </w:rPr>
          <w:t>kin</w:t>
        </w:r>
        <w:r>
          <w:rPr>
            <w:rStyle w:val="Hyperlink"/>
          </w:rPr>
          <w:t>soku (Kinsoku Settings)</w:t>
        </w:r>
      </w:hyperlink>
      <w:r>
        <w:t xml:space="preserve"> </w:t>
      </w:r>
      <w:r>
        <w:fldChar w:fldCharType="begin"/>
      </w:r>
      <w:r>
        <w:instrText>PAGEREF section_c02a5399b3584f4e8e42ad4fbb0e5261</w:instrText>
      </w:r>
      <w:r>
        <w:fldChar w:fldCharType="separate"/>
      </w:r>
      <w:r>
        <w:rPr>
          <w:noProof/>
        </w:rPr>
        <w:t>461</w:t>
      </w:r>
      <w:r>
        <w:fldChar w:fldCharType="end"/>
      </w:r>
    </w:p>
    <w:p w:rsidR="000A156F" w:rsidRDefault="00A9721F">
      <w:pPr>
        <w:pStyle w:val="indexentry0"/>
      </w:pPr>
      <w:hyperlink w:anchor="section_84486937c3e44d37867268892080944d">
        <w:r>
          <w:rPr>
            <w:rStyle w:val="Hyperlink"/>
          </w:rPr>
          <w:t>kinsoku (Use East Asian Typography Rules for First and Last Character per Line)</w:t>
        </w:r>
      </w:hyperlink>
      <w:r>
        <w:t xml:space="preserve"> </w:t>
      </w:r>
      <w:r>
        <w:fldChar w:fldCharType="begin"/>
      </w:r>
      <w:r>
        <w:instrText>PAGEREF section_84486937c3e44d37867268892080944d</w:instrText>
      </w:r>
      <w:r>
        <w:fldChar w:fldCharType="separate"/>
      </w:r>
      <w:r>
        <w:rPr>
          <w:noProof/>
        </w:rPr>
        <w:t>64</w:t>
      </w:r>
      <w:r>
        <w:fldChar w:fldCharType="end"/>
      </w:r>
    </w:p>
    <w:p w:rsidR="000A156F" w:rsidRDefault="00A9721F">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338</w:t>
      </w:r>
      <w:r>
        <w:fldChar w:fldCharType="end"/>
      </w:r>
    </w:p>
    <w:p w:rsidR="000A156F" w:rsidRDefault="000A156F">
      <w:pPr>
        <w:spacing w:before="0" w:after="0"/>
        <w:rPr>
          <w:sz w:val="16"/>
        </w:rPr>
      </w:pPr>
    </w:p>
    <w:p w:rsidR="000A156F" w:rsidRDefault="00A9721F">
      <w:pPr>
        <w:pStyle w:val="indexheader"/>
      </w:pPr>
      <w:r>
        <w:t>L</w:t>
      </w:r>
    </w:p>
    <w:p w:rsidR="000A156F" w:rsidRDefault="000A156F">
      <w:pPr>
        <w:spacing w:before="0" w:after="0"/>
        <w:rPr>
          <w:sz w:val="16"/>
        </w:rPr>
      </w:pPr>
    </w:p>
    <w:p w:rsidR="000A156F" w:rsidRDefault="00A9721F">
      <w:pPr>
        <w:pStyle w:val="indexentry0"/>
      </w:pPr>
      <w:hyperlink w:anchor="section_3e1acc92ae7a4b3db0f756fc7fb20389">
        <w:r>
          <w:rPr>
            <w:rStyle w:val="Hyperlink"/>
          </w:rPr>
          <w:t>label (Fo</w:t>
        </w:r>
        <w:r>
          <w:rPr>
            <w:rStyle w:val="Hyperlink"/>
          </w:rPr>
          <w:t>rm Field Label)</w:t>
        </w:r>
      </w:hyperlink>
      <w:r>
        <w:t xml:space="preserve"> </w:t>
      </w:r>
      <w:r>
        <w:fldChar w:fldCharType="begin"/>
      </w:r>
      <w:r>
        <w:instrText>PAGEREF section_3e1acc92ae7a4b3db0f756fc7fb20389</w:instrText>
      </w:r>
      <w:r>
        <w:fldChar w:fldCharType="separate"/>
      </w:r>
      <w:r>
        <w:rPr>
          <w:noProof/>
        </w:rPr>
        <w:t>226</w:t>
      </w:r>
      <w:r>
        <w:fldChar w:fldCharType="end"/>
      </w:r>
    </w:p>
    <w:p w:rsidR="000A156F" w:rsidRDefault="00A9721F">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97</w:t>
      </w:r>
      <w:r>
        <w:fldChar w:fldCharType="end"/>
      </w:r>
    </w:p>
    <w:p w:rsidR="000A156F" w:rsidRDefault="00A9721F">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71</w:t>
      </w:r>
      <w:r>
        <w:fldChar w:fldCharType="end"/>
      </w:r>
    </w:p>
    <w:p w:rsidR="000A156F" w:rsidRDefault="00A9721F">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w:instrText>
      </w:r>
      <w:r>
        <w:instrText>_e0d0fc0796bb4248a832dd0e8e42f001</w:instrText>
      </w:r>
      <w:r>
        <w:fldChar w:fldCharType="separate"/>
      </w:r>
      <w:r>
        <w:rPr>
          <w:noProof/>
        </w:rPr>
        <w:t>79</w:t>
      </w:r>
      <w:r>
        <w:fldChar w:fldCharType="end"/>
      </w:r>
    </w:p>
    <w:p w:rsidR="000A156F" w:rsidRDefault="00A9721F">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216</w:t>
      </w:r>
      <w:r>
        <w:fldChar w:fldCharType="end"/>
      </w:r>
    </w:p>
    <w:p w:rsidR="000A156F" w:rsidRDefault="00A9721F">
      <w:pPr>
        <w:pStyle w:val="indexentry0"/>
      </w:pPr>
      <w:hyperlink w:anchor="section_08608911e4574cbd8a3001b9433dc849">
        <w:r>
          <w:rPr>
            <w:rStyle w:val="Hyperlink"/>
          </w:rPr>
          <w:t>latentStyles (Latent Style Info</w:t>
        </w:r>
        <w:r>
          <w:rPr>
            <w:rStyle w:val="Hyperlink"/>
          </w:rPr>
          <w:t>rmation)</w:t>
        </w:r>
      </w:hyperlink>
      <w:r>
        <w:t xml:space="preserve"> </w:t>
      </w:r>
      <w:r>
        <w:fldChar w:fldCharType="begin"/>
      </w:r>
      <w:r>
        <w:instrText>PAGEREF section_08608911e4574cbd8a3001b9433dc849</w:instrText>
      </w:r>
      <w:r>
        <w:fldChar w:fldCharType="separate"/>
      </w:r>
      <w:r>
        <w:rPr>
          <w:noProof/>
        </w:rPr>
        <w:t>105</w:t>
      </w:r>
      <w:r>
        <w:fldChar w:fldCharType="end"/>
      </w:r>
    </w:p>
    <w:p w:rsidR="000A156F" w:rsidRDefault="00A9721F">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542</w:t>
      </w:r>
      <w:r>
        <w:fldChar w:fldCharType="end"/>
      </w:r>
    </w:p>
    <w:p w:rsidR="000A156F" w:rsidRDefault="00A9721F">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561</w:t>
      </w:r>
      <w:r>
        <w:fldChar w:fldCharType="end"/>
      </w:r>
    </w:p>
    <w:p w:rsidR="000A156F" w:rsidRDefault="00A9721F">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562</w:t>
      </w:r>
      <w:r>
        <w:fldChar w:fldCharType="end"/>
      </w:r>
    </w:p>
    <w:p w:rsidR="000A156F" w:rsidRDefault="00A9721F">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619</w:t>
      </w:r>
      <w:r>
        <w:fldChar w:fldCharType="end"/>
      </w:r>
    </w:p>
    <w:p w:rsidR="000A156F" w:rsidRDefault="00A9721F">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w:instrText>
      </w:r>
      <w:r>
        <w:instrText>8a367f9</w:instrText>
      </w:r>
      <w:r>
        <w:fldChar w:fldCharType="separate"/>
      </w:r>
      <w:r>
        <w:rPr>
          <w:noProof/>
        </w:rPr>
        <w:t>686</w:t>
      </w:r>
      <w:r>
        <w:fldChar w:fldCharType="end"/>
      </w:r>
    </w:p>
    <w:p w:rsidR="000A156F" w:rsidRDefault="00A9721F">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562</w:t>
      </w:r>
      <w:r>
        <w:fldChar w:fldCharType="end"/>
      </w:r>
    </w:p>
    <w:p w:rsidR="000A156F" w:rsidRDefault="00A9721F">
      <w:pPr>
        <w:pStyle w:val="indexentry0"/>
      </w:pPr>
      <w:hyperlink w:anchor="section_e695b5596b384df9927a6077fff4f888">
        <w:r>
          <w:rPr>
            <w:rStyle w:val="Hyperlink"/>
          </w:rPr>
          <w:t>LEFT</w:t>
        </w:r>
      </w:hyperlink>
      <w:r>
        <w:t xml:space="preserve"> </w:t>
      </w:r>
      <w:r>
        <w:fldChar w:fldCharType="begin"/>
      </w:r>
      <w:r>
        <w:instrText>PAGEREF section_e695b5596b384df9927</w:instrText>
      </w:r>
      <w:r>
        <w:instrText>a6077fff4f888</w:instrText>
      </w:r>
      <w:r>
        <w:fldChar w:fldCharType="separate"/>
      </w:r>
      <w:r>
        <w:rPr>
          <w:noProof/>
        </w:rPr>
        <w:t>428</w:t>
      </w:r>
      <w:r>
        <w:fldChar w:fldCharType="end"/>
      </w:r>
    </w:p>
    <w:p w:rsidR="000A156F" w:rsidRDefault="00A9721F">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162</w:t>
      </w:r>
      <w:r>
        <w:fldChar w:fldCharType="end"/>
      </w:r>
    </w:p>
    <w:p w:rsidR="000A156F" w:rsidRDefault="00A9721F">
      <w:pPr>
        <w:pStyle w:val="indexentry0"/>
      </w:pPr>
      <w:hyperlink w:anchor="section_94d7cfde2a8847babe9615860e86d40f">
        <w:r>
          <w:rPr>
            <w:rStyle w:val="Hyperlink"/>
          </w:rPr>
          <w:t>left (Left Border)</w:t>
        </w:r>
      </w:hyperlink>
      <w:r>
        <w:t xml:space="preserve"> </w:t>
      </w:r>
      <w:r>
        <w:fldChar w:fldCharType="begin"/>
      </w:r>
      <w:r>
        <w:instrText>PAGEREF se</w:instrText>
      </w:r>
      <w:r>
        <w:instrText>ction_94d7cfde2a8847babe9615860e86d40f</w:instrText>
      </w:r>
      <w:r>
        <w:fldChar w:fldCharType="separate"/>
      </w:r>
      <w:r>
        <w:rPr>
          <w:noProof/>
        </w:rPr>
        <w:t>101</w:t>
      </w:r>
      <w:r>
        <w:fldChar w:fldCharType="end"/>
      </w:r>
    </w:p>
    <w:p w:rsidR="000A156F" w:rsidRDefault="00A9721F">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64</w:t>
      </w:r>
      <w:r>
        <w:fldChar w:fldCharType="end"/>
      </w:r>
    </w:p>
    <w:p w:rsidR="000A156F" w:rsidRDefault="00A9721F">
      <w:pPr>
        <w:pStyle w:val="indexentry0"/>
      </w:pPr>
      <w:hyperlink w:anchor="section_95b4a3c3bcd641ad976129b98779e979">
        <w:r>
          <w:rPr>
            <w:rStyle w:val="Hyperlink"/>
          </w:rPr>
          <w:t>left (Tab</w:t>
        </w:r>
        <w:r>
          <w:rPr>
            <w:rStyle w:val="Hyperlink"/>
          </w:rPr>
          <w:t>le Cell Leading Edge Border)</w:t>
        </w:r>
      </w:hyperlink>
      <w:r>
        <w:t xml:space="preserve"> </w:t>
      </w:r>
      <w:r>
        <w:fldChar w:fldCharType="begin"/>
      </w:r>
      <w:r>
        <w:instrText>PAGEREF section_95b4a3c3bcd641ad976129b98779e979</w:instrText>
      </w:r>
      <w:r>
        <w:fldChar w:fldCharType="separate"/>
      </w:r>
      <w:r>
        <w:rPr>
          <w:noProof/>
        </w:rPr>
        <w:t>630</w:t>
      </w:r>
      <w:r>
        <w:fldChar w:fldCharType="end"/>
      </w:r>
    </w:p>
    <w:p w:rsidR="000A156F" w:rsidRDefault="00A9721F">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630</w:t>
      </w:r>
      <w:r>
        <w:fldChar w:fldCharType="end"/>
      </w:r>
    </w:p>
    <w:p w:rsidR="000A156F" w:rsidRDefault="00A9721F">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630</w:t>
      </w:r>
      <w:r>
        <w:fldChar w:fldCharType="end"/>
      </w:r>
    </w:p>
    <w:p w:rsidR="000A156F" w:rsidRDefault="00A9721F">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630</w:t>
      </w:r>
      <w:r>
        <w:fldChar w:fldCharType="end"/>
      </w:r>
    </w:p>
    <w:p w:rsidR="000A156F" w:rsidRDefault="00A9721F">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675</w:t>
      </w:r>
      <w:r>
        <w:fldChar w:fldCharType="end"/>
      </w:r>
    </w:p>
    <w:p w:rsidR="000A156F" w:rsidRDefault="00A9721F">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428</w:t>
      </w:r>
      <w:r>
        <w:fldChar w:fldCharType="end"/>
      </w:r>
    </w:p>
    <w:p w:rsidR="000A156F" w:rsidRDefault="00A9721F">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632</w:t>
      </w:r>
      <w:r>
        <w:fldChar w:fldCharType="end"/>
      </w:r>
    </w:p>
    <w:p w:rsidR="000A156F" w:rsidRDefault="00A9721F">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853</w:t>
      </w:r>
      <w:r>
        <w:fldChar w:fldCharType="end"/>
      </w:r>
    </w:p>
    <w:p w:rsidR="000A156F" w:rsidRDefault="00A9721F">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853</w:t>
      </w:r>
      <w:r>
        <w:fldChar w:fldCharType="end"/>
      </w:r>
    </w:p>
    <w:p w:rsidR="000A156F" w:rsidRDefault="00A9721F">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562</w:t>
      </w:r>
      <w:r>
        <w:fldChar w:fldCharType="end"/>
      </w:r>
    </w:p>
    <w:p w:rsidR="000A156F" w:rsidRDefault="00A9721F">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428</w:t>
      </w:r>
      <w:r>
        <w:fldChar w:fldCharType="end"/>
      </w:r>
    </w:p>
    <w:p w:rsidR="000A156F" w:rsidRDefault="00A9721F">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429</w:t>
      </w:r>
      <w:r>
        <w:fldChar w:fldCharType="end"/>
      </w:r>
    </w:p>
    <w:p w:rsidR="000A156F" w:rsidRDefault="00A9721F">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section_1871b640e0af43cd8bb29ac3ed938a</w:instrText>
      </w:r>
      <w:r>
        <w:instrText>57</w:instrText>
      </w:r>
      <w:r>
        <w:fldChar w:fldCharType="separate"/>
      </w:r>
      <w:r>
        <w:rPr>
          <w:noProof/>
        </w:rPr>
        <w:t>97</w:t>
      </w:r>
      <w:r>
        <w:fldChar w:fldCharType="end"/>
      </w:r>
    </w:p>
    <w:p w:rsidR="000A156F" w:rsidRDefault="00A9721F">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79</w:t>
      </w:r>
      <w:r>
        <w:fldChar w:fldCharType="end"/>
      </w:r>
    </w:p>
    <w:p w:rsidR="000A156F" w:rsidRDefault="00A9721F">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144</w:t>
      </w:r>
      <w:r>
        <w:fldChar w:fldCharType="end"/>
      </w:r>
    </w:p>
    <w:p w:rsidR="000A156F" w:rsidRDefault="00A9721F">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508</w:t>
      </w:r>
      <w:r>
        <w:fldChar w:fldCharType="end"/>
      </w:r>
    </w:p>
    <w:p w:rsidR="000A156F" w:rsidRDefault="00A9721F">
      <w:pPr>
        <w:pStyle w:val="indexentry0"/>
      </w:pPr>
      <w:hyperlink w:anchor="section_76f92d20f41e48d9a6fc0de5733f477a">
        <w:r>
          <w:rPr>
            <w:rStyle w:val="Hyperlink"/>
          </w:rPr>
          <w:t>lim (Li</w:t>
        </w:r>
        <w:r>
          <w:rPr>
            <w:rStyle w:val="Hyperlink"/>
          </w:rPr>
          <w:t>mit)</w:t>
        </w:r>
      </w:hyperlink>
      <w:r>
        <w:t xml:space="preserve"> </w:t>
      </w:r>
      <w:r>
        <w:fldChar w:fldCharType="begin"/>
      </w:r>
      <w:r>
        <w:instrText>PAGEREF section_76f92d20f41e48d9a6fc0de5733f477a</w:instrText>
      </w:r>
      <w:r>
        <w:fldChar w:fldCharType="separate"/>
      </w:r>
      <w:r>
        <w:rPr>
          <w:noProof/>
        </w:rPr>
        <w:t>604</w:t>
      </w:r>
      <w:r>
        <w:fldChar w:fldCharType="end"/>
      </w:r>
    </w:p>
    <w:p w:rsidR="000A156F" w:rsidRDefault="00A9721F">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section_1f2eecd829294f2bb182d99c88b23b50</w:instrText>
      </w:r>
      <w:r>
        <w:fldChar w:fldCharType="separate"/>
      </w:r>
      <w:r>
        <w:rPr>
          <w:noProof/>
        </w:rPr>
        <w:t>903</w:t>
      </w:r>
      <w:r>
        <w:fldChar w:fldCharType="end"/>
      </w:r>
    </w:p>
    <w:p w:rsidR="000A156F" w:rsidRDefault="00A9721F">
      <w:pPr>
        <w:pStyle w:val="indexentry0"/>
      </w:pPr>
      <w:hyperlink w:anchor="section_d4e1a069839f40fa8010281af148c209">
        <w:r>
          <w:rPr>
            <w:rStyle w:val="Hyperlink"/>
          </w:rPr>
          <w:t>l</w:t>
        </w:r>
        <w:r>
          <w:rPr>
            <w:rStyle w:val="Hyperlink"/>
          </w:rPr>
          <w:t>imLow (Lower-Limit Object)</w:t>
        </w:r>
      </w:hyperlink>
      <w:r>
        <w:t xml:space="preserve"> </w:t>
      </w:r>
      <w:r>
        <w:fldChar w:fldCharType="begin"/>
      </w:r>
      <w:r>
        <w:instrText>PAGEREF section_d4e1a069839f40fa8010281af148c209</w:instrText>
      </w:r>
      <w:r>
        <w:fldChar w:fldCharType="separate"/>
      </w:r>
      <w:r>
        <w:rPr>
          <w:noProof/>
        </w:rPr>
        <w:t>605</w:t>
      </w:r>
      <w:r>
        <w:fldChar w:fldCharType="end"/>
      </w:r>
    </w:p>
    <w:p w:rsidR="000A156F" w:rsidRDefault="00A9721F">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605</w:t>
      </w:r>
      <w:r>
        <w:fldChar w:fldCharType="end"/>
      </w:r>
    </w:p>
    <w:p w:rsidR="000A156F" w:rsidRDefault="00A9721F">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592</w:t>
      </w:r>
      <w:r>
        <w:fldChar w:fldCharType="end"/>
      </w:r>
    </w:p>
    <w:p w:rsidR="000A156F" w:rsidRDefault="00A9721F">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653</w:t>
      </w:r>
      <w:r>
        <w:fldChar w:fldCharType="end"/>
      </w:r>
    </w:p>
    <w:p w:rsidR="000A156F" w:rsidRDefault="00A9721F">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562</w:t>
      </w:r>
      <w:r>
        <w:fldChar w:fldCharType="end"/>
      </w:r>
    </w:p>
    <w:p w:rsidR="000A156F" w:rsidRDefault="00A9721F">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562</w:t>
      </w:r>
      <w:r>
        <w:fldChar w:fldCharType="end"/>
      </w:r>
    </w:p>
    <w:p w:rsidR="000A156F" w:rsidRDefault="00A9721F">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429</w:t>
      </w:r>
      <w:r>
        <w:fldChar w:fldCharType="end"/>
      </w:r>
    </w:p>
    <w:p w:rsidR="000A156F" w:rsidRDefault="00A9721F">
      <w:pPr>
        <w:pStyle w:val="indexentry0"/>
      </w:pPr>
      <w:hyperlink w:anchor="section_351591f1308643f6ae05df9d004e653c">
        <w:r>
          <w:rPr>
            <w:rStyle w:val="Hyperlink"/>
          </w:rPr>
          <w:t>lineTo (Wrapping Poly</w:t>
        </w:r>
        <w:r>
          <w:rPr>
            <w:rStyle w:val="Hyperlink"/>
          </w:rPr>
          <w:t>gon Line End Position)</w:t>
        </w:r>
      </w:hyperlink>
      <w:r>
        <w:t xml:space="preserve"> </w:t>
      </w:r>
      <w:r>
        <w:fldChar w:fldCharType="begin"/>
      </w:r>
      <w:r>
        <w:instrText>PAGEREF section_351591f1308643f6ae05df9d004e653c</w:instrText>
      </w:r>
      <w:r>
        <w:fldChar w:fldCharType="separate"/>
      </w:r>
      <w:r>
        <w:rPr>
          <w:noProof/>
        </w:rPr>
        <w:t>532</w:t>
      </w:r>
      <w:r>
        <w:fldChar w:fldCharType="end"/>
      </w:r>
    </w:p>
    <w:p w:rsidR="000A156F" w:rsidRDefault="00A9721F">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216</w:t>
      </w:r>
      <w:r>
        <w:fldChar w:fldCharType="end"/>
      </w:r>
    </w:p>
    <w:p w:rsidR="000A156F" w:rsidRDefault="00A9721F">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section_7abe11b8b25046bc877dd4490aa3d1ff</w:instrText>
      </w:r>
      <w:r>
        <w:fldChar w:fldCharType="separate"/>
      </w:r>
      <w:r>
        <w:rPr>
          <w:noProof/>
        </w:rPr>
        <w:t>469</w:t>
      </w:r>
      <w:r>
        <w:fldChar w:fldCharType="end"/>
      </w:r>
    </w:p>
    <w:p w:rsidR="000A156F" w:rsidRDefault="00A9721F">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106</w:t>
      </w:r>
      <w:r>
        <w:fldChar w:fldCharType="end"/>
      </w:r>
    </w:p>
    <w:p w:rsidR="000A156F" w:rsidRDefault="00A9721F">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144</w:t>
      </w:r>
      <w:r>
        <w:fldChar w:fldCharType="end"/>
      </w:r>
    </w:p>
    <w:p w:rsidR="000A156F" w:rsidRDefault="00A9721F">
      <w:pPr>
        <w:pStyle w:val="indexentry0"/>
      </w:pPr>
      <w:hyperlink w:anchor="section_74bbd2fc5f9d4456940afe7b4aa5b4c2">
        <w:r>
          <w:rPr>
            <w:rStyle w:val="Hyperlink"/>
          </w:rPr>
          <w:t>LinkType (Embedded Object Alternate Image Requ</w:t>
        </w:r>
        <w:r>
          <w:rPr>
            <w:rStyle w:val="Hyperlink"/>
          </w:rPr>
          <w:t>est)</w:t>
        </w:r>
      </w:hyperlink>
      <w:r>
        <w:t xml:space="preserve"> </w:t>
      </w:r>
      <w:r>
        <w:fldChar w:fldCharType="begin"/>
      </w:r>
      <w:r>
        <w:instrText>PAGEREF section_74bbd2fc5f9d4456940afe7b4aa5b4c2</w:instrText>
      </w:r>
      <w:r>
        <w:fldChar w:fldCharType="separate"/>
      </w:r>
      <w:r>
        <w:rPr>
          <w:noProof/>
        </w:rPr>
        <w:t>676</w:t>
      </w:r>
      <w:r>
        <w:fldChar w:fldCharType="end"/>
      </w:r>
    </w:p>
    <w:p w:rsidR="000A156F" w:rsidRDefault="00A9721F">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226</w:t>
      </w:r>
      <w:r>
        <w:fldChar w:fldCharType="end"/>
      </w:r>
    </w:p>
    <w:p w:rsidR="000A156F" w:rsidRDefault="00A9721F">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686</w:t>
      </w:r>
      <w:r>
        <w:fldChar w:fldCharType="end"/>
      </w:r>
    </w:p>
    <w:p w:rsidR="000A156F" w:rsidRDefault="00A9721F">
      <w:pPr>
        <w:pStyle w:val="indexentry0"/>
      </w:pPr>
      <w:hyperlink w:anchor="section_da16701c070d4425961f496394df6d8a">
        <w:r>
          <w:rPr>
            <w:rStyle w:val="Hyperlink"/>
          </w:rPr>
          <w:t>LISTNUM</w:t>
        </w:r>
      </w:hyperlink>
      <w:r>
        <w:t xml:space="preserve"> </w:t>
      </w:r>
      <w:r>
        <w:fldChar w:fldCharType="begin"/>
      </w:r>
      <w:r>
        <w:instrText>PAGEREF section_da16701c070d4425961f49</w:instrText>
      </w:r>
      <w:r>
        <w:instrText>6394df6d8a</w:instrText>
      </w:r>
      <w:r>
        <w:fldChar w:fldCharType="separate"/>
      </w:r>
      <w:r>
        <w:rPr>
          <w:noProof/>
        </w:rPr>
        <w:t>217</w:t>
      </w:r>
      <w:r>
        <w:fldChar w:fldCharType="end"/>
      </w:r>
    </w:p>
    <w:p w:rsidR="000A156F" w:rsidRDefault="00A9721F">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154</w:t>
      </w:r>
      <w:r>
        <w:fldChar w:fldCharType="end"/>
      </w:r>
    </w:p>
    <w:p w:rsidR="000A156F" w:rsidRDefault="00A9721F">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497</w:t>
      </w:r>
      <w:r>
        <w:fldChar w:fldCharType="end"/>
      </w:r>
    </w:p>
    <w:p w:rsidR="000A156F" w:rsidRDefault="00A9721F">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548</w:t>
      </w:r>
      <w:r>
        <w:fldChar w:fldCharType="end"/>
      </w:r>
    </w:p>
    <w:p w:rsidR="000A156F" w:rsidRDefault="00A9721F">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548</w:t>
      </w:r>
      <w:r>
        <w:fldChar w:fldCharType="end"/>
      </w:r>
    </w:p>
    <w:p w:rsidR="000A156F" w:rsidRDefault="00A9721F">
      <w:pPr>
        <w:pStyle w:val="indexentry0"/>
      </w:pPr>
      <w:hyperlink w:anchor="section_80b6e2e172d245cbba1619312feb1a61">
        <w:r>
          <w:rPr>
            <w:rStyle w:val="Hyperlink"/>
          </w:rPr>
          <w:t>lnL (Left Border Line Properties)</w:t>
        </w:r>
      </w:hyperlink>
      <w:r>
        <w:t xml:space="preserve"> </w:t>
      </w:r>
      <w:r>
        <w:fldChar w:fldCharType="begin"/>
      </w:r>
      <w:r>
        <w:instrText>PAGEREF section_80b6e2e</w:instrText>
      </w:r>
      <w:r>
        <w:instrText>172d245cbba1619312feb1a61</w:instrText>
      </w:r>
      <w:r>
        <w:fldChar w:fldCharType="separate"/>
      </w:r>
      <w:r>
        <w:rPr>
          <w:noProof/>
        </w:rPr>
        <w:t>548</w:t>
      </w:r>
      <w:r>
        <w:fldChar w:fldCharType="end"/>
      </w:r>
    </w:p>
    <w:p w:rsidR="000A156F" w:rsidRDefault="00A9721F">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101</w:t>
      </w:r>
      <w:r>
        <w:fldChar w:fldCharType="end"/>
      </w:r>
    </w:p>
    <w:p w:rsidR="000A156F" w:rsidRDefault="00A9721F">
      <w:pPr>
        <w:pStyle w:val="indexentry0"/>
      </w:pPr>
      <w:hyperlink w:anchor="section_fce0907fd2fe4f4caad2511fbf56d166">
        <w:r>
          <w:rPr>
            <w:rStyle w:val="Hyperlink"/>
          </w:rPr>
          <w:t>lnR (Right Bord</w:t>
        </w:r>
        <w:r>
          <w:rPr>
            <w:rStyle w:val="Hyperlink"/>
          </w:rPr>
          <w:t>er Line Properties)</w:t>
        </w:r>
      </w:hyperlink>
      <w:r>
        <w:t xml:space="preserve"> </w:t>
      </w:r>
      <w:r>
        <w:fldChar w:fldCharType="begin"/>
      </w:r>
      <w:r>
        <w:instrText>PAGEREF section_fce0907fd2fe4f4caad2511fbf56d166</w:instrText>
      </w:r>
      <w:r>
        <w:fldChar w:fldCharType="separate"/>
      </w:r>
      <w:r>
        <w:rPr>
          <w:noProof/>
        </w:rPr>
        <w:t>548</w:t>
      </w:r>
      <w:r>
        <w:fldChar w:fldCharType="end"/>
      </w:r>
    </w:p>
    <w:p w:rsidR="000A156F" w:rsidRDefault="00A9721F">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507</w:t>
      </w:r>
      <w:r>
        <w:fldChar w:fldCharType="end"/>
      </w:r>
    </w:p>
    <w:p w:rsidR="000A156F" w:rsidRDefault="00A9721F">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539</w:t>
      </w:r>
      <w:r>
        <w:fldChar w:fldCharType="end"/>
      </w:r>
    </w:p>
    <w:p w:rsidR="000A156F" w:rsidRDefault="00A9721F">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548</w:t>
      </w:r>
      <w:r>
        <w:fldChar w:fldCharType="end"/>
      </w:r>
    </w:p>
    <w:p w:rsidR="000A156F" w:rsidRDefault="00A9721F">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549</w:t>
      </w:r>
      <w:r>
        <w:fldChar w:fldCharType="end"/>
      </w:r>
    </w:p>
    <w:p w:rsidR="000A156F" w:rsidRDefault="00A9721F">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340</w:t>
      </w:r>
      <w:r>
        <w:fldChar w:fldCharType="end"/>
      </w:r>
    </w:p>
    <w:p w:rsidR="000A156F" w:rsidRDefault="00A9721F">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676</w:t>
      </w:r>
      <w:r>
        <w:fldChar w:fldCharType="end"/>
      </w:r>
    </w:p>
    <w:p w:rsidR="000A156F" w:rsidRDefault="00A9721F">
      <w:pPr>
        <w:pStyle w:val="indexentry0"/>
      </w:pPr>
      <w:hyperlink w:anchor="section_4dc6867741fa4e15a3af9aecb84e03c9">
        <w:r>
          <w:rPr>
            <w:rStyle w:val="Hyperlink"/>
          </w:rPr>
          <w:t>Loc</w:t>
        </w:r>
        <w:r>
          <w:rPr>
            <w:rStyle w:val="Hyperlink"/>
          </w:rPr>
          <w:t>kedField (Embedded Object Cannot Be Refreshed)</w:t>
        </w:r>
      </w:hyperlink>
      <w:r>
        <w:t xml:space="preserve"> </w:t>
      </w:r>
      <w:r>
        <w:fldChar w:fldCharType="begin"/>
      </w:r>
      <w:r>
        <w:instrText>PAGEREF section_4dc6867741fa4e15a3af9aecb84e03c9</w:instrText>
      </w:r>
      <w:r>
        <w:fldChar w:fldCharType="separate"/>
      </w:r>
      <w:r>
        <w:rPr>
          <w:noProof/>
        </w:rPr>
        <w:t>676</w:t>
      </w:r>
      <w:r>
        <w:fldChar w:fldCharType="end"/>
      </w:r>
    </w:p>
    <w:p w:rsidR="000A156F" w:rsidRDefault="00A9721F">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429</w:t>
      </w:r>
      <w:r>
        <w:fldChar w:fldCharType="end"/>
      </w:r>
    </w:p>
    <w:p w:rsidR="000A156F" w:rsidRDefault="00A9721F">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430</w:t>
      </w:r>
      <w:r>
        <w:fldChar w:fldCharType="end"/>
      </w:r>
    </w:p>
    <w:p w:rsidR="000A156F" w:rsidRDefault="00A9721F">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430</w:t>
      </w:r>
      <w:r>
        <w:fldChar w:fldCharType="end"/>
      </w:r>
    </w:p>
    <w:p w:rsidR="000A156F" w:rsidRDefault="00A9721F">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430</w:t>
      </w:r>
      <w:r>
        <w:fldChar w:fldCharType="end"/>
      </w:r>
    </w:p>
    <w:p w:rsidR="000A156F" w:rsidRDefault="00A9721F">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879</w:t>
      </w:r>
      <w:r>
        <w:fldChar w:fldCharType="end"/>
      </w:r>
    </w:p>
    <w:p w:rsidR="000A156F" w:rsidRDefault="00A9721F">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879</w:t>
      </w:r>
      <w:r>
        <w:fldChar w:fldCharType="end"/>
      </w:r>
    </w:p>
    <w:p w:rsidR="000A156F" w:rsidRDefault="00A9721F">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162</w:t>
      </w:r>
      <w:r>
        <w:fldChar w:fldCharType="end"/>
      </w:r>
    </w:p>
    <w:p w:rsidR="000A156F" w:rsidRDefault="00A9721F">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880</w:t>
      </w:r>
      <w:r>
        <w:fldChar w:fldCharType="end"/>
      </w:r>
    </w:p>
    <w:p w:rsidR="000A156F" w:rsidRDefault="00A9721F">
      <w:pPr>
        <w:pStyle w:val="indexentry0"/>
      </w:pPr>
      <w:hyperlink w:anchor="section_e142bd7e59954bcfaaa84317a6eb9396">
        <w:r>
          <w:rPr>
            <w:rStyle w:val="Hyperlink"/>
          </w:rPr>
          <w:t>LongProperties (Custom XML</w:t>
        </w:r>
        <w:r>
          <w:rPr>
            <w:rStyle w:val="Hyperlink"/>
          </w:rPr>
          <w:t xml:space="preserve"> Server Properties - Long Properties)</w:t>
        </w:r>
      </w:hyperlink>
      <w:r>
        <w:t xml:space="preserve"> </w:t>
      </w:r>
      <w:r>
        <w:fldChar w:fldCharType="begin"/>
      </w:r>
      <w:r>
        <w:instrText>PAGEREF section_e142bd7e59954bcfaaa84317a6eb9396</w:instrText>
      </w:r>
      <w:r>
        <w:fldChar w:fldCharType="separate"/>
      </w:r>
      <w:r>
        <w:rPr>
          <w:noProof/>
        </w:rPr>
        <w:t>880</w:t>
      </w:r>
      <w:r>
        <w:fldChar w:fldCharType="end"/>
      </w:r>
    </w:p>
    <w:p w:rsidR="000A156F" w:rsidRDefault="00A9721F">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106</w:t>
      </w:r>
      <w:r>
        <w:fldChar w:fldCharType="end"/>
      </w:r>
    </w:p>
    <w:p w:rsidR="000A156F" w:rsidRDefault="00A9721F">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506</w:t>
      </w:r>
      <w:r>
        <w:fldChar w:fldCharType="end"/>
      </w:r>
    </w:p>
    <w:p w:rsidR="000A156F" w:rsidRDefault="00A9721F">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506</w:t>
      </w:r>
      <w:r>
        <w:fldChar w:fldCharType="end"/>
      </w:r>
    </w:p>
    <w:p w:rsidR="000A156F" w:rsidRDefault="00A9721F">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518</w:t>
      </w:r>
      <w:r>
        <w:fldChar w:fldCharType="end"/>
      </w:r>
    </w:p>
    <w:p w:rsidR="000A156F" w:rsidRDefault="00A9721F">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501</w:t>
      </w:r>
      <w:r>
        <w:fldChar w:fldCharType="end"/>
      </w:r>
    </w:p>
    <w:p w:rsidR="000A156F" w:rsidRDefault="00A9721F">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502</w:t>
      </w:r>
      <w:r>
        <w:fldChar w:fldCharType="end"/>
      </w:r>
    </w:p>
    <w:p w:rsidR="000A156F" w:rsidRDefault="00A9721F">
      <w:pPr>
        <w:pStyle w:val="indexentry0"/>
      </w:pPr>
      <w:hyperlink w:anchor="section_fa8c6409ddd046bdb9950b00342d9aeb">
        <w:r>
          <w:rPr>
            <w:rStyle w:val="Hyperlink"/>
          </w:rPr>
          <w:t>lumOff (Luminance Offset)</w:t>
        </w:r>
      </w:hyperlink>
      <w:r>
        <w:t xml:space="preserve"> </w:t>
      </w:r>
      <w:r>
        <w:fldChar w:fldCharType="begin"/>
      </w:r>
      <w:r>
        <w:instrText>PAGEREF section_fa</w:instrText>
      </w:r>
      <w:r>
        <w:instrText>8c6409ddd046bdb9950b00342d9aeb</w:instrText>
      </w:r>
      <w:r>
        <w:fldChar w:fldCharType="separate"/>
      </w:r>
      <w:r>
        <w:rPr>
          <w:noProof/>
        </w:rPr>
        <w:t>502</w:t>
      </w:r>
      <w:r>
        <w:fldChar w:fldCharType="end"/>
      </w:r>
    </w:p>
    <w:p w:rsidR="000A156F" w:rsidRDefault="00A9721F">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562</w:t>
      </w:r>
      <w:r>
        <w:fldChar w:fldCharType="end"/>
      </w:r>
    </w:p>
    <w:p w:rsidR="000A156F" w:rsidRDefault="00A9721F">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123</w:t>
      </w:r>
      <w:r>
        <w:fldChar w:fldCharType="end"/>
      </w:r>
    </w:p>
    <w:p w:rsidR="000A156F" w:rsidRDefault="00A9721F">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123</w:t>
      </w:r>
      <w:r>
        <w:fldChar w:fldCharType="end"/>
      </w:r>
    </w:p>
    <w:p w:rsidR="000A156F" w:rsidRDefault="00A9721F">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546</w:t>
      </w:r>
      <w:r>
        <w:fldChar w:fldCharType="end"/>
      </w:r>
    </w:p>
    <w:p w:rsidR="000A156F" w:rsidRDefault="00A9721F">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547</w:t>
      </w:r>
      <w:r>
        <w:fldChar w:fldCharType="end"/>
      </w:r>
    </w:p>
    <w:p w:rsidR="000A156F" w:rsidRDefault="00A9721F">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547</w:t>
      </w:r>
      <w:r>
        <w:fldChar w:fldCharType="end"/>
      </w:r>
    </w:p>
    <w:p w:rsidR="000A156F" w:rsidRDefault="00A9721F">
      <w:pPr>
        <w:pStyle w:val="indexentry0"/>
      </w:pPr>
      <w:hyperlink w:anchor="section_142246b5277945a4b8a49a03defc916a">
        <w:r>
          <w:rPr>
            <w:rStyle w:val="Hyperlink"/>
          </w:rPr>
          <w:t>lvl4pPr (List Level 4 Text Style)</w:t>
        </w:r>
      </w:hyperlink>
      <w:r>
        <w:t xml:space="preserve"> </w:t>
      </w:r>
      <w:r>
        <w:fldChar w:fldCharType="begin"/>
      </w:r>
      <w:r>
        <w:instrText>PAGEREF sectio</w:instrText>
      </w:r>
      <w:r>
        <w:instrText>n_142246b5277945a4b8a49a03defc916a</w:instrText>
      </w:r>
      <w:r>
        <w:fldChar w:fldCharType="separate"/>
      </w:r>
      <w:r>
        <w:rPr>
          <w:noProof/>
        </w:rPr>
        <w:t>547</w:t>
      </w:r>
      <w:r>
        <w:fldChar w:fldCharType="end"/>
      </w:r>
    </w:p>
    <w:p w:rsidR="000A156F" w:rsidRDefault="00A9721F">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547</w:t>
      </w:r>
      <w:r>
        <w:fldChar w:fldCharType="end"/>
      </w:r>
    </w:p>
    <w:p w:rsidR="000A156F" w:rsidRDefault="00A9721F">
      <w:pPr>
        <w:pStyle w:val="indexentry0"/>
      </w:pPr>
      <w:hyperlink w:anchor="section_228bd71e50624343972ec687ef5c6c49">
        <w:r>
          <w:rPr>
            <w:rStyle w:val="Hyperlink"/>
          </w:rPr>
          <w:t xml:space="preserve">lvl6pPr </w:t>
        </w:r>
        <w:r>
          <w:rPr>
            <w:rStyle w:val="Hyperlink"/>
          </w:rPr>
          <w:t>(List Level 6 Text Style)</w:t>
        </w:r>
      </w:hyperlink>
      <w:r>
        <w:t xml:space="preserve"> </w:t>
      </w:r>
      <w:r>
        <w:fldChar w:fldCharType="begin"/>
      </w:r>
      <w:r>
        <w:instrText>PAGEREF section_228bd71e50624343972ec687ef5c6c49</w:instrText>
      </w:r>
      <w:r>
        <w:fldChar w:fldCharType="separate"/>
      </w:r>
      <w:r>
        <w:rPr>
          <w:noProof/>
        </w:rPr>
        <w:t>547</w:t>
      </w:r>
      <w:r>
        <w:fldChar w:fldCharType="end"/>
      </w:r>
    </w:p>
    <w:p w:rsidR="000A156F" w:rsidRDefault="00A9721F">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547</w:t>
      </w:r>
      <w:r>
        <w:fldChar w:fldCharType="end"/>
      </w:r>
    </w:p>
    <w:p w:rsidR="000A156F" w:rsidRDefault="00A9721F">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548</w:t>
      </w:r>
      <w:r>
        <w:fldChar w:fldCharType="end"/>
      </w:r>
    </w:p>
    <w:p w:rsidR="000A156F" w:rsidRDefault="00A9721F">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w:instrText>
      </w:r>
      <w:r>
        <w:instrText>964a45d4168</w:instrText>
      </w:r>
      <w:r>
        <w:fldChar w:fldCharType="separate"/>
      </w:r>
      <w:r>
        <w:rPr>
          <w:noProof/>
        </w:rPr>
        <w:t>548</w:t>
      </w:r>
      <w:r>
        <w:fldChar w:fldCharType="end"/>
      </w:r>
    </w:p>
    <w:p w:rsidR="000A156F" w:rsidRDefault="00A9721F">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123</w:t>
      </w:r>
      <w:r>
        <w:fldChar w:fldCharType="end"/>
      </w:r>
    </w:p>
    <w:p w:rsidR="000A156F" w:rsidRDefault="00A9721F">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section_140a2cd92f26456d9760ae6ecef4e8b5</w:instrText>
      </w:r>
      <w:r>
        <w:fldChar w:fldCharType="separate"/>
      </w:r>
      <w:r>
        <w:rPr>
          <w:noProof/>
        </w:rPr>
        <w:t>123</w:t>
      </w:r>
      <w:r>
        <w:fldChar w:fldCharType="end"/>
      </w:r>
    </w:p>
    <w:p w:rsidR="000A156F" w:rsidRDefault="00A9721F">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124</w:t>
      </w:r>
      <w:r>
        <w:fldChar w:fldCharType="end"/>
      </w:r>
    </w:p>
    <w:p w:rsidR="000A156F" w:rsidRDefault="000A156F">
      <w:pPr>
        <w:spacing w:before="0" w:after="0"/>
        <w:rPr>
          <w:sz w:val="16"/>
        </w:rPr>
      </w:pPr>
    </w:p>
    <w:p w:rsidR="000A156F" w:rsidRDefault="00A9721F">
      <w:pPr>
        <w:pStyle w:val="indexheader"/>
      </w:pPr>
      <w:r>
        <w:t>M</w:t>
      </w:r>
    </w:p>
    <w:p w:rsidR="000A156F" w:rsidRDefault="000A156F">
      <w:pPr>
        <w:spacing w:before="0" w:after="0"/>
        <w:rPr>
          <w:sz w:val="16"/>
        </w:rPr>
      </w:pPr>
    </w:p>
    <w:p w:rsidR="000A156F" w:rsidRDefault="00A9721F">
      <w:pPr>
        <w:pStyle w:val="indexentry0"/>
      </w:pPr>
      <w:hyperlink w:anchor="section_5ebe64dcdfd043959169450bd428ae63">
        <w:r>
          <w:rPr>
            <w:rStyle w:val="Hyperlink"/>
          </w:rPr>
          <w:t>m (Matrix Object)</w:t>
        </w:r>
      </w:hyperlink>
      <w:r>
        <w:t xml:space="preserve"> </w:t>
      </w:r>
      <w:r>
        <w:fldChar w:fldCharType="begin"/>
      </w:r>
      <w:r>
        <w:instrText>PAGEREF section_5ebe64dcdfd043959169450bd428ae63</w:instrText>
      </w:r>
      <w:r>
        <w:fldChar w:fldCharType="separate"/>
      </w:r>
      <w:r>
        <w:rPr>
          <w:noProof/>
        </w:rPr>
        <w:t>605</w:t>
      </w:r>
      <w:r>
        <w:fldChar w:fldCharType="end"/>
      </w:r>
    </w:p>
    <w:p w:rsidR="000A156F" w:rsidRDefault="00A9721F">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340</w:t>
      </w:r>
      <w:r>
        <w:fldChar w:fldCharType="end"/>
      </w:r>
    </w:p>
    <w:p w:rsidR="000A156F" w:rsidRDefault="00A9721F">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708</w:t>
      </w:r>
      <w:r>
        <w:fldChar w:fldCharType="end"/>
      </w:r>
    </w:p>
    <w:p w:rsidR="000A156F" w:rsidRDefault="00A9721F">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217</w:t>
      </w:r>
      <w:r>
        <w:fldChar w:fldCharType="end"/>
      </w:r>
    </w:p>
    <w:p w:rsidR="000A156F" w:rsidRDefault="00A9721F">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141</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787</w:t>
      </w:r>
      <w:r>
        <w:fldChar w:fldCharType="end"/>
      </w:r>
      <w:r>
        <w:t>)</w:t>
      </w:r>
    </w:p>
    <w:p w:rsidR="000A156F" w:rsidRDefault="00A9721F">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695</w:t>
      </w:r>
      <w:r>
        <w:fldChar w:fldCharType="end"/>
      </w:r>
    </w:p>
    <w:p w:rsidR="000A156F" w:rsidRDefault="00A9721F">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144</w:t>
      </w:r>
      <w:r>
        <w:fldChar w:fldCharType="end"/>
      </w:r>
    </w:p>
    <w:p w:rsidR="000A156F" w:rsidRDefault="00A9721F">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382</w:t>
      </w:r>
      <w:r>
        <w:fldChar w:fldCharType="end"/>
      </w:r>
    </w:p>
    <w:p w:rsidR="000A156F" w:rsidRDefault="00A9721F">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562</w:t>
      </w:r>
      <w:r>
        <w:fldChar w:fldCharType="end"/>
      </w:r>
    </w:p>
    <w:p w:rsidR="000A156F" w:rsidRDefault="00A9721F">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563</w:t>
      </w:r>
      <w:r>
        <w:fldChar w:fldCharType="end"/>
      </w:r>
    </w:p>
    <w:p w:rsidR="000A156F" w:rsidRDefault="00A9721F">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891</w:t>
      </w:r>
      <w:r>
        <w:fldChar w:fldCharType="end"/>
      </w:r>
    </w:p>
    <w:p w:rsidR="000A156F" w:rsidRDefault="00A9721F">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w:instrText>
      </w:r>
      <w:r>
        <w:instrText>997509ec5a80cf5</w:instrText>
      </w:r>
      <w:r>
        <w:fldChar w:fldCharType="separate"/>
      </w:r>
      <w:r>
        <w:rPr>
          <w:noProof/>
        </w:rPr>
        <w:t>563</w:t>
      </w:r>
      <w:r>
        <w:fldChar w:fldCharType="end"/>
      </w:r>
    </w:p>
    <w:p w:rsidR="000A156F" w:rsidRDefault="00A9721F">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341</w:t>
      </w:r>
      <w:r>
        <w:fldChar w:fldCharType="end"/>
      </w:r>
    </w:p>
    <w:p w:rsidR="000A156F" w:rsidRDefault="00A9721F">
      <w:pPr>
        <w:pStyle w:val="indexentry0"/>
      </w:pPr>
      <w:hyperlink w:anchor="section_b99c81f1268a460a96cc4bbbe2ddf7c5">
        <w:r>
          <w:rPr>
            <w:rStyle w:val="Hyperlink"/>
          </w:rPr>
          <w:t>Map (XML Mapping Properties)</w:t>
        </w:r>
      </w:hyperlink>
      <w:r>
        <w:t xml:space="preserve"> </w:t>
      </w:r>
      <w:r>
        <w:fldChar w:fldCharType="begin"/>
      </w:r>
      <w:r>
        <w:instrText>PAGER</w:instrText>
      </w:r>
      <w:r>
        <w:instrText>EF section_b99c81f1268a460a96cc4bbbe2ddf7c5</w:instrText>
      </w:r>
      <w:r>
        <w:fldChar w:fldCharType="separate"/>
      </w:r>
      <w:r>
        <w:rPr>
          <w:noProof/>
        </w:rPr>
        <w:t>384</w:t>
      </w:r>
      <w:r>
        <w:fldChar w:fldCharType="end"/>
      </w:r>
    </w:p>
    <w:p w:rsidR="000A156F" w:rsidRDefault="00A9721F">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144</w:t>
      </w:r>
      <w:r>
        <w:fldChar w:fldCharType="end"/>
      </w:r>
    </w:p>
    <w:p w:rsidR="000A156F" w:rsidRDefault="00A9721F">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563</w:t>
      </w:r>
      <w:r>
        <w:fldChar w:fldCharType="end"/>
      </w:r>
    </w:p>
    <w:p w:rsidR="000A156F" w:rsidRDefault="00A9721F">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563</w:t>
      </w:r>
      <w:r>
        <w:fldChar w:fldCharType="end"/>
      </w:r>
    </w:p>
    <w:p w:rsidR="000A156F" w:rsidRDefault="00A9721F">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430</w:t>
      </w:r>
      <w:r>
        <w:fldChar w:fldCharType="end"/>
      </w:r>
    </w:p>
    <w:p w:rsidR="000A156F" w:rsidRDefault="00A9721F">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600</w:t>
      </w:r>
      <w:r>
        <w:fldChar w:fldCharType="end"/>
      </w:r>
    </w:p>
    <w:p w:rsidR="000A156F" w:rsidRDefault="00A9721F">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903</w:t>
      </w:r>
      <w:r>
        <w:fldChar w:fldCharType="end"/>
      </w:r>
    </w:p>
    <w:p w:rsidR="000A156F" w:rsidRDefault="00A9721F">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605</w:t>
      </w:r>
      <w:r>
        <w:fldChar w:fldCharType="end"/>
      </w:r>
    </w:p>
    <w:p w:rsidR="000A156F" w:rsidRDefault="00A9721F">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563</w:t>
      </w:r>
      <w:r>
        <w:fldChar w:fldCharType="end"/>
      </w:r>
    </w:p>
    <w:p w:rsidR="000A156F" w:rsidRDefault="00A9721F">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686</w:t>
      </w:r>
      <w:r>
        <w:fldChar w:fldCharType="end"/>
      </w:r>
    </w:p>
    <w:p w:rsidR="000A156F" w:rsidRDefault="00A9721F">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605</w:t>
      </w:r>
      <w:r>
        <w:fldChar w:fldCharType="end"/>
      </w:r>
    </w:p>
    <w:p w:rsidR="000A156F" w:rsidRDefault="00A9721F">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226</w:t>
      </w:r>
      <w:r>
        <w:fldChar w:fldCharType="end"/>
      </w:r>
    </w:p>
    <w:p w:rsidR="000A156F" w:rsidRDefault="00A9721F">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section_764aed492a6b41daa4db13eebd3baac1</w:instrText>
      </w:r>
      <w:r>
        <w:fldChar w:fldCharType="separate"/>
      </w:r>
      <w:r>
        <w:rPr>
          <w:noProof/>
        </w:rPr>
        <w:t>605</w:t>
      </w:r>
      <w:r>
        <w:fldChar w:fldCharType="end"/>
      </w:r>
    </w:p>
    <w:p w:rsidR="000A156F" w:rsidRDefault="00A9721F">
      <w:pPr>
        <w:pStyle w:val="indexentry0"/>
      </w:pPr>
      <w:hyperlink w:anchor="section_786223f8442d48c9917706e8cd54c027">
        <w:r>
          <w:rPr>
            <w:rStyle w:val="Hyperlink"/>
          </w:rPr>
          <w:t>MCE Elements and Attributes</w:t>
        </w:r>
      </w:hyperlink>
      <w:r>
        <w:t xml:space="preserve"> </w:t>
      </w:r>
      <w:r>
        <w:fldChar w:fldCharType="begin"/>
      </w:r>
      <w:r>
        <w:instrText>PAGEREF section_786223f8442d48c9917706e8cd54c027</w:instrText>
      </w:r>
      <w:r>
        <w:fldChar w:fldCharType="separate"/>
      </w:r>
      <w:r>
        <w:rPr>
          <w:noProof/>
        </w:rPr>
        <w:t>629</w:t>
      </w:r>
      <w:r>
        <w:fldChar w:fldCharType="end"/>
      </w:r>
    </w:p>
    <w:p w:rsidR="000A156F" w:rsidRDefault="00A9721F">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section_57fe4ac077a449f09ade51e4ce4cd6f5</w:instrText>
      </w:r>
      <w:r>
        <w:fldChar w:fldCharType="separate"/>
      </w:r>
      <w:r>
        <w:rPr>
          <w:noProof/>
        </w:rPr>
        <w:t>605</w:t>
      </w:r>
      <w:r>
        <w:fldChar w:fldCharType="end"/>
      </w:r>
    </w:p>
    <w:p w:rsidR="000A156F" w:rsidRDefault="00A9721F">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430</w:t>
      </w:r>
      <w:r>
        <w:fldChar w:fldCharType="end"/>
      </w:r>
    </w:p>
    <w:p w:rsidR="000A156F" w:rsidRDefault="00A9721F">
      <w:pPr>
        <w:pStyle w:val="indexentry0"/>
      </w:pPr>
      <w:hyperlink w:anchor="section_81b51cf7164b4891954ecb4e39ee088d">
        <w:r>
          <w:rPr>
            <w:rStyle w:val="Hyperlink"/>
          </w:rPr>
          <w:t>mdx (MDX Metadata Record)</w:t>
        </w:r>
      </w:hyperlink>
      <w:r>
        <w:t xml:space="preserve"> </w:t>
      </w:r>
      <w:r>
        <w:fldChar w:fldCharType="begin"/>
      </w:r>
      <w:r>
        <w:instrText>PAGEREF section_81b51cf7164b4891954ecb4e39ee088d</w:instrText>
      </w:r>
      <w:r>
        <w:fldChar w:fldCharType="separate"/>
      </w:r>
      <w:r>
        <w:rPr>
          <w:noProof/>
        </w:rPr>
        <w:t>314</w:t>
      </w:r>
      <w:r>
        <w:fldChar w:fldCharType="end"/>
      </w:r>
    </w:p>
    <w:p w:rsidR="000A156F" w:rsidRDefault="00A9721F">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314</w:t>
      </w:r>
      <w:r>
        <w:fldChar w:fldCharType="end"/>
      </w:r>
    </w:p>
    <w:p w:rsidR="000A156F" w:rsidRDefault="00A9721F">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w:instrText>
      </w:r>
      <w:r>
        <w:instrText>0767301fa40250e</w:instrText>
      </w:r>
      <w:r>
        <w:fldChar w:fldCharType="separate"/>
      </w:r>
      <w:r>
        <w:rPr>
          <w:noProof/>
        </w:rPr>
        <w:t>341</w:t>
      </w:r>
      <w:r>
        <w:fldChar w:fldCharType="end"/>
      </w:r>
    </w:p>
    <w:p w:rsidR="000A156F" w:rsidRDefault="00A9721F">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341</w:t>
      </w:r>
      <w:r>
        <w:fldChar w:fldCharType="end"/>
      </w:r>
    </w:p>
    <w:p w:rsidR="000A156F" w:rsidRDefault="00A9721F">
      <w:pPr>
        <w:pStyle w:val="indexentry0"/>
      </w:pPr>
      <w:hyperlink w:anchor="section_29bfbcf811e64151a3b3abb4825c9160">
        <w:r>
          <w:rPr>
            <w:rStyle w:val="Hyperlink"/>
          </w:rPr>
          <w:t>members (Members)</w:t>
        </w:r>
      </w:hyperlink>
      <w:r>
        <w:t xml:space="preserve"> </w:t>
      </w:r>
      <w:r>
        <w:fldChar w:fldCharType="begin"/>
      </w:r>
      <w:r>
        <w:instrText>PAGEREF section_29bfbcf81</w:instrText>
      </w:r>
      <w:r>
        <w:instrText>1e64151a3b3abb4825c9160</w:instrText>
      </w:r>
      <w:r>
        <w:fldChar w:fldCharType="separate"/>
      </w:r>
      <w:r>
        <w:rPr>
          <w:noProof/>
        </w:rPr>
        <w:t>342</w:t>
      </w:r>
      <w:r>
        <w:fldChar w:fldCharType="end"/>
      </w:r>
    </w:p>
    <w:p w:rsidR="000A156F" w:rsidRDefault="00A9721F">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825</w:t>
      </w:r>
      <w:r>
        <w:fldChar w:fldCharType="end"/>
      </w:r>
    </w:p>
    <w:p w:rsidR="000A156F" w:rsidRDefault="00A9721F">
      <w:pPr>
        <w:pStyle w:val="indexentry0"/>
      </w:pPr>
      <w:hyperlink w:anchor="section_8a2a99c9bfc54d448d003046b75af83c">
        <w:r>
          <w:rPr>
            <w:rStyle w:val="Hyperlink"/>
          </w:rPr>
          <w:t>mergeCells (Merge Cells)</w:t>
        </w:r>
      </w:hyperlink>
      <w:r>
        <w:t xml:space="preserve"> </w:t>
      </w:r>
      <w:r>
        <w:fldChar w:fldCharType="begin"/>
      </w:r>
      <w:r>
        <w:instrText>PAGEREF secti</w:instrText>
      </w:r>
      <w:r>
        <w:instrText>on_8a2a99c9bfc54d448d003046b75af83c</w:instrText>
      </w:r>
      <w:r>
        <w:fldChar w:fldCharType="separate"/>
      </w:r>
      <w:r>
        <w:rPr>
          <w:noProof/>
        </w:rPr>
        <w:t>264</w:t>
      </w:r>
      <w:r>
        <w:fldChar w:fldCharType="end"/>
      </w:r>
    </w:p>
    <w:p w:rsidR="000A156F" w:rsidRDefault="00A9721F">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217</w:t>
      </w:r>
      <w:r>
        <w:fldChar w:fldCharType="end"/>
      </w:r>
    </w:p>
    <w:p w:rsidR="000A156F" w:rsidRDefault="00A9721F">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866</w:t>
      </w:r>
      <w:r>
        <w:fldChar w:fldCharType="end"/>
      </w:r>
    </w:p>
    <w:p w:rsidR="000A156F" w:rsidRDefault="00A9721F">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314</w:t>
      </w:r>
      <w:r>
        <w:fldChar w:fldCharType="end"/>
      </w:r>
    </w:p>
    <w:p w:rsidR="000A156F" w:rsidRDefault="00A9721F">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314</w:t>
      </w:r>
      <w:r>
        <w:fldChar w:fldCharType="end"/>
      </w:r>
    </w:p>
    <w:p w:rsidR="000A156F" w:rsidRDefault="00A9721F">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w:instrText>
      </w:r>
      <w:r>
        <w:instrText>3048</w:instrText>
      </w:r>
      <w:r>
        <w:fldChar w:fldCharType="separate"/>
      </w:r>
      <w:r>
        <w:rPr>
          <w:noProof/>
        </w:rPr>
        <w:t>318</w:t>
      </w:r>
      <w:r>
        <w:fldChar w:fldCharType="end"/>
      </w:r>
    </w:p>
    <w:p w:rsidR="000A156F" w:rsidRDefault="00A9721F">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841</w:t>
      </w:r>
      <w:r>
        <w:fldChar w:fldCharType="end"/>
      </w:r>
    </w:p>
    <w:p w:rsidR="000A156F" w:rsidRDefault="00A9721F">
      <w:pPr>
        <w:pStyle w:val="indexentry0"/>
      </w:pPr>
      <w:hyperlink w:anchor="section_612ff32d2b6b45d58904f41a2bd7fcd6">
        <w:r>
          <w:rPr>
            <w:rStyle w:val="Hyperlink"/>
          </w:rPr>
          <w:t>MID</w:t>
        </w:r>
      </w:hyperlink>
      <w:r>
        <w:t xml:space="preserve"> </w:t>
      </w:r>
      <w:r>
        <w:fldChar w:fldCharType="begin"/>
      </w:r>
      <w:r>
        <w:instrText>PAGEREF section_612ff32d2b6b45d5890</w:instrText>
      </w:r>
      <w:r>
        <w:instrText>4f41a2bd7fcd6</w:instrText>
      </w:r>
      <w:r>
        <w:fldChar w:fldCharType="separate"/>
      </w:r>
      <w:r>
        <w:rPr>
          <w:noProof/>
        </w:rPr>
        <w:t>431</w:t>
      </w:r>
      <w:r>
        <w:fldChar w:fldCharType="end"/>
      </w:r>
    </w:p>
    <w:p w:rsidR="000A156F" w:rsidRDefault="00A9721F">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432</w:t>
      </w:r>
      <w:r>
        <w:fldChar w:fldCharType="end"/>
      </w:r>
    </w:p>
    <w:p w:rsidR="000A156F" w:rsidRDefault="00A9721F">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432</w:t>
      </w:r>
      <w:r>
        <w:fldChar w:fldCharType="end"/>
      </w:r>
    </w:p>
    <w:p w:rsidR="000A156F" w:rsidRDefault="00A9721F">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563</w:t>
      </w:r>
      <w:r>
        <w:fldChar w:fldCharType="end"/>
      </w:r>
    </w:p>
    <w:p w:rsidR="000A156F" w:rsidRDefault="00A9721F">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w:instrText>
      </w:r>
      <w:r>
        <w:instrText>c1055b689</w:instrText>
      </w:r>
      <w:r>
        <w:fldChar w:fldCharType="separate"/>
      </w:r>
      <w:r>
        <w:rPr>
          <w:noProof/>
        </w:rPr>
        <w:t>686</w:t>
      </w:r>
      <w:r>
        <w:fldChar w:fldCharType="end"/>
      </w:r>
    </w:p>
    <w:p w:rsidR="000A156F" w:rsidRDefault="00A9721F">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432</w:t>
      </w:r>
      <w:r>
        <w:fldChar w:fldCharType="end"/>
      </w:r>
    </w:p>
    <w:p w:rsidR="000A156F" w:rsidRDefault="00A9721F">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563</w:t>
      </w:r>
      <w:r>
        <w:fldChar w:fldCharType="end"/>
      </w:r>
    </w:p>
    <w:p w:rsidR="000A156F" w:rsidRDefault="00A9721F">
      <w:pPr>
        <w:pStyle w:val="indexentry0"/>
      </w:pPr>
      <w:hyperlink w:anchor="section_f9019fcff51d4d9589c4e9267f846bdb">
        <w:r>
          <w:rPr>
            <w:rStyle w:val="Hyperlink"/>
          </w:rPr>
          <w:t>minus (Minus)</w:t>
        </w:r>
      </w:hyperlink>
      <w:r>
        <w:t xml:space="preserve"> </w:t>
      </w:r>
      <w:r>
        <w:fldChar w:fldCharType="begin"/>
      </w:r>
      <w:r>
        <w:instrText>PAGEREF section_f9019fcff51d4d9589c4e9267f846bdb</w:instrText>
      </w:r>
      <w:r>
        <w:fldChar w:fldCharType="separate"/>
      </w:r>
      <w:r>
        <w:rPr>
          <w:noProof/>
        </w:rPr>
        <w:t>563</w:t>
      </w:r>
      <w:r>
        <w:fldChar w:fldCharType="end"/>
      </w:r>
    </w:p>
    <w:p w:rsidR="000A156F" w:rsidRDefault="00A9721F">
      <w:pPr>
        <w:pStyle w:val="indexentry0"/>
      </w:pPr>
      <w:hyperlink w:anchor="section_3ce4055731a94b8a8f0f38f73c07c844">
        <w:r>
          <w:rPr>
            <w:rStyle w:val="Hyperlink"/>
          </w:rPr>
          <w:t>MINVERSE</w:t>
        </w:r>
      </w:hyperlink>
      <w:r>
        <w:t xml:space="preserve"> </w:t>
      </w:r>
      <w:r>
        <w:fldChar w:fldCharType="begin"/>
      </w:r>
      <w:r>
        <w:instrText>PAG</w:instrText>
      </w:r>
      <w:r>
        <w:instrText>EREF section_3ce4055731a94b8a8f0f38f73c07c844</w:instrText>
      </w:r>
      <w:r>
        <w:fldChar w:fldCharType="separate"/>
      </w:r>
      <w:r>
        <w:rPr>
          <w:noProof/>
        </w:rPr>
        <w:t>433</w:t>
      </w:r>
      <w:r>
        <w:fldChar w:fldCharType="end"/>
      </w:r>
    </w:p>
    <w:p w:rsidR="000A156F" w:rsidRDefault="00A9721F">
      <w:pPr>
        <w:pStyle w:val="indexentry0"/>
      </w:pPr>
      <w:hyperlink w:anchor="section_7d70ca688cbe48b7b3c34e19a9a7ee5a">
        <w:r>
          <w:rPr>
            <w:rStyle w:val="Hyperlink"/>
          </w:rPr>
          <w:t>mirrorIndents (Use Left/Right Indents as Inside/Outside Indents)</w:t>
        </w:r>
      </w:hyperlink>
      <w:r>
        <w:t xml:space="preserve"> </w:t>
      </w:r>
      <w:r>
        <w:fldChar w:fldCharType="begin"/>
      </w:r>
      <w:r>
        <w:instrText>PAGEREF section_7d70ca688cbe48b7b3c34e19a9a7ee5a</w:instrText>
      </w:r>
      <w:r>
        <w:fldChar w:fldCharType="separate"/>
      </w:r>
      <w:r>
        <w:rPr>
          <w:noProof/>
        </w:rPr>
        <w:t>64</w:t>
      </w:r>
      <w:r>
        <w:fldChar w:fldCharType="end"/>
      </w:r>
    </w:p>
    <w:p w:rsidR="000A156F" w:rsidRDefault="00A9721F">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518</w:t>
      </w:r>
      <w:r>
        <w:fldChar w:fldCharType="end"/>
      </w:r>
    </w:p>
    <w:p w:rsidR="000A156F" w:rsidRDefault="00A9721F">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w:instrText>
      </w:r>
      <w:r>
        <w:instrText>4bb197</w:instrText>
      </w:r>
      <w:r>
        <w:fldChar w:fldCharType="separate"/>
      </w:r>
      <w:r>
        <w:rPr>
          <w:noProof/>
        </w:rPr>
        <w:t>461</w:t>
      </w:r>
      <w:r>
        <w:fldChar w:fldCharType="end"/>
      </w:r>
    </w:p>
    <w:p w:rsidR="000A156F" w:rsidRDefault="00A9721F">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891</w:t>
      </w:r>
      <w:r>
        <w:fldChar w:fldCharType="end"/>
      </w:r>
    </w:p>
    <w:p w:rsidR="000A156F" w:rsidRDefault="00A9721F">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810</w:t>
      </w:r>
      <w:r>
        <w:fldChar w:fldCharType="end"/>
      </w:r>
    </w:p>
    <w:p w:rsidR="000A156F" w:rsidRDefault="00A9721F">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136</w:t>
      </w:r>
      <w:r>
        <w:fldChar w:fldCharType="end"/>
      </w:r>
    </w:p>
    <w:p w:rsidR="000A156F" w:rsidRDefault="00A9721F">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137</w:t>
      </w:r>
      <w:r>
        <w:fldChar w:fldCharType="end"/>
      </w:r>
    </w:p>
    <w:p w:rsidR="000A156F" w:rsidRDefault="00A9721F">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137</w:t>
      </w:r>
      <w:r>
        <w:fldChar w:fldCharType="end"/>
      </w:r>
    </w:p>
    <w:p w:rsidR="000A156F" w:rsidRDefault="00A9721F">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section_5214839b61db423aa618a375b90fd0a8</w:instrText>
      </w:r>
      <w:r>
        <w:fldChar w:fldCharType="separate"/>
      </w:r>
      <w:r>
        <w:rPr>
          <w:noProof/>
        </w:rPr>
        <w:t>137</w:t>
      </w:r>
      <w:r>
        <w:fldChar w:fldCharType="end"/>
      </w:r>
    </w:p>
    <w:p w:rsidR="000A156F" w:rsidRDefault="00A9721F">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812</w:t>
      </w:r>
      <w:r>
        <w:fldChar w:fldCharType="end"/>
      </w:r>
    </w:p>
    <w:p w:rsidR="000A156F" w:rsidRDefault="00A9721F">
      <w:pPr>
        <w:pStyle w:val="indexentry0"/>
      </w:pPr>
      <w:hyperlink w:anchor="section_dafb64ea058d4c1fa592c3c6c8df91c6">
        <w:r>
          <w:rPr>
            <w:rStyle w:val="Hyperlink"/>
          </w:rPr>
          <w:t>moveTo (Move Destination Paragraph)</w:t>
        </w:r>
      </w:hyperlink>
      <w:r>
        <w:t xml:space="preserve"> </w:t>
      </w:r>
      <w:r>
        <w:fldChar w:fldCharType="begin"/>
      </w:r>
      <w:r>
        <w:instrText>PAGEREF section_dafb64</w:instrText>
      </w:r>
      <w:r>
        <w:instrText>ea058d4c1fa592c3c6c8df91c6</w:instrText>
      </w:r>
      <w:r>
        <w:fldChar w:fldCharType="separate"/>
      </w:r>
      <w:r>
        <w:rPr>
          <w:noProof/>
        </w:rPr>
        <w:t>137</w:t>
      </w:r>
      <w:r>
        <w:fldChar w:fldCharType="end"/>
      </w:r>
    </w:p>
    <w:p w:rsidR="000A156F" w:rsidRDefault="00A9721F">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137</w:t>
      </w:r>
      <w:r>
        <w:fldChar w:fldCharType="end"/>
      </w:r>
    </w:p>
    <w:p w:rsidR="000A156F" w:rsidRDefault="00A9721F">
      <w:pPr>
        <w:pStyle w:val="indexentry0"/>
      </w:pPr>
      <w:hyperlink w:anchor="section_8e9341b0a75f40009e2209c559e8a4ce">
        <w:r>
          <w:rPr>
            <w:rStyle w:val="Hyperlink"/>
          </w:rPr>
          <w:t>moveToRangeE</w:t>
        </w:r>
        <w:r>
          <w:rPr>
            <w:rStyle w:val="Hyperlink"/>
          </w:rPr>
          <w:t>nd (Move Destination Location Container - End)</w:t>
        </w:r>
      </w:hyperlink>
      <w:r>
        <w:t xml:space="preserve"> </w:t>
      </w:r>
      <w:r>
        <w:fldChar w:fldCharType="begin"/>
      </w:r>
      <w:r>
        <w:instrText>PAGEREF section_8e9341b0a75f40009e2209c559e8a4ce</w:instrText>
      </w:r>
      <w:r>
        <w:fldChar w:fldCharType="separate"/>
      </w:r>
      <w:r>
        <w:rPr>
          <w:noProof/>
        </w:rPr>
        <w:t>138</w:t>
      </w:r>
      <w:r>
        <w:fldChar w:fldCharType="end"/>
      </w:r>
    </w:p>
    <w:p w:rsidR="000A156F" w:rsidRDefault="00A9721F">
      <w:pPr>
        <w:pStyle w:val="indexentry0"/>
      </w:pPr>
      <w:hyperlink w:anchor="section_03c98d1c57d84c05bd1b76e79d3673a4">
        <w:r>
          <w:rPr>
            <w:rStyle w:val="Hyperlink"/>
          </w:rPr>
          <w:t>moveToRangeStart (Move Destination Location Container - Start)</w:t>
        </w:r>
      </w:hyperlink>
      <w:r>
        <w:t xml:space="preserve"> </w:t>
      </w:r>
      <w:r>
        <w:fldChar w:fldCharType="begin"/>
      </w:r>
      <w:r>
        <w:instrText>PAGEREF section_03c98d1c57d84</w:instrText>
      </w:r>
      <w:r>
        <w:instrText>c05bd1b76e79d3673a4</w:instrText>
      </w:r>
      <w:r>
        <w:fldChar w:fldCharType="separate"/>
      </w:r>
      <w:r>
        <w:rPr>
          <w:noProof/>
        </w:rPr>
        <w:t>138</w:t>
      </w:r>
      <w:r>
        <w:fldChar w:fldCharType="end"/>
      </w:r>
    </w:p>
    <w:p w:rsidR="000A156F" w:rsidRDefault="00A9721F">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686</w:t>
      </w:r>
      <w:r>
        <w:fldChar w:fldCharType="end"/>
      </w:r>
    </w:p>
    <w:p w:rsidR="000A156F" w:rsidRDefault="00A9721F">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79</w:t>
      </w:r>
      <w:r>
        <w:fldChar w:fldCharType="end"/>
      </w:r>
    </w:p>
    <w:p w:rsidR="000A156F" w:rsidRDefault="00A9721F">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342</w:t>
      </w:r>
      <w:r>
        <w:fldChar w:fldCharType="end"/>
      </w:r>
    </w:p>
    <w:p w:rsidR="000A156F" w:rsidRDefault="00A9721F">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343</w:t>
      </w:r>
      <w:r>
        <w:fldChar w:fldCharType="end"/>
      </w:r>
    </w:p>
    <w:p w:rsidR="000A156F" w:rsidRDefault="00A9721F">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606</w:t>
      </w:r>
      <w:r>
        <w:fldChar w:fldCharType="end"/>
      </w:r>
    </w:p>
    <w:p w:rsidR="000A156F" w:rsidRDefault="00A9721F">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299</w:t>
      </w:r>
      <w:r>
        <w:fldChar w:fldCharType="end"/>
      </w:r>
    </w:p>
    <w:p w:rsidR="000A156F" w:rsidRDefault="00A9721F">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318</w:t>
      </w:r>
      <w:r>
        <w:fldChar w:fldCharType="end"/>
      </w:r>
    </w:p>
    <w:p w:rsidR="000A156F" w:rsidRDefault="00A9721F">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563</w:t>
      </w:r>
      <w:r>
        <w:fldChar w:fldCharType="end"/>
      </w:r>
    </w:p>
    <w:p w:rsidR="000A156F" w:rsidRDefault="00A9721F">
      <w:pPr>
        <w:pStyle w:val="indexentry0"/>
      </w:pPr>
      <w:hyperlink w:anchor="section_5a37b2e1a0914137b7fabf136bc9b3c5">
        <w:r>
          <w:rPr>
            <w:rStyle w:val="Hyperlink"/>
          </w:rPr>
          <w:t>multiLvlStrRef (Multi Level String Reference)</w:t>
        </w:r>
      </w:hyperlink>
      <w:r>
        <w:t xml:space="preserve"> </w:t>
      </w:r>
      <w:r>
        <w:fldChar w:fldCharType="begin"/>
      </w:r>
      <w:r>
        <w:instrText>PAGEREF se</w:instrText>
      </w:r>
      <w:r>
        <w:instrText>ction_5a37b2e1a0914137b7fabf136bc9b3c5</w:instrText>
      </w:r>
      <w:r>
        <w:fldChar w:fldCharType="separate"/>
      </w:r>
      <w:r>
        <w:rPr>
          <w:noProof/>
        </w:rPr>
        <w:t>564</w:t>
      </w:r>
      <w:r>
        <w:fldChar w:fldCharType="end"/>
      </w:r>
    </w:p>
    <w:p w:rsidR="000A156F" w:rsidRDefault="00A9721F">
      <w:pPr>
        <w:pStyle w:val="indexentry0"/>
      </w:pPr>
      <w:hyperlink w:anchor="section_2cd7e0b4d9d1491c92c6c271203af29a">
        <w:r>
          <w:rPr>
            <w:rStyle w:val="Hyperlink"/>
          </w:rPr>
          <w:t>MULTINOMIAL</w:t>
        </w:r>
      </w:hyperlink>
      <w:r>
        <w:t xml:space="preserve"> </w:t>
      </w:r>
      <w:r>
        <w:fldChar w:fldCharType="begin"/>
      </w:r>
      <w:r>
        <w:instrText>PAGEREF section_2cd7e0b4d9d1491c92c6c271203af29a</w:instrText>
      </w:r>
      <w:r>
        <w:fldChar w:fldCharType="separate"/>
      </w:r>
      <w:r>
        <w:rPr>
          <w:noProof/>
        </w:rPr>
        <w:t>433</w:t>
      </w:r>
      <w:r>
        <w:fldChar w:fldCharType="end"/>
      </w:r>
    </w:p>
    <w:p w:rsidR="000A156F" w:rsidRDefault="000A156F">
      <w:pPr>
        <w:spacing w:before="0" w:after="0"/>
        <w:rPr>
          <w:sz w:val="16"/>
        </w:rPr>
      </w:pPr>
    </w:p>
    <w:p w:rsidR="000A156F" w:rsidRDefault="00A9721F">
      <w:pPr>
        <w:pStyle w:val="indexheader"/>
      </w:pPr>
      <w:r>
        <w:t>N</w:t>
      </w:r>
    </w:p>
    <w:p w:rsidR="000A156F" w:rsidRDefault="000A156F">
      <w:pPr>
        <w:spacing w:before="0" w:after="0"/>
        <w:rPr>
          <w:sz w:val="16"/>
        </w:rPr>
      </w:pPr>
    </w:p>
    <w:p w:rsidR="000A156F" w:rsidRDefault="00A9721F">
      <w:pPr>
        <w:pStyle w:val="indexentry0"/>
      </w:pPr>
      <w:hyperlink w:anchor="section_9fe99a43b15e40eea2cc9318cb945451">
        <w:r>
          <w:rPr>
            <w:rStyle w:val="Hyperlink"/>
          </w:rPr>
          <w:t>N</w:t>
        </w:r>
      </w:hyperlink>
      <w:r>
        <w:t xml:space="preserve"> </w:t>
      </w:r>
      <w:r>
        <w:fldChar w:fldCharType="begin"/>
      </w:r>
      <w:r>
        <w:instrText>PAGEREF section_9f</w:instrText>
      </w:r>
      <w:r>
        <w:instrText>e99a43b15e40eea2cc9318cb945451</w:instrText>
      </w:r>
      <w:r>
        <w:fldChar w:fldCharType="separate"/>
      </w:r>
      <w:r>
        <w:rPr>
          <w:noProof/>
        </w:rPr>
        <w:t>433</w:t>
      </w:r>
      <w:r>
        <w:fldChar w:fldCharType="end"/>
      </w:r>
    </w:p>
    <w:p w:rsidR="000A156F" w:rsidRDefault="00A9721F">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318</w:t>
      </w:r>
      <w:r>
        <w:fldChar w:fldCharType="end"/>
      </w:r>
    </w:p>
    <w:p w:rsidR="000A156F" w:rsidRDefault="00A9721F">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343</w:t>
      </w:r>
      <w:r>
        <w:fldChar w:fldCharType="end"/>
      </w:r>
    </w:p>
    <w:p w:rsidR="000A156F" w:rsidRDefault="00A9721F">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section_f64ffe252900401eba6e8f0459bd63c6</w:instrText>
      </w:r>
      <w:r>
        <w:fldChar w:fldCharType="separate"/>
      </w:r>
      <w:r>
        <w:rPr>
          <w:noProof/>
        </w:rPr>
        <w:t>124</w:t>
      </w:r>
      <w:r>
        <w:fldChar w:fldCharType="end"/>
      </w:r>
    </w:p>
    <w:p w:rsidR="000A156F" w:rsidRDefault="00A9721F">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144</w:t>
      </w:r>
      <w:r>
        <w:fldChar w:fldCharType="end"/>
      </w:r>
    </w:p>
    <w:p w:rsidR="000A156F" w:rsidRDefault="00A9721F">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299</w:t>
      </w:r>
      <w:r>
        <w:fldChar w:fldCharType="end"/>
      </w:r>
    </w:p>
    <w:p w:rsidR="000A156F" w:rsidRDefault="00A9721F">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162</w:t>
      </w:r>
      <w:r>
        <w:fldChar w:fldCharType="end"/>
      </w:r>
    </w:p>
    <w:p w:rsidR="000A156F" w:rsidRDefault="00A9721F">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564</w:t>
      </w:r>
      <w:r>
        <w:fldChar w:fldCharType="end"/>
      </w:r>
    </w:p>
    <w:p w:rsidR="000A156F" w:rsidRDefault="00A9721F">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106</w:t>
      </w:r>
      <w:r>
        <w:fldChar w:fldCharType="end"/>
      </w:r>
    </w:p>
    <w:p w:rsidR="000A156F" w:rsidRDefault="00A9721F">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849</w:t>
      </w:r>
      <w:r>
        <w:fldChar w:fldCharType="end"/>
      </w:r>
    </w:p>
    <w:p w:rsidR="000A156F" w:rsidRDefault="00A9721F">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section_3b91dece249a4d57953d8068dbdaeb62</w:instrText>
      </w:r>
      <w:r>
        <w:fldChar w:fldCharType="separate"/>
      </w:r>
      <w:r>
        <w:rPr>
          <w:noProof/>
        </w:rPr>
        <w:t>396</w:t>
      </w:r>
      <w:r>
        <w:fldChar w:fldCharType="end"/>
      </w:r>
    </w:p>
    <w:p w:rsidR="000A156F" w:rsidRDefault="00A9721F">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394</w:t>
      </w:r>
      <w:r>
        <w:fldChar w:fldCharType="end"/>
      </w:r>
    </w:p>
    <w:p w:rsidR="000A156F" w:rsidRDefault="00A9721F">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section_4eec8366f20a41f9b8fa79d5b669c971</w:instrText>
      </w:r>
      <w:r>
        <w:fldChar w:fldCharType="separate"/>
      </w:r>
      <w:r>
        <w:rPr>
          <w:noProof/>
        </w:rPr>
        <w:t>606</w:t>
      </w:r>
      <w:r>
        <w:fldChar w:fldCharType="end"/>
      </w:r>
    </w:p>
    <w:p w:rsidR="000A156F" w:rsidRDefault="00A9721F">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606</w:t>
      </w:r>
      <w:r>
        <w:fldChar w:fldCharType="end"/>
      </w:r>
    </w:p>
    <w:p w:rsidR="000A156F" w:rsidRDefault="00A9721F">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369</w:t>
      </w:r>
      <w:r>
        <w:fldChar w:fldCharType="end"/>
      </w:r>
    </w:p>
    <w:p w:rsidR="000A156F" w:rsidRDefault="00A9721F">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433</w:t>
      </w:r>
      <w:r>
        <w:fldChar w:fldCharType="end"/>
      </w:r>
    </w:p>
    <w:p w:rsidR="000A156F" w:rsidRDefault="00A9721F">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433</w:t>
      </w:r>
      <w:r>
        <w:fldChar w:fldCharType="end"/>
      </w:r>
    </w:p>
    <w:p w:rsidR="000A156F" w:rsidRDefault="00A9721F">
      <w:pPr>
        <w:pStyle w:val="indexentry0"/>
      </w:pPr>
      <w:hyperlink w:anchor="section_dd6e5f4e0b3a4d329ca1f6d5a8c1b41b">
        <w:r>
          <w:rPr>
            <w:rStyle w:val="Hyperlink"/>
          </w:rPr>
          <w:t>n</w:t>
        </w:r>
        <w:r>
          <w:rPr>
            <w:rStyle w:val="Hyperlink"/>
          </w:rPr>
          <w:t>ext (Style For Next Paragraph)</w:t>
        </w:r>
      </w:hyperlink>
      <w:r>
        <w:t xml:space="preserve"> </w:t>
      </w:r>
      <w:r>
        <w:fldChar w:fldCharType="begin"/>
      </w:r>
      <w:r>
        <w:instrText>PAGEREF section_dd6e5f4e0b3a4d329ca1f6d5a8c1b41b</w:instrText>
      </w:r>
      <w:r>
        <w:fldChar w:fldCharType="separate"/>
      </w:r>
      <w:r>
        <w:rPr>
          <w:noProof/>
        </w:rPr>
        <w:t>115</w:t>
      </w:r>
      <w:r>
        <w:fldChar w:fldCharType="end"/>
      </w:r>
    </w:p>
    <w:p w:rsidR="000A156F" w:rsidRDefault="00A9721F">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484</w:t>
      </w:r>
      <w:r>
        <w:fldChar w:fldCharType="end"/>
      </w:r>
    </w:p>
    <w:p w:rsidR="000A156F" w:rsidRDefault="00A9721F">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217</w:t>
      </w:r>
      <w:r>
        <w:fldChar w:fldCharType="end"/>
      </w:r>
    </w:p>
    <w:p w:rsidR="000A156F" w:rsidRDefault="00A9721F">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536</w:t>
      </w:r>
      <w:r>
        <w:fldChar w:fldCharType="end"/>
      </w:r>
    </w:p>
    <w:p w:rsidR="000A156F" w:rsidRDefault="00A9721F">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606</w:t>
      </w:r>
      <w:r>
        <w:fldChar w:fldCharType="end"/>
      </w:r>
    </w:p>
    <w:p w:rsidR="000A156F" w:rsidRDefault="00A9721F">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w:instrText>
      </w:r>
      <w:r>
        <w:instrText xml:space="preserve"> section_b86a56c0b34c41cb905ee041eb3d021f</w:instrText>
      </w:r>
      <w:r>
        <w:fldChar w:fldCharType="separate"/>
      </w:r>
      <w:r>
        <w:rPr>
          <w:noProof/>
        </w:rPr>
        <w:t>154</w:t>
      </w:r>
      <w:r>
        <w:fldChar w:fldCharType="end"/>
      </w:r>
    </w:p>
    <w:p w:rsidR="000A156F" w:rsidRDefault="00A9721F">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155</w:t>
      </w:r>
      <w:r>
        <w:fldChar w:fldCharType="end"/>
      </w:r>
    </w:p>
    <w:p w:rsidR="000A156F" w:rsidRDefault="00A9721F">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section_c79fa63fc83f4f3cacd9979af05ae4fd</w:instrText>
      </w:r>
      <w:r>
        <w:fldChar w:fldCharType="separate"/>
      </w:r>
      <w:r>
        <w:rPr>
          <w:noProof/>
        </w:rPr>
        <w:t>71</w:t>
      </w:r>
      <w:r>
        <w:fldChar w:fldCharType="end"/>
      </w:r>
    </w:p>
    <w:p w:rsidR="000A156F" w:rsidRDefault="00A9721F">
      <w:pPr>
        <w:pStyle w:val="indexentry0"/>
      </w:pPr>
      <w:hyperlink w:anchor="section_8802f662d621416eb4562b7843c90a3b">
        <w:r>
          <w:rPr>
            <w:rStyle w:val="Hyperlink"/>
          </w:rPr>
          <w:t>noPunctuationKerning (Never Kern Punc</w:t>
        </w:r>
        <w:r>
          <w:rPr>
            <w:rStyle w:val="Hyperlink"/>
          </w:rPr>
          <w:t>tuation Characters)</w:t>
        </w:r>
      </w:hyperlink>
      <w:r>
        <w:t xml:space="preserve"> </w:t>
      </w:r>
      <w:r>
        <w:fldChar w:fldCharType="begin"/>
      </w:r>
      <w:r>
        <w:instrText>PAGEREF section_8802f662d621416eb4562b7843c90a3b</w:instrText>
      </w:r>
      <w:r>
        <w:fldChar w:fldCharType="separate"/>
      </w:r>
      <w:r>
        <w:rPr>
          <w:noProof/>
        </w:rPr>
        <w:t>155</w:t>
      </w:r>
      <w:r>
        <w:fldChar w:fldCharType="end"/>
      </w:r>
    </w:p>
    <w:p w:rsidR="000A156F" w:rsidRDefault="00A9721F">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511</w:t>
      </w:r>
      <w:r>
        <w:fldChar w:fldCharType="end"/>
      </w:r>
    </w:p>
    <w:p w:rsidR="000A156F" w:rsidRDefault="00A9721F">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466</w:t>
      </w:r>
      <w:r>
        <w:fldChar w:fldCharType="end"/>
      </w:r>
    </w:p>
    <w:p w:rsidR="000A156F" w:rsidRDefault="00A9721F">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45</w:t>
      </w:r>
      <w:r>
        <w:fldChar w:fldCharType="end"/>
      </w:r>
    </w:p>
    <w:p w:rsidR="000A156F" w:rsidRDefault="00A9721F">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536</w:t>
      </w:r>
      <w:r>
        <w:fldChar w:fldCharType="end"/>
      </w:r>
    </w:p>
    <w:p w:rsidR="000A156F" w:rsidRDefault="00A9721F">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433</w:t>
      </w:r>
      <w:r>
        <w:fldChar w:fldCharType="end"/>
      </w:r>
    </w:p>
    <w:p w:rsidR="000A156F" w:rsidRDefault="00A9721F">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434</w:t>
      </w:r>
      <w:r>
        <w:fldChar w:fldCharType="end"/>
      </w:r>
    </w:p>
    <w:p w:rsidR="000A156F" w:rsidRDefault="00A9721F">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434</w:t>
      </w:r>
      <w:r>
        <w:fldChar w:fldCharType="end"/>
      </w:r>
    </w:p>
    <w:p w:rsidR="000A156F" w:rsidRDefault="00A9721F">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218</w:t>
      </w:r>
      <w:r>
        <w:fldChar w:fldCharType="end"/>
      </w:r>
    </w:p>
    <w:p w:rsidR="000A156F" w:rsidRDefault="00A9721F">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54</w:t>
      </w:r>
      <w:r>
        <w:fldChar w:fldCharType="end"/>
      </w:r>
    </w:p>
    <w:p w:rsidR="000A156F" w:rsidRDefault="00A9721F">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55</w:t>
      </w:r>
      <w:r>
        <w:fldChar w:fldCharType="end"/>
      </w:r>
    </w:p>
    <w:p w:rsidR="000A156F" w:rsidRDefault="00A9721F">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w:instrText>
      </w:r>
      <w:r>
        <w:instrText>13222984368104</w:instrText>
      </w:r>
      <w:r>
        <w:fldChar w:fldCharType="separate"/>
      </w:r>
      <w:r>
        <w:rPr>
          <w:noProof/>
        </w:rPr>
        <w:t>468</w:t>
      </w:r>
      <w:r>
        <w:fldChar w:fldCharType="end"/>
      </w:r>
    </w:p>
    <w:p w:rsidR="000A156F" w:rsidRDefault="00A9721F">
      <w:pPr>
        <w:pStyle w:val="indexentry0"/>
      </w:pPr>
      <w:hyperlink w:anchor="section_714b0f8f82e346b0a46d91c29471c19e">
        <w:r>
          <w:rPr>
            <w:rStyle w:val="Hyperlink"/>
          </w:rPr>
          <w:t>notesStyle (Notes Text Style)</w:t>
        </w:r>
      </w:hyperlink>
      <w:r>
        <w:t xml:space="preserve"> </w:t>
      </w:r>
      <w:r>
        <w:fldChar w:fldCharType="begin"/>
      </w:r>
      <w:r>
        <w:instrText>PAGEREF section_714b0f8f82e346b0a46d91c29471c19e</w:instrText>
      </w:r>
      <w:r>
        <w:fldChar w:fldCharType="separate"/>
      </w:r>
      <w:r>
        <w:rPr>
          <w:noProof/>
        </w:rPr>
        <w:t>468</w:t>
      </w:r>
      <w:r>
        <w:fldChar w:fldCharType="end"/>
      </w:r>
    </w:p>
    <w:p w:rsidR="000A156F" w:rsidRDefault="00A9721F">
      <w:pPr>
        <w:pStyle w:val="indexentry0"/>
      </w:pPr>
      <w:hyperlink w:anchor="section_9fa0cdca54df40ccb4b49952bca09eb5">
        <w:r>
          <w:rPr>
            <w:rStyle w:val="Hyperlink"/>
          </w:rPr>
          <w:t>notesSz (Notes Slide Size)</w:t>
        </w:r>
      </w:hyperlink>
      <w:r>
        <w:t xml:space="preserve"> </w:t>
      </w:r>
      <w:r>
        <w:fldChar w:fldCharType="begin"/>
      </w:r>
      <w:r>
        <w:instrText>PAG</w:instrText>
      </w:r>
      <w:r>
        <w:instrText>EREF section_9fa0cdca54df40ccb4b49952bca09eb5</w:instrText>
      </w:r>
      <w:r>
        <w:fldChar w:fldCharType="separate"/>
      </w:r>
      <w:r>
        <w:rPr>
          <w:noProof/>
        </w:rPr>
        <w:t>463</w:t>
      </w:r>
      <w:r>
        <w:fldChar w:fldCharType="end"/>
      </w:r>
    </w:p>
    <w:p w:rsidR="000A156F" w:rsidRDefault="00A9721F">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686</w:t>
      </w:r>
      <w:r>
        <w:fldChar w:fldCharType="end"/>
      </w:r>
    </w:p>
    <w:p w:rsidR="000A156F" w:rsidRDefault="00A9721F">
      <w:pPr>
        <w:pStyle w:val="indexentry0"/>
      </w:pPr>
      <w:hyperlink w:anchor="section_1edea166fbb741cf8d573fb2d2979a6e">
        <w:r>
          <w:rPr>
            <w:rStyle w:val="Hyperlink"/>
          </w:rPr>
          <w:t>notTrueTy</w:t>
        </w:r>
        <w:r>
          <w:rPr>
            <w:rStyle w:val="Hyperlink"/>
          </w:rPr>
          <w:t>pe (Raster or Vector Font)</w:t>
        </w:r>
      </w:hyperlink>
      <w:r>
        <w:t xml:space="preserve"> </w:t>
      </w:r>
      <w:r>
        <w:fldChar w:fldCharType="begin"/>
      </w:r>
      <w:r>
        <w:instrText>PAGEREF section_1edea166fbb741cf8d573fb2d2979a6e</w:instrText>
      </w:r>
      <w:r>
        <w:fldChar w:fldCharType="separate"/>
      </w:r>
      <w:r>
        <w:rPr>
          <w:noProof/>
        </w:rPr>
        <w:t>122</w:t>
      </w:r>
      <w:r>
        <w:fldChar w:fldCharType="end"/>
      </w:r>
    </w:p>
    <w:p w:rsidR="000A156F" w:rsidRDefault="00A9721F">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434</w:t>
      </w:r>
      <w:r>
        <w:fldChar w:fldCharType="end"/>
      </w:r>
    </w:p>
    <w:p w:rsidR="000A156F" w:rsidRDefault="00A9721F">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434</w:t>
      </w:r>
      <w:r>
        <w:fldChar w:fldCharType="end"/>
      </w:r>
    </w:p>
    <w:p w:rsidR="000A156F" w:rsidRDefault="00A9721F">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618</w:t>
      </w:r>
      <w:r>
        <w:fldChar w:fldCharType="end"/>
      </w:r>
    </w:p>
    <w:p w:rsidR="000A156F" w:rsidRDefault="00A9721F">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124</w:t>
      </w:r>
      <w:r>
        <w:fldChar w:fldCharType="end"/>
      </w:r>
    </w:p>
    <w:p w:rsidR="000A156F" w:rsidRDefault="00A9721F">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606</w:t>
      </w:r>
      <w:r>
        <w:fldChar w:fldCharType="end"/>
      </w:r>
    </w:p>
    <w:p w:rsidR="000A156F" w:rsidRDefault="00A9721F">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section_15555914707f4b1f9d0c38c05eb20139</w:instrText>
      </w:r>
      <w:r>
        <w:fldChar w:fldCharType="separate"/>
      </w:r>
      <w:r>
        <w:rPr>
          <w:noProof/>
        </w:rPr>
        <w:t>632</w:t>
      </w:r>
      <w:r>
        <w:fldChar w:fldCharType="end"/>
      </w:r>
    </w:p>
    <w:p w:rsidR="000A156F" w:rsidRDefault="00A9721F">
      <w:pPr>
        <w:pStyle w:val="indexentry0"/>
      </w:pPr>
      <w:hyperlink w:anchor="section_c87674b0833c4019a21d9f99dac53178">
        <w:r>
          <w:rPr>
            <w:rStyle w:val="Hyperlink"/>
          </w:rPr>
          <w:t>numberingChange (Previous Paragraph Numbering Properties)</w:t>
        </w:r>
      </w:hyperlink>
      <w:r>
        <w:t xml:space="preserve"> </w:t>
      </w:r>
      <w:r>
        <w:fldChar w:fldCharType="begin"/>
      </w:r>
      <w:r>
        <w:instrText>P</w:instrText>
      </w:r>
      <w:r>
        <w:instrText>AGEREF section_c87674b0833c4019a21d9f99dac53178</w:instrText>
      </w:r>
      <w:r>
        <w:fldChar w:fldCharType="separate"/>
      </w:r>
      <w:r>
        <w:rPr>
          <w:noProof/>
        </w:rPr>
        <w:t>632</w:t>
      </w:r>
      <w:r>
        <w:fldChar w:fldCharType="end"/>
      </w:r>
    </w:p>
    <w:p w:rsidR="000A156F" w:rsidRDefault="00A9721F">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128</w:t>
      </w:r>
      <w:r>
        <w:fldChar w:fldCharType="end"/>
      </w:r>
    </w:p>
    <w:p w:rsidR="000A156F" w:rsidRDefault="00A9721F">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128</w:t>
      </w:r>
      <w:r>
        <w:fldChar w:fldCharType="end"/>
      </w:r>
    </w:p>
    <w:p w:rsidR="000A156F" w:rsidRDefault="00A9721F">
      <w:pPr>
        <w:pStyle w:val="indexentry0"/>
      </w:pPr>
      <w:r>
        <w:t>numFmt (Number Format) (</w:t>
      </w:r>
      <w:hyperlink w:anchor="section_17d11129219b4e2c88db45844d21e528">
        <w:r>
          <w:rPr>
            <w:rStyle w:val="Hyperlink"/>
          </w:rPr>
          <w:t>section 2.1.712</w:t>
        </w:r>
      </w:hyperlink>
      <w:r>
        <w:t xml:space="preserve"> </w:t>
      </w:r>
      <w:r>
        <w:fldChar w:fldCharType="begin"/>
      </w:r>
      <w:r>
        <w:instrText>PAGEREF section_17d11129219b4e2c88db45844d21e528</w:instrText>
      </w:r>
      <w:r>
        <w:fldChar w:fldCharType="separate"/>
      </w:r>
      <w:r>
        <w:rPr>
          <w:noProof/>
        </w:rPr>
        <w:t>299</w:t>
      </w:r>
      <w:r>
        <w:fldChar w:fldCharType="end"/>
      </w:r>
      <w:r>
        <w:t xml:space="preserve">, </w:t>
      </w:r>
      <w:hyperlink w:anchor="section_0539ffcc9bd2430daea017400f7f532f">
        <w:r>
          <w:rPr>
            <w:rStyle w:val="Hyperlink"/>
          </w:rPr>
          <w:t>section 2.1.1504</w:t>
        </w:r>
      </w:hyperlink>
      <w:r>
        <w:t xml:space="preserve"> </w:t>
      </w:r>
      <w:r>
        <w:fldChar w:fldCharType="begin"/>
      </w:r>
      <w:r>
        <w:instrText>PAGEREF section_0539ffcc9bd2430daea017400f7f532f</w:instrText>
      </w:r>
      <w:r>
        <w:fldChar w:fldCharType="separate"/>
      </w:r>
      <w:r>
        <w:rPr>
          <w:noProof/>
        </w:rPr>
        <w:t>564</w:t>
      </w:r>
      <w:r>
        <w:fldChar w:fldCharType="end"/>
      </w:r>
      <w:r>
        <w:t>)</w:t>
      </w:r>
    </w:p>
    <w:p w:rsidR="000A156F" w:rsidRDefault="00A9721F">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w:instrText>
      </w:r>
      <w:r>
        <w:instrText>3bae4eab</w:instrText>
      </w:r>
      <w:r>
        <w:fldChar w:fldCharType="separate"/>
      </w:r>
      <w:r>
        <w:rPr>
          <w:noProof/>
        </w:rPr>
        <w:t>124</w:t>
      </w:r>
      <w:r>
        <w:fldChar w:fldCharType="end"/>
      </w:r>
    </w:p>
    <w:p w:rsidR="000A156F" w:rsidRDefault="00A9721F">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310</w:t>
      </w:r>
      <w:r>
        <w:fldChar w:fldCharType="end"/>
      </w:r>
    </w:p>
    <w:p w:rsidR="000A156F" w:rsidRDefault="00A9721F">
      <w:pPr>
        <w:pStyle w:val="indexentry0"/>
      </w:pPr>
      <w:hyperlink w:anchor="section_d131c48e4fc941bfa6c720823510d636">
        <w:r>
          <w:rPr>
            <w:rStyle w:val="Hyperlink"/>
          </w:rPr>
          <w:t>numId (Numbering Definition Instance Refere</w:t>
        </w:r>
        <w:r>
          <w:rPr>
            <w:rStyle w:val="Hyperlink"/>
          </w:rPr>
          <w:t>nce)</w:t>
        </w:r>
      </w:hyperlink>
      <w:r>
        <w:t xml:space="preserve"> </w:t>
      </w:r>
      <w:r>
        <w:fldChar w:fldCharType="begin"/>
      </w:r>
      <w:r>
        <w:instrText>PAGEREF section_d131c48e4fc941bfa6c720823510d636</w:instrText>
      </w:r>
      <w:r>
        <w:fldChar w:fldCharType="separate"/>
      </w:r>
      <w:r>
        <w:rPr>
          <w:noProof/>
        </w:rPr>
        <w:t>125</w:t>
      </w:r>
      <w:r>
        <w:fldChar w:fldCharType="end"/>
      </w:r>
    </w:p>
    <w:p w:rsidR="000A156F" w:rsidRDefault="00A9721F">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64</w:t>
      </w:r>
      <w:r>
        <w:fldChar w:fldCharType="end"/>
      </w:r>
    </w:p>
    <w:p w:rsidR="000A156F" w:rsidRDefault="00A9721F">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PAGEREF section_3d4f2605895d43f79d2ae695b1062787</w:instrText>
      </w:r>
      <w:r>
        <w:fldChar w:fldCharType="separate"/>
      </w:r>
      <w:r>
        <w:rPr>
          <w:noProof/>
        </w:rPr>
        <w:t>128</w:t>
      </w:r>
      <w:r>
        <w:fldChar w:fldCharType="end"/>
      </w:r>
    </w:p>
    <w:p w:rsidR="000A156F" w:rsidRDefault="00A9721F">
      <w:pPr>
        <w:pStyle w:val="indexentry0"/>
      </w:pPr>
      <w:hyperlink w:anchor="section_1e273b9e816940a691aaf9ebd083e0b8">
        <w:r>
          <w:rPr>
            <w:rStyle w:val="Hyperlink"/>
          </w:rPr>
          <w:t>numStyleLink (Numbering</w:t>
        </w:r>
        <w:r>
          <w:rPr>
            <w:rStyle w:val="Hyperlink"/>
          </w:rPr>
          <w:t xml:space="preserve"> Style Reference)</w:t>
        </w:r>
      </w:hyperlink>
      <w:r>
        <w:t xml:space="preserve"> </w:t>
      </w:r>
      <w:r>
        <w:fldChar w:fldCharType="begin"/>
      </w:r>
      <w:r>
        <w:instrText>PAGEREF section_1e273b9e816940a691aaf9ebd083e0b8</w:instrText>
      </w:r>
      <w:r>
        <w:fldChar w:fldCharType="separate"/>
      </w:r>
      <w:r>
        <w:rPr>
          <w:noProof/>
        </w:rPr>
        <w:t>125</w:t>
      </w:r>
      <w:r>
        <w:fldChar w:fldCharType="end"/>
      </w:r>
    </w:p>
    <w:p w:rsidR="000A156F" w:rsidRDefault="00A9721F">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468</w:t>
      </w:r>
      <w:r>
        <w:fldChar w:fldCharType="end"/>
      </w:r>
    </w:p>
    <w:p w:rsidR="000A156F" w:rsidRDefault="000A156F">
      <w:pPr>
        <w:spacing w:before="0" w:after="0"/>
        <w:rPr>
          <w:sz w:val="16"/>
        </w:rPr>
      </w:pPr>
    </w:p>
    <w:p w:rsidR="000A156F" w:rsidRDefault="00A9721F">
      <w:pPr>
        <w:pStyle w:val="indexheader"/>
      </w:pPr>
      <w:r>
        <w:t>O</w:t>
      </w:r>
    </w:p>
    <w:p w:rsidR="000A156F" w:rsidRDefault="000A156F">
      <w:pPr>
        <w:spacing w:before="0" w:after="0"/>
        <w:rPr>
          <w:sz w:val="16"/>
        </w:rPr>
      </w:pPr>
    </w:p>
    <w:p w:rsidR="000A156F" w:rsidRDefault="00A9721F">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606</w:t>
      </w:r>
      <w:r>
        <w:fldChar w:fldCharType="end"/>
      </w:r>
    </w:p>
    <w:p w:rsidR="000A156F" w:rsidRDefault="00A9721F">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79</w:t>
      </w:r>
      <w:r>
        <w:fldChar w:fldCharType="end"/>
      </w:r>
    </w:p>
    <w:p w:rsidR="000A156F" w:rsidRDefault="00A9721F">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section_80584e929ba74ac4a2e6babf3221caf4</w:instrText>
      </w:r>
      <w:r>
        <w:fldChar w:fldCharType="separate"/>
      </w:r>
      <w:r>
        <w:rPr>
          <w:noProof/>
        </w:rPr>
        <w:t>79</w:t>
      </w:r>
      <w:r>
        <w:fldChar w:fldCharType="end"/>
      </w:r>
    </w:p>
    <w:p w:rsidR="000A156F" w:rsidRDefault="00A9721F">
      <w:pPr>
        <w:pStyle w:val="indexentry0"/>
      </w:pPr>
      <w:hyperlink w:anchor="section_8f7f48e70926447782e24eead69938c5">
        <w:r>
          <w:rPr>
            <w:rStyle w:val="Hyperlink"/>
          </w:rPr>
          <w:t>objectLink (Linked Object Properties)</w:t>
        </w:r>
      </w:hyperlink>
      <w:r>
        <w:t xml:space="preserve"> </w:t>
      </w:r>
      <w:r>
        <w:fldChar w:fldCharType="begin"/>
      </w:r>
      <w:r>
        <w:instrText>PAGERE</w:instrText>
      </w:r>
      <w:r>
        <w:instrText>F section_8f7f48e70926447782e24eead69938c5</w:instrText>
      </w:r>
      <w:r>
        <w:fldChar w:fldCharType="separate"/>
      </w:r>
      <w:r>
        <w:rPr>
          <w:noProof/>
        </w:rPr>
        <w:t>80</w:t>
      </w:r>
      <w:r>
        <w:fldChar w:fldCharType="end"/>
      </w:r>
    </w:p>
    <w:p w:rsidR="000A156F" w:rsidRDefault="00A9721F">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264</w:t>
      </w:r>
      <w:r>
        <w:fldChar w:fldCharType="end"/>
      </w:r>
    </w:p>
    <w:p w:rsidR="000A156F" w:rsidRDefault="00A9721F">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369</w:t>
      </w:r>
      <w:r>
        <w:fldChar w:fldCharType="end"/>
      </w:r>
    </w:p>
    <w:p w:rsidR="000A156F" w:rsidRDefault="00A9721F">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435</w:t>
      </w:r>
      <w:r>
        <w:fldChar w:fldCharType="end"/>
      </w:r>
    </w:p>
    <w:p w:rsidR="000A156F" w:rsidRDefault="00A9721F">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435</w:t>
      </w:r>
      <w:r>
        <w:fldChar w:fldCharType="end"/>
      </w:r>
    </w:p>
    <w:p w:rsidR="000A156F" w:rsidRDefault="00A9721F">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w:instrText>
      </w:r>
      <w:r>
        <w:instrText>0ee3a</w:instrText>
      </w:r>
      <w:r>
        <w:fldChar w:fldCharType="separate"/>
      </w:r>
      <w:r>
        <w:rPr>
          <w:noProof/>
        </w:rPr>
        <w:t>884</w:t>
      </w:r>
      <w:r>
        <w:fldChar w:fldCharType="end"/>
      </w:r>
    </w:p>
    <w:p w:rsidR="000A156F" w:rsidRDefault="00A9721F">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885</w:t>
      </w:r>
      <w:r>
        <w:fldChar w:fldCharType="end"/>
      </w:r>
    </w:p>
    <w:p w:rsidR="000A156F" w:rsidRDefault="00A9721F">
      <w:pPr>
        <w:pStyle w:val="indexentry0"/>
      </w:pPr>
      <w:hyperlink w:anchor="section_756b76a3434e4616b00ea5ee62ca85ba">
        <w:r>
          <w:rPr>
            <w:rStyle w:val="Hyperlink"/>
          </w:rPr>
          <w:t>oddFooter (Odd Footer)</w:t>
        </w:r>
      </w:hyperlink>
      <w:r>
        <w:t xml:space="preserve"> </w:t>
      </w:r>
      <w:r>
        <w:fldChar w:fldCharType="begin"/>
      </w:r>
      <w:r>
        <w:instrText>PAGEREF section_756b76</w:instrText>
      </w:r>
      <w:r>
        <w:instrText>a3434e4616b00ea5ee62ca85ba</w:instrText>
      </w:r>
      <w:r>
        <w:fldChar w:fldCharType="separate"/>
      </w:r>
      <w:r>
        <w:rPr>
          <w:noProof/>
        </w:rPr>
        <w:t>564</w:t>
      </w:r>
      <w:r>
        <w:fldChar w:fldCharType="end"/>
      </w:r>
    </w:p>
    <w:p w:rsidR="000A156F" w:rsidRDefault="00A9721F">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section_18a8d65524df4375aa1133c30b9ee92c</w:instrText>
      </w:r>
      <w:r>
        <w:fldChar w:fldCharType="separate"/>
      </w:r>
      <w:r>
        <w:rPr>
          <w:noProof/>
        </w:rPr>
        <w:t>264</w:t>
      </w:r>
      <w:r>
        <w:fldChar w:fldCharType="end"/>
      </w:r>
    </w:p>
    <w:p w:rsidR="000A156F" w:rsidRDefault="00A9721F">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435</w:t>
      </w:r>
      <w:r>
        <w:fldChar w:fldCharType="end"/>
      </w:r>
    </w:p>
    <w:p w:rsidR="000A156F" w:rsidRDefault="00A9721F">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436</w:t>
      </w:r>
      <w:r>
        <w:fldChar w:fldCharType="end"/>
      </w:r>
    </w:p>
    <w:p w:rsidR="000A156F" w:rsidRDefault="00A9721F">
      <w:pPr>
        <w:pStyle w:val="indexentry0"/>
      </w:pPr>
      <w:r>
        <w:t>oddHeader (Odd Header) (</w:t>
      </w:r>
      <w:hyperlink w:anchor="section_f477f387b8614166b8494e35f8cc5a95">
        <w:r>
          <w:rPr>
            <w:rStyle w:val="Hyperlink"/>
          </w:rPr>
          <w:t>section 2.1.634</w:t>
        </w:r>
      </w:hyperlink>
      <w:r>
        <w:t xml:space="preserve"> </w:t>
      </w:r>
      <w:r>
        <w:fldChar w:fldCharType="begin"/>
      </w:r>
      <w:r>
        <w:instrText>PAGEREF section_f477f387b8614166b8494e35f8cc5a95</w:instrText>
      </w:r>
      <w:r>
        <w:fldChar w:fldCharType="separate"/>
      </w:r>
      <w:r>
        <w:rPr>
          <w:noProof/>
        </w:rPr>
        <w:t>264</w:t>
      </w:r>
      <w:r>
        <w:fldChar w:fldCharType="end"/>
      </w:r>
      <w:r>
        <w:t xml:space="preserve">, </w:t>
      </w:r>
      <w:hyperlink w:anchor="section_80313181681845dcacc66357c2366ddc">
        <w:r>
          <w:rPr>
            <w:rStyle w:val="Hyperlink"/>
          </w:rPr>
          <w:t>section 2.1.1506</w:t>
        </w:r>
      </w:hyperlink>
      <w:r>
        <w:t xml:space="preserve"> </w:t>
      </w:r>
      <w:r>
        <w:fldChar w:fldCharType="begin"/>
      </w:r>
      <w:r>
        <w:instrText>PAGEREF section_80313181681845dcacc66357c2366ddc</w:instrText>
      </w:r>
      <w:r>
        <w:fldChar w:fldCharType="separate"/>
      </w:r>
      <w:r>
        <w:rPr>
          <w:noProof/>
        </w:rPr>
        <w:t>564</w:t>
      </w:r>
      <w:r>
        <w:fldChar w:fldCharType="end"/>
      </w:r>
      <w:r>
        <w:t>)</w:t>
      </w:r>
    </w:p>
    <w:p w:rsidR="000A156F" w:rsidRDefault="00A9721F">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437</w:t>
      </w:r>
      <w:r>
        <w:fldChar w:fldCharType="end"/>
      </w:r>
    </w:p>
    <w:p w:rsidR="000A156F" w:rsidRDefault="00A9721F">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437</w:t>
      </w:r>
      <w:r>
        <w:fldChar w:fldCharType="end"/>
      </w:r>
    </w:p>
    <w:p w:rsidR="000A156F" w:rsidRDefault="00A9721F">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144</w:t>
      </w:r>
      <w:r>
        <w:fldChar w:fldCharType="end"/>
      </w:r>
    </w:p>
    <w:p w:rsidR="000A156F" w:rsidRDefault="00A9721F">
      <w:pPr>
        <w:pStyle w:val="indexentry0"/>
      </w:pPr>
      <w:hyperlink w:anchor="section_55f6dcf88ab84a2999bfe36ee955647f">
        <w:r>
          <w:rPr>
            <w:rStyle w:val="Hyperlink"/>
          </w:rPr>
          <w:t>off (Offset)</w:t>
        </w:r>
      </w:hyperlink>
      <w:r>
        <w:t xml:space="preserve"> </w:t>
      </w:r>
      <w:r>
        <w:fldChar w:fldCharType="begin"/>
      </w:r>
      <w:r>
        <w:instrText>PAGEREF section_55f6dcf88ab84</w:instrText>
      </w:r>
      <w:r>
        <w:instrText>a2999bfe36ee955647f</w:instrText>
      </w:r>
      <w:r>
        <w:fldChar w:fldCharType="separate"/>
      </w:r>
      <w:r>
        <w:rPr>
          <w:noProof/>
        </w:rPr>
        <w:t>512</w:t>
      </w:r>
      <w:r>
        <w:fldChar w:fldCharType="end"/>
      </w:r>
    </w:p>
    <w:p w:rsidR="000A156F" w:rsidRDefault="00A9721F">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882</w:t>
      </w:r>
      <w:r>
        <w:fldChar w:fldCharType="end"/>
      </w:r>
    </w:p>
    <w:p w:rsidR="000A156F" w:rsidRDefault="00A9721F">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889</w:t>
      </w:r>
      <w:r>
        <w:fldChar w:fldCharType="end"/>
      </w:r>
    </w:p>
    <w:p w:rsidR="000A156F" w:rsidRDefault="00A9721F">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w:instrText>
      </w:r>
      <w:r>
        <w:instrText>a004721194ae594a163c27af037dd</w:instrText>
      </w:r>
      <w:r>
        <w:fldChar w:fldCharType="separate"/>
      </w:r>
      <w:r>
        <w:rPr>
          <w:noProof/>
        </w:rPr>
        <w:t>859</w:t>
      </w:r>
      <w:r>
        <w:fldChar w:fldCharType="end"/>
      </w:r>
    </w:p>
    <w:p w:rsidR="000A156F" w:rsidRDefault="00A9721F">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891</w:t>
      </w:r>
      <w:r>
        <w:fldChar w:fldCharType="end"/>
      </w:r>
    </w:p>
    <w:p w:rsidR="000A156F" w:rsidRDefault="00A9721F">
      <w:pPr>
        <w:pStyle w:val="indexentry0"/>
      </w:pPr>
      <w:hyperlink w:anchor="section_0ff7e6c2c09e403781452c21b7e55f9b">
        <w:r>
          <w:rPr>
            <w:rStyle w:val="Hyperlink"/>
          </w:rPr>
          <w:t>OFFSET</w:t>
        </w:r>
      </w:hyperlink>
      <w:r>
        <w:t xml:space="preserve"> </w:t>
      </w:r>
      <w:r>
        <w:fldChar w:fldCharType="begin"/>
      </w:r>
      <w:r>
        <w:instrText>PAGEREF</w:instrText>
      </w:r>
      <w:r>
        <w:instrText xml:space="preserve"> section_0ff7e6c2c09e403781452c21b7e55f9b</w:instrText>
      </w:r>
      <w:r>
        <w:fldChar w:fldCharType="separate"/>
      </w:r>
      <w:r>
        <w:rPr>
          <w:noProof/>
        </w:rPr>
        <w:t>438</w:t>
      </w:r>
      <w:r>
        <w:fldChar w:fldCharType="end"/>
      </w:r>
    </w:p>
    <w:p w:rsidR="000A156F" w:rsidRDefault="00A9721F">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565</w:t>
      </w:r>
      <w:r>
        <w:fldChar w:fldCharType="end"/>
      </w:r>
    </w:p>
    <w:p w:rsidR="000A156F" w:rsidRDefault="00A9721F">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565</w:t>
      </w:r>
      <w:r>
        <w:fldChar w:fldCharType="end"/>
      </w:r>
    </w:p>
    <w:p w:rsidR="000A156F" w:rsidRDefault="00A9721F">
      <w:pPr>
        <w:pStyle w:val="indexentry0"/>
      </w:pPr>
      <w:hyperlink w:anchor="section_8ad37bc593b249a6bfdc6dd280f6ace9">
        <w:r>
          <w:rPr>
            <w:rStyle w:val="Hyperlink"/>
          </w:rPr>
          <w:t>olapPr (OLAP Properties)</w:t>
        </w:r>
      </w:hyperlink>
      <w:r>
        <w:t xml:space="preserve"> </w:t>
      </w:r>
      <w:r>
        <w:fldChar w:fldCharType="begin"/>
      </w:r>
      <w:r>
        <w:instrText>PAGEREF sec</w:instrText>
      </w:r>
      <w:r>
        <w:instrText>tion_8ad37bc593b249a6bfdc6dd280f6ace9</w:instrText>
      </w:r>
      <w:r>
        <w:fldChar w:fldCharType="separate"/>
      </w:r>
      <w:r>
        <w:rPr>
          <w:noProof/>
        </w:rPr>
        <w:t>377</w:t>
      </w:r>
      <w:r>
        <w:fldChar w:fldCharType="end"/>
      </w:r>
    </w:p>
    <w:p w:rsidR="000A156F" w:rsidRDefault="00A9721F">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369</w:t>
      </w:r>
      <w:r>
        <w:fldChar w:fldCharType="end"/>
      </w:r>
    </w:p>
    <w:p w:rsidR="000A156F" w:rsidRDefault="00A9721F">
      <w:pPr>
        <w:pStyle w:val="indexentry0"/>
      </w:pPr>
      <w:hyperlink w:anchor="section_9892ca2173c94655b488f146c6dd5a94">
        <w:r>
          <w:rPr>
            <w:rStyle w:val="Hyperlink"/>
          </w:rPr>
          <w:t>OLE Link Formu</w:t>
        </w:r>
        <w:r>
          <w:rPr>
            <w:rStyle w:val="Hyperlink"/>
          </w:rPr>
          <w:t>las</w:t>
        </w:r>
      </w:hyperlink>
      <w:r>
        <w:t xml:space="preserve"> </w:t>
      </w:r>
      <w:r>
        <w:fldChar w:fldCharType="begin"/>
      </w:r>
      <w:r>
        <w:instrText>PAGEREF section_9892ca2173c94655b488f146c6dd5a94</w:instrText>
      </w:r>
      <w:r>
        <w:fldChar w:fldCharType="separate"/>
      </w:r>
      <w:r>
        <w:rPr>
          <w:noProof/>
        </w:rPr>
        <w:t>852</w:t>
      </w:r>
      <w:r>
        <w:fldChar w:fldCharType="end"/>
      </w:r>
    </w:p>
    <w:p w:rsidR="000A156F" w:rsidRDefault="00A9721F">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484</w:t>
      </w:r>
      <w:r>
        <w:fldChar w:fldCharType="end"/>
      </w:r>
    </w:p>
    <w:p w:rsidR="000A156F" w:rsidRDefault="00A9721F">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381</w:t>
      </w:r>
      <w:r>
        <w:fldChar w:fldCharType="end"/>
      </w:r>
    </w:p>
    <w:p w:rsidR="000A156F" w:rsidRDefault="00A9721F">
      <w:pPr>
        <w:pStyle w:val="indexentry0"/>
      </w:pPr>
      <w:hyperlink w:anchor="section_83cecf06377145969e2c9b70cdd07db9">
        <w:r>
          <w:rPr>
            <w:rStyle w:val="Hyperlink"/>
          </w:rPr>
          <w:t>oleLink (Generic Object Link Connection)</w:t>
        </w:r>
      </w:hyperlink>
      <w:r>
        <w:t xml:space="preserve"> </w:t>
      </w:r>
      <w:r>
        <w:fldChar w:fldCharType="begin"/>
      </w:r>
      <w:r>
        <w:instrText>PAGEREF section_83cecf06377145969e2c9b70cdd07db9</w:instrText>
      </w:r>
      <w:r>
        <w:fldChar w:fldCharType="separate"/>
      </w:r>
      <w:r>
        <w:rPr>
          <w:noProof/>
        </w:rPr>
        <w:t>381</w:t>
      </w:r>
      <w:r>
        <w:fldChar w:fldCharType="end"/>
      </w:r>
    </w:p>
    <w:p w:rsidR="000A156F" w:rsidRDefault="00A9721F">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section_3301d159111e4ccf9211af5d1f4a0a03</w:instrText>
      </w:r>
      <w:r>
        <w:fldChar w:fldCharType="separate"/>
      </w:r>
      <w:r>
        <w:rPr>
          <w:noProof/>
        </w:rPr>
        <w:t>469</w:t>
      </w:r>
      <w:r>
        <w:fldChar w:fldCharType="end"/>
      </w:r>
    </w:p>
    <w:p w:rsidR="000A156F" w:rsidRDefault="00A9721F">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264</w:t>
      </w:r>
      <w:r>
        <w:fldChar w:fldCharType="end"/>
      </w:r>
    </w:p>
    <w:p w:rsidR="000A156F" w:rsidRDefault="00A9721F">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677</w:t>
      </w:r>
      <w:r>
        <w:fldChar w:fldCharType="end"/>
      </w:r>
    </w:p>
    <w:p w:rsidR="000A156F" w:rsidRDefault="00A9721F">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265</w:t>
      </w:r>
      <w:r>
        <w:fldChar w:fldCharType="end"/>
      </w:r>
    </w:p>
    <w:p w:rsidR="000A156F" w:rsidRDefault="00A9721F">
      <w:pPr>
        <w:pStyle w:val="indexentry0"/>
      </w:pPr>
      <w:hyperlink w:anchor="section_170f8575e90e4b76b95209242531771f">
        <w:r>
          <w:rPr>
            <w:rStyle w:val="Hyperlink"/>
          </w:rPr>
          <w:t>oleSize (Embedded Object Size)</w:t>
        </w:r>
      </w:hyperlink>
      <w:r>
        <w:t xml:space="preserve"> </w:t>
      </w:r>
      <w:r>
        <w:fldChar w:fldCharType="begin"/>
      </w:r>
      <w:r>
        <w:instrText>PAGEREF section_170f8575e90e4b76b95209242531771f</w:instrText>
      </w:r>
      <w:r>
        <w:fldChar w:fldCharType="separate"/>
      </w:r>
      <w:r>
        <w:rPr>
          <w:noProof/>
        </w:rPr>
        <w:t>243</w:t>
      </w:r>
      <w:r>
        <w:fldChar w:fldCharType="end"/>
      </w:r>
    </w:p>
    <w:p w:rsidR="000A156F" w:rsidRDefault="00A9721F">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606</w:t>
      </w:r>
      <w:r>
        <w:fldChar w:fldCharType="end"/>
      </w:r>
    </w:p>
    <w:p w:rsidR="000A156F" w:rsidRDefault="00A9721F">
      <w:pPr>
        <w:pStyle w:val="indexentry0"/>
      </w:pPr>
      <w:hyperlink w:anchor="section_94590ec4e4c14f7ab967abe6bf8658b2">
        <w:r>
          <w:rPr>
            <w:rStyle w:val="Hyperlink"/>
          </w:rPr>
          <w:t>oMath (Office Open XML Math)</w:t>
        </w:r>
      </w:hyperlink>
      <w:r>
        <w:t xml:space="preserve"> </w:t>
      </w:r>
      <w:r>
        <w:fldChar w:fldCharType="begin"/>
      </w:r>
      <w:r>
        <w:instrText>PAGEREF section_94590ec4e4c14</w:instrText>
      </w:r>
      <w:r>
        <w:instrText>f7ab967abe6bf8658b2</w:instrText>
      </w:r>
      <w:r>
        <w:fldChar w:fldCharType="separate"/>
      </w:r>
      <w:r>
        <w:rPr>
          <w:noProof/>
        </w:rPr>
        <w:t>72</w:t>
      </w:r>
      <w:r>
        <w:fldChar w:fldCharType="end"/>
      </w:r>
    </w:p>
    <w:p w:rsidR="000A156F" w:rsidRDefault="00A9721F">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902</w:t>
      </w:r>
      <w:r>
        <w:fldChar w:fldCharType="end"/>
      </w:r>
    </w:p>
    <w:p w:rsidR="000A156F" w:rsidRDefault="00A9721F">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607</w:t>
      </w:r>
      <w:r>
        <w:fldChar w:fldCharType="end"/>
      </w:r>
    </w:p>
    <w:p w:rsidR="000A156F" w:rsidRDefault="00A9721F">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607</w:t>
      </w:r>
      <w:r>
        <w:fldChar w:fldCharType="end"/>
      </w:r>
    </w:p>
    <w:p w:rsidR="000A156F" w:rsidRDefault="00A9721F">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879</w:t>
      </w:r>
      <w:r>
        <w:fldChar w:fldCharType="end"/>
      </w:r>
    </w:p>
    <w:p w:rsidR="000A156F" w:rsidRDefault="00A9721F">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w:instrText>
      </w:r>
      <w:r>
        <w:instrText>60</w:instrText>
      </w:r>
      <w:r>
        <w:fldChar w:fldCharType="separate"/>
      </w:r>
      <w:r>
        <w:rPr>
          <w:noProof/>
        </w:rPr>
        <w:t>165</w:t>
      </w:r>
      <w:r>
        <w:fldChar w:fldCharType="end"/>
      </w:r>
      <w:r>
        <w:t xml:space="preserve">, </w:t>
      </w:r>
      <w:hyperlink w:anchor="section_caae6c6efc424f27ad8f91002f4e56ac">
        <w:r>
          <w:rPr>
            <w:rStyle w:val="Hyperlink"/>
          </w:rPr>
          <w:t>section 2.1.862</w:t>
        </w:r>
      </w:hyperlink>
      <w:r>
        <w:t xml:space="preserve"> </w:t>
      </w:r>
      <w:r>
        <w:fldChar w:fldCharType="begin"/>
      </w:r>
      <w:r>
        <w:instrText>PAGEREF section_caae6c6efc424f27ad8f91002f4e56ac</w:instrText>
      </w:r>
      <w:r>
        <w:fldChar w:fldCharType="separate"/>
      </w:r>
      <w:r>
        <w:rPr>
          <w:noProof/>
        </w:rPr>
        <w:t>391</w:t>
      </w:r>
      <w:r>
        <w:fldChar w:fldCharType="end"/>
      </w:r>
      <w:r>
        <w:t>)</w:t>
      </w:r>
    </w:p>
    <w:p w:rsidR="000A156F" w:rsidRDefault="00A9721F">
      <w:pPr>
        <w:pStyle w:val="indexentry0"/>
      </w:pPr>
      <w:hyperlink w:anchor="section_1a4436e36c77480184e063d913cb56a8">
        <w:r>
          <w:rPr>
            <w:rStyle w:val="Hyperlink"/>
          </w:rPr>
          <w:t>optimizeForBrowser (Disable Features Not Supported by Ta</w:t>
        </w:r>
        <w:r>
          <w:rPr>
            <w:rStyle w:val="Hyperlink"/>
          </w:rPr>
          <w:t>rget Web Profile)</w:t>
        </w:r>
      </w:hyperlink>
      <w:r>
        <w:t xml:space="preserve"> </w:t>
      </w:r>
      <w:r>
        <w:fldChar w:fldCharType="begin"/>
      </w:r>
      <w:r>
        <w:instrText>PAGEREF section_1a4436e36c77480184e063d913cb56a8</w:instrText>
      </w:r>
      <w:r>
        <w:fldChar w:fldCharType="separate"/>
      </w:r>
      <w:r>
        <w:rPr>
          <w:noProof/>
        </w:rPr>
        <w:t>162</w:t>
      </w:r>
      <w:r>
        <w:fldChar w:fldCharType="end"/>
      </w:r>
    </w:p>
    <w:p w:rsidR="000A156F" w:rsidRDefault="00A9721F">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565</w:t>
      </w:r>
      <w:r>
        <w:fldChar w:fldCharType="end"/>
      </w:r>
    </w:p>
    <w:p w:rsidR="000A156F" w:rsidRDefault="00A9721F">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565</w:t>
      </w:r>
      <w:r>
        <w:fldChar w:fldCharType="end"/>
      </w:r>
    </w:p>
    <w:p w:rsidR="000A156F" w:rsidRDefault="00A9721F">
      <w:pPr>
        <w:pStyle w:val="indexentry0"/>
      </w:pPr>
      <w:hyperlink w:anchor="section_85891d6c7ab54abb8e369a770c5ed9f7">
        <w:r>
          <w:rPr>
            <w:rStyle w:val="Hyperlink"/>
          </w:rPr>
          <w:t>orientation (Axis Orientation)</w:t>
        </w:r>
      </w:hyperlink>
      <w:r>
        <w:t xml:space="preserve"> </w:t>
      </w:r>
      <w:r>
        <w:fldChar w:fldCharType="begin"/>
      </w:r>
      <w:r>
        <w:instrText>PAGEREF sect</w:instrText>
      </w:r>
      <w:r>
        <w:instrText>ion_85891d6c7ab54abb8e369a770c5ed9f7</w:instrText>
      </w:r>
      <w:r>
        <w:fldChar w:fldCharType="separate"/>
      </w:r>
      <w:r>
        <w:rPr>
          <w:noProof/>
        </w:rPr>
        <w:t>565</w:t>
      </w:r>
      <w:r>
        <w:fldChar w:fldCharType="end"/>
      </w:r>
    </w:p>
    <w:p w:rsidR="000A156F" w:rsidRDefault="00A9721F">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466</w:t>
      </w:r>
      <w:r>
        <w:fldChar w:fldCharType="end"/>
      </w:r>
    </w:p>
    <w:p w:rsidR="000A156F" w:rsidRDefault="00A9721F">
      <w:pPr>
        <w:pStyle w:val="indexentry0"/>
      </w:pPr>
      <w:hyperlink w:anchor="section_c82f70414e024b7e9df60a29258a6a7e">
        <w:r>
          <w:rPr>
            <w:rStyle w:val="Hyperlink"/>
          </w:rPr>
          <w:t>ostorage (Binary St</w:t>
        </w:r>
        <w:r>
          <w:rPr>
            <w:rStyle w:val="Hyperlink"/>
          </w:rPr>
          <w:t>orage Object)</w:t>
        </w:r>
      </w:hyperlink>
      <w:r>
        <w:t xml:space="preserve"> </w:t>
      </w:r>
      <w:r>
        <w:fldChar w:fldCharType="begin"/>
      </w:r>
      <w:r>
        <w:instrText>PAGEREF section_c82f70414e024b7e9df60a29258a6a7e</w:instrText>
      </w:r>
      <w:r>
        <w:fldChar w:fldCharType="separate"/>
      </w:r>
      <w:r>
        <w:rPr>
          <w:noProof/>
        </w:rPr>
        <w:t>618</w:t>
      </w:r>
      <w:r>
        <w:fldChar w:fldCharType="end"/>
      </w:r>
    </w:p>
    <w:p w:rsidR="000A156F" w:rsidRDefault="00A9721F">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518</w:t>
      </w:r>
      <w:r>
        <w:fldChar w:fldCharType="end"/>
      </w:r>
    </w:p>
    <w:p w:rsidR="000A156F" w:rsidRDefault="00A9721F">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64</w:t>
      </w:r>
      <w:r>
        <w:fldChar w:fldCharType="end"/>
      </w:r>
    </w:p>
    <w:p w:rsidR="000A156F" w:rsidRDefault="00A9721F">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654</w:t>
      </w:r>
      <w:r>
        <w:fldChar w:fldCharType="end"/>
      </w:r>
    </w:p>
    <w:p w:rsidR="000A156F" w:rsidRDefault="00A9721F">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65</w:t>
      </w:r>
      <w:r>
        <w:fldChar w:fldCharType="end"/>
      </w:r>
    </w:p>
    <w:p w:rsidR="000A156F" w:rsidRDefault="00A9721F">
      <w:pPr>
        <w:pStyle w:val="indexentry0"/>
      </w:pPr>
      <w:hyperlink w:anchor="section_4abcc4474ee3422cb12f0eb93ab89779">
        <w:r>
          <w:rPr>
            <w:rStyle w:val="Hyperlink"/>
          </w:rPr>
          <w:t>overlap (Overlap)</w:t>
        </w:r>
      </w:hyperlink>
      <w:r>
        <w:t xml:space="preserve"> </w:t>
      </w:r>
      <w:r>
        <w:fldChar w:fldCharType="begin"/>
      </w:r>
      <w:r>
        <w:instrText>PAGEREF section</w:instrText>
      </w:r>
      <w:r>
        <w:instrText>_4abcc4474ee3422cb12f0eb93ab89779</w:instrText>
      </w:r>
      <w:r>
        <w:fldChar w:fldCharType="separate"/>
      </w:r>
      <w:r>
        <w:rPr>
          <w:noProof/>
        </w:rPr>
        <w:t>565</w:t>
      </w:r>
      <w:r>
        <w:fldChar w:fldCharType="end"/>
      </w:r>
    </w:p>
    <w:p w:rsidR="000A156F" w:rsidRDefault="000A156F">
      <w:pPr>
        <w:spacing w:before="0" w:after="0"/>
        <w:rPr>
          <w:sz w:val="16"/>
        </w:rPr>
      </w:pPr>
    </w:p>
    <w:p w:rsidR="000A156F" w:rsidRDefault="00A9721F">
      <w:pPr>
        <w:pStyle w:val="indexheader"/>
      </w:pPr>
      <w:r>
        <w:t>P</w:t>
      </w:r>
    </w:p>
    <w:p w:rsidR="000A156F" w:rsidRDefault="000A156F">
      <w:pPr>
        <w:spacing w:before="0" w:after="0"/>
        <w:rPr>
          <w:sz w:val="16"/>
        </w:rPr>
      </w:pPr>
    </w:p>
    <w:p w:rsidR="000A156F" w:rsidRDefault="00A9721F">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318</w:t>
      </w:r>
      <w:r>
        <w:fldChar w:fldCharType="end"/>
      </w:r>
    </w:p>
    <w:p w:rsidR="000A156F" w:rsidRDefault="00A9721F">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65</w:t>
      </w:r>
      <w:r>
        <w:fldChar w:fldCharType="end"/>
      </w:r>
    </w:p>
    <w:p w:rsidR="000A156F" w:rsidRDefault="00A9721F">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540</w:t>
      </w:r>
      <w:r>
        <w:fldChar w:fldCharType="end"/>
      </w:r>
    </w:p>
    <w:p w:rsidR="000A156F" w:rsidRDefault="00A9721F">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49</w:t>
      </w:r>
      <w:r>
        <w:fldChar w:fldCharType="end"/>
      </w:r>
    </w:p>
    <w:p w:rsidR="000A156F" w:rsidRDefault="00A9721F">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686</w:t>
      </w:r>
      <w:r>
        <w:fldChar w:fldCharType="end"/>
      </w:r>
    </w:p>
    <w:p w:rsidR="000A156F" w:rsidRDefault="00A9721F">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344</w:t>
      </w:r>
      <w:r>
        <w:fldChar w:fldCharType="end"/>
      </w:r>
    </w:p>
    <w:p w:rsidR="000A156F" w:rsidRDefault="00A9721F">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345</w:t>
      </w:r>
      <w:r>
        <w:fldChar w:fldCharType="end"/>
      </w:r>
    </w:p>
    <w:p w:rsidR="000A156F" w:rsidRDefault="00A9721F">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345</w:t>
      </w:r>
      <w:r>
        <w:fldChar w:fldCharType="end"/>
      </w:r>
    </w:p>
    <w:p w:rsidR="000A156F" w:rsidRDefault="00A9721F">
      <w:pPr>
        <w:pStyle w:val="indexentry0"/>
      </w:pPr>
      <w:r>
        <w:t>pageMargins (Page Margins) (</w:t>
      </w:r>
      <w:hyperlink w:anchor="section_261571d7a2234a99a584daab0bb4196c">
        <w:r>
          <w:rPr>
            <w:rStyle w:val="Hyperlink"/>
          </w:rPr>
          <w:t>section 2.1.637</w:t>
        </w:r>
      </w:hyperlink>
      <w:r>
        <w:t xml:space="preserve"> </w:t>
      </w:r>
      <w:r>
        <w:fldChar w:fldCharType="begin"/>
      </w:r>
      <w:r>
        <w:instrText>PAGEREF section_261571d</w:instrText>
      </w:r>
      <w:r>
        <w:instrText>7a2234a99a584daab0bb4196c</w:instrText>
      </w:r>
      <w:r>
        <w:fldChar w:fldCharType="separate"/>
      </w:r>
      <w:r>
        <w:rPr>
          <w:noProof/>
        </w:rPr>
        <w:t>265</w:t>
      </w:r>
      <w:r>
        <w:fldChar w:fldCharType="end"/>
      </w:r>
      <w:r>
        <w:t xml:space="preserve">, </w:t>
      </w:r>
      <w:hyperlink w:anchor="section_b030ac610cab41f3a9396a5c193f33f3">
        <w:r>
          <w:rPr>
            <w:rStyle w:val="Hyperlink"/>
          </w:rPr>
          <w:t>section 2.1.1513</w:t>
        </w:r>
      </w:hyperlink>
      <w:r>
        <w:t xml:space="preserve"> </w:t>
      </w:r>
      <w:r>
        <w:fldChar w:fldCharType="begin"/>
      </w:r>
      <w:r>
        <w:instrText>PAGEREF section_b030ac610cab41f3a9396a5c193f33f3</w:instrText>
      </w:r>
      <w:r>
        <w:fldChar w:fldCharType="separate"/>
      </w:r>
      <w:r>
        <w:rPr>
          <w:noProof/>
        </w:rPr>
        <w:t>566</w:t>
      </w:r>
      <w:r>
        <w:fldChar w:fldCharType="end"/>
      </w:r>
      <w:r>
        <w:t>)</w:t>
      </w:r>
    </w:p>
    <w:p w:rsidR="000A156F" w:rsidRDefault="00A9721F">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218</w:t>
      </w:r>
      <w:r>
        <w:fldChar w:fldCharType="end"/>
      </w:r>
    </w:p>
    <w:p w:rsidR="000A156F" w:rsidRDefault="00A9721F">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270</w:t>
      </w:r>
      <w:r>
        <w:fldChar w:fldCharType="end"/>
      </w:r>
    </w:p>
    <w:p w:rsidR="000A156F" w:rsidRDefault="00A9721F">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266</w:t>
      </w:r>
      <w:r>
        <w:fldChar w:fldCharType="end"/>
      </w:r>
    </w:p>
    <w:p w:rsidR="000A156F" w:rsidRDefault="00A9721F">
      <w:pPr>
        <w:pStyle w:val="indexentry0"/>
      </w:pPr>
      <w:hyperlink w:anchor="section_8ffbeaeb0d294ab783603f7b61509929">
        <w:r>
          <w:rPr>
            <w:rStyle w:val="Hyperlink"/>
          </w:rPr>
          <w:t>pageSetup (Page Setup)</w:t>
        </w:r>
      </w:hyperlink>
      <w:r>
        <w:t xml:space="preserve"> </w:t>
      </w:r>
      <w:r>
        <w:fldChar w:fldCharType="begin"/>
      </w:r>
      <w:r>
        <w:instrText>PAGEREF section_8ffbeae</w:instrText>
      </w:r>
      <w:r>
        <w:instrText>b0d294ab783603f7b61509929</w:instrText>
      </w:r>
      <w:r>
        <w:fldChar w:fldCharType="separate"/>
      </w:r>
      <w:r>
        <w:rPr>
          <w:noProof/>
        </w:rPr>
        <w:t>566</w:t>
      </w:r>
      <w:r>
        <w:fldChar w:fldCharType="end"/>
      </w:r>
    </w:p>
    <w:p w:rsidR="000A156F" w:rsidRDefault="00A9721F">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275</w:t>
      </w:r>
      <w:r>
        <w:fldChar w:fldCharType="end"/>
      </w:r>
    </w:p>
    <w:p w:rsidR="000A156F" w:rsidRDefault="00A9721F">
      <w:pPr>
        <w:pStyle w:val="indexentry0"/>
      </w:pPr>
      <w:hyperlink w:anchor="section_9d27324fe2a94774a3b30eb04da5170f">
        <w:r>
          <w:rPr>
            <w:rStyle w:val="Hyperlink"/>
          </w:rPr>
          <w:t>panose1 (Panose-1 Typeface Classif</w:t>
        </w:r>
        <w:r>
          <w:rPr>
            <w:rStyle w:val="Hyperlink"/>
          </w:rPr>
          <w:t>ication Number)</w:t>
        </w:r>
      </w:hyperlink>
      <w:r>
        <w:t xml:space="preserve"> </w:t>
      </w:r>
      <w:r>
        <w:fldChar w:fldCharType="begin"/>
      </w:r>
      <w:r>
        <w:instrText>PAGEREF section_9d27324fe2a94774a3b30eb04da5170f</w:instrText>
      </w:r>
      <w:r>
        <w:fldChar w:fldCharType="separate"/>
      </w:r>
      <w:r>
        <w:rPr>
          <w:noProof/>
        </w:rPr>
        <w:t>122</w:t>
      </w:r>
      <w:r>
        <w:fldChar w:fldCharType="end"/>
      </w:r>
    </w:p>
    <w:p w:rsidR="000A156F" w:rsidRDefault="00A9721F">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102</w:t>
      </w:r>
      <w:r>
        <w:fldChar w:fldCharType="end"/>
      </w:r>
    </w:p>
    <w:p w:rsidR="000A156F" w:rsidRDefault="00A9721F">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section_bd62641d7786473f872d4b3205e91a82</w:instrText>
      </w:r>
      <w:r>
        <w:fldChar w:fldCharType="separate"/>
      </w:r>
      <w:r>
        <w:rPr>
          <w:noProof/>
        </w:rPr>
        <w:t>119</w:t>
      </w:r>
      <w:r>
        <w:fldChar w:fldCharType="end"/>
      </w:r>
    </w:p>
    <w:p w:rsidR="000A156F" w:rsidRDefault="00A9721F">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590</w:t>
      </w:r>
      <w:r>
        <w:fldChar w:fldCharType="end"/>
      </w:r>
    </w:p>
    <w:p w:rsidR="000A156F" w:rsidRDefault="00A9721F">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377</w:t>
      </w:r>
      <w:r>
        <w:fldChar w:fldCharType="end"/>
      </w:r>
    </w:p>
    <w:p w:rsidR="000A156F" w:rsidRDefault="00A9721F">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49</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50</w:t>
      </w:r>
      <w:r>
        <w:fldChar w:fldCharType="end"/>
      </w:r>
      <w:r>
        <w:t xml:space="preserve">, </w:t>
      </w:r>
      <w:hyperlink w:anchor="section_861755efd1fe4366859cb88bab7810f4">
        <w:r>
          <w:rPr>
            <w:rStyle w:val="Hyperlink"/>
          </w:rPr>
          <w:t>section 2.1.</w:t>
        </w:r>
        <w:r>
          <w:rPr>
            <w:rStyle w:val="Hyperlink"/>
          </w:rPr>
          <w:t>14</w:t>
        </w:r>
      </w:hyperlink>
      <w:r>
        <w:t xml:space="preserve"> </w:t>
      </w:r>
      <w:r>
        <w:fldChar w:fldCharType="begin"/>
      </w:r>
      <w:r>
        <w:instrText>PAGEREF section_861755efd1fe4366859cb88bab7810f4</w:instrText>
      </w:r>
      <w:r>
        <w:fldChar w:fldCharType="separate"/>
      </w:r>
      <w:r>
        <w:rPr>
          <w:noProof/>
        </w:rPr>
        <w:t>53</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59</w:t>
      </w:r>
      <w:r>
        <w:fldChar w:fldCharType="end"/>
      </w:r>
      <w:r>
        <w:t>)</w:t>
      </w:r>
    </w:p>
    <w:p w:rsidR="000A156F" w:rsidRDefault="00A9721F">
      <w:pPr>
        <w:pStyle w:val="indexentry0"/>
      </w:pPr>
      <w:r>
        <w:t>path (Shape Path) (</w:t>
      </w:r>
      <w:hyperlink w:anchor="section_767f312ee0f5471cbbd8dc5181a9bda4">
        <w:r>
          <w:rPr>
            <w:rStyle w:val="Hyperlink"/>
          </w:rPr>
          <w:t>section 2.1.1312</w:t>
        </w:r>
      </w:hyperlink>
      <w:r>
        <w:t xml:space="preserve"> </w:t>
      </w:r>
      <w:r>
        <w:fldChar w:fldCharType="begin"/>
      </w:r>
      <w:r>
        <w:instrText>PAGEREF section_767f312ee0f5471cbbd8dc5181a9bda4</w:instrText>
      </w:r>
      <w:r>
        <w:fldChar w:fldCharType="separate"/>
      </w:r>
      <w:r>
        <w:rPr>
          <w:noProof/>
        </w:rPr>
        <w:t>520</w:t>
      </w:r>
      <w:r>
        <w:fldChar w:fldCharType="end"/>
      </w:r>
      <w:r>
        <w:t xml:space="preserve">, </w:t>
      </w:r>
      <w:hyperlink w:anchor="section_eaa61e5c76e94291aac648b1618eb395">
        <w:r>
          <w:rPr>
            <w:rStyle w:val="Hyperlink"/>
          </w:rPr>
          <w:t>section 2.1.1803</w:t>
        </w:r>
      </w:hyperlink>
      <w:r>
        <w:t xml:space="preserve"> </w:t>
      </w:r>
      <w:r>
        <w:fldChar w:fldCharType="begin"/>
      </w:r>
      <w:r>
        <w:instrText>PAGEREF section_eaa61e5c76e94291aac648b1618eb395</w:instrText>
      </w:r>
      <w:r>
        <w:fldChar w:fldCharType="separate"/>
      </w:r>
      <w:r>
        <w:rPr>
          <w:noProof/>
        </w:rPr>
        <w:t>654</w:t>
      </w:r>
      <w:r>
        <w:fldChar w:fldCharType="end"/>
      </w:r>
      <w:r>
        <w:t>)</w:t>
      </w:r>
    </w:p>
    <w:p w:rsidR="000A156F" w:rsidRDefault="00A9721F">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438</w:t>
      </w:r>
      <w:r>
        <w:fldChar w:fldCharType="end"/>
      </w:r>
    </w:p>
    <w:p w:rsidR="000A156F" w:rsidRDefault="00A9721F">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439</w:t>
      </w:r>
      <w:r>
        <w:fldChar w:fldCharType="end"/>
      </w:r>
    </w:p>
    <w:p w:rsidR="000A156F" w:rsidRDefault="00A9721F">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439</w:t>
      </w:r>
      <w:r>
        <w:fldChar w:fldCharType="end"/>
      </w:r>
    </w:p>
    <w:p w:rsidR="000A156F" w:rsidRDefault="00A9721F">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570</w:t>
      </w:r>
      <w:r>
        <w:fldChar w:fldCharType="end"/>
      </w:r>
    </w:p>
    <w:p w:rsidR="000A156F" w:rsidRDefault="00A9721F">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140</w:t>
      </w:r>
      <w:r>
        <w:fldChar w:fldCharType="end"/>
      </w:r>
    </w:p>
    <w:p w:rsidR="000A156F" w:rsidRDefault="00A9721F">
      <w:pPr>
        <w:pStyle w:val="indexentry0"/>
      </w:pPr>
      <w:hyperlink w:anchor="section_25f91d1968a2419086112d804a821d10">
        <w:r>
          <w:rPr>
            <w:rStyle w:val="Hyperlink"/>
          </w:rPr>
          <w:t>permStart (Range Permission Start)</w:t>
        </w:r>
      </w:hyperlink>
      <w:r>
        <w:t xml:space="preserve"> </w:t>
      </w:r>
      <w:r>
        <w:fldChar w:fldCharType="begin"/>
      </w:r>
      <w:r>
        <w:instrText>PAGEREF sect</w:instrText>
      </w:r>
      <w:r>
        <w:instrText>ion_25f91d1968a2419086112d804a821d10</w:instrText>
      </w:r>
      <w:r>
        <w:fldChar w:fldCharType="separate"/>
      </w:r>
      <w:r>
        <w:rPr>
          <w:noProof/>
        </w:rPr>
        <w:t>140</w:t>
      </w:r>
      <w:r>
        <w:fldChar w:fldCharType="end"/>
      </w:r>
    </w:p>
    <w:p w:rsidR="000A156F" w:rsidRDefault="00A9721F">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619</w:t>
      </w:r>
      <w:r>
        <w:fldChar w:fldCharType="end"/>
      </w:r>
    </w:p>
    <w:p w:rsidR="000A156F" w:rsidRDefault="00A9721F">
      <w:pPr>
        <w:pStyle w:val="indexentry0"/>
      </w:pPr>
      <w:hyperlink w:anchor="section_8214eaf1a8b14e1a99543a5068b6d3ce">
        <w:r>
          <w:rPr>
            <w:rStyle w:val="Hyperlink"/>
          </w:rPr>
          <w:t>personal (E-Mail Message</w:t>
        </w:r>
        <w:r>
          <w:rPr>
            <w:rStyle w:val="Hyperlink"/>
          </w:rPr>
          <w:t xml:space="preserve"> Text Style)</w:t>
        </w:r>
      </w:hyperlink>
      <w:r>
        <w:t xml:space="preserve"> </w:t>
      </w:r>
      <w:r>
        <w:fldChar w:fldCharType="begin"/>
      </w:r>
      <w:r>
        <w:instrText>PAGEREF section_8214eaf1a8b14e1a99543a5068b6d3ce</w:instrText>
      </w:r>
      <w:r>
        <w:fldChar w:fldCharType="separate"/>
      </w:r>
      <w:r>
        <w:rPr>
          <w:noProof/>
        </w:rPr>
        <w:t>115</w:t>
      </w:r>
      <w:r>
        <w:fldChar w:fldCharType="end"/>
      </w:r>
    </w:p>
    <w:p w:rsidR="000A156F" w:rsidRDefault="00A9721F">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115</w:t>
      </w:r>
      <w:r>
        <w:fldChar w:fldCharType="end"/>
      </w:r>
    </w:p>
    <w:p w:rsidR="000A156F" w:rsidRDefault="00A9721F">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section_a0c391fe1c0e40a3b97dfb9edcb61a83</w:instrText>
      </w:r>
      <w:r>
        <w:fldChar w:fldCharType="separate"/>
      </w:r>
      <w:r>
        <w:rPr>
          <w:noProof/>
        </w:rPr>
        <w:t>115</w:t>
      </w:r>
      <w:r>
        <w:fldChar w:fldCharType="end"/>
      </w:r>
    </w:p>
    <w:p w:rsidR="000A156F" w:rsidRDefault="00A9721F">
      <w:pPr>
        <w:pStyle w:val="indexentry0"/>
      </w:pPr>
      <w:hyperlink w:anchor="section_6aa1047e4bc04a228292385d1f45a437">
        <w:r>
          <w:rPr>
            <w:rStyle w:val="Hyperlink"/>
          </w:rPr>
          <w:t>perspective (Perspective)</w:t>
        </w:r>
      </w:hyperlink>
      <w:r>
        <w:t xml:space="preserve"> </w:t>
      </w:r>
      <w:r>
        <w:fldChar w:fldCharType="begin"/>
      </w:r>
      <w:r>
        <w:instrText>PAGEREF section_6aa1047e4bc04a22</w:instrText>
      </w:r>
      <w:r>
        <w:instrText>8292385d1f45a437</w:instrText>
      </w:r>
      <w:r>
        <w:fldChar w:fldCharType="separate"/>
      </w:r>
      <w:r>
        <w:rPr>
          <w:noProof/>
        </w:rPr>
        <w:t>571</w:t>
      </w:r>
      <w:r>
        <w:fldChar w:fldCharType="end"/>
      </w:r>
    </w:p>
    <w:p w:rsidR="000A156F" w:rsidRDefault="00A9721F">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102</w:t>
      </w:r>
      <w:r>
        <w:fldChar w:fldCharType="end"/>
      </w:r>
    </w:p>
    <w:p w:rsidR="000A156F" w:rsidRDefault="00A9721F">
      <w:pPr>
        <w:pStyle w:val="indexentry0"/>
      </w:pPr>
      <w:hyperlink w:anchor="section_c13857a66aa54b53a2a8a8498e62085b">
        <w:r>
          <w:rPr>
            <w:rStyle w:val="Hyperlink"/>
          </w:rPr>
          <w:t>pgMar (Page Margins)</w:t>
        </w:r>
      </w:hyperlink>
      <w:r>
        <w:t xml:space="preserve"> </w:t>
      </w:r>
      <w:r>
        <w:fldChar w:fldCharType="begin"/>
      </w:r>
      <w:r>
        <w:instrText>PAGEREF sect</w:instrText>
      </w:r>
      <w:r>
        <w:instrText>ion_c13857a66aa54b53a2a8a8498e62085b</w:instrText>
      </w:r>
      <w:r>
        <w:fldChar w:fldCharType="separate"/>
      </w:r>
      <w:r>
        <w:rPr>
          <w:noProof/>
        </w:rPr>
        <w:t>102</w:t>
      </w:r>
      <w:r>
        <w:fldChar w:fldCharType="end"/>
      </w:r>
    </w:p>
    <w:p w:rsidR="000A156F" w:rsidRDefault="00A9721F">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section_a3bbd1887d1e400c9ea71d8f96eb62c4</w:instrText>
      </w:r>
      <w:r>
        <w:fldChar w:fldCharType="separate"/>
      </w:r>
      <w:r>
        <w:rPr>
          <w:noProof/>
        </w:rPr>
        <w:t>102</w:t>
      </w:r>
      <w:r>
        <w:fldChar w:fldCharType="end"/>
      </w:r>
    </w:p>
    <w:p w:rsidR="000A156F" w:rsidRDefault="00A9721F">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103</w:t>
      </w:r>
      <w:r>
        <w:fldChar w:fldCharType="end"/>
      </w:r>
    </w:p>
    <w:p w:rsidR="000A156F" w:rsidRDefault="00A9721F">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468</w:t>
      </w:r>
      <w:r>
        <w:fldChar w:fldCharType="end"/>
      </w:r>
    </w:p>
    <w:p w:rsidR="000A156F" w:rsidRDefault="00A9721F">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607</w:t>
      </w:r>
      <w:r>
        <w:fldChar w:fldCharType="end"/>
      </w:r>
    </w:p>
    <w:p w:rsidR="000A156F" w:rsidRDefault="00A9721F">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289</w:t>
      </w:r>
      <w:r>
        <w:fldChar w:fldCharType="end"/>
      </w:r>
    </w:p>
    <w:p w:rsidR="000A156F" w:rsidRDefault="00A9721F">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464</w:t>
      </w:r>
      <w:r>
        <w:fldChar w:fldCharType="end"/>
      </w:r>
    </w:p>
    <w:p w:rsidR="000A156F" w:rsidRDefault="00A9721F">
      <w:pPr>
        <w:pStyle w:val="indexentry0"/>
      </w:pPr>
      <w:r>
        <w:t>pic (Picture) (</w:t>
      </w:r>
      <w:hyperlink w:anchor="section_40e963da7d5241599f8632ae4a5576e4">
        <w:r>
          <w:rPr>
            <w:rStyle w:val="Hyperlink"/>
          </w:rPr>
          <w:t>section 2.1.1368</w:t>
        </w:r>
      </w:hyperlink>
      <w:r>
        <w:t xml:space="preserve"> </w:t>
      </w:r>
      <w:r>
        <w:fldChar w:fldCharType="begin"/>
      </w:r>
      <w:r>
        <w:instrText>PAGEREF s</w:instrText>
      </w:r>
      <w:r>
        <w:instrText>ection_40e963da7d5241599f8632ae4a5576e4</w:instrText>
      </w:r>
      <w:r>
        <w:fldChar w:fldCharType="separate"/>
      </w:r>
      <w:r>
        <w:rPr>
          <w:noProof/>
        </w:rPr>
        <w:t>534</w:t>
      </w:r>
      <w:r>
        <w:fldChar w:fldCharType="end"/>
      </w:r>
      <w:r>
        <w:t xml:space="preserve">, </w:t>
      </w:r>
      <w:hyperlink w:anchor="section_7b4add6c9a8b4db2ad3c60b251768118">
        <w:r>
          <w:rPr>
            <w:rStyle w:val="Hyperlink"/>
          </w:rPr>
          <w:t>section 2.1.1607</w:t>
        </w:r>
      </w:hyperlink>
      <w:r>
        <w:t xml:space="preserve"> </w:t>
      </w:r>
      <w:r>
        <w:fldChar w:fldCharType="begin"/>
      </w:r>
      <w:r>
        <w:instrText>PAGEREF section_7b4add6c9a8b4db2ad3c60b251768118</w:instrText>
      </w:r>
      <w:r>
        <w:fldChar w:fldCharType="separate"/>
      </w:r>
      <w:r>
        <w:rPr>
          <w:noProof/>
        </w:rPr>
        <w:t>588</w:t>
      </w:r>
      <w:r>
        <w:fldChar w:fldCharType="end"/>
      </w:r>
      <w:r>
        <w:t>)</w:t>
      </w:r>
    </w:p>
    <w:p w:rsidR="000A156F" w:rsidRDefault="00A9721F">
      <w:pPr>
        <w:pStyle w:val="indexentry0"/>
      </w:pPr>
      <w:hyperlink w:anchor="section_57e0125f979847efbc6e53ffae4f6c28">
        <w:r>
          <w:rPr>
            <w:rStyle w:val="Hyperlink"/>
          </w:rPr>
          <w:t xml:space="preserve">picLocks (Picture </w:t>
        </w:r>
        <w:r>
          <w:rPr>
            <w:rStyle w:val="Hyperlink"/>
          </w:rPr>
          <w:t>Locks)</w:t>
        </w:r>
      </w:hyperlink>
      <w:r>
        <w:t xml:space="preserve"> </w:t>
      </w:r>
      <w:r>
        <w:fldChar w:fldCharType="begin"/>
      </w:r>
      <w:r>
        <w:instrText>PAGEREF section_57e0125f979847efbc6e53ffae4f6c28</w:instrText>
      </w:r>
      <w:r>
        <w:fldChar w:fldCharType="separate"/>
      </w:r>
      <w:r>
        <w:rPr>
          <w:noProof/>
        </w:rPr>
        <w:t>498</w:t>
      </w:r>
      <w:r>
        <w:fldChar w:fldCharType="end"/>
      </w:r>
    </w:p>
    <w:p w:rsidR="000A156F" w:rsidRDefault="00A9721F">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631</w:t>
      </w:r>
      <w:r>
        <w:fldChar w:fldCharType="end"/>
      </w:r>
    </w:p>
    <w:p w:rsidR="000A156F" w:rsidRDefault="00A9721F">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630</w:t>
      </w:r>
      <w:r>
        <w:fldChar w:fldCharType="end"/>
      </w:r>
    </w:p>
    <w:p w:rsidR="000A156F" w:rsidRDefault="00A9721F">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886</w:t>
      </w:r>
      <w:r>
        <w:fldChar w:fldCharType="end"/>
      </w:r>
    </w:p>
    <w:p w:rsidR="000A156F" w:rsidRDefault="00A9721F">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571</w:t>
      </w:r>
      <w:r>
        <w:fldChar w:fldCharType="end"/>
      </w:r>
    </w:p>
    <w:p w:rsidR="000A156F" w:rsidRDefault="00A9721F">
      <w:pPr>
        <w:pStyle w:val="indexentry0"/>
      </w:pPr>
      <w:hyperlink w:anchor="section_06c618921ab34e35a09dee70b3a3c704">
        <w:r>
          <w:rPr>
            <w:rStyle w:val="Hyperlink"/>
          </w:rPr>
          <w:t>pie3DChart (3D Pie Charts)</w:t>
        </w:r>
      </w:hyperlink>
      <w:r>
        <w:t xml:space="preserve"> </w:t>
      </w:r>
      <w:r>
        <w:fldChar w:fldCharType="begin"/>
      </w:r>
      <w:r>
        <w:instrText>PAGEREF section_06</w:instrText>
      </w:r>
      <w:r>
        <w:instrText>c618921ab34e35a09dee70b3a3c704</w:instrText>
      </w:r>
      <w:r>
        <w:fldChar w:fldCharType="separate"/>
      </w:r>
      <w:r>
        <w:rPr>
          <w:noProof/>
        </w:rPr>
        <w:t>571</w:t>
      </w:r>
      <w:r>
        <w:fldChar w:fldCharType="end"/>
      </w:r>
    </w:p>
    <w:p w:rsidR="000A156F" w:rsidRDefault="00A9721F">
      <w:pPr>
        <w:pStyle w:val="indexentry0"/>
      </w:pPr>
      <w:hyperlink w:anchor="section_f2797eb13b5e4a40be3e344faa60f3dc">
        <w:r>
          <w:rPr>
            <w:rStyle w:val="Hyperlink"/>
          </w:rPr>
          <w:t>pieChart (Pie Charts)</w:t>
        </w:r>
      </w:hyperlink>
      <w:r>
        <w:t xml:space="preserve"> </w:t>
      </w:r>
      <w:r>
        <w:fldChar w:fldCharType="begin"/>
      </w:r>
      <w:r>
        <w:instrText>PAGEREF section_f2797eb13b5e4a40be3e344faa60f3dc</w:instrText>
      </w:r>
      <w:r>
        <w:fldChar w:fldCharType="separate"/>
      </w:r>
      <w:r>
        <w:rPr>
          <w:noProof/>
        </w:rPr>
        <w:t>571</w:t>
      </w:r>
      <w:r>
        <w:fldChar w:fldCharType="end"/>
      </w:r>
    </w:p>
    <w:p w:rsidR="000A156F" w:rsidRDefault="00A9721F">
      <w:pPr>
        <w:pStyle w:val="indexentry0"/>
      </w:pPr>
      <w:hyperlink w:anchor="section_108821f5262d491b87a2d6861913882e">
        <w:r>
          <w:rPr>
            <w:rStyle w:val="Hyperlink"/>
          </w:rPr>
          <w:t>pitch (Font Pitch)</w:t>
        </w:r>
      </w:hyperlink>
      <w:r>
        <w:t xml:space="preserve"> </w:t>
      </w:r>
      <w:r>
        <w:fldChar w:fldCharType="begin"/>
      </w:r>
      <w:r>
        <w:instrText>PAG</w:instrText>
      </w:r>
      <w:r>
        <w:instrText>EREF section_108821f5262d491b87a2d6861913882e</w:instrText>
      </w:r>
      <w:r>
        <w:fldChar w:fldCharType="separate"/>
      </w:r>
      <w:r>
        <w:rPr>
          <w:noProof/>
        </w:rPr>
        <w:t>122</w:t>
      </w:r>
      <w:r>
        <w:fldChar w:fldCharType="end"/>
      </w:r>
    </w:p>
    <w:p w:rsidR="000A156F" w:rsidRDefault="00A9721F">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850</w:t>
      </w:r>
      <w:r>
        <w:fldChar w:fldCharType="end"/>
      </w:r>
    </w:p>
    <w:p w:rsidR="000A156F" w:rsidRDefault="00A9721F">
      <w:pPr>
        <w:pStyle w:val="indexentry0"/>
      </w:pPr>
      <w:hyperlink w:anchor="section_0258cf3b6fa44c229af13f8983d3a381">
        <w:r>
          <w:rPr>
            <w:rStyle w:val="Hyperlink"/>
          </w:rPr>
          <w:t>pivotArea (Pivot</w:t>
        </w:r>
        <w:r>
          <w:rPr>
            <w:rStyle w:val="Hyperlink"/>
          </w:rPr>
          <w:t xml:space="preserve"> Area)</w:t>
        </w:r>
      </w:hyperlink>
      <w:r>
        <w:t xml:space="preserve"> </w:t>
      </w:r>
      <w:r>
        <w:fldChar w:fldCharType="begin"/>
      </w:r>
      <w:r>
        <w:instrText>PAGEREF section_0258cf3b6fa44c229af13f8983d3a381</w:instrText>
      </w:r>
      <w:r>
        <w:fldChar w:fldCharType="separate"/>
      </w:r>
      <w:r>
        <w:rPr>
          <w:noProof/>
        </w:rPr>
        <w:t>275</w:t>
      </w:r>
      <w:r>
        <w:fldChar w:fldCharType="end"/>
      </w:r>
    </w:p>
    <w:p w:rsidR="000A156F" w:rsidRDefault="00A9721F">
      <w:pPr>
        <w:pStyle w:val="indexentry0"/>
      </w:pPr>
      <w:hyperlink w:anchor="section_e51aae59add04998811379ab9f8c9a4d">
        <w:r>
          <w:rPr>
            <w:rStyle w:val="Hyperlink"/>
          </w:rPr>
          <w:t>pivotCacheDefinition (PivotCache Definition)</w:t>
        </w:r>
      </w:hyperlink>
      <w:r>
        <w:t xml:space="preserve"> </w:t>
      </w:r>
      <w:r>
        <w:fldChar w:fldCharType="begin"/>
      </w:r>
      <w:r>
        <w:instrText>PAGEREF section_e51aae59add04998811379ab9f8c9a4d</w:instrText>
      </w:r>
      <w:r>
        <w:fldChar w:fldCharType="separate"/>
      </w:r>
      <w:r>
        <w:rPr>
          <w:noProof/>
        </w:rPr>
        <w:t>345</w:t>
      </w:r>
      <w:r>
        <w:fldChar w:fldCharType="end"/>
      </w:r>
    </w:p>
    <w:p w:rsidR="000A156F" w:rsidRDefault="00A9721F">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346</w:t>
      </w:r>
      <w:r>
        <w:fldChar w:fldCharType="end"/>
      </w:r>
    </w:p>
    <w:p w:rsidR="000A156F" w:rsidRDefault="00A9721F">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350</w:t>
      </w:r>
      <w:r>
        <w:fldChar w:fldCharType="end"/>
      </w:r>
    </w:p>
    <w:p w:rsidR="000A156F" w:rsidRDefault="00A9721F">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572</w:t>
      </w:r>
      <w:r>
        <w:fldChar w:fldCharType="end"/>
      </w:r>
    </w:p>
    <w:p w:rsidR="000A156F" w:rsidRDefault="00A9721F">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572</w:t>
      </w:r>
      <w:r>
        <w:fldChar w:fldCharType="end"/>
      </w:r>
    </w:p>
    <w:p w:rsidR="000A156F" w:rsidRDefault="00A9721F">
      <w:pPr>
        <w:pStyle w:val="indexentry0"/>
      </w:pPr>
      <w:hyperlink w:anchor="section_7deb007e8c6e420a8c1f12c46f901bad">
        <w:r>
          <w:rPr>
            <w:rStyle w:val="Hyperlink"/>
          </w:rPr>
          <w:t>pivotHierarchies (PivotTable OLAP Hierarchies)</w:t>
        </w:r>
      </w:hyperlink>
      <w:r>
        <w:t xml:space="preserve"> </w:t>
      </w:r>
      <w:r>
        <w:fldChar w:fldCharType="begin"/>
      </w:r>
      <w:r>
        <w:instrText>PAGEREF section_7deb007e8c6e420a8c1f12c46f901bad</w:instrText>
      </w:r>
      <w:r>
        <w:fldChar w:fldCharType="separate"/>
      </w:r>
      <w:r>
        <w:rPr>
          <w:noProof/>
        </w:rPr>
        <w:t>350</w:t>
      </w:r>
      <w:r>
        <w:fldChar w:fldCharType="end"/>
      </w:r>
    </w:p>
    <w:p w:rsidR="000A156F" w:rsidRDefault="00A9721F">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350</w:t>
      </w:r>
      <w:r>
        <w:fldChar w:fldCharType="end"/>
      </w:r>
    </w:p>
    <w:p w:rsidR="000A156F" w:rsidRDefault="00A9721F">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276</w:t>
      </w:r>
      <w:r>
        <w:fldChar w:fldCharType="end"/>
      </w:r>
    </w:p>
    <w:p w:rsidR="000A156F" w:rsidRDefault="00A9721F">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572</w:t>
      </w:r>
      <w:r>
        <w:fldChar w:fldCharType="end"/>
      </w:r>
    </w:p>
    <w:p w:rsidR="000A156F" w:rsidRDefault="00A9721F">
      <w:pPr>
        <w:pStyle w:val="indexentry0"/>
      </w:pPr>
      <w:hyperlink w:anchor="section_7b6c9fe631584a228a8abbf584ecf45f">
        <w:r>
          <w:rPr>
            <w:rStyle w:val="Hyperlink"/>
          </w:rPr>
          <w:t>pivotTableDefinition (PivotTable Definition)</w:t>
        </w:r>
      </w:hyperlink>
      <w:r>
        <w:t xml:space="preserve"> </w:t>
      </w:r>
      <w:r>
        <w:fldChar w:fldCharType="begin"/>
      </w:r>
      <w:r>
        <w:instrText>PAGE</w:instrText>
      </w:r>
      <w:r>
        <w:instrText>REF section_7b6c9fe631584a228a8abbf584ecf45f</w:instrText>
      </w:r>
      <w:r>
        <w:fldChar w:fldCharType="separate"/>
      </w:r>
      <w:r>
        <w:rPr>
          <w:noProof/>
        </w:rPr>
        <w:t>351</w:t>
      </w:r>
      <w:r>
        <w:fldChar w:fldCharType="end"/>
      </w:r>
    </w:p>
    <w:p w:rsidR="000A156F" w:rsidRDefault="00A9721F">
      <w:pPr>
        <w:pStyle w:val="indexentry0"/>
      </w:pPr>
      <w:hyperlink w:anchor="section_320febb51cfe47b3ae76f2eaad735193">
        <w:r>
          <w:rPr>
            <w:rStyle w:val="Hyperlink"/>
          </w:rPr>
          <w:t>pivotTableStyleInfo (PivotTable Style)</w:t>
        </w:r>
      </w:hyperlink>
      <w:r>
        <w:t xml:space="preserve"> </w:t>
      </w:r>
      <w:r>
        <w:fldChar w:fldCharType="begin"/>
      </w:r>
      <w:r>
        <w:instrText>PAGEREF section_320febb51cfe47b3ae76f2eaad735193</w:instrText>
      </w:r>
      <w:r>
        <w:fldChar w:fldCharType="separate"/>
      </w:r>
      <w:r>
        <w:rPr>
          <w:noProof/>
        </w:rPr>
        <w:t>353</w:t>
      </w:r>
      <w:r>
        <w:fldChar w:fldCharType="end"/>
      </w:r>
    </w:p>
    <w:p w:rsidR="000A156F" w:rsidRDefault="00A9721F">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162</w:t>
      </w:r>
      <w:r>
        <w:fldChar w:fldCharType="end"/>
      </w:r>
    </w:p>
    <w:p w:rsidR="000A156F" w:rsidRDefault="00A9721F">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w:instrText>
      </w:r>
      <w:r>
        <w:instrText>a1e4b41bb584e0c1c535215</w:instrText>
      </w:r>
      <w:r>
        <w:fldChar w:fldCharType="separate"/>
      </w:r>
      <w:r>
        <w:rPr>
          <w:noProof/>
        </w:rPr>
        <w:t>97</w:t>
      </w:r>
      <w:r>
        <w:fldChar w:fldCharType="end"/>
      </w:r>
    </w:p>
    <w:p w:rsidR="000A156F" w:rsidRDefault="00A9721F">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572</w:t>
      </w:r>
      <w:r>
        <w:fldChar w:fldCharType="end"/>
      </w:r>
    </w:p>
    <w:p w:rsidR="000A156F" w:rsidRDefault="00A9721F">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572</w:t>
      </w:r>
      <w:r>
        <w:fldChar w:fldCharType="end"/>
      </w:r>
    </w:p>
    <w:p w:rsidR="000A156F" w:rsidRDefault="00A9721F">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439</w:t>
      </w:r>
      <w:r>
        <w:fldChar w:fldCharType="end"/>
      </w:r>
    </w:p>
    <w:p w:rsidR="000A156F" w:rsidRDefault="00A9721F">
      <w:pPr>
        <w:pStyle w:val="indexentry0"/>
      </w:pPr>
      <w:hyperlink w:anchor="section_0001645b75344016ae4bf913658dd855">
        <w:r>
          <w:rPr>
            <w:rStyle w:val="Hyperlink"/>
          </w:rPr>
          <w:t>POISSON</w:t>
        </w:r>
      </w:hyperlink>
      <w:r>
        <w:t xml:space="preserve"> </w:t>
      </w:r>
      <w:r>
        <w:fldChar w:fldCharType="begin"/>
      </w:r>
      <w:r>
        <w:instrText>PAGEREF sectio</w:instrText>
      </w:r>
      <w:r>
        <w:instrText>n_0001645b75344016ae4bf913658dd855</w:instrText>
      </w:r>
      <w:r>
        <w:fldChar w:fldCharType="separate"/>
      </w:r>
      <w:r>
        <w:rPr>
          <w:noProof/>
        </w:rPr>
        <w:t>439</w:t>
      </w:r>
      <w:r>
        <w:fldChar w:fldCharType="end"/>
      </w:r>
    </w:p>
    <w:p w:rsidR="000A156F" w:rsidRDefault="00A9721F">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657</w:t>
      </w:r>
      <w:r>
        <w:fldChar w:fldCharType="end"/>
      </w:r>
    </w:p>
    <w:p w:rsidR="000A156F" w:rsidRDefault="00A9721F">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471</w:t>
      </w:r>
      <w:r>
        <w:fldChar w:fldCharType="end"/>
      </w:r>
    </w:p>
    <w:p w:rsidR="000A156F" w:rsidRDefault="00A9721F">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129</w:t>
      </w:r>
      <w:r>
        <w:fldChar w:fldCharType="end"/>
      </w:r>
    </w:p>
    <w:p w:rsidR="000A156F" w:rsidRDefault="00A9721F">
      <w:pPr>
        <w:pStyle w:val="indexentry0"/>
      </w:pPr>
      <w:r>
        <w:t>pos (Position) (</w:t>
      </w:r>
      <w:hyperlink w:anchor="section_44d97ef766e5453ea58681cf80c0c3a0">
        <w:r>
          <w:rPr>
            <w:rStyle w:val="Hyperlink"/>
          </w:rPr>
          <w:t>section 2.1.1369</w:t>
        </w:r>
      </w:hyperlink>
      <w:r>
        <w:t xml:space="preserve"> </w:t>
      </w:r>
      <w:r>
        <w:fldChar w:fldCharType="begin"/>
      </w:r>
      <w:r>
        <w:instrText>PAGEREF section_44d97ef766e5453ea58681cf80c0c3a0</w:instrText>
      </w:r>
      <w:r>
        <w:fldChar w:fldCharType="separate"/>
      </w:r>
      <w:r>
        <w:rPr>
          <w:noProof/>
        </w:rPr>
        <w:t>534</w:t>
      </w:r>
      <w:r>
        <w:fldChar w:fldCharType="end"/>
      </w:r>
      <w:r>
        <w:t xml:space="preserve">, </w:t>
      </w:r>
      <w:hyperlink w:anchor="section_36d53a31567044a1b0d76b9e8a79b3f0">
        <w:r>
          <w:rPr>
            <w:rStyle w:val="Hyperlink"/>
          </w:rPr>
          <w:t>section 2.1.1691</w:t>
        </w:r>
      </w:hyperlink>
      <w:r>
        <w:t xml:space="preserve"> </w:t>
      </w:r>
      <w:r>
        <w:fldChar w:fldCharType="begin"/>
      </w:r>
      <w:r>
        <w:instrText>PAGEREF section_36d53a31567044a1b0d76b9e8a79b3f0</w:instrText>
      </w:r>
      <w:r>
        <w:fldChar w:fldCharType="separate"/>
      </w:r>
      <w:r>
        <w:rPr>
          <w:noProof/>
        </w:rPr>
        <w:t>607</w:t>
      </w:r>
      <w:r>
        <w:fldChar w:fldCharType="end"/>
      </w:r>
      <w:r>
        <w:t>)</w:t>
      </w:r>
    </w:p>
    <w:p w:rsidR="000A156F" w:rsidRDefault="00A9721F">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520</w:t>
      </w:r>
      <w:r>
        <w:fldChar w:fldCharType="end"/>
      </w:r>
    </w:p>
    <w:p w:rsidR="000A156F" w:rsidRDefault="00A9721F">
      <w:pPr>
        <w:pStyle w:val="indexentry0"/>
      </w:pPr>
      <w:hyperlink w:anchor="section_8aee936cdf55410c88707cb257d71f26">
        <w:r>
          <w:rPr>
            <w:rStyle w:val="Hyperlink"/>
          </w:rPr>
          <w:t>positionV (Vertical Positioning)</w:t>
        </w:r>
      </w:hyperlink>
      <w:r>
        <w:t xml:space="preserve"> </w:t>
      </w:r>
      <w:r>
        <w:fldChar w:fldCharType="begin"/>
      </w:r>
      <w:r>
        <w:instrText>PAGEREF section_8aee936cdf</w:instrText>
      </w:r>
      <w:r>
        <w:instrText>55410c88707cb257d71f26</w:instrText>
      </w:r>
      <w:r>
        <w:fldChar w:fldCharType="separate"/>
      </w:r>
      <w:r>
        <w:rPr>
          <w:noProof/>
        </w:rPr>
        <w:t>532</w:t>
      </w:r>
      <w:r>
        <w:fldChar w:fldCharType="end"/>
      </w:r>
    </w:p>
    <w:p w:rsidR="000A156F" w:rsidRDefault="00A9721F">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608</w:t>
      </w:r>
      <w:r>
        <w:fldChar w:fldCharType="end"/>
      </w:r>
    </w:p>
    <w:p w:rsidR="000A156F" w:rsidRDefault="00A9721F">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439</w:t>
      </w:r>
      <w:r>
        <w:fldChar w:fldCharType="end"/>
      </w:r>
    </w:p>
    <w:p w:rsidR="000A156F" w:rsidRDefault="00A9721F">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853</w:t>
      </w:r>
      <w:r>
        <w:fldChar w:fldCharType="end"/>
      </w:r>
    </w:p>
    <w:p w:rsidR="000A156F" w:rsidRDefault="00A9721F">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439</w:t>
      </w:r>
      <w:r>
        <w:fldChar w:fldCharType="end"/>
      </w:r>
    </w:p>
    <w:p w:rsidR="000A156F" w:rsidRDefault="00A9721F">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section_e0f793ec25174bd792363bd6a7f828b7</w:instrText>
      </w:r>
      <w:r>
        <w:fldChar w:fldCharType="separate"/>
      </w:r>
      <w:r>
        <w:rPr>
          <w:noProof/>
        </w:rPr>
        <w:t>125</w:t>
      </w:r>
      <w:r>
        <w:fldChar w:fldCharType="end"/>
      </w:r>
    </w:p>
    <w:p w:rsidR="000A156F" w:rsidRDefault="00A9721F">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116</w:t>
      </w:r>
      <w:r>
        <w:fldChar w:fldCharType="end"/>
      </w:r>
    </w:p>
    <w:p w:rsidR="000A156F" w:rsidRDefault="00A9721F">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w:instrText>
      </w:r>
      <w:r>
        <w:instrText>623629e9cb647</w:instrText>
      </w:r>
      <w:r>
        <w:fldChar w:fldCharType="separate"/>
      </w:r>
      <w:r>
        <w:rPr>
          <w:noProof/>
        </w:rPr>
        <w:t>65</w:t>
      </w:r>
      <w:r>
        <w:fldChar w:fldCharType="end"/>
      </w:r>
    </w:p>
    <w:p w:rsidR="000A156F" w:rsidRDefault="00A9721F">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section_03bd6b70ee1a457885a1b4207bbb34ce</w:instrText>
      </w:r>
      <w:r>
        <w:fldChar w:fldCharType="separate"/>
      </w:r>
      <w:r>
        <w:rPr>
          <w:noProof/>
        </w:rPr>
        <w:t>119</w:t>
      </w:r>
      <w:r>
        <w:fldChar w:fldCharType="end"/>
      </w:r>
    </w:p>
    <w:p w:rsidR="000A156F" w:rsidRDefault="00A9721F">
      <w:pPr>
        <w:pStyle w:val="indexentry0"/>
      </w:pPr>
      <w:hyperlink w:anchor="section_e6cd172f23d344d9942bcf3ffaed67fc">
        <w:r>
          <w:rPr>
            <w:rStyle w:val="Hyperlink"/>
          </w:rPr>
          <w:t>pPr (Table Style Conditional F</w:t>
        </w:r>
        <w:r>
          <w:rPr>
            <w:rStyle w:val="Hyperlink"/>
          </w:rPr>
          <w:t>ormatting Paragraph Properties)</w:t>
        </w:r>
      </w:hyperlink>
      <w:r>
        <w:t xml:space="preserve"> </w:t>
      </w:r>
      <w:r>
        <w:fldChar w:fldCharType="begin"/>
      </w:r>
      <w:r>
        <w:instrText>PAGEREF section_e6cd172f23d344d9942bcf3ffaed67fc</w:instrText>
      </w:r>
      <w:r>
        <w:fldChar w:fldCharType="separate"/>
      </w:r>
      <w:r>
        <w:rPr>
          <w:noProof/>
        </w:rPr>
        <w:t>117</w:t>
      </w:r>
      <w:r>
        <w:fldChar w:fldCharType="end"/>
      </w:r>
    </w:p>
    <w:p w:rsidR="000A156F" w:rsidRDefault="00A9721F">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540</w:t>
      </w:r>
      <w:r>
        <w:fldChar w:fldCharType="end"/>
      </w:r>
    </w:p>
    <w:p w:rsidR="000A156F" w:rsidRDefault="00A9721F">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section_ca8a2548c37b4d7bbf3f4531b6309281</w:instrText>
      </w:r>
      <w:r>
        <w:fldChar w:fldCharType="separate"/>
      </w:r>
      <w:r>
        <w:rPr>
          <w:noProof/>
        </w:rPr>
        <w:t>138</w:t>
      </w:r>
      <w:r>
        <w:fldChar w:fldCharType="end"/>
      </w:r>
    </w:p>
    <w:p w:rsidR="000A156F" w:rsidRDefault="00A9721F">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395</w:t>
      </w:r>
      <w:r>
        <w:fldChar w:fldCharType="end"/>
      </w:r>
    </w:p>
    <w:p w:rsidR="000A156F" w:rsidRDefault="00A9721F">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section_cce7a3040e914fa490bdf3a0f4f58f95</w:instrText>
      </w:r>
      <w:r>
        <w:fldChar w:fldCharType="separate"/>
      </w:r>
      <w:r>
        <w:rPr>
          <w:noProof/>
        </w:rPr>
        <w:t>464</w:t>
      </w:r>
      <w:r>
        <w:fldChar w:fldCharType="end"/>
      </w:r>
    </w:p>
    <w:p w:rsidR="000A156F" w:rsidRDefault="00A9721F">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464</w:t>
      </w:r>
      <w:r>
        <w:fldChar w:fldCharType="end"/>
      </w:r>
    </w:p>
    <w:p w:rsidR="000A156F" w:rsidRDefault="00A9721F">
      <w:pPr>
        <w:pStyle w:val="indexentry0"/>
      </w:pPr>
      <w:hyperlink w:anchor="section_878e09616c044b579a6d9bebc1ac3be3">
        <w:r>
          <w:rPr>
            <w:rStyle w:val="Hyperlink"/>
          </w:rPr>
          <w:t>Presentation Part</w:t>
        </w:r>
      </w:hyperlink>
      <w:r>
        <w:t xml:space="preserve"> </w:t>
      </w:r>
      <w:r>
        <w:fldChar w:fldCharType="begin"/>
      </w:r>
      <w:r>
        <w:instrText>PAGEREF section_878e09616c044b579a6d9bebc1ac3be3</w:instrText>
      </w:r>
      <w:r>
        <w:fldChar w:fldCharType="separate"/>
      </w:r>
      <w:r>
        <w:rPr>
          <w:noProof/>
        </w:rPr>
        <w:t>56</w:t>
      </w:r>
      <w:r>
        <w:fldChar w:fldCharType="end"/>
      </w:r>
    </w:p>
    <w:p w:rsidR="000A156F" w:rsidRDefault="00A9721F">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57</w:t>
      </w:r>
      <w:r>
        <w:fldChar w:fldCharType="end"/>
      </w:r>
    </w:p>
    <w:p w:rsidR="000A156F" w:rsidRDefault="00A9721F">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49</w:t>
      </w:r>
      <w:r>
        <w:fldChar w:fldCharType="end"/>
      </w:r>
    </w:p>
    <w:p w:rsidR="000A156F" w:rsidRDefault="00A9721F">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section_381cf08152f546318f61be16f4b7f9f0</w:instrText>
      </w:r>
      <w:r>
        <w:fldChar w:fldCharType="separate"/>
      </w:r>
      <w:r>
        <w:rPr>
          <w:noProof/>
        </w:rPr>
        <w:t>608</w:t>
      </w:r>
      <w:r>
        <w:fldChar w:fldCharType="end"/>
      </w:r>
    </w:p>
    <w:p w:rsidR="000A156F" w:rsidRDefault="00A9721F">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w:instrText>
      </w:r>
      <w:r>
        <w:instrText>cca242ea95afeb32b797e869</w:instrText>
      </w:r>
      <w:r>
        <w:fldChar w:fldCharType="separate"/>
      </w:r>
      <w:r>
        <w:rPr>
          <w:noProof/>
        </w:rPr>
        <w:t>484</w:t>
      </w:r>
      <w:r>
        <w:fldChar w:fldCharType="end"/>
      </w:r>
    </w:p>
    <w:p w:rsidR="000A156F" w:rsidRDefault="00A9721F">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484</w:t>
      </w:r>
      <w:r>
        <w:fldChar w:fldCharType="end"/>
      </w:r>
    </w:p>
    <w:p w:rsidR="000A156F" w:rsidRDefault="00A9721F">
      <w:pPr>
        <w:pStyle w:val="indexentry0"/>
      </w:pPr>
      <w:hyperlink w:anchor="section_43bbf55ba3b7457da526450e4bd8f136">
        <w:r>
          <w:rPr>
            <w:rStyle w:val="Hyperlink"/>
          </w:rPr>
          <w:t>PRICE</w:t>
        </w:r>
      </w:hyperlink>
      <w:r>
        <w:t xml:space="preserve"> </w:t>
      </w:r>
      <w:r>
        <w:fldChar w:fldCharType="begin"/>
      </w:r>
      <w:r>
        <w:instrText>PAGEREF section_4</w:instrText>
      </w:r>
      <w:r>
        <w:instrText>3bbf55ba3b7457da526450e4bd8f136</w:instrText>
      </w:r>
      <w:r>
        <w:fldChar w:fldCharType="separate"/>
      </w:r>
      <w:r>
        <w:rPr>
          <w:noProof/>
        </w:rPr>
        <w:t>440</w:t>
      </w:r>
      <w:r>
        <w:fldChar w:fldCharType="end"/>
      </w:r>
    </w:p>
    <w:p w:rsidR="000A156F" w:rsidRDefault="00A9721F">
      <w:pPr>
        <w:pStyle w:val="indexentry0"/>
      </w:pPr>
      <w:hyperlink w:anchor="section_cef504a96c0343388a35811de77e59b2">
        <w:r>
          <w:rPr>
            <w:rStyle w:val="Hyperlink"/>
          </w:rPr>
          <w:t>PRICEDISC</w:t>
        </w:r>
      </w:hyperlink>
      <w:r>
        <w:t xml:space="preserve"> </w:t>
      </w:r>
      <w:r>
        <w:fldChar w:fldCharType="begin"/>
      </w:r>
      <w:r>
        <w:instrText>PAGEREF section_cef504a96c0343388a35811de77e59b2</w:instrText>
      </w:r>
      <w:r>
        <w:fldChar w:fldCharType="separate"/>
      </w:r>
      <w:r>
        <w:rPr>
          <w:noProof/>
        </w:rPr>
        <w:t>441</w:t>
      </w:r>
      <w:r>
        <w:fldChar w:fldCharType="end"/>
      </w:r>
    </w:p>
    <w:p w:rsidR="000A156F" w:rsidRDefault="00A9721F">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441</w:t>
      </w:r>
      <w:r>
        <w:fldChar w:fldCharType="end"/>
      </w:r>
    </w:p>
    <w:p w:rsidR="000A156F" w:rsidRDefault="00A9721F">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218</w:t>
      </w:r>
      <w:r>
        <w:fldChar w:fldCharType="end"/>
      </w:r>
    </w:p>
    <w:p w:rsidR="000A156F" w:rsidRDefault="00A9721F">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219</w:t>
      </w:r>
      <w:r>
        <w:fldChar w:fldCharType="end"/>
      </w:r>
    </w:p>
    <w:p w:rsidR="000A156F" w:rsidRDefault="00A9721F">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61</w:t>
      </w:r>
      <w:r>
        <w:fldChar w:fldCharType="end"/>
      </w:r>
    </w:p>
    <w:p w:rsidR="000A156F" w:rsidRDefault="00A9721F">
      <w:pPr>
        <w:pStyle w:val="indexentry0"/>
      </w:pPr>
      <w:hyperlink w:anchor="section_5e58b73274f34537b4b6be33958bd32f">
        <w:r>
          <w:rPr>
            <w:rStyle w:val="Hyperlink"/>
          </w:rPr>
          <w:t>printe</w:t>
        </w:r>
        <w:r>
          <w:rPr>
            <w:rStyle w:val="Hyperlink"/>
          </w:rPr>
          <w:t>rSettings (Reference to Printer Settings Data)</w:t>
        </w:r>
      </w:hyperlink>
      <w:r>
        <w:t xml:space="preserve"> </w:t>
      </w:r>
      <w:r>
        <w:fldChar w:fldCharType="begin"/>
      </w:r>
      <w:r>
        <w:instrText>PAGEREF section_5e58b73274f34537b4b6be33958bd32f</w:instrText>
      </w:r>
      <w:r>
        <w:fldChar w:fldCharType="separate"/>
      </w:r>
      <w:r>
        <w:rPr>
          <w:noProof/>
        </w:rPr>
        <w:t>103</w:t>
      </w:r>
      <w:r>
        <w:fldChar w:fldCharType="end"/>
      </w:r>
    </w:p>
    <w:p w:rsidR="000A156F" w:rsidRDefault="00A9721F">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w:instrText>
      </w:r>
      <w:r>
        <w:instrText>e5401a8de162bf62a2d89d</w:instrText>
      </w:r>
      <w:r>
        <w:fldChar w:fldCharType="separate"/>
      </w:r>
      <w:r>
        <w:rPr>
          <w:noProof/>
        </w:rPr>
        <w:t>155</w:t>
      </w:r>
      <w:r>
        <w:fldChar w:fldCharType="end"/>
      </w:r>
    </w:p>
    <w:p w:rsidR="000A156F" w:rsidRDefault="00A9721F">
      <w:pPr>
        <w:pStyle w:val="indexentry0"/>
      </w:pPr>
      <w:hyperlink w:anchor="section_9b0dce269f9e4536ba8337b34eb3f536">
        <w:r>
          <w:rPr>
            <w:rStyle w:val="Hyperlink"/>
          </w:rPr>
          <w:t>printPostScriptOverText (Print PostScript Codes With Document Text)</w:t>
        </w:r>
      </w:hyperlink>
      <w:r>
        <w:t xml:space="preserve"> </w:t>
      </w:r>
      <w:r>
        <w:fldChar w:fldCharType="begin"/>
      </w:r>
      <w:r>
        <w:instrText>PAGEREF section_9b0dce269f9e4536ba8337b34eb3f536</w:instrText>
      </w:r>
      <w:r>
        <w:fldChar w:fldCharType="separate"/>
      </w:r>
      <w:r>
        <w:rPr>
          <w:noProof/>
        </w:rPr>
        <w:t>155</w:t>
      </w:r>
      <w:r>
        <w:fldChar w:fldCharType="end"/>
      </w:r>
    </w:p>
    <w:p w:rsidR="000A156F" w:rsidRDefault="00A9721F">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572</w:t>
      </w:r>
      <w:r>
        <w:fldChar w:fldCharType="end"/>
      </w:r>
    </w:p>
    <w:p w:rsidR="000A156F" w:rsidRDefault="00A9721F">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442</w:t>
      </w:r>
      <w:r>
        <w:fldChar w:fldCharType="end"/>
      </w:r>
    </w:p>
    <w:p w:rsidR="000A156F" w:rsidRDefault="00A9721F">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442</w:t>
      </w:r>
      <w:r>
        <w:fldChar w:fldCharType="end"/>
      </w:r>
    </w:p>
    <w:p w:rsidR="000A156F" w:rsidRDefault="00A9721F">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484</w:t>
      </w:r>
      <w:r>
        <w:fldChar w:fldCharType="end"/>
      </w:r>
    </w:p>
    <w:p w:rsidR="000A156F" w:rsidRDefault="00A9721F">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section_dd236d155c664553b1bbcdbf1680bf1b</w:instrText>
      </w:r>
      <w:r>
        <w:fldChar w:fldCharType="separate"/>
      </w:r>
      <w:r>
        <w:rPr>
          <w:noProof/>
        </w:rPr>
        <w:t>615</w:t>
      </w:r>
      <w:r>
        <w:fldChar w:fldCharType="end"/>
      </w:r>
    </w:p>
    <w:p w:rsidR="000A156F" w:rsidRDefault="00A9721F">
      <w:pPr>
        <w:pStyle w:val="indexentry0"/>
      </w:pPr>
      <w:hyperlink w:anchor="section_d162cec20b0d4de48edce1641a455d05">
        <w:r>
          <w:rPr>
            <w:rStyle w:val="Hyperlink"/>
          </w:rPr>
          <w:t>protectedRange (Protected Range)</w:t>
        </w:r>
      </w:hyperlink>
      <w:r>
        <w:t xml:space="preserve"> </w:t>
      </w:r>
      <w:r>
        <w:fldChar w:fldCharType="begin"/>
      </w:r>
      <w:r>
        <w:instrText>PAGEREF secti</w:instrText>
      </w:r>
      <w:r>
        <w:instrText>on_d162cec20b0d4de48edce1641a455d05</w:instrText>
      </w:r>
      <w:r>
        <w:fldChar w:fldCharType="separate"/>
      </w:r>
      <w:r>
        <w:rPr>
          <w:noProof/>
        </w:rPr>
        <w:t>277</w:t>
      </w:r>
      <w:r>
        <w:fldChar w:fldCharType="end"/>
      </w:r>
    </w:p>
    <w:p w:rsidR="000A156F" w:rsidRDefault="00A9721F">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310</w:t>
      </w:r>
      <w:r>
        <w:fldChar w:fldCharType="end"/>
      </w:r>
    </w:p>
    <w:p w:rsidR="000A156F" w:rsidRDefault="00A9721F">
      <w:pPr>
        <w:pStyle w:val="indexentry0"/>
      </w:pPr>
      <w:hyperlink w:anchor="section_8c074063cd93473991fdec17d2bfa679">
        <w:r>
          <w:rPr>
            <w:rStyle w:val="Hyperlink"/>
          </w:rPr>
          <w:t>protec</w:t>
        </w:r>
        <w:r>
          <w:rPr>
            <w:rStyle w:val="Hyperlink"/>
          </w:rPr>
          <w:t>tion (Protection)</w:t>
        </w:r>
      </w:hyperlink>
      <w:r>
        <w:t xml:space="preserve"> </w:t>
      </w:r>
      <w:r>
        <w:fldChar w:fldCharType="begin"/>
      </w:r>
      <w:r>
        <w:instrText>PAGEREF section_8c074063cd93473991fdec17d2bfa679</w:instrText>
      </w:r>
      <w:r>
        <w:fldChar w:fldCharType="separate"/>
      </w:r>
      <w:r>
        <w:rPr>
          <w:noProof/>
        </w:rPr>
        <w:t>572</w:t>
      </w:r>
      <w:r>
        <w:fldChar w:fldCharType="end"/>
      </w:r>
    </w:p>
    <w:p w:rsidR="000A156F" w:rsidRDefault="00A9721F">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section_5f6781486eee4abda61051e4240cbe7d</w:instrText>
      </w:r>
      <w:r>
        <w:fldChar w:fldCharType="separate"/>
      </w:r>
      <w:r>
        <w:rPr>
          <w:noProof/>
        </w:rPr>
        <w:t>677</w:t>
      </w:r>
      <w:r>
        <w:fldChar w:fldCharType="end"/>
      </w:r>
    </w:p>
    <w:p w:rsidR="000A156F" w:rsidRDefault="00A9721F">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591</w:t>
      </w:r>
      <w:r>
        <w:fldChar w:fldCharType="end"/>
      </w:r>
    </w:p>
    <w:p w:rsidR="000A156F" w:rsidRDefault="00A9721F">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502</w:t>
      </w:r>
      <w:r>
        <w:fldChar w:fldCharType="end"/>
      </w:r>
    </w:p>
    <w:p w:rsidR="000A156F" w:rsidRDefault="00A9721F">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125</w:t>
      </w:r>
      <w:r>
        <w:fldChar w:fldCharType="end"/>
      </w:r>
    </w:p>
    <w:p w:rsidR="000A156F" w:rsidRDefault="00A9721F">
      <w:pPr>
        <w:pStyle w:val="indexentry0"/>
      </w:pPr>
      <w:hyperlink w:anchor="section_116e5d7e734943748adbe53a78afa7cc">
        <w:r>
          <w:rPr>
            <w:rStyle w:val="Hyperlink"/>
          </w:rPr>
          <w:t>pStyle (Referenced Paragraph Style)</w:t>
        </w:r>
      </w:hyperlink>
      <w:r>
        <w:t xml:space="preserve"> </w:t>
      </w:r>
      <w:r>
        <w:fldChar w:fldCharType="begin"/>
      </w:r>
      <w:r>
        <w:instrText>PAGEREF section</w:instrText>
      </w:r>
      <w:r>
        <w:instrText>_116e5d7e734943748adbe53a78afa7cc</w:instrText>
      </w:r>
      <w:r>
        <w:fldChar w:fldCharType="separate"/>
      </w:r>
      <w:r>
        <w:rPr>
          <w:noProof/>
        </w:rPr>
        <w:t>65</w:t>
      </w:r>
      <w:r>
        <w:fldChar w:fldCharType="end"/>
      </w:r>
    </w:p>
    <w:p w:rsidR="000A156F" w:rsidRDefault="00A9721F">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573</w:t>
      </w:r>
      <w:r>
        <w:fldChar w:fldCharType="end"/>
      </w:r>
    </w:p>
    <w:p w:rsidR="000A156F" w:rsidRDefault="00A9721F">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591</w:t>
      </w:r>
      <w:r>
        <w:fldChar w:fldCharType="end"/>
      </w:r>
    </w:p>
    <w:p w:rsidR="000A156F" w:rsidRDefault="00A9721F">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520</w:t>
      </w:r>
      <w:r>
        <w:fldChar w:fldCharType="end"/>
      </w:r>
    </w:p>
    <w:p w:rsidR="000A156F" w:rsidRDefault="00A9721F">
      <w:pPr>
        <w:pStyle w:val="indexentry0"/>
      </w:pPr>
      <w:hyperlink w:anchor="section_a73d668fe5e64f209740a419ea6e4ea3">
        <w:r>
          <w:rPr>
            <w:rStyle w:val="Hyperlink"/>
          </w:rPr>
          <w:t>pt (St</w:t>
        </w:r>
        <w:r>
          <w:rPr>
            <w:rStyle w:val="Hyperlink"/>
          </w:rPr>
          <w:t>ring Point)</w:t>
        </w:r>
      </w:hyperlink>
      <w:r>
        <w:t xml:space="preserve"> </w:t>
      </w:r>
      <w:r>
        <w:fldChar w:fldCharType="begin"/>
      </w:r>
      <w:r>
        <w:instrText>PAGEREF section_a73d668fe5e64f209740a419ea6e4ea3</w:instrText>
      </w:r>
      <w:r>
        <w:fldChar w:fldCharType="separate"/>
      </w:r>
      <w:r>
        <w:rPr>
          <w:noProof/>
        </w:rPr>
        <w:t>573</w:t>
      </w:r>
      <w:r>
        <w:fldChar w:fldCharType="end"/>
      </w:r>
    </w:p>
    <w:p w:rsidR="000A156F" w:rsidRDefault="00A9721F">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573</w:t>
      </w:r>
      <w:r>
        <w:fldChar w:fldCharType="end"/>
      </w:r>
    </w:p>
    <w:p w:rsidR="000A156F" w:rsidRDefault="00A9721F">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861</w:t>
      </w:r>
      <w:r>
        <w:fldChar w:fldCharType="end"/>
      </w:r>
    </w:p>
    <w:p w:rsidR="000A156F" w:rsidRDefault="00A9721F">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443</w:t>
      </w:r>
      <w:r>
        <w:fldChar w:fldCharType="end"/>
      </w:r>
    </w:p>
    <w:p w:rsidR="000A156F" w:rsidRDefault="000A156F">
      <w:pPr>
        <w:spacing w:before="0" w:after="0"/>
        <w:rPr>
          <w:sz w:val="16"/>
        </w:rPr>
      </w:pPr>
    </w:p>
    <w:p w:rsidR="000A156F" w:rsidRDefault="00A9721F">
      <w:pPr>
        <w:pStyle w:val="indexheader"/>
      </w:pPr>
      <w:r>
        <w:t>Q</w:t>
      </w:r>
    </w:p>
    <w:p w:rsidR="000A156F" w:rsidRDefault="000A156F">
      <w:pPr>
        <w:spacing w:before="0" w:after="0"/>
        <w:rPr>
          <w:sz w:val="16"/>
        </w:rPr>
      </w:pPr>
    </w:p>
    <w:p w:rsidR="000A156F" w:rsidRDefault="00A9721F">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145</w:t>
      </w:r>
      <w:r>
        <w:fldChar w:fldCharType="end"/>
      </w:r>
    </w:p>
    <w:p w:rsidR="000A156F" w:rsidRDefault="00A9721F">
      <w:pPr>
        <w:pStyle w:val="indexentry0"/>
      </w:pPr>
      <w:hyperlink w:anchor="section_17df2d7dd5bd4329906b1d4b4adc0c02">
        <w:r>
          <w:rPr>
            <w:rStyle w:val="Hyperlink"/>
          </w:rPr>
          <w:t>query (Query)</w:t>
        </w:r>
      </w:hyperlink>
      <w:r>
        <w:t xml:space="preserve"> </w:t>
      </w:r>
      <w:r>
        <w:fldChar w:fldCharType="begin"/>
      </w:r>
      <w:r>
        <w:instrText>PAGEREF section_1</w:instrText>
      </w:r>
      <w:r>
        <w:instrText>7df2d7dd5bd4329906b1d4b4adc0c02</w:instrText>
      </w:r>
      <w:r>
        <w:fldChar w:fldCharType="separate"/>
      </w:r>
      <w:r>
        <w:rPr>
          <w:noProof/>
        </w:rPr>
        <w:t>354</w:t>
      </w:r>
      <w:r>
        <w:fldChar w:fldCharType="end"/>
      </w:r>
    </w:p>
    <w:p w:rsidR="000A156F" w:rsidRDefault="00A9721F">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374</w:t>
      </w:r>
      <w:r>
        <w:fldChar w:fldCharType="end"/>
      </w:r>
    </w:p>
    <w:p w:rsidR="000A156F" w:rsidRDefault="00A9721F">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375</w:t>
      </w:r>
      <w:r>
        <w:fldChar w:fldCharType="end"/>
      </w:r>
    </w:p>
    <w:p w:rsidR="000A156F" w:rsidRDefault="00A9721F">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375</w:t>
      </w:r>
      <w:r>
        <w:fldChar w:fldCharType="end"/>
      </w:r>
    </w:p>
    <w:p w:rsidR="000A156F" w:rsidRDefault="00A9721F">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855</w:t>
      </w:r>
      <w:r>
        <w:fldChar w:fldCharType="end"/>
      </w:r>
    </w:p>
    <w:p w:rsidR="000A156F" w:rsidRDefault="00A9721F">
      <w:pPr>
        <w:pStyle w:val="indexentry0"/>
      </w:pPr>
      <w:hyperlink w:anchor="section_f4b4975ae97c41cd8461fe1b08714aaa">
        <w:r>
          <w:rPr>
            <w:rStyle w:val="Hyperlink"/>
          </w:rPr>
          <w:t>QUOTE</w:t>
        </w:r>
      </w:hyperlink>
      <w:r>
        <w:t xml:space="preserve"> </w:t>
      </w:r>
      <w:r>
        <w:fldChar w:fldCharType="begin"/>
      </w:r>
      <w:r>
        <w:instrText>PAGEREF section_f4b4975ae97c41cd</w:instrText>
      </w:r>
      <w:r>
        <w:instrText>8461fe1b08714aaa</w:instrText>
      </w:r>
      <w:r>
        <w:fldChar w:fldCharType="separate"/>
      </w:r>
      <w:r>
        <w:rPr>
          <w:noProof/>
        </w:rPr>
        <w:t>219</w:t>
      </w:r>
      <w:r>
        <w:fldChar w:fldCharType="end"/>
      </w:r>
    </w:p>
    <w:p w:rsidR="000A156F" w:rsidRDefault="000A156F">
      <w:pPr>
        <w:spacing w:before="0" w:after="0"/>
        <w:rPr>
          <w:sz w:val="16"/>
        </w:rPr>
      </w:pPr>
    </w:p>
    <w:p w:rsidR="000A156F" w:rsidRDefault="00A9721F">
      <w:pPr>
        <w:pStyle w:val="indexheader"/>
      </w:pPr>
      <w:r>
        <w:t>R</w:t>
      </w:r>
    </w:p>
    <w:p w:rsidR="000A156F" w:rsidRDefault="000A156F">
      <w:pPr>
        <w:spacing w:before="0" w:after="0"/>
        <w:rPr>
          <w:sz w:val="16"/>
        </w:rPr>
      </w:pPr>
    </w:p>
    <w:p w:rsidR="000A156F" w:rsidRDefault="00A9721F">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354</w:t>
      </w:r>
      <w:r>
        <w:fldChar w:fldCharType="end"/>
      </w:r>
    </w:p>
    <w:p w:rsidR="000A156F" w:rsidRDefault="00A9721F">
      <w:pPr>
        <w:pStyle w:val="indexentry0"/>
      </w:pPr>
      <w:hyperlink w:anchor="section_2f8d7b7c53824e9e9365120a88a1eb5f">
        <w:r>
          <w:rPr>
            <w:rStyle w:val="Hyperlink"/>
          </w:rPr>
          <w:t>r (Rule)</w:t>
        </w:r>
      </w:hyperlink>
      <w:r>
        <w:t xml:space="preserve"> </w:t>
      </w:r>
      <w:r>
        <w:fldChar w:fldCharType="begin"/>
      </w:r>
      <w:r>
        <w:instrText>PAGEREF section_2f8d7b7</w:instrText>
      </w:r>
      <w:r>
        <w:instrText>c53824e9e9365120a88a1eb5f</w:instrText>
      </w:r>
      <w:r>
        <w:fldChar w:fldCharType="separate"/>
      </w:r>
      <w:r>
        <w:rPr>
          <w:noProof/>
        </w:rPr>
        <w:t>678</w:t>
      </w:r>
      <w:r>
        <w:fldChar w:fldCharType="end"/>
      </w:r>
    </w:p>
    <w:p w:rsidR="000A156F" w:rsidRDefault="00A9721F">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608</w:t>
      </w:r>
      <w:r>
        <w:fldChar w:fldCharType="end"/>
      </w:r>
    </w:p>
    <w:p w:rsidR="000A156F" w:rsidRDefault="00A9721F">
      <w:pPr>
        <w:pStyle w:val="indexentry0"/>
      </w:pPr>
      <w:r>
        <w:t>r (Text Run) (</w:t>
      </w:r>
      <w:hyperlink w:anchor="section_f2e9836a5ffa4c5d87420c7a0637b277">
        <w:r>
          <w:rPr>
            <w:rStyle w:val="Hyperlink"/>
          </w:rPr>
          <w:t>section 2.1.87</w:t>
        </w:r>
      </w:hyperlink>
      <w:r>
        <w:t xml:space="preserve"> </w:t>
      </w:r>
      <w:r>
        <w:fldChar w:fldCharType="begin"/>
      </w:r>
      <w:r>
        <w:instrText>PAGEREF sect</w:instrText>
      </w:r>
      <w:r>
        <w:instrText>ion_f2e9836a5ffa4c5d87420c7a0637b277</w:instrText>
      </w:r>
      <w:r>
        <w:fldChar w:fldCharType="separate"/>
      </w:r>
      <w:r>
        <w:rPr>
          <w:noProof/>
        </w:rPr>
        <w:t>72</w:t>
      </w:r>
      <w:r>
        <w:fldChar w:fldCharType="end"/>
      </w:r>
      <w:r>
        <w:t xml:space="preserve">, </w:t>
      </w:r>
      <w:hyperlink w:anchor="section_a58bef0cc9b542ca9bb3ebd6657a1a94">
        <w:r>
          <w:rPr>
            <w:rStyle w:val="Hyperlink"/>
          </w:rPr>
          <w:t>section 2.1.1398</w:t>
        </w:r>
      </w:hyperlink>
      <w:r>
        <w:t xml:space="preserve"> </w:t>
      </w:r>
      <w:r>
        <w:fldChar w:fldCharType="begin"/>
      </w:r>
      <w:r>
        <w:instrText>PAGEREF section_a58bef0cc9b542ca9bb3ebd6657a1a94</w:instrText>
      </w:r>
      <w:r>
        <w:fldChar w:fldCharType="separate"/>
      </w:r>
      <w:r>
        <w:rPr>
          <w:noProof/>
        </w:rPr>
        <w:t>544</w:t>
      </w:r>
      <w:r>
        <w:fldChar w:fldCharType="end"/>
      </w:r>
      <w:r>
        <w:t>)</w:t>
      </w:r>
    </w:p>
    <w:p w:rsidR="000A156F" w:rsidRDefault="00A9721F">
      <w:pPr>
        <w:pStyle w:val="indexentry0"/>
      </w:pPr>
      <w:hyperlink w:anchor="section_85f4d41ff3d649c987c1d570f55b03cb">
        <w:r>
          <w:rPr>
            <w:rStyle w:val="Hyperlink"/>
          </w:rPr>
          <w:t>R1C1 formulas</w:t>
        </w:r>
      </w:hyperlink>
      <w:r>
        <w:t xml:space="preserve"> </w:t>
      </w:r>
      <w:r>
        <w:fldChar w:fldCharType="begin"/>
      </w:r>
      <w:r>
        <w:instrText>PAGEREF section_85f4d41ff3d649c987c1d570f55b03cb</w:instrText>
      </w:r>
      <w:r>
        <w:fldChar w:fldCharType="separate"/>
      </w:r>
      <w:r>
        <w:rPr>
          <w:noProof/>
        </w:rPr>
        <w:t>850</w:t>
      </w:r>
      <w:r>
        <w:fldChar w:fldCharType="end"/>
      </w:r>
    </w:p>
    <w:p w:rsidR="000A156F" w:rsidRDefault="00A9721F">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393</w:t>
      </w:r>
      <w:r>
        <w:fldChar w:fldCharType="end"/>
      </w:r>
    </w:p>
    <w:p w:rsidR="000A156F" w:rsidRDefault="00A9721F">
      <w:pPr>
        <w:pStyle w:val="indexentry0"/>
      </w:pPr>
      <w:hyperlink w:anchor="section_2fa23caf92704a7691eafb97223fb074">
        <w:r>
          <w:rPr>
            <w:rStyle w:val="Hyperlink"/>
          </w:rPr>
          <w:t>ra</w:t>
        </w:r>
        <w:r>
          <w:rPr>
            <w:rStyle w:val="Hyperlink"/>
          </w:rPr>
          <w:t>d (Radical Object)</w:t>
        </w:r>
      </w:hyperlink>
      <w:r>
        <w:t xml:space="preserve"> </w:t>
      </w:r>
      <w:r>
        <w:fldChar w:fldCharType="begin"/>
      </w:r>
      <w:r>
        <w:instrText>PAGEREF section_2fa23caf92704a7691eafb97223fb074</w:instrText>
      </w:r>
      <w:r>
        <w:fldChar w:fldCharType="separate"/>
      </w:r>
      <w:r>
        <w:rPr>
          <w:noProof/>
        </w:rPr>
        <w:t>608</w:t>
      </w:r>
      <w:r>
        <w:fldChar w:fldCharType="end"/>
      </w:r>
    </w:p>
    <w:p w:rsidR="000A156F" w:rsidRDefault="00A9721F">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573</w:t>
      </w:r>
      <w:r>
        <w:fldChar w:fldCharType="end"/>
      </w:r>
    </w:p>
    <w:p w:rsidR="000A156F" w:rsidRDefault="00A9721F">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573</w:t>
      </w:r>
      <w:r>
        <w:fldChar w:fldCharType="end"/>
      </w:r>
    </w:p>
    <w:p w:rsidR="000A156F" w:rsidRDefault="00A9721F">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370</w:t>
      </w:r>
      <w:r>
        <w:fldChar w:fldCharType="end"/>
      </w:r>
    </w:p>
    <w:p w:rsidR="000A156F" w:rsidRDefault="00A9721F">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573</w:t>
      </w:r>
      <w:r>
        <w:fldChar w:fldCharType="end"/>
      </w:r>
    </w:p>
    <w:p w:rsidR="000A156F" w:rsidRDefault="00A9721F">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w:instrText>
      </w:r>
      <w:r>
        <w:instrText>97380dad81e6e0e</w:instrText>
      </w:r>
      <w:r>
        <w:fldChar w:fldCharType="separate"/>
      </w:r>
      <w:r>
        <w:rPr>
          <w:noProof/>
        </w:rPr>
        <w:t>354</w:t>
      </w:r>
      <w:r>
        <w:fldChar w:fldCharType="end"/>
      </w:r>
    </w:p>
    <w:p w:rsidR="000A156F" w:rsidRDefault="00A9721F">
      <w:pPr>
        <w:pStyle w:val="indexentry0"/>
      </w:pPr>
      <w:hyperlink w:anchor="section_a9b7cdf864e547c9950debe253c5c82e">
        <w:r>
          <w:rPr>
            <w:rStyle w:val="Hyperlink"/>
          </w:rPr>
          <w:t>rangeSet (Range Set)</w:t>
        </w:r>
      </w:hyperlink>
      <w:r>
        <w:t xml:space="preserve"> </w:t>
      </w:r>
      <w:r>
        <w:fldChar w:fldCharType="begin"/>
      </w:r>
      <w:r>
        <w:instrText>PAGEREF section_a9b7cdf864e547c9950debe253c5c82e</w:instrText>
      </w:r>
      <w:r>
        <w:fldChar w:fldCharType="separate"/>
      </w:r>
      <w:r>
        <w:rPr>
          <w:noProof/>
        </w:rPr>
        <w:t>355</w:t>
      </w:r>
      <w:r>
        <w:fldChar w:fldCharType="end"/>
      </w:r>
    </w:p>
    <w:p w:rsidR="000A156F" w:rsidRDefault="00A9721F">
      <w:pPr>
        <w:pStyle w:val="indexentry0"/>
      </w:pPr>
      <w:hyperlink w:anchor="section_cdea6da968434689976deed0f25b764f">
        <w:r>
          <w:rPr>
            <w:rStyle w:val="Hyperlink"/>
          </w:rPr>
          <w:t>RANK</w:t>
        </w:r>
      </w:hyperlink>
      <w:r>
        <w:t xml:space="preserve"> </w:t>
      </w:r>
      <w:r>
        <w:fldChar w:fldCharType="begin"/>
      </w:r>
      <w:r>
        <w:instrText>PAGEREF section_cdea6da9684346899</w:instrText>
      </w:r>
      <w:r>
        <w:instrText>76deed0f25b764f</w:instrText>
      </w:r>
      <w:r>
        <w:fldChar w:fldCharType="separate"/>
      </w:r>
      <w:r>
        <w:rPr>
          <w:noProof/>
        </w:rPr>
        <w:t>443</w:t>
      </w:r>
      <w:r>
        <w:fldChar w:fldCharType="end"/>
      </w:r>
    </w:p>
    <w:p w:rsidR="000A156F" w:rsidRDefault="00A9721F">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443</w:t>
      </w:r>
      <w:r>
        <w:fldChar w:fldCharType="end"/>
      </w:r>
    </w:p>
    <w:p w:rsidR="000A156F" w:rsidRDefault="00A9721F">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318</w:t>
      </w:r>
      <w:r>
        <w:fldChar w:fldCharType="end"/>
      </w:r>
    </w:p>
    <w:p w:rsidR="000A156F" w:rsidRDefault="00A9721F">
      <w:pPr>
        <w:pStyle w:val="indexentry0"/>
      </w:pPr>
      <w:hyperlink w:anchor="section_93a010b3df434cd4833aebacc1a80517">
        <w:r>
          <w:rPr>
            <w:rStyle w:val="Hyperlink"/>
          </w:rPr>
          <w:t>rcc (Revision Cell Change)</w:t>
        </w:r>
      </w:hyperlink>
      <w:r>
        <w:t xml:space="preserve"> </w:t>
      </w:r>
      <w:r>
        <w:fldChar w:fldCharType="begin"/>
      </w:r>
      <w:r>
        <w:instrText>PAGEREF section_93a010b3df434cd4833aebacc1a80517</w:instrText>
      </w:r>
      <w:r>
        <w:fldChar w:fldCharType="separate"/>
      </w:r>
      <w:r>
        <w:rPr>
          <w:noProof/>
        </w:rPr>
        <w:t>370</w:t>
      </w:r>
      <w:r>
        <w:fldChar w:fldCharType="end"/>
      </w:r>
    </w:p>
    <w:p w:rsidR="000A156F" w:rsidRDefault="00A9721F">
      <w:pPr>
        <w:pStyle w:val="indexentry0"/>
      </w:pPr>
      <w:hyperlink w:anchor="section_b551f264a701421c9a934fd7b5202aaf">
        <w:r>
          <w:rPr>
            <w:rStyle w:val="Hyperlink"/>
          </w:rPr>
          <w:t>rcft (Revision Merge Conflict)</w:t>
        </w:r>
      </w:hyperlink>
      <w:r>
        <w:t xml:space="preserve"> </w:t>
      </w:r>
      <w:r>
        <w:fldChar w:fldCharType="begin"/>
      </w:r>
      <w:r>
        <w:instrText>PAGEREF section_b551f264a701421c9a934fd7b5202aaf</w:instrText>
      </w:r>
      <w:r>
        <w:fldChar w:fldCharType="separate"/>
      </w:r>
      <w:r>
        <w:rPr>
          <w:noProof/>
        </w:rPr>
        <w:t>370</w:t>
      </w:r>
      <w:r>
        <w:fldChar w:fldCharType="end"/>
      </w:r>
    </w:p>
    <w:p w:rsidR="000A156F" w:rsidRDefault="00A9721F">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370</w:t>
      </w:r>
      <w:r>
        <w:fldChar w:fldCharType="end"/>
      </w:r>
    </w:p>
    <w:p w:rsidR="000A156F" w:rsidRDefault="00A9721F">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485</w:t>
      </w:r>
      <w:r>
        <w:fldChar w:fldCharType="end"/>
      </w:r>
    </w:p>
    <w:p w:rsidR="000A156F" w:rsidRDefault="00A9721F">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219</w:t>
      </w:r>
      <w:r>
        <w:fldChar w:fldCharType="end"/>
      </w:r>
    </w:p>
    <w:p w:rsidR="000A156F" w:rsidRDefault="00A9721F">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371</w:t>
      </w:r>
      <w:r>
        <w:fldChar w:fldCharType="end"/>
      </w:r>
    </w:p>
    <w:p w:rsidR="000A156F" w:rsidRDefault="00A9721F">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w:instrText>
      </w:r>
      <w:r>
        <w:instrText>5662a</w:instrText>
      </w:r>
      <w:r>
        <w:fldChar w:fldCharType="separate"/>
      </w:r>
      <w:r>
        <w:rPr>
          <w:noProof/>
        </w:rPr>
        <w:t>901</w:t>
      </w:r>
      <w:r>
        <w:fldChar w:fldCharType="end"/>
      </w:r>
    </w:p>
    <w:p w:rsidR="000A156F" w:rsidRDefault="00A9721F">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686</w:t>
      </w:r>
      <w:r>
        <w:fldChar w:fldCharType="end"/>
      </w:r>
    </w:p>
    <w:p w:rsidR="000A156F" w:rsidRDefault="00A9721F">
      <w:pPr>
        <w:pStyle w:val="indexentry0"/>
      </w:pPr>
      <w:hyperlink w:anchor="section_f087c56b2adf4e548719047179937cb5">
        <w:r>
          <w:rPr>
            <w:rStyle w:val="Hyperlink"/>
          </w:rPr>
          <w:t>RECEIVED</w:t>
        </w:r>
      </w:hyperlink>
      <w:r>
        <w:t xml:space="preserve"> </w:t>
      </w:r>
      <w:r>
        <w:fldChar w:fldCharType="begin"/>
      </w:r>
      <w:r>
        <w:instrText>PAGEREF section_f087c56b</w:instrText>
      </w:r>
      <w:r>
        <w:instrText>2adf4e548719047179937cb5</w:instrText>
      </w:r>
      <w:r>
        <w:fldChar w:fldCharType="separate"/>
      </w:r>
      <w:r>
        <w:rPr>
          <w:noProof/>
        </w:rPr>
        <w:t>443</w:t>
      </w:r>
      <w:r>
        <w:fldChar w:fldCharType="end"/>
      </w:r>
    </w:p>
    <w:p w:rsidR="000A156F" w:rsidRDefault="00A9721F">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789</w:t>
      </w:r>
      <w:r>
        <w:fldChar w:fldCharType="end"/>
      </w:r>
    </w:p>
    <w:p w:rsidR="000A156F" w:rsidRDefault="00A9721F">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section_b05d3137d2c64c6e9afaeb92d7ccf317</w:instrText>
      </w:r>
      <w:r>
        <w:fldChar w:fldCharType="separate"/>
      </w:r>
      <w:r>
        <w:rPr>
          <w:noProof/>
        </w:rPr>
        <w:t>145</w:t>
      </w:r>
      <w:r>
        <w:fldChar w:fldCharType="end"/>
      </w:r>
    </w:p>
    <w:p w:rsidR="000A156F" w:rsidRDefault="00A9721F">
      <w:pPr>
        <w:pStyle w:val="indexentry0"/>
      </w:pPr>
      <w:hyperlink w:anchor="section_bf48d2d283e747cfa5e797caf8346fd8">
        <w:r>
          <w:rPr>
            <w:rStyle w:val="Hyperlink"/>
          </w:rPr>
          <w:t>recipients (Inclusion/Exclusion Data for Data Source)</w:t>
        </w:r>
      </w:hyperlink>
      <w:r>
        <w:t xml:space="preserve"> </w:t>
      </w:r>
      <w:r>
        <w:fldChar w:fldCharType="begin"/>
      </w:r>
      <w:r>
        <w:instrText>PAGEREF sectio</w:instrText>
      </w:r>
      <w:r>
        <w:instrText>n_bf48d2d283e747cfa5e797caf8346fd8</w:instrText>
      </w:r>
      <w:r>
        <w:fldChar w:fldCharType="separate"/>
      </w:r>
      <w:r>
        <w:rPr>
          <w:noProof/>
        </w:rPr>
        <w:t>790</w:t>
      </w:r>
      <w:r>
        <w:fldChar w:fldCharType="end"/>
      </w:r>
    </w:p>
    <w:p w:rsidR="000A156F" w:rsidRDefault="00A9721F">
      <w:pPr>
        <w:pStyle w:val="indexentry0"/>
      </w:pPr>
      <w:hyperlink w:anchor="section_0049c89078764cd1bd6f449f22879f24">
        <w:r>
          <w:rPr>
            <w:rStyle w:val="Hyperlink"/>
          </w:rPr>
          <w:t>rect (Rectangle)</w:t>
        </w:r>
      </w:hyperlink>
      <w:r>
        <w:t xml:space="preserve"> </w:t>
      </w:r>
      <w:r>
        <w:fldChar w:fldCharType="begin"/>
      </w:r>
      <w:r>
        <w:instrText>PAGEREF section_0049c89078764cd1bd6f449f22879f24</w:instrText>
      </w:r>
      <w:r>
        <w:fldChar w:fldCharType="separate"/>
      </w:r>
      <w:r>
        <w:rPr>
          <w:noProof/>
        </w:rPr>
        <w:t>657</w:t>
      </w:r>
      <w:r>
        <w:fldChar w:fldCharType="end"/>
      </w:r>
    </w:p>
    <w:p w:rsidR="000A156F" w:rsidRDefault="00A9721F">
      <w:pPr>
        <w:pStyle w:val="indexentry0"/>
      </w:pPr>
      <w:hyperlink w:anchor="section_454329d47342475a945f2a7e23e740dd">
        <w:r>
          <w:rPr>
            <w:rStyle w:val="Hyperlink"/>
          </w:rPr>
          <w:t>Rect (Shape Text Rectangl</w:t>
        </w:r>
        <w:r>
          <w:rPr>
            <w:rStyle w:val="Hyperlink"/>
          </w:rPr>
          <w:t>e)</w:t>
        </w:r>
      </w:hyperlink>
      <w:r>
        <w:t xml:space="preserve"> </w:t>
      </w:r>
      <w:r>
        <w:fldChar w:fldCharType="begin"/>
      </w:r>
      <w:r>
        <w:instrText>PAGEREF section_454329d47342475a945f2a7e23e740dd</w:instrText>
      </w:r>
      <w:r>
        <w:fldChar w:fldCharType="separate"/>
      </w:r>
      <w:r>
        <w:rPr>
          <w:noProof/>
        </w:rPr>
        <w:t>520</w:t>
      </w:r>
      <w:r>
        <w:fldChar w:fldCharType="end"/>
      </w:r>
    </w:p>
    <w:p w:rsidR="000A156F" w:rsidRDefault="00A9721F">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502</w:t>
      </w:r>
      <w:r>
        <w:fldChar w:fldCharType="end"/>
      </w:r>
    </w:p>
    <w:p w:rsidR="000A156F" w:rsidRDefault="00A9721F">
      <w:pPr>
        <w:pStyle w:val="indexentry0"/>
      </w:pPr>
      <w:hyperlink w:anchor="section_3bbe53b4cdef4500a740b6d7db05ff8d">
        <w:r>
          <w:rPr>
            <w:rStyle w:val="Hyperlink"/>
          </w:rPr>
          <w:t>redMod (Red M</w:t>
        </w:r>
        <w:r>
          <w:rPr>
            <w:rStyle w:val="Hyperlink"/>
          </w:rPr>
          <w:t>odulation)</w:t>
        </w:r>
      </w:hyperlink>
      <w:r>
        <w:t xml:space="preserve"> </w:t>
      </w:r>
      <w:r>
        <w:fldChar w:fldCharType="begin"/>
      </w:r>
      <w:r>
        <w:instrText>PAGEREF section_3bbe53b4cdef4500a740b6d7db05ff8d</w:instrText>
      </w:r>
      <w:r>
        <w:fldChar w:fldCharType="separate"/>
      </w:r>
      <w:r>
        <w:rPr>
          <w:noProof/>
        </w:rPr>
        <w:t>502</w:t>
      </w:r>
      <w:r>
        <w:fldChar w:fldCharType="end"/>
      </w:r>
    </w:p>
    <w:p w:rsidR="000A156F" w:rsidRDefault="00A9721F">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503</w:t>
      </w:r>
      <w:r>
        <w:fldChar w:fldCharType="end"/>
      </w:r>
    </w:p>
    <w:p w:rsidR="000A156F" w:rsidRDefault="00A9721F">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219</w:t>
      </w:r>
      <w:r>
        <w:fldChar w:fldCharType="end"/>
      </w:r>
    </w:p>
    <w:p w:rsidR="000A156F" w:rsidRDefault="00A9721F">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367</w:t>
      </w:r>
      <w:r>
        <w:fldChar w:fldCharType="end"/>
      </w:r>
    </w:p>
    <w:p w:rsidR="000A156F" w:rsidRDefault="00A9721F">
      <w:pPr>
        <w:pStyle w:val="indexentry0"/>
      </w:pPr>
      <w:r>
        <w:t>References</w:t>
      </w:r>
    </w:p>
    <w:p w:rsidR="000A156F" w:rsidRDefault="00A9721F">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47</w:t>
      </w:r>
      <w:r>
        <w:fldChar w:fldCharType="end"/>
      </w:r>
    </w:p>
    <w:p w:rsidR="000A156F" w:rsidRDefault="00A9721F">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45</w:t>
      </w:r>
      <w:r>
        <w:fldChar w:fldCharType="end"/>
      </w:r>
    </w:p>
    <w:p w:rsidR="000A156F" w:rsidRDefault="00A9721F">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section_aa27ed208fbb4d95b9c53427cabd38e0</w:instrText>
      </w:r>
      <w:r>
        <w:fldChar w:fldCharType="separate"/>
      </w:r>
      <w:r>
        <w:rPr>
          <w:noProof/>
        </w:rPr>
        <w:t>518</w:t>
      </w:r>
      <w:r>
        <w:fldChar w:fldCharType="end"/>
      </w:r>
    </w:p>
    <w:p w:rsidR="000A156F" w:rsidRDefault="00A9721F">
      <w:pPr>
        <w:pStyle w:val="indexentry0"/>
      </w:pPr>
      <w:hyperlink w:anchor="section_ae0cc08c38484098b29166f68bb21916">
        <w:r>
          <w:rPr>
            <w:rStyle w:val="Hyperlink"/>
          </w:rPr>
          <w:t>rel (Diagram Relationship)</w:t>
        </w:r>
      </w:hyperlink>
      <w:r>
        <w:t xml:space="preserve"> </w:t>
      </w:r>
      <w:r>
        <w:fldChar w:fldCharType="begin"/>
      </w:r>
      <w:r>
        <w:instrText>PAGEREF section_ae0c</w:instrText>
      </w:r>
      <w:r>
        <w:instrText>c08c38484098b29166f68bb21916</w:instrText>
      </w:r>
      <w:r>
        <w:fldChar w:fldCharType="separate"/>
      </w:r>
      <w:r>
        <w:rPr>
          <w:noProof/>
        </w:rPr>
        <w:t>678</w:t>
      </w:r>
      <w:r>
        <w:fldChar w:fldCharType="end"/>
      </w:r>
    </w:p>
    <w:p w:rsidR="000A156F" w:rsidRDefault="00A9721F">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629</w:t>
      </w:r>
      <w:r>
        <w:fldChar w:fldCharType="end"/>
      </w:r>
    </w:p>
    <w:p w:rsidR="000A156F" w:rsidRDefault="00A9721F">
      <w:pPr>
        <w:pStyle w:val="indexentry0"/>
      </w:pPr>
      <w:hyperlink w:anchor="section_d5b937831c53410d860c57119b5ebcad">
        <w:r>
          <w:rPr>
            <w:rStyle w:val="Hyperlink"/>
          </w:rPr>
          <w:t xml:space="preserve">relSizeAnchor </w:t>
        </w:r>
        <w:r>
          <w:rPr>
            <w:rStyle w:val="Hyperlink"/>
          </w:rPr>
          <w:t>(Relative Anchor Shape Size)</w:t>
        </w:r>
      </w:hyperlink>
      <w:r>
        <w:t xml:space="preserve"> </w:t>
      </w:r>
      <w:r>
        <w:fldChar w:fldCharType="begin"/>
      </w:r>
      <w:r>
        <w:instrText>PAGEREF section_d5b937831c53410d860c57119b5ebcad</w:instrText>
      </w:r>
      <w:r>
        <w:fldChar w:fldCharType="separate"/>
      </w:r>
      <w:r>
        <w:rPr>
          <w:noProof/>
        </w:rPr>
        <w:t>588</w:t>
      </w:r>
      <w:r>
        <w:fldChar w:fldCharType="end"/>
      </w:r>
    </w:p>
    <w:p w:rsidR="000A156F" w:rsidRDefault="00A9721F">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444</w:t>
      </w:r>
      <w:r>
        <w:fldChar w:fldCharType="end"/>
      </w:r>
    </w:p>
    <w:p w:rsidR="000A156F" w:rsidRDefault="00A9721F">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444</w:t>
      </w:r>
      <w:r>
        <w:fldChar w:fldCharType="end"/>
      </w:r>
    </w:p>
    <w:p w:rsidR="000A156F" w:rsidRDefault="00A9721F">
      <w:pPr>
        <w:pStyle w:val="indexentry0"/>
      </w:pPr>
      <w:hyperlink w:anchor="section_96cf335c22d94dfca08a72558e12983b">
        <w:r>
          <w:rPr>
            <w:rStyle w:val="Hyperlink"/>
          </w:rPr>
          <w:t>Reserved Custom File Properties (Additional Information)</w:t>
        </w:r>
      </w:hyperlink>
      <w:r>
        <w:t xml:space="preserve"> </w:t>
      </w:r>
      <w:r>
        <w:fldChar w:fldCharType="begin"/>
      </w:r>
      <w:r>
        <w:instrText>PAGEREF section_96cf335c22d94dfca08a72558e12983b</w:instrText>
      </w:r>
      <w:r>
        <w:fldChar w:fldCharType="separate"/>
      </w:r>
      <w:r>
        <w:rPr>
          <w:noProof/>
        </w:rPr>
        <w:t>912</w:t>
      </w:r>
      <w:r>
        <w:fldChar w:fldCharType="end"/>
      </w:r>
    </w:p>
    <w:p w:rsidR="000A156F" w:rsidRDefault="00A9721F">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466</w:t>
      </w:r>
      <w:r>
        <w:fldChar w:fldCharType="end"/>
      </w:r>
    </w:p>
    <w:p w:rsidR="000A156F" w:rsidRDefault="00A9721F">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section_53ceb85bfb0c40f4af1d9feecfb64502</w:instrText>
      </w:r>
      <w:r>
        <w:fldChar w:fldCharType="separate"/>
      </w:r>
      <w:r>
        <w:rPr>
          <w:noProof/>
        </w:rPr>
        <w:t>466</w:t>
      </w:r>
      <w:r>
        <w:fldChar w:fldCharType="end"/>
      </w:r>
    </w:p>
    <w:p w:rsidR="000A156F" w:rsidRDefault="00A9721F">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372</w:t>
      </w:r>
      <w:r>
        <w:fldChar w:fldCharType="end"/>
      </w:r>
    </w:p>
    <w:p w:rsidR="000A156F" w:rsidRDefault="00A9721F">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155</w:t>
      </w:r>
      <w:r>
        <w:fldChar w:fldCharType="end"/>
      </w:r>
    </w:p>
    <w:p w:rsidR="000A156F" w:rsidRDefault="00A9721F">
      <w:pPr>
        <w:pStyle w:val="indexentry0"/>
      </w:pPr>
      <w:hyperlink w:anchor="section_a39e60af18344a42b64717ae5c794732">
        <w:r>
          <w:rPr>
            <w:rStyle w:val="Hyperlink"/>
          </w:rPr>
          <w:t>REVNUM</w:t>
        </w:r>
      </w:hyperlink>
      <w:r>
        <w:t xml:space="preserve"> </w:t>
      </w:r>
      <w:r>
        <w:fldChar w:fldCharType="begin"/>
      </w:r>
      <w:r>
        <w:instrText>PAGEREF section_a39e60af1</w:instrText>
      </w:r>
      <w:r>
        <w:instrText>8344a42b64717ae5c794732</w:instrText>
      </w:r>
      <w:r>
        <w:fldChar w:fldCharType="separate"/>
      </w:r>
      <w:r>
        <w:rPr>
          <w:noProof/>
        </w:rPr>
        <w:t>221</w:t>
      </w:r>
      <w:r>
        <w:fldChar w:fldCharType="end"/>
      </w:r>
    </w:p>
    <w:p w:rsidR="000A156F" w:rsidRDefault="00A9721F">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372</w:t>
      </w:r>
      <w:r>
        <w:fldChar w:fldCharType="end"/>
      </w:r>
    </w:p>
    <w:p w:rsidR="000A156F" w:rsidRDefault="00A9721F">
      <w:pPr>
        <w:pStyle w:val="indexentry0"/>
      </w:pPr>
      <w:hyperlink w:anchor="section_00d5905375314caaa1e4be1838a69013">
        <w:r>
          <w:rPr>
            <w:rStyle w:val="Hyperlink"/>
          </w:rPr>
          <w:t>rFont (Font)</w:t>
        </w:r>
      </w:hyperlink>
      <w:r>
        <w:t xml:space="preserve"> </w:t>
      </w:r>
      <w:r>
        <w:fldChar w:fldCharType="begin"/>
      </w:r>
      <w:r>
        <w:instrText>PAGEREF section</w:instrText>
      </w:r>
      <w:r>
        <w:instrText>_00d5905375314caaa1e4be1838a69013</w:instrText>
      </w:r>
      <w:r>
        <w:fldChar w:fldCharType="separate"/>
      </w:r>
      <w:r>
        <w:rPr>
          <w:noProof/>
        </w:rPr>
        <w:t>289</w:t>
      </w:r>
      <w:r>
        <w:fldChar w:fldCharType="end"/>
      </w:r>
    </w:p>
    <w:p w:rsidR="000A156F" w:rsidRDefault="00A9721F">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72</w:t>
      </w:r>
      <w:r>
        <w:fldChar w:fldCharType="end"/>
      </w:r>
    </w:p>
    <w:p w:rsidR="000A156F" w:rsidRDefault="00A9721F">
      <w:pPr>
        <w:pStyle w:val="indexentry0"/>
      </w:pPr>
      <w:hyperlink w:anchor="section_1ab29481720e44548836b5dc27669415">
        <w:r>
          <w:rPr>
            <w:rStyle w:val="Hyperlink"/>
          </w:rPr>
          <w:t>rgb (RGB)</w:t>
        </w:r>
      </w:hyperlink>
      <w:r>
        <w:t xml:space="preserve"> </w:t>
      </w:r>
      <w:r>
        <w:fldChar w:fldCharType="begin"/>
      </w:r>
      <w:r>
        <w:instrText>PAGEREF sect</w:instrText>
      </w:r>
      <w:r>
        <w:instrText>ion_1ab29481720e44548836b5dc27669415</w:instrText>
      </w:r>
      <w:r>
        <w:fldChar w:fldCharType="separate"/>
      </w:r>
      <w:r>
        <w:rPr>
          <w:noProof/>
        </w:rPr>
        <w:t>485</w:t>
      </w:r>
      <w:r>
        <w:fldChar w:fldCharType="end"/>
      </w:r>
    </w:p>
    <w:p w:rsidR="000A156F" w:rsidRDefault="00A9721F">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574</w:t>
      </w:r>
      <w:r>
        <w:fldChar w:fldCharType="end"/>
      </w:r>
    </w:p>
    <w:p w:rsidR="000A156F" w:rsidRDefault="00A9721F">
      <w:pPr>
        <w:pStyle w:val="indexentry0"/>
      </w:pPr>
      <w:hyperlink w:anchor="section_a6a6184fcd8d481facbd8d3c4accd982">
        <w:r>
          <w:rPr>
            <w:rStyle w:val="Hyperlink"/>
          </w:rPr>
          <w:t>RIGHT</w:t>
        </w:r>
      </w:hyperlink>
      <w:r>
        <w:t xml:space="preserve"> </w:t>
      </w:r>
      <w:r>
        <w:fldChar w:fldCharType="begin"/>
      </w:r>
      <w:r>
        <w:instrText>PAGEREF section</w:instrText>
      </w:r>
      <w:r>
        <w:instrText>_a6a6184fcd8d481facbd8d3c4accd982</w:instrText>
      </w:r>
      <w:r>
        <w:fldChar w:fldCharType="separate"/>
      </w:r>
      <w:r>
        <w:rPr>
          <w:noProof/>
        </w:rPr>
        <w:t>445</w:t>
      </w:r>
      <w:r>
        <w:fldChar w:fldCharType="end"/>
      </w:r>
    </w:p>
    <w:p w:rsidR="000A156F" w:rsidRDefault="00A9721F">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162</w:t>
      </w:r>
      <w:r>
        <w:fldChar w:fldCharType="end"/>
      </w:r>
    </w:p>
    <w:p w:rsidR="000A156F" w:rsidRDefault="00A9721F">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103</w:t>
      </w:r>
      <w:r>
        <w:fldChar w:fldCharType="end"/>
      </w:r>
    </w:p>
    <w:p w:rsidR="000A156F" w:rsidRDefault="00A9721F">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65</w:t>
      </w:r>
      <w:r>
        <w:fldChar w:fldCharType="end"/>
      </w:r>
    </w:p>
    <w:p w:rsidR="000A156F" w:rsidRDefault="00A9721F">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630</w:t>
      </w:r>
      <w:r>
        <w:fldChar w:fldCharType="end"/>
      </w:r>
    </w:p>
    <w:p w:rsidR="000A156F" w:rsidRDefault="00A9721F">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w:instrText>
      </w:r>
      <w:r>
        <w:instrText>b383ba92c961d26c88</w:instrText>
      </w:r>
      <w:r>
        <w:fldChar w:fldCharType="separate"/>
      </w:r>
      <w:r>
        <w:rPr>
          <w:noProof/>
        </w:rPr>
        <w:t>631</w:t>
      </w:r>
      <w:r>
        <w:fldChar w:fldCharType="end"/>
      </w:r>
    </w:p>
    <w:p w:rsidR="000A156F" w:rsidRDefault="00A9721F">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631</w:t>
      </w:r>
      <w:r>
        <w:fldChar w:fldCharType="end"/>
      </w:r>
    </w:p>
    <w:p w:rsidR="000A156F" w:rsidRDefault="00A9721F">
      <w:pPr>
        <w:pStyle w:val="indexentry0"/>
      </w:pPr>
      <w:hyperlink w:anchor="section_0b241c18839a41a3919405f7c1f0876a">
        <w:r>
          <w:rPr>
            <w:rStyle w:val="Hyperlink"/>
          </w:rPr>
          <w:t xml:space="preserve">right (Table </w:t>
        </w:r>
        <w:r>
          <w:rPr>
            <w:rStyle w:val="Hyperlink"/>
          </w:rPr>
          <w:t>Trailing Edge Border)</w:t>
        </w:r>
      </w:hyperlink>
      <w:r>
        <w:t xml:space="preserve"> </w:t>
      </w:r>
      <w:r>
        <w:fldChar w:fldCharType="begin"/>
      </w:r>
      <w:r>
        <w:instrText>PAGEREF section_0b241c18839a41a3919405f7c1f0876a</w:instrText>
      </w:r>
      <w:r>
        <w:fldChar w:fldCharType="separate"/>
      </w:r>
      <w:r>
        <w:rPr>
          <w:noProof/>
        </w:rPr>
        <w:t>631</w:t>
      </w:r>
      <w:r>
        <w:fldChar w:fldCharType="end"/>
      </w:r>
    </w:p>
    <w:p w:rsidR="000A156F" w:rsidRDefault="00A9721F">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678</w:t>
      </w:r>
      <w:r>
        <w:fldChar w:fldCharType="end"/>
      </w:r>
    </w:p>
    <w:p w:rsidR="000A156F" w:rsidRDefault="00A9721F">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445</w:t>
      </w:r>
      <w:r>
        <w:fldChar w:fldCharType="end"/>
      </w:r>
    </w:p>
    <w:p w:rsidR="000A156F" w:rsidRDefault="00A9721F">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372</w:t>
      </w:r>
      <w:r>
        <w:fldChar w:fldCharType="end"/>
      </w:r>
    </w:p>
    <w:p w:rsidR="000A156F" w:rsidRDefault="00A9721F">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372</w:t>
      </w:r>
      <w:r>
        <w:fldChar w:fldCharType="end"/>
      </w:r>
    </w:p>
    <w:p w:rsidR="000A156F" w:rsidRDefault="00A9721F">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445</w:t>
      </w:r>
      <w:r>
        <w:fldChar w:fldCharType="end"/>
      </w:r>
    </w:p>
    <w:p w:rsidR="000A156F" w:rsidRDefault="00A9721F">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445</w:t>
      </w:r>
      <w:r>
        <w:fldChar w:fldCharType="end"/>
      </w:r>
    </w:p>
    <w:p w:rsidR="000A156F" w:rsidRDefault="00A9721F">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519</w:t>
      </w:r>
      <w:r>
        <w:fldChar w:fldCharType="end"/>
      </w:r>
    </w:p>
    <w:p w:rsidR="000A156F" w:rsidRDefault="00A9721F">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658</w:t>
      </w:r>
      <w:r>
        <w:fldChar w:fldCharType="end"/>
      </w:r>
    </w:p>
    <w:p w:rsidR="000A156F" w:rsidRDefault="00A9721F">
      <w:pPr>
        <w:pStyle w:val="indexentry0"/>
      </w:pPr>
      <w:r>
        <w:t>row (Row) (</w:t>
      </w:r>
      <w:hyperlink w:anchor="section_5cf07e3168684d0cb0e86de69c57569f">
        <w:r>
          <w:rPr>
            <w:rStyle w:val="Hyperlink"/>
          </w:rPr>
          <w:t>section 2.1.644</w:t>
        </w:r>
      </w:hyperlink>
      <w:r>
        <w:t xml:space="preserve"> </w:t>
      </w:r>
      <w:r>
        <w:fldChar w:fldCharType="begin"/>
      </w:r>
      <w:r>
        <w:instrText>PAGEREF section_5</w:instrText>
      </w:r>
      <w:r>
        <w:instrText>cf07e3168684d0cb0e86de69c57569f</w:instrText>
      </w:r>
      <w:r>
        <w:fldChar w:fldCharType="separate"/>
      </w:r>
      <w:r>
        <w:rPr>
          <w:noProof/>
        </w:rPr>
        <w:t>279</w:t>
      </w:r>
      <w:r>
        <w:fldChar w:fldCharType="end"/>
      </w:r>
      <w:r>
        <w:t xml:space="preserve">, </w:t>
      </w:r>
      <w:hyperlink w:anchor="section_29d2ff1c1057491992a959229862218c">
        <w:r>
          <w:rPr>
            <w:rStyle w:val="Hyperlink"/>
          </w:rPr>
          <w:t>section 2.1.845</w:t>
        </w:r>
      </w:hyperlink>
      <w:r>
        <w:t xml:space="preserve"> </w:t>
      </w:r>
      <w:r>
        <w:fldChar w:fldCharType="begin"/>
      </w:r>
      <w:r>
        <w:instrText>PAGEREF section_29d2ff1c1057491992a959229862218c</w:instrText>
      </w:r>
      <w:r>
        <w:fldChar w:fldCharType="separate"/>
      </w:r>
      <w:r>
        <w:rPr>
          <w:noProof/>
        </w:rPr>
        <w:t>381</w:t>
      </w:r>
      <w:r>
        <w:fldChar w:fldCharType="end"/>
      </w:r>
      <w:r>
        <w:t xml:space="preserve">, </w:t>
      </w:r>
      <w:hyperlink w:anchor="section_049c8b2ba9994b97ace28d521d73d00c">
        <w:r>
          <w:rPr>
            <w:rStyle w:val="Hyperlink"/>
          </w:rPr>
          <w:t>section 2.1.1370</w:t>
        </w:r>
      </w:hyperlink>
      <w:r>
        <w:t xml:space="preserve"> </w:t>
      </w:r>
      <w:r>
        <w:fldChar w:fldCharType="begin"/>
      </w:r>
      <w:r>
        <w:instrText xml:space="preserve">PAGEREF </w:instrText>
      </w:r>
      <w:r>
        <w:instrText>section_049c8b2ba9994b97ace28d521d73d00c</w:instrText>
      </w:r>
      <w:r>
        <w:fldChar w:fldCharType="separate"/>
      </w:r>
      <w:r>
        <w:rPr>
          <w:noProof/>
        </w:rPr>
        <w:t>534</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844</w:t>
      </w:r>
      <w:r>
        <w:fldChar w:fldCharType="end"/>
      </w:r>
      <w:r>
        <w:t>)</w:t>
      </w:r>
    </w:p>
    <w:p w:rsidR="000A156F" w:rsidRDefault="00A9721F">
      <w:pPr>
        <w:pStyle w:val="indexentry0"/>
      </w:pPr>
      <w:hyperlink w:anchor="section_09d193ae5f884f098bc2a744a755c881">
        <w:r>
          <w:rPr>
            <w:rStyle w:val="Hyperlink"/>
          </w:rPr>
          <w:t>rowBreaks (Horiz</w:t>
        </w:r>
        <w:r>
          <w:rPr>
            <w:rStyle w:val="Hyperlink"/>
          </w:rPr>
          <w:t>ontal Page Breaks (Row))</w:t>
        </w:r>
      </w:hyperlink>
      <w:r>
        <w:t xml:space="preserve"> </w:t>
      </w:r>
      <w:r>
        <w:fldChar w:fldCharType="begin"/>
      </w:r>
      <w:r>
        <w:instrText>PAGEREF section_09d193ae5f884f098bc2a744a755c881</w:instrText>
      </w:r>
      <w:r>
        <w:fldChar w:fldCharType="separate"/>
      </w:r>
      <w:r>
        <w:rPr>
          <w:noProof/>
        </w:rPr>
        <w:t>279</w:t>
      </w:r>
      <w:r>
        <w:fldChar w:fldCharType="end"/>
      </w:r>
    </w:p>
    <w:p w:rsidR="000A156F" w:rsidRDefault="00A9721F">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687</w:t>
      </w:r>
      <w:r>
        <w:fldChar w:fldCharType="end"/>
      </w:r>
    </w:p>
    <w:p w:rsidR="000A156F" w:rsidRDefault="00A9721F">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356</w:t>
      </w:r>
      <w:r>
        <w:fldChar w:fldCharType="end"/>
      </w:r>
    </w:p>
    <w:p w:rsidR="000A156F" w:rsidRDefault="00A9721F">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section_2022337ea5034115b0da146bdcfa7a76</w:instrText>
      </w:r>
      <w:r>
        <w:fldChar w:fldCharType="separate"/>
      </w:r>
      <w:r>
        <w:rPr>
          <w:noProof/>
        </w:rPr>
        <w:t>534</w:t>
      </w:r>
      <w:r>
        <w:fldChar w:fldCharType="end"/>
      </w:r>
    </w:p>
    <w:p w:rsidR="000A156F" w:rsidRDefault="00A9721F">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445</w:t>
      </w:r>
      <w:r>
        <w:fldChar w:fldCharType="end"/>
      </w:r>
    </w:p>
    <w:p w:rsidR="000A156F" w:rsidRDefault="00A9721F">
      <w:pPr>
        <w:pStyle w:val="indexentry0"/>
      </w:pPr>
      <w:hyperlink w:anchor="section_72e63f852b6b4fa1ad68fe0187826156">
        <w:r>
          <w:rPr>
            <w:rStyle w:val="Hyperlink"/>
          </w:rPr>
          <w:t>rowSortMap (Row Sort Ma</w:t>
        </w:r>
        <w:r>
          <w:rPr>
            <w:rStyle w:val="Hyperlink"/>
          </w:rPr>
          <w:t>p)</w:t>
        </w:r>
      </w:hyperlink>
      <w:r>
        <w:t xml:space="preserve"> </w:t>
      </w:r>
      <w:r>
        <w:fldChar w:fldCharType="begin"/>
      </w:r>
      <w:r>
        <w:instrText>PAGEREF section_72e63f852b6b4fa1ad68fe0187826156</w:instrText>
      </w:r>
      <w:r>
        <w:fldChar w:fldCharType="separate"/>
      </w:r>
      <w:r>
        <w:rPr>
          <w:noProof/>
        </w:rPr>
        <w:t>844</w:t>
      </w:r>
      <w:r>
        <w:fldChar w:fldCharType="end"/>
      </w:r>
    </w:p>
    <w:p w:rsidR="000A156F" w:rsidRDefault="00A9721F">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289</w:t>
      </w:r>
      <w:r>
        <w:fldChar w:fldCharType="end"/>
      </w:r>
    </w:p>
    <w:p w:rsidR="000A156F" w:rsidRDefault="00A9721F">
      <w:pPr>
        <w:pStyle w:val="indexentry0"/>
      </w:pPr>
      <w:hyperlink w:anchor="section_ffb4a990b46f4e388db396fc13d0b0f6">
        <w:r>
          <w:rPr>
            <w:rStyle w:val="Hyperlink"/>
          </w:rPr>
          <w:t xml:space="preserve">rPr </w:t>
        </w:r>
        <w:r>
          <w:rPr>
            <w:rStyle w:val="Hyperlink"/>
          </w:rPr>
          <w:t>(Numbering Symbol Run Properties)</w:t>
        </w:r>
      </w:hyperlink>
      <w:r>
        <w:t xml:space="preserve"> </w:t>
      </w:r>
      <w:r>
        <w:fldChar w:fldCharType="begin"/>
      </w:r>
      <w:r>
        <w:instrText>PAGEREF section_ffb4a990b46f4e388db396fc13d0b0f6</w:instrText>
      </w:r>
      <w:r>
        <w:fldChar w:fldCharType="separate"/>
      </w:r>
      <w:r>
        <w:rPr>
          <w:noProof/>
        </w:rPr>
        <w:t>125</w:t>
      </w:r>
      <w:r>
        <w:fldChar w:fldCharType="end"/>
      </w:r>
    </w:p>
    <w:p w:rsidR="000A156F" w:rsidRDefault="00A9721F">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66</w:t>
      </w:r>
      <w:r>
        <w:fldChar w:fldCharType="end"/>
      </w:r>
    </w:p>
    <w:p w:rsidR="000A156F" w:rsidRDefault="00A9721F">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76</w:t>
      </w:r>
      <w:r>
        <w:fldChar w:fldCharType="end"/>
      </w:r>
    </w:p>
    <w:p w:rsidR="000A156F" w:rsidRDefault="00A9721F">
      <w:pPr>
        <w:pStyle w:val="indexentry0"/>
      </w:pPr>
      <w:hyperlink w:anchor="section_6bd198dd11e345f39c350fb448216a02">
        <w:r>
          <w:rPr>
            <w:rStyle w:val="Hyperlink"/>
          </w:rPr>
          <w:t>rPr (Run Properties For Structured Document Tag Co</w:t>
        </w:r>
        <w:r>
          <w:rPr>
            <w:rStyle w:val="Hyperlink"/>
          </w:rPr>
          <w:t>ntents)</w:t>
        </w:r>
      </w:hyperlink>
      <w:r>
        <w:t xml:space="preserve"> </w:t>
      </w:r>
      <w:r>
        <w:fldChar w:fldCharType="begin"/>
      </w:r>
      <w:r>
        <w:instrText>PAGEREF section_6bd198dd11e345f39c350fb448216a02</w:instrText>
      </w:r>
      <w:r>
        <w:fldChar w:fldCharType="separate"/>
      </w:r>
      <w:r>
        <w:rPr>
          <w:noProof/>
        </w:rPr>
        <w:t>98</w:t>
      </w:r>
      <w:r>
        <w:fldChar w:fldCharType="end"/>
      </w:r>
    </w:p>
    <w:p w:rsidR="000A156F" w:rsidRDefault="00A9721F">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65</w:t>
      </w:r>
      <w:r>
        <w:fldChar w:fldCharType="end"/>
      </w:r>
    </w:p>
    <w:p w:rsidR="000A156F" w:rsidRDefault="00A9721F">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76</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116</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section_0f36799f599e449b8d9dcd42c9c6e41f</w:instrText>
      </w:r>
      <w:r>
        <w:fldChar w:fldCharType="separate"/>
      </w:r>
      <w:r>
        <w:rPr>
          <w:noProof/>
        </w:rPr>
        <w:t>120</w:t>
      </w:r>
      <w:r>
        <w:fldChar w:fldCharType="end"/>
      </w:r>
      <w:r>
        <w:t xml:space="preserve">, </w:t>
      </w:r>
      <w:hyperlink w:anchor="section_29f6b8095f1a4b2bb65a0286a0758460">
        <w:r>
          <w:rPr>
            <w:rStyle w:val="Hyperlink"/>
          </w:rPr>
          <w:t>section 2.1.674</w:t>
        </w:r>
      </w:hyperlink>
      <w:r>
        <w:t xml:space="preserve"> </w:t>
      </w:r>
      <w:r>
        <w:fldChar w:fldCharType="begin"/>
      </w:r>
      <w:r>
        <w:instrText>PAGEREF section_29f6b8095f1a4b2bb65a0286a0758</w:instrText>
      </w:r>
      <w:r>
        <w:instrText>460</w:instrText>
      </w:r>
      <w:r>
        <w:fldChar w:fldCharType="separate"/>
      </w:r>
      <w:r>
        <w:rPr>
          <w:noProof/>
        </w:rPr>
        <w:t>289</w:t>
      </w:r>
      <w:r>
        <w:fldChar w:fldCharType="end"/>
      </w:r>
      <w:r>
        <w:t>)</w:t>
      </w:r>
    </w:p>
    <w:p w:rsidR="000A156F" w:rsidRDefault="00A9721F">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98</w:t>
      </w:r>
      <w:r>
        <w:fldChar w:fldCharType="end"/>
      </w:r>
    </w:p>
    <w:p w:rsidR="000A156F" w:rsidRDefault="00A9721F">
      <w:pPr>
        <w:pStyle w:val="indexentry0"/>
      </w:pPr>
      <w:hyperlink w:anchor="section_d0244b61fd9645f0ac847380d2b6d663">
        <w:r>
          <w:rPr>
            <w:rStyle w:val="Hyperlink"/>
          </w:rPr>
          <w:t>rPr (Table St</w:t>
        </w:r>
        <w:r>
          <w:rPr>
            <w:rStyle w:val="Hyperlink"/>
          </w:rPr>
          <w:t>yle Conditional Formatting Run Properties)</w:t>
        </w:r>
      </w:hyperlink>
      <w:r>
        <w:t xml:space="preserve"> </w:t>
      </w:r>
      <w:r>
        <w:fldChar w:fldCharType="begin"/>
      </w:r>
      <w:r>
        <w:instrText>PAGEREF section_d0244b61fd9645f0ac847380d2b6d663</w:instrText>
      </w:r>
      <w:r>
        <w:fldChar w:fldCharType="separate"/>
      </w:r>
      <w:r>
        <w:rPr>
          <w:noProof/>
        </w:rPr>
        <w:t>117</w:t>
      </w:r>
      <w:r>
        <w:fldChar w:fldCharType="end"/>
      </w:r>
    </w:p>
    <w:p w:rsidR="000A156F" w:rsidRDefault="00A9721F">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544</w:t>
      </w:r>
      <w:r>
        <w:fldChar w:fldCharType="end"/>
      </w:r>
    </w:p>
    <w:p w:rsidR="000A156F" w:rsidRDefault="00A9721F">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138</w:t>
      </w:r>
      <w:r>
        <w:fldChar w:fldCharType="end"/>
      </w:r>
    </w:p>
    <w:p w:rsidR="000A156F" w:rsidRDefault="00A9721F">
      <w:pPr>
        <w:pStyle w:val="indexentry0"/>
      </w:pPr>
      <w:hyperlink w:anchor="section_d12848504d134d5eb6cd167c00942216">
        <w:r>
          <w:rPr>
            <w:rStyle w:val="Hyperlink"/>
          </w:rPr>
          <w:t>rPrChange (Revision Info</w:t>
        </w:r>
        <w:r>
          <w:rPr>
            <w:rStyle w:val="Hyperlink"/>
          </w:rPr>
          <w:t>rmation for Run Properties)</w:t>
        </w:r>
      </w:hyperlink>
      <w:r>
        <w:t xml:space="preserve"> </w:t>
      </w:r>
      <w:r>
        <w:fldChar w:fldCharType="begin"/>
      </w:r>
      <w:r>
        <w:instrText>PAGEREF section_d12848504d134d5eb6cd167c00942216</w:instrText>
      </w:r>
      <w:r>
        <w:fldChar w:fldCharType="separate"/>
      </w:r>
      <w:r>
        <w:rPr>
          <w:noProof/>
        </w:rPr>
        <w:t>138</w:t>
      </w:r>
      <w:r>
        <w:fldChar w:fldCharType="end"/>
      </w:r>
    </w:p>
    <w:p w:rsidR="000A156F" w:rsidRDefault="00A9721F">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373</w:t>
      </w:r>
      <w:r>
        <w:fldChar w:fldCharType="end"/>
      </w:r>
    </w:p>
    <w:p w:rsidR="000A156F" w:rsidRDefault="00A9721F">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373</w:t>
      </w:r>
      <w:r>
        <w:fldChar w:fldCharType="end"/>
      </w:r>
    </w:p>
    <w:p w:rsidR="000A156F" w:rsidRDefault="00A9721F">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156</w:t>
      </w:r>
      <w:r>
        <w:fldChar w:fldCharType="end"/>
      </w:r>
    </w:p>
    <w:p w:rsidR="000A156F" w:rsidRDefault="00A9721F">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373</w:t>
      </w:r>
      <w:r>
        <w:fldChar w:fldCharType="end"/>
      </w:r>
    </w:p>
    <w:p w:rsidR="000A156F" w:rsidRDefault="00A9721F">
      <w:pPr>
        <w:pStyle w:val="indexentry0"/>
      </w:pPr>
      <w:hyperlink w:anchor="section_6895cb10962648be96906579da8c41a4">
        <w:r>
          <w:rPr>
            <w:rStyle w:val="Hyperlink"/>
          </w:rPr>
          <w:t>r</w:t>
        </w:r>
        <w:r>
          <w:rPr>
            <w:rStyle w:val="Hyperlink"/>
          </w:rPr>
          <w:t>Sp (Row Spacing (Array))</w:t>
        </w:r>
      </w:hyperlink>
      <w:r>
        <w:t xml:space="preserve"> </w:t>
      </w:r>
      <w:r>
        <w:fldChar w:fldCharType="begin"/>
      </w:r>
      <w:r>
        <w:instrText>PAGEREF section_6895cb10962648be96906579da8c41a4</w:instrText>
      </w:r>
      <w:r>
        <w:fldChar w:fldCharType="separate"/>
      </w:r>
      <w:r>
        <w:rPr>
          <w:noProof/>
        </w:rPr>
        <w:t>608</w:t>
      </w:r>
      <w:r>
        <w:fldChar w:fldCharType="end"/>
      </w:r>
    </w:p>
    <w:p w:rsidR="000A156F" w:rsidRDefault="00A9721F">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section_bc0219213f1f402abccba4d59be53942</w:instrText>
      </w:r>
      <w:r>
        <w:fldChar w:fldCharType="separate"/>
      </w:r>
      <w:r>
        <w:rPr>
          <w:noProof/>
        </w:rPr>
        <w:t>609</w:t>
      </w:r>
      <w:r>
        <w:fldChar w:fldCharType="end"/>
      </w:r>
    </w:p>
    <w:p w:rsidR="000A156F" w:rsidRDefault="00A9721F">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76</w:t>
      </w:r>
      <w:r>
        <w:fldChar w:fldCharType="end"/>
      </w:r>
    </w:p>
    <w:p w:rsidR="000A156F" w:rsidRDefault="00A9721F">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80</w:t>
      </w:r>
      <w:r>
        <w:fldChar w:fldCharType="end"/>
      </w:r>
    </w:p>
    <w:p w:rsidR="000A156F" w:rsidRDefault="00A9721F">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445</w:t>
      </w:r>
      <w:r>
        <w:fldChar w:fldCharType="end"/>
      </w:r>
    </w:p>
    <w:p w:rsidR="000A156F" w:rsidRDefault="00A9721F">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76</w:t>
      </w:r>
      <w:r>
        <w:fldChar w:fldCharType="end"/>
      </w:r>
    </w:p>
    <w:p w:rsidR="000A156F" w:rsidRDefault="00A9721F">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80</w:t>
      </w:r>
      <w:r>
        <w:fldChar w:fldCharType="end"/>
      </w:r>
    </w:p>
    <w:p w:rsidR="000A156F" w:rsidRDefault="000A156F">
      <w:pPr>
        <w:spacing w:before="0" w:after="0"/>
        <w:rPr>
          <w:sz w:val="16"/>
        </w:rPr>
      </w:pPr>
    </w:p>
    <w:p w:rsidR="000A156F" w:rsidRDefault="00A9721F">
      <w:pPr>
        <w:pStyle w:val="indexheader"/>
      </w:pPr>
      <w:r>
        <w:t>S</w:t>
      </w:r>
    </w:p>
    <w:p w:rsidR="000A156F" w:rsidRDefault="000A156F">
      <w:pPr>
        <w:spacing w:before="0" w:after="0"/>
        <w:rPr>
          <w:sz w:val="16"/>
        </w:rPr>
      </w:pPr>
    </w:p>
    <w:p w:rsidR="000A156F" w:rsidRDefault="00A9721F">
      <w:pPr>
        <w:pStyle w:val="indexentry0"/>
      </w:pPr>
      <w:r>
        <w:t>s (Character Value) (</w:t>
      </w:r>
      <w:hyperlink w:anchor="section_666f1692575a4f56a5dd705e766fdf96">
        <w:r>
          <w:rPr>
            <w:rStyle w:val="Hyperlink"/>
          </w:rPr>
          <w:t>section 2.1.794</w:t>
        </w:r>
      </w:hyperlink>
      <w:r>
        <w:t xml:space="preserve"> </w:t>
      </w:r>
      <w:r>
        <w:fldChar w:fldCharType="begin"/>
      </w:r>
      <w:r>
        <w:instrText>PAGEREF section_666f1692575a4f56a5dd705e766fdf96</w:instrText>
      </w:r>
      <w:r>
        <w:fldChar w:fldCharType="separate"/>
      </w:r>
      <w:r>
        <w:rPr>
          <w:noProof/>
        </w:rPr>
        <w:t>356</w:t>
      </w:r>
      <w:r>
        <w:fldChar w:fldCharType="end"/>
      </w:r>
      <w:r>
        <w:t xml:space="preserve">, </w:t>
      </w:r>
      <w:hyperlink w:anchor="section_a88f22503afe4d50bec546158f10b928">
        <w:r>
          <w:rPr>
            <w:rStyle w:val="Hyperlink"/>
          </w:rPr>
          <w:t>section 2.1.833</w:t>
        </w:r>
      </w:hyperlink>
      <w:r>
        <w:t xml:space="preserve"> </w:t>
      </w:r>
      <w:r>
        <w:fldChar w:fldCharType="begin"/>
      </w:r>
      <w:r>
        <w:instrText>PAGEREF section_a88f22503afe4d50bec546158f10b928</w:instrText>
      </w:r>
      <w:r>
        <w:fldChar w:fldCharType="separate"/>
      </w:r>
      <w:r>
        <w:rPr>
          <w:noProof/>
        </w:rPr>
        <w:t>378</w:t>
      </w:r>
      <w:r>
        <w:fldChar w:fldCharType="end"/>
      </w:r>
      <w:r>
        <w:t>)</w:t>
      </w:r>
    </w:p>
    <w:p w:rsidR="000A156F" w:rsidRDefault="00A9721F">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591</w:t>
      </w:r>
      <w:r>
        <w:fldChar w:fldCharType="end"/>
      </w:r>
    </w:p>
    <w:p w:rsidR="000A156F" w:rsidRDefault="00A9721F">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503</w:t>
      </w:r>
      <w:r>
        <w:fldChar w:fldCharType="end"/>
      </w:r>
    </w:p>
    <w:p w:rsidR="000A156F" w:rsidRDefault="00A9721F">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503</w:t>
      </w:r>
      <w:r>
        <w:fldChar w:fldCharType="end"/>
      </w:r>
    </w:p>
    <w:p w:rsidR="000A156F" w:rsidRDefault="00A9721F">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503</w:t>
      </w:r>
      <w:r>
        <w:fldChar w:fldCharType="end"/>
      </w:r>
    </w:p>
    <w:p w:rsidR="000A156F" w:rsidRDefault="00A9721F">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221</w:t>
      </w:r>
      <w:r>
        <w:fldChar w:fldCharType="end"/>
      </w:r>
    </w:p>
    <w:p w:rsidR="000A156F" w:rsidRDefault="00A9721F">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156</w:t>
      </w:r>
      <w:r>
        <w:fldChar w:fldCharType="end"/>
      </w:r>
    </w:p>
    <w:p w:rsidR="000A156F" w:rsidRDefault="00A9721F">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PAGEREF section_4b47b239faff4088bad3808500ee9c0f</w:instrText>
      </w:r>
      <w:r>
        <w:fldChar w:fldCharType="separate"/>
      </w:r>
      <w:r>
        <w:rPr>
          <w:noProof/>
        </w:rPr>
        <w:t>156</w:t>
      </w:r>
      <w:r>
        <w:fldChar w:fldCharType="end"/>
      </w:r>
    </w:p>
    <w:p w:rsidR="000A156F" w:rsidRDefault="00A9721F">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467</w:t>
      </w:r>
      <w:r>
        <w:fldChar w:fldCharType="end"/>
      </w:r>
    </w:p>
    <w:p w:rsidR="000A156F" w:rsidRDefault="00A9721F">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w:instrText>
      </w:r>
      <w:r>
        <w:instrText>0</w:instrText>
      </w:r>
      <w:r>
        <w:fldChar w:fldCharType="separate"/>
      </w:r>
      <w:r>
        <w:rPr>
          <w:noProof/>
        </w:rPr>
        <w:t>574</w:t>
      </w:r>
      <w:r>
        <w:fldChar w:fldCharType="end"/>
      </w:r>
    </w:p>
    <w:p w:rsidR="000A156F" w:rsidRDefault="00A9721F">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280</w:t>
      </w:r>
      <w:r>
        <w:fldChar w:fldCharType="end"/>
      </w:r>
    </w:p>
    <w:p w:rsidR="000A156F" w:rsidRDefault="00A9721F">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280</w:t>
      </w:r>
      <w:r>
        <w:fldChar w:fldCharType="end"/>
      </w:r>
    </w:p>
    <w:p w:rsidR="000A156F" w:rsidRDefault="00A9721F">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628</w:t>
      </w:r>
      <w:r>
        <w:fldChar w:fldCharType="end"/>
      </w:r>
    </w:p>
    <w:p w:rsidR="000A156F" w:rsidRDefault="00A9721F">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384</w:t>
      </w:r>
      <w:r>
        <w:fldChar w:fldCharType="end"/>
      </w:r>
    </w:p>
    <w:p w:rsidR="000A156F" w:rsidRDefault="00A9721F">
      <w:pPr>
        <w:pStyle w:val="indexentry0"/>
      </w:pPr>
      <w:hyperlink w:anchor="section_8ddc42b073c6455bb83b9e612b5ab0a6">
        <w:r>
          <w:rPr>
            <w:rStyle w:val="Hyperlink"/>
          </w:rPr>
          <w:t>scr (Script)</w:t>
        </w:r>
      </w:hyperlink>
      <w:r>
        <w:t xml:space="preserve"> </w:t>
      </w:r>
      <w:r>
        <w:fldChar w:fldCharType="begin"/>
      </w:r>
      <w:r>
        <w:instrText>PAGEREF section_8ddc42b073c6455bb83b9e612b5ab0a6</w:instrText>
      </w:r>
      <w:r>
        <w:fldChar w:fldCharType="separate"/>
      </w:r>
      <w:r>
        <w:rPr>
          <w:noProof/>
        </w:rPr>
        <w:t>609</w:t>
      </w:r>
      <w:r>
        <w:fldChar w:fldCharType="end"/>
      </w:r>
    </w:p>
    <w:p w:rsidR="000A156F" w:rsidRDefault="00A9721F">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99</w:t>
      </w:r>
      <w:r>
        <w:fldChar w:fldCharType="end"/>
      </w:r>
    </w:p>
    <w:p w:rsidR="000A156F" w:rsidRDefault="00A9721F">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w:instrText>
      </w:r>
      <w:r>
        <w:instrText>7858aec50</w:instrText>
      </w:r>
      <w:r>
        <w:fldChar w:fldCharType="separate"/>
      </w:r>
      <w:r>
        <w:rPr>
          <w:noProof/>
        </w:rPr>
        <w:t>98</w:t>
      </w:r>
      <w:r>
        <w:fldChar w:fldCharType="end"/>
      </w:r>
    </w:p>
    <w:p w:rsidR="000A156F" w:rsidRDefault="00A9721F">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98</w:t>
      </w:r>
      <w:r>
        <w:fldChar w:fldCharType="end"/>
      </w:r>
    </w:p>
    <w:p w:rsidR="000A156F" w:rsidRDefault="00A9721F">
      <w:pPr>
        <w:pStyle w:val="indexentry0"/>
      </w:pPr>
      <w:hyperlink w:anchor="section_808b32d8ad644c849fb585ad68be54b9">
        <w:r>
          <w:rPr>
            <w:rStyle w:val="Hyperlink"/>
          </w:rPr>
          <w:t>sdt (Ruby Inline-Level Stru</w:t>
        </w:r>
        <w:r>
          <w:rPr>
            <w:rStyle w:val="Hyperlink"/>
          </w:rPr>
          <w:t>ctured Document Tag)</w:t>
        </w:r>
      </w:hyperlink>
      <w:r>
        <w:t xml:space="preserve"> </w:t>
      </w:r>
      <w:r>
        <w:fldChar w:fldCharType="begin"/>
      </w:r>
      <w:r>
        <w:instrText>PAGEREF section_808b32d8ad644c849fb585ad68be54b9</w:instrText>
      </w:r>
      <w:r>
        <w:fldChar w:fldCharType="separate"/>
      </w:r>
      <w:r>
        <w:rPr>
          <w:noProof/>
        </w:rPr>
        <w:t>813</w:t>
      </w:r>
      <w:r>
        <w:fldChar w:fldCharType="end"/>
      </w:r>
    </w:p>
    <w:p w:rsidR="000A156F" w:rsidRDefault="00A9721F">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section_6be4f41f2dba418e9586a427af43e12e</w:instrText>
      </w:r>
      <w:r>
        <w:fldChar w:fldCharType="separate"/>
      </w:r>
      <w:r>
        <w:rPr>
          <w:noProof/>
        </w:rPr>
        <w:t>100</w:t>
      </w:r>
      <w:r>
        <w:fldChar w:fldCharType="end"/>
      </w:r>
    </w:p>
    <w:p w:rsidR="000A156F" w:rsidRDefault="00A9721F">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100</w:t>
      </w:r>
      <w:r>
        <w:fldChar w:fldCharType="end"/>
      </w:r>
    </w:p>
    <w:p w:rsidR="000A156F" w:rsidRDefault="00A9721F">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100</w:t>
      </w:r>
      <w:r>
        <w:fldChar w:fldCharType="end"/>
      </w:r>
    </w:p>
    <w:p w:rsidR="000A156F" w:rsidRDefault="00A9721F">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w:instrText>
      </w:r>
      <w:r>
        <w:instrText>d841cda011ded3f5c84e3a</w:instrText>
      </w:r>
      <w:r>
        <w:fldChar w:fldCharType="separate"/>
      </w:r>
      <w:r>
        <w:rPr>
          <w:noProof/>
        </w:rPr>
        <w:t>100</w:t>
      </w:r>
      <w:r>
        <w:fldChar w:fldCharType="end"/>
      </w:r>
    </w:p>
    <w:p w:rsidR="000A156F" w:rsidRDefault="00A9721F">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section_a3757e691f9b4322b17edee4d308d29e</w:instrText>
      </w:r>
      <w:r>
        <w:fldChar w:fldCharType="separate"/>
      </w:r>
      <w:r>
        <w:rPr>
          <w:noProof/>
        </w:rPr>
        <w:t>815</w:t>
      </w:r>
      <w:r>
        <w:fldChar w:fldCharType="end"/>
      </w:r>
    </w:p>
    <w:p w:rsidR="000A156F" w:rsidRDefault="00A9721F">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446</w:t>
      </w:r>
      <w:r>
        <w:fldChar w:fldCharType="end"/>
      </w:r>
    </w:p>
    <w:p w:rsidR="000A156F" w:rsidRDefault="00A9721F">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446</w:t>
      </w:r>
      <w:r>
        <w:fldChar w:fldCharType="end"/>
      </w:r>
    </w:p>
    <w:p w:rsidR="000A156F" w:rsidRDefault="00A9721F">
      <w:pPr>
        <w:pStyle w:val="indexentry0"/>
      </w:pPr>
      <w:hyperlink w:anchor="section_ada73b7e3161426f89b3ecbcc68eace0">
        <w:r>
          <w:rPr>
            <w:rStyle w:val="Hyperlink"/>
          </w:rPr>
          <w:t>se</w:t>
        </w:r>
        <w:r>
          <w:rPr>
            <w:rStyle w:val="Hyperlink"/>
          </w:rPr>
          <w:t>condPiePt (Second Pie Point)</w:t>
        </w:r>
      </w:hyperlink>
      <w:r>
        <w:t xml:space="preserve"> </w:t>
      </w:r>
      <w:r>
        <w:fldChar w:fldCharType="begin"/>
      </w:r>
      <w:r>
        <w:instrText>PAGEREF section_ada73b7e3161426f89b3ecbcc68eace0</w:instrText>
      </w:r>
      <w:r>
        <w:fldChar w:fldCharType="separate"/>
      </w:r>
      <w:r>
        <w:rPr>
          <w:noProof/>
        </w:rPr>
        <w:t>574</w:t>
      </w:r>
      <w:r>
        <w:fldChar w:fldCharType="end"/>
      </w:r>
    </w:p>
    <w:p w:rsidR="000A156F" w:rsidRDefault="00A9721F">
      <w:pPr>
        <w:pStyle w:val="indexentry0"/>
      </w:pPr>
      <w:hyperlink w:anchor="section_c4afd4cb3be247439ef6e730081add8e">
        <w:r>
          <w:rPr>
            <w:rStyle w:val="Hyperlink"/>
          </w:rPr>
          <w:t>SECTION</w:t>
        </w:r>
      </w:hyperlink>
      <w:r>
        <w:t xml:space="preserve"> </w:t>
      </w:r>
      <w:r>
        <w:fldChar w:fldCharType="begin"/>
      </w:r>
      <w:r>
        <w:instrText>PAGEREF section_c4afd4cb3be247439ef6e730081add8e</w:instrText>
      </w:r>
      <w:r>
        <w:fldChar w:fldCharType="separate"/>
      </w:r>
      <w:r>
        <w:rPr>
          <w:noProof/>
        </w:rPr>
        <w:t>221</w:t>
      </w:r>
      <w:r>
        <w:fldChar w:fldCharType="end"/>
      </w:r>
    </w:p>
    <w:p w:rsidR="000A156F" w:rsidRDefault="00A9721F">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221</w:t>
      </w:r>
      <w:r>
        <w:fldChar w:fldCharType="end"/>
      </w:r>
    </w:p>
    <w:p w:rsidR="000A156F" w:rsidRDefault="00A9721F">
      <w:pPr>
        <w:pStyle w:val="indexentry0"/>
      </w:pPr>
      <w:hyperlink w:anchor="section_ce8217a61aad45fb8e56b8c3fe411fe1">
        <w:r>
          <w:rPr>
            <w:rStyle w:val="Hyperlink"/>
          </w:rPr>
          <w:t>sectPr (Document Final Section Properties)</w:t>
        </w:r>
      </w:hyperlink>
      <w:r>
        <w:t xml:space="preserve"> </w:t>
      </w:r>
      <w:r>
        <w:fldChar w:fldCharType="begin"/>
      </w:r>
      <w:r>
        <w:instrText>PAGEREF section_ce8217</w:instrText>
      </w:r>
      <w:r>
        <w:instrText>a61aad45fb8e56b8c3fe411fe1</w:instrText>
      </w:r>
      <w:r>
        <w:fldChar w:fldCharType="separate"/>
      </w:r>
      <w:r>
        <w:rPr>
          <w:noProof/>
        </w:rPr>
        <w:t>103</w:t>
      </w:r>
      <w:r>
        <w:fldChar w:fldCharType="end"/>
      </w:r>
    </w:p>
    <w:p w:rsidR="000A156F" w:rsidRDefault="00A9721F">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104</w:t>
      </w:r>
      <w:r>
        <w:fldChar w:fldCharType="end"/>
      </w:r>
    </w:p>
    <w:p w:rsidR="000A156F" w:rsidRDefault="00A9721F">
      <w:pPr>
        <w:pStyle w:val="indexentry0"/>
      </w:pPr>
      <w:hyperlink w:anchor="section_b6dd3f0a901b4698a7d1a1be4c1eb3f5">
        <w:r>
          <w:rPr>
            <w:rStyle w:val="Hyperlink"/>
          </w:rPr>
          <w:t>sectPr (Secti</w:t>
        </w:r>
        <w:r>
          <w:rPr>
            <w:rStyle w:val="Hyperlink"/>
          </w:rPr>
          <w:t>on Properties)</w:t>
        </w:r>
      </w:hyperlink>
      <w:r>
        <w:t xml:space="preserve"> </w:t>
      </w:r>
      <w:r>
        <w:fldChar w:fldCharType="begin"/>
      </w:r>
      <w:r>
        <w:instrText>PAGEREF section_b6dd3f0a901b4698a7d1a1be4c1eb3f5</w:instrText>
      </w:r>
      <w:r>
        <w:fldChar w:fldCharType="separate"/>
      </w:r>
      <w:r>
        <w:rPr>
          <w:noProof/>
        </w:rPr>
        <w:t>103</w:t>
      </w:r>
      <w:r>
        <w:fldChar w:fldCharType="end"/>
      </w:r>
    </w:p>
    <w:p w:rsidR="000A156F" w:rsidRDefault="00A9721F">
      <w:pPr>
        <w:pStyle w:val="indexentry0"/>
      </w:pPr>
      <w:hyperlink w:anchor="section_ab7b2013909a41d795d945a910802bd7">
        <w:r>
          <w:rPr>
            <w:rStyle w:val="Hyperlink"/>
          </w:rPr>
          <w:t>sectPrChange (Revision Information for Section Properties)</w:t>
        </w:r>
      </w:hyperlink>
      <w:r>
        <w:t xml:space="preserve"> </w:t>
      </w:r>
      <w:r>
        <w:fldChar w:fldCharType="begin"/>
      </w:r>
      <w:r>
        <w:instrText>PAGEREF section_ab7b2013909a41d795d945a910802bd7</w:instrText>
      </w:r>
      <w:r>
        <w:fldChar w:fldCharType="separate"/>
      </w:r>
      <w:r>
        <w:rPr>
          <w:noProof/>
        </w:rPr>
        <w:t>138</w:t>
      </w:r>
      <w:r>
        <w:fldChar w:fldCharType="end"/>
      </w:r>
    </w:p>
    <w:p w:rsidR="000A156F" w:rsidRDefault="00A9721F">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280</w:t>
      </w:r>
      <w:r>
        <w:fldChar w:fldCharType="end"/>
      </w:r>
    </w:p>
    <w:p w:rsidR="000A156F" w:rsidRDefault="00A9721F">
      <w:pPr>
        <w:pStyle w:val="indexentry0"/>
      </w:pPr>
      <w:hyperlink w:anchor="section_d958b467c9464f32aecf9f7b27a28fc5">
        <w:r>
          <w:rPr>
            <w:rStyle w:val="Hyperlink"/>
          </w:rPr>
          <w:t>selection (Selection)</w:t>
        </w:r>
      </w:hyperlink>
      <w:r>
        <w:t xml:space="preserve"> </w:t>
      </w:r>
      <w:r>
        <w:fldChar w:fldCharType="begin"/>
      </w:r>
      <w:r>
        <w:instrText>PAGEREF section</w:instrText>
      </w:r>
      <w:r>
        <w:instrText>_d958b467c9464f32aecf9f7b27a28fc5</w:instrText>
      </w:r>
      <w:r>
        <w:fldChar w:fldCharType="separate"/>
      </w:r>
      <w:r>
        <w:rPr>
          <w:noProof/>
        </w:rPr>
        <w:t>281</w:t>
      </w:r>
      <w:r>
        <w:fldChar w:fldCharType="end"/>
      </w:r>
    </w:p>
    <w:p w:rsidR="000A156F" w:rsidRDefault="00A9721F">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858</w:t>
      </w:r>
      <w:r>
        <w:fldChar w:fldCharType="end"/>
      </w:r>
    </w:p>
    <w:p w:rsidR="000A156F" w:rsidRDefault="00A9721F">
      <w:pPr>
        <w:pStyle w:val="indexentry0"/>
      </w:pPr>
      <w:hyperlink w:anchor="section_85388ac6fb554017828c2680e3ab22ba">
        <w:r>
          <w:rPr>
            <w:rStyle w:val="Hyperlink"/>
          </w:rPr>
          <w:t>Sensitiv</w:t>
        </w:r>
        <w:r>
          <w:rPr>
            <w:rStyle w:val="Hyperlink"/>
          </w:rPr>
          <w:t>ity Label Properties</w:t>
        </w:r>
      </w:hyperlink>
      <w:r>
        <w:t xml:space="preserve"> </w:t>
      </w:r>
      <w:r>
        <w:fldChar w:fldCharType="begin"/>
      </w:r>
      <w:r>
        <w:instrText>PAGEREF section_85388ac6fb554017828c2680e3ab22ba</w:instrText>
      </w:r>
      <w:r>
        <w:fldChar w:fldCharType="separate"/>
      </w:r>
      <w:r>
        <w:rPr>
          <w:noProof/>
        </w:rPr>
        <w:t>912</w:t>
      </w:r>
      <w:r>
        <w:fldChar w:fldCharType="end"/>
      </w:r>
    </w:p>
    <w:p w:rsidR="000A156F" w:rsidRDefault="00A9721F">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574</w:t>
      </w:r>
      <w:r>
        <w:fldChar w:fldCharType="end"/>
      </w:r>
    </w:p>
    <w:p w:rsidR="000A156F" w:rsidRDefault="00A9721F">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221</w:t>
      </w:r>
      <w:r>
        <w:fldChar w:fldCharType="end"/>
      </w:r>
    </w:p>
    <w:p w:rsidR="000A156F" w:rsidRDefault="00A9721F">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485</w:t>
      </w:r>
      <w:r>
        <w:fldChar w:fldCharType="end"/>
      </w:r>
    </w:p>
    <w:p w:rsidR="000A156F" w:rsidRDefault="00A9721F">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section_3eecdd275cd04745bf738025f834a3bd</w:instrText>
      </w:r>
      <w:r>
        <w:fldChar w:fldCharType="separate"/>
      </w:r>
      <w:r>
        <w:rPr>
          <w:noProof/>
        </w:rPr>
        <w:t>574</w:t>
      </w:r>
      <w:r>
        <w:fldChar w:fldCharType="end"/>
      </w:r>
    </w:p>
    <w:p w:rsidR="000A156F" w:rsidRDefault="00A9721F">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575</w:t>
      </w:r>
      <w:r>
        <w:fldChar w:fldCharType="end"/>
      </w:r>
    </w:p>
    <w:p w:rsidR="000A156F" w:rsidRDefault="00A9721F">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575</w:t>
      </w:r>
      <w:r>
        <w:fldChar w:fldCharType="end"/>
      </w:r>
    </w:p>
    <w:p w:rsidR="000A156F" w:rsidRDefault="00A9721F">
      <w:pPr>
        <w:pStyle w:val="indexentry0"/>
      </w:pPr>
      <w:hyperlink w:anchor="section_578d597b6a684e39a980bc2897aa728e">
        <w:r>
          <w:rPr>
            <w:rStyle w:val="Hyperlink"/>
          </w:rPr>
          <w:t>ser (Line Chart Series)</w:t>
        </w:r>
      </w:hyperlink>
      <w:r>
        <w:t xml:space="preserve"> </w:t>
      </w:r>
      <w:r>
        <w:fldChar w:fldCharType="begin"/>
      </w:r>
      <w:r>
        <w:instrText>PAGEREF section_578d597b6a68</w:instrText>
      </w:r>
      <w:r>
        <w:instrText>4e39a980bc2897aa728e</w:instrText>
      </w:r>
      <w:r>
        <w:fldChar w:fldCharType="separate"/>
      </w:r>
      <w:r>
        <w:rPr>
          <w:noProof/>
        </w:rPr>
        <w:t>575</w:t>
      </w:r>
      <w:r>
        <w:fldChar w:fldCharType="end"/>
      </w:r>
    </w:p>
    <w:p w:rsidR="000A156F" w:rsidRDefault="00A9721F">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section_b585b8c605e644d9998ff52943ad40ef</w:instrText>
      </w:r>
      <w:r>
        <w:fldChar w:fldCharType="separate"/>
      </w:r>
      <w:r>
        <w:rPr>
          <w:noProof/>
        </w:rPr>
        <w:t>575</w:t>
      </w:r>
      <w:r>
        <w:fldChar w:fldCharType="end"/>
      </w:r>
    </w:p>
    <w:p w:rsidR="000A156F" w:rsidRDefault="00A9721F">
      <w:pPr>
        <w:pStyle w:val="indexentry0"/>
      </w:pPr>
      <w:hyperlink w:anchor="section_5dd6d57728244f22939485f6c5e4ab13">
        <w:r>
          <w:rPr>
            <w:rStyle w:val="Hyperlink"/>
          </w:rPr>
          <w:t>ser (Radar Chart Series)</w:t>
        </w:r>
      </w:hyperlink>
      <w:r>
        <w:t xml:space="preserve"> </w:t>
      </w:r>
      <w:r>
        <w:fldChar w:fldCharType="begin"/>
      </w:r>
      <w:r>
        <w:instrText>PAGERE</w:instrText>
      </w:r>
      <w:r>
        <w:instrText>F section_5dd6d57728244f22939485f6c5e4ab13</w:instrText>
      </w:r>
      <w:r>
        <w:fldChar w:fldCharType="separate"/>
      </w:r>
      <w:r>
        <w:rPr>
          <w:noProof/>
        </w:rPr>
        <w:t>575</w:t>
      </w:r>
      <w:r>
        <w:fldChar w:fldCharType="end"/>
      </w:r>
    </w:p>
    <w:p w:rsidR="000A156F" w:rsidRDefault="00A9721F">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574</w:t>
      </w:r>
      <w:r>
        <w:fldChar w:fldCharType="end"/>
      </w:r>
    </w:p>
    <w:p w:rsidR="000A156F" w:rsidRDefault="00A9721F">
      <w:pPr>
        <w:pStyle w:val="indexentry0"/>
      </w:pPr>
      <w:hyperlink w:anchor="section_148a97b98f4e4289bbf9e01ca98276fd">
        <w:r>
          <w:rPr>
            <w:rStyle w:val="Hyperlink"/>
          </w:rPr>
          <w:t>serAx (</w:t>
        </w:r>
        <w:r>
          <w:rPr>
            <w:rStyle w:val="Hyperlink"/>
          </w:rPr>
          <w:t>Series Axis)</w:t>
        </w:r>
      </w:hyperlink>
      <w:r>
        <w:t xml:space="preserve"> </w:t>
      </w:r>
      <w:r>
        <w:fldChar w:fldCharType="begin"/>
      </w:r>
      <w:r>
        <w:instrText>PAGEREF section_148a97b98f4e4289bbf9e01ca98276fd</w:instrText>
      </w:r>
      <w:r>
        <w:fldChar w:fldCharType="separate"/>
      </w:r>
      <w:r>
        <w:rPr>
          <w:noProof/>
        </w:rPr>
        <w:t>575</w:t>
      </w:r>
      <w:r>
        <w:fldChar w:fldCharType="end"/>
      </w:r>
    </w:p>
    <w:p w:rsidR="000A156F" w:rsidRDefault="00A9721F">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446</w:t>
      </w:r>
      <w:r>
        <w:fldChar w:fldCharType="end"/>
      </w:r>
    </w:p>
    <w:p w:rsidR="000A156F" w:rsidRDefault="00A9721F">
      <w:pPr>
        <w:pStyle w:val="indexentry0"/>
      </w:pPr>
      <w:hyperlink w:anchor="section_446ec2e628874179aa9c4c4e8ff79873">
        <w:r>
          <w:rPr>
            <w:rStyle w:val="Hyperlink"/>
          </w:rPr>
          <w:t>ser</w:t>
        </w:r>
        <w:r>
          <w:rPr>
            <w:rStyle w:val="Hyperlink"/>
          </w:rPr>
          <w:t>Lines (Series Lines)</w:t>
        </w:r>
      </w:hyperlink>
      <w:r>
        <w:t xml:space="preserve"> </w:t>
      </w:r>
      <w:r>
        <w:fldChar w:fldCharType="begin"/>
      </w:r>
      <w:r>
        <w:instrText>PAGEREF section_446ec2e628874179aa9c4c4e8ff79873</w:instrText>
      </w:r>
      <w:r>
        <w:fldChar w:fldCharType="separate"/>
      </w:r>
      <w:r>
        <w:rPr>
          <w:noProof/>
        </w:rPr>
        <w:t>576</w:t>
      </w:r>
      <w:r>
        <w:fldChar w:fldCharType="end"/>
      </w:r>
    </w:p>
    <w:p w:rsidR="000A156F" w:rsidRDefault="00A9721F">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section_19b9ace7dba048ac9112554150c1563a</w:instrText>
      </w:r>
      <w:r>
        <w:fldChar w:fldCharType="separate"/>
      </w:r>
      <w:r>
        <w:rPr>
          <w:noProof/>
        </w:rPr>
        <w:t>357</w:t>
      </w:r>
      <w:r>
        <w:fldChar w:fldCharType="end"/>
      </w:r>
    </w:p>
    <w:p w:rsidR="000A156F" w:rsidRDefault="00A9721F">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364</w:t>
      </w:r>
      <w:r>
        <w:fldChar w:fldCharType="end"/>
      </w:r>
    </w:p>
    <w:p w:rsidR="000A156F" w:rsidRDefault="00A9721F">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485</w:t>
      </w:r>
      <w:r>
        <w:fldChar w:fldCharType="end"/>
      </w:r>
    </w:p>
    <w:p w:rsidR="000A156F" w:rsidRDefault="00A9721F">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892</w:t>
      </w:r>
      <w:r>
        <w:fldChar w:fldCharType="end"/>
      </w:r>
    </w:p>
    <w:p w:rsidR="000A156F" w:rsidRDefault="00A9721F">
      <w:pPr>
        <w:pStyle w:val="indexentry0"/>
      </w:pPr>
      <w:hyperlink w:anchor="section_948409b090f74b6a85ee2e3eefa3d0fd">
        <w:r>
          <w:rPr>
            <w:rStyle w:val="Hyperlink"/>
          </w:rPr>
          <w:t>shade (Shade)</w:t>
        </w:r>
      </w:hyperlink>
      <w:r>
        <w:t xml:space="preserve"> </w:t>
      </w:r>
      <w:r>
        <w:fldChar w:fldCharType="begin"/>
      </w:r>
      <w:r>
        <w:instrText>PAGEREF section_948409b090f74b6a85ee2e3eefa3d</w:instrText>
      </w:r>
      <w:r>
        <w:instrText>0fd</w:instrText>
      </w:r>
      <w:r>
        <w:fldChar w:fldCharType="separate"/>
      </w:r>
      <w:r>
        <w:rPr>
          <w:noProof/>
        </w:rPr>
        <w:t>504</w:t>
      </w:r>
      <w:r>
        <w:fldChar w:fldCharType="end"/>
      </w:r>
    </w:p>
    <w:p w:rsidR="000A156F" w:rsidRDefault="00A9721F">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658</w:t>
      </w:r>
      <w:r>
        <w:fldChar w:fldCharType="end"/>
      </w:r>
    </w:p>
    <w:p w:rsidR="000A156F" w:rsidRDefault="00A9721F">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77</w:t>
      </w:r>
      <w:r>
        <w:fldChar w:fldCharType="end"/>
      </w:r>
    </w:p>
    <w:p w:rsidR="000A156F" w:rsidRDefault="00A9721F">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823</w:t>
      </w:r>
      <w:r>
        <w:fldChar w:fldCharType="end"/>
      </w:r>
    </w:p>
    <w:p w:rsidR="000A156F" w:rsidRDefault="00A9721F">
      <w:pPr>
        <w:pStyle w:val="indexentry0"/>
      </w:pPr>
      <w:hyperlink w:anchor="section_c0c046eca61d405d88fe74d8487a37d7">
        <w:r>
          <w:rPr>
            <w:rStyle w:val="Hyperlink"/>
          </w:rPr>
          <w:t>Shape - Fills - Effect</w:t>
        </w:r>
        <w:r>
          <w:rPr>
            <w:rStyle w:val="Hyperlink"/>
          </w:rPr>
          <w:t>s and Line Properties</w:t>
        </w:r>
      </w:hyperlink>
      <w:r>
        <w:t xml:space="preserve"> </w:t>
      </w:r>
      <w:r>
        <w:fldChar w:fldCharType="begin"/>
      </w:r>
      <w:r>
        <w:instrText>PAGEREF section_c0c046eca61d405d88fe74d8487a37d7</w:instrText>
      </w:r>
      <w:r>
        <w:fldChar w:fldCharType="separate"/>
      </w:r>
      <w:r>
        <w:rPr>
          <w:noProof/>
        </w:rPr>
        <w:t>513</w:t>
      </w:r>
      <w:r>
        <w:fldChar w:fldCharType="end"/>
      </w:r>
    </w:p>
    <w:p w:rsidR="000A156F" w:rsidRDefault="00A9721F">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659</w:t>
      </w:r>
      <w:r>
        <w:fldChar w:fldCharType="end"/>
      </w:r>
    </w:p>
    <w:p w:rsidR="000A156F" w:rsidRDefault="00A9721F">
      <w:pPr>
        <w:pStyle w:val="indexentry0"/>
      </w:pPr>
      <w:r>
        <w:t>shape (Shape) (</w:t>
      </w:r>
      <w:hyperlink w:anchor="section_064f48d37de64d57ac6b6deec7c01b6c">
        <w:r>
          <w:rPr>
            <w:rStyle w:val="Hyperlink"/>
          </w:rPr>
          <w:t>section 2.1.1546</w:t>
        </w:r>
      </w:hyperlink>
      <w:r>
        <w:t xml:space="preserve"> </w:t>
      </w:r>
      <w:r>
        <w:fldChar w:fldCharType="begin"/>
      </w:r>
      <w:r>
        <w:instrText>PAGEREF section_064f48d37de64d57ac6b6deec7c01b6c</w:instrText>
      </w:r>
      <w:r>
        <w:fldChar w:fldCharType="separate"/>
      </w:r>
      <w:r>
        <w:rPr>
          <w:noProof/>
        </w:rPr>
        <w:t>576</w:t>
      </w:r>
      <w:r>
        <w:fldChar w:fldCharType="end"/>
      </w:r>
      <w:r>
        <w:t xml:space="preserve">, </w:t>
      </w:r>
      <w:hyperlink w:anchor="section_448f4ba77be242509af1a1e80d2cfc02">
        <w:r>
          <w:rPr>
            <w:rStyle w:val="Hyperlink"/>
          </w:rPr>
          <w:t>section 2.1.1621</w:t>
        </w:r>
      </w:hyperlink>
      <w:r>
        <w:t xml:space="preserve"> </w:t>
      </w:r>
      <w:r>
        <w:fldChar w:fldCharType="begin"/>
      </w:r>
      <w:r>
        <w:instrText>PAGEREF section_448f4ba77be242509af1a1e80d2cfc02</w:instrText>
      </w:r>
      <w:r>
        <w:fldChar w:fldCharType="separate"/>
      </w:r>
      <w:r>
        <w:rPr>
          <w:noProof/>
        </w:rPr>
        <w:t>591</w:t>
      </w:r>
      <w:r>
        <w:fldChar w:fldCharType="end"/>
      </w:r>
      <w:r>
        <w:t>)</w:t>
      </w:r>
    </w:p>
    <w:p w:rsidR="000A156F" w:rsidRDefault="00A9721F">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635</w:t>
      </w:r>
      <w:r>
        <w:fldChar w:fldCharType="end"/>
      </w:r>
    </w:p>
    <w:p w:rsidR="000A156F" w:rsidRDefault="00A9721F">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679</w:t>
      </w:r>
      <w:r>
        <w:fldChar w:fldCharType="end"/>
      </w:r>
    </w:p>
    <w:p w:rsidR="000A156F" w:rsidRDefault="00A9721F">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679</w:t>
      </w:r>
      <w:r>
        <w:fldChar w:fldCharType="end"/>
      </w:r>
    </w:p>
    <w:p w:rsidR="000A156F" w:rsidRDefault="00A9721F">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661</w:t>
      </w:r>
      <w:r>
        <w:fldChar w:fldCharType="end"/>
      </w:r>
    </w:p>
    <w:p w:rsidR="000A156F" w:rsidRDefault="00A9721F">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w:instrText>
      </w:r>
      <w:r>
        <w:instrText>e632fa63cd0536c</w:instrText>
      </w:r>
      <w:r>
        <w:fldChar w:fldCharType="separate"/>
      </w:r>
      <w:r>
        <w:rPr>
          <w:noProof/>
        </w:rPr>
        <w:t>854</w:t>
      </w:r>
      <w:r>
        <w:fldChar w:fldCharType="end"/>
      </w:r>
    </w:p>
    <w:p w:rsidR="000A156F" w:rsidRDefault="00A9721F">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866</w:t>
      </w:r>
      <w:r>
        <w:fldChar w:fldCharType="end"/>
      </w:r>
    </w:p>
    <w:p w:rsidR="000A156F" w:rsidRDefault="00A9721F">
      <w:pPr>
        <w:pStyle w:val="indexentry0"/>
      </w:pPr>
      <w:hyperlink w:anchor="section_4c51186afa0e45b39882fef8b3388cab">
        <w:r>
          <w:rPr>
            <w:rStyle w:val="Hyperlink"/>
          </w:rPr>
          <w:t>Shared Reserved Prop</w:t>
        </w:r>
        <w:r>
          <w:rPr>
            <w:rStyle w:val="Hyperlink"/>
          </w:rPr>
          <w:t>erties</w:t>
        </w:r>
      </w:hyperlink>
      <w:r>
        <w:t xml:space="preserve"> </w:t>
      </w:r>
      <w:r>
        <w:fldChar w:fldCharType="begin"/>
      </w:r>
      <w:r>
        <w:instrText>PAGEREF section_4c51186afa0e45b39882fef8b3388cab</w:instrText>
      </w:r>
      <w:r>
        <w:fldChar w:fldCharType="separate"/>
      </w:r>
      <w:r>
        <w:rPr>
          <w:noProof/>
        </w:rPr>
        <w:t>912</w:t>
      </w:r>
      <w:r>
        <w:fldChar w:fldCharType="end"/>
      </w:r>
    </w:p>
    <w:p w:rsidR="000A156F" w:rsidRDefault="00A9721F">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364</w:t>
      </w:r>
      <w:r>
        <w:fldChar w:fldCharType="end"/>
      </w:r>
    </w:p>
    <w:p w:rsidR="000A156F" w:rsidRDefault="00A9721F">
      <w:pPr>
        <w:pStyle w:val="indexentry0"/>
      </w:pPr>
      <w:hyperlink w:anchor="section_2d785b76be0f4a43a7b8eed4f5bd5206">
        <w:r>
          <w:rPr>
            <w:rStyle w:val="Hyperlink"/>
          </w:rPr>
          <w:t>SharePoint Premium High Value Content Solution</w:t>
        </w:r>
      </w:hyperlink>
      <w:r>
        <w:t xml:space="preserve"> </w:t>
      </w:r>
      <w:r>
        <w:fldChar w:fldCharType="begin"/>
      </w:r>
      <w:r>
        <w:instrText>PAGEREF section_2d785b76be0f4a43a7b8eed4f5bd5206</w:instrText>
      </w:r>
      <w:r>
        <w:fldChar w:fldCharType="separate"/>
      </w:r>
      <w:r>
        <w:rPr>
          <w:noProof/>
        </w:rPr>
        <w:t>881</w:t>
      </w:r>
      <w:r>
        <w:fldChar w:fldCharType="end"/>
      </w:r>
    </w:p>
    <w:p w:rsidR="000A156F" w:rsidRDefault="00A9721F">
      <w:pPr>
        <w:pStyle w:val="indexentry0"/>
      </w:pPr>
      <w:hyperlink w:anchor="section_9fcd1e515d0e4d1db2815eec4336ced4">
        <w:r>
          <w:rPr>
            <w:rStyle w:val="Hyperlink"/>
          </w:rPr>
          <w:t>SharePoint Premium High Value Content Solution Schema</w:t>
        </w:r>
      </w:hyperlink>
      <w:r>
        <w:t xml:space="preserve"> </w:t>
      </w:r>
      <w:r>
        <w:fldChar w:fldCharType="begin"/>
      </w:r>
      <w:r>
        <w:instrText>PAGEREF section_9fcd1e515d0e4d</w:instrText>
      </w:r>
      <w:r>
        <w:instrText>1db2815eec4336ced4</w:instrText>
      </w:r>
      <w:r>
        <w:fldChar w:fldCharType="separate"/>
      </w:r>
      <w:r>
        <w:rPr>
          <w:noProof/>
        </w:rPr>
        <w:t>881</w:t>
      </w:r>
      <w:r>
        <w:fldChar w:fldCharType="end"/>
      </w:r>
    </w:p>
    <w:p w:rsidR="000A156F" w:rsidRDefault="00A9721F">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section_0401ba7548d24372a50f7726fe318b65</w:instrText>
      </w:r>
      <w:r>
        <w:fldChar w:fldCharType="separate"/>
      </w:r>
      <w:r>
        <w:rPr>
          <w:noProof/>
        </w:rPr>
        <w:t>66</w:t>
      </w:r>
      <w:r>
        <w:fldChar w:fldCharType="end"/>
      </w:r>
    </w:p>
    <w:p w:rsidR="000A156F" w:rsidRDefault="00A9721F">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77</w:t>
      </w:r>
      <w:r>
        <w:fldChar w:fldCharType="end"/>
      </w:r>
    </w:p>
    <w:p w:rsidR="000A156F" w:rsidRDefault="00A9721F">
      <w:pPr>
        <w:pStyle w:val="indexentry0"/>
      </w:pPr>
      <w:hyperlink w:anchor="section_4f0cccae70c2492abc943ccc39172119">
        <w:r>
          <w:rPr>
            <w:rStyle w:val="Hyperlink"/>
          </w:rPr>
          <w:t>shd (Table Cell Shading)</w:t>
        </w:r>
      </w:hyperlink>
      <w:r>
        <w:t xml:space="preserve"> </w:t>
      </w:r>
      <w:r>
        <w:fldChar w:fldCharType="begin"/>
      </w:r>
      <w:r>
        <w:instrText>PAGEREF section_4f0cccae70c2492abc943ccc39172119</w:instrText>
      </w:r>
      <w:r>
        <w:fldChar w:fldCharType="separate"/>
      </w:r>
      <w:r>
        <w:rPr>
          <w:noProof/>
        </w:rPr>
        <w:t>84</w:t>
      </w:r>
      <w:r>
        <w:fldChar w:fldCharType="end"/>
      </w:r>
    </w:p>
    <w:p w:rsidR="000A156F" w:rsidRDefault="00A9721F">
      <w:pPr>
        <w:pStyle w:val="indexentry0"/>
      </w:pPr>
      <w:hyperlink w:anchor="section_a7c8261dea1c4fc6a131fc0e48c5176e">
        <w:r>
          <w:rPr>
            <w:rStyle w:val="Hyperlink"/>
          </w:rPr>
          <w:t>shd</w:t>
        </w:r>
        <w:r>
          <w:rPr>
            <w:rStyle w:val="Hyperlink"/>
          </w:rPr>
          <w:t xml:space="preserve"> (Table Shading Exception)</w:t>
        </w:r>
      </w:hyperlink>
      <w:r>
        <w:t xml:space="preserve"> </w:t>
      </w:r>
      <w:r>
        <w:fldChar w:fldCharType="begin"/>
      </w:r>
      <w:r>
        <w:instrText>PAGEREF section_a7c8261dea1c4fc6a131fc0e48c5176e</w:instrText>
      </w:r>
      <w:r>
        <w:fldChar w:fldCharType="separate"/>
      </w:r>
      <w:r>
        <w:rPr>
          <w:noProof/>
        </w:rPr>
        <w:t>84</w:t>
      </w:r>
      <w:r>
        <w:fldChar w:fldCharType="end"/>
      </w:r>
    </w:p>
    <w:p w:rsidR="000A156F" w:rsidRDefault="00A9721F">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84</w:t>
      </w:r>
      <w:r>
        <w:fldChar w:fldCharType="end"/>
      </w:r>
    </w:p>
    <w:p w:rsidR="000A156F" w:rsidRDefault="00A9721F">
      <w:pPr>
        <w:pStyle w:val="indexentry0"/>
      </w:pPr>
      <w:hyperlink w:anchor="section_ebf12ea52bb44af5ab26563f22d3f895">
        <w:r>
          <w:rPr>
            <w:rStyle w:val="Hyperlink"/>
          </w:rPr>
          <w:t>sheet (Sheet Information)</w:t>
        </w:r>
      </w:hyperlink>
      <w:r>
        <w:t xml:space="preserve"> </w:t>
      </w:r>
      <w:r>
        <w:fldChar w:fldCharType="begin"/>
      </w:r>
      <w:r>
        <w:instrText>PAGEREF section_ebf12ea52bb44af5ab26563f22d3f895</w:instrText>
      </w:r>
      <w:r>
        <w:fldChar w:fldCharType="separate"/>
      </w:r>
      <w:r>
        <w:rPr>
          <w:noProof/>
        </w:rPr>
        <w:t>243</w:t>
      </w:r>
      <w:r>
        <w:fldChar w:fldCharType="end"/>
      </w:r>
    </w:p>
    <w:p w:rsidR="000A156F" w:rsidRDefault="00A9721F">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381</w:t>
      </w:r>
      <w:r>
        <w:fldChar w:fldCharType="end"/>
      </w:r>
    </w:p>
    <w:p w:rsidR="000A156F" w:rsidRDefault="00A9721F">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281</w:t>
      </w:r>
      <w:r>
        <w:fldChar w:fldCharType="end"/>
      </w:r>
    </w:p>
    <w:p w:rsidR="000A156F" w:rsidRDefault="00A9721F">
      <w:pPr>
        <w:pStyle w:val="indexentry0"/>
      </w:pPr>
      <w:hyperlink w:anchor="section_98e3f568bac74abfbdc04eed2cd91ae8">
        <w:r>
          <w:rPr>
            <w:rStyle w:val="Hyperlink"/>
          </w:rPr>
          <w:t>sheetId (Sheet Id)</w:t>
        </w:r>
      </w:hyperlink>
      <w:r>
        <w:t xml:space="preserve"> </w:t>
      </w:r>
      <w:r>
        <w:fldChar w:fldCharType="begin"/>
      </w:r>
      <w:r>
        <w:instrText>PAGEREF section_98e3f56</w:instrText>
      </w:r>
      <w:r>
        <w:instrText>8bac74abfbdc04eed2cd91ae8</w:instrText>
      </w:r>
      <w:r>
        <w:fldChar w:fldCharType="separate"/>
      </w:r>
      <w:r>
        <w:rPr>
          <w:noProof/>
        </w:rPr>
        <w:t>373</w:t>
      </w:r>
      <w:r>
        <w:fldChar w:fldCharType="end"/>
      </w:r>
    </w:p>
    <w:p w:rsidR="000A156F" w:rsidRDefault="00A9721F">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373</w:t>
      </w:r>
      <w:r>
        <w:fldChar w:fldCharType="end"/>
      </w:r>
    </w:p>
    <w:p w:rsidR="000A156F" w:rsidRDefault="00A9721F">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382</w:t>
      </w:r>
      <w:r>
        <w:fldChar w:fldCharType="end"/>
      </w:r>
    </w:p>
    <w:p w:rsidR="000A156F" w:rsidRDefault="00A9721F">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382</w:t>
      </w:r>
      <w:r>
        <w:fldChar w:fldCharType="end"/>
      </w:r>
    </w:p>
    <w:p w:rsidR="000A156F" w:rsidRDefault="00A9721F">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281</w:t>
      </w:r>
      <w:r>
        <w:fldChar w:fldCharType="end"/>
      </w:r>
    </w:p>
    <w:p w:rsidR="000A156F" w:rsidRDefault="00A9721F">
      <w:pPr>
        <w:pStyle w:val="indexentry0"/>
      </w:pPr>
      <w:hyperlink w:anchor="section_e2b7325c912947e1abc73cc75ca1e2d8">
        <w:r>
          <w:rPr>
            <w:rStyle w:val="Hyperlink"/>
          </w:rPr>
          <w:t>sheetPr (Sheet Properties)</w:t>
        </w:r>
      </w:hyperlink>
      <w:r>
        <w:t xml:space="preserve"> </w:t>
      </w:r>
      <w:r>
        <w:fldChar w:fldCharType="begin"/>
      </w:r>
      <w:r>
        <w:instrText>PAGEREF section_e2</w:instrText>
      </w:r>
      <w:r>
        <w:instrText>b7325c912947e1abc73cc75ca1e2d8</w:instrText>
      </w:r>
      <w:r>
        <w:fldChar w:fldCharType="separate"/>
      </w:r>
      <w:r>
        <w:rPr>
          <w:noProof/>
        </w:rPr>
        <w:t>281</w:t>
      </w:r>
      <w:r>
        <w:fldChar w:fldCharType="end"/>
      </w:r>
    </w:p>
    <w:p w:rsidR="000A156F" w:rsidRDefault="00A9721F">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281</w:t>
      </w:r>
      <w:r>
        <w:fldChar w:fldCharType="end"/>
      </w:r>
    </w:p>
    <w:p w:rsidR="000A156F" w:rsidRDefault="00A9721F">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283</w:t>
      </w:r>
      <w:r>
        <w:fldChar w:fldCharType="end"/>
      </w:r>
    </w:p>
    <w:p w:rsidR="000A156F" w:rsidRDefault="00A9721F">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243</w:t>
      </w:r>
      <w:r>
        <w:fldChar w:fldCharType="end"/>
      </w:r>
    </w:p>
    <w:p w:rsidR="000A156F" w:rsidRDefault="00A9721F">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section_f68f7a75f8714844974dd2cc226334e8</w:instrText>
      </w:r>
      <w:r>
        <w:fldChar w:fldCharType="separate"/>
      </w:r>
      <w:r>
        <w:rPr>
          <w:noProof/>
        </w:rPr>
        <w:t>285</w:t>
      </w:r>
      <w:r>
        <w:fldChar w:fldCharType="end"/>
      </w:r>
    </w:p>
    <w:p w:rsidR="000A156F" w:rsidRDefault="00A9721F">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285</w:t>
      </w:r>
      <w:r>
        <w:fldChar w:fldCharType="end"/>
      </w:r>
    </w:p>
    <w:p w:rsidR="000A156F" w:rsidRDefault="00A9721F">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285</w:t>
      </w:r>
      <w:r>
        <w:fldChar w:fldCharType="end"/>
      </w:r>
    </w:p>
    <w:p w:rsidR="000A156F" w:rsidRDefault="00A9721F">
      <w:pPr>
        <w:pStyle w:val="indexentry0"/>
      </w:pPr>
      <w:hyperlink w:anchor="section_8d4ce2eacc594f7691712ea85c07e463">
        <w:r>
          <w:rPr>
            <w:rStyle w:val="Hyperlink"/>
          </w:rPr>
          <w:t>showBubbleSize (Show Bubble Size)</w:t>
        </w:r>
      </w:hyperlink>
      <w:r>
        <w:t xml:space="preserve"> </w:t>
      </w:r>
      <w:r>
        <w:fldChar w:fldCharType="begin"/>
      </w:r>
      <w:r>
        <w:instrText>PAGEREF section</w:instrText>
      </w:r>
      <w:r>
        <w:instrText>_8d4ce2eacc594f7691712ea85c07e463</w:instrText>
      </w:r>
      <w:r>
        <w:fldChar w:fldCharType="separate"/>
      </w:r>
      <w:r>
        <w:rPr>
          <w:noProof/>
        </w:rPr>
        <w:t>576</w:t>
      </w:r>
      <w:r>
        <w:fldChar w:fldCharType="end"/>
      </w:r>
    </w:p>
    <w:p w:rsidR="000A156F" w:rsidRDefault="00A9721F">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576</w:t>
      </w:r>
      <w:r>
        <w:fldChar w:fldCharType="end"/>
      </w:r>
    </w:p>
    <w:p w:rsidR="000A156F" w:rsidRDefault="00A9721F">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576</w:t>
      </w:r>
      <w:r>
        <w:fldChar w:fldCharType="end"/>
      </w:r>
    </w:p>
    <w:p w:rsidR="000A156F" w:rsidRDefault="00A9721F">
      <w:pPr>
        <w:pStyle w:val="indexentry0"/>
      </w:pPr>
      <w:hyperlink w:anchor="section_b0d0713fac9844b4b4ee2a490237c3ac">
        <w:r>
          <w:rPr>
            <w:rStyle w:val="Hyperlink"/>
          </w:rPr>
          <w:t>showLegendKey (Show Legend Key)</w:t>
        </w:r>
      </w:hyperlink>
      <w:r>
        <w:t xml:space="preserve"> </w:t>
      </w:r>
      <w:r>
        <w:fldChar w:fldCharType="begin"/>
      </w:r>
      <w:r>
        <w:instrText>PAGEREF se</w:instrText>
      </w:r>
      <w:r>
        <w:instrText>ction_b0d0713fac9844b4b4ee2a490237c3ac</w:instrText>
      </w:r>
      <w:r>
        <w:fldChar w:fldCharType="separate"/>
      </w:r>
      <w:r>
        <w:rPr>
          <w:noProof/>
        </w:rPr>
        <w:t>577</w:t>
      </w:r>
      <w:r>
        <w:fldChar w:fldCharType="end"/>
      </w:r>
    </w:p>
    <w:p w:rsidR="000A156F" w:rsidRDefault="00A9721F">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877</w:t>
      </w:r>
      <w:r>
        <w:fldChar w:fldCharType="end"/>
      </w:r>
    </w:p>
    <w:p w:rsidR="000A156F" w:rsidRDefault="00A9721F">
      <w:pPr>
        <w:pStyle w:val="indexentry0"/>
      </w:pPr>
      <w:hyperlink w:anchor="section_5ab67be775d9474c8104d1167f77b169">
        <w:r>
          <w:rPr>
            <w:rStyle w:val="Hyperlink"/>
          </w:rPr>
          <w:t xml:space="preserve">showPercent </w:t>
        </w:r>
        <w:r>
          <w:rPr>
            <w:rStyle w:val="Hyperlink"/>
          </w:rPr>
          <w:t>(Show Percent)</w:t>
        </w:r>
      </w:hyperlink>
      <w:r>
        <w:t xml:space="preserve"> </w:t>
      </w:r>
      <w:r>
        <w:fldChar w:fldCharType="begin"/>
      </w:r>
      <w:r>
        <w:instrText>PAGEREF section_5ab67be775d9474c8104d1167f77b169</w:instrText>
      </w:r>
      <w:r>
        <w:fldChar w:fldCharType="separate"/>
      </w:r>
      <w:r>
        <w:rPr>
          <w:noProof/>
        </w:rPr>
        <w:t>577</w:t>
      </w:r>
      <w:r>
        <w:fldChar w:fldCharType="end"/>
      </w:r>
    </w:p>
    <w:p w:rsidR="000A156F" w:rsidRDefault="00A9721F">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section_80f71dda5cee4b6b8c0a199fd8a8e</w:instrText>
      </w:r>
      <w:r>
        <w:instrText>206</w:instrText>
      </w:r>
      <w:r>
        <w:fldChar w:fldCharType="separate"/>
      </w:r>
      <w:r>
        <w:rPr>
          <w:noProof/>
        </w:rPr>
        <w:t>156</w:t>
      </w:r>
      <w:r>
        <w:fldChar w:fldCharType="end"/>
      </w:r>
    </w:p>
    <w:p w:rsidR="000A156F" w:rsidRDefault="00A9721F">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609</w:t>
      </w:r>
      <w:r>
        <w:fldChar w:fldCharType="end"/>
      </w:r>
    </w:p>
    <w:p w:rsidR="000A156F" w:rsidRDefault="00A9721F">
      <w:pPr>
        <w:pStyle w:val="indexentry0"/>
      </w:pPr>
      <w:hyperlink w:anchor="section_7265d89c907745b5826fffa7a10811ae">
        <w:r>
          <w:rPr>
            <w:rStyle w:val="Hyperlink"/>
          </w:rPr>
          <w:t>si (String Item)</w:t>
        </w:r>
      </w:hyperlink>
      <w:r>
        <w:t xml:space="preserve"> </w:t>
      </w:r>
      <w:r>
        <w:fldChar w:fldCharType="begin"/>
      </w:r>
      <w:r>
        <w:instrText>PAGEREF section_7265d89c90774</w:instrText>
      </w:r>
      <w:r>
        <w:instrText>5b5826fffa7a10811ae</w:instrText>
      </w:r>
      <w:r>
        <w:fldChar w:fldCharType="separate"/>
      </w:r>
      <w:r>
        <w:rPr>
          <w:noProof/>
        </w:rPr>
        <w:t>289</w:t>
      </w:r>
      <w:r>
        <w:fldChar w:fldCharType="end"/>
      </w:r>
    </w:p>
    <w:p w:rsidR="000A156F" w:rsidRDefault="00A9721F">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577</w:t>
      </w:r>
      <w:r>
        <w:fldChar w:fldCharType="end"/>
      </w:r>
    </w:p>
    <w:p w:rsidR="000A156F" w:rsidRDefault="00A9721F">
      <w:pPr>
        <w:pStyle w:val="indexentry0"/>
      </w:pPr>
      <w:hyperlink w:anchor="section_b66d6f1254b749ddbe00148ca16a9bdf">
        <w:r>
          <w:rPr>
            <w:rStyle w:val="Hyperlink"/>
          </w:rPr>
          <w:t>sig (Supported Unicode Subranges and</w:t>
        </w:r>
        <w:r>
          <w:rPr>
            <w:rStyle w:val="Hyperlink"/>
          </w:rPr>
          <w:t xml:space="preserve"> Code Pages)</w:t>
        </w:r>
      </w:hyperlink>
      <w:r>
        <w:t xml:space="preserve"> </w:t>
      </w:r>
      <w:r>
        <w:fldChar w:fldCharType="begin"/>
      </w:r>
      <w:r>
        <w:instrText>PAGEREF section_b66d6f1254b749ddbe00148ca16a9bdf</w:instrText>
      </w:r>
      <w:r>
        <w:fldChar w:fldCharType="separate"/>
      </w:r>
      <w:r>
        <w:rPr>
          <w:noProof/>
        </w:rPr>
        <w:t>122</w:t>
      </w:r>
      <w:r>
        <w:fldChar w:fldCharType="end"/>
      </w:r>
    </w:p>
    <w:p w:rsidR="000A156F" w:rsidRDefault="00A9721F">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892</w:t>
      </w:r>
      <w:r>
        <w:fldChar w:fldCharType="end"/>
      </w:r>
    </w:p>
    <w:p w:rsidR="000A156F" w:rsidRDefault="00A9721F">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892</w:t>
      </w:r>
      <w:r>
        <w:fldChar w:fldCharType="end"/>
      </w:r>
    </w:p>
    <w:p w:rsidR="000A156F" w:rsidRDefault="00A9721F">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893</w:t>
      </w:r>
      <w:r>
        <w:fldChar w:fldCharType="end"/>
      </w:r>
    </w:p>
    <w:p w:rsidR="000A156F" w:rsidRDefault="00A9721F">
      <w:pPr>
        <w:pStyle w:val="indexentry0"/>
      </w:pPr>
      <w:hyperlink w:anchor="section_16a6934dddaf47e99b2ade1f45ded0f9">
        <w:r>
          <w:rPr>
            <w:rStyle w:val="Hyperlink"/>
          </w:rPr>
          <w:t>signatureline (Digital Signature Line)</w:t>
        </w:r>
      </w:hyperlink>
      <w:r>
        <w:t xml:space="preserve"> </w:t>
      </w:r>
      <w:r>
        <w:fldChar w:fldCharType="begin"/>
      </w:r>
      <w:r>
        <w:instrText>PAGEREF section_16a6934dddaf47e99b2ade1f45ded0f9</w:instrText>
      </w:r>
      <w:r>
        <w:fldChar w:fldCharType="separate"/>
      </w:r>
      <w:r>
        <w:rPr>
          <w:noProof/>
        </w:rPr>
        <w:t>679</w:t>
      </w:r>
      <w:r>
        <w:fldChar w:fldCharType="end"/>
      </w:r>
    </w:p>
    <w:p w:rsidR="000A156F" w:rsidRDefault="00A9721F">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894</w:t>
      </w:r>
      <w:r>
        <w:fldChar w:fldCharType="end"/>
      </w:r>
    </w:p>
    <w:p w:rsidR="000A156F" w:rsidRDefault="00A9721F">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w:instrText>
      </w:r>
      <w:r>
        <w:instrText>f6b7e1c3dc0d6b32ea</w:instrText>
      </w:r>
      <w:r>
        <w:fldChar w:fldCharType="separate"/>
      </w:r>
      <w:r>
        <w:rPr>
          <w:noProof/>
        </w:rPr>
        <w:t>894</w:t>
      </w:r>
      <w:r>
        <w:fldChar w:fldCharType="end"/>
      </w:r>
    </w:p>
    <w:p w:rsidR="000A156F" w:rsidRDefault="00A9721F">
      <w:pPr>
        <w:pStyle w:val="indexentry0"/>
      </w:pPr>
      <w:hyperlink w:anchor="section_74b29f9a7df748178e172d784aadffe9">
        <w:r>
          <w:rPr>
            <w:rStyle w:val="Hyperlink"/>
          </w:rPr>
          <w:t>SignatureProviderUrl (Signature Provider URL)</w:t>
        </w:r>
      </w:hyperlink>
      <w:r>
        <w:t xml:space="preserve"> </w:t>
      </w:r>
      <w:r>
        <w:fldChar w:fldCharType="begin"/>
      </w:r>
      <w:r>
        <w:instrText>PAGEREF section_74b29f9a7df748178e172d784aadffe9</w:instrText>
      </w:r>
      <w:r>
        <w:fldChar w:fldCharType="separate"/>
      </w:r>
      <w:r>
        <w:rPr>
          <w:noProof/>
        </w:rPr>
        <w:t>894</w:t>
      </w:r>
      <w:r>
        <w:fldChar w:fldCharType="end"/>
      </w:r>
    </w:p>
    <w:p w:rsidR="000A156F" w:rsidRDefault="00A9721F">
      <w:pPr>
        <w:pStyle w:val="indexentry0"/>
      </w:pPr>
      <w:hyperlink w:anchor="section_1821e4f974df4c2f83261b8cfbf05832">
        <w:r>
          <w:rPr>
            <w:rStyle w:val="Hyperlink"/>
          </w:rPr>
          <w:t>SignatureTex</w:t>
        </w:r>
        <w:r>
          <w:rPr>
            <w:rStyle w:val="Hyperlink"/>
          </w:rPr>
          <w:t>t (Signature Text)</w:t>
        </w:r>
      </w:hyperlink>
      <w:r>
        <w:t xml:space="preserve"> </w:t>
      </w:r>
      <w:r>
        <w:fldChar w:fldCharType="begin"/>
      </w:r>
      <w:r>
        <w:instrText>PAGEREF section_1821e4f974df4c2f83261b8cfbf05832</w:instrText>
      </w:r>
      <w:r>
        <w:fldChar w:fldCharType="separate"/>
      </w:r>
      <w:r>
        <w:rPr>
          <w:noProof/>
        </w:rPr>
        <w:t>895</w:t>
      </w:r>
      <w:r>
        <w:fldChar w:fldCharType="end"/>
      </w:r>
    </w:p>
    <w:p w:rsidR="000A156F" w:rsidRDefault="00A9721F">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895</w:t>
      </w:r>
      <w:r>
        <w:fldChar w:fldCharType="end"/>
      </w:r>
    </w:p>
    <w:p w:rsidR="000A156F" w:rsidRDefault="00A9721F">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791</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828</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837</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846</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section_e02f27204f8f4058bf5810a906dbfbdd</w:instrText>
      </w:r>
      <w:r>
        <w:fldChar w:fldCharType="separate"/>
      </w:r>
      <w:r>
        <w:rPr>
          <w:noProof/>
        </w:rPr>
        <w:t>862</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w:instrText>
      </w:r>
      <w:r>
        <w:instrText>13896bd</w:instrText>
      </w:r>
      <w:r>
        <w:fldChar w:fldCharType="separate"/>
      </w:r>
      <w:r>
        <w:rPr>
          <w:noProof/>
        </w:rPr>
        <w:t>873</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887</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w:instrText>
      </w:r>
      <w:r>
        <w:instrText>81e24d3de66</w:instrText>
      </w:r>
      <w:r>
        <w:fldChar w:fldCharType="separate"/>
      </w:r>
      <w:r>
        <w:rPr>
          <w:noProof/>
        </w:rPr>
        <w:t>896</w:t>
      </w:r>
      <w:r>
        <w:fldChar w:fldCharType="end"/>
      </w:r>
      <w:r>
        <w:t>)</w:t>
      </w:r>
    </w:p>
    <w:p w:rsidR="000A156F" w:rsidRDefault="00A9721F">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903</w:t>
      </w:r>
      <w:r>
        <w:fldChar w:fldCharType="end"/>
      </w:r>
    </w:p>
    <w:p w:rsidR="000A156F" w:rsidRDefault="00A9721F">
      <w:pPr>
        <w:pStyle w:val="indexentry0"/>
      </w:pPr>
      <w:hyperlink w:anchor="section_2897355e41e04be5a27ea94fe8c6de66">
        <w:r>
          <w:rPr>
            <w:rStyle w:val="Hyperlink"/>
          </w:rPr>
          <w:t>simplePos (Simple Position</w:t>
        </w:r>
        <w:r>
          <w:rPr>
            <w:rStyle w:val="Hyperlink"/>
          </w:rPr>
          <w:t>ing Coordinates)</w:t>
        </w:r>
      </w:hyperlink>
      <w:r>
        <w:t xml:space="preserve"> </w:t>
      </w:r>
      <w:r>
        <w:fldChar w:fldCharType="begin"/>
      </w:r>
      <w:r>
        <w:instrText>PAGEREF section_2897355e41e04be5a27ea94fe8c6de66</w:instrText>
      </w:r>
      <w:r>
        <w:fldChar w:fldCharType="separate"/>
      </w:r>
      <w:r>
        <w:rPr>
          <w:noProof/>
        </w:rPr>
        <w:t>532</w:t>
      </w:r>
      <w:r>
        <w:fldChar w:fldCharType="end"/>
      </w:r>
    </w:p>
    <w:p w:rsidR="000A156F" w:rsidRDefault="00A9721F">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447</w:t>
      </w:r>
      <w:r>
        <w:fldChar w:fldCharType="end"/>
      </w:r>
    </w:p>
    <w:p w:rsidR="000A156F" w:rsidRDefault="00A9721F">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section_739cf85bb45b4850ba8f6f7b737607be</w:instrText>
      </w:r>
      <w:r>
        <w:fldChar w:fldCharType="separate"/>
      </w:r>
      <w:r>
        <w:rPr>
          <w:noProof/>
        </w:rPr>
        <w:t>51</w:t>
      </w:r>
      <w:r>
        <w:fldChar w:fldCharType="end"/>
      </w:r>
    </w:p>
    <w:p w:rsidR="000A156F" w:rsidRDefault="00A9721F">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293</w:t>
      </w:r>
      <w:r>
        <w:fldChar w:fldCharType="end"/>
      </w:r>
    </w:p>
    <w:p w:rsidR="000A156F" w:rsidRDefault="00A9721F">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687</w:t>
      </w:r>
      <w:r>
        <w:fldChar w:fldCharType="end"/>
      </w:r>
    </w:p>
    <w:p w:rsidR="000A156F" w:rsidRDefault="00A9721F">
      <w:pPr>
        <w:pStyle w:val="indexentry0"/>
      </w:pPr>
      <w:hyperlink w:anchor="section_c35e498b1fca43f89b79e7646cb54ddf">
        <w:r>
          <w:rPr>
            <w:rStyle w:val="Hyperlink"/>
          </w:rPr>
          <w:t>skew (Skew Transform)</w:t>
        </w:r>
      </w:hyperlink>
      <w:r>
        <w:t xml:space="preserve"> </w:t>
      </w:r>
      <w:r>
        <w:fldChar w:fldCharType="begin"/>
      </w:r>
      <w:r>
        <w:instrText>PAGEREF section_c35e49</w:instrText>
      </w:r>
      <w:r>
        <w:instrText>8b1fca43f89b79e7646cb54ddf</w:instrText>
      </w:r>
      <w:r>
        <w:fldChar w:fldCharType="separate"/>
      </w:r>
      <w:r>
        <w:rPr>
          <w:noProof/>
        </w:rPr>
        <w:t>680</w:t>
      </w:r>
      <w:r>
        <w:fldChar w:fldCharType="end"/>
      </w:r>
    </w:p>
    <w:p w:rsidR="000A156F" w:rsidRDefault="00A9721F">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221</w:t>
      </w:r>
      <w:r>
        <w:fldChar w:fldCharType="end"/>
      </w:r>
    </w:p>
    <w:p w:rsidR="000A156F" w:rsidRDefault="00A9721F">
      <w:pPr>
        <w:pStyle w:val="indexentry0"/>
      </w:pPr>
      <w:hyperlink w:anchor="section_ba458354c051419ea68e0027cbac03bc">
        <w:r>
          <w:rPr>
            <w:rStyle w:val="Hyperlink"/>
          </w:rPr>
          <w:t>sld (Presentation Slide)</w:t>
        </w:r>
      </w:hyperlink>
      <w:r>
        <w:t xml:space="preserve"> </w:t>
      </w:r>
      <w:r>
        <w:fldChar w:fldCharType="begin"/>
      </w:r>
      <w:r>
        <w:instrText>PAGEREF section_</w:instrText>
      </w:r>
      <w:r>
        <w:instrText>ba458354c051419ea68e0027cbac03bc</w:instrText>
      </w:r>
      <w:r>
        <w:fldChar w:fldCharType="separate"/>
      </w:r>
      <w:r>
        <w:rPr>
          <w:noProof/>
        </w:rPr>
        <w:t>468</w:t>
      </w:r>
      <w:r>
        <w:fldChar w:fldCharType="end"/>
      </w:r>
    </w:p>
    <w:p w:rsidR="000A156F" w:rsidRDefault="00A9721F">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465</w:t>
      </w:r>
      <w:r>
        <w:fldChar w:fldCharType="end"/>
      </w:r>
    </w:p>
    <w:p w:rsidR="000A156F" w:rsidRDefault="00A9721F">
      <w:pPr>
        <w:pStyle w:val="indexentry0"/>
      </w:pPr>
      <w:hyperlink w:anchor="section_de4053e1e1ca4cc2a810aa2da4cc43a0">
        <w:r>
          <w:rPr>
            <w:rStyle w:val="Hyperlink"/>
          </w:rPr>
          <w:t>sldSz (Presentation Slid</w:t>
        </w:r>
        <w:r>
          <w:rPr>
            <w:rStyle w:val="Hyperlink"/>
          </w:rPr>
          <w:t>e Size)</w:t>
        </w:r>
      </w:hyperlink>
      <w:r>
        <w:t xml:space="preserve"> </w:t>
      </w:r>
      <w:r>
        <w:fldChar w:fldCharType="begin"/>
      </w:r>
      <w:r>
        <w:instrText>PAGEREF section_de4053e1e1ca4cc2a810aa2da4cc43a0</w:instrText>
      </w:r>
      <w:r>
        <w:fldChar w:fldCharType="separate"/>
      </w:r>
      <w:r>
        <w:rPr>
          <w:noProof/>
        </w:rPr>
        <w:t>465</w:t>
      </w:r>
      <w:r>
        <w:fldChar w:fldCharType="end"/>
      </w:r>
    </w:p>
    <w:p w:rsidR="000A156F" w:rsidRDefault="00A9721F">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485</w:t>
      </w:r>
      <w:r>
        <w:fldChar w:fldCharType="end"/>
      </w:r>
    </w:p>
    <w:p w:rsidR="000A156F" w:rsidRDefault="00A9721F">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57</w:t>
      </w:r>
      <w:r>
        <w:fldChar w:fldCharType="end"/>
      </w:r>
    </w:p>
    <w:p w:rsidR="000A156F" w:rsidRDefault="00A9721F">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58</w:t>
      </w:r>
      <w:r>
        <w:fldChar w:fldCharType="end"/>
      </w:r>
    </w:p>
    <w:p w:rsidR="000A156F" w:rsidRDefault="00A9721F">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57</w:t>
      </w:r>
      <w:r>
        <w:fldChar w:fldCharType="end"/>
      </w:r>
    </w:p>
    <w:p w:rsidR="000A156F" w:rsidRDefault="00A9721F">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447</w:t>
      </w:r>
      <w:r>
        <w:fldChar w:fldCharType="end"/>
      </w:r>
    </w:p>
    <w:p w:rsidR="000A156F" w:rsidRDefault="00A9721F">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77</w:t>
      </w:r>
      <w:r>
        <w:fldChar w:fldCharType="end"/>
      </w:r>
    </w:p>
    <w:p w:rsidR="000A156F" w:rsidRDefault="00A9721F">
      <w:pPr>
        <w:pStyle w:val="indexentry0"/>
      </w:pPr>
      <w:hyperlink w:anchor="section_59065a5881844e19a1ab713b4ddaf6d3">
        <w:r>
          <w:rPr>
            <w:rStyle w:val="Hyperlink"/>
          </w:rPr>
          <w:t>smallFrac (Small Fraction)</w:t>
        </w:r>
      </w:hyperlink>
      <w:r>
        <w:t xml:space="preserve"> </w:t>
      </w:r>
      <w:r>
        <w:fldChar w:fldCharType="begin"/>
      </w:r>
      <w:r>
        <w:instrText>PAGEREF section_59065a588184</w:instrText>
      </w:r>
      <w:r>
        <w:instrText>4e19a1ab713b4ddaf6d3</w:instrText>
      </w:r>
      <w:r>
        <w:fldChar w:fldCharType="separate"/>
      </w:r>
      <w:r>
        <w:rPr>
          <w:noProof/>
        </w:rPr>
        <w:t>609</w:t>
      </w:r>
      <w:r>
        <w:fldChar w:fldCharType="end"/>
      </w:r>
    </w:p>
    <w:p w:rsidR="000A156F" w:rsidRDefault="00A9721F">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96</w:t>
      </w:r>
      <w:r>
        <w:fldChar w:fldCharType="end"/>
      </w:r>
    </w:p>
    <w:p w:rsidR="000A156F" w:rsidRDefault="00A9721F">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465</w:t>
      </w:r>
      <w:r>
        <w:fldChar w:fldCharType="end"/>
      </w:r>
    </w:p>
    <w:p w:rsidR="000A156F" w:rsidRDefault="00A9721F">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854</w:t>
      </w:r>
      <w:r>
        <w:fldChar w:fldCharType="end"/>
      </w:r>
    </w:p>
    <w:p w:rsidR="000A156F" w:rsidRDefault="00A9721F">
      <w:pPr>
        <w:pStyle w:val="indexentry0"/>
      </w:pPr>
      <w:hyperlink w:anchor="section_a7158173228147abbe714addd4682340">
        <w:r>
          <w:rPr>
            <w:rStyle w:val="Hyperlink"/>
          </w:rPr>
          <w:t>smartTagTy</w:t>
        </w:r>
        <w:r>
          <w:rPr>
            <w:rStyle w:val="Hyperlink"/>
          </w:rPr>
          <w:t>pe (Smart Tag Type)</w:t>
        </w:r>
      </w:hyperlink>
      <w:r>
        <w:t xml:space="preserve"> </w:t>
      </w:r>
      <w:r>
        <w:fldChar w:fldCharType="begin"/>
      </w:r>
      <w:r>
        <w:instrText>PAGEREF section_a7158173228147abbe714addd4682340</w:instrText>
      </w:r>
      <w:r>
        <w:fldChar w:fldCharType="separate"/>
      </w:r>
      <w:r>
        <w:rPr>
          <w:noProof/>
        </w:rPr>
        <w:t>243</w:t>
      </w:r>
      <w:r>
        <w:fldChar w:fldCharType="end"/>
      </w:r>
    </w:p>
    <w:p w:rsidR="000A156F" w:rsidRDefault="00A9721F">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156</w:t>
      </w:r>
      <w:r>
        <w:fldChar w:fldCharType="end"/>
      </w:r>
    </w:p>
    <w:p w:rsidR="000A156F" w:rsidRDefault="00A9721F">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section_bf9c45345d9846cabe7ea76543fce6a2</w:instrText>
      </w:r>
      <w:r>
        <w:fldChar w:fldCharType="separate"/>
      </w:r>
      <w:r>
        <w:rPr>
          <w:noProof/>
        </w:rPr>
        <w:t>244</w:t>
      </w:r>
      <w:r>
        <w:fldChar w:fldCharType="end"/>
      </w:r>
    </w:p>
    <w:p w:rsidR="000A156F" w:rsidRDefault="00A9721F">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w:instrText>
      </w:r>
      <w:r>
        <w:instrText>779ca05a74e0f0</w:instrText>
      </w:r>
      <w:r>
        <w:fldChar w:fldCharType="separate"/>
      </w:r>
      <w:r>
        <w:rPr>
          <w:noProof/>
        </w:rPr>
        <w:t>519</w:t>
      </w:r>
      <w:r>
        <w:fldChar w:fldCharType="end"/>
      </w:r>
    </w:p>
    <w:p w:rsidR="000A156F" w:rsidRDefault="00A9721F">
      <w:pPr>
        <w:pStyle w:val="indexentry0"/>
      </w:pPr>
      <w:hyperlink w:anchor="section_d6773131ba494bed82b8d8cdb7fe0ea3">
        <w:r>
          <w:rPr>
            <w:rStyle w:val="Hyperlink"/>
          </w:rPr>
          <w:t>sortByTuple (Sort By Tuple)</w:t>
        </w:r>
      </w:hyperlink>
      <w:r>
        <w:t xml:space="preserve"> </w:t>
      </w:r>
      <w:r>
        <w:fldChar w:fldCharType="begin"/>
      </w:r>
      <w:r>
        <w:instrText>PAGEREF section_d6773131ba494bed82b8d8cdb7fe0ea3</w:instrText>
      </w:r>
      <w:r>
        <w:fldChar w:fldCharType="separate"/>
      </w:r>
      <w:r>
        <w:rPr>
          <w:noProof/>
        </w:rPr>
        <w:t>366</w:t>
      </w:r>
      <w:r>
        <w:fldChar w:fldCharType="end"/>
      </w:r>
    </w:p>
    <w:p w:rsidR="000A156F" w:rsidRDefault="00A9721F">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286</w:t>
      </w:r>
      <w:r>
        <w:fldChar w:fldCharType="end"/>
      </w:r>
    </w:p>
    <w:p w:rsidR="000A156F" w:rsidRDefault="00A9721F">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841</w:t>
      </w:r>
      <w:r>
        <w:fldChar w:fldCharType="end"/>
      </w:r>
    </w:p>
    <w:p w:rsidR="000A156F" w:rsidRDefault="00A9721F">
      <w:pPr>
        <w:pStyle w:val="indexentry0"/>
      </w:pPr>
      <w:hyperlink w:anchor="section_a7912fd83e8349008cef9ea6d8cc6856">
        <w:r>
          <w:rPr>
            <w:rStyle w:val="Hyperlink"/>
          </w:rPr>
          <w:t>Source (Sou</w:t>
        </w:r>
        <w:r>
          <w:rPr>
            <w:rStyle w:val="Hyperlink"/>
          </w:rPr>
          <w:t>rce)</w:t>
        </w:r>
      </w:hyperlink>
      <w:r>
        <w:t xml:space="preserve"> </w:t>
      </w:r>
      <w:r>
        <w:fldChar w:fldCharType="begin"/>
      </w:r>
      <w:r>
        <w:instrText>PAGEREF section_a7912fd83e8349008cef9ea6d8cc6856</w:instrText>
      </w:r>
      <w:r>
        <w:fldChar w:fldCharType="separate"/>
      </w:r>
      <w:r>
        <w:rPr>
          <w:noProof/>
        </w:rPr>
        <w:t>619</w:t>
      </w:r>
      <w:r>
        <w:fldChar w:fldCharType="end"/>
      </w:r>
    </w:p>
    <w:p w:rsidR="000A156F" w:rsidRDefault="00A9721F">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162</w:t>
      </w:r>
      <w:r>
        <w:fldChar w:fldCharType="end"/>
      </w:r>
    </w:p>
    <w:p w:rsidR="000A156F" w:rsidRDefault="00A9721F">
      <w:pPr>
        <w:pStyle w:val="indexentry0"/>
      </w:pPr>
      <w:hyperlink w:anchor="section_8348719e9f8a4506a1f334c9e633c42f">
        <w:r>
          <w:rPr>
            <w:rStyle w:val="Hyperlink"/>
          </w:rPr>
          <w:t>SourceTemplateUrl</w:t>
        </w:r>
      </w:hyperlink>
      <w:r>
        <w:t xml:space="preserve"> </w:t>
      </w:r>
      <w:r>
        <w:fldChar w:fldCharType="begin"/>
      </w:r>
      <w:r>
        <w:instrText>PAGEREF section_8348719e9f8a4506a1f334c9e633c42f</w:instrText>
      </w:r>
      <w:r>
        <w:fldChar w:fldCharType="separate"/>
      </w:r>
      <w:r>
        <w:rPr>
          <w:noProof/>
        </w:rPr>
        <w:t>881</w:t>
      </w:r>
      <w:r>
        <w:fldChar w:fldCharType="end"/>
      </w:r>
    </w:p>
    <w:p w:rsidR="000A156F" w:rsidRDefault="00A9721F">
      <w:pPr>
        <w:pStyle w:val="indexentry0"/>
      </w:pPr>
      <w:r>
        <w:t>sp (Shape) (</w:t>
      </w:r>
      <w:hyperlink w:anchor="section_50d51c6ff4084539a65649f1968204a3">
        <w:r>
          <w:rPr>
            <w:rStyle w:val="Hyperlink"/>
          </w:rPr>
          <w:t>section 2.1.1372</w:t>
        </w:r>
      </w:hyperlink>
      <w:r>
        <w:t xml:space="preserve"> </w:t>
      </w:r>
      <w:r>
        <w:fldChar w:fldCharType="begin"/>
      </w:r>
      <w:r>
        <w:instrText>PAGEREF section_50d51c6ff4084539a65649f1968204a3</w:instrText>
      </w:r>
      <w:r>
        <w:fldChar w:fldCharType="separate"/>
      </w:r>
      <w:r>
        <w:rPr>
          <w:noProof/>
        </w:rPr>
        <w:t>534</w:t>
      </w:r>
      <w:r>
        <w:fldChar w:fldCharType="end"/>
      </w:r>
      <w:r>
        <w:t xml:space="preserve">, </w:t>
      </w:r>
      <w:hyperlink w:anchor="section_4ec82f3297324a2abad00c477260a627">
        <w:r>
          <w:rPr>
            <w:rStyle w:val="Hyperlink"/>
          </w:rPr>
          <w:t>section 2.1.1609</w:t>
        </w:r>
      </w:hyperlink>
      <w:r>
        <w:t xml:space="preserve"> </w:t>
      </w:r>
      <w:r>
        <w:fldChar w:fldCharType="begin"/>
      </w:r>
      <w:r>
        <w:instrText>PAGEREF section_4ec82f3297324a2abad00c477260a627</w:instrText>
      </w:r>
      <w:r>
        <w:fldChar w:fldCharType="separate"/>
      </w:r>
      <w:r>
        <w:rPr>
          <w:noProof/>
        </w:rPr>
        <w:t>588</w:t>
      </w:r>
      <w:r>
        <w:fldChar w:fldCharType="end"/>
      </w:r>
      <w:r>
        <w:t>)</w:t>
      </w:r>
    </w:p>
    <w:p w:rsidR="000A156F" w:rsidRDefault="00A9721F">
      <w:pPr>
        <w:pStyle w:val="indexentry0"/>
      </w:pPr>
      <w:hyperlink w:anchor="section_b22cec63a18c4f6e95c808b1831a0a7c">
        <w:r>
          <w:rPr>
            <w:rStyle w:val="Hyperlink"/>
          </w:rPr>
          <w:t>sp3d (3-D Shape Properties)</w:t>
        </w:r>
      </w:hyperlink>
      <w:r>
        <w:t xml:space="preserve"> </w:t>
      </w:r>
      <w:r>
        <w:fldChar w:fldCharType="begin"/>
      </w:r>
      <w:r>
        <w:instrText>PAGEREF section_b22cec63a18c4f6e</w:instrText>
      </w:r>
      <w:r>
        <w:instrText>95c808b1831a0a7c</w:instrText>
      </w:r>
      <w:r>
        <w:fldChar w:fldCharType="separate"/>
      </w:r>
      <w:r>
        <w:rPr>
          <w:noProof/>
        </w:rPr>
        <w:t>593</w:t>
      </w:r>
      <w:r>
        <w:fldChar w:fldCharType="end"/>
      </w:r>
    </w:p>
    <w:p w:rsidR="000A156F" w:rsidRDefault="00A9721F">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511</w:t>
      </w:r>
      <w:r>
        <w:fldChar w:fldCharType="end"/>
      </w:r>
    </w:p>
    <w:p w:rsidR="000A156F" w:rsidRDefault="00A9721F">
      <w:pPr>
        <w:pStyle w:val="indexentry0"/>
      </w:pPr>
      <w:hyperlink w:anchor="section_7f709c81c04a4a1fa5b55ffbe94268a5">
        <w:r>
          <w:rPr>
            <w:rStyle w:val="Hyperlink"/>
          </w:rPr>
          <w:t xml:space="preserve">spacing (Character Spacing </w:t>
        </w:r>
        <w:r>
          <w:rPr>
            <w:rStyle w:val="Hyperlink"/>
          </w:rPr>
          <w:t>Adjustment)</w:t>
        </w:r>
      </w:hyperlink>
      <w:r>
        <w:t xml:space="preserve"> </w:t>
      </w:r>
      <w:r>
        <w:fldChar w:fldCharType="begin"/>
      </w:r>
      <w:r>
        <w:instrText>PAGEREF section_7f709c81c04a4a1fa5b55ffbe94268a5</w:instrText>
      </w:r>
      <w:r>
        <w:fldChar w:fldCharType="separate"/>
      </w:r>
      <w:r>
        <w:rPr>
          <w:noProof/>
        </w:rPr>
        <w:t>77</w:t>
      </w:r>
      <w:r>
        <w:fldChar w:fldCharType="end"/>
      </w:r>
    </w:p>
    <w:p w:rsidR="000A156F" w:rsidRDefault="00A9721F">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section_264a013981744574b20dab778e770931</w:instrText>
      </w:r>
      <w:r>
        <w:fldChar w:fldCharType="separate"/>
      </w:r>
      <w:r>
        <w:rPr>
          <w:noProof/>
        </w:rPr>
        <w:t>66</w:t>
      </w:r>
      <w:r>
        <w:fldChar w:fldCharType="end"/>
      </w:r>
    </w:p>
    <w:p w:rsidR="000A156F" w:rsidRDefault="00A9721F">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537</w:t>
      </w:r>
      <w:r>
        <w:fldChar w:fldCharType="end"/>
      </w:r>
    </w:p>
    <w:p w:rsidR="000A156F" w:rsidRDefault="00A9721F">
      <w:pPr>
        <w:pStyle w:val="indexentry0"/>
      </w:pPr>
      <w:hyperlink w:anchor="section_3b7a30185a6447d6b61afac31f921cd5">
        <w:r>
          <w:rPr>
            <w:rStyle w:val="Hyperlink"/>
          </w:rPr>
          <w:t>spcAft (Space After)</w:t>
        </w:r>
      </w:hyperlink>
      <w:r>
        <w:t xml:space="preserve"> </w:t>
      </w:r>
      <w:r>
        <w:fldChar w:fldCharType="begin"/>
      </w:r>
      <w:r>
        <w:instrText>PAGEREF section_3b7a30185a6447d</w:instrText>
      </w:r>
      <w:r>
        <w:instrText>6b61afac31f921cd5</w:instrText>
      </w:r>
      <w:r>
        <w:fldChar w:fldCharType="separate"/>
      </w:r>
      <w:r>
        <w:rPr>
          <w:noProof/>
        </w:rPr>
        <w:t>540</w:t>
      </w:r>
      <w:r>
        <w:fldChar w:fldCharType="end"/>
      </w:r>
    </w:p>
    <w:p w:rsidR="000A156F" w:rsidRDefault="00A9721F">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540</w:t>
      </w:r>
      <w:r>
        <w:fldChar w:fldCharType="end"/>
      </w:r>
    </w:p>
    <w:p w:rsidR="000A156F" w:rsidRDefault="00A9721F">
      <w:pPr>
        <w:pStyle w:val="indexentry0"/>
      </w:pPr>
      <w:hyperlink w:anchor="section_615c948905fc4c5bb961b56461c8ce69">
        <w:r>
          <w:rPr>
            <w:rStyle w:val="Hyperlink"/>
          </w:rPr>
          <w:t>spcPct (Spacing Percent)</w:t>
        </w:r>
      </w:hyperlink>
      <w:r>
        <w:t xml:space="preserve"> </w:t>
      </w:r>
      <w:r>
        <w:fldChar w:fldCharType="begin"/>
      </w:r>
      <w:r>
        <w:instrText>PAGEREF se</w:instrText>
      </w:r>
      <w:r>
        <w:instrText>ction_615c948905fc4c5bb961b56461c8ce69</w:instrText>
      </w:r>
      <w:r>
        <w:fldChar w:fldCharType="separate"/>
      </w:r>
      <w:r>
        <w:rPr>
          <w:noProof/>
        </w:rPr>
        <w:t>540</w:t>
      </w:r>
      <w:r>
        <w:fldChar w:fldCharType="end"/>
      </w:r>
    </w:p>
    <w:p w:rsidR="000A156F" w:rsidRDefault="00A9721F">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77</w:t>
      </w:r>
      <w:r>
        <w:fldChar w:fldCharType="end"/>
      </w:r>
    </w:p>
    <w:p w:rsidR="000A156F" w:rsidRDefault="00A9721F">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577</w:t>
      </w:r>
      <w:r>
        <w:fldChar w:fldCharType="end"/>
      </w:r>
    </w:p>
    <w:p w:rsidR="000A156F" w:rsidRDefault="00A9721F">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577</w:t>
      </w:r>
      <w:r>
        <w:fldChar w:fldCharType="end"/>
      </w:r>
    </w:p>
    <w:p w:rsidR="000A156F" w:rsidRDefault="00A9721F">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498</w:t>
      </w:r>
      <w:r>
        <w:fldChar w:fldCharType="end"/>
      </w:r>
    </w:p>
    <w:p w:rsidR="000A156F" w:rsidRDefault="00A9721F">
      <w:pPr>
        <w:pStyle w:val="indexentry0"/>
      </w:pPr>
      <w:r>
        <w:t>spPr (Shape Properties) (</w:t>
      </w:r>
      <w:hyperlink w:anchor="section_72be4c606c0f4d7f9876c9aef5af30a5">
        <w:r>
          <w:rPr>
            <w:rStyle w:val="Hyperlink"/>
          </w:rPr>
          <w:t>section 2.1.1129</w:t>
        </w:r>
      </w:hyperlink>
      <w:r>
        <w:t xml:space="preserve"> </w:t>
      </w:r>
      <w:r>
        <w:fldChar w:fldCharType="begin"/>
      </w:r>
      <w:r>
        <w:instrText>PAGEREF section_72be4c606c0f4d7f9876c9aef5af3</w:instrText>
      </w:r>
      <w:r>
        <w:instrText>0a5</w:instrText>
      </w:r>
      <w:r>
        <w:fldChar w:fldCharType="separate"/>
      </w:r>
      <w:r>
        <w:rPr>
          <w:noProof/>
        </w:rPr>
        <w:t>469</w:t>
      </w:r>
      <w:r>
        <w:fldChar w:fldCharType="end"/>
      </w:r>
      <w:r>
        <w:t xml:space="preserve">, </w:t>
      </w:r>
      <w:hyperlink w:anchor="section_d91dc0a3157d4a179945f4226b94b9e8">
        <w:r>
          <w:rPr>
            <w:rStyle w:val="Hyperlink"/>
          </w:rPr>
          <w:t>section 2.1.1215</w:t>
        </w:r>
      </w:hyperlink>
      <w:r>
        <w:t xml:space="preserve"> </w:t>
      </w:r>
      <w:r>
        <w:fldChar w:fldCharType="begin"/>
      </w:r>
      <w:r>
        <w:instrText>PAGEREF section_d91dc0a3157d4a179945f4226b94b9e8</w:instrText>
      </w:r>
      <w:r>
        <w:fldChar w:fldCharType="separate"/>
      </w:r>
      <w:r>
        <w:rPr>
          <w:noProof/>
        </w:rPr>
        <w:t>498</w:t>
      </w:r>
      <w:r>
        <w:fldChar w:fldCharType="end"/>
      </w:r>
      <w:r>
        <w:t xml:space="preserve">, </w:t>
      </w:r>
      <w:hyperlink w:anchor="section_45cb497a7eb64efcb9e97b4aa967b7ea">
        <w:r>
          <w:rPr>
            <w:rStyle w:val="Hyperlink"/>
          </w:rPr>
          <w:t>section 2.1.1349</w:t>
        </w:r>
      </w:hyperlink>
      <w:r>
        <w:t xml:space="preserve"> </w:t>
      </w:r>
      <w:r>
        <w:fldChar w:fldCharType="begin"/>
      </w:r>
      <w:r>
        <w:instrText>PAGEREF section_45cb497a7eb64efcb9e97b4aa967b7ea</w:instrText>
      </w:r>
      <w:r>
        <w:fldChar w:fldCharType="separate"/>
      </w:r>
      <w:r>
        <w:rPr>
          <w:noProof/>
        </w:rPr>
        <w:t>531</w:t>
      </w:r>
      <w:r>
        <w:fldChar w:fldCharType="end"/>
      </w:r>
      <w:r>
        <w:t xml:space="preserve">, </w:t>
      </w:r>
      <w:hyperlink w:anchor="section_a10c455e7a6e44c5bf8cfb7c2b3e2eac">
        <w:r>
          <w:rPr>
            <w:rStyle w:val="Hyperlink"/>
          </w:rPr>
          <w:t>section 2.1.1373</w:t>
        </w:r>
      </w:hyperlink>
      <w:r>
        <w:t xml:space="preserve"> </w:t>
      </w:r>
      <w:r>
        <w:fldChar w:fldCharType="begin"/>
      </w:r>
      <w:r>
        <w:instrText>PAGEREF section_a10c455e7a6e44c5bf8cfb7c2b3e2eac</w:instrText>
      </w:r>
      <w:r>
        <w:fldChar w:fldCharType="separate"/>
      </w:r>
      <w:r>
        <w:rPr>
          <w:noProof/>
        </w:rPr>
        <w:t>534</w:t>
      </w:r>
      <w:r>
        <w:fldChar w:fldCharType="end"/>
      </w:r>
      <w:r>
        <w:t xml:space="preserve">, </w:t>
      </w:r>
      <w:hyperlink w:anchor="section_efeb511d32754e5da51804bd555d9540">
        <w:r>
          <w:rPr>
            <w:rStyle w:val="Hyperlink"/>
          </w:rPr>
          <w:t>section 2</w:t>
        </w:r>
        <w:r>
          <w:rPr>
            <w:rStyle w:val="Hyperlink"/>
          </w:rPr>
          <w:t>.1.1555</w:t>
        </w:r>
      </w:hyperlink>
      <w:r>
        <w:t xml:space="preserve"> </w:t>
      </w:r>
      <w:r>
        <w:fldChar w:fldCharType="begin"/>
      </w:r>
      <w:r>
        <w:instrText>PAGEREF section_efeb511d32754e5da51804bd555d9540</w:instrText>
      </w:r>
      <w:r>
        <w:fldChar w:fldCharType="separate"/>
      </w:r>
      <w:r>
        <w:rPr>
          <w:noProof/>
        </w:rPr>
        <w:t>578</w:t>
      </w:r>
      <w:r>
        <w:fldChar w:fldCharType="end"/>
      </w:r>
      <w:r>
        <w:t xml:space="preserve">, </w:t>
      </w:r>
      <w:hyperlink w:anchor="section_c14c0a475e6f425d83789cf35dda1e2c">
        <w:r>
          <w:rPr>
            <w:rStyle w:val="Hyperlink"/>
          </w:rPr>
          <w:t>section 2.1.1610</w:t>
        </w:r>
      </w:hyperlink>
      <w:r>
        <w:t xml:space="preserve"> </w:t>
      </w:r>
      <w:r>
        <w:fldChar w:fldCharType="begin"/>
      </w:r>
      <w:r>
        <w:instrText>PAGEREF section_c14c0a475e6f425d83789cf35dda1e2c</w:instrText>
      </w:r>
      <w:r>
        <w:fldChar w:fldCharType="separate"/>
      </w:r>
      <w:r>
        <w:rPr>
          <w:noProof/>
        </w:rPr>
        <w:t>589</w:t>
      </w:r>
      <w:r>
        <w:fldChar w:fldCharType="end"/>
      </w:r>
      <w:r>
        <w:t xml:space="preserve">, </w:t>
      </w:r>
      <w:hyperlink w:anchor="section_18c455a3df65485ab55a1602f38c668d">
        <w:r>
          <w:rPr>
            <w:rStyle w:val="Hyperlink"/>
          </w:rPr>
          <w:t>section 2.1.1626</w:t>
        </w:r>
      </w:hyperlink>
      <w:r>
        <w:t xml:space="preserve"> </w:t>
      </w:r>
      <w:r>
        <w:fldChar w:fldCharType="begin"/>
      </w:r>
      <w:r>
        <w:instrText>PAGEREF section_18c455a3df65485ab55a1602f38c668d</w:instrText>
      </w:r>
      <w:r>
        <w:fldChar w:fldCharType="separate"/>
      </w:r>
      <w:r>
        <w:rPr>
          <w:noProof/>
        </w:rPr>
        <w:t>592</w:t>
      </w:r>
      <w:r>
        <w:fldChar w:fldCharType="end"/>
      </w:r>
      <w:r>
        <w:t>)</w:t>
      </w:r>
    </w:p>
    <w:p w:rsidR="000A156F" w:rsidRDefault="00A9721F">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610</w:t>
      </w:r>
      <w:r>
        <w:fldChar w:fldCharType="end"/>
      </w:r>
    </w:p>
    <w:p w:rsidR="000A156F" w:rsidRDefault="00A9721F">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485</w:t>
      </w:r>
      <w:r>
        <w:fldChar w:fldCharType="end"/>
      </w:r>
    </w:p>
    <w:p w:rsidR="000A156F" w:rsidRDefault="00A9721F">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145</w:t>
      </w:r>
      <w:r>
        <w:fldChar w:fldCharType="end"/>
      </w:r>
    </w:p>
    <w:p w:rsidR="000A156F" w:rsidRDefault="00A9721F">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519</w:t>
      </w:r>
      <w:r>
        <w:fldChar w:fldCharType="end"/>
      </w:r>
    </w:p>
    <w:p w:rsidR="000A156F" w:rsidRDefault="00A9721F">
      <w:pPr>
        <w:pStyle w:val="indexentry0"/>
      </w:pPr>
      <w:hyperlink w:anchor="section_4e99ac5e199d4c0cab34198ab8fbbeba">
        <w:r>
          <w:rPr>
            <w:rStyle w:val="Hyperlink"/>
          </w:rPr>
          <w:t>sst (Shared String Table)</w:t>
        </w:r>
      </w:hyperlink>
      <w:r>
        <w:t xml:space="preserve"> </w:t>
      </w:r>
      <w:r>
        <w:fldChar w:fldCharType="begin"/>
      </w:r>
      <w:r>
        <w:instrText>PAGEREF section_4e99ac5e199d4c0</w:instrText>
      </w:r>
      <w:r>
        <w:instrText>cab34198ab8fbbeba</w:instrText>
      </w:r>
      <w:r>
        <w:fldChar w:fldCharType="separate"/>
      </w:r>
      <w:r>
        <w:rPr>
          <w:noProof/>
        </w:rPr>
        <w:t>290</w:t>
      </w:r>
      <w:r>
        <w:fldChar w:fldCharType="end"/>
      </w:r>
    </w:p>
    <w:p w:rsidR="000A156F" w:rsidRDefault="00A9721F">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610</w:t>
      </w:r>
      <w:r>
        <w:fldChar w:fldCharType="end"/>
      </w:r>
    </w:p>
    <w:p w:rsidR="000A156F" w:rsidRDefault="00A9721F">
      <w:pPr>
        <w:pStyle w:val="indexentry0"/>
      </w:pPr>
      <w:hyperlink w:anchor="section_892ccdb9e60547a68bde8fbaf14405f8">
        <w:r>
          <w:rPr>
            <w:rStyle w:val="Hyperlink"/>
          </w:rPr>
          <w:t>sSubSup (Sub-Superscript Object)</w:t>
        </w:r>
      </w:hyperlink>
      <w:r>
        <w:t xml:space="preserve"> </w:t>
      </w:r>
      <w:r>
        <w:fldChar w:fldCharType="begin"/>
      </w:r>
      <w:r>
        <w:instrText>PAGEREF section_892ccdb9e60547a68bde8fbaf14405f8</w:instrText>
      </w:r>
      <w:r>
        <w:fldChar w:fldCharType="separate"/>
      </w:r>
      <w:r>
        <w:rPr>
          <w:noProof/>
        </w:rPr>
        <w:t>610</w:t>
      </w:r>
      <w:r>
        <w:fldChar w:fldCharType="end"/>
      </w:r>
    </w:p>
    <w:p w:rsidR="000A156F" w:rsidRDefault="00A9721F">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610</w:t>
      </w:r>
      <w:r>
        <w:fldChar w:fldCharType="end"/>
      </w:r>
    </w:p>
    <w:p w:rsidR="000A156F" w:rsidRDefault="00A9721F">
      <w:pPr>
        <w:pStyle w:val="indexentry0"/>
      </w:pPr>
      <w:hyperlink w:anchor="section_05bb8be40b9c4be78eab1335e1d2d61c">
        <w:r>
          <w:rPr>
            <w:rStyle w:val="Hyperlink"/>
          </w:rPr>
          <w:t>st</w:t>
        </w:r>
        <w:r>
          <w:rPr>
            <w:rStyle w:val="Hyperlink"/>
          </w:rPr>
          <w:t xml:space="preserve"> (Audio Start Time)</w:t>
        </w:r>
      </w:hyperlink>
      <w:r>
        <w:t xml:space="preserve"> </w:t>
      </w:r>
      <w:r>
        <w:fldChar w:fldCharType="begin"/>
      </w:r>
      <w:r>
        <w:instrText>PAGEREF section_05bb8be40b9c4be78eab1335e1d2d61c</w:instrText>
      </w:r>
      <w:r>
        <w:fldChar w:fldCharType="separate"/>
      </w:r>
      <w:r>
        <w:rPr>
          <w:noProof/>
        </w:rPr>
        <w:t>504</w:t>
      </w:r>
      <w:r>
        <w:fldChar w:fldCharType="end"/>
      </w:r>
    </w:p>
    <w:p w:rsidR="000A156F" w:rsidRDefault="00A9721F">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593</w:t>
      </w:r>
      <w:r>
        <w:fldChar w:fldCharType="end"/>
      </w:r>
    </w:p>
    <w:p w:rsidR="000A156F" w:rsidRDefault="00A9721F">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593</w:t>
      </w:r>
      <w:r>
        <w:fldChar w:fldCharType="end"/>
      </w:r>
    </w:p>
    <w:p w:rsidR="000A156F" w:rsidRDefault="00A9721F">
      <w:pPr>
        <w:pStyle w:val="indexentry0"/>
      </w:pPr>
      <w:hyperlink w:anchor="section_b7da8e6662134305a1400604cf2886aa">
        <w:r>
          <w:rPr>
            <w:rStyle w:val="Hyperlink"/>
          </w:rPr>
          <w:t>ST_AxisUnit (Axis Unit)</w:t>
        </w:r>
      </w:hyperlink>
      <w:r>
        <w:t xml:space="preserve"> </w:t>
      </w:r>
      <w:r>
        <w:fldChar w:fldCharType="begin"/>
      </w:r>
      <w:r>
        <w:instrText>PAGEREF section_b7da8e6662134305a1400604cf2</w:instrText>
      </w:r>
      <w:r>
        <w:instrText>886aa</w:instrText>
      </w:r>
      <w:r>
        <w:fldChar w:fldCharType="separate"/>
      </w:r>
      <w:r>
        <w:rPr>
          <w:noProof/>
        </w:rPr>
        <w:t>583</w:t>
      </w:r>
      <w:r>
        <w:fldChar w:fldCharType="end"/>
      </w:r>
    </w:p>
    <w:p w:rsidR="000A156F" w:rsidRDefault="00A9721F">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583</w:t>
      </w:r>
      <w:r>
        <w:fldChar w:fldCharType="end"/>
      </w:r>
    </w:p>
    <w:p w:rsidR="000A156F" w:rsidRDefault="00A9721F">
      <w:pPr>
        <w:pStyle w:val="indexentry0"/>
      </w:pPr>
      <w:hyperlink w:anchor="section_294bc3bcb346432694c394b19a9a985c">
        <w:r>
          <w:rPr>
            <w:rStyle w:val="Hyperlink"/>
          </w:rPr>
          <w:t>ST_BarGrouping (Bar Grouping)</w:t>
        </w:r>
      </w:hyperlink>
      <w:r>
        <w:t xml:space="preserve"> </w:t>
      </w:r>
      <w:r>
        <w:fldChar w:fldCharType="begin"/>
      </w:r>
      <w:r>
        <w:instrText>PAGEREF secti</w:instrText>
      </w:r>
      <w:r>
        <w:instrText>on_294bc3bcb346432694c394b19a9a985c</w:instrText>
      </w:r>
      <w:r>
        <w:fldChar w:fldCharType="separate"/>
      </w:r>
      <w:r>
        <w:rPr>
          <w:noProof/>
        </w:rPr>
        <w:t>583</w:t>
      </w:r>
      <w:r>
        <w:fldChar w:fldCharType="end"/>
      </w:r>
    </w:p>
    <w:p w:rsidR="000A156F" w:rsidRDefault="00A9721F">
      <w:pPr>
        <w:pStyle w:val="indexentry0"/>
      </w:pPr>
      <w:hyperlink w:anchor="section_bc71ad3cc009449baf87d7f5604d8daf">
        <w:r>
          <w:rPr>
            <w:rStyle w:val="Hyperlink"/>
          </w:rPr>
          <w:t>ST_BevelPresetType (Bevel Presets)</w:t>
        </w:r>
      </w:hyperlink>
      <w:r>
        <w:t xml:space="preserve"> </w:t>
      </w:r>
      <w:r>
        <w:fldChar w:fldCharType="begin"/>
      </w:r>
      <w:r>
        <w:instrText>PAGEREF section_bc71ad3cc009449baf87d7f5604d8daf</w:instrText>
      </w:r>
      <w:r>
        <w:fldChar w:fldCharType="separate"/>
      </w:r>
      <w:r>
        <w:rPr>
          <w:noProof/>
        </w:rPr>
        <w:t>520</w:t>
      </w:r>
      <w:r>
        <w:fldChar w:fldCharType="end"/>
      </w:r>
    </w:p>
    <w:p w:rsidR="000A156F" w:rsidRDefault="00A9721F">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522</w:t>
      </w:r>
      <w:r>
        <w:fldChar w:fldCharType="end"/>
      </w:r>
    </w:p>
    <w:p w:rsidR="000A156F" w:rsidRDefault="00A9721F">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227</w:t>
      </w:r>
      <w:r>
        <w:fldChar w:fldCharType="end"/>
      </w:r>
    </w:p>
    <w:p w:rsidR="000A156F" w:rsidRDefault="00A9721F">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455</w:t>
      </w:r>
      <w:r>
        <w:fldChar w:fldCharType="end"/>
      </w:r>
    </w:p>
    <w:p w:rsidR="000A156F" w:rsidRDefault="00A9721F">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w:instrText>
      </w:r>
      <w:r>
        <w:instrText>123446a4d214b2baa9cee57a2efb7c9</w:instrText>
      </w:r>
      <w:r>
        <w:fldChar w:fldCharType="separate"/>
      </w:r>
      <w:r>
        <w:rPr>
          <w:noProof/>
        </w:rPr>
        <w:t>227</w:t>
      </w:r>
      <w:r>
        <w:fldChar w:fldCharType="end"/>
      </w:r>
    </w:p>
    <w:p w:rsidR="000A156F" w:rsidRDefault="00A9721F">
      <w:pPr>
        <w:pStyle w:val="indexentry0"/>
      </w:pPr>
      <w:hyperlink w:anchor="section_2a82044e2cc54f95b7b77c0b976bc7db">
        <w:r>
          <w:rPr>
            <w:rStyle w:val="Hyperlink"/>
          </w:rPr>
          <w:t>ST_BreakBin (Break Binary Operators)</w:t>
        </w:r>
      </w:hyperlink>
      <w:r>
        <w:t xml:space="preserve"> </w:t>
      </w:r>
      <w:r>
        <w:fldChar w:fldCharType="begin"/>
      </w:r>
      <w:r>
        <w:instrText>PAGEREF section_2a82044e2cc54f95b7b77c0b976bc7db</w:instrText>
      </w:r>
      <w:r>
        <w:fldChar w:fldCharType="separate"/>
      </w:r>
      <w:r>
        <w:rPr>
          <w:noProof/>
        </w:rPr>
        <w:t>611</w:t>
      </w:r>
      <w:r>
        <w:fldChar w:fldCharType="end"/>
      </w:r>
    </w:p>
    <w:p w:rsidR="000A156F" w:rsidRDefault="00A9721F">
      <w:pPr>
        <w:pStyle w:val="indexentry0"/>
      </w:pPr>
      <w:hyperlink w:anchor="section_6f412fc993b949d684467b5e4b5e6f4d">
        <w:r>
          <w:rPr>
            <w:rStyle w:val="Hyperlink"/>
          </w:rPr>
          <w:t>ST_Built</w:t>
        </w:r>
        <w:r>
          <w:rPr>
            <w:rStyle w:val="Hyperlink"/>
          </w:rPr>
          <w:t>InUnit (Built-In Unit)</w:t>
        </w:r>
      </w:hyperlink>
      <w:r>
        <w:t xml:space="preserve"> </w:t>
      </w:r>
      <w:r>
        <w:fldChar w:fldCharType="begin"/>
      </w:r>
      <w:r>
        <w:instrText>PAGEREF section_6f412fc993b949d684467b5e4b5e6f4d</w:instrText>
      </w:r>
      <w:r>
        <w:fldChar w:fldCharType="separate"/>
      </w:r>
      <w:r>
        <w:rPr>
          <w:noProof/>
        </w:rPr>
        <w:t>583</w:t>
      </w:r>
      <w:r>
        <w:fldChar w:fldCharType="end"/>
      </w:r>
    </w:p>
    <w:p w:rsidR="000A156F" w:rsidRDefault="00A9721F">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681</w:t>
      </w:r>
      <w:r>
        <w:fldChar w:fldCharType="end"/>
      </w:r>
    </w:p>
    <w:p w:rsidR="000A156F" w:rsidRDefault="00A9721F">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620</w:t>
      </w:r>
      <w:r>
        <w:fldChar w:fldCharType="end"/>
      </w:r>
    </w:p>
    <w:p w:rsidR="000A156F" w:rsidRDefault="00A9721F">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w:instrText>
      </w:r>
      <w:r>
        <w:instrText>be577549a762</w:instrText>
      </w:r>
      <w:r>
        <w:fldChar w:fldCharType="separate"/>
      </w:r>
      <w:r>
        <w:rPr>
          <w:noProof/>
        </w:rPr>
        <w:t>681</w:t>
      </w:r>
      <w:r>
        <w:fldChar w:fldCharType="end"/>
      </w:r>
    </w:p>
    <w:p w:rsidR="000A156F" w:rsidRDefault="00A9721F">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section_aaf2ad21b3cf4832bfc3614966a1fd3e</w:instrText>
      </w:r>
      <w:r>
        <w:fldChar w:fldCharType="separate"/>
      </w:r>
      <w:r>
        <w:rPr>
          <w:noProof/>
        </w:rPr>
        <w:t>227</w:t>
      </w:r>
      <w:r>
        <w:fldChar w:fldCharType="end"/>
      </w:r>
    </w:p>
    <w:p w:rsidR="000A156F" w:rsidRDefault="00A9721F">
      <w:pPr>
        <w:pStyle w:val="indexentry0"/>
      </w:pPr>
      <w:hyperlink w:anchor="section_0adc381aa21a457c8a5a88dc96fa2688">
        <w:r>
          <w:rPr>
            <w:rStyle w:val="Hyperlink"/>
          </w:rPr>
          <w:t>ST_CellForm</w:t>
        </w:r>
        <w:r>
          <w:rPr>
            <w:rStyle w:val="Hyperlink"/>
          </w:rPr>
          <w:t>ulaType (Formula Type)</w:t>
        </w:r>
      </w:hyperlink>
      <w:r>
        <w:t xml:space="preserve"> </w:t>
      </w:r>
      <w:r>
        <w:fldChar w:fldCharType="begin"/>
      </w:r>
      <w:r>
        <w:instrText>PAGEREF section_0adc381aa21a457c8a5a88dc96fa2688</w:instrText>
      </w:r>
      <w:r>
        <w:fldChar w:fldCharType="separate"/>
      </w:r>
      <w:r>
        <w:rPr>
          <w:noProof/>
        </w:rPr>
        <w:t>455</w:t>
      </w:r>
      <w:r>
        <w:fldChar w:fldCharType="end"/>
      </w:r>
    </w:p>
    <w:p w:rsidR="000A156F" w:rsidRDefault="00A9721F">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455</w:t>
      </w:r>
      <w:r>
        <w:fldChar w:fldCharType="end"/>
      </w:r>
    </w:p>
    <w:p w:rsidR="000A156F" w:rsidRDefault="00A9721F">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456</w:t>
      </w:r>
      <w:r>
        <w:fldChar w:fldCharType="end"/>
      </w:r>
    </w:p>
    <w:p w:rsidR="000A156F" w:rsidRDefault="00A9721F">
      <w:pPr>
        <w:pStyle w:val="indexentry0"/>
      </w:pPr>
      <w:hyperlink w:anchor="section_df329b39b03e498395649c7d41edc5b5">
        <w:r>
          <w:rPr>
            <w:rStyle w:val="Hyperlink"/>
          </w:rPr>
          <w:t>ST_CharacterSpacing (Character-Level Whitespace Com</w:t>
        </w:r>
        <w:r>
          <w:rPr>
            <w:rStyle w:val="Hyperlink"/>
          </w:rPr>
          <w:t>pression Settings)</w:t>
        </w:r>
      </w:hyperlink>
      <w:r>
        <w:t xml:space="preserve"> </w:t>
      </w:r>
      <w:r>
        <w:fldChar w:fldCharType="begin"/>
      </w:r>
      <w:r>
        <w:instrText>PAGEREF section_df329b39b03e498395649c7d41edc5b5</w:instrText>
      </w:r>
      <w:r>
        <w:fldChar w:fldCharType="separate"/>
      </w:r>
      <w:r>
        <w:rPr>
          <w:noProof/>
        </w:rPr>
        <w:t>227</w:t>
      </w:r>
      <w:r>
        <w:fldChar w:fldCharType="end"/>
      </w:r>
    </w:p>
    <w:p w:rsidR="000A156F" w:rsidRDefault="00A9721F">
      <w:pPr>
        <w:pStyle w:val="indexentry0"/>
      </w:pPr>
      <w:hyperlink w:anchor="section_57afc6353ade4d41a7313702bf735c42">
        <w:r>
          <w:rPr>
            <w:rStyle w:val="Hyperlink"/>
          </w:rPr>
          <w:t>ST_ColorType (Color Type)</w:t>
        </w:r>
      </w:hyperlink>
      <w:r>
        <w:t xml:space="preserve"> </w:t>
      </w:r>
      <w:r>
        <w:fldChar w:fldCharType="begin"/>
      </w:r>
      <w:r>
        <w:instrText>PAGEREF section_57afc6353ade4d41a7313702bf735c42</w:instrText>
      </w:r>
      <w:r>
        <w:fldChar w:fldCharType="separate"/>
      </w:r>
      <w:r>
        <w:rPr>
          <w:noProof/>
        </w:rPr>
        <w:t>688</w:t>
      </w:r>
      <w:r>
        <w:fldChar w:fldCharType="end"/>
      </w:r>
    </w:p>
    <w:p w:rsidR="000A156F" w:rsidRDefault="00A9721F">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522</w:t>
      </w:r>
      <w:r>
        <w:fldChar w:fldCharType="end"/>
      </w:r>
    </w:p>
    <w:p w:rsidR="000A156F" w:rsidRDefault="00A9721F">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873</w:t>
      </w:r>
      <w:r>
        <w:fldChar w:fldCharType="end"/>
      </w:r>
    </w:p>
    <w:p w:rsidR="000A156F" w:rsidRDefault="00A9721F">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522</w:t>
      </w:r>
      <w:r>
        <w:fldChar w:fldCharType="end"/>
      </w:r>
    </w:p>
    <w:p w:rsidR="000A156F" w:rsidRDefault="00A9721F">
      <w:pPr>
        <w:pStyle w:val="indexentry0"/>
      </w:pPr>
      <w:hyperlink w:anchor="section_d79b2e5047154cb09e8cbfe7d87d113d">
        <w:r>
          <w:rPr>
            <w:rStyle w:val="Hyperlink"/>
          </w:rPr>
          <w:t>ST_Coordinate32 (Coordinate Point)</w:t>
        </w:r>
      </w:hyperlink>
      <w:r>
        <w:t xml:space="preserve"> </w:t>
      </w:r>
      <w:r>
        <w:fldChar w:fldCharType="begin"/>
      </w:r>
      <w:r>
        <w:instrText>PAGEREF sect</w:instrText>
      </w:r>
      <w:r>
        <w:instrText>ion_d79b2e5047154cb09e8cbfe7d87d113d</w:instrText>
      </w:r>
      <w:r>
        <w:fldChar w:fldCharType="separate"/>
      </w:r>
      <w:r>
        <w:rPr>
          <w:noProof/>
        </w:rPr>
        <w:t>522</w:t>
      </w:r>
      <w:r>
        <w:fldChar w:fldCharType="end"/>
      </w:r>
    </w:p>
    <w:p w:rsidR="000A156F" w:rsidRDefault="00A9721F">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837</w:t>
      </w:r>
      <w:r>
        <w:fldChar w:fldCharType="end"/>
      </w:r>
    </w:p>
    <w:p w:rsidR="000A156F" w:rsidRDefault="00A9721F">
      <w:pPr>
        <w:pStyle w:val="indexentry0"/>
      </w:pPr>
      <w:hyperlink w:anchor="section_8f64b974a9a944129ccb91382135586b">
        <w:r>
          <w:rPr>
            <w:rStyle w:val="Hyperlink"/>
          </w:rPr>
          <w:t>ST</w:t>
        </w:r>
        <w:r>
          <w:rPr>
            <w:rStyle w:val="Hyperlink"/>
          </w:rPr>
          <w:t>_CredMethod (Credentials Method)</w:t>
        </w:r>
      </w:hyperlink>
      <w:r>
        <w:t xml:space="preserve"> </w:t>
      </w:r>
      <w:r>
        <w:fldChar w:fldCharType="begin"/>
      </w:r>
      <w:r>
        <w:instrText>PAGEREF section_8f64b974a9a944129ccb91382135586b</w:instrText>
      </w:r>
      <w:r>
        <w:fldChar w:fldCharType="separate"/>
      </w:r>
      <w:r>
        <w:rPr>
          <w:noProof/>
        </w:rPr>
        <w:t>456</w:t>
      </w:r>
      <w:r>
        <w:fldChar w:fldCharType="end"/>
      </w:r>
    </w:p>
    <w:p w:rsidR="000A156F" w:rsidRDefault="00A9721F">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583</w:t>
      </w:r>
      <w:r>
        <w:fldChar w:fldCharType="end"/>
      </w:r>
    </w:p>
    <w:p w:rsidR="000A156F" w:rsidRDefault="00A9721F">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828</w:t>
      </w:r>
      <w:r>
        <w:fldChar w:fldCharType="end"/>
      </w:r>
    </w:p>
    <w:p w:rsidR="000A156F" w:rsidRDefault="00A9721F">
      <w:pPr>
        <w:pStyle w:val="indexentry0"/>
      </w:pPr>
      <w:hyperlink w:anchor="section_67feb752f108441eaca363fc2717117a">
        <w:r>
          <w:rPr>
            <w:rStyle w:val="Hyperlink"/>
          </w:rPr>
          <w:t>ST_DateTime (Standard Date and Time Storage</w:t>
        </w:r>
        <w:r>
          <w:rPr>
            <w:rStyle w:val="Hyperlink"/>
          </w:rPr>
          <w:t xml:space="preserve"> Format)</w:t>
        </w:r>
      </w:hyperlink>
      <w:r>
        <w:t xml:space="preserve"> </w:t>
      </w:r>
      <w:r>
        <w:fldChar w:fldCharType="begin"/>
      </w:r>
      <w:r>
        <w:instrText>PAGEREF section_67feb752f108441eaca363fc2717117a</w:instrText>
      </w:r>
      <w:r>
        <w:fldChar w:fldCharType="separate"/>
      </w:r>
      <w:r>
        <w:rPr>
          <w:noProof/>
        </w:rPr>
        <w:t>828</w:t>
      </w:r>
      <w:r>
        <w:fldChar w:fldCharType="end"/>
      </w:r>
    </w:p>
    <w:p w:rsidR="000A156F" w:rsidRDefault="00A9721F">
      <w:pPr>
        <w:pStyle w:val="indexentry0"/>
      </w:pPr>
      <w:r>
        <w:t>ST_DecimalNumber (Decimal Number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227</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791</w:t>
      </w:r>
      <w:r>
        <w:fldChar w:fldCharType="end"/>
      </w:r>
      <w:r>
        <w:t>)</w:t>
      </w:r>
    </w:p>
    <w:p w:rsidR="000A156F" w:rsidRDefault="00A9721F">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228</w:t>
      </w:r>
      <w:r>
        <w:fldChar w:fldCharType="end"/>
      </w:r>
    </w:p>
    <w:p w:rsidR="000A156F" w:rsidRDefault="00A9721F">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228</w:t>
      </w:r>
      <w:r>
        <w:fldChar w:fldCharType="end"/>
      </w:r>
    </w:p>
    <w:p w:rsidR="000A156F" w:rsidRDefault="00A9721F">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228</w:t>
      </w:r>
      <w:r>
        <w:fldChar w:fldCharType="end"/>
      </w:r>
    </w:p>
    <w:p w:rsidR="000A156F" w:rsidRDefault="00A9721F">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w:instrText>
      </w:r>
      <w:r>
        <w:instrText>ef1</w:instrText>
      </w:r>
      <w:r>
        <w:fldChar w:fldCharType="separate"/>
      </w:r>
      <w:r>
        <w:rPr>
          <w:noProof/>
        </w:rPr>
        <w:t>523</w:t>
      </w:r>
      <w:r>
        <w:fldChar w:fldCharType="end"/>
      </w:r>
    </w:p>
    <w:p w:rsidR="000A156F" w:rsidRDefault="00A9721F">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457</w:t>
      </w:r>
      <w:r>
        <w:fldChar w:fldCharType="end"/>
      </w:r>
    </w:p>
    <w:p w:rsidR="000A156F" w:rsidRDefault="00A9721F">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228</w:t>
      </w:r>
      <w:r>
        <w:fldChar w:fldCharType="end"/>
      </w:r>
    </w:p>
    <w:p w:rsidR="000A156F" w:rsidRDefault="00A9721F">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618</w:t>
      </w:r>
      <w:r>
        <w:fldChar w:fldCharType="end"/>
      </w:r>
    </w:p>
    <w:p w:rsidR="000A156F" w:rsidRDefault="00A9721F">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584</w:t>
      </w:r>
      <w:r>
        <w:fldChar w:fldCharType="end"/>
      </w:r>
    </w:p>
    <w:p w:rsidR="000A156F" w:rsidRDefault="00A9721F">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665</w:t>
      </w:r>
      <w:r>
        <w:fldChar w:fldCharType="end"/>
      </w:r>
    </w:p>
    <w:p w:rsidR="000A156F" w:rsidRDefault="00A9721F">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section_04451925852741c38c05bbfa37d3b618</w:instrText>
      </w:r>
      <w:r>
        <w:fldChar w:fldCharType="separate"/>
      </w:r>
      <w:r>
        <w:rPr>
          <w:noProof/>
        </w:rPr>
        <w:t>229</w:t>
      </w:r>
      <w:r>
        <w:fldChar w:fldCharType="end"/>
      </w:r>
    </w:p>
    <w:p w:rsidR="000A156F" w:rsidRDefault="00A9721F">
      <w:pPr>
        <w:pStyle w:val="indexentry0"/>
      </w:pPr>
      <w:hyperlink w:anchor="section_b174b3b20ea040bf8af47b79f843ebd1">
        <w:r>
          <w:rPr>
            <w:rStyle w:val="Hyperlink"/>
          </w:rPr>
          <w:t>ST_FFName (Form Field Name Value)</w:t>
        </w:r>
      </w:hyperlink>
      <w:r>
        <w:t xml:space="preserve"> </w:t>
      </w:r>
      <w:r>
        <w:fldChar w:fldCharType="begin"/>
      </w:r>
      <w:r>
        <w:instrText xml:space="preserve">PAGEREF </w:instrText>
      </w:r>
      <w:r>
        <w:instrText>section_b174b3b20ea040bf8af47b79f843ebd1</w:instrText>
      </w:r>
      <w:r>
        <w:fldChar w:fldCharType="separate"/>
      </w:r>
      <w:r>
        <w:rPr>
          <w:noProof/>
        </w:rPr>
        <w:t>229</w:t>
      </w:r>
      <w:r>
        <w:fldChar w:fldCharType="end"/>
      </w:r>
    </w:p>
    <w:p w:rsidR="000A156F" w:rsidRDefault="00A9721F">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229</w:t>
      </w:r>
      <w:r>
        <w:fldChar w:fldCharType="end"/>
      </w:r>
    </w:p>
    <w:p w:rsidR="000A156F" w:rsidRDefault="00A9721F">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457</w:t>
      </w:r>
      <w:r>
        <w:fldChar w:fldCharType="end"/>
      </w:r>
    </w:p>
    <w:p w:rsidR="000A156F" w:rsidRDefault="00A9721F">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457</w:t>
      </w:r>
      <w:r>
        <w:fldChar w:fldCharType="end"/>
      </w:r>
    </w:p>
    <w:p w:rsidR="000A156F" w:rsidRDefault="00A9721F">
      <w:pPr>
        <w:pStyle w:val="indexentry0"/>
      </w:pPr>
      <w:hyperlink w:anchor="section_008cd8fe3ce04c7e8cfa41e93a741ff6">
        <w:r>
          <w:rPr>
            <w:rStyle w:val="Hyperlink"/>
          </w:rPr>
          <w:t>ST_FillMethod (Gradient Fill Computation Type)</w:t>
        </w:r>
      </w:hyperlink>
      <w:r>
        <w:t xml:space="preserve"> </w:t>
      </w:r>
      <w:r>
        <w:fldChar w:fldCharType="begin"/>
      </w:r>
      <w:r>
        <w:instrText>PAGEREF section_008cd8fe3ce04c7e8cfa41e93a741ff6</w:instrText>
      </w:r>
      <w:r>
        <w:fldChar w:fldCharType="separate"/>
      </w:r>
      <w:r>
        <w:rPr>
          <w:noProof/>
        </w:rPr>
        <w:t>666</w:t>
      </w:r>
      <w:r>
        <w:fldChar w:fldCharType="end"/>
      </w:r>
    </w:p>
    <w:p w:rsidR="000A156F" w:rsidRDefault="00A9721F">
      <w:pPr>
        <w:pStyle w:val="indexentry0"/>
      </w:pPr>
      <w:r>
        <w:t>ST_FillType (Shape Fill Type) (</w:t>
      </w:r>
      <w:hyperlink w:anchor="section_171b0dbff49c41e19b891784a823b0d0">
        <w:r>
          <w:rPr>
            <w:rStyle w:val="Hyperlink"/>
          </w:rPr>
          <w:t>section 2.1.1815</w:t>
        </w:r>
      </w:hyperlink>
      <w:r>
        <w:t xml:space="preserve"> </w:t>
      </w:r>
      <w:r>
        <w:fldChar w:fldCharType="begin"/>
      </w:r>
      <w:r>
        <w:instrText>PAGEREF section_171b0dbff49c41e19b891784a823b0d0</w:instrText>
      </w:r>
      <w:r>
        <w:fldChar w:fldCharType="separate"/>
      </w:r>
      <w:r>
        <w:rPr>
          <w:noProof/>
        </w:rPr>
        <w:t>666</w:t>
      </w:r>
      <w:r>
        <w:fldChar w:fldCharType="end"/>
      </w:r>
      <w:r>
        <w:t xml:space="preserve">, </w:t>
      </w:r>
      <w:hyperlink w:anchor="section_1f135f48bcf84e1ea0c1b1c87f553189">
        <w:r>
          <w:rPr>
            <w:rStyle w:val="Hyperlink"/>
          </w:rPr>
          <w:t>section 2.1.1846</w:t>
        </w:r>
      </w:hyperlink>
      <w:r>
        <w:t xml:space="preserve"> </w:t>
      </w:r>
      <w:r>
        <w:fldChar w:fldCharType="begin"/>
      </w:r>
      <w:r>
        <w:instrText>PAGEREF section_1f135f48bcf84e1ea0c1b1c87f553189</w:instrText>
      </w:r>
      <w:r>
        <w:fldChar w:fldCharType="separate"/>
      </w:r>
      <w:r>
        <w:rPr>
          <w:noProof/>
        </w:rPr>
        <w:t>681</w:t>
      </w:r>
      <w:r>
        <w:fldChar w:fldCharType="end"/>
      </w:r>
      <w:r>
        <w:t>)</w:t>
      </w:r>
    </w:p>
    <w:p w:rsidR="000A156F" w:rsidRDefault="00A9721F">
      <w:pPr>
        <w:pStyle w:val="indexentry0"/>
      </w:pPr>
      <w:hyperlink w:anchor="section_caf86f6814a24da395878b7c9b671ba7">
        <w:r>
          <w:rPr>
            <w:rStyle w:val="Hyperlink"/>
          </w:rPr>
          <w:t>ST_FixedP</w:t>
        </w:r>
        <w:r>
          <w:rPr>
            <w:rStyle w:val="Hyperlink"/>
          </w:rPr>
          <w:t>ercentage (Fixed Percentage)</w:t>
        </w:r>
      </w:hyperlink>
      <w:r>
        <w:t xml:space="preserve"> </w:t>
      </w:r>
      <w:r>
        <w:fldChar w:fldCharType="begin"/>
      </w:r>
      <w:r>
        <w:instrText>PAGEREF section_caf86f6814a24da395878b7c9b671ba7</w:instrText>
      </w:r>
      <w:r>
        <w:fldChar w:fldCharType="separate"/>
      </w:r>
      <w:r>
        <w:rPr>
          <w:noProof/>
        </w:rPr>
        <w:t>523</w:t>
      </w:r>
      <w:r>
        <w:fldChar w:fldCharType="end"/>
      </w:r>
    </w:p>
    <w:p w:rsidR="000A156F" w:rsidRDefault="00A9721F">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457</w:t>
      </w:r>
      <w:r>
        <w:fldChar w:fldCharType="end"/>
      </w:r>
    </w:p>
    <w:p w:rsidR="000A156F" w:rsidRDefault="00A9721F">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903</w:t>
      </w:r>
      <w:r>
        <w:fldChar w:fldCharType="end"/>
      </w:r>
    </w:p>
    <w:p w:rsidR="000A156F" w:rsidRDefault="00A9721F">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229</w:t>
      </w:r>
      <w:r>
        <w:fldChar w:fldCharType="end"/>
      </w:r>
    </w:p>
    <w:p w:rsidR="000A156F" w:rsidRDefault="00A9721F">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229</w:t>
      </w:r>
      <w:r>
        <w:fldChar w:fldCharType="end"/>
      </w:r>
    </w:p>
    <w:p w:rsidR="000A156F" w:rsidRDefault="00A9721F">
      <w:pPr>
        <w:pStyle w:val="indexentry0"/>
      </w:pPr>
      <w:hyperlink w:anchor="section_9e882b63252440088fd885e34d6585c3">
        <w:r>
          <w:rPr>
            <w:rStyle w:val="Hyperlink"/>
          </w:rPr>
          <w:t>ST_Grouping (Grouping)</w:t>
        </w:r>
      </w:hyperlink>
      <w:r>
        <w:t xml:space="preserve"> </w:t>
      </w:r>
      <w:r>
        <w:fldChar w:fldCharType="begin"/>
      </w:r>
      <w:r>
        <w:instrText>PAGEREF s</w:instrText>
      </w:r>
      <w:r>
        <w:instrText>ection_9e882b63252440088fd885e34d6585c3</w:instrText>
      </w:r>
      <w:r>
        <w:fldChar w:fldCharType="separate"/>
      </w:r>
      <w:r>
        <w:rPr>
          <w:noProof/>
        </w:rPr>
        <w:t>584</w:t>
      </w:r>
      <w:r>
        <w:fldChar w:fldCharType="end"/>
      </w:r>
    </w:p>
    <w:p w:rsidR="000A156F" w:rsidRDefault="00A9721F">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229</w:t>
      </w:r>
      <w:r>
        <w:fldChar w:fldCharType="end"/>
      </w:r>
    </w:p>
    <w:p w:rsidR="000A156F" w:rsidRDefault="00A9721F">
      <w:pPr>
        <w:pStyle w:val="indexentry0"/>
      </w:pPr>
      <w:hyperlink w:anchor="section_c242dee3bf9c4be99bcdd49379689221">
        <w:r>
          <w:rPr>
            <w:rStyle w:val="Hyperlink"/>
          </w:rPr>
          <w:t>ST_</w:t>
        </w:r>
        <w:r>
          <w:rPr>
            <w:rStyle w:val="Hyperlink"/>
          </w:rPr>
          <w:t>Hint (Font Type Hint)</w:t>
        </w:r>
      </w:hyperlink>
      <w:r>
        <w:t xml:space="preserve"> </w:t>
      </w:r>
      <w:r>
        <w:fldChar w:fldCharType="begin"/>
      </w:r>
      <w:r>
        <w:instrText>PAGEREF section_c242dee3bf9c4be99bcdd49379689221</w:instrText>
      </w:r>
      <w:r>
        <w:fldChar w:fldCharType="separate"/>
      </w:r>
      <w:r>
        <w:rPr>
          <w:noProof/>
        </w:rPr>
        <w:t>230</w:t>
      </w:r>
      <w:r>
        <w:fldChar w:fldCharType="end"/>
      </w:r>
    </w:p>
    <w:p w:rsidR="000A156F" w:rsidRDefault="00A9721F">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584</w:t>
      </w:r>
      <w:r>
        <w:fldChar w:fldCharType="end"/>
      </w:r>
    </w:p>
    <w:p w:rsidR="000A156F" w:rsidRDefault="00A9721F">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682</w:t>
      </w:r>
      <w:r>
        <w:fldChar w:fldCharType="end"/>
      </w:r>
    </w:p>
    <w:p w:rsidR="000A156F" w:rsidRDefault="00A9721F">
      <w:pPr>
        <w:pStyle w:val="indexentry0"/>
      </w:pPr>
      <w:hyperlink w:anchor="section_2d0bf5facdf44e5f9a49d3b3e0a2a35c">
        <w:r>
          <w:rPr>
            <w:rStyle w:val="Hyperlink"/>
          </w:rPr>
          <w:t>ST_HpsMeasure (Measurement in Half-</w:t>
        </w:r>
        <w:r>
          <w:rPr>
            <w:rStyle w:val="Hyperlink"/>
          </w:rPr>
          <w:t>Points)</w:t>
        </w:r>
      </w:hyperlink>
      <w:r>
        <w:t xml:space="preserve"> </w:t>
      </w:r>
      <w:r>
        <w:fldChar w:fldCharType="begin"/>
      </w:r>
      <w:r>
        <w:instrText>PAGEREF section_2d0bf5facdf44e5f9a49d3b3e0a2a35c</w:instrText>
      </w:r>
      <w:r>
        <w:fldChar w:fldCharType="separate"/>
      </w:r>
      <w:r>
        <w:rPr>
          <w:noProof/>
        </w:rPr>
        <w:t>230</w:t>
      </w:r>
      <w:r>
        <w:fldChar w:fldCharType="end"/>
      </w:r>
    </w:p>
    <w:p w:rsidR="000A156F" w:rsidRDefault="00A9721F">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457</w:t>
      </w:r>
      <w:r>
        <w:fldChar w:fldCharType="end"/>
      </w:r>
    </w:p>
    <w:p w:rsidR="000A156F" w:rsidRDefault="00A9721F">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873</w:t>
      </w:r>
      <w:r>
        <w:fldChar w:fldCharType="end"/>
      </w:r>
    </w:p>
    <w:p w:rsidR="000A156F" w:rsidRDefault="00A9721F">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230</w:t>
      </w:r>
      <w:r>
        <w:fldChar w:fldCharType="end"/>
      </w:r>
    </w:p>
    <w:p w:rsidR="000A156F" w:rsidRDefault="00A9721F">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612</w:t>
      </w:r>
      <w:r>
        <w:fldChar w:fldCharType="end"/>
      </w:r>
    </w:p>
    <w:p w:rsidR="000A156F" w:rsidRDefault="00A9721F">
      <w:pPr>
        <w:pStyle w:val="indexentry0"/>
      </w:pPr>
      <w:hyperlink w:anchor="section_ed06cf15306c43be9053ca81ca51e656">
        <w:r>
          <w:rPr>
            <w:rStyle w:val="Hyperlink"/>
          </w:rPr>
          <w:t>ST_Lang (Language Reference)</w:t>
        </w:r>
      </w:hyperlink>
      <w:r>
        <w:t xml:space="preserve"> </w:t>
      </w:r>
      <w:r>
        <w:fldChar w:fldCharType="begin"/>
      </w:r>
      <w:r>
        <w:instrText>PAGEREF section_ed06cf1530</w:instrText>
      </w:r>
      <w:r>
        <w:instrText>6c43be9053ca81ca51e656</w:instrText>
      </w:r>
      <w:r>
        <w:fldChar w:fldCharType="separate"/>
      </w:r>
      <w:r>
        <w:rPr>
          <w:noProof/>
        </w:rPr>
        <w:t>620</w:t>
      </w:r>
      <w:r>
        <w:fldChar w:fldCharType="end"/>
      </w:r>
    </w:p>
    <w:p w:rsidR="000A156F" w:rsidRDefault="00A9721F">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584</w:t>
      </w:r>
      <w:r>
        <w:fldChar w:fldCharType="end"/>
      </w:r>
    </w:p>
    <w:p w:rsidR="000A156F" w:rsidRDefault="00A9721F">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section_3184709832934157b36a7d48f3d9e56c</w:instrText>
      </w:r>
      <w:r>
        <w:fldChar w:fldCharType="separate"/>
      </w:r>
      <w:r>
        <w:rPr>
          <w:noProof/>
        </w:rPr>
        <w:t>523</w:t>
      </w:r>
      <w:r>
        <w:fldChar w:fldCharType="end"/>
      </w:r>
    </w:p>
    <w:p w:rsidR="000A156F" w:rsidRDefault="00A9721F">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section_d1735889ad9d47ffa697563a1668319f</w:instrText>
      </w:r>
      <w:r>
        <w:fldChar w:fldCharType="separate"/>
      </w:r>
      <w:r>
        <w:rPr>
          <w:noProof/>
        </w:rPr>
        <w:t>523</w:t>
      </w:r>
      <w:r>
        <w:fldChar w:fldCharType="end"/>
      </w:r>
    </w:p>
    <w:p w:rsidR="000A156F" w:rsidRDefault="00A9721F">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524</w:t>
      </w:r>
      <w:r>
        <w:fldChar w:fldCharType="end"/>
      </w:r>
    </w:p>
    <w:p w:rsidR="000A156F" w:rsidRDefault="00A9721F">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524</w:t>
      </w:r>
      <w:r>
        <w:fldChar w:fldCharType="end"/>
      </w:r>
    </w:p>
    <w:p w:rsidR="000A156F" w:rsidRDefault="00A9721F">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792</w:t>
      </w:r>
      <w:r>
        <w:fldChar w:fldCharType="end"/>
      </w:r>
    </w:p>
    <w:p w:rsidR="000A156F" w:rsidRDefault="00A9721F">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904</w:t>
      </w:r>
      <w:r>
        <w:fldChar w:fldCharType="end"/>
      </w:r>
    </w:p>
    <w:p w:rsidR="000A156F" w:rsidRDefault="00A9721F">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w:instrText>
      </w:r>
      <w:r>
        <w:instrText>89892b800884fc2b546a4e8704b3c2c</w:instrText>
      </w:r>
      <w:r>
        <w:fldChar w:fldCharType="separate"/>
      </w:r>
      <w:r>
        <w:rPr>
          <w:noProof/>
        </w:rPr>
        <w:t>230</w:t>
      </w:r>
      <w:r>
        <w:fldChar w:fldCharType="end"/>
      </w:r>
    </w:p>
    <w:p w:rsidR="000A156F" w:rsidRDefault="00A9721F">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584</w:t>
      </w:r>
      <w:r>
        <w:fldChar w:fldCharType="end"/>
      </w:r>
    </w:p>
    <w:p w:rsidR="000A156F" w:rsidRDefault="00A9721F">
      <w:pPr>
        <w:pStyle w:val="indexentry0"/>
      </w:pPr>
      <w:hyperlink w:anchor="section_205e43f89d014953a67fd7c91ccd6ffd">
        <w:r>
          <w:rPr>
            <w:rStyle w:val="Hyperlink"/>
          </w:rPr>
          <w:t>ST_MarkupId (An</w:t>
        </w:r>
        <w:r>
          <w:rPr>
            <w:rStyle w:val="Hyperlink"/>
          </w:rPr>
          <w:t>notation Identifier)</w:t>
        </w:r>
      </w:hyperlink>
      <w:r>
        <w:t xml:space="preserve"> </w:t>
      </w:r>
      <w:r>
        <w:fldChar w:fldCharType="begin"/>
      </w:r>
      <w:r>
        <w:instrText>PAGEREF section_205e43f89d014953a67fd7c91ccd6ffd</w:instrText>
      </w:r>
      <w:r>
        <w:fldChar w:fldCharType="separate"/>
      </w:r>
      <w:r>
        <w:rPr>
          <w:noProof/>
        </w:rPr>
        <w:t>829</w:t>
      </w:r>
      <w:r>
        <w:fldChar w:fldCharType="end"/>
      </w:r>
    </w:p>
    <w:p w:rsidR="000A156F" w:rsidRDefault="00A9721F">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230</w:t>
      </w:r>
      <w:r>
        <w:fldChar w:fldCharType="end"/>
      </w:r>
    </w:p>
    <w:p w:rsidR="000A156F" w:rsidRDefault="00A9721F">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829</w:t>
      </w:r>
      <w:r>
        <w:fldChar w:fldCharType="end"/>
      </w:r>
    </w:p>
    <w:p w:rsidR="000A156F" w:rsidRDefault="00A9721F">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PAGEREF section_96</w:instrText>
      </w:r>
      <w:r>
        <w:instrText>13ebd34b174f35b1931665d0e3b8a5</w:instrText>
      </w:r>
      <w:r>
        <w:fldChar w:fldCharType="separate"/>
      </w:r>
      <w:r>
        <w:rPr>
          <w:noProof/>
        </w:rPr>
        <w:t>829</w:t>
      </w:r>
      <w:r>
        <w:fldChar w:fldCharType="end"/>
      </w:r>
    </w:p>
    <w:p w:rsidR="000A156F" w:rsidRDefault="00A9721F">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230</w:t>
      </w:r>
      <w:r>
        <w:fldChar w:fldCharType="end"/>
      </w:r>
    </w:p>
    <w:p w:rsidR="000A156F" w:rsidRDefault="00A9721F">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457</w:t>
      </w:r>
      <w:r>
        <w:fldChar w:fldCharType="end"/>
      </w:r>
    </w:p>
    <w:p w:rsidR="000A156F" w:rsidRDefault="00A9721F">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904</w:t>
      </w:r>
      <w:r>
        <w:fldChar w:fldCharType="end"/>
      </w:r>
    </w:p>
    <w:p w:rsidR="000A156F" w:rsidRDefault="00A9721F">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905</w:t>
      </w:r>
      <w:r>
        <w:fldChar w:fldCharType="end"/>
      </w:r>
    </w:p>
    <w:p w:rsidR="000A156F" w:rsidRDefault="00A9721F">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w:instrText>
      </w:r>
      <w:r>
        <w:instrText>baf9ffb650d747c6944fdba3f307a332</w:instrText>
      </w:r>
      <w:r>
        <w:fldChar w:fldCharType="separate"/>
      </w:r>
      <w:r>
        <w:rPr>
          <w:noProof/>
        </w:rPr>
        <w:t>681</w:t>
      </w:r>
      <w:r>
        <w:fldChar w:fldCharType="end"/>
      </w:r>
    </w:p>
    <w:p w:rsidR="000A156F" w:rsidRDefault="00A9721F">
      <w:pPr>
        <w:pStyle w:val="indexentry0"/>
      </w:pPr>
      <w:r>
        <w:t>ST_OnOff (On/Off Value) (</w:t>
      </w:r>
      <w:hyperlink w:anchor="section_aacf0e0fe33940ed8532ff57a2e6f8a6">
        <w:r>
          <w:rPr>
            <w:rStyle w:val="Hyperlink"/>
          </w:rPr>
          <w:t>section 2.1.1744</w:t>
        </w:r>
      </w:hyperlink>
      <w:r>
        <w:t xml:space="preserve"> </w:t>
      </w:r>
      <w:r>
        <w:fldChar w:fldCharType="begin"/>
      </w:r>
      <w:r>
        <w:instrText>PAGEREF section_aacf0e0fe33940ed8532ff57a2e6f8a6</w:instrText>
      </w:r>
      <w:r>
        <w:fldChar w:fldCharType="separate"/>
      </w:r>
      <w:r>
        <w:rPr>
          <w:noProof/>
        </w:rPr>
        <w:t>627</w:t>
      </w:r>
      <w:r>
        <w:fldChar w:fldCharType="end"/>
      </w:r>
      <w:r>
        <w:t xml:space="preserve">, </w:t>
      </w:r>
      <w:hyperlink w:anchor="section_815fcc39dc6c44f8ad2787b1d9f21571">
        <w:r>
          <w:rPr>
            <w:rStyle w:val="Hyperlink"/>
          </w:rPr>
          <w:t>s</w:t>
        </w:r>
        <w:r>
          <w:rPr>
            <w:rStyle w:val="Hyperlink"/>
          </w:rPr>
          <w:t>ection 3.1.2.3.3</w:t>
        </w:r>
      </w:hyperlink>
      <w:r>
        <w:t xml:space="preserve"> </w:t>
      </w:r>
      <w:r>
        <w:fldChar w:fldCharType="begin"/>
      </w:r>
      <w:r>
        <w:instrText>PAGEREF section_815fcc39dc6c44f8ad2787b1d9f21571</w:instrText>
      </w:r>
      <w:r>
        <w:fldChar w:fldCharType="separate"/>
      </w:r>
      <w:r>
        <w:rPr>
          <w:noProof/>
        </w:rPr>
        <w:t>792</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section_79cbec698430479d88c056dd44369074</w:instrText>
      </w:r>
      <w:r>
        <w:fldChar w:fldCharType="separate"/>
      </w:r>
      <w:r>
        <w:rPr>
          <w:noProof/>
        </w:rPr>
        <w:t>830</w:t>
      </w:r>
      <w:r>
        <w:fldChar w:fldCharType="end"/>
      </w:r>
      <w:r>
        <w:t>)</w:t>
      </w:r>
    </w:p>
    <w:p w:rsidR="000A156F" w:rsidRDefault="00A9721F">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585</w:t>
      </w:r>
      <w:r>
        <w:fldChar w:fldCharType="end"/>
      </w:r>
    </w:p>
    <w:p w:rsidR="000A156F" w:rsidRDefault="00A9721F">
      <w:pPr>
        <w:pStyle w:val="indexentry0"/>
      </w:pPr>
      <w:hyperlink w:anchor="section_aedde12f31894c22b1363b7a6b93e574">
        <w:r>
          <w:rPr>
            <w:rStyle w:val="Hyperlink"/>
          </w:rPr>
          <w:t>ST_PageBorderDisplay (Page Border Display Options)</w:t>
        </w:r>
      </w:hyperlink>
      <w:r>
        <w:t xml:space="preserve"> </w:t>
      </w:r>
      <w:r>
        <w:fldChar w:fldCharType="begin"/>
      </w:r>
      <w:r>
        <w:instrText>PAGEREF section_aedde12f31894c22b1363b7a6b93e574</w:instrText>
      </w:r>
      <w:r>
        <w:fldChar w:fldCharType="separate"/>
      </w:r>
      <w:r>
        <w:rPr>
          <w:noProof/>
        </w:rPr>
        <w:t>233</w:t>
      </w:r>
      <w:r>
        <w:fldChar w:fldCharType="end"/>
      </w:r>
    </w:p>
    <w:p w:rsidR="000A156F" w:rsidRDefault="00A9721F">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593</w:t>
      </w:r>
      <w:r>
        <w:fldChar w:fldCharType="end"/>
      </w:r>
    </w:p>
    <w:p w:rsidR="000A156F" w:rsidRDefault="00A9721F">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524</w:t>
      </w:r>
      <w:r>
        <w:fldChar w:fldCharType="end"/>
      </w:r>
    </w:p>
    <w:p w:rsidR="000A156F" w:rsidRDefault="00A9721F">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section_b3bbaebcf2ca4a799efdec0d1d3c6d9c</w:instrText>
      </w:r>
      <w:r>
        <w:fldChar w:fldCharType="separate"/>
      </w:r>
      <w:r>
        <w:rPr>
          <w:noProof/>
        </w:rPr>
        <w:t>525</w:t>
      </w:r>
      <w:r>
        <w:fldChar w:fldCharType="end"/>
      </w:r>
    </w:p>
    <w:p w:rsidR="000A156F" w:rsidRDefault="00A9721F">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525</w:t>
      </w:r>
      <w:r>
        <w:fldChar w:fldCharType="end"/>
      </w:r>
    </w:p>
    <w:p w:rsidR="000A156F" w:rsidRDefault="00A9721F">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585</w:t>
      </w:r>
      <w:r>
        <w:fldChar w:fldCharType="end"/>
      </w:r>
    </w:p>
    <w:p w:rsidR="000A156F" w:rsidRDefault="00A9721F">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887</w:t>
      </w:r>
      <w:r>
        <w:fldChar w:fldCharType="end"/>
      </w:r>
    </w:p>
    <w:p w:rsidR="000A156F" w:rsidRDefault="00A9721F">
      <w:pPr>
        <w:pStyle w:val="indexentry0"/>
      </w:pPr>
      <w:hyperlink w:anchor="section_0215ce81e51b4bf7a61b27f8f76121ea">
        <w:r>
          <w:rPr>
            <w:rStyle w:val="Hyperlink"/>
          </w:rPr>
          <w:t>ST_Perspective (Perspective)</w:t>
        </w:r>
      </w:hyperlink>
      <w:r>
        <w:t xml:space="preserve"> </w:t>
      </w:r>
      <w:r>
        <w:fldChar w:fldCharType="begin"/>
      </w:r>
      <w:r>
        <w:instrText>PAGEREF section_0215ce81e51b4</w:instrText>
      </w:r>
      <w:r>
        <w:instrText>bf7a61b27f8f76121ea</w:instrText>
      </w:r>
      <w:r>
        <w:fldChar w:fldCharType="separate"/>
      </w:r>
      <w:r>
        <w:rPr>
          <w:noProof/>
        </w:rPr>
        <w:t>585</w:t>
      </w:r>
      <w:r>
        <w:fldChar w:fldCharType="end"/>
      </w:r>
    </w:p>
    <w:p w:rsidR="000A156F" w:rsidRDefault="00A9721F">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458</w:t>
      </w:r>
      <w:r>
        <w:fldChar w:fldCharType="end"/>
      </w:r>
    </w:p>
    <w:p w:rsidR="000A156F" w:rsidRDefault="00A9721F">
      <w:pPr>
        <w:pStyle w:val="indexentry0"/>
      </w:pPr>
      <w:hyperlink w:anchor="section_a6e7bb555213462cbced2b1225810888">
        <w:r>
          <w:rPr>
            <w:rStyle w:val="Hyperlink"/>
          </w:rPr>
          <w:t>ST_PhotoAlbumFrameShape (</w:t>
        </w:r>
        <w:r>
          <w:rPr>
            <w:rStyle w:val="Hyperlink"/>
          </w:rPr>
          <w:t>Photo Album Shape for Photo Mask)</w:t>
        </w:r>
      </w:hyperlink>
      <w:r>
        <w:t xml:space="preserve"> </w:t>
      </w:r>
      <w:r>
        <w:fldChar w:fldCharType="begin"/>
      </w:r>
      <w:r>
        <w:instrText>PAGEREF section_a6e7bb555213462cbced2b1225810888</w:instrText>
      </w:r>
      <w:r>
        <w:fldChar w:fldCharType="separate"/>
      </w:r>
      <w:r>
        <w:rPr>
          <w:noProof/>
        </w:rPr>
        <w:t>491</w:t>
      </w:r>
      <w:r>
        <w:fldChar w:fldCharType="end"/>
      </w:r>
    </w:p>
    <w:p w:rsidR="000A156F" w:rsidRDefault="00A9721F">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585</w:t>
      </w:r>
      <w:r>
        <w:fldChar w:fldCharType="end"/>
      </w:r>
    </w:p>
    <w:p w:rsidR="000A156F" w:rsidRDefault="00A9721F">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458</w:t>
      </w:r>
      <w:r>
        <w:fldChar w:fldCharType="end"/>
      </w:r>
    </w:p>
    <w:p w:rsidR="000A156F" w:rsidRDefault="00A9721F">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233</w:t>
      </w:r>
      <w:r>
        <w:fldChar w:fldCharType="end"/>
      </w:r>
    </w:p>
    <w:p w:rsidR="000A156F" w:rsidRDefault="00A9721F">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section_518012ebe873450781192c51bf1081ed</w:instrText>
      </w:r>
      <w:r>
        <w:fldChar w:fldCharType="separate"/>
      </w:r>
      <w:r>
        <w:rPr>
          <w:noProof/>
        </w:rPr>
        <w:t>525</w:t>
      </w:r>
      <w:r>
        <w:fldChar w:fldCharType="end"/>
      </w:r>
    </w:p>
    <w:p w:rsidR="000A156F" w:rsidRDefault="00A9721F">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897</w:t>
      </w:r>
      <w:r>
        <w:fldChar w:fldCharType="end"/>
      </w:r>
    </w:p>
    <w:p w:rsidR="000A156F" w:rsidRDefault="00A9721F">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w:instrText>
      </w:r>
      <w:r>
        <w:instrText>bb67113e7</w:instrText>
      </w:r>
      <w:r>
        <w:fldChar w:fldCharType="separate"/>
      </w:r>
      <w:r>
        <w:rPr>
          <w:noProof/>
        </w:rPr>
        <w:t>525</w:t>
      </w:r>
      <w:r>
        <w:fldChar w:fldCharType="end"/>
      </w:r>
    </w:p>
    <w:p w:rsidR="000A156F" w:rsidRDefault="00A9721F">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526</w:t>
      </w:r>
      <w:r>
        <w:fldChar w:fldCharType="end"/>
      </w:r>
    </w:p>
    <w:p w:rsidR="000A156F" w:rsidRDefault="00A9721F">
      <w:pPr>
        <w:pStyle w:val="indexentry0"/>
      </w:pPr>
      <w:hyperlink w:anchor="section_8582a1426af4433fbcd977be5aacefaf">
        <w:r>
          <w:rPr>
            <w:rStyle w:val="Hyperlink"/>
          </w:rPr>
          <w:t>ST_PresetMaterialType (Prese</w:t>
        </w:r>
        <w:r>
          <w:rPr>
            <w:rStyle w:val="Hyperlink"/>
          </w:rPr>
          <w:t>t Material Type)</w:t>
        </w:r>
      </w:hyperlink>
      <w:r>
        <w:t xml:space="preserve"> </w:t>
      </w:r>
      <w:r>
        <w:fldChar w:fldCharType="begin"/>
      </w:r>
      <w:r>
        <w:instrText>PAGEREF section_8582a1426af4433fbcd977be5aacefaf</w:instrText>
      </w:r>
      <w:r>
        <w:fldChar w:fldCharType="separate"/>
      </w:r>
      <w:r>
        <w:rPr>
          <w:noProof/>
        </w:rPr>
        <w:t>526</w:t>
      </w:r>
      <w:r>
        <w:fldChar w:fldCharType="end"/>
      </w:r>
    </w:p>
    <w:p w:rsidR="000A156F" w:rsidRDefault="00A9721F">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233</w:t>
      </w:r>
      <w:r>
        <w:fldChar w:fldCharType="end"/>
      </w:r>
    </w:p>
    <w:p w:rsidR="000A156F" w:rsidRDefault="00A9721F">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862</w:t>
      </w:r>
      <w:r>
        <w:fldChar w:fldCharType="end"/>
      </w:r>
    </w:p>
    <w:p w:rsidR="000A156F" w:rsidRDefault="00A9721F">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585</w:t>
      </w:r>
      <w:r>
        <w:fldChar w:fldCharType="end"/>
      </w:r>
    </w:p>
    <w:p w:rsidR="000A156F" w:rsidRDefault="00A9721F">
      <w:pPr>
        <w:pStyle w:val="indexentry0"/>
      </w:pPr>
      <w:hyperlink w:anchor="section_fe7f7a7d5ec741f886313ac7884f0883">
        <w:r>
          <w:rPr>
            <w:rStyle w:val="Hyperlink"/>
          </w:rPr>
          <w:t>ST_Ref (Cell References)</w:t>
        </w:r>
      </w:hyperlink>
      <w:r>
        <w:t xml:space="preserve"> </w:t>
      </w:r>
      <w:r>
        <w:fldChar w:fldCharType="begin"/>
      </w:r>
      <w:r>
        <w:instrText>PAGEREF section_fe7f7a7d5ec741f886313ac7884f0883</w:instrText>
      </w:r>
      <w:r>
        <w:fldChar w:fldCharType="separate"/>
      </w:r>
      <w:r>
        <w:rPr>
          <w:noProof/>
        </w:rPr>
        <w:t>458</w:t>
      </w:r>
      <w:r>
        <w:fldChar w:fldCharType="end"/>
      </w:r>
    </w:p>
    <w:p w:rsidR="000A156F" w:rsidRDefault="00A9721F">
      <w:pPr>
        <w:pStyle w:val="indexentry0"/>
      </w:pPr>
      <w:hyperlink w:anchor="section_bfae8b6f1af14788b99a0a544efa2a81">
        <w:r>
          <w:rPr>
            <w:rStyle w:val="Hyperlink"/>
          </w:rPr>
          <w:t>ST_RefA (Single Cell Reference)</w:t>
        </w:r>
      </w:hyperlink>
      <w:r>
        <w:t xml:space="preserve"> </w:t>
      </w:r>
      <w:r>
        <w:fldChar w:fldCharType="begin"/>
      </w:r>
      <w:r>
        <w:instrText>PAGEREF section_bfa</w:instrText>
      </w:r>
      <w:r>
        <w:instrText>e8b6f1af14788b99a0a544efa2a81</w:instrText>
      </w:r>
      <w:r>
        <w:fldChar w:fldCharType="separate"/>
      </w:r>
      <w:r>
        <w:rPr>
          <w:noProof/>
        </w:rPr>
        <w:t>458</w:t>
      </w:r>
      <w:r>
        <w:fldChar w:fldCharType="end"/>
      </w:r>
    </w:p>
    <w:p w:rsidR="000A156F" w:rsidRDefault="00A9721F">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619</w:t>
      </w:r>
      <w:r>
        <w:fldChar w:fldCharType="end"/>
      </w:r>
    </w:p>
    <w:p w:rsidR="000A156F" w:rsidRDefault="00A9721F">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233</w:t>
      </w:r>
      <w:r>
        <w:fldChar w:fldCharType="end"/>
      </w:r>
    </w:p>
    <w:p w:rsidR="000A156F" w:rsidRDefault="00A9721F">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585</w:t>
      </w:r>
      <w:r>
        <w:fldChar w:fldCharType="end"/>
      </w:r>
    </w:p>
    <w:p w:rsidR="000A156F" w:rsidRDefault="00A9721F">
      <w:pPr>
        <w:pStyle w:val="indexentry0"/>
      </w:pPr>
      <w:hyperlink w:anchor="section_f3ca1d613ed0477c868017ac5f2accec">
        <w:r>
          <w:rPr>
            <w:rStyle w:val="Hyperlink"/>
          </w:rPr>
          <w:t>ST_SecondaryChildAlignment (Secondary Child Alignment)</w:t>
        </w:r>
      </w:hyperlink>
      <w:r>
        <w:t xml:space="preserve"> </w:t>
      </w:r>
      <w:r>
        <w:fldChar w:fldCharType="begin"/>
      </w:r>
      <w:r>
        <w:instrText>PAGEREF section_f3ca1d613ed0477c868017ac5f2accec</w:instrText>
      </w:r>
      <w:r>
        <w:fldChar w:fldCharType="separate"/>
      </w:r>
      <w:r>
        <w:rPr>
          <w:noProof/>
        </w:rPr>
        <w:t>600</w:t>
      </w:r>
      <w:r>
        <w:fldChar w:fldCharType="end"/>
      </w:r>
    </w:p>
    <w:p w:rsidR="000A156F" w:rsidRDefault="00A9721F">
      <w:pPr>
        <w:pStyle w:val="indexentry0"/>
      </w:pPr>
      <w:hyperlink w:anchor="section_9aca776fecc4466e837ede0dff2e505e">
        <w:r>
          <w:rPr>
            <w:rStyle w:val="Hyperlink"/>
          </w:rPr>
          <w:t>ST_SecondaryLinearDirection (Second</w:t>
        </w:r>
        <w:r>
          <w:rPr>
            <w:rStyle w:val="Hyperlink"/>
          </w:rPr>
          <w:t>ary Linear Direction)</w:t>
        </w:r>
      </w:hyperlink>
      <w:r>
        <w:t xml:space="preserve"> </w:t>
      </w:r>
      <w:r>
        <w:fldChar w:fldCharType="begin"/>
      </w:r>
      <w:r>
        <w:instrText>PAGEREF section_9aca776fecc4466e837ede0dff2e505e</w:instrText>
      </w:r>
      <w:r>
        <w:fldChar w:fldCharType="separate"/>
      </w:r>
      <w:r>
        <w:rPr>
          <w:noProof/>
        </w:rPr>
        <w:t>600</w:t>
      </w:r>
      <w:r>
        <w:fldChar w:fldCharType="end"/>
      </w:r>
    </w:p>
    <w:p w:rsidR="000A156F" w:rsidRDefault="00A9721F">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666</w:t>
      </w:r>
      <w:r>
        <w:fldChar w:fldCharType="end"/>
      </w:r>
    </w:p>
    <w:p w:rsidR="000A156F" w:rsidRDefault="00A9721F">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586</w:t>
      </w:r>
      <w:r>
        <w:fldChar w:fldCharType="end"/>
      </w:r>
    </w:p>
    <w:p w:rsidR="000A156F" w:rsidRDefault="00A9721F">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528</w:t>
      </w:r>
      <w:r>
        <w:fldChar w:fldCharType="end"/>
      </w:r>
    </w:p>
    <w:p w:rsidR="000A156F" w:rsidRDefault="00A9721F">
      <w:pPr>
        <w:pStyle w:val="indexentry0"/>
      </w:pPr>
      <w:hyperlink w:anchor="section_cbffdb4854864e6ba7fde43fc3fd5f63">
        <w:r>
          <w:rPr>
            <w:rStyle w:val="Hyperlink"/>
          </w:rPr>
          <w:t>ST_ShapeType (Preset Shape Types)</w:t>
        </w:r>
      </w:hyperlink>
      <w:r>
        <w:t xml:space="preserve"> </w:t>
      </w:r>
      <w:r>
        <w:fldChar w:fldCharType="begin"/>
      </w:r>
      <w:r>
        <w:instrText>PAGEREF section_cbffdb4854864e6ba7fde43fc3fd5f63</w:instrText>
      </w:r>
      <w:r>
        <w:fldChar w:fldCharType="separate"/>
      </w:r>
      <w:r>
        <w:rPr>
          <w:noProof/>
        </w:rPr>
        <w:t>528</w:t>
      </w:r>
      <w:r>
        <w:fldChar w:fldCharType="end"/>
      </w:r>
    </w:p>
    <w:p w:rsidR="000A156F" w:rsidRDefault="00A9721F">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w:instrText>
      </w:r>
      <w:r>
        <w:instrText>7d0205</w:instrText>
      </w:r>
      <w:r>
        <w:fldChar w:fldCharType="separate"/>
      </w:r>
      <w:r>
        <w:rPr>
          <w:noProof/>
        </w:rPr>
        <w:t>905</w:t>
      </w:r>
      <w:r>
        <w:fldChar w:fldCharType="end"/>
      </w:r>
    </w:p>
    <w:p w:rsidR="000A156F" w:rsidRDefault="00A9721F">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234</w:t>
      </w:r>
      <w:r>
        <w:fldChar w:fldCharType="end"/>
      </w:r>
    </w:p>
    <w:p w:rsidR="000A156F" w:rsidRDefault="00A9721F">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793</w:t>
      </w:r>
      <w:r>
        <w:fldChar w:fldCharType="end"/>
      </w:r>
    </w:p>
    <w:p w:rsidR="000A156F" w:rsidRDefault="00A9721F">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612</w:t>
      </w:r>
      <w:r>
        <w:fldChar w:fldCharType="end"/>
      </w:r>
    </w:p>
    <w:p w:rsidR="000A156F" w:rsidRDefault="00A9721F">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section_4e92419771bc4dd7a396a223845eba27</w:instrText>
      </w:r>
      <w:r>
        <w:fldChar w:fldCharType="separate"/>
      </w:r>
      <w:r>
        <w:rPr>
          <w:noProof/>
        </w:rPr>
        <w:t>897</w:t>
      </w:r>
      <w:r>
        <w:fldChar w:fldCharType="end"/>
      </w:r>
    </w:p>
    <w:p w:rsidR="000A156F" w:rsidRDefault="00A9721F">
      <w:pPr>
        <w:pStyle w:val="indexentry0"/>
      </w:pPr>
      <w:hyperlink w:anchor="section_2fdd7f10d23a40ee9431d04ec89bb73c">
        <w:r>
          <w:rPr>
            <w:rStyle w:val="Hyperlink"/>
          </w:rPr>
          <w:t>ST_SignatureProviderUrl (Signature Provide</w:t>
        </w:r>
        <w:r>
          <w:rPr>
            <w:rStyle w:val="Hyperlink"/>
          </w:rPr>
          <w:t>r URL)</w:t>
        </w:r>
      </w:hyperlink>
      <w:r>
        <w:t xml:space="preserve"> </w:t>
      </w:r>
      <w:r>
        <w:fldChar w:fldCharType="begin"/>
      </w:r>
      <w:r>
        <w:instrText>PAGEREF section_2fdd7f10d23a40ee9431d04ec89bb73c</w:instrText>
      </w:r>
      <w:r>
        <w:fldChar w:fldCharType="separate"/>
      </w:r>
      <w:r>
        <w:rPr>
          <w:noProof/>
        </w:rPr>
        <w:t>897</w:t>
      </w:r>
      <w:r>
        <w:fldChar w:fldCharType="end"/>
      </w:r>
    </w:p>
    <w:p w:rsidR="000A156F" w:rsidRDefault="00A9721F">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898</w:t>
      </w:r>
      <w:r>
        <w:fldChar w:fldCharType="end"/>
      </w:r>
    </w:p>
    <w:p w:rsidR="000A156F" w:rsidRDefault="00A9721F">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898</w:t>
      </w:r>
      <w:r>
        <w:fldChar w:fldCharType="end"/>
      </w:r>
    </w:p>
    <w:p w:rsidR="000A156F" w:rsidRDefault="00A9721F">
      <w:pPr>
        <w:pStyle w:val="indexentry0"/>
      </w:pPr>
      <w:hyperlink w:anchor="section_e9dec6c502ac46a4941bbe63ccf1bbe2">
        <w:r>
          <w:rPr>
            <w:rStyle w:val="Hyperlink"/>
          </w:rPr>
          <w:t>ST_SignedDecimalNumberMax-2 (Decimal Number Va</w:t>
        </w:r>
        <w:r>
          <w:rPr>
            <w:rStyle w:val="Hyperlink"/>
          </w:rPr>
          <w:t>lue Max -2)</w:t>
        </w:r>
      </w:hyperlink>
      <w:r>
        <w:t xml:space="preserve"> </w:t>
      </w:r>
      <w:r>
        <w:fldChar w:fldCharType="begin"/>
      </w:r>
      <w:r>
        <w:instrText>PAGEREF section_e9dec6c502ac46a4941bbe63ccf1bbe2</w:instrText>
      </w:r>
      <w:r>
        <w:fldChar w:fldCharType="separate"/>
      </w:r>
      <w:r>
        <w:rPr>
          <w:noProof/>
        </w:rPr>
        <w:t>831</w:t>
      </w:r>
      <w:r>
        <w:fldChar w:fldCharType="end"/>
      </w:r>
    </w:p>
    <w:p w:rsidR="000A156F" w:rsidRDefault="00A9721F">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section_ec90ea290277451c89455d04dd0db08a</w:instrText>
      </w:r>
      <w:r>
        <w:fldChar w:fldCharType="separate"/>
      </w:r>
      <w:r>
        <w:rPr>
          <w:noProof/>
        </w:rPr>
        <w:t>234</w:t>
      </w:r>
      <w:r>
        <w:fldChar w:fldCharType="end"/>
      </w:r>
    </w:p>
    <w:p w:rsidR="000A156F" w:rsidRDefault="00A9721F">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section_5bc2ab7004c742d89784bf7101866b87</w:instrText>
      </w:r>
      <w:r>
        <w:fldChar w:fldCharType="separate"/>
      </w:r>
      <w:r>
        <w:rPr>
          <w:noProof/>
        </w:rPr>
        <w:t>234</w:t>
      </w:r>
      <w:r>
        <w:fldChar w:fldCharType="end"/>
      </w:r>
    </w:p>
    <w:p w:rsidR="000A156F" w:rsidRDefault="00A9721F">
      <w:pPr>
        <w:pStyle w:val="indexentry0"/>
      </w:pPr>
      <w:hyperlink w:anchor="section_be0b8235f8534143a208dd2e3e11d0f1">
        <w:r>
          <w:rPr>
            <w:rStyle w:val="Hyperlink"/>
          </w:rPr>
          <w:t>ST_Skip (Skip)</w:t>
        </w:r>
      </w:hyperlink>
      <w:r>
        <w:t xml:space="preserve"> </w:t>
      </w:r>
      <w:r>
        <w:fldChar w:fldCharType="begin"/>
      </w:r>
      <w:r>
        <w:instrText>PAGEREF sectio</w:instrText>
      </w:r>
      <w:r>
        <w:instrText>n_be0b8235f8534143a208dd2e3e11d0f1</w:instrText>
      </w:r>
      <w:r>
        <w:fldChar w:fldCharType="separate"/>
      </w:r>
      <w:r>
        <w:rPr>
          <w:noProof/>
        </w:rPr>
        <w:t>586</w:t>
      </w:r>
      <w:r>
        <w:fldChar w:fldCharType="end"/>
      </w:r>
    </w:p>
    <w:p w:rsidR="000A156F" w:rsidRDefault="00A9721F">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846</w:t>
      </w:r>
      <w:r>
        <w:fldChar w:fldCharType="end"/>
      </w:r>
    </w:p>
    <w:p w:rsidR="000A156F" w:rsidRDefault="00A9721F">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910</w:t>
      </w:r>
      <w:r>
        <w:fldChar w:fldCharType="end"/>
      </w:r>
    </w:p>
    <w:p w:rsidR="000A156F" w:rsidRDefault="00A9721F">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586</w:t>
      </w:r>
      <w:r>
        <w:fldChar w:fldCharType="end"/>
      </w:r>
    </w:p>
    <w:p w:rsidR="000A156F" w:rsidRDefault="00A9721F">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458</w:t>
      </w:r>
      <w:r>
        <w:fldChar w:fldCharType="end"/>
      </w:r>
    </w:p>
    <w:p w:rsidR="000A156F" w:rsidRDefault="00A9721F">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888</w:t>
      </w:r>
      <w:r>
        <w:fldChar w:fldCharType="end"/>
      </w:r>
    </w:p>
    <w:p w:rsidR="000A156F" w:rsidRDefault="00A9721F">
      <w:pPr>
        <w:pStyle w:val="indexentry0"/>
      </w:pPr>
      <w:r>
        <w:t>ST_String (</w:t>
      </w:r>
      <w:r>
        <w:t>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794</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w:instrText>
      </w:r>
      <w:r>
        <w:instrText>80ac59a443946fa732</w:instrText>
      </w:r>
      <w:r>
        <w:fldChar w:fldCharType="separate"/>
      </w:r>
      <w:r>
        <w:rPr>
          <w:noProof/>
        </w:rPr>
        <w:t>831</w:t>
      </w:r>
      <w:r>
        <w:fldChar w:fldCharType="end"/>
      </w:r>
      <w:r>
        <w:t>)</w:t>
      </w:r>
    </w:p>
    <w:p w:rsidR="000A156F" w:rsidRDefault="00A9721F">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832</w:t>
      </w:r>
      <w:r>
        <w:fldChar w:fldCharType="end"/>
      </w:r>
    </w:p>
    <w:p w:rsidR="000A156F" w:rsidRDefault="00A9721F">
      <w:pPr>
        <w:pStyle w:val="indexentry0"/>
      </w:pPr>
      <w:hyperlink w:anchor="section_b74c454c6c644828955971894d36105b">
        <w:r>
          <w:rPr>
            <w:rStyle w:val="Hyperlink"/>
          </w:rPr>
          <w:t>ST_String260 (String)</w:t>
        </w:r>
      </w:hyperlink>
      <w:r>
        <w:t xml:space="preserve"> </w:t>
      </w:r>
      <w:r>
        <w:fldChar w:fldCharType="begin"/>
      </w:r>
      <w:r>
        <w:instrText>PAGEREF sec</w:instrText>
      </w:r>
      <w:r>
        <w:instrText>tion_b74c454c6c644828955971894d36105b</w:instrText>
      </w:r>
      <w:r>
        <w:fldChar w:fldCharType="separate"/>
      </w:r>
      <w:r>
        <w:rPr>
          <w:noProof/>
        </w:rPr>
        <w:t>832</w:t>
      </w:r>
      <w:r>
        <w:fldChar w:fldCharType="end"/>
      </w:r>
    </w:p>
    <w:p w:rsidR="000A156F" w:rsidRDefault="00A9721F">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586</w:t>
      </w:r>
      <w:r>
        <w:fldChar w:fldCharType="end"/>
      </w:r>
    </w:p>
    <w:p w:rsidR="000A156F" w:rsidRDefault="00A9721F">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234</w:t>
      </w:r>
      <w:r>
        <w:fldChar w:fldCharType="end"/>
      </w:r>
    </w:p>
    <w:p w:rsidR="000A156F" w:rsidRDefault="00A9721F">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459</w:t>
      </w:r>
      <w:r>
        <w:fldChar w:fldCharType="end"/>
      </w:r>
    </w:p>
    <w:p w:rsidR="000A156F" w:rsidRDefault="00A9721F">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234</w:t>
      </w:r>
      <w:r>
        <w:fldChar w:fldCharType="end"/>
      </w:r>
    </w:p>
    <w:p w:rsidR="000A156F" w:rsidRDefault="00A9721F">
      <w:pPr>
        <w:pStyle w:val="indexentry0"/>
      </w:pPr>
      <w:hyperlink w:anchor="section_86ec6af2eea646a09d1eb2c640d0b129">
        <w:r>
          <w:rPr>
            <w:rStyle w:val="Hyperlink"/>
          </w:rPr>
          <w:t>ST_TextAnchoringType (Text Anch</w:t>
        </w:r>
        <w:r>
          <w:rPr>
            <w:rStyle w:val="Hyperlink"/>
          </w:rPr>
          <w:t>oring Types)</w:t>
        </w:r>
      </w:hyperlink>
      <w:r>
        <w:t xml:space="preserve"> </w:t>
      </w:r>
      <w:r>
        <w:fldChar w:fldCharType="begin"/>
      </w:r>
      <w:r>
        <w:instrText>PAGEREF section_86ec6af2eea646a09d1eb2c640d0b129</w:instrText>
      </w:r>
      <w:r>
        <w:fldChar w:fldCharType="separate"/>
      </w:r>
      <w:r>
        <w:rPr>
          <w:noProof/>
        </w:rPr>
        <w:t>528</w:t>
      </w:r>
      <w:r>
        <w:fldChar w:fldCharType="end"/>
      </w:r>
    </w:p>
    <w:p w:rsidR="000A156F" w:rsidRDefault="00A9721F">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529</w:t>
      </w:r>
      <w:r>
        <w:fldChar w:fldCharType="end"/>
      </w:r>
    </w:p>
    <w:p w:rsidR="000A156F" w:rsidRDefault="00A9721F">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529</w:t>
      </w:r>
      <w:r>
        <w:fldChar w:fldCharType="end"/>
      </w:r>
    </w:p>
    <w:p w:rsidR="000A156F" w:rsidRDefault="00A9721F">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w:instrText>
      </w:r>
      <w:r>
        <w:instrText>1aab193562caeda1103</w:instrText>
      </w:r>
      <w:r>
        <w:fldChar w:fldCharType="separate"/>
      </w:r>
      <w:r>
        <w:rPr>
          <w:noProof/>
        </w:rPr>
        <w:t>235</w:t>
      </w:r>
      <w:r>
        <w:fldChar w:fldCharType="end"/>
      </w:r>
    </w:p>
    <w:p w:rsidR="000A156F" w:rsidRDefault="00A9721F">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236</w:t>
      </w:r>
      <w:r>
        <w:fldChar w:fldCharType="end"/>
      </w:r>
    </w:p>
    <w:p w:rsidR="000A156F" w:rsidRDefault="00A9721F">
      <w:pPr>
        <w:pStyle w:val="indexentry0"/>
      </w:pPr>
      <w:hyperlink w:anchor="section_9b207b134ab84a8781ec4f95aba3b248">
        <w:r>
          <w:rPr>
            <w:rStyle w:val="Hyperlink"/>
          </w:rPr>
          <w:t>ST_TextFontScalePer</w:t>
        </w:r>
        <w:r>
          <w:rPr>
            <w:rStyle w:val="Hyperlink"/>
          </w:rPr>
          <w:t>cent (Text Font Scale Percentage)</w:t>
        </w:r>
      </w:hyperlink>
      <w:r>
        <w:t xml:space="preserve"> </w:t>
      </w:r>
      <w:r>
        <w:fldChar w:fldCharType="begin"/>
      </w:r>
      <w:r>
        <w:instrText>PAGEREF section_9b207b134ab84a8781ec4f95aba3b248</w:instrText>
      </w:r>
      <w:r>
        <w:fldChar w:fldCharType="separate"/>
      </w:r>
      <w:r>
        <w:rPr>
          <w:noProof/>
        </w:rPr>
        <w:t>638</w:t>
      </w:r>
      <w:r>
        <w:fldChar w:fldCharType="end"/>
      </w:r>
    </w:p>
    <w:p w:rsidR="000A156F" w:rsidRDefault="00A9721F">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section_aafaec4651ce4ded843c2</w:instrText>
      </w:r>
      <w:r>
        <w:instrText>9edc8b74740</w:instrText>
      </w:r>
      <w:r>
        <w:fldChar w:fldCharType="separate"/>
      </w:r>
      <w:r>
        <w:rPr>
          <w:noProof/>
        </w:rPr>
        <w:t>529</w:t>
      </w:r>
      <w:r>
        <w:fldChar w:fldCharType="end"/>
      </w:r>
    </w:p>
    <w:p w:rsidR="000A156F" w:rsidRDefault="00A9721F">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529</w:t>
      </w:r>
      <w:r>
        <w:fldChar w:fldCharType="end"/>
      </w:r>
    </w:p>
    <w:p w:rsidR="000A156F" w:rsidRDefault="00A9721F">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529</w:t>
      </w:r>
      <w:r>
        <w:fldChar w:fldCharType="end"/>
      </w:r>
    </w:p>
    <w:p w:rsidR="000A156F" w:rsidRDefault="00A9721F">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236</w:t>
      </w:r>
      <w:r>
        <w:fldChar w:fldCharType="end"/>
      </w:r>
    </w:p>
    <w:p w:rsidR="000A156F" w:rsidRDefault="00A9721F">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530</w:t>
      </w:r>
      <w:r>
        <w:fldChar w:fldCharType="end"/>
      </w:r>
    </w:p>
    <w:p w:rsidR="000A156F" w:rsidRDefault="00A9721F">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638</w:t>
      </w:r>
      <w:r>
        <w:fldChar w:fldCharType="end"/>
      </w:r>
    </w:p>
    <w:p w:rsidR="000A156F" w:rsidRDefault="00A9721F">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section_c4a93e8e6a084e53b18375282751b959</w:instrText>
      </w:r>
      <w:r>
        <w:fldChar w:fldCharType="separate"/>
      </w:r>
      <w:r>
        <w:rPr>
          <w:noProof/>
        </w:rPr>
        <w:t>530</w:t>
      </w:r>
      <w:r>
        <w:fldChar w:fldCharType="end"/>
      </w:r>
    </w:p>
    <w:p w:rsidR="000A156F" w:rsidRDefault="00A9721F">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530</w:t>
      </w:r>
      <w:r>
        <w:fldChar w:fldCharType="end"/>
      </w:r>
    </w:p>
    <w:p w:rsidR="000A156F" w:rsidRDefault="00A9721F">
      <w:pPr>
        <w:pStyle w:val="indexentry0"/>
      </w:pPr>
      <w:hyperlink w:anchor="section_94ad7a5d0d0a4e7c926e3dca76cde068">
        <w:r>
          <w:rPr>
            <w:rStyle w:val="Hyperlink"/>
          </w:rPr>
          <w:t>ST_TextUnderlineType (Text Underline Ty</w:t>
        </w:r>
        <w:r>
          <w:rPr>
            <w:rStyle w:val="Hyperlink"/>
          </w:rPr>
          <w:t>pes)</w:t>
        </w:r>
      </w:hyperlink>
      <w:r>
        <w:t xml:space="preserve"> </w:t>
      </w:r>
      <w:r>
        <w:fldChar w:fldCharType="begin"/>
      </w:r>
      <w:r>
        <w:instrText>PAGEREF section_94ad7a5d0d0a4e7c926e3dca76cde068</w:instrText>
      </w:r>
      <w:r>
        <w:fldChar w:fldCharType="separate"/>
      </w:r>
      <w:r>
        <w:rPr>
          <w:noProof/>
        </w:rPr>
        <w:t>531</w:t>
      </w:r>
      <w:r>
        <w:fldChar w:fldCharType="end"/>
      </w:r>
    </w:p>
    <w:p w:rsidR="000A156F" w:rsidRDefault="00A9721F">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531</w:t>
      </w:r>
      <w:r>
        <w:fldChar w:fldCharType="end"/>
      </w:r>
    </w:p>
    <w:p w:rsidR="000A156F" w:rsidRDefault="00A9721F">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493</w:t>
      </w:r>
      <w:r>
        <w:fldChar w:fldCharType="end"/>
      </w:r>
    </w:p>
    <w:p w:rsidR="000A156F" w:rsidRDefault="00A9721F">
      <w:pPr>
        <w:pStyle w:val="indexentry0"/>
      </w:pPr>
      <w:hyperlink w:anchor="section_e1478454837249af8963620f9f11ceb7">
        <w:r>
          <w:rPr>
            <w:rStyle w:val="Hyperlink"/>
          </w:rPr>
          <w:t>ST_TLAnimateMotionBehaviorOrigin (Time List Animate M</w:t>
        </w:r>
        <w:r>
          <w:rPr>
            <w:rStyle w:val="Hyperlink"/>
          </w:rPr>
          <w:t>otion Behavior Origin)</w:t>
        </w:r>
      </w:hyperlink>
      <w:r>
        <w:t xml:space="preserve"> </w:t>
      </w:r>
      <w:r>
        <w:fldChar w:fldCharType="begin"/>
      </w:r>
      <w:r>
        <w:instrText>PAGEREF section_e1478454837249af8963620f9f11ceb7</w:instrText>
      </w:r>
      <w:r>
        <w:fldChar w:fldCharType="separate"/>
      </w:r>
      <w:r>
        <w:rPr>
          <w:noProof/>
        </w:rPr>
        <w:t>493</w:t>
      </w:r>
      <w:r>
        <w:fldChar w:fldCharType="end"/>
      </w:r>
    </w:p>
    <w:p w:rsidR="000A156F" w:rsidRDefault="00A9721F">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section_16c12ef48608468c8ff133b4ba0ac056</w:instrText>
      </w:r>
      <w:r>
        <w:fldChar w:fldCharType="separate"/>
      </w:r>
      <w:r>
        <w:rPr>
          <w:noProof/>
        </w:rPr>
        <w:t>493</w:t>
      </w:r>
      <w:r>
        <w:fldChar w:fldCharType="end"/>
      </w:r>
    </w:p>
    <w:p w:rsidR="000A156F" w:rsidRDefault="00A9721F">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493</w:t>
      </w:r>
      <w:r>
        <w:fldChar w:fldCharType="end"/>
      </w:r>
    </w:p>
    <w:p w:rsidR="000A156F" w:rsidRDefault="00A9721F">
      <w:pPr>
        <w:pStyle w:val="indexentry0"/>
      </w:pPr>
      <w:hyperlink w:anchor="section_a9dc8c5b9ef849729200113eddc54e18">
        <w:r>
          <w:rPr>
            <w:rStyle w:val="Hyperlink"/>
          </w:rPr>
          <w:t>ST_TLTime (Time)</w:t>
        </w:r>
      </w:hyperlink>
      <w:r>
        <w:t xml:space="preserve"> </w:t>
      </w:r>
      <w:r>
        <w:fldChar w:fldCharType="begin"/>
      </w:r>
      <w:r>
        <w:instrText xml:space="preserve">PAGEREF </w:instrText>
      </w:r>
      <w:r>
        <w:instrText>section_a9dc8c5b9ef849729200113eddc54e18</w:instrText>
      </w:r>
      <w:r>
        <w:fldChar w:fldCharType="separate"/>
      </w:r>
      <w:r>
        <w:rPr>
          <w:noProof/>
        </w:rPr>
        <w:t>493</w:t>
      </w:r>
      <w:r>
        <w:fldChar w:fldCharType="end"/>
      </w:r>
    </w:p>
    <w:p w:rsidR="000A156F" w:rsidRDefault="00A9721F">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493</w:t>
      </w:r>
      <w:r>
        <w:fldChar w:fldCharType="end"/>
      </w:r>
    </w:p>
    <w:p w:rsidR="000A156F" w:rsidRDefault="00A9721F">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494</w:t>
      </w:r>
      <w:r>
        <w:fldChar w:fldCharType="end"/>
      </w:r>
    </w:p>
    <w:p w:rsidR="000A156F" w:rsidRDefault="00A9721F">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w:instrText>
      </w:r>
      <w:r>
        <w:instrText>56a4eaaa0b1723c7aef9b99</w:instrText>
      </w:r>
      <w:r>
        <w:fldChar w:fldCharType="separate"/>
      </w:r>
      <w:r>
        <w:rPr>
          <w:noProof/>
        </w:rPr>
        <w:t>494</w:t>
      </w:r>
      <w:r>
        <w:fldChar w:fldCharType="end"/>
      </w:r>
    </w:p>
    <w:p w:rsidR="000A156F" w:rsidRDefault="00A9721F">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494</w:t>
      </w:r>
      <w:r>
        <w:fldChar w:fldCharType="end"/>
      </w:r>
    </w:p>
    <w:p w:rsidR="000A156F" w:rsidRDefault="00A9721F">
      <w:pPr>
        <w:pStyle w:val="indexentry0"/>
      </w:pPr>
      <w:hyperlink w:anchor="section_b020773c92774a4181691f29c9b3f0de">
        <w:r>
          <w:rPr>
            <w:rStyle w:val="Hyperlink"/>
          </w:rPr>
          <w:t>ST_TopBot (Top-Bott</w:t>
        </w:r>
        <w:r>
          <w:rPr>
            <w:rStyle w:val="Hyperlink"/>
          </w:rPr>
          <w:t>om)</w:t>
        </w:r>
      </w:hyperlink>
      <w:r>
        <w:t xml:space="preserve"> </w:t>
      </w:r>
      <w:r>
        <w:fldChar w:fldCharType="begin"/>
      </w:r>
      <w:r>
        <w:instrText>PAGEREF section_b020773c92774a4181691f29c9b3f0de</w:instrText>
      </w:r>
      <w:r>
        <w:fldChar w:fldCharType="separate"/>
      </w:r>
      <w:r>
        <w:rPr>
          <w:noProof/>
        </w:rPr>
        <w:t>612</w:t>
      </w:r>
      <w:r>
        <w:fldChar w:fldCharType="end"/>
      </w:r>
    </w:p>
    <w:p w:rsidR="000A156F" w:rsidRDefault="00A9721F">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section_99e8f4cc2f6c46638cf5b044dddc7e1c</w:instrText>
      </w:r>
      <w:r>
        <w:fldChar w:fldCharType="separate"/>
      </w:r>
      <w:r>
        <w:rPr>
          <w:noProof/>
        </w:rPr>
        <w:t>459</w:t>
      </w:r>
      <w:r>
        <w:fldChar w:fldCharType="end"/>
      </w:r>
    </w:p>
    <w:p w:rsidR="000A156F" w:rsidRDefault="00A9721F">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586</w:t>
      </w:r>
      <w:r>
        <w:fldChar w:fldCharType="end"/>
      </w:r>
    </w:p>
    <w:p w:rsidR="000A156F" w:rsidRDefault="00A9721F">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section_c3aaaaf541984b30a06a526413997642</w:instrText>
      </w:r>
      <w:r>
        <w:fldChar w:fldCharType="separate"/>
      </w:r>
      <w:r>
        <w:rPr>
          <w:noProof/>
        </w:rPr>
        <w:t>693</w:t>
      </w:r>
      <w:r>
        <w:fldChar w:fldCharType="end"/>
      </w:r>
    </w:p>
    <w:p w:rsidR="000A156F" w:rsidRDefault="00A9721F">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874</w:t>
      </w:r>
      <w:r>
        <w:fldChar w:fldCharType="end"/>
      </w:r>
    </w:p>
    <w:p w:rsidR="000A156F" w:rsidRDefault="00A9721F">
      <w:pPr>
        <w:pStyle w:val="indexentry0"/>
      </w:pPr>
      <w:hyperlink w:anchor="section_36a8c9a33650482fb5602ec6ab9fadab">
        <w:r>
          <w:rPr>
            <w:rStyle w:val="Hyperlink"/>
          </w:rPr>
          <w:t>ST_T</w:t>
        </w:r>
        <w:r>
          <w:rPr>
            <w:rStyle w:val="Hyperlink"/>
          </w:rPr>
          <w:t>wipsMeasure (Measurement in Twentieths of a Point)</w:t>
        </w:r>
      </w:hyperlink>
      <w:r>
        <w:t xml:space="preserve"> </w:t>
      </w:r>
      <w:r>
        <w:fldChar w:fldCharType="begin"/>
      </w:r>
      <w:r>
        <w:instrText>PAGEREF section_36a8c9a33650482fb5602ec6ab9fadab</w:instrText>
      </w:r>
      <w:r>
        <w:fldChar w:fldCharType="separate"/>
      </w:r>
      <w:r>
        <w:rPr>
          <w:noProof/>
        </w:rPr>
        <w:t>627</w:t>
      </w:r>
      <w:r>
        <w:fldChar w:fldCharType="end"/>
      </w:r>
    </w:p>
    <w:p w:rsidR="000A156F" w:rsidRDefault="00A9721F">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874</w:t>
      </w:r>
      <w:r>
        <w:fldChar w:fldCharType="end"/>
      </w:r>
    </w:p>
    <w:p w:rsidR="000A156F" w:rsidRDefault="00A9721F">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899</w:t>
      </w:r>
      <w:r>
        <w:fldChar w:fldCharType="end"/>
      </w:r>
    </w:p>
    <w:p w:rsidR="000A156F" w:rsidRDefault="00A9721F">
      <w:pPr>
        <w:pStyle w:val="indexentry0"/>
      </w:pPr>
      <w:hyperlink w:anchor="section_ab99726155c24ba4b3b99819b200389d">
        <w:r>
          <w:rPr>
            <w:rStyle w:val="Hyperlink"/>
          </w:rPr>
          <w:t>ST_UniqueIdentifierWithoutBrace</w:t>
        </w:r>
        <w:r>
          <w:rPr>
            <w:rStyle w:val="Hyperlink"/>
          </w:rPr>
          <w:t>s (Unique Identifier without Braces)</w:t>
        </w:r>
      </w:hyperlink>
      <w:r>
        <w:t xml:space="preserve"> </w:t>
      </w:r>
      <w:r>
        <w:fldChar w:fldCharType="begin"/>
      </w:r>
      <w:r>
        <w:instrText>PAGEREF section_ab99726155c24ba4b3b99819b200389d</w:instrText>
      </w:r>
      <w:r>
        <w:fldChar w:fldCharType="separate"/>
      </w:r>
      <w:r>
        <w:rPr>
          <w:noProof/>
        </w:rPr>
        <w:t>875</w:t>
      </w:r>
      <w:r>
        <w:fldChar w:fldCharType="end"/>
      </w:r>
    </w:p>
    <w:p w:rsidR="000A156F" w:rsidRDefault="00A9721F">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section_5e4c54421b28482ea1ae61157400f</w:instrText>
      </w:r>
      <w:r>
        <w:instrText>c89</w:instrText>
      </w:r>
      <w:r>
        <w:fldChar w:fldCharType="separate"/>
      </w:r>
      <w:r>
        <w:rPr>
          <w:noProof/>
        </w:rPr>
        <w:t>628</w:t>
      </w:r>
      <w:r>
        <w:fldChar w:fldCharType="end"/>
      </w:r>
    </w:p>
    <w:p w:rsidR="000A156F" w:rsidRDefault="00A9721F">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612</w:t>
      </w:r>
      <w:r>
        <w:fldChar w:fldCharType="end"/>
      </w:r>
    </w:p>
    <w:p w:rsidR="000A156F" w:rsidRDefault="00A9721F">
      <w:pPr>
        <w:pStyle w:val="indexentry0"/>
      </w:pPr>
      <w:hyperlink w:anchor="section_49537dee2826428a984e70e8d44af015">
        <w:r>
          <w:rPr>
            <w:rStyle w:val="Hyperlink"/>
          </w:rPr>
          <w:t>ST_UpdateLinks (Update Links Behav</w:t>
        </w:r>
        <w:r>
          <w:rPr>
            <w:rStyle w:val="Hyperlink"/>
          </w:rPr>
          <w:t>ior Types)</w:t>
        </w:r>
      </w:hyperlink>
      <w:r>
        <w:t xml:space="preserve"> </w:t>
      </w:r>
      <w:r>
        <w:fldChar w:fldCharType="begin"/>
      </w:r>
      <w:r>
        <w:instrText>PAGEREF section_49537dee2826428a984e70e8d44af015</w:instrText>
      </w:r>
      <w:r>
        <w:fldChar w:fldCharType="separate"/>
      </w:r>
      <w:r>
        <w:rPr>
          <w:noProof/>
        </w:rPr>
        <w:t>459</w:t>
      </w:r>
      <w:r>
        <w:fldChar w:fldCharType="end"/>
      </w:r>
    </w:p>
    <w:p w:rsidR="000A156F" w:rsidRDefault="00A9721F">
      <w:pPr>
        <w:pStyle w:val="indexentry0"/>
      </w:pPr>
      <w:hyperlink w:anchor="section_9c80c836e9844ac89c825d2d5bf63221">
        <w:r>
          <w:rPr>
            <w:rStyle w:val="Hyperlink"/>
          </w:rPr>
          <w:t>ST_Version (Version)</w:t>
        </w:r>
      </w:hyperlink>
      <w:r>
        <w:t xml:space="preserve"> </w:t>
      </w:r>
      <w:r>
        <w:fldChar w:fldCharType="begin"/>
      </w:r>
      <w:r>
        <w:instrText>PAGEREF section_9c80c836e9844ac89c825d2d5bf63221</w:instrText>
      </w:r>
      <w:r>
        <w:fldChar w:fldCharType="separate"/>
      </w:r>
      <w:r>
        <w:rPr>
          <w:noProof/>
        </w:rPr>
        <w:t>899</w:t>
      </w:r>
      <w:r>
        <w:fldChar w:fldCharType="end"/>
      </w:r>
    </w:p>
    <w:p w:rsidR="000A156F" w:rsidRDefault="00A9721F">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682</w:t>
      </w:r>
      <w:r>
        <w:fldChar w:fldCharType="end"/>
      </w:r>
    </w:p>
    <w:p w:rsidR="000A156F" w:rsidRDefault="00A9721F">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section_d9309b78fe044bf79a64f30ff80215a9</w:instrText>
      </w:r>
      <w:r>
        <w:fldChar w:fldCharType="separate"/>
      </w:r>
      <w:r>
        <w:rPr>
          <w:noProof/>
        </w:rPr>
        <w:t>236</w:t>
      </w:r>
      <w:r>
        <w:fldChar w:fldCharType="end"/>
      </w:r>
    </w:p>
    <w:p w:rsidR="000A156F" w:rsidRDefault="00A9721F">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236</w:t>
      </w:r>
      <w:r>
        <w:fldChar w:fldCharType="end"/>
      </w:r>
    </w:p>
    <w:p w:rsidR="000A156F" w:rsidRDefault="00A9721F">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section_3f5152a76417405bbadc827205e1f4f0</w:instrText>
      </w:r>
      <w:r>
        <w:fldChar w:fldCharType="separate"/>
      </w:r>
      <w:r>
        <w:rPr>
          <w:noProof/>
        </w:rPr>
        <w:t>495</w:t>
      </w:r>
      <w:r>
        <w:fldChar w:fldCharType="end"/>
      </w:r>
    </w:p>
    <w:p w:rsidR="000A156F" w:rsidRDefault="00A9721F">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460</w:t>
      </w:r>
      <w:r>
        <w:fldChar w:fldCharType="end"/>
      </w:r>
    </w:p>
    <w:p w:rsidR="000A156F" w:rsidRDefault="00A9721F">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460</w:t>
      </w:r>
      <w:r>
        <w:fldChar w:fldCharType="end"/>
      </w:r>
    </w:p>
    <w:p w:rsidR="000A156F" w:rsidRDefault="00A9721F">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236</w:t>
      </w:r>
      <w:r>
        <w:fldChar w:fldCharType="end"/>
      </w:r>
    </w:p>
    <w:p w:rsidR="000A156F" w:rsidRDefault="00A9721F">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628</w:t>
      </w:r>
      <w:r>
        <w:fldChar w:fldCharType="end"/>
      </w:r>
    </w:p>
    <w:p w:rsidR="000A156F" w:rsidRDefault="00A9721F">
      <w:pPr>
        <w:pStyle w:val="indexentry0"/>
      </w:pPr>
      <w:hyperlink w:anchor="section_56cfa653d6124212a1a7b3e67b96edc2">
        <w:r>
          <w:rPr>
            <w:rStyle w:val="Hyperlink"/>
          </w:rPr>
          <w:t>start (Leading Edge Border)</w:t>
        </w:r>
      </w:hyperlink>
      <w:r>
        <w:t xml:space="preserve"> </w:t>
      </w:r>
      <w:r>
        <w:fldChar w:fldCharType="begin"/>
      </w:r>
      <w:r>
        <w:instrText>PAGEREF section_56cfa6</w:instrText>
      </w:r>
      <w:r>
        <w:instrText>53d6124212a1a7b3e67b96edc2</w:instrText>
      </w:r>
      <w:r>
        <w:fldChar w:fldCharType="separate"/>
      </w:r>
      <w:r>
        <w:rPr>
          <w:noProof/>
        </w:rPr>
        <w:t>310</w:t>
      </w:r>
      <w:r>
        <w:fldChar w:fldCharType="end"/>
      </w:r>
    </w:p>
    <w:p w:rsidR="000A156F" w:rsidRDefault="00A9721F">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125</w:t>
      </w:r>
      <w:r>
        <w:fldChar w:fldCharType="end"/>
      </w:r>
    </w:p>
    <w:p w:rsidR="000A156F" w:rsidRDefault="00A9721F">
      <w:pPr>
        <w:pStyle w:val="indexentry0"/>
      </w:pPr>
      <w:hyperlink w:anchor="section_e904b9013e03484fa606b4c9ac291538">
        <w:r>
          <w:rPr>
            <w:rStyle w:val="Hyperlink"/>
          </w:rPr>
          <w:t>start (Table Cell Leading E</w:t>
        </w:r>
        <w:r>
          <w:rPr>
            <w:rStyle w:val="Hyperlink"/>
          </w:rPr>
          <w:t>dge Border)</w:t>
        </w:r>
      </w:hyperlink>
      <w:r>
        <w:t xml:space="preserve"> </w:t>
      </w:r>
      <w:r>
        <w:fldChar w:fldCharType="begin"/>
      </w:r>
      <w:r>
        <w:instrText>PAGEREF section_e904b9013e03484fa606b4c9ac291538</w:instrText>
      </w:r>
      <w:r>
        <w:fldChar w:fldCharType="separate"/>
      </w:r>
      <w:r>
        <w:rPr>
          <w:noProof/>
        </w:rPr>
        <w:t>85</w:t>
      </w:r>
      <w:r>
        <w:fldChar w:fldCharType="end"/>
      </w:r>
    </w:p>
    <w:p w:rsidR="000A156F" w:rsidRDefault="00A9721F">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85</w:t>
      </w:r>
      <w:r>
        <w:fldChar w:fldCharType="end"/>
      </w:r>
    </w:p>
    <w:p w:rsidR="000A156F" w:rsidRDefault="00A9721F">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85</w:t>
      </w:r>
      <w:r>
        <w:fldChar w:fldCharType="end"/>
      </w:r>
    </w:p>
    <w:p w:rsidR="000A156F" w:rsidRDefault="00A9721F">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85</w:t>
      </w:r>
      <w:r>
        <w:fldChar w:fldCharType="end"/>
      </w:r>
    </w:p>
    <w:p w:rsidR="000A156F" w:rsidRDefault="00A9721F">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532</w:t>
      </w:r>
      <w:r>
        <w:fldChar w:fldCharType="end"/>
      </w:r>
    </w:p>
    <w:p w:rsidR="000A156F" w:rsidRDefault="00A9721F">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772</w:t>
      </w:r>
      <w:r>
        <w:fldChar w:fldCharType="end"/>
      </w:r>
    </w:p>
    <w:p w:rsidR="000A156F" w:rsidRDefault="00A9721F">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498</w:t>
      </w:r>
      <w:r>
        <w:fldChar w:fldCharType="end"/>
      </w:r>
    </w:p>
    <w:p w:rsidR="000A156F" w:rsidRDefault="00A9721F">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447</w:t>
      </w:r>
      <w:r>
        <w:fldChar w:fldCharType="end"/>
      </w:r>
    </w:p>
    <w:p w:rsidR="000A156F" w:rsidRDefault="00A9721F">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447</w:t>
      </w:r>
      <w:r>
        <w:fldChar w:fldCharType="end"/>
      </w:r>
    </w:p>
    <w:p w:rsidR="000A156F" w:rsidRDefault="00A9721F">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447</w:t>
      </w:r>
      <w:r>
        <w:fldChar w:fldCharType="end"/>
      </w:r>
    </w:p>
    <w:p w:rsidR="000A156F" w:rsidRDefault="00A9721F">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447</w:t>
      </w:r>
      <w:r>
        <w:fldChar w:fldCharType="end"/>
      </w:r>
    </w:p>
    <w:p w:rsidR="000A156F" w:rsidRDefault="00A9721F">
      <w:pPr>
        <w:pStyle w:val="indexentry0"/>
      </w:pPr>
      <w:hyperlink w:anchor="section_62ebad67e8234c9ba37c4ef566da94f0">
        <w:r>
          <w:rPr>
            <w:rStyle w:val="Hyperlink"/>
          </w:rPr>
          <w:t>stop (Gradi</w:t>
        </w:r>
        <w:r>
          <w:rPr>
            <w:rStyle w:val="Hyperlink"/>
          </w:rPr>
          <w:t>ent Stop)</w:t>
        </w:r>
      </w:hyperlink>
      <w:r>
        <w:t xml:space="preserve"> </w:t>
      </w:r>
      <w:r>
        <w:fldChar w:fldCharType="begin"/>
      </w:r>
      <w:r>
        <w:instrText>PAGEREF section_62ebad67e8234c9ba37c4ef566da94f0</w:instrText>
      </w:r>
      <w:r>
        <w:fldChar w:fldCharType="separate"/>
      </w:r>
      <w:r>
        <w:rPr>
          <w:noProof/>
        </w:rPr>
        <w:t>311</w:t>
      </w:r>
      <w:r>
        <w:fldChar w:fldCharType="end"/>
      </w:r>
    </w:p>
    <w:p w:rsidR="000A156F" w:rsidRDefault="00A9721F">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618</w:t>
      </w:r>
      <w:r>
        <w:fldChar w:fldCharType="end"/>
      </w:r>
    </w:p>
    <w:p w:rsidR="000A156F" w:rsidRDefault="00A9721F">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382</w:t>
      </w:r>
      <w:r>
        <w:fldChar w:fldCharType="end"/>
      </w:r>
    </w:p>
    <w:p w:rsidR="000A156F" w:rsidRDefault="00A9721F">
      <w:pPr>
        <w:pStyle w:val="indexentry0"/>
      </w:pPr>
      <w:hyperlink w:anchor="section_4de15093b8f248faa66b08b9e11c112b">
        <w:r>
          <w:rPr>
            <w:rStyle w:val="Hyperlink"/>
          </w:rPr>
          <w:t xml:space="preserve">strictFirstAndLastChars (Use Strict Kinsoku Rules for </w:t>
        </w:r>
        <w:r>
          <w:rPr>
            <w:rStyle w:val="Hyperlink"/>
          </w:rPr>
          <w:t>Japanese Text)</w:t>
        </w:r>
      </w:hyperlink>
      <w:r>
        <w:t xml:space="preserve"> </w:t>
      </w:r>
      <w:r>
        <w:fldChar w:fldCharType="begin"/>
      </w:r>
      <w:r>
        <w:instrText>PAGEREF section_4de15093b8f248faa66b08b9e11c112b</w:instrText>
      </w:r>
      <w:r>
        <w:fldChar w:fldCharType="separate"/>
      </w:r>
      <w:r>
        <w:rPr>
          <w:noProof/>
        </w:rPr>
        <w:t>156</w:t>
      </w:r>
      <w:r>
        <w:fldChar w:fldCharType="end"/>
      </w:r>
    </w:p>
    <w:p w:rsidR="000A156F" w:rsidRDefault="00A9721F">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661</w:t>
      </w:r>
      <w:r>
        <w:fldChar w:fldCharType="end"/>
      </w:r>
    </w:p>
    <w:p w:rsidR="000A156F" w:rsidRDefault="00A9721F">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846</w:t>
      </w:r>
      <w:r>
        <w:fldChar w:fldCharType="end"/>
      </w:r>
    </w:p>
    <w:p w:rsidR="000A156F" w:rsidRDefault="00A9721F">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610</w:t>
      </w:r>
      <w:r>
        <w:fldChar w:fldCharType="end"/>
      </w:r>
    </w:p>
    <w:p w:rsidR="000A156F" w:rsidRDefault="00A9721F">
      <w:pPr>
        <w:pStyle w:val="indexentry0"/>
      </w:pPr>
      <w:r>
        <w:t>style (Shape Style) (</w:t>
      </w:r>
      <w:hyperlink w:anchor="section_71e8a4dd1654485ca87d0bf4bcdf01c0">
        <w:r>
          <w:rPr>
            <w:rStyle w:val="Hyperlink"/>
          </w:rPr>
          <w:t>section 2.1.1217</w:t>
        </w:r>
      </w:hyperlink>
      <w:r>
        <w:t xml:space="preserve"> </w:t>
      </w:r>
      <w:r>
        <w:fldChar w:fldCharType="begin"/>
      </w:r>
      <w:r>
        <w:instrText>PAGEREF section_71e8a4dd1654485ca87d0bf4bcdf01c0</w:instrText>
      </w:r>
      <w:r>
        <w:fldChar w:fldCharType="separate"/>
      </w:r>
      <w:r>
        <w:rPr>
          <w:noProof/>
        </w:rPr>
        <w:t>498</w:t>
      </w:r>
      <w:r>
        <w:fldChar w:fldCharType="end"/>
      </w:r>
      <w:r>
        <w:t xml:space="preserve">, </w:t>
      </w:r>
      <w:hyperlink w:anchor="section_b4ca93ee062340bc95b3e67d306216ba">
        <w:r>
          <w:rPr>
            <w:rStyle w:val="Hyperlink"/>
          </w:rPr>
          <w:t>section 2.1.1374</w:t>
        </w:r>
      </w:hyperlink>
      <w:r>
        <w:t xml:space="preserve"> </w:t>
      </w:r>
      <w:r>
        <w:fldChar w:fldCharType="begin"/>
      </w:r>
      <w:r>
        <w:instrText>PAGEREF section_b4ca93ee062340bc95b3e67d306216ba</w:instrText>
      </w:r>
      <w:r>
        <w:fldChar w:fldCharType="separate"/>
      </w:r>
      <w:r>
        <w:rPr>
          <w:noProof/>
        </w:rPr>
        <w:t>535</w:t>
      </w:r>
      <w:r>
        <w:fldChar w:fldCharType="end"/>
      </w:r>
      <w:r>
        <w:t xml:space="preserve">, </w:t>
      </w:r>
      <w:hyperlink w:anchor="section_fc0a85cab9764ffd9cd1c80bc90dcf34">
        <w:r>
          <w:rPr>
            <w:rStyle w:val="Hyperlink"/>
          </w:rPr>
          <w:t>section 2.1.1611</w:t>
        </w:r>
      </w:hyperlink>
      <w:r>
        <w:t xml:space="preserve"> </w:t>
      </w:r>
      <w:r>
        <w:fldChar w:fldCharType="begin"/>
      </w:r>
      <w:r>
        <w:instrText>PAGEREF section_fc0a85cab9764ffd9cd1c80bc90dcf34</w:instrText>
      </w:r>
      <w:r>
        <w:fldChar w:fldCharType="separate"/>
      </w:r>
      <w:r>
        <w:rPr>
          <w:noProof/>
        </w:rPr>
        <w:t>589</w:t>
      </w:r>
      <w:r>
        <w:fldChar w:fldCharType="end"/>
      </w:r>
      <w:r>
        <w:t>)</w:t>
      </w:r>
    </w:p>
    <w:p w:rsidR="000A156F" w:rsidRDefault="00A9721F">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w:instrText>
      </w:r>
      <w:r>
        <w:instrText>0e8062bb1</w:instrText>
      </w:r>
      <w:r>
        <w:fldChar w:fldCharType="separate"/>
      </w:r>
      <w:r>
        <w:rPr>
          <w:noProof/>
        </w:rPr>
        <w:t>116</w:t>
      </w:r>
      <w:r>
        <w:fldChar w:fldCharType="end"/>
      </w:r>
    </w:p>
    <w:p w:rsidR="000A156F" w:rsidRDefault="00A9721F">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104</w:t>
      </w:r>
      <w:r>
        <w:fldChar w:fldCharType="end"/>
      </w:r>
    </w:p>
    <w:p w:rsidR="000A156F" w:rsidRDefault="00A9721F">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104</w:t>
      </w:r>
      <w:r>
        <w:fldChar w:fldCharType="end"/>
      </w:r>
    </w:p>
    <w:p w:rsidR="000A156F" w:rsidRDefault="00A9721F">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591</w:t>
      </w:r>
      <w:r>
        <w:fldChar w:fldCharType="end"/>
      </w:r>
    </w:p>
    <w:p w:rsidR="000A156F" w:rsidRDefault="00A9721F">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593</w:t>
      </w:r>
      <w:r>
        <w:fldChar w:fldCharType="end"/>
      </w:r>
    </w:p>
    <w:p w:rsidR="000A156F" w:rsidRDefault="00A9721F">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126</w:t>
      </w:r>
      <w:r>
        <w:fldChar w:fldCharType="end"/>
      </w:r>
    </w:p>
    <w:p w:rsidR="000A156F" w:rsidRDefault="00A9721F">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157</w:t>
      </w:r>
      <w:r>
        <w:fldChar w:fldCharType="end"/>
      </w:r>
    </w:p>
    <w:p w:rsidR="000A156F" w:rsidRDefault="00A9721F">
      <w:pPr>
        <w:pStyle w:val="indexentry0"/>
      </w:pPr>
      <w:hyperlink w:anchor="section_0f5599c33b124970931d659e489369f4">
        <w:r>
          <w:rPr>
            <w:rStyle w:val="Hyperlink"/>
          </w:rPr>
          <w:t>STYLEREF</w:t>
        </w:r>
      </w:hyperlink>
      <w:r>
        <w:t xml:space="preserve"> </w:t>
      </w:r>
      <w:r>
        <w:fldChar w:fldCharType="begin"/>
      </w:r>
      <w:r>
        <w:instrText>PAGEREF section_0f5599</w:instrText>
      </w:r>
      <w:r>
        <w:instrText>c33b124970931d659e489369f4</w:instrText>
      </w:r>
      <w:r>
        <w:fldChar w:fldCharType="separate"/>
      </w:r>
      <w:r>
        <w:rPr>
          <w:noProof/>
        </w:rPr>
        <w:t>222</w:t>
      </w:r>
      <w:r>
        <w:fldChar w:fldCharType="end"/>
      </w:r>
    </w:p>
    <w:p w:rsidR="000A156F" w:rsidRDefault="00A9721F">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51</w:t>
      </w:r>
      <w:r>
        <w:fldChar w:fldCharType="end"/>
      </w:r>
    </w:p>
    <w:p w:rsidR="000A156F" w:rsidRDefault="00A9721F">
      <w:pPr>
        <w:pStyle w:val="indexentry0"/>
      </w:pPr>
      <w:hyperlink w:anchor="section_fffd477ceaf2417db86ef964a5f4d419">
        <w:r>
          <w:rPr>
            <w:rStyle w:val="Hyperlink"/>
          </w:rPr>
          <w:t>styleSheet (Style Sheet)</w:t>
        </w:r>
      </w:hyperlink>
      <w:r>
        <w:t xml:space="preserve"> </w:t>
      </w:r>
      <w:r>
        <w:fldChar w:fldCharType="begin"/>
      </w:r>
      <w:r>
        <w:instrText>PAGEREF sec</w:instrText>
      </w:r>
      <w:r>
        <w:instrText>tion_fffd477ceaf2417db86ef964a5f4d419</w:instrText>
      </w:r>
      <w:r>
        <w:fldChar w:fldCharType="separate"/>
      </w:r>
      <w:r>
        <w:rPr>
          <w:noProof/>
        </w:rPr>
        <w:t>311</w:t>
      </w:r>
      <w:r>
        <w:fldChar w:fldCharType="end"/>
      </w:r>
    </w:p>
    <w:p w:rsidR="000A156F" w:rsidRDefault="00A9721F">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610</w:t>
      </w:r>
      <w:r>
        <w:fldChar w:fldCharType="end"/>
      </w:r>
    </w:p>
    <w:p w:rsidR="000A156F" w:rsidRDefault="00A9721F">
      <w:pPr>
        <w:pStyle w:val="indexentry0"/>
      </w:pPr>
      <w:hyperlink w:anchor="section_4a1be0d6d0b14f8ea9a8acc497684599">
        <w:r>
          <w:rPr>
            <w:rStyle w:val="Hyperlink"/>
          </w:rPr>
          <w:t>s</w:t>
        </w:r>
        <w:r>
          <w:rPr>
            <w:rStyle w:val="Hyperlink"/>
          </w:rPr>
          <w:t>ubDoc (Anchor for Subdocument Location)</w:t>
        </w:r>
      </w:hyperlink>
      <w:r>
        <w:t xml:space="preserve"> </w:t>
      </w:r>
      <w:r>
        <w:fldChar w:fldCharType="begin"/>
      </w:r>
      <w:r>
        <w:instrText>PAGEREF section_4a1be0d6d0b14f8ea9a8acc497684599</w:instrText>
      </w:r>
      <w:r>
        <w:fldChar w:fldCharType="separate"/>
      </w:r>
      <w:r>
        <w:rPr>
          <w:noProof/>
        </w:rPr>
        <w:t>226</w:t>
      </w:r>
      <w:r>
        <w:fldChar w:fldCharType="end"/>
      </w:r>
    </w:p>
    <w:p w:rsidR="000A156F" w:rsidRDefault="00A9721F">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section_1b3c2414040a45a2a024173e22ebf533</w:instrText>
      </w:r>
      <w:r>
        <w:fldChar w:fldCharType="separate"/>
      </w:r>
      <w:r>
        <w:rPr>
          <w:noProof/>
        </w:rPr>
        <w:t>610</w:t>
      </w:r>
      <w:r>
        <w:fldChar w:fldCharType="end"/>
      </w:r>
    </w:p>
    <w:p w:rsidR="000A156F" w:rsidRDefault="00A9721F">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222</w:t>
      </w:r>
      <w:r>
        <w:fldChar w:fldCharType="end"/>
      </w:r>
    </w:p>
    <w:p w:rsidR="000A156F" w:rsidRDefault="00A9721F">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486</w:t>
      </w:r>
      <w:r>
        <w:fldChar w:fldCharType="end"/>
      </w:r>
    </w:p>
    <w:p w:rsidR="000A156F" w:rsidRDefault="00A9721F">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448</w:t>
      </w:r>
      <w:r>
        <w:fldChar w:fldCharType="end"/>
      </w:r>
    </w:p>
    <w:p w:rsidR="000A156F" w:rsidRDefault="00A9721F">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w:instrText>
      </w:r>
      <w:r>
        <w:instrText>da5f115bb5</w:instrText>
      </w:r>
      <w:r>
        <w:fldChar w:fldCharType="separate"/>
      </w:r>
      <w:r>
        <w:rPr>
          <w:noProof/>
        </w:rPr>
        <w:t>486</w:t>
      </w:r>
      <w:r>
        <w:fldChar w:fldCharType="end"/>
      </w:r>
    </w:p>
    <w:p w:rsidR="000A156F" w:rsidRDefault="00A9721F">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448</w:t>
      </w:r>
      <w:r>
        <w:fldChar w:fldCharType="end"/>
      </w:r>
    </w:p>
    <w:p w:rsidR="000A156F" w:rsidRDefault="00A9721F">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448</w:t>
      </w:r>
      <w:r>
        <w:fldChar w:fldCharType="end"/>
      </w:r>
    </w:p>
    <w:p w:rsidR="000A156F" w:rsidRDefault="00A9721F">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157</w:t>
      </w:r>
      <w:r>
        <w:fldChar w:fldCharType="end"/>
      </w:r>
    </w:p>
    <w:p w:rsidR="000A156F" w:rsidRDefault="00A9721F">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448</w:t>
      </w:r>
      <w:r>
        <w:fldChar w:fldCharType="end"/>
      </w:r>
    </w:p>
    <w:p w:rsidR="000A156F" w:rsidRDefault="00A9721F">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448</w:t>
      </w:r>
      <w:r>
        <w:fldChar w:fldCharType="end"/>
      </w:r>
    </w:p>
    <w:p w:rsidR="000A156F" w:rsidRDefault="00A9721F">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section_77f82ab9b91043f881b1e5bd352a2ed8</w:instrText>
      </w:r>
      <w:r>
        <w:fldChar w:fldCharType="separate"/>
      </w:r>
      <w:r>
        <w:rPr>
          <w:noProof/>
        </w:rPr>
        <w:t>611</w:t>
      </w:r>
      <w:r>
        <w:fldChar w:fldCharType="end"/>
      </w:r>
    </w:p>
    <w:p w:rsidR="000A156F" w:rsidRDefault="00A9721F">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611</w:t>
      </w:r>
      <w:r>
        <w:fldChar w:fldCharType="end"/>
      </w:r>
    </w:p>
    <w:p w:rsidR="000A156F" w:rsidRDefault="00A9721F">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578</w:t>
      </w:r>
      <w:r>
        <w:fldChar w:fldCharType="end"/>
      </w:r>
    </w:p>
    <w:p w:rsidR="000A156F" w:rsidRDefault="00A9721F">
      <w:pPr>
        <w:pStyle w:val="indexentry0"/>
      </w:pPr>
      <w:hyperlink w:anchor="section_b275eedba86d48a3ae21c44ac20c7dcc">
        <w:r>
          <w:rPr>
            <w:rStyle w:val="Hyperlink"/>
          </w:rPr>
          <w:t>surfaceChart (Surface Charts)</w:t>
        </w:r>
      </w:hyperlink>
      <w:r>
        <w:t xml:space="preserve"> </w:t>
      </w:r>
      <w:r>
        <w:fldChar w:fldCharType="begin"/>
      </w:r>
      <w:r>
        <w:instrText>PAGEREF section_b275eedba8</w:instrText>
      </w:r>
      <w:r>
        <w:instrText>6d48a3ae21c44ac20c7dcc</w:instrText>
      </w:r>
      <w:r>
        <w:fldChar w:fldCharType="separate"/>
      </w:r>
      <w:r>
        <w:rPr>
          <w:noProof/>
        </w:rPr>
        <w:t>578</w:t>
      </w:r>
      <w:r>
        <w:fldChar w:fldCharType="end"/>
      </w:r>
    </w:p>
    <w:p w:rsidR="000A156F" w:rsidRDefault="00A9721F">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80</w:t>
      </w:r>
      <w:r>
        <w:fldChar w:fldCharType="end"/>
      </w:r>
    </w:p>
    <w:p w:rsidR="000A156F" w:rsidRDefault="00A9721F">
      <w:pPr>
        <w:pStyle w:val="indexentry0"/>
      </w:pPr>
      <w:hyperlink w:anchor="section_2fc70eb8232c4820944943baa12fe65f">
        <w:r>
          <w:rPr>
            <w:rStyle w:val="Hyperlink"/>
          </w:rPr>
          <w:t>sym (Symbol Font)</w:t>
        </w:r>
      </w:hyperlink>
      <w:r>
        <w:t xml:space="preserve"> </w:t>
      </w:r>
      <w:r>
        <w:fldChar w:fldCharType="begin"/>
      </w:r>
      <w:r>
        <w:instrText>PAGEREF sec</w:instrText>
      </w:r>
      <w:r>
        <w:instrText>tion_2fc70eb8232c4820944943baa12fe65f</w:instrText>
      </w:r>
      <w:r>
        <w:fldChar w:fldCharType="separate"/>
      </w:r>
      <w:r>
        <w:rPr>
          <w:noProof/>
        </w:rPr>
        <w:t>545</w:t>
      </w:r>
      <w:r>
        <w:fldChar w:fldCharType="end"/>
      </w:r>
    </w:p>
    <w:p w:rsidR="000A156F" w:rsidRDefault="00A9721F">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223</w:t>
      </w:r>
      <w:r>
        <w:fldChar w:fldCharType="end"/>
      </w:r>
    </w:p>
    <w:p w:rsidR="000A156F" w:rsidRDefault="00A9721F">
      <w:pPr>
        <w:pStyle w:val="indexentry0"/>
      </w:pPr>
      <w:r>
        <w:t>Syntax (</w:t>
      </w:r>
      <w:hyperlink w:anchor="section_6091e3a7b33d4afabff08a7ee9cba183">
        <w:r>
          <w:rPr>
            <w:rStyle w:val="Hyperlink"/>
          </w:rPr>
          <w:t>section 2.1.453</w:t>
        </w:r>
      </w:hyperlink>
      <w:r>
        <w:t xml:space="preserve"> </w:t>
      </w:r>
      <w:r>
        <w:fldChar w:fldCharType="begin"/>
      </w:r>
      <w:r>
        <w:instrText>PAGERE</w:instrText>
      </w:r>
      <w:r>
        <w:instrText>F section_6091e3a7b33d4afabff08a7ee9cba183</w:instrText>
      </w:r>
      <w:r>
        <w:fldChar w:fldCharType="separate"/>
      </w:r>
      <w:r>
        <w:rPr>
          <w:noProof/>
        </w:rPr>
        <w:t>164</w:t>
      </w:r>
      <w:r>
        <w:fldChar w:fldCharType="end"/>
      </w:r>
      <w:r>
        <w:t xml:space="preserve">, </w:t>
      </w:r>
      <w:hyperlink w:anchor="section_c45b0396bc384fd6abf79782b7d6f926">
        <w:r>
          <w:rPr>
            <w:rStyle w:val="Hyperlink"/>
          </w:rPr>
          <w:t>section 2.1.860</w:t>
        </w:r>
      </w:hyperlink>
      <w:r>
        <w:t xml:space="preserve"> </w:t>
      </w:r>
      <w:r>
        <w:fldChar w:fldCharType="begin"/>
      </w:r>
      <w:r>
        <w:instrText>PAGEREF section_c45b0396bc384fd6abf79782b7d6f926</w:instrText>
      </w:r>
      <w:r>
        <w:fldChar w:fldCharType="separate"/>
      </w:r>
      <w:r>
        <w:rPr>
          <w:noProof/>
        </w:rPr>
        <w:t>386</w:t>
      </w:r>
      <w:r>
        <w:fldChar w:fldCharType="end"/>
      </w:r>
      <w:r>
        <w:t xml:space="preserve">, </w:t>
      </w:r>
      <w:hyperlink w:anchor="section_50fbe8538b614690ae6ccea5bbec5015">
        <w:r>
          <w:rPr>
            <w:rStyle w:val="Hyperlink"/>
          </w:rPr>
          <w:t>section 2.1.1749</w:t>
        </w:r>
      </w:hyperlink>
      <w:r>
        <w:t xml:space="preserve"> </w:t>
      </w:r>
      <w:r>
        <w:fldChar w:fldCharType="begin"/>
      </w:r>
      <w:r>
        <w:instrText>PAGEREF section_50fbe8538b614690ae6ccea5bbec5015</w:instrText>
      </w:r>
      <w:r>
        <w:fldChar w:fldCharType="separate"/>
      </w:r>
      <w:r>
        <w:rPr>
          <w:noProof/>
        </w:rPr>
        <w:t>628</w:t>
      </w:r>
      <w:r>
        <w:fldChar w:fldCharType="end"/>
      </w:r>
      <w:r>
        <w:t>)</w:t>
      </w:r>
    </w:p>
    <w:p w:rsidR="000A156F" w:rsidRDefault="00A9721F">
      <w:pPr>
        <w:pStyle w:val="indexentry0"/>
      </w:pPr>
      <w:hyperlink w:anchor="section_ad5923e7251242c7ad0359906d972c25">
        <w:r>
          <w:rPr>
            <w:rStyle w:val="Hyperlink"/>
          </w:rPr>
          <w:t>SyntexAgreementStates</w:t>
        </w:r>
      </w:hyperlink>
      <w:r>
        <w:t xml:space="preserve"> </w:t>
      </w:r>
      <w:r>
        <w:fldChar w:fldCharType="begin"/>
      </w:r>
      <w:r>
        <w:instrText>PAGEREF section_ad5923e7251242c7ad0359906d972c25</w:instrText>
      </w:r>
      <w:r>
        <w:fldChar w:fldCharType="separate"/>
      </w:r>
      <w:r>
        <w:rPr>
          <w:noProof/>
        </w:rPr>
        <w:t>881</w:t>
      </w:r>
      <w:r>
        <w:fldChar w:fldCharType="end"/>
      </w:r>
    </w:p>
    <w:p w:rsidR="000A156F" w:rsidRDefault="00A9721F">
      <w:pPr>
        <w:pStyle w:val="indexentry0"/>
      </w:pPr>
      <w:hyperlink w:anchor="section_98206c165973459a84bdb36372d56ab6">
        <w:r>
          <w:rPr>
            <w:rStyle w:val="Hyperlink"/>
          </w:rPr>
          <w:t>SyntexCAMode</w:t>
        </w:r>
      </w:hyperlink>
      <w:r>
        <w:t xml:space="preserve"> </w:t>
      </w:r>
      <w:r>
        <w:fldChar w:fldCharType="begin"/>
      </w:r>
      <w:r>
        <w:instrText>PAGEREF section_98206c165973459a84bdb36372d56ab6</w:instrText>
      </w:r>
      <w:r>
        <w:fldChar w:fldCharType="separate"/>
      </w:r>
      <w:r>
        <w:rPr>
          <w:noProof/>
        </w:rPr>
        <w:t>881</w:t>
      </w:r>
      <w:r>
        <w:fldChar w:fldCharType="end"/>
      </w:r>
    </w:p>
    <w:p w:rsidR="000A156F" w:rsidRDefault="00A9721F">
      <w:pPr>
        <w:pStyle w:val="indexentry0"/>
      </w:pPr>
      <w:hyperlink w:anchor="section_53778d38413742daae90c4cccd4768f2">
        <w:r>
          <w:rPr>
            <w:rStyle w:val="Hyperlink"/>
          </w:rPr>
          <w:t>SyntexCustomWorkflowsConfigured</w:t>
        </w:r>
      </w:hyperlink>
      <w:r>
        <w:t xml:space="preserve"> </w:t>
      </w:r>
      <w:r>
        <w:fldChar w:fldCharType="begin"/>
      </w:r>
      <w:r>
        <w:instrText>PAGEREF section_53778d38413742daae90c4cccd4768f2</w:instrText>
      </w:r>
      <w:r>
        <w:fldChar w:fldCharType="separate"/>
      </w:r>
      <w:r>
        <w:rPr>
          <w:noProof/>
        </w:rPr>
        <w:t>881</w:t>
      </w:r>
      <w:r>
        <w:fldChar w:fldCharType="end"/>
      </w:r>
    </w:p>
    <w:p w:rsidR="000A156F" w:rsidRDefault="00A9721F">
      <w:pPr>
        <w:pStyle w:val="indexentry0"/>
      </w:pPr>
      <w:hyperlink w:anchor="section_aec2d84699634c4d9c6e8c13a9956e55">
        <w:r>
          <w:rPr>
            <w:rStyle w:val="Hyperlink"/>
          </w:rPr>
          <w:t>SyntexDocMandatoryApprovalReq</w:t>
        </w:r>
      </w:hyperlink>
      <w:r>
        <w:t xml:space="preserve"> </w:t>
      </w:r>
      <w:r>
        <w:fldChar w:fldCharType="begin"/>
      </w:r>
      <w:r>
        <w:instrText>PAGEREF section_aec2d84699634c4d9c6e8c13a9956e55</w:instrText>
      </w:r>
      <w:r>
        <w:fldChar w:fldCharType="separate"/>
      </w:r>
      <w:r>
        <w:rPr>
          <w:noProof/>
        </w:rPr>
        <w:t>882</w:t>
      </w:r>
      <w:r>
        <w:fldChar w:fldCharType="end"/>
      </w:r>
    </w:p>
    <w:p w:rsidR="000A156F" w:rsidRDefault="00A9721F">
      <w:pPr>
        <w:pStyle w:val="indexentry0"/>
      </w:pPr>
      <w:hyperlink w:anchor="section_3ff8c635b5994dab9744244e82381d3e">
        <w:r>
          <w:rPr>
            <w:rStyle w:val="Hyperlink"/>
          </w:rPr>
          <w:t>SyntexDocumentApprovalConfig</w:t>
        </w:r>
      </w:hyperlink>
      <w:r>
        <w:t xml:space="preserve"> </w:t>
      </w:r>
      <w:r>
        <w:fldChar w:fldCharType="begin"/>
      </w:r>
      <w:r>
        <w:instrText>PAGEREF section_3ff</w:instrText>
      </w:r>
      <w:r>
        <w:instrText>8c635b5994dab9744244e82381d3e</w:instrText>
      </w:r>
      <w:r>
        <w:fldChar w:fldCharType="separate"/>
      </w:r>
      <w:r>
        <w:rPr>
          <w:noProof/>
        </w:rPr>
        <w:t>882</w:t>
      </w:r>
      <w:r>
        <w:fldChar w:fldCharType="end"/>
      </w:r>
    </w:p>
    <w:p w:rsidR="000A156F" w:rsidRDefault="00A9721F">
      <w:pPr>
        <w:pStyle w:val="indexentry0"/>
      </w:pPr>
      <w:hyperlink w:anchor="section_eab7635939a249fa8cdd211ba90f9da5">
        <w:r>
          <w:rPr>
            <w:rStyle w:val="Hyperlink"/>
          </w:rPr>
          <w:t>SyntexFieldAnswers</w:t>
        </w:r>
      </w:hyperlink>
      <w:r>
        <w:t xml:space="preserve"> </w:t>
      </w:r>
      <w:r>
        <w:fldChar w:fldCharType="begin"/>
      </w:r>
      <w:r>
        <w:instrText>PAGEREF section_eab7635939a249fa8cdd211ba90f9da5</w:instrText>
      </w:r>
      <w:r>
        <w:fldChar w:fldCharType="separate"/>
      </w:r>
      <w:r>
        <w:rPr>
          <w:noProof/>
        </w:rPr>
        <w:t>882</w:t>
      </w:r>
      <w:r>
        <w:fldChar w:fldCharType="end"/>
      </w:r>
    </w:p>
    <w:p w:rsidR="000A156F" w:rsidRDefault="00A9721F">
      <w:pPr>
        <w:pStyle w:val="indexentry0"/>
      </w:pPr>
      <w:hyperlink w:anchor="section_6dc8d472d7724e64a079a585275f5dad">
        <w:r>
          <w:rPr>
            <w:rStyle w:val="Hyperlink"/>
          </w:rPr>
          <w:t>SyntexSnippetApprovalConfig</w:t>
        </w:r>
      </w:hyperlink>
      <w:r>
        <w:t xml:space="preserve"> </w:t>
      </w:r>
      <w:r>
        <w:fldChar w:fldCharType="begin"/>
      </w:r>
      <w:r>
        <w:instrText>PAGEREF section_6dc8d472d7724e64a079a585275f5dad</w:instrText>
      </w:r>
      <w:r>
        <w:fldChar w:fldCharType="separate"/>
      </w:r>
      <w:r>
        <w:rPr>
          <w:noProof/>
        </w:rPr>
        <w:t>882</w:t>
      </w:r>
      <w:r>
        <w:fldChar w:fldCharType="end"/>
      </w:r>
    </w:p>
    <w:p w:rsidR="000A156F" w:rsidRDefault="00A9721F">
      <w:pPr>
        <w:pStyle w:val="indexentry0"/>
      </w:pPr>
      <w:hyperlink w:anchor="section_e628834f08164ddca42ab47f0d9ee29b">
        <w:r>
          <w:rPr>
            <w:rStyle w:val="Hyperlink"/>
          </w:rPr>
          <w:t>SyntexSnippetMetadata</w:t>
        </w:r>
      </w:hyperlink>
      <w:r>
        <w:t xml:space="preserve"> </w:t>
      </w:r>
      <w:r>
        <w:fldChar w:fldCharType="begin"/>
      </w:r>
      <w:r>
        <w:instrText>PAGEREF section_e628834f08164ddca42ab47f0d9ee29b</w:instrText>
      </w:r>
      <w:r>
        <w:fldChar w:fldCharType="separate"/>
      </w:r>
      <w:r>
        <w:rPr>
          <w:noProof/>
        </w:rPr>
        <w:t>882</w:t>
      </w:r>
      <w:r>
        <w:fldChar w:fldCharType="end"/>
      </w:r>
    </w:p>
    <w:p w:rsidR="000A156F" w:rsidRDefault="00A9721F">
      <w:pPr>
        <w:pStyle w:val="indexentry0"/>
      </w:pPr>
      <w:hyperlink w:anchor="section_52747da54e614cfbb49ef8f09de5f9ee">
        <w:r>
          <w:rPr>
            <w:rStyle w:val="Hyperlink"/>
          </w:rPr>
          <w:t>Synt</w:t>
        </w:r>
        <w:r>
          <w:rPr>
            <w:rStyle w:val="Hyperlink"/>
          </w:rPr>
          <w:t>exTemplateApprovalConfig</w:t>
        </w:r>
      </w:hyperlink>
      <w:r>
        <w:t xml:space="preserve"> </w:t>
      </w:r>
      <w:r>
        <w:fldChar w:fldCharType="begin"/>
      </w:r>
      <w:r>
        <w:instrText>PAGEREF section_52747da54e614cfbb49ef8f09de5f9ee</w:instrText>
      </w:r>
      <w:r>
        <w:fldChar w:fldCharType="separate"/>
      </w:r>
      <w:r>
        <w:rPr>
          <w:noProof/>
        </w:rPr>
        <w:t>882</w:t>
      </w:r>
      <w:r>
        <w:fldChar w:fldCharType="end"/>
      </w:r>
    </w:p>
    <w:p w:rsidR="000A156F" w:rsidRDefault="00A9721F">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504</w:t>
      </w:r>
      <w:r>
        <w:fldChar w:fldCharType="end"/>
      </w:r>
    </w:p>
    <w:p w:rsidR="000A156F" w:rsidRDefault="00A9721F">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290</w:t>
      </w:r>
      <w:r>
        <w:fldChar w:fldCharType="end"/>
      </w:r>
    </w:p>
    <w:p w:rsidR="000A156F" w:rsidRDefault="00A9721F">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162</w:t>
      </w:r>
      <w:r>
        <w:fldChar w:fldCharType="end"/>
      </w:r>
    </w:p>
    <w:p w:rsidR="000A156F" w:rsidRDefault="00A9721F">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163</w:t>
      </w:r>
      <w:r>
        <w:fldChar w:fldCharType="end"/>
      </w:r>
    </w:p>
    <w:p w:rsidR="000A156F" w:rsidRDefault="00A9721F">
      <w:pPr>
        <w:pStyle w:val="indexentry0"/>
      </w:pPr>
      <w:hyperlink w:anchor="section_4f2762ad03f64430be6e2a85480268ee">
        <w:r>
          <w:rPr>
            <w:rStyle w:val="Hyperlink"/>
          </w:rPr>
          <w:t>sz (Non-Complex Script Font Size)</w:t>
        </w:r>
      </w:hyperlink>
      <w:r>
        <w:t xml:space="preserve"> </w:t>
      </w:r>
      <w:r>
        <w:fldChar w:fldCharType="begin"/>
      </w:r>
      <w:r>
        <w:instrText>PAGEREF section_4f</w:instrText>
      </w:r>
      <w:r>
        <w:instrText>2762ad03f64430be6e2a85480268ee</w:instrText>
      </w:r>
      <w:r>
        <w:fldChar w:fldCharType="separate"/>
      </w:r>
      <w:r>
        <w:rPr>
          <w:noProof/>
        </w:rPr>
        <w:t>77</w:t>
      </w:r>
      <w:r>
        <w:fldChar w:fldCharType="end"/>
      </w:r>
    </w:p>
    <w:p w:rsidR="000A156F" w:rsidRDefault="00A9721F">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section_40f37d666eb14e72b768a8bfec1f78df</w:instrText>
      </w:r>
      <w:r>
        <w:fldChar w:fldCharType="separate"/>
      </w:r>
      <w:r>
        <w:rPr>
          <w:noProof/>
        </w:rPr>
        <w:t>77</w:t>
      </w:r>
      <w:r>
        <w:fldChar w:fldCharType="end"/>
      </w:r>
    </w:p>
    <w:p w:rsidR="000A156F" w:rsidRDefault="000A156F">
      <w:pPr>
        <w:spacing w:before="0" w:after="0"/>
        <w:rPr>
          <w:sz w:val="16"/>
        </w:rPr>
      </w:pPr>
    </w:p>
    <w:p w:rsidR="000A156F" w:rsidRDefault="00A9721F">
      <w:pPr>
        <w:pStyle w:val="indexheader"/>
      </w:pPr>
      <w:r>
        <w:t>T</w:t>
      </w:r>
    </w:p>
    <w:p w:rsidR="000A156F" w:rsidRDefault="000A156F">
      <w:pPr>
        <w:spacing w:before="0" w:after="0"/>
        <w:rPr>
          <w:sz w:val="16"/>
        </w:rPr>
      </w:pPr>
    </w:p>
    <w:p w:rsidR="000A156F" w:rsidRDefault="00A9721F">
      <w:pPr>
        <w:pStyle w:val="indexentry0"/>
      </w:pPr>
      <w:hyperlink w:anchor="section_5c7d720478424485979866c87ab0258a">
        <w:r>
          <w:rPr>
            <w:rStyle w:val="Hyperlink"/>
          </w:rPr>
          <w:t>t (Text Bo</w:t>
        </w:r>
        <w:r>
          <w:rPr>
            <w:rStyle w:val="Hyperlink"/>
          </w:rPr>
          <w:t>dy)</w:t>
        </w:r>
      </w:hyperlink>
      <w:r>
        <w:t xml:space="preserve"> </w:t>
      </w:r>
      <w:r>
        <w:fldChar w:fldCharType="begin"/>
      </w:r>
      <w:r>
        <w:instrText>PAGEREF section_5c7d720478424485979866c87ab0258a</w:instrText>
      </w:r>
      <w:r>
        <w:fldChar w:fldCharType="separate"/>
      </w:r>
      <w:r>
        <w:rPr>
          <w:noProof/>
        </w:rPr>
        <w:t>592</w:t>
      </w:r>
      <w:r>
        <w:fldChar w:fldCharType="end"/>
      </w:r>
    </w:p>
    <w:p w:rsidR="000A156F" w:rsidRDefault="00A9721F">
      <w:pPr>
        <w:pStyle w:val="indexentry0"/>
      </w:pPr>
      <w:r>
        <w:t>t (Text) (</w:t>
      </w:r>
      <w:hyperlink w:anchor="section_82ad64a7401b4f3493193600b16b2791">
        <w:r>
          <w:rPr>
            <w:rStyle w:val="Hyperlink"/>
          </w:rPr>
          <w:t>section 2.1.678</w:t>
        </w:r>
      </w:hyperlink>
      <w:r>
        <w:t xml:space="preserve"> </w:t>
      </w:r>
      <w:r>
        <w:fldChar w:fldCharType="begin"/>
      </w:r>
      <w:r>
        <w:instrText>PAGEREF section_82ad64a7401b4f3493193600b16b2791</w:instrText>
      </w:r>
      <w:r>
        <w:fldChar w:fldCharType="separate"/>
      </w:r>
      <w:r>
        <w:rPr>
          <w:noProof/>
        </w:rPr>
        <w:t>290</w:t>
      </w:r>
      <w:r>
        <w:fldChar w:fldCharType="end"/>
      </w:r>
      <w:r>
        <w:t xml:space="preserve">, </w:t>
      </w:r>
      <w:hyperlink w:anchor="section_715e9ffc7f3f49c5a42e7db548f1df3d">
        <w:r>
          <w:rPr>
            <w:rStyle w:val="Hyperlink"/>
          </w:rPr>
          <w:t>section 2.1.1710</w:t>
        </w:r>
      </w:hyperlink>
      <w:r>
        <w:t xml:space="preserve"> </w:t>
      </w:r>
      <w:r>
        <w:fldChar w:fldCharType="begin"/>
      </w:r>
      <w:r>
        <w:instrText>PAGEREF section_715e9ffc7f3f49c5a42e7db548f1df3d</w:instrText>
      </w:r>
      <w:r>
        <w:fldChar w:fldCharType="separate"/>
      </w:r>
      <w:r>
        <w:rPr>
          <w:noProof/>
        </w:rPr>
        <w:t>611</w:t>
      </w:r>
      <w:r>
        <w:fldChar w:fldCharType="end"/>
      </w:r>
      <w:r>
        <w:t>)</w:t>
      </w:r>
    </w:p>
    <w:p w:rsidR="000A156F" w:rsidRDefault="00A9721F">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318</w:t>
      </w:r>
      <w:r>
        <w:fldChar w:fldCharType="end"/>
      </w:r>
    </w:p>
    <w:p w:rsidR="000A156F" w:rsidRDefault="00A9721F">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223</w:t>
      </w:r>
      <w:r>
        <w:fldChar w:fldCharType="end"/>
      </w:r>
    </w:p>
    <w:p w:rsidR="000A156F" w:rsidRDefault="00A9721F">
      <w:pPr>
        <w:pStyle w:val="indexentry0"/>
      </w:pPr>
      <w:hyperlink w:anchor="section_c52e929cfa384f889ee7f6ec4b1ab882">
        <w:r>
          <w:rPr>
            <w:rStyle w:val="Hyperlink"/>
          </w:rPr>
          <w:t>tab (Custom Tab Stop)</w:t>
        </w:r>
      </w:hyperlink>
      <w:r>
        <w:t xml:space="preserve"> </w:t>
      </w:r>
      <w:r>
        <w:fldChar w:fldCharType="begin"/>
      </w:r>
      <w:r>
        <w:instrText>PAGEREF section_c52e929cfa384f889ee7f6ec4b1ab882</w:instrText>
      </w:r>
      <w:r>
        <w:fldChar w:fldCharType="separate"/>
      </w:r>
      <w:r>
        <w:rPr>
          <w:noProof/>
        </w:rPr>
        <w:t>66</w:t>
      </w:r>
      <w:r>
        <w:fldChar w:fldCharType="end"/>
      </w:r>
    </w:p>
    <w:p w:rsidR="000A156F" w:rsidRDefault="00A9721F">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286</w:t>
      </w:r>
      <w:r>
        <w:fldChar w:fldCharType="end"/>
      </w:r>
    </w:p>
    <w:p w:rsidR="000A156F" w:rsidRDefault="00A9721F">
      <w:pPr>
        <w:pStyle w:val="indexentry0"/>
      </w:pPr>
      <w:hyperlink w:anchor="section_0f67f3287aa143aab0460cc528dd282e">
        <w:r>
          <w:rPr>
            <w:rStyle w:val="Hyperlink"/>
          </w:rPr>
          <w:t>tabIndex (Form Field Navigation Order Index)</w:t>
        </w:r>
      </w:hyperlink>
      <w:r>
        <w:t xml:space="preserve"> </w:t>
      </w:r>
      <w:r>
        <w:fldChar w:fldCharType="begin"/>
      </w:r>
      <w:r>
        <w:instrText>PAGERE</w:instrText>
      </w:r>
      <w:r>
        <w:instrText>F section_0f67f3287aa143aab0460cc528dd282e</w:instrText>
      </w:r>
      <w:r>
        <w:fldChar w:fldCharType="separate"/>
      </w:r>
      <w:r>
        <w:rPr>
          <w:noProof/>
        </w:rPr>
        <w:t>226</w:t>
      </w:r>
      <w:r>
        <w:fldChar w:fldCharType="end"/>
      </w:r>
    </w:p>
    <w:p w:rsidR="000A156F" w:rsidRDefault="00A9721F">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100</w:t>
      </w:r>
      <w:r>
        <w:fldChar w:fldCharType="end"/>
      </w:r>
    </w:p>
    <w:p w:rsidR="000A156F" w:rsidRDefault="00A9721F">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145</w:t>
      </w:r>
      <w:r>
        <w:fldChar w:fldCharType="end"/>
      </w:r>
    </w:p>
    <w:p w:rsidR="000A156F" w:rsidRDefault="00A9721F">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291</w:t>
      </w:r>
      <w:r>
        <w:fldChar w:fldCharType="end"/>
      </w:r>
    </w:p>
    <w:p w:rsidR="000A156F" w:rsidRDefault="00A9721F">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165</w:t>
      </w:r>
      <w:r>
        <w:fldChar w:fldCharType="end"/>
      </w:r>
    </w:p>
    <w:p w:rsidR="000A156F" w:rsidRDefault="00A9721F">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w:instrText>
      </w:r>
      <w:r>
        <w:instrText>8911a4</w:instrText>
      </w:r>
      <w:r>
        <w:fldChar w:fldCharType="separate"/>
      </w:r>
      <w:r>
        <w:rPr>
          <w:noProof/>
        </w:rPr>
        <w:t>95</w:t>
      </w:r>
      <w:r>
        <w:fldChar w:fldCharType="end"/>
      </w:r>
    </w:p>
    <w:p w:rsidR="000A156F" w:rsidRDefault="00A9721F">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116</w:t>
      </w:r>
      <w:r>
        <w:fldChar w:fldCharType="end"/>
      </w:r>
    </w:p>
    <w:p w:rsidR="000A156F" w:rsidRDefault="00A9721F">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291</w:t>
      </w:r>
      <w:r>
        <w:fldChar w:fldCharType="end"/>
      </w:r>
    </w:p>
    <w:p w:rsidR="000A156F" w:rsidRDefault="00A9721F">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311</w:t>
      </w:r>
      <w:r>
        <w:fldChar w:fldCharType="end"/>
      </w:r>
    </w:p>
    <w:p w:rsidR="000A156F" w:rsidRDefault="00A9721F">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311</w:t>
      </w:r>
      <w:r>
        <w:fldChar w:fldCharType="end"/>
      </w:r>
    </w:p>
    <w:p w:rsidR="000A156F" w:rsidRDefault="00A9721F">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549</w:t>
      </w:r>
      <w:r>
        <w:fldChar w:fldCharType="end"/>
      </w:r>
    </w:p>
    <w:p w:rsidR="000A156F" w:rsidRDefault="00A9721F">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293</w:t>
      </w:r>
      <w:r>
        <w:fldChar w:fldCharType="end"/>
      </w:r>
    </w:p>
    <w:p w:rsidR="000A156F" w:rsidRDefault="00A9721F">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w:instrText>
      </w:r>
      <w:r>
        <w:instrText>5</w:instrText>
      </w:r>
      <w:r>
        <w:fldChar w:fldCharType="separate"/>
      </w:r>
      <w:r>
        <w:rPr>
          <w:noProof/>
        </w:rPr>
        <w:t>311</w:t>
      </w:r>
      <w:r>
        <w:fldChar w:fldCharType="end"/>
      </w:r>
    </w:p>
    <w:p w:rsidR="000A156F" w:rsidRDefault="00A9721F">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470</w:t>
      </w:r>
      <w:r>
        <w:fldChar w:fldCharType="end"/>
      </w:r>
    </w:p>
    <w:p w:rsidR="000A156F" w:rsidRDefault="00A9721F">
      <w:pPr>
        <w:pStyle w:val="indexentry0"/>
      </w:pPr>
      <w:hyperlink w:anchor="section_3a8facc7b7e74bb4b34cb38d0d4c1c6d">
        <w:r>
          <w:rPr>
            <w:rStyle w:val="Hyperlink"/>
          </w:rPr>
          <w:t>Tag (Tag)</w:t>
        </w:r>
      </w:hyperlink>
      <w:r>
        <w:t xml:space="preserve"> </w:t>
      </w:r>
      <w:r>
        <w:fldChar w:fldCharType="begin"/>
      </w:r>
      <w:r>
        <w:instrText>PAGEREF section_3a8facc7b7</w:instrText>
      </w:r>
      <w:r>
        <w:instrText>e74bb4b34cb38d0d4c1c6d</w:instrText>
      </w:r>
      <w:r>
        <w:fldChar w:fldCharType="separate"/>
      </w:r>
      <w:r>
        <w:rPr>
          <w:noProof/>
        </w:rPr>
        <w:t>619</w:t>
      </w:r>
      <w:r>
        <w:fldChar w:fldCharType="end"/>
      </w:r>
    </w:p>
    <w:p w:rsidR="000A156F" w:rsidRDefault="00A9721F">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448</w:t>
      </w:r>
      <w:r>
        <w:fldChar w:fldCharType="end"/>
      </w:r>
    </w:p>
    <w:p w:rsidR="000A156F" w:rsidRDefault="00A9721F">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163</w:t>
      </w:r>
      <w:r>
        <w:fldChar w:fldCharType="end"/>
      </w:r>
    </w:p>
    <w:p w:rsidR="000A156F" w:rsidRDefault="00A9721F">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448</w:t>
      </w:r>
      <w:r>
        <w:fldChar w:fldCharType="end"/>
      </w:r>
    </w:p>
    <w:p w:rsidR="000A156F" w:rsidRDefault="00A9721F">
      <w:pPr>
        <w:pStyle w:val="indexentry0"/>
      </w:pPr>
      <w:hyperlink w:anchor="section_ae3240448a1a4e0daea87546318811b7">
        <w:r>
          <w:rPr>
            <w:rStyle w:val="Hyperlink"/>
          </w:rPr>
          <w:t>TBILLYIELD</w:t>
        </w:r>
      </w:hyperlink>
      <w:r>
        <w:t xml:space="preserve"> </w:t>
      </w:r>
      <w:r>
        <w:fldChar w:fldCharType="begin"/>
      </w:r>
      <w:r>
        <w:instrText>PAG</w:instrText>
      </w:r>
      <w:r>
        <w:instrText>EREF section_ae3240448a1a4e0daea87546318811b7</w:instrText>
      </w:r>
      <w:r>
        <w:fldChar w:fldCharType="separate"/>
      </w:r>
      <w:r>
        <w:rPr>
          <w:noProof/>
        </w:rPr>
        <w:t>449</w:t>
      </w:r>
      <w:r>
        <w:fldChar w:fldCharType="end"/>
      </w:r>
    </w:p>
    <w:p w:rsidR="000A156F" w:rsidRDefault="00A9721F">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85</w:t>
      </w:r>
      <w:r>
        <w:fldChar w:fldCharType="end"/>
      </w:r>
      <w:r>
        <w:t xml:space="preserve">, </w:t>
      </w:r>
      <w:hyperlink w:anchor="section_87e635df37bf42ef87b6fdd8abac88e1">
        <w:r>
          <w:rPr>
            <w:rStyle w:val="Hyperlink"/>
          </w:rPr>
          <w:t>section 2.1.1424</w:t>
        </w:r>
      </w:hyperlink>
      <w:r>
        <w:t xml:space="preserve"> </w:t>
      </w:r>
      <w:r>
        <w:fldChar w:fldCharType="begin"/>
      </w:r>
      <w:r>
        <w:instrText>PAGEREF section_87e635df37bf42ef87b6fdd8abac88e1</w:instrText>
      </w:r>
      <w:r>
        <w:fldChar w:fldCharType="separate"/>
      </w:r>
      <w:r>
        <w:rPr>
          <w:noProof/>
        </w:rPr>
        <w:t>549</w:t>
      </w:r>
      <w:r>
        <w:fldChar w:fldCharType="end"/>
      </w:r>
      <w:r>
        <w:t>)</w:t>
      </w:r>
    </w:p>
    <w:p w:rsidR="000A156F" w:rsidRDefault="00A9721F">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86</w:t>
      </w:r>
      <w:r>
        <w:fldChar w:fldCharType="end"/>
      </w:r>
    </w:p>
    <w:p w:rsidR="000A156F" w:rsidRDefault="00A9721F">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section_63aedc89c4c940628d5b385b09e2036a</w:instrText>
      </w:r>
      <w:r>
        <w:fldChar w:fldCharType="separate"/>
      </w:r>
      <w:r>
        <w:rPr>
          <w:noProof/>
        </w:rPr>
        <w:t>85</w:t>
      </w:r>
      <w:r>
        <w:fldChar w:fldCharType="end"/>
      </w:r>
    </w:p>
    <w:p w:rsidR="000A156F" w:rsidRDefault="00A9721F">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w:instrText>
      </w:r>
      <w:r>
        <w:instrText>8b3664de5f</w:instrText>
      </w:r>
      <w:r>
        <w:fldChar w:fldCharType="separate"/>
      </w:r>
      <w:r>
        <w:rPr>
          <w:noProof/>
        </w:rPr>
        <w:t>86</w:t>
      </w:r>
      <w:r>
        <w:fldChar w:fldCharType="end"/>
      </w:r>
    </w:p>
    <w:p w:rsidR="000A156F" w:rsidRDefault="00A9721F">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86</w:t>
      </w:r>
      <w:r>
        <w:fldChar w:fldCharType="end"/>
      </w:r>
    </w:p>
    <w:p w:rsidR="000A156F" w:rsidRDefault="00A9721F">
      <w:pPr>
        <w:pStyle w:val="indexentry0"/>
      </w:pPr>
      <w:hyperlink w:anchor="section_6258617e410c4d38898eb9cda572b9fa">
        <w:r>
          <w:rPr>
            <w:rStyle w:val="Hyperlink"/>
          </w:rPr>
          <w:t>tblCellSpacing (Tabl</w:t>
        </w:r>
        <w:r>
          <w:rPr>
            <w:rStyle w:val="Hyperlink"/>
          </w:rPr>
          <w:t>e Row Cell Spacing)</w:t>
        </w:r>
      </w:hyperlink>
      <w:r>
        <w:t xml:space="preserve"> </w:t>
      </w:r>
      <w:r>
        <w:fldChar w:fldCharType="begin"/>
      </w:r>
      <w:r>
        <w:instrText>PAGEREF section_6258617e410c4d38898eb9cda572b9fa</w:instrText>
      </w:r>
      <w:r>
        <w:fldChar w:fldCharType="separate"/>
      </w:r>
      <w:r>
        <w:rPr>
          <w:noProof/>
        </w:rPr>
        <w:t>86</w:t>
      </w:r>
      <w:r>
        <w:fldChar w:fldCharType="end"/>
      </w:r>
    </w:p>
    <w:p w:rsidR="000A156F" w:rsidRDefault="00A9721F">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550</w:t>
      </w:r>
      <w:r>
        <w:fldChar w:fldCharType="end"/>
      </w:r>
    </w:p>
    <w:p w:rsidR="000A156F" w:rsidRDefault="00A9721F">
      <w:pPr>
        <w:pStyle w:val="indexentry0"/>
      </w:pPr>
      <w:hyperlink w:anchor="section_1e829ce750c1488184750119e5e0d5bc">
        <w:r>
          <w:rPr>
            <w:rStyle w:val="Hyperlink"/>
          </w:rPr>
          <w:t>tblGridChange (Revision Information for Table Grid Column Definitions)</w:t>
        </w:r>
      </w:hyperlink>
      <w:r>
        <w:t xml:space="preserve"> </w:t>
      </w:r>
      <w:r>
        <w:fldChar w:fldCharType="begin"/>
      </w:r>
      <w:r>
        <w:instrText>PAGEREF section_1e829ce750c1488184750119e5e0d5bc</w:instrText>
      </w:r>
      <w:r>
        <w:fldChar w:fldCharType="separate"/>
      </w:r>
      <w:r>
        <w:rPr>
          <w:noProof/>
        </w:rPr>
        <w:t>139</w:t>
      </w:r>
      <w:r>
        <w:fldChar w:fldCharType="end"/>
      </w:r>
    </w:p>
    <w:p w:rsidR="000A156F" w:rsidRDefault="00A9721F">
      <w:pPr>
        <w:pStyle w:val="indexentry0"/>
      </w:pPr>
      <w:hyperlink w:anchor="section_eec0c73c18c2417699e614501f3a4ad7">
        <w:r>
          <w:rPr>
            <w:rStyle w:val="Hyperlink"/>
          </w:rPr>
          <w:t>tblInd (Table Indent from Leading Margin Exception)</w:t>
        </w:r>
      </w:hyperlink>
      <w:r>
        <w:t xml:space="preserve"> </w:t>
      </w:r>
      <w:r>
        <w:fldChar w:fldCharType="begin"/>
      </w:r>
      <w:r>
        <w:instrText>P</w:instrText>
      </w:r>
      <w:r>
        <w:instrText>AGEREF section_eec0c73c18c2417699e614501f3a4ad7</w:instrText>
      </w:r>
      <w:r>
        <w:fldChar w:fldCharType="separate"/>
      </w:r>
      <w:r>
        <w:rPr>
          <w:noProof/>
        </w:rPr>
        <w:t>86</w:t>
      </w:r>
      <w:r>
        <w:fldChar w:fldCharType="end"/>
      </w:r>
    </w:p>
    <w:p w:rsidR="000A156F" w:rsidRDefault="00A9721F">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section_cd88a1fb76c6477dad02f4d5f74e4a06</w:instrText>
      </w:r>
      <w:r>
        <w:fldChar w:fldCharType="separate"/>
      </w:r>
      <w:r>
        <w:rPr>
          <w:noProof/>
        </w:rPr>
        <w:t>86</w:t>
      </w:r>
      <w:r>
        <w:fldChar w:fldCharType="end"/>
      </w:r>
    </w:p>
    <w:p w:rsidR="000A156F" w:rsidRDefault="00A9721F">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87</w:t>
      </w:r>
      <w:r>
        <w:fldChar w:fldCharType="end"/>
      </w:r>
    </w:p>
    <w:p w:rsidR="000A156F" w:rsidRDefault="00A9721F">
      <w:pPr>
        <w:pStyle w:val="indexentry0"/>
      </w:pPr>
      <w:hyperlink w:anchor="section_ae22d06082974b719f701fdf3625132a">
        <w:r>
          <w:rPr>
            <w:rStyle w:val="Hyperlink"/>
          </w:rPr>
          <w:t>tblLayout (Table Layout)</w:t>
        </w:r>
      </w:hyperlink>
      <w:r>
        <w:t xml:space="preserve"> </w:t>
      </w:r>
      <w:r>
        <w:fldChar w:fldCharType="begin"/>
      </w:r>
      <w:r>
        <w:instrText>PAGEREF section_ae</w:instrText>
      </w:r>
      <w:r>
        <w:instrText>22d06082974b719f701fdf3625132a</w:instrText>
      </w:r>
      <w:r>
        <w:fldChar w:fldCharType="separate"/>
      </w:r>
      <w:r>
        <w:rPr>
          <w:noProof/>
        </w:rPr>
        <w:t>86</w:t>
      </w:r>
      <w:r>
        <w:fldChar w:fldCharType="end"/>
      </w:r>
    </w:p>
    <w:p w:rsidR="000A156F" w:rsidRDefault="00A9721F">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section_814bc31910274d3c9cc52276e470e4a2</w:instrText>
      </w:r>
      <w:r>
        <w:fldChar w:fldCharType="separate"/>
      </w:r>
      <w:r>
        <w:rPr>
          <w:noProof/>
        </w:rPr>
        <w:t>87</w:t>
      </w:r>
      <w:r>
        <w:fldChar w:fldCharType="end"/>
      </w:r>
    </w:p>
    <w:p w:rsidR="000A156F" w:rsidRDefault="00A9721F">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87</w:t>
      </w:r>
      <w:r>
        <w:fldChar w:fldCharType="end"/>
      </w:r>
    </w:p>
    <w:p w:rsidR="000A156F" w:rsidRDefault="00A9721F">
      <w:pPr>
        <w:pStyle w:val="indexentry0"/>
      </w:pPr>
      <w:hyperlink w:anchor="section_56c0b0dedcc146fda1e1ea2310dc7741">
        <w:r>
          <w:rPr>
            <w:rStyle w:val="Hyperlink"/>
          </w:rPr>
          <w:t>tblOverlap (Floating Table Allows Other Tables to Overlap)</w:t>
        </w:r>
      </w:hyperlink>
      <w:r>
        <w:t xml:space="preserve"> </w:t>
      </w:r>
      <w:r>
        <w:fldChar w:fldCharType="begin"/>
      </w:r>
      <w:r>
        <w:instrText xml:space="preserve">PAGEREF </w:instrText>
      </w:r>
      <w:r>
        <w:instrText>section_56c0b0dedcc146fda1e1ea2310dc7741</w:instrText>
      </w:r>
      <w:r>
        <w:fldChar w:fldCharType="separate"/>
      </w:r>
      <w:r>
        <w:rPr>
          <w:noProof/>
        </w:rPr>
        <w:t>88</w:t>
      </w:r>
      <w:r>
        <w:fldChar w:fldCharType="end"/>
      </w:r>
    </w:p>
    <w:p w:rsidR="000A156F" w:rsidRDefault="00A9721F">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88</w:t>
      </w:r>
      <w:r>
        <w:fldChar w:fldCharType="end"/>
      </w:r>
    </w:p>
    <w:p w:rsidR="000A156F" w:rsidRDefault="00A9721F">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88</w:t>
      </w:r>
      <w:r>
        <w:fldChar w:fldCharType="end"/>
      </w:r>
    </w:p>
    <w:p w:rsidR="000A156F" w:rsidRDefault="00A9721F">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117</w:t>
      </w:r>
      <w:r>
        <w:fldChar w:fldCharType="end"/>
      </w:r>
    </w:p>
    <w:p w:rsidR="000A156F" w:rsidRDefault="00A9721F">
      <w:pPr>
        <w:pStyle w:val="indexentry0"/>
      </w:pPr>
      <w:hyperlink w:anchor="section_2020ce86cc3945b28bec82dc97435c44">
        <w:r>
          <w:rPr>
            <w:rStyle w:val="Hyperlink"/>
          </w:rPr>
          <w:t>tblPr (Table Properties)</w:t>
        </w:r>
      </w:hyperlink>
      <w:r>
        <w:t xml:space="preserve"> </w:t>
      </w:r>
      <w:r>
        <w:fldChar w:fldCharType="begin"/>
      </w:r>
      <w:r>
        <w:instrText>PAGEREF section_2020ce86cc3945b28bec82dc97435c44</w:instrText>
      </w:r>
      <w:r>
        <w:fldChar w:fldCharType="separate"/>
      </w:r>
      <w:r>
        <w:rPr>
          <w:noProof/>
        </w:rPr>
        <w:t>89</w:t>
      </w:r>
      <w:r>
        <w:fldChar w:fldCharType="end"/>
      </w:r>
    </w:p>
    <w:p w:rsidR="000A156F" w:rsidRDefault="00A9721F">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117</w:t>
      </w:r>
      <w:r>
        <w:fldChar w:fldCharType="end"/>
      </w:r>
    </w:p>
    <w:p w:rsidR="000A156F" w:rsidRDefault="00A9721F">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139</w:t>
      </w:r>
      <w:r>
        <w:fldChar w:fldCharType="end"/>
      </w:r>
    </w:p>
    <w:p w:rsidR="000A156F" w:rsidRDefault="00A9721F">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139</w:t>
      </w:r>
      <w:r>
        <w:fldChar w:fldCharType="end"/>
      </w:r>
    </w:p>
    <w:p w:rsidR="000A156F" w:rsidRDefault="00A9721F">
      <w:pPr>
        <w:pStyle w:val="indexentry0"/>
      </w:pPr>
      <w:hyperlink w:anchor="section_35aa3feae5804ca695bdcb921384f005">
        <w:r>
          <w:rPr>
            <w:rStyle w:val="Hyperlink"/>
          </w:rPr>
          <w:t>tblStyle (Referenced Table Style)</w:t>
        </w:r>
      </w:hyperlink>
      <w:r>
        <w:t xml:space="preserve"> </w:t>
      </w:r>
      <w:r>
        <w:fldChar w:fldCharType="begin"/>
      </w:r>
      <w:r>
        <w:instrText>PAGE</w:instrText>
      </w:r>
      <w:r>
        <w:instrText>REF section_35aa3feae5804ca695bdcb921384f005</w:instrText>
      </w:r>
      <w:r>
        <w:fldChar w:fldCharType="separate"/>
      </w:r>
      <w:r>
        <w:rPr>
          <w:noProof/>
        </w:rPr>
        <w:t>89</w:t>
      </w:r>
      <w:r>
        <w:fldChar w:fldCharType="end"/>
      </w:r>
    </w:p>
    <w:p w:rsidR="000A156F" w:rsidRDefault="00A9721F">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507</w:t>
      </w:r>
      <w:r>
        <w:fldChar w:fldCharType="end"/>
      </w:r>
    </w:p>
    <w:p w:rsidR="000A156F" w:rsidRDefault="00A9721F">
      <w:pPr>
        <w:pStyle w:val="indexentry0"/>
      </w:pPr>
      <w:hyperlink w:anchor="section_6998fa345ceb40a7b3b5ac4591c2f09e">
        <w:r>
          <w:rPr>
            <w:rStyle w:val="Hyperlink"/>
          </w:rPr>
          <w:t>tblStyleC</w:t>
        </w:r>
        <w:r>
          <w:rPr>
            <w:rStyle w:val="Hyperlink"/>
          </w:rPr>
          <w:t>olBandSize (Number of Columns in Column Band)</w:t>
        </w:r>
      </w:hyperlink>
      <w:r>
        <w:t xml:space="preserve"> </w:t>
      </w:r>
      <w:r>
        <w:fldChar w:fldCharType="begin"/>
      </w:r>
      <w:r>
        <w:instrText>PAGEREF section_6998fa345ceb40a7b3b5ac4591c2f09e</w:instrText>
      </w:r>
      <w:r>
        <w:fldChar w:fldCharType="separate"/>
      </w:r>
      <w:r>
        <w:rPr>
          <w:noProof/>
        </w:rPr>
        <w:t>117</w:t>
      </w:r>
      <w:r>
        <w:fldChar w:fldCharType="end"/>
      </w:r>
    </w:p>
    <w:p w:rsidR="000A156F" w:rsidRDefault="00A9721F">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PAGEREF section_2ac331d4cf1e4fa08b</w:instrText>
      </w:r>
      <w:r>
        <w:instrText>ca6da74411e284</w:instrText>
      </w:r>
      <w:r>
        <w:fldChar w:fldCharType="separate"/>
      </w:r>
      <w:r>
        <w:rPr>
          <w:noProof/>
        </w:rPr>
        <w:t>118</w:t>
      </w:r>
      <w:r>
        <w:fldChar w:fldCharType="end"/>
      </w:r>
    </w:p>
    <w:p w:rsidR="000A156F" w:rsidRDefault="00A9721F">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118</w:t>
      </w:r>
      <w:r>
        <w:fldChar w:fldCharType="end"/>
      </w:r>
    </w:p>
    <w:p w:rsidR="000A156F" w:rsidRDefault="00A9721F">
      <w:pPr>
        <w:pStyle w:val="indexentry0"/>
      </w:pPr>
      <w:hyperlink w:anchor="section_9b01c51ffe5d472cba38bc12ce971ad2">
        <w:r>
          <w:rPr>
            <w:rStyle w:val="Hyperlink"/>
          </w:rPr>
          <w:t>tblW (Preferr</w:t>
        </w:r>
        <w:r>
          <w:rPr>
            <w:rStyle w:val="Hyperlink"/>
          </w:rPr>
          <w:t>ed Table Width Exception)</w:t>
        </w:r>
      </w:hyperlink>
      <w:r>
        <w:t xml:space="preserve"> </w:t>
      </w:r>
      <w:r>
        <w:fldChar w:fldCharType="begin"/>
      </w:r>
      <w:r>
        <w:instrText>PAGEREF section_9b01c51ffe5d472cba38bc12ce971ad2</w:instrText>
      </w:r>
      <w:r>
        <w:fldChar w:fldCharType="separate"/>
      </w:r>
      <w:r>
        <w:rPr>
          <w:noProof/>
        </w:rPr>
        <w:t>89</w:t>
      </w:r>
      <w:r>
        <w:fldChar w:fldCharType="end"/>
      </w:r>
    </w:p>
    <w:p w:rsidR="000A156F" w:rsidRDefault="00A9721F">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89</w:t>
      </w:r>
      <w:r>
        <w:fldChar w:fldCharType="end"/>
      </w:r>
    </w:p>
    <w:p w:rsidR="000A156F" w:rsidRDefault="00A9721F">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89</w:t>
      </w:r>
      <w:r>
        <w:fldChar w:fldCharType="end"/>
      </w:r>
      <w:r>
        <w:t xml:space="preserve">, </w:t>
      </w:r>
      <w:hyperlink w:anchor="section_f9366bfc1f6c4e97a2f540f83aebb61c">
        <w:r>
          <w:rPr>
            <w:rStyle w:val="Hyperlink"/>
          </w:rPr>
          <w:t>section 2.1.1426</w:t>
        </w:r>
      </w:hyperlink>
      <w:r>
        <w:t xml:space="preserve"> </w:t>
      </w:r>
      <w:r>
        <w:fldChar w:fldCharType="begin"/>
      </w:r>
      <w:r>
        <w:instrText>PAGEREF section_f9366bfc1f6c4e97a2f540f83aebb61c</w:instrText>
      </w:r>
      <w:r>
        <w:fldChar w:fldCharType="separate"/>
      </w:r>
      <w:r>
        <w:rPr>
          <w:noProof/>
        </w:rPr>
        <w:t>550</w:t>
      </w:r>
      <w:r>
        <w:fldChar w:fldCharType="end"/>
      </w:r>
      <w:r>
        <w:t>)</w:t>
      </w:r>
    </w:p>
    <w:p w:rsidR="000A156F" w:rsidRDefault="00A9721F">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90</w:t>
      </w:r>
      <w:r>
        <w:fldChar w:fldCharType="end"/>
      </w:r>
    </w:p>
    <w:p w:rsidR="000A156F" w:rsidRDefault="00A9721F">
      <w:pPr>
        <w:pStyle w:val="indexentry0"/>
      </w:pPr>
      <w:hyperlink w:anchor="section_1839bb55e06a4fd1b1813d89018a0151">
        <w:r>
          <w:rPr>
            <w:rStyle w:val="Hyperlink"/>
          </w:rPr>
          <w:t>tcFitText (Fit Text Within Cell)</w:t>
        </w:r>
      </w:hyperlink>
      <w:r>
        <w:t xml:space="preserve"> </w:t>
      </w:r>
      <w:r>
        <w:fldChar w:fldCharType="begin"/>
      </w:r>
      <w:r>
        <w:instrText>PAGEREF sectio</w:instrText>
      </w:r>
      <w:r>
        <w:instrText>n_1839bb55e06a4fd1b1813d89018a0151</w:instrText>
      </w:r>
      <w:r>
        <w:fldChar w:fldCharType="separate"/>
      </w:r>
      <w:r>
        <w:rPr>
          <w:noProof/>
        </w:rPr>
        <w:t>92</w:t>
      </w:r>
      <w:r>
        <w:fldChar w:fldCharType="end"/>
      </w:r>
    </w:p>
    <w:p w:rsidR="000A156F" w:rsidRDefault="00A9721F">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708</w:t>
      </w:r>
      <w:r>
        <w:fldChar w:fldCharType="end"/>
      </w:r>
    </w:p>
    <w:p w:rsidR="000A156F" w:rsidRDefault="00A9721F">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119</w:t>
      </w:r>
      <w:r>
        <w:fldChar w:fldCharType="end"/>
      </w:r>
    </w:p>
    <w:p w:rsidR="000A156F" w:rsidRDefault="00A9721F">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section_348cf5dd492c4e2b9fe3c499</w:instrText>
      </w:r>
      <w:r>
        <w:instrText>6f8c52e5</w:instrText>
      </w:r>
      <w:r>
        <w:fldChar w:fldCharType="separate"/>
      </w:r>
      <w:r>
        <w:rPr>
          <w:noProof/>
        </w:rPr>
        <w:t>118</w:t>
      </w:r>
      <w:r>
        <w:fldChar w:fldCharType="end"/>
      </w:r>
    </w:p>
    <w:p w:rsidR="000A156F" w:rsidRDefault="00A9721F">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139</w:t>
      </w:r>
      <w:r>
        <w:fldChar w:fldCharType="end"/>
      </w:r>
    </w:p>
    <w:p w:rsidR="000A156F" w:rsidRDefault="00A9721F">
      <w:pPr>
        <w:pStyle w:val="indexentry0"/>
      </w:pPr>
      <w:hyperlink w:anchor="section_57cf0f4610394fd089650ea4f8336fad">
        <w:r>
          <w:rPr>
            <w:rStyle w:val="Hyperlink"/>
          </w:rPr>
          <w:t>tcW (Pre</w:t>
        </w:r>
        <w:r>
          <w:rPr>
            <w:rStyle w:val="Hyperlink"/>
          </w:rPr>
          <w:t>ferred Table Cell Width)</w:t>
        </w:r>
      </w:hyperlink>
      <w:r>
        <w:t xml:space="preserve"> </w:t>
      </w:r>
      <w:r>
        <w:fldChar w:fldCharType="begin"/>
      </w:r>
      <w:r>
        <w:instrText>PAGEREF section_57cf0f4610394fd089650ea4f8336fad</w:instrText>
      </w:r>
      <w:r>
        <w:fldChar w:fldCharType="separate"/>
      </w:r>
      <w:r>
        <w:rPr>
          <w:noProof/>
        </w:rPr>
        <w:t>92</w:t>
      </w:r>
      <w:r>
        <w:fldChar w:fldCharType="end"/>
      </w:r>
    </w:p>
    <w:p w:rsidR="000A156F" w:rsidRDefault="00A9721F">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223</w:t>
      </w:r>
      <w:r>
        <w:fldChar w:fldCharType="end"/>
      </w:r>
    </w:p>
    <w:p w:rsidR="000A156F" w:rsidRDefault="00A9721F">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section_3f646bb2ec694ae29201d5b67fc28e70</w:instrText>
      </w:r>
      <w:r>
        <w:fldChar w:fldCharType="separate"/>
      </w:r>
      <w:r>
        <w:rPr>
          <w:noProof/>
        </w:rPr>
        <w:t>100</w:t>
      </w:r>
      <w:r>
        <w:fldChar w:fldCharType="end"/>
      </w:r>
    </w:p>
    <w:p w:rsidR="000A156F" w:rsidRDefault="00A9721F">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295</w:t>
      </w:r>
      <w:r>
        <w:fldChar w:fldCharType="end"/>
      </w:r>
    </w:p>
    <w:p w:rsidR="000A156F" w:rsidRDefault="00A9721F">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662</w:t>
      </w:r>
      <w:r>
        <w:fldChar w:fldCharType="end"/>
      </w:r>
    </w:p>
    <w:p w:rsidR="000A156F" w:rsidRDefault="00A9721F">
      <w:pPr>
        <w:pStyle w:val="indexentry0"/>
      </w:pPr>
      <w:hyperlink w:anchor="section_65c200ca97df41caa4fcf55246052527">
        <w:r>
          <w:rPr>
            <w:rStyle w:val="Hyperlink"/>
          </w:rPr>
          <w:t>textboxTi</w:t>
        </w:r>
        <w:r>
          <w:rPr>
            <w:rStyle w:val="Hyperlink"/>
          </w:rPr>
          <w:t>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66</w:t>
      </w:r>
      <w:r>
        <w:fldChar w:fldCharType="end"/>
      </w:r>
    </w:p>
    <w:p w:rsidR="000A156F" w:rsidRDefault="00A9721F">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w:instrText>
      </w:r>
      <w:r>
        <w:instrText>d283a508e15</w:instrText>
      </w:r>
      <w:r>
        <w:fldChar w:fldCharType="separate"/>
      </w:r>
      <w:r>
        <w:rPr>
          <w:noProof/>
        </w:rPr>
        <w:t>687</w:t>
      </w:r>
      <w:r>
        <w:fldChar w:fldCharType="end"/>
      </w:r>
    </w:p>
    <w:p w:rsidR="000A156F" w:rsidRDefault="00A9721F">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66</w:t>
      </w:r>
      <w:r>
        <w:fldChar w:fldCharType="end"/>
      </w:r>
    </w:p>
    <w:p w:rsidR="000A156F" w:rsidRDefault="00A9721F">
      <w:pPr>
        <w:pStyle w:val="indexentry0"/>
      </w:pPr>
      <w:hyperlink w:anchor="section_d1912b80175449d4a2f610af9470ec26">
        <w:r>
          <w:rPr>
            <w:rStyle w:val="Hyperlink"/>
          </w:rPr>
          <w:t>textDirection (Tabl</w:t>
        </w:r>
        <w:r>
          <w:rPr>
            <w:rStyle w:val="Hyperlink"/>
          </w:rPr>
          <w:t>e Cell Text Flow Direction)</w:t>
        </w:r>
      </w:hyperlink>
      <w:r>
        <w:t xml:space="preserve"> </w:t>
      </w:r>
      <w:r>
        <w:fldChar w:fldCharType="begin"/>
      </w:r>
      <w:r>
        <w:instrText>PAGEREF section_d1912b80175449d4a2f610af9470ec26</w:instrText>
      </w:r>
      <w:r>
        <w:fldChar w:fldCharType="separate"/>
      </w:r>
      <w:r>
        <w:rPr>
          <w:noProof/>
        </w:rPr>
        <w:t>92</w:t>
      </w:r>
      <w:r>
        <w:fldChar w:fldCharType="end"/>
      </w:r>
    </w:p>
    <w:p w:rsidR="000A156F" w:rsidRDefault="00A9721F">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378</w:t>
      </w:r>
      <w:r>
        <w:fldChar w:fldCharType="end"/>
      </w:r>
    </w:p>
    <w:p w:rsidR="000A156F" w:rsidRDefault="00A9721F">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378</w:t>
      </w:r>
      <w:r>
        <w:fldChar w:fldCharType="end"/>
      </w:r>
    </w:p>
    <w:p w:rsidR="000A156F" w:rsidRDefault="00A9721F">
      <w:pPr>
        <w:pStyle w:val="indexentry0"/>
      </w:pPr>
      <w:hyperlink w:anchor="section_ed0509b6055043338266884ac10bb5ba">
        <w:r>
          <w:rPr>
            <w:rStyle w:val="Hyperlink"/>
          </w:rPr>
          <w:t>textpath (Text Layout Path)</w:t>
        </w:r>
      </w:hyperlink>
      <w:r>
        <w:t xml:space="preserve"> </w:t>
      </w:r>
      <w:r>
        <w:fldChar w:fldCharType="begin"/>
      </w:r>
      <w:r>
        <w:instrText>PAGEREF section_ed0509b6055043</w:instrText>
      </w:r>
      <w:r>
        <w:instrText>338266884ac10bb5ba</w:instrText>
      </w:r>
      <w:r>
        <w:fldChar w:fldCharType="separate"/>
      </w:r>
      <w:r>
        <w:rPr>
          <w:noProof/>
        </w:rPr>
        <w:t>664</w:t>
      </w:r>
      <w:r>
        <w:fldChar w:fldCharType="end"/>
      </w:r>
    </w:p>
    <w:p w:rsidR="000A156F" w:rsidRDefault="00A9721F">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378</w:t>
      </w:r>
      <w:r>
        <w:fldChar w:fldCharType="end"/>
      </w:r>
    </w:p>
    <w:p w:rsidR="000A156F" w:rsidRDefault="00A9721F">
      <w:pPr>
        <w:pStyle w:val="indexentry0"/>
      </w:pPr>
      <w:hyperlink w:anchor="section_7669e68deb7549b19058dfcaf5707fd5">
        <w:r>
          <w:rPr>
            <w:rStyle w:val="Hyperlink"/>
          </w:rPr>
          <w:t>TextVAlign (Vertical Text Al</w:t>
        </w:r>
        <w:r>
          <w:rPr>
            <w:rStyle w:val="Hyperlink"/>
          </w:rPr>
          <w:t>ignment)</w:t>
        </w:r>
      </w:hyperlink>
      <w:r>
        <w:t xml:space="preserve"> </w:t>
      </w:r>
      <w:r>
        <w:fldChar w:fldCharType="begin"/>
      </w:r>
      <w:r>
        <w:instrText>PAGEREF section_7669e68deb7549b19058dfcaf5707fd5</w:instrText>
      </w:r>
      <w:r>
        <w:fldChar w:fldCharType="separate"/>
      </w:r>
      <w:r>
        <w:rPr>
          <w:noProof/>
        </w:rPr>
        <w:t>687</w:t>
      </w:r>
      <w:r>
        <w:fldChar w:fldCharType="end"/>
      </w:r>
    </w:p>
    <w:p w:rsidR="000A156F" w:rsidRDefault="00A9721F">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section_490387c4cef043bd9a2b526cc3cae961</w:instrText>
      </w:r>
      <w:r>
        <w:fldChar w:fldCharType="separate"/>
      </w:r>
      <w:r>
        <w:rPr>
          <w:noProof/>
        </w:rPr>
        <w:t>157</w:t>
      </w:r>
      <w:r>
        <w:fldChar w:fldCharType="end"/>
      </w:r>
    </w:p>
    <w:p w:rsidR="000A156F" w:rsidRDefault="00A9721F">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578</w:t>
      </w:r>
      <w:r>
        <w:fldChar w:fldCharType="end"/>
      </w:r>
    </w:p>
    <w:p w:rsidR="000A156F" w:rsidRDefault="00A9721F">
      <w:pPr>
        <w:pStyle w:val="indexentry0"/>
      </w:pPr>
      <w:hyperlink w:anchor="section_bd2dcc2de1e24b3bba3a08817be49e05">
        <w:r>
          <w:rPr>
            <w:rStyle w:val="Hyperlink"/>
          </w:rPr>
          <w:t>tickLblSkip (Tick Label Skip)</w:t>
        </w:r>
      </w:hyperlink>
      <w:r>
        <w:t xml:space="preserve"> </w:t>
      </w:r>
      <w:r>
        <w:fldChar w:fldCharType="begin"/>
      </w:r>
      <w:r>
        <w:instrText>PAGEREF section_bd2dcc2de1</w:instrText>
      </w:r>
      <w:r>
        <w:instrText>e24b3bba3a08817be49e05</w:instrText>
      </w:r>
      <w:r>
        <w:fldChar w:fldCharType="separate"/>
      </w:r>
      <w:r>
        <w:rPr>
          <w:noProof/>
        </w:rPr>
        <w:t>579</w:t>
      </w:r>
      <w:r>
        <w:fldChar w:fldCharType="end"/>
      </w:r>
    </w:p>
    <w:p w:rsidR="000A156F" w:rsidRDefault="00A9721F">
      <w:pPr>
        <w:pStyle w:val="indexentry0"/>
      </w:pPr>
      <w:hyperlink w:anchor="section_ee2e8e04bcc44e869167ea14e1bd91a9">
        <w:r>
          <w:rPr>
            <w:rStyle w:val="Hyperlink"/>
          </w:rPr>
          <w:t>tickMarkSkip (Tick Mark Skip)</w:t>
        </w:r>
      </w:hyperlink>
      <w:r>
        <w:t xml:space="preserve"> </w:t>
      </w:r>
      <w:r>
        <w:fldChar w:fldCharType="begin"/>
      </w:r>
      <w:r>
        <w:instrText>PAGEREF section_ee2e8e04bcc44e869167ea14e1bd91a9</w:instrText>
      </w:r>
      <w:r>
        <w:fldChar w:fldCharType="separate"/>
      </w:r>
      <w:r>
        <w:rPr>
          <w:noProof/>
        </w:rPr>
        <w:t>579</w:t>
      </w:r>
      <w:r>
        <w:fldChar w:fldCharType="end"/>
      </w:r>
    </w:p>
    <w:p w:rsidR="000A156F" w:rsidRDefault="00A9721F">
      <w:pPr>
        <w:pStyle w:val="indexentry0"/>
      </w:pPr>
      <w:hyperlink w:anchor="section_3a5d54a8863b4beb9f0c9fc72fdd0d05">
        <w:r>
          <w:rPr>
            <w:rStyle w:val="Hyperlink"/>
          </w:rPr>
          <w:t>tileRect (Tile Rectangle</w:t>
        </w:r>
        <w:r>
          <w:rPr>
            <w:rStyle w:val="Hyperlink"/>
          </w:rPr>
          <w:t>)</w:t>
        </w:r>
      </w:hyperlink>
      <w:r>
        <w:t xml:space="preserve"> </w:t>
      </w:r>
      <w:r>
        <w:fldChar w:fldCharType="begin"/>
      </w:r>
      <w:r>
        <w:instrText>PAGEREF section_3a5d54a8863b4beb9f0c9fc72fdd0d05</w:instrText>
      </w:r>
      <w:r>
        <w:fldChar w:fldCharType="separate"/>
      </w:r>
      <w:r>
        <w:rPr>
          <w:noProof/>
        </w:rPr>
        <w:t>519</w:t>
      </w:r>
      <w:r>
        <w:fldChar w:fldCharType="end"/>
      </w:r>
    </w:p>
    <w:p w:rsidR="000A156F" w:rsidRDefault="00A9721F">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449</w:t>
      </w:r>
      <w:r>
        <w:fldChar w:fldCharType="end"/>
      </w:r>
    </w:p>
    <w:p w:rsidR="000A156F" w:rsidRDefault="00A9721F">
      <w:pPr>
        <w:pStyle w:val="indexentry0"/>
      </w:pPr>
      <w:hyperlink w:anchor="section_cf0b5eb22dd54c109d0c4a3810cc90fd">
        <w:r>
          <w:rPr>
            <w:rStyle w:val="Hyperlink"/>
          </w:rPr>
          <w:t>TIMEVALUE</w:t>
        </w:r>
      </w:hyperlink>
      <w:r>
        <w:t xml:space="preserve"> </w:t>
      </w:r>
      <w:r>
        <w:fldChar w:fldCharType="begin"/>
      </w:r>
      <w:r>
        <w:instrText>PAGEREF</w:instrText>
      </w:r>
      <w:r>
        <w:instrText xml:space="preserve"> section_cf0b5eb22dd54c109d0c4a3810cc90fd</w:instrText>
      </w:r>
      <w:r>
        <w:fldChar w:fldCharType="separate"/>
      </w:r>
      <w:r>
        <w:rPr>
          <w:noProof/>
        </w:rPr>
        <w:t>449</w:t>
      </w:r>
      <w:r>
        <w:fldChar w:fldCharType="end"/>
      </w:r>
    </w:p>
    <w:p w:rsidR="000A156F" w:rsidRDefault="00A9721F">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504</w:t>
      </w:r>
      <w:r>
        <w:fldChar w:fldCharType="end"/>
      </w:r>
    </w:p>
    <w:p w:rsidR="000A156F" w:rsidRDefault="00A9721F">
      <w:pPr>
        <w:pStyle w:val="indexentry0"/>
      </w:pPr>
      <w:hyperlink w:anchor="section_a3c7bbb534f24e52b9e110fe2143d5f6">
        <w:r>
          <w:rPr>
            <w:rStyle w:val="Hyperlink"/>
          </w:rPr>
          <w:t>TITLE</w:t>
        </w:r>
      </w:hyperlink>
      <w:r>
        <w:t xml:space="preserve"> </w:t>
      </w:r>
      <w:r>
        <w:fldChar w:fldCharType="begin"/>
      </w:r>
      <w:r>
        <w:instrText>PAGEREF section</w:instrText>
      </w:r>
      <w:r>
        <w:instrText>_a3c7bbb534f24e52b9e110fe2143d5f6</w:instrText>
      </w:r>
      <w:r>
        <w:fldChar w:fldCharType="separate"/>
      </w:r>
      <w:r>
        <w:rPr>
          <w:noProof/>
        </w:rPr>
        <w:t>223</w:t>
      </w:r>
      <w:r>
        <w:fldChar w:fldCharType="end"/>
      </w:r>
    </w:p>
    <w:p w:rsidR="000A156F" w:rsidRDefault="00A9721F">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163</w:t>
      </w:r>
      <w:r>
        <w:fldChar w:fldCharType="end"/>
      </w:r>
    </w:p>
    <w:p w:rsidR="000A156F" w:rsidRDefault="00A9721F">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579</w:t>
      </w:r>
      <w:r>
        <w:fldChar w:fldCharType="end"/>
      </w:r>
    </w:p>
    <w:p w:rsidR="000A156F" w:rsidRDefault="00A9721F">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127</w:t>
      </w:r>
      <w:r>
        <w:fldChar w:fldCharType="end"/>
      </w:r>
    </w:p>
    <w:p w:rsidR="000A156F" w:rsidRDefault="00A9721F">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614</w:t>
      </w:r>
      <w:r>
        <w:fldChar w:fldCharType="end"/>
      </w:r>
    </w:p>
    <w:p w:rsidR="000A156F" w:rsidRDefault="00A9721F">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w:instrText>
      </w:r>
      <w:r>
        <w:instrText>ion_b6367788d039424fbc44c119b62a5238</w:instrText>
      </w:r>
      <w:r>
        <w:fldChar w:fldCharType="separate"/>
      </w:r>
      <w:r>
        <w:rPr>
          <w:noProof/>
        </w:rPr>
        <w:t>93</w:t>
      </w:r>
      <w:r>
        <w:fldChar w:fldCharType="end"/>
      </w:r>
    </w:p>
    <w:p w:rsidR="000A156F" w:rsidRDefault="00A9721F">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486</w:t>
      </w:r>
      <w:r>
        <w:fldChar w:fldCharType="end"/>
      </w:r>
    </w:p>
    <w:p w:rsidR="000A156F" w:rsidRDefault="00A9721F">
      <w:pPr>
        <w:pStyle w:val="indexentry0"/>
      </w:pPr>
      <w:hyperlink w:anchor="section_3da02aff9dc64878be81118938641c43">
        <w:r>
          <w:rPr>
            <w:rStyle w:val="Hyperlink"/>
          </w:rPr>
          <w:t>tmplLst (Templat</w:t>
        </w:r>
        <w:r>
          <w:rPr>
            <w:rStyle w:val="Hyperlink"/>
          </w:rPr>
          <w:t>e effects)</w:t>
        </w:r>
      </w:hyperlink>
      <w:r>
        <w:t xml:space="preserve"> </w:t>
      </w:r>
      <w:r>
        <w:fldChar w:fldCharType="begin"/>
      </w:r>
      <w:r>
        <w:instrText>PAGEREF section_3da02aff9dc64878be81118938641c43</w:instrText>
      </w:r>
      <w:r>
        <w:fldChar w:fldCharType="separate"/>
      </w:r>
      <w:r>
        <w:rPr>
          <w:noProof/>
        </w:rPr>
        <w:t>486</w:t>
      </w:r>
      <w:r>
        <w:fldChar w:fldCharType="end"/>
      </w:r>
    </w:p>
    <w:p w:rsidR="000A156F" w:rsidRDefault="00A9721F">
      <w:pPr>
        <w:pStyle w:val="indexentry0"/>
      </w:pPr>
      <w:hyperlink w:anchor="section_5516734500ff4d39b4a86ca61d86227a">
        <w:r>
          <w:rPr>
            <w:rStyle w:val="Hyperlink"/>
          </w:rPr>
          <w:t>tnLst (Time Node List)</w:t>
        </w:r>
      </w:hyperlink>
      <w:r>
        <w:t xml:space="preserve"> </w:t>
      </w:r>
      <w:r>
        <w:fldChar w:fldCharType="begin"/>
      </w:r>
      <w:r>
        <w:instrText>PAGEREF section_5516734500ff4d39b4a86ca61d86227a</w:instrText>
      </w:r>
      <w:r>
        <w:fldChar w:fldCharType="separate"/>
      </w:r>
      <w:r>
        <w:rPr>
          <w:noProof/>
        </w:rPr>
        <w:t>487</w:t>
      </w:r>
      <w:r>
        <w:fldChar w:fldCharType="end"/>
      </w:r>
    </w:p>
    <w:p w:rsidR="000A156F" w:rsidRDefault="00A9721F">
      <w:pPr>
        <w:pStyle w:val="indexentry0"/>
      </w:pPr>
      <w:r>
        <w:t>to (Ending Anchor Point) (</w:t>
      </w:r>
      <w:hyperlink w:anchor="section_6ae4c17e8727447183c9a32482e72ffe">
        <w:r>
          <w:rPr>
            <w:rStyle w:val="Hyperlink"/>
          </w:rPr>
          <w:t>section 2.1.1375</w:t>
        </w:r>
      </w:hyperlink>
      <w:r>
        <w:t xml:space="preserve"> </w:t>
      </w:r>
      <w:r>
        <w:fldChar w:fldCharType="begin"/>
      </w:r>
      <w:r>
        <w:instrText>PAGEREF section_6ae4c17e8727447183c9a32482e72ffe</w:instrText>
      </w:r>
      <w:r>
        <w:fldChar w:fldCharType="separate"/>
      </w:r>
      <w:r>
        <w:rPr>
          <w:noProof/>
        </w:rPr>
        <w:t>535</w:t>
      </w:r>
      <w:r>
        <w:fldChar w:fldCharType="end"/>
      </w:r>
      <w:r>
        <w:t xml:space="preserve">, </w:t>
      </w:r>
      <w:hyperlink w:anchor="section_2cfcb2b25a5b4d8caf20267762478810">
        <w:r>
          <w:rPr>
            <w:rStyle w:val="Hyperlink"/>
          </w:rPr>
          <w:t>section 2.1.1612</w:t>
        </w:r>
      </w:hyperlink>
      <w:r>
        <w:t xml:space="preserve"> </w:t>
      </w:r>
      <w:r>
        <w:fldChar w:fldCharType="begin"/>
      </w:r>
      <w:r>
        <w:instrText>PAGEREF section_2cfcb2b25a5b4d8caf20267762478810</w:instrText>
      </w:r>
      <w:r>
        <w:fldChar w:fldCharType="separate"/>
      </w:r>
      <w:r>
        <w:rPr>
          <w:noProof/>
        </w:rPr>
        <w:t>589</w:t>
      </w:r>
      <w:r>
        <w:fldChar w:fldCharType="end"/>
      </w:r>
      <w:r>
        <w:t>)</w:t>
      </w:r>
    </w:p>
    <w:p w:rsidR="000A156F" w:rsidRDefault="00A9721F">
      <w:pPr>
        <w:pStyle w:val="indexentry0"/>
      </w:pPr>
      <w:r>
        <w:t>to (To) (</w:t>
      </w:r>
      <w:hyperlink w:anchor="section_9d0fa0e7b3734de0be8e85b0922d7204">
        <w:r>
          <w:rPr>
            <w:rStyle w:val="Hyperlink"/>
          </w:rPr>
          <w:t>section 2.1.1182</w:t>
        </w:r>
      </w:hyperlink>
      <w:r>
        <w:t xml:space="preserve"> </w:t>
      </w:r>
      <w:r>
        <w:fldChar w:fldCharType="begin"/>
      </w:r>
      <w:r>
        <w:instrText>PAGEREF section_9d0fa0e7b3734de0be8e85b0922d7204</w:instrText>
      </w:r>
      <w:r>
        <w:fldChar w:fldCharType="separate"/>
      </w:r>
      <w:r>
        <w:rPr>
          <w:noProof/>
        </w:rPr>
        <w:t>487</w:t>
      </w:r>
      <w:r>
        <w:fldChar w:fldCharType="end"/>
      </w:r>
      <w:r>
        <w:t xml:space="preserve">, </w:t>
      </w:r>
      <w:hyperlink w:anchor="section_0b35ab0b202941808a768d784dac1d2b">
        <w:r>
          <w:rPr>
            <w:rStyle w:val="Hyperlink"/>
          </w:rPr>
          <w:t>section 2.1.1183</w:t>
        </w:r>
      </w:hyperlink>
      <w:r>
        <w:t xml:space="preserve"> </w:t>
      </w:r>
      <w:r>
        <w:fldChar w:fldCharType="begin"/>
      </w:r>
      <w:r>
        <w:instrText>PAGEREF section_0b35ab0b202941808a768d784dac1d2b</w:instrText>
      </w:r>
      <w:r>
        <w:fldChar w:fldCharType="separate"/>
      </w:r>
      <w:r>
        <w:rPr>
          <w:noProof/>
        </w:rPr>
        <w:t>487</w:t>
      </w:r>
      <w:r>
        <w:fldChar w:fldCharType="end"/>
      </w:r>
      <w:r>
        <w:t xml:space="preserve">, </w:t>
      </w:r>
      <w:hyperlink w:anchor="section_337d872bb42b499797c5d4dc16ad8be1">
        <w:r>
          <w:rPr>
            <w:rStyle w:val="Hyperlink"/>
          </w:rPr>
          <w:t>section 2.1.1184</w:t>
        </w:r>
      </w:hyperlink>
      <w:r>
        <w:t xml:space="preserve"> </w:t>
      </w:r>
      <w:r>
        <w:fldChar w:fldCharType="begin"/>
      </w:r>
      <w:r>
        <w:instrText>PAGEREF section_337d872bb42b499797c5d4dc16ad8be1</w:instrText>
      </w:r>
      <w:r>
        <w:fldChar w:fldCharType="separate"/>
      </w:r>
      <w:r>
        <w:rPr>
          <w:noProof/>
        </w:rPr>
        <w:t>490</w:t>
      </w:r>
      <w:r>
        <w:fldChar w:fldCharType="end"/>
      </w:r>
      <w:r>
        <w:t>)</w:t>
      </w:r>
    </w:p>
    <w:p w:rsidR="000A156F" w:rsidRDefault="00A9721F">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223</w:t>
      </w:r>
      <w:r>
        <w:fldChar w:fldCharType="end"/>
      </w:r>
    </w:p>
    <w:p w:rsidR="000A156F" w:rsidRDefault="00A9721F">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223</w:t>
      </w:r>
      <w:r>
        <w:fldChar w:fldCharType="end"/>
      </w:r>
    </w:p>
    <w:p w:rsidR="000A156F" w:rsidRDefault="00A9721F">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104</w:t>
      </w:r>
      <w:r>
        <w:fldChar w:fldCharType="end"/>
      </w:r>
    </w:p>
    <w:p w:rsidR="000A156F" w:rsidRDefault="00A9721F">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709</w:t>
      </w:r>
      <w:r>
        <w:fldChar w:fldCharType="end"/>
      </w:r>
    </w:p>
    <w:p w:rsidR="000A156F" w:rsidRDefault="00A9721F">
      <w:pPr>
        <w:pStyle w:val="indexentry0"/>
      </w:pPr>
      <w:hyperlink w:anchor="section_7c98bf0e4eab43729ae628f1e61e1343">
        <w:r>
          <w:rPr>
            <w:rStyle w:val="Hyperlink"/>
          </w:rPr>
          <w:t>toolbars (Legacy Toolbar Customizations)</w:t>
        </w:r>
      </w:hyperlink>
      <w:r>
        <w:t xml:space="preserve"> </w:t>
      </w:r>
      <w:r>
        <w:fldChar w:fldCharType="begin"/>
      </w:r>
      <w:r>
        <w:instrText>PAGEREF section_</w:instrText>
      </w:r>
      <w:r>
        <w:instrText>7c98bf0e4eab43729ae628f1e61e1343</w:instrText>
      </w:r>
      <w:r>
        <w:fldChar w:fldCharType="separate"/>
      </w:r>
      <w:r>
        <w:rPr>
          <w:noProof/>
        </w:rPr>
        <w:t>710</w:t>
      </w:r>
      <w:r>
        <w:fldChar w:fldCharType="end"/>
      </w:r>
    </w:p>
    <w:p w:rsidR="000A156F" w:rsidRDefault="00A9721F">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66</w:t>
      </w:r>
      <w:r>
        <w:fldChar w:fldCharType="end"/>
      </w:r>
    </w:p>
    <w:p w:rsidR="000A156F" w:rsidRDefault="00A9721F">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93</w:t>
      </w:r>
      <w:r>
        <w:fldChar w:fldCharType="end"/>
      </w:r>
    </w:p>
    <w:p w:rsidR="000A156F" w:rsidRDefault="00A9721F">
      <w:pPr>
        <w:pStyle w:val="indexentry0"/>
      </w:pPr>
      <w:hyperlink w:anchor="section_27237d22be604bdfa7f2e50b688877bd">
        <w:r>
          <w:rPr>
            <w:rStyle w:val="Hyperlink"/>
          </w:rPr>
          <w:t>top (Table Cell Top Margin Default)</w:t>
        </w:r>
      </w:hyperlink>
      <w:r>
        <w:t xml:space="preserve"> </w:t>
      </w:r>
      <w:r>
        <w:fldChar w:fldCharType="begin"/>
      </w:r>
      <w:r>
        <w:instrText>PAGEREF sectio</w:instrText>
      </w:r>
      <w:r>
        <w:instrText>n_27237d22be604bdfa7f2e50b688877bd</w:instrText>
      </w:r>
      <w:r>
        <w:fldChar w:fldCharType="separate"/>
      </w:r>
      <w:r>
        <w:rPr>
          <w:noProof/>
        </w:rPr>
        <w:t>93</w:t>
      </w:r>
      <w:r>
        <w:fldChar w:fldCharType="end"/>
      </w:r>
    </w:p>
    <w:p w:rsidR="000A156F" w:rsidRDefault="00A9721F">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93</w:t>
      </w:r>
      <w:r>
        <w:fldChar w:fldCharType="end"/>
      </w:r>
    </w:p>
    <w:p w:rsidR="000A156F" w:rsidRDefault="00A9721F">
      <w:pPr>
        <w:pStyle w:val="indexentry0"/>
      </w:pPr>
      <w:hyperlink w:anchor="section_4d15f8f654514b1fa1cb481e018c3cef">
        <w:r>
          <w:rPr>
            <w:rStyle w:val="Hyperlink"/>
          </w:rPr>
          <w:t>top (Table Top Border)</w:t>
        </w:r>
      </w:hyperlink>
      <w:r>
        <w:t xml:space="preserve"> </w:t>
      </w:r>
      <w:r>
        <w:fldChar w:fldCharType="begin"/>
      </w:r>
      <w:r>
        <w:instrText>PAGEREF section_4d15f8f654514b1fa1cb481e018c3cef</w:instrText>
      </w:r>
      <w:r>
        <w:fldChar w:fldCharType="separate"/>
      </w:r>
      <w:r>
        <w:rPr>
          <w:noProof/>
        </w:rPr>
        <w:t>93</w:t>
      </w:r>
      <w:r>
        <w:fldChar w:fldCharType="end"/>
      </w:r>
    </w:p>
    <w:p w:rsidR="000A156F" w:rsidRDefault="00A9721F">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680</w:t>
      </w:r>
      <w:r>
        <w:fldChar w:fldCharType="end"/>
      </w:r>
    </w:p>
    <w:p w:rsidR="000A156F" w:rsidRDefault="00A9721F">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section_bd4c27d984664da3aa9a6ecbff6f39fe</w:instrText>
      </w:r>
      <w:r>
        <w:fldChar w:fldCharType="separate"/>
      </w:r>
      <w:r>
        <w:rPr>
          <w:noProof/>
        </w:rPr>
        <w:t>163</w:t>
      </w:r>
      <w:r>
        <w:fldChar w:fldCharType="end"/>
      </w:r>
    </w:p>
    <w:p w:rsidR="000A156F" w:rsidRDefault="00A9721F">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104</w:t>
      </w:r>
      <w:r>
        <w:fldChar w:fldCharType="end"/>
      </w:r>
    </w:p>
    <w:p w:rsidR="000A156F" w:rsidRDefault="00A9721F">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289</w:t>
      </w:r>
      <w:r>
        <w:fldChar w:fldCharType="end"/>
      </w:r>
    </w:p>
    <w:p w:rsidR="000A156F" w:rsidRDefault="00A9721F">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w:instrText>
      </w:r>
      <w:r>
        <w:instrText>38c4bbf81ad6bf338c2ce89</w:instrText>
      </w:r>
      <w:r>
        <w:fldChar w:fldCharType="separate"/>
      </w:r>
      <w:r>
        <w:rPr>
          <w:noProof/>
        </w:rPr>
        <w:t>67</w:t>
      </w:r>
      <w:r>
        <w:fldChar w:fldCharType="end"/>
      </w:r>
    </w:p>
    <w:p w:rsidR="000A156F" w:rsidRDefault="00A9721F">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293</w:t>
      </w:r>
      <w:r>
        <w:fldChar w:fldCharType="end"/>
      </w:r>
    </w:p>
    <w:p w:rsidR="000A156F" w:rsidRDefault="00A9721F">
      <w:pPr>
        <w:pStyle w:val="indexentry0"/>
      </w:pPr>
      <w:hyperlink w:anchor="section_4b59044c878542a7bccb0da2aee6e9e6">
        <w:r>
          <w:rPr>
            <w:rStyle w:val="Hyperlink"/>
          </w:rPr>
          <w:t>TotalTime (Tota</w:t>
        </w:r>
        <w:r>
          <w:rPr>
            <w:rStyle w:val="Hyperlink"/>
          </w:rPr>
          <w:t>l Edit Time Metadata Element)</w:t>
        </w:r>
      </w:hyperlink>
      <w:r>
        <w:t xml:space="preserve"> </w:t>
      </w:r>
      <w:r>
        <w:fldChar w:fldCharType="begin"/>
      </w:r>
      <w:r>
        <w:instrText>PAGEREF section_4b59044c878542a7bccb0da2aee6e9e6</w:instrText>
      </w:r>
      <w:r>
        <w:fldChar w:fldCharType="separate"/>
      </w:r>
      <w:r>
        <w:rPr>
          <w:noProof/>
        </w:rPr>
        <w:t>615</w:t>
      </w:r>
      <w:r>
        <w:fldChar w:fldCharType="end"/>
      </w:r>
    </w:p>
    <w:p w:rsidR="000A156F" w:rsidRDefault="00A9721F">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383</w:t>
      </w:r>
      <w:r>
        <w:fldChar w:fldCharType="end"/>
      </w:r>
    </w:p>
    <w:p w:rsidR="000A156F" w:rsidRDefault="00A9721F">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366</w:t>
      </w:r>
      <w:r>
        <w:fldChar w:fldCharType="end"/>
      </w:r>
    </w:p>
    <w:p w:rsidR="000A156F" w:rsidRDefault="00A9721F">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383</w:t>
      </w:r>
      <w:r>
        <w:fldChar w:fldCharType="end"/>
      </w:r>
    </w:p>
    <w:p w:rsidR="000A156F" w:rsidRDefault="00A9721F">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93</w:t>
      </w:r>
      <w:r>
        <w:fldChar w:fldCharType="end"/>
      </w:r>
      <w:r>
        <w:t xml:space="preserve">, </w:t>
      </w:r>
      <w:hyperlink w:anchor="section_312c4c2ed5b34407932a1122ed816de0">
        <w:r>
          <w:rPr>
            <w:rStyle w:val="Hyperlink"/>
          </w:rPr>
          <w:t>section 2.1.1427</w:t>
        </w:r>
      </w:hyperlink>
      <w:r>
        <w:t xml:space="preserve"> </w:t>
      </w:r>
      <w:r>
        <w:fldChar w:fldCharType="begin"/>
      </w:r>
      <w:r>
        <w:instrText>PAGEREF section_312c4c2ed5b34407932a1122ed81</w:instrText>
      </w:r>
      <w:r>
        <w:instrText>6de0</w:instrText>
      </w:r>
      <w:r>
        <w:fldChar w:fldCharType="separate"/>
      </w:r>
      <w:r>
        <w:rPr>
          <w:noProof/>
        </w:rPr>
        <w:t>550</w:t>
      </w:r>
      <w:r>
        <w:fldChar w:fldCharType="end"/>
      </w:r>
      <w:r>
        <w:t>)</w:t>
      </w:r>
    </w:p>
    <w:p w:rsidR="000A156F" w:rsidRDefault="00A9721F">
      <w:pPr>
        <w:pStyle w:val="indexentry0"/>
      </w:pPr>
      <w:hyperlink w:anchor="section_e029a4373f4d408c945eb1b52dcb04b3">
        <w:r>
          <w:rPr>
            <w:rStyle w:val="Hyperlink"/>
          </w:rPr>
          <w:t>tr2bl (Table Cell Top Right to Bottom Left Diagonal Border)</w:t>
        </w:r>
      </w:hyperlink>
      <w:r>
        <w:t xml:space="preserve"> </w:t>
      </w:r>
      <w:r>
        <w:fldChar w:fldCharType="begin"/>
      </w:r>
      <w:r>
        <w:instrText>PAGEREF section_e029a4373f4d408c945eb1b52dcb04b3</w:instrText>
      </w:r>
      <w:r>
        <w:fldChar w:fldCharType="separate"/>
      </w:r>
      <w:r>
        <w:rPr>
          <w:noProof/>
        </w:rPr>
        <w:t>93</w:t>
      </w:r>
      <w:r>
        <w:fldChar w:fldCharType="end"/>
      </w:r>
    </w:p>
    <w:p w:rsidR="000A156F" w:rsidRDefault="00A9721F">
      <w:pPr>
        <w:pStyle w:val="indexentry0"/>
      </w:pPr>
      <w:hyperlink w:anchor="section_e4474de8f3b14dfeb6475bef678743ca">
        <w:r>
          <w:rPr>
            <w:rStyle w:val="Hyperlink"/>
          </w:rPr>
          <w:t>Tracking ch</w:t>
        </w:r>
        <w:r>
          <w:rPr>
            <w:rStyle w:val="Hyperlink"/>
          </w:rPr>
          <w:t>anges</w:t>
        </w:r>
      </w:hyperlink>
      <w:r>
        <w:t xml:space="preserve"> </w:t>
      </w:r>
      <w:r>
        <w:fldChar w:fldCharType="begin"/>
      </w:r>
      <w:r>
        <w:instrText>PAGEREF section_e4474de8f3b14dfeb6475bef678743ca</w:instrText>
      </w:r>
      <w:r>
        <w:fldChar w:fldCharType="separate"/>
      </w:r>
      <w:r>
        <w:rPr>
          <w:noProof/>
        </w:rPr>
        <w:t>918</w:t>
      </w:r>
      <w:r>
        <w:fldChar w:fldCharType="end"/>
      </w:r>
    </w:p>
    <w:p w:rsidR="000A156F" w:rsidRDefault="00A9721F">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611</w:t>
      </w:r>
      <w:r>
        <w:fldChar w:fldCharType="end"/>
      </w:r>
    </w:p>
    <w:p w:rsidR="000A156F" w:rsidRDefault="00A9721F">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section_a627a81e2d014a7f8f7c40e2aec4f792</w:instrText>
      </w:r>
      <w:r>
        <w:fldChar w:fldCharType="separate"/>
      </w:r>
      <w:r>
        <w:rPr>
          <w:noProof/>
        </w:rPr>
        <w:t>579</w:t>
      </w:r>
      <w:r>
        <w:fldChar w:fldCharType="end"/>
      </w:r>
    </w:p>
    <w:p w:rsidR="000A156F" w:rsidRDefault="00A9721F">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579</w:t>
      </w:r>
      <w:r>
        <w:fldChar w:fldCharType="end"/>
      </w:r>
    </w:p>
    <w:p w:rsidR="000A156F" w:rsidRDefault="00A9721F">
      <w:pPr>
        <w:pStyle w:val="indexentry0"/>
      </w:pPr>
      <w:hyperlink w:anchor="section_3a6020381d924913ad3e43556bf8b51f">
        <w:r>
          <w:rPr>
            <w:rStyle w:val="Hyperlink"/>
          </w:rPr>
          <w:t>trendlineType (Trendline Type)</w:t>
        </w:r>
      </w:hyperlink>
      <w:r>
        <w:t xml:space="preserve"> </w:t>
      </w:r>
      <w:r>
        <w:fldChar w:fldCharType="begin"/>
      </w:r>
      <w:r>
        <w:instrText>PAGEREF section_3a6020381d924913ad3e43556bf8b51f</w:instrText>
      </w:r>
      <w:r>
        <w:fldChar w:fldCharType="separate"/>
      </w:r>
      <w:r>
        <w:rPr>
          <w:noProof/>
        </w:rPr>
        <w:t>580</w:t>
      </w:r>
      <w:r>
        <w:fldChar w:fldCharType="end"/>
      </w:r>
    </w:p>
    <w:p w:rsidR="000A156F" w:rsidRDefault="00A9721F">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w:instrText>
      </w:r>
      <w:r>
        <w:instrText>2f5c506</w:instrText>
      </w:r>
      <w:r>
        <w:fldChar w:fldCharType="separate"/>
      </w:r>
      <w:r>
        <w:rPr>
          <w:noProof/>
        </w:rPr>
        <w:t>94</w:t>
      </w:r>
      <w:r>
        <w:fldChar w:fldCharType="end"/>
      </w:r>
    </w:p>
    <w:p w:rsidR="000A156F" w:rsidRDefault="00A9721F">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449</w:t>
      </w:r>
      <w:r>
        <w:fldChar w:fldCharType="end"/>
      </w:r>
    </w:p>
    <w:p w:rsidR="000A156F" w:rsidRDefault="00A9721F">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119</w:t>
      </w:r>
      <w:r>
        <w:fldChar w:fldCharType="end"/>
      </w:r>
    </w:p>
    <w:p w:rsidR="000A156F" w:rsidRDefault="00A9721F">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119</w:t>
      </w:r>
      <w:r>
        <w:fldChar w:fldCharType="end"/>
      </w:r>
    </w:p>
    <w:p w:rsidR="000A156F" w:rsidRDefault="00A9721F">
      <w:pPr>
        <w:pStyle w:val="indexentry0"/>
      </w:pPr>
      <w:hyperlink w:anchor="section_953ded84289041e2b60711dc9c658a54">
        <w:r>
          <w:rPr>
            <w:rStyle w:val="Hyperlink"/>
          </w:rPr>
          <w:t>trPrChange (Revision Information for Table Row Properties)</w:t>
        </w:r>
      </w:hyperlink>
      <w:r>
        <w:t xml:space="preserve"> </w:t>
      </w:r>
      <w:r>
        <w:fldChar w:fldCharType="begin"/>
      </w:r>
      <w:r>
        <w:instrText>PAGEREF section_953ded84289041e2b60711dc9c658a54</w:instrText>
      </w:r>
      <w:r>
        <w:fldChar w:fldCharType="separate"/>
      </w:r>
      <w:r>
        <w:rPr>
          <w:noProof/>
        </w:rPr>
        <w:t>139</w:t>
      </w:r>
      <w:r>
        <w:fldChar w:fldCharType="end"/>
      </w:r>
    </w:p>
    <w:p w:rsidR="000A156F" w:rsidRDefault="00A9721F">
      <w:pPr>
        <w:pStyle w:val="indexentry0"/>
      </w:pPr>
      <w:hyperlink w:anchor="section_5987610d70aa4818afcbd2769417c6fa">
        <w:r>
          <w:rPr>
            <w:rStyle w:val="Hyperlink"/>
          </w:rPr>
          <w:t>TRUNC</w:t>
        </w:r>
      </w:hyperlink>
      <w:r>
        <w:t xml:space="preserve"> </w:t>
      </w:r>
      <w:r>
        <w:fldChar w:fldCharType="begin"/>
      </w:r>
      <w:r>
        <w:instrText>PAGEREF section_5987610d70aa4818afcbd27</w:instrText>
      </w:r>
      <w:r>
        <w:instrText>69417c6fa</w:instrText>
      </w:r>
      <w:r>
        <w:fldChar w:fldCharType="separate"/>
      </w:r>
      <w:r>
        <w:rPr>
          <w:noProof/>
        </w:rPr>
        <w:t>449</w:t>
      </w:r>
      <w:r>
        <w:fldChar w:fldCharType="end"/>
      </w:r>
    </w:p>
    <w:p w:rsidR="000A156F" w:rsidRDefault="00A9721F">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449</w:t>
      </w:r>
      <w:r>
        <w:fldChar w:fldCharType="end"/>
      </w:r>
    </w:p>
    <w:p w:rsidR="000A156F" w:rsidRDefault="00A9721F">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580</w:t>
      </w:r>
      <w:r>
        <w:fldChar w:fldCharType="end"/>
      </w:r>
    </w:p>
    <w:p w:rsidR="000A156F" w:rsidRDefault="00A9721F">
      <w:pPr>
        <w:pStyle w:val="indexentry0"/>
      </w:pPr>
      <w:r>
        <w:t>txBody (Shape Text Body) (</w:t>
      </w:r>
      <w:hyperlink w:anchor="section_438b915f007e4b90839dd80034a94f66">
        <w:r>
          <w:rPr>
            <w:rStyle w:val="Hyperlink"/>
          </w:rPr>
          <w:t>section 2.1.1376</w:t>
        </w:r>
      </w:hyperlink>
      <w:r>
        <w:t xml:space="preserve"> </w:t>
      </w:r>
      <w:r>
        <w:fldChar w:fldCharType="begin"/>
      </w:r>
      <w:r>
        <w:instrText>PAGEREF section_438b915f007e4b90839dd80034a94f66</w:instrText>
      </w:r>
      <w:r>
        <w:fldChar w:fldCharType="separate"/>
      </w:r>
      <w:r>
        <w:rPr>
          <w:noProof/>
        </w:rPr>
        <w:t>535</w:t>
      </w:r>
      <w:r>
        <w:fldChar w:fldCharType="end"/>
      </w:r>
      <w:r>
        <w:t xml:space="preserve">, </w:t>
      </w:r>
      <w:hyperlink w:anchor="section_b4fc71bd2d784480b089944ce35dc6b2">
        <w:r>
          <w:rPr>
            <w:rStyle w:val="Hyperlink"/>
          </w:rPr>
          <w:t>section 2.1.1613</w:t>
        </w:r>
      </w:hyperlink>
      <w:r>
        <w:t xml:space="preserve"> </w:t>
      </w:r>
      <w:r>
        <w:fldChar w:fldCharType="begin"/>
      </w:r>
      <w:r>
        <w:instrText>PAGEREF section_b4fc71bd2d784480b089944ce35dc6b2</w:instrText>
      </w:r>
      <w:r>
        <w:fldChar w:fldCharType="separate"/>
      </w:r>
      <w:r>
        <w:rPr>
          <w:noProof/>
        </w:rPr>
        <w:t>589</w:t>
      </w:r>
      <w:r>
        <w:fldChar w:fldCharType="end"/>
      </w:r>
      <w:r>
        <w:t>)</w:t>
      </w:r>
    </w:p>
    <w:p w:rsidR="000A156F" w:rsidRDefault="00A9721F">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636</w:t>
      </w:r>
      <w:r>
        <w:fldChar w:fldCharType="end"/>
      </w:r>
    </w:p>
    <w:p w:rsidR="000A156F" w:rsidRDefault="00A9721F">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section_ea27f7e7175b40d6b10d96f9eb8ae27d</w:instrText>
      </w:r>
      <w:r>
        <w:fldChar w:fldCharType="separate"/>
      </w:r>
      <w:r>
        <w:rPr>
          <w:noProof/>
        </w:rPr>
        <w:t>593</w:t>
      </w:r>
      <w:r>
        <w:fldChar w:fldCharType="end"/>
      </w:r>
    </w:p>
    <w:p w:rsidR="000A156F" w:rsidRDefault="00A9721F">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593</w:t>
      </w:r>
      <w:r>
        <w:fldChar w:fldCharType="end"/>
      </w:r>
    </w:p>
    <w:p w:rsidR="000A156F" w:rsidRDefault="00A9721F">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593</w:t>
      </w:r>
      <w:r>
        <w:fldChar w:fldCharType="end"/>
      </w:r>
    </w:p>
    <w:p w:rsidR="000A156F" w:rsidRDefault="00A9721F">
      <w:pPr>
        <w:pStyle w:val="indexentry0"/>
      </w:pPr>
      <w:hyperlink w:anchor="section_7567be8d0d5e4265a80b52a3006799b3">
        <w:r>
          <w:rPr>
            <w:rStyle w:val="Hyperlink"/>
          </w:rPr>
          <w:t>txPr (Text Properties)</w:t>
        </w:r>
      </w:hyperlink>
      <w:r>
        <w:t xml:space="preserve"> </w:t>
      </w:r>
      <w:r>
        <w:fldChar w:fldCharType="begin"/>
      </w:r>
      <w:r>
        <w:instrText>PAGEREF section_7567be8d0d5e4265a80b52a3006799b3</w:instrText>
      </w:r>
      <w:r>
        <w:fldChar w:fldCharType="separate"/>
      </w:r>
      <w:r>
        <w:rPr>
          <w:noProof/>
        </w:rPr>
        <w:t>580</w:t>
      </w:r>
      <w:r>
        <w:fldChar w:fldCharType="end"/>
      </w:r>
    </w:p>
    <w:p w:rsidR="000A156F" w:rsidRDefault="00A9721F">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449</w:t>
      </w:r>
      <w:r>
        <w:fldChar w:fldCharType="end"/>
      </w:r>
    </w:p>
    <w:p w:rsidR="000A156F" w:rsidRDefault="00A9721F">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104</w:t>
      </w:r>
      <w:r>
        <w:fldChar w:fldCharType="end"/>
      </w:r>
    </w:p>
    <w:p w:rsidR="000A156F" w:rsidRDefault="00A9721F">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395</w:t>
      </w:r>
      <w:r>
        <w:fldChar w:fldCharType="end"/>
      </w:r>
    </w:p>
    <w:p w:rsidR="000A156F" w:rsidRDefault="000A156F">
      <w:pPr>
        <w:spacing w:before="0" w:after="0"/>
        <w:rPr>
          <w:sz w:val="16"/>
        </w:rPr>
      </w:pPr>
    </w:p>
    <w:p w:rsidR="000A156F" w:rsidRDefault="00A9721F">
      <w:pPr>
        <w:pStyle w:val="indexheader"/>
      </w:pPr>
      <w:r>
        <w:t>U</w:t>
      </w:r>
    </w:p>
    <w:p w:rsidR="000A156F" w:rsidRDefault="000A156F">
      <w:pPr>
        <w:spacing w:before="0" w:after="0"/>
        <w:rPr>
          <w:sz w:val="16"/>
        </w:rPr>
      </w:pPr>
    </w:p>
    <w:p w:rsidR="000A156F" w:rsidRDefault="00A9721F">
      <w:pPr>
        <w:pStyle w:val="indexentry0"/>
      </w:pPr>
      <w:hyperlink w:anchor="section_983b4d5a53ba4d7989cbfc13303af71b">
        <w:r>
          <w:rPr>
            <w:rStyle w:val="Hyperlink"/>
          </w:rPr>
          <w:t>u (Underline)</w:t>
        </w:r>
      </w:hyperlink>
      <w:r>
        <w:t xml:space="preserve"> </w:t>
      </w:r>
      <w:r>
        <w:fldChar w:fldCharType="begin"/>
      </w:r>
      <w:r>
        <w:instrText>PAGEREF section_983b4d5a53ba4d7989cbfc13303af71b</w:instrText>
      </w:r>
      <w:r>
        <w:fldChar w:fldCharType="separate"/>
      </w:r>
      <w:r>
        <w:rPr>
          <w:noProof/>
        </w:rPr>
        <w:t>78</w:t>
      </w:r>
      <w:r>
        <w:fldChar w:fldCharType="end"/>
      </w:r>
    </w:p>
    <w:p w:rsidR="000A156F" w:rsidRDefault="00A9721F">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145</w:t>
      </w:r>
      <w:r>
        <w:fldChar w:fldCharType="end"/>
      </w:r>
    </w:p>
    <w:p w:rsidR="000A156F" w:rsidRDefault="00A9721F">
      <w:pPr>
        <w:pStyle w:val="indexentry0"/>
      </w:pPr>
      <w:hyperlink w:anchor="section_57a29393712e406eaeaab5e186027a2d">
        <w:r>
          <w:rPr>
            <w:rStyle w:val="Hyperlink"/>
          </w:rPr>
          <w:t>uFillTx (Underline Fill Properties Follow Text)</w:t>
        </w:r>
      </w:hyperlink>
      <w:r>
        <w:t xml:space="preserve"> </w:t>
      </w:r>
      <w:r>
        <w:fldChar w:fldCharType="begin"/>
      </w:r>
      <w:r>
        <w:instrText>PAGEREF section_57a29393712e406eaeaab5e186027a2d</w:instrText>
      </w:r>
      <w:r>
        <w:fldChar w:fldCharType="separate"/>
      </w:r>
      <w:r>
        <w:rPr>
          <w:noProof/>
        </w:rPr>
        <w:t>546</w:t>
      </w:r>
      <w:r>
        <w:fldChar w:fldCharType="end"/>
      </w:r>
    </w:p>
    <w:p w:rsidR="000A156F" w:rsidRDefault="00A9721F">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687</w:t>
      </w:r>
      <w:r>
        <w:fldChar w:fldCharType="end"/>
      </w:r>
    </w:p>
    <w:p w:rsidR="000A156F" w:rsidRDefault="00A9721F">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116</w:t>
      </w:r>
      <w:r>
        <w:fldChar w:fldCharType="end"/>
      </w:r>
    </w:p>
    <w:p w:rsidR="000A156F" w:rsidRDefault="00A9721F">
      <w:pPr>
        <w:pStyle w:val="indexentry0"/>
      </w:pPr>
      <w:hyperlink w:anchor="section_595d4ae635b74782bb498ffce58e85cf">
        <w:r>
          <w:rPr>
            <w:rStyle w:val="Hyperlink"/>
          </w:rPr>
          <w:t>uLn (Underline Stroke)</w:t>
        </w:r>
      </w:hyperlink>
      <w:r>
        <w:t xml:space="preserve"> </w:t>
      </w:r>
      <w:r>
        <w:fldChar w:fldCharType="begin"/>
      </w:r>
      <w:r>
        <w:instrText>PAGEREF section_595d4ae635b74782bb498ffce58e85cf</w:instrText>
      </w:r>
      <w:r>
        <w:fldChar w:fldCharType="separate"/>
      </w:r>
      <w:r>
        <w:rPr>
          <w:noProof/>
        </w:rPr>
        <w:t>546</w:t>
      </w:r>
      <w:r>
        <w:fldChar w:fldCharType="end"/>
      </w:r>
    </w:p>
    <w:p w:rsidR="000A156F" w:rsidRDefault="00A9721F">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374</w:t>
      </w:r>
      <w:r>
        <w:fldChar w:fldCharType="end"/>
      </w:r>
    </w:p>
    <w:p w:rsidR="000A156F" w:rsidRDefault="00A9721F">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145</w:t>
      </w:r>
      <w:r>
        <w:fldChar w:fldCharType="end"/>
      </w:r>
    </w:p>
    <w:p w:rsidR="000A156F" w:rsidRDefault="00A9721F">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511</w:t>
      </w:r>
      <w:r>
        <w:fldChar w:fldCharType="end"/>
      </w:r>
    </w:p>
    <w:p w:rsidR="000A156F" w:rsidRDefault="00A9721F">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157</w:t>
      </w:r>
      <w:r>
        <w:fldChar w:fldCharType="end"/>
      </w:r>
    </w:p>
    <w:p w:rsidR="000A156F" w:rsidRDefault="00A9721F">
      <w:pPr>
        <w:pStyle w:val="indexentry0"/>
      </w:pPr>
      <w:hyperlink w:anchor="section_dc6ad719d7db4b06a8f17375c2d61522">
        <w:r>
          <w:rPr>
            <w:rStyle w:val="Hyperlink"/>
          </w:rPr>
          <w:t>USDOLLAR</w:t>
        </w:r>
      </w:hyperlink>
      <w:r>
        <w:t xml:space="preserve"> </w:t>
      </w:r>
      <w:r>
        <w:fldChar w:fldCharType="begin"/>
      </w:r>
      <w:r>
        <w:instrText>PAGEREF section_d</w:instrText>
      </w:r>
      <w:r>
        <w:instrText>c6ad719d7db4b06a8f17375c2d61522</w:instrText>
      </w:r>
      <w:r>
        <w:fldChar w:fldCharType="separate"/>
      </w:r>
      <w:r>
        <w:rPr>
          <w:noProof/>
        </w:rPr>
        <w:t>449</w:t>
      </w:r>
      <w:r>
        <w:fldChar w:fldCharType="end"/>
      </w:r>
    </w:p>
    <w:p w:rsidR="000A156F" w:rsidRDefault="00A9721F">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224</w:t>
      </w:r>
      <w:r>
        <w:fldChar w:fldCharType="end"/>
      </w:r>
    </w:p>
    <w:p w:rsidR="000A156F" w:rsidRDefault="00A9721F">
      <w:pPr>
        <w:pStyle w:val="indexentry0"/>
      </w:pPr>
      <w:hyperlink w:anchor="section_761605aa1b6b45aab7afd3147b353035">
        <w:r>
          <w:rPr>
            <w:rStyle w:val="Hyperlink"/>
          </w:rPr>
          <w:t>USERINITIALS</w:t>
        </w:r>
      </w:hyperlink>
      <w:r>
        <w:t xml:space="preserve"> </w:t>
      </w:r>
      <w:r>
        <w:fldChar w:fldCharType="begin"/>
      </w:r>
      <w:r>
        <w:instrText>PAGEREF section_76</w:instrText>
      </w:r>
      <w:r>
        <w:instrText>1605aa1b6b45aab7afd3147b353035</w:instrText>
      </w:r>
      <w:r>
        <w:fldChar w:fldCharType="separate"/>
      </w:r>
      <w:r>
        <w:rPr>
          <w:noProof/>
        </w:rPr>
        <w:t>224</w:t>
      </w:r>
      <w:r>
        <w:fldChar w:fldCharType="end"/>
      </w:r>
    </w:p>
    <w:p w:rsidR="000A156F" w:rsidRDefault="00A9721F">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580</w:t>
      </w:r>
      <w:r>
        <w:fldChar w:fldCharType="end"/>
      </w:r>
    </w:p>
    <w:p w:rsidR="000A156F" w:rsidRDefault="00A9721F">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224</w:t>
      </w:r>
      <w:r>
        <w:fldChar w:fldCharType="end"/>
      </w:r>
    </w:p>
    <w:p w:rsidR="000A156F" w:rsidRDefault="00A9721F">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374</w:t>
      </w:r>
      <w:r>
        <w:fldChar w:fldCharType="end"/>
      </w:r>
    </w:p>
    <w:p w:rsidR="000A156F" w:rsidRDefault="000A156F">
      <w:pPr>
        <w:spacing w:before="0" w:after="0"/>
        <w:rPr>
          <w:sz w:val="16"/>
        </w:rPr>
      </w:pPr>
    </w:p>
    <w:p w:rsidR="000A156F" w:rsidRDefault="00A9721F">
      <w:pPr>
        <w:pStyle w:val="indexheader"/>
      </w:pPr>
      <w:r>
        <w:t>V</w:t>
      </w:r>
    </w:p>
    <w:p w:rsidR="000A156F" w:rsidRDefault="000A156F">
      <w:pPr>
        <w:spacing w:before="0" w:after="0"/>
        <w:rPr>
          <w:sz w:val="16"/>
        </w:rPr>
      </w:pPr>
    </w:p>
    <w:p w:rsidR="000A156F" w:rsidRDefault="00A9721F">
      <w:pPr>
        <w:pStyle w:val="indexentry0"/>
      </w:pPr>
      <w:hyperlink w:anchor="section_b9d01770b85b4fb2a387f5811719a1af">
        <w:r>
          <w:rPr>
            <w:rStyle w:val="Hyperlink"/>
          </w:rPr>
          <w:t>v (Cell Value)</w:t>
        </w:r>
      </w:hyperlink>
      <w:r>
        <w:t xml:space="preserve"> </w:t>
      </w:r>
      <w:r>
        <w:fldChar w:fldCharType="begin"/>
      </w:r>
      <w:r>
        <w:instrText>PAGEREF section_b9d01770b85b4fb2a387f5811719a1af</w:instrText>
      </w:r>
      <w:r>
        <w:fldChar w:fldCharType="separate"/>
      </w:r>
      <w:r>
        <w:rPr>
          <w:noProof/>
        </w:rPr>
        <w:t>286</w:t>
      </w:r>
      <w:r>
        <w:fldChar w:fldCharType="end"/>
      </w:r>
    </w:p>
    <w:p w:rsidR="000A156F" w:rsidRDefault="00A9721F">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580</w:t>
      </w:r>
      <w:r>
        <w:fldChar w:fldCharType="end"/>
      </w:r>
    </w:p>
    <w:p w:rsidR="000A156F" w:rsidRDefault="00A9721F">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382</w:t>
      </w:r>
      <w:r>
        <w:fldChar w:fldCharType="end"/>
      </w:r>
    </w:p>
    <w:p w:rsidR="000A156F" w:rsidRDefault="00A9721F">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580</w:t>
      </w:r>
      <w:r>
        <w:fldChar w:fldCharType="end"/>
      </w:r>
    </w:p>
    <w:p w:rsidR="000A156F" w:rsidRDefault="00A9721F">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687</w:t>
      </w:r>
      <w:r>
        <w:fldChar w:fldCharType="end"/>
      </w:r>
    </w:p>
    <w:p w:rsidR="000A156F" w:rsidRDefault="00A9721F">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580</w:t>
      </w:r>
      <w:r>
        <w:fldChar w:fldCharType="end"/>
      </w:r>
    </w:p>
    <w:p w:rsidR="000A156F" w:rsidRDefault="00A9721F">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687</w:t>
      </w:r>
      <w:r>
        <w:fldChar w:fldCharType="end"/>
      </w:r>
    </w:p>
    <w:p w:rsidR="000A156F" w:rsidRDefault="00A9721F">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section_d42f12d5178c4a6f8107e15b5b27bce8</w:instrText>
      </w:r>
      <w:r>
        <w:fldChar w:fldCharType="separate"/>
      </w:r>
      <w:r>
        <w:rPr>
          <w:noProof/>
        </w:rPr>
        <w:t>94</w:t>
      </w:r>
      <w:r>
        <w:fldChar w:fldCharType="end"/>
      </w:r>
    </w:p>
    <w:p w:rsidR="000A156F" w:rsidRDefault="00A9721F">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450</w:t>
      </w:r>
      <w:r>
        <w:fldChar w:fldCharType="end"/>
      </w:r>
    </w:p>
    <w:p w:rsidR="000A156F" w:rsidRDefault="00A9721F">
      <w:pPr>
        <w:pStyle w:val="indexentry0"/>
      </w:pPr>
      <w:hyperlink w:anchor="section_1d927b7d707f410ba9a95ee9d5289132">
        <w:r>
          <w:rPr>
            <w:rStyle w:val="Hyperlink"/>
          </w:rPr>
          <w:t>value (Value)</w:t>
        </w:r>
      </w:hyperlink>
      <w:r>
        <w:t xml:space="preserve"> </w:t>
      </w:r>
      <w:r>
        <w:fldChar w:fldCharType="begin"/>
      </w:r>
      <w:r>
        <w:instrText>PAGERE</w:instrText>
      </w:r>
      <w:r>
        <w:instrText>F section_1d927b7d707f410ba9a95ee9d5289132</w:instrText>
      </w:r>
      <w:r>
        <w:fldChar w:fldCharType="separate"/>
      </w:r>
      <w:r>
        <w:rPr>
          <w:noProof/>
        </w:rPr>
        <w:t>382</w:t>
      </w:r>
      <w:r>
        <w:fldChar w:fldCharType="end"/>
      </w:r>
    </w:p>
    <w:p w:rsidR="000A156F" w:rsidRDefault="00A9721F">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325</w:t>
      </w:r>
      <w:r>
        <w:fldChar w:fldCharType="end"/>
      </w:r>
    </w:p>
    <w:p w:rsidR="000A156F" w:rsidRDefault="00A9721F">
      <w:pPr>
        <w:pStyle w:val="indexentry0"/>
      </w:pPr>
      <w:hyperlink w:anchor="section_4869f11e196c409caeb928d64ae3902e">
        <w:r>
          <w:rPr>
            <w:rStyle w:val="Hyperlink"/>
          </w:rPr>
          <w:t>val</w:t>
        </w:r>
        <w:r>
          <w:rPr>
            <w:rStyle w:val="Hyperlink"/>
          </w:rPr>
          <w:t>ues (DDE Name Values)</w:t>
        </w:r>
      </w:hyperlink>
      <w:r>
        <w:t xml:space="preserve"> </w:t>
      </w:r>
      <w:r>
        <w:fldChar w:fldCharType="begin"/>
      </w:r>
      <w:r>
        <w:instrText>PAGEREF section_4869f11e196c409caeb928d64ae3902e</w:instrText>
      </w:r>
      <w:r>
        <w:fldChar w:fldCharType="separate"/>
      </w:r>
      <w:r>
        <w:rPr>
          <w:noProof/>
        </w:rPr>
        <w:t>382</w:t>
      </w:r>
      <w:r>
        <w:fldChar w:fldCharType="end"/>
      </w:r>
    </w:p>
    <w:p w:rsidR="000A156F" w:rsidRDefault="00A9721F">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450</w:t>
      </w:r>
      <w:r>
        <w:fldChar w:fldCharType="end"/>
      </w:r>
    </w:p>
    <w:p w:rsidR="000A156F" w:rsidRDefault="00A9721F">
      <w:pPr>
        <w:pStyle w:val="indexentry0"/>
      </w:pPr>
      <w:hyperlink w:anchor="section_679b42b683744f1d98b2948061f3b26a">
        <w:r>
          <w:rPr>
            <w:rStyle w:val="Hyperlink"/>
          </w:rPr>
          <w:t>VARA</w:t>
        </w:r>
      </w:hyperlink>
      <w:r>
        <w:t xml:space="preserve"> </w:t>
      </w:r>
      <w:r>
        <w:fldChar w:fldCharType="begin"/>
      </w:r>
      <w:r>
        <w:instrText>PAGEREF section_679b42b683744f1d98b2948061f3b26a</w:instrText>
      </w:r>
      <w:r>
        <w:fldChar w:fldCharType="separate"/>
      </w:r>
      <w:r>
        <w:rPr>
          <w:noProof/>
        </w:rPr>
        <w:t>450</w:t>
      </w:r>
      <w:r>
        <w:fldChar w:fldCharType="end"/>
      </w:r>
    </w:p>
    <w:p w:rsidR="000A156F" w:rsidRDefault="00A9721F">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450</w:t>
      </w:r>
      <w:r>
        <w:fldChar w:fldCharType="end"/>
      </w:r>
    </w:p>
    <w:p w:rsidR="000A156F" w:rsidRDefault="00A9721F">
      <w:pPr>
        <w:pStyle w:val="indexentry0"/>
      </w:pPr>
      <w:hyperlink w:anchor="section_9fcbeb9f84674d9381ab8ce9c5270da0">
        <w:r>
          <w:rPr>
            <w:rStyle w:val="Hyperlink"/>
          </w:rPr>
          <w:t>VARPA</w:t>
        </w:r>
      </w:hyperlink>
      <w:r>
        <w:t xml:space="preserve"> </w:t>
      </w:r>
      <w:r>
        <w:fldChar w:fldCharType="begin"/>
      </w:r>
      <w:r>
        <w:instrText xml:space="preserve">PAGEREF </w:instrText>
      </w:r>
      <w:r>
        <w:instrText>section_9fcbeb9f84674d9381ab8ce9c5270da0</w:instrText>
      </w:r>
      <w:r>
        <w:fldChar w:fldCharType="separate"/>
      </w:r>
      <w:r>
        <w:rPr>
          <w:noProof/>
        </w:rPr>
        <w:t>450</w:t>
      </w:r>
      <w:r>
        <w:fldChar w:fldCharType="end"/>
      </w:r>
    </w:p>
    <w:p w:rsidR="000A156F" w:rsidRDefault="00A9721F">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581</w:t>
      </w:r>
      <w:r>
        <w:fldChar w:fldCharType="end"/>
      </w:r>
    </w:p>
    <w:p w:rsidR="000A156F" w:rsidRDefault="00A9721F">
      <w:pPr>
        <w:pStyle w:val="indexentry0"/>
      </w:pPr>
      <w:hyperlink w:anchor="section_ffd66ea9f4964af2a3bb9bb2bbfde505">
        <w:r>
          <w:rPr>
            <w:rStyle w:val="Hyperlink"/>
          </w:rPr>
          <w:t>VD</w:t>
        </w:r>
        <w:r>
          <w:rPr>
            <w:rStyle w:val="Hyperlink"/>
          </w:rPr>
          <w:t>B</w:t>
        </w:r>
      </w:hyperlink>
      <w:r>
        <w:t xml:space="preserve"> </w:t>
      </w:r>
      <w:r>
        <w:fldChar w:fldCharType="begin"/>
      </w:r>
      <w:r>
        <w:instrText>PAGEREF section_ffd66ea9f4964af2a3bb9bb2bbfde505</w:instrText>
      </w:r>
      <w:r>
        <w:fldChar w:fldCharType="separate"/>
      </w:r>
      <w:r>
        <w:rPr>
          <w:noProof/>
        </w:rPr>
        <w:t>451</w:t>
      </w:r>
      <w:r>
        <w:fldChar w:fldCharType="end"/>
      </w:r>
    </w:p>
    <w:p w:rsidR="000A156F" w:rsidRDefault="00A9721F">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896</w:t>
      </w:r>
      <w:r>
        <w:fldChar w:fldCharType="end"/>
      </w:r>
    </w:p>
    <w:p w:rsidR="000A156F" w:rsidRDefault="00A9721F">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490</w:t>
      </w:r>
      <w:r>
        <w:fldChar w:fldCharType="end"/>
      </w:r>
    </w:p>
    <w:p w:rsidR="000A156F" w:rsidRDefault="00A9721F">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w:instrText>
      </w:r>
      <w:r>
        <w:instrText>691a1c6684ad</w:instrText>
      </w:r>
      <w:r>
        <w:fldChar w:fldCharType="separate"/>
      </w:r>
      <w:r>
        <w:rPr>
          <w:noProof/>
        </w:rPr>
        <w:t>505</w:t>
      </w:r>
      <w:r>
        <w:fldChar w:fldCharType="end"/>
      </w:r>
    </w:p>
    <w:p w:rsidR="000A156F" w:rsidRDefault="00A9721F">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158</w:t>
      </w:r>
      <w:r>
        <w:fldChar w:fldCharType="end"/>
      </w:r>
    </w:p>
    <w:p w:rsidR="000A156F" w:rsidRDefault="00A9721F">
      <w:pPr>
        <w:pStyle w:val="indexentry0"/>
      </w:pPr>
      <w:hyperlink w:anchor="section_4e6a14839d2e45e3bb39dfb21f5e7c92">
        <w:r>
          <w:rPr>
            <w:rStyle w:val="Hyperlink"/>
          </w:rPr>
          <w:t>view3D (View In 3D)</w:t>
        </w:r>
      </w:hyperlink>
      <w:r>
        <w:t xml:space="preserve"> </w:t>
      </w:r>
      <w:r>
        <w:fldChar w:fldCharType="begin"/>
      </w:r>
      <w:r>
        <w:instrText>PAGEREF secti</w:instrText>
      </w:r>
      <w:r>
        <w:instrText>on_4e6a14839d2e45e3bb39dfb21f5e7c92</w:instrText>
      </w:r>
      <w:r>
        <w:fldChar w:fldCharType="separate"/>
      </w:r>
      <w:r>
        <w:rPr>
          <w:noProof/>
        </w:rPr>
        <w:t>581</w:t>
      </w:r>
      <w:r>
        <w:fldChar w:fldCharType="end"/>
      </w:r>
    </w:p>
    <w:p w:rsidR="000A156F" w:rsidRDefault="00A9721F">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451</w:t>
      </w:r>
      <w:r>
        <w:fldChar w:fldCharType="end"/>
      </w:r>
    </w:p>
    <w:p w:rsidR="000A156F" w:rsidRDefault="00A9721F">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94</w:t>
      </w:r>
      <w:r>
        <w:fldChar w:fldCharType="end"/>
      </w:r>
    </w:p>
    <w:p w:rsidR="000A156F" w:rsidRDefault="00A9721F">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638</w:t>
      </w:r>
      <w:r>
        <w:fldChar w:fldCharType="end"/>
      </w:r>
    </w:p>
    <w:p w:rsidR="000A156F" w:rsidRDefault="00A9721F">
      <w:pPr>
        <w:pStyle w:val="indexentry0"/>
      </w:pPr>
      <w:hyperlink w:anchor="section_6bbe01acc7cd4fada1e6870f1a045022">
        <w:r>
          <w:rPr>
            <w:rStyle w:val="Hyperlink"/>
          </w:rPr>
          <w:t>VML Drawing Part</w:t>
        </w:r>
      </w:hyperlink>
      <w:r>
        <w:t xml:space="preserve"> </w:t>
      </w:r>
      <w:r>
        <w:fldChar w:fldCharType="begin"/>
      </w:r>
      <w:r>
        <w:instrText>PAGE</w:instrText>
      </w:r>
      <w:r>
        <w:instrText>REF section_6bbe01acc7cd4fada1e6870f1a045022</w:instrText>
      </w:r>
      <w:r>
        <w:fldChar w:fldCharType="separate"/>
      </w:r>
      <w:r>
        <w:rPr>
          <w:noProof/>
        </w:rPr>
        <w:t>629</w:t>
      </w:r>
      <w:r>
        <w:fldChar w:fldCharType="end"/>
      </w:r>
    </w:p>
    <w:p w:rsidR="000A156F" w:rsidRDefault="00A9721F">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618</w:t>
      </w:r>
      <w:r>
        <w:fldChar w:fldCharType="end"/>
      </w:r>
    </w:p>
    <w:p w:rsidR="000A156F" w:rsidRDefault="000A156F">
      <w:pPr>
        <w:spacing w:before="0" w:after="0"/>
        <w:rPr>
          <w:sz w:val="16"/>
        </w:rPr>
      </w:pPr>
    </w:p>
    <w:p w:rsidR="000A156F" w:rsidRDefault="00A9721F">
      <w:pPr>
        <w:pStyle w:val="indexheader"/>
      </w:pPr>
      <w:r>
        <w:t>W</w:t>
      </w:r>
    </w:p>
    <w:p w:rsidR="000A156F" w:rsidRDefault="000A156F">
      <w:pPr>
        <w:spacing w:before="0" w:after="0"/>
        <w:rPr>
          <w:sz w:val="16"/>
        </w:rPr>
      </w:pPr>
    </w:p>
    <w:p w:rsidR="000A156F" w:rsidRDefault="00A9721F">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581</w:t>
      </w:r>
      <w:r>
        <w:fldChar w:fldCharType="end"/>
      </w:r>
    </w:p>
    <w:p w:rsidR="000A156F" w:rsidRDefault="00A9721F">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w:instrText>
      </w:r>
      <w:r>
        <w:instrText>54481b184b67376135071</w:instrText>
      </w:r>
      <w:r>
        <w:fldChar w:fldCharType="separate"/>
      </w:r>
      <w:r>
        <w:rPr>
          <w:noProof/>
        </w:rPr>
        <w:t>94</w:t>
      </w:r>
      <w:r>
        <w:fldChar w:fldCharType="end"/>
      </w:r>
    </w:p>
    <w:p w:rsidR="000A156F" w:rsidRDefault="00A9721F">
      <w:pPr>
        <w:pStyle w:val="indexentry0"/>
      </w:pPr>
      <w:hyperlink w:anchor="section_94462b68e41c45288c011a5a370b8590">
        <w:r>
          <w:rPr>
            <w:rStyle w:val="Hyperlink"/>
          </w:rPr>
          <w:t>wBefore (Preferred Width Before Table Row)</w:t>
        </w:r>
      </w:hyperlink>
      <w:r>
        <w:t xml:space="preserve"> </w:t>
      </w:r>
      <w:r>
        <w:fldChar w:fldCharType="begin"/>
      </w:r>
      <w:r>
        <w:instrText>PAGEREF section_94462b68e41c45288c011a5a370b8590</w:instrText>
      </w:r>
      <w:r>
        <w:fldChar w:fldCharType="separate"/>
      </w:r>
      <w:r>
        <w:rPr>
          <w:noProof/>
        </w:rPr>
        <w:t>94</w:t>
      </w:r>
      <w:r>
        <w:fldChar w:fldCharType="end"/>
      </w:r>
    </w:p>
    <w:p w:rsidR="000A156F" w:rsidRDefault="00A9721F">
      <w:pPr>
        <w:pStyle w:val="indexentry0"/>
      </w:pPr>
      <w:hyperlink w:anchor="section_342bac6cb42c45d7aae0b30f39357bc9">
        <w:r>
          <w:rPr>
            <w:rStyle w:val="Hyperlink"/>
          </w:rPr>
          <w:t>wch (Charact</w:t>
        </w:r>
        <w:r>
          <w:rPr>
            <w:rStyle w:val="Hyperlink"/>
          </w:rPr>
          <w:t>er Insertion Keyboard Customization Action)</w:t>
        </w:r>
      </w:hyperlink>
      <w:r>
        <w:t xml:space="preserve"> </w:t>
      </w:r>
      <w:r>
        <w:fldChar w:fldCharType="begin"/>
      </w:r>
      <w:r>
        <w:instrText>PAGEREF section_342bac6cb42c45d7aae0b30f39357bc9</w:instrText>
      </w:r>
      <w:r>
        <w:fldChar w:fldCharType="separate"/>
      </w:r>
      <w:r>
        <w:rPr>
          <w:noProof/>
        </w:rPr>
        <w:t>710</w:t>
      </w:r>
      <w:r>
        <w:fldChar w:fldCharType="end"/>
      </w:r>
    </w:p>
    <w:p w:rsidR="000A156F" w:rsidRDefault="00A9721F">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78</w:t>
      </w:r>
      <w:r>
        <w:fldChar w:fldCharType="end"/>
      </w:r>
    </w:p>
    <w:p w:rsidR="000A156F" w:rsidRDefault="00A9721F">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379</w:t>
      </w:r>
      <w:r>
        <w:fldChar w:fldCharType="end"/>
      </w:r>
    </w:p>
    <w:p w:rsidR="000A156F" w:rsidRDefault="00A9721F">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w:instrText>
      </w:r>
      <w:r>
        <w:instrText>4d91ca4804af286f748173cd53</w:instrText>
      </w:r>
      <w:r>
        <w:fldChar w:fldCharType="separate"/>
      </w:r>
      <w:r>
        <w:rPr>
          <w:noProof/>
        </w:rPr>
        <w:t>244</w:t>
      </w:r>
      <w:r>
        <w:fldChar w:fldCharType="end"/>
      </w:r>
    </w:p>
    <w:p w:rsidR="000A156F" w:rsidRDefault="00A9721F">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287</w:t>
      </w:r>
      <w:r>
        <w:fldChar w:fldCharType="end"/>
      </w:r>
    </w:p>
    <w:p w:rsidR="000A156F" w:rsidRDefault="00A9721F">
      <w:pPr>
        <w:pStyle w:val="indexentry0"/>
      </w:pPr>
      <w:hyperlink w:anchor="section_3ef755fd19944ba1a2994e532589d163">
        <w:r>
          <w:rPr>
            <w:rStyle w:val="Hyperlink"/>
          </w:rPr>
          <w:t>webPublishObj</w:t>
        </w:r>
        <w:r>
          <w:rPr>
            <w:rStyle w:val="Hyperlink"/>
          </w:rPr>
          <w:t>ect (Web Publishing Object)</w:t>
        </w:r>
      </w:hyperlink>
      <w:r>
        <w:t xml:space="preserve"> </w:t>
      </w:r>
      <w:r>
        <w:fldChar w:fldCharType="begin"/>
      </w:r>
      <w:r>
        <w:instrText>PAGEREF section_3ef755fd19944ba1a2994e532589d163</w:instrText>
      </w:r>
      <w:r>
        <w:fldChar w:fldCharType="separate"/>
      </w:r>
      <w:r>
        <w:rPr>
          <w:noProof/>
        </w:rPr>
        <w:t>244</w:t>
      </w:r>
      <w:r>
        <w:fldChar w:fldCharType="end"/>
      </w:r>
    </w:p>
    <w:p w:rsidR="000A156F" w:rsidRDefault="00A9721F">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451</w:t>
      </w:r>
      <w:r>
        <w:fldChar w:fldCharType="end"/>
      </w:r>
    </w:p>
    <w:p w:rsidR="000A156F" w:rsidRDefault="00A9721F">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section_dba18dddef3f4ab38018e39a39c92f45</w:instrText>
      </w:r>
      <w:r>
        <w:fldChar w:fldCharType="separate"/>
      </w:r>
      <w:r>
        <w:rPr>
          <w:noProof/>
        </w:rPr>
        <w:t>490</w:t>
      </w:r>
      <w:r>
        <w:fldChar w:fldCharType="end"/>
      </w:r>
    </w:p>
    <w:p w:rsidR="000A156F" w:rsidRDefault="00A9721F">
      <w:pPr>
        <w:pStyle w:val="indexentry0"/>
      </w:pPr>
      <w:hyperlink w:anchor="section_12a52a6eebe841c09aebfdfb4fbca849">
        <w:r>
          <w:rPr>
            <w:rStyle w:val="Hyperlink"/>
          </w:rPr>
          <w:t>widowControl (Allow First/Last Line to Display on</w:t>
        </w:r>
        <w:r>
          <w:rPr>
            <w:rStyle w:val="Hyperlink"/>
          </w:rPr>
          <w:t xml:space="preserve"> a Separate Page)</w:t>
        </w:r>
      </w:hyperlink>
      <w:r>
        <w:t xml:space="preserve"> </w:t>
      </w:r>
      <w:r>
        <w:fldChar w:fldCharType="begin"/>
      </w:r>
      <w:r>
        <w:instrText>PAGEREF section_12a52a6eebe841c09aebfdfb4fbca849</w:instrText>
      </w:r>
      <w:r>
        <w:fldChar w:fldCharType="separate"/>
      </w:r>
      <w:r>
        <w:rPr>
          <w:noProof/>
        </w:rPr>
        <w:t>67</w:t>
      </w:r>
      <w:r>
        <w:fldChar w:fldCharType="end"/>
      </w:r>
    </w:p>
    <w:p w:rsidR="000A156F" w:rsidRDefault="00A9721F">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687</w:t>
      </w:r>
      <w:r>
        <w:fldChar w:fldCharType="end"/>
      </w:r>
    </w:p>
    <w:p w:rsidR="000A156F" w:rsidRDefault="00A9721F">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896</w:t>
      </w:r>
      <w:r>
        <w:fldChar w:fldCharType="end"/>
      </w:r>
    </w:p>
    <w:p w:rsidR="000A156F" w:rsidRDefault="00A9721F">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w:instrText>
      </w:r>
      <w:r>
        <w:instrText>4d9de</w:instrText>
      </w:r>
      <w:r>
        <w:fldChar w:fldCharType="separate"/>
      </w:r>
      <w:r>
        <w:rPr>
          <w:noProof/>
        </w:rPr>
        <w:t>711</w:t>
      </w:r>
      <w:r>
        <w:fldChar w:fldCharType="end"/>
      </w:r>
    </w:p>
    <w:p w:rsidR="000A156F" w:rsidRDefault="00A9721F">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581</w:t>
      </w:r>
      <w:r>
        <w:fldChar w:fldCharType="end"/>
      </w:r>
    </w:p>
    <w:p w:rsidR="000A156F" w:rsidRDefault="00A9721F">
      <w:pPr>
        <w:pStyle w:val="indexentry0"/>
      </w:pPr>
      <w:hyperlink w:anchor="section_7e6f9361139c47ebb40999f33fbe3b11">
        <w:r>
          <w:rPr>
            <w:rStyle w:val="Hyperlink"/>
          </w:rPr>
          <w:t>Word (Additional Information)</w:t>
        </w:r>
      </w:hyperlink>
      <w:r>
        <w:t xml:space="preserve"> </w:t>
      </w:r>
      <w:r>
        <w:fldChar w:fldCharType="begin"/>
      </w:r>
      <w:r>
        <w:instrText>PAGEREF section_7e6f</w:instrText>
      </w:r>
      <w:r>
        <w:instrText>9361139c47ebb40999f33fbe3b11</w:instrText>
      </w:r>
      <w:r>
        <w:fldChar w:fldCharType="separate"/>
      </w:r>
      <w:r>
        <w:rPr>
          <w:noProof/>
        </w:rPr>
        <w:t>694</w:t>
      </w:r>
      <w:r>
        <w:fldChar w:fldCharType="end"/>
      </w:r>
    </w:p>
    <w:p w:rsidR="000A156F" w:rsidRDefault="00A9721F">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694</w:t>
      </w:r>
      <w:r>
        <w:fldChar w:fldCharType="end"/>
      </w:r>
    </w:p>
    <w:p w:rsidR="000A156F" w:rsidRDefault="00A9721F">
      <w:pPr>
        <w:pStyle w:val="indexentry0"/>
      </w:pPr>
      <w:hyperlink w:anchor="section_52855f50318e404192e10d0ddd08ed3d">
        <w:r>
          <w:rPr>
            <w:rStyle w:val="Hyperlink"/>
          </w:rPr>
          <w:t>Word Schema</w:t>
        </w:r>
      </w:hyperlink>
      <w:r>
        <w:t xml:space="preserve"> </w:t>
      </w:r>
      <w:r>
        <w:fldChar w:fldCharType="begin"/>
      </w:r>
      <w:r>
        <w:instrText>PAGERE</w:instrText>
      </w:r>
      <w:r>
        <w:instrText>F section_52855f50318e404192e10d0ddd08ed3d</w:instrText>
      </w:r>
      <w:r>
        <w:fldChar w:fldCharType="separate"/>
      </w:r>
      <w:r>
        <w:rPr>
          <w:noProof/>
        </w:rPr>
        <w:t>697</w:t>
      </w:r>
      <w:r>
        <w:fldChar w:fldCharType="end"/>
      </w:r>
    </w:p>
    <w:p w:rsidR="000A156F" w:rsidRDefault="00A9721F">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49</w:t>
      </w:r>
      <w:r>
        <w:fldChar w:fldCharType="end"/>
      </w:r>
    </w:p>
    <w:p w:rsidR="000A156F" w:rsidRDefault="00A9721F">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67</w:t>
      </w:r>
      <w:r>
        <w:fldChar w:fldCharType="end"/>
      </w:r>
    </w:p>
    <w:p w:rsidR="000A156F" w:rsidRDefault="00A9721F">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245</w:t>
      </w:r>
      <w:r>
        <w:fldChar w:fldCharType="end"/>
      </w:r>
    </w:p>
    <w:p w:rsidR="000A156F" w:rsidRDefault="00A9721F">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section_a251e7c67b8a4e2fb284025f9f09ba3e</w:instrText>
      </w:r>
      <w:r>
        <w:fldChar w:fldCharType="separate"/>
      </w:r>
      <w:r>
        <w:rPr>
          <w:noProof/>
        </w:rPr>
        <w:t>245</w:t>
      </w:r>
      <w:r>
        <w:fldChar w:fldCharType="end"/>
      </w:r>
    </w:p>
    <w:p w:rsidR="000A156F" w:rsidRDefault="00A9721F">
      <w:pPr>
        <w:pStyle w:val="indexentry0"/>
      </w:pPr>
      <w:hyperlink w:anchor="section_601cecceb95644ef9fa6736b2ce3657d">
        <w:r>
          <w:rPr>
            <w:rStyle w:val="Hyperlink"/>
          </w:rPr>
          <w:t>workbookProtection (Workbook Protection)</w:t>
        </w:r>
      </w:hyperlink>
      <w:r>
        <w:t xml:space="preserve"> </w:t>
      </w:r>
      <w:r>
        <w:fldChar w:fldCharType="begin"/>
      </w:r>
      <w:r>
        <w:instrText>PAGE</w:instrText>
      </w:r>
      <w:r>
        <w:instrText>REF section_601cecceb95644ef9fa6736b2ce3657d</w:instrText>
      </w:r>
      <w:r>
        <w:fldChar w:fldCharType="separate"/>
      </w:r>
      <w:r>
        <w:rPr>
          <w:noProof/>
        </w:rPr>
        <w:t>246</w:t>
      </w:r>
      <w:r>
        <w:fldChar w:fldCharType="end"/>
      </w:r>
    </w:p>
    <w:p w:rsidR="000A156F" w:rsidRDefault="00A9721F">
      <w:pPr>
        <w:pStyle w:val="indexentry0"/>
      </w:pPr>
      <w:hyperlink w:anchor="section_6cdbff1e167a4316bdfe387b87fc6e58">
        <w:r>
          <w:rPr>
            <w:rStyle w:val="Hyperlink"/>
          </w:rPr>
          <w:t>workbookView (Workbook View)</w:t>
        </w:r>
      </w:hyperlink>
      <w:r>
        <w:t xml:space="preserve"> </w:t>
      </w:r>
      <w:r>
        <w:fldChar w:fldCharType="begin"/>
      </w:r>
      <w:r>
        <w:instrText>PAGEREF section_6cdbff1e167a4316bdfe387b87fc6e58</w:instrText>
      </w:r>
      <w:r>
        <w:fldChar w:fldCharType="separate"/>
      </w:r>
      <w:r>
        <w:rPr>
          <w:noProof/>
        </w:rPr>
        <w:t>250</w:t>
      </w:r>
      <w:r>
        <w:fldChar w:fldCharType="end"/>
      </w:r>
    </w:p>
    <w:p w:rsidR="000A156F" w:rsidRDefault="00A9721F">
      <w:pPr>
        <w:pStyle w:val="indexentry0"/>
      </w:pPr>
      <w:hyperlink w:anchor="section_98b8f687fb534181bca576f0d5fb0980">
        <w:r>
          <w:rPr>
            <w:rStyle w:val="Hyperlink"/>
          </w:rPr>
          <w:t>WOR</w:t>
        </w:r>
        <w:r>
          <w:rPr>
            <w:rStyle w:val="Hyperlink"/>
          </w:rPr>
          <w:t>KDAY</w:t>
        </w:r>
      </w:hyperlink>
      <w:r>
        <w:t xml:space="preserve"> </w:t>
      </w:r>
      <w:r>
        <w:fldChar w:fldCharType="begin"/>
      </w:r>
      <w:r>
        <w:instrText>PAGEREF section_98b8f687fb534181bca576f0d5fb0980</w:instrText>
      </w:r>
      <w:r>
        <w:fldChar w:fldCharType="separate"/>
      </w:r>
      <w:r>
        <w:rPr>
          <w:noProof/>
        </w:rPr>
        <w:t>451</w:t>
      </w:r>
      <w:r>
        <w:fldChar w:fldCharType="end"/>
      </w:r>
    </w:p>
    <w:p w:rsidR="000A156F" w:rsidRDefault="00A9721F">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287</w:t>
      </w:r>
      <w:r>
        <w:fldChar w:fldCharType="end"/>
      </w:r>
    </w:p>
    <w:p w:rsidR="000A156F" w:rsidRDefault="00A9721F">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51</w:t>
      </w:r>
      <w:r>
        <w:fldChar w:fldCharType="end"/>
      </w:r>
    </w:p>
    <w:p w:rsidR="000A156F" w:rsidRDefault="00A9721F">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840</w:t>
      </w:r>
      <w:r>
        <w:fldChar w:fldCharType="end"/>
      </w:r>
    </w:p>
    <w:p w:rsidR="000A156F" w:rsidRDefault="00A9721F">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845</w:t>
      </w:r>
      <w:r>
        <w:fldChar w:fldCharType="end"/>
      </w:r>
    </w:p>
    <w:p w:rsidR="000A156F" w:rsidRDefault="00A9721F">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366</w:t>
      </w:r>
      <w:r>
        <w:fldChar w:fldCharType="end"/>
      </w:r>
    </w:p>
    <w:p w:rsidR="000A156F" w:rsidRDefault="00A9721F">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682</w:t>
      </w:r>
      <w:r>
        <w:fldChar w:fldCharType="end"/>
      </w:r>
    </w:p>
    <w:p w:rsidR="000A156F" w:rsidRDefault="00A9721F">
      <w:pPr>
        <w:pStyle w:val="indexentry0"/>
      </w:pPr>
      <w:hyperlink w:anchor="section_3a54031ff56e49cf8701a75401f3130d">
        <w:r>
          <w:rPr>
            <w:rStyle w:val="Hyperlink"/>
          </w:rPr>
          <w:t>writePr</w:t>
        </w:r>
        <w:r>
          <w:rPr>
            <w:rStyle w:val="Hyperlink"/>
          </w:rPr>
          <w:t>otection (Write Protection)</w:t>
        </w:r>
      </w:hyperlink>
      <w:r>
        <w:t xml:space="preserve"> </w:t>
      </w:r>
      <w:r>
        <w:fldChar w:fldCharType="begin"/>
      </w:r>
      <w:r>
        <w:instrText>PAGEREF section_3a54031ff56e49cf8701a75401f3130d</w:instrText>
      </w:r>
      <w:r>
        <w:fldChar w:fldCharType="separate"/>
      </w:r>
      <w:r>
        <w:rPr>
          <w:noProof/>
        </w:rPr>
        <w:t>158</w:t>
      </w:r>
      <w:r>
        <w:fldChar w:fldCharType="end"/>
      </w:r>
    </w:p>
    <w:p w:rsidR="000A156F" w:rsidRDefault="000A156F">
      <w:pPr>
        <w:spacing w:before="0" w:after="0"/>
        <w:rPr>
          <w:sz w:val="16"/>
        </w:rPr>
      </w:pPr>
    </w:p>
    <w:p w:rsidR="000A156F" w:rsidRDefault="00A9721F">
      <w:pPr>
        <w:pStyle w:val="indexheader"/>
      </w:pPr>
      <w:r>
        <w:t>X</w:t>
      </w:r>
    </w:p>
    <w:p w:rsidR="000A156F" w:rsidRDefault="000A156F">
      <w:pPr>
        <w:spacing w:before="0" w:after="0"/>
        <w:rPr>
          <w:sz w:val="16"/>
        </w:rPr>
      </w:pPr>
    </w:p>
    <w:p w:rsidR="000A156F" w:rsidRDefault="00A9721F">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582</w:t>
      </w:r>
      <w:r>
        <w:fldChar w:fldCharType="end"/>
      </w:r>
    </w:p>
    <w:p w:rsidR="000A156F" w:rsidRDefault="00A9721F">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367</w:t>
      </w:r>
      <w:r>
        <w:fldChar w:fldCharType="end"/>
      </w:r>
    </w:p>
    <w:p w:rsidR="000A156F" w:rsidRDefault="00A9721F">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367</w:t>
      </w:r>
      <w:r>
        <w:fldChar w:fldCharType="end"/>
      </w:r>
    </w:p>
    <w:p w:rsidR="000A156F" w:rsidRDefault="00A9721F">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224</w:t>
      </w:r>
      <w:r>
        <w:fldChar w:fldCharType="end"/>
      </w:r>
    </w:p>
    <w:p w:rsidR="000A156F" w:rsidRDefault="00A9721F">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311</w:t>
      </w:r>
      <w:r>
        <w:fldChar w:fldCharType="end"/>
      </w:r>
    </w:p>
    <w:p w:rsidR="000A156F" w:rsidRDefault="00A9721F">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469</w:t>
      </w:r>
      <w:r>
        <w:fldChar w:fldCharType="end"/>
      </w:r>
    </w:p>
    <w:p w:rsidR="000A156F" w:rsidRDefault="00A9721F">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w:instrText>
      </w:r>
      <w:r>
        <w:instrText>b767f54e8c97f</w:instrText>
      </w:r>
      <w:r>
        <w:fldChar w:fldCharType="separate"/>
      </w:r>
      <w:r>
        <w:rPr>
          <w:noProof/>
        </w:rPr>
        <w:t>535</w:t>
      </w:r>
      <w:r>
        <w:fldChar w:fldCharType="end"/>
      </w:r>
    </w:p>
    <w:p w:rsidR="000A156F" w:rsidRDefault="00A9721F">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section_98567b7e097a4450a82af83e25539aaf</w:instrText>
      </w:r>
      <w:r>
        <w:fldChar w:fldCharType="separate"/>
      </w:r>
      <w:r>
        <w:rPr>
          <w:noProof/>
        </w:rPr>
        <w:t>512</w:t>
      </w:r>
      <w:r>
        <w:fldChar w:fldCharType="end"/>
      </w:r>
    </w:p>
    <w:p w:rsidR="000A156F" w:rsidRDefault="00A9721F">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513</w:t>
      </w:r>
      <w:r>
        <w:fldChar w:fldCharType="end"/>
      </w:r>
    </w:p>
    <w:p w:rsidR="000A156F" w:rsidRDefault="00A9721F">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590</w:t>
      </w:r>
      <w:r>
        <w:fldChar w:fldCharType="end"/>
      </w:r>
    </w:p>
    <w:p w:rsidR="000A156F" w:rsidRDefault="00A9721F">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451</w:t>
      </w:r>
      <w:r>
        <w:fldChar w:fldCharType="end"/>
      </w:r>
    </w:p>
    <w:p w:rsidR="000A156F" w:rsidRDefault="00A9721F">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164</w:t>
      </w:r>
      <w:r>
        <w:fldChar w:fldCharType="end"/>
      </w:r>
    </w:p>
    <w:p w:rsidR="000A156F" w:rsidRDefault="00A9721F">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293</w:t>
      </w:r>
      <w:r>
        <w:fldChar w:fldCharType="end"/>
      </w:r>
    </w:p>
    <w:p w:rsidR="000A156F" w:rsidRDefault="00A9721F">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293</w:t>
      </w:r>
      <w:r>
        <w:fldChar w:fldCharType="end"/>
      </w:r>
    </w:p>
    <w:p w:rsidR="000A156F" w:rsidRDefault="00A9721F">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877</w:t>
      </w:r>
      <w:r>
        <w:fldChar w:fldCharType="end"/>
      </w:r>
    </w:p>
    <w:p w:rsidR="000A156F" w:rsidRDefault="00A9721F">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294</w:t>
      </w:r>
      <w:r>
        <w:fldChar w:fldCharType="end"/>
      </w:r>
    </w:p>
    <w:p w:rsidR="000A156F" w:rsidRDefault="00A9721F">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582</w:t>
      </w:r>
      <w:r>
        <w:fldChar w:fldCharType="end"/>
      </w:r>
    </w:p>
    <w:p w:rsidR="000A156F" w:rsidRDefault="00A9721F">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452</w:t>
      </w:r>
      <w:r>
        <w:fldChar w:fldCharType="end"/>
      </w:r>
    </w:p>
    <w:p w:rsidR="000A156F" w:rsidRDefault="00A9721F">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section_60042665e00a4f749f86ad8bd478a614</w:instrText>
      </w:r>
      <w:r>
        <w:fldChar w:fldCharType="separate"/>
      </w:r>
      <w:r>
        <w:rPr>
          <w:noProof/>
        </w:rPr>
        <w:t>877</w:t>
      </w:r>
      <w:r>
        <w:fldChar w:fldCharType="end"/>
      </w:r>
    </w:p>
    <w:p w:rsidR="000A156F" w:rsidRDefault="00A9721F">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879</w:t>
      </w:r>
      <w:r>
        <w:fldChar w:fldCharType="end"/>
      </w:r>
    </w:p>
    <w:p w:rsidR="000A156F" w:rsidRDefault="00A9721F">
      <w:pPr>
        <w:pStyle w:val="indexentry0"/>
      </w:pPr>
      <w:hyperlink w:anchor="section_83b1d48efcc64adaaf9bba113335dc9c">
        <w:r>
          <w:rPr>
            <w:rStyle w:val="Hyperlink"/>
          </w:rPr>
          <w:t>xsnScope (Scope)</w:t>
        </w:r>
      </w:hyperlink>
      <w:r>
        <w:t xml:space="preserve"> </w:t>
      </w:r>
      <w:r>
        <w:fldChar w:fldCharType="begin"/>
      </w:r>
      <w:r>
        <w:instrText>PAGEREF section_83b1d48efcc64adaaf</w:instrText>
      </w:r>
      <w:r>
        <w:instrText>9bba113335dc9c</w:instrText>
      </w:r>
      <w:r>
        <w:fldChar w:fldCharType="separate"/>
      </w:r>
      <w:r>
        <w:rPr>
          <w:noProof/>
        </w:rPr>
        <w:t>879</w:t>
      </w:r>
      <w:r>
        <w:fldChar w:fldCharType="end"/>
      </w:r>
    </w:p>
    <w:p w:rsidR="000A156F" w:rsidRDefault="000A156F">
      <w:pPr>
        <w:spacing w:before="0" w:after="0"/>
        <w:rPr>
          <w:sz w:val="16"/>
        </w:rPr>
      </w:pPr>
    </w:p>
    <w:p w:rsidR="000A156F" w:rsidRDefault="00A9721F">
      <w:pPr>
        <w:pStyle w:val="indexheader"/>
      </w:pPr>
      <w:r>
        <w:t>Y</w:t>
      </w:r>
    </w:p>
    <w:p w:rsidR="000A156F" w:rsidRDefault="000A156F">
      <w:pPr>
        <w:spacing w:before="0" w:after="0"/>
        <w:rPr>
          <w:sz w:val="16"/>
        </w:rPr>
      </w:pPr>
    </w:p>
    <w:p w:rsidR="000A156F" w:rsidRDefault="00A9721F">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582</w:t>
      </w:r>
      <w:r>
        <w:fldChar w:fldCharType="end"/>
      </w:r>
    </w:p>
    <w:p w:rsidR="000A156F" w:rsidRDefault="00A9721F">
      <w:pPr>
        <w:pStyle w:val="indexentry0"/>
      </w:pPr>
      <w:hyperlink w:anchor="section_86e4ebd6c6d543a7b3678e508b712256">
        <w:r>
          <w:rPr>
            <w:rStyle w:val="Hyperlink"/>
          </w:rPr>
          <w:t>YearAccessed (Year Accessed)</w:t>
        </w:r>
      </w:hyperlink>
      <w:r>
        <w:t xml:space="preserve"> </w:t>
      </w:r>
      <w:r>
        <w:fldChar w:fldCharType="begin"/>
      </w:r>
      <w:r>
        <w:instrText>PAGEREF section_86e</w:instrText>
      </w:r>
      <w:r>
        <w:instrText>4ebd6c6d543a7b3678e508b712256</w:instrText>
      </w:r>
      <w:r>
        <w:fldChar w:fldCharType="separate"/>
      </w:r>
      <w:r>
        <w:rPr>
          <w:noProof/>
        </w:rPr>
        <w:t>619</w:t>
      </w:r>
      <w:r>
        <w:fldChar w:fldCharType="end"/>
      </w:r>
    </w:p>
    <w:p w:rsidR="000A156F" w:rsidRDefault="00A9721F">
      <w:pPr>
        <w:pStyle w:val="indexentry0"/>
      </w:pPr>
      <w:hyperlink w:anchor="section_603d48e1ab4648c395e0f9ce750d9623">
        <w:r>
          <w:rPr>
            <w:rStyle w:val="Hyperlink"/>
          </w:rPr>
          <w:t>YEARFRAC</w:t>
        </w:r>
      </w:hyperlink>
      <w:r>
        <w:t xml:space="preserve"> </w:t>
      </w:r>
      <w:r>
        <w:fldChar w:fldCharType="begin"/>
      </w:r>
      <w:r>
        <w:instrText>PAGEREF section_603d48e1ab4648c395e0f9ce750d9623</w:instrText>
      </w:r>
      <w:r>
        <w:fldChar w:fldCharType="separate"/>
      </w:r>
      <w:r>
        <w:rPr>
          <w:noProof/>
        </w:rPr>
        <w:t>452</w:t>
      </w:r>
      <w:r>
        <w:fldChar w:fldCharType="end"/>
      </w:r>
    </w:p>
    <w:p w:rsidR="000A156F" w:rsidRDefault="00A9721F">
      <w:pPr>
        <w:pStyle w:val="indexentry0"/>
      </w:pPr>
      <w:hyperlink w:anchor="section_1f5b7d6fe6514fc1b89a6fc80241afa5">
        <w:r>
          <w:rPr>
            <w:rStyle w:val="Hyperlink"/>
          </w:rPr>
          <w:t>YIELD</w:t>
        </w:r>
      </w:hyperlink>
      <w:r>
        <w:t xml:space="preserve"> </w:t>
      </w:r>
      <w:r>
        <w:fldChar w:fldCharType="begin"/>
      </w:r>
      <w:r>
        <w:instrText>PAGEREF section_1f5b7d6fe6514f</w:instrText>
      </w:r>
      <w:r>
        <w:instrText>c1b89a6fc80241afa5</w:instrText>
      </w:r>
      <w:r>
        <w:fldChar w:fldCharType="separate"/>
      </w:r>
      <w:r>
        <w:rPr>
          <w:noProof/>
        </w:rPr>
        <w:t>453</w:t>
      </w:r>
      <w:r>
        <w:fldChar w:fldCharType="end"/>
      </w:r>
    </w:p>
    <w:p w:rsidR="000A156F" w:rsidRDefault="00A9721F">
      <w:pPr>
        <w:pStyle w:val="indexentry0"/>
      </w:pPr>
      <w:hyperlink w:anchor="section_652fb537a84b47869554d8624ce0d4a5">
        <w:r>
          <w:rPr>
            <w:rStyle w:val="Hyperlink"/>
          </w:rPr>
          <w:t>YIELDDISC</w:t>
        </w:r>
      </w:hyperlink>
      <w:r>
        <w:t xml:space="preserve"> </w:t>
      </w:r>
      <w:r>
        <w:fldChar w:fldCharType="begin"/>
      </w:r>
      <w:r>
        <w:instrText>PAGEREF section_652fb537a84b47869554d8624ce0d4a5</w:instrText>
      </w:r>
      <w:r>
        <w:fldChar w:fldCharType="separate"/>
      </w:r>
      <w:r>
        <w:rPr>
          <w:noProof/>
        </w:rPr>
        <w:t>453</w:t>
      </w:r>
      <w:r>
        <w:fldChar w:fldCharType="end"/>
      </w:r>
    </w:p>
    <w:p w:rsidR="000A156F" w:rsidRDefault="00A9721F">
      <w:pPr>
        <w:pStyle w:val="indexentry0"/>
      </w:pPr>
      <w:hyperlink w:anchor="section_eba3b8ce07c64244a95524ab4b61a0fb">
        <w:r>
          <w:rPr>
            <w:rStyle w:val="Hyperlink"/>
          </w:rPr>
          <w:t>YIELDMAT</w:t>
        </w:r>
      </w:hyperlink>
      <w:r>
        <w:t xml:space="preserve"> </w:t>
      </w:r>
      <w:r>
        <w:fldChar w:fldCharType="begin"/>
      </w:r>
      <w:r>
        <w:instrText>PAGEREF section_eba3b8ce07c64244a9552</w:instrText>
      </w:r>
      <w:r>
        <w:instrText>4ab4b61a0fb</w:instrText>
      </w:r>
      <w:r>
        <w:fldChar w:fldCharType="separate"/>
      </w:r>
      <w:r>
        <w:rPr>
          <w:noProof/>
        </w:rPr>
        <w:t>454</w:t>
      </w:r>
      <w:r>
        <w:fldChar w:fldCharType="end"/>
      </w:r>
    </w:p>
    <w:p w:rsidR="000A156F" w:rsidRDefault="00A9721F">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583</w:t>
      </w:r>
      <w:r>
        <w:fldChar w:fldCharType="end"/>
      </w:r>
    </w:p>
    <w:p w:rsidR="000A156F" w:rsidRDefault="000A156F">
      <w:pPr>
        <w:spacing w:before="0" w:after="0"/>
        <w:rPr>
          <w:sz w:val="16"/>
        </w:rPr>
      </w:pPr>
    </w:p>
    <w:p w:rsidR="000A156F" w:rsidRDefault="00A9721F">
      <w:pPr>
        <w:pStyle w:val="indexheader"/>
      </w:pPr>
      <w:r>
        <w:t>Z</w:t>
      </w:r>
    </w:p>
    <w:p w:rsidR="000A156F" w:rsidRDefault="000A156F">
      <w:pPr>
        <w:spacing w:before="0" w:after="0"/>
        <w:rPr>
          <w:sz w:val="16"/>
        </w:rPr>
      </w:pPr>
    </w:p>
    <w:p w:rsidR="000A156F" w:rsidRDefault="00A9721F">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629</w:t>
      </w:r>
      <w:r>
        <w:fldChar w:fldCharType="end"/>
      </w:r>
    </w:p>
    <w:p w:rsidR="000A156F" w:rsidRDefault="00A9721F">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160</w:t>
      </w:r>
      <w:r>
        <w:fldChar w:fldCharType="end"/>
      </w:r>
    </w:p>
    <w:p w:rsidR="000A156F" w:rsidRDefault="00A9721F">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455</w:t>
      </w:r>
      <w:r>
        <w:fldChar w:fldCharType="end"/>
      </w:r>
    </w:p>
    <w:p w:rsidR="000A156F" w:rsidRDefault="000A156F">
      <w:pPr>
        <w:rPr>
          <w:rStyle w:val="InlineCode"/>
        </w:rPr>
      </w:pPr>
      <w:bookmarkStart w:id="4302" w:name="EndOfDocument_ST"/>
      <w:bookmarkEnd w:id="4302"/>
    </w:p>
    <w:sectPr w:rsidR="000A156F">
      <w:footerReference w:type="default" r:id="rId39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156F" w:rsidRDefault="00A9721F">
      <w:r>
        <w:separator/>
      </w:r>
    </w:p>
    <w:p w:rsidR="000A156F" w:rsidRDefault="000A156F"/>
  </w:endnote>
  <w:endnote w:type="continuationSeparator" w:id="0">
    <w:p w:rsidR="000A156F" w:rsidRDefault="00A9721F">
      <w:r>
        <w:continuationSeparator/>
      </w:r>
    </w:p>
    <w:p w:rsidR="000A156F" w:rsidRDefault="000A15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56F" w:rsidRDefault="00A9721F">
    <w:pPr>
      <w:pStyle w:val="Footer"/>
      <w:jc w:val="right"/>
    </w:pPr>
    <w:r>
      <w:fldChar w:fldCharType="begin"/>
    </w:r>
    <w:r>
      <w:instrText xml:space="preserve"> PAGE </w:instrText>
    </w:r>
    <w:r>
      <w:fldChar w:fldCharType="separate"/>
    </w:r>
    <w:r>
      <w:rPr>
        <w:noProof/>
      </w:rPr>
      <w:t>918</w:t>
    </w:r>
    <w:r>
      <w:fldChar w:fldCharType="end"/>
    </w:r>
    <w:r>
      <w:t xml:space="preserve"> / </w:t>
    </w:r>
    <w:r>
      <w:fldChar w:fldCharType="begin"/>
    </w:r>
    <w:r>
      <w:instrText xml:space="preserve"> NUMPAGES </w:instrText>
    </w:r>
    <w:r>
      <w:fldChar w:fldCharType="separate"/>
    </w:r>
    <w:r>
      <w:rPr>
        <w:noProof/>
      </w:rPr>
      <w:t>936</w:t>
    </w:r>
    <w:r>
      <w:fldChar w:fldCharType="end"/>
    </w:r>
  </w:p>
  <w:p w:rsidR="000A156F" w:rsidRDefault="00A9721F">
    <w:pPr>
      <w:pStyle w:val="PageFooter"/>
    </w:pPr>
    <w:r>
      <w:t>[MS-OI29500] - v20241112</w:t>
    </w:r>
  </w:p>
  <w:p w:rsidR="000A156F" w:rsidRDefault="00A9721F">
    <w:pPr>
      <w:pStyle w:val="PageFooter"/>
    </w:pPr>
    <w:r>
      <w:t>Office Implementation Information for ISO/IEC 29500 Standards Support</w:t>
    </w:r>
  </w:p>
  <w:p w:rsidR="000A156F" w:rsidRDefault="00A9721F">
    <w:pPr>
      <w:pStyle w:val="PageFooter"/>
    </w:pPr>
    <w:r>
      <w:t>Copyrig</w:t>
    </w:r>
    <w:r>
      <w:t>ht © 2024 Microsoft Corporation</w:t>
    </w:r>
  </w:p>
  <w:p w:rsidR="000A156F" w:rsidRDefault="00A9721F">
    <w:pPr>
      <w:pStyle w:val="PageFooter"/>
    </w:pPr>
    <w:r>
      <w:t>Release: November 12,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56F" w:rsidRDefault="00A9721F">
    <w:pPr>
      <w:pStyle w:val="Footer"/>
      <w:jc w:val="right"/>
    </w:pPr>
    <w:r>
      <w:fldChar w:fldCharType="begin"/>
    </w:r>
    <w:r>
      <w:instrText xml:space="preserve"> PAGE </w:instrText>
    </w:r>
    <w:r>
      <w:fldChar w:fldCharType="separate"/>
    </w:r>
    <w:r>
      <w:rPr>
        <w:noProof/>
      </w:rPr>
      <w:t>936</w:t>
    </w:r>
    <w:r>
      <w:fldChar w:fldCharType="end"/>
    </w:r>
    <w:r>
      <w:t xml:space="preserve"> / </w:t>
    </w:r>
    <w:r>
      <w:fldChar w:fldCharType="begin"/>
    </w:r>
    <w:r>
      <w:instrText xml:space="preserve"> NUMPAGES </w:instrText>
    </w:r>
    <w:r>
      <w:fldChar w:fldCharType="separate"/>
    </w:r>
    <w:r>
      <w:rPr>
        <w:noProof/>
      </w:rPr>
      <w:t>936</w:t>
    </w:r>
    <w:r>
      <w:fldChar w:fldCharType="end"/>
    </w:r>
  </w:p>
  <w:p w:rsidR="000A156F" w:rsidRDefault="00A9721F">
    <w:pPr>
      <w:pStyle w:val="PageFooter"/>
    </w:pPr>
    <w:r>
      <w:t>[MS-OI29500] - v20241112</w:t>
    </w:r>
  </w:p>
  <w:p w:rsidR="000A156F" w:rsidRDefault="00A9721F">
    <w:pPr>
      <w:pStyle w:val="PageFooter"/>
    </w:pPr>
    <w:r>
      <w:t>Office Implementation Information for ISO/IEC 29500 Standards Support</w:t>
    </w:r>
  </w:p>
  <w:p w:rsidR="000A156F" w:rsidRDefault="00A9721F">
    <w:pPr>
      <w:pStyle w:val="PageFooter"/>
    </w:pPr>
    <w:r>
      <w:t>Copyright © 2024 Microsoft Corporation</w:t>
    </w:r>
  </w:p>
  <w:p w:rsidR="000A156F" w:rsidRDefault="00A9721F">
    <w:pPr>
      <w:pStyle w:val="PageFooter"/>
    </w:pPr>
    <w:r>
      <w:t>Release: November 12,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156F" w:rsidRDefault="00A9721F">
      <w:r>
        <w:separator/>
      </w:r>
    </w:p>
    <w:p w:rsidR="000A156F" w:rsidRDefault="000A156F"/>
  </w:footnote>
  <w:footnote w:type="continuationSeparator" w:id="0">
    <w:p w:rsidR="000A156F" w:rsidRDefault="00A9721F">
      <w:r>
        <w:continuationSeparator/>
      </w:r>
    </w:p>
    <w:p w:rsidR="000A156F" w:rsidRDefault="000A156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2" w15:restartNumberingAfterBreak="0">
    <w:nsid w:val="016B1AD7"/>
    <w:multiLevelType w:val="singleLevel"/>
    <w:tmpl w:val="CC1CE65E"/>
    <w:lvl w:ilvl="0">
      <w:start w:val="1"/>
      <w:numFmt w:val="bullet"/>
      <w:lvlText w:val="§"/>
      <w:lvlJc w:val="left"/>
      <w:pPr>
        <w:ind w:left="360" w:hanging="360"/>
      </w:pPr>
      <w:rPr>
        <w:rFonts w:ascii="Wingdings" w:hAnsi="Wingdings" w:hint="default"/>
      </w:rPr>
    </w:lvl>
  </w:abstractNum>
  <w:abstractNum w:abstractNumId="3" w15:restartNumberingAfterBreak="0">
    <w:nsid w:val="01AE1F48"/>
    <w:multiLevelType w:val="singleLevel"/>
    <w:tmpl w:val="A8A2FA1C"/>
    <w:lvl w:ilvl="0">
      <w:start w:val="1"/>
      <w:numFmt w:val="bullet"/>
      <w:lvlText w:val="§"/>
      <w:lvlJc w:val="left"/>
      <w:pPr>
        <w:ind w:left="360" w:hanging="360"/>
      </w:pPr>
      <w:rPr>
        <w:rFonts w:ascii="Wingdings" w:hAnsi="Wingdings" w:hint="default"/>
      </w:rPr>
    </w:lvl>
  </w:abstractNum>
  <w:abstractNum w:abstractNumId="4" w15:restartNumberingAfterBreak="0">
    <w:nsid w:val="03364F07"/>
    <w:multiLevelType w:val="singleLevel"/>
    <w:tmpl w:val="16BC983C"/>
    <w:lvl w:ilvl="0">
      <w:start w:val="1"/>
      <w:numFmt w:val="bullet"/>
      <w:lvlText w:val="§"/>
      <w:lvlJc w:val="left"/>
      <w:pPr>
        <w:ind w:left="360" w:hanging="360"/>
      </w:pPr>
      <w:rPr>
        <w:rFonts w:ascii="Wingdings" w:hAnsi="Wingding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78242C5"/>
    <w:multiLevelType w:val="singleLevel"/>
    <w:tmpl w:val="8F820602"/>
    <w:lvl w:ilvl="0">
      <w:start w:val="1"/>
      <w:numFmt w:val="bullet"/>
      <w:lvlText w:val="§"/>
      <w:lvlJc w:val="left"/>
      <w:pPr>
        <w:ind w:left="360" w:hanging="360"/>
      </w:pPr>
      <w:rPr>
        <w:rFonts w:ascii="Wingdings" w:hAnsi="Wingdings" w:hint="default"/>
      </w:rPr>
    </w:lvl>
  </w:abstractNum>
  <w:abstractNum w:abstractNumId="7"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8"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9"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0" w15:restartNumberingAfterBreak="0">
    <w:nsid w:val="0B0A1D48"/>
    <w:multiLevelType w:val="singleLevel"/>
    <w:tmpl w:val="143C886C"/>
    <w:lvl w:ilvl="0">
      <w:start w:val="1"/>
      <w:numFmt w:val="bullet"/>
      <w:lvlText w:val="§"/>
      <w:lvlJc w:val="left"/>
      <w:pPr>
        <w:ind w:left="360" w:hanging="360"/>
      </w:pPr>
      <w:rPr>
        <w:rFonts w:ascii="Wingdings" w:hAnsi="Wingdings" w:hint="default"/>
      </w:rPr>
    </w:lvl>
  </w:abstractNum>
  <w:abstractNum w:abstractNumId="11"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2" w15:restartNumberingAfterBreak="0">
    <w:nsid w:val="0C6372F7"/>
    <w:multiLevelType w:val="singleLevel"/>
    <w:tmpl w:val="9EA24DF6"/>
    <w:lvl w:ilvl="0">
      <w:start w:val="1"/>
      <w:numFmt w:val="bullet"/>
      <w:lvlText w:val="§"/>
      <w:lvlJc w:val="left"/>
      <w:pPr>
        <w:ind w:left="360" w:hanging="360"/>
      </w:pPr>
      <w:rPr>
        <w:rFonts w:ascii="Wingdings" w:hAnsi="Wingdings" w:hint="default"/>
      </w:rPr>
    </w:lvl>
  </w:abstractNum>
  <w:abstractNum w:abstractNumId="13"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14"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15"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16"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1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0F9151F7"/>
    <w:multiLevelType w:val="singleLevel"/>
    <w:tmpl w:val="5C907638"/>
    <w:lvl w:ilvl="0">
      <w:start w:val="1"/>
      <w:numFmt w:val="bullet"/>
      <w:lvlText w:val="§"/>
      <w:lvlJc w:val="left"/>
      <w:pPr>
        <w:ind w:left="360" w:hanging="360"/>
      </w:pPr>
      <w:rPr>
        <w:rFonts w:ascii="Wingdings" w:hAnsi="Wingdings" w:hint="default"/>
      </w:rPr>
    </w:lvl>
  </w:abstractNum>
  <w:abstractNum w:abstractNumId="19" w15:restartNumberingAfterBreak="0">
    <w:nsid w:val="103B55D2"/>
    <w:multiLevelType w:val="singleLevel"/>
    <w:tmpl w:val="61DA4B30"/>
    <w:lvl w:ilvl="0">
      <w:start w:val="1"/>
      <w:numFmt w:val="bullet"/>
      <w:lvlText w:val="§"/>
      <w:lvlJc w:val="left"/>
      <w:pPr>
        <w:ind w:left="360" w:hanging="360"/>
      </w:pPr>
      <w:rPr>
        <w:rFonts w:ascii="Wingdings" w:hAnsi="Wingdings" w:hint="default"/>
      </w:rPr>
    </w:lvl>
  </w:abstractNum>
  <w:abstractNum w:abstractNumId="20" w15:restartNumberingAfterBreak="0">
    <w:nsid w:val="11690FB4"/>
    <w:multiLevelType w:val="singleLevel"/>
    <w:tmpl w:val="3C4A30B4"/>
    <w:lvl w:ilvl="0">
      <w:start w:val="1"/>
      <w:numFmt w:val="bullet"/>
      <w:lvlText w:val="§"/>
      <w:lvlJc w:val="left"/>
      <w:pPr>
        <w:ind w:left="360" w:hanging="360"/>
      </w:pPr>
      <w:rPr>
        <w:rFonts w:ascii="Wingdings" w:hAnsi="Wingdings" w:hint="default"/>
      </w:rPr>
    </w:lvl>
  </w:abstractNum>
  <w:abstractNum w:abstractNumId="21" w15:restartNumberingAfterBreak="0">
    <w:nsid w:val="118E1D5A"/>
    <w:multiLevelType w:val="singleLevel"/>
    <w:tmpl w:val="895E4CD0"/>
    <w:lvl w:ilvl="0">
      <w:start w:val="1"/>
      <w:numFmt w:val="bullet"/>
      <w:lvlText w:val="§"/>
      <w:lvlJc w:val="left"/>
      <w:pPr>
        <w:ind w:left="360" w:hanging="360"/>
      </w:pPr>
      <w:rPr>
        <w:rFonts w:ascii="Wingdings" w:hAnsi="Wingdings" w:hint="default"/>
      </w:rPr>
    </w:lvl>
  </w:abstractNum>
  <w:abstractNum w:abstractNumId="22" w15:restartNumberingAfterBreak="0">
    <w:nsid w:val="11AB72CC"/>
    <w:multiLevelType w:val="singleLevel"/>
    <w:tmpl w:val="A22E6BA8"/>
    <w:lvl w:ilvl="0">
      <w:start w:val="1"/>
      <w:numFmt w:val="bullet"/>
      <w:lvlText w:val="§"/>
      <w:lvlJc w:val="left"/>
      <w:pPr>
        <w:ind w:left="360" w:hanging="360"/>
      </w:pPr>
      <w:rPr>
        <w:rFonts w:ascii="Wingdings" w:hAnsi="Wingdings" w:hint="default"/>
      </w:rPr>
    </w:lvl>
  </w:abstractNum>
  <w:abstractNum w:abstractNumId="23" w15:restartNumberingAfterBreak="0">
    <w:nsid w:val="11FF0F4F"/>
    <w:multiLevelType w:val="singleLevel"/>
    <w:tmpl w:val="16368754"/>
    <w:lvl w:ilvl="0">
      <w:start w:val="1"/>
      <w:numFmt w:val="bullet"/>
      <w:lvlText w:val="§"/>
      <w:lvlJc w:val="left"/>
      <w:pPr>
        <w:ind w:left="360" w:hanging="360"/>
      </w:pPr>
      <w:rPr>
        <w:rFonts w:ascii="Wingdings" w:hAnsi="Wingdings" w:hint="default"/>
      </w:rPr>
    </w:lvl>
  </w:abstractNum>
  <w:abstractNum w:abstractNumId="24" w15:restartNumberingAfterBreak="0">
    <w:nsid w:val="120D2100"/>
    <w:multiLevelType w:val="singleLevel"/>
    <w:tmpl w:val="5DB8D7CE"/>
    <w:lvl w:ilvl="0">
      <w:start w:val="1"/>
      <w:numFmt w:val="bullet"/>
      <w:lvlText w:val="§"/>
      <w:lvlJc w:val="left"/>
      <w:pPr>
        <w:ind w:left="360" w:hanging="360"/>
      </w:pPr>
      <w:rPr>
        <w:rFonts w:ascii="Wingdings" w:hAnsi="Wingdings" w:hint="default"/>
      </w:rPr>
    </w:lvl>
  </w:abstractNum>
  <w:abstractNum w:abstractNumId="25"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26" w15:restartNumberingAfterBreak="0">
    <w:nsid w:val="125B5925"/>
    <w:multiLevelType w:val="singleLevel"/>
    <w:tmpl w:val="35B60ACA"/>
    <w:lvl w:ilvl="0">
      <w:start w:val="1"/>
      <w:numFmt w:val="bullet"/>
      <w:lvlText w:val="§"/>
      <w:lvlJc w:val="left"/>
      <w:pPr>
        <w:ind w:left="360" w:hanging="360"/>
      </w:pPr>
      <w:rPr>
        <w:rFonts w:ascii="Wingdings" w:hAnsi="Wingdings" w:hint="default"/>
      </w:rPr>
    </w:lvl>
  </w:abstractNum>
  <w:abstractNum w:abstractNumId="27"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2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4A53D55"/>
    <w:multiLevelType w:val="singleLevel"/>
    <w:tmpl w:val="52F60BCE"/>
    <w:lvl w:ilvl="0">
      <w:start w:val="1"/>
      <w:numFmt w:val="bullet"/>
      <w:lvlText w:val="§"/>
      <w:lvlJc w:val="left"/>
      <w:pPr>
        <w:ind w:left="360" w:hanging="360"/>
      </w:pPr>
      <w:rPr>
        <w:rFonts w:ascii="Wingdings" w:hAnsi="Wingdings" w:hint="default"/>
      </w:rPr>
    </w:lvl>
  </w:abstractNum>
  <w:abstractNum w:abstractNumId="30" w15:restartNumberingAfterBreak="0">
    <w:nsid w:val="14C91557"/>
    <w:multiLevelType w:val="singleLevel"/>
    <w:tmpl w:val="BC6851C0"/>
    <w:lvl w:ilvl="0">
      <w:start w:val="1"/>
      <w:numFmt w:val="bullet"/>
      <w:lvlText w:val="§"/>
      <w:lvlJc w:val="left"/>
      <w:pPr>
        <w:ind w:left="360" w:hanging="360"/>
      </w:pPr>
      <w:rPr>
        <w:rFonts w:ascii="Wingdings" w:hAnsi="Wingdings" w:hint="default"/>
      </w:rPr>
    </w:lvl>
  </w:abstractNum>
  <w:abstractNum w:abstractNumId="31"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2"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69B74D1"/>
    <w:multiLevelType w:val="singleLevel"/>
    <w:tmpl w:val="9A4865CC"/>
    <w:lvl w:ilvl="0">
      <w:start w:val="1"/>
      <w:numFmt w:val="bullet"/>
      <w:lvlText w:val="§"/>
      <w:lvlJc w:val="left"/>
      <w:pPr>
        <w:ind w:left="360" w:hanging="360"/>
      </w:pPr>
      <w:rPr>
        <w:rFonts w:ascii="Wingdings" w:hAnsi="Wingdings" w:hint="default"/>
      </w:rPr>
    </w:lvl>
  </w:abstractNum>
  <w:abstractNum w:abstractNumId="34"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5"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6"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3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8" w15:restartNumberingAfterBreak="0">
    <w:nsid w:val="17DF6AC6"/>
    <w:multiLevelType w:val="singleLevel"/>
    <w:tmpl w:val="DA0A679E"/>
    <w:lvl w:ilvl="0">
      <w:start w:val="1"/>
      <w:numFmt w:val="bullet"/>
      <w:lvlText w:val="§"/>
      <w:lvlJc w:val="left"/>
      <w:pPr>
        <w:ind w:left="360" w:hanging="360"/>
      </w:pPr>
      <w:rPr>
        <w:rFonts w:ascii="Wingdings" w:hAnsi="Wingdings" w:hint="default"/>
      </w:rPr>
    </w:lvl>
  </w:abstractNum>
  <w:abstractNum w:abstractNumId="3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18DB369A"/>
    <w:multiLevelType w:val="multilevel"/>
    <w:tmpl w:val="6242179A"/>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41" w15:restartNumberingAfterBreak="0">
    <w:nsid w:val="18DB3A46"/>
    <w:multiLevelType w:val="singleLevel"/>
    <w:tmpl w:val="A14A0580"/>
    <w:lvl w:ilvl="0">
      <w:start w:val="1"/>
      <w:numFmt w:val="bullet"/>
      <w:lvlText w:val="§"/>
      <w:lvlJc w:val="left"/>
      <w:pPr>
        <w:ind w:left="360" w:hanging="360"/>
      </w:pPr>
      <w:rPr>
        <w:rFonts w:ascii="Wingdings" w:hAnsi="Wingdings" w:hint="default"/>
      </w:rPr>
    </w:lvl>
  </w:abstractNum>
  <w:abstractNum w:abstractNumId="42" w15:restartNumberingAfterBreak="0">
    <w:nsid w:val="192543C1"/>
    <w:multiLevelType w:val="singleLevel"/>
    <w:tmpl w:val="E878C78A"/>
    <w:lvl w:ilvl="0">
      <w:start w:val="1"/>
      <w:numFmt w:val="bullet"/>
      <w:lvlText w:val="§"/>
      <w:lvlJc w:val="left"/>
      <w:pPr>
        <w:ind w:left="360" w:hanging="360"/>
      </w:pPr>
      <w:rPr>
        <w:rFonts w:ascii="Wingdings" w:hAnsi="Wingdings" w:hint="default"/>
      </w:rPr>
    </w:lvl>
  </w:abstractNum>
  <w:abstractNum w:abstractNumId="43" w15:restartNumberingAfterBreak="0">
    <w:nsid w:val="193F43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19950CFA"/>
    <w:multiLevelType w:val="singleLevel"/>
    <w:tmpl w:val="FDC406EE"/>
    <w:lvl w:ilvl="0">
      <w:start w:val="1"/>
      <w:numFmt w:val="bullet"/>
      <w:lvlText w:val="§"/>
      <w:lvlJc w:val="left"/>
      <w:pPr>
        <w:ind w:left="360" w:hanging="360"/>
      </w:pPr>
      <w:rPr>
        <w:rFonts w:ascii="Wingdings" w:hAnsi="Wingdings" w:hint="default"/>
      </w:rPr>
    </w:lvl>
  </w:abstractNum>
  <w:abstractNum w:abstractNumId="45" w15:restartNumberingAfterBreak="0">
    <w:nsid w:val="1A1F40D4"/>
    <w:multiLevelType w:val="singleLevel"/>
    <w:tmpl w:val="8230F440"/>
    <w:lvl w:ilvl="0">
      <w:start w:val="1"/>
      <w:numFmt w:val="bullet"/>
      <w:lvlText w:val="§"/>
      <w:lvlJc w:val="left"/>
      <w:pPr>
        <w:ind w:left="360" w:hanging="360"/>
      </w:pPr>
      <w:rPr>
        <w:rFonts w:ascii="Wingdings" w:hAnsi="Wingdings" w:hint="default"/>
      </w:rPr>
    </w:lvl>
  </w:abstractNum>
  <w:abstractNum w:abstractNumId="4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8" w15:restartNumberingAfterBreak="0">
    <w:nsid w:val="1A880D94"/>
    <w:multiLevelType w:val="singleLevel"/>
    <w:tmpl w:val="2B0848F8"/>
    <w:lvl w:ilvl="0">
      <w:start w:val="1"/>
      <w:numFmt w:val="bullet"/>
      <w:lvlText w:val="§"/>
      <w:lvlJc w:val="left"/>
      <w:pPr>
        <w:ind w:left="360" w:hanging="360"/>
      </w:pPr>
      <w:rPr>
        <w:rFonts w:ascii="Wingdings" w:hAnsi="Wingdings" w:hint="default"/>
      </w:rPr>
    </w:lvl>
  </w:abstractNum>
  <w:abstractNum w:abstractNumId="49" w15:restartNumberingAfterBreak="0">
    <w:nsid w:val="1AB65C21"/>
    <w:multiLevelType w:val="singleLevel"/>
    <w:tmpl w:val="71FAE44C"/>
    <w:lvl w:ilvl="0">
      <w:start w:val="1"/>
      <w:numFmt w:val="bullet"/>
      <w:lvlText w:val="§"/>
      <w:lvlJc w:val="left"/>
      <w:pPr>
        <w:ind w:left="360" w:hanging="360"/>
      </w:pPr>
      <w:rPr>
        <w:rFonts w:ascii="Wingdings" w:hAnsi="Wingdings" w:hint="default"/>
      </w:rPr>
    </w:lvl>
  </w:abstractNum>
  <w:abstractNum w:abstractNumId="50"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51"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5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3" w15:restartNumberingAfterBreak="0">
    <w:nsid w:val="1E9575BC"/>
    <w:multiLevelType w:val="singleLevel"/>
    <w:tmpl w:val="DE367DBC"/>
    <w:lvl w:ilvl="0">
      <w:start w:val="1"/>
      <w:numFmt w:val="bullet"/>
      <w:lvlText w:val="§"/>
      <w:lvlJc w:val="left"/>
      <w:pPr>
        <w:ind w:left="360" w:hanging="360"/>
      </w:pPr>
      <w:rPr>
        <w:rFonts w:ascii="Wingdings" w:hAnsi="Wingdings" w:hint="default"/>
      </w:rPr>
    </w:lvl>
  </w:abstractNum>
  <w:abstractNum w:abstractNumId="54" w15:restartNumberingAfterBreak="0">
    <w:nsid w:val="1ED8759D"/>
    <w:multiLevelType w:val="singleLevel"/>
    <w:tmpl w:val="BFC476BA"/>
    <w:lvl w:ilvl="0">
      <w:start w:val="1"/>
      <w:numFmt w:val="bullet"/>
      <w:lvlText w:val="§"/>
      <w:lvlJc w:val="left"/>
      <w:pPr>
        <w:ind w:left="360" w:hanging="360"/>
      </w:pPr>
      <w:rPr>
        <w:rFonts w:ascii="Wingdings" w:hAnsi="Wingdings" w:hint="default"/>
      </w:rPr>
    </w:lvl>
  </w:abstractNum>
  <w:abstractNum w:abstractNumId="55"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6" w15:restartNumberingAfterBreak="0">
    <w:nsid w:val="1F8C7368"/>
    <w:multiLevelType w:val="singleLevel"/>
    <w:tmpl w:val="3B70B91E"/>
    <w:lvl w:ilvl="0">
      <w:start w:val="1"/>
      <w:numFmt w:val="bullet"/>
      <w:lvlText w:val="§"/>
      <w:lvlJc w:val="left"/>
      <w:pPr>
        <w:ind w:left="360" w:hanging="360"/>
      </w:pPr>
      <w:rPr>
        <w:rFonts w:ascii="Wingdings" w:hAnsi="Wingdings" w:hint="default"/>
      </w:rPr>
    </w:lvl>
  </w:abstractNum>
  <w:abstractNum w:abstractNumId="5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8" w15:restartNumberingAfterBreak="0">
    <w:nsid w:val="205337AB"/>
    <w:multiLevelType w:val="singleLevel"/>
    <w:tmpl w:val="B4D871D8"/>
    <w:lvl w:ilvl="0">
      <w:start w:val="1"/>
      <w:numFmt w:val="bullet"/>
      <w:lvlText w:val="§"/>
      <w:lvlJc w:val="left"/>
      <w:pPr>
        <w:ind w:left="360" w:hanging="360"/>
      </w:pPr>
      <w:rPr>
        <w:rFonts w:ascii="Wingdings" w:hAnsi="Wingdings" w:hint="default"/>
      </w:rPr>
    </w:lvl>
  </w:abstractNum>
  <w:abstractNum w:abstractNumId="59"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60"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61" w15:restartNumberingAfterBreak="0">
    <w:nsid w:val="218106F5"/>
    <w:multiLevelType w:val="singleLevel"/>
    <w:tmpl w:val="13EA6B34"/>
    <w:lvl w:ilvl="0">
      <w:start w:val="1"/>
      <w:numFmt w:val="bullet"/>
      <w:lvlText w:val="§"/>
      <w:lvlJc w:val="left"/>
      <w:pPr>
        <w:ind w:left="360" w:hanging="360"/>
      </w:pPr>
      <w:rPr>
        <w:rFonts w:ascii="Wingdings" w:hAnsi="Wingdings" w:hint="default"/>
      </w:rPr>
    </w:lvl>
  </w:abstractNum>
  <w:abstractNum w:abstractNumId="62" w15:restartNumberingAfterBreak="0">
    <w:nsid w:val="219E65B8"/>
    <w:multiLevelType w:val="singleLevel"/>
    <w:tmpl w:val="FFE0C4E8"/>
    <w:lvl w:ilvl="0">
      <w:start w:val="1"/>
      <w:numFmt w:val="bullet"/>
      <w:lvlText w:val="§"/>
      <w:lvlJc w:val="left"/>
      <w:pPr>
        <w:ind w:left="360" w:hanging="360"/>
      </w:pPr>
      <w:rPr>
        <w:rFonts w:ascii="Wingdings" w:hAnsi="Wingdings" w:hint="default"/>
      </w:rPr>
    </w:lvl>
  </w:abstractNum>
  <w:abstractNum w:abstractNumId="63"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4"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5" w15:restartNumberingAfterBreak="0">
    <w:nsid w:val="23C20083"/>
    <w:multiLevelType w:val="singleLevel"/>
    <w:tmpl w:val="A50ADE32"/>
    <w:lvl w:ilvl="0">
      <w:start w:val="1"/>
      <w:numFmt w:val="bullet"/>
      <w:lvlText w:val="§"/>
      <w:lvlJc w:val="left"/>
      <w:pPr>
        <w:ind w:left="360" w:hanging="360"/>
      </w:pPr>
      <w:rPr>
        <w:rFonts w:ascii="Wingdings" w:hAnsi="Wingdings" w:hint="default"/>
      </w:rPr>
    </w:lvl>
  </w:abstractNum>
  <w:abstractNum w:abstractNumId="66"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7"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6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7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1" w15:restartNumberingAfterBreak="0">
    <w:nsid w:val="271C0F40"/>
    <w:multiLevelType w:val="singleLevel"/>
    <w:tmpl w:val="7DC43F16"/>
    <w:lvl w:ilvl="0">
      <w:start w:val="1"/>
      <w:numFmt w:val="bullet"/>
      <w:lvlText w:val="§"/>
      <w:lvlJc w:val="left"/>
      <w:pPr>
        <w:ind w:left="360" w:hanging="360"/>
      </w:pPr>
      <w:rPr>
        <w:rFonts w:ascii="Wingdings" w:hAnsi="Wingdings" w:hint="default"/>
      </w:rPr>
    </w:lvl>
  </w:abstractNum>
  <w:abstractNum w:abstractNumId="7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5" w15:restartNumberingAfterBreak="0">
    <w:nsid w:val="28A56E65"/>
    <w:multiLevelType w:val="singleLevel"/>
    <w:tmpl w:val="CCD45C14"/>
    <w:lvl w:ilvl="0">
      <w:start w:val="1"/>
      <w:numFmt w:val="bullet"/>
      <w:lvlText w:val="§"/>
      <w:lvlJc w:val="left"/>
      <w:pPr>
        <w:ind w:left="360" w:hanging="360"/>
      </w:pPr>
      <w:rPr>
        <w:rFonts w:ascii="Wingdings" w:hAnsi="Wingdings" w:hint="default"/>
      </w:rPr>
    </w:lvl>
  </w:abstractNum>
  <w:abstractNum w:abstractNumId="76"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77" w15:restartNumberingAfterBreak="0">
    <w:nsid w:val="2A314AE3"/>
    <w:multiLevelType w:val="singleLevel"/>
    <w:tmpl w:val="403A3C02"/>
    <w:lvl w:ilvl="0">
      <w:start w:val="1"/>
      <w:numFmt w:val="bullet"/>
      <w:lvlText w:val="§"/>
      <w:lvlJc w:val="left"/>
      <w:pPr>
        <w:ind w:left="360" w:hanging="360"/>
      </w:pPr>
      <w:rPr>
        <w:rFonts w:ascii="Wingdings" w:hAnsi="Wingdings" w:hint="default"/>
      </w:rPr>
    </w:lvl>
  </w:abstractNum>
  <w:abstractNum w:abstractNumId="78"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79"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0"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1" w15:restartNumberingAfterBreak="0">
    <w:nsid w:val="2B3F49A8"/>
    <w:multiLevelType w:val="singleLevel"/>
    <w:tmpl w:val="F2D80F9E"/>
    <w:lvl w:ilvl="0">
      <w:start w:val="1"/>
      <w:numFmt w:val="bullet"/>
      <w:lvlText w:val="§"/>
      <w:lvlJc w:val="left"/>
      <w:pPr>
        <w:ind w:left="360" w:hanging="360"/>
      </w:pPr>
      <w:rPr>
        <w:rFonts w:ascii="Wingdings" w:hAnsi="Wingdings" w:hint="default"/>
      </w:rPr>
    </w:lvl>
  </w:abstractNum>
  <w:abstractNum w:abstractNumId="82"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3" w15:restartNumberingAfterBreak="0">
    <w:nsid w:val="2BDB2CC2"/>
    <w:multiLevelType w:val="singleLevel"/>
    <w:tmpl w:val="9F840B96"/>
    <w:lvl w:ilvl="0">
      <w:start w:val="1"/>
      <w:numFmt w:val="bullet"/>
      <w:lvlText w:val="§"/>
      <w:lvlJc w:val="left"/>
      <w:pPr>
        <w:ind w:left="360" w:hanging="360"/>
      </w:pPr>
      <w:rPr>
        <w:rFonts w:ascii="Wingdings" w:hAnsi="Wingdings" w:hint="default"/>
      </w:rPr>
    </w:lvl>
  </w:abstractNum>
  <w:abstractNum w:abstractNumId="84" w15:restartNumberingAfterBreak="0">
    <w:nsid w:val="2C8653AB"/>
    <w:multiLevelType w:val="singleLevel"/>
    <w:tmpl w:val="09C05224"/>
    <w:lvl w:ilvl="0">
      <w:start w:val="1"/>
      <w:numFmt w:val="bullet"/>
      <w:lvlText w:val="§"/>
      <w:lvlJc w:val="left"/>
      <w:pPr>
        <w:ind w:left="360" w:hanging="360"/>
      </w:pPr>
      <w:rPr>
        <w:rFonts w:ascii="Wingdings" w:hAnsi="Wingdings" w:hint="default"/>
      </w:rPr>
    </w:lvl>
  </w:abstractNum>
  <w:abstractNum w:abstractNumId="85" w15:restartNumberingAfterBreak="0">
    <w:nsid w:val="2D6F3908"/>
    <w:multiLevelType w:val="singleLevel"/>
    <w:tmpl w:val="3586D95C"/>
    <w:lvl w:ilvl="0">
      <w:start w:val="1"/>
      <w:numFmt w:val="bullet"/>
      <w:lvlText w:val="§"/>
      <w:lvlJc w:val="left"/>
      <w:pPr>
        <w:ind w:left="360" w:hanging="360"/>
      </w:pPr>
      <w:rPr>
        <w:rFonts w:ascii="Wingdings" w:hAnsi="Wingdings" w:hint="default"/>
      </w:rPr>
    </w:lvl>
  </w:abstractNum>
  <w:abstractNum w:abstractNumId="86"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87" w15:restartNumberingAfterBreak="0">
    <w:nsid w:val="2E6E666B"/>
    <w:multiLevelType w:val="singleLevel"/>
    <w:tmpl w:val="B0983B04"/>
    <w:lvl w:ilvl="0">
      <w:start w:val="1"/>
      <w:numFmt w:val="bullet"/>
      <w:lvlText w:val="§"/>
      <w:lvlJc w:val="left"/>
      <w:pPr>
        <w:ind w:left="360" w:hanging="360"/>
      </w:pPr>
      <w:rPr>
        <w:rFonts w:ascii="Wingdings" w:hAnsi="Wingdings" w:hint="default"/>
      </w:rPr>
    </w:lvl>
  </w:abstractNum>
  <w:abstractNum w:abstractNumId="8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89" w15:restartNumberingAfterBreak="0">
    <w:nsid w:val="2F662B50"/>
    <w:multiLevelType w:val="singleLevel"/>
    <w:tmpl w:val="A366F874"/>
    <w:lvl w:ilvl="0">
      <w:start w:val="1"/>
      <w:numFmt w:val="bullet"/>
      <w:lvlText w:val="§"/>
      <w:lvlJc w:val="left"/>
      <w:pPr>
        <w:ind w:left="360" w:hanging="360"/>
      </w:pPr>
      <w:rPr>
        <w:rFonts w:ascii="Wingdings" w:hAnsi="Wingdings" w:hint="default"/>
      </w:rPr>
    </w:lvl>
  </w:abstractNum>
  <w:abstractNum w:abstractNumId="9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91"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2"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3" w15:restartNumberingAfterBreak="0">
    <w:nsid w:val="32F519EA"/>
    <w:multiLevelType w:val="singleLevel"/>
    <w:tmpl w:val="C5D4F240"/>
    <w:lvl w:ilvl="0">
      <w:start w:val="1"/>
      <w:numFmt w:val="bullet"/>
      <w:lvlText w:val="§"/>
      <w:lvlJc w:val="left"/>
      <w:pPr>
        <w:ind w:left="360" w:hanging="360"/>
      </w:pPr>
      <w:rPr>
        <w:rFonts w:ascii="Wingdings" w:hAnsi="Wingdings" w:hint="default"/>
      </w:rPr>
    </w:lvl>
  </w:abstractNum>
  <w:abstractNum w:abstractNumId="94"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5"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96" w15:restartNumberingAfterBreak="0">
    <w:nsid w:val="35140A34"/>
    <w:multiLevelType w:val="singleLevel"/>
    <w:tmpl w:val="54F82C12"/>
    <w:lvl w:ilvl="0">
      <w:start w:val="1"/>
      <w:numFmt w:val="bullet"/>
      <w:lvlText w:val="§"/>
      <w:lvlJc w:val="left"/>
      <w:pPr>
        <w:ind w:left="360" w:hanging="360"/>
      </w:pPr>
      <w:rPr>
        <w:rFonts w:ascii="Wingdings" w:hAnsi="Wingdings" w:hint="default"/>
      </w:rPr>
    </w:lvl>
  </w:abstractNum>
  <w:abstractNum w:abstractNumId="97" w15:restartNumberingAfterBreak="0">
    <w:nsid w:val="35D31A47"/>
    <w:multiLevelType w:val="singleLevel"/>
    <w:tmpl w:val="85020B4E"/>
    <w:lvl w:ilvl="0">
      <w:start w:val="1"/>
      <w:numFmt w:val="bullet"/>
      <w:lvlText w:val="§"/>
      <w:lvlJc w:val="left"/>
      <w:pPr>
        <w:ind w:left="360" w:hanging="360"/>
      </w:pPr>
      <w:rPr>
        <w:rFonts w:ascii="Wingdings" w:hAnsi="Wingdings" w:hint="default"/>
      </w:rPr>
    </w:lvl>
  </w:abstractNum>
  <w:abstractNum w:abstractNumId="98"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99" w15:restartNumberingAfterBreak="0">
    <w:nsid w:val="36F4680D"/>
    <w:multiLevelType w:val="singleLevel"/>
    <w:tmpl w:val="F780A370"/>
    <w:lvl w:ilvl="0">
      <w:start w:val="1"/>
      <w:numFmt w:val="bullet"/>
      <w:lvlText w:val="§"/>
      <w:lvlJc w:val="left"/>
      <w:pPr>
        <w:ind w:left="360" w:hanging="360"/>
      </w:pPr>
      <w:rPr>
        <w:rFonts w:ascii="Wingdings" w:hAnsi="Wingdings" w:hint="default"/>
      </w:rPr>
    </w:lvl>
  </w:abstractNum>
  <w:abstractNum w:abstractNumId="100" w15:restartNumberingAfterBreak="0">
    <w:nsid w:val="37AE5F73"/>
    <w:multiLevelType w:val="singleLevel"/>
    <w:tmpl w:val="0546BF94"/>
    <w:lvl w:ilvl="0">
      <w:start w:val="1"/>
      <w:numFmt w:val="bullet"/>
      <w:lvlText w:val="§"/>
      <w:lvlJc w:val="left"/>
      <w:pPr>
        <w:ind w:left="360" w:hanging="360"/>
      </w:pPr>
      <w:rPr>
        <w:rFonts w:ascii="Wingdings" w:hAnsi="Wingdings" w:hint="default"/>
      </w:rPr>
    </w:lvl>
  </w:abstractNum>
  <w:abstractNum w:abstractNumId="10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3"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4" w15:restartNumberingAfterBreak="0">
    <w:nsid w:val="3A1F7736"/>
    <w:multiLevelType w:val="singleLevel"/>
    <w:tmpl w:val="364C833E"/>
    <w:lvl w:ilvl="0">
      <w:start w:val="1"/>
      <w:numFmt w:val="bullet"/>
      <w:lvlText w:val="§"/>
      <w:lvlJc w:val="left"/>
      <w:pPr>
        <w:ind w:left="360" w:hanging="360"/>
      </w:pPr>
      <w:rPr>
        <w:rFonts w:ascii="Wingdings" w:hAnsi="Wingdings" w:hint="default"/>
      </w:rPr>
    </w:lvl>
  </w:abstractNum>
  <w:abstractNum w:abstractNumId="105" w15:restartNumberingAfterBreak="0">
    <w:nsid w:val="3AC00C4C"/>
    <w:multiLevelType w:val="singleLevel"/>
    <w:tmpl w:val="04488898"/>
    <w:lvl w:ilvl="0">
      <w:start w:val="1"/>
      <w:numFmt w:val="bullet"/>
      <w:lvlText w:val="§"/>
      <w:lvlJc w:val="left"/>
      <w:pPr>
        <w:ind w:left="360" w:hanging="360"/>
      </w:pPr>
      <w:rPr>
        <w:rFonts w:ascii="Wingdings" w:hAnsi="Wingdings" w:hint="default"/>
      </w:rPr>
    </w:lvl>
  </w:abstractNum>
  <w:abstractNum w:abstractNumId="106" w15:restartNumberingAfterBreak="0">
    <w:nsid w:val="3B4B692C"/>
    <w:multiLevelType w:val="singleLevel"/>
    <w:tmpl w:val="055E4C40"/>
    <w:lvl w:ilvl="0">
      <w:start w:val="1"/>
      <w:numFmt w:val="bullet"/>
      <w:lvlText w:val="§"/>
      <w:lvlJc w:val="left"/>
      <w:pPr>
        <w:ind w:left="360" w:hanging="360"/>
      </w:pPr>
      <w:rPr>
        <w:rFonts w:ascii="Wingdings" w:hAnsi="Wingdings" w:hint="default"/>
      </w:rPr>
    </w:lvl>
  </w:abstractNum>
  <w:abstractNum w:abstractNumId="107"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08" w15:restartNumberingAfterBreak="0">
    <w:nsid w:val="3CC03F88"/>
    <w:multiLevelType w:val="singleLevel"/>
    <w:tmpl w:val="1548B626"/>
    <w:lvl w:ilvl="0">
      <w:start w:val="1"/>
      <w:numFmt w:val="bullet"/>
      <w:lvlText w:val="§"/>
      <w:lvlJc w:val="left"/>
      <w:pPr>
        <w:ind w:left="360" w:hanging="360"/>
      </w:pPr>
      <w:rPr>
        <w:rFonts w:ascii="Wingdings" w:hAnsi="Wingdings" w:hint="default"/>
      </w:rPr>
    </w:lvl>
  </w:abstractNum>
  <w:abstractNum w:abstractNumId="109"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10" w15:restartNumberingAfterBreak="0">
    <w:nsid w:val="3D854DD2"/>
    <w:multiLevelType w:val="singleLevel"/>
    <w:tmpl w:val="8F367C46"/>
    <w:lvl w:ilvl="0">
      <w:start w:val="1"/>
      <w:numFmt w:val="bullet"/>
      <w:lvlText w:val="§"/>
      <w:lvlJc w:val="left"/>
      <w:pPr>
        <w:ind w:left="360" w:hanging="360"/>
      </w:pPr>
      <w:rPr>
        <w:rFonts w:ascii="Wingdings" w:hAnsi="Wingdings" w:hint="default"/>
      </w:rPr>
    </w:lvl>
  </w:abstractNum>
  <w:abstractNum w:abstractNumId="111" w15:restartNumberingAfterBreak="0">
    <w:nsid w:val="3E102ACD"/>
    <w:multiLevelType w:val="singleLevel"/>
    <w:tmpl w:val="86A632E2"/>
    <w:lvl w:ilvl="0">
      <w:start w:val="1"/>
      <w:numFmt w:val="bullet"/>
      <w:lvlText w:val="§"/>
      <w:lvlJc w:val="left"/>
      <w:pPr>
        <w:ind w:left="360" w:hanging="360"/>
      </w:pPr>
      <w:rPr>
        <w:rFonts w:ascii="Wingdings" w:hAnsi="Wingdings" w:hint="default"/>
      </w:rPr>
    </w:lvl>
  </w:abstractNum>
  <w:abstractNum w:abstractNumId="112"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3"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4"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5" w15:restartNumberingAfterBreak="0">
    <w:nsid w:val="40954D7F"/>
    <w:multiLevelType w:val="singleLevel"/>
    <w:tmpl w:val="6AA8344E"/>
    <w:lvl w:ilvl="0">
      <w:start w:val="1"/>
      <w:numFmt w:val="bullet"/>
      <w:lvlText w:val="§"/>
      <w:lvlJc w:val="left"/>
      <w:pPr>
        <w:ind w:left="360" w:hanging="360"/>
      </w:pPr>
      <w:rPr>
        <w:rFonts w:ascii="Wingdings" w:hAnsi="Wingdings" w:hint="default"/>
      </w:rPr>
    </w:lvl>
  </w:abstractNum>
  <w:abstractNum w:abstractNumId="116"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17" w15:restartNumberingAfterBreak="0">
    <w:nsid w:val="41D83BCC"/>
    <w:multiLevelType w:val="singleLevel"/>
    <w:tmpl w:val="6172C326"/>
    <w:lvl w:ilvl="0">
      <w:start w:val="1"/>
      <w:numFmt w:val="bullet"/>
      <w:lvlText w:val="§"/>
      <w:lvlJc w:val="left"/>
      <w:pPr>
        <w:ind w:left="360" w:hanging="360"/>
      </w:pPr>
      <w:rPr>
        <w:rFonts w:ascii="Wingdings" w:hAnsi="Wingdings" w:hint="default"/>
      </w:rPr>
    </w:lvl>
  </w:abstractNum>
  <w:abstractNum w:abstractNumId="11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9" w15:restartNumberingAfterBreak="0">
    <w:nsid w:val="4239591B"/>
    <w:multiLevelType w:val="singleLevel"/>
    <w:tmpl w:val="492A3B8E"/>
    <w:lvl w:ilvl="0">
      <w:start w:val="1"/>
      <w:numFmt w:val="bullet"/>
      <w:lvlText w:val="§"/>
      <w:lvlJc w:val="left"/>
      <w:pPr>
        <w:ind w:left="360" w:hanging="360"/>
      </w:pPr>
      <w:rPr>
        <w:rFonts w:ascii="Wingdings" w:hAnsi="Wingdings" w:hint="default"/>
      </w:rPr>
    </w:lvl>
  </w:abstractNum>
  <w:abstractNum w:abstractNumId="1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1" w15:restartNumberingAfterBreak="0">
    <w:nsid w:val="42B60F2B"/>
    <w:multiLevelType w:val="singleLevel"/>
    <w:tmpl w:val="2954F256"/>
    <w:lvl w:ilvl="0">
      <w:start w:val="1"/>
      <w:numFmt w:val="bullet"/>
      <w:lvlText w:val="§"/>
      <w:lvlJc w:val="left"/>
      <w:pPr>
        <w:ind w:left="360" w:hanging="360"/>
      </w:pPr>
      <w:rPr>
        <w:rFonts w:ascii="Wingdings" w:hAnsi="Wingdings" w:hint="default"/>
      </w:rPr>
    </w:lvl>
  </w:abstractNum>
  <w:abstractNum w:abstractNumId="122" w15:restartNumberingAfterBreak="0">
    <w:nsid w:val="44077BBB"/>
    <w:multiLevelType w:val="singleLevel"/>
    <w:tmpl w:val="00807BD4"/>
    <w:lvl w:ilvl="0">
      <w:start w:val="1"/>
      <w:numFmt w:val="bullet"/>
      <w:lvlText w:val="§"/>
      <w:lvlJc w:val="left"/>
      <w:pPr>
        <w:ind w:left="360" w:hanging="360"/>
      </w:pPr>
      <w:rPr>
        <w:rFonts w:ascii="Wingdings" w:hAnsi="Wingdings" w:hint="default"/>
      </w:rPr>
    </w:lvl>
  </w:abstractNum>
  <w:abstractNum w:abstractNumId="123" w15:restartNumberingAfterBreak="0">
    <w:nsid w:val="44DC694E"/>
    <w:multiLevelType w:val="singleLevel"/>
    <w:tmpl w:val="59F437AA"/>
    <w:lvl w:ilvl="0">
      <w:start w:val="1"/>
      <w:numFmt w:val="bullet"/>
      <w:lvlText w:val="§"/>
      <w:lvlJc w:val="left"/>
      <w:pPr>
        <w:ind w:left="360" w:hanging="360"/>
      </w:pPr>
      <w:rPr>
        <w:rFonts w:ascii="Wingdings" w:hAnsi="Wingdings" w:hint="default"/>
      </w:rPr>
    </w:lvl>
  </w:abstractNum>
  <w:abstractNum w:abstractNumId="124" w15:restartNumberingAfterBreak="0">
    <w:nsid w:val="4505138E"/>
    <w:multiLevelType w:val="singleLevel"/>
    <w:tmpl w:val="C38C7E0E"/>
    <w:lvl w:ilvl="0">
      <w:start w:val="1"/>
      <w:numFmt w:val="bullet"/>
      <w:lvlText w:val="§"/>
      <w:lvlJc w:val="left"/>
      <w:pPr>
        <w:ind w:left="360" w:hanging="360"/>
      </w:pPr>
      <w:rPr>
        <w:rFonts w:ascii="Wingdings" w:hAnsi="Wingdings" w:hint="default"/>
      </w:rPr>
    </w:lvl>
  </w:abstractNum>
  <w:abstractNum w:abstractNumId="125"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7"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28" w15:restartNumberingAfterBreak="0">
    <w:nsid w:val="462E0D4F"/>
    <w:multiLevelType w:val="singleLevel"/>
    <w:tmpl w:val="9CFAB82E"/>
    <w:lvl w:ilvl="0">
      <w:start w:val="1"/>
      <w:numFmt w:val="bullet"/>
      <w:lvlText w:val="§"/>
      <w:lvlJc w:val="left"/>
      <w:pPr>
        <w:ind w:left="360" w:hanging="360"/>
      </w:pPr>
      <w:rPr>
        <w:rFonts w:ascii="Wingdings" w:hAnsi="Wingdings" w:hint="default"/>
      </w:rPr>
    </w:lvl>
  </w:abstractNum>
  <w:abstractNum w:abstractNumId="129"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1" w15:restartNumberingAfterBreak="0">
    <w:nsid w:val="474C67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2" w15:restartNumberingAfterBreak="0">
    <w:nsid w:val="486164C8"/>
    <w:multiLevelType w:val="singleLevel"/>
    <w:tmpl w:val="0D34C236"/>
    <w:lvl w:ilvl="0">
      <w:start w:val="1"/>
      <w:numFmt w:val="bullet"/>
      <w:lvlText w:val="§"/>
      <w:lvlJc w:val="left"/>
      <w:pPr>
        <w:ind w:left="360" w:hanging="360"/>
      </w:pPr>
      <w:rPr>
        <w:rFonts w:ascii="Wingdings" w:hAnsi="Wingdings" w:hint="default"/>
      </w:rPr>
    </w:lvl>
  </w:abstractNum>
  <w:abstractNum w:abstractNumId="133" w15:restartNumberingAfterBreak="0">
    <w:nsid w:val="48A0670F"/>
    <w:multiLevelType w:val="singleLevel"/>
    <w:tmpl w:val="FC42019E"/>
    <w:lvl w:ilvl="0">
      <w:start w:val="1"/>
      <w:numFmt w:val="bullet"/>
      <w:lvlText w:val="§"/>
      <w:lvlJc w:val="left"/>
      <w:pPr>
        <w:ind w:left="360" w:hanging="360"/>
      </w:pPr>
      <w:rPr>
        <w:rFonts w:ascii="Wingdings" w:hAnsi="Wingdings" w:hint="default"/>
      </w:rPr>
    </w:lvl>
  </w:abstractNum>
  <w:abstractNum w:abstractNumId="134"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35" w15:restartNumberingAfterBreak="0">
    <w:nsid w:val="49311B77"/>
    <w:multiLevelType w:val="singleLevel"/>
    <w:tmpl w:val="B7BC4150"/>
    <w:lvl w:ilvl="0">
      <w:start w:val="1"/>
      <w:numFmt w:val="bullet"/>
      <w:lvlText w:val="§"/>
      <w:lvlJc w:val="left"/>
      <w:pPr>
        <w:ind w:left="360" w:hanging="360"/>
      </w:pPr>
      <w:rPr>
        <w:rFonts w:ascii="Wingdings" w:hAnsi="Wingdings" w:hint="default"/>
      </w:rPr>
    </w:lvl>
  </w:abstractNum>
  <w:abstractNum w:abstractNumId="136" w15:restartNumberingAfterBreak="0">
    <w:nsid w:val="4A9921FA"/>
    <w:multiLevelType w:val="singleLevel"/>
    <w:tmpl w:val="5FF0F144"/>
    <w:lvl w:ilvl="0">
      <w:start w:val="1"/>
      <w:numFmt w:val="bullet"/>
      <w:lvlText w:val="§"/>
      <w:lvlJc w:val="left"/>
      <w:pPr>
        <w:ind w:left="360" w:hanging="360"/>
      </w:pPr>
      <w:rPr>
        <w:rFonts w:ascii="Wingdings" w:hAnsi="Wingdings" w:hint="default"/>
      </w:rPr>
    </w:lvl>
  </w:abstractNum>
  <w:abstractNum w:abstractNumId="137" w15:restartNumberingAfterBreak="0">
    <w:nsid w:val="4ACF2561"/>
    <w:multiLevelType w:val="singleLevel"/>
    <w:tmpl w:val="7A44F7A8"/>
    <w:lvl w:ilvl="0">
      <w:start w:val="1"/>
      <w:numFmt w:val="decimal"/>
      <w:lvlText w:val="%1."/>
      <w:lvlJc w:val="left"/>
      <w:pPr>
        <w:ind w:left="360" w:hanging="360"/>
      </w:pPr>
    </w:lvl>
  </w:abstractNum>
  <w:abstractNum w:abstractNumId="138"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39" w15:restartNumberingAfterBreak="0">
    <w:nsid w:val="4C6219BD"/>
    <w:multiLevelType w:val="singleLevel"/>
    <w:tmpl w:val="22C0A36E"/>
    <w:lvl w:ilvl="0">
      <w:start w:val="1"/>
      <w:numFmt w:val="bullet"/>
      <w:lvlText w:val="§"/>
      <w:lvlJc w:val="left"/>
      <w:pPr>
        <w:ind w:left="360" w:hanging="360"/>
      </w:pPr>
      <w:rPr>
        <w:rFonts w:ascii="Wingdings" w:hAnsi="Wingdings" w:hint="default"/>
      </w:rPr>
    </w:lvl>
  </w:abstractNum>
  <w:abstractNum w:abstractNumId="140"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41"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42" w15:restartNumberingAfterBreak="0">
    <w:nsid w:val="4E404007"/>
    <w:multiLevelType w:val="singleLevel"/>
    <w:tmpl w:val="1C427290"/>
    <w:lvl w:ilvl="0">
      <w:start w:val="1"/>
      <w:numFmt w:val="bullet"/>
      <w:lvlText w:val="§"/>
      <w:lvlJc w:val="left"/>
      <w:pPr>
        <w:ind w:left="360" w:hanging="360"/>
      </w:pPr>
      <w:rPr>
        <w:rFonts w:ascii="Wingdings" w:hAnsi="Wingdings" w:hint="default"/>
      </w:rPr>
    </w:lvl>
  </w:abstractNum>
  <w:abstractNum w:abstractNumId="143"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4"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5"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6"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47" w15:restartNumberingAfterBreak="0">
    <w:nsid w:val="506D254C"/>
    <w:multiLevelType w:val="singleLevel"/>
    <w:tmpl w:val="234C8428"/>
    <w:lvl w:ilvl="0">
      <w:start w:val="1"/>
      <w:numFmt w:val="bullet"/>
      <w:lvlText w:val="§"/>
      <w:lvlJc w:val="left"/>
      <w:pPr>
        <w:ind w:left="360" w:hanging="360"/>
      </w:pPr>
      <w:rPr>
        <w:rFonts w:ascii="Wingdings" w:hAnsi="Wingdings" w:hint="default"/>
      </w:rPr>
    </w:lvl>
  </w:abstractNum>
  <w:abstractNum w:abstractNumId="148" w15:restartNumberingAfterBreak="0">
    <w:nsid w:val="506D284C"/>
    <w:multiLevelType w:val="singleLevel"/>
    <w:tmpl w:val="70387D1E"/>
    <w:lvl w:ilvl="0">
      <w:start w:val="1"/>
      <w:numFmt w:val="bullet"/>
      <w:lvlText w:val="§"/>
      <w:lvlJc w:val="left"/>
      <w:pPr>
        <w:ind w:left="360" w:hanging="360"/>
      </w:pPr>
      <w:rPr>
        <w:rFonts w:ascii="Wingdings" w:hAnsi="Wingdings" w:hint="default"/>
      </w:rPr>
    </w:lvl>
  </w:abstractNum>
  <w:abstractNum w:abstractNumId="149"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50" w15:restartNumberingAfterBreak="0">
    <w:nsid w:val="5114286B"/>
    <w:multiLevelType w:val="singleLevel"/>
    <w:tmpl w:val="729C649C"/>
    <w:lvl w:ilvl="0">
      <w:start w:val="1"/>
      <w:numFmt w:val="bullet"/>
      <w:lvlText w:val="§"/>
      <w:lvlJc w:val="left"/>
      <w:pPr>
        <w:ind w:left="360" w:hanging="360"/>
      </w:pPr>
      <w:rPr>
        <w:rFonts w:ascii="Wingdings" w:hAnsi="Wingdings" w:hint="default"/>
      </w:rPr>
    </w:lvl>
  </w:abstractNum>
  <w:abstractNum w:abstractNumId="151"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52" w15:restartNumberingAfterBreak="0">
    <w:nsid w:val="518408C2"/>
    <w:multiLevelType w:val="multilevel"/>
    <w:tmpl w:val="0A6E6320"/>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53" w15:restartNumberingAfterBreak="0">
    <w:nsid w:val="51C65804"/>
    <w:multiLevelType w:val="singleLevel"/>
    <w:tmpl w:val="9668A402"/>
    <w:lvl w:ilvl="0">
      <w:start w:val="1"/>
      <w:numFmt w:val="bullet"/>
      <w:lvlText w:val="§"/>
      <w:lvlJc w:val="left"/>
      <w:pPr>
        <w:ind w:left="360" w:hanging="360"/>
      </w:pPr>
      <w:rPr>
        <w:rFonts w:ascii="Wingdings" w:hAnsi="Wingdings" w:hint="default"/>
      </w:rPr>
    </w:lvl>
  </w:abstractNum>
  <w:abstractNum w:abstractNumId="154" w15:restartNumberingAfterBreak="0">
    <w:nsid w:val="52666A35"/>
    <w:multiLevelType w:val="singleLevel"/>
    <w:tmpl w:val="A0B0010C"/>
    <w:lvl w:ilvl="0">
      <w:start w:val="1"/>
      <w:numFmt w:val="bullet"/>
      <w:lvlText w:val="§"/>
      <w:lvlJc w:val="left"/>
      <w:pPr>
        <w:ind w:left="360" w:hanging="360"/>
      </w:pPr>
      <w:rPr>
        <w:rFonts w:ascii="Wingdings" w:hAnsi="Wingdings" w:hint="default"/>
      </w:rPr>
    </w:lvl>
  </w:abstractNum>
  <w:abstractNum w:abstractNumId="155" w15:restartNumberingAfterBreak="0">
    <w:nsid w:val="53135556"/>
    <w:multiLevelType w:val="singleLevel"/>
    <w:tmpl w:val="2B7445A6"/>
    <w:lvl w:ilvl="0">
      <w:start w:val="1"/>
      <w:numFmt w:val="bullet"/>
      <w:lvlText w:val="§"/>
      <w:lvlJc w:val="left"/>
      <w:pPr>
        <w:ind w:left="360" w:hanging="360"/>
      </w:pPr>
      <w:rPr>
        <w:rFonts w:ascii="Wingdings" w:hAnsi="Wingdings" w:hint="default"/>
      </w:rPr>
    </w:lvl>
  </w:abstractNum>
  <w:abstractNum w:abstractNumId="156"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7" w15:restartNumberingAfterBreak="0">
    <w:nsid w:val="537157BB"/>
    <w:multiLevelType w:val="singleLevel"/>
    <w:tmpl w:val="E1C6F490"/>
    <w:lvl w:ilvl="0">
      <w:start w:val="1"/>
      <w:numFmt w:val="bullet"/>
      <w:lvlText w:val="§"/>
      <w:lvlJc w:val="left"/>
      <w:pPr>
        <w:ind w:left="360" w:hanging="360"/>
      </w:pPr>
      <w:rPr>
        <w:rFonts w:ascii="Wingdings" w:hAnsi="Wingdings" w:hint="default"/>
      </w:rPr>
    </w:lvl>
  </w:abstractNum>
  <w:abstractNum w:abstractNumId="158" w15:restartNumberingAfterBreak="0">
    <w:nsid w:val="539A7700"/>
    <w:multiLevelType w:val="singleLevel"/>
    <w:tmpl w:val="3EAE0950"/>
    <w:lvl w:ilvl="0">
      <w:start w:val="1"/>
      <w:numFmt w:val="bullet"/>
      <w:lvlText w:val="§"/>
      <w:lvlJc w:val="left"/>
      <w:pPr>
        <w:ind w:left="360" w:hanging="360"/>
      </w:pPr>
      <w:rPr>
        <w:rFonts w:ascii="Wingdings" w:hAnsi="Wingdings" w:hint="default"/>
      </w:rPr>
    </w:lvl>
  </w:abstractNum>
  <w:abstractNum w:abstractNumId="159" w15:restartNumberingAfterBreak="0">
    <w:nsid w:val="539E179A"/>
    <w:multiLevelType w:val="singleLevel"/>
    <w:tmpl w:val="3CA6211C"/>
    <w:lvl w:ilvl="0">
      <w:start w:val="1"/>
      <w:numFmt w:val="bullet"/>
      <w:lvlText w:val="§"/>
      <w:lvlJc w:val="left"/>
      <w:pPr>
        <w:ind w:left="360" w:hanging="360"/>
      </w:pPr>
      <w:rPr>
        <w:rFonts w:ascii="Wingdings" w:hAnsi="Wingdings" w:hint="default"/>
      </w:rPr>
    </w:lvl>
  </w:abstractNum>
  <w:abstractNum w:abstractNumId="160" w15:restartNumberingAfterBreak="0">
    <w:nsid w:val="53F52B97"/>
    <w:multiLevelType w:val="singleLevel"/>
    <w:tmpl w:val="D96C7C56"/>
    <w:lvl w:ilvl="0">
      <w:start w:val="1"/>
      <w:numFmt w:val="bullet"/>
      <w:lvlText w:val="§"/>
      <w:lvlJc w:val="left"/>
      <w:pPr>
        <w:ind w:left="360" w:hanging="360"/>
      </w:pPr>
      <w:rPr>
        <w:rFonts w:ascii="Wingdings" w:hAnsi="Wingdings" w:hint="default"/>
      </w:rPr>
    </w:lvl>
  </w:abstractNum>
  <w:abstractNum w:abstractNumId="161" w15:restartNumberingAfterBreak="0">
    <w:nsid w:val="541B69E7"/>
    <w:multiLevelType w:val="singleLevel"/>
    <w:tmpl w:val="04B60458"/>
    <w:lvl w:ilvl="0">
      <w:start w:val="1"/>
      <w:numFmt w:val="bullet"/>
      <w:lvlText w:val="§"/>
      <w:lvlJc w:val="left"/>
      <w:pPr>
        <w:ind w:left="360" w:hanging="360"/>
      </w:pPr>
      <w:rPr>
        <w:rFonts w:ascii="Wingdings" w:hAnsi="Wingdings" w:hint="default"/>
      </w:rPr>
    </w:lvl>
  </w:abstractNum>
  <w:abstractNum w:abstractNumId="16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3"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4"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65" w15:restartNumberingAfterBreak="0">
    <w:nsid w:val="56530839"/>
    <w:multiLevelType w:val="singleLevel"/>
    <w:tmpl w:val="284082EA"/>
    <w:lvl w:ilvl="0">
      <w:start w:val="1"/>
      <w:numFmt w:val="bullet"/>
      <w:lvlText w:val="§"/>
      <w:lvlJc w:val="left"/>
      <w:pPr>
        <w:ind w:left="360" w:hanging="360"/>
      </w:pPr>
      <w:rPr>
        <w:rFonts w:ascii="Wingdings" w:hAnsi="Wingdings" w:hint="default"/>
      </w:rPr>
    </w:lvl>
  </w:abstractNum>
  <w:abstractNum w:abstractNumId="166"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67" w15:restartNumberingAfterBreak="0">
    <w:nsid w:val="570516A6"/>
    <w:multiLevelType w:val="singleLevel"/>
    <w:tmpl w:val="3ABCC616"/>
    <w:lvl w:ilvl="0">
      <w:start w:val="1"/>
      <w:numFmt w:val="bullet"/>
      <w:lvlText w:val="§"/>
      <w:lvlJc w:val="left"/>
      <w:pPr>
        <w:ind w:left="360" w:hanging="360"/>
      </w:pPr>
      <w:rPr>
        <w:rFonts w:ascii="Wingdings" w:hAnsi="Wingdings" w:hint="default"/>
      </w:rPr>
    </w:lvl>
  </w:abstractNum>
  <w:abstractNum w:abstractNumId="168" w15:restartNumberingAfterBreak="0">
    <w:nsid w:val="571A5193"/>
    <w:multiLevelType w:val="singleLevel"/>
    <w:tmpl w:val="8FB0D768"/>
    <w:lvl w:ilvl="0">
      <w:start w:val="1"/>
      <w:numFmt w:val="bullet"/>
      <w:lvlText w:val="§"/>
      <w:lvlJc w:val="left"/>
      <w:pPr>
        <w:ind w:left="360" w:hanging="360"/>
      </w:pPr>
      <w:rPr>
        <w:rFonts w:ascii="Wingdings" w:hAnsi="Wingdings" w:hint="default"/>
      </w:rPr>
    </w:lvl>
  </w:abstractNum>
  <w:abstractNum w:abstractNumId="16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70" w15:restartNumberingAfterBreak="0">
    <w:nsid w:val="575C3F13"/>
    <w:multiLevelType w:val="singleLevel"/>
    <w:tmpl w:val="1322699C"/>
    <w:lvl w:ilvl="0">
      <w:start w:val="1"/>
      <w:numFmt w:val="bullet"/>
      <w:lvlText w:val="§"/>
      <w:lvlJc w:val="left"/>
      <w:pPr>
        <w:ind w:left="360" w:hanging="360"/>
      </w:pPr>
      <w:rPr>
        <w:rFonts w:ascii="Wingdings" w:hAnsi="Wingdings" w:hint="default"/>
      </w:rPr>
    </w:lvl>
  </w:abstractNum>
  <w:abstractNum w:abstractNumId="171" w15:restartNumberingAfterBreak="0">
    <w:nsid w:val="58AC04A3"/>
    <w:multiLevelType w:val="singleLevel"/>
    <w:tmpl w:val="269EE6B8"/>
    <w:lvl w:ilvl="0">
      <w:start w:val="1"/>
      <w:numFmt w:val="bullet"/>
      <w:lvlText w:val="§"/>
      <w:lvlJc w:val="left"/>
      <w:pPr>
        <w:ind w:left="360" w:hanging="360"/>
      </w:pPr>
      <w:rPr>
        <w:rFonts w:ascii="Wingdings" w:hAnsi="Wingdings" w:hint="default"/>
      </w:rPr>
    </w:lvl>
  </w:abstractNum>
  <w:abstractNum w:abstractNumId="172"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7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4"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75"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7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7" w15:restartNumberingAfterBreak="0">
    <w:nsid w:val="5E9A1323"/>
    <w:multiLevelType w:val="singleLevel"/>
    <w:tmpl w:val="AC889116"/>
    <w:lvl w:ilvl="0">
      <w:start w:val="1"/>
      <w:numFmt w:val="bullet"/>
      <w:lvlText w:val="§"/>
      <w:lvlJc w:val="left"/>
      <w:pPr>
        <w:ind w:left="360" w:hanging="360"/>
      </w:pPr>
      <w:rPr>
        <w:rFonts w:ascii="Wingdings" w:hAnsi="Wingdings" w:hint="default"/>
      </w:rPr>
    </w:lvl>
  </w:abstractNum>
  <w:abstractNum w:abstractNumId="178"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79"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80"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81" w15:restartNumberingAfterBreak="0">
    <w:nsid w:val="5F964F15"/>
    <w:multiLevelType w:val="singleLevel"/>
    <w:tmpl w:val="3A1A4C9C"/>
    <w:lvl w:ilvl="0">
      <w:start w:val="1"/>
      <w:numFmt w:val="bullet"/>
      <w:lvlText w:val="§"/>
      <w:lvlJc w:val="left"/>
      <w:pPr>
        <w:ind w:left="360" w:hanging="360"/>
      </w:pPr>
      <w:rPr>
        <w:rFonts w:ascii="Wingdings" w:hAnsi="Wingdings" w:hint="default"/>
      </w:rPr>
    </w:lvl>
  </w:abstractNum>
  <w:abstractNum w:abstractNumId="182" w15:restartNumberingAfterBreak="0">
    <w:nsid w:val="60F31202"/>
    <w:multiLevelType w:val="singleLevel"/>
    <w:tmpl w:val="0F0CA192"/>
    <w:lvl w:ilvl="0">
      <w:start w:val="1"/>
      <w:numFmt w:val="bullet"/>
      <w:lvlText w:val="§"/>
      <w:lvlJc w:val="left"/>
      <w:pPr>
        <w:ind w:left="360" w:hanging="360"/>
      </w:pPr>
      <w:rPr>
        <w:rFonts w:ascii="Wingdings" w:hAnsi="Wingdings" w:hint="default"/>
      </w:rPr>
    </w:lvl>
  </w:abstractNum>
  <w:abstractNum w:abstractNumId="183"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84" w15:restartNumberingAfterBreak="0">
    <w:nsid w:val="628137EB"/>
    <w:multiLevelType w:val="singleLevel"/>
    <w:tmpl w:val="DDDAA1DC"/>
    <w:lvl w:ilvl="0">
      <w:start w:val="1"/>
      <w:numFmt w:val="bullet"/>
      <w:lvlText w:val="§"/>
      <w:lvlJc w:val="left"/>
      <w:pPr>
        <w:ind w:left="360" w:hanging="360"/>
      </w:pPr>
      <w:rPr>
        <w:rFonts w:ascii="Wingdings" w:hAnsi="Wingdings" w:hint="default"/>
      </w:rPr>
    </w:lvl>
  </w:abstractNum>
  <w:abstractNum w:abstractNumId="185" w15:restartNumberingAfterBreak="0">
    <w:nsid w:val="62CA39FC"/>
    <w:multiLevelType w:val="singleLevel"/>
    <w:tmpl w:val="94C4C704"/>
    <w:lvl w:ilvl="0">
      <w:start w:val="1"/>
      <w:numFmt w:val="bullet"/>
      <w:lvlText w:val="§"/>
      <w:lvlJc w:val="left"/>
      <w:pPr>
        <w:ind w:left="360" w:hanging="360"/>
      </w:pPr>
      <w:rPr>
        <w:rFonts w:ascii="Wingdings" w:hAnsi="Wingdings" w:hint="default"/>
      </w:rPr>
    </w:lvl>
  </w:abstractNum>
  <w:abstractNum w:abstractNumId="186"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7"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8"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9"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90" w15:restartNumberingAfterBreak="0">
    <w:nsid w:val="64DA43DA"/>
    <w:multiLevelType w:val="singleLevel"/>
    <w:tmpl w:val="81AE813E"/>
    <w:lvl w:ilvl="0">
      <w:start w:val="1"/>
      <w:numFmt w:val="bullet"/>
      <w:lvlText w:val="§"/>
      <w:lvlJc w:val="left"/>
      <w:pPr>
        <w:ind w:left="360" w:hanging="360"/>
      </w:pPr>
      <w:rPr>
        <w:rFonts w:ascii="Wingdings" w:hAnsi="Wingdings" w:hint="default"/>
      </w:rPr>
    </w:lvl>
  </w:abstractNum>
  <w:abstractNum w:abstractNumId="19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2"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9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94" w15:restartNumberingAfterBreak="0">
    <w:nsid w:val="67627435"/>
    <w:multiLevelType w:val="singleLevel"/>
    <w:tmpl w:val="CACA5AEE"/>
    <w:lvl w:ilvl="0">
      <w:start w:val="1"/>
      <w:numFmt w:val="bullet"/>
      <w:lvlText w:val="§"/>
      <w:lvlJc w:val="left"/>
      <w:pPr>
        <w:ind w:left="360" w:hanging="360"/>
      </w:pPr>
      <w:rPr>
        <w:rFonts w:ascii="Wingdings" w:hAnsi="Wingdings" w:hint="default"/>
      </w:rPr>
    </w:lvl>
  </w:abstractNum>
  <w:abstractNum w:abstractNumId="19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6" w15:restartNumberingAfterBreak="0">
    <w:nsid w:val="6B573D2C"/>
    <w:multiLevelType w:val="singleLevel"/>
    <w:tmpl w:val="28C8DED8"/>
    <w:lvl w:ilvl="0">
      <w:start w:val="1"/>
      <w:numFmt w:val="bullet"/>
      <w:lvlText w:val="§"/>
      <w:lvlJc w:val="left"/>
      <w:pPr>
        <w:ind w:left="360" w:hanging="360"/>
      </w:pPr>
      <w:rPr>
        <w:rFonts w:ascii="Wingdings" w:hAnsi="Wingdings" w:hint="default"/>
      </w:rPr>
    </w:lvl>
  </w:abstractNum>
  <w:abstractNum w:abstractNumId="197" w15:restartNumberingAfterBreak="0">
    <w:nsid w:val="6B666A5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9" w15:restartNumberingAfterBreak="0">
    <w:nsid w:val="6BC36BF3"/>
    <w:multiLevelType w:val="singleLevel"/>
    <w:tmpl w:val="0D8AAC92"/>
    <w:lvl w:ilvl="0">
      <w:start w:val="1"/>
      <w:numFmt w:val="bullet"/>
      <w:lvlText w:val="§"/>
      <w:lvlJc w:val="left"/>
      <w:pPr>
        <w:ind w:left="360" w:hanging="360"/>
      </w:pPr>
      <w:rPr>
        <w:rFonts w:ascii="Wingdings" w:hAnsi="Wingdings" w:hint="default"/>
      </w:rPr>
    </w:lvl>
  </w:abstractNum>
  <w:abstractNum w:abstractNumId="200" w15:restartNumberingAfterBreak="0">
    <w:nsid w:val="6BDA4859"/>
    <w:multiLevelType w:val="singleLevel"/>
    <w:tmpl w:val="9A88CB74"/>
    <w:lvl w:ilvl="0">
      <w:start w:val="1"/>
      <w:numFmt w:val="bullet"/>
      <w:lvlText w:val="§"/>
      <w:lvlJc w:val="left"/>
      <w:pPr>
        <w:ind w:left="360" w:hanging="360"/>
      </w:pPr>
      <w:rPr>
        <w:rFonts w:ascii="Wingdings" w:hAnsi="Wingdings" w:hint="default"/>
      </w:rPr>
    </w:lvl>
  </w:abstractNum>
  <w:abstractNum w:abstractNumId="20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2" w15:restartNumberingAfterBreak="0">
    <w:nsid w:val="6C1D7442"/>
    <w:multiLevelType w:val="singleLevel"/>
    <w:tmpl w:val="B8A89454"/>
    <w:lvl w:ilvl="0">
      <w:start w:val="1"/>
      <w:numFmt w:val="bullet"/>
      <w:lvlText w:val="§"/>
      <w:lvlJc w:val="left"/>
      <w:pPr>
        <w:ind w:left="360" w:hanging="360"/>
      </w:pPr>
      <w:rPr>
        <w:rFonts w:ascii="Wingdings" w:hAnsi="Wingdings" w:hint="default"/>
      </w:rPr>
    </w:lvl>
  </w:abstractNum>
  <w:abstractNum w:abstractNumId="20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4"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205" w15:restartNumberingAfterBreak="0">
    <w:nsid w:val="6C5722F7"/>
    <w:multiLevelType w:val="singleLevel"/>
    <w:tmpl w:val="13D2D472"/>
    <w:lvl w:ilvl="0">
      <w:start w:val="1"/>
      <w:numFmt w:val="bullet"/>
      <w:lvlText w:val="§"/>
      <w:lvlJc w:val="left"/>
      <w:pPr>
        <w:ind w:left="360" w:hanging="360"/>
      </w:pPr>
      <w:rPr>
        <w:rFonts w:ascii="Wingdings" w:hAnsi="Wingdings" w:hint="default"/>
      </w:rPr>
    </w:lvl>
  </w:abstractNum>
  <w:abstractNum w:abstractNumId="206" w15:restartNumberingAfterBreak="0">
    <w:nsid w:val="6D423DCB"/>
    <w:multiLevelType w:val="singleLevel"/>
    <w:tmpl w:val="9E40959C"/>
    <w:lvl w:ilvl="0">
      <w:start w:val="1"/>
      <w:numFmt w:val="bullet"/>
      <w:lvlText w:val="§"/>
      <w:lvlJc w:val="left"/>
      <w:pPr>
        <w:ind w:left="360" w:hanging="360"/>
      </w:pPr>
      <w:rPr>
        <w:rFonts w:ascii="Wingdings" w:hAnsi="Wingdings" w:hint="default"/>
      </w:rPr>
    </w:lvl>
  </w:abstractNum>
  <w:abstractNum w:abstractNumId="207" w15:restartNumberingAfterBreak="0">
    <w:nsid w:val="6D71497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8" w15:restartNumberingAfterBreak="0">
    <w:nsid w:val="6DF23A5C"/>
    <w:multiLevelType w:val="singleLevel"/>
    <w:tmpl w:val="293A06D6"/>
    <w:lvl w:ilvl="0">
      <w:start w:val="1"/>
      <w:numFmt w:val="bullet"/>
      <w:lvlText w:val="§"/>
      <w:lvlJc w:val="left"/>
      <w:pPr>
        <w:ind w:left="360" w:hanging="360"/>
      </w:pPr>
      <w:rPr>
        <w:rFonts w:ascii="Wingdings" w:hAnsi="Wingdings" w:hint="default"/>
      </w:rPr>
    </w:lvl>
  </w:abstractNum>
  <w:abstractNum w:abstractNumId="209"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10"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11" w15:restartNumberingAfterBreak="0">
    <w:nsid w:val="6F9448CA"/>
    <w:multiLevelType w:val="singleLevel"/>
    <w:tmpl w:val="826609B2"/>
    <w:lvl w:ilvl="0">
      <w:start w:val="1"/>
      <w:numFmt w:val="bullet"/>
      <w:lvlText w:val="§"/>
      <w:lvlJc w:val="left"/>
      <w:pPr>
        <w:ind w:left="360" w:hanging="360"/>
      </w:pPr>
      <w:rPr>
        <w:rFonts w:ascii="Wingdings" w:hAnsi="Wingdings" w:hint="default"/>
      </w:rPr>
    </w:lvl>
  </w:abstractNum>
  <w:abstractNum w:abstractNumId="212"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1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4" w15:restartNumberingAfterBreak="0">
    <w:nsid w:val="70B05ECE"/>
    <w:multiLevelType w:val="singleLevel"/>
    <w:tmpl w:val="8E40D7F2"/>
    <w:lvl w:ilvl="0">
      <w:start w:val="1"/>
      <w:numFmt w:val="bullet"/>
      <w:lvlText w:val="§"/>
      <w:lvlJc w:val="left"/>
      <w:pPr>
        <w:ind w:left="360" w:hanging="360"/>
      </w:pPr>
      <w:rPr>
        <w:rFonts w:ascii="Wingdings" w:hAnsi="Wingdings" w:hint="default"/>
      </w:rPr>
    </w:lvl>
  </w:abstractNum>
  <w:abstractNum w:abstractNumId="21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6" w15:restartNumberingAfterBreak="0">
    <w:nsid w:val="72656B03"/>
    <w:multiLevelType w:val="singleLevel"/>
    <w:tmpl w:val="2DE2B954"/>
    <w:lvl w:ilvl="0">
      <w:start w:val="1"/>
      <w:numFmt w:val="bullet"/>
      <w:lvlText w:val="§"/>
      <w:lvlJc w:val="left"/>
      <w:pPr>
        <w:ind w:left="360" w:hanging="360"/>
      </w:pPr>
      <w:rPr>
        <w:rFonts w:ascii="Wingdings" w:hAnsi="Wingdings" w:hint="default"/>
      </w:rPr>
    </w:lvl>
  </w:abstractNum>
  <w:abstractNum w:abstractNumId="21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9"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20" w15:restartNumberingAfterBreak="0">
    <w:nsid w:val="746F11DB"/>
    <w:multiLevelType w:val="singleLevel"/>
    <w:tmpl w:val="6E4A95F6"/>
    <w:lvl w:ilvl="0">
      <w:start w:val="1"/>
      <w:numFmt w:val="bullet"/>
      <w:lvlText w:val="§"/>
      <w:lvlJc w:val="left"/>
      <w:pPr>
        <w:ind w:left="360" w:hanging="360"/>
      </w:pPr>
      <w:rPr>
        <w:rFonts w:ascii="Wingdings" w:hAnsi="Wingdings" w:hint="default"/>
      </w:rPr>
    </w:lvl>
  </w:abstractNum>
  <w:abstractNum w:abstractNumId="221" w15:restartNumberingAfterBreak="0">
    <w:nsid w:val="76630BF5"/>
    <w:multiLevelType w:val="singleLevel"/>
    <w:tmpl w:val="C290B7DA"/>
    <w:lvl w:ilvl="0">
      <w:start w:val="1"/>
      <w:numFmt w:val="bullet"/>
      <w:lvlText w:val="§"/>
      <w:lvlJc w:val="left"/>
      <w:pPr>
        <w:ind w:left="360" w:hanging="360"/>
      </w:pPr>
      <w:rPr>
        <w:rFonts w:ascii="Wingdings" w:hAnsi="Wingdings" w:hint="default"/>
      </w:rPr>
    </w:lvl>
  </w:abstractNum>
  <w:abstractNum w:abstractNumId="22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4" w15:restartNumberingAfterBreak="0">
    <w:nsid w:val="7ADB6E4B"/>
    <w:multiLevelType w:val="singleLevel"/>
    <w:tmpl w:val="14661516"/>
    <w:lvl w:ilvl="0">
      <w:start w:val="1"/>
      <w:numFmt w:val="bullet"/>
      <w:lvlText w:val="§"/>
      <w:lvlJc w:val="left"/>
      <w:pPr>
        <w:ind w:left="360" w:hanging="360"/>
      </w:pPr>
      <w:rPr>
        <w:rFonts w:ascii="Wingdings" w:hAnsi="Wingdings" w:hint="default"/>
      </w:rPr>
    </w:lvl>
  </w:abstractNum>
  <w:abstractNum w:abstractNumId="225"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6"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7"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28"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9" w15:restartNumberingAfterBreak="0">
    <w:nsid w:val="7F204FE6"/>
    <w:multiLevelType w:val="singleLevel"/>
    <w:tmpl w:val="EB5E09C8"/>
    <w:lvl w:ilvl="0">
      <w:start w:val="1"/>
      <w:numFmt w:val="bullet"/>
      <w:lvlText w:val="§"/>
      <w:lvlJc w:val="left"/>
      <w:pPr>
        <w:ind w:left="360" w:hanging="360"/>
      </w:pPr>
      <w:rPr>
        <w:rFonts w:ascii="Wingdings" w:hAnsi="Wingdings" w:hint="default"/>
      </w:rPr>
    </w:lvl>
  </w:abstractNum>
  <w:abstractNum w:abstractNumId="230"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1"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abstractNum w:abstractNumId="232" w15:restartNumberingAfterBreak="0">
    <w:nsid w:val="7FE40F4B"/>
    <w:multiLevelType w:val="singleLevel"/>
    <w:tmpl w:val="C38A1E26"/>
    <w:lvl w:ilvl="0">
      <w:start w:val="1"/>
      <w:numFmt w:val="bullet"/>
      <w:lvlText w:val="§"/>
      <w:lvlJc w:val="left"/>
      <w:pPr>
        <w:ind w:left="360" w:hanging="360"/>
      </w:pPr>
      <w:rPr>
        <w:rFonts w:ascii="Wingdings" w:hAnsi="Wingdings" w:hint="default"/>
      </w:rPr>
    </w:lvl>
  </w:abstractNum>
  <w:abstractNum w:abstractNumId="233" w15:restartNumberingAfterBreak="0">
    <w:nsid w:val="7FEF5376"/>
    <w:multiLevelType w:val="singleLevel"/>
    <w:tmpl w:val="3FD428C2"/>
    <w:lvl w:ilvl="0">
      <w:start w:val="1"/>
      <w:numFmt w:val="bullet"/>
      <w:lvlText w:val="§"/>
      <w:lvlJc w:val="left"/>
      <w:pPr>
        <w:ind w:left="360" w:hanging="360"/>
      </w:pPr>
      <w:rPr>
        <w:rFonts w:ascii="Wingdings" w:hAnsi="Wingdings" w:hint="default"/>
      </w:rPr>
    </w:lvl>
  </w:abstractNum>
  <w:num w:numId="1">
    <w:abstractNumId w:val="195"/>
  </w:num>
  <w:num w:numId="2">
    <w:abstractNumId w:val="74"/>
  </w:num>
  <w:num w:numId="3">
    <w:abstractNumId w:val="68"/>
  </w:num>
  <w:num w:numId="4">
    <w:abstractNumId w:val="223"/>
  </w:num>
  <w:num w:numId="5">
    <w:abstractNumId w:val="88"/>
  </w:num>
  <w:num w:numId="6">
    <w:abstractNumId w:val="70"/>
  </w:num>
  <w:num w:numId="7">
    <w:abstractNumId w:val="217"/>
  </w:num>
  <w:num w:numId="8">
    <w:abstractNumId w:val="69"/>
  </w:num>
  <w:num w:numId="9">
    <w:abstractNumId w:val="5"/>
  </w:num>
  <w:num w:numId="10">
    <w:abstractNumId w:val="169"/>
  </w:num>
  <w:num w:numId="11">
    <w:abstractNumId w:val="90"/>
  </w:num>
  <w:num w:numId="12">
    <w:abstractNumId w:val="52"/>
  </w:num>
  <w:num w:numId="13">
    <w:abstractNumId w:val="218"/>
  </w:num>
  <w:num w:numId="14">
    <w:abstractNumId w:val="0"/>
  </w:num>
  <w:num w:numId="15">
    <w:abstractNumId w:val="193"/>
  </w:num>
  <w:num w:numId="16">
    <w:abstractNumId w:val="193"/>
  </w:num>
  <w:num w:numId="17">
    <w:abstractNumId w:val="193"/>
  </w:num>
  <w:num w:numId="18">
    <w:abstractNumId w:val="193"/>
  </w:num>
  <w:num w:numId="19">
    <w:abstractNumId w:val="193"/>
  </w:num>
  <w:num w:numId="20">
    <w:abstractNumId w:val="193"/>
  </w:num>
  <w:num w:numId="21">
    <w:abstractNumId w:val="193"/>
  </w:num>
  <w:num w:numId="22">
    <w:abstractNumId w:val="193"/>
  </w:num>
  <w:num w:numId="23">
    <w:abstractNumId w:val="193"/>
  </w:num>
  <w:num w:numId="24">
    <w:abstractNumId w:val="101"/>
  </w:num>
  <w:num w:numId="25">
    <w:abstractNumId w:val="215"/>
  </w:num>
  <w:num w:numId="26">
    <w:abstractNumId w:val="17"/>
  </w:num>
  <w:num w:numId="27">
    <w:abstractNumId w:val="126"/>
  </w:num>
  <w:num w:numId="28">
    <w:abstractNumId w:val="118"/>
  </w:num>
  <w:num w:numId="29">
    <w:abstractNumId w:val="28"/>
  </w:num>
  <w:num w:numId="30">
    <w:abstractNumId w:val="37"/>
  </w:num>
  <w:num w:numId="31">
    <w:abstractNumId w:val="73"/>
  </w:num>
  <w:num w:numId="32">
    <w:abstractNumId w:val="162"/>
  </w:num>
  <w:num w:numId="33">
    <w:abstractNumId w:val="46"/>
  </w:num>
  <w:num w:numId="34">
    <w:abstractNumId w:val="203"/>
  </w:num>
  <w:num w:numId="35">
    <w:abstractNumId w:val="176"/>
  </w:num>
  <w:num w:numId="36">
    <w:abstractNumId w:val="198"/>
  </w:num>
  <w:num w:numId="37">
    <w:abstractNumId w:val="57"/>
  </w:num>
  <w:num w:numId="38">
    <w:abstractNumId w:val="72"/>
  </w:num>
  <w:num w:numId="39">
    <w:abstractNumId w:val="173"/>
  </w:num>
  <w:num w:numId="40">
    <w:abstractNumId w:val="130"/>
  </w:num>
  <w:num w:numId="41">
    <w:abstractNumId w:val="120"/>
  </w:num>
  <w:num w:numId="42">
    <w:abstractNumId w:val="191"/>
  </w:num>
  <w:num w:numId="43">
    <w:abstractNumId w:val="213"/>
  </w:num>
  <w:num w:numId="44">
    <w:abstractNumId w:val="222"/>
  </w:num>
  <w:num w:numId="45">
    <w:abstractNumId w:val="201"/>
  </w:num>
  <w:num w:numId="46">
    <w:abstractNumId w:val="39"/>
  </w:num>
  <w:num w:numId="47">
    <w:abstractNumId w:val="167"/>
  </w:num>
  <w:num w:numId="48">
    <w:abstractNumId w:val="220"/>
  </w:num>
  <w:num w:numId="49">
    <w:abstractNumId w:val="158"/>
  </w:num>
  <w:num w:numId="50">
    <w:abstractNumId w:val="165"/>
  </w:num>
  <w:num w:numId="51">
    <w:abstractNumId w:val="186"/>
  </w:num>
  <w:num w:numId="52">
    <w:abstractNumId w:val="226"/>
  </w:num>
  <w:num w:numId="53">
    <w:abstractNumId w:val="14"/>
  </w:num>
  <w:num w:numId="54">
    <w:abstractNumId w:val="145"/>
  </w:num>
  <w:num w:numId="55">
    <w:abstractNumId w:val="115"/>
  </w:num>
  <w:num w:numId="56">
    <w:abstractNumId w:val="55"/>
  </w:num>
  <w:num w:numId="57">
    <w:abstractNumId w:val="6"/>
  </w:num>
  <w:num w:numId="58">
    <w:abstractNumId w:val="140"/>
  </w:num>
  <w:num w:numId="59">
    <w:abstractNumId w:val="183"/>
  </w:num>
  <w:num w:numId="60">
    <w:abstractNumId w:val="107"/>
  </w:num>
  <w:num w:numId="61">
    <w:abstractNumId w:val="129"/>
  </w:num>
  <w:num w:numId="62">
    <w:abstractNumId w:val="163"/>
  </w:num>
  <w:num w:numId="63">
    <w:abstractNumId w:val="60"/>
  </w:num>
  <w:num w:numId="64">
    <w:abstractNumId w:val="214"/>
  </w:num>
  <w:num w:numId="65">
    <w:abstractNumId w:val="199"/>
  </w:num>
  <w:num w:numId="66">
    <w:abstractNumId w:val="233"/>
  </w:num>
  <w:num w:numId="67">
    <w:abstractNumId w:val="224"/>
  </w:num>
  <w:num w:numId="68">
    <w:abstractNumId w:val="33"/>
  </w:num>
  <w:num w:numId="69">
    <w:abstractNumId w:val="160"/>
  </w:num>
  <w:num w:numId="70">
    <w:abstractNumId w:val="97"/>
  </w:num>
  <w:num w:numId="71">
    <w:abstractNumId w:val="3"/>
  </w:num>
  <w:num w:numId="72">
    <w:abstractNumId w:val="63"/>
  </w:num>
  <w:num w:numId="73">
    <w:abstractNumId w:val="31"/>
  </w:num>
  <w:num w:numId="74">
    <w:abstractNumId w:val="92"/>
  </w:num>
  <w:num w:numId="75">
    <w:abstractNumId w:val="178"/>
  </w:num>
  <w:num w:numId="76">
    <w:abstractNumId w:val="13"/>
  </w:num>
  <w:num w:numId="77">
    <w:abstractNumId w:val="175"/>
  </w:num>
  <w:num w:numId="78">
    <w:abstractNumId w:val="209"/>
  </w:num>
  <w:num w:numId="79">
    <w:abstractNumId w:val="66"/>
  </w:num>
  <w:num w:numId="80">
    <w:abstractNumId w:val="210"/>
  </w:num>
  <w:num w:numId="81">
    <w:abstractNumId w:val="16"/>
  </w:num>
  <w:num w:numId="82">
    <w:abstractNumId w:val="50"/>
  </w:num>
  <w:num w:numId="83">
    <w:abstractNumId w:val="172"/>
  </w:num>
  <w:num w:numId="84">
    <w:abstractNumId w:val="25"/>
  </w:num>
  <w:num w:numId="85">
    <w:abstractNumId w:val="180"/>
  </w:num>
  <w:num w:numId="86">
    <w:abstractNumId w:val="166"/>
  </w:num>
  <w:num w:numId="87">
    <w:abstractNumId w:val="36"/>
  </w:num>
  <w:num w:numId="88">
    <w:abstractNumId w:val="146"/>
  </w:num>
  <w:num w:numId="89">
    <w:abstractNumId w:val="76"/>
  </w:num>
  <w:num w:numId="90">
    <w:abstractNumId w:val="188"/>
  </w:num>
  <w:num w:numId="91">
    <w:abstractNumId w:val="27"/>
  </w:num>
  <w:num w:numId="92">
    <w:abstractNumId w:val="179"/>
  </w:num>
  <w:num w:numId="93">
    <w:abstractNumId w:val="86"/>
  </w:num>
  <w:num w:numId="94">
    <w:abstractNumId w:val="149"/>
  </w:num>
  <w:num w:numId="95">
    <w:abstractNumId w:val="174"/>
  </w:num>
  <w:num w:numId="96">
    <w:abstractNumId w:val="113"/>
  </w:num>
  <w:num w:numId="97">
    <w:abstractNumId w:val="143"/>
  </w:num>
  <w:num w:numId="98">
    <w:abstractNumId w:val="212"/>
  </w:num>
  <w:num w:numId="99">
    <w:abstractNumId w:val="15"/>
  </w:num>
  <w:num w:numId="100">
    <w:abstractNumId w:val="35"/>
  </w:num>
  <w:num w:numId="101">
    <w:abstractNumId w:val="11"/>
  </w:num>
  <w:num w:numId="102">
    <w:abstractNumId w:val="102"/>
  </w:num>
  <w:num w:numId="103">
    <w:abstractNumId w:val="204"/>
  </w:num>
  <w:num w:numId="104">
    <w:abstractNumId w:val="164"/>
  </w:num>
  <w:num w:numId="105">
    <w:abstractNumId w:val="127"/>
  </w:num>
  <w:num w:numId="106">
    <w:abstractNumId w:val="134"/>
  </w:num>
  <w:num w:numId="107">
    <w:abstractNumId w:val="47"/>
  </w:num>
  <w:num w:numId="108">
    <w:abstractNumId w:val="59"/>
  </w:num>
  <w:num w:numId="109">
    <w:abstractNumId w:val="151"/>
  </w:num>
  <w:num w:numId="110">
    <w:abstractNumId w:val="189"/>
  </w:num>
  <w:num w:numId="111">
    <w:abstractNumId w:val="219"/>
  </w:num>
  <w:num w:numId="112">
    <w:abstractNumId w:val="227"/>
  </w:num>
  <w:num w:numId="113">
    <w:abstractNumId w:val="7"/>
  </w:num>
  <w:num w:numId="114">
    <w:abstractNumId w:val="51"/>
  </w:num>
  <w:num w:numId="115">
    <w:abstractNumId w:val="231"/>
  </w:num>
  <w:num w:numId="116">
    <w:abstractNumId w:val="91"/>
  </w:num>
  <w:num w:numId="117">
    <w:abstractNumId w:val="79"/>
  </w:num>
  <w:num w:numId="118">
    <w:abstractNumId w:val="109"/>
  </w:num>
  <w:num w:numId="119">
    <w:abstractNumId w:val="80"/>
  </w:num>
  <w:num w:numId="120">
    <w:abstractNumId w:val="192"/>
  </w:num>
  <w:num w:numId="121">
    <w:abstractNumId w:val="95"/>
  </w:num>
  <w:num w:numId="122">
    <w:abstractNumId w:val="82"/>
  </w:num>
  <w:num w:numId="123">
    <w:abstractNumId w:val="98"/>
  </w:num>
  <w:num w:numId="124">
    <w:abstractNumId w:val="202"/>
  </w:num>
  <w:num w:numId="125">
    <w:abstractNumId w:val="208"/>
  </w:num>
  <w:num w:numId="126">
    <w:abstractNumId w:val="124"/>
  </w:num>
  <w:num w:numId="127">
    <w:abstractNumId w:val="32"/>
  </w:num>
  <w:num w:numId="128">
    <w:abstractNumId w:val="200"/>
  </w:num>
  <w:num w:numId="129">
    <w:abstractNumId w:val="147"/>
  </w:num>
  <w:num w:numId="130">
    <w:abstractNumId w:val="77"/>
  </w:num>
  <w:num w:numId="131">
    <w:abstractNumId w:val="137"/>
  </w:num>
  <w:num w:numId="132">
    <w:abstractNumId w:val="156"/>
  </w:num>
  <w:num w:numId="133">
    <w:abstractNumId w:val="228"/>
  </w:num>
  <w:num w:numId="134">
    <w:abstractNumId w:val="114"/>
  </w:num>
  <w:num w:numId="135">
    <w:abstractNumId w:val="125"/>
  </w:num>
  <w:num w:numId="136">
    <w:abstractNumId w:val="18"/>
  </w:num>
  <w:num w:numId="137">
    <w:abstractNumId w:val="153"/>
  </w:num>
  <w:num w:numId="138">
    <w:abstractNumId w:val="84"/>
  </w:num>
  <w:num w:numId="139">
    <w:abstractNumId w:val="157"/>
  </w:num>
  <w:num w:numId="140">
    <w:abstractNumId w:val="206"/>
  </w:num>
  <w:num w:numId="141">
    <w:abstractNumId w:val="26"/>
  </w:num>
  <w:num w:numId="142">
    <w:abstractNumId w:val="89"/>
  </w:num>
  <w:num w:numId="143">
    <w:abstractNumId w:val="21"/>
  </w:num>
  <w:num w:numId="144">
    <w:abstractNumId w:val="22"/>
  </w:num>
  <w:num w:numId="145">
    <w:abstractNumId w:val="155"/>
  </w:num>
  <w:num w:numId="146">
    <w:abstractNumId w:val="99"/>
  </w:num>
  <w:num w:numId="147">
    <w:abstractNumId w:val="148"/>
  </w:num>
  <w:num w:numId="148">
    <w:abstractNumId w:val="121"/>
  </w:num>
  <w:num w:numId="149">
    <w:abstractNumId w:val="100"/>
  </w:num>
  <w:num w:numId="150">
    <w:abstractNumId w:val="48"/>
  </w:num>
  <w:num w:numId="151">
    <w:abstractNumId w:val="216"/>
  </w:num>
  <w:num w:numId="152">
    <w:abstractNumId w:val="106"/>
  </w:num>
  <w:num w:numId="153">
    <w:abstractNumId w:val="132"/>
  </w:num>
  <w:num w:numId="154">
    <w:abstractNumId w:val="53"/>
  </w:num>
  <w:num w:numId="155">
    <w:abstractNumId w:val="232"/>
  </w:num>
  <w:num w:numId="156">
    <w:abstractNumId w:val="4"/>
  </w:num>
  <w:num w:numId="157">
    <w:abstractNumId w:val="185"/>
  </w:num>
  <w:num w:numId="158">
    <w:abstractNumId w:val="105"/>
  </w:num>
  <w:num w:numId="159">
    <w:abstractNumId w:val="177"/>
  </w:num>
  <w:num w:numId="160">
    <w:abstractNumId w:val="122"/>
  </w:num>
  <w:num w:numId="161">
    <w:abstractNumId w:val="12"/>
  </w:num>
  <w:num w:numId="162">
    <w:abstractNumId w:val="49"/>
  </w:num>
  <w:num w:numId="163">
    <w:abstractNumId w:val="194"/>
  </w:num>
  <w:num w:numId="164">
    <w:abstractNumId w:val="205"/>
  </w:num>
  <w:num w:numId="165">
    <w:abstractNumId w:val="139"/>
  </w:num>
  <w:num w:numId="166">
    <w:abstractNumId w:val="65"/>
  </w:num>
  <w:num w:numId="167">
    <w:abstractNumId w:val="181"/>
  </w:num>
  <w:num w:numId="168">
    <w:abstractNumId w:val="85"/>
  </w:num>
  <w:num w:numId="169">
    <w:abstractNumId w:val="87"/>
  </w:num>
  <w:num w:numId="170">
    <w:abstractNumId w:val="81"/>
  </w:num>
  <w:num w:numId="171">
    <w:abstractNumId w:val="128"/>
  </w:num>
  <w:num w:numId="172">
    <w:abstractNumId w:val="44"/>
  </w:num>
  <w:num w:numId="173">
    <w:abstractNumId w:val="71"/>
  </w:num>
  <w:num w:numId="174">
    <w:abstractNumId w:val="159"/>
  </w:num>
  <w:num w:numId="175">
    <w:abstractNumId w:val="161"/>
  </w:num>
  <w:num w:numId="176">
    <w:abstractNumId w:val="112"/>
  </w:num>
  <w:num w:numId="177">
    <w:abstractNumId w:val="230"/>
  </w:num>
  <w:num w:numId="178">
    <w:abstractNumId w:val="34"/>
  </w:num>
  <w:num w:numId="179">
    <w:abstractNumId w:val="64"/>
  </w:num>
  <w:num w:numId="180">
    <w:abstractNumId w:val="103"/>
  </w:num>
  <w:num w:numId="181">
    <w:abstractNumId w:val="116"/>
  </w:num>
  <w:num w:numId="182">
    <w:abstractNumId w:val="187"/>
  </w:num>
  <w:num w:numId="183">
    <w:abstractNumId w:val="2"/>
  </w:num>
  <w:num w:numId="184">
    <w:abstractNumId w:val="62"/>
  </w:num>
  <w:num w:numId="185">
    <w:abstractNumId w:val="150"/>
  </w:num>
  <w:num w:numId="186">
    <w:abstractNumId w:val="225"/>
  </w:num>
  <w:num w:numId="187">
    <w:abstractNumId w:val="141"/>
  </w:num>
  <w:num w:numId="188">
    <w:abstractNumId w:val="94"/>
  </w:num>
  <w:num w:numId="189">
    <w:abstractNumId w:val="144"/>
  </w:num>
  <w:num w:numId="190">
    <w:abstractNumId w:val="138"/>
  </w:num>
  <w:num w:numId="191">
    <w:abstractNumId w:val="9"/>
  </w:num>
  <w:num w:numId="192">
    <w:abstractNumId w:val="184"/>
  </w:num>
  <w:num w:numId="193">
    <w:abstractNumId w:val="38"/>
  </w:num>
  <w:num w:numId="194">
    <w:abstractNumId w:val="171"/>
  </w:num>
  <w:num w:numId="195">
    <w:abstractNumId w:val="170"/>
  </w:num>
  <w:num w:numId="196">
    <w:abstractNumId w:val="20"/>
  </w:num>
  <w:num w:numId="197">
    <w:abstractNumId w:val="196"/>
  </w:num>
  <w:num w:numId="198">
    <w:abstractNumId w:val="142"/>
  </w:num>
  <w:num w:numId="199">
    <w:abstractNumId w:val="119"/>
  </w:num>
  <w:num w:numId="200">
    <w:abstractNumId w:val="29"/>
  </w:num>
  <w:num w:numId="201">
    <w:abstractNumId w:val="41"/>
  </w:num>
  <w:num w:numId="202">
    <w:abstractNumId w:val="61"/>
  </w:num>
  <w:num w:numId="203">
    <w:abstractNumId w:val="19"/>
  </w:num>
  <w:num w:numId="204">
    <w:abstractNumId w:val="221"/>
  </w:num>
  <w:num w:numId="205">
    <w:abstractNumId w:val="24"/>
  </w:num>
  <w:num w:numId="206">
    <w:abstractNumId w:val="8"/>
  </w:num>
  <w:num w:numId="207">
    <w:abstractNumId w:val="75"/>
  </w:num>
  <w:num w:numId="208">
    <w:abstractNumId w:val="123"/>
  </w:num>
  <w:num w:numId="209">
    <w:abstractNumId w:val="182"/>
  </w:num>
  <w:num w:numId="210">
    <w:abstractNumId w:val="135"/>
  </w:num>
  <w:num w:numId="211">
    <w:abstractNumId w:val="1"/>
  </w:num>
  <w:num w:numId="212">
    <w:abstractNumId w:val="67"/>
  </w:num>
  <w:num w:numId="213">
    <w:abstractNumId w:val="78"/>
  </w:num>
  <w:num w:numId="214">
    <w:abstractNumId w:val="168"/>
  </w:num>
  <w:num w:numId="215">
    <w:abstractNumId w:val="54"/>
  </w:num>
  <w:num w:numId="216">
    <w:abstractNumId w:val="58"/>
  </w:num>
  <w:num w:numId="217">
    <w:abstractNumId w:val="190"/>
  </w:num>
  <w:num w:numId="218">
    <w:abstractNumId w:val="133"/>
  </w:num>
  <w:num w:numId="219">
    <w:abstractNumId w:val="104"/>
  </w:num>
  <w:num w:numId="220">
    <w:abstractNumId w:val="108"/>
  </w:num>
  <w:num w:numId="221">
    <w:abstractNumId w:val="117"/>
  </w:num>
  <w:num w:numId="222">
    <w:abstractNumId w:val="45"/>
  </w:num>
  <w:num w:numId="223">
    <w:abstractNumId w:val="229"/>
  </w:num>
  <w:num w:numId="224">
    <w:abstractNumId w:val="136"/>
  </w:num>
  <w:num w:numId="225">
    <w:abstractNumId w:val="96"/>
  </w:num>
  <w:num w:numId="226">
    <w:abstractNumId w:val="10"/>
  </w:num>
  <w:num w:numId="227">
    <w:abstractNumId w:val="23"/>
  </w:num>
  <w:num w:numId="228">
    <w:abstractNumId w:val="56"/>
  </w:num>
  <w:num w:numId="229">
    <w:abstractNumId w:val="93"/>
  </w:num>
  <w:num w:numId="230">
    <w:abstractNumId w:val="30"/>
  </w:num>
  <w:num w:numId="231">
    <w:abstractNumId w:val="154"/>
  </w:num>
  <w:num w:numId="232">
    <w:abstractNumId w:val="111"/>
  </w:num>
  <w:num w:numId="233">
    <w:abstractNumId w:val="83"/>
  </w:num>
  <w:num w:numId="234">
    <w:abstractNumId w:val="211"/>
  </w:num>
  <w:num w:numId="235">
    <w:abstractNumId w:val="42"/>
  </w:num>
  <w:num w:numId="236">
    <w:abstractNumId w:val="110"/>
  </w:num>
  <w:num w:numId="237">
    <w:abstractNumId w:val="40"/>
  </w:num>
  <w:num w:numId="238">
    <w:abstractNumId w:val="152"/>
  </w:num>
  <w:num w:numId="239">
    <w:abstractNumId w:val="131"/>
  </w:num>
  <w:num w:numId="240">
    <w:abstractNumId w:val="197"/>
  </w:num>
  <w:num w:numId="241">
    <w:abstractNumId w:val="207"/>
  </w:num>
  <w:num w:numId="242">
    <w:abstractNumId w:val="43"/>
  </w:num>
  <w:numIdMacAtCleanup w:val="2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A156F"/>
    <w:rsid w:val="000A156F"/>
    <w:rsid w:val="00A972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https://go.microsoft.com/fwlink/?LinkId=132464"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https://go.microsoft.com/fwlink/?LinkId=132464" TargetMode="External"/><Relationship Id="rId170" Type="http://schemas.openxmlformats.org/officeDocument/2006/relationships/image" Target="media/image21.bin"/><Relationship Id="rId226" Type="http://schemas.openxmlformats.org/officeDocument/2006/relationships/hyperlink" Target="https://go.microsoft.com/fwlink/?LinkId=132464" TargetMode="External"/><Relationship Id="rId268" Type="http://schemas.openxmlformats.org/officeDocument/2006/relationships/image" Target="media/image62.bin"/><Relationship Id="rId32" Type="http://schemas.openxmlformats.org/officeDocument/2006/relationships/hyperlink" Target="https://go.microsoft.com/fwlink/?LinkId=150884" TargetMode="External"/><Relationship Id="rId74" Type="http://schemas.openxmlformats.org/officeDocument/2006/relationships/hyperlink" Target="https://go.microsoft.com/fwlink/?LinkId=132464" TargetMode="External"/><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https://go.microsoft.com/fwlink/?LinkId=150884" TargetMode="External"/><Relationship Id="rId5" Type="http://schemas.openxmlformats.org/officeDocument/2006/relationships/settings" Target="settings.xml"/><Relationship Id="rId181" Type="http://schemas.openxmlformats.org/officeDocument/2006/relationships/image" Target="media/image32.bin"/><Relationship Id="rId237" Type="http://schemas.openxmlformats.org/officeDocument/2006/relationships/hyperlink" Target="https://go.microsoft.com/fwlink/?LinkId=132464" TargetMode="External"/><Relationship Id="rId279" Type="http://schemas.openxmlformats.org/officeDocument/2006/relationships/image" Target="media/image67.bin"/><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4927" TargetMode="External"/><Relationship Id="rId346" Type="http://schemas.openxmlformats.org/officeDocument/2006/relationships/hyperlink" Target="https://go.microsoft.com/fwlink/?LinkId=132464"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35.bin"/><Relationship Id="rId206" Type="http://schemas.openxmlformats.org/officeDocument/2006/relationships/image" Target="media/image43.bin"/><Relationship Id="rId248" Type="http://schemas.openxmlformats.org/officeDocument/2006/relationships/hyperlink" Target="https://go.microsoft.com/fwlink/?LinkId=132464"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150884" TargetMode="External"/><Relationship Id="rId315" Type="http://schemas.openxmlformats.org/officeDocument/2006/relationships/hyperlink" Target="https://go.microsoft.com/fwlink/?LinkId=150884" TargetMode="External"/><Relationship Id="rId357" Type="http://schemas.openxmlformats.org/officeDocument/2006/relationships/hyperlink" Target="https://go.microsoft.com/fwlink/?LinkId=132464" TargetMode="External"/><Relationship Id="rId54" Type="http://schemas.openxmlformats.org/officeDocument/2006/relationships/hyperlink" Target="%5bMS-XLSX%5d.pdf"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image" Target="media/image56.bin"/><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132464" TargetMode="External"/><Relationship Id="rId270" Type="http://schemas.openxmlformats.org/officeDocument/2006/relationships/image" Target="media/image63.bin"/><Relationship Id="rId326" Type="http://schemas.openxmlformats.org/officeDocument/2006/relationships/hyperlink" Target="https://go.microsoft.com/fwlink/?LinkId=132464" TargetMode="External"/><Relationship Id="rId65" Type="http://schemas.openxmlformats.org/officeDocument/2006/relationships/hyperlink" Target="https://go.microsoft.com/fwlink/?LinkId=118625" TargetMode="External"/><Relationship Id="rId130" Type="http://schemas.openxmlformats.org/officeDocument/2006/relationships/hyperlink" Target="https://go.microsoft.com/fwlink/?LinkId=150884" TargetMode="External"/><Relationship Id="rId368" Type="http://schemas.openxmlformats.org/officeDocument/2006/relationships/hyperlink" Target="%5bMS-IPFF%5d.pdf" TargetMode="External"/><Relationship Id="rId172" Type="http://schemas.openxmlformats.org/officeDocument/2006/relationships/image" Target="media/image23.bin"/><Relationship Id="rId228" Type="http://schemas.openxmlformats.org/officeDocument/2006/relationships/hyperlink" Target="https://go.microsoft.com/fwlink/?LinkId=89920" TargetMode="External"/><Relationship Id="rId281" Type="http://schemas.openxmlformats.org/officeDocument/2006/relationships/hyperlink" Target="https://go.microsoft.com/fwlink/?LinkId=150884"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3.bin"/><Relationship Id="rId141" Type="http://schemas.openxmlformats.org/officeDocument/2006/relationships/hyperlink" Target="https://go.microsoft.com/fwlink/?LinkId=132464" TargetMode="External"/><Relationship Id="rId379" Type="http://schemas.openxmlformats.org/officeDocument/2006/relationships/image" Target="media/image72.bin"/><Relationship Id="rId7" Type="http://schemas.openxmlformats.org/officeDocument/2006/relationships/footnotes" Target="footnotes.xml"/><Relationship Id="rId183" Type="http://schemas.openxmlformats.org/officeDocument/2006/relationships/image" Target="media/image34.bin"/><Relationship Id="rId239" Type="http://schemas.openxmlformats.org/officeDocument/2006/relationships/hyperlink" Target="https://go.microsoft.com/fwlink/?LinkId=132464" TargetMode="External"/><Relationship Id="rId390" Type="http://schemas.openxmlformats.org/officeDocument/2006/relationships/footer" Target="footer1.xml"/><Relationship Id="rId250" Type="http://schemas.openxmlformats.org/officeDocument/2006/relationships/hyperlink" Target="https://go.microsoft.com/fwlink/?LinkId=150884" TargetMode="External"/><Relationship Id="rId292" Type="http://schemas.openxmlformats.org/officeDocument/2006/relationships/hyperlink" Target="https://go.microsoft.com/fwlink/?LinkId=132464" TargetMode="External"/><Relationship Id="rId306" Type="http://schemas.openxmlformats.org/officeDocument/2006/relationships/hyperlink" Target="https://go.microsoft.com/fwlink/?LinkId=264938" TargetMode="External"/><Relationship Id="rId45" Type="http://schemas.openxmlformats.org/officeDocument/2006/relationships/hyperlink" Target="%5bMS-ODRAWXML%5d.pdf" TargetMode="External"/><Relationship Id="rId87" Type="http://schemas.openxmlformats.org/officeDocument/2006/relationships/hyperlink" Target="https://go.microsoft.com/fwlink/?LinkId=132464" TargetMode="External"/><Relationship Id="rId110" Type="http://schemas.openxmlformats.org/officeDocument/2006/relationships/hyperlink" Target="https://go.microsoft.com/fwlink/?LinkId=132464" TargetMode="External"/><Relationship Id="rId348" Type="http://schemas.openxmlformats.org/officeDocument/2006/relationships/hyperlink" Target="%5bMS-CUSTOMUI%5d.pdf" TargetMode="External"/><Relationship Id="rId152" Type="http://schemas.openxmlformats.org/officeDocument/2006/relationships/hyperlink" Target="https://go.microsoft.com/fwlink/?LinkId=132464" TargetMode="External"/><Relationship Id="rId194" Type="http://schemas.openxmlformats.org/officeDocument/2006/relationships/image" Target="media/image37.bin"/><Relationship Id="rId208" Type="http://schemas.openxmlformats.org/officeDocument/2006/relationships/image" Target="media/image45.bin"/><Relationship Id="rId261" Type="http://schemas.openxmlformats.org/officeDocument/2006/relationships/image" Target="media/image58.bin"/><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132464" TargetMode="External"/><Relationship Id="rId359" Type="http://schemas.openxmlformats.org/officeDocument/2006/relationships/hyperlink" Target="%5bMS-WSSCAML%5d.pdf" TargetMode="External"/><Relationship Id="rId98" Type="http://schemas.openxmlformats.org/officeDocument/2006/relationships/hyperlink" Target="https://go.microsoft.com/fwlink/?LinkId=13246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https://go.microsoft.com/fwlink/?LinkId=132464" TargetMode="External"/><Relationship Id="rId230" Type="http://schemas.openxmlformats.org/officeDocument/2006/relationships/hyperlink" Target="%5bMS-CFB%5d.pdf"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32464" TargetMode="External"/><Relationship Id="rId272" Type="http://schemas.openxmlformats.org/officeDocument/2006/relationships/hyperlink" Target="https://go.microsoft.com/fwlink/?LinkId=150884" TargetMode="External"/><Relationship Id="rId328" Type="http://schemas.openxmlformats.org/officeDocument/2006/relationships/hyperlink" Target="https://go.microsoft.com/fwlink/?LinkId=132464"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25.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5.bin"/><Relationship Id="rId101" Type="http://schemas.openxmlformats.org/officeDocument/2006/relationships/hyperlink" Target="https://go.microsoft.com/fwlink/?LinkId=132464" TargetMode="External"/><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50884" TargetMode="External"/><Relationship Id="rId350" Type="http://schemas.openxmlformats.org/officeDocument/2006/relationships/hyperlink" Target="%5bMS-CUSTOMUI%5d.pdf" TargetMode="External"/><Relationship Id="rId9" Type="http://schemas.openxmlformats.org/officeDocument/2006/relationships/hyperlink" Target="https://go.microsoft.com/fwlink/?LinkId=214445" TargetMode="External"/><Relationship Id="rId210" Type="http://schemas.openxmlformats.org/officeDocument/2006/relationships/image" Target="media/image47.bin"/><Relationship Id="rId392" Type="http://schemas.openxmlformats.org/officeDocument/2006/relationships/fontTable" Target="fontTable.xml"/><Relationship Id="rId252" Type="http://schemas.openxmlformats.org/officeDocument/2006/relationships/image" Target="media/image49.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17" TargetMode="External"/><Relationship Id="rId47" Type="http://schemas.openxmlformats.org/officeDocument/2006/relationships/hyperlink" Target="%5bMS-OFORMS%5d.pdf" TargetMode="External"/><Relationship Id="rId89" Type="http://schemas.openxmlformats.org/officeDocument/2006/relationships/hyperlink" Target="https://go.microsoft.com/fwlink/?LinkId=150884" TargetMode="External"/><Relationship Id="rId112" Type="http://schemas.openxmlformats.org/officeDocument/2006/relationships/hyperlink" Target="https://go.microsoft.com/fwlink/?LinkId=132464" TargetMode="External"/><Relationship Id="rId154" Type="http://schemas.openxmlformats.org/officeDocument/2006/relationships/image" Target="media/image20.bin"/><Relationship Id="rId361" Type="http://schemas.openxmlformats.org/officeDocument/2006/relationships/hyperlink" Target="%5bMS-LCID%5d.pdf" TargetMode="External"/><Relationship Id="rId196" Type="http://schemas.openxmlformats.org/officeDocument/2006/relationships/hyperlink" Target="https://go.microsoft.com/fwlink/?LinkId=15088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image" Target="media/image60.bin"/><Relationship Id="rId284" Type="http://schemas.openxmlformats.org/officeDocument/2006/relationships/hyperlink" Target="https://go.microsoft.com/fwlink/?LinkId=132464" TargetMode="External"/><Relationship Id="rId319" Type="http://schemas.openxmlformats.org/officeDocument/2006/relationships/hyperlink" Target="https://go.microsoft.com/fwlink/?LinkId=13246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50694" TargetMode="External"/><Relationship Id="rId79" Type="http://schemas.openxmlformats.org/officeDocument/2006/relationships/image" Target="media/image6.bin"/><Relationship Id="rId102" Type="http://schemas.openxmlformats.org/officeDocument/2006/relationships/hyperlink" Target="https://go.microsoft.com/fwlink/?LinkId=132464" TargetMode="External"/><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132464" TargetMode="External"/><Relationship Id="rId330" Type="http://schemas.openxmlformats.org/officeDocument/2006/relationships/image" Target="media/image69.bin"/><Relationship Id="rId90" Type="http://schemas.openxmlformats.org/officeDocument/2006/relationships/hyperlink" Target="https://go.microsoft.com/fwlink/?LinkId=150884" TargetMode="External"/><Relationship Id="rId165" Type="http://schemas.openxmlformats.org/officeDocument/2006/relationships/hyperlink" Target="https://go.microsoft.com/fwlink/?LinkId=132464" TargetMode="External"/><Relationship Id="rId186" Type="http://schemas.openxmlformats.org/officeDocument/2006/relationships/hyperlink" Target="%5bMS-ODRAWXML%5d.pdf" TargetMode="External"/><Relationship Id="rId351" Type="http://schemas.openxmlformats.org/officeDocument/2006/relationships/hyperlink" Target="https://go.microsoft.com/fwlink/?LinkId=132464" TargetMode="External"/><Relationship Id="rId372" Type="http://schemas.openxmlformats.org/officeDocument/2006/relationships/hyperlink" Target="%5bMS-OFORMS%5d.pdf" TargetMode="External"/><Relationship Id="rId393" Type="http://schemas.openxmlformats.org/officeDocument/2006/relationships/theme" Target="theme/theme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0.bin"/><Relationship Id="rId274" Type="http://schemas.openxmlformats.org/officeDocument/2006/relationships/hyperlink" Target="%5bMC-ISF%5d.pdf" TargetMode="External"/><Relationship Id="rId295" Type="http://schemas.openxmlformats.org/officeDocument/2006/relationships/hyperlink" Target="https://go.microsoft.com/fwlink/?LinkId=150884" TargetMode="External"/><Relationship Id="rId309" Type="http://schemas.openxmlformats.org/officeDocument/2006/relationships/hyperlink" Target="https://go.microsoft.com/fwlink/?LinkId=264927" TargetMode="External"/><Relationship Id="rId27" Type="http://schemas.openxmlformats.org/officeDocument/2006/relationships/hyperlink" Target="https://go.microsoft.com/fwlink/?LinkId=89920" TargetMode="External"/><Relationship Id="rId48" Type="http://schemas.openxmlformats.org/officeDocument/2006/relationships/hyperlink" Target="%5bMS-OSHARED%5d.pdf" TargetMode="External"/><Relationship Id="rId69" Type="http://schemas.openxmlformats.org/officeDocument/2006/relationships/hyperlink" Target="%5bMS-EMFPLUS%5d.pdf" TargetMode="External"/><Relationship Id="rId113" Type="http://schemas.openxmlformats.org/officeDocument/2006/relationships/hyperlink" Target="https://go.microsoft.com/fwlink/?LinkId=132464"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50884" TargetMode="External"/><Relationship Id="rId80" Type="http://schemas.openxmlformats.org/officeDocument/2006/relationships/image" Target="media/image7.bin"/><Relationship Id="rId155" Type="http://schemas.openxmlformats.org/officeDocument/2006/relationships/hyperlink" Target="https://go.microsoft.com/fwlink/?LinkId=132464" TargetMode="External"/><Relationship Id="rId176" Type="http://schemas.openxmlformats.org/officeDocument/2006/relationships/image" Target="media/image27.bin"/><Relationship Id="rId197" Type="http://schemas.openxmlformats.org/officeDocument/2006/relationships/image" Target="media/image39.bin"/><Relationship Id="rId341" Type="http://schemas.openxmlformats.org/officeDocument/2006/relationships/hyperlink" Target="https://go.microsoft.com/fwlink/?LinkId=132464" TargetMode="External"/><Relationship Id="rId362" Type="http://schemas.openxmlformats.org/officeDocument/2006/relationships/hyperlink" Target="%5bMS-LISTSWS%5d.pdf" TargetMode="External"/><Relationship Id="rId383" Type="http://schemas.openxmlformats.org/officeDocument/2006/relationships/hyperlink" Target="https://go.microsoft.com/fwlink/?LinkId=132464" TargetMode="External"/><Relationship Id="rId201" Type="http://schemas.openxmlformats.org/officeDocument/2006/relationships/hyperlink" Target="https://go.microsoft.com/fwlink/?LinkId=132464" TargetMode="External"/><Relationship Id="rId222" Type="http://schemas.openxmlformats.org/officeDocument/2006/relationships/hyperlink" Target="https://go.microsoft.com/fwlink/?LinkId=132464" TargetMode="External"/><Relationship Id="rId243" Type="http://schemas.openxmlformats.org/officeDocument/2006/relationships/hyperlink" Target="https://go.microsoft.com/fwlink/?LinkId=132464" TargetMode="External"/><Relationship Id="rId264" Type="http://schemas.openxmlformats.org/officeDocument/2006/relationships/image" Target="media/image61.bin"/><Relationship Id="rId285" Type="http://schemas.openxmlformats.org/officeDocument/2006/relationships/hyperlink" Target="https://go.microsoft.com/fwlink/?LinkId=132464"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5088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89920" TargetMode="External"/><Relationship Id="rId310" Type="http://schemas.openxmlformats.org/officeDocument/2006/relationships/hyperlink" Target="https://go.microsoft.com/fwlink/?LinkId=264933" TargetMode="External"/><Relationship Id="rId70" Type="http://schemas.openxmlformats.org/officeDocument/2006/relationships/hyperlink" Target="%5bMS-WMF%5d.pdf" TargetMode="External"/><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hyperlink" Target="https://go.microsoft.com/fwlink/?LinkId=132464" TargetMode="External"/><Relationship Id="rId187" Type="http://schemas.openxmlformats.org/officeDocument/2006/relationships/hyperlink" Target="http://schemas.microsoft.com/office/drawing/2014/chartex" TargetMode="External"/><Relationship Id="rId331" Type="http://schemas.openxmlformats.org/officeDocument/2006/relationships/image" Target="media/image70.bin"/><Relationship Id="rId352" Type="http://schemas.openxmlformats.org/officeDocument/2006/relationships/hyperlink" Target="%5bMS-CUSTOMUI2%5d.pdf" TargetMode="External"/><Relationship Id="rId373" Type="http://schemas.openxmlformats.org/officeDocument/2006/relationships/hyperlink" Target="https://go.microsoft.com/fwlink/?LinkId=132464" TargetMode="Externa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1.bin"/><Relationship Id="rId28" Type="http://schemas.openxmlformats.org/officeDocument/2006/relationships/hyperlink" Target="https://go.microsoft.com/fwlink/?LinkId=154475" TargetMode="External"/><Relationship Id="rId49" Type="http://schemas.openxmlformats.org/officeDocument/2006/relationships/hyperlink" Target="%5bMS-PPT%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32464" TargetMode="External"/><Relationship Id="rId81" Type="http://schemas.openxmlformats.org/officeDocument/2006/relationships/image" Target="media/image8.bin"/><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28.bin"/><Relationship Id="rId198" Type="http://schemas.openxmlformats.org/officeDocument/2006/relationships/image" Target="media/image40.bin"/><Relationship Id="rId321" Type="http://schemas.openxmlformats.org/officeDocument/2006/relationships/hyperlink" Target="https://go.microsoft.com/fwlink/?LinkId=15088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hyperlink" Target="https://go.microsoft.com/fwlink/?LinkId=132464" TargetMode="External"/><Relationship Id="rId202" Type="http://schemas.openxmlformats.org/officeDocument/2006/relationships/hyperlink" Target="https://go.microsoft.com/fwlink/?LinkId=132464" TargetMode="External"/><Relationship Id="rId223" Type="http://schemas.openxmlformats.org/officeDocument/2006/relationships/hyperlink" Target="https://go.microsoft.com/fwlink/?LinkId=132464" TargetMode="External"/><Relationship Id="rId244" Type="http://schemas.openxmlformats.org/officeDocument/2006/relationships/hyperlink" Target="https://go.microsoft.com/fwlink/?LinkId=13246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hyperlink" Target="https://go.microsoft.com/fwlink/?LinkId=150884" TargetMode="External"/><Relationship Id="rId286" Type="http://schemas.openxmlformats.org/officeDocument/2006/relationships/hyperlink" Target="https://go.microsoft.com/fwlink/?LinkId=132464" TargetMode="External"/><Relationship Id="rId50" Type="http://schemas.openxmlformats.org/officeDocument/2006/relationships/hyperlink" Target="%5bMS-WMF%5d.pdf" TargetMode="External"/><Relationship Id="rId104" Type="http://schemas.openxmlformats.org/officeDocument/2006/relationships/hyperlink" Target="%5bMS-DOC%5d.pdf" TargetMode="External"/><Relationship Id="rId125" Type="http://schemas.openxmlformats.org/officeDocument/2006/relationships/hyperlink" Target="https://go.microsoft.com/fwlink/?LinkId=132464" TargetMode="External"/><Relationship Id="rId146" Type="http://schemas.openxmlformats.org/officeDocument/2006/relationships/hyperlink" Target="https://go.microsoft.com/fwlink/?LinkId=132464" TargetMode="External"/><Relationship Id="rId167" Type="http://schemas.openxmlformats.org/officeDocument/2006/relationships/hyperlink" Target="https://go.microsoft.com/fwlink/?LinkId=132464" TargetMode="External"/><Relationship Id="rId188" Type="http://schemas.openxmlformats.org/officeDocument/2006/relationships/hyperlink" Target="https://go.microsoft.com/fwlink/?LinkId=132464" TargetMode="External"/><Relationship Id="rId311" Type="http://schemas.openxmlformats.org/officeDocument/2006/relationships/hyperlink" Target="https://go.microsoft.com/fwlink/?LinkId=264938" TargetMode="External"/><Relationship Id="rId332" Type="http://schemas.openxmlformats.org/officeDocument/2006/relationships/image" Target="media/image71.bin"/><Relationship Id="rId353" Type="http://schemas.openxmlformats.org/officeDocument/2006/relationships/hyperlink" Target="https://go.microsoft.com/fwlink/?LinkId=132464" TargetMode="External"/><Relationship Id="rId374" Type="http://schemas.openxmlformats.org/officeDocument/2006/relationships/hyperlink" Target="https://go.microsoft.com/fwlink/?LinkId=132464" TargetMode="External"/><Relationship Id="rId71" Type="http://schemas.openxmlformats.org/officeDocument/2006/relationships/hyperlink" Target="https://go.microsoft.com/fwlink/?LinkId=89844" TargetMode="External"/><Relationship Id="rId92" Type="http://schemas.openxmlformats.org/officeDocument/2006/relationships/image" Target="media/image11.bin"/><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5088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2.bin"/><Relationship Id="rId276" Type="http://schemas.openxmlformats.org/officeDocument/2006/relationships/hyperlink" Target="https://go.microsoft.com/fwlink/?LinkId=15088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5bMS-XLSX%5d.pdf"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29.bin"/><Relationship Id="rId301" Type="http://schemas.openxmlformats.org/officeDocument/2006/relationships/hyperlink" Target="https://go.microsoft.com/fwlink/?LinkId=132464" TargetMode="External"/><Relationship Id="rId322" Type="http://schemas.openxmlformats.org/officeDocument/2006/relationships/hyperlink" Target="https://go.microsoft.com/fwlink/?LinkId=132464" TargetMode="External"/><Relationship Id="rId343" Type="http://schemas.openxmlformats.org/officeDocument/2006/relationships/hyperlink" Target="https://go.microsoft.com/fwlink/?LinkId=132464" TargetMode="External"/><Relationship Id="rId364" Type="http://schemas.openxmlformats.org/officeDocument/2006/relationships/hyperlink" Target="%5bMS-IPFF%5d.pdf" TargetMode="External"/><Relationship Id="rId61" Type="http://schemas.openxmlformats.org/officeDocument/2006/relationships/hyperlink" Target="https://go.microsoft.com/fwlink/?LinkId=132464" TargetMode="External"/><Relationship Id="rId82" Type="http://schemas.openxmlformats.org/officeDocument/2006/relationships/image" Target="media/image9.bin"/><Relationship Id="rId199" Type="http://schemas.openxmlformats.org/officeDocument/2006/relationships/hyperlink" Target="https://go.microsoft.com/fwlink/?LinkId=132464" TargetMode="External"/><Relationship Id="rId203" Type="http://schemas.openxmlformats.org/officeDocument/2006/relationships/hyperlink" Target="https://go.microsoft.com/fwlink/?LinkId=132464" TargetMode="External"/><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132464" TargetMode="External"/><Relationship Id="rId245" Type="http://schemas.openxmlformats.org/officeDocument/2006/relationships/hyperlink" Target="https://go.microsoft.com/fwlink/?LinkId=132464" TargetMode="External"/><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hyperlink" Target="https://go.microsoft.com/fwlink/?LinkId=132464" TargetMode="External"/><Relationship Id="rId312" Type="http://schemas.openxmlformats.org/officeDocument/2006/relationships/hyperlink" Target="https://go.microsoft.com/fwlink/?LinkId=265314" TargetMode="External"/><Relationship Id="rId333" Type="http://schemas.openxmlformats.org/officeDocument/2006/relationships/hyperlink" Target="https://go.microsoft.com/fwlink/?LinkId=132464" TargetMode="External"/><Relationship Id="rId354" Type="http://schemas.openxmlformats.org/officeDocument/2006/relationships/hyperlink" Target="%5bMS-OFFCRYPTO%5d.pdf" TargetMode="External"/><Relationship Id="rId51" Type="http://schemas.openxmlformats.org/officeDocument/2006/relationships/hyperlink" Target="%5bMS-WSSCAML%5d.pdf" TargetMode="External"/><Relationship Id="rId72" Type="http://schemas.openxmlformats.org/officeDocument/2006/relationships/hyperlink" Target="https://go.microsoft.com/fwlink/?LinkId=150884" TargetMode="External"/><Relationship Id="rId93" Type="http://schemas.openxmlformats.org/officeDocument/2006/relationships/image" Target="media/image12.bin"/><Relationship Id="rId189" Type="http://schemas.openxmlformats.org/officeDocument/2006/relationships/hyperlink" Target="https://go.microsoft.com/fwlink/?LinkId=132464" TargetMode="External"/><Relationship Id="rId375" Type="http://schemas.openxmlformats.org/officeDocument/2006/relationships/hyperlink" Target="%5bMS-OFORMS%5d.pdf" TargetMode="Externa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3.bin"/><Relationship Id="rId277" Type="http://schemas.openxmlformats.org/officeDocument/2006/relationships/image" Target="media/image65.bin"/><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132464" TargetMode="External"/><Relationship Id="rId323" Type="http://schemas.openxmlformats.org/officeDocument/2006/relationships/hyperlink" Target="https://go.microsoft.com/fwlink/?LinkId=132464" TargetMode="External"/><Relationship Id="rId344" Type="http://schemas.openxmlformats.org/officeDocument/2006/relationships/hyperlink" Target="%5bMS-PPT%5d.pdf"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5bMS-WSSCAML%5d.pdf" TargetMode="External"/><Relationship Id="rId83" Type="http://schemas.openxmlformats.org/officeDocument/2006/relationships/image" Target="media/image10.bin"/><Relationship Id="rId179" Type="http://schemas.openxmlformats.org/officeDocument/2006/relationships/image" Target="media/image30.bin"/><Relationship Id="rId365" Type="http://schemas.openxmlformats.org/officeDocument/2006/relationships/hyperlink" Target="%5bMS-IPFF%5d.pdf" TargetMode="External"/><Relationship Id="rId386" Type="http://schemas.openxmlformats.org/officeDocument/2006/relationships/hyperlink" Target="https://go.microsoft.com/fwlink/?LinkId=150884" TargetMode="External"/><Relationship Id="rId190" Type="http://schemas.openxmlformats.org/officeDocument/2006/relationships/hyperlink" Target="https://go.microsoft.com/fwlink/?LinkId=132464" TargetMode="External"/><Relationship Id="rId204" Type="http://schemas.openxmlformats.org/officeDocument/2006/relationships/image" Target="media/image41.bin"/><Relationship Id="rId225" Type="http://schemas.openxmlformats.org/officeDocument/2006/relationships/hyperlink" Target="https://go.microsoft.com/fwlink/?LinkId=132464" TargetMode="External"/><Relationship Id="rId246" Type="http://schemas.openxmlformats.org/officeDocument/2006/relationships/hyperlink" Target="https://go.microsoft.com/fwlink/?LinkId=132464" TargetMode="External"/><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image" Target="media/image15.bin"/><Relationship Id="rId127" Type="http://schemas.openxmlformats.org/officeDocument/2006/relationships/image" Target="media/image17.bin"/><Relationship Id="rId313" Type="http://schemas.openxmlformats.org/officeDocument/2006/relationships/hyperlink" Target="https://go.microsoft.com/fwlink/?LinkId=26491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694" TargetMode="External"/><Relationship Id="rId52" Type="http://schemas.openxmlformats.org/officeDocument/2006/relationships/hyperlink" Target="%5bMS-XLS%5d.pdf" TargetMode="External"/><Relationship Id="rId73" Type="http://schemas.openxmlformats.org/officeDocument/2006/relationships/image" Target="media/image1.bin"/><Relationship Id="rId94" Type="http://schemas.openxmlformats.org/officeDocument/2006/relationships/image" Target="media/image13.bin"/><Relationship Id="rId148" Type="http://schemas.openxmlformats.org/officeDocument/2006/relationships/hyperlink" Target="https://go.microsoft.com/fwlink/?LinkId=132464" TargetMode="External"/><Relationship Id="rId169" Type="http://schemas.openxmlformats.org/officeDocument/2006/relationships/hyperlink" Target="https://go.microsoft.com/fwlink/?LinkId=132464" TargetMode="External"/><Relationship Id="rId334" Type="http://schemas.openxmlformats.org/officeDocument/2006/relationships/hyperlink" Target="https://go.microsoft.com/fwlink/?LinkId=132464" TargetMode="External"/><Relationship Id="rId355" Type="http://schemas.openxmlformats.org/officeDocument/2006/relationships/hyperlink" Target="https://aka.ms/AA9sfb8"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image" Target="media/image31.bin"/><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50884" TargetMode="External"/><Relationship Id="rId257" Type="http://schemas.openxmlformats.org/officeDocument/2006/relationships/image" Target="media/image54.bin"/><Relationship Id="rId278" Type="http://schemas.openxmlformats.org/officeDocument/2006/relationships/image" Target="media/image66.bin"/><Relationship Id="rId303" Type="http://schemas.openxmlformats.org/officeDocument/2006/relationships/hyperlink" Target="https://go.microsoft.com/fwlink/?LinkId=132464"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32464" TargetMode="External"/><Relationship Id="rId138" Type="http://schemas.openxmlformats.org/officeDocument/2006/relationships/hyperlink" Target="https://go.microsoft.com/fwlink/?LinkId=132464" TargetMode="External"/><Relationship Id="rId345" Type="http://schemas.openxmlformats.org/officeDocument/2006/relationships/hyperlink" Target="https://go.microsoft.com/fwlink/?LinkId=132464" TargetMode="External"/><Relationship Id="rId387" Type="http://schemas.openxmlformats.org/officeDocument/2006/relationships/hyperlink" Target="https://go.microsoft.com/fwlink/?LinkId=132464" TargetMode="External"/><Relationship Id="rId191" Type="http://schemas.openxmlformats.org/officeDocument/2006/relationships/hyperlink" Target="https://go.microsoft.com/fwlink/?LinkId=132464" TargetMode="External"/><Relationship Id="rId205" Type="http://schemas.openxmlformats.org/officeDocument/2006/relationships/image" Target="media/image42.bin"/><Relationship Id="rId247" Type="http://schemas.openxmlformats.org/officeDocument/2006/relationships/hyperlink" Target="https://go.microsoft.com/fwlink/?LinkId=132464" TargetMode="External"/><Relationship Id="rId107" Type="http://schemas.openxmlformats.org/officeDocument/2006/relationships/image" Target="media/image16.bin"/><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317" TargetMode="External"/><Relationship Id="rId149" Type="http://schemas.openxmlformats.org/officeDocument/2006/relationships/hyperlink" Target="https://go.microsoft.com/fwlink/?LinkId=89920" TargetMode="External"/><Relationship Id="rId314" Type="http://schemas.openxmlformats.org/officeDocument/2006/relationships/hyperlink" Target="https://go.microsoft.com/fwlink/?LinkId=132464" TargetMode="External"/><Relationship Id="rId356" Type="http://schemas.openxmlformats.org/officeDocument/2006/relationships/hyperlink" Target="https://go.microsoft.com/fwlink/?LinkId=132464" TargetMode="External"/><Relationship Id="rId95" Type="http://schemas.openxmlformats.org/officeDocument/2006/relationships/image" Target="media/image14.bin"/><Relationship Id="rId160" Type="http://schemas.openxmlformats.org/officeDocument/2006/relationships/hyperlink" Target="%5bMS-PPT%5d.pdf"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55.bin"/><Relationship Id="rId22" Type="http://schemas.openxmlformats.org/officeDocument/2006/relationships/hyperlink" Target="https://go.microsoft.com/fwlink/?LinkId=264933" TargetMode="External"/><Relationship Id="rId64" Type="http://schemas.openxmlformats.org/officeDocument/2006/relationships/hyperlink" Target="https://go.microsoft.com/fwlink/?LinkId=118624" TargetMode="External"/><Relationship Id="rId118" Type="http://schemas.openxmlformats.org/officeDocument/2006/relationships/hyperlink" Target="https://go.microsoft.com/fwlink/?LinkId=114090" TargetMode="External"/><Relationship Id="rId325" Type="http://schemas.openxmlformats.org/officeDocument/2006/relationships/hyperlink" Target="https://go.microsoft.com/fwlink/?LinkId=132464" TargetMode="External"/><Relationship Id="rId367" Type="http://schemas.openxmlformats.org/officeDocument/2006/relationships/hyperlink" Target="%5bMS-IPFF%5d.pdf" TargetMode="External"/><Relationship Id="rId171" Type="http://schemas.openxmlformats.org/officeDocument/2006/relationships/image" Target="media/image22.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264927"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50884" TargetMode="External"/><Relationship Id="rId336" Type="http://schemas.openxmlformats.org/officeDocument/2006/relationships/hyperlink" Target="https://go.microsoft.com/fwlink/?LinkId=132464" TargetMode="External"/><Relationship Id="rId75" Type="http://schemas.openxmlformats.org/officeDocument/2006/relationships/image" Target="media/image2.bin"/><Relationship Id="rId140" Type="http://schemas.openxmlformats.org/officeDocument/2006/relationships/hyperlink" Target="https://go.microsoft.com/fwlink/?LinkId=132464" TargetMode="External"/><Relationship Id="rId182" Type="http://schemas.openxmlformats.org/officeDocument/2006/relationships/image" Target="media/image33.bin"/><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5bMS-DOC%5d.pdf" TargetMode="External"/><Relationship Id="rId305" Type="http://schemas.openxmlformats.org/officeDocument/2006/relationships/hyperlink" Target="https://go.microsoft.com/fwlink/?LinkId=264933" TargetMode="External"/><Relationship Id="rId347" Type="http://schemas.openxmlformats.org/officeDocument/2006/relationships/hyperlink" Target="https://go.microsoft.com/fwlink/?LinkId=132464"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image" Target="media/image18.bin"/><Relationship Id="rId389" Type="http://schemas.openxmlformats.org/officeDocument/2006/relationships/hyperlink" Target="%5bMS-OSHARED%5d.pdf" TargetMode="External"/><Relationship Id="rId193" Type="http://schemas.openxmlformats.org/officeDocument/2006/relationships/image" Target="media/image36.bin"/><Relationship Id="rId207" Type="http://schemas.openxmlformats.org/officeDocument/2006/relationships/image" Target="media/image44.bin"/><Relationship Id="rId249" Type="http://schemas.openxmlformats.org/officeDocument/2006/relationships/hyperlink" Target="https://go.microsoft.com/fwlink/?LinkId=150884"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image" Target="media/image57.bin"/><Relationship Id="rId316" Type="http://schemas.openxmlformats.org/officeDocument/2006/relationships/hyperlink" Target="https://go.microsoft.com/fwlink/?LinkId=150883" TargetMode="External"/><Relationship Id="rId55" Type="http://schemas.openxmlformats.org/officeDocument/2006/relationships/hyperlink" Target="https://aka.ms/AA9sfb8"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4.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154475" TargetMode="External"/><Relationship Id="rId131" Type="http://schemas.openxmlformats.org/officeDocument/2006/relationships/hyperlink" Target="https://go.microsoft.com/fwlink/?LinkId=132464" TargetMode="External"/><Relationship Id="rId327" Type="http://schemas.openxmlformats.org/officeDocument/2006/relationships/hyperlink" Target="%5bMS-XLS%5d.pdf"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4.bin"/><Relationship Id="rId229" Type="http://schemas.openxmlformats.org/officeDocument/2006/relationships/hyperlink" Target="https://go.microsoft.com/fwlink/?LinkId=89920" TargetMode="External"/><Relationship Id="rId380" Type="http://schemas.openxmlformats.org/officeDocument/2006/relationships/hyperlink" Target="https://go.microsoft.com/fwlink/?LinkId=132464"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4.bin"/><Relationship Id="rId100" Type="http://schemas.openxmlformats.org/officeDocument/2006/relationships/hyperlink" Target="https://go.microsoft.com/fwlink/?LinkId=132464" TargetMode="External"/><Relationship Id="rId282" Type="http://schemas.openxmlformats.org/officeDocument/2006/relationships/hyperlink" Target="https://go.microsoft.com/fwlink/?LinkId=132464"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footer" Target="footer2.xml"/><Relationship Id="rId251" Type="http://schemas.openxmlformats.org/officeDocument/2006/relationships/image" Target="media/image48.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5314" TargetMode="External"/><Relationship Id="rId349" Type="http://schemas.openxmlformats.org/officeDocument/2006/relationships/hyperlink" Target="https://go.microsoft.com/fwlink/?LinkId=132464" TargetMode="External"/><Relationship Id="rId88" Type="http://schemas.openxmlformats.org/officeDocument/2006/relationships/hyperlink" Target="https://go.microsoft.com/fwlink/?LinkId=132464" TargetMode="External"/><Relationship Id="rId111" Type="http://schemas.openxmlformats.org/officeDocument/2006/relationships/hyperlink" Target="https://go.microsoft.com/fwlink/?LinkId=132464" TargetMode="External"/><Relationship Id="rId153" Type="http://schemas.openxmlformats.org/officeDocument/2006/relationships/image" Target="media/image19.bin"/><Relationship Id="rId195" Type="http://schemas.openxmlformats.org/officeDocument/2006/relationships/image" Target="media/image38.bin"/><Relationship Id="rId209" Type="http://schemas.openxmlformats.org/officeDocument/2006/relationships/image" Target="media/image46.bin"/><Relationship Id="rId360" Type="http://schemas.openxmlformats.org/officeDocument/2006/relationships/hyperlink" Target="%5bMS-LISTSWS%5d.pdf"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132464" TargetMode="External"/><Relationship Id="rId57" Type="http://schemas.openxmlformats.org/officeDocument/2006/relationships/hyperlink" Target="https://go.microsoft.com/fwlink/?LinkId=150883" TargetMode="External"/><Relationship Id="rId262" Type="http://schemas.openxmlformats.org/officeDocument/2006/relationships/image" Target="media/image59.bin"/><Relationship Id="rId318" Type="http://schemas.openxmlformats.org/officeDocument/2006/relationships/hyperlink" Target="https://go.microsoft.com/fwlink/?LinkId=132464" TargetMode="External"/><Relationship Id="rId99" Type="http://schemas.openxmlformats.org/officeDocument/2006/relationships/hyperlink" Target="https://go.microsoft.com/fwlink/?LinkId=89844" TargetMode="External"/><Relationship Id="rId122" Type="http://schemas.openxmlformats.org/officeDocument/2006/relationships/hyperlink" Target="https://go.microsoft.com/fwlink/?LinkId=132464" TargetMode="External"/><Relationship Id="rId164" Type="http://schemas.openxmlformats.org/officeDocument/2006/relationships/hyperlink" Target="https://go.microsoft.com/fwlink/?LinkId=132464" TargetMode="External"/><Relationship Id="rId371" Type="http://schemas.openxmlformats.org/officeDocument/2006/relationships/hyperlink" Target="https://go.microsoft.com/fwlink/?LinkId=132464" TargetMode="External"/><Relationship Id="rId26" Type="http://schemas.openxmlformats.org/officeDocument/2006/relationships/hyperlink" Target="https://go.microsoft.com/fwlink/?LinkId=265314" TargetMode="External"/><Relationship Id="rId231" Type="http://schemas.openxmlformats.org/officeDocument/2006/relationships/hyperlink" Target="%5bMS-CFB%5d.pdf" TargetMode="External"/><Relationship Id="rId273" Type="http://schemas.openxmlformats.org/officeDocument/2006/relationships/hyperlink" Target="https://go.microsoft.com/fwlink/?LinkId=150884" TargetMode="External"/><Relationship Id="rId329" Type="http://schemas.openxmlformats.org/officeDocument/2006/relationships/image" Target="media/image68.bin"/><Relationship Id="rId68" Type="http://schemas.openxmlformats.org/officeDocument/2006/relationships/hyperlink" Target="%5bMS-EMF%5d.pdf" TargetMode="External"/><Relationship Id="rId133" Type="http://schemas.openxmlformats.org/officeDocument/2006/relationships/hyperlink" Target="https://go.microsoft.com/fwlink/?LinkId=132464" TargetMode="External"/><Relationship Id="rId175" Type="http://schemas.openxmlformats.org/officeDocument/2006/relationships/image" Target="media/image26.bin"/><Relationship Id="rId340" Type="http://schemas.openxmlformats.org/officeDocument/2006/relationships/hyperlink" Target="https://go.microsoft.com/fwlink/?LinkId=132464" TargetMode="External"/><Relationship Id="rId200" Type="http://schemas.openxmlformats.org/officeDocument/2006/relationships/hyperlink" Target="https://go.microsoft.com/fwlink/?LinkId=132464" TargetMode="External"/><Relationship Id="rId382" Type="http://schemas.openxmlformats.org/officeDocument/2006/relationships/hyperlink" Target="https://go.microsoft.com/fwlink/?LinkId=1324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3AD9F58-A996-44E2-8E01-7C1466EB7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380661</Words>
  <Characters>2169773</Characters>
  <Application>Microsoft Office Word</Application>
  <DocSecurity>0</DocSecurity>
  <Lines>18081</Lines>
  <Paragraphs>5090</Paragraphs>
  <ScaleCrop>false</ScaleCrop>
  <Company/>
  <LinksUpToDate>false</LinksUpToDate>
  <CharactersWithSpaces>2545344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2024-11-05T15:12:00Z</dcterms:created>
  <dcterms:modified xsi:type="dcterms:W3CDTF">2024-11-05T15:12:00Z</dcterms:modified>
</cp:coreProperties>
</file>